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4.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5.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6.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7.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8.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9.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0.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1.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2.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3.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4.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5.xml" ContentType="application/vnd.openxmlformats-officedocument.themeOverride+xml"/>
  <Override PartName="/word/charts/chart19.xml" ContentType="application/vnd.openxmlformats-officedocument.drawingml.chart+xml"/>
  <Override PartName="/word/theme/themeOverride16.xml" ContentType="application/vnd.openxmlformats-officedocument.themeOverride+xml"/>
  <Override PartName="/word/charts/chart20.xml" ContentType="application/vnd.openxmlformats-officedocument.drawingml.chart+xml"/>
  <Override PartName="/word/theme/themeOverride17.xml" ContentType="application/vnd.openxmlformats-officedocument.themeOverride+xml"/>
  <Override PartName="/word/charts/chart21.xml" ContentType="application/vnd.openxmlformats-officedocument.drawingml.chart+xml"/>
  <Override PartName="/word/theme/themeOverride18.xml" ContentType="application/vnd.openxmlformats-officedocument.themeOverride+xml"/>
  <Override PartName="/word/charts/chart22.xml" ContentType="application/vnd.openxmlformats-officedocument.drawingml.chart+xml"/>
  <Override PartName="/word/theme/themeOverride19.xml" ContentType="application/vnd.openxmlformats-officedocument.themeOverride+xml"/>
  <Override PartName="/word/charts/chart23.xml" ContentType="application/vnd.openxmlformats-officedocument.drawingml.chart+xml"/>
  <Override PartName="/word/theme/themeOverride20.xml" ContentType="application/vnd.openxmlformats-officedocument.themeOverride+xml"/>
  <Override PartName="/word/charts/chart24.xml" ContentType="application/vnd.openxmlformats-officedocument.drawingml.chart+xml"/>
  <Override PartName="/word/theme/themeOverride21.xml" ContentType="application/vnd.openxmlformats-officedocument.themeOverride+xml"/>
  <Override PartName="/word/charts/chart25.xml" ContentType="application/vnd.openxmlformats-officedocument.drawingml.chart+xml"/>
  <Override PartName="/word/theme/themeOverride22.xml" ContentType="application/vnd.openxmlformats-officedocument.themeOverride+xml"/>
  <Override PartName="/word/charts/chart26.xml" ContentType="application/vnd.openxmlformats-officedocument.drawingml.chart+xml"/>
  <Override PartName="/word/theme/themeOverride23.xml" ContentType="application/vnd.openxmlformats-officedocument.themeOverride+xml"/>
  <Override PartName="/word/charts/chart27.xml" ContentType="application/vnd.openxmlformats-officedocument.drawingml.chart+xml"/>
  <Override PartName="/word/theme/themeOverride24.xml" ContentType="application/vnd.openxmlformats-officedocument.themeOverride+xml"/>
  <Override PartName="/word/charts/chart28.xml" ContentType="application/vnd.openxmlformats-officedocument.drawingml.chart+xml"/>
  <Override PartName="/word/theme/themeOverride25.xml" ContentType="application/vnd.openxmlformats-officedocument.themeOverride+xml"/>
  <Override PartName="/word/charts/chart29.xml" ContentType="application/vnd.openxmlformats-officedocument.drawingml.chart+xml"/>
  <Override PartName="/word/theme/themeOverride26.xml" ContentType="application/vnd.openxmlformats-officedocument.themeOverride+xml"/>
  <Override PartName="/word/charts/chart30.xml" ContentType="application/vnd.openxmlformats-officedocument.drawingml.chart+xml"/>
  <Override PartName="/word/theme/themeOverride27.xml" ContentType="application/vnd.openxmlformats-officedocument.themeOverride+xml"/>
  <Override PartName="/word/charts/chart31.xml" ContentType="application/vnd.openxmlformats-officedocument.drawingml.chart+xml"/>
  <Override PartName="/word/theme/themeOverride28.xml" ContentType="application/vnd.openxmlformats-officedocument.themeOverride+xml"/>
  <Override PartName="/word/charts/chart32.xml" ContentType="application/vnd.openxmlformats-officedocument.drawingml.chart+xml"/>
  <Override PartName="/word/theme/themeOverride29.xml" ContentType="application/vnd.openxmlformats-officedocument.themeOverride+xml"/>
  <Override PartName="/word/charts/chart33.xml" ContentType="application/vnd.openxmlformats-officedocument.drawingml.chart+xml"/>
  <Override PartName="/word/theme/themeOverride30.xml" ContentType="application/vnd.openxmlformats-officedocument.themeOverride+xml"/>
  <Override PartName="/word/charts/chart34.xml" ContentType="application/vnd.openxmlformats-officedocument.drawingml.chart+xml"/>
  <Override PartName="/word/theme/themeOverride31.xml" ContentType="application/vnd.openxmlformats-officedocument.themeOverride+xml"/>
  <Override PartName="/word/charts/chart35.xml" ContentType="application/vnd.openxmlformats-officedocument.drawingml.chart+xml"/>
  <Override PartName="/word/theme/themeOverride32.xml" ContentType="application/vnd.openxmlformats-officedocument.themeOverride+xml"/>
  <Override PartName="/word/charts/chart36.xml" ContentType="application/vnd.openxmlformats-officedocument.drawingml.chart+xml"/>
  <Override PartName="/word/theme/themeOverride33.xml" ContentType="application/vnd.openxmlformats-officedocument.themeOverride+xml"/>
  <Override PartName="/word/charts/chart37.xml" ContentType="application/vnd.openxmlformats-officedocument.drawingml.chart+xml"/>
  <Override PartName="/word/theme/themeOverride34.xml" ContentType="application/vnd.openxmlformats-officedocument.themeOverride+xml"/>
  <Override PartName="/word/charts/chart38.xml" ContentType="application/vnd.openxmlformats-officedocument.drawingml.chart+xml"/>
  <Override PartName="/word/theme/themeOverride35.xml" ContentType="application/vnd.openxmlformats-officedocument.themeOverride+xml"/>
  <Override PartName="/word/charts/chart39.xml" ContentType="application/vnd.openxmlformats-officedocument.drawingml.chart+xml"/>
  <Override PartName="/word/theme/themeOverride36.xml" ContentType="application/vnd.openxmlformats-officedocument.themeOverride+xml"/>
  <Override PartName="/word/charts/chart40.xml" ContentType="application/vnd.openxmlformats-officedocument.drawingml.chart+xml"/>
  <Override PartName="/word/charts/chart41.xml" ContentType="application/vnd.openxmlformats-officedocument.drawingml.chart+xml"/>
  <Override PartName="/word/theme/themeOverride37.xml" ContentType="application/vnd.openxmlformats-officedocument.themeOverride+xml"/>
  <Override PartName="/word/charts/chart42.xml" ContentType="application/vnd.openxmlformats-officedocument.drawingml.chart+xml"/>
  <Override PartName="/word/theme/themeOverride38.xml" ContentType="application/vnd.openxmlformats-officedocument.themeOverride+xml"/>
  <Override PartName="/word/charts/chart43.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39.xml" ContentType="application/vnd.openxmlformats-officedocument.themeOverride+xml"/>
  <Override PartName="/word/charts/chart44.xml" ContentType="application/vnd.openxmlformats-officedocument.drawingml.chart+xml"/>
  <Override PartName="/word/theme/themeOverride40.xml" ContentType="application/vnd.openxmlformats-officedocument.themeOverride+xml"/>
  <Override PartName="/word/charts/chart45.xml" ContentType="application/vnd.openxmlformats-officedocument.drawingml.chart+xml"/>
  <Override PartName="/word/theme/themeOverride41.xml" ContentType="application/vnd.openxmlformats-officedocument.themeOverride+xml"/>
  <Override PartName="/word/charts/chart46.xml" ContentType="application/vnd.openxmlformats-officedocument.drawingml.chart+xml"/>
  <Override PartName="/word/charts/chart47.xml" ContentType="application/vnd.openxmlformats-officedocument.drawingml.chart+xml"/>
  <Override PartName="/word/theme/themeOverride42.xml" ContentType="application/vnd.openxmlformats-officedocument.themeOverride+xml"/>
  <Override PartName="/word/charts/chart48.xml" ContentType="application/vnd.openxmlformats-officedocument.drawingml.chart+xml"/>
  <Override PartName="/word/theme/themeOverride43.xml" ContentType="application/vnd.openxmlformats-officedocument.themeOverride+xml"/>
  <Override PartName="/word/charts/chart49.xml" ContentType="application/vnd.openxmlformats-officedocument.drawingml.chart+xml"/>
  <Override PartName="/word/theme/themeOverride44.xml" ContentType="application/vnd.openxmlformats-officedocument.themeOverride+xml"/>
  <Override PartName="/word/charts/chart50.xml" ContentType="application/vnd.openxmlformats-officedocument.drawingml.chart+xml"/>
  <Override PartName="/word/theme/themeOverride45.xml" ContentType="application/vnd.openxmlformats-officedocument.themeOverride+xml"/>
  <Override PartName="/word/charts/chart51.xml" ContentType="application/vnd.openxmlformats-officedocument.drawingml.chart+xml"/>
  <Override PartName="/word/theme/themeOverride46.xml" ContentType="application/vnd.openxmlformats-officedocument.themeOverride+xml"/>
  <Override PartName="/word/charts/chart52.xml" ContentType="application/vnd.openxmlformats-officedocument.drawingml.chart+xml"/>
  <Override PartName="/word/theme/themeOverride47.xml" ContentType="application/vnd.openxmlformats-officedocument.themeOverride+xml"/>
  <Override PartName="/word/charts/chart53.xml" ContentType="application/vnd.openxmlformats-officedocument.drawingml.chart+xml"/>
  <Override PartName="/word/theme/themeOverride48.xml" ContentType="application/vnd.openxmlformats-officedocument.themeOverride+xml"/>
  <Override PartName="/word/charts/chart54.xml" ContentType="application/vnd.openxmlformats-officedocument.drawingml.chart+xml"/>
  <Override PartName="/word/theme/themeOverride49.xml" ContentType="application/vnd.openxmlformats-officedocument.themeOverride+xml"/>
  <Override PartName="/word/charts/chart55.xml" ContentType="application/vnd.openxmlformats-officedocument.drawingml.chart+xml"/>
  <Override PartName="/word/theme/themeOverride50.xml" ContentType="application/vnd.openxmlformats-officedocument.themeOverride+xml"/>
  <Override PartName="/word/charts/chart56.xml" ContentType="application/vnd.openxmlformats-officedocument.drawingml.chart+xml"/>
  <Override PartName="/word/theme/themeOverride51.xml" ContentType="application/vnd.openxmlformats-officedocument.themeOverride+xml"/>
  <Override PartName="/word/charts/chart57.xml" ContentType="application/vnd.openxmlformats-officedocument.drawingml.chart+xml"/>
  <Override PartName="/word/theme/themeOverride52.xml" ContentType="application/vnd.openxmlformats-officedocument.themeOverride+xml"/>
  <Override PartName="/word/charts/chart58.xml" ContentType="application/vnd.openxmlformats-officedocument.drawingml.chart+xml"/>
  <Override PartName="/word/theme/themeOverride53.xml" ContentType="application/vnd.openxmlformats-officedocument.themeOverride+xml"/>
  <Override PartName="/word/charts/chart59.xml" ContentType="application/vnd.openxmlformats-officedocument.drawingml.chart+xml"/>
  <Override PartName="/word/theme/themeOverride54.xml" ContentType="application/vnd.openxmlformats-officedocument.themeOverride+xml"/>
  <Override PartName="/word/charts/chart60.xml" ContentType="application/vnd.openxmlformats-officedocument.drawingml.chart+xml"/>
  <Override PartName="/word/theme/themeOverride55.xml" ContentType="application/vnd.openxmlformats-officedocument.themeOverride+xml"/>
  <Override PartName="/word/charts/chart61.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56.xml" ContentType="application/vnd.openxmlformats-officedocument.themeOverride+xml"/>
  <Override PartName="/word/charts/chart62.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57.xml" ContentType="application/vnd.openxmlformats-officedocument.themeOverride+xml"/>
  <Override PartName="/word/charts/chart63.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58.xml" ContentType="application/vnd.openxmlformats-officedocument.themeOverride+xml"/>
  <Override PartName="/word/charts/chart64.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59.xml" ContentType="application/vnd.openxmlformats-officedocument.themeOverride+xml"/>
  <Override PartName="/word/charts/chart65.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66.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60.xml" ContentType="application/vnd.openxmlformats-officedocument.themeOverride+xml"/>
  <Override PartName="/word/charts/chart67.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61.xml" ContentType="application/vnd.openxmlformats-officedocument.themeOverride+xml"/>
  <Override PartName="/word/charts/chart68.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62.xml" ContentType="application/vnd.openxmlformats-officedocument.themeOverride+xml"/>
  <Override PartName="/word/charts/chart69.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63.xml" ContentType="application/vnd.openxmlformats-officedocument.themeOverride+xml"/>
  <Override PartName="/word/charts/chart70.xml" ContentType="application/vnd.openxmlformats-officedocument.drawingml.chart+xml"/>
  <Override PartName="/word/theme/themeOverride64.xml" ContentType="application/vnd.openxmlformats-officedocument.themeOverride+xml"/>
  <Override PartName="/word/charts/chart71.xml" ContentType="application/vnd.openxmlformats-officedocument.drawingml.chart+xml"/>
  <Override PartName="/word/charts/chart72.xml" ContentType="application/vnd.openxmlformats-officedocument.drawingml.chart+xml"/>
  <Override PartName="/word/charts/chart73.xml" ContentType="application/vnd.openxmlformats-officedocument.drawingml.chart+xml"/>
  <Override PartName="/word/charts/chart74.xml" ContentType="application/vnd.openxmlformats-officedocument.drawingml.chart+xml"/>
  <Override PartName="/word/charts/chart75.xml" ContentType="application/vnd.openxmlformats-officedocument.drawingml.chart+xml"/>
  <Override PartName="/word/charts/chart76.xml" ContentType="application/vnd.openxmlformats-officedocument.drawingml.chart+xml"/>
  <Override PartName="/word/charts/chart77.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65.xml" ContentType="application/vnd.openxmlformats-officedocument.themeOverride+xml"/>
  <Override PartName="/word/charts/chart78.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66.xml" ContentType="application/vnd.openxmlformats-officedocument.themeOverride+xml"/>
  <Override PartName="/word/charts/chart79.xml" ContentType="application/vnd.openxmlformats-officedocument.drawingml.chart+xml"/>
  <Override PartName="/word/theme/themeOverride67.xml" ContentType="application/vnd.openxmlformats-officedocument.themeOverride+xml"/>
  <Override PartName="/word/charts/chart80.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68.xml" ContentType="application/vnd.openxmlformats-officedocument.themeOverride+xml"/>
  <Override PartName="/word/charts/chart81.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Override69.xml" ContentType="application/vnd.openxmlformats-officedocument.themeOverride+xml"/>
  <Override PartName="/word/charts/chart82.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70.xml" ContentType="application/vnd.openxmlformats-officedocument.themeOverride+xml"/>
  <Override PartName="/word/charts/chart83.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71.xml" ContentType="application/vnd.openxmlformats-officedocument.themeOverride+xml"/>
  <Override PartName="/word/charts/chart84.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72.xml" ContentType="application/vnd.openxmlformats-officedocument.themeOverride+xml"/>
  <Override PartName="/word/charts/chart85.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73.xml" ContentType="application/vnd.openxmlformats-officedocument.themeOverride+xml"/>
  <Override PartName="/word/charts/chart86.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74.xml" ContentType="application/vnd.openxmlformats-officedocument.themeOverride+xml"/>
  <Override PartName="/word/charts/chart87.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75.xml" ContentType="application/vnd.openxmlformats-officedocument.themeOverride+xml"/>
  <Override PartName="/word/charts/chart88.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76.xml" ContentType="application/vnd.openxmlformats-officedocument.themeOverride+xml"/>
  <Override PartName="/word/charts/chart89.xml" ContentType="application/vnd.openxmlformats-officedocument.drawingml.chart+xml"/>
  <Override PartName="/word/charts/style40.xml" ContentType="application/vnd.ms-office.chartstyle+xml"/>
  <Override PartName="/word/charts/colors40.xml" ContentType="application/vnd.ms-office.chartcolorstyle+xml"/>
  <Override PartName="/word/theme/themeOverride77.xml" ContentType="application/vnd.openxmlformats-officedocument.themeOverride+xml"/>
  <Override PartName="/word/charts/chart90.xml" ContentType="application/vnd.openxmlformats-officedocument.drawingml.chart+xml"/>
  <Override PartName="/word/charts/style41.xml" ContentType="application/vnd.ms-office.chartstyle+xml"/>
  <Override PartName="/word/charts/colors41.xml" ContentType="application/vnd.ms-office.chartcolorstyle+xml"/>
  <Override PartName="/word/theme/themeOverride78.xml" ContentType="application/vnd.openxmlformats-officedocument.themeOverride+xml"/>
  <Override PartName="/word/charts/chart91.xml" ContentType="application/vnd.openxmlformats-officedocument.drawingml.chart+xml"/>
  <Override PartName="/word/theme/themeOverride79.xml" ContentType="application/vnd.openxmlformats-officedocument.themeOverride+xml"/>
  <Override PartName="/word/charts/chart92.xml" ContentType="application/vnd.openxmlformats-officedocument.drawingml.chart+xml"/>
  <Override PartName="/word/charts/style42.xml" ContentType="application/vnd.ms-office.chartstyle+xml"/>
  <Override PartName="/word/charts/colors42.xml" ContentType="application/vnd.ms-office.chartcolorstyle+xml"/>
  <Override PartName="/word/theme/themeOverride80.xml" ContentType="application/vnd.openxmlformats-officedocument.themeOverride+xml"/>
  <Override PartName="/word/charts/chart93.xml" ContentType="application/vnd.openxmlformats-officedocument.drawingml.chart+xml"/>
  <Override PartName="/word/charts/style43.xml" ContentType="application/vnd.ms-office.chartstyle+xml"/>
  <Override PartName="/word/charts/colors43.xml" ContentType="application/vnd.ms-office.chartcolorstyle+xml"/>
  <Override PartName="/word/theme/themeOverride81.xml" ContentType="application/vnd.openxmlformats-officedocument.themeOverride+xml"/>
  <Override PartName="/word/charts/chart94.xml" ContentType="application/vnd.openxmlformats-officedocument.drawingml.chart+xml"/>
  <Override PartName="/word/charts/style44.xml" ContentType="application/vnd.ms-office.chartstyle+xml"/>
  <Override PartName="/word/charts/colors44.xml" ContentType="application/vnd.ms-office.chartcolorstyle+xml"/>
  <Override PartName="/word/theme/themeOverride82.xml" ContentType="application/vnd.openxmlformats-officedocument.themeOverride+xml"/>
  <Override PartName="/word/charts/chart95.xml" ContentType="application/vnd.openxmlformats-officedocument.drawingml.chart+xml"/>
  <Override PartName="/word/theme/themeOverride83.xml" ContentType="application/vnd.openxmlformats-officedocument.themeOverride+xml"/>
  <Override PartName="/word/charts/chart96.xml" ContentType="application/vnd.openxmlformats-officedocument.drawingml.chart+xml"/>
  <Override PartName="/word/charts/style45.xml" ContentType="application/vnd.ms-office.chartstyle+xml"/>
  <Override PartName="/word/charts/colors45.xml" ContentType="application/vnd.ms-office.chartcolorstyle+xml"/>
  <Override PartName="/word/theme/themeOverride84.xml" ContentType="application/vnd.openxmlformats-officedocument.themeOverride+xml"/>
  <Override PartName="/word/charts/chart97.xml" ContentType="application/vnd.openxmlformats-officedocument.drawingml.chart+xml"/>
  <Override PartName="/word/charts/style46.xml" ContentType="application/vnd.ms-office.chartstyle+xml"/>
  <Override PartName="/word/charts/colors46.xml" ContentType="application/vnd.ms-office.chartcolorstyle+xml"/>
  <Override PartName="/word/theme/themeOverride85.xml" ContentType="application/vnd.openxmlformats-officedocument.themeOverride+xml"/>
  <Override PartName="/word/charts/chart98.xml" ContentType="application/vnd.openxmlformats-officedocument.drawingml.chart+xml"/>
  <Override PartName="/word/charts/style47.xml" ContentType="application/vnd.ms-office.chartstyle+xml"/>
  <Override PartName="/word/charts/colors47.xml" ContentType="application/vnd.ms-office.chartcolorstyle+xml"/>
  <Override PartName="/word/theme/themeOverride86.xml" ContentType="application/vnd.openxmlformats-officedocument.themeOverride+xml"/>
  <Override PartName="/word/charts/chart99.xml" ContentType="application/vnd.openxmlformats-officedocument.drawingml.chart+xml"/>
  <Override PartName="/word/charts/style48.xml" ContentType="application/vnd.ms-office.chartstyle+xml"/>
  <Override PartName="/word/charts/colors48.xml" ContentType="application/vnd.ms-office.chartcolorstyle+xml"/>
  <Override PartName="/word/theme/themeOverride87.xml" ContentType="application/vnd.openxmlformats-officedocument.themeOverride+xml"/>
  <Override PartName="/word/charts/chart100.xml" ContentType="application/vnd.openxmlformats-officedocument.drawingml.chart+xml"/>
  <Override PartName="/word/charts/style49.xml" ContentType="application/vnd.ms-office.chartstyle+xml"/>
  <Override PartName="/word/charts/colors49.xml" ContentType="application/vnd.ms-office.chartcolorstyle+xml"/>
  <Override PartName="/word/theme/themeOverride88.xml" ContentType="application/vnd.openxmlformats-officedocument.themeOverride+xml"/>
  <Override PartName="/word/charts/chart101.xml" ContentType="application/vnd.openxmlformats-officedocument.drawingml.chart+xml"/>
  <Override PartName="/word/charts/style50.xml" ContentType="application/vnd.ms-office.chartstyle+xml"/>
  <Override PartName="/word/charts/colors50.xml" ContentType="application/vnd.ms-office.chartcolorstyle+xml"/>
  <Override PartName="/word/theme/themeOverride89.xml" ContentType="application/vnd.openxmlformats-officedocument.themeOverride+xml"/>
  <Override PartName="/word/charts/chart102.xml" ContentType="application/vnd.openxmlformats-officedocument.drawingml.chart+xml"/>
  <Override PartName="/word/charts/style51.xml" ContentType="application/vnd.ms-office.chartstyle+xml"/>
  <Override PartName="/word/charts/colors51.xml" ContentType="application/vnd.ms-office.chartcolorstyle+xml"/>
  <Override PartName="/word/theme/themeOverride90.xml" ContentType="application/vnd.openxmlformats-officedocument.themeOverride+xml"/>
  <Override PartName="/word/charts/chart103.xml" ContentType="application/vnd.openxmlformats-officedocument.drawingml.chart+xml"/>
  <Override PartName="/word/charts/style52.xml" ContentType="application/vnd.ms-office.chartstyle+xml"/>
  <Override PartName="/word/charts/colors52.xml" ContentType="application/vnd.ms-office.chartcolorstyle+xml"/>
  <Override PartName="/word/theme/themeOverride91.xml" ContentType="application/vnd.openxmlformats-officedocument.themeOverride+xml"/>
  <Override PartName="/word/charts/chart104.xml" ContentType="application/vnd.openxmlformats-officedocument.drawingml.chart+xml"/>
  <Override PartName="/word/theme/themeOverride92.xml" ContentType="application/vnd.openxmlformats-officedocument.themeOverride+xml"/>
  <Override PartName="/word/charts/chart105.xml" ContentType="application/vnd.openxmlformats-officedocument.drawingml.chart+xml"/>
  <Override PartName="/word/charts/style53.xml" ContentType="application/vnd.ms-office.chartstyle+xml"/>
  <Override PartName="/word/charts/colors53.xml" ContentType="application/vnd.ms-office.chartcolorstyle+xml"/>
  <Override PartName="/word/theme/themeOverride93.xml" ContentType="application/vnd.openxmlformats-officedocument.themeOverride+xml"/>
  <Override PartName="/word/charts/chart106.xml" ContentType="application/vnd.openxmlformats-officedocument.drawingml.chart+xml"/>
  <Override PartName="/word/theme/themeOverride94.xml" ContentType="application/vnd.openxmlformats-officedocument.themeOverride+xml"/>
  <Override PartName="/word/charts/chart107.xml" ContentType="application/vnd.openxmlformats-officedocument.drawingml.chart+xml"/>
  <Override PartName="/word/charts/style54.xml" ContentType="application/vnd.ms-office.chartstyle+xml"/>
  <Override PartName="/word/charts/colors54.xml" ContentType="application/vnd.ms-office.chartcolorstyle+xml"/>
  <Override PartName="/word/theme/themeOverride95.xml" ContentType="application/vnd.openxmlformats-officedocument.themeOverride+xml"/>
  <Override PartName="/word/charts/chart108.xml" ContentType="application/vnd.openxmlformats-officedocument.drawingml.chart+xml"/>
  <Override PartName="/word/charts/style55.xml" ContentType="application/vnd.ms-office.chartstyle+xml"/>
  <Override PartName="/word/charts/colors55.xml" ContentType="application/vnd.ms-office.chartcolorstyle+xml"/>
  <Override PartName="/word/theme/themeOverride96.xml" ContentType="application/vnd.openxmlformats-officedocument.themeOverride+xml"/>
  <Override PartName="/word/charts/chart109.xml" ContentType="application/vnd.openxmlformats-officedocument.drawingml.chart+xml"/>
  <Override PartName="/word/charts/style56.xml" ContentType="application/vnd.ms-office.chartstyle+xml"/>
  <Override PartName="/word/charts/colors56.xml" ContentType="application/vnd.ms-office.chartcolorstyle+xml"/>
  <Override PartName="/word/theme/themeOverride97.xml" ContentType="application/vnd.openxmlformats-officedocument.themeOverride+xml"/>
  <Override PartName="/word/charts/chart110.xml" ContentType="application/vnd.openxmlformats-officedocument.drawingml.chart+xml"/>
  <Override PartName="/word/charts/style57.xml" ContentType="application/vnd.ms-office.chartstyle+xml"/>
  <Override PartName="/word/charts/colors57.xml" ContentType="application/vnd.ms-office.chartcolorstyle+xml"/>
  <Override PartName="/word/theme/themeOverride98.xml" ContentType="application/vnd.openxmlformats-officedocument.themeOverride+xml"/>
  <Override PartName="/word/charts/chart111.xml" ContentType="application/vnd.openxmlformats-officedocument.drawingml.chart+xml"/>
  <Override PartName="/word/theme/themeOverride99.xml" ContentType="application/vnd.openxmlformats-officedocument.themeOverride+xml"/>
  <Override PartName="/word/charts/chart112.xml" ContentType="application/vnd.openxmlformats-officedocument.drawingml.chart+xml"/>
  <Override PartName="/word/theme/themeOverride100.xml" ContentType="application/vnd.openxmlformats-officedocument.themeOverride+xml"/>
  <Override PartName="/word/charts/chart113.xml" ContentType="application/vnd.openxmlformats-officedocument.drawingml.chart+xml"/>
  <Override PartName="/word/charts/style58.xml" ContentType="application/vnd.ms-office.chartstyle+xml"/>
  <Override PartName="/word/charts/colors58.xml" ContentType="application/vnd.ms-office.chartcolorstyle+xml"/>
  <Override PartName="/word/charts/chart114.xml" ContentType="application/vnd.openxmlformats-officedocument.drawingml.chart+xml"/>
  <Override PartName="/word/charts/style59.xml" ContentType="application/vnd.ms-office.chartstyle+xml"/>
  <Override PartName="/word/charts/colors59.xml" ContentType="application/vnd.ms-office.chartcolorstyle+xml"/>
  <Override PartName="/word/charts/chart115.xml" ContentType="application/vnd.openxmlformats-officedocument.drawingml.chart+xml"/>
  <Override PartName="/word/charts/chart116.xml" ContentType="application/vnd.openxmlformats-officedocument.drawingml.chart+xml"/>
  <Override PartName="/word/charts/chart117.xml" ContentType="application/vnd.openxmlformats-officedocument.drawingml.chart+xml"/>
  <Override PartName="/word/charts/style60.xml" ContentType="application/vnd.ms-office.chartstyle+xml"/>
  <Override PartName="/word/charts/colors60.xml" ContentType="application/vnd.ms-office.chartcolorstyle+xml"/>
  <Override PartName="/word/theme/themeOverride101.xml" ContentType="application/vnd.openxmlformats-officedocument.themeOverride+xml"/>
  <Override PartName="/word/charts/chart118.xml" ContentType="application/vnd.openxmlformats-officedocument.drawingml.chart+xml"/>
  <Override PartName="/word/theme/themeOverride102.xml" ContentType="application/vnd.openxmlformats-officedocument.themeOverride+xml"/>
  <Override PartName="/word/charts/chart119.xml" ContentType="application/vnd.openxmlformats-officedocument.drawingml.chart+xml"/>
  <Override PartName="/word/theme/themeOverride103.xml" ContentType="application/vnd.openxmlformats-officedocument.themeOverride+xml"/>
  <Override PartName="/word/charts/chart120.xml" ContentType="application/vnd.openxmlformats-officedocument.drawingml.chart+xml"/>
  <Override PartName="/word/charts/style61.xml" ContentType="application/vnd.ms-office.chartstyle+xml"/>
  <Override PartName="/word/charts/colors61.xml" ContentType="application/vnd.ms-office.chartcolorstyle+xml"/>
  <Override PartName="/word/theme/themeOverride104.xml" ContentType="application/vnd.openxmlformats-officedocument.themeOverride+xml"/>
  <Override PartName="/word/charts/chart121.xml" ContentType="application/vnd.openxmlformats-officedocument.drawingml.chart+xml"/>
  <Override PartName="/word/charts/style62.xml" ContentType="application/vnd.ms-office.chartstyle+xml"/>
  <Override PartName="/word/charts/colors62.xml" ContentType="application/vnd.ms-office.chartcolorstyle+xml"/>
  <Override PartName="/word/theme/themeOverride105.xml" ContentType="application/vnd.openxmlformats-officedocument.themeOverride+xml"/>
  <Override PartName="/word/charts/chart122.xml" ContentType="application/vnd.openxmlformats-officedocument.drawingml.chart+xml"/>
  <Override PartName="/word/charts/style63.xml" ContentType="application/vnd.ms-office.chartstyle+xml"/>
  <Override PartName="/word/charts/colors63.xml" ContentType="application/vnd.ms-office.chartcolorstyle+xml"/>
  <Override PartName="/word/theme/themeOverride106.xml" ContentType="application/vnd.openxmlformats-officedocument.themeOverride+xml"/>
  <Override PartName="/word/charts/chart123.xml" ContentType="application/vnd.openxmlformats-officedocument.drawingml.chart+xml"/>
  <Override PartName="/word/charts/style64.xml" ContentType="application/vnd.ms-office.chartstyle+xml"/>
  <Override PartName="/word/charts/colors64.xml" ContentType="application/vnd.ms-office.chartcolorstyle+xml"/>
  <Override PartName="/word/charts/chart124.xml" ContentType="application/vnd.openxmlformats-officedocument.drawingml.chart+xml"/>
  <Override PartName="/word/theme/themeOverride107.xml" ContentType="application/vnd.openxmlformats-officedocument.themeOverride+xml"/>
  <Override PartName="/word/charts/chart125.xml" ContentType="application/vnd.openxmlformats-officedocument.drawingml.chart+xml"/>
  <Override PartName="/word/theme/themeOverride108.xml" ContentType="application/vnd.openxmlformats-officedocument.themeOverride+xml"/>
  <Override PartName="/word/charts/chart126.xml" ContentType="application/vnd.openxmlformats-officedocument.drawingml.chart+xml"/>
  <Override PartName="/word/charts/chart127.xml" ContentType="application/vnd.openxmlformats-officedocument.drawingml.chart+xml"/>
  <Override PartName="/word/theme/themeOverride109.xml" ContentType="application/vnd.openxmlformats-officedocument.themeOverride+xml"/>
  <Override PartName="/word/charts/chart128.xml" ContentType="application/vnd.openxmlformats-officedocument.drawingml.chart+xml"/>
  <Override PartName="/word/theme/themeOverride110.xml" ContentType="application/vnd.openxmlformats-officedocument.themeOverride+xml"/>
  <Override PartName="/word/charts/chart129.xml" ContentType="application/vnd.openxmlformats-officedocument.drawingml.chart+xml"/>
  <Override PartName="/word/theme/themeOverride111.xml" ContentType="application/vnd.openxmlformats-officedocument.themeOverride+xml"/>
  <Override PartName="/word/charts/chart130.xml" ContentType="application/vnd.openxmlformats-officedocument.drawingml.chart+xml"/>
  <Override PartName="/word/theme/themeOverride112.xml" ContentType="application/vnd.openxmlformats-officedocument.themeOverride+xml"/>
  <Override PartName="/word/charts/chart131.xml" ContentType="application/vnd.openxmlformats-officedocument.drawingml.chart+xml"/>
  <Override PartName="/word/charts/style65.xml" ContentType="application/vnd.ms-office.chartstyle+xml"/>
  <Override PartName="/word/charts/colors65.xml" ContentType="application/vnd.ms-office.chartcolorstyle+xml"/>
  <Override PartName="/word/theme/themeOverride113.xml" ContentType="application/vnd.openxmlformats-officedocument.themeOverride+xml"/>
  <Override PartName="/word/charts/chart132.xml" ContentType="application/vnd.openxmlformats-officedocument.drawingml.chart+xml"/>
  <Override PartName="/word/charts/style66.xml" ContentType="application/vnd.ms-office.chartstyle+xml"/>
  <Override PartName="/word/charts/colors66.xml" ContentType="application/vnd.ms-office.chartcolorstyle+xml"/>
  <Override PartName="/word/theme/themeOverride114.xml" ContentType="application/vnd.openxmlformats-officedocument.themeOverride+xml"/>
  <Override PartName="/word/charts/chart133.xml" ContentType="application/vnd.openxmlformats-officedocument.drawingml.chart+xml"/>
  <Override PartName="/word/theme/themeOverride115.xml" ContentType="application/vnd.openxmlformats-officedocument.themeOverride+xml"/>
  <Override PartName="/word/charts/chart134.xml" ContentType="application/vnd.openxmlformats-officedocument.drawingml.chart+xml"/>
  <Override PartName="/word/theme/themeOverride116.xml" ContentType="application/vnd.openxmlformats-officedocument.themeOverride+xml"/>
  <Override PartName="/word/charts/chart135.xml" ContentType="application/vnd.openxmlformats-officedocument.drawingml.chart+xml"/>
  <Override PartName="/word/theme/themeOverride117.xml" ContentType="application/vnd.openxmlformats-officedocument.themeOverride+xml"/>
  <Override PartName="/word/charts/chart136.xml" ContentType="application/vnd.openxmlformats-officedocument.drawingml.chart+xml"/>
  <Override PartName="/word/theme/themeOverride118.xml" ContentType="application/vnd.openxmlformats-officedocument.themeOverride+xml"/>
  <Override PartName="/word/charts/chart137.xml" ContentType="application/vnd.openxmlformats-officedocument.drawingml.chart+xml"/>
  <Override PartName="/word/theme/themeOverride119.xml" ContentType="application/vnd.openxmlformats-officedocument.themeOverride+xml"/>
  <Override PartName="/word/charts/chart138.xml" ContentType="application/vnd.openxmlformats-officedocument.drawingml.chart+xml"/>
  <Override PartName="/word/charts/chart139.xml" ContentType="application/vnd.openxmlformats-officedocument.drawingml.chart+xml"/>
  <Override PartName="/word/charts/chart140.xml" ContentType="application/vnd.openxmlformats-officedocument.drawingml.chart+xml"/>
  <Override PartName="/word/theme/themeOverride120.xml" ContentType="application/vnd.openxmlformats-officedocument.themeOverride+xml"/>
  <Override PartName="/word/charts/chart141.xml" ContentType="application/vnd.openxmlformats-officedocument.drawingml.chart+xml"/>
  <Override PartName="/word/theme/themeOverride121.xml" ContentType="application/vnd.openxmlformats-officedocument.themeOverride+xml"/>
  <Override PartName="/word/charts/chart142.xml" ContentType="application/vnd.openxmlformats-officedocument.drawingml.chart+xml"/>
  <Override PartName="/word/theme/themeOverride122.xml" ContentType="application/vnd.openxmlformats-officedocument.themeOverride+xml"/>
  <Override PartName="/word/charts/chart143.xml" ContentType="application/vnd.openxmlformats-officedocument.drawingml.chart+xml"/>
  <Override PartName="/word/theme/themeOverride123.xml" ContentType="application/vnd.openxmlformats-officedocument.themeOverride+xml"/>
  <Override PartName="/word/charts/chart144.xml" ContentType="application/vnd.openxmlformats-officedocument.drawingml.chart+xml"/>
  <Override PartName="/word/theme/themeOverride124.xml" ContentType="application/vnd.openxmlformats-officedocument.themeOverride+xml"/>
  <Override PartName="/word/charts/chart145.xml" ContentType="application/vnd.openxmlformats-officedocument.drawingml.chart+xml"/>
  <Override PartName="/word/theme/themeOverride125.xml" ContentType="application/vnd.openxmlformats-officedocument.themeOverride+xml"/>
  <Override PartName="/word/charts/chart146.xml" ContentType="application/vnd.openxmlformats-officedocument.drawingml.chart+xml"/>
  <Override PartName="/word/charts/style67.xml" ContentType="application/vnd.ms-office.chartstyle+xml"/>
  <Override PartName="/word/charts/colors67.xml" ContentType="application/vnd.ms-office.chartcolorstyle+xml"/>
  <Override PartName="/word/charts/chart147.xml" ContentType="application/vnd.openxmlformats-officedocument.drawingml.chart+xml"/>
  <Override PartName="/word/charts/style68.xml" ContentType="application/vnd.ms-office.chartstyle+xml"/>
  <Override PartName="/word/charts/colors68.xml" ContentType="application/vnd.ms-office.chartcolorstyle+xml"/>
  <Override PartName="/word/charts/chart148.xml" ContentType="application/vnd.openxmlformats-officedocument.drawingml.chart+xml"/>
  <Override PartName="/word/charts/style69.xml" ContentType="application/vnd.ms-office.chartstyle+xml"/>
  <Override PartName="/word/charts/colors69.xml" ContentType="application/vnd.ms-office.chartcolorstyle+xml"/>
  <Override PartName="/word/charts/chart149.xml" ContentType="application/vnd.openxmlformats-officedocument.drawingml.chart+xml"/>
  <Override PartName="/word/charts/style70.xml" ContentType="application/vnd.ms-office.chartstyle+xml"/>
  <Override PartName="/word/charts/colors70.xml" ContentType="application/vnd.ms-office.chartcolorstyle+xml"/>
  <Override PartName="/word/charts/chart150.xml" ContentType="application/vnd.openxmlformats-officedocument.drawingml.chart+xml"/>
  <Override PartName="/word/charts/style71.xml" ContentType="application/vnd.ms-office.chartstyle+xml"/>
  <Override PartName="/word/charts/colors71.xml" ContentType="application/vnd.ms-office.chartcolorstyle+xml"/>
  <Override PartName="/word/charts/chart151.xml" ContentType="application/vnd.openxmlformats-officedocument.drawingml.chart+xml"/>
  <Override PartName="/word/charts/style72.xml" ContentType="application/vnd.ms-office.chartstyle+xml"/>
  <Override PartName="/word/charts/colors72.xml" ContentType="application/vnd.ms-office.chartcolorstyle+xml"/>
  <Override PartName="/word/charts/chart152.xml" ContentType="application/vnd.openxmlformats-officedocument.drawingml.chart+xml"/>
  <Override PartName="/word/charts/style73.xml" ContentType="application/vnd.ms-office.chartstyle+xml"/>
  <Override PartName="/word/charts/colors73.xml" ContentType="application/vnd.ms-office.chartcolorstyle+xml"/>
  <Override PartName="/word/charts/chart153.xml" ContentType="application/vnd.openxmlformats-officedocument.drawingml.chart+xml"/>
  <Override PartName="/word/charts/style74.xml" ContentType="application/vnd.ms-office.chartstyle+xml"/>
  <Override PartName="/word/charts/colors74.xml" ContentType="application/vnd.ms-office.chartcolorstyle+xml"/>
  <Override PartName="/word/charts/chart154.xml" ContentType="application/vnd.openxmlformats-officedocument.drawingml.chart+xml"/>
  <Override PartName="/word/charts/style75.xml" ContentType="application/vnd.ms-office.chartstyle+xml"/>
  <Override PartName="/word/charts/colors75.xml" ContentType="application/vnd.ms-office.chartcolorstyle+xml"/>
  <Override PartName="/word/theme/themeOverride126.xml" ContentType="application/vnd.openxmlformats-officedocument.themeOverride+xml"/>
  <Override PartName="/word/charts/chart155.xml" ContentType="application/vnd.openxmlformats-officedocument.drawingml.chart+xml"/>
  <Override PartName="/word/charts/style76.xml" ContentType="application/vnd.ms-office.chartstyle+xml"/>
  <Override PartName="/word/charts/colors76.xml" ContentType="application/vnd.ms-office.chartcolorstyle+xml"/>
  <Override PartName="/word/theme/themeOverride127.xml" ContentType="application/vnd.openxmlformats-officedocument.themeOverride+xml"/>
  <Override PartName="/word/charts/chart156.xml" ContentType="application/vnd.openxmlformats-officedocument.drawingml.chart+xml"/>
  <Override PartName="/word/theme/themeOverride128.xml" ContentType="application/vnd.openxmlformats-officedocument.themeOverride+xml"/>
  <Override PartName="/word/charts/chart157.xml" ContentType="application/vnd.openxmlformats-officedocument.drawingml.chart+xml"/>
  <Override PartName="/word/charts/style77.xml" ContentType="application/vnd.ms-office.chartstyle+xml"/>
  <Override PartName="/word/charts/colors77.xml" ContentType="application/vnd.ms-office.chartcolorstyle+xml"/>
  <Override PartName="/word/charts/chart158.xml" ContentType="application/vnd.openxmlformats-officedocument.drawingml.chart+xml"/>
  <Override PartName="/word/charts/style78.xml" ContentType="application/vnd.ms-office.chartstyle+xml"/>
  <Override PartName="/word/charts/colors78.xml" ContentType="application/vnd.ms-office.chartcolorstyle+xml"/>
  <Override PartName="/word/theme/themeOverride129.xml" ContentType="application/vnd.openxmlformats-officedocument.themeOverride+xml"/>
  <Override PartName="/word/charts/chart159.xml" ContentType="application/vnd.openxmlformats-officedocument.drawingml.chart+xml"/>
  <Override PartName="/word/charts/style79.xml" ContentType="application/vnd.ms-office.chartstyle+xml"/>
  <Override PartName="/word/charts/colors79.xml" ContentType="application/vnd.ms-office.chartcolorstyle+xml"/>
  <Override PartName="/word/charts/chart160.xml" ContentType="application/vnd.openxmlformats-officedocument.drawingml.chart+xml"/>
  <Override PartName="/word/charts/style80.xml" ContentType="application/vnd.ms-office.chartstyle+xml"/>
  <Override PartName="/word/charts/colors80.xml" ContentType="application/vnd.ms-office.chartcolorstyle+xml"/>
  <Override PartName="/word/theme/themeOverride130.xml" ContentType="application/vnd.openxmlformats-officedocument.themeOverride+xml"/>
  <Override PartName="/word/charts/chart161.xml" ContentType="application/vnd.openxmlformats-officedocument.drawingml.chart+xml"/>
  <Override PartName="/word/charts/style81.xml" ContentType="application/vnd.ms-office.chartstyle+xml"/>
  <Override PartName="/word/charts/colors81.xml" ContentType="application/vnd.ms-office.chartcolorstyle+xml"/>
  <Override PartName="/word/theme/themeOverride131.xml" ContentType="application/vnd.openxmlformats-officedocument.themeOverride+xml"/>
  <Override PartName="/word/charts/chart162.xml" ContentType="application/vnd.openxmlformats-officedocument.drawingml.chart+xml"/>
  <Override PartName="/word/charts/style82.xml" ContentType="application/vnd.ms-office.chartstyle+xml"/>
  <Override PartName="/word/charts/colors82.xml" ContentType="application/vnd.ms-office.chartcolorstyle+xml"/>
  <Override PartName="/word/theme/themeOverride132.xml" ContentType="application/vnd.openxmlformats-officedocument.themeOverride+xml"/>
  <Override PartName="/word/charts/chart163.xml" ContentType="application/vnd.openxmlformats-officedocument.drawingml.chart+xml"/>
  <Override PartName="/word/charts/style83.xml" ContentType="application/vnd.ms-office.chartstyle+xml"/>
  <Override PartName="/word/charts/colors83.xml" ContentType="application/vnd.ms-office.chartcolorstyle+xml"/>
  <Override PartName="/word/charts/chart164.xml" ContentType="application/vnd.openxmlformats-officedocument.drawingml.chart+xml"/>
  <Override PartName="/word/charts/style84.xml" ContentType="application/vnd.ms-office.chartstyle+xml"/>
  <Override PartName="/word/charts/colors84.xml" ContentType="application/vnd.ms-office.chartcolorstyle+xml"/>
  <Override PartName="/word/theme/themeOverride133.xml" ContentType="application/vnd.openxmlformats-officedocument.themeOverride+xml"/>
  <Override PartName="/word/charts/chart165.xml" ContentType="application/vnd.openxmlformats-officedocument.drawingml.chart+xml"/>
  <Override PartName="/word/charts/style85.xml" ContentType="application/vnd.ms-office.chartstyle+xml"/>
  <Override PartName="/word/charts/colors85.xml" ContentType="application/vnd.ms-office.chartcolorstyle+xml"/>
  <Override PartName="/word/theme/themeOverride134.xml" ContentType="application/vnd.openxmlformats-officedocument.themeOverride+xml"/>
  <Override PartName="/word/charts/chart166.xml" ContentType="application/vnd.openxmlformats-officedocument.drawingml.chart+xml"/>
  <Override PartName="/word/charts/style86.xml" ContentType="application/vnd.ms-office.chartstyle+xml"/>
  <Override PartName="/word/charts/colors86.xml" ContentType="application/vnd.ms-office.chartcolorstyle+xml"/>
  <Override PartName="/word/theme/themeOverride135.xml" ContentType="application/vnd.openxmlformats-officedocument.themeOverride+xml"/>
  <Override PartName="/word/charts/chart167.xml" ContentType="application/vnd.openxmlformats-officedocument.drawingml.chart+xml"/>
  <Override PartName="/word/theme/themeOverride136.xml" ContentType="application/vnd.openxmlformats-officedocument.themeOverride+xml"/>
  <Override PartName="/word/charts/chart168.xml" ContentType="application/vnd.openxmlformats-officedocument.drawingml.chart+xml"/>
  <Override PartName="/word/theme/themeOverride137.xml" ContentType="application/vnd.openxmlformats-officedocument.themeOverride+xml"/>
  <Override PartName="/word/charts/chart169.xml" ContentType="application/vnd.openxmlformats-officedocument.drawingml.chart+xml"/>
  <Override PartName="/word/charts/style87.xml" ContentType="application/vnd.ms-office.chartstyle+xml"/>
  <Override PartName="/word/charts/colors87.xml" ContentType="application/vnd.ms-office.chartcolorstyle+xml"/>
  <Override PartName="/word/charts/chart170.xml" ContentType="application/vnd.openxmlformats-officedocument.drawingml.chart+xml"/>
  <Override PartName="/word/charts/style88.xml" ContentType="application/vnd.ms-office.chartstyle+xml"/>
  <Override PartName="/word/charts/colors88.xml" ContentType="application/vnd.ms-office.chartcolorstyle+xml"/>
  <Override PartName="/word/theme/themeOverride138.xml" ContentType="application/vnd.openxmlformats-officedocument.themeOverride+xml"/>
  <Override PartName="/word/charts/chart171.xml" ContentType="application/vnd.openxmlformats-officedocument.drawingml.chart+xml"/>
  <Override PartName="/word/charts/style89.xml" ContentType="application/vnd.ms-office.chartstyle+xml"/>
  <Override PartName="/word/charts/colors89.xml" ContentType="application/vnd.ms-office.chartcolorstyle+xml"/>
  <Override PartName="/word/theme/themeOverride139.xml" ContentType="application/vnd.openxmlformats-officedocument.themeOverride+xml"/>
  <Override PartName="/word/charts/chart172.xml" ContentType="application/vnd.openxmlformats-officedocument.drawingml.chart+xml"/>
  <Override PartName="/word/theme/themeOverride140.xml" ContentType="application/vnd.openxmlformats-officedocument.themeOverride+xml"/>
  <Override PartName="/word/charts/chart173.xml" ContentType="application/vnd.openxmlformats-officedocument.drawingml.chart+xml"/>
  <Override PartName="/word/theme/themeOverride141.xml" ContentType="application/vnd.openxmlformats-officedocument.themeOverride+xml"/>
  <Override PartName="/word/charts/chart174.xml" ContentType="application/vnd.openxmlformats-officedocument.drawingml.chart+xml"/>
  <Override PartName="/word/theme/themeOverride142.xml" ContentType="application/vnd.openxmlformats-officedocument.themeOverride+xml"/>
  <Override PartName="/word/charts/chart175.xml" ContentType="application/vnd.openxmlformats-officedocument.drawingml.chart+xml"/>
  <Override PartName="/word/theme/themeOverride143.xml" ContentType="application/vnd.openxmlformats-officedocument.themeOverride+xml"/>
  <Override PartName="/word/charts/chart176.xml" ContentType="application/vnd.openxmlformats-officedocument.drawingml.chart+xml"/>
  <Override PartName="/word/theme/themeOverride144.xml" ContentType="application/vnd.openxmlformats-officedocument.themeOverride+xml"/>
  <Override PartName="/word/charts/chart177.xml" ContentType="application/vnd.openxmlformats-officedocument.drawingml.chart+xml"/>
  <Override PartName="/word/theme/themeOverride145.xml" ContentType="application/vnd.openxmlformats-officedocument.themeOverride+xml"/>
  <Override PartName="/word/charts/chart178.xml" ContentType="application/vnd.openxmlformats-officedocument.drawingml.chart+xml"/>
  <Override PartName="/word/theme/themeOverride146.xml" ContentType="application/vnd.openxmlformats-officedocument.themeOverride+xml"/>
  <Override PartName="/word/charts/chart179.xml" ContentType="application/vnd.openxmlformats-officedocument.drawingml.chart+xml"/>
  <Override PartName="/word/charts/chart180.xml" ContentType="application/vnd.openxmlformats-officedocument.drawingml.chart+xml"/>
  <Override PartName="/word/charts/chart181.xml" ContentType="application/vnd.openxmlformats-officedocument.drawingml.chart+xml"/>
  <Override PartName="/word/theme/themeOverride147.xml" ContentType="application/vnd.openxmlformats-officedocument.themeOverride+xml"/>
  <Override PartName="/word/charts/chart182.xml" ContentType="application/vnd.openxmlformats-officedocument.drawingml.chart+xml"/>
  <Override PartName="/word/theme/themeOverride148.xml" ContentType="application/vnd.openxmlformats-officedocument.themeOverride+xml"/>
  <Override PartName="/word/charts/chart183.xml" ContentType="application/vnd.openxmlformats-officedocument.drawingml.chart+xml"/>
  <Override PartName="/word/theme/themeOverride149.xml" ContentType="application/vnd.openxmlformats-officedocument.themeOverride+xml"/>
  <Override PartName="/word/charts/chart184.xml" ContentType="application/vnd.openxmlformats-officedocument.drawingml.chart+xml"/>
  <Override PartName="/word/theme/themeOverride150.xml" ContentType="application/vnd.openxmlformats-officedocument.themeOverride+xml"/>
  <Override PartName="/word/charts/chart185.xml" ContentType="application/vnd.openxmlformats-officedocument.drawingml.chart+xml"/>
  <Override PartName="/word/charts/chart186.xml" ContentType="application/vnd.openxmlformats-officedocument.drawingml.chart+xml"/>
  <Override PartName="/word/charts/style90.xml" ContentType="application/vnd.ms-office.chartstyle+xml"/>
  <Override PartName="/word/charts/colors90.xml" ContentType="application/vnd.ms-office.chartcolorstyle+xml"/>
  <Override PartName="/word/charts/chart187.xml" ContentType="application/vnd.openxmlformats-officedocument.drawingml.chart+xml"/>
  <Override PartName="/word/charts/style91.xml" ContentType="application/vnd.ms-office.chartstyle+xml"/>
  <Override PartName="/word/charts/colors91.xml" ContentType="application/vnd.ms-office.chartcolorstyle+xml"/>
  <Override PartName="/word/charts/chart188.xml" ContentType="application/vnd.openxmlformats-officedocument.drawingml.chart+xml"/>
  <Override PartName="/word/charts/style92.xml" ContentType="application/vnd.ms-office.chartstyle+xml"/>
  <Override PartName="/word/charts/colors92.xml" ContentType="application/vnd.ms-office.chartcolorstyle+xml"/>
  <Override PartName="/word/theme/themeOverride151.xml" ContentType="application/vnd.openxmlformats-officedocument.themeOverride+xml"/>
  <Override PartName="/word/charts/chart189.xml" ContentType="application/vnd.openxmlformats-officedocument.drawingml.chart+xml"/>
  <Override PartName="/word/charts/style93.xml" ContentType="application/vnd.ms-office.chartstyle+xml"/>
  <Override PartName="/word/charts/colors93.xml" ContentType="application/vnd.ms-office.chartcolorstyle+xml"/>
  <Override PartName="/word/theme/themeOverride152.xml" ContentType="application/vnd.openxmlformats-officedocument.themeOverride+xml"/>
  <Override PartName="/word/charts/chart190.xml" ContentType="application/vnd.openxmlformats-officedocument.drawingml.chart+xml"/>
  <Override PartName="/word/charts/style94.xml" ContentType="application/vnd.ms-office.chartstyle+xml"/>
  <Override PartName="/word/charts/colors94.xml" ContentType="application/vnd.ms-office.chartcolorstyle+xml"/>
  <Override PartName="/word/charts/chart191.xml" ContentType="application/vnd.openxmlformats-officedocument.drawingml.chart+xml"/>
  <Override PartName="/word/charts/style95.xml" ContentType="application/vnd.ms-office.chartstyle+xml"/>
  <Override PartName="/word/charts/colors95.xml" ContentType="application/vnd.ms-office.chartcolorstyle+xml"/>
  <Override PartName="/word/charts/chart192.xml" ContentType="application/vnd.openxmlformats-officedocument.drawingml.chart+xml"/>
  <Override PartName="/word/charts/style96.xml" ContentType="application/vnd.ms-office.chartstyle+xml"/>
  <Override PartName="/word/charts/colors96.xml" ContentType="application/vnd.ms-office.chartcolorstyle+xml"/>
  <Override PartName="/word/charts/chart193.xml" ContentType="application/vnd.openxmlformats-officedocument.drawingml.chart+xml"/>
  <Override PartName="/word/charts/style97.xml" ContentType="application/vnd.ms-office.chartstyle+xml"/>
  <Override PartName="/word/charts/colors97.xml" ContentType="application/vnd.ms-office.chartcolorstyle+xml"/>
  <Override PartName="/word/charts/chart194.xml" ContentType="application/vnd.openxmlformats-officedocument.drawingml.chart+xml"/>
  <Override PartName="/word/charts/style98.xml" ContentType="application/vnd.ms-office.chartstyle+xml"/>
  <Override PartName="/word/charts/colors98.xml" ContentType="application/vnd.ms-office.chartcolorstyle+xml"/>
  <Override PartName="/word/charts/chart195.xml" ContentType="application/vnd.openxmlformats-officedocument.drawingml.chart+xml"/>
  <Override PartName="/word/charts/chart196.xml" ContentType="application/vnd.openxmlformats-officedocument.drawingml.chart+xml"/>
  <Override PartName="/word/theme/themeOverride153.xml" ContentType="application/vnd.openxmlformats-officedocument.themeOverride+xml"/>
  <Override PartName="/word/charts/chart197.xml" ContentType="application/vnd.openxmlformats-officedocument.drawingml.chart+xml"/>
  <Override PartName="/word/charts/style99.xml" ContentType="application/vnd.ms-office.chartstyle+xml"/>
  <Override PartName="/word/charts/colors99.xml" ContentType="application/vnd.ms-office.chartcolorstyle+xml"/>
  <Override PartName="/word/charts/chart198.xml" ContentType="application/vnd.openxmlformats-officedocument.drawingml.chart+xml"/>
  <Override PartName="/word/charts/style100.xml" ContentType="application/vnd.ms-office.chartstyle+xml"/>
  <Override PartName="/word/charts/colors100.xml" ContentType="application/vnd.ms-office.chartcolorstyle+xml"/>
  <Override PartName="/word/theme/themeOverride154.xml" ContentType="application/vnd.openxmlformats-officedocument.themeOverride+xml"/>
  <Override PartName="/word/charts/chart199.xml" ContentType="application/vnd.openxmlformats-officedocument.drawingml.chart+xml"/>
  <Override PartName="/word/charts/style101.xml" ContentType="application/vnd.ms-office.chartstyle+xml"/>
  <Override PartName="/word/charts/colors101.xml" ContentType="application/vnd.ms-office.chartcolorstyle+xml"/>
  <Override PartName="/word/theme/themeOverride155.xml" ContentType="application/vnd.openxmlformats-officedocument.themeOverride+xml"/>
  <Override PartName="/word/charts/chart200.xml" ContentType="application/vnd.openxmlformats-officedocument.drawingml.chart+xml"/>
  <Override PartName="/word/charts/style102.xml" ContentType="application/vnd.ms-office.chartstyle+xml"/>
  <Override PartName="/word/charts/colors102.xml" ContentType="application/vnd.ms-office.chartcolorstyle+xml"/>
  <Override PartName="/word/theme/themeOverride156.xml" ContentType="application/vnd.openxmlformats-officedocument.themeOverride+xml"/>
  <Override PartName="/word/charts/chart201.xml" ContentType="application/vnd.openxmlformats-officedocument.drawingml.chart+xml"/>
  <Override PartName="/word/charts/style103.xml" ContentType="application/vnd.ms-office.chartstyle+xml"/>
  <Override PartName="/word/charts/colors103.xml" ContentType="application/vnd.ms-office.chartcolorstyle+xml"/>
  <Override PartName="/word/theme/themeOverride157.xml" ContentType="application/vnd.openxmlformats-officedocument.themeOverride+xml"/>
  <Override PartName="/word/charts/chart202.xml" ContentType="application/vnd.openxmlformats-officedocument.drawingml.chart+xml"/>
  <Override PartName="/word/charts/style104.xml" ContentType="application/vnd.ms-office.chartstyle+xml"/>
  <Override PartName="/word/charts/colors104.xml" ContentType="application/vnd.ms-office.chartcolorstyle+xml"/>
  <Override PartName="/word/charts/chart203.xml" ContentType="application/vnd.openxmlformats-officedocument.drawingml.chart+xml"/>
  <Override PartName="/word/charts/style105.xml" ContentType="application/vnd.ms-office.chartstyle+xml"/>
  <Override PartName="/word/charts/colors105.xml" ContentType="application/vnd.ms-office.chartcolorstyle+xml"/>
  <Override PartName="/word/charts/chart204.xml" ContentType="application/vnd.openxmlformats-officedocument.drawingml.chart+xml"/>
  <Override PartName="/word/charts/style106.xml" ContentType="application/vnd.ms-office.chartstyle+xml"/>
  <Override PartName="/word/charts/colors106.xml" ContentType="application/vnd.ms-office.chartcolorstyle+xml"/>
  <Override PartName="/word/charts/chart205.xml" ContentType="application/vnd.openxmlformats-officedocument.drawingml.chart+xml"/>
  <Override PartName="/word/charts/style107.xml" ContentType="application/vnd.ms-office.chartstyle+xml"/>
  <Override PartName="/word/charts/colors107.xml" ContentType="application/vnd.ms-office.chartcolorstyle+xml"/>
  <Override PartName="/word/charts/chart206.xml" ContentType="application/vnd.openxmlformats-officedocument.drawingml.chart+xml"/>
  <Override PartName="/word/charts/style108.xml" ContentType="application/vnd.ms-office.chartstyle+xml"/>
  <Override PartName="/word/charts/colors108.xml" ContentType="application/vnd.ms-office.chartcolorstyle+xml"/>
  <Override PartName="/word/charts/chart207.xml" ContentType="application/vnd.openxmlformats-officedocument.drawingml.chart+xml"/>
  <Override PartName="/word/charts/style109.xml" ContentType="application/vnd.ms-office.chartstyle+xml"/>
  <Override PartName="/word/charts/colors109.xml" ContentType="application/vnd.ms-office.chartcolorstyle+xml"/>
  <Override PartName="/word/charts/chart208.xml" ContentType="application/vnd.openxmlformats-officedocument.drawingml.chart+xml"/>
  <Override PartName="/word/charts/style110.xml" ContentType="application/vnd.ms-office.chartstyle+xml"/>
  <Override PartName="/word/charts/colors110.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0926771" w14:textId="77777777" w:rsidR="007E5465" w:rsidRDefault="007E5465" w:rsidP="00997AC5">
      <w:pPr>
        <w:spacing w:line="240" w:lineRule="auto"/>
        <w:ind w:left="-1440" w:right="-1328" w:firstLine="22"/>
        <w:contextualSpacing w:val="0"/>
        <w:jc w:val="left"/>
      </w:pPr>
      <w:r>
        <w:rPr>
          <w:noProof/>
        </w:rPr>
        <w:drawing>
          <wp:anchor distT="0" distB="0" distL="114300" distR="114300" simplePos="0" relativeHeight="251837440" behindDoc="1" locked="0" layoutInCell="1" allowOverlap="1" wp14:anchorId="139AA2C3" wp14:editId="02227FE1">
            <wp:simplePos x="0" y="0"/>
            <wp:positionH relativeFrom="column">
              <wp:posOffset>-1086928</wp:posOffset>
            </wp:positionH>
            <wp:positionV relativeFrom="paragraph">
              <wp:posOffset>0</wp:posOffset>
            </wp:positionV>
            <wp:extent cx="7727758" cy="10713720"/>
            <wp:effectExtent l="0" t="0" r="0" b="5080"/>
            <wp:wrapTight wrapText="bothSides">
              <wp:wrapPolygon edited="0">
                <wp:start x="0" y="0"/>
                <wp:lineTo x="0" y="21585"/>
                <wp:lineTo x="21549" y="21585"/>
                <wp:lineTo x="21549" y="0"/>
                <wp:lineTo x="0" y="0"/>
              </wp:wrapPolygon>
            </wp:wrapTight>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BOOK_COVER.jpg"/>
                    <pic:cNvPicPr/>
                  </pic:nvPicPr>
                  <pic:blipFill rotWithShape="1">
                    <a:blip r:embed="rId8" cstate="print">
                      <a:extLst>
                        <a:ext uri="{28A0092B-C50C-407E-A947-70E740481C1C}">
                          <a14:useLocalDpi xmlns:a14="http://schemas.microsoft.com/office/drawing/2010/main" val="0"/>
                        </a:ext>
                      </a:extLst>
                    </a:blip>
                    <a:srcRect l="51810"/>
                    <a:stretch/>
                  </pic:blipFill>
                  <pic:spPr bwMode="auto">
                    <a:xfrm>
                      <a:off x="0" y="0"/>
                      <a:ext cx="7727758" cy="10713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B4F536" w14:textId="77777777" w:rsidR="00997AC5" w:rsidRDefault="00997AC5">
      <w:pPr>
        <w:spacing w:line="240" w:lineRule="auto"/>
        <w:contextualSpacing w:val="0"/>
        <w:jc w:val="left"/>
        <w:sectPr w:rsidR="00997AC5" w:rsidSect="00997AC5">
          <w:footerReference w:type="default" r:id="rId9"/>
          <w:type w:val="nextColumn"/>
          <w:pgSz w:w="11900" w:h="16840" w:code="9"/>
          <w:pgMar w:top="0" w:right="0" w:bottom="0" w:left="1440" w:header="709" w:footer="709" w:gutter="0"/>
          <w:pgNumType w:fmt="lowerRoman" w:start="1"/>
          <w:cols w:space="720"/>
          <w:docGrid w:linePitch="360"/>
        </w:sectPr>
      </w:pPr>
    </w:p>
    <w:p w14:paraId="4FEF4B00" w14:textId="48F0436E" w:rsidR="006F6129" w:rsidRPr="006B42D6" w:rsidRDefault="0057581B" w:rsidP="002D57B6">
      <w:r w:rsidRPr="006B42D6">
        <w:rPr>
          <w:noProof/>
        </w:rPr>
        <w:lastRenderedPageBreak/>
        <w:drawing>
          <wp:anchor distT="0" distB="0" distL="114300" distR="114300" simplePos="0" relativeHeight="251531264" behindDoc="1" locked="0" layoutInCell="1" allowOverlap="1" wp14:anchorId="7437BD54" wp14:editId="74490BE2">
            <wp:simplePos x="0" y="0"/>
            <wp:positionH relativeFrom="column">
              <wp:posOffset>2410983</wp:posOffset>
            </wp:positionH>
            <wp:positionV relativeFrom="page">
              <wp:posOffset>374650</wp:posOffset>
            </wp:positionV>
            <wp:extent cx="1040765" cy="1031240"/>
            <wp:effectExtent l="0" t="0" r="635" b="0"/>
            <wp:wrapTight wrapText="bothSides">
              <wp:wrapPolygon edited="0">
                <wp:start x="9489" y="0"/>
                <wp:lineTo x="4744" y="1330"/>
                <wp:lineTo x="1845" y="2926"/>
                <wp:lineTo x="527" y="9310"/>
                <wp:lineTo x="0" y="18621"/>
                <wp:lineTo x="791" y="20483"/>
                <wp:lineTo x="5799" y="21281"/>
                <wp:lineTo x="13442" y="21281"/>
                <wp:lineTo x="18187" y="20749"/>
                <wp:lineTo x="21350" y="19419"/>
                <wp:lineTo x="21086" y="8778"/>
                <wp:lineTo x="19768" y="3192"/>
                <wp:lineTo x="15287" y="1064"/>
                <wp:lineTo x="10543" y="0"/>
                <wp:lineTo x="9489" y="0"/>
              </wp:wrapPolygon>
            </wp:wrapTight>
            <wp:docPr id="277" name="Picture 9" descr="C__DOCUME~1_AHMEDM~1_Desktop_TANZAN~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__DOCUME~1_AHMEDM~1_Desktop_TANZAN~1[1]"/>
                    <pic:cNvPicPr>
                      <a:picLocks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40765" cy="1031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0F5028" w14:textId="0ACF2CA4" w:rsidR="006F6129" w:rsidRPr="006B42D6" w:rsidRDefault="006F6129" w:rsidP="000872A9">
      <w:pPr>
        <w:tabs>
          <w:tab w:val="left" w:pos="1657"/>
          <w:tab w:val="center" w:pos="4513"/>
          <w:tab w:val="left" w:pos="7640"/>
        </w:tabs>
        <w:jc w:val="center"/>
        <w:rPr>
          <w:b/>
          <w:sz w:val="20"/>
          <w:szCs w:val="20"/>
        </w:rPr>
      </w:pPr>
    </w:p>
    <w:p w14:paraId="4FEFAF5B" w14:textId="77777777" w:rsidR="00582E6D" w:rsidRDefault="00582E6D" w:rsidP="000872A9">
      <w:pPr>
        <w:tabs>
          <w:tab w:val="left" w:pos="1657"/>
          <w:tab w:val="center" w:pos="4513"/>
          <w:tab w:val="left" w:pos="7640"/>
        </w:tabs>
        <w:jc w:val="center"/>
        <w:rPr>
          <w:noProof/>
        </w:rPr>
      </w:pPr>
    </w:p>
    <w:p w14:paraId="3E39A3CF" w14:textId="1D16F886" w:rsidR="006F6129" w:rsidRPr="006B42D6" w:rsidRDefault="006F6129" w:rsidP="000872A9">
      <w:pPr>
        <w:tabs>
          <w:tab w:val="left" w:pos="1657"/>
          <w:tab w:val="center" w:pos="4513"/>
          <w:tab w:val="left" w:pos="7640"/>
        </w:tabs>
        <w:jc w:val="center"/>
        <w:rPr>
          <w:i/>
          <w:sz w:val="16"/>
          <w:szCs w:val="16"/>
        </w:rPr>
      </w:pPr>
      <w:r w:rsidRPr="006B42D6">
        <w:rPr>
          <w:b/>
          <w:sz w:val="20"/>
          <w:szCs w:val="20"/>
        </w:rPr>
        <w:t>The United Republic of Tanzania</w:t>
      </w:r>
    </w:p>
    <w:p w14:paraId="444DFF09" w14:textId="77777777" w:rsidR="006F6129" w:rsidRPr="006B42D6" w:rsidRDefault="006F6129" w:rsidP="000872A9">
      <w:pPr>
        <w:jc w:val="center"/>
        <w:rPr>
          <w:b/>
          <w:sz w:val="40"/>
          <w:szCs w:val="40"/>
        </w:rPr>
      </w:pPr>
    </w:p>
    <w:p w14:paraId="7F3DD701" w14:textId="24777ABF" w:rsidR="006F6129" w:rsidRDefault="006F6129" w:rsidP="000872A9">
      <w:pPr>
        <w:jc w:val="center"/>
        <w:rPr>
          <w:b/>
          <w:sz w:val="40"/>
          <w:szCs w:val="40"/>
        </w:rPr>
      </w:pPr>
    </w:p>
    <w:p w14:paraId="16ACB4E6" w14:textId="77777777" w:rsidR="00415601" w:rsidRPr="006B42D6" w:rsidRDefault="00415601" w:rsidP="000872A9">
      <w:pPr>
        <w:jc w:val="center"/>
        <w:rPr>
          <w:b/>
          <w:sz w:val="40"/>
          <w:szCs w:val="40"/>
        </w:rPr>
      </w:pPr>
    </w:p>
    <w:p w14:paraId="5AA54BB2" w14:textId="3DE56599" w:rsidR="006F6129" w:rsidRPr="00415601" w:rsidRDefault="006F6129" w:rsidP="00415601">
      <w:pPr>
        <w:jc w:val="center"/>
        <w:rPr>
          <w:b/>
          <w:sz w:val="40"/>
          <w:szCs w:val="40"/>
        </w:rPr>
      </w:pPr>
      <w:r w:rsidRPr="006B42D6">
        <w:rPr>
          <w:b/>
          <w:sz w:val="40"/>
          <w:szCs w:val="40"/>
        </w:rPr>
        <w:t>National Sample Census of Agriculture</w:t>
      </w:r>
      <w:r w:rsidR="00D213AA">
        <w:rPr>
          <w:b/>
          <w:sz w:val="40"/>
          <w:szCs w:val="40"/>
        </w:rPr>
        <w:t xml:space="preserve"> </w:t>
      </w:r>
      <w:r w:rsidR="00D213AA" w:rsidRPr="006B42D6">
        <w:rPr>
          <w:b/>
          <w:sz w:val="40"/>
          <w:szCs w:val="40"/>
        </w:rPr>
        <w:t>2019/20</w:t>
      </w:r>
    </w:p>
    <w:p w14:paraId="1255CC54" w14:textId="77777777" w:rsidR="006F6129" w:rsidRPr="006B42D6" w:rsidRDefault="006F6129" w:rsidP="000872A9">
      <w:pPr>
        <w:jc w:val="center"/>
        <w:rPr>
          <w:b/>
          <w:sz w:val="36"/>
          <w:szCs w:val="36"/>
        </w:rPr>
      </w:pPr>
    </w:p>
    <w:p w14:paraId="008C62C6" w14:textId="77777777" w:rsidR="006F6129" w:rsidRPr="006B42D6" w:rsidRDefault="006F6129" w:rsidP="000872A9">
      <w:pPr>
        <w:jc w:val="center"/>
        <w:rPr>
          <w:b/>
          <w:sz w:val="36"/>
          <w:szCs w:val="36"/>
        </w:rPr>
      </w:pPr>
    </w:p>
    <w:p w14:paraId="24B5F882" w14:textId="77777777" w:rsidR="006F6129" w:rsidRPr="006B42D6" w:rsidRDefault="006F6129" w:rsidP="000872A9">
      <w:pPr>
        <w:jc w:val="center"/>
        <w:rPr>
          <w:b/>
          <w:sz w:val="36"/>
          <w:szCs w:val="36"/>
        </w:rPr>
      </w:pPr>
    </w:p>
    <w:p w14:paraId="386A5006" w14:textId="6F560B6B" w:rsidR="00D213AA" w:rsidRPr="006B42D6" w:rsidRDefault="00D213AA" w:rsidP="00D213AA">
      <w:pPr>
        <w:jc w:val="center"/>
        <w:rPr>
          <w:b/>
          <w:sz w:val="36"/>
          <w:szCs w:val="36"/>
        </w:rPr>
      </w:pPr>
      <w:r w:rsidRPr="006B42D6">
        <w:rPr>
          <w:b/>
          <w:sz w:val="36"/>
          <w:szCs w:val="36"/>
        </w:rPr>
        <w:t xml:space="preserve">National </w:t>
      </w:r>
      <w:r w:rsidR="00D64A4C" w:rsidRPr="006B42D6">
        <w:rPr>
          <w:b/>
          <w:sz w:val="36"/>
          <w:szCs w:val="36"/>
        </w:rPr>
        <w:t xml:space="preserve">Report </w:t>
      </w:r>
    </w:p>
    <w:p w14:paraId="73223C57" w14:textId="77777777" w:rsidR="006F6129" w:rsidRPr="006B42D6" w:rsidRDefault="006F6129" w:rsidP="000872A9">
      <w:pPr>
        <w:jc w:val="center"/>
        <w:rPr>
          <w:b/>
          <w:sz w:val="36"/>
          <w:szCs w:val="36"/>
        </w:rPr>
      </w:pPr>
    </w:p>
    <w:p w14:paraId="0371D477" w14:textId="7BF35DDC" w:rsidR="006F6129" w:rsidRPr="006B42D6" w:rsidRDefault="006F6129" w:rsidP="000872A9">
      <w:pPr>
        <w:jc w:val="center"/>
        <w:rPr>
          <w:b/>
          <w:sz w:val="36"/>
          <w:szCs w:val="36"/>
        </w:rPr>
      </w:pPr>
    </w:p>
    <w:p w14:paraId="4264BB6E" w14:textId="3E7B3A1C" w:rsidR="006F6129" w:rsidRPr="006B42D6" w:rsidRDefault="006F6129" w:rsidP="000872A9">
      <w:pPr>
        <w:jc w:val="center"/>
        <w:rPr>
          <w:b/>
          <w:sz w:val="36"/>
          <w:szCs w:val="36"/>
        </w:rPr>
      </w:pPr>
    </w:p>
    <w:p w14:paraId="66928CFB" w14:textId="1F376874" w:rsidR="006F6129" w:rsidRPr="006B42D6" w:rsidRDefault="006F6129" w:rsidP="000872A9">
      <w:pPr>
        <w:jc w:val="center"/>
        <w:rPr>
          <w:b/>
          <w:sz w:val="36"/>
          <w:szCs w:val="36"/>
        </w:rPr>
      </w:pPr>
    </w:p>
    <w:p w14:paraId="2BAEF9DE" w14:textId="3491C01E" w:rsidR="006F6129" w:rsidRDefault="00E72F89" w:rsidP="000872A9">
      <w:pPr>
        <w:jc w:val="center"/>
        <w:rPr>
          <w:b/>
          <w:sz w:val="36"/>
          <w:szCs w:val="36"/>
        </w:rPr>
      </w:pPr>
      <w:r w:rsidRPr="006B42D6">
        <w:rPr>
          <w:b/>
          <w:sz w:val="36"/>
          <w:szCs w:val="36"/>
        </w:rPr>
        <w:t>August</w:t>
      </w:r>
      <w:r w:rsidR="006F6129" w:rsidRPr="006B42D6">
        <w:rPr>
          <w:b/>
          <w:sz w:val="36"/>
          <w:szCs w:val="36"/>
        </w:rPr>
        <w:t xml:space="preserve"> 2021</w:t>
      </w:r>
    </w:p>
    <w:p w14:paraId="18CCBE60" w14:textId="10402271" w:rsidR="00582E6D" w:rsidRPr="006B42D6" w:rsidRDefault="000A0935" w:rsidP="000872A9">
      <w:pPr>
        <w:jc w:val="center"/>
        <w:rPr>
          <w:b/>
          <w:sz w:val="36"/>
          <w:szCs w:val="36"/>
        </w:rPr>
      </w:pPr>
      <w:r w:rsidRPr="003E3F27">
        <w:rPr>
          <w:noProof/>
          <w:color w:val="000000" w:themeColor="text1"/>
        </w:rPr>
        <mc:AlternateContent>
          <mc:Choice Requires="wps">
            <w:drawing>
              <wp:inline distT="0" distB="0" distL="0" distR="0" wp14:anchorId="07761508" wp14:editId="5B78076D">
                <wp:extent cx="5772150" cy="2152650"/>
                <wp:effectExtent l="0" t="0" r="6350" b="6350"/>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2150" cy="2152650"/>
                        </a:xfrm>
                        <a:prstGeom prst="rect">
                          <a:avLst/>
                        </a:prstGeom>
                        <a:solidFill>
                          <a:srgbClr val="FFFFFF"/>
                        </a:solidFill>
                        <a:ln>
                          <a:noFill/>
                        </a:ln>
                        <a:extLst>
                          <a:ext uri="{91240B29-F687-4F45-9708-019B960494DF}">
                            <a14:hiddenLine xmlns:a14="http://schemas.microsoft.com/office/drawing/2010/main" w="0">
                              <a:solidFill>
                                <a:srgbClr val="000000"/>
                              </a:solidFill>
                              <a:miter lim="800000"/>
                              <a:headEnd/>
                              <a:tailEnd/>
                            </a14:hiddenLine>
                          </a:ext>
                        </a:extLst>
                      </wps:spPr>
                      <wps:txbx>
                        <w:txbxContent>
                          <w:p w14:paraId="292BFC1A" w14:textId="77777777" w:rsidR="00933456" w:rsidRDefault="00933456" w:rsidP="000A0935">
                            <w:pPr>
                              <w:jc w:val="center"/>
                              <w:rPr>
                                <w:rFonts w:ascii="Book Antiqua" w:hAnsi="Book Antiqua"/>
                                <w:noProof/>
                              </w:rPr>
                            </w:pPr>
                            <w:r>
                              <w:rPr>
                                <w:rFonts w:ascii="Book Antiqua" w:hAnsi="Book Antiqua"/>
                                <w:noProof/>
                              </w:rPr>
                              <w:drawing>
                                <wp:inline distT="0" distB="0" distL="0" distR="0" wp14:anchorId="45D6F3DC" wp14:editId="62561B15">
                                  <wp:extent cx="904875" cy="933450"/>
                                  <wp:effectExtent l="0" t="0" r="9525" b="0"/>
                                  <wp:docPr id="274" name="Picture 274" descr="N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BS"/>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04875" cy="933450"/>
                                          </a:xfrm>
                                          <a:prstGeom prst="rect">
                                            <a:avLst/>
                                          </a:prstGeom>
                                          <a:noFill/>
                                          <a:ln>
                                            <a:noFill/>
                                          </a:ln>
                                        </pic:spPr>
                                      </pic:pic>
                                    </a:graphicData>
                                  </a:graphic>
                                </wp:inline>
                              </w:drawing>
                            </w:r>
                            <w:r>
                              <w:rPr>
                                <w:rFonts w:ascii="Book Antiqua" w:hAnsi="Book Antiqua"/>
                                <w:noProof/>
                              </w:rPr>
                              <w:t xml:space="preserve">                               </w:t>
                            </w:r>
                            <w:r>
                              <w:rPr>
                                <w:rFonts w:ascii="Book Antiqua" w:hAnsi="Book Antiqua"/>
                                <w:noProof/>
                              </w:rPr>
                              <w:drawing>
                                <wp:inline distT="0" distB="0" distL="0" distR="0" wp14:anchorId="1C59DE81" wp14:editId="3EB9C797">
                                  <wp:extent cx="950614" cy="890022"/>
                                  <wp:effectExtent l="0" t="0" r="1905"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apture WORLB BANK LOG.PNG"/>
                                          <pic:cNvPicPr/>
                                        </pic:nvPicPr>
                                        <pic:blipFill>
                                          <a:blip r:embed="rId12">
                                            <a:extLst>
                                              <a:ext uri="{28A0092B-C50C-407E-A947-70E740481C1C}">
                                                <a14:useLocalDpi xmlns:a14="http://schemas.microsoft.com/office/drawing/2010/main" val="0"/>
                                              </a:ext>
                                            </a:extLst>
                                          </a:blip>
                                          <a:stretch>
                                            <a:fillRect/>
                                          </a:stretch>
                                        </pic:blipFill>
                                        <pic:spPr>
                                          <a:xfrm>
                                            <a:off x="0" y="0"/>
                                            <a:ext cx="972973" cy="910956"/>
                                          </a:xfrm>
                                          <a:prstGeom prst="rect">
                                            <a:avLst/>
                                          </a:prstGeom>
                                        </pic:spPr>
                                      </pic:pic>
                                    </a:graphicData>
                                  </a:graphic>
                                </wp:inline>
                              </w:drawing>
                            </w:r>
                            <w:r>
                              <w:rPr>
                                <w:rFonts w:ascii="Book Antiqua" w:hAnsi="Book Antiqua"/>
                                <w:noProof/>
                              </w:rPr>
                              <w:t xml:space="preserve">                                </w:t>
                            </w:r>
                            <w:r>
                              <w:rPr>
                                <w:noProof/>
                              </w:rPr>
                              <w:drawing>
                                <wp:inline distT="0" distB="0" distL="0" distR="0" wp14:anchorId="782AC5B1" wp14:editId="1BEF0F57">
                                  <wp:extent cx="892810" cy="895350"/>
                                  <wp:effectExtent l="0" t="0" r="2540" b="0"/>
                                  <wp:docPr id="276" name="Picture 5"/>
                                  <wp:cNvGraphicFramePr/>
                                  <a:graphic xmlns:a="http://schemas.openxmlformats.org/drawingml/2006/main">
                                    <a:graphicData uri="http://schemas.openxmlformats.org/drawingml/2006/picture">
                                      <pic:pic xmlns:pic="http://schemas.openxmlformats.org/drawingml/2006/picture">
                                        <pic:nvPicPr>
                                          <pic:cNvPr id="31" name="Picture 5"/>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92810" cy="895350"/>
                                          </a:xfrm>
                                          <a:prstGeom prst="rect">
                                            <a:avLst/>
                                          </a:prstGeom>
                                          <a:noFill/>
                                          <a:ln>
                                            <a:noFill/>
                                          </a:ln>
                                        </pic:spPr>
                                      </pic:pic>
                                    </a:graphicData>
                                  </a:graphic>
                                </wp:inline>
                              </w:drawing>
                            </w:r>
                          </w:p>
                          <w:p w14:paraId="17733688" w14:textId="77777777" w:rsidR="00933456" w:rsidRPr="00261350" w:rsidRDefault="00933456" w:rsidP="000A0935">
                            <w:pPr>
                              <w:spacing w:line="240" w:lineRule="auto"/>
                              <w:jc w:val="center"/>
                              <w:rPr>
                                <w:rFonts w:ascii="Book Antiqua" w:hAnsi="Book Antiqua"/>
                                <w:noProof/>
                                <w:sz w:val="10"/>
                                <w:szCs w:val="10"/>
                              </w:rPr>
                            </w:pPr>
                          </w:p>
                          <w:p w14:paraId="39FFC504" w14:textId="77777777" w:rsidR="00933456" w:rsidRDefault="00933456" w:rsidP="000A0935">
                            <w:pPr>
                              <w:jc w:val="center"/>
                            </w:pPr>
                            <w:r>
                              <w:rPr>
                                <w:noProof/>
                              </w:rPr>
                              <w:drawing>
                                <wp:inline distT="0" distB="0" distL="0" distR="0" wp14:anchorId="3D2C2FC8" wp14:editId="6331E7D1">
                                  <wp:extent cx="1223975" cy="719455"/>
                                  <wp:effectExtent l="0" t="0" r="0" b="4445"/>
                                  <wp:docPr id="278" name="Picture 278" descr="USAID Signs amended Development Objective Cooperation Agreement to support  more participatory, effective and accountable governance | Armenia | U.S.  Agency for International Development"/>
                                  <wp:cNvGraphicFramePr/>
                                  <a:graphic xmlns:a="http://schemas.openxmlformats.org/drawingml/2006/main">
                                    <a:graphicData uri="http://schemas.openxmlformats.org/drawingml/2006/picture">
                                      <pic:pic xmlns:pic="http://schemas.openxmlformats.org/drawingml/2006/picture">
                                        <pic:nvPicPr>
                                          <pic:cNvPr id="28" name="Picture 50" descr="USAID Signs amended Development Objective Cooperation Agreement to support  more participatory, effective and accountable governance | Armenia | U.S.  Agency for International Development"/>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23975" cy="719455"/>
                                          </a:xfrm>
                                          <a:prstGeom prst="rect">
                                            <a:avLst/>
                                          </a:prstGeom>
                                          <a:noFill/>
                                          <a:ln>
                                            <a:noFill/>
                                          </a:ln>
                                        </pic:spPr>
                                      </pic:pic>
                                    </a:graphicData>
                                  </a:graphic>
                                </wp:inline>
                              </w:drawing>
                            </w:r>
                            <w:r>
                              <w:rPr>
                                <w:noProof/>
                                <w:lang w:eastAsia="en-GB"/>
                              </w:rPr>
                              <w:t xml:space="preserve">                </w:t>
                            </w:r>
                            <w:r>
                              <w:rPr>
                                <w:noProof/>
                              </w:rPr>
                              <w:drawing>
                                <wp:inline distT="0" distB="0" distL="0" distR="0" wp14:anchorId="0C9726CE" wp14:editId="1DB85334">
                                  <wp:extent cx="828000" cy="762000"/>
                                  <wp:effectExtent l="0" t="0" r="0" b="0"/>
                                  <wp:docPr id="279" name="Picture 51" descr="EU MEMBER-STATES OPEN BORDERS TO EU CITIZENS AND FOREIGN NATIONALS –  Courteville Business Solutions Plc"/>
                                  <wp:cNvGraphicFramePr/>
                                  <a:graphic xmlns:a="http://schemas.openxmlformats.org/drawingml/2006/main">
                                    <a:graphicData uri="http://schemas.openxmlformats.org/drawingml/2006/picture">
                                      <pic:pic xmlns:pic="http://schemas.openxmlformats.org/drawingml/2006/picture">
                                        <pic:nvPicPr>
                                          <pic:cNvPr id="29" name="Picture 51" descr="EU MEMBER-STATES OPEN BORDERS TO EU CITIZENS AND FOREIGN NATIONALS –  Courteville Business Solutions Plc"/>
                                          <pic:cNvPicPr/>
                                        </pic:nvPicPr>
                                        <pic:blipFill rotWithShape="1">
                                          <a:blip r:embed="rId15">
                                            <a:extLst>
                                              <a:ext uri="{28A0092B-C50C-407E-A947-70E740481C1C}">
                                                <a14:useLocalDpi xmlns:a14="http://schemas.microsoft.com/office/drawing/2010/main" val="0"/>
                                              </a:ext>
                                            </a:extLst>
                                          </a:blip>
                                          <a:srcRect l="15833" t="16667" r="12500" b="16667"/>
                                          <a:stretch/>
                                        </pic:blipFill>
                                        <pic:spPr bwMode="auto">
                                          <a:xfrm>
                                            <a:off x="0" y="0"/>
                                            <a:ext cx="828000" cy="76200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GB"/>
                              </w:rPr>
                              <w:t xml:space="preserve">                 </w:t>
                            </w:r>
                            <w:r>
                              <w:rPr>
                                <w:noProof/>
                              </w:rPr>
                              <w:drawing>
                                <wp:inline distT="0" distB="0" distL="0" distR="0" wp14:anchorId="435CA55E" wp14:editId="5440D8D2">
                                  <wp:extent cx="720000" cy="720000"/>
                                  <wp:effectExtent l="0" t="0" r="4445" b="4445"/>
                                  <wp:docPr id="280" name="Picture 52" descr="Call for expressions of interest for FAO-EU project evaluation"/>
                                  <wp:cNvGraphicFramePr/>
                                  <a:graphic xmlns:a="http://schemas.openxmlformats.org/drawingml/2006/main">
                                    <a:graphicData uri="http://schemas.openxmlformats.org/drawingml/2006/picture">
                                      <pic:pic xmlns:pic="http://schemas.openxmlformats.org/drawingml/2006/picture">
                                        <pic:nvPicPr>
                                          <pic:cNvPr id="47" name="Picture 52" descr="Call for expressions of interest for FAO-EU project evaluation"/>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r>
                              <w:rPr>
                                <w:noProof/>
                                <w:lang w:eastAsia="en-GB"/>
                              </w:rPr>
                              <w:t xml:space="preserve">                </w:t>
                            </w:r>
                            <w:r>
                              <w:rPr>
                                <w:noProof/>
                              </w:rPr>
                              <w:drawing>
                                <wp:inline distT="0" distB="0" distL="0" distR="0" wp14:anchorId="56CAC9AD" wp14:editId="3CA7E670">
                                  <wp:extent cx="900000" cy="540000"/>
                                  <wp:effectExtent l="0" t="0" r="0" b="0"/>
                                  <wp:docPr id="281" name="Picture 53" descr="USDA Logo - College of Agriculture and Human Sciences"/>
                                  <wp:cNvGraphicFramePr/>
                                  <a:graphic xmlns:a="http://schemas.openxmlformats.org/drawingml/2006/main">
                                    <a:graphicData uri="http://schemas.openxmlformats.org/drawingml/2006/picture">
                                      <pic:pic xmlns:pic="http://schemas.openxmlformats.org/drawingml/2006/picture">
                                        <pic:nvPicPr>
                                          <pic:cNvPr id="30" name="Picture 53" descr="USDA Logo - College of Agriculture and Human Science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00000" cy="5400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inline>
            </w:drawing>
          </mc:Choice>
          <mc:Fallback>
            <w:pict>
              <v:rect w14:anchorId="07761508" id="Rectangle 7" o:spid="_x0000_s1026" style="width:454.5pt;height:16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" stroked="f" strokeweight="0">
                <v:textbox>
                  <w:txbxContent>
                    <w:p w14:paraId="292BFC1A" w14:textId="77777777" w:rsidR="00933456" w:rsidRDefault="00933456" w:rsidP="000A0935">
                      <w:pPr>
                        <w:jc w:val="center"/>
                        <w:rPr>
                          <w:rFonts w:ascii="Book Antiqua" w:hAnsi="Book Antiqua"/>
                          <w:noProof/>
                        </w:rPr>
                      </w:pPr>
                      <w:r>
                        <w:rPr>
                          <w:rFonts w:ascii="Book Antiqua" w:hAnsi="Book Antiqua"/>
                          <w:noProof/>
                        </w:rPr>
                        <w:drawing>
                          <wp:inline distT="0" distB="0" distL="0" distR="0" wp14:anchorId="45D6F3DC" wp14:editId="62561B15">
                            <wp:extent cx="904875" cy="933450"/>
                            <wp:effectExtent l="0" t="0" r="9525" b="0"/>
                            <wp:docPr id="274" name="Picture 274" descr="N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BS"/>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04875" cy="933450"/>
                                    </a:xfrm>
                                    <a:prstGeom prst="rect">
                                      <a:avLst/>
                                    </a:prstGeom>
                                    <a:noFill/>
                                    <a:ln>
                                      <a:noFill/>
                                    </a:ln>
                                  </pic:spPr>
                                </pic:pic>
                              </a:graphicData>
                            </a:graphic>
                          </wp:inline>
                        </w:drawing>
                      </w:r>
                      <w:r>
                        <w:rPr>
                          <w:rFonts w:ascii="Book Antiqua" w:hAnsi="Book Antiqua"/>
                          <w:noProof/>
                        </w:rPr>
                        <w:t xml:space="preserve">                               </w:t>
                      </w:r>
                      <w:r>
                        <w:rPr>
                          <w:rFonts w:ascii="Book Antiqua" w:hAnsi="Book Antiqua"/>
                          <w:noProof/>
                        </w:rPr>
                        <w:drawing>
                          <wp:inline distT="0" distB="0" distL="0" distR="0" wp14:anchorId="1C59DE81" wp14:editId="3EB9C797">
                            <wp:extent cx="950614" cy="890022"/>
                            <wp:effectExtent l="0" t="0" r="1905"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apture WORLB BANK LOG.PNG"/>
                                    <pic:cNvPicPr/>
                                  </pic:nvPicPr>
                                  <pic:blipFill>
                                    <a:blip r:embed="rId19">
                                      <a:extLst>
                                        <a:ext uri="{28A0092B-C50C-407E-A947-70E740481C1C}">
                                          <a14:useLocalDpi xmlns:a14="http://schemas.microsoft.com/office/drawing/2010/main" val="0"/>
                                        </a:ext>
                                      </a:extLst>
                                    </a:blip>
                                    <a:stretch>
                                      <a:fillRect/>
                                    </a:stretch>
                                  </pic:blipFill>
                                  <pic:spPr>
                                    <a:xfrm>
                                      <a:off x="0" y="0"/>
                                      <a:ext cx="972973" cy="910956"/>
                                    </a:xfrm>
                                    <a:prstGeom prst="rect">
                                      <a:avLst/>
                                    </a:prstGeom>
                                  </pic:spPr>
                                </pic:pic>
                              </a:graphicData>
                            </a:graphic>
                          </wp:inline>
                        </w:drawing>
                      </w:r>
                      <w:r>
                        <w:rPr>
                          <w:rFonts w:ascii="Book Antiqua" w:hAnsi="Book Antiqua"/>
                          <w:noProof/>
                        </w:rPr>
                        <w:t xml:space="preserve">                                </w:t>
                      </w:r>
                      <w:r>
                        <w:rPr>
                          <w:noProof/>
                        </w:rPr>
                        <w:drawing>
                          <wp:inline distT="0" distB="0" distL="0" distR="0" wp14:anchorId="782AC5B1" wp14:editId="1BEF0F57">
                            <wp:extent cx="892810" cy="895350"/>
                            <wp:effectExtent l="0" t="0" r="2540" b="0"/>
                            <wp:docPr id="276" name="Picture 5"/>
                            <wp:cNvGraphicFramePr/>
                            <a:graphic xmlns:a="http://schemas.openxmlformats.org/drawingml/2006/main">
                              <a:graphicData uri="http://schemas.openxmlformats.org/drawingml/2006/picture">
                                <pic:pic xmlns:pic="http://schemas.openxmlformats.org/drawingml/2006/picture">
                                  <pic:nvPicPr>
                                    <pic:cNvPr id="31" name="Picture 5"/>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92810" cy="895350"/>
                                    </a:xfrm>
                                    <a:prstGeom prst="rect">
                                      <a:avLst/>
                                    </a:prstGeom>
                                    <a:noFill/>
                                    <a:ln>
                                      <a:noFill/>
                                    </a:ln>
                                  </pic:spPr>
                                </pic:pic>
                              </a:graphicData>
                            </a:graphic>
                          </wp:inline>
                        </w:drawing>
                      </w:r>
                    </w:p>
                    <w:p w14:paraId="17733688" w14:textId="77777777" w:rsidR="00933456" w:rsidRPr="00261350" w:rsidRDefault="00933456" w:rsidP="000A0935">
                      <w:pPr>
                        <w:spacing w:line="240" w:lineRule="auto"/>
                        <w:jc w:val="center"/>
                        <w:rPr>
                          <w:rFonts w:ascii="Book Antiqua" w:hAnsi="Book Antiqua"/>
                          <w:noProof/>
                          <w:sz w:val="10"/>
                          <w:szCs w:val="10"/>
                        </w:rPr>
                      </w:pPr>
                    </w:p>
                    <w:p w14:paraId="39FFC504" w14:textId="77777777" w:rsidR="00933456" w:rsidRDefault="00933456" w:rsidP="000A0935">
                      <w:pPr>
                        <w:jc w:val="center"/>
                      </w:pPr>
                      <w:r>
                        <w:rPr>
                          <w:noProof/>
                        </w:rPr>
                        <w:drawing>
                          <wp:inline distT="0" distB="0" distL="0" distR="0" wp14:anchorId="3D2C2FC8" wp14:editId="6331E7D1">
                            <wp:extent cx="1223975" cy="719455"/>
                            <wp:effectExtent l="0" t="0" r="0" b="4445"/>
                            <wp:docPr id="278" name="Picture 278" descr="USAID Signs amended Development Objective Cooperation Agreement to support  more participatory, effective and accountable governance | Armenia | U.S.  Agency for International Development"/>
                            <wp:cNvGraphicFramePr/>
                            <a:graphic xmlns:a="http://schemas.openxmlformats.org/drawingml/2006/main">
                              <a:graphicData uri="http://schemas.openxmlformats.org/drawingml/2006/picture">
                                <pic:pic xmlns:pic="http://schemas.openxmlformats.org/drawingml/2006/picture">
                                  <pic:nvPicPr>
                                    <pic:cNvPr id="28" name="Picture 50" descr="USAID Signs amended Development Objective Cooperation Agreement to support  more participatory, effective and accountable governance | Armenia | U.S.  Agency for International Development"/>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23975" cy="719455"/>
                                    </a:xfrm>
                                    <a:prstGeom prst="rect">
                                      <a:avLst/>
                                    </a:prstGeom>
                                    <a:noFill/>
                                    <a:ln>
                                      <a:noFill/>
                                    </a:ln>
                                  </pic:spPr>
                                </pic:pic>
                              </a:graphicData>
                            </a:graphic>
                          </wp:inline>
                        </w:drawing>
                      </w:r>
                      <w:r>
                        <w:rPr>
                          <w:noProof/>
                          <w:lang w:eastAsia="en-GB"/>
                        </w:rPr>
                        <w:t xml:space="preserve">                </w:t>
                      </w:r>
                      <w:r>
                        <w:rPr>
                          <w:noProof/>
                        </w:rPr>
                        <w:drawing>
                          <wp:inline distT="0" distB="0" distL="0" distR="0" wp14:anchorId="0C9726CE" wp14:editId="1DB85334">
                            <wp:extent cx="828000" cy="762000"/>
                            <wp:effectExtent l="0" t="0" r="0" b="0"/>
                            <wp:docPr id="279" name="Picture 51" descr="EU MEMBER-STATES OPEN BORDERS TO EU CITIZENS AND FOREIGN NATIONALS –  Courteville Business Solutions Plc"/>
                            <wp:cNvGraphicFramePr/>
                            <a:graphic xmlns:a="http://schemas.openxmlformats.org/drawingml/2006/main">
                              <a:graphicData uri="http://schemas.openxmlformats.org/drawingml/2006/picture">
                                <pic:pic xmlns:pic="http://schemas.openxmlformats.org/drawingml/2006/picture">
                                  <pic:nvPicPr>
                                    <pic:cNvPr id="29" name="Picture 51" descr="EU MEMBER-STATES OPEN BORDERS TO EU CITIZENS AND FOREIGN NATIONALS –  Courteville Business Solutions Plc"/>
                                    <pic:cNvPicPr/>
                                  </pic:nvPicPr>
                                  <pic:blipFill rotWithShape="1">
                                    <a:blip r:embed="rId22">
                                      <a:extLst>
                                        <a:ext uri="{28A0092B-C50C-407E-A947-70E740481C1C}">
                                          <a14:useLocalDpi xmlns:a14="http://schemas.microsoft.com/office/drawing/2010/main" val="0"/>
                                        </a:ext>
                                      </a:extLst>
                                    </a:blip>
                                    <a:srcRect l="15833" t="16667" r="12500" b="16667"/>
                                    <a:stretch/>
                                  </pic:blipFill>
                                  <pic:spPr bwMode="auto">
                                    <a:xfrm>
                                      <a:off x="0" y="0"/>
                                      <a:ext cx="828000" cy="76200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GB"/>
                        </w:rPr>
                        <w:t xml:space="preserve">                 </w:t>
                      </w:r>
                      <w:r>
                        <w:rPr>
                          <w:noProof/>
                        </w:rPr>
                        <w:drawing>
                          <wp:inline distT="0" distB="0" distL="0" distR="0" wp14:anchorId="435CA55E" wp14:editId="5440D8D2">
                            <wp:extent cx="720000" cy="720000"/>
                            <wp:effectExtent l="0" t="0" r="4445" b="4445"/>
                            <wp:docPr id="280" name="Picture 52" descr="Call for expressions of interest for FAO-EU project evaluation"/>
                            <wp:cNvGraphicFramePr/>
                            <a:graphic xmlns:a="http://schemas.openxmlformats.org/drawingml/2006/main">
                              <a:graphicData uri="http://schemas.openxmlformats.org/drawingml/2006/picture">
                                <pic:pic xmlns:pic="http://schemas.openxmlformats.org/drawingml/2006/picture">
                                  <pic:nvPicPr>
                                    <pic:cNvPr id="47" name="Picture 52" descr="Call for expressions of interest for FAO-EU project evaluation"/>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r>
                        <w:rPr>
                          <w:noProof/>
                          <w:lang w:eastAsia="en-GB"/>
                        </w:rPr>
                        <w:t xml:space="preserve">                </w:t>
                      </w:r>
                      <w:r>
                        <w:rPr>
                          <w:noProof/>
                        </w:rPr>
                        <w:drawing>
                          <wp:inline distT="0" distB="0" distL="0" distR="0" wp14:anchorId="56CAC9AD" wp14:editId="3CA7E670">
                            <wp:extent cx="900000" cy="540000"/>
                            <wp:effectExtent l="0" t="0" r="0" b="0"/>
                            <wp:docPr id="281" name="Picture 53" descr="USDA Logo - College of Agriculture and Human Sciences"/>
                            <wp:cNvGraphicFramePr/>
                            <a:graphic xmlns:a="http://schemas.openxmlformats.org/drawingml/2006/main">
                              <a:graphicData uri="http://schemas.openxmlformats.org/drawingml/2006/picture">
                                <pic:pic xmlns:pic="http://schemas.openxmlformats.org/drawingml/2006/picture">
                                  <pic:nvPicPr>
                                    <pic:cNvPr id="30" name="Picture 53" descr="USDA Logo - College of Agriculture and Human Science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00000" cy="540000"/>
                                    </a:xfrm>
                                    <a:prstGeom prst="rect">
                                      <a:avLst/>
                                    </a:prstGeom>
                                    <a:noFill/>
                                    <a:ln>
                                      <a:noFill/>
                                    </a:ln>
                                  </pic:spPr>
                                </pic:pic>
                              </a:graphicData>
                            </a:graphic>
                          </wp:inline>
                        </w:drawing>
                      </w:r>
                    </w:p>
                  </w:txbxContent>
                </v:textbox>
                <w10:anchorlock/>
              </v:rect>
            </w:pict>
          </mc:Fallback>
        </mc:AlternateContent>
      </w:r>
    </w:p>
    <w:p w14:paraId="648C9677" w14:textId="77777777" w:rsidR="006D0A06" w:rsidRDefault="006D0A06" w:rsidP="005C2EFC">
      <w:pPr>
        <w:sectPr w:rsidR="006D0A06" w:rsidSect="00997AC5">
          <w:pgSz w:w="11900" w:h="16840" w:code="9"/>
          <w:pgMar w:top="1440" w:right="1440" w:bottom="1440" w:left="1440" w:header="709" w:footer="709" w:gutter="0"/>
          <w:pgNumType w:fmt="lowerRoman" w:start="1"/>
          <w:cols w:space="720"/>
          <w:docGrid w:linePitch="360"/>
        </w:sectPr>
      </w:pPr>
    </w:p>
    <w:p w14:paraId="60080EA7" w14:textId="77777777" w:rsidR="006D0A06" w:rsidRDefault="006D0A06" w:rsidP="005C2EFC"/>
    <w:p w14:paraId="65B414E5" w14:textId="77777777" w:rsidR="00582E6D" w:rsidRDefault="00582E6D" w:rsidP="005C2EFC"/>
    <w:p w14:paraId="36D99F23" w14:textId="77777777" w:rsidR="00582E6D" w:rsidRDefault="00582E6D" w:rsidP="005C2EFC"/>
    <w:p w14:paraId="7AB6DD13" w14:textId="77777777" w:rsidR="00582E6D" w:rsidRDefault="00582E6D" w:rsidP="005C2EFC"/>
    <w:p w14:paraId="096604BB" w14:textId="77777777" w:rsidR="00582E6D" w:rsidRDefault="00582E6D" w:rsidP="005C2EFC"/>
    <w:p w14:paraId="34C96B88" w14:textId="77777777" w:rsidR="00582E6D" w:rsidRDefault="00582E6D" w:rsidP="005C2EFC"/>
    <w:p w14:paraId="5C29416F" w14:textId="77777777" w:rsidR="00582E6D" w:rsidRDefault="00582E6D" w:rsidP="005C2EFC"/>
    <w:p w14:paraId="27164079" w14:textId="77777777" w:rsidR="00582E6D" w:rsidRDefault="00582E6D" w:rsidP="005C2EFC"/>
    <w:p w14:paraId="6972D4CB" w14:textId="77777777" w:rsidR="00582E6D" w:rsidRDefault="00582E6D" w:rsidP="005C2EFC"/>
    <w:p w14:paraId="25276142" w14:textId="77777777" w:rsidR="00582E6D" w:rsidRDefault="00582E6D" w:rsidP="005C2EFC"/>
    <w:p w14:paraId="6EBD4457" w14:textId="77777777" w:rsidR="00582E6D" w:rsidRDefault="00582E6D" w:rsidP="005C2EFC"/>
    <w:p w14:paraId="365EB2A5" w14:textId="77777777" w:rsidR="00582E6D" w:rsidRDefault="00582E6D" w:rsidP="005C2EFC"/>
    <w:p w14:paraId="6F4522EB" w14:textId="77777777" w:rsidR="00582E6D" w:rsidRDefault="00582E6D" w:rsidP="005C2EFC"/>
    <w:p w14:paraId="666F65F6" w14:textId="77777777" w:rsidR="00582E6D" w:rsidRDefault="00582E6D" w:rsidP="005C2EFC"/>
    <w:p w14:paraId="66C2437B" w14:textId="77777777" w:rsidR="00582E6D" w:rsidRDefault="00582E6D" w:rsidP="005C2EFC"/>
    <w:p w14:paraId="32763A7B" w14:textId="77777777" w:rsidR="00582E6D" w:rsidRDefault="00582E6D" w:rsidP="005C2EFC"/>
    <w:p w14:paraId="45BA1089" w14:textId="77777777" w:rsidR="00582E6D" w:rsidRDefault="00582E6D" w:rsidP="005C2EFC"/>
    <w:p w14:paraId="7803FA2B" w14:textId="77777777" w:rsidR="00582E6D" w:rsidRDefault="00582E6D" w:rsidP="005C2EFC"/>
    <w:p w14:paraId="02ED9BD6" w14:textId="77777777" w:rsidR="00582E6D" w:rsidRDefault="00582E6D" w:rsidP="005C2EFC"/>
    <w:p w14:paraId="7D665093" w14:textId="77777777" w:rsidR="00582E6D" w:rsidRDefault="00582E6D" w:rsidP="005C2EFC"/>
    <w:p w14:paraId="56D6B7DE" w14:textId="77777777" w:rsidR="00582E6D" w:rsidRDefault="00582E6D" w:rsidP="005C2EFC"/>
    <w:p w14:paraId="10CB7929" w14:textId="77777777" w:rsidR="00582E6D" w:rsidRDefault="00582E6D" w:rsidP="005C2EFC"/>
    <w:p w14:paraId="6F6A8108" w14:textId="77777777" w:rsidR="00582E6D" w:rsidRDefault="00582E6D" w:rsidP="005C2EFC"/>
    <w:p w14:paraId="619FE245" w14:textId="77777777" w:rsidR="00582E6D" w:rsidRDefault="00582E6D" w:rsidP="005C2EFC"/>
    <w:p w14:paraId="354BF35B" w14:textId="77777777" w:rsidR="00582E6D" w:rsidRDefault="00582E6D" w:rsidP="005C2EFC"/>
    <w:p w14:paraId="17E09B84" w14:textId="77777777" w:rsidR="00582E6D" w:rsidRDefault="00582E6D" w:rsidP="005C2EFC"/>
    <w:p w14:paraId="02B7A450" w14:textId="77777777" w:rsidR="00582E6D" w:rsidRDefault="00582E6D" w:rsidP="005C2EFC"/>
    <w:p w14:paraId="2F8013AE" w14:textId="77777777" w:rsidR="00582E6D" w:rsidRDefault="00582E6D" w:rsidP="005C2EFC"/>
    <w:p w14:paraId="42FA2ACC" w14:textId="77777777" w:rsidR="00582E6D" w:rsidRDefault="00582E6D" w:rsidP="005C2EFC"/>
    <w:p w14:paraId="1CAE90CC" w14:textId="12489D2B" w:rsidR="00582E6D" w:rsidRDefault="00582E6D" w:rsidP="005C2EFC">
      <w:pPr>
        <w:sectPr w:rsidR="00582E6D" w:rsidSect="00606398">
          <w:type w:val="nextColumn"/>
          <w:pgSz w:w="11900" w:h="16840" w:code="9"/>
          <w:pgMar w:top="1440" w:right="1440" w:bottom="1440" w:left="1440" w:header="709" w:footer="709" w:gutter="0"/>
          <w:pgNumType w:fmt="lowerRoman" w:start="1"/>
          <w:cols w:space="720"/>
          <w:docGrid w:linePitch="360"/>
        </w:sectPr>
      </w:pPr>
    </w:p>
    <w:p w14:paraId="0397CA63" w14:textId="2414E394" w:rsidR="004D2415" w:rsidRPr="00675C92" w:rsidRDefault="000A0935" w:rsidP="00A95156">
      <w:pPr>
        <w:tabs>
          <w:tab w:val="left" w:pos="1418"/>
        </w:tabs>
        <w:rPr>
          <w:b/>
        </w:rPr>
      </w:pPr>
      <w:r w:rsidRPr="00675C92">
        <w:rPr>
          <w:b/>
        </w:rPr>
        <w:lastRenderedPageBreak/>
        <w:t>TABLE OF CONTENTS</w:t>
      </w:r>
    </w:p>
    <w:p w14:paraId="535CFB4D" w14:textId="03108DF7" w:rsidR="002C0E50" w:rsidRDefault="00395E7C" w:rsidP="002C0E50">
      <w:pPr>
        <w:pStyle w:val="TOC5"/>
        <w:tabs>
          <w:tab w:val="clear" w:pos="9622"/>
          <w:tab w:val="right" w:leader="dot" w:pos="9020"/>
        </w:tabs>
        <w:rPr>
          <w:rFonts w:asciiTheme="minorHAnsi" w:eastAsiaTheme="minorEastAsia" w:hAnsiTheme="minorHAnsi" w:cstheme="minorBidi"/>
          <w:noProof/>
          <w:szCs w:val="24"/>
        </w:rPr>
      </w:pPr>
      <w:r>
        <w:rPr>
          <w:b/>
          <w:iCs/>
          <w:sz w:val="22"/>
          <w:szCs w:val="22"/>
        </w:rPr>
        <w:fldChar w:fldCharType="begin"/>
      </w:r>
      <w:r>
        <w:rPr>
          <w:b/>
          <w:iCs/>
          <w:sz w:val="22"/>
          <w:szCs w:val="22"/>
        </w:rPr>
        <w:instrText xml:space="preserve"> TOC \o "1-5" \h \z \t "Title,1,Subtitle,1" </w:instrText>
      </w:r>
      <w:r>
        <w:rPr>
          <w:b/>
          <w:iCs/>
          <w:sz w:val="22"/>
          <w:szCs w:val="22"/>
        </w:rPr>
        <w:fldChar w:fldCharType="separate"/>
      </w:r>
      <w:hyperlink w:anchor="_Toc82385608" w:history="1">
        <w:r w:rsidR="002C0E50" w:rsidRPr="00C75400">
          <w:rPr>
            <w:rStyle w:val="Hyperlink"/>
            <w:noProof/>
          </w:rPr>
          <w:t>L</w:t>
        </w:r>
        <w:r w:rsidR="00467F1C" w:rsidRPr="00C75400">
          <w:rPr>
            <w:rStyle w:val="Hyperlink"/>
            <w:noProof/>
          </w:rPr>
          <w:t xml:space="preserve">ist of </w:t>
        </w:r>
        <w:r w:rsidR="00467F1C">
          <w:rPr>
            <w:rStyle w:val="Hyperlink"/>
            <w:noProof/>
          </w:rPr>
          <w:t>T</w:t>
        </w:r>
        <w:r w:rsidR="00467F1C" w:rsidRPr="00C75400">
          <w:rPr>
            <w:rStyle w:val="Hyperlink"/>
            <w:noProof/>
          </w:rPr>
          <w:t>ables</w:t>
        </w:r>
        <w:r w:rsidR="002C0E50">
          <w:rPr>
            <w:noProof/>
            <w:webHidden/>
          </w:rPr>
          <w:tab/>
        </w:r>
        <w:r w:rsidR="002C0E50">
          <w:rPr>
            <w:noProof/>
            <w:webHidden/>
          </w:rPr>
          <w:fldChar w:fldCharType="begin"/>
        </w:r>
        <w:r w:rsidR="002C0E50">
          <w:rPr>
            <w:noProof/>
            <w:webHidden/>
          </w:rPr>
          <w:instrText xml:space="preserve"> PAGEREF _Toc82385608 \h </w:instrText>
        </w:r>
        <w:r w:rsidR="002C0E50">
          <w:rPr>
            <w:noProof/>
            <w:webHidden/>
          </w:rPr>
        </w:r>
        <w:r w:rsidR="002C0E50">
          <w:rPr>
            <w:noProof/>
            <w:webHidden/>
          </w:rPr>
          <w:fldChar w:fldCharType="separate"/>
        </w:r>
        <w:r w:rsidR="00A15698">
          <w:rPr>
            <w:noProof/>
            <w:webHidden/>
          </w:rPr>
          <w:t>vii</w:t>
        </w:r>
        <w:r w:rsidR="002C0E50">
          <w:rPr>
            <w:noProof/>
            <w:webHidden/>
          </w:rPr>
          <w:fldChar w:fldCharType="end"/>
        </w:r>
      </w:hyperlink>
    </w:p>
    <w:p w14:paraId="31218B3F" w14:textId="551C5687" w:rsidR="002C0E50" w:rsidRDefault="00E909AE" w:rsidP="002C0E50">
      <w:pPr>
        <w:pStyle w:val="TOC5"/>
        <w:tabs>
          <w:tab w:val="clear" w:pos="9622"/>
          <w:tab w:val="right" w:leader="dot" w:pos="9020"/>
        </w:tabs>
        <w:rPr>
          <w:rFonts w:asciiTheme="minorHAnsi" w:eastAsiaTheme="minorEastAsia" w:hAnsiTheme="minorHAnsi" w:cstheme="minorBidi"/>
          <w:noProof/>
          <w:szCs w:val="24"/>
        </w:rPr>
      </w:pPr>
      <w:hyperlink w:anchor="_Toc82385609" w:history="1">
        <w:r w:rsidR="002C0E50" w:rsidRPr="00C75400">
          <w:rPr>
            <w:rStyle w:val="Hyperlink"/>
            <w:noProof/>
          </w:rPr>
          <w:t>L</w:t>
        </w:r>
        <w:r w:rsidR="00467F1C" w:rsidRPr="00C75400">
          <w:rPr>
            <w:rStyle w:val="Hyperlink"/>
            <w:noProof/>
          </w:rPr>
          <w:t xml:space="preserve">ist of </w:t>
        </w:r>
        <w:r w:rsidR="00467F1C">
          <w:rPr>
            <w:rStyle w:val="Hyperlink"/>
            <w:noProof/>
          </w:rPr>
          <w:t>F</w:t>
        </w:r>
        <w:r w:rsidR="00467F1C" w:rsidRPr="00C75400">
          <w:rPr>
            <w:rStyle w:val="Hyperlink"/>
            <w:noProof/>
          </w:rPr>
          <w:t>igures</w:t>
        </w:r>
        <w:r w:rsidR="002C0E50">
          <w:rPr>
            <w:noProof/>
            <w:webHidden/>
          </w:rPr>
          <w:tab/>
        </w:r>
        <w:r w:rsidR="002C0E50">
          <w:rPr>
            <w:noProof/>
            <w:webHidden/>
          </w:rPr>
          <w:fldChar w:fldCharType="begin"/>
        </w:r>
        <w:r w:rsidR="002C0E50">
          <w:rPr>
            <w:noProof/>
            <w:webHidden/>
          </w:rPr>
          <w:instrText xml:space="preserve"> PAGEREF _Toc82385609 \h </w:instrText>
        </w:r>
        <w:r w:rsidR="002C0E50">
          <w:rPr>
            <w:noProof/>
            <w:webHidden/>
          </w:rPr>
        </w:r>
        <w:r w:rsidR="002C0E50">
          <w:rPr>
            <w:noProof/>
            <w:webHidden/>
          </w:rPr>
          <w:fldChar w:fldCharType="separate"/>
        </w:r>
        <w:r w:rsidR="00A15698">
          <w:rPr>
            <w:noProof/>
            <w:webHidden/>
          </w:rPr>
          <w:t>xiii</w:t>
        </w:r>
        <w:r w:rsidR="002C0E50">
          <w:rPr>
            <w:noProof/>
            <w:webHidden/>
          </w:rPr>
          <w:fldChar w:fldCharType="end"/>
        </w:r>
      </w:hyperlink>
    </w:p>
    <w:p w14:paraId="6EE7B44B" w14:textId="4A0D8112" w:rsidR="002C0E50" w:rsidRDefault="00E909AE" w:rsidP="002C0E50">
      <w:pPr>
        <w:pStyle w:val="TOC5"/>
        <w:tabs>
          <w:tab w:val="clear" w:pos="9622"/>
          <w:tab w:val="right" w:leader="dot" w:pos="9020"/>
        </w:tabs>
        <w:rPr>
          <w:rFonts w:asciiTheme="minorHAnsi" w:eastAsiaTheme="minorEastAsia" w:hAnsiTheme="minorHAnsi" w:cstheme="minorBidi"/>
          <w:noProof/>
          <w:szCs w:val="24"/>
        </w:rPr>
      </w:pPr>
      <w:hyperlink w:anchor="_Toc82385610" w:history="1">
        <w:r w:rsidR="002C0E50" w:rsidRPr="00C75400">
          <w:rPr>
            <w:rStyle w:val="Hyperlink"/>
            <w:noProof/>
          </w:rPr>
          <w:t>L</w:t>
        </w:r>
        <w:r w:rsidR="00467F1C" w:rsidRPr="00C75400">
          <w:rPr>
            <w:rStyle w:val="Hyperlink"/>
            <w:noProof/>
          </w:rPr>
          <w:t xml:space="preserve">ist of </w:t>
        </w:r>
        <w:r w:rsidR="00467F1C">
          <w:rPr>
            <w:rStyle w:val="Hyperlink"/>
            <w:noProof/>
          </w:rPr>
          <w:t>M</w:t>
        </w:r>
        <w:r w:rsidR="00467F1C" w:rsidRPr="00C75400">
          <w:rPr>
            <w:rStyle w:val="Hyperlink"/>
            <w:noProof/>
          </w:rPr>
          <w:t>aps</w:t>
        </w:r>
        <w:r w:rsidR="002C0E50">
          <w:rPr>
            <w:noProof/>
            <w:webHidden/>
          </w:rPr>
          <w:tab/>
        </w:r>
        <w:r w:rsidR="002C0E50">
          <w:rPr>
            <w:noProof/>
            <w:webHidden/>
          </w:rPr>
          <w:fldChar w:fldCharType="begin"/>
        </w:r>
        <w:r w:rsidR="002C0E50">
          <w:rPr>
            <w:noProof/>
            <w:webHidden/>
          </w:rPr>
          <w:instrText xml:space="preserve"> PAGEREF _Toc82385610 \h </w:instrText>
        </w:r>
        <w:r w:rsidR="002C0E50">
          <w:rPr>
            <w:noProof/>
            <w:webHidden/>
          </w:rPr>
        </w:r>
        <w:r w:rsidR="002C0E50">
          <w:rPr>
            <w:noProof/>
            <w:webHidden/>
          </w:rPr>
          <w:fldChar w:fldCharType="separate"/>
        </w:r>
        <w:r w:rsidR="00A15698">
          <w:rPr>
            <w:noProof/>
            <w:webHidden/>
          </w:rPr>
          <w:t>xxvi</w:t>
        </w:r>
        <w:r w:rsidR="002C0E50">
          <w:rPr>
            <w:noProof/>
            <w:webHidden/>
          </w:rPr>
          <w:fldChar w:fldCharType="end"/>
        </w:r>
      </w:hyperlink>
    </w:p>
    <w:p w14:paraId="49FC9B3B" w14:textId="1D1540BF" w:rsidR="002C0E50" w:rsidRDefault="00E909AE" w:rsidP="002C0E50">
      <w:pPr>
        <w:pStyle w:val="TOC5"/>
        <w:tabs>
          <w:tab w:val="clear" w:pos="9622"/>
          <w:tab w:val="right" w:leader="dot" w:pos="9020"/>
        </w:tabs>
        <w:rPr>
          <w:rFonts w:asciiTheme="minorHAnsi" w:eastAsiaTheme="minorEastAsia" w:hAnsiTheme="minorHAnsi" w:cstheme="minorBidi"/>
          <w:noProof/>
          <w:szCs w:val="24"/>
        </w:rPr>
      </w:pPr>
      <w:hyperlink w:anchor="_Toc82385611" w:history="1">
        <w:r w:rsidR="002C0E50" w:rsidRPr="00C75400">
          <w:rPr>
            <w:rStyle w:val="Hyperlink"/>
            <w:noProof/>
          </w:rPr>
          <w:t>G</w:t>
        </w:r>
        <w:r w:rsidR="00467F1C" w:rsidRPr="00C75400">
          <w:rPr>
            <w:rStyle w:val="Hyperlink"/>
            <w:noProof/>
          </w:rPr>
          <w:t>eneral</w:t>
        </w:r>
        <w:r w:rsidR="002C0E50" w:rsidRPr="00C75400">
          <w:rPr>
            <w:rStyle w:val="Hyperlink"/>
            <w:noProof/>
          </w:rPr>
          <w:t xml:space="preserve"> N</w:t>
        </w:r>
        <w:r w:rsidR="00467F1C" w:rsidRPr="00C75400">
          <w:rPr>
            <w:rStyle w:val="Hyperlink"/>
            <w:noProof/>
          </w:rPr>
          <w:t>otes</w:t>
        </w:r>
        <w:r w:rsidR="002C0E50">
          <w:rPr>
            <w:noProof/>
            <w:webHidden/>
          </w:rPr>
          <w:tab/>
        </w:r>
        <w:r w:rsidR="002C0E50">
          <w:rPr>
            <w:noProof/>
            <w:webHidden/>
          </w:rPr>
          <w:fldChar w:fldCharType="begin"/>
        </w:r>
        <w:r w:rsidR="002C0E50">
          <w:rPr>
            <w:noProof/>
            <w:webHidden/>
          </w:rPr>
          <w:instrText xml:space="preserve"> PAGEREF _Toc82385611 \h </w:instrText>
        </w:r>
        <w:r w:rsidR="002C0E50">
          <w:rPr>
            <w:noProof/>
            <w:webHidden/>
          </w:rPr>
        </w:r>
        <w:r w:rsidR="002C0E50">
          <w:rPr>
            <w:noProof/>
            <w:webHidden/>
          </w:rPr>
          <w:fldChar w:fldCharType="separate"/>
        </w:r>
        <w:r w:rsidR="00A15698">
          <w:rPr>
            <w:noProof/>
            <w:webHidden/>
          </w:rPr>
          <w:t>xxviii</w:t>
        </w:r>
        <w:r w:rsidR="002C0E50">
          <w:rPr>
            <w:noProof/>
            <w:webHidden/>
          </w:rPr>
          <w:fldChar w:fldCharType="end"/>
        </w:r>
      </w:hyperlink>
    </w:p>
    <w:p w14:paraId="7ADBF52E" w14:textId="61DEAA5D" w:rsidR="002C0E50" w:rsidRDefault="00E909AE" w:rsidP="002C0E50">
      <w:pPr>
        <w:pStyle w:val="TOC5"/>
        <w:tabs>
          <w:tab w:val="clear" w:pos="9622"/>
          <w:tab w:val="right" w:leader="dot" w:pos="9020"/>
        </w:tabs>
        <w:rPr>
          <w:rFonts w:asciiTheme="minorHAnsi" w:eastAsiaTheme="minorEastAsia" w:hAnsiTheme="minorHAnsi" w:cstheme="minorBidi"/>
          <w:noProof/>
          <w:szCs w:val="24"/>
        </w:rPr>
      </w:pPr>
      <w:hyperlink w:anchor="_Toc82385612" w:history="1">
        <w:r w:rsidR="002C0E50" w:rsidRPr="00C75400">
          <w:rPr>
            <w:rStyle w:val="Hyperlink"/>
            <w:noProof/>
          </w:rPr>
          <w:t>L</w:t>
        </w:r>
        <w:r w:rsidR="00467F1C" w:rsidRPr="00C75400">
          <w:rPr>
            <w:rStyle w:val="Hyperlink"/>
            <w:noProof/>
          </w:rPr>
          <w:t>ist of</w:t>
        </w:r>
        <w:r w:rsidR="002C0E50" w:rsidRPr="00C75400">
          <w:rPr>
            <w:rStyle w:val="Hyperlink"/>
            <w:noProof/>
          </w:rPr>
          <w:t xml:space="preserve"> A</w:t>
        </w:r>
        <w:r w:rsidR="00467F1C" w:rsidRPr="00C75400">
          <w:rPr>
            <w:rStyle w:val="Hyperlink"/>
            <w:noProof/>
          </w:rPr>
          <w:t>bbreviations</w:t>
        </w:r>
        <w:r w:rsidR="002C0E50">
          <w:rPr>
            <w:noProof/>
            <w:webHidden/>
          </w:rPr>
          <w:tab/>
        </w:r>
        <w:r w:rsidR="002C0E50">
          <w:rPr>
            <w:noProof/>
            <w:webHidden/>
          </w:rPr>
          <w:fldChar w:fldCharType="begin"/>
        </w:r>
        <w:r w:rsidR="002C0E50">
          <w:rPr>
            <w:noProof/>
            <w:webHidden/>
          </w:rPr>
          <w:instrText xml:space="preserve"> PAGEREF _Toc82385612 \h </w:instrText>
        </w:r>
        <w:r w:rsidR="002C0E50">
          <w:rPr>
            <w:noProof/>
            <w:webHidden/>
          </w:rPr>
        </w:r>
        <w:r w:rsidR="002C0E50">
          <w:rPr>
            <w:noProof/>
            <w:webHidden/>
          </w:rPr>
          <w:fldChar w:fldCharType="separate"/>
        </w:r>
        <w:r w:rsidR="00A15698">
          <w:rPr>
            <w:noProof/>
            <w:webHidden/>
          </w:rPr>
          <w:t>xxix</w:t>
        </w:r>
        <w:r w:rsidR="002C0E50">
          <w:rPr>
            <w:noProof/>
            <w:webHidden/>
          </w:rPr>
          <w:fldChar w:fldCharType="end"/>
        </w:r>
      </w:hyperlink>
    </w:p>
    <w:p w14:paraId="6359E23D" w14:textId="009DB8B2" w:rsidR="002C0E50" w:rsidRDefault="00E909AE" w:rsidP="002C0E50">
      <w:pPr>
        <w:pStyle w:val="TOC5"/>
        <w:tabs>
          <w:tab w:val="clear" w:pos="9622"/>
          <w:tab w:val="right" w:leader="dot" w:pos="9020"/>
        </w:tabs>
        <w:rPr>
          <w:rFonts w:asciiTheme="minorHAnsi" w:eastAsiaTheme="minorEastAsia" w:hAnsiTheme="minorHAnsi" w:cstheme="minorBidi"/>
          <w:noProof/>
          <w:szCs w:val="24"/>
        </w:rPr>
      </w:pPr>
      <w:hyperlink w:anchor="_Toc82385613" w:history="1">
        <w:r w:rsidR="002C0E50" w:rsidRPr="00C75400">
          <w:rPr>
            <w:rStyle w:val="Hyperlink"/>
            <w:noProof/>
          </w:rPr>
          <w:t>D</w:t>
        </w:r>
        <w:r w:rsidR="00467F1C" w:rsidRPr="00C75400">
          <w:rPr>
            <w:rStyle w:val="Hyperlink"/>
            <w:noProof/>
          </w:rPr>
          <w:t>efinition</w:t>
        </w:r>
        <w:r w:rsidR="002C0E50" w:rsidRPr="00C75400">
          <w:rPr>
            <w:rStyle w:val="Hyperlink"/>
            <w:noProof/>
          </w:rPr>
          <w:t xml:space="preserve"> </w:t>
        </w:r>
        <w:r w:rsidR="00467F1C" w:rsidRPr="00C75400">
          <w:rPr>
            <w:rStyle w:val="Hyperlink"/>
            <w:noProof/>
          </w:rPr>
          <w:t>of</w:t>
        </w:r>
        <w:r w:rsidR="002C0E50" w:rsidRPr="00C75400">
          <w:rPr>
            <w:rStyle w:val="Hyperlink"/>
            <w:noProof/>
          </w:rPr>
          <w:t xml:space="preserve"> K</w:t>
        </w:r>
        <w:r w:rsidR="00467F1C" w:rsidRPr="00C75400">
          <w:rPr>
            <w:rStyle w:val="Hyperlink"/>
            <w:noProof/>
          </w:rPr>
          <w:t>ey</w:t>
        </w:r>
        <w:r w:rsidR="002C0E50" w:rsidRPr="00C75400">
          <w:rPr>
            <w:rStyle w:val="Hyperlink"/>
            <w:noProof/>
          </w:rPr>
          <w:t xml:space="preserve"> T</w:t>
        </w:r>
        <w:r w:rsidR="00467F1C" w:rsidRPr="00C75400">
          <w:rPr>
            <w:rStyle w:val="Hyperlink"/>
            <w:noProof/>
          </w:rPr>
          <w:t>erms</w:t>
        </w:r>
        <w:r w:rsidR="002C0E50">
          <w:rPr>
            <w:noProof/>
            <w:webHidden/>
          </w:rPr>
          <w:tab/>
        </w:r>
        <w:r w:rsidR="002C0E50">
          <w:rPr>
            <w:noProof/>
            <w:webHidden/>
          </w:rPr>
          <w:fldChar w:fldCharType="begin"/>
        </w:r>
        <w:r w:rsidR="002C0E50">
          <w:rPr>
            <w:noProof/>
            <w:webHidden/>
          </w:rPr>
          <w:instrText xml:space="preserve"> PAGEREF _Toc82385613 \h </w:instrText>
        </w:r>
        <w:r w:rsidR="002C0E50">
          <w:rPr>
            <w:noProof/>
            <w:webHidden/>
          </w:rPr>
        </w:r>
        <w:r w:rsidR="002C0E50">
          <w:rPr>
            <w:noProof/>
            <w:webHidden/>
          </w:rPr>
          <w:fldChar w:fldCharType="separate"/>
        </w:r>
        <w:r w:rsidR="00A15698">
          <w:rPr>
            <w:noProof/>
            <w:webHidden/>
          </w:rPr>
          <w:t>xxx</w:t>
        </w:r>
        <w:r w:rsidR="002C0E50">
          <w:rPr>
            <w:noProof/>
            <w:webHidden/>
          </w:rPr>
          <w:fldChar w:fldCharType="end"/>
        </w:r>
      </w:hyperlink>
    </w:p>
    <w:p w14:paraId="0A493A2C" w14:textId="0502D21E" w:rsidR="002C0E50" w:rsidRDefault="00E909AE" w:rsidP="002C0E50">
      <w:pPr>
        <w:pStyle w:val="TOC5"/>
        <w:tabs>
          <w:tab w:val="clear" w:pos="9622"/>
          <w:tab w:val="right" w:leader="dot" w:pos="9020"/>
        </w:tabs>
        <w:rPr>
          <w:rFonts w:asciiTheme="minorHAnsi" w:eastAsiaTheme="minorEastAsia" w:hAnsiTheme="minorHAnsi" w:cstheme="minorBidi"/>
          <w:noProof/>
          <w:szCs w:val="24"/>
        </w:rPr>
      </w:pPr>
      <w:hyperlink w:anchor="_Toc82385614" w:history="1">
        <w:r w:rsidR="002C0E50" w:rsidRPr="00C75400">
          <w:rPr>
            <w:rStyle w:val="Hyperlink"/>
            <w:noProof/>
          </w:rPr>
          <w:t>F</w:t>
        </w:r>
        <w:r w:rsidR="00467F1C" w:rsidRPr="00C75400">
          <w:rPr>
            <w:rStyle w:val="Hyperlink"/>
            <w:noProof/>
          </w:rPr>
          <w:t>oreword</w:t>
        </w:r>
        <w:r w:rsidR="002C0E50">
          <w:rPr>
            <w:noProof/>
            <w:webHidden/>
          </w:rPr>
          <w:tab/>
        </w:r>
        <w:r w:rsidR="002C0E50">
          <w:rPr>
            <w:noProof/>
            <w:webHidden/>
          </w:rPr>
          <w:fldChar w:fldCharType="begin"/>
        </w:r>
        <w:r w:rsidR="002C0E50">
          <w:rPr>
            <w:noProof/>
            <w:webHidden/>
          </w:rPr>
          <w:instrText xml:space="preserve"> PAGEREF _Toc82385614 \h </w:instrText>
        </w:r>
        <w:r w:rsidR="002C0E50">
          <w:rPr>
            <w:noProof/>
            <w:webHidden/>
          </w:rPr>
        </w:r>
        <w:r w:rsidR="002C0E50">
          <w:rPr>
            <w:noProof/>
            <w:webHidden/>
          </w:rPr>
          <w:fldChar w:fldCharType="separate"/>
        </w:r>
        <w:r w:rsidR="00A15698">
          <w:rPr>
            <w:noProof/>
            <w:webHidden/>
          </w:rPr>
          <w:t>xxxiii</w:t>
        </w:r>
        <w:r w:rsidR="002C0E50">
          <w:rPr>
            <w:noProof/>
            <w:webHidden/>
          </w:rPr>
          <w:fldChar w:fldCharType="end"/>
        </w:r>
      </w:hyperlink>
    </w:p>
    <w:p w14:paraId="36494EB3" w14:textId="307D1B3F" w:rsidR="002C0E50" w:rsidRDefault="00E909AE" w:rsidP="002C0E50">
      <w:pPr>
        <w:pStyle w:val="TOC5"/>
        <w:tabs>
          <w:tab w:val="clear" w:pos="9622"/>
          <w:tab w:val="right" w:leader="dot" w:pos="9020"/>
        </w:tabs>
        <w:rPr>
          <w:rFonts w:asciiTheme="minorHAnsi" w:eastAsiaTheme="minorEastAsia" w:hAnsiTheme="minorHAnsi" w:cstheme="minorBidi"/>
          <w:noProof/>
          <w:szCs w:val="24"/>
        </w:rPr>
      </w:pPr>
      <w:hyperlink w:anchor="_Toc82385615" w:history="1">
        <w:r w:rsidR="00467F1C">
          <w:rPr>
            <w:rStyle w:val="Hyperlink"/>
            <w:noProof/>
          </w:rPr>
          <w:t>P</w:t>
        </w:r>
        <w:r w:rsidR="00467F1C" w:rsidRPr="00C75400">
          <w:rPr>
            <w:rStyle w:val="Hyperlink"/>
            <w:noProof/>
          </w:rPr>
          <w:t>reface</w:t>
        </w:r>
        <w:r w:rsidR="002C0E50">
          <w:rPr>
            <w:noProof/>
            <w:webHidden/>
          </w:rPr>
          <w:tab/>
        </w:r>
        <w:r w:rsidR="002C0E50">
          <w:rPr>
            <w:noProof/>
            <w:webHidden/>
          </w:rPr>
          <w:fldChar w:fldCharType="begin"/>
        </w:r>
        <w:r w:rsidR="002C0E50">
          <w:rPr>
            <w:noProof/>
            <w:webHidden/>
          </w:rPr>
          <w:instrText xml:space="preserve"> PAGEREF _Toc82385615 \h </w:instrText>
        </w:r>
        <w:r w:rsidR="002C0E50">
          <w:rPr>
            <w:noProof/>
            <w:webHidden/>
          </w:rPr>
        </w:r>
        <w:r w:rsidR="002C0E50">
          <w:rPr>
            <w:noProof/>
            <w:webHidden/>
          </w:rPr>
          <w:fldChar w:fldCharType="separate"/>
        </w:r>
        <w:r w:rsidR="00A15698">
          <w:rPr>
            <w:noProof/>
            <w:webHidden/>
          </w:rPr>
          <w:t>xxxiv</w:t>
        </w:r>
        <w:r w:rsidR="002C0E50">
          <w:rPr>
            <w:noProof/>
            <w:webHidden/>
          </w:rPr>
          <w:fldChar w:fldCharType="end"/>
        </w:r>
      </w:hyperlink>
    </w:p>
    <w:p w14:paraId="355D0304" w14:textId="530281CA" w:rsidR="002C0E50" w:rsidRDefault="00E909AE" w:rsidP="002C0E50">
      <w:pPr>
        <w:pStyle w:val="TOC5"/>
        <w:tabs>
          <w:tab w:val="clear" w:pos="9622"/>
          <w:tab w:val="right" w:leader="dot" w:pos="9020"/>
        </w:tabs>
        <w:rPr>
          <w:rFonts w:asciiTheme="minorHAnsi" w:eastAsiaTheme="minorEastAsia" w:hAnsiTheme="minorHAnsi" w:cstheme="minorBidi"/>
          <w:noProof/>
          <w:szCs w:val="24"/>
        </w:rPr>
      </w:pPr>
      <w:hyperlink w:anchor="_Toc82385616" w:history="1">
        <w:r w:rsidR="002C0E50" w:rsidRPr="00C75400">
          <w:rPr>
            <w:rStyle w:val="Hyperlink"/>
            <w:noProof/>
          </w:rPr>
          <w:t>E</w:t>
        </w:r>
        <w:r w:rsidR="00467F1C" w:rsidRPr="00C75400">
          <w:rPr>
            <w:rStyle w:val="Hyperlink"/>
            <w:noProof/>
          </w:rPr>
          <w:t xml:space="preserve">xecutive </w:t>
        </w:r>
        <w:r w:rsidR="00467F1C">
          <w:rPr>
            <w:rStyle w:val="Hyperlink"/>
            <w:noProof/>
          </w:rPr>
          <w:t>S</w:t>
        </w:r>
        <w:r w:rsidR="00467F1C" w:rsidRPr="00C75400">
          <w:rPr>
            <w:rStyle w:val="Hyperlink"/>
            <w:noProof/>
          </w:rPr>
          <w:t>ummary</w:t>
        </w:r>
        <w:r w:rsidR="002C0E50">
          <w:rPr>
            <w:noProof/>
            <w:webHidden/>
          </w:rPr>
          <w:tab/>
        </w:r>
        <w:r w:rsidR="002C0E50">
          <w:rPr>
            <w:noProof/>
            <w:webHidden/>
          </w:rPr>
          <w:fldChar w:fldCharType="begin"/>
        </w:r>
        <w:r w:rsidR="002C0E50">
          <w:rPr>
            <w:noProof/>
            <w:webHidden/>
          </w:rPr>
          <w:instrText xml:space="preserve"> PAGEREF _Toc82385616 \h </w:instrText>
        </w:r>
        <w:r w:rsidR="002C0E50">
          <w:rPr>
            <w:noProof/>
            <w:webHidden/>
          </w:rPr>
        </w:r>
        <w:r w:rsidR="002C0E50">
          <w:rPr>
            <w:noProof/>
            <w:webHidden/>
          </w:rPr>
          <w:fldChar w:fldCharType="separate"/>
        </w:r>
        <w:r w:rsidR="00A15698">
          <w:rPr>
            <w:noProof/>
            <w:webHidden/>
          </w:rPr>
          <w:t>xxxv</w:t>
        </w:r>
        <w:r w:rsidR="002C0E50">
          <w:rPr>
            <w:noProof/>
            <w:webHidden/>
          </w:rPr>
          <w:fldChar w:fldCharType="end"/>
        </w:r>
      </w:hyperlink>
    </w:p>
    <w:p w14:paraId="4C499010" w14:textId="24CD510C" w:rsidR="002C0E50" w:rsidRPr="00467F1C" w:rsidRDefault="00E909AE" w:rsidP="002C0E50">
      <w:pPr>
        <w:pStyle w:val="TOC1"/>
        <w:tabs>
          <w:tab w:val="right" w:leader="dot" w:pos="9020"/>
        </w:tabs>
        <w:spacing w:before="240"/>
        <w:rPr>
          <w:rFonts w:asciiTheme="minorHAnsi" w:eastAsiaTheme="minorEastAsia" w:hAnsiTheme="minorHAnsi" w:cstheme="minorBidi"/>
          <w:b/>
          <w:bCs w:val="0"/>
          <w:iCs w:val="0"/>
          <w:noProof/>
        </w:rPr>
      </w:pPr>
      <w:hyperlink w:anchor="_Toc82385617" w:history="1">
        <w:r w:rsidR="002C0E50" w:rsidRPr="00467F1C">
          <w:rPr>
            <w:rStyle w:val="Hyperlink"/>
            <w:b/>
            <w:noProof/>
          </w:rPr>
          <w:t>CHAPTER ONE</w:t>
        </w:r>
        <w:r w:rsidR="002C0E50" w:rsidRPr="00467F1C">
          <w:rPr>
            <w:b/>
            <w:noProof/>
            <w:webHidden/>
          </w:rPr>
          <w:tab/>
        </w:r>
        <w:r w:rsidR="002C0E50" w:rsidRPr="00467F1C">
          <w:rPr>
            <w:b/>
            <w:noProof/>
            <w:webHidden/>
          </w:rPr>
          <w:fldChar w:fldCharType="begin"/>
        </w:r>
        <w:r w:rsidR="002C0E50" w:rsidRPr="00467F1C">
          <w:rPr>
            <w:b/>
            <w:noProof/>
            <w:webHidden/>
          </w:rPr>
          <w:instrText xml:space="preserve"> PAGEREF _Toc82385617 \h </w:instrText>
        </w:r>
        <w:r w:rsidR="002C0E50" w:rsidRPr="00467F1C">
          <w:rPr>
            <w:b/>
            <w:noProof/>
            <w:webHidden/>
          </w:rPr>
        </w:r>
        <w:r w:rsidR="002C0E50" w:rsidRPr="00467F1C">
          <w:rPr>
            <w:b/>
            <w:noProof/>
            <w:webHidden/>
          </w:rPr>
          <w:fldChar w:fldCharType="separate"/>
        </w:r>
        <w:r w:rsidR="00A15698">
          <w:rPr>
            <w:b/>
            <w:noProof/>
            <w:webHidden/>
          </w:rPr>
          <w:t>1</w:t>
        </w:r>
        <w:r w:rsidR="002C0E50" w:rsidRPr="00467F1C">
          <w:rPr>
            <w:b/>
            <w:noProof/>
            <w:webHidden/>
          </w:rPr>
          <w:fldChar w:fldCharType="end"/>
        </w:r>
      </w:hyperlink>
    </w:p>
    <w:p w14:paraId="3D2886F6" w14:textId="005DB322" w:rsidR="002C0E50" w:rsidRPr="00467F1C" w:rsidRDefault="00E909AE" w:rsidP="002C0E50">
      <w:pPr>
        <w:pStyle w:val="TOC1"/>
        <w:tabs>
          <w:tab w:val="right" w:leader="dot" w:pos="9020"/>
        </w:tabs>
        <w:rPr>
          <w:rFonts w:asciiTheme="minorHAnsi" w:eastAsiaTheme="minorEastAsia" w:hAnsiTheme="minorHAnsi" w:cstheme="minorBidi"/>
          <w:b/>
          <w:bCs w:val="0"/>
          <w:iCs w:val="0"/>
          <w:noProof/>
        </w:rPr>
      </w:pPr>
      <w:hyperlink w:anchor="_Toc82385618" w:history="1">
        <w:r w:rsidR="002C0E50" w:rsidRPr="00467F1C">
          <w:rPr>
            <w:rStyle w:val="Hyperlink"/>
            <w:b/>
            <w:noProof/>
          </w:rPr>
          <w:t>BACKGROUND INFORMATION</w:t>
        </w:r>
        <w:r w:rsidR="002C0E50" w:rsidRPr="00467F1C">
          <w:rPr>
            <w:b/>
            <w:noProof/>
            <w:webHidden/>
          </w:rPr>
          <w:tab/>
        </w:r>
        <w:r w:rsidR="002C0E50" w:rsidRPr="00467F1C">
          <w:rPr>
            <w:b/>
            <w:noProof/>
            <w:webHidden/>
          </w:rPr>
          <w:fldChar w:fldCharType="begin"/>
        </w:r>
        <w:r w:rsidR="002C0E50" w:rsidRPr="00467F1C">
          <w:rPr>
            <w:b/>
            <w:noProof/>
            <w:webHidden/>
          </w:rPr>
          <w:instrText xml:space="preserve"> PAGEREF _Toc82385618 \h </w:instrText>
        </w:r>
        <w:r w:rsidR="002C0E50" w:rsidRPr="00467F1C">
          <w:rPr>
            <w:b/>
            <w:noProof/>
            <w:webHidden/>
          </w:rPr>
        </w:r>
        <w:r w:rsidR="002C0E50" w:rsidRPr="00467F1C">
          <w:rPr>
            <w:b/>
            <w:noProof/>
            <w:webHidden/>
          </w:rPr>
          <w:fldChar w:fldCharType="separate"/>
        </w:r>
        <w:r w:rsidR="00A15698">
          <w:rPr>
            <w:b/>
            <w:noProof/>
            <w:webHidden/>
          </w:rPr>
          <w:t>1</w:t>
        </w:r>
        <w:r w:rsidR="002C0E50" w:rsidRPr="00467F1C">
          <w:rPr>
            <w:b/>
            <w:noProof/>
            <w:webHidden/>
          </w:rPr>
          <w:fldChar w:fldCharType="end"/>
        </w:r>
      </w:hyperlink>
    </w:p>
    <w:p w14:paraId="56CE5A57" w14:textId="1741AEEB" w:rsidR="002C0E50" w:rsidRDefault="00E909AE" w:rsidP="002C0E50">
      <w:pPr>
        <w:pStyle w:val="TOC1"/>
        <w:tabs>
          <w:tab w:val="left" w:pos="720"/>
          <w:tab w:val="right" w:leader="dot" w:pos="9020"/>
        </w:tabs>
        <w:rPr>
          <w:rFonts w:asciiTheme="minorHAnsi" w:eastAsiaTheme="minorEastAsia" w:hAnsiTheme="minorHAnsi" w:cstheme="minorBidi"/>
          <w:bCs w:val="0"/>
          <w:iCs w:val="0"/>
          <w:noProof/>
        </w:rPr>
      </w:pPr>
      <w:hyperlink w:anchor="_Toc82385619" w:history="1">
        <w:r w:rsidR="002C0E50" w:rsidRPr="00C75400">
          <w:rPr>
            <w:rStyle w:val="Hyperlink"/>
            <w:noProof/>
          </w:rPr>
          <w:t>1.0</w:t>
        </w:r>
        <w:r w:rsidR="002C0E50">
          <w:rPr>
            <w:rFonts w:asciiTheme="minorHAnsi" w:eastAsiaTheme="minorEastAsia" w:hAnsiTheme="minorHAnsi" w:cstheme="minorBidi"/>
            <w:bCs w:val="0"/>
            <w:iCs w:val="0"/>
            <w:noProof/>
          </w:rPr>
          <w:tab/>
        </w:r>
        <w:r w:rsidR="002C0E50" w:rsidRPr="00C75400">
          <w:rPr>
            <w:rStyle w:val="Hyperlink"/>
            <w:noProof/>
          </w:rPr>
          <w:t>Introduction</w:t>
        </w:r>
        <w:r w:rsidR="002C0E50">
          <w:rPr>
            <w:noProof/>
            <w:webHidden/>
          </w:rPr>
          <w:tab/>
        </w:r>
        <w:r w:rsidR="002C0E50">
          <w:rPr>
            <w:noProof/>
            <w:webHidden/>
          </w:rPr>
          <w:fldChar w:fldCharType="begin"/>
        </w:r>
        <w:r w:rsidR="002C0E50">
          <w:rPr>
            <w:noProof/>
            <w:webHidden/>
          </w:rPr>
          <w:instrText xml:space="preserve"> PAGEREF _Toc82385619 \h </w:instrText>
        </w:r>
        <w:r w:rsidR="002C0E50">
          <w:rPr>
            <w:noProof/>
            <w:webHidden/>
          </w:rPr>
        </w:r>
        <w:r w:rsidR="002C0E50">
          <w:rPr>
            <w:noProof/>
            <w:webHidden/>
          </w:rPr>
          <w:fldChar w:fldCharType="separate"/>
        </w:r>
        <w:r w:rsidR="00A15698">
          <w:rPr>
            <w:noProof/>
            <w:webHidden/>
          </w:rPr>
          <w:t>1</w:t>
        </w:r>
        <w:r w:rsidR="002C0E50">
          <w:rPr>
            <w:noProof/>
            <w:webHidden/>
          </w:rPr>
          <w:fldChar w:fldCharType="end"/>
        </w:r>
      </w:hyperlink>
    </w:p>
    <w:p w14:paraId="456CA6AE" w14:textId="2B616A9C" w:rsidR="002C0E50" w:rsidRDefault="00E909AE" w:rsidP="002C0E50">
      <w:pPr>
        <w:pStyle w:val="TOC2"/>
        <w:rPr>
          <w:rFonts w:asciiTheme="minorHAnsi" w:eastAsiaTheme="minorEastAsia" w:hAnsiTheme="minorHAnsi" w:cstheme="minorBidi"/>
          <w:noProof/>
          <w:szCs w:val="24"/>
        </w:rPr>
      </w:pPr>
      <w:hyperlink w:anchor="_Toc82385620" w:history="1">
        <w:r w:rsidR="002C0E50" w:rsidRPr="00C75400">
          <w:rPr>
            <w:rStyle w:val="Hyperlink"/>
            <w:noProof/>
          </w:rPr>
          <w:t>1.1</w:t>
        </w:r>
        <w:r w:rsidR="002C0E50">
          <w:rPr>
            <w:rFonts w:asciiTheme="minorHAnsi" w:eastAsiaTheme="minorEastAsia" w:hAnsiTheme="minorHAnsi" w:cstheme="minorBidi"/>
            <w:noProof/>
            <w:szCs w:val="24"/>
          </w:rPr>
          <w:tab/>
        </w:r>
        <w:r w:rsidR="002C0E50" w:rsidRPr="00C75400">
          <w:rPr>
            <w:rStyle w:val="Hyperlink"/>
            <w:noProof/>
          </w:rPr>
          <w:t>Background Information</w:t>
        </w:r>
        <w:r w:rsidR="002C0E50">
          <w:rPr>
            <w:noProof/>
            <w:webHidden/>
          </w:rPr>
          <w:tab/>
        </w:r>
        <w:r w:rsidR="002C0E50">
          <w:rPr>
            <w:noProof/>
            <w:webHidden/>
          </w:rPr>
          <w:fldChar w:fldCharType="begin"/>
        </w:r>
        <w:r w:rsidR="002C0E50">
          <w:rPr>
            <w:noProof/>
            <w:webHidden/>
          </w:rPr>
          <w:instrText xml:space="preserve"> PAGEREF _Toc82385620 \h </w:instrText>
        </w:r>
        <w:r w:rsidR="002C0E50">
          <w:rPr>
            <w:noProof/>
            <w:webHidden/>
          </w:rPr>
        </w:r>
        <w:r w:rsidR="002C0E50">
          <w:rPr>
            <w:noProof/>
            <w:webHidden/>
          </w:rPr>
          <w:fldChar w:fldCharType="separate"/>
        </w:r>
        <w:r w:rsidR="00A15698">
          <w:rPr>
            <w:noProof/>
            <w:webHidden/>
          </w:rPr>
          <w:t>2</w:t>
        </w:r>
        <w:r w:rsidR="002C0E50">
          <w:rPr>
            <w:noProof/>
            <w:webHidden/>
          </w:rPr>
          <w:fldChar w:fldCharType="end"/>
        </w:r>
      </w:hyperlink>
    </w:p>
    <w:p w14:paraId="74432A57" w14:textId="637F3A7E" w:rsidR="002C0E50" w:rsidRDefault="00E909AE" w:rsidP="002C0E50">
      <w:pPr>
        <w:pStyle w:val="TOC2"/>
        <w:rPr>
          <w:rFonts w:asciiTheme="minorHAnsi" w:eastAsiaTheme="minorEastAsia" w:hAnsiTheme="minorHAnsi" w:cstheme="minorBidi"/>
          <w:noProof/>
          <w:szCs w:val="24"/>
        </w:rPr>
      </w:pPr>
      <w:hyperlink w:anchor="_Toc82385621" w:history="1">
        <w:r w:rsidR="002C0E50" w:rsidRPr="00C75400">
          <w:rPr>
            <w:rStyle w:val="Hyperlink"/>
            <w:noProof/>
          </w:rPr>
          <w:t>1.2</w:t>
        </w:r>
        <w:r w:rsidR="002C0E50">
          <w:rPr>
            <w:rFonts w:asciiTheme="minorHAnsi" w:eastAsiaTheme="minorEastAsia" w:hAnsiTheme="minorHAnsi" w:cstheme="minorBidi"/>
            <w:noProof/>
            <w:szCs w:val="24"/>
          </w:rPr>
          <w:tab/>
        </w:r>
        <w:r w:rsidR="002C0E50" w:rsidRPr="00C75400">
          <w:rPr>
            <w:rStyle w:val="Hyperlink"/>
            <w:noProof/>
          </w:rPr>
          <w:t>Census Objectives</w:t>
        </w:r>
        <w:r w:rsidR="002C0E50">
          <w:rPr>
            <w:noProof/>
            <w:webHidden/>
          </w:rPr>
          <w:tab/>
        </w:r>
        <w:r w:rsidR="002C0E50">
          <w:rPr>
            <w:noProof/>
            <w:webHidden/>
          </w:rPr>
          <w:fldChar w:fldCharType="begin"/>
        </w:r>
        <w:r w:rsidR="002C0E50">
          <w:rPr>
            <w:noProof/>
            <w:webHidden/>
          </w:rPr>
          <w:instrText xml:space="preserve"> PAGEREF _Toc82385621 \h </w:instrText>
        </w:r>
        <w:r w:rsidR="002C0E50">
          <w:rPr>
            <w:noProof/>
            <w:webHidden/>
          </w:rPr>
        </w:r>
        <w:r w:rsidR="002C0E50">
          <w:rPr>
            <w:noProof/>
            <w:webHidden/>
          </w:rPr>
          <w:fldChar w:fldCharType="separate"/>
        </w:r>
        <w:r w:rsidR="00A15698">
          <w:rPr>
            <w:noProof/>
            <w:webHidden/>
          </w:rPr>
          <w:t>2</w:t>
        </w:r>
        <w:r w:rsidR="002C0E50">
          <w:rPr>
            <w:noProof/>
            <w:webHidden/>
          </w:rPr>
          <w:fldChar w:fldCharType="end"/>
        </w:r>
      </w:hyperlink>
    </w:p>
    <w:p w14:paraId="4FBC303C" w14:textId="7F37C54A" w:rsidR="002C0E50" w:rsidRDefault="00E909AE" w:rsidP="002C0E50">
      <w:pPr>
        <w:pStyle w:val="TOC2"/>
        <w:rPr>
          <w:rFonts w:asciiTheme="minorHAnsi" w:eastAsiaTheme="minorEastAsia" w:hAnsiTheme="minorHAnsi" w:cstheme="minorBidi"/>
          <w:noProof/>
          <w:szCs w:val="24"/>
        </w:rPr>
      </w:pPr>
      <w:hyperlink w:anchor="_Toc82385622" w:history="1">
        <w:r w:rsidR="002C0E50" w:rsidRPr="00C75400">
          <w:rPr>
            <w:rStyle w:val="Hyperlink"/>
            <w:noProof/>
          </w:rPr>
          <w:t>1.3</w:t>
        </w:r>
        <w:r w:rsidR="002C0E50">
          <w:rPr>
            <w:rFonts w:asciiTheme="minorHAnsi" w:eastAsiaTheme="minorEastAsia" w:hAnsiTheme="minorHAnsi" w:cstheme="minorBidi"/>
            <w:noProof/>
            <w:szCs w:val="24"/>
          </w:rPr>
          <w:tab/>
        </w:r>
        <w:r w:rsidR="002C0E50" w:rsidRPr="00C75400">
          <w:rPr>
            <w:rStyle w:val="Hyperlink"/>
            <w:noProof/>
          </w:rPr>
          <w:t>Census Scope and Coverage</w:t>
        </w:r>
        <w:r w:rsidR="002C0E50">
          <w:rPr>
            <w:noProof/>
            <w:webHidden/>
          </w:rPr>
          <w:tab/>
        </w:r>
        <w:r w:rsidR="002C0E50">
          <w:rPr>
            <w:noProof/>
            <w:webHidden/>
          </w:rPr>
          <w:fldChar w:fldCharType="begin"/>
        </w:r>
        <w:r w:rsidR="002C0E50">
          <w:rPr>
            <w:noProof/>
            <w:webHidden/>
          </w:rPr>
          <w:instrText xml:space="preserve"> PAGEREF _Toc82385622 \h </w:instrText>
        </w:r>
        <w:r w:rsidR="002C0E50">
          <w:rPr>
            <w:noProof/>
            <w:webHidden/>
          </w:rPr>
        </w:r>
        <w:r w:rsidR="002C0E50">
          <w:rPr>
            <w:noProof/>
            <w:webHidden/>
          </w:rPr>
          <w:fldChar w:fldCharType="separate"/>
        </w:r>
        <w:r w:rsidR="00A15698">
          <w:rPr>
            <w:noProof/>
            <w:webHidden/>
          </w:rPr>
          <w:t>2</w:t>
        </w:r>
        <w:r w:rsidR="002C0E50">
          <w:rPr>
            <w:noProof/>
            <w:webHidden/>
          </w:rPr>
          <w:fldChar w:fldCharType="end"/>
        </w:r>
      </w:hyperlink>
    </w:p>
    <w:p w14:paraId="0193458B" w14:textId="0E97FB36" w:rsidR="002C0E50" w:rsidRDefault="00E909AE" w:rsidP="002C0E50">
      <w:pPr>
        <w:pStyle w:val="TOC2"/>
        <w:rPr>
          <w:rFonts w:asciiTheme="minorHAnsi" w:eastAsiaTheme="minorEastAsia" w:hAnsiTheme="minorHAnsi" w:cstheme="minorBidi"/>
          <w:noProof/>
          <w:szCs w:val="24"/>
        </w:rPr>
      </w:pPr>
      <w:hyperlink w:anchor="_Toc82385623" w:history="1">
        <w:r w:rsidR="002C0E50" w:rsidRPr="00C75400">
          <w:rPr>
            <w:rStyle w:val="Hyperlink"/>
            <w:noProof/>
          </w:rPr>
          <w:t>1.4</w:t>
        </w:r>
        <w:r w:rsidR="002C0E50">
          <w:rPr>
            <w:rFonts w:asciiTheme="minorHAnsi" w:eastAsiaTheme="minorEastAsia" w:hAnsiTheme="minorHAnsi" w:cstheme="minorBidi"/>
            <w:noProof/>
            <w:szCs w:val="24"/>
          </w:rPr>
          <w:tab/>
        </w:r>
        <w:r w:rsidR="002C0E50" w:rsidRPr="00C75400">
          <w:rPr>
            <w:rStyle w:val="Hyperlink"/>
            <w:noProof/>
          </w:rPr>
          <w:t>Census Methodology</w:t>
        </w:r>
        <w:r w:rsidR="002C0E50">
          <w:rPr>
            <w:noProof/>
            <w:webHidden/>
          </w:rPr>
          <w:tab/>
        </w:r>
        <w:r w:rsidR="002C0E50">
          <w:rPr>
            <w:noProof/>
            <w:webHidden/>
          </w:rPr>
          <w:fldChar w:fldCharType="begin"/>
        </w:r>
        <w:r w:rsidR="002C0E50">
          <w:rPr>
            <w:noProof/>
            <w:webHidden/>
          </w:rPr>
          <w:instrText xml:space="preserve"> PAGEREF _Toc82385623 \h </w:instrText>
        </w:r>
        <w:r w:rsidR="002C0E50">
          <w:rPr>
            <w:noProof/>
            <w:webHidden/>
          </w:rPr>
        </w:r>
        <w:r w:rsidR="002C0E50">
          <w:rPr>
            <w:noProof/>
            <w:webHidden/>
          </w:rPr>
          <w:fldChar w:fldCharType="separate"/>
        </w:r>
        <w:r w:rsidR="00A15698">
          <w:rPr>
            <w:noProof/>
            <w:webHidden/>
          </w:rPr>
          <w:t>4</w:t>
        </w:r>
        <w:r w:rsidR="002C0E50">
          <w:rPr>
            <w:noProof/>
            <w:webHidden/>
          </w:rPr>
          <w:fldChar w:fldCharType="end"/>
        </w:r>
      </w:hyperlink>
    </w:p>
    <w:p w14:paraId="09DF8D83" w14:textId="76661C42"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624" w:history="1">
        <w:r w:rsidR="002C0E50" w:rsidRPr="00C75400">
          <w:rPr>
            <w:rStyle w:val="Hyperlink"/>
            <w:noProof/>
          </w:rPr>
          <w:t>1.4.1</w:t>
        </w:r>
        <w:r w:rsidR="002C0E50">
          <w:rPr>
            <w:rFonts w:asciiTheme="minorHAnsi" w:eastAsiaTheme="minorEastAsia" w:hAnsiTheme="minorHAnsi" w:cstheme="minorBidi"/>
            <w:noProof/>
            <w:szCs w:val="24"/>
          </w:rPr>
          <w:tab/>
        </w:r>
        <w:r w:rsidR="002C0E50" w:rsidRPr="00C75400">
          <w:rPr>
            <w:rStyle w:val="Hyperlink"/>
            <w:noProof/>
          </w:rPr>
          <w:t>Sample Design</w:t>
        </w:r>
        <w:r w:rsidR="002C0E50">
          <w:rPr>
            <w:noProof/>
            <w:webHidden/>
          </w:rPr>
          <w:tab/>
        </w:r>
        <w:r w:rsidR="002C0E50">
          <w:rPr>
            <w:noProof/>
            <w:webHidden/>
          </w:rPr>
          <w:fldChar w:fldCharType="begin"/>
        </w:r>
        <w:r w:rsidR="002C0E50">
          <w:rPr>
            <w:noProof/>
            <w:webHidden/>
          </w:rPr>
          <w:instrText xml:space="preserve"> PAGEREF _Toc82385624 \h </w:instrText>
        </w:r>
        <w:r w:rsidR="002C0E50">
          <w:rPr>
            <w:noProof/>
            <w:webHidden/>
          </w:rPr>
        </w:r>
        <w:r w:rsidR="002C0E50">
          <w:rPr>
            <w:noProof/>
            <w:webHidden/>
          </w:rPr>
          <w:fldChar w:fldCharType="separate"/>
        </w:r>
        <w:r w:rsidR="00A15698">
          <w:rPr>
            <w:noProof/>
            <w:webHidden/>
          </w:rPr>
          <w:t>4</w:t>
        </w:r>
        <w:r w:rsidR="002C0E50">
          <w:rPr>
            <w:noProof/>
            <w:webHidden/>
          </w:rPr>
          <w:fldChar w:fldCharType="end"/>
        </w:r>
      </w:hyperlink>
    </w:p>
    <w:p w14:paraId="60448DEA" w14:textId="14680E38"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625" w:history="1">
        <w:r w:rsidR="002C0E50" w:rsidRPr="00C75400">
          <w:rPr>
            <w:rStyle w:val="Hyperlink"/>
            <w:noProof/>
          </w:rPr>
          <w:t>1.4.2</w:t>
        </w:r>
        <w:r w:rsidR="002C0E50">
          <w:rPr>
            <w:rFonts w:asciiTheme="minorHAnsi" w:eastAsiaTheme="minorEastAsia" w:hAnsiTheme="minorHAnsi" w:cstheme="minorBidi"/>
            <w:noProof/>
            <w:szCs w:val="24"/>
          </w:rPr>
          <w:tab/>
        </w:r>
        <w:r w:rsidR="002C0E50" w:rsidRPr="00C75400">
          <w:rPr>
            <w:rStyle w:val="Hyperlink"/>
            <w:noProof/>
          </w:rPr>
          <w:t>Sample Size</w:t>
        </w:r>
        <w:r w:rsidR="002C0E50">
          <w:rPr>
            <w:noProof/>
            <w:webHidden/>
          </w:rPr>
          <w:tab/>
        </w:r>
        <w:r w:rsidR="002C0E50">
          <w:rPr>
            <w:noProof/>
            <w:webHidden/>
          </w:rPr>
          <w:fldChar w:fldCharType="begin"/>
        </w:r>
        <w:r w:rsidR="002C0E50">
          <w:rPr>
            <w:noProof/>
            <w:webHidden/>
          </w:rPr>
          <w:instrText xml:space="preserve"> PAGEREF _Toc82385625 \h </w:instrText>
        </w:r>
        <w:r w:rsidR="002C0E50">
          <w:rPr>
            <w:noProof/>
            <w:webHidden/>
          </w:rPr>
        </w:r>
        <w:r w:rsidR="002C0E50">
          <w:rPr>
            <w:noProof/>
            <w:webHidden/>
          </w:rPr>
          <w:fldChar w:fldCharType="separate"/>
        </w:r>
        <w:r w:rsidR="00A15698">
          <w:rPr>
            <w:noProof/>
            <w:webHidden/>
          </w:rPr>
          <w:t>4</w:t>
        </w:r>
        <w:r w:rsidR="002C0E50">
          <w:rPr>
            <w:noProof/>
            <w:webHidden/>
          </w:rPr>
          <w:fldChar w:fldCharType="end"/>
        </w:r>
      </w:hyperlink>
    </w:p>
    <w:p w14:paraId="41053F9C" w14:textId="60D21A39" w:rsidR="002C0E50" w:rsidRDefault="00E909AE" w:rsidP="002C0E50">
      <w:pPr>
        <w:pStyle w:val="TOC2"/>
        <w:rPr>
          <w:rFonts w:asciiTheme="minorHAnsi" w:eastAsiaTheme="minorEastAsia" w:hAnsiTheme="minorHAnsi" w:cstheme="minorBidi"/>
          <w:noProof/>
          <w:szCs w:val="24"/>
        </w:rPr>
      </w:pPr>
      <w:hyperlink w:anchor="_Toc82385626" w:history="1">
        <w:r w:rsidR="002C0E50" w:rsidRPr="00C75400">
          <w:rPr>
            <w:rStyle w:val="Hyperlink"/>
            <w:noProof/>
          </w:rPr>
          <w:t>1.5</w:t>
        </w:r>
        <w:r w:rsidR="002C0E50">
          <w:rPr>
            <w:rFonts w:asciiTheme="minorHAnsi" w:eastAsiaTheme="minorEastAsia" w:hAnsiTheme="minorHAnsi" w:cstheme="minorBidi"/>
            <w:noProof/>
            <w:szCs w:val="24"/>
          </w:rPr>
          <w:tab/>
        </w:r>
        <w:r w:rsidR="002C0E50" w:rsidRPr="00C75400">
          <w:rPr>
            <w:rStyle w:val="Hyperlink"/>
            <w:noProof/>
          </w:rPr>
          <w:t>Census Organization</w:t>
        </w:r>
        <w:r w:rsidR="002C0E50">
          <w:rPr>
            <w:noProof/>
            <w:webHidden/>
          </w:rPr>
          <w:tab/>
        </w:r>
        <w:r w:rsidR="002C0E50">
          <w:rPr>
            <w:noProof/>
            <w:webHidden/>
          </w:rPr>
          <w:fldChar w:fldCharType="begin"/>
        </w:r>
        <w:r w:rsidR="002C0E50">
          <w:rPr>
            <w:noProof/>
            <w:webHidden/>
          </w:rPr>
          <w:instrText xml:space="preserve"> PAGEREF _Toc82385626 \h </w:instrText>
        </w:r>
        <w:r w:rsidR="002C0E50">
          <w:rPr>
            <w:noProof/>
            <w:webHidden/>
          </w:rPr>
        </w:r>
        <w:r w:rsidR="002C0E50">
          <w:rPr>
            <w:noProof/>
            <w:webHidden/>
          </w:rPr>
          <w:fldChar w:fldCharType="separate"/>
        </w:r>
        <w:r w:rsidR="00A15698">
          <w:rPr>
            <w:noProof/>
            <w:webHidden/>
          </w:rPr>
          <w:t>5</w:t>
        </w:r>
        <w:r w:rsidR="002C0E50">
          <w:rPr>
            <w:noProof/>
            <w:webHidden/>
          </w:rPr>
          <w:fldChar w:fldCharType="end"/>
        </w:r>
      </w:hyperlink>
    </w:p>
    <w:p w14:paraId="01660D8E" w14:textId="27C7C072" w:rsidR="002C0E50" w:rsidRPr="00467F1C" w:rsidRDefault="00E909AE" w:rsidP="002C0E50">
      <w:pPr>
        <w:pStyle w:val="TOC1"/>
        <w:tabs>
          <w:tab w:val="right" w:leader="dot" w:pos="9020"/>
        </w:tabs>
        <w:spacing w:before="240"/>
        <w:rPr>
          <w:rFonts w:asciiTheme="minorHAnsi" w:eastAsiaTheme="minorEastAsia" w:hAnsiTheme="minorHAnsi" w:cstheme="minorBidi"/>
          <w:b/>
          <w:bCs w:val="0"/>
          <w:iCs w:val="0"/>
          <w:noProof/>
        </w:rPr>
      </w:pPr>
      <w:hyperlink w:anchor="_Toc82385627" w:history="1">
        <w:r w:rsidR="002C0E50" w:rsidRPr="00467F1C">
          <w:rPr>
            <w:rStyle w:val="Hyperlink"/>
            <w:b/>
            <w:noProof/>
          </w:rPr>
          <w:t>CHAPTER TWO</w:t>
        </w:r>
        <w:r w:rsidR="002C0E50" w:rsidRPr="00467F1C">
          <w:rPr>
            <w:b/>
            <w:noProof/>
            <w:webHidden/>
          </w:rPr>
          <w:tab/>
        </w:r>
        <w:r w:rsidR="002C0E50" w:rsidRPr="00467F1C">
          <w:rPr>
            <w:b/>
            <w:noProof/>
            <w:webHidden/>
          </w:rPr>
          <w:fldChar w:fldCharType="begin"/>
        </w:r>
        <w:r w:rsidR="002C0E50" w:rsidRPr="00467F1C">
          <w:rPr>
            <w:b/>
            <w:noProof/>
            <w:webHidden/>
          </w:rPr>
          <w:instrText xml:space="preserve"> PAGEREF _Toc82385627 \h </w:instrText>
        </w:r>
        <w:r w:rsidR="002C0E50" w:rsidRPr="00467F1C">
          <w:rPr>
            <w:b/>
            <w:noProof/>
            <w:webHidden/>
          </w:rPr>
        </w:r>
        <w:r w:rsidR="002C0E50" w:rsidRPr="00467F1C">
          <w:rPr>
            <w:b/>
            <w:noProof/>
            <w:webHidden/>
          </w:rPr>
          <w:fldChar w:fldCharType="separate"/>
        </w:r>
        <w:r w:rsidR="00A15698">
          <w:rPr>
            <w:b/>
            <w:noProof/>
            <w:webHidden/>
          </w:rPr>
          <w:t>6</w:t>
        </w:r>
        <w:r w:rsidR="002C0E50" w:rsidRPr="00467F1C">
          <w:rPr>
            <w:b/>
            <w:noProof/>
            <w:webHidden/>
          </w:rPr>
          <w:fldChar w:fldCharType="end"/>
        </w:r>
      </w:hyperlink>
    </w:p>
    <w:p w14:paraId="4322B7CF" w14:textId="58C73C26" w:rsidR="002C0E50" w:rsidRDefault="00E909AE" w:rsidP="002C0E50">
      <w:pPr>
        <w:pStyle w:val="TOC1"/>
        <w:tabs>
          <w:tab w:val="right" w:leader="dot" w:pos="9020"/>
        </w:tabs>
        <w:rPr>
          <w:rFonts w:asciiTheme="minorHAnsi" w:eastAsiaTheme="minorEastAsia" w:hAnsiTheme="minorHAnsi" w:cstheme="minorBidi"/>
          <w:bCs w:val="0"/>
          <w:iCs w:val="0"/>
          <w:noProof/>
        </w:rPr>
      </w:pPr>
      <w:hyperlink w:anchor="_Toc82385628" w:history="1">
        <w:r w:rsidR="002C0E50" w:rsidRPr="00467F1C">
          <w:rPr>
            <w:rStyle w:val="Hyperlink"/>
            <w:b/>
            <w:noProof/>
          </w:rPr>
          <w:t>DEMOGRAPHIC CHARACTERISTICS</w:t>
        </w:r>
        <w:r w:rsidR="002C0E50" w:rsidRPr="00467F1C">
          <w:rPr>
            <w:b/>
            <w:noProof/>
            <w:webHidden/>
          </w:rPr>
          <w:tab/>
        </w:r>
        <w:r w:rsidR="002C0E50" w:rsidRPr="00467F1C">
          <w:rPr>
            <w:b/>
            <w:noProof/>
            <w:webHidden/>
          </w:rPr>
          <w:fldChar w:fldCharType="begin"/>
        </w:r>
        <w:r w:rsidR="002C0E50" w:rsidRPr="00467F1C">
          <w:rPr>
            <w:b/>
            <w:noProof/>
            <w:webHidden/>
          </w:rPr>
          <w:instrText xml:space="preserve"> PAGEREF _Toc82385628 \h </w:instrText>
        </w:r>
        <w:r w:rsidR="002C0E50" w:rsidRPr="00467F1C">
          <w:rPr>
            <w:b/>
            <w:noProof/>
            <w:webHidden/>
          </w:rPr>
        </w:r>
        <w:r w:rsidR="002C0E50" w:rsidRPr="00467F1C">
          <w:rPr>
            <w:b/>
            <w:noProof/>
            <w:webHidden/>
          </w:rPr>
          <w:fldChar w:fldCharType="separate"/>
        </w:r>
        <w:r w:rsidR="00A15698">
          <w:rPr>
            <w:b/>
            <w:noProof/>
            <w:webHidden/>
          </w:rPr>
          <w:t>6</w:t>
        </w:r>
        <w:r w:rsidR="002C0E50" w:rsidRPr="00467F1C">
          <w:rPr>
            <w:b/>
            <w:noProof/>
            <w:webHidden/>
          </w:rPr>
          <w:fldChar w:fldCharType="end"/>
        </w:r>
      </w:hyperlink>
    </w:p>
    <w:p w14:paraId="25F25505" w14:textId="43F5C751" w:rsidR="002C0E50" w:rsidRDefault="00E909AE" w:rsidP="002C0E50">
      <w:pPr>
        <w:pStyle w:val="TOC1"/>
        <w:tabs>
          <w:tab w:val="left" w:pos="720"/>
          <w:tab w:val="right" w:leader="dot" w:pos="9020"/>
        </w:tabs>
        <w:rPr>
          <w:rFonts w:asciiTheme="minorHAnsi" w:eastAsiaTheme="minorEastAsia" w:hAnsiTheme="minorHAnsi" w:cstheme="minorBidi"/>
          <w:bCs w:val="0"/>
          <w:iCs w:val="0"/>
          <w:noProof/>
        </w:rPr>
      </w:pPr>
      <w:hyperlink w:anchor="_Toc82385629" w:history="1">
        <w:r w:rsidR="002C0E50" w:rsidRPr="00C75400">
          <w:rPr>
            <w:rStyle w:val="Hyperlink"/>
            <w:noProof/>
          </w:rPr>
          <w:t>2.0</w:t>
        </w:r>
        <w:r w:rsidR="002C0E50">
          <w:rPr>
            <w:rFonts w:asciiTheme="minorHAnsi" w:eastAsiaTheme="minorEastAsia" w:hAnsiTheme="minorHAnsi" w:cstheme="minorBidi"/>
            <w:bCs w:val="0"/>
            <w:iCs w:val="0"/>
            <w:noProof/>
          </w:rPr>
          <w:tab/>
        </w:r>
        <w:r w:rsidR="002C0E50" w:rsidRPr="00C75400">
          <w:rPr>
            <w:rStyle w:val="Hyperlink"/>
            <w:noProof/>
          </w:rPr>
          <w:t>Agricultural Households</w:t>
        </w:r>
        <w:r w:rsidR="002C0E50">
          <w:rPr>
            <w:noProof/>
            <w:webHidden/>
          </w:rPr>
          <w:tab/>
        </w:r>
        <w:r w:rsidR="002C0E50">
          <w:rPr>
            <w:noProof/>
            <w:webHidden/>
          </w:rPr>
          <w:fldChar w:fldCharType="begin"/>
        </w:r>
        <w:r w:rsidR="002C0E50">
          <w:rPr>
            <w:noProof/>
            <w:webHidden/>
          </w:rPr>
          <w:instrText xml:space="preserve"> PAGEREF _Toc82385629 \h </w:instrText>
        </w:r>
        <w:r w:rsidR="002C0E50">
          <w:rPr>
            <w:noProof/>
            <w:webHidden/>
          </w:rPr>
        </w:r>
        <w:r w:rsidR="002C0E50">
          <w:rPr>
            <w:noProof/>
            <w:webHidden/>
          </w:rPr>
          <w:fldChar w:fldCharType="separate"/>
        </w:r>
        <w:r w:rsidR="00A15698">
          <w:rPr>
            <w:noProof/>
            <w:webHidden/>
          </w:rPr>
          <w:t>6</w:t>
        </w:r>
        <w:r w:rsidR="002C0E50">
          <w:rPr>
            <w:noProof/>
            <w:webHidden/>
          </w:rPr>
          <w:fldChar w:fldCharType="end"/>
        </w:r>
      </w:hyperlink>
    </w:p>
    <w:p w14:paraId="5CB4776F" w14:textId="7191AAE4" w:rsidR="002C0E50" w:rsidRDefault="00E909AE" w:rsidP="002C0E50">
      <w:pPr>
        <w:pStyle w:val="TOC2"/>
        <w:rPr>
          <w:rFonts w:asciiTheme="minorHAnsi" w:eastAsiaTheme="minorEastAsia" w:hAnsiTheme="minorHAnsi" w:cstheme="minorBidi"/>
          <w:noProof/>
          <w:szCs w:val="24"/>
        </w:rPr>
      </w:pPr>
      <w:hyperlink w:anchor="_Toc82385630" w:history="1">
        <w:r w:rsidR="002C0E50" w:rsidRPr="00C75400">
          <w:rPr>
            <w:rStyle w:val="Hyperlink"/>
            <w:noProof/>
          </w:rPr>
          <w:t>2.1</w:t>
        </w:r>
        <w:r w:rsidR="002C0E50">
          <w:rPr>
            <w:rFonts w:asciiTheme="minorHAnsi" w:eastAsiaTheme="minorEastAsia" w:hAnsiTheme="minorHAnsi" w:cstheme="minorBidi"/>
            <w:noProof/>
            <w:szCs w:val="24"/>
          </w:rPr>
          <w:tab/>
        </w:r>
        <w:r w:rsidR="002C0E50" w:rsidRPr="00C75400">
          <w:rPr>
            <w:rStyle w:val="Hyperlink"/>
            <w:noProof/>
          </w:rPr>
          <w:t>Types of Agricultural Activities of the Households</w:t>
        </w:r>
        <w:r w:rsidR="002C0E50">
          <w:rPr>
            <w:noProof/>
            <w:webHidden/>
          </w:rPr>
          <w:tab/>
        </w:r>
        <w:r w:rsidR="002C0E50">
          <w:rPr>
            <w:noProof/>
            <w:webHidden/>
          </w:rPr>
          <w:fldChar w:fldCharType="begin"/>
        </w:r>
        <w:r w:rsidR="002C0E50">
          <w:rPr>
            <w:noProof/>
            <w:webHidden/>
          </w:rPr>
          <w:instrText xml:space="preserve"> PAGEREF _Toc82385630 \h </w:instrText>
        </w:r>
        <w:r w:rsidR="002C0E50">
          <w:rPr>
            <w:noProof/>
            <w:webHidden/>
          </w:rPr>
        </w:r>
        <w:r w:rsidR="002C0E50">
          <w:rPr>
            <w:noProof/>
            <w:webHidden/>
          </w:rPr>
          <w:fldChar w:fldCharType="separate"/>
        </w:r>
        <w:r w:rsidR="00A15698">
          <w:rPr>
            <w:noProof/>
            <w:webHidden/>
          </w:rPr>
          <w:t>6</w:t>
        </w:r>
        <w:r w:rsidR="002C0E50">
          <w:rPr>
            <w:noProof/>
            <w:webHidden/>
          </w:rPr>
          <w:fldChar w:fldCharType="end"/>
        </w:r>
      </w:hyperlink>
    </w:p>
    <w:p w14:paraId="1256B644" w14:textId="041A8432" w:rsidR="002C0E50" w:rsidRDefault="00E909AE" w:rsidP="002C0E50">
      <w:pPr>
        <w:pStyle w:val="TOC2"/>
        <w:rPr>
          <w:rFonts w:asciiTheme="minorHAnsi" w:eastAsiaTheme="minorEastAsia" w:hAnsiTheme="minorHAnsi" w:cstheme="minorBidi"/>
          <w:noProof/>
          <w:szCs w:val="24"/>
        </w:rPr>
      </w:pPr>
      <w:hyperlink w:anchor="_Toc82385631" w:history="1">
        <w:r w:rsidR="002C0E50" w:rsidRPr="00C75400">
          <w:rPr>
            <w:rStyle w:val="Hyperlink"/>
            <w:noProof/>
          </w:rPr>
          <w:t>2.2</w:t>
        </w:r>
        <w:r w:rsidR="002C0E50">
          <w:rPr>
            <w:rFonts w:asciiTheme="minorHAnsi" w:eastAsiaTheme="minorEastAsia" w:hAnsiTheme="minorHAnsi" w:cstheme="minorBidi"/>
            <w:noProof/>
            <w:szCs w:val="24"/>
          </w:rPr>
          <w:tab/>
        </w:r>
        <w:r w:rsidR="002C0E50" w:rsidRPr="00C75400">
          <w:rPr>
            <w:rStyle w:val="Hyperlink"/>
            <w:noProof/>
          </w:rPr>
          <w:t>Agricultural Household Characteristics</w:t>
        </w:r>
        <w:r w:rsidR="002C0E50">
          <w:rPr>
            <w:noProof/>
            <w:webHidden/>
          </w:rPr>
          <w:tab/>
        </w:r>
        <w:r w:rsidR="002C0E50">
          <w:rPr>
            <w:noProof/>
            <w:webHidden/>
          </w:rPr>
          <w:fldChar w:fldCharType="begin"/>
        </w:r>
        <w:r w:rsidR="002C0E50">
          <w:rPr>
            <w:noProof/>
            <w:webHidden/>
          </w:rPr>
          <w:instrText xml:space="preserve"> PAGEREF _Toc82385631 \h </w:instrText>
        </w:r>
        <w:r w:rsidR="002C0E50">
          <w:rPr>
            <w:noProof/>
            <w:webHidden/>
          </w:rPr>
        </w:r>
        <w:r w:rsidR="002C0E50">
          <w:rPr>
            <w:noProof/>
            <w:webHidden/>
          </w:rPr>
          <w:fldChar w:fldCharType="separate"/>
        </w:r>
        <w:r w:rsidR="00A15698">
          <w:rPr>
            <w:noProof/>
            <w:webHidden/>
          </w:rPr>
          <w:t>7</w:t>
        </w:r>
        <w:r w:rsidR="002C0E50">
          <w:rPr>
            <w:noProof/>
            <w:webHidden/>
          </w:rPr>
          <w:fldChar w:fldCharType="end"/>
        </w:r>
      </w:hyperlink>
    </w:p>
    <w:p w14:paraId="239B197C" w14:textId="3A150A18" w:rsidR="002C0E50" w:rsidRDefault="00E909AE" w:rsidP="002C0E50">
      <w:pPr>
        <w:pStyle w:val="TOC2"/>
        <w:rPr>
          <w:rFonts w:asciiTheme="minorHAnsi" w:eastAsiaTheme="minorEastAsia" w:hAnsiTheme="minorHAnsi" w:cstheme="minorBidi"/>
          <w:noProof/>
          <w:szCs w:val="24"/>
        </w:rPr>
      </w:pPr>
      <w:hyperlink w:anchor="_Toc82385632" w:history="1">
        <w:r w:rsidR="002C0E50" w:rsidRPr="00C75400">
          <w:rPr>
            <w:rStyle w:val="Hyperlink"/>
            <w:noProof/>
          </w:rPr>
          <w:t>2.3</w:t>
        </w:r>
        <w:r w:rsidR="002C0E50">
          <w:rPr>
            <w:rFonts w:asciiTheme="minorHAnsi" w:eastAsiaTheme="minorEastAsia" w:hAnsiTheme="minorHAnsi" w:cstheme="minorBidi"/>
            <w:noProof/>
            <w:szCs w:val="24"/>
          </w:rPr>
          <w:tab/>
        </w:r>
        <w:r w:rsidR="002C0E50" w:rsidRPr="00C75400">
          <w:rPr>
            <w:rStyle w:val="Hyperlink"/>
            <w:noProof/>
          </w:rPr>
          <w:t>Number and Size of Agricultural Households</w:t>
        </w:r>
        <w:r w:rsidR="002C0E50">
          <w:rPr>
            <w:noProof/>
            <w:webHidden/>
          </w:rPr>
          <w:tab/>
        </w:r>
        <w:r w:rsidR="002C0E50">
          <w:rPr>
            <w:noProof/>
            <w:webHidden/>
          </w:rPr>
          <w:fldChar w:fldCharType="begin"/>
        </w:r>
        <w:r w:rsidR="002C0E50">
          <w:rPr>
            <w:noProof/>
            <w:webHidden/>
          </w:rPr>
          <w:instrText xml:space="preserve"> PAGEREF _Toc82385632 \h </w:instrText>
        </w:r>
        <w:r w:rsidR="002C0E50">
          <w:rPr>
            <w:noProof/>
            <w:webHidden/>
          </w:rPr>
        </w:r>
        <w:r w:rsidR="002C0E50">
          <w:rPr>
            <w:noProof/>
            <w:webHidden/>
          </w:rPr>
          <w:fldChar w:fldCharType="separate"/>
        </w:r>
        <w:r w:rsidR="00A15698">
          <w:rPr>
            <w:noProof/>
            <w:webHidden/>
          </w:rPr>
          <w:t>9</w:t>
        </w:r>
        <w:r w:rsidR="002C0E50">
          <w:rPr>
            <w:noProof/>
            <w:webHidden/>
          </w:rPr>
          <w:fldChar w:fldCharType="end"/>
        </w:r>
      </w:hyperlink>
    </w:p>
    <w:p w14:paraId="102D682A" w14:textId="794D8ADC" w:rsidR="002C0E50" w:rsidRDefault="00E909AE" w:rsidP="002C0E50">
      <w:pPr>
        <w:pStyle w:val="TOC2"/>
        <w:rPr>
          <w:rFonts w:asciiTheme="minorHAnsi" w:eastAsiaTheme="minorEastAsia" w:hAnsiTheme="minorHAnsi" w:cstheme="minorBidi"/>
          <w:noProof/>
          <w:szCs w:val="24"/>
        </w:rPr>
      </w:pPr>
      <w:hyperlink w:anchor="_Toc82385633" w:history="1">
        <w:r w:rsidR="002C0E50" w:rsidRPr="00C75400">
          <w:rPr>
            <w:rStyle w:val="Hyperlink"/>
            <w:noProof/>
          </w:rPr>
          <w:t>2.4</w:t>
        </w:r>
        <w:r w:rsidR="002C0E50">
          <w:rPr>
            <w:rFonts w:asciiTheme="minorHAnsi" w:eastAsiaTheme="minorEastAsia" w:hAnsiTheme="minorHAnsi" w:cstheme="minorBidi"/>
            <w:noProof/>
            <w:szCs w:val="24"/>
          </w:rPr>
          <w:tab/>
        </w:r>
        <w:r w:rsidR="002C0E50" w:rsidRPr="00C75400">
          <w:rPr>
            <w:rStyle w:val="Hyperlink"/>
            <w:noProof/>
          </w:rPr>
          <w:t>Literacy and Education of Agricultural Population</w:t>
        </w:r>
        <w:r w:rsidR="002C0E50">
          <w:rPr>
            <w:noProof/>
            <w:webHidden/>
          </w:rPr>
          <w:tab/>
        </w:r>
        <w:r w:rsidR="002C0E50">
          <w:rPr>
            <w:noProof/>
            <w:webHidden/>
          </w:rPr>
          <w:fldChar w:fldCharType="begin"/>
        </w:r>
        <w:r w:rsidR="002C0E50">
          <w:rPr>
            <w:noProof/>
            <w:webHidden/>
          </w:rPr>
          <w:instrText xml:space="preserve"> PAGEREF _Toc82385633 \h </w:instrText>
        </w:r>
        <w:r w:rsidR="002C0E50">
          <w:rPr>
            <w:noProof/>
            <w:webHidden/>
          </w:rPr>
        </w:r>
        <w:r w:rsidR="002C0E50">
          <w:rPr>
            <w:noProof/>
            <w:webHidden/>
          </w:rPr>
          <w:fldChar w:fldCharType="separate"/>
        </w:r>
        <w:r w:rsidR="00A15698">
          <w:rPr>
            <w:noProof/>
            <w:webHidden/>
          </w:rPr>
          <w:t>10</w:t>
        </w:r>
        <w:r w:rsidR="002C0E50">
          <w:rPr>
            <w:noProof/>
            <w:webHidden/>
          </w:rPr>
          <w:fldChar w:fldCharType="end"/>
        </w:r>
      </w:hyperlink>
    </w:p>
    <w:p w14:paraId="3901DCFD" w14:textId="405DCF1D" w:rsidR="002C0E50" w:rsidRDefault="00E909AE" w:rsidP="002C0E50">
      <w:pPr>
        <w:pStyle w:val="TOC2"/>
        <w:rPr>
          <w:rFonts w:asciiTheme="minorHAnsi" w:eastAsiaTheme="minorEastAsia" w:hAnsiTheme="minorHAnsi" w:cstheme="minorBidi"/>
          <w:noProof/>
          <w:szCs w:val="24"/>
        </w:rPr>
      </w:pPr>
      <w:hyperlink w:anchor="_Toc82385634" w:history="1">
        <w:r w:rsidR="002C0E50" w:rsidRPr="00C75400">
          <w:rPr>
            <w:rStyle w:val="Hyperlink"/>
            <w:noProof/>
          </w:rPr>
          <w:t>2.5</w:t>
        </w:r>
        <w:r w:rsidR="002C0E50">
          <w:rPr>
            <w:rFonts w:asciiTheme="minorHAnsi" w:eastAsiaTheme="minorEastAsia" w:hAnsiTheme="minorHAnsi" w:cstheme="minorBidi"/>
            <w:noProof/>
            <w:szCs w:val="24"/>
          </w:rPr>
          <w:tab/>
        </w:r>
        <w:r w:rsidR="002C0E50" w:rsidRPr="00C75400">
          <w:rPr>
            <w:rStyle w:val="Hyperlink"/>
            <w:noProof/>
          </w:rPr>
          <w:t>Education Status</w:t>
        </w:r>
        <w:r w:rsidR="002C0E50">
          <w:rPr>
            <w:noProof/>
            <w:webHidden/>
          </w:rPr>
          <w:tab/>
        </w:r>
        <w:r w:rsidR="002C0E50">
          <w:rPr>
            <w:noProof/>
            <w:webHidden/>
          </w:rPr>
          <w:fldChar w:fldCharType="begin"/>
        </w:r>
        <w:r w:rsidR="002C0E50">
          <w:rPr>
            <w:noProof/>
            <w:webHidden/>
          </w:rPr>
          <w:instrText xml:space="preserve"> PAGEREF _Toc82385634 \h </w:instrText>
        </w:r>
        <w:r w:rsidR="002C0E50">
          <w:rPr>
            <w:noProof/>
            <w:webHidden/>
          </w:rPr>
        </w:r>
        <w:r w:rsidR="002C0E50">
          <w:rPr>
            <w:noProof/>
            <w:webHidden/>
          </w:rPr>
          <w:fldChar w:fldCharType="separate"/>
        </w:r>
        <w:r w:rsidR="00A15698">
          <w:rPr>
            <w:noProof/>
            <w:webHidden/>
          </w:rPr>
          <w:t>11</w:t>
        </w:r>
        <w:r w:rsidR="002C0E50">
          <w:rPr>
            <w:noProof/>
            <w:webHidden/>
          </w:rPr>
          <w:fldChar w:fldCharType="end"/>
        </w:r>
      </w:hyperlink>
    </w:p>
    <w:p w14:paraId="1787A590" w14:textId="39FEC886" w:rsidR="002C0E50" w:rsidRDefault="00E909AE" w:rsidP="002C0E50">
      <w:pPr>
        <w:pStyle w:val="TOC2"/>
        <w:rPr>
          <w:rFonts w:asciiTheme="minorHAnsi" w:eastAsiaTheme="minorEastAsia" w:hAnsiTheme="minorHAnsi" w:cstheme="minorBidi"/>
          <w:noProof/>
          <w:szCs w:val="24"/>
        </w:rPr>
      </w:pPr>
      <w:hyperlink w:anchor="_Toc82385635" w:history="1">
        <w:r w:rsidR="002C0E50" w:rsidRPr="00C75400">
          <w:rPr>
            <w:rStyle w:val="Hyperlink"/>
            <w:noProof/>
          </w:rPr>
          <w:t>2.6</w:t>
        </w:r>
        <w:r w:rsidR="002C0E50">
          <w:rPr>
            <w:rFonts w:asciiTheme="minorHAnsi" w:eastAsiaTheme="minorEastAsia" w:hAnsiTheme="minorHAnsi" w:cstheme="minorBidi"/>
            <w:noProof/>
            <w:szCs w:val="24"/>
          </w:rPr>
          <w:tab/>
        </w:r>
        <w:r w:rsidR="002C0E50" w:rsidRPr="00C75400">
          <w:rPr>
            <w:rStyle w:val="Hyperlink"/>
            <w:noProof/>
          </w:rPr>
          <w:t>Main Activity</w:t>
        </w:r>
        <w:r w:rsidR="002C0E50">
          <w:rPr>
            <w:noProof/>
            <w:webHidden/>
          </w:rPr>
          <w:tab/>
        </w:r>
        <w:r w:rsidR="002C0E50">
          <w:rPr>
            <w:noProof/>
            <w:webHidden/>
          </w:rPr>
          <w:fldChar w:fldCharType="begin"/>
        </w:r>
        <w:r w:rsidR="002C0E50">
          <w:rPr>
            <w:noProof/>
            <w:webHidden/>
          </w:rPr>
          <w:instrText xml:space="preserve"> PAGEREF _Toc82385635 \h </w:instrText>
        </w:r>
        <w:r w:rsidR="002C0E50">
          <w:rPr>
            <w:noProof/>
            <w:webHidden/>
          </w:rPr>
        </w:r>
        <w:r w:rsidR="002C0E50">
          <w:rPr>
            <w:noProof/>
            <w:webHidden/>
          </w:rPr>
          <w:fldChar w:fldCharType="separate"/>
        </w:r>
        <w:r w:rsidR="00A15698">
          <w:rPr>
            <w:noProof/>
            <w:webHidden/>
          </w:rPr>
          <w:t>13</w:t>
        </w:r>
        <w:r w:rsidR="002C0E50">
          <w:rPr>
            <w:noProof/>
            <w:webHidden/>
          </w:rPr>
          <w:fldChar w:fldCharType="end"/>
        </w:r>
      </w:hyperlink>
    </w:p>
    <w:p w14:paraId="49E73C03" w14:textId="310201D0" w:rsidR="002C0E50" w:rsidRDefault="00E909AE" w:rsidP="002C0E50">
      <w:pPr>
        <w:pStyle w:val="TOC2"/>
        <w:rPr>
          <w:rFonts w:asciiTheme="minorHAnsi" w:eastAsiaTheme="minorEastAsia" w:hAnsiTheme="minorHAnsi" w:cstheme="minorBidi"/>
          <w:noProof/>
          <w:szCs w:val="24"/>
        </w:rPr>
      </w:pPr>
      <w:hyperlink w:anchor="_Toc82385636" w:history="1">
        <w:r w:rsidR="002C0E50" w:rsidRPr="00C75400">
          <w:rPr>
            <w:rStyle w:val="Hyperlink"/>
            <w:noProof/>
          </w:rPr>
          <w:t>2.7</w:t>
        </w:r>
        <w:r w:rsidR="002C0E50">
          <w:rPr>
            <w:rFonts w:asciiTheme="minorHAnsi" w:eastAsiaTheme="minorEastAsia" w:hAnsiTheme="minorHAnsi" w:cstheme="minorBidi"/>
            <w:noProof/>
            <w:szCs w:val="24"/>
          </w:rPr>
          <w:tab/>
        </w:r>
        <w:r w:rsidR="002C0E50" w:rsidRPr="00C75400">
          <w:rPr>
            <w:rStyle w:val="Hyperlink"/>
            <w:noProof/>
          </w:rPr>
          <w:t>Land Use</w:t>
        </w:r>
        <w:r w:rsidR="002C0E50">
          <w:rPr>
            <w:noProof/>
            <w:webHidden/>
          </w:rPr>
          <w:tab/>
        </w:r>
        <w:r w:rsidR="002C0E50">
          <w:rPr>
            <w:noProof/>
            <w:webHidden/>
          </w:rPr>
          <w:tab/>
        </w:r>
        <w:r w:rsidR="002C0E50">
          <w:rPr>
            <w:noProof/>
            <w:webHidden/>
          </w:rPr>
          <w:fldChar w:fldCharType="begin"/>
        </w:r>
        <w:r w:rsidR="002C0E50">
          <w:rPr>
            <w:noProof/>
            <w:webHidden/>
          </w:rPr>
          <w:instrText xml:space="preserve"> PAGEREF _Toc82385636 \h </w:instrText>
        </w:r>
        <w:r w:rsidR="002C0E50">
          <w:rPr>
            <w:noProof/>
            <w:webHidden/>
          </w:rPr>
        </w:r>
        <w:r w:rsidR="002C0E50">
          <w:rPr>
            <w:noProof/>
            <w:webHidden/>
          </w:rPr>
          <w:fldChar w:fldCharType="separate"/>
        </w:r>
        <w:r w:rsidR="00A15698">
          <w:rPr>
            <w:noProof/>
            <w:webHidden/>
          </w:rPr>
          <w:t>14</w:t>
        </w:r>
        <w:r w:rsidR="002C0E50">
          <w:rPr>
            <w:noProof/>
            <w:webHidden/>
          </w:rPr>
          <w:fldChar w:fldCharType="end"/>
        </w:r>
      </w:hyperlink>
    </w:p>
    <w:p w14:paraId="46F6097E" w14:textId="35B22BE7"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637" w:history="1">
        <w:r w:rsidR="002C0E50" w:rsidRPr="00C75400">
          <w:rPr>
            <w:rStyle w:val="Hyperlink"/>
            <w:noProof/>
          </w:rPr>
          <w:t>2.7.1</w:t>
        </w:r>
        <w:r w:rsidR="002C0E50">
          <w:rPr>
            <w:rFonts w:asciiTheme="minorHAnsi" w:eastAsiaTheme="minorEastAsia" w:hAnsiTheme="minorHAnsi" w:cstheme="minorBidi"/>
            <w:noProof/>
            <w:szCs w:val="24"/>
          </w:rPr>
          <w:tab/>
        </w:r>
        <w:r w:rsidR="002C0E50" w:rsidRPr="00C75400">
          <w:rPr>
            <w:rStyle w:val="Hyperlink"/>
            <w:noProof/>
          </w:rPr>
          <w:t>Area of Land Utilized</w:t>
        </w:r>
        <w:r w:rsidR="002C0E50">
          <w:rPr>
            <w:noProof/>
            <w:webHidden/>
          </w:rPr>
          <w:tab/>
        </w:r>
        <w:r w:rsidR="002C0E50">
          <w:rPr>
            <w:noProof/>
            <w:webHidden/>
          </w:rPr>
          <w:fldChar w:fldCharType="begin"/>
        </w:r>
        <w:r w:rsidR="002C0E50">
          <w:rPr>
            <w:noProof/>
            <w:webHidden/>
          </w:rPr>
          <w:instrText xml:space="preserve"> PAGEREF _Toc82385637 \h </w:instrText>
        </w:r>
        <w:r w:rsidR="002C0E50">
          <w:rPr>
            <w:noProof/>
            <w:webHidden/>
          </w:rPr>
        </w:r>
        <w:r w:rsidR="002C0E50">
          <w:rPr>
            <w:noProof/>
            <w:webHidden/>
          </w:rPr>
          <w:fldChar w:fldCharType="separate"/>
        </w:r>
        <w:r w:rsidR="00A15698">
          <w:rPr>
            <w:noProof/>
            <w:webHidden/>
          </w:rPr>
          <w:t>15</w:t>
        </w:r>
        <w:r w:rsidR="002C0E50">
          <w:rPr>
            <w:noProof/>
            <w:webHidden/>
          </w:rPr>
          <w:fldChar w:fldCharType="end"/>
        </w:r>
      </w:hyperlink>
    </w:p>
    <w:p w14:paraId="67D70EC6" w14:textId="4E6FE540"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638" w:history="1">
        <w:r w:rsidR="002C0E50" w:rsidRPr="00C75400">
          <w:rPr>
            <w:rStyle w:val="Hyperlink"/>
            <w:noProof/>
          </w:rPr>
          <w:t>2.7.2</w:t>
        </w:r>
        <w:r w:rsidR="002C0E50">
          <w:rPr>
            <w:rFonts w:asciiTheme="minorHAnsi" w:eastAsiaTheme="minorEastAsia" w:hAnsiTheme="minorHAnsi" w:cstheme="minorBidi"/>
            <w:noProof/>
            <w:szCs w:val="24"/>
          </w:rPr>
          <w:tab/>
        </w:r>
        <w:r w:rsidR="002C0E50" w:rsidRPr="00C75400">
          <w:rPr>
            <w:rStyle w:val="Hyperlink"/>
            <w:noProof/>
          </w:rPr>
          <w:t>Land Use Sufficiency</w:t>
        </w:r>
        <w:r w:rsidR="002C0E50">
          <w:rPr>
            <w:noProof/>
            <w:webHidden/>
          </w:rPr>
          <w:tab/>
        </w:r>
        <w:r w:rsidR="002C0E50">
          <w:rPr>
            <w:noProof/>
            <w:webHidden/>
          </w:rPr>
          <w:fldChar w:fldCharType="begin"/>
        </w:r>
        <w:r w:rsidR="002C0E50">
          <w:rPr>
            <w:noProof/>
            <w:webHidden/>
          </w:rPr>
          <w:instrText xml:space="preserve"> PAGEREF _Toc82385638 \h </w:instrText>
        </w:r>
        <w:r w:rsidR="002C0E50">
          <w:rPr>
            <w:noProof/>
            <w:webHidden/>
          </w:rPr>
        </w:r>
        <w:r w:rsidR="002C0E50">
          <w:rPr>
            <w:noProof/>
            <w:webHidden/>
          </w:rPr>
          <w:fldChar w:fldCharType="separate"/>
        </w:r>
        <w:r w:rsidR="00A15698">
          <w:rPr>
            <w:noProof/>
            <w:webHidden/>
          </w:rPr>
          <w:t>15</w:t>
        </w:r>
        <w:r w:rsidR="002C0E50">
          <w:rPr>
            <w:noProof/>
            <w:webHidden/>
          </w:rPr>
          <w:fldChar w:fldCharType="end"/>
        </w:r>
      </w:hyperlink>
    </w:p>
    <w:p w14:paraId="405EA044" w14:textId="572AB886"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639" w:history="1">
        <w:r w:rsidR="002C0E50" w:rsidRPr="00C75400">
          <w:rPr>
            <w:rStyle w:val="Hyperlink"/>
            <w:noProof/>
          </w:rPr>
          <w:t>2.7.3</w:t>
        </w:r>
        <w:r w:rsidR="002C0E50">
          <w:rPr>
            <w:rFonts w:asciiTheme="minorHAnsi" w:eastAsiaTheme="minorEastAsia" w:hAnsiTheme="minorHAnsi" w:cstheme="minorBidi"/>
            <w:noProof/>
            <w:szCs w:val="24"/>
          </w:rPr>
          <w:tab/>
        </w:r>
        <w:r w:rsidR="002C0E50" w:rsidRPr="00C75400">
          <w:rPr>
            <w:rStyle w:val="Hyperlink"/>
            <w:noProof/>
          </w:rPr>
          <w:t>Land Use Patterns</w:t>
        </w:r>
        <w:r w:rsidR="002C0E50">
          <w:rPr>
            <w:noProof/>
            <w:webHidden/>
          </w:rPr>
          <w:tab/>
        </w:r>
        <w:r w:rsidR="002C0E50">
          <w:rPr>
            <w:noProof/>
            <w:webHidden/>
          </w:rPr>
          <w:fldChar w:fldCharType="begin"/>
        </w:r>
        <w:r w:rsidR="002C0E50">
          <w:rPr>
            <w:noProof/>
            <w:webHidden/>
          </w:rPr>
          <w:instrText xml:space="preserve"> PAGEREF _Toc82385639 \h </w:instrText>
        </w:r>
        <w:r w:rsidR="002C0E50">
          <w:rPr>
            <w:noProof/>
            <w:webHidden/>
          </w:rPr>
        </w:r>
        <w:r w:rsidR="002C0E50">
          <w:rPr>
            <w:noProof/>
            <w:webHidden/>
          </w:rPr>
          <w:fldChar w:fldCharType="separate"/>
        </w:r>
        <w:r w:rsidR="00A15698">
          <w:rPr>
            <w:noProof/>
            <w:webHidden/>
          </w:rPr>
          <w:t>17</w:t>
        </w:r>
        <w:r w:rsidR="002C0E50">
          <w:rPr>
            <w:noProof/>
            <w:webHidden/>
          </w:rPr>
          <w:fldChar w:fldCharType="end"/>
        </w:r>
      </w:hyperlink>
    </w:p>
    <w:p w14:paraId="09371E7B" w14:textId="1ADC38DB" w:rsidR="002C0E50" w:rsidRPr="00467F1C" w:rsidRDefault="00E909AE" w:rsidP="002C0E50">
      <w:pPr>
        <w:pStyle w:val="TOC1"/>
        <w:tabs>
          <w:tab w:val="right" w:leader="dot" w:pos="9020"/>
        </w:tabs>
        <w:spacing w:before="240"/>
        <w:rPr>
          <w:rFonts w:asciiTheme="minorHAnsi" w:eastAsiaTheme="minorEastAsia" w:hAnsiTheme="minorHAnsi" w:cstheme="minorBidi"/>
          <w:b/>
          <w:bCs w:val="0"/>
          <w:iCs w:val="0"/>
          <w:noProof/>
        </w:rPr>
      </w:pPr>
      <w:hyperlink w:anchor="_Toc82385640" w:history="1">
        <w:r w:rsidR="002C0E50" w:rsidRPr="00467F1C">
          <w:rPr>
            <w:rStyle w:val="Hyperlink"/>
            <w:b/>
            <w:noProof/>
          </w:rPr>
          <w:t>CHAPTER THREE</w:t>
        </w:r>
        <w:r w:rsidR="002C0E50" w:rsidRPr="00467F1C">
          <w:rPr>
            <w:b/>
            <w:noProof/>
            <w:webHidden/>
          </w:rPr>
          <w:tab/>
        </w:r>
        <w:r w:rsidR="002C0E50" w:rsidRPr="00467F1C">
          <w:rPr>
            <w:b/>
            <w:noProof/>
            <w:webHidden/>
          </w:rPr>
          <w:fldChar w:fldCharType="begin"/>
        </w:r>
        <w:r w:rsidR="002C0E50" w:rsidRPr="00467F1C">
          <w:rPr>
            <w:b/>
            <w:noProof/>
            <w:webHidden/>
          </w:rPr>
          <w:instrText xml:space="preserve"> PAGEREF _Toc82385640 \h </w:instrText>
        </w:r>
        <w:r w:rsidR="002C0E50" w:rsidRPr="00467F1C">
          <w:rPr>
            <w:b/>
            <w:noProof/>
            <w:webHidden/>
          </w:rPr>
        </w:r>
        <w:r w:rsidR="002C0E50" w:rsidRPr="00467F1C">
          <w:rPr>
            <w:b/>
            <w:noProof/>
            <w:webHidden/>
          </w:rPr>
          <w:fldChar w:fldCharType="separate"/>
        </w:r>
        <w:r w:rsidR="00A15698">
          <w:rPr>
            <w:b/>
            <w:noProof/>
            <w:webHidden/>
          </w:rPr>
          <w:t>20</w:t>
        </w:r>
        <w:r w:rsidR="002C0E50" w:rsidRPr="00467F1C">
          <w:rPr>
            <w:b/>
            <w:noProof/>
            <w:webHidden/>
          </w:rPr>
          <w:fldChar w:fldCharType="end"/>
        </w:r>
      </w:hyperlink>
    </w:p>
    <w:p w14:paraId="22991CFE" w14:textId="30A6B32B" w:rsidR="002C0E50" w:rsidRPr="00467F1C" w:rsidRDefault="00E909AE" w:rsidP="002C0E50">
      <w:pPr>
        <w:pStyle w:val="TOC1"/>
        <w:tabs>
          <w:tab w:val="right" w:leader="dot" w:pos="9020"/>
        </w:tabs>
        <w:rPr>
          <w:rFonts w:asciiTheme="minorHAnsi" w:eastAsiaTheme="minorEastAsia" w:hAnsiTheme="minorHAnsi" w:cstheme="minorBidi"/>
          <w:b/>
          <w:bCs w:val="0"/>
          <w:iCs w:val="0"/>
          <w:noProof/>
        </w:rPr>
      </w:pPr>
      <w:hyperlink w:anchor="_Toc82385641" w:history="1">
        <w:r w:rsidR="002C0E50" w:rsidRPr="00467F1C">
          <w:rPr>
            <w:rStyle w:val="Hyperlink"/>
            <w:b/>
            <w:noProof/>
          </w:rPr>
          <w:t>CROPS RESULTS</w:t>
        </w:r>
        <w:r w:rsidR="002C0E50" w:rsidRPr="00467F1C">
          <w:rPr>
            <w:b/>
            <w:noProof/>
            <w:webHidden/>
          </w:rPr>
          <w:tab/>
        </w:r>
        <w:r w:rsidR="002C0E50" w:rsidRPr="00467F1C">
          <w:rPr>
            <w:b/>
            <w:noProof/>
            <w:webHidden/>
          </w:rPr>
          <w:fldChar w:fldCharType="begin"/>
        </w:r>
        <w:r w:rsidR="002C0E50" w:rsidRPr="00467F1C">
          <w:rPr>
            <w:b/>
            <w:noProof/>
            <w:webHidden/>
          </w:rPr>
          <w:instrText xml:space="preserve"> PAGEREF _Toc82385641 \h </w:instrText>
        </w:r>
        <w:r w:rsidR="002C0E50" w:rsidRPr="00467F1C">
          <w:rPr>
            <w:b/>
            <w:noProof/>
            <w:webHidden/>
          </w:rPr>
        </w:r>
        <w:r w:rsidR="002C0E50" w:rsidRPr="00467F1C">
          <w:rPr>
            <w:b/>
            <w:noProof/>
            <w:webHidden/>
          </w:rPr>
          <w:fldChar w:fldCharType="separate"/>
        </w:r>
        <w:r w:rsidR="00A15698">
          <w:rPr>
            <w:b/>
            <w:noProof/>
            <w:webHidden/>
          </w:rPr>
          <w:t>20</w:t>
        </w:r>
        <w:r w:rsidR="002C0E50" w:rsidRPr="00467F1C">
          <w:rPr>
            <w:b/>
            <w:noProof/>
            <w:webHidden/>
          </w:rPr>
          <w:fldChar w:fldCharType="end"/>
        </w:r>
      </w:hyperlink>
    </w:p>
    <w:p w14:paraId="66F9FA9D" w14:textId="1C8675FF" w:rsidR="002C0E50" w:rsidRDefault="00E909AE" w:rsidP="002C0E50">
      <w:pPr>
        <w:pStyle w:val="TOC1"/>
        <w:tabs>
          <w:tab w:val="left" w:pos="720"/>
          <w:tab w:val="right" w:leader="dot" w:pos="9020"/>
        </w:tabs>
        <w:rPr>
          <w:rFonts w:asciiTheme="minorHAnsi" w:eastAsiaTheme="minorEastAsia" w:hAnsiTheme="minorHAnsi" w:cstheme="minorBidi"/>
          <w:bCs w:val="0"/>
          <w:iCs w:val="0"/>
          <w:noProof/>
        </w:rPr>
      </w:pPr>
      <w:hyperlink w:anchor="_Toc82385642" w:history="1">
        <w:r w:rsidR="002C0E50" w:rsidRPr="00C75400">
          <w:rPr>
            <w:rStyle w:val="Hyperlink"/>
            <w:noProof/>
          </w:rPr>
          <w:t>3.0</w:t>
        </w:r>
        <w:r w:rsidR="002C0E50">
          <w:rPr>
            <w:rFonts w:asciiTheme="minorHAnsi" w:eastAsiaTheme="minorEastAsia" w:hAnsiTheme="minorHAnsi" w:cstheme="minorBidi"/>
            <w:bCs w:val="0"/>
            <w:iCs w:val="0"/>
            <w:noProof/>
          </w:rPr>
          <w:tab/>
        </w:r>
        <w:r w:rsidR="002C0E50" w:rsidRPr="00C75400">
          <w:rPr>
            <w:rStyle w:val="Hyperlink"/>
            <w:noProof/>
          </w:rPr>
          <w:t>Introduction</w:t>
        </w:r>
        <w:r w:rsidR="002C0E50">
          <w:rPr>
            <w:noProof/>
            <w:webHidden/>
          </w:rPr>
          <w:tab/>
        </w:r>
        <w:r w:rsidR="002C0E50">
          <w:rPr>
            <w:noProof/>
            <w:webHidden/>
          </w:rPr>
          <w:fldChar w:fldCharType="begin"/>
        </w:r>
        <w:r w:rsidR="002C0E50">
          <w:rPr>
            <w:noProof/>
            <w:webHidden/>
          </w:rPr>
          <w:instrText xml:space="preserve"> PAGEREF _Toc82385642 \h </w:instrText>
        </w:r>
        <w:r w:rsidR="002C0E50">
          <w:rPr>
            <w:noProof/>
            <w:webHidden/>
          </w:rPr>
        </w:r>
        <w:r w:rsidR="002C0E50">
          <w:rPr>
            <w:noProof/>
            <w:webHidden/>
          </w:rPr>
          <w:fldChar w:fldCharType="separate"/>
        </w:r>
        <w:r w:rsidR="00A15698">
          <w:rPr>
            <w:noProof/>
            <w:webHidden/>
          </w:rPr>
          <w:t>20</w:t>
        </w:r>
        <w:r w:rsidR="002C0E50">
          <w:rPr>
            <w:noProof/>
            <w:webHidden/>
          </w:rPr>
          <w:fldChar w:fldCharType="end"/>
        </w:r>
      </w:hyperlink>
    </w:p>
    <w:p w14:paraId="1F1037AC" w14:textId="00B7C3C8" w:rsidR="002C0E50" w:rsidRDefault="00E909AE" w:rsidP="002C0E50">
      <w:pPr>
        <w:pStyle w:val="TOC2"/>
        <w:rPr>
          <w:rFonts w:asciiTheme="minorHAnsi" w:eastAsiaTheme="minorEastAsia" w:hAnsiTheme="minorHAnsi" w:cstheme="minorBidi"/>
          <w:noProof/>
          <w:szCs w:val="24"/>
        </w:rPr>
      </w:pPr>
      <w:hyperlink w:anchor="_Toc82385643" w:history="1">
        <w:r w:rsidR="002C0E50" w:rsidRPr="00C75400">
          <w:rPr>
            <w:rStyle w:val="Hyperlink"/>
            <w:noProof/>
          </w:rPr>
          <w:t>3.1</w:t>
        </w:r>
        <w:r w:rsidR="002C0E50">
          <w:rPr>
            <w:rFonts w:asciiTheme="minorHAnsi" w:eastAsiaTheme="minorEastAsia" w:hAnsiTheme="minorHAnsi" w:cstheme="minorBidi"/>
            <w:noProof/>
            <w:szCs w:val="24"/>
          </w:rPr>
          <w:tab/>
        </w:r>
        <w:r w:rsidR="002C0E50" w:rsidRPr="00C75400">
          <w:rPr>
            <w:rStyle w:val="Hyperlink"/>
            <w:noProof/>
          </w:rPr>
          <w:t>Crop Production</w:t>
        </w:r>
        <w:r w:rsidR="002C0E50">
          <w:rPr>
            <w:noProof/>
            <w:webHidden/>
          </w:rPr>
          <w:tab/>
        </w:r>
        <w:r w:rsidR="002C0E50">
          <w:rPr>
            <w:noProof/>
            <w:webHidden/>
          </w:rPr>
          <w:fldChar w:fldCharType="begin"/>
        </w:r>
        <w:r w:rsidR="002C0E50">
          <w:rPr>
            <w:noProof/>
            <w:webHidden/>
          </w:rPr>
          <w:instrText xml:space="preserve"> PAGEREF _Toc82385643 \h </w:instrText>
        </w:r>
        <w:r w:rsidR="002C0E50">
          <w:rPr>
            <w:noProof/>
            <w:webHidden/>
          </w:rPr>
        </w:r>
        <w:r w:rsidR="002C0E50">
          <w:rPr>
            <w:noProof/>
            <w:webHidden/>
          </w:rPr>
          <w:fldChar w:fldCharType="separate"/>
        </w:r>
        <w:r w:rsidR="00A15698">
          <w:rPr>
            <w:noProof/>
            <w:webHidden/>
          </w:rPr>
          <w:t>20</w:t>
        </w:r>
        <w:r w:rsidR="002C0E50">
          <w:rPr>
            <w:noProof/>
            <w:webHidden/>
          </w:rPr>
          <w:fldChar w:fldCharType="end"/>
        </w:r>
      </w:hyperlink>
    </w:p>
    <w:p w14:paraId="4C3484C5" w14:textId="045723B0"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644" w:history="1">
        <w:r w:rsidR="002C0E50" w:rsidRPr="00C75400">
          <w:rPr>
            <w:rStyle w:val="Hyperlink"/>
            <w:noProof/>
          </w:rPr>
          <w:t>3.1.1</w:t>
        </w:r>
        <w:r w:rsidR="002C0E50">
          <w:rPr>
            <w:rFonts w:asciiTheme="minorHAnsi" w:eastAsiaTheme="minorEastAsia" w:hAnsiTheme="minorHAnsi" w:cstheme="minorBidi"/>
            <w:noProof/>
            <w:szCs w:val="24"/>
          </w:rPr>
          <w:tab/>
        </w:r>
        <w:r w:rsidR="002C0E50" w:rsidRPr="00C75400">
          <w:rPr>
            <w:rStyle w:val="Hyperlink"/>
            <w:noProof/>
          </w:rPr>
          <w:t>Cereals Crop Production</w:t>
        </w:r>
        <w:r w:rsidR="002C0E50">
          <w:rPr>
            <w:noProof/>
            <w:webHidden/>
          </w:rPr>
          <w:tab/>
        </w:r>
        <w:r w:rsidR="002C0E50">
          <w:rPr>
            <w:noProof/>
            <w:webHidden/>
          </w:rPr>
          <w:fldChar w:fldCharType="begin"/>
        </w:r>
        <w:r w:rsidR="002C0E50">
          <w:rPr>
            <w:noProof/>
            <w:webHidden/>
          </w:rPr>
          <w:instrText xml:space="preserve"> PAGEREF _Toc82385644 \h </w:instrText>
        </w:r>
        <w:r w:rsidR="002C0E50">
          <w:rPr>
            <w:noProof/>
            <w:webHidden/>
          </w:rPr>
        </w:r>
        <w:r w:rsidR="002C0E50">
          <w:rPr>
            <w:noProof/>
            <w:webHidden/>
          </w:rPr>
          <w:fldChar w:fldCharType="separate"/>
        </w:r>
        <w:r w:rsidR="00A15698">
          <w:rPr>
            <w:noProof/>
            <w:webHidden/>
          </w:rPr>
          <w:t>20</w:t>
        </w:r>
        <w:r w:rsidR="002C0E50">
          <w:rPr>
            <w:noProof/>
            <w:webHidden/>
          </w:rPr>
          <w:fldChar w:fldCharType="end"/>
        </w:r>
      </w:hyperlink>
    </w:p>
    <w:p w14:paraId="15D657C1" w14:textId="1FD3A113"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645" w:history="1">
        <w:r w:rsidR="002C0E50" w:rsidRPr="00C75400">
          <w:rPr>
            <w:rStyle w:val="Hyperlink"/>
            <w:noProof/>
          </w:rPr>
          <w:t>3.1.1.1</w:t>
        </w:r>
        <w:r w:rsidR="002C0E50">
          <w:rPr>
            <w:rFonts w:asciiTheme="minorHAnsi" w:eastAsiaTheme="minorEastAsia" w:hAnsiTheme="minorHAnsi" w:cstheme="minorBidi"/>
            <w:noProof/>
            <w:szCs w:val="24"/>
          </w:rPr>
          <w:tab/>
        </w:r>
        <w:r w:rsidR="002C0E50" w:rsidRPr="00C75400">
          <w:rPr>
            <w:rStyle w:val="Hyperlink"/>
            <w:noProof/>
          </w:rPr>
          <w:t>Maize</w:t>
        </w:r>
        <w:r w:rsidR="002C0E50">
          <w:rPr>
            <w:noProof/>
            <w:webHidden/>
          </w:rPr>
          <w:tab/>
        </w:r>
        <w:r w:rsidR="002C0E50">
          <w:rPr>
            <w:noProof/>
            <w:webHidden/>
          </w:rPr>
          <w:fldChar w:fldCharType="begin"/>
        </w:r>
        <w:r w:rsidR="002C0E50">
          <w:rPr>
            <w:noProof/>
            <w:webHidden/>
          </w:rPr>
          <w:instrText xml:space="preserve"> PAGEREF _Toc82385645 \h </w:instrText>
        </w:r>
        <w:r w:rsidR="002C0E50">
          <w:rPr>
            <w:noProof/>
            <w:webHidden/>
          </w:rPr>
        </w:r>
        <w:r w:rsidR="002C0E50">
          <w:rPr>
            <w:noProof/>
            <w:webHidden/>
          </w:rPr>
          <w:fldChar w:fldCharType="separate"/>
        </w:r>
        <w:r w:rsidR="00A15698">
          <w:rPr>
            <w:noProof/>
            <w:webHidden/>
          </w:rPr>
          <w:t>23</w:t>
        </w:r>
        <w:r w:rsidR="002C0E50">
          <w:rPr>
            <w:noProof/>
            <w:webHidden/>
          </w:rPr>
          <w:fldChar w:fldCharType="end"/>
        </w:r>
      </w:hyperlink>
    </w:p>
    <w:p w14:paraId="5AF146F3" w14:textId="19F85FAF"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646" w:history="1">
        <w:r w:rsidR="002C0E50" w:rsidRPr="00C75400">
          <w:rPr>
            <w:rStyle w:val="Hyperlink"/>
            <w:noProof/>
          </w:rPr>
          <w:t>3.1.1.2</w:t>
        </w:r>
        <w:r w:rsidR="002C0E50">
          <w:rPr>
            <w:rFonts w:asciiTheme="minorHAnsi" w:eastAsiaTheme="minorEastAsia" w:hAnsiTheme="minorHAnsi" w:cstheme="minorBidi"/>
            <w:noProof/>
            <w:szCs w:val="24"/>
          </w:rPr>
          <w:tab/>
        </w:r>
        <w:r w:rsidR="002C0E50" w:rsidRPr="00C75400">
          <w:rPr>
            <w:rStyle w:val="Hyperlink"/>
            <w:noProof/>
          </w:rPr>
          <w:t>Paddy</w:t>
        </w:r>
        <w:r w:rsidR="002C0E50">
          <w:rPr>
            <w:noProof/>
            <w:webHidden/>
          </w:rPr>
          <w:tab/>
        </w:r>
        <w:r w:rsidR="002C0E50">
          <w:rPr>
            <w:noProof/>
            <w:webHidden/>
          </w:rPr>
          <w:fldChar w:fldCharType="begin"/>
        </w:r>
        <w:r w:rsidR="002C0E50">
          <w:rPr>
            <w:noProof/>
            <w:webHidden/>
          </w:rPr>
          <w:instrText xml:space="preserve"> PAGEREF _Toc82385646 \h </w:instrText>
        </w:r>
        <w:r w:rsidR="002C0E50">
          <w:rPr>
            <w:noProof/>
            <w:webHidden/>
          </w:rPr>
        </w:r>
        <w:r w:rsidR="002C0E50">
          <w:rPr>
            <w:noProof/>
            <w:webHidden/>
          </w:rPr>
          <w:fldChar w:fldCharType="separate"/>
        </w:r>
        <w:r w:rsidR="00A15698">
          <w:rPr>
            <w:noProof/>
            <w:webHidden/>
          </w:rPr>
          <w:t>27</w:t>
        </w:r>
        <w:r w:rsidR="002C0E50">
          <w:rPr>
            <w:noProof/>
            <w:webHidden/>
          </w:rPr>
          <w:fldChar w:fldCharType="end"/>
        </w:r>
      </w:hyperlink>
    </w:p>
    <w:p w14:paraId="753BCF30" w14:textId="629083F1"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647" w:history="1">
        <w:r w:rsidR="002C0E50" w:rsidRPr="00C75400">
          <w:rPr>
            <w:rStyle w:val="Hyperlink"/>
            <w:noProof/>
          </w:rPr>
          <w:t>3.1.1.3</w:t>
        </w:r>
        <w:r w:rsidR="002C0E50">
          <w:rPr>
            <w:rFonts w:asciiTheme="minorHAnsi" w:eastAsiaTheme="minorEastAsia" w:hAnsiTheme="minorHAnsi" w:cstheme="minorBidi"/>
            <w:noProof/>
            <w:szCs w:val="24"/>
          </w:rPr>
          <w:tab/>
        </w:r>
        <w:r w:rsidR="002C0E50" w:rsidRPr="00C75400">
          <w:rPr>
            <w:rStyle w:val="Hyperlink"/>
            <w:noProof/>
          </w:rPr>
          <w:t>Sorghum</w:t>
        </w:r>
        <w:r w:rsidR="002C0E50">
          <w:rPr>
            <w:noProof/>
            <w:webHidden/>
          </w:rPr>
          <w:tab/>
        </w:r>
        <w:r w:rsidR="002C0E50">
          <w:rPr>
            <w:noProof/>
            <w:webHidden/>
          </w:rPr>
          <w:fldChar w:fldCharType="begin"/>
        </w:r>
        <w:r w:rsidR="002C0E50">
          <w:rPr>
            <w:noProof/>
            <w:webHidden/>
          </w:rPr>
          <w:instrText xml:space="preserve"> PAGEREF _Toc82385647 \h </w:instrText>
        </w:r>
        <w:r w:rsidR="002C0E50">
          <w:rPr>
            <w:noProof/>
            <w:webHidden/>
          </w:rPr>
        </w:r>
        <w:r w:rsidR="002C0E50">
          <w:rPr>
            <w:noProof/>
            <w:webHidden/>
          </w:rPr>
          <w:fldChar w:fldCharType="separate"/>
        </w:r>
        <w:r w:rsidR="00A15698">
          <w:rPr>
            <w:noProof/>
            <w:webHidden/>
          </w:rPr>
          <w:t>31</w:t>
        </w:r>
        <w:r w:rsidR="002C0E50">
          <w:rPr>
            <w:noProof/>
            <w:webHidden/>
          </w:rPr>
          <w:fldChar w:fldCharType="end"/>
        </w:r>
      </w:hyperlink>
    </w:p>
    <w:p w14:paraId="12884865" w14:textId="12613CA2"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648" w:history="1">
        <w:r w:rsidR="002C0E50" w:rsidRPr="00C75400">
          <w:rPr>
            <w:rStyle w:val="Hyperlink"/>
            <w:noProof/>
          </w:rPr>
          <w:t>3.1.1.4</w:t>
        </w:r>
        <w:r w:rsidR="002C0E50">
          <w:rPr>
            <w:rFonts w:asciiTheme="minorHAnsi" w:eastAsiaTheme="minorEastAsia" w:hAnsiTheme="minorHAnsi" w:cstheme="minorBidi"/>
            <w:noProof/>
            <w:szCs w:val="24"/>
          </w:rPr>
          <w:tab/>
        </w:r>
        <w:r w:rsidR="002C0E50" w:rsidRPr="00C75400">
          <w:rPr>
            <w:rStyle w:val="Hyperlink"/>
            <w:noProof/>
          </w:rPr>
          <w:t>Other Cereals</w:t>
        </w:r>
        <w:r w:rsidR="002C0E50">
          <w:rPr>
            <w:noProof/>
            <w:webHidden/>
          </w:rPr>
          <w:tab/>
        </w:r>
        <w:r w:rsidR="002C0E50">
          <w:rPr>
            <w:noProof/>
            <w:webHidden/>
          </w:rPr>
          <w:fldChar w:fldCharType="begin"/>
        </w:r>
        <w:r w:rsidR="002C0E50">
          <w:rPr>
            <w:noProof/>
            <w:webHidden/>
          </w:rPr>
          <w:instrText xml:space="preserve"> PAGEREF _Toc82385648 \h </w:instrText>
        </w:r>
        <w:r w:rsidR="002C0E50">
          <w:rPr>
            <w:noProof/>
            <w:webHidden/>
          </w:rPr>
        </w:r>
        <w:r w:rsidR="002C0E50">
          <w:rPr>
            <w:noProof/>
            <w:webHidden/>
          </w:rPr>
          <w:fldChar w:fldCharType="separate"/>
        </w:r>
        <w:r w:rsidR="00A15698">
          <w:rPr>
            <w:noProof/>
            <w:webHidden/>
          </w:rPr>
          <w:t>34</w:t>
        </w:r>
        <w:r w:rsidR="002C0E50">
          <w:rPr>
            <w:noProof/>
            <w:webHidden/>
          </w:rPr>
          <w:fldChar w:fldCharType="end"/>
        </w:r>
      </w:hyperlink>
    </w:p>
    <w:p w14:paraId="114E0A29" w14:textId="6F81FF1C"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649" w:history="1">
        <w:r w:rsidR="002C0E50" w:rsidRPr="00C75400">
          <w:rPr>
            <w:rStyle w:val="Hyperlink"/>
            <w:noProof/>
          </w:rPr>
          <w:t>3.1.2</w:t>
        </w:r>
        <w:r w:rsidR="002C0E50">
          <w:rPr>
            <w:rFonts w:asciiTheme="minorHAnsi" w:eastAsiaTheme="minorEastAsia" w:hAnsiTheme="minorHAnsi" w:cstheme="minorBidi"/>
            <w:noProof/>
            <w:szCs w:val="24"/>
          </w:rPr>
          <w:tab/>
        </w:r>
        <w:r w:rsidR="002C0E50" w:rsidRPr="00C75400">
          <w:rPr>
            <w:rStyle w:val="Hyperlink"/>
            <w:noProof/>
          </w:rPr>
          <w:t>Roots and Tuber Crops Production</w:t>
        </w:r>
        <w:r w:rsidR="002C0E50">
          <w:rPr>
            <w:noProof/>
            <w:webHidden/>
          </w:rPr>
          <w:tab/>
        </w:r>
        <w:r w:rsidR="002C0E50">
          <w:rPr>
            <w:noProof/>
            <w:webHidden/>
          </w:rPr>
          <w:fldChar w:fldCharType="begin"/>
        </w:r>
        <w:r w:rsidR="002C0E50">
          <w:rPr>
            <w:noProof/>
            <w:webHidden/>
          </w:rPr>
          <w:instrText xml:space="preserve"> PAGEREF _Toc82385649 \h </w:instrText>
        </w:r>
        <w:r w:rsidR="002C0E50">
          <w:rPr>
            <w:noProof/>
            <w:webHidden/>
          </w:rPr>
        </w:r>
        <w:r w:rsidR="002C0E50">
          <w:rPr>
            <w:noProof/>
            <w:webHidden/>
          </w:rPr>
          <w:fldChar w:fldCharType="separate"/>
        </w:r>
        <w:r w:rsidR="00A15698">
          <w:rPr>
            <w:noProof/>
            <w:webHidden/>
          </w:rPr>
          <w:t>35</w:t>
        </w:r>
        <w:r w:rsidR="002C0E50">
          <w:rPr>
            <w:noProof/>
            <w:webHidden/>
          </w:rPr>
          <w:fldChar w:fldCharType="end"/>
        </w:r>
      </w:hyperlink>
    </w:p>
    <w:p w14:paraId="79E87499" w14:textId="41A81D40"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650" w:history="1">
        <w:r w:rsidR="002C0E50" w:rsidRPr="00C75400">
          <w:rPr>
            <w:rStyle w:val="Hyperlink"/>
            <w:noProof/>
          </w:rPr>
          <w:t>3.1.2.1</w:t>
        </w:r>
        <w:r w:rsidR="002C0E50">
          <w:rPr>
            <w:rFonts w:asciiTheme="minorHAnsi" w:eastAsiaTheme="minorEastAsia" w:hAnsiTheme="minorHAnsi" w:cstheme="minorBidi"/>
            <w:noProof/>
            <w:szCs w:val="24"/>
          </w:rPr>
          <w:tab/>
        </w:r>
        <w:r w:rsidR="002C0E50" w:rsidRPr="00C75400">
          <w:rPr>
            <w:rStyle w:val="Hyperlink"/>
            <w:noProof/>
          </w:rPr>
          <w:t>Cassava</w:t>
        </w:r>
        <w:r w:rsidR="002C0E50">
          <w:rPr>
            <w:noProof/>
            <w:webHidden/>
          </w:rPr>
          <w:tab/>
        </w:r>
        <w:r w:rsidR="002C0E50">
          <w:rPr>
            <w:noProof/>
            <w:webHidden/>
          </w:rPr>
          <w:fldChar w:fldCharType="begin"/>
        </w:r>
        <w:r w:rsidR="002C0E50">
          <w:rPr>
            <w:noProof/>
            <w:webHidden/>
          </w:rPr>
          <w:instrText xml:space="preserve"> PAGEREF _Toc82385650 \h </w:instrText>
        </w:r>
        <w:r w:rsidR="002C0E50">
          <w:rPr>
            <w:noProof/>
            <w:webHidden/>
          </w:rPr>
        </w:r>
        <w:r w:rsidR="002C0E50">
          <w:rPr>
            <w:noProof/>
            <w:webHidden/>
          </w:rPr>
          <w:fldChar w:fldCharType="separate"/>
        </w:r>
        <w:r w:rsidR="00A15698">
          <w:rPr>
            <w:noProof/>
            <w:webHidden/>
          </w:rPr>
          <w:t>37</w:t>
        </w:r>
        <w:r w:rsidR="002C0E50">
          <w:rPr>
            <w:noProof/>
            <w:webHidden/>
          </w:rPr>
          <w:fldChar w:fldCharType="end"/>
        </w:r>
      </w:hyperlink>
    </w:p>
    <w:p w14:paraId="65CE0A24" w14:textId="1434383B"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651" w:history="1">
        <w:r w:rsidR="002C0E50" w:rsidRPr="00C75400">
          <w:rPr>
            <w:rStyle w:val="Hyperlink"/>
            <w:noProof/>
          </w:rPr>
          <w:t>3.1.2.2</w:t>
        </w:r>
        <w:r w:rsidR="002C0E50">
          <w:rPr>
            <w:rFonts w:asciiTheme="minorHAnsi" w:eastAsiaTheme="minorEastAsia" w:hAnsiTheme="minorHAnsi" w:cstheme="minorBidi"/>
            <w:noProof/>
            <w:szCs w:val="24"/>
          </w:rPr>
          <w:tab/>
        </w:r>
        <w:r w:rsidR="002C0E50" w:rsidRPr="00C75400">
          <w:rPr>
            <w:rStyle w:val="Hyperlink"/>
            <w:noProof/>
          </w:rPr>
          <w:t>Sweet Potatoes</w:t>
        </w:r>
        <w:r w:rsidR="002C0E50">
          <w:rPr>
            <w:noProof/>
            <w:webHidden/>
          </w:rPr>
          <w:tab/>
        </w:r>
        <w:r w:rsidR="002C0E50">
          <w:rPr>
            <w:noProof/>
            <w:webHidden/>
          </w:rPr>
          <w:fldChar w:fldCharType="begin"/>
        </w:r>
        <w:r w:rsidR="002C0E50">
          <w:rPr>
            <w:noProof/>
            <w:webHidden/>
          </w:rPr>
          <w:instrText xml:space="preserve"> PAGEREF _Toc82385651 \h </w:instrText>
        </w:r>
        <w:r w:rsidR="002C0E50">
          <w:rPr>
            <w:noProof/>
            <w:webHidden/>
          </w:rPr>
        </w:r>
        <w:r w:rsidR="002C0E50">
          <w:rPr>
            <w:noProof/>
            <w:webHidden/>
          </w:rPr>
          <w:fldChar w:fldCharType="separate"/>
        </w:r>
        <w:r w:rsidR="00A15698">
          <w:rPr>
            <w:noProof/>
            <w:webHidden/>
          </w:rPr>
          <w:t>40</w:t>
        </w:r>
        <w:r w:rsidR="002C0E50">
          <w:rPr>
            <w:noProof/>
            <w:webHidden/>
          </w:rPr>
          <w:fldChar w:fldCharType="end"/>
        </w:r>
      </w:hyperlink>
    </w:p>
    <w:p w14:paraId="2C67EAF6" w14:textId="55C5C29A"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652" w:history="1">
        <w:r w:rsidR="002C0E50" w:rsidRPr="00C75400">
          <w:rPr>
            <w:rStyle w:val="Hyperlink"/>
            <w:noProof/>
          </w:rPr>
          <w:t>3.1.2.3</w:t>
        </w:r>
        <w:r w:rsidR="002C0E50">
          <w:rPr>
            <w:rFonts w:asciiTheme="minorHAnsi" w:eastAsiaTheme="minorEastAsia" w:hAnsiTheme="minorHAnsi" w:cstheme="minorBidi"/>
            <w:noProof/>
            <w:szCs w:val="24"/>
          </w:rPr>
          <w:tab/>
        </w:r>
        <w:r w:rsidR="002C0E50" w:rsidRPr="00C75400">
          <w:rPr>
            <w:rStyle w:val="Hyperlink"/>
            <w:noProof/>
          </w:rPr>
          <w:t>Irish Potatoes</w:t>
        </w:r>
        <w:r w:rsidR="002C0E50">
          <w:rPr>
            <w:noProof/>
            <w:webHidden/>
          </w:rPr>
          <w:tab/>
        </w:r>
        <w:r w:rsidR="002C0E50">
          <w:rPr>
            <w:noProof/>
            <w:webHidden/>
          </w:rPr>
          <w:fldChar w:fldCharType="begin"/>
        </w:r>
        <w:r w:rsidR="002C0E50">
          <w:rPr>
            <w:noProof/>
            <w:webHidden/>
          </w:rPr>
          <w:instrText xml:space="preserve"> PAGEREF _Toc82385652 \h </w:instrText>
        </w:r>
        <w:r w:rsidR="002C0E50">
          <w:rPr>
            <w:noProof/>
            <w:webHidden/>
          </w:rPr>
        </w:r>
        <w:r w:rsidR="002C0E50">
          <w:rPr>
            <w:noProof/>
            <w:webHidden/>
          </w:rPr>
          <w:fldChar w:fldCharType="separate"/>
        </w:r>
        <w:r w:rsidR="00A15698">
          <w:rPr>
            <w:noProof/>
            <w:webHidden/>
          </w:rPr>
          <w:t>44</w:t>
        </w:r>
        <w:r w:rsidR="002C0E50">
          <w:rPr>
            <w:noProof/>
            <w:webHidden/>
          </w:rPr>
          <w:fldChar w:fldCharType="end"/>
        </w:r>
      </w:hyperlink>
    </w:p>
    <w:p w14:paraId="29AD97B7" w14:textId="6401EEE3"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653" w:history="1">
        <w:r w:rsidR="002C0E50" w:rsidRPr="00C75400">
          <w:rPr>
            <w:rStyle w:val="Hyperlink"/>
            <w:noProof/>
          </w:rPr>
          <w:t>3.1.2.4</w:t>
        </w:r>
        <w:r w:rsidR="002C0E50">
          <w:rPr>
            <w:rFonts w:asciiTheme="minorHAnsi" w:eastAsiaTheme="minorEastAsia" w:hAnsiTheme="minorHAnsi" w:cstheme="minorBidi"/>
            <w:noProof/>
            <w:szCs w:val="24"/>
          </w:rPr>
          <w:tab/>
        </w:r>
        <w:r w:rsidR="002C0E50" w:rsidRPr="00C75400">
          <w:rPr>
            <w:rStyle w:val="Hyperlink"/>
            <w:noProof/>
          </w:rPr>
          <w:t>Other Roots and Tuber Crops</w:t>
        </w:r>
        <w:r w:rsidR="002C0E50">
          <w:rPr>
            <w:noProof/>
            <w:webHidden/>
          </w:rPr>
          <w:tab/>
        </w:r>
        <w:r w:rsidR="002C0E50">
          <w:rPr>
            <w:noProof/>
            <w:webHidden/>
          </w:rPr>
          <w:fldChar w:fldCharType="begin"/>
        </w:r>
        <w:r w:rsidR="002C0E50">
          <w:rPr>
            <w:noProof/>
            <w:webHidden/>
          </w:rPr>
          <w:instrText xml:space="preserve"> PAGEREF _Toc82385653 \h </w:instrText>
        </w:r>
        <w:r w:rsidR="002C0E50">
          <w:rPr>
            <w:noProof/>
            <w:webHidden/>
          </w:rPr>
        </w:r>
        <w:r w:rsidR="002C0E50">
          <w:rPr>
            <w:noProof/>
            <w:webHidden/>
          </w:rPr>
          <w:fldChar w:fldCharType="separate"/>
        </w:r>
        <w:r w:rsidR="00A15698">
          <w:rPr>
            <w:noProof/>
            <w:webHidden/>
          </w:rPr>
          <w:t>46</w:t>
        </w:r>
        <w:r w:rsidR="002C0E50">
          <w:rPr>
            <w:noProof/>
            <w:webHidden/>
          </w:rPr>
          <w:fldChar w:fldCharType="end"/>
        </w:r>
      </w:hyperlink>
    </w:p>
    <w:p w14:paraId="03A211BD" w14:textId="76554E99"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654" w:history="1">
        <w:r w:rsidR="002C0E50" w:rsidRPr="00C75400">
          <w:rPr>
            <w:rStyle w:val="Hyperlink"/>
            <w:noProof/>
          </w:rPr>
          <w:t>3.1.3</w:t>
        </w:r>
        <w:r w:rsidR="002C0E50">
          <w:rPr>
            <w:rFonts w:asciiTheme="minorHAnsi" w:eastAsiaTheme="minorEastAsia" w:hAnsiTheme="minorHAnsi" w:cstheme="minorBidi"/>
            <w:noProof/>
            <w:szCs w:val="24"/>
          </w:rPr>
          <w:tab/>
        </w:r>
        <w:r w:rsidR="002C0E50" w:rsidRPr="00C75400">
          <w:rPr>
            <w:rStyle w:val="Hyperlink"/>
            <w:noProof/>
          </w:rPr>
          <w:t>Pulses</w:t>
        </w:r>
        <w:r w:rsidR="002C0E50">
          <w:rPr>
            <w:noProof/>
            <w:webHidden/>
          </w:rPr>
          <w:tab/>
        </w:r>
        <w:r w:rsidR="002C0E50">
          <w:rPr>
            <w:noProof/>
            <w:webHidden/>
          </w:rPr>
          <w:fldChar w:fldCharType="begin"/>
        </w:r>
        <w:r w:rsidR="002C0E50">
          <w:rPr>
            <w:noProof/>
            <w:webHidden/>
          </w:rPr>
          <w:instrText xml:space="preserve"> PAGEREF _Toc82385654 \h </w:instrText>
        </w:r>
        <w:r w:rsidR="002C0E50">
          <w:rPr>
            <w:noProof/>
            <w:webHidden/>
          </w:rPr>
        </w:r>
        <w:r w:rsidR="002C0E50">
          <w:rPr>
            <w:noProof/>
            <w:webHidden/>
          </w:rPr>
          <w:fldChar w:fldCharType="separate"/>
        </w:r>
        <w:r w:rsidR="00A15698">
          <w:rPr>
            <w:noProof/>
            <w:webHidden/>
          </w:rPr>
          <w:t>47</w:t>
        </w:r>
        <w:r w:rsidR="002C0E50">
          <w:rPr>
            <w:noProof/>
            <w:webHidden/>
          </w:rPr>
          <w:fldChar w:fldCharType="end"/>
        </w:r>
      </w:hyperlink>
    </w:p>
    <w:p w14:paraId="7B8F335B" w14:textId="5F5885F9"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655" w:history="1">
        <w:r w:rsidR="002C0E50" w:rsidRPr="00C75400">
          <w:rPr>
            <w:rStyle w:val="Hyperlink"/>
            <w:noProof/>
          </w:rPr>
          <w:t>3.1.3.1</w:t>
        </w:r>
        <w:r w:rsidR="002C0E50">
          <w:rPr>
            <w:rFonts w:asciiTheme="minorHAnsi" w:eastAsiaTheme="minorEastAsia" w:hAnsiTheme="minorHAnsi" w:cstheme="minorBidi"/>
            <w:noProof/>
            <w:szCs w:val="24"/>
          </w:rPr>
          <w:tab/>
        </w:r>
        <w:r w:rsidR="002C0E50" w:rsidRPr="00C75400">
          <w:rPr>
            <w:rStyle w:val="Hyperlink"/>
            <w:noProof/>
          </w:rPr>
          <w:t>Beans</w:t>
        </w:r>
        <w:r w:rsidR="002C0E50">
          <w:rPr>
            <w:noProof/>
            <w:webHidden/>
          </w:rPr>
          <w:tab/>
        </w:r>
        <w:r w:rsidR="002C0E50">
          <w:rPr>
            <w:noProof/>
            <w:webHidden/>
          </w:rPr>
          <w:fldChar w:fldCharType="begin"/>
        </w:r>
        <w:r w:rsidR="002C0E50">
          <w:rPr>
            <w:noProof/>
            <w:webHidden/>
          </w:rPr>
          <w:instrText xml:space="preserve"> PAGEREF _Toc82385655 \h </w:instrText>
        </w:r>
        <w:r w:rsidR="002C0E50">
          <w:rPr>
            <w:noProof/>
            <w:webHidden/>
          </w:rPr>
        </w:r>
        <w:r w:rsidR="002C0E50">
          <w:rPr>
            <w:noProof/>
            <w:webHidden/>
          </w:rPr>
          <w:fldChar w:fldCharType="separate"/>
        </w:r>
        <w:r w:rsidR="00A15698">
          <w:rPr>
            <w:noProof/>
            <w:webHidden/>
          </w:rPr>
          <w:t>47</w:t>
        </w:r>
        <w:r w:rsidR="002C0E50">
          <w:rPr>
            <w:noProof/>
            <w:webHidden/>
          </w:rPr>
          <w:fldChar w:fldCharType="end"/>
        </w:r>
      </w:hyperlink>
    </w:p>
    <w:p w14:paraId="3FB23700" w14:textId="626F6B10"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656" w:history="1">
        <w:r w:rsidR="002C0E50" w:rsidRPr="00C75400">
          <w:rPr>
            <w:rStyle w:val="Hyperlink"/>
            <w:noProof/>
          </w:rPr>
          <w:t>3.1.3.2</w:t>
        </w:r>
        <w:r w:rsidR="002C0E50">
          <w:rPr>
            <w:rFonts w:asciiTheme="minorHAnsi" w:eastAsiaTheme="minorEastAsia" w:hAnsiTheme="minorHAnsi" w:cstheme="minorBidi"/>
            <w:noProof/>
            <w:szCs w:val="24"/>
          </w:rPr>
          <w:tab/>
        </w:r>
        <w:r w:rsidR="002C0E50" w:rsidRPr="00C75400">
          <w:rPr>
            <w:rStyle w:val="Hyperlink"/>
            <w:noProof/>
          </w:rPr>
          <w:t>Cowpeas</w:t>
        </w:r>
        <w:r w:rsidR="002C0E50">
          <w:rPr>
            <w:noProof/>
            <w:webHidden/>
          </w:rPr>
          <w:tab/>
        </w:r>
        <w:r w:rsidR="002C0E50">
          <w:rPr>
            <w:noProof/>
            <w:webHidden/>
          </w:rPr>
          <w:fldChar w:fldCharType="begin"/>
        </w:r>
        <w:r w:rsidR="002C0E50">
          <w:rPr>
            <w:noProof/>
            <w:webHidden/>
          </w:rPr>
          <w:instrText xml:space="preserve"> PAGEREF _Toc82385656 \h </w:instrText>
        </w:r>
        <w:r w:rsidR="002C0E50">
          <w:rPr>
            <w:noProof/>
            <w:webHidden/>
          </w:rPr>
        </w:r>
        <w:r w:rsidR="002C0E50">
          <w:rPr>
            <w:noProof/>
            <w:webHidden/>
          </w:rPr>
          <w:fldChar w:fldCharType="separate"/>
        </w:r>
        <w:r w:rsidR="00A15698">
          <w:rPr>
            <w:noProof/>
            <w:webHidden/>
          </w:rPr>
          <w:t>49</w:t>
        </w:r>
        <w:r w:rsidR="002C0E50">
          <w:rPr>
            <w:noProof/>
            <w:webHidden/>
          </w:rPr>
          <w:fldChar w:fldCharType="end"/>
        </w:r>
      </w:hyperlink>
    </w:p>
    <w:p w14:paraId="32F4C81A" w14:textId="13C01BA1"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657" w:history="1">
        <w:r w:rsidR="002C0E50" w:rsidRPr="00C75400">
          <w:rPr>
            <w:rStyle w:val="Hyperlink"/>
            <w:noProof/>
          </w:rPr>
          <w:t>3.1.3.3</w:t>
        </w:r>
        <w:r w:rsidR="002C0E50">
          <w:rPr>
            <w:rFonts w:asciiTheme="minorHAnsi" w:eastAsiaTheme="minorEastAsia" w:hAnsiTheme="minorHAnsi" w:cstheme="minorBidi"/>
            <w:noProof/>
            <w:szCs w:val="24"/>
          </w:rPr>
          <w:tab/>
        </w:r>
        <w:r w:rsidR="002C0E50" w:rsidRPr="00C75400">
          <w:rPr>
            <w:rStyle w:val="Hyperlink"/>
            <w:noProof/>
          </w:rPr>
          <w:t>Green gram</w:t>
        </w:r>
        <w:r w:rsidR="002C0E50">
          <w:rPr>
            <w:noProof/>
            <w:webHidden/>
          </w:rPr>
          <w:tab/>
        </w:r>
        <w:r w:rsidR="002C0E50">
          <w:rPr>
            <w:noProof/>
            <w:webHidden/>
          </w:rPr>
          <w:fldChar w:fldCharType="begin"/>
        </w:r>
        <w:r w:rsidR="002C0E50">
          <w:rPr>
            <w:noProof/>
            <w:webHidden/>
          </w:rPr>
          <w:instrText xml:space="preserve"> PAGEREF _Toc82385657 \h </w:instrText>
        </w:r>
        <w:r w:rsidR="002C0E50">
          <w:rPr>
            <w:noProof/>
            <w:webHidden/>
          </w:rPr>
        </w:r>
        <w:r w:rsidR="002C0E50">
          <w:rPr>
            <w:noProof/>
            <w:webHidden/>
          </w:rPr>
          <w:fldChar w:fldCharType="separate"/>
        </w:r>
        <w:r w:rsidR="00A15698">
          <w:rPr>
            <w:noProof/>
            <w:webHidden/>
          </w:rPr>
          <w:t>52</w:t>
        </w:r>
        <w:r w:rsidR="002C0E50">
          <w:rPr>
            <w:noProof/>
            <w:webHidden/>
          </w:rPr>
          <w:fldChar w:fldCharType="end"/>
        </w:r>
      </w:hyperlink>
    </w:p>
    <w:p w14:paraId="73AD63C3" w14:textId="681EE11E"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658" w:history="1">
        <w:r w:rsidR="002C0E50" w:rsidRPr="00C75400">
          <w:rPr>
            <w:rStyle w:val="Hyperlink"/>
            <w:noProof/>
          </w:rPr>
          <w:t>3.1.3.4</w:t>
        </w:r>
        <w:r w:rsidR="002C0E50">
          <w:rPr>
            <w:rFonts w:asciiTheme="minorHAnsi" w:eastAsiaTheme="minorEastAsia" w:hAnsiTheme="minorHAnsi" w:cstheme="minorBidi"/>
            <w:noProof/>
            <w:szCs w:val="24"/>
          </w:rPr>
          <w:tab/>
        </w:r>
        <w:r w:rsidR="002C0E50" w:rsidRPr="00C75400">
          <w:rPr>
            <w:rStyle w:val="Hyperlink"/>
            <w:noProof/>
          </w:rPr>
          <w:t>Pigeon Peas</w:t>
        </w:r>
        <w:r w:rsidR="002C0E50">
          <w:rPr>
            <w:noProof/>
            <w:webHidden/>
          </w:rPr>
          <w:tab/>
        </w:r>
        <w:r w:rsidR="002C0E50">
          <w:rPr>
            <w:noProof/>
            <w:webHidden/>
          </w:rPr>
          <w:fldChar w:fldCharType="begin"/>
        </w:r>
        <w:r w:rsidR="002C0E50">
          <w:rPr>
            <w:noProof/>
            <w:webHidden/>
          </w:rPr>
          <w:instrText xml:space="preserve"> PAGEREF _Toc82385658 \h </w:instrText>
        </w:r>
        <w:r w:rsidR="002C0E50">
          <w:rPr>
            <w:noProof/>
            <w:webHidden/>
          </w:rPr>
        </w:r>
        <w:r w:rsidR="002C0E50">
          <w:rPr>
            <w:noProof/>
            <w:webHidden/>
          </w:rPr>
          <w:fldChar w:fldCharType="separate"/>
        </w:r>
        <w:r w:rsidR="00A15698">
          <w:rPr>
            <w:noProof/>
            <w:webHidden/>
          </w:rPr>
          <w:t>55</w:t>
        </w:r>
        <w:r w:rsidR="002C0E50">
          <w:rPr>
            <w:noProof/>
            <w:webHidden/>
          </w:rPr>
          <w:fldChar w:fldCharType="end"/>
        </w:r>
      </w:hyperlink>
    </w:p>
    <w:p w14:paraId="5DD91345" w14:textId="72EF76A4"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659" w:history="1">
        <w:r w:rsidR="002C0E50" w:rsidRPr="00C75400">
          <w:rPr>
            <w:rStyle w:val="Hyperlink"/>
            <w:noProof/>
          </w:rPr>
          <w:t>3.1.3.5</w:t>
        </w:r>
        <w:r w:rsidR="002C0E50">
          <w:rPr>
            <w:rFonts w:asciiTheme="minorHAnsi" w:eastAsiaTheme="minorEastAsia" w:hAnsiTheme="minorHAnsi" w:cstheme="minorBidi"/>
            <w:noProof/>
            <w:szCs w:val="24"/>
          </w:rPr>
          <w:tab/>
        </w:r>
        <w:r w:rsidR="002C0E50" w:rsidRPr="00C75400">
          <w:rPr>
            <w:rStyle w:val="Hyperlink"/>
            <w:noProof/>
          </w:rPr>
          <w:t>Other Pulses</w:t>
        </w:r>
        <w:r w:rsidR="002C0E50">
          <w:rPr>
            <w:noProof/>
            <w:webHidden/>
          </w:rPr>
          <w:tab/>
        </w:r>
        <w:r w:rsidR="002C0E50">
          <w:rPr>
            <w:noProof/>
            <w:webHidden/>
          </w:rPr>
          <w:fldChar w:fldCharType="begin"/>
        </w:r>
        <w:r w:rsidR="002C0E50">
          <w:rPr>
            <w:noProof/>
            <w:webHidden/>
          </w:rPr>
          <w:instrText xml:space="preserve"> PAGEREF _Toc82385659 \h </w:instrText>
        </w:r>
        <w:r w:rsidR="002C0E50">
          <w:rPr>
            <w:noProof/>
            <w:webHidden/>
          </w:rPr>
        </w:r>
        <w:r w:rsidR="002C0E50">
          <w:rPr>
            <w:noProof/>
            <w:webHidden/>
          </w:rPr>
          <w:fldChar w:fldCharType="separate"/>
        </w:r>
        <w:r w:rsidR="00A15698">
          <w:rPr>
            <w:noProof/>
            <w:webHidden/>
          </w:rPr>
          <w:t>58</w:t>
        </w:r>
        <w:r w:rsidR="002C0E50">
          <w:rPr>
            <w:noProof/>
            <w:webHidden/>
          </w:rPr>
          <w:fldChar w:fldCharType="end"/>
        </w:r>
      </w:hyperlink>
    </w:p>
    <w:p w14:paraId="6BC51967" w14:textId="1EF869A4"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660" w:history="1">
        <w:r w:rsidR="002C0E50" w:rsidRPr="00C75400">
          <w:rPr>
            <w:rStyle w:val="Hyperlink"/>
            <w:noProof/>
          </w:rPr>
          <w:t>3.1.4</w:t>
        </w:r>
        <w:r w:rsidR="002C0E50">
          <w:rPr>
            <w:rFonts w:asciiTheme="minorHAnsi" w:eastAsiaTheme="minorEastAsia" w:hAnsiTheme="minorHAnsi" w:cstheme="minorBidi"/>
            <w:noProof/>
            <w:szCs w:val="24"/>
          </w:rPr>
          <w:tab/>
        </w:r>
        <w:r w:rsidR="002C0E50" w:rsidRPr="00C75400">
          <w:rPr>
            <w:rStyle w:val="Hyperlink"/>
            <w:noProof/>
          </w:rPr>
          <w:t>Oil Seeds and Nuts Crops</w:t>
        </w:r>
        <w:r w:rsidR="002C0E50">
          <w:rPr>
            <w:noProof/>
            <w:webHidden/>
          </w:rPr>
          <w:tab/>
        </w:r>
        <w:r w:rsidR="002C0E50">
          <w:rPr>
            <w:noProof/>
            <w:webHidden/>
          </w:rPr>
          <w:fldChar w:fldCharType="begin"/>
        </w:r>
        <w:r w:rsidR="002C0E50">
          <w:rPr>
            <w:noProof/>
            <w:webHidden/>
          </w:rPr>
          <w:instrText xml:space="preserve"> PAGEREF _Toc82385660 \h </w:instrText>
        </w:r>
        <w:r w:rsidR="002C0E50">
          <w:rPr>
            <w:noProof/>
            <w:webHidden/>
          </w:rPr>
        </w:r>
        <w:r w:rsidR="002C0E50">
          <w:rPr>
            <w:noProof/>
            <w:webHidden/>
          </w:rPr>
          <w:fldChar w:fldCharType="separate"/>
        </w:r>
        <w:r w:rsidR="00A15698">
          <w:rPr>
            <w:noProof/>
            <w:webHidden/>
          </w:rPr>
          <w:t>58</w:t>
        </w:r>
        <w:r w:rsidR="002C0E50">
          <w:rPr>
            <w:noProof/>
            <w:webHidden/>
          </w:rPr>
          <w:fldChar w:fldCharType="end"/>
        </w:r>
      </w:hyperlink>
    </w:p>
    <w:p w14:paraId="036C6E5F" w14:textId="12A10DFD"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661" w:history="1">
        <w:r w:rsidR="002C0E50" w:rsidRPr="00C75400">
          <w:rPr>
            <w:rStyle w:val="Hyperlink"/>
            <w:noProof/>
          </w:rPr>
          <w:t>3.1.4.1</w:t>
        </w:r>
        <w:r w:rsidR="002C0E50">
          <w:rPr>
            <w:rFonts w:asciiTheme="minorHAnsi" w:eastAsiaTheme="minorEastAsia" w:hAnsiTheme="minorHAnsi" w:cstheme="minorBidi"/>
            <w:noProof/>
            <w:szCs w:val="24"/>
          </w:rPr>
          <w:tab/>
        </w:r>
        <w:r w:rsidR="002C0E50" w:rsidRPr="00C75400">
          <w:rPr>
            <w:rStyle w:val="Hyperlink"/>
            <w:noProof/>
          </w:rPr>
          <w:t>Groundnuts</w:t>
        </w:r>
        <w:r w:rsidR="002C0E50">
          <w:rPr>
            <w:noProof/>
            <w:webHidden/>
          </w:rPr>
          <w:tab/>
        </w:r>
        <w:r w:rsidR="002C0E50">
          <w:rPr>
            <w:noProof/>
            <w:webHidden/>
          </w:rPr>
          <w:fldChar w:fldCharType="begin"/>
        </w:r>
        <w:r w:rsidR="002C0E50">
          <w:rPr>
            <w:noProof/>
            <w:webHidden/>
          </w:rPr>
          <w:instrText xml:space="preserve"> PAGEREF _Toc82385661 \h </w:instrText>
        </w:r>
        <w:r w:rsidR="002C0E50">
          <w:rPr>
            <w:noProof/>
            <w:webHidden/>
          </w:rPr>
        </w:r>
        <w:r w:rsidR="002C0E50">
          <w:rPr>
            <w:noProof/>
            <w:webHidden/>
          </w:rPr>
          <w:fldChar w:fldCharType="separate"/>
        </w:r>
        <w:r w:rsidR="00A15698">
          <w:rPr>
            <w:noProof/>
            <w:webHidden/>
          </w:rPr>
          <w:t>59</w:t>
        </w:r>
        <w:r w:rsidR="002C0E50">
          <w:rPr>
            <w:noProof/>
            <w:webHidden/>
          </w:rPr>
          <w:fldChar w:fldCharType="end"/>
        </w:r>
      </w:hyperlink>
    </w:p>
    <w:p w14:paraId="71D2DFFE" w14:textId="38DED0E4"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662" w:history="1">
        <w:r w:rsidR="002C0E50" w:rsidRPr="00C75400">
          <w:rPr>
            <w:rStyle w:val="Hyperlink"/>
            <w:noProof/>
          </w:rPr>
          <w:t>3.1.4.2</w:t>
        </w:r>
        <w:r w:rsidR="002C0E50">
          <w:rPr>
            <w:rFonts w:asciiTheme="minorHAnsi" w:eastAsiaTheme="minorEastAsia" w:hAnsiTheme="minorHAnsi" w:cstheme="minorBidi"/>
            <w:noProof/>
            <w:szCs w:val="24"/>
          </w:rPr>
          <w:tab/>
        </w:r>
        <w:r w:rsidR="002C0E50" w:rsidRPr="00C75400">
          <w:rPr>
            <w:rStyle w:val="Hyperlink"/>
            <w:noProof/>
          </w:rPr>
          <w:t>Sunflower</w:t>
        </w:r>
        <w:r w:rsidR="002C0E50">
          <w:rPr>
            <w:noProof/>
            <w:webHidden/>
          </w:rPr>
          <w:tab/>
        </w:r>
        <w:r w:rsidR="002C0E50">
          <w:rPr>
            <w:noProof/>
            <w:webHidden/>
          </w:rPr>
          <w:fldChar w:fldCharType="begin"/>
        </w:r>
        <w:r w:rsidR="002C0E50">
          <w:rPr>
            <w:noProof/>
            <w:webHidden/>
          </w:rPr>
          <w:instrText xml:space="preserve"> PAGEREF _Toc82385662 \h </w:instrText>
        </w:r>
        <w:r w:rsidR="002C0E50">
          <w:rPr>
            <w:noProof/>
            <w:webHidden/>
          </w:rPr>
        </w:r>
        <w:r w:rsidR="002C0E50">
          <w:rPr>
            <w:noProof/>
            <w:webHidden/>
          </w:rPr>
          <w:fldChar w:fldCharType="separate"/>
        </w:r>
        <w:r w:rsidR="00A15698">
          <w:rPr>
            <w:noProof/>
            <w:webHidden/>
          </w:rPr>
          <w:t>62</w:t>
        </w:r>
        <w:r w:rsidR="002C0E50">
          <w:rPr>
            <w:noProof/>
            <w:webHidden/>
          </w:rPr>
          <w:fldChar w:fldCharType="end"/>
        </w:r>
      </w:hyperlink>
    </w:p>
    <w:p w14:paraId="41E7F6EE" w14:textId="488001E5"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663" w:history="1">
        <w:r w:rsidR="002C0E50" w:rsidRPr="00C75400">
          <w:rPr>
            <w:rStyle w:val="Hyperlink"/>
            <w:noProof/>
          </w:rPr>
          <w:t>3.1.4.3</w:t>
        </w:r>
        <w:r w:rsidR="002C0E50">
          <w:rPr>
            <w:rFonts w:asciiTheme="minorHAnsi" w:eastAsiaTheme="minorEastAsia" w:hAnsiTheme="minorHAnsi" w:cstheme="minorBidi"/>
            <w:noProof/>
            <w:szCs w:val="24"/>
          </w:rPr>
          <w:tab/>
        </w:r>
        <w:r w:rsidR="002C0E50" w:rsidRPr="00C75400">
          <w:rPr>
            <w:rStyle w:val="Hyperlink"/>
            <w:noProof/>
          </w:rPr>
          <w:t>Sesame</w:t>
        </w:r>
        <w:r w:rsidR="002C0E50">
          <w:rPr>
            <w:noProof/>
            <w:webHidden/>
          </w:rPr>
          <w:tab/>
        </w:r>
        <w:r w:rsidR="002C0E50">
          <w:rPr>
            <w:noProof/>
            <w:webHidden/>
          </w:rPr>
          <w:fldChar w:fldCharType="begin"/>
        </w:r>
        <w:r w:rsidR="002C0E50">
          <w:rPr>
            <w:noProof/>
            <w:webHidden/>
          </w:rPr>
          <w:instrText xml:space="preserve"> PAGEREF _Toc82385663 \h </w:instrText>
        </w:r>
        <w:r w:rsidR="002C0E50">
          <w:rPr>
            <w:noProof/>
            <w:webHidden/>
          </w:rPr>
        </w:r>
        <w:r w:rsidR="002C0E50">
          <w:rPr>
            <w:noProof/>
            <w:webHidden/>
          </w:rPr>
          <w:fldChar w:fldCharType="separate"/>
        </w:r>
        <w:r w:rsidR="00A15698">
          <w:rPr>
            <w:noProof/>
            <w:webHidden/>
          </w:rPr>
          <w:t>64</w:t>
        </w:r>
        <w:r w:rsidR="002C0E50">
          <w:rPr>
            <w:noProof/>
            <w:webHidden/>
          </w:rPr>
          <w:fldChar w:fldCharType="end"/>
        </w:r>
      </w:hyperlink>
    </w:p>
    <w:p w14:paraId="7AF8D269" w14:textId="259FE5CC"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664" w:history="1">
        <w:r w:rsidR="002C0E50" w:rsidRPr="00C75400">
          <w:rPr>
            <w:rStyle w:val="Hyperlink"/>
            <w:noProof/>
          </w:rPr>
          <w:t>3.1.4.4</w:t>
        </w:r>
        <w:r w:rsidR="002C0E50">
          <w:rPr>
            <w:rFonts w:asciiTheme="minorHAnsi" w:eastAsiaTheme="minorEastAsia" w:hAnsiTheme="minorHAnsi" w:cstheme="minorBidi"/>
            <w:noProof/>
            <w:szCs w:val="24"/>
          </w:rPr>
          <w:tab/>
        </w:r>
        <w:r w:rsidR="002C0E50" w:rsidRPr="00C75400">
          <w:rPr>
            <w:rStyle w:val="Hyperlink"/>
            <w:noProof/>
          </w:rPr>
          <w:t>Oil Palm</w:t>
        </w:r>
        <w:r w:rsidR="002C0E50">
          <w:rPr>
            <w:noProof/>
            <w:webHidden/>
          </w:rPr>
          <w:tab/>
        </w:r>
        <w:r w:rsidR="002C0E50">
          <w:rPr>
            <w:noProof/>
            <w:webHidden/>
          </w:rPr>
          <w:fldChar w:fldCharType="begin"/>
        </w:r>
        <w:r w:rsidR="002C0E50">
          <w:rPr>
            <w:noProof/>
            <w:webHidden/>
          </w:rPr>
          <w:instrText xml:space="preserve"> PAGEREF _Toc82385664 \h </w:instrText>
        </w:r>
        <w:r w:rsidR="002C0E50">
          <w:rPr>
            <w:noProof/>
            <w:webHidden/>
          </w:rPr>
        </w:r>
        <w:r w:rsidR="002C0E50">
          <w:rPr>
            <w:noProof/>
            <w:webHidden/>
          </w:rPr>
          <w:fldChar w:fldCharType="separate"/>
        </w:r>
        <w:r w:rsidR="00A15698">
          <w:rPr>
            <w:noProof/>
            <w:webHidden/>
          </w:rPr>
          <w:t>66</w:t>
        </w:r>
        <w:r w:rsidR="002C0E50">
          <w:rPr>
            <w:noProof/>
            <w:webHidden/>
          </w:rPr>
          <w:fldChar w:fldCharType="end"/>
        </w:r>
      </w:hyperlink>
    </w:p>
    <w:p w14:paraId="36AD1110" w14:textId="5D18EC16"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665" w:history="1">
        <w:r w:rsidR="002C0E50" w:rsidRPr="00C75400">
          <w:rPr>
            <w:rStyle w:val="Hyperlink"/>
            <w:noProof/>
          </w:rPr>
          <w:t>3.1.5</w:t>
        </w:r>
        <w:r w:rsidR="002C0E50">
          <w:rPr>
            <w:rFonts w:asciiTheme="minorHAnsi" w:eastAsiaTheme="minorEastAsia" w:hAnsiTheme="minorHAnsi" w:cstheme="minorBidi"/>
            <w:noProof/>
            <w:szCs w:val="24"/>
          </w:rPr>
          <w:tab/>
        </w:r>
        <w:r w:rsidR="002C0E50" w:rsidRPr="00C75400">
          <w:rPr>
            <w:rStyle w:val="Hyperlink"/>
            <w:noProof/>
          </w:rPr>
          <w:t>Fruits and Vegetables</w:t>
        </w:r>
        <w:r w:rsidR="002C0E50">
          <w:rPr>
            <w:noProof/>
            <w:webHidden/>
          </w:rPr>
          <w:tab/>
        </w:r>
        <w:r w:rsidR="002C0E50">
          <w:rPr>
            <w:noProof/>
            <w:webHidden/>
          </w:rPr>
          <w:fldChar w:fldCharType="begin"/>
        </w:r>
        <w:r w:rsidR="002C0E50">
          <w:rPr>
            <w:noProof/>
            <w:webHidden/>
          </w:rPr>
          <w:instrText xml:space="preserve"> PAGEREF _Toc82385665 \h </w:instrText>
        </w:r>
        <w:r w:rsidR="002C0E50">
          <w:rPr>
            <w:noProof/>
            <w:webHidden/>
          </w:rPr>
        </w:r>
        <w:r w:rsidR="002C0E50">
          <w:rPr>
            <w:noProof/>
            <w:webHidden/>
          </w:rPr>
          <w:fldChar w:fldCharType="separate"/>
        </w:r>
        <w:r w:rsidR="00A15698">
          <w:rPr>
            <w:noProof/>
            <w:webHidden/>
          </w:rPr>
          <w:t>68</w:t>
        </w:r>
        <w:r w:rsidR="002C0E50">
          <w:rPr>
            <w:noProof/>
            <w:webHidden/>
          </w:rPr>
          <w:fldChar w:fldCharType="end"/>
        </w:r>
      </w:hyperlink>
    </w:p>
    <w:p w14:paraId="287463A9" w14:textId="6AC834DC"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666" w:history="1">
        <w:r w:rsidR="002C0E50" w:rsidRPr="00C75400">
          <w:rPr>
            <w:rStyle w:val="Hyperlink"/>
            <w:noProof/>
          </w:rPr>
          <w:t>3.1.5.1</w:t>
        </w:r>
        <w:r w:rsidR="002C0E50">
          <w:rPr>
            <w:rFonts w:asciiTheme="minorHAnsi" w:eastAsiaTheme="minorEastAsia" w:hAnsiTheme="minorHAnsi" w:cstheme="minorBidi"/>
            <w:noProof/>
            <w:szCs w:val="24"/>
          </w:rPr>
          <w:tab/>
        </w:r>
        <w:r w:rsidR="002C0E50" w:rsidRPr="00C75400">
          <w:rPr>
            <w:rStyle w:val="Hyperlink"/>
            <w:noProof/>
          </w:rPr>
          <w:t>Tomato</w:t>
        </w:r>
        <w:r w:rsidR="002C0E50">
          <w:rPr>
            <w:noProof/>
            <w:webHidden/>
          </w:rPr>
          <w:tab/>
        </w:r>
        <w:r w:rsidR="002C0E50">
          <w:rPr>
            <w:noProof/>
            <w:webHidden/>
          </w:rPr>
          <w:fldChar w:fldCharType="begin"/>
        </w:r>
        <w:r w:rsidR="002C0E50">
          <w:rPr>
            <w:noProof/>
            <w:webHidden/>
          </w:rPr>
          <w:instrText xml:space="preserve"> PAGEREF _Toc82385666 \h </w:instrText>
        </w:r>
        <w:r w:rsidR="002C0E50">
          <w:rPr>
            <w:noProof/>
            <w:webHidden/>
          </w:rPr>
        </w:r>
        <w:r w:rsidR="002C0E50">
          <w:rPr>
            <w:noProof/>
            <w:webHidden/>
          </w:rPr>
          <w:fldChar w:fldCharType="separate"/>
        </w:r>
        <w:r w:rsidR="00A15698">
          <w:rPr>
            <w:noProof/>
            <w:webHidden/>
          </w:rPr>
          <w:t>68</w:t>
        </w:r>
        <w:r w:rsidR="002C0E50">
          <w:rPr>
            <w:noProof/>
            <w:webHidden/>
          </w:rPr>
          <w:fldChar w:fldCharType="end"/>
        </w:r>
      </w:hyperlink>
    </w:p>
    <w:p w14:paraId="142023DD" w14:textId="3B55558C"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667" w:history="1">
        <w:r w:rsidR="002C0E50" w:rsidRPr="00C75400">
          <w:rPr>
            <w:rStyle w:val="Hyperlink"/>
            <w:noProof/>
          </w:rPr>
          <w:t>3.1.5.2</w:t>
        </w:r>
        <w:r w:rsidR="002C0E50">
          <w:rPr>
            <w:rFonts w:asciiTheme="minorHAnsi" w:eastAsiaTheme="minorEastAsia" w:hAnsiTheme="minorHAnsi" w:cstheme="minorBidi"/>
            <w:noProof/>
            <w:szCs w:val="24"/>
          </w:rPr>
          <w:tab/>
        </w:r>
        <w:r w:rsidR="002C0E50" w:rsidRPr="00C75400">
          <w:rPr>
            <w:rStyle w:val="Hyperlink"/>
            <w:noProof/>
          </w:rPr>
          <w:t>Onions</w:t>
        </w:r>
        <w:r w:rsidR="002C0E50">
          <w:rPr>
            <w:noProof/>
            <w:webHidden/>
          </w:rPr>
          <w:tab/>
        </w:r>
        <w:r w:rsidR="002C0E50">
          <w:rPr>
            <w:noProof/>
            <w:webHidden/>
          </w:rPr>
          <w:fldChar w:fldCharType="begin"/>
        </w:r>
        <w:r w:rsidR="002C0E50">
          <w:rPr>
            <w:noProof/>
            <w:webHidden/>
          </w:rPr>
          <w:instrText xml:space="preserve"> PAGEREF _Toc82385667 \h </w:instrText>
        </w:r>
        <w:r w:rsidR="002C0E50">
          <w:rPr>
            <w:noProof/>
            <w:webHidden/>
          </w:rPr>
        </w:r>
        <w:r w:rsidR="002C0E50">
          <w:rPr>
            <w:noProof/>
            <w:webHidden/>
          </w:rPr>
          <w:fldChar w:fldCharType="separate"/>
        </w:r>
        <w:r w:rsidR="00A15698">
          <w:rPr>
            <w:noProof/>
            <w:webHidden/>
          </w:rPr>
          <w:t>70</w:t>
        </w:r>
        <w:r w:rsidR="002C0E50">
          <w:rPr>
            <w:noProof/>
            <w:webHidden/>
          </w:rPr>
          <w:fldChar w:fldCharType="end"/>
        </w:r>
      </w:hyperlink>
    </w:p>
    <w:p w14:paraId="300C841E" w14:textId="7C9086DC"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668" w:history="1">
        <w:r w:rsidR="002C0E50" w:rsidRPr="00C75400">
          <w:rPr>
            <w:rStyle w:val="Hyperlink"/>
            <w:noProof/>
          </w:rPr>
          <w:t>3.1.5.3</w:t>
        </w:r>
        <w:r w:rsidR="002C0E50">
          <w:rPr>
            <w:rFonts w:asciiTheme="minorHAnsi" w:eastAsiaTheme="minorEastAsia" w:hAnsiTheme="minorHAnsi" w:cstheme="minorBidi"/>
            <w:noProof/>
            <w:szCs w:val="24"/>
          </w:rPr>
          <w:tab/>
        </w:r>
        <w:r w:rsidR="002C0E50" w:rsidRPr="00C75400">
          <w:rPr>
            <w:rStyle w:val="Hyperlink"/>
            <w:noProof/>
          </w:rPr>
          <w:t>Cabbage</w:t>
        </w:r>
        <w:r w:rsidR="002C0E50">
          <w:rPr>
            <w:noProof/>
            <w:webHidden/>
          </w:rPr>
          <w:tab/>
        </w:r>
        <w:r w:rsidR="002C0E50">
          <w:rPr>
            <w:noProof/>
            <w:webHidden/>
          </w:rPr>
          <w:fldChar w:fldCharType="begin"/>
        </w:r>
        <w:r w:rsidR="002C0E50">
          <w:rPr>
            <w:noProof/>
            <w:webHidden/>
          </w:rPr>
          <w:instrText xml:space="preserve"> PAGEREF _Toc82385668 \h </w:instrText>
        </w:r>
        <w:r w:rsidR="002C0E50">
          <w:rPr>
            <w:noProof/>
            <w:webHidden/>
          </w:rPr>
        </w:r>
        <w:r w:rsidR="002C0E50">
          <w:rPr>
            <w:noProof/>
            <w:webHidden/>
          </w:rPr>
          <w:fldChar w:fldCharType="separate"/>
        </w:r>
        <w:r w:rsidR="00A15698">
          <w:rPr>
            <w:noProof/>
            <w:webHidden/>
          </w:rPr>
          <w:t>72</w:t>
        </w:r>
        <w:r w:rsidR="002C0E50">
          <w:rPr>
            <w:noProof/>
            <w:webHidden/>
          </w:rPr>
          <w:fldChar w:fldCharType="end"/>
        </w:r>
      </w:hyperlink>
    </w:p>
    <w:p w14:paraId="6B353A87" w14:textId="47B9CE45"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669" w:history="1">
        <w:r w:rsidR="002C0E50" w:rsidRPr="00C75400">
          <w:rPr>
            <w:rStyle w:val="Hyperlink"/>
            <w:noProof/>
          </w:rPr>
          <w:t>3.1.5.4</w:t>
        </w:r>
        <w:r w:rsidR="002C0E50">
          <w:rPr>
            <w:rFonts w:asciiTheme="minorHAnsi" w:eastAsiaTheme="minorEastAsia" w:hAnsiTheme="minorHAnsi" w:cstheme="minorBidi"/>
            <w:noProof/>
            <w:szCs w:val="24"/>
          </w:rPr>
          <w:tab/>
        </w:r>
        <w:r w:rsidR="002C0E50" w:rsidRPr="00C75400">
          <w:rPr>
            <w:rStyle w:val="Hyperlink"/>
            <w:noProof/>
          </w:rPr>
          <w:t>Watermelon</w:t>
        </w:r>
        <w:r w:rsidR="002C0E50">
          <w:rPr>
            <w:noProof/>
            <w:webHidden/>
          </w:rPr>
          <w:tab/>
        </w:r>
        <w:r w:rsidR="002C0E50">
          <w:rPr>
            <w:noProof/>
            <w:webHidden/>
          </w:rPr>
          <w:fldChar w:fldCharType="begin"/>
        </w:r>
        <w:r w:rsidR="002C0E50">
          <w:rPr>
            <w:noProof/>
            <w:webHidden/>
          </w:rPr>
          <w:instrText xml:space="preserve"> PAGEREF _Toc82385669 \h </w:instrText>
        </w:r>
        <w:r w:rsidR="002C0E50">
          <w:rPr>
            <w:noProof/>
            <w:webHidden/>
          </w:rPr>
        </w:r>
        <w:r w:rsidR="002C0E50">
          <w:rPr>
            <w:noProof/>
            <w:webHidden/>
          </w:rPr>
          <w:fldChar w:fldCharType="separate"/>
        </w:r>
        <w:r w:rsidR="00A15698">
          <w:rPr>
            <w:noProof/>
            <w:webHidden/>
          </w:rPr>
          <w:t>73</w:t>
        </w:r>
        <w:r w:rsidR="002C0E50">
          <w:rPr>
            <w:noProof/>
            <w:webHidden/>
          </w:rPr>
          <w:fldChar w:fldCharType="end"/>
        </w:r>
      </w:hyperlink>
    </w:p>
    <w:p w14:paraId="74133FC1" w14:textId="16584590"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670" w:history="1">
        <w:r w:rsidR="002C0E50" w:rsidRPr="00C75400">
          <w:rPr>
            <w:rStyle w:val="Hyperlink"/>
            <w:noProof/>
          </w:rPr>
          <w:t>3.1.5.5</w:t>
        </w:r>
        <w:r w:rsidR="002C0E50">
          <w:rPr>
            <w:rFonts w:asciiTheme="minorHAnsi" w:eastAsiaTheme="minorEastAsia" w:hAnsiTheme="minorHAnsi" w:cstheme="minorBidi"/>
            <w:noProof/>
            <w:szCs w:val="24"/>
          </w:rPr>
          <w:tab/>
        </w:r>
        <w:r w:rsidR="002C0E50" w:rsidRPr="00C75400">
          <w:rPr>
            <w:rStyle w:val="Hyperlink"/>
            <w:noProof/>
          </w:rPr>
          <w:t>Okra</w:t>
        </w:r>
        <w:r w:rsidR="002C0E50">
          <w:rPr>
            <w:noProof/>
            <w:webHidden/>
          </w:rPr>
          <w:tab/>
        </w:r>
        <w:r w:rsidR="002C0E50">
          <w:rPr>
            <w:noProof/>
            <w:webHidden/>
          </w:rPr>
          <w:tab/>
        </w:r>
        <w:r w:rsidR="002C0E50">
          <w:rPr>
            <w:noProof/>
            <w:webHidden/>
          </w:rPr>
          <w:fldChar w:fldCharType="begin"/>
        </w:r>
        <w:r w:rsidR="002C0E50">
          <w:rPr>
            <w:noProof/>
            <w:webHidden/>
          </w:rPr>
          <w:instrText xml:space="preserve"> PAGEREF _Toc82385670 \h </w:instrText>
        </w:r>
        <w:r w:rsidR="002C0E50">
          <w:rPr>
            <w:noProof/>
            <w:webHidden/>
          </w:rPr>
        </w:r>
        <w:r w:rsidR="002C0E50">
          <w:rPr>
            <w:noProof/>
            <w:webHidden/>
          </w:rPr>
          <w:fldChar w:fldCharType="separate"/>
        </w:r>
        <w:r w:rsidR="00A15698">
          <w:rPr>
            <w:noProof/>
            <w:webHidden/>
          </w:rPr>
          <w:t>75</w:t>
        </w:r>
        <w:r w:rsidR="002C0E50">
          <w:rPr>
            <w:noProof/>
            <w:webHidden/>
          </w:rPr>
          <w:fldChar w:fldCharType="end"/>
        </w:r>
      </w:hyperlink>
    </w:p>
    <w:p w14:paraId="2181D2EA" w14:textId="42AF3DC8"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671" w:history="1">
        <w:r w:rsidR="002C0E50" w:rsidRPr="00C75400">
          <w:rPr>
            <w:rStyle w:val="Hyperlink"/>
            <w:noProof/>
          </w:rPr>
          <w:t>3.1.5.6</w:t>
        </w:r>
        <w:r w:rsidR="002C0E50">
          <w:rPr>
            <w:rFonts w:asciiTheme="minorHAnsi" w:eastAsiaTheme="minorEastAsia" w:hAnsiTheme="minorHAnsi" w:cstheme="minorBidi"/>
            <w:noProof/>
            <w:szCs w:val="24"/>
          </w:rPr>
          <w:tab/>
        </w:r>
        <w:r w:rsidR="002C0E50" w:rsidRPr="00C75400">
          <w:rPr>
            <w:rStyle w:val="Hyperlink"/>
            <w:noProof/>
          </w:rPr>
          <w:t>Banana</w:t>
        </w:r>
        <w:r w:rsidR="002C0E50">
          <w:rPr>
            <w:noProof/>
            <w:webHidden/>
          </w:rPr>
          <w:tab/>
        </w:r>
        <w:r w:rsidR="002C0E50">
          <w:rPr>
            <w:noProof/>
            <w:webHidden/>
          </w:rPr>
          <w:fldChar w:fldCharType="begin"/>
        </w:r>
        <w:r w:rsidR="002C0E50">
          <w:rPr>
            <w:noProof/>
            <w:webHidden/>
          </w:rPr>
          <w:instrText xml:space="preserve"> PAGEREF _Toc82385671 \h </w:instrText>
        </w:r>
        <w:r w:rsidR="002C0E50">
          <w:rPr>
            <w:noProof/>
            <w:webHidden/>
          </w:rPr>
        </w:r>
        <w:r w:rsidR="002C0E50">
          <w:rPr>
            <w:noProof/>
            <w:webHidden/>
          </w:rPr>
          <w:fldChar w:fldCharType="separate"/>
        </w:r>
        <w:r w:rsidR="00A15698">
          <w:rPr>
            <w:noProof/>
            <w:webHidden/>
          </w:rPr>
          <w:t>77</w:t>
        </w:r>
        <w:r w:rsidR="002C0E50">
          <w:rPr>
            <w:noProof/>
            <w:webHidden/>
          </w:rPr>
          <w:fldChar w:fldCharType="end"/>
        </w:r>
      </w:hyperlink>
    </w:p>
    <w:p w14:paraId="0C8521F8" w14:textId="13D324CD"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672" w:history="1">
        <w:r w:rsidR="002C0E50" w:rsidRPr="00C75400">
          <w:rPr>
            <w:rStyle w:val="Hyperlink"/>
            <w:noProof/>
          </w:rPr>
          <w:t>3.1.5.7</w:t>
        </w:r>
        <w:r w:rsidR="002C0E50">
          <w:rPr>
            <w:rFonts w:asciiTheme="minorHAnsi" w:eastAsiaTheme="minorEastAsia" w:hAnsiTheme="minorHAnsi" w:cstheme="minorBidi"/>
            <w:noProof/>
            <w:szCs w:val="24"/>
          </w:rPr>
          <w:tab/>
        </w:r>
        <w:r w:rsidR="002C0E50" w:rsidRPr="00C75400">
          <w:rPr>
            <w:rStyle w:val="Hyperlink"/>
            <w:noProof/>
          </w:rPr>
          <w:t>Mango</w:t>
        </w:r>
        <w:r w:rsidR="002C0E50">
          <w:rPr>
            <w:noProof/>
            <w:webHidden/>
          </w:rPr>
          <w:tab/>
        </w:r>
        <w:r w:rsidR="002C0E50">
          <w:rPr>
            <w:noProof/>
            <w:webHidden/>
          </w:rPr>
          <w:fldChar w:fldCharType="begin"/>
        </w:r>
        <w:r w:rsidR="002C0E50">
          <w:rPr>
            <w:noProof/>
            <w:webHidden/>
          </w:rPr>
          <w:instrText xml:space="preserve"> PAGEREF _Toc82385672 \h </w:instrText>
        </w:r>
        <w:r w:rsidR="002C0E50">
          <w:rPr>
            <w:noProof/>
            <w:webHidden/>
          </w:rPr>
        </w:r>
        <w:r w:rsidR="002C0E50">
          <w:rPr>
            <w:noProof/>
            <w:webHidden/>
          </w:rPr>
          <w:fldChar w:fldCharType="separate"/>
        </w:r>
        <w:r w:rsidR="00A15698">
          <w:rPr>
            <w:noProof/>
            <w:webHidden/>
          </w:rPr>
          <w:t>80</w:t>
        </w:r>
        <w:r w:rsidR="002C0E50">
          <w:rPr>
            <w:noProof/>
            <w:webHidden/>
          </w:rPr>
          <w:fldChar w:fldCharType="end"/>
        </w:r>
      </w:hyperlink>
    </w:p>
    <w:p w14:paraId="6A74DB17" w14:textId="3DFD135E"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673" w:history="1">
        <w:r w:rsidR="002C0E50" w:rsidRPr="00C75400">
          <w:rPr>
            <w:rStyle w:val="Hyperlink"/>
            <w:noProof/>
          </w:rPr>
          <w:t>3.1.5.8</w:t>
        </w:r>
        <w:r w:rsidR="002C0E50">
          <w:rPr>
            <w:rFonts w:asciiTheme="minorHAnsi" w:eastAsiaTheme="minorEastAsia" w:hAnsiTheme="minorHAnsi" w:cstheme="minorBidi"/>
            <w:noProof/>
            <w:szCs w:val="24"/>
          </w:rPr>
          <w:tab/>
        </w:r>
        <w:r w:rsidR="002C0E50" w:rsidRPr="00C75400">
          <w:rPr>
            <w:rStyle w:val="Hyperlink"/>
            <w:noProof/>
          </w:rPr>
          <w:t>Orange</w:t>
        </w:r>
        <w:r w:rsidR="002C0E50">
          <w:rPr>
            <w:noProof/>
            <w:webHidden/>
          </w:rPr>
          <w:tab/>
        </w:r>
        <w:r w:rsidR="002C0E50">
          <w:rPr>
            <w:noProof/>
            <w:webHidden/>
          </w:rPr>
          <w:fldChar w:fldCharType="begin"/>
        </w:r>
        <w:r w:rsidR="002C0E50">
          <w:rPr>
            <w:noProof/>
            <w:webHidden/>
          </w:rPr>
          <w:instrText xml:space="preserve"> PAGEREF _Toc82385673 \h </w:instrText>
        </w:r>
        <w:r w:rsidR="002C0E50">
          <w:rPr>
            <w:noProof/>
            <w:webHidden/>
          </w:rPr>
        </w:r>
        <w:r w:rsidR="002C0E50">
          <w:rPr>
            <w:noProof/>
            <w:webHidden/>
          </w:rPr>
          <w:fldChar w:fldCharType="separate"/>
        </w:r>
        <w:r w:rsidR="00A15698">
          <w:rPr>
            <w:noProof/>
            <w:webHidden/>
          </w:rPr>
          <w:t>82</w:t>
        </w:r>
        <w:r w:rsidR="002C0E50">
          <w:rPr>
            <w:noProof/>
            <w:webHidden/>
          </w:rPr>
          <w:fldChar w:fldCharType="end"/>
        </w:r>
      </w:hyperlink>
    </w:p>
    <w:p w14:paraId="200603CF" w14:textId="21F727AE"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674" w:history="1">
        <w:r w:rsidR="002C0E50" w:rsidRPr="00C75400">
          <w:rPr>
            <w:rStyle w:val="Hyperlink"/>
            <w:noProof/>
          </w:rPr>
          <w:t>3.1.5.9</w:t>
        </w:r>
        <w:r w:rsidR="002C0E50">
          <w:rPr>
            <w:rFonts w:asciiTheme="minorHAnsi" w:eastAsiaTheme="minorEastAsia" w:hAnsiTheme="minorHAnsi" w:cstheme="minorBidi"/>
            <w:noProof/>
            <w:szCs w:val="24"/>
          </w:rPr>
          <w:tab/>
        </w:r>
        <w:r w:rsidR="002C0E50" w:rsidRPr="00C75400">
          <w:rPr>
            <w:rStyle w:val="Hyperlink"/>
            <w:noProof/>
          </w:rPr>
          <w:t>Pineapple</w:t>
        </w:r>
        <w:r w:rsidR="002C0E50">
          <w:rPr>
            <w:noProof/>
            <w:webHidden/>
          </w:rPr>
          <w:tab/>
        </w:r>
        <w:r w:rsidR="002C0E50">
          <w:rPr>
            <w:noProof/>
            <w:webHidden/>
          </w:rPr>
          <w:fldChar w:fldCharType="begin"/>
        </w:r>
        <w:r w:rsidR="002C0E50">
          <w:rPr>
            <w:noProof/>
            <w:webHidden/>
          </w:rPr>
          <w:instrText xml:space="preserve"> PAGEREF _Toc82385674 \h </w:instrText>
        </w:r>
        <w:r w:rsidR="002C0E50">
          <w:rPr>
            <w:noProof/>
            <w:webHidden/>
          </w:rPr>
        </w:r>
        <w:r w:rsidR="002C0E50">
          <w:rPr>
            <w:noProof/>
            <w:webHidden/>
          </w:rPr>
          <w:fldChar w:fldCharType="separate"/>
        </w:r>
        <w:r w:rsidR="00A15698">
          <w:rPr>
            <w:noProof/>
            <w:webHidden/>
          </w:rPr>
          <w:t>84</w:t>
        </w:r>
        <w:r w:rsidR="002C0E50">
          <w:rPr>
            <w:noProof/>
            <w:webHidden/>
          </w:rPr>
          <w:fldChar w:fldCharType="end"/>
        </w:r>
      </w:hyperlink>
    </w:p>
    <w:p w14:paraId="21CCD8BE" w14:textId="797BF070"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675" w:history="1">
        <w:r w:rsidR="002C0E50" w:rsidRPr="00C75400">
          <w:rPr>
            <w:rStyle w:val="Hyperlink"/>
            <w:noProof/>
          </w:rPr>
          <w:t>3.1.6</w:t>
        </w:r>
        <w:r w:rsidR="002C0E50">
          <w:rPr>
            <w:rFonts w:asciiTheme="minorHAnsi" w:eastAsiaTheme="minorEastAsia" w:hAnsiTheme="minorHAnsi" w:cstheme="minorBidi"/>
            <w:noProof/>
            <w:szCs w:val="24"/>
          </w:rPr>
          <w:tab/>
        </w:r>
        <w:r w:rsidR="002C0E50" w:rsidRPr="00C75400">
          <w:rPr>
            <w:rStyle w:val="Hyperlink"/>
            <w:noProof/>
          </w:rPr>
          <w:t>Cash Crops</w:t>
        </w:r>
        <w:r w:rsidR="002C0E50">
          <w:rPr>
            <w:noProof/>
            <w:webHidden/>
          </w:rPr>
          <w:tab/>
        </w:r>
        <w:r w:rsidR="002C0E50">
          <w:rPr>
            <w:noProof/>
            <w:webHidden/>
          </w:rPr>
          <w:fldChar w:fldCharType="begin"/>
        </w:r>
        <w:r w:rsidR="002C0E50">
          <w:rPr>
            <w:noProof/>
            <w:webHidden/>
          </w:rPr>
          <w:instrText xml:space="preserve"> PAGEREF _Toc82385675 \h </w:instrText>
        </w:r>
        <w:r w:rsidR="002C0E50">
          <w:rPr>
            <w:noProof/>
            <w:webHidden/>
          </w:rPr>
        </w:r>
        <w:r w:rsidR="002C0E50">
          <w:rPr>
            <w:noProof/>
            <w:webHidden/>
          </w:rPr>
          <w:fldChar w:fldCharType="separate"/>
        </w:r>
        <w:r w:rsidR="00A15698">
          <w:rPr>
            <w:noProof/>
            <w:webHidden/>
          </w:rPr>
          <w:t>86</w:t>
        </w:r>
        <w:r w:rsidR="002C0E50">
          <w:rPr>
            <w:noProof/>
            <w:webHidden/>
          </w:rPr>
          <w:fldChar w:fldCharType="end"/>
        </w:r>
      </w:hyperlink>
    </w:p>
    <w:p w14:paraId="4AA3C1DF" w14:textId="511C4C93"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676" w:history="1">
        <w:r w:rsidR="002C0E50" w:rsidRPr="00C75400">
          <w:rPr>
            <w:rStyle w:val="Hyperlink"/>
            <w:noProof/>
          </w:rPr>
          <w:t>3.1.6.1</w:t>
        </w:r>
        <w:r w:rsidR="002C0E50">
          <w:rPr>
            <w:rFonts w:asciiTheme="minorHAnsi" w:eastAsiaTheme="minorEastAsia" w:hAnsiTheme="minorHAnsi" w:cstheme="minorBidi"/>
            <w:noProof/>
            <w:szCs w:val="24"/>
          </w:rPr>
          <w:tab/>
        </w:r>
        <w:r w:rsidR="002C0E50" w:rsidRPr="00C75400">
          <w:rPr>
            <w:rStyle w:val="Hyperlink"/>
            <w:noProof/>
          </w:rPr>
          <w:t>Cotton</w:t>
        </w:r>
        <w:r w:rsidR="002C0E50">
          <w:rPr>
            <w:noProof/>
            <w:webHidden/>
          </w:rPr>
          <w:tab/>
        </w:r>
        <w:r w:rsidR="002C0E50">
          <w:rPr>
            <w:noProof/>
            <w:webHidden/>
          </w:rPr>
          <w:fldChar w:fldCharType="begin"/>
        </w:r>
        <w:r w:rsidR="002C0E50">
          <w:rPr>
            <w:noProof/>
            <w:webHidden/>
          </w:rPr>
          <w:instrText xml:space="preserve"> PAGEREF _Toc82385676 \h </w:instrText>
        </w:r>
        <w:r w:rsidR="002C0E50">
          <w:rPr>
            <w:noProof/>
            <w:webHidden/>
          </w:rPr>
        </w:r>
        <w:r w:rsidR="002C0E50">
          <w:rPr>
            <w:noProof/>
            <w:webHidden/>
          </w:rPr>
          <w:fldChar w:fldCharType="separate"/>
        </w:r>
        <w:r w:rsidR="00A15698">
          <w:rPr>
            <w:noProof/>
            <w:webHidden/>
          </w:rPr>
          <w:t>86</w:t>
        </w:r>
        <w:r w:rsidR="002C0E50">
          <w:rPr>
            <w:noProof/>
            <w:webHidden/>
          </w:rPr>
          <w:fldChar w:fldCharType="end"/>
        </w:r>
      </w:hyperlink>
    </w:p>
    <w:p w14:paraId="0751617B" w14:textId="6CC61652"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677" w:history="1">
        <w:r w:rsidR="002C0E50" w:rsidRPr="00C75400">
          <w:rPr>
            <w:rStyle w:val="Hyperlink"/>
            <w:noProof/>
          </w:rPr>
          <w:t>3.1.6.2</w:t>
        </w:r>
        <w:r w:rsidR="002C0E50">
          <w:rPr>
            <w:rFonts w:asciiTheme="minorHAnsi" w:eastAsiaTheme="minorEastAsia" w:hAnsiTheme="minorHAnsi" w:cstheme="minorBidi"/>
            <w:noProof/>
            <w:szCs w:val="24"/>
          </w:rPr>
          <w:tab/>
        </w:r>
        <w:r w:rsidR="002C0E50" w:rsidRPr="00C75400">
          <w:rPr>
            <w:rStyle w:val="Hyperlink"/>
            <w:noProof/>
          </w:rPr>
          <w:t>Tobacco</w:t>
        </w:r>
        <w:r w:rsidR="002C0E50">
          <w:rPr>
            <w:noProof/>
            <w:webHidden/>
          </w:rPr>
          <w:tab/>
        </w:r>
        <w:r w:rsidR="002C0E50">
          <w:rPr>
            <w:noProof/>
            <w:webHidden/>
          </w:rPr>
          <w:fldChar w:fldCharType="begin"/>
        </w:r>
        <w:r w:rsidR="002C0E50">
          <w:rPr>
            <w:noProof/>
            <w:webHidden/>
          </w:rPr>
          <w:instrText xml:space="preserve"> PAGEREF _Toc82385677 \h </w:instrText>
        </w:r>
        <w:r w:rsidR="002C0E50">
          <w:rPr>
            <w:noProof/>
            <w:webHidden/>
          </w:rPr>
        </w:r>
        <w:r w:rsidR="002C0E50">
          <w:rPr>
            <w:noProof/>
            <w:webHidden/>
          </w:rPr>
          <w:fldChar w:fldCharType="separate"/>
        </w:r>
        <w:r w:rsidR="00A15698">
          <w:rPr>
            <w:noProof/>
            <w:webHidden/>
          </w:rPr>
          <w:t>87</w:t>
        </w:r>
        <w:r w:rsidR="002C0E50">
          <w:rPr>
            <w:noProof/>
            <w:webHidden/>
          </w:rPr>
          <w:fldChar w:fldCharType="end"/>
        </w:r>
      </w:hyperlink>
    </w:p>
    <w:p w14:paraId="58155A83" w14:textId="41E42521"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678" w:history="1">
        <w:r w:rsidR="002C0E50" w:rsidRPr="00C75400">
          <w:rPr>
            <w:rStyle w:val="Hyperlink"/>
            <w:noProof/>
          </w:rPr>
          <w:t>3.1.6.3</w:t>
        </w:r>
        <w:r w:rsidR="002C0E50">
          <w:rPr>
            <w:rFonts w:asciiTheme="minorHAnsi" w:eastAsiaTheme="minorEastAsia" w:hAnsiTheme="minorHAnsi" w:cstheme="minorBidi"/>
            <w:noProof/>
            <w:szCs w:val="24"/>
          </w:rPr>
          <w:tab/>
        </w:r>
        <w:r w:rsidR="002C0E50" w:rsidRPr="00C75400">
          <w:rPr>
            <w:rStyle w:val="Hyperlink"/>
            <w:noProof/>
          </w:rPr>
          <w:t>Coffee</w:t>
        </w:r>
        <w:r w:rsidR="002C0E50">
          <w:rPr>
            <w:noProof/>
            <w:webHidden/>
          </w:rPr>
          <w:tab/>
        </w:r>
        <w:r w:rsidR="002C0E50">
          <w:rPr>
            <w:noProof/>
            <w:webHidden/>
          </w:rPr>
          <w:fldChar w:fldCharType="begin"/>
        </w:r>
        <w:r w:rsidR="002C0E50">
          <w:rPr>
            <w:noProof/>
            <w:webHidden/>
          </w:rPr>
          <w:instrText xml:space="preserve"> PAGEREF _Toc82385678 \h </w:instrText>
        </w:r>
        <w:r w:rsidR="002C0E50">
          <w:rPr>
            <w:noProof/>
            <w:webHidden/>
          </w:rPr>
        </w:r>
        <w:r w:rsidR="002C0E50">
          <w:rPr>
            <w:noProof/>
            <w:webHidden/>
          </w:rPr>
          <w:fldChar w:fldCharType="separate"/>
        </w:r>
        <w:r w:rsidR="00A15698">
          <w:rPr>
            <w:noProof/>
            <w:webHidden/>
          </w:rPr>
          <w:t>88</w:t>
        </w:r>
        <w:r w:rsidR="002C0E50">
          <w:rPr>
            <w:noProof/>
            <w:webHidden/>
          </w:rPr>
          <w:fldChar w:fldCharType="end"/>
        </w:r>
      </w:hyperlink>
    </w:p>
    <w:p w14:paraId="463E4196" w14:textId="5BA77DA4"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679" w:history="1">
        <w:r w:rsidR="002C0E50" w:rsidRPr="00C75400">
          <w:rPr>
            <w:rStyle w:val="Hyperlink"/>
            <w:noProof/>
          </w:rPr>
          <w:t>3.1.6.4</w:t>
        </w:r>
        <w:r w:rsidR="002C0E50">
          <w:rPr>
            <w:rFonts w:asciiTheme="minorHAnsi" w:eastAsiaTheme="minorEastAsia" w:hAnsiTheme="minorHAnsi" w:cstheme="minorBidi"/>
            <w:noProof/>
            <w:szCs w:val="24"/>
          </w:rPr>
          <w:tab/>
        </w:r>
        <w:r w:rsidR="002C0E50" w:rsidRPr="00C75400">
          <w:rPr>
            <w:rStyle w:val="Hyperlink"/>
            <w:noProof/>
          </w:rPr>
          <w:t>Sugarcane</w:t>
        </w:r>
        <w:r w:rsidR="002C0E50">
          <w:rPr>
            <w:noProof/>
            <w:webHidden/>
          </w:rPr>
          <w:tab/>
        </w:r>
        <w:r w:rsidR="002C0E50">
          <w:rPr>
            <w:noProof/>
            <w:webHidden/>
          </w:rPr>
          <w:fldChar w:fldCharType="begin"/>
        </w:r>
        <w:r w:rsidR="002C0E50">
          <w:rPr>
            <w:noProof/>
            <w:webHidden/>
          </w:rPr>
          <w:instrText xml:space="preserve"> PAGEREF _Toc82385679 \h </w:instrText>
        </w:r>
        <w:r w:rsidR="002C0E50">
          <w:rPr>
            <w:noProof/>
            <w:webHidden/>
          </w:rPr>
        </w:r>
        <w:r w:rsidR="002C0E50">
          <w:rPr>
            <w:noProof/>
            <w:webHidden/>
          </w:rPr>
          <w:fldChar w:fldCharType="separate"/>
        </w:r>
        <w:r w:rsidR="00A15698">
          <w:rPr>
            <w:noProof/>
            <w:webHidden/>
          </w:rPr>
          <w:t>89</w:t>
        </w:r>
        <w:r w:rsidR="002C0E50">
          <w:rPr>
            <w:noProof/>
            <w:webHidden/>
          </w:rPr>
          <w:fldChar w:fldCharType="end"/>
        </w:r>
      </w:hyperlink>
    </w:p>
    <w:p w14:paraId="5D66E3D8" w14:textId="6B4543A5"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680" w:history="1">
        <w:r w:rsidR="002C0E50" w:rsidRPr="00C75400">
          <w:rPr>
            <w:rStyle w:val="Hyperlink"/>
            <w:noProof/>
          </w:rPr>
          <w:t>3.1.6.5</w:t>
        </w:r>
        <w:r w:rsidR="002C0E50">
          <w:rPr>
            <w:rFonts w:asciiTheme="minorHAnsi" w:eastAsiaTheme="minorEastAsia" w:hAnsiTheme="minorHAnsi" w:cstheme="minorBidi"/>
            <w:noProof/>
            <w:szCs w:val="24"/>
          </w:rPr>
          <w:tab/>
        </w:r>
        <w:r w:rsidR="002C0E50" w:rsidRPr="00C75400">
          <w:rPr>
            <w:rStyle w:val="Hyperlink"/>
            <w:noProof/>
          </w:rPr>
          <w:t>Cashewnuts</w:t>
        </w:r>
        <w:r w:rsidR="002C0E50">
          <w:rPr>
            <w:noProof/>
            <w:webHidden/>
          </w:rPr>
          <w:tab/>
        </w:r>
        <w:r w:rsidR="002C0E50">
          <w:rPr>
            <w:noProof/>
            <w:webHidden/>
          </w:rPr>
          <w:fldChar w:fldCharType="begin"/>
        </w:r>
        <w:r w:rsidR="002C0E50">
          <w:rPr>
            <w:noProof/>
            <w:webHidden/>
          </w:rPr>
          <w:instrText xml:space="preserve"> PAGEREF _Toc82385680 \h </w:instrText>
        </w:r>
        <w:r w:rsidR="002C0E50">
          <w:rPr>
            <w:noProof/>
            <w:webHidden/>
          </w:rPr>
        </w:r>
        <w:r w:rsidR="002C0E50">
          <w:rPr>
            <w:noProof/>
            <w:webHidden/>
          </w:rPr>
          <w:fldChar w:fldCharType="separate"/>
        </w:r>
        <w:r w:rsidR="00A15698">
          <w:rPr>
            <w:noProof/>
            <w:webHidden/>
          </w:rPr>
          <w:t>90</w:t>
        </w:r>
        <w:r w:rsidR="002C0E50">
          <w:rPr>
            <w:noProof/>
            <w:webHidden/>
          </w:rPr>
          <w:fldChar w:fldCharType="end"/>
        </w:r>
      </w:hyperlink>
    </w:p>
    <w:p w14:paraId="4F3FB2D4" w14:textId="6A8926C5"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681" w:history="1">
        <w:r w:rsidR="002C0E50" w:rsidRPr="00C75400">
          <w:rPr>
            <w:rStyle w:val="Hyperlink"/>
            <w:noProof/>
          </w:rPr>
          <w:t>3.1.6.6</w:t>
        </w:r>
        <w:r w:rsidR="002C0E50">
          <w:rPr>
            <w:rFonts w:asciiTheme="minorHAnsi" w:eastAsiaTheme="minorEastAsia" w:hAnsiTheme="minorHAnsi" w:cstheme="minorBidi"/>
            <w:noProof/>
            <w:szCs w:val="24"/>
          </w:rPr>
          <w:tab/>
        </w:r>
        <w:r w:rsidR="002C0E50" w:rsidRPr="00C75400">
          <w:rPr>
            <w:rStyle w:val="Hyperlink"/>
            <w:noProof/>
          </w:rPr>
          <w:t>Coconut</w:t>
        </w:r>
        <w:r w:rsidR="002C0E50">
          <w:rPr>
            <w:noProof/>
            <w:webHidden/>
          </w:rPr>
          <w:tab/>
        </w:r>
        <w:r w:rsidR="002C0E50">
          <w:rPr>
            <w:noProof/>
            <w:webHidden/>
          </w:rPr>
          <w:fldChar w:fldCharType="begin"/>
        </w:r>
        <w:r w:rsidR="002C0E50">
          <w:rPr>
            <w:noProof/>
            <w:webHidden/>
          </w:rPr>
          <w:instrText xml:space="preserve"> PAGEREF _Toc82385681 \h </w:instrText>
        </w:r>
        <w:r w:rsidR="002C0E50">
          <w:rPr>
            <w:noProof/>
            <w:webHidden/>
          </w:rPr>
        </w:r>
        <w:r w:rsidR="002C0E50">
          <w:rPr>
            <w:noProof/>
            <w:webHidden/>
          </w:rPr>
          <w:fldChar w:fldCharType="separate"/>
        </w:r>
        <w:r w:rsidR="00A15698">
          <w:rPr>
            <w:noProof/>
            <w:webHidden/>
          </w:rPr>
          <w:t>92</w:t>
        </w:r>
        <w:r w:rsidR="002C0E50">
          <w:rPr>
            <w:noProof/>
            <w:webHidden/>
          </w:rPr>
          <w:fldChar w:fldCharType="end"/>
        </w:r>
      </w:hyperlink>
    </w:p>
    <w:p w14:paraId="59BC554B" w14:textId="06EFC295"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682" w:history="1">
        <w:r w:rsidR="002C0E50" w:rsidRPr="00C75400">
          <w:rPr>
            <w:rStyle w:val="Hyperlink"/>
            <w:noProof/>
          </w:rPr>
          <w:t>3.1.6.7</w:t>
        </w:r>
        <w:r w:rsidR="002C0E50">
          <w:rPr>
            <w:rFonts w:asciiTheme="minorHAnsi" w:eastAsiaTheme="minorEastAsia" w:hAnsiTheme="minorHAnsi" w:cstheme="minorBidi"/>
            <w:noProof/>
            <w:szCs w:val="24"/>
          </w:rPr>
          <w:tab/>
        </w:r>
        <w:r w:rsidR="002C0E50" w:rsidRPr="00C75400">
          <w:rPr>
            <w:rStyle w:val="Hyperlink"/>
            <w:noProof/>
          </w:rPr>
          <w:t>Sisal</w:t>
        </w:r>
        <w:r w:rsidR="002C0E50">
          <w:rPr>
            <w:noProof/>
            <w:webHidden/>
          </w:rPr>
          <w:tab/>
        </w:r>
        <w:r w:rsidR="002C0E50">
          <w:rPr>
            <w:noProof/>
            <w:webHidden/>
          </w:rPr>
          <w:tab/>
        </w:r>
        <w:r w:rsidR="002C0E50">
          <w:rPr>
            <w:noProof/>
            <w:webHidden/>
          </w:rPr>
          <w:fldChar w:fldCharType="begin"/>
        </w:r>
        <w:r w:rsidR="002C0E50">
          <w:rPr>
            <w:noProof/>
            <w:webHidden/>
          </w:rPr>
          <w:instrText xml:space="preserve"> PAGEREF _Toc82385682 \h </w:instrText>
        </w:r>
        <w:r w:rsidR="002C0E50">
          <w:rPr>
            <w:noProof/>
            <w:webHidden/>
          </w:rPr>
        </w:r>
        <w:r w:rsidR="002C0E50">
          <w:rPr>
            <w:noProof/>
            <w:webHidden/>
          </w:rPr>
          <w:fldChar w:fldCharType="separate"/>
        </w:r>
        <w:r w:rsidR="00A15698">
          <w:rPr>
            <w:noProof/>
            <w:webHidden/>
          </w:rPr>
          <w:t>93</w:t>
        </w:r>
        <w:r w:rsidR="002C0E50">
          <w:rPr>
            <w:noProof/>
            <w:webHidden/>
          </w:rPr>
          <w:fldChar w:fldCharType="end"/>
        </w:r>
      </w:hyperlink>
    </w:p>
    <w:p w14:paraId="2920F5C4" w14:textId="5D60BD78"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683" w:history="1">
        <w:r w:rsidR="002C0E50" w:rsidRPr="00C75400">
          <w:rPr>
            <w:rStyle w:val="Hyperlink"/>
            <w:noProof/>
          </w:rPr>
          <w:t>3.1.6.8</w:t>
        </w:r>
        <w:r w:rsidR="002C0E50">
          <w:rPr>
            <w:rFonts w:asciiTheme="minorHAnsi" w:eastAsiaTheme="minorEastAsia" w:hAnsiTheme="minorHAnsi" w:cstheme="minorBidi"/>
            <w:noProof/>
            <w:szCs w:val="24"/>
          </w:rPr>
          <w:tab/>
        </w:r>
        <w:r w:rsidR="002C0E50" w:rsidRPr="00C75400">
          <w:rPr>
            <w:rStyle w:val="Hyperlink"/>
            <w:noProof/>
          </w:rPr>
          <w:t>Tea</w:t>
        </w:r>
        <w:r w:rsidR="002C0E50">
          <w:rPr>
            <w:noProof/>
            <w:webHidden/>
          </w:rPr>
          <w:tab/>
        </w:r>
        <w:r w:rsidR="002C0E50">
          <w:rPr>
            <w:noProof/>
            <w:webHidden/>
          </w:rPr>
          <w:tab/>
        </w:r>
        <w:r w:rsidR="002C0E50">
          <w:rPr>
            <w:noProof/>
            <w:webHidden/>
          </w:rPr>
          <w:fldChar w:fldCharType="begin"/>
        </w:r>
        <w:r w:rsidR="002C0E50">
          <w:rPr>
            <w:noProof/>
            <w:webHidden/>
          </w:rPr>
          <w:instrText xml:space="preserve"> PAGEREF _Toc82385683 \h </w:instrText>
        </w:r>
        <w:r w:rsidR="002C0E50">
          <w:rPr>
            <w:noProof/>
            <w:webHidden/>
          </w:rPr>
        </w:r>
        <w:r w:rsidR="002C0E50">
          <w:rPr>
            <w:noProof/>
            <w:webHidden/>
          </w:rPr>
          <w:fldChar w:fldCharType="separate"/>
        </w:r>
        <w:r w:rsidR="00A15698">
          <w:rPr>
            <w:noProof/>
            <w:webHidden/>
          </w:rPr>
          <w:t>93</w:t>
        </w:r>
        <w:r w:rsidR="002C0E50">
          <w:rPr>
            <w:noProof/>
            <w:webHidden/>
          </w:rPr>
          <w:fldChar w:fldCharType="end"/>
        </w:r>
      </w:hyperlink>
    </w:p>
    <w:p w14:paraId="708119AC" w14:textId="4AE1BDAC"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684" w:history="1">
        <w:r w:rsidR="002C0E50" w:rsidRPr="00C75400">
          <w:rPr>
            <w:rStyle w:val="Hyperlink"/>
            <w:noProof/>
          </w:rPr>
          <w:t>3.1.6.9</w:t>
        </w:r>
        <w:r w:rsidR="002C0E50">
          <w:rPr>
            <w:rFonts w:asciiTheme="minorHAnsi" w:eastAsiaTheme="minorEastAsia" w:hAnsiTheme="minorHAnsi" w:cstheme="minorBidi"/>
            <w:noProof/>
            <w:szCs w:val="24"/>
          </w:rPr>
          <w:tab/>
        </w:r>
        <w:r w:rsidR="002C0E50" w:rsidRPr="00C75400">
          <w:rPr>
            <w:rStyle w:val="Hyperlink"/>
            <w:noProof/>
          </w:rPr>
          <w:t>Clove</w:t>
        </w:r>
        <w:r w:rsidR="002C0E50">
          <w:rPr>
            <w:noProof/>
            <w:webHidden/>
          </w:rPr>
          <w:tab/>
        </w:r>
        <w:r w:rsidR="002C0E50">
          <w:rPr>
            <w:noProof/>
            <w:webHidden/>
          </w:rPr>
          <w:fldChar w:fldCharType="begin"/>
        </w:r>
        <w:r w:rsidR="002C0E50">
          <w:rPr>
            <w:noProof/>
            <w:webHidden/>
          </w:rPr>
          <w:instrText xml:space="preserve"> PAGEREF _Toc82385684 \h </w:instrText>
        </w:r>
        <w:r w:rsidR="002C0E50">
          <w:rPr>
            <w:noProof/>
            <w:webHidden/>
          </w:rPr>
        </w:r>
        <w:r w:rsidR="002C0E50">
          <w:rPr>
            <w:noProof/>
            <w:webHidden/>
          </w:rPr>
          <w:fldChar w:fldCharType="separate"/>
        </w:r>
        <w:r w:rsidR="00A15698">
          <w:rPr>
            <w:noProof/>
            <w:webHidden/>
          </w:rPr>
          <w:t>94</w:t>
        </w:r>
        <w:r w:rsidR="002C0E50">
          <w:rPr>
            <w:noProof/>
            <w:webHidden/>
          </w:rPr>
          <w:fldChar w:fldCharType="end"/>
        </w:r>
      </w:hyperlink>
    </w:p>
    <w:p w14:paraId="23C2C18A" w14:textId="2D51082D" w:rsidR="002C0E50" w:rsidRDefault="00E909AE" w:rsidP="002C0E50">
      <w:pPr>
        <w:pStyle w:val="TOC2"/>
        <w:rPr>
          <w:rFonts w:asciiTheme="minorHAnsi" w:eastAsiaTheme="minorEastAsia" w:hAnsiTheme="minorHAnsi" w:cstheme="minorBidi"/>
          <w:noProof/>
          <w:szCs w:val="24"/>
        </w:rPr>
      </w:pPr>
      <w:hyperlink w:anchor="_Toc82385685" w:history="1">
        <w:r w:rsidR="002C0E50" w:rsidRPr="00C75400">
          <w:rPr>
            <w:rStyle w:val="Hyperlink"/>
            <w:noProof/>
          </w:rPr>
          <w:t>3.2</w:t>
        </w:r>
        <w:r w:rsidR="002C0E50">
          <w:rPr>
            <w:rFonts w:asciiTheme="minorHAnsi" w:eastAsiaTheme="minorEastAsia" w:hAnsiTheme="minorHAnsi" w:cstheme="minorBidi"/>
            <w:noProof/>
            <w:szCs w:val="24"/>
          </w:rPr>
          <w:tab/>
        </w:r>
        <w:r w:rsidR="002C0E50" w:rsidRPr="00C75400">
          <w:rPr>
            <w:rStyle w:val="Hyperlink"/>
            <w:noProof/>
          </w:rPr>
          <w:t>Agro-Processing</w:t>
        </w:r>
        <w:r w:rsidR="002C0E50">
          <w:rPr>
            <w:noProof/>
            <w:webHidden/>
          </w:rPr>
          <w:tab/>
        </w:r>
        <w:r w:rsidR="002C0E50">
          <w:rPr>
            <w:noProof/>
            <w:webHidden/>
          </w:rPr>
          <w:fldChar w:fldCharType="begin"/>
        </w:r>
        <w:r w:rsidR="002C0E50">
          <w:rPr>
            <w:noProof/>
            <w:webHidden/>
          </w:rPr>
          <w:instrText xml:space="preserve"> PAGEREF _Toc82385685 \h </w:instrText>
        </w:r>
        <w:r w:rsidR="002C0E50">
          <w:rPr>
            <w:noProof/>
            <w:webHidden/>
          </w:rPr>
        </w:r>
        <w:r w:rsidR="002C0E50">
          <w:rPr>
            <w:noProof/>
            <w:webHidden/>
          </w:rPr>
          <w:fldChar w:fldCharType="separate"/>
        </w:r>
        <w:r w:rsidR="00A15698">
          <w:rPr>
            <w:noProof/>
            <w:webHidden/>
          </w:rPr>
          <w:t>95</w:t>
        </w:r>
        <w:r w:rsidR="002C0E50">
          <w:rPr>
            <w:noProof/>
            <w:webHidden/>
          </w:rPr>
          <w:fldChar w:fldCharType="end"/>
        </w:r>
      </w:hyperlink>
    </w:p>
    <w:p w14:paraId="01878DE6" w14:textId="3694C247"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686" w:history="1">
        <w:r w:rsidR="002C0E50" w:rsidRPr="00C75400">
          <w:rPr>
            <w:rStyle w:val="Hyperlink"/>
            <w:noProof/>
          </w:rPr>
          <w:t>3.2.1</w:t>
        </w:r>
        <w:r w:rsidR="002C0E50">
          <w:rPr>
            <w:rFonts w:asciiTheme="minorHAnsi" w:eastAsiaTheme="minorEastAsia" w:hAnsiTheme="minorHAnsi" w:cstheme="minorBidi"/>
            <w:noProof/>
            <w:szCs w:val="24"/>
          </w:rPr>
          <w:tab/>
        </w:r>
        <w:r w:rsidR="002C0E50" w:rsidRPr="00C75400">
          <w:rPr>
            <w:rStyle w:val="Hyperlink"/>
            <w:noProof/>
          </w:rPr>
          <w:t>Households Involved in Agro-processing</w:t>
        </w:r>
        <w:r w:rsidR="002C0E50">
          <w:rPr>
            <w:noProof/>
            <w:webHidden/>
          </w:rPr>
          <w:tab/>
        </w:r>
        <w:r w:rsidR="002C0E50">
          <w:rPr>
            <w:noProof/>
            <w:webHidden/>
          </w:rPr>
          <w:fldChar w:fldCharType="begin"/>
        </w:r>
        <w:r w:rsidR="002C0E50">
          <w:rPr>
            <w:noProof/>
            <w:webHidden/>
          </w:rPr>
          <w:instrText xml:space="preserve"> PAGEREF _Toc82385686 \h </w:instrText>
        </w:r>
        <w:r w:rsidR="002C0E50">
          <w:rPr>
            <w:noProof/>
            <w:webHidden/>
          </w:rPr>
        </w:r>
        <w:r w:rsidR="002C0E50">
          <w:rPr>
            <w:noProof/>
            <w:webHidden/>
          </w:rPr>
          <w:fldChar w:fldCharType="separate"/>
        </w:r>
        <w:r w:rsidR="00A15698">
          <w:rPr>
            <w:noProof/>
            <w:webHidden/>
          </w:rPr>
          <w:t>96</w:t>
        </w:r>
        <w:r w:rsidR="002C0E50">
          <w:rPr>
            <w:noProof/>
            <w:webHidden/>
          </w:rPr>
          <w:fldChar w:fldCharType="end"/>
        </w:r>
      </w:hyperlink>
    </w:p>
    <w:p w14:paraId="485B5DF6" w14:textId="5A8CBBAB"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687" w:history="1">
        <w:r w:rsidR="002C0E50" w:rsidRPr="00C75400">
          <w:rPr>
            <w:rStyle w:val="Hyperlink"/>
            <w:noProof/>
          </w:rPr>
          <w:t>3.2.2</w:t>
        </w:r>
        <w:r w:rsidR="002C0E50">
          <w:rPr>
            <w:rFonts w:asciiTheme="minorHAnsi" w:eastAsiaTheme="minorEastAsia" w:hAnsiTheme="minorHAnsi" w:cstheme="minorBidi"/>
            <w:noProof/>
            <w:szCs w:val="24"/>
          </w:rPr>
          <w:tab/>
        </w:r>
        <w:r w:rsidR="002C0E50" w:rsidRPr="00C75400">
          <w:rPr>
            <w:rStyle w:val="Hyperlink"/>
            <w:noProof/>
          </w:rPr>
          <w:t>Quantity of Major Crop Products</w:t>
        </w:r>
        <w:r w:rsidR="002C0E50">
          <w:rPr>
            <w:noProof/>
            <w:webHidden/>
          </w:rPr>
          <w:tab/>
        </w:r>
        <w:r w:rsidR="002C0E50">
          <w:rPr>
            <w:noProof/>
            <w:webHidden/>
          </w:rPr>
          <w:fldChar w:fldCharType="begin"/>
        </w:r>
        <w:r w:rsidR="002C0E50">
          <w:rPr>
            <w:noProof/>
            <w:webHidden/>
          </w:rPr>
          <w:instrText xml:space="preserve"> PAGEREF _Toc82385687 \h </w:instrText>
        </w:r>
        <w:r w:rsidR="002C0E50">
          <w:rPr>
            <w:noProof/>
            <w:webHidden/>
          </w:rPr>
        </w:r>
        <w:r w:rsidR="002C0E50">
          <w:rPr>
            <w:noProof/>
            <w:webHidden/>
          </w:rPr>
          <w:fldChar w:fldCharType="separate"/>
        </w:r>
        <w:r w:rsidR="00A15698">
          <w:rPr>
            <w:noProof/>
            <w:webHidden/>
          </w:rPr>
          <w:t>97</w:t>
        </w:r>
        <w:r w:rsidR="002C0E50">
          <w:rPr>
            <w:noProof/>
            <w:webHidden/>
          </w:rPr>
          <w:fldChar w:fldCharType="end"/>
        </w:r>
      </w:hyperlink>
    </w:p>
    <w:p w14:paraId="7430830D" w14:textId="3607E4FE"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688" w:history="1">
        <w:r w:rsidR="002C0E50" w:rsidRPr="00C75400">
          <w:rPr>
            <w:rStyle w:val="Hyperlink"/>
            <w:noProof/>
          </w:rPr>
          <w:t>3.2.3</w:t>
        </w:r>
        <w:r w:rsidR="002C0E50">
          <w:rPr>
            <w:rFonts w:asciiTheme="minorHAnsi" w:eastAsiaTheme="minorEastAsia" w:hAnsiTheme="minorHAnsi" w:cstheme="minorBidi"/>
            <w:noProof/>
            <w:szCs w:val="24"/>
          </w:rPr>
          <w:tab/>
        </w:r>
        <w:r w:rsidR="002C0E50" w:rsidRPr="00C75400">
          <w:rPr>
            <w:rStyle w:val="Hyperlink"/>
            <w:noProof/>
          </w:rPr>
          <w:t>Major Outlets for Selling Agro-processed Products</w:t>
        </w:r>
        <w:r w:rsidR="002C0E50">
          <w:rPr>
            <w:noProof/>
            <w:webHidden/>
          </w:rPr>
          <w:tab/>
        </w:r>
        <w:r w:rsidR="002C0E50">
          <w:rPr>
            <w:noProof/>
            <w:webHidden/>
          </w:rPr>
          <w:fldChar w:fldCharType="begin"/>
        </w:r>
        <w:r w:rsidR="002C0E50">
          <w:rPr>
            <w:noProof/>
            <w:webHidden/>
          </w:rPr>
          <w:instrText xml:space="preserve"> PAGEREF _Toc82385688 \h </w:instrText>
        </w:r>
        <w:r w:rsidR="002C0E50">
          <w:rPr>
            <w:noProof/>
            <w:webHidden/>
          </w:rPr>
        </w:r>
        <w:r w:rsidR="002C0E50">
          <w:rPr>
            <w:noProof/>
            <w:webHidden/>
          </w:rPr>
          <w:fldChar w:fldCharType="separate"/>
        </w:r>
        <w:r w:rsidR="00A15698">
          <w:rPr>
            <w:noProof/>
            <w:webHidden/>
          </w:rPr>
          <w:t>97</w:t>
        </w:r>
        <w:r w:rsidR="002C0E50">
          <w:rPr>
            <w:noProof/>
            <w:webHidden/>
          </w:rPr>
          <w:fldChar w:fldCharType="end"/>
        </w:r>
      </w:hyperlink>
    </w:p>
    <w:p w14:paraId="0420897B" w14:textId="6376B6E0"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689" w:history="1">
        <w:r w:rsidR="002C0E50" w:rsidRPr="00C75400">
          <w:rPr>
            <w:rStyle w:val="Hyperlink"/>
            <w:noProof/>
          </w:rPr>
          <w:t>3.2.3.1</w:t>
        </w:r>
        <w:r w:rsidR="002C0E50">
          <w:rPr>
            <w:rFonts w:asciiTheme="minorHAnsi" w:eastAsiaTheme="minorEastAsia" w:hAnsiTheme="minorHAnsi" w:cstheme="minorBidi"/>
            <w:noProof/>
            <w:szCs w:val="24"/>
          </w:rPr>
          <w:tab/>
        </w:r>
        <w:r w:rsidR="002C0E50" w:rsidRPr="00C75400">
          <w:rPr>
            <w:rStyle w:val="Hyperlink"/>
            <w:noProof/>
          </w:rPr>
          <w:t>Flour/Meal</w:t>
        </w:r>
        <w:r w:rsidR="002C0E50">
          <w:rPr>
            <w:noProof/>
            <w:webHidden/>
          </w:rPr>
          <w:tab/>
        </w:r>
        <w:r w:rsidR="002C0E50">
          <w:rPr>
            <w:noProof/>
            <w:webHidden/>
          </w:rPr>
          <w:fldChar w:fldCharType="begin"/>
        </w:r>
        <w:r w:rsidR="002C0E50">
          <w:rPr>
            <w:noProof/>
            <w:webHidden/>
          </w:rPr>
          <w:instrText xml:space="preserve"> PAGEREF _Toc82385689 \h </w:instrText>
        </w:r>
        <w:r w:rsidR="002C0E50">
          <w:rPr>
            <w:noProof/>
            <w:webHidden/>
          </w:rPr>
        </w:r>
        <w:r w:rsidR="002C0E50">
          <w:rPr>
            <w:noProof/>
            <w:webHidden/>
          </w:rPr>
          <w:fldChar w:fldCharType="separate"/>
        </w:r>
        <w:r w:rsidR="00A15698">
          <w:rPr>
            <w:noProof/>
            <w:webHidden/>
          </w:rPr>
          <w:t>97</w:t>
        </w:r>
        <w:r w:rsidR="002C0E50">
          <w:rPr>
            <w:noProof/>
            <w:webHidden/>
          </w:rPr>
          <w:fldChar w:fldCharType="end"/>
        </w:r>
      </w:hyperlink>
    </w:p>
    <w:p w14:paraId="6F46DB9E" w14:textId="6604ED8A"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690" w:history="1">
        <w:r w:rsidR="002C0E50" w:rsidRPr="00C75400">
          <w:rPr>
            <w:rStyle w:val="Hyperlink"/>
            <w:noProof/>
          </w:rPr>
          <w:t>3.2.1.2</w:t>
        </w:r>
        <w:r w:rsidR="002C0E50">
          <w:rPr>
            <w:rFonts w:asciiTheme="minorHAnsi" w:eastAsiaTheme="minorEastAsia" w:hAnsiTheme="minorHAnsi" w:cstheme="minorBidi"/>
            <w:noProof/>
            <w:szCs w:val="24"/>
          </w:rPr>
          <w:tab/>
        </w:r>
        <w:r w:rsidR="002C0E50" w:rsidRPr="00C75400">
          <w:rPr>
            <w:rStyle w:val="Hyperlink"/>
            <w:noProof/>
          </w:rPr>
          <w:t>Grain</w:t>
        </w:r>
        <w:r w:rsidR="002C0E50">
          <w:rPr>
            <w:noProof/>
            <w:webHidden/>
          </w:rPr>
          <w:tab/>
        </w:r>
        <w:r w:rsidR="002C0E50">
          <w:rPr>
            <w:noProof/>
            <w:webHidden/>
          </w:rPr>
          <w:fldChar w:fldCharType="begin"/>
        </w:r>
        <w:r w:rsidR="002C0E50">
          <w:rPr>
            <w:noProof/>
            <w:webHidden/>
          </w:rPr>
          <w:instrText xml:space="preserve"> PAGEREF _Toc82385690 \h </w:instrText>
        </w:r>
        <w:r w:rsidR="002C0E50">
          <w:rPr>
            <w:noProof/>
            <w:webHidden/>
          </w:rPr>
        </w:r>
        <w:r w:rsidR="002C0E50">
          <w:rPr>
            <w:noProof/>
            <w:webHidden/>
          </w:rPr>
          <w:fldChar w:fldCharType="separate"/>
        </w:r>
        <w:r w:rsidR="00A15698">
          <w:rPr>
            <w:noProof/>
            <w:webHidden/>
          </w:rPr>
          <w:t>97</w:t>
        </w:r>
        <w:r w:rsidR="002C0E50">
          <w:rPr>
            <w:noProof/>
            <w:webHidden/>
          </w:rPr>
          <w:fldChar w:fldCharType="end"/>
        </w:r>
      </w:hyperlink>
    </w:p>
    <w:p w14:paraId="0C64357C" w14:textId="00B71CD5"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691" w:history="1">
        <w:r w:rsidR="002C0E50" w:rsidRPr="00C75400">
          <w:rPr>
            <w:rStyle w:val="Hyperlink"/>
            <w:noProof/>
          </w:rPr>
          <w:t>3.2.1.3</w:t>
        </w:r>
        <w:r w:rsidR="002C0E50">
          <w:rPr>
            <w:rFonts w:asciiTheme="minorHAnsi" w:eastAsiaTheme="minorEastAsia" w:hAnsiTheme="minorHAnsi" w:cstheme="minorBidi"/>
            <w:noProof/>
            <w:szCs w:val="24"/>
          </w:rPr>
          <w:tab/>
        </w:r>
        <w:r w:rsidR="002C0E50" w:rsidRPr="00C75400">
          <w:rPr>
            <w:rStyle w:val="Hyperlink"/>
            <w:noProof/>
          </w:rPr>
          <w:t>Oil</w:t>
        </w:r>
        <w:r w:rsidR="002C0E50">
          <w:rPr>
            <w:noProof/>
            <w:webHidden/>
          </w:rPr>
          <w:tab/>
        </w:r>
        <w:r w:rsidR="002C0E50">
          <w:rPr>
            <w:noProof/>
            <w:webHidden/>
          </w:rPr>
          <w:tab/>
        </w:r>
        <w:r w:rsidR="002C0E50">
          <w:rPr>
            <w:noProof/>
            <w:webHidden/>
          </w:rPr>
          <w:fldChar w:fldCharType="begin"/>
        </w:r>
        <w:r w:rsidR="002C0E50">
          <w:rPr>
            <w:noProof/>
            <w:webHidden/>
          </w:rPr>
          <w:instrText xml:space="preserve"> PAGEREF _Toc82385691 \h </w:instrText>
        </w:r>
        <w:r w:rsidR="002C0E50">
          <w:rPr>
            <w:noProof/>
            <w:webHidden/>
          </w:rPr>
        </w:r>
        <w:r w:rsidR="002C0E50">
          <w:rPr>
            <w:noProof/>
            <w:webHidden/>
          </w:rPr>
          <w:fldChar w:fldCharType="separate"/>
        </w:r>
        <w:r w:rsidR="00A15698">
          <w:rPr>
            <w:noProof/>
            <w:webHidden/>
          </w:rPr>
          <w:t>98</w:t>
        </w:r>
        <w:r w:rsidR="002C0E50">
          <w:rPr>
            <w:noProof/>
            <w:webHidden/>
          </w:rPr>
          <w:fldChar w:fldCharType="end"/>
        </w:r>
      </w:hyperlink>
    </w:p>
    <w:p w14:paraId="7B649DE6" w14:textId="3AE3C0C7" w:rsidR="002C0E50" w:rsidRDefault="00E909AE" w:rsidP="002C0E50">
      <w:pPr>
        <w:pStyle w:val="TOC4"/>
        <w:tabs>
          <w:tab w:val="clear" w:pos="9622"/>
          <w:tab w:val="right" w:leader="dot" w:pos="9020"/>
        </w:tabs>
        <w:ind w:right="-52"/>
        <w:rPr>
          <w:rFonts w:asciiTheme="minorHAnsi" w:eastAsiaTheme="minorEastAsia" w:hAnsiTheme="minorHAnsi" w:cstheme="minorBidi"/>
          <w:noProof/>
          <w:szCs w:val="24"/>
        </w:rPr>
      </w:pPr>
      <w:hyperlink w:anchor="_Toc82385692" w:history="1">
        <w:r w:rsidR="002C0E50" w:rsidRPr="00C75400">
          <w:rPr>
            <w:rStyle w:val="Hyperlink"/>
            <w:noProof/>
          </w:rPr>
          <w:t>3.2.1.4</w:t>
        </w:r>
        <w:r w:rsidR="002C0E50">
          <w:rPr>
            <w:rFonts w:asciiTheme="minorHAnsi" w:eastAsiaTheme="minorEastAsia" w:hAnsiTheme="minorHAnsi" w:cstheme="minorBidi"/>
            <w:noProof/>
            <w:szCs w:val="24"/>
          </w:rPr>
          <w:tab/>
        </w:r>
        <w:r w:rsidR="002C0E50" w:rsidRPr="00C75400">
          <w:rPr>
            <w:rStyle w:val="Hyperlink"/>
            <w:noProof/>
          </w:rPr>
          <w:t>Fiber</w:t>
        </w:r>
        <w:r w:rsidR="002C0E50">
          <w:rPr>
            <w:noProof/>
            <w:webHidden/>
          </w:rPr>
          <w:tab/>
        </w:r>
        <w:r w:rsidR="002C0E50">
          <w:rPr>
            <w:noProof/>
            <w:webHidden/>
          </w:rPr>
          <w:fldChar w:fldCharType="begin"/>
        </w:r>
        <w:r w:rsidR="002C0E50">
          <w:rPr>
            <w:noProof/>
            <w:webHidden/>
          </w:rPr>
          <w:instrText xml:space="preserve"> PAGEREF _Toc82385692 \h </w:instrText>
        </w:r>
        <w:r w:rsidR="002C0E50">
          <w:rPr>
            <w:noProof/>
            <w:webHidden/>
          </w:rPr>
        </w:r>
        <w:r w:rsidR="002C0E50">
          <w:rPr>
            <w:noProof/>
            <w:webHidden/>
          </w:rPr>
          <w:fldChar w:fldCharType="separate"/>
        </w:r>
        <w:r w:rsidR="00A15698">
          <w:rPr>
            <w:noProof/>
            <w:webHidden/>
          </w:rPr>
          <w:t>98</w:t>
        </w:r>
        <w:r w:rsidR="002C0E50">
          <w:rPr>
            <w:noProof/>
            <w:webHidden/>
          </w:rPr>
          <w:fldChar w:fldCharType="end"/>
        </w:r>
      </w:hyperlink>
    </w:p>
    <w:p w14:paraId="5E0A882C" w14:textId="71A4CACC"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693" w:history="1">
        <w:r w:rsidR="002C0E50" w:rsidRPr="00C75400">
          <w:rPr>
            <w:rStyle w:val="Hyperlink"/>
            <w:noProof/>
          </w:rPr>
          <w:t>3.2.3</w:t>
        </w:r>
        <w:r w:rsidR="002C0E50">
          <w:rPr>
            <w:rFonts w:asciiTheme="minorHAnsi" w:eastAsiaTheme="minorEastAsia" w:hAnsiTheme="minorHAnsi" w:cstheme="minorBidi"/>
            <w:noProof/>
            <w:szCs w:val="24"/>
          </w:rPr>
          <w:tab/>
        </w:r>
        <w:r w:rsidR="002C0E50" w:rsidRPr="00C75400">
          <w:rPr>
            <w:rStyle w:val="Hyperlink"/>
            <w:noProof/>
          </w:rPr>
          <w:t>Main Type of Packaging Material</w:t>
        </w:r>
        <w:r w:rsidR="002C0E50">
          <w:rPr>
            <w:noProof/>
            <w:webHidden/>
          </w:rPr>
          <w:tab/>
        </w:r>
        <w:r w:rsidR="002C0E50">
          <w:rPr>
            <w:noProof/>
            <w:webHidden/>
          </w:rPr>
          <w:fldChar w:fldCharType="begin"/>
        </w:r>
        <w:r w:rsidR="002C0E50">
          <w:rPr>
            <w:noProof/>
            <w:webHidden/>
          </w:rPr>
          <w:instrText xml:space="preserve"> PAGEREF _Toc82385693 \h </w:instrText>
        </w:r>
        <w:r w:rsidR="002C0E50">
          <w:rPr>
            <w:noProof/>
            <w:webHidden/>
          </w:rPr>
        </w:r>
        <w:r w:rsidR="002C0E50">
          <w:rPr>
            <w:noProof/>
            <w:webHidden/>
          </w:rPr>
          <w:fldChar w:fldCharType="separate"/>
        </w:r>
        <w:r w:rsidR="00A15698">
          <w:rPr>
            <w:noProof/>
            <w:webHidden/>
          </w:rPr>
          <w:t>99</w:t>
        </w:r>
        <w:r w:rsidR="002C0E50">
          <w:rPr>
            <w:noProof/>
            <w:webHidden/>
          </w:rPr>
          <w:fldChar w:fldCharType="end"/>
        </w:r>
      </w:hyperlink>
    </w:p>
    <w:p w14:paraId="5516F77E" w14:textId="08D8CCF0"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694" w:history="1">
        <w:r w:rsidR="002C0E50" w:rsidRPr="00C75400">
          <w:rPr>
            <w:rStyle w:val="Hyperlink"/>
            <w:noProof/>
          </w:rPr>
          <w:t>3.2.3.1</w:t>
        </w:r>
        <w:r w:rsidR="002C0E50">
          <w:rPr>
            <w:rFonts w:asciiTheme="minorHAnsi" w:eastAsiaTheme="minorEastAsia" w:hAnsiTheme="minorHAnsi" w:cstheme="minorBidi"/>
            <w:noProof/>
            <w:szCs w:val="24"/>
          </w:rPr>
          <w:tab/>
        </w:r>
        <w:r w:rsidR="002C0E50" w:rsidRPr="00C75400">
          <w:rPr>
            <w:rStyle w:val="Hyperlink"/>
            <w:noProof/>
          </w:rPr>
          <w:t>Flour/Meal</w:t>
        </w:r>
        <w:r w:rsidR="002C0E50">
          <w:rPr>
            <w:noProof/>
            <w:webHidden/>
          </w:rPr>
          <w:tab/>
        </w:r>
        <w:r w:rsidR="002C0E50">
          <w:rPr>
            <w:noProof/>
            <w:webHidden/>
          </w:rPr>
          <w:fldChar w:fldCharType="begin"/>
        </w:r>
        <w:r w:rsidR="002C0E50">
          <w:rPr>
            <w:noProof/>
            <w:webHidden/>
          </w:rPr>
          <w:instrText xml:space="preserve"> PAGEREF _Toc82385694 \h </w:instrText>
        </w:r>
        <w:r w:rsidR="002C0E50">
          <w:rPr>
            <w:noProof/>
            <w:webHidden/>
          </w:rPr>
        </w:r>
        <w:r w:rsidR="002C0E50">
          <w:rPr>
            <w:noProof/>
            <w:webHidden/>
          </w:rPr>
          <w:fldChar w:fldCharType="separate"/>
        </w:r>
        <w:r w:rsidR="00A15698">
          <w:rPr>
            <w:noProof/>
            <w:webHidden/>
          </w:rPr>
          <w:t>99</w:t>
        </w:r>
        <w:r w:rsidR="002C0E50">
          <w:rPr>
            <w:noProof/>
            <w:webHidden/>
          </w:rPr>
          <w:fldChar w:fldCharType="end"/>
        </w:r>
      </w:hyperlink>
    </w:p>
    <w:p w14:paraId="6D21921C" w14:textId="6923A218"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695" w:history="1">
        <w:r w:rsidR="002C0E50" w:rsidRPr="00C75400">
          <w:rPr>
            <w:rStyle w:val="Hyperlink"/>
            <w:noProof/>
          </w:rPr>
          <w:t>3.2.3.2</w:t>
        </w:r>
        <w:r w:rsidR="002C0E50">
          <w:rPr>
            <w:rFonts w:asciiTheme="minorHAnsi" w:eastAsiaTheme="minorEastAsia" w:hAnsiTheme="minorHAnsi" w:cstheme="minorBidi"/>
            <w:noProof/>
            <w:szCs w:val="24"/>
          </w:rPr>
          <w:tab/>
        </w:r>
        <w:r w:rsidR="002C0E50" w:rsidRPr="00C75400">
          <w:rPr>
            <w:rStyle w:val="Hyperlink"/>
            <w:noProof/>
          </w:rPr>
          <w:t>Grain</w:t>
        </w:r>
        <w:r w:rsidR="002C0E50">
          <w:rPr>
            <w:noProof/>
            <w:webHidden/>
          </w:rPr>
          <w:tab/>
        </w:r>
        <w:r w:rsidR="002C0E50">
          <w:rPr>
            <w:noProof/>
            <w:webHidden/>
          </w:rPr>
          <w:fldChar w:fldCharType="begin"/>
        </w:r>
        <w:r w:rsidR="002C0E50">
          <w:rPr>
            <w:noProof/>
            <w:webHidden/>
          </w:rPr>
          <w:instrText xml:space="preserve"> PAGEREF _Toc82385695 \h </w:instrText>
        </w:r>
        <w:r w:rsidR="002C0E50">
          <w:rPr>
            <w:noProof/>
            <w:webHidden/>
          </w:rPr>
        </w:r>
        <w:r w:rsidR="002C0E50">
          <w:rPr>
            <w:noProof/>
            <w:webHidden/>
          </w:rPr>
          <w:fldChar w:fldCharType="separate"/>
        </w:r>
        <w:r w:rsidR="00A15698">
          <w:rPr>
            <w:noProof/>
            <w:webHidden/>
          </w:rPr>
          <w:t>99</w:t>
        </w:r>
        <w:r w:rsidR="002C0E50">
          <w:rPr>
            <w:noProof/>
            <w:webHidden/>
          </w:rPr>
          <w:fldChar w:fldCharType="end"/>
        </w:r>
      </w:hyperlink>
    </w:p>
    <w:p w14:paraId="3BEF273F" w14:textId="1BACFDB9"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696" w:history="1">
        <w:r w:rsidR="002C0E50" w:rsidRPr="00C75400">
          <w:rPr>
            <w:rStyle w:val="Hyperlink"/>
            <w:noProof/>
          </w:rPr>
          <w:t>3.2.3.3</w:t>
        </w:r>
        <w:r w:rsidR="002C0E50">
          <w:rPr>
            <w:rFonts w:asciiTheme="minorHAnsi" w:eastAsiaTheme="minorEastAsia" w:hAnsiTheme="minorHAnsi" w:cstheme="minorBidi"/>
            <w:noProof/>
            <w:szCs w:val="24"/>
          </w:rPr>
          <w:tab/>
        </w:r>
        <w:r w:rsidR="002C0E50" w:rsidRPr="00C75400">
          <w:rPr>
            <w:rStyle w:val="Hyperlink"/>
            <w:noProof/>
          </w:rPr>
          <w:t>Oil</w:t>
        </w:r>
        <w:r w:rsidR="002C0E50">
          <w:rPr>
            <w:noProof/>
            <w:webHidden/>
          </w:rPr>
          <w:tab/>
        </w:r>
        <w:r w:rsidR="002C0E50">
          <w:rPr>
            <w:noProof/>
            <w:webHidden/>
          </w:rPr>
          <w:tab/>
        </w:r>
        <w:r w:rsidR="002C0E50">
          <w:rPr>
            <w:noProof/>
            <w:webHidden/>
          </w:rPr>
          <w:fldChar w:fldCharType="begin"/>
        </w:r>
        <w:r w:rsidR="002C0E50">
          <w:rPr>
            <w:noProof/>
            <w:webHidden/>
          </w:rPr>
          <w:instrText xml:space="preserve"> PAGEREF _Toc82385696 \h </w:instrText>
        </w:r>
        <w:r w:rsidR="002C0E50">
          <w:rPr>
            <w:noProof/>
            <w:webHidden/>
          </w:rPr>
        </w:r>
        <w:r w:rsidR="002C0E50">
          <w:rPr>
            <w:noProof/>
            <w:webHidden/>
          </w:rPr>
          <w:fldChar w:fldCharType="separate"/>
        </w:r>
        <w:r w:rsidR="00A15698">
          <w:rPr>
            <w:noProof/>
            <w:webHidden/>
          </w:rPr>
          <w:t>99</w:t>
        </w:r>
        <w:r w:rsidR="002C0E50">
          <w:rPr>
            <w:noProof/>
            <w:webHidden/>
          </w:rPr>
          <w:fldChar w:fldCharType="end"/>
        </w:r>
      </w:hyperlink>
    </w:p>
    <w:p w14:paraId="60C16517" w14:textId="3142A0AA" w:rsidR="002C0E50" w:rsidRDefault="00E909AE" w:rsidP="002C0E50">
      <w:pPr>
        <w:pStyle w:val="TOC2"/>
        <w:rPr>
          <w:rFonts w:asciiTheme="minorHAnsi" w:eastAsiaTheme="minorEastAsia" w:hAnsiTheme="minorHAnsi" w:cstheme="minorBidi"/>
          <w:noProof/>
          <w:szCs w:val="24"/>
        </w:rPr>
      </w:pPr>
      <w:hyperlink w:anchor="_Toc82385697" w:history="1">
        <w:r w:rsidR="002C0E50" w:rsidRPr="00C75400">
          <w:rPr>
            <w:rStyle w:val="Hyperlink"/>
            <w:noProof/>
          </w:rPr>
          <w:t>3.3</w:t>
        </w:r>
        <w:r w:rsidR="002C0E50">
          <w:rPr>
            <w:rFonts w:asciiTheme="minorHAnsi" w:eastAsiaTheme="minorEastAsia" w:hAnsiTheme="minorHAnsi" w:cstheme="minorBidi"/>
            <w:noProof/>
            <w:szCs w:val="24"/>
          </w:rPr>
          <w:tab/>
        </w:r>
        <w:r w:rsidR="002C0E50" w:rsidRPr="00C75400">
          <w:rPr>
            <w:rStyle w:val="Hyperlink"/>
            <w:noProof/>
          </w:rPr>
          <w:t>Irrigation</w:t>
        </w:r>
        <w:r w:rsidR="002C0E50">
          <w:rPr>
            <w:noProof/>
            <w:webHidden/>
          </w:rPr>
          <w:tab/>
        </w:r>
        <w:r w:rsidR="002C0E50">
          <w:rPr>
            <w:noProof/>
            <w:webHidden/>
          </w:rPr>
          <w:tab/>
        </w:r>
        <w:r w:rsidR="002C0E50">
          <w:rPr>
            <w:noProof/>
            <w:webHidden/>
          </w:rPr>
          <w:fldChar w:fldCharType="begin"/>
        </w:r>
        <w:r w:rsidR="002C0E50">
          <w:rPr>
            <w:noProof/>
            <w:webHidden/>
          </w:rPr>
          <w:instrText xml:space="preserve"> PAGEREF _Toc82385697 \h </w:instrText>
        </w:r>
        <w:r w:rsidR="002C0E50">
          <w:rPr>
            <w:noProof/>
            <w:webHidden/>
          </w:rPr>
        </w:r>
        <w:r w:rsidR="002C0E50">
          <w:rPr>
            <w:noProof/>
            <w:webHidden/>
          </w:rPr>
          <w:fldChar w:fldCharType="separate"/>
        </w:r>
        <w:r w:rsidR="00A15698">
          <w:rPr>
            <w:noProof/>
            <w:webHidden/>
          </w:rPr>
          <w:t>99</w:t>
        </w:r>
        <w:r w:rsidR="002C0E50">
          <w:rPr>
            <w:noProof/>
            <w:webHidden/>
          </w:rPr>
          <w:fldChar w:fldCharType="end"/>
        </w:r>
      </w:hyperlink>
    </w:p>
    <w:p w14:paraId="76500EF3" w14:textId="64983459"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698" w:history="1">
        <w:r w:rsidR="002C0E50" w:rsidRPr="00C75400">
          <w:rPr>
            <w:rStyle w:val="Hyperlink"/>
            <w:noProof/>
          </w:rPr>
          <w:t>3.3.1</w:t>
        </w:r>
        <w:r w:rsidR="002C0E50">
          <w:rPr>
            <w:rFonts w:asciiTheme="minorHAnsi" w:eastAsiaTheme="minorEastAsia" w:hAnsiTheme="minorHAnsi" w:cstheme="minorBidi"/>
            <w:noProof/>
            <w:szCs w:val="24"/>
          </w:rPr>
          <w:tab/>
        </w:r>
        <w:r w:rsidR="002C0E50" w:rsidRPr="00C75400">
          <w:rPr>
            <w:rStyle w:val="Hyperlink"/>
            <w:noProof/>
          </w:rPr>
          <w:t>Area Planted under Irrigation</w:t>
        </w:r>
        <w:r w:rsidR="002C0E50">
          <w:rPr>
            <w:noProof/>
            <w:webHidden/>
          </w:rPr>
          <w:tab/>
        </w:r>
        <w:r w:rsidR="002C0E50">
          <w:rPr>
            <w:noProof/>
            <w:webHidden/>
          </w:rPr>
          <w:fldChar w:fldCharType="begin"/>
        </w:r>
        <w:r w:rsidR="002C0E50">
          <w:rPr>
            <w:noProof/>
            <w:webHidden/>
          </w:rPr>
          <w:instrText xml:space="preserve"> PAGEREF _Toc82385698 \h </w:instrText>
        </w:r>
        <w:r w:rsidR="002C0E50">
          <w:rPr>
            <w:noProof/>
            <w:webHidden/>
          </w:rPr>
        </w:r>
        <w:r w:rsidR="002C0E50">
          <w:rPr>
            <w:noProof/>
            <w:webHidden/>
          </w:rPr>
          <w:fldChar w:fldCharType="separate"/>
        </w:r>
        <w:r w:rsidR="00A15698">
          <w:rPr>
            <w:noProof/>
            <w:webHidden/>
          </w:rPr>
          <w:t>100</w:t>
        </w:r>
        <w:r w:rsidR="002C0E50">
          <w:rPr>
            <w:noProof/>
            <w:webHidden/>
          </w:rPr>
          <w:fldChar w:fldCharType="end"/>
        </w:r>
      </w:hyperlink>
    </w:p>
    <w:p w14:paraId="785A7A2F" w14:textId="009DDF7E"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699" w:history="1">
        <w:r w:rsidR="002C0E50" w:rsidRPr="00C75400">
          <w:rPr>
            <w:rStyle w:val="Hyperlink"/>
            <w:bCs/>
            <w:noProof/>
          </w:rPr>
          <w:t>3.3.2</w:t>
        </w:r>
        <w:r w:rsidR="002C0E50">
          <w:rPr>
            <w:rFonts w:asciiTheme="minorHAnsi" w:eastAsiaTheme="minorEastAsia" w:hAnsiTheme="minorHAnsi" w:cstheme="minorBidi"/>
            <w:noProof/>
            <w:szCs w:val="24"/>
          </w:rPr>
          <w:tab/>
        </w:r>
        <w:r w:rsidR="002C0E50" w:rsidRPr="00C75400">
          <w:rPr>
            <w:rStyle w:val="Hyperlink"/>
            <w:noProof/>
          </w:rPr>
          <w:t>Main Crops Irrigated</w:t>
        </w:r>
        <w:r w:rsidR="002C0E50">
          <w:rPr>
            <w:noProof/>
            <w:webHidden/>
          </w:rPr>
          <w:tab/>
        </w:r>
        <w:r w:rsidR="002C0E50">
          <w:rPr>
            <w:noProof/>
            <w:webHidden/>
          </w:rPr>
          <w:fldChar w:fldCharType="begin"/>
        </w:r>
        <w:r w:rsidR="002C0E50">
          <w:rPr>
            <w:noProof/>
            <w:webHidden/>
          </w:rPr>
          <w:instrText xml:space="preserve"> PAGEREF _Toc82385699 \h </w:instrText>
        </w:r>
        <w:r w:rsidR="002C0E50">
          <w:rPr>
            <w:noProof/>
            <w:webHidden/>
          </w:rPr>
        </w:r>
        <w:r w:rsidR="002C0E50">
          <w:rPr>
            <w:noProof/>
            <w:webHidden/>
          </w:rPr>
          <w:fldChar w:fldCharType="separate"/>
        </w:r>
        <w:r w:rsidR="00A15698">
          <w:rPr>
            <w:noProof/>
            <w:webHidden/>
          </w:rPr>
          <w:t>100</w:t>
        </w:r>
        <w:r w:rsidR="002C0E50">
          <w:rPr>
            <w:noProof/>
            <w:webHidden/>
          </w:rPr>
          <w:fldChar w:fldCharType="end"/>
        </w:r>
      </w:hyperlink>
    </w:p>
    <w:p w14:paraId="420E4B4B" w14:textId="0E30D8DA"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700" w:history="1">
        <w:r w:rsidR="002C0E50" w:rsidRPr="00C75400">
          <w:rPr>
            <w:rStyle w:val="Hyperlink"/>
            <w:noProof/>
          </w:rPr>
          <w:t>3.3.2.1</w:t>
        </w:r>
        <w:r w:rsidR="002C0E50">
          <w:rPr>
            <w:rFonts w:asciiTheme="minorHAnsi" w:eastAsiaTheme="minorEastAsia" w:hAnsiTheme="minorHAnsi" w:cstheme="minorBidi"/>
            <w:noProof/>
            <w:szCs w:val="24"/>
          </w:rPr>
          <w:tab/>
        </w:r>
        <w:r w:rsidR="002C0E50" w:rsidRPr="00C75400">
          <w:rPr>
            <w:rStyle w:val="Hyperlink"/>
            <w:noProof/>
          </w:rPr>
          <w:t>Cereals</w:t>
        </w:r>
        <w:r w:rsidR="002C0E50">
          <w:rPr>
            <w:noProof/>
            <w:webHidden/>
          </w:rPr>
          <w:tab/>
        </w:r>
        <w:r w:rsidR="002C0E50">
          <w:rPr>
            <w:noProof/>
            <w:webHidden/>
          </w:rPr>
          <w:fldChar w:fldCharType="begin"/>
        </w:r>
        <w:r w:rsidR="002C0E50">
          <w:rPr>
            <w:noProof/>
            <w:webHidden/>
          </w:rPr>
          <w:instrText xml:space="preserve"> PAGEREF _Toc82385700 \h </w:instrText>
        </w:r>
        <w:r w:rsidR="002C0E50">
          <w:rPr>
            <w:noProof/>
            <w:webHidden/>
          </w:rPr>
        </w:r>
        <w:r w:rsidR="002C0E50">
          <w:rPr>
            <w:noProof/>
            <w:webHidden/>
          </w:rPr>
          <w:fldChar w:fldCharType="separate"/>
        </w:r>
        <w:r w:rsidR="00A15698">
          <w:rPr>
            <w:noProof/>
            <w:webHidden/>
          </w:rPr>
          <w:t>101</w:t>
        </w:r>
        <w:r w:rsidR="002C0E50">
          <w:rPr>
            <w:noProof/>
            <w:webHidden/>
          </w:rPr>
          <w:fldChar w:fldCharType="end"/>
        </w:r>
      </w:hyperlink>
    </w:p>
    <w:p w14:paraId="396B5D94" w14:textId="13530B8E"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701" w:history="1">
        <w:r w:rsidR="002C0E50" w:rsidRPr="00C75400">
          <w:rPr>
            <w:rStyle w:val="Hyperlink"/>
            <w:bCs/>
            <w:noProof/>
          </w:rPr>
          <w:t>3.3.2.2</w:t>
        </w:r>
        <w:r w:rsidR="002C0E50">
          <w:rPr>
            <w:rFonts w:asciiTheme="minorHAnsi" w:eastAsiaTheme="minorEastAsia" w:hAnsiTheme="minorHAnsi" w:cstheme="minorBidi"/>
            <w:noProof/>
            <w:szCs w:val="24"/>
          </w:rPr>
          <w:tab/>
        </w:r>
        <w:r w:rsidR="002C0E50" w:rsidRPr="00C75400">
          <w:rPr>
            <w:rStyle w:val="Hyperlink"/>
            <w:noProof/>
          </w:rPr>
          <w:t>Root and Tuber Crops</w:t>
        </w:r>
        <w:r w:rsidR="002C0E50">
          <w:rPr>
            <w:noProof/>
            <w:webHidden/>
          </w:rPr>
          <w:tab/>
        </w:r>
        <w:r w:rsidR="002C0E50">
          <w:rPr>
            <w:noProof/>
            <w:webHidden/>
          </w:rPr>
          <w:fldChar w:fldCharType="begin"/>
        </w:r>
        <w:r w:rsidR="002C0E50">
          <w:rPr>
            <w:noProof/>
            <w:webHidden/>
          </w:rPr>
          <w:instrText xml:space="preserve"> PAGEREF _Toc82385701 \h </w:instrText>
        </w:r>
        <w:r w:rsidR="002C0E50">
          <w:rPr>
            <w:noProof/>
            <w:webHidden/>
          </w:rPr>
        </w:r>
        <w:r w:rsidR="002C0E50">
          <w:rPr>
            <w:noProof/>
            <w:webHidden/>
          </w:rPr>
          <w:fldChar w:fldCharType="separate"/>
        </w:r>
        <w:r w:rsidR="00A15698">
          <w:rPr>
            <w:noProof/>
            <w:webHidden/>
          </w:rPr>
          <w:t>102</w:t>
        </w:r>
        <w:r w:rsidR="002C0E50">
          <w:rPr>
            <w:noProof/>
            <w:webHidden/>
          </w:rPr>
          <w:fldChar w:fldCharType="end"/>
        </w:r>
      </w:hyperlink>
    </w:p>
    <w:p w14:paraId="66F1CEBB" w14:textId="33049497"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702" w:history="1">
        <w:r w:rsidR="002C0E50" w:rsidRPr="00C75400">
          <w:rPr>
            <w:rStyle w:val="Hyperlink"/>
            <w:noProof/>
          </w:rPr>
          <w:t>3.3.2.3</w:t>
        </w:r>
        <w:r w:rsidR="002C0E50">
          <w:rPr>
            <w:rFonts w:asciiTheme="minorHAnsi" w:eastAsiaTheme="minorEastAsia" w:hAnsiTheme="minorHAnsi" w:cstheme="minorBidi"/>
            <w:noProof/>
            <w:szCs w:val="24"/>
          </w:rPr>
          <w:tab/>
        </w:r>
        <w:r w:rsidR="002C0E50" w:rsidRPr="00C75400">
          <w:rPr>
            <w:rStyle w:val="Hyperlink"/>
            <w:noProof/>
          </w:rPr>
          <w:t>Pulses</w:t>
        </w:r>
        <w:r w:rsidR="002C0E50">
          <w:rPr>
            <w:noProof/>
            <w:webHidden/>
          </w:rPr>
          <w:tab/>
        </w:r>
        <w:r w:rsidR="002C0E50">
          <w:rPr>
            <w:noProof/>
            <w:webHidden/>
          </w:rPr>
          <w:fldChar w:fldCharType="begin"/>
        </w:r>
        <w:r w:rsidR="002C0E50">
          <w:rPr>
            <w:noProof/>
            <w:webHidden/>
          </w:rPr>
          <w:instrText xml:space="preserve"> PAGEREF _Toc82385702 \h </w:instrText>
        </w:r>
        <w:r w:rsidR="002C0E50">
          <w:rPr>
            <w:noProof/>
            <w:webHidden/>
          </w:rPr>
        </w:r>
        <w:r w:rsidR="002C0E50">
          <w:rPr>
            <w:noProof/>
            <w:webHidden/>
          </w:rPr>
          <w:fldChar w:fldCharType="separate"/>
        </w:r>
        <w:r w:rsidR="00A15698">
          <w:rPr>
            <w:noProof/>
            <w:webHidden/>
          </w:rPr>
          <w:t>103</w:t>
        </w:r>
        <w:r w:rsidR="002C0E50">
          <w:rPr>
            <w:noProof/>
            <w:webHidden/>
          </w:rPr>
          <w:fldChar w:fldCharType="end"/>
        </w:r>
      </w:hyperlink>
    </w:p>
    <w:p w14:paraId="6594BF36" w14:textId="16454CE0"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703" w:history="1">
        <w:r w:rsidR="002C0E50" w:rsidRPr="00C75400">
          <w:rPr>
            <w:rStyle w:val="Hyperlink"/>
            <w:bCs/>
            <w:noProof/>
          </w:rPr>
          <w:t>3.3.2.4</w:t>
        </w:r>
        <w:r w:rsidR="002C0E50">
          <w:rPr>
            <w:rFonts w:asciiTheme="minorHAnsi" w:eastAsiaTheme="minorEastAsia" w:hAnsiTheme="minorHAnsi" w:cstheme="minorBidi"/>
            <w:noProof/>
            <w:szCs w:val="24"/>
          </w:rPr>
          <w:tab/>
        </w:r>
        <w:r w:rsidR="002C0E50" w:rsidRPr="00C75400">
          <w:rPr>
            <w:rStyle w:val="Hyperlink"/>
            <w:noProof/>
          </w:rPr>
          <w:t>Fruits and Vegetables</w:t>
        </w:r>
        <w:r w:rsidR="002C0E50">
          <w:rPr>
            <w:noProof/>
            <w:webHidden/>
          </w:rPr>
          <w:tab/>
        </w:r>
        <w:r w:rsidR="002C0E50">
          <w:rPr>
            <w:noProof/>
            <w:webHidden/>
          </w:rPr>
          <w:fldChar w:fldCharType="begin"/>
        </w:r>
        <w:r w:rsidR="002C0E50">
          <w:rPr>
            <w:noProof/>
            <w:webHidden/>
          </w:rPr>
          <w:instrText xml:space="preserve"> PAGEREF _Toc82385703 \h </w:instrText>
        </w:r>
        <w:r w:rsidR="002C0E50">
          <w:rPr>
            <w:noProof/>
            <w:webHidden/>
          </w:rPr>
        </w:r>
        <w:r w:rsidR="002C0E50">
          <w:rPr>
            <w:noProof/>
            <w:webHidden/>
          </w:rPr>
          <w:fldChar w:fldCharType="separate"/>
        </w:r>
        <w:r w:rsidR="00A15698">
          <w:rPr>
            <w:noProof/>
            <w:webHidden/>
          </w:rPr>
          <w:t>103</w:t>
        </w:r>
        <w:r w:rsidR="002C0E50">
          <w:rPr>
            <w:noProof/>
            <w:webHidden/>
          </w:rPr>
          <w:fldChar w:fldCharType="end"/>
        </w:r>
      </w:hyperlink>
    </w:p>
    <w:p w14:paraId="16786E4F" w14:textId="330BD7B2" w:rsidR="002C0E50" w:rsidRDefault="00E909AE" w:rsidP="002C0E50">
      <w:pPr>
        <w:pStyle w:val="TOC2"/>
        <w:rPr>
          <w:rFonts w:asciiTheme="minorHAnsi" w:eastAsiaTheme="minorEastAsia" w:hAnsiTheme="minorHAnsi" w:cstheme="minorBidi"/>
          <w:noProof/>
          <w:szCs w:val="24"/>
        </w:rPr>
      </w:pPr>
      <w:hyperlink w:anchor="_Toc82385704" w:history="1">
        <w:r w:rsidR="002C0E50" w:rsidRPr="00C75400">
          <w:rPr>
            <w:rStyle w:val="Hyperlink"/>
            <w:noProof/>
          </w:rPr>
          <w:t>3.4</w:t>
        </w:r>
        <w:r w:rsidR="002C0E50">
          <w:rPr>
            <w:rFonts w:asciiTheme="minorHAnsi" w:eastAsiaTheme="minorEastAsia" w:hAnsiTheme="minorHAnsi" w:cstheme="minorBidi"/>
            <w:noProof/>
            <w:szCs w:val="24"/>
          </w:rPr>
          <w:tab/>
        </w:r>
        <w:r w:rsidR="002C0E50" w:rsidRPr="00C75400">
          <w:rPr>
            <w:rStyle w:val="Hyperlink"/>
            <w:noProof/>
          </w:rPr>
          <w:t>Input Use</w:t>
        </w:r>
        <w:r w:rsidR="002C0E50">
          <w:rPr>
            <w:noProof/>
            <w:webHidden/>
          </w:rPr>
          <w:tab/>
        </w:r>
        <w:r w:rsidR="002C0E50">
          <w:rPr>
            <w:noProof/>
            <w:webHidden/>
          </w:rPr>
          <w:tab/>
        </w:r>
        <w:r w:rsidR="002C0E50">
          <w:rPr>
            <w:noProof/>
            <w:webHidden/>
          </w:rPr>
          <w:fldChar w:fldCharType="begin"/>
        </w:r>
        <w:r w:rsidR="002C0E50">
          <w:rPr>
            <w:noProof/>
            <w:webHidden/>
          </w:rPr>
          <w:instrText xml:space="preserve"> PAGEREF _Toc82385704 \h </w:instrText>
        </w:r>
        <w:r w:rsidR="002C0E50">
          <w:rPr>
            <w:noProof/>
            <w:webHidden/>
          </w:rPr>
        </w:r>
        <w:r w:rsidR="002C0E50">
          <w:rPr>
            <w:noProof/>
            <w:webHidden/>
          </w:rPr>
          <w:fldChar w:fldCharType="separate"/>
        </w:r>
        <w:r w:rsidR="00A15698">
          <w:rPr>
            <w:noProof/>
            <w:webHidden/>
          </w:rPr>
          <w:t>105</w:t>
        </w:r>
        <w:r w:rsidR="002C0E50">
          <w:rPr>
            <w:noProof/>
            <w:webHidden/>
          </w:rPr>
          <w:fldChar w:fldCharType="end"/>
        </w:r>
      </w:hyperlink>
    </w:p>
    <w:p w14:paraId="252C918F" w14:textId="0FA637B7"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705" w:history="1">
        <w:r w:rsidR="002C0E50" w:rsidRPr="00C75400">
          <w:rPr>
            <w:rStyle w:val="Hyperlink"/>
            <w:noProof/>
          </w:rPr>
          <w:t>3.4.1</w:t>
        </w:r>
        <w:r w:rsidR="002C0E50">
          <w:rPr>
            <w:rFonts w:asciiTheme="minorHAnsi" w:eastAsiaTheme="minorEastAsia" w:hAnsiTheme="minorHAnsi" w:cstheme="minorBidi"/>
            <w:noProof/>
            <w:szCs w:val="24"/>
          </w:rPr>
          <w:tab/>
        </w:r>
        <w:r w:rsidR="002C0E50" w:rsidRPr="00C75400">
          <w:rPr>
            <w:rStyle w:val="Hyperlink"/>
            <w:noProof/>
          </w:rPr>
          <w:t>Use of Improved Seeds</w:t>
        </w:r>
        <w:r w:rsidR="002C0E50">
          <w:rPr>
            <w:noProof/>
            <w:webHidden/>
          </w:rPr>
          <w:tab/>
        </w:r>
        <w:r w:rsidR="002C0E50">
          <w:rPr>
            <w:noProof/>
            <w:webHidden/>
          </w:rPr>
          <w:fldChar w:fldCharType="begin"/>
        </w:r>
        <w:r w:rsidR="002C0E50">
          <w:rPr>
            <w:noProof/>
            <w:webHidden/>
          </w:rPr>
          <w:instrText xml:space="preserve"> PAGEREF _Toc82385705 \h </w:instrText>
        </w:r>
        <w:r w:rsidR="002C0E50">
          <w:rPr>
            <w:noProof/>
            <w:webHidden/>
          </w:rPr>
        </w:r>
        <w:r w:rsidR="002C0E50">
          <w:rPr>
            <w:noProof/>
            <w:webHidden/>
          </w:rPr>
          <w:fldChar w:fldCharType="separate"/>
        </w:r>
        <w:r w:rsidR="00A15698">
          <w:rPr>
            <w:noProof/>
            <w:webHidden/>
          </w:rPr>
          <w:t>105</w:t>
        </w:r>
        <w:r w:rsidR="002C0E50">
          <w:rPr>
            <w:noProof/>
            <w:webHidden/>
          </w:rPr>
          <w:fldChar w:fldCharType="end"/>
        </w:r>
      </w:hyperlink>
    </w:p>
    <w:p w14:paraId="39D8F204" w14:textId="75054B7C"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706" w:history="1">
        <w:r w:rsidR="002C0E50" w:rsidRPr="00C75400">
          <w:rPr>
            <w:rStyle w:val="Hyperlink"/>
            <w:bCs/>
            <w:noProof/>
          </w:rPr>
          <w:t>3.4</w:t>
        </w:r>
        <w:r w:rsidR="002C0E50" w:rsidRPr="00C75400">
          <w:rPr>
            <w:rStyle w:val="Hyperlink"/>
            <w:noProof/>
          </w:rPr>
          <w:t>.2</w:t>
        </w:r>
        <w:r w:rsidR="002C0E50">
          <w:rPr>
            <w:rFonts w:asciiTheme="minorHAnsi" w:eastAsiaTheme="minorEastAsia" w:hAnsiTheme="minorHAnsi" w:cstheme="minorBidi"/>
            <w:noProof/>
            <w:szCs w:val="24"/>
          </w:rPr>
          <w:tab/>
        </w:r>
        <w:r w:rsidR="002C0E50" w:rsidRPr="00C75400">
          <w:rPr>
            <w:rStyle w:val="Hyperlink"/>
            <w:noProof/>
          </w:rPr>
          <w:t>Fertilizer Use</w:t>
        </w:r>
        <w:r w:rsidR="002C0E50">
          <w:rPr>
            <w:noProof/>
            <w:webHidden/>
          </w:rPr>
          <w:tab/>
        </w:r>
        <w:r w:rsidR="002C0E50">
          <w:rPr>
            <w:noProof/>
            <w:webHidden/>
          </w:rPr>
          <w:fldChar w:fldCharType="begin"/>
        </w:r>
        <w:r w:rsidR="002C0E50">
          <w:rPr>
            <w:noProof/>
            <w:webHidden/>
          </w:rPr>
          <w:instrText xml:space="preserve"> PAGEREF _Toc82385706 \h </w:instrText>
        </w:r>
        <w:r w:rsidR="002C0E50">
          <w:rPr>
            <w:noProof/>
            <w:webHidden/>
          </w:rPr>
        </w:r>
        <w:r w:rsidR="002C0E50">
          <w:rPr>
            <w:noProof/>
            <w:webHidden/>
          </w:rPr>
          <w:fldChar w:fldCharType="separate"/>
        </w:r>
        <w:r w:rsidR="00A15698">
          <w:rPr>
            <w:noProof/>
            <w:webHidden/>
          </w:rPr>
          <w:t>107</w:t>
        </w:r>
        <w:r w:rsidR="002C0E50">
          <w:rPr>
            <w:noProof/>
            <w:webHidden/>
          </w:rPr>
          <w:fldChar w:fldCharType="end"/>
        </w:r>
      </w:hyperlink>
    </w:p>
    <w:p w14:paraId="52C95FD7" w14:textId="63EF7019"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707" w:history="1">
        <w:r w:rsidR="002C0E50" w:rsidRPr="00C75400">
          <w:rPr>
            <w:rStyle w:val="Hyperlink"/>
            <w:noProof/>
          </w:rPr>
          <w:t>3.4.3</w:t>
        </w:r>
        <w:r w:rsidR="002C0E50">
          <w:rPr>
            <w:rFonts w:asciiTheme="minorHAnsi" w:eastAsiaTheme="minorEastAsia" w:hAnsiTheme="minorHAnsi" w:cstheme="minorBidi"/>
            <w:noProof/>
            <w:szCs w:val="24"/>
          </w:rPr>
          <w:tab/>
        </w:r>
        <w:r w:rsidR="002C0E50" w:rsidRPr="00C75400">
          <w:rPr>
            <w:rStyle w:val="Hyperlink"/>
            <w:noProof/>
          </w:rPr>
          <w:t>Use of Pesticides</w:t>
        </w:r>
        <w:r w:rsidR="002C0E50">
          <w:rPr>
            <w:noProof/>
            <w:webHidden/>
          </w:rPr>
          <w:tab/>
        </w:r>
        <w:r w:rsidR="002C0E50">
          <w:rPr>
            <w:noProof/>
            <w:webHidden/>
          </w:rPr>
          <w:fldChar w:fldCharType="begin"/>
        </w:r>
        <w:r w:rsidR="002C0E50">
          <w:rPr>
            <w:noProof/>
            <w:webHidden/>
          </w:rPr>
          <w:instrText xml:space="preserve"> PAGEREF _Toc82385707 \h </w:instrText>
        </w:r>
        <w:r w:rsidR="002C0E50">
          <w:rPr>
            <w:noProof/>
            <w:webHidden/>
          </w:rPr>
        </w:r>
        <w:r w:rsidR="002C0E50">
          <w:rPr>
            <w:noProof/>
            <w:webHidden/>
          </w:rPr>
          <w:fldChar w:fldCharType="separate"/>
        </w:r>
        <w:r w:rsidR="00A15698">
          <w:rPr>
            <w:noProof/>
            <w:webHidden/>
          </w:rPr>
          <w:t>109</w:t>
        </w:r>
        <w:r w:rsidR="002C0E50">
          <w:rPr>
            <w:noProof/>
            <w:webHidden/>
          </w:rPr>
          <w:fldChar w:fldCharType="end"/>
        </w:r>
      </w:hyperlink>
    </w:p>
    <w:p w14:paraId="126E9386" w14:textId="37C345E0"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708" w:history="1">
        <w:r w:rsidR="002C0E50" w:rsidRPr="00C75400">
          <w:rPr>
            <w:rStyle w:val="Hyperlink"/>
            <w:noProof/>
          </w:rPr>
          <w:t>3.4.3.1</w:t>
        </w:r>
        <w:r w:rsidR="002C0E50">
          <w:rPr>
            <w:rFonts w:asciiTheme="minorHAnsi" w:eastAsiaTheme="minorEastAsia" w:hAnsiTheme="minorHAnsi" w:cstheme="minorBidi"/>
            <w:noProof/>
            <w:szCs w:val="24"/>
          </w:rPr>
          <w:tab/>
        </w:r>
        <w:r w:rsidR="002C0E50" w:rsidRPr="00C75400">
          <w:rPr>
            <w:rStyle w:val="Hyperlink"/>
            <w:noProof/>
          </w:rPr>
          <w:t>Herbicides</w:t>
        </w:r>
        <w:r w:rsidR="002C0E50">
          <w:rPr>
            <w:noProof/>
            <w:webHidden/>
          </w:rPr>
          <w:tab/>
        </w:r>
        <w:r w:rsidR="002C0E50">
          <w:rPr>
            <w:noProof/>
            <w:webHidden/>
          </w:rPr>
          <w:fldChar w:fldCharType="begin"/>
        </w:r>
        <w:r w:rsidR="002C0E50">
          <w:rPr>
            <w:noProof/>
            <w:webHidden/>
          </w:rPr>
          <w:instrText xml:space="preserve"> PAGEREF _Toc82385708 \h </w:instrText>
        </w:r>
        <w:r w:rsidR="002C0E50">
          <w:rPr>
            <w:noProof/>
            <w:webHidden/>
          </w:rPr>
        </w:r>
        <w:r w:rsidR="002C0E50">
          <w:rPr>
            <w:noProof/>
            <w:webHidden/>
          </w:rPr>
          <w:fldChar w:fldCharType="separate"/>
        </w:r>
        <w:r w:rsidR="00A15698">
          <w:rPr>
            <w:noProof/>
            <w:webHidden/>
          </w:rPr>
          <w:t>109</w:t>
        </w:r>
        <w:r w:rsidR="002C0E50">
          <w:rPr>
            <w:noProof/>
            <w:webHidden/>
          </w:rPr>
          <w:fldChar w:fldCharType="end"/>
        </w:r>
      </w:hyperlink>
    </w:p>
    <w:p w14:paraId="371E3C0B" w14:textId="4B35E5BD"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709" w:history="1">
        <w:r w:rsidR="002C0E50" w:rsidRPr="00C75400">
          <w:rPr>
            <w:rStyle w:val="Hyperlink"/>
            <w:bCs/>
            <w:noProof/>
          </w:rPr>
          <w:t>3.4.3.2</w:t>
        </w:r>
        <w:r w:rsidR="002C0E50">
          <w:rPr>
            <w:rFonts w:asciiTheme="minorHAnsi" w:eastAsiaTheme="minorEastAsia" w:hAnsiTheme="minorHAnsi" w:cstheme="minorBidi"/>
            <w:noProof/>
            <w:szCs w:val="24"/>
          </w:rPr>
          <w:tab/>
        </w:r>
        <w:r w:rsidR="002C0E50" w:rsidRPr="00C75400">
          <w:rPr>
            <w:rStyle w:val="Hyperlink"/>
            <w:noProof/>
          </w:rPr>
          <w:t>Fungicides</w:t>
        </w:r>
        <w:r w:rsidR="002C0E50">
          <w:rPr>
            <w:noProof/>
            <w:webHidden/>
          </w:rPr>
          <w:tab/>
        </w:r>
        <w:r w:rsidR="002C0E50">
          <w:rPr>
            <w:noProof/>
            <w:webHidden/>
          </w:rPr>
          <w:fldChar w:fldCharType="begin"/>
        </w:r>
        <w:r w:rsidR="002C0E50">
          <w:rPr>
            <w:noProof/>
            <w:webHidden/>
          </w:rPr>
          <w:instrText xml:space="preserve"> PAGEREF _Toc82385709 \h </w:instrText>
        </w:r>
        <w:r w:rsidR="002C0E50">
          <w:rPr>
            <w:noProof/>
            <w:webHidden/>
          </w:rPr>
        </w:r>
        <w:r w:rsidR="002C0E50">
          <w:rPr>
            <w:noProof/>
            <w:webHidden/>
          </w:rPr>
          <w:fldChar w:fldCharType="separate"/>
        </w:r>
        <w:r w:rsidR="00A15698">
          <w:rPr>
            <w:noProof/>
            <w:webHidden/>
          </w:rPr>
          <w:t>110</w:t>
        </w:r>
        <w:r w:rsidR="002C0E50">
          <w:rPr>
            <w:noProof/>
            <w:webHidden/>
          </w:rPr>
          <w:fldChar w:fldCharType="end"/>
        </w:r>
      </w:hyperlink>
    </w:p>
    <w:p w14:paraId="1DF24CF6" w14:textId="4A1B30DC"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710" w:history="1">
        <w:r w:rsidR="002C0E50" w:rsidRPr="00C75400">
          <w:rPr>
            <w:rStyle w:val="Hyperlink"/>
            <w:bCs/>
            <w:noProof/>
          </w:rPr>
          <w:t>3.4.3.3</w:t>
        </w:r>
        <w:r w:rsidR="002C0E50">
          <w:rPr>
            <w:rFonts w:asciiTheme="minorHAnsi" w:eastAsiaTheme="minorEastAsia" w:hAnsiTheme="minorHAnsi" w:cstheme="minorBidi"/>
            <w:noProof/>
            <w:szCs w:val="24"/>
          </w:rPr>
          <w:tab/>
        </w:r>
        <w:r w:rsidR="002C0E50" w:rsidRPr="00C75400">
          <w:rPr>
            <w:rStyle w:val="Hyperlink"/>
            <w:noProof/>
          </w:rPr>
          <w:t>Insecticides</w:t>
        </w:r>
        <w:r w:rsidR="002C0E50">
          <w:rPr>
            <w:noProof/>
            <w:webHidden/>
          </w:rPr>
          <w:tab/>
        </w:r>
        <w:r w:rsidR="002C0E50">
          <w:rPr>
            <w:noProof/>
            <w:webHidden/>
          </w:rPr>
          <w:fldChar w:fldCharType="begin"/>
        </w:r>
        <w:r w:rsidR="002C0E50">
          <w:rPr>
            <w:noProof/>
            <w:webHidden/>
          </w:rPr>
          <w:instrText xml:space="preserve"> PAGEREF _Toc82385710 \h </w:instrText>
        </w:r>
        <w:r w:rsidR="002C0E50">
          <w:rPr>
            <w:noProof/>
            <w:webHidden/>
          </w:rPr>
        </w:r>
        <w:r w:rsidR="002C0E50">
          <w:rPr>
            <w:noProof/>
            <w:webHidden/>
          </w:rPr>
          <w:fldChar w:fldCharType="separate"/>
        </w:r>
        <w:r w:rsidR="00A15698">
          <w:rPr>
            <w:noProof/>
            <w:webHidden/>
          </w:rPr>
          <w:t>110</w:t>
        </w:r>
        <w:r w:rsidR="002C0E50">
          <w:rPr>
            <w:noProof/>
            <w:webHidden/>
          </w:rPr>
          <w:fldChar w:fldCharType="end"/>
        </w:r>
      </w:hyperlink>
    </w:p>
    <w:p w14:paraId="737F4079" w14:textId="5872B4F6" w:rsidR="002C0E50" w:rsidRDefault="00E909AE" w:rsidP="002C0E50">
      <w:pPr>
        <w:pStyle w:val="TOC2"/>
        <w:rPr>
          <w:rFonts w:asciiTheme="minorHAnsi" w:eastAsiaTheme="minorEastAsia" w:hAnsiTheme="minorHAnsi" w:cstheme="minorBidi"/>
          <w:noProof/>
          <w:szCs w:val="24"/>
        </w:rPr>
      </w:pPr>
      <w:hyperlink w:anchor="_Toc82385711" w:history="1">
        <w:r w:rsidR="002C0E50" w:rsidRPr="00C75400">
          <w:rPr>
            <w:rStyle w:val="Hyperlink"/>
            <w:noProof/>
          </w:rPr>
          <w:t>3.5</w:t>
        </w:r>
        <w:r w:rsidR="002C0E50">
          <w:rPr>
            <w:rFonts w:asciiTheme="minorHAnsi" w:eastAsiaTheme="minorEastAsia" w:hAnsiTheme="minorHAnsi" w:cstheme="minorBidi"/>
            <w:noProof/>
            <w:szCs w:val="24"/>
          </w:rPr>
          <w:tab/>
        </w:r>
        <w:r w:rsidR="002C0E50" w:rsidRPr="00C75400">
          <w:rPr>
            <w:rStyle w:val="Hyperlink"/>
            <w:noProof/>
          </w:rPr>
          <w:t>Access to Farm Inputs</w:t>
        </w:r>
        <w:r w:rsidR="002C0E50">
          <w:rPr>
            <w:noProof/>
            <w:webHidden/>
          </w:rPr>
          <w:tab/>
        </w:r>
        <w:r w:rsidR="002C0E50">
          <w:rPr>
            <w:noProof/>
            <w:webHidden/>
          </w:rPr>
          <w:fldChar w:fldCharType="begin"/>
        </w:r>
        <w:r w:rsidR="002C0E50">
          <w:rPr>
            <w:noProof/>
            <w:webHidden/>
          </w:rPr>
          <w:instrText xml:space="preserve"> PAGEREF _Toc82385711 \h </w:instrText>
        </w:r>
        <w:r w:rsidR="002C0E50">
          <w:rPr>
            <w:noProof/>
            <w:webHidden/>
          </w:rPr>
        </w:r>
        <w:r w:rsidR="002C0E50">
          <w:rPr>
            <w:noProof/>
            <w:webHidden/>
          </w:rPr>
          <w:fldChar w:fldCharType="separate"/>
        </w:r>
        <w:r w:rsidR="00A15698">
          <w:rPr>
            <w:noProof/>
            <w:webHidden/>
          </w:rPr>
          <w:t>111</w:t>
        </w:r>
        <w:r w:rsidR="002C0E50">
          <w:rPr>
            <w:noProof/>
            <w:webHidden/>
          </w:rPr>
          <w:fldChar w:fldCharType="end"/>
        </w:r>
      </w:hyperlink>
    </w:p>
    <w:p w14:paraId="73D94A41" w14:textId="4B2D4752"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712" w:history="1">
        <w:r w:rsidR="002C0E50" w:rsidRPr="00C75400">
          <w:rPr>
            <w:rStyle w:val="Hyperlink"/>
            <w:noProof/>
          </w:rPr>
          <w:t>3.5.1</w:t>
        </w:r>
        <w:r w:rsidR="002C0E50">
          <w:rPr>
            <w:rFonts w:asciiTheme="minorHAnsi" w:eastAsiaTheme="minorEastAsia" w:hAnsiTheme="minorHAnsi" w:cstheme="minorBidi"/>
            <w:noProof/>
            <w:szCs w:val="24"/>
          </w:rPr>
          <w:tab/>
        </w:r>
        <w:r w:rsidR="002C0E50" w:rsidRPr="00C75400">
          <w:rPr>
            <w:rStyle w:val="Hyperlink"/>
            <w:noProof/>
          </w:rPr>
          <w:t>Compost Manure</w:t>
        </w:r>
        <w:r w:rsidR="002C0E50">
          <w:rPr>
            <w:noProof/>
            <w:webHidden/>
          </w:rPr>
          <w:tab/>
        </w:r>
        <w:r w:rsidR="002C0E50">
          <w:rPr>
            <w:noProof/>
            <w:webHidden/>
          </w:rPr>
          <w:fldChar w:fldCharType="begin"/>
        </w:r>
        <w:r w:rsidR="002C0E50">
          <w:rPr>
            <w:noProof/>
            <w:webHidden/>
          </w:rPr>
          <w:instrText xml:space="preserve"> PAGEREF _Toc82385712 \h </w:instrText>
        </w:r>
        <w:r w:rsidR="002C0E50">
          <w:rPr>
            <w:noProof/>
            <w:webHidden/>
          </w:rPr>
        </w:r>
        <w:r w:rsidR="002C0E50">
          <w:rPr>
            <w:noProof/>
            <w:webHidden/>
          </w:rPr>
          <w:fldChar w:fldCharType="separate"/>
        </w:r>
        <w:r w:rsidR="00A15698">
          <w:rPr>
            <w:noProof/>
            <w:webHidden/>
          </w:rPr>
          <w:t>112</w:t>
        </w:r>
        <w:r w:rsidR="002C0E50">
          <w:rPr>
            <w:noProof/>
            <w:webHidden/>
          </w:rPr>
          <w:fldChar w:fldCharType="end"/>
        </w:r>
      </w:hyperlink>
    </w:p>
    <w:p w14:paraId="720299D2" w14:textId="1C78DC44"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713" w:history="1">
        <w:r w:rsidR="002C0E50" w:rsidRPr="00C75400">
          <w:rPr>
            <w:rStyle w:val="Hyperlink"/>
            <w:noProof/>
          </w:rPr>
          <w:t>3.5.2</w:t>
        </w:r>
        <w:r w:rsidR="002C0E50">
          <w:rPr>
            <w:rFonts w:asciiTheme="minorHAnsi" w:eastAsiaTheme="minorEastAsia" w:hAnsiTheme="minorHAnsi" w:cstheme="minorBidi"/>
            <w:noProof/>
            <w:szCs w:val="24"/>
          </w:rPr>
          <w:tab/>
        </w:r>
        <w:r w:rsidR="002C0E50" w:rsidRPr="00C75400">
          <w:rPr>
            <w:rStyle w:val="Hyperlink"/>
            <w:noProof/>
          </w:rPr>
          <w:t>Farmyard Manure</w:t>
        </w:r>
        <w:r w:rsidR="002C0E50">
          <w:rPr>
            <w:noProof/>
            <w:webHidden/>
          </w:rPr>
          <w:tab/>
        </w:r>
        <w:r w:rsidR="002C0E50">
          <w:rPr>
            <w:noProof/>
            <w:webHidden/>
          </w:rPr>
          <w:fldChar w:fldCharType="begin"/>
        </w:r>
        <w:r w:rsidR="002C0E50">
          <w:rPr>
            <w:noProof/>
            <w:webHidden/>
          </w:rPr>
          <w:instrText xml:space="preserve"> PAGEREF _Toc82385713 \h </w:instrText>
        </w:r>
        <w:r w:rsidR="002C0E50">
          <w:rPr>
            <w:noProof/>
            <w:webHidden/>
          </w:rPr>
        </w:r>
        <w:r w:rsidR="002C0E50">
          <w:rPr>
            <w:noProof/>
            <w:webHidden/>
          </w:rPr>
          <w:fldChar w:fldCharType="separate"/>
        </w:r>
        <w:r w:rsidR="00A15698">
          <w:rPr>
            <w:noProof/>
            <w:webHidden/>
          </w:rPr>
          <w:t>113</w:t>
        </w:r>
        <w:r w:rsidR="002C0E50">
          <w:rPr>
            <w:noProof/>
            <w:webHidden/>
          </w:rPr>
          <w:fldChar w:fldCharType="end"/>
        </w:r>
      </w:hyperlink>
    </w:p>
    <w:p w14:paraId="68D3F104" w14:textId="12287F67"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714" w:history="1">
        <w:r w:rsidR="002C0E50" w:rsidRPr="00C75400">
          <w:rPr>
            <w:rStyle w:val="Hyperlink"/>
            <w:noProof/>
          </w:rPr>
          <w:t>3.5.3</w:t>
        </w:r>
        <w:r w:rsidR="002C0E50">
          <w:rPr>
            <w:rFonts w:asciiTheme="minorHAnsi" w:eastAsiaTheme="minorEastAsia" w:hAnsiTheme="minorHAnsi" w:cstheme="minorBidi"/>
            <w:noProof/>
            <w:szCs w:val="24"/>
          </w:rPr>
          <w:tab/>
        </w:r>
        <w:r w:rsidR="002C0E50" w:rsidRPr="00C75400">
          <w:rPr>
            <w:rStyle w:val="Hyperlink"/>
            <w:noProof/>
          </w:rPr>
          <w:t>Inorganic Fertilizer</w:t>
        </w:r>
        <w:r w:rsidR="002C0E50">
          <w:rPr>
            <w:noProof/>
            <w:webHidden/>
          </w:rPr>
          <w:tab/>
        </w:r>
        <w:r w:rsidR="002C0E50">
          <w:rPr>
            <w:noProof/>
            <w:webHidden/>
          </w:rPr>
          <w:fldChar w:fldCharType="begin"/>
        </w:r>
        <w:r w:rsidR="002C0E50">
          <w:rPr>
            <w:noProof/>
            <w:webHidden/>
          </w:rPr>
          <w:instrText xml:space="preserve"> PAGEREF _Toc82385714 \h </w:instrText>
        </w:r>
        <w:r w:rsidR="002C0E50">
          <w:rPr>
            <w:noProof/>
            <w:webHidden/>
          </w:rPr>
        </w:r>
        <w:r w:rsidR="002C0E50">
          <w:rPr>
            <w:noProof/>
            <w:webHidden/>
          </w:rPr>
          <w:fldChar w:fldCharType="separate"/>
        </w:r>
        <w:r w:rsidR="00A15698">
          <w:rPr>
            <w:noProof/>
            <w:webHidden/>
          </w:rPr>
          <w:t>115</w:t>
        </w:r>
        <w:r w:rsidR="002C0E50">
          <w:rPr>
            <w:noProof/>
            <w:webHidden/>
          </w:rPr>
          <w:fldChar w:fldCharType="end"/>
        </w:r>
      </w:hyperlink>
    </w:p>
    <w:p w14:paraId="25D21DAA" w14:textId="0B162774"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715" w:history="1">
        <w:r w:rsidR="002C0E50" w:rsidRPr="00C75400">
          <w:rPr>
            <w:rStyle w:val="Hyperlink"/>
            <w:noProof/>
          </w:rPr>
          <w:t>3.5.4</w:t>
        </w:r>
        <w:r w:rsidR="002C0E50">
          <w:rPr>
            <w:rFonts w:asciiTheme="minorHAnsi" w:eastAsiaTheme="minorEastAsia" w:hAnsiTheme="minorHAnsi" w:cstheme="minorBidi"/>
            <w:noProof/>
            <w:szCs w:val="24"/>
          </w:rPr>
          <w:tab/>
        </w:r>
        <w:r w:rsidR="002C0E50" w:rsidRPr="00C75400">
          <w:rPr>
            <w:rStyle w:val="Hyperlink"/>
            <w:noProof/>
          </w:rPr>
          <w:t>Improved Seeds</w:t>
        </w:r>
        <w:r w:rsidR="002C0E50">
          <w:rPr>
            <w:noProof/>
            <w:webHidden/>
          </w:rPr>
          <w:tab/>
        </w:r>
        <w:r w:rsidR="002C0E50">
          <w:rPr>
            <w:noProof/>
            <w:webHidden/>
          </w:rPr>
          <w:fldChar w:fldCharType="begin"/>
        </w:r>
        <w:r w:rsidR="002C0E50">
          <w:rPr>
            <w:noProof/>
            <w:webHidden/>
          </w:rPr>
          <w:instrText xml:space="preserve"> PAGEREF _Toc82385715 \h </w:instrText>
        </w:r>
        <w:r w:rsidR="002C0E50">
          <w:rPr>
            <w:noProof/>
            <w:webHidden/>
          </w:rPr>
        </w:r>
        <w:r w:rsidR="002C0E50">
          <w:rPr>
            <w:noProof/>
            <w:webHidden/>
          </w:rPr>
          <w:fldChar w:fldCharType="separate"/>
        </w:r>
        <w:r w:rsidR="00A15698">
          <w:rPr>
            <w:noProof/>
            <w:webHidden/>
          </w:rPr>
          <w:t>117</w:t>
        </w:r>
        <w:r w:rsidR="002C0E50">
          <w:rPr>
            <w:noProof/>
            <w:webHidden/>
          </w:rPr>
          <w:fldChar w:fldCharType="end"/>
        </w:r>
      </w:hyperlink>
    </w:p>
    <w:p w14:paraId="08C8DC3A" w14:textId="1282948B"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716" w:history="1">
        <w:r w:rsidR="002C0E50" w:rsidRPr="00C75400">
          <w:rPr>
            <w:rStyle w:val="Hyperlink"/>
            <w:noProof/>
          </w:rPr>
          <w:t>3.5.5</w:t>
        </w:r>
        <w:r w:rsidR="002C0E50">
          <w:rPr>
            <w:rFonts w:asciiTheme="minorHAnsi" w:eastAsiaTheme="minorEastAsia" w:hAnsiTheme="minorHAnsi" w:cstheme="minorBidi"/>
            <w:noProof/>
            <w:szCs w:val="24"/>
          </w:rPr>
          <w:tab/>
        </w:r>
        <w:r w:rsidR="002C0E50" w:rsidRPr="00C75400">
          <w:rPr>
            <w:rStyle w:val="Hyperlink"/>
            <w:noProof/>
          </w:rPr>
          <w:t>Insecticide/ Fungicides</w:t>
        </w:r>
        <w:r w:rsidR="002C0E50">
          <w:rPr>
            <w:noProof/>
            <w:webHidden/>
          </w:rPr>
          <w:tab/>
        </w:r>
        <w:r w:rsidR="002C0E50">
          <w:rPr>
            <w:noProof/>
            <w:webHidden/>
          </w:rPr>
          <w:fldChar w:fldCharType="begin"/>
        </w:r>
        <w:r w:rsidR="002C0E50">
          <w:rPr>
            <w:noProof/>
            <w:webHidden/>
          </w:rPr>
          <w:instrText xml:space="preserve"> PAGEREF _Toc82385716 \h </w:instrText>
        </w:r>
        <w:r w:rsidR="002C0E50">
          <w:rPr>
            <w:noProof/>
            <w:webHidden/>
          </w:rPr>
        </w:r>
        <w:r w:rsidR="002C0E50">
          <w:rPr>
            <w:noProof/>
            <w:webHidden/>
          </w:rPr>
          <w:fldChar w:fldCharType="separate"/>
        </w:r>
        <w:r w:rsidR="00A15698">
          <w:rPr>
            <w:noProof/>
            <w:webHidden/>
          </w:rPr>
          <w:t>119</w:t>
        </w:r>
        <w:r w:rsidR="002C0E50">
          <w:rPr>
            <w:noProof/>
            <w:webHidden/>
          </w:rPr>
          <w:fldChar w:fldCharType="end"/>
        </w:r>
      </w:hyperlink>
    </w:p>
    <w:p w14:paraId="1CB54BE7" w14:textId="4B2BED07"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717" w:history="1">
        <w:r w:rsidR="002C0E50" w:rsidRPr="00C75400">
          <w:rPr>
            <w:rStyle w:val="Hyperlink"/>
            <w:noProof/>
          </w:rPr>
          <w:t>3.5.6</w:t>
        </w:r>
        <w:r w:rsidR="002C0E50">
          <w:rPr>
            <w:rFonts w:asciiTheme="minorHAnsi" w:eastAsiaTheme="minorEastAsia" w:hAnsiTheme="minorHAnsi" w:cstheme="minorBidi"/>
            <w:noProof/>
            <w:szCs w:val="24"/>
          </w:rPr>
          <w:tab/>
        </w:r>
        <w:r w:rsidR="002C0E50" w:rsidRPr="00C75400">
          <w:rPr>
            <w:rStyle w:val="Hyperlink"/>
            <w:noProof/>
          </w:rPr>
          <w:t>Herbicides</w:t>
        </w:r>
        <w:r w:rsidR="002C0E50">
          <w:rPr>
            <w:noProof/>
            <w:webHidden/>
          </w:rPr>
          <w:tab/>
        </w:r>
        <w:r w:rsidR="002C0E50">
          <w:rPr>
            <w:noProof/>
            <w:webHidden/>
          </w:rPr>
          <w:fldChar w:fldCharType="begin"/>
        </w:r>
        <w:r w:rsidR="002C0E50">
          <w:rPr>
            <w:noProof/>
            <w:webHidden/>
          </w:rPr>
          <w:instrText xml:space="preserve"> PAGEREF _Toc82385717 \h </w:instrText>
        </w:r>
        <w:r w:rsidR="002C0E50">
          <w:rPr>
            <w:noProof/>
            <w:webHidden/>
          </w:rPr>
        </w:r>
        <w:r w:rsidR="002C0E50">
          <w:rPr>
            <w:noProof/>
            <w:webHidden/>
          </w:rPr>
          <w:fldChar w:fldCharType="separate"/>
        </w:r>
        <w:r w:rsidR="00A15698">
          <w:rPr>
            <w:noProof/>
            <w:webHidden/>
          </w:rPr>
          <w:t>121</w:t>
        </w:r>
        <w:r w:rsidR="002C0E50">
          <w:rPr>
            <w:noProof/>
            <w:webHidden/>
          </w:rPr>
          <w:fldChar w:fldCharType="end"/>
        </w:r>
      </w:hyperlink>
    </w:p>
    <w:p w14:paraId="722DA48C" w14:textId="45046CCF" w:rsidR="002C0E50" w:rsidRDefault="00E909AE" w:rsidP="002C0E50">
      <w:pPr>
        <w:pStyle w:val="TOC2"/>
        <w:rPr>
          <w:rFonts w:asciiTheme="minorHAnsi" w:eastAsiaTheme="minorEastAsia" w:hAnsiTheme="minorHAnsi" w:cstheme="minorBidi"/>
          <w:noProof/>
          <w:szCs w:val="24"/>
        </w:rPr>
      </w:pPr>
      <w:hyperlink w:anchor="_Toc82385718" w:history="1">
        <w:r w:rsidR="002C0E50" w:rsidRPr="00C75400">
          <w:rPr>
            <w:rStyle w:val="Hyperlink"/>
            <w:noProof/>
          </w:rPr>
          <w:t>3.6</w:t>
        </w:r>
        <w:r w:rsidR="002C0E50">
          <w:rPr>
            <w:rFonts w:asciiTheme="minorHAnsi" w:eastAsiaTheme="minorEastAsia" w:hAnsiTheme="minorHAnsi" w:cstheme="minorBidi"/>
            <w:noProof/>
            <w:szCs w:val="24"/>
          </w:rPr>
          <w:tab/>
        </w:r>
        <w:r w:rsidR="002C0E50" w:rsidRPr="00C75400">
          <w:rPr>
            <w:rStyle w:val="Hyperlink"/>
            <w:noProof/>
          </w:rPr>
          <w:t>Crop Extension Services</w:t>
        </w:r>
        <w:r w:rsidR="002C0E50">
          <w:rPr>
            <w:noProof/>
            <w:webHidden/>
          </w:rPr>
          <w:tab/>
        </w:r>
        <w:r w:rsidR="002C0E50">
          <w:rPr>
            <w:noProof/>
            <w:webHidden/>
          </w:rPr>
          <w:fldChar w:fldCharType="begin"/>
        </w:r>
        <w:r w:rsidR="002C0E50">
          <w:rPr>
            <w:noProof/>
            <w:webHidden/>
          </w:rPr>
          <w:instrText xml:space="preserve"> PAGEREF _Toc82385718 \h </w:instrText>
        </w:r>
        <w:r w:rsidR="002C0E50">
          <w:rPr>
            <w:noProof/>
            <w:webHidden/>
          </w:rPr>
        </w:r>
        <w:r w:rsidR="002C0E50">
          <w:rPr>
            <w:noProof/>
            <w:webHidden/>
          </w:rPr>
          <w:fldChar w:fldCharType="separate"/>
        </w:r>
        <w:r w:rsidR="00A15698">
          <w:rPr>
            <w:noProof/>
            <w:webHidden/>
          </w:rPr>
          <w:t>123</w:t>
        </w:r>
        <w:r w:rsidR="002C0E50">
          <w:rPr>
            <w:noProof/>
            <w:webHidden/>
          </w:rPr>
          <w:fldChar w:fldCharType="end"/>
        </w:r>
      </w:hyperlink>
    </w:p>
    <w:p w14:paraId="5C0E8193" w14:textId="05C01B23"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719" w:history="1">
        <w:r w:rsidR="002C0E50" w:rsidRPr="00C75400">
          <w:rPr>
            <w:rStyle w:val="Hyperlink"/>
            <w:noProof/>
          </w:rPr>
          <w:t>3.6.1</w:t>
        </w:r>
        <w:r w:rsidR="002C0E50">
          <w:rPr>
            <w:rFonts w:asciiTheme="minorHAnsi" w:eastAsiaTheme="minorEastAsia" w:hAnsiTheme="minorHAnsi" w:cstheme="minorBidi"/>
            <w:noProof/>
            <w:szCs w:val="24"/>
          </w:rPr>
          <w:tab/>
        </w:r>
        <w:r w:rsidR="002C0E50" w:rsidRPr="00C75400">
          <w:rPr>
            <w:rStyle w:val="Hyperlink"/>
            <w:noProof/>
          </w:rPr>
          <w:t>Access to Crop Extension Services</w:t>
        </w:r>
        <w:r w:rsidR="002C0E50">
          <w:rPr>
            <w:noProof/>
            <w:webHidden/>
          </w:rPr>
          <w:tab/>
        </w:r>
        <w:r w:rsidR="002C0E50">
          <w:rPr>
            <w:noProof/>
            <w:webHidden/>
          </w:rPr>
          <w:fldChar w:fldCharType="begin"/>
        </w:r>
        <w:r w:rsidR="002C0E50">
          <w:rPr>
            <w:noProof/>
            <w:webHidden/>
          </w:rPr>
          <w:instrText xml:space="preserve"> PAGEREF _Toc82385719 \h </w:instrText>
        </w:r>
        <w:r w:rsidR="002C0E50">
          <w:rPr>
            <w:noProof/>
            <w:webHidden/>
          </w:rPr>
        </w:r>
        <w:r w:rsidR="002C0E50">
          <w:rPr>
            <w:noProof/>
            <w:webHidden/>
          </w:rPr>
          <w:fldChar w:fldCharType="separate"/>
        </w:r>
        <w:r w:rsidR="00A15698">
          <w:rPr>
            <w:noProof/>
            <w:webHidden/>
          </w:rPr>
          <w:t>123</w:t>
        </w:r>
        <w:r w:rsidR="002C0E50">
          <w:rPr>
            <w:noProof/>
            <w:webHidden/>
          </w:rPr>
          <w:fldChar w:fldCharType="end"/>
        </w:r>
      </w:hyperlink>
    </w:p>
    <w:p w14:paraId="338DC1D7" w14:textId="15831AE9"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720" w:history="1">
        <w:r w:rsidR="002C0E50" w:rsidRPr="00C75400">
          <w:rPr>
            <w:rStyle w:val="Hyperlink"/>
            <w:noProof/>
          </w:rPr>
          <w:t>3.6.2</w:t>
        </w:r>
        <w:r w:rsidR="002C0E50">
          <w:rPr>
            <w:rFonts w:asciiTheme="minorHAnsi" w:eastAsiaTheme="minorEastAsia" w:hAnsiTheme="minorHAnsi" w:cstheme="minorBidi"/>
            <w:noProof/>
            <w:szCs w:val="24"/>
          </w:rPr>
          <w:tab/>
        </w:r>
        <w:r w:rsidR="002C0E50" w:rsidRPr="00C75400">
          <w:rPr>
            <w:rStyle w:val="Hyperlink"/>
            <w:noProof/>
          </w:rPr>
          <w:t>Source of Extension Services</w:t>
        </w:r>
        <w:r w:rsidR="002C0E50">
          <w:rPr>
            <w:noProof/>
            <w:webHidden/>
          </w:rPr>
          <w:tab/>
        </w:r>
        <w:r w:rsidR="002C0E50">
          <w:rPr>
            <w:noProof/>
            <w:webHidden/>
          </w:rPr>
          <w:fldChar w:fldCharType="begin"/>
        </w:r>
        <w:r w:rsidR="002C0E50">
          <w:rPr>
            <w:noProof/>
            <w:webHidden/>
          </w:rPr>
          <w:instrText xml:space="preserve"> PAGEREF _Toc82385720 \h </w:instrText>
        </w:r>
        <w:r w:rsidR="002C0E50">
          <w:rPr>
            <w:noProof/>
            <w:webHidden/>
          </w:rPr>
        </w:r>
        <w:r w:rsidR="002C0E50">
          <w:rPr>
            <w:noProof/>
            <w:webHidden/>
          </w:rPr>
          <w:fldChar w:fldCharType="separate"/>
        </w:r>
        <w:r w:rsidR="00A15698">
          <w:rPr>
            <w:noProof/>
            <w:webHidden/>
          </w:rPr>
          <w:t>124</w:t>
        </w:r>
        <w:r w:rsidR="002C0E50">
          <w:rPr>
            <w:noProof/>
            <w:webHidden/>
          </w:rPr>
          <w:fldChar w:fldCharType="end"/>
        </w:r>
      </w:hyperlink>
    </w:p>
    <w:p w14:paraId="60521BFC" w14:textId="20B9C986"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721" w:history="1">
        <w:r w:rsidR="002C0E50" w:rsidRPr="00C75400">
          <w:rPr>
            <w:rStyle w:val="Hyperlink"/>
            <w:noProof/>
          </w:rPr>
          <w:t>3.6.3</w:t>
        </w:r>
        <w:r w:rsidR="002C0E50">
          <w:rPr>
            <w:rFonts w:asciiTheme="minorHAnsi" w:eastAsiaTheme="minorEastAsia" w:hAnsiTheme="minorHAnsi" w:cstheme="minorBidi"/>
            <w:noProof/>
            <w:szCs w:val="24"/>
          </w:rPr>
          <w:tab/>
        </w:r>
        <w:r w:rsidR="002C0E50" w:rsidRPr="00C75400">
          <w:rPr>
            <w:rStyle w:val="Hyperlink"/>
            <w:noProof/>
          </w:rPr>
          <w:t>Extension Message Practices</w:t>
        </w:r>
        <w:r w:rsidR="002C0E50">
          <w:rPr>
            <w:noProof/>
            <w:webHidden/>
          </w:rPr>
          <w:tab/>
        </w:r>
        <w:r w:rsidR="002C0E50">
          <w:rPr>
            <w:noProof/>
            <w:webHidden/>
          </w:rPr>
          <w:fldChar w:fldCharType="begin"/>
        </w:r>
        <w:r w:rsidR="002C0E50">
          <w:rPr>
            <w:noProof/>
            <w:webHidden/>
          </w:rPr>
          <w:instrText xml:space="preserve"> PAGEREF _Toc82385721 \h </w:instrText>
        </w:r>
        <w:r w:rsidR="002C0E50">
          <w:rPr>
            <w:noProof/>
            <w:webHidden/>
          </w:rPr>
        </w:r>
        <w:r w:rsidR="002C0E50">
          <w:rPr>
            <w:noProof/>
            <w:webHidden/>
          </w:rPr>
          <w:fldChar w:fldCharType="separate"/>
        </w:r>
        <w:r w:rsidR="00A15698">
          <w:rPr>
            <w:noProof/>
            <w:webHidden/>
          </w:rPr>
          <w:t>125</w:t>
        </w:r>
        <w:r w:rsidR="002C0E50">
          <w:rPr>
            <w:noProof/>
            <w:webHidden/>
          </w:rPr>
          <w:fldChar w:fldCharType="end"/>
        </w:r>
      </w:hyperlink>
    </w:p>
    <w:p w14:paraId="49088C4E" w14:textId="26B88027" w:rsidR="002C0E50" w:rsidRDefault="00E909AE" w:rsidP="002C0E50">
      <w:pPr>
        <w:pStyle w:val="TOC2"/>
        <w:rPr>
          <w:rFonts w:asciiTheme="minorHAnsi" w:eastAsiaTheme="minorEastAsia" w:hAnsiTheme="minorHAnsi" w:cstheme="minorBidi"/>
          <w:noProof/>
          <w:szCs w:val="24"/>
        </w:rPr>
      </w:pPr>
      <w:hyperlink w:anchor="_Toc82385722" w:history="1">
        <w:r w:rsidR="002C0E50" w:rsidRPr="00C75400">
          <w:rPr>
            <w:rStyle w:val="Hyperlink"/>
            <w:noProof/>
          </w:rPr>
          <w:t>3.7</w:t>
        </w:r>
        <w:r w:rsidR="002C0E50">
          <w:rPr>
            <w:rFonts w:asciiTheme="minorHAnsi" w:eastAsiaTheme="minorEastAsia" w:hAnsiTheme="minorHAnsi" w:cstheme="minorBidi"/>
            <w:noProof/>
            <w:szCs w:val="24"/>
          </w:rPr>
          <w:tab/>
        </w:r>
        <w:r w:rsidR="002C0E50" w:rsidRPr="00C75400">
          <w:rPr>
            <w:rStyle w:val="Hyperlink"/>
            <w:noProof/>
          </w:rPr>
          <w:t>Agriculture Mechanization</w:t>
        </w:r>
        <w:r w:rsidR="002C0E50">
          <w:rPr>
            <w:noProof/>
            <w:webHidden/>
          </w:rPr>
          <w:tab/>
        </w:r>
        <w:r w:rsidR="002C0E50">
          <w:rPr>
            <w:noProof/>
            <w:webHidden/>
          </w:rPr>
          <w:fldChar w:fldCharType="begin"/>
        </w:r>
        <w:r w:rsidR="002C0E50">
          <w:rPr>
            <w:noProof/>
            <w:webHidden/>
          </w:rPr>
          <w:instrText xml:space="preserve"> PAGEREF _Toc82385722 \h </w:instrText>
        </w:r>
        <w:r w:rsidR="002C0E50">
          <w:rPr>
            <w:noProof/>
            <w:webHidden/>
          </w:rPr>
        </w:r>
        <w:r w:rsidR="002C0E50">
          <w:rPr>
            <w:noProof/>
            <w:webHidden/>
          </w:rPr>
          <w:fldChar w:fldCharType="separate"/>
        </w:r>
        <w:r w:rsidR="00A15698">
          <w:rPr>
            <w:noProof/>
            <w:webHidden/>
          </w:rPr>
          <w:t>126</w:t>
        </w:r>
        <w:r w:rsidR="002C0E50">
          <w:rPr>
            <w:noProof/>
            <w:webHidden/>
          </w:rPr>
          <w:fldChar w:fldCharType="end"/>
        </w:r>
      </w:hyperlink>
    </w:p>
    <w:p w14:paraId="67FB6C8B" w14:textId="51926B93"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723" w:history="1">
        <w:r w:rsidR="002C0E50" w:rsidRPr="00C75400">
          <w:rPr>
            <w:rStyle w:val="Hyperlink"/>
            <w:noProof/>
          </w:rPr>
          <w:t>3.7.1</w:t>
        </w:r>
        <w:r w:rsidR="002C0E50">
          <w:rPr>
            <w:rFonts w:asciiTheme="minorHAnsi" w:eastAsiaTheme="minorEastAsia" w:hAnsiTheme="minorHAnsi" w:cstheme="minorBidi"/>
            <w:noProof/>
            <w:szCs w:val="24"/>
          </w:rPr>
          <w:tab/>
        </w:r>
        <w:r w:rsidR="002C0E50" w:rsidRPr="00C75400">
          <w:rPr>
            <w:rStyle w:val="Hyperlink"/>
            <w:noProof/>
          </w:rPr>
          <w:t>On Farm Investments</w:t>
        </w:r>
        <w:r w:rsidR="002C0E50">
          <w:rPr>
            <w:noProof/>
            <w:webHidden/>
          </w:rPr>
          <w:tab/>
        </w:r>
        <w:r w:rsidR="002C0E50">
          <w:rPr>
            <w:noProof/>
            <w:webHidden/>
          </w:rPr>
          <w:fldChar w:fldCharType="begin"/>
        </w:r>
        <w:r w:rsidR="002C0E50">
          <w:rPr>
            <w:noProof/>
            <w:webHidden/>
          </w:rPr>
          <w:instrText xml:space="preserve"> PAGEREF _Toc82385723 \h </w:instrText>
        </w:r>
        <w:r w:rsidR="002C0E50">
          <w:rPr>
            <w:noProof/>
            <w:webHidden/>
          </w:rPr>
        </w:r>
        <w:r w:rsidR="002C0E50">
          <w:rPr>
            <w:noProof/>
            <w:webHidden/>
          </w:rPr>
          <w:fldChar w:fldCharType="separate"/>
        </w:r>
        <w:r w:rsidR="00A15698">
          <w:rPr>
            <w:noProof/>
            <w:webHidden/>
          </w:rPr>
          <w:t>126</w:t>
        </w:r>
        <w:r w:rsidR="002C0E50">
          <w:rPr>
            <w:noProof/>
            <w:webHidden/>
          </w:rPr>
          <w:fldChar w:fldCharType="end"/>
        </w:r>
      </w:hyperlink>
    </w:p>
    <w:p w14:paraId="337FF307" w14:textId="1F4D8E7D"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724" w:history="1">
        <w:r w:rsidR="002C0E50" w:rsidRPr="00C75400">
          <w:rPr>
            <w:rStyle w:val="Hyperlink"/>
            <w:noProof/>
          </w:rPr>
          <w:t>3.7.2</w:t>
        </w:r>
        <w:r w:rsidR="002C0E50">
          <w:rPr>
            <w:rFonts w:asciiTheme="minorHAnsi" w:eastAsiaTheme="minorEastAsia" w:hAnsiTheme="minorHAnsi" w:cstheme="minorBidi"/>
            <w:noProof/>
            <w:szCs w:val="24"/>
          </w:rPr>
          <w:tab/>
        </w:r>
        <w:r w:rsidR="002C0E50" w:rsidRPr="00C75400">
          <w:rPr>
            <w:rStyle w:val="Hyperlink"/>
            <w:noProof/>
          </w:rPr>
          <w:t>Use of Tractors and Draft Animals</w:t>
        </w:r>
        <w:r w:rsidR="002C0E50">
          <w:rPr>
            <w:noProof/>
            <w:webHidden/>
          </w:rPr>
          <w:tab/>
        </w:r>
        <w:r w:rsidR="002C0E50">
          <w:rPr>
            <w:noProof/>
            <w:webHidden/>
          </w:rPr>
          <w:fldChar w:fldCharType="begin"/>
        </w:r>
        <w:r w:rsidR="002C0E50">
          <w:rPr>
            <w:noProof/>
            <w:webHidden/>
          </w:rPr>
          <w:instrText xml:space="preserve"> PAGEREF _Toc82385724 \h </w:instrText>
        </w:r>
        <w:r w:rsidR="002C0E50">
          <w:rPr>
            <w:noProof/>
            <w:webHidden/>
          </w:rPr>
        </w:r>
        <w:r w:rsidR="002C0E50">
          <w:rPr>
            <w:noProof/>
            <w:webHidden/>
          </w:rPr>
          <w:fldChar w:fldCharType="separate"/>
        </w:r>
        <w:r w:rsidR="00A15698">
          <w:rPr>
            <w:noProof/>
            <w:webHidden/>
          </w:rPr>
          <w:t>129</w:t>
        </w:r>
        <w:r w:rsidR="002C0E50">
          <w:rPr>
            <w:noProof/>
            <w:webHidden/>
          </w:rPr>
          <w:fldChar w:fldCharType="end"/>
        </w:r>
      </w:hyperlink>
    </w:p>
    <w:p w14:paraId="4E9B27E9" w14:textId="6B1DA24D" w:rsidR="002C0E50" w:rsidRDefault="00E909AE" w:rsidP="002C0E50">
      <w:pPr>
        <w:pStyle w:val="TOC2"/>
        <w:rPr>
          <w:rFonts w:asciiTheme="minorHAnsi" w:eastAsiaTheme="minorEastAsia" w:hAnsiTheme="minorHAnsi" w:cstheme="minorBidi"/>
          <w:noProof/>
          <w:szCs w:val="24"/>
        </w:rPr>
      </w:pPr>
      <w:hyperlink w:anchor="_Toc82385725" w:history="1">
        <w:r w:rsidR="002C0E50" w:rsidRPr="00C75400">
          <w:rPr>
            <w:rStyle w:val="Hyperlink"/>
            <w:noProof/>
          </w:rPr>
          <w:t>3.8</w:t>
        </w:r>
        <w:r w:rsidR="002C0E50">
          <w:rPr>
            <w:rFonts w:asciiTheme="minorHAnsi" w:eastAsiaTheme="minorEastAsia" w:hAnsiTheme="minorHAnsi" w:cstheme="minorBidi"/>
            <w:noProof/>
            <w:szCs w:val="24"/>
          </w:rPr>
          <w:tab/>
        </w:r>
        <w:r w:rsidR="002C0E50" w:rsidRPr="00C75400">
          <w:rPr>
            <w:rStyle w:val="Hyperlink"/>
            <w:noProof/>
          </w:rPr>
          <w:t>Crop Marketing</w:t>
        </w:r>
        <w:r w:rsidR="002C0E50">
          <w:rPr>
            <w:noProof/>
            <w:webHidden/>
          </w:rPr>
          <w:tab/>
        </w:r>
        <w:r w:rsidR="002C0E50">
          <w:rPr>
            <w:noProof/>
            <w:webHidden/>
          </w:rPr>
          <w:fldChar w:fldCharType="begin"/>
        </w:r>
        <w:r w:rsidR="002C0E50">
          <w:rPr>
            <w:noProof/>
            <w:webHidden/>
          </w:rPr>
          <w:instrText xml:space="preserve"> PAGEREF _Toc82385725 \h </w:instrText>
        </w:r>
        <w:r w:rsidR="002C0E50">
          <w:rPr>
            <w:noProof/>
            <w:webHidden/>
          </w:rPr>
        </w:r>
        <w:r w:rsidR="002C0E50">
          <w:rPr>
            <w:noProof/>
            <w:webHidden/>
          </w:rPr>
          <w:fldChar w:fldCharType="separate"/>
        </w:r>
        <w:r w:rsidR="00A15698">
          <w:rPr>
            <w:noProof/>
            <w:webHidden/>
          </w:rPr>
          <w:t>130</w:t>
        </w:r>
        <w:r w:rsidR="002C0E50">
          <w:rPr>
            <w:noProof/>
            <w:webHidden/>
          </w:rPr>
          <w:fldChar w:fldCharType="end"/>
        </w:r>
      </w:hyperlink>
    </w:p>
    <w:p w14:paraId="315703B7" w14:textId="6FCDEA4D"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726" w:history="1">
        <w:r w:rsidR="002C0E50" w:rsidRPr="00C75400">
          <w:rPr>
            <w:rStyle w:val="Hyperlink"/>
            <w:noProof/>
          </w:rPr>
          <w:t>3.8.1</w:t>
        </w:r>
        <w:r w:rsidR="002C0E50">
          <w:rPr>
            <w:rFonts w:asciiTheme="minorHAnsi" w:eastAsiaTheme="minorEastAsia" w:hAnsiTheme="minorHAnsi" w:cstheme="minorBidi"/>
            <w:noProof/>
            <w:szCs w:val="24"/>
          </w:rPr>
          <w:tab/>
        </w:r>
        <w:r w:rsidR="002C0E50" w:rsidRPr="00C75400">
          <w:rPr>
            <w:rStyle w:val="Hyperlink"/>
            <w:noProof/>
          </w:rPr>
          <w:t>Crop commercialization</w:t>
        </w:r>
        <w:r w:rsidR="002C0E50">
          <w:rPr>
            <w:noProof/>
            <w:webHidden/>
          </w:rPr>
          <w:tab/>
        </w:r>
        <w:r w:rsidR="002C0E50">
          <w:rPr>
            <w:noProof/>
            <w:webHidden/>
          </w:rPr>
          <w:fldChar w:fldCharType="begin"/>
        </w:r>
        <w:r w:rsidR="002C0E50">
          <w:rPr>
            <w:noProof/>
            <w:webHidden/>
          </w:rPr>
          <w:instrText xml:space="preserve"> PAGEREF _Toc82385726 \h </w:instrText>
        </w:r>
        <w:r w:rsidR="002C0E50">
          <w:rPr>
            <w:noProof/>
            <w:webHidden/>
          </w:rPr>
        </w:r>
        <w:r w:rsidR="002C0E50">
          <w:rPr>
            <w:noProof/>
            <w:webHidden/>
          </w:rPr>
          <w:fldChar w:fldCharType="separate"/>
        </w:r>
        <w:r w:rsidR="00A15698">
          <w:rPr>
            <w:noProof/>
            <w:webHidden/>
          </w:rPr>
          <w:t>130</w:t>
        </w:r>
        <w:r w:rsidR="002C0E50">
          <w:rPr>
            <w:noProof/>
            <w:webHidden/>
          </w:rPr>
          <w:fldChar w:fldCharType="end"/>
        </w:r>
      </w:hyperlink>
    </w:p>
    <w:p w14:paraId="723656CC" w14:textId="780B9894"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727" w:history="1">
        <w:r w:rsidR="002C0E50" w:rsidRPr="00C75400">
          <w:rPr>
            <w:rStyle w:val="Hyperlink"/>
            <w:noProof/>
          </w:rPr>
          <w:t>3.8.2</w:t>
        </w:r>
        <w:r w:rsidR="002C0E50">
          <w:rPr>
            <w:rFonts w:asciiTheme="minorHAnsi" w:eastAsiaTheme="minorEastAsia" w:hAnsiTheme="minorHAnsi" w:cstheme="minorBidi"/>
            <w:noProof/>
            <w:szCs w:val="24"/>
          </w:rPr>
          <w:tab/>
        </w:r>
        <w:r w:rsidR="002C0E50" w:rsidRPr="00C75400">
          <w:rPr>
            <w:rStyle w:val="Hyperlink"/>
            <w:noProof/>
          </w:rPr>
          <w:t>Main Marketing Challenges</w:t>
        </w:r>
        <w:r w:rsidR="002C0E50">
          <w:rPr>
            <w:noProof/>
            <w:webHidden/>
          </w:rPr>
          <w:tab/>
        </w:r>
        <w:r w:rsidR="002C0E50">
          <w:rPr>
            <w:noProof/>
            <w:webHidden/>
          </w:rPr>
          <w:fldChar w:fldCharType="begin"/>
        </w:r>
        <w:r w:rsidR="002C0E50">
          <w:rPr>
            <w:noProof/>
            <w:webHidden/>
          </w:rPr>
          <w:instrText xml:space="preserve"> PAGEREF _Toc82385727 \h </w:instrText>
        </w:r>
        <w:r w:rsidR="002C0E50">
          <w:rPr>
            <w:noProof/>
            <w:webHidden/>
          </w:rPr>
        </w:r>
        <w:r w:rsidR="002C0E50">
          <w:rPr>
            <w:noProof/>
            <w:webHidden/>
          </w:rPr>
          <w:fldChar w:fldCharType="separate"/>
        </w:r>
        <w:r w:rsidR="00A15698">
          <w:rPr>
            <w:noProof/>
            <w:webHidden/>
          </w:rPr>
          <w:t>132</w:t>
        </w:r>
        <w:r w:rsidR="002C0E50">
          <w:rPr>
            <w:noProof/>
            <w:webHidden/>
          </w:rPr>
          <w:fldChar w:fldCharType="end"/>
        </w:r>
      </w:hyperlink>
    </w:p>
    <w:p w14:paraId="29ACCFB7" w14:textId="68AEC4C4" w:rsidR="002C0E50" w:rsidRPr="00467F1C" w:rsidRDefault="00E909AE" w:rsidP="002C0E50">
      <w:pPr>
        <w:pStyle w:val="TOC1"/>
        <w:tabs>
          <w:tab w:val="right" w:leader="dot" w:pos="9020"/>
        </w:tabs>
        <w:spacing w:before="240"/>
        <w:rPr>
          <w:rFonts w:asciiTheme="minorHAnsi" w:eastAsiaTheme="minorEastAsia" w:hAnsiTheme="minorHAnsi" w:cstheme="minorBidi"/>
          <w:b/>
          <w:bCs w:val="0"/>
          <w:iCs w:val="0"/>
          <w:noProof/>
        </w:rPr>
      </w:pPr>
      <w:hyperlink w:anchor="_Toc82385728" w:history="1">
        <w:r w:rsidR="002C0E50" w:rsidRPr="00467F1C">
          <w:rPr>
            <w:rStyle w:val="Hyperlink"/>
            <w:b/>
            <w:noProof/>
          </w:rPr>
          <w:t>CHAPTER FOUR</w:t>
        </w:r>
        <w:r w:rsidR="002C0E50" w:rsidRPr="00467F1C">
          <w:rPr>
            <w:b/>
            <w:noProof/>
            <w:webHidden/>
          </w:rPr>
          <w:tab/>
        </w:r>
        <w:r w:rsidR="002C0E50" w:rsidRPr="00467F1C">
          <w:rPr>
            <w:b/>
            <w:noProof/>
            <w:webHidden/>
          </w:rPr>
          <w:fldChar w:fldCharType="begin"/>
        </w:r>
        <w:r w:rsidR="002C0E50" w:rsidRPr="00467F1C">
          <w:rPr>
            <w:b/>
            <w:noProof/>
            <w:webHidden/>
          </w:rPr>
          <w:instrText xml:space="preserve"> PAGEREF _Toc82385728 \h </w:instrText>
        </w:r>
        <w:r w:rsidR="002C0E50" w:rsidRPr="00467F1C">
          <w:rPr>
            <w:b/>
            <w:noProof/>
            <w:webHidden/>
          </w:rPr>
        </w:r>
        <w:r w:rsidR="002C0E50" w:rsidRPr="00467F1C">
          <w:rPr>
            <w:b/>
            <w:noProof/>
            <w:webHidden/>
          </w:rPr>
          <w:fldChar w:fldCharType="separate"/>
        </w:r>
        <w:r w:rsidR="00A15698">
          <w:rPr>
            <w:b/>
            <w:noProof/>
            <w:webHidden/>
          </w:rPr>
          <w:t>133</w:t>
        </w:r>
        <w:r w:rsidR="002C0E50" w:rsidRPr="00467F1C">
          <w:rPr>
            <w:b/>
            <w:noProof/>
            <w:webHidden/>
          </w:rPr>
          <w:fldChar w:fldCharType="end"/>
        </w:r>
      </w:hyperlink>
    </w:p>
    <w:p w14:paraId="65A95FD8" w14:textId="352569DF" w:rsidR="002C0E50" w:rsidRPr="00467F1C" w:rsidRDefault="00E909AE" w:rsidP="002C0E50">
      <w:pPr>
        <w:pStyle w:val="TOC1"/>
        <w:tabs>
          <w:tab w:val="right" w:leader="dot" w:pos="9020"/>
        </w:tabs>
        <w:rPr>
          <w:rFonts w:asciiTheme="minorHAnsi" w:eastAsiaTheme="minorEastAsia" w:hAnsiTheme="minorHAnsi" w:cstheme="minorBidi"/>
          <w:b/>
          <w:bCs w:val="0"/>
          <w:iCs w:val="0"/>
          <w:noProof/>
        </w:rPr>
      </w:pPr>
      <w:hyperlink w:anchor="_Toc82385729" w:history="1">
        <w:r w:rsidR="002C0E50" w:rsidRPr="00467F1C">
          <w:rPr>
            <w:rStyle w:val="Hyperlink"/>
            <w:b/>
            <w:noProof/>
          </w:rPr>
          <w:t>LIVESTOCK, FISH FARMING AND BEEKEEPING RESULTS</w:t>
        </w:r>
        <w:r w:rsidR="002C0E50" w:rsidRPr="00467F1C">
          <w:rPr>
            <w:b/>
            <w:noProof/>
            <w:webHidden/>
          </w:rPr>
          <w:tab/>
        </w:r>
        <w:r w:rsidR="002C0E50" w:rsidRPr="00467F1C">
          <w:rPr>
            <w:b/>
            <w:noProof/>
            <w:webHidden/>
          </w:rPr>
          <w:fldChar w:fldCharType="begin"/>
        </w:r>
        <w:r w:rsidR="002C0E50" w:rsidRPr="00467F1C">
          <w:rPr>
            <w:b/>
            <w:noProof/>
            <w:webHidden/>
          </w:rPr>
          <w:instrText xml:space="preserve"> PAGEREF _Toc82385729 \h </w:instrText>
        </w:r>
        <w:r w:rsidR="002C0E50" w:rsidRPr="00467F1C">
          <w:rPr>
            <w:b/>
            <w:noProof/>
            <w:webHidden/>
          </w:rPr>
        </w:r>
        <w:r w:rsidR="002C0E50" w:rsidRPr="00467F1C">
          <w:rPr>
            <w:b/>
            <w:noProof/>
            <w:webHidden/>
          </w:rPr>
          <w:fldChar w:fldCharType="separate"/>
        </w:r>
        <w:r w:rsidR="00A15698">
          <w:rPr>
            <w:b/>
            <w:noProof/>
            <w:webHidden/>
          </w:rPr>
          <w:t>133</w:t>
        </w:r>
        <w:r w:rsidR="002C0E50" w:rsidRPr="00467F1C">
          <w:rPr>
            <w:b/>
            <w:noProof/>
            <w:webHidden/>
          </w:rPr>
          <w:fldChar w:fldCharType="end"/>
        </w:r>
      </w:hyperlink>
    </w:p>
    <w:p w14:paraId="2DCEBC6F" w14:textId="0799F1A6" w:rsidR="002C0E50" w:rsidRDefault="00E909AE" w:rsidP="002C0E50">
      <w:pPr>
        <w:pStyle w:val="TOC1"/>
        <w:tabs>
          <w:tab w:val="left" w:pos="720"/>
          <w:tab w:val="right" w:leader="dot" w:pos="9020"/>
        </w:tabs>
        <w:rPr>
          <w:rFonts w:asciiTheme="minorHAnsi" w:eastAsiaTheme="minorEastAsia" w:hAnsiTheme="minorHAnsi" w:cstheme="minorBidi"/>
          <w:bCs w:val="0"/>
          <w:iCs w:val="0"/>
          <w:noProof/>
        </w:rPr>
      </w:pPr>
      <w:hyperlink w:anchor="_Toc82385730" w:history="1">
        <w:r w:rsidR="002C0E50" w:rsidRPr="00C75400">
          <w:rPr>
            <w:rStyle w:val="Hyperlink"/>
            <w:noProof/>
          </w:rPr>
          <w:t>4.0</w:t>
        </w:r>
        <w:r w:rsidR="002C0E50">
          <w:rPr>
            <w:rFonts w:asciiTheme="minorHAnsi" w:eastAsiaTheme="minorEastAsia" w:hAnsiTheme="minorHAnsi" w:cstheme="minorBidi"/>
            <w:bCs w:val="0"/>
            <w:iCs w:val="0"/>
            <w:noProof/>
          </w:rPr>
          <w:tab/>
        </w:r>
        <w:r w:rsidR="002C0E50" w:rsidRPr="00C75400">
          <w:rPr>
            <w:rStyle w:val="Hyperlink"/>
            <w:noProof/>
          </w:rPr>
          <w:t>Introduction</w:t>
        </w:r>
        <w:r w:rsidR="002C0E50">
          <w:rPr>
            <w:noProof/>
            <w:webHidden/>
          </w:rPr>
          <w:tab/>
        </w:r>
        <w:r w:rsidR="002C0E50">
          <w:rPr>
            <w:noProof/>
            <w:webHidden/>
          </w:rPr>
          <w:fldChar w:fldCharType="begin"/>
        </w:r>
        <w:r w:rsidR="002C0E50">
          <w:rPr>
            <w:noProof/>
            <w:webHidden/>
          </w:rPr>
          <w:instrText xml:space="preserve"> PAGEREF _Toc82385730 \h </w:instrText>
        </w:r>
        <w:r w:rsidR="002C0E50">
          <w:rPr>
            <w:noProof/>
            <w:webHidden/>
          </w:rPr>
        </w:r>
        <w:r w:rsidR="002C0E50">
          <w:rPr>
            <w:noProof/>
            <w:webHidden/>
          </w:rPr>
          <w:fldChar w:fldCharType="separate"/>
        </w:r>
        <w:r w:rsidR="00A15698">
          <w:rPr>
            <w:noProof/>
            <w:webHidden/>
          </w:rPr>
          <w:t>133</w:t>
        </w:r>
        <w:r w:rsidR="002C0E50">
          <w:rPr>
            <w:noProof/>
            <w:webHidden/>
          </w:rPr>
          <w:fldChar w:fldCharType="end"/>
        </w:r>
      </w:hyperlink>
    </w:p>
    <w:p w14:paraId="6F1FB56E" w14:textId="79F8641E" w:rsidR="002C0E50" w:rsidRDefault="00E909AE" w:rsidP="002C0E50">
      <w:pPr>
        <w:pStyle w:val="TOC2"/>
        <w:rPr>
          <w:rFonts w:asciiTheme="minorHAnsi" w:eastAsiaTheme="minorEastAsia" w:hAnsiTheme="minorHAnsi" w:cstheme="minorBidi"/>
          <w:noProof/>
          <w:szCs w:val="24"/>
        </w:rPr>
      </w:pPr>
      <w:hyperlink w:anchor="_Toc82385731" w:history="1">
        <w:r w:rsidR="002C0E50" w:rsidRPr="00C75400">
          <w:rPr>
            <w:rStyle w:val="Hyperlink"/>
            <w:noProof/>
          </w:rPr>
          <w:t>4.1</w:t>
        </w:r>
        <w:r w:rsidR="002C0E50">
          <w:rPr>
            <w:rFonts w:asciiTheme="minorHAnsi" w:eastAsiaTheme="minorEastAsia" w:hAnsiTheme="minorHAnsi" w:cstheme="minorBidi"/>
            <w:noProof/>
            <w:szCs w:val="24"/>
          </w:rPr>
          <w:tab/>
        </w:r>
        <w:r w:rsidR="002C0E50" w:rsidRPr="00C75400">
          <w:rPr>
            <w:rStyle w:val="Hyperlink"/>
            <w:noProof/>
          </w:rPr>
          <w:t>Livestock Population</w:t>
        </w:r>
        <w:r w:rsidR="002C0E50">
          <w:rPr>
            <w:noProof/>
            <w:webHidden/>
          </w:rPr>
          <w:tab/>
        </w:r>
        <w:r w:rsidR="002C0E50">
          <w:rPr>
            <w:noProof/>
            <w:webHidden/>
          </w:rPr>
          <w:fldChar w:fldCharType="begin"/>
        </w:r>
        <w:r w:rsidR="002C0E50">
          <w:rPr>
            <w:noProof/>
            <w:webHidden/>
          </w:rPr>
          <w:instrText xml:space="preserve"> PAGEREF _Toc82385731 \h </w:instrText>
        </w:r>
        <w:r w:rsidR="002C0E50">
          <w:rPr>
            <w:noProof/>
            <w:webHidden/>
          </w:rPr>
        </w:r>
        <w:r w:rsidR="002C0E50">
          <w:rPr>
            <w:noProof/>
            <w:webHidden/>
          </w:rPr>
          <w:fldChar w:fldCharType="separate"/>
        </w:r>
        <w:r w:rsidR="00A15698">
          <w:rPr>
            <w:noProof/>
            <w:webHidden/>
          </w:rPr>
          <w:t>133</w:t>
        </w:r>
        <w:r w:rsidR="002C0E50">
          <w:rPr>
            <w:noProof/>
            <w:webHidden/>
          </w:rPr>
          <w:fldChar w:fldCharType="end"/>
        </w:r>
      </w:hyperlink>
    </w:p>
    <w:p w14:paraId="2E802543" w14:textId="4A292950"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732" w:history="1">
        <w:r w:rsidR="002C0E50" w:rsidRPr="00C75400">
          <w:rPr>
            <w:rStyle w:val="Hyperlink"/>
            <w:noProof/>
          </w:rPr>
          <w:t>4.1.1</w:t>
        </w:r>
        <w:r w:rsidR="002C0E50">
          <w:rPr>
            <w:rFonts w:asciiTheme="minorHAnsi" w:eastAsiaTheme="minorEastAsia" w:hAnsiTheme="minorHAnsi" w:cstheme="minorBidi"/>
            <w:noProof/>
            <w:szCs w:val="24"/>
          </w:rPr>
          <w:tab/>
        </w:r>
        <w:r w:rsidR="002C0E50" w:rsidRPr="00C75400">
          <w:rPr>
            <w:rStyle w:val="Hyperlink"/>
            <w:noProof/>
          </w:rPr>
          <w:t>Cattle Population</w:t>
        </w:r>
        <w:r w:rsidR="002C0E50">
          <w:rPr>
            <w:noProof/>
            <w:webHidden/>
          </w:rPr>
          <w:tab/>
        </w:r>
        <w:r w:rsidR="002C0E50">
          <w:rPr>
            <w:noProof/>
            <w:webHidden/>
          </w:rPr>
          <w:fldChar w:fldCharType="begin"/>
        </w:r>
        <w:r w:rsidR="002C0E50">
          <w:rPr>
            <w:noProof/>
            <w:webHidden/>
          </w:rPr>
          <w:instrText xml:space="preserve"> PAGEREF _Toc82385732 \h </w:instrText>
        </w:r>
        <w:r w:rsidR="002C0E50">
          <w:rPr>
            <w:noProof/>
            <w:webHidden/>
          </w:rPr>
        </w:r>
        <w:r w:rsidR="002C0E50">
          <w:rPr>
            <w:noProof/>
            <w:webHidden/>
          </w:rPr>
          <w:fldChar w:fldCharType="separate"/>
        </w:r>
        <w:r w:rsidR="00A15698">
          <w:rPr>
            <w:noProof/>
            <w:webHidden/>
          </w:rPr>
          <w:t>134</w:t>
        </w:r>
        <w:r w:rsidR="002C0E50">
          <w:rPr>
            <w:noProof/>
            <w:webHidden/>
          </w:rPr>
          <w:fldChar w:fldCharType="end"/>
        </w:r>
      </w:hyperlink>
    </w:p>
    <w:p w14:paraId="05224F30" w14:textId="59E8238F"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733" w:history="1">
        <w:r w:rsidR="002C0E50" w:rsidRPr="00C75400">
          <w:rPr>
            <w:rStyle w:val="Hyperlink"/>
            <w:noProof/>
          </w:rPr>
          <w:t>4.1.1.1</w:t>
        </w:r>
        <w:r w:rsidR="002C0E50">
          <w:rPr>
            <w:rFonts w:asciiTheme="minorHAnsi" w:eastAsiaTheme="minorEastAsia" w:hAnsiTheme="minorHAnsi" w:cstheme="minorBidi"/>
            <w:noProof/>
            <w:szCs w:val="24"/>
          </w:rPr>
          <w:tab/>
        </w:r>
        <w:r w:rsidR="002C0E50" w:rsidRPr="00C75400">
          <w:rPr>
            <w:rStyle w:val="Hyperlink"/>
            <w:noProof/>
          </w:rPr>
          <w:t>Types of Cattle</w:t>
        </w:r>
        <w:r w:rsidR="002C0E50">
          <w:rPr>
            <w:noProof/>
            <w:webHidden/>
          </w:rPr>
          <w:tab/>
        </w:r>
        <w:r w:rsidR="002C0E50">
          <w:rPr>
            <w:noProof/>
            <w:webHidden/>
          </w:rPr>
          <w:fldChar w:fldCharType="begin"/>
        </w:r>
        <w:r w:rsidR="002C0E50">
          <w:rPr>
            <w:noProof/>
            <w:webHidden/>
          </w:rPr>
          <w:instrText xml:space="preserve"> PAGEREF _Toc82385733 \h </w:instrText>
        </w:r>
        <w:r w:rsidR="002C0E50">
          <w:rPr>
            <w:noProof/>
            <w:webHidden/>
          </w:rPr>
        </w:r>
        <w:r w:rsidR="002C0E50">
          <w:rPr>
            <w:noProof/>
            <w:webHidden/>
          </w:rPr>
          <w:fldChar w:fldCharType="separate"/>
        </w:r>
        <w:r w:rsidR="00A15698">
          <w:rPr>
            <w:noProof/>
            <w:webHidden/>
          </w:rPr>
          <w:t>136</w:t>
        </w:r>
        <w:r w:rsidR="002C0E50">
          <w:rPr>
            <w:noProof/>
            <w:webHidden/>
          </w:rPr>
          <w:fldChar w:fldCharType="end"/>
        </w:r>
      </w:hyperlink>
    </w:p>
    <w:p w14:paraId="1044A1BB" w14:textId="2659D97E"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734" w:history="1">
        <w:r w:rsidR="002C0E50" w:rsidRPr="00C75400">
          <w:rPr>
            <w:rStyle w:val="Hyperlink"/>
            <w:noProof/>
          </w:rPr>
          <w:t>4.1.1.2</w:t>
        </w:r>
        <w:r w:rsidR="002C0E50">
          <w:rPr>
            <w:rFonts w:asciiTheme="minorHAnsi" w:eastAsiaTheme="minorEastAsia" w:hAnsiTheme="minorHAnsi" w:cstheme="minorBidi"/>
            <w:noProof/>
            <w:szCs w:val="24"/>
          </w:rPr>
          <w:tab/>
        </w:r>
        <w:r w:rsidR="002C0E50" w:rsidRPr="00C75400">
          <w:rPr>
            <w:rStyle w:val="Hyperlink"/>
            <w:noProof/>
          </w:rPr>
          <w:t>Indigenous Cattle Population</w:t>
        </w:r>
        <w:r w:rsidR="002C0E50">
          <w:rPr>
            <w:noProof/>
            <w:webHidden/>
          </w:rPr>
          <w:tab/>
        </w:r>
        <w:r w:rsidR="002C0E50">
          <w:rPr>
            <w:noProof/>
            <w:webHidden/>
          </w:rPr>
          <w:fldChar w:fldCharType="begin"/>
        </w:r>
        <w:r w:rsidR="002C0E50">
          <w:rPr>
            <w:noProof/>
            <w:webHidden/>
          </w:rPr>
          <w:instrText xml:space="preserve"> PAGEREF _Toc82385734 \h </w:instrText>
        </w:r>
        <w:r w:rsidR="002C0E50">
          <w:rPr>
            <w:noProof/>
            <w:webHidden/>
          </w:rPr>
        </w:r>
        <w:r w:rsidR="002C0E50">
          <w:rPr>
            <w:noProof/>
            <w:webHidden/>
          </w:rPr>
          <w:fldChar w:fldCharType="separate"/>
        </w:r>
        <w:r w:rsidR="00A15698">
          <w:rPr>
            <w:noProof/>
            <w:webHidden/>
          </w:rPr>
          <w:t>137</w:t>
        </w:r>
        <w:r w:rsidR="002C0E50">
          <w:rPr>
            <w:noProof/>
            <w:webHidden/>
          </w:rPr>
          <w:fldChar w:fldCharType="end"/>
        </w:r>
      </w:hyperlink>
    </w:p>
    <w:p w14:paraId="33FD4CBD" w14:textId="01002D4F"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735" w:history="1">
        <w:r w:rsidR="002C0E50" w:rsidRPr="00C75400">
          <w:rPr>
            <w:rStyle w:val="Hyperlink"/>
            <w:noProof/>
          </w:rPr>
          <w:t>4.1.1.3</w:t>
        </w:r>
        <w:r w:rsidR="002C0E50">
          <w:rPr>
            <w:rFonts w:asciiTheme="minorHAnsi" w:eastAsiaTheme="minorEastAsia" w:hAnsiTheme="minorHAnsi" w:cstheme="minorBidi"/>
            <w:noProof/>
            <w:szCs w:val="24"/>
          </w:rPr>
          <w:tab/>
        </w:r>
        <w:r w:rsidR="002C0E50" w:rsidRPr="00C75400">
          <w:rPr>
            <w:rStyle w:val="Hyperlink"/>
            <w:noProof/>
          </w:rPr>
          <w:t>Improved Cattle Population</w:t>
        </w:r>
        <w:r w:rsidR="002C0E50">
          <w:rPr>
            <w:noProof/>
            <w:webHidden/>
          </w:rPr>
          <w:tab/>
        </w:r>
        <w:r w:rsidR="002C0E50">
          <w:rPr>
            <w:noProof/>
            <w:webHidden/>
          </w:rPr>
          <w:fldChar w:fldCharType="begin"/>
        </w:r>
        <w:r w:rsidR="002C0E50">
          <w:rPr>
            <w:noProof/>
            <w:webHidden/>
          </w:rPr>
          <w:instrText xml:space="preserve"> PAGEREF _Toc82385735 \h </w:instrText>
        </w:r>
        <w:r w:rsidR="002C0E50">
          <w:rPr>
            <w:noProof/>
            <w:webHidden/>
          </w:rPr>
        </w:r>
        <w:r w:rsidR="002C0E50">
          <w:rPr>
            <w:noProof/>
            <w:webHidden/>
          </w:rPr>
          <w:fldChar w:fldCharType="separate"/>
        </w:r>
        <w:r w:rsidR="00A15698">
          <w:rPr>
            <w:noProof/>
            <w:webHidden/>
          </w:rPr>
          <w:t>138</w:t>
        </w:r>
        <w:r w:rsidR="002C0E50">
          <w:rPr>
            <w:noProof/>
            <w:webHidden/>
          </w:rPr>
          <w:fldChar w:fldCharType="end"/>
        </w:r>
      </w:hyperlink>
    </w:p>
    <w:p w14:paraId="1775C548" w14:textId="17120D4A"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736" w:history="1">
        <w:r w:rsidR="002C0E50" w:rsidRPr="00C75400">
          <w:rPr>
            <w:rStyle w:val="Hyperlink"/>
            <w:noProof/>
          </w:rPr>
          <w:t>4.1.2</w:t>
        </w:r>
        <w:r w:rsidR="002C0E50">
          <w:rPr>
            <w:rFonts w:asciiTheme="minorHAnsi" w:eastAsiaTheme="minorEastAsia" w:hAnsiTheme="minorHAnsi" w:cstheme="minorBidi"/>
            <w:noProof/>
            <w:szCs w:val="24"/>
          </w:rPr>
          <w:tab/>
        </w:r>
        <w:r w:rsidR="002C0E50" w:rsidRPr="00C75400">
          <w:rPr>
            <w:rStyle w:val="Hyperlink"/>
            <w:noProof/>
          </w:rPr>
          <w:t>Goat Population</w:t>
        </w:r>
        <w:r w:rsidR="002C0E50">
          <w:rPr>
            <w:noProof/>
            <w:webHidden/>
          </w:rPr>
          <w:tab/>
        </w:r>
        <w:r w:rsidR="002C0E50">
          <w:rPr>
            <w:noProof/>
            <w:webHidden/>
          </w:rPr>
          <w:fldChar w:fldCharType="begin"/>
        </w:r>
        <w:r w:rsidR="002C0E50">
          <w:rPr>
            <w:noProof/>
            <w:webHidden/>
          </w:rPr>
          <w:instrText xml:space="preserve"> PAGEREF _Toc82385736 \h </w:instrText>
        </w:r>
        <w:r w:rsidR="002C0E50">
          <w:rPr>
            <w:noProof/>
            <w:webHidden/>
          </w:rPr>
        </w:r>
        <w:r w:rsidR="002C0E50">
          <w:rPr>
            <w:noProof/>
            <w:webHidden/>
          </w:rPr>
          <w:fldChar w:fldCharType="separate"/>
        </w:r>
        <w:r w:rsidR="00A15698">
          <w:rPr>
            <w:noProof/>
            <w:webHidden/>
          </w:rPr>
          <w:t>139</w:t>
        </w:r>
        <w:r w:rsidR="002C0E50">
          <w:rPr>
            <w:noProof/>
            <w:webHidden/>
          </w:rPr>
          <w:fldChar w:fldCharType="end"/>
        </w:r>
      </w:hyperlink>
    </w:p>
    <w:p w14:paraId="1C1E0DBC" w14:textId="1E01B7C9"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737" w:history="1">
        <w:r w:rsidR="002C0E50" w:rsidRPr="00C75400">
          <w:rPr>
            <w:rStyle w:val="Hyperlink"/>
            <w:noProof/>
          </w:rPr>
          <w:t>4.1.2.1</w:t>
        </w:r>
        <w:r w:rsidR="002C0E50">
          <w:rPr>
            <w:rFonts w:asciiTheme="minorHAnsi" w:eastAsiaTheme="minorEastAsia" w:hAnsiTheme="minorHAnsi" w:cstheme="minorBidi"/>
            <w:noProof/>
            <w:szCs w:val="24"/>
          </w:rPr>
          <w:tab/>
        </w:r>
        <w:r w:rsidR="002C0E50" w:rsidRPr="00C75400">
          <w:rPr>
            <w:rStyle w:val="Hyperlink"/>
            <w:noProof/>
          </w:rPr>
          <w:t>Indigenous Goats</w:t>
        </w:r>
        <w:r w:rsidR="002C0E50">
          <w:rPr>
            <w:noProof/>
            <w:webHidden/>
          </w:rPr>
          <w:tab/>
        </w:r>
        <w:r w:rsidR="002C0E50">
          <w:rPr>
            <w:noProof/>
            <w:webHidden/>
          </w:rPr>
          <w:fldChar w:fldCharType="begin"/>
        </w:r>
        <w:r w:rsidR="002C0E50">
          <w:rPr>
            <w:noProof/>
            <w:webHidden/>
          </w:rPr>
          <w:instrText xml:space="preserve"> PAGEREF _Toc82385737 \h </w:instrText>
        </w:r>
        <w:r w:rsidR="002C0E50">
          <w:rPr>
            <w:noProof/>
            <w:webHidden/>
          </w:rPr>
        </w:r>
        <w:r w:rsidR="002C0E50">
          <w:rPr>
            <w:noProof/>
            <w:webHidden/>
          </w:rPr>
          <w:fldChar w:fldCharType="separate"/>
        </w:r>
        <w:r w:rsidR="00A15698">
          <w:rPr>
            <w:noProof/>
            <w:webHidden/>
          </w:rPr>
          <w:t>141</w:t>
        </w:r>
        <w:r w:rsidR="002C0E50">
          <w:rPr>
            <w:noProof/>
            <w:webHidden/>
          </w:rPr>
          <w:fldChar w:fldCharType="end"/>
        </w:r>
      </w:hyperlink>
    </w:p>
    <w:p w14:paraId="4801B013" w14:textId="3569E37A"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738" w:history="1">
        <w:r w:rsidR="002C0E50" w:rsidRPr="00C75400">
          <w:rPr>
            <w:rStyle w:val="Hyperlink"/>
            <w:noProof/>
          </w:rPr>
          <w:t>4.1.2.2</w:t>
        </w:r>
        <w:r w:rsidR="002C0E50">
          <w:rPr>
            <w:rFonts w:asciiTheme="minorHAnsi" w:eastAsiaTheme="minorEastAsia" w:hAnsiTheme="minorHAnsi" w:cstheme="minorBidi"/>
            <w:noProof/>
            <w:szCs w:val="24"/>
          </w:rPr>
          <w:tab/>
        </w:r>
        <w:r w:rsidR="002C0E50" w:rsidRPr="00C75400">
          <w:rPr>
            <w:rStyle w:val="Hyperlink"/>
            <w:noProof/>
          </w:rPr>
          <w:t>Improved Goats</w:t>
        </w:r>
        <w:r w:rsidR="002C0E50">
          <w:rPr>
            <w:noProof/>
            <w:webHidden/>
          </w:rPr>
          <w:tab/>
        </w:r>
        <w:r w:rsidR="002C0E50">
          <w:rPr>
            <w:noProof/>
            <w:webHidden/>
          </w:rPr>
          <w:fldChar w:fldCharType="begin"/>
        </w:r>
        <w:r w:rsidR="002C0E50">
          <w:rPr>
            <w:noProof/>
            <w:webHidden/>
          </w:rPr>
          <w:instrText xml:space="preserve"> PAGEREF _Toc82385738 \h </w:instrText>
        </w:r>
        <w:r w:rsidR="002C0E50">
          <w:rPr>
            <w:noProof/>
            <w:webHidden/>
          </w:rPr>
        </w:r>
        <w:r w:rsidR="002C0E50">
          <w:rPr>
            <w:noProof/>
            <w:webHidden/>
          </w:rPr>
          <w:fldChar w:fldCharType="separate"/>
        </w:r>
        <w:r w:rsidR="00A15698">
          <w:rPr>
            <w:noProof/>
            <w:webHidden/>
          </w:rPr>
          <w:t>142</w:t>
        </w:r>
        <w:r w:rsidR="002C0E50">
          <w:rPr>
            <w:noProof/>
            <w:webHidden/>
          </w:rPr>
          <w:fldChar w:fldCharType="end"/>
        </w:r>
      </w:hyperlink>
    </w:p>
    <w:p w14:paraId="03CCAD63" w14:textId="0C45A14C"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739" w:history="1">
        <w:r w:rsidR="002C0E50" w:rsidRPr="00C75400">
          <w:rPr>
            <w:rStyle w:val="Hyperlink"/>
            <w:noProof/>
            <w:lang w:eastAsia="en-GB"/>
          </w:rPr>
          <w:t>4.1.3</w:t>
        </w:r>
        <w:r w:rsidR="002C0E50">
          <w:rPr>
            <w:rFonts w:asciiTheme="minorHAnsi" w:eastAsiaTheme="minorEastAsia" w:hAnsiTheme="minorHAnsi" w:cstheme="minorBidi"/>
            <w:noProof/>
            <w:szCs w:val="24"/>
          </w:rPr>
          <w:tab/>
        </w:r>
        <w:r w:rsidR="002C0E50" w:rsidRPr="00C75400">
          <w:rPr>
            <w:rStyle w:val="Hyperlink"/>
            <w:noProof/>
            <w:lang w:eastAsia="en-GB"/>
          </w:rPr>
          <w:t>Sheep Population</w:t>
        </w:r>
        <w:r w:rsidR="002C0E50">
          <w:rPr>
            <w:noProof/>
            <w:webHidden/>
          </w:rPr>
          <w:tab/>
        </w:r>
        <w:r w:rsidR="002C0E50">
          <w:rPr>
            <w:noProof/>
            <w:webHidden/>
          </w:rPr>
          <w:fldChar w:fldCharType="begin"/>
        </w:r>
        <w:r w:rsidR="002C0E50">
          <w:rPr>
            <w:noProof/>
            <w:webHidden/>
          </w:rPr>
          <w:instrText xml:space="preserve"> PAGEREF _Toc82385739 \h </w:instrText>
        </w:r>
        <w:r w:rsidR="002C0E50">
          <w:rPr>
            <w:noProof/>
            <w:webHidden/>
          </w:rPr>
        </w:r>
        <w:r w:rsidR="002C0E50">
          <w:rPr>
            <w:noProof/>
            <w:webHidden/>
          </w:rPr>
          <w:fldChar w:fldCharType="separate"/>
        </w:r>
        <w:r w:rsidR="00A15698">
          <w:rPr>
            <w:noProof/>
            <w:webHidden/>
          </w:rPr>
          <w:t>143</w:t>
        </w:r>
        <w:r w:rsidR="002C0E50">
          <w:rPr>
            <w:noProof/>
            <w:webHidden/>
          </w:rPr>
          <w:fldChar w:fldCharType="end"/>
        </w:r>
      </w:hyperlink>
    </w:p>
    <w:p w14:paraId="5E245254" w14:textId="2FF69F56"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740" w:history="1">
        <w:r w:rsidR="002C0E50" w:rsidRPr="00C75400">
          <w:rPr>
            <w:rStyle w:val="Hyperlink"/>
            <w:noProof/>
          </w:rPr>
          <w:t>4.1.4</w:t>
        </w:r>
        <w:r w:rsidR="002C0E50">
          <w:rPr>
            <w:rFonts w:asciiTheme="minorHAnsi" w:eastAsiaTheme="minorEastAsia" w:hAnsiTheme="minorHAnsi" w:cstheme="minorBidi"/>
            <w:noProof/>
            <w:szCs w:val="24"/>
          </w:rPr>
          <w:tab/>
        </w:r>
        <w:r w:rsidR="002C0E50" w:rsidRPr="00C75400">
          <w:rPr>
            <w:rStyle w:val="Hyperlink"/>
            <w:noProof/>
          </w:rPr>
          <w:t>Pig Population</w:t>
        </w:r>
        <w:r w:rsidR="002C0E50">
          <w:rPr>
            <w:noProof/>
            <w:webHidden/>
          </w:rPr>
          <w:tab/>
        </w:r>
        <w:r w:rsidR="002C0E50">
          <w:rPr>
            <w:noProof/>
            <w:webHidden/>
          </w:rPr>
          <w:fldChar w:fldCharType="begin"/>
        </w:r>
        <w:r w:rsidR="002C0E50">
          <w:rPr>
            <w:noProof/>
            <w:webHidden/>
          </w:rPr>
          <w:instrText xml:space="preserve"> PAGEREF _Toc82385740 \h </w:instrText>
        </w:r>
        <w:r w:rsidR="002C0E50">
          <w:rPr>
            <w:noProof/>
            <w:webHidden/>
          </w:rPr>
        </w:r>
        <w:r w:rsidR="002C0E50">
          <w:rPr>
            <w:noProof/>
            <w:webHidden/>
          </w:rPr>
          <w:fldChar w:fldCharType="separate"/>
        </w:r>
        <w:r w:rsidR="00A15698">
          <w:rPr>
            <w:noProof/>
            <w:webHidden/>
          </w:rPr>
          <w:t>144</w:t>
        </w:r>
        <w:r w:rsidR="002C0E50">
          <w:rPr>
            <w:noProof/>
            <w:webHidden/>
          </w:rPr>
          <w:fldChar w:fldCharType="end"/>
        </w:r>
      </w:hyperlink>
    </w:p>
    <w:p w14:paraId="32775687" w14:textId="22CDF3AF"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741" w:history="1">
        <w:r w:rsidR="002C0E50" w:rsidRPr="00C75400">
          <w:rPr>
            <w:rStyle w:val="Hyperlink"/>
            <w:noProof/>
          </w:rPr>
          <w:t>4.1.5</w:t>
        </w:r>
        <w:r w:rsidR="002C0E50">
          <w:rPr>
            <w:rFonts w:asciiTheme="minorHAnsi" w:eastAsiaTheme="minorEastAsia" w:hAnsiTheme="minorHAnsi" w:cstheme="minorBidi"/>
            <w:noProof/>
            <w:szCs w:val="24"/>
          </w:rPr>
          <w:tab/>
        </w:r>
        <w:r w:rsidR="002C0E50" w:rsidRPr="00C75400">
          <w:rPr>
            <w:rStyle w:val="Hyperlink"/>
            <w:noProof/>
          </w:rPr>
          <w:t>Chicken Population</w:t>
        </w:r>
        <w:r w:rsidR="002C0E50">
          <w:rPr>
            <w:noProof/>
            <w:webHidden/>
          </w:rPr>
          <w:tab/>
        </w:r>
        <w:r w:rsidR="002C0E50">
          <w:rPr>
            <w:noProof/>
            <w:webHidden/>
          </w:rPr>
          <w:fldChar w:fldCharType="begin"/>
        </w:r>
        <w:r w:rsidR="002C0E50">
          <w:rPr>
            <w:noProof/>
            <w:webHidden/>
          </w:rPr>
          <w:instrText xml:space="preserve"> PAGEREF _Toc82385741 \h </w:instrText>
        </w:r>
        <w:r w:rsidR="002C0E50">
          <w:rPr>
            <w:noProof/>
            <w:webHidden/>
          </w:rPr>
        </w:r>
        <w:r w:rsidR="002C0E50">
          <w:rPr>
            <w:noProof/>
            <w:webHidden/>
          </w:rPr>
          <w:fldChar w:fldCharType="separate"/>
        </w:r>
        <w:r w:rsidR="00A15698">
          <w:rPr>
            <w:noProof/>
            <w:webHidden/>
          </w:rPr>
          <w:t>146</w:t>
        </w:r>
        <w:r w:rsidR="002C0E50">
          <w:rPr>
            <w:noProof/>
            <w:webHidden/>
          </w:rPr>
          <w:fldChar w:fldCharType="end"/>
        </w:r>
      </w:hyperlink>
    </w:p>
    <w:p w14:paraId="273F561B" w14:textId="6C5EE9AF"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742" w:history="1">
        <w:r w:rsidR="002C0E50" w:rsidRPr="00C75400">
          <w:rPr>
            <w:rStyle w:val="Hyperlink"/>
            <w:noProof/>
            <w:lang w:val="en-GB"/>
          </w:rPr>
          <w:t>4.1.5.1</w:t>
        </w:r>
        <w:r w:rsidR="002C0E50">
          <w:rPr>
            <w:rFonts w:asciiTheme="minorHAnsi" w:eastAsiaTheme="minorEastAsia" w:hAnsiTheme="minorHAnsi" w:cstheme="minorBidi"/>
            <w:noProof/>
            <w:szCs w:val="24"/>
          </w:rPr>
          <w:tab/>
        </w:r>
        <w:r w:rsidR="002C0E50" w:rsidRPr="00C75400">
          <w:rPr>
            <w:rStyle w:val="Hyperlink"/>
            <w:noProof/>
            <w:lang w:val="en-GB"/>
          </w:rPr>
          <w:t>Indigenous Chicken Population</w:t>
        </w:r>
        <w:r w:rsidR="002C0E50">
          <w:rPr>
            <w:noProof/>
            <w:webHidden/>
          </w:rPr>
          <w:tab/>
        </w:r>
        <w:r w:rsidR="002C0E50">
          <w:rPr>
            <w:noProof/>
            <w:webHidden/>
          </w:rPr>
          <w:fldChar w:fldCharType="begin"/>
        </w:r>
        <w:r w:rsidR="002C0E50">
          <w:rPr>
            <w:noProof/>
            <w:webHidden/>
          </w:rPr>
          <w:instrText xml:space="preserve"> PAGEREF _Toc82385742 \h </w:instrText>
        </w:r>
        <w:r w:rsidR="002C0E50">
          <w:rPr>
            <w:noProof/>
            <w:webHidden/>
          </w:rPr>
        </w:r>
        <w:r w:rsidR="002C0E50">
          <w:rPr>
            <w:noProof/>
            <w:webHidden/>
          </w:rPr>
          <w:fldChar w:fldCharType="separate"/>
        </w:r>
        <w:r w:rsidR="00A15698">
          <w:rPr>
            <w:noProof/>
            <w:webHidden/>
          </w:rPr>
          <w:t>150</w:t>
        </w:r>
        <w:r w:rsidR="002C0E50">
          <w:rPr>
            <w:noProof/>
            <w:webHidden/>
          </w:rPr>
          <w:fldChar w:fldCharType="end"/>
        </w:r>
      </w:hyperlink>
    </w:p>
    <w:p w14:paraId="43D71436" w14:textId="4AC645E7"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743" w:history="1">
        <w:r w:rsidR="002C0E50" w:rsidRPr="00C75400">
          <w:rPr>
            <w:rStyle w:val="Hyperlink"/>
            <w:noProof/>
          </w:rPr>
          <w:t>4.1.5.2</w:t>
        </w:r>
        <w:r w:rsidR="002C0E50">
          <w:rPr>
            <w:rFonts w:asciiTheme="minorHAnsi" w:eastAsiaTheme="minorEastAsia" w:hAnsiTheme="minorHAnsi" w:cstheme="minorBidi"/>
            <w:noProof/>
            <w:szCs w:val="24"/>
          </w:rPr>
          <w:tab/>
        </w:r>
        <w:r w:rsidR="002C0E50" w:rsidRPr="00C75400">
          <w:rPr>
            <w:rStyle w:val="Hyperlink"/>
            <w:noProof/>
          </w:rPr>
          <w:t>Improved Chicken Population</w:t>
        </w:r>
        <w:r w:rsidR="002C0E50">
          <w:rPr>
            <w:noProof/>
            <w:webHidden/>
          </w:rPr>
          <w:tab/>
        </w:r>
        <w:r w:rsidR="002C0E50">
          <w:rPr>
            <w:noProof/>
            <w:webHidden/>
          </w:rPr>
          <w:fldChar w:fldCharType="begin"/>
        </w:r>
        <w:r w:rsidR="002C0E50">
          <w:rPr>
            <w:noProof/>
            <w:webHidden/>
          </w:rPr>
          <w:instrText xml:space="preserve"> PAGEREF _Toc82385743 \h </w:instrText>
        </w:r>
        <w:r w:rsidR="002C0E50">
          <w:rPr>
            <w:noProof/>
            <w:webHidden/>
          </w:rPr>
        </w:r>
        <w:r w:rsidR="002C0E50">
          <w:rPr>
            <w:noProof/>
            <w:webHidden/>
          </w:rPr>
          <w:fldChar w:fldCharType="separate"/>
        </w:r>
        <w:r w:rsidR="00A15698">
          <w:rPr>
            <w:noProof/>
            <w:webHidden/>
          </w:rPr>
          <w:t>152</w:t>
        </w:r>
        <w:r w:rsidR="002C0E50">
          <w:rPr>
            <w:noProof/>
            <w:webHidden/>
          </w:rPr>
          <w:fldChar w:fldCharType="end"/>
        </w:r>
      </w:hyperlink>
    </w:p>
    <w:p w14:paraId="2D2F439E" w14:textId="17257DDE"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744" w:history="1">
        <w:r w:rsidR="002C0E50" w:rsidRPr="00C75400">
          <w:rPr>
            <w:rStyle w:val="Hyperlink"/>
            <w:noProof/>
          </w:rPr>
          <w:t>4.1.6</w:t>
        </w:r>
        <w:r w:rsidR="002C0E50">
          <w:rPr>
            <w:rFonts w:asciiTheme="minorHAnsi" w:eastAsiaTheme="minorEastAsia" w:hAnsiTheme="minorHAnsi" w:cstheme="minorBidi"/>
            <w:noProof/>
            <w:szCs w:val="24"/>
          </w:rPr>
          <w:tab/>
        </w:r>
        <w:r w:rsidR="002C0E50" w:rsidRPr="00C75400">
          <w:rPr>
            <w:rStyle w:val="Hyperlink"/>
            <w:noProof/>
          </w:rPr>
          <w:t>Other Poultry</w:t>
        </w:r>
        <w:r w:rsidR="002C0E50">
          <w:rPr>
            <w:noProof/>
            <w:webHidden/>
          </w:rPr>
          <w:tab/>
        </w:r>
        <w:r w:rsidR="002C0E50">
          <w:rPr>
            <w:noProof/>
            <w:webHidden/>
          </w:rPr>
          <w:fldChar w:fldCharType="begin"/>
        </w:r>
        <w:r w:rsidR="002C0E50">
          <w:rPr>
            <w:noProof/>
            <w:webHidden/>
          </w:rPr>
          <w:instrText xml:space="preserve"> PAGEREF _Toc82385744 \h </w:instrText>
        </w:r>
        <w:r w:rsidR="002C0E50">
          <w:rPr>
            <w:noProof/>
            <w:webHidden/>
          </w:rPr>
        </w:r>
        <w:r w:rsidR="002C0E50">
          <w:rPr>
            <w:noProof/>
            <w:webHidden/>
          </w:rPr>
          <w:fldChar w:fldCharType="separate"/>
        </w:r>
        <w:r w:rsidR="00A15698">
          <w:rPr>
            <w:noProof/>
            <w:webHidden/>
          </w:rPr>
          <w:t>155</w:t>
        </w:r>
        <w:r w:rsidR="002C0E50">
          <w:rPr>
            <w:noProof/>
            <w:webHidden/>
          </w:rPr>
          <w:fldChar w:fldCharType="end"/>
        </w:r>
      </w:hyperlink>
    </w:p>
    <w:p w14:paraId="0941E2BD" w14:textId="6E5A8B9C"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745" w:history="1">
        <w:r w:rsidR="002C0E50" w:rsidRPr="00C75400">
          <w:rPr>
            <w:rStyle w:val="Hyperlink"/>
            <w:noProof/>
            <w:lang w:val="en-GB"/>
          </w:rPr>
          <w:t>4.1.7</w:t>
        </w:r>
        <w:r w:rsidR="002C0E50">
          <w:rPr>
            <w:rFonts w:asciiTheme="minorHAnsi" w:eastAsiaTheme="minorEastAsia" w:hAnsiTheme="minorHAnsi" w:cstheme="minorBidi"/>
            <w:noProof/>
            <w:szCs w:val="24"/>
          </w:rPr>
          <w:tab/>
        </w:r>
        <w:r w:rsidR="002C0E50" w:rsidRPr="00C75400">
          <w:rPr>
            <w:rStyle w:val="Hyperlink"/>
            <w:noProof/>
            <w:lang w:val="en-GB"/>
          </w:rPr>
          <w:t>Other Livestock Population</w:t>
        </w:r>
        <w:r w:rsidR="002C0E50">
          <w:rPr>
            <w:noProof/>
            <w:webHidden/>
          </w:rPr>
          <w:tab/>
        </w:r>
        <w:r w:rsidR="002C0E50">
          <w:rPr>
            <w:noProof/>
            <w:webHidden/>
          </w:rPr>
          <w:fldChar w:fldCharType="begin"/>
        </w:r>
        <w:r w:rsidR="002C0E50">
          <w:rPr>
            <w:noProof/>
            <w:webHidden/>
          </w:rPr>
          <w:instrText xml:space="preserve"> PAGEREF _Toc82385745 \h </w:instrText>
        </w:r>
        <w:r w:rsidR="002C0E50">
          <w:rPr>
            <w:noProof/>
            <w:webHidden/>
          </w:rPr>
        </w:r>
        <w:r w:rsidR="002C0E50">
          <w:rPr>
            <w:noProof/>
            <w:webHidden/>
          </w:rPr>
          <w:fldChar w:fldCharType="separate"/>
        </w:r>
        <w:r w:rsidR="00A15698">
          <w:rPr>
            <w:noProof/>
            <w:webHidden/>
          </w:rPr>
          <w:t>157</w:t>
        </w:r>
        <w:r w:rsidR="002C0E50">
          <w:rPr>
            <w:noProof/>
            <w:webHidden/>
          </w:rPr>
          <w:fldChar w:fldCharType="end"/>
        </w:r>
      </w:hyperlink>
    </w:p>
    <w:p w14:paraId="3FA41413" w14:textId="0BCF3A94" w:rsidR="002C0E50" w:rsidRDefault="00E909AE" w:rsidP="002C0E50">
      <w:pPr>
        <w:pStyle w:val="TOC2"/>
        <w:rPr>
          <w:rFonts w:asciiTheme="minorHAnsi" w:eastAsiaTheme="minorEastAsia" w:hAnsiTheme="minorHAnsi" w:cstheme="minorBidi"/>
          <w:noProof/>
          <w:szCs w:val="24"/>
        </w:rPr>
      </w:pPr>
      <w:hyperlink w:anchor="_Toc82385746" w:history="1">
        <w:r w:rsidR="002C0E50" w:rsidRPr="00C75400">
          <w:rPr>
            <w:rStyle w:val="Hyperlink"/>
            <w:noProof/>
          </w:rPr>
          <w:t>4.2</w:t>
        </w:r>
        <w:r w:rsidR="002C0E50">
          <w:rPr>
            <w:rFonts w:asciiTheme="minorHAnsi" w:eastAsiaTheme="minorEastAsia" w:hAnsiTheme="minorHAnsi" w:cstheme="minorBidi"/>
            <w:noProof/>
            <w:szCs w:val="24"/>
          </w:rPr>
          <w:tab/>
        </w:r>
        <w:r w:rsidR="002C0E50" w:rsidRPr="00C75400">
          <w:rPr>
            <w:rStyle w:val="Hyperlink"/>
            <w:noProof/>
          </w:rPr>
          <w:t>Method of Cattle Identification</w:t>
        </w:r>
        <w:r w:rsidR="002C0E50">
          <w:rPr>
            <w:noProof/>
            <w:webHidden/>
          </w:rPr>
          <w:tab/>
        </w:r>
        <w:r w:rsidR="002C0E50">
          <w:rPr>
            <w:noProof/>
            <w:webHidden/>
          </w:rPr>
          <w:fldChar w:fldCharType="begin"/>
        </w:r>
        <w:r w:rsidR="002C0E50">
          <w:rPr>
            <w:noProof/>
            <w:webHidden/>
          </w:rPr>
          <w:instrText xml:space="preserve"> PAGEREF _Toc82385746 \h </w:instrText>
        </w:r>
        <w:r w:rsidR="002C0E50">
          <w:rPr>
            <w:noProof/>
            <w:webHidden/>
          </w:rPr>
        </w:r>
        <w:r w:rsidR="002C0E50">
          <w:rPr>
            <w:noProof/>
            <w:webHidden/>
          </w:rPr>
          <w:fldChar w:fldCharType="separate"/>
        </w:r>
        <w:r w:rsidR="00A15698">
          <w:rPr>
            <w:noProof/>
            <w:webHidden/>
          </w:rPr>
          <w:t>160</w:t>
        </w:r>
        <w:r w:rsidR="002C0E50">
          <w:rPr>
            <w:noProof/>
            <w:webHidden/>
          </w:rPr>
          <w:fldChar w:fldCharType="end"/>
        </w:r>
      </w:hyperlink>
    </w:p>
    <w:p w14:paraId="14A2E536" w14:textId="2CDC8CA3" w:rsidR="002C0E50" w:rsidRDefault="00E909AE" w:rsidP="002C0E50">
      <w:pPr>
        <w:pStyle w:val="TOC2"/>
        <w:rPr>
          <w:rFonts w:asciiTheme="minorHAnsi" w:eastAsiaTheme="minorEastAsia" w:hAnsiTheme="minorHAnsi" w:cstheme="minorBidi"/>
          <w:noProof/>
          <w:szCs w:val="24"/>
        </w:rPr>
      </w:pPr>
      <w:hyperlink w:anchor="_Toc82385747" w:history="1">
        <w:r w:rsidR="002C0E50" w:rsidRPr="00C75400">
          <w:rPr>
            <w:rStyle w:val="Hyperlink"/>
            <w:noProof/>
          </w:rPr>
          <w:t>4.3</w:t>
        </w:r>
        <w:r w:rsidR="002C0E50">
          <w:rPr>
            <w:rFonts w:asciiTheme="minorHAnsi" w:eastAsiaTheme="minorEastAsia" w:hAnsiTheme="minorHAnsi" w:cstheme="minorBidi"/>
            <w:noProof/>
            <w:szCs w:val="24"/>
          </w:rPr>
          <w:tab/>
        </w:r>
        <w:r w:rsidR="002C0E50" w:rsidRPr="00C75400">
          <w:rPr>
            <w:rStyle w:val="Hyperlink"/>
            <w:noProof/>
          </w:rPr>
          <w:t>Livestock and Poultry Products</w:t>
        </w:r>
        <w:r w:rsidR="002C0E50">
          <w:rPr>
            <w:noProof/>
            <w:webHidden/>
          </w:rPr>
          <w:tab/>
        </w:r>
        <w:r w:rsidR="002C0E50">
          <w:rPr>
            <w:noProof/>
            <w:webHidden/>
          </w:rPr>
          <w:fldChar w:fldCharType="begin"/>
        </w:r>
        <w:r w:rsidR="002C0E50">
          <w:rPr>
            <w:noProof/>
            <w:webHidden/>
          </w:rPr>
          <w:instrText xml:space="preserve"> PAGEREF _Toc82385747 \h </w:instrText>
        </w:r>
        <w:r w:rsidR="002C0E50">
          <w:rPr>
            <w:noProof/>
            <w:webHidden/>
          </w:rPr>
        </w:r>
        <w:r w:rsidR="002C0E50">
          <w:rPr>
            <w:noProof/>
            <w:webHidden/>
          </w:rPr>
          <w:fldChar w:fldCharType="separate"/>
        </w:r>
        <w:r w:rsidR="00A15698">
          <w:rPr>
            <w:noProof/>
            <w:webHidden/>
          </w:rPr>
          <w:t>161</w:t>
        </w:r>
        <w:r w:rsidR="002C0E50">
          <w:rPr>
            <w:noProof/>
            <w:webHidden/>
          </w:rPr>
          <w:fldChar w:fldCharType="end"/>
        </w:r>
      </w:hyperlink>
    </w:p>
    <w:p w14:paraId="484006F5" w14:textId="7FAF8D01"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748" w:history="1">
        <w:r w:rsidR="002C0E50" w:rsidRPr="00C75400">
          <w:rPr>
            <w:rStyle w:val="Hyperlink"/>
            <w:noProof/>
          </w:rPr>
          <w:t>4.3.1</w:t>
        </w:r>
        <w:r w:rsidR="002C0E50">
          <w:rPr>
            <w:rFonts w:asciiTheme="minorHAnsi" w:eastAsiaTheme="minorEastAsia" w:hAnsiTheme="minorHAnsi" w:cstheme="minorBidi"/>
            <w:noProof/>
            <w:szCs w:val="24"/>
          </w:rPr>
          <w:tab/>
        </w:r>
        <w:r w:rsidR="002C0E50" w:rsidRPr="00C75400">
          <w:rPr>
            <w:rStyle w:val="Hyperlink"/>
            <w:noProof/>
          </w:rPr>
          <w:t>Milk Production</w:t>
        </w:r>
        <w:r w:rsidR="002C0E50">
          <w:rPr>
            <w:noProof/>
            <w:webHidden/>
          </w:rPr>
          <w:tab/>
        </w:r>
        <w:r w:rsidR="002C0E50">
          <w:rPr>
            <w:noProof/>
            <w:webHidden/>
          </w:rPr>
          <w:fldChar w:fldCharType="begin"/>
        </w:r>
        <w:r w:rsidR="002C0E50">
          <w:rPr>
            <w:noProof/>
            <w:webHidden/>
          </w:rPr>
          <w:instrText xml:space="preserve"> PAGEREF _Toc82385748 \h </w:instrText>
        </w:r>
        <w:r w:rsidR="002C0E50">
          <w:rPr>
            <w:noProof/>
            <w:webHidden/>
          </w:rPr>
        </w:r>
        <w:r w:rsidR="002C0E50">
          <w:rPr>
            <w:noProof/>
            <w:webHidden/>
          </w:rPr>
          <w:fldChar w:fldCharType="separate"/>
        </w:r>
        <w:r w:rsidR="00A15698">
          <w:rPr>
            <w:noProof/>
            <w:webHidden/>
          </w:rPr>
          <w:t>161</w:t>
        </w:r>
        <w:r w:rsidR="002C0E50">
          <w:rPr>
            <w:noProof/>
            <w:webHidden/>
          </w:rPr>
          <w:fldChar w:fldCharType="end"/>
        </w:r>
      </w:hyperlink>
    </w:p>
    <w:p w14:paraId="5B57C3A3" w14:textId="73679961"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749" w:history="1">
        <w:r w:rsidR="002C0E50" w:rsidRPr="00C75400">
          <w:rPr>
            <w:rStyle w:val="Hyperlink"/>
            <w:noProof/>
          </w:rPr>
          <w:t>4.3.2</w:t>
        </w:r>
        <w:r w:rsidR="002C0E50">
          <w:rPr>
            <w:rFonts w:asciiTheme="minorHAnsi" w:eastAsiaTheme="minorEastAsia" w:hAnsiTheme="minorHAnsi" w:cstheme="minorBidi"/>
            <w:noProof/>
            <w:szCs w:val="24"/>
          </w:rPr>
          <w:tab/>
        </w:r>
        <w:r w:rsidR="002C0E50" w:rsidRPr="00C75400">
          <w:rPr>
            <w:rStyle w:val="Hyperlink"/>
            <w:noProof/>
          </w:rPr>
          <w:t>Chicken Eggs Production</w:t>
        </w:r>
        <w:r w:rsidR="002C0E50">
          <w:rPr>
            <w:noProof/>
            <w:webHidden/>
          </w:rPr>
          <w:tab/>
        </w:r>
        <w:r w:rsidR="002C0E50">
          <w:rPr>
            <w:noProof/>
            <w:webHidden/>
          </w:rPr>
          <w:fldChar w:fldCharType="begin"/>
        </w:r>
        <w:r w:rsidR="002C0E50">
          <w:rPr>
            <w:noProof/>
            <w:webHidden/>
          </w:rPr>
          <w:instrText xml:space="preserve"> PAGEREF _Toc82385749 \h </w:instrText>
        </w:r>
        <w:r w:rsidR="002C0E50">
          <w:rPr>
            <w:noProof/>
            <w:webHidden/>
          </w:rPr>
        </w:r>
        <w:r w:rsidR="002C0E50">
          <w:rPr>
            <w:noProof/>
            <w:webHidden/>
          </w:rPr>
          <w:fldChar w:fldCharType="separate"/>
        </w:r>
        <w:r w:rsidR="00A15698">
          <w:rPr>
            <w:noProof/>
            <w:webHidden/>
          </w:rPr>
          <w:t>166</w:t>
        </w:r>
        <w:r w:rsidR="002C0E50">
          <w:rPr>
            <w:noProof/>
            <w:webHidden/>
          </w:rPr>
          <w:fldChar w:fldCharType="end"/>
        </w:r>
      </w:hyperlink>
    </w:p>
    <w:p w14:paraId="50F92DDD" w14:textId="49A6C809"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750" w:history="1">
        <w:r w:rsidR="002C0E50" w:rsidRPr="00C75400">
          <w:rPr>
            <w:rStyle w:val="Hyperlink"/>
            <w:noProof/>
          </w:rPr>
          <w:t>4.3.3</w:t>
        </w:r>
        <w:r w:rsidR="002C0E50">
          <w:rPr>
            <w:rFonts w:asciiTheme="minorHAnsi" w:eastAsiaTheme="minorEastAsia" w:hAnsiTheme="minorHAnsi" w:cstheme="minorBidi"/>
            <w:noProof/>
            <w:szCs w:val="24"/>
          </w:rPr>
          <w:tab/>
        </w:r>
        <w:r w:rsidR="002C0E50" w:rsidRPr="00C75400">
          <w:rPr>
            <w:rStyle w:val="Hyperlink"/>
            <w:noProof/>
          </w:rPr>
          <w:t>Hides and Skins</w:t>
        </w:r>
        <w:r w:rsidR="002C0E50">
          <w:rPr>
            <w:noProof/>
            <w:webHidden/>
          </w:rPr>
          <w:tab/>
        </w:r>
        <w:r w:rsidR="002C0E50">
          <w:rPr>
            <w:noProof/>
            <w:webHidden/>
          </w:rPr>
          <w:fldChar w:fldCharType="begin"/>
        </w:r>
        <w:r w:rsidR="002C0E50">
          <w:rPr>
            <w:noProof/>
            <w:webHidden/>
          </w:rPr>
          <w:instrText xml:space="preserve"> PAGEREF _Toc82385750 \h </w:instrText>
        </w:r>
        <w:r w:rsidR="002C0E50">
          <w:rPr>
            <w:noProof/>
            <w:webHidden/>
          </w:rPr>
        </w:r>
        <w:r w:rsidR="002C0E50">
          <w:rPr>
            <w:noProof/>
            <w:webHidden/>
          </w:rPr>
          <w:fldChar w:fldCharType="separate"/>
        </w:r>
        <w:r w:rsidR="00A15698">
          <w:rPr>
            <w:noProof/>
            <w:webHidden/>
          </w:rPr>
          <w:t>168</w:t>
        </w:r>
        <w:r w:rsidR="002C0E50">
          <w:rPr>
            <w:noProof/>
            <w:webHidden/>
          </w:rPr>
          <w:fldChar w:fldCharType="end"/>
        </w:r>
      </w:hyperlink>
    </w:p>
    <w:p w14:paraId="02615579" w14:textId="3A3B1DC4" w:rsidR="002C0E50" w:rsidRDefault="00E909AE" w:rsidP="002C0E50">
      <w:pPr>
        <w:pStyle w:val="TOC2"/>
        <w:rPr>
          <w:rFonts w:asciiTheme="minorHAnsi" w:eastAsiaTheme="minorEastAsia" w:hAnsiTheme="minorHAnsi" w:cstheme="minorBidi"/>
          <w:noProof/>
          <w:szCs w:val="24"/>
        </w:rPr>
      </w:pPr>
      <w:hyperlink w:anchor="_Toc82385751" w:history="1">
        <w:r w:rsidR="002C0E50" w:rsidRPr="00C75400">
          <w:rPr>
            <w:rStyle w:val="Hyperlink"/>
            <w:noProof/>
          </w:rPr>
          <w:t>4.4</w:t>
        </w:r>
        <w:r w:rsidR="002C0E50">
          <w:rPr>
            <w:rFonts w:asciiTheme="minorHAnsi" w:eastAsiaTheme="minorEastAsia" w:hAnsiTheme="minorHAnsi" w:cstheme="minorBidi"/>
            <w:noProof/>
            <w:szCs w:val="24"/>
          </w:rPr>
          <w:tab/>
        </w:r>
        <w:r w:rsidR="002C0E50" w:rsidRPr="00C75400">
          <w:rPr>
            <w:rStyle w:val="Hyperlink"/>
            <w:noProof/>
          </w:rPr>
          <w:t>Outlet for Sales of Livestock and Livestock Product</w:t>
        </w:r>
        <w:r w:rsidR="002C0E50">
          <w:rPr>
            <w:noProof/>
            <w:webHidden/>
          </w:rPr>
          <w:tab/>
        </w:r>
        <w:r w:rsidR="002C0E50">
          <w:rPr>
            <w:noProof/>
            <w:webHidden/>
          </w:rPr>
          <w:fldChar w:fldCharType="begin"/>
        </w:r>
        <w:r w:rsidR="002C0E50">
          <w:rPr>
            <w:noProof/>
            <w:webHidden/>
          </w:rPr>
          <w:instrText xml:space="preserve"> PAGEREF _Toc82385751 \h </w:instrText>
        </w:r>
        <w:r w:rsidR="002C0E50">
          <w:rPr>
            <w:noProof/>
            <w:webHidden/>
          </w:rPr>
        </w:r>
        <w:r w:rsidR="002C0E50">
          <w:rPr>
            <w:noProof/>
            <w:webHidden/>
          </w:rPr>
          <w:fldChar w:fldCharType="separate"/>
        </w:r>
        <w:r w:rsidR="00A15698">
          <w:rPr>
            <w:noProof/>
            <w:webHidden/>
          </w:rPr>
          <w:t>169</w:t>
        </w:r>
        <w:r w:rsidR="002C0E50">
          <w:rPr>
            <w:noProof/>
            <w:webHidden/>
          </w:rPr>
          <w:fldChar w:fldCharType="end"/>
        </w:r>
      </w:hyperlink>
    </w:p>
    <w:p w14:paraId="6B18C2CB" w14:textId="3AAE7433"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752" w:history="1">
        <w:r w:rsidR="002C0E50" w:rsidRPr="00C75400">
          <w:rPr>
            <w:rStyle w:val="Hyperlink"/>
            <w:noProof/>
          </w:rPr>
          <w:t>4.4.1</w:t>
        </w:r>
        <w:r w:rsidR="002C0E50">
          <w:rPr>
            <w:rFonts w:asciiTheme="minorHAnsi" w:eastAsiaTheme="minorEastAsia" w:hAnsiTheme="minorHAnsi" w:cstheme="minorBidi"/>
            <w:noProof/>
            <w:szCs w:val="24"/>
          </w:rPr>
          <w:tab/>
        </w:r>
        <w:r w:rsidR="002C0E50" w:rsidRPr="00C75400">
          <w:rPr>
            <w:rStyle w:val="Hyperlink"/>
            <w:noProof/>
          </w:rPr>
          <w:t>Cattle Outlets</w:t>
        </w:r>
        <w:r w:rsidR="002C0E50">
          <w:rPr>
            <w:noProof/>
            <w:webHidden/>
          </w:rPr>
          <w:tab/>
        </w:r>
        <w:r w:rsidR="002C0E50">
          <w:rPr>
            <w:noProof/>
            <w:webHidden/>
          </w:rPr>
          <w:fldChar w:fldCharType="begin"/>
        </w:r>
        <w:r w:rsidR="002C0E50">
          <w:rPr>
            <w:noProof/>
            <w:webHidden/>
          </w:rPr>
          <w:instrText xml:space="preserve"> PAGEREF _Toc82385752 \h </w:instrText>
        </w:r>
        <w:r w:rsidR="002C0E50">
          <w:rPr>
            <w:noProof/>
            <w:webHidden/>
          </w:rPr>
        </w:r>
        <w:r w:rsidR="002C0E50">
          <w:rPr>
            <w:noProof/>
            <w:webHidden/>
          </w:rPr>
          <w:fldChar w:fldCharType="separate"/>
        </w:r>
        <w:r w:rsidR="00A15698">
          <w:rPr>
            <w:noProof/>
            <w:webHidden/>
          </w:rPr>
          <w:t>169</w:t>
        </w:r>
        <w:r w:rsidR="002C0E50">
          <w:rPr>
            <w:noProof/>
            <w:webHidden/>
          </w:rPr>
          <w:fldChar w:fldCharType="end"/>
        </w:r>
      </w:hyperlink>
    </w:p>
    <w:p w14:paraId="2FF5DCA9" w14:textId="64F7F7AD"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753" w:history="1">
        <w:r w:rsidR="002C0E50" w:rsidRPr="00C75400">
          <w:rPr>
            <w:rStyle w:val="Hyperlink"/>
            <w:noProof/>
          </w:rPr>
          <w:t>4.5.2</w:t>
        </w:r>
        <w:r w:rsidR="002C0E50">
          <w:rPr>
            <w:rFonts w:asciiTheme="minorHAnsi" w:eastAsiaTheme="minorEastAsia" w:hAnsiTheme="minorHAnsi" w:cstheme="minorBidi"/>
            <w:noProof/>
            <w:szCs w:val="24"/>
          </w:rPr>
          <w:tab/>
        </w:r>
        <w:r w:rsidR="002C0E50" w:rsidRPr="00C75400">
          <w:rPr>
            <w:rStyle w:val="Hyperlink"/>
            <w:noProof/>
          </w:rPr>
          <w:t>Goats Outlets</w:t>
        </w:r>
        <w:r w:rsidR="002C0E50">
          <w:rPr>
            <w:noProof/>
            <w:webHidden/>
          </w:rPr>
          <w:tab/>
        </w:r>
        <w:r w:rsidR="002C0E50">
          <w:rPr>
            <w:noProof/>
            <w:webHidden/>
          </w:rPr>
          <w:fldChar w:fldCharType="begin"/>
        </w:r>
        <w:r w:rsidR="002C0E50">
          <w:rPr>
            <w:noProof/>
            <w:webHidden/>
          </w:rPr>
          <w:instrText xml:space="preserve"> PAGEREF _Toc82385753 \h </w:instrText>
        </w:r>
        <w:r w:rsidR="002C0E50">
          <w:rPr>
            <w:noProof/>
            <w:webHidden/>
          </w:rPr>
        </w:r>
        <w:r w:rsidR="002C0E50">
          <w:rPr>
            <w:noProof/>
            <w:webHidden/>
          </w:rPr>
          <w:fldChar w:fldCharType="separate"/>
        </w:r>
        <w:r w:rsidR="00A15698">
          <w:rPr>
            <w:noProof/>
            <w:webHidden/>
          </w:rPr>
          <w:t>170</w:t>
        </w:r>
        <w:r w:rsidR="002C0E50">
          <w:rPr>
            <w:noProof/>
            <w:webHidden/>
          </w:rPr>
          <w:fldChar w:fldCharType="end"/>
        </w:r>
      </w:hyperlink>
    </w:p>
    <w:p w14:paraId="061F13FE" w14:textId="5B7EE52B"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754" w:history="1">
        <w:r w:rsidR="002C0E50" w:rsidRPr="00C75400">
          <w:rPr>
            <w:rStyle w:val="Hyperlink"/>
            <w:noProof/>
          </w:rPr>
          <w:t>4.4.3</w:t>
        </w:r>
        <w:r w:rsidR="002C0E50">
          <w:rPr>
            <w:rFonts w:asciiTheme="minorHAnsi" w:eastAsiaTheme="minorEastAsia" w:hAnsiTheme="minorHAnsi" w:cstheme="minorBidi"/>
            <w:noProof/>
            <w:szCs w:val="24"/>
          </w:rPr>
          <w:tab/>
        </w:r>
        <w:r w:rsidR="002C0E50" w:rsidRPr="00C75400">
          <w:rPr>
            <w:rStyle w:val="Hyperlink"/>
            <w:noProof/>
          </w:rPr>
          <w:t>Chicken Outlets</w:t>
        </w:r>
        <w:r w:rsidR="002C0E50">
          <w:rPr>
            <w:noProof/>
            <w:webHidden/>
          </w:rPr>
          <w:tab/>
        </w:r>
        <w:r w:rsidR="002C0E50">
          <w:rPr>
            <w:noProof/>
            <w:webHidden/>
          </w:rPr>
          <w:fldChar w:fldCharType="begin"/>
        </w:r>
        <w:r w:rsidR="002C0E50">
          <w:rPr>
            <w:noProof/>
            <w:webHidden/>
          </w:rPr>
          <w:instrText xml:space="preserve"> PAGEREF _Toc82385754 \h </w:instrText>
        </w:r>
        <w:r w:rsidR="002C0E50">
          <w:rPr>
            <w:noProof/>
            <w:webHidden/>
          </w:rPr>
        </w:r>
        <w:r w:rsidR="002C0E50">
          <w:rPr>
            <w:noProof/>
            <w:webHidden/>
          </w:rPr>
          <w:fldChar w:fldCharType="separate"/>
        </w:r>
        <w:r w:rsidR="00A15698">
          <w:rPr>
            <w:noProof/>
            <w:webHidden/>
          </w:rPr>
          <w:t>170</w:t>
        </w:r>
        <w:r w:rsidR="002C0E50">
          <w:rPr>
            <w:noProof/>
            <w:webHidden/>
          </w:rPr>
          <w:fldChar w:fldCharType="end"/>
        </w:r>
      </w:hyperlink>
    </w:p>
    <w:p w14:paraId="714EAD85" w14:textId="2FCD22D7"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755" w:history="1">
        <w:r w:rsidR="002C0E50" w:rsidRPr="00C75400">
          <w:rPr>
            <w:rStyle w:val="Hyperlink"/>
            <w:noProof/>
          </w:rPr>
          <w:t>4.4.4</w:t>
        </w:r>
        <w:r w:rsidR="002C0E50">
          <w:rPr>
            <w:rFonts w:asciiTheme="minorHAnsi" w:eastAsiaTheme="minorEastAsia" w:hAnsiTheme="minorHAnsi" w:cstheme="minorBidi"/>
            <w:noProof/>
            <w:szCs w:val="24"/>
          </w:rPr>
          <w:tab/>
        </w:r>
        <w:r w:rsidR="002C0E50" w:rsidRPr="00C75400">
          <w:rPr>
            <w:rStyle w:val="Hyperlink"/>
            <w:noProof/>
          </w:rPr>
          <w:t>Milk Outlets</w:t>
        </w:r>
        <w:r w:rsidR="002C0E50">
          <w:rPr>
            <w:noProof/>
            <w:webHidden/>
          </w:rPr>
          <w:tab/>
        </w:r>
        <w:r w:rsidR="002C0E50">
          <w:rPr>
            <w:noProof/>
            <w:webHidden/>
          </w:rPr>
          <w:fldChar w:fldCharType="begin"/>
        </w:r>
        <w:r w:rsidR="002C0E50">
          <w:rPr>
            <w:noProof/>
            <w:webHidden/>
          </w:rPr>
          <w:instrText xml:space="preserve"> PAGEREF _Toc82385755 \h </w:instrText>
        </w:r>
        <w:r w:rsidR="002C0E50">
          <w:rPr>
            <w:noProof/>
            <w:webHidden/>
          </w:rPr>
        </w:r>
        <w:r w:rsidR="002C0E50">
          <w:rPr>
            <w:noProof/>
            <w:webHidden/>
          </w:rPr>
          <w:fldChar w:fldCharType="separate"/>
        </w:r>
        <w:r w:rsidR="00A15698">
          <w:rPr>
            <w:noProof/>
            <w:webHidden/>
          </w:rPr>
          <w:t>171</w:t>
        </w:r>
        <w:r w:rsidR="002C0E50">
          <w:rPr>
            <w:noProof/>
            <w:webHidden/>
          </w:rPr>
          <w:fldChar w:fldCharType="end"/>
        </w:r>
      </w:hyperlink>
    </w:p>
    <w:p w14:paraId="7263B4A2" w14:textId="02DB591E" w:rsidR="002C0E50" w:rsidRDefault="00E909AE" w:rsidP="002C0E50">
      <w:pPr>
        <w:pStyle w:val="TOC2"/>
        <w:rPr>
          <w:rFonts w:asciiTheme="minorHAnsi" w:eastAsiaTheme="minorEastAsia" w:hAnsiTheme="minorHAnsi" w:cstheme="minorBidi"/>
          <w:noProof/>
          <w:szCs w:val="24"/>
        </w:rPr>
      </w:pPr>
      <w:hyperlink w:anchor="_Toc82385756" w:history="1">
        <w:r w:rsidR="002C0E50" w:rsidRPr="00C75400">
          <w:rPr>
            <w:rStyle w:val="Hyperlink"/>
            <w:noProof/>
          </w:rPr>
          <w:t>4.5</w:t>
        </w:r>
        <w:r w:rsidR="002C0E50">
          <w:rPr>
            <w:rFonts w:asciiTheme="minorHAnsi" w:eastAsiaTheme="minorEastAsia" w:hAnsiTheme="minorHAnsi" w:cstheme="minorBidi"/>
            <w:noProof/>
            <w:szCs w:val="24"/>
          </w:rPr>
          <w:tab/>
        </w:r>
        <w:r w:rsidR="002C0E50" w:rsidRPr="00C75400">
          <w:rPr>
            <w:rStyle w:val="Hyperlink"/>
            <w:noProof/>
          </w:rPr>
          <w:t>Livestock Pests and Parasites Control</w:t>
        </w:r>
        <w:r w:rsidR="002C0E50">
          <w:rPr>
            <w:noProof/>
            <w:webHidden/>
          </w:rPr>
          <w:tab/>
        </w:r>
        <w:r w:rsidR="002C0E50">
          <w:rPr>
            <w:noProof/>
            <w:webHidden/>
          </w:rPr>
          <w:fldChar w:fldCharType="begin"/>
        </w:r>
        <w:r w:rsidR="002C0E50">
          <w:rPr>
            <w:noProof/>
            <w:webHidden/>
          </w:rPr>
          <w:instrText xml:space="preserve"> PAGEREF _Toc82385756 \h </w:instrText>
        </w:r>
        <w:r w:rsidR="002C0E50">
          <w:rPr>
            <w:noProof/>
            <w:webHidden/>
          </w:rPr>
        </w:r>
        <w:r w:rsidR="002C0E50">
          <w:rPr>
            <w:noProof/>
            <w:webHidden/>
          </w:rPr>
          <w:fldChar w:fldCharType="separate"/>
        </w:r>
        <w:r w:rsidR="00A15698">
          <w:rPr>
            <w:noProof/>
            <w:webHidden/>
          </w:rPr>
          <w:t>172</w:t>
        </w:r>
        <w:r w:rsidR="002C0E50">
          <w:rPr>
            <w:noProof/>
            <w:webHidden/>
          </w:rPr>
          <w:fldChar w:fldCharType="end"/>
        </w:r>
      </w:hyperlink>
    </w:p>
    <w:p w14:paraId="7615ABA6" w14:textId="1244501B"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757" w:history="1">
        <w:r w:rsidR="002C0E50" w:rsidRPr="00C75400">
          <w:rPr>
            <w:rStyle w:val="Hyperlink"/>
            <w:noProof/>
          </w:rPr>
          <w:t>4.5.1</w:t>
        </w:r>
        <w:r w:rsidR="002C0E50">
          <w:rPr>
            <w:rFonts w:asciiTheme="minorHAnsi" w:eastAsiaTheme="minorEastAsia" w:hAnsiTheme="minorHAnsi" w:cstheme="minorBidi"/>
            <w:noProof/>
            <w:szCs w:val="24"/>
          </w:rPr>
          <w:tab/>
        </w:r>
        <w:r w:rsidR="002C0E50" w:rsidRPr="00C75400">
          <w:rPr>
            <w:rStyle w:val="Hyperlink"/>
            <w:noProof/>
            <w:spacing w:val="-3"/>
          </w:rPr>
          <w:t>Common</w:t>
        </w:r>
        <w:r w:rsidR="002C0E50" w:rsidRPr="00C75400">
          <w:rPr>
            <w:rStyle w:val="Hyperlink"/>
            <w:noProof/>
          </w:rPr>
          <w:t xml:space="preserve"> Livestock Diseases</w:t>
        </w:r>
        <w:r w:rsidR="002C0E50">
          <w:rPr>
            <w:noProof/>
            <w:webHidden/>
          </w:rPr>
          <w:tab/>
        </w:r>
        <w:r w:rsidR="002C0E50">
          <w:rPr>
            <w:noProof/>
            <w:webHidden/>
          </w:rPr>
          <w:fldChar w:fldCharType="begin"/>
        </w:r>
        <w:r w:rsidR="002C0E50">
          <w:rPr>
            <w:noProof/>
            <w:webHidden/>
          </w:rPr>
          <w:instrText xml:space="preserve"> PAGEREF _Toc82385757 \h </w:instrText>
        </w:r>
        <w:r w:rsidR="002C0E50">
          <w:rPr>
            <w:noProof/>
            <w:webHidden/>
          </w:rPr>
        </w:r>
        <w:r w:rsidR="002C0E50">
          <w:rPr>
            <w:noProof/>
            <w:webHidden/>
          </w:rPr>
          <w:fldChar w:fldCharType="separate"/>
        </w:r>
        <w:r w:rsidR="00A15698">
          <w:rPr>
            <w:noProof/>
            <w:webHidden/>
          </w:rPr>
          <w:t>172</w:t>
        </w:r>
        <w:r w:rsidR="002C0E50">
          <w:rPr>
            <w:noProof/>
            <w:webHidden/>
          </w:rPr>
          <w:fldChar w:fldCharType="end"/>
        </w:r>
      </w:hyperlink>
    </w:p>
    <w:p w14:paraId="386708CD" w14:textId="652B3ED1"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758" w:history="1">
        <w:r w:rsidR="002C0E50" w:rsidRPr="00C75400">
          <w:rPr>
            <w:rStyle w:val="Hyperlink"/>
            <w:noProof/>
          </w:rPr>
          <w:t>4.5.1.1</w:t>
        </w:r>
        <w:r w:rsidR="002C0E50">
          <w:rPr>
            <w:rFonts w:asciiTheme="minorHAnsi" w:eastAsiaTheme="minorEastAsia" w:hAnsiTheme="minorHAnsi" w:cstheme="minorBidi"/>
            <w:noProof/>
            <w:szCs w:val="24"/>
          </w:rPr>
          <w:tab/>
        </w:r>
        <w:r w:rsidR="002C0E50" w:rsidRPr="00C75400">
          <w:rPr>
            <w:rStyle w:val="Hyperlink"/>
            <w:noProof/>
          </w:rPr>
          <w:t>Cattle Diseases</w:t>
        </w:r>
        <w:r w:rsidR="002C0E50">
          <w:rPr>
            <w:noProof/>
            <w:webHidden/>
          </w:rPr>
          <w:tab/>
        </w:r>
        <w:r w:rsidR="002C0E50">
          <w:rPr>
            <w:noProof/>
            <w:webHidden/>
          </w:rPr>
          <w:fldChar w:fldCharType="begin"/>
        </w:r>
        <w:r w:rsidR="002C0E50">
          <w:rPr>
            <w:noProof/>
            <w:webHidden/>
          </w:rPr>
          <w:instrText xml:space="preserve"> PAGEREF _Toc82385758 \h </w:instrText>
        </w:r>
        <w:r w:rsidR="002C0E50">
          <w:rPr>
            <w:noProof/>
            <w:webHidden/>
          </w:rPr>
        </w:r>
        <w:r w:rsidR="002C0E50">
          <w:rPr>
            <w:noProof/>
            <w:webHidden/>
          </w:rPr>
          <w:fldChar w:fldCharType="separate"/>
        </w:r>
        <w:r w:rsidR="00A15698">
          <w:rPr>
            <w:noProof/>
            <w:webHidden/>
          </w:rPr>
          <w:t>173</w:t>
        </w:r>
        <w:r w:rsidR="002C0E50">
          <w:rPr>
            <w:noProof/>
            <w:webHidden/>
          </w:rPr>
          <w:fldChar w:fldCharType="end"/>
        </w:r>
      </w:hyperlink>
    </w:p>
    <w:p w14:paraId="63C95FEF" w14:textId="28A4831B"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759" w:history="1">
        <w:r w:rsidR="002C0E50" w:rsidRPr="00C75400">
          <w:rPr>
            <w:rStyle w:val="Hyperlink"/>
            <w:noProof/>
          </w:rPr>
          <w:t>4.5.1.2</w:t>
        </w:r>
        <w:r w:rsidR="002C0E50">
          <w:rPr>
            <w:rFonts w:asciiTheme="minorHAnsi" w:eastAsiaTheme="minorEastAsia" w:hAnsiTheme="minorHAnsi" w:cstheme="minorBidi"/>
            <w:noProof/>
            <w:szCs w:val="24"/>
          </w:rPr>
          <w:tab/>
        </w:r>
        <w:r w:rsidR="002C0E50" w:rsidRPr="00C75400">
          <w:rPr>
            <w:rStyle w:val="Hyperlink"/>
            <w:noProof/>
          </w:rPr>
          <w:t>Goat diseases</w:t>
        </w:r>
        <w:r w:rsidR="002C0E50">
          <w:rPr>
            <w:noProof/>
            <w:webHidden/>
          </w:rPr>
          <w:tab/>
        </w:r>
        <w:r w:rsidR="002C0E50">
          <w:rPr>
            <w:noProof/>
            <w:webHidden/>
          </w:rPr>
          <w:fldChar w:fldCharType="begin"/>
        </w:r>
        <w:r w:rsidR="002C0E50">
          <w:rPr>
            <w:noProof/>
            <w:webHidden/>
          </w:rPr>
          <w:instrText xml:space="preserve"> PAGEREF _Toc82385759 \h </w:instrText>
        </w:r>
        <w:r w:rsidR="002C0E50">
          <w:rPr>
            <w:noProof/>
            <w:webHidden/>
          </w:rPr>
        </w:r>
        <w:r w:rsidR="002C0E50">
          <w:rPr>
            <w:noProof/>
            <w:webHidden/>
          </w:rPr>
          <w:fldChar w:fldCharType="separate"/>
        </w:r>
        <w:r w:rsidR="00A15698">
          <w:rPr>
            <w:noProof/>
            <w:webHidden/>
          </w:rPr>
          <w:t>180</w:t>
        </w:r>
        <w:r w:rsidR="002C0E50">
          <w:rPr>
            <w:noProof/>
            <w:webHidden/>
          </w:rPr>
          <w:fldChar w:fldCharType="end"/>
        </w:r>
      </w:hyperlink>
    </w:p>
    <w:p w14:paraId="3F724E42" w14:textId="0BBBAE68"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760" w:history="1">
        <w:r w:rsidR="002C0E50" w:rsidRPr="00C75400">
          <w:rPr>
            <w:rStyle w:val="Hyperlink"/>
            <w:noProof/>
          </w:rPr>
          <w:t>4.5.1.3</w:t>
        </w:r>
        <w:r w:rsidR="002C0E50">
          <w:rPr>
            <w:rFonts w:asciiTheme="minorHAnsi" w:eastAsiaTheme="minorEastAsia" w:hAnsiTheme="minorHAnsi" w:cstheme="minorBidi"/>
            <w:noProof/>
            <w:szCs w:val="24"/>
          </w:rPr>
          <w:tab/>
        </w:r>
        <w:r w:rsidR="002C0E50" w:rsidRPr="00C75400">
          <w:rPr>
            <w:rStyle w:val="Hyperlink"/>
            <w:noProof/>
          </w:rPr>
          <w:t>Sheep Diseases</w:t>
        </w:r>
        <w:r w:rsidR="002C0E50">
          <w:rPr>
            <w:noProof/>
            <w:webHidden/>
          </w:rPr>
          <w:tab/>
        </w:r>
        <w:r w:rsidR="002C0E50">
          <w:rPr>
            <w:noProof/>
            <w:webHidden/>
          </w:rPr>
          <w:fldChar w:fldCharType="begin"/>
        </w:r>
        <w:r w:rsidR="002C0E50">
          <w:rPr>
            <w:noProof/>
            <w:webHidden/>
          </w:rPr>
          <w:instrText xml:space="preserve"> PAGEREF _Toc82385760 \h </w:instrText>
        </w:r>
        <w:r w:rsidR="002C0E50">
          <w:rPr>
            <w:noProof/>
            <w:webHidden/>
          </w:rPr>
        </w:r>
        <w:r w:rsidR="002C0E50">
          <w:rPr>
            <w:noProof/>
            <w:webHidden/>
          </w:rPr>
          <w:fldChar w:fldCharType="separate"/>
        </w:r>
        <w:r w:rsidR="00A15698">
          <w:rPr>
            <w:noProof/>
            <w:webHidden/>
          </w:rPr>
          <w:t>187</w:t>
        </w:r>
        <w:r w:rsidR="002C0E50">
          <w:rPr>
            <w:noProof/>
            <w:webHidden/>
          </w:rPr>
          <w:fldChar w:fldCharType="end"/>
        </w:r>
      </w:hyperlink>
    </w:p>
    <w:p w14:paraId="1F310C2D" w14:textId="3CE59117"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761" w:history="1">
        <w:r w:rsidR="002C0E50" w:rsidRPr="00C75400">
          <w:rPr>
            <w:rStyle w:val="Hyperlink"/>
            <w:noProof/>
          </w:rPr>
          <w:t>4.5.1.4</w:t>
        </w:r>
        <w:r w:rsidR="002C0E50">
          <w:rPr>
            <w:rFonts w:asciiTheme="minorHAnsi" w:eastAsiaTheme="minorEastAsia" w:hAnsiTheme="minorHAnsi" w:cstheme="minorBidi"/>
            <w:noProof/>
            <w:szCs w:val="24"/>
          </w:rPr>
          <w:tab/>
        </w:r>
        <w:r w:rsidR="002C0E50" w:rsidRPr="00C75400">
          <w:rPr>
            <w:rStyle w:val="Hyperlink"/>
            <w:noProof/>
          </w:rPr>
          <w:t>Pig Diseases</w:t>
        </w:r>
        <w:r w:rsidR="002C0E50">
          <w:rPr>
            <w:noProof/>
            <w:webHidden/>
          </w:rPr>
          <w:tab/>
        </w:r>
        <w:r w:rsidR="002C0E50">
          <w:rPr>
            <w:noProof/>
            <w:webHidden/>
          </w:rPr>
          <w:fldChar w:fldCharType="begin"/>
        </w:r>
        <w:r w:rsidR="002C0E50">
          <w:rPr>
            <w:noProof/>
            <w:webHidden/>
          </w:rPr>
          <w:instrText xml:space="preserve"> PAGEREF _Toc82385761 \h </w:instrText>
        </w:r>
        <w:r w:rsidR="002C0E50">
          <w:rPr>
            <w:noProof/>
            <w:webHidden/>
          </w:rPr>
        </w:r>
        <w:r w:rsidR="002C0E50">
          <w:rPr>
            <w:noProof/>
            <w:webHidden/>
          </w:rPr>
          <w:fldChar w:fldCharType="separate"/>
        </w:r>
        <w:r w:rsidR="00A15698">
          <w:rPr>
            <w:noProof/>
            <w:webHidden/>
          </w:rPr>
          <w:t>192</w:t>
        </w:r>
        <w:r w:rsidR="002C0E50">
          <w:rPr>
            <w:noProof/>
            <w:webHidden/>
          </w:rPr>
          <w:fldChar w:fldCharType="end"/>
        </w:r>
      </w:hyperlink>
    </w:p>
    <w:p w14:paraId="37ACD7CA" w14:textId="58401191"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762" w:history="1">
        <w:r w:rsidR="002C0E50" w:rsidRPr="00C75400">
          <w:rPr>
            <w:rStyle w:val="Hyperlink"/>
            <w:noProof/>
          </w:rPr>
          <w:t>4.5.1.5</w:t>
        </w:r>
        <w:r w:rsidR="002C0E50">
          <w:rPr>
            <w:rFonts w:asciiTheme="minorHAnsi" w:eastAsiaTheme="minorEastAsia" w:hAnsiTheme="minorHAnsi" w:cstheme="minorBidi"/>
            <w:noProof/>
            <w:szCs w:val="24"/>
          </w:rPr>
          <w:tab/>
        </w:r>
        <w:r w:rsidR="002C0E50" w:rsidRPr="00C75400">
          <w:rPr>
            <w:rStyle w:val="Hyperlink"/>
            <w:noProof/>
          </w:rPr>
          <w:t>Poultry Diseases</w:t>
        </w:r>
        <w:r w:rsidR="002C0E50">
          <w:rPr>
            <w:noProof/>
            <w:webHidden/>
          </w:rPr>
          <w:tab/>
        </w:r>
        <w:r w:rsidR="002C0E50">
          <w:rPr>
            <w:noProof/>
            <w:webHidden/>
          </w:rPr>
          <w:fldChar w:fldCharType="begin"/>
        </w:r>
        <w:r w:rsidR="002C0E50">
          <w:rPr>
            <w:noProof/>
            <w:webHidden/>
          </w:rPr>
          <w:instrText xml:space="preserve"> PAGEREF _Toc82385762 \h </w:instrText>
        </w:r>
        <w:r w:rsidR="002C0E50">
          <w:rPr>
            <w:noProof/>
            <w:webHidden/>
          </w:rPr>
        </w:r>
        <w:r w:rsidR="002C0E50">
          <w:rPr>
            <w:noProof/>
            <w:webHidden/>
          </w:rPr>
          <w:fldChar w:fldCharType="separate"/>
        </w:r>
        <w:r w:rsidR="00A15698">
          <w:rPr>
            <w:noProof/>
            <w:webHidden/>
          </w:rPr>
          <w:t>196</w:t>
        </w:r>
        <w:r w:rsidR="002C0E50">
          <w:rPr>
            <w:noProof/>
            <w:webHidden/>
          </w:rPr>
          <w:fldChar w:fldCharType="end"/>
        </w:r>
      </w:hyperlink>
    </w:p>
    <w:p w14:paraId="7CDF381F" w14:textId="5E68D7CA"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763" w:history="1">
        <w:r w:rsidR="002C0E50" w:rsidRPr="00C75400">
          <w:rPr>
            <w:rStyle w:val="Hyperlink"/>
            <w:noProof/>
          </w:rPr>
          <w:t>4.5.2</w:t>
        </w:r>
        <w:r w:rsidR="002C0E50">
          <w:rPr>
            <w:rFonts w:asciiTheme="minorHAnsi" w:eastAsiaTheme="minorEastAsia" w:hAnsiTheme="minorHAnsi" w:cstheme="minorBidi"/>
            <w:noProof/>
            <w:szCs w:val="24"/>
          </w:rPr>
          <w:tab/>
        </w:r>
        <w:r w:rsidR="002C0E50" w:rsidRPr="00C75400">
          <w:rPr>
            <w:rStyle w:val="Hyperlink"/>
            <w:noProof/>
          </w:rPr>
          <w:t>Livestock Vaccination</w:t>
        </w:r>
        <w:r w:rsidR="002C0E50">
          <w:rPr>
            <w:noProof/>
            <w:webHidden/>
          </w:rPr>
          <w:tab/>
        </w:r>
        <w:r w:rsidR="002C0E50">
          <w:rPr>
            <w:noProof/>
            <w:webHidden/>
          </w:rPr>
          <w:fldChar w:fldCharType="begin"/>
        </w:r>
        <w:r w:rsidR="002C0E50">
          <w:rPr>
            <w:noProof/>
            <w:webHidden/>
          </w:rPr>
          <w:instrText xml:space="preserve"> PAGEREF _Toc82385763 \h </w:instrText>
        </w:r>
        <w:r w:rsidR="002C0E50">
          <w:rPr>
            <w:noProof/>
            <w:webHidden/>
          </w:rPr>
        </w:r>
        <w:r w:rsidR="002C0E50">
          <w:rPr>
            <w:noProof/>
            <w:webHidden/>
          </w:rPr>
          <w:fldChar w:fldCharType="separate"/>
        </w:r>
        <w:r w:rsidR="00A15698">
          <w:rPr>
            <w:noProof/>
            <w:webHidden/>
          </w:rPr>
          <w:t>197</w:t>
        </w:r>
        <w:r w:rsidR="002C0E50">
          <w:rPr>
            <w:noProof/>
            <w:webHidden/>
          </w:rPr>
          <w:fldChar w:fldCharType="end"/>
        </w:r>
      </w:hyperlink>
    </w:p>
    <w:p w14:paraId="1A78F201" w14:textId="5023515A"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764" w:history="1">
        <w:r w:rsidR="002C0E50" w:rsidRPr="00C75400">
          <w:rPr>
            <w:rStyle w:val="Hyperlink"/>
            <w:noProof/>
          </w:rPr>
          <w:t>4.5.2.1</w:t>
        </w:r>
        <w:r w:rsidR="002C0E50">
          <w:rPr>
            <w:rFonts w:asciiTheme="minorHAnsi" w:eastAsiaTheme="minorEastAsia" w:hAnsiTheme="minorHAnsi" w:cstheme="minorBidi"/>
            <w:noProof/>
            <w:szCs w:val="24"/>
          </w:rPr>
          <w:tab/>
        </w:r>
        <w:r w:rsidR="002C0E50" w:rsidRPr="00C75400">
          <w:rPr>
            <w:rStyle w:val="Hyperlink"/>
            <w:noProof/>
          </w:rPr>
          <w:t>Vaccine Against Various Livestock Diseases</w:t>
        </w:r>
        <w:r w:rsidR="002C0E50">
          <w:rPr>
            <w:noProof/>
            <w:webHidden/>
          </w:rPr>
          <w:tab/>
        </w:r>
        <w:r w:rsidR="002C0E50">
          <w:rPr>
            <w:noProof/>
            <w:webHidden/>
          </w:rPr>
          <w:fldChar w:fldCharType="begin"/>
        </w:r>
        <w:r w:rsidR="002C0E50">
          <w:rPr>
            <w:noProof/>
            <w:webHidden/>
          </w:rPr>
          <w:instrText xml:space="preserve"> PAGEREF _Toc82385764 \h </w:instrText>
        </w:r>
        <w:r w:rsidR="002C0E50">
          <w:rPr>
            <w:noProof/>
            <w:webHidden/>
          </w:rPr>
        </w:r>
        <w:r w:rsidR="002C0E50">
          <w:rPr>
            <w:noProof/>
            <w:webHidden/>
          </w:rPr>
          <w:fldChar w:fldCharType="separate"/>
        </w:r>
        <w:r w:rsidR="00A15698">
          <w:rPr>
            <w:noProof/>
            <w:webHidden/>
          </w:rPr>
          <w:t>197</w:t>
        </w:r>
        <w:r w:rsidR="002C0E50">
          <w:rPr>
            <w:noProof/>
            <w:webHidden/>
          </w:rPr>
          <w:fldChar w:fldCharType="end"/>
        </w:r>
      </w:hyperlink>
    </w:p>
    <w:p w14:paraId="2CE8C3D7" w14:textId="4CA491EC"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765" w:history="1">
        <w:r w:rsidR="002C0E50" w:rsidRPr="00C75400">
          <w:rPr>
            <w:rStyle w:val="Hyperlink"/>
            <w:noProof/>
          </w:rPr>
          <w:t>4.5.2.2</w:t>
        </w:r>
        <w:r w:rsidR="002C0E50">
          <w:rPr>
            <w:rFonts w:asciiTheme="minorHAnsi" w:eastAsiaTheme="minorEastAsia" w:hAnsiTheme="minorHAnsi" w:cstheme="minorBidi"/>
            <w:noProof/>
            <w:szCs w:val="24"/>
          </w:rPr>
          <w:tab/>
        </w:r>
        <w:r w:rsidR="002C0E50" w:rsidRPr="00C75400">
          <w:rPr>
            <w:rStyle w:val="Hyperlink"/>
            <w:noProof/>
          </w:rPr>
          <w:t>Source of Vaccines</w:t>
        </w:r>
        <w:r w:rsidR="002C0E50">
          <w:rPr>
            <w:noProof/>
            <w:webHidden/>
          </w:rPr>
          <w:tab/>
        </w:r>
        <w:r w:rsidR="002C0E50">
          <w:rPr>
            <w:noProof/>
            <w:webHidden/>
          </w:rPr>
          <w:fldChar w:fldCharType="begin"/>
        </w:r>
        <w:r w:rsidR="002C0E50">
          <w:rPr>
            <w:noProof/>
            <w:webHidden/>
          </w:rPr>
          <w:instrText xml:space="preserve"> PAGEREF _Toc82385765 \h </w:instrText>
        </w:r>
        <w:r w:rsidR="002C0E50">
          <w:rPr>
            <w:noProof/>
            <w:webHidden/>
          </w:rPr>
        </w:r>
        <w:r w:rsidR="002C0E50">
          <w:rPr>
            <w:noProof/>
            <w:webHidden/>
          </w:rPr>
          <w:fldChar w:fldCharType="separate"/>
        </w:r>
        <w:r w:rsidR="00A15698">
          <w:rPr>
            <w:noProof/>
            <w:webHidden/>
          </w:rPr>
          <w:t>202</w:t>
        </w:r>
        <w:r w:rsidR="002C0E50">
          <w:rPr>
            <w:noProof/>
            <w:webHidden/>
          </w:rPr>
          <w:fldChar w:fldCharType="end"/>
        </w:r>
      </w:hyperlink>
    </w:p>
    <w:p w14:paraId="78ADE0C6" w14:textId="7D02C4DE"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766" w:history="1">
        <w:r w:rsidR="002C0E50" w:rsidRPr="00C75400">
          <w:rPr>
            <w:rStyle w:val="Hyperlink"/>
            <w:noProof/>
          </w:rPr>
          <w:t>4.5.3</w:t>
        </w:r>
        <w:r w:rsidR="002C0E50">
          <w:rPr>
            <w:rFonts w:asciiTheme="minorHAnsi" w:eastAsiaTheme="minorEastAsia" w:hAnsiTheme="minorHAnsi" w:cstheme="minorBidi"/>
            <w:noProof/>
            <w:szCs w:val="24"/>
          </w:rPr>
          <w:tab/>
        </w:r>
        <w:r w:rsidR="002C0E50" w:rsidRPr="00C75400">
          <w:rPr>
            <w:rStyle w:val="Hyperlink"/>
            <w:noProof/>
          </w:rPr>
          <w:t>Livestock Pest and Parasites control methods</w:t>
        </w:r>
        <w:r w:rsidR="002C0E50">
          <w:rPr>
            <w:noProof/>
            <w:webHidden/>
          </w:rPr>
          <w:tab/>
        </w:r>
        <w:r w:rsidR="002C0E50">
          <w:rPr>
            <w:noProof/>
            <w:webHidden/>
          </w:rPr>
          <w:fldChar w:fldCharType="begin"/>
        </w:r>
        <w:r w:rsidR="002C0E50">
          <w:rPr>
            <w:noProof/>
            <w:webHidden/>
          </w:rPr>
          <w:instrText xml:space="preserve"> PAGEREF _Toc82385766 \h </w:instrText>
        </w:r>
        <w:r w:rsidR="002C0E50">
          <w:rPr>
            <w:noProof/>
            <w:webHidden/>
          </w:rPr>
        </w:r>
        <w:r w:rsidR="002C0E50">
          <w:rPr>
            <w:noProof/>
            <w:webHidden/>
          </w:rPr>
          <w:fldChar w:fldCharType="separate"/>
        </w:r>
        <w:r w:rsidR="00A15698">
          <w:rPr>
            <w:noProof/>
            <w:webHidden/>
          </w:rPr>
          <w:t>203</w:t>
        </w:r>
        <w:r w:rsidR="002C0E50">
          <w:rPr>
            <w:noProof/>
            <w:webHidden/>
          </w:rPr>
          <w:fldChar w:fldCharType="end"/>
        </w:r>
      </w:hyperlink>
    </w:p>
    <w:p w14:paraId="41950BAF" w14:textId="4589E53D"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767" w:history="1">
        <w:r w:rsidR="002C0E50" w:rsidRPr="00C75400">
          <w:rPr>
            <w:rStyle w:val="Hyperlink"/>
            <w:noProof/>
          </w:rPr>
          <w:t>4.5.3.1</w:t>
        </w:r>
        <w:r w:rsidR="002C0E50">
          <w:rPr>
            <w:rFonts w:asciiTheme="minorHAnsi" w:eastAsiaTheme="minorEastAsia" w:hAnsiTheme="minorHAnsi" w:cstheme="minorBidi"/>
            <w:noProof/>
            <w:szCs w:val="24"/>
          </w:rPr>
          <w:tab/>
        </w:r>
        <w:r w:rsidR="002C0E50" w:rsidRPr="00C75400">
          <w:rPr>
            <w:rStyle w:val="Hyperlink"/>
            <w:noProof/>
          </w:rPr>
          <w:t>Tick Control Methods</w:t>
        </w:r>
        <w:r w:rsidR="002C0E50">
          <w:rPr>
            <w:noProof/>
            <w:webHidden/>
          </w:rPr>
          <w:tab/>
        </w:r>
        <w:r w:rsidR="002C0E50">
          <w:rPr>
            <w:noProof/>
            <w:webHidden/>
          </w:rPr>
          <w:fldChar w:fldCharType="begin"/>
        </w:r>
        <w:r w:rsidR="002C0E50">
          <w:rPr>
            <w:noProof/>
            <w:webHidden/>
          </w:rPr>
          <w:instrText xml:space="preserve"> PAGEREF _Toc82385767 \h </w:instrText>
        </w:r>
        <w:r w:rsidR="002C0E50">
          <w:rPr>
            <w:noProof/>
            <w:webHidden/>
          </w:rPr>
        </w:r>
        <w:r w:rsidR="002C0E50">
          <w:rPr>
            <w:noProof/>
            <w:webHidden/>
          </w:rPr>
          <w:fldChar w:fldCharType="separate"/>
        </w:r>
        <w:r w:rsidR="00A15698">
          <w:rPr>
            <w:noProof/>
            <w:webHidden/>
          </w:rPr>
          <w:t>203</w:t>
        </w:r>
        <w:r w:rsidR="002C0E50">
          <w:rPr>
            <w:noProof/>
            <w:webHidden/>
          </w:rPr>
          <w:fldChar w:fldCharType="end"/>
        </w:r>
      </w:hyperlink>
    </w:p>
    <w:p w14:paraId="0DEE06E1" w14:textId="7664B811"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768" w:history="1">
        <w:r w:rsidR="002C0E50" w:rsidRPr="00C75400">
          <w:rPr>
            <w:rStyle w:val="Hyperlink"/>
            <w:noProof/>
          </w:rPr>
          <w:t>4.5.3.2</w:t>
        </w:r>
        <w:r w:rsidR="002C0E50">
          <w:rPr>
            <w:rFonts w:asciiTheme="minorHAnsi" w:eastAsiaTheme="minorEastAsia" w:hAnsiTheme="minorHAnsi" w:cstheme="minorBidi"/>
            <w:noProof/>
            <w:szCs w:val="24"/>
          </w:rPr>
          <w:tab/>
        </w:r>
        <w:r w:rsidR="002C0E50" w:rsidRPr="00C75400">
          <w:rPr>
            <w:rStyle w:val="Hyperlink"/>
            <w:noProof/>
          </w:rPr>
          <w:t>Tsetse Fly Control Methods</w:t>
        </w:r>
        <w:r w:rsidR="002C0E50">
          <w:rPr>
            <w:noProof/>
            <w:webHidden/>
          </w:rPr>
          <w:tab/>
        </w:r>
        <w:r w:rsidR="002C0E50">
          <w:rPr>
            <w:noProof/>
            <w:webHidden/>
          </w:rPr>
          <w:fldChar w:fldCharType="begin"/>
        </w:r>
        <w:r w:rsidR="002C0E50">
          <w:rPr>
            <w:noProof/>
            <w:webHidden/>
          </w:rPr>
          <w:instrText xml:space="preserve"> PAGEREF _Toc82385768 \h </w:instrText>
        </w:r>
        <w:r w:rsidR="002C0E50">
          <w:rPr>
            <w:noProof/>
            <w:webHidden/>
          </w:rPr>
        </w:r>
        <w:r w:rsidR="002C0E50">
          <w:rPr>
            <w:noProof/>
            <w:webHidden/>
          </w:rPr>
          <w:fldChar w:fldCharType="separate"/>
        </w:r>
        <w:r w:rsidR="00A15698">
          <w:rPr>
            <w:noProof/>
            <w:webHidden/>
          </w:rPr>
          <w:t>204</w:t>
        </w:r>
        <w:r w:rsidR="002C0E50">
          <w:rPr>
            <w:noProof/>
            <w:webHidden/>
          </w:rPr>
          <w:fldChar w:fldCharType="end"/>
        </w:r>
      </w:hyperlink>
    </w:p>
    <w:p w14:paraId="7F8A9218" w14:textId="580B2842" w:rsidR="002C0E50" w:rsidRDefault="00E909AE" w:rsidP="002C0E50">
      <w:pPr>
        <w:pStyle w:val="TOC4"/>
        <w:tabs>
          <w:tab w:val="clear" w:pos="9622"/>
          <w:tab w:val="right" w:leader="dot" w:pos="9020"/>
        </w:tabs>
        <w:rPr>
          <w:rFonts w:asciiTheme="minorHAnsi" w:eastAsiaTheme="minorEastAsia" w:hAnsiTheme="minorHAnsi" w:cstheme="minorBidi"/>
          <w:noProof/>
          <w:szCs w:val="24"/>
        </w:rPr>
      </w:pPr>
      <w:hyperlink w:anchor="_Toc82385769" w:history="1">
        <w:r w:rsidR="002C0E50" w:rsidRPr="00C75400">
          <w:rPr>
            <w:rStyle w:val="Hyperlink"/>
            <w:noProof/>
          </w:rPr>
          <w:t>4.5.3.3</w:t>
        </w:r>
        <w:r w:rsidR="002C0E50">
          <w:rPr>
            <w:rFonts w:asciiTheme="minorHAnsi" w:eastAsiaTheme="minorEastAsia" w:hAnsiTheme="minorHAnsi" w:cstheme="minorBidi"/>
            <w:noProof/>
            <w:szCs w:val="24"/>
          </w:rPr>
          <w:tab/>
        </w:r>
        <w:r w:rsidR="002C0E50" w:rsidRPr="00C75400">
          <w:rPr>
            <w:rStyle w:val="Hyperlink"/>
            <w:noProof/>
          </w:rPr>
          <w:t>The Control Methods of Newcastle Disease (NCD)</w:t>
        </w:r>
        <w:r w:rsidR="002C0E50">
          <w:rPr>
            <w:noProof/>
            <w:webHidden/>
          </w:rPr>
          <w:tab/>
        </w:r>
        <w:r w:rsidR="002C0E50">
          <w:rPr>
            <w:noProof/>
            <w:webHidden/>
          </w:rPr>
          <w:fldChar w:fldCharType="begin"/>
        </w:r>
        <w:r w:rsidR="002C0E50">
          <w:rPr>
            <w:noProof/>
            <w:webHidden/>
          </w:rPr>
          <w:instrText xml:space="preserve"> PAGEREF _Toc82385769 \h </w:instrText>
        </w:r>
        <w:r w:rsidR="002C0E50">
          <w:rPr>
            <w:noProof/>
            <w:webHidden/>
          </w:rPr>
        </w:r>
        <w:r w:rsidR="002C0E50">
          <w:rPr>
            <w:noProof/>
            <w:webHidden/>
          </w:rPr>
          <w:fldChar w:fldCharType="separate"/>
        </w:r>
        <w:r w:rsidR="00A15698">
          <w:rPr>
            <w:noProof/>
            <w:webHidden/>
          </w:rPr>
          <w:t>204</w:t>
        </w:r>
        <w:r w:rsidR="002C0E50">
          <w:rPr>
            <w:noProof/>
            <w:webHidden/>
          </w:rPr>
          <w:fldChar w:fldCharType="end"/>
        </w:r>
      </w:hyperlink>
    </w:p>
    <w:p w14:paraId="021390F1" w14:textId="0B22ADEF"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770" w:history="1">
        <w:r w:rsidR="002C0E50" w:rsidRPr="00C75400">
          <w:rPr>
            <w:rStyle w:val="Hyperlink"/>
            <w:noProof/>
          </w:rPr>
          <w:t>4.5.4</w:t>
        </w:r>
        <w:r w:rsidR="002C0E50">
          <w:rPr>
            <w:rFonts w:asciiTheme="minorHAnsi" w:eastAsiaTheme="minorEastAsia" w:hAnsiTheme="minorHAnsi" w:cstheme="minorBidi"/>
            <w:noProof/>
            <w:szCs w:val="24"/>
          </w:rPr>
          <w:tab/>
        </w:r>
        <w:r w:rsidR="002C0E50" w:rsidRPr="00C75400">
          <w:rPr>
            <w:rStyle w:val="Hyperlink"/>
            <w:noProof/>
          </w:rPr>
          <w:t>Deworming Practices</w:t>
        </w:r>
        <w:r w:rsidR="002C0E50">
          <w:rPr>
            <w:noProof/>
            <w:webHidden/>
          </w:rPr>
          <w:tab/>
        </w:r>
        <w:r w:rsidR="002C0E50">
          <w:rPr>
            <w:noProof/>
            <w:webHidden/>
          </w:rPr>
          <w:fldChar w:fldCharType="begin"/>
        </w:r>
        <w:r w:rsidR="002C0E50">
          <w:rPr>
            <w:noProof/>
            <w:webHidden/>
          </w:rPr>
          <w:instrText xml:space="preserve"> PAGEREF _Toc82385770 \h </w:instrText>
        </w:r>
        <w:r w:rsidR="002C0E50">
          <w:rPr>
            <w:noProof/>
            <w:webHidden/>
          </w:rPr>
        </w:r>
        <w:r w:rsidR="002C0E50">
          <w:rPr>
            <w:noProof/>
            <w:webHidden/>
          </w:rPr>
          <w:fldChar w:fldCharType="separate"/>
        </w:r>
        <w:r w:rsidR="00A15698">
          <w:rPr>
            <w:noProof/>
            <w:webHidden/>
          </w:rPr>
          <w:t>205</w:t>
        </w:r>
        <w:r w:rsidR="002C0E50">
          <w:rPr>
            <w:noProof/>
            <w:webHidden/>
          </w:rPr>
          <w:fldChar w:fldCharType="end"/>
        </w:r>
      </w:hyperlink>
    </w:p>
    <w:p w14:paraId="43AC2885" w14:textId="19828D50" w:rsidR="002C0E50" w:rsidRDefault="00E909AE" w:rsidP="002C0E50">
      <w:pPr>
        <w:pStyle w:val="TOC2"/>
        <w:rPr>
          <w:rFonts w:asciiTheme="minorHAnsi" w:eastAsiaTheme="minorEastAsia" w:hAnsiTheme="minorHAnsi" w:cstheme="minorBidi"/>
          <w:noProof/>
          <w:szCs w:val="24"/>
        </w:rPr>
      </w:pPr>
      <w:hyperlink w:anchor="_Toc82385771" w:history="1">
        <w:r w:rsidR="002C0E50" w:rsidRPr="00C75400">
          <w:rPr>
            <w:rStyle w:val="Hyperlink"/>
            <w:noProof/>
          </w:rPr>
          <w:t>4.6</w:t>
        </w:r>
        <w:r w:rsidR="002C0E50">
          <w:rPr>
            <w:rFonts w:asciiTheme="minorHAnsi" w:eastAsiaTheme="minorEastAsia" w:hAnsiTheme="minorHAnsi" w:cstheme="minorBidi"/>
            <w:noProof/>
            <w:szCs w:val="24"/>
          </w:rPr>
          <w:tab/>
        </w:r>
        <w:r w:rsidR="002C0E50" w:rsidRPr="00C75400">
          <w:rPr>
            <w:rStyle w:val="Hyperlink"/>
            <w:noProof/>
          </w:rPr>
          <w:t>Livestock Extension Services</w:t>
        </w:r>
        <w:r w:rsidR="002C0E50">
          <w:rPr>
            <w:noProof/>
            <w:webHidden/>
          </w:rPr>
          <w:tab/>
        </w:r>
        <w:r w:rsidR="002C0E50">
          <w:rPr>
            <w:noProof/>
            <w:webHidden/>
          </w:rPr>
          <w:fldChar w:fldCharType="begin"/>
        </w:r>
        <w:r w:rsidR="002C0E50">
          <w:rPr>
            <w:noProof/>
            <w:webHidden/>
          </w:rPr>
          <w:instrText xml:space="preserve"> PAGEREF _Toc82385771 \h </w:instrText>
        </w:r>
        <w:r w:rsidR="002C0E50">
          <w:rPr>
            <w:noProof/>
            <w:webHidden/>
          </w:rPr>
        </w:r>
        <w:r w:rsidR="002C0E50">
          <w:rPr>
            <w:noProof/>
            <w:webHidden/>
          </w:rPr>
          <w:fldChar w:fldCharType="separate"/>
        </w:r>
        <w:r w:rsidR="00A15698">
          <w:rPr>
            <w:noProof/>
            <w:webHidden/>
          </w:rPr>
          <w:t>207</w:t>
        </w:r>
        <w:r w:rsidR="002C0E50">
          <w:rPr>
            <w:noProof/>
            <w:webHidden/>
          </w:rPr>
          <w:fldChar w:fldCharType="end"/>
        </w:r>
      </w:hyperlink>
    </w:p>
    <w:p w14:paraId="3E9B4E49" w14:textId="3AE43885"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772" w:history="1">
        <w:r w:rsidR="002C0E50" w:rsidRPr="00C75400">
          <w:rPr>
            <w:rStyle w:val="Hyperlink"/>
            <w:noProof/>
          </w:rPr>
          <w:t>4.6.1</w:t>
        </w:r>
        <w:r w:rsidR="002C0E50">
          <w:rPr>
            <w:rFonts w:asciiTheme="minorHAnsi" w:eastAsiaTheme="minorEastAsia" w:hAnsiTheme="minorHAnsi" w:cstheme="minorBidi"/>
            <w:noProof/>
            <w:szCs w:val="24"/>
          </w:rPr>
          <w:tab/>
        </w:r>
        <w:r w:rsidR="002C0E50" w:rsidRPr="00C75400">
          <w:rPr>
            <w:rStyle w:val="Hyperlink"/>
            <w:noProof/>
          </w:rPr>
          <w:t>Extension Service Received by Households</w:t>
        </w:r>
        <w:r w:rsidR="002C0E50">
          <w:rPr>
            <w:noProof/>
            <w:webHidden/>
          </w:rPr>
          <w:tab/>
        </w:r>
        <w:r w:rsidR="002C0E50">
          <w:rPr>
            <w:noProof/>
            <w:webHidden/>
          </w:rPr>
          <w:fldChar w:fldCharType="begin"/>
        </w:r>
        <w:r w:rsidR="002C0E50">
          <w:rPr>
            <w:noProof/>
            <w:webHidden/>
          </w:rPr>
          <w:instrText xml:space="preserve"> PAGEREF _Toc82385772 \h </w:instrText>
        </w:r>
        <w:r w:rsidR="002C0E50">
          <w:rPr>
            <w:noProof/>
            <w:webHidden/>
          </w:rPr>
        </w:r>
        <w:r w:rsidR="002C0E50">
          <w:rPr>
            <w:noProof/>
            <w:webHidden/>
          </w:rPr>
          <w:fldChar w:fldCharType="separate"/>
        </w:r>
        <w:r w:rsidR="00A15698">
          <w:rPr>
            <w:noProof/>
            <w:webHidden/>
          </w:rPr>
          <w:t>208</w:t>
        </w:r>
        <w:r w:rsidR="002C0E50">
          <w:rPr>
            <w:noProof/>
            <w:webHidden/>
          </w:rPr>
          <w:fldChar w:fldCharType="end"/>
        </w:r>
      </w:hyperlink>
    </w:p>
    <w:p w14:paraId="67171A70" w14:textId="54F45E8F"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773" w:history="1">
        <w:r w:rsidR="002C0E50" w:rsidRPr="00C75400">
          <w:rPr>
            <w:rStyle w:val="Hyperlink"/>
            <w:noProof/>
          </w:rPr>
          <w:t>4.6.2</w:t>
        </w:r>
        <w:r w:rsidR="002C0E50">
          <w:rPr>
            <w:rFonts w:asciiTheme="minorHAnsi" w:eastAsiaTheme="minorEastAsia" w:hAnsiTheme="minorHAnsi" w:cstheme="minorBidi"/>
            <w:noProof/>
            <w:szCs w:val="24"/>
          </w:rPr>
          <w:tab/>
        </w:r>
        <w:r w:rsidR="002C0E50" w:rsidRPr="00C75400">
          <w:rPr>
            <w:rStyle w:val="Hyperlink"/>
            <w:noProof/>
          </w:rPr>
          <w:t>Advice Practiced</w:t>
        </w:r>
        <w:r w:rsidR="002C0E50">
          <w:rPr>
            <w:noProof/>
            <w:webHidden/>
          </w:rPr>
          <w:tab/>
        </w:r>
        <w:r w:rsidR="002C0E50">
          <w:rPr>
            <w:noProof/>
            <w:webHidden/>
          </w:rPr>
          <w:fldChar w:fldCharType="begin"/>
        </w:r>
        <w:r w:rsidR="002C0E50">
          <w:rPr>
            <w:noProof/>
            <w:webHidden/>
          </w:rPr>
          <w:instrText xml:space="preserve"> PAGEREF _Toc82385773 \h </w:instrText>
        </w:r>
        <w:r w:rsidR="002C0E50">
          <w:rPr>
            <w:noProof/>
            <w:webHidden/>
          </w:rPr>
        </w:r>
        <w:r w:rsidR="002C0E50">
          <w:rPr>
            <w:noProof/>
            <w:webHidden/>
          </w:rPr>
          <w:fldChar w:fldCharType="separate"/>
        </w:r>
        <w:r w:rsidR="00A15698">
          <w:rPr>
            <w:noProof/>
            <w:webHidden/>
          </w:rPr>
          <w:t>211</w:t>
        </w:r>
        <w:r w:rsidR="002C0E50">
          <w:rPr>
            <w:noProof/>
            <w:webHidden/>
          </w:rPr>
          <w:fldChar w:fldCharType="end"/>
        </w:r>
      </w:hyperlink>
    </w:p>
    <w:p w14:paraId="7C5E254F" w14:textId="4BEB55E0" w:rsidR="002C0E50" w:rsidRDefault="00E909AE" w:rsidP="002C0E50">
      <w:pPr>
        <w:pStyle w:val="TOC2"/>
        <w:rPr>
          <w:rFonts w:asciiTheme="minorHAnsi" w:eastAsiaTheme="minorEastAsia" w:hAnsiTheme="minorHAnsi" w:cstheme="minorBidi"/>
          <w:noProof/>
          <w:szCs w:val="24"/>
        </w:rPr>
      </w:pPr>
      <w:hyperlink w:anchor="_Toc82385774" w:history="1">
        <w:r w:rsidR="002C0E50" w:rsidRPr="00C75400">
          <w:rPr>
            <w:rStyle w:val="Hyperlink"/>
            <w:noProof/>
          </w:rPr>
          <w:t>4.7</w:t>
        </w:r>
        <w:r w:rsidR="002C0E50">
          <w:rPr>
            <w:rFonts w:asciiTheme="minorHAnsi" w:eastAsiaTheme="minorEastAsia" w:hAnsiTheme="minorHAnsi" w:cstheme="minorBidi"/>
            <w:noProof/>
            <w:szCs w:val="24"/>
          </w:rPr>
          <w:tab/>
        </w:r>
        <w:r w:rsidR="002C0E50" w:rsidRPr="00C75400">
          <w:rPr>
            <w:rStyle w:val="Hyperlink"/>
            <w:noProof/>
          </w:rPr>
          <w:t>Fish Farming</w:t>
        </w:r>
        <w:r w:rsidR="002C0E50">
          <w:rPr>
            <w:noProof/>
            <w:webHidden/>
          </w:rPr>
          <w:tab/>
        </w:r>
        <w:r w:rsidR="002C0E50">
          <w:rPr>
            <w:noProof/>
            <w:webHidden/>
          </w:rPr>
          <w:fldChar w:fldCharType="begin"/>
        </w:r>
        <w:r w:rsidR="002C0E50">
          <w:rPr>
            <w:noProof/>
            <w:webHidden/>
          </w:rPr>
          <w:instrText xml:space="preserve"> PAGEREF _Toc82385774 \h </w:instrText>
        </w:r>
        <w:r w:rsidR="002C0E50">
          <w:rPr>
            <w:noProof/>
            <w:webHidden/>
          </w:rPr>
        </w:r>
        <w:r w:rsidR="002C0E50">
          <w:rPr>
            <w:noProof/>
            <w:webHidden/>
          </w:rPr>
          <w:fldChar w:fldCharType="separate"/>
        </w:r>
        <w:r w:rsidR="00A15698">
          <w:rPr>
            <w:noProof/>
            <w:webHidden/>
          </w:rPr>
          <w:t>214</w:t>
        </w:r>
        <w:r w:rsidR="002C0E50">
          <w:rPr>
            <w:noProof/>
            <w:webHidden/>
          </w:rPr>
          <w:fldChar w:fldCharType="end"/>
        </w:r>
      </w:hyperlink>
    </w:p>
    <w:p w14:paraId="42CA33BF" w14:textId="2255176C"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775" w:history="1">
        <w:r w:rsidR="002C0E50" w:rsidRPr="00C75400">
          <w:rPr>
            <w:rStyle w:val="Hyperlink"/>
            <w:noProof/>
          </w:rPr>
          <w:t>4.7.1</w:t>
        </w:r>
        <w:r w:rsidR="002C0E50">
          <w:rPr>
            <w:rFonts w:asciiTheme="minorHAnsi" w:eastAsiaTheme="minorEastAsia" w:hAnsiTheme="minorHAnsi" w:cstheme="minorBidi"/>
            <w:noProof/>
            <w:szCs w:val="24"/>
          </w:rPr>
          <w:tab/>
        </w:r>
        <w:r w:rsidR="002C0E50" w:rsidRPr="00C75400">
          <w:rPr>
            <w:rStyle w:val="Hyperlink"/>
            <w:noProof/>
          </w:rPr>
          <w:t>Fish Farming Households</w:t>
        </w:r>
        <w:r w:rsidR="002C0E50">
          <w:rPr>
            <w:noProof/>
            <w:webHidden/>
          </w:rPr>
          <w:tab/>
        </w:r>
        <w:r w:rsidR="002C0E50">
          <w:rPr>
            <w:noProof/>
            <w:webHidden/>
          </w:rPr>
          <w:fldChar w:fldCharType="begin"/>
        </w:r>
        <w:r w:rsidR="002C0E50">
          <w:rPr>
            <w:noProof/>
            <w:webHidden/>
          </w:rPr>
          <w:instrText xml:space="preserve"> PAGEREF _Toc82385775 \h </w:instrText>
        </w:r>
        <w:r w:rsidR="002C0E50">
          <w:rPr>
            <w:noProof/>
            <w:webHidden/>
          </w:rPr>
        </w:r>
        <w:r w:rsidR="002C0E50">
          <w:rPr>
            <w:noProof/>
            <w:webHidden/>
          </w:rPr>
          <w:fldChar w:fldCharType="separate"/>
        </w:r>
        <w:r w:rsidR="00A15698">
          <w:rPr>
            <w:noProof/>
            <w:webHidden/>
          </w:rPr>
          <w:t>214</w:t>
        </w:r>
        <w:r w:rsidR="002C0E50">
          <w:rPr>
            <w:noProof/>
            <w:webHidden/>
          </w:rPr>
          <w:fldChar w:fldCharType="end"/>
        </w:r>
      </w:hyperlink>
    </w:p>
    <w:p w14:paraId="622FFD87" w14:textId="32602E39"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776" w:history="1">
        <w:r w:rsidR="002C0E50" w:rsidRPr="00C75400">
          <w:rPr>
            <w:rStyle w:val="Hyperlink"/>
            <w:noProof/>
          </w:rPr>
          <w:t>4.7.2</w:t>
        </w:r>
        <w:r w:rsidR="002C0E50">
          <w:rPr>
            <w:rFonts w:asciiTheme="minorHAnsi" w:eastAsiaTheme="minorEastAsia" w:hAnsiTheme="minorHAnsi" w:cstheme="minorBidi"/>
            <w:noProof/>
            <w:szCs w:val="24"/>
          </w:rPr>
          <w:tab/>
        </w:r>
        <w:r w:rsidR="002C0E50" w:rsidRPr="00C75400">
          <w:rPr>
            <w:rStyle w:val="Hyperlink"/>
            <w:noProof/>
          </w:rPr>
          <w:t>Fish Production</w:t>
        </w:r>
        <w:r w:rsidR="002C0E50">
          <w:rPr>
            <w:noProof/>
            <w:webHidden/>
          </w:rPr>
          <w:tab/>
        </w:r>
        <w:r w:rsidR="002C0E50">
          <w:rPr>
            <w:noProof/>
            <w:webHidden/>
          </w:rPr>
          <w:fldChar w:fldCharType="begin"/>
        </w:r>
        <w:r w:rsidR="002C0E50">
          <w:rPr>
            <w:noProof/>
            <w:webHidden/>
          </w:rPr>
          <w:instrText xml:space="preserve"> PAGEREF _Toc82385776 \h </w:instrText>
        </w:r>
        <w:r w:rsidR="002C0E50">
          <w:rPr>
            <w:noProof/>
            <w:webHidden/>
          </w:rPr>
        </w:r>
        <w:r w:rsidR="002C0E50">
          <w:rPr>
            <w:noProof/>
            <w:webHidden/>
          </w:rPr>
          <w:fldChar w:fldCharType="separate"/>
        </w:r>
        <w:r w:rsidR="00A15698">
          <w:rPr>
            <w:noProof/>
            <w:webHidden/>
          </w:rPr>
          <w:t>215</w:t>
        </w:r>
        <w:r w:rsidR="002C0E50">
          <w:rPr>
            <w:noProof/>
            <w:webHidden/>
          </w:rPr>
          <w:fldChar w:fldCharType="end"/>
        </w:r>
      </w:hyperlink>
    </w:p>
    <w:p w14:paraId="661E0765" w14:textId="00251F71"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777" w:history="1">
        <w:r w:rsidR="002C0E50" w:rsidRPr="00C75400">
          <w:rPr>
            <w:rStyle w:val="Hyperlink"/>
            <w:noProof/>
          </w:rPr>
          <w:t>4.7.3</w:t>
        </w:r>
        <w:r w:rsidR="002C0E50">
          <w:rPr>
            <w:rFonts w:asciiTheme="minorHAnsi" w:eastAsiaTheme="minorEastAsia" w:hAnsiTheme="minorHAnsi" w:cstheme="minorBidi"/>
            <w:noProof/>
            <w:szCs w:val="24"/>
          </w:rPr>
          <w:tab/>
        </w:r>
        <w:r w:rsidR="002C0E50" w:rsidRPr="00C75400">
          <w:rPr>
            <w:rStyle w:val="Hyperlink"/>
            <w:noProof/>
          </w:rPr>
          <w:t>Source of Fingerlings</w:t>
        </w:r>
        <w:r w:rsidR="002C0E50">
          <w:rPr>
            <w:noProof/>
            <w:webHidden/>
          </w:rPr>
          <w:tab/>
        </w:r>
        <w:r w:rsidR="002C0E50">
          <w:rPr>
            <w:noProof/>
            <w:webHidden/>
          </w:rPr>
          <w:fldChar w:fldCharType="begin"/>
        </w:r>
        <w:r w:rsidR="002C0E50">
          <w:rPr>
            <w:noProof/>
            <w:webHidden/>
          </w:rPr>
          <w:instrText xml:space="preserve"> PAGEREF _Toc82385777 \h </w:instrText>
        </w:r>
        <w:r w:rsidR="002C0E50">
          <w:rPr>
            <w:noProof/>
            <w:webHidden/>
          </w:rPr>
        </w:r>
        <w:r w:rsidR="002C0E50">
          <w:rPr>
            <w:noProof/>
            <w:webHidden/>
          </w:rPr>
          <w:fldChar w:fldCharType="separate"/>
        </w:r>
        <w:r w:rsidR="00A15698">
          <w:rPr>
            <w:noProof/>
            <w:webHidden/>
          </w:rPr>
          <w:t>216</w:t>
        </w:r>
        <w:r w:rsidR="002C0E50">
          <w:rPr>
            <w:noProof/>
            <w:webHidden/>
          </w:rPr>
          <w:fldChar w:fldCharType="end"/>
        </w:r>
      </w:hyperlink>
    </w:p>
    <w:p w14:paraId="290EA85A" w14:textId="7F7AEEEA"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778" w:history="1">
        <w:r w:rsidR="002C0E50" w:rsidRPr="00C75400">
          <w:rPr>
            <w:rStyle w:val="Hyperlink"/>
            <w:noProof/>
          </w:rPr>
          <w:t>4.7.4</w:t>
        </w:r>
        <w:r w:rsidR="002C0E50">
          <w:rPr>
            <w:rFonts w:asciiTheme="minorHAnsi" w:eastAsiaTheme="minorEastAsia" w:hAnsiTheme="minorHAnsi" w:cstheme="minorBidi"/>
            <w:noProof/>
            <w:szCs w:val="24"/>
          </w:rPr>
          <w:tab/>
        </w:r>
        <w:r w:rsidR="002C0E50" w:rsidRPr="00C75400">
          <w:rPr>
            <w:rStyle w:val="Hyperlink"/>
            <w:noProof/>
          </w:rPr>
          <w:t>Frequencies of Fish Stocking</w:t>
        </w:r>
        <w:r w:rsidR="002C0E50">
          <w:rPr>
            <w:noProof/>
            <w:webHidden/>
          </w:rPr>
          <w:tab/>
        </w:r>
        <w:r w:rsidR="002C0E50">
          <w:rPr>
            <w:noProof/>
            <w:webHidden/>
          </w:rPr>
          <w:fldChar w:fldCharType="begin"/>
        </w:r>
        <w:r w:rsidR="002C0E50">
          <w:rPr>
            <w:noProof/>
            <w:webHidden/>
          </w:rPr>
          <w:instrText xml:space="preserve"> PAGEREF _Toc82385778 \h </w:instrText>
        </w:r>
        <w:r w:rsidR="002C0E50">
          <w:rPr>
            <w:noProof/>
            <w:webHidden/>
          </w:rPr>
        </w:r>
        <w:r w:rsidR="002C0E50">
          <w:rPr>
            <w:noProof/>
            <w:webHidden/>
          </w:rPr>
          <w:fldChar w:fldCharType="separate"/>
        </w:r>
        <w:r w:rsidR="00A15698">
          <w:rPr>
            <w:noProof/>
            <w:webHidden/>
          </w:rPr>
          <w:t>217</w:t>
        </w:r>
        <w:r w:rsidR="002C0E50">
          <w:rPr>
            <w:noProof/>
            <w:webHidden/>
          </w:rPr>
          <w:fldChar w:fldCharType="end"/>
        </w:r>
      </w:hyperlink>
    </w:p>
    <w:p w14:paraId="325D456F" w14:textId="07496B71"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779" w:history="1">
        <w:r w:rsidR="002C0E50" w:rsidRPr="00C75400">
          <w:rPr>
            <w:rStyle w:val="Hyperlink"/>
            <w:noProof/>
          </w:rPr>
          <w:t>4.7.5</w:t>
        </w:r>
        <w:r w:rsidR="002C0E50">
          <w:rPr>
            <w:rFonts w:asciiTheme="minorHAnsi" w:eastAsiaTheme="minorEastAsia" w:hAnsiTheme="minorHAnsi" w:cstheme="minorBidi"/>
            <w:noProof/>
            <w:szCs w:val="24"/>
          </w:rPr>
          <w:tab/>
        </w:r>
        <w:r w:rsidR="002C0E50" w:rsidRPr="00C75400">
          <w:rPr>
            <w:rStyle w:val="Hyperlink"/>
            <w:noProof/>
          </w:rPr>
          <w:t>Outlets for Selling Fish</w:t>
        </w:r>
        <w:r w:rsidR="002C0E50">
          <w:rPr>
            <w:noProof/>
            <w:webHidden/>
          </w:rPr>
          <w:tab/>
        </w:r>
        <w:r w:rsidR="002C0E50">
          <w:rPr>
            <w:noProof/>
            <w:webHidden/>
          </w:rPr>
          <w:fldChar w:fldCharType="begin"/>
        </w:r>
        <w:r w:rsidR="002C0E50">
          <w:rPr>
            <w:noProof/>
            <w:webHidden/>
          </w:rPr>
          <w:instrText xml:space="preserve"> PAGEREF _Toc82385779 \h </w:instrText>
        </w:r>
        <w:r w:rsidR="002C0E50">
          <w:rPr>
            <w:noProof/>
            <w:webHidden/>
          </w:rPr>
        </w:r>
        <w:r w:rsidR="002C0E50">
          <w:rPr>
            <w:noProof/>
            <w:webHidden/>
          </w:rPr>
          <w:fldChar w:fldCharType="separate"/>
        </w:r>
        <w:r w:rsidR="00A15698">
          <w:rPr>
            <w:noProof/>
            <w:webHidden/>
          </w:rPr>
          <w:t>218</w:t>
        </w:r>
        <w:r w:rsidR="002C0E50">
          <w:rPr>
            <w:noProof/>
            <w:webHidden/>
          </w:rPr>
          <w:fldChar w:fldCharType="end"/>
        </w:r>
      </w:hyperlink>
    </w:p>
    <w:p w14:paraId="3F3D8AC4" w14:textId="1DD3FB5D"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780" w:history="1">
        <w:r w:rsidR="002C0E50" w:rsidRPr="00C75400">
          <w:rPr>
            <w:rStyle w:val="Hyperlink"/>
            <w:noProof/>
          </w:rPr>
          <w:t>4.7.6</w:t>
        </w:r>
        <w:r w:rsidR="002C0E50">
          <w:rPr>
            <w:rFonts w:asciiTheme="minorHAnsi" w:eastAsiaTheme="minorEastAsia" w:hAnsiTheme="minorHAnsi" w:cstheme="minorBidi"/>
            <w:noProof/>
            <w:szCs w:val="24"/>
          </w:rPr>
          <w:tab/>
        </w:r>
        <w:r w:rsidR="002C0E50" w:rsidRPr="00C75400">
          <w:rPr>
            <w:rStyle w:val="Hyperlink"/>
            <w:noProof/>
          </w:rPr>
          <w:t>Fish Feeds</w:t>
        </w:r>
        <w:r w:rsidR="002C0E50">
          <w:rPr>
            <w:noProof/>
            <w:webHidden/>
          </w:rPr>
          <w:tab/>
        </w:r>
        <w:r w:rsidR="002C0E50">
          <w:rPr>
            <w:noProof/>
            <w:webHidden/>
          </w:rPr>
          <w:fldChar w:fldCharType="begin"/>
        </w:r>
        <w:r w:rsidR="002C0E50">
          <w:rPr>
            <w:noProof/>
            <w:webHidden/>
          </w:rPr>
          <w:instrText xml:space="preserve"> PAGEREF _Toc82385780 \h </w:instrText>
        </w:r>
        <w:r w:rsidR="002C0E50">
          <w:rPr>
            <w:noProof/>
            <w:webHidden/>
          </w:rPr>
        </w:r>
        <w:r w:rsidR="002C0E50">
          <w:rPr>
            <w:noProof/>
            <w:webHidden/>
          </w:rPr>
          <w:fldChar w:fldCharType="separate"/>
        </w:r>
        <w:r w:rsidR="00A15698">
          <w:rPr>
            <w:noProof/>
            <w:webHidden/>
          </w:rPr>
          <w:t>219</w:t>
        </w:r>
        <w:r w:rsidR="002C0E50">
          <w:rPr>
            <w:noProof/>
            <w:webHidden/>
          </w:rPr>
          <w:fldChar w:fldCharType="end"/>
        </w:r>
      </w:hyperlink>
    </w:p>
    <w:p w14:paraId="37015A12" w14:textId="191401BF" w:rsidR="002C0E50" w:rsidRDefault="00E909AE" w:rsidP="002C0E50">
      <w:pPr>
        <w:pStyle w:val="TOC2"/>
        <w:rPr>
          <w:rFonts w:asciiTheme="minorHAnsi" w:eastAsiaTheme="minorEastAsia" w:hAnsiTheme="minorHAnsi" w:cstheme="minorBidi"/>
          <w:noProof/>
          <w:szCs w:val="24"/>
        </w:rPr>
      </w:pPr>
      <w:hyperlink w:anchor="_Toc82385781" w:history="1">
        <w:r w:rsidR="002C0E50" w:rsidRPr="00C75400">
          <w:rPr>
            <w:rStyle w:val="Hyperlink"/>
            <w:noProof/>
          </w:rPr>
          <w:t>4.8</w:t>
        </w:r>
        <w:r w:rsidR="002C0E50">
          <w:rPr>
            <w:rFonts w:asciiTheme="minorHAnsi" w:eastAsiaTheme="minorEastAsia" w:hAnsiTheme="minorHAnsi" w:cstheme="minorBidi"/>
            <w:noProof/>
            <w:szCs w:val="24"/>
          </w:rPr>
          <w:tab/>
        </w:r>
        <w:r w:rsidR="002C0E50" w:rsidRPr="00C75400">
          <w:rPr>
            <w:rStyle w:val="Hyperlink"/>
            <w:noProof/>
          </w:rPr>
          <w:t>Bee Keeping</w:t>
        </w:r>
        <w:r w:rsidR="002C0E50">
          <w:rPr>
            <w:noProof/>
            <w:webHidden/>
          </w:rPr>
          <w:tab/>
        </w:r>
        <w:r w:rsidR="002C0E50">
          <w:rPr>
            <w:noProof/>
            <w:webHidden/>
          </w:rPr>
          <w:fldChar w:fldCharType="begin"/>
        </w:r>
        <w:r w:rsidR="002C0E50">
          <w:rPr>
            <w:noProof/>
            <w:webHidden/>
          </w:rPr>
          <w:instrText xml:space="preserve"> PAGEREF _Toc82385781 \h </w:instrText>
        </w:r>
        <w:r w:rsidR="002C0E50">
          <w:rPr>
            <w:noProof/>
            <w:webHidden/>
          </w:rPr>
        </w:r>
        <w:r w:rsidR="002C0E50">
          <w:rPr>
            <w:noProof/>
            <w:webHidden/>
          </w:rPr>
          <w:fldChar w:fldCharType="separate"/>
        </w:r>
        <w:r w:rsidR="00A15698">
          <w:rPr>
            <w:noProof/>
            <w:webHidden/>
          </w:rPr>
          <w:t>220</w:t>
        </w:r>
        <w:r w:rsidR="002C0E50">
          <w:rPr>
            <w:noProof/>
            <w:webHidden/>
          </w:rPr>
          <w:fldChar w:fldCharType="end"/>
        </w:r>
      </w:hyperlink>
    </w:p>
    <w:p w14:paraId="49E92859" w14:textId="525B0599"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782" w:history="1">
        <w:r w:rsidR="002C0E50" w:rsidRPr="00C75400">
          <w:rPr>
            <w:rStyle w:val="Hyperlink"/>
            <w:noProof/>
          </w:rPr>
          <w:t>4.8.1</w:t>
        </w:r>
        <w:r w:rsidR="002C0E50">
          <w:rPr>
            <w:rFonts w:asciiTheme="minorHAnsi" w:eastAsiaTheme="minorEastAsia" w:hAnsiTheme="minorHAnsi" w:cstheme="minorBidi"/>
            <w:noProof/>
            <w:szCs w:val="24"/>
          </w:rPr>
          <w:tab/>
        </w:r>
        <w:r w:rsidR="002C0E50" w:rsidRPr="00C75400">
          <w:rPr>
            <w:rStyle w:val="Hyperlink"/>
            <w:noProof/>
          </w:rPr>
          <w:t>Honey Production</w:t>
        </w:r>
        <w:r w:rsidR="002C0E50">
          <w:rPr>
            <w:noProof/>
            <w:webHidden/>
          </w:rPr>
          <w:tab/>
        </w:r>
        <w:r w:rsidR="002C0E50">
          <w:rPr>
            <w:noProof/>
            <w:webHidden/>
          </w:rPr>
          <w:fldChar w:fldCharType="begin"/>
        </w:r>
        <w:r w:rsidR="002C0E50">
          <w:rPr>
            <w:noProof/>
            <w:webHidden/>
          </w:rPr>
          <w:instrText xml:space="preserve"> PAGEREF _Toc82385782 \h </w:instrText>
        </w:r>
        <w:r w:rsidR="002C0E50">
          <w:rPr>
            <w:noProof/>
            <w:webHidden/>
          </w:rPr>
        </w:r>
        <w:r w:rsidR="002C0E50">
          <w:rPr>
            <w:noProof/>
            <w:webHidden/>
          </w:rPr>
          <w:fldChar w:fldCharType="separate"/>
        </w:r>
        <w:r w:rsidR="00A15698">
          <w:rPr>
            <w:noProof/>
            <w:webHidden/>
          </w:rPr>
          <w:t>220</w:t>
        </w:r>
        <w:r w:rsidR="002C0E50">
          <w:rPr>
            <w:noProof/>
            <w:webHidden/>
          </w:rPr>
          <w:fldChar w:fldCharType="end"/>
        </w:r>
      </w:hyperlink>
    </w:p>
    <w:p w14:paraId="10BDC6EF" w14:textId="614670F1"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783" w:history="1">
        <w:r w:rsidR="002C0E50" w:rsidRPr="00C75400">
          <w:rPr>
            <w:rStyle w:val="Hyperlink"/>
            <w:noProof/>
          </w:rPr>
          <w:t>4.8.2</w:t>
        </w:r>
        <w:r w:rsidR="002C0E50">
          <w:rPr>
            <w:rFonts w:asciiTheme="minorHAnsi" w:eastAsiaTheme="minorEastAsia" w:hAnsiTheme="minorHAnsi" w:cstheme="minorBidi"/>
            <w:noProof/>
            <w:szCs w:val="24"/>
          </w:rPr>
          <w:tab/>
        </w:r>
        <w:r w:rsidR="002C0E50" w:rsidRPr="00C75400">
          <w:rPr>
            <w:rStyle w:val="Hyperlink"/>
            <w:noProof/>
          </w:rPr>
          <w:t>Sales and Market of Harvested Honey</w:t>
        </w:r>
        <w:r w:rsidR="002C0E50">
          <w:rPr>
            <w:noProof/>
            <w:webHidden/>
          </w:rPr>
          <w:tab/>
        </w:r>
        <w:r w:rsidR="002C0E50">
          <w:rPr>
            <w:noProof/>
            <w:webHidden/>
          </w:rPr>
          <w:fldChar w:fldCharType="begin"/>
        </w:r>
        <w:r w:rsidR="002C0E50">
          <w:rPr>
            <w:noProof/>
            <w:webHidden/>
          </w:rPr>
          <w:instrText xml:space="preserve"> PAGEREF _Toc82385783 \h </w:instrText>
        </w:r>
        <w:r w:rsidR="002C0E50">
          <w:rPr>
            <w:noProof/>
            <w:webHidden/>
          </w:rPr>
        </w:r>
        <w:r w:rsidR="002C0E50">
          <w:rPr>
            <w:noProof/>
            <w:webHidden/>
          </w:rPr>
          <w:fldChar w:fldCharType="separate"/>
        </w:r>
        <w:r w:rsidR="00A15698">
          <w:rPr>
            <w:noProof/>
            <w:webHidden/>
          </w:rPr>
          <w:t>222</w:t>
        </w:r>
        <w:r w:rsidR="002C0E50">
          <w:rPr>
            <w:noProof/>
            <w:webHidden/>
          </w:rPr>
          <w:fldChar w:fldCharType="end"/>
        </w:r>
      </w:hyperlink>
    </w:p>
    <w:p w14:paraId="5B85882D" w14:textId="361F645E" w:rsidR="002C0E50" w:rsidRPr="00467F1C" w:rsidRDefault="00E909AE" w:rsidP="002C0E50">
      <w:pPr>
        <w:pStyle w:val="TOC1"/>
        <w:tabs>
          <w:tab w:val="right" w:leader="dot" w:pos="9020"/>
        </w:tabs>
        <w:spacing w:before="240"/>
        <w:rPr>
          <w:rFonts w:asciiTheme="minorHAnsi" w:eastAsiaTheme="minorEastAsia" w:hAnsiTheme="minorHAnsi" w:cstheme="minorBidi"/>
          <w:b/>
          <w:bCs w:val="0"/>
          <w:iCs w:val="0"/>
          <w:noProof/>
        </w:rPr>
      </w:pPr>
      <w:hyperlink w:anchor="_Toc82385784" w:history="1">
        <w:r w:rsidR="002C0E50" w:rsidRPr="00467F1C">
          <w:rPr>
            <w:rStyle w:val="Hyperlink"/>
            <w:b/>
            <w:noProof/>
          </w:rPr>
          <w:t>CHAPTER FIVE</w:t>
        </w:r>
        <w:r w:rsidR="002C0E50" w:rsidRPr="00467F1C">
          <w:rPr>
            <w:b/>
            <w:noProof/>
            <w:webHidden/>
          </w:rPr>
          <w:tab/>
        </w:r>
        <w:r w:rsidR="002C0E50" w:rsidRPr="00467F1C">
          <w:rPr>
            <w:b/>
            <w:noProof/>
            <w:webHidden/>
          </w:rPr>
          <w:fldChar w:fldCharType="begin"/>
        </w:r>
        <w:r w:rsidR="002C0E50" w:rsidRPr="00467F1C">
          <w:rPr>
            <w:b/>
            <w:noProof/>
            <w:webHidden/>
          </w:rPr>
          <w:instrText xml:space="preserve"> PAGEREF _Toc82385784 \h </w:instrText>
        </w:r>
        <w:r w:rsidR="002C0E50" w:rsidRPr="00467F1C">
          <w:rPr>
            <w:b/>
            <w:noProof/>
            <w:webHidden/>
          </w:rPr>
        </w:r>
        <w:r w:rsidR="002C0E50" w:rsidRPr="00467F1C">
          <w:rPr>
            <w:b/>
            <w:noProof/>
            <w:webHidden/>
          </w:rPr>
          <w:fldChar w:fldCharType="separate"/>
        </w:r>
        <w:r w:rsidR="00A15698">
          <w:rPr>
            <w:b/>
            <w:noProof/>
            <w:webHidden/>
          </w:rPr>
          <w:t>226</w:t>
        </w:r>
        <w:r w:rsidR="002C0E50" w:rsidRPr="00467F1C">
          <w:rPr>
            <w:b/>
            <w:noProof/>
            <w:webHidden/>
          </w:rPr>
          <w:fldChar w:fldCharType="end"/>
        </w:r>
      </w:hyperlink>
    </w:p>
    <w:p w14:paraId="2CC61FE2" w14:textId="36B92315" w:rsidR="002C0E50" w:rsidRPr="00467F1C" w:rsidRDefault="00E909AE" w:rsidP="002C0E50">
      <w:pPr>
        <w:pStyle w:val="TOC1"/>
        <w:tabs>
          <w:tab w:val="right" w:leader="dot" w:pos="9020"/>
        </w:tabs>
        <w:rPr>
          <w:rFonts w:asciiTheme="minorHAnsi" w:eastAsiaTheme="minorEastAsia" w:hAnsiTheme="minorHAnsi" w:cstheme="minorBidi"/>
          <w:b/>
          <w:bCs w:val="0"/>
          <w:iCs w:val="0"/>
          <w:noProof/>
        </w:rPr>
      </w:pPr>
      <w:hyperlink w:anchor="_Toc82385785" w:history="1">
        <w:r w:rsidR="002C0E50" w:rsidRPr="00467F1C">
          <w:rPr>
            <w:rStyle w:val="Hyperlink"/>
            <w:b/>
            <w:noProof/>
          </w:rPr>
          <w:t>AGRICULTURAL CREDIT</w:t>
        </w:r>
        <w:r w:rsidR="002C0E50" w:rsidRPr="00467F1C">
          <w:rPr>
            <w:b/>
            <w:noProof/>
            <w:webHidden/>
          </w:rPr>
          <w:tab/>
        </w:r>
        <w:r w:rsidR="002C0E50" w:rsidRPr="00467F1C">
          <w:rPr>
            <w:b/>
            <w:noProof/>
            <w:webHidden/>
          </w:rPr>
          <w:fldChar w:fldCharType="begin"/>
        </w:r>
        <w:r w:rsidR="002C0E50" w:rsidRPr="00467F1C">
          <w:rPr>
            <w:b/>
            <w:noProof/>
            <w:webHidden/>
          </w:rPr>
          <w:instrText xml:space="preserve"> PAGEREF _Toc82385785 \h </w:instrText>
        </w:r>
        <w:r w:rsidR="002C0E50" w:rsidRPr="00467F1C">
          <w:rPr>
            <w:b/>
            <w:noProof/>
            <w:webHidden/>
          </w:rPr>
        </w:r>
        <w:r w:rsidR="002C0E50" w:rsidRPr="00467F1C">
          <w:rPr>
            <w:b/>
            <w:noProof/>
            <w:webHidden/>
          </w:rPr>
          <w:fldChar w:fldCharType="separate"/>
        </w:r>
        <w:r w:rsidR="00A15698">
          <w:rPr>
            <w:b/>
            <w:noProof/>
            <w:webHidden/>
          </w:rPr>
          <w:t>226</w:t>
        </w:r>
        <w:r w:rsidR="002C0E50" w:rsidRPr="00467F1C">
          <w:rPr>
            <w:b/>
            <w:noProof/>
            <w:webHidden/>
          </w:rPr>
          <w:fldChar w:fldCharType="end"/>
        </w:r>
      </w:hyperlink>
    </w:p>
    <w:p w14:paraId="47C1EC68" w14:textId="0ECE9B61" w:rsidR="002C0E50" w:rsidRDefault="00E909AE" w:rsidP="002C0E50">
      <w:pPr>
        <w:pStyle w:val="TOC1"/>
        <w:tabs>
          <w:tab w:val="left" w:pos="720"/>
          <w:tab w:val="right" w:leader="dot" w:pos="9020"/>
        </w:tabs>
        <w:rPr>
          <w:rFonts w:asciiTheme="minorHAnsi" w:eastAsiaTheme="minorEastAsia" w:hAnsiTheme="minorHAnsi" w:cstheme="minorBidi"/>
          <w:bCs w:val="0"/>
          <w:iCs w:val="0"/>
          <w:noProof/>
        </w:rPr>
      </w:pPr>
      <w:hyperlink w:anchor="_Toc82385786" w:history="1">
        <w:r w:rsidR="002C0E50" w:rsidRPr="00C75400">
          <w:rPr>
            <w:rStyle w:val="Hyperlink"/>
            <w:noProof/>
          </w:rPr>
          <w:t>5.0</w:t>
        </w:r>
        <w:r w:rsidR="002C0E50">
          <w:rPr>
            <w:rFonts w:asciiTheme="minorHAnsi" w:eastAsiaTheme="minorEastAsia" w:hAnsiTheme="minorHAnsi" w:cstheme="minorBidi"/>
            <w:bCs w:val="0"/>
            <w:iCs w:val="0"/>
            <w:noProof/>
          </w:rPr>
          <w:tab/>
        </w:r>
        <w:r w:rsidR="002C0E50" w:rsidRPr="00C75400">
          <w:rPr>
            <w:rStyle w:val="Hyperlink"/>
            <w:noProof/>
          </w:rPr>
          <w:t>Introduction</w:t>
        </w:r>
        <w:r w:rsidR="002C0E50">
          <w:rPr>
            <w:noProof/>
            <w:webHidden/>
          </w:rPr>
          <w:tab/>
        </w:r>
        <w:r w:rsidR="002C0E50">
          <w:rPr>
            <w:noProof/>
            <w:webHidden/>
          </w:rPr>
          <w:fldChar w:fldCharType="begin"/>
        </w:r>
        <w:r w:rsidR="002C0E50">
          <w:rPr>
            <w:noProof/>
            <w:webHidden/>
          </w:rPr>
          <w:instrText xml:space="preserve"> PAGEREF _Toc82385786 \h </w:instrText>
        </w:r>
        <w:r w:rsidR="002C0E50">
          <w:rPr>
            <w:noProof/>
            <w:webHidden/>
          </w:rPr>
        </w:r>
        <w:r w:rsidR="002C0E50">
          <w:rPr>
            <w:noProof/>
            <w:webHidden/>
          </w:rPr>
          <w:fldChar w:fldCharType="separate"/>
        </w:r>
        <w:r w:rsidR="00A15698">
          <w:rPr>
            <w:noProof/>
            <w:webHidden/>
          </w:rPr>
          <w:t>226</w:t>
        </w:r>
        <w:r w:rsidR="002C0E50">
          <w:rPr>
            <w:noProof/>
            <w:webHidden/>
          </w:rPr>
          <w:fldChar w:fldCharType="end"/>
        </w:r>
      </w:hyperlink>
    </w:p>
    <w:p w14:paraId="75971A4F" w14:textId="4C56C041" w:rsidR="002C0E50" w:rsidRDefault="00E909AE" w:rsidP="002C0E50">
      <w:pPr>
        <w:pStyle w:val="TOC2"/>
        <w:rPr>
          <w:rFonts w:asciiTheme="minorHAnsi" w:eastAsiaTheme="minorEastAsia" w:hAnsiTheme="minorHAnsi" w:cstheme="minorBidi"/>
          <w:noProof/>
          <w:szCs w:val="24"/>
        </w:rPr>
      </w:pPr>
      <w:hyperlink w:anchor="_Toc82385787" w:history="1">
        <w:r w:rsidR="002C0E50" w:rsidRPr="00C75400">
          <w:rPr>
            <w:rStyle w:val="Hyperlink"/>
            <w:noProof/>
          </w:rPr>
          <w:t>5.1</w:t>
        </w:r>
        <w:r w:rsidR="002C0E50">
          <w:rPr>
            <w:rFonts w:asciiTheme="minorHAnsi" w:eastAsiaTheme="minorEastAsia" w:hAnsiTheme="minorHAnsi" w:cstheme="minorBidi"/>
            <w:noProof/>
            <w:szCs w:val="24"/>
          </w:rPr>
          <w:tab/>
        </w:r>
        <w:r w:rsidR="002C0E50" w:rsidRPr="00C75400">
          <w:rPr>
            <w:rStyle w:val="Hyperlink"/>
            <w:noProof/>
          </w:rPr>
          <w:t>Agricultural Households Reported to Borrow Money</w:t>
        </w:r>
        <w:r w:rsidR="002C0E50">
          <w:rPr>
            <w:noProof/>
            <w:webHidden/>
          </w:rPr>
          <w:tab/>
        </w:r>
        <w:r w:rsidR="002C0E50">
          <w:rPr>
            <w:noProof/>
            <w:webHidden/>
          </w:rPr>
          <w:fldChar w:fldCharType="begin"/>
        </w:r>
        <w:r w:rsidR="002C0E50">
          <w:rPr>
            <w:noProof/>
            <w:webHidden/>
          </w:rPr>
          <w:instrText xml:space="preserve"> PAGEREF _Toc82385787 \h </w:instrText>
        </w:r>
        <w:r w:rsidR="002C0E50">
          <w:rPr>
            <w:noProof/>
            <w:webHidden/>
          </w:rPr>
        </w:r>
        <w:r w:rsidR="002C0E50">
          <w:rPr>
            <w:noProof/>
            <w:webHidden/>
          </w:rPr>
          <w:fldChar w:fldCharType="separate"/>
        </w:r>
        <w:r w:rsidR="00A15698">
          <w:rPr>
            <w:noProof/>
            <w:webHidden/>
          </w:rPr>
          <w:t>226</w:t>
        </w:r>
        <w:r w:rsidR="002C0E50">
          <w:rPr>
            <w:noProof/>
            <w:webHidden/>
          </w:rPr>
          <w:fldChar w:fldCharType="end"/>
        </w:r>
      </w:hyperlink>
    </w:p>
    <w:p w14:paraId="40D9424F" w14:textId="0BDB6950" w:rsidR="002C0E50" w:rsidRDefault="00E909AE" w:rsidP="002C0E50">
      <w:pPr>
        <w:pStyle w:val="TOC2"/>
        <w:rPr>
          <w:rFonts w:asciiTheme="minorHAnsi" w:eastAsiaTheme="minorEastAsia" w:hAnsiTheme="minorHAnsi" w:cstheme="minorBidi"/>
          <w:noProof/>
          <w:szCs w:val="24"/>
        </w:rPr>
      </w:pPr>
      <w:hyperlink w:anchor="_Toc82385788" w:history="1">
        <w:r w:rsidR="002C0E50" w:rsidRPr="00C75400">
          <w:rPr>
            <w:rStyle w:val="Hyperlink"/>
            <w:noProof/>
          </w:rPr>
          <w:t>5.2</w:t>
        </w:r>
        <w:r w:rsidR="002C0E50">
          <w:rPr>
            <w:rFonts w:asciiTheme="minorHAnsi" w:eastAsiaTheme="minorEastAsia" w:hAnsiTheme="minorHAnsi" w:cstheme="minorBidi"/>
            <w:noProof/>
            <w:szCs w:val="24"/>
          </w:rPr>
          <w:tab/>
        </w:r>
        <w:r w:rsidR="002C0E50" w:rsidRPr="00C75400">
          <w:rPr>
            <w:rStyle w:val="Hyperlink"/>
            <w:noProof/>
          </w:rPr>
          <w:t>Agricultural Household Members Received Credit by Sex</w:t>
        </w:r>
        <w:r w:rsidR="002C0E50">
          <w:rPr>
            <w:noProof/>
            <w:webHidden/>
          </w:rPr>
          <w:tab/>
        </w:r>
        <w:r w:rsidR="002C0E50">
          <w:rPr>
            <w:noProof/>
            <w:webHidden/>
          </w:rPr>
          <w:fldChar w:fldCharType="begin"/>
        </w:r>
        <w:r w:rsidR="002C0E50">
          <w:rPr>
            <w:noProof/>
            <w:webHidden/>
          </w:rPr>
          <w:instrText xml:space="preserve"> PAGEREF _Toc82385788 \h </w:instrText>
        </w:r>
        <w:r w:rsidR="002C0E50">
          <w:rPr>
            <w:noProof/>
            <w:webHidden/>
          </w:rPr>
        </w:r>
        <w:r w:rsidR="002C0E50">
          <w:rPr>
            <w:noProof/>
            <w:webHidden/>
          </w:rPr>
          <w:fldChar w:fldCharType="separate"/>
        </w:r>
        <w:r w:rsidR="00A15698">
          <w:rPr>
            <w:noProof/>
            <w:webHidden/>
          </w:rPr>
          <w:t>227</w:t>
        </w:r>
        <w:r w:rsidR="002C0E50">
          <w:rPr>
            <w:noProof/>
            <w:webHidden/>
          </w:rPr>
          <w:fldChar w:fldCharType="end"/>
        </w:r>
      </w:hyperlink>
    </w:p>
    <w:p w14:paraId="69D1A30B" w14:textId="3F126BAB"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789" w:history="1">
        <w:r w:rsidR="002C0E50" w:rsidRPr="00C75400">
          <w:rPr>
            <w:rStyle w:val="Hyperlink"/>
            <w:noProof/>
          </w:rPr>
          <w:t>5.2.1</w:t>
        </w:r>
        <w:r w:rsidR="002C0E50">
          <w:rPr>
            <w:rFonts w:asciiTheme="minorHAnsi" w:eastAsiaTheme="minorEastAsia" w:hAnsiTheme="minorHAnsi" w:cstheme="minorBidi"/>
            <w:noProof/>
            <w:szCs w:val="24"/>
          </w:rPr>
          <w:tab/>
        </w:r>
        <w:r w:rsidR="002C0E50" w:rsidRPr="00C75400">
          <w:rPr>
            <w:rStyle w:val="Hyperlink"/>
            <w:noProof/>
          </w:rPr>
          <w:t>Source of Credits</w:t>
        </w:r>
        <w:r w:rsidR="002C0E50">
          <w:rPr>
            <w:noProof/>
            <w:webHidden/>
          </w:rPr>
          <w:tab/>
        </w:r>
        <w:r w:rsidR="002C0E50">
          <w:rPr>
            <w:noProof/>
            <w:webHidden/>
          </w:rPr>
          <w:fldChar w:fldCharType="begin"/>
        </w:r>
        <w:r w:rsidR="002C0E50">
          <w:rPr>
            <w:noProof/>
            <w:webHidden/>
          </w:rPr>
          <w:instrText xml:space="preserve"> PAGEREF _Toc82385789 \h </w:instrText>
        </w:r>
        <w:r w:rsidR="002C0E50">
          <w:rPr>
            <w:noProof/>
            <w:webHidden/>
          </w:rPr>
        </w:r>
        <w:r w:rsidR="002C0E50">
          <w:rPr>
            <w:noProof/>
            <w:webHidden/>
          </w:rPr>
          <w:fldChar w:fldCharType="separate"/>
        </w:r>
        <w:r w:rsidR="00A15698">
          <w:rPr>
            <w:noProof/>
            <w:webHidden/>
          </w:rPr>
          <w:t>229</w:t>
        </w:r>
        <w:r w:rsidR="002C0E50">
          <w:rPr>
            <w:noProof/>
            <w:webHidden/>
          </w:rPr>
          <w:fldChar w:fldCharType="end"/>
        </w:r>
      </w:hyperlink>
    </w:p>
    <w:p w14:paraId="2A68CEBD" w14:textId="21ADA602"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790" w:history="1">
        <w:r w:rsidR="002C0E50" w:rsidRPr="00C75400">
          <w:rPr>
            <w:rStyle w:val="Hyperlink"/>
            <w:noProof/>
          </w:rPr>
          <w:t>5.2.2</w:t>
        </w:r>
        <w:r w:rsidR="002C0E50">
          <w:rPr>
            <w:rFonts w:asciiTheme="minorHAnsi" w:eastAsiaTheme="minorEastAsia" w:hAnsiTheme="minorHAnsi" w:cstheme="minorBidi"/>
            <w:noProof/>
            <w:szCs w:val="24"/>
          </w:rPr>
          <w:tab/>
        </w:r>
        <w:r w:rsidR="002C0E50" w:rsidRPr="00C75400">
          <w:rPr>
            <w:rStyle w:val="Hyperlink"/>
            <w:noProof/>
          </w:rPr>
          <w:t>Uses of Credits</w:t>
        </w:r>
        <w:r w:rsidR="002C0E50">
          <w:rPr>
            <w:noProof/>
            <w:webHidden/>
          </w:rPr>
          <w:tab/>
        </w:r>
        <w:r w:rsidR="002C0E50">
          <w:rPr>
            <w:noProof/>
            <w:webHidden/>
          </w:rPr>
          <w:fldChar w:fldCharType="begin"/>
        </w:r>
        <w:r w:rsidR="002C0E50">
          <w:rPr>
            <w:noProof/>
            <w:webHidden/>
          </w:rPr>
          <w:instrText xml:space="preserve"> PAGEREF _Toc82385790 \h </w:instrText>
        </w:r>
        <w:r w:rsidR="002C0E50">
          <w:rPr>
            <w:noProof/>
            <w:webHidden/>
          </w:rPr>
        </w:r>
        <w:r w:rsidR="002C0E50">
          <w:rPr>
            <w:noProof/>
            <w:webHidden/>
          </w:rPr>
          <w:fldChar w:fldCharType="separate"/>
        </w:r>
        <w:r w:rsidR="00A15698">
          <w:rPr>
            <w:noProof/>
            <w:webHidden/>
          </w:rPr>
          <w:t>231</w:t>
        </w:r>
        <w:r w:rsidR="002C0E50">
          <w:rPr>
            <w:noProof/>
            <w:webHidden/>
          </w:rPr>
          <w:fldChar w:fldCharType="end"/>
        </w:r>
      </w:hyperlink>
    </w:p>
    <w:p w14:paraId="11CFF82A" w14:textId="5C70AA07"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791" w:history="1">
        <w:r w:rsidR="002C0E50" w:rsidRPr="00C75400">
          <w:rPr>
            <w:rStyle w:val="Hyperlink"/>
            <w:noProof/>
          </w:rPr>
          <w:t>5.2.3</w:t>
        </w:r>
        <w:r w:rsidR="002C0E50">
          <w:rPr>
            <w:rFonts w:asciiTheme="minorHAnsi" w:eastAsiaTheme="minorEastAsia" w:hAnsiTheme="minorHAnsi" w:cstheme="minorBidi"/>
            <w:noProof/>
            <w:szCs w:val="24"/>
          </w:rPr>
          <w:tab/>
        </w:r>
        <w:r w:rsidR="002C0E50" w:rsidRPr="00C75400">
          <w:rPr>
            <w:rStyle w:val="Hyperlink"/>
            <w:noProof/>
          </w:rPr>
          <w:t>Value of Credits</w:t>
        </w:r>
        <w:r w:rsidR="002C0E50">
          <w:rPr>
            <w:noProof/>
            <w:webHidden/>
          </w:rPr>
          <w:tab/>
        </w:r>
        <w:r w:rsidR="002C0E50">
          <w:rPr>
            <w:noProof/>
            <w:webHidden/>
          </w:rPr>
          <w:fldChar w:fldCharType="begin"/>
        </w:r>
        <w:r w:rsidR="002C0E50">
          <w:rPr>
            <w:noProof/>
            <w:webHidden/>
          </w:rPr>
          <w:instrText xml:space="preserve"> PAGEREF _Toc82385791 \h </w:instrText>
        </w:r>
        <w:r w:rsidR="002C0E50">
          <w:rPr>
            <w:noProof/>
            <w:webHidden/>
          </w:rPr>
        </w:r>
        <w:r w:rsidR="002C0E50">
          <w:rPr>
            <w:noProof/>
            <w:webHidden/>
          </w:rPr>
          <w:fldChar w:fldCharType="separate"/>
        </w:r>
        <w:r w:rsidR="00A15698">
          <w:rPr>
            <w:noProof/>
            <w:webHidden/>
          </w:rPr>
          <w:t>233</w:t>
        </w:r>
        <w:r w:rsidR="002C0E50">
          <w:rPr>
            <w:noProof/>
            <w:webHidden/>
          </w:rPr>
          <w:fldChar w:fldCharType="end"/>
        </w:r>
      </w:hyperlink>
    </w:p>
    <w:p w14:paraId="72700C04" w14:textId="16AE1000"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792" w:history="1">
        <w:r w:rsidR="002C0E50" w:rsidRPr="00C75400">
          <w:rPr>
            <w:rStyle w:val="Hyperlink"/>
            <w:noProof/>
          </w:rPr>
          <w:t>5.2.4</w:t>
        </w:r>
        <w:r w:rsidR="002C0E50">
          <w:rPr>
            <w:rFonts w:asciiTheme="minorHAnsi" w:eastAsiaTheme="minorEastAsia" w:hAnsiTheme="minorHAnsi" w:cstheme="minorBidi"/>
            <w:noProof/>
            <w:szCs w:val="24"/>
          </w:rPr>
          <w:tab/>
        </w:r>
        <w:r w:rsidR="002C0E50" w:rsidRPr="00C75400">
          <w:rPr>
            <w:rStyle w:val="Hyperlink"/>
            <w:noProof/>
          </w:rPr>
          <w:t>Main Reason for Not Borrowing Credit</w:t>
        </w:r>
        <w:r w:rsidR="002C0E50">
          <w:rPr>
            <w:noProof/>
            <w:webHidden/>
          </w:rPr>
          <w:tab/>
        </w:r>
        <w:r w:rsidR="002C0E50">
          <w:rPr>
            <w:noProof/>
            <w:webHidden/>
          </w:rPr>
          <w:fldChar w:fldCharType="begin"/>
        </w:r>
        <w:r w:rsidR="002C0E50">
          <w:rPr>
            <w:noProof/>
            <w:webHidden/>
          </w:rPr>
          <w:instrText xml:space="preserve"> PAGEREF _Toc82385792 \h </w:instrText>
        </w:r>
        <w:r w:rsidR="002C0E50">
          <w:rPr>
            <w:noProof/>
            <w:webHidden/>
          </w:rPr>
        </w:r>
        <w:r w:rsidR="002C0E50">
          <w:rPr>
            <w:noProof/>
            <w:webHidden/>
          </w:rPr>
          <w:fldChar w:fldCharType="separate"/>
        </w:r>
        <w:r w:rsidR="00A15698">
          <w:rPr>
            <w:noProof/>
            <w:webHidden/>
          </w:rPr>
          <w:t>236</w:t>
        </w:r>
        <w:r w:rsidR="002C0E50">
          <w:rPr>
            <w:noProof/>
            <w:webHidden/>
          </w:rPr>
          <w:fldChar w:fldCharType="end"/>
        </w:r>
      </w:hyperlink>
    </w:p>
    <w:p w14:paraId="4F89EE76" w14:textId="1515CAF9" w:rsidR="002C0E50" w:rsidRDefault="00E909AE" w:rsidP="002C0E50">
      <w:pPr>
        <w:pStyle w:val="TOC2"/>
        <w:rPr>
          <w:rFonts w:asciiTheme="minorHAnsi" w:eastAsiaTheme="minorEastAsia" w:hAnsiTheme="minorHAnsi" w:cstheme="minorBidi"/>
          <w:noProof/>
          <w:szCs w:val="24"/>
        </w:rPr>
      </w:pPr>
      <w:hyperlink w:anchor="_Toc82385793" w:history="1">
        <w:r w:rsidR="002C0E50" w:rsidRPr="00C75400">
          <w:rPr>
            <w:rStyle w:val="Hyperlink"/>
            <w:noProof/>
          </w:rPr>
          <w:t>5.3</w:t>
        </w:r>
        <w:r w:rsidR="002C0E50">
          <w:rPr>
            <w:rFonts w:asciiTheme="minorHAnsi" w:eastAsiaTheme="minorEastAsia" w:hAnsiTheme="minorHAnsi" w:cstheme="minorBidi"/>
            <w:noProof/>
            <w:szCs w:val="24"/>
          </w:rPr>
          <w:tab/>
        </w:r>
        <w:r w:rsidR="002C0E50" w:rsidRPr="00C75400">
          <w:rPr>
            <w:rStyle w:val="Hyperlink"/>
            <w:noProof/>
          </w:rPr>
          <w:t>Agricultural Constraints</w:t>
        </w:r>
        <w:r w:rsidR="002C0E50">
          <w:rPr>
            <w:noProof/>
            <w:webHidden/>
          </w:rPr>
          <w:tab/>
        </w:r>
        <w:r w:rsidR="002C0E50">
          <w:rPr>
            <w:noProof/>
            <w:webHidden/>
          </w:rPr>
          <w:fldChar w:fldCharType="begin"/>
        </w:r>
        <w:r w:rsidR="002C0E50">
          <w:rPr>
            <w:noProof/>
            <w:webHidden/>
          </w:rPr>
          <w:instrText xml:space="preserve"> PAGEREF _Toc82385793 \h </w:instrText>
        </w:r>
        <w:r w:rsidR="002C0E50">
          <w:rPr>
            <w:noProof/>
            <w:webHidden/>
          </w:rPr>
        </w:r>
        <w:r w:rsidR="002C0E50">
          <w:rPr>
            <w:noProof/>
            <w:webHidden/>
          </w:rPr>
          <w:fldChar w:fldCharType="separate"/>
        </w:r>
        <w:r w:rsidR="00A15698">
          <w:rPr>
            <w:noProof/>
            <w:webHidden/>
          </w:rPr>
          <w:t>237</w:t>
        </w:r>
        <w:r w:rsidR="002C0E50">
          <w:rPr>
            <w:noProof/>
            <w:webHidden/>
          </w:rPr>
          <w:fldChar w:fldCharType="end"/>
        </w:r>
      </w:hyperlink>
    </w:p>
    <w:p w14:paraId="798E0C31" w14:textId="45613899" w:rsidR="002C0E50" w:rsidRPr="00467F1C" w:rsidRDefault="00E909AE" w:rsidP="002C0E50">
      <w:pPr>
        <w:pStyle w:val="TOC1"/>
        <w:tabs>
          <w:tab w:val="right" w:leader="dot" w:pos="9020"/>
        </w:tabs>
        <w:spacing w:before="240"/>
        <w:rPr>
          <w:rFonts w:asciiTheme="minorHAnsi" w:eastAsiaTheme="minorEastAsia" w:hAnsiTheme="minorHAnsi" w:cstheme="minorBidi"/>
          <w:b/>
          <w:bCs w:val="0"/>
          <w:iCs w:val="0"/>
          <w:noProof/>
        </w:rPr>
      </w:pPr>
      <w:hyperlink w:anchor="_Toc82385794" w:history="1">
        <w:r w:rsidR="002C0E50" w:rsidRPr="00467F1C">
          <w:rPr>
            <w:rStyle w:val="Hyperlink"/>
            <w:b/>
            <w:noProof/>
          </w:rPr>
          <w:t>CHAPTER SIX</w:t>
        </w:r>
        <w:r w:rsidR="002C0E50" w:rsidRPr="00467F1C">
          <w:rPr>
            <w:b/>
            <w:noProof/>
            <w:webHidden/>
          </w:rPr>
          <w:tab/>
        </w:r>
        <w:r w:rsidR="002C0E50" w:rsidRPr="00467F1C">
          <w:rPr>
            <w:b/>
            <w:noProof/>
            <w:webHidden/>
          </w:rPr>
          <w:fldChar w:fldCharType="begin"/>
        </w:r>
        <w:r w:rsidR="002C0E50" w:rsidRPr="00467F1C">
          <w:rPr>
            <w:b/>
            <w:noProof/>
            <w:webHidden/>
          </w:rPr>
          <w:instrText xml:space="preserve"> PAGEREF _Toc82385794 \h </w:instrText>
        </w:r>
        <w:r w:rsidR="002C0E50" w:rsidRPr="00467F1C">
          <w:rPr>
            <w:b/>
            <w:noProof/>
            <w:webHidden/>
          </w:rPr>
        </w:r>
        <w:r w:rsidR="002C0E50" w:rsidRPr="00467F1C">
          <w:rPr>
            <w:b/>
            <w:noProof/>
            <w:webHidden/>
          </w:rPr>
          <w:fldChar w:fldCharType="separate"/>
        </w:r>
        <w:r w:rsidR="00A15698">
          <w:rPr>
            <w:b/>
            <w:noProof/>
            <w:webHidden/>
          </w:rPr>
          <w:t>239</w:t>
        </w:r>
        <w:r w:rsidR="002C0E50" w:rsidRPr="00467F1C">
          <w:rPr>
            <w:b/>
            <w:noProof/>
            <w:webHidden/>
          </w:rPr>
          <w:fldChar w:fldCharType="end"/>
        </w:r>
      </w:hyperlink>
    </w:p>
    <w:p w14:paraId="5976A025" w14:textId="4C482914" w:rsidR="002C0E50" w:rsidRPr="00467F1C" w:rsidRDefault="00E909AE" w:rsidP="002C0E50">
      <w:pPr>
        <w:pStyle w:val="TOC1"/>
        <w:tabs>
          <w:tab w:val="right" w:leader="dot" w:pos="9020"/>
        </w:tabs>
        <w:rPr>
          <w:rFonts w:asciiTheme="minorHAnsi" w:eastAsiaTheme="minorEastAsia" w:hAnsiTheme="minorHAnsi" w:cstheme="minorBidi"/>
          <w:b/>
          <w:bCs w:val="0"/>
          <w:iCs w:val="0"/>
          <w:noProof/>
        </w:rPr>
      </w:pPr>
      <w:hyperlink w:anchor="_Toc82385795" w:history="1">
        <w:r w:rsidR="002C0E50" w:rsidRPr="00467F1C">
          <w:rPr>
            <w:rStyle w:val="Hyperlink"/>
            <w:b/>
            <w:noProof/>
          </w:rPr>
          <w:t>POVERTY INDICATORS</w:t>
        </w:r>
        <w:r w:rsidR="002C0E50" w:rsidRPr="00467F1C">
          <w:rPr>
            <w:b/>
            <w:noProof/>
            <w:webHidden/>
          </w:rPr>
          <w:tab/>
        </w:r>
        <w:r w:rsidR="002C0E50" w:rsidRPr="00467F1C">
          <w:rPr>
            <w:b/>
            <w:noProof/>
            <w:webHidden/>
          </w:rPr>
          <w:fldChar w:fldCharType="begin"/>
        </w:r>
        <w:r w:rsidR="002C0E50" w:rsidRPr="00467F1C">
          <w:rPr>
            <w:b/>
            <w:noProof/>
            <w:webHidden/>
          </w:rPr>
          <w:instrText xml:space="preserve"> PAGEREF _Toc82385795 \h </w:instrText>
        </w:r>
        <w:r w:rsidR="002C0E50" w:rsidRPr="00467F1C">
          <w:rPr>
            <w:b/>
            <w:noProof/>
            <w:webHidden/>
          </w:rPr>
        </w:r>
        <w:r w:rsidR="002C0E50" w:rsidRPr="00467F1C">
          <w:rPr>
            <w:b/>
            <w:noProof/>
            <w:webHidden/>
          </w:rPr>
          <w:fldChar w:fldCharType="separate"/>
        </w:r>
        <w:r w:rsidR="00A15698">
          <w:rPr>
            <w:b/>
            <w:noProof/>
            <w:webHidden/>
          </w:rPr>
          <w:t>239</w:t>
        </w:r>
        <w:r w:rsidR="002C0E50" w:rsidRPr="00467F1C">
          <w:rPr>
            <w:b/>
            <w:noProof/>
            <w:webHidden/>
          </w:rPr>
          <w:fldChar w:fldCharType="end"/>
        </w:r>
      </w:hyperlink>
    </w:p>
    <w:p w14:paraId="36EA9E75" w14:textId="0F657BE9" w:rsidR="002C0E50" w:rsidRDefault="00E909AE" w:rsidP="002C0E50">
      <w:pPr>
        <w:pStyle w:val="TOC1"/>
        <w:tabs>
          <w:tab w:val="left" w:pos="720"/>
          <w:tab w:val="right" w:leader="dot" w:pos="9020"/>
        </w:tabs>
        <w:rPr>
          <w:rFonts w:asciiTheme="minorHAnsi" w:eastAsiaTheme="minorEastAsia" w:hAnsiTheme="minorHAnsi" w:cstheme="minorBidi"/>
          <w:bCs w:val="0"/>
          <w:iCs w:val="0"/>
          <w:noProof/>
        </w:rPr>
      </w:pPr>
      <w:hyperlink w:anchor="_Toc82385796" w:history="1">
        <w:r w:rsidR="002C0E50" w:rsidRPr="00C75400">
          <w:rPr>
            <w:rStyle w:val="Hyperlink"/>
            <w:noProof/>
          </w:rPr>
          <w:t>6.0</w:t>
        </w:r>
        <w:r w:rsidR="002C0E50">
          <w:rPr>
            <w:rFonts w:asciiTheme="minorHAnsi" w:eastAsiaTheme="minorEastAsia" w:hAnsiTheme="minorHAnsi" w:cstheme="minorBidi"/>
            <w:bCs w:val="0"/>
            <w:iCs w:val="0"/>
            <w:noProof/>
          </w:rPr>
          <w:tab/>
        </w:r>
        <w:r w:rsidR="002C0E50" w:rsidRPr="00C75400">
          <w:rPr>
            <w:rStyle w:val="Hyperlink"/>
            <w:noProof/>
          </w:rPr>
          <w:t>Introduction</w:t>
        </w:r>
        <w:r w:rsidR="002C0E50">
          <w:rPr>
            <w:noProof/>
            <w:webHidden/>
          </w:rPr>
          <w:tab/>
        </w:r>
        <w:r w:rsidR="002C0E50">
          <w:rPr>
            <w:noProof/>
            <w:webHidden/>
          </w:rPr>
          <w:fldChar w:fldCharType="begin"/>
        </w:r>
        <w:r w:rsidR="002C0E50">
          <w:rPr>
            <w:noProof/>
            <w:webHidden/>
          </w:rPr>
          <w:instrText xml:space="preserve"> PAGEREF _Toc82385796 \h </w:instrText>
        </w:r>
        <w:r w:rsidR="002C0E50">
          <w:rPr>
            <w:noProof/>
            <w:webHidden/>
          </w:rPr>
        </w:r>
        <w:r w:rsidR="002C0E50">
          <w:rPr>
            <w:noProof/>
            <w:webHidden/>
          </w:rPr>
          <w:fldChar w:fldCharType="separate"/>
        </w:r>
        <w:r w:rsidR="00A15698">
          <w:rPr>
            <w:noProof/>
            <w:webHidden/>
          </w:rPr>
          <w:t>239</w:t>
        </w:r>
        <w:r w:rsidR="002C0E50">
          <w:rPr>
            <w:noProof/>
            <w:webHidden/>
          </w:rPr>
          <w:fldChar w:fldCharType="end"/>
        </w:r>
      </w:hyperlink>
    </w:p>
    <w:p w14:paraId="61CDC15F" w14:textId="54FAE82C" w:rsidR="002C0E50" w:rsidRDefault="00E909AE" w:rsidP="002C0E50">
      <w:pPr>
        <w:pStyle w:val="TOC2"/>
        <w:rPr>
          <w:rFonts w:asciiTheme="minorHAnsi" w:eastAsiaTheme="minorEastAsia" w:hAnsiTheme="minorHAnsi" w:cstheme="minorBidi"/>
          <w:noProof/>
          <w:szCs w:val="24"/>
        </w:rPr>
      </w:pPr>
      <w:hyperlink w:anchor="_Toc82385797" w:history="1">
        <w:r w:rsidR="002C0E50" w:rsidRPr="00C75400">
          <w:rPr>
            <w:rStyle w:val="Hyperlink"/>
            <w:noProof/>
          </w:rPr>
          <w:t>6.1</w:t>
        </w:r>
        <w:r w:rsidR="002C0E50">
          <w:rPr>
            <w:rFonts w:asciiTheme="minorHAnsi" w:eastAsiaTheme="minorEastAsia" w:hAnsiTheme="minorHAnsi" w:cstheme="minorBidi"/>
            <w:noProof/>
            <w:szCs w:val="24"/>
          </w:rPr>
          <w:tab/>
        </w:r>
        <w:r w:rsidR="002C0E50" w:rsidRPr="00C75400">
          <w:rPr>
            <w:rStyle w:val="Hyperlink"/>
            <w:noProof/>
          </w:rPr>
          <w:t>Roofing Materials</w:t>
        </w:r>
        <w:r w:rsidR="002C0E50">
          <w:rPr>
            <w:noProof/>
            <w:webHidden/>
          </w:rPr>
          <w:tab/>
        </w:r>
        <w:r w:rsidR="002C0E50">
          <w:rPr>
            <w:noProof/>
            <w:webHidden/>
          </w:rPr>
          <w:fldChar w:fldCharType="begin"/>
        </w:r>
        <w:r w:rsidR="002C0E50">
          <w:rPr>
            <w:noProof/>
            <w:webHidden/>
          </w:rPr>
          <w:instrText xml:space="preserve"> PAGEREF _Toc82385797 \h </w:instrText>
        </w:r>
        <w:r w:rsidR="002C0E50">
          <w:rPr>
            <w:noProof/>
            <w:webHidden/>
          </w:rPr>
        </w:r>
        <w:r w:rsidR="002C0E50">
          <w:rPr>
            <w:noProof/>
            <w:webHidden/>
          </w:rPr>
          <w:fldChar w:fldCharType="separate"/>
        </w:r>
        <w:r w:rsidR="00A15698">
          <w:rPr>
            <w:noProof/>
            <w:webHidden/>
          </w:rPr>
          <w:t>239</w:t>
        </w:r>
        <w:r w:rsidR="002C0E50">
          <w:rPr>
            <w:noProof/>
            <w:webHidden/>
          </w:rPr>
          <w:fldChar w:fldCharType="end"/>
        </w:r>
      </w:hyperlink>
    </w:p>
    <w:p w14:paraId="2D8055AB" w14:textId="6569C15F" w:rsidR="002C0E50" w:rsidRDefault="00E909AE" w:rsidP="002C0E50">
      <w:pPr>
        <w:pStyle w:val="TOC2"/>
        <w:rPr>
          <w:rFonts w:asciiTheme="minorHAnsi" w:eastAsiaTheme="minorEastAsia" w:hAnsiTheme="minorHAnsi" w:cstheme="minorBidi"/>
          <w:noProof/>
          <w:szCs w:val="24"/>
        </w:rPr>
      </w:pPr>
      <w:hyperlink w:anchor="_Toc82385798" w:history="1">
        <w:r w:rsidR="002C0E50" w:rsidRPr="00C75400">
          <w:rPr>
            <w:rStyle w:val="Hyperlink"/>
            <w:noProof/>
          </w:rPr>
          <w:t>6.2</w:t>
        </w:r>
        <w:r w:rsidR="002C0E50">
          <w:rPr>
            <w:rFonts w:asciiTheme="minorHAnsi" w:eastAsiaTheme="minorEastAsia" w:hAnsiTheme="minorHAnsi" w:cstheme="minorBidi"/>
            <w:noProof/>
            <w:szCs w:val="24"/>
          </w:rPr>
          <w:tab/>
        </w:r>
        <w:r w:rsidR="002C0E50" w:rsidRPr="00C75400">
          <w:rPr>
            <w:rStyle w:val="Hyperlink"/>
            <w:noProof/>
          </w:rPr>
          <w:t>Floor Materials</w:t>
        </w:r>
        <w:r w:rsidR="002C0E50">
          <w:rPr>
            <w:noProof/>
            <w:webHidden/>
          </w:rPr>
          <w:tab/>
        </w:r>
        <w:r w:rsidR="002C0E50">
          <w:rPr>
            <w:noProof/>
            <w:webHidden/>
          </w:rPr>
          <w:fldChar w:fldCharType="begin"/>
        </w:r>
        <w:r w:rsidR="002C0E50">
          <w:rPr>
            <w:noProof/>
            <w:webHidden/>
          </w:rPr>
          <w:instrText xml:space="preserve"> PAGEREF _Toc82385798 \h </w:instrText>
        </w:r>
        <w:r w:rsidR="002C0E50">
          <w:rPr>
            <w:noProof/>
            <w:webHidden/>
          </w:rPr>
        </w:r>
        <w:r w:rsidR="002C0E50">
          <w:rPr>
            <w:noProof/>
            <w:webHidden/>
          </w:rPr>
          <w:fldChar w:fldCharType="separate"/>
        </w:r>
        <w:r w:rsidR="00A15698">
          <w:rPr>
            <w:noProof/>
            <w:webHidden/>
          </w:rPr>
          <w:t>241</w:t>
        </w:r>
        <w:r w:rsidR="002C0E50">
          <w:rPr>
            <w:noProof/>
            <w:webHidden/>
          </w:rPr>
          <w:fldChar w:fldCharType="end"/>
        </w:r>
      </w:hyperlink>
    </w:p>
    <w:p w14:paraId="2F635A23" w14:textId="2C72CD18" w:rsidR="002C0E50" w:rsidRDefault="00E909AE" w:rsidP="002C0E50">
      <w:pPr>
        <w:pStyle w:val="TOC2"/>
        <w:rPr>
          <w:rFonts w:asciiTheme="minorHAnsi" w:eastAsiaTheme="minorEastAsia" w:hAnsiTheme="minorHAnsi" w:cstheme="minorBidi"/>
          <w:noProof/>
          <w:szCs w:val="24"/>
        </w:rPr>
      </w:pPr>
      <w:hyperlink w:anchor="_Toc82385799" w:history="1">
        <w:r w:rsidR="002C0E50" w:rsidRPr="00C75400">
          <w:rPr>
            <w:rStyle w:val="Hyperlink"/>
            <w:noProof/>
          </w:rPr>
          <w:t>6.3</w:t>
        </w:r>
        <w:r w:rsidR="002C0E50">
          <w:rPr>
            <w:rFonts w:asciiTheme="minorHAnsi" w:eastAsiaTheme="minorEastAsia" w:hAnsiTheme="minorHAnsi" w:cstheme="minorBidi"/>
            <w:noProof/>
            <w:szCs w:val="24"/>
          </w:rPr>
          <w:tab/>
        </w:r>
        <w:r w:rsidR="002C0E50" w:rsidRPr="00C75400">
          <w:rPr>
            <w:rStyle w:val="Hyperlink"/>
            <w:noProof/>
          </w:rPr>
          <w:t>Wall Materials</w:t>
        </w:r>
        <w:r w:rsidR="002C0E50">
          <w:rPr>
            <w:noProof/>
            <w:webHidden/>
          </w:rPr>
          <w:tab/>
        </w:r>
        <w:r w:rsidR="002C0E50">
          <w:rPr>
            <w:noProof/>
            <w:webHidden/>
          </w:rPr>
          <w:fldChar w:fldCharType="begin"/>
        </w:r>
        <w:r w:rsidR="002C0E50">
          <w:rPr>
            <w:noProof/>
            <w:webHidden/>
          </w:rPr>
          <w:instrText xml:space="preserve"> PAGEREF _Toc82385799 \h </w:instrText>
        </w:r>
        <w:r w:rsidR="002C0E50">
          <w:rPr>
            <w:noProof/>
            <w:webHidden/>
          </w:rPr>
        </w:r>
        <w:r w:rsidR="002C0E50">
          <w:rPr>
            <w:noProof/>
            <w:webHidden/>
          </w:rPr>
          <w:fldChar w:fldCharType="separate"/>
        </w:r>
        <w:r w:rsidR="00A15698">
          <w:rPr>
            <w:noProof/>
            <w:webHidden/>
          </w:rPr>
          <w:t>243</w:t>
        </w:r>
        <w:r w:rsidR="002C0E50">
          <w:rPr>
            <w:noProof/>
            <w:webHidden/>
          </w:rPr>
          <w:fldChar w:fldCharType="end"/>
        </w:r>
      </w:hyperlink>
    </w:p>
    <w:p w14:paraId="1185C277" w14:textId="766A9955" w:rsidR="002C0E50" w:rsidRDefault="00E909AE" w:rsidP="002C0E50">
      <w:pPr>
        <w:pStyle w:val="TOC2"/>
        <w:rPr>
          <w:rFonts w:asciiTheme="minorHAnsi" w:eastAsiaTheme="minorEastAsia" w:hAnsiTheme="minorHAnsi" w:cstheme="minorBidi"/>
          <w:noProof/>
          <w:szCs w:val="24"/>
        </w:rPr>
      </w:pPr>
      <w:hyperlink w:anchor="_Toc82385800" w:history="1">
        <w:r w:rsidR="002C0E50" w:rsidRPr="00C75400">
          <w:rPr>
            <w:rStyle w:val="Hyperlink"/>
            <w:noProof/>
          </w:rPr>
          <w:t>6.4</w:t>
        </w:r>
        <w:r w:rsidR="002C0E50">
          <w:rPr>
            <w:rFonts w:asciiTheme="minorHAnsi" w:eastAsiaTheme="minorEastAsia" w:hAnsiTheme="minorHAnsi" w:cstheme="minorBidi"/>
            <w:noProof/>
            <w:szCs w:val="24"/>
          </w:rPr>
          <w:tab/>
        </w:r>
        <w:r w:rsidR="002C0E50" w:rsidRPr="00C75400">
          <w:rPr>
            <w:rStyle w:val="Hyperlink"/>
            <w:noProof/>
          </w:rPr>
          <w:t>Toilet Facilities</w:t>
        </w:r>
        <w:r w:rsidR="002C0E50">
          <w:rPr>
            <w:noProof/>
            <w:webHidden/>
          </w:rPr>
          <w:tab/>
        </w:r>
        <w:r w:rsidR="002C0E50">
          <w:rPr>
            <w:noProof/>
            <w:webHidden/>
          </w:rPr>
          <w:fldChar w:fldCharType="begin"/>
        </w:r>
        <w:r w:rsidR="002C0E50">
          <w:rPr>
            <w:noProof/>
            <w:webHidden/>
          </w:rPr>
          <w:instrText xml:space="preserve"> PAGEREF _Toc82385800 \h </w:instrText>
        </w:r>
        <w:r w:rsidR="002C0E50">
          <w:rPr>
            <w:noProof/>
            <w:webHidden/>
          </w:rPr>
        </w:r>
        <w:r w:rsidR="002C0E50">
          <w:rPr>
            <w:noProof/>
            <w:webHidden/>
          </w:rPr>
          <w:fldChar w:fldCharType="separate"/>
        </w:r>
        <w:r w:rsidR="00A15698">
          <w:rPr>
            <w:noProof/>
            <w:webHidden/>
          </w:rPr>
          <w:t>245</w:t>
        </w:r>
        <w:r w:rsidR="002C0E50">
          <w:rPr>
            <w:noProof/>
            <w:webHidden/>
          </w:rPr>
          <w:fldChar w:fldCharType="end"/>
        </w:r>
      </w:hyperlink>
    </w:p>
    <w:p w14:paraId="53820939" w14:textId="17BA516A" w:rsidR="002C0E50" w:rsidRDefault="00E909AE" w:rsidP="002C0E50">
      <w:pPr>
        <w:pStyle w:val="TOC2"/>
        <w:rPr>
          <w:rFonts w:asciiTheme="minorHAnsi" w:eastAsiaTheme="minorEastAsia" w:hAnsiTheme="minorHAnsi" w:cstheme="minorBidi"/>
          <w:noProof/>
          <w:szCs w:val="24"/>
        </w:rPr>
      </w:pPr>
      <w:hyperlink w:anchor="_Toc82385801" w:history="1">
        <w:r w:rsidR="002C0E50" w:rsidRPr="00C75400">
          <w:rPr>
            <w:rStyle w:val="Hyperlink"/>
            <w:noProof/>
          </w:rPr>
          <w:t>6.5</w:t>
        </w:r>
        <w:r w:rsidR="002C0E50">
          <w:rPr>
            <w:rFonts w:asciiTheme="minorHAnsi" w:eastAsiaTheme="minorEastAsia" w:hAnsiTheme="minorHAnsi" w:cstheme="minorBidi"/>
            <w:noProof/>
            <w:szCs w:val="24"/>
          </w:rPr>
          <w:tab/>
        </w:r>
        <w:r w:rsidR="002C0E50" w:rsidRPr="00C75400">
          <w:rPr>
            <w:rStyle w:val="Hyperlink"/>
            <w:noProof/>
          </w:rPr>
          <w:t>Main Source of Energy for Cooking</w:t>
        </w:r>
        <w:r w:rsidR="002C0E50">
          <w:rPr>
            <w:noProof/>
            <w:webHidden/>
          </w:rPr>
          <w:tab/>
        </w:r>
        <w:r w:rsidR="002C0E50">
          <w:rPr>
            <w:noProof/>
            <w:webHidden/>
          </w:rPr>
          <w:fldChar w:fldCharType="begin"/>
        </w:r>
        <w:r w:rsidR="002C0E50">
          <w:rPr>
            <w:noProof/>
            <w:webHidden/>
          </w:rPr>
          <w:instrText xml:space="preserve"> PAGEREF _Toc82385801 \h </w:instrText>
        </w:r>
        <w:r w:rsidR="002C0E50">
          <w:rPr>
            <w:noProof/>
            <w:webHidden/>
          </w:rPr>
        </w:r>
        <w:r w:rsidR="002C0E50">
          <w:rPr>
            <w:noProof/>
            <w:webHidden/>
          </w:rPr>
          <w:fldChar w:fldCharType="separate"/>
        </w:r>
        <w:r w:rsidR="00A15698">
          <w:rPr>
            <w:noProof/>
            <w:webHidden/>
          </w:rPr>
          <w:t>247</w:t>
        </w:r>
        <w:r w:rsidR="002C0E50">
          <w:rPr>
            <w:noProof/>
            <w:webHidden/>
          </w:rPr>
          <w:fldChar w:fldCharType="end"/>
        </w:r>
      </w:hyperlink>
    </w:p>
    <w:p w14:paraId="3EA8C02D" w14:textId="539DAEA1" w:rsidR="002C0E50" w:rsidRDefault="00E909AE" w:rsidP="002C0E50">
      <w:pPr>
        <w:pStyle w:val="TOC2"/>
        <w:rPr>
          <w:rFonts w:asciiTheme="minorHAnsi" w:eastAsiaTheme="minorEastAsia" w:hAnsiTheme="minorHAnsi" w:cstheme="minorBidi"/>
          <w:noProof/>
          <w:szCs w:val="24"/>
        </w:rPr>
      </w:pPr>
      <w:hyperlink w:anchor="_Toc82385802" w:history="1">
        <w:r w:rsidR="002C0E50" w:rsidRPr="00C75400">
          <w:rPr>
            <w:rStyle w:val="Hyperlink"/>
            <w:noProof/>
          </w:rPr>
          <w:t>6.6</w:t>
        </w:r>
        <w:r w:rsidR="002C0E50">
          <w:rPr>
            <w:rFonts w:asciiTheme="minorHAnsi" w:eastAsiaTheme="minorEastAsia" w:hAnsiTheme="minorHAnsi" w:cstheme="minorBidi"/>
            <w:noProof/>
            <w:szCs w:val="24"/>
          </w:rPr>
          <w:tab/>
        </w:r>
        <w:r w:rsidR="002C0E50" w:rsidRPr="00C75400">
          <w:rPr>
            <w:rStyle w:val="Hyperlink"/>
            <w:noProof/>
          </w:rPr>
          <w:t>Main Source of Energy for Lighting</w:t>
        </w:r>
        <w:r w:rsidR="002C0E50">
          <w:rPr>
            <w:noProof/>
            <w:webHidden/>
          </w:rPr>
          <w:tab/>
        </w:r>
        <w:r w:rsidR="002C0E50">
          <w:rPr>
            <w:noProof/>
            <w:webHidden/>
          </w:rPr>
          <w:fldChar w:fldCharType="begin"/>
        </w:r>
        <w:r w:rsidR="002C0E50">
          <w:rPr>
            <w:noProof/>
            <w:webHidden/>
          </w:rPr>
          <w:instrText xml:space="preserve"> PAGEREF _Toc82385802 \h </w:instrText>
        </w:r>
        <w:r w:rsidR="002C0E50">
          <w:rPr>
            <w:noProof/>
            <w:webHidden/>
          </w:rPr>
        </w:r>
        <w:r w:rsidR="002C0E50">
          <w:rPr>
            <w:noProof/>
            <w:webHidden/>
          </w:rPr>
          <w:fldChar w:fldCharType="separate"/>
        </w:r>
        <w:r w:rsidR="00A15698">
          <w:rPr>
            <w:noProof/>
            <w:webHidden/>
          </w:rPr>
          <w:t>250</w:t>
        </w:r>
        <w:r w:rsidR="002C0E50">
          <w:rPr>
            <w:noProof/>
            <w:webHidden/>
          </w:rPr>
          <w:fldChar w:fldCharType="end"/>
        </w:r>
      </w:hyperlink>
    </w:p>
    <w:p w14:paraId="6AE14A79" w14:textId="566F1D9E" w:rsidR="002C0E50" w:rsidRDefault="00E909AE" w:rsidP="002C0E50">
      <w:pPr>
        <w:pStyle w:val="TOC2"/>
        <w:rPr>
          <w:rFonts w:asciiTheme="minorHAnsi" w:eastAsiaTheme="minorEastAsia" w:hAnsiTheme="minorHAnsi" w:cstheme="minorBidi"/>
          <w:noProof/>
          <w:szCs w:val="24"/>
        </w:rPr>
      </w:pPr>
      <w:hyperlink w:anchor="_Toc82385803" w:history="1">
        <w:r w:rsidR="002C0E50" w:rsidRPr="00C75400">
          <w:rPr>
            <w:rStyle w:val="Hyperlink"/>
            <w:noProof/>
          </w:rPr>
          <w:t>6.7</w:t>
        </w:r>
        <w:r w:rsidR="002C0E50">
          <w:rPr>
            <w:rFonts w:asciiTheme="minorHAnsi" w:eastAsiaTheme="minorEastAsia" w:hAnsiTheme="minorHAnsi" w:cstheme="minorBidi"/>
            <w:noProof/>
            <w:szCs w:val="24"/>
          </w:rPr>
          <w:tab/>
        </w:r>
        <w:r w:rsidR="002C0E50" w:rsidRPr="00C75400">
          <w:rPr>
            <w:rStyle w:val="Hyperlink"/>
            <w:noProof/>
          </w:rPr>
          <w:t>Access to Drinking Water</w:t>
        </w:r>
        <w:r w:rsidR="002C0E50">
          <w:rPr>
            <w:noProof/>
            <w:webHidden/>
          </w:rPr>
          <w:tab/>
        </w:r>
        <w:r w:rsidR="002C0E50">
          <w:rPr>
            <w:noProof/>
            <w:webHidden/>
          </w:rPr>
          <w:fldChar w:fldCharType="begin"/>
        </w:r>
        <w:r w:rsidR="002C0E50">
          <w:rPr>
            <w:noProof/>
            <w:webHidden/>
          </w:rPr>
          <w:instrText xml:space="preserve"> PAGEREF _Toc82385803 \h </w:instrText>
        </w:r>
        <w:r w:rsidR="002C0E50">
          <w:rPr>
            <w:noProof/>
            <w:webHidden/>
          </w:rPr>
        </w:r>
        <w:r w:rsidR="002C0E50">
          <w:rPr>
            <w:noProof/>
            <w:webHidden/>
          </w:rPr>
          <w:fldChar w:fldCharType="separate"/>
        </w:r>
        <w:r w:rsidR="00A15698">
          <w:rPr>
            <w:noProof/>
            <w:webHidden/>
          </w:rPr>
          <w:t>252</w:t>
        </w:r>
        <w:r w:rsidR="002C0E50">
          <w:rPr>
            <w:noProof/>
            <w:webHidden/>
          </w:rPr>
          <w:fldChar w:fldCharType="end"/>
        </w:r>
      </w:hyperlink>
    </w:p>
    <w:p w14:paraId="5FF2F2C6" w14:textId="6EEBA4B9"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804" w:history="1">
        <w:r w:rsidR="002C0E50" w:rsidRPr="00C75400">
          <w:rPr>
            <w:rStyle w:val="Hyperlink"/>
            <w:noProof/>
          </w:rPr>
          <w:t>6.7.1</w:t>
        </w:r>
        <w:r w:rsidR="002C0E50">
          <w:rPr>
            <w:rFonts w:asciiTheme="minorHAnsi" w:eastAsiaTheme="minorEastAsia" w:hAnsiTheme="minorHAnsi" w:cstheme="minorBidi"/>
            <w:noProof/>
            <w:szCs w:val="24"/>
          </w:rPr>
          <w:tab/>
        </w:r>
        <w:r w:rsidR="002C0E50" w:rsidRPr="00C75400">
          <w:rPr>
            <w:rStyle w:val="Hyperlink"/>
            <w:noProof/>
          </w:rPr>
          <w:t>Wet Season</w:t>
        </w:r>
        <w:r w:rsidR="002C0E50">
          <w:rPr>
            <w:noProof/>
            <w:webHidden/>
          </w:rPr>
          <w:tab/>
        </w:r>
        <w:r w:rsidR="002C0E50">
          <w:rPr>
            <w:noProof/>
            <w:webHidden/>
          </w:rPr>
          <w:fldChar w:fldCharType="begin"/>
        </w:r>
        <w:r w:rsidR="002C0E50">
          <w:rPr>
            <w:noProof/>
            <w:webHidden/>
          </w:rPr>
          <w:instrText xml:space="preserve"> PAGEREF _Toc82385804 \h </w:instrText>
        </w:r>
        <w:r w:rsidR="002C0E50">
          <w:rPr>
            <w:noProof/>
            <w:webHidden/>
          </w:rPr>
        </w:r>
        <w:r w:rsidR="002C0E50">
          <w:rPr>
            <w:noProof/>
            <w:webHidden/>
          </w:rPr>
          <w:fldChar w:fldCharType="separate"/>
        </w:r>
        <w:r w:rsidR="00A15698">
          <w:rPr>
            <w:noProof/>
            <w:webHidden/>
          </w:rPr>
          <w:t>252</w:t>
        </w:r>
        <w:r w:rsidR="002C0E50">
          <w:rPr>
            <w:noProof/>
            <w:webHidden/>
          </w:rPr>
          <w:fldChar w:fldCharType="end"/>
        </w:r>
      </w:hyperlink>
    </w:p>
    <w:p w14:paraId="065888A6" w14:textId="6C8A2883"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805" w:history="1">
        <w:r w:rsidR="002C0E50" w:rsidRPr="00C75400">
          <w:rPr>
            <w:rStyle w:val="Hyperlink"/>
            <w:noProof/>
          </w:rPr>
          <w:t>6.7.2</w:t>
        </w:r>
        <w:r w:rsidR="002C0E50">
          <w:rPr>
            <w:rFonts w:asciiTheme="minorHAnsi" w:eastAsiaTheme="minorEastAsia" w:hAnsiTheme="minorHAnsi" w:cstheme="minorBidi"/>
            <w:noProof/>
            <w:szCs w:val="24"/>
          </w:rPr>
          <w:tab/>
        </w:r>
        <w:r w:rsidR="002C0E50" w:rsidRPr="00C75400">
          <w:rPr>
            <w:rStyle w:val="Hyperlink"/>
            <w:noProof/>
          </w:rPr>
          <w:t>Dry Season</w:t>
        </w:r>
        <w:r w:rsidR="002C0E50">
          <w:rPr>
            <w:noProof/>
            <w:webHidden/>
          </w:rPr>
          <w:tab/>
        </w:r>
        <w:r w:rsidR="002C0E50">
          <w:rPr>
            <w:noProof/>
            <w:webHidden/>
          </w:rPr>
          <w:fldChar w:fldCharType="begin"/>
        </w:r>
        <w:r w:rsidR="002C0E50">
          <w:rPr>
            <w:noProof/>
            <w:webHidden/>
          </w:rPr>
          <w:instrText xml:space="preserve"> PAGEREF _Toc82385805 \h </w:instrText>
        </w:r>
        <w:r w:rsidR="002C0E50">
          <w:rPr>
            <w:noProof/>
            <w:webHidden/>
          </w:rPr>
        </w:r>
        <w:r w:rsidR="002C0E50">
          <w:rPr>
            <w:noProof/>
            <w:webHidden/>
          </w:rPr>
          <w:fldChar w:fldCharType="separate"/>
        </w:r>
        <w:r w:rsidR="00A15698">
          <w:rPr>
            <w:noProof/>
            <w:webHidden/>
          </w:rPr>
          <w:t>255</w:t>
        </w:r>
        <w:r w:rsidR="002C0E50">
          <w:rPr>
            <w:noProof/>
            <w:webHidden/>
          </w:rPr>
          <w:fldChar w:fldCharType="end"/>
        </w:r>
      </w:hyperlink>
    </w:p>
    <w:p w14:paraId="0D7EFF4E" w14:textId="5E7FBBF8" w:rsidR="002C0E50" w:rsidRDefault="00E909AE" w:rsidP="002C0E50">
      <w:pPr>
        <w:pStyle w:val="TOC2"/>
        <w:rPr>
          <w:rFonts w:asciiTheme="minorHAnsi" w:eastAsiaTheme="minorEastAsia" w:hAnsiTheme="minorHAnsi" w:cstheme="minorBidi"/>
          <w:noProof/>
          <w:szCs w:val="24"/>
        </w:rPr>
      </w:pPr>
      <w:hyperlink w:anchor="_Toc82385806" w:history="1">
        <w:r w:rsidR="002C0E50" w:rsidRPr="00C75400">
          <w:rPr>
            <w:rStyle w:val="Hyperlink"/>
            <w:noProof/>
          </w:rPr>
          <w:t>6.8</w:t>
        </w:r>
        <w:r w:rsidR="002C0E50">
          <w:rPr>
            <w:rFonts w:asciiTheme="minorHAnsi" w:eastAsiaTheme="minorEastAsia" w:hAnsiTheme="minorHAnsi" w:cstheme="minorBidi"/>
            <w:noProof/>
            <w:szCs w:val="24"/>
          </w:rPr>
          <w:tab/>
        </w:r>
        <w:r w:rsidR="002C0E50" w:rsidRPr="00C75400">
          <w:rPr>
            <w:rStyle w:val="Hyperlink"/>
            <w:noProof/>
          </w:rPr>
          <w:t>Distance to Source of Drinking Water</w:t>
        </w:r>
        <w:r w:rsidR="002C0E50">
          <w:rPr>
            <w:noProof/>
            <w:webHidden/>
          </w:rPr>
          <w:tab/>
        </w:r>
        <w:r w:rsidR="002C0E50">
          <w:rPr>
            <w:noProof/>
            <w:webHidden/>
          </w:rPr>
          <w:fldChar w:fldCharType="begin"/>
        </w:r>
        <w:r w:rsidR="002C0E50">
          <w:rPr>
            <w:noProof/>
            <w:webHidden/>
          </w:rPr>
          <w:instrText xml:space="preserve"> PAGEREF _Toc82385806 \h </w:instrText>
        </w:r>
        <w:r w:rsidR="002C0E50">
          <w:rPr>
            <w:noProof/>
            <w:webHidden/>
          </w:rPr>
        </w:r>
        <w:r w:rsidR="002C0E50">
          <w:rPr>
            <w:noProof/>
            <w:webHidden/>
          </w:rPr>
          <w:fldChar w:fldCharType="separate"/>
        </w:r>
        <w:r w:rsidR="00A15698">
          <w:rPr>
            <w:noProof/>
            <w:webHidden/>
          </w:rPr>
          <w:t>258</w:t>
        </w:r>
        <w:r w:rsidR="002C0E50">
          <w:rPr>
            <w:noProof/>
            <w:webHidden/>
          </w:rPr>
          <w:fldChar w:fldCharType="end"/>
        </w:r>
      </w:hyperlink>
    </w:p>
    <w:p w14:paraId="5C151340" w14:textId="722B72AF" w:rsidR="002C0E50" w:rsidRDefault="00E909AE" w:rsidP="002C0E50">
      <w:pPr>
        <w:pStyle w:val="TOC2"/>
        <w:rPr>
          <w:rFonts w:asciiTheme="minorHAnsi" w:eastAsiaTheme="minorEastAsia" w:hAnsiTheme="minorHAnsi" w:cstheme="minorBidi"/>
          <w:noProof/>
          <w:szCs w:val="24"/>
        </w:rPr>
      </w:pPr>
      <w:hyperlink w:anchor="_Toc82385807" w:history="1">
        <w:r w:rsidR="002C0E50" w:rsidRPr="00C75400">
          <w:rPr>
            <w:rStyle w:val="Hyperlink"/>
            <w:noProof/>
          </w:rPr>
          <w:t>6.9</w:t>
        </w:r>
        <w:r w:rsidR="002C0E50">
          <w:rPr>
            <w:rFonts w:asciiTheme="minorHAnsi" w:eastAsiaTheme="minorEastAsia" w:hAnsiTheme="minorHAnsi" w:cstheme="minorBidi"/>
            <w:noProof/>
            <w:szCs w:val="24"/>
          </w:rPr>
          <w:tab/>
        </w:r>
        <w:r w:rsidR="002C0E50" w:rsidRPr="00C75400">
          <w:rPr>
            <w:rStyle w:val="Hyperlink"/>
            <w:noProof/>
          </w:rPr>
          <w:t>Time Spent to Main Source of Drinking Water</w:t>
        </w:r>
        <w:r w:rsidR="002C0E50">
          <w:rPr>
            <w:noProof/>
            <w:webHidden/>
          </w:rPr>
          <w:tab/>
        </w:r>
        <w:r w:rsidR="002C0E50">
          <w:rPr>
            <w:noProof/>
            <w:webHidden/>
          </w:rPr>
          <w:fldChar w:fldCharType="begin"/>
        </w:r>
        <w:r w:rsidR="002C0E50">
          <w:rPr>
            <w:noProof/>
            <w:webHidden/>
          </w:rPr>
          <w:instrText xml:space="preserve"> PAGEREF _Toc82385807 \h </w:instrText>
        </w:r>
        <w:r w:rsidR="002C0E50">
          <w:rPr>
            <w:noProof/>
            <w:webHidden/>
          </w:rPr>
        </w:r>
        <w:r w:rsidR="002C0E50">
          <w:rPr>
            <w:noProof/>
            <w:webHidden/>
          </w:rPr>
          <w:fldChar w:fldCharType="separate"/>
        </w:r>
        <w:r w:rsidR="00A15698">
          <w:rPr>
            <w:noProof/>
            <w:webHidden/>
          </w:rPr>
          <w:t>259</w:t>
        </w:r>
        <w:r w:rsidR="002C0E50">
          <w:rPr>
            <w:noProof/>
            <w:webHidden/>
          </w:rPr>
          <w:fldChar w:fldCharType="end"/>
        </w:r>
      </w:hyperlink>
    </w:p>
    <w:p w14:paraId="2F9055C4" w14:textId="0FFBBCE8" w:rsidR="002C0E50" w:rsidRDefault="00E909AE" w:rsidP="002C0E50">
      <w:pPr>
        <w:pStyle w:val="TOC2"/>
        <w:rPr>
          <w:rFonts w:asciiTheme="minorHAnsi" w:eastAsiaTheme="minorEastAsia" w:hAnsiTheme="minorHAnsi" w:cstheme="minorBidi"/>
          <w:noProof/>
          <w:szCs w:val="24"/>
        </w:rPr>
      </w:pPr>
      <w:hyperlink w:anchor="_Toc82385808" w:history="1">
        <w:r w:rsidR="002C0E50" w:rsidRPr="00C75400">
          <w:rPr>
            <w:rStyle w:val="Hyperlink"/>
            <w:noProof/>
          </w:rPr>
          <w:t>6.10</w:t>
        </w:r>
        <w:r w:rsidR="002C0E50">
          <w:rPr>
            <w:rFonts w:asciiTheme="minorHAnsi" w:eastAsiaTheme="minorEastAsia" w:hAnsiTheme="minorHAnsi" w:cstheme="minorBidi"/>
            <w:noProof/>
            <w:szCs w:val="24"/>
          </w:rPr>
          <w:tab/>
        </w:r>
        <w:r w:rsidR="002C0E50" w:rsidRPr="00C75400">
          <w:rPr>
            <w:rStyle w:val="Hyperlink"/>
            <w:noProof/>
          </w:rPr>
          <w:t>Ownership of Assets</w:t>
        </w:r>
        <w:r w:rsidR="002C0E50">
          <w:rPr>
            <w:noProof/>
            <w:webHidden/>
          </w:rPr>
          <w:tab/>
        </w:r>
        <w:r w:rsidR="002C0E50">
          <w:rPr>
            <w:noProof/>
            <w:webHidden/>
          </w:rPr>
          <w:fldChar w:fldCharType="begin"/>
        </w:r>
        <w:r w:rsidR="002C0E50">
          <w:rPr>
            <w:noProof/>
            <w:webHidden/>
          </w:rPr>
          <w:instrText xml:space="preserve"> PAGEREF _Toc82385808 \h </w:instrText>
        </w:r>
        <w:r w:rsidR="002C0E50">
          <w:rPr>
            <w:noProof/>
            <w:webHidden/>
          </w:rPr>
        </w:r>
        <w:r w:rsidR="002C0E50">
          <w:rPr>
            <w:noProof/>
            <w:webHidden/>
          </w:rPr>
          <w:fldChar w:fldCharType="separate"/>
        </w:r>
        <w:r w:rsidR="00A15698">
          <w:rPr>
            <w:noProof/>
            <w:webHidden/>
          </w:rPr>
          <w:t>260</w:t>
        </w:r>
        <w:r w:rsidR="002C0E50">
          <w:rPr>
            <w:noProof/>
            <w:webHidden/>
          </w:rPr>
          <w:fldChar w:fldCharType="end"/>
        </w:r>
      </w:hyperlink>
    </w:p>
    <w:p w14:paraId="4F372009" w14:textId="34F73372" w:rsidR="002C0E50" w:rsidRDefault="00E909AE" w:rsidP="002C0E50">
      <w:pPr>
        <w:pStyle w:val="TOC2"/>
        <w:rPr>
          <w:rFonts w:asciiTheme="minorHAnsi" w:eastAsiaTheme="minorEastAsia" w:hAnsiTheme="minorHAnsi" w:cstheme="minorBidi"/>
          <w:noProof/>
          <w:szCs w:val="24"/>
        </w:rPr>
      </w:pPr>
      <w:hyperlink w:anchor="_Toc82385809" w:history="1">
        <w:r w:rsidR="002C0E50" w:rsidRPr="00C75400">
          <w:rPr>
            <w:rStyle w:val="Hyperlink"/>
            <w:noProof/>
          </w:rPr>
          <w:t>6.11</w:t>
        </w:r>
        <w:r w:rsidR="002C0E50">
          <w:rPr>
            <w:rFonts w:asciiTheme="minorHAnsi" w:eastAsiaTheme="minorEastAsia" w:hAnsiTheme="minorHAnsi" w:cstheme="minorBidi"/>
            <w:noProof/>
            <w:szCs w:val="24"/>
          </w:rPr>
          <w:tab/>
        </w:r>
        <w:r w:rsidR="002C0E50" w:rsidRPr="00C75400">
          <w:rPr>
            <w:rStyle w:val="Hyperlink"/>
            <w:noProof/>
          </w:rPr>
          <w:t>Food Consumption Pattern</w:t>
        </w:r>
        <w:r w:rsidR="002C0E50">
          <w:rPr>
            <w:noProof/>
            <w:webHidden/>
          </w:rPr>
          <w:tab/>
        </w:r>
        <w:r w:rsidR="002C0E50">
          <w:rPr>
            <w:noProof/>
            <w:webHidden/>
          </w:rPr>
          <w:fldChar w:fldCharType="begin"/>
        </w:r>
        <w:r w:rsidR="002C0E50">
          <w:rPr>
            <w:noProof/>
            <w:webHidden/>
          </w:rPr>
          <w:instrText xml:space="preserve"> PAGEREF _Toc82385809 \h </w:instrText>
        </w:r>
        <w:r w:rsidR="002C0E50">
          <w:rPr>
            <w:noProof/>
            <w:webHidden/>
          </w:rPr>
        </w:r>
        <w:r w:rsidR="002C0E50">
          <w:rPr>
            <w:noProof/>
            <w:webHidden/>
          </w:rPr>
          <w:fldChar w:fldCharType="separate"/>
        </w:r>
        <w:r w:rsidR="00A15698">
          <w:rPr>
            <w:noProof/>
            <w:webHidden/>
          </w:rPr>
          <w:t>261</w:t>
        </w:r>
        <w:r w:rsidR="002C0E50">
          <w:rPr>
            <w:noProof/>
            <w:webHidden/>
          </w:rPr>
          <w:fldChar w:fldCharType="end"/>
        </w:r>
      </w:hyperlink>
    </w:p>
    <w:p w14:paraId="10D4DF53" w14:textId="0A3CCCA4"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810" w:history="1">
        <w:r w:rsidR="002C0E50" w:rsidRPr="00C75400">
          <w:rPr>
            <w:rStyle w:val="Hyperlink"/>
            <w:noProof/>
          </w:rPr>
          <w:t>6.11.1</w:t>
        </w:r>
        <w:r w:rsidR="002C0E50">
          <w:rPr>
            <w:rFonts w:asciiTheme="minorHAnsi" w:eastAsiaTheme="minorEastAsia" w:hAnsiTheme="minorHAnsi" w:cstheme="minorBidi"/>
            <w:noProof/>
            <w:szCs w:val="24"/>
          </w:rPr>
          <w:tab/>
        </w:r>
        <w:r w:rsidR="002C0E50" w:rsidRPr="00C75400">
          <w:rPr>
            <w:rStyle w:val="Hyperlink"/>
            <w:noProof/>
          </w:rPr>
          <w:t>Number of Meals per Day</w:t>
        </w:r>
        <w:r w:rsidR="002C0E50">
          <w:rPr>
            <w:noProof/>
            <w:webHidden/>
          </w:rPr>
          <w:tab/>
        </w:r>
        <w:r w:rsidR="002C0E50">
          <w:rPr>
            <w:noProof/>
            <w:webHidden/>
          </w:rPr>
          <w:fldChar w:fldCharType="begin"/>
        </w:r>
        <w:r w:rsidR="002C0E50">
          <w:rPr>
            <w:noProof/>
            <w:webHidden/>
          </w:rPr>
          <w:instrText xml:space="preserve"> PAGEREF _Toc82385810 \h </w:instrText>
        </w:r>
        <w:r w:rsidR="002C0E50">
          <w:rPr>
            <w:noProof/>
            <w:webHidden/>
          </w:rPr>
        </w:r>
        <w:r w:rsidR="002C0E50">
          <w:rPr>
            <w:noProof/>
            <w:webHidden/>
          </w:rPr>
          <w:fldChar w:fldCharType="separate"/>
        </w:r>
        <w:r w:rsidR="00A15698">
          <w:rPr>
            <w:noProof/>
            <w:webHidden/>
          </w:rPr>
          <w:t>261</w:t>
        </w:r>
        <w:r w:rsidR="002C0E50">
          <w:rPr>
            <w:noProof/>
            <w:webHidden/>
          </w:rPr>
          <w:fldChar w:fldCharType="end"/>
        </w:r>
      </w:hyperlink>
    </w:p>
    <w:p w14:paraId="518835C3" w14:textId="2313E3E3"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811" w:history="1">
        <w:r w:rsidR="002C0E50" w:rsidRPr="00C75400">
          <w:rPr>
            <w:rStyle w:val="Hyperlink"/>
            <w:noProof/>
          </w:rPr>
          <w:t>6.11.2</w:t>
        </w:r>
        <w:r w:rsidR="002C0E50">
          <w:rPr>
            <w:rFonts w:asciiTheme="minorHAnsi" w:eastAsiaTheme="minorEastAsia" w:hAnsiTheme="minorHAnsi" w:cstheme="minorBidi"/>
            <w:noProof/>
            <w:szCs w:val="24"/>
          </w:rPr>
          <w:tab/>
        </w:r>
        <w:r w:rsidR="002C0E50" w:rsidRPr="00C75400">
          <w:rPr>
            <w:rStyle w:val="Hyperlink"/>
            <w:noProof/>
          </w:rPr>
          <w:t>Meat Consumption</w:t>
        </w:r>
        <w:r w:rsidR="002C0E50">
          <w:rPr>
            <w:noProof/>
            <w:webHidden/>
          </w:rPr>
          <w:tab/>
        </w:r>
        <w:r w:rsidR="002C0E50">
          <w:rPr>
            <w:noProof/>
            <w:webHidden/>
          </w:rPr>
          <w:fldChar w:fldCharType="begin"/>
        </w:r>
        <w:r w:rsidR="002C0E50">
          <w:rPr>
            <w:noProof/>
            <w:webHidden/>
          </w:rPr>
          <w:instrText xml:space="preserve"> PAGEREF _Toc82385811 \h </w:instrText>
        </w:r>
        <w:r w:rsidR="002C0E50">
          <w:rPr>
            <w:noProof/>
            <w:webHidden/>
          </w:rPr>
        </w:r>
        <w:r w:rsidR="002C0E50">
          <w:rPr>
            <w:noProof/>
            <w:webHidden/>
          </w:rPr>
          <w:fldChar w:fldCharType="separate"/>
        </w:r>
        <w:r w:rsidR="00A15698">
          <w:rPr>
            <w:noProof/>
            <w:webHidden/>
          </w:rPr>
          <w:t>262</w:t>
        </w:r>
        <w:r w:rsidR="002C0E50">
          <w:rPr>
            <w:noProof/>
            <w:webHidden/>
          </w:rPr>
          <w:fldChar w:fldCharType="end"/>
        </w:r>
      </w:hyperlink>
    </w:p>
    <w:p w14:paraId="71836609" w14:textId="018779B7"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812" w:history="1">
        <w:r w:rsidR="002C0E50" w:rsidRPr="00C75400">
          <w:rPr>
            <w:rStyle w:val="Hyperlink"/>
            <w:noProof/>
          </w:rPr>
          <w:t>6.11.3</w:t>
        </w:r>
        <w:r w:rsidR="002C0E50">
          <w:rPr>
            <w:rFonts w:asciiTheme="minorHAnsi" w:eastAsiaTheme="minorEastAsia" w:hAnsiTheme="minorHAnsi" w:cstheme="minorBidi"/>
            <w:noProof/>
            <w:szCs w:val="24"/>
          </w:rPr>
          <w:tab/>
        </w:r>
        <w:r w:rsidR="002C0E50" w:rsidRPr="00C75400">
          <w:rPr>
            <w:rStyle w:val="Hyperlink"/>
            <w:noProof/>
          </w:rPr>
          <w:t>Fish Consumption</w:t>
        </w:r>
        <w:r w:rsidR="002C0E50">
          <w:rPr>
            <w:noProof/>
            <w:webHidden/>
          </w:rPr>
          <w:tab/>
        </w:r>
        <w:r w:rsidR="002C0E50">
          <w:rPr>
            <w:noProof/>
            <w:webHidden/>
          </w:rPr>
          <w:fldChar w:fldCharType="begin"/>
        </w:r>
        <w:r w:rsidR="002C0E50">
          <w:rPr>
            <w:noProof/>
            <w:webHidden/>
          </w:rPr>
          <w:instrText xml:space="preserve"> PAGEREF _Toc82385812 \h </w:instrText>
        </w:r>
        <w:r w:rsidR="002C0E50">
          <w:rPr>
            <w:noProof/>
            <w:webHidden/>
          </w:rPr>
        </w:r>
        <w:r w:rsidR="002C0E50">
          <w:rPr>
            <w:noProof/>
            <w:webHidden/>
          </w:rPr>
          <w:fldChar w:fldCharType="separate"/>
        </w:r>
        <w:r w:rsidR="00A15698">
          <w:rPr>
            <w:noProof/>
            <w:webHidden/>
          </w:rPr>
          <w:t>264</w:t>
        </w:r>
        <w:r w:rsidR="002C0E50">
          <w:rPr>
            <w:noProof/>
            <w:webHidden/>
          </w:rPr>
          <w:fldChar w:fldCharType="end"/>
        </w:r>
      </w:hyperlink>
    </w:p>
    <w:p w14:paraId="58EE4C32" w14:textId="6E87505A"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813" w:history="1">
        <w:r w:rsidR="002C0E50" w:rsidRPr="00C75400">
          <w:rPr>
            <w:rStyle w:val="Hyperlink"/>
            <w:noProof/>
          </w:rPr>
          <w:t>6.11.4</w:t>
        </w:r>
        <w:r w:rsidR="002C0E50">
          <w:rPr>
            <w:rFonts w:asciiTheme="minorHAnsi" w:eastAsiaTheme="minorEastAsia" w:hAnsiTheme="minorHAnsi" w:cstheme="minorBidi"/>
            <w:noProof/>
            <w:szCs w:val="24"/>
          </w:rPr>
          <w:tab/>
        </w:r>
        <w:r w:rsidR="002C0E50" w:rsidRPr="00C75400">
          <w:rPr>
            <w:rStyle w:val="Hyperlink"/>
            <w:noProof/>
          </w:rPr>
          <w:t>Status of Food Satisfaction</w:t>
        </w:r>
        <w:r w:rsidR="002C0E50">
          <w:rPr>
            <w:noProof/>
            <w:webHidden/>
          </w:rPr>
          <w:tab/>
        </w:r>
        <w:r w:rsidR="002C0E50">
          <w:rPr>
            <w:noProof/>
            <w:webHidden/>
          </w:rPr>
          <w:fldChar w:fldCharType="begin"/>
        </w:r>
        <w:r w:rsidR="002C0E50">
          <w:rPr>
            <w:noProof/>
            <w:webHidden/>
          </w:rPr>
          <w:instrText xml:space="preserve"> PAGEREF _Toc82385813 \h </w:instrText>
        </w:r>
        <w:r w:rsidR="002C0E50">
          <w:rPr>
            <w:noProof/>
            <w:webHidden/>
          </w:rPr>
        </w:r>
        <w:r w:rsidR="002C0E50">
          <w:rPr>
            <w:noProof/>
            <w:webHidden/>
          </w:rPr>
          <w:fldChar w:fldCharType="separate"/>
        </w:r>
        <w:r w:rsidR="00A15698">
          <w:rPr>
            <w:noProof/>
            <w:webHidden/>
          </w:rPr>
          <w:t>265</w:t>
        </w:r>
        <w:r w:rsidR="002C0E50">
          <w:rPr>
            <w:noProof/>
            <w:webHidden/>
          </w:rPr>
          <w:fldChar w:fldCharType="end"/>
        </w:r>
      </w:hyperlink>
    </w:p>
    <w:p w14:paraId="48EE0DC7" w14:textId="3F257514"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814" w:history="1">
        <w:r w:rsidR="002C0E50" w:rsidRPr="00C75400">
          <w:rPr>
            <w:rStyle w:val="Hyperlink"/>
            <w:noProof/>
          </w:rPr>
          <w:t>6.11.5</w:t>
        </w:r>
        <w:r w:rsidR="002C0E50">
          <w:rPr>
            <w:rFonts w:asciiTheme="minorHAnsi" w:eastAsiaTheme="minorEastAsia" w:hAnsiTheme="minorHAnsi" w:cstheme="minorBidi"/>
            <w:noProof/>
            <w:szCs w:val="24"/>
          </w:rPr>
          <w:tab/>
        </w:r>
        <w:r w:rsidR="002C0E50" w:rsidRPr="00C75400">
          <w:rPr>
            <w:rStyle w:val="Hyperlink"/>
            <w:noProof/>
          </w:rPr>
          <w:t>Main Source of Household Income</w:t>
        </w:r>
        <w:r w:rsidR="002C0E50">
          <w:rPr>
            <w:noProof/>
            <w:webHidden/>
          </w:rPr>
          <w:tab/>
        </w:r>
        <w:r w:rsidR="002C0E50">
          <w:rPr>
            <w:noProof/>
            <w:webHidden/>
          </w:rPr>
          <w:fldChar w:fldCharType="begin"/>
        </w:r>
        <w:r w:rsidR="002C0E50">
          <w:rPr>
            <w:noProof/>
            <w:webHidden/>
          </w:rPr>
          <w:instrText xml:space="preserve"> PAGEREF _Toc82385814 \h </w:instrText>
        </w:r>
        <w:r w:rsidR="002C0E50">
          <w:rPr>
            <w:noProof/>
            <w:webHidden/>
          </w:rPr>
        </w:r>
        <w:r w:rsidR="002C0E50">
          <w:rPr>
            <w:noProof/>
            <w:webHidden/>
          </w:rPr>
          <w:fldChar w:fldCharType="separate"/>
        </w:r>
        <w:r w:rsidR="00A15698">
          <w:rPr>
            <w:noProof/>
            <w:webHidden/>
          </w:rPr>
          <w:t>267</w:t>
        </w:r>
        <w:r w:rsidR="002C0E50">
          <w:rPr>
            <w:noProof/>
            <w:webHidden/>
          </w:rPr>
          <w:fldChar w:fldCharType="end"/>
        </w:r>
      </w:hyperlink>
    </w:p>
    <w:p w14:paraId="6F936F8B" w14:textId="5267DD3F" w:rsidR="002C0E50" w:rsidRPr="00467F1C" w:rsidRDefault="00E909AE" w:rsidP="002C0E50">
      <w:pPr>
        <w:pStyle w:val="TOC1"/>
        <w:tabs>
          <w:tab w:val="right" w:leader="dot" w:pos="9020"/>
        </w:tabs>
        <w:spacing w:before="240"/>
        <w:rPr>
          <w:rFonts w:asciiTheme="minorHAnsi" w:eastAsiaTheme="minorEastAsia" w:hAnsiTheme="minorHAnsi" w:cstheme="minorBidi"/>
          <w:b/>
          <w:bCs w:val="0"/>
          <w:iCs w:val="0"/>
          <w:noProof/>
        </w:rPr>
      </w:pPr>
      <w:hyperlink w:anchor="_Toc82385815" w:history="1">
        <w:r w:rsidR="002C0E50" w:rsidRPr="00467F1C">
          <w:rPr>
            <w:rStyle w:val="Hyperlink"/>
            <w:b/>
            <w:noProof/>
          </w:rPr>
          <w:t>CHAPTER SEVEN</w:t>
        </w:r>
        <w:r w:rsidR="002C0E50" w:rsidRPr="00467F1C">
          <w:rPr>
            <w:b/>
            <w:noProof/>
            <w:webHidden/>
          </w:rPr>
          <w:tab/>
        </w:r>
        <w:r w:rsidR="002C0E50" w:rsidRPr="00467F1C">
          <w:rPr>
            <w:b/>
            <w:noProof/>
            <w:webHidden/>
          </w:rPr>
          <w:fldChar w:fldCharType="begin"/>
        </w:r>
        <w:r w:rsidR="002C0E50" w:rsidRPr="00467F1C">
          <w:rPr>
            <w:b/>
            <w:noProof/>
            <w:webHidden/>
          </w:rPr>
          <w:instrText xml:space="preserve"> PAGEREF _Toc82385815 \h </w:instrText>
        </w:r>
        <w:r w:rsidR="002C0E50" w:rsidRPr="00467F1C">
          <w:rPr>
            <w:b/>
            <w:noProof/>
            <w:webHidden/>
          </w:rPr>
        </w:r>
        <w:r w:rsidR="002C0E50" w:rsidRPr="00467F1C">
          <w:rPr>
            <w:b/>
            <w:noProof/>
            <w:webHidden/>
          </w:rPr>
          <w:fldChar w:fldCharType="separate"/>
        </w:r>
        <w:r w:rsidR="00A15698">
          <w:rPr>
            <w:b/>
            <w:noProof/>
            <w:webHidden/>
          </w:rPr>
          <w:t>269</w:t>
        </w:r>
        <w:r w:rsidR="002C0E50" w:rsidRPr="00467F1C">
          <w:rPr>
            <w:b/>
            <w:noProof/>
            <w:webHidden/>
          </w:rPr>
          <w:fldChar w:fldCharType="end"/>
        </w:r>
      </w:hyperlink>
    </w:p>
    <w:p w14:paraId="062B290D" w14:textId="050A42B9" w:rsidR="002C0E50" w:rsidRPr="00467F1C" w:rsidRDefault="00E909AE" w:rsidP="002C0E50">
      <w:pPr>
        <w:pStyle w:val="TOC1"/>
        <w:tabs>
          <w:tab w:val="right" w:leader="dot" w:pos="9020"/>
        </w:tabs>
        <w:rPr>
          <w:rFonts w:asciiTheme="minorHAnsi" w:eastAsiaTheme="minorEastAsia" w:hAnsiTheme="minorHAnsi" w:cstheme="minorBidi"/>
          <w:b/>
          <w:bCs w:val="0"/>
          <w:iCs w:val="0"/>
          <w:noProof/>
        </w:rPr>
      </w:pPr>
      <w:hyperlink w:anchor="_Toc82385816" w:history="1">
        <w:r w:rsidR="002C0E50" w:rsidRPr="00467F1C">
          <w:rPr>
            <w:rStyle w:val="Hyperlink"/>
            <w:b/>
            <w:noProof/>
          </w:rPr>
          <w:t>CONCLUSION AND RECOMMENDATION</w:t>
        </w:r>
        <w:r w:rsidR="002C0E50" w:rsidRPr="00467F1C">
          <w:rPr>
            <w:b/>
            <w:noProof/>
            <w:webHidden/>
          </w:rPr>
          <w:tab/>
        </w:r>
        <w:r w:rsidR="002C0E50" w:rsidRPr="00467F1C">
          <w:rPr>
            <w:b/>
            <w:noProof/>
            <w:webHidden/>
          </w:rPr>
          <w:fldChar w:fldCharType="begin"/>
        </w:r>
        <w:r w:rsidR="002C0E50" w:rsidRPr="00467F1C">
          <w:rPr>
            <w:b/>
            <w:noProof/>
            <w:webHidden/>
          </w:rPr>
          <w:instrText xml:space="preserve"> PAGEREF _Toc82385816 \h </w:instrText>
        </w:r>
        <w:r w:rsidR="002C0E50" w:rsidRPr="00467F1C">
          <w:rPr>
            <w:b/>
            <w:noProof/>
            <w:webHidden/>
          </w:rPr>
        </w:r>
        <w:r w:rsidR="002C0E50" w:rsidRPr="00467F1C">
          <w:rPr>
            <w:b/>
            <w:noProof/>
            <w:webHidden/>
          </w:rPr>
          <w:fldChar w:fldCharType="separate"/>
        </w:r>
        <w:r w:rsidR="00A15698">
          <w:rPr>
            <w:b/>
            <w:noProof/>
            <w:webHidden/>
          </w:rPr>
          <w:t>269</w:t>
        </w:r>
        <w:r w:rsidR="002C0E50" w:rsidRPr="00467F1C">
          <w:rPr>
            <w:b/>
            <w:noProof/>
            <w:webHidden/>
          </w:rPr>
          <w:fldChar w:fldCharType="end"/>
        </w:r>
      </w:hyperlink>
    </w:p>
    <w:p w14:paraId="40D28D72" w14:textId="3CDFEDAE" w:rsidR="002C0E50" w:rsidRDefault="00E909AE" w:rsidP="002C0E50">
      <w:pPr>
        <w:pStyle w:val="TOC1"/>
        <w:tabs>
          <w:tab w:val="left" w:pos="720"/>
          <w:tab w:val="right" w:leader="dot" w:pos="9020"/>
        </w:tabs>
        <w:rPr>
          <w:rFonts w:asciiTheme="minorHAnsi" w:eastAsiaTheme="minorEastAsia" w:hAnsiTheme="minorHAnsi" w:cstheme="minorBidi"/>
          <w:bCs w:val="0"/>
          <w:iCs w:val="0"/>
          <w:noProof/>
        </w:rPr>
      </w:pPr>
      <w:hyperlink w:anchor="_Toc82385817" w:history="1">
        <w:r w:rsidR="002C0E50" w:rsidRPr="00C75400">
          <w:rPr>
            <w:rStyle w:val="Hyperlink"/>
            <w:noProof/>
          </w:rPr>
          <w:t>7.0</w:t>
        </w:r>
        <w:r w:rsidR="002C0E50">
          <w:rPr>
            <w:rFonts w:asciiTheme="minorHAnsi" w:eastAsiaTheme="minorEastAsia" w:hAnsiTheme="minorHAnsi" w:cstheme="minorBidi"/>
            <w:bCs w:val="0"/>
            <w:iCs w:val="0"/>
            <w:noProof/>
          </w:rPr>
          <w:tab/>
        </w:r>
        <w:r w:rsidR="002C0E50" w:rsidRPr="00C75400">
          <w:rPr>
            <w:rStyle w:val="Hyperlink"/>
            <w:noProof/>
          </w:rPr>
          <w:t>Introduction</w:t>
        </w:r>
        <w:r w:rsidR="002C0E50">
          <w:rPr>
            <w:noProof/>
            <w:webHidden/>
          </w:rPr>
          <w:tab/>
        </w:r>
        <w:r w:rsidR="002C0E50">
          <w:rPr>
            <w:noProof/>
            <w:webHidden/>
          </w:rPr>
          <w:fldChar w:fldCharType="begin"/>
        </w:r>
        <w:r w:rsidR="002C0E50">
          <w:rPr>
            <w:noProof/>
            <w:webHidden/>
          </w:rPr>
          <w:instrText xml:space="preserve"> PAGEREF _Toc82385817 \h </w:instrText>
        </w:r>
        <w:r w:rsidR="002C0E50">
          <w:rPr>
            <w:noProof/>
            <w:webHidden/>
          </w:rPr>
        </w:r>
        <w:r w:rsidR="002C0E50">
          <w:rPr>
            <w:noProof/>
            <w:webHidden/>
          </w:rPr>
          <w:fldChar w:fldCharType="separate"/>
        </w:r>
        <w:r w:rsidR="00A15698">
          <w:rPr>
            <w:noProof/>
            <w:webHidden/>
          </w:rPr>
          <w:t>269</w:t>
        </w:r>
        <w:r w:rsidR="002C0E50">
          <w:rPr>
            <w:noProof/>
            <w:webHidden/>
          </w:rPr>
          <w:fldChar w:fldCharType="end"/>
        </w:r>
      </w:hyperlink>
    </w:p>
    <w:p w14:paraId="68893151" w14:textId="2FF174FB" w:rsidR="002C0E50" w:rsidRDefault="00E909AE" w:rsidP="002C0E50">
      <w:pPr>
        <w:pStyle w:val="TOC2"/>
        <w:rPr>
          <w:rFonts w:asciiTheme="minorHAnsi" w:eastAsiaTheme="minorEastAsia" w:hAnsiTheme="minorHAnsi" w:cstheme="minorBidi"/>
          <w:noProof/>
          <w:szCs w:val="24"/>
        </w:rPr>
      </w:pPr>
      <w:hyperlink w:anchor="_Toc82385818" w:history="1">
        <w:r w:rsidR="002C0E50" w:rsidRPr="00C75400">
          <w:rPr>
            <w:rStyle w:val="Hyperlink"/>
            <w:noProof/>
          </w:rPr>
          <w:t>7.1</w:t>
        </w:r>
        <w:r w:rsidR="002C0E50">
          <w:rPr>
            <w:rFonts w:asciiTheme="minorHAnsi" w:eastAsiaTheme="minorEastAsia" w:hAnsiTheme="minorHAnsi" w:cstheme="minorBidi"/>
            <w:noProof/>
            <w:szCs w:val="24"/>
          </w:rPr>
          <w:tab/>
        </w:r>
        <w:r w:rsidR="002C0E50" w:rsidRPr="00C75400">
          <w:rPr>
            <w:rStyle w:val="Hyperlink"/>
            <w:noProof/>
          </w:rPr>
          <w:t>Conclusion</w:t>
        </w:r>
        <w:r w:rsidR="002C0E50">
          <w:rPr>
            <w:noProof/>
            <w:webHidden/>
          </w:rPr>
          <w:tab/>
        </w:r>
        <w:r w:rsidR="002C0E50">
          <w:rPr>
            <w:noProof/>
            <w:webHidden/>
          </w:rPr>
          <w:fldChar w:fldCharType="begin"/>
        </w:r>
        <w:r w:rsidR="002C0E50">
          <w:rPr>
            <w:noProof/>
            <w:webHidden/>
          </w:rPr>
          <w:instrText xml:space="preserve"> PAGEREF _Toc82385818 \h </w:instrText>
        </w:r>
        <w:r w:rsidR="002C0E50">
          <w:rPr>
            <w:noProof/>
            <w:webHidden/>
          </w:rPr>
        </w:r>
        <w:r w:rsidR="002C0E50">
          <w:rPr>
            <w:noProof/>
            <w:webHidden/>
          </w:rPr>
          <w:fldChar w:fldCharType="separate"/>
        </w:r>
        <w:r w:rsidR="00A15698">
          <w:rPr>
            <w:noProof/>
            <w:webHidden/>
          </w:rPr>
          <w:t>269</w:t>
        </w:r>
        <w:r w:rsidR="002C0E50">
          <w:rPr>
            <w:noProof/>
            <w:webHidden/>
          </w:rPr>
          <w:fldChar w:fldCharType="end"/>
        </w:r>
      </w:hyperlink>
    </w:p>
    <w:p w14:paraId="7235E7A2" w14:textId="6E13FD8A"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819" w:history="1">
        <w:r w:rsidR="002C0E50" w:rsidRPr="00C75400">
          <w:rPr>
            <w:rStyle w:val="Hyperlink"/>
            <w:noProof/>
          </w:rPr>
          <w:t>7.1.1</w:t>
        </w:r>
        <w:r w:rsidR="002C0E50">
          <w:rPr>
            <w:rFonts w:asciiTheme="minorHAnsi" w:eastAsiaTheme="minorEastAsia" w:hAnsiTheme="minorHAnsi" w:cstheme="minorBidi"/>
            <w:noProof/>
            <w:szCs w:val="24"/>
          </w:rPr>
          <w:tab/>
        </w:r>
        <w:r w:rsidR="002C0E50" w:rsidRPr="00C75400">
          <w:rPr>
            <w:rStyle w:val="Hyperlink"/>
            <w:noProof/>
          </w:rPr>
          <w:t>Status of the Agriculture in Tanzania</w:t>
        </w:r>
        <w:r w:rsidR="002C0E50">
          <w:rPr>
            <w:noProof/>
            <w:webHidden/>
          </w:rPr>
          <w:tab/>
        </w:r>
        <w:r w:rsidR="002C0E50">
          <w:rPr>
            <w:noProof/>
            <w:webHidden/>
          </w:rPr>
          <w:fldChar w:fldCharType="begin"/>
        </w:r>
        <w:r w:rsidR="002C0E50">
          <w:rPr>
            <w:noProof/>
            <w:webHidden/>
          </w:rPr>
          <w:instrText xml:space="preserve"> PAGEREF _Toc82385819 \h </w:instrText>
        </w:r>
        <w:r w:rsidR="002C0E50">
          <w:rPr>
            <w:noProof/>
            <w:webHidden/>
          </w:rPr>
        </w:r>
        <w:r w:rsidR="002C0E50">
          <w:rPr>
            <w:noProof/>
            <w:webHidden/>
          </w:rPr>
          <w:fldChar w:fldCharType="separate"/>
        </w:r>
        <w:r w:rsidR="00A15698">
          <w:rPr>
            <w:noProof/>
            <w:webHidden/>
          </w:rPr>
          <w:t>269</w:t>
        </w:r>
        <w:r w:rsidR="002C0E50">
          <w:rPr>
            <w:noProof/>
            <w:webHidden/>
          </w:rPr>
          <w:fldChar w:fldCharType="end"/>
        </w:r>
      </w:hyperlink>
    </w:p>
    <w:p w14:paraId="190431AF" w14:textId="645A8164"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820" w:history="1">
        <w:r w:rsidR="002C0E50" w:rsidRPr="00C75400">
          <w:rPr>
            <w:rStyle w:val="Hyperlink"/>
            <w:noProof/>
          </w:rPr>
          <w:t>7.1.2</w:t>
        </w:r>
        <w:r w:rsidR="002C0E50">
          <w:rPr>
            <w:rFonts w:asciiTheme="minorHAnsi" w:eastAsiaTheme="minorEastAsia" w:hAnsiTheme="minorHAnsi" w:cstheme="minorBidi"/>
            <w:noProof/>
            <w:szCs w:val="24"/>
          </w:rPr>
          <w:tab/>
        </w:r>
        <w:r w:rsidR="002C0E50" w:rsidRPr="00C75400">
          <w:rPr>
            <w:rStyle w:val="Hyperlink"/>
            <w:noProof/>
          </w:rPr>
          <w:t>Status of Crop Sub-sector in Tanzania</w:t>
        </w:r>
        <w:r w:rsidR="002C0E50">
          <w:rPr>
            <w:noProof/>
            <w:webHidden/>
          </w:rPr>
          <w:tab/>
        </w:r>
        <w:r w:rsidR="002C0E50">
          <w:rPr>
            <w:noProof/>
            <w:webHidden/>
          </w:rPr>
          <w:fldChar w:fldCharType="begin"/>
        </w:r>
        <w:r w:rsidR="002C0E50">
          <w:rPr>
            <w:noProof/>
            <w:webHidden/>
          </w:rPr>
          <w:instrText xml:space="preserve"> PAGEREF _Toc82385820 \h </w:instrText>
        </w:r>
        <w:r w:rsidR="002C0E50">
          <w:rPr>
            <w:noProof/>
            <w:webHidden/>
          </w:rPr>
        </w:r>
        <w:r w:rsidR="002C0E50">
          <w:rPr>
            <w:noProof/>
            <w:webHidden/>
          </w:rPr>
          <w:fldChar w:fldCharType="separate"/>
        </w:r>
        <w:r w:rsidR="00A15698">
          <w:rPr>
            <w:noProof/>
            <w:webHidden/>
          </w:rPr>
          <w:t>272</w:t>
        </w:r>
        <w:r w:rsidR="002C0E50">
          <w:rPr>
            <w:noProof/>
            <w:webHidden/>
          </w:rPr>
          <w:fldChar w:fldCharType="end"/>
        </w:r>
      </w:hyperlink>
    </w:p>
    <w:p w14:paraId="50F2B58E" w14:textId="726E1CB6"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821" w:history="1">
        <w:r w:rsidR="002C0E50" w:rsidRPr="00C75400">
          <w:rPr>
            <w:rStyle w:val="Hyperlink"/>
            <w:noProof/>
          </w:rPr>
          <w:t>7.1.3</w:t>
        </w:r>
        <w:r w:rsidR="002C0E50">
          <w:rPr>
            <w:rFonts w:asciiTheme="minorHAnsi" w:eastAsiaTheme="minorEastAsia" w:hAnsiTheme="minorHAnsi" w:cstheme="minorBidi"/>
            <w:noProof/>
            <w:szCs w:val="24"/>
          </w:rPr>
          <w:tab/>
        </w:r>
        <w:r w:rsidR="002C0E50" w:rsidRPr="00C75400">
          <w:rPr>
            <w:rStyle w:val="Hyperlink"/>
            <w:noProof/>
          </w:rPr>
          <w:t>Status of the Livestock Sub-sector in Tanzania</w:t>
        </w:r>
        <w:r w:rsidR="002C0E50">
          <w:rPr>
            <w:noProof/>
            <w:webHidden/>
          </w:rPr>
          <w:tab/>
        </w:r>
        <w:r w:rsidR="002C0E50">
          <w:rPr>
            <w:noProof/>
            <w:webHidden/>
          </w:rPr>
          <w:fldChar w:fldCharType="begin"/>
        </w:r>
        <w:r w:rsidR="002C0E50">
          <w:rPr>
            <w:noProof/>
            <w:webHidden/>
          </w:rPr>
          <w:instrText xml:space="preserve"> PAGEREF _Toc82385821 \h </w:instrText>
        </w:r>
        <w:r w:rsidR="002C0E50">
          <w:rPr>
            <w:noProof/>
            <w:webHidden/>
          </w:rPr>
        </w:r>
        <w:r w:rsidR="002C0E50">
          <w:rPr>
            <w:noProof/>
            <w:webHidden/>
          </w:rPr>
          <w:fldChar w:fldCharType="separate"/>
        </w:r>
        <w:r w:rsidR="00A15698">
          <w:rPr>
            <w:noProof/>
            <w:webHidden/>
          </w:rPr>
          <w:t>274</w:t>
        </w:r>
        <w:r w:rsidR="002C0E50">
          <w:rPr>
            <w:noProof/>
            <w:webHidden/>
          </w:rPr>
          <w:fldChar w:fldCharType="end"/>
        </w:r>
      </w:hyperlink>
    </w:p>
    <w:p w14:paraId="0A2BDE28" w14:textId="789518AC"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822" w:history="1">
        <w:r w:rsidR="002C0E50" w:rsidRPr="00C75400">
          <w:rPr>
            <w:rStyle w:val="Hyperlink"/>
            <w:noProof/>
          </w:rPr>
          <w:t>7.1.4</w:t>
        </w:r>
        <w:r w:rsidR="002C0E50">
          <w:rPr>
            <w:rFonts w:asciiTheme="minorHAnsi" w:eastAsiaTheme="minorEastAsia" w:hAnsiTheme="minorHAnsi" w:cstheme="minorBidi"/>
            <w:noProof/>
            <w:szCs w:val="24"/>
          </w:rPr>
          <w:tab/>
        </w:r>
        <w:r w:rsidR="002C0E50" w:rsidRPr="00C75400">
          <w:rPr>
            <w:rStyle w:val="Hyperlink"/>
            <w:noProof/>
          </w:rPr>
          <w:t>Status of Fish Farming in Tanzania</w:t>
        </w:r>
        <w:r w:rsidR="002C0E50">
          <w:rPr>
            <w:noProof/>
            <w:webHidden/>
          </w:rPr>
          <w:tab/>
        </w:r>
        <w:r w:rsidR="002C0E50">
          <w:rPr>
            <w:noProof/>
            <w:webHidden/>
          </w:rPr>
          <w:fldChar w:fldCharType="begin"/>
        </w:r>
        <w:r w:rsidR="002C0E50">
          <w:rPr>
            <w:noProof/>
            <w:webHidden/>
          </w:rPr>
          <w:instrText xml:space="preserve"> PAGEREF _Toc82385822 \h </w:instrText>
        </w:r>
        <w:r w:rsidR="002C0E50">
          <w:rPr>
            <w:noProof/>
            <w:webHidden/>
          </w:rPr>
        </w:r>
        <w:r w:rsidR="002C0E50">
          <w:rPr>
            <w:noProof/>
            <w:webHidden/>
          </w:rPr>
          <w:fldChar w:fldCharType="separate"/>
        </w:r>
        <w:r w:rsidR="00A15698">
          <w:rPr>
            <w:noProof/>
            <w:webHidden/>
          </w:rPr>
          <w:t>275</w:t>
        </w:r>
        <w:r w:rsidR="002C0E50">
          <w:rPr>
            <w:noProof/>
            <w:webHidden/>
          </w:rPr>
          <w:fldChar w:fldCharType="end"/>
        </w:r>
      </w:hyperlink>
    </w:p>
    <w:p w14:paraId="4FF668A4" w14:textId="61CD933B" w:rsidR="002C0E50" w:rsidRDefault="00E909AE" w:rsidP="002C0E50">
      <w:pPr>
        <w:pStyle w:val="TOC2"/>
        <w:rPr>
          <w:rFonts w:asciiTheme="minorHAnsi" w:eastAsiaTheme="minorEastAsia" w:hAnsiTheme="minorHAnsi" w:cstheme="minorBidi"/>
          <w:noProof/>
          <w:szCs w:val="24"/>
        </w:rPr>
      </w:pPr>
      <w:hyperlink w:anchor="_Toc82385823" w:history="1">
        <w:r w:rsidR="002C0E50" w:rsidRPr="00C75400">
          <w:rPr>
            <w:rStyle w:val="Hyperlink"/>
            <w:noProof/>
          </w:rPr>
          <w:t>7.2</w:t>
        </w:r>
        <w:r w:rsidR="002C0E50">
          <w:rPr>
            <w:rFonts w:asciiTheme="minorHAnsi" w:eastAsiaTheme="minorEastAsia" w:hAnsiTheme="minorHAnsi" w:cstheme="minorBidi"/>
            <w:noProof/>
            <w:szCs w:val="24"/>
          </w:rPr>
          <w:tab/>
        </w:r>
        <w:r w:rsidR="002C0E50" w:rsidRPr="00C75400">
          <w:rPr>
            <w:rStyle w:val="Hyperlink"/>
            <w:noProof/>
          </w:rPr>
          <w:t>Recommendations</w:t>
        </w:r>
        <w:r w:rsidR="002C0E50">
          <w:rPr>
            <w:noProof/>
            <w:webHidden/>
          </w:rPr>
          <w:tab/>
        </w:r>
        <w:r w:rsidR="002C0E50">
          <w:rPr>
            <w:noProof/>
            <w:webHidden/>
          </w:rPr>
          <w:fldChar w:fldCharType="begin"/>
        </w:r>
        <w:r w:rsidR="002C0E50">
          <w:rPr>
            <w:noProof/>
            <w:webHidden/>
          </w:rPr>
          <w:instrText xml:space="preserve"> PAGEREF _Toc82385823 \h </w:instrText>
        </w:r>
        <w:r w:rsidR="002C0E50">
          <w:rPr>
            <w:noProof/>
            <w:webHidden/>
          </w:rPr>
        </w:r>
        <w:r w:rsidR="002C0E50">
          <w:rPr>
            <w:noProof/>
            <w:webHidden/>
          </w:rPr>
          <w:fldChar w:fldCharType="separate"/>
        </w:r>
        <w:r w:rsidR="00A15698">
          <w:rPr>
            <w:noProof/>
            <w:webHidden/>
          </w:rPr>
          <w:t>275</w:t>
        </w:r>
        <w:r w:rsidR="002C0E50">
          <w:rPr>
            <w:noProof/>
            <w:webHidden/>
          </w:rPr>
          <w:fldChar w:fldCharType="end"/>
        </w:r>
      </w:hyperlink>
    </w:p>
    <w:p w14:paraId="3B1939B0" w14:textId="6A94FFEA"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824" w:history="1">
        <w:r w:rsidR="002C0E50" w:rsidRPr="00C75400">
          <w:rPr>
            <w:rStyle w:val="Hyperlink"/>
            <w:noProof/>
          </w:rPr>
          <w:t>7.2.1</w:t>
        </w:r>
        <w:r w:rsidR="002C0E50">
          <w:rPr>
            <w:rFonts w:asciiTheme="minorHAnsi" w:eastAsiaTheme="minorEastAsia" w:hAnsiTheme="minorHAnsi" w:cstheme="minorBidi"/>
            <w:noProof/>
            <w:szCs w:val="24"/>
          </w:rPr>
          <w:tab/>
        </w:r>
        <w:r w:rsidR="002C0E50" w:rsidRPr="00C75400">
          <w:rPr>
            <w:rStyle w:val="Hyperlink"/>
            <w:noProof/>
          </w:rPr>
          <w:t>Crop Sub sector</w:t>
        </w:r>
        <w:r w:rsidR="002C0E50">
          <w:rPr>
            <w:noProof/>
            <w:webHidden/>
          </w:rPr>
          <w:tab/>
        </w:r>
        <w:r w:rsidR="002C0E50">
          <w:rPr>
            <w:noProof/>
            <w:webHidden/>
          </w:rPr>
          <w:fldChar w:fldCharType="begin"/>
        </w:r>
        <w:r w:rsidR="002C0E50">
          <w:rPr>
            <w:noProof/>
            <w:webHidden/>
          </w:rPr>
          <w:instrText xml:space="preserve"> PAGEREF _Toc82385824 \h </w:instrText>
        </w:r>
        <w:r w:rsidR="002C0E50">
          <w:rPr>
            <w:noProof/>
            <w:webHidden/>
          </w:rPr>
        </w:r>
        <w:r w:rsidR="002C0E50">
          <w:rPr>
            <w:noProof/>
            <w:webHidden/>
          </w:rPr>
          <w:fldChar w:fldCharType="separate"/>
        </w:r>
        <w:r w:rsidR="00A15698">
          <w:rPr>
            <w:noProof/>
            <w:webHidden/>
          </w:rPr>
          <w:t>275</w:t>
        </w:r>
        <w:r w:rsidR="002C0E50">
          <w:rPr>
            <w:noProof/>
            <w:webHidden/>
          </w:rPr>
          <w:fldChar w:fldCharType="end"/>
        </w:r>
      </w:hyperlink>
    </w:p>
    <w:p w14:paraId="51C6F42C" w14:textId="0B175269"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825" w:history="1">
        <w:r w:rsidR="002C0E50" w:rsidRPr="00C75400">
          <w:rPr>
            <w:rStyle w:val="Hyperlink"/>
            <w:noProof/>
          </w:rPr>
          <w:t>7.3.2</w:t>
        </w:r>
        <w:r w:rsidR="002C0E50">
          <w:rPr>
            <w:rFonts w:asciiTheme="minorHAnsi" w:eastAsiaTheme="minorEastAsia" w:hAnsiTheme="minorHAnsi" w:cstheme="minorBidi"/>
            <w:noProof/>
            <w:szCs w:val="24"/>
          </w:rPr>
          <w:tab/>
        </w:r>
        <w:r w:rsidR="002C0E50" w:rsidRPr="00C75400">
          <w:rPr>
            <w:rStyle w:val="Hyperlink"/>
            <w:noProof/>
          </w:rPr>
          <w:t>Livestock Sub sector</w:t>
        </w:r>
        <w:r w:rsidR="002C0E50">
          <w:rPr>
            <w:noProof/>
            <w:webHidden/>
          </w:rPr>
          <w:tab/>
        </w:r>
        <w:r w:rsidR="002C0E50">
          <w:rPr>
            <w:noProof/>
            <w:webHidden/>
          </w:rPr>
          <w:fldChar w:fldCharType="begin"/>
        </w:r>
        <w:r w:rsidR="002C0E50">
          <w:rPr>
            <w:noProof/>
            <w:webHidden/>
          </w:rPr>
          <w:instrText xml:space="preserve"> PAGEREF _Toc82385825 \h </w:instrText>
        </w:r>
        <w:r w:rsidR="002C0E50">
          <w:rPr>
            <w:noProof/>
            <w:webHidden/>
          </w:rPr>
        </w:r>
        <w:r w:rsidR="002C0E50">
          <w:rPr>
            <w:noProof/>
            <w:webHidden/>
          </w:rPr>
          <w:fldChar w:fldCharType="separate"/>
        </w:r>
        <w:r w:rsidR="00A15698">
          <w:rPr>
            <w:noProof/>
            <w:webHidden/>
          </w:rPr>
          <w:t>277</w:t>
        </w:r>
        <w:r w:rsidR="002C0E50">
          <w:rPr>
            <w:noProof/>
            <w:webHidden/>
          </w:rPr>
          <w:fldChar w:fldCharType="end"/>
        </w:r>
      </w:hyperlink>
    </w:p>
    <w:p w14:paraId="589210A7" w14:textId="46C3E655" w:rsidR="002C0E50" w:rsidRDefault="00E909AE" w:rsidP="002C0E50">
      <w:pPr>
        <w:pStyle w:val="TOC3"/>
        <w:tabs>
          <w:tab w:val="left" w:pos="1296"/>
          <w:tab w:val="right" w:leader="dot" w:pos="9020"/>
        </w:tabs>
        <w:rPr>
          <w:rFonts w:asciiTheme="minorHAnsi" w:eastAsiaTheme="minorEastAsia" w:hAnsiTheme="minorHAnsi" w:cstheme="minorBidi"/>
          <w:noProof/>
          <w:szCs w:val="24"/>
        </w:rPr>
      </w:pPr>
      <w:hyperlink w:anchor="_Toc82385826" w:history="1">
        <w:r w:rsidR="002C0E50" w:rsidRPr="00C75400">
          <w:rPr>
            <w:rStyle w:val="Hyperlink"/>
            <w:noProof/>
          </w:rPr>
          <w:t>7.2.3</w:t>
        </w:r>
        <w:r w:rsidR="002C0E50">
          <w:rPr>
            <w:rFonts w:asciiTheme="minorHAnsi" w:eastAsiaTheme="minorEastAsia" w:hAnsiTheme="minorHAnsi" w:cstheme="minorBidi"/>
            <w:noProof/>
            <w:szCs w:val="24"/>
          </w:rPr>
          <w:tab/>
        </w:r>
        <w:r w:rsidR="002C0E50" w:rsidRPr="00C75400">
          <w:rPr>
            <w:rStyle w:val="Hyperlink"/>
            <w:noProof/>
          </w:rPr>
          <w:t>Fish Farming</w:t>
        </w:r>
        <w:r w:rsidR="002C0E50">
          <w:rPr>
            <w:noProof/>
            <w:webHidden/>
          </w:rPr>
          <w:tab/>
        </w:r>
        <w:r w:rsidR="002C0E50">
          <w:rPr>
            <w:noProof/>
            <w:webHidden/>
          </w:rPr>
          <w:fldChar w:fldCharType="begin"/>
        </w:r>
        <w:r w:rsidR="002C0E50">
          <w:rPr>
            <w:noProof/>
            <w:webHidden/>
          </w:rPr>
          <w:instrText xml:space="preserve"> PAGEREF _Toc82385826 \h </w:instrText>
        </w:r>
        <w:r w:rsidR="002C0E50">
          <w:rPr>
            <w:noProof/>
            <w:webHidden/>
          </w:rPr>
        </w:r>
        <w:r w:rsidR="002C0E50">
          <w:rPr>
            <w:noProof/>
            <w:webHidden/>
          </w:rPr>
          <w:fldChar w:fldCharType="separate"/>
        </w:r>
        <w:r w:rsidR="00A15698">
          <w:rPr>
            <w:noProof/>
            <w:webHidden/>
          </w:rPr>
          <w:t>277</w:t>
        </w:r>
        <w:r w:rsidR="002C0E50">
          <w:rPr>
            <w:noProof/>
            <w:webHidden/>
          </w:rPr>
          <w:fldChar w:fldCharType="end"/>
        </w:r>
      </w:hyperlink>
    </w:p>
    <w:p w14:paraId="7695BA3F" w14:textId="0997C10E" w:rsidR="002C0E50" w:rsidRPr="00467F1C" w:rsidRDefault="00E909AE" w:rsidP="002C0E50">
      <w:pPr>
        <w:pStyle w:val="TOC5"/>
        <w:tabs>
          <w:tab w:val="clear" w:pos="9622"/>
          <w:tab w:val="right" w:leader="dot" w:pos="9020"/>
        </w:tabs>
        <w:spacing w:before="60"/>
        <w:rPr>
          <w:rFonts w:asciiTheme="minorHAnsi" w:eastAsiaTheme="minorEastAsia" w:hAnsiTheme="minorHAnsi" w:cstheme="minorBidi"/>
          <w:b/>
          <w:noProof/>
          <w:szCs w:val="24"/>
        </w:rPr>
      </w:pPr>
      <w:hyperlink w:anchor="_Toc82385827" w:history="1">
        <w:r w:rsidR="002C0E50" w:rsidRPr="00467F1C">
          <w:rPr>
            <w:rStyle w:val="Hyperlink"/>
            <w:rFonts w:eastAsia="SimSun"/>
            <w:b/>
            <w:noProof/>
            <w:lang w:eastAsia="zh-CN"/>
          </w:rPr>
          <w:t>LIST OF APPENDICES</w:t>
        </w:r>
        <w:r w:rsidR="002C0E50" w:rsidRPr="00467F1C">
          <w:rPr>
            <w:b/>
            <w:noProof/>
            <w:webHidden/>
          </w:rPr>
          <w:tab/>
        </w:r>
        <w:r w:rsidR="002C0E50" w:rsidRPr="00467F1C">
          <w:rPr>
            <w:b/>
            <w:noProof/>
            <w:webHidden/>
          </w:rPr>
          <w:fldChar w:fldCharType="begin"/>
        </w:r>
        <w:r w:rsidR="002C0E50" w:rsidRPr="00467F1C">
          <w:rPr>
            <w:b/>
            <w:noProof/>
            <w:webHidden/>
          </w:rPr>
          <w:instrText xml:space="preserve"> PAGEREF _Toc82385827 \h </w:instrText>
        </w:r>
        <w:r w:rsidR="002C0E50" w:rsidRPr="00467F1C">
          <w:rPr>
            <w:b/>
            <w:noProof/>
            <w:webHidden/>
          </w:rPr>
        </w:r>
        <w:r w:rsidR="002C0E50" w:rsidRPr="00467F1C">
          <w:rPr>
            <w:b/>
            <w:noProof/>
            <w:webHidden/>
          </w:rPr>
          <w:fldChar w:fldCharType="separate"/>
        </w:r>
        <w:r w:rsidR="00A15698">
          <w:rPr>
            <w:b/>
            <w:noProof/>
            <w:webHidden/>
          </w:rPr>
          <w:t>278</w:t>
        </w:r>
        <w:r w:rsidR="002C0E50" w:rsidRPr="00467F1C">
          <w:rPr>
            <w:b/>
            <w:noProof/>
            <w:webHidden/>
          </w:rPr>
          <w:fldChar w:fldCharType="end"/>
        </w:r>
      </w:hyperlink>
    </w:p>
    <w:p w14:paraId="713BF1A8" w14:textId="33DBAE23" w:rsidR="004D2415" w:rsidRDefault="00395E7C" w:rsidP="002C0E50">
      <w:pPr>
        <w:tabs>
          <w:tab w:val="left" w:pos="1134"/>
          <w:tab w:val="left" w:pos="1418"/>
          <w:tab w:val="left" w:pos="1560"/>
          <w:tab w:val="left" w:pos="1701"/>
          <w:tab w:val="right" w:leader="dot" w:pos="9020"/>
        </w:tabs>
        <w:rPr>
          <w:rFonts w:cs="Calibri"/>
          <w:b/>
          <w:iCs/>
          <w:sz w:val="22"/>
          <w:szCs w:val="22"/>
        </w:rPr>
      </w:pPr>
      <w:r>
        <w:rPr>
          <w:rFonts w:cs="Calibri"/>
          <w:b/>
          <w:iCs/>
          <w:sz w:val="22"/>
          <w:szCs w:val="22"/>
        </w:rPr>
        <w:fldChar w:fldCharType="end"/>
      </w:r>
    </w:p>
    <w:p w14:paraId="3FD26DBB" w14:textId="77777777" w:rsidR="00B40BDD" w:rsidRDefault="00B40BDD" w:rsidP="00A95156">
      <w:pPr>
        <w:tabs>
          <w:tab w:val="left" w:pos="1418"/>
          <w:tab w:val="left" w:pos="1701"/>
        </w:tabs>
        <w:spacing w:line="240" w:lineRule="auto"/>
        <w:contextualSpacing w:val="0"/>
        <w:jc w:val="left"/>
        <w:rPr>
          <w:rFonts w:eastAsiaTheme="majorEastAsia" w:cstheme="majorBidi"/>
          <w:b/>
        </w:rPr>
      </w:pPr>
      <w:r>
        <w:br w:type="page"/>
      </w:r>
    </w:p>
    <w:p w14:paraId="124AB6A6" w14:textId="03B56D2C" w:rsidR="00B40BDD" w:rsidRPr="001629E1" w:rsidRDefault="00756AE3" w:rsidP="001629E1">
      <w:pPr>
        <w:pStyle w:val="Heading5"/>
      </w:pPr>
      <w:bookmarkStart w:id="0" w:name="_Toc82385608"/>
      <w:r>
        <w:lastRenderedPageBreak/>
        <w:t>LIST OF TABLES</w:t>
      </w:r>
      <w:bookmarkEnd w:id="0"/>
    </w:p>
    <w:p w14:paraId="56766518" w14:textId="33C56393" w:rsidR="002C0E50" w:rsidRDefault="00227F04">
      <w:pPr>
        <w:pStyle w:val="TOC7"/>
        <w:rPr>
          <w:rFonts w:asciiTheme="minorHAnsi" w:eastAsiaTheme="minorEastAsia" w:hAnsiTheme="minorHAnsi" w:cstheme="minorBidi"/>
          <w:noProof/>
          <w:szCs w:val="24"/>
        </w:rPr>
      </w:pPr>
      <w:r>
        <w:rPr>
          <w:b/>
          <w:sz w:val="22"/>
          <w:szCs w:val="22"/>
        </w:rPr>
        <w:fldChar w:fldCharType="begin"/>
      </w:r>
      <w:r>
        <w:rPr>
          <w:b/>
          <w:sz w:val="22"/>
          <w:szCs w:val="22"/>
        </w:rPr>
        <w:instrText xml:space="preserve"> TOC \o "7-7" \h \z \u </w:instrText>
      </w:r>
      <w:r>
        <w:rPr>
          <w:b/>
          <w:sz w:val="22"/>
          <w:szCs w:val="22"/>
        </w:rPr>
        <w:fldChar w:fldCharType="separate"/>
      </w:r>
      <w:hyperlink w:anchor="_Toc82386180" w:history="1">
        <w:r w:rsidR="002C0E50" w:rsidRPr="00BF31C7">
          <w:rPr>
            <w:rStyle w:val="Hyperlink"/>
            <w:noProof/>
          </w:rPr>
          <w:t>Table 1.1:</w:t>
        </w:r>
        <w:r w:rsidR="002C0E50">
          <w:rPr>
            <w:rFonts w:asciiTheme="minorHAnsi" w:eastAsiaTheme="minorEastAsia" w:hAnsiTheme="minorHAnsi" w:cstheme="minorBidi"/>
            <w:noProof/>
            <w:szCs w:val="24"/>
          </w:rPr>
          <w:tab/>
        </w:r>
        <w:r w:rsidR="002C0E50" w:rsidRPr="00BF31C7">
          <w:rPr>
            <w:rStyle w:val="Hyperlink"/>
            <w:noProof/>
          </w:rPr>
          <w:t>Census Sample Size During 2019/20 Agricultural Year, Tanzania</w:t>
        </w:r>
        <w:r w:rsidR="002C0E50">
          <w:rPr>
            <w:noProof/>
            <w:webHidden/>
          </w:rPr>
          <w:tab/>
        </w:r>
        <w:r w:rsidR="002C0E50">
          <w:rPr>
            <w:noProof/>
            <w:webHidden/>
          </w:rPr>
          <w:fldChar w:fldCharType="begin"/>
        </w:r>
        <w:r w:rsidR="002C0E50">
          <w:rPr>
            <w:noProof/>
            <w:webHidden/>
          </w:rPr>
          <w:instrText xml:space="preserve"> PAGEREF _Toc82386180 \h </w:instrText>
        </w:r>
        <w:r w:rsidR="002C0E50">
          <w:rPr>
            <w:noProof/>
            <w:webHidden/>
          </w:rPr>
        </w:r>
        <w:r w:rsidR="002C0E50">
          <w:rPr>
            <w:noProof/>
            <w:webHidden/>
          </w:rPr>
          <w:fldChar w:fldCharType="separate"/>
        </w:r>
        <w:r w:rsidR="00A15698">
          <w:rPr>
            <w:noProof/>
            <w:webHidden/>
          </w:rPr>
          <w:t>4</w:t>
        </w:r>
        <w:r w:rsidR="002C0E50">
          <w:rPr>
            <w:noProof/>
            <w:webHidden/>
          </w:rPr>
          <w:fldChar w:fldCharType="end"/>
        </w:r>
      </w:hyperlink>
    </w:p>
    <w:p w14:paraId="171126EF" w14:textId="6202CB24" w:rsidR="002C0E50" w:rsidRDefault="00E909AE">
      <w:pPr>
        <w:pStyle w:val="TOC7"/>
        <w:rPr>
          <w:rFonts w:asciiTheme="minorHAnsi" w:eastAsiaTheme="minorEastAsia" w:hAnsiTheme="minorHAnsi" w:cstheme="minorBidi"/>
          <w:noProof/>
          <w:szCs w:val="24"/>
        </w:rPr>
      </w:pPr>
      <w:hyperlink w:anchor="_Toc82386181" w:history="1">
        <w:r w:rsidR="002C0E50" w:rsidRPr="00BF31C7">
          <w:rPr>
            <w:rStyle w:val="Hyperlink"/>
            <w:noProof/>
          </w:rPr>
          <w:t>Table 2.1:</w:t>
        </w:r>
        <w:r w:rsidR="002C0E50">
          <w:rPr>
            <w:rFonts w:asciiTheme="minorHAnsi" w:eastAsiaTheme="minorEastAsia" w:hAnsiTheme="minorHAnsi" w:cstheme="minorBidi"/>
            <w:noProof/>
            <w:szCs w:val="24"/>
          </w:rPr>
          <w:tab/>
        </w:r>
        <w:r w:rsidR="002C0E50" w:rsidRPr="00BF31C7">
          <w:rPr>
            <w:rStyle w:val="Hyperlink"/>
            <w:noProof/>
          </w:rPr>
          <w:t>Number of Agricultural Household Members by Sex and Age Group, 2019/20 Agricultural Year, Tanzania</w:t>
        </w:r>
        <w:r w:rsidR="002C0E50">
          <w:rPr>
            <w:noProof/>
            <w:webHidden/>
          </w:rPr>
          <w:tab/>
        </w:r>
        <w:r w:rsidR="002C0E50">
          <w:rPr>
            <w:noProof/>
            <w:webHidden/>
          </w:rPr>
          <w:fldChar w:fldCharType="begin"/>
        </w:r>
        <w:r w:rsidR="002C0E50">
          <w:rPr>
            <w:noProof/>
            <w:webHidden/>
          </w:rPr>
          <w:instrText xml:space="preserve"> PAGEREF _Toc82386181 \h </w:instrText>
        </w:r>
        <w:r w:rsidR="002C0E50">
          <w:rPr>
            <w:noProof/>
            <w:webHidden/>
          </w:rPr>
        </w:r>
        <w:r w:rsidR="002C0E50">
          <w:rPr>
            <w:noProof/>
            <w:webHidden/>
          </w:rPr>
          <w:fldChar w:fldCharType="separate"/>
        </w:r>
        <w:r w:rsidR="00A15698">
          <w:rPr>
            <w:noProof/>
            <w:webHidden/>
          </w:rPr>
          <w:t>8</w:t>
        </w:r>
        <w:r w:rsidR="002C0E50">
          <w:rPr>
            <w:noProof/>
            <w:webHidden/>
          </w:rPr>
          <w:fldChar w:fldCharType="end"/>
        </w:r>
      </w:hyperlink>
    </w:p>
    <w:p w14:paraId="080F50CE" w14:textId="21C6D302" w:rsidR="002C0E50" w:rsidRDefault="00E909AE">
      <w:pPr>
        <w:pStyle w:val="TOC7"/>
        <w:rPr>
          <w:rFonts w:asciiTheme="minorHAnsi" w:eastAsiaTheme="minorEastAsia" w:hAnsiTheme="minorHAnsi" w:cstheme="minorBidi"/>
          <w:noProof/>
          <w:szCs w:val="24"/>
        </w:rPr>
      </w:pPr>
      <w:hyperlink w:anchor="_Toc82386182" w:history="1">
        <w:r w:rsidR="002C0E50" w:rsidRPr="00BF31C7">
          <w:rPr>
            <w:rStyle w:val="Hyperlink"/>
            <w:noProof/>
          </w:rPr>
          <w:t>Table 2.2:</w:t>
        </w:r>
        <w:r w:rsidR="002C0E50">
          <w:rPr>
            <w:rFonts w:asciiTheme="minorHAnsi" w:eastAsiaTheme="minorEastAsia" w:hAnsiTheme="minorHAnsi" w:cstheme="minorBidi"/>
            <w:noProof/>
            <w:szCs w:val="24"/>
          </w:rPr>
          <w:tab/>
        </w:r>
        <w:r w:rsidR="002C0E50" w:rsidRPr="00BF31C7">
          <w:rPr>
            <w:rStyle w:val="Hyperlink"/>
            <w:noProof/>
          </w:rPr>
          <w:t>Number and Percentage of Agricultural Population by Main Activity During 2019/20 Agricultural Year, Tanzania</w:t>
        </w:r>
        <w:r w:rsidR="002C0E50">
          <w:rPr>
            <w:noProof/>
            <w:webHidden/>
          </w:rPr>
          <w:tab/>
        </w:r>
        <w:r w:rsidR="002C0E50">
          <w:rPr>
            <w:noProof/>
            <w:webHidden/>
          </w:rPr>
          <w:fldChar w:fldCharType="begin"/>
        </w:r>
        <w:r w:rsidR="002C0E50">
          <w:rPr>
            <w:noProof/>
            <w:webHidden/>
          </w:rPr>
          <w:instrText xml:space="preserve"> PAGEREF _Toc82386182 \h </w:instrText>
        </w:r>
        <w:r w:rsidR="002C0E50">
          <w:rPr>
            <w:noProof/>
            <w:webHidden/>
          </w:rPr>
        </w:r>
        <w:r w:rsidR="002C0E50">
          <w:rPr>
            <w:noProof/>
            <w:webHidden/>
          </w:rPr>
          <w:fldChar w:fldCharType="separate"/>
        </w:r>
        <w:r w:rsidR="00A15698">
          <w:rPr>
            <w:noProof/>
            <w:webHidden/>
          </w:rPr>
          <w:t>13</w:t>
        </w:r>
        <w:r w:rsidR="002C0E50">
          <w:rPr>
            <w:noProof/>
            <w:webHidden/>
          </w:rPr>
          <w:fldChar w:fldCharType="end"/>
        </w:r>
      </w:hyperlink>
    </w:p>
    <w:p w14:paraId="4E9BA83B" w14:textId="19E0F9DB" w:rsidR="002C0E50" w:rsidRDefault="00E909AE">
      <w:pPr>
        <w:pStyle w:val="TOC7"/>
        <w:rPr>
          <w:rFonts w:asciiTheme="minorHAnsi" w:eastAsiaTheme="minorEastAsia" w:hAnsiTheme="minorHAnsi" w:cstheme="minorBidi"/>
          <w:noProof/>
          <w:szCs w:val="24"/>
        </w:rPr>
      </w:pPr>
      <w:hyperlink w:anchor="_Toc82386183" w:history="1">
        <w:r w:rsidR="002C0E50" w:rsidRPr="00BF31C7">
          <w:rPr>
            <w:rStyle w:val="Hyperlink"/>
            <w:noProof/>
          </w:rPr>
          <w:t>Table 3.1:</w:t>
        </w:r>
        <w:r w:rsidR="002C0E50">
          <w:rPr>
            <w:rFonts w:asciiTheme="minorHAnsi" w:eastAsiaTheme="minorEastAsia" w:hAnsiTheme="minorHAnsi" w:cstheme="minorBidi"/>
            <w:noProof/>
            <w:szCs w:val="24"/>
          </w:rPr>
          <w:tab/>
        </w:r>
        <w:r w:rsidR="002C0E50" w:rsidRPr="00BF31C7">
          <w:rPr>
            <w:rStyle w:val="Hyperlink"/>
            <w:noProof/>
          </w:rPr>
          <w:t>Total Planted Area, Harvested Area, Quantity Harvested and Yield of the Cereal Crops Produced by Smallholder Farmers During 2019/20 Agricultural Year, Tanzania</w:t>
        </w:r>
        <w:r w:rsidR="002C0E50">
          <w:rPr>
            <w:noProof/>
            <w:webHidden/>
          </w:rPr>
          <w:tab/>
        </w:r>
        <w:r w:rsidR="002C0E50">
          <w:rPr>
            <w:noProof/>
            <w:webHidden/>
          </w:rPr>
          <w:fldChar w:fldCharType="begin"/>
        </w:r>
        <w:r w:rsidR="002C0E50">
          <w:rPr>
            <w:noProof/>
            <w:webHidden/>
          </w:rPr>
          <w:instrText xml:space="preserve"> PAGEREF _Toc82386183 \h </w:instrText>
        </w:r>
        <w:r w:rsidR="002C0E50">
          <w:rPr>
            <w:noProof/>
            <w:webHidden/>
          </w:rPr>
        </w:r>
        <w:r w:rsidR="002C0E50">
          <w:rPr>
            <w:noProof/>
            <w:webHidden/>
          </w:rPr>
          <w:fldChar w:fldCharType="separate"/>
        </w:r>
        <w:r w:rsidR="00A15698">
          <w:rPr>
            <w:noProof/>
            <w:webHidden/>
          </w:rPr>
          <w:t>22</w:t>
        </w:r>
        <w:r w:rsidR="002C0E50">
          <w:rPr>
            <w:noProof/>
            <w:webHidden/>
          </w:rPr>
          <w:fldChar w:fldCharType="end"/>
        </w:r>
      </w:hyperlink>
    </w:p>
    <w:p w14:paraId="4491BE85" w14:textId="7043551B" w:rsidR="002C0E50" w:rsidRDefault="00E909AE">
      <w:pPr>
        <w:pStyle w:val="TOC7"/>
        <w:rPr>
          <w:rFonts w:asciiTheme="minorHAnsi" w:eastAsiaTheme="minorEastAsia" w:hAnsiTheme="minorHAnsi" w:cstheme="minorBidi"/>
          <w:noProof/>
          <w:szCs w:val="24"/>
        </w:rPr>
      </w:pPr>
      <w:hyperlink w:anchor="_Toc82386184" w:history="1">
        <w:r w:rsidR="002C0E50" w:rsidRPr="00BF31C7">
          <w:rPr>
            <w:rStyle w:val="Hyperlink"/>
            <w:noProof/>
          </w:rPr>
          <w:t>Table 3.2:</w:t>
        </w:r>
        <w:r w:rsidR="002C0E50">
          <w:rPr>
            <w:rFonts w:asciiTheme="minorHAnsi" w:eastAsiaTheme="minorEastAsia" w:hAnsiTheme="minorHAnsi" w:cstheme="minorBidi"/>
            <w:noProof/>
            <w:szCs w:val="24"/>
          </w:rPr>
          <w:tab/>
        </w:r>
        <w:r w:rsidR="002C0E50" w:rsidRPr="00BF31C7">
          <w:rPr>
            <w:rStyle w:val="Hyperlink"/>
            <w:noProof/>
          </w:rPr>
          <w:t>Planted Area, Harvested Area, Quantity harvested, Yield and Percentage of Roots and Tubers During 2019/20 Agricultural Year, Tanzania</w:t>
        </w:r>
        <w:r w:rsidR="002C0E50">
          <w:rPr>
            <w:noProof/>
            <w:webHidden/>
          </w:rPr>
          <w:tab/>
        </w:r>
        <w:r w:rsidR="002C0E50">
          <w:rPr>
            <w:noProof/>
            <w:webHidden/>
          </w:rPr>
          <w:fldChar w:fldCharType="begin"/>
        </w:r>
        <w:r w:rsidR="002C0E50">
          <w:rPr>
            <w:noProof/>
            <w:webHidden/>
          </w:rPr>
          <w:instrText xml:space="preserve"> PAGEREF _Toc82386184 \h </w:instrText>
        </w:r>
        <w:r w:rsidR="002C0E50">
          <w:rPr>
            <w:noProof/>
            <w:webHidden/>
          </w:rPr>
        </w:r>
        <w:r w:rsidR="002C0E50">
          <w:rPr>
            <w:noProof/>
            <w:webHidden/>
          </w:rPr>
          <w:fldChar w:fldCharType="separate"/>
        </w:r>
        <w:r w:rsidR="00A15698">
          <w:rPr>
            <w:noProof/>
            <w:webHidden/>
          </w:rPr>
          <w:t>36</w:t>
        </w:r>
        <w:r w:rsidR="002C0E50">
          <w:rPr>
            <w:noProof/>
            <w:webHidden/>
          </w:rPr>
          <w:fldChar w:fldCharType="end"/>
        </w:r>
      </w:hyperlink>
    </w:p>
    <w:p w14:paraId="2646BB0D" w14:textId="3D15A44E" w:rsidR="002C0E50" w:rsidRDefault="00E909AE">
      <w:pPr>
        <w:pStyle w:val="TOC7"/>
        <w:rPr>
          <w:rFonts w:asciiTheme="minorHAnsi" w:eastAsiaTheme="minorEastAsia" w:hAnsiTheme="minorHAnsi" w:cstheme="minorBidi"/>
          <w:noProof/>
          <w:szCs w:val="24"/>
        </w:rPr>
      </w:pPr>
      <w:hyperlink w:anchor="_Toc82386185" w:history="1">
        <w:r w:rsidR="002C0E50" w:rsidRPr="00BF31C7">
          <w:rPr>
            <w:rStyle w:val="Hyperlink"/>
            <w:noProof/>
          </w:rPr>
          <w:t>Table 3.3:</w:t>
        </w:r>
        <w:r w:rsidR="002C0E50">
          <w:rPr>
            <w:rFonts w:asciiTheme="minorHAnsi" w:eastAsiaTheme="minorEastAsia" w:hAnsiTheme="minorHAnsi" w:cstheme="minorBidi"/>
            <w:noProof/>
            <w:szCs w:val="24"/>
          </w:rPr>
          <w:tab/>
        </w:r>
        <w:r w:rsidR="002C0E50" w:rsidRPr="00BF31C7">
          <w:rPr>
            <w:rStyle w:val="Hyperlink"/>
            <w:noProof/>
          </w:rPr>
          <w:t>Planted and Harvested Area, Quantity Harvested and Yield of Groundnuts by Region During 2019/20 Agricultural Year, Tanzania</w:t>
        </w:r>
        <w:r w:rsidR="002C0E50">
          <w:rPr>
            <w:noProof/>
            <w:webHidden/>
          </w:rPr>
          <w:tab/>
        </w:r>
        <w:r w:rsidR="002C0E50">
          <w:rPr>
            <w:noProof/>
            <w:webHidden/>
          </w:rPr>
          <w:fldChar w:fldCharType="begin"/>
        </w:r>
        <w:r w:rsidR="002C0E50">
          <w:rPr>
            <w:noProof/>
            <w:webHidden/>
          </w:rPr>
          <w:instrText xml:space="preserve"> PAGEREF _Toc82386185 \h </w:instrText>
        </w:r>
        <w:r w:rsidR="002C0E50">
          <w:rPr>
            <w:noProof/>
            <w:webHidden/>
          </w:rPr>
        </w:r>
        <w:r w:rsidR="002C0E50">
          <w:rPr>
            <w:noProof/>
            <w:webHidden/>
          </w:rPr>
          <w:fldChar w:fldCharType="separate"/>
        </w:r>
        <w:r w:rsidR="00A15698">
          <w:rPr>
            <w:noProof/>
            <w:webHidden/>
          </w:rPr>
          <w:t>61</w:t>
        </w:r>
        <w:r w:rsidR="002C0E50">
          <w:rPr>
            <w:noProof/>
            <w:webHidden/>
          </w:rPr>
          <w:fldChar w:fldCharType="end"/>
        </w:r>
      </w:hyperlink>
    </w:p>
    <w:p w14:paraId="0282A72F" w14:textId="60E7F469" w:rsidR="002C0E50" w:rsidRDefault="00E909AE">
      <w:pPr>
        <w:pStyle w:val="TOC7"/>
        <w:rPr>
          <w:rFonts w:asciiTheme="minorHAnsi" w:eastAsiaTheme="minorEastAsia" w:hAnsiTheme="minorHAnsi" w:cstheme="minorBidi"/>
          <w:noProof/>
          <w:szCs w:val="24"/>
        </w:rPr>
      </w:pPr>
      <w:hyperlink w:anchor="_Toc82386186" w:history="1">
        <w:r w:rsidR="002C0E50" w:rsidRPr="00BF31C7">
          <w:rPr>
            <w:rStyle w:val="Hyperlink"/>
            <w:noProof/>
          </w:rPr>
          <w:t>Table 3.4:</w:t>
        </w:r>
        <w:r w:rsidR="002C0E50">
          <w:rPr>
            <w:rFonts w:asciiTheme="minorHAnsi" w:eastAsiaTheme="minorEastAsia" w:hAnsiTheme="minorHAnsi" w:cstheme="minorBidi"/>
            <w:noProof/>
            <w:szCs w:val="24"/>
          </w:rPr>
          <w:tab/>
        </w:r>
        <w:r w:rsidR="002C0E50" w:rsidRPr="00BF31C7">
          <w:rPr>
            <w:rStyle w:val="Hyperlink"/>
            <w:noProof/>
          </w:rPr>
          <w:t>Planted and Harvested Area, Quantity Harvested and Yield of Sunflower by Region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_Toc82386186 \h </w:instrText>
        </w:r>
        <w:r w:rsidR="002C0E50">
          <w:rPr>
            <w:noProof/>
            <w:webHidden/>
          </w:rPr>
        </w:r>
        <w:r w:rsidR="002C0E50">
          <w:rPr>
            <w:noProof/>
            <w:webHidden/>
          </w:rPr>
          <w:fldChar w:fldCharType="separate"/>
        </w:r>
        <w:r w:rsidR="00A15698">
          <w:rPr>
            <w:noProof/>
            <w:webHidden/>
          </w:rPr>
          <w:t>63</w:t>
        </w:r>
        <w:r w:rsidR="002C0E50">
          <w:rPr>
            <w:noProof/>
            <w:webHidden/>
          </w:rPr>
          <w:fldChar w:fldCharType="end"/>
        </w:r>
      </w:hyperlink>
    </w:p>
    <w:p w14:paraId="69547829" w14:textId="154B71D6" w:rsidR="002C0E50" w:rsidRDefault="00E909AE">
      <w:pPr>
        <w:pStyle w:val="TOC7"/>
        <w:rPr>
          <w:rFonts w:asciiTheme="minorHAnsi" w:eastAsiaTheme="minorEastAsia" w:hAnsiTheme="minorHAnsi" w:cstheme="minorBidi"/>
          <w:noProof/>
          <w:szCs w:val="24"/>
        </w:rPr>
      </w:pPr>
      <w:hyperlink w:anchor="_Toc82386187" w:history="1">
        <w:r w:rsidR="002C0E50" w:rsidRPr="00BF31C7">
          <w:rPr>
            <w:rStyle w:val="Hyperlink"/>
            <w:noProof/>
          </w:rPr>
          <w:t>Table 3.5:</w:t>
        </w:r>
        <w:r w:rsidR="002C0E50">
          <w:rPr>
            <w:rFonts w:asciiTheme="minorHAnsi" w:eastAsiaTheme="minorEastAsia" w:hAnsiTheme="minorHAnsi" w:cstheme="minorBidi"/>
            <w:noProof/>
            <w:szCs w:val="24"/>
          </w:rPr>
          <w:tab/>
        </w:r>
        <w:r w:rsidR="002C0E50" w:rsidRPr="00BF31C7">
          <w:rPr>
            <w:rStyle w:val="Hyperlink"/>
            <w:noProof/>
          </w:rPr>
          <w:t>Planted and Harvested Area, Quantity Harvested and Yield of Sesame by Region During 2019/20 Agricultural Year, Tanzania</w:t>
        </w:r>
        <w:r w:rsidR="002C0E50">
          <w:rPr>
            <w:noProof/>
            <w:webHidden/>
          </w:rPr>
          <w:tab/>
        </w:r>
        <w:r w:rsidR="002C0E50">
          <w:rPr>
            <w:noProof/>
            <w:webHidden/>
          </w:rPr>
          <w:fldChar w:fldCharType="begin"/>
        </w:r>
        <w:r w:rsidR="002C0E50">
          <w:rPr>
            <w:noProof/>
            <w:webHidden/>
          </w:rPr>
          <w:instrText xml:space="preserve"> PAGEREF _Toc82386187 \h </w:instrText>
        </w:r>
        <w:r w:rsidR="002C0E50">
          <w:rPr>
            <w:noProof/>
            <w:webHidden/>
          </w:rPr>
        </w:r>
        <w:r w:rsidR="002C0E50">
          <w:rPr>
            <w:noProof/>
            <w:webHidden/>
          </w:rPr>
          <w:fldChar w:fldCharType="separate"/>
        </w:r>
        <w:r w:rsidR="00A15698">
          <w:rPr>
            <w:noProof/>
            <w:webHidden/>
          </w:rPr>
          <w:t>66</w:t>
        </w:r>
        <w:r w:rsidR="002C0E50">
          <w:rPr>
            <w:noProof/>
            <w:webHidden/>
          </w:rPr>
          <w:fldChar w:fldCharType="end"/>
        </w:r>
      </w:hyperlink>
    </w:p>
    <w:p w14:paraId="68929EAD" w14:textId="59118215" w:rsidR="002C0E50" w:rsidRDefault="00E909AE">
      <w:pPr>
        <w:pStyle w:val="TOC7"/>
        <w:rPr>
          <w:rFonts w:asciiTheme="minorHAnsi" w:eastAsiaTheme="minorEastAsia" w:hAnsiTheme="minorHAnsi" w:cstheme="minorBidi"/>
          <w:noProof/>
          <w:szCs w:val="24"/>
        </w:rPr>
      </w:pPr>
      <w:hyperlink w:anchor="_Toc82386188" w:history="1">
        <w:r w:rsidR="002C0E50" w:rsidRPr="00BF31C7">
          <w:rPr>
            <w:rStyle w:val="Hyperlink"/>
            <w:noProof/>
          </w:rPr>
          <w:t>Table 3.6:</w:t>
        </w:r>
        <w:r w:rsidR="002C0E50">
          <w:rPr>
            <w:rFonts w:asciiTheme="minorHAnsi" w:eastAsiaTheme="minorEastAsia" w:hAnsiTheme="minorHAnsi" w:cstheme="minorBidi"/>
            <w:noProof/>
            <w:szCs w:val="24"/>
          </w:rPr>
          <w:tab/>
        </w:r>
        <w:r w:rsidR="002C0E50" w:rsidRPr="00BF31C7">
          <w:rPr>
            <w:rStyle w:val="Hyperlink"/>
            <w:noProof/>
          </w:rPr>
          <w:t>Planted and Harvested Area, Quantity Harvested and Yield of Oil Palm by Region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_Toc82386188 \h </w:instrText>
        </w:r>
        <w:r w:rsidR="002C0E50">
          <w:rPr>
            <w:noProof/>
            <w:webHidden/>
          </w:rPr>
        </w:r>
        <w:r w:rsidR="002C0E50">
          <w:rPr>
            <w:noProof/>
            <w:webHidden/>
          </w:rPr>
          <w:fldChar w:fldCharType="separate"/>
        </w:r>
        <w:r w:rsidR="00A15698">
          <w:rPr>
            <w:noProof/>
            <w:webHidden/>
          </w:rPr>
          <w:t>67</w:t>
        </w:r>
        <w:r w:rsidR="002C0E50">
          <w:rPr>
            <w:noProof/>
            <w:webHidden/>
          </w:rPr>
          <w:fldChar w:fldCharType="end"/>
        </w:r>
      </w:hyperlink>
    </w:p>
    <w:p w14:paraId="5BDE4543" w14:textId="2D921373" w:rsidR="002C0E50" w:rsidRDefault="00E909AE">
      <w:pPr>
        <w:pStyle w:val="TOC7"/>
        <w:rPr>
          <w:rFonts w:asciiTheme="minorHAnsi" w:eastAsiaTheme="minorEastAsia" w:hAnsiTheme="minorHAnsi" w:cstheme="minorBidi"/>
          <w:noProof/>
          <w:szCs w:val="24"/>
        </w:rPr>
      </w:pPr>
      <w:hyperlink w:anchor="_Toc82386189" w:history="1">
        <w:r w:rsidR="002C0E50" w:rsidRPr="00BF31C7">
          <w:rPr>
            <w:rStyle w:val="Hyperlink"/>
            <w:noProof/>
          </w:rPr>
          <w:t>Table 3.7:</w:t>
        </w:r>
        <w:r w:rsidR="002C0E50">
          <w:rPr>
            <w:rFonts w:asciiTheme="minorHAnsi" w:eastAsiaTheme="minorEastAsia" w:hAnsiTheme="minorHAnsi" w:cstheme="minorBidi"/>
            <w:noProof/>
            <w:szCs w:val="24"/>
          </w:rPr>
          <w:tab/>
        </w:r>
        <w:r w:rsidR="002C0E50" w:rsidRPr="00BF31C7">
          <w:rPr>
            <w:rStyle w:val="Hyperlink"/>
            <w:noProof/>
          </w:rPr>
          <w:t>Number of Household, Planted Area, Quantity Harvested and Yield of Cabbage by Region During 2019/20 Agricultural Year, Tanzania</w:t>
        </w:r>
        <w:r w:rsidR="002C0E50">
          <w:rPr>
            <w:noProof/>
            <w:webHidden/>
          </w:rPr>
          <w:tab/>
        </w:r>
        <w:r w:rsidR="002C0E50">
          <w:rPr>
            <w:noProof/>
            <w:webHidden/>
          </w:rPr>
          <w:fldChar w:fldCharType="begin"/>
        </w:r>
        <w:r w:rsidR="002C0E50">
          <w:rPr>
            <w:noProof/>
            <w:webHidden/>
          </w:rPr>
          <w:instrText xml:space="preserve"> PAGEREF _Toc82386189 \h </w:instrText>
        </w:r>
        <w:r w:rsidR="002C0E50">
          <w:rPr>
            <w:noProof/>
            <w:webHidden/>
          </w:rPr>
        </w:r>
        <w:r w:rsidR="002C0E50">
          <w:rPr>
            <w:noProof/>
            <w:webHidden/>
          </w:rPr>
          <w:fldChar w:fldCharType="separate"/>
        </w:r>
        <w:r w:rsidR="00A15698">
          <w:rPr>
            <w:noProof/>
            <w:webHidden/>
          </w:rPr>
          <w:t>73</w:t>
        </w:r>
        <w:r w:rsidR="002C0E50">
          <w:rPr>
            <w:noProof/>
            <w:webHidden/>
          </w:rPr>
          <w:fldChar w:fldCharType="end"/>
        </w:r>
      </w:hyperlink>
    </w:p>
    <w:p w14:paraId="79140330" w14:textId="397D8459" w:rsidR="002C0E50" w:rsidRDefault="00E909AE">
      <w:pPr>
        <w:pStyle w:val="TOC7"/>
        <w:rPr>
          <w:rFonts w:asciiTheme="minorHAnsi" w:eastAsiaTheme="minorEastAsia" w:hAnsiTheme="minorHAnsi" w:cstheme="minorBidi"/>
          <w:noProof/>
          <w:szCs w:val="24"/>
        </w:rPr>
      </w:pPr>
      <w:hyperlink w:anchor="_Toc82386190" w:history="1">
        <w:r w:rsidR="002C0E50" w:rsidRPr="00BF31C7">
          <w:rPr>
            <w:rStyle w:val="Hyperlink"/>
            <w:noProof/>
          </w:rPr>
          <w:t>Table 3.8:</w:t>
        </w:r>
        <w:r w:rsidR="002C0E50">
          <w:rPr>
            <w:rFonts w:asciiTheme="minorHAnsi" w:eastAsiaTheme="minorEastAsia" w:hAnsiTheme="minorHAnsi" w:cstheme="minorBidi"/>
            <w:noProof/>
            <w:szCs w:val="24"/>
          </w:rPr>
          <w:tab/>
        </w:r>
        <w:r w:rsidR="002C0E50" w:rsidRPr="00BF31C7">
          <w:rPr>
            <w:rStyle w:val="Hyperlink"/>
            <w:noProof/>
          </w:rPr>
          <w:t>Planted and Harvested Area, Quantity and Yield of Okra by Region During 2019/20 Agricultural Year, Tanzania</w:t>
        </w:r>
        <w:r w:rsidR="002C0E50">
          <w:rPr>
            <w:noProof/>
            <w:webHidden/>
          </w:rPr>
          <w:tab/>
        </w:r>
        <w:r w:rsidR="002C0E50">
          <w:rPr>
            <w:noProof/>
            <w:webHidden/>
          </w:rPr>
          <w:fldChar w:fldCharType="begin"/>
        </w:r>
        <w:r w:rsidR="002C0E50">
          <w:rPr>
            <w:noProof/>
            <w:webHidden/>
          </w:rPr>
          <w:instrText xml:space="preserve"> PAGEREF _Toc82386190 \h </w:instrText>
        </w:r>
        <w:r w:rsidR="002C0E50">
          <w:rPr>
            <w:noProof/>
            <w:webHidden/>
          </w:rPr>
        </w:r>
        <w:r w:rsidR="002C0E50">
          <w:rPr>
            <w:noProof/>
            <w:webHidden/>
          </w:rPr>
          <w:fldChar w:fldCharType="separate"/>
        </w:r>
        <w:r w:rsidR="00A15698">
          <w:rPr>
            <w:noProof/>
            <w:webHidden/>
          </w:rPr>
          <w:t>77</w:t>
        </w:r>
        <w:r w:rsidR="002C0E50">
          <w:rPr>
            <w:noProof/>
            <w:webHidden/>
          </w:rPr>
          <w:fldChar w:fldCharType="end"/>
        </w:r>
      </w:hyperlink>
    </w:p>
    <w:p w14:paraId="0FCB3F34" w14:textId="1D47E53B" w:rsidR="002C0E50" w:rsidRDefault="00E909AE">
      <w:pPr>
        <w:pStyle w:val="TOC7"/>
        <w:rPr>
          <w:rFonts w:asciiTheme="minorHAnsi" w:eastAsiaTheme="minorEastAsia" w:hAnsiTheme="minorHAnsi" w:cstheme="minorBidi"/>
          <w:noProof/>
          <w:szCs w:val="24"/>
        </w:rPr>
      </w:pPr>
      <w:hyperlink w:anchor="_Toc82386191" w:history="1">
        <w:r w:rsidR="002C0E50" w:rsidRPr="00BF31C7">
          <w:rPr>
            <w:rStyle w:val="Hyperlink"/>
            <w:noProof/>
          </w:rPr>
          <w:t>Table 3.9:</w:t>
        </w:r>
        <w:r w:rsidR="002C0E50">
          <w:rPr>
            <w:rFonts w:asciiTheme="minorHAnsi" w:eastAsiaTheme="minorEastAsia" w:hAnsiTheme="minorHAnsi" w:cstheme="minorBidi"/>
            <w:noProof/>
            <w:szCs w:val="24"/>
          </w:rPr>
          <w:tab/>
        </w:r>
        <w:r w:rsidR="002C0E50" w:rsidRPr="00BF31C7">
          <w:rPr>
            <w:rStyle w:val="Hyperlink"/>
            <w:noProof/>
          </w:rPr>
          <w:t>Number of Households, Planted and Harvested Area, Quantity Harvested of Banana by Region During 2019/20 Agricultural Year, Tanzania</w:t>
        </w:r>
        <w:r w:rsidR="002C0E50">
          <w:rPr>
            <w:noProof/>
            <w:webHidden/>
          </w:rPr>
          <w:tab/>
        </w:r>
        <w:r w:rsidR="002C0E50">
          <w:rPr>
            <w:noProof/>
            <w:webHidden/>
          </w:rPr>
          <w:fldChar w:fldCharType="begin"/>
        </w:r>
        <w:r w:rsidR="002C0E50">
          <w:rPr>
            <w:noProof/>
            <w:webHidden/>
          </w:rPr>
          <w:instrText xml:space="preserve"> PAGEREF _Toc82386191 \h </w:instrText>
        </w:r>
        <w:r w:rsidR="002C0E50">
          <w:rPr>
            <w:noProof/>
            <w:webHidden/>
          </w:rPr>
        </w:r>
        <w:r w:rsidR="002C0E50">
          <w:rPr>
            <w:noProof/>
            <w:webHidden/>
          </w:rPr>
          <w:fldChar w:fldCharType="separate"/>
        </w:r>
        <w:r w:rsidR="00A15698">
          <w:rPr>
            <w:noProof/>
            <w:webHidden/>
          </w:rPr>
          <w:t>79</w:t>
        </w:r>
        <w:r w:rsidR="002C0E50">
          <w:rPr>
            <w:noProof/>
            <w:webHidden/>
          </w:rPr>
          <w:fldChar w:fldCharType="end"/>
        </w:r>
      </w:hyperlink>
    </w:p>
    <w:p w14:paraId="03445DA0" w14:textId="15F3726A" w:rsidR="002C0E50" w:rsidRDefault="00E909AE">
      <w:pPr>
        <w:pStyle w:val="TOC7"/>
        <w:rPr>
          <w:rFonts w:asciiTheme="minorHAnsi" w:eastAsiaTheme="minorEastAsia" w:hAnsiTheme="minorHAnsi" w:cstheme="minorBidi"/>
          <w:noProof/>
          <w:szCs w:val="24"/>
        </w:rPr>
      </w:pPr>
      <w:hyperlink w:anchor="_Toc82386192" w:history="1">
        <w:r w:rsidR="002C0E50" w:rsidRPr="00BF31C7">
          <w:rPr>
            <w:rStyle w:val="Hyperlink"/>
            <w:noProof/>
          </w:rPr>
          <w:t>Table 3.10:</w:t>
        </w:r>
        <w:r w:rsidR="002C0E50">
          <w:rPr>
            <w:rFonts w:asciiTheme="minorHAnsi" w:eastAsiaTheme="minorEastAsia" w:hAnsiTheme="minorHAnsi" w:cstheme="minorBidi"/>
            <w:noProof/>
            <w:szCs w:val="24"/>
          </w:rPr>
          <w:tab/>
        </w:r>
        <w:r w:rsidR="002C0E50" w:rsidRPr="00BF31C7">
          <w:rPr>
            <w:rStyle w:val="Hyperlink"/>
            <w:noProof/>
          </w:rPr>
          <w:t>Number of Households, Planted and Harvested Area, Quantity Harvested of Mango by Region During 2019/20 Agricultural Year, Tanzania</w:t>
        </w:r>
        <w:r w:rsidR="002C0E50">
          <w:rPr>
            <w:noProof/>
            <w:webHidden/>
          </w:rPr>
          <w:tab/>
        </w:r>
        <w:r w:rsidR="002C0E50">
          <w:rPr>
            <w:noProof/>
            <w:webHidden/>
          </w:rPr>
          <w:fldChar w:fldCharType="begin"/>
        </w:r>
        <w:r w:rsidR="002C0E50">
          <w:rPr>
            <w:noProof/>
            <w:webHidden/>
          </w:rPr>
          <w:instrText xml:space="preserve"> PAGEREF _Toc82386192 \h </w:instrText>
        </w:r>
        <w:r w:rsidR="002C0E50">
          <w:rPr>
            <w:noProof/>
            <w:webHidden/>
          </w:rPr>
        </w:r>
        <w:r w:rsidR="002C0E50">
          <w:rPr>
            <w:noProof/>
            <w:webHidden/>
          </w:rPr>
          <w:fldChar w:fldCharType="separate"/>
        </w:r>
        <w:r w:rsidR="00A15698">
          <w:rPr>
            <w:noProof/>
            <w:webHidden/>
          </w:rPr>
          <w:t>81</w:t>
        </w:r>
        <w:r w:rsidR="002C0E50">
          <w:rPr>
            <w:noProof/>
            <w:webHidden/>
          </w:rPr>
          <w:fldChar w:fldCharType="end"/>
        </w:r>
      </w:hyperlink>
    </w:p>
    <w:p w14:paraId="70C86B49" w14:textId="3C28C85E" w:rsidR="002C0E50" w:rsidRDefault="00E909AE">
      <w:pPr>
        <w:pStyle w:val="TOC7"/>
        <w:rPr>
          <w:rFonts w:asciiTheme="minorHAnsi" w:eastAsiaTheme="minorEastAsia" w:hAnsiTheme="minorHAnsi" w:cstheme="minorBidi"/>
          <w:noProof/>
          <w:szCs w:val="24"/>
        </w:rPr>
      </w:pPr>
      <w:hyperlink w:anchor="_Toc82386193" w:history="1">
        <w:r w:rsidR="002C0E50" w:rsidRPr="00BF31C7">
          <w:rPr>
            <w:rStyle w:val="Hyperlink"/>
            <w:noProof/>
          </w:rPr>
          <w:t>Table 3.11:</w:t>
        </w:r>
        <w:r w:rsidR="002C0E50">
          <w:rPr>
            <w:rFonts w:asciiTheme="minorHAnsi" w:eastAsiaTheme="minorEastAsia" w:hAnsiTheme="minorHAnsi" w:cstheme="minorBidi"/>
            <w:noProof/>
            <w:szCs w:val="24"/>
          </w:rPr>
          <w:tab/>
        </w:r>
        <w:r w:rsidR="002C0E50" w:rsidRPr="00BF31C7">
          <w:rPr>
            <w:rStyle w:val="Hyperlink"/>
            <w:noProof/>
          </w:rPr>
          <w:t>Number of Households, Planted and Harvested Area, Quantity Harvested of Oranges by Region During 2019/20 Agricultural Year, Tanzania</w:t>
        </w:r>
        <w:r w:rsidR="002C0E50">
          <w:rPr>
            <w:noProof/>
            <w:webHidden/>
          </w:rPr>
          <w:tab/>
        </w:r>
        <w:r w:rsidR="002C0E50">
          <w:rPr>
            <w:noProof/>
            <w:webHidden/>
          </w:rPr>
          <w:fldChar w:fldCharType="begin"/>
        </w:r>
        <w:r w:rsidR="002C0E50">
          <w:rPr>
            <w:noProof/>
            <w:webHidden/>
          </w:rPr>
          <w:instrText xml:space="preserve"> PAGEREF _Toc82386193 \h </w:instrText>
        </w:r>
        <w:r w:rsidR="002C0E50">
          <w:rPr>
            <w:noProof/>
            <w:webHidden/>
          </w:rPr>
        </w:r>
        <w:r w:rsidR="002C0E50">
          <w:rPr>
            <w:noProof/>
            <w:webHidden/>
          </w:rPr>
          <w:fldChar w:fldCharType="separate"/>
        </w:r>
        <w:r w:rsidR="00A15698">
          <w:rPr>
            <w:noProof/>
            <w:webHidden/>
          </w:rPr>
          <w:t>83</w:t>
        </w:r>
        <w:r w:rsidR="002C0E50">
          <w:rPr>
            <w:noProof/>
            <w:webHidden/>
          </w:rPr>
          <w:fldChar w:fldCharType="end"/>
        </w:r>
      </w:hyperlink>
    </w:p>
    <w:p w14:paraId="53C8B726" w14:textId="0487068D" w:rsidR="002C0E50" w:rsidRDefault="00E909AE">
      <w:pPr>
        <w:pStyle w:val="TOC7"/>
        <w:rPr>
          <w:rFonts w:asciiTheme="minorHAnsi" w:eastAsiaTheme="minorEastAsia" w:hAnsiTheme="minorHAnsi" w:cstheme="minorBidi"/>
          <w:noProof/>
          <w:szCs w:val="24"/>
        </w:rPr>
      </w:pPr>
      <w:hyperlink w:anchor="_Toc82386194" w:history="1">
        <w:r w:rsidR="002C0E50" w:rsidRPr="00BF31C7">
          <w:rPr>
            <w:rStyle w:val="Hyperlink"/>
            <w:noProof/>
          </w:rPr>
          <w:t>Table 3.12:</w:t>
        </w:r>
        <w:r w:rsidR="002C0E50">
          <w:rPr>
            <w:rFonts w:asciiTheme="minorHAnsi" w:eastAsiaTheme="minorEastAsia" w:hAnsiTheme="minorHAnsi" w:cstheme="minorBidi"/>
            <w:noProof/>
            <w:szCs w:val="24"/>
          </w:rPr>
          <w:tab/>
        </w:r>
        <w:r w:rsidR="002C0E50" w:rsidRPr="00BF31C7">
          <w:rPr>
            <w:rStyle w:val="Hyperlink"/>
            <w:noProof/>
          </w:rPr>
          <w:t>Agricultural Households, Planted and Harvested Area, Quantity Harvested of Pinneapple by Region During 2019/20 Agricultural Year, Tanzania</w:t>
        </w:r>
        <w:r w:rsidR="002C0E50">
          <w:rPr>
            <w:noProof/>
            <w:webHidden/>
          </w:rPr>
          <w:tab/>
        </w:r>
        <w:r w:rsidR="002C0E50">
          <w:rPr>
            <w:noProof/>
            <w:webHidden/>
          </w:rPr>
          <w:fldChar w:fldCharType="begin"/>
        </w:r>
        <w:r w:rsidR="002C0E50">
          <w:rPr>
            <w:noProof/>
            <w:webHidden/>
          </w:rPr>
          <w:instrText xml:space="preserve"> PAGEREF _Toc82386194 \h </w:instrText>
        </w:r>
        <w:r w:rsidR="002C0E50">
          <w:rPr>
            <w:noProof/>
            <w:webHidden/>
          </w:rPr>
        </w:r>
        <w:r w:rsidR="002C0E50">
          <w:rPr>
            <w:noProof/>
            <w:webHidden/>
          </w:rPr>
          <w:fldChar w:fldCharType="separate"/>
        </w:r>
        <w:r w:rsidR="00A15698">
          <w:rPr>
            <w:noProof/>
            <w:webHidden/>
          </w:rPr>
          <w:t>85</w:t>
        </w:r>
        <w:r w:rsidR="002C0E50">
          <w:rPr>
            <w:noProof/>
            <w:webHidden/>
          </w:rPr>
          <w:fldChar w:fldCharType="end"/>
        </w:r>
      </w:hyperlink>
    </w:p>
    <w:p w14:paraId="5626FF4D" w14:textId="3172B4B0" w:rsidR="002C0E50" w:rsidRDefault="00E909AE">
      <w:pPr>
        <w:pStyle w:val="TOC7"/>
        <w:rPr>
          <w:rFonts w:asciiTheme="minorHAnsi" w:eastAsiaTheme="minorEastAsia" w:hAnsiTheme="minorHAnsi" w:cstheme="minorBidi"/>
          <w:noProof/>
          <w:szCs w:val="24"/>
        </w:rPr>
      </w:pPr>
      <w:hyperlink w:anchor="_Toc82386195" w:history="1">
        <w:r w:rsidR="002C0E50" w:rsidRPr="00BF31C7">
          <w:rPr>
            <w:rStyle w:val="Hyperlink"/>
            <w:noProof/>
          </w:rPr>
          <w:t>Table 3.13:</w:t>
        </w:r>
        <w:r w:rsidR="002C0E50">
          <w:rPr>
            <w:rFonts w:asciiTheme="minorHAnsi" w:eastAsiaTheme="minorEastAsia" w:hAnsiTheme="minorHAnsi" w:cstheme="minorBidi"/>
            <w:noProof/>
            <w:szCs w:val="24"/>
          </w:rPr>
          <w:tab/>
        </w:r>
        <w:r w:rsidR="002C0E50" w:rsidRPr="00BF31C7">
          <w:rPr>
            <w:rStyle w:val="Hyperlink"/>
            <w:noProof/>
          </w:rPr>
          <w:t>Number of Households, Area Planted, Area Harvested, Production and Yield of Coffee from Smallholder Farmers by Region, 2019/20 Agricultural Year, Tanzania</w:t>
        </w:r>
        <w:r w:rsidR="002C0E50">
          <w:rPr>
            <w:noProof/>
            <w:webHidden/>
          </w:rPr>
          <w:tab/>
        </w:r>
        <w:r w:rsidR="002C0E50">
          <w:rPr>
            <w:noProof/>
            <w:webHidden/>
          </w:rPr>
          <w:fldChar w:fldCharType="begin"/>
        </w:r>
        <w:r w:rsidR="002C0E50">
          <w:rPr>
            <w:noProof/>
            <w:webHidden/>
          </w:rPr>
          <w:instrText xml:space="preserve"> PAGEREF _Toc82386195 \h </w:instrText>
        </w:r>
        <w:r w:rsidR="002C0E50">
          <w:rPr>
            <w:noProof/>
            <w:webHidden/>
          </w:rPr>
        </w:r>
        <w:r w:rsidR="002C0E50">
          <w:rPr>
            <w:noProof/>
            <w:webHidden/>
          </w:rPr>
          <w:fldChar w:fldCharType="separate"/>
        </w:r>
        <w:r w:rsidR="00A15698">
          <w:rPr>
            <w:noProof/>
            <w:webHidden/>
          </w:rPr>
          <w:t>89</w:t>
        </w:r>
        <w:r w:rsidR="002C0E50">
          <w:rPr>
            <w:noProof/>
            <w:webHidden/>
          </w:rPr>
          <w:fldChar w:fldCharType="end"/>
        </w:r>
      </w:hyperlink>
    </w:p>
    <w:p w14:paraId="311D064A" w14:textId="1483DEA1" w:rsidR="002C0E50" w:rsidRDefault="00E909AE">
      <w:pPr>
        <w:pStyle w:val="TOC7"/>
        <w:rPr>
          <w:rFonts w:asciiTheme="minorHAnsi" w:eastAsiaTheme="minorEastAsia" w:hAnsiTheme="minorHAnsi" w:cstheme="minorBidi"/>
          <w:noProof/>
          <w:szCs w:val="24"/>
        </w:rPr>
      </w:pPr>
      <w:hyperlink w:anchor="_Toc82386196" w:history="1">
        <w:r w:rsidR="002C0E50" w:rsidRPr="00BF31C7">
          <w:rPr>
            <w:rStyle w:val="Hyperlink"/>
            <w:noProof/>
          </w:rPr>
          <w:t>Table 3.14:</w:t>
        </w:r>
        <w:r w:rsidR="002C0E50">
          <w:rPr>
            <w:rFonts w:asciiTheme="minorHAnsi" w:eastAsiaTheme="minorEastAsia" w:hAnsiTheme="minorHAnsi" w:cstheme="minorBidi"/>
            <w:noProof/>
            <w:szCs w:val="24"/>
          </w:rPr>
          <w:tab/>
        </w:r>
        <w:r w:rsidR="002C0E50" w:rsidRPr="00BF31C7">
          <w:rPr>
            <w:rStyle w:val="Hyperlink"/>
            <w:noProof/>
          </w:rPr>
          <w:t>Number of Households, Area Planted and Harvested and Production of Cashewnuts by Region, 2019/20 Agricultural Year, Tanzania</w:t>
        </w:r>
        <w:r w:rsidR="002C0E50">
          <w:rPr>
            <w:noProof/>
            <w:webHidden/>
          </w:rPr>
          <w:tab/>
        </w:r>
        <w:r w:rsidR="002C0E50">
          <w:rPr>
            <w:noProof/>
            <w:webHidden/>
          </w:rPr>
          <w:fldChar w:fldCharType="begin"/>
        </w:r>
        <w:r w:rsidR="002C0E50">
          <w:rPr>
            <w:noProof/>
            <w:webHidden/>
          </w:rPr>
          <w:instrText xml:space="preserve"> PAGEREF _Toc82386196 \h </w:instrText>
        </w:r>
        <w:r w:rsidR="002C0E50">
          <w:rPr>
            <w:noProof/>
            <w:webHidden/>
          </w:rPr>
        </w:r>
        <w:r w:rsidR="002C0E50">
          <w:rPr>
            <w:noProof/>
            <w:webHidden/>
          </w:rPr>
          <w:fldChar w:fldCharType="separate"/>
        </w:r>
        <w:r w:rsidR="00A15698">
          <w:rPr>
            <w:noProof/>
            <w:webHidden/>
          </w:rPr>
          <w:t>91</w:t>
        </w:r>
        <w:r w:rsidR="002C0E50">
          <w:rPr>
            <w:noProof/>
            <w:webHidden/>
          </w:rPr>
          <w:fldChar w:fldCharType="end"/>
        </w:r>
      </w:hyperlink>
    </w:p>
    <w:p w14:paraId="41870C24" w14:textId="08B27AA1" w:rsidR="002C0E50" w:rsidRDefault="00E909AE">
      <w:pPr>
        <w:pStyle w:val="TOC7"/>
        <w:rPr>
          <w:rFonts w:asciiTheme="minorHAnsi" w:eastAsiaTheme="minorEastAsia" w:hAnsiTheme="minorHAnsi" w:cstheme="minorBidi"/>
          <w:noProof/>
          <w:szCs w:val="24"/>
        </w:rPr>
      </w:pPr>
      <w:hyperlink w:anchor="_Toc82386197" w:history="1">
        <w:r w:rsidR="002C0E50" w:rsidRPr="00BF31C7">
          <w:rPr>
            <w:rStyle w:val="Hyperlink"/>
            <w:noProof/>
          </w:rPr>
          <w:t>Table 3.15:</w:t>
        </w:r>
        <w:r w:rsidR="002C0E50">
          <w:rPr>
            <w:rFonts w:asciiTheme="minorHAnsi" w:eastAsiaTheme="minorEastAsia" w:hAnsiTheme="minorHAnsi" w:cstheme="minorBidi"/>
            <w:noProof/>
            <w:szCs w:val="24"/>
          </w:rPr>
          <w:tab/>
        </w:r>
        <w:r w:rsidR="002C0E50" w:rsidRPr="00BF31C7">
          <w:rPr>
            <w:rStyle w:val="Hyperlink"/>
            <w:noProof/>
          </w:rPr>
          <w:t>Number of Households, Area Planted and Harvested and Production of Sisal by Region, 2019/20 Agricultural Year, Tanzania</w:t>
        </w:r>
        <w:r w:rsidR="002C0E50">
          <w:rPr>
            <w:noProof/>
            <w:webHidden/>
          </w:rPr>
          <w:tab/>
        </w:r>
        <w:r w:rsidR="002C0E50">
          <w:rPr>
            <w:noProof/>
            <w:webHidden/>
          </w:rPr>
          <w:fldChar w:fldCharType="begin"/>
        </w:r>
        <w:r w:rsidR="002C0E50">
          <w:rPr>
            <w:noProof/>
            <w:webHidden/>
          </w:rPr>
          <w:instrText xml:space="preserve"> PAGEREF _Toc82386197 \h </w:instrText>
        </w:r>
        <w:r w:rsidR="002C0E50">
          <w:rPr>
            <w:noProof/>
            <w:webHidden/>
          </w:rPr>
        </w:r>
        <w:r w:rsidR="002C0E50">
          <w:rPr>
            <w:noProof/>
            <w:webHidden/>
          </w:rPr>
          <w:fldChar w:fldCharType="separate"/>
        </w:r>
        <w:r w:rsidR="00A15698">
          <w:rPr>
            <w:noProof/>
            <w:webHidden/>
          </w:rPr>
          <w:t>93</w:t>
        </w:r>
        <w:r w:rsidR="002C0E50">
          <w:rPr>
            <w:noProof/>
            <w:webHidden/>
          </w:rPr>
          <w:fldChar w:fldCharType="end"/>
        </w:r>
      </w:hyperlink>
    </w:p>
    <w:p w14:paraId="74E990F3" w14:textId="0C6BCE2A" w:rsidR="002C0E50" w:rsidRDefault="00E909AE">
      <w:pPr>
        <w:pStyle w:val="TOC7"/>
        <w:rPr>
          <w:rFonts w:asciiTheme="minorHAnsi" w:eastAsiaTheme="minorEastAsia" w:hAnsiTheme="minorHAnsi" w:cstheme="minorBidi"/>
          <w:noProof/>
          <w:szCs w:val="24"/>
        </w:rPr>
      </w:pPr>
      <w:hyperlink w:anchor="_Toc82386198" w:history="1">
        <w:r w:rsidR="002C0E50" w:rsidRPr="00BF31C7">
          <w:rPr>
            <w:rStyle w:val="Hyperlink"/>
            <w:noProof/>
          </w:rPr>
          <w:t>Table 3.16:</w:t>
        </w:r>
        <w:r w:rsidR="002C0E50">
          <w:rPr>
            <w:rFonts w:asciiTheme="minorHAnsi" w:eastAsiaTheme="minorEastAsia" w:hAnsiTheme="minorHAnsi" w:cstheme="minorBidi"/>
            <w:noProof/>
            <w:szCs w:val="24"/>
          </w:rPr>
          <w:tab/>
        </w:r>
        <w:r w:rsidR="002C0E50" w:rsidRPr="00BF31C7">
          <w:rPr>
            <w:rStyle w:val="Hyperlink"/>
            <w:noProof/>
          </w:rPr>
          <w:t>Number of Households, Area Planted and Harvested, Production and Yield of Tea by Region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_Toc82386198 \h </w:instrText>
        </w:r>
        <w:r w:rsidR="002C0E50">
          <w:rPr>
            <w:noProof/>
            <w:webHidden/>
          </w:rPr>
        </w:r>
        <w:r w:rsidR="002C0E50">
          <w:rPr>
            <w:noProof/>
            <w:webHidden/>
          </w:rPr>
          <w:fldChar w:fldCharType="separate"/>
        </w:r>
        <w:r w:rsidR="00A15698">
          <w:rPr>
            <w:noProof/>
            <w:webHidden/>
          </w:rPr>
          <w:t>94</w:t>
        </w:r>
        <w:r w:rsidR="002C0E50">
          <w:rPr>
            <w:noProof/>
            <w:webHidden/>
          </w:rPr>
          <w:fldChar w:fldCharType="end"/>
        </w:r>
      </w:hyperlink>
    </w:p>
    <w:p w14:paraId="3F6AAC3E" w14:textId="4EFC2542" w:rsidR="002C0E50" w:rsidRDefault="00E909AE">
      <w:pPr>
        <w:pStyle w:val="TOC7"/>
        <w:rPr>
          <w:rFonts w:asciiTheme="minorHAnsi" w:eastAsiaTheme="minorEastAsia" w:hAnsiTheme="minorHAnsi" w:cstheme="minorBidi"/>
          <w:noProof/>
          <w:szCs w:val="24"/>
        </w:rPr>
      </w:pPr>
      <w:hyperlink w:anchor="_Toc82386199" w:history="1">
        <w:r w:rsidR="002C0E50" w:rsidRPr="00BF31C7">
          <w:rPr>
            <w:rStyle w:val="Hyperlink"/>
            <w:noProof/>
          </w:rPr>
          <w:t>Table 3.17:</w:t>
        </w:r>
        <w:r w:rsidR="002C0E50">
          <w:rPr>
            <w:rFonts w:asciiTheme="minorHAnsi" w:eastAsiaTheme="minorEastAsia" w:hAnsiTheme="minorHAnsi" w:cstheme="minorBidi"/>
            <w:noProof/>
            <w:szCs w:val="24"/>
          </w:rPr>
          <w:tab/>
        </w:r>
        <w:r w:rsidR="002C0E50" w:rsidRPr="00BF31C7">
          <w:rPr>
            <w:rStyle w:val="Hyperlink"/>
            <w:noProof/>
          </w:rPr>
          <w:t>Number of Households, Planted and Harvested Area, Quantity Harvested of Cloves by Region During 2019/20 Agricultural Year, Tanzania</w:t>
        </w:r>
        <w:r w:rsidR="002C0E50">
          <w:rPr>
            <w:noProof/>
            <w:webHidden/>
          </w:rPr>
          <w:tab/>
        </w:r>
        <w:r w:rsidR="002C0E50">
          <w:rPr>
            <w:noProof/>
            <w:webHidden/>
          </w:rPr>
          <w:fldChar w:fldCharType="begin"/>
        </w:r>
        <w:r w:rsidR="002C0E50">
          <w:rPr>
            <w:noProof/>
            <w:webHidden/>
          </w:rPr>
          <w:instrText xml:space="preserve"> PAGEREF _Toc82386199 \h </w:instrText>
        </w:r>
        <w:r w:rsidR="002C0E50">
          <w:rPr>
            <w:noProof/>
            <w:webHidden/>
          </w:rPr>
        </w:r>
        <w:r w:rsidR="002C0E50">
          <w:rPr>
            <w:noProof/>
            <w:webHidden/>
          </w:rPr>
          <w:fldChar w:fldCharType="separate"/>
        </w:r>
        <w:r w:rsidR="00A15698">
          <w:rPr>
            <w:noProof/>
            <w:webHidden/>
          </w:rPr>
          <w:t>95</w:t>
        </w:r>
        <w:r w:rsidR="002C0E50">
          <w:rPr>
            <w:noProof/>
            <w:webHidden/>
          </w:rPr>
          <w:fldChar w:fldCharType="end"/>
        </w:r>
      </w:hyperlink>
    </w:p>
    <w:p w14:paraId="7A5EAB00" w14:textId="1995D04A" w:rsidR="002C0E50" w:rsidRDefault="00E909AE">
      <w:pPr>
        <w:pStyle w:val="TOC7"/>
        <w:rPr>
          <w:rFonts w:asciiTheme="minorHAnsi" w:eastAsiaTheme="minorEastAsia" w:hAnsiTheme="minorHAnsi" w:cstheme="minorBidi"/>
          <w:noProof/>
          <w:szCs w:val="24"/>
        </w:rPr>
      </w:pPr>
      <w:hyperlink w:anchor="_Toc82386200" w:history="1">
        <w:r w:rsidR="002C0E50" w:rsidRPr="00BF31C7">
          <w:rPr>
            <w:rStyle w:val="Hyperlink"/>
            <w:noProof/>
          </w:rPr>
          <w:t>Table 3.18:</w:t>
        </w:r>
        <w:r w:rsidR="002C0E50">
          <w:rPr>
            <w:rFonts w:asciiTheme="minorHAnsi" w:eastAsiaTheme="minorEastAsia" w:hAnsiTheme="minorHAnsi" w:cstheme="minorBidi"/>
            <w:noProof/>
            <w:szCs w:val="24"/>
          </w:rPr>
          <w:tab/>
        </w:r>
        <w:r w:rsidR="002C0E50" w:rsidRPr="00BF31C7">
          <w:rPr>
            <w:rStyle w:val="Hyperlink"/>
            <w:noProof/>
          </w:rPr>
          <w:t>Quantity of Major Crops Products During 2019/20 Agricultural Year, Tanzania</w:t>
        </w:r>
        <w:r w:rsidR="002C0E50">
          <w:rPr>
            <w:noProof/>
            <w:webHidden/>
          </w:rPr>
          <w:tab/>
        </w:r>
        <w:r w:rsidR="002C0E50">
          <w:rPr>
            <w:noProof/>
            <w:webHidden/>
          </w:rPr>
          <w:fldChar w:fldCharType="begin"/>
        </w:r>
        <w:r w:rsidR="002C0E50">
          <w:rPr>
            <w:noProof/>
            <w:webHidden/>
          </w:rPr>
          <w:instrText xml:space="preserve"> PAGEREF _Toc82386200 \h </w:instrText>
        </w:r>
        <w:r w:rsidR="002C0E50">
          <w:rPr>
            <w:noProof/>
            <w:webHidden/>
          </w:rPr>
        </w:r>
        <w:r w:rsidR="002C0E50">
          <w:rPr>
            <w:noProof/>
            <w:webHidden/>
          </w:rPr>
          <w:fldChar w:fldCharType="separate"/>
        </w:r>
        <w:r w:rsidR="00A15698">
          <w:rPr>
            <w:noProof/>
            <w:webHidden/>
          </w:rPr>
          <w:t>97</w:t>
        </w:r>
        <w:r w:rsidR="002C0E50">
          <w:rPr>
            <w:noProof/>
            <w:webHidden/>
          </w:rPr>
          <w:fldChar w:fldCharType="end"/>
        </w:r>
      </w:hyperlink>
    </w:p>
    <w:p w14:paraId="1CD30F18" w14:textId="5D60FC48" w:rsidR="002C0E50" w:rsidRDefault="00E909AE">
      <w:pPr>
        <w:pStyle w:val="TOC7"/>
        <w:rPr>
          <w:rFonts w:asciiTheme="minorHAnsi" w:eastAsiaTheme="minorEastAsia" w:hAnsiTheme="minorHAnsi" w:cstheme="minorBidi"/>
          <w:noProof/>
          <w:szCs w:val="24"/>
        </w:rPr>
      </w:pPr>
      <w:hyperlink w:anchor="_Toc82386201" w:history="1">
        <w:r w:rsidR="002C0E50" w:rsidRPr="00BF31C7">
          <w:rPr>
            <w:rStyle w:val="Hyperlink"/>
            <w:noProof/>
          </w:rPr>
          <w:t>Table 3.19:</w:t>
        </w:r>
        <w:r w:rsidR="002C0E50">
          <w:rPr>
            <w:rFonts w:asciiTheme="minorHAnsi" w:eastAsiaTheme="minorEastAsia" w:hAnsiTheme="minorHAnsi" w:cstheme="minorBidi"/>
            <w:noProof/>
            <w:szCs w:val="24"/>
          </w:rPr>
          <w:tab/>
        </w:r>
        <w:r w:rsidR="002C0E50" w:rsidRPr="00BF31C7">
          <w:rPr>
            <w:rStyle w:val="Hyperlink"/>
            <w:noProof/>
          </w:rPr>
          <w:t>Area under Irrigation During Short and Long Rainy Seasons During 2019/20 Agricultural Year, Tanzania</w:t>
        </w:r>
        <w:r w:rsidR="002C0E50">
          <w:rPr>
            <w:noProof/>
            <w:webHidden/>
          </w:rPr>
          <w:tab/>
        </w:r>
        <w:r w:rsidR="002C0E50">
          <w:rPr>
            <w:noProof/>
            <w:webHidden/>
          </w:rPr>
          <w:fldChar w:fldCharType="begin"/>
        </w:r>
        <w:r w:rsidR="002C0E50">
          <w:rPr>
            <w:noProof/>
            <w:webHidden/>
          </w:rPr>
          <w:instrText xml:space="preserve"> PAGEREF _Toc82386201 \h </w:instrText>
        </w:r>
        <w:r w:rsidR="002C0E50">
          <w:rPr>
            <w:noProof/>
            <w:webHidden/>
          </w:rPr>
        </w:r>
        <w:r w:rsidR="002C0E50">
          <w:rPr>
            <w:noProof/>
            <w:webHidden/>
          </w:rPr>
          <w:fldChar w:fldCharType="separate"/>
        </w:r>
        <w:r w:rsidR="00A15698">
          <w:rPr>
            <w:noProof/>
            <w:webHidden/>
          </w:rPr>
          <w:t>100</w:t>
        </w:r>
        <w:r w:rsidR="002C0E50">
          <w:rPr>
            <w:noProof/>
            <w:webHidden/>
          </w:rPr>
          <w:fldChar w:fldCharType="end"/>
        </w:r>
      </w:hyperlink>
    </w:p>
    <w:p w14:paraId="67F6DB5E" w14:textId="644F99C1" w:rsidR="002C0E50" w:rsidRDefault="00E909AE">
      <w:pPr>
        <w:pStyle w:val="TOC7"/>
        <w:rPr>
          <w:rFonts w:asciiTheme="minorHAnsi" w:eastAsiaTheme="minorEastAsia" w:hAnsiTheme="minorHAnsi" w:cstheme="minorBidi"/>
          <w:noProof/>
          <w:szCs w:val="24"/>
        </w:rPr>
      </w:pPr>
      <w:hyperlink w:anchor="_Toc82386202" w:history="1">
        <w:r w:rsidR="002C0E50" w:rsidRPr="00BF31C7">
          <w:rPr>
            <w:rStyle w:val="Hyperlink"/>
            <w:noProof/>
          </w:rPr>
          <w:t>Table 3.20:</w:t>
        </w:r>
        <w:r w:rsidR="002C0E50">
          <w:rPr>
            <w:rFonts w:asciiTheme="minorHAnsi" w:eastAsiaTheme="minorEastAsia" w:hAnsiTheme="minorHAnsi" w:cstheme="minorBidi"/>
            <w:noProof/>
            <w:szCs w:val="24"/>
          </w:rPr>
          <w:tab/>
        </w:r>
        <w:r w:rsidR="002C0E50" w:rsidRPr="00BF31C7">
          <w:rPr>
            <w:rStyle w:val="Hyperlink"/>
            <w:noProof/>
          </w:rPr>
          <w:t>Percentage of Area planted with Fruits and Vegetables Under Irrigation by Seasons During 2019/20 Agricultural Year, Tanzania</w:t>
        </w:r>
        <w:r w:rsidR="002C0E50">
          <w:rPr>
            <w:noProof/>
            <w:webHidden/>
          </w:rPr>
          <w:tab/>
        </w:r>
        <w:r w:rsidR="002C0E50">
          <w:rPr>
            <w:noProof/>
            <w:webHidden/>
          </w:rPr>
          <w:fldChar w:fldCharType="begin"/>
        </w:r>
        <w:r w:rsidR="002C0E50">
          <w:rPr>
            <w:noProof/>
            <w:webHidden/>
          </w:rPr>
          <w:instrText xml:space="preserve"> PAGEREF _Toc82386202 \h </w:instrText>
        </w:r>
        <w:r w:rsidR="002C0E50">
          <w:rPr>
            <w:noProof/>
            <w:webHidden/>
          </w:rPr>
        </w:r>
        <w:r w:rsidR="002C0E50">
          <w:rPr>
            <w:noProof/>
            <w:webHidden/>
          </w:rPr>
          <w:fldChar w:fldCharType="separate"/>
        </w:r>
        <w:r w:rsidR="00A15698">
          <w:rPr>
            <w:noProof/>
            <w:webHidden/>
          </w:rPr>
          <w:t>105</w:t>
        </w:r>
        <w:r w:rsidR="002C0E50">
          <w:rPr>
            <w:noProof/>
            <w:webHidden/>
          </w:rPr>
          <w:fldChar w:fldCharType="end"/>
        </w:r>
      </w:hyperlink>
    </w:p>
    <w:p w14:paraId="044A8237" w14:textId="5E1AE5C1" w:rsidR="002C0E50" w:rsidRDefault="00E909AE">
      <w:pPr>
        <w:pStyle w:val="TOC7"/>
        <w:rPr>
          <w:rFonts w:asciiTheme="minorHAnsi" w:eastAsiaTheme="minorEastAsia" w:hAnsiTheme="minorHAnsi" w:cstheme="minorBidi"/>
          <w:noProof/>
          <w:szCs w:val="24"/>
        </w:rPr>
      </w:pPr>
      <w:hyperlink w:anchor="_Toc82386203" w:history="1">
        <w:r w:rsidR="002C0E50" w:rsidRPr="00BF31C7">
          <w:rPr>
            <w:rStyle w:val="Hyperlink"/>
            <w:noProof/>
          </w:rPr>
          <w:t>Table 3.21:</w:t>
        </w:r>
        <w:r w:rsidR="002C0E50">
          <w:rPr>
            <w:rFonts w:asciiTheme="minorHAnsi" w:eastAsiaTheme="minorEastAsia" w:hAnsiTheme="minorHAnsi" w:cstheme="minorBidi"/>
            <w:noProof/>
            <w:szCs w:val="24"/>
          </w:rPr>
          <w:tab/>
        </w:r>
        <w:r w:rsidR="002C0E50" w:rsidRPr="00BF31C7">
          <w:rPr>
            <w:rStyle w:val="Hyperlink"/>
            <w:noProof/>
          </w:rPr>
          <w:t>Cultivated Area and Area Planted by Type of Seed Used During 2019/20 Agricultural Year, Tanzania</w:t>
        </w:r>
        <w:r w:rsidR="002C0E50">
          <w:rPr>
            <w:noProof/>
            <w:webHidden/>
          </w:rPr>
          <w:tab/>
        </w:r>
        <w:r w:rsidR="002C0E50">
          <w:rPr>
            <w:noProof/>
            <w:webHidden/>
          </w:rPr>
          <w:fldChar w:fldCharType="begin"/>
        </w:r>
        <w:r w:rsidR="002C0E50">
          <w:rPr>
            <w:noProof/>
            <w:webHidden/>
          </w:rPr>
          <w:instrText xml:space="preserve"> PAGEREF _Toc82386203 \h </w:instrText>
        </w:r>
        <w:r w:rsidR="002C0E50">
          <w:rPr>
            <w:noProof/>
            <w:webHidden/>
          </w:rPr>
        </w:r>
        <w:r w:rsidR="002C0E50">
          <w:rPr>
            <w:noProof/>
            <w:webHidden/>
          </w:rPr>
          <w:fldChar w:fldCharType="separate"/>
        </w:r>
        <w:r w:rsidR="00A15698">
          <w:rPr>
            <w:noProof/>
            <w:webHidden/>
          </w:rPr>
          <w:t>106</w:t>
        </w:r>
        <w:r w:rsidR="002C0E50">
          <w:rPr>
            <w:noProof/>
            <w:webHidden/>
          </w:rPr>
          <w:fldChar w:fldCharType="end"/>
        </w:r>
      </w:hyperlink>
    </w:p>
    <w:p w14:paraId="39721C06" w14:textId="479C6B5D" w:rsidR="002C0E50" w:rsidRDefault="00E909AE">
      <w:pPr>
        <w:pStyle w:val="TOC7"/>
        <w:rPr>
          <w:rFonts w:asciiTheme="minorHAnsi" w:eastAsiaTheme="minorEastAsia" w:hAnsiTheme="minorHAnsi" w:cstheme="minorBidi"/>
          <w:noProof/>
          <w:szCs w:val="24"/>
        </w:rPr>
      </w:pPr>
      <w:hyperlink w:anchor="_Toc82386204" w:history="1">
        <w:r w:rsidR="002C0E50" w:rsidRPr="00BF31C7">
          <w:rPr>
            <w:rStyle w:val="Hyperlink"/>
            <w:noProof/>
          </w:rPr>
          <w:t>Table 3.22:</w:t>
        </w:r>
        <w:r w:rsidR="002C0E50">
          <w:rPr>
            <w:rFonts w:asciiTheme="minorHAnsi" w:eastAsiaTheme="minorEastAsia" w:hAnsiTheme="minorHAnsi" w:cstheme="minorBidi"/>
            <w:noProof/>
            <w:szCs w:val="24"/>
          </w:rPr>
          <w:tab/>
        </w:r>
        <w:r w:rsidR="002C0E50" w:rsidRPr="00BF31C7">
          <w:rPr>
            <w:rStyle w:val="Hyperlink"/>
            <w:noProof/>
          </w:rPr>
          <w:t>Area Planted with Fertilizer and Type of Fertilizers During 2019/20 Agricultural Year, Tanzania</w:t>
        </w:r>
        <w:r w:rsidR="002C0E50">
          <w:rPr>
            <w:noProof/>
            <w:webHidden/>
          </w:rPr>
          <w:tab/>
        </w:r>
        <w:r w:rsidR="002C0E50">
          <w:rPr>
            <w:noProof/>
            <w:webHidden/>
          </w:rPr>
          <w:fldChar w:fldCharType="begin"/>
        </w:r>
        <w:r w:rsidR="002C0E50">
          <w:rPr>
            <w:noProof/>
            <w:webHidden/>
          </w:rPr>
          <w:instrText xml:space="preserve"> PAGEREF _Toc82386204 \h </w:instrText>
        </w:r>
        <w:r w:rsidR="002C0E50">
          <w:rPr>
            <w:noProof/>
            <w:webHidden/>
          </w:rPr>
        </w:r>
        <w:r w:rsidR="002C0E50">
          <w:rPr>
            <w:noProof/>
            <w:webHidden/>
          </w:rPr>
          <w:fldChar w:fldCharType="separate"/>
        </w:r>
        <w:r w:rsidR="00A15698">
          <w:rPr>
            <w:noProof/>
            <w:webHidden/>
          </w:rPr>
          <w:t>107</w:t>
        </w:r>
        <w:r w:rsidR="002C0E50">
          <w:rPr>
            <w:noProof/>
            <w:webHidden/>
          </w:rPr>
          <w:fldChar w:fldCharType="end"/>
        </w:r>
      </w:hyperlink>
    </w:p>
    <w:p w14:paraId="69A9D3D1" w14:textId="75236F36" w:rsidR="002C0E50" w:rsidRDefault="00E909AE">
      <w:pPr>
        <w:pStyle w:val="TOC7"/>
        <w:rPr>
          <w:rFonts w:asciiTheme="minorHAnsi" w:eastAsiaTheme="minorEastAsia" w:hAnsiTheme="minorHAnsi" w:cstheme="minorBidi"/>
          <w:noProof/>
          <w:szCs w:val="24"/>
        </w:rPr>
      </w:pPr>
      <w:hyperlink w:anchor="_Toc82386205" w:history="1">
        <w:r w:rsidR="002C0E50" w:rsidRPr="00BF31C7">
          <w:rPr>
            <w:rStyle w:val="Hyperlink"/>
            <w:bCs/>
            <w:noProof/>
          </w:rPr>
          <w:t>Table 3.23:</w:t>
        </w:r>
        <w:r w:rsidR="002C0E50">
          <w:rPr>
            <w:rFonts w:asciiTheme="minorHAnsi" w:eastAsiaTheme="minorEastAsia" w:hAnsiTheme="minorHAnsi" w:cstheme="minorBidi"/>
            <w:noProof/>
            <w:szCs w:val="24"/>
          </w:rPr>
          <w:tab/>
        </w:r>
        <w:r w:rsidR="002C0E50" w:rsidRPr="00BF31C7">
          <w:rPr>
            <w:rStyle w:val="Hyperlink"/>
            <w:bCs/>
            <w:noProof/>
          </w:rPr>
          <w:t xml:space="preserve">Area Applied with </w:t>
        </w:r>
        <w:r w:rsidR="002C0E50" w:rsidRPr="00BF31C7">
          <w:rPr>
            <w:rStyle w:val="Hyperlink"/>
            <w:noProof/>
          </w:rPr>
          <w:t>Pesticides by Type of Pesticides and Planting Season, Tanzania</w:t>
        </w:r>
        <w:r w:rsidR="002C0E50">
          <w:rPr>
            <w:noProof/>
            <w:webHidden/>
          </w:rPr>
          <w:tab/>
        </w:r>
        <w:r w:rsidR="002C0E50">
          <w:rPr>
            <w:noProof/>
            <w:webHidden/>
          </w:rPr>
          <w:fldChar w:fldCharType="begin"/>
        </w:r>
        <w:r w:rsidR="002C0E50">
          <w:rPr>
            <w:noProof/>
            <w:webHidden/>
          </w:rPr>
          <w:instrText xml:space="preserve"> PAGEREF _Toc82386205 \h </w:instrText>
        </w:r>
        <w:r w:rsidR="002C0E50">
          <w:rPr>
            <w:noProof/>
            <w:webHidden/>
          </w:rPr>
        </w:r>
        <w:r w:rsidR="002C0E50">
          <w:rPr>
            <w:noProof/>
            <w:webHidden/>
          </w:rPr>
          <w:fldChar w:fldCharType="separate"/>
        </w:r>
        <w:r w:rsidR="00A15698">
          <w:rPr>
            <w:noProof/>
            <w:webHidden/>
          </w:rPr>
          <w:t>111</w:t>
        </w:r>
        <w:r w:rsidR="002C0E50">
          <w:rPr>
            <w:noProof/>
            <w:webHidden/>
          </w:rPr>
          <w:fldChar w:fldCharType="end"/>
        </w:r>
      </w:hyperlink>
    </w:p>
    <w:p w14:paraId="332FD743" w14:textId="04A61BD1" w:rsidR="002C0E50" w:rsidRDefault="00E909AE">
      <w:pPr>
        <w:pStyle w:val="TOC7"/>
        <w:rPr>
          <w:rFonts w:asciiTheme="minorHAnsi" w:eastAsiaTheme="minorEastAsia" w:hAnsiTheme="minorHAnsi" w:cstheme="minorBidi"/>
          <w:noProof/>
          <w:szCs w:val="24"/>
        </w:rPr>
      </w:pPr>
      <w:hyperlink w:anchor="_Toc82386206" w:history="1">
        <w:r w:rsidR="002C0E50" w:rsidRPr="00BF31C7">
          <w:rPr>
            <w:rStyle w:val="Hyperlink"/>
            <w:noProof/>
          </w:rPr>
          <w:t>Table 3.24:</w:t>
        </w:r>
        <w:r w:rsidR="002C0E50">
          <w:rPr>
            <w:rFonts w:asciiTheme="minorHAnsi" w:eastAsiaTheme="minorEastAsia" w:hAnsiTheme="minorHAnsi" w:cstheme="minorBidi"/>
            <w:noProof/>
            <w:szCs w:val="24"/>
          </w:rPr>
          <w:tab/>
        </w:r>
        <w:r w:rsidR="002C0E50" w:rsidRPr="00BF31C7">
          <w:rPr>
            <w:rStyle w:val="Hyperlink"/>
            <w:noProof/>
          </w:rPr>
          <w:t>Number and Percentage of Agricultural Households Reporting the Use of Farm Inputs During 2019/20 Agricultural Year, Tanzania</w:t>
        </w:r>
        <w:r w:rsidR="002C0E50">
          <w:rPr>
            <w:noProof/>
            <w:webHidden/>
          </w:rPr>
          <w:tab/>
        </w:r>
        <w:r w:rsidR="002C0E50">
          <w:rPr>
            <w:noProof/>
            <w:webHidden/>
          </w:rPr>
          <w:fldChar w:fldCharType="begin"/>
        </w:r>
        <w:r w:rsidR="002C0E50">
          <w:rPr>
            <w:noProof/>
            <w:webHidden/>
          </w:rPr>
          <w:instrText xml:space="preserve"> PAGEREF _Toc82386206 \h </w:instrText>
        </w:r>
        <w:r w:rsidR="002C0E50">
          <w:rPr>
            <w:noProof/>
            <w:webHidden/>
          </w:rPr>
        </w:r>
        <w:r w:rsidR="002C0E50">
          <w:rPr>
            <w:noProof/>
            <w:webHidden/>
          </w:rPr>
          <w:fldChar w:fldCharType="separate"/>
        </w:r>
        <w:r w:rsidR="00A15698">
          <w:rPr>
            <w:noProof/>
            <w:webHidden/>
          </w:rPr>
          <w:t>112</w:t>
        </w:r>
        <w:r w:rsidR="002C0E50">
          <w:rPr>
            <w:noProof/>
            <w:webHidden/>
          </w:rPr>
          <w:fldChar w:fldCharType="end"/>
        </w:r>
      </w:hyperlink>
    </w:p>
    <w:p w14:paraId="4D61F31D" w14:textId="71CA72B9" w:rsidR="002C0E50" w:rsidRDefault="00E909AE">
      <w:pPr>
        <w:pStyle w:val="TOC7"/>
        <w:rPr>
          <w:rFonts w:asciiTheme="minorHAnsi" w:eastAsiaTheme="minorEastAsia" w:hAnsiTheme="minorHAnsi" w:cstheme="minorBidi"/>
          <w:noProof/>
          <w:szCs w:val="24"/>
        </w:rPr>
      </w:pPr>
      <w:hyperlink w:anchor="_Toc82386207" w:history="1">
        <w:r w:rsidR="002C0E50" w:rsidRPr="00BF31C7">
          <w:rPr>
            <w:rStyle w:val="Hyperlink"/>
            <w:noProof/>
          </w:rPr>
          <w:t>Table 3.25:</w:t>
        </w:r>
        <w:r w:rsidR="002C0E50">
          <w:rPr>
            <w:rFonts w:asciiTheme="minorHAnsi" w:eastAsiaTheme="minorEastAsia" w:hAnsiTheme="minorHAnsi" w:cstheme="minorBidi"/>
            <w:noProof/>
            <w:szCs w:val="24"/>
          </w:rPr>
          <w:tab/>
        </w:r>
        <w:r w:rsidR="002C0E50" w:rsidRPr="00BF31C7">
          <w:rPr>
            <w:rStyle w:val="Hyperlink"/>
            <w:noProof/>
          </w:rPr>
          <w:t>Number and Percentage of Agricultural Households Reported to Use Farm Implements/Assets by Region During 2019/20 Agricultural Year, Tanzania</w:t>
        </w:r>
        <w:r w:rsidR="002C0E50">
          <w:rPr>
            <w:noProof/>
            <w:webHidden/>
          </w:rPr>
          <w:tab/>
        </w:r>
        <w:r w:rsidR="002C0E50">
          <w:rPr>
            <w:noProof/>
            <w:webHidden/>
          </w:rPr>
          <w:fldChar w:fldCharType="begin"/>
        </w:r>
        <w:r w:rsidR="002C0E50">
          <w:rPr>
            <w:noProof/>
            <w:webHidden/>
          </w:rPr>
          <w:instrText xml:space="preserve"> PAGEREF _Toc82386207 \h </w:instrText>
        </w:r>
        <w:r w:rsidR="002C0E50">
          <w:rPr>
            <w:noProof/>
            <w:webHidden/>
          </w:rPr>
        </w:r>
        <w:r w:rsidR="002C0E50">
          <w:rPr>
            <w:noProof/>
            <w:webHidden/>
          </w:rPr>
          <w:fldChar w:fldCharType="separate"/>
        </w:r>
        <w:r w:rsidR="00A15698">
          <w:rPr>
            <w:noProof/>
            <w:webHidden/>
          </w:rPr>
          <w:t>128</w:t>
        </w:r>
        <w:r w:rsidR="002C0E50">
          <w:rPr>
            <w:noProof/>
            <w:webHidden/>
          </w:rPr>
          <w:fldChar w:fldCharType="end"/>
        </w:r>
      </w:hyperlink>
    </w:p>
    <w:p w14:paraId="41B88E34" w14:textId="5EF4567A" w:rsidR="002C0E50" w:rsidRDefault="00E909AE">
      <w:pPr>
        <w:pStyle w:val="TOC7"/>
        <w:rPr>
          <w:rFonts w:asciiTheme="minorHAnsi" w:eastAsiaTheme="minorEastAsia" w:hAnsiTheme="minorHAnsi" w:cstheme="minorBidi"/>
          <w:noProof/>
          <w:szCs w:val="24"/>
        </w:rPr>
      </w:pPr>
      <w:hyperlink w:anchor="_Toc82386208" w:history="1">
        <w:r w:rsidR="002C0E50" w:rsidRPr="00BF31C7">
          <w:rPr>
            <w:rStyle w:val="Hyperlink"/>
            <w:bCs/>
            <w:noProof/>
          </w:rPr>
          <w:t>Table 3.26:</w:t>
        </w:r>
        <w:r w:rsidR="002C0E50">
          <w:rPr>
            <w:rFonts w:asciiTheme="minorHAnsi" w:eastAsiaTheme="minorEastAsia" w:hAnsiTheme="minorHAnsi" w:cstheme="minorBidi"/>
            <w:noProof/>
            <w:szCs w:val="24"/>
          </w:rPr>
          <w:tab/>
        </w:r>
        <w:r w:rsidR="002C0E50" w:rsidRPr="00BF31C7">
          <w:rPr>
            <w:rStyle w:val="Hyperlink"/>
            <w:noProof/>
          </w:rPr>
          <w:t>Crop Commercialization Index by Crop Type and Region During 2019/20 Agricultural Year, Tanzania</w:t>
        </w:r>
        <w:r w:rsidR="002C0E50">
          <w:rPr>
            <w:noProof/>
            <w:webHidden/>
          </w:rPr>
          <w:tab/>
        </w:r>
        <w:r w:rsidR="002C0E50">
          <w:rPr>
            <w:noProof/>
            <w:webHidden/>
          </w:rPr>
          <w:fldChar w:fldCharType="begin"/>
        </w:r>
        <w:r w:rsidR="002C0E50">
          <w:rPr>
            <w:noProof/>
            <w:webHidden/>
          </w:rPr>
          <w:instrText xml:space="preserve"> PAGEREF _Toc82386208 \h </w:instrText>
        </w:r>
        <w:r w:rsidR="002C0E50">
          <w:rPr>
            <w:noProof/>
            <w:webHidden/>
          </w:rPr>
        </w:r>
        <w:r w:rsidR="002C0E50">
          <w:rPr>
            <w:noProof/>
            <w:webHidden/>
          </w:rPr>
          <w:fldChar w:fldCharType="separate"/>
        </w:r>
        <w:r w:rsidR="00A15698">
          <w:rPr>
            <w:noProof/>
            <w:webHidden/>
          </w:rPr>
          <w:t>131</w:t>
        </w:r>
        <w:r w:rsidR="002C0E50">
          <w:rPr>
            <w:noProof/>
            <w:webHidden/>
          </w:rPr>
          <w:fldChar w:fldCharType="end"/>
        </w:r>
      </w:hyperlink>
    </w:p>
    <w:p w14:paraId="60344598" w14:textId="3441A2D6" w:rsidR="002C0E50" w:rsidRDefault="00E909AE">
      <w:pPr>
        <w:pStyle w:val="TOC7"/>
        <w:rPr>
          <w:rFonts w:asciiTheme="minorHAnsi" w:eastAsiaTheme="minorEastAsia" w:hAnsiTheme="minorHAnsi" w:cstheme="minorBidi"/>
          <w:noProof/>
          <w:szCs w:val="24"/>
        </w:rPr>
      </w:pPr>
      <w:hyperlink w:anchor="_Toc82386209" w:history="1">
        <w:r w:rsidR="002C0E50" w:rsidRPr="00BF31C7">
          <w:rPr>
            <w:rStyle w:val="Hyperlink"/>
            <w:noProof/>
          </w:rPr>
          <w:t>Table 4.1:</w:t>
        </w:r>
        <w:r w:rsidR="002C0E50">
          <w:rPr>
            <w:rFonts w:asciiTheme="minorHAnsi" w:eastAsiaTheme="minorEastAsia" w:hAnsiTheme="minorHAnsi" w:cstheme="minorBidi"/>
            <w:noProof/>
            <w:szCs w:val="24"/>
          </w:rPr>
          <w:tab/>
        </w:r>
        <w:r w:rsidR="002C0E50" w:rsidRPr="00BF31C7">
          <w:rPr>
            <w:rStyle w:val="Hyperlink"/>
            <w:noProof/>
          </w:rPr>
          <w:t>Number of Households and Livestock/Chicken by Type for Smallholder Farmers and Large Scale Farms as of 1</w:t>
        </w:r>
        <w:r w:rsidR="002C0E50" w:rsidRPr="00BF31C7">
          <w:rPr>
            <w:rStyle w:val="Hyperlink"/>
            <w:noProof/>
            <w:vertAlign w:val="superscript"/>
          </w:rPr>
          <w:t>st</w:t>
        </w:r>
        <w:r w:rsidR="002C0E50" w:rsidRPr="00BF31C7">
          <w:rPr>
            <w:rStyle w:val="Hyperlink"/>
            <w:noProof/>
          </w:rPr>
          <w:t xml:space="preserve"> August 2020, Tanzania</w:t>
        </w:r>
        <w:r w:rsidR="002C0E50">
          <w:rPr>
            <w:noProof/>
            <w:webHidden/>
          </w:rPr>
          <w:tab/>
        </w:r>
        <w:r w:rsidR="002C0E50">
          <w:rPr>
            <w:noProof/>
            <w:webHidden/>
          </w:rPr>
          <w:fldChar w:fldCharType="begin"/>
        </w:r>
        <w:r w:rsidR="002C0E50">
          <w:rPr>
            <w:noProof/>
            <w:webHidden/>
          </w:rPr>
          <w:instrText xml:space="preserve"> PAGEREF _Toc82386209 \h </w:instrText>
        </w:r>
        <w:r w:rsidR="002C0E50">
          <w:rPr>
            <w:noProof/>
            <w:webHidden/>
          </w:rPr>
        </w:r>
        <w:r w:rsidR="002C0E50">
          <w:rPr>
            <w:noProof/>
            <w:webHidden/>
          </w:rPr>
          <w:fldChar w:fldCharType="separate"/>
        </w:r>
        <w:r w:rsidR="00A15698">
          <w:rPr>
            <w:noProof/>
            <w:webHidden/>
          </w:rPr>
          <w:t>135</w:t>
        </w:r>
        <w:r w:rsidR="002C0E50">
          <w:rPr>
            <w:noProof/>
            <w:webHidden/>
          </w:rPr>
          <w:fldChar w:fldCharType="end"/>
        </w:r>
      </w:hyperlink>
    </w:p>
    <w:p w14:paraId="505EB6DA" w14:textId="7F957581" w:rsidR="002C0E50" w:rsidRDefault="00E909AE">
      <w:pPr>
        <w:pStyle w:val="TOC7"/>
        <w:rPr>
          <w:rFonts w:asciiTheme="minorHAnsi" w:eastAsiaTheme="minorEastAsia" w:hAnsiTheme="minorHAnsi" w:cstheme="minorBidi"/>
          <w:noProof/>
          <w:szCs w:val="24"/>
        </w:rPr>
      </w:pPr>
      <w:hyperlink w:anchor="_Toc82386210" w:history="1">
        <w:r w:rsidR="002C0E50" w:rsidRPr="00BF31C7">
          <w:rPr>
            <w:rStyle w:val="Hyperlink"/>
            <w:noProof/>
            <w:lang w:eastAsia="en-GB"/>
          </w:rPr>
          <w:t>Table 4.2:</w:t>
        </w:r>
        <w:r w:rsidR="002C0E50">
          <w:rPr>
            <w:rFonts w:asciiTheme="minorHAnsi" w:eastAsiaTheme="minorEastAsia" w:hAnsiTheme="minorHAnsi" w:cstheme="minorBidi"/>
            <w:noProof/>
            <w:szCs w:val="24"/>
          </w:rPr>
          <w:tab/>
        </w:r>
        <w:r w:rsidR="002C0E50" w:rsidRPr="00BF31C7">
          <w:rPr>
            <w:rStyle w:val="Hyperlink"/>
            <w:noProof/>
            <w:lang w:eastAsia="en-GB"/>
          </w:rPr>
          <w:t>Number of Agricultural Households Rearing Goats and Heads of Goats by Herd Size as of 1</w:t>
        </w:r>
        <w:r w:rsidR="002C0E50" w:rsidRPr="00BF31C7">
          <w:rPr>
            <w:rStyle w:val="Hyperlink"/>
            <w:noProof/>
            <w:vertAlign w:val="superscript"/>
            <w:lang w:eastAsia="en-GB"/>
          </w:rPr>
          <w:t>st</w:t>
        </w:r>
        <w:r w:rsidR="002C0E50" w:rsidRPr="00BF31C7">
          <w:rPr>
            <w:rStyle w:val="Hyperlink"/>
            <w:noProof/>
            <w:lang w:eastAsia="en-GB"/>
          </w:rPr>
          <w:t xml:space="preserve"> August 2020, Mainland Tanzania and Tanzania Zanzibar</w:t>
        </w:r>
        <w:r w:rsidR="002C0E50">
          <w:rPr>
            <w:noProof/>
            <w:webHidden/>
          </w:rPr>
          <w:tab/>
        </w:r>
        <w:r w:rsidR="002C0E50">
          <w:rPr>
            <w:noProof/>
            <w:webHidden/>
          </w:rPr>
          <w:fldChar w:fldCharType="begin"/>
        </w:r>
        <w:r w:rsidR="002C0E50">
          <w:rPr>
            <w:noProof/>
            <w:webHidden/>
          </w:rPr>
          <w:instrText xml:space="preserve"> PAGEREF _Toc82386210 \h </w:instrText>
        </w:r>
        <w:r w:rsidR="002C0E50">
          <w:rPr>
            <w:noProof/>
            <w:webHidden/>
          </w:rPr>
        </w:r>
        <w:r w:rsidR="002C0E50">
          <w:rPr>
            <w:noProof/>
            <w:webHidden/>
          </w:rPr>
          <w:fldChar w:fldCharType="separate"/>
        </w:r>
        <w:r w:rsidR="00A15698">
          <w:rPr>
            <w:noProof/>
            <w:webHidden/>
          </w:rPr>
          <w:t>141</w:t>
        </w:r>
        <w:r w:rsidR="002C0E50">
          <w:rPr>
            <w:noProof/>
            <w:webHidden/>
          </w:rPr>
          <w:fldChar w:fldCharType="end"/>
        </w:r>
      </w:hyperlink>
    </w:p>
    <w:p w14:paraId="5C99B2D8" w14:textId="10A7A19E" w:rsidR="002C0E50" w:rsidRDefault="00E909AE">
      <w:pPr>
        <w:pStyle w:val="TOC7"/>
        <w:rPr>
          <w:rFonts w:asciiTheme="minorHAnsi" w:eastAsiaTheme="minorEastAsia" w:hAnsiTheme="minorHAnsi" w:cstheme="minorBidi"/>
          <w:noProof/>
          <w:szCs w:val="24"/>
        </w:rPr>
      </w:pPr>
      <w:hyperlink w:anchor="_Toc82386211" w:history="1">
        <w:r w:rsidR="002C0E50" w:rsidRPr="00BF31C7">
          <w:rPr>
            <w:rStyle w:val="Hyperlink"/>
            <w:noProof/>
            <w:lang w:val="en-GB"/>
          </w:rPr>
          <w:t>Table 4.3:</w:t>
        </w:r>
        <w:r w:rsidR="002C0E50">
          <w:rPr>
            <w:rFonts w:asciiTheme="minorHAnsi" w:eastAsiaTheme="minorEastAsia" w:hAnsiTheme="minorHAnsi" w:cstheme="minorBidi"/>
            <w:noProof/>
            <w:szCs w:val="24"/>
          </w:rPr>
          <w:tab/>
        </w:r>
        <w:r w:rsidR="002C0E50" w:rsidRPr="00BF31C7">
          <w:rPr>
            <w:rStyle w:val="Hyperlink"/>
            <w:noProof/>
            <w:lang w:val="en-GB"/>
          </w:rPr>
          <w:t>Number of Agricultural Households Rearing Chicken and Number of Chicken by Flock Size as of 1</w:t>
        </w:r>
        <w:r w:rsidR="002C0E50" w:rsidRPr="00BF31C7">
          <w:rPr>
            <w:rStyle w:val="Hyperlink"/>
            <w:noProof/>
            <w:vertAlign w:val="superscript"/>
            <w:lang w:val="en-GB"/>
          </w:rPr>
          <w:t>st</w:t>
        </w:r>
        <w:r w:rsidR="002C0E50" w:rsidRPr="00BF31C7">
          <w:rPr>
            <w:rStyle w:val="Hyperlink"/>
            <w:noProof/>
            <w:lang w:val="en-GB"/>
          </w:rPr>
          <w:t xml:space="preserve"> August 2020, Tanzania</w:t>
        </w:r>
        <w:r w:rsidR="002C0E50">
          <w:rPr>
            <w:noProof/>
            <w:webHidden/>
          </w:rPr>
          <w:tab/>
        </w:r>
        <w:r w:rsidR="002C0E50">
          <w:rPr>
            <w:noProof/>
            <w:webHidden/>
          </w:rPr>
          <w:fldChar w:fldCharType="begin"/>
        </w:r>
        <w:r w:rsidR="002C0E50">
          <w:rPr>
            <w:noProof/>
            <w:webHidden/>
          </w:rPr>
          <w:instrText xml:space="preserve"> PAGEREF _Toc82386211 \h </w:instrText>
        </w:r>
        <w:r w:rsidR="002C0E50">
          <w:rPr>
            <w:noProof/>
            <w:webHidden/>
          </w:rPr>
        </w:r>
        <w:r w:rsidR="002C0E50">
          <w:rPr>
            <w:noProof/>
            <w:webHidden/>
          </w:rPr>
          <w:fldChar w:fldCharType="separate"/>
        </w:r>
        <w:r w:rsidR="00A15698">
          <w:rPr>
            <w:noProof/>
            <w:webHidden/>
          </w:rPr>
          <w:t>149</w:t>
        </w:r>
        <w:r w:rsidR="002C0E50">
          <w:rPr>
            <w:noProof/>
            <w:webHidden/>
          </w:rPr>
          <w:fldChar w:fldCharType="end"/>
        </w:r>
      </w:hyperlink>
    </w:p>
    <w:p w14:paraId="0F6EE6A8" w14:textId="518752E6" w:rsidR="002C0E50" w:rsidRDefault="00E909AE">
      <w:pPr>
        <w:pStyle w:val="TOC7"/>
        <w:rPr>
          <w:rFonts w:asciiTheme="minorHAnsi" w:eastAsiaTheme="minorEastAsia" w:hAnsiTheme="minorHAnsi" w:cstheme="minorBidi"/>
          <w:noProof/>
          <w:szCs w:val="24"/>
        </w:rPr>
      </w:pPr>
      <w:hyperlink w:anchor="_Toc82386212" w:history="1">
        <w:r w:rsidR="002C0E50" w:rsidRPr="00BF31C7">
          <w:rPr>
            <w:rStyle w:val="Hyperlink"/>
            <w:noProof/>
          </w:rPr>
          <w:t>Table 4.4:</w:t>
        </w:r>
        <w:r w:rsidR="002C0E50">
          <w:rPr>
            <w:rFonts w:asciiTheme="minorHAnsi" w:eastAsiaTheme="minorEastAsia" w:hAnsiTheme="minorHAnsi" w:cstheme="minorBidi"/>
            <w:noProof/>
            <w:szCs w:val="24"/>
          </w:rPr>
          <w:tab/>
        </w:r>
        <w:r w:rsidR="002C0E50" w:rsidRPr="00BF31C7">
          <w:rPr>
            <w:rStyle w:val="Hyperlink"/>
            <w:noProof/>
          </w:rPr>
          <w:t>Number of Households and Chicken by Type of Chicken for the 2002/03, 2007/08 and 2019/20 Agriculture Censuses, Tanzania</w:t>
        </w:r>
        <w:r w:rsidR="002C0E50">
          <w:rPr>
            <w:noProof/>
            <w:webHidden/>
          </w:rPr>
          <w:tab/>
        </w:r>
        <w:r w:rsidR="002C0E50">
          <w:rPr>
            <w:noProof/>
            <w:webHidden/>
          </w:rPr>
          <w:fldChar w:fldCharType="begin"/>
        </w:r>
        <w:r w:rsidR="002C0E50">
          <w:rPr>
            <w:noProof/>
            <w:webHidden/>
          </w:rPr>
          <w:instrText xml:space="preserve"> PAGEREF _Toc82386212 \h </w:instrText>
        </w:r>
        <w:r w:rsidR="002C0E50">
          <w:rPr>
            <w:noProof/>
            <w:webHidden/>
          </w:rPr>
        </w:r>
        <w:r w:rsidR="002C0E50">
          <w:rPr>
            <w:noProof/>
            <w:webHidden/>
          </w:rPr>
          <w:fldChar w:fldCharType="separate"/>
        </w:r>
        <w:r w:rsidR="00A15698">
          <w:rPr>
            <w:noProof/>
            <w:webHidden/>
          </w:rPr>
          <w:t>150</w:t>
        </w:r>
        <w:r w:rsidR="002C0E50">
          <w:rPr>
            <w:noProof/>
            <w:webHidden/>
          </w:rPr>
          <w:fldChar w:fldCharType="end"/>
        </w:r>
      </w:hyperlink>
    </w:p>
    <w:p w14:paraId="2C937ADF" w14:textId="1E06F63B" w:rsidR="002C0E50" w:rsidRDefault="00E909AE">
      <w:pPr>
        <w:pStyle w:val="TOC7"/>
        <w:rPr>
          <w:rFonts w:asciiTheme="minorHAnsi" w:eastAsiaTheme="minorEastAsia" w:hAnsiTheme="minorHAnsi" w:cstheme="minorBidi"/>
          <w:noProof/>
          <w:szCs w:val="24"/>
        </w:rPr>
      </w:pPr>
      <w:hyperlink w:anchor="_Toc82386213" w:history="1">
        <w:r w:rsidR="002C0E50" w:rsidRPr="00BF31C7">
          <w:rPr>
            <w:rStyle w:val="Hyperlink"/>
            <w:noProof/>
            <w:lang w:val="en-GB"/>
          </w:rPr>
          <w:t>Table 4.5:</w:t>
        </w:r>
        <w:r w:rsidR="002C0E50">
          <w:rPr>
            <w:rFonts w:asciiTheme="minorHAnsi" w:eastAsiaTheme="minorEastAsia" w:hAnsiTheme="minorHAnsi" w:cstheme="minorBidi"/>
            <w:noProof/>
            <w:szCs w:val="24"/>
          </w:rPr>
          <w:tab/>
        </w:r>
        <w:r w:rsidR="002C0E50" w:rsidRPr="00BF31C7">
          <w:rPr>
            <w:rStyle w:val="Hyperlink"/>
            <w:noProof/>
            <w:lang w:val="en-GB"/>
          </w:rPr>
          <w:t>Number of Households, Total Number of Chicken and Percentage by Type of Chicken as of 1</w:t>
        </w:r>
        <w:r w:rsidR="002C0E50" w:rsidRPr="00BF31C7">
          <w:rPr>
            <w:rStyle w:val="Hyperlink"/>
            <w:noProof/>
            <w:vertAlign w:val="superscript"/>
            <w:lang w:val="en-GB"/>
          </w:rPr>
          <w:t>st</w:t>
        </w:r>
        <w:r w:rsidR="002C0E50" w:rsidRPr="00BF31C7">
          <w:rPr>
            <w:rStyle w:val="Hyperlink"/>
            <w:noProof/>
            <w:lang w:val="en-GB"/>
          </w:rPr>
          <w:t xml:space="preserve"> August 2020, Tanzania</w:t>
        </w:r>
        <w:r w:rsidR="002C0E50">
          <w:rPr>
            <w:noProof/>
            <w:webHidden/>
          </w:rPr>
          <w:tab/>
        </w:r>
        <w:r w:rsidR="002C0E50">
          <w:rPr>
            <w:noProof/>
            <w:webHidden/>
          </w:rPr>
          <w:fldChar w:fldCharType="begin"/>
        </w:r>
        <w:r w:rsidR="002C0E50">
          <w:rPr>
            <w:noProof/>
            <w:webHidden/>
          </w:rPr>
          <w:instrText xml:space="preserve"> PAGEREF _Toc82386213 \h </w:instrText>
        </w:r>
        <w:r w:rsidR="002C0E50">
          <w:rPr>
            <w:noProof/>
            <w:webHidden/>
          </w:rPr>
        </w:r>
        <w:r w:rsidR="002C0E50">
          <w:rPr>
            <w:noProof/>
            <w:webHidden/>
          </w:rPr>
          <w:fldChar w:fldCharType="separate"/>
        </w:r>
        <w:r w:rsidR="00A15698">
          <w:rPr>
            <w:noProof/>
            <w:webHidden/>
          </w:rPr>
          <w:t>150</w:t>
        </w:r>
        <w:r w:rsidR="002C0E50">
          <w:rPr>
            <w:noProof/>
            <w:webHidden/>
          </w:rPr>
          <w:fldChar w:fldCharType="end"/>
        </w:r>
      </w:hyperlink>
    </w:p>
    <w:p w14:paraId="30DD8D90" w14:textId="68710356" w:rsidR="002C0E50" w:rsidRDefault="00E909AE">
      <w:pPr>
        <w:pStyle w:val="TOC7"/>
        <w:rPr>
          <w:rFonts w:asciiTheme="minorHAnsi" w:eastAsiaTheme="minorEastAsia" w:hAnsiTheme="minorHAnsi" w:cstheme="minorBidi"/>
          <w:noProof/>
          <w:szCs w:val="24"/>
        </w:rPr>
      </w:pPr>
      <w:hyperlink w:anchor="_Toc82386214" w:history="1">
        <w:r w:rsidR="002C0E50" w:rsidRPr="00BF31C7">
          <w:rPr>
            <w:rStyle w:val="Hyperlink"/>
            <w:noProof/>
          </w:rPr>
          <w:t>Table 4.6:</w:t>
        </w:r>
        <w:r w:rsidR="002C0E50">
          <w:rPr>
            <w:rFonts w:asciiTheme="minorHAnsi" w:eastAsiaTheme="minorEastAsia" w:hAnsiTheme="minorHAnsi" w:cstheme="minorBidi"/>
            <w:noProof/>
            <w:szCs w:val="24"/>
          </w:rPr>
          <w:tab/>
        </w:r>
        <w:r w:rsidR="002C0E50" w:rsidRPr="00BF31C7">
          <w:rPr>
            <w:rStyle w:val="Hyperlink"/>
            <w:noProof/>
          </w:rPr>
          <w:t>Number and Percentage of Households Rearing Indigenous Chicken by Flock Size and Average Number of Chicken per Household as of 1</w:t>
        </w:r>
        <w:r w:rsidR="002C0E50" w:rsidRPr="00BF31C7">
          <w:rPr>
            <w:rStyle w:val="Hyperlink"/>
            <w:noProof/>
            <w:vertAlign w:val="superscript"/>
          </w:rPr>
          <w:t>st</w:t>
        </w:r>
        <w:r w:rsidR="002C0E50" w:rsidRPr="00BF31C7">
          <w:rPr>
            <w:rStyle w:val="Hyperlink"/>
            <w:noProof/>
          </w:rPr>
          <w:t xml:space="preserve"> August 2020, Tanzania</w:t>
        </w:r>
        <w:r w:rsidR="002C0E50">
          <w:rPr>
            <w:noProof/>
            <w:webHidden/>
          </w:rPr>
          <w:tab/>
        </w:r>
        <w:r w:rsidR="002C0E50">
          <w:rPr>
            <w:noProof/>
            <w:webHidden/>
          </w:rPr>
          <w:fldChar w:fldCharType="begin"/>
        </w:r>
        <w:r w:rsidR="002C0E50">
          <w:rPr>
            <w:noProof/>
            <w:webHidden/>
          </w:rPr>
          <w:instrText xml:space="preserve"> PAGEREF _Toc82386214 \h </w:instrText>
        </w:r>
        <w:r w:rsidR="002C0E50">
          <w:rPr>
            <w:noProof/>
            <w:webHidden/>
          </w:rPr>
        </w:r>
        <w:r w:rsidR="002C0E50">
          <w:rPr>
            <w:noProof/>
            <w:webHidden/>
          </w:rPr>
          <w:fldChar w:fldCharType="separate"/>
        </w:r>
        <w:r w:rsidR="00A15698">
          <w:rPr>
            <w:noProof/>
            <w:webHidden/>
          </w:rPr>
          <w:t>151</w:t>
        </w:r>
        <w:r w:rsidR="002C0E50">
          <w:rPr>
            <w:noProof/>
            <w:webHidden/>
          </w:rPr>
          <w:fldChar w:fldCharType="end"/>
        </w:r>
      </w:hyperlink>
    </w:p>
    <w:p w14:paraId="3E8C8AE7" w14:textId="75D6B3DA" w:rsidR="002C0E50" w:rsidRDefault="00E909AE">
      <w:pPr>
        <w:pStyle w:val="TOC7"/>
        <w:rPr>
          <w:rFonts w:asciiTheme="minorHAnsi" w:eastAsiaTheme="minorEastAsia" w:hAnsiTheme="minorHAnsi" w:cstheme="minorBidi"/>
          <w:noProof/>
          <w:szCs w:val="24"/>
        </w:rPr>
      </w:pPr>
      <w:hyperlink w:anchor="_Toc82386215" w:history="1">
        <w:r w:rsidR="002C0E50" w:rsidRPr="00BF31C7">
          <w:rPr>
            <w:rStyle w:val="Hyperlink"/>
            <w:noProof/>
          </w:rPr>
          <w:t>Table 4.7:</w:t>
        </w:r>
        <w:r w:rsidR="002C0E50">
          <w:rPr>
            <w:rFonts w:asciiTheme="minorHAnsi" w:eastAsiaTheme="minorEastAsia" w:hAnsiTheme="minorHAnsi" w:cstheme="minorBidi"/>
            <w:noProof/>
            <w:szCs w:val="24"/>
          </w:rPr>
          <w:tab/>
        </w:r>
        <w:r w:rsidR="002C0E50" w:rsidRPr="00BF31C7">
          <w:rPr>
            <w:rStyle w:val="Hyperlink"/>
            <w:noProof/>
          </w:rPr>
          <w:t>Number of Households and Chicken, Percentage of Households and Average Number of Improved Chicken per Household by Flock Size, Tanzania</w:t>
        </w:r>
        <w:r w:rsidR="002C0E50">
          <w:rPr>
            <w:noProof/>
            <w:webHidden/>
          </w:rPr>
          <w:tab/>
        </w:r>
        <w:r w:rsidR="002C0E50">
          <w:rPr>
            <w:noProof/>
            <w:webHidden/>
          </w:rPr>
          <w:fldChar w:fldCharType="begin"/>
        </w:r>
        <w:r w:rsidR="002C0E50">
          <w:rPr>
            <w:noProof/>
            <w:webHidden/>
          </w:rPr>
          <w:instrText xml:space="preserve"> PAGEREF _Toc82386215 \h </w:instrText>
        </w:r>
        <w:r w:rsidR="002C0E50">
          <w:rPr>
            <w:noProof/>
            <w:webHidden/>
          </w:rPr>
        </w:r>
        <w:r w:rsidR="002C0E50">
          <w:rPr>
            <w:noProof/>
            <w:webHidden/>
          </w:rPr>
          <w:fldChar w:fldCharType="separate"/>
        </w:r>
        <w:r w:rsidR="00A15698">
          <w:rPr>
            <w:noProof/>
            <w:webHidden/>
          </w:rPr>
          <w:t>154</w:t>
        </w:r>
        <w:r w:rsidR="002C0E50">
          <w:rPr>
            <w:noProof/>
            <w:webHidden/>
          </w:rPr>
          <w:fldChar w:fldCharType="end"/>
        </w:r>
      </w:hyperlink>
    </w:p>
    <w:p w14:paraId="30B9A599" w14:textId="58195601" w:rsidR="002C0E50" w:rsidRDefault="00E909AE">
      <w:pPr>
        <w:pStyle w:val="TOC7"/>
        <w:rPr>
          <w:rFonts w:asciiTheme="minorHAnsi" w:eastAsiaTheme="minorEastAsia" w:hAnsiTheme="minorHAnsi" w:cstheme="minorBidi"/>
          <w:noProof/>
          <w:szCs w:val="24"/>
        </w:rPr>
      </w:pPr>
      <w:hyperlink w:anchor="_Toc82386216" w:history="1">
        <w:r w:rsidR="002C0E50" w:rsidRPr="00BF31C7">
          <w:rPr>
            <w:rStyle w:val="Hyperlink"/>
            <w:noProof/>
            <w:lang w:val="en-GB"/>
          </w:rPr>
          <w:t>Table 4.8:</w:t>
        </w:r>
        <w:r w:rsidR="002C0E50">
          <w:rPr>
            <w:rFonts w:asciiTheme="minorHAnsi" w:eastAsiaTheme="minorEastAsia" w:hAnsiTheme="minorHAnsi" w:cstheme="minorBidi"/>
            <w:noProof/>
            <w:szCs w:val="24"/>
          </w:rPr>
          <w:tab/>
        </w:r>
        <w:r w:rsidR="002C0E50" w:rsidRPr="00BF31C7">
          <w:rPr>
            <w:rStyle w:val="Hyperlink"/>
            <w:noProof/>
            <w:lang w:val="en-GB"/>
          </w:rPr>
          <w:t>Number and Percentage of Other Poultry by Region as of 1</w:t>
        </w:r>
        <w:r w:rsidR="002C0E50" w:rsidRPr="00BF31C7">
          <w:rPr>
            <w:rStyle w:val="Hyperlink"/>
            <w:noProof/>
            <w:vertAlign w:val="superscript"/>
            <w:lang w:val="en-GB"/>
          </w:rPr>
          <w:t>st</w:t>
        </w:r>
        <w:r w:rsidR="002C0E50" w:rsidRPr="00BF31C7">
          <w:rPr>
            <w:rStyle w:val="Hyperlink"/>
            <w:noProof/>
            <w:lang w:val="en-GB"/>
          </w:rPr>
          <w:t xml:space="preserve"> August 2020, Tanzania</w:t>
        </w:r>
        <w:r w:rsidR="002C0E50">
          <w:rPr>
            <w:noProof/>
            <w:webHidden/>
          </w:rPr>
          <w:tab/>
        </w:r>
        <w:r w:rsidR="002C0E50">
          <w:rPr>
            <w:noProof/>
            <w:webHidden/>
          </w:rPr>
          <w:fldChar w:fldCharType="begin"/>
        </w:r>
        <w:r w:rsidR="002C0E50">
          <w:rPr>
            <w:noProof/>
            <w:webHidden/>
          </w:rPr>
          <w:instrText xml:space="preserve"> PAGEREF _Toc82386216 \h </w:instrText>
        </w:r>
        <w:r w:rsidR="002C0E50">
          <w:rPr>
            <w:noProof/>
            <w:webHidden/>
          </w:rPr>
        </w:r>
        <w:r w:rsidR="002C0E50">
          <w:rPr>
            <w:noProof/>
            <w:webHidden/>
          </w:rPr>
          <w:fldChar w:fldCharType="separate"/>
        </w:r>
        <w:r w:rsidR="00A15698">
          <w:rPr>
            <w:noProof/>
            <w:webHidden/>
          </w:rPr>
          <w:t>157</w:t>
        </w:r>
        <w:r w:rsidR="002C0E50">
          <w:rPr>
            <w:noProof/>
            <w:webHidden/>
          </w:rPr>
          <w:fldChar w:fldCharType="end"/>
        </w:r>
      </w:hyperlink>
    </w:p>
    <w:p w14:paraId="5D12A4B7" w14:textId="672D42B1" w:rsidR="002C0E50" w:rsidRDefault="00E909AE">
      <w:pPr>
        <w:pStyle w:val="TOC7"/>
        <w:rPr>
          <w:rFonts w:asciiTheme="minorHAnsi" w:eastAsiaTheme="minorEastAsia" w:hAnsiTheme="minorHAnsi" w:cstheme="minorBidi"/>
          <w:noProof/>
          <w:szCs w:val="24"/>
        </w:rPr>
      </w:pPr>
      <w:hyperlink w:anchor="_Toc82386217" w:history="1">
        <w:r w:rsidR="002C0E50" w:rsidRPr="00BF31C7">
          <w:rPr>
            <w:rStyle w:val="Hyperlink"/>
            <w:noProof/>
          </w:rPr>
          <w:t>Table 4.9:</w:t>
        </w:r>
        <w:r w:rsidR="002C0E50">
          <w:rPr>
            <w:rFonts w:asciiTheme="minorHAnsi" w:eastAsiaTheme="minorEastAsia" w:hAnsiTheme="minorHAnsi" w:cstheme="minorBidi"/>
            <w:noProof/>
            <w:szCs w:val="24"/>
          </w:rPr>
          <w:tab/>
        </w:r>
        <w:r w:rsidR="002C0E50" w:rsidRPr="00BF31C7">
          <w:rPr>
            <w:rStyle w:val="Hyperlink"/>
            <w:noProof/>
          </w:rPr>
          <w:t>Number of Other Livestock by Type and Region, Tanzania</w:t>
        </w:r>
        <w:r w:rsidR="002C0E50">
          <w:rPr>
            <w:noProof/>
            <w:webHidden/>
          </w:rPr>
          <w:tab/>
        </w:r>
        <w:r w:rsidR="002C0E50">
          <w:rPr>
            <w:noProof/>
            <w:webHidden/>
          </w:rPr>
          <w:fldChar w:fldCharType="begin"/>
        </w:r>
        <w:r w:rsidR="002C0E50">
          <w:rPr>
            <w:noProof/>
            <w:webHidden/>
          </w:rPr>
          <w:instrText xml:space="preserve"> PAGEREF _Toc82386217 \h </w:instrText>
        </w:r>
        <w:r w:rsidR="002C0E50">
          <w:rPr>
            <w:noProof/>
            <w:webHidden/>
          </w:rPr>
        </w:r>
        <w:r w:rsidR="002C0E50">
          <w:rPr>
            <w:noProof/>
            <w:webHidden/>
          </w:rPr>
          <w:fldChar w:fldCharType="separate"/>
        </w:r>
        <w:r w:rsidR="00A15698">
          <w:rPr>
            <w:noProof/>
            <w:webHidden/>
          </w:rPr>
          <w:t>159</w:t>
        </w:r>
        <w:r w:rsidR="002C0E50">
          <w:rPr>
            <w:noProof/>
            <w:webHidden/>
          </w:rPr>
          <w:fldChar w:fldCharType="end"/>
        </w:r>
      </w:hyperlink>
    </w:p>
    <w:p w14:paraId="2F45DAEC" w14:textId="7B6FC269" w:rsidR="002C0E50" w:rsidRDefault="00E909AE">
      <w:pPr>
        <w:pStyle w:val="TOC7"/>
        <w:rPr>
          <w:rFonts w:asciiTheme="minorHAnsi" w:eastAsiaTheme="minorEastAsia" w:hAnsiTheme="minorHAnsi" w:cstheme="minorBidi"/>
          <w:noProof/>
          <w:szCs w:val="24"/>
        </w:rPr>
      </w:pPr>
      <w:hyperlink w:anchor="_Toc82386218" w:history="1">
        <w:r w:rsidR="002C0E50" w:rsidRPr="00BF31C7">
          <w:rPr>
            <w:rStyle w:val="Hyperlink"/>
            <w:noProof/>
          </w:rPr>
          <w:t>Table 4.10:</w:t>
        </w:r>
        <w:r w:rsidR="002C0E50">
          <w:rPr>
            <w:rFonts w:asciiTheme="minorHAnsi" w:eastAsiaTheme="minorEastAsia" w:hAnsiTheme="minorHAnsi" w:cstheme="minorBidi"/>
            <w:noProof/>
            <w:szCs w:val="24"/>
          </w:rPr>
          <w:tab/>
        </w:r>
        <w:r w:rsidR="002C0E50" w:rsidRPr="00BF31C7">
          <w:rPr>
            <w:rStyle w:val="Hyperlink"/>
            <w:noProof/>
          </w:rPr>
          <w:t>Cow Milk Production for Large Scale Farms and Smallholder Farmers During 2019/20 Agricultural Year, Tanzania</w:t>
        </w:r>
        <w:r w:rsidR="002C0E50">
          <w:rPr>
            <w:noProof/>
            <w:webHidden/>
          </w:rPr>
          <w:tab/>
        </w:r>
        <w:r w:rsidR="002C0E50">
          <w:rPr>
            <w:noProof/>
            <w:webHidden/>
          </w:rPr>
          <w:fldChar w:fldCharType="begin"/>
        </w:r>
        <w:r w:rsidR="002C0E50">
          <w:rPr>
            <w:noProof/>
            <w:webHidden/>
          </w:rPr>
          <w:instrText xml:space="preserve"> PAGEREF _Toc82386218 \h </w:instrText>
        </w:r>
        <w:r w:rsidR="002C0E50">
          <w:rPr>
            <w:noProof/>
            <w:webHidden/>
          </w:rPr>
        </w:r>
        <w:r w:rsidR="002C0E50">
          <w:rPr>
            <w:noProof/>
            <w:webHidden/>
          </w:rPr>
          <w:fldChar w:fldCharType="separate"/>
        </w:r>
        <w:r w:rsidR="00A15698">
          <w:rPr>
            <w:noProof/>
            <w:webHidden/>
          </w:rPr>
          <w:t>161</w:t>
        </w:r>
        <w:r w:rsidR="002C0E50">
          <w:rPr>
            <w:noProof/>
            <w:webHidden/>
          </w:rPr>
          <w:fldChar w:fldCharType="end"/>
        </w:r>
      </w:hyperlink>
    </w:p>
    <w:p w14:paraId="25EC4C6E" w14:textId="61D67863" w:rsidR="002C0E50" w:rsidRDefault="00E909AE">
      <w:pPr>
        <w:pStyle w:val="TOC7"/>
        <w:rPr>
          <w:rFonts w:asciiTheme="minorHAnsi" w:eastAsiaTheme="minorEastAsia" w:hAnsiTheme="minorHAnsi" w:cstheme="minorBidi"/>
          <w:noProof/>
          <w:szCs w:val="24"/>
        </w:rPr>
      </w:pPr>
      <w:hyperlink w:anchor="_Toc82386219" w:history="1">
        <w:r w:rsidR="002C0E50" w:rsidRPr="00BF31C7">
          <w:rPr>
            <w:rStyle w:val="Hyperlink"/>
            <w:noProof/>
          </w:rPr>
          <w:t>Table 4.11:</w:t>
        </w:r>
        <w:r w:rsidR="002C0E50">
          <w:rPr>
            <w:rFonts w:asciiTheme="minorHAnsi" w:eastAsiaTheme="minorEastAsia" w:hAnsiTheme="minorHAnsi" w:cstheme="minorBidi"/>
            <w:noProof/>
            <w:szCs w:val="24"/>
          </w:rPr>
          <w:tab/>
        </w:r>
        <w:r w:rsidR="002C0E50" w:rsidRPr="00BF31C7">
          <w:rPr>
            <w:rStyle w:val="Hyperlink"/>
            <w:noProof/>
          </w:rPr>
          <w:t>Average Milk Production per Cow per Day by Type of Cattle and Season During 2019/20 Agricultural Year, Tanzania</w:t>
        </w:r>
        <w:r w:rsidR="002C0E50">
          <w:rPr>
            <w:noProof/>
            <w:webHidden/>
          </w:rPr>
          <w:tab/>
        </w:r>
        <w:r w:rsidR="002C0E50">
          <w:rPr>
            <w:noProof/>
            <w:webHidden/>
          </w:rPr>
          <w:fldChar w:fldCharType="begin"/>
        </w:r>
        <w:r w:rsidR="002C0E50">
          <w:rPr>
            <w:noProof/>
            <w:webHidden/>
          </w:rPr>
          <w:instrText xml:space="preserve"> PAGEREF _Toc82386219 \h </w:instrText>
        </w:r>
        <w:r w:rsidR="002C0E50">
          <w:rPr>
            <w:noProof/>
            <w:webHidden/>
          </w:rPr>
        </w:r>
        <w:r w:rsidR="002C0E50">
          <w:rPr>
            <w:noProof/>
            <w:webHidden/>
          </w:rPr>
          <w:fldChar w:fldCharType="separate"/>
        </w:r>
        <w:r w:rsidR="00A15698">
          <w:rPr>
            <w:noProof/>
            <w:webHidden/>
          </w:rPr>
          <w:t>162</w:t>
        </w:r>
        <w:r w:rsidR="002C0E50">
          <w:rPr>
            <w:noProof/>
            <w:webHidden/>
          </w:rPr>
          <w:fldChar w:fldCharType="end"/>
        </w:r>
      </w:hyperlink>
    </w:p>
    <w:p w14:paraId="753CD061" w14:textId="430D7A88" w:rsidR="002C0E50" w:rsidRDefault="00E909AE">
      <w:pPr>
        <w:pStyle w:val="TOC7"/>
        <w:rPr>
          <w:rFonts w:asciiTheme="minorHAnsi" w:eastAsiaTheme="minorEastAsia" w:hAnsiTheme="minorHAnsi" w:cstheme="minorBidi"/>
          <w:noProof/>
          <w:szCs w:val="24"/>
        </w:rPr>
      </w:pPr>
      <w:hyperlink w:anchor="_Toc82386220" w:history="1">
        <w:r w:rsidR="002C0E50" w:rsidRPr="00BF31C7">
          <w:rPr>
            <w:rStyle w:val="Hyperlink"/>
            <w:noProof/>
          </w:rPr>
          <w:t>Table 4.12:</w:t>
        </w:r>
        <w:r w:rsidR="002C0E50">
          <w:rPr>
            <w:rFonts w:asciiTheme="minorHAnsi" w:eastAsiaTheme="minorEastAsia" w:hAnsiTheme="minorHAnsi" w:cstheme="minorBidi"/>
            <w:noProof/>
            <w:szCs w:val="24"/>
          </w:rPr>
          <w:tab/>
        </w:r>
        <w:r w:rsidR="002C0E50" w:rsidRPr="00BF31C7">
          <w:rPr>
            <w:rStyle w:val="Hyperlink"/>
            <w:noProof/>
          </w:rPr>
          <w:t>Goat Milk Production for Large Scale Farms and Smallholder Farmers During 2019/20 Agricultural Year, Tanzania</w:t>
        </w:r>
        <w:r w:rsidR="002C0E50">
          <w:rPr>
            <w:noProof/>
            <w:webHidden/>
          </w:rPr>
          <w:tab/>
        </w:r>
        <w:r w:rsidR="002C0E50">
          <w:rPr>
            <w:noProof/>
            <w:webHidden/>
          </w:rPr>
          <w:fldChar w:fldCharType="begin"/>
        </w:r>
        <w:r w:rsidR="002C0E50">
          <w:rPr>
            <w:noProof/>
            <w:webHidden/>
          </w:rPr>
          <w:instrText xml:space="preserve"> PAGEREF _Toc82386220 \h </w:instrText>
        </w:r>
        <w:r w:rsidR="002C0E50">
          <w:rPr>
            <w:noProof/>
            <w:webHidden/>
          </w:rPr>
        </w:r>
        <w:r w:rsidR="002C0E50">
          <w:rPr>
            <w:noProof/>
            <w:webHidden/>
          </w:rPr>
          <w:fldChar w:fldCharType="separate"/>
        </w:r>
        <w:r w:rsidR="00A15698">
          <w:rPr>
            <w:noProof/>
            <w:webHidden/>
          </w:rPr>
          <w:t>164</w:t>
        </w:r>
        <w:r w:rsidR="002C0E50">
          <w:rPr>
            <w:noProof/>
            <w:webHidden/>
          </w:rPr>
          <w:fldChar w:fldCharType="end"/>
        </w:r>
      </w:hyperlink>
    </w:p>
    <w:p w14:paraId="391310D3" w14:textId="01415634" w:rsidR="002C0E50" w:rsidRDefault="00E909AE">
      <w:pPr>
        <w:pStyle w:val="TOC7"/>
        <w:rPr>
          <w:rFonts w:asciiTheme="minorHAnsi" w:eastAsiaTheme="minorEastAsia" w:hAnsiTheme="minorHAnsi" w:cstheme="minorBidi"/>
          <w:noProof/>
          <w:szCs w:val="24"/>
        </w:rPr>
      </w:pPr>
      <w:hyperlink w:anchor="_Toc82386221" w:history="1">
        <w:r w:rsidR="002C0E50" w:rsidRPr="00BF31C7">
          <w:rPr>
            <w:rStyle w:val="Hyperlink"/>
            <w:noProof/>
          </w:rPr>
          <w:t>Table 4.13:</w:t>
        </w:r>
        <w:r w:rsidR="002C0E50">
          <w:rPr>
            <w:rFonts w:asciiTheme="minorHAnsi" w:eastAsiaTheme="minorEastAsia" w:hAnsiTheme="minorHAnsi" w:cstheme="minorBidi"/>
            <w:noProof/>
            <w:szCs w:val="24"/>
          </w:rPr>
          <w:tab/>
        </w:r>
        <w:r w:rsidR="002C0E50" w:rsidRPr="00BF31C7">
          <w:rPr>
            <w:rStyle w:val="Hyperlink"/>
            <w:noProof/>
          </w:rPr>
          <w:t>Average Milk Production per Goat per Day by Season During 2019/20 Agricultural Year, Tanzania</w:t>
        </w:r>
        <w:r w:rsidR="002C0E50">
          <w:rPr>
            <w:noProof/>
            <w:webHidden/>
          </w:rPr>
          <w:tab/>
        </w:r>
        <w:r w:rsidR="002C0E50">
          <w:rPr>
            <w:noProof/>
            <w:webHidden/>
          </w:rPr>
          <w:fldChar w:fldCharType="begin"/>
        </w:r>
        <w:r w:rsidR="002C0E50">
          <w:rPr>
            <w:noProof/>
            <w:webHidden/>
          </w:rPr>
          <w:instrText xml:space="preserve"> PAGEREF _Toc82386221 \h </w:instrText>
        </w:r>
        <w:r w:rsidR="002C0E50">
          <w:rPr>
            <w:noProof/>
            <w:webHidden/>
          </w:rPr>
        </w:r>
        <w:r w:rsidR="002C0E50">
          <w:rPr>
            <w:noProof/>
            <w:webHidden/>
          </w:rPr>
          <w:fldChar w:fldCharType="separate"/>
        </w:r>
        <w:r w:rsidR="00A15698">
          <w:rPr>
            <w:noProof/>
            <w:webHidden/>
          </w:rPr>
          <w:t>165</w:t>
        </w:r>
        <w:r w:rsidR="002C0E50">
          <w:rPr>
            <w:noProof/>
            <w:webHidden/>
          </w:rPr>
          <w:fldChar w:fldCharType="end"/>
        </w:r>
      </w:hyperlink>
    </w:p>
    <w:p w14:paraId="2B794499" w14:textId="5FB7AC0F" w:rsidR="002C0E50" w:rsidRDefault="00E909AE">
      <w:pPr>
        <w:pStyle w:val="TOC7"/>
        <w:rPr>
          <w:rFonts w:asciiTheme="minorHAnsi" w:eastAsiaTheme="minorEastAsia" w:hAnsiTheme="minorHAnsi" w:cstheme="minorBidi"/>
          <w:noProof/>
          <w:szCs w:val="24"/>
        </w:rPr>
      </w:pPr>
      <w:hyperlink w:anchor="_Toc82386222" w:history="1">
        <w:r w:rsidR="002C0E50" w:rsidRPr="00BF31C7">
          <w:rPr>
            <w:rStyle w:val="Hyperlink"/>
            <w:noProof/>
          </w:rPr>
          <w:t>Table 4.14:</w:t>
        </w:r>
        <w:r w:rsidR="002C0E50">
          <w:rPr>
            <w:rFonts w:asciiTheme="minorHAnsi" w:eastAsiaTheme="minorEastAsia" w:hAnsiTheme="minorHAnsi" w:cstheme="minorBidi"/>
            <w:noProof/>
            <w:szCs w:val="24"/>
          </w:rPr>
          <w:tab/>
        </w:r>
        <w:r w:rsidR="002C0E50" w:rsidRPr="00BF31C7">
          <w:rPr>
            <w:rStyle w:val="Hyperlink"/>
            <w:noProof/>
          </w:rPr>
          <w:t>Number of Reported Cases of Cattle Diseases Occurrence by Type and Region During 2019/20 Agricultural Year</w:t>
        </w:r>
        <w:r w:rsidR="002C0E50">
          <w:rPr>
            <w:noProof/>
            <w:webHidden/>
          </w:rPr>
          <w:tab/>
        </w:r>
        <w:r w:rsidR="002C0E50">
          <w:rPr>
            <w:noProof/>
            <w:webHidden/>
          </w:rPr>
          <w:fldChar w:fldCharType="begin"/>
        </w:r>
        <w:r w:rsidR="002C0E50">
          <w:rPr>
            <w:noProof/>
            <w:webHidden/>
          </w:rPr>
          <w:instrText xml:space="preserve"> PAGEREF _Toc82386222 \h </w:instrText>
        </w:r>
        <w:r w:rsidR="002C0E50">
          <w:rPr>
            <w:noProof/>
            <w:webHidden/>
          </w:rPr>
        </w:r>
        <w:r w:rsidR="002C0E50">
          <w:rPr>
            <w:noProof/>
            <w:webHidden/>
          </w:rPr>
          <w:fldChar w:fldCharType="separate"/>
        </w:r>
        <w:r w:rsidR="00A15698">
          <w:rPr>
            <w:noProof/>
            <w:webHidden/>
          </w:rPr>
          <w:t>176</w:t>
        </w:r>
        <w:r w:rsidR="002C0E50">
          <w:rPr>
            <w:noProof/>
            <w:webHidden/>
          </w:rPr>
          <w:fldChar w:fldCharType="end"/>
        </w:r>
      </w:hyperlink>
    </w:p>
    <w:p w14:paraId="6649622B" w14:textId="4752F1D1" w:rsidR="002C0E50" w:rsidRDefault="00E909AE">
      <w:pPr>
        <w:pStyle w:val="TOC7"/>
        <w:rPr>
          <w:rFonts w:asciiTheme="minorHAnsi" w:eastAsiaTheme="minorEastAsia" w:hAnsiTheme="minorHAnsi" w:cstheme="minorBidi"/>
          <w:noProof/>
          <w:szCs w:val="24"/>
        </w:rPr>
      </w:pPr>
      <w:hyperlink w:anchor="_Toc82386223" w:history="1">
        <w:r w:rsidR="002C0E50" w:rsidRPr="00BF31C7">
          <w:rPr>
            <w:rStyle w:val="Hyperlink"/>
            <w:noProof/>
            <w:w w:val="105"/>
          </w:rPr>
          <w:t>Table 4.15:</w:t>
        </w:r>
        <w:r w:rsidR="002C0E50">
          <w:rPr>
            <w:rFonts w:asciiTheme="minorHAnsi" w:eastAsiaTheme="minorEastAsia" w:hAnsiTheme="minorHAnsi" w:cstheme="minorBidi"/>
            <w:noProof/>
            <w:szCs w:val="24"/>
          </w:rPr>
          <w:tab/>
        </w:r>
        <w:r w:rsidR="002C0E50" w:rsidRPr="00BF31C7">
          <w:rPr>
            <w:rStyle w:val="Hyperlink"/>
            <w:noProof/>
            <w:w w:val="105"/>
          </w:rPr>
          <w:t>Number of Reported Cases of Goat Disease Occurrences by Type and Region During 2019/20 Agricultural Year, Tanzania</w:t>
        </w:r>
        <w:r w:rsidR="002C0E50">
          <w:rPr>
            <w:noProof/>
            <w:webHidden/>
          </w:rPr>
          <w:tab/>
        </w:r>
        <w:r w:rsidR="002C0E50">
          <w:rPr>
            <w:noProof/>
            <w:webHidden/>
          </w:rPr>
          <w:fldChar w:fldCharType="begin"/>
        </w:r>
        <w:r w:rsidR="002C0E50">
          <w:rPr>
            <w:noProof/>
            <w:webHidden/>
          </w:rPr>
          <w:instrText xml:space="preserve"> PAGEREF _Toc82386223 \h </w:instrText>
        </w:r>
        <w:r w:rsidR="002C0E50">
          <w:rPr>
            <w:noProof/>
            <w:webHidden/>
          </w:rPr>
        </w:r>
        <w:r w:rsidR="002C0E50">
          <w:rPr>
            <w:noProof/>
            <w:webHidden/>
          </w:rPr>
          <w:fldChar w:fldCharType="separate"/>
        </w:r>
        <w:r w:rsidR="00A15698">
          <w:rPr>
            <w:noProof/>
            <w:webHidden/>
          </w:rPr>
          <w:t>181</w:t>
        </w:r>
        <w:r w:rsidR="002C0E50">
          <w:rPr>
            <w:noProof/>
            <w:webHidden/>
          </w:rPr>
          <w:fldChar w:fldCharType="end"/>
        </w:r>
      </w:hyperlink>
    </w:p>
    <w:p w14:paraId="2847FB7E" w14:textId="11DAFD71" w:rsidR="002C0E50" w:rsidRDefault="00E909AE">
      <w:pPr>
        <w:pStyle w:val="TOC7"/>
        <w:rPr>
          <w:rFonts w:asciiTheme="minorHAnsi" w:eastAsiaTheme="minorEastAsia" w:hAnsiTheme="minorHAnsi" w:cstheme="minorBidi"/>
          <w:noProof/>
          <w:szCs w:val="24"/>
        </w:rPr>
      </w:pPr>
      <w:hyperlink w:anchor="_Toc82386224" w:history="1">
        <w:r w:rsidR="002C0E50" w:rsidRPr="00BF31C7">
          <w:rPr>
            <w:rStyle w:val="Hyperlink"/>
            <w:noProof/>
          </w:rPr>
          <w:t>Table 4.16:</w:t>
        </w:r>
        <w:r w:rsidR="002C0E50">
          <w:rPr>
            <w:rFonts w:asciiTheme="minorHAnsi" w:eastAsiaTheme="minorEastAsia" w:hAnsiTheme="minorHAnsi" w:cstheme="minorBidi"/>
            <w:noProof/>
            <w:szCs w:val="24"/>
          </w:rPr>
          <w:tab/>
        </w:r>
        <w:r w:rsidR="002C0E50" w:rsidRPr="00BF31C7">
          <w:rPr>
            <w:rStyle w:val="Hyperlink"/>
            <w:noProof/>
          </w:rPr>
          <w:t>Number of Reported Cases of Sheep Diseases Occurrences by Type and Region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_Toc82386224 \h </w:instrText>
        </w:r>
        <w:r w:rsidR="002C0E50">
          <w:rPr>
            <w:noProof/>
            <w:webHidden/>
          </w:rPr>
        </w:r>
        <w:r w:rsidR="002C0E50">
          <w:rPr>
            <w:noProof/>
            <w:webHidden/>
          </w:rPr>
          <w:fldChar w:fldCharType="separate"/>
        </w:r>
        <w:r w:rsidR="00A15698">
          <w:rPr>
            <w:noProof/>
            <w:webHidden/>
          </w:rPr>
          <w:t>188</w:t>
        </w:r>
        <w:r w:rsidR="002C0E50">
          <w:rPr>
            <w:noProof/>
            <w:webHidden/>
          </w:rPr>
          <w:fldChar w:fldCharType="end"/>
        </w:r>
      </w:hyperlink>
    </w:p>
    <w:p w14:paraId="6C87CB84" w14:textId="500F2730" w:rsidR="002C0E50" w:rsidRDefault="00E909AE">
      <w:pPr>
        <w:pStyle w:val="TOC7"/>
        <w:rPr>
          <w:rFonts w:asciiTheme="minorHAnsi" w:eastAsiaTheme="minorEastAsia" w:hAnsiTheme="minorHAnsi" w:cstheme="minorBidi"/>
          <w:noProof/>
          <w:szCs w:val="24"/>
        </w:rPr>
      </w:pPr>
      <w:hyperlink w:anchor="_Toc82386225" w:history="1">
        <w:r w:rsidR="002C0E50" w:rsidRPr="00BF31C7">
          <w:rPr>
            <w:rStyle w:val="Hyperlink"/>
            <w:noProof/>
          </w:rPr>
          <w:t>Table 4.17:</w:t>
        </w:r>
        <w:r w:rsidR="002C0E50">
          <w:rPr>
            <w:rFonts w:asciiTheme="minorHAnsi" w:eastAsiaTheme="minorEastAsia" w:hAnsiTheme="minorHAnsi" w:cstheme="minorBidi"/>
            <w:noProof/>
            <w:szCs w:val="24"/>
          </w:rPr>
          <w:tab/>
        </w:r>
        <w:r w:rsidR="002C0E50" w:rsidRPr="00BF31C7">
          <w:rPr>
            <w:rStyle w:val="Hyperlink"/>
            <w:noProof/>
          </w:rPr>
          <w:t>Number of Reported Cases of Pig Diseases Occurrences by Type and Region During 2019/20 Agricultural Year, Tanzania</w:t>
        </w:r>
        <w:r w:rsidR="002C0E50">
          <w:rPr>
            <w:noProof/>
            <w:webHidden/>
          </w:rPr>
          <w:tab/>
        </w:r>
        <w:r w:rsidR="002C0E50">
          <w:rPr>
            <w:noProof/>
            <w:webHidden/>
          </w:rPr>
          <w:fldChar w:fldCharType="begin"/>
        </w:r>
        <w:r w:rsidR="002C0E50">
          <w:rPr>
            <w:noProof/>
            <w:webHidden/>
          </w:rPr>
          <w:instrText xml:space="preserve"> PAGEREF _Toc82386225 \h </w:instrText>
        </w:r>
        <w:r w:rsidR="002C0E50">
          <w:rPr>
            <w:noProof/>
            <w:webHidden/>
          </w:rPr>
        </w:r>
        <w:r w:rsidR="002C0E50">
          <w:rPr>
            <w:noProof/>
            <w:webHidden/>
          </w:rPr>
          <w:fldChar w:fldCharType="separate"/>
        </w:r>
        <w:r w:rsidR="00A15698">
          <w:rPr>
            <w:noProof/>
            <w:webHidden/>
          </w:rPr>
          <w:t>193</w:t>
        </w:r>
        <w:r w:rsidR="002C0E50">
          <w:rPr>
            <w:noProof/>
            <w:webHidden/>
          </w:rPr>
          <w:fldChar w:fldCharType="end"/>
        </w:r>
      </w:hyperlink>
    </w:p>
    <w:p w14:paraId="30977061" w14:textId="11026456" w:rsidR="002C0E50" w:rsidRDefault="00E909AE">
      <w:pPr>
        <w:pStyle w:val="TOC7"/>
        <w:rPr>
          <w:rFonts w:asciiTheme="minorHAnsi" w:eastAsiaTheme="minorEastAsia" w:hAnsiTheme="minorHAnsi" w:cstheme="minorBidi"/>
          <w:noProof/>
          <w:szCs w:val="24"/>
        </w:rPr>
      </w:pPr>
      <w:hyperlink w:anchor="_Toc82386226" w:history="1">
        <w:r w:rsidR="002C0E50" w:rsidRPr="00BF31C7">
          <w:rPr>
            <w:rStyle w:val="Hyperlink"/>
            <w:noProof/>
            <w:w w:val="103"/>
            <w:lang w:val="en-GB" w:eastAsia="en-GB"/>
          </w:rPr>
          <w:t>Table 4.18:</w:t>
        </w:r>
        <w:r w:rsidR="002C0E50">
          <w:rPr>
            <w:rFonts w:asciiTheme="minorHAnsi" w:eastAsiaTheme="minorEastAsia" w:hAnsiTheme="minorHAnsi" w:cstheme="minorBidi"/>
            <w:noProof/>
            <w:szCs w:val="24"/>
          </w:rPr>
          <w:tab/>
        </w:r>
        <w:r w:rsidR="002C0E50" w:rsidRPr="00BF31C7">
          <w:rPr>
            <w:rStyle w:val="Hyperlink"/>
            <w:noProof/>
            <w:w w:val="103"/>
            <w:lang w:val="en-GB" w:eastAsia="en-GB"/>
          </w:rPr>
          <w:t>Number of Households Reported Occurrence of Diseases and Number of Poultry Infected by Type of Disease During 2019/20 Agricultural Year, Tanzania</w:t>
        </w:r>
        <w:r w:rsidR="002C0E50">
          <w:rPr>
            <w:noProof/>
            <w:webHidden/>
          </w:rPr>
          <w:tab/>
        </w:r>
        <w:r w:rsidR="002C0E50">
          <w:rPr>
            <w:noProof/>
            <w:webHidden/>
          </w:rPr>
          <w:fldChar w:fldCharType="begin"/>
        </w:r>
        <w:r w:rsidR="002C0E50">
          <w:rPr>
            <w:noProof/>
            <w:webHidden/>
          </w:rPr>
          <w:instrText xml:space="preserve"> PAGEREF _Toc82386226 \h </w:instrText>
        </w:r>
        <w:r w:rsidR="002C0E50">
          <w:rPr>
            <w:noProof/>
            <w:webHidden/>
          </w:rPr>
        </w:r>
        <w:r w:rsidR="002C0E50">
          <w:rPr>
            <w:noProof/>
            <w:webHidden/>
          </w:rPr>
          <w:fldChar w:fldCharType="separate"/>
        </w:r>
        <w:r w:rsidR="00A15698">
          <w:rPr>
            <w:noProof/>
            <w:webHidden/>
          </w:rPr>
          <w:t>197</w:t>
        </w:r>
        <w:r w:rsidR="002C0E50">
          <w:rPr>
            <w:noProof/>
            <w:webHidden/>
          </w:rPr>
          <w:fldChar w:fldCharType="end"/>
        </w:r>
      </w:hyperlink>
    </w:p>
    <w:p w14:paraId="3CBF0298" w14:textId="7CD94A94" w:rsidR="002C0E50" w:rsidRDefault="00E909AE">
      <w:pPr>
        <w:pStyle w:val="TOC7"/>
        <w:rPr>
          <w:rFonts w:asciiTheme="minorHAnsi" w:eastAsiaTheme="minorEastAsia" w:hAnsiTheme="minorHAnsi" w:cstheme="minorBidi"/>
          <w:noProof/>
          <w:szCs w:val="24"/>
        </w:rPr>
      </w:pPr>
      <w:hyperlink w:anchor="_Toc82386227" w:history="1">
        <w:r w:rsidR="002C0E50" w:rsidRPr="00BF31C7">
          <w:rPr>
            <w:rStyle w:val="Hyperlink"/>
            <w:noProof/>
          </w:rPr>
          <w:t>Table 4.19:</w:t>
        </w:r>
        <w:r w:rsidR="002C0E50">
          <w:rPr>
            <w:rFonts w:asciiTheme="minorHAnsi" w:eastAsiaTheme="minorEastAsia" w:hAnsiTheme="minorHAnsi" w:cstheme="minorBidi"/>
            <w:noProof/>
            <w:szCs w:val="24"/>
          </w:rPr>
          <w:tab/>
        </w:r>
        <w:r w:rsidR="002C0E50" w:rsidRPr="00BF31C7">
          <w:rPr>
            <w:rStyle w:val="Hyperlink"/>
            <w:noProof/>
          </w:rPr>
          <w:t>Number and Percentage of Households Reported to Deworm Livestock During 2019/20 Agriculture Year, Tanzania</w:t>
        </w:r>
        <w:r w:rsidR="002C0E50">
          <w:rPr>
            <w:noProof/>
            <w:webHidden/>
          </w:rPr>
          <w:tab/>
        </w:r>
        <w:r w:rsidR="002C0E50">
          <w:rPr>
            <w:noProof/>
            <w:webHidden/>
          </w:rPr>
          <w:fldChar w:fldCharType="begin"/>
        </w:r>
        <w:r w:rsidR="002C0E50">
          <w:rPr>
            <w:noProof/>
            <w:webHidden/>
          </w:rPr>
          <w:instrText xml:space="preserve"> PAGEREF _Toc82386227 \h </w:instrText>
        </w:r>
        <w:r w:rsidR="002C0E50">
          <w:rPr>
            <w:noProof/>
            <w:webHidden/>
          </w:rPr>
        </w:r>
        <w:r w:rsidR="002C0E50">
          <w:rPr>
            <w:noProof/>
            <w:webHidden/>
          </w:rPr>
          <w:fldChar w:fldCharType="separate"/>
        </w:r>
        <w:r w:rsidR="00A15698">
          <w:rPr>
            <w:noProof/>
            <w:webHidden/>
          </w:rPr>
          <w:t>205</w:t>
        </w:r>
        <w:r w:rsidR="002C0E50">
          <w:rPr>
            <w:noProof/>
            <w:webHidden/>
          </w:rPr>
          <w:fldChar w:fldCharType="end"/>
        </w:r>
      </w:hyperlink>
    </w:p>
    <w:p w14:paraId="06D35465" w14:textId="56A83D11" w:rsidR="002C0E50" w:rsidRDefault="00E909AE">
      <w:pPr>
        <w:pStyle w:val="TOC7"/>
        <w:rPr>
          <w:rFonts w:asciiTheme="minorHAnsi" w:eastAsiaTheme="minorEastAsia" w:hAnsiTheme="minorHAnsi" w:cstheme="minorBidi"/>
          <w:noProof/>
          <w:szCs w:val="24"/>
        </w:rPr>
      </w:pPr>
      <w:hyperlink w:anchor="_Toc82386228" w:history="1">
        <w:r w:rsidR="002C0E50" w:rsidRPr="00BF31C7">
          <w:rPr>
            <w:rStyle w:val="Hyperlink"/>
            <w:noProof/>
          </w:rPr>
          <w:t>Table 4.20:</w:t>
        </w:r>
        <w:r w:rsidR="002C0E50">
          <w:rPr>
            <w:rFonts w:asciiTheme="minorHAnsi" w:eastAsiaTheme="minorEastAsia" w:hAnsiTheme="minorHAnsi" w:cstheme="minorBidi"/>
            <w:noProof/>
            <w:szCs w:val="24"/>
          </w:rPr>
          <w:tab/>
        </w:r>
        <w:r w:rsidR="002C0E50" w:rsidRPr="00BF31C7">
          <w:rPr>
            <w:rStyle w:val="Hyperlink"/>
            <w:noProof/>
          </w:rPr>
          <w:t>Number and Percentage of Households Received Extension Services on Livestock by Type of Extension Advice for Livestock During 2019/20 Agricultural Year, Tanzania</w:t>
        </w:r>
        <w:r w:rsidR="002C0E50">
          <w:rPr>
            <w:noProof/>
            <w:webHidden/>
          </w:rPr>
          <w:tab/>
        </w:r>
        <w:r w:rsidR="002C0E50">
          <w:rPr>
            <w:noProof/>
            <w:webHidden/>
          </w:rPr>
          <w:fldChar w:fldCharType="begin"/>
        </w:r>
        <w:r w:rsidR="002C0E50">
          <w:rPr>
            <w:noProof/>
            <w:webHidden/>
          </w:rPr>
          <w:instrText xml:space="preserve"> PAGEREF _Toc82386228 \h </w:instrText>
        </w:r>
        <w:r w:rsidR="002C0E50">
          <w:rPr>
            <w:noProof/>
            <w:webHidden/>
          </w:rPr>
        </w:r>
        <w:r w:rsidR="002C0E50">
          <w:rPr>
            <w:noProof/>
            <w:webHidden/>
          </w:rPr>
          <w:fldChar w:fldCharType="separate"/>
        </w:r>
        <w:r w:rsidR="00A15698">
          <w:rPr>
            <w:noProof/>
            <w:webHidden/>
          </w:rPr>
          <w:t>209</w:t>
        </w:r>
        <w:r w:rsidR="002C0E50">
          <w:rPr>
            <w:noProof/>
            <w:webHidden/>
          </w:rPr>
          <w:fldChar w:fldCharType="end"/>
        </w:r>
      </w:hyperlink>
    </w:p>
    <w:p w14:paraId="74594BA1" w14:textId="7AD63F07" w:rsidR="002C0E50" w:rsidRDefault="00E909AE">
      <w:pPr>
        <w:pStyle w:val="TOC7"/>
        <w:rPr>
          <w:rFonts w:asciiTheme="minorHAnsi" w:eastAsiaTheme="minorEastAsia" w:hAnsiTheme="minorHAnsi" w:cstheme="minorBidi"/>
          <w:noProof/>
          <w:szCs w:val="24"/>
        </w:rPr>
      </w:pPr>
      <w:hyperlink w:anchor="_Toc82386229" w:history="1">
        <w:r w:rsidR="002C0E50" w:rsidRPr="00BF31C7">
          <w:rPr>
            <w:rStyle w:val="Hyperlink"/>
            <w:noProof/>
          </w:rPr>
          <w:t>Table 4.21</w:t>
        </w:r>
        <w:r w:rsidR="002C0E50" w:rsidRPr="00BF31C7">
          <w:rPr>
            <w:rStyle w:val="Hyperlink"/>
            <w:bCs/>
            <w:noProof/>
          </w:rPr>
          <w:t>:</w:t>
        </w:r>
        <w:r w:rsidR="002C0E50">
          <w:rPr>
            <w:rFonts w:asciiTheme="minorHAnsi" w:eastAsiaTheme="minorEastAsia" w:hAnsiTheme="minorHAnsi" w:cstheme="minorBidi"/>
            <w:noProof/>
            <w:szCs w:val="24"/>
          </w:rPr>
          <w:tab/>
        </w:r>
        <w:r w:rsidR="002C0E50" w:rsidRPr="00BF31C7">
          <w:rPr>
            <w:rStyle w:val="Hyperlink"/>
            <w:noProof/>
          </w:rPr>
          <w:t>Number of Stocked and Harvested Fish, Weights of Harvested and Sold Fish, During 2019/20 Agriculture Year, Tanzania</w:t>
        </w:r>
        <w:r w:rsidR="002C0E50">
          <w:rPr>
            <w:noProof/>
            <w:webHidden/>
          </w:rPr>
          <w:tab/>
        </w:r>
        <w:r w:rsidR="002C0E50">
          <w:rPr>
            <w:noProof/>
            <w:webHidden/>
          </w:rPr>
          <w:fldChar w:fldCharType="begin"/>
        </w:r>
        <w:r w:rsidR="002C0E50">
          <w:rPr>
            <w:noProof/>
            <w:webHidden/>
          </w:rPr>
          <w:instrText xml:space="preserve"> PAGEREF _Toc82386229 \h </w:instrText>
        </w:r>
        <w:r w:rsidR="002C0E50">
          <w:rPr>
            <w:noProof/>
            <w:webHidden/>
          </w:rPr>
        </w:r>
        <w:r w:rsidR="002C0E50">
          <w:rPr>
            <w:noProof/>
            <w:webHidden/>
          </w:rPr>
          <w:fldChar w:fldCharType="separate"/>
        </w:r>
        <w:r w:rsidR="00A15698">
          <w:rPr>
            <w:noProof/>
            <w:webHidden/>
          </w:rPr>
          <w:t>215</w:t>
        </w:r>
        <w:r w:rsidR="002C0E50">
          <w:rPr>
            <w:noProof/>
            <w:webHidden/>
          </w:rPr>
          <w:fldChar w:fldCharType="end"/>
        </w:r>
      </w:hyperlink>
    </w:p>
    <w:p w14:paraId="20B74E62" w14:textId="2347F569" w:rsidR="002C0E50" w:rsidRDefault="00E909AE">
      <w:pPr>
        <w:pStyle w:val="TOC7"/>
        <w:rPr>
          <w:rFonts w:asciiTheme="minorHAnsi" w:eastAsiaTheme="minorEastAsia" w:hAnsiTheme="minorHAnsi" w:cstheme="minorBidi"/>
          <w:noProof/>
          <w:szCs w:val="24"/>
        </w:rPr>
      </w:pPr>
      <w:hyperlink w:anchor="_Toc82386230" w:history="1">
        <w:r w:rsidR="002C0E50" w:rsidRPr="00BF31C7">
          <w:rPr>
            <w:rStyle w:val="Hyperlink"/>
            <w:noProof/>
          </w:rPr>
          <w:t>Table 4.22:</w:t>
        </w:r>
        <w:r w:rsidR="002C0E50">
          <w:rPr>
            <w:rFonts w:asciiTheme="minorHAnsi" w:eastAsiaTheme="minorEastAsia" w:hAnsiTheme="minorHAnsi" w:cstheme="minorBidi"/>
            <w:noProof/>
            <w:szCs w:val="24"/>
          </w:rPr>
          <w:tab/>
        </w:r>
        <w:r w:rsidR="002C0E50" w:rsidRPr="00BF31C7">
          <w:rPr>
            <w:rStyle w:val="Hyperlink"/>
            <w:noProof/>
          </w:rPr>
          <w:t>Number of Households and Quantity of Feeds Used by Main Source of Fish Feeds During 2019/20 Agricultural Year, Tanzania</w:t>
        </w:r>
        <w:r w:rsidR="002C0E50">
          <w:rPr>
            <w:noProof/>
            <w:webHidden/>
          </w:rPr>
          <w:tab/>
        </w:r>
        <w:r w:rsidR="002C0E50">
          <w:rPr>
            <w:noProof/>
            <w:webHidden/>
          </w:rPr>
          <w:fldChar w:fldCharType="begin"/>
        </w:r>
        <w:r w:rsidR="002C0E50">
          <w:rPr>
            <w:noProof/>
            <w:webHidden/>
          </w:rPr>
          <w:instrText xml:space="preserve"> PAGEREF _Toc82386230 \h </w:instrText>
        </w:r>
        <w:r w:rsidR="002C0E50">
          <w:rPr>
            <w:noProof/>
            <w:webHidden/>
          </w:rPr>
        </w:r>
        <w:r w:rsidR="002C0E50">
          <w:rPr>
            <w:noProof/>
            <w:webHidden/>
          </w:rPr>
          <w:fldChar w:fldCharType="separate"/>
        </w:r>
        <w:r w:rsidR="00A15698">
          <w:rPr>
            <w:noProof/>
            <w:webHidden/>
          </w:rPr>
          <w:t>220</w:t>
        </w:r>
        <w:r w:rsidR="002C0E50">
          <w:rPr>
            <w:noProof/>
            <w:webHidden/>
          </w:rPr>
          <w:fldChar w:fldCharType="end"/>
        </w:r>
      </w:hyperlink>
    </w:p>
    <w:p w14:paraId="3346D8D9" w14:textId="4EFF4B25" w:rsidR="002C0E50" w:rsidRDefault="00E909AE">
      <w:pPr>
        <w:pStyle w:val="TOC7"/>
        <w:rPr>
          <w:rFonts w:asciiTheme="minorHAnsi" w:eastAsiaTheme="minorEastAsia" w:hAnsiTheme="minorHAnsi" w:cstheme="minorBidi"/>
          <w:noProof/>
          <w:szCs w:val="24"/>
        </w:rPr>
      </w:pPr>
      <w:hyperlink w:anchor="_Toc82386231" w:history="1">
        <w:r w:rsidR="002C0E50" w:rsidRPr="00BF31C7">
          <w:rPr>
            <w:rStyle w:val="Hyperlink"/>
            <w:noProof/>
          </w:rPr>
          <w:t>Table 5.1:</w:t>
        </w:r>
        <w:r w:rsidR="002C0E50">
          <w:rPr>
            <w:rFonts w:asciiTheme="minorHAnsi" w:eastAsiaTheme="minorEastAsia" w:hAnsiTheme="minorHAnsi" w:cstheme="minorBidi"/>
            <w:noProof/>
            <w:szCs w:val="24"/>
          </w:rPr>
          <w:tab/>
        </w:r>
        <w:r w:rsidR="002C0E50" w:rsidRPr="00BF31C7">
          <w:rPr>
            <w:rStyle w:val="Hyperlink"/>
            <w:noProof/>
          </w:rPr>
          <w:t>Number and Percentage of Agricultural Household Members Reported to Borrow Money for Agricultural Activities During 2019/20 Agricultural Year, Tanzania</w:t>
        </w:r>
        <w:r w:rsidR="002C0E50">
          <w:rPr>
            <w:noProof/>
            <w:webHidden/>
          </w:rPr>
          <w:tab/>
        </w:r>
        <w:r w:rsidR="002C0E50">
          <w:rPr>
            <w:noProof/>
            <w:webHidden/>
          </w:rPr>
          <w:fldChar w:fldCharType="begin"/>
        </w:r>
        <w:r w:rsidR="002C0E50">
          <w:rPr>
            <w:noProof/>
            <w:webHidden/>
          </w:rPr>
          <w:instrText xml:space="preserve"> PAGEREF _Toc82386231 \h </w:instrText>
        </w:r>
        <w:r w:rsidR="002C0E50">
          <w:rPr>
            <w:noProof/>
            <w:webHidden/>
          </w:rPr>
        </w:r>
        <w:r w:rsidR="002C0E50">
          <w:rPr>
            <w:noProof/>
            <w:webHidden/>
          </w:rPr>
          <w:fldChar w:fldCharType="separate"/>
        </w:r>
        <w:r w:rsidR="00A15698">
          <w:rPr>
            <w:noProof/>
            <w:webHidden/>
          </w:rPr>
          <w:t>226</w:t>
        </w:r>
        <w:r w:rsidR="002C0E50">
          <w:rPr>
            <w:noProof/>
            <w:webHidden/>
          </w:rPr>
          <w:fldChar w:fldCharType="end"/>
        </w:r>
      </w:hyperlink>
    </w:p>
    <w:p w14:paraId="3FF9CF1B" w14:textId="20C91903" w:rsidR="002C0E50" w:rsidRDefault="00E909AE">
      <w:pPr>
        <w:pStyle w:val="TOC7"/>
        <w:rPr>
          <w:rFonts w:asciiTheme="minorHAnsi" w:eastAsiaTheme="minorEastAsia" w:hAnsiTheme="minorHAnsi" w:cstheme="minorBidi"/>
          <w:noProof/>
          <w:szCs w:val="24"/>
        </w:rPr>
      </w:pPr>
      <w:hyperlink w:anchor="_Toc82386232" w:history="1">
        <w:r w:rsidR="002C0E50" w:rsidRPr="00BF31C7">
          <w:rPr>
            <w:rStyle w:val="Hyperlink"/>
            <w:noProof/>
          </w:rPr>
          <w:t>Table 5.2:</w:t>
        </w:r>
        <w:r w:rsidR="002C0E50">
          <w:rPr>
            <w:rFonts w:asciiTheme="minorHAnsi" w:eastAsiaTheme="minorEastAsia" w:hAnsiTheme="minorHAnsi" w:cstheme="minorBidi"/>
            <w:noProof/>
            <w:szCs w:val="24"/>
          </w:rPr>
          <w:tab/>
        </w:r>
        <w:r w:rsidR="002C0E50" w:rsidRPr="00BF31C7">
          <w:rPr>
            <w:rStyle w:val="Hyperlink"/>
            <w:noProof/>
          </w:rPr>
          <w:t>Number of Agricultural Household Members Received Second Credit by Sex During 2019/20 Agricultural Year, Tanzania</w:t>
        </w:r>
        <w:r w:rsidR="002C0E50">
          <w:rPr>
            <w:noProof/>
            <w:webHidden/>
          </w:rPr>
          <w:tab/>
        </w:r>
        <w:r w:rsidR="002C0E50">
          <w:rPr>
            <w:noProof/>
            <w:webHidden/>
          </w:rPr>
          <w:fldChar w:fldCharType="begin"/>
        </w:r>
        <w:r w:rsidR="002C0E50">
          <w:rPr>
            <w:noProof/>
            <w:webHidden/>
          </w:rPr>
          <w:instrText xml:space="preserve"> PAGEREF _Toc82386232 \h </w:instrText>
        </w:r>
        <w:r w:rsidR="002C0E50">
          <w:rPr>
            <w:noProof/>
            <w:webHidden/>
          </w:rPr>
        </w:r>
        <w:r w:rsidR="002C0E50">
          <w:rPr>
            <w:noProof/>
            <w:webHidden/>
          </w:rPr>
          <w:fldChar w:fldCharType="separate"/>
        </w:r>
        <w:r w:rsidR="00A15698">
          <w:rPr>
            <w:noProof/>
            <w:webHidden/>
          </w:rPr>
          <w:t>229</w:t>
        </w:r>
        <w:r w:rsidR="002C0E50">
          <w:rPr>
            <w:noProof/>
            <w:webHidden/>
          </w:rPr>
          <w:fldChar w:fldCharType="end"/>
        </w:r>
      </w:hyperlink>
    </w:p>
    <w:p w14:paraId="6D8B0337" w14:textId="4270729C" w:rsidR="002C0E50" w:rsidRDefault="00E909AE">
      <w:pPr>
        <w:pStyle w:val="TOC7"/>
        <w:rPr>
          <w:rFonts w:asciiTheme="minorHAnsi" w:eastAsiaTheme="minorEastAsia" w:hAnsiTheme="minorHAnsi" w:cstheme="minorBidi"/>
          <w:noProof/>
          <w:szCs w:val="24"/>
        </w:rPr>
      </w:pPr>
      <w:hyperlink w:anchor="_Toc82386233" w:history="1">
        <w:r w:rsidR="002C0E50" w:rsidRPr="00BF31C7">
          <w:rPr>
            <w:rStyle w:val="Hyperlink"/>
            <w:noProof/>
          </w:rPr>
          <w:t>Table 5.3</w:t>
        </w:r>
        <w:r w:rsidR="002C0E50">
          <w:rPr>
            <w:rFonts w:asciiTheme="minorHAnsi" w:eastAsiaTheme="minorEastAsia" w:hAnsiTheme="minorHAnsi" w:cstheme="minorBidi"/>
            <w:noProof/>
            <w:szCs w:val="24"/>
          </w:rPr>
          <w:tab/>
        </w:r>
        <w:r w:rsidR="002C0E50" w:rsidRPr="00BF31C7">
          <w:rPr>
            <w:rStyle w:val="Hyperlink"/>
            <w:noProof/>
          </w:rPr>
          <w:t>Percentage of Agricultural Household Members Reported the Use of Credit by Region During 2019/20 Agricultural Year, Tanzania</w:t>
        </w:r>
        <w:r w:rsidR="002C0E50">
          <w:rPr>
            <w:noProof/>
            <w:webHidden/>
          </w:rPr>
          <w:tab/>
        </w:r>
        <w:r w:rsidR="002C0E50">
          <w:rPr>
            <w:noProof/>
            <w:webHidden/>
          </w:rPr>
          <w:fldChar w:fldCharType="begin"/>
        </w:r>
        <w:r w:rsidR="002C0E50">
          <w:rPr>
            <w:noProof/>
            <w:webHidden/>
          </w:rPr>
          <w:instrText xml:space="preserve"> PAGEREF _Toc82386233 \h </w:instrText>
        </w:r>
        <w:r w:rsidR="002C0E50">
          <w:rPr>
            <w:noProof/>
            <w:webHidden/>
          </w:rPr>
        </w:r>
        <w:r w:rsidR="002C0E50">
          <w:rPr>
            <w:noProof/>
            <w:webHidden/>
          </w:rPr>
          <w:fldChar w:fldCharType="separate"/>
        </w:r>
        <w:r w:rsidR="00A15698">
          <w:rPr>
            <w:noProof/>
            <w:webHidden/>
          </w:rPr>
          <w:t>233</w:t>
        </w:r>
        <w:r w:rsidR="002C0E50">
          <w:rPr>
            <w:noProof/>
            <w:webHidden/>
          </w:rPr>
          <w:fldChar w:fldCharType="end"/>
        </w:r>
      </w:hyperlink>
    </w:p>
    <w:p w14:paraId="09074EF8" w14:textId="15365D4E" w:rsidR="002C0E50" w:rsidRDefault="00E909AE">
      <w:pPr>
        <w:pStyle w:val="TOC7"/>
        <w:rPr>
          <w:rFonts w:asciiTheme="minorHAnsi" w:eastAsiaTheme="minorEastAsia" w:hAnsiTheme="minorHAnsi" w:cstheme="minorBidi"/>
          <w:noProof/>
          <w:szCs w:val="24"/>
        </w:rPr>
      </w:pPr>
      <w:hyperlink w:anchor="_Toc82386234" w:history="1">
        <w:r w:rsidR="002C0E50" w:rsidRPr="00BF31C7">
          <w:rPr>
            <w:rStyle w:val="Hyperlink"/>
            <w:noProof/>
          </w:rPr>
          <w:t>Table 5.4:</w:t>
        </w:r>
        <w:r w:rsidR="002C0E50">
          <w:rPr>
            <w:rFonts w:asciiTheme="minorHAnsi" w:eastAsiaTheme="minorEastAsia" w:hAnsiTheme="minorHAnsi" w:cstheme="minorBidi"/>
            <w:noProof/>
            <w:szCs w:val="24"/>
          </w:rPr>
          <w:tab/>
        </w:r>
        <w:r w:rsidR="002C0E50" w:rsidRPr="00BF31C7">
          <w:rPr>
            <w:rStyle w:val="Hyperlink"/>
            <w:noProof/>
          </w:rPr>
          <w:t>Value and Percentage of Credits and Repayments by Region During 2019/20 Agricultural Year, Tanzania</w:t>
        </w:r>
        <w:r w:rsidR="002C0E50">
          <w:rPr>
            <w:noProof/>
            <w:webHidden/>
          </w:rPr>
          <w:tab/>
        </w:r>
        <w:r w:rsidR="002C0E50">
          <w:rPr>
            <w:noProof/>
            <w:webHidden/>
          </w:rPr>
          <w:fldChar w:fldCharType="begin"/>
        </w:r>
        <w:r w:rsidR="002C0E50">
          <w:rPr>
            <w:noProof/>
            <w:webHidden/>
          </w:rPr>
          <w:instrText xml:space="preserve"> PAGEREF _Toc82386234 \h </w:instrText>
        </w:r>
        <w:r w:rsidR="002C0E50">
          <w:rPr>
            <w:noProof/>
            <w:webHidden/>
          </w:rPr>
        </w:r>
        <w:r w:rsidR="002C0E50">
          <w:rPr>
            <w:noProof/>
            <w:webHidden/>
          </w:rPr>
          <w:fldChar w:fldCharType="separate"/>
        </w:r>
        <w:r w:rsidR="00A15698">
          <w:rPr>
            <w:noProof/>
            <w:webHidden/>
          </w:rPr>
          <w:t>235</w:t>
        </w:r>
        <w:r w:rsidR="002C0E50">
          <w:rPr>
            <w:noProof/>
            <w:webHidden/>
          </w:rPr>
          <w:fldChar w:fldCharType="end"/>
        </w:r>
      </w:hyperlink>
    </w:p>
    <w:p w14:paraId="786D287A" w14:textId="4333C9A4" w:rsidR="002C0E50" w:rsidRDefault="00E909AE">
      <w:pPr>
        <w:pStyle w:val="TOC7"/>
        <w:rPr>
          <w:rFonts w:asciiTheme="minorHAnsi" w:eastAsiaTheme="minorEastAsia" w:hAnsiTheme="minorHAnsi" w:cstheme="minorBidi"/>
          <w:noProof/>
          <w:szCs w:val="24"/>
        </w:rPr>
      </w:pPr>
      <w:hyperlink w:anchor="_Toc82386235" w:history="1">
        <w:r w:rsidR="002C0E50" w:rsidRPr="00BF31C7">
          <w:rPr>
            <w:rStyle w:val="Hyperlink"/>
            <w:rFonts w:eastAsia="Calibri"/>
            <w:noProof/>
            <w:lang w:val="en-GB"/>
          </w:rPr>
          <w:t>Table 5.5:</w:t>
        </w:r>
        <w:r w:rsidR="002C0E50">
          <w:rPr>
            <w:rFonts w:asciiTheme="minorHAnsi" w:eastAsiaTheme="minorEastAsia" w:hAnsiTheme="minorHAnsi" w:cstheme="minorBidi"/>
            <w:noProof/>
            <w:szCs w:val="24"/>
          </w:rPr>
          <w:tab/>
        </w:r>
        <w:r w:rsidR="002C0E50" w:rsidRPr="00BF31C7">
          <w:rPr>
            <w:rStyle w:val="Hyperlink"/>
            <w:rFonts w:eastAsia="Calibri"/>
            <w:noProof/>
            <w:lang w:val="en-GB"/>
          </w:rPr>
          <w:t>Number and Percentage of Agricultural Households Reported Major Constraints During 2019/20 Agricultural Year, Tanzania</w:t>
        </w:r>
        <w:r w:rsidR="002C0E50">
          <w:rPr>
            <w:noProof/>
            <w:webHidden/>
          </w:rPr>
          <w:tab/>
        </w:r>
        <w:r w:rsidR="002C0E50">
          <w:rPr>
            <w:noProof/>
            <w:webHidden/>
          </w:rPr>
          <w:fldChar w:fldCharType="begin"/>
        </w:r>
        <w:r w:rsidR="002C0E50">
          <w:rPr>
            <w:noProof/>
            <w:webHidden/>
          </w:rPr>
          <w:instrText xml:space="preserve"> PAGEREF _Toc82386235 \h </w:instrText>
        </w:r>
        <w:r w:rsidR="002C0E50">
          <w:rPr>
            <w:noProof/>
            <w:webHidden/>
          </w:rPr>
        </w:r>
        <w:r w:rsidR="002C0E50">
          <w:rPr>
            <w:noProof/>
            <w:webHidden/>
          </w:rPr>
          <w:fldChar w:fldCharType="separate"/>
        </w:r>
        <w:r w:rsidR="00A15698">
          <w:rPr>
            <w:noProof/>
            <w:webHidden/>
          </w:rPr>
          <w:t>238</w:t>
        </w:r>
        <w:r w:rsidR="002C0E50">
          <w:rPr>
            <w:noProof/>
            <w:webHidden/>
          </w:rPr>
          <w:fldChar w:fldCharType="end"/>
        </w:r>
      </w:hyperlink>
    </w:p>
    <w:p w14:paraId="0EB6CCDB" w14:textId="7E91E647" w:rsidR="002C0E50" w:rsidRDefault="00E909AE">
      <w:pPr>
        <w:pStyle w:val="TOC7"/>
        <w:rPr>
          <w:rFonts w:asciiTheme="minorHAnsi" w:eastAsiaTheme="minorEastAsia" w:hAnsiTheme="minorHAnsi" w:cstheme="minorBidi"/>
          <w:noProof/>
          <w:szCs w:val="24"/>
        </w:rPr>
      </w:pPr>
      <w:hyperlink w:anchor="_Toc82386236" w:history="1">
        <w:r w:rsidR="002C0E50" w:rsidRPr="00BF31C7">
          <w:rPr>
            <w:rStyle w:val="Hyperlink"/>
            <w:noProof/>
          </w:rPr>
          <w:t>Table 6.1:</w:t>
        </w:r>
        <w:r w:rsidR="002C0E50">
          <w:rPr>
            <w:rFonts w:asciiTheme="minorHAnsi" w:eastAsiaTheme="minorEastAsia" w:hAnsiTheme="minorHAnsi" w:cstheme="minorBidi"/>
            <w:noProof/>
            <w:szCs w:val="24"/>
          </w:rPr>
          <w:tab/>
        </w:r>
        <w:r w:rsidR="002C0E50" w:rsidRPr="00BF31C7">
          <w:rPr>
            <w:rStyle w:val="Hyperlink"/>
            <w:noProof/>
          </w:rPr>
          <w:t>Number and Percentage of Households by Type of Roofing Material During 2019/20 Agricultural Year, Tanzania</w:t>
        </w:r>
        <w:r w:rsidR="002C0E50">
          <w:rPr>
            <w:noProof/>
            <w:webHidden/>
          </w:rPr>
          <w:tab/>
        </w:r>
        <w:r w:rsidR="002C0E50">
          <w:rPr>
            <w:noProof/>
            <w:webHidden/>
          </w:rPr>
          <w:fldChar w:fldCharType="begin"/>
        </w:r>
        <w:r w:rsidR="002C0E50">
          <w:rPr>
            <w:noProof/>
            <w:webHidden/>
          </w:rPr>
          <w:instrText xml:space="preserve"> PAGEREF _Toc82386236 \h </w:instrText>
        </w:r>
        <w:r w:rsidR="002C0E50">
          <w:rPr>
            <w:noProof/>
            <w:webHidden/>
          </w:rPr>
        </w:r>
        <w:r w:rsidR="002C0E50">
          <w:rPr>
            <w:noProof/>
            <w:webHidden/>
          </w:rPr>
          <w:fldChar w:fldCharType="separate"/>
        </w:r>
        <w:r w:rsidR="00A15698">
          <w:rPr>
            <w:noProof/>
            <w:webHidden/>
          </w:rPr>
          <w:t>239</w:t>
        </w:r>
        <w:r w:rsidR="002C0E50">
          <w:rPr>
            <w:noProof/>
            <w:webHidden/>
          </w:rPr>
          <w:fldChar w:fldCharType="end"/>
        </w:r>
      </w:hyperlink>
    </w:p>
    <w:p w14:paraId="15DD9CD7" w14:textId="257C5F37" w:rsidR="002C0E50" w:rsidRDefault="00E909AE">
      <w:pPr>
        <w:pStyle w:val="TOC7"/>
        <w:rPr>
          <w:rFonts w:asciiTheme="minorHAnsi" w:eastAsiaTheme="minorEastAsia" w:hAnsiTheme="minorHAnsi" w:cstheme="minorBidi"/>
          <w:noProof/>
          <w:szCs w:val="24"/>
        </w:rPr>
      </w:pPr>
      <w:hyperlink w:anchor="_Toc82386237" w:history="1">
        <w:r w:rsidR="002C0E50" w:rsidRPr="00BF31C7">
          <w:rPr>
            <w:rStyle w:val="Hyperlink"/>
            <w:noProof/>
          </w:rPr>
          <w:t>Table 6.2:</w:t>
        </w:r>
        <w:r w:rsidR="002C0E50">
          <w:rPr>
            <w:rFonts w:asciiTheme="minorHAnsi" w:eastAsiaTheme="minorEastAsia" w:hAnsiTheme="minorHAnsi" w:cstheme="minorBidi"/>
            <w:noProof/>
            <w:szCs w:val="24"/>
          </w:rPr>
          <w:tab/>
        </w:r>
        <w:r w:rsidR="002C0E50" w:rsidRPr="00BF31C7">
          <w:rPr>
            <w:rStyle w:val="Hyperlink"/>
            <w:noProof/>
          </w:rPr>
          <w:t>Percentage of Households reported Materials Used for Roof Construction by Region During 2019/20 Agricultural Year, Tanzania</w:t>
        </w:r>
        <w:r w:rsidR="002C0E50">
          <w:rPr>
            <w:noProof/>
            <w:webHidden/>
          </w:rPr>
          <w:tab/>
        </w:r>
        <w:r w:rsidR="002C0E50">
          <w:rPr>
            <w:noProof/>
            <w:webHidden/>
          </w:rPr>
          <w:fldChar w:fldCharType="begin"/>
        </w:r>
        <w:r w:rsidR="002C0E50">
          <w:rPr>
            <w:noProof/>
            <w:webHidden/>
          </w:rPr>
          <w:instrText xml:space="preserve"> PAGEREF _Toc82386237 \h </w:instrText>
        </w:r>
        <w:r w:rsidR="002C0E50">
          <w:rPr>
            <w:noProof/>
            <w:webHidden/>
          </w:rPr>
        </w:r>
        <w:r w:rsidR="002C0E50">
          <w:rPr>
            <w:noProof/>
            <w:webHidden/>
          </w:rPr>
          <w:fldChar w:fldCharType="separate"/>
        </w:r>
        <w:r w:rsidR="00A15698">
          <w:rPr>
            <w:noProof/>
            <w:webHidden/>
          </w:rPr>
          <w:t>241</w:t>
        </w:r>
        <w:r w:rsidR="002C0E50">
          <w:rPr>
            <w:noProof/>
            <w:webHidden/>
          </w:rPr>
          <w:fldChar w:fldCharType="end"/>
        </w:r>
      </w:hyperlink>
    </w:p>
    <w:p w14:paraId="71D6AF2E" w14:textId="31350810" w:rsidR="002C0E50" w:rsidRDefault="00E909AE">
      <w:pPr>
        <w:pStyle w:val="TOC7"/>
        <w:rPr>
          <w:rFonts w:asciiTheme="minorHAnsi" w:eastAsiaTheme="minorEastAsia" w:hAnsiTheme="minorHAnsi" w:cstheme="minorBidi"/>
          <w:noProof/>
          <w:szCs w:val="24"/>
        </w:rPr>
      </w:pPr>
      <w:hyperlink w:anchor="_Toc82386238" w:history="1">
        <w:r w:rsidR="002C0E50" w:rsidRPr="00BF31C7">
          <w:rPr>
            <w:rStyle w:val="Hyperlink"/>
            <w:noProof/>
          </w:rPr>
          <w:t>Table 6.3:</w:t>
        </w:r>
        <w:r w:rsidR="002C0E50">
          <w:rPr>
            <w:rFonts w:asciiTheme="minorHAnsi" w:eastAsiaTheme="minorEastAsia" w:hAnsiTheme="minorHAnsi" w:cstheme="minorBidi"/>
            <w:noProof/>
            <w:szCs w:val="24"/>
          </w:rPr>
          <w:tab/>
        </w:r>
        <w:r w:rsidR="002C0E50" w:rsidRPr="00BF31C7">
          <w:rPr>
            <w:rStyle w:val="Hyperlink"/>
            <w:noProof/>
          </w:rPr>
          <w:t>Number and Percentage of Households by Type of Floor Material During 2019/20 Agricultural Year, Tanzania</w:t>
        </w:r>
        <w:r w:rsidR="002C0E50">
          <w:rPr>
            <w:noProof/>
            <w:webHidden/>
          </w:rPr>
          <w:tab/>
        </w:r>
        <w:r w:rsidR="002C0E50">
          <w:rPr>
            <w:noProof/>
            <w:webHidden/>
          </w:rPr>
          <w:fldChar w:fldCharType="begin"/>
        </w:r>
        <w:r w:rsidR="002C0E50">
          <w:rPr>
            <w:noProof/>
            <w:webHidden/>
          </w:rPr>
          <w:instrText xml:space="preserve"> PAGEREF _Toc82386238 \h </w:instrText>
        </w:r>
        <w:r w:rsidR="002C0E50">
          <w:rPr>
            <w:noProof/>
            <w:webHidden/>
          </w:rPr>
        </w:r>
        <w:r w:rsidR="002C0E50">
          <w:rPr>
            <w:noProof/>
            <w:webHidden/>
          </w:rPr>
          <w:fldChar w:fldCharType="separate"/>
        </w:r>
        <w:r w:rsidR="00A15698">
          <w:rPr>
            <w:noProof/>
            <w:webHidden/>
          </w:rPr>
          <w:t>242</w:t>
        </w:r>
        <w:r w:rsidR="002C0E50">
          <w:rPr>
            <w:noProof/>
            <w:webHidden/>
          </w:rPr>
          <w:fldChar w:fldCharType="end"/>
        </w:r>
      </w:hyperlink>
    </w:p>
    <w:p w14:paraId="540B7810" w14:textId="72647C8E" w:rsidR="002C0E50" w:rsidRDefault="00E909AE">
      <w:pPr>
        <w:pStyle w:val="TOC7"/>
        <w:rPr>
          <w:rFonts w:asciiTheme="minorHAnsi" w:eastAsiaTheme="minorEastAsia" w:hAnsiTheme="minorHAnsi" w:cstheme="minorBidi"/>
          <w:noProof/>
          <w:szCs w:val="24"/>
        </w:rPr>
      </w:pPr>
      <w:hyperlink w:anchor="_Toc82386239" w:history="1">
        <w:r w:rsidR="002C0E50" w:rsidRPr="00BF31C7">
          <w:rPr>
            <w:rStyle w:val="Hyperlink"/>
            <w:noProof/>
          </w:rPr>
          <w:t>Table 6.4:</w:t>
        </w:r>
        <w:r w:rsidR="002C0E50">
          <w:rPr>
            <w:rFonts w:asciiTheme="minorHAnsi" w:eastAsiaTheme="minorEastAsia" w:hAnsiTheme="minorHAnsi" w:cstheme="minorBidi"/>
            <w:noProof/>
            <w:szCs w:val="24"/>
          </w:rPr>
          <w:tab/>
        </w:r>
        <w:r w:rsidR="002C0E50" w:rsidRPr="00BF31C7">
          <w:rPr>
            <w:rStyle w:val="Hyperlink"/>
            <w:noProof/>
          </w:rPr>
          <w:t>Percentage of Households Reported Materials Used for Floor Construction by Region During 2019/20 Agricultural Year, Tanzania</w:t>
        </w:r>
        <w:r w:rsidR="002C0E50">
          <w:rPr>
            <w:noProof/>
            <w:webHidden/>
          </w:rPr>
          <w:tab/>
        </w:r>
        <w:r w:rsidR="002C0E50">
          <w:rPr>
            <w:noProof/>
            <w:webHidden/>
          </w:rPr>
          <w:fldChar w:fldCharType="begin"/>
        </w:r>
        <w:r w:rsidR="002C0E50">
          <w:rPr>
            <w:noProof/>
            <w:webHidden/>
          </w:rPr>
          <w:instrText xml:space="preserve"> PAGEREF _Toc82386239 \h </w:instrText>
        </w:r>
        <w:r w:rsidR="002C0E50">
          <w:rPr>
            <w:noProof/>
            <w:webHidden/>
          </w:rPr>
        </w:r>
        <w:r w:rsidR="002C0E50">
          <w:rPr>
            <w:noProof/>
            <w:webHidden/>
          </w:rPr>
          <w:fldChar w:fldCharType="separate"/>
        </w:r>
        <w:r w:rsidR="00A15698">
          <w:rPr>
            <w:noProof/>
            <w:webHidden/>
          </w:rPr>
          <w:t>243</w:t>
        </w:r>
        <w:r w:rsidR="002C0E50">
          <w:rPr>
            <w:noProof/>
            <w:webHidden/>
          </w:rPr>
          <w:fldChar w:fldCharType="end"/>
        </w:r>
      </w:hyperlink>
    </w:p>
    <w:p w14:paraId="5709DD7F" w14:textId="113B627A" w:rsidR="002C0E50" w:rsidRDefault="00E909AE">
      <w:pPr>
        <w:pStyle w:val="TOC7"/>
        <w:rPr>
          <w:rFonts w:asciiTheme="minorHAnsi" w:eastAsiaTheme="minorEastAsia" w:hAnsiTheme="minorHAnsi" w:cstheme="minorBidi"/>
          <w:noProof/>
          <w:szCs w:val="24"/>
        </w:rPr>
      </w:pPr>
      <w:hyperlink w:anchor="_Toc82386240" w:history="1">
        <w:r w:rsidR="002C0E50" w:rsidRPr="00BF31C7">
          <w:rPr>
            <w:rStyle w:val="Hyperlink"/>
            <w:noProof/>
          </w:rPr>
          <w:t>Table 6.5:</w:t>
        </w:r>
        <w:r w:rsidR="002C0E50">
          <w:rPr>
            <w:rFonts w:asciiTheme="minorHAnsi" w:eastAsiaTheme="minorEastAsia" w:hAnsiTheme="minorHAnsi" w:cstheme="minorBidi"/>
            <w:noProof/>
            <w:szCs w:val="24"/>
          </w:rPr>
          <w:tab/>
        </w:r>
        <w:r w:rsidR="002C0E50" w:rsidRPr="00BF31C7">
          <w:rPr>
            <w:rStyle w:val="Hyperlink"/>
            <w:noProof/>
          </w:rPr>
          <w:t>Number and Percentage of Households by Type of Wall Material During 2019/20 Agricultural Year, Tanzania</w:t>
        </w:r>
        <w:r w:rsidR="002C0E50">
          <w:rPr>
            <w:noProof/>
            <w:webHidden/>
          </w:rPr>
          <w:tab/>
        </w:r>
        <w:r w:rsidR="002C0E50">
          <w:rPr>
            <w:noProof/>
            <w:webHidden/>
          </w:rPr>
          <w:fldChar w:fldCharType="begin"/>
        </w:r>
        <w:r w:rsidR="002C0E50">
          <w:rPr>
            <w:noProof/>
            <w:webHidden/>
          </w:rPr>
          <w:instrText xml:space="preserve"> PAGEREF _Toc82386240 \h </w:instrText>
        </w:r>
        <w:r w:rsidR="002C0E50">
          <w:rPr>
            <w:noProof/>
            <w:webHidden/>
          </w:rPr>
        </w:r>
        <w:r w:rsidR="002C0E50">
          <w:rPr>
            <w:noProof/>
            <w:webHidden/>
          </w:rPr>
          <w:fldChar w:fldCharType="separate"/>
        </w:r>
        <w:r w:rsidR="00A15698">
          <w:rPr>
            <w:noProof/>
            <w:webHidden/>
          </w:rPr>
          <w:t>244</w:t>
        </w:r>
        <w:r w:rsidR="002C0E50">
          <w:rPr>
            <w:noProof/>
            <w:webHidden/>
          </w:rPr>
          <w:fldChar w:fldCharType="end"/>
        </w:r>
      </w:hyperlink>
    </w:p>
    <w:p w14:paraId="30832941" w14:textId="0B102BA4" w:rsidR="002C0E50" w:rsidRDefault="00E909AE">
      <w:pPr>
        <w:pStyle w:val="TOC7"/>
        <w:rPr>
          <w:rFonts w:asciiTheme="minorHAnsi" w:eastAsiaTheme="minorEastAsia" w:hAnsiTheme="minorHAnsi" w:cstheme="minorBidi"/>
          <w:noProof/>
          <w:szCs w:val="24"/>
        </w:rPr>
      </w:pPr>
      <w:hyperlink w:anchor="_Toc82386241" w:history="1">
        <w:r w:rsidR="002C0E50" w:rsidRPr="00BF31C7">
          <w:rPr>
            <w:rStyle w:val="Hyperlink"/>
            <w:noProof/>
          </w:rPr>
          <w:t>Table 6.6:</w:t>
        </w:r>
        <w:r w:rsidR="002C0E50">
          <w:rPr>
            <w:rFonts w:asciiTheme="minorHAnsi" w:eastAsiaTheme="minorEastAsia" w:hAnsiTheme="minorHAnsi" w:cstheme="minorBidi"/>
            <w:noProof/>
            <w:szCs w:val="24"/>
          </w:rPr>
          <w:tab/>
        </w:r>
        <w:r w:rsidR="002C0E50" w:rsidRPr="00BF31C7">
          <w:rPr>
            <w:rStyle w:val="Hyperlink"/>
            <w:noProof/>
          </w:rPr>
          <w:t>Percentage of Agricultural Households Reported Materials Used for Wall Construction by Region During 2019/20 Agricultural Year, Tanzania</w:t>
        </w:r>
        <w:r w:rsidR="002C0E50">
          <w:rPr>
            <w:noProof/>
            <w:webHidden/>
          </w:rPr>
          <w:tab/>
        </w:r>
        <w:r w:rsidR="002C0E50">
          <w:rPr>
            <w:noProof/>
            <w:webHidden/>
          </w:rPr>
          <w:fldChar w:fldCharType="begin"/>
        </w:r>
        <w:r w:rsidR="002C0E50">
          <w:rPr>
            <w:noProof/>
            <w:webHidden/>
          </w:rPr>
          <w:instrText xml:space="preserve"> PAGEREF _Toc82386241 \h </w:instrText>
        </w:r>
        <w:r w:rsidR="002C0E50">
          <w:rPr>
            <w:noProof/>
            <w:webHidden/>
          </w:rPr>
        </w:r>
        <w:r w:rsidR="002C0E50">
          <w:rPr>
            <w:noProof/>
            <w:webHidden/>
          </w:rPr>
          <w:fldChar w:fldCharType="separate"/>
        </w:r>
        <w:r w:rsidR="00A15698">
          <w:rPr>
            <w:noProof/>
            <w:webHidden/>
          </w:rPr>
          <w:t>245</w:t>
        </w:r>
        <w:r w:rsidR="002C0E50">
          <w:rPr>
            <w:noProof/>
            <w:webHidden/>
          </w:rPr>
          <w:fldChar w:fldCharType="end"/>
        </w:r>
      </w:hyperlink>
    </w:p>
    <w:p w14:paraId="32D26D78" w14:textId="32BFEDD7" w:rsidR="002C0E50" w:rsidRDefault="00E909AE">
      <w:pPr>
        <w:pStyle w:val="TOC7"/>
        <w:rPr>
          <w:rFonts w:asciiTheme="minorHAnsi" w:eastAsiaTheme="minorEastAsia" w:hAnsiTheme="minorHAnsi" w:cstheme="minorBidi"/>
          <w:noProof/>
          <w:szCs w:val="24"/>
        </w:rPr>
      </w:pPr>
      <w:hyperlink w:anchor="_Toc82386242" w:history="1">
        <w:r w:rsidR="002C0E50" w:rsidRPr="00BF31C7">
          <w:rPr>
            <w:rStyle w:val="Hyperlink"/>
            <w:noProof/>
          </w:rPr>
          <w:t>Table 6.7:</w:t>
        </w:r>
        <w:r w:rsidR="002C0E50">
          <w:rPr>
            <w:rFonts w:asciiTheme="minorHAnsi" w:eastAsiaTheme="minorEastAsia" w:hAnsiTheme="minorHAnsi" w:cstheme="minorBidi"/>
            <w:noProof/>
            <w:szCs w:val="24"/>
          </w:rPr>
          <w:tab/>
        </w:r>
        <w:r w:rsidR="002C0E50" w:rsidRPr="00BF31C7">
          <w:rPr>
            <w:rStyle w:val="Hyperlink"/>
            <w:noProof/>
          </w:rPr>
          <w:t>Number and Percentage of Agricultural Households by Type of Toilet Facility During 2019/20 Agricultural Year, Tanzania</w:t>
        </w:r>
        <w:r w:rsidR="002C0E50">
          <w:rPr>
            <w:noProof/>
            <w:webHidden/>
          </w:rPr>
          <w:tab/>
        </w:r>
        <w:r w:rsidR="002C0E50">
          <w:rPr>
            <w:noProof/>
            <w:webHidden/>
          </w:rPr>
          <w:fldChar w:fldCharType="begin"/>
        </w:r>
        <w:r w:rsidR="002C0E50">
          <w:rPr>
            <w:noProof/>
            <w:webHidden/>
          </w:rPr>
          <w:instrText xml:space="preserve"> PAGEREF _Toc82386242 \h </w:instrText>
        </w:r>
        <w:r w:rsidR="002C0E50">
          <w:rPr>
            <w:noProof/>
            <w:webHidden/>
          </w:rPr>
        </w:r>
        <w:r w:rsidR="002C0E50">
          <w:rPr>
            <w:noProof/>
            <w:webHidden/>
          </w:rPr>
          <w:fldChar w:fldCharType="separate"/>
        </w:r>
        <w:r w:rsidR="00A15698">
          <w:rPr>
            <w:noProof/>
            <w:webHidden/>
          </w:rPr>
          <w:t>246</w:t>
        </w:r>
        <w:r w:rsidR="002C0E50">
          <w:rPr>
            <w:noProof/>
            <w:webHidden/>
          </w:rPr>
          <w:fldChar w:fldCharType="end"/>
        </w:r>
      </w:hyperlink>
    </w:p>
    <w:p w14:paraId="4DBE59AD" w14:textId="05DD98D4" w:rsidR="002C0E50" w:rsidRDefault="00E909AE">
      <w:pPr>
        <w:pStyle w:val="TOC7"/>
        <w:rPr>
          <w:rFonts w:asciiTheme="minorHAnsi" w:eastAsiaTheme="minorEastAsia" w:hAnsiTheme="minorHAnsi" w:cstheme="minorBidi"/>
          <w:noProof/>
          <w:szCs w:val="24"/>
        </w:rPr>
      </w:pPr>
      <w:hyperlink w:anchor="_Toc82386243" w:history="1">
        <w:r w:rsidR="002C0E50" w:rsidRPr="00BF31C7">
          <w:rPr>
            <w:rStyle w:val="Hyperlink"/>
            <w:noProof/>
          </w:rPr>
          <w:t>Table 6.8:</w:t>
        </w:r>
        <w:r w:rsidR="002C0E50">
          <w:rPr>
            <w:rFonts w:asciiTheme="minorHAnsi" w:eastAsiaTheme="minorEastAsia" w:hAnsiTheme="minorHAnsi" w:cstheme="minorBidi"/>
            <w:noProof/>
            <w:szCs w:val="24"/>
          </w:rPr>
          <w:tab/>
        </w:r>
        <w:r w:rsidR="002C0E50" w:rsidRPr="00BF31C7">
          <w:rPr>
            <w:rStyle w:val="Hyperlink"/>
            <w:noProof/>
          </w:rPr>
          <w:t>Percentage of Agricultural Households by Type of Toilet Facility and Region During 2019/20 Agricultural Year, Tanzania</w:t>
        </w:r>
        <w:r w:rsidR="002C0E50">
          <w:rPr>
            <w:noProof/>
            <w:webHidden/>
          </w:rPr>
          <w:tab/>
        </w:r>
        <w:r w:rsidR="002C0E50">
          <w:rPr>
            <w:noProof/>
            <w:webHidden/>
          </w:rPr>
          <w:fldChar w:fldCharType="begin"/>
        </w:r>
        <w:r w:rsidR="002C0E50">
          <w:rPr>
            <w:noProof/>
            <w:webHidden/>
          </w:rPr>
          <w:instrText xml:space="preserve"> PAGEREF _Toc82386243 \h </w:instrText>
        </w:r>
        <w:r w:rsidR="002C0E50">
          <w:rPr>
            <w:noProof/>
            <w:webHidden/>
          </w:rPr>
        </w:r>
        <w:r w:rsidR="002C0E50">
          <w:rPr>
            <w:noProof/>
            <w:webHidden/>
          </w:rPr>
          <w:fldChar w:fldCharType="separate"/>
        </w:r>
        <w:r w:rsidR="00A15698">
          <w:rPr>
            <w:noProof/>
            <w:webHidden/>
          </w:rPr>
          <w:t>247</w:t>
        </w:r>
        <w:r w:rsidR="002C0E50">
          <w:rPr>
            <w:noProof/>
            <w:webHidden/>
          </w:rPr>
          <w:fldChar w:fldCharType="end"/>
        </w:r>
      </w:hyperlink>
    </w:p>
    <w:p w14:paraId="1A832DD2" w14:textId="2DF89E38" w:rsidR="002C0E50" w:rsidRDefault="00E909AE">
      <w:pPr>
        <w:pStyle w:val="TOC7"/>
        <w:rPr>
          <w:rFonts w:asciiTheme="minorHAnsi" w:eastAsiaTheme="minorEastAsia" w:hAnsiTheme="minorHAnsi" w:cstheme="minorBidi"/>
          <w:noProof/>
          <w:szCs w:val="24"/>
        </w:rPr>
      </w:pPr>
      <w:hyperlink w:anchor="_Toc82386244" w:history="1">
        <w:r w:rsidR="002C0E50" w:rsidRPr="00BF31C7">
          <w:rPr>
            <w:rStyle w:val="Hyperlink"/>
            <w:noProof/>
          </w:rPr>
          <w:t>Table 6.9:</w:t>
        </w:r>
        <w:r w:rsidR="002C0E50">
          <w:rPr>
            <w:rFonts w:asciiTheme="minorHAnsi" w:eastAsiaTheme="minorEastAsia" w:hAnsiTheme="minorHAnsi" w:cstheme="minorBidi"/>
            <w:noProof/>
            <w:szCs w:val="24"/>
          </w:rPr>
          <w:tab/>
        </w:r>
        <w:r w:rsidR="002C0E50" w:rsidRPr="00BF31C7">
          <w:rPr>
            <w:rStyle w:val="Hyperlink"/>
            <w:noProof/>
          </w:rPr>
          <w:t>Number and Percentage of Agricultural Households Reported Main Source of Energy for Cooking During 2019/20 Agricultural Year, Tanzania</w:t>
        </w:r>
        <w:r w:rsidR="002C0E50">
          <w:rPr>
            <w:noProof/>
            <w:webHidden/>
          </w:rPr>
          <w:tab/>
        </w:r>
        <w:r w:rsidR="002C0E50">
          <w:rPr>
            <w:noProof/>
            <w:webHidden/>
          </w:rPr>
          <w:fldChar w:fldCharType="begin"/>
        </w:r>
        <w:r w:rsidR="002C0E50">
          <w:rPr>
            <w:noProof/>
            <w:webHidden/>
          </w:rPr>
          <w:instrText xml:space="preserve"> PAGEREF _Toc82386244 \h </w:instrText>
        </w:r>
        <w:r w:rsidR="002C0E50">
          <w:rPr>
            <w:noProof/>
            <w:webHidden/>
          </w:rPr>
        </w:r>
        <w:r w:rsidR="002C0E50">
          <w:rPr>
            <w:noProof/>
            <w:webHidden/>
          </w:rPr>
          <w:fldChar w:fldCharType="separate"/>
        </w:r>
        <w:r w:rsidR="00A15698">
          <w:rPr>
            <w:noProof/>
            <w:webHidden/>
          </w:rPr>
          <w:t>248</w:t>
        </w:r>
        <w:r w:rsidR="002C0E50">
          <w:rPr>
            <w:noProof/>
            <w:webHidden/>
          </w:rPr>
          <w:fldChar w:fldCharType="end"/>
        </w:r>
      </w:hyperlink>
    </w:p>
    <w:p w14:paraId="3581A150" w14:textId="1B644417" w:rsidR="002C0E50" w:rsidRDefault="00E909AE">
      <w:pPr>
        <w:pStyle w:val="TOC7"/>
        <w:rPr>
          <w:rFonts w:asciiTheme="minorHAnsi" w:eastAsiaTheme="minorEastAsia" w:hAnsiTheme="minorHAnsi" w:cstheme="minorBidi"/>
          <w:noProof/>
          <w:szCs w:val="24"/>
        </w:rPr>
      </w:pPr>
      <w:hyperlink w:anchor="_Toc82386245" w:history="1">
        <w:r w:rsidR="002C0E50" w:rsidRPr="00BF31C7">
          <w:rPr>
            <w:rStyle w:val="Hyperlink"/>
            <w:noProof/>
          </w:rPr>
          <w:t>Table 6.10:</w:t>
        </w:r>
        <w:r w:rsidR="002C0E50">
          <w:rPr>
            <w:rFonts w:asciiTheme="minorHAnsi" w:eastAsiaTheme="minorEastAsia" w:hAnsiTheme="minorHAnsi" w:cstheme="minorBidi"/>
            <w:noProof/>
            <w:szCs w:val="24"/>
          </w:rPr>
          <w:tab/>
        </w:r>
        <w:r w:rsidR="002C0E50" w:rsidRPr="00BF31C7">
          <w:rPr>
            <w:rStyle w:val="Hyperlink"/>
            <w:noProof/>
          </w:rPr>
          <w:t>Percentage of Agricultural Households Reported Main Source of Energy for Cooking by Region During 2019/20 Agricultural Year, Tanzania</w:t>
        </w:r>
        <w:r w:rsidR="002C0E50">
          <w:rPr>
            <w:noProof/>
            <w:webHidden/>
          </w:rPr>
          <w:tab/>
        </w:r>
        <w:r w:rsidR="002C0E50">
          <w:rPr>
            <w:noProof/>
            <w:webHidden/>
          </w:rPr>
          <w:fldChar w:fldCharType="begin"/>
        </w:r>
        <w:r w:rsidR="002C0E50">
          <w:rPr>
            <w:noProof/>
            <w:webHidden/>
          </w:rPr>
          <w:instrText xml:space="preserve"> PAGEREF _Toc82386245 \h </w:instrText>
        </w:r>
        <w:r w:rsidR="002C0E50">
          <w:rPr>
            <w:noProof/>
            <w:webHidden/>
          </w:rPr>
        </w:r>
        <w:r w:rsidR="002C0E50">
          <w:rPr>
            <w:noProof/>
            <w:webHidden/>
          </w:rPr>
          <w:fldChar w:fldCharType="separate"/>
        </w:r>
        <w:r w:rsidR="00A15698">
          <w:rPr>
            <w:noProof/>
            <w:webHidden/>
          </w:rPr>
          <w:t>249</w:t>
        </w:r>
        <w:r w:rsidR="002C0E50">
          <w:rPr>
            <w:noProof/>
            <w:webHidden/>
          </w:rPr>
          <w:fldChar w:fldCharType="end"/>
        </w:r>
      </w:hyperlink>
    </w:p>
    <w:p w14:paraId="4916539A" w14:textId="1D1BC806" w:rsidR="002C0E50" w:rsidRDefault="00E909AE">
      <w:pPr>
        <w:pStyle w:val="TOC7"/>
        <w:rPr>
          <w:rFonts w:asciiTheme="minorHAnsi" w:eastAsiaTheme="minorEastAsia" w:hAnsiTheme="minorHAnsi" w:cstheme="minorBidi"/>
          <w:noProof/>
          <w:szCs w:val="24"/>
        </w:rPr>
      </w:pPr>
      <w:hyperlink w:anchor="_Toc82386246" w:history="1">
        <w:r w:rsidR="002C0E50" w:rsidRPr="00BF31C7">
          <w:rPr>
            <w:rStyle w:val="Hyperlink"/>
            <w:noProof/>
          </w:rPr>
          <w:t>Table 6.11:</w:t>
        </w:r>
        <w:r w:rsidR="002C0E50">
          <w:rPr>
            <w:rFonts w:asciiTheme="minorHAnsi" w:eastAsiaTheme="minorEastAsia" w:hAnsiTheme="minorHAnsi" w:cstheme="minorBidi"/>
            <w:noProof/>
            <w:szCs w:val="24"/>
          </w:rPr>
          <w:tab/>
        </w:r>
        <w:r w:rsidR="002C0E50" w:rsidRPr="00BF31C7">
          <w:rPr>
            <w:rStyle w:val="Hyperlink"/>
            <w:noProof/>
          </w:rPr>
          <w:t>Number and Percentage of Agricultural Households Reported Main Source of Energy for Cooking during 2019/20 Agricultural Year, Tanzania</w:t>
        </w:r>
        <w:r w:rsidR="002C0E50">
          <w:rPr>
            <w:noProof/>
            <w:webHidden/>
          </w:rPr>
          <w:tab/>
        </w:r>
        <w:r w:rsidR="002C0E50">
          <w:rPr>
            <w:noProof/>
            <w:webHidden/>
          </w:rPr>
          <w:fldChar w:fldCharType="begin"/>
        </w:r>
        <w:r w:rsidR="002C0E50">
          <w:rPr>
            <w:noProof/>
            <w:webHidden/>
          </w:rPr>
          <w:instrText xml:space="preserve"> PAGEREF _Toc82386246 \h </w:instrText>
        </w:r>
        <w:r w:rsidR="002C0E50">
          <w:rPr>
            <w:noProof/>
            <w:webHidden/>
          </w:rPr>
        </w:r>
        <w:r w:rsidR="002C0E50">
          <w:rPr>
            <w:noProof/>
            <w:webHidden/>
          </w:rPr>
          <w:fldChar w:fldCharType="separate"/>
        </w:r>
        <w:r w:rsidR="00A15698">
          <w:rPr>
            <w:noProof/>
            <w:webHidden/>
          </w:rPr>
          <w:t>250</w:t>
        </w:r>
        <w:r w:rsidR="002C0E50">
          <w:rPr>
            <w:noProof/>
            <w:webHidden/>
          </w:rPr>
          <w:fldChar w:fldCharType="end"/>
        </w:r>
      </w:hyperlink>
    </w:p>
    <w:p w14:paraId="7892171B" w14:textId="09B79689" w:rsidR="002C0E50" w:rsidRDefault="00E909AE">
      <w:pPr>
        <w:pStyle w:val="TOC7"/>
        <w:rPr>
          <w:rFonts w:asciiTheme="minorHAnsi" w:eastAsiaTheme="minorEastAsia" w:hAnsiTheme="minorHAnsi" w:cstheme="minorBidi"/>
          <w:noProof/>
          <w:szCs w:val="24"/>
        </w:rPr>
      </w:pPr>
      <w:hyperlink w:anchor="_Toc82386247" w:history="1">
        <w:r w:rsidR="002C0E50" w:rsidRPr="00BF31C7">
          <w:rPr>
            <w:rStyle w:val="Hyperlink"/>
            <w:noProof/>
          </w:rPr>
          <w:t>Table 6.12:</w:t>
        </w:r>
        <w:r w:rsidR="002C0E50">
          <w:rPr>
            <w:rFonts w:asciiTheme="minorHAnsi" w:eastAsiaTheme="minorEastAsia" w:hAnsiTheme="minorHAnsi" w:cstheme="minorBidi"/>
            <w:noProof/>
            <w:szCs w:val="24"/>
          </w:rPr>
          <w:tab/>
        </w:r>
        <w:r w:rsidR="002C0E50" w:rsidRPr="00BF31C7">
          <w:rPr>
            <w:rStyle w:val="Hyperlink"/>
            <w:noProof/>
          </w:rPr>
          <w:t>Percentage of Agricultural Households Reported Main Source of Energy for Lighting by Region During 2019/20 Agricultural Year, Tanzania</w:t>
        </w:r>
        <w:r w:rsidR="002C0E50">
          <w:rPr>
            <w:noProof/>
            <w:webHidden/>
          </w:rPr>
          <w:tab/>
        </w:r>
        <w:r w:rsidR="002C0E50">
          <w:rPr>
            <w:noProof/>
            <w:webHidden/>
          </w:rPr>
          <w:fldChar w:fldCharType="begin"/>
        </w:r>
        <w:r w:rsidR="002C0E50">
          <w:rPr>
            <w:noProof/>
            <w:webHidden/>
          </w:rPr>
          <w:instrText xml:space="preserve"> PAGEREF _Toc82386247 \h </w:instrText>
        </w:r>
        <w:r w:rsidR="002C0E50">
          <w:rPr>
            <w:noProof/>
            <w:webHidden/>
          </w:rPr>
        </w:r>
        <w:r w:rsidR="002C0E50">
          <w:rPr>
            <w:noProof/>
            <w:webHidden/>
          </w:rPr>
          <w:fldChar w:fldCharType="separate"/>
        </w:r>
        <w:r w:rsidR="00A15698">
          <w:rPr>
            <w:noProof/>
            <w:webHidden/>
          </w:rPr>
          <w:t>251</w:t>
        </w:r>
        <w:r w:rsidR="002C0E50">
          <w:rPr>
            <w:noProof/>
            <w:webHidden/>
          </w:rPr>
          <w:fldChar w:fldCharType="end"/>
        </w:r>
      </w:hyperlink>
    </w:p>
    <w:p w14:paraId="178D50AF" w14:textId="78074BFD" w:rsidR="002C0E50" w:rsidRDefault="00E909AE">
      <w:pPr>
        <w:pStyle w:val="TOC7"/>
        <w:rPr>
          <w:rFonts w:asciiTheme="minorHAnsi" w:eastAsiaTheme="minorEastAsia" w:hAnsiTheme="minorHAnsi" w:cstheme="minorBidi"/>
          <w:noProof/>
          <w:szCs w:val="24"/>
        </w:rPr>
      </w:pPr>
      <w:hyperlink w:anchor="_Toc82386248" w:history="1">
        <w:r w:rsidR="002C0E50" w:rsidRPr="00BF31C7">
          <w:rPr>
            <w:rStyle w:val="Hyperlink"/>
            <w:noProof/>
          </w:rPr>
          <w:t>Table 6.13:</w:t>
        </w:r>
        <w:r w:rsidR="002C0E50">
          <w:rPr>
            <w:rFonts w:asciiTheme="minorHAnsi" w:eastAsiaTheme="minorEastAsia" w:hAnsiTheme="minorHAnsi" w:cstheme="minorBidi"/>
            <w:noProof/>
            <w:szCs w:val="24"/>
          </w:rPr>
          <w:tab/>
        </w:r>
        <w:r w:rsidR="002C0E50" w:rsidRPr="00BF31C7">
          <w:rPr>
            <w:rStyle w:val="Hyperlink"/>
            <w:noProof/>
          </w:rPr>
          <w:t>Number and Percentage of Agricultural Households Reported Main Source of Drinking Water in Wet Season During 2019/20 Agricultural Year, Tanzania</w:t>
        </w:r>
        <w:r w:rsidR="002C0E50">
          <w:rPr>
            <w:noProof/>
            <w:webHidden/>
          </w:rPr>
          <w:tab/>
        </w:r>
        <w:r w:rsidR="002C0E50">
          <w:rPr>
            <w:noProof/>
            <w:webHidden/>
          </w:rPr>
          <w:fldChar w:fldCharType="begin"/>
        </w:r>
        <w:r w:rsidR="002C0E50">
          <w:rPr>
            <w:noProof/>
            <w:webHidden/>
          </w:rPr>
          <w:instrText xml:space="preserve"> PAGEREF _Toc82386248 \h </w:instrText>
        </w:r>
        <w:r w:rsidR="002C0E50">
          <w:rPr>
            <w:noProof/>
            <w:webHidden/>
          </w:rPr>
        </w:r>
        <w:r w:rsidR="002C0E50">
          <w:rPr>
            <w:noProof/>
            <w:webHidden/>
          </w:rPr>
          <w:fldChar w:fldCharType="separate"/>
        </w:r>
        <w:r w:rsidR="00A15698">
          <w:rPr>
            <w:noProof/>
            <w:webHidden/>
          </w:rPr>
          <w:t>252</w:t>
        </w:r>
        <w:r w:rsidR="002C0E50">
          <w:rPr>
            <w:noProof/>
            <w:webHidden/>
          </w:rPr>
          <w:fldChar w:fldCharType="end"/>
        </w:r>
      </w:hyperlink>
    </w:p>
    <w:p w14:paraId="235D1661" w14:textId="202B91DF" w:rsidR="002C0E50" w:rsidRDefault="00E909AE">
      <w:pPr>
        <w:pStyle w:val="TOC7"/>
        <w:rPr>
          <w:rFonts w:asciiTheme="minorHAnsi" w:eastAsiaTheme="minorEastAsia" w:hAnsiTheme="minorHAnsi" w:cstheme="minorBidi"/>
          <w:noProof/>
          <w:szCs w:val="24"/>
        </w:rPr>
      </w:pPr>
      <w:hyperlink w:anchor="_Toc82386249" w:history="1">
        <w:r w:rsidR="002C0E50" w:rsidRPr="00BF31C7">
          <w:rPr>
            <w:rStyle w:val="Hyperlink"/>
            <w:noProof/>
          </w:rPr>
          <w:t>Table 6.14:</w:t>
        </w:r>
        <w:r w:rsidR="002C0E50">
          <w:rPr>
            <w:rFonts w:asciiTheme="minorHAnsi" w:eastAsiaTheme="minorEastAsia" w:hAnsiTheme="minorHAnsi" w:cstheme="minorBidi"/>
            <w:noProof/>
            <w:szCs w:val="24"/>
          </w:rPr>
          <w:tab/>
        </w:r>
        <w:r w:rsidR="002C0E50" w:rsidRPr="00BF31C7">
          <w:rPr>
            <w:rStyle w:val="Hyperlink"/>
            <w:noProof/>
          </w:rPr>
          <w:t>Percentage Distribution of Agricultural Households Reported Main Source of Drinking Water in Wet Season by Region During 2019/20 Agricultural Year, Tanzania</w:t>
        </w:r>
        <w:r w:rsidR="002C0E50">
          <w:rPr>
            <w:noProof/>
            <w:webHidden/>
          </w:rPr>
          <w:tab/>
        </w:r>
        <w:r w:rsidR="002C0E50">
          <w:rPr>
            <w:noProof/>
            <w:webHidden/>
          </w:rPr>
          <w:fldChar w:fldCharType="begin"/>
        </w:r>
        <w:r w:rsidR="002C0E50">
          <w:rPr>
            <w:noProof/>
            <w:webHidden/>
          </w:rPr>
          <w:instrText xml:space="preserve"> PAGEREF _Toc82386249 \h </w:instrText>
        </w:r>
        <w:r w:rsidR="002C0E50">
          <w:rPr>
            <w:noProof/>
            <w:webHidden/>
          </w:rPr>
        </w:r>
        <w:r w:rsidR="002C0E50">
          <w:rPr>
            <w:noProof/>
            <w:webHidden/>
          </w:rPr>
          <w:fldChar w:fldCharType="separate"/>
        </w:r>
        <w:r w:rsidR="00A15698">
          <w:rPr>
            <w:noProof/>
            <w:webHidden/>
          </w:rPr>
          <w:t>254</w:t>
        </w:r>
        <w:r w:rsidR="002C0E50">
          <w:rPr>
            <w:noProof/>
            <w:webHidden/>
          </w:rPr>
          <w:fldChar w:fldCharType="end"/>
        </w:r>
      </w:hyperlink>
    </w:p>
    <w:p w14:paraId="453041AF" w14:textId="706AD700" w:rsidR="002C0E50" w:rsidRDefault="00E909AE">
      <w:pPr>
        <w:pStyle w:val="TOC7"/>
        <w:rPr>
          <w:rFonts w:asciiTheme="minorHAnsi" w:eastAsiaTheme="minorEastAsia" w:hAnsiTheme="minorHAnsi" w:cstheme="minorBidi"/>
          <w:noProof/>
          <w:szCs w:val="24"/>
        </w:rPr>
      </w:pPr>
      <w:hyperlink w:anchor="_Toc82386250" w:history="1">
        <w:r w:rsidR="002C0E50" w:rsidRPr="00BF31C7">
          <w:rPr>
            <w:rStyle w:val="Hyperlink"/>
            <w:noProof/>
          </w:rPr>
          <w:t>Table 6.15:</w:t>
        </w:r>
        <w:r w:rsidR="002C0E50">
          <w:rPr>
            <w:rFonts w:asciiTheme="minorHAnsi" w:eastAsiaTheme="minorEastAsia" w:hAnsiTheme="minorHAnsi" w:cstheme="minorBidi"/>
            <w:noProof/>
            <w:szCs w:val="24"/>
          </w:rPr>
          <w:tab/>
        </w:r>
        <w:r w:rsidR="002C0E50" w:rsidRPr="00BF31C7">
          <w:rPr>
            <w:rStyle w:val="Hyperlink"/>
            <w:noProof/>
          </w:rPr>
          <w:t>Number and Percentage of Agricultural Households Reported Main Source of Drinking Water in Dry Season During 2019/20 Agricultural Year, Tanzania</w:t>
        </w:r>
        <w:r w:rsidR="002C0E50">
          <w:rPr>
            <w:noProof/>
            <w:webHidden/>
          </w:rPr>
          <w:tab/>
        </w:r>
        <w:r w:rsidR="002C0E50">
          <w:rPr>
            <w:noProof/>
            <w:webHidden/>
          </w:rPr>
          <w:fldChar w:fldCharType="begin"/>
        </w:r>
        <w:r w:rsidR="002C0E50">
          <w:rPr>
            <w:noProof/>
            <w:webHidden/>
          </w:rPr>
          <w:instrText xml:space="preserve"> PAGEREF _Toc82386250 \h </w:instrText>
        </w:r>
        <w:r w:rsidR="002C0E50">
          <w:rPr>
            <w:noProof/>
            <w:webHidden/>
          </w:rPr>
        </w:r>
        <w:r w:rsidR="002C0E50">
          <w:rPr>
            <w:noProof/>
            <w:webHidden/>
          </w:rPr>
          <w:fldChar w:fldCharType="separate"/>
        </w:r>
        <w:r w:rsidR="00A15698">
          <w:rPr>
            <w:noProof/>
            <w:webHidden/>
          </w:rPr>
          <w:t>255</w:t>
        </w:r>
        <w:r w:rsidR="002C0E50">
          <w:rPr>
            <w:noProof/>
            <w:webHidden/>
          </w:rPr>
          <w:fldChar w:fldCharType="end"/>
        </w:r>
      </w:hyperlink>
    </w:p>
    <w:p w14:paraId="6754A41F" w14:textId="676BEE17" w:rsidR="002C0E50" w:rsidRDefault="00E909AE">
      <w:pPr>
        <w:pStyle w:val="TOC7"/>
        <w:rPr>
          <w:rFonts w:asciiTheme="minorHAnsi" w:eastAsiaTheme="minorEastAsia" w:hAnsiTheme="minorHAnsi" w:cstheme="minorBidi"/>
          <w:noProof/>
          <w:szCs w:val="24"/>
        </w:rPr>
      </w:pPr>
      <w:hyperlink w:anchor="_Toc82386251" w:history="1">
        <w:r w:rsidR="002C0E50" w:rsidRPr="00BF31C7">
          <w:rPr>
            <w:rStyle w:val="Hyperlink"/>
            <w:noProof/>
          </w:rPr>
          <w:t>Table 6.16:</w:t>
        </w:r>
        <w:r w:rsidR="002C0E50">
          <w:rPr>
            <w:rFonts w:asciiTheme="minorHAnsi" w:eastAsiaTheme="minorEastAsia" w:hAnsiTheme="minorHAnsi" w:cstheme="minorBidi"/>
            <w:noProof/>
            <w:szCs w:val="24"/>
          </w:rPr>
          <w:tab/>
        </w:r>
        <w:r w:rsidR="002C0E50" w:rsidRPr="00BF31C7">
          <w:rPr>
            <w:rStyle w:val="Hyperlink"/>
            <w:noProof/>
          </w:rPr>
          <w:t>Percentage Distribution of Agricultural Households Reported Main Source of Drinking Water in Dry Season by Region During 2019/20 Agricultural Year, Tanzania</w:t>
        </w:r>
        <w:r w:rsidR="002C0E50">
          <w:rPr>
            <w:noProof/>
            <w:webHidden/>
          </w:rPr>
          <w:tab/>
        </w:r>
        <w:r w:rsidR="002C0E50">
          <w:rPr>
            <w:noProof/>
            <w:webHidden/>
          </w:rPr>
          <w:fldChar w:fldCharType="begin"/>
        </w:r>
        <w:r w:rsidR="002C0E50">
          <w:rPr>
            <w:noProof/>
            <w:webHidden/>
          </w:rPr>
          <w:instrText xml:space="preserve"> PAGEREF _Toc82386251 \h </w:instrText>
        </w:r>
        <w:r w:rsidR="002C0E50">
          <w:rPr>
            <w:noProof/>
            <w:webHidden/>
          </w:rPr>
        </w:r>
        <w:r w:rsidR="002C0E50">
          <w:rPr>
            <w:noProof/>
            <w:webHidden/>
          </w:rPr>
          <w:fldChar w:fldCharType="separate"/>
        </w:r>
        <w:r w:rsidR="00A15698">
          <w:rPr>
            <w:noProof/>
            <w:webHidden/>
          </w:rPr>
          <w:t>257</w:t>
        </w:r>
        <w:r w:rsidR="002C0E50">
          <w:rPr>
            <w:noProof/>
            <w:webHidden/>
          </w:rPr>
          <w:fldChar w:fldCharType="end"/>
        </w:r>
      </w:hyperlink>
    </w:p>
    <w:p w14:paraId="35293964" w14:textId="5395BD7A" w:rsidR="002C0E50" w:rsidRDefault="00E909AE">
      <w:pPr>
        <w:pStyle w:val="TOC7"/>
        <w:rPr>
          <w:rFonts w:asciiTheme="minorHAnsi" w:eastAsiaTheme="minorEastAsia" w:hAnsiTheme="minorHAnsi" w:cstheme="minorBidi"/>
          <w:noProof/>
          <w:szCs w:val="24"/>
        </w:rPr>
      </w:pPr>
      <w:hyperlink w:anchor="_Toc82386252" w:history="1">
        <w:r w:rsidR="002C0E50" w:rsidRPr="00BF31C7">
          <w:rPr>
            <w:rStyle w:val="Hyperlink"/>
            <w:noProof/>
          </w:rPr>
          <w:t>Table 6.17:</w:t>
        </w:r>
        <w:r w:rsidR="002C0E50">
          <w:rPr>
            <w:rFonts w:asciiTheme="minorHAnsi" w:eastAsiaTheme="minorEastAsia" w:hAnsiTheme="minorHAnsi" w:cstheme="minorBidi"/>
            <w:noProof/>
            <w:szCs w:val="24"/>
          </w:rPr>
          <w:tab/>
        </w:r>
        <w:r w:rsidR="002C0E50" w:rsidRPr="00BF31C7">
          <w:rPr>
            <w:rStyle w:val="Hyperlink"/>
            <w:noProof/>
          </w:rPr>
          <w:t>Number and Percentage of Agricultural Households Reported Distance to Source of Drinking Water in Wet Season by Region during 2019/20 Agricultural Year</w:t>
        </w:r>
        <w:r w:rsidR="002C0E50">
          <w:rPr>
            <w:noProof/>
            <w:webHidden/>
          </w:rPr>
          <w:tab/>
        </w:r>
        <w:r w:rsidR="002C0E50">
          <w:rPr>
            <w:noProof/>
            <w:webHidden/>
          </w:rPr>
          <w:fldChar w:fldCharType="begin"/>
        </w:r>
        <w:r w:rsidR="002C0E50">
          <w:rPr>
            <w:noProof/>
            <w:webHidden/>
          </w:rPr>
          <w:instrText xml:space="preserve"> PAGEREF _Toc82386252 \h </w:instrText>
        </w:r>
        <w:r w:rsidR="002C0E50">
          <w:rPr>
            <w:noProof/>
            <w:webHidden/>
          </w:rPr>
        </w:r>
        <w:r w:rsidR="002C0E50">
          <w:rPr>
            <w:noProof/>
            <w:webHidden/>
          </w:rPr>
          <w:fldChar w:fldCharType="separate"/>
        </w:r>
        <w:r w:rsidR="00A15698">
          <w:rPr>
            <w:noProof/>
            <w:webHidden/>
          </w:rPr>
          <w:t>258</w:t>
        </w:r>
        <w:r w:rsidR="002C0E50">
          <w:rPr>
            <w:noProof/>
            <w:webHidden/>
          </w:rPr>
          <w:fldChar w:fldCharType="end"/>
        </w:r>
      </w:hyperlink>
    </w:p>
    <w:p w14:paraId="098B7C09" w14:textId="455A8C20" w:rsidR="002C0E50" w:rsidRDefault="00E909AE">
      <w:pPr>
        <w:pStyle w:val="TOC7"/>
        <w:rPr>
          <w:rFonts w:asciiTheme="minorHAnsi" w:eastAsiaTheme="minorEastAsia" w:hAnsiTheme="minorHAnsi" w:cstheme="minorBidi"/>
          <w:noProof/>
          <w:szCs w:val="24"/>
        </w:rPr>
      </w:pPr>
      <w:hyperlink w:anchor="_Toc82386253" w:history="1">
        <w:r w:rsidR="002C0E50" w:rsidRPr="00BF31C7">
          <w:rPr>
            <w:rStyle w:val="Hyperlink"/>
            <w:noProof/>
          </w:rPr>
          <w:t>Table 6.18:</w:t>
        </w:r>
        <w:r w:rsidR="002C0E50">
          <w:rPr>
            <w:rFonts w:asciiTheme="minorHAnsi" w:eastAsiaTheme="minorEastAsia" w:hAnsiTheme="minorHAnsi" w:cstheme="minorBidi"/>
            <w:noProof/>
            <w:szCs w:val="24"/>
          </w:rPr>
          <w:tab/>
        </w:r>
        <w:r w:rsidR="002C0E50" w:rsidRPr="00BF31C7">
          <w:rPr>
            <w:rStyle w:val="Hyperlink"/>
            <w:noProof/>
          </w:rPr>
          <w:t>Number and Percentage of Agricultural Households Reported Distance to Source of Drinking Water in Dry Season by Region during 2019/20 Agricultural Year, Tanzania</w:t>
        </w:r>
        <w:r w:rsidR="002C0E50">
          <w:rPr>
            <w:noProof/>
            <w:webHidden/>
          </w:rPr>
          <w:tab/>
        </w:r>
        <w:r w:rsidR="002C0E50">
          <w:rPr>
            <w:noProof/>
            <w:webHidden/>
          </w:rPr>
          <w:fldChar w:fldCharType="begin"/>
        </w:r>
        <w:r w:rsidR="002C0E50">
          <w:rPr>
            <w:noProof/>
            <w:webHidden/>
          </w:rPr>
          <w:instrText xml:space="preserve"> PAGEREF _Toc82386253 \h </w:instrText>
        </w:r>
        <w:r w:rsidR="002C0E50">
          <w:rPr>
            <w:noProof/>
            <w:webHidden/>
          </w:rPr>
        </w:r>
        <w:r w:rsidR="002C0E50">
          <w:rPr>
            <w:noProof/>
            <w:webHidden/>
          </w:rPr>
          <w:fldChar w:fldCharType="separate"/>
        </w:r>
        <w:r w:rsidR="00A15698">
          <w:rPr>
            <w:noProof/>
            <w:webHidden/>
          </w:rPr>
          <w:t>258</w:t>
        </w:r>
        <w:r w:rsidR="002C0E50">
          <w:rPr>
            <w:noProof/>
            <w:webHidden/>
          </w:rPr>
          <w:fldChar w:fldCharType="end"/>
        </w:r>
      </w:hyperlink>
    </w:p>
    <w:p w14:paraId="47221C6B" w14:textId="51511A34" w:rsidR="002C0E50" w:rsidRDefault="00E909AE">
      <w:pPr>
        <w:pStyle w:val="TOC7"/>
        <w:rPr>
          <w:rFonts w:asciiTheme="minorHAnsi" w:eastAsiaTheme="minorEastAsia" w:hAnsiTheme="minorHAnsi" w:cstheme="minorBidi"/>
          <w:noProof/>
          <w:szCs w:val="24"/>
        </w:rPr>
      </w:pPr>
      <w:hyperlink w:anchor="_Toc82386254" w:history="1">
        <w:r w:rsidR="002C0E50" w:rsidRPr="00BF31C7">
          <w:rPr>
            <w:rStyle w:val="Hyperlink"/>
            <w:noProof/>
          </w:rPr>
          <w:t>Table 6.19:</w:t>
        </w:r>
        <w:r w:rsidR="002C0E50">
          <w:rPr>
            <w:rFonts w:asciiTheme="minorHAnsi" w:eastAsiaTheme="minorEastAsia" w:hAnsiTheme="minorHAnsi" w:cstheme="minorBidi"/>
            <w:noProof/>
            <w:szCs w:val="24"/>
          </w:rPr>
          <w:tab/>
        </w:r>
        <w:r w:rsidR="002C0E50" w:rsidRPr="00BF31C7">
          <w:rPr>
            <w:rStyle w:val="Hyperlink"/>
            <w:noProof/>
          </w:rPr>
          <w:t>Number and Percentage of Agricultural Households Reported Time Spent to and from Source of Drinking Water in Wet Season during 2018/19 Agricultural Year, Tanzania</w:t>
        </w:r>
        <w:r w:rsidR="002C0E50">
          <w:rPr>
            <w:noProof/>
            <w:webHidden/>
          </w:rPr>
          <w:tab/>
        </w:r>
        <w:r w:rsidR="002C0E50">
          <w:rPr>
            <w:noProof/>
            <w:webHidden/>
          </w:rPr>
          <w:fldChar w:fldCharType="begin"/>
        </w:r>
        <w:r w:rsidR="002C0E50">
          <w:rPr>
            <w:noProof/>
            <w:webHidden/>
          </w:rPr>
          <w:instrText xml:space="preserve"> PAGEREF _Toc82386254 \h </w:instrText>
        </w:r>
        <w:r w:rsidR="002C0E50">
          <w:rPr>
            <w:noProof/>
            <w:webHidden/>
          </w:rPr>
        </w:r>
        <w:r w:rsidR="002C0E50">
          <w:rPr>
            <w:noProof/>
            <w:webHidden/>
          </w:rPr>
          <w:fldChar w:fldCharType="separate"/>
        </w:r>
        <w:r w:rsidR="00A15698">
          <w:rPr>
            <w:noProof/>
            <w:webHidden/>
          </w:rPr>
          <w:t>259</w:t>
        </w:r>
        <w:r w:rsidR="002C0E50">
          <w:rPr>
            <w:noProof/>
            <w:webHidden/>
          </w:rPr>
          <w:fldChar w:fldCharType="end"/>
        </w:r>
      </w:hyperlink>
    </w:p>
    <w:p w14:paraId="02A902BA" w14:textId="207B3A22" w:rsidR="002C0E50" w:rsidRDefault="00E909AE">
      <w:pPr>
        <w:pStyle w:val="TOC7"/>
        <w:rPr>
          <w:rFonts w:asciiTheme="minorHAnsi" w:eastAsiaTheme="minorEastAsia" w:hAnsiTheme="minorHAnsi" w:cstheme="minorBidi"/>
          <w:noProof/>
          <w:szCs w:val="24"/>
        </w:rPr>
      </w:pPr>
      <w:hyperlink w:anchor="_Toc82386255" w:history="1">
        <w:r w:rsidR="002C0E50" w:rsidRPr="00BF31C7">
          <w:rPr>
            <w:rStyle w:val="Hyperlink"/>
            <w:noProof/>
          </w:rPr>
          <w:t>Table 6.20:</w:t>
        </w:r>
        <w:r w:rsidR="002C0E50">
          <w:rPr>
            <w:rFonts w:asciiTheme="minorHAnsi" w:eastAsiaTheme="minorEastAsia" w:hAnsiTheme="minorHAnsi" w:cstheme="minorBidi"/>
            <w:noProof/>
            <w:szCs w:val="24"/>
          </w:rPr>
          <w:tab/>
        </w:r>
        <w:r w:rsidR="002C0E50" w:rsidRPr="00BF31C7">
          <w:rPr>
            <w:rStyle w:val="Hyperlink"/>
            <w:noProof/>
          </w:rPr>
          <w:t>Number and Percentage of Agricultural Households Reported Time Spent to and from Source of Drinking Water in Dry Season during 2018/19 Agricultural Year, Tanzania</w:t>
        </w:r>
        <w:r w:rsidR="002C0E50">
          <w:rPr>
            <w:noProof/>
            <w:webHidden/>
          </w:rPr>
          <w:tab/>
        </w:r>
        <w:r w:rsidR="002C0E50">
          <w:rPr>
            <w:noProof/>
            <w:webHidden/>
          </w:rPr>
          <w:fldChar w:fldCharType="begin"/>
        </w:r>
        <w:r w:rsidR="002C0E50">
          <w:rPr>
            <w:noProof/>
            <w:webHidden/>
          </w:rPr>
          <w:instrText xml:space="preserve"> PAGEREF _Toc82386255 \h </w:instrText>
        </w:r>
        <w:r w:rsidR="002C0E50">
          <w:rPr>
            <w:noProof/>
            <w:webHidden/>
          </w:rPr>
        </w:r>
        <w:r w:rsidR="002C0E50">
          <w:rPr>
            <w:noProof/>
            <w:webHidden/>
          </w:rPr>
          <w:fldChar w:fldCharType="separate"/>
        </w:r>
        <w:r w:rsidR="00A15698">
          <w:rPr>
            <w:noProof/>
            <w:webHidden/>
          </w:rPr>
          <w:t>260</w:t>
        </w:r>
        <w:r w:rsidR="002C0E50">
          <w:rPr>
            <w:noProof/>
            <w:webHidden/>
          </w:rPr>
          <w:fldChar w:fldCharType="end"/>
        </w:r>
      </w:hyperlink>
    </w:p>
    <w:p w14:paraId="28DA427C" w14:textId="59A4CE28" w:rsidR="002C0E50" w:rsidRDefault="00E909AE">
      <w:pPr>
        <w:pStyle w:val="TOC7"/>
        <w:rPr>
          <w:rFonts w:asciiTheme="minorHAnsi" w:eastAsiaTheme="minorEastAsia" w:hAnsiTheme="minorHAnsi" w:cstheme="minorBidi"/>
          <w:noProof/>
          <w:szCs w:val="24"/>
        </w:rPr>
      </w:pPr>
      <w:hyperlink w:anchor="_Toc82386256" w:history="1">
        <w:r w:rsidR="002C0E50" w:rsidRPr="00BF31C7">
          <w:rPr>
            <w:rStyle w:val="Hyperlink"/>
            <w:noProof/>
          </w:rPr>
          <w:t>Table 6.21:</w:t>
        </w:r>
        <w:r w:rsidR="002C0E50">
          <w:rPr>
            <w:rFonts w:asciiTheme="minorHAnsi" w:eastAsiaTheme="minorEastAsia" w:hAnsiTheme="minorHAnsi" w:cstheme="minorBidi"/>
            <w:noProof/>
            <w:szCs w:val="24"/>
          </w:rPr>
          <w:tab/>
        </w:r>
        <w:r w:rsidR="002C0E50" w:rsidRPr="00BF31C7">
          <w:rPr>
            <w:rStyle w:val="Hyperlink"/>
            <w:noProof/>
          </w:rPr>
          <w:t>Percentage of Agricultural Households Reported Ownership of Assets During 2019/20 Agricultural Year, Tanzania</w:t>
        </w:r>
        <w:r w:rsidR="002C0E50">
          <w:rPr>
            <w:noProof/>
            <w:webHidden/>
          </w:rPr>
          <w:tab/>
        </w:r>
        <w:r w:rsidR="002C0E50">
          <w:rPr>
            <w:noProof/>
            <w:webHidden/>
          </w:rPr>
          <w:fldChar w:fldCharType="begin"/>
        </w:r>
        <w:r w:rsidR="002C0E50">
          <w:rPr>
            <w:noProof/>
            <w:webHidden/>
          </w:rPr>
          <w:instrText xml:space="preserve"> PAGEREF _Toc82386256 \h </w:instrText>
        </w:r>
        <w:r w:rsidR="002C0E50">
          <w:rPr>
            <w:noProof/>
            <w:webHidden/>
          </w:rPr>
        </w:r>
        <w:r w:rsidR="002C0E50">
          <w:rPr>
            <w:noProof/>
            <w:webHidden/>
          </w:rPr>
          <w:fldChar w:fldCharType="separate"/>
        </w:r>
        <w:r w:rsidR="00A15698">
          <w:rPr>
            <w:noProof/>
            <w:webHidden/>
          </w:rPr>
          <w:t>261</w:t>
        </w:r>
        <w:r w:rsidR="002C0E50">
          <w:rPr>
            <w:noProof/>
            <w:webHidden/>
          </w:rPr>
          <w:fldChar w:fldCharType="end"/>
        </w:r>
      </w:hyperlink>
    </w:p>
    <w:p w14:paraId="58354944" w14:textId="7C9C2E66" w:rsidR="002C0E50" w:rsidRDefault="00E909AE">
      <w:pPr>
        <w:pStyle w:val="TOC7"/>
        <w:rPr>
          <w:rFonts w:asciiTheme="minorHAnsi" w:eastAsiaTheme="minorEastAsia" w:hAnsiTheme="minorHAnsi" w:cstheme="minorBidi"/>
          <w:noProof/>
          <w:szCs w:val="24"/>
        </w:rPr>
      </w:pPr>
      <w:hyperlink w:anchor="_Toc82386257" w:history="1">
        <w:r w:rsidR="002C0E50" w:rsidRPr="00BF31C7">
          <w:rPr>
            <w:rStyle w:val="Hyperlink"/>
            <w:noProof/>
          </w:rPr>
          <w:t>Table 6.22:</w:t>
        </w:r>
        <w:r w:rsidR="002C0E50">
          <w:rPr>
            <w:rFonts w:asciiTheme="minorHAnsi" w:eastAsiaTheme="minorEastAsia" w:hAnsiTheme="minorHAnsi" w:cstheme="minorBidi"/>
            <w:noProof/>
            <w:szCs w:val="24"/>
          </w:rPr>
          <w:tab/>
        </w:r>
        <w:r w:rsidR="002C0E50" w:rsidRPr="00BF31C7">
          <w:rPr>
            <w:rStyle w:val="Hyperlink"/>
            <w:noProof/>
          </w:rPr>
          <w:t>Number and Percentage of Households Reported to Consume Meat in Last 7 days in 2007/08 and 2019/20 Agriculture Censuses, Tanzania</w:t>
        </w:r>
        <w:r w:rsidR="002C0E50">
          <w:rPr>
            <w:noProof/>
            <w:webHidden/>
          </w:rPr>
          <w:tab/>
        </w:r>
        <w:r w:rsidR="002C0E50">
          <w:rPr>
            <w:noProof/>
            <w:webHidden/>
          </w:rPr>
          <w:fldChar w:fldCharType="begin"/>
        </w:r>
        <w:r w:rsidR="002C0E50">
          <w:rPr>
            <w:noProof/>
            <w:webHidden/>
          </w:rPr>
          <w:instrText xml:space="preserve"> PAGEREF _Toc82386257 \h </w:instrText>
        </w:r>
        <w:r w:rsidR="002C0E50">
          <w:rPr>
            <w:noProof/>
            <w:webHidden/>
          </w:rPr>
        </w:r>
        <w:r w:rsidR="002C0E50">
          <w:rPr>
            <w:noProof/>
            <w:webHidden/>
          </w:rPr>
          <w:fldChar w:fldCharType="separate"/>
        </w:r>
        <w:r w:rsidR="00A15698">
          <w:rPr>
            <w:noProof/>
            <w:webHidden/>
          </w:rPr>
          <w:t>263</w:t>
        </w:r>
        <w:r w:rsidR="002C0E50">
          <w:rPr>
            <w:noProof/>
            <w:webHidden/>
          </w:rPr>
          <w:fldChar w:fldCharType="end"/>
        </w:r>
      </w:hyperlink>
    </w:p>
    <w:p w14:paraId="0F48ABB8" w14:textId="1AC41B97" w:rsidR="002C0E50" w:rsidRDefault="00E909AE">
      <w:pPr>
        <w:pStyle w:val="TOC7"/>
        <w:rPr>
          <w:rFonts w:asciiTheme="minorHAnsi" w:eastAsiaTheme="minorEastAsia" w:hAnsiTheme="minorHAnsi" w:cstheme="minorBidi"/>
          <w:noProof/>
          <w:szCs w:val="24"/>
        </w:rPr>
      </w:pPr>
      <w:hyperlink w:anchor="_Toc82386258" w:history="1">
        <w:r w:rsidR="002C0E50" w:rsidRPr="00BF31C7">
          <w:rPr>
            <w:rStyle w:val="Hyperlink"/>
            <w:noProof/>
          </w:rPr>
          <w:t>Table 6.23:</w:t>
        </w:r>
        <w:r w:rsidR="002C0E50">
          <w:rPr>
            <w:rFonts w:asciiTheme="minorHAnsi" w:eastAsiaTheme="minorEastAsia" w:hAnsiTheme="minorHAnsi" w:cstheme="minorBidi"/>
            <w:noProof/>
            <w:szCs w:val="24"/>
          </w:rPr>
          <w:tab/>
        </w:r>
        <w:r w:rsidR="002C0E50" w:rsidRPr="00BF31C7">
          <w:rPr>
            <w:rStyle w:val="Hyperlink"/>
            <w:noProof/>
          </w:rPr>
          <w:t>Number and Percentage of Households Reported Status of Food Satisfaction in the Last Twelve Months During 2007/08 and 2019/20 Agricultural Year, Tanzania</w:t>
        </w:r>
        <w:r w:rsidR="002C0E50">
          <w:rPr>
            <w:noProof/>
            <w:webHidden/>
          </w:rPr>
          <w:tab/>
        </w:r>
        <w:r w:rsidR="002C0E50">
          <w:rPr>
            <w:noProof/>
            <w:webHidden/>
          </w:rPr>
          <w:fldChar w:fldCharType="begin"/>
        </w:r>
        <w:r w:rsidR="002C0E50">
          <w:rPr>
            <w:noProof/>
            <w:webHidden/>
          </w:rPr>
          <w:instrText xml:space="preserve"> PAGEREF _Toc82386258 \h </w:instrText>
        </w:r>
        <w:r w:rsidR="002C0E50">
          <w:rPr>
            <w:noProof/>
            <w:webHidden/>
          </w:rPr>
        </w:r>
        <w:r w:rsidR="002C0E50">
          <w:rPr>
            <w:noProof/>
            <w:webHidden/>
          </w:rPr>
          <w:fldChar w:fldCharType="separate"/>
        </w:r>
        <w:r w:rsidR="00A15698">
          <w:rPr>
            <w:noProof/>
            <w:webHidden/>
          </w:rPr>
          <w:t>266</w:t>
        </w:r>
        <w:r w:rsidR="002C0E50">
          <w:rPr>
            <w:noProof/>
            <w:webHidden/>
          </w:rPr>
          <w:fldChar w:fldCharType="end"/>
        </w:r>
      </w:hyperlink>
    </w:p>
    <w:p w14:paraId="71F0688A" w14:textId="27BC5521" w:rsidR="002C0E50" w:rsidRDefault="00E909AE">
      <w:pPr>
        <w:pStyle w:val="TOC7"/>
        <w:rPr>
          <w:rFonts w:asciiTheme="minorHAnsi" w:eastAsiaTheme="minorEastAsia" w:hAnsiTheme="minorHAnsi" w:cstheme="minorBidi"/>
          <w:noProof/>
          <w:szCs w:val="24"/>
        </w:rPr>
      </w:pPr>
      <w:hyperlink w:anchor="_Toc82386259" w:history="1">
        <w:r w:rsidR="002C0E50" w:rsidRPr="00BF31C7">
          <w:rPr>
            <w:rStyle w:val="Hyperlink"/>
            <w:noProof/>
          </w:rPr>
          <w:t>Table 6.24:</w:t>
        </w:r>
        <w:r w:rsidR="002C0E50">
          <w:rPr>
            <w:rFonts w:asciiTheme="minorHAnsi" w:eastAsiaTheme="minorEastAsia" w:hAnsiTheme="minorHAnsi" w:cstheme="minorBidi"/>
            <w:noProof/>
            <w:szCs w:val="24"/>
          </w:rPr>
          <w:tab/>
        </w:r>
        <w:r w:rsidR="002C0E50" w:rsidRPr="00BF31C7">
          <w:rPr>
            <w:rStyle w:val="Hyperlink"/>
            <w:noProof/>
          </w:rPr>
          <w:t>Percentage of Agricultural Households Reported Main Source of Household Income During 2007/08 and 2019/20 Agriculture Censuses, Tanzania</w:t>
        </w:r>
        <w:r w:rsidR="002C0E50">
          <w:rPr>
            <w:noProof/>
            <w:webHidden/>
          </w:rPr>
          <w:tab/>
        </w:r>
        <w:r w:rsidR="002C0E50">
          <w:rPr>
            <w:noProof/>
            <w:webHidden/>
          </w:rPr>
          <w:fldChar w:fldCharType="begin"/>
        </w:r>
        <w:r w:rsidR="002C0E50">
          <w:rPr>
            <w:noProof/>
            <w:webHidden/>
          </w:rPr>
          <w:instrText xml:space="preserve"> PAGEREF _Toc82386259 \h </w:instrText>
        </w:r>
        <w:r w:rsidR="002C0E50">
          <w:rPr>
            <w:noProof/>
            <w:webHidden/>
          </w:rPr>
        </w:r>
        <w:r w:rsidR="002C0E50">
          <w:rPr>
            <w:noProof/>
            <w:webHidden/>
          </w:rPr>
          <w:fldChar w:fldCharType="separate"/>
        </w:r>
        <w:r w:rsidR="00A15698">
          <w:rPr>
            <w:noProof/>
            <w:webHidden/>
          </w:rPr>
          <w:t>268</w:t>
        </w:r>
        <w:r w:rsidR="002C0E50">
          <w:rPr>
            <w:noProof/>
            <w:webHidden/>
          </w:rPr>
          <w:fldChar w:fldCharType="end"/>
        </w:r>
      </w:hyperlink>
    </w:p>
    <w:p w14:paraId="47A98AC5" w14:textId="179551F8" w:rsidR="00D047C8" w:rsidRDefault="00227F04" w:rsidP="00606398">
      <w:pPr>
        <w:tabs>
          <w:tab w:val="right" w:leader="dot" w:pos="9072"/>
        </w:tabs>
        <w:rPr>
          <w:b/>
          <w:sz w:val="22"/>
          <w:szCs w:val="22"/>
        </w:rPr>
      </w:pPr>
      <w:r>
        <w:rPr>
          <w:b/>
          <w:sz w:val="22"/>
          <w:szCs w:val="22"/>
        </w:rPr>
        <w:fldChar w:fldCharType="end"/>
      </w:r>
    </w:p>
    <w:p w14:paraId="54E638DB" w14:textId="447D5578" w:rsidR="005F0EE7" w:rsidRDefault="005F0EE7" w:rsidP="005C2EFC">
      <w:pPr>
        <w:rPr>
          <w:b/>
          <w:sz w:val="22"/>
          <w:szCs w:val="22"/>
        </w:rPr>
      </w:pPr>
    </w:p>
    <w:p w14:paraId="1744C126" w14:textId="43B29F81" w:rsidR="00043C2A" w:rsidRDefault="00043C2A" w:rsidP="005C2EFC">
      <w:pPr>
        <w:rPr>
          <w:b/>
          <w:sz w:val="22"/>
          <w:szCs w:val="22"/>
        </w:rPr>
      </w:pPr>
    </w:p>
    <w:p w14:paraId="369DE364" w14:textId="6320FD83" w:rsidR="00043C2A" w:rsidRDefault="00043C2A" w:rsidP="005C2EFC">
      <w:pPr>
        <w:rPr>
          <w:b/>
          <w:sz w:val="22"/>
          <w:szCs w:val="22"/>
        </w:rPr>
      </w:pPr>
    </w:p>
    <w:p w14:paraId="03AA8554" w14:textId="3BFC72C5" w:rsidR="00043C2A" w:rsidRDefault="00043C2A" w:rsidP="005C2EFC">
      <w:pPr>
        <w:rPr>
          <w:b/>
          <w:sz w:val="22"/>
          <w:szCs w:val="22"/>
        </w:rPr>
      </w:pPr>
    </w:p>
    <w:p w14:paraId="5ECBBACB" w14:textId="6EB8D387" w:rsidR="00043C2A" w:rsidRDefault="00043C2A" w:rsidP="005C2EFC">
      <w:pPr>
        <w:rPr>
          <w:b/>
          <w:sz w:val="22"/>
          <w:szCs w:val="22"/>
        </w:rPr>
      </w:pPr>
    </w:p>
    <w:p w14:paraId="4397D548" w14:textId="61172540" w:rsidR="00043C2A" w:rsidRDefault="00043C2A" w:rsidP="005C2EFC">
      <w:pPr>
        <w:rPr>
          <w:b/>
          <w:sz w:val="22"/>
          <w:szCs w:val="22"/>
        </w:rPr>
      </w:pPr>
    </w:p>
    <w:p w14:paraId="4FFCFB7D" w14:textId="0291A175" w:rsidR="00043C2A" w:rsidRDefault="00043C2A" w:rsidP="005C2EFC">
      <w:pPr>
        <w:rPr>
          <w:b/>
          <w:sz w:val="22"/>
          <w:szCs w:val="22"/>
        </w:rPr>
      </w:pPr>
    </w:p>
    <w:p w14:paraId="27EBAABF" w14:textId="1CA70F67" w:rsidR="00043C2A" w:rsidRDefault="00043C2A" w:rsidP="005C2EFC">
      <w:pPr>
        <w:rPr>
          <w:b/>
          <w:sz w:val="22"/>
          <w:szCs w:val="22"/>
        </w:rPr>
      </w:pPr>
    </w:p>
    <w:p w14:paraId="5006B1B1" w14:textId="3C61DC4C" w:rsidR="00043C2A" w:rsidRDefault="00043C2A" w:rsidP="005C2EFC">
      <w:pPr>
        <w:rPr>
          <w:b/>
          <w:sz w:val="22"/>
          <w:szCs w:val="22"/>
        </w:rPr>
      </w:pPr>
    </w:p>
    <w:p w14:paraId="114D34EA" w14:textId="3086A51A" w:rsidR="00043C2A" w:rsidRDefault="00043C2A" w:rsidP="005C2EFC">
      <w:pPr>
        <w:rPr>
          <w:b/>
          <w:sz w:val="22"/>
          <w:szCs w:val="22"/>
        </w:rPr>
      </w:pPr>
    </w:p>
    <w:p w14:paraId="3878A5F2" w14:textId="1A0AB380" w:rsidR="00043C2A" w:rsidRDefault="00043C2A" w:rsidP="005C2EFC">
      <w:pPr>
        <w:rPr>
          <w:b/>
          <w:sz w:val="22"/>
          <w:szCs w:val="22"/>
        </w:rPr>
      </w:pPr>
    </w:p>
    <w:p w14:paraId="2794FA10" w14:textId="77777777" w:rsidR="00043C2A" w:rsidRDefault="00043C2A" w:rsidP="005C2EFC">
      <w:pPr>
        <w:rPr>
          <w:b/>
          <w:sz w:val="22"/>
          <w:szCs w:val="22"/>
        </w:rPr>
      </w:pPr>
    </w:p>
    <w:p w14:paraId="112874CA" w14:textId="77777777" w:rsidR="00606398" w:rsidRDefault="00606398" w:rsidP="005C2EFC">
      <w:pPr>
        <w:rPr>
          <w:b/>
          <w:sz w:val="22"/>
          <w:szCs w:val="22"/>
        </w:rPr>
      </w:pPr>
    </w:p>
    <w:p w14:paraId="58151750" w14:textId="77777777" w:rsidR="00606398" w:rsidRDefault="00606398" w:rsidP="005C2EFC">
      <w:pPr>
        <w:rPr>
          <w:b/>
          <w:sz w:val="22"/>
          <w:szCs w:val="22"/>
        </w:rPr>
      </w:pPr>
    </w:p>
    <w:p w14:paraId="3C2C3F2A" w14:textId="77777777" w:rsidR="00606398" w:rsidRDefault="00606398" w:rsidP="005C2EFC">
      <w:pPr>
        <w:rPr>
          <w:b/>
          <w:sz w:val="22"/>
          <w:szCs w:val="22"/>
        </w:rPr>
      </w:pPr>
    </w:p>
    <w:p w14:paraId="088005B4" w14:textId="77777777" w:rsidR="00606398" w:rsidRDefault="00606398" w:rsidP="005C2EFC">
      <w:pPr>
        <w:rPr>
          <w:b/>
          <w:sz w:val="22"/>
          <w:szCs w:val="22"/>
        </w:rPr>
      </w:pPr>
    </w:p>
    <w:p w14:paraId="32677CE5" w14:textId="77777777" w:rsidR="00606398" w:rsidRDefault="00606398" w:rsidP="005C2EFC">
      <w:pPr>
        <w:rPr>
          <w:b/>
          <w:sz w:val="22"/>
          <w:szCs w:val="22"/>
        </w:rPr>
      </w:pPr>
    </w:p>
    <w:p w14:paraId="472F2100" w14:textId="77777777" w:rsidR="00606398" w:rsidRDefault="00606398" w:rsidP="005C2EFC">
      <w:pPr>
        <w:rPr>
          <w:b/>
          <w:sz w:val="22"/>
          <w:szCs w:val="22"/>
        </w:rPr>
      </w:pPr>
    </w:p>
    <w:p w14:paraId="7611E599" w14:textId="77777777" w:rsidR="00606398" w:rsidRDefault="00606398" w:rsidP="005C2EFC">
      <w:pPr>
        <w:rPr>
          <w:b/>
          <w:sz w:val="22"/>
          <w:szCs w:val="22"/>
        </w:rPr>
      </w:pPr>
    </w:p>
    <w:p w14:paraId="27A20E4D" w14:textId="77777777" w:rsidR="00606398" w:rsidRDefault="00606398" w:rsidP="005C2EFC">
      <w:pPr>
        <w:rPr>
          <w:b/>
          <w:sz w:val="22"/>
          <w:szCs w:val="22"/>
        </w:rPr>
      </w:pPr>
    </w:p>
    <w:p w14:paraId="0F0B7339" w14:textId="77777777" w:rsidR="00606398" w:rsidRDefault="00606398" w:rsidP="005C2EFC">
      <w:pPr>
        <w:rPr>
          <w:b/>
          <w:sz w:val="22"/>
          <w:szCs w:val="22"/>
        </w:rPr>
      </w:pPr>
    </w:p>
    <w:p w14:paraId="454FFD9D" w14:textId="77777777" w:rsidR="00606398" w:rsidRDefault="00606398" w:rsidP="005C2EFC">
      <w:pPr>
        <w:rPr>
          <w:b/>
          <w:sz w:val="22"/>
          <w:szCs w:val="22"/>
        </w:rPr>
      </w:pPr>
    </w:p>
    <w:p w14:paraId="28C15ACF" w14:textId="77777777" w:rsidR="00606398" w:rsidRDefault="00606398" w:rsidP="005C2EFC">
      <w:pPr>
        <w:rPr>
          <w:b/>
          <w:sz w:val="22"/>
          <w:szCs w:val="22"/>
        </w:rPr>
      </w:pPr>
    </w:p>
    <w:p w14:paraId="1CC58AD2" w14:textId="77777777" w:rsidR="00606398" w:rsidRDefault="00606398" w:rsidP="005C2EFC">
      <w:pPr>
        <w:rPr>
          <w:b/>
          <w:sz w:val="22"/>
          <w:szCs w:val="22"/>
        </w:rPr>
      </w:pPr>
    </w:p>
    <w:p w14:paraId="616B6909" w14:textId="77777777" w:rsidR="00606398" w:rsidRDefault="00606398" w:rsidP="005C2EFC">
      <w:pPr>
        <w:rPr>
          <w:b/>
          <w:sz w:val="22"/>
          <w:szCs w:val="22"/>
        </w:rPr>
      </w:pPr>
    </w:p>
    <w:p w14:paraId="70A97ACC" w14:textId="77777777" w:rsidR="00606398" w:rsidRDefault="00606398" w:rsidP="005C2EFC">
      <w:pPr>
        <w:rPr>
          <w:b/>
          <w:sz w:val="22"/>
          <w:szCs w:val="22"/>
        </w:rPr>
      </w:pPr>
    </w:p>
    <w:p w14:paraId="30D8DFF8" w14:textId="77777777" w:rsidR="00606398" w:rsidRDefault="00606398" w:rsidP="005C2EFC">
      <w:pPr>
        <w:rPr>
          <w:b/>
          <w:sz w:val="22"/>
          <w:szCs w:val="22"/>
        </w:rPr>
      </w:pPr>
    </w:p>
    <w:p w14:paraId="0B14EA50" w14:textId="77777777" w:rsidR="00606398" w:rsidRDefault="00606398" w:rsidP="005C2EFC">
      <w:pPr>
        <w:rPr>
          <w:b/>
          <w:sz w:val="22"/>
          <w:szCs w:val="22"/>
        </w:rPr>
      </w:pPr>
    </w:p>
    <w:p w14:paraId="297CF9BF" w14:textId="79D86F70" w:rsidR="005F0EE7" w:rsidRPr="001629E1" w:rsidRDefault="00756AE3" w:rsidP="001629E1">
      <w:pPr>
        <w:pStyle w:val="Heading5"/>
      </w:pPr>
      <w:bookmarkStart w:id="1" w:name="_Toc82385609"/>
      <w:r>
        <w:lastRenderedPageBreak/>
        <w:t>LIST OF FIGURES</w:t>
      </w:r>
      <w:bookmarkEnd w:id="1"/>
    </w:p>
    <w:p w14:paraId="4A52E782" w14:textId="3DE39804" w:rsidR="002C0E50" w:rsidRDefault="005F0EE7">
      <w:pPr>
        <w:pStyle w:val="TOC8"/>
        <w:rPr>
          <w:rFonts w:asciiTheme="minorHAnsi" w:eastAsiaTheme="minorEastAsia" w:hAnsiTheme="minorHAnsi" w:cstheme="minorBidi"/>
          <w:noProof/>
          <w:szCs w:val="24"/>
        </w:rPr>
      </w:pPr>
      <w:r>
        <w:rPr>
          <w:b/>
          <w:sz w:val="22"/>
          <w:szCs w:val="22"/>
        </w:rPr>
        <w:fldChar w:fldCharType="begin"/>
      </w:r>
      <w:r>
        <w:rPr>
          <w:b/>
          <w:sz w:val="22"/>
          <w:szCs w:val="22"/>
        </w:rPr>
        <w:instrText xml:space="preserve"> TOC \h \z \t "Caption,8" </w:instrText>
      </w:r>
      <w:r>
        <w:rPr>
          <w:b/>
          <w:sz w:val="22"/>
          <w:szCs w:val="22"/>
        </w:rPr>
        <w:fldChar w:fldCharType="separate"/>
      </w:r>
      <w:hyperlink r:id="rId25" w:anchor="_Toc82386260" w:history="1">
        <w:r w:rsidR="002C0E50" w:rsidRPr="00F40DDB">
          <w:rPr>
            <w:rStyle w:val="Hyperlink"/>
            <w:noProof/>
          </w:rPr>
          <w:t>Figure 2.1:</w:t>
        </w:r>
        <w:r w:rsidR="002C0E50">
          <w:rPr>
            <w:rFonts w:asciiTheme="minorHAnsi" w:eastAsiaTheme="minorEastAsia" w:hAnsiTheme="minorHAnsi" w:cstheme="minorBidi"/>
            <w:noProof/>
            <w:szCs w:val="24"/>
          </w:rPr>
          <w:tab/>
        </w:r>
        <w:r w:rsidR="002C0E50" w:rsidRPr="00F40DDB">
          <w:rPr>
            <w:rStyle w:val="Hyperlink"/>
            <w:noProof/>
          </w:rPr>
          <w:t>Agriculture Household by Type of Activity During 2019/20 Agricultural Year, Tanzania</w:t>
        </w:r>
        <w:r w:rsidR="002C0E50">
          <w:rPr>
            <w:noProof/>
            <w:webHidden/>
          </w:rPr>
          <w:tab/>
        </w:r>
        <w:r w:rsidR="002C0E50">
          <w:rPr>
            <w:noProof/>
            <w:webHidden/>
          </w:rPr>
          <w:fldChar w:fldCharType="begin"/>
        </w:r>
        <w:r w:rsidR="002C0E50">
          <w:rPr>
            <w:noProof/>
            <w:webHidden/>
          </w:rPr>
          <w:instrText xml:space="preserve"> PAGEREF _Toc82386260 \h </w:instrText>
        </w:r>
        <w:r w:rsidR="002C0E50">
          <w:rPr>
            <w:noProof/>
            <w:webHidden/>
          </w:rPr>
        </w:r>
        <w:r w:rsidR="002C0E50">
          <w:rPr>
            <w:noProof/>
            <w:webHidden/>
          </w:rPr>
          <w:fldChar w:fldCharType="separate"/>
        </w:r>
        <w:r w:rsidR="00A15698">
          <w:rPr>
            <w:noProof/>
            <w:webHidden/>
          </w:rPr>
          <w:t>6</w:t>
        </w:r>
        <w:r w:rsidR="002C0E50">
          <w:rPr>
            <w:noProof/>
            <w:webHidden/>
          </w:rPr>
          <w:fldChar w:fldCharType="end"/>
        </w:r>
      </w:hyperlink>
    </w:p>
    <w:p w14:paraId="698849E1" w14:textId="76A65A84" w:rsidR="002C0E50" w:rsidRDefault="00E909AE">
      <w:pPr>
        <w:pStyle w:val="TOC8"/>
        <w:rPr>
          <w:rFonts w:asciiTheme="minorHAnsi" w:eastAsiaTheme="minorEastAsia" w:hAnsiTheme="minorHAnsi" w:cstheme="minorBidi"/>
          <w:noProof/>
          <w:szCs w:val="24"/>
        </w:rPr>
      </w:pPr>
      <w:hyperlink r:id="rId26" w:anchor="_Toc82386261" w:history="1">
        <w:r w:rsidR="002C0E50" w:rsidRPr="00F40DDB">
          <w:rPr>
            <w:rStyle w:val="Hyperlink"/>
            <w:rFonts w:eastAsia="Calibri"/>
            <w:noProof/>
          </w:rPr>
          <w:t>Figure 2.2:</w:t>
        </w:r>
        <w:r w:rsidR="002C0E50">
          <w:rPr>
            <w:rFonts w:asciiTheme="minorHAnsi" w:eastAsiaTheme="minorEastAsia" w:hAnsiTheme="minorHAnsi" w:cstheme="minorBidi"/>
            <w:noProof/>
            <w:szCs w:val="24"/>
          </w:rPr>
          <w:tab/>
        </w:r>
        <w:r w:rsidR="002C0E50" w:rsidRPr="00F40DDB">
          <w:rPr>
            <w:rStyle w:val="Hyperlink"/>
            <w:noProof/>
          </w:rPr>
          <w:t>Agriculture Household by Type of Activity, Mainland Tanzania</w:t>
        </w:r>
        <w:r w:rsidR="002C0E50">
          <w:rPr>
            <w:noProof/>
            <w:webHidden/>
          </w:rPr>
          <w:tab/>
        </w:r>
        <w:r w:rsidR="002C0E50">
          <w:rPr>
            <w:noProof/>
            <w:webHidden/>
          </w:rPr>
          <w:fldChar w:fldCharType="begin"/>
        </w:r>
        <w:r w:rsidR="002C0E50">
          <w:rPr>
            <w:noProof/>
            <w:webHidden/>
          </w:rPr>
          <w:instrText xml:space="preserve"> PAGEREF _Toc82386261 \h </w:instrText>
        </w:r>
        <w:r w:rsidR="002C0E50">
          <w:rPr>
            <w:noProof/>
            <w:webHidden/>
          </w:rPr>
        </w:r>
        <w:r w:rsidR="002C0E50">
          <w:rPr>
            <w:noProof/>
            <w:webHidden/>
          </w:rPr>
          <w:fldChar w:fldCharType="separate"/>
        </w:r>
        <w:r w:rsidR="00A15698">
          <w:rPr>
            <w:noProof/>
            <w:webHidden/>
          </w:rPr>
          <w:t>7</w:t>
        </w:r>
        <w:r w:rsidR="002C0E50">
          <w:rPr>
            <w:noProof/>
            <w:webHidden/>
          </w:rPr>
          <w:fldChar w:fldCharType="end"/>
        </w:r>
      </w:hyperlink>
    </w:p>
    <w:p w14:paraId="2C872CE8" w14:textId="72022A8D" w:rsidR="002C0E50" w:rsidRDefault="00E909AE">
      <w:pPr>
        <w:pStyle w:val="TOC8"/>
        <w:rPr>
          <w:rFonts w:asciiTheme="minorHAnsi" w:eastAsiaTheme="minorEastAsia" w:hAnsiTheme="minorHAnsi" w:cstheme="minorBidi"/>
          <w:noProof/>
          <w:szCs w:val="24"/>
        </w:rPr>
      </w:pPr>
      <w:hyperlink r:id="rId27" w:anchor="_Toc82386262" w:history="1">
        <w:r w:rsidR="002C0E50" w:rsidRPr="00F40DDB">
          <w:rPr>
            <w:rStyle w:val="Hyperlink"/>
            <w:rFonts w:eastAsia="Calibri"/>
            <w:noProof/>
          </w:rPr>
          <w:t>Figure 2.3:</w:t>
        </w:r>
        <w:r w:rsidR="002C0E50">
          <w:rPr>
            <w:rFonts w:asciiTheme="minorHAnsi" w:eastAsiaTheme="minorEastAsia" w:hAnsiTheme="minorHAnsi" w:cstheme="minorBidi"/>
            <w:noProof/>
            <w:szCs w:val="24"/>
          </w:rPr>
          <w:tab/>
        </w:r>
        <w:r w:rsidR="002C0E50" w:rsidRPr="00F40DDB">
          <w:rPr>
            <w:rStyle w:val="Hyperlink"/>
            <w:noProof/>
          </w:rPr>
          <w:t>Agriculture Household by Type of Activity, Tanzania Zanzibar</w:t>
        </w:r>
        <w:r w:rsidR="002C0E50">
          <w:rPr>
            <w:noProof/>
            <w:webHidden/>
          </w:rPr>
          <w:tab/>
        </w:r>
        <w:r w:rsidR="002C0E50">
          <w:rPr>
            <w:noProof/>
            <w:webHidden/>
          </w:rPr>
          <w:fldChar w:fldCharType="begin"/>
        </w:r>
        <w:r w:rsidR="002C0E50">
          <w:rPr>
            <w:noProof/>
            <w:webHidden/>
          </w:rPr>
          <w:instrText xml:space="preserve"> PAGEREF _Toc82386262 \h </w:instrText>
        </w:r>
        <w:r w:rsidR="002C0E50">
          <w:rPr>
            <w:noProof/>
            <w:webHidden/>
          </w:rPr>
        </w:r>
        <w:r w:rsidR="002C0E50">
          <w:rPr>
            <w:noProof/>
            <w:webHidden/>
          </w:rPr>
          <w:fldChar w:fldCharType="separate"/>
        </w:r>
        <w:r w:rsidR="00A15698">
          <w:rPr>
            <w:noProof/>
            <w:webHidden/>
          </w:rPr>
          <w:t>7</w:t>
        </w:r>
        <w:r w:rsidR="002C0E50">
          <w:rPr>
            <w:noProof/>
            <w:webHidden/>
          </w:rPr>
          <w:fldChar w:fldCharType="end"/>
        </w:r>
      </w:hyperlink>
    </w:p>
    <w:p w14:paraId="58D296E6" w14:textId="7A603B71" w:rsidR="002C0E50" w:rsidRDefault="00E909AE">
      <w:pPr>
        <w:pStyle w:val="TOC8"/>
        <w:rPr>
          <w:rFonts w:asciiTheme="minorHAnsi" w:eastAsiaTheme="minorEastAsia" w:hAnsiTheme="minorHAnsi" w:cstheme="minorBidi"/>
          <w:noProof/>
          <w:szCs w:val="24"/>
        </w:rPr>
      </w:pPr>
      <w:hyperlink w:anchor="_Toc82386263" w:history="1">
        <w:r w:rsidR="002C0E50" w:rsidRPr="00F40DDB">
          <w:rPr>
            <w:rStyle w:val="Hyperlink"/>
            <w:rFonts w:eastAsia="Calibri"/>
            <w:noProof/>
          </w:rPr>
          <w:t>Figure 2.4:</w:t>
        </w:r>
        <w:r w:rsidR="002C0E50">
          <w:rPr>
            <w:rFonts w:asciiTheme="minorHAnsi" w:eastAsiaTheme="minorEastAsia" w:hAnsiTheme="minorHAnsi" w:cstheme="minorBidi"/>
            <w:noProof/>
            <w:szCs w:val="24"/>
          </w:rPr>
          <w:tab/>
        </w:r>
        <w:r w:rsidR="002C0E50" w:rsidRPr="00F40DDB">
          <w:rPr>
            <w:rStyle w:val="Hyperlink"/>
            <w:rFonts w:eastAsia="Calibri"/>
            <w:noProof/>
          </w:rPr>
          <w:t>Percentage Population of Agricultural Household Members by Sex in 2007/08 and 2019/20 Agricultural Censuses, Tanzania</w:t>
        </w:r>
        <w:r w:rsidR="002C0E50">
          <w:rPr>
            <w:noProof/>
            <w:webHidden/>
          </w:rPr>
          <w:tab/>
        </w:r>
        <w:r w:rsidR="002C0E50">
          <w:rPr>
            <w:noProof/>
            <w:webHidden/>
          </w:rPr>
          <w:fldChar w:fldCharType="begin"/>
        </w:r>
        <w:r w:rsidR="002C0E50">
          <w:rPr>
            <w:noProof/>
            <w:webHidden/>
          </w:rPr>
          <w:instrText xml:space="preserve"> PAGEREF _Toc82386263 \h </w:instrText>
        </w:r>
        <w:r w:rsidR="002C0E50">
          <w:rPr>
            <w:noProof/>
            <w:webHidden/>
          </w:rPr>
        </w:r>
        <w:r w:rsidR="002C0E50">
          <w:rPr>
            <w:noProof/>
            <w:webHidden/>
          </w:rPr>
          <w:fldChar w:fldCharType="separate"/>
        </w:r>
        <w:r w:rsidR="00A15698">
          <w:rPr>
            <w:noProof/>
            <w:webHidden/>
          </w:rPr>
          <w:t>8</w:t>
        </w:r>
        <w:r w:rsidR="002C0E50">
          <w:rPr>
            <w:noProof/>
            <w:webHidden/>
          </w:rPr>
          <w:fldChar w:fldCharType="end"/>
        </w:r>
      </w:hyperlink>
    </w:p>
    <w:p w14:paraId="21F3CE7F" w14:textId="0BDE5D54" w:rsidR="002C0E50" w:rsidRDefault="00E909AE">
      <w:pPr>
        <w:pStyle w:val="TOC8"/>
        <w:rPr>
          <w:rFonts w:asciiTheme="minorHAnsi" w:eastAsiaTheme="minorEastAsia" w:hAnsiTheme="minorHAnsi" w:cstheme="minorBidi"/>
          <w:noProof/>
          <w:szCs w:val="24"/>
        </w:rPr>
      </w:pPr>
      <w:hyperlink w:anchor="_Toc82386264" w:history="1">
        <w:r w:rsidR="002C0E50" w:rsidRPr="00F40DDB">
          <w:rPr>
            <w:rStyle w:val="Hyperlink"/>
            <w:noProof/>
          </w:rPr>
          <w:t>Figure 2.5:</w:t>
        </w:r>
        <w:r w:rsidR="002C0E50">
          <w:rPr>
            <w:rFonts w:asciiTheme="minorHAnsi" w:eastAsiaTheme="minorEastAsia" w:hAnsiTheme="minorHAnsi" w:cstheme="minorBidi"/>
            <w:noProof/>
            <w:szCs w:val="24"/>
          </w:rPr>
          <w:tab/>
        </w:r>
        <w:r w:rsidR="002C0E50" w:rsidRPr="00F40DDB">
          <w:rPr>
            <w:rStyle w:val="Hyperlink"/>
            <w:noProof/>
          </w:rPr>
          <w:t>Average Household Size of Agricultural Households during 2019/20 Agricultural Year, Tanzania</w:t>
        </w:r>
        <w:r w:rsidR="002C0E50">
          <w:rPr>
            <w:noProof/>
            <w:webHidden/>
          </w:rPr>
          <w:tab/>
        </w:r>
        <w:r w:rsidR="002C0E50">
          <w:rPr>
            <w:noProof/>
            <w:webHidden/>
          </w:rPr>
          <w:fldChar w:fldCharType="begin"/>
        </w:r>
        <w:r w:rsidR="002C0E50">
          <w:rPr>
            <w:noProof/>
            <w:webHidden/>
          </w:rPr>
          <w:instrText xml:space="preserve"> PAGEREF _Toc82386264 \h </w:instrText>
        </w:r>
        <w:r w:rsidR="002C0E50">
          <w:rPr>
            <w:noProof/>
            <w:webHidden/>
          </w:rPr>
        </w:r>
        <w:r w:rsidR="002C0E50">
          <w:rPr>
            <w:noProof/>
            <w:webHidden/>
          </w:rPr>
          <w:fldChar w:fldCharType="separate"/>
        </w:r>
        <w:r w:rsidR="00A15698">
          <w:rPr>
            <w:noProof/>
            <w:webHidden/>
          </w:rPr>
          <w:t>9</w:t>
        </w:r>
        <w:r w:rsidR="002C0E50">
          <w:rPr>
            <w:noProof/>
            <w:webHidden/>
          </w:rPr>
          <w:fldChar w:fldCharType="end"/>
        </w:r>
      </w:hyperlink>
    </w:p>
    <w:p w14:paraId="2145A8EB" w14:textId="12EB9249" w:rsidR="002C0E50" w:rsidRDefault="00E909AE">
      <w:pPr>
        <w:pStyle w:val="TOC8"/>
        <w:rPr>
          <w:rFonts w:asciiTheme="minorHAnsi" w:eastAsiaTheme="minorEastAsia" w:hAnsiTheme="minorHAnsi" w:cstheme="minorBidi"/>
          <w:noProof/>
          <w:szCs w:val="24"/>
        </w:rPr>
      </w:pPr>
      <w:hyperlink r:id="rId28" w:anchor="_Toc82386265" w:history="1">
        <w:r w:rsidR="002C0E50" w:rsidRPr="00F40DDB">
          <w:rPr>
            <w:rStyle w:val="Hyperlink"/>
            <w:noProof/>
          </w:rPr>
          <w:t>Figure 2.6:</w:t>
        </w:r>
        <w:r w:rsidR="002C0E50">
          <w:rPr>
            <w:rFonts w:asciiTheme="minorHAnsi" w:eastAsiaTheme="minorEastAsia" w:hAnsiTheme="minorHAnsi" w:cstheme="minorBidi"/>
            <w:noProof/>
            <w:szCs w:val="24"/>
          </w:rPr>
          <w:tab/>
        </w:r>
        <w:r w:rsidR="002C0E50" w:rsidRPr="00F40DDB">
          <w:rPr>
            <w:rStyle w:val="Hyperlink"/>
            <w:noProof/>
          </w:rPr>
          <w:t>Agriculture Household Members by Literacy Rate During 2019/20 Agricultural Year, Tanzania</w:t>
        </w:r>
        <w:r w:rsidR="002C0E50">
          <w:rPr>
            <w:noProof/>
            <w:webHidden/>
          </w:rPr>
          <w:tab/>
        </w:r>
        <w:r w:rsidR="002C0E50">
          <w:rPr>
            <w:noProof/>
            <w:webHidden/>
          </w:rPr>
          <w:fldChar w:fldCharType="begin"/>
        </w:r>
        <w:r w:rsidR="002C0E50">
          <w:rPr>
            <w:noProof/>
            <w:webHidden/>
          </w:rPr>
          <w:instrText xml:space="preserve"> PAGEREF _Toc82386265 \h </w:instrText>
        </w:r>
        <w:r w:rsidR="002C0E50">
          <w:rPr>
            <w:noProof/>
            <w:webHidden/>
          </w:rPr>
        </w:r>
        <w:r w:rsidR="002C0E50">
          <w:rPr>
            <w:noProof/>
            <w:webHidden/>
          </w:rPr>
          <w:fldChar w:fldCharType="separate"/>
        </w:r>
        <w:r w:rsidR="00A15698">
          <w:rPr>
            <w:noProof/>
            <w:webHidden/>
          </w:rPr>
          <w:t>10</w:t>
        </w:r>
        <w:r w:rsidR="002C0E50">
          <w:rPr>
            <w:noProof/>
            <w:webHidden/>
          </w:rPr>
          <w:fldChar w:fldCharType="end"/>
        </w:r>
      </w:hyperlink>
    </w:p>
    <w:p w14:paraId="086DFD7E" w14:textId="2A30907F" w:rsidR="002C0E50" w:rsidRDefault="00E909AE">
      <w:pPr>
        <w:pStyle w:val="TOC8"/>
        <w:rPr>
          <w:rFonts w:asciiTheme="minorHAnsi" w:eastAsiaTheme="minorEastAsia" w:hAnsiTheme="minorHAnsi" w:cstheme="minorBidi"/>
          <w:noProof/>
          <w:szCs w:val="24"/>
        </w:rPr>
      </w:pPr>
      <w:hyperlink w:anchor="_Toc82386266" w:history="1">
        <w:r w:rsidR="002C0E50" w:rsidRPr="00F40DDB">
          <w:rPr>
            <w:rStyle w:val="Hyperlink"/>
            <w:noProof/>
          </w:rPr>
          <w:t>Figure 2.7:</w:t>
        </w:r>
        <w:r w:rsidR="002C0E50">
          <w:rPr>
            <w:rFonts w:asciiTheme="minorHAnsi" w:eastAsiaTheme="minorEastAsia" w:hAnsiTheme="minorHAnsi" w:cstheme="minorBidi"/>
            <w:noProof/>
            <w:szCs w:val="24"/>
          </w:rPr>
          <w:tab/>
        </w:r>
        <w:r w:rsidR="002C0E50" w:rsidRPr="00F40DDB">
          <w:rPr>
            <w:rStyle w:val="Hyperlink"/>
            <w:noProof/>
          </w:rPr>
          <w:t>Percentage of Literacy Level of Household Members by Region During 2019/20 Agricultural Year, Tanzania</w:t>
        </w:r>
        <w:r w:rsidR="002C0E50">
          <w:rPr>
            <w:noProof/>
            <w:webHidden/>
          </w:rPr>
          <w:tab/>
        </w:r>
        <w:r w:rsidR="002C0E50">
          <w:rPr>
            <w:noProof/>
            <w:webHidden/>
          </w:rPr>
          <w:fldChar w:fldCharType="begin"/>
        </w:r>
        <w:r w:rsidR="002C0E50">
          <w:rPr>
            <w:noProof/>
            <w:webHidden/>
          </w:rPr>
          <w:instrText xml:space="preserve"> PAGEREF _Toc82386266 \h </w:instrText>
        </w:r>
        <w:r w:rsidR="002C0E50">
          <w:rPr>
            <w:noProof/>
            <w:webHidden/>
          </w:rPr>
        </w:r>
        <w:r w:rsidR="002C0E50">
          <w:rPr>
            <w:noProof/>
            <w:webHidden/>
          </w:rPr>
          <w:fldChar w:fldCharType="separate"/>
        </w:r>
        <w:r w:rsidR="00A15698">
          <w:rPr>
            <w:noProof/>
            <w:webHidden/>
          </w:rPr>
          <w:t>11</w:t>
        </w:r>
        <w:r w:rsidR="002C0E50">
          <w:rPr>
            <w:noProof/>
            <w:webHidden/>
          </w:rPr>
          <w:fldChar w:fldCharType="end"/>
        </w:r>
      </w:hyperlink>
    </w:p>
    <w:p w14:paraId="7EA26E23" w14:textId="1BC093F1" w:rsidR="002C0E50" w:rsidRDefault="00E909AE">
      <w:pPr>
        <w:pStyle w:val="TOC8"/>
        <w:rPr>
          <w:rFonts w:asciiTheme="minorHAnsi" w:eastAsiaTheme="minorEastAsia" w:hAnsiTheme="minorHAnsi" w:cstheme="minorBidi"/>
          <w:noProof/>
          <w:szCs w:val="24"/>
        </w:rPr>
      </w:pPr>
      <w:hyperlink r:id="rId29" w:anchor="_Toc82386267" w:history="1">
        <w:r w:rsidR="002C0E50" w:rsidRPr="00F40DDB">
          <w:rPr>
            <w:rStyle w:val="Hyperlink"/>
            <w:noProof/>
          </w:rPr>
          <w:t>Figure 2.8:</w:t>
        </w:r>
        <w:r w:rsidR="002C0E50">
          <w:rPr>
            <w:rFonts w:asciiTheme="minorHAnsi" w:eastAsiaTheme="minorEastAsia" w:hAnsiTheme="minorHAnsi" w:cstheme="minorBidi"/>
            <w:noProof/>
            <w:szCs w:val="24"/>
          </w:rPr>
          <w:tab/>
        </w:r>
        <w:r w:rsidR="002C0E50" w:rsidRPr="00F40DDB">
          <w:rPr>
            <w:rStyle w:val="Hyperlink"/>
            <w:noProof/>
          </w:rPr>
          <w:t>Percentage of Agriculture Household Members 5 years and Above by Education Status During 2019/20 Agricultural Year, Tanzania</w:t>
        </w:r>
        <w:r w:rsidR="002C0E50">
          <w:rPr>
            <w:noProof/>
            <w:webHidden/>
          </w:rPr>
          <w:tab/>
        </w:r>
        <w:r w:rsidR="002C0E50">
          <w:rPr>
            <w:noProof/>
            <w:webHidden/>
          </w:rPr>
          <w:fldChar w:fldCharType="begin"/>
        </w:r>
        <w:r w:rsidR="002C0E50">
          <w:rPr>
            <w:noProof/>
            <w:webHidden/>
          </w:rPr>
          <w:instrText xml:space="preserve"> PAGEREF _Toc82386267 \h </w:instrText>
        </w:r>
        <w:r w:rsidR="002C0E50">
          <w:rPr>
            <w:noProof/>
            <w:webHidden/>
          </w:rPr>
        </w:r>
        <w:r w:rsidR="002C0E50">
          <w:rPr>
            <w:noProof/>
            <w:webHidden/>
          </w:rPr>
          <w:fldChar w:fldCharType="separate"/>
        </w:r>
        <w:r w:rsidR="00A15698">
          <w:rPr>
            <w:noProof/>
            <w:webHidden/>
          </w:rPr>
          <w:t>11</w:t>
        </w:r>
        <w:r w:rsidR="002C0E50">
          <w:rPr>
            <w:noProof/>
            <w:webHidden/>
          </w:rPr>
          <w:fldChar w:fldCharType="end"/>
        </w:r>
      </w:hyperlink>
    </w:p>
    <w:p w14:paraId="38682ABA" w14:textId="628F47EA" w:rsidR="002C0E50" w:rsidRDefault="00E909AE">
      <w:pPr>
        <w:pStyle w:val="TOC8"/>
        <w:rPr>
          <w:rFonts w:asciiTheme="minorHAnsi" w:eastAsiaTheme="minorEastAsia" w:hAnsiTheme="minorHAnsi" w:cstheme="minorBidi"/>
          <w:noProof/>
          <w:szCs w:val="24"/>
        </w:rPr>
      </w:pPr>
      <w:hyperlink w:anchor="_Toc82386268" w:history="1">
        <w:r w:rsidR="002C0E50" w:rsidRPr="00F40DDB">
          <w:rPr>
            <w:rStyle w:val="Hyperlink"/>
            <w:noProof/>
          </w:rPr>
          <w:t>Figure 2.9:</w:t>
        </w:r>
        <w:r w:rsidR="002C0E50">
          <w:rPr>
            <w:rFonts w:asciiTheme="minorHAnsi" w:eastAsiaTheme="minorEastAsia" w:hAnsiTheme="minorHAnsi" w:cstheme="minorBidi"/>
            <w:noProof/>
            <w:szCs w:val="24"/>
          </w:rPr>
          <w:tab/>
        </w:r>
        <w:r w:rsidR="002C0E50" w:rsidRPr="00F40DDB">
          <w:rPr>
            <w:rStyle w:val="Hyperlink"/>
            <w:noProof/>
          </w:rPr>
          <w:t>Percentage of Household Members by Education Status and Region During 2019/20 Agricultural Year, Tanzania</w:t>
        </w:r>
        <w:r w:rsidR="002C0E50">
          <w:rPr>
            <w:noProof/>
            <w:webHidden/>
          </w:rPr>
          <w:tab/>
        </w:r>
        <w:r w:rsidR="002C0E50">
          <w:rPr>
            <w:noProof/>
            <w:webHidden/>
          </w:rPr>
          <w:fldChar w:fldCharType="begin"/>
        </w:r>
        <w:r w:rsidR="002C0E50">
          <w:rPr>
            <w:noProof/>
            <w:webHidden/>
          </w:rPr>
          <w:instrText xml:space="preserve"> PAGEREF _Toc82386268 \h </w:instrText>
        </w:r>
        <w:r w:rsidR="002C0E50">
          <w:rPr>
            <w:noProof/>
            <w:webHidden/>
          </w:rPr>
        </w:r>
        <w:r w:rsidR="002C0E50">
          <w:rPr>
            <w:noProof/>
            <w:webHidden/>
          </w:rPr>
          <w:fldChar w:fldCharType="separate"/>
        </w:r>
        <w:r w:rsidR="00A15698">
          <w:rPr>
            <w:noProof/>
            <w:webHidden/>
          </w:rPr>
          <w:t>12</w:t>
        </w:r>
        <w:r w:rsidR="002C0E50">
          <w:rPr>
            <w:noProof/>
            <w:webHidden/>
          </w:rPr>
          <w:fldChar w:fldCharType="end"/>
        </w:r>
      </w:hyperlink>
    </w:p>
    <w:p w14:paraId="0F3BFEB6" w14:textId="3E48F454" w:rsidR="002C0E50" w:rsidRDefault="00E909AE">
      <w:pPr>
        <w:pStyle w:val="TOC8"/>
        <w:rPr>
          <w:rFonts w:asciiTheme="minorHAnsi" w:eastAsiaTheme="minorEastAsia" w:hAnsiTheme="minorHAnsi" w:cstheme="minorBidi"/>
          <w:noProof/>
          <w:szCs w:val="24"/>
        </w:rPr>
      </w:pPr>
      <w:hyperlink r:id="rId30" w:anchor="_Toc82386269" w:history="1">
        <w:r w:rsidR="002C0E50" w:rsidRPr="00F40DDB">
          <w:rPr>
            <w:rStyle w:val="Hyperlink"/>
            <w:noProof/>
          </w:rPr>
          <w:t>Figure 2.10:</w:t>
        </w:r>
        <w:r w:rsidR="002C0E50">
          <w:rPr>
            <w:rFonts w:asciiTheme="minorHAnsi" w:eastAsiaTheme="minorEastAsia" w:hAnsiTheme="minorHAnsi" w:cstheme="minorBidi"/>
            <w:noProof/>
            <w:szCs w:val="24"/>
          </w:rPr>
          <w:tab/>
        </w:r>
        <w:r w:rsidR="002C0E50" w:rsidRPr="00F40DDB">
          <w:rPr>
            <w:rStyle w:val="Hyperlink"/>
            <w:noProof/>
          </w:rPr>
          <w:t>Percentage of Household Members aged 5 years and above by the Level of Involvement in Farming Activities During 2019/20 Agricultural Year, Tanzania</w:t>
        </w:r>
        <w:r w:rsidR="002C0E50">
          <w:rPr>
            <w:noProof/>
            <w:webHidden/>
          </w:rPr>
          <w:tab/>
        </w:r>
        <w:r w:rsidR="002C0E50">
          <w:rPr>
            <w:noProof/>
            <w:webHidden/>
          </w:rPr>
          <w:fldChar w:fldCharType="begin"/>
        </w:r>
        <w:r w:rsidR="002C0E50">
          <w:rPr>
            <w:noProof/>
            <w:webHidden/>
          </w:rPr>
          <w:instrText xml:space="preserve"> PAGEREF _Toc82386269 \h </w:instrText>
        </w:r>
        <w:r w:rsidR="002C0E50">
          <w:rPr>
            <w:noProof/>
            <w:webHidden/>
          </w:rPr>
        </w:r>
        <w:r w:rsidR="002C0E50">
          <w:rPr>
            <w:noProof/>
            <w:webHidden/>
          </w:rPr>
          <w:fldChar w:fldCharType="separate"/>
        </w:r>
        <w:r w:rsidR="00A15698">
          <w:rPr>
            <w:noProof/>
            <w:webHidden/>
          </w:rPr>
          <w:t>14</w:t>
        </w:r>
        <w:r w:rsidR="002C0E50">
          <w:rPr>
            <w:noProof/>
            <w:webHidden/>
          </w:rPr>
          <w:fldChar w:fldCharType="end"/>
        </w:r>
      </w:hyperlink>
    </w:p>
    <w:p w14:paraId="0BA73721" w14:textId="081087FF" w:rsidR="002C0E50" w:rsidRDefault="00E909AE">
      <w:pPr>
        <w:pStyle w:val="TOC8"/>
        <w:rPr>
          <w:rFonts w:asciiTheme="minorHAnsi" w:eastAsiaTheme="minorEastAsia" w:hAnsiTheme="minorHAnsi" w:cstheme="minorBidi"/>
          <w:noProof/>
          <w:szCs w:val="24"/>
        </w:rPr>
      </w:pPr>
      <w:hyperlink r:id="rId31" w:anchor="_Toc82386270" w:history="1">
        <w:r w:rsidR="002C0E50" w:rsidRPr="00F40DDB">
          <w:rPr>
            <w:rStyle w:val="Hyperlink"/>
            <w:noProof/>
          </w:rPr>
          <w:t>Figure 2.11:</w:t>
        </w:r>
        <w:r w:rsidR="002C0E50">
          <w:rPr>
            <w:rFonts w:asciiTheme="minorHAnsi" w:eastAsiaTheme="minorEastAsia" w:hAnsiTheme="minorHAnsi" w:cstheme="minorBidi"/>
            <w:noProof/>
            <w:szCs w:val="24"/>
          </w:rPr>
          <w:tab/>
        </w:r>
        <w:r w:rsidR="002C0E50" w:rsidRPr="00F40DDB">
          <w:rPr>
            <w:rStyle w:val="Hyperlink"/>
            <w:noProof/>
          </w:rPr>
          <w:t>Trend of Utilised Land per Household in 2002/03, 2007/08 and 2019/20 Agriculture Censuses</w:t>
        </w:r>
        <w:r w:rsidR="002C0E50">
          <w:rPr>
            <w:noProof/>
            <w:webHidden/>
          </w:rPr>
          <w:tab/>
        </w:r>
        <w:r w:rsidR="002C0E50">
          <w:rPr>
            <w:noProof/>
            <w:webHidden/>
          </w:rPr>
          <w:fldChar w:fldCharType="begin"/>
        </w:r>
        <w:r w:rsidR="002C0E50">
          <w:rPr>
            <w:noProof/>
            <w:webHidden/>
          </w:rPr>
          <w:instrText xml:space="preserve"> PAGEREF _Toc82386270 \h </w:instrText>
        </w:r>
        <w:r w:rsidR="002C0E50">
          <w:rPr>
            <w:noProof/>
            <w:webHidden/>
          </w:rPr>
        </w:r>
        <w:r w:rsidR="002C0E50">
          <w:rPr>
            <w:noProof/>
            <w:webHidden/>
          </w:rPr>
          <w:fldChar w:fldCharType="separate"/>
        </w:r>
        <w:r w:rsidR="00A15698">
          <w:rPr>
            <w:noProof/>
            <w:webHidden/>
          </w:rPr>
          <w:t>15</w:t>
        </w:r>
        <w:r w:rsidR="002C0E50">
          <w:rPr>
            <w:noProof/>
            <w:webHidden/>
          </w:rPr>
          <w:fldChar w:fldCharType="end"/>
        </w:r>
      </w:hyperlink>
    </w:p>
    <w:p w14:paraId="28FAAA82" w14:textId="4B02C173" w:rsidR="002C0E50" w:rsidRDefault="00E909AE">
      <w:pPr>
        <w:pStyle w:val="TOC8"/>
        <w:rPr>
          <w:rFonts w:asciiTheme="minorHAnsi" w:eastAsiaTheme="minorEastAsia" w:hAnsiTheme="minorHAnsi" w:cstheme="minorBidi"/>
          <w:noProof/>
          <w:szCs w:val="24"/>
        </w:rPr>
      </w:pPr>
      <w:hyperlink r:id="rId32" w:anchor="_Toc82386271" w:history="1">
        <w:r w:rsidR="002C0E50" w:rsidRPr="00F40DDB">
          <w:rPr>
            <w:rStyle w:val="Hyperlink"/>
            <w:noProof/>
          </w:rPr>
          <w:t>Figure 2.12:</w:t>
        </w:r>
        <w:r w:rsidR="002C0E50">
          <w:rPr>
            <w:rFonts w:asciiTheme="minorHAnsi" w:eastAsiaTheme="minorEastAsia" w:hAnsiTheme="minorHAnsi" w:cstheme="minorBidi"/>
            <w:noProof/>
            <w:szCs w:val="24"/>
          </w:rPr>
          <w:tab/>
        </w:r>
        <w:r w:rsidR="002C0E50" w:rsidRPr="00F40DDB">
          <w:rPr>
            <w:rStyle w:val="Hyperlink"/>
            <w:noProof/>
          </w:rPr>
          <w:t>Percentage of Agriculture Households by Whether All Land Available to the Household Was Used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_Toc82386271 \h </w:instrText>
        </w:r>
        <w:r w:rsidR="002C0E50">
          <w:rPr>
            <w:noProof/>
            <w:webHidden/>
          </w:rPr>
        </w:r>
        <w:r w:rsidR="002C0E50">
          <w:rPr>
            <w:noProof/>
            <w:webHidden/>
          </w:rPr>
          <w:fldChar w:fldCharType="separate"/>
        </w:r>
        <w:r w:rsidR="00A15698">
          <w:rPr>
            <w:noProof/>
            <w:webHidden/>
          </w:rPr>
          <w:t>15</w:t>
        </w:r>
        <w:r w:rsidR="002C0E50">
          <w:rPr>
            <w:noProof/>
            <w:webHidden/>
          </w:rPr>
          <w:fldChar w:fldCharType="end"/>
        </w:r>
      </w:hyperlink>
    </w:p>
    <w:p w14:paraId="336BF593" w14:textId="5B888A08" w:rsidR="002C0E50" w:rsidRDefault="00E909AE">
      <w:pPr>
        <w:pStyle w:val="TOC8"/>
        <w:rPr>
          <w:rFonts w:asciiTheme="minorHAnsi" w:eastAsiaTheme="minorEastAsia" w:hAnsiTheme="minorHAnsi" w:cstheme="minorBidi"/>
          <w:noProof/>
          <w:szCs w:val="24"/>
        </w:rPr>
      </w:pPr>
      <w:hyperlink r:id="rId33" w:anchor="_Toc82386272" w:history="1">
        <w:r w:rsidR="002C0E50" w:rsidRPr="00F40DDB">
          <w:rPr>
            <w:rStyle w:val="Hyperlink"/>
            <w:noProof/>
          </w:rPr>
          <w:t>Figure 2.13:</w:t>
        </w:r>
        <w:r w:rsidR="002C0E50">
          <w:rPr>
            <w:rFonts w:asciiTheme="minorHAnsi" w:eastAsiaTheme="minorEastAsia" w:hAnsiTheme="minorHAnsi" w:cstheme="minorBidi"/>
            <w:noProof/>
            <w:szCs w:val="24"/>
          </w:rPr>
          <w:tab/>
        </w:r>
        <w:r w:rsidR="002C0E50" w:rsidRPr="00F40DDB">
          <w:rPr>
            <w:rStyle w:val="Hyperlink"/>
            <w:noProof/>
          </w:rPr>
          <w:t>Percentage of Agricultural Households Responding to Sufficiency of Land 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_Toc82386272 \h </w:instrText>
        </w:r>
        <w:r w:rsidR="002C0E50">
          <w:rPr>
            <w:noProof/>
            <w:webHidden/>
          </w:rPr>
        </w:r>
        <w:r w:rsidR="002C0E50">
          <w:rPr>
            <w:noProof/>
            <w:webHidden/>
          </w:rPr>
          <w:fldChar w:fldCharType="separate"/>
        </w:r>
        <w:r w:rsidR="00A15698">
          <w:rPr>
            <w:noProof/>
            <w:webHidden/>
          </w:rPr>
          <w:t>16</w:t>
        </w:r>
        <w:r w:rsidR="002C0E50">
          <w:rPr>
            <w:noProof/>
            <w:webHidden/>
          </w:rPr>
          <w:fldChar w:fldCharType="end"/>
        </w:r>
      </w:hyperlink>
    </w:p>
    <w:p w14:paraId="4FB8D2A8" w14:textId="2852D95A" w:rsidR="002C0E50" w:rsidRDefault="00E909AE">
      <w:pPr>
        <w:pStyle w:val="TOC8"/>
        <w:rPr>
          <w:rFonts w:asciiTheme="minorHAnsi" w:eastAsiaTheme="minorEastAsia" w:hAnsiTheme="minorHAnsi" w:cstheme="minorBidi"/>
          <w:noProof/>
          <w:szCs w:val="24"/>
        </w:rPr>
      </w:pPr>
      <w:hyperlink r:id="rId34" w:anchor="_Toc82386273" w:history="1">
        <w:r w:rsidR="002C0E50" w:rsidRPr="00F40DDB">
          <w:rPr>
            <w:rStyle w:val="Hyperlink"/>
            <w:noProof/>
          </w:rPr>
          <w:t>Figure 2.14:</w:t>
        </w:r>
        <w:r w:rsidR="002C0E50">
          <w:rPr>
            <w:rFonts w:asciiTheme="minorHAnsi" w:eastAsiaTheme="minorEastAsia" w:hAnsiTheme="minorHAnsi" w:cstheme="minorBidi"/>
            <w:noProof/>
            <w:szCs w:val="24"/>
          </w:rPr>
          <w:tab/>
        </w:r>
        <w:r w:rsidR="002C0E50" w:rsidRPr="00F40DDB">
          <w:rPr>
            <w:rStyle w:val="Hyperlink"/>
            <w:noProof/>
          </w:rPr>
          <w:t>Percentage of Households with Sufficient Land for Agriculture Activities, 2019/20 Agricultural Year, Mainland Tanzania</w:t>
        </w:r>
        <w:r w:rsidR="002C0E50">
          <w:rPr>
            <w:noProof/>
            <w:webHidden/>
          </w:rPr>
          <w:tab/>
        </w:r>
        <w:r w:rsidR="002C0E50">
          <w:rPr>
            <w:noProof/>
            <w:webHidden/>
          </w:rPr>
          <w:fldChar w:fldCharType="begin"/>
        </w:r>
        <w:r w:rsidR="002C0E50">
          <w:rPr>
            <w:noProof/>
            <w:webHidden/>
          </w:rPr>
          <w:instrText xml:space="preserve"> PAGEREF _Toc82386273 \h </w:instrText>
        </w:r>
        <w:r w:rsidR="002C0E50">
          <w:rPr>
            <w:noProof/>
            <w:webHidden/>
          </w:rPr>
        </w:r>
        <w:r w:rsidR="002C0E50">
          <w:rPr>
            <w:noProof/>
            <w:webHidden/>
          </w:rPr>
          <w:fldChar w:fldCharType="separate"/>
        </w:r>
        <w:r w:rsidR="00A15698">
          <w:rPr>
            <w:noProof/>
            <w:webHidden/>
          </w:rPr>
          <w:t>16</w:t>
        </w:r>
        <w:r w:rsidR="002C0E50">
          <w:rPr>
            <w:noProof/>
            <w:webHidden/>
          </w:rPr>
          <w:fldChar w:fldCharType="end"/>
        </w:r>
      </w:hyperlink>
    </w:p>
    <w:p w14:paraId="00765119" w14:textId="146D92D4" w:rsidR="002C0E50" w:rsidRDefault="00E909AE">
      <w:pPr>
        <w:pStyle w:val="TOC8"/>
        <w:rPr>
          <w:rFonts w:asciiTheme="minorHAnsi" w:eastAsiaTheme="minorEastAsia" w:hAnsiTheme="minorHAnsi" w:cstheme="minorBidi"/>
          <w:noProof/>
          <w:szCs w:val="24"/>
        </w:rPr>
      </w:pPr>
      <w:hyperlink r:id="rId35" w:anchor="_Toc82386274" w:history="1">
        <w:r w:rsidR="002C0E50" w:rsidRPr="00F40DDB">
          <w:rPr>
            <w:rStyle w:val="Hyperlink"/>
            <w:noProof/>
          </w:rPr>
          <w:t xml:space="preserve">Figure 2.15: </w:t>
        </w:r>
        <w:r w:rsidR="002C0E50">
          <w:rPr>
            <w:rFonts w:asciiTheme="minorHAnsi" w:eastAsiaTheme="minorEastAsia" w:hAnsiTheme="minorHAnsi" w:cstheme="minorBidi"/>
            <w:noProof/>
            <w:szCs w:val="24"/>
          </w:rPr>
          <w:tab/>
        </w:r>
        <w:r w:rsidR="002C0E50" w:rsidRPr="00F40DDB">
          <w:rPr>
            <w:rStyle w:val="Hyperlink"/>
            <w:noProof/>
          </w:rPr>
          <w:t>Percentage of Households with Sufficient Land for Agriculture Activities, 2019/20 Agricultural Year, Tanzania Zanzibar</w:t>
        </w:r>
        <w:r w:rsidR="002C0E50">
          <w:rPr>
            <w:noProof/>
            <w:webHidden/>
          </w:rPr>
          <w:tab/>
        </w:r>
        <w:r w:rsidR="002C0E50">
          <w:rPr>
            <w:noProof/>
            <w:webHidden/>
          </w:rPr>
          <w:fldChar w:fldCharType="begin"/>
        </w:r>
        <w:r w:rsidR="002C0E50">
          <w:rPr>
            <w:noProof/>
            <w:webHidden/>
          </w:rPr>
          <w:instrText xml:space="preserve"> PAGEREF _Toc82386274 \h </w:instrText>
        </w:r>
        <w:r w:rsidR="002C0E50">
          <w:rPr>
            <w:noProof/>
            <w:webHidden/>
          </w:rPr>
        </w:r>
        <w:r w:rsidR="002C0E50">
          <w:rPr>
            <w:noProof/>
            <w:webHidden/>
          </w:rPr>
          <w:fldChar w:fldCharType="separate"/>
        </w:r>
        <w:r w:rsidR="00A15698">
          <w:rPr>
            <w:noProof/>
            <w:webHidden/>
          </w:rPr>
          <w:t>16</w:t>
        </w:r>
        <w:r w:rsidR="002C0E50">
          <w:rPr>
            <w:noProof/>
            <w:webHidden/>
          </w:rPr>
          <w:fldChar w:fldCharType="end"/>
        </w:r>
      </w:hyperlink>
    </w:p>
    <w:p w14:paraId="5611EC4B" w14:textId="705933E9" w:rsidR="002C0E50" w:rsidRDefault="00E909AE">
      <w:pPr>
        <w:pStyle w:val="TOC8"/>
        <w:rPr>
          <w:rFonts w:asciiTheme="minorHAnsi" w:eastAsiaTheme="minorEastAsia" w:hAnsiTheme="minorHAnsi" w:cstheme="minorBidi"/>
          <w:noProof/>
          <w:szCs w:val="24"/>
        </w:rPr>
      </w:pPr>
      <w:hyperlink w:anchor="_Toc82386275" w:history="1">
        <w:r w:rsidR="002C0E50" w:rsidRPr="00F40DDB">
          <w:rPr>
            <w:rStyle w:val="Hyperlink"/>
            <w:noProof/>
          </w:rPr>
          <w:t>Figure 2.16:</w:t>
        </w:r>
        <w:r w:rsidR="002C0E50">
          <w:rPr>
            <w:rFonts w:asciiTheme="minorHAnsi" w:eastAsiaTheme="minorEastAsia" w:hAnsiTheme="minorHAnsi" w:cstheme="minorBidi"/>
            <w:noProof/>
            <w:szCs w:val="24"/>
          </w:rPr>
          <w:tab/>
        </w:r>
        <w:r w:rsidR="002C0E50" w:rsidRPr="00F40DDB">
          <w:rPr>
            <w:rStyle w:val="Hyperlink"/>
            <w:noProof/>
          </w:rPr>
          <w:t>Land Area by Type of Land Use During 2019/20 Agricultural Year, Tanzania</w:t>
        </w:r>
        <w:r w:rsidR="002C0E50">
          <w:rPr>
            <w:noProof/>
            <w:webHidden/>
          </w:rPr>
          <w:tab/>
        </w:r>
        <w:r w:rsidR="002C0E50">
          <w:rPr>
            <w:noProof/>
            <w:webHidden/>
          </w:rPr>
          <w:fldChar w:fldCharType="begin"/>
        </w:r>
        <w:r w:rsidR="002C0E50">
          <w:rPr>
            <w:noProof/>
            <w:webHidden/>
          </w:rPr>
          <w:instrText xml:space="preserve"> PAGEREF _Toc82386275 \h </w:instrText>
        </w:r>
        <w:r w:rsidR="002C0E50">
          <w:rPr>
            <w:noProof/>
            <w:webHidden/>
          </w:rPr>
        </w:r>
        <w:r w:rsidR="002C0E50">
          <w:rPr>
            <w:noProof/>
            <w:webHidden/>
          </w:rPr>
          <w:fldChar w:fldCharType="separate"/>
        </w:r>
        <w:r w:rsidR="00A15698">
          <w:rPr>
            <w:noProof/>
            <w:webHidden/>
          </w:rPr>
          <w:t>17</w:t>
        </w:r>
        <w:r w:rsidR="002C0E50">
          <w:rPr>
            <w:noProof/>
            <w:webHidden/>
          </w:rPr>
          <w:fldChar w:fldCharType="end"/>
        </w:r>
      </w:hyperlink>
    </w:p>
    <w:p w14:paraId="08A2ECA4" w14:textId="32528E00" w:rsidR="002C0E50" w:rsidRDefault="00E909AE">
      <w:pPr>
        <w:pStyle w:val="TOC8"/>
        <w:rPr>
          <w:rFonts w:asciiTheme="minorHAnsi" w:eastAsiaTheme="minorEastAsia" w:hAnsiTheme="minorHAnsi" w:cstheme="minorBidi"/>
          <w:noProof/>
          <w:szCs w:val="24"/>
        </w:rPr>
      </w:pPr>
      <w:hyperlink w:anchor="_Toc82386276" w:history="1">
        <w:r w:rsidR="002C0E50" w:rsidRPr="00F40DDB">
          <w:rPr>
            <w:rStyle w:val="Hyperlink"/>
            <w:noProof/>
          </w:rPr>
          <w:t>Figure 2.17:</w:t>
        </w:r>
        <w:r w:rsidR="002C0E50">
          <w:rPr>
            <w:rFonts w:asciiTheme="minorHAnsi" w:eastAsiaTheme="minorEastAsia" w:hAnsiTheme="minorHAnsi" w:cstheme="minorBidi"/>
            <w:noProof/>
            <w:szCs w:val="24"/>
          </w:rPr>
          <w:tab/>
        </w:r>
        <w:r w:rsidR="002C0E50" w:rsidRPr="00F40DDB">
          <w:rPr>
            <w:rStyle w:val="Hyperlink"/>
            <w:noProof/>
          </w:rPr>
          <w:t>Distribution of Land Utilization by Region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_Toc82386276 \h </w:instrText>
        </w:r>
        <w:r w:rsidR="002C0E50">
          <w:rPr>
            <w:noProof/>
            <w:webHidden/>
          </w:rPr>
        </w:r>
        <w:r w:rsidR="002C0E50">
          <w:rPr>
            <w:noProof/>
            <w:webHidden/>
          </w:rPr>
          <w:fldChar w:fldCharType="separate"/>
        </w:r>
        <w:r w:rsidR="00A15698">
          <w:rPr>
            <w:noProof/>
            <w:webHidden/>
          </w:rPr>
          <w:t>18</w:t>
        </w:r>
        <w:r w:rsidR="002C0E50">
          <w:rPr>
            <w:noProof/>
            <w:webHidden/>
          </w:rPr>
          <w:fldChar w:fldCharType="end"/>
        </w:r>
      </w:hyperlink>
    </w:p>
    <w:p w14:paraId="6D5D0407" w14:textId="3B48A439" w:rsidR="002C0E50" w:rsidRDefault="00E909AE">
      <w:pPr>
        <w:pStyle w:val="TOC8"/>
        <w:rPr>
          <w:rFonts w:asciiTheme="minorHAnsi" w:eastAsiaTheme="minorEastAsia" w:hAnsiTheme="minorHAnsi" w:cstheme="minorBidi"/>
          <w:noProof/>
          <w:szCs w:val="24"/>
        </w:rPr>
      </w:pPr>
      <w:hyperlink w:anchor="_Toc82386277" w:history="1">
        <w:r w:rsidR="002C0E50" w:rsidRPr="00F40DDB">
          <w:rPr>
            <w:rStyle w:val="Hyperlink"/>
            <w:noProof/>
          </w:rPr>
          <w:t>Figure 2.18:</w:t>
        </w:r>
        <w:r w:rsidR="002C0E50">
          <w:rPr>
            <w:rFonts w:asciiTheme="minorHAnsi" w:eastAsiaTheme="minorEastAsia" w:hAnsiTheme="minorHAnsi" w:cstheme="minorBidi"/>
            <w:noProof/>
            <w:szCs w:val="24"/>
          </w:rPr>
          <w:tab/>
        </w:r>
        <w:r w:rsidR="002C0E50" w:rsidRPr="00F40DDB">
          <w:rPr>
            <w:rStyle w:val="Hyperlink"/>
            <w:noProof/>
          </w:rPr>
          <w:t>Distribution of Land Utilization by Region 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_Toc82386277 \h </w:instrText>
        </w:r>
        <w:r w:rsidR="002C0E50">
          <w:rPr>
            <w:noProof/>
            <w:webHidden/>
          </w:rPr>
        </w:r>
        <w:r w:rsidR="002C0E50">
          <w:rPr>
            <w:noProof/>
            <w:webHidden/>
          </w:rPr>
          <w:fldChar w:fldCharType="separate"/>
        </w:r>
        <w:r w:rsidR="00A15698">
          <w:rPr>
            <w:noProof/>
            <w:webHidden/>
          </w:rPr>
          <w:t>19</w:t>
        </w:r>
        <w:r w:rsidR="002C0E50">
          <w:rPr>
            <w:noProof/>
            <w:webHidden/>
          </w:rPr>
          <w:fldChar w:fldCharType="end"/>
        </w:r>
      </w:hyperlink>
    </w:p>
    <w:p w14:paraId="24706014" w14:textId="266ED4F5" w:rsidR="002C0E50" w:rsidRDefault="00E909AE">
      <w:pPr>
        <w:pStyle w:val="TOC8"/>
        <w:rPr>
          <w:rFonts w:asciiTheme="minorHAnsi" w:eastAsiaTheme="minorEastAsia" w:hAnsiTheme="minorHAnsi" w:cstheme="minorBidi"/>
          <w:noProof/>
          <w:szCs w:val="24"/>
        </w:rPr>
      </w:pPr>
      <w:hyperlink w:anchor="_Toc82386278" w:history="1">
        <w:r w:rsidR="002C0E50" w:rsidRPr="00F40DDB">
          <w:rPr>
            <w:rStyle w:val="Hyperlink"/>
            <w:noProof/>
          </w:rPr>
          <w:t>Figure 3.1:</w:t>
        </w:r>
        <w:r w:rsidR="002C0E50">
          <w:rPr>
            <w:rFonts w:asciiTheme="minorHAnsi" w:eastAsiaTheme="minorEastAsia" w:hAnsiTheme="minorHAnsi" w:cstheme="minorBidi"/>
            <w:noProof/>
            <w:szCs w:val="24"/>
          </w:rPr>
          <w:tab/>
        </w:r>
        <w:r w:rsidR="002C0E50" w:rsidRPr="00F40DDB">
          <w:rPr>
            <w:rStyle w:val="Hyperlink"/>
            <w:noProof/>
          </w:rPr>
          <w:t>Planted and Harvested Area with Maize by Smallholder Farmers by Region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_Toc82386278 \h </w:instrText>
        </w:r>
        <w:r w:rsidR="002C0E50">
          <w:rPr>
            <w:noProof/>
            <w:webHidden/>
          </w:rPr>
        </w:r>
        <w:r w:rsidR="002C0E50">
          <w:rPr>
            <w:noProof/>
            <w:webHidden/>
          </w:rPr>
          <w:fldChar w:fldCharType="separate"/>
        </w:r>
        <w:r w:rsidR="00A15698">
          <w:rPr>
            <w:noProof/>
            <w:webHidden/>
          </w:rPr>
          <w:t>24</w:t>
        </w:r>
        <w:r w:rsidR="002C0E50">
          <w:rPr>
            <w:noProof/>
            <w:webHidden/>
          </w:rPr>
          <w:fldChar w:fldCharType="end"/>
        </w:r>
      </w:hyperlink>
    </w:p>
    <w:p w14:paraId="0622A986" w14:textId="00FA8C75" w:rsidR="002C0E50" w:rsidRDefault="00E909AE">
      <w:pPr>
        <w:pStyle w:val="TOC8"/>
        <w:rPr>
          <w:rFonts w:asciiTheme="minorHAnsi" w:eastAsiaTheme="minorEastAsia" w:hAnsiTheme="minorHAnsi" w:cstheme="minorBidi"/>
          <w:noProof/>
          <w:szCs w:val="24"/>
        </w:rPr>
      </w:pPr>
      <w:hyperlink w:anchor="_Toc82386279" w:history="1">
        <w:r w:rsidR="002C0E50" w:rsidRPr="00F40DDB">
          <w:rPr>
            <w:rStyle w:val="Hyperlink"/>
            <w:noProof/>
          </w:rPr>
          <w:t>Figure 3.2:</w:t>
        </w:r>
        <w:r w:rsidR="002C0E50">
          <w:rPr>
            <w:rFonts w:asciiTheme="minorHAnsi" w:eastAsiaTheme="minorEastAsia" w:hAnsiTheme="minorHAnsi" w:cstheme="minorBidi"/>
            <w:noProof/>
            <w:szCs w:val="24"/>
          </w:rPr>
          <w:tab/>
        </w:r>
        <w:r w:rsidR="002C0E50" w:rsidRPr="00F40DDB">
          <w:rPr>
            <w:rStyle w:val="Hyperlink"/>
            <w:noProof/>
          </w:rPr>
          <w:t>Planted and Harvested Area with Maize by Smallholder Farmers by Region 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_Toc82386279 \h </w:instrText>
        </w:r>
        <w:r w:rsidR="002C0E50">
          <w:rPr>
            <w:noProof/>
            <w:webHidden/>
          </w:rPr>
        </w:r>
        <w:r w:rsidR="002C0E50">
          <w:rPr>
            <w:noProof/>
            <w:webHidden/>
          </w:rPr>
          <w:fldChar w:fldCharType="separate"/>
        </w:r>
        <w:r w:rsidR="00A15698">
          <w:rPr>
            <w:noProof/>
            <w:webHidden/>
          </w:rPr>
          <w:t>24</w:t>
        </w:r>
        <w:r w:rsidR="002C0E50">
          <w:rPr>
            <w:noProof/>
            <w:webHidden/>
          </w:rPr>
          <w:fldChar w:fldCharType="end"/>
        </w:r>
      </w:hyperlink>
    </w:p>
    <w:p w14:paraId="7ACE2D60" w14:textId="2511FDB4" w:rsidR="002C0E50" w:rsidRDefault="00E909AE">
      <w:pPr>
        <w:pStyle w:val="TOC8"/>
        <w:rPr>
          <w:rFonts w:asciiTheme="minorHAnsi" w:eastAsiaTheme="minorEastAsia" w:hAnsiTheme="minorHAnsi" w:cstheme="minorBidi"/>
          <w:noProof/>
          <w:szCs w:val="24"/>
        </w:rPr>
      </w:pPr>
      <w:hyperlink w:anchor="_Toc82386280" w:history="1">
        <w:r w:rsidR="002C0E50" w:rsidRPr="00F40DDB">
          <w:rPr>
            <w:rStyle w:val="Hyperlink"/>
            <w:noProof/>
          </w:rPr>
          <w:t>Figure 3.3:</w:t>
        </w:r>
        <w:r w:rsidR="002C0E50">
          <w:rPr>
            <w:rFonts w:asciiTheme="minorHAnsi" w:eastAsiaTheme="minorEastAsia" w:hAnsiTheme="minorHAnsi" w:cstheme="minorBidi"/>
            <w:noProof/>
            <w:szCs w:val="24"/>
          </w:rPr>
          <w:tab/>
        </w:r>
        <w:r w:rsidR="002C0E50" w:rsidRPr="00F40DDB">
          <w:rPr>
            <w:rStyle w:val="Hyperlink"/>
            <w:noProof/>
          </w:rPr>
          <w:t>Production and Yield of Maize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_Toc82386280 \h </w:instrText>
        </w:r>
        <w:r w:rsidR="002C0E50">
          <w:rPr>
            <w:noProof/>
            <w:webHidden/>
          </w:rPr>
        </w:r>
        <w:r w:rsidR="002C0E50">
          <w:rPr>
            <w:noProof/>
            <w:webHidden/>
          </w:rPr>
          <w:fldChar w:fldCharType="separate"/>
        </w:r>
        <w:r w:rsidR="00A15698">
          <w:rPr>
            <w:noProof/>
            <w:webHidden/>
          </w:rPr>
          <w:t>25</w:t>
        </w:r>
        <w:r w:rsidR="002C0E50">
          <w:rPr>
            <w:noProof/>
            <w:webHidden/>
          </w:rPr>
          <w:fldChar w:fldCharType="end"/>
        </w:r>
      </w:hyperlink>
    </w:p>
    <w:p w14:paraId="52AFC8D0" w14:textId="03207AB7" w:rsidR="002C0E50" w:rsidRDefault="00E909AE">
      <w:pPr>
        <w:pStyle w:val="TOC8"/>
        <w:rPr>
          <w:rFonts w:asciiTheme="minorHAnsi" w:eastAsiaTheme="minorEastAsia" w:hAnsiTheme="minorHAnsi" w:cstheme="minorBidi"/>
          <w:noProof/>
          <w:szCs w:val="24"/>
        </w:rPr>
      </w:pPr>
      <w:hyperlink w:anchor="_Toc82386281" w:history="1">
        <w:r w:rsidR="002C0E50" w:rsidRPr="00F40DDB">
          <w:rPr>
            <w:rStyle w:val="Hyperlink"/>
            <w:noProof/>
          </w:rPr>
          <w:t>Figure 3.4:</w:t>
        </w:r>
        <w:r w:rsidR="002C0E50">
          <w:rPr>
            <w:rFonts w:asciiTheme="minorHAnsi" w:eastAsiaTheme="minorEastAsia" w:hAnsiTheme="minorHAnsi" w:cstheme="minorBidi"/>
            <w:noProof/>
            <w:szCs w:val="24"/>
          </w:rPr>
          <w:tab/>
        </w:r>
        <w:r w:rsidR="002C0E50" w:rsidRPr="00F40DDB">
          <w:rPr>
            <w:rStyle w:val="Hyperlink"/>
            <w:noProof/>
          </w:rPr>
          <w:t>Production and Yield of Maize 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_Toc82386281 \h </w:instrText>
        </w:r>
        <w:r w:rsidR="002C0E50">
          <w:rPr>
            <w:noProof/>
            <w:webHidden/>
          </w:rPr>
        </w:r>
        <w:r w:rsidR="002C0E50">
          <w:rPr>
            <w:noProof/>
            <w:webHidden/>
          </w:rPr>
          <w:fldChar w:fldCharType="separate"/>
        </w:r>
        <w:r w:rsidR="00A15698">
          <w:rPr>
            <w:noProof/>
            <w:webHidden/>
          </w:rPr>
          <w:t>26</w:t>
        </w:r>
        <w:r w:rsidR="002C0E50">
          <w:rPr>
            <w:noProof/>
            <w:webHidden/>
          </w:rPr>
          <w:fldChar w:fldCharType="end"/>
        </w:r>
      </w:hyperlink>
    </w:p>
    <w:p w14:paraId="3CB7C707" w14:textId="6204B4C5" w:rsidR="002C0E50" w:rsidRDefault="00E909AE">
      <w:pPr>
        <w:pStyle w:val="TOC8"/>
        <w:rPr>
          <w:rFonts w:asciiTheme="minorHAnsi" w:eastAsiaTheme="minorEastAsia" w:hAnsiTheme="minorHAnsi" w:cstheme="minorBidi"/>
          <w:noProof/>
          <w:szCs w:val="24"/>
        </w:rPr>
      </w:pPr>
      <w:hyperlink r:id="rId36" w:anchor="_Toc82386282" w:history="1">
        <w:r w:rsidR="002C0E50" w:rsidRPr="00F40DDB">
          <w:rPr>
            <w:rStyle w:val="Hyperlink"/>
            <w:noProof/>
          </w:rPr>
          <w:t>Figure 3.5:</w:t>
        </w:r>
        <w:r w:rsidR="002C0E50">
          <w:rPr>
            <w:rFonts w:asciiTheme="minorHAnsi" w:eastAsiaTheme="minorEastAsia" w:hAnsiTheme="minorHAnsi" w:cstheme="minorBidi"/>
            <w:noProof/>
            <w:szCs w:val="24"/>
          </w:rPr>
          <w:tab/>
        </w:r>
        <w:r w:rsidR="002C0E50" w:rsidRPr="00F40DDB">
          <w:rPr>
            <w:rStyle w:val="Hyperlink"/>
            <w:noProof/>
          </w:rPr>
          <w:t>Trend of Maize Production by Smallholder Farmers by Three Consecutive Censuses in Tanzania</w:t>
        </w:r>
        <w:r w:rsidR="002C0E50">
          <w:rPr>
            <w:noProof/>
            <w:webHidden/>
          </w:rPr>
          <w:tab/>
        </w:r>
        <w:r w:rsidR="002C0E50">
          <w:rPr>
            <w:noProof/>
            <w:webHidden/>
          </w:rPr>
          <w:fldChar w:fldCharType="begin"/>
        </w:r>
        <w:r w:rsidR="002C0E50">
          <w:rPr>
            <w:noProof/>
            <w:webHidden/>
          </w:rPr>
          <w:instrText xml:space="preserve"> PAGEREF _Toc82386282 \h </w:instrText>
        </w:r>
        <w:r w:rsidR="002C0E50">
          <w:rPr>
            <w:noProof/>
            <w:webHidden/>
          </w:rPr>
        </w:r>
        <w:r w:rsidR="002C0E50">
          <w:rPr>
            <w:noProof/>
            <w:webHidden/>
          </w:rPr>
          <w:fldChar w:fldCharType="separate"/>
        </w:r>
        <w:r w:rsidR="00A15698">
          <w:rPr>
            <w:noProof/>
            <w:webHidden/>
          </w:rPr>
          <w:t>27</w:t>
        </w:r>
        <w:r w:rsidR="002C0E50">
          <w:rPr>
            <w:noProof/>
            <w:webHidden/>
          </w:rPr>
          <w:fldChar w:fldCharType="end"/>
        </w:r>
      </w:hyperlink>
    </w:p>
    <w:p w14:paraId="715B2DDC" w14:textId="02FE871B" w:rsidR="002C0E50" w:rsidRDefault="00E909AE">
      <w:pPr>
        <w:pStyle w:val="TOC8"/>
        <w:rPr>
          <w:rFonts w:asciiTheme="minorHAnsi" w:eastAsiaTheme="minorEastAsia" w:hAnsiTheme="minorHAnsi" w:cstheme="minorBidi"/>
          <w:noProof/>
          <w:szCs w:val="24"/>
        </w:rPr>
      </w:pPr>
      <w:hyperlink w:anchor="_Toc82386283" w:history="1">
        <w:r w:rsidR="002C0E50" w:rsidRPr="00F40DDB">
          <w:rPr>
            <w:rStyle w:val="Hyperlink"/>
            <w:noProof/>
          </w:rPr>
          <w:t>Figure 3.6:</w:t>
        </w:r>
        <w:r w:rsidR="002C0E50">
          <w:rPr>
            <w:rFonts w:asciiTheme="minorHAnsi" w:eastAsiaTheme="minorEastAsia" w:hAnsiTheme="minorHAnsi" w:cstheme="minorBidi"/>
            <w:noProof/>
            <w:szCs w:val="24"/>
          </w:rPr>
          <w:tab/>
        </w:r>
        <w:r w:rsidR="002C0E50" w:rsidRPr="00F40DDB">
          <w:rPr>
            <w:rStyle w:val="Hyperlink"/>
            <w:noProof/>
          </w:rPr>
          <w:t>Planted and Harvested Area with Paddy by Smallholder Farmers by Region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_Toc82386283 \h </w:instrText>
        </w:r>
        <w:r w:rsidR="002C0E50">
          <w:rPr>
            <w:noProof/>
            <w:webHidden/>
          </w:rPr>
        </w:r>
        <w:r w:rsidR="002C0E50">
          <w:rPr>
            <w:noProof/>
            <w:webHidden/>
          </w:rPr>
          <w:fldChar w:fldCharType="separate"/>
        </w:r>
        <w:r w:rsidR="00A15698">
          <w:rPr>
            <w:noProof/>
            <w:webHidden/>
          </w:rPr>
          <w:t>28</w:t>
        </w:r>
        <w:r w:rsidR="002C0E50">
          <w:rPr>
            <w:noProof/>
            <w:webHidden/>
          </w:rPr>
          <w:fldChar w:fldCharType="end"/>
        </w:r>
      </w:hyperlink>
    </w:p>
    <w:p w14:paraId="51FB345A" w14:textId="691B636A" w:rsidR="002C0E50" w:rsidRDefault="00E909AE">
      <w:pPr>
        <w:pStyle w:val="TOC8"/>
        <w:rPr>
          <w:rFonts w:asciiTheme="minorHAnsi" w:eastAsiaTheme="minorEastAsia" w:hAnsiTheme="minorHAnsi" w:cstheme="minorBidi"/>
          <w:noProof/>
          <w:szCs w:val="24"/>
        </w:rPr>
      </w:pPr>
      <w:hyperlink w:anchor="_Toc82386284" w:history="1">
        <w:r w:rsidR="002C0E50" w:rsidRPr="00F40DDB">
          <w:rPr>
            <w:rStyle w:val="Hyperlink"/>
            <w:noProof/>
          </w:rPr>
          <w:t>Figure 3.7:</w:t>
        </w:r>
        <w:r w:rsidR="002C0E50">
          <w:rPr>
            <w:rFonts w:asciiTheme="minorHAnsi" w:eastAsiaTheme="minorEastAsia" w:hAnsiTheme="minorHAnsi" w:cstheme="minorBidi"/>
            <w:noProof/>
            <w:szCs w:val="24"/>
          </w:rPr>
          <w:tab/>
        </w:r>
        <w:r w:rsidR="002C0E50" w:rsidRPr="00F40DDB">
          <w:rPr>
            <w:rStyle w:val="Hyperlink"/>
            <w:noProof/>
          </w:rPr>
          <w:t>Planted and Harvested Area with Paddy by Smallholder Farmers by Region 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_Toc82386284 \h </w:instrText>
        </w:r>
        <w:r w:rsidR="002C0E50">
          <w:rPr>
            <w:noProof/>
            <w:webHidden/>
          </w:rPr>
        </w:r>
        <w:r w:rsidR="002C0E50">
          <w:rPr>
            <w:noProof/>
            <w:webHidden/>
          </w:rPr>
          <w:fldChar w:fldCharType="separate"/>
        </w:r>
        <w:r w:rsidR="00A15698">
          <w:rPr>
            <w:noProof/>
            <w:webHidden/>
          </w:rPr>
          <w:t>28</w:t>
        </w:r>
        <w:r w:rsidR="002C0E50">
          <w:rPr>
            <w:noProof/>
            <w:webHidden/>
          </w:rPr>
          <w:fldChar w:fldCharType="end"/>
        </w:r>
      </w:hyperlink>
    </w:p>
    <w:p w14:paraId="2D143C09" w14:textId="59797069" w:rsidR="002C0E50" w:rsidRDefault="00E909AE">
      <w:pPr>
        <w:pStyle w:val="TOC8"/>
        <w:rPr>
          <w:rFonts w:asciiTheme="minorHAnsi" w:eastAsiaTheme="minorEastAsia" w:hAnsiTheme="minorHAnsi" w:cstheme="minorBidi"/>
          <w:noProof/>
          <w:szCs w:val="24"/>
        </w:rPr>
      </w:pPr>
      <w:hyperlink w:anchor="_Toc82386285" w:history="1">
        <w:r w:rsidR="002C0E50" w:rsidRPr="00F40DDB">
          <w:rPr>
            <w:rStyle w:val="Hyperlink"/>
            <w:noProof/>
          </w:rPr>
          <w:t>Figure 3.8:</w:t>
        </w:r>
        <w:r w:rsidR="002C0E50">
          <w:rPr>
            <w:rFonts w:asciiTheme="minorHAnsi" w:eastAsiaTheme="minorEastAsia" w:hAnsiTheme="minorHAnsi" w:cstheme="minorBidi"/>
            <w:noProof/>
            <w:szCs w:val="24"/>
          </w:rPr>
          <w:tab/>
        </w:r>
        <w:r w:rsidR="002C0E50" w:rsidRPr="00F40DDB">
          <w:rPr>
            <w:rStyle w:val="Hyperlink"/>
            <w:noProof/>
          </w:rPr>
          <w:t>Production and Yield of Paddy by Smallholder Farmers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_Toc82386285 \h </w:instrText>
        </w:r>
        <w:r w:rsidR="002C0E50">
          <w:rPr>
            <w:noProof/>
            <w:webHidden/>
          </w:rPr>
        </w:r>
        <w:r w:rsidR="002C0E50">
          <w:rPr>
            <w:noProof/>
            <w:webHidden/>
          </w:rPr>
          <w:fldChar w:fldCharType="separate"/>
        </w:r>
        <w:r w:rsidR="00A15698">
          <w:rPr>
            <w:noProof/>
            <w:webHidden/>
          </w:rPr>
          <w:t>30</w:t>
        </w:r>
        <w:r w:rsidR="002C0E50">
          <w:rPr>
            <w:noProof/>
            <w:webHidden/>
          </w:rPr>
          <w:fldChar w:fldCharType="end"/>
        </w:r>
      </w:hyperlink>
    </w:p>
    <w:p w14:paraId="7C4FE8DA" w14:textId="2AB5E67B" w:rsidR="002C0E50" w:rsidRDefault="00E909AE">
      <w:pPr>
        <w:pStyle w:val="TOC8"/>
        <w:rPr>
          <w:rFonts w:asciiTheme="minorHAnsi" w:eastAsiaTheme="minorEastAsia" w:hAnsiTheme="minorHAnsi" w:cstheme="minorBidi"/>
          <w:noProof/>
          <w:szCs w:val="24"/>
        </w:rPr>
      </w:pPr>
      <w:hyperlink w:anchor="_Toc82386286" w:history="1">
        <w:r w:rsidR="002C0E50" w:rsidRPr="00F40DDB">
          <w:rPr>
            <w:rStyle w:val="Hyperlink"/>
            <w:noProof/>
          </w:rPr>
          <w:t>Figure 3.9:</w:t>
        </w:r>
        <w:r w:rsidR="002C0E50">
          <w:rPr>
            <w:rFonts w:asciiTheme="minorHAnsi" w:eastAsiaTheme="minorEastAsia" w:hAnsiTheme="minorHAnsi" w:cstheme="minorBidi"/>
            <w:noProof/>
            <w:szCs w:val="24"/>
          </w:rPr>
          <w:tab/>
        </w:r>
        <w:r w:rsidR="002C0E50" w:rsidRPr="00F40DDB">
          <w:rPr>
            <w:rStyle w:val="Hyperlink"/>
            <w:noProof/>
          </w:rPr>
          <w:t>Production and Yield of Paddy by Smallholder Farmers 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_Toc82386286 \h </w:instrText>
        </w:r>
        <w:r w:rsidR="002C0E50">
          <w:rPr>
            <w:noProof/>
            <w:webHidden/>
          </w:rPr>
        </w:r>
        <w:r w:rsidR="002C0E50">
          <w:rPr>
            <w:noProof/>
            <w:webHidden/>
          </w:rPr>
          <w:fldChar w:fldCharType="separate"/>
        </w:r>
        <w:r w:rsidR="00A15698">
          <w:rPr>
            <w:noProof/>
            <w:webHidden/>
          </w:rPr>
          <w:t>30</w:t>
        </w:r>
        <w:r w:rsidR="002C0E50">
          <w:rPr>
            <w:noProof/>
            <w:webHidden/>
          </w:rPr>
          <w:fldChar w:fldCharType="end"/>
        </w:r>
      </w:hyperlink>
    </w:p>
    <w:p w14:paraId="20A4ED41" w14:textId="0338D91F" w:rsidR="002C0E50" w:rsidRDefault="00E909AE">
      <w:pPr>
        <w:pStyle w:val="TOC8"/>
        <w:rPr>
          <w:rFonts w:asciiTheme="minorHAnsi" w:eastAsiaTheme="minorEastAsia" w:hAnsiTheme="minorHAnsi" w:cstheme="minorBidi"/>
          <w:noProof/>
          <w:szCs w:val="24"/>
        </w:rPr>
      </w:pPr>
      <w:hyperlink r:id="rId37" w:anchor="_Toc82386287" w:history="1">
        <w:r w:rsidR="002C0E50" w:rsidRPr="00F40DDB">
          <w:rPr>
            <w:rStyle w:val="Hyperlink"/>
            <w:noProof/>
          </w:rPr>
          <w:t>Figure 3.10:</w:t>
        </w:r>
        <w:r w:rsidR="002C0E50">
          <w:rPr>
            <w:rFonts w:asciiTheme="minorHAnsi" w:eastAsiaTheme="minorEastAsia" w:hAnsiTheme="minorHAnsi" w:cstheme="minorBidi"/>
            <w:noProof/>
            <w:szCs w:val="24"/>
          </w:rPr>
          <w:tab/>
        </w:r>
        <w:r w:rsidR="002C0E50" w:rsidRPr="00F40DDB">
          <w:rPr>
            <w:rStyle w:val="Hyperlink"/>
            <w:noProof/>
          </w:rPr>
          <w:t>Trend of Paddy Production by Smallholder Farmers in Three Consecutive Censuses, Tanzania</w:t>
        </w:r>
        <w:r w:rsidR="002C0E50">
          <w:rPr>
            <w:noProof/>
            <w:webHidden/>
          </w:rPr>
          <w:tab/>
        </w:r>
        <w:r w:rsidR="002C0E50">
          <w:rPr>
            <w:noProof/>
            <w:webHidden/>
          </w:rPr>
          <w:fldChar w:fldCharType="begin"/>
        </w:r>
        <w:r w:rsidR="002C0E50">
          <w:rPr>
            <w:noProof/>
            <w:webHidden/>
          </w:rPr>
          <w:instrText xml:space="preserve"> PAGEREF _Toc82386287 \h </w:instrText>
        </w:r>
        <w:r w:rsidR="002C0E50">
          <w:rPr>
            <w:noProof/>
            <w:webHidden/>
          </w:rPr>
        </w:r>
        <w:r w:rsidR="002C0E50">
          <w:rPr>
            <w:noProof/>
            <w:webHidden/>
          </w:rPr>
          <w:fldChar w:fldCharType="separate"/>
        </w:r>
        <w:r w:rsidR="00A15698">
          <w:rPr>
            <w:noProof/>
            <w:webHidden/>
          </w:rPr>
          <w:t>31</w:t>
        </w:r>
        <w:r w:rsidR="002C0E50">
          <w:rPr>
            <w:noProof/>
            <w:webHidden/>
          </w:rPr>
          <w:fldChar w:fldCharType="end"/>
        </w:r>
      </w:hyperlink>
    </w:p>
    <w:p w14:paraId="722EAC67" w14:textId="694F497D" w:rsidR="002C0E50" w:rsidRDefault="00E909AE">
      <w:pPr>
        <w:pStyle w:val="TOC8"/>
        <w:rPr>
          <w:rFonts w:asciiTheme="minorHAnsi" w:eastAsiaTheme="minorEastAsia" w:hAnsiTheme="minorHAnsi" w:cstheme="minorBidi"/>
          <w:noProof/>
          <w:szCs w:val="24"/>
        </w:rPr>
      </w:pPr>
      <w:hyperlink w:anchor="_Toc82386288" w:history="1">
        <w:r w:rsidR="002C0E50" w:rsidRPr="00F40DDB">
          <w:rPr>
            <w:rStyle w:val="Hyperlink"/>
            <w:noProof/>
          </w:rPr>
          <w:t>Figure 3.11:</w:t>
        </w:r>
        <w:r w:rsidR="002C0E50">
          <w:rPr>
            <w:rFonts w:asciiTheme="minorHAnsi" w:eastAsiaTheme="minorEastAsia" w:hAnsiTheme="minorHAnsi" w:cstheme="minorBidi"/>
            <w:noProof/>
            <w:szCs w:val="24"/>
          </w:rPr>
          <w:tab/>
        </w:r>
        <w:r w:rsidR="002C0E50" w:rsidRPr="00F40DDB">
          <w:rPr>
            <w:rStyle w:val="Hyperlink"/>
            <w:noProof/>
          </w:rPr>
          <w:t>Planted and Harvested Area with Sorghum by Smallholder Farmers by Region During Agricultural Year, Mainland Tanzania</w:t>
        </w:r>
        <w:r w:rsidR="002C0E50">
          <w:rPr>
            <w:noProof/>
            <w:webHidden/>
          </w:rPr>
          <w:tab/>
        </w:r>
        <w:r w:rsidR="002C0E50">
          <w:rPr>
            <w:noProof/>
            <w:webHidden/>
          </w:rPr>
          <w:fldChar w:fldCharType="begin"/>
        </w:r>
        <w:r w:rsidR="002C0E50">
          <w:rPr>
            <w:noProof/>
            <w:webHidden/>
          </w:rPr>
          <w:instrText xml:space="preserve"> PAGEREF _Toc82386288 \h </w:instrText>
        </w:r>
        <w:r w:rsidR="002C0E50">
          <w:rPr>
            <w:noProof/>
            <w:webHidden/>
          </w:rPr>
        </w:r>
        <w:r w:rsidR="002C0E50">
          <w:rPr>
            <w:noProof/>
            <w:webHidden/>
          </w:rPr>
          <w:fldChar w:fldCharType="separate"/>
        </w:r>
        <w:r w:rsidR="00A15698">
          <w:rPr>
            <w:noProof/>
            <w:webHidden/>
          </w:rPr>
          <w:t>32</w:t>
        </w:r>
        <w:r w:rsidR="002C0E50">
          <w:rPr>
            <w:noProof/>
            <w:webHidden/>
          </w:rPr>
          <w:fldChar w:fldCharType="end"/>
        </w:r>
      </w:hyperlink>
    </w:p>
    <w:p w14:paraId="0398EACD" w14:textId="58C3CD87" w:rsidR="002C0E50" w:rsidRDefault="00E909AE">
      <w:pPr>
        <w:pStyle w:val="TOC8"/>
        <w:rPr>
          <w:rFonts w:asciiTheme="minorHAnsi" w:eastAsiaTheme="minorEastAsia" w:hAnsiTheme="minorHAnsi" w:cstheme="minorBidi"/>
          <w:noProof/>
          <w:szCs w:val="24"/>
        </w:rPr>
      </w:pPr>
      <w:hyperlink w:anchor="_Toc82386289" w:history="1">
        <w:r w:rsidR="002C0E50" w:rsidRPr="00F40DDB">
          <w:rPr>
            <w:rStyle w:val="Hyperlink"/>
            <w:noProof/>
          </w:rPr>
          <w:t>Figure 3.12:</w:t>
        </w:r>
        <w:r w:rsidR="002C0E50">
          <w:rPr>
            <w:rFonts w:asciiTheme="minorHAnsi" w:eastAsiaTheme="minorEastAsia" w:hAnsiTheme="minorHAnsi" w:cstheme="minorBidi"/>
            <w:noProof/>
            <w:szCs w:val="24"/>
          </w:rPr>
          <w:tab/>
        </w:r>
        <w:r w:rsidR="002C0E50" w:rsidRPr="00F40DDB">
          <w:rPr>
            <w:rStyle w:val="Hyperlink"/>
            <w:noProof/>
          </w:rPr>
          <w:t>Production and Yield of Sorghum by Smallholder Farmers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_Toc82386289 \h </w:instrText>
        </w:r>
        <w:r w:rsidR="002C0E50">
          <w:rPr>
            <w:noProof/>
            <w:webHidden/>
          </w:rPr>
        </w:r>
        <w:r w:rsidR="002C0E50">
          <w:rPr>
            <w:noProof/>
            <w:webHidden/>
          </w:rPr>
          <w:fldChar w:fldCharType="separate"/>
        </w:r>
        <w:r w:rsidR="00A15698">
          <w:rPr>
            <w:noProof/>
            <w:webHidden/>
          </w:rPr>
          <w:t>33</w:t>
        </w:r>
        <w:r w:rsidR="002C0E50">
          <w:rPr>
            <w:noProof/>
            <w:webHidden/>
          </w:rPr>
          <w:fldChar w:fldCharType="end"/>
        </w:r>
      </w:hyperlink>
    </w:p>
    <w:p w14:paraId="1C7465DC" w14:textId="13E0B606" w:rsidR="002C0E50" w:rsidRDefault="00E909AE">
      <w:pPr>
        <w:pStyle w:val="TOC8"/>
        <w:tabs>
          <w:tab w:val="left" w:pos="1546"/>
        </w:tabs>
        <w:rPr>
          <w:rFonts w:asciiTheme="minorHAnsi" w:eastAsiaTheme="minorEastAsia" w:hAnsiTheme="minorHAnsi" w:cstheme="minorBidi"/>
          <w:noProof/>
          <w:szCs w:val="24"/>
        </w:rPr>
      </w:pPr>
      <w:hyperlink r:id="rId38" w:anchor="_Toc82386290" w:history="1">
        <w:r w:rsidR="002C0E50" w:rsidRPr="00F40DDB">
          <w:rPr>
            <w:rStyle w:val="Hyperlink"/>
            <w:noProof/>
          </w:rPr>
          <w:t>Figure 3.13:</w:t>
        </w:r>
        <w:r w:rsidR="002C0E50">
          <w:rPr>
            <w:rFonts w:asciiTheme="minorHAnsi" w:eastAsiaTheme="minorEastAsia" w:hAnsiTheme="minorHAnsi" w:cstheme="minorBidi"/>
            <w:noProof/>
            <w:szCs w:val="24"/>
          </w:rPr>
          <w:tab/>
        </w:r>
        <w:r w:rsidR="002C0E50" w:rsidRPr="00F40DDB">
          <w:rPr>
            <w:rStyle w:val="Hyperlink"/>
            <w:noProof/>
          </w:rPr>
          <w:t>Trend of Sorghum Production by Smallholder Farmers in Three Consecutive Censuses, Tanzania</w:t>
        </w:r>
        <w:r w:rsidR="002C0E50">
          <w:rPr>
            <w:noProof/>
            <w:webHidden/>
          </w:rPr>
          <w:tab/>
        </w:r>
        <w:r w:rsidR="002C0E50">
          <w:rPr>
            <w:noProof/>
            <w:webHidden/>
          </w:rPr>
          <w:fldChar w:fldCharType="begin"/>
        </w:r>
        <w:r w:rsidR="002C0E50">
          <w:rPr>
            <w:noProof/>
            <w:webHidden/>
          </w:rPr>
          <w:instrText xml:space="preserve"> PAGEREF _Toc82386290 \h </w:instrText>
        </w:r>
        <w:r w:rsidR="002C0E50">
          <w:rPr>
            <w:noProof/>
            <w:webHidden/>
          </w:rPr>
        </w:r>
        <w:r w:rsidR="002C0E50">
          <w:rPr>
            <w:noProof/>
            <w:webHidden/>
          </w:rPr>
          <w:fldChar w:fldCharType="separate"/>
        </w:r>
        <w:r w:rsidR="00A15698">
          <w:rPr>
            <w:noProof/>
            <w:webHidden/>
          </w:rPr>
          <w:t>34</w:t>
        </w:r>
        <w:r w:rsidR="002C0E50">
          <w:rPr>
            <w:noProof/>
            <w:webHidden/>
          </w:rPr>
          <w:fldChar w:fldCharType="end"/>
        </w:r>
      </w:hyperlink>
    </w:p>
    <w:p w14:paraId="387462EB" w14:textId="41F7FE6A" w:rsidR="002C0E50" w:rsidRDefault="00E909AE">
      <w:pPr>
        <w:pStyle w:val="TOC8"/>
        <w:rPr>
          <w:rFonts w:asciiTheme="minorHAnsi" w:eastAsiaTheme="minorEastAsia" w:hAnsiTheme="minorHAnsi" w:cstheme="minorBidi"/>
          <w:noProof/>
          <w:szCs w:val="24"/>
        </w:rPr>
      </w:pPr>
      <w:hyperlink w:anchor="_Toc82386291" w:history="1">
        <w:r w:rsidR="002C0E50" w:rsidRPr="00F40DDB">
          <w:rPr>
            <w:rStyle w:val="Hyperlink"/>
            <w:noProof/>
          </w:rPr>
          <w:t>Figure 3.14:</w:t>
        </w:r>
        <w:r w:rsidR="002C0E50">
          <w:rPr>
            <w:rFonts w:asciiTheme="minorHAnsi" w:eastAsiaTheme="minorEastAsia" w:hAnsiTheme="minorHAnsi" w:cstheme="minorBidi"/>
            <w:noProof/>
            <w:szCs w:val="24"/>
          </w:rPr>
          <w:tab/>
        </w:r>
        <w:r w:rsidR="002C0E50" w:rsidRPr="00F40DDB">
          <w:rPr>
            <w:rStyle w:val="Hyperlink"/>
            <w:noProof/>
          </w:rPr>
          <w:t>Planted and Harvested Area with Cassava by Smallholder Farmers by Region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_Toc82386291 \h </w:instrText>
        </w:r>
        <w:r w:rsidR="002C0E50">
          <w:rPr>
            <w:noProof/>
            <w:webHidden/>
          </w:rPr>
        </w:r>
        <w:r w:rsidR="002C0E50">
          <w:rPr>
            <w:noProof/>
            <w:webHidden/>
          </w:rPr>
          <w:fldChar w:fldCharType="separate"/>
        </w:r>
        <w:r w:rsidR="00A15698">
          <w:rPr>
            <w:noProof/>
            <w:webHidden/>
          </w:rPr>
          <w:t>38</w:t>
        </w:r>
        <w:r w:rsidR="002C0E50">
          <w:rPr>
            <w:noProof/>
            <w:webHidden/>
          </w:rPr>
          <w:fldChar w:fldCharType="end"/>
        </w:r>
      </w:hyperlink>
    </w:p>
    <w:p w14:paraId="64039B79" w14:textId="1E892CAB" w:rsidR="002C0E50" w:rsidRDefault="00E909AE">
      <w:pPr>
        <w:pStyle w:val="TOC8"/>
        <w:rPr>
          <w:rFonts w:asciiTheme="minorHAnsi" w:eastAsiaTheme="minorEastAsia" w:hAnsiTheme="minorHAnsi" w:cstheme="minorBidi"/>
          <w:noProof/>
          <w:szCs w:val="24"/>
        </w:rPr>
      </w:pPr>
      <w:hyperlink w:anchor="_Toc82386292" w:history="1">
        <w:r w:rsidR="002C0E50" w:rsidRPr="00F40DDB">
          <w:rPr>
            <w:rStyle w:val="Hyperlink"/>
            <w:noProof/>
          </w:rPr>
          <w:t>Figure 3.15:</w:t>
        </w:r>
        <w:r w:rsidR="002C0E50">
          <w:rPr>
            <w:rFonts w:asciiTheme="minorHAnsi" w:eastAsiaTheme="minorEastAsia" w:hAnsiTheme="minorHAnsi" w:cstheme="minorBidi"/>
            <w:noProof/>
            <w:szCs w:val="24"/>
          </w:rPr>
          <w:tab/>
        </w:r>
        <w:r w:rsidR="002C0E50" w:rsidRPr="00F40DDB">
          <w:rPr>
            <w:rStyle w:val="Hyperlink"/>
            <w:noProof/>
          </w:rPr>
          <w:t>Planted and Harvested Area with Cassava produced by Smallholder Farmers by Region 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_Toc82386292 \h </w:instrText>
        </w:r>
        <w:r w:rsidR="002C0E50">
          <w:rPr>
            <w:noProof/>
            <w:webHidden/>
          </w:rPr>
        </w:r>
        <w:r w:rsidR="002C0E50">
          <w:rPr>
            <w:noProof/>
            <w:webHidden/>
          </w:rPr>
          <w:fldChar w:fldCharType="separate"/>
        </w:r>
        <w:r w:rsidR="00A15698">
          <w:rPr>
            <w:noProof/>
            <w:webHidden/>
          </w:rPr>
          <w:t>38</w:t>
        </w:r>
        <w:r w:rsidR="002C0E50">
          <w:rPr>
            <w:noProof/>
            <w:webHidden/>
          </w:rPr>
          <w:fldChar w:fldCharType="end"/>
        </w:r>
      </w:hyperlink>
    </w:p>
    <w:p w14:paraId="79706372" w14:textId="3D1580CC" w:rsidR="002C0E50" w:rsidRDefault="00E909AE">
      <w:pPr>
        <w:pStyle w:val="TOC8"/>
        <w:rPr>
          <w:rFonts w:asciiTheme="minorHAnsi" w:eastAsiaTheme="minorEastAsia" w:hAnsiTheme="minorHAnsi" w:cstheme="minorBidi"/>
          <w:noProof/>
          <w:szCs w:val="24"/>
        </w:rPr>
      </w:pPr>
      <w:hyperlink w:anchor="_Toc82386293" w:history="1">
        <w:r w:rsidR="002C0E50" w:rsidRPr="00F40DDB">
          <w:rPr>
            <w:rStyle w:val="Hyperlink"/>
            <w:noProof/>
          </w:rPr>
          <w:t>Figure 3.16:</w:t>
        </w:r>
        <w:r w:rsidR="002C0E50">
          <w:rPr>
            <w:rFonts w:asciiTheme="minorHAnsi" w:eastAsiaTheme="minorEastAsia" w:hAnsiTheme="minorHAnsi" w:cstheme="minorBidi"/>
            <w:noProof/>
            <w:szCs w:val="24"/>
          </w:rPr>
          <w:tab/>
        </w:r>
        <w:r w:rsidR="002C0E50" w:rsidRPr="00F40DDB">
          <w:rPr>
            <w:rStyle w:val="Hyperlink"/>
            <w:noProof/>
          </w:rPr>
          <w:t>Production and Yield of Cassava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_Toc82386293 \h </w:instrText>
        </w:r>
        <w:r w:rsidR="002C0E50">
          <w:rPr>
            <w:noProof/>
            <w:webHidden/>
          </w:rPr>
        </w:r>
        <w:r w:rsidR="002C0E50">
          <w:rPr>
            <w:noProof/>
            <w:webHidden/>
          </w:rPr>
          <w:fldChar w:fldCharType="separate"/>
        </w:r>
        <w:r w:rsidR="00A15698">
          <w:rPr>
            <w:noProof/>
            <w:webHidden/>
          </w:rPr>
          <w:t>39</w:t>
        </w:r>
        <w:r w:rsidR="002C0E50">
          <w:rPr>
            <w:noProof/>
            <w:webHidden/>
          </w:rPr>
          <w:fldChar w:fldCharType="end"/>
        </w:r>
      </w:hyperlink>
    </w:p>
    <w:p w14:paraId="67A3FB3B" w14:textId="3E469CF6" w:rsidR="002C0E50" w:rsidRDefault="00E909AE">
      <w:pPr>
        <w:pStyle w:val="TOC8"/>
        <w:rPr>
          <w:rFonts w:asciiTheme="minorHAnsi" w:eastAsiaTheme="minorEastAsia" w:hAnsiTheme="minorHAnsi" w:cstheme="minorBidi"/>
          <w:noProof/>
          <w:szCs w:val="24"/>
        </w:rPr>
      </w:pPr>
      <w:hyperlink w:anchor="_Toc82386294" w:history="1">
        <w:r w:rsidR="002C0E50" w:rsidRPr="00F40DDB">
          <w:rPr>
            <w:rStyle w:val="Hyperlink"/>
            <w:noProof/>
          </w:rPr>
          <w:t>Figure 3.17:</w:t>
        </w:r>
        <w:r w:rsidR="002C0E50">
          <w:rPr>
            <w:rFonts w:asciiTheme="minorHAnsi" w:eastAsiaTheme="minorEastAsia" w:hAnsiTheme="minorHAnsi" w:cstheme="minorBidi"/>
            <w:noProof/>
            <w:szCs w:val="24"/>
          </w:rPr>
          <w:tab/>
        </w:r>
        <w:r w:rsidR="002C0E50" w:rsidRPr="00F40DDB">
          <w:rPr>
            <w:rStyle w:val="Hyperlink"/>
            <w:noProof/>
          </w:rPr>
          <w:t>Production and Yield of Cassava 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_Toc82386294 \h </w:instrText>
        </w:r>
        <w:r w:rsidR="002C0E50">
          <w:rPr>
            <w:noProof/>
            <w:webHidden/>
          </w:rPr>
        </w:r>
        <w:r w:rsidR="002C0E50">
          <w:rPr>
            <w:noProof/>
            <w:webHidden/>
          </w:rPr>
          <w:fldChar w:fldCharType="separate"/>
        </w:r>
        <w:r w:rsidR="00A15698">
          <w:rPr>
            <w:noProof/>
            <w:webHidden/>
          </w:rPr>
          <w:t>40</w:t>
        </w:r>
        <w:r w:rsidR="002C0E50">
          <w:rPr>
            <w:noProof/>
            <w:webHidden/>
          </w:rPr>
          <w:fldChar w:fldCharType="end"/>
        </w:r>
      </w:hyperlink>
    </w:p>
    <w:p w14:paraId="18E9F927" w14:textId="494F29E4" w:rsidR="002C0E50" w:rsidRDefault="00E909AE">
      <w:pPr>
        <w:pStyle w:val="TOC8"/>
        <w:rPr>
          <w:rFonts w:asciiTheme="minorHAnsi" w:eastAsiaTheme="minorEastAsia" w:hAnsiTheme="minorHAnsi" w:cstheme="minorBidi"/>
          <w:noProof/>
          <w:szCs w:val="24"/>
        </w:rPr>
      </w:pPr>
      <w:hyperlink w:anchor="_Toc82386295" w:history="1">
        <w:r w:rsidR="002C0E50" w:rsidRPr="00F40DDB">
          <w:rPr>
            <w:rStyle w:val="Hyperlink"/>
            <w:noProof/>
          </w:rPr>
          <w:t>Figure 3.18:</w:t>
        </w:r>
        <w:r w:rsidR="002C0E50">
          <w:rPr>
            <w:rFonts w:asciiTheme="minorHAnsi" w:eastAsiaTheme="minorEastAsia" w:hAnsiTheme="minorHAnsi" w:cstheme="minorBidi"/>
            <w:noProof/>
            <w:szCs w:val="24"/>
          </w:rPr>
          <w:tab/>
        </w:r>
        <w:r w:rsidR="002C0E50" w:rsidRPr="00F40DDB">
          <w:rPr>
            <w:rStyle w:val="Hyperlink"/>
            <w:noProof/>
          </w:rPr>
          <w:t>Planted and Harvested Area with Sweet Potatoes by Smallholder Farmers by Region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_Toc82386295 \h </w:instrText>
        </w:r>
        <w:r w:rsidR="002C0E50">
          <w:rPr>
            <w:noProof/>
            <w:webHidden/>
          </w:rPr>
        </w:r>
        <w:r w:rsidR="002C0E50">
          <w:rPr>
            <w:noProof/>
            <w:webHidden/>
          </w:rPr>
          <w:fldChar w:fldCharType="separate"/>
        </w:r>
        <w:r w:rsidR="00A15698">
          <w:rPr>
            <w:noProof/>
            <w:webHidden/>
          </w:rPr>
          <w:t>41</w:t>
        </w:r>
        <w:r w:rsidR="002C0E50">
          <w:rPr>
            <w:noProof/>
            <w:webHidden/>
          </w:rPr>
          <w:fldChar w:fldCharType="end"/>
        </w:r>
      </w:hyperlink>
    </w:p>
    <w:p w14:paraId="6308042A" w14:textId="0B566CC8" w:rsidR="002C0E50" w:rsidRDefault="00E909AE">
      <w:pPr>
        <w:pStyle w:val="TOC8"/>
        <w:rPr>
          <w:rFonts w:asciiTheme="minorHAnsi" w:eastAsiaTheme="minorEastAsia" w:hAnsiTheme="minorHAnsi" w:cstheme="minorBidi"/>
          <w:noProof/>
          <w:szCs w:val="24"/>
        </w:rPr>
      </w:pPr>
      <w:hyperlink w:anchor="_Toc82386296" w:history="1">
        <w:r w:rsidR="002C0E50" w:rsidRPr="00F40DDB">
          <w:rPr>
            <w:rStyle w:val="Hyperlink"/>
            <w:noProof/>
          </w:rPr>
          <w:t>Figure 3.19:</w:t>
        </w:r>
        <w:r w:rsidR="002C0E50">
          <w:rPr>
            <w:rFonts w:asciiTheme="minorHAnsi" w:eastAsiaTheme="minorEastAsia" w:hAnsiTheme="minorHAnsi" w:cstheme="minorBidi"/>
            <w:noProof/>
            <w:szCs w:val="24"/>
          </w:rPr>
          <w:tab/>
        </w:r>
        <w:r w:rsidR="002C0E50" w:rsidRPr="00F40DDB">
          <w:rPr>
            <w:rStyle w:val="Hyperlink"/>
            <w:noProof/>
          </w:rPr>
          <w:t>Planted and Harvested Area with Sweet Potatoes by Smallholder Farmers by Region 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_Toc82386296 \h </w:instrText>
        </w:r>
        <w:r w:rsidR="002C0E50">
          <w:rPr>
            <w:noProof/>
            <w:webHidden/>
          </w:rPr>
        </w:r>
        <w:r w:rsidR="002C0E50">
          <w:rPr>
            <w:noProof/>
            <w:webHidden/>
          </w:rPr>
          <w:fldChar w:fldCharType="separate"/>
        </w:r>
        <w:r w:rsidR="00A15698">
          <w:rPr>
            <w:noProof/>
            <w:webHidden/>
          </w:rPr>
          <w:t>42</w:t>
        </w:r>
        <w:r w:rsidR="002C0E50">
          <w:rPr>
            <w:noProof/>
            <w:webHidden/>
          </w:rPr>
          <w:fldChar w:fldCharType="end"/>
        </w:r>
      </w:hyperlink>
    </w:p>
    <w:p w14:paraId="4594A589" w14:textId="19212179" w:rsidR="002C0E50" w:rsidRDefault="00E909AE">
      <w:pPr>
        <w:pStyle w:val="TOC8"/>
        <w:rPr>
          <w:rFonts w:asciiTheme="minorHAnsi" w:eastAsiaTheme="minorEastAsia" w:hAnsiTheme="minorHAnsi" w:cstheme="minorBidi"/>
          <w:noProof/>
          <w:szCs w:val="24"/>
        </w:rPr>
      </w:pPr>
      <w:hyperlink w:anchor="_Toc82386297" w:history="1">
        <w:r w:rsidR="002C0E50" w:rsidRPr="00F40DDB">
          <w:rPr>
            <w:rStyle w:val="Hyperlink"/>
            <w:noProof/>
          </w:rPr>
          <w:t>Figure 3.20:</w:t>
        </w:r>
        <w:r w:rsidR="002C0E50">
          <w:rPr>
            <w:rFonts w:asciiTheme="minorHAnsi" w:eastAsiaTheme="minorEastAsia" w:hAnsiTheme="minorHAnsi" w:cstheme="minorBidi"/>
            <w:noProof/>
            <w:szCs w:val="24"/>
          </w:rPr>
          <w:tab/>
        </w:r>
        <w:r w:rsidR="002C0E50" w:rsidRPr="00F40DDB">
          <w:rPr>
            <w:rStyle w:val="Hyperlink"/>
            <w:noProof/>
          </w:rPr>
          <w:t>Production and Yield of Sweet Potatoes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_Toc82386297 \h </w:instrText>
        </w:r>
        <w:r w:rsidR="002C0E50">
          <w:rPr>
            <w:noProof/>
            <w:webHidden/>
          </w:rPr>
        </w:r>
        <w:r w:rsidR="002C0E50">
          <w:rPr>
            <w:noProof/>
            <w:webHidden/>
          </w:rPr>
          <w:fldChar w:fldCharType="separate"/>
        </w:r>
        <w:r w:rsidR="00A15698">
          <w:rPr>
            <w:noProof/>
            <w:webHidden/>
          </w:rPr>
          <w:t>44</w:t>
        </w:r>
        <w:r w:rsidR="002C0E50">
          <w:rPr>
            <w:noProof/>
            <w:webHidden/>
          </w:rPr>
          <w:fldChar w:fldCharType="end"/>
        </w:r>
      </w:hyperlink>
    </w:p>
    <w:p w14:paraId="729F5048" w14:textId="59AD6E38" w:rsidR="002C0E50" w:rsidRDefault="00E909AE">
      <w:pPr>
        <w:pStyle w:val="TOC8"/>
        <w:rPr>
          <w:rFonts w:asciiTheme="minorHAnsi" w:eastAsiaTheme="minorEastAsia" w:hAnsiTheme="minorHAnsi" w:cstheme="minorBidi"/>
          <w:noProof/>
          <w:szCs w:val="24"/>
        </w:rPr>
      </w:pPr>
      <w:hyperlink w:anchor="_Toc82386298" w:history="1">
        <w:r w:rsidR="002C0E50" w:rsidRPr="00F40DDB">
          <w:rPr>
            <w:rStyle w:val="Hyperlink"/>
            <w:noProof/>
          </w:rPr>
          <w:t>Figure 3.21:</w:t>
        </w:r>
        <w:r w:rsidR="002C0E50">
          <w:rPr>
            <w:rFonts w:asciiTheme="minorHAnsi" w:eastAsiaTheme="minorEastAsia" w:hAnsiTheme="minorHAnsi" w:cstheme="minorBidi"/>
            <w:noProof/>
            <w:szCs w:val="24"/>
          </w:rPr>
          <w:tab/>
        </w:r>
        <w:r w:rsidR="002C0E50" w:rsidRPr="00F40DDB">
          <w:rPr>
            <w:rStyle w:val="Hyperlink"/>
            <w:noProof/>
          </w:rPr>
          <w:t>Production and Yield of Sweet Potatoes 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_Toc82386298 \h </w:instrText>
        </w:r>
        <w:r w:rsidR="002C0E50">
          <w:rPr>
            <w:noProof/>
            <w:webHidden/>
          </w:rPr>
        </w:r>
        <w:r w:rsidR="002C0E50">
          <w:rPr>
            <w:noProof/>
            <w:webHidden/>
          </w:rPr>
          <w:fldChar w:fldCharType="separate"/>
        </w:r>
        <w:r w:rsidR="00A15698">
          <w:rPr>
            <w:noProof/>
            <w:webHidden/>
          </w:rPr>
          <w:t>44</w:t>
        </w:r>
        <w:r w:rsidR="002C0E50">
          <w:rPr>
            <w:noProof/>
            <w:webHidden/>
          </w:rPr>
          <w:fldChar w:fldCharType="end"/>
        </w:r>
      </w:hyperlink>
    </w:p>
    <w:p w14:paraId="64D7E05A" w14:textId="1DB44882" w:rsidR="002C0E50" w:rsidRDefault="00E909AE">
      <w:pPr>
        <w:pStyle w:val="TOC8"/>
        <w:rPr>
          <w:rFonts w:asciiTheme="minorHAnsi" w:eastAsiaTheme="minorEastAsia" w:hAnsiTheme="minorHAnsi" w:cstheme="minorBidi"/>
          <w:noProof/>
          <w:szCs w:val="24"/>
        </w:rPr>
      </w:pPr>
      <w:hyperlink w:anchor="_Toc82386299" w:history="1">
        <w:r w:rsidR="002C0E50" w:rsidRPr="00F40DDB">
          <w:rPr>
            <w:rStyle w:val="Hyperlink"/>
            <w:noProof/>
          </w:rPr>
          <w:t>Figure 3.22:</w:t>
        </w:r>
        <w:r w:rsidR="002C0E50">
          <w:rPr>
            <w:rFonts w:asciiTheme="minorHAnsi" w:eastAsiaTheme="minorEastAsia" w:hAnsiTheme="minorHAnsi" w:cstheme="minorBidi"/>
            <w:noProof/>
            <w:szCs w:val="24"/>
          </w:rPr>
          <w:tab/>
        </w:r>
        <w:r w:rsidR="002C0E50" w:rsidRPr="00F40DDB">
          <w:rPr>
            <w:rStyle w:val="Hyperlink"/>
            <w:noProof/>
          </w:rPr>
          <w:t>Planted and Harvested Area with Irish Potatoes by Smallholder Farmers by Region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_Toc82386299 \h </w:instrText>
        </w:r>
        <w:r w:rsidR="002C0E50">
          <w:rPr>
            <w:noProof/>
            <w:webHidden/>
          </w:rPr>
        </w:r>
        <w:r w:rsidR="002C0E50">
          <w:rPr>
            <w:noProof/>
            <w:webHidden/>
          </w:rPr>
          <w:fldChar w:fldCharType="separate"/>
        </w:r>
        <w:r w:rsidR="00A15698">
          <w:rPr>
            <w:noProof/>
            <w:webHidden/>
          </w:rPr>
          <w:t>45</w:t>
        </w:r>
        <w:r w:rsidR="002C0E50">
          <w:rPr>
            <w:noProof/>
            <w:webHidden/>
          </w:rPr>
          <w:fldChar w:fldCharType="end"/>
        </w:r>
      </w:hyperlink>
    </w:p>
    <w:p w14:paraId="48C6C2D3" w14:textId="62E4EC17" w:rsidR="002C0E50" w:rsidRDefault="00E909AE">
      <w:pPr>
        <w:pStyle w:val="TOC8"/>
        <w:rPr>
          <w:rFonts w:asciiTheme="minorHAnsi" w:eastAsiaTheme="minorEastAsia" w:hAnsiTheme="minorHAnsi" w:cstheme="minorBidi"/>
          <w:noProof/>
          <w:szCs w:val="24"/>
        </w:rPr>
      </w:pPr>
      <w:hyperlink w:anchor="_Toc82386300" w:history="1">
        <w:r w:rsidR="002C0E50" w:rsidRPr="00F40DDB">
          <w:rPr>
            <w:rStyle w:val="Hyperlink"/>
            <w:noProof/>
          </w:rPr>
          <w:t>Figure 3.23:</w:t>
        </w:r>
        <w:r w:rsidR="002C0E50">
          <w:rPr>
            <w:rFonts w:asciiTheme="minorHAnsi" w:eastAsiaTheme="minorEastAsia" w:hAnsiTheme="minorHAnsi" w:cstheme="minorBidi"/>
            <w:noProof/>
            <w:szCs w:val="24"/>
          </w:rPr>
          <w:tab/>
        </w:r>
        <w:r w:rsidR="002C0E50" w:rsidRPr="00F40DDB">
          <w:rPr>
            <w:rStyle w:val="Hyperlink"/>
            <w:noProof/>
          </w:rPr>
          <w:t>Production and Yield of Irish Potatoes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_Toc82386300 \h </w:instrText>
        </w:r>
        <w:r w:rsidR="002C0E50">
          <w:rPr>
            <w:noProof/>
            <w:webHidden/>
          </w:rPr>
        </w:r>
        <w:r w:rsidR="002C0E50">
          <w:rPr>
            <w:noProof/>
            <w:webHidden/>
          </w:rPr>
          <w:fldChar w:fldCharType="separate"/>
        </w:r>
        <w:r w:rsidR="00A15698">
          <w:rPr>
            <w:noProof/>
            <w:webHidden/>
          </w:rPr>
          <w:t>46</w:t>
        </w:r>
        <w:r w:rsidR="002C0E50">
          <w:rPr>
            <w:noProof/>
            <w:webHidden/>
          </w:rPr>
          <w:fldChar w:fldCharType="end"/>
        </w:r>
      </w:hyperlink>
    </w:p>
    <w:p w14:paraId="0C2CE23C" w14:textId="1C93BA8A" w:rsidR="002C0E50" w:rsidRDefault="00E909AE">
      <w:pPr>
        <w:pStyle w:val="TOC8"/>
        <w:rPr>
          <w:rFonts w:asciiTheme="minorHAnsi" w:eastAsiaTheme="minorEastAsia" w:hAnsiTheme="minorHAnsi" w:cstheme="minorBidi"/>
          <w:noProof/>
          <w:szCs w:val="24"/>
        </w:rPr>
      </w:pPr>
      <w:hyperlink w:anchor="_Toc82386301" w:history="1">
        <w:r w:rsidR="002C0E50" w:rsidRPr="00F40DDB">
          <w:rPr>
            <w:rStyle w:val="Hyperlink"/>
            <w:noProof/>
          </w:rPr>
          <w:t>Figure 3.24:</w:t>
        </w:r>
        <w:r w:rsidR="002C0E50">
          <w:rPr>
            <w:rFonts w:asciiTheme="minorHAnsi" w:eastAsiaTheme="minorEastAsia" w:hAnsiTheme="minorHAnsi" w:cstheme="minorBidi"/>
            <w:noProof/>
            <w:szCs w:val="24"/>
          </w:rPr>
          <w:tab/>
        </w:r>
        <w:r w:rsidR="002C0E50" w:rsidRPr="00F40DDB">
          <w:rPr>
            <w:rStyle w:val="Hyperlink"/>
            <w:noProof/>
          </w:rPr>
          <w:t>Planted and Harvested Area with Beans by Smallholder Farmers by Region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_Toc82386301 \h </w:instrText>
        </w:r>
        <w:r w:rsidR="002C0E50">
          <w:rPr>
            <w:noProof/>
            <w:webHidden/>
          </w:rPr>
        </w:r>
        <w:r w:rsidR="002C0E50">
          <w:rPr>
            <w:noProof/>
            <w:webHidden/>
          </w:rPr>
          <w:fldChar w:fldCharType="separate"/>
        </w:r>
        <w:r w:rsidR="00A15698">
          <w:rPr>
            <w:noProof/>
            <w:webHidden/>
          </w:rPr>
          <w:t>48</w:t>
        </w:r>
        <w:r w:rsidR="002C0E50">
          <w:rPr>
            <w:noProof/>
            <w:webHidden/>
          </w:rPr>
          <w:fldChar w:fldCharType="end"/>
        </w:r>
      </w:hyperlink>
    </w:p>
    <w:p w14:paraId="30EFD983" w14:textId="31610BB1" w:rsidR="002C0E50" w:rsidRDefault="00E909AE">
      <w:pPr>
        <w:pStyle w:val="TOC8"/>
        <w:rPr>
          <w:rFonts w:asciiTheme="minorHAnsi" w:eastAsiaTheme="minorEastAsia" w:hAnsiTheme="minorHAnsi" w:cstheme="minorBidi"/>
          <w:noProof/>
          <w:szCs w:val="24"/>
        </w:rPr>
      </w:pPr>
      <w:hyperlink w:anchor="_Toc82386302" w:history="1">
        <w:r w:rsidR="002C0E50" w:rsidRPr="00F40DDB">
          <w:rPr>
            <w:rStyle w:val="Hyperlink"/>
            <w:noProof/>
          </w:rPr>
          <w:t>Figure 3.25:</w:t>
        </w:r>
        <w:r w:rsidR="002C0E50">
          <w:rPr>
            <w:rFonts w:asciiTheme="minorHAnsi" w:eastAsiaTheme="minorEastAsia" w:hAnsiTheme="minorHAnsi" w:cstheme="minorBidi"/>
            <w:noProof/>
            <w:szCs w:val="24"/>
          </w:rPr>
          <w:tab/>
        </w:r>
        <w:r w:rsidR="002C0E50" w:rsidRPr="00F40DDB">
          <w:rPr>
            <w:rStyle w:val="Hyperlink"/>
            <w:noProof/>
          </w:rPr>
          <w:t>Quantity Harvested and Yield of Beans by Region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_Toc82386302 \h </w:instrText>
        </w:r>
        <w:r w:rsidR="002C0E50">
          <w:rPr>
            <w:noProof/>
            <w:webHidden/>
          </w:rPr>
        </w:r>
        <w:r w:rsidR="002C0E50">
          <w:rPr>
            <w:noProof/>
            <w:webHidden/>
          </w:rPr>
          <w:fldChar w:fldCharType="separate"/>
        </w:r>
        <w:r w:rsidR="00A15698">
          <w:rPr>
            <w:noProof/>
            <w:webHidden/>
          </w:rPr>
          <w:t>49</w:t>
        </w:r>
        <w:r w:rsidR="002C0E50">
          <w:rPr>
            <w:noProof/>
            <w:webHidden/>
          </w:rPr>
          <w:fldChar w:fldCharType="end"/>
        </w:r>
      </w:hyperlink>
    </w:p>
    <w:p w14:paraId="7C783587" w14:textId="6F472161" w:rsidR="002C0E50" w:rsidRDefault="00E909AE">
      <w:pPr>
        <w:pStyle w:val="TOC8"/>
        <w:rPr>
          <w:rFonts w:asciiTheme="minorHAnsi" w:eastAsiaTheme="minorEastAsia" w:hAnsiTheme="minorHAnsi" w:cstheme="minorBidi"/>
          <w:noProof/>
          <w:szCs w:val="24"/>
        </w:rPr>
      </w:pPr>
      <w:hyperlink w:anchor="_Toc82386303" w:history="1">
        <w:r w:rsidR="002C0E50" w:rsidRPr="00F40DDB">
          <w:rPr>
            <w:rStyle w:val="Hyperlink"/>
            <w:noProof/>
          </w:rPr>
          <w:t>Figure 3.26:</w:t>
        </w:r>
        <w:r w:rsidR="002C0E50">
          <w:rPr>
            <w:rFonts w:asciiTheme="minorHAnsi" w:eastAsiaTheme="minorEastAsia" w:hAnsiTheme="minorHAnsi" w:cstheme="minorBidi"/>
            <w:noProof/>
            <w:szCs w:val="24"/>
          </w:rPr>
          <w:tab/>
        </w:r>
        <w:r w:rsidR="002C0E50" w:rsidRPr="00F40DDB">
          <w:rPr>
            <w:rStyle w:val="Hyperlink"/>
            <w:noProof/>
          </w:rPr>
          <w:t>Planted and Harvested Area with Cowpeas by Smallholder Farmers by Region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_Toc82386303 \h </w:instrText>
        </w:r>
        <w:r w:rsidR="002C0E50">
          <w:rPr>
            <w:noProof/>
            <w:webHidden/>
          </w:rPr>
        </w:r>
        <w:r w:rsidR="002C0E50">
          <w:rPr>
            <w:noProof/>
            <w:webHidden/>
          </w:rPr>
          <w:fldChar w:fldCharType="separate"/>
        </w:r>
        <w:r w:rsidR="00A15698">
          <w:rPr>
            <w:noProof/>
            <w:webHidden/>
          </w:rPr>
          <w:t>50</w:t>
        </w:r>
        <w:r w:rsidR="002C0E50">
          <w:rPr>
            <w:noProof/>
            <w:webHidden/>
          </w:rPr>
          <w:fldChar w:fldCharType="end"/>
        </w:r>
      </w:hyperlink>
    </w:p>
    <w:p w14:paraId="2AAA6C10" w14:textId="07CD9B4A" w:rsidR="002C0E50" w:rsidRDefault="00E909AE">
      <w:pPr>
        <w:pStyle w:val="TOC8"/>
        <w:rPr>
          <w:rFonts w:asciiTheme="minorHAnsi" w:eastAsiaTheme="minorEastAsia" w:hAnsiTheme="minorHAnsi" w:cstheme="minorBidi"/>
          <w:noProof/>
          <w:szCs w:val="24"/>
        </w:rPr>
      </w:pPr>
      <w:hyperlink w:anchor="_Toc82386304" w:history="1">
        <w:r w:rsidR="002C0E50" w:rsidRPr="00F40DDB">
          <w:rPr>
            <w:rStyle w:val="Hyperlink"/>
            <w:noProof/>
          </w:rPr>
          <w:t>Figure 3.27:</w:t>
        </w:r>
        <w:r w:rsidR="002C0E50">
          <w:rPr>
            <w:rFonts w:asciiTheme="minorHAnsi" w:eastAsiaTheme="minorEastAsia" w:hAnsiTheme="minorHAnsi" w:cstheme="minorBidi"/>
            <w:noProof/>
            <w:szCs w:val="24"/>
          </w:rPr>
          <w:tab/>
        </w:r>
        <w:r w:rsidR="002C0E50" w:rsidRPr="00F40DDB">
          <w:rPr>
            <w:rStyle w:val="Hyperlink"/>
            <w:noProof/>
          </w:rPr>
          <w:t>Planted and Harvested Area with Cowpeas by Smallholder Farmers by Region 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_Toc82386304 \h </w:instrText>
        </w:r>
        <w:r w:rsidR="002C0E50">
          <w:rPr>
            <w:noProof/>
            <w:webHidden/>
          </w:rPr>
        </w:r>
        <w:r w:rsidR="002C0E50">
          <w:rPr>
            <w:noProof/>
            <w:webHidden/>
          </w:rPr>
          <w:fldChar w:fldCharType="separate"/>
        </w:r>
        <w:r w:rsidR="00A15698">
          <w:rPr>
            <w:noProof/>
            <w:webHidden/>
          </w:rPr>
          <w:t>50</w:t>
        </w:r>
        <w:r w:rsidR="002C0E50">
          <w:rPr>
            <w:noProof/>
            <w:webHidden/>
          </w:rPr>
          <w:fldChar w:fldCharType="end"/>
        </w:r>
      </w:hyperlink>
    </w:p>
    <w:p w14:paraId="67006A91" w14:textId="0C4DC7F3" w:rsidR="002C0E50" w:rsidRDefault="00E909AE">
      <w:pPr>
        <w:pStyle w:val="TOC8"/>
        <w:rPr>
          <w:rFonts w:asciiTheme="minorHAnsi" w:eastAsiaTheme="minorEastAsia" w:hAnsiTheme="minorHAnsi" w:cstheme="minorBidi"/>
          <w:noProof/>
          <w:szCs w:val="24"/>
        </w:rPr>
      </w:pPr>
      <w:hyperlink w:anchor="_Toc82386305" w:history="1">
        <w:r w:rsidR="002C0E50" w:rsidRPr="00F40DDB">
          <w:rPr>
            <w:rStyle w:val="Hyperlink"/>
            <w:noProof/>
          </w:rPr>
          <w:t>Figure 3.28:</w:t>
        </w:r>
        <w:r w:rsidR="002C0E50">
          <w:rPr>
            <w:rFonts w:asciiTheme="minorHAnsi" w:eastAsiaTheme="minorEastAsia" w:hAnsiTheme="minorHAnsi" w:cstheme="minorBidi"/>
            <w:noProof/>
            <w:szCs w:val="24"/>
          </w:rPr>
          <w:tab/>
        </w:r>
        <w:r w:rsidR="002C0E50" w:rsidRPr="00F40DDB">
          <w:rPr>
            <w:rStyle w:val="Hyperlink"/>
            <w:noProof/>
          </w:rPr>
          <w:t>Quantity Harvested and Yield of Cowpeas by Region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_Toc82386305 \h </w:instrText>
        </w:r>
        <w:r w:rsidR="002C0E50">
          <w:rPr>
            <w:noProof/>
            <w:webHidden/>
          </w:rPr>
        </w:r>
        <w:r w:rsidR="002C0E50">
          <w:rPr>
            <w:noProof/>
            <w:webHidden/>
          </w:rPr>
          <w:fldChar w:fldCharType="separate"/>
        </w:r>
        <w:r w:rsidR="00A15698">
          <w:rPr>
            <w:noProof/>
            <w:webHidden/>
          </w:rPr>
          <w:t>51</w:t>
        </w:r>
        <w:r w:rsidR="002C0E50">
          <w:rPr>
            <w:noProof/>
            <w:webHidden/>
          </w:rPr>
          <w:fldChar w:fldCharType="end"/>
        </w:r>
      </w:hyperlink>
    </w:p>
    <w:p w14:paraId="160524D4" w14:textId="5593370A" w:rsidR="002C0E50" w:rsidRDefault="00E909AE">
      <w:pPr>
        <w:pStyle w:val="TOC8"/>
        <w:rPr>
          <w:rFonts w:asciiTheme="minorHAnsi" w:eastAsiaTheme="minorEastAsia" w:hAnsiTheme="minorHAnsi" w:cstheme="minorBidi"/>
          <w:noProof/>
          <w:szCs w:val="24"/>
        </w:rPr>
      </w:pPr>
      <w:hyperlink w:anchor="_Toc82386306" w:history="1">
        <w:r w:rsidR="002C0E50" w:rsidRPr="00F40DDB">
          <w:rPr>
            <w:rStyle w:val="Hyperlink"/>
            <w:noProof/>
          </w:rPr>
          <w:t>Figure 3.29:</w:t>
        </w:r>
        <w:r w:rsidR="002C0E50">
          <w:rPr>
            <w:rFonts w:asciiTheme="minorHAnsi" w:eastAsiaTheme="minorEastAsia" w:hAnsiTheme="minorHAnsi" w:cstheme="minorBidi"/>
            <w:noProof/>
            <w:szCs w:val="24"/>
          </w:rPr>
          <w:tab/>
        </w:r>
        <w:r w:rsidR="002C0E50" w:rsidRPr="00F40DDB">
          <w:rPr>
            <w:rStyle w:val="Hyperlink"/>
            <w:noProof/>
          </w:rPr>
          <w:t>Production of Cowpeas by Region During 2019/2 Agricultural Year, Tanzania Zanzibar</w:t>
        </w:r>
        <w:r w:rsidR="002C0E50">
          <w:rPr>
            <w:noProof/>
            <w:webHidden/>
          </w:rPr>
          <w:tab/>
        </w:r>
        <w:r w:rsidR="002C0E50">
          <w:rPr>
            <w:noProof/>
            <w:webHidden/>
          </w:rPr>
          <w:fldChar w:fldCharType="begin"/>
        </w:r>
        <w:r w:rsidR="002C0E50">
          <w:rPr>
            <w:noProof/>
            <w:webHidden/>
          </w:rPr>
          <w:instrText xml:space="preserve"> PAGEREF _Toc82386306 \h </w:instrText>
        </w:r>
        <w:r w:rsidR="002C0E50">
          <w:rPr>
            <w:noProof/>
            <w:webHidden/>
          </w:rPr>
        </w:r>
        <w:r w:rsidR="002C0E50">
          <w:rPr>
            <w:noProof/>
            <w:webHidden/>
          </w:rPr>
          <w:fldChar w:fldCharType="separate"/>
        </w:r>
        <w:r w:rsidR="00A15698">
          <w:rPr>
            <w:noProof/>
            <w:webHidden/>
          </w:rPr>
          <w:t>52</w:t>
        </w:r>
        <w:r w:rsidR="002C0E50">
          <w:rPr>
            <w:noProof/>
            <w:webHidden/>
          </w:rPr>
          <w:fldChar w:fldCharType="end"/>
        </w:r>
      </w:hyperlink>
    </w:p>
    <w:p w14:paraId="5E629EEC" w14:textId="7E00C67B" w:rsidR="002C0E50" w:rsidRDefault="00E909AE">
      <w:pPr>
        <w:pStyle w:val="TOC8"/>
        <w:rPr>
          <w:rFonts w:asciiTheme="minorHAnsi" w:eastAsiaTheme="minorEastAsia" w:hAnsiTheme="minorHAnsi" w:cstheme="minorBidi"/>
          <w:noProof/>
          <w:szCs w:val="24"/>
        </w:rPr>
      </w:pPr>
      <w:hyperlink w:anchor="_Toc82386307" w:history="1">
        <w:r w:rsidR="002C0E50" w:rsidRPr="00F40DDB">
          <w:rPr>
            <w:rStyle w:val="Hyperlink"/>
            <w:noProof/>
          </w:rPr>
          <w:t>Figure 3.30:</w:t>
        </w:r>
        <w:r w:rsidR="002C0E50">
          <w:rPr>
            <w:rFonts w:asciiTheme="minorHAnsi" w:eastAsiaTheme="minorEastAsia" w:hAnsiTheme="minorHAnsi" w:cstheme="minorBidi"/>
            <w:noProof/>
            <w:szCs w:val="24"/>
          </w:rPr>
          <w:tab/>
        </w:r>
        <w:r w:rsidR="002C0E50" w:rsidRPr="00F40DDB">
          <w:rPr>
            <w:rStyle w:val="Hyperlink"/>
            <w:noProof/>
          </w:rPr>
          <w:t>Production of Green gram by Region During 2019/2 Agricultural Year, Mainland Tanzania</w:t>
        </w:r>
        <w:r w:rsidR="002C0E50">
          <w:rPr>
            <w:noProof/>
            <w:webHidden/>
          </w:rPr>
          <w:tab/>
        </w:r>
        <w:r w:rsidR="002C0E50">
          <w:rPr>
            <w:noProof/>
            <w:webHidden/>
          </w:rPr>
          <w:fldChar w:fldCharType="begin"/>
        </w:r>
        <w:r w:rsidR="002C0E50">
          <w:rPr>
            <w:noProof/>
            <w:webHidden/>
          </w:rPr>
          <w:instrText xml:space="preserve"> PAGEREF _Toc82386307 \h </w:instrText>
        </w:r>
        <w:r w:rsidR="002C0E50">
          <w:rPr>
            <w:noProof/>
            <w:webHidden/>
          </w:rPr>
        </w:r>
        <w:r w:rsidR="002C0E50">
          <w:rPr>
            <w:noProof/>
            <w:webHidden/>
          </w:rPr>
          <w:fldChar w:fldCharType="separate"/>
        </w:r>
        <w:r w:rsidR="00A15698">
          <w:rPr>
            <w:noProof/>
            <w:webHidden/>
          </w:rPr>
          <w:t>53</w:t>
        </w:r>
        <w:r w:rsidR="002C0E50">
          <w:rPr>
            <w:noProof/>
            <w:webHidden/>
          </w:rPr>
          <w:fldChar w:fldCharType="end"/>
        </w:r>
      </w:hyperlink>
    </w:p>
    <w:p w14:paraId="0877AFA3" w14:textId="5BAE7717" w:rsidR="002C0E50" w:rsidRDefault="00E909AE">
      <w:pPr>
        <w:pStyle w:val="TOC8"/>
        <w:rPr>
          <w:rFonts w:asciiTheme="minorHAnsi" w:eastAsiaTheme="minorEastAsia" w:hAnsiTheme="minorHAnsi" w:cstheme="minorBidi"/>
          <w:noProof/>
          <w:szCs w:val="24"/>
        </w:rPr>
      </w:pPr>
      <w:hyperlink w:anchor="_Toc82386308" w:history="1">
        <w:r w:rsidR="002C0E50" w:rsidRPr="00F40DDB">
          <w:rPr>
            <w:rStyle w:val="Hyperlink"/>
            <w:noProof/>
          </w:rPr>
          <w:t>Figure 3.31:</w:t>
        </w:r>
        <w:r w:rsidR="002C0E50">
          <w:rPr>
            <w:rFonts w:asciiTheme="minorHAnsi" w:eastAsiaTheme="minorEastAsia" w:hAnsiTheme="minorHAnsi" w:cstheme="minorBidi"/>
            <w:noProof/>
            <w:szCs w:val="24"/>
          </w:rPr>
          <w:tab/>
        </w:r>
        <w:r w:rsidR="002C0E50" w:rsidRPr="00F40DDB">
          <w:rPr>
            <w:rStyle w:val="Hyperlink"/>
            <w:noProof/>
          </w:rPr>
          <w:t>Production of Green gram by Region During 2019/2 Agricultural Year, Tanzania Zanzibar</w:t>
        </w:r>
        <w:r w:rsidR="002C0E50">
          <w:rPr>
            <w:noProof/>
            <w:webHidden/>
          </w:rPr>
          <w:tab/>
        </w:r>
        <w:r w:rsidR="002C0E50">
          <w:rPr>
            <w:noProof/>
            <w:webHidden/>
          </w:rPr>
          <w:fldChar w:fldCharType="begin"/>
        </w:r>
        <w:r w:rsidR="002C0E50">
          <w:rPr>
            <w:noProof/>
            <w:webHidden/>
          </w:rPr>
          <w:instrText xml:space="preserve"> PAGEREF _Toc82386308 \h </w:instrText>
        </w:r>
        <w:r w:rsidR="002C0E50">
          <w:rPr>
            <w:noProof/>
            <w:webHidden/>
          </w:rPr>
        </w:r>
        <w:r w:rsidR="002C0E50">
          <w:rPr>
            <w:noProof/>
            <w:webHidden/>
          </w:rPr>
          <w:fldChar w:fldCharType="separate"/>
        </w:r>
        <w:r w:rsidR="00A15698">
          <w:rPr>
            <w:noProof/>
            <w:webHidden/>
          </w:rPr>
          <w:t>53</w:t>
        </w:r>
        <w:r w:rsidR="002C0E50">
          <w:rPr>
            <w:noProof/>
            <w:webHidden/>
          </w:rPr>
          <w:fldChar w:fldCharType="end"/>
        </w:r>
      </w:hyperlink>
    </w:p>
    <w:p w14:paraId="7299A2E7" w14:textId="6DBC9F3B" w:rsidR="002C0E50" w:rsidRDefault="00E909AE">
      <w:pPr>
        <w:pStyle w:val="TOC8"/>
        <w:rPr>
          <w:rFonts w:asciiTheme="minorHAnsi" w:eastAsiaTheme="minorEastAsia" w:hAnsiTheme="minorHAnsi" w:cstheme="minorBidi"/>
          <w:noProof/>
          <w:szCs w:val="24"/>
        </w:rPr>
      </w:pPr>
      <w:hyperlink r:id="rId39" w:anchor="_Toc82386309" w:history="1">
        <w:r w:rsidR="002C0E50" w:rsidRPr="00F40DDB">
          <w:rPr>
            <w:rStyle w:val="Hyperlink"/>
            <w:noProof/>
          </w:rPr>
          <w:t>Figure 3.32:</w:t>
        </w:r>
        <w:r w:rsidR="002C0E50">
          <w:rPr>
            <w:rFonts w:asciiTheme="minorHAnsi" w:eastAsiaTheme="minorEastAsia" w:hAnsiTheme="minorHAnsi" w:cstheme="minorBidi"/>
            <w:noProof/>
            <w:szCs w:val="24"/>
          </w:rPr>
          <w:tab/>
        </w:r>
        <w:r w:rsidR="002C0E50" w:rsidRPr="00F40DDB">
          <w:rPr>
            <w:rStyle w:val="Hyperlink"/>
            <w:noProof/>
          </w:rPr>
          <w:t>Green gram Production by Region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_Toc82386309 \h </w:instrText>
        </w:r>
        <w:r w:rsidR="002C0E50">
          <w:rPr>
            <w:noProof/>
            <w:webHidden/>
          </w:rPr>
        </w:r>
        <w:r w:rsidR="002C0E50">
          <w:rPr>
            <w:noProof/>
            <w:webHidden/>
          </w:rPr>
          <w:fldChar w:fldCharType="separate"/>
        </w:r>
        <w:r w:rsidR="00A15698">
          <w:rPr>
            <w:noProof/>
            <w:webHidden/>
          </w:rPr>
          <w:t>54</w:t>
        </w:r>
        <w:r w:rsidR="002C0E50">
          <w:rPr>
            <w:noProof/>
            <w:webHidden/>
          </w:rPr>
          <w:fldChar w:fldCharType="end"/>
        </w:r>
      </w:hyperlink>
    </w:p>
    <w:p w14:paraId="0B0B7BF2" w14:textId="396948C2" w:rsidR="002C0E50" w:rsidRDefault="00E909AE">
      <w:pPr>
        <w:pStyle w:val="TOC8"/>
        <w:rPr>
          <w:rFonts w:asciiTheme="minorHAnsi" w:eastAsiaTheme="minorEastAsia" w:hAnsiTheme="minorHAnsi" w:cstheme="minorBidi"/>
          <w:noProof/>
          <w:szCs w:val="24"/>
        </w:rPr>
      </w:pPr>
      <w:hyperlink r:id="rId40" w:anchor="_Toc82386310" w:history="1">
        <w:r w:rsidR="002C0E50" w:rsidRPr="00F40DDB">
          <w:rPr>
            <w:rStyle w:val="Hyperlink"/>
            <w:noProof/>
          </w:rPr>
          <w:t>Figure 3.33:</w:t>
        </w:r>
        <w:r w:rsidR="002C0E50">
          <w:rPr>
            <w:rFonts w:asciiTheme="minorHAnsi" w:eastAsiaTheme="minorEastAsia" w:hAnsiTheme="minorHAnsi" w:cstheme="minorBidi"/>
            <w:noProof/>
            <w:szCs w:val="24"/>
          </w:rPr>
          <w:tab/>
        </w:r>
        <w:r w:rsidR="002C0E50" w:rsidRPr="00F40DDB">
          <w:rPr>
            <w:rStyle w:val="Hyperlink"/>
            <w:noProof/>
          </w:rPr>
          <w:t>Green gram Production and Yield by Region 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_Toc82386310 \h </w:instrText>
        </w:r>
        <w:r w:rsidR="002C0E50">
          <w:rPr>
            <w:noProof/>
            <w:webHidden/>
          </w:rPr>
        </w:r>
        <w:r w:rsidR="002C0E50">
          <w:rPr>
            <w:noProof/>
            <w:webHidden/>
          </w:rPr>
          <w:fldChar w:fldCharType="separate"/>
        </w:r>
        <w:r w:rsidR="00A15698">
          <w:rPr>
            <w:noProof/>
            <w:webHidden/>
          </w:rPr>
          <w:t>54</w:t>
        </w:r>
        <w:r w:rsidR="002C0E50">
          <w:rPr>
            <w:noProof/>
            <w:webHidden/>
          </w:rPr>
          <w:fldChar w:fldCharType="end"/>
        </w:r>
      </w:hyperlink>
    </w:p>
    <w:p w14:paraId="529EA87D" w14:textId="37D13D3D" w:rsidR="002C0E50" w:rsidRDefault="00E909AE">
      <w:pPr>
        <w:pStyle w:val="TOC8"/>
        <w:rPr>
          <w:rFonts w:asciiTheme="minorHAnsi" w:eastAsiaTheme="minorEastAsia" w:hAnsiTheme="minorHAnsi" w:cstheme="minorBidi"/>
          <w:noProof/>
          <w:szCs w:val="24"/>
        </w:rPr>
      </w:pPr>
      <w:hyperlink w:anchor="_Toc82386311" w:history="1">
        <w:r w:rsidR="002C0E50" w:rsidRPr="00F40DDB">
          <w:rPr>
            <w:rStyle w:val="Hyperlink"/>
            <w:noProof/>
          </w:rPr>
          <w:t>Figure 3.34:</w:t>
        </w:r>
        <w:r w:rsidR="002C0E50">
          <w:rPr>
            <w:rFonts w:asciiTheme="minorHAnsi" w:eastAsiaTheme="minorEastAsia" w:hAnsiTheme="minorHAnsi" w:cstheme="minorBidi"/>
            <w:noProof/>
            <w:szCs w:val="24"/>
          </w:rPr>
          <w:tab/>
        </w:r>
        <w:r w:rsidR="002C0E50" w:rsidRPr="00F40DDB">
          <w:rPr>
            <w:rStyle w:val="Hyperlink"/>
            <w:noProof/>
          </w:rPr>
          <w:t>Planted and Harvested Area with Pigeon Peas by Smallholder Farmers by Region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_Toc82386311 \h </w:instrText>
        </w:r>
        <w:r w:rsidR="002C0E50">
          <w:rPr>
            <w:noProof/>
            <w:webHidden/>
          </w:rPr>
        </w:r>
        <w:r w:rsidR="002C0E50">
          <w:rPr>
            <w:noProof/>
            <w:webHidden/>
          </w:rPr>
          <w:fldChar w:fldCharType="separate"/>
        </w:r>
        <w:r w:rsidR="00A15698">
          <w:rPr>
            <w:noProof/>
            <w:webHidden/>
          </w:rPr>
          <w:t>56</w:t>
        </w:r>
        <w:r w:rsidR="002C0E50">
          <w:rPr>
            <w:noProof/>
            <w:webHidden/>
          </w:rPr>
          <w:fldChar w:fldCharType="end"/>
        </w:r>
      </w:hyperlink>
    </w:p>
    <w:p w14:paraId="2BB29861" w14:textId="02C2E2B3" w:rsidR="002C0E50" w:rsidRDefault="00E909AE">
      <w:pPr>
        <w:pStyle w:val="TOC8"/>
        <w:rPr>
          <w:rFonts w:asciiTheme="minorHAnsi" w:eastAsiaTheme="minorEastAsia" w:hAnsiTheme="minorHAnsi" w:cstheme="minorBidi"/>
          <w:noProof/>
          <w:szCs w:val="24"/>
        </w:rPr>
      </w:pPr>
      <w:hyperlink w:anchor="_Toc82386312" w:history="1">
        <w:r w:rsidR="002C0E50" w:rsidRPr="00F40DDB">
          <w:rPr>
            <w:rStyle w:val="Hyperlink"/>
            <w:noProof/>
          </w:rPr>
          <w:t>Figure 3.35:</w:t>
        </w:r>
        <w:r w:rsidR="002C0E50">
          <w:rPr>
            <w:rFonts w:asciiTheme="minorHAnsi" w:eastAsiaTheme="minorEastAsia" w:hAnsiTheme="minorHAnsi" w:cstheme="minorBidi"/>
            <w:noProof/>
            <w:szCs w:val="24"/>
          </w:rPr>
          <w:tab/>
        </w:r>
        <w:r w:rsidR="002C0E50" w:rsidRPr="00F40DDB">
          <w:rPr>
            <w:rStyle w:val="Hyperlink"/>
            <w:noProof/>
          </w:rPr>
          <w:t>Planted and Harvested Area with Pigeon Peas by Smallholder Farmers by Region 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_Toc82386312 \h </w:instrText>
        </w:r>
        <w:r w:rsidR="002C0E50">
          <w:rPr>
            <w:noProof/>
            <w:webHidden/>
          </w:rPr>
        </w:r>
        <w:r w:rsidR="002C0E50">
          <w:rPr>
            <w:noProof/>
            <w:webHidden/>
          </w:rPr>
          <w:fldChar w:fldCharType="separate"/>
        </w:r>
        <w:r w:rsidR="00A15698">
          <w:rPr>
            <w:noProof/>
            <w:webHidden/>
          </w:rPr>
          <w:t>56</w:t>
        </w:r>
        <w:r w:rsidR="002C0E50">
          <w:rPr>
            <w:noProof/>
            <w:webHidden/>
          </w:rPr>
          <w:fldChar w:fldCharType="end"/>
        </w:r>
      </w:hyperlink>
    </w:p>
    <w:p w14:paraId="7D8C9A53" w14:textId="7DC4E2FC" w:rsidR="002C0E50" w:rsidRDefault="00E909AE">
      <w:pPr>
        <w:pStyle w:val="TOC8"/>
        <w:rPr>
          <w:rFonts w:asciiTheme="minorHAnsi" w:eastAsiaTheme="minorEastAsia" w:hAnsiTheme="minorHAnsi" w:cstheme="minorBidi"/>
          <w:noProof/>
          <w:szCs w:val="24"/>
        </w:rPr>
      </w:pPr>
      <w:hyperlink w:anchor="_Toc82386313" w:history="1">
        <w:r w:rsidR="002C0E50" w:rsidRPr="00F40DDB">
          <w:rPr>
            <w:rStyle w:val="Hyperlink"/>
            <w:noProof/>
          </w:rPr>
          <w:t>Figure 3.36:</w:t>
        </w:r>
        <w:r w:rsidR="002C0E50">
          <w:rPr>
            <w:rFonts w:asciiTheme="minorHAnsi" w:eastAsiaTheme="minorEastAsia" w:hAnsiTheme="minorHAnsi" w:cstheme="minorBidi"/>
            <w:noProof/>
            <w:szCs w:val="24"/>
          </w:rPr>
          <w:tab/>
        </w:r>
        <w:r w:rsidR="002C0E50" w:rsidRPr="00F40DDB">
          <w:rPr>
            <w:rStyle w:val="Hyperlink"/>
            <w:noProof/>
          </w:rPr>
          <w:t>Production and Yield of Pigeon Peas by Smallholder Farmers by Region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_Toc82386313 \h </w:instrText>
        </w:r>
        <w:r w:rsidR="002C0E50">
          <w:rPr>
            <w:noProof/>
            <w:webHidden/>
          </w:rPr>
        </w:r>
        <w:r w:rsidR="002C0E50">
          <w:rPr>
            <w:noProof/>
            <w:webHidden/>
          </w:rPr>
          <w:fldChar w:fldCharType="separate"/>
        </w:r>
        <w:r w:rsidR="00A15698">
          <w:rPr>
            <w:noProof/>
            <w:webHidden/>
          </w:rPr>
          <w:t>57</w:t>
        </w:r>
        <w:r w:rsidR="002C0E50">
          <w:rPr>
            <w:noProof/>
            <w:webHidden/>
          </w:rPr>
          <w:fldChar w:fldCharType="end"/>
        </w:r>
      </w:hyperlink>
    </w:p>
    <w:p w14:paraId="1609613C" w14:textId="3F4055F2" w:rsidR="002C0E50" w:rsidRDefault="00E909AE">
      <w:pPr>
        <w:pStyle w:val="TOC8"/>
        <w:rPr>
          <w:rFonts w:asciiTheme="minorHAnsi" w:eastAsiaTheme="minorEastAsia" w:hAnsiTheme="minorHAnsi" w:cstheme="minorBidi"/>
          <w:noProof/>
          <w:szCs w:val="24"/>
        </w:rPr>
      </w:pPr>
      <w:hyperlink w:anchor="_Toc82386314" w:history="1">
        <w:r w:rsidR="002C0E50" w:rsidRPr="00F40DDB">
          <w:rPr>
            <w:rStyle w:val="Hyperlink"/>
            <w:noProof/>
          </w:rPr>
          <w:t>Figure 3.37:</w:t>
        </w:r>
        <w:r w:rsidR="002C0E50">
          <w:rPr>
            <w:rFonts w:asciiTheme="minorHAnsi" w:eastAsiaTheme="minorEastAsia" w:hAnsiTheme="minorHAnsi" w:cstheme="minorBidi"/>
            <w:noProof/>
            <w:szCs w:val="24"/>
          </w:rPr>
          <w:tab/>
        </w:r>
        <w:r w:rsidR="002C0E50" w:rsidRPr="00F40DDB">
          <w:rPr>
            <w:rStyle w:val="Hyperlink"/>
            <w:noProof/>
          </w:rPr>
          <w:t>Production and Yield of Pigeon Peas by Smallholder Farmers by Region 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_Toc82386314 \h </w:instrText>
        </w:r>
        <w:r w:rsidR="002C0E50">
          <w:rPr>
            <w:noProof/>
            <w:webHidden/>
          </w:rPr>
        </w:r>
        <w:r w:rsidR="002C0E50">
          <w:rPr>
            <w:noProof/>
            <w:webHidden/>
          </w:rPr>
          <w:fldChar w:fldCharType="separate"/>
        </w:r>
        <w:r w:rsidR="00A15698">
          <w:rPr>
            <w:noProof/>
            <w:webHidden/>
          </w:rPr>
          <w:t>58</w:t>
        </w:r>
        <w:r w:rsidR="002C0E50">
          <w:rPr>
            <w:noProof/>
            <w:webHidden/>
          </w:rPr>
          <w:fldChar w:fldCharType="end"/>
        </w:r>
      </w:hyperlink>
    </w:p>
    <w:p w14:paraId="00E3F0AD" w14:textId="5A7BD94F" w:rsidR="002C0E50" w:rsidRDefault="00E909AE">
      <w:pPr>
        <w:pStyle w:val="TOC8"/>
        <w:rPr>
          <w:rFonts w:asciiTheme="minorHAnsi" w:eastAsiaTheme="minorEastAsia" w:hAnsiTheme="minorHAnsi" w:cstheme="minorBidi"/>
          <w:noProof/>
          <w:szCs w:val="24"/>
        </w:rPr>
      </w:pPr>
      <w:hyperlink w:anchor="_Toc82386315" w:history="1">
        <w:r w:rsidR="002C0E50" w:rsidRPr="00F40DDB">
          <w:rPr>
            <w:rStyle w:val="Hyperlink"/>
            <w:noProof/>
          </w:rPr>
          <w:t>Figure 3.38:</w:t>
        </w:r>
        <w:r w:rsidR="002C0E50">
          <w:rPr>
            <w:rFonts w:asciiTheme="minorHAnsi" w:eastAsiaTheme="minorEastAsia" w:hAnsiTheme="minorHAnsi" w:cstheme="minorBidi"/>
            <w:noProof/>
            <w:szCs w:val="24"/>
          </w:rPr>
          <w:tab/>
        </w:r>
        <w:r w:rsidR="002C0E50" w:rsidRPr="00F40DDB">
          <w:rPr>
            <w:rStyle w:val="Hyperlink"/>
            <w:noProof/>
          </w:rPr>
          <w:t>Quantity Harvested and Yield of Tomato by Region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_Toc82386315 \h </w:instrText>
        </w:r>
        <w:r w:rsidR="002C0E50">
          <w:rPr>
            <w:noProof/>
            <w:webHidden/>
          </w:rPr>
        </w:r>
        <w:r w:rsidR="002C0E50">
          <w:rPr>
            <w:noProof/>
            <w:webHidden/>
          </w:rPr>
          <w:fldChar w:fldCharType="separate"/>
        </w:r>
        <w:r w:rsidR="00A15698">
          <w:rPr>
            <w:noProof/>
            <w:webHidden/>
          </w:rPr>
          <w:t>70</w:t>
        </w:r>
        <w:r w:rsidR="002C0E50">
          <w:rPr>
            <w:noProof/>
            <w:webHidden/>
          </w:rPr>
          <w:fldChar w:fldCharType="end"/>
        </w:r>
      </w:hyperlink>
    </w:p>
    <w:p w14:paraId="4394C0F7" w14:textId="00525DCC" w:rsidR="002C0E50" w:rsidRDefault="00E909AE">
      <w:pPr>
        <w:pStyle w:val="TOC8"/>
        <w:rPr>
          <w:rFonts w:asciiTheme="minorHAnsi" w:eastAsiaTheme="minorEastAsia" w:hAnsiTheme="minorHAnsi" w:cstheme="minorBidi"/>
          <w:noProof/>
          <w:szCs w:val="24"/>
        </w:rPr>
      </w:pPr>
      <w:hyperlink w:anchor="_Toc82386316" w:history="1">
        <w:r w:rsidR="002C0E50" w:rsidRPr="00F40DDB">
          <w:rPr>
            <w:rStyle w:val="Hyperlink"/>
            <w:noProof/>
          </w:rPr>
          <w:t>Figure 3.39:</w:t>
        </w:r>
        <w:r w:rsidR="002C0E50">
          <w:rPr>
            <w:rFonts w:asciiTheme="minorHAnsi" w:eastAsiaTheme="minorEastAsia" w:hAnsiTheme="minorHAnsi" w:cstheme="minorBidi"/>
            <w:noProof/>
            <w:szCs w:val="24"/>
          </w:rPr>
          <w:tab/>
        </w:r>
        <w:r w:rsidR="002C0E50" w:rsidRPr="00F40DDB">
          <w:rPr>
            <w:rStyle w:val="Hyperlink"/>
            <w:noProof/>
          </w:rPr>
          <w:t>Quantity Harvested and Yield of Tomato by Region 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_Toc82386316 \h </w:instrText>
        </w:r>
        <w:r w:rsidR="002C0E50">
          <w:rPr>
            <w:noProof/>
            <w:webHidden/>
          </w:rPr>
        </w:r>
        <w:r w:rsidR="002C0E50">
          <w:rPr>
            <w:noProof/>
            <w:webHidden/>
          </w:rPr>
          <w:fldChar w:fldCharType="separate"/>
        </w:r>
        <w:r w:rsidR="00A15698">
          <w:rPr>
            <w:noProof/>
            <w:webHidden/>
          </w:rPr>
          <w:t>70</w:t>
        </w:r>
        <w:r w:rsidR="002C0E50">
          <w:rPr>
            <w:noProof/>
            <w:webHidden/>
          </w:rPr>
          <w:fldChar w:fldCharType="end"/>
        </w:r>
      </w:hyperlink>
    </w:p>
    <w:p w14:paraId="3CBB8C56" w14:textId="598FB51A" w:rsidR="002C0E50" w:rsidRDefault="00E909AE">
      <w:pPr>
        <w:pStyle w:val="TOC8"/>
        <w:rPr>
          <w:rFonts w:asciiTheme="minorHAnsi" w:eastAsiaTheme="minorEastAsia" w:hAnsiTheme="minorHAnsi" w:cstheme="minorBidi"/>
          <w:noProof/>
          <w:szCs w:val="24"/>
        </w:rPr>
      </w:pPr>
      <w:hyperlink w:anchor="_Toc82386317" w:history="1">
        <w:r w:rsidR="002C0E50" w:rsidRPr="00F40DDB">
          <w:rPr>
            <w:rStyle w:val="Hyperlink"/>
            <w:noProof/>
          </w:rPr>
          <w:t>Figure 3.40:</w:t>
        </w:r>
        <w:r w:rsidR="002C0E50">
          <w:rPr>
            <w:rFonts w:asciiTheme="minorHAnsi" w:eastAsiaTheme="minorEastAsia" w:hAnsiTheme="minorHAnsi" w:cstheme="minorBidi"/>
            <w:noProof/>
            <w:szCs w:val="24"/>
          </w:rPr>
          <w:tab/>
        </w:r>
        <w:r w:rsidR="002C0E50" w:rsidRPr="00F40DDB">
          <w:rPr>
            <w:rStyle w:val="Hyperlink"/>
            <w:noProof/>
          </w:rPr>
          <w:t>Quantity Harvested and Yield of Onions by Region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_Toc82386317 \h </w:instrText>
        </w:r>
        <w:r w:rsidR="002C0E50">
          <w:rPr>
            <w:noProof/>
            <w:webHidden/>
          </w:rPr>
        </w:r>
        <w:r w:rsidR="002C0E50">
          <w:rPr>
            <w:noProof/>
            <w:webHidden/>
          </w:rPr>
          <w:fldChar w:fldCharType="separate"/>
        </w:r>
        <w:r w:rsidR="00A15698">
          <w:rPr>
            <w:noProof/>
            <w:webHidden/>
          </w:rPr>
          <w:t>71</w:t>
        </w:r>
        <w:r w:rsidR="002C0E50">
          <w:rPr>
            <w:noProof/>
            <w:webHidden/>
          </w:rPr>
          <w:fldChar w:fldCharType="end"/>
        </w:r>
      </w:hyperlink>
    </w:p>
    <w:p w14:paraId="0203A4ED" w14:textId="64F4200C" w:rsidR="002C0E50" w:rsidRDefault="00E909AE">
      <w:pPr>
        <w:pStyle w:val="TOC8"/>
        <w:rPr>
          <w:rFonts w:asciiTheme="minorHAnsi" w:eastAsiaTheme="minorEastAsia" w:hAnsiTheme="minorHAnsi" w:cstheme="minorBidi"/>
          <w:noProof/>
          <w:szCs w:val="24"/>
        </w:rPr>
      </w:pPr>
      <w:hyperlink w:anchor="_Toc82386318" w:history="1">
        <w:r w:rsidR="002C0E50" w:rsidRPr="00F40DDB">
          <w:rPr>
            <w:rStyle w:val="Hyperlink"/>
            <w:noProof/>
          </w:rPr>
          <w:t>Figure 3.41:</w:t>
        </w:r>
        <w:r w:rsidR="002C0E50">
          <w:rPr>
            <w:rFonts w:asciiTheme="minorHAnsi" w:eastAsiaTheme="minorEastAsia" w:hAnsiTheme="minorHAnsi" w:cstheme="minorBidi"/>
            <w:noProof/>
            <w:szCs w:val="24"/>
          </w:rPr>
          <w:tab/>
        </w:r>
        <w:r w:rsidR="002C0E50" w:rsidRPr="00F40DDB">
          <w:rPr>
            <w:rStyle w:val="Hyperlink"/>
            <w:noProof/>
          </w:rPr>
          <w:t>Quantity Harvested and Yield of Watermelon by Region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_Toc82386318 \h </w:instrText>
        </w:r>
        <w:r w:rsidR="002C0E50">
          <w:rPr>
            <w:noProof/>
            <w:webHidden/>
          </w:rPr>
        </w:r>
        <w:r w:rsidR="002C0E50">
          <w:rPr>
            <w:noProof/>
            <w:webHidden/>
          </w:rPr>
          <w:fldChar w:fldCharType="separate"/>
        </w:r>
        <w:r w:rsidR="00A15698">
          <w:rPr>
            <w:noProof/>
            <w:webHidden/>
          </w:rPr>
          <w:t>75</w:t>
        </w:r>
        <w:r w:rsidR="002C0E50">
          <w:rPr>
            <w:noProof/>
            <w:webHidden/>
          </w:rPr>
          <w:fldChar w:fldCharType="end"/>
        </w:r>
      </w:hyperlink>
    </w:p>
    <w:p w14:paraId="60DAB7DE" w14:textId="7EFB3A4B" w:rsidR="002C0E50" w:rsidRDefault="00E909AE">
      <w:pPr>
        <w:pStyle w:val="TOC8"/>
        <w:rPr>
          <w:rFonts w:asciiTheme="minorHAnsi" w:eastAsiaTheme="minorEastAsia" w:hAnsiTheme="minorHAnsi" w:cstheme="minorBidi"/>
          <w:noProof/>
          <w:szCs w:val="24"/>
        </w:rPr>
      </w:pPr>
      <w:hyperlink w:anchor="_Toc82386319" w:history="1">
        <w:r w:rsidR="002C0E50" w:rsidRPr="00F40DDB">
          <w:rPr>
            <w:rStyle w:val="Hyperlink"/>
            <w:noProof/>
          </w:rPr>
          <w:t>Figure 3.42:</w:t>
        </w:r>
        <w:r w:rsidR="002C0E50">
          <w:rPr>
            <w:rFonts w:asciiTheme="minorHAnsi" w:eastAsiaTheme="minorEastAsia" w:hAnsiTheme="minorHAnsi" w:cstheme="minorBidi"/>
            <w:noProof/>
            <w:szCs w:val="24"/>
          </w:rPr>
          <w:tab/>
        </w:r>
        <w:r w:rsidR="002C0E50" w:rsidRPr="00F40DDB">
          <w:rPr>
            <w:rStyle w:val="Hyperlink"/>
            <w:noProof/>
          </w:rPr>
          <w:t>Quantity Harvested and Yield of Watermelon by Region 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_Toc82386319 \h </w:instrText>
        </w:r>
        <w:r w:rsidR="002C0E50">
          <w:rPr>
            <w:noProof/>
            <w:webHidden/>
          </w:rPr>
        </w:r>
        <w:r w:rsidR="002C0E50">
          <w:rPr>
            <w:noProof/>
            <w:webHidden/>
          </w:rPr>
          <w:fldChar w:fldCharType="separate"/>
        </w:r>
        <w:r w:rsidR="00A15698">
          <w:rPr>
            <w:noProof/>
            <w:webHidden/>
          </w:rPr>
          <w:t>75</w:t>
        </w:r>
        <w:r w:rsidR="002C0E50">
          <w:rPr>
            <w:noProof/>
            <w:webHidden/>
          </w:rPr>
          <w:fldChar w:fldCharType="end"/>
        </w:r>
      </w:hyperlink>
    </w:p>
    <w:p w14:paraId="41CC9A17" w14:textId="001AF45F" w:rsidR="002C0E50" w:rsidRDefault="00E909AE">
      <w:pPr>
        <w:pStyle w:val="TOC8"/>
        <w:rPr>
          <w:rFonts w:asciiTheme="minorHAnsi" w:eastAsiaTheme="minorEastAsia" w:hAnsiTheme="minorHAnsi" w:cstheme="minorBidi"/>
          <w:noProof/>
          <w:szCs w:val="24"/>
        </w:rPr>
      </w:pPr>
      <w:hyperlink r:id="rId41" w:anchor="_Toc82386320" w:history="1">
        <w:r w:rsidR="002C0E50" w:rsidRPr="00F40DDB">
          <w:rPr>
            <w:rStyle w:val="Hyperlink"/>
            <w:noProof/>
          </w:rPr>
          <w:t>Figure 3.43:</w:t>
        </w:r>
        <w:r w:rsidR="002C0E50">
          <w:rPr>
            <w:rFonts w:asciiTheme="minorHAnsi" w:eastAsiaTheme="minorEastAsia" w:hAnsiTheme="minorHAnsi" w:cstheme="minorBidi"/>
            <w:noProof/>
            <w:szCs w:val="24"/>
          </w:rPr>
          <w:tab/>
        </w:r>
        <w:r w:rsidR="002C0E50" w:rsidRPr="00F40DDB">
          <w:rPr>
            <w:rStyle w:val="Hyperlink"/>
            <w:noProof/>
          </w:rPr>
          <w:t>Productivity of Cotton by Major Producing Region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_Toc82386320 \h </w:instrText>
        </w:r>
        <w:r w:rsidR="002C0E50">
          <w:rPr>
            <w:noProof/>
            <w:webHidden/>
          </w:rPr>
        </w:r>
        <w:r w:rsidR="002C0E50">
          <w:rPr>
            <w:noProof/>
            <w:webHidden/>
          </w:rPr>
          <w:fldChar w:fldCharType="separate"/>
        </w:r>
        <w:r w:rsidR="00A15698">
          <w:rPr>
            <w:noProof/>
            <w:webHidden/>
          </w:rPr>
          <w:t>86</w:t>
        </w:r>
        <w:r w:rsidR="002C0E50">
          <w:rPr>
            <w:noProof/>
            <w:webHidden/>
          </w:rPr>
          <w:fldChar w:fldCharType="end"/>
        </w:r>
      </w:hyperlink>
    </w:p>
    <w:p w14:paraId="6140380C" w14:textId="7B2D7DCC" w:rsidR="002C0E50" w:rsidRDefault="00E909AE">
      <w:pPr>
        <w:pStyle w:val="TOC8"/>
        <w:rPr>
          <w:rFonts w:asciiTheme="minorHAnsi" w:eastAsiaTheme="minorEastAsia" w:hAnsiTheme="minorHAnsi" w:cstheme="minorBidi"/>
          <w:noProof/>
          <w:szCs w:val="24"/>
        </w:rPr>
      </w:pPr>
      <w:hyperlink r:id="rId42" w:anchor="_Toc82386321" w:history="1">
        <w:r w:rsidR="002C0E50" w:rsidRPr="00F40DDB">
          <w:rPr>
            <w:rStyle w:val="Hyperlink"/>
            <w:noProof/>
          </w:rPr>
          <w:t>Figure 3.44:</w:t>
        </w:r>
        <w:r w:rsidR="002C0E50">
          <w:rPr>
            <w:rFonts w:asciiTheme="minorHAnsi" w:eastAsiaTheme="minorEastAsia" w:hAnsiTheme="minorHAnsi" w:cstheme="minorBidi"/>
            <w:noProof/>
            <w:szCs w:val="24"/>
          </w:rPr>
          <w:tab/>
        </w:r>
        <w:r w:rsidR="002C0E50" w:rsidRPr="00F40DDB">
          <w:rPr>
            <w:rStyle w:val="Hyperlink"/>
            <w:noProof/>
          </w:rPr>
          <w:t>Productivity of Tobacco by Major Producing Regions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_Toc82386321 \h </w:instrText>
        </w:r>
        <w:r w:rsidR="002C0E50">
          <w:rPr>
            <w:noProof/>
            <w:webHidden/>
          </w:rPr>
        </w:r>
        <w:r w:rsidR="002C0E50">
          <w:rPr>
            <w:noProof/>
            <w:webHidden/>
          </w:rPr>
          <w:fldChar w:fldCharType="separate"/>
        </w:r>
        <w:r w:rsidR="00A15698">
          <w:rPr>
            <w:noProof/>
            <w:webHidden/>
          </w:rPr>
          <w:t>87</w:t>
        </w:r>
        <w:r w:rsidR="002C0E50">
          <w:rPr>
            <w:noProof/>
            <w:webHidden/>
          </w:rPr>
          <w:fldChar w:fldCharType="end"/>
        </w:r>
      </w:hyperlink>
    </w:p>
    <w:p w14:paraId="77B32070" w14:textId="7D15465C" w:rsidR="002C0E50" w:rsidRDefault="00E909AE">
      <w:pPr>
        <w:pStyle w:val="TOC8"/>
        <w:rPr>
          <w:rFonts w:asciiTheme="minorHAnsi" w:eastAsiaTheme="minorEastAsia" w:hAnsiTheme="minorHAnsi" w:cstheme="minorBidi"/>
          <w:noProof/>
          <w:szCs w:val="24"/>
        </w:rPr>
      </w:pPr>
      <w:hyperlink r:id="rId43" w:anchor="_Toc82386322" w:history="1">
        <w:r w:rsidR="002C0E50" w:rsidRPr="00F40DDB">
          <w:rPr>
            <w:rStyle w:val="Hyperlink"/>
            <w:noProof/>
          </w:rPr>
          <w:t>Figure 3.45:</w:t>
        </w:r>
        <w:r w:rsidR="002C0E50">
          <w:rPr>
            <w:rFonts w:asciiTheme="minorHAnsi" w:eastAsiaTheme="minorEastAsia" w:hAnsiTheme="minorHAnsi" w:cstheme="minorBidi"/>
            <w:noProof/>
            <w:szCs w:val="24"/>
          </w:rPr>
          <w:tab/>
        </w:r>
        <w:r w:rsidR="002C0E50" w:rsidRPr="00F40DDB">
          <w:rPr>
            <w:rStyle w:val="Hyperlink"/>
            <w:noProof/>
          </w:rPr>
          <w:t>Average Planted Area with Sugarcane per Household by Region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_Toc82386322 \h </w:instrText>
        </w:r>
        <w:r w:rsidR="002C0E50">
          <w:rPr>
            <w:noProof/>
            <w:webHidden/>
          </w:rPr>
        </w:r>
        <w:r w:rsidR="002C0E50">
          <w:rPr>
            <w:noProof/>
            <w:webHidden/>
          </w:rPr>
          <w:fldChar w:fldCharType="separate"/>
        </w:r>
        <w:r w:rsidR="00A15698">
          <w:rPr>
            <w:noProof/>
            <w:webHidden/>
          </w:rPr>
          <w:t>89</w:t>
        </w:r>
        <w:r w:rsidR="002C0E50">
          <w:rPr>
            <w:noProof/>
            <w:webHidden/>
          </w:rPr>
          <w:fldChar w:fldCharType="end"/>
        </w:r>
      </w:hyperlink>
    </w:p>
    <w:p w14:paraId="2DF06119" w14:textId="11F268A2" w:rsidR="002C0E50" w:rsidRDefault="00E909AE">
      <w:pPr>
        <w:pStyle w:val="TOC8"/>
        <w:rPr>
          <w:rFonts w:asciiTheme="minorHAnsi" w:eastAsiaTheme="minorEastAsia" w:hAnsiTheme="minorHAnsi" w:cstheme="minorBidi"/>
          <w:noProof/>
          <w:szCs w:val="24"/>
        </w:rPr>
      </w:pPr>
      <w:hyperlink r:id="rId44" w:anchor="_Toc82386323" w:history="1">
        <w:r w:rsidR="002C0E50" w:rsidRPr="00F40DDB">
          <w:rPr>
            <w:rStyle w:val="Hyperlink"/>
            <w:noProof/>
          </w:rPr>
          <w:t>Figure 3.46:</w:t>
        </w:r>
        <w:r w:rsidR="002C0E50">
          <w:rPr>
            <w:rFonts w:asciiTheme="minorHAnsi" w:eastAsiaTheme="minorEastAsia" w:hAnsiTheme="minorHAnsi" w:cstheme="minorBidi"/>
            <w:noProof/>
            <w:szCs w:val="24"/>
          </w:rPr>
          <w:tab/>
        </w:r>
        <w:r w:rsidR="002C0E50" w:rsidRPr="00F40DDB">
          <w:rPr>
            <w:rStyle w:val="Hyperlink"/>
            <w:noProof/>
          </w:rPr>
          <w:t>Average Planted Area with Sugarcane per Household by Region 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_Toc82386323 \h </w:instrText>
        </w:r>
        <w:r w:rsidR="002C0E50">
          <w:rPr>
            <w:noProof/>
            <w:webHidden/>
          </w:rPr>
        </w:r>
        <w:r w:rsidR="002C0E50">
          <w:rPr>
            <w:noProof/>
            <w:webHidden/>
          </w:rPr>
          <w:fldChar w:fldCharType="separate"/>
        </w:r>
        <w:r w:rsidR="00A15698">
          <w:rPr>
            <w:noProof/>
            <w:webHidden/>
          </w:rPr>
          <w:t>90</w:t>
        </w:r>
        <w:r w:rsidR="002C0E50">
          <w:rPr>
            <w:noProof/>
            <w:webHidden/>
          </w:rPr>
          <w:fldChar w:fldCharType="end"/>
        </w:r>
      </w:hyperlink>
    </w:p>
    <w:p w14:paraId="79C9D206" w14:textId="194D12E0" w:rsidR="002C0E50" w:rsidRDefault="00E909AE">
      <w:pPr>
        <w:pStyle w:val="TOC8"/>
        <w:rPr>
          <w:rFonts w:asciiTheme="minorHAnsi" w:eastAsiaTheme="minorEastAsia" w:hAnsiTheme="minorHAnsi" w:cstheme="minorBidi"/>
          <w:noProof/>
          <w:szCs w:val="24"/>
        </w:rPr>
      </w:pPr>
      <w:hyperlink r:id="rId45" w:anchor="_Toc82386324" w:history="1">
        <w:r w:rsidR="002C0E50" w:rsidRPr="00F40DDB">
          <w:rPr>
            <w:rStyle w:val="Hyperlink"/>
            <w:noProof/>
          </w:rPr>
          <w:t>Figure 3.47:</w:t>
        </w:r>
        <w:r w:rsidR="002C0E50">
          <w:rPr>
            <w:rFonts w:asciiTheme="minorHAnsi" w:eastAsiaTheme="minorEastAsia" w:hAnsiTheme="minorHAnsi" w:cstheme="minorBidi"/>
            <w:noProof/>
            <w:szCs w:val="24"/>
          </w:rPr>
          <w:tab/>
        </w:r>
        <w:r w:rsidR="002C0E50" w:rsidRPr="00F40DDB">
          <w:rPr>
            <w:rStyle w:val="Hyperlink"/>
            <w:noProof/>
          </w:rPr>
          <w:t>Production of Coconut by Region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_Toc82386324 \h </w:instrText>
        </w:r>
        <w:r w:rsidR="002C0E50">
          <w:rPr>
            <w:noProof/>
            <w:webHidden/>
          </w:rPr>
        </w:r>
        <w:r w:rsidR="002C0E50">
          <w:rPr>
            <w:noProof/>
            <w:webHidden/>
          </w:rPr>
          <w:fldChar w:fldCharType="separate"/>
        </w:r>
        <w:r w:rsidR="00A15698">
          <w:rPr>
            <w:noProof/>
            <w:webHidden/>
          </w:rPr>
          <w:t>92</w:t>
        </w:r>
        <w:r w:rsidR="002C0E50">
          <w:rPr>
            <w:noProof/>
            <w:webHidden/>
          </w:rPr>
          <w:fldChar w:fldCharType="end"/>
        </w:r>
      </w:hyperlink>
    </w:p>
    <w:p w14:paraId="4E8B1721" w14:textId="09FE3D16" w:rsidR="002C0E50" w:rsidRDefault="00E909AE">
      <w:pPr>
        <w:pStyle w:val="TOC8"/>
        <w:rPr>
          <w:rFonts w:asciiTheme="minorHAnsi" w:eastAsiaTheme="minorEastAsia" w:hAnsiTheme="minorHAnsi" w:cstheme="minorBidi"/>
          <w:noProof/>
          <w:szCs w:val="24"/>
        </w:rPr>
      </w:pPr>
      <w:hyperlink r:id="rId46" w:anchor="_Toc82386325" w:history="1">
        <w:r w:rsidR="002C0E50" w:rsidRPr="00F40DDB">
          <w:rPr>
            <w:rStyle w:val="Hyperlink"/>
            <w:noProof/>
          </w:rPr>
          <w:t>Figure 3.48:</w:t>
        </w:r>
        <w:r w:rsidR="002C0E50">
          <w:rPr>
            <w:rFonts w:asciiTheme="minorHAnsi" w:eastAsiaTheme="minorEastAsia" w:hAnsiTheme="minorHAnsi" w:cstheme="minorBidi"/>
            <w:noProof/>
            <w:szCs w:val="24"/>
          </w:rPr>
          <w:tab/>
        </w:r>
        <w:r w:rsidR="002C0E50" w:rsidRPr="00F40DDB">
          <w:rPr>
            <w:rStyle w:val="Hyperlink"/>
            <w:noProof/>
          </w:rPr>
          <w:t>Production of Coconut by Region 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_Toc82386325 \h </w:instrText>
        </w:r>
        <w:r w:rsidR="002C0E50">
          <w:rPr>
            <w:noProof/>
            <w:webHidden/>
          </w:rPr>
        </w:r>
        <w:r w:rsidR="002C0E50">
          <w:rPr>
            <w:noProof/>
            <w:webHidden/>
          </w:rPr>
          <w:fldChar w:fldCharType="separate"/>
        </w:r>
        <w:r w:rsidR="00A15698">
          <w:rPr>
            <w:noProof/>
            <w:webHidden/>
          </w:rPr>
          <w:t>92</w:t>
        </w:r>
        <w:r w:rsidR="002C0E50">
          <w:rPr>
            <w:noProof/>
            <w:webHidden/>
          </w:rPr>
          <w:fldChar w:fldCharType="end"/>
        </w:r>
      </w:hyperlink>
    </w:p>
    <w:p w14:paraId="49033D01" w14:textId="6129D5D6" w:rsidR="002C0E50" w:rsidRDefault="00E909AE">
      <w:pPr>
        <w:pStyle w:val="TOC8"/>
        <w:rPr>
          <w:rFonts w:asciiTheme="minorHAnsi" w:eastAsiaTheme="minorEastAsia" w:hAnsiTheme="minorHAnsi" w:cstheme="minorBidi"/>
          <w:noProof/>
          <w:szCs w:val="24"/>
        </w:rPr>
      </w:pPr>
      <w:hyperlink w:anchor="_Toc82386326" w:history="1">
        <w:r w:rsidR="002C0E50" w:rsidRPr="00F40DDB">
          <w:rPr>
            <w:rStyle w:val="Hyperlink"/>
            <w:noProof/>
          </w:rPr>
          <w:t>Figure 3.49:</w:t>
        </w:r>
        <w:r w:rsidR="002C0E50">
          <w:rPr>
            <w:rFonts w:asciiTheme="minorHAnsi" w:eastAsiaTheme="minorEastAsia" w:hAnsiTheme="minorHAnsi" w:cstheme="minorBidi"/>
            <w:noProof/>
            <w:szCs w:val="24"/>
          </w:rPr>
          <w:tab/>
        </w:r>
        <w:r w:rsidR="002C0E50" w:rsidRPr="00F40DDB">
          <w:rPr>
            <w:rStyle w:val="Hyperlink"/>
            <w:noProof/>
          </w:rPr>
          <w:t>Percentage of Agricultural Households Reported to Process Different Crops by Region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_Toc82386326 \h </w:instrText>
        </w:r>
        <w:r w:rsidR="002C0E50">
          <w:rPr>
            <w:noProof/>
            <w:webHidden/>
          </w:rPr>
        </w:r>
        <w:r w:rsidR="002C0E50">
          <w:rPr>
            <w:noProof/>
            <w:webHidden/>
          </w:rPr>
          <w:fldChar w:fldCharType="separate"/>
        </w:r>
        <w:r w:rsidR="00A15698">
          <w:rPr>
            <w:noProof/>
            <w:webHidden/>
          </w:rPr>
          <w:t>96</w:t>
        </w:r>
        <w:r w:rsidR="002C0E50">
          <w:rPr>
            <w:noProof/>
            <w:webHidden/>
          </w:rPr>
          <w:fldChar w:fldCharType="end"/>
        </w:r>
      </w:hyperlink>
    </w:p>
    <w:p w14:paraId="1C483E69" w14:textId="4188C716" w:rsidR="002C0E50" w:rsidRDefault="00E909AE">
      <w:pPr>
        <w:pStyle w:val="TOC8"/>
        <w:rPr>
          <w:rFonts w:asciiTheme="minorHAnsi" w:eastAsiaTheme="minorEastAsia" w:hAnsiTheme="minorHAnsi" w:cstheme="minorBidi"/>
          <w:noProof/>
          <w:szCs w:val="24"/>
        </w:rPr>
      </w:pPr>
      <w:hyperlink w:anchor="_Toc82386327" w:history="1">
        <w:r w:rsidR="002C0E50" w:rsidRPr="00F40DDB">
          <w:rPr>
            <w:rStyle w:val="Hyperlink"/>
            <w:noProof/>
          </w:rPr>
          <w:t>Figure 3.50:</w:t>
        </w:r>
        <w:r w:rsidR="002C0E50">
          <w:rPr>
            <w:rFonts w:asciiTheme="minorHAnsi" w:eastAsiaTheme="minorEastAsia" w:hAnsiTheme="minorHAnsi" w:cstheme="minorBidi"/>
            <w:noProof/>
            <w:szCs w:val="24"/>
          </w:rPr>
          <w:tab/>
        </w:r>
        <w:r w:rsidR="002C0E50" w:rsidRPr="00F40DDB">
          <w:rPr>
            <w:rStyle w:val="Hyperlink"/>
            <w:noProof/>
          </w:rPr>
          <w:t>Percentage of Agricultural Households Reported to Process Different Crops by Region 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_Toc82386327 \h </w:instrText>
        </w:r>
        <w:r w:rsidR="002C0E50">
          <w:rPr>
            <w:noProof/>
            <w:webHidden/>
          </w:rPr>
        </w:r>
        <w:r w:rsidR="002C0E50">
          <w:rPr>
            <w:noProof/>
            <w:webHidden/>
          </w:rPr>
          <w:fldChar w:fldCharType="separate"/>
        </w:r>
        <w:r w:rsidR="00A15698">
          <w:rPr>
            <w:noProof/>
            <w:webHidden/>
          </w:rPr>
          <w:t>96</w:t>
        </w:r>
        <w:r w:rsidR="002C0E50">
          <w:rPr>
            <w:noProof/>
            <w:webHidden/>
          </w:rPr>
          <w:fldChar w:fldCharType="end"/>
        </w:r>
      </w:hyperlink>
    </w:p>
    <w:p w14:paraId="1A8EFCF7" w14:textId="3F195E91" w:rsidR="002C0E50" w:rsidRDefault="00E909AE">
      <w:pPr>
        <w:pStyle w:val="TOC8"/>
        <w:rPr>
          <w:rFonts w:asciiTheme="minorHAnsi" w:eastAsiaTheme="minorEastAsia" w:hAnsiTheme="minorHAnsi" w:cstheme="minorBidi"/>
          <w:noProof/>
          <w:szCs w:val="24"/>
        </w:rPr>
      </w:pPr>
      <w:hyperlink w:anchor="_Toc82386328" w:history="1">
        <w:r w:rsidR="002C0E50" w:rsidRPr="00F40DDB">
          <w:rPr>
            <w:rStyle w:val="Hyperlink"/>
            <w:noProof/>
          </w:rPr>
          <w:t>Figure 3.51:</w:t>
        </w:r>
        <w:r w:rsidR="002C0E50">
          <w:rPr>
            <w:rFonts w:asciiTheme="minorHAnsi" w:eastAsiaTheme="minorEastAsia" w:hAnsiTheme="minorHAnsi" w:cstheme="minorBidi"/>
            <w:noProof/>
            <w:szCs w:val="24"/>
          </w:rPr>
          <w:tab/>
        </w:r>
        <w:r w:rsidR="002C0E50" w:rsidRPr="00F40DDB">
          <w:rPr>
            <w:rStyle w:val="Hyperlink"/>
            <w:noProof/>
          </w:rPr>
          <w:t>Percentage of Households Reported to Sell Major Crop Products During 2019/20 Agricultural Year, Tanzania</w:t>
        </w:r>
        <w:r w:rsidR="002C0E50">
          <w:rPr>
            <w:noProof/>
            <w:webHidden/>
          </w:rPr>
          <w:tab/>
        </w:r>
        <w:r w:rsidR="002C0E50">
          <w:rPr>
            <w:noProof/>
            <w:webHidden/>
          </w:rPr>
          <w:fldChar w:fldCharType="begin"/>
        </w:r>
        <w:r w:rsidR="002C0E50">
          <w:rPr>
            <w:noProof/>
            <w:webHidden/>
          </w:rPr>
          <w:instrText xml:space="preserve"> PAGEREF _Toc82386328 \h </w:instrText>
        </w:r>
        <w:r w:rsidR="002C0E50">
          <w:rPr>
            <w:noProof/>
            <w:webHidden/>
          </w:rPr>
        </w:r>
        <w:r w:rsidR="002C0E50">
          <w:rPr>
            <w:noProof/>
            <w:webHidden/>
          </w:rPr>
          <w:fldChar w:fldCharType="separate"/>
        </w:r>
        <w:r w:rsidR="00A15698">
          <w:rPr>
            <w:noProof/>
            <w:webHidden/>
          </w:rPr>
          <w:t>98</w:t>
        </w:r>
        <w:r w:rsidR="002C0E50">
          <w:rPr>
            <w:noProof/>
            <w:webHidden/>
          </w:rPr>
          <w:fldChar w:fldCharType="end"/>
        </w:r>
      </w:hyperlink>
    </w:p>
    <w:p w14:paraId="7A8B59C2" w14:textId="7FB9EE77" w:rsidR="002C0E50" w:rsidRDefault="00E909AE">
      <w:pPr>
        <w:pStyle w:val="TOC8"/>
        <w:rPr>
          <w:rFonts w:asciiTheme="minorHAnsi" w:eastAsiaTheme="minorEastAsia" w:hAnsiTheme="minorHAnsi" w:cstheme="minorBidi"/>
          <w:noProof/>
          <w:szCs w:val="24"/>
        </w:rPr>
      </w:pPr>
      <w:hyperlink w:anchor="_Toc82386329" w:history="1">
        <w:r w:rsidR="002C0E50" w:rsidRPr="00F40DDB">
          <w:rPr>
            <w:rStyle w:val="Hyperlink"/>
            <w:noProof/>
          </w:rPr>
          <w:t>Figure 3.52:</w:t>
        </w:r>
        <w:r w:rsidR="002C0E50">
          <w:rPr>
            <w:rFonts w:asciiTheme="minorHAnsi" w:eastAsiaTheme="minorEastAsia" w:hAnsiTheme="minorHAnsi" w:cstheme="minorBidi"/>
            <w:noProof/>
            <w:szCs w:val="24"/>
          </w:rPr>
          <w:tab/>
        </w:r>
        <w:r w:rsidR="002C0E50" w:rsidRPr="00F40DDB">
          <w:rPr>
            <w:rStyle w:val="Hyperlink"/>
            <w:noProof/>
          </w:rPr>
          <w:t>Percentage of Planted Area under Irrigation by Main Crop During 2019/20 Agricultural Year, Tanzania</w:t>
        </w:r>
        <w:r w:rsidR="002C0E50">
          <w:rPr>
            <w:noProof/>
            <w:webHidden/>
          </w:rPr>
          <w:tab/>
        </w:r>
        <w:r w:rsidR="002C0E50">
          <w:rPr>
            <w:noProof/>
            <w:webHidden/>
          </w:rPr>
          <w:fldChar w:fldCharType="begin"/>
        </w:r>
        <w:r w:rsidR="002C0E50">
          <w:rPr>
            <w:noProof/>
            <w:webHidden/>
          </w:rPr>
          <w:instrText xml:space="preserve"> PAGEREF _Toc82386329 \h </w:instrText>
        </w:r>
        <w:r w:rsidR="002C0E50">
          <w:rPr>
            <w:noProof/>
            <w:webHidden/>
          </w:rPr>
        </w:r>
        <w:r w:rsidR="002C0E50">
          <w:rPr>
            <w:noProof/>
            <w:webHidden/>
          </w:rPr>
          <w:fldChar w:fldCharType="separate"/>
        </w:r>
        <w:r w:rsidR="00A15698">
          <w:rPr>
            <w:noProof/>
            <w:webHidden/>
          </w:rPr>
          <w:t>101</w:t>
        </w:r>
        <w:r w:rsidR="002C0E50">
          <w:rPr>
            <w:noProof/>
            <w:webHidden/>
          </w:rPr>
          <w:fldChar w:fldCharType="end"/>
        </w:r>
      </w:hyperlink>
    </w:p>
    <w:p w14:paraId="4EFF5300" w14:textId="2AA61BCB" w:rsidR="002C0E50" w:rsidRDefault="00E909AE">
      <w:pPr>
        <w:pStyle w:val="TOC8"/>
        <w:rPr>
          <w:rFonts w:asciiTheme="minorHAnsi" w:eastAsiaTheme="minorEastAsia" w:hAnsiTheme="minorHAnsi" w:cstheme="minorBidi"/>
          <w:noProof/>
          <w:szCs w:val="24"/>
        </w:rPr>
      </w:pPr>
      <w:hyperlink r:id="rId47" w:anchor="_Toc82386330" w:history="1">
        <w:r w:rsidR="002C0E50" w:rsidRPr="00F40DDB">
          <w:rPr>
            <w:rStyle w:val="Hyperlink"/>
            <w:noProof/>
          </w:rPr>
          <w:t>Figure 3.53:</w:t>
        </w:r>
        <w:r w:rsidR="002C0E50">
          <w:rPr>
            <w:rFonts w:asciiTheme="minorHAnsi" w:eastAsiaTheme="minorEastAsia" w:hAnsiTheme="minorHAnsi" w:cstheme="minorBidi"/>
            <w:noProof/>
            <w:szCs w:val="24"/>
          </w:rPr>
          <w:tab/>
        </w:r>
        <w:r w:rsidR="002C0E50" w:rsidRPr="00F40DDB">
          <w:rPr>
            <w:rStyle w:val="Hyperlink"/>
            <w:noProof/>
          </w:rPr>
          <w:t>Percent of Irrigated Area Planted with Cereals by Planting Season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_Toc82386330 \h </w:instrText>
        </w:r>
        <w:r w:rsidR="002C0E50">
          <w:rPr>
            <w:noProof/>
            <w:webHidden/>
          </w:rPr>
        </w:r>
        <w:r w:rsidR="002C0E50">
          <w:rPr>
            <w:noProof/>
            <w:webHidden/>
          </w:rPr>
          <w:fldChar w:fldCharType="separate"/>
        </w:r>
        <w:r w:rsidR="00A15698">
          <w:rPr>
            <w:noProof/>
            <w:webHidden/>
          </w:rPr>
          <w:t>101</w:t>
        </w:r>
        <w:r w:rsidR="002C0E50">
          <w:rPr>
            <w:noProof/>
            <w:webHidden/>
          </w:rPr>
          <w:fldChar w:fldCharType="end"/>
        </w:r>
      </w:hyperlink>
    </w:p>
    <w:p w14:paraId="341FF3A7" w14:textId="287F3B29" w:rsidR="002C0E50" w:rsidRDefault="00E909AE">
      <w:pPr>
        <w:pStyle w:val="TOC8"/>
        <w:rPr>
          <w:rFonts w:asciiTheme="minorHAnsi" w:eastAsiaTheme="minorEastAsia" w:hAnsiTheme="minorHAnsi" w:cstheme="minorBidi"/>
          <w:noProof/>
          <w:szCs w:val="24"/>
        </w:rPr>
      </w:pPr>
      <w:hyperlink r:id="rId48" w:anchor="_Toc82386331" w:history="1">
        <w:r w:rsidR="002C0E50" w:rsidRPr="00F40DDB">
          <w:rPr>
            <w:rStyle w:val="Hyperlink"/>
            <w:noProof/>
          </w:rPr>
          <w:t>Figure 3.54:</w:t>
        </w:r>
        <w:r w:rsidR="002C0E50">
          <w:rPr>
            <w:rFonts w:asciiTheme="minorHAnsi" w:eastAsiaTheme="minorEastAsia" w:hAnsiTheme="minorHAnsi" w:cstheme="minorBidi"/>
            <w:noProof/>
            <w:szCs w:val="24"/>
          </w:rPr>
          <w:tab/>
        </w:r>
        <w:r w:rsidR="002C0E50" w:rsidRPr="00F40DDB">
          <w:rPr>
            <w:rStyle w:val="Hyperlink"/>
            <w:noProof/>
          </w:rPr>
          <w:t>Percent of Irrigated Area Planted with Cereals by Planting Season 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_Toc82386331 \h </w:instrText>
        </w:r>
        <w:r w:rsidR="002C0E50">
          <w:rPr>
            <w:noProof/>
            <w:webHidden/>
          </w:rPr>
        </w:r>
        <w:r w:rsidR="002C0E50">
          <w:rPr>
            <w:noProof/>
            <w:webHidden/>
          </w:rPr>
          <w:fldChar w:fldCharType="separate"/>
        </w:r>
        <w:r w:rsidR="00A15698">
          <w:rPr>
            <w:noProof/>
            <w:webHidden/>
          </w:rPr>
          <w:t>101</w:t>
        </w:r>
        <w:r w:rsidR="002C0E50">
          <w:rPr>
            <w:noProof/>
            <w:webHidden/>
          </w:rPr>
          <w:fldChar w:fldCharType="end"/>
        </w:r>
      </w:hyperlink>
    </w:p>
    <w:p w14:paraId="48D3208A" w14:textId="7D27314B" w:rsidR="002C0E50" w:rsidRDefault="00E909AE">
      <w:pPr>
        <w:pStyle w:val="TOC8"/>
        <w:rPr>
          <w:rFonts w:asciiTheme="minorHAnsi" w:eastAsiaTheme="minorEastAsia" w:hAnsiTheme="minorHAnsi" w:cstheme="minorBidi"/>
          <w:noProof/>
          <w:szCs w:val="24"/>
        </w:rPr>
      </w:pPr>
      <w:hyperlink r:id="rId49" w:anchor="_Toc82386332" w:history="1">
        <w:r w:rsidR="002C0E50" w:rsidRPr="00F40DDB">
          <w:rPr>
            <w:rStyle w:val="Hyperlink"/>
            <w:noProof/>
          </w:rPr>
          <w:t>Figure 3.55:</w:t>
        </w:r>
        <w:r w:rsidR="002C0E50">
          <w:rPr>
            <w:rFonts w:asciiTheme="minorHAnsi" w:eastAsiaTheme="minorEastAsia" w:hAnsiTheme="minorHAnsi" w:cstheme="minorBidi"/>
            <w:noProof/>
            <w:szCs w:val="24"/>
          </w:rPr>
          <w:tab/>
        </w:r>
        <w:r w:rsidR="002C0E50" w:rsidRPr="00F40DDB">
          <w:rPr>
            <w:rStyle w:val="Hyperlink"/>
            <w:noProof/>
          </w:rPr>
          <w:t>Percentage of Area planted with Roots and Tubers under Irrigation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_Toc82386332 \h </w:instrText>
        </w:r>
        <w:r w:rsidR="002C0E50">
          <w:rPr>
            <w:noProof/>
            <w:webHidden/>
          </w:rPr>
        </w:r>
        <w:r w:rsidR="002C0E50">
          <w:rPr>
            <w:noProof/>
            <w:webHidden/>
          </w:rPr>
          <w:fldChar w:fldCharType="separate"/>
        </w:r>
        <w:r w:rsidR="00A15698">
          <w:rPr>
            <w:noProof/>
            <w:webHidden/>
          </w:rPr>
          <w:t>102</w:t>
        </w:r>
        <w:r w:rsidR="002C0E50">
          <w:rPr>
            <w:noProof/>
            <w:webHidden/>
          </w:rPr>
          <w:fldChar w:fldCharType="end"/>
        </w:r>
      </w:hyperlink>
    </w:p>
    <w:p w14:paraId="669423EC" w14:textId="4AADF4F9" w:rsidR="002C0E50" w:rsidRDefault="00E909AE">
      <w:pPr>
        <w:pStyle w:val="TOC8"/>
        <w:rPr>
          <w:rFonts w:asciiTheme="minorHAnsi" w:eastAsiaTheme="minorEastAsia" w:hAnsiTheme="minorHAnsi" w:cstheme="minorBidi"/>
          <w:noProof/>
          <w:szCs w:val="24"/>
        </w:rPr>
      </w:pPr>
      <w:hyperlink r:id="rId50" w:anchor="_Toc82386333" w:history="1">
        <w:r w:rsidR="002C0E50" w:rsidRPr="00F40DDB">
          <w:rPr>
            <w:rStyle w:val="Hyperlink"/>
            <w:noProof/>
          </w:rPr>
          <w:t>Figure 3.56:</w:t>
        </w:r>
        <w:r w:rsidR="002C0E50">
          <w:rPr>
            <w:rFonts w:asciiTheme="minorHAnsi" w:eastAsiaTheme="minorEastAsia" w:hAnsiTheme="minorHAnsi" w:cstheme="minorBidi"/>
            <w:noProof/>
            <w:szCs w:val="24"/>
          </w:rPr>
          <w:tab/>
        </w:r>
        <w:r w:rsidR="002C0E50" w:rsidRPr="00F40DDB">
          <w:rPr>
            <w:rStyle w:val="Hyperlink"/>
            <w:noProof/>
          </w:rPr>
          <w:t>Percentage of Area planted with Roots and Tubers under Irrigation 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_Toc82386333 \h </w:instrText>
        </w:r>
        <w:r w:rsidR="002C0E50">
          <w:rPr>
            <w:noProof/>
            <w:webHidden/>
          </w:rPr>
        </w:r>
        <w:r w:rsidR="002C0E50">
          <w:rPr>
            <w:noProof/>
            <w:webHidden/>
          </w:rPr>
          <w:fldChar w:fldCharType="separate"/>
        </w:r>
        <w:r w:rsidR="00A15698">
          <w:rPr>
            <w:noProof/>
            <w:webHidden/>
          </w:rPr>
          <w:t>102</w:t>
        </w:r>
        <w:r w:rsidR="002C0E50">
          <w:rPr>
            <w:noProof/>
            <w:webHidden/>
          </w:rPr>
          <w:fldChar w:fldCharType="end"/>
        </w:r>
      </w:hyperlink>
    </w:p>
    <w:p w14:paraId="5C33141C" w14:textId="0C8D9108" w:rsidR="002C0E50" w:rsidRDefault="00E909AE">
      <w:pPr>
        <w:pStyle w:val="TOC8"/>
        <w:rPr>
          <w:rFonts w:asciiTheme="minorHAnsi" w:eastAsiaTheme="minorEastAsia" w:hAnsiTheme="minorHAnsi" w:cstheme="minorBidi"/>
          <w:noProof/>
          <w:szCs w:val="24"/>
        </w:rPr>
      </w:pPr>
      <w:hyperlink r:id="rId51" w:anchor="_Toc82386334" w:history="1">
        <w:r w:rsidR="002C0E50" w:rsidRPr="00F40DDB">
          <w:rPr>
            <w:rStyle w:val="Hyperlink"/>
            <w:noProof/>
          </w:rPr>
          <w:t>Figure 3.57:</w:t>
        </w:r>
        <w:r w:rsidR="002C0E50">
          <w:rPr>
            <w:rFonts w:asciiTheme="minorHAnsi" w:eastAsiaTheme="minorEastAsia" w:hAnsiTheme="minorHAnsi" w:cstheme="minorBidi"/>
            <w:noProof/>
            <w:szCs w:val="24"/>
          </w:rPr>
          <w:tab/>
        </w:r>
        <w:r w:rsidR="002C0E50" w:rsidRPr="00F40DDB">
          <w:rPr>
            <w:rStyle w:val="Hyperlink"/>
            <w:noProof/>
          </w:rPr>
          <w:t>Percent of Planted Area with Pulses under Irrigation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_Toc82386334 \h </w:instrText>
        </w:r>
        <w:r w:rsidR="002C0E50">
          <w:rPr>
            <w:noProof/>
            <w:webHidden/>
          </w:rPr>
        </w:r>
        <w:r w:rsidR="002C0E50">
          <w:rPr>
            <w:noProof/>
            <w:webHidden/>
          </w:rPr>
          <w:fldChar w:fldCharType="separate"/>
        </w:r>
        <w:r w:rsidR="00A15698">
          <w:rPr>
            <w:noProof/>
            <w:webHidden/>
          </w:rPr>
          <w:t>103</w:t>
        </w:r>
        <w:r w:rsidR="002C0E50">
          <w:rPr>
            <w:noProof/>
            <w:webHidden/>
          </w:rPr>
          <w:fldChar w:fldCharType="end"/>
        </w:r>
      </w:hyperlink>
    </w:p>
    <w:p w14:paraId="2E976E49" w14:textId="0E8B3C40" w:rsidR="002C0E50" w:rsidRDefault="00E909AE">
      <w:pPr>
        <w:pStyle w:val="TOC8"/>
        <w:rPr>
          <w:rFonts w:asciiTheme="minorHAnsi" w:eastAsiaTheme="minorEastAsia" w:hAnsiTheme="minorHAnsi" w:cstheme="minorBidi"/>
          <w:noProof/>
          <w:szCs w:val="24"/>
        </w:rPr>
      </w:pPr>
      <w:hyperlink r:id="rId52" w:anchor="_Toc82386335" w:history="1">
        <w:r w:rsidR="002C0E50" w:rsidRPr="00F40DDB">
          <w:rPr>
            <w:rStyle w:val="Hyperlink"/>
            <w:noProof/>
          </w:rPr>
          <w:t>Figure 3.58:</w:t>
        </w:r>
        <w:r w:rsidR="002C0E50">
          <w:rPr>
            <w:rFonts w:asciiTheme="minorHAnsi" w:eastAsiaTheme="minorEastAsia" w:hAnsiTheme="minorHAnsi" w:cstheme="minorBidi"/>
            <w:noProof/>
            <w:szCs w:val="24"/>
          </w:rPr>
          <w:tab/>
        </w:r>
        <w:r w:rsidR="002C0E50" w:rsidRPr="00F40DDB">
          <w:rPr>
            <w:rStyle w:val="Hyperlink"/>
            <w:noProof/>
          </w:rPr>
          <w:t>Percent of Planted Area with Pulses under Irrigation 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_Toc82386335 \h </w:instrText>
        </w:r>
        <w:r w:rsidR="002C0E50">
          <w:rPr>
            <w:noProof/>
            <w:webHidden/>
          </w:rPr>
        </w:r>
        <w:r w:rsidR="002C0E50">
          <w:rPr>
            <w:noProof/>
            <w:webHidden/>
          </w:rPr>
          <w:fldChar w:fldCharType="separate"/>
        </w:r>
        <w:r w:rsidR="00A15698">
          <w:rPr>
            <w:noProof/>
            <w:webHidden/>
          </w:rPr>
          <w:t>103</w:t>
        </w:r>
        <w:r w:rsidR="002C0E50">
          <w:rPr>
            <w:noProof/>
            <w:webHidden/>
          </w:rPr>
          <w:fldChar w:fldCharType="end"/>
        </w:r>
      </w:hyperlink>
    </w:p>
    <w:p w14:paraId="026EA085" w14:textId="3BD8CF5F" w:rsidR="002C0E50" w:rsidRDefault="00E909AE">
      <w:pPr>
        <w:pStyle w:val="TOC8"/>
        <w:rPr>
          <w:rFonts w:asciiTheme="minorHAnsi" w:eastAsiaTheme="minorEastAsia" w:hAnsiTheme="minorHAnsi" w:cstheme="minorBidi"/>
          <w:noProof/>
          <w:szCs w:val="24"/>
        </w:rPr>
      </w:pPr>
      <w:hyperlink w:anchor="_Toc82386336" w:history="1">
        <w:r w:rsidR="002C0E50" w:rsidRPr="00F40DDB">
          <w:rPr>
            <w:rStyle w:val="Hyperlink"/>
            <w:noProof/>
          </w:rPr>
          <w:t>Figure 3.59:</w:t>
        </w:r>
        <w:r w:rsidR="002C0E50">
          <w:rPr>
            <w:rFonts w:asciiTheme="minorHAnsi" w:eastAsiaTheme="minorEastAsia" w:hAnsiTheme="minorHAnsi" w:cstheme="minorBidi"/>
            <w:noProof/>
            <w:szCs w:val="24"/>
          </w:rPr>
          <w:tab/>
        </w:r>
        <w:r w:rsidR="002C0E50" w:rsidRPr="00F40DDB">
          <w:rPr>
            <w:rStyle w:val="Hyperlink"/>
            <w:noProof/>
          </w:rPr>
          <w:t>Percentage of Planted Area with Improved Seeds by Region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_Toc82386336 \h </w:instrText>
        </w:r>
        <w:r w:rsidR="002C0E50">
          <w:rPr>
            <w:noProof/>
            <w:webHidden/>
          </w:rPr>
        </w:r>
        <w:r w:rsidR="002C0E50">
          <w:rPr>
            <w:noProof/>
            <w:webHidden/>
          </w:rPr>
          <w:fldChar w:fldCharType="separate"/>
        </w:r>
        <w:r w:rsidR="00A15698">
          <w:rPr>
            <w:noProof/>
            <w:webHidden/>
          </w:rPr>
          <w:t>106</w:t>
        </w:r>
        <w:r w:rsidR="002C0E50">
          <w:rPr>
            <w:noProof/>
            <w:webHidden/>
          </w:rPr>
          <w:fldChar w:fldCharType="end"/>
        </w:r>
      </w:hyperlink>
    </w:p>
    <w:p w14:paraId="6910B20E" w14:textId="78CFAD07" w:rsidR="002C0E50" w:rsidRDefault="00E909AE">
      <w:pPr>
        <w:pStyle w:val="TOC8"/>
        <w:rPr>
          <w:rFonts w:asciiTheme="minorHAnsi" w:eastAsiaTheme="minorEastAsia" w:hAnsiTheme="minorHAnsi" w:cstheme="minorBidi"/>
          <w:noProof/>
          <w:szCs w:val="24"/>
        </w:rPr>
      </w:pPr>
      <w:hyperlink w:anchor="_Toc82386337" w:history="1">
        <w:r w:rsidR="002C0E50" w:rsidRPr="00F40DDB">
          <w:rPr>
            <w:rStyle w:val="Hyperlink"/>
            <w:noProof/>
          </w:rPr>
          <w:t>Figure 3.60:</w:t>
        </w:r>
        <w:r w:rsidR="002C0E50">
          <w:rPr>
            <w:rFonts w:asciiTheme="minorHAnsi" w:eastAsiaTheme="minorEastAsia" w:hAnsiTheme="minorHAnsi" w:cstheme="minorBidi"/>
            <w:noProof/>
            <w:szCs w:val="24"/>
          </w:rPr>
          <w:tab/>
        </w:r>
        <w:r w:rsidR="002C0E50" w:rsidRPr="00F40DDB">
          <w:rPr>
            <w:rStyle w:val="Hyperlink"/>
            <w:noProof/>
          </w:rPr>
          <w:t>Percentage of Planted Area with Improved Seeds by Region 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_Toc82386337 \h </w:instrText>
        </w:r>
        <w:r w:rsidR="002C0E50">
          <w:rPr>
            <w:noProof/>
            <w:webHidden/>
          </w:rPr>
        </w:r>
        <w:r w:rsidR="002C0E50">
          <w:rPr>
            <w:noProof/>
            <w:webHidden/>
          </w:rPr>
          <w:fldChar w:fldCharType="separate"/>
        </w:r>
        <w:r w:rsidR="00A15698">
          <w:rPr>
            <w:noProof/>
            <w:webHidden/>
          </w:rPr>
          <w:t>107</w:t>
        </w:r>
        <w:r w:rsidR="002C0E50">
          <w:rPr>
            <w:noProof/>
            <w:webHidden/>
          </w:rPr>
          <w:fldChar w:fldCharType="end"/>
        </w:r>
      </w:hyperlink>
    </w:p>
    <w:p w14:paraId="408BB594" w14:textId="443E5472" w:rsidR="002C0E50" w:rsidRDefault="00E909AE">
      <w:pPr>
        <w:pStyle w:val="TOC8"/>
        <w:rPr>
          <w:rFonts w:asciiTheme="minorHAnsi" w:eastAsiaTheme="minorEastAsia" w:hAnsiTheme="minorHAnsi" w:cstheme="minorBidi"/>
          <w:noProof/>
          <w:szCs w:val="24"/>
        </w:rPr>
      </w:pPr>
      <w:hyperlink w:anchor="_Toc82386338" w:history="1">
        <w:r w:rsidR="002C0E50" w:rsidRPr="00F40DDB">
          <w:rPr>
            <w:rStyle w:val="Hyperlink"/>
            <w:noProof/>
          </w:rPr>
          <w:t>Figure 3.61:</w:t>
        </w:r>
        <w:r w:rsidR="002C0E50">
          <w:rPr>
            <w:rFonts w:asciiTheme="minorHAnsi" w:eastAsiaTheme="minorEastAsia" w:hAnsiTheme="minorHAnsi" w:cstheme="minorBidi"/>
            <w:noProof/>
            <w:szCs w:val="24"/>
          </w:rPr>
          <w:tab/>
        </w:r>
        <w:r w:rsidR="002C0E50" w:rsidRPr="00F40DDB">
          <w:rPr>
            <w:rStyle w:val="Hyperlink"/>
            <w:noProof/>
          </w:rPr>
          <w:t>Percentage of Area Applied with Fertilizer by Type of Fertilizer and Region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_Toc82386338 \h </w:instrText>
        </w:r>
        <w:r w:rsidR="002C0E50">
          <w:rPr>
            <w:noProof/>
            <w:webHidden/>
          </w:rPr>
        </w:r>
        <w:r w:rsidR="002C0E50">
          <w:rPr>
            <w:noProof/>
            <w:webHidden/>
          </w:rPr>
          <w:fldChar w:fldCharType="separate"/>
        </w:r>
        <w:r w:rsidR="00A15698">
          <w:rPr>
            <w:noProof/>
            <w:webHidden/>
          </w:rPr>
          <w:t>108</w:t>
        </w:r>
        <w:r w:rsidR="002C0E50">
          <w:rPr>
            <w:noProof/>
            <w:webHidden/>
          </w:rPr>
          <w:fldChar w:fldCharType="end"/>
        </w:r>
      </w:hyperlink>
    </w:p>
    <w:p w14:paraId="4AC1CE39" w14:textId="28819786" w:rsidR="002C0E50" w:rsidRDefault="00E909AE">
      <w:pPr>
        <w:pStyle w:val="TOC8"/>
        <w:rPr>
          <w:rFonts w:asciiTheme="minorHAnsi" w:eastAsiaTheme="minorEastAsia" w:hAnsiTheme="minorHAnsi" w:cstheme="minorBidi"/>
          <w:noProof/>
          <w:szCs w:val="24"/>
        </w:rPr>
      </w:pPr>
      <w:hyperlink w:anchor="_Toc82386339" w:history="1">
        <w:r w:rsidR="002C0E50" w:rsidRPr="00F40DDB">
          <w:rPr>
            <w:rStyle w:val="Hyperlink"/>
            <w:noProof/>
          </w:rPr>
          <w:t>Figure 3.62:</w:t>
        </w:r>
        <w:r w:rsidR="002C0E50">
          <w:rPr>
            <w:rFonts w:asciiTheme="minorHAnsi" w:eastAsiaTheme="minorEastAsia" w:hAnsiTheme="minorHAnsi" w:cstheme="minorBidi"/>
            <w:noProof/>
            <w:szCs w:val="24"/>
          </w:rPr>
          <w:tab/>
        </w:r>
        <w:r w:rsidR="002C0E50" w:rsidRPr="00F40DDB">
          <w:rPr>
            <w:rStyle w:val="Hyperlink"/>
            <w:noProof/>
          </w:rPr>
          <w:t>Percentage of Area Applied with Fertilizer by Type of Fertilizer and Region 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_Toc82386339 \h </w:instrText>
        </w:r>
        <w:r w:rsidR="002C0E50">
          <w:rPr>
            <w:noProof/>
            <w:webHidden/>
          </w:rPr>
        </w:r>
        <w:r w:rsidR="002C0E50">
          <w:rPr>
            <w:noProof/>
            <w:webHidden/>
          </w:rPr>
          <w:fldChar w:fldCharType="separate"/>
        </w:r>
        <w:r w:rsidR="00A15698">
          <w:rPr>
            <w:noProof/>
            <w:webHidden/>
          </w:rPr>
          <w:t>109</w:t>
        </w:r>
        <w:r w:rsidR="002C0E50">
          <w:rPr>
            <w:noProof/>
            <w:webHidden/>
          </w:rPr>
          <w:fldChar w:fldCharType="end"/>
        </w:r>
      </w:hyperlink>
    </w:p>
    <w:p w14:paraId="08114A49" w14:textId="7A52BFC1" w:rsidR="002C0E50" w:rsidRDefault="00E909AE">
      <w:pPr>
        <w:pStyle w:val="TOC8"/>
        <w:rPr>
          <w:rFonts w:asciiTheme="minorHAnsi" w:eastAsiaTheme="minorEastAsia" w:hAnsiTheme="minorHAnsi" w:cstheme="minorBidi"/>
          <w:noProof/>
          <w:szCs w:val="24"/>
        </w:rPr>
      </w:pPr>
      <w:hyperlink r:id="rId53" w:anchor="_Toc82386340" w:history="1">
        <w:r w:rsidR="002C0E50" w:rsidRPr="00F40DDB">
          <w:rPr>
            <w:rStyle w:val="Hyperlink"/>
            <w:noProof/>
          </w:rPr>
          <w:t>Figure 3.63:</w:t>
        </w:r>
        <w:r w:rsidR="002C0E50">
          <w:rPr>
            <w:rFonts w:asciiTheme="minorHAnsi" w:eastAsiaTheme="minorEastAsia" w:hAnsiTheme="minorHAnsi" w:cstheme="minorBidi"/>
            <w:noProof/>
            <w:szCs w:val="24"/>
          </w:rPr>
          <w:tab/>
        </w:r>
        <w:r w:rsidR="002C0E50" w:rsidRPr="00F40DDB">
          <w:rPr>
            <w:rStyle w:val="Hyperlink"/>
            <w:noProof/>
          </w:rPr>
          <w:t>Percentage Distribution of Area Applied with Pesticides During 2019/20 Agricultural Year, Tanzania</w:t>
        </w:r>
        <w:r w:rsidR="002C0E50">
          <w:rPr>
            <w:noProof/>
            <w:webHidden/>
          </w:rPr>
          <w:tab/>
        </w:r>
        <w:r w:rsidR="002C0E50">
          <w:rPr>
            <w:noProof/>
            <w:webHidden/>
          </w:rPr>
          <w:fldChar w:fldCharType="begin"/>
        </w:r>
        <w:r w:rsidR="002C0E50">
          <w:rPr>
            <w:noProof/>
            <w:webHidden/>
          </w:rPr>
          <w:instrText xml:space="preserve"> PAGEREF _Toc82386340 \h </w:instrText>
        </w:r>
        <w:r w:rsidR="002C0E50">
          <w:rPr>
            <w:noProof/>
            <w:webHidden/>
          </w:rPr>
        </w:r>
        <w:r w:rsidR="002C0E50">
          <w:rPr>
            <w:noProof/>
            <w:webHidden/>
          </w:rPr>
          <w:fldChar w:fldCharType="separate"/>
        </w:r>
        <w:r w:rsidR="00A15698">
          <w:rPr>
            <w:noProof/>
            <w:webHidden/>
          </w:rPr>
          <w:t>109</w:t>
        </w:r>
        <w:r w:rsidR="002C0E50">
          <w:rPr>
            <w:noProof/>
            <w:webHidden/>
          </w:rPr>
          <w:fldChar w:fldCharType="end"/>
        </w:r>
      </w:hyperlink>
    </w:p>
    <w:p w14:paraId="1A5B8360" w14:textId="56A13960" w:rsidR="002C0E50" w:rsidRDefault="00E909AE">
      <w:pPr>
        <w:pStyle w:val="TOC8"/>
        <w:rPr>
          <w:rFonts w:asciiTheme="minorHAnsi" w:eastAsiaTheme="minorEastAsia" w:hAnsiTheme="minorHAnsi" w:cstheme="minorBidi"/>
          <w:noProof/>
          <w:szCs w:val="24"/>
        </w:rPr>
      </w:pPr>
      <w:hyperlink w:anchor="_Toc82386341" w:history="1">
        <w:r w:rsidR="002C0E50" w:rsidRPr="00F40DDB">
          <w:rPr>
            <w:rStyle w:val="Hyperlink"/>
            <w:noProof/>
          </w:rPr>
          <w:t>Figure 3.64:</w:t>
        </w:r>
        <w:r w:rsidR="002C0E50">
          <w:rPr>
            <w:rFonts w:asciiTheme="minorHAnsi" w:eastAsiaTheme="minorEastAsia" w:hAnsiTheme="minorHAnsi" w:cstheme="minorBidi"/>
            <w:noProof/>
            <w:szCs w:val="24"/>
          </w:rPr>
          <w:tab/>
        </w:r>
        <w:r w:rsidR="002C0E50" w:rsidRPr="00F40DDB">
          <w:rPr>
            <w:rStyle w:val="Hyperlink"/>
            <w:noProof/>
          </w:rPr>
          <w:t>Percentage of Households Using Compost Manure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_Toc82386341 \h </w:instrText>
        </w:r>
        <w:r w:rsidR="002C0E50">
          <w:rPr>
            <w:noProof/>
            <w:webHidden/>
          </w:rPr>
        </w:r>
        <w:r w:rsidR="002C0E50">
          <w:rPr>
            <w:noProof/>
            <w:webHidden/>
          </w:rPr>
          <w:fldChar w:fldCharType="separate"/>
        </w:r>
        <w:r w:rsidR="00A15698">
          <w:rPr>
            <w:noProof/>
            <w:webHidden/>
          </w:rPr>
          <w:t>112</w:t>
        </w:r>
        <w:r w:rsidR="002C0E50">
          <w:rPr>
            <w:noProof/>
            <w:webHidden/>
          </w:rPr>
          <w:fldChar w:fldCharType="end"/>
        </w:r>
      </w:hyperlink>
    </w:p>
    <w:p w14:paraId="43CBBDD6" w14:textId="119CEB49" w:rsidR="002C0E50" w:rsidRDefault="00E909AE">
      <w:pPr>
        <w:pStyle w:val="TOC8"/>
        <w:rPr>
          <w:rFonts w:asciiTheme="minorHAnsi" w:eastAsiaTheme="minorEastAsia" w:hAnsiTheme="minorHAnsi" w:cstheme="minorBidi"/>
          <w:noProof/>
          <w:szCs w:val="24"/>
        </w:rPr>
      </w:pPr>
      <w:hyperlink r:id="rId54" w:anchor="_Toc82386342" w:history="1">
        <w:r w:rsidR="002C0E50" w:rsidRPr="00F40DDB">
          <w:rPr>
            <w:rStyle w:val="Hyperlink"/>
            <w:noProof/>
          </w:rPr>
          <w:t>Figure 3.65:</w:t>
        </w:r>
        <w:r w:rsidR="002C0E50">
          <w:rPr>
            <w:rFonts w:asciiTheme="minorHAnsi" w:eastAsiaTheme="minorEastAsia" w:hAnsiTheme="minorHAnsi" w:cstheme="minorBidi"/>
            <w:noProof/>
            <w:szCs w:val="24"/>
          </w:rPr>
          <w:tab/>
        </w:r>
        <w:r w:rsidR="002C0E50" w:rsidRPr="00F40DDB">
          <w:rPr>
            <w:rStyle w:val="Hyperlink"/>
            <w:noProof/>
          </w:rPr>
          <w:t>Percentage of Households Using Compost Manure 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_Toc82386342 \h </w:instrText>
        </w:r>
        <w:r w:rsidR="002C0E50">
          <w:rPr>
            <w:noProof/>
            <w:webHidden/>
          </w:rPr>
        </w:r>
        <w:r w:rsidR="002C0E50">
          <w:rPr>
            <w:noProof/>
            <w:webHidden/>
          </w:rPr>
          <w:fldChar w:fldCharType="separate"/>
        </w:r>
        <w:r w:rsidR="00A15698">
          <w:rPr>
            <w:noProof/>
            <w:webHidden/>
          </w:rPr>
          <w:t>113</w:t>
        </w:r>
        <w:r w:rsidR="002C0E50">
          <w:rPr>
            <w:noProof/>
            <w:webHidden/>
          </w:rPr>
          <w:fldChar w:fldCharType="end"/>
        </w:r>
      </w:hyperlink>
    </w:p>
    <w:p w14:paraId="7A3E8AEA" w14:textId="783BB2F9" w:rsidR="002C0E50" w:rsidRDefault="00E909AE">
      <w:pPr>
        <w:pStyle w:val="TOC8"/>
        <w:rPr>
          <w:rFonts w:asciiTheme="minorHAnsi" w:eastAsiaTheme="minorEastAsia" w:hAnsiTheme="minorHAnsi" w:cstheme="minorBidi"/>
          <w:noProof/>
          <w:szCs w:val="24"/>
        </w:rPr>
      </w:pPr>
      <w:hyperlink r:id="rId55" w:anchor="_Toc82386343" w:history="1">
        <w:r w:rsidR="002C0E50" w:rsidRPr="00F40DDB">
          <w:rPr>
            <w:rStyle w:val="Hyperlink"/>
            <w:noProof/>
          </w:rPr>
          <w:t>Figure 3.66:</w:t>
        </w:r>
        <w:r w:rsidR="002C0E50">
          <w:rPr>
            <w:rFonts w:asciiTheme="minorHAnsi" w:eastAsiaTheme="minorEastAsia" w:hAnsiTheme="minorHAnsi" w:cstheme="minorBidi"/>
            <w:noProof/>
            <w:szCs w:val="24"/>
          </w:rPr>
          <w:tab/>
        </w:r>
        <w:r w:rsidR="002C0E50" w:rsidRPr="00F40DDB">
          <w:rPr>
            <w:rStyle w:val="Hyperlink"/>
            <w:noProof/>
          </w:rPr>
          <w:t>Percentage Distribution of Households by Source of Compost Manure, Tanzania</w:t>
        </w:r>
        <w:r w:rsidR="002C0E50">
          <w:rPr>
            <w:noProof/>
            <w:webHidden/>
          </w:rPr>
          <w:tab/>
        </w:r>
        <w:r w:rsidR="002C0E50">
          <w:rPr>
            <w:noProof/>
            <w:webHidden/>
          </w:rPr>
          <w:fldChar w:fldCharType="begin"/>
        </w:r>
        <w:r w:rsidR="002C0E50">
          <w:rPr>
            <w:noProof/>
            <w:webHidden/>
          </w:rPr>
          <w:instrText xml:space="preserve"> PAGEREF _Toc82386343 \h </w:instrText>
        </w:r>
        <w:r w:rsidR="002C0E50">
          <w:rPr>
            <w:noProof/>
            <w:webHidden/>
          </w:rPr>
        </w:r>
        <w:r w:rsidR="002C0E50">
          <w:rPr>
            <w:noProof/>
            <w:webHidden/>
          </w:rPr>
          <w:fldChar w:fldCharType="separate"/>
        </w:r>
        <w:r w:rsidR="00A15698">
          <w:rPr>
            <w:noProof/>
            <w:webHidden/>
          </w:rPr>
          <w:t>113</w:t>
        </w:r>
        <w:r w:rsidR="002C0E50">
          <w:rPr>
            <w:noProof/>
            <w:webHidden/>
          </w:rPr>
          <w:fldChar w:fldCharType="end"/>
        </w:r>
      </w:hyperlink>
    </w:p>
    <w:p w14:paraId="4C641A7C" w14:textId="38A4D907" w:rsidR="002C0E50" w:rsidRDefault="00E909AE">
      <w:pPr>
        <w:pStyle w:val="TOC8"/>
        <w:rPr>
          <w:rFonts w:asciiTheme="minorHAnsi" w:eastAsiaTheme="minorEastAsia" w:hAnsiTheme="minorHAnsi" w:cstheme="minorBidi"/>
          <w:noProof/>
          <w:szCs w:val="24"/>
        </w:rPr>
      </w:pPr>
      <w:hyperlink w:anchor="_Toc82386344" w:history="1">
        <w:r w:rsidR="002C0E50" w:rsidRPr="00F40DDB">
          <w:rPr>
            <w:rStyle w:val="Hyperlink"/>
            <w:noProof/>
          </w:rPr>
          <w:t>Figure 3.67:</w:t>
        </w:r>
        <w:r w:rsidR="002C0E50">
          <w:rPr>
            <w:rFonts w:asciiTheme="minorHAnsi" w:eastAsiaTheme="minorEastAsia" w:hAnsiTheme="minorHAnsi" w:cstheme="minorBidi"/>
            <w:noProof/>
            <w:szCs w:val="24"/>
          </w:rPr>
          <w:tab/>
        </w:r>
        <w:r w:rsidR="002C0E50" w:rsidRPr="00F40DDB">
          <w:rPr>
            <w:rStyle w:val="Hyperlink"/>
            <w:noProof/>
          </w:rPr>
          <w:t>Percentage of Households Using Farmyard Manure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_Toc82386344 \h </w:instrText>
        </w:r>
        <w:r w:rsidR="002C0E50">
          <w:rPr>
            <w:noProof/>
            <w:webHidden/>
          </w:rPr>
        </w:r>
        <w:r w:rsidR="002C0E50">
          <w:rPr>
            <w:noProof/>
            <w:webHidden/>
          </w:rPr>
          <w:fldChar w:fldCharType="separate"/>
        </w:r>
        <w:r w:rsidR="00A15698">
          <w:rPr>
            <w:noProof/>
            <w:webHidden/>
          </w:rPr>
          <w:t>114</w:t>
        </w:r>
        <w:r w:rsidR="002C0E50">
          <w:rPr>
            <w:noProof/>
            <w:webHidden/>
          </w:rPr>
          <w:fldChar w:fldCharType="end"/>
        </w:r>
      </w:hyperlink>
    </w:p>
    <w:p w14:paraId="3758DB0B" w14:textId="0FFE7DAC" w:rsidR="002C0E50" w:rsidRDefault="00E909AE">
      <w:pPr>
        <w:pStyle w:val="TOC8"/>
        <w:rPr>
          <w:rFonts w:asciiTheme="minorHAnsi" w:eastAsiaTheme="minorEastAsia" w:hAnsiTheme="minorHAnsi" w:cstheme="minorBidi"/>
          <w:noProof/>
          <w:szCs w:val="24"/>
        </w:rPr>
      </w:pPr>
      <w:hyperlink w:anchor="_Toc82386345" w:history="1">
        <w:r w:rsidR="002C0E50" w:rsidRPr="00F40DDB">
          <w:rPr>
            <w:rStyle w:val="Hyperlink"/>
            <w:noProof/>
          </w:rPr>
          <w:t>Figure 3.68:</w:t>
        </w:r>
        <w:r w:rsidR="002C0E50">
          <w:rPr>
            <w:rFonts w:asciiTheme="minorHAnsi" w:eastAsiaTheme="minorEastAsia" w:hAnsiTheme="minorHAnsi" w:cstheme="minorBidi"/>
            <w:noProof/>
            <w:szCs w:val="24"/>
          </w:rPr>
          <w:tab/>
        </w:r>
        <w:r w:rsidR="002C0E50" w:rsidRPr="00F40DDB">
          <w:rPr>
            <w:rStyle w:val="Hyperlink"/>
            <w:noProof/>
          </w:rPr>
          <w:t>Percentage of Households Using Farmyard Manure 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_Toc82386345 \h </w:instrText>
        </w:r>
        <w:r w:rsidR="002C0E50">
          <w:rPr>
            <w:noProof/>
            <w:webHidden/>
          </w:rPr>
        </w:r>
        <w:r w:rsidR="002C0E50">
          <w:rPr>
            <w:noProof/>
            <w:webHidden/>
          </w:rPr>
          <w:fldChar w:fldCharType="separate"/>
        </w:r>
        <w:r w:rsidR="00A15698">
          <w:rPr>
            <w:noProof/>
            <w:webHidden/>
          </w:rPr>
          <w:t>114</w:t>
        </w:r>
        <w:r w:rsidR="002C0E50">
          <w:rPr>
            <w:noProof/>
            <w:webHidden/>
          </w:rPr>
          <w:fldChar w:fldCharType="end"/>
        </w:r>
      </w:hyperlink>
    </w:p>
    <w:p w14:paraId="66D80039" w14:textId="60777D57" w:rsidR="002C0E50" w:rsidRDefault="00E909AE">
      <w:pPr>
        <w:pStyle w:val="TOC8"/>
        <w:rPr>
          <w:rFonts w:asciiTheme="minorHAnsi" w:eastAsiaTheme="minorEastAsia" w:hAnsiTheme="minorHAnsi" w:cstheme="minorBidi"/>
          <w:noProof/>
          <w:szCs w:val="24"/>
        </w:rPr>
      </w:pPr>
      <w:hyperlink r:id="rId56" w:anchor="_Toc82386346" w:history="1">
        <w:r w:rsidR="002C0E50" w:rsidRPr="00F40DDB">
          <w:rPr>
            <w:rStyle w:val="Hyperlink"/>
            <w:noProof/>
          </w:rPr>
          <w:t>Figure 3.69:</w:t>
        </w:r>
        <w:r w:rsidR="002C0E50">
          <w:rPr>
            <w:rFonts w:asciiTheme="minorHAnsi" w:eastAsiaTheme="minorEastAsia" w:hAnsiTheme="minorHAnsi" w:cstheme="minorBidi"/>
            <w:noProof/>
            <w:szCs w:val="24"/>
          </w:rPr>
          <w:tab/>
        </w:r>
        <w:r w:rsidR="002C0E50" w:rsidRPr="00F40DDB">
          <w:rPr>
            <w:rStyle w:val="Hyperlink"/>
            <w:noProof/>
          </w:rPr>
          <w:t>Percentage Distribution of Households by Source of Farmyard Manure During 2019/20 Agricultural Year, Tanzania</w:t>
        </w:r>
        <w:r w:rsidR="002C0E50">
          <w:rPr>
            <w:noProof/>
            <w:webHidden/>
          </w:rPr>
          <w:tab/>
        </w:r>
        <w:r w:rsidR="002C0E50">
          <w:rPr>
            <w:noProof/>
            <w:webHidden/>
          </w:rPr>
          <w:fldChar w:fldCharType="begin"/>
        </w:r>
        <w:r w:rsidR="002C0E50">
          <w:rPr>
            <w:noProof/>
            <w:webHidden/>
          </w:rPr>
          <w:instrText xml:space="preserve"> PAGEREF _Toc82386346 \h </w:instrText>
        </w:r>
        <w:r w:rsidR="002C0E50">
          <w:rPr>
            <w:noProof/>
            <w:webHidden/>
          </w:rPr>
        </w:r>
        <w:r w:rsidR="002C0E50">
          <w:rPr>
            <w:noProof/>
            <w:webHidden/>
          </w:rPr>
          <w:fldChar w:fldCharType="separate"/>
        </w:r>
        <w:r w:rsidR="00A15698">
          <w:rPr>
            <w:noProof/>
            <w:webHidden/>
          </w:rPr>
          <w:t>114</w:t>
        </w:r>
        <w:r w:rsidR="002C0E50">
          <w:rPr>
            <w:noProof/>
            <w:webHidden/>
          </w:rPr>
          <w:fldChar w:fldCharType="end"/>
        </w:r>
      </w:hyperlink>
    </w:p>
    <w:p w14:paraId="078D72A3" w14:textId="0839AA93" w:rsidR="002C0E50" w:rsidRDefault="00E909AE">
      <w:pPr>
        <w:pStyle w:val="TOC8"/>
        <w:rPr>
          <w:rFonts w:asciiTheme="minorHAnsi" w:eastAsiaTheme="minorEastAsia" w:hAnsiTheme="minorHAnsi" w:cstheme="minorBidi"/>
          <w:noProof/>
          <w:szCs w:val="24"/>
        </w:rPr>
      </w:pPr>
      <w:hyperlink w:anchor="_Toc82386347" w:history="1">
        <w:r w:rsidR="002C0E50" w:rsidRPr="00F40DDB">
          <w:rPr>
            <w:rStyle w:val="Hyperlink"/>
            <w:noProof/>
          </w:rPr>
          <w:t>Figure 3.70:</w:t>
        </w:r>
        <w:r w:rsidR="002C0E50">
          <w:rPr>
            <w:rFonts w:asciiTheme="minorHAnsi" w:eastAsiaTheme="minorEastAsia" w:hAnsiTheme="minorHAnsi" w:cstheme="minorBidi"/>
            <w:noProof/>
            <w:szCs w:val="24"/>
          </w:rPr>
          <w:tab/>
        </w:r>
        <w:r w:rsidR="002C0E50" w:rsidRPr="00F40DDB">
          <w:rPr>
            <w:rStyle w:val="Hyperlink"/>
            <w:noProof/>
          </w:rPr>
          <w:t>Percentage of Households Using Inorganic Fertilizer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_Toc82386347 \h </w:instrText>
        </w:r>
        <w:r w:rsidR="002C0E50">
          <w:rPr>
            <w:noProof/>
            <w:webHidden/>
          </w:rPr>
        </w:r>
        <w:r w:rsidR="002C0E50">
          <w:rPr>
            <w:noProof/>
            <w:webHidden/>
          </w:rPr>
          <w:fldChar w:fldCharType="separate"/>
        </w:r>
        <w:r w:rsidR="00A15698">
          <w:rPr>
            <w:noProof/>
            <w:webHidden/>
          </w:rPr>
          <w:t>115</w:t>
        </w:r>
        <w:r w:rsidR="002C0E50">
          <w:rPr>
            <w:noProof/>
            <w:webHidden/>
          </w:rPr>
          <w:fldChar w:fldCharType="end"/>
        </w:r>
      </w:hyperlink>
    </w:p>
    <w:p w14:paraId="58738837" w14:textId="7C72B26F" w:rsidR="002C0E50" w:rsidRDefault="00E909AE">
      <w:pPr>
        <w:pStyle w:val="TOC8"/>
        <w:rPr>
          <w:rFonts w:asciiTheme="minorHAnsi" w:eastAsiaTheme="minorEastAsia" w:hAnsiTheme="minorHAnsi" w:cstheme="minorBidi"/>
          <w:noProof/>
          <w:szCs w:val="24"/>
        </w:rPr>
      </w:pPr>
      <w:hyperlink w:anchor="_Toc82386348" w:history="1">
        <w:r w:rsidR="002C0E50" w:rsidRPr="00F40DDB">
          <w:rPr>
            <w:rStyle w:val="Hyperlink"/>
            <w:noProof/>
          </w:rPr>
          <w:t>Figure 3.71:</w:t>
        </w:r>
        <w:r w:rsidR="002C0E50">
          <w:rPr>
            <w:rFonts w:asciiTheme="minorHAnsi" w:eastAsiaTheme="minorEastAsia" w:hAnsiTheme="minorHAnsi" w:cstheme="minorBidi"/>
            <w:noProof/>
            <w:szCs w:val="24"/>
          </w:rPr>
          <w:tab/>
        </w:r>
        <w:r w:rsidR="002C0E50" w:rsidRPr="00F40DDB">
          <w:rPr>
            <w:rStyle w:val="Hyperlink"/>
            <w:noProof/>
          </w:rPr>
          <w:t>Percentage of Households Using Chemical Fertilizer 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_Toc82386348 \h </w:instrText>
        </w:r>
        <w:r w:rsidR="002C0E50">
          <w:rPr>
            <w:noProof/>
            <w:webHidden/>
          </w:rPr>
        </w:r>
        <w:r w:rsidR="002C0E50">
          <w:rPr>
            <w:noProof/>
            <w:webHidden/>
          </w:rPr>
          <w:fldChar w:fldCharType="separate"/>
        </w:r>
        <w:r w:rsidR="00A15698">
          <w:rPr>
            <w:noProof/>
            <w:webHidden/>
          </w:rPr>
          <w:t>116</w:t>
        </w:r>
        <w:r w:rsidR="002C0E50">
          <w:rPr>
            <w:noProof/>
            <w:webHidden/>
          </w:rPr>
          <w:fldChar w:fldCharType="end"/>
        </w:r>
      </w:hyperlink>
    </w:p>
    <w:p w14:paraId="633D9E3D" w14:textId="09A2A8A9" w:rsidR="002C0E50" w:rsidRDefault="00E909AE">
      <w:pPr>
        <w:pStyle w:val="TOC8"/>
        <w:rPr>
          <w:rFonts w:asciiTheme="minorHAnsi" w:eastAsiaTheme="minorEastAsia" w:hAnsiTheme="minorHAnsi" w:cstheme="minorBidi"/>
          <w:noProof/>
          <w:szCs w:val="24"/>
        </w:rPr>
      </w:pPr>
      <w:hyperlink r:id="rId57" w:anchor="_Toc82386349" w:history="1">
        <w:r w:rsidR="002C0E50" w:rsidRPr="00F40DDB">
          <w:rPr>
            <w:rStyle w:val="Hyperlink"/>
            <w:noProof/>
          </w:rPr>
          <w:t>Figure 3.72:</w:t>
        </w:r>
        <w:r w:rsidR="002C0E50">
          <w:rPr>
            <w:rFonts w:asciiTheme="minorHAnsi" w:eastAsiaTheme="minorEastAsia" w:hAnsiTheme="minorHAnsi" w:cstheme="minorBidi"/>
            <w:noProof/>
            <w:szCs w:val="24"/>
          </w:rPr>
          <w:tab/>
        </w:r>
        <w:r w:rsidR="002C0E50" w:rsidRPr="00F40DDB">
          <w:rPr>
            <w:rStyle w:val="Hyperlink"/>
            <w:noProof/>
          </w:rPr>
          <w:t>Percentage Distribution of Households by Source of Inorganiac Fertilizer During Agricultural Year 2019/20, Tanzania</w:t>
        </w:r>
        <w:r w:rsidR="002C0E50">
          <w:rPr>
            <w:noProof/>
            <w:webHidden/>
          </w:rPr>
          <w:tab/>
        </w:r>
        <w:r w:rsidR="002C0E50">
          <w:rPr>
            <w:noProof/>
            <w:webHidden/>
          </w:rPr>
          <w:fldChar w:fldCharType="begin"/>
        </w:r>
        <w:r w:rsidR="002C0E50">
          <w:rPr>
            <w:noProof/>
            <w:webHidden/>
          </w:rPr>
          <w:instrText xml:space="preserve"> PAGEREF _Toc82386349 \h </w:instrText>
        </w:r>
        <w:r w:rsidR="002C0E50">
          <w:rPr>
            <w:noProof/>
            <w:webHidden/>
          </w:rPr>
        </w:r>
        <w:r w:rsidR="002C0E50">
          <w:rPr>
            <w:noProof/>
            <w:webHidden/>
          </w:rPr>
          <w:fldChar w:fldCharType="separate"/>
        </w:r>
        <w:r w:rsidR="00A15698">
          <w:rPr>
            <w:noProof/>
            <w:webHidden/>
          </w:rPr>
          <w:t>116</w:t>
        </w:r>
        <w:r w:rsidR="002C0E50">
          <w:rPr>
            <w:noProof/>
            <w:webHidden/>
          </w:rPr>
          <w:fldChar w:fldCharType="end"/>
        </w:r>
      </w:hyperlink>
    </w:p>
    <w:p w14:paraId="4DEC7874" w14:textId="1E9FD028" w:rsidR="002C0E50" w:rsidRDefault="00E909AE">
      <w:pPr>
        <w:pStyle w:val="TOC8"/>
        <w:rPr>
          <w:rFonts w:asciiTheme="minorHAnsi" w:eastAsiaTheme="minorEastAsia" w:hAnsiTheme="minorHAnsi" w:cstheme="minorBidi"/>
          <w:noProof/>
          <w:szCs w:val="24"/>
        </w:rPr>
      </w:pPr>
      <w:hyperlink w:anchor="_Toc82386350" w:history="1">
        <w:r w:rsidR="002C0E50" w:rsidRPr="00F40DDB">
          <w:rPr>
            <w:rStyle w:val="Hyperlink"/>
            <w:noProof/>
          </w:rPr>
          <w:t>Figure 3.73:</w:t>
        </w:r>
        <w:r w:rsidR="002C0E50">
          <w:rPr>
            <w:rFonts w:asciiTheme="minorHAnsi" w:eastAsiaTheme="minorEastAsia" w:hAnsiTheme="minorHAnsi" w:cstheme="minorBidi"/>
            <w:noProof/>
            <w:szCs w:val="24"/>
          </w:rPr>
          <w:tab/>
        </w:r>
        <w:r w:rsidR="002C0E50" w:rsidRPr="00F40DDB">
          <w:rPr>
            <w:rStyle w:val="Hyperlink"/>
            <w:noProof/>
          </w:rPr>
          <w:t>Percentage of Agricultural Households Reporting Distance to Source of Chemical Fertilizer During 2019/20 Agricultural Year, Tanzania</w:t>
        </w:r>
        <w:r w:rsidR="002C0E50">
          <w:rPr>
            <w:noProof/>
            <w:webHidden/>
          </w:rPr>
          <w:tab/>
        </w:r>
        <w:r w:rsidR="002C0E50">
          <w:rPr>
            <w:noProof/>
            <w:webHidden/>
          </w:rPr>
          <w:fldChar w:fldCharType="begin"/>
        </w:r>
        <w:r w:rsidR="002C0E50">
          <w:rPr>
            <w:noProof/>
            <w:webHidden/>
          </w:rPr>
          <w:instrText xml:space="preserve"> PAGEREF _Toc82386350 \h </w:instrText>
        </w:r>
        <w:r w:rsidR="002C0E50">
          <w:rPr>
            <w:noProof/>
            <w:webHidden/>
          </w:rPr>
        </w:r>
        <w:r w:rsidR="002C0E50">
          <w:rPr>
            <w:noProof/>
            <w:webHidden/>
          </w:rPr>
          <w:fldChar w:fldCharType="separate"/>
        </w:r>
        <w:r w:rsidR="00A15698">
          <w:rPr>
            <w:noProof/>
            <w:webHidden/>
          </w:rPr>
          <w:t>117</w:t>
        </w:r>
        <w:r w:rsidR="002C0E50">
          <w:rPr>
            <w:noProof/>
            <w:webHidden/>
          </w:rPr>
          <w:fldChar w:fldCharType="end"/>
        </w:r>
      </w:hyperlink>
    </w:p>
    <w:p w14:paraId="03D5E25F" w14:textId="71116417" w:rsidR="002C0E50" w:rsidRDefault="00E909AE">
      <w:pPr>
        <w:pStyle w:val="TOC8"/>
        <w:rPr>
          <w:rFonts w:asciiTheme="minorHAnsi" w:eastAsiaTheme="minorEastAsia" w:hAnsiTheme="minorHAnsi" w:cstheme="minorBidi"/>
          <w:noProof/>
          <w:szCs w:val="24"/>
        </w:rPr>
      </w:pPr>
      <w:hyperlink w:anchor="_Toc82386351" w:history="1">
        <w:r w:rsidR="002C0E50" w:rsidRPr="00F40DDB">
          <w:rPr>
            <w:rStyle w:val="Hyperlink"/>
            <w:noProof/>
          </w:rPr>
          <w:t>Figure 3.74:</w:t>
        </w:r>
        <w:r w:rsidR="002C0E50">
          <w:rPr>
            <w:rFonts w:asciiTheme="minorHAnsi" w:eastAsiaTheme="minorEastAsia" w:hAnsiTheme="minorHAnsi" w:cstheme="minorBidi"/>
            <w:noProof/>
            <w:szCs w:val="24"/>
          </w:rPr>
          <w:tab/>
        </w:r>
        <w:r w:rsidR="002C0E50" w:rsidRPr="00F40DDB">
          <w:rPr>
            <w:rStyle w:val="Hyperlink"/>
            <w:noProof/>
          </w:rPr>
          <w:t>Percentage of Households Using Improved Seeds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_Toc82386351 \h </w:instrText>
        </w:r>
        <w:r w:rsidR="002C0E50">
          <w:rPr>
            <w:noProof/>
            <w:webHidden/>
          </w:rPr>
        </w:r>
        <w:r w:rsidR="002C0E50">
          <w:rPr>
            <w:noProof/>
            <w:webHidden/>
          </w:rPr>
          <w:fldChar w:fldCharType="separate"/>
        </w:r>
        <w:r w:rsidR="00A15698">
          <w:rPr>
            <w:noProof/>
            <w:webHidden/>
          </w:rPr>
          <w:t>118</w:t>
        </w:r>
        <w:r w:rsidR="002C0E50">
          <w:rPr>
            <w:noProof/>
            <w:webHidden/>
          </w:rPr>
          <w:fldChar w:fldCharType="end"/>
        </w:r>
      </w:hyperlink>
    </w:p>
    <w:p w14:paraId="3F59FD06" w14:textId="1B3B256C" w:rsidR="002C0E50" w:rsidRDefault="00E909AE">
      <w:pPr>
        <w:pStyle w:val="TOC8"/>
        <w:rPr>
          <w:rFonts w:asciiTheme="minorHAnsi" w:eastAsiaTheme="minorEastAsia" w:hAnsiTheme="minorHAnsi" w:cstheme="minorBidi"/>
          <w:noProof/>
          <w:szCs w:val="24"/>
        </w:rPr>
      </w:pPr>
      <w:hyperlink w:anchor="_Toc82386352" w:history="1">
        <w:r w:rsidR="002C0E50" w:rsidRPr="00F40DDB">
          <w:rPr>
            <w:rStyle w:val="Hyperlink"/>
            <w:noProof/>
          </w:rPr>
          <w:t>Figure 3.75:</w:t>
        </w:r>
        <w:r w:rsidR="002C0E50">
          <w:rPr>
            <w:rFonts w:asciiTheme="minorHAnsi" w:eastAsiaTheme="minorEastAsia" w:hAnsiTheme="minorHAnsi" w:cstheme="minorBidi"/>
            <w:noProof/>
            <w:szCs w:val="24"/>
          </w:rPr>
          <w:tab/>
        </w:r>
        <w:r w:rsidR="002C0E50" w:rsidRPr="00F40DDB">
          <w:rPr>
            <w:rStyle w:val="Hyperlink"/>
            <w:noProof/>
          </w:rPr>
          <w:t>Percentage of Households Reporting Source of Improved Seeds 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_Toc82386352 \h </w:instrText>
        </w:r>
        <w:r w:rsidR="002C0E50">
          <w:rPr>
            <w:noProof/>
            <w:webHidden/>
          </w:rPr>
        </w:r>
        <w:r w:rsidR="002C0E50">
          <w:rPr>
            <w:noProof/>
            <w:webHidden/>
          </w:rPr>
          <w:fldChar w:fldCharType="separate"/>
        </w:r>
        <w:r w:rsidR="00A15698">
          <w:rPr>
            <w:noProof/>
            <w:webHidden/>
          </w:rPr>
          <w:t>118</w:t>
        </w:r>
        <w:r w:rsidR="002C0E50">
          <w:rPr>
            <w:noProof/>
            <w:webHidden/>
          </w:rPr>
          <w:fldChar w:fldCharType="end"/>
        </w:r>
      </w:hyperlink>
    </w:p>
    <w:p w14:paraId="7A4CB6F4" w14:textId="66A54B42" w:rsidR="002C0E50" w:rsidRDefault="00E909AE">
      <w:pPr>
        <w:pStyle w:val="TOC8"/>
        <w:rPr>
          <w:rFonts w:asciiTheme="minorHAnsi" w:eastAsiaTheme="minorEastAsia" w:hAnsiTheme="minorHAnsi" w:cstheme="minorBidi"/>
          <w:noProof/>
          <w:szCs w:val="24"/>
        </w:rPr>
      </w:pPr>
      <w:hyperlink r:id="rId58" w:anchor="_Toc82386353" w:history="1">
        <w:r w:rsidR="002C0E50" w:rsidRPr="00F40DDB">
          <w:rPr>
            <w:rStyle w:val="Hyperlink"/>
            <w:noProof/>
          </w:rPr>
          <w:t>Figure 3.76:</w:t>
        </w:r>
        <w:r w:rsidR="002C0E50">
          <w:rPr>
            <w:rFonts w:asciiTheme="minorHAnsi" w:eastAsiaTheme="minorEastAsia" w:hAnsiTheme="minorHAnsi" w:cstheme="minorBidi"/>
            <w:noProof/>
            <w:szCs w:val="24"/>
          </w:rPr>
          <w:tab/>
        </w:r>
        <w:r w:rsidR="002C0E50" w:rsidRPr="00F40DDB">
          <w:rPr>
            <w:rStyle w:val="Hyperlink"/>
            <w:noProof/>
          </w:rPr>
          <w:t>Percentage Distribution of Households by Source of Improved Seeds During 2019/20 Agricultural Year, Tanzania</w:t>
        </w:r>
        <w:r w:rsidR="002C0E50">
          <w:rPr>
            <w:noProof/>
            <w:webHidden/>
          </w:rPr>
          <w:tab/>
        </w:r>
        <w:r w:rsidR="002C0E50">
          <w:rPr>
            <w:noProof/>
            <w:webHidden/>
          </w:rPr>
          <w:fldChar w:fldCharType="begin"/>
        </w:r>
        <w:r w:rsidR="002C0E50">
          <w:rPr>
            <w:noProof/>
            <w:webHidden/>
          </w:rPr>
          <w:instrText xml:space="preserve"> PAGEREF _Toc82386353 \h </w:instrText>
        </w:r>
        <w:r w:rsidR="002C0E50">
          <w:rPr>
            <w:noProof/>
            <w:webHidden/>
          </w:rPr>
        </w:r>
        <w:r w:rsidR="002C0E50">
          <w:rPr>
            <w:noProof/>
            <w:webHidden/>
          </w:rPr>
          <w:fldChar w:fldCharType="separate"/>
        </w:r>
        <w:r w:rsidR="00A15698">
          <w:rPr>
            <w:noProof/>
            <w:webHidden/>
          </w:rPr>
          <w:t>118</w:t>
        </w:r>
        <w:r w:rsidR="002C0E50">
          <w:rPr>
            <w:noProof/>
            <w:webHidden/>
          </w:rPr>
          <w:fldChar w:fldCharType="end"/>
        </w:r>
      </w:hyperlink>
    </w:p>
    <w:p w14:paraId="6C139E6E" w14:textId="6C0D5CC5" w:rsidR="002C0E50" w:rsidRDefault="00E909AE">
      <w:pPr>
        <w:pStyle w:val="TOC8"/>
        <w:rPr>
          <w:noProof/>
        </w:rPr>
      </w:pPr>
      <w:hyperlink w:anchor="_Toc82386354" w:history="1">
        <w:r w:rsidR="002C0E50" w:rsidRPr="00F40DDB">
          <w:rPr>
            <w:rStyle w:val="Hyperlink"/>
            <w:noProof/>
          </w:rPr>
          <w:t>Figure 3.77:</w:t>
        </w:r>
        <w:r w:rsidR="002C0E50">
          <w:rPr>
            <w:rFonts w:asciiTheme="minorHAnsi" w:eastAsiaTheme="minorEastAsia" w:hAnsiTheme="minorHAnsi" w:cstheme="minorBidi"/>
            <w:noProof/>
            <w:szCs w:val="24"/>
          </w:rPr>
          <w:tab/>
        </w:r>
        <w:r w:rsidR="002C0E50" w:rsidRPr="00F40DDB">
          <w:rPr>
            <w:rStyle w:val="Hyperlink"/>
            <w:noProof/>
          </w:rPr>
          <w:t>Percentage of Agricultural Households Reporting Distance to Source of Improved Seeds During 2019/20 Agricultural Year, Tanzania</w:t>
        </w:r>
        <w:r w:rsidR="002C0E50">
          <w:rPr>
            <w:noProof/>
            <w:webHidden/>
          </w:rPr>
          <w:tab/>
        </w:r>
        <w:r w:rsidR="002C0E50">
          <w:rPr>
            <w:noProof/>
            <w:webHidden/>
          </w:rPr>
          <w:fldChar w:fldCharType="begin"/>
        </w:r>
        <w:r w:rsidR="002C0E50">
          <w:rPr>
            <w:noProof/>
            <w:webHidden/>
          </w:rPr>
          <w:instrText xml:space="preserve"> PAGEREF _Toc82386354 \h </w:instrText>
        </w:r>
        <w:r w:rsidR="002C0E50">
          <w:rPr>
            <w:noProof/>
            <w:webHidden/>
          </w:rPr>
        </w:r>
        <w:r w:rsidR="002C0E50">
          <w:rPr>
            <w:noProof/>
            <w:webHidden/>
          </w:rPr>
          <w:fldChar w:fldCharType="separate"/>
        </w:r>
        <w:r w:rsidR="00A15698">
          <w:rPr>
            <w:noProof/>
            <w:webHidden/>
          </w:rPr>
          <w:t>119</w:t>
        </w:r>
        <w:r w:rsidR="002C0E50">
          <w:rPr>
            <w:noProof/>
            <w:webHidden/>
          </w:rPr>
          <w:fldChar w:fldCharType="end"/>
        </w:r>
      </w:hyperlink>
    </w:p>
    <w:p w14:paraId="3C4E8811" w14:textId="1F767351" w:rsidR="00940E4C" w:rsidRDefault="00E909AE" w:rsidP="00940E4C">
      <w:pPr>
        <w:pStyle w:val="TOC8"/>
        <w:rPr>
          <w:rFonts w:asciiTheme="minorHAnsi" w:eastAsiaTheme="minorEastAsia" w:hAnsiTheme="minorHAnsi" w:cstheme="minorBidi"/>
          <w:noProof/>
          <w:szCs w:val="24"/>
        </w:rPr>
      </w:pPr>
      <w:hyperlink r:id="rId59" w:anchor="_Toc82386356" w:history="1">
        <w:r w:rsidR="00940E4C" w:rsidRPr="00F40DDB">
          <w:rPr>
            <w:rStyle w:val="Hyperlink"/>
            <w:noProof/>
          </w:rPr>
          <w:t>Figure 3.78:</w:t>
        </w:r>
        <w:r w:rsidR="00940E4C">
          <w:rPr>
            <w:rFonts w:asciiTheme="minorHAnsi" w:eastAsiaTheme="minorEastAsia" w:hAnsiTheme="minorHAnsi" w:cstheme="minorBidi"/>
            <w:noProof/>
            <w:szCs w:val="24"/>
          </w:rPr>
          <w:tab/>
        </w:r>
        <w:r w:rsidR="00940E4C" w:rsidRPr="00F40DDB">
          <w:rPr>
            <w:rStyle w:val="Hyperlink"/>
            <w:noProof/>
          </w:rPr>
          <w:t>Percentage of Households Using Improved Seeds During 2019/20 Agricultural Year, Mainland Tanzania</w:t>
        </w:r>
        <w:r w:rsidR="00940E4C">
          <w:rPr>
            <w:noProof/>
            <w:webHidden/>
          </w:rPr>
          <w:tab/>
        </w:r>
        <w:r w:rsidR="00940E4C">
          <w:rPr>
            <w:noProof/>
            <w:webHidden/>
          </w:rPr>
          <w:fldChar w:fldCharType="begin"/>
        </w:r>
        <w:r w:rsidR="00940E4C">
          <w:rPr>
            <w:noProof/>
            <w:webHidden/>
          </w:rPr>
          <w:instrText xml:space="preserve"> PAGEREF _Toc82386356 \h </w:instrText>
        </w:r>
        <w:r w:rsidR="00940E4C">
          <w:rPr>
            <w:noProof/>
            <w:webHidden/>
          </w:rPr>
        </w:r>
        <w:r w:rsidR="00940E4C">
          <w:rPr>
            <w:noProof/>
            <w:webHidden/>
          </w:rPr>
          <w:fldChar w:fldCharType="separate"/>
        </w:r>
        <w:r w:rsidR="00A15698">
          <w:rPr>
            <w:noProof/>
            <w:webHidden/>
          </w:rPr>
          <w:t>120</w:t>
        </w:r>
        <w:r w:rsidR="00940E4C">
          <w:rPr>
            <w:noProof/>
            <w:webHidden/>
          </w:rPr>
          <w:fldChar w:fldCharType="end"/>
        </w:r>
      </w:hyperlink>
    </w:p>
    <w:p w14:paraId="47B1E276" w14:textId="1A80EED2" w:rsidR="002C0E50" w:rsidRDefault="00E909AE">
      <w:pPr>
        <w:pStyle w:val="TOC8"/>
        <w:rPr>
          <w:rFonts w:asciiTheme="minorHAnsi" w:eastAsiaTheme="minorEastAsia" w:hAnsiTheme="minorHAnsi" w:cstheme="minorBidi"/>
          <w:noProof/>
          <w:szCs w:val="24"/>
        </w:rPr>
      </w:pPr>
      <w:hyperlink r:id="rId60" w:anchor="_Toc82386355" w:history="1">
        <w:r w:rsidR="002C0E50" w:rsidRPr="00F40DDB">
          <w:rPr>
            <w:rStyle w:val="Hyperlink"/>
            <w:noProof/>
          </w:rPr>
          <w:t>Figure 3.79:</w:t>
        </w:r>
        <w:r w:rsidR="002C0E50">
          <w:rPr>
            <w:rFonts w:asciiTheme="minorHAnsi" w:eastAsiaTheme="minorEastAsia" w:hAnsiTheme="minorHAnsi" w:cstheme="minorBidi"/>
            <w:noProof/>
            <w:szCs w:val="24"/>
          </w:rPr>
          <w:tab/>
        </w:r>
        <w:r w:rsidR="002C0E50" w:rsidRPr="00F40DDB">
          <w:rPr>
            <w:rStyle w:val="Hyperlink"/>
            <w:noProof/>
          </w:rPr>
          <w:t>Percentage of Households Using Improved Seeds 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_Toc82386355 \h </w:instrText>
        </w:r>
        <w:r w:rsidR="002C0E50">
          <w:rPr>
            <w:noProof/>
            <w:webHidden/>
          </w:rPr>
        </w:r>
        <w:r w:rsidR="002C0E50">
          <w:rPr>
            <w:noProof/>
            <w:webHidden/>
          </w:rPr>
          <w:fldChar w:fldCharType="separate"/>
        </w:r>
        <w:r w:rsidR="00A15698">
          <w:rPr>
            <w:noProof/>
            <w:webHidden/>
          </w:rPr>
          <w:t>120</w:t>
        </w:r>
        <w:r w:rsidR="002C0E50">
          <w:rPr>
            <w:noProof/>
            <w:webHidden/>
          </w:rPr>
          <w:fldChar w:fldCharType="end"/>
        </w:r>
      </w:hyperlink>
    </w:p>
    <w:p w14:paraId="3CEAA949" w14:textId="1B34FA9C" w:rsidR="002C0E50" w:rsidRDefault="00E909AE">
      <w:pPr>
        <w:pStyle w:val="TOC8"/>
        <w:rPr>
          <w:rFonts w:asciiTheme="minorHAnsi" w:eastAsiaTheme="minorEastAsia" w:hAnsiTheme="minorHAnsi" w:cstheme="minorBidi"/>
          <w:noProof/>
          <w:szCs w:val="24"/>
        </w:rPr>
      </w:pPr>
      <w:hyperlink r:id="rId61" w:anchor="_Toc82386357" w:history="1">
        <w:r w:rsidR="002C0E50" w:rsidRPr="00F40DDB">
          <w:rPr>
            <w:rStyle w:val="Hyperlink"/>
            <w:noProof/>
          </w:rPr>
          <w:t>Figure 3.80:</w:t>
        </w:r>
        <w:r w:rsidR="002C0E50">
          <w:rPr>
            <w:rFonts w:asciiTheme="minorHAnsi" w:eastAsiaTheme="minorEastAsia" w:hAnsiTheme="minorHAnsi" w:cstheme="minorBidi"/>
            <w:noProof/>
            <w:szCs w:val="24"/>
          </w:rPr>
          <w:tab/>
        </w:r>
        <w:r w:rsidR="002C0E50" w:rsidRPr="00F40DDB">
          <w:rPr>
            <w:rStyle w:val="Hyperlink"/>
            <w:noProof/>
          </w:rPr>
          <w:t>Percentage Distribution of Households by Source of Insecticide/ Fungicides During 2019/20 Agricultural Year, Tanzania</w:t>
        </w:r>
        <w:r w:rsidR="002C0E50">
          <w:rPr>
            <w:noProof/>
            <w:webHidden/>
          </w:rPr>
          <w:tab/>
        </w:r>
        <w:r w:rsidR="002C0E50">
          <w:rPr>
            <w:noProof/>
            <w:webHidden/>
          </w:rPr>
          <w:fldChar w:fldCharType="begin"/>
        </w:r>
        <w:r w:rsidR="002C0E50">
          <w:rPr>
            <w:noProof/>
            <w:webHidden/>
          </w:rPr>
          <w:instrText xml:space="preserve"> PAGEREF _Toc82386357 \h </w:instrText>
        </w:r>
        <w:r w:rsidR="002C0E50">
          <w:rPr>
            <w:noProof/>
            <w:webHidden/>
          </w:rPr>
        </w:r>
        <w:r w:rsidR="002C0E50">
          <w:rPr>
            <w:noProof/>
            <w:webHidden/>
          </w:rPr>
          <w:fldChar w:fldCharType="separate"/>
        </w:r>
        <w:r w:rsidR="00A15698">
          <w:rPr>
            <w:noProof/>
            <w:webHidden/>
          </w:rPr>
          <w:t>120</w:t>
        </w:r>
        <w:r w:rsidR="002C0E50">
          <w:rPr>
            <w:noProof/>
            <w:webHidden/>
          </w:rPr>
          <w:fldChar w:fldCharType="end"/>
        </w:r>
      </w:hyperlink>
    </w:p>
    <w:p w14:paraId="116D2120" w14:textId="513632A4" w:rsidR="002C0E50" w:rsidRDefault="00E909AE">
      <w:pPr>
        <w:pStyle w:val="TOC8"/>
        <w:rPr>
          <w:rFonts w:asciiTheme="minorHAnsi" w:eastAsiaTheme="minorEastAsia" w:hAnsiTheme="minorHAnsi" w:cstheme="minorBidi"/>
          <w:noProof/>
          <w:szCs w:val="24"/>
        </w:rPr>
      </w:pPr>
      <w:hyperlink w:anchor="_Toc82386358" w:history="1">
        <w:r w:rsidR="002C0E50" w:rsidRPr="00F40DDB">
          <w:rPr>
            <w:rStyle w:val="Hyperlink"/>
            <w:noProof/>
          </w:rPr>
          <w:t>Figure 3.81:</w:t>
        </w:r>
        <w:r w:rsidR="002C0E50">
          <w:rPr>
            <w:rFonts w:asciiTheme="minorHAnsi" w:eastAsiaTheme="minorEastAsia" w:hAnsiTheme="minorHAnsi" w:cstheme="minorBidi"/>
            <w:noProof/>
            <w:szCs w:val="24"/>
          </w:rPr>
          <w:tab/>
        </w:r>
        <w:r w:rsidR="002C0E50" w:rsidRPr="00F40DDB">
          <w:rPr>
            <w:rStyle w:val="Hyperlink"/>
            <w:noProof/>
          </w:rPr>
          <w:t>Percentage Distribution of Agricultural Households Reporting Distance to Source of Insecticides/ Fungicides During 2019/20 Agricultural Year, Tanzania</w:t>
        </w:r>
        <w:r w:rsidR="002C0E50">
          <w:rPr>
            <w:noProof/>
            <w:webHidden/>
          </w:rPr>
          <w:tab/>
        </w:r>
        <w:r w:rsidR="002C0E50">
          <w:rPr>
            <w:noProof/>
            <w:webHidden/>
          </w:rPr>
          <w:fldChar w:fldCharType="begin"/>
        </w:r>
        <w:r w:rsidR="002C0E50">
          <w:rPr>
            <w:noProof/>
            <w:webHidden/>
          </w:rPr>
          <w:instrText xml:space="preserve"> PAGEREF _Toc82386358 \h </w:instrText>
        </w:r>
        <w:r w:rsidR="002C0E50">
          <w:rPr>
            <w:noProof/>
            <w:webHidden/>
          </w:rPr>
        </w:r>
        <w:r w:rsidR="002C0E50">
          <w:rPr>
            <w:noProof/>
            <w:webHidden/>
          </w:rPr>
          <w:fldChar w:fldCharType="separate"/>
        </w:r>
        <w:r w:rsidR="00A15698">
          <w:rPr>
            <w:noProof/>
            <w:webHidden/>
          </w:rPr>
          <w:t>121</w:t>
        </w:r>
        <w:r w:rsidR="002C0E50">
          <w:rPr>
            <w:noProof/>
            <w:webHidden/>
          </w:rPr>
          <w:fldChar w:fldCharType="end"/>
        </w:r>
      </w:hyperlink>
    </w:p>
    <w:p w14:paraId="229C86AB" w14:textId="1A189885" w:rsidR="002C0E50" w:rsidRDefault="00E909AE">
      <w:pPr>
        <w:pStyle w:val="TOC8"/>
        <w:rPr>
          <w:rFonts w:asciiTheme="minorHAnsi" w:eastAsiaTheme="minorEastAsia" w:hAnsiTheme="minorHAnsi" w:cstheme="minorBidi"/>
          <w:noProof/>
          <w:szCs w:val="24"/>
        </w:rPr>
      </w:pPr>
      <w:hyperlink w:anchor="_Toc82386359" w:history="1">
        <w:r w:rsidR="002C0E50" w:rsidRPr="00F40DDB">
          <w:rPr>
            <w:rStyle w:val="Hyperlink"/>
            <w:noProof/>
          </w:rPr>
          <w:t>Figure 3.82:</w:t>
        </w:r>
        <w:r w:rsidR="002C0E50">
          <w:rPr>
            <w:rFonts w:asciiTheme="minorHAnsi" w:eastAsiaTheme="minorEastAsia" w:hAnsiTheme="minorHAnsi" w:cstheme="minorBidi"/>
            <w:noProof/>
            <w:szCs w:val="24"/>
          </w:rPr>
          <w:tab/>
        </w:r>
        <w:r w:rsidR="002C0E50" w:rsidRPr="00F40DDB">
          <w:rPr>
            <w:rStyle w:val="Hyperlink"/>
            <w:noProof/>
          </w:rPr>
          <w:t>Percentage Distribution of Households Using Herbicides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_Toc82386359 \h </w:instrText>
        </w:r>
        <w:r w:rsidR="002C0E50">
          <w:rPr>
            <w:noProof/>
            <w:webHidden/>
          </w:rPr>
        </w:r>
        <w:r w:rsidR="002C0E50">
          <w:rPr>
            <w:noProof/>
            <w:webHidden/>
          </w:rPr>
          <w:fldChar w:fldCharType="separate"/>
        </w:r>
        <w:r w:rsidR="00A15698">
          <w:rPr>
            <w:noProof/>
            <w:webHidden/>
          </w:rPr>
          <w:t>121</w:t>
        </w:r>
        <w:r w:rsidR="002C0E50">
          <w:rPr>
            <w:noProof/>
            <w:webHidden/>
          </w:rPr>
          <w:fldChar w:fldCharType="end"/>
        </w:r>
      </w:hyperlink>
    </w:p>
    <w:p w14:paraId="69E710E1" w14:textId="5E169406" w:rsidR="002C0E50" w:rsidRDefault="00E909AE">
      <w:pPr>
        <w:pStyle w:val="TOC8"/>
        <w:rPr>
          <w:rFonts w:asciiTheme="minorHAnsi" w:eastAsiaTheme="minorEastAsia" w:hAnsiTheme="minorHAnsi" w:cstheme="minorBidi"/>
          <w:noProof/>
          <w:szCs w:val="24"/>
        </w:rPr>
      </w:pPr>
      <w:hyperlink w:anchor="_Toc82386360" w:history="1">
        <w:r w:rsidR="002C0E50" w:rsidRPr="00F40DDB">
          <w:rPr>
            <w:rStyle w:val="Hyperlink"/>
            <w:noProof/>
          </w:rPr>
          <w:t>Figure 3.83:</w:t>
        </w:r>
        <w:r w:rsidR="002C0E50">
          <w:rPr>
            <w:rFonts w:asciiTheme="minorHAnsi" w:eastAsiaTheme="minorEastAsia" w:hAnsiTheme="minorHAnsi" w:cstheme="minorBidi"/>
            <w:noProof/>
            <w:szCs w:val="24"/>
          </w:rPr>
          <w:tab/>
        </w:r>
        <w:r w:rsidR="002C0E50" w:rsidRPr="00F40DDB">
          <w:rPr>
            <w:rStyle w:val="Hyperlink"/>
            <w:noProof/>
          </w:rPr>
          <w:t>Percentage of Households Using Herbicides 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_Toc82386360 \h </w:instrText>
        </w:r>
        <w:r w:rsidR="002C0E50">
          <w:rPr>
            <w:noProof/>
            <w:webHidden/>
          </w:rPr>
        </w:r>
        <w:r w:rsidR="002C0E50">
          <w:rPr>
            <w:noProof/>
            <w:webHidden/>
          </w:rPr>
          <w:fldChar w:fldCharType="separate"/>
        </w:r>
        <w:r w:rsidR="00A15698">
          <w:rPr>
            <w:noProof/>
            <w:webHidden/>
          </w:rPr>
          <w:t>122</w:t>
        </w:r>
        <w:r w:rsidR="002C0E50">
          <w:rPr>
            <w:noProof/>
            <w:webHidden/>
          </w:rPr>
          <w:fldChar w:fldCharType="end"/>
        </w:r>
      </w:hyperlink>
    </w:p>
    <w:p w14:paraId="607F81DF" w14:textId="74D1B436" w:rsidR="002C0E50" w:rsidRDefault="00E909AE">
      <w:pPr>
        <w:pStyle w:val="TOC8"/>
        <w:rPr>
          <w:rFonts w:asciiTheme="minorHAnsi" w:eastAsiaTheme="minorEastAsia" w:hAnsiTheme="minorHAnsi" w:cstheme="minorBidi"/>
          <w:noProof/>
          <w:szCs w:val="24"/>
        </w:rPr>
      </w:pPr>
      <w:hyperlink r:id="rId62" w:anchor="_Toc82386361" w:history="1">
        <w:r w:rsidR="002C0E50" w:rsidRPr="00F40DDB">
          <w:rPr>
            <w:rStyle w:val="Hyperlink"/>
            <w:noProof/>
          </w:rPr>
          <w:t>Figure 3.84:</w:t>
        </w:r>
        <w:r w:rsidR="002C0E50">
          <w:rPr>
            <w:rFonts w:asciiTheme="minorHAnsi" w:eastAsiaTheme="minorEastAsia" w:hAnsiTheme="minorHAnsi" w:cstheme="minorBidi"/>
            <w:noProof/>
            <w:szCs w:val="24"/>
          </w:rPr>
          <w:tab/>
        </w:r>
        <w:r w:rsidR="002C0E50" w:rsidRPr="00F40DDB">
          <w:rPr>
            <w:rStyle w:val="Hyperlink"/>
            <w:noProof/>
          </w:rPr>
          <w:t>Percentage Distribution of Households by Source of Herbicides During 2019/20 Agricultural Year, Tanzania</w:t>
        </w:r>
        <w:r w:rsidR="002C0E50">
          <w:rPr>
            <w:noProof/>
            <w:webHidden/>
          </w:rPr>
          <w:tab/>
        </w:r>
        <w:r w:rsidR="002C0E50">
          <w:rPr>
            <w:noProof/>
            <w:webHidden/>
          </w:rPr>
          <w:fldChar w:fldCharType="begin"/>
        </w:r>
        <w:r w:rsidR="002C0E50">
          <w:rPr>
            <w:noProof/>
            <w:webHidden/>
          </w:rPr>
          <w:instrText xml:space="preserve"> PAGEREF _Toc82386361 \h </w:instrText>
        </w:r>
        <w:r w:rsidR="002C0E50">
          <w:rPr>
            <w:noProof/>
            <w:webHidden/>
          </w:rPr>
        </w:r>
        <w:r w:rsidR="002C0E50">
          <w:rPr>
            <w:noProof/>
            <w:webHidden/>
          </w:rPr>
          <w:fldChar w:fldCharType="separate"/>
        </w:r>
        <w:r w:rsidR="00A15698">
          <w:rPr>
            <w:noProof/>
            <w:webHidden/>
          </w:rPr>
          <w:t>122</w:t>
        </w:r>
        <w:r w:rsidR="002C0E50">
          <w:rPr>
            <w:noProof/>
            <w:webHidden/>
          </w:rPr>
          <w:fldChar w:fldCharType="end"/>
        </w:r>
      </w:hyperlink>
    </w:p>
    <w:p w14:paraId="16A624B3" w14:textId="6A231519" w:rsidR="002C0E50" w:rsidRDefault="00E909AE">
      <w:pPr>
        <w:pStyle w:val="TOC8"/>
        <w:rPr>
          <w:rFonts w:asciiTheme="minorHAnsi" w:eastAsiaTheme="minorEastAsia" w:hAnsiTheme="minorHAnsi" w:cstheme="minorBidi"/>
          <w:noProof/>
          <w:szCs w:val="24"/>
        </w:rPr>
      </w:pPr>
      <w:hyperlink r:id="rId63" w:anchor="_Toc82386362" w:history="1">
        <w:r w:rsidR="002C0E50" w:rsidRPr="00F40DDB">
          <w:rPr>
            <w:rStyle w:val="Hyperlink"/>
            <w:noProof/>
          </w:rPr>
          <w:t>Figure 3.85:</w:t>
        </w:r>
        <w:r w:rsidR="002C0E50">
          <w:rPr>
            <w:rFonts w:asciiTheme="minorHAnsi" w:eastAsiaTheme="minorEastAsia" w:hAnsiTheme="minorHAnsi" w:cstheme="minorBidi"/>
            <w:noProof/>
            <w:szCs w:val="24"/>
          </w:rPr>
          <w:tab/>
        </w:r>
        <w:r w:rsidR="002C0E50" w:rsidRPr="00F40DDB">
          <w:rPr>
            <w:rStyle w:val="Hyperlink"/>
            <w:noProof/>
          </w:rPr>
          <w:t>Percentage Distribution of Agricultural Households Receiving Crop Extension Advices During 2019/20 Agricultural Year, Tanzania</w:t>
        </w:r>
        <w:r w:rsidR="002C0E50">
          <w:rPr>
            <w:noProof/>
            <w:webHidden/>
          </w:rPr>
          <w:tab/>
        </w:r>
        <w:r w:rsidR="002C0E50">
          <w:rPr>
            <w:noProof/>
            <w:webHidden/>
          </w:rPr>
          <w:fldChar w:fldCharType="begin"/>
        </w:r>
        <w:r w:rsidR="002C0E50">
          <w:rPr>
            <w:noProof/>
            <w:webHidden/>
          </w:rPr>
          <w:instrText xml:space="preserve"> PAGEREF _Toc82386362 \h </w:instrText>
        </w:r>
        <w:r w:rsidR="002C0E50">
          <w:rPr>
            <w:noProof/>
            <w:webHidden/>
          </w:rPr>
        </w:r>
        <w:r w:rsidR="002C0E50">
          <w:rPr>
            <w:noProof/>
            <w:webHidden/>
          </w:rPr>
          <w:fldChar w:fldCharType="separate"/>
        </w:r>
        <w:r w:rsidR="00A15698">
          <w:rPr>
            <w:noProof/>
            <w:webHidden/>
          </w:rPr>
          <w:t>123</w:t>
        </w:r>
        <w:r w:rsidR="002C0E50">
          <w:rPr>
            <w:noProof/>
            <w:webHidden/>
          </w:rPr>
          <w:fldChar w:fldCharType="end"/>
        </w:r>
      </w:hyperlink>
    </w:p>
    <w:p w14:paraId="7EDAB4F3" w14:textId="53B340C5" w:rsidR="002C0E50" w:rsidRDefault="00E909AE">
      <w:pPr>
        <w:pStyle w:val="TOC8"/>
        <w:rPr>
          <w:rFonts w:asciiTheme="minorHAnsi" w:eastAsiaTheme="minorEastAsia" w:hAnsiTheme="minorHAnsi" w:cstheme="minorBidi"/>
          <w:noProof/>
          <w:szCs w:val="24"/>
        </w:rPr>
      </w:pPr>
      <w:hyperlink w:anchor="_Toc82386363" w:history="1">
        <w:r w:rsidR="002C0E50" w:rsidRPr="00F40DDB">
          <w:rPr>
            <w:rStyle w:val="Hyperlink"/>
            <w:noProof/>
          </w:rPr>
          <w:t>Figure 3.86:</w:t>
        </w:r>
        <w:r w:rsidR="002C0E50">
          <w:rPr>
            <w:rFonts w:asciiTheme="minorHAnsi" w:eastAsiaTheme="minorEastAsia" w:hAnsiTheme="minorHAnsi" w:cstheme="minorBidi"/>
            <w:noProof/>
            <w:szCs w:val="24"/>
          </w:rPr>
          <w:tab/>
        </w:r>
        <w:r w:rsidR="002C0E50" w:rsidRPr="00F40DDB">
          <w:rPr>
            <w:rStyle w:val="Hyperlink"/>
            <w:noProof/>
          </w:rPr>
          <w:t>Percentage Distribution of Agricultural Households Reported to Receive Crop Extension Advices by Region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_Toc82386363 \h </w:instrText>
        </w:r>
        <w:r w:rsidR="002C0E50">
          <w:rPr>
            <w:noProof/>
            <w:webHidden/>
          </w:rPr>
        </w:r>
        <w:r w:rsidR="002C0E50">
          <w:rPr>
            <w:noProof/>
            <w:webHidden/>
          </w:rPr>
          <w:fldChar w:fldCharType="separate"/>
        </w:r>
        <w:r w:rsidR="00A15698">
          <w:rPr>
            <w:noProof/>
            <w:webHidden/>
          </w:rPr>
          <w:t>123</w:t>
        </w:r>
        <w:r w:rsidR="002C0E50">
          <w:rPr>
            <w:noProof/>
            <w:webHidden/>
          </w:rPr>
          <w:fldChar w:fldCharType="end"/>
        </w:r>
      </w:hyperlink>
    </w:p>
    <w:p w14:paraId="275CCAE3" w14:textId="107B9742" w:rsidR="002C0E50" w:rsidRDefault="00E909AE">
      <w:pPr>
        <w:pStyle w:val="TOC8"/>
        <w:rPr>
          <w:rFonts w:asciiTheme="minorHAnsi" w:eastAsiaTheme="minorEastAsia" w:hAnsiTheme="minorHAnsi" w:cstheme="minorBidi"/>
          <w:noProof/>
          <w:szCs w:val="24"/>
        </w:rPr>
      </w:pPr>
      <w:hyperlink w:anchor="_Toc82386364" w:history="1">
        <w:r w:rsidR="002C0E50" w:rsidRPr="00F40DDB">
          <w:rPr>
            <w:rStyle w:val="Hyperlink"/>
            <w:noProof/>
          </w:rPr>
          <w:t>Figure 3.87:</w:t>
        </w:r>
        <w:r w:rsidR="002C0E50">
          <w:rPr>
            <w:rFonts w:asciiTheme="minorHAnsi" w:eastAsiaTheme="minorEastAsia" w:hAnsiTheme="minorHAnsi" w:cstheme="minorBidi"/>
            <w:noProof/>
            <w:szCs w:val="24"/>
          </w:rPr>
          <w:tab/>
        </w:r>
        <w:r w:rsidR="002C0E50" w:rsidRPr="00F40DDB">
          <w:rPr>
            <w:rStyle w:val="Hyperlink"/>
            <w:noProof/>
          </w:rPr>
          <w:t>Percentage Distribution of Agricultural Households Receiving Crop Extension Advices by Region 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_Toc82386364 \h </w:instrText>
        </w:r>
        <w:r w:rsidR="002C0E50">
          <w:rPr>
            <w:noProof/>
            <w:webHidden/>
          </w:rPr>
        </w:r>
        <w:r w:rsidR="002C0E50">
          <w:rPr>
            <w:noProof/>
            <w:webHidden/>
          </w:rPr>
          <w:fldChar w:fldCharType="separate"/>
        </w:r>
        <w:r w:rsidR="00A15698">
          <w:rPr>
            <w:noProof/>
            <w:webHidden/>
          </w:rPr>
          <w:t>124</w:t>
        </w:r>
        <w:r w:rsidR="002C0E50">
          <w:rPr>
            <w:noProof/>
            <w:webHidden/>
          </w:rPr>
          <w:fldChar w:fldCharType="end"/>
        </w:r>
      </w:hyperlink>
    </w:p>
    <w:p w14:paraId="2DE01CA4" w14:textId="28D6948F" w:rsidR="002C0E50" w:rsidRDefault="00E909AE">
      <w:pPr>
        <w:pStyle w:val="TOC8"/>
        <w:rPr>
          <w:rFonts w:asciiTheme="minorHAnsi" w:eastAsiaTheme="minorEastAsia" w:hAnsiTheme="minorHAnsi" w:cstheme="minorBidi"/>
          <w:noProof/>
          <w:szCs w:val="24"/>
        </w:rPr>
      </w:pPr>
      <w:hyperlink w:anchor="_Toc82386365" w:history="1">
        <w:r w:rsidR="002C0E50" w:rsidRPr="00F40DDB">
          <w:rPr>
            <w:rStyle w:val="Hyperlink"/>
            <w:noProof/>
          </w:rPr>
          <w:t>Figure 3.88:</w:t>
        </w:r>
        <w:r w:rsidR="002C0E50">
          <w:rPr>
            <w:rFonts w:asciiTheme="minorHAnsi" w:eastAsiaTheme="minorEastAsia" w:hAnsiTheme="minorHAnsi" w:cstheme="minorBidi"/>
            <w:noProof/>
            <w:szCs w:val="24"/>
          </w:rPr>
          <w:tab/>
        </w:r>
        <w:r w:rsidR="002C0E50" w:rsidRPr="00F40DDB">
          <w:rPr>
            <w:rStyle w:val="Hyperlink"/>
            <w:noProof/>
          </w:rPr>
          <w:t>Percentage of Agricultural Households Receiving Extension Advices by Type of Extension Service Provider During 2019/20 Agricultural Year, Tanzania</w:t>
        </w:r>
        <w:r w:rsidR="002C0E50">
          <w:rPr>
            <w:noProof/>
            <w:webHidden/>
          </w:rPr>
          <w:tab/>
        </w:r>
        <w:r w:rsidR="002C0E50">
          <w:rPr>
            <w:noProof/>
            <w:webHidden/>
          </w:rPr>
          <w:fldChar w:fldCharType="begin"/>
        </w:r>
        <w:r w:rsidR="002C0E50">
          <w:rPr>
            <w:noProof/>
            <w:webHidden/>
          </w:rPr>
          <w:instrText xml:space="preserve"> PAGEREF _Toc82386365 \h </w:instrText>
        </w:r>
        <w:r w:rsidR="002C0E50">
          <w:rPr>
            <w:noProof/>
            <w:webHidden/>
          </w:rPr>
        </w:r>
        <w:r w:rsidR="002C0E50">
          <w:rPr>
            <w:noProof/>
            <w:webHidden/>
          </w:rPr>
          <w:fldChar w:fldCharType="separate"/>
        </w:r>
        <w:r w:rsidR="00A15698">
          <w:rPr>
            <w:noProof/>
            <w:webHidden/>
          </w:rPr>
          <w:t>125</w:t>
        </w:r>
        <w:r w:rsidR="002C0E50">
          <w:rPr>
            <w:noProof/>
            <w:webHidden/>
          </w:rPr>
          <w:fldChar w:fldCharType="end"/>
        </w:r>
      </w:hyperlink>
    </w:p>
    <w:p w14:paraId="09B77F92" w14:textId="734EE86B" w:rsidR="002C0E50" w:rsidRDefault="00E909AE">
      <w:pPr>
        <w:pStyle w:val="TOC8"/>
        <w:rPr>
          <w:rFonts w:asciiTheme="minorHAnsi" w:eastAsiaTheme="minorEastAsia" w:hAnsiTheme="minorHAnsi" w:cstheme="minorBidi"/>
          <w:noProof/>
          <w:szCs w:val="24"/>
        </w:rPr>
      </w:pPr>
      <w:hyperlink w:anchor="_Toc82386366" w:history="1">
        <w:r w:rsidR="002C0E50" w:rsidRPr="00F40DDB">
          <w:rPr>
            <w:rStyle w:val="Hyperlink"/>
            <w:noProof/>
          </w:rPr>
          <w:t>Figure 3.89:</w:t>
        </w:r>
        <w:r w:rsidR="002C0E50">
          <w:rPr>
            <w:rFonts w:asciiTheme="minorHAnsi" w:eastAsiaTheme="minorEastAsia" w:hAnsiTheme="minorHAnsi" w:cstheme="minorBidi"/>
            <w:noProof/>
            <w:szCs w:val="24"/>
          </w:rPr>
          <w:tab/>
        </w:r>
        <w:r w:rsidR="002C0E50" w:rsidRPr="00F40DDB">
          <w:rPr>
            <w:rStyle w:val="Hyperlink"/>
            <w:noProof/>
          </w:rPr>
          <w:t>Percentage of Agricultural Households Received Extension Message by Type of Extension Advices Practiced During 2019/20 Agricultural Year, Tanzania</w:t>
        </w:r>
        <w:r w:rsidR="002C0E50">
          <w:rPr>
            <w:noProof/>
            <w:webHidden/>
          </w:rPr>
          <w:tab/>
        </w:r>
        <w:r w:rsidR="002C0E50">
          <w:rPr>
            <w:noProof/>
            <w:webHidden/>
          </w:rPr>
          <w:fldChar w:fldCharType="begin"/>
        </w:r>
        <w:r w:rsidR="002C0E50">
          <w:rPr>
            <w:noProof/>
            <w:webHidden/>
          </w:rPr>
          <w:instrText xml:space="preserve"> PAGEREF _Toc82386366 \h </w:instrText>
        </w:r>
        <w:r w:rsidR="002C0E50">
          <w:rPr>
            <w:noProof/>
            <w:webHidden/>
          </w:rPr>
        </w:r>
        <w:r w:rsidR="002C0E50">
          <w:rPr>
            <w:noProof/>
            <w:webHidden/>
          </w:rPr>
          <w:fldChar w:fldCharType="separate"/>
        </w:r>
        <w:r w:rsidR="00A15698">
          <w:rPr>
            <w:noProof/>
            <w:webHidden/>
          </w:rPr>
          <w:t>126</w:t>
        </w:r>
        <w:r w:rsidR="002C0E50">
          <w:rPr>
            <w:noProof/>
            <w:webHidden/>
          </w:rPr>
          <w:fldChar w:fldCharType="end"/>
        </w:r>
      </w:hyperlink>
    </w:p>
    <w:p w14:paraId="5FA5BC29" w14:textId="21D2C9D4" w:rsidR="002C0E50" w:rsidRDefault="00E909AE">
      <w:pPr>
        <w:pStyle w:val="TOC8"/>
        <w:tabs>
          <w:tab w:val="left" w:pos="1541"/>
        </w:tabs>
        <w:rPr>
          <w:rFonts w:asciiTheme="minorHAnsi" w:eastAsiaTheme="minorEastAsia" w:hAnsiTheme="minorHAnsi" w:cstheme="minorBidi"/>
          <w:noProof/>
          <w:szCs w:val="24"/>
        </w:rPr>
      </w:pPr>
      <w:hyperlink w:anchor="_Toc82386367" w:history="1">
        <w:r w:rsidR="002C0E50" w:rsidRPr="00F40DDB">
          <w:rPr>
            <w:rStyle w:val="Hyperlink"/>
            <w:noProof/>
          </w:rPr>
          <w:t>Figure 3.90:</w:t>
        </w:r>
        <w:r w:rsidR="002C0E50">
          <w:rPr>
            <w:rFonts w:asciiTheme="minorHAnsi" w:eastAsiaTheme="minorEastAsia" w:hAnsiTheme="minorHAnsi" w:cstheme="minorBidi"/>
            <w:noProof/>
            <w:szCs w:val="24"/>
          </w:rPr>
          <w:tab/>
        </w:r>
        <w:r w:rsidR="002C0E50" w:rsidRPr="00F40DDB">
          <w:rPr>
            <w:rStyle w:val="Hyperlink"/>
            <w:noProof/>
          </w:rPr>
          <w:t>Percentage of Agricultural Households that Reported Using Farm Implements/Assets During 2019/20 Agricultural Year, Tanzania</w:t>
        </w:r>
        <w:r w:rsidR="002C0E50">
          <w:rPr>
            <w:noProof/>
            <w:webHidden/>
          </w:rPr>
          <w:tab/>
        </w:r>
        <w:r w:rsidR="002C0E50">
          <w:rPr>
            <w:noProof/>
            <w:webHidden/>
          </w:rPr>
          <w:fldChar w:fldCharType="begin"/>
        </w:r>
        <w:r w:rsidR="002C0E50">
          <w:rPr>
            <w:noProof/>
            <w:webHidden/>
          </w:rPr>
          <w:instrText xml:space="preserve"> PAGEREF _Toc82386367 \h </w:instrText>
        </w:r>
        <w:r w:rsidR="002C0E50">
          <w:rPr>
            <w:noProof/>
            <w:webHidden/>
          </w:rPr>
        </w:r>
        <w:r w:rsidR="002C0E50">
          <w:rPr>
            <w:noProof/>
            <w:webHidden/>
          </w:rPr>
          <w:fldChar w:fldCharType="separate"/>
        </w:r>
        <w:r w:rsidR="00A15698">
          <w:rPr>
            <w:noProof/>
            <w:webHidden/>
          </w:rPr>
          <w:t>127</w:t>
        </w:r>
        <w:r w:rsidR="002C0E50">
          <w:rPr>
            <w:noProof/>
            <w:webHidden/>
          </w:rPr>
          <w:fldChar w:fldCharType="end"/>
        </w:r>
      </w:hyperlink>
    </w:p>
    <w:p w14:paraId="74304C9B" w14:textId="3CDE8430" w:rsidR="002C0E50" w:rsidRDefault="00E909AE">
      <w:pPr>
        <w:pStyle w:val="TOC8"/>
        <w:rPr>
          <w:rFonts w:asciiTheme="minorHAnsi" w:eastAsiaTheme="minorEastAsia" w:hAnsiTheme="minorHAnsi" w:cstheme="minorBidi"/>
          <w:noProof/>
          <w:szCs w:val="24"/>
        </w:rPr>
      </w:pPr>
      <w:hyperlink w:anchor="_Toc82386368" w:history="1">
        <w:r w:rsidR="002C0E50" w:rsidRPr="00F40DDB">
          <w:rPr>
            <w:rStyle w:val="Hyperlink"/>
            <w:noProof/>
          </w:rPr>
          <w:t>Figure 3.91:</w:t>
        </w:r>
        <w:r w:rsidR="002C0E50">
          <w:rPr>
            <w:rFonts w:asciiTheme="minorHAnsi" w:eastAsiaTheme="minorEastAsia" w:hAnsiTheme="minorHAnsi" w:cstheme="minorBidi"/>
            <w:noProof/>
            <w:szCs w:val="24"/>
          </w:rPr>
          <w:tab/>
        </w:r>
        <w:r w:rsidR="002C0E50" w:rsidRPr="00F40DDB">
          <w:rPr>
            <w:rStyle w:val="Hyperlink"/>
            <w:noProof/>
          </w:rPr>
          <w:t>Percentage of Agricultural Households Reported Using Farm Tractors/Draft Animals by Region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_Toc82386368 \h </w:instrText>
        </w:r>
        <w:r w:rsidR="002C0E50">
          <w:rPr>
            <w:noProof/>
            <w:webHidden/>
          </w:rPr>
        </w:r>
        <w:r w:rsidR="002C0E50">
          <w:rPr>
            <w:noProof/>
            <w:webHidden/>
          </w:rPr>
          <w:fldChar w:fldCharType="separate"/>
        </w:r>
        <w:r w:rsidR="00A15698">
          <w:rPr>
            <w:noProof/>
            <w:webHidden/>
          </w:rPr>
          <w:t>129</w:t>
        </w:r>
        <w:r w:rsidR="002C0E50">
          <w:rPr>
            <w:noProof/>
            <w:webHidden/>
          </w:rPr>
          <w:fldChar w:fldCharType="end"/>
        </w:r>
      </w:hyperlink>
    </w:p>
    <w:p w14:paraId="7BF7BCBB" w14:textId="7AA96743" w:rsidR="002C0E50" w:rsidRDefault="00E909AE">
      <w:pPr>
        <w:pStyle w:val="TOC8"/>
        <w:rPr>
          <w:rFonts w:asciiTheme="minorHAnsi" w:eastAsiaTheme="minorEastAsia" w:hAnsiTheme="minorHAnsi" w:cstheme="minorBidi"/>
          <w:noProof/>
          <w:szCs w:val="24"/>
        </w:rPr>
      </w:pPr>
      <w:hyperlink w:anchor="_Toc82386369" w:history="1">
        <w:r w:rsidR="002C0E50" w:rsidRPr="00F40DDB">
          <w:rPr>
            <w:rStyle w:val="Hyperlink"/>
            <w:noProof/>
          </w:rPr>
          <w:t>Figure 3.92:</w:t>
        </w:r>
        <w:r w:rsidR="002C0E50">
          <w:rPr>
            <w:rFonts w:asciiTheme="minorHAnsi" w:eastAsiaTheme="minorEastAsia" w:hAnsiTheme="minorHAnsi" w:cstheme="minorBidi"/>
            <w:noProof/>
            <w:szCs w:val="24"/>
          </w:rPr>
          <w:tab/>
        </w:r>
        <w:r w:rsidR="002C0E50" w:rsidRPr="00F40DDB">
          <w:rPr>
            <w:rStyle w:val="Hyperlink"/>
            <w:noProof/>
          </w:rPr>
          <w:t>Percentage of Agricultural Households that Reported Using Tractors/Draft Animals by Region 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_Toc82386369 \h </w:instrText>
        </w:r>
        <w:r w:rsidR="002C0E50">
          <w:rPr>
            <w:noProof/>
            <w:webHidden/>
          </w:rPr>
        </w:r>
        <w:r w:rsidR="002C0E50">
          <w:rPr>
            <w:noProof/>
            <w:webHidden/>
          </w:rPr>
          <w:fldChar w:fldCharType="separate"/>
        </w:r>
        <w:r w:rsidR="00A15698">
          <w:rPr>
            <w:noProof/>
            <w:webHidden/>
          </w:rPr>
          <w:t>130</w:t>
        </w:r>
        <w:r w:rsidR="002C0E50">
          <w:rPr>
            <w:noProof/>
            <w:webHidden/>
          </w:rPr>
          <w:fldChar w:fldCharType="end"/>
        </w:r>
      </w:hyperlink>
    </w:p>
    <w:p w14:paraId="6A105DD3" w14:textId="15515B1C" w:rsidR="002C0E50" w:rsidRDefault="00E909AE">
      <w:pPr>
        <w:pStyle w:val="TOC8"/>
        <w:rPr>
          <w:rFonts w:asciiTheme="minorHAnsi" w:eastAsiaTheme="minorEastAsia" w:hAnsiTheme="minorHAnsi" w:cstheme="minorBidi"/>
          <w:noProof/>
          <w:szCs w:val="24"/>
        </w:rPr>
      </w:pPr>
      <w:hyperlink w:anchor="_Toc82386370" w:history="1">
        <w:r w:rsidR="002C0E50" w:rsidRPr="00F40DDB">
          <w:rPr>
            <w:rStyle w:val="Hyperlink"/>
            <w:noProof/>
          </w:rPr>
          <w:t>Figure 3.93:</w:t>
        </w:r>
        <w:r w:rsidR="002C0E50">
          <w:rPr>
            <w:rFonts w:asciiTheme="minorHAnsi" w:eastAsiaTheme="minorEastAsia" w:hAnsiTheme="minorHAnsi" w:cstheme="minorBidi"/>
            <w:noProof/>
            <w:szCs w:val="24"/>
          </w:rPr>
          <w:tab/>
        </w:r>
        <w:r w:rsidR="002C0E50" w:rsidRPr="00F40DDB">
          <w:rPr>
            <w:rStyle w:val="Hyperlink"/>
            <w:noProof/>
          </w:rPr>
          <w:t>Percentage of Households Reported Marketing Challenges by Type of Challenge During 2019/20 Agricultural Year, Short Rainy Season, Tanzania</w:t>
        </w:r>
        <w:r w:rsidR="002C0E50">
          <w:rPr>
            <w:noProof/>
            <w:webHidden/>
          </w:rPr>
          <w:tab/>
        </w:r>
        <w:r w:rsidR="002C0E50">
          <w:rPr>
            <w:noProof/>
            <w:webHidden/>
          </w:rPr>
          <w:fldChar w:fldCharType="begin"/>
        </w:r>
        <w:r w:rsidR="002C0E50">
          <w:rPr>
            <w:noProof/>
            <w:webHidden/>
          </w:rPr>
          <w:instrText xml:space="preserve"> PAGEREF _Toc82386370 \h </w:instrText>
        </w:r>
        <w:r w:rsidR="002C0E50">
          <w:rPr>
            <w:noProof/>
            <w:webHidden/>
          </w:rPr>
        </w:r>
        <w:r w:rsidR="002C0E50">
          <w:rPr>
            <w:noProof/>
            <w:webHidden/>
          </w:rPr>
          <w:fldChar w:fldCharType="separate"/>
        </w:r>
        <w:r w:rsidR="00A15698">
          <w:rPr>
            <w:noProof/>
            <w:webHidden/>
          </w:rPr>
          <w:t>132</w:t>
        </w:r>
        <w:r w:rsidR="002C0E50">
          <w:rPr>
            <w:noProof/>
            <w:webHidden/>
          </w:rPr>
          <w:fldChar w:fldCharType="end"/>
        </w:r>
      </w:hyperlink>
    </w:p>
    <w:p w14:paraId="10EC464A" w14:textId="231D0413" w:rsidR="002C0E50" w:rsidRDefault="00E909AE">
      <w:pPr>
        <w:pStyle w:val="TOC8"/>
        <w:rPr>
          <w:rFonts w:asciiTheme="minorHAnsi" w:eastAsiaTheme="minorEastAsia" w:hAnsiTheme="minorHAnsi" w:cstheme="minorBidi"/>
          <w:noProof/>
          <w:szCs w:val="24"/>
        </w:rPr>
      </w:pPr>
      <w:hyperlink w:anchor="_Toc82386371" w:history="1">
        <w:r w:rsidR="002C0E50" w:rsidRPr="00F40DDB">
          <w:rPr>
            <w:rStyle w:val="Hyperlink"/>
            <w:noProof/>
          </w:rPr>
          <w:t>Figure 3.94</w:t>
        </w:r>
        <w:r w:rsidR="002C0E50">
          <w:rPr>
            <w:rFonts w:asciiTheme="minorHAnsi" w:eastAsiaTheme="minorEastAsia" w:hAnsiTheme="minorHAnsi" w:cstheme="minorBidi"/>
            <w:noProof/>
            <w:szCs w:val="24"/>
          </w:rPr>
          <w:tab/>
        </w:r>
        <w:r w:rsidR="002C0E50" w:rsidRPr="00F40DDB">
          <w:rPr>
            <w:rStyle w:val="Hyperlink"/>
            <w:noProof/>
          </w:rPr>
          <w:t>Percentage of Households Reported Marketing Challenges by Type of Challenge During 2019/20 Agricultural Year, Long Rainy Season, Tanzania</w:t>
        </w:r>
        <w:r w:rsidR="002C0E50">
          <w:rPr>
            <w:noProof/>
            <w:webHidden/>
          </w:rPr>
          <w:tab/>
        </w:r>
        <w:r w:rsidR="002C0E50">
          <w:rPr>
            <w:noProof/>
            <w:webHidden/>
          </w:rPr>
          <w:fldChar w:fldCharType="begin"/>
        </w:r>
        <w:r w:rsidR="002C0E50">
          <w:rPr>
            <w:noProof/>
            <w:webHidden/>
          </w:rPr>
          <w:instrText xml:space="preserve"> PAGEREF _Toc82386371 \h </w:instrText>
        </w:r>
        <w:r w:rsidR="002C0E50">
          <w:rPr>
            <w:noProof/>
            <w:webHidden/>
          </w:rPr>
        </w:r>
        <w:r w:rsidR="002C0E50">
          <w:rPr>
            <w:noProof/>
            <w:webHidden/>
          </w:rPr>
          <w:fldChar w:fldCharType="separate"/>
        </w:r>
        <w:r w:rsidR="00A15698">
          <w:rPr>
            <w:noProof/>
            <w:webHidden/>
          </w:rPr>
          <w:t>132</w:t>
        </w:r>
        <w:r w:rsidR="002C0E50">
          <w:rPr>
            <w:noProof/>
            <w:webHidden/>
          </w:rPr>
          <w:fldChar w:fldCharType="end"/>
        </w:r>
      </w:hyperlink>
    </w:p>
    <w:p w14:paraId="704A77CE" w14:textId="3C4A6C9D" w:rsidR="002C0E50" w:rsidRDefault="00E909AE">
      <w:pPr>
        <w:pStyle w:val="TOC8"/>
        <w:rPr>
          <w:noProof/>
        </w:rPr>
      </w:pPr>
      <w:hyperlink r:id="rId64" w:anchor="_Toc82386373" w:history="1">
        <w:r w:rsidR="002C0E50" w:rsidRPr="00F40DDB">
          <w:rPr>
            <w:rStyle w:val="Hyperlink"/>
            <w:noProof/>
          </w:rPr>
          <w:t>Figure 4.1:</w:t>
        </w:r>
        <w:r w:rsidR="002C0E50">
          <w:rPr>
            <w:rFonts w:asciiTheme="minorHAnsi" w:eastAsiaTheme="minorEastAsia" w:hAnsiTheme="minorHAnsi" w:cstheme="minorBidi"/>
            <w:noProof/>
            <w:szCs w:val="24"/>
          </w:rPr>
          <w:tab/>
        </w:r>
        <w:r w:rsidR="002C0E50" w:rsidRPr="00F40DDB">
          <w:rPr>
            <w:rStyle w:val="Hyperlink"/>
            <w:noProof/>
          </w:rPr>
          <w:t>Percentage of Households Rearing Livestock by Type During 2019/20 Agricultural Year, Tanzania</w:t>
        </w:r>
        <w:r w:rsidR="002C0E50">
          <w:rPr>
            <w:noProof/>
            <w:webHidden/>
          </w:rPr>
          <w:tab/>
        </w:r>
        <w:r w:rsidR="002C0E50">
          <w:rPr>
            <w:noProof/>
            <w:webHidden/>
          </w:rPr>
          <w:fldChar w:fldCharType="begin"/>
        </w:r>
        <w:r w:rsidR="002C0E50">
          <w:rPr>
            <w:noProof/>
            <w:webHidden/>
          </w:rPr>
          <w:instrText xml:space="preserve"> PAGEREF _Toc82386373 \h </w:instrText>
        </w:r>
        <w:r w:rsidR="002C0E50">
          <w:rPr>
            <w:noProof/>
            <w:webHidden/>
          </w:rPr>
        </w:r>
        <w:r w:rsidR="002C0E50">
          <w:rPr>
            <w:noProof/>
            <w:webHidden/>
          </w:rPr>
          <w:fldChar w:fldCharType="separate"/>
        </w:r>
        <w:r w:rsidR="00A15698">
          <w:rPr>
            <w:noProof/>
            <w:webHidden/>
          </w:rPr>
          <w:t>134</w:t>
        </w:r>
        <w:r w:rsidR="002C0E50">
          <w:rPr>
            <w:noProof/>
            <w:webHidden/>
          </w:rPr>
          <w:fldChar w:fldCharType="end"/>
        </w:r>
      </w:hyperlink>
    </w:p>
    <w:p w14:paraId="4B299657" w14:textId="371E2E16" w:rsidR="00940E4C" w:rsidRDefault="00E909AE" w:rsidP="00940E4C">
      <w:pPr>
        <w:pStyle w:val="TOC8"/>
        <w:rPr>
          <w:rFonts w:asciiTheme="minorHAnsi" w:eastAsiaTheme="minorEastAsia" w:hAnsiTheme="minorHAnsi" w:cstheme="minorBidi"/>
          <w:noProof/>
          <w:szCs w:val="24"/>
        </w:rPr>
      </w:pPr>
      <w:hyperlink r:id="rId65" w:anchor="_Toc82386372" w:history="1">
        <w:r w:rsidR="00940E4C" w:rsidRPr="00F40DDB">
          <w:rPr>
            <w:rStyle w:val="Hyperlink"/>
            <w:noProof/>
          </w:rPr>
          <w:t>Figure 4.2:</w:t>
        </w:r>
        <w:r w:rsidR="00940E4C">
          <w:rPr>
            <w:rFonts w:asciiTheme="minorHAnsi" w:eastAsiaTheme="minorEastAsia" w:hAnsiTheme="minorHAnsi" w:cstheme="minorBidi"/>
            <w:noProof/>
            <w:szCs w:val="24"/>
          </w:rPr>
          <w:tab/>
        </w:r>
        <w:r w:rsidR="00940E4C" w:rsidRPr="00F40DDB">
          <w:rPr>
            <w:rStyle w:val="Hyperlink"/>
            <w:noProof/>
          </w:rPr>
          <w:t>Percentage of Livestock Population by Type During 2019/20 Agricultural Year, Tanzania</w:t>
        </w:r>
        <w:r w:rsidR="00940E4C">
          <w:rPr>
            <w:noProof/>
            <w:webHidden/>
          </w:rPr>
          <w:tab/>
        </w:r>
        <w:r w:rsidR="00940E4C">
          <w:rPr>
            <w:noProof/>
            <w:webHidden/>
          </w:rPr>
          <w:fldChar w:fldCharType="begin"/>
        </w:r>
        <w:r w:rsidR="00940E4C">
          <w:rPr>
            <w:noProof/>
            <w:webHidden/>
          </w:rPr>
          <w:instrText xml:space="preserve"> PAGEREF _Toc82386372 \h </w:instrText>
        </w:r>
        <w:r w:rsidR="00940E4C">
          <w:rPr>
            <w:noProof/>
            <w:webHidden/>
          </w:rPr>
        </w:r>
        <w:r w:rsidR="00940E4C">
          <w:rPr>
            <w:noProof/>
            <w:webHidden/>
          </w:rPr>
          <w:fldChar w:fldCharType="separate"/>
        </w:r>
        <w:r w:rsidR="00A15698">
          <w:rPr>
            <w:noProof/>
            <w:webHidden/>
          </w:rPr>
          <w:t>134</w:t>
        </w:r>
        <w:r w:rsidR="00940E4C">
          <w:rPr>
            <w:noProof/>
            <w:webHidden/>
          </w:rPr>
          <w:fldChar w:fldCharType="end"/>
        </w:r>
      </w:hyperlink>
    </w:p>
    <w:p w14:paraId="73E30009" w14:textId="34DD1B50" w:rsidR="002C0E50" w:rsidRDefault="00E909AE">
      <w:pPr>
        <w:pStyle w:val="TOC8"/>
        <w:rPr>
          <w:rFonts w:asciiTheme="minorHAnsi" w:eastAsiaTheme="minorEastAsia" w:hAnsiTheme="minorHAnsi" w:cstheme="minorBidi"/>
          <w:noProof/>
          <w:szCs w:val="24"/>
        </w:rPr>
      </w:pPr>
      <w:hyperlink r:id="rId66" w:anchor="_Toc82386374" w:history="1">
        <w:r w:rsidR="002C0E50" w:rsidRPr="00F40DDB">
          <w:rPr>
            <w:rStyle w:val="Hyperlink"/>
            <w:noProof/>
          </w:rPr>
          <w:t>Figure 4.3:</w:t>
        </w:r>
        <w:r w:rsidR="002C0E50">
          <w:rPr>
            <w:rFonts w:asciiTheme="minorHAnsi" w:eastAsiaTheme="minorEastAsia" w:hAnsiTheme="minorHAnsi" w:cstheme="minorBidi"/>
            <w:noProof/>
            <w:szCs w:val="24"/>
          </w:rPr>
          <w:tab/>
        </w:r>
        <w:r w:rsidR="002C0E50" w:rsidRPr="00F40DDB">
          <w:rPr>
            <w:rStyle w:val="Hyperlink"/>
            <w:noProof/>
          </w:rPr>
          <w:t>Cattle Population Growth in 2003, 2008 and 2020 Agriculture Censuses, Tanzania</w:t>
        </w:r>
        <w:r w:rsidR="002C0E50">
          <w:rPr>
            <w:noProof/>
            <w:webHidden/>
          </w:rPr>
          <w:tab/>
        </w:r>
        <w:r w:rsidR="002C0E50">
          <w:rPr>
            <w:noProof/>
            <w:webHidden/>
          </w:rPr>
          <w:fldChar w:fldCharType="begin"/>
        </w:r>
        <w:r w:rsidR="002C0E50">
          <w:rPr>
            <w:noProof/>
            <w:webHidden/>
          </w:rPr>
          <w:instrText xml:space="preserve"> PAGEREF _Toc82386374 \h </w:instrText>
        </w:r>
        <w:r w:rsidR="002C0E50">
          <w:rPr>
            <w:noProof/>
            <w:webHidden/>
          </w:rPr>
        </w:r>
        <w:r w:rsidR="002C0E50">
          <w:rPr>
            <w:noProof/>
            <w:webHidden/>
          </w:rPr>
          <w:fldChar w:fldCharType="separate"/>
        </w:r>
        <w:r w:rsidR="00A15698">
          <w:rPr>
            <w:noProof/>
            <w:webHidden/>
          </w:rPr>
          <w:t>136</w:t>
        </w:r>
        <w:r w:rsidR="002C0E50">
          <w:rPr>
            <w:noProof/>
            <w:webHidden/>
          </w:rPr>
          <w:fldChar w:fldCharType="end"/>
        </w:r>
      </w:hyperlink>
    </w:p>
    <w:p w14:paraId="6685502E" w14:textId="0493F6D6" w:rsidR="002C0E50" w:rsidRDefault="00E909AE">
      <w:pPr>
        <w:pStyle w:val="TOC8"/>
        <w:rPr>
          <w:rFonts w:asciiTheme="minorHAnsi" w:eastAsiaTheme="minorEastAsia" w:hAnsiTheme="minorHAnsi" w:cstheme="minorBidi"/>
          <w:noProof/>
          <w:szCs w:val="24"/>
        </w:rPr>
      </w:pPr>
      <w:hyperlink r:id="rId67" w:anchor="_Toc82386375" w:history="1">
        <w:r w:rsidR="002C0E50" w:rsidRPr="00F40DDB">
          <w:rPr>
            <w:rStyle w:val="Hyperlink"/>
            <w:noProof/>
          </w:rPr>
          <w:t>Figure 4.4:</w:t>
        </w:r>
        <w:r w:rsidR="002C0E50">
          <w:rPr>
            <w:rFonts w:asciiTheme="minorHAnsi" w:eastAsiaTheme="minorEastAsia" w:hAnsiTheme="minorHAnsi" w:cstheme="minorBidi"/>
            <w:noProof/>
            <w:szCs w:val="24"/>
          </w:rPr>
          <w:tab/>
        </w:r>
        <w:r w:rsidR="002C0E50" w:rsidRPr="00F40DDB">
          <w:rPr>
            <w:rStyle w:val="Hyperlink"/>
            <w:noProof/>
          </w:rPr>
          <w:t>Percentage of Cattle by Type During 2019/20 Agricultural Year, Tanzania</w:t>
        </w:r>
        <w:r w:rsidR="002C0E50">
          <w:rPr>
            <w:noProof/>
            <w:webHidden/>
          </w:rPr>
          <w:tab/>
        </w:r>
        <w:r w:rsidR="002C0E50">
          <w:rPr>
            <w:noProof/>
            <w:webHidden/>
          </w:rPr>
          <w:fldChar w:fldCharType="begin"/>
        </w:r>
        <w:r w:rsidR="002C0E50">
          <w:rPr>
            <w:noProof/>
            <w:webHidden/>
          </w:rPr>
          <w:instrText xml:space="preserve"> PAGEREF _Toc82386375 \h </w:instrText>
        </w:r>
        <w:r w:rsidR="002C0E50">
          <w:rPr>
            <w:noProof/>
            <w:webHidden/>
          </w:rPr>
        </w:r>
        <w:r w:rsidR="002C0E50">
          <w:rPr>
            <w:noProof/>
            <w:webHidden/>
          </w:rPr>
          <w:fldChar w:fldCharType="separate"/>
        </w:r>
        <w:r w:rsidR="00A15698">
          <w:rPr>
            <w:noProof/>
            <w:webHidden/>
          </w:rPr>
          <w:t>136</w:t>
        </w:r>
        <w:r w:rsidR="002C0E50">
          <w:rPr>
            <w:noProof/>
            <w:webHidden/>
          </w:rPr>
          <w:fldChar w:fldCharType="end"/>
        </w:r>
      </w:hyperlink>
    </w:p>
    <w:p w14:paraId="2361D8BE" w14:textId="010D0E3D" w:rsidR="002C0E50" w:rsidRDefault="00E909AE">
      <w:pPr>
        <w:pStyle w:val="TOC8"/>
        <w:rPr>
          <w:rFonts w:asciiTheme="minorHAnsi" w:eastAsiaTheme="minorEastAsia" w:hAnsiTheme="minorHAnsi" w:cstheme="minorBidi"/>
          <w:noProof/>
          <w:szCs w:val="24"/>
        </w:rPr>
      </w:pPr>
      <w:hyperlink r:id="rId68" w:anchor="_Toc82386376" w:history="1">
        <w:r w:rsidR="002C0E50" w:rsidRPr="00F40DDB">
          <w:rPr>
            <w:rStyle w:val="Hyperlink"/>
            <w:noProof/>
          </w:rPr>
          <w:t>Figure 4.5:</w:t>
        </w:r>
        <w:r w:rsidR="002C0E50">
          <w:rPr>
            <w:rFonts w:asciiTheme="minorHAnsi" w:eastAsiaTheme="minorEastAsia" w:hAnsiTheme="minorHAnsi" w:cstheme="minorBidi"/>
            <w:noProof/>
            <w:szCs w:val="24"/>
          </w:rPr>
          <w:tab/>
        </w:r>
        <w:r w:rsidR="002C0E50" w:rsidRPr="00F40DDB">
          <w:rPr>
            <w:rStyle w:val="Hyperlink"/>
            <w:noProof/>
          </w:rPr>
          <w:t>Indigenous Cattle Population and Average Number of Cattle per Household by Region as of 1</w:t>
        </w:r>
        <w:r w:rsidR="002C0E50" w:rsidRPr="00F40DDB">
          <w:rPr>
            <w:rStyle w:val="Hyperlink"/>
            <w:noProof/>
            <w:vertAlign w:val="superscript"/>
          </w:rPr>
          <w:t>st</w:t>
        </w:r>
        <w:r w:rsidR="002C0E50" w:rsidRPr="00F40DDB">
          <w:rPr>
            <w:rStyle w:val="Hyperlink"/>
            <w:noProof/>
          </w:rPr>
          <w:t xml:space="preserve"> August 2020, Mainland Tanzania</w:t>
        </w:r>
        <w:r w:rsidR="002C0E50">
          <w:rPr>
            <w:noProof/>
            <w:webHidden/>
          </w:rPr>
          <w:tab/>
        </w:r>
        <w:r w:rsidR="002C0E50">
          <w:rPr>
            <w:noProof/>
            <w:webHidden/>
          </w:rPr>
          <w:fldChar w:fldCharType="begin"/>
        </w:r>
        <w:r w:rsidR="002C0E50">
          <w:rPr>
            <w:noProof/>
            <w:webHidden/>
          </w:rPr>
          <w:instrText xml:space="preserve"> PAGEREF _Toc82386376 \h </w:instrText>
        </w:r>
        <w:r w:rsidR="002C0E50">
          <w:rPr>
            <w:noProof/>
            <w:webHidden/>
          </w:rPr>
        </w:r>
        <w:r w:rsidR="002C0E50">
          <w:rPr>
            <w:noProof/>
            <w:webHidden/>
          </w:rPr>
          <w:fldChar w:fldCharType="separate"/>
        </w:r>
        <w:r w:rsidR="00A15698">
          <w:rPr>
            <w:noProof/>
            <w:webHidden/>
          </w:rPr>
          <w:t>137</w:t>
        </w:r>
        <w:r w:rsidR="002C0E50">
          <w:rPr>
            <w:noProof/>
            <w:webHidden/>
          </w:rPr>
          <w:fldChar w:fldCharType="end"/>
        </w:r>
      </w:hyperlink>
    </w:p>
    <w:p w14:paraId="7BC4B74E" w14:textId="1B013BF5" w:rsidR="002C0E50" w:rsidRDefault="00E909AE">
      <w:pPr>
        <w:pStyle w:val="TOC8"/>
        <w:rPr>
          <w:rFonts w:asciiTheme="minorHAnsi" w:eastAsiaTheme="minorEastAsia" w:hAnsiTheme="minorHAnsi" w:cstheme="minorBidi"/>
          <w:noProof/>
          <w:szCs w:val="24"/>
        </w:rPr>
      </w:pPr>
      <w:hyperlink r:id="rId69" w:anchor="_Toc82386377" w:history="1">
        <w:r w:rsidR="002C0E50" w:rsidRPr="00F40DDB">
          <w:rPr>
            <w:rStyle w:val="Hyperlink"/>
            <w:noProof/>
          </w:rPr>
          <w:t>Figure 4.6:</w:t>
        </w:r>
        <w:r w:rsidR="002C0E50">
          <w:rPr>
            <w:rFonts w:asciiTheme="minorHAnsi" w:eastAsiaTheme="minorEastAsia" w:hAnsiTheme="minorHAnsi" w:cstheme="minorBidi"/>
            <w:noProof/>
            <w:szCs w:val="24"/>
          </w:rPr>
          <w:tab/>
        </w:r>
        <w:r w:rsidR="002C0E50" w:rsidRPr="00F40DDB">
          <w:rPr>
            <w:rStyle w:val="Hyperlink"/>
            <w:noProof/>
          </w:rPr>
          <w:t>Indigenous Cattle Population and Average Number of Cattle per Household by Region as of 1</w:t>
        </w:r>
        <w:r w:rsidR="002C0E50" w:rsidRPr="00F40DDB">
          <w:rPr>
            <w:rStyle w:val="Hyperlink"/>
            <w:noProof/>
            <w:vertAlign w:val="superscript"/>
          </w:rPr>
          <w:t>st</w:t>
        </w:r>
        <w:r w:rsidR="002C0E50" w:rsidRPr="00F40DDB">
          <w:rPr>
            <w:rStyle w:val="Hyperlink"/>
            <w:noProof/>
          </w:rPr>
          <w:t xml:space="preserve"> August 2020, Tanzania Zanzibar</w:t>
        </w:r>
        <w:r w:rsidR="002C0E50">
          <w:rPr>
            <w:noProof/>
            <w:webHidden/>
          </w:rPr>
          <w:tab/>
        </w:r>
        <w:r w:rsidR="002C0E50">
          <w:rPr>
            <w:noProof/>
            <w:webHidden/>
          </w:rPr>
          <w:fldChar w:fldCharType="begin"/>
        </w:r>
        <w:r w:rsidR="002C0E50">
          <w:rPr>
            <w:noProof/>
            <w:webHidden/>
          </w:rPr>
          <w:instrText xml:space="preserve"> PAGEREF _Toc82386377 \h </w:instrText>
        </w:r>
        <w:r w:rsidR="002C0E50">
          <w:rPr>
            <w:noProof/>
            <w:webHidden/>
          </w:rPr>
        </w:r>
        <w:r w:rsidR="002C0E50">
          <w:rPr>
            <w:noProof/>
            <w:webHidden/>
          </w:rPr>
          <w:fldChar w:fldCharType="separate"/>
        </w:r>
        <w:r w:rsidR="00A15698">
          <w:rPr>
            <w:noProof/>
            <w:webHidden/>
          </w:rPr>
          <w:t>137</w:t>
        </w:r>
        <w:r w:rsidR="002C0E50">
          <w:rPr>
            <w:noProof/>
            <w:webHidden/>
          </w:rPr>
          <w:fldChar w:fldCharType="end"/>
        </w:r>
      </w:hyperlink>
    </w:p>
    <w:p w14:paraId="44B913B6" w14:textId="73D38FAA" w:rsidR="002C0E50" w:rsidRDefault="00E909AE">
      <w:pPr>
        <w:pStyle w:val="TOC8"/>
        <w:rPr>
          <w:rFonts w:asciiTheme="minorHAnsi" w:eastAsiaTheme="minorEastAsia" w:hAnsiTheme="minorHAnsi" w:cstheme="minorBidi"/>
          <w:noProof/>
          <w:szCs w:val="24"/>
        </w:rPr>
      </w:pPr>
      <w:hyperlink r:id="rId70" w:anchor="_Toc82386378" w:history="1">
        <w:r w:rsidR="002C0E50" w:rsidRPr="00F40DDB">
          <w:rPr>
            <w:rStyle w:val="Hyperlink"/>
            <w:noProof/>
          </w:rPr>
          <w:t>Figure 4.7:</w:t>
        </w:r>
        <w:r w:rsidR="002C0E50">
          <w:rPr>
            <w:rFonts w:asciiTheme="minorHAnsi" w:eastAsiaTheme="minorEastAsia" w:hAnsiTheme="minorHAnsi" w:cstheme="minorBidi"/>
            <w:noProof/>
            <w:szCs w:val="24"/>
          </w:rPr>
          <w:tab/>
        </w:r>
        <w:r w:rsidR="002C0E50" w:rsidRPr="00F40DDB">
          <w:rPr>
            <w:rStyle w:val="Hyperlink"/>
            <w:noProof/>
          </w:rPr>
          <w:t>Number of Improved Cattle by Type and Region as of 1</w:t>
        </w:r>
        <w:r w:rsidR="002C0E50" w:rsidRPr="00F40DDB">
          <w:rPr>
            <w:rStyle w:val="Hyperlink"/>
            <w:noProof/>
            <w:vertAlign w:val="superscript"/>
          </w:rPr>
          <w:t>st</w:t>
        </w:r>
        <w:r w:rsidR="002C0E50" w:rsidRPr="00F40DDB">
          <w:rPr>
            <w:rStyle w:val="Hyperlink"/>
            <w:noProof/>
          </w:rPr>
          <w:t xml:space="preserve"> August 2020, Mainland Tanzania</w:t>
        </w:r>
        <w:r w:rsidR="002C0E50">
          <w:rPr>
            <w:noProof/>
            <w:webHidden/>
          </w:rPr>
          <w:tab/>
        </w:r>
        <w:r w:rsidR="002C0E50">
          <w:rPr>
            <w:noProof/>
            <w:webHidden/>
          </w:rPr>
          <w:fldChar w:fldCharType="begin"/>
        </w:r>
        <w:r w:rsidR="002C0E50">
          <w:rPr>
            <w:noProof/>
            <w:webHidden/>
          </w:rPr>
          <w:instrText xml:space="preserve"> PAGEREF _Toc82386378 \h </w:instrText>
        </w:r>
        <w:r w:rsidR="002C0E50">
          <w:rPr>
            <w:noProof/>
            <w:webHidden/>
          </w:rPr>
        </w:r>
        <w:r w:rsidR="002C0E50">
          <w:rPr>
            <w:noProof/>
            <w:webHidden/>
          </w:rPr>
          <w:fldChar w:fldCharType="separate"/>
        </w:r>
        <w:r w:rsidR="00A15698">
          <w:rPr>
            <w:noProof/>
            <w:webHidden/>
          </w:rPr>
          <w:t>138</w:t>
        </w:r>
        <w:r w:rsidR="002C0E50">
          <w:rPr>
            <w:noProof/>
            <w:webHidden/>
          </w:rPr>
          <w:fldChar w:fldCharType="end"/>
        </w:r>
      </w:hyperlink>
    </w:p>
    <w:p w14:paraId="0B360802" w14:textId="7C915BFF" w:rsidR="002C0E50" w:rsidRDefault="00E909AE">
      <w:pPr>
        <w:pStyle w:val="TOC8"/>
        <w:rPr>
          <w:rFonts w:asciiTheme="minorHAnsi" w:eastAsiaTheme="minorEastAsia" w:hAnsiTheme="minorHAnsi" w:cstheme="minorBidi"/>
          <w:noProof/>
          <w:szCs w:val="24"/>
        </w:rPr>
      </w:pPr>
      <w:hyperlink r:id="rId71" w:anchor="_Toc82386379" w:history="1">
        <w:r w:rsidR="002C0E50" w:rsidRPr="00F40DDB">
          <w:rPr>
            <w:rStyle w:val="Hyperlink"/>
            <w:noProof/>
          </w:rPr>
          <w:t>Figure 4.8:</w:t>
        </w:r>
        <w:r w:rsidR="002C0E50">
          <w:rPr>
            <w:rFonts w:asciiTheme="minorHAnsi" w:eastAsiaTheme="minorEastAsia" w:hAnsiTheme="minorHAnsi" w:cstheme="minorBidi"/>
            <w:noProof/>
            <w:szCs w:val="24"/>
          </w:rPr>
          <w:tab/>
        </w:r>
        <w:r w:rsidR="002C0E50" w:rsidRPr="00F40DDB">
          <w:rPr>
            <w:rStyle w:val="Hyperlink"/>
            <w:noProof/>
          </w:rPr>
          <w:t>Number of Improved Cattle and Average Number per Household by Region During 2019/20 Agricultural Year, Zanzibar</w:t>
        </w:r>
        <w:r w:rsidR="002C0E50">
          <w:rPr>
            <w:noProof/>
            <w:webHidden/>
          </w:rPr>
          <w:tab/>
        </w:r>
        <w:r w:rsidR="002C0E50">
          <w:rPr>
            <w:noProof/>
            <w:webHidden/>
          </w:rPr>
          <w:fldChar w:fldCharType="begin"/>
        </w:r>
        <w:r w:rsidR="002C0E50">
          <w:rPr>
            <w:noProof/>
            <w:webHidden/>
          </w:rPr>
          <w:instrText xml:space="preserve"> PAGEREF _Toc82386379 \h </w:instrText>
        </w:r>
        <w:r w:rsidR="002C0E50">
          <w:rPr>
            <w:noProof/>
            <w:webHidden/>
          </w:rPr>
        </w:r>
        <w:r w:rsidR="002C0E50">
          <w:rPr>
            <w:noProof/>
            <w:webHidden/>
          </w:rPr>
          <w:fldChar w:fldCharType="separate"/>
        </w:r>
        <w:r w:rsidR="00A15698">
          <w:rPr>
            <w:noProof/>
            <w:webHidden/>
          </w:rPr>
          <w:t>138</w:t>
        </w:r>
        <w:r w:rsidR="002C0E50">
          <w:rPr>
            <w:noProof/>
            <w:webHidden/>
          </w:rPr>
          <w:fldChar w:fldCharType="end"/>
        </w:r>
      </w:hyperlink>
    </w:p>
    <w:p w14:paraId="32DDF4DE" w14:textId="18D089A7" w:rsidR="002C0E50" w:rsidRDefault="00E909AE">
      <w:pPr>
        <w:pStyle w:val="TOC8"/>
        <w:rPr>
          <w:rFonts w:asciiTheme="minorHAnsi" w:eastAsiaTheme="minorEastAsia" w:hAnsiTheme="minorHAnsi" w:cstheme="minorBidi"/>
          <w:noProof/>
          <w:szCs w:val="24"/>
        </w:rPr>
      </w:pPr>
      <w:hyperlink r:id="rId72" w:anchor="_Toc82386380" w:history="1">
        <w:r w:rsidR="002C0E50" w:rsidRPr="00F40DDB">
          <w:rPr>
            <w:rStyle w:val="Hyperlink"/>
            <w:noProof/>
          </w:rPr>
          <w:t>Figure 4.9:</w:t>
        </w:r>
        <w:r w:rsidR="002C0E50">
          <w:rPr>
            <w:rFonts w:asciiTheme="minorHAnsi" w:eastAsiaTheme="minorEastAsia" w:hAnsiTheme="minorHAnsi" w:cstheme="minorBidi"/>
            <w:noProof/>
            <w:szCs w:val="24"/>
          </w:rPr>
          <w:tab/>
        </w:r>
        <w:r w:rsidR="002C0E50" w:rsidRPr="00F40DDB">
          <w:rPr>
            <w:rStyle w:val="Hyperlink"/>
            <w:noProof/>
          </w:rPr>
          <w:t>Number of Indigenous Goats and Average Number of Goats per Household by Region as of 1</w:t>
        </w:r>
        <w:r w:rsidR="002C0E50" w:rsidRPr="00F40DDB">
          <w:rPr>
            <w:rStyle w:val="Hyperlink"/>
            <w:noProof/>
            <w:vertAlign w:val="superscript"/>
          </w:rPr>
          <w:t>st</w:t>
        </w:r>
        <w:r w:rsidR="002C0E50" w:rsidRPr="00F40DDB">
          <w:rPr>
            <w:rStyle w:val="Hyperlink"/>
            <w:noProof/>
          </w:rPr>
          <w:t xml:space="preserve"> August 2020, Mainland Tanzania</w:t>
        </w:r>
        <w:r w:rsidR="002C0E50">
          <w:rPr>
            <w:noProof/>
            <w:webHidden/>
          </w:rPr>
          <w:tab/>
        </w:r>
        <w:r w:rsidR="002C0E50">
          <w:rPr>
            <w:noProof/>
            <w:webHidden/>
          </w:rPr>
          <w:fldChar w:fldCharType="begin"/>
        </w:r>
        <w:r w:rsidR="002C0E50">
          <w:rPr>
            <w:noProof/>
            <w:webHidden/>
          </w:rPr>
          <w:instrText xml:space="preserve"> PAGEREF _Toc82386380 \h </w:instrText>
        </w:r>
        <w:r w:rsidR="002C0E50">
          <w:rPr>
            <w:noProof/>
            <w:webHidden/>
          </w:rPr>
        </w:r>
        <w:r w:rsidR="002C0E50">
          <w:rPr>
            <w:noProof/>
            <w:webHidden/>
          </w:rPr>
          <w:fldChar w:fldCharType="separate"/>
        </w:r>
        <w:r w:rsidR="00A15698">
          <w:rPr>
            <w:noProof/>
            <w:webHidden/>
          </w:rPr>
          <w:t>141</w:t>
        </w:r>
        <w:r w:rsidR="002C0E50">
          <w:rPr>
            <w:noProof/>
            <w:webHidden/>
          </w:rPr>
          <w:fldChar w:fldCharType="end"/>
        </w:r>
      </w:hyperlink>
    </w:p>
    <w:p w14:paraId="0807AEB6" w14:textId="3B3D695A" w:rsidR="002C0E50" w:rsidRDefault="00E909AE">
      <w:pPr>
        <w:pStyle w:val="TOC8"/>
        <w:rPr>
          <w:rFonts w:asciiTheme="minorHAnsi" w:eastAsiaTheme="minorEastAsia" w:hAnsiTheme="minorHAnsi" w:cstheme="minorBidi"/>
          <w:noProof/>
          <w:szCs w:val="24"/>
        </w:rPr>
      </w:pPr>
      <w:hyperlink r:id="rId73" w:anchor="_Toc82386381" w:history="1">
        <w:r w:rsidR="002C0E50" w:rsidRPr="00F40DDB">
          <w:rPr>
            <w:rStyle w:val="Hyperlink"/>
            <w:noProof/>
          </w:rPr>
          <w:t>Figure 4.10:</w:t>
        </w:r>
        <w:r w:rsidR="002C0E50">
          <w:rPr>
            <w:rFonts w:asciiTheme="minorHAnsi" w:eastAsiaTheme="minorEastAsia" w:hAnsiTheme="minorHAnsi" w:cstheme="minorBidi"/>
            <w:noProof/>
            <w:szCs w:val="24"/>
          </w:rPr>
          <w:tab/>
        </w:r>
        <w:r w:rsidR="002C0E50" w:rsidRPr="00F40DDB">
          <w:rPr>
            <w:rStyle w:val="Hyperlink"/>
            <w:noProof/>
          </w:rPr>
          <w:t>Number of Indigenous Goats and Average Number per Household by Region as of 1</w:t>
        </w:r>
        <w:r w:rsidR="002C0E50" w:rsidRPr="00F40DDB">
          <w:rPr>
            <w:rStyle w:val="Hyperlink"/>
            <w:noProof/>
            <w:vertAlign w:val="superscript"/>
          </w:rPr>
          <w:t>st</w:t>
        </w:r>
        <w:r w:rsidR="002C0E50" w:rsidRPr="00F40DDB">
          <w:rPr>
            <w:rStyle w:val="Hyperlink"/>
            <w:noProof/>
          </w:rPr>
          <w:t xml:space="preserve"> August 2020, Tanzania Zanzibar</w:t>
        </w:r>
        <w:r w:rsidR="002C0E50">
          <w:rPr>
            <w:noProof/>
            <w:webHidden/>
          </w:rPr>
          <w:tab/>
        </w:r>
        <w:r w:rsidR="002C0E50">
          <w:rPr>
            <w:noProof/>
            <w:webHidden/>
          </w:rPr>
          <w:fldChar w:fldCharType="begin"/>
        </w:r>
        <w:r w:rsidR="002C0E50">
          <w:rPr>
            <w:noProof/>
            <w:webHidden/>
          </w:rPr>
          <w:instrText xml:space="preserve"> PAGEREF _Toc82386381 \h </w:instrText>
        </w:r>
        <w:r w:rsidR="002C0E50">
          <w:rPr>
            <w:noProof/>
            <w:webHidden/>
          </w:rPr>
        </w:r>
        <w:r w:rsidR="002C0E50">
          <w:rPr>
            <w:noProof/>
            <w:webHidden/>
          </w:rPr>
          <w:fldChar w:fldCharType="separate"/>
        </w:r>
        <w:r w:rsidR="00A15698">
          <w:rPr>
            <w:noProof/>
            <w:webHidden/>
          </w:rPr>
          <w:t>142</w:t>
        </w:r>
        <w:r w:rsidR="002C0E50">
          <w:rPr>
            <w:noProof/>
            <w:webHidden/>
          </w:rPr>
          <w:fldChar w:fldCharType="end"/>
        </w:r>
      </w:hyperlink>
    </w:p>
    <w:p w14:paraId="29C6293A" w14:textId="0DABC303" w:rsidR="002C0E50" w:rsidRDefault="00E909AE">
      <w:pPr>
        <w:pStyle w:val="TOC8"/>
        <w:rPr>
          <w:rFonts w:asciiTheme="minorHAnsi" w:eastAsiaTheme="minorEastAsia" w:hAnsiTheme="minorHAnsi" w:cstheme="minorBidi"/>
          <w:noProof/>
          <w:szCs w:val="24"/>
        </w:rPr>
      </w:pPr>
      <w:hyperlink r:id="rId74" w:anchor="_Toc82386382" w:history="1">
        <w:r w:rsidR="002C0E50" w:rsidRPr="00F40DDB">
          <w:rPr>
            <w:rStyle w:val="Hyperlink"/>
            <w:noProof/>
          </w:rPr>
          <w:t>Figure 4.11:</w:t>
        </w:r>
        <w:r w:rsidR="002C0E50" w:rsidRPr="00F40DDB">
          <w:rPr>
            <w:rStyle w:val="Hyperlink"/>
            <w:bCs/>
            <w:noProof/>
            <w:kern w:val="24"/>
            <w:lang w:eastAsia="en-GB"/>
          </w:rPr>
          <w:t xml:space="preserve"> </w:t>
        </w:r>
        <w:r w:rsidR="002C0E50" w:rsidRPr="00F40DDB">
          <w:rPr>
            <w:rStyle w:val="Hyperlink"/>
            <w:noProof/>
          </w:rPr>
          <w:t>Percentage and Types of Improved Goats as of 1</w:t>
        </w:r>
        <w:r w:rsidR="002C0E50" w:rsidRPr="00F40DDB">
          <w:rPr>
            <w:rStyle w:val="Hyperlink"/>
            <w:noProof/>
            <w:vertAlign w:val="superscript"/>
          </w:rPr>
          <w:t>st</w:t>
        </w:r>
        <w:r w:rsidR="002C0E50" w:rsidRPr="00F40DDB">
          <w:rPr>
            <w:rStyle w:val="Hyperlink"/>
            <w:noProof/>
          </w:rPr>
          <w:t xml:space="preserve"> August 2020, Tanzania</w:t>
        </w:r>
        <w:r w:rsidR="002C0E50">
          <w:rPr>
            <w:noProof/>
            <w:webHidden/>
          </w:rPr>
          <w:tab/>
        </w:r>
        <w:r w:rsidR="002C0E50">
          <w:rPr>
            <w:noProof/>
            <w:webHidden/>
          </w:rPr>
          <w:fldChar w:fldCharType="begin"/>
        </w:r>
        <w:r w:rsidR="002C0E50">
          <w:rPr>
            <w:noProof/>
            <w:webHidden/>
          </w:rPr>
          <w:instrText xml:space="preserve"> PAGEREF _Toc82386382 \h </w:instrText>
        </w:r>
        <w:r w:rsidR="002C0E50">
          <w:rPr>
            <w:noProof/>
            <w:webHidden/>
          </w:rPr>
        </w:r>
        <w:r w:rsidR="002C0E50">
          <w:rPr>
            <w:noProof/>
            <w:webHidden/>
          </w:rPr>
          <w:fldChar w:fldCharType="separate"/>
        </w:r>
        <w:r w:rsidR="00A15698">
          <w:rPr>
            <w:noProof/>
            <w:webHidden/>
          </w:rPr>
          <w:t>142</w:t>
        </w:r>
        <w:r w:rsidR="002C0E50">
          <w:rPr>
            <w:noProof/>
            <w:webHidden/>
          </w:rPr>
          <w:fldChar w:fldCharType="end"/>
        </w:r>
      </w:hyperlink>
    </w:p>
    <w:p w14:paraId="322856E2" w14:textId="6D1DD5CA" w:rsidR="002C0E50" w:rsidRDefault="00E909AE">
      <w:pPr>
        <w:pStyle w:val="TOC8"/>
        <w:rPr>
          <w:rFonts w:asciiTheme="minorHAnsi" w:eastAsiaTheme="minorEastAsia" w:hAnsiTheme="minorHAnsi" w:cstheme="minorBidi"/>
          <w:noProof/>
          <w:szCs w:val="24"/>
        </w:rPr>
      </w:pPr>
      <w:hyperlink r:id="rId75" w:anchor="_Toc82386383" w:history="1">
        <w:r w:rsidR="002C0E50" w:rsidRPr="00F40DDB">
          <w:rPr>
            <w:rStyle w:val="Hyperlink"/>
            <w:noProof/>
          </w:rPr>
          <w:t>Figure 4.12:</w:t>
        </w:r>
        <w:r w:rsidR="002C0E50">
          <w:rPr>
            <w:rFonts w:asciiTheme="minorHAnsi" w:eastAsiaTheme="minorEastAsia" w:hAnsiTheme="minorHAnsi" w:cstheme="minorBidi"/>
            <w:noProof/>
            <w:szCs w:val="24"/>
          </w:rPr>
          <w:tab/>
        </w:r>
        <w:r w:rsidR="002C0E50" w:rsidRPr="00F40DDB">
          <w:rPr>
            <w:rStyle w:val="Hyperlink"/>
            <w:noProof/>
          </w:rPr>
          <w:t>Sheep Population and Average Number per Household by Region as of 1</w:t>
        </w:r>
        <w:r w:rsidR="002C0E50" w:rsidRPr="00F40DDB">
          <w:rPr>
            <w:rStyle w:val="Hyperlink"/>
            <w:noProof/>
            <w:vertAlign w:val="superscript"/>
          </w:rPr>
          <w:t>st</w:t>
        </w:r>
        <w:r w:rsidR="002C0E50" w:rsidRPr="00F40DDB">
          <w:rPr>
            <w:rStyle w:val="Hyperlink"/>
            <w:noProof/>
          </w:rPr>
          <w:t xml:space="preserve"> August 2020, Mainland Tanzania</w:t>
        </w:r>
        <w:r w:rsidR="002C0E50">
          <w:rPr>
            <w:noProof/>
            <w:webHidden/>
          </w:rPr>
          <w:tab/>
        </w:r>
        <w:r w:rsidR="002C0E50">
          <w:rPr>
            <w:noProof/>
            <w:webHidden/>
          </w:rPr>
          <w:fldChar w:fldCharType="begin"/>
        </w:r>
        <w:r w:rsidR="002C0E50">
          <w:rPr>
            <w:noProof/>
            <w:webHidden/>
          </w:rPr>
          <w:instrText xml:space="preserve"> PAGEREF _Toc82386383 \h </w:instrText>
        </w:r>
        <w:r w:rsidR="002C0E50">
          <w:rPr>
            <w:noProof/>
            <w:webHidden/>
          </w:rPr>
        </w:r>
        <w:r w:rsidR="002C0E50">
          <w:rPr>
            <w:noProof/>
            <w:webHidden/>
          </w:rPr>
          <w:fldChar w:fldCharType="separate"/>
        </w:r>
        <w:r w:rsidR="00A15698">
          <w:rPr>
            <w:noProof/>
            <w:webHidden/>
          </w:rPr>
          <w:t>143</w:t>
        </w:r>
        <w:r w:rsidR="002C0E50">
          <w:rPr>
            <w:noProof/>
            <w:webHidden/>
          </w:rPr>
          <w:fldChar w:fldCharType="end"/>
        </w:r>
      </w:hyperlink>
    </w:p>
    <w:p w14:paraId="5099FA83" w14:textId="027EE8FC" w:rsidR="002C0E50" w:rsidRDefault="00E909AE">
      <w:pPr>
        <w:pStyle w:val="TOC8"/>
        <w:rPr>
          <w:rFonts w:asciiTheme="minorHAnsi" w:eastAsiaTheme="minorEastAsia" w:hAnsiTheme="minorHAnsi" w:cstheme="minorBidi"/>
          <w:noProof/>
          <w:szCs w:val="24"/>
        </w:rPr>
      </w:pPr>
      <w:hyperlink r:id="rId76" w:anchor="_Toc82386384" w:history="1">
        <w:r w:rsidR="002C0E50" w:rsidRPr="00F40DDB">
          <w:rPr>
            <w:rStyle w:val="Hyperlink"/>
            <w:noProof/>
          </w:rPr>
          <w:t>Figure 4.13:</w:t>
        </w:r>
        <w:r w:rsidR="002C0E50">
          <w:rPr>
            <w:rFonts w:asciiTheme="minorHAnsi" w:eastAsiaTheme="minorEastAsia" w:hAnsiTheme="minorHAnsi" w:cstheme="minorBidi"/>
            <w:noProof/>
            <w:szCs w:val="24"/>
          </w:rPr>
          <w:tab/>
        </w:r>
        <w:r w:rsidR="002C0E50" w:rsidRPr="00F40DDB">
          <w:rPr>
            <w:rStyle w:val="Hyperlink"/>
            <w:noProof/>
          </w:rPr>
          <w:t>Percentage of Sheep Population by Region as of 1</w:t>
        </w:r>
        <w:r w:rsidR="002C0E50" w:rsidRPr="00F40DDB">
          <w:rPr>
            <w:rStyle w:val="Hyperlink"/>
            <w:noProof/>
            <w:vertAlign w:val="superscript"/>
          </w:rPr>
          <w:t>st</w:t>
        </w:r>
        <w:r w:rsidR="002C0E50" w:rsidRPr="00F40DDB">
          <w:rPr>
            <w:rStyle w:val="Hyperlink"/>
            <w:noProof/>
          </w:rPr>
          <w:t xml:space="preserve"> August 2020, Tanzania Zanzibar</w:t>
        </w:r>
        <w:r w:rsidR="002C0E50">
          <w:rPr>
            <w:noProof/>
            <w:webHidden/>
          </w:rPr>
          <w:tab/>
        </w:r>
        <w:r w:rsidR="002C0E50">
          <w:rPr>
            <w:noProof/>
            <w:webHidden/>
          </w:rPr>
          <w:fldChar w:fldCharType="begin"/>
        </w:r>
        <w:r w:rsidR="002C0E50">
          <w:rPr>
            <w:noProof/>
            <w:webHidden/>
          </w:rPr>
          <w:instrText xml:space="preserve"> PAGEREF _Toc82386384 \h </w:instrText>
        </w:r>
        <w:r w:rsidR="002C0E50">
          <w:rPr>
            <w:noProof/>
            <w:webHidden/>
          </w:rPr>
        </w:r>
        <w:r w:rsidR="002C0E50">
          <w:rPr>
            <w:noProof/>
            <w:webHidden/>
          </w:rPr>
          <w:fldChar w:fldCharType="separate"/>
        </w:r>
        <w:r w:rsidR="00A15698">
          <w:rPr>
            <w:noProof/>
            <w:webHidden/>
          </w:rPr>
          <w:t>143</w:t>
        </w:r>
        <w:r w:rsidR="002C0E50">
          <w:rPr>
            <w:noProof/>
            <w:webHidden/>
          </w:rPr>
          <w:fldChar w:fldCharType="end"/>
        </w:r>
      </w:hyperlink>
    </w:p>
    <w:p w14:paraId="3E2C4856" w14:textId="3B5D5F4F" w:rsidR="002C0E50" w:rsidRDefault="00E909AE">
      <w:pPr>
        <w:pStyle w:val="TOC8"/>
        <w:rPr>
          <w:rFonts w:asciiTheme="minorHAnsi" w:eastAsiaTheme="minorEastAsia" w:hAnsiTheme="minorHAnsi" w:cstheme="minorBidi"/>
          <w:noProof/>
          <w:szCs w:val="24"/>
        </w:rPr>
      </w:pPr>
      <w:hyperlink r:id="rId77" w:anchor="_Toc82386385" w:history="1">
        <w:r w:rsidR="002C0E50" w:rsidRPr="00F40DDB">
          <w:rPr>
            <w:rStyle w:val="Hyperlink"/>
            <w:noProof/>
          </w:rPr>
          <w:t>Figure 4.14:</w:t>
        </w:r>
        <w:r w:rsidR="002C0E50">
          <w:rPr>
            <w:rFonts w:asciiTheme="minorHAnsi" w:eastAsiaTheme="minorEastAsia" w:hAnsiTheme="minorHAnsi" w:cstheme="minorBidi"/>
            <w:noProof/>
            <w:szCs w:val="24"/>
          </w:rPr>
          <w:tab/>
        </w:r>
        <w:r w:rsidR="002C0E50" w:rsidRPr="00F40DDB">
          <w:rPr>
            <w:rStyle w:val="Hyperlink"/>
            <w:noProof/>
          </w:rPr>
          <w:t>Number of Households Rearing Pigs and Number of Pigs by Herd Size During 2019/20 Agricultural Year, Tanzania</w:t>
        </w:r>
        <w:r w:rsidR="002C0E50">
          <w:rPr>
            <w:noProof/>
            <w:webHidden/>
          </w:rPr>
          <w:tab/>
        </w:r>
        <w:r w:rsidR="002C0E50">
          <w:rPr>
            <w:noProof/>
            <w:webHidden/>
          </w:rPr>
          <w:fldChar w:fldCharType="begin"/>
        </w:r>
        <w:r w:rsidR="002C0E50">
          <w:rPr>
            <w:noProof/>
            <w:webHidden/>
          </w:rPr>
          <w:instrText xml:space="preserve"> PAGEREF _Toc82386385 \h </w:instrText>
        </w:r>
        <w:r w:rsidR="002C0E50">
          <w:rPr>
            <w:noProof/>
            <w:webHidden/>
          </w:rPr>
        </w:r>
        <w:r w:rsidR="002C0E50">
          <w:rPr>
            <w:noProof/>
            <w:webHidden/>
          </w:rPr>
          <w:fldChar w:fldCharType="separate"/>
        </w:r>
        <w:r w:rsidR="00A15698">
          <w:rPr>
            <w:noProof/>
            <w:webHidden/>
          </w:rPr>
          <w:t>146</w:t>
        </w:r>
        <w:r w:rsidR="002C0E50">
          <w:rPr>
            <w:noProof/>
            <w:webHidden/>
          </w:rPr>
          <w:fldChar w:fldCharType="end"/>
        </w:r>
      </w:hyperlink>
    </w:p>
    <w:p w14:paraId="43DFCF6D" w14:textId="07FCDA35" w:rsidR="002C0E50" w:rsidRDefault="00E909AE">
      <w:pPr>
        <w:pStyle w:val="TOC8"/>
        <w:rPr>
          <w:rFonts w:asciiTheme="minorHAnsi" w:eastAsiaTheme="minorEastAsia" w:hAnsiTheme="minorHAnsi" w:cstheme="minorBidi"/>
          <w:noProof/>
          <w:szCs w:val="24"/>
        </w:rPr>
      </w:pPr>
      <w:hyperlink r:id="rId78" w:anchor="_Toc82386386" w:history="1">
        <w:r w:rsidR="002C0E50" w:rsidRPr="00F40DDB">
          <w:rPr>
            <w:rStyle w:val="Hyperlink"/>
            <w:noProof/>
          </w:rPr>
          <w:t>Figure 4.15:</w:t>
        </w:r>
        <w:r w:rsidR="002C0E50">
          <w:rPr>
            <w:rFonts w:asciiTheme="minorHAnsi" w:eastAsiaTheme="minorEastAsia" w:hAnsiTheme="minorHAnsi" w:cstheme="minorBidi"/>
            <w:noProof/>
            <w:szCs w:val="24"/>
          </w:rPr>
          <w:tab/>
        </w:r>
        <w:r w:rsidR="002C0E50" w:rsidRPr="00F40DDB">
          <w:rPr>
            <w:rStyle w:val="Hyperlink"/>
            <w:noProof/>
          </w:rPr>
          <w:t>Number of Agricultural Households Rearing Pigs by Herd size During the 2019/20 Agricultural Year in Mainland Tanzania</w:t>
        </w:r>
        <w:r w:rsidR="002C0E50">
          <w:rPr>
            <w:noProof/>
            <w:webHidden/>
          </w:rPr>
          <w:tab/>
        </w:r>
        <w:r w:rsidR="002C0E50">
          <w:rPr>
            <w:noProof/>
            <w:webHidden/>
          </w:rPr>
          <w:fldChar w:fldCharType="begin"/>
        </w:r>
        <w:r w:rsidR="002C0E50">
          <w:rPr>
            <w:noProof/>
            <w:webHidden/>
          </w:rPr>
          <w:instrText xml:space="preserve"> PAGEREF _Toc82386386 \h </w:instrText>
        </w:r>
        <w:r w:rsidR="002C0E50">
          <w:rPr>
            <w:noProof/>
            <w:webHidden/>
          </w:rPr>
        </w:r>
        <w:r w:rsidR="002C0E50">
          <w:rPr>
            <w:noProof/>
            <w:webHidden/>
          </w:rPr>
          <w:fldChar w:fldCharType="separate"/>
        </w:r>
        <w:r w:rsidR="00A15698">
          <w:rPr>
            <w:noProof/>
            <w:webHidden/>
          </w:rPr>
          <w:t>146</w:t>
        </w:r>
        <w:r w:rsidR="002C0E50">
          <w:rPr>
            <w:noProof/>
            <w:webHidden/>
          </w:rPr>
          <w:fldChar w:fldCharType="end"/>
        </w:r>
      </w:hyperlink>
    </w:p>
    <w:p w14:paraId="7C256DAC" w14:textId="1B0F0EE2" w:rsidR="002C0E50" w:rsidRDefault="00E909AE">
      <w:pPr>
        <w:pStyle w:val="TOC8"/>
        <w:rPr>
          <w:rFonts w:asciiTheme="minorHAnsi" w:eastAsiaTheme="minorEastAsia" w:hAnsiTheme="minorHAnsi" w:cstheme="minorBidi"/>
          <w:noProof/>
          <w:szCs w:val="24"/>
        </w:rPr>
      </w:pPr>
      <w:hyperlink w:anchor="_Toc82386387" w:history="1">
        <w:r w:rsidR="002C0E50" w:rsidRPr="00F40DDB">
          <w:rPr>
            <w:rStyle w:val="Hyperlink"/>
            <w:noProof/>
            <w:lang w:val="en-GB"/>
          </w:rPr>
          <w:t>Figure 4.16:</w:t>
        </w:r>
        <w:r w:rsidR="002C0E50">
          <w:rPr>
            <w:rFonts w:asciiTheme="minorHAnsi" w:eastAsiaTheme="minorEastAsia" w:hAnsiTheme="minorHAnsi" w:cstheme="minorBidi"/>
            <w:noProof/>
            <w:szCs w:val="24"/>
          </w:rPr>
          <w:tab/>
        </w:r>
        <w:r w:rsidR="002C0E50" w:rsidRPr="00F40DDB">
          <w:rPr>
            <w:rStyle w:val="Hyperlink"/>
            <w:noProof/>
            <w:lang w:val="en-GB"/>
          </w:rPr>
          <w:t>Percentage Distribution of Households Raising Chicken by Region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_Toc82386387 \h </w:instrText>
        </w:r>
        <w:r w:rsidR="002C0E50">
          <w:rPr>
            <w:noProof/>
            <w:webHidden/>
          </w:rPr>
        </w:r>
        <w:r w:rsidR="002C0E50">
          <w:rPr>
            <w:noProof/>
            <w:webHidden/>
          </w:rPr>
          <w:fldChar w:fldCharType="separate"/>
        </w:r>
        <w:r w:rsidR="00A15698">
          <w:rPr>
            <w:noProof/>
            <w:webHidden/>
          </w:rPr>
          <w:t>147</w:t>
        </w:r>
        <w:r w:rsidR="002C0E50">
          <w:rPr>
            <w:noProof/>
            <w:webHidden/>
          </w:rPr>
          <w:fldChar w:fldCharType="end"/>
        </w:r>
      </w:hyperlink>
    </w:p>
    <w:p w14:paraId="42ED60F6" w14:textId="350BCFCC" w:rsidR="002C0E50" w:rsidRDefault="00E909AE">
      <w:pPr>
        <w:pStyle w:val="TOC8"/>
        <w:rPr>
          <w:rFonts w:asciiTheme="minorHAnsi" w:eastAsiaTheme="minorEastAsia" w:hAnsiTheme="minorHAnsi" w:cstheme="minorBidi"/>
          <w:noProof/>
          <w:szCs w:val="24"/>
        </w:rPr>
      </w:pPr>
      <w:hyperlink w:anchor="_Toc82386388" w:history="1">
        <w:r w:rsidR="002C0E50" w:rsidRPr="00F40DDB">
          <w:rPr>
            <w:rStyle w:val="Hyperlink"/>
            <w:noProof/>
            <w:lang w:val="en-GB"/>
          </w:rPr>
          <w:t>Figure 4.17:</w:t>
        </w:r>
        <w:r w:rsidR="002C0E50">
          <w:rPr>
            <w:rFonts w:asciiTheme="minorHAnsi" w:eastAsiaTheme="minorEastAsia" w:hAnsiTheme="minorHAnsi" w:cstheme="minorBidi"/>
            <w:noProof/>
            <w:szCs w:val="24"/>
          </w:rPr>
          <w:tab/>
        </w:r>
        <w:r w:rsidR="002C0E50" w:rsidRPr="00F40DDB">
          <w:rPr>
            <w:rStyle w:val="Hyperlink"/>
            <w:noProof/>
            <w:lang w:val="en-GB"/>
          </w:rPr>
          <w:t>Percentage Distribution of Households Raising Chicken by Region 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_Toc82386388 \h </w:instrText>
        </w:r>
        <w:r w:rsidR="002C0E50">
          <w:rPr>
            <w:noProof/>
            <w:webHidden/>
          </w:rPr>
        </w:r>
        <w:r w:rsidR="002C0E50">
          <w:rPr>
            <w:noProof/>
            <w:webHidden/>
          </w:rPr>
          <w:fldChar w:fldCharType="separate"/>
        </w:r>
        <w:r w:rsidR="00A15698">
          <w:rPr>
            <w:noProof/>
            <w:webHidden/>
          </w:rPr>
          <w:t>147</w:t>
        </w:r>
        <w:r w:rsidR="002C0E50">
          <w:rPr>
            <w:noProof/>
            <w:webHidden/>
          </w:rPr>
          <w:fldChar w:fldCharType="end"/>
        </w:r>
      </w:hyperlink>
    </w:p>
    <w:p w14:paraId="27AD926A" w14:textId="3A22AB43" w:rsidR="002C0E50" w:rsidRDefault="00E909AE">
      <w:pPr>
        <w:pStyle w:val="TOC8"/>
        <w:rPr>
          <w:rFonts w:asciiTheme="minorHAnsi" w:eastAsiaTheme="minorEastAsia" w:hAnsiTheme="minorHAnsi" w:cstheme="minorBidi"/>
          <w:noProof/>
          <w:szCs w:val="24"/>
        </w:rPr>
      </w:pPr>
      <w:hyperlink r:id="rId79" w:anchor="_Toc82386389" w:history="1">
        <w:r w:rsidR="002C0E50" w:rsidRPr="00F40DDB">
          <w:rPr>
            <w:rStyle w:val="Hyperlink"/>
            <w:noProof/>
          </w:rPr>
          <w:t>Figure 4.18</w:t>
        </w:r>
        <w:r w:rsidR="002C0E50">
          <w:rPr>
            <w:rFonts w:asciiTheme="minorHAnsi" w:eastAsiaTheme="minorEastAsia" w:hAnsiTheme="minorHAnsi" w:cstheme="minorBidi"/>
            <w:noProof/>
            <w:szCs w:val="24"/>
          </w:rPr>
          <w:tab/>
        </w:r>
        <w:r w:rsidR="002C0E50" w:rsidRPr="00F40DDB">
          <w:rPr>
            <w:rStyle w:val="Hyperlink"/>
            <w:noProof/>
          </w:rPr>
          <w:t>Percentage Distribution of Chicken from Smallholder Farmers and Large Scale Farms as of 1st August 2020, Tanzania</w:t>
        </w:r>
        <w:r w:rsidR="002C0E50">
          <w:rPr>
            <w:noProof/>
            <w:webHidden/>
          </w:rPr>
          <w:tab/>
        </w:r>
        <w:r w:rsidR="002C0E50">
          <w:rPr>
            <w:noProof/>
            <w:webHidden/>
          </w:rPr>
          <w:fldChar w:fldCharType="begin"/>
        </w:r>
        <w:r w:rsidR="002C0E50">
          <w:rPr>
            <w:noProof/>
            <w:webHidden/>
          </w:rPr>
          <w:instrText xml:space="preserve"> PAGEREF _Toc82386389 \h </w:instrText>
        </w:r>
        <w:r w:rsidR="002C0E50">
          <w:rPr>
            <w:noProof/>
            <w:webHidden/>
          </w:rPr>
        </w:r>
        <w:r w:rsidR="002C0E50">
          <w:rPr>
            <w:noProof/>
            <w:webHidden/>
          </w:rPr>
          <w:fldChar w:fldCharType="separate"/>
        </w:r>
        <w:r w:rsidR="00A15698">
          <w:rPr>
            <w:noProof/>
            <w:webHidden/>
          </w:rPr>
          <w:t>148</w:t>
        </w:r>
        <w:r w:rsidR="002C0E50">
          <w:rPr>
            <w:noProof/>
            <w:webHidden/>
          </w:rPr>
          <w:fldChar w:fldCharType="end"/>
        </w:r>
      </w:hyperlink>
    </w:p>
    <w:p w14:paraId="48D6A634" w14:textId="291B9FC0" w:rsidR="002C0E50" w:rsidRDefault="00E909AE">
      <w:pPr>
        <w:pStyle w:val="TOC8"/>
        <w:rPr>
          <w:rFonts w:asciiTheme="minorHAnsi" w:eastAsiaTheme="minorEastAsia" w:hAnsiTheme="minorHAnsi" w:cstheme="minorBidi"/>
          <w:noProof/>
          <w:szCs w:val="24"/>
        </w:rPr>
      </w:pPr>
      <w:hyperlink r:id="rId80" w:anchor="_Toc82386390" w:history="1">
        <w:r w:rsidR="002C0E50" w:rsidRPr="00F40DDB">
          <w:rPr>
            <w:rStyle w:val="Hyperlink"/>
            <w:noProof/>
          </w:rPr>
          <w:t>Figure 4.19:</w:t>
        </w:r>
        <w:r w:rsidR="002C0E50">
          <w:rPr>
            <w:rFonts w:asciiTheme="minorHAnsi" w:eastAsiaTheme="minorEastAsia" w:hAnsiTheme="minorHAnsi" w:cstheme="minorBidi"/>
            <w:noProof/>
            <w:szCs w:val="24"/>
          </w:rPr>
          <w:tab/>
        </w:r>
        <w:r w:rsidR="002C0E50" w:rsidRPr="00F40DDB">
          <w:rPr>
            <w:rStyle w:val="Hyperlink"/>
            <w:noProof/>
          </w:rPr>
          <w:t>Percentage Distribution of Chicken by Type as of 1st August 2020, Mainland Tanzania</w:t>
        </w:r>
        <w:r w:rsidR="002C0E50">
          <w:rPr>
            <w:noProof/>
            <w:webHidden/>
          </w:rPr>
          <w:tab/>
        </w:r>
        <w:r w:rsidR="002C0E50">
          <w:rPr>
            <w:noProof/>
            <w:webHidden/>
          </w:rPr>
          <w:fldChar w:fldCharType="begin"/>
        </w:r>
        <w:r w:rsidR="002C0E50">
          <w:rPr>
            <w:noProof/>
            <w:webHidden/>
          </w:rPr>
          <w:instrText xml:space="preserve"> PAGEREF _Toc82386390 \h </w:instrText>
        </w:r>
        <w:r w:rsidR="002C0E50">
          <w:rPr>
            <w:noProof/>
            <w:webHidden/>
          </w:rPr>
        </w:r>
        <w:r w:rsidR="002C0E50">
          <w:rPr>
            <w:noProof/>
            <w:webHidden/>
          </w:rPr>
          <w:fldChar w:fldCharType="separate"/>
        </w:r>
        <w:r w:rsidR="00A15698">
          <w:rPr>
            <w:noProof/>
            <w:webHidden/>
          </w:rPr>
          <w:t>148</w:t>
        </w:r>
        <w:r w:rsidR="002C0E50">
          <w:rPr>
            <w:noProof/>
            <w:webHidden/>
          </w:rPr>
          <w:fldChar w:fldCharType="end"/>
        </w:r>
      </w:hyperlink>
    </w:p>
    <w:p w14:paraId="6DB2ED7B" w14:textId="6E93BEB4" w:rsidR="002C0E50" w:rsidRDefault="00E909AE">
      <w:pPr>
        <w:pStyle w:val="TOC8"/>
        <w:rPr>
          <w:rFonts w:asciiTheme="minorHAnsi" w:eastAsiaTheme="minorEastAsia" w:hAnsiTheme="minorHAnsi" w:cstheme="minorBidi"/>
          <w:noProof/>
          <w:szCs w:val="24"/>
        </w:rPr>
      </w:pPr>
      <w:hyperlink r:id="rId81" w:anchor="_Toc82386391" w:history="1">
        <w:r w:rsidR="002C0E50" w:rsidRPr="00F40DDB">
          <w:rPr>
            <w:rStyle w:val="Hyperlink"/>
            <w:noProof/>
          </w:rPr>
          <w:t>Figure 4.20:</w:t>
        </w:r>
        <w:r w:rsidR="002C0E50">
          <w:rPr>
            <w:rFonts w:asciiTheme="minorHAnsi" w:eastAsiaTheme="minorEastAsia" w:hAnsiTheme="minorHAnsi" w:cstheme="minorBidi"/>
            <w:noProof/>
            <w:szCs w:val="24"/>
          </w:rPr>
          <w:tab/>
        </w:r>
        <w:r w:rsidR="002C0E50" w:rsidRPr="00F40DDB">
          <w:rPr>
            <w:rStyle w:val="Hyperlink"/>
            <w:noProof/>
          </w:rPr>
          <w:t>Percentage Distribution of Chicken by Type as of 1st August 2020, Tanzania Zanzibar</w:t>
        </w:r>
        <w:r w:rsidR="002C0E50">
          <w:rPr>
            <w:noProof/>
            <w:webHidden/>
          </w:rPr>
          <w:tab/>
        </w:r>
        <w:r w:rsidR="002C0E50">
          <w:rPr>
            <w:noProof/>
            <w:webHidden/>
          </w:rPr>
          <w:fldChar w:fldCharType="begin"/>
        </w:r>
        <w:r w:rsidR="002C0E50">
          <w:rPr>
            <w:noProof/>
            <w:webHidden/>
          </w:rPr>
          <w:instrText xml:space="preserve"> PAGEREF _Toc82386391 \h </w:instrText>
        </w:r>
        <w:r w:rsidR="002C0E50">
          <w:rPr>
            <w:noProof/>
            <w:webHidden/>
          </w:rPr>
        </w:r>
        <w:r w:rsidR="002C0E50">
          <w:rPr>
            <w:noProof/>
            <w:webHidden/>
          </w:rPr>
          <w:fldChar w:fldCharType="separate"/>
        </w:r>
        <w:r w:rsidR="00A15698">
          <w:rPr>
            <w:noProof/>
            <w:webHidden/>
          </w:rPr>
          <w:t>148</w:t>
        </w:r>
        <w:r w:rsidR="002C0E50">
          <w:rPr>
            <w:noProof/>
            <w:webHidden/>
          </w:rPr>
          <w:fldChar w:fldCharType="end"/>
        </w:r>
      </w:hyperlink>
    </w:p>
    <w:p w14:paraId="2DCD3C5A" w14:textId="0CFC91F4" w:rsidR="002C0E50" w:rsidRDefault="00E909AE">
      <w:pPr>
        <w:pStyle w:val="TOC8"/>
        <w:rPr>
          <w:noProof/>
        </w:rPr>
      </w:pPr>
      <w:hyperlink r:id="rId82" w:anchor="_Toc82386393" w:history="1">
        <w:r w:rsidR="002C0E50" w:rsidRPr="00F40DDB">
          <w:rPr>
            <w:rStyle w:val="Hyperlink"/>
            <w:noProof/>
          </w:rPr>
          <w:t>Figure 4.21:</w:t>
        </w:r>
        <w:r w:rsidR="002C0E50">
          <w:rPr>
            <w:rFonts w:asciiTheme="minorHAnsi" w:eastAsiaTheme="minorEastAsia" w:hAnsiTheme="minorHAnsi" w:cstheme="minorBidi"/>
            <w:noProof/>
            <w:szCs w:val="24"/>
          </w:rPr>
          <w:tab/>
        </w:r>
        <w:r w:rsidR="002C0E50" w:rsidRPr="00F40DDB">
          <w:rPr>
            <w:rStyle w:val="Hyperlink"/>
            <w:noProof/>
          </w:rPr>
          <w:t>Percentage Distribution of Improved Chicken as of 1st August 2020, Mainland Tanzania</w:t>
        </w:r>
        <w:r w:rsidR="002C0E50">
          <w:rPr>
            <w:noProof/>
            <w:webHidden/>
          </w:rPr>
          <w:tab/>
        </w:r>
        <w:r w:rsidR="002C0E50">
          <w:rPr>
            <w:noProof/>
            <w:webHidden/>
          </w:rPr>
          <w:fldChar w:fldCharType="begin"/>
        </w:r>
        <w:r w:rsidR="002C0E50">
          <w:rPr>
            <w:noProof/>
            <w:webHidden/>
          </w:rPr>
          <w:instrText xml:space="preserve"> PAGEREF _Toc82386393 \h </w:instrText>
        </w:r>
        <w:r w:rsidR="002C0E50">
          <w:rPr>
            <w:noProof/>
            <w:webHidden/>
          </w:rPr>
        </w:r>
        <w:r w:rsidR="002C0E50">
          <w:rPr>
            <w:noProof/>
            <w:webHidden/>
          </w:rPr>
          <w:fldChar w:fldCharType="separate"/>
        </w:r>
        <w:r w:rsidR="00A15698">
          <w:rPr>
            <w:noProof/>
            <w:webHidden/>
          </w:rPr>
          <w:t>152</w:t>
        </w:r>
        <w:r w:rsidR="002C0E50">
          <w:rPr>
            <w:noProof/>
            <w:webHidden/>
          </w:rPr>
          <w:fldChar w:fldCharType="end"/>
        </w:r>
      </w:hyperlink>
    </w:p>
    <w:p w14:paraId="2F3AD8F7" w14:textId="26E520FE" w:rsidR="00940E4C" w:rsidRDefault="00E909AE" w:rsidP="00940E4C">
      <w:pPr>
        <w:pStyle w:val="TOC8"/>
        <w:rPr>
          <w:rFonts w:asciiTheme="minorHAnsi" w:eastAsiaTheme="minorEastAsia" w:hAnsiTheme="minorHAnsi" w:cstheme="minorBidi"/>
          <w:noProof/>
          <w:szCs w:val="24"/>
        </w:rPr>
      </w:pPr>
      <w:hyperlink r:id="rId83" w:anchor="_Toc82386392" w:history="1">
        <w:r w:rsidR="00940E4C" w:rsidRPr="00F40DDB">
          <w:rPr>
            <w:rStyle w:val="Hyperlink"/>
            <w:noProof/>
          </w:rPr>
          <w:t>Figure 4.22:</w:t>
        </w:r>
        <w:r w:rsidR="00940E4C">
          <w:rPr>
            <w:rFonts w:asciiTheme="minorHAnsi" w:eastAsiaTheme="minorEastAsia" w:hAnsiTheme="minorHAnsi" w:cstheme="minorBidi"/>
            <w:noProof/>
            <w:szCs w:val="24"/>
          </w:rPr>
          <w:tab/>
        </w:r>
        <w:r w:rsidR="00940E4C" w:rsidRPr="00F40DDB">
          <w:rPr>
            <w:rStyle w:val="Hyperlink"/>
            <w:noProof/>
          </w:rPr>
          <w:t>Percentage Distribution of Improved Chicken as of 1st August 2020, Tanzania Zanzibar</w:t>
        </w:r>
        <w:r w:rsidR="00940E4C">
          <w:rPr>
            <w:noProof/>
            <w:webHidden/>
          </w:rPr>
          <w:tab/>
        </w:r>
        <w:r w:rsidR="00940E4C">
          <w:rPr>
            <w:noProof/>
            <w:webHidden/>
          </w:rPr>
          <w:fldChar w:fldCharType="begin"/>
        </w:r>
        <w:r w:rsidR="00940E4C">
          <w:rPr>
            <w:noProof/>
            <w:webHidden/>
          </w:rPr>
          <w:instrText xml:space="preserve"> PAGEREF _Toc82386392 \h </w:instrText>
        </w:r>
        <w:r w:rsidR="00940E4C">
          <w:rPr>
            <w:noProof/>
            <w:webHidden/>
          </w:rPr>
        </w:r>
        <w:r w:rsidR="00940E4C">
          <w:rPr>
            <w:noProof/>
            <w:webHidden/>
          </w:rPr>
          <w:fldChar w:fldCharType="separate"/>
        </w:r>
        <w:r w:rsidR="00A15698">
          <w:rPr>
            <w:noProof/>
            <w:webHidden/>
          </w:rPr>
          <w:t>152</w:t>
        </w:r>
        <w:r w:rsidR="00940E4C">
          <w:rPr>
            <w:noProof/>
            <w:webHidden/>
          </w:rPr>
          <w:fldChar w:fldCharType="end"/>
        </w:r>
      </w:hyperlink>
    </w:p>
    <w:p w14:paraId="3591230F" w14:textId="197F9E00" w:rsidR="002C0E50" w:rsidRDefault="00E909AE">
      <w:pPr>
        <w:pStyle w:val="TOC8"/>
        <w:rPr>
          <w:rFonts w:asciiTheme="minorHAnsi" w:eastAsiaTheme="minorEastAsia" w:hAnsiTheme="minorHAnsi" w:cstheme="minorBidi"/>
          <w:noProof/>
          <w:szCs w:val="24"/>
        </w:rPr>
      </w:pPr>
      <w:hyperlink w:anchor="_Toc82386394" w:history="1">
        <w:r w:rsidR="002C0E50" w:rsidRPr="00F40DDB">
          <w:rPr>
            <w:rStyle w:val="Hyperlink"/>
            <w:noProof/>
          </w:rPr>
          <w:t>Figure 4.23:</w:t>
        </w:r>
        <w:r w:rsidR="002C0E50">
          <w:rPr>
            <w:rFonts w:asciiTheme="minorHAnsi" w:eastAsiaTheme="minorEastAsia" w:hAnsiTheme="minorHAnsi" w:cstheme="minorBidi"/>
            <w:noProof/>
            <w:szCs w:val="24"/>
          </w:rPr>
          <w:tab/>
        </w:r>
        <w:r w:rsidR="002C0E50" w:rsidRPr="00F40DDB">
          <w:rPr>
            <w:rStyle w:val="Hyperlink"/>
            <w:noProof/>
          </w:rPr>
          <w:t>Trend for Improved Chicken Population in 2002/03, 2007/08 and 2019/20 Agricultural Censuses, Tanzania</w:t>
        </w:r>
        <w:r w:rsidR="002C0E50">
          <w:rPr>
            <w:noProof/>
            <w:webHidden/>
          </w:rPr>
          <w:tab/>
        </w:r>
        <w:r w:rsidR="002C0E50">
          <w:rPr>
            <w:noProof/>
            <w:webHidden/>
          </w:rPr>
          <w:fldChar w:fldCharType="begin"/>
        </w:r>
        <w:r w:rsidR="002C0E50">
          <w:rPr>
            <w:noProof/>
            <w:webHidden/>
          </w:rPr>
          <w:instrText xml:space="preserve"> PAGEREF _Toc82386394 \h </w:instrText>
        </w:r>
        <w:r w:rsidR="002C0E50">
          <w:rPr>
            <w:noProof/>
            <w:webHidden/>
          </w:rPr>
        </w:r>
        <w:r w:rsidR="002C0E50">
          <w:rPr>
            <w:noProof/>
            <w:webHidden/>
          </w:rPr>
          <w:fldChar w:fldCharType="separate"/>
        </w:r>
        <w:r w:rsidR="00A15698">
          <w:rPr>
            <w:noProof/>
            <w:webHidden/>
          </w:rPr>
          <w:t>155</w:t>
        </w:r>
        <w:r w:rsidR="002C0E50">
          <w:rPr>
            <w:noProof/>
            <w:webHidden/>
          </w:rPr>
          <w:fldChar w:fldCharType="end"/>
        </w:r>
      </w:hyperlink>
    </w:p>
    <w:p w14:paraId="1BFAD28A" w14:textId="7223F819" w:rsidR="002C0E50" w:rsidRDefault="00E909AE">
      <w:pPr>
        <w:pStyle w:val="TOC8"/>
        <w:rPr>
          <w:rFonts w:asciiTheme="minorHAnsi" w:eastAsiaTheme="minorEastAsia" w:hAnsiTheme="minorHAnsi" w:cstheme="minorBidi"/>
          <w:noProof/>
          <w:szCs w:val="24"/>
        </w:rPr>
      </w:pPr>
      <w:hyperlink r:id="rId84" w:anchor="_Toc82386395" w:history="1">
        <w:r w:rsidR="002C0E50" w:rsidRPr="00F40DDB">
          <w:rPr>
            <w:rStyle w:val="Hyperlink"/>
            <w:noProof/>
          </w:rPr>
          <w:t>Figure 4.24:</w:t>
        </w:r>
        <w:r w:rsidR="002C0E50">
          <w:rPr>
            <w:rFonts w:asciiTheme="minorHAnsi" w:eastAsiaTheme="minorEastAsia" w:hAnsiTheme="minorHAnsi" w:cstheme="minorBidi"/>
            <w:noProof/>
            <w:szCs w:val="24"/>
          </w:rPr>
          <w:tab/>
        </w:r>
        <w:r w:rsidR="002C0E50" w:rsidRPr="00F40DDB">
          <w:rPr>
            <w:rStyle w:val="Hyperlink"/>
            <w:noProof/>
          </w:rPr>
          <w:t>Percentage Distribution of Other Poultry Population as of 1</w:t>
        </w:r>
        <w:r w:rsidR="002C0E50" w:rsidRPr="00F40DDB">
          <w:rPr>
            <w:rStyle w:val="Hyperlink"/>
            <w:noProof/>
            <w:vertAlign w:val="superscript"/>
          </w:rPr>
          <w:t>st</w:t>
        </w:r>
        <w:r w:rsidR="002C0E50" w:rsidRPr="00F40DDB">
          <w:rPr>
            <w:rStyle w:val="Hyperlink"/>
            <w:noProof/>
          </w:rPr>
          <w:t xml:space="preserve"> August 2020, Mainland Tanzania</w:t>
        </w:r>
        <w:r w:rsidR="002C0E50">
          <w:rPr>
            <w:noProof/>
            <w:webHidden/>
          </w:rPr>
          <w:tab/>
        </w:r>
        <w:r w:rsidR="002C0E50">
          <w:rPr>
            <w:noProof/>
            <w:webHidden/>
          </w:rPr>
          <w:fldChar w:fldCharType="begin"/>
        </w:r>
        <w:r w:rsidR="002C0E50">
          <w:rPr>
            <w:noProof/>
            <w:webHidden/>
          </w:rPr>
          <w:instrText xml:space="preserve"> PAGEREF _Toc82386395 \h </w:instrText>
        </w:r>
        <w:r w:rsidR="002C0E50">
          <w:rPr>
            <w:noProof/>
            <w:webHidden/>
          </w:rPr>
        </w:r>
        <w:r w:rsidR="002C0E50">
          <w:rPr>
            <w:noProof/>
            <w:webHidden/>
          </w:rPr>
          <w:fldChar w:fldCharType="separate"/>
        </w:r>
        <w:r w:rsidR="00A15698">
          <w:rPr>
            <w:noProof/>
            <w:webHidden/>
          </w:rPr>
          <w:t>156</w:t>
        </w:r>
        <w:r w:rsidR="002C0E50">
          <w:rPr>
            <w:noProof/>
            <w:webHidden/>
          </w:rPr>
          <w:fldChar w:fldCharType="end"/>
        </w:r>
      </w:hyperlink>
    </w:p>
    <w:p w14:paraId="006BB4AE" w14:textId="20B77F06" w:rsidR="002C0E50" w:rsidRDefault="00E909AE">
      <w:pPr>
        <w:pStyle w:val="TOC8"/>
        <w:rPr>
          <w:rFonts w:asciiTheme="minorHAnsi" w:eastAsiaTheme="minorEastAsia" w:hAnsiTheme="minorHAnsi" w:cstheme="minorBidi"/>
          <w:noProof/>
          <w:szCs w:val="24"/>
        </w:rPr>
      </w:pPr>
      <w:hyperlink r:id="rId85" w:anchor="_Toc82386396" w:history="1">
        <w:r w:rsidR="002C0E50" w:rsidRPr="00F40DDB">
          <w:rPr>
            <w:rStyle w:val="Hyperlink"/>
            <w:noProof/>
          </w:rPr>
          <w:t>Figure 4.25:</w:t>
        </w:r>
        <w:r w:rsidR="002C0E50">
          <w:rPr>
            <w:rFonts w:asciiTheme="minorHAnsi" w:eastAsiaTheme="minorEastAsia" w:hAnsiTheme="minorHAnsi" w:cstheme="minorBidi"/>
            <w:noProof/>
            <w:szCs w:val="24"/>
          </w:rPr>
          <w:tab/>
        </w:r>
        <w:r w:rsidR="002C0E50" w:rsidRPr="00F40DDB">
          <w:rPr>
            <w:rStyle w:val="Hyperlink"/>
            <w:noProof/>
          </w:rPr>
          <w:t>Percentage Distribution of Other Poultry Population as of 1</w:t>
        </w:r>
        <w:r w:rsidR="002C0E50" w:rsidRPr="00F40DDB">
          <w:rPr>
            <w:rStyle w:val="Hyperlink"/>
            <w:noProof/>
            <w:vertAlign w:val="superscript"/>
          </w:rPr>
          <w:t>st</w:t>
        </w:r>
        <w:r w:rsidR="002C0E50" w:rsidRPr="00F40DDB">
          <w:rPr>
            <w:rStyle w:val="Hyperlink"/>
            <w:noProof/>
          </w:rPr>
          <w:t xml:space="preserve"> August 2020, Tanzania Zanzibar</w:t>
        </w:r>
        <w:r w:rsidR="002C0E50">
          <w:rPr>
            <w:noProof/>
            <w:webHidden/>
          </w:rPr>
          <w:tab/>
        </w:r>
        <w:r w:rsidR="002C0E50">
          <w:rPr>
            <w:noProof/>
            <w:webHidden/>
          </w:rPr>
          <w:fldChar w:fldCharType="begin"/>
        </w:r>
        <w:r w:rsidR="002C0E50">
          <w:rPr>
            <w:noProof/>
            <w:webHidden/>
          </w:rPr>
          <w:instrText xml:space="preserve"> PAGEREF _Toc82386396 \h </w:instrText>
        </w:r>
        <w:r w:rsidR="002C0E50">
          <w:rPr>
            <w:noProof/>
            <w:webHidden/>
          </w:rPr>
        </w:r>
        <w:r w:rsidR="002C0E50">
          <w:rPr>
            <w:noProof/>
            <w:webHidden/>
          </w:rPr>
          <w:fldChar w:fldCharType="separate"/>
        </w:r>
        <w:r w:rsidR="00A15698">
          <w:rPr>
            <w:noProof/>
            <w:webHidden/>
          </w:rPr>
          <w:t>156</w:t>
        </w:r>
        <w:r w:rsidR="002C0E50">
          <w:rPr>
            <w:noProof/>
            <w:webHidden/>
          </w:rPr>
          <w:fldChar w:fldCharType="end"/>
        </w:r>
      </w:hyperlink>
    </w:p>
    <w:p w14:paraId="3EFF21B2" w14:textId="61EF392B" w:rsidR="002C0E50" w:rsidRDefault="00E909AE">
      <w:pPr>
        <w:pStyle w:val="TOC8"/>
        <w:rPr>
          <w:rFonts w:asciiTheme="minorHAnsi" w:eastAsiaTheme="minorEastAsia" w:hAnsiTheme="minorHAnsi" w:cstheme="minorBidi"/>
          <w:noProof/>
          <w:szCs w:val="24"/>
        </w:rPr>
      </w:pPr>
      <w:hyperlink r:id="rId86" w:anchor="_Toc82386397" w:history="1">
        <w:r w:rsidR="002C0E50" w:rsidRPr="00F40DDB">
          <w:rPr>
            <w:rStyle w:val="Hyperlink"/>
            <w:noProof/>
          </w:rPr>
          <w:t>Figure 4.26:</w:t>
        </w:r>
        <w:r w:rsidR="002C0E50">
          <w:rPr>
            <w:rFonts w:asciiTheme="minorHAnsi" w:eastAsiaTheme="minorEastAsia" w:hAnsiTheme="minorHAnsi" w:cstheme="minorBidi"/>
            <w:noProof/>
            <w:szCs w:val="24"/>
          </w:rPr>
          <w:tab/>
        </w:r>
        <w:r w:rsidR="002C0E50" w:rsidRPr="00F40DDB">
          <w:rPr>
            <w:rStyle w:val="Hyperlink"/>
            <w:noProof/>
          </w:rPr>
          <w:t>Percentage of Households and Type of Method of Cattle Identification Used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_Toc82386397 \h </w:instrText>
        </w:r>
        <w:r w:rsidR="002C0E50">
          <w:rPr>
            <w:noProof/>
            <w:webHidden/>
          </w:rPr>
        </w:r>
        <w:r w:rsidR="002C0E50">
          <w:rPr>
            <w:noProof/>
            <w:webHidden/>
          </w:rPr>
          <w:fldChar w:fldCharType="separate"/>
        </w:r>
        <w:r w:rsidR="00A15698">
          <w:rPr>
            <w:noProof/>
            <w:webHidden/>
          </w:rPr>
          <w:t>160</w:t>
        </w:r>
        <w:r w:rsidR="002C0E50">
          <w:rPr>
            <w:noProof/>
            <w:webHidden/>
          </w:rPr>
          <w:fldChar w:fldCharType="end"/>
        </w:r>
      </w:hyperlink>
    </w:p>
    <w:p w14:paraId="5CBC8321" w14:textId="5C08288A" w:rsidR="002C0E50" w:rsidRDefault="00E909AE">
      <w:pPr>
        <w:pStyle w:val="TOC8"/>
        <w:tabs>
          <w:tab w:val="left" w:pos="1546"/>
        </w:tabs>
        <w:rPr>
          <w:rFonts w:asciiTheme="minorHAnsi" w:eastAsiaTheme="minorEastAsia" w:hAnsiTheme="minorHAnsi" w:cstheme="minorBidi"/>
          <w:noProof/>
          <w:szCs w:val="24"/>
        </w:rPr>
      </w:pPr>
      <w:hyperlink r:id="rId87" w:anchor="_Toc82386398" w:history="1">
        <w:r w:rsidR="002C0E50" w:rsidRPr="00F40DDB">
          <w:rPr>
            <w:rStyle w:val="Hyperlink"/>
            <w:noProof/>
          </w:rPr>
          <w:t>Figure 4.27:</w:t>
        </w:r>
        <w:r w:rsidR="002C0E50">
          <w:rPr>
            <w:rFonts w:asciiTheme="minorHAnsi" w:eastAsiaTheme="minorEastAsia" w:hAnsiTheme="minorHAnsi" w:cstheme="minorBidi"/>
            <w:noProof/>
            <w:szCs w:val="24"/>
          </w:rPr>
          <w:tab/>
        </w:r>
        <w:r w:rsidR="002C0E50" w:rsidRPr="00F40DDB">
          <w:rPr>
            <w:rStyle w:val="Hyperlink"/>
            <w:noProof/>
          </w:rPr>
          <w:t>Percentage of Households Using Colour as a Method of Cattle Identification by Region 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_Toc82386398 \h </w:instrText>
        </w:r>
        <w:r w:rsidR="002C0E50">
          <w:rPr>
            <w:noProof/>
            <w:webHidden/>
          </w:rPr>
        </w:r>
        <w:r w:rsidR="002C0E50">
          <w:rPr>
            <w:noProof/>
            <w:webHidden/>
          </w:rPr>
          <w:fldChar w:fldCharType="separate"/>
        </w:r>
        <w:r w:rsidR="00A15698">
          <w:rPr>
            <w:noProof/>
            <w:webHidden/>
          </w:rPr>
          <w:t>160</w:t>
        </w:r>
        <w:r w:rsidR="002C0E50">
          <w:rPr>
            <w:noProof/>
            <w:webHidden/>
          </w:rPr>
          <w:fldChar w:fldCharType="end"/>
        </w:r>
      </w:hyperlink>
    </w:p>
    <w:p w14:paraId="46FF69A5" w14:textId="131415B5" w:rsidR="002C0E50" w:rsidRDefault="00E909AE">
      <w:pPr>
        <w:pStyle w:val="TOC8"/>
        <w:rPr>
          <w:rFonts w:asciiTheme="minorHAnsi" w:eastAsiaTheme="minorEastAsia" w:hAnsiTheme="minorHAnsi" w:cstheme="minorBidi"/>
          <w:noProof/>
          <w:szCs w:val="24"/>
        </w:rPr>
      </w:pPr>
      <w:hyperlink w:anchor="_Toc82386399" w:history="1">
        <w:r w:rsidR="002C0E50" w:rsidRPr="00F40DDB">
          <w:rPr>
            <w:rStyle w:val="Hyperlink"/>
            <w:noProof/>
          </w:rPr>
          <w:t>Figure 4.28:</w:t>
        </w:r>
        <w:r w:rsidR="002C0E50">
          <w:rPr>
            <w:rFonts w:asciiTheme="minorHAnsi" w:eastAsiaTheme="minorEastAsia" w:hAnsiTheme="minorHAnsi" w:cstheme="minorBidi"/>
            <w:noProof/>
            <w:szCs w:val="24"/>
          </w:rPr>
          <w:tab/>
        </w:r>
        <w:r w:rsidR="002C0E50" w:rsidRPr="00F40DDB">
          <w:rPr>
            <w:rStyle w:val="Hyperlink"/>
            <w:noProof/>
          </w:rPr>
          <w:t>Average Price of Cow Milk by Region and Season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_Toc82386399 \h </w:instrText>
        </w:r>
        <w:r w:rsidR="002C0E50">
          <w:rPr>
            <w:noProof/>
            <w:webHidden/>
          </w:rPr>
        </w:r>
        <w:r w:rsidR="002C0E50">
          <w:rPr>
            <w:noProof/>
            <w:webHidden/>
          </w:rPr>
          <w:fldChar w:fldCharType="separate"/>
        </w:r>
        <w:r w:rsidR="00A15698">
          <w:rPr>
            <w:noProof/>
            <w:webHidden/>
          </w:rPr>
          <w:t>163</w:t>
        </w:r>
        <w:r w:rsidR="002C0E50">
          <w:rPr>
            <w:noProof/>
            <w:webHidden/>
          </w:rPr>
          <w:fldChar w:fldCharType="end"/>
        </w:r>
      </w:hyperlink>
    </w:p>
    <w:p w14:paraId="4F84C4EB" w14:textId="5A7B34BC" w:rsidR="002C0E50" w:rsidRDefault="00E909AE">
      <w:pPr>
        <w:pStyle w:val="TOC8"/>
        <w:rPr>
          <w:rFonts w:asciiTheme="minorHAnsi" w:eastAsiaTheme="minorEastAsia" w:hAnsiTheme="minorHAnsi" w:cstheme="minorBidi"/>
          <w:noProof/>
          <w:szCs w:val="24"/>
        </w:rPr>
      </w:pPr>
      <w:hyperlink w:anchor="_Toc82386400" w:history="1">
        <w:r w:rsidR="002C0E50" w:rsidRPr="00F40DDB">
          <w:rPr>
            <w:rStyle w:val="Hyperlink"/>
            <w:noProof/>
          </w:rPr>
          <w:t>Figure 4.29:</w:t>
        </w:r>
        <w:r w:rsidR="002C0E50">
          <w:rPr>
            <w:rFonts w:asciiTheme="minorHAnsi" w:eastAsiaTheme="minorEastAsia" w:hAnsiTheme="minorHAnsi" w:cstheme="minorBidi"/>
            <w:noProof/>
            <w:szCs w:val="24"/>
          </w:rPr>
          <w:tab/>
        </w:r>
        <w:r w:rsidR="002C0E50" w:rsidRPr="00F40DDB">
          <w:rPr>
            <w:rStyle w:val="Hyperlink"/>
            <w:noProof/>
          </w:rPr>
          <w:t>Average Price of Cow Milk by Region and Season 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_Toc82386400 \h </w:instrText>
        </w:r>
        <w:r w:rsidR="002C0E50">
          <w:rPr>
            <w:noProof/>
            <w:webHidden/>
          </w:rPr>
        </w:r>
        <w:r w:rsidR="002C0E50">
          <w:rPr>
            <w:noProof/>
            <w:webHidden/>
          </w:rPr>
          <w:fldChar w:fldCharType="separate"/>
        </w:r>
        <w:r w:rsidR="00A15698">
          <w:rPr>
            <w:noProof/>
            <w:webHidden/>
          </w:rPr>
          <w:t>164</w:t>
        </w:r>
        <w:r w:rsidR="002C0E50">
          <w:rPr>
            <w:noProof/>
            <w:webHidden/>
          </w:rPr>
          <w:fldChar w:fldCharType="end"/>
        </w:r>
      </w:hyperlink>
    </w:p>
    <w:p w14:paraId="33834D61" w14:textId="5DDD1CCA" w:rsidR="002C0E50" w:rsidRDefault="00E909AE">
      <w:pPr>
        <w:pStyle w:val="TOC8"/>
        <w:rPr>
          <w:rFonts w:asciiTheme="minorHAnsi" w:eastAsiaTheme="minorEastAsia" w:hAnsiTheme="minorHAnsi" w:cstheme="minorBidi"/>
          <w:noProof/>
          <w:szCs w:val="24"/>
        </w:rPr>
      </w:pPr>
      <w:hyperlink w:anchor="_Toc82386401" w:history="1">
        <w:r w:rsidR="002C0E50" w:rsidRPr="00F40DDB">
          <w:rPr>
            <w:rStyle w:val="Hyperlink"/>
            <w:noProof/>
          </w:rPr>
          <w:t>Figure 4.30:</w:t>
        </w:r>
        <w:r w:rsidR="002C0E50">
          <w:rPr>
            <w:rFonts w:asciiTheme="minorHAnsi" w:eastAsiaTheme="minorEastAsia" w:hAnsiTheme="minorHAnsi" w:cstheme="minorBidi"/>
            <w:noProof/>
            <w:szCs w:val="24"/>
          </w:rPr>
          <w:tab/>
        </w:r>
        <w:r w:rsidR="002C0E50" w:rsidRPr="00F40DDB">
          <w:rPr>
            <w:rStyle w:val="Hyperlink"/>
            <w:noProof/>
          </w:rPr>
          <w:t>Eggs Production by Region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_Toc82386401 \h </w:instrText>
        </w:r>
        <w:r w:rsidR="002C0E50">
          <w:rPr>
            <w:noProof/>
            <w:webHidden/>
          </w:rPr>
        </w:r>
        <w:r w:rsidR="002C0E50">
          <w:rPr>
            <w:noProof/>
            <w:webHidden/>
          </w:rPr>
          <w:fldChar w:fldCharType="separate"/>
        </w:r>
        <w:r w:rsidR="00A15698">
          <w:rPr>
            <w:noProof/>
            <w:webHidden/>
          </w:rPr>
          <w:t>166</w:t>
        </w:r>
        <w:r w:rsidR="002C0E50">
          <w:rPr>
            <w:noProof/>
            <w:webHidden/>
          </w:rPr>
          <w:fldChar w:fldCharType="end"/>
        </w:r>
      </w:hyperlink>
    </w:p>
    <w:p w14:paraId="4F3C4C31" w14:textId="34E87826" w:rsidR="002C0E50" w:rsidRDefault="00E909AE">
      <w:pPr>
        <w:pStyle w:val="TOC8"/>
        <w:rPr>
          <w:rFonts w:asciiTheme="minorHAnsi" w:eastAsiaTheme="minorEastAsia" w:hAnsiTheme="minorHAnsi" w:cstheme="minorBidi"/>
          <w:noProof/>
          <w:szCs w:val="24"/>
        </w:rPr>
      </w:pPr>
      <w:hyperlink w:anchor="_Toc82386402" w:history="1">
        <w:r w:rsidR="002C0E50" w:rsidRPr="00F40DDB">
          <w:rPr>
            <w:rStyle w:val="Hyperlink"/>
            <w:noProof/>
          </w:rPr>
          <w:t>Figure 4.31:</w:t>
        </w:r>
        <w:r w:rsidR="002C0E50">
          <w:rPr>
            <w:rFonts w:asciiTheme="minorHAnsi" w:eastAsiaTheme="minorEastAsia" w:hAnsiTheme="minorHAnsi" w:cstheme="minorBidi"/>
            <w:noProof/>
            <w:szCs w:val="24"/>
          </w:rPr>
          <w:tab/>
        </w:r>
        <w:r w:rsidR="002C0E50" w:rsidRPr="00F40DDB">
          <w:rPr>
            <w:rStyle w:val="Hyperlink"/>
            <w:noProof/>
          </w:rPr>
          <w:t>Average Price of an Egg by Region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_Toc82386402 \h </w:instrText>
        </w:r>
        <w:r w:rsidR="002C0E50">
          <w:rPr>
            <w:noProof/>
            <w:webHidden/>
          </w:rPr>
        </w:r>
        <w:r w:rsidR="002C0E50">
          <w:rPr>
            <w:noProof/>
            <w:webHidden/>
          </w:rPr>
          <w:fldChar w:fldCharType="separate"/>
        </w:r>
        <w:r w:rsidR="00A15698">
          <w:rPr>
            <w:noProof/>
            <w:webHidden/>
          </w:rPr>
          <w:t>167</w:t>
        </w:r>
        <w:r w:rsidR="002C0E50">
          <w:rPr>
            <w:noProof/>
            <w:webHidden/>
          </w:rPr>
          <w:fldChar w:fldCharType="end"/>
        </w:r>
      </w:hyperlink>
    </w:p>
    <w:p w14:paraId="5743D85A" w14:textId="60A010C8" w:rsidR="002C0E50" w:rsidRDefault="00E909AE">
      <w:pPr>
        <w:pStyle w:val="TOC8"/>
        <w:rPr>
          <w:rFonts w:asciiTheme="minorHAnsi" w:eastAsiaTheme="minorEastAsia" w:hAnsiTheme="minorHAnsi" w:cstheme="minorBidi"/>
          <w:noProof/>
          <w:szCs w:val="24"/>
        </w:rPr>
      </w:pPr>
      <w:hyperlink w:anchor="_Toc82386403" w:history="1">
        <w:r w:rsidR="002C0E50" w:rsidRPr="00F40DDB">
          <w:rPr>
            <w:rStyle w:val="Hyperlink"/>
            <w:noProof/>
          </w:rPr>
          <w:t>Figure 4.32:</w:t>
        </w:r>
        <w:r w:rsidR="002C0E50">
          <w:rPr>
            <w:rFonts w:asciiTheme="minorHAnsi" w:eastAsiaTheme="minorEastAsia" w:hAnsiTheme="minorHAnsi" w:cstheme="minorBidi"/>
            <w:noProof/>
            <w:szCs w:val="24"/>
          </w:rPr>
          <w:tab/>
        </w:r>
        <w:r w:rsidR="002C0E50" w:rsidRPr="00F40DDB">
          <w:rPr>
            <w:rStyle w:val="Hyperlink"/>
            <w:noProof/>
          </w:rPr>
          <w:t>Eggs Production by Region 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_Toc82386403 \h </w:instrText>
        </w:r>
        <w:r w:rsidR="002C0E50">
          <w:rPr>
            <w:noProof/>
            <w:webHidden/>
          </w:rPr>
        </w:r>
        <w:r w:rsidR="002C0E50">
          <w:rPr>
            <w:noProof/>
            <w:webHidden/>
          </w:rPr>
          <w:fldChar w:fldCharType="separate"/>
        </w:r>
        <w:r w:rsidR="00A15698">
          <w:rPr>
            <w:noProof/>
            <w:webHidden/>
          </w:rPr>
          <w:t>167</w:t>
        </w:r>
        <w:r w:rsidR="002C0E50">
          <w:rPr>
            <w:noProof/>
            <w:webHidden/>
          </w:rPr>
          <w:fldChar w:fldCharType="end"/>
        </w:r>
      </w:hyperlink>
    </w:p>
    <w:p w14:paraId="60CFEBC1" w14:textId="5047FD6F" w:rsidR="002C0E50" w:rsidRDefault="00E909AE">
      <w:pPr>
        <w:pStyle w:val="TOC8"/>
        <w:rPr>
          <w:rFonts w:asciiTheme="minorHAnsi" w:eastAsiaTheme="minorEastAsia" w:hAnsiTheme="minorHAnsi" w:cstheme="minorBidi"/>
          <w:noProof/>
          <w:szCs w:val="24"/>
        </w:rPr>
      </w:pPr>
      <w:hyperlink w:anchor="_Toc82386404" w:history="1">
        <w:r w:rsidR="002C0E50" w:rsidRPr="00F40DDB">
          <w:rPr>
            <w:rStyle w:val="Hyperlink"/>
            <w:noProof/>
          </w:rPr>
          <w:t>Figure 4.33:</w:t>
        </w:r>
        <w:r w:rsidR="002C0E50">
          <w:rPr>
            <w:rFonts w:asciiTheme="minorHAnsi" w:eastAsiaTheme="minorEastAsia" w:hAnsiTheme="minorHAnsi" w:cstheme="minorBidi"/>
            <w:noProof/>
            <w:szCs w:val="24"/>
          </w:rPr>
          <w:tab/>
        </w:r>
        <w:r w:rsidR="002C0E50" w:rsidRPr="00F40DDB">
          <w:rPr>
            <w:rStyle w:val="Hyperlink"/>
            <w:noProof/>
          </w:rPr>
          <w:t>Average Price of an Egg by Region 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_Toc82386404 \h </w:instrText>
        </w:r>
        <w:r w:rsidR="002C0E50">
          <w:rPr>
            <w:noProof/>
            <w:webHidden/>
          </w:rPr>
        </w:r>
        <w:r w:rsidR="002C0E50">
          <w:rPr>
            <w:noProof/>
            <w:webHidden/>
          </w:rPr>
          <w:fldChar w:fldCharType="separate"/>
        </w:r>
        <w:r w:rsidR="00A15698">
          <w:rPr>
            <w:noProof/>
            <w:webHidden/>
          </w:rPr>
          <w:t>168</w:t>
        </w:r>
        <w:r w:rsidR="002C0E50">
          <w:rPr>
            <w:noProof/>
            <w:webHidden/>
          </w:rPr>
          <w:fldChar w:fldCharType="end"/>
        </w:r>
      </w:hyperlink>
    </w:p>
    <w:p w14:paraId="23943D02" w14:textId="48D5B308" w:rsidR="002C0E50" w:rsidRDefault="00E909AE">
      <w:pPr>
        <w:pStyle w:val="TOC8"/>
        <w:rPr>
          <w:rFonts w:asciiTheme="minorHAnsi" w:eastAsiaTheme="minorEastAsia" w:hAnsiTheme="minorHAnsi" w:cstheme="minorBidi"/>
          <w:noProof/>
          <w:szCs w:val="24"/>
        </w:rPr>
      </w:pPr>
      <w:hyperlink r:id="rId88" w:anchor="_Toc82386405" w:history="1">
        <w:r w:rsidR="002C0E50" w:rsidRPr="00F40DDB">
          <w:rPr>
            <w:rStyle w:val="Hyperlink"/>
            <w:noProof/>
          </w:rPr>
          <w:t>Figure 4.34:</w:t>
        </w:r>
        <w:r w:rsidR="002C0E50">
          <w:rPr>
            <w:rFonts w:asciiTheme="minorHAnsi" w:eastAsiaTheme="minorEastAsia" w:hAnsiTheme="minorHAnsi" w:cstheme="minorBidi"/>
            <w:noProof/>
            <w:szCs w:val="24"/>
          </w:rPr>
          <w:tab/>
        </w:r>
        <w:r w:rsidR="002C0E50" w:rsidRPr="00F40DDB">
          <w:rPr>
            <w:rStyle w:val="Hyperlink"/>
            <w:noProof/>
          </w:rPr>
          <w:t>Percentage Distribution of Households Reported Outlet for Sale of Cattle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_Toc82386405 \h </w:instrText>
        </w:r>
        <w:r w:rsidR="002C0E50">
          <w:rPr>
            <w:noProof/>
            <w:webHidden/>
          </w:rPr>
        </w:r>
        <w:r w:rsidR="002C0E50">
          <w:rPr>
            <w:noProof/>
            <w:webHidden/>
          </w:rPr>
          <w:fldChar w:fldCharType="separate"/>
        </w:r>
        <w:r w:rsidR="00A15698">
          <w:rPr>
            <w:noProof/>
            <w:webHidden/>
          </w:rPr>
          <w:t>169</w:t>
        </w:r>
        <w:r w:rsidR="002C0E50">
          <w:rPr>
            <w:noProof/>
            <w:webHidden/>
          </w:rPr>
          <w:fldChar w:fldCharType="end"/>
        </w:r>
      </w:hyperlink>
    </w:p>
    <w:p w14:paraId="08F52CCD" w14:textId="04F6EF57" w:rsidR="002C0E50" w:rsidRDefault="00E909AE">
      <w:pPr>
        <w:pStyle w:val="TOC8"/>
        <w:rPr>
          <w:noProof/>
        </w:rPr>
      </w:pPr>
      <w:hyperlink r:id="rId89" w:anchor="_Toc82386406" w:history="1">
        <w:r w:rsidR="002C0E50" w:rsidRPr="00F40DDB">
          <w:rPr>
            <w:rStyle w:val="Hyperlink"/>
            <w:noProof/>
          </w:rPr>
          <w:t>Figure 4.35:</w:t>
        </w:r>
        <w:r w:rsidR="002C0E50">
          <w:rPr>
            <w:rFonts w:asciiTheme="minorHAnsi" w:eastAsiaTheme="minorEastAsia" w:hAnsiTheme="minorHAnsi" w:cstheme="minorBidi"/>
            <w:noProof/>
            <w:szCs w:val="24"/>
          </w:rPr>
          <w:tab/>
        </w:r>
        <w:r w:rsidR="002C0E50" w:rsidRPr="00F40DDB">
          <w:rPr>
            <w:rStyle w:val="Hyperlink"/>
            <w:noProof/>
          </w:rPr>
          <w:t>Percentage Distribution of Households Reported Outlet for Sale of Cattle 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_Toc82386406 \h </w:instrText>
        </w:r>
        <w:r w:rsidR="002C0E50">
          <w:rPr>
            <w:noProof/>
            <w:webHidden/>
          </w:rPr>
        </w:r>
        <w:r w:rsidR="002C0E50">
          <w:rPr>
            <w:noProof/>
            <w:webHidden/>
          </w:rPr>
          <w:fldChar w:fldCharType="separate"/>
        </w:r>
        <w:r w:rsidR="00A15698">
          <w:rPr>
            <w:noProof/>
            <w:webHidden/>
          </w:rPr>
          <w:t>169</w:t>
        </w:r>
        <w:r w:rsidR="002C0E50">
          <w:rPr>
            <w:noProof/>
            <w:webHidden/>
          </w:rPr>
          <w:fldChar w:fldCharType="end"/>
        </w:r>
      </w:hyperlink>
    </w:p>
    <w:p w14:paraId="56539418" w14:textId="4CA971D5" w:rsidR="00940E4C" w:rsidRDefault="00E909AE" w:rsidP="00940E4C">
      <w:pPr>
        <w:pStyle w:val="TOC8"/>
        <w:rPr>
          <w:rFonts w:asciiTheme="minorHAnsi" w:eastAsiaTheme="minorEastAsia" w:hAnsiTheme="minorHAnsi" w:cstheme="minorBidi"/>
          <w:noProof/>
          <w:szCs w:val="24"/>
        </w:rPr>
      </w:pPr>
      <w:hyperlink r:id="rId90" w:anchor="_Toc82386408" w:history="1">
        <w:r w:rsidR="00940E4C" w:rsidRPr="00F40DDB">
          <w:rPr>
            <w:rStyle w:val="Hyperlink"/>
            <w:noProof/>
          </w:rPr>
          <w:t>Figure 4.36:</w:t>
        </w:r>
        <w:r w:rsidR="00940E4C">
          <w:rPr>
            <w:rFonts w:asciiTheme="minorHAnsi" w:eastAsiaTheme="minorEastAsia" w:hAnsiTheme="minorHAnsi" w:cstheme="minorBidi"/>
            <w:noProof/>
            <w:szCs w:val="24"/>
          </w:rPr>
          <w:tab/>
        </w:r>
        <w:r w:rsidR="00940E4C" w:rsidRPr="00F40DDB">
          <w:rPr>
            <w:rStyle w:val="Hyperlink"/>
            <w:noProof/>
          </w:rPr>
          <w:t>Percentage Distribution of Households Reported Outlet for Sale of Goats During 2019/20 Agricultural Year, Mainland Tanzania</w:t>
        </w:r>
        <w:r w:rsidR="00940E4C">
          <w:rPr>
            <w:noProof/>
            <w:webHidden/>
          </w:rPr>
          <w:tab/>
        </w:r>
        <w:r w:rsidR="00940E4C">
          <w:rPr>
            <w:noProof/>
            <w:webHidden/>
          </w:rPr>
          <w:fldChar w:fldCharType="begin"/>
        </w:r>
        <w:r w:rsidR="00940E4C">
          <w:rPr>
            <w:noProof/>
            <w:webHidden/>
          </w:rPr>
          <w:instrText xml:space="preserve"> PAGEREF _Toc82386408 \h </w:instrText>
        </w:r>
        <w:r w:rsidR="00940E4C">
          <w:rPr>
            <w:noProof/>
            <w:webHidden/>
          </w:rPr>
        </w:r>
        <w:r w:rsidR="00940E4C">
          <w:rPr>
            <w:noProof/>
            <w:webHidden/>
          </w:rPr>
          <w:fldChar w:fldCharType="separate"/>
        </w:r>
        <w:r w:rsidR="00A15698">
          <w:rPr>
            <w:noProof/>
            <w:webHidden/>
          </w:rPr>
          <w:t>170</w:t>
        </w:r>
        <w:r w:rsidR="00940E4C">
          <w:rPr>
            <w:noProof/>
            <w:webHidden/>
          </w:rPr>
          <w:fldChar w:fldCharType="end"/>
        </w:r>
      </w:hyperlink>
    </w:p>
    <w:p w14:paraId="40C47B5B" w14:textId="38F375AC" w:rsidR="002C0E50" w:rsidRDefault="00E909AE">
      <w:pPr>
        <w:pStyle w:val="TOC8"/>
        <w:rPr>
          <w:rFonts w:asciiTheme="minorHAnsi" w:eastAsiaTheme="minorEastAsia" w:hAnsiTheme="minorHAnsi" w:cstheme="minorBidi"/>
          <w:noProof/>
          <w:szCs w:val="24"/>
        </w:rPr>
      </w:pPr>
      <w:hyperlink r:id="rId91" w:anchor="_Toc82386407" w:history="1">
        <w:r w:rsidR="002C0E50" w:rsidRPr="00F40DDB">
          <w:rPr>
            <w:rStyle w:val="Hyperlink"/>
            <w:noProof/>
          </w:rPr>
          <w:t>Figure 4.37:</w:t>
        </w:r>
        <w:r w:rsidR="002C0E50">
          <w:rPr>
            <w:rFonts w:asciiTheme="minorHAnsi" w:eastAsiaTheme="minorEastAsia" w:hAnsiTheme="minorHAnsi" w:cstheme="minorBidi"/>
            <w:noProof/>
            <w:szCs w:val="24"/>
          </w:rPr>
          <w:tab/>
        </w:r>
        <w:r w:rsidR="002C0E50" w:rsidRPr="00F40DDB">
          <w:rPr>
            <w:rStyle w:val="Hyperlink"/>
            <w:noProof/>
          </w:rPr>
          <w:t>Percentage Distribution of Households Reported Outlet for Sale of Goats 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_Toc82386407 \h </w:instrText>
        </w:r>
        <w:r w:rsidR="002C0E50">
          <w:rPr>
            <w:noProof/>
            <w:webHidden/>
          </w:rPr>
        </w:r>
        <w:r w:rsidR="002C0E50">
          <w:rPr>
            <w:noProof/>
            <w:webHidden/>
          </w:rPr>
          <w:fldChar w:fldCharType="separate"/>
        </w:r>
        <w:r w:rsidR="00A15698">
          <w:rPr>
            <w:noProof/>
            <w:webHidden/>
          </w:rPr>
          <w:t>170</w:t>
        </w:r>
        <w:r w:rsidR="002C0E50">
          <w:rPr>
            <w:noProof/>
            <w:webHidden/>
          </w:rPr>
          <w:fldChar w:fldCharType="end"/>
        </w:r>
      </w:hyperlink>
    </w:p>
    <w:p w14:paraId="72B73FDC" w14:textId="6FEE26EA" w:rsidR="002C0E50" w:rsidRDefault="00E909AE">
      <w:pPr>
        <w:pStyle w:val="TOC8"/>
        <w:rPr>
          <w:noProof/>
        </w:rPr>
      </w:pPr>
      <w:hyperlink r:id="rId92" w:anchor="_Toc82386410" w:history="1">
        <w:r w:rsidR="002C0E50" w:rsidRPr="00F40DDB">
          <w:rPr>
            <w:rStyle w:val="Hyperlink"/>
            <w:noProof/>
          </w:rPr>
          <w:t>Figure 4.38:</w:t>
        </w:r>
        <w:r w:rsidR="002C0E50">
          <w:rPr>
            <w:rFonts w:asciiTheme="minorHAnsi" w:eastAsiaTheme="minorEastAsia" w:hAnsiTheme="minorHAnsi" w:cstheme="minorBidi"/>
            <w:noProof/>
            <w:szCs w:val="24"/>
          </w:rPr>
          <w:tab/>
        </w:r>
        <w:r w:rsidR="002C0E50" w:rsidRPr="00F40DDB">
          <w:rPr>
            <w:rStyle w:val="Hyperlink"/>
            <w:noProof/>
          </w:rPr>
          <w:t>Percentage Distribution of Households Reported Outlet for Sale of Chicken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_Toc82386410 \h </w:instrText>
        </w:r>
        <w:r w:rsidR="002C0E50">
          <w:rPr>
            <w:noProof/>
            <w:webHidden/>
          </w:rPr>
        </w:r>
        <w:r w:rsidR="002C0E50">
          <w:rPr>
            <w:noProof/>
            <w:webHidden/>
          </w:rPr>
          <w:fldChar w:fldCharType="separate"/>
        </w:r>
        <w:r w:rsidR="00A15698">
          <w:rPr>
            <w:noProof/>
            <w:webHidden/>
          </w:rPr>
          <w:t>171</w:t>
        </w:r>
        <w:r w:rsidR="002C0E50">
          <w:rPr>
            <w:noProof/>
            <w:webHidden/>
          </w:rPr>
          <w:fldChar w:fldCharType="end"/>
        </w:r>
      </w:hyperlink>
    </w:p>
    <w:p w14:paraId="56EB1171" w14:textId="28049B71" w:rsidR="00940E4C" w:rsidRDefault="00E909AE" w:rsidP="00940E4C">
      <w:pPr>
        <w:pStyle w:val="TOC8"/>
        <w:rPr>
          <w:noProof/>
        </w:rPr>
      </w:pPr>
      <w:hyperlink r:id="rId93" w:anchor="_Toc82386409" w:history="1">
        <w:r w:rsidR="00940E4C" w:rsidRPr="00F40DDB">
          <w:rPr>
            <w:rStyle w:val="Hyperlink"/>
            <w:noProof/>
          </w:rPr>
          <w:t>Figure 4.39:</w:t>
        </w:r>
        <w:r w:rsidR="00940E4C">
          <w:rPr>
            <w:rFonts w:asciiTheme="minorHAnsi" w:eastAsiaTheme="minorEastAsia" w:hAnsiTheme="minorHAnsi" w:cstheme="minorBidi"/>
            <w:noProof/>
            <w:szCs w:val="24"/>
          </w:rPr>
          <w:tab/>
        </w:r>
        <w:r w:rsidR="00940E4C" w:rsidRPr="00F40DDB">
          <w:rPr>
            <w:rStyle w:val="Hyperlink"/>
            <w:noProof/>
          </w:rPr>
          <w:t>Percentage Distribution of Households Reported Outlet for Sale of Chicken During 2019/20 Agricultural Year, Tanzania Zanzibar</w:t>
        </w:r>
        <w:r w:rsidR="00940E4C">
          <w:rPr>
            <w:noProof/>
            <w:webHidden/>
          </w:rPr>
          <w:tab/>
        </w:r>
        <w:r w:rsidR="00940E4C">
          <w:rPr>
            <w:noProof/>
            <w:webHidden/>
          </w:rPr>
          <w:fldChar w:fldCharType="begin"/>
        </w:r>
        <w:r w:rsidR="00940E4C">
          <w:rPr>
            <w:noProof/>
            <w:webHidden/>
          </w:rPr>
          <w:instrText xml:space="preserve"> PAGEREF _Toc82386409 \h </w:instrText>
        </w:r>
        <w:r w:rsidR="00940E4C">
          <w:rPr>
            <w:noProof/>
            <w:webHidden/>
          </w:rPr>
        </w:r>
        <w:r w:rsidR="00940E4C">
          <w:rPr>
            <w:noProof/>
            <w:webHidden/>
          </w:rPr>
          <w:fldChar w:fldCharType="separate"/>
        </w:r>
        <w:r w:rsidR="00A15698">
          <w:rPr>
            <w:noProof/>
            <w:webHidden/>
          </w:rPr>
          <w:t>171</w:t>
        </w:r>
        <w:r w:rsidR="00940E4C">
          <w:rPr>
            <w:noProof/>
            <w:webHidden/>
          </w:rPr>
          <w:fldChar w:fldCharType="end"/>
        </w:r>
      </w:hyperlink>
    </w:p>
    <w:p w14:paraId="02D876EB" w14:textId="538D27BD" w:rsidR="00940E4C" w:rsidRDefault="00E909AE" w:rsidP="00940E4C">
      <w:pPr>
        <w:pStyle w:val="TOC8"/>
        <w:rPr>
          <w:rFonts w:asciiTheme="minorHAnsi" w:eastAsiaTheme="minorEastAsia" w:hAnsiTheme="minorHAnsi" w:cstheme="minorBidi"/>
          <w:noProof/>
          <w:szCs w:val="24"/>
        </w:rPr>
      </w:pPr>
      <w:hyperlink r:id="rId94" w:anchor="_Toc82386412" w:history="1">
        <w:r w:rsidR="00940E4C" w:rsidRPr="00F40DDB">
          <w:rPr>
            <w:rStyle w:val="Hyperlink"/>
            <w:noProof/>
          </w:rPr>
          <w:t>Figure 4.40:</w:t>
        </w:r>
        <w:r w:rsidR="00940E4C">
          <w:rPr>
            <w:rFonts w:asciiTheme="minorHAnsi" w:eastAsiaTheme="minorEastAsia" w:hAnsiTheme="minorHAnsi" w:cstheme="minorBidi"/>
            <w:noProof/>
            <w:szCs w:val="24"/>
          </w:rPr>
          <w:tab/>
        </w:r>
        <w:r w:rsidR="00940E4C" w:rsidRPr="00F40DDB">
          <w:rPr>
            <w:rStyle w:val="Hyperlink"/>
            <w:noProof/>
          </w:rPr>
          <w:t>Percentage Distribution of Households Reported Outlet for Sale of Milk During 2019/20 Agricultural Year, Mainland Tanzania</w:t>
        </w:r>
        <w:r w:rsidR="00940E4C">
          <w:rPr>
            <w:noProof/>
            <w:webHidden/>
          </w:rPr>
          <w:tab/>
        </w:r>
        <w:r w:rsidR="00940E4C">
          <w:rPr>
            <w:noProof/>
            <w:webHidden/>
          </w:rPr>
          <w:fldChar w:fldCharType="begin"/>
        </w:r>
        <w:r w:rsidR="00940E4C">
          <w:rPr>
            <w:noProof/>
            <w:webHidden/>
          </w:rPr>
          <w:instrText xml:space="preserve"> PAGEREF _Toc82386412 \h </w:instrText>
        </w:r>
        <w:r w:rsidR="00940E4C">
          <w:rPr>
            <w:noProof/>
            <w:webHidden/>
          </w:rPr>
        </w:r>
        <w:r w:rsidR="00940E4C">
          <w:rPr>
            <w:noProof/>
            <w:webHidden/>
          </w:rPr>
          <w:fldChar w:fldCharType="separate"/>
        </w:r>
        <w:r w:rsidR="00A15698">
          <w:rPr>
            <w:noProof/>
            <w:webHidden/>
          </w:rPr>
          <w:t>172</w:t>
        </w:r>
        <w:r w:rsidR="00940E4C">
          <w:rPr>
            <w:noProof/>
            <w:webHidden/>
          </w:rPr>
          <w:fldChar w:fldCharType="end"/>
        </w:r>
      </w:hyperlink>
    </w:p>
    <w:p w14:paraId="7B19D5A7" w14:textId="7E8EF76B" w:rsidR="002C0E50" w:rsidRDefault="00E909AE">
      <w:pPr>
        <w:pStyle w:val="TOC8"/>
        <w:rPr>
          <w:rFonts w:asciiTheme="minorHAnsi" w:eastAsiaTheme="minorEastAsia" w:hAnsiTheme="minorHAnsi" w:cstheme="minorBidi"/>
          <w:noProof/>
          <w:szCs w:val="24"/>
        </w:rPr>
      </w:pPr>
      <w:hyperlink r:id="rId95" w:anchor="_Toc82386411" w:history="1">
        <w:r w:rsidR="002C0E50" w:rsidRPr="00F40DDB">
          <w:rPr>
            <w:rStyle w:val="Hyperlink"/>
            <w:noProof/>
          </w:rPr>
          <w:t>Figure 4.41:</w:t>
        </w:r>
        <w:r w:rsidR="002C0E50">
          <w:rPr>
            <w:rFonts w:asciiTheme="minorHAnsi" w:eastAsiaTheme="minorEastAsia" w:hAnsiTheme="minorHAnsi" w:cstheme="minorBidi"/>
            <w:noProof/>
            <w:szCs w:val="24"/>
          </w:rPr>
          <w:tab/>
        </w:r>
        <w:r w:rsidR="002C0E50" w:rsidRPr="00F40DDB">
          <w:rPr>
            <w:rStyle w:val="Hyperlink"/>
            <w:noProof/>
          </w:rPr>
          <w:t>Percentage Distribution of Households Reported Outlet for Sale of Milk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_Toc82386411 \h </w:instrText>
        </w:r>
        <w:r w:rsidR="002C0E50">
          <w:rPr>
            <w:noProof/>
            <w:webHidden/>
          </w:rPr>
        </w:r>
        <w:r w:rsidR="002C0E50">
          <w:rPr>
            <w:noProof/>
            <w:webHidden/>
          </w:rPr>
          <w:fldChar w:fldCharType="separate"/>
        </w:r>
        <w:r w:rsidR="00A15698">
          <w:rPr>
            <w:noProof/>
            <w:webHidden/>
          </w:rPr>
          <w:t>172</w:t>
        </w:r>
        <w:r w:rsidR="002C0E50">
          <w:rPr>
            <w:noProof/>
            <w:webHidden/>
          </w:rPr>
          <w:fldChar w:fldCharType="end"/>
        </w:r>
      </w:hyperlink>
    </w:p>
    <w:p w14:paraId="3EB9C6CC" w14:textId="76D20721" w:rsidR="002C0E50" w:rsidRDefault="00E909AE">
      <w:pPr>
        <w:pStyle w:val="TOC8"/>
        <w:rPr>
          <w:rFonts w:asciiTheme="minorHAnsi" w:eastAsiaTheme="minorEastAsia" w:hAnsiTheme="minorHAnsi" w:cstheme="minorBidi"/>
          <w:noProof/>
          <w:szCs w:val="24"/>
        </w:rPr>
      </w:pPr>
      <w:hyperlink w:anchor="_Toc82386413" w:history="1">
        <w:r w:rsidR="002C0E50" w:rsidRPr="00F40DDB">
          <w:rPr>
            <w:rStyle w:val="Hyperlink"/>
            <w:noProof/>
          </w:rPr>
          <w:t>Figure 4.42:</w:t>
        </w:r>
        <w:r w:rsidR="002C0E50">
          <w:rPr>
            <w:rFonts w:asciiTheme="minorHAnsi" w:eastAsiaTheme="minorEastAsia" w:hAnsiTheme="minorHAnsi" w:cstheme="minorBidi"/>
            <w:noProof/>
            <w:szCs w:val="24"/>
          </w:rPr>
          <w:tab/>
        </w:r>
        <w:r w:rsidR="002C0E50" w:rsidRPr="00F40DDB">
          <w:rPr>
            <w:rStyle w:val="Hyperlink"/>
            <w:noProof/>
          </w:rPr>
          <w:t>Number and Percent of Households Reported to Vaccinate Livestock Against FMD by Region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_Toc82386413 \h </w:instrText>
        </w:r>
        <w:r w:rsidR="002C0E50">
          <w:rPr>
            <w:noProof/>
            <w:webHidden/>
          </w:rPr>
        </w:r>
        <w:r w:rsidR="002C0E50">
          <w:rPr>
            <w:noProof/>
            <w:webHidden/>
          </w:rPr>
          <w:fldChar w:fldCharType="separate"/>
        </w:r>
        <w:r w:rsidR="00A15698">
          <w:rPr>
            <w:noProof/>
            <w:webHidden/>
          </w:rPr>
          <w:t>198</w:t>
        </w:r>
        <w:r w:rsidR="002C0E50">
          <w:rPr>
            <w:noProof/>
            <w:webHidden/>
          </w:rPr>
          <w:fldChar w:fldCharType="end"/>
        </w:r>
      </w:hyperlink>
    </w:p>
    <w:p w14:paraId="780C5812" w14:textId="29C35EB9" w:rsidR="002C0E50" w:rsidRDefault="00E909AE">
      <w:pPr>
        <w:pStyle w:val="TOC8"/>
        <w:rPr>
          <w:rFonts w:asciiTheme="minorHAnsi" w:eastAsiaTheme="minorEastAsia" w:hAnsiTheme="minorHAnsi" w:cstheme="minorBidi"/>
          <w:noProof/>
          <w:szCs w:val="24"/>
        </w:rPr>
      </w:pPr>
      <w:hyperlink w:anchor="_Toc82386414" w:history="1">
        <w:r w:rsidR="002C0E50" w:rsidRPr="00F40DDB">
          <w:rPr>
            <w:rStyle w:val="Hyperlink"/>
            <w:noProof/>
          </w:rPr>
          <w:t>Figure 4.43:</w:t>
        </w:r>
        <w:r w:rsidR="002C0E50">
          <w:rPr>
            <w:rFonts w:asciiTheme="minorHAnsi" w:eastAsiaTheme="minorEastAsia" w:hAnsiTheme="minorHAnsi" w:cstheme="minorBidi"/>
            <w:noProof/>
            <w:szCs w:val="24"/>
          </w:rPr>
          <w:tab/>
        </w:r>
        <w:r w:rsidR="002C0E50" w:rsidRPr="00F40DDB">
          <w:rPr>
            <w:rStyle w:val="Hyperlink"/>
            <w:noProof/>
          </w:rPr>
          <w:t>Number and Percent of Households Reported to Vaccinate Livestock Against FMD by Region 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_Toc82386414 \h </w:instrText>
        </w:r>
        <w:r w:rsidR="002C0E50">
          <w:rPr>
            <w:noProof/>
            <w:webHidden/>
          </w:rPr>
        </w:r>
        <w:r w:rsidR="002C0E50">
          <w:rPr>
            <w:noProof/>
            <w:webHidden/>
          </w:rPr>
          <w:fldChar w:fldCharType="separate"/>
        </w:r>
        <w:r w:rsidR="00A15698">
          <w:rPr>
            <w:noProof/>
            <w:webHidden/>
          </w:rPr>
          <w:t>198</w:t>
        </w:r>
        <w:r w:rsidR="002C0E50">
          <w:rPr>
            <w:noProof/>
            <w:webHidden/>
          </w:rPr>
          <w:fldChar w:fldCharType="end"/>
        </w:r>
      </w:hyperlink>
    </w:p>
    <w:p w14:paraId="0C9BB430" w14:textId="2751D411" w:rsidR="002C0E50" w:rsidRDefault="00E909AE">
      <w:pPr>
        <w:pStyle w:val="TOC8"/>
        <w:rPr>
          <w:rFonts w:asciiTheme="minorHAnsi" w:eastAsiaTheme="minorEastAsia" w:hAnsiTheme="minorHAnsi" w:cstheme="minorBidi"/>
          <w:noProof/>
          <w:szCs w:val="24"/>
        </w:rPr>
      </w:pPr>
      <w:hyperlink w:anchor="_Toc82386415" w:history="1">
        <w:r w:rsidR="002C0E50" w:rsidRPr="00F40DDB">
          <w:rPr>
            <w:rStyle w:val="Hyperlink"/>
            <w:noProof/>
          </w:rPr>
          <w:t>Figure 4.44:</w:t>
        </w:r>
        <w:r w:rsidR="002C0E50">
          <w:rPr>
            <w:rFonts w:asciiTheme="minorHAnsi" w:eastAsiaTheme="minorEastAsia" w:hAnsiTheme="minorHAnsi" w:cstheme="minorBidi"/>
            <w:noProof/>
            <w:szCs w:val="24"/>
          </w:rPr>
          <w:tab/>
        </w:r>
        <w:r w:rsidR="002C0E50" w:rsidRPr="00F40DDB">
          <w:rPr>
            <w:rStyle w:val="Hyperlink"/>
            <w:noProof/>
          </w:rPr>
          <w:t>Number and Percent of Households Reported to Vaccinate Livestock Against Rabies by Region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_Toc82386415 \h </w:instrText>
        </w:r>
        <w:r w:rsidR="002C0E50">
          <w:rPr>
            <w:noProof/>
            <w:webHidden/>
          </w:rPr>
        </w:r>
        <w:r w:rsidR="002C0E50">
          <w:rPr>
            <w:noProof/>
            <w:webHidden/>
          </w:rPr>
          <w:fldChar w:fldCharType="separate"/>
        </w:r>
        <w:r w:rsidR="00A15698">
          <w:rPr>
            <w:noProof/>
            <w:webHidden/>
          </w:rPr>
          <w:t>199</w:t>
        </w:r>
        <w:r w:rsidR="002C0E50">
          <w:rPr>
            <w:noProof/>
            <w:webHidden/>
          </w:rPr>
          <w:fldChar w:fldCharType="end"/>
        </w:r>
      </w:hyperlink>
    </w:p>
    <w:p w14:paraId="4C5C3C7A" w14:textId="2CACB737" w:rsidR="002C0E50" w:rsidRDefault="00E909AE">
      <w:pPr>
        <w:pStyle w:val="TOC8"/>
        <w:rPr>
          <w:rFonts w:asciiTheme="minorHAnsi" w:eastAsiaTheme="minorEastAsia" w:hAnsiTheme="minorHAnsi" w:cstheme="minorBidi"/>
          <w:noProof/>
          <w:szCs w:val="24"/>
        </w:rPr>
      </w:pPr>
      <w:hyperlink r:id="rId96" w:anchor="_Toc82386416" w:history="1">
        <w:r w:rsidR="002C0E50" w:rsidRPr="00F40DDB">
          <w:rPr>
            <w:rStyle w:val="Hyperlink"/>
            <w:noProof/>
          </w:rPr>
          <w:t>Figure 4.45:</w:t>
        </w:r>
        <w:r w:rsidR="002C0E50">
          <w:rPr>
            <w:rFonts w:asciiTheme="minorHAnsi" w:eastAsiaTheme="minorEastAsia" w:hAnsiTheme="minorHAnsi" w:cstheme="minorBidi"/>
            <w:noProof/>
            <w:szCs w:val="24"/>
          </w:rPr>
          <w:tab/>
        </w:r>
        <w:r w:rsidR="002C0E50" w:rsidRPr="00F40DDB">
          <w:rPr>
            <w:rStyle w:val="Hyperlink"/>
            <w:noProof/>
          </w:rPr>
          <w:t>Number and Percent of Households Reported to Vaccinate Livestock Against Rabies by Region 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_Toc82386416 \h </w:instrText>
        </w:r>
        <w:r w:rsidR="002C0E50">
          <w:rPr>
            <w:noProof/>
            <w:webHidden/>
          </w:rPr>
        </w:r>
        <w:r w:rsidR="002C0E50">
          <w:rPr>
            <w:noProof/>
            <w:webHidden/>
          </w:rPr>
          <w:fldChar w:fldCharType="separate"/>
        </w:r>
        <w:r w:rsidR="00A15698">
          <w:rPr>
            <w:noProof/>
            <w:webHidden/>
          </w:rPr>
          <w:t>199</w:t>
        </w:r>
        <w:r w:rsidR="002C0E50">
          <w:rPr>
            <w:noProof/>
            <w:webHidden/>
          </w:rPr>
          <w:fldChar w:fldCharType="end"/>
        </w:r>
      </w:hyperlink>
    </w:p>
    <w:p w14:paraId="0988E027" w14:textId="2F52FDDD" w:rsidR="002C0E50" w:rsidRDefault="00E909AE">
      <w:pPr>
        <w:pStyle w:val="TOC8"/>
        <w:rPr>
          <w:rFonts w:asciiTheme="minorHAnsi" w:eastAsiaTheme="minorEastAsia" w:hAnsiTheme="minorHAnsi" w:cstheme="minorBidi"/>
          <w:noProof/>
          <w:szCs w:val="24"/>
        </w:rPr>
      </w:pPr>
      <w:hyperlink r:id="rId97" w:anchor="_Toc82386417" w:history="1">
        <w:r w:rsidR="002C0E50" w:rsidRPr="00F40DDB">
          <w:rPr>
            <w:rStyle w:val="Hyperlink"/>
            <w:noProof/>
          </w:rPr>
          <w:t>Figure 4.46:</w:t>
        </w:r>
        <w:r w:rsidR="002C0E50">
          <w:rPr>
            <w:rFonts w:asciiTheme="minorHAnsi" w:eastAsiaTheme="minorEastAsia" w:hAnsiTheme="minorHAnsi" w:cstheme="minorBidi"/>
            <w:noProof/>
            <w:szCs w:val="24"/>
          </w:rPr>
          <w:tab/>
        </w:r>
        <w:r w:rsidR="002C0E50" w:rsidRPr="00F40DDB">
          <w:rPr>
            <w:rStyle w:val="Hyperlink"/>
            <w:noProof/>
          </w:rPr>
          <w:t>Number and Percent of Households Reported to Vaccinate Livestock Against Black Quarter by Region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_Toc82386417 \h </w:instrText>
        </w:r>
        <w:r w:rsidR="002C0E50">
          <w:rPr>
            <w:noProof/>
            <w:webHidden/>
          </w:rPr>
        </w:r>
        <w:r w:rsidR="002C0E50">
          <w:rPr>
            <w:noProof/>
            <w:webHidden/>
          </w:rPr>
          <w:fldChar w:fldCharType="separate"/>
        </w:r>
        <w:r w:rsidR="00A15698">
          <w:rPr>
            <w:noProof/>
            <w:webHidden/>
          </w:rPr>
          <w:t>200</w:t>
        </w:r>
        <w:r w:rsidR="002C0E50">
          <w:rPr>
            <w:noProof/>
            <w:webHidden/>
          </w:rPr>
          <w:fldChar w:fldCharType="end"/>
        </w:r>
      </w:hyperlink>
    </w:p>
    <w:p w14:paraId="630BE4C0" w14:textId="7C5B67BE" w:rsidR="002C0E50" w:rsidRDefault="00E909AE">
      <w:pPr>
        <w:pStyle w:val="TOC8"/>
        <w:rPr>
          <w:rFonts w:asciiTheme="minorHAnsi" w:eastAsiaTheme="minorEastAsia" w:hAnsiTheme="minorHAnsi" w:cstheme="minorBidi"/>
          <w:noProof/>
          <w:szCs w:val="24"/>
        </w:rPr>
      </w:pPr>
      <w:hyperlink r:id="rId98" w:anchor="_Toc82386418" w:history="1">
        <w:r w:rsidR="002C0E50" w:rsidRPr="00F40DDB">
          <w:rPr>
            <w:rStyle w:val="Hyperlink"/>
            <w:bCs/>
            <w:noProof/>
          </w:rPr>
          <w:t>Figure 4.47:</w:t>
        </w:r>
        <w:r w:rsidR="002C0E50">
          <w:rPr>
            <w:rFonts w:asciiTheme="minorHAnsi" w:eastAsiaTheme="minorEastAsia" w:hAnsiTheme="minorHAnsi" w:cstheme="minorBidi"/>
            <w:noProof/>
            <w:szCs w:val="24"/>
          </w:rPr>
          <w:tab/>
        </w:r>
        <w:r w:rsidR="002C0E50" w:rsidRPr="00F40DDB">
          <w:rPr>
            <w:rStyle w:val="Hyperlink"/>
            <w:bCs/>
            <w:noProof/>
          </w:rPr>
          <w:t xml:space="preserve">Number and Percent of Households Reported to Vaccinate Livestock Against Black Quarter by Region </w:t>
        </w:r>
        <w:r w:rsidR="002C0E50" w:rsidRPr="00F40DDB">
          <w:rPr>
            <w:rStyle w:val="Hyperlink"/>
            <w:noProof/>
          </w:rPr>
          <w:t>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_Toc82386418 \h </w:instrText>
        </w:r>
        <w:r w:rsidR="002C0E50">
          <w:rPr>
            <w:noProof/>
            <w:webHidden/>
          </w:rPr>
        </w:r>
        <w:r w:rsidR="002C0E50">
          <w:rPr>
            <w:noProof/>
            <w:webHidden/>
          </w:rPr>
          <w:fldChar w:fldCharType="separate"/>
        </w:r>
        <w:r w:rsidR="00A15698">
          <w:rPr>
            <w:noProof/>
            <w:webHidden/>
          </w:rPr>
          <w:t>200</w:t>
        </w:r>
        <w:r w:rsidR="002C0E50">
          <w:rPr>
            <w:noProof/>
            <w:webHidden/>
          </w:rPr>
          <w:fldChar w:fldCharType="end"/>
        </w:r>
      </w:hyperlink>
    </w:p>
    <w:p w14:paraId="5A537683" w14:textId="19D70C37" w:rsidR="002C0E50" w:rsidRDefault="00E909AE">
      <w:pPr>
        <w:pStyle w:val="TOC8"/>
        <w:rPr>
          <w:rFonts w:asciiTheme="minorHAnsi" w:eastAsiaTheme="minorEastAsia" w:hAnsiTheme="minorHAnsi" w:cstheme="minorBidi"/>
          <w:noProof/>
          <w:szCs w:val="24"/>
        </w:rPr>
      </w:pPr>
      <w:hyperlink r:id="rId99" w:anchor="_Toc82386419" w:history="1">
        <w:r w:rsidR="002C0E50" w:rsidRPr="00F40DDB">
          <w:rPr>
            <w:rStyle w:val="Hyperlink"/>
            <w:noProof/>
          </w:rPr>
          <w:t>Figure 4.48:</w:t>
        </w:r>
        <w:r w:rsidR="002C0E50">
          <w:rPr>
            <w:rFonts w:asciiTheme="minorHAnsi" w:eastAsiaTheme="minorEastAsia" w:hAnsiTheme="minorHAnsi" w:cstheme="minorBidi"/>
            <w:noProof/>
            <w:szCs w:val="24"/>
          </w:rPr>
          <w:tab/>
        </w:r>
        <w:r w:rsidR="002C0E50" w:rsidRPr="00F40DDB">
          <w:rPr>
            <w:rStyle w:val="Hyperlink"/>
            <w:noProof/>
          </w:rPr>
          <w:t>Number and Percent of Households Reported to Vaccinate Livestock Against Anthrax by Region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_Toc82386419 \h </w:instrText>
        </w:r>
        <w:r w:rsidR="002C0E50">
          <w:rPr>
            <w:noProof/>
            <w:webHidden/>
          </w:rPr>
        </w:r>
        <w:r w:rsidR="002C0E50">
          <w:rPr>
            <w:noProof/>
            <w:webHidden/>
          </w:rPr>
          <w:fldChar w:fldCharType="separate"/>
        </w:r>
        <w:r w:rsidR="00A15698">
          <w:rPr>
            <w:noProof/>
            <w:webHidden/>
          </w:rPr>
          <w:t>201</w:t>
        </w:r>
        <w:r w:rsidR="002C0E50">
          <w:rPr>
            <w:noProof/>
            <w:webHidden/>
          </w:rPr>
          <w:fldChar w:fldCharType="end"/>
        </w:r>
      </w:hyperlink>
    </w:p>
    <w:p w14:paraId="4EF6547C" w14:textId="11481B41" w:rsidR="002C0E50" w:rsidRDefault="00E909AE">
      <w:pPr>
        <w:pStyle w:val="TOC8"/>
        <w:rPr>
          <w:rFonts w:asciiTheme="minorHAnsi" w:eastAsiaTheme="minorEastAsia" w:hAnsiTheme="minorHAnsi" w:cstheme="minorBidi"/>
          <w:noProof/>
          <w:szCs w:val="24"/>
        </w:rPr>
      </w:pPr>
      <w:hyperlink r:id="rId100" w:anchor="_Toc82386420" w:history="1">
        <w:r w:rsidR="002C0E50" w:rsidRPr="00F40DDB">
          <w:rPr>
            <w:rStyle w:val="Hyperlink"/>
            <w:noProof/>
          </w:rPr>
          <w:t>Figure 4.49:</w:t>
        </w:r>
        <w:r w:rsidR="002C0E50">
          <w:rPr>
            <w:rFonts w:asciiTheme="minorHAnsi" w:eastAsiaTheme="minorEastAsia" w:hAnsiTheme="minorHAnsi" w:cstheme="minorBidi"/>
            <w:noProof/>
            <w:szCs w:val="24"/>
          </w:rPr>
          <w:tab/>
        </w:r>
        <w:r w:rsidR="002C0E50" w:rsidRPr="00F40DDB">
          <w:rPr>
            <w:rStyle w:val="Hyperlink"/>
            <w:noProof/>
          </w:rPr>
          <w:t>Number and Percent of Households Reported to Vaccinate Livestock Against Anthrax by Region 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_Toc82386420 \h </w:instrText>
        </w:r>
        <w:r w:rsidR="002C0E50">
          <w:rPr>
            <w:noProof/>
            <w:webHidden/>
          </w:rPr>
        </w:r>
        <w:r w:rsidR="002C0E50">
          <w:rPr>
            <w:noProof/>
            <w:webHidden/>
          </w:rPr>
          <w:fldChar w:fldCharType="separate"/>
        </w:r>
        <w:r w:rsidR="00A15698">
          <w:rPr>
            <w:noProof/>
            <w:webHidden/>
          </w:rPr>
          <w:t>201</w:t>
        </w:r>
        <w:r w:rsidR="002C0E50">
          <w:rPr>
            <w:noProof/>
            <w:webHidden/>
          </w:rPr>
          <w:fldChar w:fldCharType="end"/>
        </w:r>
      </w:hyperlink>
    </w:p>
    <w:p w14:paraId="5B13EB2B" w14:textId="3A331C66" w:rsidR="002C0E50" w:rsidRDefault="00E909AE">
      <w:pPr>
        <w:pStyle w:val="TOC8"/>
        <w:rPr>
          <w:rFonts w:asciiTheme="minorHAnsi" w:eastAsiaTheme="minorEastAsia" w:hAnsiTheme="minorHAnsi" w:cstheme="minorBidi"/>
          <w:noProof/>
          <w:szCs w:val="24"/>
        </w:rPr>
      </w:pPr>
      <w:hyperlink r:id="rId101" w:anchor="_Toc82386421" w:history="1">
        <w:r w:rsidR="002C0E50" w:rsidRPr="00F40DDB">
          <w:rPr>
            <w:rStyle w:val="Hyperlink"/>
            <w:noProof/>
          </w:rPr>
          <w:t>Figure 4.50:</w:t>
        </w:r>
        <w:r w:rsidR="002C0E50">
          <w:rPr>
            <w:rFonts w:asciiTheme="minorHAnsi" w:eastAsiaTheme="minorEastAsia" w:hAnsiTheme="minorHAnsi" w:cstheme="minorBidi"/>
            <w:noProof/>
            <w:szCs w:val="24"/>
          </w:rPr>
          <w:tab/>
        </w:r>
        <w:r w:rsidR="002C0E50" w:rsidRPr="00F40DDB">
          <w:rPr>
            <w:rStyle w:val="Hyperlink"/>
            <w:noProof/>
          </w:rPr>
          <w:t>Number and Percent of Households Reported to Vaccinate Livestock Against CBPP Disease by Region During 2019/20Agricultural Year, Mainland Tanzania</w:t>
        </w:r>
        <w:r w:rsidR="002C0E50">
          <w:rPr>
            <w:noProof/>
            <w:webHidden/>
          </w:rPr>
          <w:tab/>
        </w:r>
        <w:r w:rsidR="002C0E50">
          <w:rPr>
            <w:noProof/>
            <w:webHidden/>
          </w:rPr>
          <w:fldChar w:fldCharType="begin"/>
        </w:r>
        <w:r w:rsidR="002C0E50">
          <w:rPr>
            <w:noProof/>
            <w:webHidden/>
          </w:rPr>
          <w:instrText xml:space="preserve"> PAGEREF _Toc82386421 \h </w:instrText>
        </w:r>
        <w:r w:rsidR="002C0E50">
          <w:rPr>
            <w:noProof/>
            <w:webHidden/>
          </w:rPr>
        </w:r>
        <w:r w:rsidR="002C0E50">
          <w:rPr>
            <w:noProof/>
            <w:webHidden/>
          </w:rPr>
          <w:fldChar w:fldCharType="separate"/>
        </w:r>
        <w:r w:rsidR="00A15698">
          <w:rPr>
            <w:noProof/>
            <w:webHidden/>
          </w:rPr>
          <w:t>202</w:t>
        </w:r>
        <w:r w:rsidR="002C0E50">
          <w:rPr>
            <w:noProof/>
            <w:webHidden/>
          </w:rPr>
          <w:fldChar w:fldCharType="end"/>
        </w:r>
      </w:hyperlink>
    </w:p>
    <w:p w14:paraId="2631AD76" w14:textId="713DF003" w:rsidR="002C0E50" w:rsidRDefault="00E909AE">
      <w:pPr>
        <w:pStyle w:val="TOC8"/>
        <w:rPr>
          <w:rFonts w:asciiTheme="minorHAnsi" w:eastAsiaTheme="minorEastAsia" w:hAnsiTheme="minorHAnsi" w:cstheme="minorBidi"/>
          <w:noProof/>
          <w:szCs w:val="24"/>
        </w:rPr>
      </w:pPr>
      <w:hyperlink w:anchor="_Toc82386422" w:history="1">
        <w:r w:rsidR="002C0E50" w:rsidRPr="00F40DDB">
          <w:rPr>
            <w:rStyle w:val="Hyperlink"/>
            <w:noProof/>
          </w:rPr>
          <w:t>Figure 4.51:</w:t>
        </w:r>
        <w:r w:rsidR="002C0E50">
          <w:rPr>
            <w:rFonts w:asciiTheme="minorHAnsi" w:eastAsiaTheme="minorEastAsia" w:hAnsiTheme="minorHAnsi" w:cstheme="minorBidi"/>
            <w:noProof/>
            <w:szCs w:val="24"/>
          </w:rPr>
          <w:tab/>
        </w:r>
        <w:r w:rsidR="002C0E50" w:rsidRPr="00F40DDB">
          <w:rPr>
            <w:rStyle w:val="Hyperlink"/>
            <w:noProof/>
          </w:rPr>
          <w:t>Percentage of Cattle Rearing Households Reported Sources of Vaccine by Type Disease During 2019/20 Agricultural Year, Tanzania</w:t>
        </w:r>
        <w:r w:rsidR="002C0E50">
          <w:rPr>
            <w:noProof/>
            <w:webHidden/>
          </w:rPr>
          <w:tab/>
        </w:r>
        <w:r w:rsidR="002C0E50">
          <w:rPr>
            <w:noProof/>
            <w:webHidden/>
          </w:rPr>
          <w:fldChar w:fldCharType="begin"/>
        </w:r>
        <w:r w:rsidR="002C0E50">
          <w:rPr>
            <w:noProof/>
            <w:webHidden/>
          </w:rPr>
          <w:instrText xml:space="preserve"> PAGEREF _Toc82386422 \h </w:instrText>
        </w:r>
        <w:r w:rsidR="002C0E50">
          <w:rPr>
            <w:noProof/>
            <w:webHidden/>
          </w:rPr>
        </w:r>
        <w:r w:rsidR="002C0E50">
          <w:rPr>
            <w:noProof/>
            <w:webHidden/>
          </w:rPr>
          <w:fldChar w:fldCharType="separate"/>
        </w:r>
        <w:r w:rsidR="00A15698">
          <w:rPr>
            <w:noProof/>
            <w:webHidden/>
          </w:rPr>
          <w:t>203</w:t>
        </w:r>
        <w:r w:rsidR="002C0E50">
          <w:rPr>
            <w:noProof/>
            <w:webHidden/>
          </w:rPr>
          <w:fldChar w:fldCharType="end"/>
        </w:r>
      </w:hyperlink>
    </w:p>
    <w:p w14:paraId="5AD83D5D" w14:textId="1D5D99EE" w:rsidR="002C0E50" w:rsidRDefault="00E909AE">
      <w:pPr>
        <w:pStyle w:val="TOC8"/>
        <w:rPr>
          <w:rFonts w:asciiTheme="minorHAnsi" w:eastAsiaTheme="minorEastAsia" w:hAnsiTheme="minorHAnsi" w:cstheme="minorBidi"/>
          <w:noProof/>
          <w:szCs w:val="24"/>
        </w:rPr>
      </w:pPr>
      <w:hyperlink r:id="rId102" w:anchor="_Toc82386423" w:history="1">
        <w:r w:rsidR="002C0E50" w:rsidRPr="00F40DDB">
          <w:rPr>
            <w:rStyle w:val="Hyperlink"/>
            <w:noProof/>
          </w:rPr>
          <w:t>Figure 4.52:</w:t>
        </w:r>
        <w:r w:rsidR="002C0E50">
          <w:rPr>
            <w:rFonts w:asciiTheme="minorHAnsi" w:eastAsiaTheme="minorEastAsia" w:hAnsiTheme="minorHAnsi" w:cstheme="minorBidi"/>
            <w:noProof/>
            <w:szCs w:val="24"/>
          </w:rPr>
          <w:tab/>
        </w:r>
        <w:r w:rsidR="002C0E50" w:rsidRPr="00F40DDB">
          <w:rPr>
            <w:rStyle w:val="Hyperlink"/>
            <w:noProof/>
          </w:rPr>
          <w:t>Percentage Distribution of Households Reported Tick Control Methods During 2019/20 Agricultural Year, Tanzania</w:t>
        </w:r>
        <w:r w:rsidR="002C0E50">
          <w:rPr>
            <w:noProof/>
            <w:webHidden/>
          </w:rPr>
          <w:tab/>
        </w:r>
        <w:r w:rsidR="002C0E50">
          <w:rPr>
            <w:noProof/>
            <w:webHidden/>
          </w:rPr>
          <w:fldChar w:fldCharType="begin"/>
        </w:r>
        <w:r w:rsidR="002C0E50">
          <w:rPr>
            <w:noProof/>
            <w:webHidden/>
          </w:rPr>
          <w:instrText xml:space="preserve"> PAGEREF _Toc82386423 \h </w:instrText>
        </w:r>
        <w:r w:rsidR="002C0E50">
          <w:rPr>
            <w:noProof/>
            <w:webHidden/>
          </w:rPr>
        </w:r>
        <w:r w:rsidR="002C0E50">
          <w:rPr>
            <w:noProof/>
            <w:webHidden/>
          </w:rPr>
          <w:fldChar w:fldCharType="separate"/>
        </w:r>
        <w:r w:rsidR="00A15698">
          <w:rPr>
            <w:noProof/>
            <w:webHidden/>
          </w:rPr>
          <w:t>203</w:t>
        </w:r>
        <w:r w:rsidR="002C0E50">
          <w:rPr>
            <w:noProof/>
            <w:webHidden/>
          </w:rPr>
          <w:fldChar w:fldCharType="end"/>
        </w:r>
      </w:hyperlink>
    </w:p>
    <w:p w14:paraId="34B70D26" w14:textId="7B7B1668" w:rsidR="002C0E50" w:rsidRDefault="00E909AE">
      <w:pPr>
        <w:pStyle w:val="TOC8"/>
        <w:rPr>
          <w:rFonts w:asciiTheme="minorHAnsi" w:eastAsiaTheme="minorEastAsia" w:hAnsiTheme="minorHAnsi" w:cstheme="minorBidi"/>
          <w:noProof/>
          <w:szCs w:val="24"/>
        </w:rPr>
      </w:pPr>
      <w:hyperlink r:id="rId103" w:anchor="_Toc82386424" w:history="1">
        <w:r w:rsidR="002C0E50" w:rsidRPr="00F40DDB">
          <w:rPr>
            <w:rStyle w:val="Hyperlink"/>
            <w:noProof/>
          </w:rPr>
          <w:t>Figure 4.53:</w:t>
        </w:r>
        <w:r w:rsidR="002C0E50">
          <w:rPr>
            <w:rFonts w:asciiTheme="minorHAnsi" w:eastAsiaTheme="minorEastAsia" w:hAnsiTheme="minorHAnsi" w:cstheme="minorBidi"/>
            <w:noProof/>
            <w:szCs w:val="24"/>
          </w:rPr>
          <w:tab/>
        </w:r>
        <w:r w:rsidR="002C0E50" w:rsidRPr="00F40DDB">
          <w:rPr>
            <w:rStyle w:val="Hyperlink"/>
            <w:noProof/>
          </w:rPr>
          <w:t>Percent of Households Reported Tsetse Flies Control Methods During 2019/20 Agricultural Year, Tanzania</w:t>
        </w:r>
        <w:r w:rsidR="002C0E50">
          <w:rPr>
            <w:noProof/>
            <w:webHidden/>
          </w:rPr>
          <w:tab/>
        </w:r>
        <w:r w:rsidR="002C0E50">
          <w:rPr>
            <w:noProof/>
            <w:webHidden/>
          </w:rPr>
          <w:fldChar w:fldCharType="begin"/>
        </w:r>
        <w:r w:rsidR="002C0E50">
          <w:rPr>
            <w:noProof/>
            <w:webHidden/>
          </w:rPr>
          <w:instrText xml:space="preserve"> PAGEREF _Toc82386424 \h </w:instrText>
        </w:r>
        <w:r w:rsidR="002C0E50">
          <w:rPr>
            <w:noProof/>
            <w:webHidden/>
          </w:rPr>
        </w:r>
        <w:r w:rsidR="002C0E50">
          <w:rPr>
            <w:noProof/>
            <w:webHidden/>
          </w:rPr>
          <w:fldChar w:fldCharType="separate"/>
        </w:r>
        <w:r w:rsidR="00A15698">
          <w:rPr>
            <w:noProof/>
            <w:webHidden/>
          </w:rPr>
          <w:t>204</w:t>
        </w:r>
        <w:r w:rsidR="002C0E50">
          <w:rPr>
            <w:noProof/>
            <w:webHidden/>
          </w:rPr>
          <w:fldChar w:fldCharType="end"/>
        </w:r>
      </w:hyperlink>
    </w:p>
    <w:p w14:paraId="6D804803" w14:textId="6BE066F8" w:rsidR="002C0E50" w:rsidRDefault="00E909AE">
      <w:pPr>
        <w:pStyle w:val="TOC8"/>
        <w:rPr>
          <w:rFonts w:asciiTheme="minorHAnsi" w:eastAsiaTheme="minorEastAsia" w:hAnsiTheme="minorHAnsi" w:cstheme="minorBidi"/>
          <w:noProof/>
          <w:szCs w:val="24"/>
        </w:rPr>
      </w:pPr>
      <w:hyperlink r:id="rId104" w:anchor="_Toc82386425" w:history="1">
        <w:r w:rsidR="002C0E50" w:rsidRPr="00F40DDB">
          <w:rPr>
            <w:rStyle w:val="Hyperlink"/>
            <w:noProof/>
          </w:rPr>
          <w:t>Figure 4.54:</w:t>
        </w:r>
        <w:r w:rsidR="002C0E50">
          <w:rPr>
            <w:rFonts w:asciiTheme="minorHAnsi" w:eastAsiaTheme="minorEastAsia" w:hAnsiTheme="minorHAnsi" w:cstheme="minorBidi"/>
            <w:noProof/>
            <w:szCs w:val="24"/>
          </w:rPr>
          <w:tab/>
        </w:r>
        <w:r w:rsidR="002C0E50" w:rsidRPr="00F40DDB">
          <w:rPr>
            <w:rStyle w:val="Hyperlink"/>
            <w:noProof/>
          </w:rPr>
          <w:t>Percent of Households Reported NCD Control Methods During 2019/20 Agricultural Year, Tanzania</w:t>
        </w:r>
        <w:r w:rsidR="002C0E50">
          <w:rPr>
            <w:noProof/>
            <w:webHidden/>
          </w:rPr>
          <w:tab/>
        </w:r>
        <w:r w:rsidR="002C0E50">
          <w:rPr>
            <w:noProof/>
            <w:webHidden/>
          </w:rPr>
          <w:fldChar w:fldCharType="begin"/>
        </w:r>
        <w:r w:rsidR="002C0E50">
          <w:rPr>
            <w:noProof/>
            <w:webHidden/>
          </w:rPr>
          <w:instrText xml:space="preserve"> PAGEREF _Toc82386425 \h </w:instrText>
        </w:r>
        <w:r w:rsidR="002C0E50">
          <w:rPr>
            <w:noProof/>
            <w:webHidden/>
          </w:rPr>
        </w:r>
        <w:r w:rsidR="002C0E50">
          <w:rPr>
            <w:noProof/>
            <w:webHidden/>
          </w:rPr>
          <w:fldChar w:fldCharType="separate"/>
        </w:r>
        <w:r w:rsidR="00A15698">
          <w:rPr>
            <w:noProof/>
            <w:webHidden/>
          </w:rPr>
          <w:t>204</w:t>
        </w:r>
        <w:r w:rsidR="002C0E50">
          <w:rPr>
            <w:noProof/>
            <w:webHidden/>
          </w:rPr>
          <w:fldChar w:fldCharType="end"/>
        </w:r>
      </w:hyperlink>
    </w:p>
    <w:p w14:paraId="6D5799CB" w14:textId="64DB067F" w:rsidR="002C0E50" w:rsidRDefault="00E909AE">
      <w:pPr>
        <w:pStyle w:val="TOC8"/>
        <w:rPr>
          <w:rFonts w:asciiTheme="minorHAnsi" w:eastAsiaTheme="minorEastAsia" w:hAnsiTheme="minorHAnsi" w:cstheme="minorBidi"/>
          <w:noProof/>
          <w:szCs w:val="24"/>
        </w:rPr>
      </w:pPr>
      <w:hyperlink w:anchor="_Toc82386426" w:history="1">
        <w:r w:rsidR="002C0E50" w:rsidRPr="00F40DDB">
          <w:rPr>
            <w:rStyle w:val="Hyperlink"/>
            <w:noProof/>
          </w:rPr>
          <w:t>Figure 4.55:</w:t>
        </w:r>
        <w:r w:rsidR="002C0E50">
          <w:rPr>
            <w:rFonts w:asciiTheme="minorHAnsi" w:eastAsiaTheme="minorEastAsia" w:hAnsiTheme="minorHAnsi" w:cstheme="minorBidi"/>
            <w:noProof/>
            <w:szCs w:val="24"/>
          </w:rPr>
          <w:tab/>
        </w:r>
        <w:r w:rsidR="002C0E50" w:rsidRPr="00F40DDB">
          <w:rPr>
            <w:rStyle w:val="Hyperlink"/>
            <w:noProof/>
          </w:rPr>
          <w:t>Percentage of Households Reported to Deworm Livestock During 2019/20 Agriculture Year, Mainland Tanzania</w:t>
        </w:r>
        <w:r w:rsidR="002C0E50">
          <w:rPr>
            <w:noProof/>
            <w:webHidden/>
          </w:rPr>
          <w:tab/>
        </w:r>
        <w:r w:rsidR="002C0E50">
          <w:rPr>
            <w:noProof/>
            <w:webHidden/>
          </w:rPr>
          <w:fldChar w:fldCharType="begin"/>
        </w:r>
        <w:r w:rsidR="002C0E50">
          <w:rPr>
            <w:noProof/>
            <w:webHidden/>
          </w:rPr>
          <w:instrText xml:space="preserve"> PAGEREF _Toc82386426 \h </w:instrText>
        </w:r>
        <w:r w:rsidR="002C0E50">
          <w:rPr>
            <w:noProof/>
            <w:webHidden/>
          </w:rPr>
        </w:r>
        <w:r w:rsidR="002C0E50">
          <w:rPr>
            <w:noProof/>
            <w:webHidden/>
          </w:rPr>
          <w:fldChar w:fldCharType="separate"/>
        </w:r>
        <w:r w:rsidR="00A15698">
          <w:rPr>
            <w:noProof/>
            <w:webHidden/>
          </w:rPr>
          <w:t>206</w:t>
        </w:r>
        <w:r w:rsidR="002C0E50">
          <w:rPr>
            <w:noProof/>
            <w:webHidden/>
          </w:rPr>
          <w:fldChar w:fldCharType="end"/>
        </w:r>
      </w:hyperlink>
    </w:p>
    <w:p w14:paraId="54B3E094" w14:textId="13F39D8C" w:rsidR="002C0E50" w:rsidRDefault="00E909AE">
      <w:pPr>
        <w:pStyle w:val="TOC8"/>
        <w:rPr>
          <w:rFonts w:asciiTheme="minorHAnsi" w:eastAsiaTheme="minorEastAsia" w:hAnsiTheme="minorHAnsi" w:cstheme="minorBidi"/>
          <w:noProof/>
          <w:szCs w:val="24"/>
        </w:rPr>
      </w:pPr>
      <w:hyperlink w:anchor="_Toc82386427" w:history="1">
        <w:r w:rsidR="002C0E50" w:rsidRPr="00F40DDB">
          <w:rPr>
            <w:rStyle w:val="Hyperlink"/>
            <w:noProof/>
          </w:rPr>
          <w:t>Figure 4.56:</w:t>
        </w:r>
        <w:r w:rsidR="002C0E50">
          <w:rPr>
            <w:rFonts w:asciiTheme="minorHAnsi" w:eastAsiaTheme="minorEastAsia" w:hAnsiTheme="minorHAnsi" w:cstheme="minorBidi"/>
            <w:noProof/>
            <w:szCs w:val="24"/>
          </w:rPr>
          <w:tab/>
        </w:r>
        <w:r w:rsidR="002C0E50" w:rsidRPr="00F40DDB">
          <w:rPr>
            <w:rStyle w:val="Hyperlink"/>
            <w:noProof/>
          </w:rPr>
          <w:t>Percentage of Households Reported to Deworm Livestock 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_Toc82386427 \h </w:instrText>
        </w:r>
        <w:r w:rsidR="002C0E50">
          <w:rPr>
            <w:noProof/>
            <w:webHidden/>
          </w:rPr>
        </w:r>
        <w:r w:rsidR="002C0E50">
          <w:rPr>
            <w:noProof/>
            <w:webHidden/>
          </w:rPr>
          <w:fldChar w:fldCharType="separate"/>
        </w:r>
        <w:r w:rsidR="00A15698">
          <w:rPr>
            <w:noProof/>
            <w:webHidden/>
          </w:rPr>
          <w:t>206</w:t>
        </w:r>
        <w:r w:rsidR="002C0E50">
          <w:rPr>
            <w:noProof/>
            <w:webHidden/>
          </w:rPr>
          <w:fldChar w:fldCharType="end"/>
        </w:r>
      </w:hyperlink>
    </w:p>
    <w:p w14:paraId="13BB73E5" w14:textId="2169EC9C" w:rsidR="002C0E50" w:rsidRDefault="00E909AE">
      <w:pPr>
        <w:pStyle w:val="TOC8"/>
        <w:rPr>
          <w:rFonts w:asciiTheme="minorHAnsi" w:eastAsiaTheme="minorEastAsia" w:hAnsiTheme="minorHAnsi" w:cstheme="minorBidi"/>
          <w:noProof/>
          <w:szCs w:val="24"/>
        </w:rPr>
      </w:pPr>
      <w:hyperlink r:id="rId105" w:anchor="_Toc82386428" w:history="1">
        <w:r w:rsidR="002C0E50" w:rsidRPr="00F40DDB">
          <w:rPr>
            <w:rStyle w:val="Hyperlink"/>
            <w:noProof/>
          </w:rPr>
          <w:t>Figure 4.57:</w:t>
        </w:r>
        <w:r w:rsidR="002C0E50">
          <w:rPr>
            <w:rFonts w:asciiTheme="minorHAnsi" w:eastAsiaTheme="minorEastAsia" w:hAnsiTheme="minorHAnsi" w:cstheme="minorBidi"/>
            <w:noProof/>
            <w:szCs w:val="24"/>
          </w:rPr>
          <w:tab/>
        </w:r>
        <w:r w:rsidR="002C0E50" w:rsidRPr="00F40DDB">
          <w:rPr>
            <w:rStyle w:val="Hyperlink"/>
            <w:noProof/>
          </w:rPr>
          <w:t>Percentage of Households Received Extension Service Advice for Livestock During 2019/20 Agricultural Year, Tanzania</w:t>
        </w:r>
        <w:r w:rsidR="002C0E50">
          <w:rPr>
            <w:noProof/>
            <w:webHidden/>
          </w:rPr>
          <w:tab/>
        </w:r>
        <w:r w:rsidR="002C0E50">
          <w:rPr>
            <w:noProof/>
            <w:webHidden/>
          </w:rPr>
          <w:fldChar w:fldCharType="begin"/>
        </w:r>
        <w:r w:rsidR="002C0E50">
          <w:rPr>
            <w:noProof/>
            <w:webHidden/>
          </w:rPr>
          <w:instrText xml:space="preserve"> PAGEREF _Toc82386428 \h </w:instrText>
        </w:r>
        <w:r w:rsidR="002C0E50">
          <w:rPr>
            <w:noProof/>
            <w:webHidden/>
          </w:rPr>
        </w:r>
        <w:r w:rsidR="002C0E50">
          <w:rPr>
            <w:noProof/>
            <w:webHidden/>
          </w:rPr>
          <w:fldChar w:fldCharType="separate"/>
        </w:r>
        <w:r w:rsidR="00A15698">
          <w:rPr>
            <w:noProof/>
            <w:webHidden/>
          </w:rPr>
          <w:t>207</w:t>
        </w:r>
        <w:r w:rsidR="002C0E50">
          <w:rPr>
            <w:noProof/>
            <w:webHidden/>
          </w:rPr>
          <w:fldChar w:fldCharType="end"/>
        </w:r>
      </w:hyperlink>
    </w:p>
    <w:p w14:paraId="1959E1C6" w14:textId="595A87A2" w:rsidR="002C0E50" w:rsidRDefault="00E909AE">
      <w:pPr>
        <w:pStyle w:val="TOC8"/>
        <w:rPr>
          <w:rFonts w:asciiTheme="minorHAnsi" w:eastAsiaTheme="minorEastAsia" w:hAnsiTheme="minorHAnsi" w:cstheme="minorBidi"/>
          <w:noProof/>
          <w:szCs w:val="24"/>
        </w:rPr>
      </w:pPr>
      <w:hyperlink w:anchor="_Toc82386429" w:history="1">
        <w:r w:rsidR="002C0E50" w:rsidRPr="00F40DDB">
          <w:rPr>
            <w:rStyle w:val="Hyperlink"/>
            <w:noProof/>
          </w:rPr>
          <w:t>Figure 4.58:</w:t>
        </w:r>
        <w:r w:rsidR="002C0E50">
          <w:rPr>
            <w:rFonts w:asciiTheme="minorHAnsi" w:eastAsiaTheme="minorEastAsia" w:hAnsiTheme="minorHAnsi" w:cstheme="minorBidi"/>
            <w:noProof/>
            <w:szCs w:val="24"/>
          </w:rPr>
          <w:tab/>
        </w:r>
        <w:r w:rsidR="002C0E50" w:rsidRPr="00F40DDB">
          <w:rPr>
            <w:rStyle w:val="Hyperlink"/>
            <w:noProof/>
          </w:rPr>
          <w:t>Number of Households Received Extension Advices for Livestock by Region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_Toc82386429 \h </w:instrText>
        </w:r>
        <w:r w:rsidR="002C0E50">
          <w:rPr>
            <w:noProof/>
            <w:webHidden/>
          </w:rPr>
        </w:r>
        <w:r w:rsidR="002C0E50">
          <w:rPr>
            <w:noProof/>
            <w:webHidden/>
          </w:rPr>
          <w:fldChar w:fldCharType="separate"/>
        </w:r>
        <w:r w:rsidR="00A15698">
          <w:rPr>
            <w:noProof/>
            <w:webHidden/>
          </w:rPr>
          <w:t>207</w:t>
        </w:r>
        <w:r w:rsidR="002C0E50">
          <w:rPr>
            <w:noProof/>
            <w:webHidden/>
          </w:rPr>
          <w:fldChar w:fldCharType="end"/>
        </w:r>
      </w:hyperlink>
    </w:p>
    <w:p w14:paraId="28372AA5" w14:textId="347010F4" w:rsidR="002C0E50" w:rsidRDefault="00E909AE">
      <w:pPr>
        <w:pStyle w:val="TOC8"/>
        <w:rPr>
          <w:rFonts w:asciiTheme="minorHAnsi" w:eastAsiaTheme="minorEastAsia" w:hAnsiTheme="minorHAnsi" w:cstheme="minorBidi"/>
          <w:noProof/>
          <w:szCs w:val="24"/>
        </w:rPr>
      </w:pPr>
      <w:hyperlink w:anchor="_Toc82386430" w:history="1">
        <w:r w:rsidR="002C0E50" w:rsidRPr="00F40DDB">
          <w:rPr>
            <w:rStyle w:val="Hyperlink"/>
            <w:bCs/>
            <w:noProof/>
          </w:rPr>
          <w:t>Figure 4.59:</w:t>
        </w:r>
        <w:r w:rsidR="002C0E50">
          <w:rPr>
            <w:rFonts w:asciiTheme="minorHAnsi" w:eastAsiaTheme="minorEastAsia" w:hAnsiTheme="minorHAnsi" w:cstheme="minorBidi"/>
            <w:noProof/>
            <w:szCs w:val="24"/>
          </w:rPr>
          <w:tab/>
        </w:r>
        <w:r w:rsidR="002C0E50" w:rsidRPr="00F40DDB">
          <w:rPr>
            <w:rStyle w:val="Hyperlink"/>
            <w:bCs/>
            <w:noProof/>
          </w:rPr>
          <w:t>Number of Households Received Extension Service Advices for Livestock by Region 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_Toc82386430 \h </w:instrText>
        </w:r>
        <w:r w:rsidR="002C0E50">
          <w:rPr>
            <w:noProof/>
            <w:webHidden/>
          </w:rPr>
        </w:r>
        <w:r w:rsidR="002C0E50">
          <w:rPr>
            <w:noProof/>
            <w:webHidden/>
          </w:rPr>
          <w:fldChar w:fldCharType="separate"/>
        </w:r>
        <w:r w:rsidR="00A15698">
          <w:rPr>
            <w:noProof/>
            <w:webHidden/>
          </w:rPr>
          <w:t>208</w:t>
        </w:r>
        <w:r w:rsidR="002C0E50">
          <w:rPr>
            <w:noProof/>
            <w:webHidden/>
          </w:rPr>
          <w:fldChar w:fldCharType="end"/>
        </w:r>
      </w:hyperlink>
    </w:p>
    <w:p w14:paraId="676BBAE1" w14:textId="2631852D" w:rsidR="002C0E50" w:rsidRDefault="00E909AE">
      <w:pPr>
        <w:pStyle w:val="TOC8"/>
        <w:rPr>
          <w:rFonts w:asciiTheme="minorHAnsi" w:eastAsiaTheme="minorEastAsia" w:hAnsiTheme="minorHAnsi" w:cstheme="minorBidi"/>
          <w:noProof/>
          <w:szCs w:val="24"/>
        </w:rPr>
      </w:pPr>
      <w:hyperlink w:anchor="_Toc82386431" w:history="1">
        <w:r w:rsidR="002C0E50" w:rsidRPr="00F40DDB">
          <w:rPr>
            <w:rStyle w:val="Hyperlink"/>
            <w:noProof/>
          </w:rPr>
          <w:t>Figure 4.60:</w:t>
        </w:r>
        <w:r w:rsidR="002C0E50">
          <w:rPr>
            <w:rFonts w:asciiTheme="minorHAnsi" w:eastAsiaTheme="minorEastAsia" w:hAnsiTheme="minorHAnsi" w:cstheme="minorBidi"/>
            <w:noProof/>
            <w:szCs w:val="24"/>
          </w:rPr>
          <w:tab/>
        </w:r>
        <w:r w:rsidR="002C0E50" w:rsidRPr="00F40DDB">
          <w:rPr>
            <w:rStyle w:val="Hyperlink"/>
            <w:noProof/>
          </w:rPr>
          <w:t>Number and Percentage of Households Received Extension Advice on Disease Control for Livestock by Region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_Toc82386431 \h </w:instrText>
        </w:r>
        <w:r w:rsidR="002C0E50">
          <w:rPr>
            <w:noProof/>
            <w:webHidden/>
          </w:rPr>
        </w:r>
        <w:r w:rsidR="002C0E50">
          <w:rPr>
            <w:noProof/>
            <w:webHidden/>
          </w:rPr>
          <w:fldChar w:fldCharType="separate"/>
        </w:r>
        <w:r w:rsidR="00A15698">
          <w:rPr>
            <w:noProof/>
            <w:webHidden/>
          </w:rPr>
          <w:t>209</w:t>
        </w:r>
        <w:r w:rsidR="002C0E50">
          <w:rPr>
            <w:noProof/>
            <w:webHidden/>
          </w:rPr>
          <w:fldChar w:fldCharType="end"/>
        </w:r>
      </w:hyperlink>
    </w:p>
    <w:p w14:paraId="2AED39C2" w14:textId="1B3A48A5" w:rsidR="002C0E50" w:rsidRDefault="00E909AE">
      <w:pPr>
        <w:pStyle w:val="TOC8"/>
        <w:rPr>
          <w:rFonts w:asciiTheme="minorHAnsi" w:eastAsiaTheme="minorEastAsia" w:hAnsiTheme="minorHAnsi" w:cstheme="minorBidi"/>
          <w:noProof/>
          <w:szCs w:val="24"/>
        </w:rPr>
      </w:pPr>
      <w:hyperlink r:id="rId106" w:anchor="_Toc82386432" w:history="1">
        <w:r w:rsidR="002C0E50" w:rsidRPr="00F40DDB">
          <w:rPr>
            <w:rStyle w:val="Hyperlink"/>
            <w:noProof/>
          </w:rPr>
          <w:t>Figure 4.61:</w:t>
        </w:r>
        <w:r w:rsidR="002C0E50">
          <w:rPr>
            <w:rFonts w:asciiTheme="minorHAnsi" w:eastAsiaTheme="minorEastAsia" w:hAnsiTheme="minorHAnsi" w:cstheme="minorBidi"/>
            <w:noProof/>
            <w:szCs w:val="24"/>
          </w:rPr>
          <w:tab/>
        </w:r>
        <w:r w:rsidR="002C0E50" w:rsidRPr="00F40DDB">
          <w:rPr>
            <w:rStyle w:val="Hyperlink"/>
            <w:noProof/>
          </w:rPr>
          <w:t>Number and Percentage of Households Received Extension Advice on Feed and Proper Feeding for Livestock by Region During 2019/20 Agriculture Year, Mainland Tanzania</w:t>
        </w:r>
        <w:r w:rsidR="002C0E50">
          <w:rPr>
            <w:noProof/>
            <w:webHidden/>
          </w:rPr>
          <w:tab/>
        </w:r>
        <w:r w:rsidR="002C0E50">
          <w:rPr>
            <w:noProof/>
            <w:webHidden/>
          </w:rPr>
          <w:fldChar w:fldCharType="begin"/>
        </w:r>
        <w:r w:rsidR="002C0E50">
          <w:rPr>
            <w:noProof/>
            <w:webHidden/>
          </w:rPr>
          <w:instrText xml:space="preserve"> PAGEREF _Toc82386432 \h </w:instrText>
        </w:r>
        <w:r w:rsidR="002C0E50">
          <w:rPr>
            <w:noProof/>
            <w:webHidden/>
          </w:rPr>
        </w:r>
        <w:r w:rsidR="002C0E50">
          <w:rPr>
            <w:noProof/>
            <w:webHidden/>
          </w:rPr>
          <w:fldChar w:fldCharType="separate"/>
        </w:r>
        <w:r w:rsidR="00A15698">
          <w:rPr>
            <w:noProof/>
            <w:webHidden/>
          </w:rPr>
          <w:t>210</w:t>
        </w:r>
        <w:r w:rsidR="002C0E50">
          <w:rPr>
            <w:noProof/>
            <w:webHidden/>
          </w:rPr>
          <w:fldChar w:fldCharType="end"/>
        </w:r>
      </w:hyperlink>
    </w:p>
    <w:p w14:paraId="69CD9028" w14:textId="2934F45C" w:rsidR="002C0E50" w:rsidRDefault="00E909AE">
      <w:pPr>
        <w:pStyle w:val="TOC8"/>
        <w:rPr>
          <w:rFonts w:asciiTheme="minorHAnsi" w:eastAsiaTheme="minorEastAsia" w:hAnsiTheme="minorHAnsi" w:cstheme="minorBidi"/>
          <w:noProof/>
          <w:szCs w:val="24"/>
        </w:rPr>
      </w:pPr>
      <w:hyperlink r:id="rId107" w:anchor="_Toc82386433" w:history="1">
        <w:r w:rsidR="002C0E50" w:rsidRPr="00F40DDB">
          <w:rPr>
            <w:rStyle w:val="Hyperlink"/>
            <w:noProof/>
          </w:rPr>
          <w:t>Figure 4.62:</w:t>
        </w:r>
        <w:r w:rsidR="002C0E50">
          <w:rPr>
            <w:rFonts w:asciiTheme="minorHAnsi" w:eastAsiaTheme="minorEastAsia" w:hAnsiTheme="minorHAnsi" w:cstheme="minorBidi"/>
            <w:noProof/>
            <w:szCs w:val="24"/>
          </w:rPr>
          <w:tab/>
        </w:r>
        <w:r w:rsidR="002C0E50" w:rsidRPr="00F40DDB">
          <w:rPr>
            <w:rStyle w:val="Hyperlink"/>
            <w:noProof/>
          </w:rPr>
          <w:t>Number and Percentage of Households Received Extension Advice on Disease Control for Livestock by Region 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_Toc82386433 \h </w:instrText>
        </w:r>
        <w:r w:rsidR="002C0E50">
          <w:rPr>
            <w:noProof/>
            <w:webHidden/>
          </w:rPr>
        </w:r>
        <w:r w:rsidR="002C0E50">
          <w:rPr>
            <w:noProof/>
            <w:webHidden/>
          </w:rPr>
          <w:fldChar w:fldCharType="separate"/>
        </w:r>
        <w:r w:rsidR="00A15698">
          <w:rPr>
            <w:noProof/>
            <w:webHidden/>
          </w:rPr>
          <w:t>210</w:t>
        </w:r>
        <w:r w:rsidR="002C0E50">
          <w:rPr>
            <w:noProof/>
            <w:webHidden/>
          </w:rPr>
          <w:fldChar w:fldCharType="end"/>
        </w:r>
      </w:hyperlink>
    </w:p>
    <w:p w14:paraId="0E202FB7" w14:textId="6374AC20" w:rsidR="002C0E50" w:rsidRDefault="00E909AE">
      <w:pPr>
        <w:pStyle w:val="TOC8"/>
        <w:rPr>
          <w:rFonts w:asciiTheme="minorHAnsi" w:eastAsiaTheme="minorEastAsia" w:hAnsiTheme="minorHAnsi" w:cstheme="minorBidi"/>
          <w:noProof/>
          <w:szCs w:val="24"/>
        </w:rPr>
      </w:pPr>
      <w:hyperlink r:id="rId108" w:anchor="_Toc82386434" w:history="1">
        <w:r w:rsidR="002C0E50" w:rsidRPr="00F40DDB">
          <w:rPr>
            <w:rStyle w:val="Hyperlink"/>
            <w:noProof/>
          </w:rPr>
          <w:t>Figure 4.63:</w:t>
        </w:r>
        <w:r w:rsidR="002C0E50">
          <w:rPr>
            <w:rFonts w:asciiTheme="minorHAnsi" w:eastAsiaTheme="minorEastAsia" w:hAnsiTheme="minorHAnsi" w:cstheme="minorBidi"/>
            <w:noProof/>
            <w:szCs w:val="24"/>
          </w:rPr>
          <w:tab/>
        </w:r>
        <w:r w:rsidR="002C0E50" w:rsidRPr="00F40DDB">
          <w:rPr>
            <w:rStyle w:val="Hyperlink"/>
            <w:noProof/>
          </w:rPr>
          <w:t>Number of Households Received Extension Advice Feed and Proper Feeding for Livestock by Region 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_Toc82386434 \h </w:instrText>
        </w:r>
        <w:r w:rsidR="002C0E50">
          <w:rPr>
            <w:noProof/>
            <w:webHidden/>
          </w:rPr>
        </w:r>
        <w:r w:rsidR="002C0E50">
          <w:rPr>
            <w:noProof/>
            <w:webHidden/>
          </w:rPr>
          <w:fldChar w:fldCharType="separate"/>
        </w:r>
        <w:r w:rsidR="00A15698">
          <w:rPr>
            <w:noProof/>
            <w:webHidden/>
          </w:rPr>
          <w:t>211</w:t>
        </w:r>
        <w:r w:rsidR="002C0E50">
          <w:rPr>
            <w:noProof/>
            <w:webHidden/>
          </w:rPr>
          <w:fldChar w:fldCharType="end"/>
        </w:r>
      </w:hyperlink>
    </w:p>
    <w:p w14:paraId="03D34983" w14:textId="2153ED96" w:rsidR="002C0E50" w:rsidRDefault="00E909AE">
      <w:pPr>
        <w:pStyle w:val="TOC8"/>
        <w:rPr>
          <w:rFonts w:asciiTheme="minorHAnsi" w:eastAsiaTheme="minorEastAsia" w:hAnsiTheme="minorHAnsi" w:cstheme="minorBidi"/>
          <w:noProof/>
          <w:szCs w:val="24"/>
        </w:rPr>
      </w:pPr>
      <w:hyperlink w:anchor="_Toc82386435" w:history="1">
        <w:r w:rsidR="002C0E50" w:rsidRPr="00F40DDB">
          <w:rPr>
            <w:rStyle w:val="Hyperlink"/>
            <w:noProof/>
          </w:rPr>
          <w:t>Figure 4.64:</w:t>
        </w:r>
        <w:r w:rsidR="002C0E50">
          <w:rPr>
            <w:rFonts w:asciiTheme="minorHAnsi" w:eastAsiaTheme="minorEastAsia" w:hAnsiTheme="minorHAnsi" w:cstheme="minorBidi"/>
            <w:noProof/>
            <w:szCs w:val="24"/>
          </w:rPr>
          <w:tab/>
        </w:r>
        <w:r w:rsidR="002C0E50" w:rsidRPr="00F40DDB">
          <w:rPr>
            <w:rStyle w:val="Hyperlink"/>
            <w:noProof/>
          </w:rPr>
          <w:t>Percentage of Households Reported to Practice Livestock Extension Services During 2019/20 Agricultural Year, Tanzania</w:t>
        </w:r>
        <w:r w:rsidR="002C0E50">
          <w:rPr>
            <w:noProof/>
            <w:webHidden/>
          </w:rPr>
          <w:tab/>
        </w:r>
        <w:r w:rsidR="002C0E50">
          <w:rPr>
            <w:noProof/>
            <w:webHidden/>
          </w:rPr>
          <w:fldChar w:fldCharType="begin"/>
        </w:r>
        <w:r w:rsidR="002C0E50">
          <w:rPr>
            <w:noProof/>
            <w:webHidden/>
          </w:rPr>
          <w:instrText xml:space="preserve"> PAGEREF _Toc82386435 \h </w:instrText>
        </w:r>
        <w:r w:rsidR="002C0E50">
          <w:rPr>
            <w:noProof/>
            <w:webHidden/>
          </w:rPr>
        </w:r>
        <w:r w:rsidR="002C0E50">
          <w:rPr>
            <w:noProof/>
            <w:webHidden/>
          </w:rPr>
          <w:fldChar w:fldCharType="separate"/>
        </w:r>
        <w:r w:rsidR="00A15698">
          <w:rPr>
            <w:noProof/>
            <w:webHidden/>
          </w:rPr>
          <w:t>211</w:t>
        </w:r>
        <w:r w:rsidR="002C0E50">
          <w:rPr>
            <w:noProof/>
            <w:webHidden/>
          </w:rPr>
          <w:fldChar w:fldCharType="end"/>
        </w:r>
      </w:hyperlink>
    </w:p>
    <w:p w14:paraId="5BB7EBBF" w14:textId="28877017" w:rsidR="002C0E50" w:rsidRDefault="00E909AE">
      <w:pPr>
        <w:pStyle w:val="TOC8"/>
        <w:rPr>
          <w:rFonts w:asciiTheme="minorHAnsi" w:eastAsiaTheme="minorEastAsia" w:hAnsiTheme="minorHAnsi" w:cstheme="minorBidi"/>
          <w:noProof/>
          <w:szCs w:val="24"/>
        </w:rPr>
      </w:pPr>
      <w:hyperlink r:id="rId109" w:anchor="_Toc82386436" w:history="1">
        <w:r w:rsidR="002C0E50" w:rsidRPr="00F40DDB">
          <w:rPr>
            <w:rStyle w:val="Hyperlink"/>
            <w:noProof/>
          </w:rPr>
          <w:t>Figure 4.65:</w:t>
        </w:r>
        <w:r w:rsidR="002C0E50">
          <w:rPr>
            <w:rFonts w:asciiTheme="minorHAnsi" w:eastAsiaTheme="minorEastAsia" w:hAnsiTheme="minorHAnsi" w:cstheme="minorBidi"/>
            <w:noProof/>
            <w:szCs w:val="24"/>
          </w:rPr>
          <w:tab/>
        </w:r>
        <w:r w:rsidR="002C0E50" w:rsidRPr="00F40DDB">
          <w:rPr>
            <w:rStyle w:val="Hyperlink"/>
            <w:noProof/>
          </w:rPr>
          <w:t>Percentage of Households Reported to Practice Livestock Extension Services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_Toc82386436 \h </w:instrText>
        </w:r>
        <w:r w:rsidR="002C0E50">
          <w:rPr>
            <w:noProof/>
            <w:webHidden/>
          </w:rPr>
        </w:r>
        <w:r w:rsidR="002C0E50">
          <w:rPr>
            <w:noProof/>
            <w:webHidden/>
          </w:rPr>
          <w:fldChar w:fldCharType="separate"/>
        </w:r>
        <w:r w:rsidR="00A15698">
          <w:rPr>
            <w:noProof/>
            <w:webHidden/>
          </w:rPr>
          <w:t>212</w:t>
        </w:r>
        <w:r w:rsidR="002C0E50">
          <w:rPr>
            <w:noProof/>
            <w:webHidden/>
          </w:rPr>
          <w:fldChar w:fldCharType="end"/>
        </w:r>
      </w:hyperlink>
    </w:p>
    <w:p w14:paraId="39DBF154" w14:textId="360218E1" w:rsidR="002C0E50" w:rsidRDefault="00E909AE">
      <w:pPr>
        <w:pStyle w:val="TOC8"/>
        <w:rPr>
          <w:rFonts w:asciiTheme="minorHAnsi" w:eastAsiaTheme="minorEastAsia" w:hAnsiTheme="minorHAnsi" w:cstheme="minorBidi"/>
          <w:noProof/>
          <w:szCs w:val="24"/>
        </w:rPr>
      </w:pPr>
      <w:hyperlink r:id="rId110" w:anchor="_Toc82386437" w:history="1">
        <w:r w:rsidR="002C0E50" w:rsidRPr="00F40DDB">
          <w:rPr>
            <w:rStyle w:val="Hyperlink"/>
            <w:noProof/>
          </w:rPr>
          <w:t>Figure 4.66:</w:t>
        </w:r>
        <w:r w:rsidR="002C0E50">
          <w:rPr>
            <w:rFonts w:asciiTheme="minorHAnsi" w:eastAsiaTheme="minorEastAsia" w:hAnsiTheme="minorHAnsi" w:cstheme="minorBidi"/>
            <w:noProof/>
            <w:szCs w:val="24"/>
          </w:rPr>
          <w:tab/>
        </w:r>
        <w:r w:rsidR="002C0E50" w:rsidRPr="00F40DDB">
          <w:rPr>
            <w:rStyle w:val="Hyperlink"/>
            <w:noProof/>
          </w:rPr>
          <w:t>Percentage of Households Reported to Practice Livestock Extension Services 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_Toc82386437 \h </w:instrText>
        </w:r>
        <w:r w:rsidR="002C0E50">
          <w:rPr>
            <w:noProof/>
            <w:webHidden/>
          </w:rPr>
        </w:r>
        <w:r w:rsidR="002C0E50">
          <w:rPr>
            <w:noProof/>
            <w:webHidden/>
          </w:rPr>
          <w:fldChar w:fldCharType="separate"/>
        </w:r>
        <w:r w:rsidR="00A15698">
          <w:rPr>
            <w:noProof/>
            <w:webHidden/>
          </w:rPr>
          <w:t>212</w:t>
        </w:r>
        <w:r w:rsidR="002C0E50">
          <w:rPr>
            <w:noProof/>
            <w:webHidden/>
          </w:rPr>
          <w:fldChar w:fldCharType="end"/>
        </w:r>
      </w:hyperlink>
    </w:p>
    <w:p w14:paraId="45C5EF6B" w14:textId="3E30189D" w:rsidR="002C0E50" w:rsidRDefault="00E909AE">
      <w:pPr>
        <w:pStyle w:val="TOC8"/>
        <w:rPr>
          <w:rFonts w:asciiTheme="minorHAnsi" w:eastAsiaTheme="minorEastAsia" w:hAnsiTheme="minorHAnsi" w:cstheme="minorBidi"/>
          <w:noProof/>
          <w:szCs w:val="24"/>
        </w:rPr>
      </w:pPr>
      <w:hyperlink w:anchor="_Toc82386438" w:history="1">
        <w:r w:rsidR="002C0E50" w:rsidRPr="00F40DDB">
          <w:rPr>
            <w:rStyle w:val="Hyperlink"/>
            <w:noProof/>
          </w:rPr>
          <w:t>Figure 4.67:</w:t>
        </w:r>
        <w:r w:rsidR="002C0E50">
          <w:rPr>
            <w:rFonts w:asciiTheme="minorHAnsi" w:eastAsiaTheme="minorEastAsia" w:hAnsiTheme="minorHAnsi" w:cstheme="minorBidi"/>
            <w:noProof/>
            <w:szCs w:val="24"/>
          </w:rPr>
          <w:tab/>
        </w:r>
        <w:r w:rsidR="002C0E50" w:rsidRPr="00F40DDB">
          <w:rPr>
            <w:rStyle w:val="Hyperlink"/>
            <w:noProof/>
          </w:rPr>
          <w:t>Percentage of Households Reported to Practice Livestock Extension Services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_Toc82386438 \h </w:instrText>
        </w:r>
        <w:r w:rsidR="002C0E50">
          <w:rPr>
            <w:noProof/>
            <w:webHidden/>
          </w:rPr>
        </w:r>
        <w:r w:rsidR="002C0E50">
          <w:rPr>
            <w:noProof/>
            <w:webHidden/>
          </w:rPr>
          <w:fldChar w:fldCharType="separate"/>
        </w:r>
        <w:r w:rsidR="00A15698">
          <w:rPr>
            <w:noProof/>
            <w:webHidden/>
          </w:rPr>
          <w:t>213</w:t>
        </w:r>
        <w:r w:rsidR="002C0E50">
          <w:rPr>
            <w:noProof/>
            <w:webHidden/>
          </w:rPr>
          <w:fldChar w:fldCharType="end"/>
        </w:r>
      </w:hyperlink>
    </w:p>
    <w:p w14:paraId="557EB5C9" w14:textId="19AA6BDD" w:rsidR="002C0E50" w:rsidRDefault="00E909AE">
      <w:pPr>
        <w:pStyle w:val="TOC8"/>
        <w:rPr>
          <w:rFonts w:asciiTheme="minorHAnsi" w:eastAsiaTheme="minorEastAsia" w:hAnsiTheme="minorHAnsi" w:cstheme="minorBidi"/>
          <w:noProof/>
          <w:szCs w:val="24"/>
        </w:rPr>
      </w:pPr>
      <w:hyperlink r:id="rId111" w:anchor="_Toc82386439" w:history="1">
        <w:r w:rsidR="002C0E50" w:rsidRPr="00F40DDB">
          <w:rPr>
            <w:rStyle w:val="Hyperlink"/>
            <w:noProof/>
          </w:rPr>
          <w:t>Figure 4.68:</w:t>
        </w:r>
        <w:r w:rsidR="002C0E50">
          <w:rPr>
            <w:rFonts w:asciiTheme="minorHAnsi" w:eastAsiaTheme="minorEastAsia" w:hAnsiTheme="minorHAnsi" w:cstheme="minorBidi"/>
            <w:noProof/>
            <w:szCs w:val="24"/>
          </w:rPr>
          <w:tab/>
        </w:r>
        <w:r w:rsidR="002C0E50" w:rsidRPr="00F40DDB">
          <w:rPr>
            <w:rStyle w:val="Hyperlink"/>
            <w:noProof/>
          </w:rPr>
          <w:t>Percentage of Households Reported to Practice Livestock Extension Services by Region 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_Toc82386439 \h </w:instrText>
        </w:r>
        <w:r w:rsidR="002C0E50">
          <w:rPr>
            <w:noProof/>
            <w:webHidden/>
          </w:rPr>
        </w:r>
        <w:r w:rsidR="002C0E50">
          <w:rPr>
            <w:noProof/>
            <w:webHidden/>
          </w:rPr>
          <w:fldChar w:fldCharType="separate"/>
        </w:r>
        <w:r w:rsidR="00A15698">
          <w:rPr>
            <w:noProof/>
            <w:webHidden/>
          </w:rPr>
          <w:t>213</w:t>
        </w:r>
        <w:r w:rsidR="002C0E50">
          <w:rPr>
            <w:noProof/>
            <w:webHidden/>
          </w:rPr>
          <w:fldChar w:fldCharType="end"/>
        </w:r>
      </w:hyperlink>
    </w:p>
    <w:p w14:paraId="7910B8A8" w14:textId="145CFD9E" w:rsidR="002C0E50" w:rsidRDefault="00E909AE">
      <w:pPr>
        <w:pStyle w:val="TOC8"/>
        <w:rPr>
          <w:rFonts w:asciiTheme="minorHAnsi" w:eastAsiaTheme="minorEastAsia" w:hAnsiTheme="minorHAnsi" w:cstheme="minorBidi"/>
          <w:noProof/>
          <w:szCs w:val="24"/>
        </w:rPr>
      </w:pPr>
      <w:hyperlink w:anchor="_Toc82386440" w:history="1">
        <w:r w:rsidR="002C0E50" w:rsidRPr="00F40DDB">
          <w:rPr>
            <w:rStyle w:val="Hyperlink"/>
            <w:noProof/>
          </w:rPr>
          <w:t>Figure 4.69:</w:t>
        </w:r>
        <w:r w:rsidR="002C0E50">
          <w:rPr>
            <w:rFonts w:asciiTheme="minorHAnsi" w:eastAsiaTheme="minorEastAsia" w:hAnsiTheme="minorHAnsi" w:cstheme="minorBidi"/>
            <w:noProof/>
            <w:szCs w:val="24"/>
          </w:rPr>
          <w:tab/>
        </w:r>
        <w:r w:rsidR="002C0E50" w:rsidRPr="00F40DDB">
          <w:rPr>
            <w:rStyle w:val="Hyperlink"/>
            <w:noProof/>
          </w:rPr>
          <w:t>Number of Agricultural Households Practicing Fish Farming by Region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_Toc82386440 \h </w:instrText>
        </w:r>
        <w:r w:rsidR="002C0E50">
          <w:rPr>
            <w:noProof/>
            <w:webHidden/>
          </w:rPr>
        </w:r>
        <w:r w:rsidR="002C0E50">
          <w:rPr>
            <w:noProof/>
            <w:webHidden/>
          </w:rPr>
          <w:fldChar w:fldCharType="separate"/>
        </w:r>
        <w:r w:rsidR="00A15698">
          <w:rPr>
            <w:noProof/>
            <w:webHidden/>
          </w:rPr>
          <w:t>214</w:t>
        </w:r>
        <w:r w:rsidR="002C0E50">
          <w:rPr>
            <w:noProof/>
            <w:webHidden/>
          </w:rPr>
          <w:fldChar w:fldCharType="end"/>
        </w:r>
      </w:hyperlink>
    </w:p>
    <w:p w14:paraId="118900AB" w14:textId="47B2828B" w:rsidR="002C0E50" w:rsidRDefault="00E909AE">
      <w:pPr>
        <w:pStyle w:val="TOC8"/>
        <w:rPr>
          <w:rFonts w:asciiTheme="minorHAnsi" w:eastAsiaTheme="minorEastAsia" w:hAnsiTheme="minorHAnsi" w:cstheme="minorBidi"/>
          <w:noProof/>
          <w:szCs w:val="24"/>
        </w:rPr>
      </w:pPr>
      <w:hyperlink w:anchor="_Toc82386441" w:history="1">
        <w:r w:rsidR="002C0E50" w:rsidRPr="00F40DDB">
          <w:rPr>
            <w:rStyle w:val="Hyperlink"/>
            <w:noProof/>
          </w:rPr>
          <w:t>Figure 4.70:</w:t>
        </w:r>
        <w:r w:rsidR="002C0E50">
          <w:rPr>
            <w:rFonts w:asciiTheme="minorHAnsi" w:eastAsiaTheme="minorEastAsia" w:hAnsiTheme="minorHAnsi" w:cstheme="minorBidi"/>
            <w:noProof/>
            <w:szCs w:val="24"/>
          </w:rPr>
          <w:tab/>
        </w:r>
        <w:r w:rsidR="002C0E50" w:rsidRPr="00F40DDB">
          <w:rPr>
            <w:rStyle w:val="Hyperlink"/>
            <w:noProof/>
          </w:rPr>
          <w:t>Weight of Fish Harvested by Smallholder Farmers by Region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_Toc82386441 \h </w:instrText>
        </w:r>
        <w:r w:rsidR="002C0E50">
          <w:rPr>
            <w:noProof/>
            <w:webHidden/>
          </w:rPr>
        </w:r>
        <w:r w:rsidR="002C0E50">
          <w:rPr>
            <w:noProof/>
            <w:webHidden/>
          </w:rPr>
          <w:fldChar w:fldCharType="separate"/>
        </w:r>
        <w:r w:rsidR="00A15698">
          <w:rPr>
            <w:noProof/>
            <w:webHidden/>
          </w:rPr>
          <w:t>216</w:t>
        </w:r>
        <w:r w:rsidR="002C0E50">
          <w:rPr>
            <w:noProof/>
            <w:webHidden/>
          </w:rPr>
          <w:fldChar w:fldCharType="end"/>
        </w:r>
      </w:hyperlink>
    </w:p>
    <w:p w14:paraId="10497966" w14:textId="085A87C8" w:rsidR="002C0E50" w:rsidRDefault="00E909AE">
      <w:pPr>
        <w:pStyle w:val="TOC8"/>
        <w:rPr>
          <w:noProof/>
        </w:rPr>
      </w:pPr>
      <w:hyperlink r:id="rId112" w:anchor="_Toc82386443" w:history="1">
        <w:r w:rsidR="002C0E50" w:rsidRPr="00F40DDB">
          <w:rPr>
            <w:rStyle w:val="Hyperlink"/>
            <w:noProof/>
          </w:rPr>
          <w:t>Figure 4.71:</w:t>
        </w:r>
        <w:r w:rsidR="002C0E50">
          <w:rPr>
            <w:rFonts w:asciiTheme="minorHAnsi" w:eastAsiaTheme="minorEastAsia" w:hAnsiTheme="minorHAnsi" w:cstheme="minorBidi"/>
            <w:noProof/>
            <w:szCs w:val="24"/>
          </w:rPr>
          <w:tab/>
        </w:r>
        <w:r w:rsidR="002C0E50" w:rsidRPr="00F40DDB">
          <w:rPr>
            <w:rStyle w:val="Hyperlink"/>
            <w:noProof/>
          </w:rPr>
          <w:t>Percentage Distribution of Main Sources of Fish Fingerlings Reported by Households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_Toc82386443 \h </w:instrText>
        </w:r>
        <w:r w:rsidR="002C0E50">
          <w:rPr>
            <w:noProof/>
            <w:webHidden/>
          </w:rPr>
        </w:r>
        <w:r w:rsidR="002C0E50">
          <w:rPr>
            <w:noProof/>
            <w:webHidden/>
          </w:rPr>
          <w:fldChar w:fldCharType="separate"/>
        </w:r>
        <w:r w:rsidR="00A15698">
          <w:rPr>
            <w:noProof/>
            <w:webHidden/>
          </w:rPr>
          <w:t>217</w:t>
        </w:r>
        <w:r w:rsidR="002C0E50">
          <w:rPr>
            <w:noProof/>
            <w:webHidden/>
          </w:rPr>
          <w:fldChar w:fldCharType="end"/>
        </w:r>
      </w:hyperlink>
    </w:p>
    <w:p w14:paraId="3E838FE1" w14:textId="6CEAA43F" w:rsidR="00940E4C" w:rsidRDefault="00E909AE" w:rsidP="00940E4C">
      <w:pPr>
        <w:pStyle w:val="TOC8"/>
        <w:rPr>
          <w:rFonts w:asciiTheme="minorHAnsi" w:eastAsiaTheme="minorEastAsia" w:hAnsiTheme="minorHAnsi" w:cstheme="minorBidi"/>
          <w:noProof/>
          <w:szCs w:val="24"/>
        </w:rPr>
      </w:pPr>
      <w:hyperlink r:id="rId113" w:anchor="_Toc82386442" w:history="1">
        <w:r w:rsidR="00940E4C" w:rsidRPr="00F40DDB">
          <w:rPr>
            <w:rStyle w:val="Hyperlink"/>
            <w:noProof/>
          </w:rPr>
          <w:t>Figure 4.72:</w:t>
        </w:r>
        <w:r w:rsidR="00940E4C">
          <w:rPr>
            <w:rFonts w:asciiTheme="minorHAnsi" w:eastAsiaTheme="minorEastAsia" w:hAnsiTheme="minorHAnsi" w:cstheme="minorBidi"/>
            <w:noProof/>
            <w:szCs w:val="24"/>
          </w:rPr>
          <w:tab/>
        </w:r>
        <w:r w:rsidR="00940E4C" w:rsidRPr="00F40DDB">
          <w:rPr>
            <w:rStyle w:val="Hyperlink"/>
            <w:noProof/>
          </w:rPr>
          <w:t>Percentage Distribution of Main Sources of Fish Fingerlings Reported by Households During 2019/20 Agricultural Year, Tanzania Zanzibar</w:t>
        </w:r>
        <w:r w:rsidR="00940E4C">
          <w:rPr>
            <w:noProof/>
            <w:webHidden/>
          </w:rPr>
          <w:tab/>
        </w:r>
        <w:r w:rsidR="00940E4C">
          <w:rPr>
            <w:noProof/>
            <w:webHidden/>
          </w:rPr>
          <w:fldChar w:fldCharType="begin"/>
        </w:r>
        <w:r w:rsidR="00940E4C">
          <w:rPr>
            <w:noProof/>
            <w:webHidden/>
          </w:rPr>
          <w:instrText xml:space="preserve"> PAGEREF _Toc82386442 \h </w:instrText>
        </w:r>
        <w:r w:rsidR="00940E4C">
          <w:rPr>
            <w:noProof/>
            <w:webHidden/>
          </w:rPr>
        </w:r>
        <w:r w:rsidR="00940E4C">
          <w:rPr>
            <w:noProof/>
            <w:webHidden/>
          </w:rPr>
          <w:fldChar w:fldCharType="separate"/>
        </w:r>
        <w:r w:rsidR="00A15698">
          <w:rPr>
            <w:noProof/>
            <w:webHidden/>
          </w:rPr>
          <w:t>217</w:t>
        </w:r>
        <w:r w:rsidR="00940E4C">
          <w:rPr>
            <w:noProof/>
            <w:webHidden/>
          </w:rPr>
          <w:fldChar w:fldCharType="end"/>
        </w:r>
      </w:hyperlink>
    </w:p>
    <w:p w14:paraId="6DC2ED2F" w14:textId="5E86408E" w:rsidR="002C0E50" w:rsidRDefault="00E909AE">
      <w:pPr>
        <w:pStyle w:val="TOC8"/>
        <w:tabs>
          <w:tab w:val="left" w:pos="1553"/>
        </w:tabs>
        <w:rPr>
          <w:rFonts w:asciiTheme="minorHAnsi" w:eastAsiaTheme="minorEastAsia" w:hAnsiTheme="minorHAnsi" w:cstheme="minorBidi"/>
          <w:noProof/>
          <w:szCs w:val="24"/>
        </w:rPr>
      </w:pPr>
      <w:hyperlink r:id="rId114" w:anchor="_Toc82386444" w:history="1">
        <w:r w:rsidR="002C0E50" w:rsidRPr="00F40DDB">
          <w:rPr>
            <w:rStyle w:val="Hyperlink"/>
            <w:noProof/>
          </w:rPr>
          <w:t>Figure 4.73:</w:t>
        </w:r>
        <w:r w:rsidR="002C0E50">
          <w:rPr>
            <w:rFonts w:asciiTheme="minorHAnsi" w:eastAsiaTheme="minorEastAsia" w:hAnsiTheme="minorHAnsi" w:cstheme="minorBidi"/>
            <w:noProof/>
            <w:szCs w:val="24"/>
          </w:rPr>
          <w:tab/>
        </w:r>
        <w:r w:rsidR="002C0E50" w:rsidRPr="00F40DDB">
          <w:rPr>
            <w:rStyle w:val="Hyperlink"/>
            <w:noProof/>
          </w:rPr>
          <w:t>Percentage of Frequency of Stocking Fingerling During 2019/20 Agricultural Year, Tanzania</w:t>
        </w:r>
        <w:r w:rsidR="002C0E50">
          <w:rPr>
            <w:noProof/>
            <w:webHidden/>
          </w:rPr>
          <w:tab/>
        </w:r>
        <w:r w:rsidR="002C0E50">
          <w:rPr>
            <w:noProof/>
            <w:webHidden/>
          </w:rPr>
          <w:fldChar w:fldCharType="begin"/>
        </w:r>
        <w:r w:rsidR="002C0E50">
          <w:rPr>
            <w:noProof/>
            <w:webHidden/>
          </w:rPr>
          <w:instrText xml:space="preserve"> PAGEREF _Toc82386444 \h </w:instrText>
        </w:r>
        <w:r w:rsidR="002C0E50">
          <w:rPr>
            <w:noProof/>
            <w:webHidden/>
          </w:rPr>
        </w:r>
        <w:r w:rsidR="002C0E50">
          <w:rPr>
            <w:noProof/>
            <w:webHidden/>
          </w:rPr>
          <w:fldChar w:fldCharType="separate"/>
        </w:r>
        <w:r w:rsidR="00A15698">
          <w:rPr>
            <w:noProof/>
            <w:webHidden/>
          </w:rPr>
          <w:t>217</w:t>
        </w:r>
        <w:r w:rsidR="002C0E50">
          <w:rPr>
            <w:noProof/>
            <w:webHidden/>
          </w:rPr>
          <w:fldChar w:fldCharType="end"/>
        </w:r>
      </w:hyperlink>
    </w:p>
    <w:p w14:paraId="6A120794" w14:textId="1D957E47" w:rsidR="002C0E50" w:rsidRDefault="00E909AE">
      <w:pPr>
        <w:pStyle w:val="TOC8"/>
        <w:rPr>
          <w:rFonts w:asciiTheme="minorHAnsi" w:eastAsiaTheme="minorEastAsia" w:hAnsiTheme="minorHAnsi" w:cstheme="minorBidi"/>
          <w:noProof/>
          <w:szCs w:val="24"/>
        </w:rPr>
      </w:pPr>
      <w:hyperlink r:id="rId115" w:anchor="_Toc82386445" w:history="1">
        <w:r w:rsidR="002C0E50" w:rsidRPr="00F40DDB">
          <w:rPr>
            <w:rStyle w:val="Hyperlink"/>
            <w:noProof/>
          </w:rPr>
          <w:t>Figure 4.74:</w:t>
        </w:r>
        <w:r w:rsidR="002C0E50">
          <w:rPr>
            <w:rFonts w:asciiTheme="minorHAnsi" w:eastAsiaTheme="minorEastAsia" w:hAnsiTheme="minorHAnsi" w:cstheme="minorBidi"/>
            <w:noProof/>
            <w:szCs w:val="24"/>
          </w:rPr>
          <w:tab/>
        </w:r>
        <w:r w:rsidR="002C0E50" w:rsidRPr="00F40DDB">
          <w:rPr>
            <w:rStyle w:val="Hyperlink"/>
            <w:noProof/>
          </w:rPr>
          <w:t>Percentage Distribution of Frequency of Stocking Fingerlings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_Toc82386445 \h </w:instrText>
        </w:r>
        <w:r w:rsidR="002C0E50">
          <w:rPr>
            <w:noProof/>
            <w:webHidden/>
          </w:rPr>
        </w:r>
        <w:r w:rsidR="002C0E50">
          <w:rPr>
            <w:noProof/>
            <w:webHidden/>
          </w:rPr>
          <w:fldChar w:fldCharType="separate"/>
        </w:r>
        <w:r w:rsidR="00A15698">
          <w:rPr>
            <w:noProof/>
            <w:webHidden/>
          </w:rPr>
          <w:t>218</w:t>
        </w:r>
        <w:r w:rsidR="002C0E50">
          <w:rPr>
            <w:noProof/>
            <w:webHidden/>
          </w:rPr>
          <w:fldChar w:fldCharType="end"/>
        </w:r>
      </w:hyperlink>
    </w:p>
    <w:p w14:paraId="50B99AFF" w14:textId="0579DF61" w:rsidR="002C0E50" w:rsidRDefault="00E909AE">
      <w:pPr>
        <w:pStyle w:val="TOC8"/>
        <w:rPr>
          <w:rFonts w:asciiTheme="minorHAnsi" w:eastAsiaTheme="minorEastAsia" w:hAnsiTheme="minorHAnsi" w:cstheme="minorBidi"/>
          <w:noProof/>
          <w:szCs w:val="24"/>
        </w:rPr>
      </w:pPr>
      <w:hyperlink r:id="rId116" w:anchor="_Toc82386446" w:history="1">
        <w:r w:rsidR="002C0E50" w:rsidRPr="00F40DDB">
          <w:rPr>
            <w:rStyle w:val="Hyperlink"/>
            <w:noProof/>
          </w:rPr>
          <w:t>Figure 4.75:</w:t>
        </w:r>
        <w:r w:rsidR="002C0E50">
          <w:rPr>
            <w:rFonts w:asciiTheme="minorHAnsi" w:eastAsiaTheme="minorEastAsia" w:hAnsiTheme="minorHAnsi" w:cstheme="minorBidi"/>
            <w:noProof/>
            <w:szCs w:val="24"/>
          </w:rPr>
          <w:tab/>
        </w:r>
        <w:r w:rsidR="002C0E50" w:rsidRPr="00F40DDB">
          <w:rPr>
            <w:rStyle w:val="Hyperlink"/>
            <w:noProof/>
          </w:rPr>
          <w:t>Percentage Distribution of Frequency of Stocking Fingerlings 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_Toc82386446 \h </w:instrText>
        </w:r>
        <w:r w:rsidR="002C0E50">
          <w:rPr>
            <w:noProof/>
            <w:webHidden/>
          </w:rPr>
        </w:r>
        <w:r w:rsidR="002C0E50">
          <w:rPr>
            <w:noProof/>
            <w:webHidden/>
          </w:rPr>
          <w:fldChar w:fldCharType="separate"/>
        </w:r>
        <w:r w:rsidR="00A15698">
          <w:rPr>
            <w:noProof/>
            <w:webHidden/>
          </w:rPr>
          <w:t>218</w:t>
        </w:r>
        <w:r w:rsidR="002C0E50">
          <w:rPr>
            <w:noProof/>
            <w:webHidden/>
          </w:rPr>
          <w:fldChar w:fldCharType="end"/>
        </w:r>
      </w:hyperlink>
    </w:p>
    <w:p w14:paraId="7B7C077E" w14:textId="24C132BE" w:rsidR="002C0E50" w:rsidRDefault="00E909AE">
      <w:pPr>
        <w:pStyle w:val="TOC8"/>
        <w:rPr>
          <w:rFonts w:asciiTheme="minorHAnsi" w:eastAsiaTheme="minorEastAsia" w:hAnsiTheme="minorHAnsi" w:cstheme="minorBidi"/>
          <w:noProof/>
          <w:szCs w:val="24"/>
        </w:rPr>
      </w:pPr>
      <w:hyperlink r:id="rId117" w:anchor="_Toc82386447" w:history="1">
        <w:r w:rsidR="002C0E50" w:rsidRPr="00F40DDB">
          <w:rPr>
            <w:rStyle w:val="Hyperlink"/>
            <w:noProof/>
          </w:rPr>
          <w:t>Figure 4.76:</w:t>
        </w:r>
        <w:r w:rsidR="002C0E50">
          <w:rPr>
            <w:rFonts w:asciiTheme="minorHAnsi" w:eastAsiaTheme="minorEastAsia" w:hAnsiTheme="minorHAnsi" w:cstheme="minorBidi"/>
            <w:noProof/>
            <w:szCs w:val="24"/>
          </w:rPr>
          <w:tab/>
        </w:r>
        <w:r w:rsidR="002C0E50" w:rsidRPr="00F40DDB">
          <w:rPr>
            <w:rStyle w:val="Hyperlink"/>
            <w:noProof/>
          </w:rPr>
          <w:t>Percentage Distribution of Households Reported Outlets for Selling Fish During 2019/20 Agricultural Year, Tanzania</w:t>
        </w:r>
        <w:r w:rsidR="002C0E50">
          <w:rPr>
            <w:noProof/>
            <w:webHidden/>
          </w:rPr>
          <w:tab/>
        </w:r>
        <w:r w:rsidR="002C0E50">
          <w:rPr>
            <w:noProof/>
            <w:webHidden/>
          </w:rPr>
          <w:fldChar w:fldCharType="begin"/>
        </w:r>
        <w:r w:rsidR="002C0E50">
          <w:rPr>
            <w:noProof/>
            <w:webHidden/>
          </w:rPr>
          <w:instrText xml:space="preserve"> PAGEREF _Toc82386447 \h </w:instrText>
        </w:r>
        <w:r w:rsidR="002C0E50">
          <w:rPr>
            <w:noProof/>
            <w:webHidden/>
          </w:rPr>
        </w:r>
        <w:r w:rsidR="002C0E50">
          <w:rPr>
            <w:noProof/>
            <w:webHidden/>
          </w:rPr>
          <w:fldChar w:fldCharType="separate"/>
        </w:r>
        <w:r w:rsidR="00A15698">
          <w:rPr>
            <w:noProof/>
            <w:webHidden/>
          </w:rPr>
          <w:t>218</w:t>
        </w:r>
        <w:r w:rsidR="002C0E50">
          <w:rPr>
            <w:noProof/>
            <w:webHidden/>
          </w:rPr>
          <w:fldChar w:fldCharType="end"/>
        </w:r>
      </w:hyperlink>
    </w:p>
    <w:p w14:paraId="60386B53" w14:textId="64A6D699" w:rsidR="002C0E50" w:rsidRDefault="00E909AE">
      <w:pPr>
        <w:pStyle w:val="TOC8"/>
        <w:rPr>
          <w:rFonts w:asciiTheme="minorHAnsi" w:eastAsiaTheme="minorEastAsia" w:hAnsiTheme="minorHAnsi" w:cstheme="minorBidi"/>
          <w:noProof/>
          <w:szCs w:val="24"/>
        </w:rPr>
      </w:pPr>
      <w:hyperlink r:id="rId118" w:anchor="_Toc82386448" w:history="1">
        <w:r w:rsidR="002C0E50" w:rsidRPr="00F40DDB">
          <w:rPr>
            <w:rStyle w:val="Hyperlink"/>
            <w:noProof/>
          </w:rPr>
          <w:t>Figure 4.77:</w:t>
        </w:r>
        <w:r w:rsidR="002C0E50">
          <w:rPr>
            <w:rFonts w:asciiTheme="minorHAnsi" w:eastAsiaTheme="minorEastAsia" w:hAnsiTheme="minorHAnsi" w:cstheme="minorBidi"/>
            <w:noProof/>
            <w:szCs w:val="24"/>
          </w:rPr>
          <w:tab/>
        </w:r>
        <w:r w:rsidR="002C0E50" w:rsidRPr="00F40DDB">
          <w:rPr>
            <w:rStyle w:val="Hyperlink"/>
            <w:noProof/>
          </w:rPr>
          <w:t>Percentage Distribution of Households Reported Outlet for Selling Fish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_Toc82386448 \h </w:instrText>
        </w:r>
        <w:r w:rsidR="002C0E50">
          <w:rPr>
            <w:noProof/>
            <w:webHidden/>
          </w:rPr>
        </w:r>
        <w:r w:rsidR="002C0E50">
          <w:rPr>
            <w:noProof/>
            <w:webHidden/>
          </w:rPr>
          <w:fldChar w:fldCharType="separate"/>
        </w:r>
        <w:r w:rsidR="00A15698">
          <w:rPr>
            <w:noProof/>
            <w:webHidden/>
          </w:rPr>
          <w:t>219</w:t>
        </w:r>
        <w:r w:rsidR="002C0E50">
          <w:rPr>
            <w:noProof/>
            <w:webHidden/>
          </w:rPr>
          <w:fldChar w:fldCharType="end"/>
        </w:r>
      </w:hyperlink>
    </w:p>
    <w:p w14:paraId="6F7A4769" w14:textId="244ECA26" w:rsidR="002C0E50" w:rsidRDefault="00E909AE">
      <w:pPr>
        <w:pStyle w:val="TOC8"/>
        <w:rPr>
          <w:rFonts w:asciiTheme="minorHAnsi" w:eastAsiaTheme="minorEastAsia" w:hAnsiTheme="minorHAnsi" w:cstheme="minorBidi"/>
          <w:noProof/>
          <w:szCs w:val="24"/>
        </w:rPr>
      </w:pPr>
      <w:hyperlink r:id="rId119" w:anchor="_Toc82386449" w:history="1">
        <w:r w:rsidR="002C0E50" w:rsidRPr="00F40DDB">
          <w:rPr>
            <w:rStyle w:val="Hyperlink"/>
            <w:bCs/>
            <w:noProof/>
          </w:rPr>
          <w:t>Figure 4.78:</w:t>
        </w:r>
        <w:r w:rsidR="002C0E50">
          <w:rPr>
            <w:rFonts w:asciiTheme="minorHAnsi" w:eastAsiaTheme="minorEastAsia" w:hAnsiTheme="minorHAnsi" w:cstheme="minorBidi"/>
            <w:noProof/>
            <w:szCs w:val="24"/>
          </w:rPr>
          <w:tab/>
        </w:r>
        <w:r w:rsidR="002C0E50" w:rsidRPr="00F40DDB">
          <w:rPr>
            <w:rStyle w:val="Hyperlink"/>
            <w:bCs/>
            <w:noProof/>
          </w:rPr>
          <w:t>Percentage Distribution of Households by Category of Bee Kept During 2019/20 Agricultural Year, Tanzania</w:t>
        </w:r>
        <w:r w:rsidR="002C0E50">
          <w:rPr>
            <w:noProof/>
            <w:webHidden/>
          </w:rPr>
          <w:tab/>
        </w:r>
        <w:r w:rsidR="002C0E50">
          <w:rPr>
            <w:noProof/>
            <w:webHidden/>
          </w:rPr>
          <w:fldChar w:fldCharType="begin"/>
        </w:r>
        <w:r w:rsidR="002C0E50">
          <w:rPr>
            <w:noProof/>
            <w:webHidden/>
          </w:rPr>
          <w:instrText xml:space="preserve"> PAGEREF _Toc82386449 \h </w:instrText>
        </w:r>
        <w:r w:rsidR="002C0E50">
          <w:rPr>
            <w:noProof/>
            <w:webHidden/>
          </w:rPr>
        </w:r>
        <w:r w:rsidR="002C0E50">
          <w:rPr>
            <w:noProof/>
            <w:webHidden/>
          </w:rPr>
          <w:fldChar w:fldCharType="separate"/>
        </w:r>
        <w:r w:rsidR="00A15698">
          <w:rPr>
            <w:noProof/>
            <w:webHidden/>
          </w:rPr>
          <w:t>220</w:t>
        </w:r>
        <w:r w:rsidR="002C0E50">
          <w:rPr>
            <w:noProof/>
            <w:webHidden/>
          </w:rPr>
          <w:fldChar w:fldCharType="end"/>
        </w:r>
      </w:hyperlink>
    </w:p>
    <w:p w14:paraId="41127570" w14:textId="11E7C29F" w:rsidR="002C0E50" w:rsidRDefault="00E909AE">
      <w:pPr>
        <w:pStyle w:val="TOC8"/>
        <w:rPr>
          <w:rFonts w:asciiTheme="minorHAnsi" w:eastAsiaTheme="minorEastAsia" w:hAnsiTheme="minorHAnsi" w:cstheme="minorBidi"/>
          <w:noProof/>
          <w:szCs w:val="24"/>
        </w:rPr>
      </w:pPr>
      <w:hyperlink w:anchor="_Toc82386450" w:history="1">
        <w:r w:rsidR="002C0E50" w:rsidRPr="00F40DDB">
          <w:rPr>
            <w:rStyle w:val="Hyperlink"/>
            <w:bCs/>
            <w:noProof/>
          </w:rPr>
          <w:t>Figure 4.79:</w:t>
        </w:r>
        <w:r w:rsidR="002C0E50">
          <w:rPr>
            <w:rFonts w:asciiTheme="minorHAnsi" w:eastAsiaTheme="minorEastAsia" w:hAnsiTheme="minorHAnsi" w:cstheme="minorBidi"/>
            <w:noProof/>
            <w:szCs w:val="24"/>
          </w:rPr>
          <w:tab/>
        </w:r>
        <w:r w:rsidR="002C0E50" w:rsidRPr="00F40DDB">
          <w:rPr>
            <w:rStyle w:val="Hyperlink"/>
            <w:bCs/>
            <w:noProof/>
          </w:rPr>
          <w:t>Quantity of Honey Produced from Stingless and Sting Bees by Region During 2019/20 Agriculture Year, Mainland Tanzania</w:t>
        </w:r>
        <w:r w:rsidR="002C0E50">
          <w:rPr>
            <w:noProof/>
            <w:webHidden/>
          </w:rPr>
          <w:tab/>
        </w:r>
        <w:r w:rsidR="002C0E50">
          <w:rPr>
            <w:noProof/>
            <w:webHidden/>
          </w:rPr>
          <w:fldChar w:fldCharType="begin"/>
        </w:r>
        <w:r w:rsidR="002C0E50">
          <w:rPr>
            <w:noProof/>
            <w:webHidden/>
          </w:rPr>
          <w:instrText xml:space="preserve"> PAGEREF _Toc82386450 \h </w:instrText>
        </w:r>
        <w:r w:rsidR="002C0E50">
          <w:rPr>
            <w:noProof/>
            <w:webHidden/>
          </w:rPr>
        </w:r>
        <w:r w:rsidR="002C0E50">
          <w:rPr>
            <w:noProof/>
            <w:webHidden/>
          </w:rPr>
          <w:fldChar w:fldCharType="separate"/>
        </w:r>
        <w:r w:rsidR="00A15698">
          <w:rPr>
            <w:noProof/>
            <w:webHidden/>
          </w:rPr>
          <w:t>221</w:t>
        </w:r>
        <w:r w:rsidR="002C0E50">
          <w:rPr>
            <w:noProof/>
            <w:webHidden/>
          </w:rPr>
          <w:fldChar w:fldCharType="end"/>
        </w:r>
      </w:hyperlink>
    </w:p>
    <w:p w14:paraId="7C3031E9" w14:textId="4A17D886" w:rsidR="002C0E50" w:rsidRDefault="00E909AE">
      <w:pPr>
        <w:pStyle w:val="TOC8"/>
        <w:rPr>
          <w:rFonts w:asciiTheme="minorHAnsi" w:eastAsiaTheme="minorEastAsia" w:hAnsiTheme="minorHAnsi" w:cstheme="minorBidi"/>
          <w:noProof/>
          <w:szCs w:val="24"/>
        </w:rPr>
      </w:pPr>
      <w:hyperlink r:id="rId120" w:anchor="_Toc82386451" w:history="1">
        <w:r w:rsidR="002C0E50" w:rsidRPr="00F40DDB">
          <w:rPr>
            <w:rStyle w:val="Hyperlink"/>
            <w:noProof/>
          </w:rPr>
          <w:t>Figure 4.80:</w:t>
        </w:r>
        <w:r w:rsidR="002C0E50">
          <w:rPr>
            <w:rFonts w:asciiTheme="minorHAnsi" w:eastAsiaTheme="minorEastAsia" w:hAnsiTheme="minorHAnsi" w:cstheme="minorBidi"/>
            <w:noProof/>
            <w:szCs w:val="24"/>
          </w:rPr>
          <w:tab/>
        </w:r>
        <w:r w:rsidR="002C0E50" w:rsidRPr="00F40DDB">
          <w:rPr>
            <w:rStyle w:val="Hyperlink"/>
            <w:noProof/>
          </w:rPr>
          <w:t>Quantity of Honey Produced from Sting and Stingless Bees by Region 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_Toc82386451 \h </w:instrText>
        </w:r>
        <w:r w:rsidR="002C0E50">
          <w:rPr>
            <w:noProof/>
            <w:webHidden/>
          </w:rPr>
        </w:r>
        <w:r w:rsidR="002C0E50">
          <w:rPr>
            <w:noProof/>
            <w:webHidden/>
          </w:rPr>
          <w:fldChar w:fldCharType="separate"/>
        </w:r>
        <w:r w:rsidR="00A15698">
          <w:rPr>
            <w:noProof/>
            <w:webHidden/>
          </w:rPr>
          <w:t>221</w:t>
        </w:r>
        <w:r w:rsidR="002C0E50">
          <w:rPr>
            <w:noProof/>
            <w:webHidden/>
          </w:rPr>
          <w:fldChar w:fldCharType="end"/>
        </w:r>
      </w:hyperlink>
    </w:p>
    <w:p w14:paraId="5FF7AAE2" w14:textId="46F837DF" w:rsidR="002C0E50" w:rsidRDefault="00E909AE">
      <w:pPr>
        <w:pStyle w:val="TOC8"/>
        <w:rPr>
          <w:rFonts w:asciiTheme="minorHAnsi" w:eastAsiaTheme="minorEastAsia" w:hAnsiTheme="minorHAnsi" w:cstheme="minorBidi"/>
          <w:noProof/>
          <w:szCs w:val="24"/>
        </w:rPr>
      </w:pPr>
      <w:hyperlink w:anchor="_Toc82386452" w:history="1">
        <w:r w:rsidR="002C0E50" w:rsidRPr="00F40DDB">
          <w:rPr>
            <w:rStyle w:val="Hyperlink"/>
            <w:noProof/>
          </w:rPr>
          <w:t>Figure 4.81:</w:t>
        </w:r>
        <w:r w:rsidR="002C0E50">
          <w:rPr>
            <w:rFonts w:asciiTheme="minorHAnsi" w:eastAsiaTheme="minorEastAsia" w:hAnsiTheme="minorHAnsi" w:cstheme="minorBidi"/>
            <w:noProof/>
            <w:szCs w:val="24"/>
          </w:rPr>
          <w:tab/>
        </w:r>
        <w:r w:rsidR="002C0E50" w:rsidRPr="00F40DDB">
          <w:rPr>
            <w:rStyle w:val="Hyperlink"/>
            <w:noProof/>
          </w:rPr>
          <w:t>The Average Price of Honey per Litre from Stingless and Sting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_Toc82386452 \h </w:instrText>
        </w:r>
        <w:r w:rsidR="002C0E50">
          <w:rPr>
            <w:noProof/>
            <w:webHidden/>
          </w:rPr>
        </w:r>
        <w:r w:rsidR="002C0E50">
          <w:rPr>
            <w:noProof/>
            <w:webHidden/>
          </w:rPr>
          <w:fldChar w:fldCharType="separate"/>
        </w:r>
        <w:r w:rsidR="00A15698">
          <w:rPr>
            <w:noProof/>
            <w:webHidden/>
          </w:rPr>
          <w:t>222</w:t>
        </w:r>
        <w:r w:rsidR="002C0E50">
          <w:rPr>
            <w:noProof/>
            <w:webHidden/>
          </w:rPr>
          <w:fldChar w:fldCharType="end"/>
        </w:r>
      </w:hyperlink>
    </w:p>
    <w:p w14:paraId="3B638807" w14:textId="5E136307" w:rsidR="002C0E50" w:rsidRDefault="00E909AE">
      <w:pPr>
        <w:pStyle w:val="TOC8"/>
        <w:rPr>
          <w:rFonts w:asciiTheme="minorHAnsi" w:eastAsiaTheme="minorEastAsia" w:hAnsiTheme="minorHAnsi" w:cstheme="minorBidi"/>
          <w:noProof/>
          <w:szCs w:val="24"/>
        </w:rPr>
      </w:pPr>
      <w:hyperlink w:anchor="_Toc82386453" w:history="1">
        <w:r w:rsidR="002C0E50" w:rsidRPr="00F40DDB">
          <w:rPr>
            <w:rStyle w:val="Hyperlink"/>
            <w:noProof/>
          </w:rPr>
          <w:t>Figure 4.82:</w:t>
        </w:r>
        <w:r w:rsidR="002C0E50">
          <w:rPr>
            <w:rFonts w:asciiTheme="minorHAnsi" w:eastAsiaTheme="minorEastAsia" w:hAnsiTheme="minorHAnsi" w:cstheme="minorBidi"/>
            <w:noProof/>
            <w:szCs w:val="24"/>
          </w:rPr>
          <w:tab/>
        </w:r>
        <w:r w:rsidR="002C0E50" w:rsidRPr="00F40DDB">
          <w:rPr>
            <w:rStyle w:val="Hyperlink"/>
            <w:noProof/>
          </w:rPr>
          <w:t>The Average Price of Honey per Litre from Stingless and Sting Bees During 2019/20 Agricultural Year, Tanzania</w:t>
        </w:r>
        <w:r w:rsidR="002C0E50">
          <w:rPr>
            <w:noProof/>
            <w:webHidden/>
          </w:rPr>
          <w:tab/>
        </w:r>
        <w:r w:rsidR="002C0E50">
          <w:rPr>
            <w:noProof/>
            <w:webHidden/>
          </w:rPr>
          <w:fldChar w:fldCharType="begin"/>
        </w:r>
        <w:r w:rsidR="002C0E50">
          <w:rPr>
            <w:noProof/>
            <w:webHidden/>
          </w:rPr>
          <w:instrText xml:space="preserve"> PAGEREF _Toc82386453 \h </w:instrText>
        </w:r>
        <w:r w:rsidR="002C0E50">
          <w:rPr>
            <w:noProof/>
            <w:webHidden/>
          </w:rPr>
        </w:r>
        <w:r w:rsidR="002C0E50">
          <w:rPr>
            <w:noProof/>
            <w:webHidden/>
          </w:rPr>
          <w:fldChar w:fldCharType="separate"/>
        </w:r>
        <w:r w:rsidR="00A15698">
          <w:rPr>
            <w:noProof/>
            <w:webHidden/>
          </w:rPr>
          <w:t>223</w:t>
        </w:r>
        <w:r w:rsidR="002C0E50">
          <w:rPr>
            <w:noProof/>
            <w:webHidden/>
          </w:rPr>
          <w:fldChar w:fldCharType="end"/>
        </w:r>
      </w:hyperlink>
    </w:p>
    <w:p w14:paraId="74664BE8" w14:textId="09CCA814" w:rsidR="002C0E50" w:rsidRDefault="00E909AE">
      <w:pPr>
        <w:pStyle w:val="TOC8"/>
        <w:rPr>
          <w:rFonts w:asciiTheme="minorHAnsi" w:eastAsiaTheme="minorEastAsia" w:hAnsiTheme="minorHAnsi" w:cstheme="minorBidi"/>
          <w:noProof/>
          <w:szCs w:val="24"/>
        </w:rPr>
      </w:pPr>
      <w:hyperlink w:anchor="_Toc82386454" w:history="1">
        <w:r w:rsidR="002C0E50" w:rsidRPr="00F40DDB">
          <w:rPr>
            <w:rStyle w:val="Hyperlink"/>
            <w:noProof/>
          </w:rPr>
          <w:t>Figure 4.83:</w:t>
        </w:r>
        <w:r w:rsidR="002C0E50">
          <w:rPr>
            <w:rFonts w:asciiTheme="minorHAnsi" w:eastAsiaTheme="minorEastAsia" w:hAnsiTheme="minorHAnsi" w:cstheme="minorBidi"/>
            <w:noProof/>
            <w:szCs w:val="24"/>
          </w:rPr>
          <w:tab/>
        </w:r>
        <w:r w:rsidR="002C0E50" w:rsidRPr="00F40DDB">
          <w:rPr>
            <w:rStyle w:val="Hyperlink"/>
            <w:noProof/>
          </w:rPr>
          <w:t>Percentage of Households Reported the Main Markets of Honey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_Toc82386454 \h </w:instrText>
        </w:r>
        <w:r w:rsidR="002C0E50">
          <w:rPr>
            <w:noProof/>
            <w:webHidden/>
          </w:rPr>
        </w:r>
        <w:r w:rsidR="002C0E50">
          <w:rPr>
            <w:noProof/>
            <w:webHidden/>
          </w:rPr>
          <w:fldChar w:fldCharType="separate"/>
        </w:r>
        <w:r w:rsidR="00A15698">
          <w:rPr>
            <w:noProof/>
            <w:webHidden/>
          </w:rPr>
          <w:t>223</w:t>
        </w:r>
        <w:r w:rsidR="002C0E50">
          <w:rPr>
            <w:noProof/>
            <w:webHidden/>
          </w:rPr>
          <w:fldChar w:fldCharType="end"/>
        </w:r>
      </w:hyperlink>
    </w:p>
    <w:p w14:paraId="137AFB8B" w14:textId="66EF71F6" w:rsidR="002C0E50" w:rsidRDefault="00E909AE">
      <w:pPr>
        <w:pStyle w:val="TOC8"/>
        <w:rPr>
          <w:rFonts w:asciiTheme="minorHAnsi" w:eastAsiaTheme="minorEastAsia" w:hAnsiTheme="minorHAnsi" w:cstheme="minorBidi"/>
          <w:noProof/>
          <w:szCs w:val="24"/>
        </w:rPr>
      </w:pPr>
      <w:hyperlink w:anchor="_Toc82386455" w:history="1">
        <w:r w:rsidR="002C0E50" w:rsidRPr="00F40DDB">
          <w:rPr>
            <w:rStyle w:val="Hyperlink"/>
            <w:noProof/>
          </w:rPr>
          <w:t>Figure 4.84:</w:t>
        </w:r>
        <w:r w:rsidR="002C0E50">
          <w:rPr>
            <w:rFonts w:asciiTheme="minorHAnsi" w:eastAsiaTheme="minorEastAsia" w:hAnsiTheme="minorHAnsi" w:cstheme="minorBidi"/>
            <w:noProof/>
            <w:szCs w:val="24"/>
          </w:rPr>
          <w:tab/>
        </w:r>
        <w:r w:rsidR="002C0E50" w:rsidRPr="00F40DDB">
          <w:rPr>
            <w:rStyle w:val="Hyperlink"/>
            <w:noProof/>
          </w:rPr>
          <w:t>Number of Households Reported Neighbours as the Main Market for Honey Sales by Region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_Toc82386455 \h </w:instrText>
        </w:r>
        <w:r w:rsidR="002C0E50">
          <w:rPr>
            <w:noProof/>
            <w:webHidden/>
          </w:rPr>
        </w:r>
        <w:r w:rsidR="002C0E50">
          <w:rPr>
            <w:noProof/>
            <w:webHidden/>
          </w:rPr>
          <w:fldChar w:fldCharType="separate"/>
        </w:r>
        <w:r w:rsidR="00A15698">
          <w:rPr>
            <w:noProof/>
            <w:webHidden/>
          </w:rPr>
          <w:t>224</w:t>
        </w:r>
        <w:r w:rsidR="002C0E50">
          <w:rPr>
            <w:noProof/>
            <w:webHidden/>
          </w:rPr>
          <w:fldChar w:fldCharType="end"/>
        </w:r>
      </w:hyperlink>
    </w:p>
    <w:p w14:paraId="7010CB80" w14:textId="45255224" w:rsidR="002C0E50" w:rsidRDefault="00E909AE">
      <w:pPr>
        <w:pStyle w:val="TOC8"/>
        <w:rPr>
          <w:rFonts w:asciiTheme="minorHAnsi" w:eastAsiaTheme="minorEastAsia" w:hAnsiTheme="minorHAnsi" w:cstheme="minorBidi"/>
          <w:noProof/>
          <w:szCs w:val="24"/>
        </w:rPr>
      </w:pPr>
      <w:hyperlink r:id="rId121" w:anchor="_Toc82386456" w:history="1">
        <w:r w:rsidR="002C0E50" w:rsidRPr="00F40DDB">
          <w:rPr>
            <w:rStyle w:val="Hyperlink"/>
            <w:noProof/>
          </w:rPr>
          <w:t>Figure 4.85:</w:t>
        </w:r>
        <w:r w:rsidR="002C0E50">
          <w:rPr>
            <w:rFonts w:asciiTheme="minorHAnsi" w:eastAsiaTheme="minorEastAsia" w:hAnsiTheme="minorHAnsi" w:cstheme="minorBidi"/>
            <w:noProof/>
            <w:szCs w:val="24"/>
          </w:rPr>
          <w:tab/>
        </w:r>
        <w:r w:rsidR="002C0E50" w:rsidRPr="00F40DDB">
          <w:rPr>
            <w:rStyle w:val="Hyperlink"/>
            <w:noProof/>
          </w:rPr>
          <w:t>Percentage of Households Reported the Main Markets of Honey 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_Toc82386456 \h </w:instrText>
        </w:r>
        <w:r w:rsidR="002C0E50">
          <w:rPr>
            <w:noProof/>
            <w:webHidden/>
          </w:rPr>
        </w:r>
        <w:r w:rsidR="002C0E50">
          <w:rPr>
            <w:noProof/>
            <w:webHidden/>
          </w:rPr>
          <w:fldChar w:fldCharType="separate"/>
        </w:r>
        <w:r w:rsidR="00A15698">
          <w:rPr>
            <w:noProof/>
            <w:webHidden/>
          </w:rPr>
          <w:t>224</w:t>
        </w:r>
        <w:r w:rsidR="002C0E50">
          <w:rPr>
            <w:noProof/>
            <w:webHidden/>
          </w:rPr>
          <w:fldChar w:fldCharType="end"/>
        </w:r>
      </w:hyperlink>
    </w:p>
    <w:p w14:paraId="4F5BDCB1" w14:textId="2BF01024" w:rsidR="002C0E50" w:rsidRDefault="00E909AE">
      <w:pPr>
        <w:pStyle w:val="TOC8"/>
        <w:rPr>
          <w:rFonts w:asciiTheme="minorHAnsi" w:eastAsiaTheme="minorEastAsia" w:hAnsiTheme="minorHAnsi" w:cstheme="minorBidi"/>
          <w:noProof/>
          <w:szCs w:val="24"/>
        </w:rPr>
      </w:pPr>
      <w:hyperlink w:anchor="_Toc82386457" w:history="1">
        <w:r w:rsidR="002C0E50" w:rsidRPr="00F40DDB">
          <w:rPr>
            <w:rStyle w:val="Hyperlink"/>
            <w:noProof/>
          </w:rPr>
          <w:t>Figure 5.1:</w:t>
        </w:r>
        <w:r w:rsidR="002C0E50">
          <w:rPr>
            <w:rFonts w:asciiTheme="minorHAnsi" w:eastAsiaTheme="minorEastAsia" w:hAnsiTheme="minorHAnsi" w:cstheme="minorBidi"/>
            <w:noProof/>
            <w:szCs w:val="24"/>
          </w:rPr>
          <w:tab/>
        </w:r>
        <w:r w:rsidR="002C0E50" w:rsidRPr="00F40DDB">
          <w:rPr>
            <w:rStyle w:val="Hyperlink"/>
            <w:noProof/>
          </w:rPr>
          <w:t>Percentage of Agricultural Households Reported to Borrow Money for Agricultural Activities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_Toc82386457 \h </w:instrText>
        </w:r>
        <w:r w:rsidR="002C0E50">
          <w:rPr>
            <w:noProof/>
            <w:webHidden/>
          </w:rPr>
        </w:r>
        <w:r w:rsidR="002C0E50">
          <w:rPr>
            <w:noProof/>
            <w:webHidden/>
          </w:rPr>
          <w:fldChar w:fldCharType="separate"/>
        </w:r>
        <w:r w:rsidR="00A15698">
          <w:rPr>
            <w:noProof/>
            <w:webHidden/>
          </w:rPr>
          <w:t>227</w:t>
        </w:r>
        <w:r w:rsidR="002C0E50">
          <w:rPr>
            <w:noProof/>
            <w:webHidden/>
          </w:rPr>
          <w:fldChar w:fldCharType="end"/>
        </w:r>
      </w:hyperlink>
    </w:p>
    <w:p w14:paraId="122E616C" w14:textId="4CED319C" w:rsidR="002C0E50" w:rsidRDefault="00E909AE">
      <w:pPr>
        <w:pStyle w:val="TOC8"/>
        <w:rPr>
          <w:rFonts w:asciiTheme="minorHAnsi" w:eastAsiaTheme="minorEastAsia" w:hAnsiTheme="minorHAnsi" w:cstheme="minorBidi"/>
          <w:noProof/>
          <w:szCs w:val="24"/>
        </w:rPr>
      </w:pPr>
      <w:hyperlink w:anchor="_Toc82386458" w:history="1">
        <w:r w:rsidR="002C0E50" w:rsidRPr="00F40DDB">
          <w:rPr>
            <w:rStyle w:val="Hyperlink"/>
            <w:noProof/>
          </w:rPr>
          <w:t>Figure 5.2:</w:t>
        </w:r>
        <w:r w:rsidR="002C0E50">
          <w:rPr>
            <w:rFonts w:asciiTheme="minorHAnsi" w:eastAsiaTheme="minorEastAsia" w:hAnsiTheme="minorHAnsi" w:cstheme="minorBidi"/>
            <w:noProof/>
            <w:szCs w:val="24"/>
          </w:rPr>
          <w:tab/>
        </w:r>
        <w:r w:rsidR="002C0E50" w:rsidRPr="00F40DDB">
          <w:rPr>
            <w:rStyle w:val="Hyperlink"/>
            <w:noProof/>
          </w:rPr>
          <w:t>Percentage of Agricultural Households Reported to Borrow Money for Agricultural Activities 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_Toc82386458 \h </w:instrText>
        </w:r>
        <w:r w:rsidR="002C0E50">
          <w:rPr>
            <w:noProof/>
            <w:webHidden/>
          </w:rPr>
        </w:r>
        <w:r w:rsidR="002C0E50">
          <w:rPr>
            <w:noProof/>
            <w:webHidden/>
          </w:rPr>
          <w:fldChar w:fldCharType="separate"/>
        </w:r>
        <w:r w:rsidR="00A15698">
          <w:rPr>
            <w:noProof/>
            <w:webHidden/>
          </w:rPr>
          <w:t>227</w:t>
        </w:r>
        <w:r w:rsidR="002C0E50">
          <w:rPr>
            <w:noProof/>
            <w:webHidden/>
          </w:rPr>
          <w:fldChar w:fldCharType="end"/>
        </w:r>
      </w:hyperlink>
    </w:p>
    <w:p w14:paraId="185C2E06" w14:textId="6A3F9EE8" w:rsidR="002C0E50" w:rsidRDefault="00E909AE">
      <w:pPr>
        <w:pStyle w:val="TOC8"/>
        <w:rPr>
          <w:rFonts w:asciiTheme="minorHAnsi" w:eastAsiaTheme="minorEastAsia" w:hAnsiTheme="minorHAnsi" w:cstheme="minorBidi"/>
          <w:noProof/>
          <w:szCs w:val="24"/>
        </w:rPr>
      </w:pPr>
      <w:hyperlink w:anchor="_Toc82386459" w:history="1">
        <w:r w:rsidR="002C0E50" w:rsidRPr="00F40DDB">
          <w:rPr>
            <w:rStyle w:val="Hyperlink"/>
            <w:noProof/>
          </w:rPr>
          <w:t>Figure 5.3:</w:t>
        </w:r>
        <w:r w:rsidR="002C0E50">
          <w:rPr>
            <w:rFonts w:asciiTheme="minorHAnsi" w:eastAsiaTheme="minorEastAsia" w:hAnsiTheme="minorHAnsi" w:cstheme="minorBidi"/>
            <w:noProof/>
            <w:szCs w:val="24"/>
          </w:rPr>
          <w:tab/>
        </w:r>
        <w:r w:rsidR="002C0E50" w:rsidRPr="00F40DDB">
          <w:rPr>
            <w:rStyle w:val="Hyperlink"/>
            <w:noProof/>
          </w:rPr>
          <w:t>Number of Agricultural Household Members Received First Credit by Sex and Region During 2019/20 Agricultural Year, Mainland Tanzania</w:t>
        </w:r>
        <w:r w:rsidR="002C0E50">
          <w:rPr>
            <w:noProof/>
            <w:webHidden/>
          </w:rPr>
          <w:tab/>
        </w:r>
        <w:r w:rsidR="002C0E50">
          <w:rPr>
            <w:noProof/>
            <w:webHidden/>
          </w:rPr>
          <w:fldChar w:fldCharType="begin"/>
        </w:r>
        <w:r w:rsidR="002C0E50">
          <w:rPr>
            <w:noProof/>
            <w:webHidden/>
          </w:rPr>
          <w:instrText xml:space="preserve"> PAGEREF _Toc82386459 \h </w:instrText>
        </w:r>
        <w:r w:rsidR="002C0E50">
          <w:rPr>
            <w:noProof/>
            <w:webHidden/>
          </w:rPr>
        </w:r>
        <w:r w:rsidR="002C0E50">
          <w:rPr>
            <w:noProof/>
            <w:webHidden/>
          </w:rPr>
          <w:fldChar w:fldCharType="separate"/>
        </w:r>
        <w:r w:rsidR="00A15698">
          <w:rPr>
            <w:noProof/>
            <w:webHidden/>
          </w:rPr>
          <w:t>228</w:t>
        </w:r>
        <w:r w:rsidR="002C0E50">
          <w:rPr>
            <w:noProof/>
            <w:webHidden/>
          </w:rPr>
          <w:fldChar w:fldCharType="end"/>
        </w:r>
      </w:hyperlink>
    </w:p>
    <w:p w14:paraId="235E6217" w14:textId="55702825" w:rsidR="002C0E50" w:rsidRDefault="00E909AE">
      <w:pPr>
        <w:pStyle w:val="TOC8"/>
        <w:rPr>
          <w:rFonts w:asciiTheme="minorHAnsi" w:eastAsiaTheme="minorEastAsia" w:hAnsiTheme="minorHAnsi" w:cstheme="minorBidi"/>
          <w:noProof/>
          <w:szCs w:val="24"/>
        </w:rPr>
      </w:pPr>
      <w:hyperlink w:anchor="_Toc82386460" w:history="1">
        <w:r w:rsidR="002C0E50" w:rsidRPr="00F40DDB">
          <w:rPr>
            <w:rStyle w:val="Hyperlink"/>
            <w:noProof/>
          </w:rPr>
          <w:t>Figure 5.4:</w:t>
        </w:r>
        <w:r w:rsidR="002C0E50">
          <w:rPr>
            <w:rFonts w:asciiTheme="minorHAnsi" w:eastAsiaTheme="minorEastAsia" w:hAnsiTheme="minorHAnsi" w:cstheme="minorBidi"/>
            <w:noProof/>
            <w:szCs w:val="24"/>
          </w:rPr>
          <w:tab/>
        </w:r>
        <w:r w:rsidR="002C0E50" w:rsidRPr="00F40DDB">
          <w:rPr>
            <w:rStyle w:val="Hyperlink"/>
            <w:noProof/>
          </w:rPr>
          <w:t>Number of Agricultural Household Members Received First Credit by Sex and Region During 2019/20 agricultural year, Tanzania Zanzibar</w:t>
        </w:r>
        <w:r w:rsidR="002C0E50">
          <w:rPr>
            <w:noProof/>
            <w:webHidden/>
          </w:rPr>
          <w:tab/>
        </w:r>
        <w:r w:rsidR="002C0E50">
          <w:rPr>
            <w:noProof/>
            <w:webHidden/>
          </w:rPr>
          <w:fldChar w:fldCharType="begin"/>
        </w:r>
        <w:r w:rsidR="002C0E50">
          <w:rPr>
            <w:noProof/>
            <w:webHidden/>
          </w:rPr>
          <w:instrText xml:space="preserve"> PAGEREF _Toc82386460 \h </w:instrText>
        </w:r>
        <w:r w:rsidR="002C0E50">
          <w:rPr>
            <w:noProof/>
            <w:webHidden/>
          </w:rPr>
        </w:r>
        <w:r w:rsidR="002C0E50">
          <w:rPr>
            <w:noProof/>
            <w:webHidden/>
          </w:rPr>
          <w:fldChar w:fldCharType="separate"/>
        </w:r>
        <w:r w:rsidR="00A15698">
          <w:rPr>
            <w:noProof/>
            <w:webHidden/>
          </w:rPr>
          <w:t>229</w:t>
        </w:r>
        <w:r w:rsidR="002C0E50">
          <w:rPr>
            <w:noProof/>
            <w:webHidden/>
          </w:rPr>
          <w:fldChar w:fldCharType="end"/>
        </w:r>
      </w:hyperlink>
    </w:p>
    <w:p w14:paraId="76E5D1E3" w14:textId="66E2CEBF" w:rsidR="002C0E50" w:rsidRDefault="00E909AE">
      <w:pPr>
        <w:pStyle w:val="TOC8"/>
        <w:rPr>
          <w:rFonts w:asciiTheme="minorHAnsi" w:eastAsiaTheme="minorEastAsia" w:hAnsiTheme="minorHAnsi" w:cstheme="minorBidi"/>
          <w:noProof/>
          <w:szCs w:val="24"/>
        </w:rPr>
      </w:pPr>
      <w:hyperlink w:anchor="_Toc82386461" w:history="1">
        <w:r w:rsidR="002C0E50" w:rsidRPr="00F40DDB">
          <w:rPr>
            <w:rStyle w:val="Hyperlink"/>
            <w:noProof/>
          </w:rPr>
          <w:t>Figure 5.5:</w:t>
        </w:r>
        <w:r w:rsidR="002C0E50">
          <w:rPr>
            <w:rFonts w:asciiTheme="minorHAnsi" w:eastAsiaTheme="minorEastAsia" w:hAnsiTheme="minorHAnsi" w:cstheme="minorBidi"/>
            <w:noProof/>
            <w:szCs w:val="24"/>
          </w:rPr>
          <w:tab/>
        </w:r>
        <w:r w:rsidR="002C0E50" w:rsidRPr="00F40DDB">
          <w:rPr>
            <w:rStyle w:val="Hyperlink"/>
            <w:noProof/>
          </w:rPr>
          <w:t>Percentage of Agricultural Household Members Received First Credit by Source During 2019/20 Agricultural Year, Tanzania</w:t>
        </w:r>
        <w:r w:rsidR="002C0E50">
          <w:rPr>
            <w:noProof/>
            <w:webHidden/>
          </w:rPr>
          <w:tab/>
        </w:r>
        <w:r w:rsidR="002C0E50">
          <w:rPr>
            <w:noProof/>
            <w:webHidden/>
          </w:rPr>
          <w:fldChar w:fldCharType="begin"/>
        </w:r>
        <w:r w:rsidR="002C0E50">
          <w:rPr>
            <w:noProof/>
            <w:webHidden/>
          </w:rPr>
          <w:instrText xml:space="preserve"> PAGEREF _Toc82386461 \h </w:instrText>
        </w:r>
        <w:r w:rsidR="002C0E50">
          <w:rPr>
            <w:noProof/>
            <w:webHidden/>
          </w:rPr>
        </w:r>
        <w:r w:rsidR="002C0E50">
          <w:rPr>
            <w:noProof/>
            <w:webHidden/>
          </w:rPr>
          <w:fldChar w:fldCharType="separate"/>
        </w:r>
        <w:r w:rsidR="00A15698">
          <w:rPr>
            <w:noProof/>
            <w:webHidden/>
          </w:rPr>
          <w:t>230</w:t>
        </w:r>
        <w:r w:rsidR="002C0E50">
          <w:rPr>
            <w:noProof/>
            <w:webHidden/>
          </w:rPr>
          <w:fldChar w:fldCharType="end"/>
        </w:r>
      </w:hyperlink>
    </w:p>
    <w:p w14:paraId="69B1E0E2" w14:textId="12ACD78A" w:rsidR="002C0E50" w:rsidRDefault="00E909AE">
      <w:pPr>
        <w:pStyle w:val="TOC8"/>
        <w:rPr>
          <w:rFonts w:asciiTheme="minorHAnsi" w:eastAsiaTheme="minorEastAsia" w:hAnsiTheme="minorHAnsi" w:cstheme="minorBidi"/>
          <w:noProof/>
          <w:szCs w:val="24"/>
        </w:rPr>
      </w:pPr>
      <w:hyperlink w:anchor="_Toc82386462" w:history="1">
        <w:r w:rsidR="002C0E50" w:rsidRPr="00F40DDB">
          <w:rPr>
            <w:rStyle w:val="Hyperlink"/>
            <w:noProof/>
          </w:rPr>
          <w:t>Figure 5.6:</w:t>
        </w:r>
        <w:r w:rsidR="002C0E50">
          <w:rPr>
            <w:rFonts w:asciiTheme="minorHAnsi" w:eastAsiaTheme="minorEastAsia" w:hAnsiTheme="minorHAnsi" w:cstheme="minorBidi"/>
            <w:noProof/>
            <w:szCs w:val="24"/>
          </w:rPr>
          <w:tab/>
        </w:r>
        <w:r w:rsidR="002C0E50" w:rsidRPr="00F40DDB">
          <w:rPr>
            <w:rStyle w:val="Hyperlink"/>
            <w:noProof/>
          </w:rPr>
          <w:t>Percentage of Agricultural Household Members Received Second Credit by Source During 2019/20 Agricultural Year, Tanzania</w:t>
        </w:r>
        <w:r w:rsidR="002C0E50">
          <w:rPr>
            <w:noProof/>
            <w:webHidden/>
          </w:rPr>
          <w:tab/>
        </w:r>
        <w:r w:rsidR="002C0E50">
          <w:rPr>
            <w:noProof/>
            <w:webHidden/>
          </w:rPr>
          <w:fldChar w:fldCharType="begin"/>
        </w:r>
        <w:r w:rsidR="002C0E50">
          <w:rPr>
            <w:noProof/>
            <w:webHidden/>
          </w:rPr>
          <w:instrText xml:space="preserve"> PAGEREF _Toc82386462 \h </w:instrText>
        </w:r>
        <w:r w:rsidR="002C0E50">
          <w:rPr>
            <w:noProof/>
            <w:webHidden/>
          </w:rPr>
        </w:r>
        <w:r w:rsidR="002C0E50">
          <w:rPr>
            <w:noProof/>
            <w:webHidden/>
          </w:rPr>
          <w:fldChar w:fldCharType="separate"/>
        </w:r>
        <w:r w:rsidR="00A15698">
          <w:rPr>
            <w:noProof/>
            <w:webHidden/>
          </w:rPr>
          <w:t>231</w:t>
        </w:r>
        <w:r w:rsidR="002C0E50">
          <w:rPr>
            <w:noProof/>
            <w:webHidden/>
          </w:rPr>
          <w:fldChar w:fldCharType="end"/>
        </w:r>
      </w:hyperlink>
    </w:p>
    <w:p w14:paraId="680D1BD6" w14:textId="19EEC944" w:rsidR="002C0E50" w:rsidRDefault="00E909AE">
      <w:pPr>
        <w:pStyle w:val="TOC8"/>
        <w:rPr>
          <w:rFonts w:asciiTheme="minorHAnsi" w:eastAsiaTheme="minorEastAsia" w:hAnsiTheme="minorHAnsi" w:cstheme="minorBidi"/>
          <w:noProof/>
          <w:szCs w:val="24"/>
        </w:rPr>
      </w:pPr>
      <w:hyperlink w:anchor="_Toc82386463" w:history="1">
        <w:r w:rsidR="002C0E50" w:rsidRPr="00F40DDB">
          <w:rPr>
            <w:rStyle w:val="Hyperlink"/>
            <w:noProof/>
          </w:rPr>
          <w:t>Figure 5.7:</w:t>
        </w:r>
        <w:r w:rsidR="002C0E50">
          <w:rPr>
            <w:rFonts w:asciiTheme="minorHAnsi" w:eastAsiaTheme="minorEastAsia" w:hAnsiTheme="minorHAnsi" w:cstheme="minorBidi"/>
            <w:noProof/>
            <w:szCs w:val="24"/>
          </w:rPr>
          <w:tab/>
        </w:r>
        <w:r w:rsidR="002C0E50" w:rsidRPr="00F40DDB">
          <w:rPr>
            <w:rStyle w:val="Hyperlink"/>
            <w:noProof/>
          </w:rPr>
          <w:t>Percentage of Agricultural Households Reported Main Reason for Not Borrowing Credit During the 2019/20 Agricultural Year, Tanzania</w:t>
        </w:r>
        <w:r w:rsidR="002C0E50">
          <w:rPr>
            <w:noProof/>
            <w:webHidden/>
          </w:rPr>
          <w:tab/>
        </w:r>
        <w:r w:rsidR="002C0E50">
          <w:rPr>
            <w:noProof/>
            <w:webHidden/>
          </w:rPr>
          <w:fldChar w:fldCharType="begin"/>
        </w:r>
        <w:r w:rsidR="002C0E50">
          <w:rPr>
            <w:noProof/>
            <w:webHidden/>
          </w:rPr>
          <w:instrText xml:space="preserve"> PAGEREF _Toc82386463 \h </w:instrText>
        </w:r>
        <w:r w:rsidR="002C0E50">
          <w:rPr>
            <w:noProof/>
            <w:webHidden/>
          </w:rPr>
        </w:r>
        <w:r w:rsidR="002C0E50">
          <w:rPr>
            <w:noProof/>
            <w:webHidden/>
          </w:rPr>
          <w:fldChar w:fldCharType="separate"/>
        </w:r>
        <w:r w:rsidR="00A15698">
          <w:rPr>
            <w:noProof/>
            <w:webHidden/>
          </w:rPr>
          <w:t>237</w:t>
        </w:r>
        <w:r w:rsidR="002C0E50">
          <w:rPr>
            <w:noProof/>
            <w:webHidden/>
          </w:rPr>
          <w:fldChar w:fldCharType="end"/>
        </w:r>
      </w:hyperlink>
    </w:p>
    <w:p w14:paraId="59F1C37F" w14:textId="78DD9BB2" w:rsidR="002C0E50" w:rsidRDefault="00E909AE">
      <w:pPr>
        <w:pStyle w:val="TOC8"/>
        <w:rPr>
          <w:rFonts w:asciiTheme="minorHAnsi" w:eastAsiaTheme="minorEastAsia" w:hAnsiTheme="minorHAnsi" w:cstheme="minorBidi"/>
          <w:noProof/>
          <w:szCs w:val="24"/>
        </w:rPr>
      </w:pPr>
      <w:hyperlink w:anchor="_Toc82386464" w:history="1">
        <w:r w:rsidR="002C0E50" w:rsidRPr="00F40DDB">
          <w:rPr>
            <w:rStyle w:val="Hyperlink"/>
            <w:noProof/>
          </w:rPr>
          <w:t>Figure 6.1:</w:t>
        </w:r>
        <w:r w:rsidR="002C0E50">
          <w:rPr>
            <w:rFonts w:asciiTheme="minorHAnsi" w:eastAsiaTheme="minorEastAsia" w:hAnsiTheme="minorHAnsi" w:cstheme="minorBidi"/>
            <w:noProof/>
            <w:szCs w:val="24"/>
          </w:rPr>
          <w:tab/>
        </w:r>
        <w:r w:rsidR="002C0E50" w:rsidRPr="00F40DDB">
          <w:rPr>
            <w:rStyle w:val="Hyperlink"/>
            <w:noProof/>
          </w:rPr>
          <w:t>Percentage of Agricultural Households Reported Number of Meals Normally Taken per Day During 2019/20 Agricultural Year, Tanzania</w:t>
        </w:r>
        <w:r w:rsidR="002C0E50">
          <w:rPr>
            <w:noProof/>
            <w:webHidden/>
          </w:rPr>
          <w:tab/>
        </w:r>
        <w:r w:rsidR="002C0E50">
          <w:rPr>
            <w:noProof/>
            <w:webHidden/>
          </w:rPr>
          <w:fldChar w:fldCharType="begin"/>
        </w:r>
        <w:r w:rsidR="002C0E50">
          <w:rPr>
            <w:noProof/>
            <w:webHidden/>
          </w:rPr>
          <w:instrText xml:space="preserve"> PAGEREF _Toc82386464 \h </w:instrText>
        </w:r>
        <w:r w:rsidR="002C0E50">
          <w:rPr>
            <w:noProof/>
            <w:webHidden/>
          </w:rPr>
        </w:r>
        <w:r w:rsidR="002C0E50">
          <w:rPr>
            <w:noProof/>
            <w:webHidden/>
          </w:rPr>
          <w:fldChar w:fldCharType="separate"/>
        </w:r>
        <w:r w:rsidR="00A15698">
          <w:rPr>
            <w:noProof/>
            <w:webHidden/>
          </w:rPr>
          <w:t>262</w:t>
        </w:r>
        <w:r w:rsidR="002C0E50">
          <w:rPr>
            <w:noProof/>
            <w:webHidden/>
          </w:rPr>
          <w:fldChar w:fldCharType="end"/>
        </w:r>
      </w:hyperlink>
    </w:p>
    <w:p w14:paraId="2AE5C86A" w14:textId="00AA5B20" w:rsidR="002C0E50" w:rsidRDefault="00E909AE">
      <w:pPr>
        <w:pStyle w:val="TOC8"/>
        <w:rPr>
          <w:rFonts w:asciiTheme="minorHAnsi" w:eastAsiaTheme="minorEastAsia" w:hAnsiTheme="minorHAnsi" w:cstheme="minorBidi"/>
          <w:noProof/>
          <w:szCs w:val="24"/>
        </w:rPr>
      </w:pPr>
      <w:hyperlink w:anchor="_Toc82386465" w:history="1">
        <w:r w:rsidR="002C0E50" w:rsidRPr="00F40DDB">
          <w:rPr>
            <w:rStyle w:val="Hyperlink"/>
            <w:noProof/>
          </w:rPr>
          <w:t>Figure 6.2:</w:t>
        </w:r>
        <w:r w:rsidR="002C0E50">
          <w:rPr>
            <w:rFonts w:asciiTheme="minorHAnsi" w:eastAsiaTheme="minorEastAsia" w:hAnsiTheme="minorHAnsi" w:cstheme="minorBidi"/>
            <w:noProof/>
            <w:szCs w:val="24"/>
          </w:rPr>
          <w:tab/>
        </w:r>
        <w:r w:rsidR="002C0E50" w:rsidRPr="00F40DDB">
          <w:rPr>
            <w:rStyle w:val="Hyperlink"/>
            <w:noProof/>
          </w:rPr>
          <w:t>Percentage of Agricultural Households Reported Number of Days the Household Consumed Fish in the Last Seven Days During 2019/20 Agricultural Year, Tanzania</w:t>
        </w:r>
        <w:r w:rsidR="002C0E50">
          <w:rPr>
            <w:noProof/>
            <w:webHidden/>
          </w:rPr>
          <w:tab/>
        </w:r>
        <w:r w:rsidR="002C0E50">
          <w:rPr>
            <w:noProof/>
            <w:webHidden/>
          </w:rPr>
          <w:fldChar w:fldCharType="begin"/>
        </w:r>
        <w:r w:rsidR="002C0E50">
          <w:rPr>
            <w:noProof/>
            <w:webHidden/>
          </w:rPr>
          <w:instrText xml:space="preserve"> PAGEREF _Toc82386465 \h </w:instrText>
        </w:r>
        <w:r w:rsidR="002C0E50">
          <w:rPr>
            <w:noProof/>
            <w:webHidden/>
          </w:rPr>
        </w:r>
        <w:r w:rsidR="002C0E50">
          <w:rPr>
            <w:noProof/>
            <w:webHidden/>
          </w:rPr>
          <w:fldChar w:fldCharType="separate"/>
        </w:r>
        <w:r w:rsidR="00A15698">
          <w:rPr>
            <w:noProof/>
            <w:webHidden/>
          </w:rPr>
          <w:t>264</w:t>
        </w:r>
        <w:r w:rsidR="002C0E50">
          <w:rPr>
            <w:noProof/>
            <w:webHidden/>
          </w:rPr>
          <w:fldChar w:fldCharType="end"/>
        </w:r>
      </w:hyperlink>
    </w:p>
    <w:p w14:paraId="4C4645DA" w14:textId="3A755EC4" w:rsidR="002C0E50" w:rsidRDefault="00E909AE">
      <w:pPr>
        <w:pStyle w:val="TOC8"/>
        <w:rPr>
          <w:rFonts w:asciiTheme="minorHAnsi" w:eastAsiaTheme="minorEastAsia" w:hAnsiTheme="minorHAnsi" w:cstheme="minorBidi"/>
          <w:noProof/>
          <w:szCs w:val="24"/>
        </w:rPr>
      </w:pPr>
      <w:hyperlink w:anchor="_Toc82386466" w:history="1">
        <w:r w:rsidR="002C0E50" w:rsidRPr="00F40DDB">
          <w:rPr>
            <w:rStyle w:val="Hyperlink"/>
            <w:noProof/>
          </w:rPr>
          <w:t>Figure 6.3:</w:t>
        </w:r>
        <w:r w:rsidR="002C0E50">
          <w:rPr>
            <w:rFonts w:asciiTheme="minorHAnsi" w:eastAsiaTheme="minorEastAsia" w:hAnsiTheme="minorHAnsi" w:cstheme="minorBidi"/>
            <w:noProof/>
            <w:szCs w:val="24"/>
          </w:rPr>
          <w:tab/>
        </w:r>
        <w:r w:rsidR="002C0E50" w:rsidRPr="00F40DDB">
          <w:rPr>
            <w:rStyle w:val="Hyperlink"/>
            <w:noProof/>
          </w:rPr>
          <w:t>Percentage of Agricultural Households Reported the Status of Food Satisfaction in the Last Twelve Months During 2019/20 Agricultural Year, Tanzania</w:t>
        </w:r>
        <w:r w:rsidR="002C0E50">
          <w:rPr>
            <w:noProof/>
            <w:webHidden/>
          </w:rPr>
          <w:tab/>
        </w:r>
        <w:r w:rsidR="002C0E50">
          <w:rPr>
            <w:noProof/>
            <w:webHidden/>
          </w:rPr>
          <w:fldChar w:fldCharType="begin"/>
        </w:r>
        <w:r w:rsidR="002C0E50">
          <w:rPr>
            <w:noProof/>
            <w:webHidden/>
          </w:rPr>
          <w:instrText xml:space="preserve"> PAGEREF _Toc82386466 \h </w:instrText>
        </w:r>
        <w:r w:rsidR="002C0E50">
          <w:rPr>
            <w:noProof/>
            <w:webHidden/>
          </w:rPr>
        </w:r>
        <w:r w:rsidR="002C0E50">
          <w:rPr>
            <w:noProof/>
            <w:webHidden/>
          </w:rPr>
          <w:fldChar w:fldCharType="separate"/>
        </w:r>
        <w:r w:rsidR="00A15698">
          <w:rPr>
            <w:noProof/>
            <w:webHidden/>
          </w:rPr>
          <w:t>266</w:t>
        </w:r>
        <w:r w:rsidR="002C0E50">
          <w:rPr>
            <w:noProof/>
            <w:webHidden/>
          </w:rPr>
          <w:fldChar w:fldCharType="end"/>
        </w:r>
      </w:hyperlink>
    </w:p>
    <w:p w14:paraId="3EF290A4" w14:textId="68C054B9" w:rsidR="002C0E50" w:rsidRDefault="00E909AE">
      <w:pPr>
        <w:pStyle w:val="TOC8"/>
        <w:rPr>
          <w:rFonts w:asciiTheme="minorHAnsi" w:eastAsiaTheme="minorEastAsia" w:hAnsiTheme="minorHAnsi" w:cstheme="minorBidi"/>
          <w:noProof/>
          <w:szCs w:val="24"/>
        </w:rPr>
      </w:pPr>
      <w:hyperlink w:anchor="_Toc82386467" w:history="1">
        <w:r w:rsidR="002C0E50" w:rsidRPr="00F40DDB">
          <w:rPr>
            <w:rStyle w:val="Hyperlink"/>
            <w:noProof/>
          </w:rPr>
          <w:t>Figure 6.4:</w:t>
        </w:r>
        <w:r w:rsidR="002C0E50">
          <w:rPr>
            <w:rFonts w:asciiTheme="minorHAnsi" w:eastAsiaTheme="minorEastAsia" w:hAnsiTheme="minorHAnsi" w:cstheme="minorBidi"/>
            <w:noProof/>
            <w:szCs w:val="24"/>
          </w:rPr>
          <w:tab/>
        </w:r>
        <w:r w:rsidR="002C0E50" w:rsidRPr="00F40DDB">
          <w:rPr>
            <w:rStyle w:val="Hyperlink"/>
            <w:noProof/>
          </w:rPr>
          <w:t>Percentage of Households by Main Source of Cash Income in 2007/08 and 2019/20 Agricultural Years, Tanzania</w:t>
        </w:r>
        <w:r w:rsidR="002C0E50">
          <w:rPr>
            <w:noProof/>
            <w:webHidden/>
          </w:rPr>
          <w:tab/>
        </w:r>
        <w:r w:rsidR="002C0E50">
          <w:rPr>
            <w:noProof/>
            <w:webHidden/>
          </w:rPr>
          <w:fldChar w:fldCharType="begin"/>
        </w:r>
        <w:r w:rsidR="002C0E50">
          <w:rPr>
            <w:noProof/>
            <w:webHidden/>
          </w:rPr>
          <w:instrText xml:space="preserve"> PAGEREF _Toc82386467 \h </w:instrText>
        </w:r>
        <w:r w:rsidR="002C0E50">
          <w:rPr>
            <w:noProof/>
            <w:webHidden/>
          </w:rPr>
        </w:r>
        <w:r w:rsidR="002C0E50">
          <w:rPr>
            <w:noProof/>
            <w:webHidden/>
          </w:rPr>
          <w:fldChar w:fldCharType="separate"/>
        </w:r>
        <w:r w:rsidR="00A15698">
          <w:rPr>
            <w:noProof/>
            <w:webHidden/>
          </w:rPr>
          <w:t>267</w:t>
        </w:r>
        <w:r w:rsidR="002C0E50">
          <w:rPr>
            <w:noProof/>
            <w:webHidden/>
          </w:rPr>
          <w:fldChar w:fldCharType="end"/>
        </w:r>
      </w:hyperlink>
    </w:p>
    <w:p w14:paraId="71A1EB4C" w14:textId="0A22D949" w:rsidR="00B40BDD" w:rsidRDefault="005F0EE7" w:rsidP="005C2EFC">
      <w:pPr>
        <w:rPr>
          <w:b/>
          <w:sz w:val="22"/>
          <w:szCs w:val="22"/>
        </w:rPr>
      </w:pPr>
      <w:r>
        <w:rPr>
          <w:b/>
          <w:sz w:val="22"/>
          <w:szCs w:val="22"/>
        </w:rPr>
        <w:fldChar w:fldCharType="end"/>
      </w:r>
      <w:bookmarkStart w:id="2" w:name="_Toc80884405"/>
    </w:p>
    <w:p w14:paraId="253E66A5" w14:textId="2C4ED31F" w:rsidR="00B40BDD" w:rsidRDefault="00B40BDD" w:rsidP="005C2EFC">
      <w:pPr>
        <w:rPr>
          <w:b/>
          <w:sz w:val="22"/>
          <w:szCs w:val="22"/>
        </w:rPr>
      </w:pPr>
    </w:p>
    <w:p w14:paraId="67060BE0" w14:textId="766F23E7" w:rsidR="00043C2A" w:rsidRDefault="00043C2A" w:rsidP="005C2EFC">
      <w:pPr>
        <w:rPr>
          <w:b/>
          <w:sz w:val="22"/>
          <w:szCs w:val="22"/>
        </w:rPr>
      </w:pPr>
    </w:p>
    <w:p w14:paraId="20C138F3" w14:textId="7B0D35D4" w:rsidR="00043C2A" w:rsidRDefault="00043C2A" w:rsidP="005C2EFC">
      <w:pPr>
        <w:rPr>
          <w:b/>
          <w:sz w:val="22"/>
          <w:szCs w:val="22"/>
        </w:rPr>
      </w:pPr>
    </w:p>
    <w:p w14:paraId="44D71115" w14:textId="715AEDFD" w:rsidR="00043C2A" w:rsidRDefault="00043C2A" w:rsidP="005C2EFC">
      <w:pPr>
        <w:rPr>
          <w:b/>
          <w:sz w:val="22"/>
          <w:szCs w:val="22"/>
        </w:rPr>
      </w:pPr>
    </w:p>
    <w:p w14:paraId="4868EA29" w14:textId="76B51D18" w:rsidR="00043C2A" w:rsidRDefault="00043C2A" w:rsidP="005C2EFC">
      <w:pPr>
        <w:rPr>
          <w:b/>
          <w:sz w:val="22"/>
          <w:szCs w:val="22"/>
        </w:rPr>
      </w:pPr>
    </w:p>
    <w:p w14:paraId="1D2A1B2E" w14:textId="7427D60A" w:rsidR="00043C2A" w:rsidRDefault="00043C2A" w:rsidP="005C2EFC">
      <w:pPr>
        <w:rPr>
          <w:b/>
          <w:sz w:val="22"/>
          <w:szCs w:val="22"/>
        </w:rPr>
      </w:pPr>
    </w:p>
    <w:p w14:paraId="374B3824" w14:textId="1AF75537" w:rsidR="00043C2A" w:rsidRDefault="00043C2A" w:rsidP="005C2EFC">
      <w:pPr>
        <w:rPr>
          <w:b/>
          <w:sz w:val="22"/>
          <w:szCs w:val="22"/>
        </w:rPr>
      </w:pPr>
    </w:p>
    <w:p w14:paraId="7F983CEF" w14:textId="637DF2A6" w:rsidR="009F55A6" w:rsidRPr="001629E1" w:rsidRDefault="00C36413" w:rsidP="009F55A6">
      <w:pPr>
        <w:pStyle w:val="Heading5"/>
      </w:pPr>
      <w:bookmarkStart w:id="3" w:name="_Toc82385610"/>
      <w:bookmarkStart w:id="4" w:name="_Toc80884034"/>
      <w:bookmarkStart w:id="5" w:name="_Toc80120156"/>
      <w:r>
        <w:lastRenderedPageBreak/>
        <w:t>LIST OF MAPS</w:t>
      </w:r>
      <w:bookmarkEnd w:id="3"/>
    </w:p>
    <w:p w14:paraId="228F92E0" w14:textId="6C9A7FDE" w:rsidR="002C0E50" w:rsidRDefault="0081496B">
      <w:pPr>
        <w:pStyle w:val="TOC9"/>
        <w:rPr>
          <w:rFonts w:asciiTheme="minorHAnsi" w:eastAsiaTheme="minorEastAsia" w:hAnsiTheme="minorHAnsi" w:cstheme="minorBidi"/>
          <w:noProof/>
          <w:szCs w:val="24"/>
        </w:rPr>
      </w:pPr>
      <w:r>
        <w:fldChar w:fldCharType="begin"/>
      </w:r>
      <w:r>
        <w:instrText xml:space="preserve"> TOC \h \z \t "MapNew,9" </w:instrText>
      </w:r>
      <w:r>
        <w:fldChar w:fldCharType="separate"/>
      </w:r>
      <w:hyperlink w:anchor="_Toc82386468" w:history="1">
        <w:r w:rsidR="002C0E50" w:rsidRPr="00C406C8">
          <w:rPr>
            <w:rStyle w:val="Hyperlink"/>
            <w:noProof/>
          </w:rPr>
          <w:t>Map 3.1:</w:t>
        </w:r>
        <w:r w:rsidR="002C0E50">
          <w:rPr>
            <w:rFonts w:asciiTheme="minorHAnsi" w:eastAsiaTheme="minorEastAsia" w:hAnsiTheme="minorHAnsi" w:cstheme="minorBidi"/>
            <w:noProof/>
            <w:szCs w:val="24"/>
          </w:rPr>
          <w:tab/>
        </w:r>
        <w:r w:rsidR="002C0E50" w:rsidRPr="00C406C8">
          <w:rPr>
            <w:rStyle w:val="Hyperlink"/>
            <w:noProof/>
          </w:rPr>
          <w:t>Production of Maize by Region During 2019/20 Agricultural Year, Tanzania</w:t>
        </w:r>
        <w:r w:rsidR="002C0E50">
          <w:rPr>
            <w:noProof/>
            <w:webHidden/>
          </w:rPr>
          <w:tab/>
        </w:r>
        <w:r w:rsidR="002C0E50">
          <w:rPr>
            <w:noProof/>
            <w:webHidden/>
          </w:rPr>
          <w:fldChar w:fldCharType="begin"/>
        </w:r>
        <w:r w:rsidR="002C0E50">
          <w:rPr>
            <w:noProof/>
            <w:webHidden/>
          </w:rPr>
          <w:instrText xml:space="preserve"> PAGEREF _Toc82386468 \h </w:instrText>
        </w:r>
        <w:r w:rsidR="002C0E50">
          <w:rPr>
            <w:noProof/>
            <w:webHidden/>
          </w:rPr>
        </w:r>
        <w:r w:rsidR="002C0E50">
          <w:rPr>
            <w:noProof/>
            <w:webHidden/>
          </w:rPr>
          <w:fldChar w:fldCharType="separate"/>
        </w:r>
        <w:r w:rsidR="00A15698">
          <w:rPr>
            <w:noProof/>
            <w:webHidden/>
          </w:rPr>
          <w:t>26</w:t>
        </w:r>
        <w:r w:rsidR="002C0E50">
          <w:rPr>
            <w:noProof/>
            <w:webHidden/>
          </w:rPr>
          <w:fldChar w:fldCharType="end"/>
        </w:r>
      </w:hyperlink>
    </w:p>
    <w:p w14:paraId="79026A92" w14:textId="6C508888" w:rsidR="002C0E50" w:rsidRDefault="00E909AE">
      <w:pPr>
        <w:pStyle w:val="TOC9"/>
        <w:rPr>
          <w:rFonts w:asciiTheme="minorHAnsi" w:eastAsiaTheme="minorEastAsia" w:hAnsiTheme="minorHAnsi" w:cstheme="minorBidi"/>
          <w:noProof/>
          <w:szCs w:val="24"/>
        </w:rPr>
      </w:pPr>
      <w:hyperlink w:anchor="_Toc82386469" w:history="1">
        <w:r w:rsidR="002C0E50" w:rsidRPr="00C406C8">
          <w:rPr>
            <w:rStyle w:val="Hyperlink"/>
            <w:noProof/>
          </w:rPr>
          <w:t>Map 3.2:</w:t>
        </w:r>
        <w:r w:rsidR="002C0E50">
          <w:rPr>
            <w:rFonts w:asciiTheme="minorHAnsi" w:eastAsiaTheme="minorEastAsia" w:hAnsiTheme="minorHAnsi" w:cstheme="minorBidi"/>
            <w:noProof/>
            <w:szCs w:val="24"/>
          </w:rPr>
          <w:tab/>
        </w:r>
        <w:r w:rsidR="002C0E50" w:rsidRPr="00C406C8">
          <w:rPr>
            <w:rStyle w:val="Hyperlink"/>
            <w:noProof/>
          </w:rPr>
          <w:t>Production of Paddy by Region During 2019/20 Agricultural Year, Tanzania</w:t>
        </w:r>
        <w:r w:rsidR="002C0E50">
          <w:rPr>
            <w:noProof/>
            <w:webHidden/>
          </w:rPr>
          <w:tab/>
        </w:r>
        <w:r w:rsidR="002C0E50">
          <w:rPr>
            <w:noProof/>
            <w:webHidden/>
          </w:rPr>
          <w:fldChar w:fldCharType="begin"/>
        </w:r>
        <w:r w:rsidR="002C0E50">
          <w:rPr>
            <w:noProof/>
            <w:webHidden/>
          </w:rPr>
          <w:instrText xml:space="preserve"> PAGEREF _Toc82386469 \h </w:instrText>
        </w:r>
        <w:r w:rsidR="002C0E50">
          <w:rPr>
            <w:noProof/>
            <w:webHidden/>
          </w:rPr>
        </w:r>
        <w:r w:rsidR="002C0E50">
          <w:rPr>
            <w:noProof/>
            <w:webHidden/>
          </w:rPr>
          <w:fldChar w:fldCharType="separate"/>
        </w:r>
        <w:r w:rsidR="00A15698">
          <w:rPr>
            <w:noProof/>
            <w:webHidden/>
          </w:rPr>
          <w:t>29</w:t>
        </w:r>
        <w:r w:rsidR="002C0E50">
          <w:rPr>
            <w:noProof/>
            <w:webHidden/>
          </w:rPr>
          <w:fldChar w:fldCharType="end"/>
        </w:r>
      </w:hyperlink>
    </w:p>
    <w:p w14:paraId="6CBF6304" w14:textId="5DF1E998" w:rsidR="002C0E50" w:rsidRDefault="00E909AE">
      <w:pPr>
        <w:pStyle w:val="TOC9"/>
        <w:rPr>
          <w:rFonts w:asciiTheme="minorHAnsi" w:eastAsiaTheme="minorEastAsia" w:hAnsiTheme="minorHAnsi" w:cstheme="minorBidi"/>
          <w:noProof/>
          <w:szCs w:val="24"/>
        </w:rPr>
      </w:pPr>
      <w:hyperlink w:anchor="_Toc82386470" w:history="1">
        <w:r w:rsidR="002C0E50" w:rsidRPr="00C406C8">
          <w:rPr>
            <w:rStyle w:val="Hyperlink"/>
            <w:noProof/>
          </w:rPr>
          <w:t>Map 3.3:</w:t>
        </w:r>
        <w:r w:rsidR="002C0E50">
          <w:rPr>
            <w:rFonts w:asciiTheme="minorHAnsi" w:eastAsiaTheme="minorEastAsia" w:hAnsiTheme="minorHAnsi" w:cstheme="minorBidi"/>
            <w:noProof/>
            <w:szCs w:val="24"/>
          </w:rPr>
          <w:tab/>
        </w:r>
        <w:r w:rsidR="002C0E50" w:rsidRPr="00C406C8">
          <w:rPr>
            <w:rStyle w:val="Hyperlink"/>
            <w:noProof/>
          </w:rPr>
          <w:t>Production of Sorghum (tons) by Region During 2019/20 Agricultural Year, Tanzania</w:t>
        </w:r>
        <w:r w:rsidR="002C0E50">
          <w:rPr>
            <w:noProof/>
            <w:webHidden/>
          </w:rPr>
          <w:tab/>
        </w:r>
        <w:r w:rsidR="002C0E50">
          <w:rPr>
            <w:noProof/>
            <w:webHidden/>
          </w:rPr>
          <w:fldChar w:fldCharType="begin"/>
        </w:r>
        <w:r w:rsidR="002C0E50">
          <w:rPr>
            <w:noProof/>
            <w:webHidden/>
          </w:rPr>
          <w:instrText xml:space="preserve"> PAGEREF _Toc82386470 \h </w:instrText>
        </w:r>
        <w:r w:rsidR="002C0E50">
          <w:rPr>
            <w:noProof/>
            <w:webHidden/>
          </w:rPr>
        </w:r>
        <w:r w:rsidR="002C0E50">
          <w:rPr>
            <w:noProof/>
            <w:webHidden/>
          </w:rPr>
          <w:fldChar w:fldCharType="separate"/>
        </w:r>
        <w:r w:rsidR="00A15698">
          <w:rPr>
            <w:noProof/>
            <w:webHidden/>
          </w:rPr>
          <w:t>33</w:t>
        </w:r>
        <w:r w:rsidR="002C0E50">
          <w:rPr>
            <w:noProof/>
            <w:webHidden/>
          </w:rPr>
          <w:fldChar w:fldCharType="end"/>
        </w:r>
      </w:hyperlink>
    </w:p>
    <w:p w14:paraId="05467396" w14:textId="78BDE6DC" w:rsidR="002C0E50" w:rsidRDefault="00E909AE">
      <w:pPr>
        <w:pStyle w:val="TOC9"/>
        <w:rPr>
          <w:rFonts w:asciiTheme="minorHAnsi" w:eastAsiaTheme="minorEastAsia" w:hAnsiTheme="minorHAnsi" w:cstheme="minorBidi"/>
          <w:noProof/>
          <w:szCs w:val="24"/>
        </w:rPr>
      </w:pPr>
      <w:hyperlink w:anchor="_Toc82386471" w:history="1">
        <w:r w:rsidR="002C0E50" w:rsidRPr="00C406C8">
          <w:rPr>
            <w:rStyle w:val="Hyperlink"/>
            <w:noProof/>
          </w:rPr>
          <w:t>Map 3.4:</w:t>
        </w:r>
        <w:r w:rsidR="002C0E50">
          <w:rPr>
            <w:rFonts w:asciiTheme="minorHAnsi" w:eastAsiaTheme="minorEastAsia" w:hAnsiTheme="minorHAnsi" w:cstheme="minorBidi"/>
            <w:noProof/>
            <w:szCs w:val="24"/>
          </w:rPr>
          <w:tab/>
        </w:r>
        <w:r w:rsidR="002C0E50" w:rsidRPr="00C406C8">
          <w:rPr>
            <w:rStyle w:val="Hyperlink"/>
            <w:noProof/>
          </w:rPr>
          <w:t>Production of Sweet Potatoes by Region During 2019/20 Agricultural Year, Tanzania</w:t>
        </w:r>
        <w:r w:rsidR="002C0E50">
          <w:rPr>
            <w:noProof/>
            <w:webHidden/>
          </w:rPr>
          <w:tab/>
        </w:r>
        <w:r w:rsidR="002C0E50">
          <w:rPr>
            <w:noProof/>
            <w:webHidden/>
          </w:rPr>
          <w:fldChar w:fldCharType="begin"/>
        </w:r>
        <w:r w:rsidR="002C0E50">
          <w:rPr>
            <w:noProof/>
            <w:webHidden/>
          </w:rPr>
          <w:instrText xml:space="preserve"> PAGEREF _Toc82386471 \h </w:instrText>
        </w:r>
        <w:r w:rsidR="002C0E50">
          <w:rPr>
            <w:noProof/>
            <w:webHidden/>
          </w:rPr>
        </w:r>
        <w:r w:rsidR="002C0E50">
          <w:rPr>
            <w:noProof/>
            <w:webHidden/>
          </w:rPr>
          <w:fldChar w:fldCharType="separate"/>
        </w:r>
        <w:r w:rsidR="00A15698">
          <w:rPr>
            <w:noProof/>
            <w:webHidden/>
          </w:rPr>
          <w:t>43</w:t>
        </w:r>
        <w:r w:rsidR="002C0E50">
          <w:rPr>
            <w:noProof/>
            <w:webHidden/>
          </w:rPr>
          <w:fldChar w:fldCharType="end"/>
        </w:r>
      </w:hyperlink>
    </w:p>
    <w:p w14:paraId="7ACD00F4" w14:textId="68FA9A18" w:rsidR="002C0E50" w:rsidRDefault="00E909AE">
      <w:pPr>
        <w:pStyle w:val="TOC9"/>
        <w:rPr>
          <w:rFonts w:asciiTheme="minorHAnsi" w:eastAsiaTheme="minorEastAsia" w:hAnsiTheme="minorHAnsi" w:cstheme="minorBidi"/>
          <w:noProof/>
          <w:szCs w:val="24"/>
        </w:rPr>
      </w:pPr>
      <w:hyperlink w:anchor="_Toc82386472" w:history="1">
        <w:r w:rsidR="002C0E50" w:rsidRPr="00C406C8">
          <w:rPr>
            <w:rStyle w:val="Hyperlink"/>
            <w:noProof/>
          </w:rPr>
          <w:t>Map 3.5:</w:t>
        </w:r>
        <w:r w:rsidR="002C0E50">
          <w:rPr>
            <w:rFonts w:asciiTheme="minorHAnsi" w:eastAsiaTheme="minorEastAsia" w:hAnsiTheme="minorHAnsi" w:cstheme="minorBidi"/>
            <w:noProof/>
            <w:szCs w:val="24"/>
          </w:rPr>
          <w:tab/>
        </w:r>
        <w:r w:rsidR="002C0E50" w:rsidRPr="00C406C8">
          <w:rPr>
            <w:rStyle w:val="Hyperlink"/>
            <w:noProof/>
          </w:rPr>
          <w:t>Sunflower Production by Region During 2019/20 Agricultural Year, Tanzania</w:t>
        </w:r>
        <w:r w:rsidR="002C0E50">
          <w:rPr>
            <w:noProof/>
            <w:webHidden/>
          </w:rPr>
          <w:tab/>
        </w:r>
        <w:r w:rsidR="002C0E50">
          <w:rPr>
            <w:noProof/>
            <w:webHidden/>
          </w:rPr>
          <w:fldChar w:fldCharType="begin"/>
        </w:r>
        <w:r w:rsidR="002C0E50">
          <w:rPr>
            <w:noProof/>
            <w:webHidden/>
          </w:rPr>
          <w:instrText xml:space="preserve"> PAGEREF _Toc82386472 \h </w:instrText>
        </w:r>
        <w:r w:rsidR="002C0E50">
          <w:rPr>
            <w:noProof/>
            <w:webHidden/>
          </w:rPr>
        </w:r>
        <w:r w:rsidR="002C0E50">
          <w:rPr>
            <w:noProof/>
            <w:webHidden/>
          </w:rPr>
          <w:fldChar w:fldCharType="separate"/>
        </w:r>
        <w:r w:rsidR="00A15698">
          <w:rPr>
            <w:noProof/>
            <w:webHidden/>
          </w:rPr>
          <w:t>64</w:t>
        </w:r>
        <w:r w:rsidR="002C0E50">
          <w:rPr>
            <w:noProof/>
            <w:webHidden/>
          </w:rPr>
          <w:fldChar w:fldCharType="end"/>
        </w:r>
      </w:hyperlink>
    </w:p>
    <w:p w14:paraId="25AA8B13" w14:textId="3B848532" w:rsidR="002C0E50" w:rsidRDefault="00E909AE">
      <w:pPr>
        <w:pStyle w:val="TOC9"/>
        <w:rPr>
          <w:rFonts w:asciiTheme="minorHAnsi" w:eastAsiaTheme="minorEastAsia" w:hAnsiTheme="minorHAnsi" w:cstheme="minorBidi"/>
          <w:noProof/>
          <w:szCs w:val="24"/>
        </w:rPr>
      </w:pPr>
      <w:hyperlink w:anchor="_Toc82386473" w:history="1">
        <w:r w:rsidR="002C0E50" w:rsidRPr="00C406C8">
          <w:rPr>
            <w:rStyle w:val="Hyperlink"/>
            <w:noProof/>
          </w:rPr>
          <w:t>Map 3.6:</w:t>
        </w:r>
        <w:r w:rsidR="002C0E50">
          <w:rPr>
            <w:rFonts w:asciiTheme="minorHAnsi" w:eastAsiaTheme="minorEastAsia" w:hAnsiTheme="minorHAnsi" w:cstheme="minorBidi"/>
            <w:noProof/>
            <w:szCs w:val="24"/>
          </w:rPr>
          <w:tab/>
        </w:r>
        <w:r w:rsidR="002C0E50" w:rsidRPr="00C406C8">
          <w:rPr>
            <w:rStyle w:val="Hyperlink"/>
            <w:noProof/>
          </w:rPr>
          <w:t>Tomato Production by Region During 2019/20 Agricultural Year, Tanzania</w:t>
        </w:r>
        <w:r w:rsidR="002C0E50">
          <w:rPr>
            <w:noProof/>
            <w:webHidden/>
          </w:rPr>
          <w:tab/>
        </w:r>
        <w:r w:rsidR="002C0E50">
          <w:rPr>
            <w:noProof/>
            <w:webHidden/>
          </w:rPr>
          <w:fldChar w:fldCharType="begin"/>
        </w:r>
        <w:r w:rsidR="002C0E50">
          <w:rPr>
            <w:noProof/>
            <w:webHidden/>
          </w:rPr>
          <w:instrText xml:space="preserve"> PAGEREF _Toc82386473 \h </w:instrText>
        </w:r>
        <w:r w:rsidR="002C0E50">
          <w:rPr>
            <w:noProof/>
            <w:webHidden/>
          </w:rPr>
        </w:r>
        <w:r w:rsidR="002C0E50">
          <w:rPr>
            <w:noProof/>
            <w:webHidden/>
          </w:rPr>
          <w:fldChar w:fldCharType="separate"/>
        </w:r>
        <w:r w:rsidR="00A15698">
          <w:rPr>
            <w:noProof/>
            <w:webHidden/>
          </w:rPr>
          <w:t>69</w:t>
        </w:r>
        <w:r w:rsidR="002C0E50">
          <w:rPr>
            <w:noProof/>
            <w:webHidden/>
          </w:rPr>
          <w:fldChar w:fldCharType="end"/>
        </w:r>
      </w:hyperlink>
    </w:p>
    <w:p w14:paraId="1AA62A40" w14:textId="3F71430F" w:rsidR="002C0E50" w:rsidRDefault="00E909AE">
      <w:pPr>
        <w:pStyle w:val="TOC9"/>
        <w:rPr>
          <w:rFonts w:asciiTheme="minorHAnsi" w:eastAsiaTheme="minorEastAsia" w:hAnsiTheme="minorHAnsi" w:cstheme="minorBidi"/>
          <w:noProof/>
          <w:szCs w:val="24"/>
        </w:rPr>
      </w:pPr>
      <w:hyperlink w:anchor="_Toc82386474" w:history="1">
        <w:r w:rsidR="002C0E50" w:rsidRPr="00C406C8">
          <w:rPr>
            <w:rStyle w:val="Hyperlink"/>
            <w:noProof/>
          </w:rPr>
          <w:t>Map 4.1:</w:t>
        </w:r>
        <w:r w:rsidR="002C0E50">
          <w:rPr>
            <w:rFonts w:asciiTheme="minorHAnsi" w:eastAsiaTheme="minorEastAsia" w:hAnsiTheme="minorHAnsi" w:cstheme="minorBidi"/>
            <w:noProof/>
            <w:szCs w:val="24"/>
          </w:rPr>
          <w:tab/>
        </w:r>
        <w:r w:rsidR="002C0E50" w:rsidRPr="00C406C8">
          <w:rPr>
            <w:rStyle w:val="Hyperlink"/>
            <w:noProof/>
          </w:rPr>
          <w:t>Cattle Population Reported by Smallholder Farmers by Region in Tanzania as of 1</w:t>
        </w:r>
        <w:r w:rsidR="002C0E50" w:rsidRPr="00C406C8">
          <w:rPr>
            <w:rStyle w:val="Hyperlink"/>
            <w:noProof/>
            <w:vertAlign w:val="superscript"/>
          </w:rPr>
          <w:t>st</w:t>
        </w:r>
        <w:r w:rsidR="002C0E50" w:rsidRPr="00C406C8">
          <w:rPr>
            <w:rStyle w:val="Hyperlink"/>
            <w:noProof/>
          </w:rPr>
          <w:t xml:space="preserve"> August 2020</w:t>
        </w:r>
        <w:r w:rsidR="002C0E50">
          <w:rPr>
            <w:noProof/>
            <w:webHidden/>
          </w:rPr>
          <w:tab/>
        </w:r>
        <w:r w:rsidR="002C0E50">
          <w:rPr>
            <w:noProof/>
            <w:webHidden/>
          </w:rPr>
          <w:fldChar w:fldCharType="begin"/>
        </w:r>
        <w:r w:rsidR="002C0E50">
          <w:rPr>
            <w:noProof/>
            <w:webHidden/>
          </w:rPr>
          <w:instrText xml:space="preserve"> PAGEREF _Toc82386474 \h </w:instrText>
        </w:r>
        <w:r w:rsidR="002C0E50">
          <w:rPr>
            <w:noProof/>
            <w:webHidden/>
          </w:rPr>
        </w:r>
        <w:r w:rsidR="002C0E50">
          <w:rPr>
            <w:noProof/>
            <w:webHidden/>
          </w:rPr>
          <w:fldChar w:fldCharType="separate"/>
        </w:r>
        <w:r w:rsidR="00A15698">
          <w:rPr>
            <w:noProof/>
            <w:webHidden/>
          </w:rPr>
          <w:t>135</w:t>
        </w:r>
        <w:r w:rsidR="002C0E50">
          <w:rPr>
            <w:noProof/>
            <w:webHidden/>
          </w:rPr>
          <w:fldChar w:fldCharType="end"/>
        </w:r>
      </w:hyperlink>
    </w:p>
    <w:p w14:paraId="73AFA4A0" w14:textId="16363502" w:rsidR="002C0E50" w:rsidRDefault="00E909AE">
      <w:pPr>
        <w:pStyle w:val="TOC9"/>
        <w:rPr>
          <w:rFonts w:asciiTheme="minorHAnsi" w:eastAsiaTheme="minorEastAsia" w:hAnsiTheme="minorHAnsi" w:cstheme="minorBidi"/>
          <w:noProof/>
          <w:szCs w:val="24"/>
        </w:rPr>
      </w:pPr>
      <w:hyperlink w:anchor="_Toc82386475" w:history="1">
        <w:r w:rsidR="002C0E50" w:rsidRPr="00C406C8">
          <w:rPr>
            <w:rStyle w:val="Hyperlink"/>
            <w:noProof/>
          </w:rPr>
          <w:t>Map 4.2:</w:t>
        </w:r>
        <w:r w:rsidR="002C0E50">
          <w:rPr>
            <w:rFonts w:asciiTheme="minorHAnsi" w:eastAsiaTheme="minorEastAsia" w:hAnsiTheme="minorHAnsi" w:cstheme="minorBidi"/>
            <w:noProof/>
            <w:szCs w:val="24"/>
          </w:rPr>
          <w:tab/>
        </w:r>
        <w:r w:rsidR="002C0E50" w:rsidRPr="00C406C8">
          <w:rPr>
            <w:rStyle w:val="Hyperlink"/>
            <w:noProof/>
          </w:rPr>
          <w:t>Goat Population Reported by Smallholders by Region as of 1st August 2020, Tanzania</w:t>
        </w:r>
        <w:r w:rsidR="002C0E50">
          <w:rPr>
            <w:noProof/>
            <w:webHidden/>
          </w:rPr>
          <w:tab/>
        </w:r>
        <w:r w:rsidR="002C0E50">
          <w:rPr>
            <w:noProof/>
            <w:webHidden/>
          </w:rPr>
          <w:fldChar w:fldCharType="begin"/>
        </w:r>
        <w:r w:rsidR="002C0E50">
          <w:rPr>
            <w:noProof/>
            <w:webHidden/>
          </w:rPr>
          <w:instrText xml:space="preserve"> PAGEREF _Toc82386475 \h </w:instrText>
        </w:r>
        <w:r w:rsidR="002C0E50">
          <w:rPr>
            <w:noProof/>
            <w:webHidden/>
          </w:rPr>
        </w:r>
        <w:r w:rsidR="002C0E50">
          <w:rPr>
            <w:noProof/>
            <w:webHidden/>
          </w:rPr>
          <w:fldChar w:fldCharType="separate"/>
        </w:r>
        <w:r w:rsidR="00A15698">
          <w:rPr>
            <w:noProof/>
            <w:webHidden/>
          </w:rPr>
          <w:t>140</w:t>
        </w:r>
        <w:r w:rsidR="002C0E50">
          <w:rPr>
            <w:noProof/>
            <w:webHidden/>
          </w:rPr>
          <w:fldChar w:fldCharType="end"/>
        </w:r>
      </w:hyperlink>
    </w:p>
    <w:p w14:paraId="344B83FD" w14:textId="6116102D" w:rsidR="002C0E50" w:rsidRDefault="00E909AE">
      <w:pPr>
        <w:pStyle w:val="TOC9"/>
        <w:rPr>
          <w:rFonts w:asciiTheme="minorHAnsi" w:eastAsiaTheme="minorEastAsia" w:hAnsiTheme="minorHAnsi" w:cstheme="minorBidi"/>
          <w:noProof/>
          <w:szCs w:val="24"/>
        </w:rPr>
      </w:pPr>
      <w:hyperlink w:anchor="_Toc82386476" w:history="1">
        <w:r w:rsidR="002C0E50" w:rsidRPr="00C406C8">
          <w:rPr>
            <w:rStyle w:val="Hyperlink"/>
            <w:noProof/>
          </w:rPr>
          <w:t>Map 4.3:</w:t>
        </w:r>
        <w:r w:rsidR="002C0E50">
          <w:rPr>
            <w:rFonts w:asciiTheme="minorHAnsi" w:eastAsiaTheme="minorEastAsia" w:hAnsiTheme="minorHAnsi" w:cstheme="minorBidi"/>
            <w:noProof/>
            <w:szCs w:val="24"/>
          </w:rPr>
          <w:tab/>
        </w:r>
        <w:r w:rsidR="002C0E50" w:rsidRPr="00C406C8">
          <w:rPr>
            <w:rStyle w:val="Hyperlink"/>
            <w:noProof/>
          </w:rPr>
          <w:t>Tanzania Sheep Population Reported by Smallholders by Region as of 1</w:t>
        </w:r>
        <w:r w:rsidR="002C0E50" w:rsidRPr="00C406C8">
          <w:rPr>
            <w:rStyle w:val="Hyperlink"/>
            <w:noProof/>
            <w:vertAlign w:val="superscript"/>
          </w:rPr>
          <w:t>st</w:t>
        </w:r>
        <w:r w:rsidR="002C0E50" w:rsidRPr="00C406C8">
          <w:rPr>
            <w:rStyle w:val="Hyperlink"/>
            <w:noProof/>
          </w:rPr>
          <w:t xml:space="preserve"> August 2020, Tanzania</w:t>
        </w:r>
        <w:r w:rsidR="002C0E50">
          <w:rPr>
            <w:noProof/>
            <w:webHidden/>
          </w:rPr>
          <w:tab/>
        </w:r>
        <w:r w:rsidR="002C0E50">
          <w:rPr>
            <w:noProof/>
            <w:webHidden/>
          </w:rPr>
          <w:fldChar w:fldCharType="begin"/>
        </w:r>
        <w:r w:rsidR="002C0E50">
          <w:rPr>
            <w:noProof/>
            <w:webHidden/>
          </w:rPr>
          <w:instrText xml:space="preserve"> PAGEREF _Toc82386476 \h </w:instrText>
        </w:r>
        <w:r w:rsidR="002C0E50">
          <w:rPr>
            <w:noProof/>
            <w:webHidden/>
          </w:rPr>
        </w:r>
        <w:r w:rsidR="002C0E50">
          <w:rPr>
            <w:noProof/>
            <w:webHidden/>
          </w:rPr>
          <w:fldChar w:fldCharType="separate"/>
        </w:r>
        <w:r w:rsidR="00A15698">
          <w:rPr>
            <w:noProof/>
            <w:webHidden/>
          </w:rPr>
          <w:t>144</w:t>
        </w:r>
        <w:r w:rsidR="002C0E50">
          <w:rPr>
            <w:noProof/>
            <w:webHidden/>
          </w:rPr>
          <w:fldChar w:fldCharType="end"/>
        </w:r>
      </w:hyperlink>
    </w:p>
    <w:p w14:paraId="5013501C" w14:textId="516B6280" w:rsidR="002C0E50" w:rsidRDefault="00E909AE">
      <w:pPr>
        <w:pStyle w:val="TOC9"/>
        <w:rPr>
          <w:rFonts w:asciiTheme="minorHAnsi" w:eastAsiaTheme="minorEastAsia" w:hAnsiTheme="minorHAnsi" w:cstheme="minorBidi"/>
          <w:noProof/>
          <w:szCs w:val="24"/>
        </w:rPr>
      </w:pPr>
      <w:hyperlink w:anchor="_Toc82386477" w:history="1">
        <w:r w:rsidR="002C0E50" w:rsidRPr="00C406C8">
          <w:rPr>
            <w:rStyle w:val="Hyperlink"/>
            <w:noProof/>
          </w:rPr>
          <w:t>Map 4.4:</w:t>
        </w:r>
        <w:r w:rsidR="002C0E50">
          <w:rPr>
            <w:rFonts w:asciiTheme="minorHAnsi" w:eastAsiaTheme="minorEastAsia" w:hAnsiTheme="minorHAnsi" w:cstheme="minorBidi"/>
            <w:noProof/>
            <w:szCs w:val="24"/>
          </w:rPr>
          <w:tab/>
        </w:r>
        <w:r w:rsidR="002C0E50" w:rsidRPr="00C406C8">
          <w:rPr>
            <w:rStyle w:val="Hyperlink"/>
            <w:noProof/>
          </w:rPr>
          <w:t>Tanzania Pig Population Reported by Smallholder by Region as of 1</w:t>
        </w:r>
        <w:r w:rsidR="002C0E50" w:rsidRPr="00C406C8">
          <w:rPr>
            <w:rStyle w:val="Hyperlink"/>
            <w:noProof/>
            <w:vertAlign w:val="superscript"/>
          </w:rPr>
          <w:t>st</w:t>
        </w:r>
        <w:r w:rsidR="002C0E50" w:rsidRPr="00C406C8">
          <w:rPr>
            <w:rStyle w:val="Hyperlink"/>
            <w:noProof/>
          </w:rPr>
          <w:t xml:space="preserve"> August 2020, Tanzania</w:t>
        </w:r>
        <w:r w:rsidR="002C0E50">
          <w:rPr>
            <w:noProof/>
            <w:webHidden/>
          </w:rPr>
          <w:tab/>
        </w:r>
        <w:r w:rsidR="002C0E50">
          <w:rPr>
            <w:noProof/>
            <w:webHidden/>
          </w:rPr>
          <w:fldChar w:fldCharType="begin"/>
        </w:r>
        <w:r w:rsidR="002C0E50">
          <w:rPr>
            <w:noProof/>
            <w:webHidden/>
          </w:rPr>
          <w:instrText xml:space="preserve"> PAGEREF _Toc82386477 \h </w:instrText>
        </w:r>
        <w:r w:rsidR="002C0E50">
          <w:rPr>
            <w:noProof/>
            <w:webHidden/>
          </w:rPr>
        </w:r>
        <w:r w:rsidR="002C0E50">
          <w:rPr>
            <w:noProof/>
            <w:webHidden/>
          </w:rPr>
          <w:fldChar w:fldCharType="separate"/>
        </w:r>
        <w:r w:rsidR="00A15698">
          <w:rPr>
            <w:noProof/>
            <w:webHidden/>
          </w:rPr>
          <w:t>145</w:t>
        </w:r>
        <w:r w:rsidR="002C0E50">
          <w:rPr>
            <w:noProof/>
            <w:webHidden/>
          </w:rPr>
          <w:fldChar w:fldCharType="end"/>
        </w:r>
      </w:hyperlink>
    </w:p>
    <w:p w14:paraId="0FF51BCA" w14:textId="0B122436" w:rsidR="002C0E50" w:rsidRDefault="00E909AE">
      <w:pPr>
        <w:pStyle w:val="TOC9"/>
        <w:rPr>
          <w:rFonts w:asciiTheme="minorHAnsi" w:eastAsiaTheme="minorEastAsia" w:hAnsiTheme="minorHAnsi" w:cstheme="minorBidi"/>
          <w:noProof/>
          <w:szCs w:val="24"/>
        </w:rPr>
      </w:pPr>
      <w:hyperlink w:anchor="_Toc82386478" w:history="1">
        <w:r w:rsidR="002C0E50" w:rsidRPr="00C406C8">
          <w:rPr>
            <w:rStyle w:val="Hyperlink"/>
            <w:noProof/>
            <w:lang w:val="en-GB"/>
          </w:rPr>
          <w:t>Map 4.5:</w:t>
        </w:r>
        <w:r w:rsidR="002C0E50">
          <w:rPr>
            <w:rFonts w:asciiTheme="minorHAnsi" w:eastAsiaTheme="minorEastAsia" w:hAnsiTheme="minorHAnsi" w:cstheme="minorBidi"/>
            <w:noProof/>
            <w:szCs w:val="24"/>
          </w:rPr>
          <w:tab/>
        </w:r>
        <w:r w:rsidR="002C0E50" w:rsidRPr="00C406C8">
          <w:rPr>
            <w:rStyle w:val="Hyperlink"/>
            <w:noProof/>
            <w:lang w:val="en-GB"/>
          </w:rPr>
          <w:t xml:space="preserve">Chicken Population </w:t>
        </w:r>
        <w:r w:rsidR="002C0E50" w:rsidRPr="00C406C8">
          <w:rPr>
            <w:rStyle w:val="Hyperlink"/>
            <w:bCs/>
            <w:noProof/>
          </w:rPr>
          <w:t>Reported by Smallholders by Region</w:t>
        </w:r>
        <w:r w:rsidR="002C0E50" w:rsidRPr="00C406C8">
          <w:rPr>
            <w:rStyle w:val="Hyperlink"/>
            <w:noProof/>
            <w:lang w:val="en-GB"/>
          </w:rPr>
          <w:t xml:space="preserve"> as of 1</w:t>
        </w:r>
        <w:r w:rsidR="002C0E50" w:rsidRPr="00C406C8">
          <w:rPr>
            <w:rStyle w:val="Hyperlink"/>
            <w:noProof/>
            <w:vertAlign w:val="superscript"/>
            <w:lang w:val="en-GB"/>
          </w:rPr>
          <w:t>st</w:t>
        </w:r>
        <w:r w:rsidR="002C0E50" w:rsidRPr="00C406C8">
          <w:rPr>
            <w:rStyle w:val="Hyperlink"/>
            <w:noProof/>
            <w:lang w:val="en-GB"/>
          </w:rPr>
          <w:t xml:space="preserve"> August 2020, Tanzania</w:t>
        </w:r>
        <w:r w:rsidR="002C0E50">
          <w:rPr>
            <w:noProof/>
            <w:webHidden/>
          </w:rPr>
          <w:tab/>
        </w:r>
        <w:r w:rsidR="002C0E50">
          <w:rPr>
            <w:noProof/>
            <w:webHidden/>
          </w:rPr>
          <w:fldChar w:fldCharType="begin"/>
        </w:r>
        <w:r w:rsidR="002C0E50">
          <w:rPr>
            <w:noProof/>
            <w:webHidden/>
          </w:rPr>
          <w:instrText xml:space="preserve"> PAGEREF _Toc82386478 \h </w:instrText>
        </w:r>
        <w:r w:rsidR="002C0E50">
          <w:rPr>
            <w:noProof/>
            <w:webHidden/>
          </w:rPr>
        </w:r>
        <w:r w:rsidR="002C0E50">
          <w:rPr>
            <w:noProof/>
            <w:webHidden/>
          </w:rPr>
          <w:fldChar w:fldCharType="separate"/>
        </w:r>
        <w:r w:rsidR="00A15698">
          <w:rPr>
            <w:noProof/>
            <w:webHidden/>
          </w:rPr>
          <w:t>149</w:t>
        </w:r>
        <w:r w:rsidR="002C0E50">
          <w:rPr>
            <w:noProof/>
            <w:webHidden/>
          </w:rPr>
          <w:fldChar w:fldCharType="end"/>
        </w:r>
      </w:hyperlink>
    </w:p>
    <w:p w14:paraId="4937D126" w14:textId="7878BA10" w:rsidR="002C0E50" w:rsidRDefault="00E909AE">
      <w:pPr>
        <w:pStyle w:val="TOC9"/>
        <w:rPr>
          <w:rFonts w:asciiTheme="minorHAnsi" w:eastAsiaTheme="minorEastAsia" w:hAnsiTheme="minorHAnsi" w:cstheme="minorBidi"/>
          <w:noProof/>
          <w:szCs w:val="24"/>
        </w:rPr>
      </w:pPr>
      <w:hyperlink w:anchor="_Toc82386479" w:history="1">
        <w:r w:rsidR="002C0E50" w:rsidRPr="00C406C8">
          <w:rPr>
            <w:rStyle w:val="Hyperlink"/>
            <w:noProof/>
          </w:rPr>
          <w:t>Map 4.6:</w:t>
        </w:r>
        <w:r w:rsidR="002C0E50">
          <w:rPr>
            <w:rFonts w:asciiTheme="minorHAnsi" w:eastAsiaTheme="minorEastAsia" w:hAnsiTheme="minorHAnsi" w:cstheme="minorBidi"/>
            <w:noProof/>
            <w:szCs w:val="24"/>
          </w:rPr>
          <w:tab/>
        </w:r>
        <w:r w:rsidR="002C0E50" w:rsidRPr="00C406C8">
          <w:rPr>
            <w:rStyle w:val="Hyperlink"/>
            <w:noProof/>
          </w:rPr>
          <w:t>Indigenous Chicken Population Reported by Smallholders by Region as of 1st August 2020, Tanzania</w:t>
        </w:r>
        <w:r w:rsidR="002C0E50">
          <w:rPr>
            <w:noProof/>
            <w:webHidden/>
          </w:rPr>
          <w:tab/>
        </w:r>
        <w:r w:rsidR="002C0E50">
          <w:rPr>
            <w:noProof/>
            <w:webHidden/>
          </w:rPr>
          <w:fldChar w:fldCharType="begin"/>
        </w:r>
        <w:r w:rsidR="002C0E50">
          <w:rPr>
            <w:noProof/>
            <w:webHidden/>
          </w:rPr>
          <w:instrText xml:space="preserve"> PAGEREF _Toc82386479 \h </w:instrText>
        </w:r>
        <w:r w:rsidR="002C0E50">
          <w:rPr>
            <w:noProof/>
            <w:webHidden/>
          </w:rPr>
        </w:r>
        <w:r w:rsidR="002C0E50">
          <w:rPr>
            <w:noProof/>
            <w:webHidden/>
          </w:rPr>
          <w:fldChar w:fldCharType="separate"/>
        </w:r>
        <w:r w:rsidR="00A15698">
          <w:rPr>
            <w:noProof/>
            <w:webHidden/>
          </w:rPr>
          <w:t>151</w:t>
        </w:r>
        <w:r w:rsidR="002C0E50">
          <w:rPr>
            <w:noProof/>
            <w:webHidden/>
          </w:rPr>
          <w:fldChar w:fldCharType="end"/>
        </w:r>
      </w:hyperlink>
    </w:p>
    <w:p w14:paraId="7D5F848E" w14:textId="341CA346" w:rsidR="002C0E50" w:rsidRDefault="00E909AE">
      <w:pPr>
        <w:pStyle w:val="TOC9"/>
        <w:rPr>
          <w:rFonts w:asciiTheme="minorHAnsi" w:eastAsiaTheme="minorEastAsia" w:hAnsiTheme="minorHAnsi" w:cstheme="minorBidi"/>
          <w:noProof/>
          <w:szCs w:val="24"/>
        </w:rPr>
      </w:pPr>
      <w:hyperlink w:anchor="_Toc82386480" w:history="1">
        <w:r w:rsidR="002C0E50" w:rsidRPr="00C406C8">
          <w:rPr>
            <w:rStyle w:val="Hyperlink"/>
            <w:noProof/>
          </w:rPr>
          <w:t>Map 4.7:</w:t>
        </w:r>
        <w:r w:rsidR="002C0E50">
          <w:rPr>
            <w:rFonts w:asciiTheme="minorHAnsi" w:eastAsiaTheme="minorEastAsia" w:hAnsiTheme="minorHAnsi" w:cstheme="minorBidi"/>
            <w:noProof/>
            <w:szCs w:val="24"/>
          </w:rPr>
          <w:tab/>
        </w:r>
        <w:r w:rsidR="002C0E50" w:rsidRPr="00C406C8">
          <w:rPr>
            <w:rStyle w:val="Hyperlink"/>
            <w:noProof/>
          </w:rPr>
          <w:t xml:space="preserve">Layers Population </w:t>
        </w:r>
        <w:r w:rsidR="002C0E50" w:rsidRPr="00C406C8">
          <w:rPr>
            <w:rStyle w:val="Hyperlink"/>
            <w:bCs/>
            <w:noProof/>
          </w:rPr>
          <w:t xml:space="preserve">Reported by Smallholders </w:t>
        </w:r>
        <w:r w:rsidR="002C0E50" w:rsidRPr="00C406C8">
          <w:rPr>
            <w:rStyle w:val="Hyperlink"/>
            <w:noProof/>
          </w:rPr>
          <w:t>by Region as of 1st August 2020, Tanzania</w:t>
        </w:r>
        <w:r w:rsidR="002C0E50">
          <w:rPr>
            <w:noProof/>
            <w:webHidden/>
          </w:rPr>
          <w:tab/>
        </w:r>
        <w:r w:rsidR="002C0E50">
          <w:rPr>
            <w:noProof/>
            <w:webHidden/>
          </w:rPr>
          <w:fldChar w:fldCharType="begin"/>
        </w:r>
        <w:r w:rsidR="002C0E50">
          <w:rPr>
            <w:noProof/>
            <w:webHidden/>
          </w:rPr>
          <w:instrText xml:space="preserve"> PAGEREF _Toc82386480 \h </w:instrText>
        </w:r>
        <w:r w:rsidR="002C0E50">
          <w:rPr>
            <w:noProof/>
            <w:webHidden/>
          </w:rPr>
        </w:r>
        <w:r w:rsidR="002C0E50">
          <w:rPr>
            <w:noProof/>
            <w:webHidden/>
          </w:rPr>
          <w:fldChar w:fldCharType="separate"/>
        </w:r>
        <w:r w:rsidR="00A15698">
          <w:rPr>
            <w:noProof/>
            <w:webHidden/>
          </w:rPr>
          <w:t>153</w:t>
        </w:r>
        <w:r w:rsidR="002C0E50">
          <w:rPr>
            <w:noProof/>
            <w:webHidden/>
          </w:rPr>
          <w:fldChar w:fldCharType="end"/>
        </w:r>
      </w:hyperlink>
    </w:p>
    <w:p w14:paraId="546D2F0D" w14:textId="1437EB49" w:rsidR="002C0E50" w:rsidRDefault="00E909AE">
      <w:pPr>
        <w:pStyle w:val="TOC9"/>
        <w:rPr>
          <w:rFonts w:asciiTheme="minorHAnsi" w:eastAsiaTheme="minorEastAsia" w:hAnsiTheme="minorHAnsi" w:cstheme="minorBidi"/>
          <w:noProof/>
          <w:szCs w:val="24"/>
        </w:rPr>
      </w:pPr>
      <w:hyperlink w:anchor="_Toc82386481" w:history="1">
        <w:r w:rsidR="002C0E50" w:rsidRPr="00C406C8">
          <w:rPr>
            <w:rStyle w:val="Hyperlink"/>
            <w:noProof/>
          </w:rPr>
          <w:t>Map 4.8:</w:t>
        </w:r>
        <w:r w:rsidR="002C0E50">
          <w:rPr>
            <w:rFonts w:asciiTheme="minorHAnsi" w:eastAsiaTheme="minorEastAsia" w:hAnsiTheme="minorHAnsi" w:cstheme="minorBidi"/>
            <w:noProof/>
            <w:szCs w:val="24"/>
          </w:rPr>
          <w:tab/>
        </w:r>
        <w:r w:rsidR="002C0E50" w:rsidRPr="00C406C8">
          <w:rPr>
            <w:rStyle w:val="Hyperlink"/>
            <w:noProof/>
          </w:rPr>
          <w:t>Broilers Population Reported by Smallholders by Region as of 1st August 2020, Tanzania</w:t>
        </w:r>
        <w:r w:rsidR="002C0E50">
          <w:rPr>
            <w:noProof/>
            <w:webHidden/>
          </w:rPr>
          <w:tab/>
        </w:r>
        <w:r w:rsidR="002C0E50">
          <w:rPr>
            <w:noProof/>
            <w:webHidden/>
          </w:rPr>
          <w:fldChar w:fldCharType="begin"/>
        </w:r>
        <w:r w:rsidR="002C0E50">
          <w:rPr>
            <w:noProof/>
            <w:webHidden/>
          </w:rPr>
          <w:instrText xml:space="preserve"> PAGEREF _Toc82386481 \h </w:instrText>
        </w:r>
        <w:r w:rsidR="002C0E50">
          <w:rPr>
            <w:noProof/>
            <w:webHidden/>
          </w:rPr>
        </w:r>
        <w:r w:rsidR="002C0E50">
          <w:rPr>
            <w:noProof/>
            <w:webHidden/>
          </w:rPr>
          <w:fldChar w:fldCharType="separate"/>
        </w:r>
        <w:r w:rsidR="00A15698">
          <w:rPr>
            <w:noProof/>
            <w:webHidden/>
          </w:rPr>
          <w:t>154</w:t>
        </w:r>
        <w:r w:rsidR="002C0E50">
          <w:rPr>
            <w:noProof/>
            <w:webHidden/>
          </w:rPr>
          <w:fldChar w:fldCharType="end"/>
        </w:r>
      </w:hyperlink>
    </w:p>
    <w:p w14:paraId="7BB2DC1D" w14:textId="74BA8747" w:rsidR="002C0E50" w:rsidRDefault="00E909AE">
      <w:pPr>
        <w:pStyle w:val="TOC9"/>
        <w:rPr>
          <w:rFonts w:asciiTheme="minorHAnsi" w:eastAsiaTheme="minorEastAsia" w:hAnsiTheme="minorHAnsi" w:cstheme="minorBidi"/>
          <w:noProof/>
          <w:szCs w:val="24"/>
        </w:rPr>
      </w:pPr>
      <w:hyperlink w:anchor="_Toc82386482" w:history="1">
        <w:r w:rsidR="002C0E50" w:rsidRPr="00C406C8">
          <w:rPr>
            <w:rStyle w:val="Hyperlink"/>
            <w:noProof/>
          </w:rPr>
          <w:t>Map 4.9:</w:t>
        </w:r>
        <w:r w:rsidR="002C0E50">
          <w:rPr>
            <w:rFonts w:asciiTheme="minorHAnsi" w:eastAsiaTheme="minorEastAsia" w:hAnsiTheme="minorHAnsi" w:cstheme="minorBidi"/>
            <w:noProof/>
            <w:szCs w:val="24"/>
          </w:rPr>
          <w:tab/>
        </w:r>
        <w:r w:rsidR="002C0E50" w:rsidRPr="00C406C8">
          <w:rPr>
            <w:rStyle w:val="Hyperlink"/>
            <w:noProof/>
          </w:rPr>
          <w:t>Cow Milk Production Reported by Smallholders by Region During 2019/20 Agricultural Year, Tanzania</w:t>
        </w:r>
        <w:r w:rsidR="002C0E50">
          <w:rPr>
            <w:noProof/>
            <w:webHidden/>
          </w:rPr>
          <w:tab/>
        </w:r>
        <w:r w:rsidR="002C0E50">
          <w:rPr>
            <w:noProof/>
            <w:webHidden/>
          </w:rPr>
          <w:fldChar w:fldCharType="begin"/>
        </w:r>
        <w:r w:rsidR="002C0E50">
          <w:rPr>
            <w:noProof/>
            <w:webHidden/>
          </w:rPr>
          <w:instrText xml:space="preserve"> PAGEREF _Toc82386482 \h </w:instrText>
        </w:r>
        <w:r w:rsidR="002C0E50">
          <w:rPr>
            <w:noProof/>
            <w:webHidden/>
          </w:rPr>
        </w:r>
        <w:r w:rsidR="002C0E50">
          <w:rPr>
            <w:noProof/>
            <w:webHidden/>
          </w:rPr>
          <w:fldChar w:fldCharType="separate"/>
        </w:r>
        <w:r w:rsidR="00A15698">
          <w:rPr>
            <w:noProof/>
            <w:webHidden/>
          </w:rPr>
          <w:t>162</w:t>
        </w:r>
        <w:r w:rsidR="002C0E50">
          <w:rPr>
            <w:noProof/>
            <w:webHidden/>
          </w:rPr>
          <w:fldChar w:fldCharType="end"/>
        </w:r>
      </w:hyperlink>
    </w:p>
    <w:p w14:paraId="17B32EF0" w14:textId="0770FD1D" w:rsidR="002C0E50" w:rsidRDefault="00E909AE">
      <w:pPr>
        <w:pStyle w:val="TOC9"/>
        <w:rPr>
          <w:rFonts w:asciiTheme="minorHAnsi" w:eastAsiaTheme="minorEastAsia" w:hAnsiTheme="minorHAnsi" w:cstheme="minorBidi"/>
          <w:noProof/>
          <w:szCs w:val="24"/>
        </w:rPr>
      </w:pPr>
      <w:hyperlink w:anchor="_Toc82386483" w:history="1">
        <w:r w:rsidR="002C0E50" w:rsidRPr="00C406C8">
          <w:rPr>
            <w:rStyle w:val="Hyperlink"/>
            <w:noProof/>
          </w:rPr>
          <w:t>Map 4.10:</w:t>
        </w:r>
        <w:r w:rsidR="002C0E50">
          <w:rPr>
            <w:rFonts w:asciiTheme="minorHAnsi" w:eastAsiaTheme="minorEastAsia" w:hAnsiTheme="minorHAnsi" w:cstheme="minorBidi"/>
            <w:noProof/>
            <w:szCs w:val="24"/>
          </w:rPr>
          <w:tab/>
        </w:r>
        <w:r w:rsidR="002C0E50" w:rsidRPr="00C406C8">
          <w:rPr>
            <w:rStyle w:val="Hyperlink"/>
            <w:noProof/>
          </w:rPr>
          <w:t xml:space="preserve">Goat Milk Production </w:t>
        </w:r>
        <w:r w:rsidR="002C0E50" w:rsidRPr="00C406C8">
          <w:rPr>
            <w:rStyle w:val="Hyperlink"/>
            <w:bCs/>
            <w:noProof/>
          </w:rPr>
          <w:t>Reported by Smallholders</w:t>
        </w:r>
        <w:r w:rsidR="002C0E50" w:rsidRPr="00C406C8">
          <w:rPr>
            <w:rStyle w:val="Hyperlink"/>
            <w:noProof/>
          </w:rPr>
          <w:t xml:space="preserve"> by Region During 2019/20 Agricultural Year, Tanzania</w:t>
        </w:r>
        <w:r w:rsidR="002C0E50">
          <w:rPr>
            <w:noProof/>
            <w:webHidden/>
          </w:rPr>
          <w:tab/>
        </w:r>
        <w:r w:rsidR="002C0E50">
          <w:rPr>
            <w:noProof/>
            <w:webHidden/>
          </w:rPr>
          <w:fldChar w:fldCharType="begin"/>
        </w:r>
        <w:r w:rsidR="002C0E50">
          <w:rPr>
            <w:noProof/>
            <w:webHidden/>
          </w:rPr>
          <w:instrText xml:space="preserve"> PAGEREF _Toc82386483 \h </w:instrText>
        </w:r>
        <w:r w:rsidR="002C0E50">
          <w:rPr>
            <w:noProof/>
            <w:webHidden/>
          </w:rPr>
        </w:r>
        <w:r w:rsidR="002C0E50">
          <w:rPr>
            <w:noProof/>
            <w:webHidden/>
          </w:rPr>
          <w:fldChar w:fldCharType="separate"/>
        </w:r>
        <w:r w:rsidR="00A15698">
          <w:rPr>
            <w:noProof/>
            <w:webHidden/>
          </w:rPr>
          <w:t>165</w:t>
        </w:r>
        <w:r w:rsidR="002C0E50">
          <w:rPr>
            <w:noProof/>
            <w:webHidden/>
          </w:rPr>
          <w:fldChar w:fldCharType="end"/>
        </w:r>
      </w:hyperlink>
    </w:p>
    <w:p w14:paraId="501C5DF7" w14:textId="7C6F724E" w:rsidR="002C0E50" w:rsidRDefault="00E909AE">
      <w:pPr>
        <w:pStyle w:val="TOC9"/>
        <w:rPr>
          <w:rFonts w:asciiTheme="minorHAnsi" w:eastAsiaTheme="minorEastAsia" w:hAnsiTheme="minorHAnsi" w:cstheme="minorBidi"/>
          <w:noProof/>
          <w:szCs w:val="24"/>
        </w:rPr>
      </w:pPr>
      <w:hyperlink w:anchor="_Toc82386484" w:history="1">
        <w:r w:rsidR="002C0E50" w:rsidRPr="00C406C8">
          <w:rPr>
            <w:rStyle w:val="Hyperlink"/>
            <w:noProof/>
          </w:rPr>
          <w:t>Map 4.11</w:t>
        </w:r>
        <w:r w:rsidR="002C0E50" w:rsidRPr="00C406C8">
          <w:rPr>
            <w:rStyle w:val="Hyperlink"/>
            <w:rFonts w:ascii="Times New Roman Bold" w:hAnsi="Times New Roman Bold"/>
            <w:bCs/>
            <w:noProof/>
            <w:spacing w:val="5"/>
          </w:rPr>
          <w:t>:</w:t>
        </w:r>
        <w:r w:rsidR="002C0E50">
          <w:rPr>
            <w:rFonts w:asciiTheme="minorHAnsi" w:eastAsiaTheme="minorEastAsia" w:hAnsiTheme="minorHAnsi" w:cstheme="minorBidi"/>
            <w:noProof/>
            <w:szCs w:val="24"/>
          </w:rPr>
          <w:tab/>
        </w:r>
        <w:r w:rsidR="002C0E50" w:rsidRPr="00C406C8">
          <w:rPr>
            <w:rStyle w:val="Hyperlink"/>
            <w:noProof/>
          </w:rPr>
          <w:t>Number of Households</w:t>
        </w:r>
        <w:r w:rsidR="002C0E50" w:rsidRPr="00C406C8">
          <w:rPr>
            <w:rStyle w:val="Hyperlink"/>
            <w:rFonts w:ascii="Times New Roman Bold" w:hAnsi="Times New Roman Bold"/>
            <w:bCs/>
            <w:noProof/>
            <w:spacing w:val="5"/>
          </w:rPr>
          <w:t xml:space="preserve"> </w:t>
        </w:r>
        <w:r w:rsidR="002C0E50" w:rsidRPr="00C406C8">
          <w:rPr>
            <w:rStyle w:val="Hyperlink"/>
            <w:noProof/>
          </w:rPr>
          <w:t>Reported Tick Borne Diseases Infections During 2019/20 Agricultural Year, Tanzania</w:t>
        </w:r>
        <w:r w:rsidR="002C0E50">
          <w:rPr>
            <w:noProof/>
            <w:webHidden/>
          </w:rPr>
          <w:tab/>
        </w:r>
        <w:r w:rsidR="002C0E50">
          <w:rPr>
            <w:noProof/>
            <w:webHidden/>
          </w:rPr>
          <w:fldChar w:fldCharType="begin"/>
        </w:r>
        <w:r w:rsidR="002C0E50">
          <w:rPr>
            <w:noProof/>
            <w:webHidden/>
          </w:rPr>
          <w:instrText xml:space="preserve"> PAGEREF _Toc82386484 \h </w:instrText>
        </w:r>
        <w:r w:rsidR="002C0E50">
          <w:rPr>
            <w:noProof/>
            <w:webHidden/>
          </w:rPr>
        </w:r>
        <w:r w:rsidR="002C0E50">
          <w:rPr>
            <w:noProof/>
            <w:webHidden/>
          </w:rPr>
          <w:fldChar w:fldCharType="separate"/>
        </w:r>
        <w:r w:rsidR="00A15698">
          <w:rPr>
            <w:noProof/>
            <w:webHidden/>
          </w:rPr>
          <w:t>174</w:t>
        </w:r>
        <w:r w:rsidR="002C0E50">
          <w:rPr>
            <w:noProof/>
            <w:webHidden/>
          </w:rPr>
          <w:fldChar w:fldCharType="end"/>
        </w:r>
      </w:hyperlink>
    </w:p>
    <w:p w14:paraId="6B4DB015" w14:textId="227CF8FE" w:rsidR="002C0E50" w:rsidRDefault="00E909AE">
      <w:pPr>
        <w:pStyle w:val="TOC9"/>
        <w:rPr>
          <w:rFonts w:asciiTheme="minorHAnsi" w:eastAsiaTheme="minorEastAsia" w:hAnsiTheme="minorHAnsi" w:cstheme="minorBidi"/>
          <w:noProof/>
          <w:szCs w:val="24"/>
        </w:rPr>
      </w:pPr>
      <w:hyperlink w:anchor="_Toc82386485" w:history="1">
        <w:r w:rsidR="002C0E50" w:rsidRPr="00C406C8">
          <w:rPr>
            <w:rStyle w:val="Hyperlink"/>
            <w:noProof/>
          </w:rPr>
          <w:t>Map 4.12:</w:t>
        </w:r>
        <w:r w:rsidR="002C0E50">
          <w:rPr>
            <w:rFonts w:asciiTheme="minorHAnsi" w:eastAsiaTheme="minorEastAsia" w:hAnsiTheme="minorHAnsi" w:cstheme="minorBidi"/>
            <w:noProof/>
            <w:szCs w:val="24"/>
          </w:rPr>
          <w:tab/>
        </w:r>
        <w:r w:rsidR="002C0E50" w:rsidRPr="00C406C8">
          <w:rPr>
            <w:rStyle w:val="Hyperlink"/>
            <w:noProof/>
          </w:rPr>
          <w:t>Number of Households Reported CBPP Disease Infections During 2019/20 Agricultural Year, Tanzania</w:t>
        </w:r>
        <w:r w:rsidR="002C0E50">
          <w:rPr>
            <w:noProof/>
            <w:webHidden/>
          </w:rPr>
          <w:tab/>
        </w:r>
        <w:r w:rsidR="002C0E50">
          <w:rPr>
            <w:noProof/>
            <w:webHidden/>
          </w:rPr>
          <w:fldChar w:fldCharType="begin"/>
        </w:r>
        <w:r w:rsidR="002C0E50">
          <w:rPr>
            <w:noProof/>
            <w:webHidden/>
          </w:rPr>
          <w:instrText xml:space="preserve"> PAGEREF _Toc82386485 \h </w:instrText>
        </w:r>
        <w:r w:rsidR="002C0E50">
          <w:rPr>
            <w:noProof/>
            <w:webHidden/>
          </w:rPr>
        </w:r>
        <w:r w:rsidR="002C0E50">
          <w:rPr>
            <w:noProof/>
            <w:webHidden/>
          </w:rPr>
          <w:fldChar w:fldCharType="separate"/>
        </w:r>
        <w:r w:rsidR="00A15698">
          <w:rPr>
            <w:noProof/>
            <w:webHidden/>
          </w:rPr>
          <w:t>175</w:t>
        </w:r>
        <w:r w:rsidR="002C0E50">
          <w:rPr>
            <w:noProof/>
            <w:webHidden/>
          </w:rPr>
          <w:fldChar w:fldCharType="end"/>
        </w:r>
      </w:hyperlink>
    </w:p>
    <w:p w14:paraId="1E69104A" w14:textId="67D9A2DB" w:rsidR="002C0E50" w:rsidRDefault="00E909AE">
      <w:pPr>
        <w:pStyle w:val="TOC9"/>
        <w:rPr>
          <w:rFonts w:asciiTheme="minorHAnsi" w:eastAsiaTheme="minorEastAsia" w:hAnsiTheme="minorHAnsi" w:cstheme="minorBidi"/>
          <w:noProof/>
          <w:szCs w:val="24"/>
        </w:rPr>
      </w:pPr>
      <w:hyperlink w:anchor="_Toc82386486" w:history="1">
        <w:r w:rsidR="002C0E50" w:rsidRPr="00C406C8">
          <w:rPr>
            <w:rStyle w:val="Hyperlink"/>
            <w:noProof/>
          </w:rPr>
          <w:t>Map 4.13:</w:t>
        </w:r>
        <w:r w:rsidR="002C0E50">
          <w:rPr>
            <w:rFonts w:asciiTheme="minorHAnsi" w:eastAsiaTheme="minorEastAsia" w:hAnsiTheme="minorHAnsi" w:cstheme="minorBidi"/>
            <w:noProof/>
            <w:szCs w:val="24"/>
          </w:rPr>
          <w:tab/>
        </w:r>
        <w:r w:rsidR="002C0E50" w:rsidRPr="00C406C8">
          <w:rPr>
            <w:rStyle w:val="Hyperlink"/>
            <w:noProof/>
          </w:rPr>
          <w:t>Number</w:t>
        </w:r>
        <w:r w:rsidR="002C0E50" w:rsidRPr="00C406C8">
          <w:rPr>
            <w:rStyle w:val="Hyperlink"/>
            <w:rFonts w:ascii="Times New Roman Bold" w:hAnsi="Times New Roman Bold"/>
            <w:bCs/>
            <w:noProof/>
            <w:spacing w:val="5"/>
          </w:rPr>
          <w:t xml:space="preserve"> </w:t>
        </w:r>
        <w:r w:rsidR="002C0E50" w:rsidRPr="00C406C8">
          <w:rPr>
            <w:rStyle w:val="Hyperlink"/>
            <w:noProof/>
          </w:rPr>
          <w:t>of Households Reported FMD Infections During 2019/20 Agricultural Year, Tanzania</w:t>
        </w:r>
        <w:r w:rsidR="002C0E50">
          <w:rPr>
            <w:noProof/>
            <w:webHidden/>
          </w:rPr>
          <w:tab/>
        </w:r>
        <w:r w:rsidR="002C0E50">
          <w:rPr>
            <w:noProof/>
            <w:webHidden/>
          </w:rPr>
          <w:fldChar w:fldCharType="begin"/>
        </w:r>
        <w:r w:rsidR="002C0E50">
          <w:rPr>
            <w:noProof/>
            <w:webHidden/>
          </w:rPr>
          <w:instrText xml:space="preserve"> PAGEREF _Toc82386486 \h </w:instrText>
        </w:r>
        <w:r w:rsidR="002C0E50">
          <w:rPr>
            <w:noProof/>
            <w:webHidden/>
          </w:rPr>
        </w:r>
        <w:r w:rsidR="002C0E50">
          <w:rPr>
            <w:noProof/>
            <w:webHidden/>
          </w:rPr>
          <w:fldChar w:fldCharType="separate"/>
        </w:r>
        <w:r w:rsidR="00A15698">
          <w:rPr>
            <w:noProof/>
            <w:webHidden/>
          </w:rPr>
          <w:t>179</w:t>
        </w:r>
        <w:r w:rsidR="002C0E50">
          <w:rPr>
            <w:noProof/>
            <w:webHidden/>
          </w:rPr>
          <w:fldChar w:fldCharType="end"/>
        </w:r>
      </w:hyperlink>
    </w:p>
    <w:p w14:paraId="3FA2A7B2" w14:textId="5921AE1C" w:rsidR="002C0E50" w:rsidRDefault="00E909AE">
      <w:pPr>
        <w:pStyle w:val="TOC9"/>
        <w:rPr>
          <w:rFonts w:asciiTheme="minorHAnsi" w:eastAsiaTheme="minorEastAsia" w:hAnsiTheme="minorHAnsi" w:cstheme="minorBidi"/>
          <w:noProof/>
          <w:szCs w:val="24"/>
        </w:rPr>
      </w:pPr>
      <w:hyperlink w:anchor="_Toc82386487" w:history="1">
        <w:r w:rsidR="002C0E50" w:rsidRPr="00C406C8">
          <w:rPr>
            <w:rStyle w:val="Hyperlink"/>
            <w:noProof/>
            <w:spacing w:val="-2"/>
          </w:rPr>
          <w:t>Map 4.14:</w:t>
        </w:r>
        <w:r w:rsidR="002C0E50">
          <w:rPr>
            <w:rFonts w:asciiTheme="minorHAnsi" w:eastAsiaTheme="minorEastAsia" w:hAnsiTheme="minorHAnsi" w:cstheme="minorBidi"/>
            <w:noProof/>
            <w:szCs w:val="24"/>
          </w:rPr>
          <w:tab/>
        </w:r>
        <w:r w:rsidR="002C0E50" w:rsidRPr="00C406C8">
          <w:rPr>
            <w:rStyle w:val="Hyperlink"/>
            <w:noProof/>
            <w:spacing w:val="-2"/>
          </w:rPr>
          <w:t xml:space="preserve"> Number of Households Reported </w:t>
        </w:r>
        <w:r w:rsidR="002C0E50" w:rsidRPr="00C406C8">
          <w:rPr>
            <w:rStyle w:val="Hyperlink"/>
            <w:noProof/>
            <w:w w:val="105"/>
          </w:rPr>
          <w:t>Brucellosis Disease Infections During 2019/20 Agricultural Year, Tanzania</w:t>
        </w:r>
        <w:r w:rsidR="002C0E50">
          <w:rPr>
            <w:noProof/>
            <w:webHidden/>
          </w:rPr>
          <w:tab/>
        </w:r>
        <w:r w:rsidR="002C0E50">
          <w:rPr>
            <w:noProof/>
            <w:webHidden/>
          </w:rPr>
          <w:fldChar w:fldCharType="begin"/>
        </w:r>
        <w:r w:rsidR="002C0E50">
          <w:rPr>
            <w:noProof/>
            <w:webHidden/>
          </w:rPr>
          <w:instrText xml:space="preserve"> PAGEREF _Toc82386487 \h </w:instrText>
        </w:r>
        <w:r w:rsidR="002C0E50">
          <w:rPr>
            <w:noProof/>
            <w:webHidden/>
          </w:rPr>
        </w:r>
        <w:r w:rsidR="002C0E50">
          <w:rPr>
            <w:noProof/>
            <w:webHidden/>
          </w:rPr>
          <w:fldChar w:fldCharType="separate"/>
        </w:r>
        <w:r w:rsidR="00A15698">
          <w:rPr>
            <w:noProof/>
            <w:webHidden/>
          </w:rPr>
          <w:t>180</w:t>
        </w:r>
        <w:r w:rsidR="002C0E50">
          <w:rPr>
            <w:noProof/>
            <w:webHidden/>
          </w:rPr>
          <w:fldChar w:fldCharType="end"/>
        </w:r>
      </w:hyperlink>
    </w:p>
    <w:p w14:paraId="5E083612" w14:textId="252A4507" w:rsidR="002C0E50" w:rsidRDefault="00E909AE">
      <w:pPr>
        <w:pStyle w:val="TOC9"/>
        <w:rPr>
          <w:rFonts w:asciiTheme="minorHAnsi" w:eastAsiaTheme="minorEastAsia" w:hAnsiTheme="minorHAnsi" w:cstheme="minorBidi"/>
          <w:noProof/>
          <w:szCs w:val="24"/>
        </w:rPr>
      </w:pPr>
      <w:hyperlink w:anchor="_Toc82386488" w:history="1">
        <w:r w:rsidR="002C0E50" w:rsidRPr="00C406C8">
          <w:rPr>
            <w:rStyle w:val="Hyperlink"/>
            <w:noProof/>
          </w:rPr>
          <w:t>Map 4.15:</w:t>
        </w:r>
        <w:r w:rsidR="002C0E50">
          <w:rPr>
            <w:rFonts w:asciiTheme="minorHAnsi" w:eastAsiaTheme="minorEastAsia" w:hAnsiTheme="minorHAnsi" w:cstheme="minorBidi"/>
            <w:noProof/>
            <w:szCs w:val="24"/>
          </w:rPr>
          <w:tab/>
        </w:r>
        <w:r w:rsidR="002C0E50" w:rsidRPr="00C406C8">
          <w:rPr>
            <w:rStyle w:val="Hyperlink"/>
            <w:noProof/>
          </w:rPr>
          <w:t>Number of Households Reported CCPP Disease Infections During 2019/20 Agricultural Year, Tanzania</w:t>
        </w:r>
        <w:r w:rsidR="002C0E50">
          <w:rPr>
            <w:noProof/>
            <w:webHidden/>
          </w:rPr>
          <w:tab/>
        </w:r>
        <w:r w:rsidR="002C0E50">
          <w:rPr>
            <w:noProof/>
            <w:webHidden/>
          </w:rPr>
          <w:fldChar w:fldCharType="begin"/>
        </w:r>
        <w:r w:rsidR="002C0E50">
          <w:rPr>
            <w:noProof/>
            <w:webHidden/>
          </w:rPr>
          <w:instrText xml:space="preserve"> PAGEREF _Toc82386488 \h </w:instrText>
        </w:r>
        <w:r w:rsidR="002C0E50">
          <w:rPr>
            <w:noProof/>
            <w:webHidden/>
          </w:rPr>
        </w:r>
        <w:r w:rsidR="002C0E50">
          <w:rPr>
            <w:noProof/>
            <w:webHidden/>
          </w:rPr>
          <w:fldChar w:fldCharType="separate"/>
        </w:r>
        <w:r w:rsidR="00A15698">
          <w:rPr>
            <w:noProof/>
            <w:webHidden/>
          </w:rPr>
          <w:t>184</w:t>
        </w:r>
        <w:r w:rsidR="002C0E50">
          <w:rPr>
            <w:noProof/>
            <w:webHidden/>
          </w:rPr>
          <w:fldChar w:fldCharType="end"/>
        </w:r>
      </w:hyperlink>
    </w:p>
    <w:p w14:paraId="7C0F4BA5" w14:textId="5B3415E1" w:rsidR="002C0E50" w:rsidRDefault="00E909AE">
      <w:pPr>
        <w:pStyle w:val="TOC9"/>
        <w:rPr>
          <w:rFonts w:asciiTheme="minorHAnsi" w:eastAsiaTheme="minorEastAsia" w:hAnsiTheme="minorHAnsi" w:cstheme="minorBidi"/>
          <w:noProof/>
          <w:szCs w:val="24"/>
        </w:rPr>
      </w:pPr>
      <w:hyperlink w:anchor="_Toc82386489" w:history="1">
        <w:r w:rsidR="002C0E50" w:rsidRPr="00C406C8">
          <w:rPr>
            <w:rStyle w:val="Hyperlink"/>
            <w:noProof/>
          </w:rPr>
          <w:t>Map 4.16:</w:t>
        </w:r>
        <w:r w:rsidR="002C0E50">
          <w:rPr>
            <w:rFonts w:asciiTheme="minorHAnsi" w:eastAsiaTheme="minorEastAsia" w:hAnsiTheme="minorHAnsi" w:cstheme="minorBidi"/>
            <w:noProof/>
            <w:szCs w:val="24"/>
          </w:rPr>
          <w:tab/>
        </w:r>
        <w:r w:rsidR="002C0E50" w:rsidRPr="00C406C8">
          <w:rPr>
            <w:rStyle w:val="Hyperlink"/>
            <w:noProof/>
          </w:rPr>
          <w:t xml:space="preserve"> Number of Households Reported Brucellosis Disease Infections During 2019/20 Agricultural Year, Tanzania</w:t>
        </w:r>
        <w:r w:rsidR="002C0E50">
          <w:rPr>
            <w:noProof/>
            <w:webHidden/>
          </w:rPr>
          <w:tab/>
        </w:r>
        <w:r w:rsidR="002C0E50">
          <w:rPr>
            <w:noProof/>
            <w:webHidden/>
          </w:rPr>
          <w:fldChar w:fldCharType="begin"/>
        </w:r>
        <w:r w:rsidR="002C0E50">
          <w:rPr>
            <w:noProof/>
            <w:webHidden/>
          </w:rPr>
          <w:instrText xml:space="preserve"> PAGEREF _Toc82386489 \h </w:instrText>
        </w:r>
        <w:r w:rsidR="002C0E50">
          <w:rPr>
            <w:noProof/>
            <w:webHidden/>
          </w:rPr>
        </w:r>
        <w:r w:rsidR="002C0E50">
          <w:rPr>
            <w:noProof/>
            <w:webHidden/>
          </w:rPr>
          <w:fldChar w:fldCharType="separate"/>
        </w:r>
        <w:r w:rsidR="00A15698">
          <w:rPr>
            <w:noProof/>
            <w:webHidden/>
          </w:rPr>
          <w:t>186</w:t>
        </w:r>
        <w:r w:rsidR="002C0E50">
          <w:rPr>
            <w:noProof/>
            <w:webHidden/>
          </w:rPr>
          <w:fldChar w:fldCharType="end"/>
        </w:r>
      </w:hyperlink>
    </w:p>
    <w:p w14:paraId="71D5E37D" w14:textId="2074985E" w:rsidR="002C0E50" w:rsidRDefault="00E909AE">
      <w:pPr>
        <w:pStyle w:val="TOC9"/>
        <w:rPr>
          <w:rFonts w:asciiTheme="minorHAnsi" w:eastAsiaTheme="minorEastAsia" w:hAnsiTheme="minorHAnsi" w:cstheme="minorBidi"/>
          <w:noProof/>
          <w:szCs w:val="24"/>
        </w:rPr>
      </w:pPr>
      <w:hyperlink w:anchor="_Toc82386490" w:history="1">
        <w:r w:rsidR="002C0E50" w:rsidRPr="00C406C8">
          <w:rPr>
            <w:rStyle w:val="Hyperlink"/>
            <w:noProof/>
          </w:rPr>
          <w:t>Map 4.17:</w:t>
        </w:r>
        <w:r w:rsidR="002C0E50">
          <w:rPr>
            <w:rFonts w:asciiTheme="minorHAnsi" w:eastAsiaTheme="minorEastAsia" w:hAnsiTheme="minorHAnsi" w:cstheme="minorBidi"/>
            <w:noProof/>
            <w:szCs w:val="24"/>
          </w:rPr>
          <w:tab/>
        </w:r>
        <w:r w:rsidR="002C0E50" w:rsidRPr="00C406C8">
          <w:rPr>
            <w:rStyle w:val="Hyperlink"/>
            <w:noProof/>
          </w:rPr>
          <w:t>Number of Households Reported FMD Infections During 2019/20 Agricultural Year, Tanzania</w:t>
        </w:r>
        <w:r w:rsidR="002C0E50">
          <w:rPr>
            <w:noProof/>
            <w:webHidden/>
          </w:rPr>
          <w:tab/>
        </w:r>
        <w:r w:rsidR="002C0E50">
          <w:rPr>
            <w:noProof/>
            <w:webHidden/>
          </w:rPr>
          <w:fldChar w:fldCharType="begin"/>
        </w:r>
        <w:r w:rsidR="002C0E50">
          <w:rPr>
            <w:noProof/>
            <w:webHidden/>
          </w:rPr>
          <w:instrText xml:space="preserve"> PAGEREF _Toc82386490 \h </w:instrText>
        </w:r>
        <w:r w:rsidR="002C0E50">
          <w:rPr>
            <w:noProof/>
            <w:webHidden/>
          </w:rPr>
        </w:r>
        <w:r w:rsidR="002C0E50">
          <w:rPr>
            <w:noProof/>
            <w:webHidden/>
          </w:rPr>
          <w:fldChar w:fldCharType="separate"/>
        </w:r>
        <w:r w:rsidR="00A15698">
          <w:rPr>
            <w:noProof/>
            <w:webHidden/>
          </w:rPr>
          <w:t>187</w:t>
        </w:r>
        <w:r w:rsidR="002C0E50">
          <w:rPr>
            <w:noProof/>
            <w:webHidden/>
          </w:rPr>
          <w:fldChar w:fldCharType="end"/>
        </w:r>
      </w:hyperlink>
    </w:p>
    <w:p w14:paraId="358517A4" w14:textId="6A24F2FF" w:rsidR="002C0E50" w:rsidRDefault="00E909AE">
      <w:pPr>
        <w:pStyle w:val="TOC9"/>
        <w:rPr>
          <w:rFonts w:asciiTheme="minorHAnsi" w:eastAsiaTheme="minorEastAsia" w:hAnsiTheme="minorHAnsi" w:cstheme="minorBidi"/>
          <w:noProof/>
          <w:szCs w:val="24"/>
        </w:rPr>
      </w:pPr>
      <w:hyperlink w:anchor="_Toc82386491" w:history="1">
        <w:r w:rsidR="002C0E50" w:rsidRPr="00C406C8">
          <w:rPr>
            <w:rStyle w:val="Hyperlink"/>
            <w:noProof/>
          </w:rPr>
          <w:t>Map 4.18:</w:t>
        </w:r>
        <w:r w:rsidR="002C0E50">
          <w:rPr>
            <w:rFonts w:asciiTheme="minorHAnsi" w:eastAsiaTheme="minorEastAsia" w:hAnsiTheme="minorHAnsi" w:cstheme="minorBidi"/>
            <w:noProof/>
            <w:szCs w:val="24"/>
          </w:rPr>
          <w:tab/>
        </w:r>
        <w:r w:rsidR="002C0E50" w:rsidRPr="00C406C8">
          <w:rPr>
            <w:rStyle w:val="Hyperlink"/>
            <w:noProof/>
          </w:rPr>
          <w:t>Number of Households Reported CCPP Disease Infections During 2019/20 Agricultural Year, Tanzania</w:t>
        </w:r>
        <w:r w:rsidR="002C0E50">
          <w:rPr>
            <w:noProof/>
            <w:webHidden/>
          </w:rPr>
          <w:tab/>
        </w:r>
        <w:r w:rsidR="002C0E50">
          <w:rPr>
            <w:noProof/>
            <w:webHidden/>
          </w:rPr>
          <w:fldChar w:fldCharType="begin"/>
        </w:r>
        <w:r w:rsidR="002C0E50">
          <w:rPr>
            <w:noProof/>
            <w:webHidden/>
          </w:rPr>
          <w:instrText xml:space="preserve"> PAGEREF _Toc82386491 \h </w:instrText>
        </w:r>
        <w:r w:rsidR="002C0E50">
          <w:rPr>
            <w:noProof/>
            <w:webHidden/>
          </w:rPr>
        </w:r>
        <w:r w:rsidR="002C0E50">
          <w:rPr>
            <w:noProof/>
            <w:webHidden/>
          </w:rPr>
          <w:fldChar w:fldCharType="separate"/>
        </w:r>
        <w:r w:rsidR="00A15698">
          <w:rPr>
            <w:noProof/>
            <w:webHidden/>
          </w:rPr>
          <w:t>190</w:t>
        </w:r>
        <w:r w:rsidR="002C0E50">
          <w:rPr>
            <w:noProof/>
            <w:webHidden/>
          </w:rPr>
          <w:fldChar w:fldCharType="end"/>
        </w:r>
      </w:hyperlink>
    </w:p>
    <w:p w14:paraId="4DE8B157" w14:textId="3E729814" w:rsidR="002C0E50" w:rsidRDefault="00E909AE">
      <w:pPr>
        <w:pStyle w:val="TOC9"/>
        <w:rPr>
          <w:rFonts w:asciiTheme="minorHAnsi" w:eastAsiaTheme="minorEastAsia" w:hAnsiTheme="minorHAnsi" w:cstheme="minorBidi"/>
          <w:noProof/>
          <w:szCs w:val="24"/>
        </w:rPr>
      </w:pPr>
      <w:hyperlink w:anchor="_Toc82386492" w:history="1">
        <w:r w:rsidR="002C0E50" w:rsidRPr="00C406C8">
          <w:rPr>
            <w:rStyle w:val="Hyperlink"/>
            <w:noProof/>
          </w:rPr>
          <w:t>Map 4.19:</w:t>
        </w:r>
        <w:r w:rsidR="002C0E50">
          <w:rPr>
            <w:rFonts w:asciiTheme="minorHAnsi" w:eastAsiaTheme="minorEastAsia" w:hAnsiTheme="minorHAnsi" w:cstheme="minorBidi"/>
            <w:noProof/>
            <w:szCs w:val="24"/>
          </w:rPr>
          <w:tab/>
        </w:r>
        <w:r w:rsidR="002C0E50" w:rsidRPr="00C406C8">
          <w:rPr>
            <w:rStyle w:val="Hyperlink"/>
            <w:noProof/>
          </w:rPr>
          <w:t xml:space="preserve"> Number of Households Reported FMD Infections During 2019/20 Agricultural Year, Tanzania</w:t>
        </w:r>
        <w:r w:rsidR="002C0E50">
          <w:rPr>
            <w:noProof/>
            <w:webHidden/>
          </w:rPr>
          <w:tab/>
        </w:r>
        <w:r w:rsidR="002C0E50">
          <w:rPr>
            <w:noProof/>
            <w:webHidden/>
          </w:rPr>
          <w:fldChar w:fldCharType="begin"/>
        </w:r>
        <w:r w:rsidR="002C0E50">
          <w:rPr>
            <w:noProof/>
            <w:webHidden/>
          </w:rPr>
          <w:instrText xml:space="preserve"> PAGEREF _Toc82386492 \h </w:instrText>
        </w:r>
        <w:r w:rsidR="002C0E50">
          <w:rPr>
            <w:noProof/>
            <w:webHidden/>
          </w:rPr>
        </w:r>
        <w:r w:rsidR="002C0E50">
          <w:rPr>
            <w:noProof/>
            <w:webHidden/>
          </w:rPr>
          <w:fldChar w:fldCharType="separate"/>
        </w:r>
        <w:r w:rsidR="00A15698">
          <w:rPr>
            <w:noProof/>
            <w:webHidden/>
          </w:rPr>
          <w:t>191</w:t>
        </w:r>
        <w:r w:rsidR="002C0E50">
          <w:rPr>
            <w:noProof/>
            <w:webHidden/>
          </w:rPr>
          <w:fldChar w:fldCharType="end"/>
        </w:r>
      </w:hyperlink>
    </w:p>
    <w:p w14:paraId="72E82A5F" w14:textId="5109AF35" w:rsidR="002C0E50" w:rsidRDefault="00E909AE">
      <w:pPr>
        <w:pStyle w:val="TOC9"/>
        <w:rPr>
          <w:rFonts w:asciiTheme="minorHAnsi" w:eastAsiaTheme="minorEastAsia" w:hAnsiTheme="minorHAnsi" w:cstheme="minorBidi"/>
          <w:noProof/>
          <w:szCs w:val="24"/>
        </w:rPr>
      </w:pPr>
      <w:hyperlink w:anchor="_Toc82386493" w:history="1">
        <w:r w:rsidR="002C0E50" w:rsidRPr="00C406C8">
          <w:rPr>
            <w:rStyle w:val="Hyperlink"/>
            <w:noProof/>
            <w:spacing w:val="-2"/>
          </w:rPr>
          <w:t>Map 4.20:</w:t>
        </w:r>
        <w:r w:rsidR="002C0E50">
          <w:rPr>
            <w:rFonts w:asciiTheme="minorHAnsi" w:eastAsiaTheme="minorEastAsia" w:hAnsiTheme="minorHAnsi" w:cstheme="minorBidi"/>
            <w:noProof/>
            <w:szCs w:val="24"/>
          </w:rPr>
          <w:tab/>
        </w:r>
        <w:r w:rsidR="002C0E50" w:rsidRPr="00C406C8">
          <w:rPr>
            <w:rStyle w:val="Hyperlink"/>
            <w:noProof/>
            <w:spacing w:val="-2"/>
          </w:rPr>
          <w:t xml:space="preserve">Number of Households Reported </w:t>
        </w:r>
        <w:r w:rsidR="002C0E50" w:rsidRPr="00C406C8">
          <w:rPr>
            <w:rStyle w:val="Hyperlink"/>
            <w:noProof/>
            <w:w w:val="105"/>
          </w:rPr>
          <w:t>Brucellosis Disease Infections During 2019/20 Agricultural Year, Tanzania</w:t>
        </w:r>
        <w:r w:rsidR="002C0E50">
          <w:rPr>
            <w:noProof/>
            <w:webHidden/>
          </w:rPr>
          <w:tab/>
        </w:r>
        <w:r w:rsidR="002C0E50">
          <w:rPr>
            <w:noProof/>
            <w:webHidden/>
          </w:rPr>
          <w:fldChar w:fldCharType="begin"/>
        </w:r>
        <w:r w:rsidR="002C0E50">
          <w:rPr>
            <w:noProof/>
            <w:webHidden/>
          </w:rPr>
          <w:instrText xml:space="preserve"> PAGEREF _Toc82386493 \h </w:instrText>
        </w:r>
        <w:r w:rsidR="002C0E50">
          <w:rPr>
            <w:noProof/>
            <w:webHidden/>
          </w:rPr>
        </w:r>
        <w:r w:rsidR="002C0E50">
          <w:rPr>
            <w:noProof/>
            <w:webHidden/>
          </w:rPr>
          <w:fldChar w:fldCharType="separate"/>
        </w:r>
        <w:r w:rsidR="00A15698">
          <w:rPr>
            <w:noProof/>
            <w:webHidden/>
          </w:rPr>
          <w:t>192</w:t>
        </w:r>
        <w:r w:rsidR="002C0E50">
          <w:rPr>
            <w:noProof/>
            <w:webHidden/>
          </w:rPr>
          <w:fldChar w:fldCharType="end"/>
        </w:r>
      </w:hyperlink>
    </w:p>
    <w:p w14:paraId="4FAE8190" w14:textId="6267AF8A" w:rsidR="002C0E50" w:rsidRDefault="00E909AE">
      <w:pPr>
        <w:pStyle w:val="TOC9"/>
        <w:rPr>
          <w:rFonts w:asciiTheme="minorHAnsi" w:eastAsiaTheme="minorEastAsia" w:hAnsiTheme="minorHAnsi" w:cstheme="minorBidi"/>
          <w:noProof/>
          <w:szCs w:val="24"/>
        </w:rPr>
      </w:pPr>
      <w:hyperlink w:anchor="_Toc82386494" w:history="1">
        <w:r w:rsidR="002C0E50" w:rsidRPr="00C406C8">
          <w:rPr>
            <w:rStyle w:val="Hyperlink"/>
            <w:noProof/>
          </w:rPr>
          <w:t>Map 4.21:</w:t>
        </w:r>
        <w:r w:rsidR="002C0E50">
          <w:rPr>
            <w:rFonts w:asciiTheme="minorHAnsi" w:eastAsiaTheme="minorEastAsia" w:hAnsiTheme="minorHAnsi" w:cstheme="minorBidi"/>
            <w:noProof/>
            <w:szCs w:val="24"/>
          </w:rPr>
          <w:tab/>
        </w:r>
        <w:r w:rsidR="002C0E50" w:rsidRPr="00C406C8">
          <w:rPr>
            <w:rStyle w:val="Hyperlink"/>
            <w:noProof/>
          </w:rPr>
          <w:t>Number of Households Reported Helminthiosis Disease Infections During 2019/20 Agricultural Year, Tanzania</w:t>
        </w:r>
        <w:r w:rsidR="002C0E50">
          <w:rPr>
            <w:noProof/>
            <w:webHidden/>
          </w:rPr>
          <w:tab/>
        </w:r>
        <w:r w:rsidR="002C0E50">
          <w:rPr>
            <w:noProof/>
            <w:webHidden/>
          </w:rPr>
          <w:fldChar w:fldCharType="begin"/>
        </w:r>
        <w:r w:rsidR="002C0E50">
          <w:rPr>
            <w:noProof/>
            <w:webHidden/>
          </w:rPr>
          <w:instrText xml:space="preserve"> PAGEREF _Toc82386494 \h </w:instrText>
        </w:r>
        <w:r w:rsidR="002C0E50">
          <w:rPr>
            <w:noProof/>
            <w:webHidden/>
          </w:rPr>
        </w:r>
        <w:r w:rsidR="002C0E50">
          <w:rPr>
            <w:noProof/>
            <w:webHidden/>
          </w:rPr>
          <w:fldChar w:fldCharType="separate"/>
        </w:r>
        <w:r w:rsidR="00A15698">
          <w:rPr>
            <w:noProof/>
            <w:webHidden/>
          </w:rPr>
          <w:t>196</w:t>
        </w:r>
        <w:r w:rsidR="002C0E50">
          <w:rPr>
            <w:noProof/>
            <w:webHidden/>
          </w:rPr>
          <w:fldChar w:fldCharType="end"/>
        </w:r>
      </w:hyperlink>
    </w:p>
    <w:p w14:paraId="4A168F75" w14:textId="0D58CBD0" w:rsidR="00B40BDD" w:rsidRPr="001A31F1" w:rsidRDefault="0081496B" w:rsidP="0081496B">
      <w:pPr>
        <w:rPr>
          <w:rFonts w:eastAsiaTheme="minorEastAsia"/>
          <w:noProof/>
        </w:rPr>
      </w:pPr>
      <w:r>
        <w:fldChar w:fldCharType="end"/>
      </w:r>
    </w:p>
    <w:p w14:paraId="32ADD0DD" w14:textId="7FD63EA5" w:rsidR="00015403" w:rsidRDefault="006F6129" w:rsidP="005C2EFC">
      <w:pPr>
        <w:rPr>
          <w:b/>
        </w:rPr>
      </w:pPr>
      <w:r w:rsidRPr="006B42D6">
        <w:rPr>
          <w:b/>
        </w:rPr>
        <w:br w:type="page"/>
      </w:r>
    </w:p>
    <w:p w14:paraId="456C51FC" w14:textId="7321B4FF" w:rsidR="006F6129" w:rsidRPr="006B42D6" w:rsidRDefault="0093114E" w:rsidP="003F4EAA">
      <w:pPr>
        <w:pStyle w:val="Heading5"/>
      </w:pPr>
      <w:bookmarkStart w:id="6" w:name="_Toc82385611"/>
      <w:r w:rsidRPr="006B42D6">
        <w:lastRenderedPageBreak/>
        <w:t>GENERAL NOTES</w:t>
      </w:r>
      <w:bookmarkEnd w:id="6"/>
    </w:p>
    <w:p w14:paraId="36D3607D" w14:textId="46FA6E6D" w:rsidR="00326FD6" w:rsidRDefault="00CD6181" w:rsidP="00CD6181">
      <w:pPr>
        <w:spacing w:before="240"/>
        <w:ind w:left="720" w:hanging="720"/>
      </w:pPr>
      <w:r>
        <w:t>1.</w:t>
      </w:r>
      <w:r>
        <w:tab/>
      </w:r>
      <w:r w:rsidR="00326FD6" w:rsidRPr="006B42D6">
        <w:t xml:space="preserve">The highest production of various crops </w:t>
      </w:r>
      <w:r w:rsidR="00D164FF" w:rsidRPr="006B42D6">
        <w:t xml:space="preserve">observed </w:t>
      </w:r>
      <w:r w:rsidR="00326FD6" w:rsidRPr="006B42D6">
        <w:t xml:space="preserve">in Dar es Salaam region resulted from the fact that, many </w:t>
      </w:r>
      <w:r w:rsidR="00D164FF" w:rsidRPr="006B42D6">
        <w:t>ag</w:t>
      </w:r>
      <w:r w:rsidR="00997F48">
        <w:t>r</w:t>
      </w:r>
      <w:r w:rsidR="00D164FF" w:rsidRPr="006B42D6">
        <w:t xml:space="preserve">icultural </w:t>
      </w:r>
      <w:r w:rsidR="00326FD6" w:rsidRPr="006B42D6">
        <w:t xml:space="preserve">households </w:t>
      </w:r>
      <w:r w:rsidR="00D164FF" w:rsidRPr="006B42D6">
        <w:t xml:space="preserve">based in the region were reported to practice </w:t>
      </w:r>
      <w:r w:rsidR="00326FD6" w:rsidRPr="006B42D6">
        <w:t>their agricultural activities in other regions.</w:t>
      </w:r>
    </w:p>
    <w:p w14:paraId="3D199241" w14:textId="190C9817" w:rsidR="00CD6181" w:rsidRDefault="00CD6181" w:rsidP="00A95156">
      <w:pPr>
        <w:spacing w:before="240" w:line="240" w:lineRule="auto"/>
      </w:pPr>
    </w:p>
    <w:p w14:paraId="01AE7B6A" w14:textId="60CF91CC" w:rsidR="00CD6181" w:rsidRPr="00CD6181" w:rsidRDefault="00CD6181" w:rsidP="00CD6181">
      <w:pPr>
        <w:spacing w:before="240"/>
        <w:ind w:left="720" w:hanging="720"/>
      </w:pPr>
      <w:r>
        <w:t>2.</w:t>
      </w:r>
      <w:r>
        <w:tab/>
      </w:r>
      <w:r w:rsidRPr="00CD6181">
        <w:t xml:space="preserve">Where necessary, </w:t>
      </w:r>
      <w:r>
        <w:t>numbers</w:t>
      </w:r>
      <w:r w:rsidRPr="00CD6181">
        <w:t xml:space="preserve"> have been rounded off and for this reason there may be, in some tables</w:t>
      </w:r>
      <w:r>
        <w:t xml:space="preserve"> and figures</w:t>
      </w:r>
      <w:r w:rsidRPr="00CD6181">
        <w:t xml:space="preserve"> an apparent discrepancy between the sum of the constituent items and the total shown. </w:t>
      </w:r>
    </w:p>
    <w:p w14:paraId="133360FB" w14:textId="3490A147" w:rsidR="00CD6181" w:rsidRPr="006B42D6" w:rsidRDefault="00CD6181" w:rsidP="00326FD6">
      <w:pPr>
        <w:spacing w:before="240"/>
      </w:pPr>
    </w:p>
    <w:p w14:paraId="23D82A16" w14:textId="77777777" w:rsidR="00326FD6" w:rsidRPr="006B42D6" w:rsidRDefault="00326FD6" w:rsidP="005C2EFC">
      <w:pPr>
        <w:rPr>
          <w:b/>
        </w:rPr>
      </w:pPr>
    </w:p>
    <w:p w14:paraId="0854B760" w14:textId="272434E6" w:rsidR="00CD3DAA" w:rsidRPr="006B42D6" w:rsidRDefault="006F6129" w:rsidP="005C2EFC">
      <w:pPr>
        <w:rPr>
          <w:b/>
        </w:rPr>
      </w:pPr>
      <w:r w:rsidRPr="006B42D6">
        <w:rPr>
          <w:b/>
        </w:rPr>
        <w:br w:type="page"/>
      </w:r>
    </w:p>
    <w:p w14:paraId="5903FFCC" w14:textId="2A17AAD0" w:rsidR="00CD3DAA" w:rsidRPr="006B42D6" w:rsidRDefault="0093114E" w:rsidP="003F4EAA">
      <w:pPr>
        <w:pStyle w:val="Heading5"/>
      </w:pPr>
      <w:bookmarkStart w:id="7" w:name="_Toc82385612"/>
      <w:r w:rsidRPr="006B42D6">
        <w:lastRenderedPageBreak/>
        <w:t>LIST OF ABBREVIATIONS</w:t>
      </w:r>
      <w:bookmarkEnd w:id="7"/>
    </w:p>
    <w:p w14:paraId="61532220" w14:textId="2DAC2380" w:rsidR="008E1E27" w:rsidRDefault="008E1E27" w:rsidP="003F4EAA">
      <w:pPr>
        <w:spacing w:after="160"/>
      </w:pPr>
      <w:r>
        <w:t>AI</w:t>
      </w:r>
      <w:r>
        <w:tab/>
      </w:r>
      <w:r>
        <w:tab/>
      </w:r>
      <w:r w:rsidRPr="00C13726">
        <w:t>Artificial Insemination</w:t>
      </w:r>
    </w:p>
    <w:p w14:paraId="113689D3" w14:textId="3FDAC329" w:rsidR="00EF1C97" w:rsidRPr="006B42D6" w:rsidRDefault="00EF1C97" w:rsidP="003F4EAA">
      <w:pPr>
        <w:spacing w:after="160"/>
      </w:pPr>
      <w:r w:rsidRPr="006B42D6">
        <w:t>ASDP II</w:t>
      </w:r>
      <w:r w:rsidRPr="006B42D6">
        <w:tab/>
        <w:t>Agricultural Sector Development Program</w:t>
      </w:r>
      <w:r w:rsidR="00430183" w:rsidRPr="006B42D6">
        <w:t>me</w:t>
      </w:r>
      <w:r w:rsidRPr="006B42D6">
        <w:t xml:space="preserve"> Phase </w:t>
      </w:r>
      <w:r w:rsidR="00430183" w:rsidRPr="006B42D6">
        <w:t>II</w:t>
      </w:r>
    </w:p>
    <w:p w14:paraId="74520D76" w14:textId="467DD7AE" w:rsidR="00EF1C97" w:rsidRDefault="00EF1C97" w:rsidP="003F4EAA">
      <w:pPr>
        <w:spacing w:after="160"/>
      </w:pPr>
      <w:r w:rsidRPr="006B42D6">
        <w:t>ASLMs</w:t>
      </w:r>
      <w:r w:rsidRPr="006B42D6">
        <w:tab/>
        <w:t>Agricultural Sector Lead Ministries</w:t>
      </w:r>
    </w:p>
    <w:p w14:paraId="4604104C" w14:textId="64C81B9B" w:rsidR="008E1E27" w:rsidRPr="008E1E27" w:rsidRDefault="008E1E27" w:rsidP="003F4EAA">
      <w:pPr>
        <w:spacing w:after="160"/>
      </w:pPr>
      <w:r w:rsidRPr="00C13726">
        <w:t>ASF</w:t>
      </w:r>
      <w:r w:rsidRPr="00C13726">
        <w:tab/>
      </w:r>
      <w:r>
        <w:tab/>
      </w:r>
      <w:r w:rsidRPr="008E1E27">
        <w:t>African Swan Fever</w:t>
      </w:r>
    </w:p>
    <w:p w14:paraId="0ADB4F59" w14:textId="6BD7EAA3" w:rsidR="00EF1C97" w:rsidRPr="008E1E27" w:rsidRDefault="00EF1C97" w:rsidP="003F4EAA">
      <w:pPr>
        <w:spacing w:after="160"/>
      </w:pPr>
      <w:r w:rsidRPr="008E1E27">
        <w:t>CAADP</w:t>
      </w:r>
      <w:r w:rsidRPr="008E1E27">
        <w:tab/>
        <w:t>Comprehensive Africa Agriculture Development Programme</w:t>
      </w:r>
    </w:p>
    <w:p w14:paraId="1A7FB6F7" w14:textId="55516D8B" w:rsidR="00EF1C97" w:rsidRPr="008E1E27" w:rsidRDefault="00EF1C97" w:rsidP="003F4EAA">
      <w:pPr>
        <w:spacing w:after="160"/>
      </w:pPr>
      <w:r w:rsidRPr="008E1E27">
        <w:t>CAPI</w:t>
      </w:r>
      <w:r w:rsidRPr="008E1E27">
        <w:tab/>
      </w:r>
      <w:r w:rsidRPr="008E1E27">
        <w:tab/>
        <w:t>Computer Assisted Personal Interview</w:t>
      </w:r>
    </w:p>
    <w:p w14:paraId="4C5A61BC" w14:textId="2FE450ED" w:rsidR="008E1E27" w:rsidRPr="008E1E27" w:rsidRDefault="008E1E27" w:rsidP="003F4EAA">
      <w:pPr>
        <w:spacing w:after="160"/>
      </w:pPr>
      <w:r w:rsidRPr="00C13726">
        <w:t>CBPP</w:t>
      </w:r>
      <w:r>
        <w:tab/>
      </w:r>
      <w:r>
        <w:tab/>
      </w:r>
      <w:r w:rsidRPr="008E1E27">
        <w:t>Contagious Bovine Pleura Pneumonia</w:t>
      </w:r>
    </w:p>
    <w:p w14:paraId="207CA067" w14:textId="65016F5C" w:rsidR="008E1E27" w:rsidRPr="008E1E27" w:rsidRDefault="008E1E27" w:rsidP="003F4EAA">
      <w:pPr>
        <w:spacing w:after="160"/>
      </w:pPr>
      <w:r w:rsidRPr="00C13726">
        <w:t>CCP</w:t>
      </w:r>
      <w:r>
        <w:t>P</w:t>
      </w:r>
      <w:r>
        <w:tab/>
      </w:r>
      <w:r>
        <w:tab/>
      </w:r>
      <w:r w:rsidRPr="008E1E27">
        <w:t>Contagious Caprine Pleuropneumonia</w:t>
      </w:r>
    </w:p>
    <w:p w14:paraId="309AECF6" w14:textId="0319FF68" w:rsidR="00EF1C97" w:rsidRPr="008E1E27" w:rsidRDefault="00EF1C97" w:rsidP="003F4EAA">
      <w:pPr>
        <w:spacing w:after="160"/>
      </w:pPr>
      <w:r w:rsidRPr="008E1E27">
        <w:t>CSPro</w:t>
      </w:r>
      <w:r w:rsidRPr="008E1E27">
        <w:tab/>
      </w:r>
      <w:r w:rsidRPr="008E1E27">
        <w:tab/>
        <w:t>Census and Survey Processing System</w:t>
      </w:r>
    </w:p>
    <w:p w14:paraId="42815AEE" w14:textId="1767EA3D" w:rsidR="00EF1C97" w:rsidRPr="008E1E27" w:rsidRDefault="00EF1C97" w:rsidP="003F4EAA">
      <w:pPr>
        <w:spacing w:after="160"/>
      </w:pPr>
      <w:r w:rsidRPr="006B42D6">
        <w:t>EA</w:t>
      </w:r>
      <w:r w:rsidRPr="006B42D6">
        <w:tab/>
      </w:r>
      <w:r w:rsidRPr="006B42D6">
        <w:tab/>
        <w:t>Enumeration Area</w:t>
      </w:r>
    </w:p>
    <w:p w14:paraId="778A33D3" w14:textId="0891D525" w:rsidR="00EF1C97" w:rsidRPr="006B42D6" w:rsidRDefault="00EF1C97" w:rsidP="003F4EAA">
      <w:pPr>
        <w:spacing w:after="160"/>
      </w:pPr>
      <w:r w:rsidRPr="006B42D6">
        <w:t xml:space="preserve">FAO </w:t>
      </w:r>
      <w:r w:rsidRPr="006B42D6">
        <w:tab/>
      </w:r>
      <w:r w:rsidRPr="006B42D6">
        <w:tab/>
        <w:t>Food and Agriculture Organization</w:t>
      </w:r>
    </w:p>
    <w:p w14:paraId="4A490F9A" w14:textId="5DAAB2A6" w:rsidR="008E1E27" w:rsidRDefault="008E1E27" w:rsidP="003F4EAA">
      <w:pPr>
        <w:spacing w:after="160"/>
      </w:pPr>
      <w:r w:rsidRPr="00C13726">
        <w:t>FMD</w:t>
      </w:r>
      <w:r w:rsidRPr="00C13726">
        <w:tab/>
      </w:r>
      <w:r>
        <w:tab/>
      </w:r>
      <w:r w:rsidRPr="008E1E27">
        <w:t>Foot and Mouth Disease</w:t>
      </w:r>
    </w:p>
    <w:p w14:paraId="0BF31DEA" w14:textId="78946BB5" w:rsidR="00EF1C97" w:rsidRPr="006B42D6" w:rsidRDefault="00EF1C97" w:rsidP="003F4EAA">
      <w:pPr>
        <w:spacing w:after="160"/>
      </w:pPr>
      <w:r w:rsidRPr="006B42D6">
        <w:t>GDP</w:t>
      </w:r>
      <w:r w:rsidRPr="006B42D6">
        <w:tab/>
      </w:r>
      <w:r w:rsidRPr="006B42D6">
        <w:tab/>
        <w:t>Gross Domestic Product</w:t>
      </w:r>
    </w:p>
    <w:p w14:paraId="19143106" w14:textId="70F5040C" w:rsidR="008E1E27" w:rsidRDefault="00EF1C97" w:rsidP="003F4EAA">
      <w:pPr>
        <w:spacing w:after="160"/>
      </w:pPr>
      <w:r w:rsidRPr="006B42D6">
        <w:t>NBS</w:t>
      </w:r>
      <w:r w:rsidRPr="006B42D6">
        <w:tab/>
      </w:r>
      <w:r w:rsidRPr="006B42D6">
        <w:tab/>
        <w:t>National Bureau of Statistics</w:t>
      </w:r>
    </w:p>
    <w:p w14:paraId="234A9B04" w14:textId="02A945F6" w:rsidR="008E1E27" w:rsidRPr="008E1E27" w:rsidRDefault="008E1E27" w:rsidP="003F4EAA">
      <w:pPr>
        <w:spacing w:after="160"/>
      </w:pPr>
      <w:r w:rsidRPr="00C13726">
        <w:t>NCD</w:t>
      </w:r>
      <w:r w:rsidRPr="00C13726">
        <w:tab/>
      </w:r>
      <w:r>
        <w:tab/>
      </w:r>
      <w:r w:rsidRPr="008E1E27">
        <w:t>Newcastle Disease</w:t>
      </w:r>
    </w:p>
    <w:p w14:paraId="4BD794B4" w14:textId="32ED9CC0" w:rsidR="008E1E27" w:rsidRDefault="008E1E27" w:rsidP="003F4EAA">
      <w:pPr>
        <w:spacing w:after="160"/>
      </w:pPr>
      <w:r w:rsidRPr="00C13726">
        <w:t>NGOs</w:t>
      </w:r>
      <w:r>
        <w:tab/>
      </w:r>
      <w:r>
        <w:tab/>
      </w:r>
      <w:r w:rsidRPr="00C13726">
        <w:t>Non-Governmental Organizations</w:t>
      </w:r>
    </w:p>
    <w:p w14:paraId="0FAE4547" w14:textId="60A335EF" w:rsidR="00EF1C97" w:rsidRPr="008E1E27" w:rsidRDefault="00EF1C97" w:rsidP="003F4EAA">
      <w:pPr>
        <w:spacing w:after="160"/>
      </w:pPr>
      <w:r w:rsidRPr="006B42D6">
        <w:t>NSCA</w:t>
      </w:r>
      <w:r w:rsidRPr="006B42D6">
        <w:tab/>
      </w:r>
      <w:r w:rsidRPr="006B42D6">
        <w:tab/>
        <w:t>National Sample Census of Agriculture</w:t>
      </w:r>
    </w:p>
    <w:p w14:paraId="2BA47695" w14:textId="70590DE7" w:rsidR="00EF1C97" w:rsidRPr="008E1E27" w:rsidRDefault="00EF1C97" w:rsidP="003F4EAA">
      <w:pPr>
        <w:spacing w:after="160"/>
      </w:pPr>
      <w:r w:rsidRPr="006B42D6">
        <w:t>OCGS</w:t>
      </w:r>
      <w:r w:rsidRPr="006B42D6">
        <w:tab/>
      </w:r>
      <w:r w:rsidRPr="006B42D6">
        <w:tab/>
        <w:t>Office of the Chief Government Statistician</w:t>
      </w:r>
    </w:p>
    <w:p w14:paraId="5F65F809" w14:textId="23774F54" w:rsidR="00EF1C97" w:rsidRPr="006B42D6" w:rsidRDefault="00EF1C97" w:rsidP="003F4EAA">
      <w:pPr>
        <w:spacing w:after="160"/>
      </w:pPr>
      <w:r w:rsidRPr="006B42D6">
        <w:t>PSU</w:t>
      </w:r>
      <w:r w:rsidRPr="006B42D6">
        <w:tab/>
      </w:r>
      <w:r w:rsidRPr="006B42D6">
        <w:tab/>
        <w:t>Primary Sampling Unit</w:t>
      </w:r>
    </w:p>
    <w:p w14:paraId="65E95D2A" w14:textId="332B1F76" w:rsidR="00EF1C97" w:rsidRPr="006B42D6" w:rsidRDefault="00EF1C97" w:rsidP="003F4EAA">
      <w:pPr>
        <w:spacing w:after="160"/>
      </w:pPr>
      <w:r w:rsidRPr="006B42D6">
        <w:t>SDGs</w:t>
      </w:r>
      <w:r w:rsidRPr="006B42D6">
        <w:tab/>
      </w:r>
      <w:r w:rsidRPr="006B42D6">
        <w:tab/>
        <w:t>Sustainable Development Goals</w:t>
      </w:r>
    </w:p>
    <w:p w14:paraId="7CA1E181" w14:textId="1862B275" w:rsidR="00EF1C97" w:rsidRPr="006B42D6" w:rsidRDefault="00EF1C97" w:rsidP="003F4EAA">
      <w:pPr>
        <w:spacing w:after="160"/>
      </w:pPr>
      <w:r w:rsidRPr="006B42D6">
        <w:t>USAID</w:t>
      </w:r>
      <w:r w:rsidRPr="006B42D6">
        <w:tab/>
        <w:t>United States Agency for International Development</w:t>
      </w:r>
    </w:p>
    <w:p w14:paraId="69551403" w14:textId="1D64FC03" w:rsidR="00EF1C97" w:rsidRPr="008E1E27" w:rsidRDefault="00EF1C97" w:rsidP="003F4EAA">
      <w:pPr>
        <w:spacing w:after="160"/>
      </w:pPr>
      <w:r w:rsidRPr="006B42D6">
        <w:t>USDA</w:t>
      </w:r>
      <w:r w:rsidRPr="006B42D6">
        <w:tab/>
      </w:r>
      <w:r w:rsidRPr="006B42D6">
        <w:tab/>
        <w:t>United States Department of Agriculture</w:t>
      </w:r>
    </w:p>
    <w:p w14:paraId="7FEDA48E" w14:textId="4624B9D5" w:rsidR="00EF1C97" w:rsidRPr="006B42D6" w:rsidRDefault="00EF1C97" w:rsidP="003F4EAA">
      <w:pPr>
        <w:spacing w:after="160"/>
      </w:pPr>
      <w:r w:rsidRPr="006B42D6">
        <w:t>ToE</w:t>
      </w:r>
      <w:r w:rsidRPr="006B42D6">
        <w:tab/>
      </w:r>
      <w:r w:rsidRPr="006B42D6">
        <w:tab/>
        <w:t>Training of Enumerators</w:t>
      </w:r>
    </w:p>
    <w:p w14:paraId="5ACEEA40" w14:textId="09FA09CE" w:rsidR="00EF1C97" w:rsidRDefault="00EF1C97" w:rsidP="003F4EAA">
      <w:pPr>
        <w:spacing w:after="160"/>
      </w:pPr>
      <w:r w:rsidRPr="006B42D6">
        <w:t>ToT</w:t>
      </w:r>
      <w:r w:rsidRPr="006B42D6">
        <w:tab/>
      </w:r>
      <w:r w:rsidRPr="006B42D6">
        <w:tab/>
        <w:t>Training of Trainers</w:t>
      </w:r>
    </w:p>
    <w:p w14:paraId="2011725F" w14:textId="5856ED1D" w:rsidR="008E1E27" w:rsidRDefault="008E1E27" w:rsidP="003F4EAA">
      <w:pPr>
        <w:spacing w:after="160"/>
      </w:pPr>
      <w:r w:rsidRPr="00C13726">
        <w:t>TVLA</w:t>
      </w:r>
      <w:r w:rsidRPr="00C13726">
        <w:tab/>
      </w:r>
      <w:r>
        <w:tab/>
      </w:r>
      <w:r w:rsidRPr="008E1E27">
        <w:t>Tanzania Vetenary Labaratory Agency</w:t>
      </w:r>
    </w:p>
    <w:p w14:paraId="4B5719D1" w14:textId="19D3641A" w:rsidR="008E1E27" w:rsidRPr="006B42D6" w:rsidRDefault="008E1E27" w:rsidP="003F4EAA">
      <w:pPr>
        <w:spacing w:after="160"/>
      </w:pPr>
      <w:r w:rsidRPr="00C13726">
        <w:t>TZS</w:t>
      </w:r>
      <w:r w:rsidRPr="00C13726">
        <w:tab/>
      </w:r>
      <w:r>
        <w:tab/>
      </w:r>
      <w:r w:rsidRPr="00C13726">
        <w:t>Tanzanian Shillings</w:t>
      </w:r>
    </w:p>
    <w:p w14:paraId="2969BCC7" w14:textId="5DB408DE" w:rsidR="00AB6D95" w:rsidRPr="006B42D6" w:rsidRDefault="00AB6D95" w:rsidP="003F4EAA">
      <w:pPr>
        <w:spacing w:after="160"/>
      </w:pPr>
      <w:r w:rsidRPr="006B42D6">
        <w:t>USAID</w:t>
      </w:r>
      <w:r w:rsidRPr="006B42D6">
        <w:tab/>
        <w:t>United States Agency for International Development</w:t>
      </w:r>
    </w:p>
    <w:p w14:paraId="6025478B" w14:textId="5EC51B2B" w:rsidR="00EF1C97" w:rsidRPr="008E1E27" w:rsidRDefault="00AB6D95" w:rsidP="003F4EAA">
      <w:pPr>
        <w:spacing w:after="160"/>
      </w:pPr>
      <w:r w:rsidRPr="006B42D6">
        <w:t>USDA</w:t>
      </w:r>
      <w:r w:rsidRPr="006B42D6">
        <w:tab/>
      </w:r>
      <w:r w:rsidRPr="006B42D6">
        <w:tab/>
        <w:t>United States Department of Agriculture</w:t>
      </w:r>
    </w:p>
    <w:p w14:paraId="330E1780" w14:textId="70BB2D0D" w:rsidR="00A36B36" w:rsidRPr="006B42D6" w:rsidRDefault="00CD3DAA" w:rsidP="005C2EFC">
      <w:pPr>
        <w:rPr>
          <w:b/>
        </w:rPr>
      </w:pPr>
      <w:r w:rsidRPr="006B42D6">
        <w:rPr>
          <w:b/>
        </w:rPr>
        <w:br w:type="page"/>
      </w:r>
    </w:p>
    <w:p w14:paraId="677AF1DE" w14:textId="5A7EF3AA" w:rsidR="00715E4F" w:rsidRPr="0071342E" w:rsidRDefault="0093114E" w:rsidP="003F4EAA">
      <w:pPr>
        <w:pStyle w:val="Heading5"/>
      </w:pPr>
      <w:bookmarkStart w:id="8" w:name="_Toc82385613"/>
      <w:r w:rsidRPr="006B42D6">
        <w:lastRenderedPageBreak/>
        <w:t>DEFINITION OF KEY TERMS</w:t>
      </w:r>
      <w:bookmarkEnd w:id="8"/>
    </w:p>
    <w:p w14:paraId="19769582" w14:textId="74291797" w:rsidR="00715E4F" w:rsidRPr="006B42D6" w:rsidRDefault="00715E4F" w:rsidP="00EB6076">
      <w:pPr>
        <w:rPr>
          <w:b/>
        </w:rPr>
      </w:pPr>
      <w:r w:rsidRPr="006B42D6">
        <w:rPr>
          <w:b/>
        </w:rPr>
        <w:t>Reference</w:t>
      </w:r>
      <w:r w:rsidRPr="006B42D6">
        <w:rPr>
          <w:b/>
          <w:spacing w:val="30"/>
        </w:rPr>
        <w:t xml:space="preserve"> </w:t>
      </w:r>
      <w:r w:rsidRPr="006B42D6">
        <w:rPr>
          <w:b/>
        </w:rPr>
        <w:t>Period</w:t>
      </w:r>
    </w:p>
    <w:p w14:paraId="6E7DC7A4" w14:textId="3E889087" w:rsidR="008F056E" w:rsidRDefault="00715E4F" w:rsidP="008F056E">
      <w:r w:rsidRPr="006B42D6">
        <w:t>The Agriculture Sample Census covered the</w:t>
      </w:r>
      <w:r w:rsidRPr="006B42D6">
        <w:rPr>
          <w:spacing w:val="1"/>
        </w:rPr>
        <w:t xml:space="preserve"> </w:t>
      </w:r>
      <w:r w:rsidR="003F4EAA">
        <w:t>a</w:t>
      </w:r>
      <w:r w:rsidRPr="006B42D6">
        <w:t xml:space="preserve">gricultural </w:t>
      </w:r>
      <w:r w:rsidR="003F4EAA">
        <w:t>y</w:t>
      </w:r>
      <w:r w:rsidRPr="006B42D6">
        <w:t xml:space="preserve">ear 2019/20. </w:t>
      </w:r>
      <w:r w:rsidR="003F4EAA">
        <w:t>The a</w:t>
      </w:r>
      <w:r w:rsidRPr="006B42D6">
        <w:t>gricultural</w:t>
      </w:r>
      <w:r w:rsidRPr="006B42D6">
        <w:rPr>
          <w:spacing w:val="1"/>
        </w:rPr>
        <w:t xml:space="preserve"> </w:t>
      </w:r>
      <w:r w:rsidR="003F4EAA">
        <w:t>y</w:t>
      </w:r>
      <w:r w:rsidRPr="006B42D6">
        <w:t>ear</w:t>
      </w:r>
      <w:r w:rsidRPr="006B42D6">
        <w:rPr>
          <w:spacing w:val="55"/>
        </w:rPr>
        <w:t xml:space="preserve"> </w:t>
      </w:r>
      <w:r w:rsidRPr="006B42D6">
        <w:t>is a</w:t>
      </w:r>
      <w:r w:rsidRPr="006B42D6">
        <w:rPr>
          <w:spacing w:val="1"/>
        </w:rPr>
        <w:t xml:space="preserve"> </w:t>
      </w:r>
      <w:r w:rsidR="003F4EAA" w:rsidRPr="006B42D6">
        <w:t>twelve</w:t>
      </w:r>
      <w:r w:rsidR="003F4EAA">
        <w:t xml:space="preserve"> </w:t>
      </w:r>
      <w:r w:rsidR="003F4EAA" w:rsidRPr="006B42D6">
        <w:t>-</w:t>
      </w:r>
      <w:r w:rsidR="003F4EAA">
        <w:t xml:space="preserve"> </w:t>
      </w:r>
      <w:r w:rsidR="003F4EAA" w:rsidRPr="006B42D6">
        <w:t>month</w:t>
      </w:r>
      <w:r w:rsidRPr="006B42D6">
        <w:rPr>
          <w:spacing w:val="1"/>
        </w:rPr>
        <w:t xml:space="preserve"> </w:t>
      </w:r>
      <w:r w:rsidRPr="006B42D6">
        <w:t>cycle</w:t>
      </w:r>
      <w:r w:rsidRPr="006B42D6">
        <w:rPr>
          <w:spacing w:val="1"/>
        </w:rPr>
        <w:t xml:space="preserve"> </w:t>
      </w:r>
      <w:r w:rsidRPr="006B42D6">
        <w:t>in</w:t>
      </w:r>
      <w:r w:rsidRPr="006B42D6">
        <w:rPr>
          <w:spacing w:val="1"/>
        </w:rPr>
        <w:t xml:space="preserve"> </w:t>
      </w:r>
      <w:r w:rsidRPr="006B42D6">
        <w:t>which</w:t>
      </w:r>
      <w:r w:rsidRPr="006B42D6">
        <w:rPr>
          <w:spacing w:val="1"/>
        </w:rPr>
        <w:t xml:space="preserve"> </w:t>
      </w:r>
      <w:r w:rsidRPr="006B42D6">
        <w:t>production</w:t>
      </w:r>
      <w:r w:rsidRPr="006B42D6">
        <w:rPr>
          <w:spacing w:val="1"/>
        </w:rPr>
        <w:t xml:space="preserve"> </w:t>
      </w:r>
      <w:r w:rsidRPr="006B42D6">
        <w:t>of</w:t>
      </w:r>
      <w:r w:rsidRPr="006B42D6">
        <w:rPr>
          <w:spacing w:val="1"/>
        </w:rPr>
        <w:t xml:space="preserve"> </w:t>
      </w:r>
      <w:r w:rsidRPr="006B42D6">
        <w:t>crops</w:t>
      </w:r>
      <w:r w:rsidRPr="006B42D6">
        <w:rPr>
          <w:spacing w:val="1"/>
        </w:rPr>
        <w:t xml:space="preserve"> </w:t>
      </w:r>
      <w:r w:rsidRPr="006B42D6">
        <w:t>takes</w:t>
      </w:r>
      <w:r w:rsidRPr="006B42D6">
        <w:rPr>
          <w:spacing w:val="1"/>
        </w:rPr>
        <w:t xml:space="preserve"> </w:t>
      </w:r>
      <w:r w:rsidRPr="006B42D6">
        <w:t>place.</w:t>
      </w:r>
      <w:r w:rsidRPr="006B42D6">
        <w:rPr>
          <w:spacing w:val="1"/>
        </w:rPr>
        <w:t xml:space="preserve"> </w:t>
      </w:r>
      <w:r w:rsidRPr="006B42D6">
        <w:t>In</w:t>
      </w:r>
      <w:r w:rsidRPr="006B42D6">
        <w:rPr>
          <w:spacing w:val="1"/>
        </w:rPr>
        <w:t xml:space="preserve"> </w:t>
      </w:r>
      <w:r w:rsidRPr="006B42D6">
        <w:t>Tanzania,</w:t>
      </w:r>
      <w:r w:rsidRPr="006B42D6">
        <w:rPr>
          <w:spacing w:val="1"/>
        </w:rPr>
        <w:t xml:space="preserve"> </w:t>
      </w:r>
      <w:r w:rsidR="003F4EAA">
        <w:t>a</w:t>
      </w:r>
      <w:r w:rsidRPr="006B42D6">
        <w:t>gricultural</w:t>
      </w:r>
      <w:r w:rsidRPr="006B42D6">
        <w:rPr>
          <w:spacing w:val="1"/>
        </w:rPr>
        <w:t xml:space="preserve"> </w:t>
      </w:r>
      <w:r w:rsidR="003F4EAA">
        <w:t>y</w:t>
      </w:r>
      <w:r w:rsidRPr="006B42D6">
        <w:t>ear</w:t>
      </w:r>
      <w:r w:rsidRPr="006B42D6">
        <w:rPr>
          <w:spacing w:val="1"/>
        </w:rPr>
        <w:t xml:space="preserve"> </w:t>
      </w:r>
      <w:r w:rsidRPr="006B42D6">
        <w:t>commences</w:t>
      </w:r>
      <w:r w:rsidRPr="006B42D6">
        <w:rPr>
          <w:spacing w:val="4"/>
        </w:rPr>
        <w:t xml:space="preserve"> </w:t>
      </w:r>
      <w:r w:rsidRPr="006B42D6">
        <w:t>on</w:t>
      </w:r>
      <w:r w:rsidRPr="006B42D6">
        <w:rPr>
          <w:spacing w:val="5"/>
        </w:rPr>
        <w:t xml:space="preserve"> </w:t>
      </w:r>
      <w:r w:rsidRPr="006B42D6">
        <w:rPr>
          <w:b/>
        </w:rPr>
        <w:t>1</w:t>
      </w:r>
      <w:r w:rsidRPr="006B42D6">
        <w:rPr>
          <w:b/>
          <w:vertAlign w:val="superscript"/>
        </w:rPr>
        <w:t>st</w:t>
      </w:r>
      <w:r w:rsidRPr="006B42D6">
        <w:rPr>
          <w:b/>
          <w:spacing w:val="5"/>
        </w:rPr>
        <w:t xml:space="preserve"> </w:t>
      </w:r>
      <w:r w:rsidRPr="006B42D6">
        <w:rPr>
          <w:b/>
        </w:rPr>
        <w:t>October</w:t>
      </w:r>
      <w:r w:rsidRPr="006B42D6">
        <w:rPr>
          <w:spacing w:val="5"/>
        </w:rPr>
        <w:t xml:space="preserve"> </w:t>
      </w:r>
      <w:r w:rsidRPr="006B42D6">
        <w:t>and</w:t>
      </w:r>
      <w:r w:rsidRPr="006B42D6">
        <w:rPr>
          <w:spacing w:val="4"/>
        </w:rPr>
        <w:t xml:space="preserve"> </w:t>
      </w:r>
      <w:r w:rsidRPr="006B42D6">
        <w:t>ends</w:t>
      </w:r>
      <w:r w:rsidRPr="006B42D6">
        <w:rPr>
          <w:spacing w:val="5"/>
        </w:rPr>
        <w:t xml:space="preserve"> </w:t>
      </w:r>
      <w:r w:rsidRPr="006B42D6">
        <w:rPr>
          <w:b/>
        </w:rPr>
        <w:t>30</w:t>
      </w:r>
      <w:r w:rsidRPr="006B42D6">
        <w:rPr>
          <w:b/>
          <w:vertAlign w:val="superscript"/>
        </w:rPr>
        <w:t>th</w:t>
      </w:r>
      <w:r w:rsidRPr="006B42D6">
        <w:rPr>
          <w:b/>
        </w:rPr>
        <w:t xml:space="preserve"> September</w:t>
      </w:r>
      <w:r w:rsidRPr="006B42D6">
        <w:rPr>
          <w:spacing w:val="5"/>
        </w:rPr>
        <w:t xml:space="preserve"> </w:t>
      </w:r>
      <w:r w:rsidRPr="006B42D6">
        <w:t>of</w:t>
      </w:r>
      <w:r w:rsidRPr="006B42D6">
        <w:rPr>
          <w:spacing w:val="4"/>
        </w:rPr>
        <w:t xml:space="preserve"> </w:t>
      </w:r>
      <w:r w:rsidRPr="006B42D6">
        <w:t>the</w:t>
      </w:r>
      <w:r w:rsidRPr="006B42D6">
        <w:rPr>
          <w:spacing w:val="5"/>
        </w:rPr>
        <w:t xml:space="preserve"> </w:t>
      </w:r>
      <w:r w:rsidRPr="006B42D6">
        <w:t>following</w:t>
      </w:r>
      <w:r w:rsidRPr="006B42D6">
        <w:rPr>
          <w:spacing w:val="5"/>
        </w:rPr>
        <w:t xml:space="preserve"> </w:t>
      </w:r>
      <w:r w:rsidRPr="006B42D6">
        <w:t>year.</w:t>
      </w:r>
    </w:p>
    <w:p w14:paraId="22076821" w14:textId="77777777" w:rsidR="008F056E" w:rsidRPr="00C36413" w:rsidRDefault="008F056E" w:rsidP="003D4FF9">
      <w:pPr>
        <w:spacing w:line="240" w:lineRule="auto"/>
        <w:rPr>
          <w:sz w:val="20"/>
          <w:szCs w:val="20"/>
        </w:rPr>
      </w:pPr>
    </w:p>
    <w:p w14:paraId="4295C0A5" w14:textId="77777777" w:rsidR="00AD0FE1" w:rsidRDefault="00AD0FE1" w:rsidP="008F056E">
      <w:pPr>
        <w:rPr>
          <w:b/>
        </w:rPr>
      </w:pPr>
      <w:r>
        <w:rPr>
          <w:b/>
        </w:rPr>
        <w:t>H</w:t>
      </w:r>
      <w:r w:rsidR="00715E4F" w:rsidRPr="006B42D6">
        <w:rPr>
          <w:b/>
        </w:rPr>
        <w:t xml:space="preserve">ousehold </w:t>
      </w:r>
    </w:p>
    <w:p w14:paraId="3574C123" w14:textId="47F95098" w:rsidR="008F056E" w:rsidRDefault="00715E4F" w:rsidP="008F056E">
      <w:r w:rsidRPr="006B42D6">
        <w:t>Is defined as</w:t>
      </w:r>
      <w:r w:rsidRPr="006B42D6">
        <w:rPr>
          <w:spacing w:val="1"/>
        </w:rPr>
        <w:t xml:space="preserve"> </w:t>
      </w:r>
      <w:r w:rsidRPr="006B42D6">
        <w:t>person or a group of persons with a common arrangement for providing</w:t>
      </w:r>
      <w:r w:rsidRPr="006B42D6">
        <w:rPr>
          <w:spacing w:val="1"/>
        </w:rPr>
        <w:t xml:space="preserve"> </w:t>
      </w:r>
      <w:r w:rsidRPr="006B42D6">
        <w:t>themselves</w:t>
      </w:r>
      <w:r w:rsidRPr="006B42D6">
        <w:rPr>
          <w:spacing w:val="1"/>
        </w:rPr>
        <w:t xml:space="preserve"> </w:t>
      </w:r>
      <w:r w:rsidRPr="006B42D6">
        <w:t>with</w:t>
      </w:r>
      <w:r w:rsidRPr="006B42D6">
        <w:rPr>
          <w:spacing w:val="1"/>
        </w:rPr>
        <w:t xml:space="preserve"> </w:t>
      </w:r>
      <w:r w:rsidRPr="006B42D6">
        <w:t>food regardless</w:t>
      </w:r>
      <w:r w:rsidRPr="006B42D6">
        <w:rPr>
          <w:spacing w:val="1"/>
        </w:rPr>
        <w:t xml:space="preserve"> </w:t>
      </w:r>
      <w:r w:rsidRPr="006B42D6">
        <w:t>of</w:t>
      </w:r>
      <w:r w:rsidRPr="006B42D6">
        <w:rPr>
          <w:spacing w:val="1"/>
        </w:rPr>
        <w:t xml:space="preserve"> </w:t>
      </w:r>
      <w:r w:rsidRPr="006B42D6">
        <w:t>source</w:t>
      </w:r>
      <w:r w:rsidRPr="006B42D6">
        <w:rPr>
          <w:spacing w:val="1"/>
        </w:rPr>
        <w:t xml:space="preserve"> </w:t>
      </w:r>
      <w:r w:rsidRPr="006B42D6">
        <w:t>of</w:t>
      </w:r>
      <w:r w:rsidRPr="006B42D6">
        <w:rPr>
          <w:spacing w:val="1"/>
        </w:rPr>
        <w:t xml:space="preserve"> </w:t>
      </w:r>
      <w:r w:rsidRPr="006B42D6">
        <w:t>income.</w:t>
      </w:r>
      <w:r w:rsidRPr="006B42D6">
        <w:rPr>
          <w:spacing w:val="1"/>
        </w:rPr>
        <w:t xml:space="preserve"> </w:t>
      </w:r>
      <w:r w:rsidRPr="006B42D6">
        <w:t>A</w:t>
      </w:r>
      <w:r w:rsidRPr="006B42D6">
        <w:rPr>
          <w:spacing w:val="1"/>
        </w:rPr>
        <w:t xml:space="preserve"> </w:t>
      </w:r>
      <w:r w:rsidRPr="006B42D6">
        <w:t>household</w:t>
      </w:r>
      <w:r w:rsidRPr="006B42D6">
        <w:rPr>
          <w:spacing w:val="1"/>
        </w:rPr>
        <w:t xml:space="preserve"> </w:t>
      </w:r>
      <w:r w:rsidRPr="006B42D6">
        <w:t>may</w:t>
      </w:r>
      <w:r w:rsidRPr="006B42D6">
        <w:rPr>
          <w:spacing w:val="1"/>
        </w:rPr>
        <w:t xml:space="preserve"> </w:t>
      </w:r>
      <w:r w:rsidRPr="006B42D6">
        <w:t>be</w:t>
      </w:r>
      <w:r w:rsidRPr="006B42D6">
        <w:rPr>
          <w:spacing w:val="1"/>
        </w:rPr>
        <w:t xml:space="preserve"> </w:t>
      </w:r>
      <w:r w:rsidRPr="006B42D6">
        <w:t>either</w:t>
      </w:r>
      <w:r w:rsidRPr="006B42D6">
        <w:rPr>
          <w:spacing w:val="56"/>
        </w:rPr>
        <w:t xml:space="preserve"> </w:t>
      </w:r>
      <w:r w:rsidRPr="006B42D6">
        <w:t>a</w:t>
      </w:r>
      <w:r w:rsidRPr="006B42D6">
        <w:rPr>
          <w:spacing w:val="55"/>
        </w:rPr>
        <w:t xml:space="preserve"> </w:t>
      </w:r>
      <w:r w:rsidRPr="006B42D6">
        <w:t>one-person</w:t>
      </w:r>
      <w:r w:rsidRPr="006B42D6">
        <w:rPr>
          <w:spacing w:val="1"/>
        </w:rPr>
        <w:t xml:space="preserve"> </w:t>
      </w:r>
      <w:r w:rsidRPr="006B42D6">
        <w:t>household</w:t>
      </w:r>
      <w:r w:rsidRPr="006B42D6">
        <w:rPr>
          <w:spacing w:val="8"/>
        </w:rPr>
        <w:t xml:space="preserve"> </w:t>
      </w:r>
      <w:r w:rsidRPr="006B42D6">
        <w:t>or</w:t>
      </w:r>
      <w:r w:rsidRPr="006B42D6">
        <w:rPr>
          <w:spacing w:val="8"/>
        </w:rPr>
        <w:t xml:space="preserve"> </w:t>
      </w:r>
      <w:r w:rsidRPr="006B42D6">
        <w:t>a</w:t>
      </w:r>
      <w:r w:rsidRPr="006B42D6">
        <w:rPr>
          <w:spacing w:val="8"/>
        </w:rPr>
        <w:t xml:space="preserve"> </w:t>
      </w:r>
      <w:r w:rsidRPr="006B42D6">
        <w:t>multi-person</w:t>
      </w:r>
      <w:r w:rsidRPr="006B42D6">
        <w:rPr>
          <w:spacing w:val="18"/>
        </w:rPr>
        <w:t xml:space="preserve"> </w:t>
      </w:r>
      <w:r w:rsidRPr="006B42D6">
        <w:t>household.</w:t>
      </w:r>
    </w:p>
    <w:p w14:paraId="49DAC0DA" w14:textId="77777777" w:rsidR="008F056E" w:rsidRPr="00C36413" w:rsidRDefault="008F056E" w:rsidP="003D4FF9">
      <w:pPr>
        <w:spacing w:line="240" w:lineRule="auto"/>
        <w:rPr>
          <w:sz w:val="20"/>
          <w:szCs w:val="20"/>
        </w:rPr>
      </w:pPr>
    </w:p>
    <w:p w14:paraId="1F7BADE9" w14:textId="69DC2BAB" w:rsidR="00AD0FE1" w:rsidRDefault="00715E4F" w:rsidP="008F056E">
      <w:pPr>
        <w:rPr>
          <w:b/>
        </w:rPr>
      </w:pPr>
      <w:r w:rsidRPr="006B42D6">
        <w:rPr>
          <w:b/>
        </w:rPr>
        <w:t xml:space="preserve">Agricultural </w:t>
      </w:r>
      <w:r w:rsidR="00AD0FE1">
        <w:rPr>
          <w:b/>
        </w:rPr>
        <w:t>H</w:t>
      </w:r>
      <w:r w:rsidRPr="006B42D6">
        <w:rPr>
          <w:b/>
        </w:rPr>
        <w:t xml:space="preserve">olding </w:t>
      </w:r>
    </w:p>
    <w:p w14:paraId="67C36C2F" w14:textId="3DF4A2D7" w:rsidR="00715E4F" w:rsidRPr="006B42D6" w:rsidRDefault="00715E4F" w:rsidP="008F056E">
      <w:r w:rsidRPr="006B42D6">
        <w:t>Is any economic unit of agricultural production (like a garden of temporary</w:t>
      </w:r>
      <w:r w:rsidRPr="006B42D6">
        <w:rPr>
          <w:spacing w:val="1"/>
        </w:rPr>
        <w:t xml:space="preserve"> </w:t>
      </w:r>
      <w:r w:rsidRPr="006B42D6">
        <w:t>and/or permanent crops or cattle rearing/plantation) under single management, without regard to title,</w:t>
      </w:r>
      <w:r w:rsidRPr="006B42D6">
        <w:rPr>
          <w:spacing w:val="1"/>
        </w:rPr>
        <w:t xml:space="preserve"> </w:t>
      </w:r>
      <w:r w:rsidRPr="006B42D6">
        <w:t>legal form or size. Management may be exercised by an individual member of the household or by the</w:t>
      </w:r>
      <w:r w:rsidRPr="006B42D6">
        <w:rPr>
          <w:spacing w:val="1"/>
        </w:rPr>
        <w:t xml:space="preserve"> </w:t>
      </w:r>
      <w:r w:rsidRPr="006B42D6">
        <w:t>entire household. For the purpose of 2019/20 Agriculture Sample Census, agriculture holdings</w:t>
      </w:r>
      <w:r w:rsidRPr="006B42D6">
        <w:rPr>
          <w:spacing w:val="1"/>
        </w:rPr>
        <w:t xml:space="preserve"> </w:t>
      </w:r>
      <w:r w:rsidRPr="006B42D6">
        <w:t>were</w:t>
      </w:r>
      <w:r w:rsidRPr="006B42D6">
        <w:rPr>
          <w:spacing w:val="1"/>
        </w:rPr>
        <w:t xml:space="preserve"> </w:t>
      </w:r>
      <w:r w:rsidRPr="006B42D6">
        <w:t>restricted</w:t>
      </w:r>
      <w:r w:rsidRPr="006B42D6">
        <w:rPr>
          <w:spacing w:val="4"/>
        </w:rPr>
        <w:t xml:space="preserve"> </w:t>
      </w:r>
      <w:r w:rsidRPr="006B42D6">
        <w:t>to</w:t>
      </w:r>
      <w:r w:rsidRPr="006B42D6">
        <w:rPr>
          <w:spacing w:val="5"/>
        </w:rPr>
        <w:t xml:space="preserve"> </w:t>
      </w:r>
      <w:r w:rsidRPr="006B42D6">
        <w:t>those</w:t>
      </w:r>
      <w:r w:rsidRPr="006B42D6">
        <w:rPr>
          <w:spacing w:val="5"/>
        </w:rPr>
        <w:t xml:space="preserve"> </w:t>
      </w:r>
      <w:r w:rsidRPr="006B42D6">
        <w:t>that</w:t>
      </w:r>
      <w:r w:rsidRPr="006B42D6">
        <w:rPr>
          <w:spacing w:val="5"/>
        </w:rPr>
        <w:t xml:space="preserve"> </w:t>
      </w:r>
      <w:r w:rsidRPr="006B42D6">
        <w:t>met</w:t>
      </w:r>
      <w:r w:rsidRPr="006B42D6">
        <w:rPr>
          <w:spacing w:val="5"/>
        </w:rPr>
        <w:t xml:space="preserve"> </w:t>
      </w:r>
      <w:r w:rsidRPr="006B42D6">
        <w:t>one</w:t>
      </w:r>
      <w:r w:rsidRPr="006B42D6">
        <w:rPr>
          <w:spacing w:val="5"/>
        </w:rPr>
        <w:t xml:space="preserve"> </w:t>
      </w:r>
      <w:r w:rsidRPr="006B42D6">
        <w:t>or</w:t>
      </w:r>
      <w:r w:rsidRPr="006B42D6">
        <w:rPr>
          <w:spacing w:val="4"/>
        </w:rPr>
        <w:t xml:space="preserve"> </w:t>
      </w:r>
      <w:r w:rsidRPr="006B42D6">
        <w:t>more</w:t>
      </w:r>
      <w:r w:rsidRPr="006B42D6">
        <w:rPr>
          <w:spacing w:val="5"/>
        </w:rPr>
        <w:t xml:space="preserve"> </w:t>
      </w:r>
      <w:r w:rsidRPr="006B42D6">
        <w:t>of</w:t>
      </w:r>
      <w:r w:rsidRPr="006B42D6">
        <w:rPr>
          <w:spacing w:val="5"/>
        </w:rPr>
        <w:t xml:space="preserve"> </w:t>
      </w:r>
      <w:r w:rsidRPr="006B42D6">
        <w:t>the</w:t>
      </w:r>
      <w:r w:rsidRPr="006B42D6">
        <w:rPr>
          <w:spacing w:val="5"/>
        </w:rPr>
        <w:t xml:space="preserve"> </w:t>
      </w:r>
      <w:r w:rsidRPr="006B42D6">
        <w:t>following</w:t>
      </w:r>
      <w:r w:rsidRPr="006B42D6">
        <w:rPr>
          <w:spacing w:val="5"/>
        </w:rPr>
        <w:t xml:space="preserve"> </w:t>
      </w:r>
      <w:r w:rsidRPr="006B42D6">
        <w:t>conditions</w:t>
      </w:r>
      <w:r w:rsidR="00AD0FE1">
        <w:t>:</w:t>
      </w:r>
    </w:p>
    <w:p w14:paraId="4F1A35E4" w14:textId="2ACA7397" w:rsidR="00715E4F" w:rsidRPr="006B42D6" w:rsidRDefault="00715E4F" w:rsidP="00755F1B">
      <w:pPr>
        <w:pStyle w:val="ListParagraph"/>
        <w:numPr>
          <w:ilvl w:val="0"/>
          <w:numId w:val="35"/>
        </w:numPr>
        <w:spacing w:line="360" w:lineRule="auto"/>
      </w:pPr>
      <w:r w:rsidRPr="006B42D6">
        <w:t xml:space="preserve">Having or operating at least 25 square meters of arable land </w:t>
      </w:r>
    </w:p>
    <w:p w14:paraId="418341CF" w14:textId="18191A4E" w:rsidR="008F056E" w:rsidRDefault="00715E4F" w:rsidP="00755F1B">
      <w:pPr>
        <w:pStyle w:val="ListParagraph"/>
        <w:numPr>
          <w:ilvl w:val="0"/>
          <w:numId w:val="35"/>
        </w:numPr>
        <w:spacing w:line="360" w:lineRule="auto"/>
      </w:pPr>
      <w:r w:rsidRPr="006B42D6">
        <w:t xml:space="preserve">Own or keep at least one head of cattle or five goats/sheep/pigs or fifty chicken/ducks/turkeys during the agriculture year 2019/20. </w:t>
      </w:r>
    </w:p>
    <w:p w14:paraId="53515B3C" w14:textId="77777777" w:rsidR="008F056E" w:rsidRPr="00C36413" w:rsidRDefault="008F056E" w:rsidP="0025488A">
      <w:pPr>
        <w:spacing w:line="240" w:lineRule="auto"/>
        <w:rPr>
          <w:sz w:val="20"/>
          <w:szCs w:val="20"/>
        </w:rPr>
      </w:pPr>
    </w:p>
    <w:p w14:paraId="4D59E429" w14:textId="76F0705F" w:rsidR="00AD0FE1" w:rsidRDefault="00AD0FE1" w:rsidP="008F056E">
      <w:r>
        <w:rPr>
          <w:b/>
        </w:rPr>
        <w:t>C</w:t>
      </w:r>
      <w:r w:rsidR="00715E4F" w:rsidRPr="006B42D6">
        <w:rPr>
          <w:b/>
        </w:rPr>
        <w:t xml:space="preserve">rop </w:t>
      </w:r>
      <w:r>
        <w:rPr>
          <w:b/>
        </w:rPr>
        <w:t>G</w:t>
      </w:r>
      <w:r w:rsidR="00715E4F" w:rsidRPr="006B42D6">
        <w:rPr>
          <w:b/>
        </w:rPr>
        <w:t>arden</w:t>
      </w:r>
      <w:r w:rsidR="00715E4F" w:rsidRPr="006B42D6">
        <w:t xml:space="preserve"> </w:t>
      </w:r>
    </w:p>
    <w:p w14:paraId="3B925E78" w14:textId="7441DC17" w:rsidR="00715E4F" w:rsidRPr="006B42D6" w:rsidRDefault="00AD0FE1" w:rsidP="008F056E">
      <w:r>
        <w:t>I</w:t>
      </w:r>
      <w:r w:rsidR="00715E4F" w:rsidRPr="006B42D6">
        <w:t xml:space="preserve">s a piece of land used wholly or partly for crop production purposes under one form of tenure. It may consist of one or more fields adjacent to each other. A crop garden may also be termed a parcel. It may comprise one agricultural holding or just part of an agricultural holding. Tenure refers to the arrangements or right under which the holder holds or uses land. </w:t>
      </w:r>
    </w:p>
    <w:p w14:paraId="793EF7FC" w14:textId="77777777" w:rsidR="00715E4F" w:rsidRPr="00C36413" w:rsidRDefault="00715E4F" w:rsidP="0025488A">
      <w:pPr>
        <w:spacing w:line="240" w:lineRule="auto"/>
        <w:rPr>
          <w:sz w:val="20"/>
          <w:szCs w:val="20"/>
        </w:rPr>
      </w:pPr>
    </w:p>
    <w:p w14:paraId="726445FC" w14:textId="77777777" w:rsidR="00AD0FE1" w:rsidRDefault="00715E4F" w:rsidP="00EB6076">
      <w:pPr>
        <w:rPr>
          <w:b/>
        </w:rPr>
      </w:pPr>
      <w:r w:rsidRPr="006B42D6">
        <w:rPr>
          <w:b/>
        </w:rPr>
        <w:t>Short Rainy Season</w:t>
      </w:r>
    </w:p>
    <w:p w14:paraId="7FBC68F1" w14:textId="0BDDD308" w:rsidR="00715E4F" w:rsidRDefault="00715E4F" w:rsidP="00EB6076">
      <w:r w:rsidRPr="006B42D6">
        <w:t xml:space="preserve">The short rainy </w:t>
      </w:r>
      <w:r w:rsidR="001B2390" w:rsidRPr="006B42D6">
        <w:t>s</w:t>
      </w:r>
      <w:r w:rsidRPr="006B42D6">
        <w:t>eason in Tanzania begins in October up to January of the following year.</w:t>
      </w:r>
    </w:p>
    <w:p w14:paraId="119A7B0B" w14:textId="77777777" w:rsidR="008F056E" w:rsidRPr="00C36413" w:rsidRDefault="008F056E" w:rsidP="0025488A">
      <w:pPr>
        <w:spacing w:line="240" w:lineRule="auto"/>
        <w:rPr>
          <w:sz w:val="20"/>
          <w:szCs w:val="20"/>
        </w:rPr>
      </w:pPr>
    </w:p>
    <w:p w14:paraId="7FFED423" w14:textId="77777777" w:rsidR="00AD0FE1" w:rsidRDefault="00715E4F" w:rsidP="00EB6076">
      <w:pPr>
        <w:rPr>
          <w:b/>
        </w:rPr>
      </w:pPr>
      <w:r w:rsidRPr="006B42D6">
        <w:rPr>
          <w:b/>
        </w:rPr>
        <w:t xml:space="preserve">Long Rainy Season </w:t>
      </w:r>
    </w:p>
    <w:p w14:paraId="359650C4" w14:textId="57F57E65" w:rsidR="008F056E" w:rsidRDefault="00715E4F" w:rsidP="00EB6076">
      <w:r w:rsidRPr="006B42D6">
        <w:t>The long rainy season in Tanzania begins in March up to May of the same year.</w:t>
      </w:r>
    </w:p>
    <w:p w14:paraId="4F42B4BB" w14:textId="77777777" w:rsidR="008F056E" w:rsidRPr="00C36413" w:rsidRDefault="008F056E" w:rsidP="0025488A">
      <w:pPr>
        <w:spacing w:line="240" w:lineRule="auto"/>
        <w:rPr>
          <w:sz w:val="20"/>
          <w:szCs w:val="20"/>
        </w:rPr>
      </w:pPr>
    </w:p>
    <w:p w14:paraId="7094E609" w14:textId="77777777" w:rsidR="00AD0FE1" w:rsidRDefault="001B2390" w:rsidP="001B2390">
      <w:pPr>
        <w:pStyle w:val="BodyText"/>
        <w:spacing w:before="8"/>
        <w:rPr>
          <w:sz w:val="24"/>
          <w:szCs w:val="24"/>
        </w:rPr>
      </w:pPr>
      <w:r w:rsidRPr="006B42D6">
        <w:rPr>
          <w:b/>
          <w:sz w:val="24"/>
          <w:szCs w:val="24"/>
        </w:rPr>
        <w:t>Temporary crops</w:t>
      </w:r>
      <w:r w:rsidRPr="006B42D6">
        <w:rPr>
          <w:sz w:val="24"/>
          <w:szCs w:val="24"/>
        </w:rPr>
        <w:t xml:space="preserve"> </w:t>
      </w:r>
    </w:p>
    <w:p w14:paraId="79C1FEBC" w14:textId="6614FC53" w:rsidR="008F056E" w:rsidRDefault="00AD0FE1" w:rsidP="001B2390">
      <w:pPr>
        <w:pStyle w:val="BodyText"/>
        <w:spacing w:before="8"/>
      </w:pPr>
      <w:r>
        <w:rPr>
          <w:sz w:val="24"/>
          <w:szCs w:val="24"/>
        </w:rPr>
        <w:t>This refers to c</w:t>
      </w:r>
      <w:r w:rsidR="001B2390" w:rsidRPr="00AF4B31">
        <w:rPr>
          <w:sz w:val="24"/>
          <w:szCs w:val="24"/>
        </w:rPr>
        <w:t>rops that mature within one or more rain seasons e.g. beans and maize, but are destroyed after harvesting.</w:t>
      </w:r>
      <w:r w:rsidR="001B2390" w:rsidRPr="006B42D6">
        <w:t xml:space="preserve"> </w:t>
      </w:r>
    </w:p>
    <w:p w14:paraId="7884D547" w14:textId="0EAA7D4A" w:rsidR="00AD0FE1" w:rsidRDefault="00715E4F" w:rsidP="005C2EFC">
      <w:pPr>
        <w:rPr>
          <w:b/>
          <w:bCs/>
        </w:rPr>
      </w:pPr>
      <w:r w:rsidRPr="006B42D6">
        <w:rPr>
          <w:b/>
          <w:bCs/>
        </w:rPr>
        <w:lastRenderedPageBreak/>
        <w:t>Permanent Crop</w:t>
      </w:r>
      <w:r w:rsidR="00AD0FE1">
        <w:rPr>
          <w:b/>
          <w:bCs/>
        </w:rPr>
        <w:t>s</w:t>
      </w:r>
    </w:p>
    <w:p w14:paraId="5DAB82D4" w14:textId="557281B9" w:rsidR="00715E4F" w:rsidRPr="006B42D6" w:rsidRDefault="00AD0FE1" w:rsidP="005C2EFC">
      <w:r>
        <w:rPr>
          <w:bCs/>
        </w:rPr>
        <w:t xml:space="preserve">This refers to </w:t>
      </w:r>
      <w:r w:rsidR="00715E4F" w:rsidRPr="006B42D6">
        <w:t>crops</w:t>
      </w:r>
      <w:r>
        <w:t xml:space="preserve"> </w:t>
      </w:r>
      <w:r w:rsidR="00715E4F" w:rsidRPr="006B42D6">
        <w:t xml:space="preserve">which are sown or planted once, and then, they occupy the land for some years and need not to be replanted after each annual harvest. </w:t>
      </w:r>
    </w:p>
    <w:p w14:paraId="17C6F914" w14:textId="77777777" w:rsidR="00715E4F" w:rsidRPr="00C36413" w:rsidRDefault="00715E4F" w:rsidP="003A6A66">
      <w:pPr>
        <w:spacing w:line="276" w:lineRule="auto"/>
        <w:rPr>
          <w:sz w:val="20"/>
          <w:szCs w:val="20"/>
        </w:rPr>
      </w:pPr>
    </w:p>
    <w:p w14:paraId="474E239F" w14:textId="62B980F0" w:rsidR="00715E4F" w:rsidRPr="006B42D6" w:rsidRDefault="00715E4F" w:rsidP="005C2EFC">
      <w:pPr>
        <w:rPr>
          <w:b/>
        </w:rPr>
      </w:pPr>
      <w:r w:rsidRPr="006B42D6">
        <w:rPr>
          <w:b/>
        </w:rPr>
        <w:t>Crop only</w:t>
      </w:r>
    </w:p>
    <w:p w14:paraId="1BB95CD0" w14:textId="455A187A" w:rsidR="00715E4F" w:rsidRPr="006B42D6" w:rsidRDefault="00715E4F" w:rsidP="005C2EFC">
      <w:r w:rsidRPr="006B42D6">
        <w:t>A household is referred to be crop only, if it has cultivated a piece of land equal or exceeding 25 square meters. This context also applies to all households owning or have kept livestock whose number does not qualify such household to be an agricultural holding (No cattle or less than 5 goats/sheep/pigs or less than 50 chickens/turkeys/ducks/rabbits).</w:t>
      </w:r>
    </w:p>
    <w:p w14:paraId="312A4711" w14:textId="77777777" w:rsidR="00715E4F" w:rsidRPr="00C36413" w:rsidRDefault="00715E4F" w:rsidP="00AD0FE1">
      <w:pPr>
        <w:spacing w:line="276" w:lineRule="auto"/>
        <w:rPr>
          <w:sz w:val="20"/>
          <w:szCs w:val="20"/>
        </w:rPr>
      </w:pPr>
    </w:p>
    <w:p w14:paraId="3DF53729" w14:textId="77777777" w:rsidR="00715E4F" w:rsidRPr="006B42D6" w:rsidRDefault="00715E4F" w:rsidP="005C2EFC">
      <w:pPr>
        <w:rPr>
          <w:b/>
        </w:rPr>
      </w:pPr>
      <w:r w:rsidRPr="006B42D6">
        <w:rPr>
          <w:b/>
        </w:rPr>
        <w:t>Livestock only</w:t>
      </w:r>
    </w:p>
    <w:p w14:paraId="0351ED86" w14:textId="33BCAEB8" w:rsidR="00715E4F" w:rsidRPr="006B42D6" w:rsidRDefault="00715E4F" w:rsidP="005C2EFC">
      <w:r w:rsidRPr="006B42D6">
        <w:t xml:space="preserve">A household is referred to be a </w:t>
      </w:r>
      <w:r w:rsidR="00AF4B31">
        <w:t>l</w:t>
      </w:r>
      <w:r w:rsidRPr="006B42D6">
        <w:t>ivestock only if it has owned or kept at least 1 cattle and/or 5 goats/sheep/pigs or more and/or 50</w:t>
      </w:r>
      <w:r w:rsidR="00AF4B31">
        <w:t xml:space="preserve"> </w:t>
      </w:r>
      <w:r w:rsidRPr="006B42D6">
        <w:t>chickens/turkeys/ducks/rabbits or more during the reference agricultural year. This also applies to all holders owning or having cultivated land less than 25 square meters.</w:t>
      </w:r>
    </w:p>
    <w:p w14:paraId="7911E80C" w14:textId="77777777" w:rsidR="00715E4F" w:rsidRPr="00C36413" w:rsidRDefault="00715E4F" w:rsidP="00AD0FE1">
      <w:pPr>
        <w:spacing w:line="276" w:lineRule="auto"/>
        <w:rPr>
          <w:sz w:val="20"/>
          <w:szCs w:val="20"/>
        </w:rPr>
      </w:pPr>
    </w:p>
    <w:p w14:paraId="3F00014F" w14:textId="77777777" w:rsidR="00715E4F" w:rsidRPr="006B42D6" w:rsidRDefault="00715E4F" w:rsidP="005C2EFC">
      <w:pPr>
        <w:rPr>
          <w:b/>
        </w:rPr>
      </w:pPr>
      <w:r w:rsidRPr="006B42D6">
        <w:rPr>
          <w:b/>
        </w:rPr>
        <w:t>Pastoralists</w:t>
      </w:r>
    </w:p>
    <w:p w14:paraId="52480C34" w14:textId="2354CB53" w:rsidR="00715E4F" w:rsidRDefault="00715E4F" w:rsidP="00AD0FE1">
      <w:r w:rsidRPr="006B42D6">
        <w:rPr>
          <w:bCs/>
        </w:rPr>
        <w:t xml:space="preserve">This refers to the households involved in livestock keeping with behavior of </w:t>
      </w:r>
      <w:r w:rsidRPr="006B42D6">
        <w:t>seasonal movement in search of water and pasture for their livestock.</w:t>
      </w:r>
    </w:p>
    <w:p w14:paraId="0708E6AE" w14:textId="77777777" w:rsidR="00AD0FE1" w:rsidRPr="00C36413" w:rsidRDefault="00AD0FE1" w:rsidP="00AD0FE1">
      <w:pPr>
        <w:spacing w:line="276" w:lineRule="auto"/>
        <w:rPr>
          <w:sz w:val="20"/>
          <w:szCs w:val="20"/>
        </w:rPr>
      </w:pPr>
    </w:p>
    <w:p w14:paraId="310904A1" w14:textId="77777777" w:rsidR="00715E4F" w:rsidRPr="006B42D6" w:rsidRDefault="00715E4F" w:rsidP="005C2EFC">
      <w:pPr>
        <w:rPr>
          <w:b/>
        </w:rPr>
      </w:pPr>
      <w:r w:rsidRPr="006B42D6">
        <w:rPr>
          <w:b/>
        </w:rPr>
        <w:t>Crops and Livestock</w:t>
      </w:r>
    </w:p>
    <w:p w14:paraId="420350E1" w14:textId="0ADE0D72" w:rsidR="00715E4F" w:rsidRPr="006B42D6" w:rsidRDefault="00715E4F" w:rsidP="005C2EFC">
      <w:r w:rsidRPr="006B42D6">
        <w:t>A household is referred to be both crops and livestock if it has cultivated a piece of land equal or exceeding 25</w:t>
      </w:r>
      <w:r w:rsidR="00E20523">
        <w:t xml:space="preserve"> </w:t>
      </w:r>
      <w:r w:rsidRPr="006B42D6">
        <w:t xml:space="preserve">square meters and </w:t>
      </w:r>
      <w:bookmarkStart w:id="9" w:name="_Hlk57977619"/>
      <w:r w:rsidRPr="006B42D6">
        <w:t>has owned or kept at least 1 cattle and/or 5 goats/sheep/pigs or more and/or 50</w:t>
      </w:r>
      <w:r w:rsidR="00E20523">
        <w:t xml:space="preserve"> </w:t>
      </w:r>
      <w:r w:rsidRPr="006B42D6">
        <w:t>chickens/turkeys/ducks/rabbits or more during the reference agricultural year</w:t>
      </w:r>
      <w:bookmarkEnd w:id="9"/>
      <w:r w:rsidRPr="006B42D6">
        <w:t>.</w:t>
      </w:r>
    </w:p>
    <w:p w14:paraId="1442B104" w14:textId="77777777" w:rsidR="00715E4F" w:rsidRPr="00C36413" w:rsidRDefault="00715E4F" w:rsidP="00C36413">
      <w:pPr>
        <w:spacing w:line="276" w:lineRule="auto"/>
        <w:rPr>
          <w:sz w:val="20"/>
          <w:szCs w:val="20"/>
        </w:rPr>
      </w:pPr>
    </w:p>
    <w:p w14:paraId="5D8DA1CB" w14:textId="77777777" w:rsidR="00715E4F" w:rsidRPr="006B42D6" w:rsidRDefault="00715E4F" w:rsidP="005C2EFC">
      <w:pPr>
        <w:rPr>
          <w:b/>
        </w:rPr>
      </w:pPr>
      <w:r w:rsidRPr="006B42D6">
        <w:rPr>
          <w:b/>
        </w:rPr>
        <w:t>Fish Farming</w:t>
      </w:r>
    </w:p>
    <w:p w14:paraId="1D84E38E" w14:textId="6FC99691" w:rsidR="00715E4F" w:rsidRDefault="00715E4F" w:rsidP="005C2EFC">
      <w:r w:rsidRPr="006B42D6">
        <w:rPr>
          <w:bCs/>
        </w:rPr>
        <w:t xml:space="preserve">A household is referred to be fish farming if it </w:t>
      </w:r>
      <w:r w:rsidRPr="006B42D6">
        <w:t>involves itself in raising fish. This do not include households that fish in the naturally occurring water bodies such as river, lakes, seas, etc.</w:t>
      </w:r>
    </w:p>
    <w:p w14:paraId="23A2270C" w14:textId="77777777" w:rsidR="008F056E" w:rsidRPr="00C36413" w:rsidRDefault="008F056E" w:rsidP="00C36413">
      <w:pPr>
        <w:spacing w:line="276" w:lineRule="auto"/>
        <w:rPr>
          <w:sz w:val="20"/>
          <w:szCs w:val="20"/>
        </w:rPr>
      </w:pPr>
    </w:p>
    <w:p w14:paraId="2BAA128A" w14:textId="77777777" w:rsidR="00715E4F" w:rsidRPr="006B42D6" w:rsidRDefault="00715E4F" w:rsidP="005C2EFC">
      <w:pPr>
        <w:rPr>
          <w:b/>
        </w:rPr>
      </w:pPr>
      <w:r w:rsidRPr="006B42D6">
        <w:rPr>
          <w:b/>
        </w:rPr>
        <w:t>Small Scale Farms</w:t>
      </w:r>
    </w:p>
    <w:p w14:paraId="13BA312A" w14:textId="2BA9C6C1" w:rsidR="00755F1B" w:rsidRDefault="00715E4F" w:rsidP="005C2EFC">
      <w:r w:rsidRPr="006B42D6">
        <w:t xml:space="preserve">These are farms, with at least 25 square meters of planted land and/or one cattle, </w:t>
      </w:r>
      <w:r w:rsidR="00E20523">
        <w:t xml:space="preserve">5 </w:t>
      </w:r>
      <w:r w:rsidRPr="006B42D6">
        <w:t>goats/sheep/pigs, 50</w:t>
      </w:r>
      <w:r w:rsidR="00755F1B">
        <w:t xml:space="preserve"> </w:t>
      </w:r>
      <w:r w:rsidRPr="006B42D6">
        <w:t>chickens/turkeys/ducks/guinea fowls/rabbits.</w:t>
      </w:r>
    </w:p>
    <w:p w14:paraId="5B32E48E" w14:textId="16B1E7F1" w:rsidR="00BF379C" w:rsidRDefault="00BF379C">
      <w:pPr>
        <w:spacing w:line="240" w:lineRule="auto"/>
        <w:contextualSpacing w:val="0"/>
        <w:jc w:val="left"/>
      </w:pPr>
      <w:r>
        <w:br w:type="page"/>
      </w:r>
    </w:p>
    <w:p w14:paraId="77E140B4" w14:textId="4883DC03" w:rsidR="00715E4F" w:rsidRPr="006B42D6" w:rsidRDefault="00715E4F" w:rsidP="005C2EFC">
      <w:pPr>
        <w:rPr>
          <w:b/>
        </w:rPr>
      </w:pPr>
      <w:r w:rsidRPr="006B42D6">
        <w:rPr>
          <w:b/>
        </w:rPr>
        <w:lastRenderedPageBreak/>
        <w:t>Large Scale Farm</w:t>
      </w:r>
      <w:r w:rsidR="004C2959">
        <w:rPr>
          <w:b/>
        </w:rPr>
        <w:t>s</w:t>
      </w:r>
    </w:p>
    <w:p w14:paraId="177C2CDC" w14:textId="68FCC8E2" w:rsidR="00715E4F" w:rsidRPr="006B42D6" w:rsidRDefault="00715E4F" w:rsidP="005C2EFC">
      <w:r w:rsidRPr="006B42D6">
        <w:t>These are farms with at least 20 hectares of cultivated land or 50 herds of cattle or 100 goats/sheep/pigs or 1,000 chickens. In addition to this, they should fulfill all of the four listed conditions</w:t>
      </w:r>
      <w:r w:rsidR="00755F1B">
        <w:t>:</w:t>
      </w:r>
    </w:p>
    <w:p w14:paraId="11D1A3F4" w14:textId="77777777" w:rsidR="00715E4F" w:rsidRPr="006B42D6" w:rsidRDefault="00715E4F" w:rsidP="00755F1B">
      <w:pPr>
        <w:numPr>
          <w:ilvl w:val="0"/>
          <w:numId w:val="2"/>
        </w:numPr>
        <w:tabs>
          <w:tab w:val="left" w:pos="709"/>
          <w:tab w:val="left" w:pos="1160"/>
        </w:tabs>
      </w:pPr>
      <w:r w:rsidRPr="006B42D6">
        <w:t xml:space="preserve">Greater part of the produce should go to the market; </w:t>
      </w:r>
    </w:p>
    <w:p w14:paraId="328B8BAD" w14:textId="77777777" w:rsidR="00715E4F" w:rsidRPr="006B42D6" w:rsidRDefault="00715E4F" w:rsidP="00755F1B">
      <w:pPr>
        <w:numPr>
          <w:ilvl w:val="0"/>
          <w:numId w:val="2"/>
        </w:numPr>
        <w:tabs>
          <w:tab w:val="left" w:pos="709"/>
        </w:tabs>
      </w:pPr>
      <w:r w:rsidRPr="006B42D6">
        <w:t xml:space="preserve">Operation of farm should be continuous; </w:t>
      </w:r>
    </w:p>
    <w:p w14:paraId="2E7A42FE" w14:textId="77777777" w:rsidR="00715E4F" w:rsidRPr="006B42D6" w:rsidRDefault="00715E4F" w:rsidP="00755F1B">
      <w:pPr>
        <w:numPr>
          <w:ilvl w:val="0"/>
          <w:numId w:val="2"/>
        </w:numPr>
        <w:tabs>
          <w:tab w:val="left" w:pos="709"/>
          <w:tab w:val="left" w:pos="1560"/>
        </w:tabs>
      </w:pPr>
      <w:r w:rsidRPr="006B42D6">
        <w:t>There should be an application of machinery/implements on the farm; and</w:t>
      </w:r>
    </w:p>
    <w:p w14:paraId="2368C744" w14:textId="77777777" w:rsidR="00715E4F" w:rsidRPr="006B42D6" w:rsidRDefault="00715E4F" w:rsidP="00755F1B">
      <w:pPr>
        <w:numPr>
          <w:ilvl w:val="0"/>
          <w:numId w:val="2"/>
        </w:numPr>
        <w:tabs>
          <w:tab w:val="left" w:pos="709"/>
        </w:tabs>
        <w:rPr>
          <w:b/>
        </w:rPr>
      </w:pPr>
      <w:r w:rsidRPr="006B42D6">
        <w:t>Should have at least one permanent employee.</w:t>
      </w:r>
    </w:p>
    <w:p w14:paraId="639CC06D" w14:textId="77777777" w:rsidR="008F056E" w:rsidRPr="00C36413" w:rsidRDefault="008F056E" w:rsidP="00AD0FE1">
      <w:pPr>
        <w:tabs>
          <w:tab w:val="left" w:pos="1160"/>
        </w:tabs>
        <w:spacing w:line="276" w:lineRule="auto"/>
        <w:rPr>
          <w:b/>
          <w:sz w:val="20"/>
          <w:szCs w:val="20"/>
        </w:rPr>
      </w:pPr>
    </w:p>
    <w:p w14:paraId="7E56D0BC" w14:textId="1EC0C044" w:rsidR="00715E4F" w:rsidRPr="006B42D6" w:rsidRDefault="00715E4F" w:rsidP="005C2EFC">
      <w:pPr>
        <w:tabs>
          <w:tab w:val="left" w:pos="1160"/>
        </w:tabs>
        <w:rPr>
          <w:b/>
        </w:rPr>
      </w:pPr>
      <w:r w:rsidRPr="006B42D6">
        <w:rPr>
          <w:b/>
        </w:rPr>
        <w:t>Agro Processing</w:t>
      </w:r>
    </w:p>
    <w:p w14:paraId="77B32B9B" w14:textId="309BB6B2" w:rsidR="00715E4F" w:rsidRPr="006B42D6" w:rsidRDefault="00715E4F" w:rsidP="005C2EFC">
      <w:pPr>
        <w:rPr>
          <w:b/>
        </w:rPr>
      </w:pPr>
      <w:r w:rsidRPr="006B42D6">
        <w:t>Is the transformation of basic agricultural produces into value added products for the purpose of meeting market needs</w:t>
      </w:r>
      <w:r w:rsidR="004D2415" w:rsidRPr="006B42D6">
        <w:t xml:space="preserve">. </w:t>
      </w:r>
    </w:p>
    <w:p w14:paraId="57BC36CB" w14:textId="5369D8A5" w:rsidR="006960DB" w:rsidRDefault="00A36B36" w:rsidP="005C2EFC">
      <w:pPr>
        <w:rPr>
          <w:b/>
        </w:rPr>
      </w:pPr>
      <w:r w:rsidRPr="006B42D6">
        <w:rPr>
          <w:b/>
        </w:rPr>
        <w:br w:type="page"/>
      </w:r>
    </w:p>
    <w:bookmarkStart w:id="10" w:name="_Toc75167422"/>
    <w:bookmarkStart w:id="11" w:name="_Toc79849665"/>
    <w:bookmarkStart w:id="12" w:name="_Toc78724433"/>
    <w:bookmarkStart w:id="13" w:name="_Toc82385614"/>
    <w:p w14:paraId="05563D4D" w14:textId="1782377B" w:rsidR="00333B37" w:rsidRPr="00693587" w:rsidRDefault="005A2D43" w:rsidP="00693587">
      <w:pPr>
        <w:pStyle w:val="Heading5"/>
      </w:pPr>
      <w:r w:rsidRPr="00693587">
        <w:rPr>
          <w:noProof/>
        </w:rPr>
        <w:lastRenderedPageBreak/>
        <mc:AlternateContent>
          <mc:Choice Requires="wpg">
            <w:drawing>
              <wp:anchor distT="0" distB="0" distL="114300" distR="114300" simplePos="0" relativeHeight="251803648" behindDoc="0" locked="0" layoutInCell="1" allowOverlap="1" wp14:anchorId="648C8138" wp14:editId="784B0FED">
                <wp:simplePos x="0" y="0"/>
                <wp:positionH relativeFrom="margin">
                  <wp:posOffset>3818255</wp:posOffset>
                </wp:positionH>
                <wp:positionV relativeFrom="paragraph">
                  <wp:posOffset>285750</wp:posOffset>
                </wp:positionV>
                <wp:extent cx="1856105" cy="1629410"/>
                <wp:effectExtent l="0" t="0" r="23495" b="46990"/>
                <wp:wrapSquare wrapText="bothSides"/>
                <wp:docPr id="227" name="Group 227"/>
                <wp:cNvGraphicFramePr/>
                <a:graphic xmlns:a="http://schemas.openxmlformats.org/drawingml/2006/main">
                  <a:graphicData uri="http://schemas.microsoft.com/office/word/2010/wordprocessingGroup">
                    <wpg:wgp>
                      <wpg:cNvGrpSpPr/>
                      <wpg:grpSpPr>
                        <a:xfrm>
                          <a:off x="0" y="0"/>
                          <a:ext cx="1856105" cy="1629410"/>
                          <a:chOff x="0" y="0"/>
                          <a:chExt cx="2520000" cy="1990725"/>
                        </a:xfrm>
                      </wpg:grpSpPr>
                      <pic:pic xmlns:pic="http://schemas.openxmlformats.org/drawingml/2006/picture">
                        <pic:nvPicPr>
                          <pic:cNvPr id="229" name="Picture 229"/>
                          <pic:cNvPicPr>
                            <a:picLocks noChangeAspect="1"/>
                          </pic:cNvPicPr>
                        </pic:nvPicPr>
                        <pic:blipFill>
                          <a:blip r:embed="rId122" cstate="print">
                            <a:extLst>
                              <a:ext uri="{28A0092B-C50C-407E-A947-70E740481C1C}">
                                <a14:useLocalDpi xmlns:a14="http://schemas.microsoft.com/office/drawing/2010/main" val="0"/>
                              </a:ext>
                            </a:extLst>
                          </a:blip>
                          <a:srcRect/>
                          <a:stretch>
                            <a:fillRect/>
                          </a:stretch>
                        </pic:blipFill>
                        <pic:spPr>
                          <a:xfrm>
                            <a:off x="9525" y="0"/>
                            <a:ext cx="2503805" cy="1962150"/>
                          </a:xfrm>
                          <a:prstGeom prst="rect">
                            <a:avLst/>
                          </a:prstGeom>
                          <a:noFill/>
                          <a:ln>
                            <a:noFill/>
                          </a:ln>
                        </pic:spPr>
                      </pic:pic>
                      <wpg:grpSp>
                        <wpg:cNvPr id="230" name="Group 230"/>
                        <wpg:cNvGrpSpPr/>
                        <wpg:grpSpPr>
                          <a:xfrm>
                            <a:off x="0" y="1971675"/>
                            <a:ext cx="2520000" cy="19050"/>
                            <a:chOff x="0" y="0"/>
                            <a:chExt cx="2225040" cy="19050"/>
                          </a:xfrm>
                        </wpg:grpSpPr>
                        <wps:wsp>
                          <wps:cNvPr id="232" name="Straight Connector 232"/>
                          <wps:cNvCnPr/>
                          <wps:spPr>
                            <a:xfrm flipV="1">
                              <a:off x="0" y="9525"/>
                              <a:ext cx="1139413" cy="9525"/>
                            </a:xfrm>
                            <a:prstGeom prst="line">
                              <a:avLst/>
                            </a:prstGeom>
                            <a:noFill/>
                            <a:ln w="57150" cap="flat" cmpd="sng" algn="ctr">
                              <a:solidFill>
                                <a:srgbClr val="4472C4"/>
                              </a:solidFill>
                              <a:prstDash val="solid"/>
                              <a:miter lim="800000"/>
                            </a:ln>
                            <a:effectLst/>
                          </wps:spPr>
                          <wps:bodyPr/>
                        </wps:wsp>
                        <wps:wsp>
                          <wps:cNvPr id="233" name="Straight Connector 233"/>
                          <wps:cNvCnPr/>
                          <wps:spPr>
                            <a:xfrm flipV="1">
                              <a:off x="1085850" y="0"/>
                              <a:ext cx="1139190" cy="9525"/>
                            </a:xfrm>
                            <a:prstGeom prst="line">
                              <a:avLst/>
                            </a:prstGeom>
                            <a:noFill/>
                            <a:ln w="57150" cap="flat" cmpd="sng" algn="ctr">
                              <a:solidFill>
                                <a:srgbClr val="70AD47"/>
                              </a:solidFill>
                              <a:prstDash val="solid"/>
                              <a:miter lim="800000"/>
                            </a:ln>
                            <a:effectLst/>
                          </wps:spPr>
                          <wps:bodyPr/>
                        </wps:wsp>
                      </wpg:grpSp>
                    </wpg:wgp>
                  </a:graphicData>
                </a:graphic>
              </wp:anchor>
            </w:drawing>
          </mc:Choice>
          <mc:Fallback xmlns:w16cex="http://schemas.microsoft.com/office/word/2018/wordml/cex" xmlns:w16="http://schemas.microsoft.com/office/word/2018/wordml" xmlns:w16sdtdh="http://schemas.microsoft.com/office/word/2020/wordml/sdtdatahash">
            <w:pict>
              <v:group w14:anchorId="6091C6DC" id="Group 227" o:spid="_x0000_s1026" style="position:absolute;margin-left:300.65pt;margin-top:22.5pt;width:146.15pt;height:128.3pt;z-index:251803648;mso-position-horizontal-relative:margin" coordsize="25200,19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9" o:spid="_x0000_s1027" type="#_x0000_t75" style="position:absolute;left:95;width:25038;height:19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">
                  <v:imagedata r:id="rId123" o:title=""/>
                </v:shape>
                <v:group id="Group 230" o:spid="_x0000_s1028" style="position:absolute;top:19716;width:25200;height:191" coordsize="22250,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">
                  <v:line id="Straight Connector 232" o:spid="_x0000_s1029" style="position:absolute;flip:y;visibility:visible;mso-wrap-style:square" from="0,95" to="11394,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" strokecolor="#4472c4" strokeweight="4.5pt">
                    <v:stroke joinstyle="miter"/>
                  </v:line>
                  <v:line id="Straight Connector 233" o:spid="_x0000_s1030" style="position:absolute;flip:y;visibility:visible;mso-wrap-style:square" from="10858,0" to="2225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" strokecolor="#70ad47" strokeweight="4.5pt">
                    <v:stroke joinstyle="miter"/>
                  </v:line>
                </v:group>
                <w10:wrap type="square" anchorx="margin"/>
              </v:group>
            </w:pict>
          </mc:Fallback>
        </mc:AlternateContent>
      </w:r>
      <w:r w:rsidR="00693587" w:rsidRPr="00693587">
        <w:t>FOREWORD</w:t>
      </w:r>
      <w:bookmarkEnd w:id="10"/>
      <w:bookmarkEnd w:id="11"/>
      <w:bookmarkEnd w:id="12"/>
      <w:bookmarkEnd w:id="13"/>
    </w:p>
    <w:p w14:paraId="587A61A7" w14:textId="3D8AF914" w:rsidR="00333B37" w:rsidRDefault="005A2D43" w:rsidP="00503D95">
      <w:pPr>
        <w:spacing w:line="300" w:lineRule="auto"/>
        <w:rPr>
          <w:b/>
          <w:color w:val="000000" w:themeColor="text1"/>
        </w:rPr>
      </w:pPr>
      <w:r>
        <w:rPr>
          <w:noProof/>
          <w:color w:val="000000" w:themeColor="text1"/>
        </w:rPr>
        <mc:AlternateContent>
          <mc:Choice Requires="wps">
            <w:drawing>
              <wp:anchor distT="0" distB="0" distL="114300" distR="114300" simplePos="0" relativeHeight="251802624" behindDoc="0" locked="0" layoutInCell="1" allowOverlap="1" wp14:anchorId="0898A8B4" wp14:editId="1E1E9F70">
                <wp:simplePos x="0" y="0"/>
                <wp:positionH relativeFrom="margin">
                  <wp:posOffset>3148916</wp:posOffset>
                </wp:positionH>
                <wp:positionV relativeFrom="paragraph">
                  <wp:posOffset>1602505</wp:posOffset>
                </wp:positionV>
                <wp:extent cx="2773680" cy="498475"/>
                <wp:effectExtent l="0" t="0" r="0" b="9525"/>
                <wp:wrapSquare wrapText="bothSides"/>
                <wp:docPr id="225" name="Text Box 200"/>
                <wp:cNvGraphicFramePr/>
                <a:graphic xmlns:a="http://schemas.openxmlformats.org/drawingml/2006/main">
                  <a:graphicData uri="http://schemas.microsoft.com/office/word/2010/wordprocessingShape">
                    <wps:wsp>
                      <wps:cNvSpPr txBox="1"/>
                      <wps:spPr bwMode="auto">
                        <a:xfrm>
                          <a:off x="0" y="0"/>
                          <a:ext cx="2773680" cy="498475"/>
                        </a:xfrm>
                        <a:prstGeom prst="rect">
                          <a:avLst/>
                        </a:prstGeom>
                        <a:noFill/>
                        <a:ln>
                          <a:noFill/>
                        </a:ln>
                      </wps:spPr>
                      <wps:txbx>
                        <w:txbxContent>
                          <w:p w14:paraId="32E4DB51" w14:textId="13E70BF5" w:rsidR="00933456" w:rsidRDefault="00933456" w:rsidP="00333B37">
                            <w:pPr>
                              <w:spacing w:after="100" w:line="240" w:lineRule="auto"/>
                              <w:rPr>
                                <w:b/>
                                <w:sz w:val="20"/>
                                <w:szCs w:val="20"/>
                              </w:rPr>
                            </w:pPr>
                            <w:r w:rsidRPr="00A1711F">
                              <w:rPr>
                                <w:b/>
                                <w:sz w:val="20"/>
                                <w:szCs w:val="20"/>
                              </w:rPr>
                              <w:t>Hon. Professor Adolf Faustine Mkenda (MP)</w:t>
                            </w:r>
                          </w:p>
                          <w:p w14:paraId="21C265BC" w14:textId="77777777" w:rsidR="00933456" w:rsidRPr="0057581B" w:rsidRDefault="00933456" w:rsidP="0057581B">
                            <w:pPr>
                              <w:spacing w:after="100" w:line="240" w:lineRule="auto"/>
                              <w:jc w:val="center"/>
                              <w:rPr>
                                <w:b/>
                                <w:sz w:val="6"/>
                                <w:szCs w:val="6"/>
                              </w:rPr>
                            </w:pPr>
                          </w:p>
                          <w:p w14:paraId="10BE7052" w14:textId="77777777" w:rsidR="00933456" w:rsidRPr="00A1711F" w:rsidRDefault="00933456" w:rsidP="00333B37">
                            <w:pPr>
                              <w:spacing w:line="240" w:lineRule="auto"/>
                              <w:jc w:val="center"/>
                              <w:rPr>
                                <w:sz w:val="20"/>
                                <w:szCs w:val="20"/>
                              </w:rPr>
                            </w:pPr>
                            <w:r w:rsidRPr="00A1711F">
                              <w:rPr>
                                <w:sz w:val="20"/>
                                <w:szCs w:val="20"/>
                              </w:rPr>
                              <w:t>Minister for Agriculture</w:t>
                            </w:r>
                          </w:p>
                        </w:txbxContent>
                      </wps:txbx>
                      <wps:bodyPr rot="0" vert="horz" wrap="square" lIns="91440" tIns="91440" rIns="91440" bIns="0" anchor="t" anchorCtr="0" upright="1">
                        <a:noAutofit/>
                      </wps:bodyPr>
                    </wps:wsp>
                  </a:graphicData>
                </a:graphic>
                <wp14:sizeRelV relativeFrom="margin">
                  <wp14:pctHeight>0</wp14:pctHeight>
                </wp14:sizeRelV>
              </wp:anchor>
            </w:drawing>
          </mc:Choice>
          <mc:Fallback>
            <w:pict>
              <v:shapetype w14:anchorId="0898A8B4" id="_x0000_t202" coordsize="21600,21600" o:spt="202" path="m,l,21600r21600,l21600,xe">
                <v:stroke joinstyle="miter"/>
                <v:path gradientshapeok="t" o:connecttype="rect"/>
              </v:shapetype>
              <v:shape id="Text Box 200" o:spid="_x0000_s1027" type="#_x0000_t202" style="position:absolute;left:0;text-align:left;margin-left:247.95pt;margin-top:126.2pt;width:218.4pt;height:39.25pt;z-index:25180262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" filled="f" stroked="f">
                <v:textbox inset=",7.2pt,,0">
                  <w:txbxContent>
                    <w:p w14:paraId="32E4DB51" w14:textId="13E70BF5" w:rsidR="00933456" w:rsidRDefault="00933456" w:rsidP="00333B37">
                      <w:pPr>
                        <w:spacing w:after="100" w:line="240" w:lineRule="auto"/>
                        <w:rPr>
                          <w:b/>
                          <w:sz w:val="20"/>
                          <w:szCs w:val="20"/>
                        </w:rPr>
                      </w:pPr>
                      <w:r w:rsidRPr="00A1711F">
                        <w:rPr>
                          <w:b/>
                          <w:sz w:val="20"/>
                          <w:szCs w:val="20"/>
                        </w:rPr>
                        <w:t>Hon. Professor Adolf Faustine Mkenda (MP)</w:t>
                      </w:r>
                    </w:p>
                    <w:p w14:paraId="21C265BC" w14:textId="77777777" w:rsidR="00933456" w:rsidRPr="0057581B" w:rsidRDefault="00933456" w:rsidP="0057581B">
                      <w:pPr>
                        <w:spacing w:after="100" w:line="240" w:lineRule="auto"/>
                        <w:jc w:val="center"/>
                        <w:rPr>
                          <w:b/>
                          <w:sz w:val="6"/>
                          <w:szCs w:val="6"/>
                        </w:rPr>
                      </w:pPr>
                    </w:p>
                    <w:p w14:paraId="10BE7052" w14:textId="77777777" w:rsidR="00933456" w:rsidRPr="00A1711F" w:rsidRDefault="00933456" w:rsidP="00333B37">
                      <w:pPr>
                        <w:spacing w:line="240" w:lineRule="auto"/>
                        <w:jc w:val="center"/>
                        <w:rPr>
                          <w:sz w:val="20"/>
                          <w:szCs w:val="20"/>
                        </w:rPr>
                      </w:pPr>
                      <w:r w:rsidRPr="00A1711F">
                        <w:rPr>
                          <w:sz w:val="20"/>
                          <w:szCs w:val="20"/>
                        </w:rPr>
                        <w:t>Minister for Agriculture</w:t>
                      </w:r>
                    </w:p>
                  </w:txbxContent>
                </v:textbox>
                <w10:wrap type="square" anchorx="margin"/>
              </v:shape>
            </w:pict>
          </mc:Fallback>
        </mc:AlternateContent>
      </w:r>
      <w:r w:rsidR="00333B37">
        <w:rPr>
          <w:color w:val="000000" w:themeColor="text1"/>
        </w:rPr>
        <w:t xml:space="preserve">The </w:t>
      </w:r>
      <w:bookmarkStart w:id="14" w:name="_Hlk57969522"/>
      <w:r w:rsidR="00333B37">
        <w:rPr>
          <w:color w:val="000000" w:themeColor="text1"/>
        </w:rPr>
        <w:t xml:space="preserve">National Sample Census of Agriculture </w:t>
      </w:r>
      <w:r w:rsidR="006F5C8C">
        <w:rPr>
          <w:color w:val="000000" w:themeColor="text1"/>
        </w:rPr>
        <w:t xml:space="preserve">2019/20 </w:t>
      </w:r>
      <w:r w:rsidR="00333B37">
        <w:rPr>
          <w:color w:val="000000" w:themeColor="text1"/>
        </w:rPr>
        <w:t xml:space="preserve">is the fifth Census of Agriculture conducted in Tanzania. The first Census was conducted in 1971/72, the second in 1993/94 to 1994/95 in which data on household characteristics and livestock count were collected in 1993/94 </w:t>
      </w:r>
      <w:r w:rsidR="006F5C8C">
        <w:rPr>
          <w:color w:val="000000" w:themeColor="text1"/>
        </w:rPr>
        <w:t>while</w:t>
      </w:r>
      <w:r w:rsidR="00333B37">
        <w:rPr>
          <w:color w:val="000000" w:themeColor="text1"/>
        </w:rPr>
        <w:t xml:space="preserve"> data on crop area and production were collected in 1994/95. The third Census was conducted in 2002/03 and the fourth in 2007/08. </w:t>
      </w:r>
      <w:bookmarkEnd w:id="14"/>
    </w:p>
    <w:p w14:paraId="6A0123B9" w14:textId="63828602" w:rsidR="00333B37" w:rsidRDefault="00333B37" w:rsidP="005A2D43">
      <w:pPr>
        <w:spacing w:line="240" w:lineRule="auto"/>
        <w:rPr>
          <w:color w:val="000000" w:themeColor="text1"/>
          <w:sz w:val="20"/>
          <w:szCs w:val="20"/>
        </w:rPr>
      </w:pPr>
    </w:p>
    <w:p w14:paraId="48C46B2A" w14:textId="4BE0ED53" w:rsidR="00333B37" w:rsidRDefault="00333B37" w:rsidP="00503D95">
      <w:pPr>
        <w:spacing w:line="300" w:lineRule="auto"/>
        <w:rPr>
          <w:color w:val="000000" w:themeColor="text1"/>
        </w:rPr>
      </w:pPr>
      <w:bookmarkStart w:id="15" w:name="_Hlk57969713"/>
      <w:r>
        <w:rPr>
          <w:color w:val="000000" w:themeColor="text1"/>
        </w:rPr>
        <w:t xml:space="preserve">The NSCA </w:t>
      </w:r>
      <w:r w:rsidR="004510CB">
        <w:rPr>
          <w:color w:val="000000" w:themeColor="text1"/>
        </w:rPr>
        <w:t xml:space="preserve">2019/20 </w:t>
      </w:r>
      <w:r>
        <w:rPr>
          <w:color w:val="000000" w:themeColor="text1"/>
        </w:rPr>
        <w:t>was jointly implemented by the National Bureau of Statistics (NBS) and Office of the Chief Government Statistician, Zanzibar (OCGS), in collaboration with Agricultural Sector Lead Ministries (ASLMs). The Government of Tanzania, the European Union (EU) and the United States Agency for International Development (USAID)</w:t>
      </w:r>
      <w:r w:rsidR="006F5C8C">
        <w:rPr>
          <w:color w:val="000000" w:themeColor="text1"/>
        </w:rPr>
        <w:t xml:space="preserve"> provided financial support</w:t>
      </w:r>
      <w:r>
        <w:rPr>
          <w:color w:val="000000" w:themeColor="text1"/>
        </w:rPr>
        <w:t xml:space="preserve"> while the United States Department of Agriculture (USDA) and Food and Agriculture Organization of the United Nations (FAO)</w:t>
      </w:r>
      <w:r w:rsidR="006F5C8C">
        <w:rPr>
          <w:color w:val="000000" w:themeColor="text1"/>
        </w:rPr>
        <w:t xml:space="preserve"> provided technical assistance</w:t>
      </w:r>
      <w:r>
        <w:rPr>
          <w:color w:val="000000" w:themeColor="text1"/>
        </w:rPr>
        <w:t>.</w:t>
      </w:r>
    </w:p>
    <w:bookmarkEnd w:id="15"/>
    <w:p w14:paraId="325006DF" w14:textId="77777777" w:rsidR="00333B37" w:rsidRPr="00503D95" w:rsidRDefault="00333B37" w:rsidP="005A2D43">
      <w:pPr>
        <w:spacing w:line="240" w:lineRule="auto"/>
        <w:rPr>
          <w:color w:val="000000" w:themeColor="text1"/>
          <w:sz w:val="20"/>
          <w:szCs w:val="20"/>
        </w:rPr>
      </w:pPr>
    </w:p>
    <w:p w14:paraId="43245FF8" w14:textId="7A55DEB2" w:rsidR="00333B37" w:rsidRDefault="00333B37" w:rsidP="00503D95">
      <w:pPr>
        <w:spacing w:line="300" w:lineRule="auto"/>
        <w:rPr>
          <w:color w:val="000000" w:themeColor="text1"/>
        </w:rPr>
      </w:pPr>
      <w:bookmarkStart w:id="16" w:name="_Hlk57970620"/>
      <w:r>
        <w:rPr>
          <w:color w:val="000000" w:themeColor="text1"/>
        </w:rPr>
        <w:t>The main objective of the National Sample Census of Agriculture</w:t>
      </w:r>
      <w:r w:rsidR="006F5C8C">
        <w:rPr>
          <w:color w:val="000000" w:themeColor="text1"/>
        </w:rPr>
        <w:t xml:space="preserve"> 2019/20</w:t>
      </w:r>
      <w:r>
        <w:rPr>
          <w:color w:val="000000" w:themeColor="text1"/>
        </w:rPr>
        <w:t xml:space="preserve"> was to provide baseline data on Agricultural Statistics. The results will be used for national agricultural planning, implementation and policy intervention, for the purpose of improving agricultural sector through increas</w:t>
      </w:r>
      <w:r w:rsidR="004510CB">
        <w:rPr>
          <w:color w:val="000000" w:themeColor="text1"/>
        </w:rPr>
        <w:t>ed</w:t>
      </w:r>
      <w:r>
        <w:rPr>
          <w:color w:val="000000" w:themeColor="text1"/>
        </w:rPr>
        <w:t xml:space="preserve"> productivity and promoting agro-processing for industrial development and improving farmer’s livelihood. </w:t>
      </w:r>
      <w:bookmarkEnd w:id="16"/>
      <w:r>
        <w:rPr>
          <w:rFonts w:eastAsia="Calibri"/>
          <w:color w:val="000000" w:themeColor="text1"/>
        </w:rPr>
        <w:t xml:space="preserve">Moreover, the results will facilitate monitoring and evaluation of the Sustainable Development Goals (SDGs), African Agenda 2063, MALABO declaration, third Five Year Development Plan (2021/22–2025/26) and </w:t>
      </w:r>
      <w:r>
        <w:rPr>
          <w:color w:val="000000" w:themeColor="text1"/>
        </w:rPr>
        <w:t>Agricultural Sector Development Programme Phase II (ASDP II).</w:t>
      </w:r>
    </w:p>
    <w:p w14:paraId="65828775" w14:textId="77777777" w:rsidR="00333B37" w:rsidRPr="008D2961" w:rsidRDefault="00333B37" w:rsidP="005A2D43">
      <w:pPr>
        <w:spacing w:line="240" w:lineRule="auto"/>
        <w:rPr>
          <w:color w:val="000000" w:themeColor="text1"/>
          <w:sz w:val="20"/>
          <w:szCs w:val="20"/>
        </w:rPr>
      </w:pPr>
    </w:p>
    <w:p w14:paraId="5B936F97" w14:textId="161C1AFC" w:rsidR="00333B37" w:rsidRDefault="00333B37" w:rsidP="00503D95">
      <w:pPr>
        <w:spacing w:line="300" w:lineRule="auto"/>
        <w:contextualSpacing w:val="0"/>
        <w:rPr>
          <w:color w:val="000000" w:themeColor="text1"/>
        </w:rPr>
      </w:pPr>
      <w:r w:rsidRPr="00333B37">
        <w:t>On behalf of the Government of United Republic of Tanzania, I would like to thank the Development Partners (DPs)</w:t>
      </w:r>
      <w:r w:rsidR="004510CB">
        <w:t xml:space="preserve"> for </w:t>
      </w:r>
      <w:r w:rsidR="004510CB" w:rsidRPr="00333B37">
        <w:t xml:space="preserve">the financial and technical support provided </w:t>
      </w:r>
      <w:r w:rsidRPr="00333B37">
        <w:t>in particular the European Union (EU), Food and Agriculture Organization of the United Nations (FAO), the United States Agency for International Development (USAID), the United States Department of Agriculture (USDA) and other</w:t>
      </w:r>
      <w:r w:rsidR="006F5C8C">
        <w:t xml:space="preserve"> </w:t>
      </w:r>
      <w:r w:rsidRPr="00333B37">
        <w:t>s</w:t>
      </w:r>
      <w:r w:rsidR="006F5C8C">
        <w:t>takeholders</w:t>
      </w:r>
      <w:r w:rsidRPr="00333B37">
        <w:t>.</w:t>
      </w:r>
    </w:p>
    <w:p w14:paraId="422CD6C3" w14:textId="77777777" w:rsidR="00333B37" w:rsidRPr="00503D95" w:rsidRDefault="00333B37" w:rsidP="005A2D43">
      <w:pPr>
        <w:spacing w:line="240" w:lineRule="auto"/>
        <w:rPr>
          <w:color w:val="000000" w:themeColor="text1"/>
          <w:sz w:val="20"/>
          <w:szCs w:val="20"/>
        </w:rPr>
      </w:pPr>
    </w:p>
    <w:p w14:paraId="4D37C7B0" w14:textId="50662536" w:rsidR="00333B37" w:rsidRPr="004510CB" w:rsidRDefault="00333B37" w:rsidP="00503D95">
      <w:pPr>
        <w:spacing w:line="300" w:lineRule="auto"/>
      </w:pPr>
      <w:r>
        <w:rPr>
          <w:rFonts w:eastAsia="Calibri"/>
          <w:color w:val="000000" w:themeColor="text1"/>
        </w:rPr>
        <w:t xml:space="preserve">It is my hope this </w:t>
      </w:r>
      <w:r w:rsidR="006F5C8C">
        <w:rPr>
          <w:rFonts w:eastAsia="Calibri"/>
          <w:color w:val="000000" w:themeColor="text1"/>
        </w:rPr>
        <w:t>r</w:t>
      </w:r>
      <w:r>
        <w:rPr>
          <w:rFonts w:eastAsia="Calibri"/>
          <w:color w:val="000000" w:themeColor="text1"/>
        </w:rPr>
        <w:t xml:space="preserve">eport </w:t>
      </w:r>
      <w:r w:rsidRPr="004510CB">
        <w:t xml:space="preserve">will provide important data and information on agricultural sector to </w:t>
      </w:r>
      <w:r w:rsidR="006F5C8C" w:rsidRPr="004510CB">
        <w:t xml:space="preserve">the </w:t>
      </w:r>
      <w:r w:rsidRPr="004510CB">
        <w:t>Government, policy makers, planners, and other stakeholders to support the development of agriculture sector in the country.</w:t>
      </w:r>
    </w:p>
    <w:p w14:paraId="1288389D" w14:textId="64909915" w:rsidR="00333B37" w:rsidRDefault="00503D95" w:rsidP="00333B37">
      <w:pPr>
        <w:spacing w:after="120" w:line="312" w:lineRule="auto"/>
        <w:rPr>
          <w:rFonts w:eastAsia="Calibri"/>
          <w:color w:val="000000" w:themeColor="text1"/>
        </w:rPr>
      </w:pPr>
      <w:r w:rsidRPr="00503D95">
        <w:rPr>
          <w:rFonts w:eastAsia="Calibri"/>
          <w:noProof/>
          <w:color w:val="000000" w:themeColor="text1"/>
        </w:rPr>
        <w:drawing>
          <wp:inline distT="0" distB="0" distL="0" distR="0" wp14:anchorId="1A4D9DFD" wp14:editId="62F43655">
            <wp:extent cx="2065655" cy="624253"/>
            <wp:effectExtent l="0" t="0" r="4445"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102590" cy="635415"/>
                    </a:xfrm>
                    <a:prstGeom prst="rect">
                      <a:avLst/>
                    </a:prstGeom>
                  </pic:spPr>
                </pic:pic>
              </a:graphicData>
            </a:graphic>
          </wp:inline>
        </w:drawing>
      </w:r>
    </w:p>
    <w:p w14:paraId="0EF0A6BF" w14:textId="77777777" w:rsidR="00333B37" w:rsidRDefault="00333B37" w:rsidP="00333B37">
      <w:pPr>
        <w:rPr>
          <w:b/>
          <w:color w:val="000000" w:themeColor="text1"/>
        </w:rPr>
      </w:pPr>
      <w:r>
        <w:rPr>
          <w:b/>
          <w:color w:val="000000" w:themeColor="text1"/>
        </w:rPr>
        <w:t>Hon. Professor Adolf Faustine Mkenda (MP)</w:t>
      </w:r>
    </w:p>
    <w:p w14:paraId="3449151C" w14:textId="72BB9315" w:rsidR="00693587" w:rsidRDefault="00333B37" w:rsidP="00693587">
      <w:pPr>
        <w:spacing w:line="312" w:lineRule="auto"/>
        <w:rPr>
          <w:b/>
          <w:color w:val="000000" w:themeColor="text1"/>
        </w:rPr>
      </w:pPr>
      <w:r>
        <w:rPr>
          <w:b/>
          <w:color w:val="000000" w:themeColor="text1"/>
        </w:rPr>
        <w:t>Minister for Agriculture</w:t>
      </w:r>
      <w:r w:rsidR="00693587">
        <w:rPr>
          <w:b/>
          <w:color w:val="000000" w:themeColor="text1"/>
        </w:rPr>
        <w:br w:type="page"/>
      </w:r>
    </w:p>
    <w:p w14:paraId="73CC06E7" w14:textId="3F75B270" w:rsidR="00333B37" w:rsidRDefault="00333B37" w:rsidP="00EE0C70">
      <w:pPr>
        <w:pStyle w:val="Heading5"/>
      </w:pPr>
      <w:bookmarkStart w:id="17" w:name="_Toc80889846"/>
      <w:bookmarkStart w:id="18" w:name="_Toc82385615"/>
      <w:r w:rsidRPr="00EE0C70">
        <w:lastRenderedPageBreak/>
        <w:t>PREFACE</w:t>
      </w:r>
      <w:bookmarkEnd w:id="17"/>
      <w:bookmarkEnd w:id="18"/>
    </w:p>
    <w:p w14:paraId="7531C646" w14:textId="15FCAA6F" w:rsidR="00333B37" w:rsidRDefault="005A2D43" w:rsidP="00333B37">
      <w:pPr>
        <w:spacing w:line="312" w:lineRule="auto"/>
        <w:contextualSpacing w:val="0"/>
      </w:pPr>
      <w:r>
        <w:rPr>
          <w:noProof/>
          <w:color w:val="000000" w:themeColor="text1"/>
        </w:rPr>
        <mc:AlternateContent>
          <mc:Choice Requires="wps">
            <w:drawing>
              <wp:anchor distT="0" distB="0" distL="114300" distR="114300" simplePos="0" relativeHeight="251805696" behindDoc="0" locked="0" layoutInCell="1" allowOverlap="1" wp14:anchorId="63B8C75D" wp14:editId="3C08BC10">
                <wp:simplePos x="0" y="0"/>
                <wp:positionH relativeFrom="margin">
                  <wp:posOffset>4246245</wp:posOffset>
                </wp:positionH>
                <wp:positionV relativeFrom="paragraph">
                  <wp:posOffset>1764665</wp:posOffset>
                </wp:positionV>
                <wp:extent cx="1464945" cy="474980"/>
                <wp:effectExtent l="0" t="0" r="0" b="7620"/>
                <wp:wrapSquare wrapText="bothSides"/>
                <wp:docPr id="239" name="Text Box 200"/>
                <wp:cNvGraphicFramePr/>
                <a:graphic xmlns:a="http://schemas.openxmlformats.org/drawingml/2006/main">
                  <a:graphicData uri="http://schemas.microsoft.com/office/word/2010/wordprocessingShape">
                    <wps:wsp>
                      <wps:cNvSpPr txBox="1"/>
                      <wps:spPr bwMode="auto">
                        <a:xfrm>
                          <a:off x="0" y="0"/>
                          <a:ext cx="1464945" cy="474980"/>
                        </a:xfrm>
                        <a:prstGeom prst="rect">
                          <a:avLst/>
                        </a:prstGeom>
                        <a:noFill/>
                        <a:ln>
                          <a:noFill/>
                        </a:ln>
                      </wps:spPr>
                      <wps:txbx>
                        <w:txbxContent>
                          <w:p w14:paraId="74E7AE9C" w14:textId="58C185F2" w:rsidR="00933456" w:rsidRDefault="00933456" w:rsidP="00333B37">
                            <w:pPr>
                              <w:spacing w:line="240" w:lineRule="auto"/>
                              <w:jc w:val="center"/>
                              <w:rPr>
                                <w:b/>
                                <w:sz w:val="20"/>
                                <w:szCs w:val="20"/>
                              </w:rPr>
                            </w:pPr>
                            <w:r w:rsidRPr="0057581B">
                              <w:rPr>
                                <w:b/>
                                <w:sz w:val="20"/>
                                <w:szCs w:val="20"/>
                              </w:rPr>
                              <w:t>Dr. Albina Chuwa</w:t>
                            </w:r>
                          </w:p>
                          <w:p w14:paraId="133C85D6" w14:textId="77777777" w:rsidR="00933456" w:rsidRPr="0057581B" w:rsidRDefault="00933456" w:rsidP="00333B37">
                            <w:pPr>
                              <w:spacing w:line="240" w:lineRule="auto"/>
                              <w:jc w:val="center"/>
                              <w:rPr>
                                <w:b/>
                                <w:sz w:val="6"/>
                                <w:szCs w:val="6"/>
                              </w:rPr>
                            </w:pPr>
                          </w:p>
                          <w:p w14:paraId="7722990B" w14:textId="77777777" w:rsidR="00933456" w:rsidRPr="0057581B" w:rsidRDefault="00933456" w:rsidP="00333B37">
                            <w:pPr>
                              <w:spacing w:line="240" w:lineRule="auto"/>
                              <w:jc w:val="center"/>
                              <w:rPr>
                                <w:sz w:val="20"/>
                                <w:szCs w:val="20"/>
                              </w:rPr>
                            </w:pPr>
                            <w:r w:rsidRPr="0057581B">
                              <w:rPr>
                                <w:sz w:val="20"/>
                                <w:szCs w:val="20"/>
                              </w:rPr>
                              <w:t>Statistician General</w:t>
                            </w:r>
                          </w:p>
                        </w:txbxContent>
                      </wps:txbx>
                      <wps:bodyPr rot="0" vert="horz" wrap="square" lIns="91440" tIns="91440" rIns="91440" bIns="0" anchor="t" anchorCtr="0" upright="1">
                        <a:noAutofit/>
                      </wps:bodyPr>
                    </wps:wsp>
                  </a:graphicData>
                </a:graphic>
                <wp14:sizeRelV relativeFrom="margin">
                  <wp14:pctHeight>0</wp14:pctHeight>
                </wp14:sizeRelV>
              </wp:anchor>
            </w:drawing>
          </mc:Choice>
          <mc:Fallback>
            <w:pict>
              <v:shape w14:anchorId="63B8C75D" id="_x0000_s1028" type="#_x0000_t202" style="position:absolute;left:0;text-align:left;margin-left:334.35pt;margin-top:138.95pt;width:115.35pt;height:37.4pt;z-index:2518056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" filled="f" stroked="f">
                <v:textbox inset=",7.2pt,,0">
                  <w:txbxContent>
                    <w:p w14:paraId="74E7AE9C" w14:textId="58C185F2" w:rsidR="00933456" w:rsidRDefault="00933456" w:rsidP="00333B37">
                      <w:pPr>
                        <w:spacing w:line="240" w:lineRule="auto"/>
                        <w:jc w:val="center"/>
                        <w:rPr>
                          <w:b/>
                          <w:sz w:val="20"/>
                          <w:szCs w:val="20"/>
                        </w:rPr>
                      </w:pPr>
                      <w:r w:rsidRPr="0057581B">
                        <w:rPr>
                          <w:b/>
                          <w:sz w:val="20"/>
                          <w:szCs w:val="20"/>
                        </w:rPr>
                        <w:t>Dr. Albina Chuwa</w:t>
                      </w:r>
                    </w:p>
                    <w:p w14:paraId="133C85D6" w14:textId="77777777" w:rsidR="00933456" w:rsidRPr="0057581B" w:rsidRDefault="00933456" w:rsidP="00333B37">
                      <w:pPr>
                        <w:spacing w:line="240" w:lineRule="auto"/>
                        <w:jc w:val="center"/>
                        <w:rPr>
                          <w:b/>
                          <w:sz w:val="6"/>
                          <w:szCs w:val="6"/>
                        </w:rPr>
                      </w:pPr>
                    </w:p>
                    <w:p w14:paraId="7722990B" w14:textId="77777777" w:rsidR="00933456" w:rsidRPr="0057581B" w:rsidRDefault="00933456" w:rsidP="00333B37">
                      <w:pPr>
                        <w:spacing w:line="240" w:lineRule="auto"/>
                        <w:jc w:val="center"/>
                        <w:rPr>
                          <w:sz w:val="20"/>
                          <w:szCs w:val="20"/>
                        </w:rPr>
                      </w:pPr>
                      <w:r w:rsidRPr="0057581B">
                        <w:rPr>
                          <w:sz w:val="20"/>
                          <w:szCs w:val="20"/>
                        </w:rPr>
                        <w:t>Statistician General</w:t>
                      </w:r>
                    </w:p>
                  </w:txbxContent>
                </v:textbox>
                <w10:wrap type="square" anchorx="margin"/>
              </v:shape>
            </w:pict>
          </mc:Fallback>
        </mc:AlternateContent>
      </w:r>
      <w:r w:rsidRPr="00EE0C70">
        <w:rPr>
          <w:noProof/>
        </w:rPr>
        <mc:AlternateContent>
          <mc:Choice Requires="wpg">
            <w:drawing>
              <wp:anchor distT="0" distB="0" distL="114300" distR="114300" simplePos="0" relativeHeight="251804672" behindDoc="0" locked="0" layoutInCell="1" allowOverlap="1" wp14:anchorId="27514257" wp14:editId="6BEE9A89">
                <wp:simplePos x="0" y="0"/>
                <wp:positionH relativeFrom="column">
                  <wp:posOffset>4186644</wp:posOffset>
                </wp:positionH>
                <wp:positionV relativeFrom="paragraph">
                  <wp:posOffset>10060</wp:posOffset>
                </wp:positionV>
                <wp:extent cx="1505585" cy="1800225"/>
                <wp:effectExtent l="0" t="0" r="31115" b="15875"/>
                <wp:wrapSquare wrapText="bothSides"/>
                <wp:docPr id="234" name="Group 234"/>
                <wp:cNvGraphicFramePr/>
                <a:graphic xmlns:a="http://schemas.openxmlformats.org/drawingml/2006/main">
                  <a:graphicData uri="http://schemas.microsoft.com/office/word/2010/wordprocessingGroup">
                    <wpg:wgp>
                      <wpg:cNvGrpSpPr/>
                      <wpg:grpSpPr>
                        <a:xfrm>
                          <a:off x="0" y="0"/>
                          <a:ext cx="1505585" cy="1800225"/>
                          <a:chOff x="0" y="0"/>
                          <a:chExt cx="1752600" cy="1728470"/>
                        </a:xfrm>
                      </wpg:grpSpPr>
                      <pic:pic xmlns:pic="http://schemas.openxmlformats.org/drawingml/2006/picture">
                        <pic:nvPicPr>
                          <pic:cNvPr id="235" name="Picture 235"/>
                          <pic:cNvPicPr>
                            <a:picLocks noChangeAspect="1"/>
                          </pic:cNvPicPr>
                        </pic:nvPicPr>
                        <pic:blipFill>
                          <a:blip r:embed="rId125">
                            <a:extLst>
                              <a:ext uri="{28A0092B-C50C-407E-A947-70E740481C1C}">
                                <a14:useLocalDpi xmlns:a14="http://schemas.microsoft.com/office/drawing/2010/main" val="0"/>
                              </a:ext>
                            </a:extLst>
                          </a:blip>
                          <a:srcRect/>
                          <a:stretch>
                            <a:fillRect/>
                          </a:stretch>
                        </pic:blipFill>
                        <pic:spPr>
                          <a:xfrm>
                            <a:off x="0" y="0"/>
                            <a:ext cx="1752600" cy="1728470"/>
                          </a:xfrm>
                          <a:prstGeom prst="rect">
                            <a:avLst/>
                          </a:prstGeom>
                          <a:noFill/>
                          <a:ln>
                            <a:noFill/>
                          </a:ln>
                        </pic:spPr>
                      </pic:pic>
                      <wpg:grpSp>
                        <wpg:cNvPr id="236" name="Group 236"/>
                        <wpg:cNvGrpSpPr/>
                        <wpg:grpSpPr>
                          <a:xfrm>
                            <a:off x="19050" y="1685925"/>
                            <a:ext cx="1710000" cy="19050"/>
                            <a:chOff x="0" y="0"/>
                            <a:chExt cx="2225040" cy="19050"/>
                          </a:xfrm>
                        </wpg:grpSpPr>
                        <wps:wsp>
                          <wps:cNvPr id="237" name="Straight Connector 237"/>
                          <wps:cNvCnPr/>
                          <wps:spPr>
                            <a:xfrm flipV="1">
                              <a:off x="0" y="9525"/>
                              <a:ext cx="1139413" cy="9525"/>
                            </a:xfrm>
                            <a:prstGeom prst="line">
                              <a:avLst/>
                            </a:prstGeom>
                            <a:noFill/>
                            <a:ln w="57150" cap="flat" cmpd="sng" algn="ctr">
                              <a:solidFill>
                                <a:srgbClr val="4472C4"/>
                              </a:solidFill>
                              <a:prstDash val="solid"/>
                              <a:miter lim="800000"/>
                            </a:ln>
                            <a:effectLst/>
                          </wps:spPr>
                          <wps:bodyPr/>
                        </wps:wsp>
                        <wps:wsp>
                          <wps:cNvPr id="238" name="Straight Connector 238"/>
                          <wps:cNvCnPr/>
                          <wps:spPr>
                            <a:xfrm flipV="1">
                              <a:off x="1085850" y="0"/>
                              <a:ext cx="1139190" cy="9525"/>
                            </a:xfrm>
                            <a:prstGeom prst="line">
                              <a:avLst/>
                            </a:prstGeom>
                            <a:noFill/>
                            <a:ln w="57150" cap="flat" cmpd="sng" algn="ctr">
                              <a:solidFill>
                                <a:srgbClr val="70AD47"/>
                              </a:solidFill>
                              <a:prstDash val="solid"/>
                              <a:miter lim="800000"/>
                            </a:ln>
                            <a:effectLst/>
                          </wps:spPr>
                          <wps:bodyPr/>
                        </wps:wsp>
                      </wpg:grpSp>
                    </wpg:wgp>
                  </a:graphicData>
                </a:graphic>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group w14:anchorId="35F14083" id="Group 234" o:spid="_x0000_s1026" style="position:absolute;margin-left:329.65pt;margin-top:.8pt;width:118.55pt;height:141.75pt;z-index:251804672;mso-height-relative:margin" coordsize="17526,172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">
                <v:shape id="Picture 235" o:spid="_x0000_s1027" type="#_x0000_t75" style="position:absolute;width:17526;height:17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">
                  <v:imagedata r:id="rId126" o:title=""/>
                </v:shape>
                <v:group id="Group 236" o:spid="_x0000_s1028" style="position:absolute;left:190;top:16859;width:17100;height:190" coordsize="22250,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">
                  <v:line id="Straight Connector 237" o:spid="_x0000_s1029" style="position:absolute;flip:y;visibility:visible;mso-wrap-style:square" from="0,95" to="11394,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" strokecolor="#4472c4" strokeweight="4.5pt">
                    <v:stroke joinstyle="miter"/>
                  </v:line>
                  <v:line id="Straight Connector 238" o:spid="_x0000_s1030" style="position:absolute;flip:y;visibility:visible;mso-wrap-style:square" from="10858,0" to="2225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" strokecolor="#70ad47" strokeweight="4.5pt">
                    <v:stroke joinstyle="miter"/>
                  </v:line>
                </v:group>
                <w10:wrap type="square"/>
              </v:group>
            </w:pict>
          </mc:Fallback>
        </mc:AlternateContent>
      </w:r>
      <w:r w:rsidR="00333B37">
        <w:t>The National Bureau of Statistics (NBS) in collaboration with the Ministry of Agriculture; Ministry of Livestock and Fisheries; President's Office, Regional Administration and Local Governments; Ministry of Industry and Trade; Ministry of Agriculture, Irrigation, Natural Resources and Livestock, Zanzibar; and Office of the Chief Government Statistician, Zanzibar conducted the National Sample Census of Agriculture at the end of the 2019/20 agricultural year.</w:t>
      </w:r>
    </w:p>
    <w:p w14:paraId="11905D19" w14:textId="04B36AF9" w:rsidR="00333B37" w:rsidRDefault="00333B37" w:rsidP="00333B37">
      <w:pPr>
        <w:spacing w:line="240" w:lineRule="auto"/>
        <w:contextualSpacing w:val="0"/>
      </w:pPr>
    </w:p>
    <w:p w14:paraId="6A5050AF" w14:textId="624AD9E4" w:rsidR="00333B37" w:rsidRDefault="00333B37" w:rsidP="00333B37">
      <w:pPr>
        <w:spacing w:line="312" w:lineRule="auto"/>
        <w:contextualSpacing w:val="0"/>
      </w:pPr>
      <w:r>
        <w:t xml:space="preserve">The National Sample Census of Agriculture </w:t>
      </w:r>
      <w:r w:rsidR="006F5C8C">
        <w:t xml:space="preserve">2019/20 </w:t>
      </w:r>
      <w:r>
        <w:t>collected detailed data on rural and urban agricultural households, land ownership, land use, crops production, agro processing, irrigation, use of inputs, crop extension services and agricultural mechanization. Other data collected were access to credit, market information, agricultur</w:t>
      </w:r>
      <w:r w:rsidR="00A032AC">
        <w:t>al</w:t>
      </w:r>
      <w:r>
        <w:t xml:space="preserve"> constraints, poverty indicators, livestock population and production of livestock products, livestock extension services, fish farming and beekeeping. The census covered smallholders farming </w:t>
      </w:r>
      <w:r w:rsidR="006F5C8C">
        <w:t xml:space="preserve">at </w:t>
      </w:r>
      <w:r>
        <w:t>household</w:t>
      </w:r>
      <w:r w:rsidR="006F5C8C">
        <w:t xml:space="preserve"> level</w:t>
      </w:r>
      <w:r>
        <w:t xml:space="preserve"> and commercial large scale farms. </w:t>
      </w:r>
    </w:p>
    <w:p w14:paraId="26344A27" w14:textId="77777777" w:rsidR="00333B37" w:rsidRDefault="00333B37" w:rsidP="00333B37">
      <w:pPr>
        <w:spacing w:line="240" w:lineRule="auto"/>
        <w:contextualSpacing w:val="0"/>
      </w:pPr>
    </w:p>
    <w:p w14:paraId="3F0D8852" w14:textId="7FD64788" w:rsidR="00333B37" w:rsidRDefault="00333B37" w:rsidP="00333B37">
      <w:pPr>
        <w:spacing w:line="312" w:lineRule="auto"/>
        <w:contextualSpacing w:val="0"/>
      </w:pPr>
      <w:r>
        <w:t xml:space="preserve">This report provide data disaggregated at National and Regional level. The report provides detailed statistics of different indicators that </w:t>
      </w:r>
      <w:r w:rsidR="006F5C8C">
        <w:t>serves</w:t>
      </w:r>
      <w:r>
        <w:t xml:space="preserve"> as planning tool for the Government planners, researchers, policy makers</w:t>
      </w:r>
      <w:r w:rsidR="00725763">
        <w:t xml:space="preserve"> </w:t>
      </w:r>
      <w:r>
        <w:t>and other stakeholders involved in agriculture and rural development. In addition, the report provides comprehensive data that serve as a monitoring and evaluation tool for rural development interventions.</w:t>
      </w:r>
    </w:p>
    <w:p w14:paraId="05337694" w14:textId="77777777" w:rsidR="00333B37" w:rsidRPr="00350D35" w:rsidRDefault="00333B37" w:rsidP="00333B37">
      <w:pPr>
        <w:spacing w:line="240" w:lineRule="auto"/>
        <w:contextualSpacing w:val="0"/>
      </w:pPr>
    </w:p>
    <w:p w14:paraId="2258B581" w14:textId="46082182" w:rsidR="00333B37" w:rsidRDefault="00333B37" w:rsidP="00333B37">
      <w:pPr>
        <w:spacing w:line="312" w:lineRule="auto"/>
        <w:contextualSpacing w:val="0"/>
      </w:pPr>
      <w:r>
        <w:t xml:space="preserve">I therefore express my sincere appreciation to </w:t>
      </w:r>
      <w:r w:rsidR="006F5C8C">
        <w:t xml:space="preserve">the </w:t>
      </w:r>
      <w:r>
        <w:t xml:space="preserve">Census Technical Committee comprised of senior staff from the NBS, OCGS and ASLMs for their commendable work. My appreciation as well </w:t>
      </w:r>
      <w:r w:rsidR="006F5C8C">
        <w:t>extend</w:t>
      </w:r>
      <w:r w:rsidR="00076B2A">
        <w:t>s</w:t>
      </w:r>
      <w:r>
        <w:t xml:space="preserve"> to all the professionals, Regional and District supervisors and field enumerators for their dedicated work. Certainly, without their commitment, the census would not have been successful.</w:t>
      </w:r>
    </w:p>
    <w:p w14:paraId="4037D002" w14:textId="033383F7" w:rsidR="00333B37" w:rsidRDefault="008D2961" w:rsidP="00333B37">
      <w:pPr>
        <w:spacing w:line="312" w:lineRule="auto"/>
        <w:contextualSpacing w:val="0"/>
      </w:pPr>
      <w:r>
        <w:rPr>
          <w:rFonts w:eastAsia="SimSun" w:cs="Arial"/>
          <w:noProof/>
          <w:sz w:val="20"/>
        </w:rPr>
        <w:drawing>
          <wp:anchor distT="0" distB="0" distL="114300" distR="114300" simplePos="0" relativeHeight="251828224" behindDoc="1" locked="0" layoutInCell="1" allowOverlap="1" wp14:anchorId="142230AF" wp14:editId="2B6956CB">
            <wp:simplePos x="0" y="0"/>
            <wp:positionH relativeFrom="column">
              <wp:posOffset>87630</wp:posOffset>
            </wp:positionH>
            <wp:positionV relativeFrom="paragraph">
              <wp:posOffset>159385</wp:posOffset>
            </wp:positionV>
            <wp:extent cx="958215" cy="440055"/>
            <wp:effectExtent l="0" t="0" r="0" b="4445"/>
            <wp:wrapTight wrapText="bothSides">
              <wp:wrapPolygon edited="0">
                <wp:start x="0" y="0"/>
                <wp:lineTo x="0" y="21195"/>
                <wp:lineTo x="21185" y="21195"/>
                <wp:lineTo x="21185" y="0"/>
                <wp:lineTo x="0" y="0"/>
              </wp:wrapPolygon>
            </wp:wrapTight>
            <wp:docPr id="1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cstate="print"/>
                    <a:srcRect/>
                    <a:stretch>
                      <a:fillRect/>
                    </a:stretch>
                  </pic:blipFill>
                  <pic:spPr bwMode="auto">
                    <a:xfrm>
                      <a:off x="0" y="0"/>
                      <a:ext cx="958215" cy="4400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833B4C5" w14:textId="6A5A4284" w:rsidR="00333B37" w:rsidRDefault="00333B37" w:rsidP="00333B37">
      <w:pPr>
        <w:spacing w:line="312" w:lineRule="auto"/>
        <w:contextualSpacing w:val="0"/>
        <w:rPr>
          <w:sz w:val="28"/>
          <w:szCs w:val="28"/>
        </w:rPr>
      </w:pPr>
    </w:p>
    <w:p w14:paraId="23B6AD1B" w14:textId="77777777" w:rsidR="008D2961" w:rsidRDefault="008D2961" w:rsidP="00333B37">
      <w:pPr>
        <w:spacing w:line="312" w:lineRule="auto"/>
        <w:contextualSpacing w:val="0"/>
        <w:rPr>
          <w:sz w:val="28"/>
          <w:szCs w:val="28"/>
        </w:rPr>
      </w:pPr>
    </w:p>
    <w:p w14:paraId="32AAAD74" w14:textId="65B5FD49" w:rsidR="00333B37" w:rsidRDefault="00333B37" w:rsidP="00333B37">
      <w:pPr>
        <w:spacing w:line="312" w:lineRule="auto"/>
        <w:contextualSpacing w:val="0"/>
        <w:rPr>
          <w:b/>
        </w:rPr>
      </w:pPr>
      <w:r>
        <w:rPr>
          <w:b/>
        </w:rPr>
        <w:t>Dr. Albina Chuwa</w:t>
      </w:r>
    </w:p>
    <w:p w14:paraId="58CD0458" w14:textId="77777777" w:rsidR="00333B37" w:rsidRDefault="00333B37" w:rsidP="00333B37">
      <w:pPr>
        <w:spacing w:before="60" w:line="312" w:lineRule="auto"/>
        <w:contextualSpacing w:val="0"/>
        <w:rPr>
          <w:b/>
        </w:rPr>
      </w:pPr>
      <w:r>
        <w:rPr>
          <w:b/>
        </w:rPr>
        <w:t>Statistician General</w:t>
      </w:r>
    </w:p>
    <w:p w14:paraId="4C2C8F91" w14:textId="77777777" w:rsidR="00333B37" w:rsidRDefault="00333B37" w:rsidP="00333B37">
      <w:pPr>
        <w:spacing w:before="60" w:line="312" w:lineRule="auto"/>
        <w:contextualSpacing w:val="0"/>
        <w:rPr>
          <w:b/>
        </w:rPr>
      </w:pPr>
      <w:r>
        <w:rPr>
          <w:b/>
        </w:rPr>
        <w:t>National Bureau of Statistics</w:t>
      </w:r>
    </w:p>
    <w:p w14:paraId="507FFFB5" w14:textId="61F9454F" w:rsidR="0071342E" w:rsidRDefault="0071342E" w:rsidP="00AD73C6">
      <w:pPr>
        <w:spacing w:line="312" w:lineRule="auto"/>
        <w:contextualSpacing w:val="0"/>
        <w:rPr>
          <w:b/>
        </w:rPr>
      </w:pPr>
      <w:r>
        <w:rPr>
          <w:b/>
        </w:rPr>
        <w:br w:type="page"/>
      </w:r>
    </w:p>
    <w:p w14:paraId="0ED26A28" w14:textId="598193C0" w:rsidR="0082649A" w:rsidRPr="006B42D6" w:rsidRDefault="0082649A" w:rsidP="00BA6DB0">
      <w:pPr>
        <w:pStyle w:val="Heading5"/>
      </w:pPr>
      <w:bookmarkStart w:id="19" w:name="_Toc82385616"/>
      <w:r w:rsidRPr="006B42D6">
        <w:lastRenderedPageBreak/>
        <w:t>EXECUTIVE SUMMARY</w:t>
      </w:r>
      <w:bookmarkEnd w:id="19"/>
    </w:p>
    <w:p w14:paraId="200DA5DD" w14:textId="3EDE4D41" w:rsidR="008F056E" w:rsidRPr="006D2A05" w:rsidRDefault="0082649A" w:rsidP="0071342E">
      <w:pPr>
        <w:rPr>
          <w:lang w:val="en-GB"/>
        </w:rPr>
      </w:pPr>
      <w:r w:rsidRPr="006B42D6">
        <w:t>At the end of 201</w:t>
      </w:r>
      <w:r w:rsidR="00D164FF" w:rsidRPr="006B42D6">
        <w:t>9</w:t>
      </w:r>
      <w:r w:rsidRPr="006B42D6">
        <w:t>/</w:t>
      </w:r>
      <w:r w:rsidR="00D164FF" w:rsidRPr="006B42D6">
        <w:t xml:space="preserve">20 </w:t>
      </w:r>
      <w:r w:rsidRPr="006B42D6">
        <w:t xml:space="preserve">Agricultural year, the Government of Tanzania carried out the </w:t>
      </w:r>
      <w:r w:rsidR="006D2A05">
        <w:t xml:space="preserve">National </w:t>
      </w:r>
      <w:r w:rsidR="006D2A05" w:rsidRPr="006B42D6">
        <w:t xml:space="preserve">Sample Census </w:t>
      </w:r>
      <w:r w:rsidR="006D2A05">
        <w:t xml:space="preserve">of </w:t>
      </w:r>
      <w:r w:rsidRPr="006B42D6">
        <w:t>Agriculture</w:t>
      </w:r>
      <w:r w:rsidR="006D2A05">
        <w:t xml:space="preserve">. </w:t>
      </w:r>
      <w:r w:rsidRPr="006B42D6">
        <w:t xml:space="preserve">The Census covered both </w:t>
      </w:r>
      <w:r w:rsidR="00D164FF" w:rsidRPr="006B42D6">
        <w:t xml:space="preserve">smallholder farmers and </w:t>
      </w:r>
      <w:r w:rsidRPr="006B42D6">
        <w:t>large scale farms</w:t>
      </w:r>
      <w:r w:rsidR="00515969" w:rsidRPr="006B42D6">
        <w:t>.</w:t>
      </w:r>
      <w:r w:rsidRPr="006B42D6">
        <w:t xml:space="preserve"> </w:t>
      </w:r>
      <w:r w:rsidR="00D164FF" w:rsidRPr="006B42D6">
        <w:t xml:space="preserve">From </w:t>
      </w:r>
      <w:r w:rsidRPr="006B42D6">
        <w:t>a total of 12,007,839 households in Tanzania (</w:t>
      </w:r>
      <w:r w:rsidRPr="006B42D6">
        <w:rPr>
          <w:bCs/>
        </w:rPr>
        <w:t xml:space="preserve">11,659,589 in </w:t>
      </w:r>
      <w:r w:rsidR="00EA1552">
        <w:rPr>
          <w:bCs/>
        </w:rPr>
        <w:t>Mainland Tanzania</w:t>
      </w:r>
      <w:r w:rsidRPr="006B42D6">
        <w:rPr>
          <w:bCs/>
        </w:rPr>
        <w:t xml:space="preserve"> and </w:t>
      </w:r>
      <w:r w:rsidRPr="006B42D6">
        <w:t xml:space="preserve">348,250 in Tanzania Zanzibar), 7,837,405 households (65.3 percent) were involved in agricultural activities. Of the total Agriculture households, 5,088,135 (64.9 percent) were involved in crops only, 2,589,156 (33.0 percent) households engaged in crops and livestock, </w:t>
      </w:r>
      <w:r w:rsidR="00D164FF" w:rsidRPr="006B42D6">
        <w:t>154,29</w:t>
      </w:r>
      <w:r w:rsidR="0078683A">
        <w:t>0</w:t>
      </w:r>
      <w:r w:rsidR="00D164FF" w:rsidRPr="006B42D6">
        <w:t xml:space="preserve"> (2.0 percent) were involved in livestock only, </w:t>
      </w:r>
      <w:r w:rsidRPr="006B42D6">
        <w:t xml:space="preserve">whilst the least number of households were involved in fish farming (1,358) and pastoralism (1,465), jointly having less than one percent. There were 1,093 </w:t>
      </w:r>
      <w:r w:rsidR="00D164FF" w:rsidRPr="006B42D6">
        <w:t>large scale farms, from which 554 were dealing with crop production only,</w:t>
      </w:r>
      <w:r w:rsidR="003403D7">
        <w:t xml:space="preserve"> </w:t>
      </w:r>
      <w:r w:rsidR="00D164FF" w:rsidRPr="006B42D6">
        <w:t>277 were dealing with livestock only, crops and livestock were 202 and 60 farms were dealing with fish farming</w:t>
      </w:r>
      <w:r w:rsidRPr="006B42D6">
        <w:t>.</w:t>
      </w:r>
    </w:p>
    <w:p w14:paraId="2312B548" w14:textId="77777777" w:rsidR="008F056E" w:rsidRPr="003B38D6" w:rsidRDefault="008F056E" w:rsidP="003D4FF9">
      <w:pPr>
        <w:spacing w:line="240" w:lineRule="auto"/>
        <w:rPr>
          <w:sz w:val="20"/>
          <w:szCs w:val="20"/>
        </w:rPr>
      </w:pPr>
    </w:p>
    <w:p w14:paraId="0367BB91" w14:textId="1D2CF047" w:rsidR="008F056E" w:rsidRDefault="0082649A" w:rsidP="0071342E">
      <w:r w:rsidRPr="006B42D6">
        <w:t xml:space="preserve">The total land area available to smallholder </w:t>
      </w:r>
      <w:r w:rsidR="00D164FF" w:rsidRPr="006B42D6">
        <w:t xml:space="preserve">farmers </w:t>
      </w:r>
      <w:r w:rsidRPr="006B42D6">
        <w:t>either through formal titles or customary rights was 20,774,26</w:t>
      </w:r>
      <w:r w:rsidR="0078683A">
        <w:t>7</w:t>
      </w:r>
      <w:r w:rsidRPr="006B42D6">
        <w:t xml:space="preserve"> ha (</w:t>
      </w:r>
      <w:r w:rsidR="006D2A05">
        <w:t xml:space="preserve">an average of </w:t>
      </w:r>
      <w:r w:rsidRPr="006B42D6">
        <w:t>2.7 ha per household), though households use</w:t>
      </w:r>
      <w:r w:rsidR="0078683A">
        <w:t>d</w:t>
      </w:r>
      <w:r w:rsidRPr="006B42D6">
        <w:t xml:space="preserve"> only an average of 2.3 ha for </w:t>
      </w:r>
      <w:r w:rsidR="0078683A">
        <w:t>a</w:t>
      </w:r>
      <w:r w:rsidRPr="006B42D6">
        <w:t xml:space="preserve">griculture activities during 2019/20 agricultural year. Nationally, the total </w:t>
      </w:r>
      <w:r w:rsidR="0078683A">
        <w:t xml:space="preserve">utilized </w:t>
      </w:r>
      <w:r w:rsidRPr="006B42D6">
        <w:t xml:space="preserve">land was </w:t>
      </w:r>
      <w:r w:rsidR="0078683A">
        <w:t>16,717,289</w:t>
      </w:r>
      <w:r w:rsidRPr="006B42D6">
        <w:t xml:space="preserve"> ha, of which </w:t>
      </w:r>
      <w:r w:rsidR="0078683A">
        <w:t>16,547,420</w:t>
      </w:r>
      <w:r w:rsidRPr="006B42D6">
        <w:t xml:space="preserve"> </w:t>
      </w:r>
      <w:r w:rsidR="0078683A">
        <w:t>we</w:t>
      </w:r>
      <w:r w:rsidRPr="006B42D6">
        <w:t xml:space="preserve">re located in the </w:t>
      </w:r>
      <w:r w:rsidR="00EA1552">
        <w:t>Mainland Tanzania</w:t>
      </w:r>
      <w:r w:rsidRPr="006B42D6">
        <w:t xml:space="preserve"> and </w:t>
      </w:r>
      <w:r w:rsidR="0078683A">
        <w:t>169,869</w:t>
      </w:r>
      <w:r w:rsidRPr="006B42D6">
        <w:t xml:space="preserve"> ha in Tanzania Zanzibar. </w:t>
      </w:r>
    </w:p>
    <w:p w14:paraId="5BD656E7" w14:textId="77777777" w:rsidR="008F056E" w:rsidRPr="003B38D6" w:rsidRDefault="008F056E" w:rsidP="003D4FF9">
      <w:pPr>
        <w:spacing w:line="240" w:lineRule="auto"/>
        <w:rPr>
          <w:sz w:val="20"/>
          <w:szCs w:val="20"/>
        </w:rPr>
      </w:pPr>
    </w:p>
    <w:p w14:paraId="4FA185A5" w14:textId="77777777" w:rsidR="003D2B99" w:rsidRDefault="0082649A" w:rsidP="0071342E">
      <w:r w:rsidRPr="006B42D6">
        <w:t>Most of the land (66.4 percent) was planted with annual crops (including fallow), while permanent or perennial crops occupied 16 percent and about 7 percent was planted with a mixture of annual and permanent crops</w:t>
      </w:r>
      <w:r w:rsidR="006D2A05">
        <w:t xml:space="preserve"> </w:t>
      </w:r>
      <w:r w:rsidR="00D164FF" w:rsidRPr="006D2A05">
        <w:t>and 7 percent</w:t>
      </w:r>
      <w:r w:rsidR="00D164FF" w:rsidRPr="006B42D6">
        <w:t xml:space="preserve"> was area of uncultivated usable land. The rest of the land was either planted with tre</w:t>
      </w:r>
      <w:r w:rsidR="0078683A">
        <w:t>e</w:t>
      </w:r>
      <w:r w:rsidR="00D164FF" w:rsidRPr="006B42D6">
        <w:t>s, rented to others or under pastures/natural bush.</w:t>
      </w:r>
      <w:r w:rsidRPr="006B42D6">
        <w:t xml:space="preserve"> Land sufficiency shows that, only 33 percent of agricultural households reported that, they had sufficient land for their agricultur</w:t>
      </w:r>
      <w:r w:rsidR="00D164FF" w:rsidRPr="006B42D6">
        <w:t>al</w:t>
      </w:r>
      <w:r w:rsidRPr="006B42D6">
        <w:t xml:space="preserve"> activities. </w:t>
      </w:r>
    </w:p>
    <w:p w14:paraId="0C943399" w14:textId="77777777" w:rsidR="003D2B99" w:rsidRPr="003B38D6" w:rsidRDefault="003D2B99" w:rsidP="003B38D6">
      <w:pPr>
        <w:spacing w:line="240" w:lineRule="auto"/>
        <w:rPr>
          <w:sz w:val="20"/>
          <w:szCs w:val="20"/>
        </w:rPr>
      </w:pPr>
    </w:p>
    <w:p w14:paraId="171B617D" w14:textId="0F8A2D19" w:rsidR="0082649A" w:rsidRPr="006B42D6" w:rsidRDefault="003D2B99" w:rsidP="0071342E">
      <w:r w:rsidRPr="00E15C0D">
        <w:t>Generally, cereals were the main type of crops grown by smallholder farmers across the country occupying 7,406,207 ha of the total land under annual crops, followed by oil seed and nut crops (1,518,585 ha); pulses (beans, pigeon peas, cowpeas and green grams) planted on 1,426,783 ha and roots and tubers that were planted on 1,113,006 ha. A large proportion of these crops were planted during long rainy season.</w:t>
      </w:r>
      <w:r>
        <w:t xml:space="preserve"> </w:t>
      </w:r>
      <w:r w:rsidR="0082649A" w:rsidRPr="006B42D6">
        <w:t>Nationwide, maize was the most widely planted crop by smallholder farmers (7,392,112</w:t>
      </w:r>
      <w:r w:rsidR="00D164FF" w:rsidRPr="006B42D6">
        <w:t xml:space="preserve"> households</w:t>
      </w:r>
      <w:r w:rsidR="0082649A" w:rsidRPr="006B42D6">
        <w:t>)</w:t>
      </w:r>
      <w:r w:rsidR="00A872CE">
        <w:t xml:space="preserve"> with </w:t>
      </w:r>
      <w:r w:rsidR="00A1140C">
        <w:t xml:space="preserve">a total of </w:t>
      </w:r>
      <w:r w:rsidR="00A1140C" w:rsidRPr="006B42D6">
        <w:t xml:space="preserve">4,931,111 ha </w:t>
      </w:r>
      <w:r w:rsidR="00A1140C">
        <w:t xml:space="preserve">were </w:t>
      </w:r>
      <w:r w:rsidR="0082649A" w:rsidRPr="006B42D6">
        <w:t xml:space="preserve">planted, followed by paddy (1,688,241 ha), beans (823,484 ha), </w:t>
      </w:r>
      <w:r w:rsidR="00425B54" w:rsidRPr="006B42D6">
        <w:t xml:space="preserve">cassava </w:t>
      </w:r>
      <w:r w:rsidR="0082649A" w:rsidRPr="006B42D6">
        <w:t>(740,706 ha), groundnuts (</w:t>
      </w:r>
      <w:r w:rsidR="0078683A">
        <w:t>527,142</w:t>
      </w:r>
      <w:r w:rsidR="0082649A" w:rsidRPr="006B42D6">
        <w:t xml:space="preserve"> ha) and sunflower (524,050 ha).</w:t>
      </w:r>
    </w:p>
    <w:p w14:paraId="1077B9E7" w14:textId="77777777" w:rsidR="0082649A" w:rsidRPr="006B42D6" w:rsidRDefault="0082649A" w:rsidP="003A083C">
      <w:pPr>
        <w:spacing w:line="240" w:lineRule="auto"/>
      </w:pPr>
    </w:p>
    <w:p w14:paraId="0CC37F69" w14:textId="42F0C710" w:rsidR="008F056E" w:rsidRDefault="0082649A" w:rsidP="0071342E">
      <w:r w:rsidRPr="006B42D6">
        <w:lastRenderedPageBreak/>
        <w:t xml:space="preserve">The total planted area under irrigation was 289,381 ha, representing 2.5 percent of the total planted area. Area under irrigation in </w:t>
      </w:r>
      <w:r w:rsidR="00EA1552">
        <w:t>Mainland Tanzania</w:t>
      </w:r>
      <w:r w:rsidRPr="006B42D6">
        <w:t xml:space="preserve"> was 272,897</w:t>
      </w:r>
      <w:r w:rsidR="00D164FF" w:rsidRPr="006B42D6">
        <w:t xml:space="preserve"> ha</w:t>
      </w:r>
      <w:r w:rsidRPr="006B42D6">
        <w:t xml:space="preserve"> equivalents to 2.3 percent of the total planted area, while in Tanzania Zanzibar, the area under irrigation was 16,484 ha equivalent to 13.1 percent of the total planted area. Both </w:t>
      </w:r>
      <w:r w:rsidR="00D164FF" w:rsidRPr="006B42D6">
        <w:t xml:space="preserve">in </w:t>
      </w:r>
      <w:r w:rsidR="00EA1552">
        <w:t>Mainland Tanzania</w:t>
      </w:r>
      <w:r w:rsidRPr="006B42D6">
        <w:t xml:space="preserve"> and Tanzania Zanzibar, irrigated crop production was carried out mostly during short rain</w:t>
      </w:r>
      <w:r w:rsidR="00425B54">
        <w:t>y</w:t>
      </w:r>
      <w:r w:rsidRPr="006B42D6">
        <w:t xml:space="preserve"> season. Cereals (48.7 percent) occupied large area under irrigation during short rainy season, followed by fruits and vegetables (34.7 percent), and pulses (14.7 percent). Similar pattern was observed during long rainy season were cereals occupied large area under irrigation (49.6 percent), followed by fruits and vegetables (38.6 percent), and pulses (7.0 percent). </w:t>
      </w:r>
      <w:r w:rsidR="008E5DEC" w:rsidRPr="006B42D6">
        <w:t>The least area irrigated during both short and long rainy seasons was occupied by oil seeds and nuts, and roots and tubers (both had less than 1 percent and 3 percent in short and long rainy seasons respectively).</w:t>
      </w:r>
    </w:p>
    <w:p w14:paraId="49EF5B84" w14:textId="77777777" w:rsidR="008F056E" w:rsidRPr="003B38D6" w:rsidRDefault="008F056E" w:rsidP="003D4FF9">
      <w:pPr>
        <w:spacing w:line="240" w:lineRule="auto"/>
        <w:rPr>
          <w:sz w:val="20"/>
          <w:szCs w:val="20"/>
        </w:rPr>
      </w:pPr>
    </w:p>
    <w:p w14:paraId="0FD68A7C" w14:textId="77777777" w:rsidR="008F056E" w:rsidRDefault="0082649A" w:rsidP="0071342E">
      <w:r w:rsidRPr="006B42D6">
        <w:t>The total planted area with improved seeds was 2,593,526 ha, accounting for 22.0 percent of the total cultivated area. On the other hand, planted area with local seeds was 8,906,314 ha, representing 75.7 percent of the total cultivated area, while the area planted with local and improved seeds was 250,884 ha, which is equivalent to 2.1 percent of the total planted area.</w:t>
      </w:r>
    </w:p>
    <w:p w14:paraId="652BD536" w14:textId="77777777" w:rsidR="008F056E" w:rsidRDefault="008F056E" w:rsidP="003D4FF9">
      <w:pPr>
        <w:spacing w:line="240" w:lineRule="auto"/>
      </w:pPr>
    </w:p>
    <w:p w14:paraId="502B676B" w14:textId="6F415885" w:rsidR="0082649A" w:rsidRDefault="0082649A" w:rsidP="0071342E">
      <w:r w:rsidRPr="006B42D6">
        <w:t xml:space="preserve">Usage of </w:t>
      </w:r>
      <w:r w:rsidR="00AD73C6">
        <w:t>f</w:t>
      </w:r>
      <w:r w:rsidRPr="006B42D6">
        <w:t>ertilizers show that</w:t>
      </w:r>
      <w:r w:rsidRPr="006B42D6">
        <w:rPr>
          <w:bCs/>
        </w:rPr>
        <w:t xml:space="preserve">, 2.5 million hectares, equivalent to 21.4 percent of total planted area, were applied with fertilizers, out which 2.4 million hectares were in </w:t>
      </w:r>
      <w:r w:rsidR="00EA1552">
        <w:rPr>
          <w:bCs/>
        </w:rPr>
        <w:t>Mainland Tanzania</w:t>
      </w:r>
      <w:r w:rsidRPr="006B42D6">
        <w:rPr>
          <w:bCs/>
        </w:rPr>
        <w:t xml:space="preserve"> and 31,612 hectares in Tanzania Zanzibar. Out of the total planted area, </w:t>
      </w:r>
      <w:r w:rsidRPr="006B42D6">
        <w:t xml:space="preserve">13.3 percent </w:t>
      </w:r>
      <w:r w:rsidRPr="006B42D6">
        <w:rPr>
          <w:bCs/>
        </w:rPr>
        <w:t>was applied with organic fertilizers and 8.0 percent with inorganic fertilizers.</w:t>
      </w:r>
    </w:p>
    <w:p w14:paraId="5B21F914" w14:textId="77777777" w:rsidR="006D2A05" w:rsidRPr="002B1A96" w:rsidRDefault="006D2A05" w:rsidP="006D2A05">
      <w:pPr>
        <w:spacing w:line="240" w:lineRule="auto"/>
        <w:rPr>
          <w:sz w:val="20"/>
          <w:szCs w:val="20"/>
        </w:rPr>
      </w:pPr>
    </w:p>
    <w:p w14:paraId="308C9328" w14:textId="77777777" w:rsidR="003B38D6" w:rsidRDefault="0082649A" w:rsidP="0071342E">
      <w:r w:rsidRPr="002B1A96">
        <w:t>Majority of the households in Tanzania (7,477,152</w:t>
      </w:r>
      <w:r w:rsidR="00B25FE9" w:rsidRPr="002B1A96">
        <w:t>;</w:t>
      </w:r>
      <w:r w:rsidRPr="002B1A96">
        <w:t xml:space="preserve"> 95.4 percent), reported to use hand hoe and sword (6,982,450</w:t>
      </w:r>
      <w:r w:rsidR="00B25FE9" w:rsidRPr="002B1A96">
        <w:t>;</w:t>
      </w:r>
      <w:r w:rsidRPr="002B1A96">
        <w:t xml:space="preserve"> 89.1 percent) for their farming activities.</w:t>
      </w:r>
      <w:r w:rsidR="002B1A96">
        <w:t xml:space="preserve"> O</w:t>
      </w:r>
      <w:r w:rsidR="002B1A96" w:rsidRPr="002B1A96">
        <w:t xml:space="preserve">ther </w:t>
      </w:r>
      <w:r w:rsidRPr="002B1A96">
        <w:t>farming implements reported to be used by smallholder farmers, were oxen (27.8 percent), ox plough (26.5 percent), hand sprayer (17.9 percent) and tractors (10.2 percent).</w:t>
      </w:r>
      <w:r w:rsidRPr="006B42D6">
        <w:t xml:space="preserve"> </w:t>
      </w:r>
    </w:p>
    <w:p w14:paraId="4C93E19C" w14:textId="77777777" w:rsidR="0082649A" w:rsidRPr="00425B54" w:rsidRDefault="0082649A" w:rsidP="003A083C">
      <w:pPr>
        <w:spacing w:line="240" w:lineRule="auto"/>
        <w:rPr>
          <w:sz w:val="20"/>
          <w:szCs w:val="20"/>
        </w:rPr>
      </w:pPr>
    </w:p>
    <w:p w14:paraId="6042F483" w14:textId="1CBCF5D9" w:rsidR="0082649A" w:rsidRPr="006B42D6" w:rsidRDefault="0082649A" w:rsidP="0071342E">
      <w:r w:rsidRPr="006B42D6">
        <w:t>Out of 7,677,291 crop growing households in Tanzania, 538,656 households (</w:t>
      </w:r>
      <w:r w:rsidR="005A2D43">
        <w:t>6</w:t>
      </w:r>
      <w:r w:rsidRPr="006B42D6">
        <w:t>.</w:t>
      </w:r>
      <w:r w:rsidR="005A2D43">
        <w:t>9</w:t>
      </w:r>
      <w:r w:rsidRPr="006B42D6">
        <w:t xml:space="preserve"> percent) received crop extension advice during 2019/20 agricultural year. Moreover, from 7,499,219 crops growing households in </w:t>
      </w:r>
      <w:r w:rsidR="00EA1552">
        <w:t>Mainland Tanzania</w:t>
      </w:r>
      <w:r w:rsidRPr="006B42D6">
        <w:t>, 520,757</w:t>
      </w:r>
      <w:r w:rsidR="00425B54">
        <w:t xml:space="preserve"> </w:t>
      </w:r>
      <w:r w:rsidRPr="006B42D6">
        <w:t>(6.8 percent) households received extension service. For the case of Tanzania Zanzibar, out of 178,072 households; 17,899 households equivalent to 10.1 percent reported to receive extension service.</w:t>
      </w:r>
    </w:p>
    <w:p w14:paraId="03AB3370" w14:textId="77777777" w:rsidR="0082649A" w:rsidRPr="00425B54" w:rsidRDefault="0082649A" w:rsidP="003A083C">
      <w:pPr>
        <w:spacing w:line="240" w:lineRule="auto"/>
        <w:rPr>
          <w:sz w:val="20"/>
          <w:szCs w:val="20"/>
        </w:rPr>
      </w:pPr>
    </w:p>
    <w:p w14:paraId="59E10E1A" w14:textId="01C6C6F6" w:rsidR="0082649A" w:rsidRPr="006B42D6" w:rsidRDefault="00881E25" w:rsidP="0071342E">
      <w:r w:rsidRPr="006B42D6">
        <w:t>The number of household members who received credits from different sources for agricultural activities during 2019/20 agricultural year in Tanzania was 294,618</w:t>
      </w:r>
      <w:r w:rsidR="0082649A" w:rsidRPr="006B42D6">
        <w:t xml:space="preserve">, of which </w:t>
      </w:r>
      <w:r w:rsidR="0082649A" w:rsidRPr="006B42D6">
        <w:lastRenderedPageBreak/>
        <w:t xml:space="preserve">217,403 members (73.8 percent) were males and 77,201 (26.2 percent) were females. The </w:t>
      </w:r>
      <w:r w:rsidR="00B25FE9">
        <w:t>s</w:t>
      </w:r>
      <w:r w:rsidR="0082649A" w:rsidRPr="006B42D6">
        <w:t xml:space="preserve">ources of credits received </w:t>
      </w:r>
      <w:r w:rsidRPr="006B42D6">
        <w:t xml:space="preserve">were </w:t>
      </w:r>
      <w:r w:rsidR="0082649A" w:rsidRPr="006B42D6">
        <w:t>categorized as family, friends or relative; bank, cooperative; saving and credit societies; trade/trade store; private individual; NGO/project; and others sources</w:t>
      </w:r>
      <w:r w:rsidR="0082649A" w:rsidRPr="00425B54">
        <w:t>. It was also observed that, 76,214 members (63,059 males; 13,155 females) equivalent to 25.9 percent obtained first credit from family, friends or relatives. This</w:t>
      </w:r>
      <w:r w:rsidRPr="00425B54">
        <w:t xml:space="preserve"> was</w:t>
      </w:r>
      <w:r w:rsidR="0082649A" w:rsidRPr="00425B54">
        <w:t xml:space="preserve"> followed by cooperatives source, obtained by 65,601 members (53,543 males and 12,058 females), equivalent to 22.3 percent and private individual 49,765 (males 39,461 and females 10,304) equivalent to 16.9 percent. However, trade/trade store as another source of credit, recorded 7,982 members (7,320 males and 662 females) equivalent to 2.7 percent, as the lowest number to give the foremost credit to agricultural household members.</w:t>
      </w:r>
      <w:r w:rsidR="0082649A" w:rsidRPr="006B42D6">
        <w:t xml:space="preserve"> </w:t>
      </w:r>
    </w:p>
    <w:p w14:paraId="29E6E10D" w14:textId="23AD1519" w:rsidR="0082649A" w:rsidRPr="00425B54" w:rsidRDefault="0082649A" w:rsidP="00B9178E">
      <w:pPr>
        <w:spacing w:line="240" w:lineRule="auto"/>
        <w:rPr>
          <w:sz w:val="20"/>
          <w:szCs w:val="20"/>
        </w:rPr>
      </w:pPr>
    </w:p>
    <w:p w14:paraId="5B61F919" w14:textId="589E14AA" w:rsidR="003D2B99" w:rsidRPr="006B42D6" w:rsidRDefault="003D2B99" w:rsidP="003D2B99">
      <w:pPr>
        <w:rPr>
          <w:lang w:val="en-GB"/>
        </w:rPr>
      </w:pPr>
      <w:r w:rsidRPr="006B42D6">
        <w:t xml:space="preserve">The total number of households involved in rearing livestock, was 2,747,910 (2,683,454 were in </w:t>
      </w:r>
      <w:r>
        <w:t>Mainland Tanzania</w:t>
      </w:r>
      <w:r w:rsidRPr="006B42D6">
        <w:t xml:space="preserve"> and 64,456 in Tanzania Zanzibar) equivalents to 35 percent of all agricultural households,</w:t>
      </w:r>
      <w:r w:rsidRPr="006B42D6">
        <w:rPr>
          <w:sz w:val="22"/>
          <w:szCs w:val="22"/>
        </w:rPr>
        <w:t xml:space="preserve"> </w:t>
      </w:r>
      <w:r w:rsidRPr="006B42D6">
        <w:rPr>
          <w:szCs w:val="22"/>
        </w:rPr>
        <w:t xml:space="preserve">out of which </w:t>
      </w:r>
      <w:r w:rsidRPr="006B42D6">
        <w:t>1,971,550 households (39.3 percent) raised cattle, followed by goats (1,815,220; 36.2 percent), sheep (677,273; 13.5 percent) and pigs (546,753; 10.9 percent). It was also revealed that,</w:t>
      </w:r>
      <w:r w:rsidRPr="006B42D6">
        <w:rPr>
          <w:lang w:val="en-GB"/>
        </w:rPr>
        <w:t xml:space="preserve"> out of 7,837,405 agricultural households, a total of 4,338,882 (55.4 percent) households raised chicken during 2019/20 agricultural year. Of the total households raised chicken, 4,238,344 were from </w:t>
      </w:r>
      <w:r>
        <w:t>Mainland Tanzania</w:t>
      </w:r>
      <w:r w:rsidRPr="006B42D6">
        <w:rPr>
          <w:lang w:val="en-GB"/>
        </w:rPr>
        <w:t xml:space="preserve"> and 100,538 from </w:t>
      </w:r>
      <w:r w:rsidRPr="006B42D6">
        <w:t>Tanzania Zanzibar</w:t>
      </w:r>
      <w:r w:rsidRPr="006B42D6">
        <w:rPr>
          <w:lang w:val="en-GB"/>
        </w:rPr>
        <w:t>.</w:t>
      </w:r>
    </w:p>
    <w:p w14:paraId="420F2DEF" w14:textId="77777777" w:rsidR="003D2B99" w:rsidRPr="003B38D6" w:rsidRDefault="003D2B99" w:rsidP="00B9178E">
      <w:pPr>
        <w:spacing w:line="240" w:lineRule="auto"/>
        <w:rPr>
          <w:sz w:val="20"/>
          <w:szCs w:val="20"/>
        </w:rPr>
      </w:pPr>
    </w:p>
    <w:p w14:paraId="5C787043" w14:textId="129257C4" w:rsidR="00881E25" w:rsidRDefault="00881E25" w:rsidP="0071342E">
      <w:r w:rsidRPr="006B42D6">
        <w:t xml:space="preserve">There were 33.9 million cattle, of which smallholder farmers raised 33.8 million and large scale farms raised 142,968 cattle. From the total cattle population, 33.7 million heads were from </w:t>
      </w:r>
      <w:r w:rsidR="00EA1552">
        <w:t>Mainland Tanzania</w:t>
      </w:r>
      <w:r w:rsidRPr="006B42D6">
        <w:t xml:space="preserve"> and 270,998 in Tanzania Zanzibar. The number of goats reported was 24.5 million for smallholder farmers and 33,847 from large scale farms. Out of the total goat population, 24.5 million heads were from </w:t>
      </w:r>
      <w:r w:rsidR="00EA1552">
        <w:t>Mainland Tanzania</w:t>
      </w:r>
      <w:r w:rsidRPr="006B42D6">
        <w:t xml:space="preserve"> and 111,623 in Tanzania Zanzibar.</w:t>
      </w:r>
    </w:p>
    <w:p w14:paraId="133DB94C" w14:textId="77777777" w:rsidR="00425B54" w:rsidRPr="003B38D6" w:rsidRDefault="00425B54" w:rsidP="003B38D6">
      <w:pPr>
        <w:spacing w:line="240" w:lineRule="auto"/>
        <w:rPr>
          <w:sz w:val="20"/>
          <w:szCs w:val="20"/>
        </w:rPr>
      </w:pPr>
    </w:p>
    <w:p w14:paraId="572ED906" w14:textId="2B246204" w:rsidR="0082649A" w:rsidRDefault="00881E25" w:rsidP="00AD73C6">
      <w:r w:rsidRPr="006B42D6">
        <w:t xml:space="preserve">The number of sheep for smallholder farmers was 8.5 million and 24,075 for large scale farms, whereby 8,516,056 heads were from </w:t>
      </w:r>
      <w:r w:rsidR="00EA1552">
        <w:t>Mainland Tanzania</w:t>
      </w:r>
      <w:r w:rsidRPr="006B42D6">
        <w:t xml:space="preserve"> and 934 in Tanzania Zanzibar. Furthermore, number of pigs was 3.2 million for smallholder farmers and 5,123 for large scale farms, of which 3,206,286 were from </w:t>
      </w:r>
      <w:r w:rsidR="00EA1552">
        <w:t>Mainland Tanzania</w:t>
      </w:r>
      <w:r w:rsidRPr="006B42D6">
        <w:t xml:space="preserve"> and 2,209 in Tanzania Zanzibar. The total number of chicken reported was 87.7 million, of which 75.1 million were recorded from smallholder farmers and 12.5 million from large scale farms, with 83,895,396 chicken from </w:t>
      </w:r>
      <w:r w:rsidR="00EA1552">
        <w:t>Mainland Tanzania</w:t>
      </w:r>
      <w:r w:rsidRPr="006B42D6">
        <w:t xml:space="preserve"> and 3,764,184 million in Tanzania Zanzibar.</w:t>
      </w:r>
    </w:p>
    <w:p w14:paraId="4B84EB79" w14:textId="77777777" w:rsidR="00881E25" w:rsidRPr="003B38D6" w:rsidRDefault="00881E25" w:rsidP="00B9178E">
      <w:pPr>
        <w:spacing w:line="240" w:lineRule="auto"/>
        <w:rPr>
          <w:sz w:val="20"/>
          <w:szCs w:val="20"/>
        </w:rPr>
      </w:pPr>
    </w:p>
    <w:p w14:paraId="63D12031" w14:textId="2E16FCAE" w:rsidR="0082649A" w:rsidRPr="006B42D6" w:rsidRDefault="0082649A" w:rsidP="0071342E">
      <w:r w:rsidRPr="006B42D6">
        <w:lastRenderedPageBreak/>
        <w:t xml:space="preserve">Production of cow milk during the 2019/20 </w:t>
      </w:r>
      <w:r w:rsidR="00B25FE9">
        <w:t>a</w:t>
      </w:r>
      <w:r w:rsidRPr="006B42D6">
        <w:t xml:space="preserve">gricultural year was 3.13 billion litres, of which 3.11 billion litres were from smallholder farmers and 17.8 million litres from large scale farms. </w:t>
      </w:r>
      <w:r w:rsidR="00881E25" w:rsidRPr="006B42D6">
        <w:t xml:space="preserve">In terms of </w:t>
      </w:r>
      <w:r w:rsidRPr="006B42D6">
        <w:t>Goat milk production</w:t>
      </w:r>
      <w:r w:rsidR="00881E25" w:rsidRPr="006B42D6">
        <w:t>,</w:t>
      </w:r>
      <w:r w:rsidRPr="006B42D6">
        <w:t xml:space="preserve"> </w:t>
      </w:r>
      <w:r w:rsidR="00881E25" w:rsidRPr="006B42D6">
        <w:t>a total of</w:t>
      </w:r>
      <w:r w:rsidRPr="006B42D6">
        <w:t xml:space="preserve"> 25.</w:t>
      </w:r>
      <w:r w:rsidR="00881E25" w:rsidRPr="006B42D6">
        <w:t xml:space="preserve">7 </w:t>
      </w:r>
      <w:r w:rsidRPr="006B42D6">
        <w:t>million litres</w:t>
      </w:r>
      <w:r w:rsidR="00881E25" w:rsidRPr="006B42D6">
        <w:t xml:space="preserve"> were produced</w:t>
      </w:r>
      <w:r w:rsidRPr="006B42D6">
        <w:t>, whereby 25.</w:t>
      </w:r>
      <w:r w:rsidR="00881E25" w:rsidRPr="006B42D6">
        <w:t xml:space="preserve">7 </w:t>
      </w:r>
      <w:r w:rsidRPr="006B42D6">
        <w:t>million litres were produced from smallholder farmers and 12,515 litres from large scale farms. The total eggs production was 4.38 billion, of which 4</w:t>
      </w:r>
      <w:r w:rsidR="00881E25" w:rsidRPr="006B42D6">
        <w:t>.</w:t>
      </w:r>
      <w:r w:rsidRPr="006B42D6">
        <w:t>28 billion (97.8 percent) were from smallholder farmers and 95.27 million (2.2 percent) from large scale farms. Out of the total eggs produced by the smallholder farmers, 4,</w:t>
      </w:r>
      <w:r w:rsidR="00881E25" w:rsidRPr="006B42D6">
        <w:t>151</w:t>
      </w:r>
      <w:r w:rsidRPr="006B42D6">
        <w:t>,</w:t>
      </w:r>
      <w:r w:rsidR="00881E25" w:rsidRPr="006B42D6">
        <w:t>578</w:t>
      </w:r>
      <w:r w:rsidRPr="006B42D6">
        <w:t>,</w:t>
      </w:r>
      <w:r w:rsidR="00881E25" w:rsidRPr="006B42D6">
        <w:t xml:space="preserve">104 </w:t>
      </w:r>
      <w:r w:rsidRPr="006B42D6">
        <w:t xml:space="preserve">eggs were produced in </w:t>
      </w:r>
      <w:r w:rsidR="00881E25" w:rsidRPr="006B42D6">
        <w:t xml:space="preserve">Mainland </w:t>
      </w:r>
      <w:r w:rsidRPr="006B42D6">
        <w:t xml:space="preserve">Tanzania and </w:t>
      </w:r>
      <w:r w:rsidR="00881E25" w:rsidRPr="006B42D6">
        <w:t>224</w:t>
      </w:r>
      <w:r w:rsidRPr="006B42D6">
        <w:t>,</w:t>
      </w:r>
      <w:r w:rsidR="00881E25" w:rsidRPr="006B42D6">
        <w:t>310</w:t>
      </w:r>
      <w:r w:rsidRPr="006B42D6">
        <w:t>,</w:t>
      </w:r>
      <w:r w:rsidR="00881E25" w:rsidRPr="006B42D6">
        <w:t xml:space="preserve">476 </w:t>
      </w:r>
      <w:r w:rsidRPr="006B42D6">
        <w:t xml:space="preserve">in Tanzania Zanzibar. </w:t>
      </w:r>
    </w:p>
    <w:p w14:paraId="68CCD77B" w14:textId="77777777" w:rsidR="0082649A" w:rsidRPr="003B38D6" w:rsidRDefault="0082649A" w:rsidP="00B9178E">
      <w:pPr>
        <w:spacing w:line="240" w:lineRule="auto"/>
        <w:rPr>
          <w:sz w:val="20"/>
          <w:szCs w:val="20"/>
        </w:rPr>
      </w:pPr>
    </w:p>
    <w:p w14:paraId="1573882A" w14:textId="2AF4F72E" w:rsidR="0082649A" w:rsidRDefault="0082649A" w:rsidP="0071342E">
      <w:r w:rsidRPr="006B42D6">
        <w:t xml:space="preserve">Despite the large number of livestock in Tanzania, the prevalence of diseases has remained a challenge in improving livestock productivity. Tick Born Diseases (TBD), Foot and Mouth Disease (FMD), Contagious Bovine Pleura Pneumonia (CBPP), </w:t>
      </w:r>
      <w:r w:rsidR="003B38D6">
        <w:t>t</w:t>
      </w:r>
      <w:r w:rsidRPr="006B42D6">
        <w:t xml:space="preserve">rypanosomiasis and </w:t>
      </w:r>
      <w:r w:rsidR="003B38D6">
        <w:t>h</w:t>
      </w:r>
      <w:r w:rsidRPr="006B42D6">
        <w:t>elminthiasis, were the common diseases in large and small ruminants, while Newcastle Disease (NCD) was the most problematic disease in chicken. There were 4,359,545 cattle infected with TBD</w:t>
      </w:r>
      <w:r w:rsidR="003B38D6">
        <w:t>;</w:t>
      </w:r>
      <w:r w:rsidRPr="006B42D6">
        <w:t xml:space="preserve"> 4,297,145 infected with FMD</w:t>
      </w:r>
      <w:r w:rsidR="003B38D6">
        <w:t xml:space="preserve">; </w:t>
      </w:r>
      <w:r w:rsidRPr="006B42D6">
        <w:t xml:space="preserve">3,872,491 infected with Helminthiasis and 3,516,887 infected with CBPP. As for chicken, more incidences of New Castle Disease (NCD), was amongst the most prevalent disease infecting poultry during 2019/20 Agricultural year. </w:t>
      </w:r>
    </w:p>
    <w:p w14:paraId="35D6C144" w14:textId="77777777" w:rsidR="00B25FE9" w:rsidRPr="003B38D6" w:rsidRDefault="00B25FE9" w:rsidP="00B25FE9">
      <w:pPr>
        <w:spacing w:line="240" w:lineRule="auto"/>
        <w:rPr>
          <w:sz w:val="20"/>
          <w:szCs w:val="20"/>
        </w:rPr>
      </w:pPr>
    </w:p>
    <w:p w14:paraId="6161E39E" w14:textId="7862F18C" w:rsidR="0082649A" w:rsidRDefault="00F62931" w:rsidP="0071342E">
      <w:r>
        <w:t>In controlling ticks, s</w:t>
      </w:r>
      <w:r w:rsidR="0082649A" w:rsidRPr="006B42D6">
        <w:t xml:space="preserve">praying method was practiced by 67.6 percent of the households, while dipping and trapping were practiced by 15.6 and 0.4 percent, respectively. </w:t>
      </w:r>
      <w:r>
        <w:t>Whilst in</w:t>
      </w:r>
      <w:r w:rsidR="0082649A" w:rsidRPr="006B42D6">
        <w:t xml:space="preserve"> </w:t>
      </w:r>
      <w:r>
        <w:t>controlling</w:t>
      </w:r>
      <w:r w:rsidR="0082649A" w:rsidRPr="006B42D6">
        <w:t xml:space="preserve"> Tsetse fly</w:t>
      </w:r>
      <w:r>
        <w:t>,</w:t>
      </w:r>
      <w:r w:rsidR="0082649A" w:rsidRPr="006B42D6">
        <w:t xml:space="preserve"> </w:t>
      </w:r>
      <w:r>
        <w:t>s</w:t>
      </w:r>
      <w:r w:rsidR="0082649A" w:rsidRPr="006B42D6">
        <w:t>praying was the most common method practiced by 72.4 percent of the households. There were 53.6 percent of the households used Newcastle vaccine and 33.1</w:t>
      </w:r>
      <w:r w:rsidR="00B5799F">
        <w:t xml:space="preserve"> percent</w:t>
      </w:r>
      <w:r w:rsidR="0082649A" w:rsidRPr="006B42D6">
        <w:t xml:space="preserve"> used local herbs to control outbreaks of the Newcastle disease. Likewise, </w:t>
      </w:r>
      <w:r w:rsidR="00D65360">
        <w:t>w</w:t>
      </w:r>
      <w:r w:rsidR="0082649A" w:rsidRPr="006B42D6">
        <w:t>orm control was practiced by 664,918 households (56.9 percent) of the livestock keeping households</w:t>
      </w:r>
      <w:r w:rsidR="009707FC">
        <w:t xml:space="preserve"> </w:t>
      </w:r>
      <w:r w:rsidR="0082649A" w:rsidRPr="006B42D6">
        <w:t xml:space="preserve">practiced pest and parasite control. </w:t>
      </w:r>
    </w:p>
    <w:p w14:paraId="5D4680DC" w14:textId="77777777" w:rsidR="00BA6DB0" w:rsidRPr="003B38D6" w:rsidRDefault="00BA6DB0" w:rsidP="003D4FF9">
      <w:pPr>
        <w:spacing w:line="240" w:lineRule="auto"/>
        <w:rPr>
          <w:sz w:val="20"/>
          <w:szCs w:val="20"/>
        </w:rPr>
      </w:pPr>
    </w:p>
    <w:p w14:paraId="592CEA5F" w14:textId="77777777" w:rsidR="00C3754C" w:rsidRPr="006B42D6" w:rsidRDefault="0082649A" w:rsidP="0071342E">
      <w:r w:rsidRPr="006B42D6">
        <w:t xml:space="preserve">The census results reveal that, less than a quantile of the total households rearing livestock, received extension services for their livestock during the reference period. </w:t>
      </w:r>
      <w:r w:rsidR="00C3754C" w:rsidRPr="006B42D6">
        <w:t>A total of 250,768 households (9.1 percent) reported to receive livestock extension services, whereby 244,619 were in Mainland Tanzania and 6,149 in Tanzania Zanzibar.</w:t>
      </w:r>
    </w:p>
    <w:p w14:paraId="7D8EDC88" w14:textId="2B281102" w:rsidR="0082649A" w:rsidRPr="006B42D6" w:rsidRDefault="0082649A" w:rsidP="0082649A"/>
    <w:p w14:paraId="6D3A87B6" w14:textId="77777777" w:rsidR="006D0A06" w:rsidRDefault="006D0A06" w:rsidP="005C2EFC">
      <w:pPr>
        <w:spacing w:line="276" w:lineRule="auto"/>
        <w:rPr>
          <w:b/>
          <w:bCs/>
        </w:rPr>
        <w:sectPr w:rsidR="006D0A06" w:rsidSect="00C36413">
          <w:footerReference w:type="default" r:id="rId128"/>
          <w:type w:val="nextColumn"/>
          <w:pgSz w:w="11900" w:h="16840" w:code="9"/>
          <w:pgMar w:top="1440" w:right="1440" w:bottom="1440" w:left="1440" w:header="709" w:footer="624" w:gutter="0"/>
          <w:pgNumType w:fmt="lowerRoman" w:start="1"/>
          <w:cols w:space="720"/>
          <w:docGrid w:linePitch="360"/>
        </w:sectPr>
      </w:pPr>
    </w:p>
    <w:p w14:paraId="78917A1D" w14:textId="77777777" w:rsidR="00DD7DBB" w:rsidRDefault="00DD7DBB" w:rsidP="00DD7DBB">
      <w:pPr>
        <w:pStyle w:val="Title"/>
      </w:pPr>
      <w:bookmarkStart w:id="20" w:name="_Toc82385617"/>
      <w:r>
        <w:lastRenderedPageBreak/>
        <w:t>CHAPTER ONE</w:t>
      </w:r>
      <w:bookmarkEnd w:id="20"/>
    </w:p>
    <w:p w14:paraId="1798BE01" w14:textId="7B189177" w:rsidR="00715E4F" w:rsidRPr="006B42D6" w:rsidRDefault="00715E4F" w:rsidP="00DD7DBB">
      <w:pPr>
        <w:pStyle w:val="Subtitle"/>
      </w:pPr>
      <w:bookmarkStart w:id="21" w:name="_Toc82385618"/>
      <w:r w:rsidRPr="006B42D6">
        <w:t>BACKGROUND INFORMATION</w:t>
      </w:r>
      <w:bookmarkStart w:id="22" w:name="_TOC_250021"/>
      <w:bookmarkEnd w:id="21"/>
      <w:bookmarkEnd w:id="22"/>
    </w:p>
    <w:p w14:paraId="6FA696D2" w14:textId="4F257050" w:rsidR="00715E4F" w:rsidRPr="0071342E" w:rsidRDefault="00715E4F" w:rsidP="001B01B5">
      <w:pPr>
        <w:pStyle w:val="Heading1"/>
      </w:pPr>
      <w:bookmarkStart w:id="23" w:name="_Toc82385619"/>
      <w:r w:rsidRPr="0071342E">
        <w:t>1.</w:t>
      </w:r>
      <w:r w:rsidR="001B01B5">
        <w:t>0</w:t>
      </w:r>
      <w:r w:rsidR="00E763F5" w:rsidRPr="0071342E">
        <w:tab/>
      </w:r>
      <w:r w:rsidRPr="0071342E">
        <w:t>Introductio</w:t>
      </w:r>
      <w:r w:rsidR="00316636" w:rsidRPr="0071342E">
        <w:t>n</w:t>
      </w:r>
      <w:bookmarkEnd w:id="23"/>
    </w:p>
    <w:p w14:paraId="64F4D944" w14:textId="33BBC10E" w:rsidR="00715E4F" w:rsidRPr="006B42D6" w:rsidRDefault="00715E4F" w:rsidP="0071342E">
      <w:r w:rsidRPr="006B42D6">
        <w:t xml:space="preserve">Agriculture is an important economic sector that play great role to the National economy in Tanzania. In the year 2020, the sector contributed 26.9 percent of the National GDP (Economic Survey Report, 2020). The contribution of </w:t>
      </w:r>
      <w:r w:rsidR="008C1E44" w:rsidRPr="006B42D6">
        <w:t>c</w:t>
      </w:r>
      <w:r w:rsidRPr="006B42D6">
        <w:t>rop</w:t>
      </w:r>
      <w:r w:rsidR="008C1E44" w:rsidRPr="006B42D6">
        <w:t xml:space="preserve"> sub-sector </w:t>
      </w:r>
      <w:r w:rsidRPr="006B42D6">
        <w:t xml:space="preserve">to the GDP was 15.4 percent, Livestock 7.1 percent, Fisheries 1.7 percent and Forest 2.7 percent. The sector is the </w:t>
      </w:r>
      <w:r w:rsidR="008E5DEC" w:rsidRPr="006B42D6">
        <w:t xml:space="preserve">main </w:t>
      </w:r>
      <w:r w:rsidRPr="006B42D6">
        <w:t>source of employment, food production, raw materials for industries</w:t>
      </w:r>
      <w:r w:rsidR="008E5DEC" w:rsidRPr="006B42D6">
        <w:t>,</w:t>
      </w:r>
      <w:r w:rsidRPr="006B42D6">
        <w:t xml:space="preserve"> as well as foreign earning in the country. </w:t>
      </w:r>
      <w:r w:rsidRPr="006B42D6">
        <w:rPr>
          <w:rFonts w:cs="Tahoma"/>
        </w:rPr>
        <w:t>The livestock sub-sector provides best source of animal protein, food security, a source of cash income, manure for the crop fields, draught animal power, and other socio</w:t>
      </w:r>
      <w:r w:rsidR="00C1672C">
        <w:rPr>
          <w:rFonts w:cs="Tahoma"/>
        </w:rPr>
        <w:t>-</w:t>
      </w:r>
      <w:r w:rsidRPr="006B42D6">
        <w:rPr>
          <w:rFonts w:cs="Tahoma"/>
        </w:rPr>
        <w:t xml:space="preserve">economic functions while fisheries provide among others, a source of </w:t>
      </w:r>
      <w:r w:rsidR="008C1E44" w:rsidRPr="006B42D6">
        <w:rPr>
          <w:rFonts w:cs="Tahoma"/>
        </w:rPr>
        <w:t>high-quality</w:t>
      </w:r>
      <w:r w:rsidRPr="006B42D6">
        <w:rPr>
          <w:rFonts w:cs="Tahoma"/>
        </w:rPr>
        <w:t xml:space="preserve"> protein. </w:t>
      </w:r>
      <w:r w:rsidR="008C1E44" w:rsidRPr="006B42D6">
        <w:t>Most</w:t>
      </w:r>
      <w:r w:rsidRPr="006B42D6">
        <w:t xml:space="preserve"> of Tanzanians engaged in agriculture are smallholder farmers </w:t>
      </w:r>
      <w:r w:rsidR="008C1E44" w:rsidRPr="006B42D6">
        <w:t>who</w:t>
      </w:r>
      <w:r w:rsidRPr="006B42D6">
        <w:t xml:space="preserve"> grow </w:t>
      </w:r>
      <w:r w:rsidR="008C1E44" w:rsidRPr="006B42D6">
        <w:t xml:space="preserve">a </w:t>
      </w:r>
      <w:r w:rsidRPr="006B42D6">
        <w:t xml:space="preserve">wide variety of annual and perennial crops such </w:t>
      </w:r>
      <w:r w:rsidR="008C1E44" w:rsidRPr="006B42D6">
        <w:t xml:space="preserve">as paddy, maize, sorghum, beans, cowpeas, green gram, groundnuts, sunflower etc. </w:t>
      </w:r>
      <w:r w:rsidR="00C1672C">
        <w:t>I</w:t>
      </w:r>
      <w:r w:rsidR="008C1E44" w:rsidRPr="006B42D6">
        <w:t>n addition to that</w:t>
      </w:r>
      <w:r w:rsidR="008E5DEC" w:rsidRPr="006B42D6">
        <w:t>,</w:t>
      </w:r>
      <w:r w:rsidR="008C1E44" w:rsidRPr="006B42D6">
        <w:t xml:space="preserve"> farmers also grow wide varieties of fruits and vegetables such as tomatoes</w:t>
      </w:r>
      <w:r w:rsidRPr="006B42D6">
        <w:t xml:space="preserve">, </w:t>
      </w:r>
      <w:r w:rsidR="008C1E44" w:rsidRPr="006B42D6">
        <w:t>onion, cabbage, amaranth, orange, mango, banana, pawpaw, waterme</w:t>
      </w:r>
      <w:r w:rsidRPr="006B42D6">
        <w:t xml:space="preserve">lon etc. </w:t>
      </w:r>
      <w:r w:rsidR="008C1E44" w:rsidRPr="006B42D6">
        <w:t>Cash crops including c</w:t>
      </w:r>
      <w:r w:rsidRPr="006B42D6">
        <w:t xml:space="preserve">otton, </w:t>
      </w:r>
      <w:r w:rsidR="008C1E44" w:rsidRPr="006B42D6">
        <w:t>t</w:t>
      </w:r>
      <w:r w:rsidRPr="006B42D6">
        <w:t xml:space="preserve">obacco, </w:t>
      </w:r>
      <w:r w:rsidR="008C1E44" w:rsidRPr="006B42D6">
        <w:t xml:space="preserve">sisal, cashew nuts, coffee </w:t>
      </w:r>
      <w:r w:rsidRPr="006B42D6">
        <w:t xml:space="preserve">and </w:t>
      </w:r>
      <w:r w:rsidR="008C1E44" w:rsidRPr="006B42D6">
        <w:t>tea</w:t>
      </w:r>
      <w:r w:rsidRPr="006B42D6">
        <w:t xml:space="preserve"> are mainly grown by smallholders and commercial large scale farm</w:t>
      </w:r>
      <w:r w:rsidR="00CB0913" w:rsidRPr="006B42D6">
        <w:t>s</w:t>
      </w:r>
      <w:r w:rsidRPr="006B42D6">
        <w:t xml:space="preserve"> for export. For the livestock sub-sector, the majority are smallholders engaged in rearing of indigenous cattle, sheep, goats and chicken while fishing and fish farming is practiced at small scale.</w:t>
      </w:r>
    </w:p>
    <w:p w14:paraId="204003F6" w14:textId="77777777" w:rsidR="00715E4F" w:rsidRPr="006B42D6" w:rsidRDefault="00715E4F" w:rsidP="00B9178E">
      <w:pPr>
        <w:spacing w:line="240" w:lineRule="auto"/>
      </w:pPr>
    </w:p>
    <w:p w14:paraId="52E4AA51" w14:textId="2088E04B" w:rsidR="00715E4F" w:rsidRPr="006B42D6" w:rsidRDefault="00715E4F" w:rsidP="0071342E">
      <w:r w:rsidRPr="006B42D6">
        <w:t>This report focus</w:t>
      </w:r>
      <w:r w:rsidR="008C1E44" w:rsidRPr="006B42D6">
        <w:t>es</w:t>
      </w:r>
      <w:r w:rsidRPr="006B42D6">
        <w:t xml:space="preserve"> on the data related to agricultural households, land ownership, land use, crop production, agro processing, irrigation use, use of input</w:t>
      </w:r>
      <w:r w:rsidR="008E5DEC" w:rsidRPr="006B42D6">
        <w:t>s</w:t>
      </w:r>
      <w:r w:rsidRPr="006B42D6">
        <w:t>, crop extension</w:t>
      </w:r>
      <w:r w:rsidR="00376FB5">
        <w:t xml:space="preserve"> services</w:t>
      </w:r>
      <w:r w:rsidR="008C1E44" w:rsidRPr="006B42D6">
        <w:t xml:space="preserve"> and </w:t>
      </w:r>
      <w:r w:rsidRPr="006B42D6">
        <w:t>agriculture mechanization</w:t>
      </w:r>
      <w:r w:rsidR="008C1E44" w:rsidRPr="006B42D6">
        <w:t xml:space="preserve">. Others are </w:t>
      </w:r>
      <w:r w:rsidRPr="006B42D6">
        <w:t>access to credit, market information, agriculture constraint</w:t>
      </w:r>
      <w:r w:rsidR="002A05C9">
        <w:t>s</w:t>
      </w:r>
      <w:r w:rsidRPr="006B42D6">
        <w:t xml:space="preserve">, poverty indicators in agricultural households, livestock rearing and production of livestock products, livestock diseases, cattle identification, fish farming and beekeeping. </w:t>
      </w:r>
    </w:p>
    <w:p w14:paraId="2966B6E0" w14:textId="77777777" w:rsidR="00715E4F" w:rsidRPr="006B42D6" w:rsidRDefault="00715E4F" w:rsidP="00B9178E">
      <w:pPr>
        <w:spacing w:line="240" w:lineRule="auto"/>
      </w:pPr>
    </w:p>
    <w:p w14:paraId="648273DC" w14:textId="548B885E" w:rsidR="00715E4F" w:rsidRPr="006B42D6" w:rsidRDefault="00715E4F" w:rsidP="0071342E">
      <w:r w:rsidRPr="006B42D6">
        <w:t xml:space="preserve">The report describes the agricultural activities at National and Regional level that take place in both sides of the United Republic of Tanzania. </w:t>
      </w:r>
      <w:r w:rsidR="008E5DEC" w:rsidRPr="006B42D6">
        <w:t xml:space="preserve">This </w:t>
      </w:r>
      <w:r w:rsidRPr="006B42D6">
        <w:t xml:space="preserve">report is divided into </w:t>
      </w:r>
      <w:r w:rsidR="00C06F44" w:rsidRPr="006B42D6">
        <w:t>seven</w:t>
      </w:r>
      <w:r w:rsidRPr="006B42D6">
        <w:t xml:space="preserve"> chapters that are </w:t>
      </w:r>
      <w:r w:rsidR="002A05C9">
        <w:t>B</w:t>
      </w:r>
      <w:r w:rsidRPr="006B42D6">
        <w:t>ackground</w:t>
      </w:r>
      <w:r w:rsidR="002A05C9">
        <w:t xml:space="preserve"> Information</w:t>
      </w:r>
      <w:r w:rsidR="008C1E44" w:rsidRPr="006B42D6">
        <w:t>,</w:t>
      </w:r>
      <w:r w:rsidRPr="006B42D6">
        <w:t xml:space="preserve"> </w:t>
      </w:r>
      <w:r w:rsidR="005E536D" w:rsidRPr="006B42D6">
        <w:t>Demographics</w:t>
      </w:r>
      <w:r w:rsidR="008C1E44" w:rsidRPr="006B42D6">
        <w:t>,</w:t>
      </w:r>
      <w:r w:rsidR="005E536D" w:rsidRPr="006B42D6">
        <w:t xml:space="preserve"> </w:t>
      </w:r>
      <w:r w:rsidRPr="006B42D6">
        <w:t>Crops</w:t>
      </w:r>
      <w:r w:rsidR="005E536D" w:rsidRPr="006B42D6">
        <w:t xml:space="preserve"> Results</w:t>
      </w:r>
      <w:r w:rsidR="008C1E44" w:rsidRPr="006B42D6">
        <w:t>,</w:t>
      </w:r>
      <w:r w:rsidRPr="006B42D6">
        <w:t xml:space="preserve"> Livestock</w:t>
      </w:r>
      <w:r w:rsidR="005E536D" w:rsidRPr="006B42D6">
        <w:t xml:space="preserve"> Results</w:t>
      </w:r>
      <w:r w:rsidR="008C1E44" w:rsidRPr="006B42D6">
        <w:t>,</w:t>
      </w:r>
      <w:r w:rsidR="00C06F44" w:rsidRPr="006B42D6">
        <w:t xml:space="preserve"> Agricultural Credits,</w:t>
      </w:r>
      <w:r w:rsidRPr="006B42D6">
        <w:t xml:space="preserve"> </w:t>
      </w:r>
      <w:r w:rsidR="005E536D" w:rsidRPr="006B42D6">
        <w:t xml:space="preserve">Poverty Indicators and </w:t>
      </w:r>
      <w:r w:rsidRPr="006B42D6">
        <w:t>Conclusion and Recommendation.</w:t>
      </w:r>
    </w:p>
    <w:p w14:paraId="231CBB5D" w14:textId="77777777" w:rsidR="006D0A06" w:rsidRPr="006B42D6" w:rsidRDefault="006D0A06" w:rsidP="005C2EFC">
      <w:pPr>
        <w:pStyle w:val="ListParagraph"/>
        <w:spacing w:line="360" w:lineRule="auto"/>
        <w:ind w:left="0"/>
      </w:pPr>
    </w:p>
    <w:p w14:paraId="20E82E92" w14:textId="77777777" w:rsidR="00755F1B" w:rsidRDefault="00755F1B">
      <w:pPr>
        <w:spacing w:line="240" w:lineRule="auto"/>
        <w:contextualSpacing w:val="0"/>
        <w:jc w:val="left"/>
        <w:rPr>
          <w:b/>
          <w:bCs/>
          <w:szCs w:val="22"/>
        </w:rPr>
      </w:pPr>
      <w:r>
        <w:br w:type="page"/>
      </w:r>
    </w:p>
    <w:p w14:paraId="3D6BB170" w14:textId="358A97A4" w:rsidR="00715E4F" w:rsidRPr="006B42D6" w:rsidRDefault="00DC0C62" w:rsidP="005C2EFC">
      <w:pPr>
        <w:pStyle w:val="Heading2"/>
      </w:pPr>
      <w:bookmarkStart w:id="24" w:name="_Toc82385620"/>
      <w:r w:rsidRPr="006B42D6">
        <w:lastRenderedPageBreak/>
        <w:t>1.</w:t>
      </w:r>
      <w:r w:rsidR="001B01B5">
        <w:t>1</w:t>
      </w:r>
      <w:r w:rsidRPr="006B42D6">
        <w:tab/>
      </w:r>
      <w:r w:rsidR="00715E4F" w:rsidRPr="006B42D6">
        <w:t>Background Information</w:t>
      </w:r>
      <w:bookmarkEnd w:id="24"/>
    </w:p>
    <w:p w14:paraId="6782E496" w14:textId="3CBDF9E6" w:rsidR="00715E4F" w:rsidRPr="006B42D6" w:rsidRDefault="00715E4F" w:rsidP="0071342E">
      <w:r w:rsidRPr="006B42D6">
        <w:rPr>
          <w:lang w:val="en-GB"/>
        </w:rPr>
        <w:t>In order to facilitate various activities of the Poverty Monitoring Master Plan, the Government has planned a series of censuses and surveys to assist in policy and planning and to track changes in the wellbeing of the population of Tanzania.</w:t>
      </w:r>
      <w:r w:rsidRPr="006B42D6">
        <w:t xml:space="preserve"> Therefore, the 2019/20 National </w:t>
      </w:r>
      <w:r w:rsidR="00A245DA" w:rsidRPr="006B42D6">
        <w:t xml:space="preserve">Sample Census of </w:t>
      </w:r>
      <w:r w:rsidR="009E2AA5" w:rsidRPr="006B42D6">
        <w:t>A</w:t>
      </w:r>
      <w:r w:rsidRPr="006B42D6">
        <w:t xml:space="preserve">griculture </w:t>
      </w:r>
      <w:r w:rsidR="00A245DA" w:rsidRPr="006B42D6">
        <w:t xml:space="preserve">results aim </w:t>
      </w:r>
      <w:r w:rsidR="008E5DEC" w:rsidRPr="006B42D6">
        <w:t xml:space="preserve">at providing </w:t>
      </w:r>
      <w:r w:rsidR="00A245DA" w:rsidRPr="006B42D6">
        <w:t xml:space="preserve">useful information that will contribute in filling the data gaps, thus, support in planning and policy formulation geared to promote agricultural sector which the </w:t>
      </w:r>
      <w:r w:rsidR="00A245DA" w:rsidRPr="006B42D6">
        <w:rPr>
          <w:lang w:val="en-GB"/>
        </w:rPr>
        <w:t xml:space="preserve">majority of the rural population depends on </w:t>
      </w:r>
      <w:r w:rsidR="008E5DEC" w:rsidRPr="006B42D6">
        <w:rPr>
          <w:lang w:val="en-GB"/>
        </w:rPr>
        <w:t>livelihood</w:t>
      </w:r>
      <w:r w:rsidR="00A245DA" w:rsidRPr="006B42D6">
        <w:rPr>
          <w:lang w:val="en-GB"/>
        </w:rPr>
        <w:t xml:space="preserve"> and it is their main source of </w:t>
      </w:r>
      <w:r w:rsidR="008E5DEC" w:rsidRPr="006B42D6">
        <w:rPr>
          <w:lang w:val="en-GB"/>
        </w:rPr>
        <w:t>income</w:t>
      </w:r>
      <w:r w:rsidR="00A245DA" w:rsidRPr="006B42D6">
        <w:rPr>
          <w:lang w:val="en-GB"/>
        </w:rPr>
        <w:t>. In addition</w:t>
      </w:r>
      <w:r w:rsidR="00E86347" w:rsidRPr="006B42D6">
        <w:rPr>
          <w:lang w:val="en-GB"/>
        </w:rPr>
        <w:t>,</w:t>
      </w:r>
      <w:r w:rsidR="00A245DA" w:rsidRPr="006B42D6">
        <w:rPr>
          <w:lang w:val="en-GB"/>
        </w:rPr>
        <w:t xml:space="preserve"> the collected information provides benchmark data for monitoring and evaluating effect</w:t>
      </w:r>
      <w:r w:rsidR="00E86347" w:rsidRPr="006B42D6">
        <w:rPr>
          <w:lang w:val="en-GB"/>
        </w:rPr>
        <w:t>iveness</w:t>
      </w:r>
      <w:r w:rsidR="00A245DA" w:rsidRPr="006B42D6">
        <w:rPr>
          <w:lang w:val="en-GB"/>
        </w:rPr>
        <w:t xml:space="preserve"> of rural development initiatives.</w:t>
      </w:r>
    </w:p>
    <w:p w14:paraId="3B09E4D5" w14:textId="77777777" w:rsidR="00715E4F" w:rsidRPr="006B42D6" w:rsidRDefault="00715E4F" w:rsidP="00B9178E">
      <w:pPr>
        <w:spacing w:line="240" w:lineRule="auto"/>
      </w:pPr>
    </w:p>
    <w:p w14:paraId="059CA3A3" w14:textId="6FF14A9B" w:rsidR="00715E4F" w:rsidRPr="006B42D6" w:rsidRDefault="00715E4F" w:rsidP="005C2EFC">
      <w:pPr>
        <w:pStyle w:val="Heading2"/>
      </w:pPr>
      <w:bookmarkStart w:id="25" w:name="_Toc82385621"/>
      <w:r w:rsidRPr="006B42D6">
        <w:t>1.</w:t>
      </w:r>
      <w:r w:rsidR="001B01B5">
        <w:t>2</w:t>
      </w:r>
      <w:r w:rsidR="00E763F5" w:rsidRPr="006B42D6">
        <w:tab/>
      </w:r>
      <w:r w:rsidRPr="006B42D6">
        <w:t>Census Objectives</w:t>
      </w:r>
      <w:bookmarkEnd w:id="25"/>
    </w:p>
    <w:p w14:paraId="653E590A" w14:textId="33AB5B42" w:rsidR="00715E4F" w:rsidRPr="006B42D6" w:rsidRDefault="00715E4F" w:rsidP="0071342E">
      <w:pPr>
        <w:rPr>
          <w:rFonts w:eastAsia="Calibri"/>
          <w:lang w:val="en-GB"/>
        </w:rPr>
      </w:pPr>
      <w:r w:rsidRPr="006B42D6">
        <w:rPr>
          <w:rFonts w:eastAsia="Calibri"/>
          <w:lang w:val="en-GB"/>
        </w:rPr>
        <w:t xml:space="preserve">The </w:t>
      </w:r>
      <w:r w:rsidRPr="006B42D6">
        <w:t xml:space="preserve">2019/20 National Sample Census of Agriculture </w:t>
      </w:r>
      <w:r w:rsidRPr="006B42D6">
        <w:rPr>
          <w:rFonts w:eastAsia="Calibri"/>
          <w:lang w:val="en-GB"/>
        </w:rPr>
        <w:t>was designed to meet the data needs of a wide range of users down to district level including policy makers at local, regional</w:t>
      </w:r>
      <w:r w:rsidR="00E86347" w:rsidRPr="006B42D6">
        <w:rPr>
          <w:rFonts w:eastAsia="Calibri"/>
          <w:lang w:val="en-GB"/>
        </w:rPr>
        <w:t xml:space="preserve"> and</w:t>
      </w:r>
      <w:r w:rsidRPr="006B42D6">
        <w:rPr>
          <w:rFonts w:eastAsia="Calibri"/>
          <w:lang w:val="en-GB"/>
        </w:rPr>
        <w:t xml:space="preserve"> national levels, rural development agencies, funding institutions, researchers, NGOs, farmer’s organizations. The dataset is both extensive in its sample and detailed in its scope to meet the user demand.</w:t>
      </w:r>
    </w:p>
    <w:p w14:paraId="62E1E6D4" w14:textId="77777777" w:rsidR="0071342E" w:rsidRDefault="0071342E" w:rsidP="00B9178E">
      <w:pPr>
        <w:spacing w:line="240" w:lineRule="auto"/>
        <w:rPr>
          <w:rFonts w:eastAsia="Calibri"/>
          <w:lang w:val="en-GB"/>
        </w:rPr>
      </w:pPr>
    </w:p>
    <w:p w14:paraId="5E9BF8DE" w14:textId="2B9CB39C" w:rsidR="00A245DA" w:rsidRPr="006B42D6" w:rsidRDefault="00A245DA" w:rsidP="0071342E">
      <w:pPr>
        <w:rPr>
          <w:rFonts w:eastAsia="Calibri"/>
          <w:lang w:val="en-GB"/>
        </w:rPr>
      </w:pPr>
      <w:r w:rsidRPr="006B42D6">
        <w:rPr>
          <w:rFonts w:eastAsia="Calibri"/>
          <w:lang w:val="en-GB"/>
        </w:rPr>
        <w:t>The key objectives of the Census were three-fold</w:t>
      </w:r>
      <w:r w:rsidR="00755F1B">
        <w:rPr>
          <w:rFonts w:eastAsia="Calibri"/>
          <w:lang w:val="en-GB"/>
        </w:rPr>
        <w:t>:</w:t>
      </w:r>
    </w:p>
    <w:p w14:paraId="15026A5B" w14:textId="35D9F370" w:rsidR="0071342E" w:rsidRPr="00755F1B" w:rsidRDefault="00E86347" w:rsidP="00755F1B">
      <w:pPr>
        <w:pStyle w:val="ListParagraph"/>
        <w:numPr>
          <w:ilvl w:val="0"/>
          <w:numId w:val="36"/>
        </w:numPr>
        <w:spacing w:line="360" w:lineRule="auto"/>
        <w:rPr>
          <w:rFonts w:eastAsia="Calibri"/>
          <w:lang w:val="en-GB"/>
        </w:rPr>
      </w:pPr>
      <w:r w:rsidRPr="00755F1B">
        <w:rPr>
          <w:rFonts w:eastAsia="Calibri"/>
          <w:lang w:val="en-GB"/>
        </w:rPr>
        <w:t>To i</w:t>
      </w:r>
      <w:r w:rsidR="00715E4F" w:rsidRPr="00755F1B">
        <w:rPr>
          <w:rFonts w:eastAsia="Calibri"/>
          <w:lang w:val="en-GB"/>
        </w:rPr>
        <w:t xml:space="preserve">dentify structural changes if any, in the size of farm household holdings, crop and livestock production, farm inputs and </w:t>
      </w:r>
      <w:r w:rsidR="00A245DA" w:rsidRPr="00755F1B">
        <w:rPr>
          <w:rFonts w:eastAsia="Calibri"/>
          <w:lang w:val="en-GB"/>
        </w:rPr>
        <w:t xml:space="preserve">farm </w:t>
      </w:r>
      <w:r w:rsidR="00715E4F" w:rsidRPr="00755F1B">
        <w:rPr>
          <w:rFonts w:eastAsia="Calibri"/>
          <w:lang w:val="en-GB"/>
        </w:rPr>
        <w:t xml:space="preserve">implement use. It also seeks to determine if there are any improvement in rural infrastructures and the level of agriculture household living conditions; </w:t>
      </w:r>
    </w:p>
    <w:p w14:paraId="0D38B832" w14:textId="54FFD7CA" w:rsidR="0071342E" w:rsidRPr="00755F1B" w:rsidRDefault="00715E4F" w:rsidP="00755F1B">
      <w:pPr>
        <w:pStyle w:val="ListParagraph"/>
        <w:numPr>
          <w:ilvl w:val="0"/>
          <w:numId w:val="36"/>
        </w:numPr>
        <w:spacing w:line="360" w:lineRule="auto"/>
        <w:rPr>
          <w:rFonts w:eastAsia="Calibri"/>
          <w:lang w:val="en-GB"/>
        </w:rPr>
      </w:pPr>
      <w:r w:rsidRPr="00755F1B">
        <w:rPr>
          <w:rFonts w:eastAsia="Calibri"/>
          <w:lang w:val="en-GB"/>
        </w:rPr>
        <w:t>Provi</w:t>
      </w:r>
      <w:r w:rsidR="00E86347" w:rsidRPr="00755F1B">
        <w:rPr>
          <w:rFonts w:eastAsia="Calibri"/>
          <w:lang w:val="en-GB"/>
        </w:rPr>
        <w:t>sion of</w:t>
      </w:r>
      <w:r w:rsidRPr="00755F1B">
        <w:rPr>
          <w:rFonts w:eastAsia="Calibri"/>
          <w:lang w:val="en-GB"/>
        </w:rPr>
        <w:t xml:space="preserve"> benchmark data on productivity, production and agricultural practices in relation to policies and interventions promoted by the Agricultural Sector Lead Ministries (ASLMs) and other stakeholders; and</w:t>
      </w:r>
      <w:r w:rsidR="0071342E" w:rsidRPr="00755F1B">
        <w:rPr>
          <w:rFonts w:eastAsia="Calibri"/>
          <w:lang w:val="en-GB"/>
        </w:rPr>
        <w:t>;</w:t>
      </w:r>
    </w:p>
    <w:p w14:paraId="3B7141FE" w14:textId="3FB68D32" w:rsidR="00715E4F" w:rsidRPr="00755F1B" w:rsidRDefault="00715E4F" w:rsidP="00755F1B">
      <w:pPr>
        <w:pStyle w:val="ListParagraph"/>
        <w:numPr>
          <w:ilvl w:val="0"/>
          <w:numId w:val="36"/>
        </w:numPr>
        <w:spacing w:line="360" w:lineRule="auto"/>
        <w:rPr>
          <w:rFonts w:eastAsia="Calibri"/>
          <w:lang w:val="en-GB"/>
        </w:rPr>
      </w:pPr>
      <w:r w:rsidRPr="00755F1B">
        <w:rPr>
          <w:rFonts w:eastAsia="Calibri"/>
          <w:lang w:val="en-GB"/>
        </w:rPr>
        <w:t>Establish</w:t>
      </w:r>
      <w:r w:rsidR="00E86347" w:rsidRPr="00755F1B">
        <w:rPr>
          <w:rFonts w:eastAsia="Calibri"/>
          <w:lang w:val="en-GB"/>
        </w:rPr>
        <w:t>ment of</w:t>
      </w:r>
      <w:r w:rsidRPr="00755F1B">
        <w:rPr>
          <w:rFonts w:eastAsia="Calibri"/>
          <w:lang w:val="en-GB"/>
        </w:rPr>
        <w:t xml:space="preserve"> baseline data for the measurement of the impact of high-level objectives of the Agriculture Sector Development Programme Phase II (ASDP II). </w:t>
      </w:r>
    </w:p>
    <w:p w14:paraId="5BA41A0F" w14:textId="4B7E9B8A" w:rsidR="00A245DA" w:rsidRDefault="00A245DA" w:rsidP="0071342E">
      <w:pPr>
        <w:spacing w:line="276" w:lineRule="auto"/>
      </w:pPr>
    </w:p>
    <w:p w14:paraId="5520BF17" w14:textId="14D56C88" w:rsidR="00715E4F" w:rsidRPr="006B42D6" w:rsidRDefault="00715E4F" w:rsidP="005C2EFC">
      <w:pPr>
        <w:pStyle w:val="Heading2"/>
      </w:pPr>
      <w:bookmarkStart w:id="26" w:name="_Toc82385622"/>
      <w:r w:rsidRPr="006B42D6">
        <w:t>1.</w:t>
      </w:r>
      <w:r w:rsidR="001B01B5">
        <w:t>3</w:t>
      </w:r>
      <w:r w:rsidR="00E763F5" w:rsidRPr="006B42D6">
        <w:tab/>
      </w:r>
      <w:r w:rsidRPr="006B42D6">
        <w:t>Census Scope and Coverage</w:t>
      </w:r>
      <w:bookmarkEnd w:id="26"/>
    </w:p>
    <w:p w14:paraId="058FD3E1" w14:textId="6A763A0B" w:rsidR="00A245DA" w:rsidRPr="006B42D6" w:rsidRDefault="00715E4F" w:rsidP="0071342E">
      <w:pPr>
        <w:rPr>
          <w:rFonts w:eastAsia="Calibri"/>
        </w:rPr>
      </w:pPr>
      <w:r w:rsidRPr="006B42D6">
        <w:rPr>
          <w:rFonts w:eastAsia="Calibri"/>
        </w:rPr>
        <w:t xml:space="preserve">The 2019/20 National Sample Census of Agriculture was conducted for both large scale farms and smallholder farmers. This report covers information of smallholder farmers in details with some summary data from large scale farms in order to provide complete </w:t>
      </w:r>
      <w:r w:rsidR="00A245DA" w:rsidRPr="006B42D6">
        <w:rPr>
          <w:rFonts w:eastAsia="Calibri"/>
        </w:rPr>
        <w:t>n</w:t>
      </w:r>
      <w:r w:rsidRPr="006B42D6">
        <w:rPr>
          <w:rFonts w:eastAsia="Calibri"/>
        </w:rPr>
        <w:t xml:space="preserve">ational estimates for some variables </w:t>
      </w:r>
      <w:r w:rsidR="00A245DA" w:rsidRPr="006B42D6">
        <w:rPr>
          <w:rFonts w:eastAsia="Calibri"/>
        </w:rPr>
        <w:t>such as</w:t>
      </w:r>
      <w:r w:rsidRPr="006B42D6">
        <w:rPr>
          <w:rFonts w:eastAsia="Calibri"/>
        </w:rPr>
        <w:t xml:space="preserve"> total livestock population, crop production etc. The data was collected from a sample of 33,808 small</w:t>
      </w:r>
      <w:r w:rsidR="00E86347" w:rsidRPr="006B42D6">
        <w:rPr>
          <w:rFonts w:eastAsia="Calibri"/>
        </w:rPr>
        <w:t>holder</w:t>
      </w:r>
      <w:r w:rsidRPr="006B42D6">
        <w:rPr>
          <w:rFonts w:eastAsia="Calibri"/>
        </w:rPr>
        <w:t xml:space="preserve"> </w:t>
      </w:r>
      <w:r w:rsidR="00E86347" w:rsidRPr="006B42D6">
        <w:rPr>
          <w:rFonts w:eastAsia="Calibri"/>
        </w:rPr>
        <w:t>farmers</w:t>
      </w:r>
      <w:r w:rsidR="00515969" w:rsidRPr="006B42D6">
        <w:rPr>
          <w:rFonts w:eastAsia="Calibri"/>
        </w:rPr>
        <w:t>,</w:t>
      </w:r>
      <w:r w:rsidR="00E86347" w:rsidRPr="006B42D6">
        <w:rPr>
          <w:rFonts w:eastAsia="Calibri"/>
        </w:rPr>
        <w:t xml:space="preserve"> </w:t>
      </w:r>
      <w:r w:rsidRPr="006B42D6">
        <w:rPr>
          <w:rFonts w:eastAsia="Calibri"/>
        </w:rPr>
        <w:t xml:space="preserve">of which 32,008 were from </w:t>
      </w:r>
      <w:r w:rsidR="00E86347" w:rsidRPr="006B42D6">
        <w:rPr>
          <w:rFonts w:eastAsia="Calibri"/>
        </w:rPr>
        <w:lastRenderedPageBreak/>
        <w:t xml:space="preserve">Mainland </w:t>
      </w:r>
      <w:r w:rsidR="00A245DA" w:rsidRPr="006B42D6">
        <w:rPr>
          <w:rFonts w:eastAsia="Calibri"/>
        </w:rPr>
        <w:t>Tanzania</w:t>
      </w:r>
      <w:r w:rsidRPr="006B42D6">
        <w:rPr>
          <w:rFonts w:eastAsia="Calibri"/>
        </w:rPr>
        <w:t xml:space="preserve"> and 1,800 </w:t>
      </w:r>
      <w:r w:rsidR="00A245DA" w:rsidRPr="006B42D6">
        <w:rPr>
          <w:rFonts w:eastAsia="Calibri"/>
        </w:rPr>
        <w:t>from Tanzania</w:t>
      </w:r>
      <w:r w:rsidRPr="006B42D6">
        <w:rPr>
          <w:rFonts w:eastAsia="Calibri"/>
        </w:rPr>
        <w:t xml:space="preserve"> Zanzibar. Data was also collected from 1</w:t>
      </w:r>
      <w:r w:rsidR="00A245DA" w:rsidRPr="006B42D6">
        <w:rPr>
          <w:rFonts w:eastAsia="Calibri"/>
        </w:rPr>
        <w:t>,</w:t>
      </w:r>
      <w:r w:rsidRPr="006B42D6">
        <w:rPr>
          <w:rFonts w:eastAsia="Calibri"/>
        </w:rPr>
        <w:t xml:space="preserve">093 </w:t>
      </w:r>
      <w:r w:rsidR="00A245DA" w:rsidRPr="006B42D6">
        <w:rPr>
          <w:rFonts w:eastAsia="Calibri"/>
        </w:rPr>
        <w:t xml:space="preserve">large scale farms </w:t>
      </w:r>
      <w:r w:rsidRPr="006B42D6">
        <w:rPr>
          <w:rFonts w:eastAsia="Calibri"/>
        </w:rPr>
        <w:t xml:space="preserve">(1,018 </w:t>
      </w:r>
      <w:r w:rsidR="00E86347" w:rsidRPr="006B42D6">
        <w:rPr>
          <w:rFonts w:eastAsia="Calibri"/>
        </w:rPr>
        <w:t>were from</w:t>
      </w:r>
      <w:r w:rsidRPr="006B42D6">
        <w:rPr>
          <w:rFonts w:eastAsia="Calibri"/>
        </w:rPr>
        <w:t xml:space="preserve"> </w:t>
      </w:r>
      <w:r w:rsidR="00E86347" w:rsidRPr="006B42D6">
        <w:rPr>
          <w:rFonts w:eastAsia="Calibri"/>
        </w:rPr>
        <w:t xml:space="preserve">Mainland </w:t>
      </w:r>
      <w:r w:rsidR="00A245DA" w:rsidRPr="006B42D6">
        <w:rPr>
          <w:rFonts w:eastAsia="Calibri"/>
        </w:rPr>
        <w:t xml:space="preserve">Tanzania </w:t>
      </w:r>
      <w:r w:rsidRPr="006B42D6">
        <w:rPr>
          <w:rFonts w:eastAsia="Calibri"/>
        </w:rPr>
        <w:t xml:space="preserve">and 75 in </w:t>
      </w:r>
      <w:r w:rsidR="00A245DA" w:rsidRPr="006B42D6">
        <w:rPr>
          <w:rFonts w:eastAsia="Calibri"/>
        </w:rPr>
        <w:t xml:space="preserve">Tanzania </w:t>
      </w:r>
      <w:r w:rsidRPr="006B42D6">
        <w:rPr>
          <w:rFonts w:eastAsia="Calibri"/>
        </w:rPr>
        <w:t xml:space="preserve">Zanzibar) on a complete enumeration basis. </w:t>
      </w:r>
    </w:p>
    <w:p w14:paraId="639030D7" w14:textId="06A93C8B" w:rsidR="00715E4F" w:rsidRPr="006B42D6" w:rsidRDefault="00715E4F" w:rsidP="0071342E">
      <w:r w:rsidRPr="006B42D6">
        <w:t>The census covered agriculture in detail as well as many other aspects of rural development and was conducted using three different questionnaires</w:t>
      </w:r>
    </w:p>
    <w:p w14:paraId="2DAE9CC5" w14:textId="1CE82CA0" w:rsidR="00715E4F" w:rsidRPr="006B42D6" w:rsidRDefault="00715E4F" w:rsidP="0071342E">
      <w:pPr>
        <w:pStyle w:val="ListParagraph"/>
        <w:numPr>
          <w:ilvl w:val="0"/>
          <w:numId w:val="22"/>
        </w:numPr>
        <w:spacing w:line="360" w:lineRule="auto"/>
      </w:pPr>
      <w:r w:rsidRPr="006B42D6">
        <w:t>Small</w:t>
      </w:r>
      <w:r w:rsidR="00A245DA" w:rsidRPr="006B42D6">
        <w:t xml:space="preserve">holder farmers </w:t>
      </w:r>
      <w:r w:rsidRPr="006B42D6">
        <w:t xml:space="preserve">questionnaire </w:t>
      </w:r>
    </w:p>
    <w:p w14:paraId="328216A1" w14:textId="52453CC5" w:rsidR="00A245DA" w:rsidRPr="006B42D6" w:rsidRDefault="00715E4F" w:rsidP="0071342E">
      <w:pPr>
        <w:pStyle w:val="ListParagraph"/>
        <w:numPr>
          <w:ilvl w:val="0"/>
          <w:numId w:val="22"/>
        </w:numPr>
        <w:spacing w:line="360" w:lineRule="auto"/>
      </w:pPr>
      <w:r w:rsidRPr="006B42D6">
        <w:t>Large scale farm</w:t>
      </w:r>
      <w:r w:rsidR="00A245DA" w:rsidRPr="006B42D6">
        <w:t>s</w:t>
      </w:r>
      <w:r w:rsidRPr="006B42D6">
        <w:t xml:space="preserve"> questionnaire</w:t>
      </w:r>
      <w:r w:rsidR="00A245DA" w:rsidRPr="006B42D6">
        <w:t xml:space="preserve"> </w:t>
      </w:r>
    </w:p>
    <w:p w14:paraId="6DCE52BD" w14:textId="45392749" w:rsidR="00715E4F" w:rsidRPr="006B42D6" w:rsidRDefault="00A245DA" w:rsidP="0071342E">
      <w:pPr>
        <w:pStyle w:val="ListParagraph"/>
        <w:numPr>
          <w:ilvl w:val="0"/>
          <w:numId w:val="22"/>
        </w:numPr>
        <w:spacing w:line="360" w:lineRule="auto"/>
      </w:pPr>
      <w:r w:rsidRPr="006B42D6">
        <w:t>Community level questionnaire</w:t>
      </w:r>
    </w:p>
    <w:p w14:paraId="1F48FDEB" w14:textId="77777777" w:rsidR="00715E4F" w:rsidRPr="006B42D6" w:rsidRDefault="00715E4F" w:rsidP="00B9178E">
      <w:pPr>
        <w:spacing w:line="240" w:lineRule="auto"/>
      </w:pPr>
    </w:p>
    <w:p w14:paraId="4E41F185" w14:textId="25846595" w:rsidR="00715E4F" w:rsidRPr="006B42D6" w:rsidRDefault="00715E4F" w:rsidP="0071342E">
      <w:r w:rsidRPr="006B42D6">
        <w:t>The small</w:t>
      </w:r>
      <w:r w:rsidR="004965E5" w:rsidRPr="006B42D6">
        <w:t>holder farmers</w:t>
      </w:r>
      <w:r w:rsidRPr="006B42D6">
        <w:t xml:space="preserve"> questionnaire was the main census instrument and main topics covered were </w:t>
      </w:r>
    </w:p>
    <w:p w14:paraId="52DB4A4A" w14:textId="237108BB" w:rsidR="00715E4F" w:rsidRPr="006B42D6" w:rsidRDefault="00715E4F" w:rsidP="00B9178E">
      <w:pPr>
        <w:pStyle w:val="ListParagraph"/>
        <w:numPr>
          <w:ilvl w:val="0"/>
          <w:numId w:val="23"/>
        </w:numPr>
        <w:spacing w:line="360" w:lineRule="auto"/>
      </w:pPr>
      <w:r w:rsidRPr="006B42D6">
        <w:t xml:space="preserve">Household </w:t>
      </w:r>
      <w:r w:rsidR="004965E5" w:rsidRPr="006B42D6">
        <w:t>i</w:t>
      </w:r>
      <w:r w:rsidRPr="006B42D6">
        <w:t>nformation</w:t>
      </w:r>
    </w:p>
    <w:p w14:paraId="41BDE3F5" w14:textId="77777777" w:rsidR="00715E4F" w:rsidRPr="006B42D6" w:rsidRDefault="00715E4F" w:rsidP="00B9178E">
      <w:pPr>
        <w:pStyle w:val="ListParagraph"/>
        <w:numPr>
          <w:ilvl w:val="0"/>
          <w:numId w:val="23"/>
        </w:numPr>
        <w:spacing w:line="360" w:lineRule="auto"/>
      </w:pPr>
      <w:r w:rsidRPr="006B42D6">
        <w:t xml:space="preserve">Land access/ownership/tenure </w:t>
      </w:r>
    </w:p>
    <w:p w14:paraId="2CDEF723" w14:textId="77777777" w:rsidR="00715E4F" w:rsidRPr="006B42D6" w:rsidRDefault="00715E4F" w:rsidP="00B9178E">
      <w:pPr>
        <w:pStyle w:val="ListParagraph"/>
        <w:numPr>
          <w:ilvl w:val="0"/>
          <w:numId w:val="23"/>
        </w:numPr>
        <w:spacing w:line="360" w:lineRule="auto"/>
      </w:pPr>
      <w:r w:rsidRPr="006B42D6">
        <w:t>Land use</w:t>
      </w:r>
    </w:p>
    <w:p w14:paraId="00BBB7FC" w14:textId="433BA85C" w:rsidR="00715E4F" w:rsidRPr="006B42D6" w:rsidRDefault="00715E4F" w:rsidP="00B9178E">
      <w:pPr>
        <w:pStyle w:val="ListParagraph"/>
        <w:numPr>
          <w:ilvl w:val="0"/>
          <w:numId w:val="23"/>
        </w:numPr>
        <w:spacing w:line="360" w:lineRule="auto"/>
      </w:pPr>
      <w:r w:rsidRPr="006B42D6">
        <w:t xml:space="preserve">Conservational </w:t>
      </w:r>
      <w:r w:rsidR="004965E5" w:rsidRPr="006B42D6">
        <w:t>f</w:t>
      </w:r>
      <w:r w:rsidRPr="006B42D6">
        <w:t>arming</w:t>
      </w:r>
    </w:p>
    <w:p w14:paraId="3C8DEFDA" w14:textId="14875E82" w:rsidR="00715E4F" w:rsidRPr="006B42D6" w:rsidRDefault="00715E4F" w:rsidP="00B9178E">
      <w:pPr>
        <w:pStyle w:val="ListParagraph"/>
        <w:numPr>
          <w:ilvl w:val="0"/>
          <w:numId w:val="23"/>
        </w:numPr>
        <w:spacing w:line="360" w:lineRule="auto"/>
      </w:pPr>
      <w:r w:rsidRPr="006B42D6">
        <w:t xml:space="preserve">Access and use of </w:t>
      </w:r>
      <w:r w:rsidR="004965E5" w:rsidRPr="006B42D6">
        <w:t>r</w:t>
      </w:r>
      <w:r w:rsidRPr="006B42D6">
        <w:t>esources</w:t>
      </w:r>
    </w:p>
    <w:p w14:paraId="2C37459B" w14:textId="6CB7766E" w:rsidR="00715E4F" w:rsidRPr="006B42D6" w:rsidRDefault="00715E4F" w:rsidP="00B9178E">
      <w:pPr>
        <w:pStyle w:val="ListParagraph"/>
        <w:numPr>
          <w:ilvl w:val="0"/>
          <w:numId w:val="23"/>
        </w:numPr>
        <w:spacing w:line="360" w:lineRule="auto"/>
      </w:pPr>
      <w:r w:rsidRPr="006B42D6">
        <w:t xml:space="preserve">Annual and </w:t>
      </w:r>
      <w:r w:rsidR="004965E5" w:rsidRPr="006B42D6">
        <w:t>permanent crops production</w:t>
      </w:r>
    </w:p>
    <w:p w14:paraId="5F760E38" w14:textId="3133CFF3" w:rsidR="00715E4F" w:rsidRPr="006B42D6" w:rsidRDefault="00715E4F" w:rsidP="00B9178E">
      <w:pPr>
        <w:pStyle w:val="ListParagraph"/>
        <w:numPr>
          <w:ilvl w:val="0"/>
          <w:numId w:val="23"/>
        </w:numPr>
        <w:spacing w:line="360" w:lineRule="auto"/>
      </w:pPr>
      <w:r w:rsidRPr="006B42D6">
        <w:t xml:space="preserve">Main use </w:t>
      </w:r>
      <w:r w:rsidR="004965E5" w:rsidRPr="006B42D6">
        <w:t>of crop residuals</w:t>
      </w:r>
    </w:p>
    <w:p w14:paraId="4F0C5C0D" w14:textId="77777777" w:rsidR="00715E4F" w:rsidRPr="006B42D6" w:rsidRDefault="00715E4F" w:rsidP="00B9178E">
      <w:pPr>
        <w:pStyle w:val="ListParagraph"/>
        <w:numPr>
          <w:ilvl w:val="0"/>
          <w:numId w:val="23"/>
        </w:numPr>
        <w:spacing w:line="360" w:lineRule="auto"/>
      </w:pPr>
      <w:r w:rsidRPr="006B42D6">
        <w:t>Agroprocessing</w:t>
      </w:r>
    </w:p>
    <w:p w14:paraId="2834332B" w14:textId="1CD4DF7D" w:rsidR="00715E4F" w:rsidRPr="006B42D6" w:rsidRDefault="00715E4F" w:rsidP="00B9178E">
      <w:pPr>
        <w:pStyle w:val="ListParagraph"/>
        <w:numPr>
          <w:ilvl w:val="0"/>
          <w:numId w:val="23"/>
        </w:numPr>
        <w:spacing w:line="360" w:lineRule="auto"/>
      </w:pPr>
      <w:r w:rsidRPr="006B42D6">
        <w:t xml:space="preserve">Crop </w:t>
      </w:r>
      <w:r w:rsidR="004965E5" w:rsidRPr="006B42D6">
        <w:t>s</w:t>
      </w:r>
      <w:r w:rsidRPr="006B42D6">
        <w:t>torage</w:t>
      </w:r>
    </w:p>
    <w:p w14:paraId="759BC74B" w14:textId="061D0431" w:rsidR="00715E4F" w:rsidRPr="006B42D6" w:rsidRDefault="00715E4F" w:rsidP="00B9178E">
      <w:pPr>
        <w:pStyle w:val="ListParagraph"/>
        <w:numPr>
          <w:ilvl w:val="0"/>
          <w:numId w:val="23"/>
        </w:numPr>
        <w:spacing w:line="360" w:lineRule="auto"/>
      </w:pPr>
      <w:r w:rsidRPr="006B42D6">
        <w:t xml:space="preserve">On </w:t>
      </w:r>
      <w:r w:rsidR="004965E5" w:rsidRPr="006B42D6">
        <w:t>f</w:t>
      </w:r>
      <w:r w:rsidRPr="006B42D6">
        <w:t xml:space="preserve">arm </w:t>
      </w:r>
      <w:r w:rsidR="004965E5" w:rsidRPr="006B42D6">
        <w:t>i</w:t>
      </w:r>
      <w:r w:rsidRPr="006B42D6">
        <w:t>nvestments</w:t>
      </w:r>
    </w:p>
    <w:p w14:paraId="74397DCE" w14:textId="1DCF2EB6" w:rsidR="00715E4F" w:rsidRPr="006B42D6" w:rsidRDefault="00715E4F" w:rsidP="00B9178E">
      <w:pPr>
        <w:pStyle w:val="ListParagraph"/>
        <w:numPr>
          <w:ilvl w:val="0"/>
          <w:numId w:val="23"/>
        </w:numPr>
        <w:spacing w:line="360" w:lineRule="auto"/>
      </w:pPr>
      <w:r w:rsidRPr="006B42D6">
        <w:t xml:space="preserve">Access and use </w:t>
      </w:r>
      <w:r w:rsidR="004965E5" w:rsidRPr="006B42D6">
        <w:t xml:space="preserve">of credit for agricultural </w:t>
      </w:r>
      <w:r w:rsidRPr="006B42D6">
        <w:t>purposes</w:t>
      </w:r>
    </w:p>
    <w:p w14:paraId="5C9C47E3" w14:textId="18EC4D1D" w:rsidR="00715E4F" w:rsidRPr="006B42D6" w:rsidRDefault="00715E4F" w:rsidP="00B9178E">
      <w:pPr>
        <w:pStyle w:val="ListParagraph"/>
        <w:numPr>
          <w:ilvl w:val="0"/>
          <w:numId w:val="23"/>
        </w:numPr>
        <w:spacing w:line="360" w:lineRule="auto"/>
      </w:pPr>
      <w:r w:rsidRPr="006B42D6">
        <w:t xml:space="preserve">Crop </w:t>
      </w:r>
      <w:r w:rsidR="004965E5" w:rsidRPr="006B42D6">
        <w:t>extension s</w:t>
      </w:r>
      <w:r w:rsidRPr="006B42D6">
        <w:t>ervices</w:t>
      </w:r>
    </w:p>
    <w:p w14:paraId="727EB9A3" w14:textId="73D4F9D3" w:rsidR="00715E4F" w:rsidRPr="006B42D6" w:rsidRDefault="00715E4F" w:rsidP="00B9178E">
      <w:pPr>
        <w:pStyle w:val="ListParagraph"/>
        <w:numPr>
          <w:ilvl w:val="0"/>
          <w:numId w:val="23"/>
        </w:numPr>
        <w:spacing w:line="360" w:lineRule="auto"/>
      </w:pPr>
      <w:r w:rsidRPr="006B42D6">
        <w:t xml:space="preserve">Livestock </w:t>
      </w:r>
      <w:r w:rsidR="004965E5" w:rsidRPr="006B42D6">
        <w:t>production and products</w:t>
      </w:r>
    </w:p>
    <w:p w14:paraId="02A48AD2" w14:textId="0DA75889" w:rsidR="00715E4F" w:rsidRPr="006B42D6" w:rsidRDefault="00715E4F" w:rsidP="00B9178E">
      <w:pPr>
        <w:pStyle w:val="ListParagraph"/>
        <w:numPr>
          <w:ilvl w:val="0"/>
          <w:numId w:val="23"/>
        </w:numPr>
        <w:spacing w:line="360" w:lineRule="auto"/>
      </w:pPr>
      <w:r w:rsidRPr="006B42D6">
        <w:t xml:space="preserve">Outlet for </w:t>
      </w:r>
      <w:r w:rsidR="004965E5" w:rsidRPr="006B42D6">
        <w:t>sales of livestock</w:t>
      </w:r>
    </w:p>
    <w:p w14:paraId="7D6E3D47" w14:textId="5132AA77" w:rsidR="00715E4F" w:rsidRPr="006B42D6" w:rsidRDefault="00715E4F" w:rsidP="00B9178E">
      <w:pPr>
        <w:pStyle w:val="ListParagraph"/>
        <w:numPr>
          <w:ilvl w:val="0"/>
          <w:numId w:val="23"/>
        </w:numPr>
        <w:spacing w:line="360" w:lineRule="auto"/>
      </w:pPr>
      <w:r w:rsidRPr="006B42D6">
        <w:t xml:space="preserve">Livestock </w:t>
      </w:r>
      <w:r w:rsidR="004965E5" w:rsidRPr="006B42D6">
        <w:t>structures/accessories</w:t>
      </w:r>
    </w:p>
    <w:p w14:paraId="0931C655" w14:textId="5E83181C" w:rsidR="00715E4F" w:rsidRPr="006B42D6" w:rsidRDefault="004965E5" w:rsidP="00B9178E">
      <w:pPr>
        <w:pStyle w:val="ListParagraph"/>
        <w:numPr>
          <w:ilvl w:val="0"/>
          <w:numId w:val="23"/>
        </w:numPr>
        <w:spacing w:line="360" w:lineRule="auto"/>
      </w:pPr>
      <w:r w:rsidRPr="006B42D6">
        <w:t>Livestock pest &amp; parasite c</w:t>
      </w:r>
      <w:r w:rsidR="00715E4F" w:rsidRPr="006B42D6">
        <w:t>ontrol</w:t>
      </w:r>
    </w:p>
    <w:p w14:paraId="559266E5" w14:textId="61A32B1C" w:rsidR="00715E4F" w:rsidRPr="006B42D6" w:rsidRDefault="00715E4F" w:rsidP="00B9178E">
      <w:pPr>
        <w:pStyle w:val="ListParagraph"/>
        <w:numPr>
          <w:ilvl w:val="0"/>
          <w:numId w:val="23"/>
        </w:numPr>
        <w:spacing w:line="360" w:lineRule="auto"/>
      </w:pPr>
      <w:r w:rsidRPr="006B42D6">
        <w:t xml:space="preserve">Livestock </w:t>
      </w:r>
      <w:r w:rsidR="004965E5" w:rsidRPr="006B42D6">
        <w:t>e</w:t>
      </w:r>
      <w:r w:rsidRPr="006B42D6">
        <w:t>xtension</w:t>
      </w:r>
    </w:p>
    <w:p w14:paraId="6C824BFC" w14:textId="2D46FF3D" w:rsidR="00715E4F" w:rsidRPr="006B42D6" w:rsidRDefault="00715E4F" w:rsidP="00B9178E">
      <w:pPr>
        <w:pStyle w:val="ListParagraph"/>
        <w:numPr>
          <w:ilvl w:val="0"/>
          <w:numId w:val="23"/>
        </w:numPr>
        <w:spacing w:line="360" w:lineRule="auto"/>
      </w:pPr>
      <w:r w:rsidRPr="006B42D6">
        <w:t xml:space="preserve">Livestock </w:t>
      </w:r>
      <w:r w:rsidR="004965E5" w:rsidRPr="006B42D6">
        <w:t>extension service providers</w:t>
      </w:r>
    </w:p>
    <w:p w14:paraId="5DA9F8DB" w14:textId="694FE1C1" w:rsidR="00715E4F" w:rsidRPr="006B42D6" w:rsidRDefault="00715E4F" w:rsidP="00B9178E">
      <w:pPr>
        <w:pStyle w:val="ListParagraph"/>
        <w:numPr>
          <w:ilvl w:val="0"/>
          <w:numId w:val="23"/>
        </w:numPr>
        <w:spacing w:line="360" w:lineRule="auto"/>
      </w:pPr>
      <w:r w:rsidRPr="006B42D6">
        <w:t xml:space="preserve">Government </w:t>
      </w:r>
      <w:r w:rsidR="004965E5" w:rsidRPr="006B42D6">
        <w:t>regulatory challenges</w:t>
      </w:r>
    </w:p>
    <w:p w14:paraId="5CBCE291" w14:textId="36DAA082" w:rsidR="00715E4F" w:rsidRPr="006B42D6" w:rsidRDefault="00715E4F" w:rsidP="00B9178E">
      <w:pPr>
        <w:pStyle w:val="ListParagraph"/>
        <w:numPr>
          <w:ilvl w:val="0"/>
          <w:numId w:val="23"/>
        </w:numPr>
        <w:spacing w:line="360" w:lineRule="auto"/>
      </w:pPr>
      <w:r w:rsidRPr="006B42D6">
        <w:t xml:space="preserve">Fish </w:t>
      </w:r>
      <w:r w:rsidR="004965E5" w:rsidRPr="006B42D6">
        <w:t>f</w:t>
      </w:r>
      <w:r w:rsidRPr="006B42D6">
        <w:t>arming</w:t>
      </w:r>
    </w:p>
    <w:p w14:paraId="554CBBED" w14:textId="1B95C5F7" w:rsidR="00715E4F" w:rsidRPr="006B42D6" w:rsidRDefault="00715E4F" w:rsidP="00B9178E">
      <w:pPr>
        <w:pStyle w:val="ListParagraph"/>
        <w:numPr>
          <w:ilvl w:val="0"/>
          <w:numId w:val="23"/>
        </w:numPr>
        <w:spacing w:line="360" w:lineRule="auto"/>
      </w:pPr>
      <w:r w:rsidRPr="006B42D6">
        <w:t xml:space="preserve">Bee </w:t>
      </w:r>
      <w:r w:rsidR="004965E5" w:rsidRPr="006B42D6">
        <w:t>k</w:t>
      </w:r>
      <w:r w:rsidRPr="006B42D6">
        <w:t>eeping</w:t>
      </w:r>
    </w:p>
    <w:p w14:paraId="7BD25879" w14:textId="12C171A7" w:rsidR="00715E4F" w:rsidRPr="006B42D6" w:rsidRDefault="00715E4F" w:rsidP="00B9178E">
      <w:pPr>
        <w:pStyle w:val="ListParagraph"/>
        <w:numPr>
          <w:ilvl w:val="0"/>
          <w:numId w:val="23"/>
        </w:numPr>
        <w:spacing w:line="360" w:lineRule="auto"/>
      </w:pPr>
      <w:r w:rsidRPr="006B42D6">
        <w:t xml:space="preserve">Labour </w:t>
      </w:r>
      <w:r w:rsidR="004965E5" w:rsidRPr="006B42D6">
        <w:t>u</w:t>
      </w:r>
      <w:r w:rsidRPr="006B42D6">
        <w:t>se</w:t>
      </w:r>
    </w:p>
    <w:p w14:paraId="4F9910F1" w14:textId="678DBEA4" w:rsidR="00715E4F" w:rsidRPr="006B42D6" w:rsidRDefault="00715E4F" w:rsidP="00B9178E">
      <w:pPr>
        <w:pStyle w:val="ListParagraph"/>
        <w:numPr>
          <w:ilvl w:val="0"/>
          <w:numId w:val="23"/>
        </w:numPr>
        <w:spacing w:line="360" w:lineRule="auto"/>
      </w:pPr>
      <w:r w:rsidRPr="006B42D6">
        <w:t xml:space="preserve">Subsistence vs </w:t>
      </w:r>
      <w:r w:rsidR="004965E5" w:rsidRPr="006B42D6">
        <w:t>n</w:t>
      </w:r>
      <w:r w:rsidRPr="006B42D6">
        <w:t>on-</w:t>
      </w:r>
      <w:r w:rsidR="004965E5" w:rsidRPr="006B42D6">
        <w:t>s</w:t>
      </w:r>
      <w:r w:rsidRPr="006B42D6">
        <w:t>ubsistence</w:t>
      </w:r>
    </w:p>
    <w:p w14:paraId="3E2BD879" w14:textId="3E9B5D34" w:rsidR="00715E4F" w:rsidRPr="006B42D6" w:rsidRDefault="00715E4F" w:rsidP="00B9178E">
      <w:pPr>
        <w:pStyle w:val="ListParagraph"/>
        <w:numPr>
          <w:ilvl w:val="0"/>
          <w:numId w:val="23"/>
        </w:numPr>
        <w:spacing w:line="360" w:lineRule="auto"/>
      </w:pPr>
      <w:r w:rsidRPr="006B42D6">
        <w:lastRenderedPageBreak/>
        <w:t xml:space="preserve">Access to infrastructure and other </w:t>
      </w:r>
      <w:r w:rsidR="004965E5" w:rsidRPr="006B42D6">
        <w:t>s</w:t>
      </w:r>
      <w:r w:rsidRPr="006B42D6">
        <w:t>ervices</w:t>
      </w:r>
    </w:p>
    <w:p w14:paraId="331C7B84" w14:textId="4ECB5393" w:rsidR="00715E4F" w:rsidRPr="006B42D6" w:rsidRDefault="00715E4F" w:rsidP="00B9178E">
      <w:pPr>
        <w:pStyle w:val="ListParagraph"/>
        <w:numPr>
          <w:ilvl w:val="0"/>
          <w:numId w:val="23"/>
        </w:numPr>
        <w:spacing w:line="360" w:lineRule="auto"/>
      </w:pPr>
      <w:r w:rsidRPr="006B42D6">
        <w:t xml:space="preserve">Agricultural </w:t>
      </w:r>
      <w:r w:rsidR="00564543" w:rsidRPr="006B42D6">
        <w:t>c</w:t>
      </w:r>
      <w:r w:rsidRPr="006B42D6">
        <w:t>onstraints</w:t>
      </w:r>
    </w:p>
    <w:p w14:paraId="1AD4B33C" w14:textId="734F1B8D" w:rsidR="004D2415" w:rsidRPr="006B42D6" w:rsidRDefault="00564543" w:rsidP="00B9178E">
      <w:pPr>
        <w:pStyle w:val="ListParagraph"/>
        <w:numPr>
          <w:ilvl w:val="0"/>
          <w:numId w:val="23"/>
        </w:numPr>
        <w:spacing w:line="360" w:lineRule="auto"/>
      </w:pPr>
      <w:r w:rsidRPr="006B42D6">
        <w:t>Market information</w:t>
      </w:r>
    </w:p>
    <w:p w14:paraId="3831AEC9" w14:textId="6FC2BCEA" w:rsidR="00715E4F" w:rsidRDefault="00564543" w:rsidP="00B9178E">
      <w:pPr>
        <w:pStyle w:val="ListParagraph"/>
        <w:numPr>
          <w:ilvl w:val="0"/>
          <w:numId w:val="23"/>
        </w:numPr>
        <w:spacing w:line="360" w:lineRule="auto"/>
      </w:pPr>
      <w:r w:rsidRPr="006B42D6">
        <w:t>Poverty indicators at household level</w:t>
      </w:r>
    </w:p>
    <w:p w14:paraId="1CD65066" w14:textId="77777777" w:rsidR="00BF379C" w:rsidRPr="006B42D6" w:rsidRDefault="00BF379C" w:rsidP="00BF379C">
      <w:pPr>
        <w:pStyle w:val="ListParagraph"/>
        <w:spacing w:line="240" w:lineRule="auto"/>
      </w:pPr>
    </w:p>
    <w:p w14:paraId="650B2378" w14:textId="27B216CA" w:rsidR="00715E4F" w:rsidRPr="006B42D6" w:rsidRDefault="00E86347" w:rsidP="0071342E">
      <w:r w:rsidRPr="006B42D6">
        <w:t xml:space="preserve">The large-scale farm questionnaire was administered to large farms which were either privately or corporately managed. Some data from the large scale farms’ questionnaire are incorporated in this report, however an in-depth analysis of large scale farms is presented in a separate </w:t>
      </w:r>
      <w:r w:rsidR="006B42D6" w:rsidRPr="006B42D6">
        <w:t>report. The</w:t>
      </w:r>
      <w:r w:rsidR="00715E4F" w:rsidRPr="006B42D6">
        <w:t xml:space="preserve"> community level questionnaire was designed to collect village level data such as access and use of common resources, community tree plantations and seasonal farm gate prices. </w:t>
      </w:r>
    </w:p>
    <w:p w14:paraId="775C9340" w14:textId="77777777" w:rsidR="00715E4F" w:rsidRPr="006B42D6" w:rsidRDefault="00715E4F" w:rsidP="008C3B03">
      <w:pPr>
        <w:spacing w:line="240" w:lineRule="auto"/>
      </w:pPr>
    </w:p>
    <w:p w14:paraId="7D6E2DFC" w14:textId="6033975E" w:rsidR="00715E4F" w:rsidRPr="006B42D6" w:rsidRDefault="00715E4F" w:rsidP="00AE6079">
      <w:pPr>
        <w:pStyle w:val="Heading2"/>
      </w:pPr>
      <w:bookmarkStart w:id="27" w:name="_Toc82385623"/>
      <w:r w:rsidRPr="006B42D6">
        <w:t>1.</w:t>
      </w:r>
      <w:r w:rsidR="001B01B5">
        <w:t>4</w:t>
      </w:r>
      <w:r w:rsidR="00E763F5" w:rsidRPr="006B42D6">
        <w:tab/>
      </w:r>
      <w:r w:rsidRPr="006B42D6">
        <w:t>Census Methodology</w:t>
      </w:r>
      <w:bookmarkEnd w:id="27"/>
      <w:r w:rsidRPr="006B42D6">
        <w:t xml:space="preserve"> </w:t>
      </w:r>
    </w:p>
    <w:p w14:paraId="06E72B10" w14:textId="3B7ABD32" w:rsidR="00715E4F" w:rsidRPr="006B42D6" w:rsidRDefault="00715E4F" w:rsidP="00AE6079">
      <w:pPr>
        <w:pStyle w:val="Heading3"/>
      </w:pPr>
      <w:bookmarkStart w:id="28" w:name="_Toc82385624"/>
      <w:r w:rsidRPr="006B42D6">
        <w:t>1.</w:t>
      </w:r>
      <w:r w:rsidR="001B01B5">
        <w:t>4</w:t>
      </w:r>
      <w:r w:rsidR="00D047C8" w:rsidRPr="006B42D6">
        <w:t>.1</w:t>
      </w:r>
      <w:r w:rsidR="00E763F5" w:rsidRPr="006B42D6">
        <w:tab/>
      </w:r>
      <w:r w:rsidRPr="006B42D6">
        <w:t xml:space="preserve">Sample </w:t>
      </w:r>
      <w:r w:rsidRPr="0071342E">
        <w:t>Design</w:t>
      </w:r>
      <w:bookmarkEnd w:id="28"/>
    </w:p>
    <w:p w14:paraId="6D6BCADE" w14:textId="1F5B0B9B" w:rsidR="00715E4F" w:rsidRPr="006B42D6" w:rsidRDefault="00715E4F" w:rsidP="0071342E">
      <w:r w:rsidRPr="006B42D6">
        <w:t xml:space="preserve">The National Master </w:t>
      </w:r>
      <w:r w:rsidR="00EC5B03" w:rsidRPr="006B42D6">
        <w:t>S</w:t>
      </w:r>
      <w:r w:rsidRPr="006B42D6">
        <w:t>ample developed by National Bureau of Statistics (NBS) and Office of the Chief Government Statistician (OCGS) to serve as national framework for conduct</w:t>
      </w:r>
      <w:r w:rsidR="00E86347" w:rsidRPr="006B42D6">
        <w:t>ing</w:t>
      </w:r>
      <w:r w:rsidRPr="006B42D6">
        <w:t xml:space="preserve"> </w:t>
      </w:r>
      <w:r w:rsidR="00E86347" w:rsidRPr="006B42D6">
        <w:t>household-based</w:t>
      </w:r>
      <w:r w:rsidRPr="006B42D6">
        <w:t xml:space="preserve"> survey in the country was used to design the 2019/20 National </w:t>
      </w:r>
      <w:r w:rsidR="00DF663A" w:rsidRPr="006B42D6">
        <w:t xml:space="preserve">Sample Census of </w:t>
      </w:r>
      <w:r w:rsidRPr="006B42D6">
        <w:t>Agriculture (N</w:t>
      </w:r>
      <w:r w:rsidR="00DF663A" w:rsidRPr="006B42D6">
        <w:t>SCA</w:t>
      </w:r>
      <w:r w:rsidRPr="006B42D6">
        <w:t xml:space="preserve">). The 2019/20 sample was designed to provide estimates disaggregated at </w:t>
      </w:r>
      <w:r w:rsidR="00E86347" w:rsidRPr="006B42D6">
        <w:t xml:space="preserve">regional </w:t>
      </w:r>
      <w:r w:rsidRPr="006B42D6">
        <w:t xml:space="preserve">and </w:t>
      </w:r>
      <w:r w:rsidR="00E86347" w:rsidRPr="006B42D6">
        <w:t xml:space="preserve">district </w:t>
      </w:r>
      <w:r w:rsidRPr="006B42D6">
        <w:t>levels for both Mainland</w:t>
      </w:r>
      <w:r w:rsidR="00E86347" w:rsidRPr="006B42D6">
        <w:t xml:space="preserve"> Tanzania</w:t>
      </w:r>
      <w:r w:rsidRPr="006B42D6">
        <w:t xml:space="preserve"> and </w:t>
      </w:r>
      <w:r w:rsidR="00E86347" w:rsidRPr="006B42D6">
        <w:t xml:space="preserve">Tanzania </w:t>
      </w:r>
      <w:r w:rsidRPr="006B42D6">
        <w:t>Zanzibar.</w:t>
      </w:r>
    </w:p>
    <w:p w14:paraId="5B52A07B" w14:textId="77777777" w:rsidR="00715E4F" w:rsidRPr="006B42D6" w:rsidRDefault="00715E4F" w:rsidP="00B9178E">
      <w:pPr>
        <w:spacing w:line="240" w:lineRule="auto"/>
      </w:pPr>
    </w:p>
    <w:p w14:paraId="7B615AB6" w14:textId="195D9BC3" w:rsidR="00715E4F" w:rsidRDefault="001C26C6" w:rsidP="005C2EFC">
      <w:r w:rsidRPr="006B42D6">
        <w:t xml:space="preserve">The 2019/20 NSCA adopted a two-stage design with census enumeration areas as Primary Sampling Units (PSUs) and households as second-stage units. </w:t>
      </w:r>
      <w:r w:rsidR="00715E4F" w:rsidRPr="006B42D6">
        <w:t xml:space="preserve"> The stage one</w:t>
      </w:r>
      <w:r w:rsidRPr="006B42D6">
        <w:t xml:space="preserve"> sampling frame comprises of selection of urban and rural E</w:t>
      </w:r>
      <w:r w:rsidR="004444FF" w:rsidRPr="006B42D6">
        <w:t>A</w:t>
      </w:r>
      <w:r w:rsidRPr="006B42D6">
        <w:t>s from the 2012 Population and Housing Census frame. The E</w:t>
      </w:r>
      <w:r w:rsidR="004444FF" w:rsidRPr="006B42D6">
        <w:t>A</w:t>
      </w:r>
      <w:r w:rsidRPr="006B42D6">
        <w:t xml:space="preserve">s were </w:t>
      </w:r>
      <w:r w:rsidR="00715E4F" w:rsidRPr="006B42D6">
        <w:t>explicitly sorted by Region and District before employing a Probability Proportionate to Size (PPS)</w:t>
      </w:r>
      <w:r w:rsidRPr="006B42D6">
        <w:t>.</w:t>
      </w:r>
      <w:r w:rsidR="00715E4F" w:rsidRPr="006B42D6">
        <w:t xml:space="preserve"> </w:t>
      </w:r>
      <w:r w:rsidRPr="006B42D6">
        <w:t>The second stage was the selection of agricultural farming households from the selected EAs</w:t>
      </w:r>
      <w:r w:rsidR="00715E4F" w:rsidRPr="006B42D6">
        <w:t xml:space="preserve"> for data collection.</w:t>
      </w:r>
    </w:p>
    <w:p w14:paraId="372D5218" w14:textId="77777777" w:rsidR="00AE6079" w:rsidRPr="006B42D6" w:rsidRDefault="00AE6079" w:rsidP="008C3B03">
      <w:pPr>
        <w:spacing w:line="240" w:lineRule="auto"/>
      </w:pPr>
    </w:p>
    <w:tbl>
      <w:tblPr>
        <w:tblpPr w:leftFromText="180" w:rightFromText="180" w:vertAnchor="text" w:horzAnchor="margin" w:tblpXSpec="right" w:tblpY="40"/>
        <w:tblOverlap w:val="never"/>
        <w:tblW w:w="0" w:type="auto"/>
        <w:tblBorders>
          <w:top w:val="single" w:sz="4" w:space="0" w:color="auto"/>
          <w:bottom w:val="single" w:sz="4" w:space="0" w:color="auto"/>
        </w:tblBorders>
        <w:tblLook w:val="04A0" w:firstRow="1" w:lastRow="0" w:firstColumn="1" w:lastColumn="0" w:noHBand="0" w:noVBand="1"/>
      </w:tblPr>
      <w:tblGrid>
        <w:gridCol w:w="1404"/>
        <w:gridCol w:w="1584"/>
        <w:gridCol w:w="1584"/>
        <w:gridCol w:w="937"/>
        <w:gridCol w:w="47"/>
      </w:tblGrid>
      <w:tr w:rsidR="00BF379C" w:rsidRPr="006B42D6" w14:paraId="1644C078" w14:textId="77777777" w:rsidTr="00BF379C">
        <w:trPr>
          <w:trHeight w:val="57"/>
        </w:trPr>
        <w:tc>
          <w:tcPr>
            <w:tcW w:w="5556" w:type="dxa"/>
            <w:gridSpan w:val="5"/>
            <w:tcBorders>
              <w:top w:val="nil"/>
              <w:bottom w:val="single" w:sz="4" w:space="0" w:color="auto"/>
            </w:tcBorders>
          </w:tcPr>
          <w:p w14:paraId="292BF438" w14:textId="77777777" w:rsidR="00BF379C" w:rsidRPr="00755F1B" w:rsidRDefault="00BF379C" w:rsidP="00BF379C">
            <w:pPr>
              <w:pStyle w:val="Heading7"/>
            </w:pPr>
            <w:bookmarkStart w:id="29" w:name="_Toc82386180"/>
            <w:r w:rsidRPr="006B42D6">
              <w:t>Table 1.1</w:t>
            </w:r>
            <w:r>
              <w:t>:</w:t>
            </w:r>
            <w:r>
              <w:tab/>
            </w:r>
            <w:r w:rsidRPr="006B42D6">
              <w:t xml:space="preserve">Census </w:t>
            </w:r>
            <w:r w:rsidRPr="00755F1B">
              <w:t>Sample</w:t>
            </w:r>
            <w:r w:rsidRPr="006B42D6">
              <w:t xml:space="preserve"> Size During 2019/20 Agricultural Year, Tanzania</w:t>
            </w:r>
            <w:bookmarkEnd w:id="29"/>
          </w:p>
        </w:tc>
      </w:tr>
      <w:tr w:rsidR="00BF379C" w:rsidRPr="006B42D6" w14:paraId="786C4E3B" w14:textId="77777777" w:rsidTr="00BF379C">
        <w:trPr>
          <w:gridAfter w:val="1"/>
          <w:wAfter w:w="47" w:type="dxa"/>
          <w:trHeight w:val="57"/>
        </w:trPr>
        <w:tc>
          <w:tcPr>
            <w:tcW w:w="1404" w:type="dxa"/>
            <w:tcBorders>
              <w:top w:val="single" w:sz="4" w:space="0" w:color="auto"/>
              <w:bottom w:val="single" w:sz="4" w:space="0" w:color="auto"/>
            </w:tcBorders>
            <w:shd w:val="clear" w:color="auto" w:fill="E2EFD9" w:themeFill="accent6" w:themeFillTint="33"/>
            <w:vAlign w:val="center"/>
          </w:tcPr>
          <w:p w14:paraId="669870F1" w14:textId="77777777" w:rsidR="00BF379C" w:rsidRPr="0068014C" w:rsidRDefault="00BF379C" w:rsidP="00BF379C">
            <w:pPr>
              <w:jc w:val="left"/>
              <w:rPr>
                <w:b/>
                <w:sz w:val="18"/>
                <w:szCs w:val="18"/>
              </w:rPr>
            </w:pPr>
            <w:r w:rsidRPr="0068014C">
              <w:rPr>
                <w:b/>
                <w:sz w:val="18"/>
                <w:szCs w:val="18"/>
              </w:rPr>
              <w:t>Level</w:t>
            </w:r>
          </w:p>
        </w:tc>
        <w:tc>
          <w:tcPr>
            <w:tcW w:w="1584" w:type="dxa"/>
            <w:tcBorders>
              <w:top w:val="single" w:sz="4" w:space="0" w:color="auto"/>
              <w:bottom w:val="single" w:sz="4" w:space="0" w:color="auto"/>
            </w:tcBorders>
            <w:shd w:val="clear" w:color="auto" w:fill="E2EFD9" w:themeFill="accent6" w:themeFillTint="33"/>
            <w:vAlign w:val="center"/>
          </w:tcPr>
          <w:p w14:paraId="0131B3FB" w14:textId="77777777" w:rsidR="00BF379C" w:rsidRPr="0068014C" w:rsidRDefault="00BF379C" w:rsidP="00BF379C">
            <w:pPr>
              <w:jc w:val="center"/>
              <w:rPr>
                <w:b/>
                <w:sz w:val="18"/>
                <w:szCs w:val="18"/>
              </w:rPr>
            </w:pPr>
            <w:r>
              <w:rPr>
                <w:b/>
                <w:sz w:val="18"/>
                <w:szCs w:val="18"/>
              </w:rPr>
              <w:t>Tanzania</w:t>
            </w:r>
          </w:p>
        </w:tc>
        <w:tc>
          <w:tcPr>
            <w:tcW w:w="1584" w:type="dxa"/>
            <w:tcBorders>
              <w:top w:val="single" w:sz="4" w:space="0" w:color="auto"/>
              <w:bottom w:val="single" w:sz="4" w:space="0" w:color="auto"/>
            </w:tcBorders>
            <w:shd w:val="clear" w:color="auto" w:fill="E2EFD9" w:themeFill="accent6" w:themeFillTint="33"/>
            <w:vAlign w:val="center"/>
          </w:tcPr>
          <w:p w14:paraId="6AD26345" w14:textId="77777777" w:rsidR="00BF379C" w:rsidRPr="0068014C" w:rsidRDefault="00BF379C" w:rsidP="00BF379C">
            <w:pPr>
              <w:jc w:val="center"/>
              <w:rPr>
                <w:b/>
                <w:sz w:val="18"/>
                <w:szCs w:val="18"/>
              </w:rPr>
            </w:pPr>
            <w:r w:rsidRPr="0068014C">
              <w:rPr>
                <w:b/>
                <w:sz w:val="18"/>
                <w:szCs w:val="18"/>
              </w:rPr>
              <w:t xml:space="preserve">Tanzania </w:t>
            </w:r>
            <w:r w:rsidRPr="0068014C">
              <w:rPr>
                <w:b/>
                <w:sz w:val="18"/>
                <w:szCs w:val="18"/>
              </w:rPr>
              <w:br/>
              <w:t>Mainland</w:t>
            </w:r>
          </w:p>
        </w:tc>
        <w:tc>
          <w:tcPr>
            <w:tcW w:w="937" w:type="dxa"/>
            <w:tcBorders>
              <w:top w:val="single" w:sz="4" w:space="0" w:color="auto"/>
              <w:bottom w:val="single" w:sz="4" w:space="0" w:color="auto"/>
            </w:tcBorders>
            <w:shd w:val="clear" w:color="auto" w:fill="E2EFD9" w:themeFill="accent6" w:themeFillTint="33"/>
            <w:vAlign w:val="center"/>
          </w:tcPr>
          <w:p w14:paraId="24374C06" w14:textId="77777777" w:rsidR="00BF379C" w:rsidRPr="0068014C" w:rsidRDefault="00BF379C" w:rsidP="00BF379C">
            <w:pPr>
              <w:jc w:val="center"/>
              <w:rPr>
                <w:b/>
                <w:sz w:val="18"/>
                <w:szCs w:val="18"/>
              </w:rPr>
            </w:pPr>
            <w:r w:rsidRPr="0068014C">
              <w:rPr>
                <w:b/>
                <w:sz w:val="18"/>
                <w:szCs w:val="18"/>
              </w:rPr>
              <w:t>Tanzania Zanzibar</w:t>
            </w:r>
          </w:p>
        </w:tc>
      </w:tr>
      <w:tr w:rsidR="00BF379C" w:rsidRPr="006B42D6" w14:paraId="2905C525" w14:textId="77777777" w:rsidTr="00BF379C">
        <w:trPr>
          <w:gridAfter w:val="1"/>
          <w:wAfter w:w="47" w:type="dxa"/>
          <w:trHeight w:val="343"/>
        </w:trPr>
        <w:tc>
          <w:tcPr>
            <w:tcW w:w="1404" w:type="dxa"/>
            <w:tcBorders>
              <w:top w:val="single" w:sz="4" w:space="0" w:color="auto"/>
            </w:tcBorders>
            <w:vAlign w:val="center"/>
          </w:tcPr>
          <w:p w14:paraId="6E021548" w14:textId="77777777" w:rsidR="00BF379C" w:rsidRPr="0068014C" w:rsidRDefault="00BF379C" w:rsidP="00BF379C">
            <w:pPr>
              <w:jc w:val="left"/>
              <w:rPr>
                <w:sz w:val="18"/>
                <w:szCs w:val="18"/>
              </w:rPr>
            </w:pPr>
            <w:r w:rsidRPr="0068014C">
              <w:rPr>
                <w:sz w:val="18"/>
                <w:szCs w:val="18"/>
              </w:rPr>
              <w:t>Region</w:t>
            </w:r>
          </w:p>
        </w:tc>
        <w:tc>
          <w:tcPr>
            <w:tcW w:w="1584" w:type="dxa"/>
            <w:tcBorders>
              <w:top w:val="single" w:sz="4" w:space="0" w:color="auto"/>
            </w:tcBorders>
            <w:vAlign w:val="center"/>
          </w:tcPr>
          <w:p w14:paraId="60F76211" w14:textId="77777777" w:rsidR="00BF379C" w:rsidRPr="0068014C" w:rsidRDefault="00BF379C" w:rsidP="00BF379C">
            <w:pPr>
              <w:jc w:val="center"/>
              <w:rPr>
                <w:sz w:val="18"/>
                <w:szCs w:val="18"/>
              </w:rPr>
            </w:pPr>
            <w:r>
              <w:rPr>
                <w:sz w:val="18"/>
                <w:szCs w:val="18"/>
              </w:rPr>
              <w:t>31</w:t>
            </w:r>
          </w:p>
        </w:tc>
        <w:tc>
          <w:tcPr>
            <w:tcW w:w="1584" w:type="dxa"/>
            <w:tcBorders>
              <w:top w:val="single" w:sz="4" w:space="0" w:color="auto"/>
            </w:tcBorders>
            <w:vAlign w:val="center"/>
          </w:tcPr>
          <w:p w14:paraId="0D7A0A35" w14:textId="77777777" w:rsidR="00BF379C" w:rsidRPr="0068014C" w:rsidRDefault="00BF379C" w:rsidP="00BF379C">
            <w:pPr>
              <w:jc w:val="center"/>
              <w:rPr>
                <w:sz w:val="18"/>
                <w:szCs w:val="18"/>
              </w:rPr>
            </w:pPr>
            <w:r w:rsidRPr="0068014C">
              <w:rPr>
                <w:sz w:val="18"/>
                <w:szCs w:val="18"/>
              </w:rPr>
              <w:t>26</w:t>
            </w:r>
          </w:p>
        </w:tc>
        <w:tc>
          <w:tcPr>
            <w:tcW w:w="937" w:type="dxa"/>
            <w:tcBorders>
              <w:top w:val="single" w:sz="4" w:space="0" w:color="auto"/>
            </w:tcBorders>
            <w:vAlign w:val="center"/>
          </w:tcPr>
          <w:p w14:paraId="1DE6598A" w14:textId="77777777" w:rsidR="00BF379C" w:rsidRPr="0068014C" w:rsidRDefault="00BF379C" w:rsidP="00BF379C">
            <w:pPr>
              <w:jc w:val="center"/>
              <w:rPr>
                <w:sz w:val="18"/>
                <w:szCs w:val="18"/>
              </w:rPr>
            </w:pPr>
            <w:r w:rsidRPr="0068014C">
              <w:rPr>
                <w:sz w:val="18"/>
                <w:szCs w:val="18"/>
              </w:rPr>
              <w:t>5</w:t>
            </w:r>
          </w:p>
        </w:tc>
      </w:tr>
      <w:tr w:rsidR="00BF379C" w:rsidRPr="006B42D6" w14:paraId="2147475A" w14:textId="77777777" w:rsidTr="00BF379C">
        <w:trPr>
          <w:gridAfter w:val="1"/>
          <w:wAfter w:w="47" w:type="dxa"/>
          <w:trHeight w:val="343"/>
        </w:trPr>
        <w:tc>
          <w:tcPr>
            <w:tcW w:w="1404" w:type="dxa"/>
            <w:vAlign w:val="center"/>
          </w:tcPr>
          <w:p w14:paraId="5D68F741" w14:textId="77777777" w:rsidR="00BF379C" w:rsidRPr="0068014C" w:rsidRDefault="00BF379C" w:rsidP="00BF379C">
            <w:pPr>
              <w:jc w:val="left"/>
              <w:rPr>
                <w:sz w:val="18"/>
                <w:szCs w:val="18"/>
              </w:rPr>
            </w:pPr>
            <w:r w:rsidRPr="0068014C">
              <w:rPr>
                <w:sz w:val="18"/>
                <w:szCs w:val="18"/>
              </w:rPr>
              <w:t>District</w:t>
            </w:r>
          </w:p>
        </w:tc>
        <w:tc>
          <w:tcPr>
            <w:tcW w:w="1584" w:type="dxa"/>
            <w:vAlign w:val="center"/>
          </w:tcPr>
          <w:p w14:paraId="1EE25826" w14:textId="77777777" w:rsidR="00BF379C" w:rsidRPr="0068014C" w:rsidRDefault="00BF379C" w:rsidP="00BF379C">
            <w:pPr>
              <w:jc w:val="center"/>
              <w:rPr>
                <w:sz w:val="18"/>
                <w:szCs w:val="18"/>
              </w:rPr>
            </w:pPr>
            <w:r>
              <w:rPr>
                <w:sz w:val="18"/>
                <w:szCs w:val="18"/>
              </w:rPr>
              <w:t>196</w:t>
            </w:r>
          </w:p>
        </w:tc>
        <w:tc>
          <w:tcPr>
            <w:tcW w:w="1584" w:type="dxa"/>
            <w:vAlign w:val="center"/>
          </w:tcPr>
          <w:p w14:paraId="6C5C73FB" w14:textId="77777777" w:rsidR="00BF379C" w:rsidRPr="0068014C" w:rsidRDefault="00BF379C" w:rsidP="00BF379C">
            <w:pPr>
              <w:jc w:val="center"/>
              <w:rPr>
                <w:sz w:val="18"/>
                <w:szCs w:val="18"/>
              </w:rPr>
            </w:pPr>
            <w:r w:rsidRPr="0068014C">
              <w:rPr>
                <w:sz w:val="18"/>
                <w:szCs w:val="18"/>
              </w:rPr>
              <w:t>185</w:t>
            </w:r>
          </w:p>
        </w:tc>
        <w:tc>
          <w:tcPr>
            <w:tcW w:w="937" w:type="dxa"/>
            <w:vAlign w:val="center"/>
          </w:tcPr>
          <w:p w14:paraId="31DA5DA5" w14:textId="77777777" w:rsidR="00BF379C" w:rsidRPr="0068014C" w:rsidRDefault="00BF379C" w:rsidP="00BF379C">
            <w:pPr>
              <w:jc w:val="center"/>
              <w:rPr>
                <w:sz w:val="18"/>
                <w:szCs w:val="18"/>
              </w:rPr>
            </w:pPr>
            <w:r w:rsidRPr="0068014C">
              <w:rPr>
                <w:sz w:val="18"/>
                <w:szCs w:val="18"/>
              </w:rPr>
              <w:t>11</w:t>
            </w:r>
          </w:p>
        </w:tc>
      </w:tr>
      <w:tr w:rsidR="00BF379C" w:rsidRPr="006B42D6" w14:paraId="0A40FAEC" w14:textId="77777777" w:rsidTr="00BF379C">
        <w:trPr>
          <w:gridAfter w:val="1"/>
          <w:wAfter w:w="47" w:type="dxa"/>
          <w:trHeight w:val="343"/>
        </w:trPr>
        <w:tc>
          <w:tcPr>
            <w:tcW w:w="1404" w:type="dxa"/>
            <w:vAlign w:val="center"/>
          </w:tcPr>
          <w:p w14:paraId="46891B51" w14:textId="77777777" w:rsidR="00BF379C" w:rsidRPr="0068014C" w:rsidRDefault="00BF379C" w:rsidP="00BF379C">
            <w:pPr>
              <w:jc w:val="left"/>
              <w:rPr>
                <w:sz w:val="18"/>
                <w:szCs w:val="18"/>
              </w:rPr>
            </w:pPr>
            <w:r w:rsidRPr="0068014C">
              <w:rPr>
                <w:sz w:val="18"/>
                <w:szCs w:val="18"/>
              </w:rPr>
              <w:t>EAs</w:t>
            </w:r>
          </w:p>
        </w:tc>
        <w:tc>
          <w:tcPr>
            <w:tcW w:w="1584" w:type="dxa"/>
            <w:vAlign w:val="center"/>
          </w:tcPr>
          <w:p w14:paraId="14E9C12E" w14:textId="77777777" w:rsidR="00BF379C" w:rsidRPr="0068014C" w:rsidRDefault="00BF379C" w:rsidP="00BF379C">
            <w:pPr>
              <w:jc w:val="center"/>
              <w:rPr>
                <w:sz w:val="18"/>
                <w:szCs w:val="18"/>
              </w:rPr>
            </w:pPr>
            <w:r>
              <w:rPr>
                <w:sz w:val="18"/>
                <w:szCs w:val="18"/>
              </w:rPr>
              <w:t>2,820</w:t>
            </w:r>
          </w:p>
        </w:tc>
        <w:tc>
          <w:tcPr>
            <w:tcW w:w="1584" w:type="dxa"/>
            <w:vAlign w:val="center"/>
          </w:tcPr>
          <w:p w14:paraId="66A4B183" w14:textId="77777777" w:rsidR="00BF379C" w:rsidRPr="0068014C" w:rsidRDefault="00BF379C" w:rsidP="00BF379C">
            <w:pPr>
              <w:jc w:val="center"/>
              <w:rPr>
                <w:sz w:val="18"/>
                <w:szCs w:val="18"/>
              </w:rPr>
            </w:pPr>
            <w:r w:rsidRPr="0068014C">
              <w:rPr>
                <w:sz w:val="18"/>
                <w:szCs w:val="18"/>
              </w:rPr>
              <w:t>2,670</w:t>
            </w:r>
          </w:p>
        </w:tc>
        <w:tc>
          <w:tcPr>
            <w:tcW w:w="937" w:type="dxa"/>
            <w:vAlign w:val="center"/>
          </w:tcPr>
          <w:p w14:paraId="573AEA72" w14:textId="77777777" w:rsidR="00BF379C" w:rsidRPr="0068014C" w:rsidRDefault="00BF379C" w:rsidP="00BF379C">
            <w:pPr>
              <w:jc w:val="center"/>
              <w:rPr>
                <w:sz w:val="18"/>
                <w:szCs w:val="18"/>
              </w:rPr>
            </w:pPr>
            <w:r w:rsidRPr="0068014C">
              <w:rPr>
                <w:sz w:val="18"/>
                <w:szCs w:val="18"/>
              </w:rPr>
              <w:t>150</w:t>
            </w:r>
          </w:p>
        </w:tc>
      </w:tr>
      <w:tr w:rsidR="00BF379C" w:rsidRPr="006B42D6" w14:paraId="5FE994E4" w14:textId="77777777" w:rsidTr="00BF379C">
        <w:trPr>
          <w:gridAfter w:val="1"/>
          <w:wAfter w:w="47" w:type="dxa"/>
          <w:trHeight w:val="343"/>
        </w:trPr>
        <w:tc>
          <w:tcPr>
            <w:tcW w:w="1404" w:type="dxa"/>
            <w:vAlign w:val="center"/>
          </w:tcPr>
          <w:p w14:paraId="79E6EB99" w14:textId="1F01DBED" w:rsidR="00BF379C" w:rsidRPr="0068014C" w:rsidRDefault="00BF379C" w:rsidP="00BF379C">
            <w:pPr>
              <w:jc w:val="left"/>
              <w:rPr>
                <w:sz w:val="18"/>
                <w:szCs w:val="18"/>
              </w:rPr>
            </w:pPr>
            <w:r w:rsidRPr="0068014C">
              <w:rPr>
                <w:sz w:val="18"/>
                <w:szCs w:val="18"/>
              </w:rPr>
              <w:t>Household</w:t>
            </w:r>
          </w:p>
        </w:tc>
        <w:tc>
          <w:tcPr>
            <w:tcW w:w="1584" w:type="dxa"/>
            <w:vAlign w:val="center"/>
          </w:tcPr>
          <w:p w14:paraId="2AE951CE" w14:textId="77777777" w:rsidR="00BF379C" w:rsidRPr="0068014C" w:rsidRDefault="00BF379C" w:rsidP="00BF379C">
            <w:pPr>
              <w:jc w:val="center"/>
              <w:rPr>
                <w:sz w:val="18"/>
                <w:szCs w:val="18"/>
              </w:rPr>
            </w:pPr>
            <w:r>
              <w:rPr>
                <w:sz w:val="18"/>
                <w:szCs w:val="18"/>
              </w:rPr>
              <w:t>33,808</w:t>
            </w:r>
          </w:p>
        </w:tc>
        <w:tc>
          <w:tcPr>
            <w:tcW w:w="1584" w:type="dxa"/>
            <w:vAlign w:val="center"/>
          </w:tcPr>
          <w:p w14:paraId="53F4242D" w14:textId="77777777" w:rsidR="00BF379C" w:rsidRPr="0068014C" w:rsidRDefault="00BF379C" w:rsidP="00BF379C">
            <w:pPr>
              <w:jc w:val="center"/>
              <w:rPr>
                <w:sz w:val="18"/>
                <w:szCs w:val="18"/>
              </w:rPr>
            </w:pPr>
            <w:r w:rsidRPr="0068014C">
              <w:rPr>
                <w:sz w:val="18"/>
                <w:szCs w:val="18"/>
              </w:rPr>
              <w:t>32,0</w:t>
            </w:r>
            <w:r>
              <w:rPr>
                <w:sz w:val="18"/>
                <w:szCs w:val="18"/>
              </w:rPr>
              <w:t>08</w:t>
            </w:r>
          </w:p>
        </w:tc>
        <w:tc>
          <w:tcPr>
            <w:tcW w:w="937" w:type="dxa"/>
            <w:vAlign w:val="center"/>
          </w:tcPr>
          <w:p w14:paraId="581CB21B" w14:textId="77777777" w:rsidR="00BF379C" w:rsidRPr="0068014C" w:rsidRDefault="00BF379C" w:rsidP="00BF379C">
            <w:pPr>
              <w:jc w:val="center"/>
              <w:rPr>
                <w:sz w:val="18"/>
                <w:szCs w:val="18"/>
              </w:rPr>
            </w:pPr>
            <w:r w:rsidRPr="0068014C">
              <w:rPr>
                <w:sz w:val="18"/>
                <w:szCs w:val="18"/>
              </w:rPr>
              <w:t>1,800</w:t>
            </w:r>
          </w:p>
        </w:tc>
      </w:tr>
    </w:tbl>
    <w:p w14:paraId="60E1FC84" w14:textId="487CCB26" w:rsidR="00715E4F" w:rsidRPr="006B42D6" w:rsidRDefault="00715E4F" w:rsidP="005C2EFC">
      <w:pPr>
        <w:pStyle w:val="Heading3"/>
      </w:pPr>
      <w:bookmarkStart w:id="30" w:name="_Toc82385625"/>
      <w:r w:rsidRPr="006B42D6">
        <w:t>1.</w:t>
      </w:r>
      <w:r w:rsidR="001B01B5">
        <w:t>4</w:t>
      </w:r>
      <w:r w:rsidRPr="006B42D6">
        <w:t>.2</w:t>
      </w:r>
      <w:r w:rsidR="00E763F5" w:rsidRPr="006B42D6">
        <w:tab/>
      </w:r>
      <w:r w:rsidRPr="006B42D6">
        <w:t>Sample Size</w:t>
      </w:r>
      <w:bookmarkEnd w:id="30"/>
    </w:p>
    <w:p w14:paraId="22875A0C" w14:textId="255ED88F" w:rsidR="003A083C" w:rsidRDefault="001C26C6" w:rsidP="003A083C">
      <w:r w:rsidRPr="006B42D6">
        <w:t xml:space="preserve">A total of 2,820 PSUs were selected from the 2012 Population and Housing Census (PHC) frame of which 2,670 PSUs were from Mainland Tanzania and 150 from </w:t>
      </w:r>
      <w:r w:rsidRPr="006B42D6">
        <w:lastRenderedPageBreak/>
        <w:t>Tanzania Zanzibar. Out of these, 2,560 PSUs were from rural and 260 from urban areas. The number of households differed from one PSU to another, it ranged from 5 to 30 households, making a total number of 33,808 households (32,008 households from Mainland Tanzania and 1,800 from Tanzania Zanzibar). The probability of selecting a household depended on the total number of households in the PSU.</w:t>
      </w:r>
      <w:r w:rsidR="008B0802">
        <w:t xml:space="preserve"> </w:t>
      </w:r>
      <w:r w:rsidR="003A083C" w:rsidRPr="006B42D6">
        <w:t>The sample was higher for rural EAs than urban EAs. The technic was designed to give estimates of different parameters with the error margin of 5 percent at 95</w:t>
      </w:r>
      <w:r w:rsidR="005A0075">
        <w:t xml:space="preserve"> percent </w:t>
      </w:r>
      <w:r w:rsidR="003A083C" w:rsidRPr="006B42D6">
        <w:t xml:space="preserve">confidence level. </w:t>
      </w:r>
    </w:p>
    <w:p w14:paraId="42A6A809" w14:textId="636BB79A" w:rsidR="00BF379C" w:rsidRDefault="00BF379C" w:rsidP="00BF379C">
      <w:pPr>
        <w:spacing w:line="240" w:lineRule="auto"/>
      </w:pPr>
    </w:p>
    <w:p w14:paraId="25E7CFAB" w14:textId="598633A6" w:rsidR="00715E4F" w:rsidRPr="006B42D6" w:rsidRDefault="00715E4F" w:rsidP="005C2EFC">
      <w:pPr>
        <w:pStyle w:val="Heading2"/>
      </w:pPr>
      <w:bookmarkStart w:id="31" w:name="_Toc82385626"/>
      <w:r w:rsidRPr="006B42D6">
        <w:t>1.</w:t>
      </w:r>
      <w:r w:rsidR="001B01B5">
        <w:t>5</w:t>
      </w:r>
      <w:r w:rsidR="00E763F5" w:rsidRPr="006B42D6">
        <w:tab/>
      </w:r>
      <w:r w:rsidRPr="006B42D6">
        <w:t>Census Organization</w:t>
      </w:r>
      <w:bookmarkEnd w:id="31"/>
      <w:r w:rsidRPr="006B42D6">
        <w:t xml:space="preserve"> </w:t>
      </w:r>
    </w:p>
    <w:p w14:paraId="395CFC21" w14:textId="3AB678A4" w:rsidR="00564543" w:rsidRDefault="00715E4F" w:rsidP="003A083C">
      <w:r w:rsidRPr="006B42D6">
        <w:t xml:space="preserve">The 2019/20 </w:t>
      </w:r>
      <w:r w:rsidR="004444FF" w:rsidRPr="006B42D6">
        <w:t>NSCA</w:t>
      </w:r>
      <w:r w:rsidRPr="006B42D6">
        <w:t xml:space="preserve"> was administered by National Bureau of Statistics and </w:t>
      </w:r>
      <w:r w:rsidR="004444FF" w:rsidRPr="006B42D6">
        <w:t xml:space="preserve">Office of the </w:t>
      </w:r>
      <w:r w:rsidRPr="006B42D6">
        <w:t xml:space="preserve">Chief Government </w:t>
      </w:r>
      <w:r w:rsidR="004444FF" w:rsidRPr="006B42D6">
        <w:t xml:space="preserve">Statistician, Zanzibar </w:t>
      </w:r>
      <w:r w:rsidRPr="006B42D6">
        <w:t xml:space="preserve">in collaboration with Agriculture Sector Lead Ministries (ASLMs). </w:t>
      </w:r>
      <w:r w:rsidR="004444FF" w:rsidRPr="006B42D6">
        <w:t xml:space="preserve">For smooth implementation of the Census, Steering Committee, Committee of Directors and Technical Committee were formed </w:t>
      </w:r>
      <w:r w:rsidR="00564543" w:rsidRPr="006B42D6">
        <w:t>The committee members were from the President's Office, Regional Administration and Local Governments; Prime Ministers’ Office; Ministry of Agriculture; Ministry of Livestock and Fisheries; Ministry of Industr</w:t>
      </w:r>
      <w:r w:rsidR="004444FF" w:rsidRPr="006B42D6">
        <w:t>y</w:t>
      </w:r>
      <w:r w:rsidR="00564543" w:rsidRPr="006B42D6">
        <w:t xml:space="preserve"> and Trade; Ministry of Agriculture, Irrigation, Natural resources and Livestock, Zanzibar; the National Bureau of Statistics and Office of the Chief Government Statistician, Zanzibar. </w:t>
      </w:r>
      <w:r w:rsidR="004444FF" w:rsidRPr="006B42D6">
        <w:t>The Steering Committee was responsible for making pe</w:t>
      </w:r>
      <w:r w:rsidR="00A534CF" w:rsidRPr="006B42D6">
        <w:t>r</w:t>
      </w:r>
      <w:r w:rsidR="004444FF" w:rsidRPr="006B42D6">
        <w:t>t</w:t>
      </w:r>
      <w:r w:rsidR="00A534CF" w:rsidRPr="006B42D6">
        <w:t>i</w:t>
      </w:r>
      <w:r w:rsidR="004444FF" w:rsidRPr="006B42D6">
        <w:t>nent decision with regards to census implementation, whereas the Committee of Directors provi</w:t>
      </w:r>
      <w:r w:rsidR="00A534CF" w:rsidRPr="006B42D6">
        <w:t>des advice to the Steering Committee</w:t>
      </w:r>
      <w:r w:rsidR="00564543" w:rsidRPr="006B42D6">
        <w:t xml:space="preserve">. </w:t>
      </w:r>
      <w:r w:rsidR="00A534CF" w:rsidRPr="006B42D6">
        <w:t xml:space="preserve">On the other hand, the Technical Committee </w:t>
      </w:r>
      <w:r w:rsidR="00564543" w:rsidRPr="006B42D6">
        <w:t>was responsible for the overall planning and execution of the project. More specifically the team was responsible to</w:t>
      </w:r>
      <w:r w:rsidR="00BF379C">
        <w:t>:</w:t>
      </w:r>
    </w:p>
    <w:p w14:paraId="64459D1E" w14:textId="77777777" w:rsidR="00AE6079" w:rsidRPr="00AE6079" w:rsidRDefault="00AE6079" w:rsidP="003A083C">
      <w:pPr>
        <w:rPr>
          <w:sz w:val="6"/>
          <w:szCs w:val="6"/>
        </w:rPr>
      </w:pPr>
    </w:p>
    <w:p w14:paraId="7988809C" w14:textId="0002101A" w:rsidR="003A083C" w:rsidRDefault="003A083C" w:rsidP="003A083C">
      <w:pPr>
        <w:ind w:left="284"/>
      </w:pPr>
      <w:r>
        <w:t>i)</w:t>
      </w:r>
      <w:r>
        <w:tab/>
      </w:r>
      <w:r w:rsidR="00715E4F" w:rsidRPr="006B42D6">
        <w:t xml:space="preserve">Develop </w:t>
      </w:r>
      <w:r w:rsidR="00564543" w:rsidRPr="006B42D6">
        <w:t>tabulation plans</w:t>
      </w:r>
      <w:r>
        <w:t>;</w:t>
      </w:r>
    </w:p>
    <w:p w14:paraId="42AFB8DE" w14:textId="6A3074D5" w:rsidR="00715E4F" w:rsidRPr="006B42D6" w:rsidRDefault="003A083C" w:rsidP="003A083C">
      <w:pPr>
        <w:ind w:left="284"/>
      </w:pPr>
      <w:r>
        <w:t>ii)</w:t>
      </w:r>
      <w:r>
        <w:tab/>
      </w:r>
      <w:r w:rsidR="00715E4F" w:rsidRPr="006B42D6">
        <w:t>Develop sample design</w:t>
      </w:r>
      <w:r>
        <w:t>;</w:t>
      </w:r>
    </w:p>
    <w:p w14:paraId="6A53ECF8" w14:textId="5FFF02D8" w:rsidR="00715E4F" w:rsidRPr="006B42D6" w:rsidRDefault="003A083C" w:rsidP="003A083C">
      <w:pPr>
        <w:ind w:left="284"/>
      </w:pPr>
      <w:r>
        <w:t>iii)</w:t>
      </w:r>
      <w:r>
        <w:tab/>
      </w:r>
      <w:r w:rsidR="00715E4F" w:rsidRPr="006B42D6">
        <w:t>Questionnaire design and other census instruments</w:t>
      </w:r>
      <w:r>
        <w:t>;</w:t>
      </w:r>
    </w:p>
    <w:p w14:paraId="30B6DB82" w14:textId="551CFCA6" w:rsidR="00715E4F" w:rsidRPr="006B42D6" w:rsidRDefault="003A083C" w:rsidP="003A083C">
      <w:pPr>
        <w:ind w:left="284"/>
      </w:pPr>
      <w:r>
        <w:t>iv)</w:t>
      </w:r>
      <w:r>
        <w:tab/>
      </w:r>
      <w:r w:rsidR="00715E4F" w:rsidRPr="006B42D6">
        <w:t>Field pre-testing of the census instruments</w:t>
      </w:r>
      <w:r>
        <w:t>;</w:t>
      </w:r>
    </w:p>
    <w:p w14:paraId="720FD5E7" w14:textId="54154086" w:rsidR="00715E4F" w:rsidRPr="006B42D6" w:rsidRDefault="003A083C" w:rsidP="003A083C">
      <w:pPr>
        <w:ind w:left="284"/>
      </w:pPr>
      <w:r>
        <w:t>v)</w:t>
      </w:r>
      <w:r>
        <w:tab/>
      </w:r>
      <w:r w:rsidR="00715E4F" w:rsidRPr="006B42D6">
        <w:t>Execution training of trainers</w:t>
      </w:r>
      <w:r>
        <w:t>;</w:t>
      </w:r>
    </w:p>
    <w:p w14:paraId="18AEBEF5" w14:textId="30C17747" w:rsidR="003A083C" w:rsidRDefault="003A083C" w:rsidP="003A083C">
      <w:pPr>
        <w:ind w:left="284"/>
      </w:pPr>
      <w:r>
        <w:t>vi)</w:t>
      </w:r>
      <w:r>
        <w:tab/>
      </w:r>
      <w:r w:rsidR="00715E4F" w:rsidRPr="006B42D6">
        <w:t>Information, education and communication c</w:t>
      </w:r>
      <w:r w:rsidR="00564543" w:rsidRPr="006B42D6">
        <w:t>a</w:t>
      </w:r>
      <w:r w:rsidR="00715E4F" w:rsidRPr="006B42D6">
        <w:t>mpaign</w:t>
      </w:r>
      <w:r>
        <w:t>; and</w:t>
      </w:r>
    </w:p>
    <w:p w14:paraId="3361FDF6" w14:textId="0909A647" w:rsidR="00715E4F" w:rsidRPr="006B42D6" w:rsidRDefault="003A083C" w:rsidP="003A083C">
      <w:pPr>
        <w:ind w:left="284"/>
      </w:pPr>
      <w:r>
        <w:t>vii)</w:t>
      </w:r>
      <w:r>
        <w:tab/>
      </w:r>
      <w:r w:rsidR="00715E4F" w:rsidRPr="006B42D6">
        <w:t xml:space="preserve">Field </w:t>
      </w:r>
      <w:r w:rsidR="00564543" w:rsidRPr="006B42D6">
        <w:t>supervision and consistency checks</w:t>
      </w:r>
      <w:r>
        <w:t>.</w:t>
      </w:r>
    </w:p>
    <w:p w14:paraId="5158A17B" w14:textId="77777777" w:rsidR="00715E4F" w:rsidRPr="006B42D6" w:rsidRDefault="00715E4F" w:rsidP="005C2EFC">
      <w:pPr>
        <w:pStyle w:val="BodyText"/>
        <w:spacing w:before="9"/>
        <w:rPr>
          <w:sz w:val="24"/>
          <w:szCs w:val="24"/>
        </w:rPr>
      </w:pPr>
    </w:p>
    <w:p w14:paraId="320F4568" w14:textId="428B5ADF" w:rsidR="00715E4F" w:rsidRPr="006B42D6" w:rsidRDefault="00715E4F" w:rsidP="005C2EFC">
      <w:bookmarkStart w:id="32" w:name="_TOC_250020"/>
      <w:bookmarkEnd w:id="32"/>
      <w:r w:rsidRPr="006B42D6">
        <w:br w:type="page"/>
      </w:r>
    </w:p>
    <w:p w14:paraId="3E25D8D5" w14:textId="4A10726B" w:rsidR="00DD7DBB" w:rsidRDefault="00DD7DBB" w:rsidP="00DD7DBB">
      <w:pPr>
        <w:pStyle w:val="Title"/>
      </w:pPr>
      <w:bookmarkStart w:id="33" w:name="_Hlk74343398"/>
      <w:bookmarkStart w:id="34" w:name="_Toc82385627"/>
      <w:bookmarkEnd w:id="33"/>
      <w:r>
        <w:lastRenderedPageBreak/>
        <w:t>CHAPTER TWO</w:t>
      </w:r>
      <w:bookmarkEnd w:id="34"/>
    </w:p>
    <w:p w14:paraId="26614D6E" w14:textId="04948890" w:rsidR="00AA7CF3" w:rsidRPr="006B42D6" w:rsidRDefault="00AA7CF3" w:rsidP="00DD7DBB">
      <w:pPr>
        <w:pStyle w:val="Subtitle"/>
      </w:pPr>
      <w:bookmarkStart w:id="35" w:name="_Toc82385628"/>
      <w:r w:rsidRPr="006B42D6">
        <w:t>DEMOGRAPHIC</w:t>
      </w:r>
      <w:r w:rsidR="007D46AE">
        <w:t xml:space="preserve"> CHARACTERISTICS</w:t>
      </w:r>
      <w:bookmarkEnd w:id="35"/>
    </w:p>
    <w:p w14:paraId="3A7135FD" w14:textId="546B7CF5" w:rsidR="00715E4F" w:rsidRPr="006B42D6" w:rsidRDefault="00715E4F" w:rsidP="003F4EAA">
      <w:pPr>
        <w:pStyle w:val="Heading1"/>
      </w:pPr>
      <w:bookmarkStart w:id="36" w:name="_Toc82385629"/>
      <w:r w:rsidRPr="006B42D6">
        <w:t>2.</w:t>
      </w:r>
      <w:r w:rsidR="003F4EAA">
        <w:t>0</w:t>
      </w:r>
      <w:r w:rsidR="00E763F5" w:rsidRPr="006B42D6">
        <w:tab/>
      </w:r>
      <w:r w:rsidRPr="003F4EAA">
        <w:t>Agricultural</w:t>
      </w:r>
      <w:r w:rsidRPr="006B42D6">
        <w:t xml:space="preserve"> Households</w:t>
      </w:r>
      <w:bookmarkEnd w:id="36"/>
      <w:r w:rsidRPr="006B42D6">
        <w:t xml:space="preserve"> </w:t>
      </w:r>
    </w:p>
    <w:p w14:paraId="060EDCC1" w14:textId="366F7BBF" w:rsidR="00715E4F" w:rsidRDefault="00715E4F" w:rsidP="007D46AE">
      <w:pPr>
        <w:rPr>
          <w:rFonts w:eastAsia="Calibri"/>
          <w:lang w:val="en-GB"/>
        </w:rPr>
      </w:pPr>
      <w:r w:rsidRPr="006B42D6">
        <w:rPr>
          <w:rFonts w:eastAsia="Calibri"/>
          <w:lang w:val="en-GB"/>
        </w:rPr>
        <w:t xml:space="preserve">The results presented in this section </w:t>
      </w:r>
      <w:r w:rsidR="00650415" w:rsidRPr="006B42D6">
        <w:rPr>
          <w:rFonts w:eastAsia="Calibri"/>
          <w:lang w:val="en-GB"/>
        </w:rPr>
        <w:t>discuss</w:t>
      </w:r>
      <w:r w:rsidRPr="006B42D6">
        <w:rPr>
          <w:rFonts w:eastAsia="Calibri"/>
          <w:lang w:val="en-GB"/>
        </w:rPr>
        <w:t xml:space="preserve"> agricultural activity of the households during the 2019/20 </w:t>
      </w:r>
      <w:r w:rsidR="00650415" w:rsidRPr="006B42D6">
        <w:rPr>
          <w:rFonts w:eastAsia="Calibri"/>
          <w:lang w:val="en-GB"/>
        </w:rPr>
        <w:t>agricultural year</w:t>
      </w:r>
      <w:r w:rsidRPr="006B42D6">
        <w:rPr>
          <w:rFonts w:eastAsia="Calibri"/>
          <w:lang w:val="en-GB"/>
        </w:rPr>
        <w:t>.</w:t>
      </w:r>
      <w:r w:rsidR="00564543" w:rsidRPr="006B42D6">
        <w:rPr>
          <w:rFonts w:eastAsia="Calibri"/>
          <w:lang w:val="en-GB"/>
        </w:rPr>
        <w:t xml:space="preserve"> </w:t>
      </w:r>
      <w:r w:rsidRPr="006B42D6">
        <w:rPr>
          <w:rFonts w:eastAsia="Calibri"/>
          <w:lang w:val="en-GB"/>
        </w:rPr>
        <w:t>A total of 7,837,405 households were engaged in agricultur</w:t>
      </w:r>
      <w:r w:rsidR="00650415" w:rsidRPr="006B42D6">
        <w:rPr>
          <w:rFonts w:eastAsia="Calibri"/>
          <w:lang w:val="en-GB"/>
        </w:rPr>
        <w:t>al activities</w:t>
      </w:r>
      <w:r w:rsidRPr="006B42D6">
        <w:rPr>
          <w:rFonts w:eastAsia="Calibri"/>
          <w:lang w:val="en-GB"/>
        </w:rPr>
        <w:t xml:space="preserve">, out of which 7,657,184 were in Mainland </w:t>
      </w:r>
      <w:r w:rsidR="00650415" w:rsidRPr="006B42D6">
        <w:rPr>
          <w:rFonts w:eastAsia="Calibri"/>
          <w:lang w:val="en-GB"/>
        </w:rPr>
        <w:t xml:space="preserve">Tanzania </w:t>
      </w:r>
      <w:r w:rsidRPr="006B42D6">
        <w:rPr>
          <w:rFonts w:eastAsia="Calibri"/>
          <w:lang w:val="en-GB"/>
        </w:rPr>
        <w:t>and 180,2</w:t>
      </w:r>
      <w:r w:rsidR="00D962DC" w:rsidRPr="006B42D6">
        <w:rPr>
          <w:rFonts w:eastAsia="Calibri"/>
          <w:lang w:val="en-GB"/>
        </w:rPr>
        <w:t>20</w:t>
      </w:r>
      <w:r w:rsidRPr="006B42D6">
        <w:rPr>
          <w:rFonts w:eastAsia="Calibri"/>
          <w:lang w:val="en-GB"/>
        </w:rPr>
        <w:t xml:space="preserve"> in </w:t>
      </w:r>
      <w:r w:rsidR="00650415" w:rsidRPr="006B42D6">
        <w:rPr>
          <w:rFonts w:eastAsia="Calibri"/>
          <w:lang w:val="en-GB"/>
        </w:rPr>
        <w:t xml:space="preserve">Tanzania </w:t>
      </w:r>
      <w:r w:rsidRPr="006B42D6">
        <w:rPr>
          <w:rFonts w:eastAsia="Calibri"/>
          <w:lang w:val="en-GB"/>
        </w:rPr>
        <w:t>Zanzibar. In term</w:t>
      </w:r>
      <w:r w:rsidR="007D46AE">
        <w:rPr>
          <w:rFonts w:eastAsia="Calibri"/>
          <w:lang w:val="en-GB"/>
        </w:rPr>
        <w:t>s</w:t>
      </w:r>
      <w:r w:rsidRPr="006B42D6">
        <w:rPr>
          <w:rFonts w:eastAsia="Calibri"/>
          <w:lang w:val="en-GB"/>
        </w:rPr>
        <w:t xml:space="preserve"> of locality, 6,325, </w:t>
      </w:r>
      <w:r w:rsidR="00A52D6D" w:rsidRPr="006B42D6">
        <w:rPr>
          <w:rFonts w:eastAsia="Calibri"/>
          <w:lang w:val="en-GB"/>
        </w:rPr>
        <w:t xml:space="preserve">362 </w:t>
      </w:r>
      <w:r w:rsidR="00650415" w:rsidRPr="006B42D6">
        <w:rPr>
          <w:rFonts w:eastAsia="Calibri"/>
          <w:lang w:val="en-GB"/>
        </w:rPr>
        <w:t xml:space="preserve">households </w:t>
      </w:r>
      <w:r w:rsidRPr="006B42D6">
        <w:rPr>
          <w:rFonts w:eastAsia="Calibri"/>
          <w:lang w:val="en-GB"/>
        </w:rPr>
        <w:t>(80.7 percent) were in rural areas and 1,512,043 (19.3 percent) in urban areas. The number of agricultural households has increased from 5,838,523 in 200</w:t>
      </w:r>
      <w:r w:rsidR="00DF663A" w:rsidRPr="006B42D6">
        <w:rPr>
          <w:rFonts w:eastAsia="Calibri"/>
          <w:lang w:val="en-GB"/>
        </w:rPr>
        <w:t>7</w:t>
      </w:r>
      <w:r w:rsidRPr="006B42D6">
        <w:rPr>
          <w:rFonts w:eastAsia="Calibri"/>
          <w:lang w:val="en-GB"/>
        </w:rPr>
        <w:t>/0</w:t>
      </w:r>
      <w:r w:rsidR="00DF663A" w:rsidRPr="006B42D6">
        <w:rPr>
          <w:rFonts w:eastAsia="Calibri"/>
          <w:lang w:val="en-GB"/>
        </w:rPr>
        <w:t>8</w:t>
      </w:r>
      <w:r w:rsidRPr="006B42D6">
        <w:rPr>
          <w:rFonts w:eastAsia="Calibri"/>
          <w:lang w:val="en-GB"/>
        </w:rPr>
        <w:t xml:space="preserve"> to 7,</w:t>
      </w:r>
      <w:r w:rsidR="00A52D6D" w:rsidRPr="006B42D6">
        <w:rPr>
          <w:rFonts w:eastAsia="Calibri"/>
          <w:lang w:val="en-GB"/>
        </w:rPr>
        <w:t>837</w:t>
      </w:r>
      <w:r w:rsidRPr="006B42D6">
        <w:rPr>
          <w:rFonts w:eastAsia="Calibri"/>
          <w:lang w:val="en-GB"/>
        </w:rPr>
        <w:t>,</w:t>
      </w:r>
      <w:r w:rsidR="00A52D6D" w:rsidRPr="006B42D6">
        <w:rPr>
          <w:rFonts w:eastAsia="Calibri"/>
          <w:lang w:val="en-GB"/>
        </w:rPr>
        <w:t xml:space="preserve">405 </w:t>
      </w:r>
      <w:r w:rsidRPr="006B42D6">
        <w:rPr>
          <w:rFonts w:eastAsia="Calibri"/>
          <w:lang w:val="en-GB"/>
        </w:rPr>
        <w:t>in 2019/20 NSCA.</w:t>
      </w:r>
    </w:p>
    <w:p w14:paraId="080222BE" w14:textId="08B8A808" w:rsidR="003A083C" w:rsidRPr="006B42D6" w:rsidRDefault="003A083C" w:rsidP="008C3B03">
      <w:pPr>
        <w:spacing w:line="240" w:lineRule="auto"/>
        <w:rPr>
          <w:rFonts w:eastAsia="Calibri"/>
          <w:lang w:val="en-GB"/>
        </w:rPr>
      </w:pPr>
    </w:p>
    <w:bookmarkStart w:id="37" w:name="_Toc82385630"/>
    <w:p w14:paraId="03379A47" w14:textId="2F12F8A6" w:rsidR="00715E4F" w:rsidRPr="006B42D6" w:rsidRDefault="00395E7C" w:rsidP="005C2EFC">
      <w:pPr>
        <w:pStyle w:val="Heading2"/>
      </w:pPr>
      <w:r>
        <w:rPr>
          <w:noProof/>
        </w:rPr>
        <mc:AlternateContent>
          <mc:Choice Requires="wps">
            <w:drawing>
              <wp:anchor distT="0" distB="0" distL="114300" distR="114300" simplePos="0" relativeHeight="251535360" behindDoc="0" locked="0" layoutInCell="1" allowOverlap="1" wp14:anchorId="27E6C68A" wp14:editId="264133A9">
                <wp:simplePos x="0" y="0"/>
                <wp:positionH relativeFrom="column">
                  <wp:posOffset>2436495</wp:posOffset>
                </wp:positionH>
                <wp:positionV relativeFrom="paragraph">
                  <wp:posOffset>170318</wp:posOffset>
                </wp:positionV>
                <wp:extent cx="3322955" cy="472440"/>
                <wp:effectExtent l="0" t="0" r="4445" b="0"/>
                <wp:wrapTight wrapText="bothSides">
                  <wp:wrapPolygon edited="0">
                    <wp:start x="0" y="0"/>
                    <wp:lineTo x="0" y="20903"/>
                    <wp:lineTo x="21546" y="20903"/>
                    <wp:lineTo x="21546" y="0"/>
                    <wp:lineTo x="0" y="0"/>
                  </wp:wrapPolygon>
                </wp:wrapTight>
                <wp:docPr id="290" name="Text Box 290"/>
                <wp:cNvGraphicFramePr/>
                <a:graphic xmlns:a="http://schemas.openxmlformats.org/drawingml/2006/main">
                  <a:graphicData uri="http://schemas.microsoft.com/office/word/2010/wordprocessingShape">
                    <wps:wsp>
                      <wps:cNvSpPr txBox="1"/>
                      <wps:spPr>
                        <a:xfrm>
                          <a:off x="0" y="0"/>
                          <a:ext cx="3322955" cy="472440"/>
                        </a:xfrm>
                        <a:prstGeom prst="rect">
                          <a:avLst/>
                        </a:prstGeom>
                        <a:solidFill>
                          <a:prstClr val="white"/>
                        </a:solidFill>
                        <a:ln>
                          <a:noFill/>
                        </a:ln>
                      </wps:spPr>
                      <wps:txbx>
                        <w:txbxContent>
                          <w:p w14:paraId="32B2A383" w14:textId="66EFDD46" w:rsidR="00933456" w:rsidRPr="00773D12" w:rsidRDefault="00933456" w:rsidP="0085728C">
                            <w:pPr>
                              <w:pStyle w:val="Caption"/>
                            </w:pPr>
                            <w:bookmarkStart w:id="38" w:name="_Toc80976597"/>
                            <w:bookmarkStart w:id="39" w:name="_Toc82386260"/>
                            <w:r w:rsidRPr="00773D12">
                              <w:t>Figure 2.1</w:t>
                            </w:r>
                            <w:r>
                              <w:t>:</w:t>
                            </w:r>
                            <w:r w:rsidRPr="00773D12">
                              <w:tab/>
                              <w:t>Agriculture Household by Type of Activity During 2019/20 Agricultural Year, Tanzania</w:t>
                            </w:r>
                            <w:bookmarkEnd w:id="38"/>
                            <w:bookmarkEnd w:id="3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E6C68A" id="Text Box 290" o:spid="_x0000_s1029" type="#_x0000_t202" style="position:absolute;left:0;text-align:left;margin-left:191.85pt;margin-top:13.4pt;width:261.65pt;height:37.2pt;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" stroked="f">
                <v:textbox inset="0,0,0,0">
                  <w:txbxContent>
                    <w:p w14:paraId="32B2A383" w14:textId="66EFDD46" w:rsidR="00933456" w:rsidRPr="00773D12" w:rsidRDefault="00933456" w:rsidP="0085728C">
                      <w:pPr>
                        <w:pStyle w:val="Caption"/>
                      </w:pPr>
                      <w:bookmarkStart w:id="40" w:name="_Toc80976597"/>
                      <w:bookmarkStart w:id="41" w:name="_Toc82386260"/>
                      <w:r w:rsidRPr="00773D12">
                        <w:t>Figure 2.1</w:t>
                      </w:r>
                      <w:r>
                        <w:t>:</w:t>
                      </w:r>
                      <w:r w:rsidRPr="00773D12">
                        <w:tab/>
                        <w:t>Agriculture Household by Type of Activity During 2019/20 Agricultural Year, Tanzania</w:t>
                      </w:r>
                      <w:bookmarkEnd w:id="40"/>
                      <w:bookmarkEnd w:id="41"/>
                    </w:p>
                  </w:txbxContent>
                </v:textbox>
                <w10:wrap type="tight"/>
              </v:shape>
            </w:pict>
          </mc:Fallback>
        </mc:AlternateContent>
      </w:r>
      <w:r w:rsidR="00715E4F" w:rsidRPr="006B42D6">
        <w:t>2.</w:t>
      </w:r>
      <w:r w:rsidR="003F4EAA">
        <w:t>1</w:t>
      </w:r>
      <w:r w:rsidR="00E763F5" w:rsidRPr="006B42D6">
        <w:tab/>
      </w:r>
      <w:r w:rsidR="00715E4F" w:rsidRPr="006B42D6">
        <w:t>Types of Agricultural Activities of the Households</w:t>
      </w:r>
      <w:bookmarkEnd w:id="37"/>
      <w:r w:rsidR="00715E4F" w:rsidRPr="006B42D6">
        <w:t xml:space="preserve"> </w:t>
      </w:r>
    </w:p>
    <w:p w14:paraId="5AB96EAE" w14:textId="1C2FE229" w:rsidR="00691018" w:rsidRPr="006B42D6" w:rsidRDefault="00773D12" w:rsidP="003A083C">
      <w:r>
        <w:rPr>
          <w:noProof/>
        </w:rPr>
        <w:drawing>
          <wp:anchor distT="0" distB="0" distL="114300" distR="114300" simplePos="0" relativeHeight="251536384" behindDoc="0" locked="0" layoutInCell="1" allowOverlap="1" wp14:anchorId="5FDA0ACA" wp14:editId="2E6796B7">
            <wp:simplePos x="0" y="0"/>
            <wp:positionH relativeFrom="column">
              <wp:posOffset>2436495</wp:posOffset>
            </wp:positionH>
            <wp:positionV relativeFrom="paragraph">
              <wp:posOffset>218826</wp:posOffset>
            </wp:positionV>
            <wp:extent cx="3322955" cy="2334812"/>
            <wp:effectExtent l="0" t="0" r="17145" b="15240"/>
            <wp:wrapTight wrapText="bothSides">
              <wp:wrapPolygon edited="0">
                <wp:start x="0" y="0"/>
                <wp:lineTo x="0" y="21624"/>
                <wp:lineTo x="21629" y="21624"/>
                <wp:lineTo x="21629" y="0"/>
                <wp:lineTo x="0" y="0"/>
              </wp:wrapPolygon>
            </wp:wrapTight>
            <wp:docPr id="291" name="Chart 29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anchor>
        </w:drawing>
      </w:r>
      <w:r w:rsidR="00715E4F" w:rsidRPr="006B42D6">
        <w:t>Crop production was the most common agricultural activity at the national level, accounting for 64.9 percent (5,088,135 households), followed by 2,589,156 households (33.0 percent) engaged in crop and livestock, 157,290 households (2.0 percent) engaged in livestock only, whilst 1,358 and 1,465 households engaged in fish farming and pastoralism, respectively</w:t>
      </w:r>
      <w:r w:rsidR="00266BA6" w:rsidRPr="006B42D6">
        <w:t xml:space="preserve"> (Figure 2.</w:t>
      </w:r>
      <w:r>
        <w:t>1</w:t>
      </w:r>
      <w:r w:rsidR="003A083C">
        <w:t>).</w:t>
      </w:r>
    </w:p>
    <w:p w14:paraId="5C1C42D8" w14:textId="77777777" w:rsidR="003A083C" w:rsidRDefault="003A083C" w:rsidP="003A083C">
      <w:pPr>
        <w:spacing w:line="240" w:lineRule="auto"/>
      </w:pPr>
    </w:p>
    <w:p w14:paraId="0726582F" w14:textId="30C3FCD7" w:rsidR="00715E4F" w:rsidRPr="006B42D6" w:rsidRDefault="00691018" w:rsidP="003A083C">
      <w:r w:rsidRPr="006B42D6">
        <w:t xml:space="preserve">For Mainland Tanzania, a total of 7,657,185 households (65.7 percent) were involved in agricultural activities. Out of the total agriculture households, 4,972,373 (64.9 percent) were involved in crops only, followed by 2,526,846 households (33.0 percent) engaged in crops and livestock, 2.0 percent in livestock only, whilst the least number of households were involved in fish farming and pastoralism jointly having less than one percent </w:t>
      </w:r>
      <w:r w:rsidR="00715E4F" w:rsidRPr="006B42D6">
        <w:rPr>
          <w:noProof/>
        </w:rPr>
        <w:t>(Figures 2.</w:t>
      </w:r>
      <w:r w:rsidR="00773D12">
        <w:rPr>
          <w:noProof/>
        </w:rPr>
        <w:t>2</w:t>
      </w:r>
      <w:r w:rsidR="00715E4F" w:rsidRPr="006B42D6">
        <w:rPr>
          <w:noProof/>
        </w:rPr>
        <w:t xml:space="preserve">). </w:t>
      </w:r>
    </w:p>
    <w:p w14:paraId="6511B401" w14:textId="77777777" w:rsidR="00715E4F" w:rsidRPr="006B42D6" w:rsidRDefault="00715E4F" w:rsidP="003A083C">
      <w:pPr>
        <w:spacing w:line="240" w:lineRule="auto"/>
        <w:rPr>
          <w:noProof/>
        </w:rPr>
      </w:pPr>
    </w:p>
    <w:p w14:paraId="73336C48" w14:textId="2A311C85" w:rsidR="00715E4F" w:rsidRPr="006B42D6" w:rsidRDefault="00691018" w:rsidP="003A083C">
      <w:pPr>
        <w:rPr>
          <w:noProof/>
        </w:rPr>
      </w:pPr>
      <w:r w:rsidRPr="006B42D6">
        <w:t>In Tanzania Zanzibar, 180,220 (51.8 percent) were involved in agriculture activities. Out of the total agriculture households, 115,762 (64.2 percent) were involved in crops only, followed by 62,310 households (34.6 percent) engaged in crops and livestock whilst 2,149 (1.2 percent) were involved in livestock only</w:t>
      </w:r>
      <w:r w:rsidR="006B42D6" w:rsidRPr="006B42D6">
        <w:t xml:space="preserve"> </w:t>
      </w:r>
      <w:r w:rsidR="00715E4F" w:rsidRPr="006B42D6">
        <w:rPr>
          <w:noProof/>
        </w:rPr>
        <w:t>(</w:t>
      </w:r>
      <w:r w:rsidR="00266BA6" w:rsidRPr="006B42D6">
        <w:rPr>
          <w:noProof/>
        </w:rPr>
        <w:t xml:space="preserve">Figure </w:t>
      </w:r>
      <w:r w:rsidR="00715E4F" w:rsidRPr="006B42D6">
        <w:rPr>
          <w:noProof/>
        </w:rPr>
        <w:t>2.</w:t>
      </w:r>
      <w:r w:rsidR="00773D12">
        <w:rPr>
          <w:noProof/>
        </w:rPr>
        <w:t>3</w:t>
      </w:r>
      <w:r w:rsidR="00715E4F" w:rsidRPr="006B42D6">
        <w:rPr>
          <w:noProof/>
        </w:rPr>
        <w:t>).</w:t>
      </w:r>
    </w:p>
    <w:p w14:paraId="1DD16EBE" w14:textId="39C5FC16" w:rsidR="005121B7" w:rsidRPr="00D962DC" w:rsidRDefault="00982F1B" w:rsidP="001B0EFE">
      <w:pPr>
        <w:spacing w:line="480" w:lineRule="auto"/>
      </w:pPr>
      <w:bookmarkStart w:id="40" w:name="_Toc80884035"/>
      <w:bookmarkStart w:id="41" w:name="_Toc80884406"/>
      <w:r>
        <w:rPr>
          <w:rFonts w:eastAsia="Calibri"/>
          <w:noProof/>
          <w:sz w:val="21"/>
        </w:rPr>
        <w:lastRenderedPageBreak/>
        <w:drawing>
          <wp:anchor distT="0" distB="0" distL="114300" distR="114300" simplePos="0" relativeHeight="251546624" behindDoc="0" locked="0" layoutInCell="1" allowOverlap="1" wp14:anchorId="1F320800" wp14:editId="46C20E71">
            <wp:simplePos x="0" y="0"/>
            <wp:positionH relativeFrom="column">
              <wp:posOffset>2955583</wp:posOffset>
            </wp:positionH>
            <wp:positionV relativeFrom="paragraph">
              <wp:posOffset>452755</wp:posOffset>
            </wp:positionV>
            <wp:extent cx="2813050" cy="1997075"/>
            <wp:effectExtent l="0" t="0" r="6350" b="9525"/>
            <wp:wrapTight wrapText="bothSides">
              <wp:wrapPolygon edited="0">
                <wp:start x="0" y="0"/>
                <wp:lineTo x="0" y="21566"/>
                <wp:lineTo x="21551" y="21566"/>
                <wp:lineTo x="21551" y="0"/>
                <wp:lineTo x="0" y="0"/>
              </wp:wrapPolygon>
            </wp:wrapTight>
            <wp:docPr id="333" name="Chart 3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14:sizeRelH relativeFrom="margin">
              <wp14:pctWidth>0</wp14:pctWidth>
            </wp14:sizeRelH>
            <wp14:sizeRelV relativeFrom="margin">
              <wp14:pctHeight>0</wp14:pctHeight>
            </wp14:sizeRelV>
          </wp:anchor>
        </w:drawing>
      </w:r>
      <w:r>
        <w:rPr>
          <w:rFonts w:eastAsia="Calibri"/>
          <w:noProof/>
          <w:sz w:val="21"/>
        </w:rPr>
        <w:drawing>
          <wp:anchor distT="0" distB="0" distL="114300" distR="114300" simplePos="0" relativeHeight="251547648" behindDoc="0" locked="0" layoutInCell="1" allowOverlap="1" wp14:anchorId="4E1E097C" wp14:editId="62CDF470">
            <wp:simplePos x="0" y="0"/>
            <wp:positionH relativeFrom="column">
              <wp:posOffset>-55245</wp:posOffset>
            </wp:positionH>
            <wp:positionV relativeFrom="paragraph">
              <wp:posOffset>452755</wp:posOffset>
            </wp:positionV>
            <wp:extent cx="2969260" cy="1997075"/>
            <wp:effectExtent l="0" t="0" r="15240" b="9525"/>
            <wp:wrapTight wrapText="bothSides">
              <wp:wrapPolygon edited="0">
                <wp:start x="0" y="0"/>
                <wp:lineTo x="0" y="21566"/>
                <wp:lineTo x="21618" y="21566"/>
                <wp:lineTo x="21618" y="0"/>
                <wp:lineTo x="0" y="0"/>
              </wp:wrapPolygon>
            </wp:wrapTight>
            <wp:docPr id="332" name="Chart 3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14:sizeRelH relativeFrom="margin">
              <wp14:pctWidth>0</wp14:pctWidth>
            </wp14:sizeRelH>
            <wp14:sizeRelV relativeFrom="margin">
              <wp14:pctHeight>0</wp14:pctHeight>
            </wp14:sizeRelV>
          </wp:anchor>
        </w:drawing>
      </w:r>
      <w:r w:rsidR="001B0EFE">
        <w:rPr>
          <w:noProof/>
        </w:rPr>
        <mc:AlternateContent>
          <mc:Choice Requires="wps">
            <w:drawing>
              <wp:anchor distT="0" distB="0" distL="114300" distR="114300" simplePos="0" relativeHeight="251778048" behindDoc="1" locked="0" layoutInCell="1" allowOverlap="1" wp14:anchorId="4AF445E3" wp14:editId="741042FD">
                <wp:simplePos x="0" y="0"/>
                <wp:positionH relativeFrom="column">
                  <wp:posOffset>-3175</wp:posOffset>
                </wp:positionH>
                <wp:positionV relativeFrom="paragraph">
                  <wp:posOffset>0</wp:posOffset>
                </wp:positionV>
                <wp:extent cx="2994660" cy="409575"/>
                <wp:effectExtent l="0" t="0" r="2540" b="0"/>
                <wp:wrapTight wrapText="bothSides">
                  <wp:wrapPolygon edited="0">
                    <wp:start x="0" y="0"/>
                    <wp:lineTo x="0" y="20763"/>
                    <wp:lineTo x="21527" y="20763"/>
                    <wp:lineTo x="21527" y="0"/>
                    <wp:lineTo x="0" y="0"/>
                  </wp:wrapPolygon>
                </wp:wrapTight>
                <wp:docPr id="23" name="Text Box 23"/>
                <wp:cNvGraphicFramePr/>
                <a:graphic xmlns:a="http://schemas.openxmlformats.org/drawingml/2006/main">
                  <a:graphicData uri="http://schemas.microsoft.com/office/word/2010/wordprocessingShape">
                    <wps:wsp>
                      <wps:cNvSpPr txBox="1"/>
                      <wps:spPr>
                        <a:xfrm>
                          <a:off x="0" y="0"/>
                          <a:ext cx="2994660" cy="409575"/>
                        </a:xfrm>
                        <a:prstGeom prst="rect">
                          <a:avLst/>
                        </a:prstGeom>
                        <a:solidFill>
                          <a:prstClr val="white"/>
                        </a:solidFill>
                        <a:ln>
                          <a:noFill/>
                        </a:ln>
                      </wps:spPr>
                      <wps:txbx>
                        <w:txbxContent>
                          <w:p w14:paraId="620B4F7A" w14:textId="77777777" w:rsidR="00933456" w:rsidRPr="003A083C" w:rsidRDefault="00933456" w:rsidP="001B0EFE">
                            <w:pPr>
                              <w:pStyle w:val="Caption"/>
                            </w:pPr>
                            <w:bookmarkStart w:id="42" w:name="_Toc80884036"/>
                            <w:bookmarkStart w:id="43" w:name="_Toc80884407"/>
                            <w:bookmarkStart w:id="44" w:name="_Toc80976598"/>
                            <w:bookmarkStart w:id="45" w:name="_Toc82386261"/>
                            <w:r w:rsidRPr="003A083C">
                              <w:rPr>
                                <w:rFonts w:eastAsia="Calibri"/>
                              </w:rPr>
                              <w:t>Figure 2.</w:t>
                            </w:r>
                            <w:r>
                              <w:rPr>
                                <w:rFonts w:eastAsia="Calibri"/>
                              </w:rPr>
                              <w:t>2</w:t>
                            </w:r>
                            <w:r w:rsidRPr="003A083C">
                              <w:rPr>
                                <w:rFonts w:eastAsia="Calibri"/>
                              </w:rPr>
                              <w:t>:</w:t>
                            </w:r>
                            <w:r>
                              <w:rPr>
                                <w:rFonts w:eastAsia="Calibri"/>
                              </w:rPr>
                              <w:tab/>
                            </w:r>
                            <w:r w:rsidRPr="003A083C">
                              <w:t>Agriculture Household by Type of Activity, Mainland Tanzania</w:t>
                            </w:r>
                            <w:bookmarkEnd w:id="42"/>
                            <w:bookmarkEnd w:id="43"/>
                            <w:bookmarkEnd w:id="44"/>
                            <w:bookmarkEnd w:id="45"/>
                          </w:p>
                          <w:p w14:paraId="413E48B3" w14:textId="1929576A" w:rsidR="00933456" w:rsidRPr="005B6C57" w:rsidRDefault="00933456" w:rsidP="001B0EFE">
                            <w:pPr>
                              <w:pStyle w:val="Caption"/>
                              <w:rPr>
                                <w:rFonts w:eastAsia="Calibri"/>
                                <w:noProof/>
                                <w:sz w:val="21"/>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F445E3" id="Text Box 23" o:spid="_x0000_s1030" type="#_x0000_t202" style="position:absolute;left:0;text-align:left;margin-left:-.25pt;margin-top:0;width:235.8pt;height:32.25pt;z-index:-2515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" stroked="f">
                <v:textbox inset="0,0,0,0">
                  <w:txbxContent>
                    <w:p w14:paraId="620B4F7A" w14:textId="77777777" w:rsidR="00933456" w:rsidRPr="003A083C" w:rsidRDefault="00933456" w:rsidP="001B0EFE">
                      <w:pPr>
                        <w:pStyle w:val="Caption"/>
                      </w:pPr>
                      <w:bookmarkStart w:id="48" w:name="_Toc80884036"/>
                      <w:bookmarkStart w:id="49" w:name="_Toc80884407"/>
                      <w:bookmarkStart w:id="50" w:name="_Toc80976598"/>
                      <w:bookmarkStart w:id="51" w:name="_Toc82386261"/>
                      <w:r w:rsidRPr="003A083C">
                        <w:rPr>
                          <w:rFonts w:eastAsia="Calibri"/>
                        </w:rPr>
                        <w:t>Figure 2.</w:t>
                      </w:r>
                      <w:r>
                        <w:rPr>
                          <w:rFonts w:eastAsia="Calibri"/>
                        </w:rPr>
                        <w:t>2</w:t>
                      </w:r>
                      <w:r w:rsidRPr="003A083C">
                        <w:rPr>
                          <w:rFonts w:eastAsia="Calibri"/>
                        </w:rPr>
                        <w:t>:</w:t>
                      </w:r>
                      <w:r>
                        <w:rPr>
                          <w:rFonts w:eastAsia="Calibri"/>
                        </w:rPr>
                        <w:tab/>
                      </w:r>
                      <w:r w:rsidRPr="003A083C">
                        <w:t>Agriculture Household by Type of Activity, Mainland Tanzania</w:t>
                      </w:r>
                      <w:bookmarkEnd w:id="48"/>
                      <w:bookmarkEnd w:id="49"/>
                      <w:bookmarkEnd w:id="50"/>
                      <w:bookmarkEnd w:id="51"/>
                    </w:p>
                    <w:p w14:paraId="413E48B3" w14:textId="1929576A" w:rsidR="00933456" w:rsidRPr="005B6C57" w:rsidRDefault="00933456" w:rsidP="001B0EFE">
                      <w:pPr>
                        <w:pStyle w:val="Caption"/>
                        <w:rPr>
                          <w:rFonts w:eastAsia="Calibri"/>
                          <w:noProof/>
                          <w:sz w:val="21"/>
                          <w:lang w:val="en-GB"/>
                        </w:rPr>
                      </w:pPr>
                    </w:p>
                  </w:txbxContent>
                </v:textbox>
                <w10:wrap type="tight"/>
              </v:shape>
            </w:pict>
          </mc:Fallback>
        </mc:AlternateContent>
      </w:r>
      <w:r w:rsidR="001B0EFE">
        <w:rPr>
          <w:noProof/>
        </w:rPr>
        <mc:AlternateContent>
          <mc:Choice Requires="wps">
            <w:drawing>
              <wp:anchor distT="0" distB="0" distL="114300" distR="114300" simplePos="0" relativeHeight="251780096" behindDoc="1" locked="0" layoutInCell="1" allowOverlap="1" wp14:anchorId="6E9F456F" wp14:editId="4E77204C">
                <wp:simplePos x="0" y="0"/>
                <wp:positionH relativeFrom="column">
                  <wp:posOffset>3110865</wp:posOffset>
                </wp:positionH>
                <wp:positionV relativeFrom="paragraph">
                  <wp:posOffset>0</wp:posOffset>
                </wp:positionV>
                <wp:extent cx="2949575" cy="346710"/>
                <wp:effectExtent l="0" t="0" r="0" b="0"/>
                <wp:wrapTight wrapText="bothSides">
                  <wp:wrapPolygon edited="0">
                    <wp:start x="0" y="0"/>
                    <wp:lineTo x="0" y="20571"/>
                    <wp:lineTo x="21484" y="20571"/>
                    <wp:lineTo x="21484" y="0"/>
                    <wp:lineTo x="0" y="0"/>
                  </wp:wrapPolygon>
                </wp:wrapTight>
                <wp:docPr id="455" name="Text Box 455"/>
                <wp:cNvGraphicFramePr/>
                <a:graphic xmlns:a="http://schemas.openxmlformats.org/drawingml/2006/main">
                  <a:graphicData uri="http://schemas.microsoft.com/office/word/2010/wordprocessingShape">
                    <wps:wsp>
                      <wps:cNvSpPr txBox="1"/>
                      <wps:spPr>
                        <a:xfrm>
                          <a:off x="0" y="0"/>
                          <a:ext cx="2949575" cy="346710"/>
                        </a:xfrm>
                        <a:prstGeom prst="rect">
                          <a:avLst/>
                        </a:prstGeom>
                        <a:solidFill>
                          <a:prstClr val="white"/>
                        </a:solidFill>
                        <a:ln>
                          <a:noFill/>
                        </a:ln>
                      </wps:spPr>
                      <wps:txbx>
                        <w:txbxContent>
                          <w:p w14:paraId="42894964" w14:textId="250DD905" w:rsidR="00933456" w:rsidRPr="00D962DC" w:rsidRDefault="00933456" w:rsidP="001B0EFE">
                            <w:pPr>
                              <w:pStyle w:val="Caption"/>
                            </w:pPr>
                            <w:bookmarkStart w:id="46" w:name="_Toc80976599"/>
                            <w:bookmarkStart w:id="47" w:name="_Toc82386262"/>
                            <w:r>
                              <w:rPr>
                                <w:rFonts w:eastAsia="Calibri"/>
                              </w:rPr>
                              <w:t>F</w:t>
                            </w:r>
                            <w:r w:rsidRPr="00D962DC">
                              <w:rPr>
                                <w:rFonts w:eastAsia="Calibri"/>
                              </w:rPr>
                              <w:t>igure 2.</w:t>
                            </w:r>
                            <w:r>
                              <w:rPr>
                                <w:rFonts w:eastAsia="Calibri"/>
                              </w:rPr>
                              <w:t>3</w:t>
                            </w:r>
                            <w:r w:rsidRPr="00D962DC">
                              <w:rPr>
                                <w:rFonts w:eastAsia="Calibri"/>
                              </w:rPr>
                              <w:t>:</w:t>
                            </w:r>
                            <w:r>
                              <w:rPr>
                                <w:rFonts w:eastAsia="Calibri"/>
                              </w:rPr>
                              <w:tab/>
                            </w:r>
                            <w:r w:rsidRPr="00D962DC">
                              <w:t>Agriculture Household by Type of Activity, Tanzania Zanzibar</w:t>
                            </w:r>
                            <w:bookmarkEnd w:id="46"/>
                            <w:bookmarkEnd w:id="47"/>
                          </w:p>
                          <w:p w14:paraId="1DDD1DD5" w14:textId="4CA72027" w:rsidR="00933456" w:rsidRPr="005D1EC4" w:rsidRDefault="00933456" w:rsidP="001B0EFE">
                            <w:pPr>
                              <w:pStyle w:val="Caption"/>
                              <w:rPr>
                                <w:rFonts w:eastAsia="Calibri"/>
                                <w:noProof/>
                                <w:sz w:val="21"/>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9F456F" id="Text Box 455" o:spid="_x0000_s1031" type="#_x0000_t202" style="position:absolute;left:0;text-align:left;margin-left:244.95pt;margin-top:0;width:232.25pt;height:27.3pt;z-index:-251536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" stroked="f">
                <v:textbox inset="0,0,0,0">
                  <w:txbxContent>
                    <w:p w14:paraId="42894964" w14:textId="250DD905" w:rsidR="00933456" w:rsidRPr="00D962DC" w:rsidRDefault="00933456" w:rsidP="001B0EFE">
                      <w:pPr>
                        <w:pStyle w:val="Caption"/>
                      </w:pPr>
                      <w:bookmarkStart w:id="54" w:name="_Toc80976599"/>
                      <w:bookmarkStart w:id="55" w:name="_Toc82386262"/>
                      <w:r>
                        <w:rPr>
                          <w:rFonts w:eastAsia="Calibri"/>
                        </w:rPr>
                        <w:t>F</w:t>
                      </w:r>
                      <w:r w:rsidRPr="00D962DC">
                        <w:rPr>
                          <w:rFonts w:eastAsia="Calibri"/>
                        </w:rPr>
                        <w:t>igure 2.</w:t>
                      </w:r>
                      <w:r>
                        <w:rPr>
                          <w:rFonts w:eastAsia="Calibri"/>
                        </w:rPr>
                        <w:t>3</w:t>
                      </w:r>
                      <w:r w:rsidRPr="00D962DC">
                        <w:rPr>
                          <w:rFonts w:eastAsia="Calibri"/>
                        </w:rPr>
                        <w:t>:</w:t>
                      </w:r>
                      <w:r>
                        <w:rPr>
                          <w:rFonts w:eastAsia="Calibri"/>
                        </w:rPr>
                        <w:tab/>
                      </w:r>
                      <w:r w:rsidRPr="00D962DC">
                        <w:t>Agriculture Household by Type of Activity, Tanzania Zanzibar</w:t>
                      </w:r>
                      <w:bookmarkEnd w:id="54"/>
                      <w:bookmarkEnd w:id="55"/>
                    </w:p>
                    <w:p w14:paraId="1DDD1DD5" w14:textId="4CA72027" w:rsidR="00933456" w:rsidRPr="005D1EC4" w:rsidRDefault="00933456" w:rsidP="001B0EFE">
                      <w:pPr>
                        <w:pStyle w:val="Caption"/>
                        <w:rPr>
                          <w:rFonts w:eastAsia="Calibri"/>
                          <w:noProof/>
                          <w:sz w:val="21"/>
                          <w:lang w:val="en-GB"/>
                        </w:rPr>
                      </w:pPr>
                    </w:p>
                  </w:txbxContent>
                </v:textbox>
                <w10:wrap type="tight"/>
              </v:shape>
            </w:pict>
          </mc:Fallback>
        </mc:AlternateContent>
      </w:r>
      <w:bookmarkEnd w:id="40"/>
      <w:bookmarkEnd w:id="41"/>
    </w:p>
    <w:p w14:paraId="57176A0F" w14:textId="36CF6608" w:rsidR="00715E4F" w:rsidRPr="006B42D6" w:rsidRDefault="00715E4F" w:rsidP="005C2EFC">
      <w:pPr>
        <w:pStyle w:val="Heading2"/>
      </w:pPr>
      <w:bookmarkStart w:id="48" w:name="_Toc82385631"/>
      <w:r w:rsidRPr="006B42D6">
        <w:t>2.</w:t>
      </w:r>
      <w:r w:rsidR="003F4EAA">
        <w:t>2</w:t>
      </w:r>
      <w:r w:rsidR="00E763F5" w:rsidRPr="006B42D6">
        <w:tab/>
      </w:r>
      <w:r w:rsidRPr="006B42D6">
        <w:t>Agricultural Household Characteristics</w:t>
      </w:r>
      <w:bookmarkEnd w:id="48"/>
      <w:r w:rsidRPr="006B42D6">
        <w:t xml:space="preserve"> </w:t>
      </w:r>
    </w:p>
    <w:p w14:paraId="0EAC8DBC" w14:textId="0A87EEF5" w:rsidR="00691018" w:rsidRDefault="00715E4F" w:rsidP="00AE6079">
      <w:pPr>
        <w:rPr>
          <w:rFonts w:eastAsia="Calibri"/>
          <w:lang w:val="en-GB"/>
        </w:rPr>
      </w:pPr>
      <w:r w:rsidRPr="006B42D6">
        <w:rPr>
          <w:rFonts w:eastAsia="Calibri"/>
          <w:lang w:val="en-GB"/>
        </w:rPr>
        <w:t xml:space="preserve">The 2019/20 National </w:t>
      </w:r>
      <w:r w:rsidR="00DF663A" w:rsidRPr="006B42D6">
        <w:rPr>
          <w:rFonts w:eastAsia="Calibri"/>
          <w:lang w:val="en-GB"/>
        </w:rPr>
        <w:t xml:space="preserve">Sample Census </w:t>
      </w:r>
      <w:r w:rsidRPr="006B42D6">
        <w:rPr>
          <w:rFonts w:eastAsia="Calibri"/>
          <w:lang w:val="en-GB"/>
        </w:rPr>
        <w:t xml:space="preserve">of </w:t>
      </w:r>
      <w:r w:rsidR="00DF663A" w:rsidRPr="006B42D6">
        <w:rPr>
          <w:rFonts w:eastAsia="Calibri"/>
          <w:lang w:val="en-GB"/>
        </w:rPr>
        <w:t>A</w:t>
      </w:r>
      <w:r w:rsidRPr="006B42D6">
        <w:rPr>
          <w:rFonts w:eastAsia="Calibri"/>
          <w:lang w:val="en-GB"/>
        </w:rPr>
        <w:t xml:space="preserve">griculture covered rural and urban agricultural households. This section describes the general characteristics of the sampled population, including composition by age and sex, residence, household size, literacy and education </w:t>
      </w:r>
      <w:r w:rsidR="00691018" w:rsidRPr="006B42D6">
        <w:rPr>
          <w:rFonts w:eastAsia="Calibri"/>
          <w:lang w:val="en-GB"/>
        </w:rPr>
        <w:t xml:space="preserve">level </w:t>
      </w:r>
      <w:r w:rsidRPr="006B42D6">
        <w:rPr>
          <w:rFonts w:eastAsia="Calibri"/>
          <w:lang w:val="en-GB"/>
        </w:rPr>
        <w:t xml:space="preserve">of rural and urban agricultural population, livelihood activities, off-farm income, main activity of agricultural household members and types of land tenure. </w:t>
      </w:r>
    </w:p>
    <w:p w14:paraId="1BE6D2D8" w14:textId="77777777" w:rsidR="00AE6079" w:rsidRPr="006B42D6" w:rsidRDefault="00AE6079" w:rsidP="00773D12">
      <w:pPr>
        <w:spacing w:line="240" w:lineRule="auto"/>
        <w:rPr>
          <w:rFonts w:eastAsia="Calibri"/>
          <w:lang w:val="en-GB"/>
        </w:rPr>
      </w:pPr>
    </w:p>
    <w:p w14:paraId="718BCDE9" w14:textId="1D924DEC" w:rsidR="00715E4F" w:rsidRDefault="00715E4F" w:rsidP="003A083C">
      <w:pPr>
        <w:rPr>
          <w:rFonts w:eastAsia="Calibri"/>
          <w:sz w:val="28"/>
          <w:lang w:val="en-GB"/>
        </w:rPr>
      </w:pPr>
      <w:r w:rsidRPr="006B42D6">
        <w:rPr>
          <w:rFonts w:eastAsia="Calibri"/>
          <w:lang w:val="en-GB"/>
        </w:rPr>
        <w:t xml:space="preserve">The population of agricultural household members in Tanzania was 40,992,748 (39,902,860 in </w:t>
      </w:r>
      <w:r w:rsidR="00691018" w:rsidRPr="006B42D6">
        <w:rPr>
          <w:rFonts w:eastAsia="Calibri"/>
          <w:lang w:val="en-GB"/>
        </w:rPr>
        <w:t xml:space="preserve">Mainland </w:t>
      </w:r>
      <w:r w:rsidR="00D962DC" w:rsidRPr="006B42D6">
        <w:rPr>
          <w:rFonts w:eastAsia="Calibri"/>
          <w:lang w:val="en-GB"/>
        </w:rPr>
        <w:t xml:space="preserve">Tanzania </w:t>
      </w:r>
      <w:r w:rsidRPr="006B42D6">
        <w:rPr>
          <w:rFonts w:eastAsia="Calibri"/>
          <w:lang w:val="en-GB"/>
        </w:rPr>
        <w:t xml:space="preserve">and 1,089,888 in </w:t>
      </w:r>
      <w:r w:rsidR="00D962DC" w:rsidRPr="006B42D6">
        <w:rPr>
          <w:rFonts w:eastAsia="Calibri"/>
          <w:lang w:val="en-GB"/>
        </w:rPr>
        <w:t xml:space="preserve">Tanzania </w:t>
      </w:r>
      <w:r w:rsidRPr="006B42D6">
        <w:rPr>
          <w:rFonts w:eastAsia="Calibri"/>
          <w:lang w:val="en-GB"/>
        </w:rPr>
        <w:t xml:space="preserve">Zanzibar), of which, 20,417,003 were males (19,874,879 </w:t>
      </w:r>
      <w:r w:rsidR="00691018" w:rsidRPr="006B42D6">
        <w:rPr>
          <w:rFonts w:eastAsia="Calibri"/>
          <w:lang w:val="en-GB"/>
        </w:rPr>
        <w:t xml:space="preserve">Mainland </w:t>
      </w:r>
      <w:r w:rsidR="00D962DC" w:rsidRPr="006B42D6">
        <w:rPr>
          <w:rFonts w:eastAsia="Calibri"/>
          <w:lang w:val="en-GB"/>
        </w:rPr>
        <w:t xml:space="preserve">Tanzania </w:t>
      </w:r>
      <w:r w:rsidRPr="006B42D6">
        <w:rPr>
          <w:rFonts w:eastAsia="Calibri"/>
          <w:lang w:val="en-GB"/>
        </w:rPr>
        <w:t>and 542,124</w:t>
      </w:r>
      <w:r w:rsidR="00D962DC" w:rsidRPr="006B42D6">
        <w:rPr>
          <w:rFonts w:eastAsia="Calibri"/>
          <w:lang w:val="en-GB"/>
        </w:rPr>
        <w:t xml:space="preserve"> Tanzania</w:t>
      </w:r>
      <w:r w:rsidRPr="006B42D6">
        <w:rPr>
          <w:rFonts w:eastAsia="Calibri"/>
          <w:lang w:val="en-GB"/>
        </w:rPr>
        <w:t xml:space="preserve"> Zanzibar) and 20,575,740 were females (20,027,976 in </w:t>
      </w:r>
      <w:r w:rsidR="00691018" w:rsidRPr="006B42D6">
        <w:rPr>
          <w:rFonts w:eastAsia="Calibri"/>
          <w:lang w:val="en-GB"/>
        </w:rPr>
        <w:t xml:space="preserve">Mainland </w:t>
      </w:r>
      <w:r w:rsidR="00D962DC" w:rsidRPr="006B42D6">
        <w:rPr>
          <w:rFonts w:eastAsia="Calibri"/>
          <w:lang w:val="en-GB"/>
        </w:rPr>
        <w:t xml:space="preserve">Tanzania </w:t>
      </w:r>
      <w:r w:rsidRPr="006B42D6">
        <w:rPr>
          <w:rFonts w:eastAsia="Calibri"/>
          <w:lang w:val="en-GB"/>
        </w:rPr>
        <w:t xml:space="preserve">and 547,764 in </w:t>
      </w:r>
      <w:r w:rsidR="00D962DC" w:rsidRPr="006B42D6">
        <w:rPr>
          <w:rFonts w:eastAsia="Calibri"/>
          <w:lang w:val="en-GB"/>
        </w:rPr>
        <w:t xml:space="preserve">Tanzania </w:t>
      </w:r>
      <w:r w:rsidRPr="006B42D6">
        <w:rPr>
          <w:rFonts w:eastAsia="Calibri"/>
          <w:lang w:val="en-GB"/>
        </w:rPr>
        <w:t xml:space="preserve">Zanzibar). The population of agricultural household’s members has increased from 31 million in 2007/08 to 41 million in 2019/20 </w:t>
      </w:r>
      <w:r w:rsidR="00D962DC" w:rsidRPr="006B42D6">
        <w:rPr>
          <w:rFonts w:eastAsia="Calibri"/>
          <w:lang w:val="en-GB"/>
        </w:rPr>
        <w:t>a</w:t>
      </w:r>
      <w:r w:rsidRPr="006B42D6">
        <w:rPr>
          <w:rFonts w:eastAsia="Calibri"/>
          <w:lang w:val="en-GB"/>
        </w:rPr>
        <w:t xml:space="preserve">gricultural </w:t>
      </w:r>
      <w:r w:rsidR="00D962DC" w:rsidRPr="006B42D6">
        <w:rPr>
          <w:rFonts w:eastAsia="Calibri"/>
          <w:lang w:val="en-GB"/>
        </w:rPr>
        <w:t>year</w:t>
      </w:r>
      <w:r w:rsidR="002D4BD6" w:rsidRPr="006B42D6">
        <w:rPr>
          <w:rFonts w:eastAsia="Calibri"/>
          <w:lang w:val="en-GB"/>
        </w:rPr>
        <w:t xml:space="preserve"> (Figure 2.</w:t>
      </w:r>
      <w:r w:rsidR="007200F6">
        <w:rPr>
          <w:rFonts w:eastAsia="Calibri"/>
          <w:lang w:val="en-GB"/>
        </w:rPr>
        <w:t>4</w:t>
      </w:r>
      <w:r w:rsidR="002D4BD6" w:rsidRPr="006B42D6">
        <w:rPr>
          <w:rFonts w:eastAsia="Calibri"/>
          <w:lang w:val="en-GB"/>
        </w:rPr>
        <w:t>)</w:t>
      </w:r>
      <w:r w:rsidRPr="006B42D6">
        <w:rPr>
          <w:rFonts w:eastAsia="Calibri"/>
          <w:sz w:val="28"/>
          <w:lang w:val="en-GB"/>
        </w:rPr>
        <w:t xml:space="preserve">. </w:t>
      </w:r>
    </w:p>
    <w:p w14:paraId="759D5670" w14:textId="45CA4A6B" w:rsidR="00722A0C" w:rsidRDefault="00722A0C">
      <w:pPr>
        <w:spacing w:line="240" w:lineRule="auto"/>
        <w:contextualSpacing w:val="0"/>
        <w:jc w:val="left"/>
        <w:rPr>
          <w:rFonts w:eastAsia="Calibri"/>
          <w:lang w:val="en-GB"/>
        </w:rPr>
      </w:pPr>
      <w:r>
        <w:rPr>
          <w:rFonts w:eastAsia="Calibri"/>
          <w:lang w:val="en-GB"/>
        </w:rPr>
        <w:br w:type="page"/>
      </w:r>
    </w:p>
    <w:p w14:paraId="1384A248" w14:textId="3E1F609C" w:rsidR="00715E4F" w:rsidRPr="006B42D6" w:rsidRDefault="00956403" w:rsidP="003A083C">
      <w:pPr>
        <w:pStyle w:val="Caption"/>
        <w:rPr>
          <w:rFonts w:eastAsia="Calibri"/>
        </w:rPr>
      </w:pPr>
      <w:bookmarkStart w:id="49" w:name="_Toc82386263"/>
      <w:r w:rsidRPr="006B42D6">
        <w:rPr>
          <w:rFonts w:eastAsia="Calibri"/>
        </w:rPr>
        <w:lastRenderedPageBreak/>
        <w:t>Figure</w:t>
      </w:r>
      <w:r w:rsidR="00715E4F" w:rsidRPr="006B42D6">
        <w:rPr>
          <w:rFonts w:eastAsia="Calibri"/>
        </w:rPr>
        <w:t xml:space="preserve"> 2.</w:t>
      </w:r>
      <w:r w:rsidR="007200F6">
        <w:rPr>
          <w:rFonts w:eastAsia="Calibri"/>
        </w:rPr>
        <w:t>4</w:t>
      </w:r>
      <w:r w:rsidR="004F50BD">
        <w:rPr>
          <w:rFonts w:eastAsia="Calibri"/>
        </w:rPr>
        <w:t>:</w:t>
      </w:r>
      <w:r w:rsidR="003A083C">
        <w:rPr>
          <w:rFonts w:eastAsia="Calibri"/>
        </w:rPr>
        <w:tab/>
      </w:r>
      <w:r w:rsidRPr="006B42D6">
        <w:rPr>
          <w:rFonts w:eastAsia="Calibri"/>
        </w:rPr>
        <w:t>P</w:t>
      </w:r>
      <w:r w:rsidR="00715E4F" w:rsidRPr="006B42D6">
        <w:rPr>
          <w:rFonts w:eastAsia="Calibri"/>
        </w:rPr>
        <w:t xml:space="preserve">ercentage </w:t>
      </w:r>
      <w:r w:rsidR="00546F13" w:rsidRPr="006B42D6">
        <w:rPr>
          <w:rFonts w:eastAsia="Calibri"/>
        </w:rPr>
        <w:t xml:space="preserve">Population </w:t>
      </w:r>
      <w:r w:rsidR="00715E4F" w:rsidRPr="006B42D6">
        <w:rPr>
          <w:rFonts w:eastAsia="Calibri"/>
        </w:rPr>
        <w:t xml:space="preserve">of </w:t>
      </w:r>
      <w:r w:rsidRPr="006B42D6">
        <w:rPr>
          <w:rFonts w:eastAsia="Calibri"/>
        </w:rPr>
        <w:t>A</w:t>
      </w:r>
      <w:r w:rsidR="00715E4F" w:rsidRPr="006B42D6">
        <w:rPr>
          <w:rFonts w:eastAsia="Calibri"/>
        </w:rPr>
        <w:t xml:space="preserve">gricultural </w:t>
      </w:r>
      <w:r w:rsidR="00546F13" w:rsidRPr="006B42D6">
        <w:rPr>
          <w:rFonts w:eastAsia="Calibri"/>
        </w:rPr>
        <w:t>H</w:t>
      </w:r>
      <w:r w:rsidR="00715E4F" w:rsidRPr="006B42D6">
        <w:rPr>
          <w:rFonts w:eastAsia="Calibri"/>
        </w:rPr>
        <w:t xml:space="preserve">ousehold </w:t>
      </w:r>
      <w:r w:rsidRPr="006B42D6">
        <w:rPr>
          <w:rFonts w:eastAsia="Calibri"/>
        </w:rPr>
        <w:t>M</w:t>
      </w:r>
      <w:r w:rsidR="00715E4F" w:rsidRPr="006B42D6">
        <w:rPr>
          <w:rFonts w:eastAsia="Calibri"/>
        </w:rPr>
        <w:t>embers</w:t>
      </w:r>
      <w:r w:rsidR="002D4BD6" w:rsidRPr="006B42D6">
        <w:rPr>
          <w:rFonts w:eastAsia="Calibri"/>
        </w:rPr>
        <w:t xml:space="preserve"> </w:t>
      </w:r>
      <w:r w:rsidR="00715E4F" w:rsidRPr="006B42D6">
        <w:rPr>
          <w:rFonts w:eastAsia="Calibri"/>
        </w:rPr>
        <w:t xml:space="preserve">by </w:t>
      </w:r>
      <w:r w:rsidRPr="006B42D6">
        <w:rPr>
          <w:rFonts w:eastAsia="Calibri"/>
        </w:rPr>
        <w:t>S</w:t>
      </w:r>
      <w:r w:rsidR="00715E4F" w:rsidRPr="006B42D6">
        <w:rPr>
          <w:rFonts w:eastAsia="Calibri"/>
        </w:rPr>
        <w:t xml:space="preserve">ex in </w:t>
      </w:r>
      <w:r w:rsidR="002D4BD6" w:rsidRPr="006B42D6">
        <w:rPr>
          <w:rFonts w:eastAsia="Calibri"/>
        </w:rPr>
        <w:t>2007/08 and</w:t>
      </w:r>
      <w:r w:rsidR="00715E4F" w:rsidRPr="006B42D6">
        <w:rPr>
          <w:rFonts w:eastAsia="Calibri"/>
        </w:rPr>
        <w:t xml:space="preserve"> 2019/20 Agricultural Census</w:t>
      </w:r>
      <w:r w:rsidR="00D962DC" w:rsidRPr="006B42D6">
        <w:rPr>
          <w:rFonts w:eastAsia="Calibri"/>
        </w:rPr>
        <w:t>es</w:t>
      </w:r>
      <w:r w:rsidR="002D4BD6" w:rsidRPr="006B42D6">
        <w:rPr>
          <w:rFonts w:eastAsia="Calibri"/>
        </w:rPr>
        <w:t>, Tanzania</w:t>
      </w:r>
      <w:bookmarkEnd w:id="49"/>
    </w:p>
    <w:p w14:paraId="62525469" w14:textId="637F46E8" w:rsidR="00715E4F" w:rsidRDefault="003403D7" w:rsidP="005C2EFC">
      <w:pPr>
        <w:rPr>
          <w:rFonts w:eastAsia="Calibri"/>
          <w:lang w:val="en-GB"/>
        </w:rPr>
      </w:pPr>
      <w:r>
        <w:rPr>
          <w:noProof/>
        </w:rPr>
        <w:drawing>
          <wp:inline distT="0" distB="0" distL="0" distR="0" wp14:anchorId="1033B34D" wp14:editId="4B1EE76A">
            <wp:extent cx="5549265" cy="2142499"/>
            <wp:effectExtent l="0" t="0" r="13335" b="16510"/>
            <wp:docPr id="75" name="Chart 75">
              <a:extLst xmlns:a="http://schemas.openxmlformats.org/drawingml/2006/main">
                <a:ext uri="{FF2B5EF4-FFF2-40B4-BE49-F238E27FC236}">
                  <a16:creationId xmlns:a16="http://schemas.microsoft.com/office/drawing/2014/main" id="{C70A21B4-9B04-0648-AADD-F6BCDEAF66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14:paraId="24D02E70" w14:textId="77777777" w:rsidR="00722A0C" w:rsidRPr="006B42D6" w:rsidRDefault="00722A0C" w:rsidP="00722A0C">
      <w:pPr>
        <w:spacing w:line="240" w:lineRule="auto"/>
        <w:rPr>
          <w:rFonts w:eastAsia="Calibri"/>
          <w:lang w:val="en-GB"/>
        </w:rPr>
      </w:pPr>
    </w:p>
    <w:p w14:paraId="59382BC5" w14:textId="3A2FFC02" w:rsidR="00715E4F" w:rsidRDefault="00691018" w:rsidP="003A083C">
      <w:pPr>
        <w:rPr>
          <w:rFonts w:eastAsia="Calibri"/>
          <w:lang w:val="en-GB"/>
        </w:rPr>
      </w:pPr>
      <w:r w:rsidRPr="006B42D6">
        <w:rPr>
          <w:rFonts w:eastAsia="Calibri"/>
          <w:lang w:val="en-GB"/>
        </w:rPr>
        <w:t>The results</w:t>
      </w:r>
      <w:r w:rsidR="00715E4F" w:rsidRPr="006B42D6">
        <w:rPr>
          <w:rFonts w:eastAsia="Calibri"/>
          <w:lang w:val="en-GB"/>
        </w:rPr>
        <w:t xml:space="preserve"> show that</w:t>
      </w:r>
      <w:r w:rsidRPr="006B42D6">
        <w:rPr>
          <w:rFonts w:eastAsia="Calibri"/>
          <w:lang w:val="en-GB"/>
        </w:rPr>
        <w:t>,</w:t>
      </w:r>
      <w:r w:rsidR="00715E4F" w:rsidRPr="006B42D6">
        <w:rPr>
          <w:rFonts w:eastAsia="Calibri"/>
          <w:lang w:val="en-GB"/>
        </w:rPr>
        <w:t xml:space="preserve"> about 44</w:t>
      </w:r>
      <w:r w:rsidRPr="006B42D6">
        <w:rPr>
          <w:rFonts w:eastAsia="Calibri"/>
          <w:lang w:val="en-GB"/>
        </w:rPr>
        <w:t>.0</w:t>
      </w:r>
      <w:r w:rsidR="00715E4F" w:rsidRPr="006B42D6">
        <w:rPr>
          <w:rFonts w:eastAsia="Calibri"/>
          <w:lang w:val="en-GB"/>
        </w:rPr>
        <w:t xml:space="preserve"> percent of the agriculture population </w:t>
      </w:r>
      <w:r w:rsidRPr="006B42D6">
        <w:rPr>
          <w:rFonts w:eastAsia="Calibri"/>
          <w:lang w:val="en-GB"/>
        </w:rPr>
        <w:t xml:space="preserve">(18,040,013) </w:t>
      </w:r>
      <w:r w:rsidR="00715E4F" w:rsidRPr="006B42D6">
        <w:rPr>
          <w:rFonts w:eastAsia="Calibri"/>
          <w:lang w:val="en-GB"/>
        </w:rPr>
        <w:t>was below 15 years of age. The 15-64 years age group which participates most in production accounted for 5</w:t>
      </w:r>
      <w:r w:rsidRPr="006B42D6">
        <w:rPr>
          <w:rFonts w:eastAsia="Calibri"/>
          <w:lang w:val="en-GB"/>
        </w:rPr>
        <w:t>0.8</w:t>
      </w:r>
      <w:r w:rsidR="00715E4F" w:rsidRPr="006B42D6">
        <w:rPr>
          <w:rFonts w:eastAsia="Calibri"/>
          <w:lang w:val="en-GB"/>
        </w:rPr>
        <w:t xml:space="preserve"> percent of the agricultural population</w:t>
      </w:r>
      <w:r w:rsidRPr="006B42D6">
        <w:rPr>
          <w:rFonts w:eastAsia="Calibri"/>
          <w:lang w:val="en-GB"/>
        </w:rPr>
        <w:t xml:space="preserve"> (20,831,219)</w:t>
      </w:r>
      <w:r w:rsidR="00715E4F" w:rsidRPr="006B42D6">
        <w:rPr>
          <w:rFonts w:eastAsia="Calibri"/>
          <w:lang w:val="en-GB"/>
        </w:rPr>
        <w:t xml:space="preserve"> and 5</w:t>
      </w:r>
      <w:r w:rsidRPr="006B42D6">
        <w:rPr>
          <w:rFonts w:eastAsia="Calibri"/>
          <w:lang w:val="en-GB"/>
        </w:rPr>
        <w:t>.2</w:t>
      </w:r>
      <w:r w:rsidR="00715E4F" w:rsidRPr="006B42D6">
        <w:rPr>
          <w:rFonts w:eastAsia="Calibri"/>
          <w:lang w:val="en-GB"/>
        </w:rPr>
        <w:t xml:space="preserve"> percent of the population </w:t>
      </w:r>
      <w:r w:rsidRPr="006B42D6">
        <w:rPr>
          <w:rFonts w:eastAsia="Calibri"/>
          <w:lang w:val="en-GB"/>
        </w:rPr>
        <w:t xml:space="preserve">(2,121,515) </w:t>
      </w:r>
      <w:r w:rsidR="00715E4F" w:rsidRPr="006B42D6">
        <w:rPr>
          <w:rFonts w:eastAsia="Calibri"/>
          <w:lang w:val="en-GB"/>
        </w:rPr>
        <w:t xml:space="preserve">was above 65 years. The </w:t>
      </w:r>
      <w:r w:rsidR="00690D6B" w:rsidRPr="006B42D6">
        <w:rPr>
          <w:rFonts w:eastAsia="Calibri"/>
          <w:lang w:val="en-GB"/>
        </w:rPr>
        <w:t xml:space="preserve">age </w:t>
      </w:r>
      <w:r w:rsidR="00715E4F" w:rsidRPr="006B42D6">
        <w:rPr>
          <w:rFonts w:eastAsia="Calibri"/>
          <w:lang w:val="en-GB"/>
        </w:rPr>
        <w:t xml:space="preserve">dependency ratio was </w:t>
      </w:r>
      <w:r w:rsidR="00690D6B" w:rsidRPr="006B42D6">
        <w:rPr>
          <w:rFonts w:eastAsia="Calibri"/>
          <w:lang w:val="en-GB"/>
        </w:rPr>
        <w:t xml:space="preserve">96.8 </w:t>
      </w:r>
      <w:r w:rsidR="00715E4F" w:rsidRPr="006B42D6">
        <w:rPr>
          <w:rFonts w:eastAsia="Calibri"/>
          <w:lang w:val="en-GB"/>
        </w:rPr>
        <w:t xml:space="preserve">percent which is very high. </w:t>
      </w:r>
    </w:p>
    <w:p w14:paraId="74A8A214" w14:textId="77777777" w:rsidR="00AE6079" w:rsidRPr="006B42D6" w:rsidRDefault="00AE6079" w:rsidP="003A083C">
      <w:pPr>
        <w:rPr>
          <w:rFonts w:eastAsia="Calibri"/>
          <w:lang w:val="en-GB"/>
        </w:rPr>
      </w:pPr>
    </w:p>
    <w:p w14:paraId="5F0BDB16" w14:textId="54D7FF23" w:rsidR="00715E4F" w:rsidRPr="007200F6" w:rsidRDefault="00715E4F" w:rsidP="007200F6">
      <w:pPr>
        <w:pStyle w:val="Heading7"/>
      </w:pPr>
      <w:bookmarkStart w:id="50" w:name="_Toc82386181"/>
      <w:r w:rsidRPr="006B42D6">
        <w:t>Table 2.</w:t>
      </w:r>
      <w:r w:rsidR="00956403" w:rsidRPr="006B42D6">
        <w:t>1</w:t>
      </w:r>
      <w:r w:rsidR="000E00D3">
        <w:t>:</w:t>
      </w:r>
      <w:r w:rsidR="003A083C">
        <w:tab/>
      </w:r>
      <w:r w:rsidRPr="006B42D6">
        <w:t>Number of Agricultural Household Members by Sex and Age Group, 2019/20 Agricultural Year, Tanzania</w:t>
      </w:r>
      <w:bookmarkEnd w:id="50"/>
      <w:r w:rsidRPr="006B42D6">
        <w:t xml:space="preserve"> </w:t>
      </w:r>
    </w:p>
    <w:tbl>
      <w:tblPr>
        <w:tblW w:w="5282" w:type="pct"/>
        <w:tblLook w:val="04A0" w:firstRow="1" w:lastRow="0" w:firstColumn="1" w:lastColumn="0" w:noHBand="0" w:noVBand="1"/>
      </w:tblPr>
      <w:tblGrid>
        <w:gridCol w:w="1311"/>
        <w:gridCol w:w="1438"/>
        <w:gridCol w:w="1378"/>
        <w:gridCol w:w="1438"/>
        <w:gridCol w:w="1376"/>
        <w:gridCol w:w="1438"/>
        <w:gridCol w:w="1378"/>
      </w:tblGrid>
      <w:tr w:rsidR="006B42D6" w:rsidRPr="006B42D6" w14:paraId="7B1A5000" w14:textId="77777777" w:rsidTr="007200F6">
        <w:trPr>
          <w:trHeight w:hRule="exact" w:val="340"/>
        </w:trPr>
        <w:tc>
          <w:tcPr>
            <w:tcW w:w="672" w:type="pct"/>
            <w:vMerge w:val="restart"/>
            <w:tcBorders>
              <w:top w:val="single" w:sz="4" w:space="0" w:color="auto"/>
              <w:left w:val="nil"/>
              <w:bottom w:val="single" w:sz="4" w:space="0" w:color="auto"/>
              <w:right w:val="nil"/>
            </w:tcBorders>
            <w:shd w:val="clear" w:color="auto" w:fill="E2EFD9" w:themeFill="accent6" w:themeFillTint="33"/>
            <w:noWrap/>
            <w:vAlign w:val="center"/>
            <w:hideMark/>
          </w:tcPr>
          <w:p w14:paraId="64E0D101" w14:textId="77777777" w:rsidR="00715E4F" w:rsidRPr="006B42D6" w:rsidRDefault="00715E4F" w:rsidP="003A083C">
            <w:pPr>
              <w:jc w:val="left"/>
              <w:rPr>
                <w:b/>
                <w:bCs/>
                <w:sz w:val="18"/>
                <w:szCs w:val="18"/>
              </w:rPr>
            </w:pPr>
            <w:r w:rsidRPr="006B42D6">
              <w:rPr>
                <w:b/>
                <w:bCs/>
                <w:sz w:val="18"/>
                <w:szCs w:val="18"/>
              </w:rPr>
              <w:t>Age group</w:t>
            </w:r>
          </w:p>
        </w:tc>
        <w:tc>
          <w:tcPr>
            <w:tcW w:w="4328" w:type="pct"/>
            <w:gridSpan w:val="6"/>
            <w:tcBorders>
              <w:top w:val="single" w:sz="4" w:space="0" w:color="auto"/>
              <w:left w:val="nil"/>
              <w:bottom w:val="single" w:sz="4" w:space="0" w:color="auto"/>
              <w:right w:val="nil"/>
            </w:tcBorders>
            <w:shd w:val="clear" w:color="auto" w:fill="E2EFD9" w:themeFill="accent6" w:themeFillTint="33"/>
            <w:noWrap/>
            <w:vAlign w:val="center"/>
            <w:hideMark/>
          </w:tcPr>
          <w:p w14:paraId="1FBEF06D" w14:textId="562C050C" w:rsidR="00715E4F" w:rsidRPr="006B42D6" w:rsidRDefault="00715E4F" w:rsidP="007200F6">
            <w:pPr>
              <w:ind w:left="-119"/>
              <w:jc w:val="center"/>
              <w:rPr>
                <w:b/>
                <w:bCs/>
                <w:sz w:val="18"/>
                <w:szCs w:val="18"/>
              </w:rPr>
            </w:pPr>
            <w:r w:rsidRPr="006B42D6">
              <w:rPr>
                <w:b/>
                <w:bCs/>
                <w:sz w:val="18"/>
                <w:szCs w:val="18"/>
              </w:rPr>
              <w:t>Sex</w:t>
            </w:r>
          </w:p>
        </w:tc>
      </w:tr>
      <w:tr w:rsidR="006B42D6" w:rsidRPr="006B42D6" w14:paraId="3EB2B8F7" w14:textId="77777777" w:rsidTr="007200F6">
        <w:trPr>
          <w:trHeight w:hRule="exact" w:val="340"/>
        </w:trPr>
        <w:tc>
          <w:tcPr>
            <w:tcW w:w="672" w:type="pct"/>
            <w:vMerge/>
            <w:tcBorders>
              <w:top w:val="single" w:sz="4" w:space="0" w:color="auto"/>
              <w:left w:val="nil"/>
              <w:bottom w:val="single" w:sz="4" w:space="0" w:color="auto"/>
              <w:right w:val="nil"/>
            </w:tcBorders>
            <w:shd w:val="clear" w:color="auto" w:fill="E2EFD9" w:themeFill="accent6" w:themeFillTint="33"/>
            <w:hideMark/>
          </w:tcPr>
          <w:p w14:paraId="3B7BF800" w14:textId="77777777" w:rsidR="00715E4F" w:rsidRPr="006B42D6" w:rsidRDefault="00715E4F" w:rsidP="005C2EFC">
            <w:pPr>
              <w:rPr>
                <w:b/>
                <w:bCs/>
                <w:sz w:val="18"/>
                <w:szCs w:val="18"/>
              </w:rPr>
            </w:pPr>
          </w:p>
        </w:tc>
        <w:tc>
          <w:tcPr>
            <w:tcW w:w="1443" w:type="pct"/>
            <w:gridSpan w:val="2"/>
            <w:tcBorders>
              <w:top w:val="single" w:sz="4" w:space="0" w:color="auto"/>
              <w:left w:val="nil"/>
              <w:bottom w:val="single" w:sz="4" w:space="0" w:color="auto"/>
              <w:right w:val="nil"/>
            </w:tcBorders>
            <w:shd w:val="clear" w:color="auto" w:fill="E2EFD9" w:themeFill="accent6" w:themeFillTint="33"/>
            <w:noWrap/>
            <w:vAlign w:val="center"/>
            <w:hideMark/>
          </w:tcPr>
          <w:p w14:paraId="1DE5F656" w14:textId="01FD922A" w:rsidR="00715E4F" w:rsidRPr="006B42D6" w:rsidRDefault="00715E4F" w:rsidP="007200F6">
            <w:pPr>
              <w:jc w:val="center"/>
              <w:rPr>
                <w:b/>
                <w:bCs/>
                <w:sz w:val="18"/>
                <w:szCs w:val="18"/>
              </w:rPr>
            </w:pPr>
            <w:r w:rsidRPr="006B42D6">
              <w:rPr>
                <w:b/>
                <w:bCs/>
                <w:sz w:val="18"/>
                <w:szCs w:val="18"/>
              </w:rPr>
              <w:t>Total</w:t>
            </w:r>
          </w:p>
        </w:tc>
        <w:tc>
          <w:tcPr>
            <w:tcW w:w="1442" w:type="pct"/>
            <w:gridSpan w:val="2"/>
            <w:tcBorders>
              <w:top w:val="single" w:sz="4" w:space="0" w:color="auto"/>
              <w:left w:val="nil"/>
              <w:bottom w:val="single" w:sz="4" w:space="0" w:color="auto"/>
              <w:right w:val="nil"/>
            </w:tcBorders>
            <w:shd w:val="clear" w:color="auto" w:fill="E2EFD9" w:themeFill="accent6" w:themeFillTint="33"/>
            <w:noWrap/>
            <w:vAlign w:val="center"/>
            <w:hideMark/>
          </w:tcPr>
          <w:p w14:paraId="1A280F05" w14:textId="76DB5800" w:rsidR="00715E4F" w:rsidRPr="006B42D6" w:rsidRDefault="00715E4F" w:rsidP="007200F6">
            <w:pPr>
              <w:jc w:val="center"/>
              <w:rPr>
                <w:b/>
                <w:bCs/>
                <w:sz w:val="18"/>
                <w:szCs w:val="18"/>
              </w:rPr>
            </w:pPr>
            <w:r w:rsidRPr="006B42D6">
              <w:rPr>
                <w:b/>
                <w:bCs/>
                <w:sz w:val="18"/>
                <w:szCs w:val="18"/>
              </w:rPr>
              <w:t>Male</w:t>
            </w:r>
          </w:p>
        </w:tc>
        <w:tc>
          <w:tcPr>
            <w:tcW w:w="1442" w:type="pct"/>
            <w:gridSpan w:val="2"/>
            <w:tcBorders>
              <w:top w:val="single" w:sz="4" w:space="0" w:color="auto"/>
              <w:left w:val="nil"/>
              <w:bottom w:val="single" w:sz="4" w:space="0" w:color="auto"/>
              <w:right w:val="nil"/>
            </w:tcBorders>
            <w:shd w:val="clear" w:color="auto" w:fill="E2EFD9" w:themeFill="accent6" w:themeFillTint="33"/>
            <w:noWrap/>
            <w:vAlign w:val="center"/>
            <w:hideMark/>
          </w:tcPr>
          <w:p w14:paraId="0DD4FB20" w14:textId="46EC756A" w:rsidR="00715E4F" w:rsidRPr="006B42D6" w:rsidRDefault="00715E4F" w:rsidP="007200F6">
            <w:pPr>
              <w:jc w:val="center"/>
              <w:rPr>
                <w:b/>
                <w:bCs/>
                <w:sz w:val="18"/>
                <w:szCs w:val="18"/>
              </w:rPr>
            </w:pPr>
            <w:r w:rsidRPr="006B42D6">
              <w:rPr>
                <w:b/>
                <w:bCs/>
                <w:sz w:val="18"/>
                <w:szCs w:val="18"/>
              </w:rPr>
              <w:t>Female</w:t>
            </w:r>
          </w:p>
        </w:tc>
      </w:tr>
      <w:tr w:rsidR="006B42D6" w:rsidRPr="006B42D6" w14:paraId="18F85B77" w14:textId="77777777" w:rsidTr="007200F6">
        <w:trPr>
          <w:trHeight w:hRule="exact" w:val="340"/>
        </w:trPr>
        <w:tc>
          <w:tcPr>
            <w:tcW w:w="672" w:type="pct"/>
            <w:vMerge/>
            <w:tcBorders>
              <w:top w:val="single" w:sz="4" w:space="0" w:color="auto"/>
              <w:left w:val="nil"/>
              <w:bottom w:val="single" w:sz="4" w:space="0" w:color="auto"/>
              <w:right w:val="nil"/>
            </w:tcBorders>
            <w:shd w:val="clear" w:color="auto" w:fill="E2EFD9" w:themeFill="accent6" w:themeFillTint="33"/>
            <w:hideMark/>
          </w:tcPr>
          <w:p w14:paraId="696EBA5D" w14:textId="77777777" w:rsidR="00715E4F" w:rsidRPr="006B42D6" w:rsidRDefault="00715E4F" w:rsidP="005C2EFC">
            <w:pPr>
              <w:rPr>
                <w:b/>
                <w:bCs/>
                <w:sz w:val="18"/>
                <w:szCs w:val="18"/>
              </w:rPr>
            </w:pPr>
          </w:p>
        </w:tc>
        <w:tc>
          <w:tcPr>
            <w:tcW w:w="737" w:type="pct"/>
            <w:tcBorders>
              <w:top w:val="nil"/>
              <w:left w:val="nil"/>
              <w:bottom w:val="single" w:sz="4" w:space="0" w:color="auto"/>
              <w:right w:val="nil"/>
            </w:tcBorders>
            <w:shd w:val="clear" w:color="auto" w:fill="E2EFD9" w:themeFill="accent6" w:themeFillTint="33"/>
            <w:noWrap/>
            <w:vAlign w:val="center"/>
            <w:hideMark/>
          </w:tcPr>
          <w:p w14:paraId="57F06B6F" w14:textId="2217E752" w:rsidR="00715E4F" w:rsidRPr="006B42D6" w:rsidRDefault="00715E4F" w:rsidP="007200F6">
            <w:pPr>
              <w:jc w:val="center"/>
              <w:rPr>
                <w:b/>
                <w:bCs/>
                <w:sz w:val="18"/>
                <w:szCs w:val="18"/>
              </w:rPr>
            </w:pPr>
            <w:r w:rsidRPr="006B42D6">
              <w:rPr>
                <w:b/>
                <w:bCs/>
                <w:sz w:val="18"/>
                <w:szCs w:val="18"/>
              </w:rPr>
              <w:t>Number</w:t>
            </w:r>
          </w:p>
        </w:tc>
        <w:tc>
          <w:tcPr>
            <w:tcW w:w="705" w:type="pct"/>
            <w:tcBorders>
              <w:top w:val="nil"/>
              <w:left w:val="nil"/>
              <w:bottom w:val="single" w:sz="4" w:space="0" w:color="auto"/>
              <w:right w:val="nil"/>
            </w:tcBorders>
            <w:shd w:val="clear" w:color="auto" w:fill="E2EFD9" w:themeFill="accent6" w:themeFillTint="33"/>
            <w:noWrap/>
            <w:vAlign w:val="center"/>
            <w:hideMark/>
          </w:tcPr>
          <w:p w14:paraId="3D565F82" w14:textId="6EC40CE0" w:rsidR="00715E4F" w:rsidRPr="006B42D6" w:rsidRDefault="00715E4F" w:rsidP="007200F6">
            <w:pPr>
              <w:jc w:val="center"/>
              <w:rPr>
                <w:b/>
                <w:bCs/>
                <w:sz w:val="18"/>
                <w:szCs w:val="18"/>
              </w:rPr>
            </w:pPr>
            <w:r w:rsidRPr="006B42D6">
              <w:rPr>
                <w:b/>
                <w:bCs/>
                <w:sz w:val="18"/>
                <w:szCs w:val="18"/>
              </w:rPr>
              <w:t>Percent</w:t>
            </w:r>
          </w:p>
        </w:tc>
        <w:tc>
          <w:tcPr>
            <w:tcW w:w="737" w:type="pct"/>
            <w:tcBorders>
              <w:top w:val="nil"/>
              <w:left w:val="nil"/>
              <w:bottom w:val="single" w:sz="4" w:space="0" w:color="auto"/>
              <w:right w:val="nil"/>
            </w:tcBorders>
            <w:shd w:val="clear" w:color="auto" w:fill="E2EFD9" w:themeFill="accent6" w:themeFillTint="33"/>
            <w:noWrap/>
            <w:vAlign w:val="center"/>
            <w:hideMark/>
          </w:tcPr>
          <w:p w14:paraId="359AE46E" w14:textId="0C3C358D" w:rsidR="00715E4F" w:rsidRPr="006B42D6" w:rsidRDefault="00715E4F" w:rsidP="007200F6">
            <w:pPr>
              <w:jc w:val="center"/>
              <w:rPr>
                <w:b/>
                <w:bCs/>
                <w:sz w:val="18"/>
                <w:szCs w:val="18"/>
              </w:rPr>
            </w:pPr>
            <w:r w:rsidRPr="006B42D6">
              <w:rPr>
                <w:b/>
                <w:bCs/>
                <w:sz w:val="18"/>
                <w:szCs w:val="18"/>
              </w:rPr>
              <w:t>Number</w:t>
            </w:r>
          </w:p>
        </w:tc>
        <w:tc>
          <w:tcPr>
            <w:tcW w:w="705" w:type="pct"/>
            <w:tcBorders>
              <w:top w:val="nil"/>
              <w:left w:val="nil"/>
              <w:bottom w:val="single" w:sz="4" w:space="0" w:color="auto"/>
              <w:right w:val="nil"/>
            </w:tcBorders>
            <w:shd w:val="clear" w:color="auto" w:fill="E2EFD9" w:themeFill="accent6" w:themeFillTint="33"/>
            <w:noWrap/>
            <w:vAlign w:val="center"/>
            <w:hideMark/>
          </w:tcPr>
          <w:p w14:paraId="123A2083" w14:textId="15A681D3" w:rsidR="00715E4F" w:rsidRPr="006B42D6" w:rsidRDefault="00715E4F" w:rsidP="007200F6">
            <w:pPr>
              <w:jc w:val="center"/>
              <w:rPr>
                <w:b/>
                <w:bCs/>
                <w:sz w:val="18"/>
                <w:szCs w:val="18"/>
              </w:rPr>
            </w:pPr>
            <w:r w:rsidRPr="006B42D6">
              <w:rPr>
                <w:b/>
                <w:bCs/>
                <w:sz w:val="18"/>
                <w:szCs w:val="18"/>
              </w:rPr>
              <w:t>Percent</w:t>
            </w:r>
          </w:p>
        </w:tc>
        <w:tc>
          <w:tcPr>
            <w:tcW w:w="737" w:type="pct"/>
            <w:tcBorders>
              <w:top w:val="nil"/>
              <w:left w:val="nil"/>
              <w:bottom w:val="single" w:sz="4" w:space="0" w:color="auto"/>
              <w:right w:val="nil"/>
            </w:tcBorders>
            <w:shd w:val="clear" w:color="auto" w:fill="E2EFD9" w:themeFill="accent6" w:themeFillTint="33"/>
            <w:noWrap/>
            <w:vAlign w:val="center"/>
            <w:hideMark/>
          </w:tcPr>
          <w:p w14:paraId="5AFDFF2E" w14:textId="38F6E62E" w:rsidR="00715E4F" w:rsidRPr="006B42D6" w:rsidRDefault="00715E4F" w:rsidP="007200F6">
            <w:pPr>
              <w:jc w:val="center"/>
              <w:rPr>
                <w:b/>
                <w:bCs/>
                <w:sz w:val="18"/>
                <w:szCs w:val="18"/>
              </w:rPr>
            </w:pPr>
            <w:r w:rsidRPr="006B42D6">
              <w:rPr>
                <w:b/>
                <w:bCs/>
                <w:sz w:val="18"/>
                <w:szCs w:val="18"/>
              </w:rPr>
              <w:t>Number</w:t>
            </w:r>
          </w:p>
        </w:tc>
        <w:tc>
          <w:tcPr>
            <w:tcW w:w="705" w:type="pct"/>
            <w:tcBorders>
              <w:top w:val="nil"/>
              <w:left w:val="nil"/>
              <w:bottom w:val="single" w:sz="4" w:space="0" w:color="auto"/>
              <w:right w:val="nil"/>
            </w:tcBorders>
            <w:shd w:val="clear" w:color="auto" w:fill="E2EFD9" w:themeFill="accent6" w:themeFillTint="33"/>
            <w:noWrap/>
            <w:vAlign w:val="center"/>
            <w:hideMark/>
          </w:tcPr>
          <w:p w14:paraId="5D336D63" w14:textId="77777777" w:rsidR="00715E4F" w:rsidRPr="006B42D6" w:rsidRDefault="00715E4F" w:rsidP="007200F6">
            <w:pPr>
              <w:jc w:val="center"/>
              <w:rPr>
                <w:sz w:val="18"/>
                <w:szCs w:val="18"/>
              </w:rPr>
            </w:pPr>
            <w:r w:rsidRPr="006B42D6">
              <w:rPr>
                <w:sz w:val="18"/>
                <w:szCs w:val="18"/>
              </w:rPr>
              <w:t>Percent</w:t>
            </w:r>
          </w:p>
        </w:tc>
      </w:tr>
      <w:tr w:rsidR="006B42D6" w:rsidRPr="006B42D6" w14:paraId="1397E1A4" w14:textId="77777777" w:rsidTr="00722A0C">
        <w:trPr>
          <w:trHeight w:hRule="exact" w:val="283"/>
        </w:trPr>
        <w:tc>
          <w:tcPr>
            <w:tcW w:w="672" w:type="pct"/>
            <w:tcBorders>
              <w:top w:val="nil"/>
              <w:left w:val="nil"/>
              <w:bottom w:val="nil"/>
              <w:right w:val="nil"/>
            </w:tcBorders>
            <w:shd w:val="clear" w:color="auto" w:fill="auto"/>
            <w:noWrap/>
            <w:vAlign w:val="center"/>
            <w:hideMark/>
          </w:tcPr>
          <w:p w14:paraId="0AD9984F" w14:textId="77777777" w:rsidR="00715E4F" w:rsidRPr="006B42D6" w:rsidRDefault="00715E4F" w:rsidP="003A083C">
            <w:pPr>
              <w:jc w:val="left"/>
              <w:rPr>
                <w:sz w:val="18"/>
                <w:szCs w:val="18"/>
              </w:rPr>
            </w:pPr>
            <w:r w:rsidRPr="006B42D6">
              <w:rPr>
                <w:sz w:val="18"/>
                <w:szCs w:val="18"/>
              </w:rPr>
              <w:t>0 - 4</w:t>
            </w:r>
          </w:p>
        </w:tc>
        <w:tc>
          <w:tcPr>
            <w:tcW w:w="737" w:type="pct"/>
            <w:tcBorders>
              <w:top w:val="nil"/>
              <w:left w:val="nil"/>
              <w:bottom w:val="nil"/>
              <w:right w:val="nil"/>
            </w:tcBorders>
            <w:shd w:val="clear" w:color="auto" w:fill="auto"/>
            <w:noWrap/>
            <w:vAlign w:val="center"/>
            <w:hideMark/>
          </w:tcPr>
          <w:p w14:paraId="58B4CB64" w14:textId="60017B00" w:rsidR="00715E4F" w:rsidRPr="006B42D6" w:rsidRDefault="00715E4F" w:rsidP="007200F6">
            <w:pPr>
              <w:jc w:val="center"/>
              <w:rPr>
                <w:sz w:val="18"/>
                <w:szCs w:val="18"/>
              </w:rPr>
            </w:pPr>
            <w:r w:rsidRPr="006B42D6">
              <w:rPr>
                <w:sz w:val="18"/>
                <w:szCs w:val="18"/>
              </w:rPr>
              <w:t>5,586,237</w:t>
            </w:r>
          </w:p>
        </w:tc>
        <w:tc>
          <w:tcPr>
            <w:tcW w:w="705" w:type="pct"/>
            <w:tcBorders>
              <w:top w:val="nil"/>
              <w:left w:val="nil"/>
              <w:bottom w:val="nil"/>
              <w:right w:val="nil"/>
            </w:tcBorders>
            <w:shd w:val="clear" w:color="auto" w:fill="auto"/>
            <w:noWrap/>
            <w:vAlign w:val="center"/>
            <w:hideMark/>
          </w:tcPr>
          <w:p w14:paraId="2AEB9A1D" w14:textId="1A47B541" w:rsidR="00715E4F" w:rsidRPr="006B42D6" w:rsidRDefault="00715E4F" w:rsidP="007200F6">
            <w:pPr>
              <w:jc w:val="center"/>
              <w:rPr>
                <w:sz w:val="18"/>
                <w:szCs w:val="18"/>
              </w:rPr>
            </w:pPr>
            <w:r w:rsidRPr="006B42D6">
              <w:rPr>
                <w:sz w:val="18"/>
                <w:szCs w:val="18"/>
              </w:rPr>
              <w:t>13.6</w:t>
            </w:r>
          </w:p>
        </w:tc>
        <w:tc>
          <w:tcPr>
            <w:tcW w:w="737" w:type="pct"/>
            <w:tcBorders>
              <w:top w:val="nil"/>
              <w:left w:val="nil"/>
              <w:bottom w:val="nil"/>
              <w:right w:val="nil"/>
            </w:tcBorders>
            <w:shd w:val="clear" w:color="auto" w:fill="auto"/>
            <w:noWrap/>
            <w:vAlign w:val="center"/>
            <w:hideMark/>
          </w:tcPr>
          <w:p w14:paraId="2B841BC2" w14:textId="69077EB1" w:rsidR="00715E4F" w:rsidRPr="006B42D6" w:rsidRDefault="00715E4F" w:rsidP="007200F6">
            <w:pPr>
              <w:jc w:val="center"/>
              <w:rPr>
                <w:sz w:val="18"/>
                <w:szCs w:val="18"/>
              </w:rPr>
            </w:pPr>
            <w:r w:rsidRPr="006B42D6">
              <w:rPr>
                <w:sz w:val="18"/>
                <w:szCs w:val="18"/>
              </w:rPr>
              <w:t>2,779,623</w:t>
            </w:r>
          </w:p>
        </w:tc>
        <w:tc>
          <w:tcPr>
            <w:tcW w:w="705" w:type="pct"/>
            <w:tcBorders>
              <w:top w:val="nil"/>
              <w:left w:val="nil"/>
              <w:bottom w:val="nil"/>
              <w:right w:val="nil"/>
            </w:tcBorders>
            <w:shd w:val="clear" w:color="auto" w:fill="auto"/>
            <w:noWrap/>
            <w:vAlign w:val="center"/>
            <w:hideMark/>
          </w:tcPr>
          <w:p w14:paraId="0629B76C" w14:textId="5564D843" w:rsidR="00715E4F" w:rsidRPr="006B42D6" w:rsidRDefault="00715E4F" w:rsidP="007200F6">
            <w:pPr>
              <w:jc w:val="center"/>
              <w:rPr>
                <w:sz w:val="18"/>
                <w:szCs w:val="18"/>
              </w:rPr>
            </w:pPr>
            <w:r w:rsidRPr="006B42D6">
              <w:rPr>
                <w:sz w:val="18"/>
                <w:szCs w:val="18"/>
              </w:rPr>
              <w:t>13.6</w:t>
            </w:r>
          </w:p>
        </w:tc>
        <w:tc>
          <w:tcPr>
            <w:tcW w:w="737" w:type="pct"/>
            <w:tcBorders>
              <w:top w:val="nil"/>
              <w:left w:val="nil"/>
              <w:bottom w:val="nil"/>
              <w:right w:val="nil"/>
            </w:tcBorders>
            <w:shd w:val="clear" w:color="auto" w:fill="auto"/>
            <w:noWrap/>
            <w:vAlign w:val="center"/>
            <w:hideMark/>
          </w:tcPr>
          <w:p w14:paraId="096E6AD4" w14:textId="0015E00F" w:rsidR="00715E4F" w:rsidRPr="006B42D6" w:rsidRDefault="00715E4F" w:rsidP="007200F6">
            <w:pPr>
              <w:jc w:val="center"/>
              <w:rPr>
                <w:sz w:val="18"/>
                <w:szCs w:val="18"/>
              </w:rPr>
            </w:pPr>
            <w:r w:rsidRPr="006B42D6">
              <w:rPr>
                <w:sz w:val="18"/>
                <w:szCs w:val="18"/>
              </w:rPr>
              <w:t>2,806,614</w:t>
            </w:r>
          </w:p>
        </w:tc>
        <w:tc>
          <w:tcPr>
            <w:tcW w:w="705" w:type="pct"/>
            <w:tcBorders>
              <w:top w:val="nil"/>
              <w:left w:val="nil"/>
              <w:bottom w:val="nil"/>
              <w:right w:val="nil"/>
            </w:tcBorders>
            <w:shd w:val="clear" w:color="auto" w:fill="auto"/>
            <w:noWrap/>
            <w:vAlign w:val="center"/>
            <w:hideMark/>
          </w:tcPr>
          <w:p w14:paraId="6C04EA28" w14:textId="7F679C25" w:rsidR="00715E4F" w:rsidRPr="006B42D6" w:rsidRDefault="00715E4F" w:rsidP="007200F6">
            <w:pPr>
              <w:jc w:val="center"/>
              <w:rPr>
                <w:sz w:val="18"/>
                <w:szCs w:val="18"/>
              </w:rPr>
            </w:pPr>
            <w:r w:rsidRPr="006B42D6">
              <w:rPr>
                <w:sz w:val="18"/>
                <w:szCs w:val="18"/>
              </w:rPr>
              <w:t>13.6</w:t>
            </w:r>
          </w:p>
        </w:tc>
      </w:tr>
      <w:tr w:rsidR="006B42D6" w:rsidRPr="006B42D6" w14:paraId="080B144E" w14:textId="77777777" w:rsidTr="00722A0C">
        <w:trPr>
          <w:trHeight w:hRule="exact" w:val="283"/>
        </w:trPr>
        <w:tc>
          <w:tcPr>
            <w:tcW w:w="672" w:type="pct"/>
            <w:tcBorders>
              <w:top w:val="nil"/>
              <w:left w:val="nil"/>
              <w:bottom w:val="nil"/>
              <w:right w:val="nil"/>
            </w:tcBorders>
            <w:shd w:val="clear" w:color="auto" w:fill="auto"/>
            <w:noWrap/>
            <w:vAlign w:val="center"/>
            <w:hideMark/>
          </w:tcPr>
          <w:p w14:paraId="44B813A4" w14:textId="77777777" w:rsidR="00715E4F" w:rsidRPr="006B42D6" w:rsidRDefault="00715E4F" w:rsidP="003A083C">
            <w:pPr>
              <w:jc w:val="left"/>
              <w:rPr>
                <w:sz w:val="18"/>
                <w:szCs w:val="18"/>
              </w:rPr>
            </w:pPr>
            <w:r w:rsidRPr="006B42D6">
              <w:rPr>
                <w:sz w:val="18"/>
                <w:szCs w:val="18"/>
              </w:rPr>
              <w:t>5 - 9</w:t>
            </w:r>
          </w:p>
        </w:tc>
        <w:tc>
          <w:tcPr>
            <w:tcW w:w="737" w:type="pct"/>
            <w:tcBorders>
              <w:top w:val="nil"/>
              <w:left w:val="nil"/>
              <w:bottom w:val="nil"/>
              <w:right w:val="nil"/>
            </w:tcBorders>
            <w:shd w:val="clear" w:color="auto" w:fill="auto"/>
            <w:noWrap/>
            <w:vAlign w:val="center"/>
            <w:hideMark/>
          </w:tcPr>
          <w:p w14:paraId="64D643DB" w14:textId="1DF7F072" w:rsidR="00715E4F" w:rsidRPr="006B42D6" w:rsidRDefault="00715E4F" w:rsidP="007200F6">
            <w:pPr>
              <w:jc w:val="center"/>
              <w:rPr>
                <w:sz w:val="18"/>
                <w:szCs w:val="18"/>
              </w:rPr>
            </w:pPr>
            <w:r w:rsidRPr="006B42D6">
              <w:rPr>
                <w:sz w:val="18"/>
                <w:szCs w:val="18"/>
              </w:rPr>
              <w:t>6,238,759</w:t>
            </w:r>
          </w:p>
        </w:tc>
        <w:tc>
          <w:tcPr>
            <w:tcW w:w="705" w:type="pct"/>
            <w:tcBorders>
              <w:top w:val="nil"/>
              <w:left w:val="nil"/>
              <w:bottom w:val="nil"/>
              <w:right w:val="nil"/>
            </w:tcBorders>
            <w:shd w:val="clear" w:color="auto" w:fill="auto"/>
            <w:noWrap/>
            <w:vAlign w:val="center"/>
            <w:hideMark/>
          </w:tcPr>
          <w:p w14:paraId="0AF61B21" w14:textId="08888698" w:rsidR="00715E4F" w:rsidRPr="006B42D6" w:rsidRDefault="00715E4F" w:rsidP="007200F6">
            <w:pPr>
              <w:jc w:val="center"/>
              <w:rPr>
                <w:sz w:val="18"/>
                <w:szCs w:val="18"/>
              </w:rPr>
            </w:pPr>
            <w:r w:rsidRPr="006B42D6">
              <w:rPr>
                <w:sz w:val="18"/>
                <w:szCs w:val="18"/>
              </w:rPr>
              <w:t>15.2</w:t>
            </w:r>
          </w:p>
        </w:tc>
        <w:tc>
          <w:tcPr>
            <w:tcW w:w="737" w:type="pct"/>
            <w:tcBorders>
              <w:top w:val="nil"/>
              <w:left w:val="nil"/>
              <w:bottom w:val="nil"/>
              <w:right w:val="nil"/>
            </w:tcBorders>
            <w:shd w:val="clear" w:color="auto" w:fill="auto"/>
            <w:noWrap/>
            <w:vAlign w:val="center"/>
            <w:hideMark/>
          </w:tcPr>
          <w:p w14:paraId="1E7B6A0D" w14:textId="326E7009" w:rsidR="00715E4F" w:rsidRPr="006B42D6" w:rsidRDefault="00715E4F" w:rsidP="007200F6">
            <w:pPr>
              <w:jc w:val="center"/>
              <w:rPr>
                <w:sz w:val="18"/>
                <w:szCs w:val="18"/>
              </w:rPr>
            </w:pPr>
            <w:r w:rsidRPr="006B42D6">
              <w:rPr>
                <w:sz w:val="18"/>
                <w:szCs w:val="18"/>
              </w:rPr>
              <w:t>3,146,906</w:t>
            </w:r>
          </w:p>
        </w:tc>
        <w:tc>
          <w:tcPr>
            <w:tcW w:w="705" w:type="pct"/>
            <w:tcBorders>
              <w:top w:val="nil"/>
              <w:left w:val="nil"/>
              <w:bottom w:val="nil"/>
              <w:right w:val="nil"/>
            </w:tcBorders>
            <w:shd w:val="clear" w:color="auto" w:fill="auto"/>
            <w:noWrap/>
            <w:vAlign w:val="center"/>
            <w:hideMark/>
          </w:tcPr>
          <w:p w14:paraId="7FA03CE0" w14:textId="3C7677BE" w:rsidR="00715E4F" w:rsidRPr="006B42D6" w:rsidRDefault="00715E4F" w:rsidP="007200F6">
            <w:pPr>
              <w:jc w:val="center"/>
              <w:rPr>
                <w:sz w:val="18"/>
                <w:szCs w:val="18"/>
              </w:rPr>
            </w:pPr>
            <w:r w:rsidRPr="006B42D6">
              <w:rPr>
                <w:sz w:val="18"/>
                <w:szCs w:val="18"/>
              </w:rPr>
              <w:t>15.4</w:t>
            </w:r>
          </w:p>
        </w:tc>
        <w:tc>
          <w:tcPr>
            <w:tcW w:w="737" w:type="pct"/>
            <w:tcBorders>
              <w:top w:val="nil"/>
              <w:left w:val="nil"/>
              <w:bottom w:val="nil"/>
              <w:right w:val="nil"/>
            </w:tcBorders>
            <w:shd w:val="clear" w:color="auto" w:fill="auto"/>
            <w:noWrap/>
            <w:vAlign w:val="center"/>
            <w:hideMark/>
          </w:tcPr>
          <w:p w14:paraId="414C5A81" w14:textId="4FD71003" w:rsidR="00715E4F" w:rsidRPr="006B42D6" w:rsidRDefault="00715E4F" w:rsidP="007200F6">
            <w:pPr>
              <w:jc w:val="center"/>
              <w:rPr>
                <w:sz w:val="18"/>
                <w:szCs w:val="18"/>
              </w:rPr>
            </w:pPr>
            <w:r w:rsidRPr="006B42D6">
              <w:rPr>
                <w:sz w:val="18"/>
                <w:szCs w:val="18"/>
              </w:rPr>
              <w:t>3,091,853</w:t>
            </w:r>
          </w:p>
        </w:tc>
        <w:tc>
          <w:tcPr>
            <w:tcW w:w="705" w:type="pct"/>
            <w:tcBorders>
              <w:top w:val="nil"/>
              <w:left w:val="nil"/>
              <w:bottom w:val="nil"/>
              <w:right w:val="nil"/>
            </w:tcBorders>
            <w:shd w:val="clear" w:color="auto" w:fill="auto"/>
            <w:noWrap/>
            <w:vAlign w:val="center"/>
            <w:hideMark/>
          </w:tcPr>
          <w:p w14:paraId="2938EDE4" w14:textId="51710BAE" w:rsidR="00715E4F" w:rsidRPr="006B42D6" w:rsidRDefault="00715E4F" w:rsidP="007200F6">
            <w:pPr>
              <w:jc w:val="center"/>
              <w:rPr>
                <w:sz w:val="18"/>
                <w:szCs w:val="18"/>
              </w:rPr>
            </w:pPr>
            <w:r w:rsidRPr="006B42D6">
              <w:rPr>
                <w:sz w:val="18"/>
                <w:szCs w:val="18"/>
              </w:rPr>
              <w:t>15.0</w:t>
            </w:r>
          </w:p>
        </w:tc>
      </w:tr>
      <w:tr w:rsidR="006B42D6" w:rsidRPr="006B42D6" w14:paraId="068193CC" w14:textId="77777777" w:rsidTr="00722A0C">
        <w:trPr>
          <w:trHeight w:hRule="exact" w:val="283"/>
        </w:trPr>
        <w:tc>
          <w:tcPr>
            <w:tcW w:w="672" w:type="pct"/>
            <w:tcBorders>
              <w:top w:val="nil"/>
              <w:left w:val="nil"/>
              <w:bottom w:val="nil"/>
              <w:right w:val="nil"/>
            </w:tcBorders>
            <w:shd w:val="clear" w:color="auto" w:fill="auto"/>
            <w:noWrap/>
            <w:vAlign w:val="center"/>
            <w:hideMark/>
          </w:tcPr>
          <w:p w14:paraId="2C16AAF6" w14:textId="77777777" w:rsidR="00715E4F" w:rsidRPr="006B42D6" w:rsidRDefault="00715E4F" w:rsidP="003A083C">
            <w:pPr>
              <w:jc w:val="left"/>
              <w:rPr>
                <w:sz w:val="18"/>
                <w:szCs w:val="18"/>
              </w:rPr>
            </w:pPr>
            <w:r w:rsidRPr="006B42D6">
              <w:rPr>
                <w:sz w:val="18"/>
                <w:szCs w:val="18"/>
              </w:rPr>
              <w:t>10 - 14</w:t>
            </w:r>
          </w:p>
        </w:tc>
        <w:tc>
          <w:tcPr>
            <w:tcW w:w="737" w:type="pct"/>
            <w:tcBorders>
              <w:top w:val="nil"/>
              <w:left w:val="nil"/>
              <w:bottom w:val="nil"/>
              <w:right w:val="nil"/>
            </w:tcBorders>
            <w:shd w:val="clear" w:color="auto" w:fill="auto"/>
            <w:noWrap/>
            <w:vAlign w:val="center"/>
            <w:hideMark/>
          </w:tcPr>
          <w:p w14:paraId="7CA962CD" w14:textId="5D4CA8DB" w:rsidR="00715E4F" w:rsidRPr="006B42D6" w:rsidRDefault="00715E4F" w:rsidP="007200F6">
            <w:pPr>
              <w:jc w:val="center"/>
              <w:rPr>
                <w:sz w:val="18"/>
                <w:szCs w:val="18"/>
              </w:rPr>
            </w:pPr>
            <w:r w:rsidRPr="006B42D6">
              <w:rPr>
                <w:sz w:val="18"/>
                <w:szCs w:val="18"/>
              </w:rPr>
              <w:t>6,215,017</w:t>
            </w:r>
          </w:p>
        </w:tc>
        <w:tc>
          <w:tcPr>
            <w:tcW w:w="705" w:type="pct"/>
            <w:tcBorders>
              <w:top w:val="nil"/>
              <w:left w:val="nil"/>
              <w:bottom w:val="nil"/>
              <w:right w:val="nil"/>
            </w:tcBorders>
            <w:shd w:val="clear" w:color="auto" w:fill="auto"/>
            <w:noWrap/>
            <w:vAlign w:val="center"/>
            <w:hideMark/>
          </w:tcPr>
          <w:p w14:paraId="09403E99" w14:textId="75D104C1" w:rsidR="00715E4F" w:rsidRPr="006B42D6" w:rsidRDefault="00715E4F" w:rsidP="007200F6">
            <w:pPr>
              <w:jc w:val="center"/>
              <w:rPr>
                <w:sz w:val="18"/>
                <w:szCs w:val="18"/>
              </w:rPr>
            </w:pPr>
            <w:r w:rsidRPr="006B42D6">
              <w:rPr>
                <w:sz w:val="18"/>
                <w:szCs w:val="18"/>
              </w:rPr>
              <w:t>15.2</w:t>
            </w:r>
          </w:p>
        </w:tc>
        <w:tc>
          <w:tcPr>
            <w:tcW w:w="737" w:type="pct"/>
            <w:tcBorders>
              <w:top w:val="nil"/>
              <w:left w:val="nil"/>
              <w:bottom w:val="nil"/>
              <w:right w:val="nil"/>
            </w:tcBorders>
            <w:shd w:val="clear" w:color="auto" w:fill="auto"/>
            <w:noWrap/>
            <w:vAlign w:val="center"/>
            <w:hideMark/>
          </w:tcPr>
          <w:p w14:paraId="00AE2B42" w14:textId="7EFE9A15" w:rsidR="00715E4F" w:rsidRPr="006B42D6" w:rsidRDefault="00715E4F" w:rsidP="007200F6">
            <w:pPr>
              <w:jc w:val="center"/>
              <w:rPr>
                <w:sz w:val="18"/>
                <w:szCs w:val="18"/>
              </w:rPr>
            </w:pPr>
            <w:r w:rsidRPr="006B42D6">
              <w:rPr>
                <w:sz w:val="18"/>
                <w:szCs w:val="18"/>
              </w:rPr>
              <w:t>3,160,177</w:t>
            </w:r>
          </w:p>
        </w:tc>
        <w:tc>
          <w:tcPr>
            <w:tcW w:w="705" w:type="pct"/>
            <w:tcBorders>
              <w:top w:val="nil"/>
              <w:left w:val="nil"/>
              <w:bottom w:val="nil"/>
              <w:right w:val="nil"/>
            </w:tcBorders>
            <w:shd w:val="clear" w:color="auto" w:fill="auto"/>
            <w:noWrap/>
            <w:vAlign w:val="center"/>
            <w:hideMark/>
          </w:tcPr>
          <w:p w14:paraId="34BE34E1" w14:textId="6A96C750" w:rsidR="00715E4F" w:rsidRPr="006B42D6" w:rsidRDefault="00715E4F" w:rsidP="007200F6">
            <w:pPr>
              <w:jc w:val="center"/>
              <w:rPr>
                <w:sz w:val="18"/>
                <w:szCs w:val="18"/>
              </w:rPr>
            </w:pPr>
            <w:r w:rsidRPr="006B42D6">
              <w:rPr>
                <w:sz w:val="18"/>
                <w:szCs w:val="18"/>
              </w:rPr>
              <w:t>15.5</w:t>
            </w:r>
          </w:p>
        </w:tc>
        <w:tc>
          <w:tcPr>
            <w:tcW w:w="737" w:type="pct"/>
            <w:tcBorders>
              <w:top w:val="nil"/>
              <w:left w:val="nil"/>
              <w:bottom w:val="nil"/>
              <w:right w:val="nil"/>
            </w:tcBorders>
            <w:shd w:val="clear" w:color="auto" w:fill="auto"/>
            <w:noWrap/>
            <w:vAlign w:val="center"/>
            <w:hideMark/>
          </w:tcPr>
          <w:p w14:paraId="7FFF7487" w14:textId="1E743F03" w:rsidR="00715E4F" w:rsidRPr="006B42D6" w:rsidRDefault="00715E4F" w:rsidP="007200F6">
            <w:pPr>
              <w:jc w:val="center"/>
              <w:rPr>
                <w:sz w:val="18"/>
                <w:szCs w:val="18"/>
              </w:rPr>
            </w:pPr>
            <w:r w:rsidRPr="006B42D6">
              <w:rPr>
                <w:sz w:val="18"/>
                <w:szCs w:val="18"/>
              </w:rPr>
              <w:t>3,054,840</w:t>
            </w:r>
          </w:p>
        </w:tc>
        <w:tc>
          <w:tcPr>
            <w:tcW w:w="705" w:type="pct"/>
            <w:tcBorders>
              <w:top w:val="nil"/>
              <w:left w:val="nil"/>
              <w:bottom w:val="nil"/>
              <w:right w:val="nil"/>
            </w:tcBorders>
            <w:shd w:val="clear" w:color="auto" w:fill="auto"/>
            <w:noWrap/>
            <w:vAlign w:val="center"/>
            <w:hideMark/>
          </w:tcPr>
          <w:p w14:paraId="06264DC1" w14:textId="23694268" w:rsidR="00715E4F" w:rsidRPr="006B42D6" w:rsidRDefault="00715E4F" w:rsidP="007200F6">
            <w:pPr>
              <w:jc w:val="center"/>
              <w:rPr>
                <w:sz w:val="18"/>
                <w:szCs w:val="18"/>
              </w:rPr>
            </w:pPr>
            <w:r w:rsidRPr="006B42D6">
              <w:rPr>
                <w:sz w:val="18"/>
                <w:szCs w:val="18"/>
              </w:rPr>
              <w:t>14.8</w:t>
            </w:r>
          </w:p>
        </w:tc>
      </w:tr>
      <w:tr w:rsidR="006B42D6" w:rsidRPr="006B42D6" w14:paraId="791D8442" w14:textId="77777777" w:rsidTr="00722A0C">
        <w:trPr>
          <w:trHeight w:hRule="exact" w:val="283"/>
        </w:trPr>
        <w:tc>
          <w:tcPr>
            <w:tcW w:w="672" w:type="pct"/>
            <w:tcBorders>
              <w:top w:val="nil"/>
              <w:left w:val="nil"/>
              <w:bottom w:val="nil"/>
              <w:right w:val="nil"/>
            </w:tcBorders>
            <w:shd w:val="clear" w:color="auto" w:fill="auto"/>
            <w:noWrap/>
            <w:vAlign w:val="center"/>
            <w:hideMark/>
          </w:tcPr>
          <w:p w14:paraId="340FB2CE" w14:textId="77777777" w:rsidR="00715E4F" w:rsidRPr="006B42D6" w:rsidRDefault="00715E4F" w:rsidP="003A083C">
            <w:pPr>
              <w:jc w:val="left"/>
              <w:rPr>
                <w:sz w:val="18"/>
                <w:szCs w:val="18"/>
              </w:rPr>
            </w:pPr>
            <w:r w:rsidRPr="006B42D6">
              <w:rPr>
                <w:sz w:val="18"/>
                <w:szCs w:val="18"/>
              </w:rPr>
              <w:t>15 - 19</w:t>
            </w:r>
          </w:p>
        </w:tc>
        <w:tc>
          <w:tcPr>
            <w:tcW w:w="737" w:type="pct"/>
            <w:tcBorders>
              <w:top w:val="nil"/>
              <w:left w:val="nil"/>
              <w:bottom w:val="nil"/>
              <w:right w:val="nil"/>
            </w:tcBorders>
            <w:shd w:val="clear" w:color="auto" w:fill="auto"/>
            <w:noWrap/>
            <w:vAlign w:val="center"/>
            <w:hideMark/>
          </w:tcPr>
          <w:p w14:paraId="594B5D6E" w14:textId="688C4CE8" w:rsidR="00715E4F" w:rsidRPr="006B42D6" w:rsidRDefault="00715E4F" w:rsidP="007200F6">
            <w:pPr>
              <w:jc w:val="center"/>
              <w:rPr>
                <w:sz w:val="18"/>
                <w:szCs w:val="18"/>
              </w:rPr>
            </w:pPr>
            <w:r w:rsidRPr="006B42D6">
              <w:rPr>
                <w:sz w:val="18"/>
                <w:szCs w:val="18"/>
              </w:rPr>
              <w:t>4,505,705</w:t>
            </w:r>
          </w:p>
        </w:tc>
        <w:tc>
          <w:tcPr>
            <w:tcW w:w="705" w:type="pct"/>
            <w:tcBorders>
              <w:top w:val="nil"/>
              <w:left w:val="nil"/>
              <w:bottom w:val="nil"/>
              <w:right w:val="nil"/>
            </w:tcBorders>
            <w:shd w:val="clear" w:color="auto" w:fill="auto"/>
            <w:noWrap/>
            <w:vAlign w:val="center"/>
            <w:hideMark/>
          </w:tcPr>
          <w:p w14:paraId="3B4C2193" w14:textId="6C407B7B" w:rsidR="00715E4F" w:rsidRPr="006B42D6" w:rsidRDefault="00715E4F" w:rsidP="007200F6">
            <w:pPr>
              <w:jc w:val="center"/>
              <w:rPr>
                <w:sz w:val="18"/>
                <w:szCs w:val="18"/>
              </w:rPr>
            </w:pPr>
            <w:r w:rsidRPr="006B42D6">
              <w:rPr>
                <w:sz w:val="18"/>
                <w:szCs w:val="18"/>
              </w:rPr>
              <w:t>11.0</w:t>
            </w:r>
          </w:p>
        </w:tc>
        <w:tc>
          <w:tcPr>
            <w:tcW w:w="737" w:type="pct"/>
            <w:tcBorders>
              <w:top w:val="nil"/>
              <w:left w:val="nil"/>
              <w:bottom w:val="nil"/>
              <w:right w:val="nil"/>
            </w:tcBorders>
            <w:shd w:val="clear" w:color="auto" w:fill="auto"/>
            <w:noWrap/>
            <w:vAlign w:val="center"/>
            <w:hideMark/>
          </w:tcPr>
          <w:p w14:paraId="72B0CB5B" w14:textId="7D4F2B5D" w:rsidR="00715E4F" w:rsidRPr="006B42D6" w:rsidRDefault="00715E4F" w:rsidP="007200F6">
            <w:pPr>
              <w:jc w:val="center"/>
              <w:rPr>
                <w:sz w:val="18"/>
                <w:szCs w:val="18"/>
              </w:rPr>
            </w:pPr>
            <w:r w:rsidRPr="006B42D6">
              <w:rPr>
                <w:sz w:val="18"/>
                <w:szCs w:val="18"/>
              </w:rPr>
              <w:t>2,425,091</w:t>
            </w:r>
          </w:p>
        </w:tc>
        <w:tc>
          <w:tcPr>
            <w:tcW w:w="705" w:type="pct"/>
            <w:tcBorders>
              <w:top w:val="nil"/>
              <w:left w:val="nil"/>
              <w:bottom w:val="nil"/>
              <w:right w:val="nil"/>
            </w:tcBorders>
            <w:shd w:val="clear" w:color="auto" w:fill="auto"/>
            <w:noWrap/>
            <w:vAlign w:val="center"/>
            <w:hideMark/>
          </w:tcPr>
          <w:p w14:paraId="037662CA" w14:textId="5FE72B67" w:rsidR="00715E4F" w:rsidRPr="006B42D6" w:rsidRDefault="00715E4F" w:rsidP="007200F6">
            <w:pPr>
              <w:jc w:val="center"/>
              <w:rPr>
                <w:sz w:val="18"/>
                <w:szCs w:val="18"/>
              </w:rPr>
            </w:pPr>
            <w:r w:rsidRPr="006B42D6">
              <w:rPr>
                <w:sz w:val="18"/>
                <w:szCs w:val="18"/>
              </w:rPr>
              <w:t>11.9</w:t>
            </w:r>
          </w:p>
        </w:tc>
        <w:tc>
          <w:tcPr>
            <w:tcW w:w="737" w:type="pct"/>
            <w:tcBorders>
              <w:top w:val="nil"/>
              <w:left w:val="nil"/>
              <w:bottom w:val="nil"/>
              <w:right w:val="nil"/>
            </w:tcBorders>
            <w:shd w:val="clear" w:color="auto" w:fill="auto"/>
            <w:noWrap/>
            <w:vAlign w:val="center"/>
            <w:hideMark/>
          </w:tcPr>
          <w:p w14:paraId="6FB89541" w14:textId="34DA4D7C" w:rsidR="00715E4F" w:rsidRPr="006B42D6" w:rsidRDefault="00715E4F" w:rsidP="007200F6">
            <w:pPr>
              <w:jc w:val="center"/>
              <w:rPr>
                <w:sz w:val="18"/>
                <w:szCs w:val="18"/>
              </w:rPr>
            </w:pPr>
            <w:r w:rsidRPr="006B42D6">
              <w:rPr>
                <w:sz w:val="18"/>
                <w:szCs w:val="18"/>
              </w:rPr>
              <w:t>2,080,614</w:t>
            </w:r>
          </w:p>
        </w:tc>
        <w:tc>
          <w:tcPr>
            <w:tcW w:w="705" w:type="pct"/>
            <w:tcBorders>
              <w:top w:val="nil"/>
              <w:left w:val="nil"/>
              <w:bottom w:val="nil"/>
              <w:right w:val="nil"/>
            </w:tcBorders>
            <w:shd w:val="clear" w:color="auto" w:fill="auto"/>
            <w:noWrap/>
            <w:vAlign w:val="center"/>
            <w:hideMark/>
          </w:tcPr>
          <w:p w14:paraId="1742CF75" w14:textId="3AA67E3C" w:rsidR="00715E4F" w:rsidRPr="006B42D6" w:rsidRDefault="00715E4F" w:rsidP="007200F6">
            <w:pPr>
              <w:jc w:val="center"/>
              <w:rPr>
                <w:sz w:val="18"/>
                <w:szCs w:val="18"/>
              </w:rPr>
            </w:pPr>
            <w:r w:rsidRPr="006B42D6">
              <w:rPr>
                <w:sz w:val="18"/>
                <w:szCs w:val="18"/>
              </w:rPr>
              <w:t>10.1</w:t>
            </w:r>
          </w:p>
        </w:tc>
      </w:tr>
      <w:tr w:rsidR="006B42D6" w:rsidRPr="006B42D6" w14:paraId="1D5973F9" w14:textId="77777777" w:rsidTr="00722A0C">
        <w:trPr>
          <w:trHeight w:hRule="exact" w:val="283"/>
        </w:trPr>
        <w:tc>
          <w:tcPr>
            <w:tcW w:w="672" w:type="pct"/>
            <w:tcBorders>
              <w:top w:val="nil"/>
              <w:left w:val="nil"/>
              <w:bottom w:val="nil"/>
              <w:right w:val="nil"/>
            </w:tcBorders>
            <w:shd w:val="clear" w:color="auto" w:fill="auto"/>
            <w:noWrap/>
            <w:vAlign w:val="center"/>
            <w:hideMark/>
          </w:tcPr>
          <w:p w14:paraId="7C67C020" w14:textId="77777777" w:rsidR="00715E4F" w:rsidRPr="006B42D6" w:rsidRDefault="00715E4F" w:rsidP="003A083C">
            <w:pPr>
              <w:jc w:val="left"/>
              <w:rPr>
                <w:sz w:val="18"/>
                <w:szCs w:val="18"/>
              </w:rPr>
            </w:pPr>
            <w:r w:rsidRPr="006B42D6">
              <w:rPr>
                <w:sz w:val="18"/>
                <w:szCs w:val="18"/>
              </w:rPr>
              <w:t>20 - 24</w:t>
            </w:r>
          </w:p>
        </w:tc>
        <w:tc>
          <w:tcPr>
            <w:tcW w:w="737" w:type="pct"/>
            <w:tcBorders>
              <w:top w:val="nil"/>
              <w:left w:val="nil"/>
              <w:bottom w:val="nil"/>
              <w:right w:val="nil"/>
            </w:tcBorders>
            <w:shd w:val="clear" w:color="auto" w:fill="auto"/>
            <w:noWrap/>
            <w:vAlign w:val="center"/>
            <w:hideMark/>
          </w:tcPr>
          <w:p w14:paraId="3342780C" w14:textId="2AA61D6A" w:rsidR="00715E4F" w:rsidRPr="006B42D6" w:rsidRDefault="00715E4F" w:rsidP="007200F6">
            <w:pPr>
              <w:jc w:val="center"/>
              <w:rPr>
                <w:sz w:val="18"/>
                <w:szCs w:val="18"/>
              </w:rPr>
            </w:pPr>
            <w:r w:rsidRPr="006B42D6">
              <w:rPr>
                <w:sz w:val="18"/>
                <w:szCs w:val="18"/>
              </w:rPr>
              <w:t>3,034,570</w:t>
            </w:r>
          </w:p>
        </w:tc>
        <w:tc>
          <w:tcPr>
            <w:tcW w:w="705" w:type="pct"/>
            <w:tcBorders>
              <w:top w:val="nil"/>
              <w:left w:val="nil"/>
              <w:bottom w:val="nil"/>
              <w:right w:val="nil"/>
            </w:tcBorders>
            <w:shd w:val="clear" w:color="auto" w:fill="auto"/>
            <w:noWrap/>
            <w:vAlign w:val="center"/>
            <w:hideMark/>
          </w:tcPr>
          <w:p w14:paraId="180437E8" w14:textId="772F0834" w:rsidR="00715E4F" w:rsidRPr="006B42D6" w:rsidRDefault="00715E4F" w:rsidP="007200F6">
            <w:pPr>
              <w:jc w:val="center"/>
              <w:rPr>
                <w:sz w:val="18"/>
                <w:szCs w:val="18"/>
              </w:rPr>
            </w:pPr>
            <w:r w:rsidRPr="006B42D6">
              <w:rPr>
                <w:sz w:val="18"/>
                <w:szCs w:val="18"/>
              </w:rPr>
              <w:t>7.4</w:t>
            </w:r>
          </w:p>
        </w:tc>
        <w:tc>
          <w:tcPr>
            <w:tcW w:w="737" w:type="pct"/>
            <w:tcBorders>
              <w:top w:val="nil"/>
              <w:left w:val="nil"/>
              <w:bottom w:val="nil"/>
              <w:right w:val="nil"/>
            </w:tcBorders>
            <w:shd w:val="clear" w:color="auto" w:fill="auto"/>
            <w:noWrap/>
            <w:vAlign w:val="center"/>
            <w:hideMark/>
          </w:tcPr>
          <w:p w14:paraId="74E1870F" w14:textId="4DB7C454" w:rsidR="00715E4F" w:rsidRPr="006B42D6" w:rsidRDefault="00715E4F" w:rsidP="007200F6">
            <w:pPr>
              <w:jc w:val="center"/>
              <w:rPr>
                <w:sz w:val="18"/>
                <w:szCs w:val="18"/>
              </w:rPr>
            </w:pPr>
            <w:r w:rsidRPr="006B42D6">
              <w:rPr>
                <w:sz w:val="18"/>
                <w:szCs w:val="18"/>
              </w:rPr>
              <w:t>1,500,480</w:t>
            </w:r>
          </w:p>
        </w:tc>
        <w:tc>
          <w:tcPr>
            <w:tcW w:w="705" w:type="pct"/>
            <w:tcBorders>
              <w:top w:val="nil"/>
              <w:left w:val="nil"/>
              <w:bottom w:val="nil"/>
              <w:right w:val="nil"/>
            </w:tcBorders>
            <w:shd w:val="clear" w:color="auto" w:fill="auto"/>
            <w:noWrap/>
            <w:vAlign w:val="center"/>
            <w:hideMark/>
          </w:tcPr>
          <w:p w14:paraId="0B074B1B" w14:textId="27C11F8D" w:rsidR="00715E4F" w:rsidRPr="006B42D6" w:rsidRDefault="00715E4F" w:rsidP="007200F6">
            <w:pPr>
              <w:jc w:val="center"/>
              <w:rPr>
                <w:sz w:val="18"/>
                <w:szCs w:val="18"/>
              </w:rPr>
            </w:pPr>
            <w:r w:rsidRPr="006B42D6">
              <w:rPr>
                <w:sz w:val="18"/>
                <w:szCs w:val="18"/>
              </w:rPr>
              <w:t>7.3</w:t>
            </w:r>
          </w:p>
        </w:tc>
        <w:tc>
          <w:tcPr>
            <w:tcW w:w="737" w:type="pct"/>
            <w:tcBorders>
              <w:top w:val="nil"/>
              <w:left w:val="nil"/>
              <w:bottom w:val="nil"/>
              <w:right w:val="nil"/>
            </w:tcBorders>
            <w:shd w:val="clear" w:color="auto" w:fill="auto"/>
            <w:noWrap/>
            <w:vAlign w:val="center"/>
            <w:hideMark/>
          </w:tcPr>
          <w:p w14:paraId="31D8F9A4" w14:textId="6981C7C6" w:rsidR="00715E4F" w:rsidRPr="006B42D6" w:rsidRDefault="00715E4F" w:rsidP="007200F6">
            <w:pPr>
              <w:jc w:val="center"/>
              <w:rPr>
                <w:sz w:val="18"/>
                <w:szCs w:val="18"/>
              </w:rPr>
            </w:pPr>
            <w:r w:rsidRPr="006B42D6">
              <w:rPr>
                <w:sz w:val="18"/>
                <w:szCs w:val="18"/>
              </w:rPr>
              <w:t>1,534,090</w:t>
            </w:r>
          </w:p>
        </w:tc>
        <w:tc>
          <w:tcPr>
            <w:tcW w:w="705" w:type="pct"/>
            <w:tcBorders>
              <w:top w:val="nil"/>
              <w:left w:val="nil"/>
              <w:bottom w:val="nil"/>
              <w:right w:val="nil"/>
            </w:tcBorders>
            <w:shd w:val="clear" w:color="auto" w:fill="auto"/>
            <w:noWrap/>
            <w:vAlign w:val="center"/>
            <w:hideMark/>
          </w:tcPr>
          <w:p w14:paraId="6BEDD035" w14:textId="69D47F9B" w:rsidR="00715E4F" w:rsidRPr="006B42D6" w:rsidRDefault="00715E4F" w:rsidP="007200F6">
            <w:pPr>
              <w:jc w:val="center"/>
              <w:rPr>
                <w:sz w:val="18"/>
                <w:szCs w:val="18"/>
              </w:rPr>
            </w:pPr>
            <w:r w:rsidRPr="006B42D6">
              <w:rPr>
                <w:sz w:val="18"/>
                <w:szCs w:val="18"/>
              </w:rPr>
              <w:t>7.5</w:t>
            </w:r>
          </w:p>
        </w:tc>
      </w:tr>
      <w:tr w:rsidR="006B42D6" w:rsidRPr="006B42D6" w14:paraId="3EFB0065" w14:textId="77777777" w:rsidTr="00722A0C">
        <w:trPr>
          <w:trHeight w:hRule="exact" w:val="283"/>
        </w:trPr>
        <w:tc>
          <w:tcPr>
            <w:tcW w:w="672" w:type="pct"/>
            <w:tcBorders>
              <w:top w:val="nil"/>
              <w:left w:val="nil"/>
              <w:bottom w:val="nil"/>
              <w:right w:val="nil"/>
            </w:tcBorders>
            <w:shd w:val="clear" w:color="auto" w:fill="auto"/>
            <w:noWrap/>
            <w:vAlign w:val="center"/>
            <w:hideMark/>
          </w:tcPr>
          <w:p w14:paraId="0BC2CE88" w14:textId="77777777" w:rsidR="00715E4F" w:rsidRPr="006B42D6" w:rsidRDefault="00715E4F" w:rsidP="003A083C">
            <w:pPr>
              <w:jc w:val="left"/>
              <w:rPr>
                <w:sz w:val="18"/>
                <w:szCs w:val="18"/>
              </w:rPr>
            </w:pPr>
            <w:r w:rsidRPr="006B42D6">
              <w:rPr>
                <w:sz w:val="18"/>
                <w:szCs w:val="18"/>
              </w:rPr>
              <w:t>25 - 29</w:t>
            </w:r>
          </w:p>
        </w:tc>
        <w:tc>
          <w:tcPr>
            <w:tcW w:w="737" w:type="pct"/>
            <w:tcBorders>
              <w:top w:val="nil"/>
              <w:left w:val="nil"/>
              <w:bottom w:val="nil"/>
              <w:right w:val="nil"/>
            </w:tcBorders>
            <w:shd w:val="clear" w:color="auto" w:fill="auto"/>
            <w:noWrap/>
            <w:vAlign w:val="center"/>
            <w:hideMark/>
          </w:tcPr>
          <w:p w14:paraId="4B79FE4A" w14:textId="107DB36A" w:rsidR="00715E4F" w:rsidRPr="006B42D6" w:rsidRDefault="00715E4F" w:rsidP="007200F6">
            <w:pPr>
              <w:jc w:val="center"/>
              <w:rPr>
                <w:sz w:val="18"/>
                <w:szCs w:val="18"/>
              </w:rPr>
            </w:pPr>
            <w:r w:rsidRPr="006B42D6">
              <w:rPr>
                <w:sz w:val="18"/>
                <w:szCs w:val="18"/>
              </w:rPr>
              <w:t>2,319,622</w:t>
            </w:r>
          </w:p>
        </w:tc>
        <w:tc>
          <w:tcPr>
            <w:tcW w:w="705" w:type="pct"/>
            <w:tcBorders>
              <w:top w:val="nil"/>
              <w:left w:val="nil"/>
              <w:bottom w:val="nil"/>
              <w:right w:val="nil"/>
            </w:tcBorders>
            <w:shd w:val="clear" w:color="auto" w:fill="auto"/>
            <w:noWrap/>
            <w:vAlign w:val="center"/>
            <w:hideMark/>
          </w:tcPr>
          <w:p w14:paraId="221D3048" w14:textId="00CA52DE" w:rsidR="00715E4F" w:rsidRPr="006B42D6" w:rsidRDefault="00715E4F" w:rsidP="007200F6">
            <w:pPr>
              <w:jc w:val="center"/>
              <w:rPr>
                <w:sz w:val="18"/>
                <w:szCs w:val="18"/>
              </w:rPr>
            </w:pPr>
            <w:r w:rsidRPr="006B42D6">
              <w:rPr>
                <w:sz w:val="18"/>
                <w:szCs w:val="18"/>
              </w:rPr>
              <w:t>5.7</w:t>
            </w:r>
          </w:p>
        </w:tc>
        <w:tc>
          <w:tcPr>
            <w:tcW w:w="737" w:type="pct"/>
            <w:tcBorders>
              <w:top w:val="nil"/>
              <w:left w:val="nil"/>
              <w:bottom w:val="nil"/>
              <w:right w:val="nil"/>
            </w:tcBorders>
            <w:shd w:val="clear" w:color="auto" w:fill="auto"/>
            <w:noWrap/>
            <w:vAlign w:val="center"/>
            <w:hideMark/>
          </w:tcPr>
          <w:p w14:paraId="54D1F400" w14:textId="7957F307" w:rsidR="00715E4F" w:rsidRPr="006B42D6" w:rsidRDefault="00715E4F" w:rsidP="007200F6">
            <w:pPr>
              <w:jc w:val="center"/>
              <w:rPr>
                <w:sz w:val="18"/>
                <w:szCs w:val="18"/>
              </w:rPr>
            </w:pPr>
            <w:r w:rsidRPr="006B42D6">
              <w:rPr>
                <w:sz w:val="18"/>
                <w:szCs w:val="18"/>
              </w:rPr>
              <w:t>1,060,342</w:t>
            </w:r>
          </w:p>
        </w:tc>
        <w:tc>
          <w:tcPr>
            <w:tcW w:w="705" w:type="pct"/>
            <w:tcBorders>
              <w:top w:val="nil"/>
              <w:left w:val="nil"/>
              <w:bottom w:val="nil"/>
              <w:right w:val="nil"/>
            </w:tcBorders>
            <w:shd w:val="clear" w:color="auto" w:fill="auto"/>
            <w:noWrap/>
            <w:vAlign w:val="center"/>
            <w:hideMark/>
          </w:tcPr>
          <w:p w14:paraId="158A8689" w14:textId="050AE8F3" w:rsidR="00715E4F" w:rsidRPr="006B42D6" w:rsidRDefault="00715E4F" w:rsidP="007200F6">
            <w:pPr>
              <w:jc w:val="center"/>
              <w:rPr>
                <w:sz w:val="18"/>
                <w:szCs w:val="18"/>
              </w:rPr>
            </w:pPr>
            <w:r w:rsidRPr="006B42D6">
              <w:rPr>
                <w:sz w:val="18"/>
                <w:szCs w:val="18"/>
              </w:rPr>
              <w:t>5.2</w:t>
            </w:r>
          </w:p>
        </w:tc>
        <w:tc>
          <w:tcPr>
            <w:tcW w:w="737" w:type="pct"/>
            <w:tcBorders>
              <w:top w:val="nil"/>
              <w:left w:val="nil"/>
              <w:bottom w:val="nil"/>
              <w:right w:val="nil"/>
            </w:tcBorders>
            <w:shd w:val="clear" w:color="auto" w:fill="auto"/>
            <w:noWrap/>
            <w:vAlign w:val="center"/>
            <w:hideMark/>
          </w:tcPr>
          <w:p w14:paraId="7E57E3C6" w14:textId="61EDC5DC" w:rsidR="00715E4F" w:rsidRPr="006B42D6" w:rsidRDefault="00715E4F" w:rsidP="007200F6">
            <w:pPr>
              <w:jc w:val="center"/>
              <w:rPr>
                <w:sz w:val="18"/>
                <w:szCs w:val="18"/>
              </w:rPr>
            </w:pPr>
            <w:r w:rsidRPr="006B42D6">
              <w:rPr>
                <w:sz w:val="18"/>
                <w:szCs w:val="18"/>
              </w:rPr>
              <w:t>1,259,280</w:t>
            </w:r>
          </w:p>
        </w:tc>
        <w:tc>
          <w:tcPr>
            <w:tcW w:w="705" w:type="pct"/>
            <w:tcBorders>
              <w:top w:val="nil"/>
              <w:left w:val="nil"/>
              <w:bottom w:val="nil"/>
              <w:right w:val="nil"/>
            </w:tcBorders>
            <w:shd w:val="clear" w:color="auto" w:fill="auto"/>
            <w:noWrap/>
            <w:vAlign w:val="center"/>
            <w:hideMark/>
          </w:tcPr>
          <w:p w14:paraId="0CCA1101" w14:textId="34459E5D" w:rsidR="00715E4F" w:rsidRPr="006B42D6" w:rsidRDefault="00715E4F" w:rsidP="007200F6">
            <w:pPr>
              <w:jc w:val="center"/>
              <w:rPr>
                <w:sz w:val="18"/>
                <w:szCs w:val="18"/>
              </w:rPr>
            </w:pPr>
            <w:r w:rsidRPr="006B42D6">
              <w:rPr>
                <w:sz w:val="18"/>
                <w:szCs w:val="18"/>
              </w:rPr>
              <w:t>6.1</w:t>
            </w:r>
          </w:p>
        </w:tc>
      </w:tr>
      <w:tr w:rsidR="006B42D6" w:rsidRPr="006B42D6" w14:paraId="123C26E6" w14:textId="77777777" w:rsidTr="00722A0C">
        <w:trPr>
          <w:trHeight w:hRule="exact" w:val="283"/>
        </w:trPr>
        <w:tc>
          <w:tcPr>
            <w:tcW w:w="672" w:type="pct"/>
            <w:tcBorders>
              <w:top w:val="nil"/>
              <w:left w:val="nil"/>
              <w:bottom w:val="nil"/>
              <w:right w:val="nil"/>
            </w:tcBorders>
            <w:shd w:val="clear" w:color="auto" w:fill="auto"/>
            <w:noWrap/>
            <w:vAlign w:val="center"/>
            <w:hideMark/>
          </w:tcPr>
          <w:p w14:paraId="3E4B02E6" w14:textId="77777777" w:rsidR="00715E4F" w:rsidRPr="006B42D6" w:rsidRDefault="00715E4F" w:rsidP="003A083C">
            <w:pPr>
              <w:jc w:val="left"/>
              <w:rPr>
                <w:sz w:val="18"/>
                <w:szCs w:val="18"/>
              </w:rPr>
            </w:pPr>
            <w:r w:rsidRPr="006B42D6">
              <w:rPr>
                <w:sz w:val="18"/>
                <w:szCs w:val="18"/>
              </w:rPr>
              <w:t>30 - 34</w:t>
            </w:r>
          </w:p>
        </w:tc>
        <w:tc>
          <w:tcPr>
            <w:tcW w:w="737" w:type="pct"/>
            <w:tcBorders>
              <w:top w:val="nil"/>
              <w:left w:val="nil"/>
              <w:bottom w:val="nil"/>
              <w:right w:val="nil"/>
            </w:tcBorders>
            <w:shd w:val="clear" w:color="auto" w:fill="auto"/>
            <w:noWrap/>
            <w:vAlign w:val="center"/>
            <w:hideMark/>
          </w:tcPr>
          <w:p w14:paraId="5EBB1415" w14:textId="3BFFCD19" w:rsidR="00715E4F" w:rsidRPr="006B42D6" w:rsidRDefault="00715E4F" w:rsidP="007200F6">
            <w:pPr>
              <w:jc w:val="center"/>
              <w:rPr>
                <w:sz w:val="18"/>
                <w:szCs w:val="18"/>
              </w:rPr>
            </w:pPr>
            <w:r w:rsidRPr="006B42D6">
              <w:rPr>
                <w:sz w:val="18"/>
                <w:szCs w:val="18"/>
              </w:rPr>
              <w:t>2,104,253</w:t>
            </w:r>
          </w:p>
        </w:tc>
        <w:tc>
          <w:tcPr>
            <w:tcW w:w="705" w:type="pct"/>
            <w:tcBorders>
              <w:top w:val="nil"/>
              <w:left w:val="nil"/>
              <w:bottom w:val="nil"/>
              <w:right w:val="nil"/>
            </w:tcBorders>
            <w:shd w:val="clear" w:color="auto" w:fill="auto"/>
            <w:noWrap/>
            <w:vAlign w:val="center"/>
            <w:hideMark/>
          </w:tcPr>
          <w:p w14:paraId="49FE645C" w14:textId="4CC80122" w:rsidR="00715E4F" w:rsidRPr="006B42D6" w:rsidRDefault="00715E4F" w:rsidP="007200F6">
            <w:pPr>
              <w:jc w:val="center"/>
              <w:rPr>
                <w:sz w:val="18"/>
                <w:szCs w:val="18"/>
              </w:rPr>
            </w:pPr>
            <w:r w:rsidRPr="006B42D6">
              <w:rPr>
                <w:sz w:val="18"/>
                <w:szCs w:val="18"/>
              </w:rPr>
              <w:t>5.1</w:t>
            </w:r>
          </w:p>
        </w:tc>
        <w:tc>
          <w:tcPr>
            <w:tcW w:w="737" w:type="pct"/>
            <w:tcBorders>
              <w:top w:val="nil"/>
              <w:left w:val="nil"/>
              <w:bottom w:val="nil"/>
              <w:right w:val="nil"/>
            </w:tcBorders>
            <w:shd w:val="clear" w:color="auto" w:fill="auto"/>
            <w:noWrap/>
            <w:vAlign w:val="center"/>
            <w:hideMark/>
          </w:tcPr>
          <w:p w14:paraId="3F5D0B7E" w14:textId="4E24FBA0" w:rsidR="00715E4F" w:rsidRPr="006B42D6" w:rsidRDefault="00715E4F" w:rsidP="007200F6">
            <w:pPr>
              <w:jc w:val="center"/>
              <w:rPr>
                <w:sz w:val="18"/>
                <w:szCs w:val="18"/>
              </w:rPr>
            </w:pPr>
            <w:r w:rsidRPr="006B42D6">
              <w:rPr>
                <w:sz w:val="18"/>
                <w:szCs w:val="18"/>
              </w:rPr>
              <w:t>951,657</w:t>
            </w:r>
          </w:p>
        </w:tc>
        <w:tc>
          <w:tcPr>
            <w:tcW w:w="705" w:type="pct"/>
            <w:tcBorders>
              <w:top w:val="nil"/>
              <w:left w:val="nil"/>
              <w:bottom w:val="nil"/>
              <w:right w:val="nil"/>
            </w:tcBorders>
            <w:shd w:val="clear" w:color="auto" w:fill="auto"/>
            <w:noWrap/>
            <w:vAlign w:val="center"/>
            <w:hideMark/>
          </w:tcPr>
          <w:p w14:paraId="6F8EB417" w14:textId="5A87A30F" w:rsidR="00715E4F" w:rsidRPr="006B42D6" w:rsidRDefault="00715E4F" w:rsidP="007200F6">
            <w:pPr>
              <w:jc w:val="center"/>
              <w:rPr>
                <w:sz w:val="18"/>
                <w:szCs w:val="18"/>
              </w:rPr>
            </w:pPr>
            <w:r w:rsidRPr="006B42D6">
              <w:rPr>
                <w:sz w:val="18"/>
                <w:szCs w:val="18"/>
              </w:rPr>
              <w:t>4.7</w:t>
            </w:r>
          </w:p>
        </w:tc>
        <w:tc>
          <w:tcPr>
            <w:tcW w:w="737" w:type="pct"/>
            <w:tcBorders>
              <w:top w:val="nil"/>
              <w:left w:val="nil"/>
              <w:bottom w:val="nil"/>
              <w:right w:val="nil"/>
            </w:tcBorders>
            <w:shd w:val="clear" w:color="auto" w:fill="auto"/>
            <w:noWrap/>
            <w:vAlign w:val="center"/>
            <w:hideMark/>
          </w:tcPr>
          <w:p w14:paraId="509FD5F5" w14:textId="03F76359" w:rsidR="00715E4F" w:rsidRPr="006B42D6" w:rsidRDefault="00715E4F" w:rsidP="007200F6">
            <w:pPr>
              <w:jc w:val="center"/>
              <w:rPr>
                <w:sz w:val="18"/>
                <w:szCs w:val="18"/>
              </w:rPr>
            </w:pPr>
            <w:r w:rsidRPr="006B42D6">
              <w:rPr>
                <w:sz w:val="18"/>
                <w:szCs w:val="18"/>
              </w:rPr>
              <w:t>1,152,596</w:t>
            </w:r>
          </w:p>
        </w:tc>
        <w:tc>
          <w:tcPr>
            <w:tcW w:w="705" w:type="pct"/>
            <w:tcBorders>
              <w:top w:val="nil"/>
              <w:left w:val="nil"/>
              <w:bottom w:val="nil"/>
              <w:right w:val="nil"/>
            </w:tcBorders>
            <w:shd w:val="clear" w:color="auto" w:fill="auto"/>
            <w:noWrap/>
            <w:vAlign w:val="center"/>
            <w:hideMark/>
          </w:tcPr>
          <w:p w14:paraId="1EDFFEBC" w14:textId="716CFE4C" w:rsidR="00715E4F" w:rsidRPr="006B42D6" w:rsidRDefault="00715E4F" w:rsidP="007200F6">
            <w:pPr>
              <w:jc w:val="center"/>
              <w:rPr>
                <w:sz w:val="18"/>
                <w:szCs w:val="18"/>
              </w:rPr>
            </w:pPr>
            <w:r w:rsidRPr="006B42D6">
              <w:rPr>
                <w:sz w:val="18"/>
                <w:szCs w:val="18"/>
              </w:rPr>
              <w:t>5.6</w:t>
            </w:r>
          </w:p>
        </w:tc>
      </w:tr>
      <w:tr w:rsidR="006B42D6" w:rsidRPr="006B42D6" w14:paraId="2F050CFE" w14:textId="77777777" w:rsidTr="00722A0C">
        <w:trPr>
          <w:trHeight w:hRule="exact" w:val="283"/>
        </w:trPr>
        <w:tc>
          <w:tcPr>
            <w:tcW w:w="672" w:type="pct"/>
            <w:tcBorders>
              <w:top w:val="nil"/>
              <w:left w:val="nil"/>
              <w:bottom w:val="nil"/>
              <w:right w:val="nil"/>
            </w:tcBorders>
            <w:shd w:val="clear" w:color="auto" w:fill="auto"/>
            <w:noWrap/>
            <w:vAlign w:val="center"/>
            <w:hideMark/>
          </w:tcPr>
          <w:p w14:paraId="28AD0CAA" w14:textId="77777777" w:rsidR="00715E4F" w:rsidRPr="006B42D6" w:rsidRDefault="00715E4F" w:rsidP="003A083C">
            <w:pPr>
              <w:jc w:val="left"/>
              <w:rPr>
                <w:sz w:val="18"/>
                <w:szCs w:val="18"/>
              </w:rPr>
            </w:pPr>
            <w:r w:rsidRPr="006B42D6">
              <w:rPr>
                <w:sz w:val="18"/>
                <w:szCs w:val="18"/>
              </w:rPr>
              <w:t>35 - 39</w:t>
            </w:r>
          </w:p>
        </w:tc>
        <w:tc>
          <w:tcPr>
            <w:tcW w:w="737" w:type="pct"/>
            <w:tcBorders>
              <w:top w:val="nil"/>
              <w:left w:val="nil"/>
              <w:bottom w:val="nil"/>
              <w:right w:val="nil"/>
            </w:tcBorders>
            <w:shd w:val="clear" w:color="auto" w:fill="auto"/>
            <w:noWrap/>
            <w:vAlign w:val="center"/>
            <w:hideMark/>
          </w:tcPr>
          <w:p w14:paraId="11CB97B3" w14:textId="17667E3F" w:rsidR="00715E4F" w:rsidRPr="006B42D6" w:rsidRDefault="00715E4F" w:rsidP="007200F6">
            <w:pPr>
              <w:jc w:val="center"/>
              <w:rPr>
                <w:sz w:val="18"/>
                <w:szCs w:val="18"/>
              </w:rPr>
            </w:pPr>
            <w:r w:rsidRPr="006B42D6">
              <w:rPr>
                <w:sz w:val="18"/>
                <w:szCs w:val="18"/>
              </w:rPr>
              <w:t>1,974,045</w:t>
            </w:r>
          </w:p>
        </w:tc>
        <w:tc>
          <w:tcPr>
            <w:tcW w:w="705" w:type="pct"/>
            <w:tcBorders>
              <w:top w:val="nil"/>
              <w:left w:val="nil"/>
              <w:bottom w:val="nil"/>
              <w:right w:val="nil"/>
            </w:tcBorders>
            <w:shd w:val="clear" w:color="auto" w:fill="auto"/>
            <w:noWrap/>
            <w:vAlign w:val="center"/>
            <w:hideMark/>
          </w:tcPr>
          <w:p w14:paraId="4A875B82" w14:textId="4A24AAA0" w:rsidR="00715E4F" w:rsidRPr="006B42D6" w:rsidRDefault="00715E4F" w:rsidP="007200F6">
            <w:pPr>
              <w:jc w:val="center"/>
              <w:rPr>
                <w:sz w:val="18"/>
                <w:szCs w:val="18"/>
              </w:rPr>
            </w:pPr>
            <w:r w:rsidRPr="006B42D6">
              <w:rPr>
                <w:sz w:val="18"/>
                <w:szCs w:val="18"/>
              </w:rPr>
              <w:t>4.8</w:t>
            </w:r>
          </w:p>
        </w:tc>
        <w:tc>
          <w:tcPr>
            <w:tcW w:w="737" w:type="pct"/>
            <w:tcBorders>
              <w:top w:val="nil"/>
              <w:left w:val="nil"/>
              <w:bottom w:val="nil"/>
              <w:right w:val="nil"/>
            </w:tcBorders>
            <w:shd w:val="clear" w:color="auto" w:fill="auto"/>
            <w:noWrap/>
            <w:vAlign w:val="center"/>
            <w:hideMark/>
          </w:tcPr>
          <w:p w14:paraId="45CE6DE2" w14:textId="0F469E5A" w:rsidR="00715E4F" w:rsidRPr="006B42D6" w:rsidRDefault="00715E4F" w:rsidP="007200F6">
            <w:pPr>
              <w:jc w:val="center"/>
              <w:rPr>
                <w:sz w:val="18"/>
                <w:szCs w:val="18"/>
              </w:rPr>
            </w:pPr>
            <w:r w:rsidRPr="006B42D6">
              <w:rPr>
                <w:sz w:val="18"/>
                <w:szCs w:val="18"/>
              </w:rPr>
              <w:t>902,659</w:t>
            </w:r>
          </w:p>
        </w:tc>
        <w:tc>
          <w:tcPr>
            <w:tcW w:w="705" w:type="pct"/>
            <w:tcBorders>
              <w:top w:val="nil"/>
              <w:left w:val="nil"/>
              <w:bottom w:val="nil"/>
              <w:right w:val="nil"/>
            </w:tcBorders>
            <w:shd w:val="clear" w:color="auto" w:fill="auto"/>
            <w:noWrap/>
            <w:vAlign w:val="center"/>
            <w:hideMark/>
          </w:tcPr>
          <w:p w14:paraId="1B5A40E9" w14:textId="59DA6723" w:rsidR="00715E4F" w:rsidRPr="006B42D6" w:rsidRDefault="00715E4F" w:rsidP="007200F6">
            <w:pPr>
              <w:jc w:val="center"/>
              <w:rPr>
                <w:sz w:val="18"/>
                <w:szCs w:val="18"/>
              </w:rPr>
            </w:pPr>
            <w:r w:rsidRPr="006B42D6">
              <w:rPr>
                <w:sz w:val="18"/>
                <w:szCs w:val="18"/>
              </w:rPr>
              <w:t>4.4</w:t>
            </w:r>
          </w:p>
        </w:tc>
        <w:tc>
          <w:tcPr>
            <w:tcW w:w="737" w:type="pct"/>
            <w:tcBorders>
              <w:top w:val="nil"/>
              <w:left w:val="nil"/>
              <w:bottom w:val="nil"/>
              <w:right w:val="nil"/>
            </w:tcBorders>
            <w:shd w:val="clear" w:color="auto" w:fill="auto"/>
            <w:noWrap/>
            <w:vAlign w:val="center"/>
            <w:hideMark/>
          </w:tcPr>
          <w:p w14:paraId="7078DAE5" w14:textId="4700CB45" w:rsidR="00715E4F" w:rsidRPr="006B42D6" w:rsidRDefault="00715E4F" w:rsidP="007200F6">
            <w:pPr>
              <w:jc w:val="center"/>
              <w:rPr>
                <w:sz w:val="18"/>
                <w:szCs w:val="18"/>
              </w:rPr>
            </w:pPr>
            <w:r w:rsidRPr="006B42D6">
              <w:rPr>
                <w:sz w:val="18"/>
                <w:szCs w:val="18"/>
              </w:rPr>
              <w:t>1,071,386</w:t>
            </w:r>
          </w:p>
        </w:tc>
        <w:tc>
          <w:tcPr>
            <w:tcW w:w="705" w:type="pct"/>
            <w:tcBorders>
              <w:top w:val="nil"/>
              <w:left w:val="nil"/>
              <w:bottom w:val="nil"/>
              <w:right w:val="nil"/>
            </w:tcBorders>
            <w:shd w:val="clear" w:color="auto" w:fill="auto"/>
            <w:noWrap/>
            <w:vAlign w:val="center"/>
            <w:hideMark/>
          </w:tcPr>
          <w:p w14:paraId="6772827E" w14:textId="2FC1575E" w:rsidR="00715E4F" w:rsidRPr="006B42D6" w:rsidRDefault="00715E4F" w:rsidP="007200F6">
            <w:pPr>
              <w:jc w:val="center"/>
              <w:rPr>
                <w:sz w:val="18"/>
                <w:szCs w:val="18"/>
              </w:rPr>
            </w:pPr>
            <w:r w:rsidRPr="006B42D6">
              <w:rPr>
                <w:sz w:val="18"/>
                <w:szCs w:val="18"/>
              </w:rPr>
              <w:t>5.2</w:t>
            </w:r>
          </w:p>
        </w:tc>
      </w:tr>
      <w:tr w:rsidR="006B42D6" w:rsidRPr="006B42D6" w14:paraId="0F991EFD" w14:textId="77777777" w:rsidTr="00722A0C">
        <w:trPr>
          <w:trHeight w:hRule="exact" w:val="283"/>
        </w:trPr>
        <w:tc>
          <w:tcPr>
            <w:tcW w:w="672" w:type="pct"/>
            <w:tcBorders>
              <w:top w:val="nil"/>
              <w:left w:val="nil"/>
              <w:bottom w:val="nil"/>
              <w:right w:val="nil"/>
            </w:tcBorders>
            <w:shd w:val="clear" w:color="auto" w:fill="auto"/>
            <w:noWrap/>
            <w:vAlign w:val="center"/>
            <w:hideMark/>
          </w:tcPr>
          <w:p w14:paraId="6FD0315B" w14:textId="77777777" w:rsidR="00715E4F" w:rsidRPr="006B42D6" w:rsidRDefault="00715E4F" w:rsidP="003A083C">
            <w:pPr>
              <w:jc w:val="left"/>
              <w:rPr>
                <w:sz w:val="18"/>
                <w:szCs w:val="18"/>
              </w:rPr>
            </w:pPr>
            <w:r w:rsidRPr="006B42D6">
              <w:rPr>
                <w:sz w:val="18"/>
                <w:szCs w:val="18"/>
              </w:rPr>
              <w:t>40 - 44</w:t>
            </w:r>
          </w:p>
        </w:tc>
        <w:tc>
          <w:tcPr>
            <w:tcW w:w="737" w:type="pct"/>
            <w:tcBorders>
              <w:top w:val="nil"/>
              <w:left w:val="nil"/>
              <w:bottom w:val="nil"/>
              <w:right w:val="nil"/>
            </w:tcBorders>
            <w:shd w:val="clear" w:color="auto" w:fill="auto"/>
            <w:noWrap/>
            <w:vAlign w:val="center"/>
            <w:hideMark/>
          </w:tcPr>
          <w:p w14:paraId="21025C08" w14:textId="14EBC6B6" w:rsidR="00715E4F" w:rsidRPr="006B42D6" w:rsidRDefault="00715E4F" w:rsidP="007200F6">
            <w:pPr>
              <w:jc w:val="center"/>
              <w:rPr>
                <w:sz w:val="18"/>
                <w:szCs w:val="18"/>
              </w:rPr>
            </w:pPr>
            <w:r w:rsidRPr="006B42D6">
              <w:rPr>
                <w:sz w:val="18"/>
                <w:szCs w:val="18"/>
              </w:rPr>
              <w:t>1,832,281</w:t>
            </w:r>
          </w:p>
        </w:tc>
        <w:tc>
          <w:tcPr>
            <w:tcW w:w="705" w:type="pct"/>
            <w:tcBorders>
              <w:top w:val="nil"/>
              <w:left w:val="nil"/>
              <w:bottom w:val="nil"/>
              <w:right w:val="nil"/>
            </w:tcBorders>
            <w:shd w:val="clear" w:color="auto" w:fill="auto"/>
            <w:noWrap/>
            <w:vAlign w:val="center"/>
            <w:hideMark/>
          </w:tcPr>
          <w:p w14:paraId="72916F00" w14:textId="20C5FA10" w:rsidR="00715E4F" w:rsidRPr="006B42D6" w:rsidRDefault="00715E4F" w:rsidP="007200F6">
            <w:pPr>
              <w:jc w:val="center"/>
              <w:rPr>
                <w:sz w:val="18"/>
                <w:szCs w:val="18"/>
              </w:rPr>
            </w:pPr>
            <w:r w:rsidRPr="006B42D6">
              <w:rPr>
                <w:sz w:val="18"/>
                <w:szCs w:val="18"/>
              </w:rPr>
              <w:t>4.5</w:t>
            </w:r>
          </w:p>
        </w:tc>
        <w:tc>
          <w:tcPr>
            <w:tcW w:w="737" w:type="pct"/>
            <w:tcBorders>
              <w:top w:val="nil"/>
              <w:left w:val="nil"/>
              <w:bottom w:val="nil"/>
              <w:right w:val="nil"/>
            </w:tcBorders>
            <w:shd w:val="clear" w:color="auto" w:fill="auto"/>
            <w:noWrap/>
            <w:vAlign w:val="center"/>
            <w:hideMark/>
          </w:tcPr>
          <w:p w14:paraId="505C59DF" w14:textId="1D0A50FB" w:rsidR="00715E4F" w:rsidRPr="006B42D6" w:rsidRDefault="00715E4F" w:rsidP="007200F6">
            <w:pPr>
              <w:jc w:val="center"/>
              <w:rPr>
                <w:sz w:val="18"/>
                <w:szCs w:val="18"/>
              </w:rPr>
            </w:pPr>
            <w:r w:rsidRPr="006B42D6">
              <w:rPr>
                <w:sz w:val="18"/>
                <w:szCs w:val="18"/>
              </w:rPr>
              <w:t>889,014</w:t>
            </w:r>
          </w:p>
        </w:tc>
        <w:tc>
          <w:tcPr>
            <w:tcW w:w="705" w:type="pct"/>
            <w:tcBorders>
              <w:top w:val="nil"/>
              <w:left w:val="nil"/>
              <w:bottom w:val="nil"/>
              <w:right w:val="nil"/>
            </w:tcBorders>
            <w:shd w:val="clear" w:color="auto" w:fill="auto"/>
            <w:noWrap/>
            <w:vAlign w:val="center"/>
            <w:hideMark/>
          </w:tcPr>
          <w:p w14:paraId="01F0980E" w14:textId="123BD99E" w:rsidR="00715E4F" w:rsidRPr="006B42D6" w:rsidRDefault="00715E4F" w:rsidP="007200F6">
            <w:pPr>
              <w:jc w:val="center"/>
              <w:rPr>
                <w:sz w:val="18"/>
                <w:szCs w:val="18"/>
              </w:rPr>
            </w:pPr>
            <w:r w:rsidRPr="006B42D6">
              <w:rPr>
                <w:sz w:val="18"/>
                <w:szCs w:val="18"/>
              </w:rPr>
              <w:t>4.4</w:t>
            </w:r>
          </w:p>
        </w:tc>
        <w:tc>
          <w:tcPr>
            <w:tcW w:w="737" w:type="pct"/>
            <w:tcBorders>
              <w:top w:val="nil"/>
              <w:left w:val="nil"/>
              <w:bottom w:val="nil"/>
              <w:right w:val="nil"/>
            </w:tcBorders>
            <w:shd w:val="clear" w:color="auto" w:fill="auto"/>
            <w:noWrap/>
            <w:vAlign w:val="center"/>
            <w:hideMark/>
          </w:tcPr>
          <w:p w14:paraId="060614FA" w14:textId="443C6B08" w:rsidR="00715E4F" w:rsidRPr="006B42D6" w:rsidRDefault="00715E4F" w:rsidP="007200F6">
            <w:pPr>
              <w:jc w:val="center"/>
              <w:rPr>
                <w:sz w:val="18"/>
                <w:szCs w:val="18"/>
              </w:rPr>
            </w:pPr>
            <w:r w:rsidRPr="006B42D6">
              <w:rPr>
                <w:sz w:val="18"/>
                <w:szCs w:val="18"/>
              </w:rPr>
              <w:t>943,267</w:t>
            </w:r>
          </w:p>
        </w:tc>
        <w:tc>
          <w:tcPr>
            <w:tcW w:w="705" w:type="pct"/>
            <w:tcBorders>
              <w:top w:val="nil"/>
              <w:left w:val="nil"/>
              <w:bottom w:val="nil"/>
              <w:right w:val="nil"/>
            </w:tcBorders>
            <w:shd w:val="clear" w:color="auto" w:fill="auto"/>
            <w:noWrap/>
            <w:vAlign w:val="center"/>
            <w:hideMark/>
          </w:tcPr>
          <w:p w14:paraId="325F5DAA" w14:textId="07445E08" w:rsidR="00715E4F" w:rsidRPr="006B42D6" w:rsidRDefault="00715E4F" w:rsidP="007200F6">
            <w:pPr>
              <w:jc w:val="center"/>
              <w:rPr>
                <w:sz w:val="18"/>
                <w:szCs w:val="18"/>
              </w:rPr>
            </w:pPr>
            <w:r w:rsidRPr="006B42D6">
              <w:rPr>
                <w:sz w:val="18"/>
                <w:szCs w:val="18"/>
              </w:rPr>
              <w:t>4.6</w:t>
            </w:r>
          </w:p>
        </w:tc>
      </w:tr>
      <w:tr w:rsidR="006B42D6" w:rsidRPr="006B42D6" w14:paraId="65A610C0" w14:textId="77777777" w:rsidTr="00722A0C">
        <w:trPr>
          <w:trHeight w:hRule="exact" w:val="283"/>
        </w:trPr>
        <w:tc>
          <w:tcPr>
            <w:tcW w:w="672" w:type="pct"/>
            <w:tcBorders>
              <w:top w:val="nil"/>
              <w:left w:val="nil"/>
              <w:bottom w:val="nil"/>
              <w:right w:val="nil"/>
            </w:tcBorders>
            <w:shd w:val="clear" w:color="auto" w:fill="auto"/>
            <w:noWrap/>
            <w:vAlign w:val="center"/>
            <w:hideMark/>
          </w:tcPr>
          <w:p w14:paraId="00468B25" w14:textId="77777777" w:rsidR="00715E4F" w:rsidRPr="006B42D6" w:rsidRDefault="00715E4F" w:rsidP="003A083C">
            <w:pPr>
              <w:jc w:val="left"/>
              <w:rPr>
                <w:sz w:val="18"/>
                <w:szCs w:val="18"/>
              </w:rPr>
            </w:pPr>
            <w:r w:rsidRPr="006B42D6">
              <w:rPr>
                <w:sz w:val="18"/>
                <w:szCs w:val="18"/>
              </w:rPr>
              <w:t>45 - 49</w:t>
            </w:r>
          </w:p>
        </w:tc>
        <w:tc>
          <w:tcPr>
            <w:tcW w:w="737" w:type="pct"/>
            <w:tcBorders>
              <w:top w:val="nil"/>
              <w:left w:val="nil"/>
              <w:bottom w:val="nil"/>
              <w:right w:val="nil"/>
            </w:tcBorders>
            <w:shd w:val="clear" w:color="auto" w:fill="auto"/>
            <w:noWrap/>
            <w:vAlign w:val="center"/>
            <w:hideMark/>
          </w:tcPr>
          <w:p w14:paraId="2D54C141" w14:textId="4D04386E" w:rsidR="00715E4F" w:rsidRPr="006B42D6" w:rsidRDefault="00715E4F" w:rsidP="007200F6">
            <w:pPr>
              <w:jc w:val="center"/>
              <w:rPr>
                <w:sz w:val="18"/>
                <w:szCs w:val="18"/>
              </w:rPr>
            </w:pPr>
            <w:r w:rsidRPr="006B42D6">
              <w:rPr>
                <w:sz w:val="18"/>
                <w:szCs w:val="18"/>
              </w:rPr>
              <w:t>1,716,975</w:t>
            </w:r>
          </w:p>
        </w:tc>
        <w:tc>
          <w:tcPr>
            <w:tcW w:w="705" w:type="pct"/>
            <w:tcBorders>
              <w:top w:val="nil"/>
              <w:left w:val="nil"/>
              <w:bottom w:val="nil"/>
              <w:right w:val="nil"/>
            </w:tcBorders>
            <w:shd w:val="clear" w:color="auto" w:fill="auto"/>
            <w:noWrap/>
            <w:vAlign w:val="center"/>
            <w:hideMark/>
          </w:tcPr>
          <w:p w14:paraId="27869C4B" w14:textId="303E3EEF" w:rsidR="00715E4F" w:rsidRPr="006B42D6" w:rsidRDefault="00715E4F" w:rsidP="007200F6">
            <w:pPr>
              <w:jc w:val="center"/>
              <w:rPr>
                <w:sz w:val="18"/>
                <w:szCs w:val="18"/>
              </w:rPr>
            </w:pPr>
            <w:r w:rsidRPr="006B42D6">
              <w:rPr>
                <w:sz w:val="18"/>
                <w:szCs w:val="18"/>
              </w:rPr>
              <w:t>4.2</w:t>
            </w:r>
          </w:p>
        </w:tc>
        <w:tc>
          <w:tcPr>
            <w:tcW w:w="737" w:type="pct"/>
            <w:tcBorders>
              <w:top w:val="nil"/>
              <w:left w:val="nil"/>
              <w:bottom w:val="nil"/>
              <w:right w:val="nil"/>
            </w:tcBorders>
            <w:shd w:val="clear" w:color="auto" w:fill="auto"/>
            <w:noWrap/>
            <w:vAlign w:val="center"/>
            <w:hideMark/>
          </w:tcPr>
          <w:p w14:paraId="72269FE7" w14:textId="4B308161" w:rsidR="00715E4F" w:rsidRPr="006B42D6" w:rsidRDefault="00715E4F" w:rsidP="007200F6">
            <w:pPr>
              <w:jc w:val="center"/>
              <w:rPr>
                <w:sz w:val="18"/>
                <w:szCs w:val="18"/>
              </w:rPr>
            </w:pPr>
            <w:r w:rsidRPr="006B42D6">
              <w:rPr>
                <w:sz w:val="18"/>
                <w:szCs w:val="18"/>
              </w:rPr>
              <w:t>856,758</w:t>
            </w:r>
          </w:p>
        </w:tc>
        <w:tc>
          <w:tcPr>
            <w:tcW w:w="705" w:type="pct"/>
            <w:tcBorders>
              <w:top w:val="nil"/>
              <w:left w:val="nil"/>
              <w:bottom w:val="nil"/>
              <w:right w:val="nil"/>
            </w:tcBorders>
            <w:shd w:val="clear" w:color="auto" w:fill="auto"/>
            <w:noWrap/>
            <w:vAlign w:val="center"/>
            <w:hideMark/>
          </w:tcPr>
          <w:p w14:paraId="4ED16162" w14:textId="1B9F9599" w:rsidR="00715E4F" w:rsidRPr="006B42D6" w:rsidRDefault="00715E4F" w:rsidP="007200F6">
            <w:pPr>
              <w:jc w:val="center"/>
              <w:rPr>
                <w:sz w:val="18"/>
                <w:szCs w:val="18"/>
              </w:rPr>
            </w:pPr>
            <w:r w:rsidRPr="006B42D6">
              <w:rPr>
                <w:sz w:val="18"/>
                <w:szCs w:val="18"/>
              </w:rPr>
              <w:t>4.2</w:t>
            </w:r>
          </w:p>
        </w:tc>
        <w:tc>
          <w:tcPr>
            <w:tcW w:w="737" w:type="pct"/>
            <w:tcBorders>
              <w:top w:val="nil"/>
              <w:left w:val="nil"/>
              <w:bottom w:val="nil"/>
              <w:right w:val="nil"/>
            </w:tcBorders>
            <w:shd w:val="clear" w:color="auto" w:fill="auto"/>
            <w:noWrap/>
            <w:vAlign w:val="center"/>
            <w:hideMark/>
          </w:tcPr>
          <w:p w14:paraId="5191C398" w14:textId="6C5ED4B0" w:rsidR="00715E4F" w:rsidRPr="006B42D6" w:rsidRDefault="00715E4F" w:rsidP="007200F6">
            <w:pPr>
              <w:jc w:val="center"/>
              <w:rPr>
                <w:sz w:val="18"/>
                <w:szCs w:val="18"/>
              </w:rPr>
            </w:pPr>
            <w:r w:rsidRPr="006B42D6">
              <w:rPr>
                <w:sz w:val="18"/>
                <w:szCs w:val="18"/>
              </w:rPr>
              <w:t>860,217</w:t>
            </w:r>
          </w:p>
        </w:tc>
        <w:tc>
          <w:tcPr>
            <w:tcW w:w="705" w:type="pct"/>
            <w:tcBorders>
              <w:top w:val="nil"/>
              <w:left w:val="nil"/>
              <w:bottom w:val="nil"/>
              <w:right w:val="nil"/>
            </w:tcBorders>
            <w:shd w:val="clear" w:color="auto" w:fill="auto"/>
            <w:noWrap/>
            <w:vAlign w:val="center"/>
            <w:hideMark/>
          </w:tcPr>
          <w:p w14:paraId="600973A3" w14:textId="153C8EF7" w:rsidR="00715E4F" w:rsidRPr="006B42D6" w:rsidRDefault="00715E4F" w:rsidP="007200F6">
            <w:pPr>
              <w:jc w:val="center"/>
              <w:rPr>
                <w:sz w:val="18"/>
                <w:szCs w:val="18"/>
              </w:rPr>
            </w:pPr>
            <w:r w:rsidRPr="006B42D6">
              <w:rPr>
                <w:sz w:val="18"/>
                <w:szCs w:val="18"/>
              </w:rPr>
              <w:t>4.2</w:t>
            </w:r>
          </w:p>
        </w:tc>
      </w:tr>
      <w:tr w:rsidR="006B42D6" w:rsidRPr="006B42D6" w14:paraId="5C0E5417" w14:textId="77777777" w:rsidTr="00722A0C">
        <w:trPr>
          <w:trHeight w:hRule="exact" w:val="283"/>
        </w:trPr>
        <w:tc>
          <w:tcPr>
            <w:tcW w:w="672" w:type="pct"/>
            <w:tcBorders>
              <w:top w:val="nil"/>
              <w:left w:val="nil"/>
              <w:bottom w:val="nil"/>
              <w:right w:val="nil"/>
            </w:tcBorders>
            <w:shd w:val="clear" w:color="auto" w:fill="auto"/>
            <w:noWrap/>
            <w:vAlign w:val="center"/>
            <w:hideMark/>
          </w:tcPr>
          <w:p w14:paraId="2EDD7C1A" w14:textId="77777777" w:rsidR="00715E4F" w:rsidRPr="006B42D6" w:rsidRDefault="00715E4F" w:rsidP="003A083C">
            <w:pPr>
              <w:jc w:val="left"/>
              <w:rPr>
                <w:sz w:val="18"/>
                <w:szCs w:val="18"/>
              </w:rPr>
            </w:pPr>
            <w:r w:rsidRPr="006B42D6">
              <w:rPr>
                <w:sz w:val="18"/>
                <w:szCs w:val="18"/>
              </w:rPr>
              <w:t>50 - 54</w:t>
            </w:r>
          </w:p>
        </w:tc>
        <w:tc>
          <w:tcPr>
            <w:tcW w:w="737" w:type="pct"/>
            <w:tcBorders>
              <w:top w:val="nil"/>
              <w:left w:val="nil"/>
              <w:bottom w:val="nil"/>
              <w:right w:val="nil"/>
            </w:tcBorders>
            <w:shd w:val="clear" w:color="auto" w:fill="auto"/>
            <w:noWrap/>
            <w:vAlign w:val="center"/>
            <w:hideMark/>
          </w:tcPr>
          <w:p w14:paraId="01EECFEF" w14:textId="342DB3B5" w:rsidR="00715E4F" w:rsidRPr="006B42D6" w:rsidRDefault="00715E4F" w:rsidP="007200F6">
            <w:pPr>
              <w:jc w:val="center"/>
              <w:rPr>
                <w:sz w:val="18"/>
                <w:szCs w:val="18"/>
              </w:rPr>
            </w:pPr>
            <w:r w:rsidRPr="006B42D6">
              <w:rPr>
                <w:sz w:val="18"/>
                <w:szCs w:val="18"/>
              </w:rPr>
              <w:t>1,343,943</w:t>
            </w:r>
          </w:p>
        </w:tc>
        <w:tc>
          <w:tcPr>
            <w:tcW w:w="705" w:type="pct"/>
            <w:tcBorders>
              <w:top w:val="nil"/>
              <w:left w:val="nil"/>
              <w:bottom w:val="nil"/>
              <w:right w:val="nil"/>
            </w:tcBorders>
            <w:shd w:val="clear" w:color="auto" w:fill="auto"/>
            <w:noWrap/>
            <w:vAlign w:val="center"/>
            <w:hideMark/>
          </w:tcPr>
          <w:p w14:paraId="41ABB92C" w14:textId="273D94B3" w:rsidR="00715E4F" w:rsidRPr="006B42D6" w:rsidRDefault="00715E4F" w:rsidP="007200F6">
            <w:pPr>
              <w:jc w:val="center"/>
              <w:rPr>
                <w:sz w:val="18"/>
                <w:szCs w:val="18"/>
              </w:rPr>
            </w:pPr>
            <w:r w:rsidRPr="006B42D6">
              <w:rPr>
                <w:sz w:val="18"/>
                <w:szCs w:val="18"/>
              </w:rPr>
              <w:t>3.3</w:t>
            </w:r>
          </w:p>
        </w:tc>
        <w:tc>
          <w:tcPr>
            <w:tcW w:w="737" w:type="pct"/>
            <w:tcBorders>
              <w:top w:val="nil"/>
              <w:left w:val="nil"/>
              <w:bottom w:val="nil"/>
              <w:right w:val="nil"/>
            </w:tcBorders>
            <w:shd w:val="clear" w:color="auto" w:fill="auto"/>
            <w:noWrap/>
            <w:vAlign w:val="center"/>
            <w:hideMark/>
          </w:tcPr>
          <w:p w14:paraId="73EBB369" w14:textId="0878A2FA" w:rsidR="00715E4F" w:rsidRPr="006B42D6" w:rsidRDefault="00715E4F" w:rsidP="007200F6">
            <w:pPr>
              <w:jc w:val="center"/>
              <w:rPr>
                <w:sz w:val="18"/>
                <w:szCs w:val="18"/>
              </w:rPr>
            </w:pPr>
            <w:r w:rsidRPr="006B42D6">
              <w:rPr>
                <w:sz w:val="18"/>
                <w:szCs w:val="18"/>
              </w:rPr>
              <w:t>675,654</w:t>
            </w:r>
          </w:p>
        </w:tc>
        <w:tc>
          <w:tcPr>
            <w:tcW w:w="705" w:type="pct"/>
            <w:tcBorders>
              <w:top w:val="nil"/>
              <w:left w:val="nil"/>
              <w:bottom w:val="nil"/>
              <w:right w:val="nil"/>
            </w:tcBorders>
            <w:shd w:val="clear" w:color="auto" w:fill="auto"/>
            <w:noWrap/>
            <w:vAlign w:val="center"/>
            <w:hideMark/>
          </w:tcPr>
          <w:p w14:paraId="344EBF9A" w14:textId="04FDFC58" w:rsidR="00715E4F" w:rsidRPr="006B42D6" w:rsidRDefault="00715E4F" w:rsidP="007200F6">
            <w:pPr>
              <w:jc w:val="center"/>
              <w:rPr>
                <w:sz w:val="18"/>
                <w:szCs w:val="18"/>
              </w:rPr>
            </w:pPr>
            <w:r w:rsidRPr="006B42D6">
              <w:rPr>
                <w:sz w:val="18"/>
                <w:szCs w:val="18"/>
              </w:rPr>
              <w:t>3.3</w:t>
            </w:r>
          </w:p>
        </w:tc>
        <w:tc>
          <w:tcPr>
            <w:tcW w:w="737" w:type="pct"/>
            <w:tcBorders>
              <w:top w:val="nil"/>
              <w:left w:val="nil"/>
              <w:bottom w:val="nil"/>
              <w:right w:val="nil"/>
            </w:tcBorders>
            <w:shd w:val="clear" w:color="auto" w:fill="auto"/>
            <w:noWrap/>
            <w:vAlign w:val="center"/>
            <w:hideMark/>
          </w:tcPr>
          <w:p w14:paraId="4C19458B" w14:textId="3E1165A0" w:rsidR="00715E4F" w:rsidRPr="006B42D6" w:rsidRDefault="00715E4F" w:rsidP="007200F6">
            <w:pPr>
              <w:jc w:val="center"/>
              <w:rPr>
                <w:sz w:val="18"/>
                <w:szCs w:val="18"/>
              </w:rPr>
            </w:pPr>
            <w:r w:rsidRPr="006B42D6">
              <w:rPr>
                <w:sz w:val="18"/>
                <w:szCs w:val="18"/>
              </w:rPr>
              <w:t>668,289</w:t>
            </w:r>
          </w:p>
        </w:tc>
        <w:tc>
          <w:tcPr>
            <w:tcW w:w="705" w:type="pct"/>
            <w:tcBorders>
              <w:top w:val="nil"/>
              <w:left w:val="nil"/>
              <w:bottom w:val="nil"/>
              <w:right w:val="nil"/>
            </w:tcBorders>
            <w:shd w:val="clear" w:color="auto" w:fill="auto"/>
            <w:noWrap/>
            <w:vAlign w:val="center"/>
            <w:hideMark/>
          </w:tcPr>
          <w:p w14:paraId="008DD418" w14:textId="5BDD47C9" w:rsidR="00715E4F" w:rsidRPr="006B42D6" w:rsidRDefault="00715E4F" w:rsidP="007200F6">
            <w:pPr>
              <w:jc w:val="center"/>
              <w:rPr>
                <w:sz w:val="18"/>
                <w:szCs w:val="18"/>
              </w:rPr>
            </w:pPr>
            <w:r w:rsidRPr="006B42D6">
              <w:rPr>
                <w:sz w:val="18"/>
                <w:szCs w:val="18"/>
              </w:rPr>
              <w:t>3.2</w:t>
            </w:r>
          </w:p>
        </w:tc>
      </w:tr>
      <w:tr w:rsidR="006B42D6" w:rsidRPr="006B42D6" w14:paraId="5862A8BB" w14:textId="77777777" w:rsidTr="00722A0C">
        <w:trPr>
          <w:trHeight w:hRule="exact" w:val="283"/>
        </w:trPr>
        <w:tc>
          <w:tcPr>
            <w:tcW w:w="672" w:type="pct"/>
            <w:tcBorders>
              <w:top w:val="nil"/>
              <w:left w:val="nil"/>
              <w:bottom w:val="nil"/>
              <w:right w:val="nil"/>
            </w:tcBorders>
            <w:shd w:val="clear" w:color="auto" w:fill="auto"/>
            <w:noWrap/>
            <w:vAlign w:val="center"/>
            <w:hideMark/>
          </w:tcPr>
          <w:p w14:paraId="2CBCD91D" w14:textId="77777777" w:rsidR="00715E4F" w:rsidRPr="006B42D6" w:rsidRDefault="00715E4F" w:rsidP="003A083C">
            <w:pPr>
              <w:jc w:val="left"/>
              <w:rPr>
                <w:sz w:val="18"/>
                <w:szCs w:val="18"/>
              </w:rPr>
            </w:pPr>
            <w:r w:rsidRPr="006B42D6">
              <w:rPr>
                <w:sz w:val="18"/>
                <w:szCs w:val="18"/>
              </w:rPr>
              <w:t>55 - 59</w:t>
            </w:r>
          </w:p>
        </w:tc>
        <w:tc>
          <w:tcPr>
            <w:tcW w:w="737" w:type="pct"/>
            <w:tcBorders>
              <w:top w:val="nil"/>
              <w:left w:val="nil"/>
              <w:bottom w:val="nil"/>
              <w:right w:val="nil"/>
            </w:tcBorders>
            <w:shd w:val="clear" w:color="auto" w:fill="auto"/>
            <w:noWrap/>
            <w:vAlign w:val="center"/>
            <w:hideMark/>
          </w:tcPr>
          <w:p w14:paraId="63E1FBE9" w14:textId="5109A8DF" w:rsidR="00715E4F" w:rsidRPr="006B42D6" w:rsidRDefault="00715E4F" w:rsidP="007200F6">
            <w:pPr>
              <w:jc w:val="center"/>
              <w:rPr>
                <w:sz w:val="18"/>
                <w:szCs w:val="18"/>
              </w:rPr>
            </w:pPr>
            <w:r w:rsidRPr="006B42D6">
              <w:rPr>
                <w:sz w:val="18"/>
                <w:szCs w:val="18"/>
              </w:rPr>
              <w:t>1,027,890</w:t>
            </w:r>
          </w:p>
        </w:tc>
        <w:tc>
          <w:tcPr>
            <w:tcW w:w="705" w:type="pct"/>
            <w:tcBorders>
              <w:top w:val="nil"/>
              <w:left w:val="nil"/>
              <w:bottom w:val="nil"/>
              <w:right w:val="nil"/>
            </w:tcBorders>
            <w:shd w:val="clear" w:color="auto" w:fill="auto"/>
            <w:noWrap/>
            <w:vAlign w:val="center"/>
            <w:hideMark/>
          </w:tcPr>
          <w:p w14:paraId="6F89F355" w14:textId="71E7E1EB" w:rsidR="00715E4F" w:rsidRPr="006B42D6" w:rsidRDefault="00715E4F" w:rsidP="007200F6">
            <w:pPr>
              <w:jc w:val="center"/>
              <w:rPr>
                <w:sz w:val="18"/>
                <w:szCs w:val="18"/>
              </w:rPr>
            </w:pPr>
            <w:r w:rsidRPr="006B42D6">
              <w:rPr>
                <w:sz w:val="18"/>
                <w:szCs w:val="18"/>
              </w:rPr>
              <w:t>2.5</w:t>
            </w:r>
          </w:p>
        </w:tc>
        <w:tc>
          <w:tcPr>
            <w:tcW w:w="737" w:type="pct"/>
            <w:tcBorders>
              <w:top w:val="nil"/>
              <w:left w:val="nil"/>
              <w:bottom w:val="nil"/>
              <w:right w:val="nil"/>
            </w:tcBorders>
            <w:shd w:val="clear" w:color="auto" w:fill="auto"/>
            <w:noWrap/>
            <w:vAlign w:val="center"/>
            <w:hideMark/>
          </w:tcPr>
          <w:p w14:paraId="1A48EDFB" w14:textId="20291DBE" w:rsidR="00715E4F" w:rsidRPr="006B42D6" w:rsidRDefault="00715E4F" w:rsidP="007200F6">
            <w:pPr>
              <w:jc w:val="center"/>
              <w:rPr>
                <w:sz w:val="18"/>
                <w:szCs w:val="18"/>
              </w:rPr>
            </w:pPr>
            <w:r w:rsidRPr="006B42D6">
              <w:rPr>
                <w:sz w:val="18"/>
                <w:szCs w:val="18"/>
              </w:rPr>
              <w:t>530,268</w:t>
            </w:r>
          </w:p>
        </w:tc>
        <w:tc>
          <w:tcPr>
            <w:tcW w:w="705" w:type="pct"/>
            <w:tcBorders>
              <w:top w:val="nil"/>
              <w:left w:val="nil"/>
              <w:bottom w:val="nil"/>
              <w:right w:val="nil"/>
            </w:tcBorders>
            <w:shd w:val="clear" w:color="auto" w:fill="auto"/>
            <w:noWrap/>
            <w:vAlign w:val="center"/>
            <w:hideMark/>
          </w:tcPr>
          <w:p w14:paraId="7ADE7173" w14:textId="54AF5144" w:rsidR="00715E4F" w:rsidRPr="006B42D6" w:rsidRDefault="00715E4F" w:rsidP="007200F6">
            <w:pPr>
              <w:jc w:val="center"/>
              <w:rPr>
                <w:sz w:val="18"/>
                <w:szCs w:val="18"/>
              </w:rPr>
            </w:pPr>
            <w:r w:rsidRPr="006B42D6">
              <w:rPr>
                <w:sz w:val="18"/>
                <w:szCs w:val="18"/>
              </w:rPr>
              <w:t>2.6</w:t>
            </w:r>
          </w:p>
        </w:tc>
        <w:tc>
          <w:tcPr>
            <w:tcW w:w="737" w:type="pct"/>
            <w:tcBorders>
              <w:top w:val="nil"/>
              <w:left w:val="nil"/>
              <w:bottom w:val="nil"/>
              <w:right w:val="nil"/>
            </w:tcBorders>
            <w:shd w:val="clear" w:color="auto" w:fill="auto"/>
            <w:noWrap/>
            <w:vAlign w:val="center"/>
            <w:hideMark/>
          </w:tcPr>
          <w:p w14:paraId="42B33C9E" w14:textId="3825500B" w:rsidR="00715E4F" w:rsidRPr="006B42D6" w:rsidRDefault="00715E4F" w:rsidP="007200F6">
            <w:pPr>
              <w:jc w:val="center"/>
              <w:rPr>
                <w:sz w:val="18"/>
                <w:szCs w:val="18"/>
              </w:rPr>
            </w:pPr>
            <w:r w:rsidRPr="006B42D6">
              <w:rPr>
                <w:sz w:val="18"/>
                <w:szCs w:val="18"/>
              </w:rPr>
              <w:t>497,622</w:t>
            </w:r>
          </w:p>
        </w:tc>
        <w:tc>
          <w:tcPr>
            <w:tcW w:w="705" w:type="pct"/>
            <w:tcBorders>
              <w:top w:val="nil"/>
              <w:left w:val="nil"/>
              <w:bottom w:val="nil"/>
              <w:right w:val="nil"/>
            </w:tcBorders>
            <w:shd w:val="clear" w:color="auto" w:fill="auto"/>
            <w:noWrap/>
            <w:vAlign w:val="center"/>
            <w:hideMark/>
          </w:tcPr>
          <w:p w14:paraId="71294C57" w14:textId="63DE21FF" w:rsidR="00715E4F" w:rsidRPr="006B42D6" w:rsidRDefault="00715E4F" w:rsidP="007200F6">
            <w:pPr>
              <w:jc w:val="center"/>
              <w:rPr>
                <w:sz w:val="18"/>
                <w:szCs w:val="18"/>
              </w:rPr>
            </w:pPr>
            <w:r w:rsidRPr="006B42D6">
              <w:rPr>
                <w:sz w:val="18"/>
                <w:szCs w:val="18"/>
              </w:rPr>
              <w:t>2.4</w:t>
            </w:r>
          </w:p>
        </w:tc>
      </w:tr>
      <w:tr w:rsidR="006B42D6" w:rsidRPr="006B42D6" w14:paraId="423ECF50" w14:textId="77777777" w:rsidTr="00722A0C">
        <w:trPr>
          <w:trHeight w:hRule="exact" w:val="283"/>
        </w:trPr>
        <w:tc>
          <w:tcPr>
            <w:tcW w:w="672" w:type="pct"/>
            <w:tcBorders>
              <w:top w:val="nil"/>
              <w:left w:val="nil"/>
              <w:bottom w:val="nil"/>
              <w:right w:val="nil"/>
            </w:tcBorders>
            <w:shd w:val="clear" w:color="auto" w:fill="auto"/>
            <w:noWrap/>
            <w:vAlign w:val="center"/>
            <w:hideMark/>
          </w:tcPr>
          <w:p w14:paraId="5BEFE2FA" w14:textId="77777777" w:rsidR="00715E4F" w:rsidRPr="006B42D6" w:rsidRDefault="00715E4F" w:rsidP="003A083C">
            <w:pPr>
              <w:jc w:val="left"/>
              <w:rPr>
                <w:sz w:val="18"/>
                <w:szCs w:val="18"/>
              </w:rPr>
            </w:pPr>
            <w:r w:rsidRPr="006B42D6">
              <w:rPr>
                <w:sz w:val="18"/>
                <w:szCs w:val="18"/>
              </w:rPr>
              <w:t>60 - 64</w:t>
            </w:r>
          </w:p>
        </w:tc>
        <w:tc>
          <w:tcPr>
            <w:tcW w:w="737" w:type="pct"/>
            <w:tcBorders>
              <w:top w:val="nil"/>
              <w:left w:val="nil"/>
              <w:bottom w:val="nil"/>
              <w:right w:val="nil"/>
            </w:tcBorders>
            <w:shd w:val="clear" w:color="auto" w:fill="auto"/>
            <w:noWrap/>
            <w:vAlign w:val="center"/>
            <w:hideMark/>
          </w:tcPr>
          <w:p w14:paraId="1CE370E1" w14:textId="18E7A673" w:rsidR="00715E4F" w:rsidRPr="006B42D6" w:rsidRDefault="00715E4F" w:rsidP="007200F6">
            <w:pPr>
              <w:jc w:val="center"/>
              <w:rPr>
                <w:sz w:val="18"/>
                <w:szCs w:val="18"/>
              </w:rPr>
            </w:pPr>
            <w:r w:rsidRPr="006B42D6">
              <w:rPr>
                <w:sz w:val="18"/>
                <w:szCs w:val="18"/>
              </w:rPr>
              <w:t>971,935</w:t>
            </w:r>
          </w:p>
        </w:tc>
        <w:tc>
          <w:tcPr>
            <w:tcW w:w="705" w:type="pct"/>
            <w:tcBorders>
              <w:top w:val="nil"/>
              <w:left w:val="nil"/>
              <w:bottom w:val="nil"/>
              <w:right w:val="nil"/>
            </w:tcBorders>
            <w:shd w:val="clear" w:color="auto" w:fill="auto"/>
            <w:noWrap/>
            <w:vAlign w:val="center"/>
            <w:hideMark/>
          </w:tcPr>
          <w:p w14:paraId="5C6E3C55" w14:textId="572432A6" w:rsidR="00715E4F" w:rsidRPr="006B42D6" w:rsidRDefault="00715E4F" w:rsidP="007200F6">
            <w:pPr>
              <w:jc w:val="center"/>
              <w:rPr>
                <w:sz w:val="18"/>
                <w:szCs w:val="18"/>
              </w:rPr>
            </w:pPr>
            <w:r w:rsidRPr="006B42D6">
              <w:rPr>
                <w:sz w:val="18"/>
                <w:szCs w:val="18"/>
              </w:rPr>
              <w:t>2.4</w:t>
            </w:r>
          </w:p>
        </w:tc>
        <w:tc>
          <w:tcPr>
            <w:tcW w:w="737" w:type="pct"/>
            <w:tcBorders>
              <w:top w:val="nil"/>
              <w:left w:val="nil"/>
              <w:bottom w:val="nil"/>
              <w:right w:val="nil"/>
            </w:tcBorders>
            <w:shd w:val="clear" w:color="auto" w:fill="auto"/>
            <w:noWrap/>
            <w:vAlign w:val="center"/>
            <w:hideMark/>
          </w:tcPr>
          <w:p w14:paraId="0C0D657E" w14:textId="07E860E1" w:rsidR="00715E4F" w:rsidRPr="006B42D6" w:rsidRDefault="00715E4F" w:rsidP="007200F6">
            <w:pPr>
              <w:jc w:val="center"/>
              <w:rPr>
                <w:sz w:val="18"/>
                <w:szCs w:val="18"/>
              </w:rPr>
            </w:pPr>
            <w:r w:rsidRPr="006B42D6">
              <w:rPr>
                <w:sz w:val="18"/>
                <w:szCs w:val="18"/>
              </w:rPr>
              <w:t>503,957</w:t>
            </w:r>
          </w:p>
        </w:tc>
        <w:tc>
          <w:tcPr>
            <w:tcW w:w="705" w:type="pct"/>
            <w:tcBorders>
              <w:top w:val="nil"/>
              <w:left w:val="nil"/>
              <w:bottom w:val="nil"/>
              <w:right w:val="nil"/>
            </w:tcBorders>
            <w:shd w:val="clear" w:color="auto" w:fill="auto"/>
            <w:noWrap/>
            <w:vAlign w:val="center"/>
            <w:hideMark/>
          </w:tcPr>
          <w:p w14:paraId="78FB59BA" w14:textId="42B173F4" w:rsidR="00715E4F" w:rsidRPr="006B42D6" w:rsidRDefault="00715E4F" w:rsidP="007200F6">
            <w:pPr>
              <w:jc w:val="center"/>
              <w:rPr>
                <w:sz w:val="18"/>
                <w:szCs w:val="18"/>
              </w:rPr>
            </w:pPr>
            <w:r w:rsidRPr="006B42D6">
              <w:rPr>
                <w:sz w:val="18"/>
                <w:szCs w:val="18"/>
              </w:rPr>
              <w:t>2.5</w:t>
            </w:r>
          </w:p>
        </w:tc>
        <w:tc>
          <w:tcPr>
            <w:tcW w:w="737" w:type="pct"/>
            <w:tcBorders>
              <w:top w:val="nil"/>
              <w:left w:val="nil"/>
              <w:bottom w:val="nil"/>
              <w:right w:val="nil"/>
            </w:tcBorders>
            <w:shd w:val="clear" w:color="auto" w:fill="auto"/>
            <w:noWrap/>
            <w:vAlign w:val="center"/>
            <w:hideMark/>
          </w:tcPr>
          <w:p w14:paraId="5DAE354C" w14:textId="004DB33C" w:rsidR="00715E4F" w:rsidRPr="006B42D6" w:rsidRDefault="00715E4F" w:rsidP="007200F6">
            <w:pPr>
              <w:jc w:val="center"/>
              <w:rPr>
                <w:sz w:val="18"/>
                <w:szCs w:val="18"/>
              </w:rPr>
            </w:pPr>
            <w:r w:rsidRPr="006B42D6">
              <w:rPr>
                <w:sz w:val="18"/>
                <w:szCs w:val="18"/>
              </w:rPr>
              <w:t>467,978</w:t>
            </w:r>
          </w:p>
        </w:tc>
        <w:tc>
          <w:tcPr>
            <w:tcW w:w="705" w:type="pct"/>
            <w:tcBorders>
              <w:top w:val="nil"/>
              <w:left w:val="nil"/>
              <w:bottom w:val="nil"/>
              <w:right w:val="nil"/>
            </w:tcBorders>
            <w:shd w:val="clear" w:color="auto" w:fill="auto"/>
            <w:noWrap/>
            <w:vAlign w:val="center"/>
            <w:hideMark/>
          </w:tcPr>
          <w:p w14:paraId="7F3F80D8" w14:textId="531093F6" w:rsidR="00715E4F" w:rsidRPr="006B42D6" w:rsidRDefault="00715E4F" w:rsidP="007200F6">
            <w:pPr>
              <w:jc w:val="center"/>
              <w:rPr>
                <w:sz w:val="18"/>
                <w:szCs w:val="18"/>
              </w:rPr>
            </w:pPr>
            <w:r w:rsidRPr="006B42D6">
              <w:rPr>
                <w:sz w:val="18"/>
                <w:szCs w:val="18"/>
              </w:rPr>
              <w:t>2.3</w:t>
            </w:r>
          </w:p>
        </w:tc>
      </w:tr>
      <w:tr w:rsidR="006B42D6" w:rsidRPr="006B42D6" w14:paraId="0C6AA113" w14:textId="77777777" w:rsidTr="00722A0C">
        <w:trPr>
          <w:trHeight w:hRule="exact" w:val="283"/>
        </w:trPr>
        <w:tc>
          <w:tcPr>
            <w:tcW w:w="672" w:type="pct"/>
            <w:tcBorders>
              <w:top w:val="nil"/>
              <w:left w:val="nil"/>
              <w:bottom w:val="nil"/>
              <w:right w:val="nil"/>
            </w:tcBorders>
            <w:shd w:val="clear" w:color="auto" w:fill="auto"/>
            <w:noWrap/>
            <w:vAlign w:val="center"/>
            <w:hideMark/>
          </w:tcPr>
          <w:p w14:paraId="7EA3F8D0" w14:textId="77777777" w:rsidR="00715E4F" w:rsidRPr="006B42D6" w:rsidRDefault="00715E4F" w:rsidP="003A083C">
            <w:pPr>
              <w:jc w:val="left"/>
              <w:rPr>
                <w:sz w:val="18"/>
                <w:szCs w:val="18"/>
              </w:rPr>
            </w:pPr>
            <w:r w:rsidRPr="006B42D6">
              <w:rPr>
                <w:sz w:val="18"/>
                <w:szCs w:val="18"/>
              </w:rPr>
              <w:t>65 - 69</w:t>
            </w:r>
          </w:p>
        </w:tc>
        <w:tc>
          <w:tcPr>
            <w:tcW w:w="737" w:type="pct"/>
            <w:tcBorders>
              <w:top w:val="nil"/>
              <w:left w:val="nil"/>
              <w:bottom w:val="nil"/>
              <w:right w:val="nil"/>
            </w:tcBorders>
            <w:shd w:val="clear" w:color="auto" w:fill="auto"/>
            <w:noWrap/>
            <w:vAlign w:val="center"/>
            <w:hideMark/>
          </w:tcPr>
          <w:p w14:paraId="738D5213" w14:textId="0184CA26" w:rsidR="00715E4F" w:rsidRPr="006B42D6" w:rsidRDefault="00715E4F" w:rsidP="007200F6">
            <w:pPr>
              <w:jc w:val="center"/>
              <w:rPr>
                <w:sz w:val="18"/>
                <w:szCs w:val="18"/>
              </w:rPr>
            </w:pPr>
            <w:r w:rsidRPr="006B42D6">
              <w:rPr>
                <w:sz w:val="18"/>
                <w:szCs w:val="18"/>
              </w:rPr>
              <w:t>687,922</w:t>
            </w:r>
          </w:p>
        </w:tc>
        <w:tc>
          <w:tcPr>
            <w:tcW w:w="705" w:type="pct"/>
            <w:tcBorders>
              <w:top w:val="nil"/>
              <w:left w:val="nil"/>
              <w:bottom w:val="nil"/>
              <w:right w:val="nil"/>
            </w:tcBorders>
            <w:shd w:val="clear" w:color="auto" w:fill="auto"/>
            <w:noWrap/>
            <w:vAlign w:val="center"/>
            <w:hideMark/>
          </w:tcPr>
          <w:p w14:paraId="0F928F54" w14:textId="1E95CAE6" w:rsidR="00715E4F" w:rsidRPr="006B42D6" w:rsidRDefault="00715E4F" w:rsidP="007200F6">
            <w:pPr>
              <w:jc w:val="center"/>
              <w:rPr>
                <w:sz w:val="18"/>
                <w:szCs w:val="18"/>
              </w:rPr>
            </w:pPr>
            <w:r w:rsidRPr="006B42D6">
              <w:rPr>
                <w:sz w:val="18"/>
                <w:szCs w:val="18"/>
              </w:rPr>
              <w:t>1.7</w:t>
            </w:r>
          </w:p>
        </w:tc>
        <w:tc>
          <w:tcPr>
            <w:tcW w:w="737" w:type="pct"/>
            <w:tcBorders>
              <w:top w:val="nil"/>
              <w:left w:val="nil"/>
              <w:bottom w:val="nil"/>
              <w:right w:val="nil"/>
            </w:tcBorders>
            <w:shd w:val="clear" w:color="auto" w:fill="auto"/>
            <w:noWrap/>
            <w:vAlign w:val="center"/>
            <w:hideMark/>
          </w:tcPr>
          <w:p w14:paraId="049136B4" w14:textId="4BCBD804" w:rsidR="00715E4F" w:rsidRPr="006B42D6" w:rsidRDefault="00715E4F" w:rsidP="007200F6">
            <w:pPr>
              <w:jc w:val="center"/>
              <w:rPr>
                <w:sz w:val="18"/>
                <w:szCs w:val="18"/>
              </w:rPr>
            </w:pPr>
            <w:r w:rsidRPr="006B42D6">
              <w:rPr>
                <w:sz w:val="18"/>
                <w:szCs w:val="18"/>
              </w:rPr>
              <w:t>344,246</w:t>
            </w:r>
          </w:p>
        </w:tc>
        <w:tc>
          <w:tcPr>
            <w:tcW w:w="705" w:type="pct"/>
            <w:tcBorders>
              <w:top w:val="nil"/>
              <w:left w:val="nil"/>
              <w:bottom w:val="nil"/>
              <w:right w:val="nil"/>
            </w:tcBorders>
            <w:shd w:val="clear" w:color="auto" w:fill="auto"/>
            <w:noWrap/>
            <w:vAlign w:val="center"/>
            <w:hideMark/>
          </w:tcPr>
          <w:p w14:paraId="51EC38CF" w14:textId="19B39559" w:rsidR="00715E4F" w:rsidRPr="006B42D6" w:rsidRDefault="00715E4F" w:rsidP="007200F6">
            <w:pPr>
              <w:jc w:val="center"/>
              <w:rPr>
                <w:sz w:val="18"/>
                <w:szCs w:val="18"/>
              </w:rPr>
            </w:pPr>
            <w:r w:rsidRPr="006B42D6">
              <w:rPr>
                <w:sz w:val="18"/>
                <w:szCs w:val="18"/>
              </w:rPr>
              <w:t>1.7</w:t>
            </w:r>
          </w:p>
        </w:tc>
        <w:tc>
          <w:tcPr>
            <w:tcW w:w="737" w:type="pct"/>
            <w:tcBorders>
              <w:top w:val="nil"/>
              <w:left w:val="nil"/>
              <w:bottom w:val="nil"/>
              <w:right w:val="nil"/>
            </w:tcBorders>
            <w:shd w:val="clear" w:color="auto" w:fill="auto"/>
            <w:noWrap/>
            <w:vAlign w:val="center"/>
            <w:hideMark/>
          </w:tcPr>
          <w:p w14:paraId="6E4C377C" w14:textId="424AF297" w:rsidR="00715E4F" w:rsidRPr="006B42D6" w:rsidRDefault="00715E4F" w:rsidP="007200F6">
            <w:pPr>
              <w:jc w:val="center"/>
              <w:rPr>
                <w:sz w:val="18"/>
                <w:szCs w:val="18"/>
              </w:rPr>
            </w:pPr>
            <w:r w:rsidRPr="006B42D6">
              <w:rPr>
                <w:sz w:val="18"/>
                <w:szCs w:val="18"/>
              </w:rPr>
              <w:t>343,676</w:t>
            </w:r>
          </w:p>
        </w:tc>
        <w:tc>
          <w:tcPr>
            <w:tcW w:w="705" w:type="pct"/>
            <w:tcBorders>
              <w:top w:val="nil"/>
              <w:left w:val="nil"/>
              <w:bottom w:val="nil"/>
              <w:right w:val="nil"/>
            </w:tcBorders>
            <w:shd w:val="clear" w:color="auto" w:fill="auto"/>
            <w:noWrap/>
            <w:vAlign w:val="center"/>
            <w:hideMark/>
          </w:tcPr>
          <w:p w14:paraId="7CF98B86" w14:textId="2BC285AA" w:rsidR="00715E4F" w:rsidRPr="006B42D6" w:rsidRDefault="00715E4F" w:rsidP="007200F6">
            <w:pPr>
              <w:jc w:val="center"/>
              <w:rPr>
                <w:sz w:val="18"/>
                <w:szCs w:val="18"/>
              </w:rPr>
            </w:pPr>
            <w:r w:rsidRPr="006B42D6">
              <w:rPr>
                <w:sz w:val="18"/>
                <w:szCs w:val="18"/>
              </w:rPr>
              <w:t>1.7</w:t>
            </w:r>
          </w:p>
        </w:tc>
      </w:tr>
      <w:tr w:rsidR="006B42D6" w:rsidRPr="006B42D6" w14:paraId="0D24A4B7" w14:textId="77777777" w:rsidTr="00722A0C">
        <w:trPr>
          <w:trHeight w:hRule="exact" w:val="283"/>
        </w:trPr>
        <w:tc>
          <w:tcPr>
            <w:tcW w:w="672" w:type="pct"/>
            <w:tcBorders>
              <w:top w:val="nil"/>
              <w:left w:val="nil"/>
              <w:bottom w:val="nil"/>
              <w:right w:val="nil"/>
            </w:tcBorders>
            <w:shd w:val="clear" w:color="auto" w:fill="auto"/>
            <w:noWrap/>
            <w:vAlign w:val="center"/>
            <w:hideMark/>
          </w:tcPr>
          <w:p w14:paraId="71B20016" w14:textId="77777777" w:rsidR="00715E4F" w:rsidRPr="006B42D6" w:rsidRDefault="00715E4F" w:rsidP="003A083C">
            <w:pPr>
              <w:jc w:val="left"/>
              <w:rPr>
                <w:sz w:val="18"/>
                <w:szCs w:val="18"/>
              </w:rPr>
            </w:pPr>
            <w:r w:rsidRPr="006B42D6">
              <w:rPr>
                <w:sz w:val="18"/>
                <w:szCs w:val="18"/>
              </w:rPr>
              <w:t>70 - 74</w:t>
            </w:r>
          </w:p>
        </w:tc>
        <w:tc>
          <w:tcPr>
            <w:tcW w:w="737" w:type="pct"/>
            <w:tcBorders>
              <w:top w:val="nil"/>
              <w:left w:val="nil"/>
              <w:bottom w:val="nil"/>
              <w:right w:val="nil"/>
            </w:tcBorders>
            <w:shd w:val="clear" w:color="auto" w:fill="auto"/>
            <w:noWrap/>
            <w:vAlign w:val="center"/>
            <w:hideMark/>
          </w:tcPr>
          <w:p w14:paraId="54BA2FF2" w14:textId="5833F6F2" w:rsidR="00715E4F" w:rsidRPr="006B42D6" w:rsidRDefault="00715E4F" w:rsidP="007200F6">
            <w:pPr>
              <w:jc w:val="center"/>
              <w:rPr>
                <w:sz w:val="18"/>
                <w:szCs w:val="18"/>
              </w:rPr>
            </w:pPr>
            <w:r w:rsidRPr="006B42D6">
              <w:rPr>
                <w:sz w:val="18"/>
                <w:szCs w:val="18"/>
              </w:rPr>
              <w:t>534,937</w:t>
            </w:r>
          </w:p>
        </w:tc>
        <w:tc>
          <w:tcPr>
            <w:tcW w:w="705" w:type="pct"/>
            <w:tcBorders>
              <w:top w:val="nil"/>
              <w:left w:val="nil"/>
              <w:bottom w:val="nil"/>
              <w:right w:val="nil"/>
            </w:tcBorders>
            <w:shd w:val="clear" w:color="auto" w:fill="auto"/>
            <w:noWrap/>
            <w:vAlign w:val="center"/>
            <w:hideMark/>
          </w:tcPr>
          <w:p w14:paraId="05CE3CBF" w14:textId="7162829F" w:rsidR="00715E4F" w:rsidRPr="006B42D6" w:rsidRDefault="00715E4F" w:rsidP="007200F6">
            <w:pPr>
              <w:jc w:val="center"/>
              <w:rPr>
                <w:sz w:val="18"/>
                <w:szCs w:val="18"/>
              </w:rPr>
            </w:pPr>
            <w:r w:rsidRPr="006B42D6">
              <w:rPr>
                <w:sz w:val="18"/>
                <w:szCs w:val="18"/>
              </w:rPr>
              <w:t>1.3</w:t>
            </w:r>
          </w:p>
        </w:tc>
        <w:tc>
          <w:tcPr>
            <w:tcW w:w="737" w:type="pct"/>
            <w:tcBorders>
              <w:top w:val="nil"/>
              <w:left w:val="nil"/>
              <w:bottom w:val="nil"/>
              <w:right w:val="nil"/>
            </w:tcBorders>
            <w:shd w:val="clear" w:color="auto" w:fill="auto"/>
            <w:noWrap/>
            <w:vAlign w:val="center"/>
            <w:hideMark/>
          </w:tcPr>
          <w:p w14:paraId="53FD1918" w14:textId="2D08908C" w:rsidR="00715E4F" w:rsidRPr="006B42D6" w:rsidRDefault="00715E4F" w:rsidP="007200F6">
            <w:pPr>
              <w:jc w:val="center"/>
              <w:rPr>
                <w:sz w:val="18"/>
                <w:szCs w:val="18"/>
              </w:rPr>
            </w:pPr>
            <w:r w:rsidRPr="006B42D6">
              <w:rPr>
                <w:sz w:val="18"/>
                <w:szCs w:val="18"/>
              </w:rPr>
              <w:t>265,685</w:t>
            </w:r>
          </w:p>
        </w:tc>
        <w:tc>
          <w:tcPr>
            <w:tcW w:w="705" w:type="pct"/>
            <w:tcBorders>
              <w:top w:val="nil"/>
              <w:left w:val="nil"/>
              <w:bottom w:val="nil"/>
              <w:right w:val="nil"/>
            </w:tcBorders>
            <w:shd w:val="clear" w:color="auto" w:fill="auto"/>
            <w:noWrap/>
            <w:vAlign w:val="center"/>
            <w:hideMark/>
          </w:tcPr>
          <w:p w14:paraId="2FB87FEB" w14:textId="1951BFF2" w:rsidR="00715E4F" w:rsidRPr="006B42D6" w:rsidRDefault="00715E4F" w:rsidP="007200F6">
            <w:pPr>
              <w:jc w:val="center"/>
              <w:rPr>
                <w:sz w:val="18"/>
                <w:szCs w:val="18"/>
              </w:rPr>
            </w:pPr>
            <w:r w:rsidRPr="006B42D6">
              <w:rPr>
                <w:sz w:val="18"/>
                <w:szCs w:val="18"/>
              </w:rPr>
              <w:t>1.3</w:t>
            </w:r>
          </w:p>
        </w:tc>
        <w:tc>
          <w:tcPr>
            <w:tcW w:w="737" w:type="pct"/>
            <w:tcBorders>
              <w:top w:val="nil"/>
              <w:left w:val="nil"/>
              <w:bottom w:val="nil"/>
              <w:right w:val="nil"/>
            </w:tcBorders>
            <w:shd w:val="clear" w:color="auto" w:fill="auto"/>
            <w:noWrap/>
            <w:vAlign w:val="center"/>
            <w:hideMark/>
          </w:tcPr>
          <w:p w14:paraId="541017D0" w14:textId="7CC73FBD" w:rsidR="00715E4F" w:rsidRPr="006B42D6" w:rsidRDefault="00715E4F" w:rsidP="007200F6">
            <w:pPr>
              <w:jc w:val="center"/>
              <w:rPr>
                <w:sz w:val="18"/>
                <w:szCs w:val="18"/>
              </w:rPr>
            </w:pPr>
            <w:r w:rsidRPr="006B42D6">
              <w:rPr>
                <w:sz w:val="18"/>
                <w:szCs w:val="18"/>
              </w:rPr>
              <w:t>269,252</w:t>
            </w:r>
          </w:p>
        </w:tc>
        <w:tc>
          <w:tcPr>
            <w:tcW w:w="705" w:type="pct"/>
            <w:tcBorders>
              <w:top w:val="nil"/>
              <w:left w:val="nil"/>
              <w:bottom w:val="nil"/>
              <w:right w:val="nil"/>
            </w:tcBorders>
            <w:shd w:val="clear" w:color="auto" w:fill="auto"/>
            <w:noWrap/>
            <w:vAlign w:val="center"/>
            <w:hideMark/>
          </w:tcPr>
          <w:p w14:paraId="086E5E4F" w14:textId="2D02C009" w:rsidR="00715E4F" w:rsidRPr="006B42D6" w:rsidRDefault="00715E4F" w:rsidP="007200F6">
            <w:pPr>
              <w:jc w:val="center"/>
              <w:rPr>
                <w:sz w:val="18"/>
                <w:szCs w:val="18"/>
              </w:rPr>
            </w:pPr>
            <w:r w:rsidRPr="006B42D6">
              <w:rPr>
                <w:sz w:val="18"/>
                <w:szCs w:val="18"/>
              </w:rPr>
              <w:t>1.3</w:t>
            </w:r>
          </w:p>
        </w:tc>
      </w:tr>
      <w:tr w:rsidR="006B42D6" w:rsidRPr="006B42D6" w14:paraId="38299B8C" w14:textId="77777777" w:rsidTr="00722A0C">
        <w:trPr>
          <w:trHeight w:hRule="exact" w:val="283"/>
        </w:trPr>
        <w:tc>
          <w:tcPr>
            <w:tcW w:w="672" w:type="pct"/>
            <w:tcBorders>
              <w:top w:val="nil"/>
              <w:left w:val="nil"/>
              <w:bottom w:val="nil"/>
              <w:right w:val="nil"/>
            </w:tcBorders>
            <w:shd w:val="clear" w:color="auto" w:fill="auto"/>
            <w:noWrap/>
            <w:vAlign w:val="center"/>
            <w:hideMark/>
          </w:tcPr>
          <w:p w14:paraId="51CFB3CE" w14:textId="77777777" w:rsidR="00715E4F" w:rsidRPr="006B42D6" w:rsidRDefault="00715E4F" w:rsidP="003A083C">
            <w:pPr>
              <w:jc w:val="left"/>
              <w:rPr>
                <w:sz w:val="18"/>
                <w:szCs w:val="18"/>
              </w:rPr>
            </w:pPr>
            <w:r w:rsidRPr="006B42D6">
              <w:rPr>
                <w:sz w:val="18"/>
                <w:szCs w:val="18"/>
              </w:rPr>
              <w:t>75 - 79</w:t>
            </w:r>
          </w:p>
        </w:tc>
        <w:tc>
          <w:tcPr>
            <w:tcW w:w="737" w:type="pct"/>
            <w:tcBorders>
              <w:top w:val="nil"/>
              <w:left w:val="nil"/>
              <w:bottom w:val="nil"/>
              <w:right w:val="nil"/>
            </w:tcBorders>
            <w:shd w:val="clear" w:color="auto" w:fill="auto"/>
            <w:noWrap/>
            <w:vAlign w:val="center"/>
            <w:hideMark/>
          </w:tcPr>
          <w:p w14:paraId="2831CFF0" w14:textId="27951A4B" w:rsidR="00715E4F" w:rsidRPr="006B42D6" w:rsidRDefault="00715E4F" w:rsidP="007200F6">
            <w:pPr>
              <w:jc w:val="center"/>
              <w:rPr>
                <w:sz w:val="18"/>
                <w:szCs w:val="18"/>
              </w:rPr>
            </w:pPr>
            <w:r w:rsidRPr="006B42D6">
              <w:rPr>
                <w:sz w:val="18"/>
                <w:szCs w:val="18"/>
              </w:rPr>
              <w:t>340,140</w:t>
            </w:r>
          </w:p>
        </w:tc>
        <w:tc>
          <w:tcPr>
            <w:tcW w:w="705" w:type="pct"/>
            <w:tcBorders>
              <w:top w:val="nil"/>
              <w:left w:val="nil"/>
              <w:bottom w:val="nil"/>
              <w:right w:val="nil"/>
            </w:tcBorders>
            <w:shd w:val="clear" w:color="auto" w:fill="auto"/>
            <w:noWrap/>
            <w:vAlign w:val="center"/>
            <w:hideMark/>
          </w:tcPr>
          <w:p w14:paraId="1A02E575" w14:textId="0F0EA143" w:rsidR="00715E4F" w:rsidRPr="006B42D6" w:rsidRDefault="00715E4F" w:rsidP="007200F6">
            <w:pPr>
              <w:jc w:val="center"/>
              <w:rPr>
                <w:sz w:val="18"/>
                <w:szCs w:val="18"/>
              </w:rPr>
            </w:pPr>
            <w:r w:rsidRPr="006B42D6">
              <w:rPr>
                <w:sz w:val="18"/>
                <w:szCs w:val="18"/>
              </w:rPr>
              <w:t>0.8</w:t>
            </w:r>
          </w:p>
        </w:tc>
        <w:tc>
          <w:tcPr>
            <w:tcW w:w="737" w:type="pct"/>
            <w:tcBorders>
              <w:top w:val="nil"/>
              <w:left w:val="nil"/>
              <w:bottom w:val="nil"/>
              <w:right w:val="nil"/>
            </w:tcBorders>
            <w:shd w:val="clear" w:color="auto" w:fill="auto"/>
            <w:noWrap/>
            <w:vAlign w:val="center"/>
            <w:hideMark/>
          </w:tcPr>
          <w:p w14:paraId="7C2986FA" w14:textId="10B976E5" w:rsidR="00715E4F" w:rsidRPr="006B42D6" w:rsidRDefault="00715E4F" w:rsidP="007200F6">
            <w:pPr>
              <w:jc w:val="center"/>
              <w:rPr>
                <w:sz w:val="18"/>
                <w:szCs w:val="18"/>
              </w:rPr>
            </w:pPr>
            <w:r w:rsidRPr="006B42D6">
              <w:rPr>
                <w:sz w:val="18"/>
                <w:szCs w:val="18"/>
              </w:rPr>
              <w:t>175,843</w:t>
            </w:r>
          </w:p>
        </w:tc>
        <w:tc>
          <w:tcPr>
            <w:tcW w:w="705" w:type="pct"/>
            <w:tcBorders>
              <w:top w:val="nil"/>
              <w:left w:val="nil"/>
              <w:bottom w:val="nil"/>
              <w:right w:val="nil"/>
            </w:tcBorders>
            <w:shd w:val="clear" w:color="auto" w:fill="auto"/>
            <w:noWrap/>
            <w:vAlign w:val="center"/>
            <w:hideMark/>
          </w:tcPr>
          <w:p w14:paraId="602C1DFA" w14:textId="0DEA87A8" w:rsidR="00715E4F" w:rsidRPr="006B42D6" w:rsidRDefault="00715E4F" w:rsidP="007200F6">
            <w:pPr>
              <w:jc w:val="center"/>
              <w:rPr>
                <w:sz w:val="18"/>
                <w:szCs w:val="18"/>
              </w:rPr>
            </w:pPr>
            <w:r w:rsidRPr="006B42D6">
              <w:rPr>
                <w:sz w:val="18"/>
                <w:szCs w:val="18"/>
              </w:rPr>
              <w:t>0.9</w:t>
            </w:r>
          </w:p>
        </w:tc>
        <w:tc>
          <w:tcPr>
            <w:tcW w:w="737" w:type="pct"/>
            <w:tcBorders>
              <w:top w:val="nil"/>
              <w:left w:val="nil"/>
              <w:bottom w:val="nil"/>
              <w:right w:val="nil"/>
            </w:tcBorders>
            <w:shd w:val="clear" w:color="auto" w:fill="auto"/>
            <w:noWrap/>
            <w:vAlign w:val="center"/>
            <w:hideMark/>
          </w:tcPr>
          <w:p w14:paraId="1786F516" w14:textId="661C476D" w:rsidR="00715E4F" w:rsidRPr="006B42D6" w:rsidRDefault="00715E4F" w:rsidP="007200F6">
            <w:pPr>
              <w:jc w:val="center"/>
              <w:rPr>
                <w:sz w:val="18"/>
                <w:szCs w:val="18"/>
              </w:rPr>
            </w:pPr>
            <w:r w:rsidRPr="006B42D6">
              <w:rPr>
                <w:sz w:val="18"/>
                <w:szCs w:val="18"/>
              </w:rPr>
              <w:t>164,297</w:t>
            </w:r>
          </w:p>
        </w:tc>
        <w:tc>
          <w:tcPr>
            <w:tcW w:w="705" w:type="pct"/>
            <w:tcBorders>
              <w:top w:val="nil"/>
              <w:left w:val="nil"/>
              <w:bottom w:val="nil"/>
              <w:right w:val="nil"/>
            </w:tcBorders>
            <w:shd w:val="clear" w:color="auto" w:fill="auto"/>
            <w:noWrap/>
            <w:vAlign w:val="center"/>
            <w:hideMark/>
          </w:tcPr>
          <w:p w14:paraId="2F750ABC" w14:textId="534FBE52" w:rsidR="00715E4F" w:rsidRPr="006B42D6" w:rsidRDefault="00715E4F" w:rsidP="007200F6">
            <w:pPr>
              <w:jc w:val="center"/>
              <w:rPr>
                <w:sz w:val="18"/>
                <w:szCs w:val="18"/>
              </w:rPr>
            </w:pPr>
            <w:r w:rsidRPr="006B42D6">
              <w:rPr>
                <w:sz w:val="18"/>
                <w:szCs w:val="18"/>
              </w:rPr>
              <w:t>0.8</w:t>
            </w:r>
          </w:p>
        </w:tc>
      </w:tr>
      <w:tr w:rsidR="006B42D6" w:rsidRPr="006B42D6" w14:paraId="1A4F3C67" w14:textId="77777777" w:rsidTr="00722A0C">
        <w:trPr>
          <w:trHeight w:hRule="exact" w:val="283"/>
        </w:trPr>
        <w:tc>
          <w:tcPr>
            <w:tcW w:w="672" w:type="pct"/>
            <w:tcBorders>
              <w:top w:val="nil"/>
              <w:left w:val="nil"/>
              <w:bottom w:val="nil"/>
              <w:right w:val="nil"/>
            </w:tcBorders>
            <w:shd w:val="clear" w:color="auto" w:fill="auto"/>
            <w:noWrap/>
            <w:vAlign w:val="center"/>
            <w:hideMark/>
          </w:tcPr>
          <w:p w14:paraId="2F412E1D" w14:textId="77777777" w:rsidR="00715E4F" w:rsidRPr="006B42D6" w:rsidRDefault="00715E4F" w:rsidP="003A083C">
            <w:pPr>
              <w:jc w:val="left"/>
              <w:rPr>
                <w:sz w:val="18"/>
                <w:szCs w:val="18"/>
              </w:rPr>
            </w:pPr>
            <w:r w:rsidRPr="006B42D6">
              <w:rPr>
                <w:sz w:val="18"/>
                <w:szCs w:val="18"/>
              </w:rPr>
              <w:t>80 - 84</w:t>
            </w:r>
          </w:p>
        </w:tc>
        <w:tc>
          <w:tcPr>
            <w:tcW w:w="737" w:type="pct"/>
            <w:tcBorders>
              <w:top w:val="nil"/>
              <w:left w:val="nil"/>
              <w:bottom w:val="nil"/>
              <w:right w:val="nil"/>
            </w:tcBorders>
            <w:shd w:val="clear" w:color="auto" w:fill="auto"/>
            <w:noWrap/>
            <w:vAlign w:val="center"/>
            <w:hideMark/>
          </w:tcPr>
          <w:p w14:paraId="7292E9B8" w14:textId="37E527F9" w:rsidR="00715E4F" w:rsidRPr="006B42D6" w:rsidRDefault="00715E4F" w:rsidP="007200F6">
            <w:pPr>
              <w:jc w:val="center"/>
              <w:rPr>
                <w:sz w:val="18"/>
                <w:szCs w:val="18"/>
              </w:rPr>
            </w:pPr>
            <w:r w:rsidRPr="006B42D6">
              <w:rPr>
                <w:sz w:val="18"/>
                <w:szCs w:val="18"/>
              </w:rPr>
              <w:t>263,444</w:t>
            </w:r>
          </w:p>
        </w:tc>
        <w:tc>
          <w:tcPr>
            <w:tcW w:w="705" w:type="pct"/>
            <w:tcBorders>
              <w:top w:val="nil"/>
              <w:left w:val="nil"/>
              <w:bottom w:val="nil"/>
              <w:right w:val="nil"/>
            </w:tcBorders>
            <w:shd w:val="clear" w:color="auto" w:fill="auto"/>
            <w:noWrap/>
            <w:vAlign w:val="center"/>
            <w:hideMark/>
          </w:tcPr>
          <w:p w14:paraId="091D3A39" w14:textId="17FF1963" w:rsidR="00715E4F" w:rsidRPr="006B42D6" w:rsidRDefault="00715E4F" w:rsidP="007200F6">
            <w:pPr>
              <w:jc w:val="center"/>
              <w:rPr>
                <w:sz w:val="18"/>
                <w:szCs w:val="18"/>
              </w:rPr>
            </w:pPr>
            <w:r w:rsidRPr="006B42D6">
              <w:rPr>
                <w:sz w:val="18"/>
                <w:szCs w:val="18"/>
              </w:rPr>
              <w:t>0.6</w:t>
            </w:r>
          </w:p>
        </w:tc>
        <w:tc>
          <w:tcPr>
            <w:tcW w:w="737" w:type="pct"/>
            <w:tcBorders>
              <w:top w:val="nil"/>
              <w:left w:val="nil"/>
              <w:bottom w:val="nil"/>
              <w:right w:val="nil"/>
            </w:tcBorders>
            <w:shd w:val="clear" w:color="auto" w:fill="auto"/>
            <w:noWrap/>
            <w:vAlign w:val="center"/>
            <w:hideMark/>
          </w:tcPr>
          <w:p w14:paraId="414F5248" w14:textId="617B80F5" w:rsidR="00715E4F" w:rsidRPr="006B42D6" w:rsidRDefault="00715E4F" w:rsidP="007200F6">
            <w:pPr>
              <w:jc w:val="center"/>
              <w:rPr>
                <w:sz w:val="18"/>
                <w:szCs w:val="18"/>
              </w:rPr>
            </w:pPr>
            <w:r w:rsidRPr="006B42D6">
              <w:rPr>
                <w:sz w:val="18"/>
                <w:szCs w:val="18"/>
              </w:rPr>
              <w:t>120,137</w:t>
            </w:r>
          </w:p>
        </w:tc>
        <w:tc>
          <w:tcPr>
            <w:tcW w:w="705" w:type="pct"/>
            <w:tcBorders>
              <w:top w:val="nil"/>
              <w:left w:val="nil"/>
              <w:bottom w:val="nil"/>
              <w:right w:val="nil"/>
            </w:tcBorders>
            <w:shd w:val="clear" w:color="auto" w:fill="auto"/>
            <w:noWrap/>
            <w:vAlign w:val="center"/>
            <w:hideMark/>
          </w:tcPr>
          <w:p w14:paraId="1B146921" w14:textId="12981705" w:rsidR="00715E4F" w:rsidRPr="006B42D6" w:rsidRDefault="00715E4F" w:rsidP="007200F6">
            <w:pPr>
              <w:jc w:val="center"/>
              <w:rPr>
                <w:sz w:val="18"/>
                <w:szCs w:val="18"/>
              </w:rPr>
            </w:pPr>
            <w:r w:rsidRPr="006B42D6">
              <w:rPr>
                <w:sz w:val="18"/>
                <w:szCs w:val="18"/>
              </w:rPr>
              <w:t>0.6</w:t>
            </w:r>
          </w:p>
        </w:tc>
        <w:tc>
          <w:tcPr>
            <w:tcW w:w="737" w:type="pct"/>
            <w:tcBorders>
              <w:top w:val="nil"/>
              <w:left w:val="nil"/>
              <w:bottom w:val="nil"/>
              <w:right w:val="nil"/>
            </w:tcBorders>
            <w:shd w:val="clear" w:color="auto" w:fill="auto"/>
            <w:noWrap/>
            <w:vAlign w:val="center"/>
            <w:hideMark/>
          </w:tcPr>
          <w:p w14:paraId="7911C9B6" w14:textId="7874F04C" w:rsidR="00715E4F" w:rsidRPr="006B42D6" w:rsidRDefault="00715E4F" w:rsidP="007200F6">
            <w:pPr>
              <w:jc w:val="center"/>
              <w:rPr>
                <w:sz w:val="18"/>
                <w:szCs w:val="18"/>
              </w:rPr>
            </w:pPr>
            <w:r w:rsidRPr="006B42D6">
              <w:rPr>
                <w:sz w:val="18"/>
                <w:szCs w:val="18"/>
              </w:rPr>
              <w:t>143,307</w:t>
            </w:r>
          </w:p>
        </w:tc>
        <w:tc>
          <w:tcPr>
            <w:tcW w:w="705" w:type="pct"/>
            <w:tcBorders>
              <w:top w:val="nil"/>
              <w:left w:val="nil"/>
              <w:bottom w:val="nil"/>
              <w:right w:val="nil"/>
            </w:tcBorders>
            <w:shd w:val="clear" w:color="auto" w:fill="auto"/>
            <w:noWrap/>
            <w:vAlign w:val="center"/>
            <w:hideMark/>
          </w:tcPr>
          <w:p w14:paraId="3A744A32" w14:textId="078A090B" w:rsidR="00715E4F" w:rsidRPr="006B42D6" w:rsidRDefault="00715E4F" w:rsidP="007200F6">
            <w:pPr>
              <w:jc w:val="center"/>
              <w:rPr>
                <w:sz w:val="18"/>
                <w:szCs w:val="18"/>
              </w:rPr>
            </w:pPr>
            <w:r w:rsidRPr="006B42D6">
              <w:rPr>
                <w:sz w:val="18"/>
                <w:szCs w:val="18"/>
              </w:rPr>
              <w:t>0.7</w:t>
            </w:r>
          </w:p>
        </w:tc>
      </w:tr>
      <w:tr w:rsidR="006B42D6" w:rsidRPr="006B42D6" w14:paraId="702B1390" w14:textId="77777777" w:rsidTr="00722A0C">
        <w:trPr>
          <w:trHeight w:hRule="exact" w:val="283"/>
        </w:trPr>
        <w:tc>
          <w:tcPr>
            <w:tcW w:w="672" w:type="pct"/>
            <w:tcBorders>
              <w:top w:val="nil"/>
              <w:left w:val="nil"/>
              <w:bottom w:val="single" w:sz="4" w:space="0" w:color="auto"/>
              <w:right w:val="nil"/>
            </w:tcBorders>
            <w:shd w:val="clear" w:color="auto" w:fill="auto"/>
            <w:noWrap/>
            <w:vAlign w:val="center"/>
            <w:hideMark/>
          </w:tcPr>
          <w:p w14:paraId="6CCD05E5" w14:textId="77777777" w:rsidR="00715E4F" w:rsidRPr="006B42D6" w:rsidRDefault="00715E4F" w:rsidP="003A083C">
            <w:pPr>
              <w:jc w:val="left"/>
              <w:rPr>
                <w:sz w:val="18"/>
                <w:szCs w:val="18"/>
              </w:rPr>
            </w:pPr>
            <w:r w:rsidRPr="006B42D6">
              <w:rPr>
                <w:sz w:val="18"/>
                <w:szCs w:val="18"/>
              </w:rPr>
              <w:t>Above 85</w:t>
            </w:r>
          </w:p>
        </w:tc>
        <w:tc>
          <w:tcPr>
            <w:tcW w:w="737" w:type="pct"/>
            <w:tcBorders>
              <w:top w:val="nil"/>
              <w:left w:val="nil"/>
              <w:bottom w:val="single" w:sz="4" w:space="0" w:color="auto"/>
              <w:right w:val="nil"/>
            </w:tcBorders>
            <w:shd w:val="clear" w:color="auto" w:fill="auto"/>
            <w:noWrap/>
            <w:vAlign w:val="center"/>
            <w:hideMark/>
          </w:tcPr>
          <w:p w14:paraId="1068112A" w14:textId="19B70EF8" w:rsidR="00715E4F" w:rsidRPr="006B42D6" w:rsidRDefault="00715E4F" w:rsidP="007200F6">
            <w:pPr>
              <w:jc w:val="center"/>
              <w:rPr>
                <w:sz w:val="18"/>
                <w:szCs w:val="18"/>
              </w:rPr>
            </w:pPr>
            <w:r w:rsidRPr="006B42D6">
              <w:rPr>
                <w:sz w:val="18"/>
                <w:szCs w:val="18"/>
              </w:rPr>
              <w:t>295,072</w:t>
            </w:r>
          </w:p>
        </w:tc>
        <w:tc>
          <w:tcPr>
            <w:tcW w:w="705" w:type="pct"/>
            <w:tcBorders>
              <w:top w:val="nil"/>
              <w:left w:val="nil"/>
              <w:bottom w:val="single" w:sz="4" w:space="0" w:color="auto"/>
              <w:right w:val="nil"/>
            </w:tcBorders>
            <w:shd w:val="clear" w:color="auto" w:fill="auto"/>
            <w:noWrap/>
            <w:vAlign w:val="center"/>
            <w:hideMark/>
          </w:tcPr>
          <w:p w14:paraId="03672C30" w14:textId="2F372A82" w:rsidR="00715E4F" w:rsidRPr="006B42D6" w:rsidRDefault="00715E4F" w:rsidP="007200F6">
            <w:pPr>
              <w:jc w:val="center"/>
              <w:rPr>
                <w:sz w:val="18"/>
                <w:szCs w:val="18"/>
              </w:rPr>
            </w:pPr>
            <w:r w:rsidRPr="006B42D6">
              <w:rPr>
                <w:sz w:val="18"/>
                <w:szCs w:val="18"/>
              </w:rPr>
              <w:t>0.7</w:t>
            </w:r>
          </w:p>
        </w:tc>
        <w:tc>
          <w:tcPr>
            <w:tcW w:w="737" w:type="pct"/>
            <w:tcBorders>
              <w:top w:val="nil"/>
              <w:left w:val="nil"/>
              <w:bottom w:val="single" w:sz="4" w:space="0" w:color="auto"/>
              <w:right w:val="nil"/>
            </w:tcBorders>
            <w:shd w:val="clear" w:color="auto" w:fill="auto"/>
            <w:noWrap/>
            <w:vAlign w:val="center"/>
            <w:hideMark/>
          </w:tcPr>
          <w:p w14:paraId="2816DC32" w14:textId="63796776" w:rsidR="00715E4F" w:rsidRPr="006B42D6" w:rsidRDefault="00715E4F" w:rsidP="007200F6">
            <w:pPr>
              <w:jc w:val="center"/>
              <w:rPr>
                <w:sz w:val="18"/>
                <w:szCs w:val="18"/>
              </w:rPr>
            </w:pPr>
            <w:r w:rsidRPr="006B42D6">
              <w:rPr>
                <w:sz w:val="18"/>
                <w:szCs w:val="18"/>
              </w:rPr>
              <w:t>128,508</w:t>
            </w:r>
          </w:p>
        </w:tc>
        <w:tc>
          <w:tcPr>
            <w:tcW w:w="705" w:type="pct"/>
            <w:tcBorders>
              <w:top w:val="nil"/>
              <w:left w:val="nil"/>
              <w:bottom w:val="single" w:sz="4" w:space="0" w:color="auto"/>
              <w:right w:val="nil"/>
            </w:tcBorders>
            <w:shd w:val="clear" w:color="auto" w:fill="auto"/>
            <w:noWrap/>
            <w:vAlign w:val="center"/>
            <w:hideMark/>
          </w:tcPr>
          <w:p w14:paraId="100A2AD5" w14:textId="1289EFE5" w:rsidR="00715E4F" w:rsidRPr="006B42D6" w:rsidRDefault="00715E4F" w:rsidP="007200F6">
            <w:pPr>
              <w:jc w:val="center"/>
              <w:rPr>
                <w:sz w:val="18"/>
                <w:szCs w:val="18"/>
              </w:rPr>
            </w:pPr>
            <w:r w:rsidRPr="006B42D6">
              <w:rPr>
                <w:sz w:val="18"/>
                <w:szCs w:val="18"/>
              </w:rPr>
              <w:t>0.6</w:t>
            </w:r>
          </w:p>
        </w:tc>
        <w:tc>
          <w:tcPr>
            <w:tcW w:w="737" w:type="pct"/>
            <w:tcBorders>
              <w:top w:val="nil"/>
              <w:left w:val="nil"/>
              <w:bottom w:val="single" w:sz="4" w:space="0" w:color="auto"/>
              <w:right w:val="nil"/>
            </w:tcBorders>
            <w:shd w:val="clear" w:color="auto" w:fill="auto"/>
            <w:noWrap/>
            <w:vAlign w:val="center"/>
            <w:hideMark/>
          </w:tcPr>
          <w:p w14:paraId="7119D77C" w14:textId="29FD1385" w:rsidR="00715E4F" w:rsidRPr="006B42D6" w:rsidRDefault="00715E4F" w:rsidP="007200F6">
            <w:pPr>
              <w:jc w:val="center"/>
              <w:rPr>
                <w:sz w:val="18"/>
                <w:szCs w:val="18"/>
              </w:rPr>
            </w:pPr>
            <w:r w:rsidRPr="006B42D6">
              <w:rPr>
                <w:sz w:val="18"/>
                <w:szCs w:val="18"/>
              </w:rPr>
              <w:t>166,564</w:t>
            </w:r>
          </w:p>
        </w:tc>
        <w:tc>
          <w:tcPr>
            <w:tcW w:w="705" w:type="pct"/>
            <w:tcBorders>
              <w:top w:val="nil"/>
              <w:left w:val="nil"/>
              <w:bottom w:val="single" w:sz="4" w:space="0" w:color="auto"/>
              <w:right w:val="nil"/>
            </w:tcBorders>
            <w:shd w:val="clear" w:color="auto" w:fill="auto"/>
            <w:noWrap/>
            <w:vAlign w:val="center"/>
            <w:hideMark/>
          </w:tcPr>
          <w:p w14:paraId="076CB366" w14:textId="4CF3BF65" w:rsidR="00715E4F" w:rsidRPr="006B42D6" w:rsidRDefault="00715E4F" w:rsidP="007200F6">
            <w:pPr>
              <w:jc w:val="center"/>
              <w:rPr>
                <w:sz w:val="18"/>
                <w:szCs w:val="18"/>
              </w:rPr>
            </w:pPr>
            <w:r w:rsidRPr="006B42D6">
              <w:rPr>
                <w:sz w:val="18"/>
                <w:szCs w:val="18"/>
              </w:rPr>
              <w:t>0.8</w:t>
            </w:r>
          </w:p>
        </w:tc>
      </w:tr>
      <w:tr w:rsidR="006B42D6" w:rsidRPr="007200F6" w14:paraId="55BAA1E7" w14:textId="77777777" w:rsidTr="00722A0C">
        <w:trPr>
          <w:trHeight w:hRule="exact" w:val="283"/>
        </w:trPr>
        <w:tc>
          <w:tcPr>
            <w:tcW w:w="672" w:type="pct"/>
            <w:tcBorders>
              <w:top w:val="single" w:sz="4" w:space="0" w:color="auto"/>
              <w:left w:val="nil"/>
              <w:bottom w:val="single" w:sz="4" w:space="0" w:color="auto"/>
              <w:right w:val="nil"/>
            </w:tcBorders>
            <w:shd w:val="clear" w:color="auto" w:fill="E2EFD9" w:themeFill="accent6" w:themeFillTint="33"/>
            <w:noWrap/>
            <w:vAlign w:val="center"/>
            <w:hideMark/>
          </w:tcPr>
          <w:p w14:paraId="3F9A6E67" w14:textId="77777777" w:rsidR="00715E4F" w:rsidRPr="007200F6" w:rsidRDefault="00715E4F" w:rsidP="003A083C">
            <w:pPr>
              <w:jc w:val="left"/>
              <w:rPr>
                <w:b/>
                <w:bCs/>
                <w:sz w:val="18"/>
                <w:szCs w:val="18"/>
              </w:rPr>
            </w:pPr>
            <w:r w:rsidRPr="007200F6">
              <w:rPr>
                <w:b/>
                <w:bCs/>
                <w:sz w:val="18"/>
                <w:szCs w:val="18"/>
              </w:rPr>
              <w:t>Total</w:t>
            </w:r>
          </w:p>
        </w:tc>
        <w:tc>
          <w:tcPr>
            <w:tcW w:w="737" w:type="pct"/>
            <w:tcBorders>
              <w:top w:val="single" w:sz="4" w:space="0" w:color="auto"/>
              <w:left w:val="nil"/>
              <w:bottom w:val="single" w:sz="4" w:space="0" w:color="auto"/>
              <w:right w:val="nil"/>
            </w:tcBorders>
            <w:shd w:val="clear" w:color="auto" w:fill="E2EFD9" w:themeFill="accent6" w:themeFillTint="33"/>
            <w:noWrap/>
            <w:vAlign w:val="center"/>
            <w:hideMark/>
          </w:tcPr>
          <w:p w14:paraId="228A3F42" w14:textId="7E6D9B2D" w:rsidR="00715E4F" w:rsidRPr="007200F6" w:rsidRDefault="00715E4F" w:rsidP="007200F6">
            <w:pPr>
              <w:jc w:val="center"/>
              <w:rPr>
                <w:b/>
                <w:bCs/>
                <w:sz w:val="18"/>
                <w:szCs w:val="18"/>
              </w:rPr>
            </w:pPr>
            <w:r w:rsidRPr="007200F6">
              <w:rPr>
                <w:b/>
                <w:bCs/>
                <w:sz w:val="18"/>
                <w:szCs w:val="18"/>
              </w:rPr>
              <w:t>40,992,747</w:t>
            </w:r>
          </w:p>
        </w:tc>
        <w:tc>
          <w:tcPr>
            <w:tcW w:w="705" w:type="pct"/>
            <w:tcBorders>
              <w:top w:val="single" w:sz="4" w:space="0" w:color="auto"/>
              <w:left w:val="nil"/>
              <w:bottom w:val="single" w:sz="4" w:space="0" w:color="auto"/>
              <w:right w:val="nil"/>
            </w:tcBorders>
            <w:shd w:val="clear" w:color="auto" w:fill="E2EFD9" w:themeFill="accent6" w:themeFillTint="33"/>
            <w:noWrap/>
            <w:vAlign w:val="center"/>
            <w:hideMark/>
          </w:tcPr>
          <w:p w14:paraId="2CA998A6" w14:textId="7A7856E9" w:rsidR="00715E4F" w:rsidRPr="007200F6" w:rsidRDefault="00715E4F" w:rsidP="007200F6">
            <w:pPr>
              <w:jc w:val="center"/>
              <w:rPr>
                <w:b/>
                <w:sz w:val="18"/>
                <w:szCs w:val="18"/>
              </w:rPr>
            </w:pPr>
            <w:r w:rsidRPr="007200F6">
              <w:rPr>
                <w:b/>
                <w:sz w:val="18"/>
                <w:szCs w:val="18"/>
              </w:rPr>
              <w:t>100</w:t>
            </w:r>
            <w:r w:rsidR="007200F6" w:rsidRPr="007200F6">
              <w:rPr>
                <w:b/>
                <w:sz w:val="18"/>
                <w:szCs w:val="18"/>
              </w:rPr>
              <w:t>.0</w:t>
            </w:r>
          </w:p>
        </w:tc>
        <w:tc>
          <w:tcPr>
            <w:tcW w:w="737" w:type="pct"/>
            <w:tcBorders>
              <w:top w:val="single" w:sz="4" w:space="0" w:color="auto"/>
              <w:left w:val="nil"/>
              <w:bottom w:val="single" w:sz="4" w:space="0" w:color="auto"/>
              <w:right w:val="nil"/>
            </w:tcBorders>
            <w:shd w:val="clear" w:color="auto" w:fill="E2EFD9" w:themeFill="accent6" w:themeFillTint="33"/>
            <w:noWrap/>
            <w:vAlign w:val="center"/>
            <w:hideMark/>
          </w:tcPr>
          <w:p w14:paraId="0151F1B3" w14:textId="3B830C58" w:rsidR="00715E4F" w:rsidRPr="007200F6" w:rsidRDefault="00715E4F" w:rsidP="007200F6">
            <w:pPr>
              <w:jc w:val="center"/>
              <w:rPr>
                <w:b/>
                <w:bCs/>
                <w:sz w:val="18"/>
                <w:szCs w:val="18"/>
              </w:rPr>
            </w:pPr>
            <w:r w:rsidRPr="007200F6">
              <w:rPr>
                <w:b/>
                <w:bCs/>
                <w:sz w:val="18"/>
                <w:szCs w:val="18"/>
              </w:rPr>
              <w:t>20,417,005</w:t>
            </w:r>
          </w:p>
        </w:tc>
        <w:tc>
          <w:tcPr>
            <w:tcW w:w="705" w:type="pct"/>
            <w:tcBorders>
              <w:top w:val="single" w:sz="4" w:space="0" w:color="auto"/>
              <w:left w:val="nil"/>
              <w:bottom w:val="single" w:sz="4" w:space="0" w:color="auto"/>
              <w:right w:val="nil"/>
            </w:tcBorders>
            <w:shd w:val="clear" w:color="auto" w:fill="E2EFD9" w:themeFill="accent6" w:themeFillTint="33"/>
            <w:noWrap/>
            <w:vAlign w:val="center"/>
            <w:hideMark/>
          </w:tcPr>
          <w:p w14:paraId="3FB207E4" w14:textId="4DEA751A" w:rsidR="00715E4F" w:rsidRPr="007200F6" w:rsidRDefault="00715E4F" w:rsidP="007200F6">
            <w:pPr>
              <w:jc w:val="center"/>
              <w:rPr>
                <w:b/>
                <w:sz w:val="18"/>
                <w:szCs w:val="18"/>
              </w:rPr>
            </w:pPr>
            <w:r w:rsidRPr="007200F6">
              <w:rPr>
                <w:b/>
                <w:sz w:val="18"/>
                <w:szCs w:val="18"/>
              </w:rPr>
              <w:t>100</w:t>
            </w:r>
            <w:r w:rsidR="007200F6" w:rsidRPr="007200F6">
              <w:rPr>
                <w:b/>
                <w:sz w:val="18"/>
                <w:szCs w:val="18"/>
              </w:rPr>
              <w:t>.0</w:t>
            </w:r>
          </w:p>
        </w:tc>
        <w:tc>
          <w:tcPr>
            <w:tcW w:w="737" w:type="pct"/>
            <w:tcBorders>
              <w:top w:val="single" w:sz="4" w:space="0" w:color="auto"/>
              <w:left w:val="nil"/>
              <w:bottom w:val="single" w:sz="4" w:space="0" w:color="auto"/>
              <w:right w:val="nil"/>
            </w:tcBorders>
            <w:shd w:val="clear" w:color="auto" w:fill="E2EFD9" w:themeFill="accent6" w:themeFillTint="33"/>
            <w:noWrap/>
            <w:vAlign w:val="center"/>
            <w:hideMark/>
          </w:tcPr>
          <w:p w14:paraId="2BE58195" w14:textId="04829D20" w:rsidR="00715E4F" w:rsidRPr="007200F6" w:rsidRDefault="00715E4F" w:rsidP="007200F6">
            <w:pPr>
              <w:jc w:val="center"/>
              <w:rPr>
                <w:b/>
                <w:bCs/>
                <w:sz w:val="18"/>
                <w:szCs w:val="18"/>
              </w:rPr>
            </w:pPr>
            <w:r w:rsidRPr="007200F6">
              <w:rPr>
                <w:b/>
                <w:bCs/>
                <w:sz w:val="18"/>
                <w:szCs w:val="18"/>
              </w:rPr>
              <w:t>20,575,742</w:t>
            </w:r>
          </w:p>
        </w:tc>
        <w:tc>
          <w:tcPr>
            <w:tcW w:w="705" w:type="pct"/>
            <w:tcBorders>
              <w:top w:val="single" w:sz="4" w:space="0" w:color="auto"/>
              <w:left w:val="nil"/>
              <w:bottom w:val="single" w:sz="4" w:space="0" w:color="auto"/>
              <w:right w:val="nil"/>
            </w:tcBorders>
            <w:shd w:val="clear" w:color="auto" w:fill="E2EFD9" w:themeFill="accent6" w:themeFillTint="33"/>
            <w:noWrap/>
            <w:vAlign w:val="center"/>
            <w:hideMark/>
          </w:tcPr>
          <w:p w14:paraId="1EA90893" w14:textId="25E431CC" w:rsidR="00715E4F" w:rsidRPr="007200F6" w:rsidRDefault="00715E4F" w:rsidP="007200F6">
            <w:pPr>
              <w:jc w:val="center"/>
              <w:rPr>
                <w:b/>
                <w:sz w:val="18"/>
                <w:szCs w:val="18"/>
              </w:rPr>
            </w:pPr>
            <w:r w:rsidRPr="007200F6">
              <w:rPr>
                <w:b/>
                <w:sz w:val="18"/>
                <w:szCs w:val="18"/>
              </w:rPr>
              <w:t>100.0</w:t>
            </w:r>
          </w:p>
        </w:tc>
      </w:tr>
    </w:tbl>
    <w:p w14:paraId="40EA2BF5" w14:textId="27E7387C" w:rsidR="00715E4F" w:rsidRPr="006B42D6" w:rsidRDefault="00715E4F" w:rsidP="005C2EFC">
      <w:pPr>
        <w:pStyle w:val="Heading2"/>
      </w:pPr>
      <w:bookmarkStart w:id="51" w:name="_Toc82385632"/>
      <w:r w:rsidRPr="006B42D6">
        <w:lastRenderedPageBreak/>
        <w:t>2.</w:t>
      </w:r>
      <w:r w:rsidR="003F4EAA">
        <w:t>3</w:t>
      </w:r>
      <w:r w:rsidR="0051555F" w:rsidRPr="006B42D6">
        <w:tab/>
      </w:r>
      <w:r w:rsidRPr="006B42D6">
        <w:t>Number and Size of Agricultural Households</w:t>
      </w:r>
      <w:bookmarkEnd w:id="51"/>
      <w:r w:rsidRPr="006B42D6">
        <w:t xml:space="preserve">  </w:t>
      </w:r>
    </w:p>
    <w:p w14:paraId="72A51F5B" w14:textId="3AFBDDB9" w:rsidR="00715E4F" w:rsidRDefault="00715E4F" w:rsidP="003A083C">
      <w:r w:rsidRPr="006B42D6">
        <w:t>The 2019/20 National Sample Census of Agriculture results reveal that Tanzania has 7,837,405 agricultural households compared to 5,838,523 in 2007/08</w:t>
      </w:r>
      <w:r w:rsidR="00956403" w:rsidRPr="006B42D6">
        <w:t xml:space="preserve"> Agricultural Census</w:t>
      </w:r>
      <w:r w:rsidRPr="006B42D6">
        <w:t xml:space="preserve">, with 7,657,185 in the </w:t>
      </w:r>
      <w:r w:rsidR="00690D6B" w:rsidRPr="006B42D6">
        <w:t xml:space="preserve">Mainland </w:t>
      </w:r>
      <w:r w:rsidR="00546F13" w:rsidRPr="006B42D6">
        <w:t xml:space="preserve">Tanzania </w:t>
      </w:r>
      <w:r w:rsidRPr="006B42D6">
        <w:t xml:space="preserve">and 180,220 in </w:t>
      </w:r>
      <w:r w:rsidR="00546F13" w:rsidRPr="006B42D6">
        <w:t xml:space="preserve">Tanzania </w:t>
      </w:r>
      <w:r w:rsidRPr="006B42D6">
        <w:t>Zanzibar. There were 6,028,810 male headed households and 1,808,595 female headed household</w:t>
      </w:r>
      <w:r w:rsidR="00690D6B" w:rsidRPr="006B42D6">
        <w:t>s</w:t>
      </w:r>
      <w:r w:rsidRPr="006B42D6">
        <w:t xml:space="preserve"> </w:t>
      </w:r>
      <w:r w:rsidR="00690D6B" w:rsidRPr="006B42D6">
        <w:t xml:space="preserve">during </w:t>
      </w:r>
      <w:r w:rsidRPr="006B42D6">
        <w:t xml:space="preserve">2019/20 agricultural year. </w:t>
      </w:r>
      <w:r w:rsidR="00690D6B" w:rsidRPr="006B42D6">
        <w:t>Furthermore, female-headed households account for 23.1 percent of all households in Tanzania.</w:t>
      </w:r>
    </w:p>
    <w:p w14:paraId="7AE8C61D" w14:textId="77777777" w:rsidR="00347E34" w:rsidRPr="006B42D6" w:rsidRDefault="00347E34" w:rsidP="00395E7C">
      <w:pPr>
        <w:spacing w:line="240" w:lineRule="auto"/>
      </w:pPr>
    </w:p>
    <w:p w14:paraId="737E95AB" w14:textId="61765AE7" w:rsidR="00715E4F" w:rsidRDefault="00715E4F" w:rsidP="003A083C">
      <w:r w:rsidRPr="006B42D6">
        <w:t xml:space="preserve">In Tanzania, the average household size for agricultural households </w:t>
      </w:r>
      <w:r w:rsidR="00690D6B" w:rsidRPr="006B42D6">
        <w:t xml:space="preserve">was </w:t>
      </w:r>
      <w:r w:rsidRPr="006B42D6">
        <w:t>5.2 persons</w:t>
      </w:r>
      <w:r w:rsidR="00690D6B" w:rsidRPr="006B42D6">
        <w:t xml:space="preserve"> in 2019/20</w:t>
      </w:r>
      <w:r w:rsidRPr="006B42D6">
        <w:t xml:space="preserve">, down from 5.3 in 2007/08. Simiyu </w:t>
      </w:r>
      <w:r w:rsidR="00956403" w:rsidRPr="006B42D6">
        <w:t xml:space="preserve">region </w:t>
      </w:r>
      <w:r w:rsidR="00690D6B" w:rsidRPr="006B42D6">
        <w:t xml:space="preserve">reported to have </w:t>
      </w:r>
      <w:r w:rsidRPr="006B42D6">
        <w:t xml:space="preserve">the largest average </w:t>
      </w:r>
      <w:r w:rsidR="00690D6B" w:rsidRPr="006B42D6">
        <w:t xml:space="preserve">household size </w:t>
      </w:r>
      <w:r w:rsidRPr="006B42D6">
        <w:t>(7.3</w:t>
      </w:r>
      <w:r w:rsidR="00690D6B" w:rsidRPr="006B42D6">
        <w:t xml:space="preserve"> persons</w:t>
      </w:r>
      <w:r w:rsidRPr="006B42D6">
        <w:t xml:space="preserve">), followed by Tabora and </w:t>
      </w:r>
      <w:r w:rsidR="005A2D43">
        <w:t>Geita</w:t>
      </w:r>
      <w:r w:rsidRPr="006B42D6">
        <w:t xml:space="preserve"> </w:t>
      </w:r>
      <w:r w:rsidR="00956403" w:rsidRPr="006B42D6">
        <w:t xml:space="preserve">regions </w:t>
      </w:r>
      <w:r w:rsidRPr="006B42D6">
        <w:t>(7.1</w:t>
      </w:r>
      <w:r w:rsidR="00690D6B" w:rsidRPr="006B42D6">
        <w:t xml:space="preserve"> persons</w:t>
      </w:r>
      <w:r w:rsidRPr="006B42D6">
        <w:t xml:space="preserve">). The smallest household size </w:t>
      </w:r>
      <w:r w:rsidR="00690D6B" w:rsidRPr="006B42D6">
        <w:t xml:space="preserve">was </w:t>
      </w:r>
      <w:r w:rsidRPr="006B42D6">
        <w:t xml:space="preserve">in </w:t>
      </w:r>
      <w:r w:rsidR="00690D6B" w:rsidRPr="006B42D6">
        <w:t xml:space="preserve">Njombe </w:t>
      </w:r>
      <w:r w:rsidR="00956403" w:rsidRPr="006B42D6">
        <w:t xml:space="preserve">region </w:t>
      </w:r>
      <w:r w:rsidRPr="006B42D6">
        <w:t xml:space="preserve">(3.7 </w:t>
      </w:r>
      <w:r w:rsidR="00690D6B" w:rsidRPr="006B42D6">
        <w:t>persons</w:t>
      </w:r>
      <w:r w:rsidRPr="006B42D6">
        <w:t>) (Figure 2.</w:t>
      </w:r>
      <w:r w:rsidR="007200F6">
        <w:t>5</w:t>
      </w:r>
      <w:r w:rsidRPr="006B42D6">
        <w:t>).</w:t>
      </w:r>
    </w:p>
    <w:p w14:paraId="40B6B689" w14:textId="77777777" w:rsidR="003403D7" w:rsidRPr="006B42D6" w:rsidRDefault="003403D7" w:rsidP="00B16B24">
      <w:pPr>
        <w:spacing w:line="240" w:lineRule="auto"/>
      </w:pPr>
    </w:p>
    <w:p w14:paraId="6CA7BC75" w14:textId="7436834B" w:rsidR="003A083C" w:rsidRDefault="00347E34" w:rsidP="00661CF7">
      <w:pPr>
        <w:pStyle w:val="Caption"/>
      </w:pPr>
      <w:bookmarkStart w:id="52" w:name="_Toc82386264"/>
      <w:r>
        <w:rPr>
          <w:noProof/>
        </w:rPr>
        <w:drawing>
          <wp:anchor distT="0" distB="0" distL="114300" distR="114300" simplePos="0" relativeHeight="251745280" behindDoc="1" locked="0" layoutInCell="1" allowOverlap="1" wp14:anchorId="05E7790F" wp14:editId="2E725DFA">
            <wp:simplePos x="0" y="0"/>
            <wp:positionH relativeFrom="column">
              <wp:posOffset>0</wp:posOffset>
            </wp:positionH>
            <wp:positionV relativeFrom="paragraph">
              <wp:posOffset>439420</wp:posOffset>
            </wp:positionV>
            <wp:extent cx="5782945" cy="2877185"/>
            <wp:effectExtent l="0" t="0" r="8255" b="18415"/>
            <wp:wrapTight wrapText="bothSides">
              <wp:wrapPolygon edited="0">
                <wp:start x="0" y="0"/>
                <wp:lineTo x="0" y="21643"/>
                <wp:lineTo x="21583" y="21643"/>
                <wp:lineTo x="21583" y="0"/>
                <wp:lineTo x="0" y="0"/>
              </wp:wrapPolygon>
            </wp:wrapTight>
            <wp:docPr id="293" name="Chart 29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14:sizeRelH relativeFrom="page">
              <wp14:pctWidth>0</wp14:pctWidth>
            </wp14:sizeRelH>
            <wp14:sizeRelV relativeFrom="page">
              <wp14:pctHeight>0</wp14:pctHeight>
            </wp14:sizeRelV>
          </wp:anchor>
        </w:drawing>
      </w:r>
      <w:r w:rsidR="003A083C" w:rsidRPr="00546F13">
        <w:t>Figure 2.</w:t>
      </w:r>
      <w:r w:rsidR="007200F6">
        <w:t>5</w:t>
      </w:r>
      <w:r w:rsidR="004F50BD">
        <w:t>:</w:t>
      </w:r>
      <w:r w:rsidR="00661CF7">
        <w:tab/>
      </w:r>
      <w:r w:rsidR="003A083C" w:rsidRPr="00546F13">
        <w:t>Average Household Size of Agricultural Households during 2019/20 Agricultural Year, Tanzania</w:t>
      </w:r>
      <w:bookmarkEnd w:id="52"/>
    </w:p>
    <w:p w14:paraId="6A57BDE5" w14:textId="77777777" w:rsidR="00DB582F" w:rsidRPr="00DB582F" w:rsidRDefault="00DB582F" w:rsidP="00DB582F"/>
    <w:p w14:paraId="750BA686" w14:textId="77777777" w:rsidR="00722A0C" w:rsidRDefault="00722A0C">
      <w:pPr>
        <w:spacing w:line="240" w:lineRule="auto"/>
        <w:contextualSpacing w:val="0"/>
        <w:jc w:val="left"/>
      </w:pPr>
      <w:r>
        <w:br w:type="page"/>
      </w:r>
    </w:p>
    <w:bookmarkStart w:id="53" w:name="_Toc82385633"/>
    <w:p w14:paraId="552D58E0" w14:textId="77660E77" w:rsidR="00715E4F" w:rsidRPr="006B42D6" w:rsidRDefault="00A86749" w:rsidP="005C2EFC">
      <w:pPr>
        <w:pStyle w:val="Heading2"/>
      </w:pPr>
      <w:r>
        <w:rPr>
          <w:noProof/>
        </w:rPr>
        <w:lastRenderedPageBreak/>
        <mc:AlternateContent>
          <mc:Choice Requires="wps">
            <w:drawing>
              <wp:anchor distT="0" distB="0" distL="114300" distR="114300" simplePos="0" relativeHeight="251537408" behindDoc="0" locked="0" layoutInCell="1" allowOverlap="1" wp14:anchorId="68482E61" wp14:editId="5CF056A0">
                <wp:simplePos x="0" y="0"/>
                <wp:positionH relativeFrom="column">
                  <wp:posOffset>2340610</wp:posOffset>
                </wp:positionH>
                <wp:positionV relativeFrom="paragraph">
                  <wp:posOffset>15240</wp:posOffset>
                </wp:positionV>
                <wp:extent cx="3145155" cy="476885"/>
                <wp:effectExtent l="0" t="0" r="4445" b="5715"/>
                <wp:wrapTight wrapText="bothSides">
                  <wp:wrapPolygon edited="0">
                    <wp:start x="0" y="0"/>
                    <wp:lineTo x="0" y="21284"/>
                    <wp:lineTo x="21543" y="21284"/>
                    <wp:lineTo x="21543" y="0"/>
                    <wp:lineTo x="0" y="0"/>
                  </wp:wrapPolygon>
                </wp:wrapTight>
                <wp:docPr id="296" name="Text Box 296"/>
                <wp:cNvGraphicFramePr/>
                <a:graphic xmlns:a="http://schemas.openxmlformats.org/drawingml/2006/main">
                  <a:graphicData uri="http://schemas.microsoft.com/office/word/2010/wordprocessingShape">
                    <wps:wsp>
                      <wps:cNvSpPr txBox="1"/>
                      <wps:spPr>
                        <a:xfrm>
                          <a:off x="0" y="0"/>
                          <a:ext cx="3145155" cy="476885"/>
                        </a:xfrm>
                        <a:prstGeom prst="rect">
                          <a:avLst/>
                        </a:prstGeom>
                        <a:solidFill>
                          <a:prstClr val="white"/>
                        </a:solidFill>
                        <a:ln>
                          <a:noFill/>
                        </a:ln>
                      </wps:spPr>
                      <wps:txbx>
                        <w:txbxContent>
                          <w:p w14:paraId="779FA630" w14:textId="3CC160DD" w:rsidR="00933456" w:rsidRPr="004F50BD" w:rsidRDefault="00933456" w:rsidP="004F50BD">
                            <w:pPr>
                              <w:pStyle w:val="Caption"/>
                            </w:pPr>
                            <w:bookmarkStart w:id="54" w:name="_Toc80120162"/>
                            <w:bookmarkStart w:id="55" w:name="_Toc80884039"/>
                            <w:bookmarkStart w:id="56" w:name="_Toc80884410"/>
                            <w:bookmarkStart w:id="57" w:name="_Toc82386265"/>
                            <w:r w:rsidRPr="004F50BD">
                              <w:t>Figure 2.6:</w:t>
                            </w:r>
                            <w:r>
                              <w:tab/>
                            </w:r>
                            <w:r w:rsidRPr="004F50BD">
                              <w:t>Agriculture Household Members by Literacy Rate During 2019/20 Agricultural Year, Tanzania</w:t>
                            </w:r>
                            <w:bookmarkEnd w:id="54"/>
                            <w:bookmarkEnd w:id="55"/>
                            <w:bookmarkEnd w:id="56"/>
                            <w:bookmarkEnd w:id="57"/>
                          </w:p>
                          <w:p w14:paraId="42B789E8" w14:textId="77777777" w:rsidR="00933456" w:rsidRPr="004F50BD" w:rsidRDefault="00933456" w:rsidP="004F50BD">
                            <w:pPr>
                              <w:pStyle w:val="Caption"/>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482E61" id="Text Box 296" o:spid="_x0000_s1032" type="#_x0000_t202" style="position:absolute;left:0;text-align:left;margin-left:184.3pt;margin-top:1.2pt;width:247.65pt;height:37.55pt;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" stroked="f">
                <v:textbox inset="0,0,0,0">
                  <w:txbxContent>
                    <w:p w14:paraId="779FA630" w14:textId="3CC160DD" w:rsidR="00933456" w:rsidRPr="004F50BD" w:rsidRDefault="00933456" w:rsidP="004F50BD">
                      <w:pPr>
                        <w:pStyle w:val="Caption"/>
                      </w:pPr>
                      <w:bookmarkStart w:id="66" w:name="_Toc80120162"/>
                      <w:bookmarkStart w:id="67" w:name="_Toc80884039"/>
                      <w:bookmarkStart w:id="68" w:name="_Toc80884410"/>
                      <w:bookmarkStart w:id="69" w:name="_Toc82386265"/>
                      <w:r w:rsidRPr="004F50BD">
                        <w:t>Figure 2.6:</w:t>
                      </w:r>
                      <w:r>
                        <w:tab/>
                      </w:r>
                      <w:r w:rsidRPr="004F50BD">
                        <w:t>Agriculture Household Members by Literacy Rate During 2019/20 Agricultural Year, Tanzania</w:t>
                      </w:r>
                      <w:bookmarkEnd w:id="66"/>
                      <w:bookmarkEnd w:id="67"/>
                      <w:bookmarkEnd w:id="68"/>
                      <w:bookmarkEnd w:id="69"/>
                    </w:p>
                    <w:p w14:paraId="42B789E8" w14:textId="77777777" w:rsidR="00933456" w:rsidRPr="004F50BD" w:rsidRDefault="00933456" w:rsidP="004F50BD">
                      <w:pPr>
                        <w:pStyle w:val="Caption"/>
                      </w:pPr>
                    </w:p>
                  </w:txbxContent>
                </v:textbox>
                <w10:wrap type="tight"/>
              </v:shape>
            </w:pict>
          </mc:Fallback>
        </mc:AlternateContent>
      </w:r>
      <w:r w:rsidR="00715E4F" w:rsidRPr="006B42D6">
        <w:t>2.</w:t>
      </w:r>
      <w:r w:rsidR="003F4EAA">
        <w:t>4</w:t>
      </w:r>
      <w:r w:rsidR="00E763F5" w:rsidRPr="006B42D6">
        <w:tab/>
      </w:r>
      <w:r w:rsidR="00715E4F" w:rsidRPr="006B42D6">
        <w:t>Literacy and Education of Agricultural Population</w:t>
      </w:r>
      <w:bookmarkEnd w:id="53"/>
      <w:r w:rsidR="00715E4F" w:rsidRPr="006B42D6">
        <w:t xml:space="preserve"> </w:t>
      </w:r>
    </w:p>
    <w:p w14:paraId="037B62E0" w14:textId="17C4E3DB" w:rsidR="003A083C" w:rsidRDefault="00722A0C" w:rsidP="00661CF7">
      <w:pPr>
        <w:rPr>
          <w:rFonts w:eastAsia="Calibri"/>
          <w:lang w:val="en-GB"/>
        </w:rPr>
      </w:pPr>
      <w:r>
        <w:rPr>
          <w:noProof/>
        </w:rPr>
        <w:drawing>
          <wp:anchor distT="0" distB="0" distL="114300" distR="114300" simplePos="0" relativeHeight="251538432" behindDoc="0" locked="0" layoutInCell="1" allowOverlap="1" wp14:anchorId="531407CE" wp14:editId="0B3811F8">
            <wp:simplePos x="0" y="0"/>
            <wp:positionH relativeFrom="column">
              <wp:posOffset>2340610</wp:posOffset>
            </wp:positionH>
            <wp:positionV relativeFrom="paragraph">
              <wp:posOffset>95885</wp:posOffset>
            </wp:positionV>
            <wp:extent cx="3145155" cy="1922780"/>
            <wp:effectExtent l="0" t="0" r="17145" b="7620"/>
            <wp:wrapTight wrapText="bothSides">
              <wp:wrapPolygon edited="0">
                <wp:start x="0" y="0"/>
                <wp:lineTo x="0" y="21543"/>
                <wp:lineTo x="21631" y="21543"/>
                <wp:lineTo x="21631" y="0"/>
                <wp:lineTo x="0" y="0"/>
              </wp:wrapPolygon>
            </wp:wrapTight>
            <wp:docPr id="297" name="Chart 2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14:sizeRelH relativeFrom="margin">
              <wp14:pctWidth>0</wp14:pctWidth>
            </wp14:sizeRelH>
            <wp14:sizeRelV relativeFrom="margin">
              <wp14:pctHeight>0</wp14:pctHeight>
            </wp14:sizeRelV>
          </wp:anchor>
        </w:drawing>
      </w:r>
      <w:r w:rsidR="00715E4F" w:rsidRPr="006B42D6">
        <w:rPr>
          <w:rFonts w:eastAsia="Calibri"/>
          <w:lang w:val="en-GB"/>
        </w:rPr>
        <w:t>Literacy in Tanzania is defined as the ability to read and write a simple sentence in Kiswahili only, English only, both English and Swahili or in any other language. Information on literacy and education attainment was obtained from all persons aged five years and above.</w:t>
      </w:r>
    </w:p>
    <w:p w14:paraId="1243C5CC" w14:textId="7AD19D3E" w:rsidR="00661CF7" w:rsidRPr="006B42D6" w:rsidRDefault="00661CF7" w:rsidP="00B16B24">
      <w:pPr>
        <w:spacing w:line="240" w:lineRule="auto"/>
        <w:rPr>
          <w:rFonts w:eastAsia="Calibri"/>
          <w:lang w:val="en-GB"/>
        </w:rPr>
      </w:pPr>
    </w:p>
    <w:p w14:paraId="3860B0FD" w14:textId="0C84D155" w:rsidR="000422C3" w:rsidRDefault="00715E4F" w:rsidP="00661CF7">
      <w:r w:rsidRPr="006B42D6">
        <w:t>Kiswahili</w:t>
      </w:r>
      <w:r w:rsidR="000C371E" w:rsidRPr="006B42D6">
        <w:t xml:space="preserve"> language</w:t>
      </w:r>
      <w:r w:rsidRPr="006B42D6">
        <w:t xml:space="preserve"> </w:t>
      </w:r>
      <w:r w:rsidR="000C371E" w:rsidRPr="006B42D6">
        <w:t xml:space="preserve">had </w:t>
      </w:r>
      <w:r w:rsidRPr="006B42D6">
        <w:t>the highest literacy rate with 64.5 percent of the agricultural population, followed by both Kiswahili and English</w:t>
      </w:r>
      <w:r w:rsidR="000C371E" w:rsidRPr="006B42D6">
        <w:t xml:space="preserve"> languages</w:t>
      </w:r>
      <w:r w:rsidRPr="006B42D6">
        <w:t xml:space="preserve"> (12.7 percent) and </w:t>
      </w:r>
      <w:r w:rsidR="000C371E" w:rsidRPr="006B42D6">
        <w:t xml:space="preserve">1.0 </w:t>
      </w:r>
      <w:r w:rsidRPr="006B42D6">
        <w:t>percent for any other language. However, 21.9 percent of the population reported they couldn’t read/write in any language. Literacy rate in Kiswahili</w:t>
      </w:r>
      <w:r w:rsidR="000C371E" w:rsidRPr="006B42D6">
        <w:t xml:space="preserve"> language</w:t>
      </w:r>
      <w:r w:rsidRPr="006B42D6">
        <w:t xml:space="preserve"> has slightly declined by </w:t>
      </w:r>
      <w:r w:rsidR="000C371E" w:rsidRPr="006B42D6">
        <w:t xml:space="preserve">1.4 </w:t>
      </w:r>
      <w:r w:rsidR="00956403" w:rsidRPr="006B42D6">
        <w:t>percent</w:t>
      </w:r>
      <w:r w:rsidRPr="006B42D6">
        <w:t>, from 65</w:t>
      </w:r>
      <w:r w:rsidR="000C371E" w:rsidRPr="006B42D6">
        <w:t>.9</w:t>
      </w:r>
      <w:r w:rsidRPr="006B42D6">
        <w:t xml:space="preserve"> percent in 2007/08 to 64.5 percent in 2019/20</w:t>
      </w:r>
      <w:r w:rsidR="000C371E" w:rsidRPr="006B42D6">
        <w:t>.</w:t>
      </w:r>
      <w:r w:rsidRPr="006B42D6">
        <w:t xml:space="preserve"> </w:t>
      </w:r>
      <w:r w:rsidR="000C371E" w:rsidRPr="006B42D6">
        <w:t>H</w:t>
      </w:r>
      <w:r w:rsidRPr="006B42D6">
        <w:t>owever</w:t>
      </w:r>
      <w:r w:rsidR="000C371E" w:rsidRPr="006B42D6">
        <w:t>,</w:t>
      </w:r>
      <w:r w:rsidRPr="006B42D6">
        <w:t xml:space="preserve"> the number of people who can read and write both Kiswahili and English</w:t>
      </w:r>
      <w:r w:rsidR="000C371E" w:rsidRPr="006B42D6">
        <w:t xml:space="preserve"> languages</w:t>
      </w:r>
      <w:r w:rsidRPr="006B42D6">
        <w:t xml:space="preserve"> have scaled up from 7.3 percent in 2007/08 to 12.7 percent in 2019/20 (Figure 2.</w:t>
      </w:r>
      <w:r w:rsidR="004F50BD">
        <w:t>6</w:t>
      </w:r>
      <w:r w:rsidRPr="006B42D6">
        <w:t>).</w:t>
      </w:r>
    </w:p>
    <w:p w14:paraId="5E5F54D0" w14:textId="77777777" w:rsidR="00DB582F" w:rsidRDefault="00DB582F" w:rsidP="00DB582F">
      <w:pPr>
        <w:spacing w:line="240" w:lineRule="auto"/>
      </w:pPr>
    </w:p>
    <w:p w14:paraId="0B5A6846" w14:textId="05C73547" w:rsidR="00AA7CF3" w:rsidRDefault="00715E4F" w:rsidP="003A083C">
      <w:pPr>
        <w:rPr>
          <w:rFonts w:eastAsia="Calibri"/>
          <w:lang w:val="en-GB"/>
        </w:rPr>
      </w:pPr>
      <w:r w:rsidRPr="006B42D6">
        <w:t>The number of people who can</w:t>
      </w:r>
      <w:r w:rsidR="00F21BAA" w:rsidRPr="006B42D6">
        <w:t xml:space="preserve"> </w:t>
      </w:r>
      <w:r w:rsidRPr="006B42D6">
        <w:t>not read or write has decreased from 26.7 percent in 200</w:t>
      </w:r>
      <w:r w:rsidR="000C371E" w:rsidRPr="006B42D6">
        <w:t>7/08</w:t>
      </w:r>
      <w:r w:rsidRPr="006B42D6">
        <w:t xml:space="preserve"> to 21.9 percent in 2019/20</w:t>
      </w:r>
      <w:r w:rsidR="000C371E" w:rsidRPr="006B42D6">
        <w:t xml:space="preserve">, this </w:t>
      </w:r>
      <w:r w:rsidRPr="006B42D6">
        <w:t xml:space="preserve">indicates that literacy has improved. </w:t>
      </w:r>
      <w:r w:rsidRPr="006B42D6">
        <w:rPr>
          <w:rFonts w:eastAsia="Calibri"/>
          <w:lang w:val="en-GB"/>
        </w:rPr>
        <w:t xml:space="preserve">Tanzania's agricultural population has a literacy rate of </w:t>
      </w:r>
      <w:r w:rsidR="000C371E" w:rsidRPr="006B42D6">
        <w:rPr>
          <w:rFonts w:eastAsia="Calibri"/>
          <w:lang w:val="en-GB"/>
        </w:rPr>
        <w:t xml:space="preserve">78.1 </w:t>
      </w:r>
      <w:r w:rsidRPr="006B42D6">
        <w:rPr>
          <w:rFonts w:eastAsia="Calibri"/>
          <w:lang w:val="en-GB"/>
        </w:rPr>
        <w:t>percent</w:t>
      </w:r>
      <w:r w:rsidR="00CA5AC7" w:rsidRPr="006B42D6">
        <w:rPr>
          <w:rFonts w:eastAsia="Calibri"/>
          <w:lang w:val="en-GB"/>
        </w:rPr>
        <w:t xml:space="preserve"> in 2019/20</w:t>
      </w:r>
      <w:r w:rsidRPr="006B42D6">
        <w:rPr>
          <w:rFonts w:eastAsia="Calibri"/>
          <w:lang w:val="en-GB"/>
        </w:rPr>
        <w:t>, compared to 73</w:t>
      </w:r>
      <w:r w:rsidR="000C371E" w:rsidRPr="006B42D6">
        <w:rPr>
          <w:rFonts w:eastAsia="Calibri"/>
          <w:lang w:val="en-GB"/>
        </w:rPr>
        <w:t>.3</w:t>
      </w:r>
      <w:r w:rsidRPr="006B42D6">
        <w:rPr>
          <w:rFonts w:eastAsia="Calibri"/>
          <w:lang w:val="en-GB"/>
        </w:rPr>
        <w:t xml:space="preserve"> percent in 20</w:t>
      </w:r>
      <w:r w:rsidR="00CA5AC7" w:rsidRPr="006B42D6">
        <w:rPr>
          <w:rFonts w:eastAsia="Calibri"/>
          <w:lang w:val="en-GB"/>
        </w:rPr>
        <w:t>07/</w:t>
      </w:r>
      <w:r w:rsidRPr="006B42D6">
        <w:rPr>
          <w:rFonts w:eastAsia="Calibri"/>
          <w:lang w:val="en-GB"/>
        </w:rPr>
        <w:t xml:space="preserve">08. Regional disparities do exist, </w:t>
      </w:r>
      <w:r w:rsidR="00F21BAA" w:rsidRPr="006B42D6">
        <w:rPr>
          <w:rFonts w:eastAsia="Calibri"/>
          <w:lang w:val="en-GB"/>
        </w:rPr>
        <w:t xml:space="preserve">in Mainland Tanzania, </w:t>
      </w:r>
      <w:r w:rsidRPr="006B42D6">
        <w:rPr>
          <w:rFonts w:eastAsia="Calibri"/>
          <w:lang w:val="en-GB"/>
        </w:rPr>
        <w:t xml:space="preserve">Dar es </w:t>
      </w:r>
      <w:r w:rsidR="00F21BAA" w:rsidRPr="006B42D6">
        <w:rPr>
          <w:rFonts w:eastAsia="Calibri"/>
          <w:lang w:val="en-GB"/>
        </w:rPr>
        <w:t xml:space="preserve">Salaam </w:t>
      </w:r>
      <w:r w:rsidRPr="006B42D6">
        <w:rPr>
          <w:rFonts w:eastAsia="Calibri"/>
          <w:lang w:val="en-GB"/>
        </w:rPr>
        <w:t xml:space="preserve">region </w:t>
      </w:r>
      <w:r w:rsidR="00F21BAA" w:rsidRPr="006B42D6">
        <w:rPr>
          <w:rFonts w:eastAsia="Calibri"/>
          <w:lang w:val="en-GB"/>
        </w:rPr>
        <w:t xml:space="preserve">had </w:t>
      </w:r>
      <w:r w:rsidRPr="006B42D6">
        <w:rPr>
          <w:rFonts w:eastAsia="Calibri"/>
          <w:lang w:val="en-GB"/>
        </w:rPr>
        <w:t>the highest literacy rate of 93.7 percent</w:t>
      </w:r>
      <w:r w:rsidR="00F21BAA" w:rsidRPr="006B42D6">
        <w:rPr>
          <w:rFonts w:eastAsia="Calibri"/>
          <w:lang w:val="en-GB"/>
        </w:rPr>
        <w:t xml:space="preserve">, </w:t>
      </w:r>
      <w:r w:rsidR="006B42D6" w:rsidRPr="006B42D6">
        <w:rPr>
          <w:rFonts w:eastAsia="Calibri"/>
          <w:lang w:val="en-GB"/>
        </w:rPr>
        <w:t>followed</w:t>
      </w:r>
      <w:r w:rsidR="00F21BAA" w:rsidRPr="006B42D6">
        <w:rPr>
          <w:rFonts w:eastAsia="Calibri"/>
          <w:lang w:val="en-GB"/>
        </w:rPr>
        <w:t xml:space="preserve"> by</w:t>
      </w:r>
      <w:r w:rsidRPr="006B42D6">
        <w:rPr>
          <w:rFonts w:eastAsia="Calibri"/>
          <w:lang w:val="en-GB"/>
        </w:rPr>
        <w:t xml:space="preserve"> Kilimanjaro (92.4 percent</w:t>
      </w:r>
      <w:r w:rsidR="00F21BAA" w:rsidRPr="006B42D6">
        <w:rPr>
          <w:rFonts w:eastAsia="Calibri"/>
          <w:lang w:val="en-GB"/>
        </w:rPr>
        <w:t>), while the</w:t>
      </w:r>
      <w:r w:rsidRPr="006B42D6">
        <w:rPr>
          <w:rFonts w:eastAsia="Calibri"/>
          <w:lang w:val="en-GB"/>
        </w:rPr>
        <w:t xml:space="preserve"> region with the lowest literacy rates was Tabora (63.5 percent)</w:t>
      </w:r>
      <w:r w:rsidR="00F21BAA" w:rsidRPr="006B42D6">
        <w:rPr>
          <w:rFonts w:eastAsia="Calibri"/>
          <w:lang w:val="en-GB"/>
        </w:rPr>
        <w:t>.</w:t>
      </w:r>
      <w:r w:rsidRPr="006B42D6">
        <w:rPr>
          <w:rFonts w:eastAsia="Calibri"/>
          <w:lang w:val="en-GB"/>
        </w:rPr>
        <w:t xml:space="preserve"> </w:t>
      </w:r>
      <w:r w:rsidR="00F21BAA" w:rsidRPr="006B42D6">
        <w:rPr>
          <w:rFonts w:eastAsia="Calibri"/>
          <w:lang w:val="en-GB"/>
        </w:rPr>
        <w:t xml:space="preserve">In </w:t>
      </w:r>
      <w:r w:rsidR="00546F13" w:rsidRPr="006B42D6">
        <w:rPr>
          <w:rFonts w:eastAsia="Calibri"/>
          <w:lang w:val="en-GB"/>
        </w:rPr>
        <w:t xml:space="preserve">Tanzania </w:t>
      </w:r>
      <w:r w:rsidRPr="006B42D6">
        <w:rPr>
          <w:rFonts w:eastAsia="Calibri"/>
          <w:lang w:val="en-GB"/>
        </w:rPr>
        <w:t>Zanzibar</w:t>
      </w:r>
      <w:r w:rsidR="00F21BAA" w:rsidRPr="006B42D6">
        <w:rPr>
          <w:rFonts w:eastAsia="Calibri"/>
          <w:lang w:val="en-GB"/>
        </w:rPr>
        <w:t>,</w:t>
      </w:r>
      <w:r w:rsidRPr="006B42D6">
        <w:rPr>
          <w:rFonts w:eastAsia="Calibri"/>
          <w:lang w:val="en-GB"/>
        </w:rPr>
        <w:t xml:space="preserve"> </w:t>
      </w:r>
      <w:r w:rsidR="00F21BAA" w:rsidRPr="006B42D6">
        <w:rPr>
          <w:rFonts w:eastAsia="Calibri"/>
          <w:lang w:val="en-GB"/>
        </w:rPr>
        <w:t xml:space="preserve">Kusini Unguja region had the highest literacy rate (92.8 percent), whilst </w:t>
      </w:r>
      <w:r w:rsidRPr="006B42D6">
        <w:rPr>
          <w:rFonts w:eastAsia="Calibri"/>
          <w:lang w:val="en-GB"/>
        </w:rPr>
        <w:t>the lowest</w:t>
      </w:r>
      <w:r w:rsidR="00956403" w:rsidRPr="006B42D6">
        <w:rPr>
          <w:rFonts w:eastAsia="Calibri"/>
          <w:lang w:val="en-GB"/>
        </w:rPr>
        <w:t xml:space="preserve"> was</w:t>
      </w:r>
      <w:r w:rsidRPr="006B42D6">
        <w:rPr>
          <w:rFonts w:eastAsia="Calibri"/>
          <w:lang w:val="en-GB"/>
        </w:rPr>
        <w:t xml:space="preserve"> Kaskazini Pemba (69</w:t>
      </w:r>
      <w:r w:rsidR="00F21BAA" w:rsidRPr="006B42D6">
        <w:rPr>
          <w:rFonts w:eastAsia="Calibri"/>
          <w:lang w:val="en-GB"/>
        </w:rPr>
        <w:t>.0</w:t>
      </w:r>
      <w:r w:rsidRPr="006B42D6">
        <w:rPr>
          <w:rFonts w:eastAsia="Calibri"/>
          <w:lang w:val="en-GB"/>
        </w:rPr>
        <w:t xml:space="preserve"> percent) (Figure 2.</w:t>
      </w:r>
      <w:r w:rsidR="004F50BD">
        <w:rPr>
          <w:rFonts w:eastAsia="Calibri"/>
          <w:lang w:val="en-GB"/>
        </w:rPr>
        <w:t>7</w:t>
      </w:r>
      <w:r w:rsidRPr="006B42D6">
        <w:rPr>
          <w:rFonts w:eastAsia="Calibri"/>
          <w:lang w:val="en-GB"/>
        </w:rPr>
        <w:t>).</w:t>
      </w:r>
      <w:r w:rsidR="00F21BAA" w:rsidRPr="006B42D6">
        <w:rPr>
          <w:rFonts w:eastAsia="Calibri"/>
          <w:lang w:val="en-GB"/>
        </w:rPr>
        <w:t xml:space="preserve"> </w:t>
      </w:r>
    </w:p>
    <w:p w14:paraId="47E6B0F7" w14:textId="0A458C7A" w:rsidR="00DB582F" w:rsidRDefault="00DB582F">
      <w:pPr>
        <w:spacing w:line="240" w:lineRule="auto"/>
        <w:contextualSpacing w:val="0"/>
        <w:jc w:val="left"/>
      </w:pPr>
      <w:r>
        <w:br w:type="page"/>
      </w:r>
    </w:p>
    <w:p w14:paraId="2F0EB9C2" w14:textId="77FF3AEC" w:rsidR="00AA7CF3" w:rsidRDefault="001B26AC" w:rsidP="003A083C">
      <w:pPr>
        <w:pStyle w:val="Caption"/>
      </w:pPr>
      <w:bookmarkStart w:id="58" w:name="_Toc82386266"/>
      <w:r w:rsidRPr="004F50BD">
        <w:rPr>
          <w:noProof/>
          <w:sz w:val="14"/>
          <w:szCs w:val="14"/>
        </w:rPr>
        <w:lastRenderedPageBreak/>
        <w:drawing>
          <wp:anchor distT="6096" distB="6477" distL="120396" distR="123063" simplePos="0" relativeHeight="251548672" behindDoc="1" locked="0" layoutInCell="1" allowOverlap="1" wp14:anchorId="0C6B2EDF" wp14:editId="01160268">
            <wp:simplePos x="0" y="0"/>
            <wp:positionH relativeFrom="column">
              <wp:posOffset>34290</wp:posOffset>
            </wp:positionH>
            <wp:positionV relativeFrom="paragraph">
              <wp:posOffset>434975</wp:posOffset>
            </wp:positionV>
            <wp:extent cx="6006465" cy="3267075"/>
            <wp:effectExtent l="0" t="0" r="13335" b="9525"/>
            <wp:wrapTight wrapText="bothSides">
              <wp:wrapPolygon edited="0">
                <wp:start x="0" y="0"/>
                <wp:lineTo x="0" y="21579"/>
                <wp:lineTo x="21602" y="21579"/>
                <wp:lineTo x="21602" y="0"/>
                <wp:lineTo x="0" y="0"/>
              </wp:wrapPolygon>
            </wp:wrapTight>
            <wp:docPr id="260" name="Chart 33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14:sizeRelH relativeFrom="page">
              <wp14:pctWidth>0</wp14:pctWidth>
            </wp14:sizeRelH>
            <wp14:sizeRelV relativeFrom="page">
              <wp14:pctHeight>0</wp14:pctHeight>
            </wp14:sizeRelV>
          </wp:anchor>
        </w:drawing>
      </w:r>
      <w:r w:rsidR="00AA7CF3" w:rsidRPr="006B42D6">
        <w:t>Figure 2.</w:t>
      </w:r>
      <w:r w:rsidR="004F50BD">
        <w:t>7:</w:t>
      </w:r>
      <w:r w:rsidR="003A083C">
        <w:tab/>
      </w:r>
      <w:r w:rsidR="00AA7CF3" w:rsidRPr="006B42D6">
        <w:t>Percentage of Literacy Level of Household Members by Region</w:t>
      </w:r>
      <w:r w:rsidR="00546F13" w:rsidRPr="006B42D6">
        <w:t xml:space="preserve"> During 2019/20 Agricultural Year, Tanzania</w:t>
      </w:r>
      <w:bookmarkEnd w:id="58"/>
    </w:p>
    <w:p w14:paraId="33585EFB" w14:textId="58AF7741" w:rsidR="00715E4F" w:rsidRPr="006B42D6" w:rsidRDefault="00DB582F" w:rsidP="005C2EFC">
      <w:pPr>
        <w:spacing w:before="100" w:beforeAutospacing="1" w:after="100" w:afterAutospacing="1"/>
        <w:rPr>
          <w:b/>
        </w:rPr>
      </w:pPr>
      <w:r>
        <w:rPr>
          <w:noProof/>
        </w:rPr>
        <mc:AlternateContent>
          <mc:Choice Requires="wps">
            <w:drawing>
              <wp:anchor distT="0" distB="0" distL="114300" distR="114300" simplePos="0" relativeHeight="251539456" behindDoc="0" locked="0" layoutInCell="1" allowOverlap="1" wp14:anchorId="50868E5F" wp14:editId="18FEAA68">
                <wp:simplePos x="0" y="0"/>
                <wp:positionH relativeFrom="column">
                  <wp:posOffset>2883535</wp:posOffset>
                </wp:positionH>
                <wp:positionV relativeFrom="paragraph">
                  <wp:posOffset>3859530</wp:posOffset>
                </wp:positionV>
                <wp:extent cx="3070860" cy="601345"/>
                <wp:effectExtent l="0" t="0" r="2540" b="0"/>
                <wp:wrapTight wrapText="bothSides">
                  <wp:wrapPolygon edited="0">
                    <wp:start x="0" y="0"/>
                    <wp:lineTo x="0" y="20984"/>
                    <wp:lineTo x="21529" y="20984"/>
                    <wp:lineTo x="21529" y="0"/>
                    <wp:lineTo x="0" y="0"/>
                  </wp:wrapPolygon>
                </wp:wrapTight>
                <wp:docPr id="300" name="Text Box 300"/>
                <wp:cNvGraphicFramePr/>
                <a:graphic xmlns:a="http://schemas.openxmlformats.org/drawingml/2006/main">
                  <a:graphicData uri="http://schemas.microsoft.com/office/word/2010/wordprocessingShape">
                    <wps:wsp>
                      <wps:cNvSpPr txBox="1"/>
                      <wps:spPr>
                        <a:xfrm>
                          <a:off x="0" y="0"/>
                          <a:ext cx="3070860" cy="601345"/>
                        </a:xfrm>
                        <a:prstGeom prst="rect">
                          <a:avLst/>
                        </a:prstGeom>
                        <a:solidFill>
                          <a:prstClr val="white"/>
                        </a:solidFill>
                        <a:ln>
                          <a:noFill/>
                        </a:ln>
                      </wps:spPr>
                      <wps:txbx>
                        <w:txbxContent>
                          <w:p w14:paraId="072B5E05" w14:textId="0EC54CC7" w:rsidR="00933456" w:rsidRPr="00661CF7" w:rsidRDefault="00933456" w:rsidP="00546F13">
                            <w:pPr>
                              <w:pStyle w:val="Caption"/>
                            </w:pPr>
                            <w:bookmarkStart w:id="59" w:name="_Toc80120164"/>
                            <w:bookmarkStart w:id="60" w:name="_Toc80884041"/>
                            <w:bookmarkStart w:id="61" w:name="_Toc80884412"/>
                            <w:bookmarkStart w:id="62" w:name="_Toc82386267"/>
                            <w:r w:rsidRPr="00661CF7">
                              <w:t>Figure 2.</w:t>
                            </w:r>
                            <w:r>
                              <w:t>8</w:t>
                            </w:r>
                            <w:r w:rsidRPr="00661CF7">
                              <w:t>:</w:t>
                            </w:r>
                            <w:r w:rsidRPr="00661CF7">
                              <w:tab/>
                              <w:t>Percentage of Agriculture Household Members 5 years and Above by Education Status During 2019/20 Agricultural Year, Tanzania</w:t>
                            </w:r>
                            <w:bookmarkEnd w:id="59"/>
                            <w:bookmarkEnd w:id="60"/>
                            <w:bookmarkEnd w:id="61"/>
                            <w:bookmarkEnd w:id="6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868E5F" id="Text Box 300" o:spid="_x0000_s1033" type="#_x0000_t202" style="position:absolute;left:0;text-align:left;margin-left:227.05pt;margin-top:303.9pt;width:241.8pt;height:47.35pt;z-index:25153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" stroked="f">
                <v:textbox inset="0,0,0,0">
                  <w:txbxContent>
                    <w:p w14:paraId="072B5E05" w14:textId="0EC54CC7" w:rsidR="00933456" w:rsidRPr="00661CF7" w:rsidRDefault="00933456" w:rsidP="00546F13">
                      <w:pPr>
                        <w:pStyle w:val="Caption"/>
                      </w:pPr>
                      <w:bookmarkStart w:id="75" w:name="_Toc80120164"/>
                      <w:bookmarkStart w:id="76" w:name="_Toc80884041"/>
                      <w:bookmarkStart w:id="77" w:name="_Toc80884412"/>
                      <w:bookmarkStart w:id="78" w:name="_Toc82386267"/>
                      <w:r w:rsidRPr="00661CF7">
                        <w:t>Figure 2.</w:t>
                      </w:r>
                      <w:r>
                        <w:t>8</w:t>
                      </w:r>
                      <w:r w:rsidRPr="00661CF7">
                        <w:t>:</w:t>
                      </w:r>
                      <w:r w:rsidRPr="00661CF7">
                        <w:tab/>
                        <w:t>Percentage of Agriculture Household Members 5 years and Above by Education Status During 2019/20 Agricultural Year, Tanzania</w:t>
                      </w:r>
                      <w:bookmarkEnd w:id="75"/>
                      <w:bookmarkEnd w:id="76"/>
                      <w:bookmarkEnd w:id="77"/>
                      <w:bookmarkEnd w:id="78"/>
                    </w:p>
                  </w:txbxContent>
                </v:textbox>
                <w10:wrap type="tight"/>
              </v:shape>
            </w:pict>
          </mc:Fallback>
        </mc:AlternateContent>
      </w:r>
    </w:p>
    <w:p w14:paraId="1F7A45D0" w14:textId="57970BE0" w:rsidR="00715E4F" w:rsidRPr="006B42D6" w:rsidRDefault="00715E4F" w:rsidP="005C2EFC">
      <w:pPr>
        <w:pStyle w:val="Heading2"/>
      </w:pPr>
      <w:bookmarkStart w:id="63" w:name="_Toc82385634"/>
      <w:r w:rsidRPr="006B42D6">
        <w:t>2.</w:t>
      </w:r>
      <w:r w:rsidR="003F4EAA">
        <w:t>5</w:t>
      </w:r>
      <w:r w:rsidR="00E763F5" w:rsidRPr="006B42D6">
        <w:tab/>
      </w:r>
      <w:r w:rsidRPr="006B42D6">
        <w:t>Education Status</w:t>
      </w:r>
      <w:bookmarkEnd w:id="63"/>
      <w:r w:rsidRPr="006B42D6">
        <w:t xml:space="preserve"> </w:t>
      </w:r>
    </w:p>
    <w:p w14:paraId="30D4FA3B" w14:textId="172906DA" w:rsidR="00715E4F" w:rsidRDefault="004F50BD" w:rsidP="003A083C">
      <w:r>
        <w:rPr>
          <w:noProof/>
        </w:rPr>
        <w:drawing>
          <wp:anchor distT="0" distB="0" distL="114300" distR="114300" simplePos="0" relativeHeight="251540480" behindDoc="0" locked="0" layoutInCell="1" allowOverlap="1" wp14:anchorId="644619CA" wp14:editId="4D2E1E3E">
            <wp:simplePos x="0" y="0"/>
            <wp:positionH relativeFrom="column">
              <wp:posOffset>2883535</wp:posOffset>
            </wp:positionH>
            <wp:positionV relativeFrom="paragraph">
              <wp:posOffset>376555</wp:posOffset>
            </wp:positionV>
            <wp:extent cx="2985135" cy="2101850"/>
            <wp:effectExtent l="0" t="0" r="12065" b="6350"/>
            <wp:wrapTight wrapText="bothSides">
              <wp:wrapPolygon edited="0">
                <wp:start x="0" y="0"/>
                <wp:lineTo x="0" y="21535"/>
                <wp:lineTo x="21595" y="21535"/>
                <wp:lineTo x="21595" y="0"/>
                <wp:lineTo x="0" y="0"/>
              </wp:wrapPolygon>
            </wp:wrapTight>
            <wp:docPr id="301" name="Chart 30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14:sizeRelH relativeFrom="margin">
              <wp14:pctWidth>0</wp14:pctWidth>
            </wp14:sizeRelH>
            <wp14:sizeRelV relativeFrom="margin">
              <wp14:pctHeight>0</wp14:pctHeight>
            </wp14:sizeRelV>
          </wp:anchor>
        </w:drawing>
      </w:r>
      <w:r w:rsidR="00715E4F" w:rsidRPr="006B42D6">
        <w:t xml:space="preserve">The percentage of agricultural population aged 5 years and above who have completed a specific level of education has decreased from </w:t>
      </w:r>
      <w:r w:rsidR="00F21BAA" w:rsidRPr="006B42D6">
        <w:t xml:space="preserve">40.9 </w:t>
      </w:r>
      <w:r w:rsidR="00715E4F" w:rsidRPr="006B42D6">
        <w:t>percent in 2007/08 to 36</w:t>
      </w:r>
      <w:r w:rsidR="00F21BAA" w:rsidRPr="006B42D6">
        <w:t>.3</w:t>
      </w:r>
      <w:r w:rsidR="00715E4F" w:rsidRPr="006B42D6">
        <w:t xml:space="preserve"> percent in 2019/20, while those still in school has climbed </w:t>
      </w:r>
      <w:r w:rsidR="00956403" w:rsidRPr="006B42D6">
        <w:t>up to</w:t>
      </w:r>
      <w:r w:rsidR="00715E4F" w:rsidRPr="006B42D6">
        <w:t xml:space="preserve"> </w:t>
      </w:r>
      <w:r w:rsidR="00956403" w:rsidRPr="006B42D6">
        <w:t xml:space="preserve">36.5 percent from </w:t>
      </w:r>
      <w:r w:rsidR="00715E4F" w:rsidRPr="006B42D6">
        <w:t>35</w:t>
      </w:r>
      <w:r w:rsidR="00F21BAA" w:rsidRPr="006B42D6">
        <w:t>.4</w:t>
      </w:r>
      <w:r w:rsidR="00715E4F" w:rsidRPr="006B42D6">
        <w:t xml:space="preserve"> percent in 2007/08. The percentage of agricultural household members who have never attended school has decreased from 2</w:t>
      </w:r>
      <w:r w:rsidR="00F21BAA" w:rsidRPr="006B42D6">
        <w:t>3.7</w:t>
      </w:r>
      <w:r w:rsidR="00715E4F" w:rsidRPr="006B42D6">
        <w:t xml:space="preserve"> percent in 2007/08 to 18.6 percent </w:t>
      </w:r>
      <w:r w:rsidR="000C1237">
        <w:t xml:space="preserve">in </w:t>
      </w:r>
      <w:r w:rsidR="00715E4F" w:rsidRPr="006B42D6">
        <w:t>2019/20, this indicat</w:t>
      </w:r>
      <w:r w:rsidR="000C1237">
        <w:t xml:space="preserve">es </w:t>
      </w:r>
      <w:r w:rsidR="00715E4F" w:rsidRPr="006B42D6">
        <w:t>that education has improved between the two censuses. The findings also suggest that 8.7 percent of the members of the agricultural households did not complete a specific level of education, which could be linked to their involvement in agricultural activities (Figure 2.</w:t>
      </w:r>
      <w:r>
        <w:t>8</w:t>
      </w:r>
      <w:r w:rsidR="00715E4F" w:rsidRPr="006B42D6">
        <w:t xml:space="preserve">). </w:t>
      </w:r>
    </w:p>
    <w:p w14:paraId="4E5AB535" w14:textId="5890EEC5" w:rsidR="00DB582F" w:rsidRDefault="00DB582F">
      <w:pPr>
        <w:spacing w:line="240" w:lineRule="auto"/>
        <w:contextualSpacing w:val="0"/>
        <w:jc w:val="left"/>
      </w:pPr>
      <w:r>
        <w:br w:type="page"/>
      </w:r>
    </w:p>
    <w:p w14:paraId="094DE725" w14:textId="18B61DDC" w:rsidR="005F5156" w:rsidRDefault="005F5156" w:rsidP="003A083C">
      <w:r w:rsidRPr="006B42D6">
        <w:lastRenderedPageBreak/>
        <w:t xml:space="preserve">In </w:t>
      </w:r>
      <w:r w:rsidR="00EA1552">
        <w:t>Mainland Tanzania</w:t>
      </w:r>
      <w:r w:rsidRPr="006B42D6">
        <w:t>, the agricultural population in Dar es salaam region had the highest percentage of people aged 5</w:t>
      </w:r>
      <w:r w:rsidR="00007A33">
        <w:t xml:space="preserve"> years</w:t>
      </w:r>
      <w:r w:rsidRPr="006B42D6">
        <w:t xml:space="preserve"> and above who had completed a particular level of education (58.6 percent) and 30.9 percent were attending school, making up 89.5 percent of the literacy agricultural population in this region. Kilimanjaro region </w:t>
      </w:r>
      <w:r w:rsidR="00F21BAA" w:rsidRPr="006B42D6">
        <w:t xml:space="preserve">was </w:t>
      </w:r>
      <w:r w:rsidRPr="006B42D6">
        <w:t xml:space="preserve">the second in term of number of household members who attended school (ranked the second in terms of the percentage of the agricultural household members with a high level of education (88.1 percent). Mara region </w:t>
      </w:r>
      <w:r w:rsidR="00F21BAA" w:rsidRPr="006B42D6">
        <w:t xml:space="preserve">had </w:t>
      </w:r>
      <w:r w:rsidRPr="006B42D6">
        <w:t xml:space="preserve">the largest number of people who never went to school (42.0 percent). In Tanzania Zanzibar, 68.8 percent of the overall agricultural population </w:t>
      </w:r>
      <w:r w:rsidR="00F21BAA" w:rsidRPr="006B42D6">
        <w:t xml:space="preserve">had </w:t>
      </w:r>
      <w:r w:rsidRPr="006B42D6">
        <w:t xml:space="preserve">completed some certain level of education, 42.4 percent </w:t>
      </w:r>
      <w:r w:rsidR="00F21BAA" w:rsidRPr="006B42D6">
        <w:t xml:space="preserve">was </w:t>
      </w:r>
      <w:r w:rsidRPr="006B42D6">
        <w:t xml:space="preserve">attending school, and 14.5 percent has never attended </w:t>
      </w:r>
      <w:r w:rsidR="00007A33">
        <w:t>school</w:t>
      </w:r>
      <w:r w:rsidRPr="006B42D6">
        <w:t xml:space="preserve">. Kusini Pemba region had the largest percentage of agricultural </w:t>
      </w:r>
      <w:r w:rsidR="00CC40AB">
        <w:t>population</w:t>
      </w:r>
      <w:r w:rsidRPr="006B42D6">
        <w:t xml:space="preserve"> who had never attended school (46.3 percent), followed by Kaskazini Pemba (41.6 percent) (Figure 2.</w:t>
      </w:r>
      <w:r w:rsidR="004F50BD">
        <w:t>9</w:t>
      </w:r>
      <w:r w:rsidRPr="006B42D6">
        <w:t xml:space="preserve">). </w:t>
      </w:r>
    </w:p>
    <w:p w14:paraId="0E4BD565" w14:textId="0E464867" w:rsidR="003A083C" w:rsidRDefault="003A083C" w:rsidP="003A083C"/>
    <w:p w14:paraId="7F97ADBA" w14:textId="638D8CD0" w:rsidR="005F5156" w:rsidRPr="00DA3DD8" w:rsidRDefault="005F5156" w:rsidP="00DA3DD8">
      <w:pPr>
        <w:pStyle w:val="Caption"/>
      </w:pPr>
      <w:bookmarkStart w:id="64" w:name="_Toc82386268"/>
      <w:r w:rsidRPr="006B42D6">
        <w:t>Figure 2.</w:t>
      </w:r>
      <w:r w:rsidR="004F50BD">
        <w:t>9:</w:t>
      </w:r>
      <w:r w:rsidR="003A083C">
        <w:tab/>
      </w:r>
      <w:r w:rsidRPr="006B42D6">
        <w:t>Percentage of Household Members by Education Status and Region During 2019/20 Agricultural Year, Tanzania</w:t>
      </w:r>
      <w:bookmarkEnd w:id="64"/>
      <w:r w:rsidRPr="006B42D6">
        <w:t xml:space="preserve"> </w:t>
      </w:r>
    </w:p>
    <w:p w14:paraId="36A65773" w14:textId="41E59D0B" w:rsidR="00715E4F" w:rsidRPr="006B42D6" w:rsidRDefault="001B26AC" w:rsidP="005C2EFC">
      <w:pPr>
        <w:rPr>
          <w:rFonts w:eastAsia="Calibri"/>
          <w:lang w:val="en-GB"/>
        </w:rPr>
      </w:pPr>
      <w:r w:rsidRPr="006B42D6">
        <w:rPr>
          <w:noProof/>
        </w:rPr>
        <w:drawing>
          <wp:inline distT="0" distB="0" distL="0" distR="0" wp14:anchorId="7E0CBD6D" wp14:editId="39E6DEAB">
            <wp:extent cx="5924062" cy="2995295"/>
            <wp:effectExtent l="0" t="0" r="6985" b="14605"/>
            <wp:docPr id="255" name="Chart 3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1CE2765A" w14:textId="77777777" w:rsidR="003A083C" w:rsidRDefault="003A083C" w:rsidP="005C2EFC">
      <w:pPr>
        <w:pStyle w:val="Heading2"/>
      </w:pPr>
    </w:p>
    <w:p w14:paraId="32F94AE2" w14:textId="77777777" w:rsidR="00DA3DD8" w:rsidRDefault="00DA3DD8">
      <w:pPr>
        <w:spacing w:line="240" w:lineRule="auto"/>
        <w:contextualSpacing w:val="0"/>
        <w:jc w:val="left"/>
        <w:rPr>
          <w:b/>
          <w:bCs/>
          <w:szCs w:val="22"/>
        </w:rPr>
      </w:pPr>
      <w:r>
        <w:br w:type="page"/>
      </w:r>
    </w:p>
    <w:p w14:paraId="31B88220" w14:textId="45E57CE5" w:rsidR="00715E4F" w:rsidRPr="006B42D6" w:rsidRDefault="00715E4F" w:rsidP="005C2EFC">
      <w:pPr>
        <w:pStyle w:val="Heading2"/>
      </w:pPr>
      <w:bookmarkStart w:id="65" w:name="_Toc82385635"/>
      <w:r w:rsidRPr="006B42D6">
        <w:lastRenderedPageBreak/>
        <w:t>2.</w:t>
      </w:r>
      <w:r w:rsidR="003F4EAA">
        <w:t>6</w:t>
      </w:r>
      <w:r w:rsidRPr="006B42D6">
        <w:tab/>
        <w:t>Main Activity</w:t>
      </w:r>
      <w:bookmarkEnd w:id="65"/>
      <w:r w:rsidRPr="006B42D6">
        <w:t xml:space="preserve"> </w:t>
      </w:r>
    </w:p>
    <w:p w14:paraId="6AE68F93" w14:textId="2626C654" w:rsidR="001922C9" w:rsidRDefault="00715E4F" w:rsidP="001922C9">
      <w:r w:rsidRPr="006B42D6">
        <w:rPr>
          <w:noProof/>
        </w:rPr>
        <w:t xml:space="preserve">The </w:t>
      </w:r>
      <w:r w:rsidR="00C50314">
        <w:rPr>
          <w:noProof/>
        </w:rPr>
        <w:t>m</w:t>
      </w:r>
      <w:r w:rsidRPr="006B42D6">
        <w:rPr>
          <w:noProof/>
        </w:rPr>
        <w:t xml:space="preserve">ain </w:t>
      </w:r>
      <w:r w:rsidR="00546F13" w:rsidRPr="006B42D6">
        <w:rPr>
          <w:noProof/>
        </w:rPr>
        <w:t>a</w:t>
      </w:r>
      <w:r w:rsidRPr="006B42D6">
        <w:rPr>
          <w:noProof/>
        </w:rPr>
        <w:t>ctivity is the activity that occupies the majority of people's time in the farming community.</w:t>
      </w:r>
      <w:r w:rsidRPr="006B42D6">
        <w:t xml:space="preserve"> About </w:t>
      </w:r>
      <w:r w:rsidR="005A2D43">
        <w:t>55</w:t>
      </w:r>
      <w:r w:rsidRPr="006B42D6">
        <w:t xml:space="preserve"> percent of the agricultural population </w:t>
      </w:r>
      <w:r w:rsidR="005A2D43">
        <w:t>were</w:t>
      </w:r>
      <w:r w:rsidRPr="006B42D6">
        <w:t xml:space="preserve"> students who spent most of their time at school, followed by </w:t>
      </w:r>
      <w:r w:rsidR="00C50314">
        <w:t>c</w:t>
      </w:r>
      <w:r w:rsidRPr="006B42D6">
        <w:t>rop farming (33.1 percent)</w:t>
      </w:r>
      <w:r w:rsidR="005A2D43">
        <w:t xml:space="preserve"> and</w:t>
      </w:r>
      <w:r w:rsidRPr="006B42D6">
        <w:t xml:space="preserve"> </w:t>
      </w:r>
      <w:r w:rsidR="005A2D43" w:rsidRPr="006B42D6">
        <w:t xml:space="preserve">self-employed without an employee </w:t>
      </w:r>
      <w:r w:rsidR="005A2D43">
        <w:t>(</w:t>
      </w:r>
      <w:r w:rsidRPr="006B42D6">
        <w:t>2.8 percent</w:t>
      </w:r>
      <w:r w:rsidR="005A2D43">
        <w:t>)</w:t>
      </w:r>
      <w:r w:rsidRPr="006B42D6">
        <w:t xml:space="preserve">. Beekeeping </w:t>
      </w:r>
      <w:r w:rsidR="008500C5" w:rsidRPr="006B42D6">
        <w:t xml:space="preserve">was </w:t>
      </w:r>
      <w:r w:rsidRPr="006B42D6">
        <w:t xml:space="preserve">the least popular activity, with only 0.003 percent of agricultural </w:t>
      </w:r>
      <w:r w:rsidR="008D3F9F">
        <w:t>population</w:t>
      </w:r>
      <w:r w:rsidRPr="006B42D6">
        <w:t xml:space="preserve"> engaging in it (</w:t>
      </w:r>
      <w:r w:rsidR="00DA3DD8">
        <w:t>Table</w:t>
      </w:r>
      <w:r w:rsidRPr="006B42D6">
        <w:t xml:space="preserve"> 2.</w:t>
      </w:r>
      <w:r w:rsidR="00DA3DD8">
        <w:t>2</w:t>
      </w:r>
      <w:r w:rsidRPr="006B42D6">
        <w:t>).</w:t>
      </w:r>
    </w:p>
    <w:p w14:paraId="003C0CC0" w14:textId="77777777" w:rsidR="001922C9" w:rsidRDefault="001922C9" w:rsidP="005A2D43">
      <w:pPr>
        <w:spacing w:line="240" w:lineRule="auto"/>
      </w:pPr>
    </w:p>
    <w:p w14:paraId="7B88A077" w14:textId="7D63B4E2" w:rsidR="001922C9" w:rsidRDefault="00D6293C" w:rsidP="00D6293C">
      <w:pPr>
        <w:pStyle w:val="Heading7"/>
      </w:pPr>
      <w:bookmarkStart w:id="66" w:name="_Toc82386182"/>
      <w:r>
        <w:t xml:space="preserve">Table </w:t>
      </w:r>
      <w:r w:rsidR="001922C9" w:rsidRPr="00DA3DD8">
        <w:t>2.</w:t>
      </w:r>
      <w:r>
        <w:t>2</w:t>
      </w:r>
      <w:r w:rsidR="000E00D3">
        <w:t>:</w:t>
      </w:r>
      <w:r w:rsidR="001922C9">
        <w:tab/>
      </w:r>
      <w:r>
        <w:t xml:space="preserve">Number and </w:t>
      </w:r>
      <w:r w:rsidR="001922C9" w:rsidRPr="00DA3DD8">
        <w:t xml:space="preserve">Percentage </w:t>
      </w:r>
      <w:r>
        <w:t xml:space="preserve">of </w:t>
      </w:r>
      <w:r w:rsidR="001922C9" w:rsidRPr="00DA3DD8">
        <w:t>Agricultural Population by Main Activity During 2019/20 Agricultural Year, Tanzania</w:t>
      </w:r>
      <w:bookmarkEnd w:id="66"/>
    </w:p>
    <w:tbl>
      <w:tblPr>
        <w:tblW w:w="10053" w:type="dxa"/>
        <w:tblLayout w:type="fixed"/>
        <w:tblLook w:val="04A0" w:firstRow="1" w:lastRow="0" w:firstColumn="1" w:lastColumn="0" w:noHBand="0" w:noVBand="1"/>
      </w:tblPr>
      <w:tblGrid>
        <w:gridCol w:w="3510"/>
        <w:gridCol w:w="1266"/>
        <w:gridCol w:w="1159"/>
        <w:gridCol w:w="1243"/>
        <w:gridCol w:w="914"/>
        <w:gridCol w:w="980"/>
        <w:gridCol w:w="981"/>
      </w:tblGrid>
      <w:tr w:rsidR="001922C9" w:rsidRPr="001922C9" w14:paraId="7640E230" w14:textId="77777777" w:rsidTr="00DB582F">
        <w:trPr>
          <w:trHeight w:val="351"/>
        </w:trPr>
        <w:tc>
          <w:tcPr>
            <w:tcW w:w="3510" w:type="dxa"/>
            <w:vMerge w:val="restart"/>
            <w:tcBorders>
              <w:top w:val="single" w:sz="4" w:space="0" w:color="auto"/>
              <w:left w:val="nil"/>
              <w:bottom w:val="single" w:sz="4" w:space="0" w:color="auto"/>
              <w:right w:val="nil"/>
            </w:tcBorders>
            <w:shd w:val="clear" w:color="auto" w:fill="E2EFD9" w:themeFill="accent6" w:themeFillTint="33"/>
            <w:noWrap/>
            <w:vAlign w:val="center"/>
            <w:hideMark/>
          </w:tcPr>
          <w:p w14:paraId="42F3D24C" w14:textId="77777777" w:rsidR="001922C9" w:rsidRPr="00D6293C" w:rsidRDefault="001922C9" w:rsidP="001922C9">
            <w:pPr>
              <w:spacing w:line="240" w:lineRule="auto"/>
              <w:contextualSpacing w:val="0"/>
              <w:jc w:val="left"/>
              <w:rPr>
                <w:b/>
                <w:bCs/>
                <w:color w:val="000000"/>
                <w:sz w:val="18"/>
                <w:szCs w:val="18"/>
              </w:rPr>
            </w:pPr>
            <w:r w:rsidRPr="00D6293C">
              <w:rPr>
                <w:b/>
                <w:bCs/>
                <w:color w:val="000000"/>
                <w:sz w:val="18"/>
                <w:szCs w:val="18"/>
              </w:rPr>
              <w:t>Main Activity</w:t>
            </w:r>
          </w:p>
        </w:tc>
        <w:tc>
          <w:tcPr>
            <w:tcW w:w="2425" w:type="dxa"/>
            <w:gridSpan w:val="2"/>
            <w:tcBorders>
              <w:top w:val="single" w:sz="4" w:space="0" w:color="auto"/>
              <w:left w:val="single" w:sz="4" w:space="0" w:color="auto"/>
              <w:bottom w:val="nil"/>
            </w:tcBorders>
            <w:shd w:val="clear" w:color="auto" w:fill="E2EFD9" w:themeFill="accent6" w:themeFillTint="33"/>
            <w:noWrap/>
            <w:vAlign w:val="center"/>
            <w:hideMark/>
          </w:tcPr>
          <w:p w14:paraId="1ED790D1" w14:textId="77777777" w:rsidR="001922C9" w:rsidRPr="00D6293C" w:rsidRDefault="001922C9" w:rsidP="001922C9">
            <w:pPr>
              <w:spacing w:line="240" w:lineRule="auto"/>
              <w:contextualSpacing w:val="0"/>
              <w:jc w:val="center"/>
              <w:rPr>
                <w:b/>
                <w:bCs/>
                <w:color w:val="000000"/>
                <w:sz w:val="18"/>
                <w:szCs w:val="18"/>
              </w:rPr>
            </w:pPr>
            <w:r w:rsidRPr="00D6293C">
              <w:rPr>
                <w:b/>
                <w:bCs/>
                <w:color w:val="000000"/>
                <w:sz w:val="18"/>
                <w:szCs w:val="18"/>
              </w:rPr>
              <w:t>Tanzania</w:t>
            </w:r>
          </w:p>
        </w:tc>
        <w:tc>
          <w:tcPr>
            <w:tcW w:w="2157" w:type="dxa"/>
            <w:gridSpan w:val="2"/>
            <w:tcBorders>
              <w:top w:val="single" w:sz="4" w:space="0" w:color="auto"/>
              <w:bottom w:val="nil"/>
            </w:tcBorders>
            <w:shd w:val="clear" w:color="auto" w:fill="E2EFD9" w:themeFill="accent6" w:themeFillTint="33"/>
            <w:noWrap/>
            <w:vAlign w:val="center"/>
            <w:hideMark/>
          </w:tcPr>
          <w:p w14:paraId="4EDB6848" w14:textId="77777777" w:rsidR="001922C9" w:rsidRPr="00D6293C" w:rsidRDefault="001922C9" w:rsidP="001922C9">
            <w:pPr>
              <w:spacing w:line="240" w:lineRule="auto"/>
              <w:contextualSpacing w:val="0"/>
              <w:jc w:val="center"/>
              <w:rPr>
                <w:b/>
                <w:bCs/>
                <w:color w:val="000000"/>
                <w:sz w:val="18"/>
                <w:szCs w:val="18"/>
              </w:rPr>
            </w:pPr>
            <w:r w:rsidRPr="00D6293C">
              <w:rPr>
                <w:b/>
                <w:bCs/>
                <w:color w:val="000000"/>
                <w:sz w:val="18"/>
                <w:szCs w:val="18"/>
              </w:rPr>
              <w:t>Mainland Tanzania</w:t>
            </w:r>
          </w:p>
        </w:tc>
        <w:tc>
          <w:tcPr>
            <w:tcW w:w="1961" w:type="dxa"/>
            <w:gridSpan w:val="2"/>
            <w:tcBorders>
              <w:top w:val="single" w:sz="4" w:space="0" w:color="auto"/>
              <w:left w:val="nil"/>
              <w:bottom w:val="nil"/>
            </w:tcBorders>
            <w:shd w:val="clear" w:color="auto" w:fill="E2EFD9" w:themeFill="accent6" w:themeFillTint="33"/>
            <w:noWrap/>
            <w:vAlign w:val="center"/>
            <w:hideMark/>
          </w:tcPr>
          <w:p w14:paraId="523C8180" w14:textId="77777777" w:rsidR="001922C9" w:rsidRPr="00D6293C" w:rsidRDefault="001922C9" w:rsidP="001922C9">
            <w:pPr>
              <w:spacing w:line="240" w:lineRule="auto"/>
              <w:contextualSpacing w:val="0"/>
              <w:jc w:val="center"/>
              <w:rPr>
                <w:b/>
                <w:bCs/>
                <w:color w:val="000000"/>
                <w:sz w:val="18"/>
                <w:szCs w:val="18"/>
              </w:rPr>
            </w:pPr>
            <w:r w:rsidRPr="00D6293C">
              <w:rPr>
                <w:b/>
                <w:bCs/>
                <w:color w:val="000000"/>
                <w:sz w:val="18"/>
                <w:szCs w:val="18"/>
              </w:rPr>
              <w:t>Tanzania Zanzibar</w:t>
            </w:r>
          </w:p>
        </w:tc>
      </w:tr>
      <w:tr w:rsidR="001922C9" w:rsidRPr="001922C9" w14:paraId="535DB4A1" w14:textId="77777777" w:rsidTr="007066AE">
        <w:trPr>
          <w:trHeight w:val="299"/>
        </w:trPr>
        <w:tc>
          <w:tcPr>
            <w:tcW w:w="3510" w:type="dxa"/>
            <w:vMerge/>
            <w:tcBorders>
              <w:top w:val="single" w:sz="4" w:space="0" w:color="auto"/>
              <w:left w:val="nil"/>
              <w:bottom w:val="single" w:sz="4" w:space="0" w:color="auto"/>
              <w:right w:val="nil"/>
            </w:tcBorders>
            <w:shd w:val="clear" w:color="auto" w:fill="E2EFD9" w:themeFill="accent6" w:themeFillTint="33"/>
            <w:vAlign w:val="center"/>
            <w:hideMark/>
          </w:tcPr>
          <w:p w14:paraId="323251B6" w14:textId="77777777" w:rsidR="001922C9" w:rsidRPr="00D6293C" w:rsidRDefault="001922C9" w:rsidP="001922C9">
            <w:pPr>
              <w:spacing w:line="240" w:lineRule="auto"/>
              <w:contextualSpacing w:val="0"/>
              <w:jc w:val="left"/>
              <w:rPr>
                <w:b/>
                <w:bCs/>
                <w:color w:val="000000"/>
                <w:sz w:val="18"/>
                <w:szCs w:val="18"/>
              </w:rPr>
            </w:pPr>
          </w:p>
        </w:tc>
        <w:tc>
          <w:tcPr>
            <w:tcW w:w="1266" w:type="dxa"/>
            <w:tcBorders>
              <w:top w:val="nil"/>
              <w:left w:val="single" w:sz="4" w:space="0" w:color="auto"/>
              <w:bottom w:val="single" w:sz="4" w:space="0" w:color="auto"/>
              <w:right w:val="nil"/>
            </w:tcBorders>
            <w:shd w:val="clear" w:color="auto" w:fill="E2EFD9" w:themeFill="accent6" w:themeFillTint="33"/>
            <w:noWrap/>
            <w:hideMark/>
          </w:tcPr>
          <w:p w14:paraId="4F7579C6" w14:textId="77777777" w:rsidR="001922C9" w:rsidRPr="00D6293C" w:rsidRDefault="001922C9" w:rsidP="007066AE">
            <w:pPr>
              <w:spacing w:line="240" w:lineRule="auto"/>
              <w:contextualSpacing w:val="0"/>
              <w:jc w:val="center"/>
              <w:rPr>
                <w:b/>
                <w:bCs/>
                <w:color w:val="000000"/>
                <w:sz w:val="18"/>
                <w:szCs w:val="18"/>
              </w:rPr>
            </w:pPr>
            <w:r w:rsidRPr="00D6293C">
              <w:rPr>
                <w:b/>
                <w:bCs/>
                <w:color w:val="000000"/>
                <w:sz w:val="18"/>
                <w:szCs w:val="18"/>
              </w:rPr>
              <w:t>Number</w:t>
            </w:r>
          </w:p>
        </w:tc>
        <w:tc>
          <w:tcPr>
            <w:tcW w:w="1159" w:type="dxa"/>
            <w:tcBorders>
              <w:top w:val="nil"/>
              <w:left w:val="nil"/>
              <w:bottom w:val="single" w:sz="4" w:space="0" w:color="auto"/>
              <w:right w:val="nil"/>
            </w:tcBorders>
            <w:shd w:val="clear" w:color="auto" w:fill="E2EFD9" w:themeFill="accent6" w:themeFillTint="33"/>
            <w:noWrap/>
            <w:hideMark/>
          </w:tcPr>
          <w:p w14:paraId="68CD85C8" w14:textId="77777777" w:rsidR="001922C9" w:rsidRPr="00D6293C" w:rsidRDefault="001922C9" w:rsidP="007066AE">
            <w:pPr>
              <w:spacing w:line="240" w:lineRule="auto"/>
              <w:contextualSpacing w:val="0"/>
              <w:jc w:val="center"/>
              <w:rPr>
                <w:b/>
                <w:bCs/>
                <w:color w:val="000000"/>
                <w:sz w:val="18"/>
                <w:szCs w:val="18"/>
              </w:rPr>
            </w:pPr>
            <w:r w:rsidRPr="00D6293C">
              <w:rPr>
                <w:b/>
                <w:bCs/>
                <w:color w:val="000000"/>
                <w:sz w:val="18"/>
                <w:szCs w:val="18"/>
              </w:rPr>
              <w:t>Percent</w:t>
            </w:r>
          </w:p>
        </w:tc>
        <w:tc>
          <w:tcPr>
            <w:tcW w:w="1243" w:type="dxa"/>
            <w:tcBorders>
              <w:top w:val="nil"/>
              <w:left w:val="nil"/>
              <w:bottom w:val="single" w:sz="4" w:space="0" w:color="auto"/>
              <w:right w:val="nil"/>
            </w:tcBorders>
            <w:shd w:val="clear" w:color="auto" w:fill="E2EFD9" w:themeFill="accent6" w:themeFillTint="33"/>
            <w:noWrap/>
            <w:hideMark/>
          </w:tcPr>
          <w:p w14:paraId="2F92363B" w14:textId="77777777" w:rsidR="001922C9" w:rsidRPr="00D6293C" w:rsidRDefault="001922C9" w:rsidP="007066AE">
            <w:pPr>
              <w:spacing w:line="240" w:lineRule="auto"/>
              <w:contextualSpacing w:val="0"/>
              <w:jc w:val="center"/>
              <w:rPr>
                <w:b/>
                <w:bCs/>
                <w:color w:val="000000"/>
                <w:sz w:val="18"/>
                <w:szCs w:val="18"/>
              </w:rPr>
            </w:pPr>
            <w:r w:rsidRPr="00D6293C">
              <w:rPr>
                <w:b/>
                <w:bCs/>
                <w:color w:val="000000"/>
                <w:sz w:val="18"/>
                <w:szCs w:val="18"/>
              </w:rPr>
              <w:t>Number</w:t>
            </w:r>
          </w:p>
        </w:tc>
        <w:tc>
          <w:tcPr>
            <w:tcW w:w="914" w:type="dxa"/>
            <w:tcBorders>
              <w:top w:val="nil"/>
              <w:left w:val="nil"/>
              <w:bottom w:val="single" w:sz="4" w:space="0" w:color="auto"/>
              <w:right w:val="nil"/>
            </w:tcBorders>
            <w:shd w:val="clear" w:color="auto" w:fill="E2EFD9" w:themeFill="accent6" w:themeFillTint="33"/>
            <w:noWrap/>
            <w:hideMark/>
          </w:tcPr>
          <w:p w14:paraId="1737307B" w14:textId="77777777" w:rsidR="001922C9" w:rsidRPr="00D6293C" w:rsidRDefault="001922C9" w:rsidP="007066AE">
            <w:pPr>
              <w:spacing w:line="240" w:lineRule="auto"/>
              <w:contextualSpacing w:val="0"/>
              <w:jc w:val="center"/>
              <w:rPr>
                <w:b/>
                <w:bCs/>
                <w:color w:val="000000"/>
                <w:sz w:val="18"/>
                <w:szCs w:val="18"/>
              </w:rPr>
            </w:pPr>
            <w:r w:rsidRPr="00D6293C">
              <w:rPr>
                <w:b/>
                <w:bCs/>
                <w:color w:val="000000"/>
                <w:sz w:val="18"/>
                <w:szCs w:val="18"/>
              </w:rPr>
              <w:t>Percent</w:t>
            </w:r>
          </w:p>
        </w:tc>
        <w:tc>
          <w:tcPr>
            <w:tcW w:w="980" w:type="dxa"/>
            <w:tcBorders>
              <w:top w:val="nil"/>
              <w:left w:val="nil"/>
              <w:bottom w:val="single" w:sz="4" w:space="0" w:color="auto"/>
              <w:right w:val="nil"/>
            </w:tcBorders>
            <w:shd w:val="clear" w:color="auto" w:fill="E2EFD9" w:themeFill="accent6" w:themeFillTint="33"/>
            <w:noWrap/>
            <w:hideMark/>
          </w:tcPr>
          <w:p w14:paraId="3B4B9741" w14:textId="77777777" w:rsidR="001922C9" w:rsidRPr="00D6293C" w:rsidRDefault="001922C9" w:rsidP="007066AE">
            <w:pPr>
              <w:spacing w:line="240" w:lineRule="auto"/>
              <w:contextualSpacing w:val="0"/>
              <w:jc w:val="center"/>
              <w:rPr>
                <w:b/>
                <w:bCs/>
                <w:color w:val="000000"/>
                <w:sz w:val="18"/>
                <w:szCs w:val="18"/>
              </w:rPr>
            </w:pPr>
            <w:r w:rsidRPr="00D6293C">
              <w:rPr>
                <w:b/>
                <w:bCs/>
                <w:color w:val="000000"/>
                <w:sz w:val="18"/>
                <w:szCs w:val="18"/>
              </w:rPr>
              <w:t>Number</w:t>
            </w:r>
          </w:p>
        </w:tc>
        <w:tc>
          <w:tcPr>
            <w:tcW w:w="981" w:type="dxa"/>
            <w:tcBorders>
              <w:top w:val="nil"/>
              <w:left w:val="nil"/>
              <w:bottom w:val="single" w:sz="4" w:space="0" w:color="auto"/>
              <w:right w:val="nil"/>
            </w:tcBorders>
            <w:shd w:val="clear" w:color="auto" w:fill="E2EFD9" w:themeFill="accent6" w:themeFillTint="33"/>
            <w:noWrap/>
            <w:hideMark/>
          </w:tcPr>
          <w:p w14:paraId="5DF677C5" w14:textId="77777777" w:rsidR="001922C9" w:rsidRPr="00D6293C" w:rsidRDefault="001922C9" w:rsidP="007066AE">
            <w:pPr>
              <w:spacing w:line="240" w:lineRule="auto"/>
              <w:contextualSpacing w:val="0"/>
              <w:jc w:val="center"/>
              <w:rPr>
                <w:b/>
                <w:bCs/>
                <w:color w:val="000000"/>
                <w:sz w:val="18"/>
                <w:szCs w:val="18"/>
              </w:rPr>
            </w:pPr>
            <w:r w:rsidRPr="00D6293C">
              <w:rPr>
                <w:b/>
                <w:bCs/>
                <w:color w:val="000000"/>
                <w:sz w:val="18"/>
                <w:szCs w:val="18"/>
              </w:rPr>
              <w:t>Percent</w:t>
            </w:r>
          </w:p>
        </w:tc>
      </w:tr>
      <w:tr w:rsidR="001922C9" w:rsidRPr="001922C9" w14:paraId="6B5ACD11" w14:textId="77777777" w:rsidTr="003F0141">
        <w:trPr>
          <w:trHeight w:val="340"/>
        </w:trPr>
        <w:tc>
          <w:tcPr>
            <w:tcW w:w="3510" w:type="dxa"/>
            <w:tcBorders>
              <w:top w:val="nil"/>
              <w:left w:val="nil"/>
              <w:bottom w:val="nil"/>
              <w:right w:val="nil"/>
            </w:tcBorders>
            <w:shd w:val="clear" w:color="auto" w:fill="auto"/>
            <w:vAlign w:val="center"/>
            <w:hideMark/>
          </w:tcPr>
          <w:p w14:paraId="4CE76C30" w14:textId="07B560B3" w:rsidR="001922C9" w:rsidRPr="00D6293C" w:rsidRDefault="001922C9" w:rsidP="001922C9">
            <w:pPr>
              <w:spacing w:line="240" w:lineRule="auto"/>
              <w:contextualSpacing w:val="0"/>
              <w:jc w:val="left"/>
              <w:rPr>
                <w:color w:val="000000"/>
                <w:sz w:val="18"/>
                <w:szCs w:val="18"/>
              </w:rPr>
            </w:pPr>
            <w:r w:rsidRPr="00D6293C">
              <w:rPr>
                <w:color w:val="000000"/>
                <w:sz w:val="18"/>
                <w:szCs w:val="18"/>
              </w:rPr>
              <w:t>Student</w:t>
            </w:r>
          </w:p>
        </w:tc>
        <w:tc>
          <w:tcPr>
            <w:tcW w:w="1266" w:type="dxa"/>
            <w:tcBorders>
              <w:top w:val="nil"/>
              <w:left w:val="single" w:sz="4" w:space="0" w:color="auto"/>
              <w:bottom w:val="nil"/>
              <w:right w:val="nil"/>
            </w:tcBorders>
            <w:shd w:val="clear" w:color="auto" w:fill="auto"/>
            <w:noWrap/>
            <w:vAlign w:val="center"/>
            <w:hideMark/>
          </w:tcPr>
          <w:p w14:paraId="652E5643" w14:textId="162FA580" w:rsidR="001922C9" w:rsidRPr="00D6293C" w:rsidRDefault="001922C9" w:rsidP="003F0141">
            <w:pPr>
              <w:spacing w:line="240" w:lineRule="auto"/>
              <w:contextualSpacing w:val="0"/>
              <w:jc w:val="right"/>
              <w:rPr>
                <w:color w:val="000000"/>
                <w:sz w:val="18"/>
                <w:szCs w:val="18"/>
              </w:rPr>
            </w:pPr>
            <w:r w:rsidRPr="00D6293C">
              <w:rPr>
                <w:color w:val="000000"/>
                <w:sz w:val="18"/>
                <w:szCs w:val="18"/>
              </w:rPr>
              <w:t>19,182,665</w:t>
            </w:r>
          </w:p>
        </w:tc>
        <w:tc>
          <w:tcPr>
            <w:tcW w:w="1159" w:type="dxa"/>
            <w:tcBorders>
              <w:top w:val="nil"/>
              <w:left w:val="nil"/>
              <w:bottom w:val="nil"/>
              <w:right w:val="nil"/>
            </w:tcBorders>
            <w:shd w:val="clear" w:color="auto" w:fill="auto"/>
            <w:noWrap/>
            <w:vAlign w:val="center"/>
            <w:hideMark/>
          </w:tcPr>
          <w:p w14:paraId="3DB0269A" w14:textId="66B3D7FA" w:rsidR="001922C9" w:rsidRPr="00D6293C" w:rsidRDefault="001922C9" w:rsidP="003F0141">
            <w:pPr>
              <w:spacing w:line="240" w:lineRule="auto"/>
              <w:contextualSpacing w:val="0"/>
              <w:jc w:val="right"/>
              <w:rPr>
                <w:color w:val="000000"/>
                <w:sz w:val="18"/>
                <w:szCs w:val="18"/>
              </w:rPr>
            </w:pPr>
            <w:r w:rsidRPr="00D6293C">
              <w:rPr>
                <w:color w:val="000000"/>
                <w:sz w:val="18"/>
                <w:szCs w:val="18"/>
              </w:rPr>
              <w:t>54.2</w:t>
            </w:r>
          </w:p>
        </w:tc>
        <w:tc>
          <w:tcPr>
            <w:tcW w:w="1243" w:type="dxa"/>
            <w:tcBorders>
              <w:top w:val="nil"/>
              <w:left w:val="nil"/>
              <w:bottom w:val="nil"/>
              <w:right w:val="nil"/>
            </w:tcBorders>
            <w:shd w:val="clear" w:color="auto" w:fill="auto"/>
            <w:noWrap/>
            <w:vAlign w:val="center"/>
            <w:hideMark/>
          </w:tcPr>
          <w:p w14:paraId="29C5A8C1" w14:textId="4BCAE40D" w:rsidR="001922C9" w:rsidRPr="00D6293C" w:rsidRDefault="001922C9" w:rsidP="003F0141">
            <w:pPr>
              <w:spacing w:line="240" w:lineRule="auto"/>
              <w:contextualSpacing w:val="0"/>
              <w:jc w:val="right"/>
              <w:rPr>
                <w:color w:val="000000"/>
                <w:sz w:val="18"/>
                <w:szCs w:val="18"/>
              </w:rPr>
            </w:pPr>
            <w:r w:rsidRPr="00D6293C">
              <w:rPr>
                <w:color w:val="000000"/>
                <w:sz w:val="18"/>
                <w:szCs w:val="18"/>
              </w:rPr>
              <w:t>18,641,632</w:t>
            </w:r>
          </w:p>
        </w:tc>
        <w:tc>
          <w:tcPr>
            <w:tcW w:w="914" w:type="dxa"/>
            <w:tcBorders>
              <w:top w:val="nil"/>
              <w:left w:val="nil"/>
              <w:bottom w:val="nil"/>
              <w:right w:val="nil"/>
            </w:tcBorders>
            <w:shd w:val="clear" w:color="auto" w:fill="auto"/>
            <w:noWrap/>
            <w:vAlign w:val="center"/>
            <w:hideMark/>
          </w:tcPr>
          <w:p w14:paraId="1EE7C08B" w14:textId="095A7246" w:rsidR="001922C9" w:rsidRPr="00D6293C" w:rsidRDefault="001922C9" w:rsidP="003F0141">
            <w:pPr>
              <w:spacing w:line="240" w:lineRule="auto"/>
              <w:contextualSpacing w:val="0"/>
              <w:jc w:val="right"/>
              <w:rPr>
                <w:color w:val="000000"/>
                <w:sz w:val="18"/>
                <w:szCs w:val="18"/>
              </w:rPr>
            </w:pPr>
            <w:r w:rsidRPr="00D6293C">
              <w:rPr>
                <w:color w:val="000000"/>
                <w:sz w:val="18"/>
                <w:szCs w:val="18"/>
              </w:rPr>
              <w:t>54.1</w:t>
            </w:r>
          </w:p>
        </w:tc>
        <w:tc>
          <w:tcPr>
            <w:tcW w:w="980" w:type="dxa"/>
            <w:tcBorders>
              <w:top w:val="nil"/>
              <w:left w:val="nil"/>
              <w:bottom w:val="nil"/>
              <w:right w:val="nil"/>
            </w:tcBorders>
            <w:shd w:val="clear" w:color="auto" w:fill="auto"/>
            <w:noWrap/>
            <w:vAlign w:val="center"/>
            <w:hideMark/>
          </w:tcPr>
          <w:p w14:paraId="3BD25276" w14:textId="11061B27" w:rsidR="001922C9" w:rsidRPr="00D6293C" w:rsidRDefault="001922C9" w:rsidP="003F0141">
            <w:pPr>
              <w:spacing w:line="240" w:lineRule="auto"/>
              <w:contextualSpacing w:val="0"/>
              <w:jc w:val="right"/>
              <w:rPr>
                <w:color w:val="000000"/>
                <w:sz w:val="18"/>
                <w:szCs w:val="18"/>
              </w:rPr>
            </w:pPr>
            <w:r w:rsidRPr="00D6293C">
              <w:rPr>
                <w:color w:val="000000"/>
                <w:sz w:val="18"/>
                <w:szCs w:val="18"/>
              </w:rPr>
              <w:t>541,033</w:t>
            </w:r>
          </w:p>
        </w:tc>
        <w:tc>
          <w:tcPr>
            <w:tcW w:w="981" w:type="dxa"/>
            <w:tcBorders>
              <w:top w:val="nil"/>
              <w:left w:val="nil"/>
              <w:bottom w:val="nil"/>
              <w:right w:val="nil"/>
            </w:tcBorders>
            <w:shd w:val="clear" w:color="auto" w:fill="auto"/>
            <w:noWrap/>
            <w:vAlign w:val="center"/>
            <w:hideMark/>
          </w:tcPr>
          <w:p w14:paraId="0EB25B07" w14:textId="38496614" w:rsidR="001922C9" w:rsidRPr="00D6293C" w:rsidRDefault="001922C9" w:rsidP="003F0141">
            <w:pPr>
              <w:spacing w:line="240" w:lineRule="auto"/>
              <w:contextualSpacing w:val="0"/>
              <w:jc w:val="right"/>
              <w:rPr>
                <w:color w:val="000000"/>
                <w:sz w:val="18"/>
                <w:szCs w:val="18"/>
              </w:rPr>
            </w:pPr>
            <w:r w:rsidRPr="00D6293C">
              <w:rPr>
                <w:color w:val="000000"/>
                <w:sz w:val="18"/>
                <w:szCs w:val="18"/>
              </w:rPr>
              <w:t>57.3</w:t>
            </w:r>
          </w:p>
        </w:tc>
      </w:tr>
      <w:tr w:rsidR="001922C9" w:rsidRPr="001922C9" w14:paraId="2B20D7FA" w14:textId="77777777" w:rsidTr="003F0141">
        <w:trPr>
          <w:trHeight w:val="340"/>
        </w:trPr>
        <w:tc>
          <w:tcPr>
            <w:tcW w:w="3510" w:type="dxa"/>
            <w:tcBorders>
              <w:top w:val="nil"/>
              <w:left w:val="nil"/>
              <w:bottom w:val="nil"/>
              <w:right w:val="nil"/>
            </w:tcBorders>
            <w:shd w:val="clear" w:color="auto" w:fill="auto"/>
            <w:vAlign w:val="center"/>
            <w:hideMark/>
          </w:tcPr>
          <w:p w14:paraId="157A07DB" w14:textId="7CF6ED14" w:rsidR="001922C9" w:rsidRPr="00D6293C" w:rsidRDefault="001922C9" w:rsidP="001922C9">
            <w:pPr>
              <w:spacing w:line="240" w:lineRule="auto"/>
              <w:contextualSpacing w:val="0"/>
              <w:jc w:val="left"/>
              <w:rPr>
                <w:color w:val="000000"/>
                <w:sz w:val="18"/>
                <w:szCs w:val="18"/>
              </w:rPr>
            </w:pPr>
            <w:r w:rsidRPr="00D6293C">
              <w:rPr>
                <w:color w:val="000000"/>
                <w:sz w:val="18"/>
                <w:szCs w:val="18"/>
              </w:rPr>
              <w:t xml:space="preserve">Crop </w:t>
            </w:r>
            <w:r w:rsidR="00007A33">
              <w:rPr>
                <w:color w:val="000000"/>
                <w:sz w:val="18"/>
                <w:szCs w:val="18"/>
              </w:rPr>
              <w:t>f</w:t>
            </w:r>
            <w:r w:rsidRPr="00D6293C">
              <w:rPr>
                <w:color w:val="000000"/>
                <w:sz w:val="18"/>
                <w:szCs w:val="18"/>
              </w:rPr>
              <w:t>arming</w:t>
            </w:r>
          </w:p>
        </w:tc>
        <w:tc>
          <w:tcPr>
            <w:tcW w:w="1266" w:type="dxa"/>
            <w:tcBorders>
              <w:top w:val="nil"/>
              <w:left w:val="single" w:sz="4" w:space="0" w:color="auto"/>
              <w:bottom w:val="nil"/>
              <w:right w:val="nil"/>
            </w:tcBorders>
            <w:shd w:val="clear" w:color="auto" w:fill="auto"/>
            <w:noWrap/>
            <w:vAlign w:val="center"/>
            <w:hideMark/>
          </w:tcPr>
          <w:p w14:paraId="058C07A5" w14:textId="42BBEDBA" w:rsidR="001922C9" w:rsidRPr="00D6293C" w:rsidRDefault="001922C9" w:rsidP="003F0141">
            <w:pPr>
              <w:spacing w:line="240" w:lineRule="auto"/>
              <w:contextualSpacing w:val="0"/>
              <w:jc w:val="right"/>
              <w:rPr>
                <w:color w:val="000000"/>
                <w:sz w:val="18"/>
                <w:szCs w:val="18"/>
              </w:rPr>
            </w:pPr>
            <w:r w:rsidRPr="00D6293C">
              <w:rPr>
                <w:color w:val="000000"/>
                <w:sz w:val="18"/>
                <w:szCs w:val="18"/>
              </w:rPr>
              <w:t>11,710,813</w:t>
            </w:r>
          </w:p>
        </w:tc>
        <w:tc>
          <w:tcPr>
            <w:tcW w:w="1159" w:type="dxa"/>
            <w:tcBorders>
              <w:top w:val="nil"/>
              <w:left w:val="nil"/>
              <w:bottom w:val="nil"/>
              <w:right w:val="nil"/>
            </w:tcBorders>
            <w:shd w:val="clear" w:color="auto" w:fill="auto"/>
            <w:noWrap/>
            <w:vAlign w:val="center"/>
            <w:hideMark/>
          </w:tcPr>
          <w:p w14:paraId="680E096C" w14:textId="7A7C5C78" w:rsidR="001922C9" w:rsidRPr="00D6293C" w:rsidRDefault="001922C9" w:rsidP="003F0141">
            <w:pPr>
              <w:spacing w:line="240" w:lineRule="auto"/>
              <w:contextualSpacing w:val="0"/>
              <w:jc w:val="right"/>
              <w:rPr>
                <w:color w:val="000000"/>
                <w:sz w:val="18"/>
                <w:szCs w:val="18"/>
              </w:rPr>
            </w:pPr>
            <w:r w:rsidRPr="00D6293C">
              <w:rPr>
                <w:color w:val="000000"/>
                <w:sz w:val="18"/>
                <w:szCs w:val="18"/>
              </w:rPr>
              <w:t>33.1</w:t>
            </w:r>
          </w:p>
        </w:tc>
        <w:tc>
          <w:tcPr>
            <w:tcW w:w="1243" w:type="dxa"/>
            <w:tcBorders>
              <w:top w:val="nil"/>
              <w:left w:val="nil"/>
              <w:bottom w:val="nil"/>
              <w:right w:val="nil"/>
            </w:tcBorders>
            <w:shd w:val="clear" w:color="auto" w:fill="auto"/>
            <w:noWrap/>
            <w:vAlign w:val="center"/>
            <w:hideMark/>
          </w:tcPr>
          <w:p w14:paraId="7D8C752F" w14:textId="2D6A186D" w:rsidR="001922C9" w:rsidRPr="00D6293C" w:rsidRDefault="001922C9" w:rsidP="003F0141">
            <w:pPr>
              <w:spacing w:line="240" w:lineRule="auto"/>
              <w:contextualSpacing w:val="0"/>
              <w:jc w:val="right"/>
              <w:rPr>
                <w:color w:val="000000"/>
                <w:sz w:val="18"/>
                <w:szCs w:val="18"/>
              </w:rPr>
            </w:pPr>
            <w:r w:rsidRPr="00D6293C">
              <w:rPr>
                <w:color w:val="000000"/>
                <w:sz w:val="18"/>
                <w:szCs w:val="18"/>
              </w:rPr>
              <w:t>11,557,156</w:t>
            </w:r>
          </w:p>
        </w:tc>
        <w:tc>
          <w:tcPr>
            <w:tcW w:w="914" w:type="dxa"/>
            <w:tcBorders>
              <w:top w:val="nil"/>
              <w:left w:val="nil"/>
              <w:bottom w:val="nil"/>
              <w:right w:val="nil"/>
            </w:tcBorders>
            <w:shd w:val="clear" w:color="auto" w:fill="auto"/>
            <w:noWrap/>
            <w:vAlign w:val="center"/>
            <w:hideMark/>
          </w:tcPr>
          <w:p w14:paraId="10787D12" w14:textId="2E65DD79" w:rsidR="001922C9" w:rsidRPr="00D6293C" w:rsidRDefault="001922C9" w:rsidP="003F0141">
            <w:pPr>
              <w:spacing w:line="240" w:lineRule="auto"/>
              <w:contextualSpacing w:val="0"/>
              <w:jc w:val="right"/>
              <w:rPr>
                <w:color w:val="000000"/>
                <w:sz w:val="18"/>
                <w:szCs w:val="18"/>
              </w:rPr>
            </w:pPr>
            <w:r w:rsidRPr="00D6293C">
              <w:rPr>
                <w:color w:val="000000"/>
                <w:sz w:val="18"/>
                <w:szCs w:val="18"/>
              </w:rPr>
              <w:t>33.5</w:t>
            </w:r>
          </w:p>
        </w:tc>
        <w:tc>
          <w:tcPr>
            <w:tcW w:w="980" w:type="dxa"/>
            <w:tcBorders>
              <w:top w:val="nil"/>
              <w:left w:val="nil"/>
              <w:bottom w:val="nil"/>
              <w:right w:val="nil"/>
            </w:tcBorders>
            <w:shd w:val="clear" w:color="auto" w:fill="auto"/>
            <w:noWrap/>
            <w:vAlign w:val="center"/>
            <w:hideMark/>
          </w:tcPr>
          <w:p w14:paraId="7962CBB7" w14:textId="10935D29" w:rsidR="001922C9" w:rsidRPr="00D6293C" w:rsidRDefault="001922C9" w:rsidP="003F0141">
            <w:pPr>
              <w:spacing w:line="240" w:lineRule="auto"/>
              <w:contextualSpacing w:val="0"/>
              <w:jc w:val="right"/>
              <w:rPr>
                <w:color w:val="000000"/>
                <w:sz w:val="18"/>
                <w:szCs w:val="18"/>
              </w:rPr>
            </w:pPr>
            <w:r w:rsidRPr="00D6293C">
              <w:rPr>
                <w:color w:val="000000"/>
                <w:sz w:val="18"/>
                <w:szCs w:val="18"/>
              </w:rPr>
              <w:t>153,657</w:t>
            </w:r>
          </w:p>
        </w:tc>
        <w:tc>
          <w:tcPr>
            <w:tcW w:w="981" w:type="dxa"/>
            <w:tcBorders>
              <w:top w:val="nil"/>
              <w:left w:val="nil"/>
              <w:bottom w:val="nil"/>
              <w:right w:val="nil"/>
            </w:tcBorders>
            <w:shd w:val="clear" w:color="auto" w:fill="auto"/>
            <w:noWrap/>
            <w:vAlign w:val="center"/>
            <w:hideMark/>
          </w:tcPr>
          <w:p w14:paraId="5E2E23D0" w14:textId="6F9168FC" w:rsidR="001922C9" w:rsidRPr="00D6293C" w:rsidRDefault="001922C9" w:rsidP="003F0141">
            <w:pPr>
              <w:spacing w:line="240" w:lineRule="auto"/>
              <w:contextualSpacing w:val="0"/>
              <w:jc w:val="right"/>
              <w:rPr>
                <w:color w:val="000000"/>
                <w:sz w:val="18"/>
                <w:szCs w:val="18"/>
              </w:rPr>
            </w:pPr>
            <w:r w:rsidRPr="00D6293C">
              <w:rPr>
                <w:color w:val="000000"/>
                <w:sz w:val="18"/>
                <w:szCs w:val="18"/>
              </w:rPr>
              <w:t>16.3</w:t>
            </w:r>
          </w:p>
        </w:tc>
      </w:tr>
      <w:tr w:rsidR="001922C9" w:rsidRPr="001922C9" w14:paraId="077E5296" w14:textId="77777777" w:rsidTr="003F0141">
        <w:trPr>
          <w:trHeight w:val="340"/>
        </w:trPr>
        <w:tc>
          <w:tcPr>
            <w:tcW w:w="3510" w:type="dxa"/>
            <w:tcBorders>
              <w:top w:val="nil"/>
              <w:left w:val="nil"/>
              <w:bottom w:val="nil"/>
              <w:right w:val="nil"/>
            </w:tcBorders>
            <w:shd w:val="clear" w:color="auto" w:fill="auto"/>
            <w:vAlign w:val="center"/>
            <w:hideMark/>
          </w:tcPr>
          <w:p w14:paraId="260A5D80" w14:textId="1A0F2E5F" w:rsidR="001922C9" w:rsidRPr="00D6293C" w:rsidRDefault="001922C9" w:rsidP="001922C9">
            <w:pPr>
              <w:spacing w:line="240" w:lineRule="auto"/>
              <w:contextualSpacing w:val="0"/>
              <w:jc w:val="left"/>
              <w:rPr>
                <w:color w:val="000000"/>
                <w:sz w:val="18"/>
                <w:szCs w:val="18"/>
              </w:rPr>
            </w:pPr>
            <w:r w:rsidRPr="00D6293C">
              <w:rPr>
                <w:color w:val="000000"/>
                <w:sz w:val="18"/>
                <w:szCs w:val="18"/>
              </w:rPr>
              <w:t>Self employed without employees</w:t>
            </w:r>
          </w:p>
        </w:tc>
        <w:tc>
          <w:tcPr>
            <w:tcW w:w="1266" w:type="dxa"/>
            <w:tcBorders>
              <w:top w:val="nil"/>
              <w:left w:val="single" w:sz="4" w:space="0" w:color="auto"/>
              <w:bottom w:val="nil"/>
              <w:right w:val="nil"/>
            </w:tcBorders>
            <w:shd w:val="clear" w:color="auto" w:fill="auto"/>
            <w:noWrap/>
            <w:vAlign w:val="center"/>
            <w:hideMark/>
          </w:tcPr>
          <w:p w14:paraId="76B1BC82" w14:textId="0BADFC4B" w:rsidR="001922C9" w:rsidRPr="00D6293C" w:rsidRDefault="001922C9" w:rsidP="003F0141">
            <w:pPr>
              <w:spacing w:line="240" w:lineRule="auto"/>
              <w:contextualSpacing w:val="0"/>
              <w:jc w:val="right"/>
              <w:rPr>
                <w:color w:val="000000"/>
                <w:sz w:val="18"/>
                <w:szCs w:val="18"/>
              </w:rPr>
            </w:pPr>
            <w:r w:rsidRPr="00D6293C">
              <w:rPr>
                <w:color w:val="000000"/>
                <w:sz w:val="18"/>
                <w:szCs w:val="18"/>
              </w:rPr>
              <w:t>1,008,014</w:t>
            </w:r>
          </w:p>
        </w:tc>
        <w:tc>
          <w:tcPr>
            <w:tcW w:w="1159" w:type="dxa"/>
            <w:tcBorders>
              <w:top w:val="nil"/>
              <w:left w:val="nil"/>
              <w:bottom w:val="nil"/>
              <w:right w:val="nil"/>
            </w:tcBorders>
            <w:shd w:val="clear" w:color="auto" w:fill="auto"/>
            <w:noWrap/>
            <w:vAlign w:val="center"/>
            <w:hideMark/>
          </w:tcPr>
          <w:p w14:paraId="1B99AC3C" w14:textId="22D3FA5F" w:rsidR="001922C9" w:rsidRPr="00D6293C" w:rsidRDefault="001922C9" w:rsidP="003F0141">
            <w:pPr>
              <w:spacing w:line="240" w:lineRule="auto"/>
              <w:contextualSpacing w:val="0"/>
              <w:jc w:val="right"/>
              <w:rPr>
                <w:color w:val="000000"/>
                <w:sz w:val="18"/>
                <w:szCs w:val="18"/>
              </w:rPr>
            </w:pPr>
            <w:r w:rsidRPr="00D6293C">
              <w:rPr>
                <w:color w:val="000000"/>
                <w:sz w:val="18"/>
                <w:szCs w:val="18"/>
              </w:rPr>
              <w:t>2.8</w:t>
            </w:r>
          </w:p>
        </w:tc>
        <w:tc>
          <w:tcPr>
            <w:tcW w:w="1243" w:type="dxa"/>
            <w:tcBorders>
              <w:top w:val="nil"/>
              <w:left w:val="nil"/>
              <w:bottom w:val="nil"/>
              <w:right w:val="nil"/>
            </w:tcBorders>
            <w:shd w:val="clear" w:color="auto" w:fill="auto"/>
            <w:noWrap/>
            <w:vAlign w:val="center"/>
            <w:hideMark/>
          </w:tcPr>
          <w:p w14:paraId="71712793" w14:textId="5692BDBD" w:rsidR="001922C9" w:rsidRPr="00D6293C" w:rsidRDefault="001922C9" w:rsidP="003F0141">
            <w:pPr>
              <w:spacing w:line="240" w:lineRule="auto"/>
              <w:contextualSpacing w:val="0"/>
              <w:jc w:val="right"/>
              <w:rPr>
                <w:color w:val="000000"/>
                <w:sz w:val="18"/>
                <w:szCs w:val="18"/>
              </w:rPr>
            </w:pPr>
            <w:r w:rsidRPr="00D6293C">
              <w:rPr>
                <w:color w:val="000000"/>
                <w:sz w:val="18"/>
                <w:szCs w:val="18"/>
              </w:rPr>
              <w:t>945,172</w:t>
            </w:r>
          </w:p>
        </w:tc>
        <w:tc>
          <w:tcPr>
            <w:tcW w:w="914" w:type="dxa"/>
            <w:tcBorders>
              <w:top w:val="nil"/>
              <w:left w:val="nil"/>
              <w:bottom w:val="nil"/>
              <w:right w:val="nil"/>
            </w:tcBorders>
            <w:shd w:val="clear" w:color="auto" w:fill="auto"/>
            <w:noWrap/>
            <w:vAlign w:val="center"/>
            <w:hideMark/>
          </w:tcPr>
          <w:p w14:paraId="1D0831EF" w14:textId="680039CC" w:rsidR="001922C9" w:rsidRPr="00D6293C" w:rsidRDefault="001922C9" w:rsidP="003F0141">
            <w:pPr>
              <w:spacing w:line="240" w:lineRule="auto"/>
              <w:contextualSpacing w:val="0"/>
              <w:jc w:val="right"/>
              <w:rPr>
                <w:color w:val="000000"/>
                <w:sz w:val="18"/>
                <w:szCs w:val="18"/>
              </w:rPr>
            </w:pPr>
            <w:r w:rsidRPr="00D6293C">
              <w:rPr>
                <w:color w:val="000000"/>
                <w:sz w:val="18"/>
                <w:szCs w:val="18"/>
              </w:rPr>
              <w:t>2.7</w:t>
            </w:r>
          </w:p>
        </w:tc>
        <w:tc>
          <w:tcPr>
            <w:tcW w:w="980" w:type="dxa"/>
            <w:tcBorders>
              <w:top w:val="nil"/>
              <w:left w:val="nil"/>
              <w:bottom w:val="nil"/>
              <w:right w:val="nil"/>
            </w:tcBorders>
            <w:shd w:val="clear" w:color="auto" w:fill="auto"/>
            <w:noWrap/>
            <w:vAlign w:val="center"/>
            <w:hideMark/>
          </w:tcPr>
          <w:p w14:paraId="5E70574B" w14:textId="4A1442A8" w:rsidR="001922C9" w:rsidRPr="00D6293C" w:rsidRDefault="001922C9" w:rsidP="003F0141">
            <w:pPr>
              <w:spacing w:line="240" w:lineRule="auto"/>
              <w:contextualSpacing w:val="0"/>
              <w:jc w:val="right"/>
              <w:rPr>
                <w:color w:val="000000"/>
                <w:sz w:val="18"/>
                <w:szCs w:val="18"/>
              </w:rPr>
            </w:pPr>
            <w:r w:rsidRPr="00D6293C">
              <w:rPr>
                <w:color w:val="000000"/>
                <w:sz w:val="18"/>
                <w:szCs w:val="18"/>
              </w:rPr>
              <w:t>62,842</w:t>
            </w:r>
          </w:p>
        </w:tc>
        <w:tc>
          <w:tcPr>
            <w:tcW w:w="981" w:type="dxa"/>
            <w:tcBorders>
              <w:top w:val="nil"/>
              <w:left w:val="nil"/>
              <w:bottom w:val="nil"/>
              <w:right w:val="nil"/>
            </w:tcBorders>
            <w:shd w:val="clear" w:color="auto" w:fill="auto"/>
            <w:noWrap/>
            <w:vAlign w:val="center"/>
            <w:hideMark/>
          </w:tcPr>
          <w:p w14:paraId="16D1BE4D" w14:textId="7BD4620A" w:rsidR="001922C9" w:rsidRPr="00D6293C" w:rsidRDefault="001922C9" w:rsidP="003F0141">
            <w:pPr>
              <w:spacing w:line="240" w:lineRule="auto"/>
              <w:contextualSpacing w:val="0"/>
              <w:jc w:val="right"/>
              <w:rPr>
                <w:color w:val="000000"/>
                <w:sz w:val="18"/>
                <w:szCs w:val="18"/>
              </w:rPr>
            </w:pPr>
            <w:r w:rsidRPr="00D6293C">
              <w:rPr>
                <w:color w:val="000000"/>
                <w:sz w:val="18"/>
                <w:szCs w:val="18"/>
              </w:rPr>
              <w:t>6.7</w:t>
            </w:r>
          </w:p>
        </w:tc>
      </w:tr>
      <w:tr w:rsidR="001922C9" w:rsidRPr="001922C9" w14:paraId="46A48AE9" w14:textId="77777777" w:rsidTr="003F0141">
        <w:trPr>
          <w:trHeight w:val="340"/>
        </w:trPr>
        <w:tc>
          <w:tcPr>
            <w:tcW w:w="3510" w:type="dxa"/>
            <w:tcBorders>
              <w:top w:val="nil"/>
              <w:left w:val="nil"/>
              <w:bottom w:val="nil"/>
              <w:right w:val="nil"/>
            </w:tcBorders>
            <w:shd w:val="clear" w:color="auto" w:fill="auto"/>
            <w:vAlign w:val="center"/>
            <w:hideMark/>
          </w:tcPr>
          <w:p w14:paraId="14330A54" w14:textId="506D4BF7" w:rsidR="001922C9" w:rsidRPr="00D6293C" w:rsidRDefault="001922C9" w:rsidP="001922C9">
            <w:pPr>
              <w:spacing w:line="240" w:lineRule="auto"/>
              <w:contextualSpacing w:val="0"/>
              <w:jc w:val="left"/>
              <w:rPr>
                <w:color w:val="000000"/>
                <w:sz w:val="18"/>
                <w:szCs w:val="18"/>
              </w:rPr>
            </w:pPr>
            <w:r w:rsidRPr="00D6293C">
              <w:rPr>
                <w:color w:val="000000"/>
                <w:sz w:val="18"/>
                <w:szCs w:val="18"/>
              </w:rPr>
              <w:t>Unable to work/too old/</w:t>
            </w:r>
            <w:r w:rsidR="00D6293C" w:rsidRPr="00D6293C">
              <w:rPr>
                <w:color w:val="000000"/>
                <w:sz w:val="18"/>
                <w:szCs w:val="18"/>
              </w:rPr>
              <w:t>r</w:t>
            </w:r>
            <w:r w:rsidRPr="00D6293C">
              <w:rPr>
                <w:color w:val="000000"/>
                <w:sz w:val="18"/>
                <w:szCs w:val="18"/>
              </w:rPr>
              <w:t>etired/sick/disabled</w:t>
            </w:r>
          </w:p>
        </w:tc>
        <w:tc>
          <w:tcPr>
            <w:tcW w:w="1266" w:type="dxa"/>
            <w:tcBorders>
              <w:top w:val="nil"/>
              <w:left w:val="single" w:sz="4" w:space="0" w:color="auto"/>
              <w:bottom w:val="nil"/>
              <w:right w:val="nil"/>
            </w:tcBorders>
            <w:shd w:val="clear" w:color="auto" w:fill="auto"/>
            <w:noWrap/>
            <w:vAlign w:val="center"/>
            <w:hideMark/>
          </w:tcPr>
          <w:p w14:paraId="051FF716" w14:textId="399701CD" w:rsidR="001922C9" w:rsidRPr="00D6293C" w:rsidRDefault="001922C9" w:rsidP="003F0141">
            <w:pPr>
              <w:spacing w:line="240" w:lineRule="auto"/>
              <w:contextualSpacing w:val="0"/>
              <w:jc w:val="right"/>
              <w:rPr>
                <w:color w:val="000000"/>
                <w:sz w:val="18"/>
                <w:szCs w:val="18"/>
              </w:rPr>
            </w:pPr>
            <w:r w:rsidRPr="00D6293C">
              <w:rPr>
                <w:color w:val="000000"/>
                <w:sz w:val="18"/>
                <w:szCs w:val="18"/>
              </w:rPr>
              <w:t>882,962</w:t>
            </w:r>
          </w:p>
        </w:tc>
        <w:tc>
          <w:tcPr>
            <w:tcW w:w="1159" w:type="dxa"/>
            <w:tcBorders>
              <w:top w:val="nil"/>
              <w:left w:val="nil"/>
              <w:bottom w:val="nil"/>
              <w:right w:val="nil"/>
            </w:tcBorders>
            <w:shd w:val="clear" w:color="auto" w:fill="auto"/>
            <w:noWrap/>
            <w:vAlign w:val="center"/>
            <w:hideMark/>
          </w:tcPr>
          <w:p w14:paraId="3656ADCE" w14:textId="6358C812" w:rsidR="001922C9" w:rsidRPr="00D6293C" w:rsidRDefault="001922C9" w:rsidP="003F0141">
            <w:pPr>
              <w:spacing w:line="240" w:lineRule="auto"/>
              <w:contextualSpacing w:val="0"/>
              <w:jc w:val="right"/>
              <w:rPr>
                <w:color w:val="000000"/>
                <w:sz w:val="18"/>
                <w:szCs w:val="18"/>
              </w:rPr>
            </w:pPr>
            <w:r w:rsidRPr="00D6293C">
              <w:rPr>
                <w:color w:val="000000"/>
                <w:sz w:val="18"/>
                <w:szCs w:val="18"/>
              </w:rPr>
              <w:t>2.5</w:t>
            </w:r>
          </w:p>
        </w:tc>
        <w:tc>
          <w:tcPr>
            <w:tcW w:w="1243" w:type="dxa"/>
            <w:tcBorders>
              <w:top w:val="nil"/>
              <w:left w:val="nil"/>
              <w:bottom w:val="nil"/>
              <w:right w:val="nil"/>
            </w:tcBorders>
            <w:shd w:val="clear" w:color="auto" w:fill="auto"/>
            <w:noWrap/>
            <w:vAlign w:val="center"/>
            <w:hideMark/>
          </w:tcPr>
          <w:p w14:paraId="3656951F" w14:textId="045BEE1A" w:rsidR="001922C9" w:rsidRPr="00D6293C" w:rsidRDefault="001922C9" w:rsidP="003F0141">
            <w:pPr>
              <w:spacing w:line="240" w:lineRule="auto"/>
              <w:contextualSpacing w:val="0"/>
              <w:jc w:val="right"/>
              <w:rPr>
                <w:color w:val="000000"/>
                <w:sz w:val="18"/>
                <w:szCs w:val="18"/>
              </w:rPr>
            </w:pPr>
            <w:r w:rsidRPr="00D6293C">
              <w:rPr>
                <w:color w:val="000000"/>
                <w:sz w:val="18"/>
                <w:szCs w:val="18"/>
              </w:rPr>
              <w:t>866,026</w:t>
            </w:r>
          </w:p>
        </w:tc>
        <w:tc>
          <w:tcPr>
            <w:tcW w:w="914" w:type="dxa"/>
            <w:tcBorders>
              <w:top w:val="nil"/>
              <w:left w:val="nil"/>
              <w:bottom w:val="nil"/>
              <w:right w:val="nil"/>
            </w:tcBorders>
            <w:shd w:val="clear" w:color="auto" w:fill="auto"/>
            <w:noWrap/>
            <w:vAlign w:val="center"/>
            <w:hideMark/>
          </w:tcPr>
          <w:p w14:paraId="32A3A592" w14:textId="43CDC3DB" w:rsidR="001922C9" w:rsidRPr="00D6293C" w:rsidRDefault="001922C9" w:rsidP="003F0141">
            <w:pPr>
              <w:spacing w:line="240" w:lineRule="auto"/>
              <w:contextualSpacing w:val="0"/>
              <w:jc w:val="right"/>
              <w:rPr>
                <w:color w:val="000000"/>
                <w:sz w:val="18"/>
                <w:szCs w:val="18"/>
              </w:rPr>
            </w:pPr>
            <w:r w:rsidRPr="00D6293C">
              <w:rPr>
                <w:color w:val="000000"/>
                <w:sz w:val="18"/>
                <w:szCs w:val="18"/>
              </w:rPr>
              <w:t>2.5</w:t>
            </w:r>
          </w:p>
        </w:tc>
        <w:tc>
          <w:tcPr>
            <w:tcW w:w="980" w:type="dxa"/>
            <w:tcBorders>
              <w:top w:val="nil"/>
              <w:left w:val="nil"/>
              <w:bottom w:val="nil"/>
              <w:right w:val="nil"/>
            </w:tcBorders>
            <w:shd w:val="clear" w:color="auto" w:fill="auto"/>
            <w:noWrap/>
            <w:vAlign w:val="center"/>
            <w:hideMark/>
          </w:tcPr>
          <w:p w14:paraId="4B13ADAD" w14:textId="62DFA8A4" w:rsidR="001922C9" w:rsidRPr="00D6293C" w:rsidRDefault="001922C9" w:rsidP="003F0141">
            <w:pPr>
              <w:spacing w:line="240" w:lineRule="auto"/>
              <w:contextualSpacing w:val="0"/>
              <w:jc w:val="right"/>
              <w:rPr>
                <w:color w:val="000000"/>
                <w:sz w:val="18"/>
                <w:szCs w:val="18"/>
              </w:rPr>
            </w:pPr>
            <w:r w:rsidRPr="00D6293C">
              <w:rPr>
                <w:color w:val="000000"/>
                <w:sz w:val="18"/>
                <w:szCs w:val="18"/>
              </w:rPr>
              <w:t>16,936</w:t>
            </w:r>
          </w:p>
        </w:tc>
        <w:tc>
          <w:tcPr>
            <w:tcW w:w="981" w:type="dxa"/>
            <w:tcBorders>
              <w:top w:val="nil"/>
              <w:left w:val="nil"/>
              <w:bottom w:val="nil"/>
              <w:right w:val="nil"/>
            </w:tcBorders>
            <w:shd w:val="clear" w:color="auto" w:fill="auto"/>
            <w:noWrap/>
            <w:vAlign w:val="center"/>
            <w:hideMark/>
          </w:tcPr>
          <w:p w14:paraId="4CFAA54E" w14:textId="2194385E" w:rsidR="001922C9" w:rsidRPr="00D6293C" w:rsidRDefault="001922C9" w:rsidP="003F0141">
            <w:pPr>
              <w:spacing w:line="240" w:lineRule="auto"/>
              <w:contextualSpacing w:val="0"/>
              <w:jc w:val="right"/>
              <w:rPr>
                <w:color w:val="000000"/>
                <w:sz w:val="18"/>
                <w:szCs w:val="18"/>
              </w:rPr>
            </w:pPr>
            <w:r w:rsidRPr="00D6293C">
              <w:rPr>
                <w:color w:val="000000"/>
                <w:sz w:val="18"/>
                <w:szCs w:val="18"/>
              </w:rPr>
              <w:t>1.8</w:t>
            </w:r>
          </w:p>
        </w:tc>
      </w:tr>
      <w:tr w:rsidR="001922C9" w:rsidRPr="001922C9" w14:paraId="72856401" w14:textId="77777777" w:rsidTr="003F0141">
        <w:trPr>
          <w:trHeight w:val="340"/>
        </w:trPr>
        <w:tc>
          <w:tcPr>
            <w:tcW w:w="3510" w:type="dxa"/>
            <w:tcBorders>
              <w:top w:val="nil"/>
              <w:left w:val="nil"/>
              <w:bottom w:val="nil"/>
              <w:right w:val="nil"/>
            </w:tcBorders>
            <w:shd w:val="clear" w:color="auto" w:fill="auto"/>
            <w:vAlign w:val="center"/>
            <w:hideMark/>
          </w:tcPr>
          <w:p w14:paraId="3171E3DD" w14:textId="759EBC82" w:rsidR="001922C9" w:rsidRPr="00D6293C" w:rsidRDefault="001922C9" w:rsidP="001922C9">
            <w:pPr>
              <w:spacing w:line="240" w:lineRule="auto"/>
              <w:contextualSpacing w:val="0"/>
              <w:jc w:val="left"/>
              <w:rPr>
                <w:color w:val="000000"/>
                <w:sz w:val="18"/>
                <w:szCs w:val="18"/>
              </w:rPr>
            </w:pPr>
            <w:r w:rsidRPr="00D6293C">
              <w:rPr>
                <w:color w:val="000000"/>
                <w:sz w:val="18"/>
                <w:szCs w:val="18"/>
              </w:rPr>
              <w:t>Housemaker/housewife</w:t>
            </w:r>
          </w:p>
        </w:tc>
        <w:tc>
          <w:tcPr>
            <w:tcW w:w="1266" w:type="dxa"/>
            <w:tcBorders>
              <w:top w:val="nil"/>
              <w:left w:val="single" w:sz="4" w:space="0" w:color="auto"/>
              <w:bottom w:val="nil"/>
              <w:right w:val="nil"/>
            </w:tcBorders>
            <w:shd w:val="clear" w:color="auto" w:fill="auto"/>
            <w:noWrap/>
            <w:vAlign w:val="center"/>
            <w:hideMark/>
          </w:tcPr>
          <w:p w14:paraId="793F593E" w14:textId="04DA55D9" w:rsidR="001922C9" w:rsidRPr="00D6293C" w:rsidRDefault="001922C9" w:rsidP="003F0141">
            <w:pPr>
              <w:spacing w:line="240" w:lineRule="auto"/>
              <w:contextualSpacing w:val="0"/>
              <w:jc w:val="right"/>
              <w:rPr>
                <w:color w:val="000000"/>
                <w:sz w:val="18"/>
                <w:szCs w:val="18"/>
              </w:rPr>
            </w:pPr>
            <w:r w:rsidRPr="00D6293C">
              <w:rPr>
                <w:color w:val="000000"/>
                <w:sz w:val="18"/>
                <w:szCs w:val="18"/>
              </w:rPr>
              <w:t>673,049</w:t>
            </w:r>
          </w:p>
        </w:tc>
        <w:tc>
          <w:tcPr>
            <w:tcW w:w="1159" w:type="dxa"/>
            <w:tcBorders>
              <w:top w:val="nil"/>
              <w:left w:val="nil"/>
              <w:bottom w:val="nil"/>
              <w:right w:val="nil"/>
            </w:tcBorders>
            <w:shd w:val="clear" w:color="auto" w:fill="auto"/>
            <w:noWrap/>
            <w:vAlign w:val="center"/>
            <w:hideMark/>
          </w:tcPr>
          <w:p w14:paraId="0E4F9610" w14:textId="1A15539E" w:rsidR="001922C9" w:rsidRPr="00D6293C" w:rsidRDefault="001922C9" w:rsidP="003F0141">
            <w:pPr>
              <w:spacing w:line="240" w:lineRule="auto"/>
              <w:contextualSpacing w:val="0"/>
              <w:jc w:val="right"/>
              <w:rPr>
                <w:color w:val="000000"/>
                <w:sz w:val="18"/>
                <w:szCs w:val="18"/>
              </w:rPr>
            </w:pPr>
            <w:r w:rsidRPr="00D6293C">
              <w:rPr>
                <w:color w:val="000000"/>
                <w:sz w:val="18"/>
                <w:szCs w:val="18"/>
              </w:rPr>
              <w:t>1.9</w:t>
            </w:r>
          </w:p>
        </w:tc>
        <w:tc>
          <w:tcPr>
            <w:tcW w:w="1243" w:type="dxa"/>
            <w:tcBorders>
              <w:top w:val="nil"/>
              <w:left w:val="nil"/>
              <w:bottom w:val="nil"/>
              <w:right w:val="nil"/>
            </w:tcBorders>
            <w:shd w:val="clear" w:color="auto" w:fill="auto"/>
            <w:noWrap/>
            <w:vAlign w:val="center"/>
            <w:hideMark/>
          </w:tcPr>
          <w:p w14:paraId="1E3CA514" w14:textId="06568F45" w:rsidR="001922C9" w:rsidRPr="00D6293C" w:rsidRDefault="001922C9" w:rsidP="003F0141">
            <w:pPr>
              <w:spacing w:line="240" w:lineRule="auto"/>
              <w:contextualSpacing w:val="0"/>
              <w:jc w:val="right"/>
              <w:rPr>
                <w:color w:val="000000"/>
                <w:sz w:val="18"/>
                <w:szCs w:val="18"/>
              </w:rPr>
            </w:pPr>
            <w:r w:rsidRPr="00D6293C">
              <w:rPr>
                <w:color w:val="000000"/>
                <w:sz w:val="18"/>
                <w:szCs w:val="18"/>
              </w:rPr>
              <w:t>599,236</w:t>
            </w:r>
          </w:p>
        </w:tc>
        <w:tc>
          <w:tcPr>
            <w:tcW w:w="914" w:type="dxa"/>
            <w:tcBorders>
              <w:top w:val="nil"/>
              <w:left w:val="nil"/>
              <w:bottom w:val="nil"/>
              <w:right w:val="nil"/>
            </w:tcBorders>
            <w:shd w:val="clear" w:color="auto" w:fill="auto"/>
            <w:noWrap/>
            <w:vAlign w:val="center"/>
            <w:hideMark/>
          </w:tcPr>
          <w:p w14:paraId="1795ABC3" w14:textId="72F2733B" w:rsidR="001922C9" w:rsidRPr="00D6293C" w:rsidRDefault="001922C9" w:rsidP="003F0141">
            <w:pPr>
              <w:spacing w:line="240" w:lineRule="auto"/>
              <w:contextualSpacing w:val="0"/>
              <w:jc w:val="right"/>
              <w:rPr>
                <w:color w:val="000000"/>
                <w:sz w:val="18"/>
                <w:szCs w:val="18"/>
              </w:rPr>
            </w:pPr>
            <w:r w:rsidRPr="00D6293C">
              <w:rPr>
                <w:color w:val="000000"/>
                <w:sz w:val="18"/>
                <w:szCs w:val="18"/>
              </w:rPr>
              <w:t>1.7</w:t>
            </w:r>
          </w:p>
        </w:tc>
        <w:tc>
          <w:tcPr>
            <w:tcW w:w="980" w:type="dxa"/>
            <w:tcBorders>
              <w:top w:val="nil"/>
              <w:left w:val="nil"/>
              <w:bottom w:val="nil"/>
              <w:right w:val="nil"/>
            </w:tcBorders>
            <w:shd w:val="clear" w:color="auto" w:fill="auto"/>
            <w:noWrap/>
            <w:vAlign w:val="center"/>
            <w:hideMark/>
          </w:tcPr>
          <w:p w14:paraId="63EB13DB" w14:textId="3B057330" w:rsidR="001922C9" w:rsidRPr="00D6293C" w:rsidRDefault="001922C9" w:rsidP="003F0141">
            <w:pPr>
              <w:spacing w:line="240" w:lineRule="auto"/>
              <w:contextualSpacing w:val="0"/>
              <w:jc w:val="right"/>
              <w:rPr>
                <w:color w:val="000000"/>
                <w:sz w:val="18"/>
                <w:szCs w:val="18"/>
              </w:rPr>
            </w:pPr>
            <w:r w:rsidRPr="00D6293C">
              <w:rPr>
                <w:color w:val="000000"/>
                <w:sz w:val="18"/>
                <w:szCs w:val="18"/>
              </w:rPr>
              <w:t>73,813</w:t>
            </w:r>
          </w:p>
        </w:tc>
        <w:tc>
          <w:tcPr>
            <w:tcW w:w="981" w:type="dxa"/>
            <w:tcBorders>
              <w:top w:val="nil"/>
              <w:left w:val="nil"/>
              <w:bottom w:val="nil"/>
              <w:right w:val="nil"/>
            </w:tcBorders>
            <w:shd w:val="clear" w:color="auto" w:fill="auto"/>
            <w:noWrap/>
            <w:vAlign w:val="center"/>
            <w:hideMark/>
          </w:tcPr>
          <w:p w14:paraId="4C65A55B" w14:textId="151BA05F" w:rsidR="001922C9" w:rsidRPr="00D6293C" w:rsidRDefault="001922C9" w:rsidP="003F0141">
            <w:pPr>
              <w:spacing w:line="240" w:lineRule="auto"/>
              <w:contextualSpacing w:val="0"/>
              <w:jc w:val="right"/>
              <w:rPr>
                <w:color w:val="000000"/>
                <w:sz w:val="18"/>
                <w:szCs w:val="18"/>
              </w:rPr>
            </w:pPr>
            <w:r w:rsidRPr="00D6293C">
              <w:rPr>
                <w:color w:val="000000"/>
                <w:sz w:val="18"/>
                <w:szCs w:val="18"/>
              </w:rPr>
              <w:t>7.8</w:t>
            </w:r>
          </w:p>
        </w:tc>
      </w:tr>
      <w:tr w:rsidR="001922C9" w:rsidRPr="001922C9" w14:paraId="5F10A564" w14:textId="77777777" w:rsidTr="003F0141">
        <w:trPr>
          <w:trHeight w:val="340"/>
        </w:trPr>
        <w:tc>
          <w:tcPr>
            <w:tcW w:w="3510" w:type="dxa"/>
            <w:tcBorders>
              <w:top w:val="nil"/>
              <w:left w:val="nil"/>
              <w:bottom w:val="nil"/>
              <w:right w:val="nil"/>
            </w:tcBorders>
            <w:shd w:val="clear" w:color="auto" w:fill="auto"/>
            <w:vAlign w:val="center"/>
            <w:hideMark/>
          </w:tcPr>
          <w:p w14:paraId="025A734D" w14:textId="174EB0A3" w:rsidR="001922C9" w:rsidRPr="00D6293C" w:rsidRDefault="001922C9" w:rsidP="001922C9">
            <w:pPr>
              <w:spacing w:line="240" w:lineRule="auto"/>
              <w:contextualSpacing w:val="0"/>
              <w:jc w:val="left"/>
              <w:rPr>
                <w:color w:val="000000"/>
                <w:sz w:val="18"/>
                <w:szCs w:val="18"/>
              </w:rPr>
            </w:pPr>
            <w:r w:rsidRPr="00D6293C">
              <w:rPr>
                <w:color w:val="000000"/>
                <w:sz w:val="18"/>
                <w:szCs w:val="18"/>
              </w:rPr>
              <w:t>Self employed with employees</w:t>
            </w:r>
          </w:p>
        </w:tc>
        <w:tc>
          <w:tcPr>
            <w:tcW w:w="1266" w:type="dxa"/>
            <w:tcBorders>
              <w:top w:val="nil"/>
              <w:left w:val="single" w:sz="4" w:space="0" w:color="auto"/>
              <w:bottom w:val="nil"/>
              <w:right w:val="nil"/>
            </w:tcBorders>
            <w:shd w:val="clear" w:color="auto" w:fill="auto"/>
            <w:noWrap/>
            <w:vAlign w:val="center"/>
            <w:hideMark/>
          </w:tcPr>
          <w:p w14:paraId="63060B0A" w14:textId="4F879D91" w:rsidR="001922C9" w:rsidRPr="00D6293C" w:rsidRDefault="001922C9" w:rsidP="003F0141">
            <w:pPr>
              <w:spacing w:line="240" w:lineRule="auto"/>
              <w:contextualSpacing w:val="0"/>
              <w:jc w:val="right"/>
              <w:rPr>
                <w:color w:val="000000"/>
                <w:sz w:val="18"/>
                <w:szCs w:val="18"/>
              </w:rPr>
            </w:pPr>
            <w:r w:rsidRPr="00D6293C">
              <w:rPr>
                <w:color w:val="000000"/>
                <w:sz w:val="18"/>
                <w:szCs w:val="18"/>
              </w:rPr>
              <w:t>531,282</w:t>
            </w:r>
          </w:p>
        </w:tc>
        <w:tc>
          <w:tcPr>
            <w:tcW w:w="1159" w:type="dxa"/>
            <w:tcBorders>
              <w:top w:val="nil"/>
              <w:left w:val="nil"/>
              <w:bottom w:val="nil"/>
              <w:right w:val="nil"/>
            </w:tcBorders>
            <w:shd w:val="clear" w:color="auto" w:fill="auto"/>
            <w:noWrap/>
            <w:vAlign w:val="center"/>
            <w:hideMark/>
          </w:tcPr>
          <w:p w14:paraId="79E27611" w14:textId="4DA0F064" w:rsidR="001922C9" w:rsidRPr="00D6293C" w:rsidRDefault="001922C9" w:rsidP="003F0141">
            <w:pPr>
              <w:spacing w:line="240" w:lineRule="auto"/>
              <w:contextualSpacing w:val="0"/>
              <w:jc w:val="right"/>
              <w:rPr>
                <w:color w:val="000000"/>
                <w:sz w:val="18"/>
                <w:szCs w:val="18"/>
              </w:rPr>
            </w:pPr>
            <w:r w:rsidRPr="00D6293C">
              <w:rPr>
                <w:color w:val="000000"/>
                <w:sz w:val="18"/>
                <w:szCs w:val="18"/>
              </w:rPr>
              <w:t>1.5</w:t>
            </w:r>
          </w:p>
        </w:tc>
        <w:tc>
          <w:tcPr>
            <w:tcW w:w="1243" w:type="dxa"/>
            <w:tcBorders>
              <w:top w:val="nil"/>
              <w:left w:val="nil"/>
              <w:bottom w:val="nil"/>
              <w:right w:val="nil"/>
            </w:tcBorders>
            <w:shd w:val="clear" w:color="auto" w:fill="auto"/>
            <w:noWrap/>
            <w:vAlign w:val="center"/>
            <w:hideMark/>
          </w:tcPr>
          <w:p w14:paraId="7FD86F8B" w14:textId="69979BC4" w:rsidR="001922C9" w:rsidRPr="00D6293C" w:rsidRDefault="001922C9" w:rsidP="003F0141">
            <w:pPr>
              <w:spacing w:line="240" w:lineRule="auto"/>
              <w:contextualSpacing w:val="0"/>
              <w:jc w:val="right"/>
              <w:rPr>
                <w:color w:val="000000"/>
                <w:sz w:val="18"/>
                <w:szCs w:val="18"/>
              </w:rPr>
            </w:pPr>
            <w:r w:rsidRPr="00D6293C">
              <w:rPr>
                <w:color w:val="000000"/>
                <w:sz w:val="18"/>
                <w:szCs w:val="18"/>
              </w:rPr>
              <w:t>521,698</w:t>
            </w:r>
          </w:p>
        </w:tc>
        <w:tc>
          <w:tcPr>
            <w:tcW w:w="914" w:type="dxa"/>
            <w:tcBorders>
              <w:top w:val="nil"/>
              <w:left w:val="nil"/>
              <w:bottom w:val="nil"/>
              <w:right w:val="nil"/>
            </w:tcBorders>
            <w:shd w:val="clear" w:color="auto" w:fill="auto"/>
            <w:noWrap/>
            <w:vAlign w:val="center"/>
            <w:hideMark/>
          </w:tcPr>
          <w:p w14:paraId="2D3C33FD" w14:textId="3C499204" w:rsidR="001922C9" w:rsidRPr="00D6293C" w:rsidRDefault="001922C9" w:rsidP="003F0141">
            <w:pPr>
              <w:spacing w:line="240" w:lineRule="auto"/>
              <w:contextualSpacing w:val="0"/>
              <w:jc w:val="right"/>
              <w:rPr>
                <w:color w:val="000000"/>
                <w:sz w:val="18"/>
                <w:szCs w:val="18"/>
              </w:rPr>
            </w:pPr>
            <w:r w:rsidRPr="00D6293C">
              <w:rPr>
                <w:color w:val="000000"/>
                <w:sz w:val="18"/>
                <w:szCs w:val="18"/>
              </w:rPr>
              <w:t>1.5</w:t>
            </w:r>
          </w:p>
        </w:tc>
        <w:tc>
          <w:tcPr>
            <w:tcW w:w="980" w:type="dxa"/>
            <w:tcBorders>
              <w:top w:val="nil"/>
              <w:left w:val="nil"/>
              <w:bottom w:val="nil"/>
              <w:right w:val="nil"/>
            </w:tcBorders>
            <w:shd w:val="clear" w:color="auto" w:fill="auto"/>
            <w:noWrap/>
            <w:vAlign w:val="center"/>
            <w:hideMark/>
          </w:tcPr>
          <w:p w14:paraId="79A33A90" w14:textId="0301F344" w:rsidR="001922C9" w:rsidRPr="00D6293C" w:rsidRDefault="001922C9" w:rsidP="003F0141">
            <w:pPr>
              <w:spacing w:line="240" w:lineRule="auto"/>
              <w:contextualSpacing w:val="0"/>
              <w:jc w:val="right"/>
              <w:rPr>
                <w:color w:val="000000"/>
                <w:sz w:val="18"/>
                <w:szCs w:val="18"/>
              </w:rPr>
            </w:pPr>
            <w:r w:rsidRPr="00D6293C">
              <w:rPr>
                <w:color w:val="000000"/>
                <w:sz w:val="18"/>
                <w:szCs w:val="18"/>
              </w:rPr>
              <w:t>9,584</w:t>
            </w:r>
          </w:p>
        </w:tc>
        <w:tc>
          <w:tcPr>
            <w:tcW w:w="981" w:type="dxa"/>
            <w:tcBorders>
              <w:top w:val="nil"/>
              <w:left w:val="nil"/>
              <w:bottom w:val="nil"/>
              <w:right w:val="nil"/>
            </w:tcBorders>
            <w:shd w:val="clear" w:color="auto" w:fill="auto"/>
            <w:noWrap/>
            <w:vAlign w:val="center"/>
            <w:hideMark/>
          </w:tcPr>
          <w:p w14:paraId="060A955C" w14:textId="72E34D1B" w:rsidR="001922C9" w:rsidRPr="00D6293C" w:rsidRDefault="001922C9" w:rsidP="003F0141">
            <w:pPr>
              <w:spacing w:line="240" w:lineRule="auto"/>
              <w:contextualSpacing w:val="0"/>
              <w:jc w:val="right"/>
              <w:rPr>
                <w:color w:val="000000"/>
                <w:sz w:val="18"/>
                <w:szCs w:val="18"/>
              </w:rPr>
            </w:pPr>
            <w:r w:rsidRPr="00D6293C">
              <w:rPr>
                <w:color w:val="000000"/>
                <w:sz w:val="18"/>
                <w:szCs w:val="18"/>
              </w:rPr>
              <w:t>1.0</w:t>
            </w:r>
          </w:p>
        </w:tc>
      </w:tr>
      <w:tr w:rsidR="001922C9" w:rsidRPr="001922C9" w14:paraId="7FF7E5DA" w14:textId="77777777" w:rsidTr="003F0141">
        <w:trPr>
          <w:trHeight w:val="340"/>
        </w:trPr>
        <w:tc>
          <w:tcPr>
            <w:tcW w:w="3510" w:type="dxa"/>
            <w:tcBorders>
              <w:top w:val="nil"/>
              <w:left w:val="nil"/>
              <w:bottom w:val="nil"/>
              <w:right w:val="nil"/>
            </w:tcBorders>
            <w:shd w:val="clear" w:color="auto" w:fill="auto"/>
            <w:vAlign w:val="center"/>
            <w:hideMark/>
          </w:tcPr>
          <w:p w14:paraId="1CA5C54C" w14:textId="68C73316" w:rsidR="001922C9" w:rsidRPr="00D6293C" w:rsidRDefault="001922C9" w:rsidP="001922C9">
            <w:pPr>
              <w:spacing w:line="240" w:lineRule="auto"/>
              <w:contextualSpacing w:val="0"/>
              <w:jc w:val="left"/>
              <w:rPr>
                <w:color w:val="000000"/>
                <w:sz w:val="18"/>
                <w:szCs w:val="18"/>
              </w:rPr>
            </w:pPr>
            <w:r w:rsidRPr="00D6293C">
              <w:rPr>
                <w:color w:val="000000"/>
                <w:sz w:val="18"/>
                <w:szCs w:val="18"/>
              </w:rPr>
              <w:t xml:space="preserve">Livestock </w:t>
            </w:r>
            <w:r w:rsidR="00007A33">
              <w:rPr>
                <w:color w:val="000000"/>
                <w:sz w:val="18"/>
                <w:szCs w:val="18"/>
              </w:rPr>
              <w:t>k</w:t>
            </w:r>
            <w:r w:rsidRPr="00D6293C">
              <w:rPr>
                <w:color w:val="000000"/>
                <w:sz w:val="18"/>
                <w:szCs w:val="18"/>
              </w:rPr>
              <w:t>eeping/</w:t>
            </w:r>
            <w:r w:rsidR="00007A33">
              <w:rPr>
                <w:color w:val="000000"/>
                <w:sz w:val="18"/>
                <w:szCs w:val="18"/>
              </w:rPr>
              <w:t>h</w:t>
            </w:r>
            <w:r w:rsidRPr="00D6293C">
              <w:rPr>
                <w:color w:val="000000"/>
                <w:sz w:val="18"/>
                <w:szCs w:val="18"/>
              </w:rPr>
              <w:t>erding</w:t>
            </w:r>
          </w:p>
        </w:tc>
        <w:tc>
          <w:tcPr>
            <w:tcW w:w="1266" w:type="dxa"/>
            <w:tcBorders>
              <w:top w:val="nil"/>
              <w:left w:val="single" w:sz="4" w:space="0" w:color="auto"/>
              <w:bottom w:val="nil"/>
              <w:right w:val="nil"/>
            </w:tcBorders>
            <w:shd w:val="clear" w:color="auto" w:fill="auto"/>
            <w:noWrap/>
            <w:vAlign w:val="center"/>
            <w:hideMark/>
          </w:tcPr>
          <w:p w14:paraId="1E8EB187" w14:textId="6DB368B7" w:rsidR="001922C9" w:rsidRPr="00D6293C" w:rsidRDefault="001922C9" w:rsidP="003F0141">
            <w:pPr>
              <w:spacing w:line="240" w:lineRule="auto"/>
              <w:contextualSpacing w:val="0"/>
              <w:jc w:val="right"/>
              <w:rPr>
                <w:color w:val="000000"/>
                <w:sz w:val="18"/>
                <w:szCs w:val="18"/>
              </w:rPr>
            </w:pPr>
            <w:r w:rsidRPr="00D6293C">
              <w:rPr>
                <w:color w:val="000000"/>
                <w:sz w:val="18"/>
                <w:szCs w:val="18"/>
              </w:rPr>
              <w:t>414,635</w:t>
            </w:r>
          </w:p>
        </w:tc>
        <w:tc>
          <w:tcPr>
            <w:tcW w:w="1159" w:type="dxa"/>
            <w:tcBorders>
              <w:top w:val="nil"/>
              <w:left w:val="nil"/>
              <w:bottom w:val="nil"/>
              <w:right w:val="nil"/>
            </w:tcBorders>
            <w:shd w:val="clear" w:color="auto" w:fill="auto"/>
            <w:noWrap/>
            <w:vAlign w:val="center"/>
            <w:hideMark/>
          </w:tcPr>
          <w:p w14:paraId="633D555E" w14:textId="25AB58F3" w:rsidR="001922C9" w:rsidRPr="00D6293C" w:rsidRDefault="001922C9" w:rsidP="003F0141">
            <w:pPr>
              <w:spacing w:line="240" w:lineRule="auto"/>
              <w:contextualSpacing w:val="0"/>
              <w:jc w:val="right"/>
              <w:rPr>
                <w:color w:val="000000"/>
                <w:sz w:val="18"/>
                <w:szCs w:val="18"/>
              </w:rPr>
            </w:pPr>
            <w:r w:rsidRPr="00D6293C">
              <w:rPr>
                <w:color w:val="000000"/>
                <w:sz w:val="18"/>
                <w:szCs w:val="18"/>
              </w:rPr>
              <w:t>1.2</w:t>
            </w:r>
          </w:p>
        </w:tc>
        <w:tc>
          <w:tcPr>
            <w:tcW w:w="1243" w:type="dxa"/>
            <w:tcBorders>
              <w:top w:val="nil"/>
              <w:left w:val="nil"/>
              <w:bottom w:val="nil"/>
              <w:right w:val="nil"/>
            </w:tcBorders>
            <w:shd w:val="clear" w:color="auto" w:fill="auto"/>
            <w:noWrap/>
            <w:vAlign w:val="center"/>
            <w:hideMark/>
          </w:tcPr>
          <w:p w14:paraId="4300E25F" w14:textId="02117BD1" w:rsidR="001922C9" w:rsidRPr="00D6293C" w:rsidRDefault="001922C9" w:rsidP="003F0141">
            <w:pPr>
              <w:spacing w:line="240" w:lineRule="auto"/>
              <w:contextualSpacing w:val="0"/>
              <w:jc w:val="right"/>
              <w:rPr>
                <w:color w:val="000000"/>
                <w:sz w:val="18"/>
                <w:szCs w:val="18"/>
              </w:rPr>
            </w:pPr>
            <w:r w:rsidRPr="00D6293C">
              <w:rPr>
                <w:color w:val="000000"/>
                <w:sz w:val="18"/>
                <w:szCs w:val="18"/>
              </w:rPr>
              <w:t>409,325</w:t>
            </w:r>
          </w:p>
        </w:tc>
        <w:tc>
          <w:tcPr>
            <w:tcW w:w="914" w:type="dxa"/>
            <w:tcBorders>
              <w:top w:val="nil"/>
              <w:left w:val="nil"/>
              <w:bottom w:val="nil"/>
              <w:right w:val="nil"/>
            </w:tcBorders>
            <w:shd w:val="clear" w:color="auto" w:fill="auto"/>
            <w:noWrap/>
            <w:vAlign w:val="center"/>
            <w:hideMark/>
          </w:tcPr>
          <w:p w14:paraId="13F92D95" w14:textId="4C9AA509" w:rsidR="001922C9" w:rsidRPr="00D6293C" w:rsidRDefault="001922C9" w:rsidP="003F0141">
            <w:pPr>
              <w:spacing w:line="240" w:lineRule="auto"/>
              <w:contextualSpacing w:val="0"/>
              <w:jc w:val="right"/>
              <w:rPr>
                <w:color w:val="000000"/>
                <w:sz w:val="18"/>
                <w:szCs w:val="18"/>
              </w:rPr>
            </w:pPr>
            <w:r w:rsidRPr="00D6293C">
              <w:rPr>
                <w:color w:val="000000"/>
                <w:sz w:val="18"/>
                <w:szCs w:val="18"/>
              </w:rPr>
              <w:t>1.2</w:t>
            </w:r>
          </w:p>
        </w:tc>
        <w:tc>
          <w:tcPr>
            <w:tcW w:w="980" w:type="dxa"/>
            <w:tcBorders>
              <w:top w:val="nil"/>
              <w:left w:val="nil"/>
              <w:bottom w:val="nil"/>
              <w:right w:val="nil"/>
            </w:tcBorders>
            <w:shd w:val="clear" w:color="auto" w:fill="auto"/>
            <w:noWrap/>
            <w:vAlign w:val="center"/>
            <w:hideMark/>
          </w:tcPr>
          <w:p w14:paraId="59566327" w14:textId="77BA4FD3" w:rsidR="001922C9" w:rsidRPr="00D6293C" w:rsidRDefault="001922C9" w:rsidP="003F0141">
            <w:pPr>
              <w:spacing w:line="240" w:lineRule="auto"/>
              <w:contextualSpacing w:val="0"/>
              <w:jc w:val="right"/>
              <w:rPr>
                <w:color w:val="000000"/>
                <w:sz w:val="18"/>
                <w:szCs w:val="18"/>
              </w:rPr>
            </w:pPr>
            <w:r w:rsidRPr="00D6293C">
              <w:rPr>
                <w:color w:val="000000"/>
                <w:sz w:val="18"/>
                <w:szCs w:val="18"/>
              </w:rPr>
              <w:t>5,310</w:t>
            </w:r>
          </w:p>
        </w:tc>
        <w:tc>
          <w:tcPr>
            <w:tcW w:w="981" w:type="dxa"/>
            <w:tcBorders>
              <w:top w:val="nil"/>
              <w:left w:val="nil"/>
              <w:bottom w:val="nil"/>
              <w:right w:val="nil"/>
            </w:tcBorders>
            <w:shd w:val="clear" w:color="auto" w:fill="auto"/>
            <w:noWrap/>
            <w:vAlign w:val="center"/>
            <w:hideMark/>
          </w:tcPr>
          <w:p w14:paraId="6226A795" w14:textId="14953CCC" w:rsidR="001922C9" w:rsidRPr="00D6293C" w:rsidRDefault="001922C9" w:rsidP="003F0141">
            <w:pPr>
              <w:spacing w:line="240" w:lineRule="auto"/>
              <w:contextualSpacing w:val="0"/>
              <w:jc w:val="right"/>
              <w:rPr>
                <w:color w:val="000000"/>
                <w:sz w:val="18"/>
                <w:szCs w:val="18"/>
              </w:rPr>
            </w:pPr>
            <w:r w:rsidRPr="00D6293C">
              <w:rPr>
                <w:color w:val="000000"/>
                <w:sz w:val="18"/>
                <w:szCs w:val="18"/>
              </w:rPr>
              <w:t>0.6</w:t>
            </w:r>
          </w:p>
        </w:tc>
      </w:tr>
      <w:tr w:rsidR="001922C9" w:rsidRPr="001922C9" w14:paraId="52CA3DCC" w14:textId="77777777" w:rsidTr="003F0141">
        <w:trPr>
          <w:trHeight w:val="340"/>
        </w:trPr>
        <w:tc>
          <w:tcPr>
            <w:tcW w:w="3510" w:type="dxa"/>
            <w:tcBorders>
              <w:top w:val="nil"/>
              <w:left w:val="nil"/>
              <w:bottom w:val="nil"/>
              <w:right w:val="nil"/>
            </w:tcBorders>
            <w:shd w:val="clear" w:color="auto" w:fill="auto"/>
            <w:vAlign w:val="center"/>
            <w:hideMark/>
          </w:tcPr>
          <w:p w14:paraId="6439DD85" w14:textId="7ABD6F8C" w:rsidR="001922C9" w:rsidRPr="00D6293C" w:rsidRDefault="001922C9" w:rsidP="001922C9">
            <w:pPr>
              <w:spacing w:line="240" w:lineRule="auto"/>
              <w:contextualSpacing w:val="0"/>
              <w:jc w:val="left"/>
              <w:rPr>
                <w:color w:val="000000"/>
                <w:sz w:val="18"/>
                <w:szCs w:val="18"/>
              </w:rPr>
            </w:pPr>
            <w:r w:rsidRPr="00D6293C">
              <w:rPr>
                <w:color w:val="000000"/>
                <w:sz w:val="18"/>
                <w:szCs w:val="18"/>
              </w:rPr>
              <w:t>Private</w:t>
            </w:r>
            <w:r w:rsidR="00007A33">
              <w:rPr>
                <w:color w:val="000000"/>
                <w:sz w:val="18"/>
                <w:szCs w:val="18"/>
              </w:rPr>
              <w:t>/</w:t>
            </w:r>
            <w:r w:rsidRPr="00D6293C">
              <w:rPr>
                <w:color w:val="000000"/>
                <w:sz w:val="18"/>
                <w:szCs w:val="18"/>
              </w:rPr>
              <w:t>NGO/mission/etc</w:t>
            </w:r>
          </w:p>
        </w:tc>
        <w:tc>
          <w:tcPr>
            <w:tcW w:w="1266" w:type="dxa"/>
            <w:tcBorders>
              <w:top w:val="nil"/>
              <w:left w:val="single" w:sz="4" w:space="0" w:color="auto"/>
              <w:bottom w:val="nil"/>
              <w:right w:val="nil"/>
            </w:tcBorders>
            <w:shd w:val="clear" w:color="auto" w:fill="auto"/>
            <w:noWrap/>
            <w:vAlign w:val="center"/>
            <w:hideMark/>
          </w:tcPr>
          <w:p w14:paraId="1AF424F0" w14:textId="01469105" w:rsidR="001922C9" w:rsidRPr="00D6293C" w:rsidRDefault="001922C9" w:rsidP="003F0141">
            <w:pPr>
              <w:spacing w:line="240" w:lineRule="auto"/>
              <w:contextualSpacing w:val="0"/>
              <w:jc w:val="right"/>
              <w:rPr>
                <w:color w:val="000000"/>
                <w:sz w:val="18"/>
                <w:szCs w:val="18"/>
              </w:rPr>
            </w:pPr>
            <w:r w:rsidRPr="00D6293C">
              <w:rPr>
                <w:color w:val="000000"/>
                <w:sz w:val="18"/>
                <w:szCs w:val="18"/>
              </w:rPr>
              <w:t>233,824</w:t>
            </w:r>
          </w:p>
        </w:tc>
        <w:tc>
          <w:tcPr>
            <w:tcW w:w="1159" w:type="dxa"/>
            <w:tcBorders>
              <w:top w:val="nil"/>
              <w:left w:val="nil"/>
              <w:bottom w:val="nil"/>
              <w:right w:val="nil"/>
            </w:tcBorders>
            <w:shd w:val="clear" w:color="auto" w:fill="auto"/>
            <w:noWrap/>
            <w:vAlign w:val="center"/>
            <w:hideMark/>
          </w:tcPr>
          <w:p w14:paraId="2339DB10" w14:textId="37C6804E" w:rsidR="001922C9" w:rsidRPr="00D6293C" w:rsidRDefault="001922C9" w:rsidP="003F0141">
            <w:pPr>
              <w:spacing w:line="240" w:lineRule="auto"/>
              <w:contextualSpacing w:val="0"/>
              <w:jc w:val="right"/>
              <w:rPr>
                <w:color w:val="000000"/>
                <w:sz w:val="18"/>
                <w:szCs w:val="18"/>
              </w:rPr>
            </w:pPr>
            <w:r w:rsidRPr="00D6293C">
              <w:rPr>
                <w:color w:val="000000"/>
                <w:sz w:val="18"/>
                <w:szCs w:val="18"/>
              </w:rPr>
              <w:t>0.7</w:t>
            </w:r>
          </w:p>
        </w:tc>
        <w:tc>
          <w:tcPr>
            <w:tcW w:w="1243" w:type="dxa"/>
            <w:tcBorders>
              <w:top w:val="nil"/>
              <w:left w:val="nil"/>
              <w:bottom w:val="nil"/>
              <w:right w:val="nil"/>
            </w:tcBorders>
            <w:shd w:val="clear" w:color="auto" w:fill="auto"/>
            <w:noWrap/>
            <w:vAlign w:val="center"/>
            <w:hideMark/>
          </w:tcPr>
          <w:p w14:paraId="7D95C069" w14:textId="6FB01816" w:rsidR="001922C9" w:rsidRPr="00D6293C" w:rsidRDefault="001922C9" w:rsidP="003F0141">
            <w:pPr>
              <w:spacing w:line="240" w:lineRule="auto"/>
              <w:contextualSpacing w:val="0"/>
              <w:jc w:val="right"/>
              <w:rPr>
                <w:color w:val="000000"/>
                <w:sz w:val="18"/>
                <w:szCs w:val="18"/>
              </w:rPr>
            </w:pPr>
            <w:r w:rsidRPr="00D6293C">
              <w:rPr>
                <w:color w:val="000000"/>
                <w:sz w:val="18"/>
                <w:szCs w:val="18"/>
              </w:rPr>
              <w:t>218,454</w:t>
            </w:r>
          </w:p>
        </w:tc>
        <w:tc>
          <w:tcPr>
            <w:tcW w:w="914" w:type="dxa"/>
            <w:tcBorders>
              <w:top w:val="nil"/>
              <w:left w:val="nil"/>
              <w:bottom w:val="nil"/>
              <w:right w:val="nil"/>
            </w:tcBorders>
            <w:shd w:val="clear" w:color="auto" w:fill="auto"/>
            <w:noWrap/>
            <w:vAlign w:val="center"/>
            <w:hideMark/>
          </w:tcPr>
          <w:p w14:paraId="750386E9" w14:textId="746B591E" w:rsidR="001922C9" w:rsidRPr="00D6293C" w:rsidRDefault="001922C9" w:rsidP="003F0141">
            <w:pPr>
              <w:spacing w:line="240" w:lineRule="auto"/>
              <w:contextualSpacing w:val="0"/>
              <w:jc w:val="right"/>
              <w:rPr>
                <w:color w:val="000000"/>
                <w:sz w:val="18"/>
                <w:szCs w:val="18"/>
              </w:rPr>
            </w:pPr>
            <w:r w:rsidRPr="00D6293C">
              <w:rPr>
                <w:color w:val="000000"/>
                <w:sz w:val="18"/>
                <w:szCs w:val="18"/>
              </w:rPr>
              <w:t>0.6</w:t>
            </w:r>
          </w:p>
        </w:tc>
        <w:tc>
          <w:tcPr>
            <w:tcW w:w="980" w:type="dxa"/>
            <w:tcBorders>
              <w:top w:val="nil"/>
              <w:left w:val="nil"/>
              <w:bottom w:val="nil"/>
              <w:right w:val="nil"/>
            </w:tcBorders>
            <w:shd w:val="clear" w:color="auto" w:fill="auto"/>
            <w:noWrap/>
            <w:vAlign w:val="center"/>
            <w:hideMark/>
          </w:tcPr>
          <w:p w14:paraId="235B81C5" w14:textId="180A695E" w:rsidR="001922C9" w:rsidRPr="00D6293C" w:rsidRDefault="001922C9" w:rsidP="003F0141">
            <w:pPr>
              <w:spacing w:line="240" w:lineRule="auto"/>
              <w:contextualSpacing w:val="0"/>
              <w:jc w:val="right"/>
              <w:rPr>
                <w:color w:val="000000"/>
                <w:sz w:val="18"/>
                <w:szCs w:val="18"/>
              </w:rPr>
            </w:pPr>
            <w:r w:rsidRPr="00D6293C">
              <w:rPr>
                <w:color w:val="000000"/>
                <w:sz w:val="18"/>
                <w:szCs w:val="18"/>
              </w:rPr>
              <w:t>15,370</w:t>
            </w:r>
          </w:p>
        </w:tc>
        <w:tc>
          <w:tcPr>
            <w:tcW w:w="981" w:type="dxa"/>
            <w:tcBorders>
              <w:top w:val="nil"/>
              <w:left w:val="nil"/>
              <w:bottom w:val="nil"/>
              <w:right w:val="nil"/>
            </w:tcBorders>
            <w:shd w:val="clear" w:color="auto" w:fill="auto"/>
            <w:noWrap/>
            <w:vAlign w:val="center"/>
            <w:hideMark/>
          </w:tcPr>
          <w:p w14:paraId="088E366A" w14:textId="54C05DC9" w:rsidR="001922C9" w:rsidRPr="00D6293C" w:rsidRDefault="001922C9" w:rsidP="003F0141">
            <w:pPr>
              <w:spacing w:line="240" w:lineRule="auto"/>
              <w:contextualSpacing w:val="0"/>
              <w:jc w:val="right"/>
              <w:rPr>
                <w:color w:val="000000"/>
                <w:sz w:val="18"/>
                <w:szCs w:val="18"/>
              </w:rPr>
            </w:pPr>
            <w:r w:rsidRPr="00D6293C">
              <w:rPr>
                <w:color w:val="000000"/>
                <w:sz w:val="18"/>
                <w:szCs w:val="18"/>
              </w:rPr>
              <w:t>1.6</w:t>
            </w:r>
          </w:p>
        </w:tc>
      </w:tr>
      <w:tr w:rsidR="001922C9" w:rsidRPr="001922C9" w14:paraId="2937AD6D" w14:textId="77777777" w:rsidTr="003F0141">
        <w:trPr>
          <w:trHeight w:val="340"/>
        </w:trPr>
        <w:tc>
          <w:tcPr>
            <w:tcW w:w="3510" w:type="dxa"/>
            <w:tcBorders>
              <w:top w:val="nil"/>
              <w:left w:val="nil"/>
              <w:bottom w:val="nil"/>
              <w:right w:val="nil"/>
            </w:tcBorders>
            <w:shd w:val="clear" w:color="auto" w:fill="auto"/>
            <w:vAlign w:val="center"/>
            <w:hideMark/>
          </w:tcPr>
          <w:p w14:paraId="33B1AB47" w14:textId="212A89E5" w:rsidR="001922C9" w:rsidRPr="00D6293C" w:rsidRDefault="001922C9" w:rsidP="001922C9">
            <w:pPr>
              <w:spacing w:line="240" w:lineRule="auto"/>
              <w:contextualSpacing w:val="0"/>
              <w:jc w:val="left"/>
              <w:rPr>
                <w:color w:val="000000"/>
                <w:sz w:val="18"/>
                <w:szCs w:val="18"/>
              </w:rPr>
            </w:pPr>
            <w:r w:rsidRPr="00D6293C">
              <w:rPr>
                <w:color w:val="000000"/>
                <w:sz w:val="18"/>
                <w:szCs w:val="18"/>
              </w:rPr>
              <w:t>Government/parastatal</w:t>
            </w:r>
          </w:p>
        </w:tc>
        <w:tc>
          <w:tcPr>
            <w:tcW w:w="1266" w:type="dxa"/>
            <w:tcBorders>
              <w:top w:val="nil"/>
              <w:left w:val="single" w:sz="4" w:space="0" w:color="auto"/>
              <w:bottom w:val="nil"/>
              <w:right w:val="nil"/>
            </w:tcBorders>
            <w:shd w:val="clear" w:color="auto" w:fill="auto"/>
            <w:noWrap/>
            <w:vAlign w:val="center"/>
            <w:hideMark/>
          </w:tcPr>
          <w:p w14:paraId="42049969" w14:textId="51149B03" w:rsidR="001922C9" w:rsidRPr="00D6293C" w:rsidRDefault="001922C9" w:rsidP="003F0141">
            <w:pPr>
              <w:spacing w:line="240" w:lineRule="auto"/>
              <w:contextualSpacing w:val="0"/>
              <w:jc w:val="right"/>
              <w:rPr>
                <w:color w:val="000000"/>
                <w:sz w:val="18"/>
                <w:szCs w:val="18"/>
              </w:rPr>
            </w:pPr>
            <w:r w:rsidRPr="00D6293C">
              <w:rPr>
                <w:color w:val="000000"/>
                <w:sz w:val="18"/>
                <w:szCs w:val="18"/>
              </w:rPr>
              <w:t>232,211</w:t>
            </w:r>
          </w:p>
        </w:tc>
        <w:tc>
          <w:tcPr>
            <w:tcW w:w="1159" w:type="dxa"/>
            <w:tcBorders>
              <w:top w:val="nil"/>
              <w:left w:val="nil"/>
              <w:bottom w:val="nil"/>
              <w:right w:val="nil"/>
            </w:tcBorders>
            <w:shd w:val="clear" w:color="auto" w:fill="auto"/>
            <w:noWrap/>
            <w:vAlign w:val="center"/>
            <w:hideMark/>
          </w:tcPr>
          <w:p w14:paraId="457E2A16" w14:textId="6BB35919" w:rsidR="001922C9" w:rsidRPr="00D6293C" w:rsidRDefault="001922C9" w:rsidP="003F0141">
            <w:pPr>
              <w:spacing w:line="240" w:lineRule="auto"/>
              <w:contextualSpacing w:val="0"/>
              <w:jc w:val="right"/>
              <w:rPr>
                <w:color w:val="000000"/>
                <w:sz w:val="18"/>
                <w:szCs w:val="18"/>
              </w:rPr>
            </w:pPr>
            <w:r w:rsidRPr="00D6293C">
              <w:rPr>
                <w:color w:val="000000"/>
                <w:sz w:val="18"/>
                <w:szCs w:val="18"/>
              </w:rPr>
              <w:t>0.7</w:t>
            </w:r>
          </w:p>
        </w:tc>
        <w:tc>
          <w:tcPr>
            <w:tcW w:w="1243" w:type="dxa"/>
            <w:tcBorders>
              <w:top w:val="nil"/>
              <w:left w:val="nil"/>
              <w:bottom w:val="nil"/>
              <w:right w:val="nil"/>
            </w:tcBorders>
            <w:shd w:val="clear" w:color="auto" w:fill="auto"/>
            <w:noWrap/>
            <w:vAlign w:val="center"/>
            <w:hideMark/>
          </w:tcPr>
          <w:p w14:paraId="142158C6" w14:textId="49B1616D" w:rsidR="001922C9" w:rsidRPr="00D6293C" w:rsidRDefault="001922C9" w:rsidP="003F0141">
            <w:pPr>
              <w:spacing w:line="240" w:lineRule="auto"/>
              <w:contextualSpacing w:val="0"/>
              <w:jc w:val="right"/>
              <w:rPr>
                <w:color w:val="000000"/>
                <w:sz w:val="18"/>
                <w:szCs w:val="18"/>
              </w:rPr>
            </w:pPr>
            <w:r w:rsidRPr="00D6293C">
              <w:rPr>
                <w:color w:val="000000"/>
                <w:sz w:val="18"/>
                <w:szCs w:val="18"/>
              </w:rPr>
              <w:t>211,779</w:t>
            </w:r>
          </w:p>
        </w:tc>
        <w:tc>
          <w:tcPr>
            <w:tcW w:w="914" w:type="dxa"/>
            <w:tcBorders>
              <w:top w:val="nil"/>
              <w:left w:val="nil"/>
              <w:bottom w:val="nil"/>
              <w:right w:val="nil"/>
            </w:tcBorders>
            <w:shd w:val="clear" w:color="auto" w:fill="auto"/>
            <w:noWrap/>
            <w:vAlign w:val="center"/>
            <w:hideMark/>
          </w:tcPr>
          <w:p w14:paraId="5E57620B" w14:textId="78044855" w:rsidR="001922C9" w:rsidRPr="00D6293C" w:rsidRDefault="001922C9" w:rsidP="003F0141">
            <w:pPr>
              <w:spacing w:line="240" w:lineRule="auto"/>
              <w:contextualSpacing w:val="0"/>
              <w:jc w:val="right"/>
              <w:rPr>
                <w:color w:val="000000"/>
                <w:sz w:val="18"/>
                <w:szCs w:val="18"/>
              </w:rPr>
            </w:pPr>
            <w:r w:rsidRPr="00D6293C">
              <w:rPr>
                <w:color w:val="000000"/>
                <w:sz w:val="18"/>
                <w:szCs w:val="18"/>
              </w:rPr>
              <w:t>0.6</w:t>
            </w:r>
          </w:p>
        </w:tc>
        <w:tc>
          <w:tcPr>
            <w:tcW w:w="980" w:type="dxa"/>
            <w:tcBorders>
              <w:top w:val="nil"/>
              <w:left w:val="nil"/>
              <w:bottom w:val="nil"/>
              <w:right w:val="nil"/>
            </w:tcBorders>
            <w:shd w:val="clear" w:color="auto" w:fill="auto"/>
            <w:noWrap/>
            <w:vAlign w:val="center"/>
            <w:hideMark/>
          </w:tcPr>
          <w:p w14:paraId="59593016" w14:textId="61864DC0" w:rsidR="001922C9" w:rsidRPr="00D6293C" w:rsidRDefault="001922C9" w:rsidP="003F0141">
            <w:pPr>
              <w:spacing w:line="240" w:lineRule="auto"/>
              <w:contextualSpacing w:val="0"/>
              <w:jc w:val="right"/>
              <w:rPr>
                <w:color w:val="000000"/>
                <w:sz w:val="18"/>
                <w:szCs w:val="18"/>
              </w:rPr>
            </w:pPr>
            <w:r w:rsidRPr="00D6293C">
              <w:rPr>
                <w:color w:val="000000"/>
                <w:sz w:val="18"/>
                <w:szCs w:val="18"/>
              </w:rPr>
              <w:t>20,432</w:t>
            </w:r>
          </w:p>
        </w:tc>
        <w:tc>
          <w:tcPr>
            <w:tcW w:w="981" w:type="dxa"/>
            <w:tcBorders>
              <w:top w:val="nil"/>
              <w:left w:val="nil"/>
              <w:bottom w:val="nil"/>
              <w:right w:val="nil"/>
            </w:tcBorders>
            <w:shd w:val="clear" w:color="auto" w:fill="auto"/>
            <w:noWrap/>
            <w:vAlign w:val="center"/>
            <w:hideMark/>
          </w:tcPr>
          <w:p w14:paraId="4D96B201" w14:textId="5780187A" w:rsidR="001922C9" w:rsidRPr="00D6293C" w:rsidRDefault="001922C9" w:rsidP="003F0141">
            <w:pPr>
              <w:spacing w:line="240" w:lineRule="auto"/>
              <w:contextualSpacing w:val="0"/>
              <w:jc w:val="right"/>
              <w:rPr>
                <w:color w:val="000000"/>
                <w:sz w:val="18"/>
                <w:szCs w:val="18"/>
              </w:rPr>
            </w:pPr>
            <w:r w:rsidRPr="00D6293C">
              <w:rPr>
                <w:color w:val="000000"/>
                <w:sz w:val="18"/>
                <w:szCs w:val="18"/>
              </w:rPr>
              <w:t>2.2</w:t>
            </w:r>
          </w:p>
        </w:tc>
      </w:tr>
      <w:tr w:rsidR="001922C9" w:rsidRPr="001922C9" w14:paraId="61574882" w14:textId="77777777" w:rsidTr="003F0141">
        <w:trPr>
          <w:trHeight w:val="340"/>
        </w:trPr>
        <w:tc>
          <w:tcPr>
            <w:tcW w:w="3510" w:type="dxa"/>
            <w:tcBorders>
              <w:top w:val="nil"/>
              <w:left w:val="nil"/>
              <w:bottom w:val="nil"/>
              <w:right w:val="nil"/>
            </w:tcBorders>
            <w:shd w:val="clear" w:color="auto" w:fill="auto"/>
            <w:vAlign w:val="center"/>
            <w:hideMark/>
          </w:tcPr>
          <w:p w14:paraId="5804F900" w14:textId="711CE725" w:rsidR="001922C9" w:rsidRPr="00D6293C" w:rsidRDefault="001922C9" w:rsidP="001922C9">
            <w:pPr>
              <w:spacing w:line="240" w:lineRule="auto"/>
              <w:contextualSpacing w:val="0"/>
              <w:jc w:val="left"/>
              <w:rPr>
                <w:color w:val="000000"/>
                <w:sz w:val="18"/>
                <w:szCs w:val="18"/>
              </w:rPr>
            </w:pPr>
            <w:r w:rsidRPr="00D6293C">
              <w:rPr>
                <w:color w:val="000000"/>
                <w:sz w:val="18"/>
                <w:szCs w:val="18"/>
              </w:rPr>
              <w:t xml:space="preserve">Not working </w:t>
            </w:r>
            <w:r w:rsidR="00007A33">
              <w:rPr>
                <w:color w:val="000000"/>
                <w:sz w:val="18"/>
                <w:szCs w:val="18"/>
              </w:rPr>
              <w:t>and</w:t>
            </w:r>
            <w:r w:rsidRPr="00D6293C">
              <w:rPr>
                <w:color w:val="000000"/>
                <w:sz w:val="18"/>
                <w:szCs w:val="18"/>
              </w:rPr>
              <w:t xml:space="preserve"> available</w:t>
            </w:r>
          </w:p>
        </w:tc>
        <w:tc>
          <w:tcPr>
            <w:tcW w:w="1266" w:type="dxa"/>
            <w:tcBorders>
              <w:top w:val="nil"/>
              <w:left w:val="single" w:sz="4" w:space="0" w:color="auto"/>
              <w:bottom w:val="nil"/>
              <w:right w:val="nil"/>
            </w:tcBorders>
            <w:shd w:val="clear" w:color="auto" w:fill="auto"/>
            <w:noWrap/>
            <w:vAlign w:val="center"/>
            <w:hideMark/>
          </w:tcPr>
          <w:p w14:paraId="51D15D00" w14:textId="44204CE4" w:rsidR="001922C9" w:rsidRPr="00D6293C" w:rsidRDefault="001922C9" w:rsidP="003F0141">
            <w:pPr>
              <w:spacing w:line="240" w:lineRule="auto"/>
              <w:contextualSpacing w:val="0"/>
              <w:jc w:val="right"/>
              <w:rPr>
                <w:color w:val="000000"/>
                <w:sz w:val="18"/>
                <w:szCs w:val="18"/>
              </w:rPr>
            </w:pPr>
            <w:r w:rsidRPr="00D6293C">
              <w:rPr>
                <w:color w:val="000000"/>
                <w:sz w:val="18"/>
                <w:szCs w:val="18"/>
              </w:rPr>
              <w:t>180,624</w:t>
            </w:r>
          </w:p>
        </w:tc>
        <w:tc>
          <w:tcPr>
            <w:tcW w:w="1159" w:type="dxa"/>
            <w:tcBorders>
              <w:top w:val="nil"/>
              <w:left w:val="nil"/>
              <w:bottom w:val="nil"/>
              <w:right w:val="nil"/>
            </w:tcBorders>
            <w:shd w:val="clear" w:color="auto" w:fill="auto"/>
            <w:noWrap/>
            <w:vAlign w:val="center"/>
            <w:hideMark/>
          </w:tcPr>
          <w:p w14:paraId="67E9A755" w14:textId="7F4A91CA" w:rsidR="001922C9" w:rsidRPr="00D6293C" w:rsidRDefault="001922C9" w:rsidP="003F0141">
            <w:pPr>
              <w:spacing w:line="240" w:lineRule="auto"/>
              <w:contextualSpacing w:val="0"/>
              <w:jc w:val="right"/>
              <w:rPr>
                <w:color w:val="000000"/>
                <w:sz w:val="18"/>
                <w:szCs w:val="18"/>
              </w:rPr>
            </w:pPr>
            <w:r w:rsidRPr="00D6293C">
              <w:rPr>
                <w:color w:val="000000"/>
                <w:sz w:val="18"/>
                <w:szCs w:val="18"/>
              </w:rPr>
              <w:t>0.5</w:t>
            </w:r>
          </w:p>
        </w:tc>
        <w:tc>
          <w:tcPr>
            <w:tcW w:w="1243" w:type="dxa"/>
            <w:tcBorders>
              <w:top w:val="nil"/>
              <w:left w:val="nil"/>
              <w:bottom w:val="nil"/>
              <w:right w:val="nil"/>
            </w:tcBorders>
            <w:shd w:val="clear" w:color="auto" w:fill="auto"/>
            <w:noWrap/>
            <w:vAlign w:val="center"/>
            <w:hideMark/>
          </w:tcPr>
          <w:p w14:paraId="09C55C05" w14:textId="13A0F705" w:rsidR="001922C9" w:rsidRPr="00D6293C" w:rsidRDefault="001922C9" w:rsidP="003F0141">
            <w:pPr>
              <w:spacing w:line="240" w:lineRule="auto"/>
              <w:contextualSpacing w:val="0"/>
              <w:jc w:val="right"/>
              <w:rPr>
                <w:color w:val="000000"/>
                <w:sz w:val="18"/>
                <w:szCs w:val="18"/>
              </w:rPr>
            </w:pPr>
            <w:r w:rsidRPr="00D6293C">
              <w:rPr>
                <w:color w:val="000000"/>
                <w:sz w:val="18"/>
                <w:szCs w:val="18"/>
              </w:rPr>
              <w:t>167,196</w:t>
            </w:r>
          </w:p>
        </w:tc>
        <w:tc>
          <w:tcPr>
            <w:tcW w:w="914" w:type="dxa"/>
            <w:tcBorders>
              <w:top w:val="nil"/>
              <w:left w:val="nil"/>
              <w:bottom w:val="nil"/>
              <w:right w:val="nil"/>
            </w:tcBorders>
            <w:shd w:val="clear" w:color="auto" w:fill="auto"/>
            <w:noWrap/>
            <w:vAlign w:val="center"/>
            <w:hideMark/>
          </w:tcPr>
          <w:p w14:paraId="7367F41F" w14:textId="75BB9112" w:rsidR="001922C9" w:rsidRPr="00D6293C" w:rsidRDefault="001922C9" w:rsidP="003F0141">
            <w:pPr>
              <w:spacing w:line="240" w:lineRule="auto"/>
              <w:contextualSpacing w:val="0"/>
              <w:jc w:val="right"/>
              <w:rPr>
                <w:color w:val="000000"/>
                <w:sz w:val="18"/>
                <w:szCs w:val="18"/>
              </w:rPr>
            </w:pPr>
            <w:r w:rsidRPr="00D6293C">
              <w:rPr>
                <w:color w:val="000000"/>
                <w:sz w:val="18"/>
                <w:szCs w:val="18"/>
              </w:rPr>
              <w:t>0.5</w:t>
            </w:r>
          </w:p>
        </w:tc>
        <w:tc>
          <w:tcPr>
            <w:tcW w:w="980" w:type="dxa"/>
            <w:tcBorders>
              <w:top w:val="nil"/>
              <w:left w:val="nil"/>
              <w:bottom w:val="nil"/>
              <w:right w:val="nil"/>
            </w:tcBorders>
            <w:shd w:val="clear" w:color="auto" w:fill="auto"/>
            <w:noWrap/>
            <w:vAlign w:val="center"/>
            <w:hideMark/>
          </w:tcPr>
          <w:p w14:paraId="760D2DF6" w14:textId="5E194814" w:rsidR="001922C9" w:rsidRPr="00D6293C" w:rsidRDefault="001922C9" w:rsidP="003F0141">
            <w:pPr>
              <w:spacing w:line="240" w:lineRule="auto"/>
              <w:contextualSpacing w:val="0"/>
              <w:jc w:val="right"/>
              <w:rPr>
                <w:color w:val="000000"/>
                <w:sz w:val="18"/>
                <w:szCs w:val="18"/>
              </w:rPr>
            </w:pPr>
            <w:r w:rsidRPr="00D6293C">
              <w:rPr>
                <w:color w:val="000000"/>
                <w:sz w:val="18"/>
                <w:szCs w:val="18"/>
              </w:rPr>
              <w:t>13,428</w:t>
            </w:r>
          </w:p>
        </w:tc>
        <w:tc>
          <w:tcPr>
            <w:tcW w:w="981" w:type="dxa"/>
            <w:tcBorders>
              <w:top w:val="nil"/>
              <w:left w:val="nil"/>
              <w:bottom w:val="nil"/>
              <w:right w:val="nil"/>
            </w:tcBorders>
            <w:shd w:val="clear" w:color="auto" w:fill="auto"/>
            <w:noWrap/>
            <w:vAlign w:val="center"/>
            <w:hideMark/>
          </w:tcPr>
          <w:p w14:paraId="72A93B5D" w14:textId="1096BD20" w:rsidR="001922C9" w:rsidRPr="00D6293C" w:rsidRDefault="001922C9" w:rsidP="003F0141">
            <w:pPr>
              <w:spacing w:line="240" w:lineRule="auto"/>
              <w:contextualSpacing w:val="0"/>
              <w:jc w:val="right"/>
              <w:rPr>
                <w:color w:val="000000"/>
                <w:sz w:val="18"/>
                <w:szCs w:val="18"/>
              </w:rPr>
            </w:pPr>
            <w:r w:rsidRPr="00D6293C">
              <w:rPr>
                <w:color w:val="000000"/>
                <w:sz w:val="18"/>
                <w:szCs w:val="18"/>
              </w:rPr>
              <w:t>1.4</w:t>
            </w:r>
          </w:p>
        </w:tc>
      </w:tr>
      <w:tr w:rsidR="001922C9" w:rsidRPr="001922C9" w14:paraId="5616E0ED" w14:textId="77777777" w:rsidTr="003F0141">
        <w:trPr>
          <w:trHeight w:val="340"/>
        </w:trPr>
        <w:tc>
          <w:tcPr>
            <w:tcW w:w="3510" w:type="dxa"/>
            <w:tcBorders>
              <w:top w:val="nil"/>
              <w:left w:val="nil"/>
              <w:bottom w:val="nil"/>
              <w:right w:val="nil"/>
            </w:tcBorders>
            <w:shd w:val="clear" w:color="auto" w:fill="auto"/>
            <w:vAlign w:val="center"/>
            <w:hideMark/>
          </w:tcPr>
          <w:p w14:paraId="6C858874" w14:textId="755DB573" w:rsidR="001922C9" w:rsidRPr="00D6293C" w:rsidRDefault="001922C9" w:rsidP="001922C9">
            <w:pPr>
              <w:spacing w:line="240" w:lineRule="auto"/>
              <w:contextualSpacing w:val="0"/>
              <w:jc w:val="left"/>
              <w:rPr>
                <w:color w:val="000000"/>
                <w:sz w:val="18"/>
                <w:szCs w:val="18"/>
              </w:rPr>
            </w:pPr>
            <w:r w:rsidRPr="00D6293C">
              <w:rPr>
                <w:color w:val="000000"/>
                <w:sz w:val="18"/>
                <w:szCs w:val="18"/>
              </w:rPr>
              <w:t>Other</w:t>
            </w:r>
          </w:p>
        </w:tc>
        <w:tc>
          <w:tcPr>
            <w:tcW w:w="1266" w:type="dxa"/>
            <w:tcBorders>
              <w:top w:val="nil"/>
              <w:left w:val="single" w:sz="4" w:space="0" w:color="auto"/>
              <w:bottom w:val="nil"/>
              <w:right w:val="nil"/>
            </w:tcBorders>
            <w:shd w:val="clear" w:color="auto" w:fill="auto"/>
            <w:noWrap/>
            <w:vAlign w:val="center"/>
            <w:hideMark/>
          </w:tcPr>
          <w:p w14:paraId="59D0B330" w14:textId="5FA17727" w:rsidR="001922C9" w:rsidRPr="00D6293C" w:rsidRDefault="001922C9" w:rsidP="003F0141">
            <w:pPr>
              <w:spacing w:line="240" w:lineRule="auto"/>
              <w:contextualSpacing w:val="0"/>
              <w:jc w:val="right"/>
              <w:rPr>
                <w:color w:val="000000"/>
                <w:sz w:val="18"/>
                <w:szCs w:val="18"/>
              </w:rPr>
            </w:pPr>
            <w:r w:rsidRPr="00D6293C">
              <w:rPr>
                <w:color w:val="000000"/>
                <w:sz w:val="18"/>
                <w:szCs w:val="18"/>
              </w:rPr>
              <w:t>159,591</w:t>
            </w:r>
          </w:p>
        </w:tc>
        <w:tc>
          <w:tcPr>
            <w:tcW w:w="1159" w:type="dxa"/>
            <w:tcBorders>
              <w:top w:val="nil"/>
              <w:left w:val="nil"/>
              <w:bottom w:val="nil"/>
              <w:right w:val="nil"/>
            </w:tcBorders>
            <w:shd w:val="clear" w:color="auto" w:fill="auto"/>
            <w:noWrap/>
            <w:vAlign w:val="center"/>
            <w:hideMark/>
          </w:tcPr>
          <w:p w14:paraId="36772BC1" w14:textId="4F7739C4" w:rsidR="001922C9" w:rsidRPr="00D6293C" w:rsidRDefault="001922C9" w:rsidP="003F0141">
            <w:pPr>
              <w:spacing w:line="240" w:lineRule="auto"/>
              <w:contextualSpacing w:val="0"/>
              <w:jc w:val="right"/>
              <w:rPr>
                <w:color w:val="000000"/>
                <w:sz w:val="18"/>
                <w:szCs w:val="18"/>
              </w:rPr>
            </w:pPr>
            <w:r w:rsidRPr="00D6293C">
              <w:rPr>
                <w:color w:val="000000"/>
                <w:sz w:val="18"/>
                <w:szCs w:val="18"/>
              </w:rPr>
              <w:t>0.5</w:t>
            </w:r>
          </w:p>
        </w:tc>
        <w:tc>
          <w:tcPr>
            <w:tcW w:w="1243" w:type="dxa"/>
            <w:tcBorders>
              <w:top w:val="nil"/>
              <w:left w:val="nil"/>
              <w:bottom w:val="nil"/>
              <w:right w:val="nil"/>
            </w:tcBorders>
            <w:shd w:val="clear" w:color="auto" w:fill="auto"/>
            <w:noWrap/>
            <w:vAlign w:val="center"/>
            <w:hideMark/>
          </w:tcPr>
          <w:p w14:paraId="14D6537F" w14:textId="2EB9EB9A" w:rsidR="001922C9" w:rsidRPr="00D6293C" w:rsidRDefault="001922C9" w:rsidP="003F0141">
            <w:pPr>
              <w:spacing w:line="240" w:lineRule="auto"/>
              <w:contextualSpacing w:val="0"/>
              <w:jc w:val="right"/>
              <w:rPr>
                <w:color w:val="000000"/>
                <w:sz w:val="18"/>
                <w:szCs w:val="18"/>
              </w:rPr>
            </w:pPr>
            <w:r w:rsidRPr="00D6293C">
              <w:rPr>
                <w:color w:val="000000"/>
                <w:sz w:val="18"/>
                <w:szCs w:val="18"/>
              </w:rPr>
              <w:t>156,610</w:t>
            </w:r>
          </w:p>
        </w:tc>
        <w:tc>
          <w:tcPr>
            <w:tcW w:w="914" w:type="dxa"/>
            <w:tcBorders>
              <w:top w:val="nil"/>
              <w:left w:val="nil"/>
              <w:bottom w:val="nil"/>
              <w:right w:val="nil"/>
            </w:tcBorders>
            <w:shd w:val="clear" w:color="auto" w:fill="auto"/>
            <w:noWrap/>
            <w:vAlign w:val="center"/>
            <w:hideMark/>
          </w:tcPr>
          <w:p w14:paraId="7D4DF471" w14:textId="0FAB7D10" w:rsidR="001922C9" w:rsidRPr="00D6293C" w:rsidRDefault="001922C9" w:rsidP="003F0141">
            <w:pPr>
              <w:spacing w:line="240" w:lineRule="auto"/>
              <w:contextualSpacing w:val="0"/>
              <w:jc w:val="right"/>
              <w:rPr>
                <w:color w:val="000000"/>
                <w:sz w:val="18"/>
                <w:szCs w:val="18"/>
              </w:rPr>
            </w:pPr>
            <w:r w:rsidRPr="00D6293C">
              <w:rPr>
                <w:color w:val="000000"/>
                <w:sz w:val="18"/>
                <w:szCs w:val="18"/>
              </w:rPr>
              <w:t>0.5</w:t>
            </w:r>
          </w:p>
        </w:tc>
        <w:tc>
          <w:tcPr>
            <w:tcW w:w="980" w:type="dxa"/>
            <w:tcBorders>
              <w:top w:val="nil"/>
              <w:left w:val="nil"/>
              <w:bottom w:val="nil"/>
              <w:right w:val="nil"/>
            </w:tcBorders>
            <w:shd w:val="clear" w:color="auto" w:fill="auto"/>
            <w:noWrap/>
            <w:vAlign w:val="center"/>
            <w:hideMark/>
          </w:tcPr>
          <w:p w14:paraId="32A793EE" w14:textId="5A2997B1" w:rsidR="001922C9" w:rsidRPr="00D6293C" w:rsidRDefault="001922C9" w:rsidP="003F0141">
            <w:pPr>
              <w:spacing w:line="240" w:lineRule="auto"/>
              <w:contextualSpacing w:val="0"/>
              <w:jc w:val="right"/>
              <w:rPr>
                <w:color w:val="000000"/>
                <w:sz w:val="18"/>
                <w:szCs w:val="18"/>
              </w:rPr>
            </w:pPr>
            <w:r w:rsidRPr="00D6293C">
              <w:rPr>
                <w:color w:val="000000"/>
                <w:sz w:val="18"/>
                <w:szCs w:val="18"/>
              </w:rPr>
              <w:t>2,981</w:t>
            </w:r>
          </w:p>
        </w:tc>
        <w:tc>
          <w:tcPr>
            <w:tcW w:w="981" w:type="dxa"/>
            <w:tcBorders>
              <w:top w:val="nil"/>
              <w:left w:val="nil"/>
              <w:bottom w:val="nil"/>
              <w:right w:val="nil"/>
            </w:tcBorders>
            <w:shd w:val="clear" w:color="auto" w:fill="auto"/>
            <w:noWrap/>
            <w:vAlign w:val="center"/>
            <w:hideMark/>
          </w:tcPr>
          <w:p w14:paraId="61E2D51F" w14:textId="788EE813" w:rsidR="001922C9" w:rsidRPr="00D6293C" w:rsidRDefault="001922C9" w:rsidP="003F0141">
            <w:pPr>
              <w:spacing w:line="240" w:lineRule="auto"/>
              <w:contextualSpacing w:val="0"/>
              <w:jc w:val="right"/>
              <w:rPr>
                <w:color w:val="000000"/>
                <w:sz w:val="18"/>
                <w:szCs w:val="18"/>
              </w:rPr>
            </w:pPr>
            <w:r w:rsidRPr="00D6293C">
              <w:rPr>
                <w:color w:val="000000"/>
                <w:sz w:val="18"/>
                <w:szCs w:val="18"/>
              </w:rPr>
              <w:t>0.3</w:t>
            </w:r>
          </w:p>
        </w:tc>
      </w:tr>
      <w:tr w:rsidR="001922C9" w:rsidRPr="001922C9" w14:paraId="012424F6" w14:textId="77777777" w:rsidTr="003F0141">
        <w:trPr>
          <w:trHeight w:val="340"/>
        </w:trPr>
        <w:tc>
          <w:tcPr>
            <w:tcW w:w="3510" w:type="dxa"/>
            <w:tcBorders>
              <w:top w:val="nil"/>
              <w:left w:val="nil"/>
              <w:bottom w:val="nil"/>
              <w:right w:val="nil"/>
            </w:tcBorders>
            <w:shd w:val="clear" w:color="auto" w:fill="auto"/>
            <w:vAlign w:val="center"/>
            <w:hideMark/>
          </w:tcPr>
          <w:p w14:paraId="46BFB5B2" w14:textId="50974CC7" w:rsidR="001922C9" w:rsidRPr="00D6293C" w:rsidRDefault="001922C9" w:rsidP="001922C9">
            <w:pPr>
              <w:spacing w:line="240" w:lineRule="auto"/>
              <w:contextualSpacing w:val="0"/>
              <w:jc w:val="left"/>
              <w:rPr>
                <w:color w:val="000000"/>
                <w:sz w:val="18"/>
                <w:szCs w:val="18"/>
              </w:rPr>
            </w:pPr>
            <w:r w:rsidRPr="00D6293C">
              <w:rPr>
                <w:color w:val="000000"/>
                <w:sz w:val="18"/>
                <w:szCs w:val="18"/>
              </w:rPr>
              <w:t>Fishing</w:t>
            </w:r>
          </w:p>
        </w:tc>
        <w:tc>
          <w:tcPr>
            <w:tcW w:w="1266" w:type="dxa"/>
            <w:tcBorders>
              <w:top w:val="nil"/>
              <w:left w:val="single" w:sz="4" w:space="0" w:color="auto"/>
              <w:bottom w:val="nil"/>
              <w:right w:val="nil"/>
            </w:tcBorders>
            <w:shd w:val="clear" w:color="auto" w:fill="auto"/>
            <w:noWrap/>
            <w:vAlign w:val="center"/>
            <w:hideMark/>
          </w:tcPr>
          <w:p w14:paraId="43AA4016" w14:textId="0B11DFBB" w:rsidR="001922C9" w:rsidRPr="00D6293C" w:rsidRDefault="001922C9" w:rsidP="003F0141">
            <w:pPr>
              <w:spacing w:line="240" w:lineRule="auto"/>
              <w:contextualSpacing w:val="0"/>
              <w:jc w:val="right"/>
              <w:rPr>
                <w:color w:val="000000"/>
                <w:sz w:val="18"/>
                <w:szCs w:val="18"/>
              </w:rPr>
            </w:pPr>
            <w:r w:rsidRPr="00D6293C">
              <w:rPr>
                <w:color w:val="000000"/>
                <w:sz w:val="18"/>
                <w:szCs w:val="18"/>
              </w:rPr>
              <w:t>117,683</w:t>
            </w:r>
          </w:p>
        </w:tc>
        <w:tc>
          <w:tcPr>
            <w:tcW w:w="1159" w:type="dxa"/>
            <w:tcBorders>
              <w:top w:val="nil"/>
              <w:left w:val="nil"/>
              <w:bottom w:val="nil"/>
              <w:right w:val="nil"/>
            </w:tcBorders>
            <w:shd w:val="clear" w:color="auto" w:fill="auto"/>
            <w:noWrap/>
            <w:vAlign w:val="center"/>
            <w:hideMark/>
          </w:tcPr>
          <w:p w14:paraId="75695E56" w14:textId="4AB7DAE8" w:rsidR="001922C9" w:rsidRPr="00D6293C" w:rsidRDefault="001922C9" w:rsidP="003F0141">
            <w:pPr>
              <w:spacing w:line="240" w:lineRule="auto"/>
              <w:contextualSpacing w:val="0"/>
              <w:jc w:val="right"/>
              <w:rPr>
                <w:color w:val="000000"/>
                <w:sz w:val="18"/>
                <w:szCs w:val="18"/>
              </w:rPr>
            </w:pPr>
            <w:r w:rsidRPr="00D6293C">
              <w:rPr>
                <w:color w:val="000000"/>
                <w:sz w:val="18"/>
                <w:szCs w:val="18"/>
              </w:rPr>
              <w:t>0.3</w:t>
            </w:r>
          </w:p>
        </w:tc>
        <w:tc>
          <w:tcPr>
            <w:tcW w:w="1243" w:type="dxa"/>
            <w:tcBorders>
              <w:top w:val="nil"/>
              <w:left w:val="nil"/>
              <w:bottom w:val="nil"/>
              <w:right w:val="nil"/>
            </w:tcBorders>
            <w:shd w:val="clear" w:color="auto" w:fill="auto"/>
            <w:noWrap/>
            <w:vAlign w:val="center"/>
            <w:hideMark/>
          </w:tcPr>
          <w:p w14:paraId="6654FAFB" w14:textId="1AECD21D" w:rsidR="001922C9" w:rsidRPr="00D6293C" w:rsidRDefault="001922C9" w:rsidP="003F0141">
            <w:pPr>
              <w:spacing w:line="240" w:lineRule="auto"/>
              <w:contextualSpacing w:val="0"/>
              <w:jc w:val="right"/>
              <w:rPr>
                <w:color w:val="000000"/>
                <w:sz w:val="18"/>
                <w:szCs w:val="18"/>
              </w:rPr>
            </w:pPr>
            <w:r w:rsidRPr="00D6293C">
              <w:rPr>
                <w:color w:val="000000"/>
                <w:sz w:val="18"/>
                <w:szCs w:val="18"/>
              </w:rPr>
              <w:t>93,255</w:t>
            </w:r>
          </w:p>
        </w:tc>
        <w:tc>
          <w:tcPr>
            <w:tcW w:w="914" w:type="dxa"/>
            <w:tcBorders>
              <w:top w:val="nil"/>
              <w:left w:val="nil"/>
              <w:bottom w:val="nil"/>
              <w:right w:val="nil"/>
            </w:tcBorders>
            <w:shd w:val="clear" w:color="auto" w:fill="auto"/>
            <w:noWrap/>
            <w:vAlign w:val="center"/>
            <w:hideMark/>
          </w:tcPr>
          <w:p w14:paraId="652D6532" w14:textId="24FDF4DA" w:rsidR="001922C9" w:rsidRPr="00D6293C" w:rsidRDefault="001922C9" w:rsidP="003F0141">
            <w:pPr>
              <w:spacing w:line="240" w:lineRule="auto"/>
              <w:contextualSpacing w:val="0"/>
              <w:jc w:val="right"/>
              <w:rPr>
                <w:color w:val="000000"/>
                <w:sz w:val="18"/>
                <w:szCs w:val="18"/>
              </w:rPr>
            </w:pPr>
            <w:r w:rsidRPr="00D6293C">
              <w:rPr>
                <w:color w:val="000000"/>
                <w:sz w:val="18"/>
                <w:szCs w:val="18"/>
              </w:rPr>
              <w:t>0.3</w:t>
            </w:r>
          </w:p>
        </w:tc>
        <w:tc>
          <w:tcPr>
            <w:tcW w:w="980" w:type="dxa"/>
            <w:tcBorders>
              <w:top w:val="nil"/>
              <w:left w:val="nil"/>
              <w:bottom w:val="nil"/>
              <w:right w:val="nil"/>
            </w:tcBorders>
            <w:shd w:val="clear" w:color="auto" w:fill="auto"/>
            <w:noWrap/>
            <w:vAlign w:val="center"/>
            <w:hideMark/>
          </w:tcPr>
          <w:p w14:paraId="19900C3A" w14:textId="500679A4" w:rsidR="001922C9" w:rsidRPr="00D6293C" w:rsidRDefault="001922C9" w:rsidP="003F0141">
            <w:pPr>
              <w:spacing w:line="240" w:lineRule="auto"/>
              <w:contextualSpacing w:val="0"/>
              <w:jc w:val="right"/>
              <w:rPr>
                <w:color w:val="000000"/>
                <w:sz w:val="18"/>
                <w:szCs w:val="18"/>
              </w:rPr>
            </w:pPr>
            <w:r w:rsidRPr="00D6293C">
              <w:rPr>
                <w:color w:val="000000"/>
                <w:sz w:val="18"/>
                <w:szCs w:val="18"/>
              </w:rPr>
              <w:t>24,428</w:t>
            </w:r>
          </w:p>
        </w:tc>
        <w:tc>
          <w:tcPr>
            <w:tcW w:w="981" w:type="dxa"/>
            <w:tcBorders>
              <w:top w:val="nil"/>
              <w:left w:val="nil"/>
              <w:bottom w:val="nil"/>
              <w:right w:val="nil"/>
            </w:tcBorders>
            <w:shd w:val="clear" w:color="auto" w:fill="auto"/>
            <w:noWrap/>
            <w:vAlign w:val="center"/>
            <w:hideMark/>
          </w:tcPr>
          <w:p w14:paraId="4631D779" w14:textId="698F9191" w:rsidR="001922C9" w:rsidRPr="00D6293C" w:rsidRDefault="001922C9" w:rsidP="003F0141">
            <w:pPr>
              <w:spacing w:line="240" w:lineRule="auto"/>
              <w:contextualSpacing w:val="0"/>
              <w:jc w:val="right"/>
              <w:rPr>
                <w:color w:val="000000"/>
                <w:sz w:val="18"/>
                <w:szCs w:val="18"/>
              </w:rPr>
            </w:pPr>
            <w:r w:rsidRPr="00D6293C">
              <w:rPr>
                <w:color w:val="000000"/>
                <w:sz w:val="18"/>
                <w:szCs w:val="18"/>
              </w:rPr>
              <w:t>2.6</w:t>
            </w:r>
          </w:p>
        </w:tc>
      </w:tr>
      <w:tr w:rsidR="001922C9" w:rsidRPr="001922C9" w14:paraId="7B98DF31" w14:textId="77777777" w:rsidTr="003F0141">
        <w:trPr>
          <w:trHeight w:val="340"/>
        </w:trPr>
        <w:tc>
          <w:tcPr>
            <w:tcW w:w="3510" w:type="dxa"/>
            <w:tcBorders>
              <w:top w:val="nil"/>
              <w:left w:val="nil"/>
              <w:bottom w:val="nil"/>
              <w:right w:val="nil"/>
            </w:tcBorders>
            <w:shd w:val="clear" w:color="auto" w:fill="auto"/>
            <w:vAlign w:val="center"/>
            <w:hideMark/>
          </w:tcPr>
          <w:p w14:paraId="62AAA956" w14:textId="288CC695" w:rsidR="001922C9" w:rsidRPr="00D6293C" w:rsidRDefault="001922C9" w:rsidP="001922C9">
            <w:pPr>
              <w:spacing w:line="240" w:lineRule="auto"/>
              <w:contextualSpacing w:val="0"/>
              <w:jc w:val="left"/>
              <w:rPr>
                <w:color w:val="000000"/>
                <w:sz w:val="18"/>
                <w:szCs w:val="18"/>
              </w:rPr>
            </w:pPr>
            <w:r w:rsidRPr="00D6293C">
              <w:rPr>
                <w:color w:val="000000"/>
                <w:sz w:val="18"/>
                <w:szCs w:val="18"/>
              </w:rPr>
              <w:t>Unpaid family helper (</w:t>
            </w:r>
            <w:r w:rsidR="008C3B03" w:rsidRPr="00D6293C">
              <w:rPr>
                <w:color w:val="000000"/>
                <w:sz w:val="18"/>
                <w:szCs w:val="18"/>
              </w:rPr>
              <w:t>non-agriculture</w:t>
            </w:r>
            <w:r w:rsidRPr="00D6293C">
              <w:rPr>
                <w:color w:val="000000"/>
                <w:sz w:val="18"/>
                <w:szCs w:val="18"/>
              </w:rPr>
              <w:t>)</w:t>
            </w:r>
          </w:p>
        </w:tc>
        <w:tc>
          <w:tcPr>
            <w:tcW w:w="1266" w:type="dxa"/>
            <w:tcBorders>
              <w:top w:val="nil"/>
              <w:left w:val="single" w:sz="4" w:space="0" w:color="auto"/>
              <w:bottom w:val="nil"/>
              <w:right w:val="nil"/>
            </w:tcBorders>
            <w:shd w:val="clear" w:color="auto" w:fill="auto"/>
            <w:noWrap/>
            <w:vAlign w:val="center"/>
            <w:hideMark/>
          </w:tcPr>
          <w:p w14:paraId="482F3C62" w14:textId="2A67F45B" w:rsidR="001922C9" w:rsidRPr="00D6293C" w:rsidRDefault="001922C9" w:rsidP="003F0141">
            <w:pPr>
              <w:spacing w:line="240" w:lineRule="auto"/>
              <w:contextualSpacing w:val="0"/>
              <w:jc w:val="right"/>
              <w:rPr>
                <w:color w:val="000000"/>
                <w:sz w:val="18"/>
                <w:szCs w:val="18"/>
              </w:rPr>
            </w:pPr>
            <w:r w:rsidRPr="00D6293C">
              <w:rPr>
                <w:color w:val="000000"/>
                <w:sz w:val="18"/>
                <w:szCs w:val="18"/>
              </w:rPr>
              <w:t>45,492</w:t>
            </w:r>
          </w:p>
        </w:tc>
        <w:tc>
          <w:tcPr>
            <w:tcW w:w="1159" w:type="dxa"/>
            <w:tcBorders>
              <w:top w:val="nil"/>
              <w:left w:val="nil"/>
              <w:bottom w:val="nil"/>
              <w:right w:val="nil"/>
            </w:tcBorders>
            <w:shd w:val="clear" w:color="auto" w:fill="auto"/>
            <w:noWrap/>
            <w:vAlign w:val="center"/>
            <w:hideMark/>
          </w:tcPr>
          <w:p w14:paraId="572C4F5F" w14:textId="7638A8E9" w:rsidR="001922C9" w:rsidRPr="00D6293C" w:rsidRDefault="001922C9" w:rsidP="003F0141">
            <w:pPr>
              <w:spacing w:line="240" w:lineRule="auto"/>
              <w:contextualSpacing w:val="0"/>
              <w:jc w:val="right"/>
              <w:rPr>
                <w:color w:val="000000"/>
                <w:sz w:val="18"/>
                <w:szCs w:val="18"/>
              </w:rPr>
            </w:pPr>
            <w:r w:rsidRPr="00D6293C">
              <w:rPr>
                <w:color w:val="000000"/>
                <w:sz w:val="18"/>
                <w:szCs w:val="18"/>
              </w:rPr>
              <w:t>0.1</w:t>
            </w:r>
          </w:p>
        </w:tc>
        <w:tc>
          <w:tcPr>
            <w:tcW w:w="1243" w:type="dxa"/>
            <w:tcBorders>
              <w:top w:val="nil"/>
              <w:left w:val="nil"/>
              <w:bottom w:val="nil"/>
              <w:right w:val="nil"/>
            </w:tcBorders>
            <w:shd w:val="clear" w:color="auto" w:fill="auto"/>
            <w:noWrap/>
            <w:vAlign w:val="center"/>
            <w:hideMark/>
          </w:tcPr>
          <w:p w14:paraId="59EDCC32" w14:textId="12DBAE5D" w:rsidR="001922C9" w:rsidRPr="00D6293C" w:rsidRDefault="001922C9" w:rsidP="003F0141">
            <w:pPr>
              <w:spacing w:line="240" w:lineRule="auto"/>
              <w:contextualSpacing w:val="0"/>
              <w:jc w:val="right"/>
              <w:rPr>
                <w:color w:val="000000"/>
                <w:sz w:val="18"/>
                <w:szCs w:val="18"/>
              </w:rPr>
            </w:pPr>
            <w:r w:rsidRPr="00D6293C">
              <w:rPr>
                <w:color w:val="000000"/>
                <w:sz w:val="18"/>
                <w:szCs w:val="18"/>
              </w:rPr>
              <w:t>44,009</w:t>
            </w:r>
          </w:p>
        </w:tc>
        <w:tc>
          <w:tcPr>
            <w:tcW w:w="914" w:type="dxa"/>
            <w:tcBorders>
              <w:top w:val="nil"/>
              <w:left w:val="nil"/>
              <w:bottom w:val="nil"/>
              <w:right w:val="nil"/>
            </w:tcBorders>
            <w:shd w:val="clear" w:color="auto" w:fill="auto"/>
            <w:noWrap/>
            <w:vAlign w:val="center"/>
            <w:hideMark/>
          </w:tcPr>
          <w:p w14:paraId="12BF8E75" w14:textId="390CE3D2" w:rsidR="001922C9" w:rsidRPr="00D6293C" w:rsidRDefault="001922C9" w:rsidP="003F0141">
            <w:pPr>
              <w:spacing w:line="240" w:lineRule="auto"/>
              <w:contextualSpacing w:val="0"/>
              <w:jc w:val="right"/>
              <w:rPr>
                <w:color w:val="000000"/>
                <w:sz w:val="18"/>
                <w:szCs w:val="18"/>
              </w:rPr>
            </w:pPr>
            <w:r w:rsidRPr="00D6293C">
              <w:rPr>
                <w:color w:val="000000"/>
                <w:sz w:val="18"/>
                <w:szCs w:val="18"/>
              </w:rPr>
              <w:t>0.1</w:t>
            </w:r>
          </w:p>
        </w:tc>
        <w:tc>
          <w:tcPr>
            <w:tcW w:w="980" w:type="dxa"/>
            <w:tcBorders>
              <w:top w:val="nil"/>
              <w:left w:val="nil"/>
              <w:bottom w:val="nil"/>
              <w:right w:val="nil"/>
            </w:tcBorders>
            <w:shd w:val="clear" w:color="auto" w:fill="auto"/>
            <w:noWrap/>
            <w:vAlign w:val="center"/>
            <w:hideMark/>
          </w:tcPr>
          <w:p w14:paraId="59C8CE62" w14:textId="3A3AC697" w:rsidR="001922C9" w:rsidRPr="00D6293C" w:rsidRDefault="001922C9" w:rsidP="003F0141">
            <w:pPr>
              <w:spacing w:line="240" w:lineRule="auto"/>
              <w:contextualSpacing w:val="0"/>
              <w:jc w:val="right"/>
              <w:rPr>
                <w:color w:val="000000"/>
                <w:sz w:val="18"/>
                <w:szCs w:val="18"/>
              </w:rPr>
            </w:pPr>
            <w:r w:rsidRPr="00D6293C">
              <w:rPr>
                <w:color w:val="000000"/>
                <w:sz w:val="18"/>
                <w:szCs w:val="18"/>
              </w:rPr>
              <w:t>1,483</w:t>
            </w:r>
          </w:p>
        </w:tc>
        <w:tc>
          <w:tcPr>
            <w:tcW w:w="981" w:type="dxa"/>
            <w:tcBorders>
              <w:top w:val="nil"/>
              <w:left w:val="nil"/>
              <w:bottom w:val="nil"/>
              <w:right w:val="nil"/>
            </w:tcBorders>
            <w:shd w:val="clear" w:color="auto" w:fill="auto"/>
            <w:noWrap/>
            <w:vAlign w:val="center"/>
            <w:hideMark/>
          </w:tcPr>
          <w:p w14:paraId="07A26211" w14:textId="1306F47E" w:rsidR="001922C9" w:rsidRPr="00D6293C" w:rsidRDefault="001922C9" w:rsidP="003F0141">
            <w:pPr>
              <w:spacing w:line="240" w:lineRule="auto"/>
              <w:contextualSpacing w:val="0"/>
              <w:jc w:val="right"/>
              <w:rPr>
                <w:color w:val="000000"/>
                <w:sz w:val="18"/>
                <w:szCs w:val="18"/>
              </w:rPr>
            </w:pPr>
            <w:r w:rsidRPr="00D6293C">
              <w:rPr>
                <w:color w:val="000000"/>
                <w:sz w:val="18"/>
                <w:szCs w:val="18"/>
              </w:rPr>
              <w:t>0.2</w:t>
            </w:r>
          </w:p>
        </w:tc>
      </w:tr>
      <w:tr w:rsidR="001922C9" w:rsidRPr="001922C9" w14:paraId="0FB9FB7F" w14:textId="77777777" w:rsidTr="003F0141">
        <w:trPr>
          <w:trHeight w:val="340"/>
        </w:trPr>
        <w:tc>
          <w:tcPr>
            <w:tcW w:w="3510" w:type="dxa"/>
            <w:tcBorders>
              <w:top w:val="nil"/>
              <w:left w:val="nil"/>
              <w:bottom w:val="nil"/>
              <w:right w:val="nil"/>
            </w:tcBorders>
            <w:shd w:val="clear" w:color="auto" w:fill="auto"/>
            <w:vAlign w:val="center"/>
            <w:hideMark/>
          </w:tcPr>
          <w:p w14:paraId="32B763C5" w14:textId="57AE3BA1" w:rsidR="001922C9" w:rsidRPr="00D6293C" w:rsidRDefault="001922C9" w:rsidP="001922C9">
            <w:pPr>
              <w:spacing w:line="240" w:lineRule="auto"/>
              <w:contextualSpacing w:val="0"/>
              <w:jc w:val="left"/>
              <w:rPr>
                <w:color w:val="000000"/>
                <w:sz w:val="18"/>
                <w:szCs w:val="18"/>
              </w:rPr>
            </w:pPr>
            <w:r w:rsidRPr="00D6293C">
              <w:rPr>
                <w:color w:val="000000"/>
                <w:sz w:val="18"/>
                <w:szCs w:val="18"/>
              </w:rPr>
              <w:t xml:space="preserve">Not working </w:t>
            </w:r>
            <w:r w:rsidR="00007A33">
              <w:rPr>
                <w:color w:val="000000"/>
                <w:sz w:val="18"/>
                <w:szCs w:val="18"/>
              </w:rPr>
              <w:t>and</w:t>
            </w:r>
            <w:r w:rsidRPr="00D6293C">
              <w:rPr>
                <w:color w:val="000000"/>
                <w:sz w:val="18"/>
                <w:szCs w:val="18"/>
              </w:rPr>
              <w:t xml:space="preserve"> unavailable</w:t>
            </w:r>
          </w:p>
        </w:tc>
        <w:tc>
          <w:tcPr>
            <w:tcW w:w="1266" w:type="dxa"/>
            <w:tcBorders>
              <w:top w:val="nil"/>
              <w:left w:val="single" w:sz="4" w:space="0" w:color="auto"/>
              <w:bottom w:val="nil"/>
              <w:right w:val="nil"/>
            </w:tcBorders>
            <w:shd w:val="clear" w:color="auto" w:fill="auto"/>
            <w:noWrap/>
            <w:vAlign w:val="center"/>
            <w:hideMark/>
          </w:tcPr>
          <w:p w14:paraId="407B57E7" w14:textId="4538930F" w:rsidR="001922C9" w:rsidRPr="00D6293C" w:rsidRDefault="001922C9" w:rsidP="003F0141">
            <w:pPr>
              <w:spacing w:line="240" w:lineRule="auto"/>
              <w:contextualSpacing w:val="0"/>
              <w:jc w:val="right"/>
              <w:rPr>
                <w:color w:val="000000"/>
                <w:sz w:val="18"/>
                <w:szCs w:val="18"/>
              </w:rPr>
            </w:pPr>
            <w:r w:rsidRPr="00D6293C">
              <w:rPr>
                <w:color w:val="000000"/>
                <w:sz w:val="18"/>
                <w:szCs w:val="18"/>
              </w:rPr>
              <w:t>18,230</w:t>
            </w:r>
          </w:p>
        </w:tc>
        <w:tc>
          <w:tcPr>
            <w:tcW w:w="1159" w:type="dxa"/>
            <w:tcBorders>
              <w:top w:val="nil"/>
              <w:left w:val="nil"/>
              <w:bottom w:val="nil"/>
              <w:right w:val="nil"/>
            </w:tcBorders>
            <w:shd w:val="clear" w:color="auto" w:fill="auto"/>
            <w:noWrap/>
            <w:vAlign w:val="center"/>
            <w:hideMark/>
          </w:tcPr>
          <w:p w14:paraId="56E822DE" w14:textId="7808AAE1" w:rsidR="001922C9" w:rsidRPr="00D6293C" w:rsidRDefault="001922C9" w:rsidP="003F0141">
            <w:pPr>
              <w:spacing w:line="240" w:lineRule="auto"/>
              <w:contextualSpacing w:val="0"/>
              <w:jc w:val="right"/>
              <w:rPr>
                <w:color w:val="000000"/>
                <w:sz w:val="18"/>
                <w:szCs w:val="18"/>
              </w:rPr>
            </w:pPr>
            <w:r w:rsidRPr="00D6293C">
              <w:rPr>
                <w:color w:val="000000"/>
                <w:sz w:val="18"/>
                <w:szCs w:val="18"/>
              </w:rPr>
              <w:t>0.1</w:t>
            </w:r>
          </w:p>
        </w:tc>
        <w:tc>
          <w:tcPr>
            <w:tcW w:w="1243" w:type="dxa"/>
            <w:tcBorders>
              <w:top w:val="nil"/>
              <w:left w:val="nil"/>
              <w:bottom w:val="nil"/>
              <w:right w:val="nil"/>
            </w:tcBorders>
            <w:shd w:val="clear" w:color="auto" w:fill="auto"/>
            <w:noWrap/>
            <w:vAlign w:val="center"/>
            <w:hideMark/>
          </w:tcPr>
          <w:p w14:paraId="228E7258" w14:textId="642FE978" w:rsidR="001922C9" w:rsidRPr="00D6293C" w:rsidRDefault="001922C9" w:rsidP="003F0141">
            <w:pPr>
              <w:spacing w:line="240" w:lineRule="auto"/>
              <w:contextualSpacing w:val="0"/>
              <w:jc w:val="right"/>
              <w:rPr>
                <w:color w:val="000000"/>
                <w:sz w:val="18"/>
                <w:szCs w:val="18"/>
              </w:rPr>
            </w:pPr>
            <w:r w:rsidRPr="00D6293C">
              <w:rPr>
                <w:color w:val="000000"/>
                <w:sz w:val="18"/>
                <w:szCs w:val="18"/>
              </w:rPr>
              <w:t>17,174</w:t>
            </w:r>
          </w:p>
        </w:tc>
        <w:tc>
          <w:tcPr>
            <w:tcW w:w="914" w:type="dxa"/>
            <w:tcBorders>
              <w:top w:val="nil"/>
              <w:left w:val="nil"/>
              <w:bottom w:val="nil"/>
              <w:right w:val="nil"/>
            </w:tcBorders>
            <w:shd w:val="clear" w:color="auto" w:fill="auto"/>
            <w:noWrap/>
            <w:vAlign w:val="center"/>
            <w:hideMark/>
          </w:tcPr>
          <w:p w14:paraId="4DC56FB0" w14:textId="6B43A6F5" w:rsidR="001922C9" w:rsidRPr="00D6293C" w:rsidRDefault="001922C9" w:rsidP="003F0141">
            <w:pPr>
              <w:spacing w:line="240" w:lineRule="auto"/>
              <w:contextualSpacing w:val="0"/>
              <w:jc w:val="right"/>
              <w:rPr>
                <w:color w:val="000000"/>
                <w:sz w:val="18"/>
                <w:szCs w:val="18"/>
              </w:rPr>
            </w:pPr>
            <w:r w:rsidRPr="00D6293C">
              <w:rPr>
                <w:color w:val="000000"/>
                <w:sz w:val="18"/>
                <w:szCs w:val="18"/>
              </w:rPr>
              <w:t>0.0</w:t>
            </w:r>
          </w:p>
        </w:tc>
        <w:tc>
          <w:tcPr>
            <w:tcW w:w="980" w:type="dxa"/>
            <w:tcBorders>
              <w:top w:val="nil"/>
              <w:left w:val="nil"/>
              <w:bottom w:val="nil"/>
              <w:right w:val="nil"/>
            </w:tcBorders>
            <w:shd w:val="clear" w:color="auto" w:fill="auto"/>
            <w:noWrap/>
            <w:vAlign w:val="center"/>
            <w:hideMark/>
          </w:tcPr>
          <w:p w14:paraId="2A5A84FC" w14:textId="5C6A8881" w:rsidR="001922C9" w:rsidRPr="00D6293C" w:rsidRDefault="001922C9" w:rsidP="003F0141">
            <w:pPr>
              <w:spacing w:line="240" w:lineRule="auto"/>
              <w:contextualSpacing w:val="0"/>
              <w:jc w:val="right"/>
              <w:rPr>
                <w:color w:val="000000"/>
                <w:sz w:val="18"/>
                <w:szCs w:val="18"/>
              </w:rPr>
            </w:pPr>
            <w:r w:rsidRPr="00D6293C">
              <w:rPr>
                <w:color w:val="000000"/>
                <w:sz w:val="18"/>
                <w:szCs w:val="18"/>
              </w:rPr>
              <w:t>1,056</w:t>
            </w:r>
          </w:p>
        </w:tc>
        <w:tc>
          <w:tcPr>
            <w:tcW w:w="981" w:type="dxa"/>
            <w:tcBorders>
              <w:top w:val="nil"/>
              <w:left w:val="nil"/>
              <w:bottom w:val="nil"/>
              <w:right w:val="nil"/>
            </w:tcBorders>
            <w:shd w:val="clear" w:color="auto" w:fill="auto"/>
            <w:noWrap/>
            <w:vAlign w:val="center"/>
            <w:hideMark/>
          </w:tcPr>
          <w:p w14:paraId="6DAC8D6A" w14:textId="6F39F533" w:rsidR="001922C9" w:rsidRPr="00D6293C" w:rsidRDefault="001922C9" w:rsidP="003F0141">
            <w:pPr>
              <w:spacing w:line="240" w:lineRule="auto"/>
              <w:contextualSpacing w:val="0"/>
              <w:jc w:val="right"/>
              <w:rPr>
                <w:color w:val="000000"/>
                <w:sz w:val="18"/>
                <w:szCs w:val="18"/>
              </w:rPr>
            </w:pPr>
            <w:r w:rsidRPr="00D6293C">
              <w:rPr>
                <w:color w:val="000000"/>
                <w:sz w:val="18"/>
                <w:szCs w:val="18"/>
              </w:rPr>
              <w:t>0.1</w:t>
            </w:r>
          </w:p>
        </w:tc>
      </w:tr>
      <w:tr w:rsidR="001922C9" w:rsidRPr="001922C9" w14:paraId="64C371BD" w14:textId="77777777" w:rsidTr="003F0141">
        <w:trPr>
          <w:trHeight w:val="340"/>
        </w:trPr>
        <w:tc>
          <w:tcPr>
            <w:tcW w:w="3510" w:type="dxa"/>
            <w:tcBorders>
              <w:top w:val="nil"/>
              <w:left w:val="nil"/>
              <w:bottom w:val="nil"/>
              <w:right w:val="nil"/>
            </w:tcBorders>
            <w:shd w:val="clear" w:color="auto" w:fill="auto"/>
            <w:vAlign w:val="center"/>
            <w:hideMark/>
          </w:tcPr>
          <w:p w14:paraId="6CF1DE79" w14:textId="4742BF8B" w:rsidR="001922C9" w:rsidRPr="00D6293C" w:rsidRDefault="001922C9" w:rsidP="001922C9">
            <w:pPr>
              <w:spacing w:line="240" w:lineRule="auto"/>
              <w:contextualSpacing w:val="0"/>
              <w:jc w:val="left"/>
              <w:rPr>
                <w:color w:val="000000"/>
                <w:sz w:val="18"/>
                <w:szCs w:val="18"/>
              </w:rPr>
            </w:pPr>
            <w:r w:rsidRPr="00D6293C">
              <w:rPr>
                <w:color w:val="000000"/>
                <w:sz w:val="18"/>
                <w:szCs w:val="18"/>
              </w:rPr>
              <w:t>Agro processing</w:t>
            </w:r>
          </w:p>
        </w:tc>
        <w:tc>
          <w:tcPr>
            <w:tcW w:w="1266" w:type="dxa"/>
            <w:tcBorders>
              <w:top w:val="nil"/>
              <w:left w:val="single" w:sz="4" w:space="0" w:color="auto"/>
              <w:bottom w:val="nil"/>
              <w:right w:val="nil"/>
            </w:tcBorders>
            <w:shd w:val="clear" w:color="auto" w:fill="auto"/>
            <w:noWrap/>
            <w:vAlign w:val="center"/>
            <w:hideMark/>
          </w:tcPr>
          <w:p w14:paraId="15F0AFA9" w14:textId="6AE44E5E" w:rsidR="001922C9" w:rsidRPr="00D6293C" w:rsidRDefault="001922C9" w:rsidP="003F0141">
            <w:pPr>
              <w:spacing w:line="240" w:lineRule="auto"/>
              <w:contextualSpacing w:val="0"/>
              <w:jc w:val="right"/>
              <w:rPr>
                <w:color w:val="000000"/>
                <w:sz w:val="18"/>
                <w:szCs w:val="18"/>
              </w:rPr>
            </w:pPr>
            <w:r w:rsidRPr="00D6293C">
              <w:rPr>
                <w:color w:val="000000"/>
                <w:sz w:val="18"/>
                <w:szCs w:val="18"/>
              </w:rPr>
              <w:t>4,539</w:t>
            </w:r>
          </w:p>
        </w:tc>
        <w:tc>
          <w:tcPr>
            <w:tcW w:w="1159" w:type="dxa"/>
            <w:tcBorders>
              <w:top w:val="nil"/>
              <w:left w:val="nil"/>
              <w:bottom w:val="nil"/>
              <w:right w:val="nil"/>
            </w:tcBorders>
            <w:shd w:val="clear" w:color="auto" w:fill="auto"/>
            <w:noWrap/>
            <w:vAlign w:val="center"/>
            <w:hideMark/>
          </w:tcPr>
          <w:p w14:paraId="4D8FA8DB" w14:textId="25743160" w:rsidR="001922C9" w:rsidRPr="00D6293C" w:rsidRDefault="001922C9" w:rsidP="003F0141">
            <w:pPr>
              <w:spacing w:line="240" w:lineRule="auto"/>
              <w:contextualSpacing w:val="0"/>
              <w:jc w:val="right"/>
              <w:rPr>
                <w:color w:val="000000"/>
                <w:sz w:val="18"/>
                <w:szCs w:val="18"/>
              </w:rPr>
            </w:pPr>
            <w:r w:rsidRPr="00D6293C">
              <w:rPr>
                <w:color w:val="000000"/>
                <w:sz w:val="18"/>
                <w:szCs w:val="18"/>
              </w:rPr>
              <w:t>0.013</w:t>
            </w:r>
          </w:p>
        </w:tc>
        <w:tc>
          <w:tcPr>
            <w:tcW w:w="1243" w:type="dxa"/>
            <w:tcBorders>
              <w:top w:val="nil"/>
              <w:left w:val="nil"/>
              <w:bottom w:val="nil"/>
              <w:right w:val="nil"/>
            </w:tcBorders>
            <w:shd w:val="clear" w:color="auto" w:fill="auto"/>
            <w:noWrap/>
            <w:vAlign w:val="center"/>
            <w:hideMark/>
          </w:tcPr>
          <w:p w14:paraId="1B4DB7D2" w14:textId="38DEE265" w:rsidR="001922C9" w:rsidRPr="00D6293C" w:rsidRDefault="001922C9" w:rsidP="003F0141">
            <w:pPr>
              <w:spacing w:line="240" w:lineRule="auto"/>
              <w:contextualSpacing w:val="0"/>
              <w:jc w:val="right"/>
              <w:rPr>
                <w:color w:val="000000"/>
                <w:sz w:val="18"/>
                <w:szCs w:val="18"/>
              </w:rPr>
            </w:pPr>
            <w:r w:rsidRPr="00D6293C">
              <w:rPr>
                <w:color w:val="000000"/>
                <w:sz w:val="18"/>
                <w:szCs w:val="18"/>
              </w:rPr>
              <w:t>4,539</w:t>
            </w:r>
          </w:p>
        </w:tc>
        <w:tc>
          <w:tcPr>
            <w:tcW w:w="914" w:type="dxa"/>
            <w:tcBorders>
              <w:top w:val="nil"/>
              <w:left w:val="nil"/>
              <w:bottom w:val="nil"/>
              <w:right w:val="nil"/>
            </w:tcBorders>
            <w:shd w:val="clear" w:color="auto" w:fill="auto"/>
            <w:noWrap/>
            <w:vAlign w:val="center"/>
            <w:hideMark/>
          </w:tcPr>
          <w:p w14:paraId="0F91BA19" w14:textId="6ACA10E4" w:rsidR="001922C9" w:rsidRPr="00D6293C" w:rsidRDefault="001922C9" w:rsidP="003F0141">
            <w:pPr>
              <w:spacing w:line="240" w:lineRule="auto"/>
              <w:contextualSpacing w:val="0"/>
              <w:jc w:val="right"/>
              <w:rPr>
                <w:color w:val="000000"/>
                <w:sz w:val="18"/>
                <w:szCs w:val="18"/>
              </w:rPr>
            </w:pPr>
            <w:r w:rsidRPr="00D6293C">
              <w:rPr>
                <w:color w:val="000000"/>
                <w:sz w:val="18"/>
                <w:szCs w:val="18"/>
              </w:rPr>
              <w:t>0.013</w:t>
            </w:r>
          </w:p>
        </w:tc>
        <w:tc>
          <w:tcPr>
            <w:tcW w:w="980" w:type="dxa"/>
            <w:tcBorders>
              <w:top w:val="nil"/>
              <w:left w:val="nil"/>
              <w:bottom w:val="nil"/>
              <w:right w:val="nil"/>
            </w:tcBorders>
            <w:shd w:val="clear" w:color="auto" w:fill="auto"/>
            <w:noWrap/>
            <w:vAlign w:val="center"/>
            <w:hideMark/>
          </w:tcPr>
          <w:p w14:paraId="649D1D82" w14:textId="6EAADA73" w:rsidR="001922C9" w:rsidRPr="00D6293C" w:rsidRDefault="001922C9" w:rsidP="003F0141">
            <w:pPr>
              <w:spacing w:line="240" w:lineRule="auto"/>
              <w:contextualSpacing w:val="0"/>
              <w:jc w:val="right"/>
              <w:rPr>
                <w:color w:val="000000"/>
                <w:sz w:val="18"/>
                <w:szCs w:val="18"/>
              </w:rPr>
            </w:pPr>
            <w:r w:rsidRPr="00D6293C">
              <w:rPr>
                <w:color w:val="000000"/>
                <w:sz w:val="18"/>
                <w:szCs w:val="18"/>
              </w:rPr>
              <w:t>-</w:t>
            </w:r>
          </w:p>
        </w:tc>
        <w:tc>
          <w:tcPr>
            <w:tcW w:w="981" w:type="dxa"/>
            <w:tcBorders>
              <w:top w:val="nil"/>
              <w:left w:val="nil"/>
              <w:bottom w:val="nil"/>
              <w:right w:val="nil"/>
            </w:tcBorders>
            <w:shd w:val="clear" w:color="auto" w:fill="auto"/>
            <w:noWrap/>
            <w:vAlign w:val="center"/>
            <w:hideMark/>
          </w:tcPr>
          <w:p w14:paraId="7A81E88D" w14:textId="1B8ECFF8" w:rsidR="001922C9" w:rsidRPr="00D6293C" w:rsidRDefault="001922C9" w:rsidP="003F0141">
            <w:pPr>
              <w:spacing w:line="240" w:lineRule="auto"/>
              <w:contextualSpacing w:val="0"/>
              <w:jc w:val="right"/>
              <w:rPr>
                <w:color w:val="000000"/>
                <w:sz w:val="18"/>
                <w:szCs w:val="18"/>
              </w:rPr>
            </w:pPr>
            <w:r w:rsidRPr="00D6293C">
              <w:rPr>
                <w:color w:val="000000"/>
                <w:sz w:val="18"/>
                <w:szCs w:val="18"/>
              </w:rPr>
              <w:t>-</w:t>
            </w:r>
          </w:p>
        </w:tc>
      </w:tr>
      <w:tr w:rsidR="001922C9" w:rsidRPr="001922C9" w14:paraId="2E35C71F" w14:textId="77777777" w:rsidTr="003F0141">
        <w:trPr>
          <w:trHeight w:val="340"/>
        </w:trPr>
        <w:tc>
          <w:tcPr>
            <w:tcW w:w="3510" w:type="dxa"/>
            <w:tcBorders>
              <w:top w:val="nil"/>
              <w:left w:val="nil"/>
              <w:bottom w:val="nil"/>
              <w:right w:val="nil"/>
            </w:tcBorders>
            <w:shd w:val="clear" w:color="auto" w:fill="auto"/>
            <w:vAlign w:val="center"/>
            <w:hideMark/>
          </w:tcPr>
          <w:p w14:paraId="38EF5E11" w14:textId="31E83E2A" w:rsidR="001922C9" w:rsidRPr="00D6293C" w:rsidRDefault="001922C9" w:rsidP="001922C9">
            <w:pPr>
              <w:spacing w:line="240" w:lineRule="auto"/>
              <w:contextualSpacing w:val="0"/>
              <w:jc w:val="left"/>
              <w:rPr>
                <w:color w:val="000000"/>
                <w:sz w:val="18"/>
                <w:szCs w:val="18"/>
              </w:rPr>
            </w:pPr>
            <w:r w:rsidRPr="00D6293C">
              <w:rPr>
                <w:color w:val="000000"/>
                <w:sz w:val="18"/>
                <w:szCs w:val="18"/>
              </w:rPr>
              <w:t>Fish farming</w:t>
            </w:r>
          </w:p>
        </w:tc>
        <w:tc>
          <w:tcPr>
            <w:tcW w:w="1266" w:type="dxa"/>
            <w:tcBorders>
              <w:top w:val="nil"/>
              <w:left w:val="single" w:sz="4" w:space="0" w:color="auto"/>
              <w:bottom w:val="nil"/>
              <w:right w:val="nil"/>
            </w:tcBorders>
            <w:shd w:val="clear" w:color="auto" w:fill="auto"/>
            <w:noWrap/>
            <w:vAlign w:val="center"/>
            <w:hideMark/>
          </w:tcPr>
          <w:p w14:paraId="51F8760F" w14:textId="69237EA0" w:rsidR="001922C9" w:rsidRPr="00D6293C" w:rsidRDefault="001922C9" w:rsidP="003F0141">
            <w:pPr>
              <w:spacing w:line="240" w:lineRule="auto"/>
              <w:contextualSpacing w:val="0"/>
              <w:jc w:val="right"/>
              <w:rPr>
                <w:color w:val="000000"/>
                <w:sz w:val="18"/>
                <w:szCs w:val="18"/>
              </w:rPr>
            </w:pPr>
            <w:r w:rsidRPr="00D6293C">
              <w:rPr>
                <w:color w:val="000000"/>
                <w:sz w:val="18"/>
                <w:szCs w:val="18"/>
              </w:rPr>
              <w:t>4,149</w:t>
            </w:r>
          </w:p>
        </w:tc>
        <w:tc>
          <w:tcPr>
            <w:tcW w:w="1159" w:type="dxa"/>
            <w:tcBorders>
              <w:top w:val="nil"/>
              <w:left w:val="nil"/>
              <w:bottom w:val="nil"/>
              <w:right w:val="nil"/>
            </w:tcBorders>
            <w:shd w:val="clear" w:color="auto" w:fill="auto"/>
            <w:noWrap/>
            <w:vAlign w:val="center"/>
            <w:hideMark/>
          </w:tcPr>
          <w:p w14:paraId="43D60D04" w14:textId="37A20706" w:rsidR="001922C9" w:rsidRPr="00D6293C" w:rsidRDefault="001922C9" w:rsidP="003F0141">
            <w:pPr>
              <w:spacing w:line="240" w:lineRule="auto"/>
              <w:contextualSpacing w:val="0"/>
              <w:jc w:val="right"/>
              <w:rPr>
                <w:color w:val="000000"/>
                <w:sz w:val="18"/>
                <w:szCs w:val="18"/>
              </w:rPr>
            </w:pPr>
            <w:r w:rsidRPr="00D6293C">
              <w:rPr>
                <w:color w:val="000000"/>
                <w:sz w:val="18"/>
                <w:szCs w:val="18"/>
              </w:rPr>
              <w:t>0.012</w:t>
            </w:r>
          </w:p>
        </w:tc>
        <w:tc>
          <w:tcPr>
            <w:tcW w:w="1243" w:type="dxa"/>
            <w:tcBorders>
              <w:top w:val="nil"/>
              <w:left w:val="nil"/>
              <w:bottom w:val="nil"/>
              <w:right w:val="nil"/>
            </w:tcBorders>
            <w:shd w:val="clear" w:color="auto" w:fill="auto"/>
            <w:noWrap/>
            <w:vAlign w:val="center"/>
            <w:hideMark/>
          </w:tcPr>
          <w:p w14:paraId="05BE3E0E" w14:textId="000E6F12" w:rsidR="001922C9" w:rsidRPr="00D6293C" w:rsidRDefault="001922C9" w:rsidP="003F0141">
            <w:pPr>
              <w:spacing w:line="240" w:lineRule="auto"/>
              <w:contextualSpacing w:val="0"/>
              <w:jc w:val="right"/>
              <w:rPr>
                <w:color w:val="000000"/>
                <w:sz w:val="18"/>
                <w:szCs w:val="18"/>
              </w:rPr>
            </w:pPr>
            <w:r w:rsidRPr="00D6293C">
              <w:rPr>
                <w:color w:val="000000"/>
                <w:sz w:val="18"/>
                <w:szCs w:val="18"/>
              </w:rPr>
              <w:t>4,149</w:t>
            </w:r>
          </w:p>
        </w:tc>
        <w:tc>
          <w:tcPr>
            <w:tcW w:w="914" w:type="dxa"/>
            <w:tcBorders>
              <w:top w:val="nil"/>
              <w:left w:val="nil"/>
              <w:bottom w:val="nil"/>
              <w:right w:val="nil"/>
            </w:tcBorders>
            <w:shd w:val="clear" w:color="auto" w:fill="auto"/>
            <w:noWrap/>
            <w:vAlign w:val="center"/>
            <w:hideMark/>
          </w:tcPr>
          <w:p w14:paraId="6E5F4C44" w14:textId="3BF50CEE" w:rsidR="001922C9" w:rsidRPr="00D6293C" w:rsidRDefault="001922C9" w:rsidP="003F0141">
            <w:pPr>
              <w:spacing w:line="240" w:lineRule="auto"/>
              <w:contextualSpacing w:val="0"/>
              <w:jc w:val="right"/>
              <w:rPr>
                <w:color w:val="000000"/>
                <w:sz w:val="18"/>
                <w:szCs w:val="18"/>
              </w:rPr>
            </w:pPr>
            <w:r w:rsidRPr="00D6293C">
              <w:rPr>
                <w:color w:val="000000"/>
                <w:sz w:val="18"/>
                <w:szCs w:val="18"/>
              </w:rPr>
              <w:t>0.012</w:t>
            </w:r>
          </w:p>
        </w:tc>
        <w:tc>
          <w:tcPr>
            <w:tcW w:w="980" w:type="dxa"/>
            <w:tcBorders>
              <w:top w:val="nil"/>
              <w:left w:val="nil"/>
              <w:bottom w:val="nil"/>
              <w:right w:val="nil"/>
            </w:tcBorders>
            <w:shd w:val="clear" w:color="auto" w:fill="auto"/>
            <w:noWrap/>
            <w:vAlign w:val="center"/>
            <w:hideMark/>
          </w:tcPr>
          <w:p w14:paraId="58FDBAD9" w14:textId="20731D12" w:rsidR="001922C9" w:rsidRPr="00D6293C" w:rsidRDefault="001922C9" w:rsidP="003F0141">
            <w:pPr>
              <w:spacing w:line="240" w:lineRule="auto"/>
              <w:contextualSpacing w:val="0"/>
              <w:jc w:val="right"/>
              <w:rPr>
                <w:color w:val="000000"/>
                <w:sz w:val="18"/>
                <w:szCs w:val="18"/>
              </w:rPr>
            </w:pPr>
            <w:r w:rsidRPr="00D6293C">
              <w:rPr>
                <w:color w:val="000000"/>
                <w:sz w:val="18"/>
                <w:szCs w:val="18"/>
              </w:rPr>
              <w:t>-</w:t>
            </w:r>
          </w:p>
        </w:tc>
        <w:tc>
          <w:tcPr>
            <w:tcW w:w="981" w:type="dxa"/>
            <w:tcBorders>
              <w:top w:val="nil"/>
              <w:left w:val="nil"/>
              <w:bottom w:val="nil"/>
              <w:right w:val="nil"/>
            </w:tcBorders>
            <w:shd w:val="clear" w:color="auto" w:fill="auto"/>
            <w:noWrap/>
            <w:vAlign w:val="center"/>
            <w:hideMark/>
          </w:tcPr>
          <w:p w14:paraId="18F5F146" w14:textId="538E52DF" w:rsidR="001922C9" w:rsidRPr="00D6293C" w:rsidRDefault="001922C9" w:rsidP="003F0141">
            <w:pPr>
              <w:spacing w:line="240" w:lineRule="auto"/>
              <w:contextualSpacing w:val="0"/>
              <w:jc w:val="right"/>
              <w:rPr>
                <w:color w:val="000000"/>
                <w:sz w:val="18"/>
                <w:szCs w:val="18"/>
              </w:rPr>
            </w:pPr>
            <w:r w:rsidRPr="00D6293C">
              <w:rPr>
                <w:color w:val="000000"/>
                <w:sz w:val="18"/>
                <w:szCs w:val="18"/>
              </w:rPr>
              <w:t>-</w:t>
            </w:r>
          </w:p>
        </w:tc>
      </w:tr>
      <w:tr w:rsidR="001922C9" w:rsidRPr="001922C9" w14:paraId="2EFE33D5" w14:textId="77777777" w:rsidTr="003F0141">
        <w:trPr>
          <w:trHeight w:val="340"/>
        </w:trPr>
        <w:tc>
          <w:tcPr>
            <w:tcW w:w="3510" w:type="dxa"/>
            <w:tcBorders>
              <w:top w:val="nil"/>
              <w:left w:val="nil"/>
              <w:bottom w:val="nil"/>
              <w:right w:val="nil"/>
            </w:tcBorders>
            <w:shd w:val="clear" w:color="auto" w:fill="auto"/>
            <w:vAlign w:val="center"/>
            <w:hideMark/>
          </w:tcPr>
          <w:p w14:paraId="6024CF0B" w14:textId="0FA40E45" w:rsidR="001922C9" w:rsidRPr="00D6293C" w:rsidRDefault="001922C9" w:rsidP="001922C9">
            <w:pPr>
              <w:spacing w:line="240" w:lineRule="auto"/>
              <w:contextualSpacing w:val="0"/>
              <w:jc w:val="left"/>
              <w:rPr>
                <w:color w:val="000000"/>
                <w:sz w:val="18"/>
                <w:szCs w:val="18"/>
              </w:rPr>
            </w:pPr>
            <w:r w:rsidRPr="00D6293C">
              <w:rPr>
                <w:color w:val="000000"/>
                <w:sz w:val="18"/>
                <w:szCs w:val="18"/>
              </w:rPr>
              <w:t>Livestock/</w:t>
            </w:r>
            <w:r w:rsidR="00007A33">
              <w:rPr>
                <w:color w:val="000000"/>
                <w:sz w:val="18"/>
                <w:szCs w:val="18"/>
              </w:rPr>
              <w:t>p</w:t>
            </w:r>
            <w:r w:rsidRPr="00D6293C">
              <w:rPr>
                <w:color w:val="000000"/>
                <w:sz w:val="18"/>
                <w:szCs w:val="18"/>
              </w:rPr>
              <w:t>astoralism</w:t>
            </w:r>
          </w:p>
        </w:tc>
        <w:tc>
          <w:tcPr>
            <w:tcW w:w="1266" w:type="dxa"/>
            <w:tcBorders>
              <w:top w:val="nil"/>
              <w:left w:val="single" w:sz="4" w:space="0" w:color="auto"/>
              <w:bottom w:val="nil"/>
              <w:right w:val="nil"/>
            </w:tcBorders>
            <w:shd w:val="clear" w:color="auto" w:fill="auto"/>
            <w:noWrap/>
            <w:vAlign w:val="center"/>
            <w:hideMark/>
          </w:tcPr>
          <w:p w14:paraId="7F27D094" w14:textId="38112831" w:rsidR="001922C9" w:rsidRPr="00D6293C" w:rsidRDefault="001922C9" w:rsidP="003F0141">
            <w:pPr>
              <w:spacing w:line="240" w:lineRule="auto"/>
              <w:contextualSpacing w:val="0"/>
              <w:jc w:val="right"/>
              <w:rPr>
                <w:color w:val="000000"/>
                <w:sz w:val="18"/>
                <w:szCs w:val="18"/>
              </w:rPr>
            </w:pPr>
            <w:r w:rsidRPr="00D6293C">
              <w:rPr>
                <w:color w:val="000000"/>
                <w:sz w:val="18"/>
                <w:szCs w:val="18"/>
              </w:rPr>
              <w:t>3,507</w:t>
            </w:r>
          </w:p>
        </w:tc>
        <w:tc>
          <w:tcPr>
            <w:tcW w:w="1159" w:type="dxa"/>
            <w:tcBorders>
              <w:top w:val="nil"/>
              <w:left w:val="nil"/>
              <w:bottom w:val="nil"/>
              <w:right w:val="nil"/>
            </w:tcBorders>
            <w:shd w:val="clear" w:color="auto" w:fill="auto"/>
            <w:noWrap/>
            <w:vAlign w:val="center"/>
            <w:hideMark/>
          </w:tcPr>
          <w:p w14:paraId="3579BA13" w14:textId="761B38C5" w:rsidR="001922C9" w:rsidRPr="00D6293C" w:rsidRDefault="001922C9" w:rsidP="003F0141">
            <w:pPr>
              <w:spacing w:line="240" w:lineRule="auto"/>
              <w:contextualSpacing w:val="0"/>
              <w:jc w:val="right"/>
              <w:rPr>
                <w:color w:val="000000"/>
                <w:sz w:val="18"/>
                <w:szCs w:val="18"/>
              </w:rPr>
            </w:pPr>
            <w:r w:rsidRPr="00D6293C">
              <w:rPr>
                <w:color w:val="000000"/>
                <w:sz w:val="18"/>
                <w:szCs w:val="18"/>
              </w:rPr>
              <w:t>0.010</w:t>
            </w:r>
          </w:p>
        </w:tc>
        <w:tc>
          <w:tcPr>
            <w:tcW w:w="1243" w:type="dxa"/>
            <w:tcBorders>
              <w:top w:val="nil"/>
              <w:left w:val="nil"/>
              <w:bottom w:val="nil"/>
              <w:right w:val="nil"/>
            </w:tcBorders>
            <w:shd w:val="clear" w:color="auto" w:fill="auto"/>
            <w:noWrap/>
            <w:vAlign w:val="center"/>
            <w:hideMark/>
          </w:tcPr>
          <w:p w14:paraId="19E42B91" w14:textId="61460C06" w:rsidR="001922C9" w:rsidRPr="00D6293C" w:rsidRDefault="001922C9" w:rsidP="003F0141">
            <w:pPr>
              <w:spacing w:line="240" w:lineRule="auto"/>
              <w:contextualSpacing w:val="0"/>
              <w:jc w:val="right"/>
              <w:rPr>
                <w:color w:val="000000"/>
                <w:sz w:val="18"/>
                <w:szCs w:val="18"/>
              </w:rPr>
            </w:pPr>
            <w:r w:rsidRPr="00D6293C">
              <w:rPr>
                <w:color w:val="000000"/>
                <w:sz w:val="18"/>
                <w:szCs w:val="18"/>
              </w:rPr>
              <w:t>3,507</w:t>
            </w:r>
          </w:p>
        </w:tc>
        <w:tc>
          <w:tcPr>
            <w:tcW w:w="914" w:type="dxa"/>
            <w:tcBorders>
              <w:top w:val="nil"/>
              <w:left w:val="nil"/>
              <w:bottom w:val="nil"/>
              <w:right w:val="nil"/>
            </w:tcBorders>
            <w:shd w:val="clear" w:color="auto" w:fill="auto"/>
            <w:noWrap/>
            <w:vAlign w:val="center"/>
            <w:hideMark/>
          </w:tcPr>
          <w:p w14:paraId="61682A26" w14:textId="0727FDCF" w:rsidR="001922C9" w:rsidRPr="00D6293C" w:rsidRDefault="001922C9" w:rsidP="003F0141">
            <w:pPr>
              <w:spacing w:line="240" w:lineRule="auto"/>
              <w:contextualSpacing w:val="0"/>
              <w:jc w:val="right"/>
              <w:rPr>
                <w:color w:val="000000"/>
                <w:sz w:val="18"/>
                <w:szCs w:val="18"/>
              </w:rPr>
            </w:pPr>
            <w:r w:rsidRPr="00D6293C">
              <w:rPr>
                <w:color w:val="000000"/>
                <w:sz w:val="18"/>
                <w:szCs w:val="18"/>
              </w:rPr>
              <w:t>0.010</w:t>
            </w:r>
          </w:p>
        </w:tc>
        <w:tc>
          <w:tcPr>
            <w:tcW w:w="980" w:type="dxa"/>
            <w:tcBorders>
              <w:top w:val="nil"/>
              <w:left w:val="nil"/>
              <w:bottom w:val="nil"/>
              <w:right w:val="nil"/>
            </w:tcBorders>
            <w:shd w:val="clear" w:color="auto" w:fill="auto"/>
            <w:noWrap/>
            <w:vAlign w:val="center"/>
            <w:hideMark/>
          </w:tcPr>
          <w:p w14:paraId="7425D0CA" w14:textId="5CA17160" w:rsidR="001922C9" w:rsidRPr="00D6293C" w:rsidRDefault="001922C9" w:rsidP="003F0141">
            <w:pPr>
              <w:spacing w:line="240" w:lineRule="auto"/>
              <w:contextualSpacing w:val="0"/>
              <w:jc w:val="right"/>
              <w:rPr>
                <w:color w:val="000000"/>
                <w:sz w:val="18"/>
                <w:szCs w:val="18"/>
              </w:rPr>
            </w:pPr>
            <w:r w:rsidRPr="00D6293C">
              <w:rPr>
                <w:color w:val="000000"/>
                <w:sz w:val="18"/>
                <w:szCs w:val="18"/>
              </w:rPr>
              <w:t>-</w:t>
            </w:r>
          </w:p>
        </w:tc>
        <w:tc>
          <w:tcPr>
            <w:tcW w:w="981" w:type="dxa"/>
            <w:tcBorders>
              <w:top w:val="nil"/>
              <w:left w:val="nil"/>
              <w:bottom w:val="nil"/>
              <w:right w:val="nil"/>
            </w:tcBorders>
            <w:shd w:val="clear" w:color="auto" w:fill="auto"/>
            <w:noWrap/>
            <w:vAlign w:val="center"/>
            <w:hideMark/>
          </w:tcPr>
          <w:p w14:paraId="69C7BF2E" w14:textId="39F599B6" w:rsidR="001922C9" w:rsidRPr="00D6293C" w:rsidRDefault="001922C9" w:rsidP="003F0141">
            <w:pPr>
              <w:spacing w:line="240" w:lineRule="auto"/>
              <w:contextualSpacing w:val="0"/>
              <w:jc w:val="right"/>
              <w:rPr>
                <w:color w:val="000000"/>
                <w:sz w:val="18"/>
                <w:szCs w:val="18"/>
              </w:rPr>
            </w:pPr>
            <w:r w:rsidRPr="00D6293C">
              <w:rPr>
                <w:color w:val="000000"/>
                <w:sz w:val="18"/>
                <w:szCs w:val="18"/>
              </w:rPr>
              <w:t>-</w:t>
            </w:r>
          </w:p>
        </w:tc>
      </w:tr>
      <w:tr w:rsidR="001922C9" w:rsidRPr="001922C9" w14:paraId="5DBCDCC5" w14:textId="77777777" w:rsidTr="003F0141">
        <w:trPr>
          <w:trHeight w:val="340"/>
        </w:trPr>
        <w:tc>
          <w:tcPr>
            <w:tcW w:w="3510" w:type="dxa"/>
            <w:tcBorders>
              <w:top w:val="nil"/>
              <w:left w:val="nil"/>
              <w:bottom w:val="nil"/>
              <w:right w:val="nil"/>
            </w:tcBorders>
            <w:shd w:val="clear" w:color="auto" w:fill="auto"/>
            <w:vAlign w:val="center"/>
            <w:hideMark/>
          </w:tcPr>
          <w:p w14:paraId="69175056" w14:textId="2B4FBDE9" w:rsidR="001922C9" w:rsidRPr="00D6293C" w:rsidRDefault="001922C9" w:rsidP="001922C9">
            <w:pPr>
              <w:spacing w:line="240" w:lineRule="auto"/>
              <w:contextualSpacing w:val="0"/>
              <w:jc w:val="left"/>
              <w:rPr>
                <w:color w:val="000000"/>
                <w:sz w:val="18"/>
                <w:szCs w:val="18"/>
              </w:rPr>
            </w:pPr>
            <w:r w:rsidRPr="00D6293C">
              <w:rPr>
                <w:color w:val="000000"/>
                <w:sz w:val="18"/>
                <w:szCs w:val="18"/>
              </w:rPr>
              <w:t>Seaweed farming</w:t>
            </w:r>
          </w:p>
        </w:tc>
        <w:tc>
          <w:tcPr>
            <w:tcW w:w="1266" w:type="dxa"/>
            <w:tcBorders>
              <w:top w:val="nil"/>
              <w:left w:val="single" w:sz="4" w:space="0" w:color="auto"/>
              <w:bottom w:val="nil"/>
              <w:right w:val="nil"/>
            </w:tcBorders>
            <w:shd w:val="clear" w:color="auto" w:fill="auto"/>
            <w:noWrap/>
            <w:vAlign w:val="center"/>
            <w:hideMark/>
          </w:tcPr>
          <w:p w14:paraId="3E71EAE7" w14:textId="690082F9" w:rsidR="001922C9" w:rsidRPr="00D6293C" w:rsidRDefault="001922C9" w:rsidP="003F0141">
            <w:pPr>
              <w:spacing w:line="240" w:lineRule="auto"/>
              <w:contextualSpacing w:val="0"/>
              <w:jc w:val="right"/>
              <w:rPr>
                <w:color w:val="000000"/>
                <w:sz w:val="18"/>
                <w:szCs w:val="18"/>
              </w:rPr>
            </w:pPr>
            <w:r w:rsidRPr="00D6293C">
              <w:rPr>
                <w:color w:val="000000"/>
                <w:sz w:val="18"/>
                <w:szCs w:val="18"/>
              </w:rPr>
              <w:t>2,116</w:t>
            </w:r>
          </w:p>
        </w:tc>
        <w:tc>
          <w:tcPr>
            <w:tcW w:w="1159" w:type="dxa"/>
            <w:tcBorders>
              <w:top w:val="nil"/>
              <w:left w:val="nil"/>
              <w:bottom w:val="nil"/>
              <w:right w:val="nil"/>
            </w:tcBorders>
            <w:shd w:val="clear" w:color="auto" w:fill="auto"/>
            <w:noWrap/>
            <w:vAlign w:val="center"/>
            <w:hideMark/>
          </w:tcPr>
          <w:p w14:paraId="334D7CD5" w14:textId="4348AB98" w:rsidR="001922C9" w:rsidRPr="00D6293C" w:rsidRDefault="001922C9" w:rsidP="003F0141">
            <w:pPr>
              <w:spacing w:line="240" w:lineRule="auto"/>
              <w:contextualSpacing w:val="0"/>
              <w:jc w:val="right"/>
              <w:rPr>
                <w:color w:val="000000"/>
                <w:sz w:val="18"/>
                <w:szCs w:val="18"/>
              </w:rPr>
            </w:pPr>
            <w:r w:rsidRPr="00D6293C">
              <w:rPr>
                <w:color w:val="000000"/>
                <w:sz w:val="18"/>
                <w:szCs w:val="18"/>
              </w:rPr>
              <w:t>0.006</w:t>
            </w:r>
          </w:p>
        </w:tc>
        <w:tc>
          <w:tcPr>
            <w:tcW w:w="1243" w:type="dxa"/>
            <w:tcBorders>
              <w:top w:val="nil"/>
              <w:left w:val="nil"/>
              <w:bottom w:val="nil"/>
              <w:right w:val="nil"/>
            </w:tcBorders>
            <w:shd w:val="clear" w:color="auto" w:fill="auto"/>
            <w:noWrap/>
            <w:vAlign w:val="center"/>
            <w:hideMark/>
          </w:tcPr>
          <w:p w14:paraId="3EBAB3D9" w14:textId="4EC101CE" w:rsidR="001922C9" w:rsidRPr="00D6293C" w:rsidRDefault="001922C9" w:rsidP="003F0141">
            <w:pPr>
              <w:spacing w:line="240" w:lineRule="auto"/>
              <w:contextualSpacing w:val="0"/>
              <w:jc w:val="right"/>
              <w:rPr>
                <w:color w:val="000000"/>
                <w:sz w:val="18"/>
                <w:szCs w:val="18"/>
              </w:rPr>
            </w:pPr>
            <w:r w:rsidRPr="00D6293C">
              <w:rPr>
                <w:color w:val="000000"/>
                <w:sz w:val="18"/>
                <w:szCs w:val="18"/>
              </w:rPr>
              <w:t>-</w:t>
            </w:r>
          </w:p>
        </w:tc>
        <w:tc>
          <w:tcPr>
            <w:tcW w:w="914" w:type="dxa"/>
            <w:tcBorders>
              <w:top w:val="nil"/>
              <w:left w:val="nil"/>
              <w:bottom w:val="nil"/>
              <w:right w:val="nil"/>
            </w:tcBorders>
            <w:shd w:val="clear" w:color="auto" w:fill="auto"/>
            <w:noWrap/>
            <w:vAlign w:val="center"/>
            <w:hideMark/>
          </w:tcPr>
          <w:p w14:paraId="1B9255B7" w14:textId="08BC49BD" w:rsidR="001922C9" w:rsidRPr="00D6293C" w:rsidRDefault="001922C9" w:rsidP="003F0141">
            <w:pPr>
              <w:spacing w:line="240" w:lineRule="auto"/>
              <w:contextualSpacing w:val="0"/>
              <w:jc w:val="right"/>
              <w:rPr>
                <w:color w:val="000000"/>
                <w:sz w:val="18"/>
                <w:szCs w:val="18"/>
              </w:rPr>
            </w:pPr>
            <w:r w:rsidRPr="00D6293C">
              <w:rPr>
                <w:color w:val="000000"/>
                <w:sz w:val="18"/>
                <w:szCs w:val="18"/>
              </w:rPr>
              <w:t>-</w:t>
            </w:r>
          </w:p>
        </w:tc>
        <w:tc>
          <w:tcPr>
            <w:tcW w:w="980" w:type="dxa"/>
            <w:tcBorders>
              <w:top w:val="nil"/>
              <w:left w:val="nil"/>
              <w:bottom w:val="nil"/>
              <w:right w:val="nil"/>
            </w:tcBorders>
            <w:shd w:val="clear" w:color="auto" w:fill="auto"/>
            <w:noWrap/>
            <w:vAlign w:val="center"/>
            <w:hideMark/>
          </w:tcPr>
          <w:p w14:paraId="57EF04B4" w14:textId="67520FF5" w:rsidR="001922C9" w:rsidRPr="00D6293C" w:rsidRDefault="001922C9" w:rsidP="003F0141">
            <w:pPr>
              <w:spacing w:line="240" w:lineRule="auto"/>
              <w:contextualSpacing w:val="0"/>
              <w:jc w:val="right"/>
              <w:rPr>
                <w:color w:val="000000"/>
                <w:sz w:val="18"/>
                <w:szCs w:val="18"/>
              </w:rPr>
            </w:pPr>
            <w:r w:rsidRPr="00D6293C">
              <w:rPr>
                <w:color w:val="000000"/>
                <w:sz w:val="18"/>
                <w:szCs w:val="18"/>
              </w:rPr>
              <w:t>2,116</w:t>
            </w:r>
          </w:p>
        </w:tc>
        <w:tc>
          <w:tcPr>
            <w:tcW w:w="981" w:type="dxa"/>
            <w:tcBorders>
              <w:top w:val="nil"/>
              <w:left w:val="nil"/>
              <w:bottom w:val="nil"/>
              <w:right w:val="nil"/>
            </w:tcBorders>
            <w:shd w:val="clear" w:color="auto" w:fill="auto"/>
            <w:noWrap/>
            <w:vAlign w:val="center"/>
            <w:hideMark/>
          </w:tcPr>
          <w:p w14:paraId="07944237" w14:textId="42256C8E" w:rsidR="001922C9" w:rsidRPr="00D6293C" w:rsidRDefault="001922C9" w:rsidP="003F0141">
            <w:pPr>
              <w:spacing w:line="240" w:lineRule="auto"/>
              <w:contextualSpacing w:val="0"/>
              <w:jc w:val="right"/>
              <w:rPr>
                <w:color w:val="000000"/>
                <w:sz w:val="18"/>
                <w:szCs w:val="18"/>
              </w:rPr>
            </w:pPr>
            <w:r w:rsidRPr="00D6293C">
              <w:rPr>
                <w:color w:val="000000"/>
                <w:sz w:val="18"/>
                <w:szCs w:val="18"/>
              </w:rPr>
              <w:t>0.224</w:t>
            </w:r>
          </w:p>
        </w:tc>
      </w:tr>
      <w:tr w:rsidR="001922C9" w:rsidRPr="001922C9" w14:paraId="2812A0A2" w14:textId="77777777" w:rsidTr="003F0141">
        <w:trPr>
          <w:trHeight w:val="340"/>
        </w:trPr>
        <w:tc>
          <w:tcPr>
            <w:tcW w:w="3510" w:type="dxa"/>
            <w:tcBorders>
              <w:top w:val="nil"/>
              <w:left w:val="nil"/>
              <w:bottom w:val="single" w:sz="4" w:space="0" w:color="auto"/>
              <w:right w:val="nil"/>
            </w:tcBorders>
            <w:shd w:val="clear" w:color="auto" w:fill="auto"/>
            <w:vAlign w:val="center"/>
            <w:hideMark/>
          </w:tcPr>
          <w:p w14:paraId="316E5286" w14:textId="7368BA3A" w:rsidR="001922C9" w:rsidRPr="00D6293C" w:rsidRDefault="001922C9" w:rsidP="001922C9">
            <w:pPr>
              <w:spacing w:line="240" w:lineRule="auto"/>
              <w:contextualSpacing w:val="0"/>
              <w:jc w:val="left"/>
              <w:rPr>
                <w:color w:val="000000"/>
                <w:sz w:val="18"/>
                <w:szCs w:val="18"/>
              </w:rPr>
            </w:pPr>
            <w:r w:rsidRPr="00D6293C">
              <w:rPr>
                <w:color w:val="000000"/>
                <w:sz w:val="18"/>
                <w:szCs w:val="18"/>
              </w:rPr>
              <w:t>Beekeeping</w:t>
            </w:r>
          </w:p>
        </w:tc>
        <w:tc>
          <w:tcPr>
            <w:tcW w:w="1266" w:type="dxa"/>
            <w:tcBorders>
              <w:top w:val="nil"/>
              <w:left w:val="single" w:sz="4" w:space="0" w:color="auto"/>
              <w:bottom w:val="single" w:sz="4" w:space="0" w:color="auto"/>
              <w:right w:val="nil"/>
            </w:tcBorders>
            <w:shd w:val="clear" w:color="auto" w:fill="auto"/>
            <w:noWrap/>
            <w:vAlign w:val="center"/>
            <w:hideMark/>
          </w:tcPr>
          <w:p w14:paraId="7060BA2A" w14:textId="2D66FAAC" w:rsidR="001922C9" w:rsidRPr="00D6293C" w:rsidRDefault="001922C9" w:rsidP="003F0141">
            <w:pPr>
              <w:spacing w:line="240" w:lineRule="auto"/>
              <w:contextualSpacing w:val="0"/>
              <w:jc w:val="right"/>
              <w:rPr>
                <w:color w:val="000000"/>
                <w:sz w:val="18"/>
                <w:szCs w:val="18"/>
              </w:rPr>
            </w:pPr>
            <w:r w:rsidRPr="00D6293C">
              <w:rPr>
                <w:color w:val="000000"/>
                <w:sz w:val="18"/>
                <w:szCs w:val="18"/>
              </w:rPr>
              <w:t>1,131</w:t>
            </w:r>
          </w:p>
        </w:tc>
        <w:tc>
          <w:tcPr>
            <w:tcW w:w="1159" w:type="dxa"/>
            <w:tcBorders>
              <w:top w:val="nil"/>
              <w:left w:val="nil"/>
              <w:bottom w:val="single" w:sz="4" w:space="0" w:color="auto"/>
              <w:right w:val="nil"/>
            </w:tcBorders>
            <w:shd w:val="clear" w:color="auto" w:fill="auto"/>
            <w:noWrap/>
            <w:vAlign w:val="center"/>
            <w:hideMark/>
          </w:tcPr>
          <w:p w14:paraId="49D2D525" w14:textId="66958897" w:rsidR="001922C9" w:rsidRPr="00D6293C" w:rsidRDefault="001922C9" w:rsidP="003F0141">
            <w:pPr>
              <w:spacing w:line="240" w:lineRule="auto"/>
              <w:contextualSpacing w:val="0"/>
              <w:jc w:val="right"/>
              <w:rPr>
                <w:color w:val="000000"/>
                <w:sz w:val="18"/>
                <w:szCs w:val="18"/>
              </w:rPr>
            </w:pPr>
            <w:r w:rsidRPr="00D6293C">
              <w:rPr>
                <w:color w:val="000000"/>
                <w:sz w:val="18"/>
                <w:szCs w:val="18"/>
              </w:rPr>
              <w:t>0.003</w:t>
            </w:r>
          </w:p>
        </w:tc>
        <w:tc>
          <w:tcPr>
            <w:tcW w:w="1243" w:type="dxa"/>
            <w:tcBorders>
              <w:top w:val="nil"/>
              <w:left w:val="nil"/>
              <w:bottom w:val="single" w:sz="4" w:space="0" w:color="auto"/>
              <w:right w:val="nil"/>
            </w:tcBorders>
            <w:shd w:val="clear" w:color="auto" w:fill="auto"/>
            <w:noWrap/>
            <w:vAlign w:val="center"/>
            <w:hideMark/>
          </w:tcPr>
          <w:p w14:paraId="3847B7E5" w14:textId="25B4244B" w:rsidR="001922C9" w:rsidRPr="00D6293C" w:rsidRDefault="001922C9" w:rsidP="003F0141">
            <w:pPr>
              <w:spacing w:line="240" w:lineRule="auto"/>
              <w:contextualSpacing w:val="0"/>
              <w:jc w:val="right"/>
              <w:rPr>
                <w:color w:val="000000"/>
                <w:sz w:val="18"/>
                <w:szCs w:val="18"/>
              </w:rPr>
            </w:pPr>
            <w:r w:rsidRPr="00D6293C">
              <w:rPr>
                <w:color w:val="000000"/>
                <w:sz w:val="18"/>
                <w:szCs w:val="18"/>
              </w:rPr>
              <w:t>1,131</w:t>
            </w:r>
          </w:p>
        </w:tc>
        <w:tc>
          <w:tcPr>
            <w:tcW w:w="914" w:type="dxa"/>
            <w:tcBorders>
              <w:top w:val="nil"/>
              <w:left w:val="nil"/>
              <w:bottom w:val="single" w:sz="4" w:space="0" w:color="auto"/>
              <w:right w:val="nil"/>
            </w:tcBorders>
            <w:shd w:val="clear" w:color="auto" w:fill="auto"/>
            <w:noWrap/>
            <w:vAlign w:val="center"/>
            <w:hideMark/>
          </w:tcPr>
          <w:p w14:paraId="3266A2A9" w14:textId="77704881" w:rsidR="001922C9" w:rsidRPr="00D6293C" w:rsidRDefault="001922C9" w:rsidP="003F0141">
            <w:pPr>
              <w:spacing w:line="240" w:lineRule="auto"/>
              <w:contextualSpacing w:val="0"/>
              <w:jc w:val="right"/>
              <w:rPr>
                <w:color w:val="000000"/>
                <w:sz w:val="18"/>
                <w:szCs w:val="18"/>
              </w:rPr>
            </w:pPr>
            <w:r w:rsidRPr="00D6293C">
              <w:rPr>
                <w:color w:val="000000"/>
                <w:sz w:val="18"/>
                <w:szCs w:val="18"/>
              </w:rPr>
              <w:t>0.003</w:t>
            </w:r>
          </w:p>
        </w:tc>
        <w:tc>
          <w:tcPr>
            <w:tcW w:w="980" w:type="dxa"/>
            <w:tcBorders>
              <w:top w:val="nil"/>
              <w:left w:val="nil"/>
              <w:bottom w:val="single" w:sz="4" w:space="0" w:color="auto"/>
              <w:right w:val="nil"/>
            </w:tcBorders>
            <w:shd w:val="clear" w:color="auto" w:fill="auto"/>
            <w:noWrap/>
            <w:vAlign w:val="center"/>
            <w:hideMark/>
          </w:tcPr>
          <w:p w14:paraId="267AF866" w14:textId="23500E72" w:rsidR="001922C9" w:rsidRPr="00D6293C" w:rsidRDefault="001922C9" w:rsidP="003F0141">
            <w:pPr>
              <w:spacing w:line="240" w:lineRule="auto"/>
              <w:contextualSpacing w:val="0"/>
              <w:jc w:val="right"/>
              <w:rPr>
                <w:color w:val="000000"/>
                <w:sz w:val="18"/>
                <w:szCs w:val="18"/>
              </w:rPr>
            </w:pPr>
            <w:r w:rsidRPr="00D6293C">
              <w:rPr>
                <w:color w:val="000000"/>
                <w:sz w:val="18"/>
                <w:szCs w:val="18"/>
              </w:rPr>
              <w:t>-</w:t>
            </w:r>
          </w:p>
        </w:tc>
        <w:tc>
          <w:tcPr>
            <w:tcW w:w="981" w:type="dxa"/>
            <w:tcBorders>
              <w:top w:val="nil"/>
              <w:left w:val="nil"/>
              <w:bottom w:val="single" w:sz="4" w:space="0" w:color="auto"/>
              <w:right w:val="nil"/>
            </w:tcBorders>
            <w:shd w:val="clear" w:color="auto" w:fill="auto"/>
            <w:noWrap/>
            <w:vAlign w:val="center"/>
            <w:hideMark/>
          </w:tcPr>
          <w:p w14:paraId="56983413" w14:textId="278B3ADF" w:rsidR="001922C9" w:rsidRPr="00D6293C" w:rsidRDefault="001922C9" w:rsidP="003F0141">
            <w:pPr>
              <w:spacing w:line="240" w:lineRule="auto"/>
              <w:contextualSpacing w:val="0"/>
              <w:jc w:val="right"/>
              <w:rPr>
                <w:color w:val="000000"/>
                <w:sz w:val="18"/>
                <w:szCs w:val="18"/>
              </w:rPr>
            </w:pPr>
            <w:r w:rsidRPr="00D6293C">
              <w:rPr>
                <w:color w:val="000000"/>
                <w:sz w:val="18"/>
                <w:szCs w:val="18"/>
              </w:rPr>
              <w:t>-</w:t>
            </w:r>
          </w:p>
        </w:tc>
      </w:tr>
      <w:tr w:rsidR="001922C9" w:rsidRPr="001922C9" w14:paraId="1346A224" w14:textId="77777777" w:rsidTr="00DB582F">
        <w:trPr>
          <w:trHeight w:val="340"/>
        </w:trPr>
        <w:tc>
          <w:tcPr>
            <w:tcW w:w="3510" w:type="dxa"/>
            <w:tcBorders>
              <w:top w:val="single" w:sz="4" w:space="0" w:color="auto"/>
              <w:left w:val="nil"/>
              <w:bottom w:val="single" w:sz="4" w:space="0" w:color="auto"/>
              <w:right w:val="nil"/>
            </w:tcBorders>
            <w:shd w:val="clear" w:color="auto" w:fill="E2EFD9" w:themeFill="accent6" w:themeFillTint="33"/>
            <w:vAlign w:val="center"/>
            <w:hideMark/>
          </w:tcPr>
          <w:p w14:paraId="6DA9379F" w14:textId="5ED90574" w:rsidR="001922C9" w:rsidRPr="00D6293C" w:rsidRDefault="001922C9" w:rsidP="001922C9">
            <w:pPr>
              <w:spacing w:line="240" w:lineRule="auto"/>
              <w:contextualSpacing w:val="0"/>
              <w:jc w:val="left"/>
              <w:rPr>
                <w:b/>
                <w:bCs/>
                <w:color w:val="000000"/>
                <w:sz w:val="18"/>
                <w:szCs w:val="18"/>
              </w:rPr>
            </w:pPr>
            <w:r w:rsidRPr="00D6293C">
              <w:rPr>
                <w:b/>
                <w:bCs/>
                <w:color w:val="000000"/>
                <w:sz w:val="18"/>
                <w:szCs w:val="18"/>
              </w:rPr>
              <w:t>Total</w:t>
            </w:r>
          </w:p>
        </w:tc>
        <w:tc>
          <w:tcPr>
            <w:tcW w:w="1266" w:type="dxa"/>
            <w:tcBorders>
              <w:top w:val="single" w:sz="4" w:space="0" w:color="auto"/>
              <w:left w:val="single" w:sz="4" w:space="0" w:color="auto"/>
              <w:bottom w:val="single" w:sz="4" w:space="0" w:color="auto"/>
              <w:right w:val="nil"/>
            </w:tcBorders>
            <w:shd w:val="clear" w:color="auto" w:fill="E2EFD9" w:themeFill="accent6" w:themeFillTint="33"/>
            <w:noWrap/>
            <w:vAlign w:val="center"/>
            <w:hideMark/>
          </w:tcPr>
          <w:p w14:paraId="0FC7C7A0" w14:textId="73343204" w:rsidR="001922C9" w:rsidRPr="00D6293C" w:rsidRDefault="001922C9" w:rsidP="001922C9">
            <w:pPr>
              <w:spacing w:line="240" w:lineRule="auto"/>
              <w:contextualSpacing w:val="0"/>
              <w:jc w:val="center"/>
              <w:rPr>
                <w:b/>
                <w:bCs/>
                <w:color w:val="000000"/>
                <w:sz w:val="18"/>
                <w:szCs w:val="18"/>
              </w:rPr>
            </w:pPr>
            <w:r w:rsidRPr="00D6293C">
              <w:rPr>
                <w:b/>
                <w:bCs/>
                <w:color w:val="000000"/>
                <w:sz w:val="18"/>
                <w:szCs w:val="18"/>
              </w:rPr>
              <w:t>35,406,517</w:t>
            </w:r>
          </w:p>
        </w:tc>
        <w:tc>
          <w:tcPr>
            <w:tcW w:w="1159" w:type="dxa"/>
            <w:tcBorders>
              <w:top w:val="single" w:sz="4" w:space="0" w:color="auto"/>
              <w:left w:val="nil"/>
              <w:bottom w:val="single" w:sz="4" w:space="0" w:color="auto"/>
              <w:right w:val="nil"/>
            </w:tcBorders>
            <w:shd w:val="clear" w:color="auto" w:fill="E2EFD9" w:themeFill="accent6" w:themeFillTint="33"/>
            <w:noWrap/>
            <w:vAlign w:val="center"/>
            <w:hideMark/>
          </w:tcPr>
          <w:p w14:paraId="7E41F826" w14:textId="3A3129B7" w:rsidR="001922C9" w:rsidRPr="00D6293C" w:rsidRDefault="001922C9" w:rsidP="001922C9">
            <w:pPr>
              <w:spacing w:line="240" w:lineRule="auto"/>
              <w:contextualSpacing w:val="0"/>
              <w:jc w:val="center"/>
              <w:rPr>
                <w:b/>
                <w:bCs/>
                <w:color w:val="000000"/>
                <w:sz w:val="18"/>
                <w:szCs w:val="18"/>
              </w:rPr>
            </w:pPr>
            <w:r w:rsidRPr="00D6293C">
              <w:rPr>
                <w:b/>
                <w:bCs/>
                <w:color w:val="000000"/>
                <w:sz w:val="18"/>
                <w:szCs w:val="18"/>
              </w:rPr>
              <w:t>100.0</w:t>
            </w:r>
          </w:p>
        </w:tc>
        <w:tc>
          <w:tcPr>
            <w:tcW w:w="1243" w:type="dxa"/>
            <w:tcBorders>
              <w:top w:val="single" w:sz="4" w:space="0" w:color="auto"/>
              <w:left w:val="nil"/>
              <w:bottom w:val="single" w:sz="4" w:space="0" w:color="auto"/>
              <w:right w:val="nil"/>
            </w:tcBorders>
            <w:shd w:val="clear" w:color="auto" w:fill="E2EFD9" w:themeFill="accent6" w:themeFillTint="33"/>
            <w:noWrap/>
            <w:vAlign w:val="center"/>
            <w:hideMark/>
          </w:tcPr>
          <w:p w14:paraId="43D9BE65" w14:textId="02B2805C" w:rsidR="001922C9" w:rsidRPr="00D6293C" w:rsidRDefault="001922C9" w:rsidP="001922C9">
            <w:pPr>
              <w:spacing w:line="240" w:lineRule="auto"/>
              <w:contextualSpacing w:val="0"/>
              <w:jc w:val="center"/>
              <w:rPr>
                <w:b/>
                <w:bCs/>
                <w:color w:val="000000"/>
                <w:sz w:val="18"/>
                <w:szCs w:val="18"/>
              </w:rPr>
            </w:pPr>
            <w:r w:rsidRPr="00D6293C">
              <w:rPr>
                <w:b/>
                <w:bCs/>
                <w:color w:val="000000"/>
                <w:sz w:val="18"/>
                <w:szCs w:val="18"/>
              </w:rPr>
              <w:t>34,462,048</w:t>
            </w:r>
          </w:p>
        </w:tc>
        <w:tc>
          <w:tcPr>
            <w:tcW w:w="914" w:type="dxa"/>
            <w:tcBorders>
              <w:top w:val="single" w:sz="4" w:space="0" w:color="auto"/>
              <w:left w:val="nil"/>
              <w:bottom w:val="single" w:sz="4" w:space="0" w:color="auto"/>
              <w:right w:val="nil"/>
            </w:tcBorders>
            <w:shd w:val="clear" w:color="auto" w:fill="E2EFD9" w:themeFill="accent6" w:themeFillTint="33"/>
            <w:noWrap/>
            <w:vAlign w:val="center"/>
            <w:hideMark/>
          </w:tcPr>
          <w:p w14:paraId="1369F472" w14:textId="45C658CB" w:rsidR="001922C9" w:rsidRPr="00D6293C" w:rsidRDefault="001922C9" w:rsidP="001922C9">
            <w:pPr>
              <w:spacing w:line="240" w:lineRule="auto"/>
              <w:contextualSpacing w:val="0"/>
              <w:jc w:val="center"/>
              <w:rPr>
                <w:b/>
                <w:bCs/>
                <w:color w:val="000000"/>
                <w:sz w:val="18"/>
                <w:szCs w:val="18"/>
              </w:rPr>
            </w:pPr>
            <w:r w:rsidRPr="00D6293C">
              <w:rPr>
                <w:b/>
                <w:bCs/>
                <w:color w:val="000000"/>
                <w:sz w:val="18"/>
                <w:szCs w:val="18"/>
              </w:rPr>
              <w:t>100.0</w:t>
            </w:r>
          </w:p>
        </w:tc>
        <w:tc>
          <w:tcPr>
            <w:tcW w:w="980" w:type="dxa"/>
            <w:tcBorders>
              <w:top w:val="single" w:sz="4" w:space="0" w:color="auto"/>
              <w:left w:val="nil"/>
              <w:bottom w:val="single" w:sz="4" w:space="0" w:color="auto"/>
              <w:right w:val="nil"/>
            </w:tcBorders>
            <w:shd w:val="clear" w:color="auto" w:fill="E2EFD9" w:themeFill="accent6" w:themeFillTint="33"/>
            <w:noWrap/>
            <w:vAlign w:val="center"/>
            <w:hideMark/>
          </w:tcPr>
          <w:p w14:paraId="62D38564" w14:textId="468A2CA1" w:rsidR="001922C9" w:rsidRPr="00D6293C" w:rsidRDefault="001922C9" w:rsidP="001922C9">
            <w:pPr>
              <w:spacing w:line="240" w:lineRule="auto"/>
              <w:contextualSpacing w:val="0"/>
              <w:jc w:val="center"/>
              <w:rPr>
                <w:b/>
                <w:bCs/>
                <w:color w:val="000000"/>
                <w:sz w:val="18"/>
                <w:szCs w:val="18"/>
              </w:rPr>
            </w:pPr>
            <w:r w:rsidRPr="00D6293C">
              <w:rPr>
                <w:b/>
                <w:bCs/>
                <w:color w:val="000000"/>
                <w:sz w:val="18"/>
                <w:szCs w:val="18"/>
              </w:rPr>
              <w:t>944,469</w:t>
            </w:r>
          </w:p>
        </w:tc>
        <w:tc>
          <w:tcPr>
            <w:tcW w:w="981" w:type="dxa"/>
            <w:tcBorders>
              <w:top w:val="single" w:sz="4" w:space="0" w:color="auto"/>
              <w:left w:val="nil"/>
              <w:bottom w:val="single" w:sz="4" w:space="0" w:color="auto"/>
              <w:right w:val="nil"/>
            </w:tcBorders>
            <w:shd w:val="clear" w:color="auto" w:fill="E2EFD9" w:themeFill="accent6" w:themeFillTint="33"/>
            <w:noWrap/>
            <w:vAlign w:val="center"/>
            <w:hideMark/>
          </w:tcPr>
          <w:p w14:paraId="67B12E35" w14:textId="2D074CEA" w:rsidR="001922C9" w:rsidRPr="00D6293C" w:rsidRDefault="001922C9" w:rsidP="001922C9">
            <w:pPr>
              <w:spacing w:line="240" w:lineRule="auto"/>
              <w:contextualSpacing w:val="0"/>
              <w:jc w:val="center"/>
              <w:rPr>
                <w:b/>
                <w:bCs/>
                <w:color w:val="000000"/>
                <w:sz w:val="18"/>
                <w:szCs w:val="18"/>
              </w:rPr>
            </w:pPr>
            <w:r w:rsidRPr="00D6293C">
              <w:rPr>
                <w:b/>
                <w:bCs/>
                <w:color w:val="000000"/>
                <w:sz w:val="18"/>
                <w:szCs w:val="18"/>
              </w:rPr>
              <w:t>100.0</w:t>
            </w:r>
          </w:p>
        </w:tc>
      </w:tr>
    </w:tbl>
    <w:p w14:paraId="47290011" w14:textId="77777777" w:rsidR="001922C9" w:rsidRDefault="001922C9" w:rsidP="00AE40CD"/>
    <w:p w14:paraId="5631C194" w14:textId="77777777" w:rsidR="001922C9" w:rsidRDefault="001922C9" w:rsidP="00AE40CD"/>
    <w:p w14:paraId="101C2F81" w14:textId="77777777" w:rsidR="001922C9" w:rsidRDefault="001922C9" w:rsidP="00AE40CD"/>
    <w:p w14:paraId="3C0E724C" w14:textId="77777777" w:rsidR="001922C9" w:rsidRDefault="001922C9" w:rsidP="00AE40CD"/>
    <w:p w14:paraId="5681DEAA" w14:textId="77777777" w:rsidR="00173246" w:rsidRDefault="00173246" w:rsidP="00AE40CD"/>
    <w:p w14:paraId="177E7169" w14:textId="77777777" w:rsidR="00173246" w:rsidRDefault="00173246" w:rsidP="00AE40CD"/>
    <w:p w14:paraId="4E1A32B2" w14:textId="0EF0AC97" w:rsidR="00715E4F" w:rsidRDefault="007066AE" w:rsidP="003A083C">
      <w:r w:rsidRPr="00AE40CD">
        <w:rPr>
          <w:noProof/>
        </w:rPr>
        <w:lastRenderedPageBreak/>
        <w:drawing>
          <wp:anchor distT="0" distB="0" distL="114300" distR="114300" simplePos="0" relativeHeight="251533312" behindDoc="0" locked="0" layoutInCell="1" allowOverlap="1" wp14:anchorId="73867E30" wp14:editId="5C0FC6E2">
            <wp:simplePos x="0" y="0"/>
            <wp:positionH relativeFrom="column">
              <wp:posOffset>2663825</wp:posOffset>
            </wp:positionH>
            <wp:positionV relativeFrom="paragraph">
              <wp:posOffset>727075</wp:posOffset>
            </wp:positionV>
            <wp:extent cx="3058795" cy="1806575"/>
            <wp:effectExtent l="0" t="0" r="14605" b="9525"/>
            <wp:wrapTight wrapText="bothSides">
              <wp:wrapPolygon edited="0">
                <wp:start x="0" y="0"/>
                <wp:lineTo x="0" y="21562"/>
                <wp:lineTo x="21613" y="21562"/>
                <wp:lineTo x="21613" y="0"/>
                <wp:lineTo x="0" y="0"/>
              </wp:wrapPolygon>
            </wp:wrapTight>
            <wp:docPr id="311" name="Chart 3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14:sizeRelH relativeFrom="margin">
              <wp14:pctWidth>0</wp14:pctWidth>
            </wp14:sizeRelH>
            <wp14:sizeRelV relativeFrom="margin">
              <wp14:pctHeight>0</wp14:pctHeight>
            </wp14:sizeRelV>
          </wp:anchor>
        </w:drawing>
      </w:r>
      <w:r w:rsidR="008B0802" w:rsidRPr="00AE40CD">
        <w:rPr>
          <w:noProof/>
        </w:rPr>
        <mc:AlternateContent>
          <mc:Choice Requires="wps">
            <w:drawing>
              <wp:anchor distT="0" distB="0" distL="114300" distR="114300" simplePos="0" relativeHeight="251532288" behindDoc="0" locked="0" layoutInCell="1" allowOverlap="1" wp14:anchorId="11D4CAF7" wp14:editId="644DC2A3">
                <wp:simplePos x="0" y="0"/>
                <wp:positionH relativeFrom="column">
                  <wp:posOffset>2584450</wp:posOffset>
                </wp:positionH>
                <wp:positionV relativeFrom="paragraph">
                  <wp:posOffset>49206</wp:posOffset>
                </wp:positionV>
                <wp:extent cx="3409315" cy="596265"/>
                <wp:effectExtent l="0" t="0" r="0" b="635"/>
                <wp:wrapTight wrapText="bothSides">
                  <wp:wrapPolygon edited="0">
                    <wp:start x="0" y="0"/>
                    <wp:lineTo x="0" y="21163"/>
                    <wp:lineTo x="21483" y="21163"/>
                    <wp:lineTo x="21483" y="0"/>
                    <wp:lineTo x="0" y="0"/>
                  </wp:wrapPolygon>
                </wp:wrapTight>
                <wp:docPr id="312" name="Text Box 312"/>
                <wp:cNvGraphicFramePr/>
                <a:graphic xmlns:a="http://schemas.openxmlformats.org/drawingml/2006/main">
                  <a:graphicData uri="http://schemas.microsoft.com/office/word/2010/wordprocessingShape">
                    <wps:wsp>
                      <wps:cNvSpPr txBox="1"/>
                      <wps:spPr>
                        <a:xfrm>
                          <a:off x="0" y="0"/>
                          <a:ext cx="3409315" cy="596265"/>
                        </a:xfrm>
                        <a:prstGeom prst="rect">
                          <a:avLst/>
                        </a:prstGeom>
                        <a:solidFill>
                          <a:prstClr val="white"/>
                        </a:solidFill>
                        <a:ln>
                          <a:noFill/>
                        </a:ln>
                      </wps:spPr>
                      <wps:txbx>
                        <w:txbxContent>
                          <w:p w14:paraId="1D064DC3" w14:textId="5589BAEE" w:rsidR="00933456" w:rsidRPr="004D2415" w:rsidRDefault="00933456" w:rsidP="004D2415">
                            <w:pPr>
                              <w:pStyle w:val="Caption"/>
                            </w:pPr>
                            <w:bookmarkStart w:id="67" w:name="_Toc80120167"/>
                            <w:bookmarkStart w:id="68" w:name="_Toc80884043"/>
                            <w:bookmarkStart w:id="69" w:name="_Toc80884414"/>
                            <w:bookmarkStart w:id="70" w:name="_Toc82386269"/>
                            <w:r w:rsidRPr="004D2415">
                              <w:t>Figure 2.</w:t>
                            </w:r>
                            <w:r>
                              <w:t>10</w:t>
                            </w:r>
                            <w:r w:rsidRPr="004D2415">
                              <w:t>:</w:t>
                            </w:r>
                            <w:r>
                              <w:tab/>
                            </w:r>
                            <w:r w:rsidRPr="004D2415">
                              <w:t>Percentage of Household Members</w:t>
                            </w:r>
                            <w:r>
                              <w:t xml:space="preserve"> aged 5 years and above</w:t>
                            </w:r>
                            <w:r w:rsidRPr="004D2415">
                              <w:t xml:space="preserve"> by the Level of </w:t>
                            </w:r>
                            <w:r>
                              <w:t>I</w:t>
                            </w:r>
                            <w:r w:rsidRPr="004D2415">
                              <w:t xml:space="preserve">nvolvement in Farming Activities </w:t>
                            </w:r>
                            <w:r>
                              <w:t>D</w:t>
                            </w:r>
                            <w:r w:rsidRPr="004D2415">
                              <w:t>uring 2019/20 Agricultural Year</w:t>
                            </w:r>
                            <w:r>
                              <w:t>, Tanzania</w:t>
                            </w:r>
                            <w:bookmarkEnd w:id="67"/>
                            <w:bookmarkEnd w:id="68"/>
                            <w:bookmarkEnd w:id="69"/>
                            <w:bookmarkEnd w:id="70"/>
                          </w:p>
                          <w:p w14:paraId="15E1F31B" w14:textId="77777777" w:rsidR="00933456" w:rsidRPr="004D2415" w:rsidRDefault="00933456" w:rsidP="004D2415">
                            <w:pPr>
                              <w:pStyle w:val="Caption"/>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D4CAF7" id="Text Box 312" o:spid="_x0000_s1034" type="#_x0000_t202" style="position:absolute;left:0;text-align:left;margin-left:203.5pt;margin-top:3.85pt;width:268.45pt;height:46.95pt;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" stroked="f">
                <v:textbox inset="0,0,0,0">
                  <w:txbxContent>
                    <w:p w14:paraId="1D064DC3" w14:textId="5589BAEE" w:rsidR="00933456" w:rsidRPr="004D2415" w:rsidRDefault="00933456" w:rsidP="004D2415">
                      <w:pPr>
                        <w:pStyle w:val="Caption"/>
                      </w:pPr>
                      <w:bookmarkStart w:id="87" w:name="_Toc80120167"/>
                      <w:bookmarkStart w:id="88" w:name="_Toc80884043"/>
                      <w:bookmarkStart w:id="89" w:name="_Toc80884414"/>
                      <w:bookmarkStart w:id="90" w:name="_Toc82386269"/>
                      <w:r w:rsidRPr="004D2415">
                        <w:t>Figure 2.</w:t>
                      </w:r>
                      <w:r>
                        <w:t>10</w:t>
                      </w:r>
                      <w:r w:rsidRPr="004D2415">
                        <w:t>:</w:t>
                      </w:r>
                      <w:r>
                        <w:tab/>
                      </w:r>
                      <w:r w:rsidRPr="004D2415">
                        <w:t>Percentage of Household Members</w:t>
                      </w:r>
                      <w:r>
                        <w:t xml:space="preserve"> aged 5 years and above</w:t>
                      </w:r>
                      <w:r w:rsidRPr="004D2415">
                        <w:t xml:space="preserve"> by the Level of </w:t>
                      </w:r>
                      <w:r>
                        <w:t>I</w:t>
                      </w:r>
                      <w:r w:rsidRPr="004D2415">
                        <w:t xml:space="preserve">nvolvement in Farming Activities </w:t>
                      </w:r>
                      <w:r>
                        <w:t>D</w:t>
                      </w:r>
                      <w:r w:rsidRPr="004D2415">
                        <w:t>uring 2019/20 Agricultural Year</w:t>
                      </w:r>
                      <w:r>
                        <w:t>, Tanzania</w:t>
                      </w:r>
                      <w:bookmarkEnd w:id="87"/>
                      <w:bookmarkEnd w:id="88"/>
                      <w:bookmarkEnd w:id="89"/>
                      <w:bookmarkEnd w:id="90"/>
                    </w:p>
                    <w:p w14:paraId="15E1F31B" w14:textId="77777777" w:rsidR="00933456" w:rsidRPr="004D2415" w:rsidRDefault="00933456" w:rsidP="004D2415">
                      <w:pPr>
                        <w:pStyle w:val="Caption"/>
                      </w:pPr>
                    </w:p>
                  </w:txbxContent>
                </v:textbox>
                <w10:wrap type="tight"/>
              </v:shape>
            </w:pict>
          </mc:Fallback>
        </mc:AlternateContent>
      </w:r>
      <w:r w:rsidR="00715E4F" w:rsidRPr="00AE40CD">
        <w:t>The agricultural households’ members</w:t>
      </w:r>
      <w:r w:rsidR="008500C5" w:rsidRPr="00AE40CD">
        <w:t xml:space="preserve"> aged 5 years and above</w:t>
      </w:r>
      <w:r w:rsidR="00715E4F" w:rsidRPr="00AE40CD">
        <w:t xml:space="preserve"> involve</w:t>
      </w:r>
      <w:r w:rsidR="008500C5" w:rsidRPr="00AE40CD">
        <w:t>d</w:t>
      </w:r>
      <w:r w:rsidR="00715E4F" w:rsidRPr="00AE40CD">
        <w:t xml:space="preserve"> in farming, on which one might expect them to rely, portrays a different image. Only 37</w:t>
      </w:r>
      <w:r w:rsidR="008500C5" w:rsidRPr="00AE40CD">
        <w:t>.3</w:t>
      </w:r>
      <w:r w:rsidR="00715E4F" w:rsidRPr="00AE40CD">
        <w:t xml:space="preserve"> percent of the household’s members work full-time on a farm</w:t>
      </w:r>
      <w:r w:rsidR="00546F13" w:rsidRPr="00AE40CD">
        <w:t xml:space="preserve">. </w:t>
      </w:r>
      <w:r w:rsidR="00715E4F" w:rsidRPr="00AE40CD">
        <w:t>Other options include never work on a farm (41</w:t>
      </w:r>
      <w:r w:rsidR="008500C5" w:rsidRPr="00AE40CD">
        <w:t>.5</w:t>
      </w:r>
      <w:r w:rsidR="00715E4F" w:rsidRPr="00AE40CD">
        <w:t xml:space="preserve"> percent), rarely working on a farm (</w:t>
      </w:r>
      <w:r w:rsidR="008500C5" w:rsidRPr="00AE40CD">
        <w:t xml:space="preserve">16.6 </w:t>
      </w:r>
      <w:r w:rsidR="00715E4F" w:rsidRPr="00AE40CD">
        <w:t>percent),</w:t>
      </w:r>
      <w:r w:rsidR="00715E4F" w:rsidRPr="006B42D6">
        <w:t xml:space="preserve"> and working part-time on a farm (</w:t>
      </w:r>
      <w:r w:rsidR="008500C5" w:rsidRPr="006B42D6">
        <w:t xml:space="preserve">4.6 </w:t>
      </w:r>
      <w:r w:rsidR="00715E4F" w:rsidRPr="006B42D6">
        <w:t>percent)</w:t>
      </w:r>
      <w:r w:rsidR="00546F13" w:rsidRPr="006B42D6">
        <w:t xml:space="preserve"> </w:t>
      </w:r>
      <w:r w:rsidR="00546F13" w:rsidRPr="00EE26D9">
        <w:t>(Figure 2.</w:t>
      </w:r>
      <w:r w:rsidR="008500C5" w:rsidRPr="00EE26D9">
        <w:t>1</w:t>
      </w:r>
      <w:r w:rsidR="00DA3DD8">
        <w:t>0</w:t>
      </w:r>
      <w:r w:rsidR="00546F13" w:rsidRPr="00EE26D9">
        <w:t>)</w:t>
      </w:r>
      <w:r w:rsidR="00715E4F" w:rsidRPr="00EE26D9">
        <w:t>.</w:t>
      </w:r>
      <w:r w:rsidR="00715E4F" w:rsidRPr="006B42D6">
        <w:t xml:space="preserve"> </w:t>
      </w:r>
    </w:p>
    <w:p w14:paraId="0928A5B7" w14:textId="6F786270" w:rsidR="003A083C" w:rsidRPr="006B42D6" w:rsidRDefault="003A083C" w:rsidP="00AE40CD">
      <w:pPr>
        <w:spacing w:line="240" w:lineRule="auto"/>
      </w:pPr>
    </w:p>
    <w:p w14:paraId="2ED11E34" w14:textId="28ABBA79" w:rsidR="00AE40CD" w:rsidRDefault="00715E4F" w:rsidP="00DA3DD8">
      <w:r w:rsidRPr="006B42D6">
        <w:t>Over the last two decades, the number of household members who work full time on farm has decreased, from 68 percent in 2002/03 to 48 percent in 2007/08 and 37 percent in 2019/20. The emergence of other sectors such as mining, industrial, and telecommunications, among others, may have contributed to this decline. The percentage of household members who never work on a farm has increased from 29 percent</w:t>
      </w:r>
      <w:r w:rsidR="008500C5" w:rsidRPr="006B42D6">
        <w:t xml:space="preserve"> in 2007/08</w:t>
      </w:r>
      <w:r w:rsidRPr="006B42D6">
        <w:t xml:space="preserve"> to 41</w:t>
      </w:r>
      <w:r w:rsidR="008500C5" w:rsidRPr="006B42D6">
        <w:t>.5</w:t>
      </w:r>
      <w:r w:rsidRPr="006B42D6">
        <w:t xml:space="preserve"> percent</w:t>
      </w:r>
      <w:r w:rsidR="008500C5" w:rsidRPr="006B42D6">
        <w:t xml:space="preserve"> in 2019/20</w:t>
      </w:r>
      <w:r w:rsidRPr="006B42D6">
        <w:t xml:space="preserve">, indicating that the agricultural population is shifting away from agriculture and toward other pursuits. </w:t>
      </w:r>
    </w:p>
    <w:p w14:paraId="4B3E880D" w14:textId="77777777" w:rsidR="00173246" w:rsidRPr="006B42D6" w:rsidRDefault="00173246" w:rsidP="007066AE">
      <w:pPr>
        <w:spacing w:line="240" w:lineRule="auto"/>
      </w:pPr>
    </w:p>
    <w:p w14:paraId="4F8A4323" w14:textId="0E4D18EB" w:rsidR="00715E4F" w:rsidRPr="006B42D6" w:rsidRDefault="00715E4F" w:rsidP="00DA3DD8">
      <w:pPr>
        <w:pStyle w:val="Heading2"/>
        <w:ind w:left="0" w:firstLine="0"/>
      </w:pPr>
      <w:bookmarkStart w:id="71" w:name="_Toc82385636"/>
      <w:r w:rsidRPr="006B42D6">
        <w:t>2.</w:t>
      </w:r>
      <w:r w:rsidR="003F4EAA">
        <w:t>7</w:t>
      </w:r>
      <w:r w:rsidR="00E763F5" w:rsidRPr="006B42D6">
        <w:tab/>
      </w:r>
      <w:r w:rsidRPr="006B42D6">
        <w:t>Land Use</w:t>
      </w:r>
      <w:bookmarkEnd w:id="71"/>
    </w:p>
    <w:p w14:paraId="063E6AC3" w14:textId="1F23FF8C" w:rsidR="00715E4F" w:rsidRDefault="00715E4F" w:rsidP="00AE40CD">
      <w:r w:rsidRPr="006B42D6">
        <w:t>The human use of land is called land use. It entails the management and transformation of natural areas, such as fields, pastures, and villages, into constructed environments. It's also been defined as "the arrangements, activities, and inputs people use to produce, change, or sustain a particular land cover type" (FAO/UNEP, 1999). In this census, this variable show</w:t>
      </w:r>
      <w:r w:rsidR="003E694B">
        <w:t>s</w:t>
      </w:r>
      <w:r w:rsidRPr="006B42D6">
        <w:t xml:space="preserve"> how much of the land available to households is used for agricultural purposes.</w:t>
      </w:r>
    </w:p>
    <w:p w14:paraId="7D77AD6D" w14:textId="69320B00" w:rsidR="007066AE" w:rsidRDefault="007066AE">
      <w:pPr>
        <w:spacing w:line="240" w:lineRule="auto"/>
        <w:contextualSpacing w:val="0"/>
        <w:jc w:val="left"/>
      </w:pPr>
      <w:r>
        <w:br w:type="page"/>
      </w:r>
    </w:p>
    <w:bookmarkStart w:id="72" w:name="_Toc82385637"/>
    <w:p w14:paraId="23927489" w14:textId="495206F5" w:rsidR="00715E4F" w:rsidRPr="006B42D6" w:rsidRDefault="001B26AC" w:rsidP="0085728C">
      <w:pPr>
        <w:pStyle w:val="Heading3"/>
      </w:pPr>
      <w:r w:rsidRPr="006B42D6">
        <w:rPr>
          <w:noProof/>
        </w:rPr>
        <w:lastRenderedPageBreak/>
        <mc:AlternateContent>
          <mc:Choice Requires="wps">
            <w:drawing>
              <wp:anchor distT="0" distB="0" distL="114300" distR="114300" simplePos="0" relativeHeight="251534336" behindDoc="1" locked="0" layoutInCell="1" allowOverlap="1" wp14:anchorId="6341C69D" wp14:editId="1630CEB2">
                <wp:simplePos x="0" y="0"/>
                <wp:positionH relativeFrom="column">
                  <wp:posOffset>2828925</wp:posOffset>
                </wp:positionH>
                <wp:positionV relativeFrom="paragraph">
                  <wp:posOffset>40640</wp:posOffset>
                </wp:positionV>
                <wp:extent cx="3082925" cy="445135"/>
                <wp:effectExtent l="0" t="0" r="3175" b="0"/>
                <wp:wrapTight wrapText="bothSides">
                  <wp:wrapPolygon edited="0">
                    <wp:start x="0" y="0"/>
                    <wp:lineTo x="0" y="20953"/>
                    <wp:lineTo x="21533" y="20953"/>
                    <wp:lineTo x="21533" y="0"/>
                    <wp:lineTo x="0" y="0"/>
                  </wp:wrapPolygon>
                </wp:wrapTight>
                <wp:docPr id="313"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2925" cy="445135"/>
                        </a:xfrm>
                        <a:prstGeom prst="rect">
                          <a:avLst/>
                        </a:prstGeom>
                        <a:solidFill>
                          <a:prstClr val="white"/>
                        </a:solidFill>
                        <a:ln>
                          <a:noFill/>
                        </a:ln>
                      </wps:spPr>
                      <wps:txbx>
                        <w:txbxContent>
                          <w:p w14:paraId="3989825B" w14:textId="341A84A3" w:rsidR="00933456" w:rsidRPr="004D2415" w:rsidRDefault="00933456" w:rsidP="004D2415">
                            <w:pPr>
                              <w:pStyle w:val="Caption"/>
                            </w:pPr>
                            <w:bookmarkStart w:id="73" w:name="_Toc80120168"/>
                            <w:bookmarkStart w:id="74" w:name="_Toc80884044"/>
                            <w:bookmarkStart w:id="75" w:name="_Toc80884415"/>
                            <w:bookmarkStart w:id="76" w:name="_Toc82386270"/>
                            <w:r w:rsidRPr="004D2415">
                              <w:t>Figure 2.1</w:t>
                            </w:r>
                            <w:r>
                              <w:t>1</w:t>
                            </w:r>
                            <w:r w:rsidRPr="004D2415">
                              <w:t>:</w:t>
                            </w:r>
                            <w:r>
                              <w:tab/>
                              <w:t>Trend</w:t>
                            </w:r>
                            <w:r w:rsidRPr="004D2415">
                              <w:t xml:space="preserve"> of Utilised </w:t>
                            </w:r>
                            <w:r>
                              <w:t>L</w:t>
                            </w:r>
                            <w:r w:rsidRPr="004D2415">
                              <w:t>and per Household</w:t>
                            </w:r>
                            <w:r>
                              <w:t xml:space="preserve"> in 2002/03, 2007/08 and 2019/20 Agriculture Censuses</w:t>
                            </w:r>
                            <w:bookmarkEnd w:id="73"/>
                            <w:bookmarkEnd w:id="74"/>
                            <w:bookmarkEnd w:id="75"/>
                            <w:bookmarkEnd w:id="76"/>
                            <w:r w:rsidRPr="004D2415">
                              <w:t xml:space="preserve"> </w:t>
                            </w:r>
                          </w:p>
                          <w:p w14:paraId="6B5AA37D" w14:textId="77777777" w:rsidR="00933456" w:rsidRPr="004D2415" w:rsidRDefault="00933456" w:rsidP="004D2415">
                            <w:pPr>
                              <w:pStyle w:val="Caption"/>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41C69D" id="Text Box 313" o:spid="_x0000_s1035" type="#_x0000_t202" style="position:absolute;left:0;text-align:left;margin-left:222.75pt;margin-top:3.2pt;width:242.75pt;height:35.0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" stroked="f">
                <v:textbox inset="0,0,0,0">
                  <w:txbxContent>
                    <w:p w14:paraId="3989825B" w14:textId="341A84A3" w:rsidR="00933456" w:rsidRPr="004D2415" w:rsidRDefault="00933456" w:rsidP="004D2415">
                      <w:pPr>
                        <w:pStyle w:val="Caption"/>
                      </w:pPr>
                      <w:bookmarkStart w:id="97" w:name="_Toc80120168"/>
                      <w:bookmarkStart w:id="98" w:name="_Toc80884044"/>
                      <w:bookmarkStart w:id="99" w:name="_Toc80884415"/>
                      <w:bookmarkStart w:id="100" w:name="_Toc82386270"/>
                      <w:r w:rsidRPr="004D2415">
                        <w:t>Figure 2.1</w:t>
                      </w:r>
                      <w:r>
                        <w:t>1</w:t>
                      </w:r>
                      <w:r w:rsidRPr="004D2415">
                        <w:t>:</w:t>
                      </w:r>
                      <w:r>
                        <w:tab/>
                        <w:t>Trend</w:t>
                      </w:r>
                      <w:r w:rsidRPr="004D2415">
                        <w:t xml:space="preserve"> of Utilised </w:t>
                      </w:r>
                      <w:r>
                        <w:t>L</w:t>
                      </w:r>
                      <w:r w:rsidRPr="004D2415">
                        <w:t>and per Household</w:t>
                      </w:r>
                      <w:r>
                        <w:t xml:space="preserve"> in 2002/03, 2007/08 and 2019/20 Agriculture Censuses</w:t>
                      </w:r>
                      <w:bookmarkEnd w:id="97"/>
                      <w:bookmarkEnd w:id="98"/>
                      <w:bookmarkEnd w:id="99"/>
                      <w:bookmarkEnd w:id="100"/>
                      <w:r w:rsidRPr="004D2415">
                        <w:t xml:space="preserve"> </w:t>
                      </w:r>
                    </w:p>
                    <w:p w14:paraId="6B5AA37D" w14:textId="77777777" w:rsidR="00933456" w:rsidRPr="004D2415" w:rsidRDefault="00933456" w:rsidP="004D2415">
                      <w:pPr>
                        <w:pStyle w:val="Caption"/>
                      </w:pPr>
                    </w:p>
                  </w:txbxContent>
                </v:textbox>
                <w10:wrap type="tight"/>
              </v:shape>
            </w:pict>
          </mc:Fallback>
        </mc:AlternateContent>
      </w:r>
      <w:r w:rsidR="00715E4F" w:rsidRPr="006B42D6">
        <w:t>2.</w:t>
      </w:r>
      <w:r w:rsidR="003F4EAA">
        <w:t>7</w:t>
      </w:r>
      <w:r w:rsidR="00715E4F" w:rsidRPr="006B42D6">
        <w:t>.1</w:t>
      </w:r>
      <w:r w:rsidR="00E763F5" w:rsidRPr="006B42D6">
        <w:tab/>
      </w:r>
      <w:r w:rsidR="00715E4F" w:rsidRPr="006B42D6">
        <w:t>Area of Land Utilized</w:t>
      </w:r>
      <w:bookmarkEnd w:id="72"/>
      <w:r w:rsidR="00715E4F" w:rsidRPr="006B42D6">
        <w:t xml:space="preserve"> </w:t>
      </w:r>
    </w:p>
    <w:p w14:paraId="448D805D" w14:textId="6AE1C655" w:rsidR="009C183D" w:rsidRPr="006B42D6" w:rsidRDefault="00242442" w:rsidP="005C2EFC">
      <w:r>
        <w:rPr>
          <w:noProof/>
        </w:rPr>
        <w:drawing>
          <wp:anchor distT="0" distB="0" distL="114300" distR="114300" simplePos="0" relativeHeight="251807744" behindDoc="1" locked="0" layoutInCell="1" allowOverlap="1" wp14:anchorId="2D9F3842" wp14:editId="515C189E">
            <wp:simplePos x="0" y="0"/>
            <wp:positionH relativeFrom="column">
              <wp:posOffset>2828925</wp:posOffset>
            </wp:positionH>
            <wp:positionV relativeFrom="paragraph">
              <wp:posOffset>277495</wp:posOffset>
            </wp:positionV>
            <wp:extent cx="2875915" cy="1762125"/>
            <wp:effectExtent l="0" t="0" r="6985" b="15875"/>
            <wp:wrapTight wrapText="bothSides">
              <wp:wrapPolygon edited="0">
                <wp:start x="0" y="0"/>
                <wp:lineTo x="0" y="21639"/>
                <wp:lineTo x="21557" y="21639"/>
                <wp:lineTo x="21557" y="0"/>
                <wp:lineTo x="0" y="0"/>
              </wp:wrapPolygon>
            </wp:wrapTight>
            <wp:docPr id="48" name="Chart 48">
              <a:extLst xmlns:a="http://schemas.openxmlformats.org/drawingml/2006/main">
                <a:ext uri="{FF2B5EF4-FFF2-40B4-BE49-F238E27FC236}">
                  <a16:creationId xmlns:a16="http://schemas.microsoft.com/office/drawing/2014/main" id="{92416536-6B39-1B4F-9F8F-66FFCBE402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14:sizeRelH relativeFrom="page">
              <wp14:pctWidth>0</wp14:pctWidth>
            </wp14:sizeRelH>
            <wp14:sizeRelV relativeFrom="page">
              <wp14:pctHeight>0</wp14:pctHeight>
            </wp14:sizeRelV>
          </wp:anchor>
        </w:drawing>
      </w:r>
      <w:r w:rsidR="00715E4F" w:rsidRPr="00AE40CD">
        <w:t xml:space="preserve">The total usable land available to smallholder farmers was </w:t>
      </w:r>
      <w:r w:rsidR="00C13AA3" w:rsidRPr="00AE40CD">
        <w:t>20,774,267</w:t>
      </w:r>
      <w:r w:rsidR="00715E4F" w:rsidRPr="00AE40CD">
        <w:t xml:space="preserve"> ha (</w:t>
      </w:r>
      <w:r w:rsidR="00C13AA3" w:rsidRPr="00AE40CD">
        <w:t>20,588,027</w:t>
      </w:r>
      <w:r w:rsidR="002F3A69" w:rsidRPr="00AE40CD">
        <w:t xml:space="preserve"> ha </w:t>
      </w:r>
      <w:r w:rsidR="00715E4F" w:rsidRPr="00AE40CD">
        <w:t>in Mainland</w:t>
      </w:r>
      <w:r w:rsidR="006B42D6" w:rsidRPr="00AE40CD">
        <w:t xml:space="preserve"> Tanzania</w:t>
      </w:r>
      <w:r w:rsidR="00715E4F" w:rsidRPr="00AE40CD">
        <w:t xml:space="preserve"> and </w:t>
      </w:r>
      <w:r w:rsidR="002F3A69" w:rsidRPr="00AE40CD">
        <w:t>186,240</w:t>
      </w:r>
      <w:r w:rsidR="00715E4F" w:rsidRPr="00AE40CD">
        <w:t xml:space="preserve"> ha in </w:t>
      </w:r>
      <w:r w:rsidR="006B42D6" w:rsidRPr="00AE40CD">
        <w:t xml:space="preserve">Tanzania </w:t>
      </w:r>
      <w:r w:rsidR="00715E4F" w:rsidRPr="00AE40CD">
        <w:t>Zanzibar)</w:t>
      </w:r>
      <w:r w:rsidR="002F3A69" w:rsidRPr="00AE40CD">
        <w:t xml:space="preserve"> equivalent to 2.7 ha of available land per household</w:t>
      </w:r>
      <w:r w:rsidR="00715E4F" w:rsidRPr="00AE40CD">
        <w:t xml:space="preserve">. The total area of </w:t>
      </w:r>
      <w:r w:rsidR="002F3A69" w:rsidRPr="00AE40CD">
        <w:t xml:space="preserve">land </w:t>
      </w:r>
      <w:r w:rsidR="00715E4F" w:rsidRPr="00AE40CD">
        <w:t xml:space="preserve">utilized was </w:t>
      </w:r>
      <w:r w:rsidR="002F3A69" w:rsidRPr="00AE40CD">
        <w:t>16,717,287</w:t>
      </w:r>
      <w:r w:rsidR="00715E4F" w:rsidRPr="00AE40CD">
        <w:t xml:space="preserve"> ha which is </w:t>
      </w:r>
      <w:r w:rsidR="002F3A69" w:rsidRPr="00AE40CD">
        <w:t>80.5</w:t>
      </w:r>
      <w:r w:rsidR="00715E4F" w:rsidRPr="00AE40CD">
        <w:t xml:space="preserve"> percent of the total usable land available. This is equivalent to 2.</w:t>
      </w:r>
      <w:r w:rsidR="002F3A69" w:rsidRPr="00AE40CD">
        <w:t>1</w:t>
      </w:r>
      <w:r w:rsidR="00715E4F" w:rsidRPr="00AE40CD">
        <w:t xml:space="preserve"> hectares </w:t>
      </w:r>
      <w:r w:rsidR="002F3A69" w:rsidRPr="00AE40CD">
        <w:t xml:space="preserve">of utilized land </w:t>
      </w:r>
      <w:r w:rsidR="00715E4F" w:rsidRPr="00AE40CD">
        <w:t>per household. This implies that 0.</w:t>
      </w:r>
      <w:r w:rsidR="002F3A69" w:rsidRPr="00AE40CD">
        <w:t>6</w:t>
      </w:r>
      <w:r w:rsidR="00715E4F" w:rsidRPr="00AE40CD">
        <w:t xml:space="preserve"> hectares of usable land per household was not cultivated during the 2019/20 agricultural year. The total area used for agriculture has increased</w:t>
      </w:r>
      <w:r w:rsidR="00715E4F" w:rsidRPr="006B42D6">
        <w:t xml:space="preserve"> notably during the last ten years</w:t>
      </w:r>
      <w:r w:rsidR="0033183A" w:rsidRPr="006B42D6">
        <w:t xml:space="preserve"> (Figure 2.1</w:t>
      </w:r>
      <w:r w:rsidR="00DA3DD8">
        <w:t>1</w:t>
      </w:r>
      <w:r w:rsidR="0033183A" w:rsidRPr="006B42D6">
        <w:t>)</w:t>
      </w:r>
      <w:r w:rsidR="00715E4F" w:rsidRPr="006B42D6">
        <w:t xml:space="preserve">. </w:t>
      </w:r>
    </w:p>
    <w:p w14:paraId="075750A1" w14:textId="7F5417F4" w:rsidR="00AE40CD" w:rsidRDefault="00AE40CD" w:rsidP="007066AE">
      <w:pPr>
        <w:spacing w:line="240" w:lineRule="auto"/>
      </w:pPr>
    </w:p>
    <w:bookmarkStart w:id="77" w:name="_Toc82385638"/>
    <w:p w14:paraId="38B9AC03" w14:textId="14C672D2" w:rsidR="00715E4F" w:rsidRPr="006B42D6" w:rsidRDefault="00DA3DD8" w:rsidP="00DA3DD8">
      <w:pPr>
        <w:pStyle w:val="Heading3"/>
      </w:pPr>
      <w:r>
        <w:rPr>
          <w:noProof/>
        </w:rPr>
        <mc:AlternateContent>
          <mc:Choice Requires="wps">
            <w:drawing>
              <wp:anchor distT="0" distB="0" distL="114300" distR="114300" simplePos="0" relativeHeight="251618304" behindDoc="0" locked="0" layoutInCell="1" allowOverlap="1" wp14:anchorId="27693B37" wp14:editId="7624BEF7">
                <wp:simplePos x="0" y="0"/>
                <wp:positionH relativeFrom="column">
                  <wp:posOffset>2734055</wp:posOffset>
                </wp:positionH>
                <wp:positionV relativeFrom="paragraph">
                  <wp:posOffset>140970</wp:posOffset>
                </wp:positionV>
                <wp:extent cx="3256280" cy="650875"/>
                <wp:effectExtent l="0" t="0" r="0" b="0"/>
                <wp:wrapSquare wrapText="bothSides"/>
                <wp:docPr id="318" name="Text Box 318"/>
                <wp:cNvGraphicFramePr/>
                <a:graphic xmlns:a="http://schemas.openxmlformats.org/drawingml/2006/main">
                  <a:graphicData uri="http://schemas.microsoft.com/office/word/2010/wordprocessingShape">
                    <wps:wsp>
                      <wps:cNvSpPr txBox="1"/>
                      <wps:spPr>
                        <a:xfrm>
                          <a:off x="0" y="0"/>
                          <a:ext cx="3256280" cy="650875"/>
                        </a:xfrm>
                        <a:prstGeom prst="rect">
                          <a:avLst/>
                        </a:prstGeom>
                        <a:solidFill>
                          <a:prstClr val="white"/>
                        </a:solidFill>
                        <a:ln>
                          <a:noFill/>
                        </a:ln>
                      </wps:spPr>
                      <wps:txbx>
                        <w:txbxContent>
                          <w:p w14:paraId="0C25A7EC" w14:textId="479D24AB" w:rsidR="00933456" w:rsidRPr="0033183A" w:rsidRDefault="00933456" w:rsidP="004D2415">
                            <w:pPr>
                              <w:pStyle w:val="Caption"/>
                              <w:rPr>
                                <w:i/>
                                <w:noProof/>
                              </w:rPr>
                            </w:pPr>
                            <w:bookmarkStart w:id="78" w:name="_Toc80120169"/>
                            <w:bookmarkStart w:id="79" w:name="_Toc80884045"/>
                            <w:bookmarkStart w:id="80" w:name="_Toc80884416"/>
                            <w:bookmarkStart w:id="81" w:name="_Toc82386271"/>
                            <w:r w:rsidRPr="0033183A">
                              <w:t>Figure</w:t>
                            </w:r>
                            <w:r>
                              <w:t xml:space="preserve"> </w:t>
                            </w:r>
                            <w:r w:rsidRPr="0033183A">
                              <w:t>2.1</w:t>
                            </w:r>
                            <w:r>
                              <w:t>2:</w:t>
                            </w:r>
                            <w:r>
                              <w:tab/>
                            </w:r>
                            <w:r w:rsidRPr="0033183A">
                              <w:t>Percentage of Agriculture Households by Whether All Land Available to the Household Was Used</w:t>
                            </w:r>
                            <w:r>
                              <w:t xml:space="preserve"> During 2019/20 Agricultural Year</w:t>
                            </w:r>
                            <w:r w:rsidRPr="0033183A">
                              <w:t>,</w:t>
                            </w:r>
                            <w:r>
                              <w:t xml:space="preserve"> Mainland Tanzania</w:t>
                            </w:r>
                            <w:bookmarkEnd w:id="78"/>
                            <w:bookmarkEnd w:id="79"/>
                            <w:bookmarkEnd w:id="80"/>
                            <w:bookmarkEnd w:id="81"/>
                          </w:p>
                          <w:p w14:paraId="1BA7CB6C" w14:textId="77777777" w:rsidR="00933456" w:rsidRPr="0033183A" w:rsidRDefault="00933456" w:rsidP="004D2415">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693B37" id="Text Box 318" o:spid="_x0000_s1036" type="#_x0000_t202" style="position:absolute;left:0;text-align:left;margin-left:215.3pt;margin-top:11.1pt;width:256.4pt;height:51.2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" stroked="f">
                <v:textbox inset="0,0,0,0">
                  <w:txbxContent>
                    <w:p w14:paraId="0C25A7EC" w14:textId="479D24AB" w:rsidR="00933456" w:rsidRPr="0033183A" w:rsidRDefault="00933456" w:rsidP="004D2415">
                      <w:pPr>
                        <w:pStyle w:val="Caption"/>
                        <w:rPr>
                          <w:i/>
                          <w:noProof/>
                        </w:rPr>
                      </w:pPr>
                      <w:bookmarkStart w:id="106" w:name="_Toc80120169"/>
                      <w:bookmarkStart w:id="107" w:name="_Toc80884045"/>
                      <w:bookmarkStart w:id="108" w:name="_Toc80884416"/>
                      <w:bookmarkStart w:id="109" w:name="_Toc82386271"/>
                      <w:r w:rsidRPr="0033183A">
                        <w:t>Figure</w:t>
                      </w:r>
                      <w:r>
                        <w:t xml:space="preserve"> </w:t>
                      </w:r>
                      <w:r w:rsidRPr="0033183A">
                        <w:t>2.1</w:t>
                      </w:r>
                      <w:r>
                        <w:t>2:</w:t>
                      </w:r>
                      <w:r>
                        <w:tab/>
                      </w:r>
                      <w:r w:rsidRPr="0033183A">
                        <w:t>Percentage of Agriculture Households by Whether All Land Available to the Household Was Used</w:t>
                      </w:r>
                      <w:r>
                        <w:t xml:space="preserve"> During 2019/20 Agricultural Year</w:t>
                      </w:r>
                      <w:r w:rsidRPr="0033183A">
                        <w:t>,</w:t>
                      </w:r>
                      <w:r>
                        <w:t xml:space="preserve"> Mainland Tanzania</w:t>
                      </w:r>
                      <w:bookmarkEnd w:id="106"/>
                      <w:bookmarkEnd w:id="107"/>
                      <w:bookmarkEnd w:id="108"/>
                      <w:bookmarkEnd w:id="109"/>
                    </w:p>
                    <w:p w14:paraId="1BA7CB6C" w14:textId="77777777" w:rsidR="00933456" w:rsidRPr="0033183A" w:rsidRDefault="00933456" w:rsidP="004D2415">
                      <w:pPr>
                        <w:pStyle w:val="Caption"/>
                        <w:rPr>
                          <w:noProof/>
                        </w:rPr>
                      </w:pPr>
                    </w:p>
                  </w:txbxContent>
                </v:textbox>
                <w10:wrap type="square"/>
              </v:shape>
            </w:pict>
          </mc:Fallback>
        </mc:AlternateContent>
      </w:r>
      <w:r w:rsidR="00715E4F" w:rsidRPr="006B42D6">
        <w:t>2.</w:t>
      </w:r>
      <w:r w:rsidR="003F4EAA">
        <w:t>7</w:t>
      </w:r>
      <w:r w:rsidR="00715E4F" w:rsidRPr="006B42D6">
        <w:t>.</w:t>
      </w:r>
      <w:r w:rsidR="00AE138E" w:rsidRPr="006B42D6">
        <w:t>2</w:t>
      </w:r>
      <w:r w:rsidR="00E763F5" w:rsidRPr="006B42D6">
        <w:tab/>
      </w:r>
      <w:r w:rsidR="00715E4F" w:rsidRPr="006B42D6">
        <w:t>Land Use Sufficiency</w:t>
      </w:r>
      <w:bookmarkEnd w:id="77"/>
      <w:r w:rsidR="00715E4F" w:rsidRPr="006B42D6">
        <w:t xml:space="preserve"> </w:t>
      </w:r>
    </w:p>
    <w:p w14:paraId="4608C974" w14:textId="5ACD8688" w:rsidR="00715E4F" w:rsidRDefault="007066AE" w:rsidP="005C2EFC">
      <w:pPr>
        <w:spacing w:before="100" w:beforeAutospacing="1" w:after="100" w:afterAutospacing="1"/>
      </w:pPr>
      <w:r w:rsidRPr="00DA3DD8">
        <w:rPr>
          <w:noProof/>
        </w:rPr>
        <w:drawing>
          <wp:anchor distT="0" distB="0" distL="114300" distR="114300" simplePos="0" relativeHeight="251619328" behindDoc="0" locked="0" layoutInCell="1" allowOverlap="1" wp14:anchorId="2839FDC0" wp14:editId="7ABEF5C6">
            <wp:simplePos x="0" y="0"/>
            <wp:positionH relativeFrom="column">
              <wp:posOffset>2829560</wp:posOffset>
            </wp:positionH>
            <wp:positionV relativeFrom="paragraph">
              <wp:posOffset>352425</wp:posOffset>
            </wp:positionV>
            <wp:extent cx="2973070" cy="1842770"/>
            <wp:effectExtent l="0" t="0" r="11430" b="11430"/>
            <wp:wrapSquare wrapText="bothSides"/>
            <wp:docPr id="319" name="Chart 3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14:sizeRelH relativeFrom="margin">
              <wp14:pctWidth>0</wp14:pctWidth>
            </wp14:sizeRelH>
            <wp14:sizeRelV relativeFrom="margin">
              <wp14:pctHeight>0</wp14:pctHeight>
            </wp14:sizeRelV>
          </wp:anchor>
        </w:drawing>
      </w:r>
      <w:r w:rsidR="00715E4F" w:rsidRPr="00DA3DD8">
        <w:t>The results from</w:t>
      </w:r>
      <w:r w:rsidR="00546F13" w:rsidRPr="00DA3DD8">
        <w:t xml:space="preserve"> </w:t>
      </w:r>
      <w:r w:rsidR="00EA1552" w:rsidRPr="00DA3DD8">
        <w:t>Mainland Tanzania</w:t>
      </w:r>
      <w:r w:rsidR="00715E4F" w:rsidRPr="00DA3DD8">
        <w:t xml:space="preserve"> show that, 67</w:t>
      </w:r>
      <w:r w:rsidR="002F3A69" w:rsidRPr="00DA3DD8">
        <w:t>.0</w:t>
      </w:r>
      <w:r w:rsidR="00715E4F" w:rsidRPr="00DA3DD8">
        <w:t xml:space="preserve"> percent of agricultural households utilized all of their available land during the 2019/20 agricultural year, while the remaining 33</w:t>
      </w:r>
      <w:r w:rsidR="002F3A69" w:rsidRPr="00DA3DD8">
        <w:t>.0</w:t>
      </w:r>
      <w:r w:rsidR="00715E4F" w:rsidRPr="00DA3DD8">
        <w:t xml:space="preserve"> percent </w:t>
      </w:r>
      <w:r w:rsidR="002F3A69" w:rsidRPr="00DA3DD8">
        <w:t>was</w:t>
      </w:r>
      <w:r w:rsidR="00715E4F" w:rsidRPr="00DA3DD8">
        <w:t xml:space="preserve"> not</w:t>
      </w:r>
      <w:r w:rsidR="002F3A69" w:rsidRPr="00DA3DD8">
        <w:t xml:space="preserve"> utilized</w:t>
      </w:r>
      <w:r w:rsidR="00715E4F" w:rsidRPr="00DA3DD8">
        <w:t>. Mwanza, Mara, Singida, Manyara, Kilimanjaro, Mtwara and Singida regions reported using over 70 percent of the available land</w:t>
      </w:r>
      <w:r w:rsidR="00715E4F" w:rsidRPr="006B42D6">
        <w:t>. On the other hand, Njombe, Tabora, Iringa and Pwani regions utilized less than 60 percent of the available land (Figure 2.1</w:t>
      </w:r>
      <w:r w:rsidR="00DA3DD8">
        <w:t>2</w:t>
      </w:r>
      <w:r w:rsidR="00715E4F" w:rsidRPr="006B42D6">
        <w:t xml:space="preserve">). </w:t>
      </w:r>
    </w:p>
    <w:p w14:paraId="6183016A" w14:textId="481C4DAA" w:rsidR="007066AE" w:rsidRDefault="007066AE">
      <w:pPr>
        <w:spacing w:line="240" w:lineRule="auto"/>
        <w:contextualSpacing w:val="0"/>
        <w:jc w:val="left"/>
      </w:pPr>
      <w:r>
        <w:br w:type="page"/>
      </w:r>
    </w:p>
    <w:p w14:paraId="5E45C58A" w14:textId="45B57307" w:rsidR="00AE40CD" w:rsidRDefault="007066AE" w:rsidP="003E694B">
      <w:pPr>
        <w:rPr>
          <w:noProof/>
        </w:rPr>
      </w:pPr>
      <w:r>
        <w:rPr>
          <w:noProof/>
        </w:rPr>
        <w:lastRenderedPageBreak/>
        <mc:AlternateContent>
          <mc:Choice Requires="wps">
            <w:drawing>
              <wp:anchor distT="0" distB="0" distL="114300" distR="114300" simplePos="0" relativeHeight="251811840" behindDoc="0" locked="0" layoutInCell="1" allowOverlap="1" wp14:anchorId="44C852DD" wp14:editId="0AE7AA70">
                <wp:simplePos x="0" y="0"/>
                <wp:positionH relativeFrom="column">
                  <wp:posOffset>2562860</wp:posOffset>
                </wp:positionH>
                <wp:positionV relativeFrom="paragraph">
                  <wp:posOffset>-29210</wp:posOffset>
                </wp:positionV>
                <wp:extent cx="3161665" cy="604520"/>
                <wp:effectExtent l="0" t="0" r="635" b="5080"/>
                <wp:wrapSquare wrapText="bothSides"/>
                <wp:docPr id="321" name="Text Box 321"/>
                <wp:cNvGraphicFramePr/>
                <a:graphic xmlns:a="http://schemas.openxmlformats.org/drawingml/2006/main">
                  <a:graphicData uri="http://schemas.microsoft.com/office/word/2010/wordprocessingShape">
                    <wps:wsp>
                      <wps:cNvSpPr txBox="1"/>
                      <wps:spPr>
                        <a:xfrm>
                          <a:off x="0" y="0"/>
                          <a:ext cx="3161665" cy="604520"/>
                        </a:xfrm>
                        <a:prstGeom prst="rect">
                          <a:avLst/>
                        </a:prstGeom>
                        <a:solidFill>
                          <a:prstClr val="white"/>
                        </a:solidFill>
                        <a:ln>
                          <a:noFill/>
                        </a:ln>
                      </wps:spPr>
                      <wps:txbx>
                        <w:txbxContent>
                          <w:p w14:paraId="67285CB1" w14:textId="77777777" w:rsidR="00933456" w:rsidRPr="0033183A" w:rsidRDefault="00933456" w:rsidP="007066AE">
                            <w:pPr>
                              <w:pStyle w:val="Caption"/>
                              <w:rPr>
                                <w:noProof/>
                              </w:rPr>
                            </w:pPr>
                            <w:bookmarkStart w:id="82" w:name="_Toc80120170"/>
                            <w:bookmarkStart w:id="83" w:name="_Toc80884046"/>
                            <w:bookmarkStart w:id="84" w:name="_Toc80884417"/>
                            <w:bookmarkStart w:id="85" w:name="_Toc82386272"/>
                            <w:r w:rsidRPr="0033183A">
                              <w:t>Figure 2.1</w:t>
                            </w:r>
                            <w:r>
                              <w:t>3</w:t>
                            </w:r>
                            <w:r w:rsidRPr="0033183A">
                              <w:t>:</w:t>
                            </w:r>
                            <w:r>
                              <w:tab/>
                            </w:r>
                            <w:r w:rsidRPr="0033183A">
                              <w:t>Percentage of Agricultural Households Responding to Sufficiency of Land</w:t>
                            </w:r>
                            <w:r>
                              <w:t xml:space="preserve"> During 2019/20 Agricultural Year, Tanzania </w:t>
                            </w:r>
                            <w:r w:rsidRPr="0033183A">
                              <w:t>Zanzibar</w:t>
                            </w:r>
                            <w:bookmarkEnd w:id="82"/>
                            <w:bookmarkEnd w:id="83"/>
                            <w:bookmarkEnd w:id="84"/>
                            <w:bookmarkEnd w:id="8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C852DD" id="Text Box 321" o:spid="_x0000_s1037" type="#_x0000_t202" style="position:absolute;left:0;text-align:left;margin-left:201.8pt;margin-top:-2.3pt;width:248.95pt;height:47.6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" stroked="f">
                <v:textbox inset="0,0,0,0">
                  <w:txbxContent>
                    <w:p w14:paraId="67285CB1" w14:textId="77777777" w:rsidR="00933456" w:rsidRPr="0033183A" w:rsidRDefault="00933456" w:rsidP="007066AE">
                      <w:pPr>
                        <w:pStyle w:val="Caption"/>
                        <w:rPr>
                          <w:noProof/>
                        </w:rPr>
                      </w:pPr>
                      <w:bookmarkStart w:id="114" w:name="_Toc80120170"/>
                      <w:bookmarkStart w:id="115" w:name="_Toc80884046"/>
                      <w:bookmarkStart w:id="116" w:name="_Toc80884417"/>
                      <w:bookmarkStart w:id="117" w:name="_Toc82386272"/>
                      <w:r w:rsidRPr="0033183A">
                        <w:t>Figure 2.1</w:t>
                      </w:r>
                      <w:r>
                        <w:t>3</w:t>
                      </w:r>
                      <w:r w:rsidRPr="0033183A">
                        <w:t>:</w:t>
                      </w:r>
                      <w:r>
                        <w:tab/>
                      </w:r>
                      <w:r w:rsidRPr="0033183A">
                        <w:t>Percentage of Agricultural Households Responding to Sufficiency of Land</w:t>
                      </w:r>
                      <w:r>
                        <w:t xml:space="preserve"> During 2019/20 Agricultural Year, Tanzania </w:t>
                      </w:r>
                      <w:r w:rsidRPr="0033183A">
                        <w:t>Zanzibar</w:t>
                      </w:r>
                      <w:bookmarkEnd w:id="114"/>
                      <w:bookmarkEnd w:id="115"/>
                      <w:bookmarkEnd w:id="116"/>
                      <w:bookmarkEnd w:id="117"/>
                    </w:p>
                  </w:txbxContent>
                </v:textbox>
                <w10:wrap type="square"/>
              </v:shape>
            </w:pict>
          </mc:Fallback>
        </mc:AlternateContent>
      </w:r>
      <w:r>
        <w:rPr>
          <w:noProof/>
        </w:rPr>
        <w:drawing>
          <wp:anchor distT="0" distB="0" distL="114300" distR="114300" simplePos="0" relativeHeight="251809792" behindDoc="0" locked="0" layoutInCell="1" allowOverlap="1" wp14:anchorId="6E324437" wp14:editId="748247C0">
            <wp:simplePos x="0" y="0"/>
            <wp:positionH relativeFrom="column">
              <wp:posOffset>2562860</wp:posOffset>
            </wp:positionH>
            <wp:positionV relativeFrom="paragraph">
              <wp:posOffset>625165</wp:posOffset>
            </wp:positionV>
            <wp:extent cx="3161665" cy="1835150"/>
            <wp:effectExtent l="0" t="0" r="13335" b="6350"/>
            <wp:wrapSquare wrapText="bothSides"/>
            <wp:docPr id="322" name="Chart 3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14:sizeRelH relativeFrom="margin">
              <wp14:pctWidth>0</wp14:pctWidth>
            </wp14:sizeRelH>
            <wp14:sizeRelV relativeFrom="margin">
              <wp14:pctHeight>0</wp14:pctHeight>
            </wp14:sizeRelV>
          </wp:anchor>
        </w:drawing>
      </w:r>
      <w:r w:rsidR="00715E4F" w:rsidRPr="006B42D6">
        <w:t xml:space="preserve">In </w:t>
      </w:r>
      <w:r w:rsidR="00546F13" w:rsidRPr="006B42D6">
        <w:t xml:space="preserve">Tanzania </w:t>
      </w:r>
      <w:r w:rsidR="00715E4F" w:rsidRPr="006B42D6">
        <w:t>Zanzibar, 87</w:t>
      </w:r>
      <w:r w:rsidR="002F3A69">
        <w:t>.0</w:t>
      </w:r>
      <w:r w:rsidR="00715E4F" w:rsidRPr="006B42D6">
        <w:t xml:space="preserve"> percent of the households reported to use all of their available land</w:t>
      </w:r>
      <w:r w:rsidR="002F3A69">
        <w:t>,</w:t>
      </w:r>
      <w:r w:rsidR="00715E4F" w:rsidRPr="006B42D6">
        <w:t xml:space="preserve"> while the remaining 13</w:t>
      </w:r>
      <w:r w:rsidR="002F3A69">
        <w:t>.0</w:t>
      </w:r>
      <w:r w:rsidR="00715E4F" w:rsidRPr="006B42D6">
        <w:t xml:space="preserve"> percent did not.</w:t>
      </w:r>
      <w:r w:rsidR="00715E4F" w:rsidRPr="006B42D6">
        <w:rPr>
          <w:noProof/>
        </w:rPr>
        <w:t xml:space="preserve"> </w:t>
      </w:r>
      <w:r w:rsidR="00715E4F" w:rsidRPr="006B42D6">
        <w:t>Kaskazini Unguja and Kaskazini Pemba regions reported using over 90 percent of the available land. On the other hand, Kusini Unguja, Mjini Magharibi and Kusini Pemba regions utilized with average of 85.7 percent of the available land (Figure 2.1</w:t>
      </w:r>
      <w:r w:rsidR="00FA074C">
        <w:t>3</w:t>
      </w:r>
      <w:r w:rsidR="00715E4F" w:rsidRPr="006B42D6">
        <w:t>).</w:t>
      </w:r>
      <w:r w:rsidR="003E694B" w:rsidRPr="003E694B">
        <w:rPr>
          <w:noProof/>
        </w:rPr>
        <w:t xml:space="preserve"> </w:t>
      </w:r>
    </w:p>
    <w:p w14:paraId="2B439402" w14:textId="24E272B9" w:rsidR="00B2782E" w:rsidRDefault="00B2782E" w:rsidP="00B2782E">
      <w:pPr>
        <w:spacing w:line="240" w:lineRule="auto"/>
      </w:pPr>
    </w:p>
    <w:p w14:paraId="31E1ABB3" w14:textId="413D4EFD" w:rsidR="00B2782E" w:rsidRDefault="00B2782E" w:rsidP="00B2782E">
      <w:r>
        <w:t xml:space="preserve">The </w:t>
      </w:r>
      <w:r w:rsidRPr="006B42D6">
        <w:t xml:space="preserve">findings also revealed that in </w:t>
      </w:r>
      <w:r>
        <w:t>Mainland Tanzania</w:t>
      </w:r>
      <w:r w:rsidRPr="006B42D6">
        <w:t xml:space="preserve"> 33</w:t>
      </w:r>
      <w:r>
        <w:t>.0</w:t>
      </w:r>
      <w:r w:rsidRPr="006B42D6">
        <w:t xml:space="preserve"> percent of households reported to have sufficient land for agricultural activities, while the remaining 67</w:t>
      </w:r>
      <w:r>
        <w:t>.0</w:t>
      </w:r>
      <w:r w:rsidRPr="006B42D6">
        <w:t xml:space="preserve"> percent reported the land to be insufficient. Whereas in Tanzania Zanzibar, the majority of agricultural households (51</w:t>
      </w:r>
      <w:r>
        <w:t>.0</w:t>
      </w:r>
      <w:r w:rsidRPr="006B42D6">
        <w:t xml:space="preserve"> percent) reported to have sufficient land (Figure 2.1</w:t>
      </w:r>
      <w:r>
        <w:t>4</w:t>
      </w:r>
      <w:r w:rsidRPr="006B42D6">
        <w:t xml:space="preserve"> &amp; 2.1</w:t>
      </w:r>
      <w:r>
        <w:t>5</w:t>
      </w:r>
      <w:r w:rsidRPr="006B42D6">
        <w:t xml:space="preserve">). </w:t>
      </w:r>
    </w:p>
    <w:p w14:paraId="680C1B52" w14:textId="6B170702" w:rsidR="00D90534" w:rsidRDefault="00982F1B" w:rsidP="00B2782E">
      <w:r>
        <w:rPr>
          <w:noProof/>
        </w:rPr>
        <mc:AlternateContent>
          <mc:Choice Requires="wps">
            <w:drawing>
              <wp:anchor distT="0" distB="0" distL="114300" distR="114300" simplePos="0" relativeHeight="251542528" behindDoc="0" locked="0" layoutInCell="1" allowOverlap="1" wp14:anchorId="65AED4FB" wp14:editId="30136EDC">
                <wp:simplePos x="0" y="0"/>
                <wp:positionH relativeFrom="column">
                  <wp:posOffset>2922270</wp:posOffset>
                </wp:positionH>
                <wp:positionV relativeFrom="paragraph">
                  <wp:posOffset>297180</wp:posOffset>
                </wp:positionV>
                <wp:extent cx="2804795" cy="610235"/>
                <wp:effectExtent l="0" t="0" r="1905" b="0"/>
                <wp:wrapSquare wrapText="bothSides"/>
                <wp:docPr id="328" name="Text Box 328"/>
                <wp:cNvGraphicFramePr/>
                <a:graphic xmlns:a="http://schemas.openxmlformats.org/drawingml/2006/main">
                  <a:graphicData uri="http://schemas.microsoft.com/office/word/2010/wordprocessingShape">
                    <wps:wsp>
                      <wps:cNvSpPr txBox="1"/>
                      <wps:spPr>
                        <a:xfrm>
                          <a:off x="0" y="0"/>
                          <a:ext cx="2804795" cy="610235"/>
                        </a:xfrm>
                        <a:prstGeom prst="rect">
                          <a:avLst/>
                        </a:prstGeom>
                        <a:solidFill>
                          <a:prstClr val="white"/>
                        </a:solidFill>
                        <a:ln>
                          <a:noFill/>
                        </a:ln>
                      </wps:spPr>
                      <wps:txbx>
                        <w:txbxContent>
                          <w:p w14:paraId="70539EAF" w14:textId="2BAD452F" w:rsidR="00933456" w:rsidRPr="0033183A" w:rsidRDefault="00933456" w:rsidP="004D2415">
                            <w:pPr>
                              <w:pStyle w:val="Caption"/>
                              <w:rPr>
                                <w:i/>
                                <w:noProof/>
                              </w:rPr>
                            </w:pPr>
                            <w:bookmarkStart w:id="86" w:name="_Toc80120171"/>
                            <w:bookmarkStart w:id="87" w:name="_Toc80884047"/>
                            <w:bookmarkStart w:id="88" w:name="_Toc80884418"/>
                            <w:bookmarkStart w:id="89" w:name="_Toc82386274"/>
                            <w:r w:rsidRPr="0033183A">
                              <w:t>Figure 2.1</w:t>
                            </w:r>
                            <w:r>
                              <w:t>5</w:t>
                            </w:r>
                            <w:r w:rsidRPr="0033183A">
                              <w:t xml:space="preserve">: </w:t>
                            </w:r>
                            <w:r>
                              <w:tab/>
                            </w:r>
                            <w:r w:rsidRPr="0033183A">
                              <w:t xml:space="preserve">Percentage of Households </w:t>
                            </w:r>
                            <w:r>
                              <w:t>with</w:t>
                            </w:r>
                            <w:r w:rsidRPr="0033183A">
                              <w:t xml:space="preserve"> Sufficient Land for Agriculture Activities, 2019/20</w:t>
                            </w:r>
                            <w:r>
                              <w:t xml:space="preserve"> </w:t>
                            </w:r>
                            <w:r w:rsidRPr="0033183A">
                              <w:t>A</w:t>
                            </w:r>
                            <w:r>
                              <w:t>gricultural Year,</w:t>
                            </w:r>
                            <w:r w:rsidRPr="004D2415">
                              <w:t xml:space="preserve"> </w:t>
                            </w:r>
                            <w:r>
                              <w:t xml:space="preserve">Tanzania </w:t>
                            </w:r>
                            <w:r w:rsidRPr="0033183A">
                              <w:t>Zanzibar</w:t>
                            </w:r>
                            <w:bookmarkEnd w:id="86"/>
                            <w:bookmarkEnd w:id="87"/>
                            <w:bookmarkEnd w:id="88"/>
                            <w:bookmarkEnd w:id="8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AED4FB" id="Text Box 328" o:spid="_x0000_s1038" type="#_x0000_t202" style="position:absolute;left:0;text-align:left;margin-left:230.1pt;margin-top:23.4pt;width:220.85pt;height:48.05pt;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" stroked="f">
                <v:textbox inset="0,0,0,0">
                  <w:txbxContent>
                    <w:p w14:paraId="70539EAF" w14:textId="2BAD452F" w:rsidR="00933456" w:rsidRPr="0033183A" w:rsidRDefault="00933456" w:rsidP="004D2415">
                      <w:pPr>
                        <w:pStyle w:val="Caption"/>
                        <w:rPr>
                          <w:i/>
                          <w:noProof/>
                        </w:rPr>
                      </w:pPr>
                      <w:bookmarkStart w:id="122" w:name="_Toc80120171"/>
                      <w:bookmarkStart w:id="123" w:name="_Toc80884047"/>
                      <w:bookmarkStart w:id="124" w:name="_Toc80884418"/>
                      <w:bookmarkStart w:id="125" w:name="_Toc82386274"/>
                      <w:r w:rsidRPr="0033183A">
                        <w:t>Figure 2.1</w:t>
                      </w:r>
                      <w:r>
                        <w:t>5</w:t>
                      </w:r>
                      <w:r w:rsidRPr="0033183A">
                        <w:t xml:space="preserve">: </w:t>
                      </w:r>
                      <w:r>
                        <w:tab/>
                      </w:r>
                      <w:r w:rsidRPr="0033183A">
                        <w:t xml:space="preserve">Percentage of Households </w:t>
                      </w:r>
                      <w:r>
                        <w:t>with</w:t>
                      </w:r>
                      <w:r w:rsidRPr="0033183A">
                        <w:t xml:space="preserve"> Sufficient Land for Agriculture Activities, 2019/20</w:t>
                      </w:r>
                      <w:r>
                        <w:t xml:space="preserve"> </w:t>
                      </w:r>
                      <w:r w:rsidRPr="0033183A">
                        <w:t>A</w:t>
                      </w:r>
                      <w:r>
                        <w:t>gricultural Year,</w:t>
                      </w:r>
                      <w:r w:rsidRPr="004D2415">
                        <w:t xml:space="preserve"> </w:t>
                      </w:r>
                      <w:r>
                        <w:t xml:space="preserve">Tanzania </w:t>
                      </w:r>
                      <w:r w:rsidRPr="0033183A">
                        <w:t>Zanzibar</w:t>
                      </w:r>
                      <w:bookmarkEnd w:id="122"/>
                      <w:bookmarkEnd w:id="123"/>
                      <w:bookmarkEnd w:id="124"/>
                      <w:bookmarkEnd w:id="125"/>
                    </w:p>
                  </w:txbxContent>
                </v:textbox>
                <w10:wrap type="square"/>
              </v:shape>
            </w:pict>
          </mc:Fallback>
        </mc:AlternateContent>
      </w:r>
      <w:r>
        <w:rPr>
          <w:noProof/>
        </w:rPr>
        <w:drawing>
          <wp:anchor distT="0" distB="0" distL="114300" distR="114300" simplePos="0" relativeHeight="251541504" behindDoc="1" locked="0" layoutInCell="1" allowOverlap="1" wp14:anchorId="52B45659" wp14:editId="2E2CD79C">
            <wp:simplePos x="0" y="0"/>
            <wp:positionH relativeFrom="column">
              <wp:posOffset>2920658</wp:posOffset>
            </wp:positionH>
            <wp:positionV relativeFrom="page">
              <wp:posOffset>6048375</wp:posOffset>
            </wp:positionV>
            <wp:extent cx="2804795" cy="1790700"/>
            <wp:effectExtent l="0" t="0" r="14605" b="12700"/>
            <wp:wrapTight wrapText="bothSides">
              <wp:wrapPolygon edited="0">
                <wp:start x="0" y="0"/>
                <wp:lineTo x="0" y="21600"/>
                <wp:lineTo x="21615" y="21600"/>
                <wp:lineTo x="21615" y="0"/>
                <wp:lineTo x="0" y="0"/>
              </wp:wrapPolygon>
            </wp:wrapTight>
            <wp:docPr id="327" name="Chart 3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14:sizeRelH relativeFrom="margin">
              <wp14:pctWidth>0</wp14:pctWidth>
            </wp14:sizeRelH>
            <wp14:sizeRelV relativeFrom="margin">
              <wp14:pctHeight>0</wp14:pctHeight>
            </wp14:sizeRelV>
          </wp:anchor>
        </w:drawing>
      </w:r>
      <w:r w:rsidR="00D90534">
        <w:rPr>
          <w:noProof/>
        </w:rPr>
        <mc:AlternateContent>
          <mc:Choice Requires="wps">
            <w:drawing>
              <wp:anchor distT="0" distB="0" distL="114300" distR="114300" simplePos="0" relativeHeight="251543552" behindDoc="0" locked="0" layoutInCell="1" allowOverlap="1" wp14:anchorId="4D227996" wp14:editId="0586C0C5">
                <wp:simplePos x="0" y="0"/>
                <wp:positionH relativeFrom="column">
                  <wp:posOffset>-29210</wp:posOffset>
                </wp:positionH>
                <wp:positionV relativeFrom="page">
                  <wp:posOffset>5327650</wp:posOffset>
                </wp:positionV>
                <wp:extent cx="2851150" cy="612775"/>
                <wp:effectExtent l="0" t="0" r="6350" b="0"/>
                <wp:wrapSquare wrapText="bothSides"/>
                <wp:docPr id="324" name="Text Box 324"/>
                <wp:cNvGraphicFramePr/>
                <a:graphic xmlns:a="http://schemas.openxmlformats.org/drawingml/2006/main">
                  <a:graphicData uri="http://schemas.microsoft.com/office/word/2010/wordprocessingShape">
                    <wps:wsp>
                      <wps:cNvSpPr txBox="1"/>
                      <wps:spPr>
                        <a:xfrm>
                          <a:off x="0" y="0"/>
                          <a:ext cx="2851150" cy="612775"/>
                        </a:xfrm>
                        <a:prstGeom prst="rect">
                          <a:avLst/>
                        </a:prstGeom>
                        <a:solidFill>
                          <a:prstClr val="white"/>
                        </a:solidFill>
                        <a:ln>
                          <a:noFill/>
                        </a:ln>
                      </wps:spPr>
                      <wps:txbx>
                        <w:txbxContent>
                          <w:p w14:paraId="30FE3D99" w14:textId="557BAFBE" w:rsidR="00933456" w:rsidRPr="0033183A" w:rsidRDefault="00933456" w:rsidP="004D2415">
                            <w:pPr>
                              <w:pStyle w:val="Caption"/>
                              <w:rPr>
                                <w:i/>
                                <w:noProof/>
                              </w:rPr>
                            </w:pPr>
                            <w:bookmarkStart w:id="90" w:name="_Toc80120172"/>
                            <w:bookmarkStart w:id="91" w:name="_Toc80884048"/>
                            <w:bookmarkStart w:id="92" w:name="_Toc80884419"/>
                            <w:bookmarkStart w:id="93" w:name="_Toc82386273"/>
                            <w:r>
                              <w:t xml:space="preserve">Figure </w:t>
                            </w:r>
                            <w:r w:rsidRPr="0033183A">
                              <w:t>2.1</w:t>
                            </w:r>
                            <w:r>
                              <w:t>4</w:t>
                            </w:r>
                            <w:r w:rsidRPr="0033183A">
                              <w:t>:</w:t>
                            </w:r>
                            <w:r>
                              <w:tab/>
                            </w:r>
                            <w:r w:rsidRPr="0033183A">
                              <w:t xml:space="preserve">Percentage of </w:t>
                            </w:r>
                            <w:r w:rsidRPr="004D2415">
                              <w:t>Households</w:t>
                            </w:r>
                            <w:r w:rsidRPr="0033183A">
                              <w:t xml:space="preserve"> </w:t>
                            </w:r>
                            <w:r>
                              <w:t xml:space="preserve">with </w:t>
                            </w:r>
                            <w:r w:rsidRPr="0033183A">
                              <w:t xml:space="preserve">Sufficient Land for Agriculture Activities, 2019/20 </w:t>
                            </w:r>
                            <w:r>
                              <w:t>Agricultural Year, Mainland Tanzania</w:t>
                            </w:r>
                            <w:bookmarkEnd w:id="90"/>
                            <w:bookmarkEnd w:id="91"/>
                            <w:bookmarkEnd w:id="92"/>
                            <w:bookmarkEnd w:id="9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227996" id="Text Box 324" o:spid="_x0000_s1039" type="#_x0000_t202" style="position:absolute;left:0;text-align:left;margin-left:-2.3pt;margin-top:419.5pt;width:224.5pt;height:48.25pt;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" stroked="f">
                <v:textbox inset="0,0,0,0">
                  <w:txbxContent>
                    <w:p w14:paraId="30FE3D99" w14:textId="557BAFBE" w:rsidR="00933456" w:rsidRPr="0033183A" w:rsidRDefault="00933456" w:rsidP="004D2415">
                      <w:pPr>
                        <w:pStyle w:val="Caption"/>
                        <w:rPr>
                          <w:i/>
                          <w:noProof/>
                        </w:rPr>
                      </w:pPr>
                      <w:bookmarkStart w:id="130" w:name="_Toc80120172"/>
                      <w:bookmarkStart w:id="131" w:name="_Toc80884048"/>
                      <w:bookmarkStart w:id="132" w:name="_Toc80884419"/>
                      <w:bookmarkStart w:id="133" w:name="_Toc82386273"/>
                      <w:r>
                        <w:t xml:space="preserve">Figure </w:t>
                      </w:r>
                      <w:r w:rsidRPr="0033183A">
                        <w:t>2.1</w:t>
                      </w:r>
                      <w:r>
                        <w:t>4</w:t>
                      </w:r>
                      <w:r w:rsidRPr="0033183A">
                        <w:t>:</w:t>
                      </w:r>
                      <w:r>
                        <w:tab/>
                      </w:r>
                      <w:r w:rsidRPr="0033183A">
                        <w:t xml:space="preserve">Percentage of </w:t>
                      </w:r>
                      <w:r w:rsidRPr="004D2415">
                        <w:t>Households</w:t>
                      </w:r>
                      <w:r w:rsidRPr="0033183A">
                        <w:t xml:space="preserve"> </w:t>
                      </w:r>
                      <w:r>
                        <w:t xml:space="preserve">with </w:t>
                      </w:r>
                      <w:r w:rsidRPr="0033183A">
                        <w:t xml:space="preserve">Sufficient Land for Agriculture Activities, 2019/20 </w:t>
                      </w:r>
                      <w:r>
                        <w:t>Agricultural Year, Mainland Tanzania</w:t>
                      </w:r>
                      <w:bookmarkEnd w:id="130"/>
                      <w:bookmarkEnd w:id="131"/>
                      <w:bookmarkEnd w:id="132"/>
                      <w:bookmarkEnd w:id="133"/>
                    </w:p>
                  </w:txbxContent>
                </v:textbox>
                <w10:wrap type="square" anchory="page"/>
              </v:shape>
            </w:pict>
          </mc:Fallback>
        </mc:AlternateContent>
      </w:r>
      <w:r w:rsidR="00D90534">
        <w:rPr>
          <w:noProof/>
        </w:rPr>
        <w:drawing>
          <wp:anchor distT="0" distB="0" distL="114300" distR="114300" simplePos="0" relativeHeight="251544576" behindDoc="1" locked="0" layoutInCell="1" allowOverlap="1" wp14:anchorId="2039B3B2" wp14:editId="44360317">
            <wp:simplePos x="0" y="0"/>
            <wp:positionH relativeFrom="column">
              <wp:posOffset>-27295</wp:posOffset>
            </wp:positionH>
            <wp:positionV relativeFrom="page">
              <wp:posOffset>6047605</wp:posOffset>
            </wp:positionV>
            <wp:extent cx="2851150" cy="1791335"/>
            <wp:effectExtent l="0" t="0" r="6350" b="12065"/>
            <wp:wrapTight wrapText="bothSides">
              <wp:wrapPolygon edited="0">
                <wp:start x="0" y="0"/>
                <wp:lineTo x="0" y="21592"/>
                <wp:lineTo x="21552" y="21592"/>
                <wp:lineTo x="21552" y="0"/>
                <wp:lineTo x="0" y="0"/>
              </wp:wrapPolygon>
            </wp:wrapTight>
            <wp:docPr id="325" name="Chart 3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14:sizeRelH relativeFrom="margin">
              <wp14:pctWidth>0</wp14:pctWidth>
            </wp14:sizeRelH>
            <wp14:sizeRelV relativeFrom="margin">
              <wp14:pctHeight>0</wp14:pctHeight>
            </wp14:sizeRelV>
          </wp:anchor>
        </w:drawing>
      </w:r>
    </w:p>
    <w:p w14:paraId="64FB3DF4" w14:textId="2C970ACC" w:rsidR="00D90534" w:rsidRDefault="00D90534">
      <w:pPr>
        <w:spacing w:line="240" w:lineRule="auto"/>
        <w:contextualSpacing w:val="0"/>
        <w:jc w:val="left"/>
      </w:pPr>
      <w:r>
        <w:br w:type="page"/>
      </w:r>
    </w:p>
    <w:p w14:paraId="5131A1CC" w14:textId="0BFF3FDD" w:rsidR="00715E4F" w:rsidRPr="006B42D6" w:rsidRDefault="00715E4F" w:rsidP="005C2EFC">
      <w:pPr>
        <w:pStyle w:val="Heading3"/>
      </w:pPr>
      <w:bookmarkStart w:id="94" w:name="_Toc82385639"/>
      <w:r w:rsidRPr="006B42D6">
        <w:lastRenderedPageBreak/>
        <w:t>2.</w:t>
      </w:r>
      <w:r w:rsidR="003F4EAA">
        <w:t>7</w:t>
      </w:r>
      <w:r w:rsidRPr="006B42D6">
        <w:t>.3</w:t>
      </w:r>
      <w:r w:rsidR="00E763F5" w:rsidRPr="006B42D6">
        <w:tab/>
      </w:r>
      <w:r w:rsidRPr="006B42D6">
        <w:t>Land Use Patterns</w:t>
      </w:r>
      <w:bookmarkEnd w:id="94"/>
      <w:r w:rsidRPr="006B42D6">
        <w:t xml:space="preserve"> </w:t>
      </w:r>
    </w:p>
    <w:p w14:paraId="7818FF0D" w14:textId="1DB3A5E3" w:rsidR="00715E4F" w:rsidRDefault="00715E4F" w:rsidP="004E430B">
      <w:pPr>
        <w:rPr>
          <w:noProof/>
        </w:rPr>
      </w:pPr>
      <w:r w:rsidRPr="006B42D6">
        <w:t>The area with annual crops only (including fallow) accounts for 66.4 percent (12,025,818 ha) of the total land area with crops, whereas the area with permanent crops only (including planted trees) accounts for 16 percent (2,878,035 ha) of the total land area with crops.</w:t>
      </w:r>
      <w:r w:rsidR="00BD0BDE" w:rsidRPr="00BD0BDE">
        <w:rPr>
          <w:noProof/>
        </w:rPr>
        <w:t xml:space="preserve"> </w:t>
      </w:r>
    </w:p>
    <w:p w14:paraId="5E2BA611" w14:textId="60549BAF" w:rsidR="00532146" w:rsidRDefault="00532146" w:rsidP="00395E7C">
      <w:pPr>
        <w:spacing w:line="240" w:lineRule="auto"/>
      </w:pPr>
    </w:p>
    <w:p w14:paraId="28E56350" w14:textId="4AA3AE8F" w:rsidR="000F7E68" w:rsidRDefault="000F7E68" w:rsidP="004E430B">
      <w:r w:rsidRPr="006B42D6">
        <w:t>The area of land under temporary/annual crops was the most common type of agriculture land use in Tanzania, constituting 7,001,607 hectares (3</w:t>
      </w:r>
      <w:r>
        <w:t>8.7</w:t>
      </w:r>
      <w:r w:rsidRPr="006B42D6">
        <w:t xml:space="preserve"> percent</w:t>
      </w:r>
      <w:r>
        <w:t>)</w:t>
      </w:r>
      <w:r w:rsidRPr="006B42D6">
        <w:t xml:space="preserve"> of the land available to smallholder farmers. This was followed by area under temporary mixed crops 3,486,683 ha (19</w:t>
      </w:r>
      <w:r>
        <w:t>.3</w:t>
      </w:r>
      <w:r w:rsidRPr="006B42D6">
        <w:t xml:space="preserve"> percent) whilst the area under fish farming was the least common type of land use (0.04 percent) and only 1.4 percent of usable land available to smallholders was not used (Figure 2.1</w:t>
      </w:r>
      <w:r>
        <w:t>6</w:t>
      </w:r>
      <w:r w:rsidRPr="006B42D6">
        <w:rPr>
          <w:i/>
        </w:rPr>
        <w:t>).</w:t>
      </w:r>
      <w:r>
        <w:t xml:space="preserve"> On the</w:t>
      </w:r>
      <w:r w:rsidRPr="006B42D6">
        <w:t xml:space="preserve"> other </w:t>
      </w:r>
      <w:r>
        <w:t>hand,</w:t>
      </w:r>
      <w:r w:rsidRPr="006B42D6">
        <w:t xml:space="preserve"> area under permanent </w:t>
      </w:r>
      <w:r>
        <w:t xml:space="preserve">crops </w:t>
      </w:r>
      <w:r w:rsidRPr="006B42D6">
        <w:t>is in three categories; area under permanent/</w:t>
      </w:r>
      <w:r>
        <w:t xml:space="preserve">temporary </w:t>
      </w:r>
      <w:r w:rsidRPr="006B42D6">
        <w:t>mix</w:t>
      </w:r>
      <w:r>
        <w:t>ed crops</w:t>
      </w:r>
      <w:r w:rsidRPr="006B42D6">
        <w:t xml:space="preserve"> (1,198,335 ha;</w:t>
      </w:r>
      <w:r>
        <w:t xml:space="preserve"> 6.6</w:t>
      </w:r>
      <w:r w:rsidRPr="006B42D6">
        <w:t xml:space="preserve"> percent), area under permanent mono crops (1,001,752 ha; </w:t>
      </w:r>
      <w:r>
        <w:t>5.5</w:t>
      </w:r>
      <w:r w:rsidRPr="006B42D6">
        <w:t xml:space="preserve"> percent) and area under permanent mixed crops (417,773 ha; 2</w:t>
      </w:r>
      <w:r>
        <w:t>.3</w:t>
      </w:r>
      <w:r w:rsidRPr="006B42D6">
        <w:t xml:space="preserve"> percent).</w:t>
      </w:r>
    </w:p>
    <w:p w14:paraId="44BE4494" w14:textId="5259CE1C" w:rsidR="000F7E68" w:rsidRDefault="000F7E68" w:rsidP="004E430B"/>
    <w:p w14:paraId="1FA29D3A" w14:textId="499D72CE" w:rsidR="000F7E68" w:rsidRPr="00BD0BDE" w:rsidRDefault="000F7E68" w:rsidP="000F7E68">
      <w:pPr>
        <w:pStyle w:val="Caption"/>
        <w:rPr>
          <w:i/>
          <w:noProof/>
        </w:rPr>
      </w:pPr>
      <w:bookmarkStart w:id="95" w:name="_Toc82386275"/>
      <w:r>
        <w:rPr>
          <w:noProof/>
        </w:rPr>
        <w:drawing>
          <wp:anchor distT="0" distB="0" distL="114300" distR="114300" simplePos="0" relativeHeight="251738112" behindDoc="1" locked="0" layoutInCell="1" allowOverlap="1" wp14:anchorId="2E903728" wp14:editId="03DC6E52">
            <wp:simplePos x="0" y="0"/>
            <wp:positionH relativeFrom="column">
              <wp:posOffset>3175</wp:posOffset>
            </wp:positionH>
            <wp:positionV relativeFrom="paragraph">
              <wp:posOffset>265430</wp:posOffset>
            </wp:positionV>
            <wp:extent cx="5852160" cy="3434715"/>
            <wp:effectExtent l="0" t="0" r="15240" b="6985"/>
            <wp:wrapTight wrapText="bothSides">
              <wp:wrapPolygon edited="0">
                <wp:start x="0" y="0"/>
                <wp:lineTo x="0" y="21564"/>
                <wp:lineTo x="21609" y="21564"/>
                <wp:lineTo x="21609" y="0"/>
                <wp:lineTo x="0" y="0"/>
              </wp:wrapPolygon>
            </wp:wrapTight>
            <wp:docPr id="127" name="Chart 127">
              <a:extLst xmlns:a="http://schemas.openxmlformats.org/drawingml/2006/main">
                <a:ext uri="{FF2B5EF4-FFF2-40B4-BE49-F238E27FC236}">
                  <a16:creationId xmlns:a16="http://schemas.microsoft.com/office/drawing/2014/main" id="{DA795703-ECE7-E541-B776-D0B07274FA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14:sizeRelH relativeFrom="page">
              <wp14:pctWidth>0</wp14:pctWidth>
            </wp14:sizeRelH>
            <wp14:sizeRelV relativeFrom="page">
              <wp14:pctHeight>0</wp14:pctHeight>
            </wp14:sizeRelV>
          </wp:anchor>
        </w:drawing>
      </w:r>
      <w:r w:rsidRPr="0033183A">
        <w:t>Figure 2.1</w:t>
      </w:r>
      <w:r>
        <w:t>6</w:t>
      </w:r>
      <w:r w:rsidRPr="0033183A">
        <w:t>:</w:t>
      </w:r>
      <w:r>
        <w:tab/>
      </w:r>
      <w:r w:rsidRPr="0033183A">
        <w:t>Land Area by Type of Land Use</w:t>
      </w:r>
      <w:r>
        <w:t xml:space="preserve"> During </w:t>
      </w:r>
      <w:r w:rsidRPr="0033183A">
        <w:t xml:space="preserve">2019/20 </w:t>
      </w:r>
      <w:r>
        <w:t>Agricultural Year, Tanzania</w:t>
      </w:r>
      <w:bookmarkEnd w:id="95"/>
    </w:p>
    <w:p w14:paraId="0C3CEE6A" w14:textId="2986B9F6" w:rsidR="00D90534" w:rsidRDefault="00D90534">
      <w:pPr>
        <w:spacing w:line="240" w:lineRule="auto"/>
        <w:contextualSpacing w:val="0"/>
        <w:jc w:val="left"/>
      </w:pPr>
      <w:r>
        <w:br w:type="page"/>
      </w:r>
    </w:p>
    <w:p w14:paraId="189317E6" w14:textId="3D60B9FD" w:rsidR="00381B36" w:rsidRDefault="00381B36" w:rsidP="00AE40CD">
      <w:r w:rsidRPr="006B42D6">
        <w:lastRenderedPageBreak/>
        <w:t xml:space="preserve">In </w:t>
      </w:r>
      <w:r w:rsidR="00EA1552">
        <w:t>Mainland Tanzania</w:t>
      </w:r>
      <w:r w:rsidRPr="006B42D6">
        <w:t xml:space="preserve">, Dodoma region had the largest area of land which </w:t>
      </w:r>
      <w:r w:rsidR="004D1817">
        <w:t>was</w:t>
      </w:r>
      <w:r w:rsidRPr="006B42D6">
        <w:t xml:space="preserve"> utilized for agricultural activities (1,898,275 ha; 10.0 percent)</w:t>
      </w:r>
      <w:r w:rsidR="004D1817">
        <w:t>,</w:t>
      </w:r>
      <w:r w:rsidRPr="006B42D6">
        <w:t xml:space="preserve"> followed by Tabora (1,517,591 ha; 8.5 percent) and Ruvuma (1,208,782 ha; 6.7 percent). The regions with the least utilized land for production of annual crops were Kilimanjaro and Katavi which both have 163,548 ha</w:t>
      </w:r>
      <w:r w:rsidR="004D1817">
        <w:t xml:space="preserve"> (</w:t>
      </w:r>
      <w:r w:rsidRPr="006B42D6">
        <w:t>1.4 percent)</w:t>
      </w:r>
      <w:r w:rsidR="004D1817">
        <w:t xml:space="preserve"> </w:t>
      </w:r>
      <w:r w:rsidRPr="006B42D6">
        <w:t>(Figure 2.1</w:t>
      </w:r>
      <w:r w:rsidR="00F95387">
        <w:t>7</w:t>
      </w:r>
      <w:r w:rsidRPr="006B42D6">
        <w:t xml:space="preserve">). </w:t>
      </w:r>
    </w:p>
    <w:p w14:paraId="2180F941" w14:textId="6BE6E929" w:rsidR="00AE40CD" w:rsidRDefault="00AE40CD" w:rsidP="00AE40CD"/>
    <w:p w14:paraId="55E3EC1B" w14:textId="2073980B" w:rsidR="00715E4F" w:rsidRPr="006B42D6" w:rsidRDefault="00715E4F" w:rsidP="0085728C">
      <w:pPr>
        <w:pStyle w:val="Caption"/>
        <w:tabs>
          <w:tab w:val="left" w:pos="8364"/>
        </w:tabs>
        <w:rPr>
          <w:b w:val="0"/>
          <w:i/>
        </w:rPr>
      </w:pPr>
      <w:bookmarkStart w:id="96" w:name="_Toc82386276"/>
      <w:r w:rsidRPr="006B42D6">
        <w:t>Figure 2.1</w:t>
      </w:r>
      <w:r w:rsidR="00F95387">
        <w:t>7:</w:t>
      </w:r>
      <w:r w:rsidR="00AE40CD">
        <w:tab/>
      </w:r>
      <w:r w:rsidRPr="006B42D6">
        <w:t>Distribution of Land Utilization by Region</w:t>
      </w:r>
      <w:r w:rsidR="0033183A" w:rsidRPr="006B42D6">
        <w:t xml:space="preserve"> During </w:t>
      </w:r>
      <w:r w:rsidRPr="006B42D6">
        <w:t xml:space="preserve">2019/20 </w:t>
      </w:r>
      <w:r w:rsidR="0033183A" w:rsidRPr="006B42D6">
        <w:t>Agricultural Year</w:t>
      </w:r>
      <w:r w:rsidR="004D2415" w:rsidRPr="006B42D6">
        <w:t xml:space="preserve">, </w:t>
      </w:r>
      <w:r w:rsidR="00EA1552">
        <w:t>Mainland Tanzania</w:t>
      </w:r>
      <w:bookmarkEnd w:id="96"/>
    </w:p>
    <w:p w14:paraId="23E5B9B4" w14:textId="32A8E470" w:rsidR="00715E4F" w:rsidRPr="006B42D6" w:rsidRDefault="001B26AC" w:rsidP="008C3B03">
      <w:pPr>
        <w:spacing w:before="100" w:beforeAutospacing="1" w:after="100" w:afterAutospacing="1" w:line="240" w:lineRule="auto"/>
      </w:pPr>
      <w:r w:rsidRPr="006B42D6">
        <w:rPr>
          <w:noProof/>
        </w:rPr>
        <w:drawing>
          <wp:inline distT="0" distB="0" distL="0" distR="0" wp14:anchorId="4CDA24CD" wp14:editId="0D84197F">
            <wp:extent cx="5918200" cy="3045460"/>
            <wp:effectExtent l="0" t="0" r="12700" b="15240"/>
            <wp:docPr id="151" name="Chart 3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14:paraId="080CA48E" w14:textId="77777777" w:rsidR="004F27E9" w:rsidRDefault="004F27E9" w:rsidP="00395E7C">
      <w:pPr>
        <w:spacing w:line="240" w:lineRule="auto"/>
      </w:pPr>
    </w:p>
    <w:p w14:paraId="79CD7249" w14:textId="562E82EA" w:rsidR="00381B36" w:rsidRPr="006B42D6" w:rsidRDefault="00381B36" w:rsidP="00AE40CD">
      <w:r w:rsidRPr="006B42D6">
        <w:t>In Tanzania Zanzibar, Kusini Pemba region had the largest area of land which was utilized used for agricultural activities (65,903 ha; 38.0 percent), followed by kaskazini Pemba (33,963 ha; 19.6 percent)</w:t>
      </w:r>
      <w:r w:rsidR="00FB281E" w:rsidRPr="006B42D6">
        <w:t>.</w:t>
      </w:r>
      <w:r w:rsidRPr="006B42D6">
        <w:t xml:space="preserve"> The regions with the least utilized land for production of annual crops were Kusini Unguja (18,275 ha;</w:t>
      </w:r>
      <w:r w:rsidR="00910B94">
        <w:t xml:space="preserve"> </w:t>
      </w:r>
      <w:r w:rsidRPr="006B42D6">
        <w:t>10.5 percent). But this does not necessarily mean that, regions with the highest or least area, are the most or least crop producing regions in the country (Figure 2.</w:t>
      </w:r>
      <w:r w:rsidR="00F95387">
        <w:t>18</w:t>
      </w:r>
      <w:r w:rsidRPr="006B42D6">
        <w:t xml:space="preserve">). </w:t>
      </w:r>
    </w:p>
    <w:p w14:paraId="06A4C2AF" w14:textId="38F60630" w:rsidR="00B2114A" w:rsidRDefault="00B2114A">
      <w:pPr>
        <w:spacing w:line="240" w:lineRule="auto"/>
        <w:contextualSpacing w:val="0"/>
        <w:jc w:val="left"/>
        <w:rPr>
          <w:b/>
          <w:iCs/>
          <w:color w:val="000000" w:themeColor="text1"/>
          <w:sz w:val="20"/>
          <w:szCs w:val="18"/>
        </w:rPr>
      </w:pPr>
      <w:r>
        <w:br w:type="page"/>
      </w:r>
    </w:p>
    <w:p w14:paraId="2C9CCD1D" w14:textId="163C4812" w:rsidR="00715E4F" w:rsidRPr="006B42D6" w:rsidRDefault="00715E4F" w:rsidP="004D2415">
      <w:pPr>
        <w:pStyle w:val="Caption"/>
        <w:rPr>
          <w:b w:val="0"/>
          <w:i/>
        </w:rPr>
      </w:pPr>
      <w:bookmarkStart w:id="97" w:name="_Toc82386277"/>
      <w:r w:rsidRPr="006B42D6">
        <w:lastRenderedPageBreak/>
        <w:t>Figure 2.</w:t>
      </w:r>
      <w:r w:rsidR="00F95387">
        <w:t>18</w:t>
      </w:r>
      <w:r w:rsidR="001629E1">
        <w:t>:</w:t>
      </w:r>
      <w:r w:rsidR="00AE40CD">
        <w:tab/>
      </w:r>
      <w:r w:rsidRPr="006B42D6">
        <w:t>Distribution of Land Utilization by Region</w:t>
      </w:r>
      <w:r w:rsidR="0033183A" w:rsidRPr="006B42D6">
        <w:t xml:space="preserve"> During 2019/20 Agricultural Year</w:t>
      </w:r>
      <w:r w:rsidR="004D2415" w:rsidRPr="006B42D6">
        <w:t>, Tanzania</w:t>
      </w:r>
      <w:r w:rsidR="0033183A" w:rsidRPr="006B42D6">
        <w:t xml:space="preserve"> </w:t>
      </w:r>
      <w:r w:rsidR="00FB281E" w:rsidRPr="006B42D6">
        <w:t>Zanzibar</w:t>
      </w:r>
      <w:bookmarkEnd w:id="97"/>
    </w:p>
    <w:p w14:paraId="60926EA2" w14:textId="77777777" w:rsidR="001E5FC2" w:rsidRDefault="001B26AC" w:rsidP="00F95387">
      <w:pPr>
        <w:spacing w:before="100" w:beforeAutospacing="1" w:after="100" w:afterAutospacing="1"/>
        <w:rPr>
          <w:b/>
        </w:rPr>
      </w:pPr>
      <w:r w:rsidRPr="006B42D6">
        <w:rPr>
          <w:noProof/>
        </w:rPr>
        <w:drawing>
          <wp:inline distT="0" distB="0" distL="0" distR="0" wp14:anchorId="67C3ACD8" wp14:editId="779F7D9A">
            <wp:extent cx="6049108" cy="3336290"/>
            <wp:effectExtent l="0" t="0" r="8890" b="16510"/>
            <wp:docPr id="150" name="Chart 33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14:paraId="13AD793B" w14:textId="77777777" w:rsidR="001E5FC2" w:rsidRDefault="001E5FC2" w:rsidP="001E5FC2"/>
    <w:p w14:paraId="7CB75D45" w14:textId="40623C3B" w:rsidR="00C86D48" w:rsidRPr="001E5FC2" w:rsidRDefault="00C86D48" w:rsidP="001E5FC2">
      <w:pPr>
        <w:sectPr w:rsidR="00C86D48" w:rsidRPr="001E5FC2" w:rsidSect="00606398">
          <w:type w:val="nextColumn"/>
          <w:pgSz w:w="11900" w:h="16840" w:code="9"/>
          <w:pgMar w:top="1440" w:right="1440" w:bottom="1440" w:left="1440" w:header="709" w:footer="709" w:gutter="0"/>
          <w:pgNumType w:start="1"/>
          <w:cols w:space="720"/>
          <w:docGrid w:linePitch="360"/>
        </w:sectPr>
      </w:pPr>
    </w:p>
    <w:p w14:paraId="4B14D631" w14:textId="6CAB2500" w:rsidR="00DD7DBB" w:rsidRDefault="00DD7DBB" w:rsidP="00DD7DBB">
      <w:pPr>
        <w:pStyle w:val="Title"/>
      </w:pPr>
      <w:bookmarkStart w:id="98" w:name="_Toc82385640"/>
      <w:r>
        <w:lastRenderedPageBreak/>
        <w:t xml:space="preserve">CHAPTER </w:t>
      </w:r>
      <w:r w:rsidRPr="00DD7DBB">
        <w:t>THREE</w:t>
      </w:r>
      <w:bookmarkEnd w:id="98"/>
    </w:p>
    <w:p w14:paraId="02B7FC0C" w14:textId="78AACA03" w:rsidR="00A36B36" w:rsidRPr="006B42D6" w:rsidRDefault="00A36B36" w:rsidP="00DD7DBB">
      <w:pPr>
        <w:pStyle w:val="Subtitle"/>
      </w:pPr>
      <w:bookmarkStart w:id="99" w:name="_Toc82385641"/>
      <w:r w:rsidRPr="006B42D6">
        <w:t>CROPS RESULTS</w:t>
      </w:r>
      <w:bookmarkEnd w:id="99"/>
    </w:p>
    <w:p w14:paraId="361D3294" w14:textId="08B30D5A" w:rsidR="00E16412" w:rsidRPr="006B42D6" w:rsidRDefault="00E16412" w:rsidP="001174B4">
      <w:pPr>
        <w:pStyle w:val="Heading1"/>
      </w:pPr>
      <w:bookmarkStart w:id="100" w:name="_Toc82385642"/>
      <w:r w:rsidRPr="006B42D6">
        <w:t>3.</w:t>
      </w:r>
      <w:r w:rsidR="001174B4">
        <w:t>0</w:t>
      </w:r>
      <w:r w:rsidRPr="006B42D6">
        <w:tab/>
        <w:t>Introduction</w:t>
      </w:r>
      <w:bookmarkEnd w:id="100"/>
    </w:p>
    <w:p w14:paraId="5A166D78" w14:textId="7761B2F6" w:rsidR="00FB281E" w:rsidRPr="006B42D6" w:rsidRDefault="00FB281E" w:rsidP="00AE40CD">
      <w:r w:rsidRPr="006B42D6">
        <w:t>This chapter presents in-depth census results on households engaged in various crop productions both annual crops (during short and long rainy seasons) and permanent or perennial crops. The crop sub-sector plays an important role in the economy of Tanzania. During 2020 the sub-sector recorded a growth of 5.0 percent and accounted for 15.4 percent share to the National GDP (Economic Survey 2020). The crop production covers types of crops produced, area planted and harvested, quantity harvested and yield. Apart from crop production the chapter also provides the results on agro-processing, irrigation, inputs use, crop marketing, access to farm inputs, crop extension services</w:t>
      </w:r>
      <w:r w:rsidR="00AE0999">
        <w:t xml:space="preserve"> and</w:t>
      </w:r>
      <w:r w:rsidRPr="006B42D6">
        <w:t xml:space="preserve"> agricultural mechanization</w:t>
      </w:r>
      <w:r w:rsidR="00AE0999">
        <w:t>.</w:t>
      </w:r>
    </w:p>
    <w:p w14:paraId="02847293" w14:textId="77777777" w:rsidR="00E16412" w:rsidRPr="006B42D6" w:rsidRDefault="00E16412" w:rsidP="006F02CB">
      <w:pPr>
        <w:spacing w:line="240" w:lineRule="auto"/>
      </w:pPr>
    </w:p>
    <w:p w14:paraId="2E2C210F" w14:textId="0F77A810" w:rsidR="00E16412" w:rsidRPr="006B42D6" w:rsidRDefault="00E16412" w:rsidP="005C2EFC">
      <w:pPr>
        <w:pStyle w:val="Heading2"/>
      </w:pPr>
      <w:bookmarkStart w:id="101" w:name="_Toc82385643"/>
      <w:r w:rsidRPr="006B42D6">
        <w:t>3.</w:t>
      </w:r>
      <w:r w:rsidR="001174B4">
        <w:t>1</w:t>
      </w:r>
      <w:r w:rsidRPr="006B42D6">
        <w:tab/>
        <w:t>Crop Production</w:t>
      </w:r>
      <w:bookmarkEnd w:id="101"/>
    </w:p>
    <w:p w14:paraId="4FAC213A" w14:textId="5A124789" w:rsidR="00B857FB" w:rsidRPr="006B42D6" w:rsidRDefault="00B857FB" w:rsidP="00AE40CD">
      <w:r w:rsidRPr="006B42D6">
        <w:t xml:space="preserve">Annual crop production is practiced either in one or two seasons per year, depending on the rainfall pattern. Areas with a unimodal rain pattern receive only the main rainy season (Masika), while areas with a bimodal rain pattern receive rains in two seasons, one being the short rainy season (Vuli) and the other being the long or main rainy season (Masika). Findings on annual crop production are presented by considering different crop groups namely cereals, roots and tubers, pulses, oil seeds and nuts, fruits and vegetables in both </w:t>
      </w:r>
      <w:r w:rsidR="00EA1552">
        <w:t>Mainland Tanzania</w:t>
      </w:r>
      <w:r w:rsidRPr="006B42D6">
        <w:t xml:space="preserve"> and </w:t>
      </w:r>
      <w:r w:rsidR="00DB76D8" w:rsidRPr="006B42D6">
        <w:t xml:space="preserve">Tanzania </w:t>
      </w:r>
      <w:r w:rsidRPr="006B42D6">
        <w:t>Zanzibar.</w:t>
      </w:r>
    </w:p>
    <w:p w14:paraId="1E8F9D1E" w14:textId="77777777" w:rsidR="00E16412" w:rsidRPr="006B42D6" w:rsidRDefault="00E16412" w:rsidP="006F02CB">
      <w:pPr>
        <w:spacing w:line="240" w:lineRule="auto"/>
      </w:pPr>
    </w:p>
    <w:p w14:paraId="068B3A08" w14:textId="043323CE" w:rsidR="00E16412" w:rsidRPr="006B42D6" w:rsidRDefault="00E16412" w:rsidP="006A4916">
      <w:pPr>
        <w:pStyle w:val="Heading3"/>
      </w:pPr>
      <w:bookmarkStart w:id="102" w:name="_Toc82385644"/>
      <w:r w:rsidRPr="006B42D6">
        <w:t>3.</w:t>
      </w:r>
      <w:r w:rsidR="001174B4">
        <w:t>1</w:t>
      </w:r>
      <w:r w:rsidRPr="006B42D6">
        <w:t>.1</w:t>
      </w:r>
      <w:r w:rsidRPr="006B42D6">
        <w:tab/>
        <w:t>Cereals Crop Production</w:t>
      </w:r>
      <w:bookmarkEnd w:id="102"/>
    </w:p>
    <w:p w14:paraId="049036AD" w14:textId="398B2B8D" w:rsidR="00B857FB" w:rsidRPr="006B42D6" w:rsidRDefault="00B857FB" w:rsidP="005C2EFC">
      <w:r w:rsidRPr="006B42D6">
        <w:t>Cereal crops are annual crops grown to produce grains which are mainly used as food, and animal feed</w:t>
      </w:r>
      <w:r w:rsidR="00DB76D8" w:rsidRPr="006B42D6">
        <w:t>s</w:t>
      </w:r>
      <w:r w:rsidRPr="006B42D6">
        <w:t xml:space="preserve">. The major cereal crops produced in Tanzania are maize, paddy, sorghum, finger millet, bulrush millet, wheat and barley. </w:t>
      </w:r>
    </w:p>
    <w:p w14:paraId="6782F5FC" w14:textId="77777777" w:rsidR="00B857FB" w:rsidRPr="006B42D6" w:rsidRDefault="00B857FB" w:rsidP="00AE40CD">
      <w:pPr>
        <w:spacing w:line="240" w:lineRule="auto"/>
      </w:pPr>
    </w:p>
    <w:p w14:paraId="2B8E3329" w14:textId="63BAB669" w:rsidR="00B857FB" w:rsidRPr="006B42D6" w:rsidRDefault="00B857FB" w:rsidP="005C2EFC">
      <w:r w:rsidRPr="006B42D6">
        <w:t>The 2019/20 NSCA results show that, a total of 7,448,402 ha were planted with cereal crops in Tanzania during 2019/20 agricultural year out of which 7,406,207 ha (99.4 percent) occupied by smallholder farmers and 42,195 ha (0.6 percent) occupied by large scale farms. O</w:t>
      </w:r>
      <w:r w:rsidR="00532146">
        <w:t xml:space="preserve">ut of </w:t>
      </w:r>
      <w:r w:rsidRPr="006B42D6">
        <w:t xml:space="preserve">the total planted area by smallholder farmers, 7,369,459 ha were in </w:t>
      </w:r>
      <w:r w:rsidR="00EA1552">
        <w:t>Mainland Tanzania</w:t>
      </w:r>
      <w:r w:rsidRPr="006B42D6">
        <w:t xml:space="preserve"> and 36,748 ha in </w:t>
      </w:r>
      <w:r w:rsidR="00DB76D8" w:rsidRPr="006B42D6">
        <w:t xml:space="preserve">Tanzania </w:t>
      </w:r>
      <w:r w:rsidRPr="006B42D6">
        <w:t>Zanzibar. Maize occupied the largest planted area</w:t>
      </w:r>
      <w:r w:rsidR="00FB281E" w:rsidRPr="006B42D6">
        <w:t xml:space="preserve"> of </w:t>
      </w:r>
      <w:r w:rsidRPr="006B42D6">
        <w:t>4,931,111 ha</w:t>
      </w:r>
      <w:r w:rsidR="00FB281E" w:rsidRPr="006B42D6">
        <w:t xml:space="preserve"> (</w:t>
      </w:r>
      <w:r w:rsidRPr="006B42D6">
        <w:t xml:space="preserve">66.6 percent), followed by paddy (1,688,241 ha; 22.8 percent) and sorghum </w:t>
      </w:r>
      <w:r w:rsidRPr="006B42D6">
        <w:lastRenderedPageBreak/>
        <w:t xml:space="preserve">(512,888 ha; 6.9 percent) while other cereal crops (bulrush millet, finger millet, wheat and barley) jointly occupied </w:t>
      </w:r>
      <w:r w:rsidR="00532146">
        <w:t>the</w:t>
      </w:r>
      <w:r w:rsidRPr="006B42D6">
        <w:t xml:space="preserve"> smallest planted area of 273,967 ha (3.7 percent) (Table 3.1). </w:t>
      </w:r>
    </w:p>
    <w:p w14:paraId="2235BE5E" w14:textId="77777777" w:rsidR="00B857FB" w:rsidRPr="006B42D6" w:rsidRDefault="00B857FB" w:rsidP="00AE40CD">
      <w:pPr>
        <w:spacing w:line="240" w:lineRule="auto"/>
      </w:pPr>
    </w:p>
    <w:p w14:paraId="094D7B19" w14:textId="00D859A4" w:rsidR="00B857FB" w:rsidRPr="006B42D6" w:rsidRDefault="00B857FB" w:rsidP="005C2EFC">
      <w:r w:rsidRPr="006B42D6">
        <w:t xml:space="preserve">Likewise, the total harvested area with cereal crops by smallholder farmers in Tanzania was 6,518,577 ha of which 6,491,761 ha were reported in </w:t>
      </w:r>
      <w:r w:rsidR="00EA1552">
        <w:t>Mainland Tanzania</w:t>
      </w:r>
      <w:r w:rsidRPr="006B42D6">
        <w:t xml:space="preserve"> and 26,817 ha in </w:t>
      </w:r>
      <w:r w:rsidR="00DB76D8" w:rsidRPr="006B42D6">
        <w:t xml:space="preserve">Tanzania </w:t>
      </w:r>
      <w:r w:rsidRPr="006B42D6">
        <w:t xml:space="preserve">Zanzibar. The total harvested area with cereal crops was 88.0 percent of the total area planted with cereal crops by smallholder farmers during 2019/20 agricultural year (Table 3.1). </w:t>
      </w:r>
    </w:p>
    <w:p w14:paraId="3D0232B2" w14:textId="77777777" w:rsidR="00B857FB" w:rsidRPr="006B42D6" w:rsidRDefault="00B857FB" w:rsidP="008007B3">
      <w:pPr>
        <w:spacing w:line="240" w:lineRule="auto"/>
      </w:pPr>
    </w:p>
    <w:p w14:paraId="7C782154" w14:textId="2635F35B" w:rsidR="00B857FB" w:rsidRPr="006B42D6" w:rsidRDefault="00B857FB" w:rsidP="005C2EFC">
      <w:r w:rsidRPr="006B42D6">
        <w:t xml:space="preserve">The total production of cereal crops reported in Tanzania was 10,914,682 tons of which 10,761,559 tons (98.6 percent) were produced by smallholder farmers and 153,123 tons (1.4 percent) by large scale farms. From the total quantity produced by smallholder farmers, 10,706,957 tons were in </w:t>
      </w:r>
      <w:r w:rsidR="00EA1552">
        <w:t>Mainland Tanzania</w:t>
      </w:r>
      <w:r w:rsidRPr="006B42D6">
        <w:t xml:space="preserve"> and 54,602 tons in </w:t>
      </w:r>
      <w:r w:rsidR="00DB76D8" w:rsidRPr="006B42D6">
        <w:t xml:space="preserve">Tanzania </w:t>
      </w:r>
      <w:r w:rsidRPr="006B42D6">
        <w:t>Zanzibar. Maize recorded the highest production (6,504,725 tons; 60.4 percent)</w:t>
      </w:r>
      <w:r w:rsidR="00FB281E" w:rsidRPr="006B42D6">
        <w:t xml:space="preserve"> compared to</w:t>
      </w:r>
      <w:r w:rsidRPr="006B42D6">
        <w:t xml:space="preserve"> other cereal crops during 2019/20 agricultural year (Table 3.1).</w:t>
      </w:r>
    </w:p>
    <w:p w14:paraId="4FEBB8A3" w14:textId="77777777" w:rsidR="00E16412" w:rsidRPr="006B42D6" w:rsidRDefault="00E16412" w:rsidP="005C2EFC"/>
    <w:p w14:paraId="1CC6F736" w14:textId="77777777" w:rsidR="001922C9" w:rsidRDefault="001922C9" w:rsidP="001922C9">
      <w:pPr>
        <w:sectPr w:rsidR="001922C9" w:rsidSect="00606398">
          <w:type w:val="nextColumn"/>
          <w:pgSz w:w="11900" w:h="16840" w:code="9"/>
          <w:pgMar w:top="1440" w:right="1440" w:bottom="1440" w:left="1440" w:header="709" w:footer="709" w:gutter="0"/>
          <w:cols w:space="720"/>
          <w:docGrid w:linePitch="360"/>
        </w:sectPr>
      </w:pPr>
    </w:p>
    <w:p w14:paraId="16D843A5" w14:textId="36967A5A" w:rsidR="00E16412" w:rsidRPr="006B42D6" w:rsidRDefault="00E16412" w:rsidP="007200F6">
      <w:pPr>
        <w:pStyle w:val="Heading7"/>
        <w:rPr>
          <w:i/>
        </w:rPr>
      </w:pPr>
      <w:bookmarkStart w:id="103" w:name="_Toc82386183"/>
      <w:r w:rsidRPr="006B42D6">
        <w:lastRenderedPageBreak/>
        <w:t>Table 3.1</w:t>
      </w:r>
      <w:r w:rsidR="00CC58D6">
        <w:t>:</w:t>
      </w:r>
      <w:r w:rsidR="00AE40CD">
        <w:tab/>
      </w:r>
      <w:r w:rsidRPr="006B42D6">
        <w:t xml:space="preserve">Total Planted Area, Harvested Area, Quantity </w:t>
      </w:r>
      <w:r w:rsidR="0033183A" w:rsidRPr="006B42D6">
        <w:t>H</w:t>
      </w:r>
      <w:r w:rsidRPr="006B42D6">
        <w:t xml:space="preserve">arvested and Yield of the Cereal </w:t>
      </w:r>
      <w:r w:rsidR="0033183A" w:rsidRPr="006B42D6">
        <w:t>C</w:t>
      </w:r>
      <w:r w:rsidRPr="006B42D6">
        <w:t xml:space="preserve">rops </w:t>
      </w:r>
      <w:r w:rsidR="0033183A" w:rsidRPr="006B42D6">
        <w:t>P</w:t>
      </w:r>
      <w:r w:rsidRPr="006B42D6">
        <w:t xml:space="preserve">roduced by Smallholder Farmers </w:t>
      </w:r>
      <w:r w:rsidR="00504511" w:rsidRPr="006B42D6">
        <w:t>D</w:t>
      </w:r>
      <w:r w:rsidRPr="006B42D6">
        <w:t xml:space="preserve">uring 2019/20 </w:t>
      </w:r>
      <w:r w:rsidR="0085728C" w:rsidRPr="006B42D6">
        <w:t>A</w:t>
      </w:r>
      <w:r w:rsidRPr="006B42D6">
        <w:t xml:space="preserve">gricultural </w:t>
      </w:r>
      <w:r w:rsidR="006F532D" w:rsidRPr="006B42D6">
        <w:t>Y</w:t>
      </w:r>
      <w:r w:rsidRPr="006B42D6">
        <w:t>ear</w:t>
      </w:r>
      <w:r w:rsidR="006F532D" w:rsidRPr="006B42D6">
        <w:t>, Tanzania</w:t>
      </w:r>
      <w:bookmarkEnd w:id="103"/>
    </w:p>
    <w:tbl>
      <w:tblPr>
        <w:tblW w:w="5027" w:type="pct"/>
        <w:tblLayout w:type="fixed"/>
        <w:tblLook w:val="04A0" w:firstRow="1" w:lastRow="0" w:firstColumn="1" w:lastColumn="0" w:noHBand="0" w:noVBand="1"/>
      </w:tblPr>
      <w:tblGrid>
        <w:gridCol w:w="1376"/>
        <w:gridCol w:w="1229"/>
        <w:gridCol w:w="1243"/>
        <w:gridCol w:w="1106"/>
        <w:gridCol w:w="861"/>
        <w:gridCol w:w="1237"/>
        <w:gridCol w:w="1234"/>
        <w:gridCol w:w="1095"/>
        <w:gridCol w:w="989"/>
        <w:gridCol w:w="964"/>
        <w:gridCol w:w="1103"/>
        <w:gridCol w:w="961"/>
        <w:gridCol w:w="855"/>
      </w:tblGrid>
      <w:tr w:rsidR="001922C9" w:rsidRPr="001922C9" w14:paraId="7C63798D" w14:textId="77777777" w:rsidTr="005345A5">
        <w:trPr>
          <w:trHeight w:val="345"/>
        </w:trPr>
        <w:tc>
          <w:tcPr>
            <w:tcW w:w="483" w:type="pct"/>
            <w:vMerge w:val="restart"/>
            <w:tcBorders>
              <w:top w:val="single" w:sz="4" w:space="0" w:color="auto"/>
              <w:left w:val="nil"/>
              <w:bottom w:val="single" w:sz="4" w:space="0" w:color="000000"/>
              <w:right w:val="nil"/>
            </w:tcBorders>
            <w:shd w:val="clear" w:color="auto" w:fill="E2EFD9" w:themeFill="accent6" w:themeFillTint="33"/>
            <w:noWrap/>
            <w:vAlign w:val="center"/>
            <w:hideMark/>
          </w:tcPr>
          <w:p w14:paraId="01A7C95E" w14:textId="77777777" w:rsidR="00E16412" w:rsidRPr="001922C9" w:rsidRDefault="00E16412" w:rsidP="005C2EFC">
            <w:pPr>
              <w:rPr>
                <w:sz w:val="16"/>
                <w:szCs w:val="16"/>
              </w:rPr>
            </w:pPr>
            <w:r w:rsidRPr="001922C9">
              <w:rPr>
                <w:sz w:val="16"/>
                <w:szCs w:val="16"/>
              </w:rPr>
              <w:t xml:space="preserve">Crop </w:t>
            </w:r>
          </w:p>
        </w:tc>
        <w:tc>
          <w:tcPr>
            <w:tcW w:w="1557" w:type="pct"/>
            <w:gridSpan w:val="4"/>
            <w:tcBorders>
              <w:top w:val="single" w:sz="4" w:space="0" w:color="auto"/>
              <w:left w:val="single" w:sz="4" w:space="0" w:color="auto"/>
              <w:bottom w:val="single" w:sz="4" w:space="0" w:color="auto"/>
              <w:right w:val="single" w:sz="4" w:space="0" w:color="000000"/>
            </w:tcBorders>
            <w:shd w:val="clear" w:color="auto" w:fill="E2EFD9" w:themeFill="accent6" w:themeFillTint="33"/>
            <w:noWrap/>
            <w:vAlign w:val="center"/>
            <w:hideMark/>
          </w:tcPr>
          <w:p w14:paraId="1CE4C603" w14:textId="29033629" w:rsidR="00E16412" w:rsidRPr="001922C9" w:rsidRDefault="00E16412" w:rsidP="001922C9">
            <w:pPr>
              <w:jc w:val="center"/>
              <w:rPr>
                <w:b/>
                <w:bCs/>
                <w:sz w:val="16"/>
                <w:szCs w:val="16"/>
              </w:rPr>
            </w:pPr>
            <w:r w:rsidRPr="001922C9">
              <w:rPr>
                <w:b/>
                <w:bCs/>
                <w:sz w:val="16"/>
                <w:szCs w:val="16"/>
              </w:rPr>
              <w:t>Tanzania</w:t>
            </w:r>
          </w:p>
        </w:tc>
        <w:tc>
          <w:tcPr>
            <w:tcW w:w="1598" w:type="pct"/>
            <w:gridSpan w:val="4"/>
            <w:tcBorders>
              <w:top w:val="single" w:sz="4" w:space="0" w:color="auto"/>
              <w:left w:val="nil"/>
              <w:bottom w:val="single" w:sz="4" w:space="0" w:color="auto"/>
              <w:right w:val="nil"/>
            </w:tcBorders>
            <w:shd w:val="clear" w:color="auto" w:fill="E2EFD9" w:themeFill="accent6" w:themeFillTint="33"/>
            <w:noWrap/>
            <w:vAlign w:val="center"/>
            <w:hideMark/>
          </w:tcPr>
          <w:p w14:paraId="0F8D10AC" w14:textId="7E47B261" w:rsidR="00E16412" w:rsidRPr="001922C9" w:rsidRDefault="00EA1552" w:rsidP="001922C9">
            <w:pPr>
              <w:jc w:val="center"/>
              <w:rPr>
                <w:b/>
                <w:bCs/>
                <w:sz w:val="16"/>
                <w:szCs w:val="16"/>
              </w:rPr>
            </w:pPr>
            <w:r w:rsidRPr="001922C9">
              <w:rPr>
                <w:b/>
                <w:bCs/>
                <w:sz w:val="16"/>
                <w:szCs w:val="16"/>
              </w:rPr>
              <w:t>Mainland Tanzania</w:t>
            </w:r>
          </w:p>
        </w:tc>
        <w:tc>
          <w:tcPr>
            <w:tcW w:w="1362" w:type="pct"/>
            <w:gridSpan w:val="4"/>
            <w:tcBorders>
              <w:top w:val="single" w:sz="4" w:space="0" w:color="auto"/>
              <w:left w:val="single" w:sz="4" w:space="0" w:color="auto"/>
              <w:bottom w:val="single" w:sz="4" w:space="0" w:color="auto"/>
              <w:right w:val="nil"/>
            </w:tcBorders>
            <w:shd w:val="clear" w:color="auto" w:fill="E2EFD9" w:themeFill="accent6" w:themeFillTint="33"/>
            <w:noWrap/>
            <w:vAlign w:val="center"/>
            <w:hideMark/>
          </w:tcPr>
          <w:p w14:paraId="31C56293" w14:textId="0123E2C3" w:rsidR="00E16412" w:rsidRPr="001922C9" w:rsidRDefault="00DB76D8" w:rsidP="001922C9">
            <w:pPr>
              <w:jc w:val="center"/>
              <w:rPr>
                <w:b/>
                <w:bCs/>
                <w:sz w:val="16"/>
                <w:szCs w:val="16"/>
              </w:rPr>
            </w:pPr>
            <w:r w:rsidRPr="001922C9">
              <w:rPr>
                <w:b/>
                <w:bCs/>
                <w:sz w:val="16"/>
                <w:szCs w:val="16"/>
              </w:rPr>
              <w:t xml:space="preserve">Tanzania </w:t>
            </w:r>
            <w:r w:rsidR="00E16412" w:rsidRPr="001922C9">
              <w:rPr>
                <w:b/>
                <w:bCs/>
                <w:sz w:val="16"/>
                <w:szCs w:val="16"/>
              </w:rPr>
              <w:t>Zanzibar</w:t>
            </w:r>
          </w:p>
        </w:tc>
      </w:tr>
      <w:tr w:rsidR="001922C9" w:rsidRPr="001922C9" w14:paraId="1B56C67D" w14:textId="77777777" w:rsidTr="005345A5">
        <w:trPr>
          <w:trHeight w:val="900"/>
        </w:trPr>
        <w:tc>
          <w:tcPr>
            <w:tcW w:w="483" w:type="pct"/>
            <w:vMerge/>
            <w:tcBorders>
              <w:top w:val="single" w:sz="4" w:space="0" w:color="auto"/>
              <w:left w:val="nil"/>
              <w:bottom w:val="single" w:sz="4" w:space="0" w:color="000000"/>
              <w:right w:val="nil"/>
            </w:tcBorders>
            <w:shd w:val="clear" w:color="auto" w:fill="E2EFD9" w:themeFill="accent6" w:themeFillTint="33"/>
            <w:vAlign w:val="center"/>
            <w:hideMark/>
          </w:tcPr>
          <w:p w14:paraId="0F3B1E1C" w14:textId="77777777" w:rsidR="00E16412" w:rsidRPr="001922C9" w:rsidRDefault="00E16412" w:rsidP="005C2EFC">
            <w:pPr>
              <w:rPr>
                <w:sz w:val="16"/>
                <w:szCs w:val="16"/>
              </w:rPr>
            </w:pPr>
          </w:p>
        </w:tc>
        <w:tc>
          <w:tcPr>
            <w:tcW w:w="431" w:type="pct"/>
            <w:tcBorders>
              <w:top w:val="nil"/>
              <w:left w:val="single" w:sz="4" w:space="0" w:color="auto"/>
              <w:bottom w:val="nil"/>
              <w:right w:val="nil"/>
            </w:tcBorders>
            <w:shd w:val="clear" w:color="auto" w:fill="E2EFD9" w:themeFill="accent6" w:themeFillTint="33"/>
            <w:vAlign w:val="center"/>
            <w:hideMark/>
          </w:tcPr>
          <w:p w14:paraId="50AE91B9" w14:textId="2B79A86C" w:rsidR="001922C9" w:rsidRDefault="00E16412" w:rsidP="001922C9">
            <w:pPr>
              <w:jc w:val="center"/>
              <w:rPr>
                <w:sz w:val="16"/>
                <w:szCs w:val="16"/>
              </w:rPr>
            </w:pPr>
            <w:r w:rsidRPr="001922C9">
              <w:rPr>
                <w:sz w:val="16"/>
                <w:szCs w:val="16"/>
              </w:rPr>
              <w:t>Planted</w:t>
            </w:r>
          </w:p>
          <w:p w14:paraId="69FEC80C" w14:textId="18069C80" w:rsidR="00E16412" w:rsidRPr="001922C9" w:rsidRDefault="00E16412" w:rsidP="001922C9">
            <w:pPr>
              <w:jc w:val="center"/>
              <w:rPr>
                <w:sz w:val="16"/>
                <w:szCs w:val="16"/>
              </w:rPr>
            </w:pPr>
            <w:r w:rsidRPr="001922C9">
              <w:rPr>
                <w:sz w:val="16"/>
                <w:szCs w:val="16"/>
              </w:rPr>
              <w:t>Area (ha)</w:t>
            </w:r>
          </w:p>
        </w:tc>
        <w:tc>
          <w:tcPr>
            <w:tcW w:w="436" w:type="pct"/>
            <w:tcBorders>
              <w:top w:val="nil"/>
              <w:left w:val="nil"/>
              <w:bottom w:val="nil"/>
              <w:right w:val="nil"/>
            </w:tcBorders>
            <w:shd w:val="clear" w:color="auto" w:fill="E2EFD9" w:themeFill="accent6" w:themeFillTint="33"/>
            <w:vAlign w:val="center"/>
            <w:hideMark/>
          </w:tcPr>
          <w:p w14:paraId="66FA46B2" w14:textId="753F10B2" w:rsidR="001922C9" w:rsidRDefault="00E16412" w:rsidP="001922C9">
            <w:pPr>
              <w:jc w:val="center"/>
              <w:rPr>
                <w:sz w:val="16"/>
                <w:szCs w:val="16"/>
              </w:rPr>
            </w:pPr>
            <w:r w:rsidRPr="001922C9">
              <w:rPr>
                <w:sz w:val="16"/>
                <w:szCs w:val="16"/>
              </w:rPr>
              <w:t>Harvested</w:t>
            </w:r>
          </w:p>
          <w:p w14:paraId="6E4D772F" w14:textId="54193B06" w:rsidR="00E16412" w:rsidRPr="001922C9" w:rsidRDefault="00E16412" w:rsidP="001922C9">
            <w:pPr>
              <w:jc w:val="center"/>
              <w:rPr>
                <w:sz w:val="16"/>
                <w:szCs w:val="16"/>
              </w:rPr>
            </w:pPr>
            <w:r w:rsidRPr="001922C9">
              <w:rPr>
                <w:sz w:val="16"/>
                <w:szCs w:val="16"/>
              </w:rPr>
              <w:t>Area (ha)</w:t>
            </w:r>
          </w:p>
        </w:tc>
        <w:tc>
          <w:tcPr>
            <w:tcW w:w="388" w:type="pct"/>
            <w:tcBorders>
              <w:top w:val="nil"/>
              <w:left w:val="nil"/>
              <w:bottom w:val="nil"/>
              <w:right w:val="nil"/>
            </w:tcBorders>
            <w:shd w:val="clear" w:color="auto" w:fill="E2EFD9" w:themeFill="accent6" w:themeFillTint="33"/>
            <w:vAlign w:val="center"/>
            <w:hideMark/>
          </w:tcPr>
          <w:p w14:paraId="2CE22576" w14:textId="77777777" w:rsidR="00E16412" w:rsidRPr="001922C9" w:rsidRDefault="00E16412" w:rsidP="001922C9">
            <w:pPr>
              <w:jc w:val="center"/>
              <w:rPr>
                <w:sz w:val="16"/>
                <w:szCs w:val="16"/>
              </w:rPr>
            </w:pPr>
            <w:r w:rsidRPr="001922C9">
              <w:rPr>
                <w:sz w:val="16"/>
                <w:szCs w:val="16"/>
              </w:rPr>
              <w:t>Quantity harvested (tons)</w:t>
            </w:r>
          </w:p>
        </w:tc>
        <w:tc>
          <w:tcPr>
            <w:tcW w:w="302" w:type="pct"/>
            <w:tcBorders>
              <w:top w:val="nil"/>
              <w:left w:val="nil"/>
              <w:bottom w:val="nil"/>
              <w:right w:val="single" w:sz="4" w:space="0" w:color="auto"/>
            </w:tcBorders>
            <w:shd w:val="clear" w:color="auto" w:fill="E2EFD9" w:themeFill="accent6" w:themeFillTint="33"/>
            <w:vAlign w:val="center"/>
            <w:hideMark/>
          </w:tcPr>
          <w:p w14:paraId="7AC3DC2E" w14:textId="77777777" w:rsidR="00E16412" w:rsidRPr="001922C9" w:rsidRDefault="00E16412" w:rsidP="001922C9">
            <w:pPr>
              <w:jc w:val="center"/>
              <w:rPr>
                <w:sz w:val="16"/>
                <w:szCs w:val="16"/>
              </w:rPr>
            </w:pPr>
            <w:r w:rsidRPr="001922C9">
              <w:rPr>
                <w:sz w:val="16"/>
                <w:szCs w:val="16"/>
              </w:rPr>
              <w:t>Yield (tons/ha)</w:t>
            </w:r>
          </w:p>
        </w:tc>
        <w:tc>
          <w:tcPr>
            <w:tcW w:w="434" w:type="pct"/>
            <w:tcBorders>
              <w:top w:val="nil"/>
              <w:left w:val="nil"/>
              <w:bottom w:val="nil"/>
              <w:right w:val="nil"/>
            </w:tcBorders>
            <w:shd w:val="clear" w:color="auto" w:fill="E2EFD9" w:themeFill="accent6" w:themeFillTint="33"/>
            <w:vAlign w:val="center"/>
            <w:hideMark/>
          </w:tcPr>
          <w:p w14:paraId="319FDE40" w14:textId="0F707839" w:rsidR="001922C9" w:rsidRDefault="00E16412" w:rsidP="001922C9">
            <w:pPr>
              <w:jc w:val="center"/>
              <w:rPr>
                <w:sz w:val="16"/>
                <w:szCs w:val="16"/>
              </w:rPr>
            </w:pPr>
            <w:r w:rsidRPr="001922C9">
              <w:rPr>
                <w:sz w:val="16"/>
                <w:szCs w:val="16"/>
              </w:rPr>
              <w:t>Planted</w:t>
            </w:r>
          </w:p>
          <w:p w14:paraId="46E2D961" w14:textId="2A76FB9F" w:rsidR="00E16412" w:rsidRPr="001922C9" w:rsidRDefault="00E16412" w:rsidP="001922C9">
            <w:pPr>
              <w:jc w:val="center"/>
              <w:rPr>
                <w:sz w:val="16"/>
                <w:szCs w:val="16"/>
              </w:rPr>
            </w:pPr>
            <w:r w:rsidRPr="001922C9">
              <w:rPr>
                <w:sz w:val="16"/>
                <w:szCs w:val="16"/>
              </w:rPr>
              <w:t>Area (ha)</w:t>
            </w:r>
          </w:p>
        </w:tc>
        <w:tc>
          <w:tcPr>
            <w:tcW w:w="433" w:type="pct"/>
            <w:tcBorders>
              <w:top w:val="nil"/>
              <w:left w:val="nil"/>
              <w:bottom w:val="nil"/>
              <w:right w:val="nil"/>
            </w:tcBorders>
            <w:shd w:val="clear" w:color="auto" w:fill="E2EFD9" w:themeFill="accent6" w:themeFillTint="33"/>
            <w:vAlign w:val="center"/>
            <w:hideMark/>
          </w:tcPr>
          <w:p w14:paraId="65298D61" w14:textId="68C0EA69" w:rsidR="001922C9" w:rsidRDefault="00E16412" w:rsidP="001922C9">
            <w:pPr>
              <w:jc w:val="center"/>
              <w:rPr>
                <w:sz w:val="16"/>
                <w:szCs w:val="16"/>
              </w:rPr>
            </w:pPr>
            <w:r w:rsidRPr="001922C9">
              <w:rPr>
                <w:sz w:val="16"/>
                <w:szCs w:val="16"/>
              </w:rPr>
              <w:t>Harvested</w:t>
            </w:r>
          </w:p>
          <w:p w14:paraId="07BA4412" w14:textId="5D1E0EC5" w:rsidR="00E16412" w:rsidRPr="001922C9" w:rsidRDefault="00E16412" w:rsidP="001922C9">
            <w:pPr>
              <w:jc w:val="center"/>
              <w:rPr>
                <w:sz w:val="16"/>
                <w:szCs w:val="16"/>
              </w:rPr>
            </w:pPr>
            <w:r w:rsidRPr="001922C9">
              <w:rPr>
                <w:sz w:val="16"/>
                <w:szCs w:val="16"/>
              </w:rPr>
              <w:t>Area (ha)</w:t>
            </w:r>
          </w:p>
        </w:tc>
        <w:tc>
          <w:tcPr>
            <w:tcW w:w="384" w:type="pct"/>
            <w:tcBorders>
              <w:top w:val="nil"/>
              <w:left w:val="nil"/>
              <w:bottom w:val="nil"/>
              <w:right w:val="nil"/>
            </w:tcBorders>
            <w:shd w:val="clear" w:color="auto" w:fill="E2EFD9" w:themeFill="accent6" w:themeFillTint="33"/>
            <w:vAlign w:val="center"/>
            <w:hideMark/>
          </w:tcPr>
          <w:p w14:paraId="0FD21440" w14:textId="77777777" w:rsidR="00E16412" w:rsidRPr="001922C9" w:rsidRDefault="00E16412" w:rsidP="001922C9">
            <w:pPr>
              <w:jc w:val="center"/>
              <w:rPr>
                <w:sz w:val="16"/>
                <w:szCs w:val="16"/>
              </w:rPr>
            </w:pPr>
            <w:r w:rsidRPr="001922C9">
              <w:rPr>
                <w:sz w:val="16"/>
                <w:szCs w:val="16"/>
              </w:rPr>
              <w:t>Quantity harvested (tons)</w:t>
            </w:r>
          </w:p>
        </w:tc>
        <w:tc>
          <w:tcPr>
            <w:tcW w:w="347" w:type="pct"/>
            <w:tcBorders>
              <w:top w:val="nil"/>
              <w:left w:val="nil"/>
              <w:bottom w:val="nil"/>
              <w:right w:val="nil"/>
            </w:tcBorders>
            <w:shd w:val="clear" w:color="auto" w:fill="E2EFD9" w:themeFill="accent6" w:themeFillTint="33"/>
            <w:vAlign w:val="center"/>
            <w:hideMark/>
          </w:tcPr>
          <w:p w14:paraId="095F8716" w14:textId="77777777" w:rsidR="00E16412" w:rsidRPr="001922C9" w:rsidRDefault="00E16412" w:rsidP="001922C9">
            <w:pPr>
              <w:jc w:val="center"/>
              <w:rPr>
                <w:sz w:val="16"/>
                <w:szCs w:val="16"/>
              </w:rPr>
            </w:pPr>
            <w:r w:rsidRPr="001922C9">
              <w:rPr>
                <w:sz w:val="16"/>
                <w:szCs w:val="16"/>
              </w:rPr>
              <w:t>Yield (tons/ha)</w:t>
            </w:r>
          </w:p>
        </w:tc>
        <w:tc>
          <w:tcPr>
            <w:tcW w:w="338" w:type="pct"/>
            <w:tcBorders>
              <w:top w:val="nil"/>
              <w:left w:val="single" w:sz="4" w:space="0" w:color="auto"/>
              <w:bottom w:val="nil"/>
              <w:right w:val="nil"/>
            </w:tcBorders>
            <w:shd w:val="clear" w:color="auto" w:fill="E2EFD9" w:themeFill="accent6" w:themeFillTint="33"/>
            <w:vAlign w:val="center"/>
            <w:hideMark/>
          </w:tcPr>
          <w:p w14:paraId="57ABE08B" w14:textId="4BEDB7D4" w:rsidR="001922C9" w:rsidRDefault="00E16412" w:rsidP="001922C9">
            <w:pPr>
              <w:jc w:val="center"/>
              <w:rPr>
                <w:sz w:val="16"/>
                <w:szCs w:val="16"/>
              </w:rPr>
            </w:pPr>
            <w:r w:rsidRPr="001922C9">
              <w:rPr>
                <w:sz w:val="16"/>
                <w:szCs w:val="16"/>
              </w:rPr>
              <w:t>Planted</w:t>
            </w:r>
          </w:p>
          <w:p w14:paraId="30CE146F" w14:textId="0621BF13" w:rsidR="00E16412" w:rsidRPr="001922C9" w:rsidRDefault="00E16412" w:rsidP="001922C9">
            <w:pPr>
              <w:jc w:val="center"/>
              <w:rPr>
                <w:sz w:val="16"/>
                <w:szCs w:val="16"/>
              </w:rPr>
            </w:pPr>
            <w:r w:rsidRPr="001922C9">
              <w:rPr>
                <w:sz w:val="16"/>
                <w:szCs w:val="16"/>
              </w:rPr>
              <w:t>Area (ha)</w:t>
            </w:r>
          </w:p>
        </w:tc>
        <w:tc>
          <w:tcPr>
            <w:tcW w:w="387" w:type="pct"/>
            <w:tcBorders>
              <w:top w:val="nil"/>
              <w:left w:val="nil"/>
              <w:bottom w:val="nil"/>
              <w:right w:val="nil"/>
            </w:tcBorders>
            <w:shd w:val="clear" w:color="auto" w:fill="E2EFD9" w:themeFill="accent6" w:themeFillTint="33"/>
            <w:vAlign w:val="center"/>
            <w:hideMark/>
          </w:tcPr>
          <w:p w14:paraId="4F7736AF" w14:textId="79B21941" w:rsidR="001922C9" w:rsidRDefault="00E16412" w:rsidP="001922C9">
            <w:pPr>
              <w:jc w:val="center"/>
              <w:rPr>
                <w:sz w:val="16"/>
                <w:szCs w:val="16"/>
              </w:rPr>
            </w:pPr>
            <w:r w:rsidRPr="001922C9">
              <w:rPr>
                <w:sz w:val="16"/>
                <w:szCs w:val="16"/>
              </w:rPr>
              <w:t>Harvested</w:t>
            </w:r>
          </w:p>
          <w:p w14:paraId="6CF2BE10" w14:textId="77D20783" w:rsidR="00E16412" w:rsidRPr="001922C9" w:rsidRDefault="00E16412" w:rsidP="001922C9">
            <w:pPr>
              <w:jc w:val="center"/>
              <w:rPr>
                <w:sz w:val="16"/>
                <w:szCs w:val="16"/>
              </w:rPr>
            </w:pPr>
            <w:r w:rsidRPr="001922C9">
              <w:rPr>
                <w:sz w:val="16"/>
                <w:szCs w:val="16"/>
              </w:rPr>
              <w:t>Area (ha)</w:t>
            </w:r>
          </w:p>
        </w:tc>
        <w:tc>
          <w:tcPr>
            <w:tcW w:w="337" w:type="pct"/>
            <w:tcBorders>
              <w:top w:val="nil"/>
              <w:left w:val="nil"/>
              <w:bottom w:val="nil"/>
              <w:right w:val="nil"/>
            </w:tcBorders>
            <w:shd w:val="clear" w:color="auto" w:fill="E2EFD9" w:themeFill="accent6" w:themeFillTint="33"/>
            <w:vAlign w:val="center"/>
            <w:hideMark/>
          </w:tcPr>
          <w:p w14:paraId="3772608D" w14:textId="77777777" w:rsidR="00E16412" w:rsidRPr="001922C9" w:rsidRDefault="00E16412" w:rsidP="001922C9">
            <w:pPr>
              <w:jc w:val="center"/>
              <w:rPr>
                <w:sz w:val="16"/>
                <w:szCs w:val="16"/>
              </w:rPr>
            </w:pPr>
            <w:r w:rsidRPr="001922C9">
              <w:rPr>
                <w:sz w:val="16"/>
                <w:szCs w:val="16"/>
              </w:rPr>
              <w:t>Quantity harvested (tons)</w:t>
            </w:r>
          </w:p>
        </w:tc>
        <w:tc>
          <w:tcPr>
            <w:tcW w:w="300" w:type="pct"/>
            <w:tcBorders>
              <w:top w:val="nil"/>
              <w:left w:val="nil"/>
              <w:bottom w:val="nil"/>
              <w:right w:val="nil"/>
            </w:tcBorders>
            <w:shd w:val="clear" w:color="auto" w:fill="E2EFD9" w:themeFill="accent6" w:themeFillTint="33"/>
            <w:vAlign w:val="center"/>
            <w:hideMark/>
          </w:tcPr>
          <w:p w14:paraId="39EEDB10" w14:textId="77777777" w:rsidR="00E16412" w:rsidRPr="001922C9" w:rsidRDefault="00E16412" w:rsidP="001922C9">
            <w:pPr>
              <w:jc w:val="center"/>
              <w:rPr>
                <w:sz w:val="16"/>
                <w:szCs w:val="16"/>
              </w:rPr>
            </w:pPr>
            <w:r w:rsidRPr="001922C9">
              <w:rPr>
                <w:sz w:val="16"/>
                <w:szCs w:val="16"/>
              </w:rPr>
              <w:t>Yield (tons/ha)</w:t>
            </w:r>
          </w:p>
        </w:tc>
      </w:tr>
      <w:tr w:rsidR="001922C9" w:rsidRPr="001922C9" w14:paraId="5921D6C1" w14:textId="77777777" w:rsidTr="005345A5">
        <w:trPr>
          <w:trHeight w:val="300"/>
        </w:trPr>
        <w:tc>
          <w:tcPr>
            <w:tcW w:w="483" w:type="pct"/>
            <w:tcBorders>
              <w:top w:val="nil"/>
              <w:left w:val="nil"/>
              <w:bottom w:val="nil"/>
              <w:right w:val="nil"/>
            </w:tcBorders>
            <w:shd w:val="clear" w:color="auto" w:fill="auto"/>
            <w:noWrap/>
            <w:vAlign w:val="center"/>
            <w:hideMark/>
          </w:tcPr>
          <w:p w14:paraId="6B095C6F" w14:textId="1B67D31F" w:rsidR="00E16412" w:rsidRPr="001922C9" w:rsidRDefault="00E16412" w:rsidP="005345A5">
            <w:pPr>
              <w:jc w:val="left"/>
              <w:rPr>
                <w:sz w:val="16"/>
                <w:szCs w:val="16"/>
              </w:rPr>
            </w:pPr>
            <w:r w:rsidRPr="001922C9">
              <w:rPr>
                <w:sz w:val="16"/>
                <w:szCs w:val="16"/>
              </w:rPr>
              <w:t>Maize</w:t>
            </w:r>
          </w:p>
        </w:tc>
        <w:tc>
          <w:tcPr>
            <w:tcW w:w="431" w:type="pct"/>
            <w:tcBorders>
              <w:top w:val="single" w:sz="4" w:space="0" w:color="auto"/>
              <w:left w:val="single" w:sz="4" w:space="0" w:color="auto"/>
              <w:bottom w:val="nil"/>
              <w:right w:val="nil"/>
            </w:tcBorders>
            <w:shd w:val="clear" w:color="auto" w:fill="auto"/>
            <w:noWrap/>
            <w:vAlign w:val="center"/>
            <w:hideMark/>
          </w:tcPr>
          <w:p w14:paraId="612C02E9" w14:textId="4BF4E902" w:rsidR="00E16412" w:rsidRPr="001922C9" w:rsidRDefault="00E16412" w:rsidP="001922C9">
            <w:pPr>
              <w:jc w:val="center"/>
              <w:rPr>
                <w:sz w:val="16"/>
                <w:szCs w:val="16"/>
              </w:rPr>
            </w:pPr>
            <w:r w:rsidRPr="001922C9">
              <w:rPr>
                <w:sz w:val="16"/>
                <w:szCs w:val="16"/>
              </w:rPr>
              <w:t>4,931,111</w:t>
            </w:r>
          </w:p>
        </w:tc>
        <w:tc>
          <w:tcPr>
            <w:tcW w:w="436" w:type="pct"/>
            <w:tcBorders>
              <w:top w:val="single" w:sz="4" w:space="0" w:color="auto"/>
              <w:left w:val="nil"/>
              <w:bottom w:val="nil"/>
              <w:right w:val="nil"/>
            </w:tcBorders>
            <w:shd w:val="clear" w:color="auto" w:fill="auto"/>
            <w:noWrap/>
            <w:vAlign w:val="center"/>
            <w:hideMark/>
          </w:tcPr>
          <w:p w14:paraId="707896C2" w14:textId="2EBA75E2" w:rsidR="00E16412" w:rsidRPr="001922C9" w:rsidRDefault="00E16412" w:rsidP="001922C9">
            <w:pPr>
              <w:jc w:val="center"/>
              <w:rPr>
                <w:sz w:val="16"/>
                <w:szCs w:val="16"/>
              </w:rPr>
            </w:pPr>
            <w:r w:rsidRPr="001922C9">
              <w:rPr>
                <w:sz w:val="16"/>
                <w:szCs w:val="16"/>
              </w:rPr>
              <w:t>4,345,266</w:t>
            </w:r>
          </w:p>
        </w:tc>
        <w:tc>
          <w:tcPr>
            <w:tcW w:w="388" w:type="pct"/>
            <w:tcBorders>
              <w:top w:val="single" w:sz="4" w:space="0" w:color="auto"/>
              <w:left w:val="nil"/>
              <w:bottom w:val="nil"/>
              <w:right w:val="nil"/>
            </w:tcBorders>
            <w:shd w:val="clear" w:color="auto" w:fill="auto"/>
            <w:noWrap/>
            <w:vAlign w:val="center"/>
            <w:hideMark/>
          </w:tcPr>
          <w:p w14:paraId="5D3C82D1" w14:textId="09407F18" w:rsidR="00E16412" w:rsidRPr="001922C9" w:rsidRDefault="00E16412" w:rsidP="001922C9">
            <w:pPr>
              <w:jc w:val="center"/>
              <w:rPr>
                <w:sz w:val="16"/>
                <w:szCs w:val="16"/>
              </w:rPr>
            </w:pPr>
            <w:r w:rsidRPr="001922C9">
              <w:rPr>
                <w:sz w:val="16"/>
                <w:szCs w:val="16"/>
              </w:rPr>
              <w:t>6,504,725</w:t>
            </w:r>
          </w:p>
        </w:tc>
        <w:tc>
          <w:tcPr>
            <w:tcW w:w="302" w:type="pct"/>
            <w:tcBorders>
              <w:top w:val="single" w:sz="4" w:space="0" w:color="auto"/>
              <w:left w:val="nil"/>
              <w:bottom w:val="nil"/>
              <w:right w:val="single" w:sz="4" w:space="0" w:color="auto"/>
            </w:tcBorders>
            <w:shd w:val="clear" w:color="auto" w:fill="auto"/>
            <w:noWrap/>
            <w:vAlign w:val="center"/>
            <w:hideMark/>
          </w:tcPr>
          <w:p w14:paraId="75736CF4" w14:textId="7FF348B5" w:rsidR="00E16412" w:rsidRPr="001922C9" w:rsidRDefault="00E16412" w:rsidP="001922C9">
            <w:pPr>
              <w:jc w:val="center"/>
              <w:rPr>
                <w:sz w:val="16"/>
                <w:szCs w:val="16"/>
              </w:rPr>
            </w:pPr>
            <w:r w:rsidRPr="001922C9">
              <w:rPr>
                <w:sz w:val="16"/>
                <w:szCs w:val="16"/>
              </w:rPr>
              <w:t>1.5</w:t>
            </w:r>
          </w:p>
        </w:tc>
        <w:tc>
          <w:tcPr>
            <w:tcW w:w="434" w:type="pct"/>
            <w:tcBorders>
              <w:top w:val="single" w:sz="4" w:space="0" w:color="auto"/>
              <w:left w:val="nil"/>
              <w:bottom w:val="nil"/>
              <w:right w:val="nil"/>
            </w:tcBorders>
            <w:shd w:val="clear" w:color="auto" w:fill="auto"/>
            <w:noWrap/>
            <w:vAlign w:val="center"/>
            <w:hideMark/>
          </w:tcPr>
          <w:p w14:paraId="6827D575" w14:textId="3933C09C" w:rsidR="00E16412" w:rsidRPr="001922C9" w:rsidRDefault="00E16412" w:rsidP="001922C9">
            <w:pPr>
              <w:jc w:val="center"/>
              <w:rPr>
                <w:sz w:val="16"/>
                <w:szCs w:val="16"/>
              </w:rPr>
            </w:pPr>
            <w:r w:rsidRPr="001922C9">
              <w:rPr>
                <w:sz w:val="16"/>
                <w:szCs w:val="16"/>
              </w:rPr>
              <w:t>4,927,748</w:t>
            </w:r>
          </w:p>
        </w:tc>
        <w:tc>
          <w:tcPr>
            <w:tcW w:w="433" w:type="pct"/>
            <w:tcBorders>
              <w:top w:val="single" w:sz="4" w:space="0" w:color="auto"/>
              <w:left w:val="nil"/>
              <w:bottom w:val="nil"/>
              <w:right w:val="nil"/>
            </w:tcBorders>
            <w:shd w:val="clear" w:color="auto" w:fill="auto"/>
            <w:noWrap/>
            <w:vAlign w:val="center"/>
            <w:hideMark/>
          </w:tcPr>
          <w:p w14:paraId="5B34DD6B" w14:textId="37D6D349" w:rsidR="00E16412" w:rsidRPr="001922C9" w:rsidRDefault="00E16412" w:rsidP="001922C9">
            <w:pPr>
              <w:jc w:val="center"/>
              <w:rPr>
                <w:sz w:val="16"/>
                <w:szCs w:val="16"/>
              </w:rPr>
            </w:pPr>
            <w:r w:rsidRPr="001922C9">
              <w:rPr>
                <w:sz w:val="16"/>
                <w:szCs w:val="16"/>
              </w:rPr>
              <w:t>4,343,159</w:t>
            </w:r>
          </w:p>
        </w:tc>
        <w:tc>
          <w:tcPr>
            <w:tcW w:w="384" w:type="pct"/>
            <w:tcBorders>
              <w:top w:val="single" w:sz="4" w:space="0" w:color="auto"/>
              <w:left w:val="nil"/>
              <w:bottom w:val="nil"/>
              <w:right w:val="nil"/>
            </w:tcBorders>
            <w:shd w:val="clear" w:color="auto" w:fill="auto"/>
            <w:noWrap/>
            <w:vAlign w:val="center"/>
            <w:hideMark/>
          </w:tcPr>
          <w:p w14:paraId="161F2BA3" w14:textId="59810458" w:rsidR="00E16412" w:rsidRPr="001922C9" w:rsidRDefault="00E16412" w:rsidP="001922C9">
            <w:pPr>
              <w:jc w:val="center"/>
              <w:rPr>
                <w:sz w:val="16"/>
                <w:szCs w:val="16"/>
              </w:rPr>
            </w:pPr>
            <w:r w:rsidRPr="001922C9">
              <w:rPr>
                <w:sz w:val="16"/>
                <w:szCs w:val="16"/>
              </w:rPr>
              <w:t>6,500,773</w:t>
            </w:r>
          </w:p>
        </w:tc>
        <w:tc>
          <w:tcPr>
            <w:tcW w:w="347" w:type="pct"/>
            <w:tcBorders>
              <w:top w:val="single" w:sz="4" w:space="0" w:color="auto"/>
              <w:left w:val="nil"/>
              <w:bottom w:val="nil"/>
              <w:right w:val="nil"/>
            </w:tcBorders>
            <w:shd w:val="clear" w:color="auto" w:fill="auto"/>
            <w:noWrap/>
            <w:vAlign w:val="center"/>
            <w:hideMark/>
          </w:tcPr>
          <w:p w14:paraId="44D9D6EB" w14:textId="527C6847" w:rsidR="00E16412" w:rsidRPr="001922C9" w:rsidRDefault="00E16412" w:rsidP="001922C9">
            <w:pPr>
              <w:jc w:val="center"/>
              <w:rPr>
                <w:sz w:val="16"/>
                <w:szCs w:val="16"/>
              </w:rPr>
            </w:pPr>
            <w:r w:rsidRPr="001922C9">
              <w:rPr>
                <w:sz w:val="16"/>
                <w:szCs w:val="16"/>
              </w:rPr>
              <w:t>1.5</w:t>
            </w:r>
          </w:p>
        </w:tc>
        <w:tc>
          <w:tcPr>
            <w:tcW w:w="338" w:type="pct"/>
            <w:tcBorders>
              <w:top w:val="single" w:sz="4" w:space="0" w:color="auto"/>
              <w:left w:val="single" w:sz="4" w:space="0" w:color="auto"/>
              <w:bottom w:val="nil"/>
              <w:right w:val="nil"/>
            </w:tcBorders>
            <w:shd w:val="clear" w:color="auto" w:fill="auto"/>
            <w:noWrap/>
            <w:vAlign w:val="center"/>
            <w:hideMark/>
          </w:tcPr>
          <w:p w14:paraId="7416D2E1" w14:textId="23860B77" w:rsidR="00E16412" w:rsidRPr="001922C9" w:rsidRDefault="00E16412" w:rsidP="001922C9">
            <w:pPr>
              <w:jc w:val="center"/>
              <w:rPr>
                <w:sz w:val="16"/>
                <w:szCs w:val="16"/>
              </w:rPr>
            </w:pPr>
            <w:r w:rsidRPr="001922C9">
              <w:rPr>
                <w:sz w:val="16"/>
                <w:szCs w:val="16"/>
              </w:rPr>
              <w:t>3,363</w:t>
            </w:r>
          </w:p>
        </w:tc>
        <w:tc>
          <w:tcPr>
            <w:tcW w:w="387" w:type="pct"/>
            <w:tcBorders>
              <w:top w:val="single" w:sz="4" w:space="0" w:color="auto"/>
              <w:left w:val="nil"/>
              <w:bottom w:val="nil"/>
              <w:right w:val="nil"/>
            </w:tcBorders>
            <w:shd w:val="clear" w:color="auto" w:fill="auto"/>
            <w:noWrap/>
            <w:vAlign w:val="center"/>
            <w:hideMark/>
          </w:tcPr>
          <w:p w14:paraId="2AA4F5F4" w14:textId="103F74BA" w:rsidR="00E16412" w:rsidRPr="001922C9" w:rsidRDefault="00E16412" w:rsidP="001922C9">
            <w:pPr>
              <w:jc w:val="center"/>
              <w:rPr>
                <w:sz w:val="16"/>
                <w:szCs w:val="16"/>
              </w:rPr>
            </w:pPr>
            <w:r w:rsidRPr="001922C9">
              <w:rPr>
                <w:sz w:val="16"/>
                <w:szCs w:val="16"/>
              </w:rPr>
              <w:t>2,106</w:t>
            </w:r>
          </w:p>
        </w:tc>
        <w:tc>
          <w:tcPr>
            <w:tcW w:w="337" w:type="pct"/>
            <w:tcBorders>
              <w:top w:val="single" w:sz="4" w:space="0" w:color="auto"/>
              <w:left w:val="nil"/>
              <w:bottom w:val="nil"/>
              <w:right w:val="nil"/>
            </w:tcBorders>
            <w:shd w:val="clear" w:color="auto" w:fill="auto"/>
            <w:noWrap/>
            <w:vAlign w:val="center"/>
            <w:hideMark/>
          </w:tcPr>
          <w:p w14:paraId="157C60FE" w14:textId="25227863" w:rsidR="00E16412" w:rsidRPr="001922C9" w:rsidRDefault="00E16412" w:rsidP="001922C9">
            <w:pPr>
              <w:jc w:val="center"/>
              <w:rPr>
                <w:sz w:val="16"/>
                <w:szCs w:val="16"/>
              </w:rPr>
            </w:pPr>
            <w:r w:rsidRPr="001922C9">
              <w:rPr>
                <w:sz w:val="16"/>
                <w:szCs w:val="16"/>
              </w:rPr>
              <w:t>3,951</w:t>
            </w:r>
          </w:p>
        </w:tc>
        <w:tc>
          <w:tcPr>
            <w:tcW w:w="300" w:type="pct"/>
            <w:tcBorders>
              <w:top w:val="single" w:sz="4" w:space="0" w:color="auto"/>
              <w:left w:val="nil"/>
              <w:bottom w:val="nil"/>
              <w:right w:val="nil"/>
            </w:tcBorders>
            <w:shd w:val="clear" w:color="auto" w:fill="auto"/>
            <w:noWrap/>
            <w:vAlign w:val="center"/>
            <w:hideMark/>
          </w:tcPr>
          <w:p w14:paraId="5FA1B176" w14:textId="2FB79FB8" w:rsidR="00E16412" w:rsidRPr="001922C9" w:rsidRDefault="00E16412" w:rsidP="001922C9">
            <w:pPr>
              <w:jc w:val="center"/>
              <w:rPr>
                <w:sz w:val="16"/>
                <w:szCs w:val="16"/>
              </w:rPr>
            </w:pPr>
            <w:r w:rsidRPr="001922C9">
              <w:rPr>
                <w:sz w:val="16"/>
                <w:szCs w:val="16"/>
              </w:rPr>
              <w:t>1.9</w:t>
            </w:r>
          </w:p>
        </w:tc>
      </w:tr>
      <w:tr w:rsidR="001922C9" w:rsidRPr="001922C9" w14:paraId="03CF9D08" w14:textId="77777777" w:rsidTr="005345A5">
        <w:trPr>
          <w:trHeight w:val="300"/>
        </w:trPr>
        <w:tc>
          <w:tcPr>
            <w:tcW w:w="483" w:type="pct"/>
            <w:tcBorders>
              <w:top w:val="nil"/>
              <w:left w:val="nil"/>
              <w:bottom w:val="nil"/>
              <w:right w:val="nil"/>
            </w:tcBorders>
            <w:shd w:val="clear" w:color="auto" w:fill="auto"/>
            <w:noWrap/>
            <w:vAlign w:val="center"/>
            <w:hideMark/>
          </w:tcPr>
          <w:p w14:paraId="0238909F" w14:textId="1F4CDF3E" w:rsidR="00E16412" w:rsidRPr="001922C9" w:rsidRDefault="00E16412" w:rsidP="005345A5">
            <w:pPr>
              <w:jc w:val="left"/>
              <w:rPr>
                <w:sz w:val="16"/>
                <w:szCs w:val="16"/>
              </w:rPr>
            </w:pPr>
            <w:r w:rsidRPr="001922C9">
              <w:rPr>
                <w:sz w:val="16"/>
                <w:szCs w:val="16"/>
              </w:rPr>
              <w:t>Paddy</w:t>
            </w:r>
          </w:p>
        </w:tc>
        <w:tc>
          <w:tcPr>
            <w:tcW w:w="431" w:type="pct"/>
            <w:tcBorders>
              <w:top w:val="nil"/>
              <w:left w:val="single" w:sz="4" w:space="0" w:color="auto"/>
              <w:bottom w:val="nil"/>
              <w:right w:val="nil"/>
            </w:tcBorders>
            <w:shd w:val="clear" w:color="auto" w:fill="auto"/>
            <w:noWrap/>
            <w:vAlign w:val="center"/>
            <w:hideMark/>
          </w:tcPr>
          <w:p w14:paraId="4F10C375" w14:textId="21CED9DA" w:rsidR="00E16412" w:rsidRPr="001922C9" w:rsidRDefault="00E16412" w:rsidP="001922C9">
            <w:pPr>
              <w:jc w:val="center"/>
              <w:rPr>
                <w:sz w:val="16"/>
                <w:szCs w:val="16"/>
              </w:rPr>
            </w:pPr>
            <w:r w:rsidRPr="001922C9">
              <w:rPr>
                <w:sz w:val="16"/>
                <w:szCs w:val="16"/>
              </w:rPr>
              <w:t>1,688,241</w:t>
            </w:r>
          </w:p>
        </w:tc>
        <w:tc>
          <w:tcPr>
            <w:tcW w:w="436" w:type="pct"/>
            <w:tcBorders>
              <w:top w:val="nil"/>
              <w:left w:val="nil"/>
              <w:bottom w:val="nil"/>
              <w:right w:val="nil"/>
            </w:tcBorders>
            <w:shd w:val="clear" w:color="auto" w:fill="auto"/>
            <w:noWrap/>
            <w:vAlign w:val="center"/>
            <w:hideMark/>
          </w:tcPr>
          <w:p w14:paraId="512732FA" w14:textId="612188E9" w:rsidR="00E16412" w:rsidRPr="001922C9" w:rsidRDefault="00E16412" w:rsidP="001922C9">
            <w:pPr>
              <w:jc w:val="center"/>
              <w:rPr>
                <w:sz w:val="16"/>
                <w:szCs w:val="16"/>
              </w:rPr>
            </w:pPr>
            <w:r w:rsidRPr="001922C9">
              <w:rPr>
                <w:sz w:val="16"/>
                <w:szCs w:val="16"/>
              </w:rPr>
              <w:t>1,485,125</w:t>
            </w:r>
          </w:p>
        </w:tc>
        <w:tc>
          <w:tcPr>
            <w:tcW w:w="388" w:type="pct"/>
            <w:tcBorders>
              <w:top w:val="nil"/>
              <w:left w:val="nil"/>
              <w:bottom w:val="nil"/>
              <w:right w:val="nil"/>
            </w:tcBorders>
            <w:shd w:val="clear" w:color="auto" w:fill="auto"/>
            <w:noWrap/>
            <w:vAlign w:val="center"/>
            <w:hideMark/>
          </w:tcPr>
          <w:p w14:paraId="67DB78A2" w14:textId="123E80D7" w:rsidR="00E16412" w:rsidRPr="001922C9" w:rsidRDefault="00E16412" w:rsidP="001922C9">
            <w:pPr>
              <w:jc w:val="center"/>
              <w:rPr>
                <w:sz w:val="16"/>
                <w:szCs w:val="16"/>
              </w:rPr>
            </w:pPr>
            <w:r w:rsidRPr="001922C9">
              <w:rPr>
                <w:sz w:val="16"/>
                <w:szCs w:val="16"/>
              </w:rPr>
              <w:t>3,380,715</w:t>
            </w:r>
          </w:p>
        </w:tc>
        <w:tc>
          <w:tcPr>
            <w:tcW w:w="302" w:type="pct"/>
            <w:tcBorders>
              <w:top w:val="nil"/>
              <w:left w:val="nil"/>
              <w:bottom w:val="nil"/>
              <w:right w:val="single" w:sz="4" w:space="0" w:color="auto"/>
            </w:tcBorders>
            <w:shd w:val="clear" w:color="auto" w:fill="auto"/>
            <w:noWrap/>
            <w:vAlign w:val="center"/>
            <w:hideMark/>
          </w:tcPr>
          <w:p w14:paraId="69AFDA8E" w14:textId="1C030F26" w:rsidR="00E16412" w:rsidRPr="001922C9" w:rsidRDefault="00E16412" w:rsidP="001922C9">
            <w:pPr>
              <w:jc w:val="center"/>
              <w:rPr>
                <w:sz w:val="16"/>
                <w:szCs w:val="16"/>
              </w:rPr>
            </w:pPr>
            <w:r w:rsidRPr="001922C9">
              <w:rPr>
                <w:sz w:val="16"/>
                <w:szCs w:val="16"/>
              </w:rPr>
              <w:t>2.3</w:t>
            </w:r>
          </w:p>
        </w:tc>
        <w:tc>
          <w:tcPr>
            <w:tcW w:w="434" w:type="pct"/>
            <w:tcBorders>
              <w:top w:val="nil"/>
              <w:left w:val="nil"/>
              <w:bottom w:val="nil"/>
              <w:right w:val="nil"/>
            </w:tcBorders>
            <w:shd w:val="clear" w:color="auto" w:fill="auto"/>
            <w:noWrap/>
            <w:vAlign w:val="center"/>
            <w:hideMark/>
          </w:tcPr>
          <w:p w14:paraId="1A607585" w14:textId="2096C44B" w:rsidR="00E16412" w:rsidRPr="001922C9" w:rsidRDefault="00E16412" w:rsidP="001922C9">
            <w:pPr>
              <w:jc w:val="center"/>
              <w:rPr>
                <w:sz w:val="16"/>
                <w:szCs w:val="16"/>
              </w:rPr>
            </w:pPr>
            <w:r w:rsidRPr="001922C9">
              <w:rPr>
                <w:sz w:val="16"/>
                <w:szCs w:val="16"/>
              </w:rPr>
              <w:t>1,655,087</w:t>
            </w:r>
          </w:p>
        </w:tc>
        <w:tc>
          <w:tcPr>
            <w:tcW w:w="433" w:type="pct"/>
            <w:tcBorders>
              <w:top w:val="nil"/>
              <w:left w:val="nil"/>
              <w:bottom w:val="nil"/>
              <w:right w:val="nil"/>
            </w:tcBorders>
            <w:shd w:val="clear" w:color="auto" w:fill="auto"/>
            <w:noWrap/>
            <w:vAlign w:val="center"/>
            <w:hideMark/>
          </w:tcPr>
          <w:p w14:paraId="0189336E" w14:textId="25D00DDE" w:rsidR="00E16412" w:rsidRPr="001922C9" w:rsidRDefault="00E16412" w:rsidP="001922C9">
            <w:pPr>
              <w:jc w:val="center"/>
              <w:rPr>
                <w:sz w:val="16"/>
                <w:szCs w:val="16"/>
              </w:rPr>
            </w:pPr>
            <w:r w:rsidRPr="001922C9">
              <w:rPr>
                <w:sz w:val="16"/>
                <w:szCs w:val="16"/>
              </w:rPr>
              <w:t>1,460,571</w:t>
            </w:r>
          </w:p>
        </w:tc>
        <w:tc>
          <w:tcPr>
            <w:tcW w:w="384" w:type="pct"/>
            <w:tcBorders>
              <w:top w:val="nil"/>
              <w:left w:val="nil"/>
              <w:bottom w:val="nil"/>
              <w:right w:val="nil"/>
            </w:tcBorders>
            <w:shd w:val="clear" w:color="auto" w:fill="auto"/>
            <w:noWrap/>
            <w:vAlign w:val="center"/>
            <w:hideMark/>
          </w:tcPr>
          <w:p w14:paraId="0786BAB6" w14:textId="4C1D3810" w:rsidR="00E16412" w:rsidRPr="001922C9" w:rsidRDefault="00E16412" w:rsidP="001922C9">
            <w:pPr>
              <w:jc w:val="center"/>
              <w:rPr>
                <w:sz w:val="16"/>
                <w:szCs w:val="16"/>
              </w:rPr>
            </w:pPr>
            <w:r w:rsidRPr="001922C9">
              <w:rPr>
                <w:sz w:val="16"/>
                <w:szCs w:val="16"/>
              </w:rPr>
              <w:t>3,330,293</w:t>
            </w:r>
          </w:p>
        </w:tc>
        <w:tc>
          <w:tcPr>
            <w:tcW w:w="347" w:type="pct"/>
            <w:tcBorders>
              <w:top w:val="nil"/>
              <w:left w:val="nil"/>
              <w:bottom w:val="nil"/>
              <w:right w:val="nil"/>
            </w:tcBorders>
            <w:shd w:val="clear" w:color="auto" w:fill="auto"/>
            <w:noWrap/>
            <w:vAlign w:val="center"/>
            <w:hideMark/>
          </w:tcPr>
          <w:p w14:paraId="56B590FD" w14:textId="4F69DDD1" w:rsidR="00E16412" w:rsidRPr="001922C9" w:rsidRDefault="00E16412" w:rsidP="001922C9">
            <w:pPr>
              <w:jc w:val="center"/>
              <w:rPr>
                <w:sz w:val="16"/>
                <w:szCs w:val="16"/>
              </w:rPr>
            </w:pPr>
            <w:r w:rsidRPr="001922C9">
              <w:rPr>
                <w:sz w:val="16"/>
                <w:szCs w:val="16"/>
              </w:rPr>
              <w:t>2.3</w:t>
            </w:r>
          </w:p>
        </w:tc>
        <w:tc>
          <w:tcPr>
            <w:tcW w:w="338" w:type="pct"/>
            <w:tcBorders>
              <w:top w:val="nil"/>
              <w:left w:val="single" w:sz="4" w:space="0" w:color="auto"/>
              <w:bottom w:val="nil"/>
              <w:right w:val="nil"/>
            </w:tcBorders>
            <w:shd w:val="clear" w:color="auto" w:fill="auto"/>
            <w:noWrap/>
            <w:vAlign w:val="center"/>
            <w:hideMark/>
          </w:tcPr>
          <w:p w14:paraId="0E881A15" w14:textId="6C16496F" w:rsidR="00E16412" w:rsidRPr="001922C9" w:rsidRDefault="00E16412" w:rsidP="001922C9">
            <w:pPr>
              <w:jc w:val="center"/>
              <w:rPr>
                <w:sz w:val="16"/>
                <w:szCs w:val="16"/>
              </w:rPr>
            </w:pPr>
            <w:r w:rsidRPr="001922C9">
              <w:rPr>
                <w:sz w:val="16"/>
                <w:szCs w:val="16"/>
              </w:rPr>
              <w:t>33,155</w:t>
            </w:r>
          </w:p>
        </w:tc>
        <w:tc>
          <w:tcPr>
            <w:tcW w:w="387" w:type="pct"/>
            <w:tcBorders>
              <w:top w:val="nil"/>
              <w:left w:val="nil"/>
              <w:bottom w:val="nil"/>
              <w:right w:val="nil"/>
            </w:tcBorders>
            <w:shd w:val="clear" w:color="auto" w:fill="auto"/>
            <w:noWrap/>
            <w:vAlign w:val="center"/>
            <w:hideMark/>
          </w:tcPr>
          <w:p w14:paraId="165D6376" w14:textId="23B9D357" w:rsidR="00E16412" w:rsidRPr="001922C9" w:rsidRDefault="00E16412" w:rsidP="001922C9">
            <w:pPr>
              <w:jc w:val="center"/>
              <w:rPr>
                <w:sz w:val="16"/>
                <w:szCs w:val="16"/>
              </w:rPr>
            </w:pPr>
            <w:r w:rsidRPr="001922C9">
              <w:rPr>
                <w:sz w:val="16"/>
                <w:szCs w:val="16"/>
              </w:rPr>
              <w:t>24,554</w:t>
            </w:r>
          </w:p>
        </w:tc>
        <w:tc>
          <w:tcPr>
            <w:tcW w:w="337" w:type="pct"/>
            <w:tcBorders>
              <w:top w:val="nil"/>
              <w:left w:val="nil"/>
              <w:bottom w:val="nil"/>
              <w:right w:val="nil"/>
            </w:tcBorders>
            <w:shd w:val="clear" w:color="auto" w:fill="auto"/>
            <w:noWrap/>
            <w:vAlign w:val="center"/>
            <w:hideMark/>
          </w:tcPr>
          <w:p w14:paraId="17BD5274" w14:textId="738C441D" w:rsidR="00E16412" w:rsidRPr="001922C9" w:rsidRDefault="00E16412" w:rsidP="001922C9">
            <w:pPr>
              <w:jc w:val="center"/>
              <w:rPr>
                <w:sz w:val="16"/>
                <w:szCs w:val="16"/>
              </w:rPr>
            </w:pPr>
            <w:r w:rsidRPr="001922C9">
              <w:rPr>
                <w:sz w:val="16"/>
                <w:szCs w:val="16"/>
              </w:rPr>
              <w:t>50,421</w:t>
            </w:r>
          </w:p>
        </w:tc>
        <w:tc>
          <w:tcPr>
            <w:tcW w:w="300" w:type="pct"/>
            <w:tcBorders>
              <w:top w:val="nil"/>
              <w:left w:val="nil"/>
              <w:bottom w:val="nil"/>
              <w:right w:val="nil"/>
            </w:tcBorders>
            <w:shd w:val="clear" w:color="auto" w:fill="auto"/>
            <w:noWrap/>
            <w:vAlign w:val="center"/>
            <w:hideMark/>
          </w:tcPr>
          <w:p w14:paraId="5510E28A" w14:textId="03A28574" w:rsidR="00E16412" w:rsidRPr="001922C9" w:rsidRDefault="00E16412" w:rsidP="001922C9">
            <w:pPr>
              <w:jc w:val="center"/>
              <w:rPr>
                <w:sz w:val="16"/>
                <w:szCs w:val="16"/>
              </w:rPr>
            </w:pPr>
            <w:r w:rsidRPr="001922C9">
              <w:rPr>
                <w:sz w:val="16"/>
                <w:szCs w:val="16"/>
              </w:rPr>
              <w:t>2.1</w:t>
            </w:r>
          </w:p>
        </w:tc>
      </w:tr>
      <w:tr w:rsidR="001922C9" w:rsidRPr="001922C9" w14:paraId="120A1890" w14:textId="77777777" w:rsidTr="005345A5">
        <w:trPr>
          <w:trHeight w:val="300"/>
        </w:trPr>
        <w:tc>
          <w:tcPr>
            <w:tcW w:w="483" w:type="pct"/>
            <w:tcBorders>
              <w:top w:val="nil"/>
              <w:left w:val="nil"/>
              <w:bottom w:val="nil"/>
              <w:right w:val="nil"/>
            </w:tcBorders>
            <w:shd w:val="clear" w:color="auto" w:fill="auto"/>
            <w:noWrap/>
            <w:vAlign w:val="center"/>
            <w:hideMark/>
          </w:tcPr>
          <w:p w14:paraId="4EC7E7AA" w14:textId="6EB00126" w:rsidR="00E16412" w:rsidRPr="001922C9" w:rsidRDefault="00E16412" w:rsidP="005345A5">
            <w:pPr>
              <w:jc w:val="left"/>
              <w:rPr>
                <w:sz w:val="16"/>
                <w:szCs w:val="16"/>
              </w:rPr>
            </w:pPr>
            <w:r w:rsidRPr="001922C9">
              <w:rPr>
                <w:sz w:val="16"/>
                <w:szCs w:val="16"/>
              </w:rPr>
              <w:t>Sorghum</w:t>
            </w:r>
          </w:p>
        </w:tc>
        <w:tc>
          <w:tcPr>
            <w:tcW w:w="431" w:type="pct"/>
            <w:tcBorders>
              <w:top w:val="nil"/>
              <w:left w:val="single" w:sz="4" w:space="0" w:color="auto"/>
              <w:bottom w:val="nil"/>
              <w:right w:val="nil"/>
            </w:tcBorders>
            <w:shd w:val="clear" w:color="auto" w:fill="auto"/>
            <w:noWrap/>
            <w:vAlign w:val="center"/>
            <w:hideMark/>
          </w:tcPr>
          <w:p w14:paraId="660F4198" w14:textId="7CF03918" w:rsidR="00E16412" w:rsidRPr="001922C9" w:rsidRDefault="00E16412" w:rsidP="001922C9">
            <w:pPr>
              <w:jc w:val="center"/>
              <w:rPr>
                <w:sz w:val="16"/>
                <w:szCs w:val="16"/>
              </w:rPr>
            </w:pPr>
            <w:r w:rsidRPr="001922C9">
              <w:rPr>
                <w:sz w:val="16"/>
                <w:szCs w:val="16"/>
              </w:rPr>
              <w:t>512,888</w:t>
            </w:r>
          </w:p>
        </w:tc>
        <w:tc>
          <w:tcPr>
            <w:tcW w:w="436" w:type="pct"/>
            <w:tcBorders>
              <w:top w:val="nil"/>
              <w:left w:val="nil"/>
              <w:bottom w:val="nil"/>
              <w:right w:val="nil"/>
            </w:tcBorders>
            <w:shd w:val="clear" w:color="auto" w:fill="auto"/>
            <w:noWrap/>
            <w:vAlign w:val="center"/>
            <w:hideMark/>
          </w:tcPr>
          <w:p w14:paraId="72544014" w14:textId="605989D4" w:rsidR="00E16412" w:rsidRPr="001922C9" w:rsidRDefault="00E16412" w:rsidP="001922C9">
            <w:pPr>
              <w:jc w:val="center"/>
              <w:rPr>
                <w:sz w:val="16"/>
                <w:szCs w:val="16"/>
              </w:rPr>
            </w:pPr>
            <w:r w:rsidRPr="001922C9">
              <w:rPr>
                <w:sz w:val="16"/>
                <w:szCs w:val="16"/>
              </w:rPr>
              <w:t>447,567</w:t>
            </w:r>
          </w:p>
        </w:tc>
        <w:tc>
          <w:tcPr>
            <w:tcW w:w="388" w:type="pct"/>
            <w:tcBorders>
              <w:top w:val="nil"/>
              <w:left w:val="nil"/>
              <w:bottom w:val="nil"/>
              <w:right w:val="nil"/>
            </w:tcBorders>
            <w:shd w:val="clear" w:color="auto" w:fill="auto"/>
            <w:noWrap/>
            <w:vAlign w:val="center"/>
            <w:hideMark/>
          </w:tcPr>
          <w:p w14:paraId="252B33A2" w14:textId="1242AEFB" w:rsidR="00E16412" w:rsidRPr="001922C9" w:rsidRDefault="00E16412" w:rsidP="001922C9">
            <w:pPr>
              <w:jc w:val="center"/>
              <w:rPr>
                <w:sz w:val="16"/>
                <w:szCs w:val="16"/>
              </w:rPr>
            </w:pPr>
            <w:r w:rsidRPr="001922C9">
              <w:rPr>
                <w:sz w:val="16"/>
                <w:szCs w:val="16"/>
              </w:rPr>
              <w:t>601,470</w:t>
            </w:r>
          </w:p>
        </w:tc>
        <w:tc>
          <w:tcPr>
            <w:tcW w:w="302" w:type="pct"/>
            <w:tcBorders>
              <w:top w:val="nil"/>
              <w:left w:val="nil"/>
              <w:bottom w:val="nil"/>
              <w:right w:val="single" w:sz="4" w:space="0" w:color="auto"/>
            </w:tcBorders>
            <w:shd w:val="clear" w:color="auto" w:fill="auto"/>
            <w:noWrap/>
            <w:vAlign w:val="center"/>
            <w:hideMark/>
          </w:tcPr>
          <w:p w14:paraId="056884C7" w14:textId="5ACF8884" w:rsidR="00E16412" w:rsidRPr="001922C9" w:rsidRDefault="00E16412" w:rsidP="001922C9">
            <w:pPr>
              <w:jc w:val="center"/>
              <w:rPr>
                <w:sz w:val="16"/>
                <w:szCs w:val="16"/>
              </w:rPr>
            </w:pPr>
            <w:r w:rsidRPr="001922C9">
              <w:rPr>
                <w:sz w:val="16"/>
                <w:szCs w:val="16"/>
              </w:rPr>
              <w:t>1.3</w:t>
            </w:r>
          </w:p>
        </w:tc>
        <w:tc>
          <w:tcPr>
            <w:tcW w:w="434" w:type="pct"/>
            <w:tcBorders>
              <w:top w:val="nil"/>
              <w:left w:val="nil"/>
              <w:bottom w:val="nil"/>
              <w:right w:val="nil"/>
            </w:tcBorders>
            <w:shd w:val="clear" w:color="auto" w:fill="auto"/>
            <w:noWrap/>
            <w:vAlign w:val="center"/>
            <w:hideMark/>
          </w:tcPr>
          <w:p w14:paraId="15BA7F3E" w14:textId="4DFCF79C" w:rsidR="00E16412" w:rsidRPr="001922C9" w:rsidRDefault="00E16412" w:rsidP="001922C9">
            <w:pPr>
              <w:jc w:val="center"/>
              <w:rPr>
                <w:sz w:val="16"/>
                <w:szCs w:val="16"/>
              </w:rPr>
            </w:pPr>
            <w:r w:rsidRPr="001922C9">
              <w:rPr>
                <w:sz w:val="16"/>
                <w:szCs w:val="16"/>
              </w:rPr>
              <w:t>512,767</w:t>
            </w:r>
          </w:p>
        </w:tc>
        <w:tc>
          <w:tcPr>
            <w:tcW w:w="433" w:type="pct"/>
            <w:tcBorders>
              <w:top w:val="nil"/>
              <w:left w:val="nil"/>
              <w:bottom w:val="nil"/>
              <w:right w:val="nil"/>
            </w:tcBorders>
            <w:shd w:val="clear" w:color="auto" w:fill="auto"/>
            <w:noWrap/>
            <w:vAlign w:val="center"/>
            <w:hideMark/>
          </w:tcPr>
          <w:p w14:paraId="2EB022CD" w14:textId="2159B7AF" w:rsidR="00E16412" w:rsidRPr="001922C9" w:rsidRDefault="00E16412" w:rsidP="001922C9">
            <w:pPr>
              <w:jc w:val="center"/>
              <w:rPr>
                <w:sz w:val="16"/>
                <w:szCs w:val="16"/>
              </w:rPr>
            </w:pPr>
            <w:r w:rsidRPr="001922C9">
              <w:rPr>
                <w:sz w:val="16"/>
                <w:szCs w:val="16"/>
              </w:rPr>
              <w:t>447,474</w:t>
            </w:r>
          </w:p>
        </w:tc>
        <w:tc>
          <w:tcPr>
            <w:tcW w:w="384" w:type="pct"/>
            <w:tcBorders>
              <w:top w:val="nil"/>
              <w:left w:val="nil"/>
              <w:bottom w:val="nil"/>
              <w:right w:val="nil"/>
            </w:tcBorders>
            <w:shd w:val="clear" w:color="auto" w:fill="auto"/>
            <w:noWrap/>
            <w:vAlign w:val="center"/>
            <w:hideMark/>
          </w:tcPr>
          <w:p w14:paraId="3633CB92" w14:textId="355C7BD7" w:rsidR="00E16412" w:rsidRPr="001922C9" w:rsidRDefault="00E16412" w:rsidP="001922C9">
            <w:pPr>
              <w:jc w:val="center"/>
              <w:rPr>
                <w:sz w:val="16"/>
                <w:szCs w:val="16"/>
              </w:rPr>
            </w:pPr>
            <w:r w:rsidRPr="001922C9">
              <w:rPr>
                <w:sz w:val="16"/>
                <w:szCs w:val="16"/>
              </w:rPr>
              <w:t>601,390</w:t>
            </w:r>
          </w:p>
        </w:tc>
        <w:tc>
          <w:tcPr>
            <w:tcW w:w="347" w:type="pct"/>
            <w:tcBorders>
              <w:top w:val="nil"/>
              <w:left w:val="nil"/>
              <w:bottom w:val="nil"/>
              <w:right w:val="nil"/>
            </w:tcBorders>
            <w:shd w:val="clear" w:color="auto" w:fill="auto"/>
            <w:noWrap/>
            <w:vAlign w:val="center"/>
            <w:hideMark/>
          </w:tcPr>
          <w:p w14:paraId="7C15633F" w14:textId="1DE085D0" w:rsidR="00E16412" w:rsidRPr="001922C9" w:rsidRDefault="00E16412" w:rsidP="001922C9">
            <w:pPr>
              <w:jc w:val="center"/>
              <w:rPr>
                <w:sz w:val="16"/>
                <w:szCs w:val="16"/>
              </w:rPr>
            </w:pPr>
            <w:r w:rsidRPr="001922C9">
              <w:rPr>
                <w:sz w:val="16"/>
                <w:szCs w:val="16"/>
              </w:rPr>
              <w:t>1.3</w:t>
            </w:r>
          </w:p>
        </w:tc>
        <w:tc>
          <w:tcPr>
            <w:tcW w:w="338" w:type="pct"/>
            <w:tcBorders>
              <w:top w:val="nil"/>
              <w:left w:val="single" w:sz="4" w:space="0" w:color="auto"/>
              <w:bottom w:val="nil"/>
              <w:right w:val="nil"/>
            </w:tcBorders>
            <w:shd w:val="clear" w:color="auto" w:fill="auto"/>
            <w:noWrap/>
            <w:vAlign w:val="center"/>
            <w:hideMark/>
          </w:tcPr>
          <w:p w14:paraId="5B8D6577" w14:textId="6EE54910" w:rsidR="00E16412" w:rsidRPr="001922C9" w:rsidRDefault="00E16412" w:rsidP="001922C9">
            <w:pPr>
              <w:jc w:val="center"/>
              <w:rPr>
                <w:sz w:val="16"/>
                <w:szCs w:val="16"/>
              </w:rPr>
            </w:pPr>
            <w:r w:rsidRPr="001922C9">
              <w:rPr>
                <w:sz w:val="16"/>
                <w:szCs w:val="16"/>
              </w:rPr>
              <w:t>121</w:t>
            </w:r>
          </w:p>
        </w:tc>
        <w:tc>
          <w:tcPr>
            <w:tcW w:w="387" w:type="pct"/>
            <w:tcBorders>
              <w:top w:val="nil"/>
              <w:left w:val="nil"/>
              <w:bottom w:val="nil"/>
              <w:right w:val="nil"/>
            </w:tcBorders>
            <w:shd w:val="clear" w:color="auto" w:fill="auto"/>
            <w:noWrap/>
            <w:vAlign w:val="center"/>
            <w:hideMark/>
          </w:tcPr>
          <w:p w14:paraId="5A7A708D" w14:textId="05732FB5" w:rsidR="00E16412" w:rsidRPr="001922C9" w:rsidRDefault="00E16412" w:rsidP="001922C9">
            <w:pPr>
              <w:jc w:val="center"/>
              <w:rPr>
                <w:sz w:val="16"/>
                <w:szCs w:val="16"/>
              </w:rPr>
            </w:pPr>
            <w:r w:rsidRPr="001922C9">
              <w:rPr>
                <w:sz w:val="16"/>
                <w:szCs w:val="16"/>
              </w:rPr>
              <w:t>92</w:t>
            </w:r>
          </w:p>
        </w:tc>
        <w:tc>
          <w:tcPr>
            <w:tcW w:w="337" w:type="pct"/>
            <w:tcBorders>
              <w:top w:val="nil"/>
              <w:left w:val="nil"/>
              <w:bottom w:val="nil"/>
              <w:right w:val="nil"/>
            </w:tcBorders>
            <w:shd w:val="clear" w:color="auto" w:fill="auto"/>
            <w:noWrap/>
            <w:vAlign w:val="center"/>
            <w:hideMark/>
          </w:tcPr>
          <w:p w14:paraId="263CC7C3" w14:textId="45DF61A3" w:rsidR="00E16412" w:rsidRPr="001922C9" w:rsidRDefault="00E16412" w:rsidP="001922C9">
            <w:pPr>
              <w:jc w:val="center"/>
              <w:rPr>
                <w:sz w:val="16"/>
                <w:szCs w:val="16"/>
              </w:rPr>
            </w:pPr>
            <w:r w:rsidRPr="001922C9">
              <w:rPr>
                <w:sz w:val="16"/>
                <w:szCs w:val="16"/>
              </w:rPr>
              <w:t>80</w:t>
            </w:r>
          </w:p>
        </w:tc>
        <w:tc>
          <w:tcPr>
            <w:tcW w:w="300" w:type="pct"/>
            <w:tcBorders>
              <w:top w:val="nil"/>
              <w:left w:val="nil"/>
              <w:bottom w:val="nil"/>
              <w:right w:val="nil"/>
            </w:tcBorders>
            <w:shd w:val="clear" w:color="auto" w:fill="auto"/>
            <w:noWrap/>
            <w:vAlign w:val="center"/>
            <w:hideMark/>
          </w:tcPr>
          <w:p w14:paraId="04C844F5" w14:textId="2709D46A" w:rsidR="00E16412" w:rsidRPr="001922C9" w:rsidRDefault="00E16412" w:rsidP="001922C9">
            <w:pPr>
              <w:jc w:val="center"/>
              <w:rPr>
                <w:sz w:val="16"/>
                <w:szCs w:val="16"/>
              </w:rPr>
            </w:pPr>
            <w:r w:rsidRPr="001922C9">
              <w:rPr>
                <w:sz w:val="16"/>
                <w:szCs w:val="16"/>
              </w:rPr>
              <w:t>0.9</w:t>
            </w:r>
          </w:p>
        </w:tc>
      </w:tr>
      <w:tr w:rsidR="001922C9" w:rsidRPr="001922C9" w14:paraId="3204D5E3" w14:textId="77777777" w:rsidTr="005345A5">
        <w:trPr>
          <w:trHeight w:val="300"/>
        </w:trPr>
        <w:tc>
          <w:tcPr>
            <w:tcW w:w="483" w:type="pct"/>
            <w:tcBorders>
              <w:top w:val="nil"/>
              <w:left w:val="nil"/>
              <w:bottom w:val="nil"/>
              <w:right w:val="nil"/>
            </w:tcBorders>
            <w:shd w:val="clear" w:color="auto" w:fill="auto"/>
            <w:noWrap/>
            <w:vAlign w:val="center"/>
            <w:hideMark/>
          </w:tcPr>
          <w:p w14:paraId="285D1093" w14:textId="4A74880C" w:rsidR="00E16412" w:rsidRPr="001922C9" w:rsidRDefault="00E16412" w:rsidP="005345A5">
            <w:pPr>
              <w:jc w:val="left"/>
              <w:rPr>
                <w:sz w:val="16"/>
                <w:szCs w:val="16"/>
              </w:rPr>
            </w:pPr>
            <w:r w:rsidRPr="001922C9">
              <w:rPr>
                <w:sz w:val="16"/>
                <w:szCs w:val="16"/>
              </w:rPr>
              <w:t>Bulrush Millet</w:t>
            </w:r>
          </w:p>
        </w:tc>
        <w:tc>
          <w:tcPr>
            <w:tcW w:w="431" w:type="pct"/>
            <w:tcBorders>
              <w:top w:val="nil"/>
              <w:left w:val="single" w:sz="4" w:space="0" w:color="auto"/>
              <w:bottom w:val="nil"/>
              <w:right w:val="nil"/>
            </w:tcBorders>
            <w:shd w:val="clear" w:color="auto" w:fill="auto"/>
            <w:noWrap/>
            <w:vAlign w:val="center"/>
            <w:hideMark/>
          </w:tcPr>
          <w:p w14:paraId="15519D17" w14:textId="4932D018" w:rsidR="00E16412" w:rsidRPr="001922C9" w:rsidRDefault="00E16412" w:rsidP="001922C9">
            <w:pPr>
              <w:jc w:val="center"/>
              <w:rPr>
                <w:sz w:val="16"/>
                <w:szCs w:val="16"/>
              </w:rPr>
            </w:pPr>
            <w:r w:rsidRPr="001922C9">
              <w:rPr>
                <w:sz w:val="16"/>
                <w:szCs w:val="16"/>
              </w:rPr>
              <w:t>150,532</w:t>
            </w:r>
          </w:p>
        </w:tc>
        <w:tc>
          <w:tcPr>
            <w:tcW w:w="436" w:type="pct"/>
            <w:tcBorders>
              <w:top w:val="nil"/>
              <w:left w:val="nil"/>
              <w:bottom w:val="nil"/>
              <w:right w:val="nil"/>
            </w:tcBorders>
            <w:shd w:val="clear" w:color="auto" w:fill="auto"/>
            <w:noWrap/>
            <w:vAlign w:val="center"/>
            <w:hideMark/>
          </w:tcPr>
          <w:p w14:paraId="77042BFB" w14:textId="0F26667C" w:rsidR="00E16412" w:rsidRPr="001922C9" w:rsidRDefault="00E16412" w:rsidP="001922C9">
            <w:pPr>
              <w:jc w:val="center"/>
              <w:rPr>
                <w:sz w:val="16"/>
                <w:szCs w:val="16"/>
              </w:rPr>
            </w:pPr>
            <w:r w:rsidRPr="001922C9">
              <w:rPr>
                <w:sz w:val="16"/>
                <w:szCs w:val="16"/>
              </w:rPr>
              <w:t>134,314</w:t>
            </w:r>
          </w:p>
        </w:tc>
        <w:tc>
          <w:tcPr>
            <w:tcW w:w="388" w:type="pct"/>
            <w:tcBorders>
              <w:top w:val="nil"/>
              <w:left w:val="nil"/>
              <w:bottom w:val="nil"/>
              <w:right w:val="nil"/>
            </w:tcBorders>
            <w:shd w:val="clear" w:color="auto" w:fill="auto"/>
            <w:noWrap/>
            <w:vAlign w:val="center"/>
            <w:hideMark/>
          </w:tcPr>
          <w:p w14:paraId="761837F6" w14:textId="73265E66" w:rsidR="00E16412" w:rsidRPr="001922C9" w:rsidRDefault="00E16412" w:rsidP="001922C9">
            <w:pPr>
              <w:jc w:val="center"/>
              <w:rPr>
                <w:sz w:val="16"/>
                <w:szCs w:val="16"/>
              </w:rPr>
            </w:pPr>
            <w:r w:rsidRPr="001922C9">
              <w:rPr>
                <w:sz w:val="16"/>
                <w:szCs w:val="16"/>
              </w:rPr>
              <w:t>148,162</w:t>
            </w:r>
          </w:p>
        </w:tc>
        <w:tc>
          <w:tcPr>
            <w:tcW w:w="302" w:type="pct"/>
            <w:tcBorders>
              <w:top w:val="nil"/>
              <w:left w:val="nil"/>
              <w:bottom w:val="nil"/>
              <w:right w:val="single" w:sz="4" w:space="0" w:color="auto"/>
            </w:tcBorders>
            <w:shd w:val="clear" w:color="auto" w:fill="auto"/>
            <w:noWrap/>
            <w:vAlign w:val="center"/>
            <w:hideMark/>
          </w:tcPr>
          <w:p w14:paraId="1A27DB45" w14:textId="05FE05A0" w:rsidR="00E16412" w:rsidRPr="001922C9" w:rsidRDefault="00E16412" w:rsidP="001922C9">
            <w:pPr>
              <w:jc w:val="center"/>
              <w:rPr>
                <w:sz w:val="16"/>
                <w:szCs w:val="16"/>
              </w:rPr>
            </w:pPr>
            <w:r w:rsidRPr="001922C9">
              <w:rPr>
                <w:sz w:val="16"/>
                <w:szCs w:val="16"/>
              </w:rPr>
              <w:t>1.1</w:t>
            </w:r>
          </w:p>
        </w:tc>
        <w:tc>
          <w:tcPr>
            <w:tcW w:w="434" w:type="pct"/>
            <w:tcBorders>
              <w:top w:val="nil"/>
              <w:left w:val="nil"/>
              <w:bottom w:val="nil"/>
              <w:right w:val="nil"/>
            </w:tcBorders>
            <w:shd w:val="clear" w:color="auto" w:fill="auto"/>
            <w:noWrap/>
            <w:vAlign w:val="center"/>
            <w:hideMark/>
          </w:tcPr>
          <w:p w14:paraId="0613A622" w14:textId="5FEEE6A5" w:rsidR="00E16412" w:rsidRPr="001922C9" w:rsidRDefault="00E16412" w:rsidP="001922C9">
            <w:pPr>
              <w:jc w:val="center"/>
              <w:rPr>
                <w:sz w:val="16"/>
                <w:szCs w:val="16"/>
              </w:rPr>
            </w:pPr>
            <w:r w:rsidRPr="001922C9">
              <w:rPr>
                <w:sz w:val="16"/>
                <w:szCs w:val="16"/>
              </w:rPr>
              <w:t>150,423</w:t>
            </w:r>
          </w:p>
        </w:tc>
        <w:tc>
          <w:tcPr>
            <w:tcW w:w="433" w:type="pct"/>
            <w:tcBorders>
              <w:top w:val="nil"/>
              <w:left w:val="nil"/>
              <w:bottom w:val="nil"/>
              <w:right w:val="nil"/>
            </w:tcBorders>
            <w:shd w:val="clear" w:color="auto" w:fill="auto"/>
            <w:noWrap/>
            <w:vAlign w:val="center"/>
            <w:hideMark/>
          </w:tcPr>
          <w:p w14:paraId="3AD92571" w14:textId="5A8D6A19" w:rsidR="00E16412" w:rsidRPr="001922C9" w:rsidRDefault="00E16412" w:rsidP="001922C9">
            <w:pPr>
              <w:jc w:val="center"/>
              <w:rPr>
                <w:sz w:val="16"/>
                <w:szCs w:val="16"/>
              </w:rPr>
            </w:pPr>
            <w:r w:rsidRPr="001922C9">
              <w:rPr>
                <w:sz w:val="16"/>
                <w:szCs w:val="16"/>
              </w:rPr>
              <w:t>134,250</w:t>
            </w:r>
          </w:p>
        </w:tc>
        <w:tc>
          <w:tcPr>
            <w:tcW w:w="384" w:type="pct"/>
            <w:tcBorders>
              <w:top w:val="nil"/>
              <w:left w:val="nil"/>
              <w:bottom w:val="nil"/>
              <w:right w:val="nil"/>
            </w:tcBorders>
            <w:shd w:val="clear" w:color="auto" w:fill="auto"/>
            <w:noWrap/>
            <w:vAlign w:val="center"/>
            <w:hideMark/>
          </w:tcPr>
          <w:p w14:paraId="377E37A5" w14:textId="0127F256" w:rsidR="00E16412" w:rsidRPr="001922C9" w:rsidRDefault="00E16412" w:rsidP="001922C9">
            <w:pPr>
              <w:jc w:val="center"/>
              <w:rPr>
                <w:sz w:val="16"/>
                <w:szCs w:val="16"/>
              </w:rPr>
            </w:pPr>
            <w:r w:rsidRPr="001922C9">
              <w:rPr>
                <w:sz w:val="16"/>
                <w:szCs w:val="16"/>
              </w:rPr>
              <w:t>148,011</w:t>
            </w:r>
          </w:p>
        </w:tc>
        <w:tc>
          <w:tcPr>
            <w:tcW w:w="347" w:type="pct"/>
            <w:tcBorders>
              <w:top w:val="nil"/>
              <w:left w:val="nil"/>
              <w:bottom w:val="nil"/>
              <w:right w:val="nil"/>
            </w:tcBorders>
            <w:shd w:val="clear" w:color="auto" w:fill="auto"/>
            <w:noWrap/>
            <w:vAlign w:val="center"/>
            <w:hideMark/>
          </w:tcPr>
          <w:p w14:paraId="00297562" w14:textId="331DEBC3" w:rsidR="00E16412" w:rsidRPr="001922C9" w:rsidRDefault="00E16412" w:rsidP="001922C9">
            <w:pPr>
              <w:jc w:val="center"/>
              <w:rPr>
                <w:sz w:val="16"/>
                <w:szCs w:val="16"/>
              </w:rPr>
            </w:pPr>
            <w:r w:rsidRPr="001922C9">
              <w:rPr>
                <w:sz w:val="16"/>
                <w:szCs w:val="16"/>
              </w:rPr>
              <w:t>1.1</w:t>
            </w:r>
          </w:p>
        </w:tc>
        <w:tc>
          <w:tcPr>
            <w:tcW w:w="338" w:type="pct"/>
            <w:tcBorders>
              <w:top w:val="nil"/>
              <w:left w:val="single" w:sz="4" w:space="0" w:color="auto"/>
              <w:bottom w:val="nil"/>
              <w:right w:val="nil"/>
            </w:tcBorders>
            <w:shd w:val="clear" w:color="auto" w:fill="auto"/>
            <w:noWrap/>
            <w:vAlign w:val="center"/>
            <w:hideMark/>
          </w:tcPr>
          <w:p w14:paraId="5188EC2B" w14:textId="42189FEC" w:rsidR="00E16412" w:rsidRPr="001922C9" w:rsidRDefault="00E16412" w:rsidP="001922C9">
            <w:pPr>
              <w:jc w:val="center"/>
              <w:rPr>
                <w:sz w:val="16"/>
                <w:szCs w:val="16"/>
              </w:rPr>
            </w:pPr>
            <w:r w:rsidRPr="001922C9">
              <w:rPr>
                <w:sz w:val="16"/>
                <w:szCs w:val="16"/>
              </w:rPr>
              <w:t>110</w:t>
            </w:r>
          </w:p>
        </w:tc>
        <w:tc>
          <w:tcPr>
            <w:tcW w:w="387" w:type="pct"/>
            <w:tcBorders>
              <w:top w:val="nil"/>
              <w:left w:val="nil"/>
              <w:bottom w:val="nil"/>
              <w:right w:val="nil"/>
            </w:tcBorders>
            <w:shd w:val="clear" w:color="auto" w:fill="auto"/>
            <w:noWrap/>
            <w:vAlign w:val="center"/>
            <w:hideMark/>
          </w:tcPr>
          <w:p w14:paraId="0CD916FA" w14:textId="58DBDBD0" w:rsidR="00E16412" w:rsidRPr="001922C9" w:rsidRDefault="00E16412" w:rsidP="001922C9">
            <w:pPr>
              <w:jc w:val="center"/>
              <w:rPr>
                <w:sz w:val="16"/>
                <w:szCs w:val="16"/>
              </w:rPr>
            </w:pPr>
            <w:r w:rsidRPr="001922C9">
              <w:rPr>
                <w:sz w:val="16"/>
                <w:szCs w:val="16"/>
              </w:rPr>
              <w:t>64</w:t>
            </w:r>
          </w:p>
        </w:tc>
        <w:tc>
          <w:tcPr>
            <w:tcW w:w="337" w:type="pct"/>
            <w:tcBorders>
              <w:top w:val="nil"/>
              <w:left w:val="nil"/>
              <w:bottom w:val="nil"/>
              <w:right w:val="nil"/>
            </w:tcBorders>
            <w:shd w:val="clear" w:color="auto" w:fill="auto"/>
            <w:noWrap/>
            <w:vAlign w:val="center"/>
            <w:hideMark/>
          </w:tcPr>
          <w:p w14:paraId="7F531F27" w14:textId="7EF1F065" w:rsidR="00E16412" w:rsidRPr="001922C9" w:rsidRDefault="00E16412" w:rsidP="001922C9">
            <w:pPr>
              <w:jc w:val="center"/>
              <w:rPr>
                <w:sz w:val="16"/>
                <w:szCs w:val="16"/>
              </w:rPr>
            </w:pPr>
            <w:r w:rsidRPr="001922C9">
              <w:rPr>
                <w:sz w:val="16"/>
                <w:szCs w:val="16"/>
              </w:rPr>
              <w:t>150</w:t>
            </w:r>
          </w:p>
        </w:tc>
        <w:tc>
          <w:tcPr>
            <w:tcW w:w="300" w:type="pct"/>
            <w:tcBorders>
              <w:top w:val="nil"/>
              <w:left w:val="nil"/>
              <w:bottom w:val="nil"/>
              <w:right w:val="nil"/>
            </w:tcBorders>
            <w:shd w:val="clear" w:color="auto" w:fill="auto"/>
            <w:noWrap/>
            <w:vAlign w:val="center"/>
            <w:hideMark/>
          </w:tcPr>
          <w:p w14:paraId="32DF0D0F" w14:textId="7A73BA20" w:rsidR="00E16412" w:rsidRPr="001922C9" w:rsidRDefault="00E16412" w:rsidP="001922C9">
            <w:pPr>
              <w:jc w:val="center"/>
              <w:rPr>
                <w:sz w:val="16"/>
                <w:szCs w:val="16"/>
              </w:rPr>
            </w:pPr>
            <w:r w:rsidRPr="001922C9">
              <w:rPr>
                <w:sz w:val="16"/>
                <w:szCs w:val="16"/>
              </w:rPr>
              <w:t>2.4</w:t>
            </w:r>
          </w:p>
        </w:tc>
      </w:tr>
      <w:tr w:rsidR="001922C9" w:rsidRPr="001922C9" w14:paraId="19190D21" w14:textId="77777777" w:rsidTr="005345A5">
        <w:trPr>
          <w:trHeight w:val="300"/>
        </w:trPr>
        <w:tc>
          <w:tcPr>
            <w:tcW w:w="483" w:type="pct"/>
            <w:tcBorders>
              <w:top w:val="nil"/>
              <w:left w:val="nil"/>
              <w:bottom w:val="nil"/>
              <w:right w:val="nil"/>
            </w:tcBorders>
            <w:shd w:val="clear" w:color="auto" w:fill="auto"/>
            <w:noWrap/>
            <w:vAlign w:val="center"/>
            <w:hideMark/>
          </w:tcPr>
          <w:p w14:paraId="7E8E2C58" w14:textId="14D72AD6" w:rsidR="00E16412" w:rsidRPr="001922C9" w:rsidRDefault="00E16412" w:rsidP="005345A5">
            <w:pPr>
              <w:jc w:val="left"/>
              <w:rPr>
                <w:sz w:val="16"/>
                <w:szCs w:val="16"/>
              </w:rPr>
            </w:pPr>
            <w:r w:rsidRPr="001922C9">
              <w:rPr>
                <w:sz w:val="16"/>
                <w:szCs w:val="16"/>
              </w:rPr>
              <w:t>Finger Millet</w:t>
            </w:r>
          </w:p>
        </w:tc>
        <w:tc>
          <w:tcPr>
            <w:tcW w:w="431" w:type="pct"/>
            <w:tcBorders>
              <w:top w:val="nil"/>
              <w:left w:val="single" w:sz="4" w:space="0" w:color="auto"/>
              <w:bottom w:val="nil"/>
              <w:right w:val="nil"/>
            </w:tcBorders>
            <w:shd w:val="clear" w:color="auto" w:fill="auto"/>
            <w:noWrap/>
            <w:vAlign w:val="center"/>
            <w:hideMark/>
          </w:tcPr>
          <w:p w14:paraId="2F4825BB" w14:textId="70AF3747" w:rsidR="00E16412" w:rsidRPr="001922C9" w:rsidRDefault="00E16412" w:rsidP="001922C9">
            <w:pPr>
              <w:jc w:val="center"/>
              <w:rPr>
                <w:sz w:val="16"/>
                <w:szCs w:val="16"/>
              </w:rPr>
            </w:pPr>
            <w:r w:rsidRPr="001922C9">
              <w:rPr>
                <w:sz w:val="16"/>
                <w:szCs w:val="16"/>
              </w:rPr>
              <w:t>31,468</w:t>
            </w:r>
          </w:p>
        </w:tc>
        <w:tc>
          <w:tcPr>
            <w:tcW w:w="436" w:type="pct"/>
            <w:tcBorders>
              <w:top w:val="nil"/>
              <w:left w:val="nil"/>
              <w:bottom w:val="nil"/>
              <w:right w:val="nil"/>
            </w:tcBorders>
            <w:shd w:val="clear" w:color="auto" w:fill="auto"/>
            <w:noWrap/>
            <w:vAlign w:val="center"/>
            <w:hideMark/>
          </w:tcPr>
          <w:p w14:paraId="7DDC30DA" w14:textId="53310E12" w:rsidR="00E16412" w:rsidRPr="001922C9" w:rsidRDefault="00E16412" w:rsidP="001922C9">
            <w:pPr>
              <w:jc w:val="center"/>
              <w:rPr>
                <w:sz w:val="16"/>
                <w:szCs w:val="16"/>
              </w:rPr>
            </w:pPr>
            <w:r w:rsidRPr="001922C9">
              <w:rPr>
                <w:sz w:val="16"/>
                <w:szCs w:val="16"/>
              </w:rPr>
              <w:t>27,767</w:t>
            </w:r>
          </w:p>
        </w:tc>
        <w:tc>
          <w:tcPr>
            <w:tcW w:w="388" w:type="pct"/>
            <w:tcBorders>
              <w:top w:val="nil"/>
              <w:left w:val="nil"/>
              <w:bottom w:val="nil"/>
              <w:right w:val="nil"/>
            </w:tcBorders>
            <w:shd w:val="clear" w:color="auto" w:fill="auto"/>
            <w:noWrap/>
            <w:vAlign w:val="center"/>
            <w:hideMark/>
          </w:tcPr>
          <w:p w14:paraId="034B04B3" w14:textId="398E52F9" w:rsidR="00E16412" w:rsidRPr="001922C9" w:rsidRDefault="00E16412" w:rsidP="001922C9">
            <w:pPr>
              <w:jc w:val="center"/>
              <w:rPr>
                <w:sz w:val="16"/>
                <w:szCs w:val="16"/>
              </w:rPr>
            </w:pPr>
            <w:r w:rsidRPr="001922C9">
              <w:rPr>
                <w:sz w:val="16"/>
                <w:szCs w:val="16"/>
              </w:rPr>
              <w:t>32,950</w:t>
            </w:r>
          </w:p>
        </w:tc>
        <w:tc>
          <w:tcPr>
            <w:tcW w:w="302" w:type="pct"/>
            <w:tcBorders>
              <w:top w:val="nil"/>
              <w:left w:val="nil"/>
              <w:bottom w:val="nil"/>
              <w:right w:val="single" w:sz="4" w:space="0" w:color="auto"/>
            </w:tcBorders>
            <w:shd w:val="clear" w:color="auto" w:fill="auto"/>
            <w:noWrap/>
            <w:vAlign w:val="center"/>
            <w:hideMark/>
          </w:tcPr>
          <w:p w14:paraId="6FFFF0E9" w14:textId="5C40E289" w:rsidR="00E16412" w:rsidRPr="001922C9" w:rsidRDefault="00E16412" w:rsidP="001922C9">
            <w:pPr>
              <w:jc w:val="center"/>
              <w:rPr>
                <w:sz w:val="16"/>
                <w:szCs w:val="16"/>
              </w:rPr>
            </w:pPr>
            <w:r w:rsidRPr="001922C9">
              <w:rPr>
                <w:sz w:val="16"/>
                <w:szCs w:val="16"/>
              </w:rPr>
              <w:t>1.2</w:t>
            </w:r>
          </w:p>
        </w:tc>
        <w:tc>
          <w:tcPr>
            <w:tcW w:w="434" w:type="pct"/>
            <w:tcBorders>
              <w:top w:val="nil"/>
              <w:left w:val="nil"/>
              <w:bottom w:val="nil"/>
              <w:right w:val="nil"/>
            </w:tcBorders>
            <w:shd w:val="clear" w:color="auto" w:fill="auto"/>
            <w:noWrap/>
            <w:vAlign w:val="center"/>
            <w:hideMark/>
          </w:tcPr>
          <w:p w14:paraId="48CA0917" w14:textId="5FEE7067" w:rsidR="00E16412" w:rsidRPr="001922C9" w:rsidRDefault="00E16412" w:rsidP="001922C9">
            <w:pPr>
              <w:jc w:val="center"/>
              <w:rPr>
                <w:sz w:val="16"/>
                <w:szCs w:val="16"/>
              </w:rPr>
            </w:pPr>
            <w:r w:rsidRPr="001922C9">
              <w:rPr>
                <w:sz w:val="16"/>
                <w:szCs w:val="16"/>
              </w:rPr>
              <w:t>31,468</w:t>
            </w:r>
          </w:p>
        </w:tc>
        <w:tc>
          <w:tcPr>
            <w:tcW w:w="433" w:type="pct"/>
            <w:tcBorders>
              <w:top w:val="nil"/>
              <w:left w:val="nil"/>
              <w:bottom w:val="nil"/>
              <w:right w:val="nil"/>
            </w:tcBorders>
            <w:shd w:val="clear" w:color="auto" w:fill="auto"/>
            <w:noWrap/>
            <w:vAlign w:val="center"/>
            <w:hideMark/>
          </w:tcPr>
          <w:p w14:paraId="09CB9E3C" w14:textId="119D9036" w:rsidR="00E16412" w:rsidRPr="001922C9" w:rsidRDefault="00E16412" w:rsidP="001922C9">
            <w:pPr>
              <w:jc w:val="center"/>
              <w:rPr>
                <w:sz w:val="16"/>
                <w:szCs w:val="16"/>
              </w:rPr>
            </w:pPr>
            <w:r w:rsidRPr="001922C9">
              <w:rPr>
                <w:sz w:val="16"/>
                <w:szCs w:val="16"/>
              </w:rPr>
              <w:t>27,767</w:t>
            </w:r>
          </w:p>
        </w:tc>
        <w:tc>
          <w:tcPr>
            <w:tcW w:w="384" w:type="pct"/>
            <w:tcBorders>
              <w:top w:val="nil"/>
              <w:left w:val="nil"/>
              <w:bottom w:val="nil"/>
              <w:right w:val="nil"/>
            </w:tcBorders>
            <w:shd w:val="clear" w:color="auto" w:fill="auto"/>
            <w:noWrap/>
            <w:vAlign w:val="center"/>
            <w:hideMark/>
          </w:tcPr>
          <w:p w14:paraId="63822655" w14:textId="2344312C" w:rsidR="00E16412" w:rsidRPr="001922C9" w:rsidRDefault="00E16412" w:rsidP="001922C9">
            <w:pPr>
              <w:jc w:val="center"/>
              <w:rPr>
                <w:sz w:val="16"/>
                <w:szCs w:val="16"/>
              </w:rPr>
            </w:pPr>
            <w:r w:rsidRPr="001922C9">
              <w:rPr>
                <w:sz w:val="16"/>
                <w:szCs w:val="16"/>
              </w:rPr>
              <w:t>32,950</w:t>
            </w:r>
          </w:p>
        </w:tc>
        <w:tc>
          <w:tcPr>
            <w:tcW w:w="347" w:type="pct"/>
            <w:tcBorders>
              <w:top w:val="nil"/>
              <w:left w:val="nil"/>
              <w:bottom w:val="nil"/>
              <w:right w:val="nil"/>
            </w:tcBorders>
            <w:shd w:val="clear" w:color="auto" w:fill="auto"/>
            <w:noWrap/>
            <w:vAlign w:val="center"/>
            <w:hideMark/>
          </w:tcPr>
          <w:p w14:paraId="1305701C" w14:textId="694FF221" w:rsidR="00E16412" w:rsidRPr="001922C9" w:rsidRDefault="00E16412" w:rsidP="001922C9">
            <w:pPr>
              <w:jc w:val="center"/>
              <w:rPr>
                <w:sz w:val="16"/>
                <w:szCs w:val="16"/>
              </w:rPr>
            </w:pPr>
            <w:r w:rsidRPr="001922C9">
              <w:rPr>
                <w:sz w:val="16"/>
                <w:szCs w:val="16"/>
              </w:rPr>
              <w:t>1.2</w:t>
            </w:r>
          </w:p>
        </w:tc>
        <w:tc>
          <w:tcPr>
            <w:tcW w:w="338" w:type="pct"/>
            <w:tcBorders>
              <w:top w:val="nil"/>
              <w:left w:val="single" w:sz="4" w:space="0" w:color="auto"/>
              <w:bottom w:val="nil"/>
              <w:right w:val="nil"/>
            </w:tcBorders>
            <w:shd w:val="clear" w:color="auto" w:fill="auto"/>
            <w:noWrap/>
            <w:vAlign w:val="center"/>
            <w:hideMark/>
          </w:tcPr>
          <w:p w14:paraId="52AAA4DB" w14:textId="58AFF220" w:rsidR="00E16412" w:rsidRPr="001922C9" w:rsidRDefault="00E16412" w:rsidP="001922C9">
            <w:pPr>
              <w:jc w:val="center"/>
              <w:rPr>
                <w:sz w:val="16"/>
                <w:szCs w:val="16"/>
              </w:rPr>
            </w:pPr>
            <w:r w:rsidRPr="001922C9">
              <w:rPr>
                <w:sz w:val="16"/>
                <w:szCs w:val="16"/>
              </w:rPr>
              <w:t>-</w:t>
            </w:r>
          </w:p>
        </w:tc>
        <w:tc>
          <w:tcPr>
            <w:tcW w:w="387" w:type="pct"/>
            <w:tcBorders>
              <w:top w:val="nil"/>
              <w:left w:val="nil"/>
              <w:bottom w:val="nil"/>
              <w:right w:val="nil"/>
            </w:tcBorders>
            <w:shd w:val="clear" w:color="auto" w:fill="auto"/>
            <w:noWrap/>
            <w:vAlign w:val="center"/>
            <w:hideMark/>
          </w:tcPr>
          <w:p w14:paraId="778358B8" w14:textId="26F3E176" w:rsidR="00E16412" w:rsidRPr="001922C9" w:rsidRDefault="00E16412" w:rsidP="001922C9">
            <w:pPr>
              <w:jc w:val="center"/>
              <w:rPr>
                <w:sz w:val="16"/>
                <w:szCs w:val="16"/>
              </w:rPr>
            </w:pPr>
            <w:r w:rsidRPr="001922C9">
              <w:rPr>
                <w:sz w:val="16"/>
                <w:szCs w:val="16"/>
              </w:rPr>
              <w:t>-</w:t>
            </w:r>
          </w:p>
        </w:tc>
        <w:tc>
          <w:tcPr>
            <w:tcW w:w="337" w:type="pct"/>
            <w:tcBorders>
              <w:top w:val="nil"/>
              <w:left w:val="nil"/>
              <w:bottom w:val="nil"/>
              <w:right w:val="nil"/>
            </w:tcBorders>
            <w:shd w:val="clear" w:color="auto" w:fill="auto"/>
            <w:noWrap/>
            <w:vAlign w:val="center"/>
            <w:hideMark/>
          </w:tcPr>
          <w:p w14:paraId="04EF9205" w14:textId="7D3C171D" w:rsidR="00E16412" w:rsidRPr="001922C9" w:rsidRDefault="00E16412" w:rsidP="001922C9">
            <w:pPr>
              <w:jc w:val="center"/>
              <w:rPr>
                <w:sz w:val="16"/>
                <w:szCs w:val="16"/>
              </w:rPr>
            </w:pPr>
            <w:r w:rsidRPr="001922C9">
              <w:rPr>
                <w:sz w:val="16"/>
                <w:szCs w:val="16"/>
              </w:rPr>
              <w:t>-</w:t>
            </w:r>
          </w:p>
        </w:tc>
        <w:tc>
          <w:tcPr>
            <w:tcW w:w="300" w:type="pct"/>
            <w:tcBorders>
              <w:top w:val="nil"/>
              <w:left w:val="nil"/>
              <w:bottom w:val="nil"/>
              <w:right w:val="nil"/>
            </w:tcBorders>
            <w:shd w:val="clear" w:color="auto" w:fill="auto"/>
            <w:noWrap/>
            <w:vAlign w:val="center"/>
            <w:hideMark/>
          </w:tcPr>
          <w:p w14:paraId="75C17100" w14:textId="5EB79F82" w:rsidR="00E16412" w:rsidRPr="001922C9" w:rsidRDefault="00E16412" w:rsidP="001922C9">
            <w:pPr>
              <w:jc w:val="center"/>
              <w:rPr>
                <w:sz w:val="16"/>
                <w:szCs w:val="16"/>
              </w:rPr>
            </w:pPr>
            <w:r w:rsidRPr="001922C9">
              <w:rPr>
                <w:sz w:val="16"/>
                <w:szCs w:val="16"/>
              </w:rPr>
              <w:t>-</w:t>
            </w:r>
          </w:p>
        </w:tc>
      </w:tr>
      <w:tr w:rsidR="001922C9" w:rsidRPr="001922C9" w14:paraId="42118B15" w14:textId="77777777" w:rsidTr="005345A5">
        <w:trPr>
          <w:trHeight w:val="300"/>
        </w:trPr>
        <w:tc>
          <w:tcPr>
            <w:tcW w:w="483" w:type="pct"/>
            <w:tcBorders>
              <w:top w:val="nil"/>
              <w:left w:val="nil"/>
              <w:bottom w:val="nil"/>
              <w:right w:val="nil"/>
            </w:tcBorders>
            <w:shd w:val="clear" w:color="auto" w:fill="auto"/>
            <w:noWrap/>
            <w:vAlign w:val="center"/>
            <w:hideMark/>
          </w:tcPr>
          <w:p w14:paraId="711975D7" w14:textId="2E1B2EE9" w:rsidR="00E16412" w:rsidRPr="001922C9" w:rsidRDefault="00E16412" w:rsidP="005345A5">
            <w:pPr>
              <w:jc w:val="left"/>
              <w:rPr>
                <w:sz w:val="16"/>
                <w:szCs w:val="16"/>
              </w:rPr>
            </w:pPr>
            <w:r w:rsidRPr="001922C9">
              <w:rPr>
                <w:sz w:val="16"/>
                <w:szCs w:val="16"/>
              </w:rPr>
              <w:t>Wheat</w:t>
            </w:r>
          </w:p>
        </w:tc>
        <w:tc>
          <w:tcPr>
            <w:tcW w:w="431" w:type="pct"/>
            <w:tcBorders>
              <w:top w:val="nil"/>
              <w:left w:val="single" w:sz="4" w:space="0" w:color="auto"/>
              <w:bottom w:val="nil"/>
              <w:right w:val="nil"/>
            </w:tcBorders>
            <w:shd w:val="clear" w:color="auto" w:fill="auto"/>
            <w:noWrap/>
            <w:vAlign w:val="center"/>
            <w:hideMark/>
          </w:tcPr>
          <w:p w14:paraId="78CAA48D" w14:textId="53A1A2D6" w:rsidR="00E16412" w:rsidRPr="001922C9" w:rsidRDefault="00E16412" w:rsidP="001922C9">
            <w:pPr>
              <w:jc w:val="center"/>
              <w:rPr>
                <w:sz w:val="16"/>
                <w:szCs w:val="16"/>
              </w:rPr>
            </w:pPr>
            <w:r w:rsidRPr="001922C9">
              <w:rPr>
                <w:sz w:val="16"/>
                <w:szCs w:val="16"/>
              </w:rPr>
              <w:t>91,659</w:t>
            </w:r>
          </w:p>
        </w:tc>
        <w:tc>
          <w:tcPr>
            <w:tcW w:w="436" w:type="pct"/>
            <w:tcBorders>
              <w:top w:val="nil"/>
              <w:left w:val="nil"/>
              <w:bottom w:val="nil"/>
              <w:right w:val="nil"/>
            </w:tcBorders>
            <w:shd w:val="clear" w:color="auto" w:fill="auto"/>
            <w:noWrap/>
            <w:vAlign w:val="center"/>
            <w:hideMark/>
          </w:tcPr>
          <w:p w14:paraId="1117A159" w14:textId="02FB09BE" w:rsidR="00E16412" w:rsidRPr="001922C9" w:rsidRDefault="00E16412" w:rsidP="001922C9">
            <w:pPr>
              <w:jc w:val="center"/>
              <w:rPr>
                <w:sz w:val="16"/>
                <w:szCs w:val="16"/>
              </w:rPr>
            </w:pPr>
            <w:r w:rsidRPr="001922C9">
              <w:rPr>
                <w:sz w:val="16"/>
                <w:szCs w:val="16"/>
              </w:rPr>
              <w:t>78,274</w:t>
            </w:r>
          </w:p>
        </w:tc>
        <w:tc>
          <w:tcPr>
            <w:tcW w:w="388" w:type="pct"/>
            <w:tcBorders>
              <w:top w:val="nil"/>
              <w:left w:val="nil"/>
              <w:bottom w:val="nil"/>
              <w:right w:val="nil"/>
            </w:tcBorders>
            <w:shd w:val="clear" w:color="auto" w:fill="auto"/>
            <w:noWrap/>
            <w:vAlign w:val="center"/>
            <w:hideMark/>
          </w:tcPr>
          <w:p w14:paraId="52958B01" w14:textId="7A2B03DC" w:rsidR="00E16412" w:rsidRPr="001922C9" w:rsidRDefault="00E16412" w:rsidP="001922C9">
            <w:pPr>
              <w:jc w:val="center"/>
              <w:rPr>
                <w:sz w:val="16"/>
                <w:szCs w:val="16"/>
              </w:rPr>
            </w:pPr>
            <w:r w:rsidRPr="001922C9">
              <w:rPr>
                <w:sz w:val="16"/>
                <w:szCs w:val="16"/>
              </w:rPr>
              <w:t>93,184</w:t>
            </w:r>
          </w:p>
        </w:tc>
        <w:tc>
          <w:tcPr>
            <w:tcW w:w="302" w:type="pct"/>
            <w:tcBorders>
              <w:top w:val="nil"/>
              <w:left w:val="nil"/>
              <w:bottom w:val="nil"/>
              <w:right w:val="single" w:sz="4" w:space="0" w:color="auto"/>
            </w:tcBorders>
            <w:shd w:val="clear" w:color="auto" w:fill="auto"/>
            <w:noWrap/>
            <w:vAlign w:val="center"/>
            <w:hideMark/>
          </w:tcPr>
          <w:p w14:paraId="4E027DA1" w14:textId="36BC59F1" w:rsidR="00E16412" w:rsidRPr="001922C9" w:rsidRDefault="00E16412" w:rsidP="001922C9">
            <w:pPr>
              <w:jc w:val="center"/>
              <w:rPr>
                <w:sz w:val="16"/>
                <w:szCs w:val="16"/>
              </w:rPr>
            </w:pPr>
            <w:r w:rsidRPr="001922C9">
              <w:rPr>
                <w:sz w:val="16"/>
                <w:szCs w:val="16"/>
              </w:rPr>
              <w:t>1.2</w:t>
            </w:r>
          </w:p>
        </w:tc>
        <w:tc>
          <w:tcPr>
            <w:tcW w:w="434" w:type="pct"/>
            <w:tcBorders>
              <w:top w:val="nil"/>
              <w:left w:val="nil"/>
              <w:bottom w:val="nil"/>
              <w:right w:val="nil"/>
            </w:tcBorders>
            <w:shd w:val="clear" w:color="auto" w:fill="auto"/>
            <w:noWrap/>
            <w:vAlign w:val="center"/>
            <w:hideMark/>
          </w:tcPr>
          <w:p w14:paraId="509A6247" w14:textId="2FD5C21D" w:rsidR="00E16412" w:rsidRPr="001922C9" w:rsidRDefault="00E16412" w:rsidP="001922C9">
            <w:pPr>
              <w:jc w:val="center"/>
              <w:rPr>
                <w:sz w:val="16"/>
                <w:szCs w:val="16"/>
              </w:rPr>
            </w:pPr>
            <w:r w:rsidRPr="001922C9">
              <w:rPr>
                <w:sz w:val="16"/>
                <w:szCs w:val="16"/>
              </w:rPr>
              <w:t>91,659</w:t>
            </w:r>
          </w:p>
        </w:tc>
        <w:tc>
          <w:tcPr>
            <w:tcW w:w="433" w:type="pct"/>
            <w:tcBorders>
              <w:top w:val="nil"/>
              <w:left w:val="nil"/>
              <w:bottom w:val="nil"/>
              <w:right w:val="nil"/>
            </w:tcBorders>
            <w:shd w:val="clear" w:color="auto" w:fill="auto"/>
            <w:noWrap/>
            <w:vAlign w:val="center"/>
            <w:hideMark/>
          </w:tcPr>
          <w:p w14:paraId="4DB920FF" w14:textId="1799D5CC" w:rsidR="00E16412" w:rsidRPr="001922C9" w:rsidRDefault="00E16412" w:rsidP="001922C9">
            <w:pPr>
              <w:jc w:val="center"/>
              <w:rPr>
                <w:sz w:val="16"/>
                <w:szCs w:val="16"/>
              </w:rPr>
            </w:pPr>
            <w:r w:rsidRPr="001922C9">
              <w:rPr>
                <w:sz w:val="16"/>
                <w:szCs w:val="16"/>
              </w:rPr>
              <w:t>78,274</w:t>
            </w:r>
          </w:p>
        </w:tc>
        <w:tc>
          <w:tcPr>
            <w:tcW w:w="384" w:type="pct"/>
            <w:tcBorders>
              <w:top w:val="nil"/>
              <w:left w:val="nil"/>
              <w:bottom w:val="nil"/>
              <w:right w:val="nil"/>
            </w:tcBorders>
            <w:shd w:val="clear" w:color="auto" w:fill="auto"/>
            <w:noWrap/>
            <w:vAlign w:val="center"/>
            <w:hideMark/>
          </w:tcPr>
          <w:p w14:paraId="5233C35B" w14:textId="6AB55F13" w:rsidR="00E16412" w:rsidRPr="001922C9" w:rsidRDefault="00E16412" w:rsidP="001922C9">
            <w:pPr>
              <w:jc w:val="center"/>
              <w:rPr>
                <w:sz w:val="16"/>
                <w:szCs w:val="16"/>
              </w:rPr>
            </w:pPr>
            <w:r w:rsidRPr="001922C9">
              <w:rPr>
                <w:sz w:val="16"/>
                <w:szCs w:val="16"/>
              </w:rPr>
              <w:t>93,184</w:t>
            </w:r>
          </w:p>
        </w:tc>
        <w:tc>
          <w:tcPr>
            <w:tcW w:w="347" w:type="pct"/>
            <w:tcBorders>
              <w:top w:val="nil"/>
              <w:left w:val="nil"/>
              <w:bottom w:val="nil"/>
              <w:right w:val="nil"/>
            </w:tcBorders>
            <w:shd w:val="clear" w:color="auto" w:fill="auto"/>
            <w:noWrap/>
            <w:vAlign w:val="center"/>
            <w:hideMark/>
          </w:tcPr>
          <w:p w14:paraId="26DA6967" w14:textId="5AFAC4D3" w:rsidR="00E16412" w:rsidRPr="001922C9" w:rsidRDefault="00E16412" w:rsidP="001922C9">
            <w:pPr>
              <w:jc w:val="center"/>
              <w:rPr>
                <w:sz w:val="16"/>
                <w:szCs w:val="16"/>
              </w:rPr>
            </w:pPr>
            <w:r w:rsidRPr="001922C9">
              <w:rPr>
                <w:sz w:val="16"/>
                <w:szCs w:val="16"/>
              </w:rPr>
              <w:t>1.2</w:t>
            </w:r>
          </w:p>
        </w:tc>
        <w:tc>
          <w:tcPr>
            <w:tcW w:w="338" w:type="pct"/>
            <w:tcBorders>
              <w:top w:val="nil"/>
              <w:left w:val="single" w:sz="4" w:space="0" w:color="auto"/>
              <w:bottom w:val="nil"/>
              <w:right w:val="nil"/>
            </w:tcBorders>
            <w:shd w:val="clear" w:color="auto" w:fill="auto"/>
            <w:noWrap/>
            <w:vAlign w:val="center"/>
            <w:hideMark/>
          </w:tcPr>
          <w:p w14:paraId="240A6B1D" w14:textId="6261676D" w:rsidR="00E16412" w:rsidRPr="001922C9" w:rsidRDefault="00E16412" w:rsidP="001922C9">
            <w:pPr>
              <w:jc w:val="center"/>
              <w:rPr>
                <w:sz w:val="16"/>
                <w:szCs w:val="16"/>
              </w:rPr>
            </w:pPr>
            <w:r w:rsidRPr="001922C9">
              <w:rPr>
                <w:sz w:val="16"/>
                <w:szCs w:val="16"/>
              </w:rPr>
              <w:t>-</w:t>
            </w:r>
          </w:p>
        </w:tc>
        <w:tc>
          <w:tcPr>
            <w:tcW w:w="387" w:type="pct"/>
            <w:tcBorders>
              <w:top w:val="nil"/>
              <w:left w:val="nil"/>
              <w:bottom w:val="nil"/>
              <w:right w:val="nil"/>
            </w:tcBorders>
            <w:shd w:val="clear" w:color="auto" w:fill="auto"/>
            <w:noWrap/>
            <w:vAlign w:val="center"/>
            <w:hideMark/>
          </w:tcPr>
          <w:p w14:paraId="3EBBF115" w14:textId="4C1976A2" w:rsidR="00E16412" w:rsidRPr="001922C9" w:rsidRDefault="00E16412" w:rsidP="001922C9">
            <w:pPr>
              <w:jc w:val="center"/>
              <w:rPr>
                <w:sz w:val="16"/>
                <w:szCs w:val="16"/>
              </w:rPr>
            </w:pPr>
            <w:r w:rsidRPr="001922C9">
              <w:rPr>
                <w:sz w:val="16"/>
                <w:szCs w:val="16"/>
              </w:rPr>
              <w:t>-</w:t>
            </w:r>
          </w:p>
        </w:tc>
        <w:tc>
          <w:tcPr>
            <w:tcW w:w="337" w:type="pct"/>
            <w:tcBorders>
              <w:top w:val="nil"/>
              <w:left w:val="nil"/>
              <w:bottom w:val="nil"/>
              <w:right w:val="nil"/>
            </w:tcBorders>
            <w:shd w:val="clear" w:color="auto" w:fill="auto"/>
            <w:noWrap/>
            <w:vAlign w:val="center"/>
            <w:hideMark/>
          </w:tcPr>
          <w:p w14:paraId="4B1C7949" w14:textId="102961DB" w:rsidR="00E16412" w:rsidRPr="001922C9" w:rsidRDefault="00E16412" w:rsidP="001922C9">
            <w:pPr>
              <w:jc w:val="center"/>
              <w:rPr>
                <w:sz w:val="16"/>
                <w:szCs w:val="16"/>
              </w:rPr>
            </w:pPr>
            <w:r w:rsidRPr="001922C9">
              <w:rPr>
                <w:sz w:val="16"/>
                <w:szCs w:val="16"/>
              </w:rPr>
              <w:t>-</w:t>
            </w:r>
          </w:p>
        </w:tc>
        <w:tc>
          <w:tcPr>
            <w:tcW w:w="300" w:type="pct"/>
            <w:tcBorders>
              <w:top w:val="nil"/>
              <w:left w:val="nil"/>
              <w:bottom w:val="nil"/>
              <w:right w:val="nil"/>
            </w:tcBorders>
            <w:shd w:val="clear" w:color="auto" w:fill="auto"/>
            <w:noWrap/>
            <w:vAlign w:val="center"/>
            <w:hideMark/>
          </w:tcPr>
          <w:p w14:paraId="1E65CA60" w14:textId="59A616F9" w:rsidR="00E16412" w:rsidRPr="001922C9" w:rsidRDefault="00E16412" w:rsidP="001922C9">
            <w:pPr>
              <w:jc w:val="center"/>
              <w:rPr>
                <w:sz w:val="16"/>
                <w:szCs w:val="16"/>
              </w:rPr>
            </w:pPr>
            <w:r w:rsidRPr="001922C9">
              <w:rPr>
                <w:sz w:val="16"/>
                <w:szCs w:val="16"/>
              </w:rPr>
              <w:t>-</w:t>
            </w:r>
          </w:p>
        </w:tc>
      </w:tr>
      <w:tr w:rsidR="001922C9" w:rsidRPr="001922C9" w14:paraId="7CB186C5" w14:textId="77777777" w:rsidTr="005345A5">
        <w:trPr>
          <w:trHeight w:val="300"/>
        </w:trPr>
        <w:tc>
          <w:tcPr>
            <w:tcW w:w="483" w:type="pct"/>
            <w:tcBorders>
              <w:top w:val="nil"/>
              <w:left w:val="nil"/>
              <w:bottom w:val="nil"/>
              <w:right w:val="nil"/>
            </w:tcBorders>
            <w:shd w:val="clear" w:color="auto" w:fill="auto"/>
            <w:noWrap/>
            <w:vAlign w:val="center"/>
            <w:hideMark/>
          </w:tcPr>
          <w:p w14:paraId="36118609" w14:textId="2893FC15" w:rsidR="00E16412" w:rsidRPr="001922C9" w:rsidRDefault="00E16412" w:rsidP="005345A5">
            <w:pPr>
              <w:jc w:val="left"/>
              <w:rPr>
                <w:sz w:val="16"/>
                <w:szCs w:val="16"/>
              </w:rPr>
            </w:pPr>
            <w:r w:rsidRPr="001922C9">
              <w:rPr>
                <w:sz w:val="16"/>
                <w:szCs w:val="16"/>
              </w:rPr>
              <w:t>Barley</w:t>
            </w:r>
          </w:p>
        </w:tc>
        <w:tc>
          <w:tcPr>
            <w:tcW w:w="431" w:type="pct"/>
            <w:tcBorders>
              <w:top w:val="nil"/>
              <w:left w:val="single" w:sz="4" w:space="0" w:color="auto"/>
              <w:bottom w:val="nil"/>
              <w:right w:val="nil"/>
            </w:tcBorders>
            <w:shd w:val="clear" w:color="auto" w:fill="auto"/>
            <w:noWrap/>
            <w:vAlign w:val="center"/>
            <w:hideMark/>
          </w:tcPr>
          <w:p w14:paraId="594FE634" w14:textId="5C6BE3AC" w:rsidR="00E16412" w:rsidRPr="001922C9" w:rsidRDefault="00E16412" w:rsidP="001922C9">
            <w:pPr>
              <w:jc w:val="center"/>
              <w:rPr>
                <w:sz w:val="16"/>
                <w:szCs w:val="16"/>
              </w:rPr>
            </w:pPr>
            <w:r w:rsidRPr="001922C9">
              <w:rPr>
                <w:sz w:val="16"/>
                <w:szCs w:val="16"/>
              </w:rPr>
              <w:t>308</w:t>
            </w:r>
          </w:p>
        </w:tc>
        <w:tc>
          <w:tcPr>
            <w:tcW w:w="436" w:type="pct"/>
            <w:tcBorders>
              <w:top w:val="nil"/>
              <w:left w:val="nil"/>
              <w:bottom w:val="nil"/>
              <w:right w:val="nil"/>
            </w:tcBorders>
            <w:shd w:val="clear" w:color="auto" w:fill="auto"/>
            <w:noWrap/>
            <w:vAlign w:val="center"/>
            <w:hideMark/>
          </w:tcPr>
          <w:p w14:paraId="693F380C" w14:textId="4C4F6D3B" w:rsidR="00E16412" w:rsidRPr="001922C9" w:rsidRDefault="00E16412" w:rsidP="001922C9">
            <w:pPr>
              <w:jc w:val="center"/>
              <w:rPr>
                <w:sz w:val="16"/>
                <w:szCs w:val="16"/>
              </w:rPr>
            </w:pPr>
            <w:r w:rsidRPr="001922C9">
              <w:rPr>
                <w:sz w:val="16"/>
                <w:szCs w:val="16"/>
              </w:rPr>
              <w:t>265</w:t>
            </w:r>
          </w:p>
        </w:tc>
        <w:tc>
          <w:tcPr>
            <w:tcW w:w="388" w:type="pct"/>
            <w:tcBorders>
              <w:top w:val="nil"/>
              <w:left w:val="nil"/>
              <w:bottom w:val="nil"/>
              <w:right w:val="nil"/>
            </w:tcBorders>
            <w:shd w:val="clear" w:color="auto" w:fill="auto"/>
            <w:noWrap/>
            <w:vAlign w:val="center"/>
            <w:hideMark/>
          </w:tcPr>
          <w:p w14:paraId="3956186D" w14:textId="0DB4D2D8" w:rsidR="00E16412" w:rsidRPr="001922C9" w:rsidRDefault="00E16412" w:rsidP="001922C9">
            <w:pPr>
              <w:jc w:val="center"/>
              <w:rPr>
                <w:sz w:val="16"/>
                <w:szCs w:val="16"/>
              </w:rPr>
            </w:pPr>
            <w:r w:rsidRPr="001922C9">
              <w:rPr>
                <w:sz w:val="16"/>
                <w:szCs w:val="16"/>
              </w:rPr>
              <w:t>355</w:t>
            </w:r>
          </w:p>
        </w:tc>
        <w:tc>
          <w:tcPr>
            <w:tcW w:w="302" w:type="pct"/>
            <w:tcBorders>
              <w:top w:val="nil"/>
              <w:left w:val="nil"/>
              <w:bottom w:val="nil"/>
              <w:right w:val="single" w:sz="4" w:space="0" w:color="auto"/>
            </w:tcBorders>
            <w:shd w:val="clear" w:color="auto" w:fill="auto"/>
            <w:noWrap/>
            <w:vAlign w:val="center"/>
            <w:hideMark/>
          </w:tcPr>
          <w:p w14:paraId="36F3CEF0" w14:textId="1A3EAE6B" w:rsidR="00E16412" w:rsidRPr="001922C9" w:rsidRDefault="00E16412" w:rsidP="001922C9">
            <w:pPr>
              <w:jc w:val="center"/>
              <w:rPr>
                <w:sz w:val="16"/>
                <w:szCs w:val="16"/>
              </w:rPr>
            </w:pPr>
            <w:r w:rsidRPr="001922C9">
              <w:rPr>
                <w:sz w:val="16"/>
                <w:szCs w:val="16"/>
              </w:rPr>
              <w:t>1.3</w:t>
            </w:r>
          </w:p>
        </w:tc>
        <w:tc>
          <w:tcPr>
            <w:tcW w:w="434" w:type="pct"/>
            <w:tcBorders>
              <w:top w:val="nil"/>
              <w:left w:val="nil"/>
              <w:bottom w:val="nil"/>
              <w:right w:val="nil"/>
            </w:tcBorders>
            <w:shd w:val="clear" w:color="auto" w:fill="auto"/>
            <w:noWrap/>
            <w:vAlign w:val="center"/>
            <w:hideMark/>
          </w:tcPr>
          <w:p w14:paraId="42568FA6" w14:textId="6D0507A8" w:rsidR="00E16412" w:rsidRPr="001922C9" w:rsidRDefault="00E16412" w:rsidP="001922C9">
            <w:pPr>
              <w:jc w:val="center"/>
              <w:rPr>
                <w:sz w:val="16"/>
                <w:szCs w:val="16"/>
              </w:rPr>
            </w:pPr>
            <w:r w:rsidRPr="001922C9">
              <w:rPr>
                <w:sz w:val="16"/>
                <w:szCs w:val="16"/>
              </w:rPr>
              <w:t>308</w:t>
            </w:r>
          </w:p>
        </w:tc>
        <w:tc>
          <w:tcPr>
            <w:tcW w:w="433" w:type="pct"/>
            <w:tcBorders>
              <w:top w:val="nil"/>
              <w:left w:val="nil"/>
              <w:bottom w:val="nil"/>
              <w:right w:val="nil"/>
            </w:tcBorders>
            <w:shd w:val="clear" w:color="auto" w:fill="auto"/>
            <w:noWrap/>
            <w:vAlign w:val="center"/>
            <w:hideMark/>
          </w:tcPr>
          <w:p w14:paraId="0DD1B191" w14:textId="274A4F61" w:rsidR="00E16412" w:rsidRPr="001922C9" w:rsidRDefault="00E16412" w:rsidP="001922C9">
            <w:pPr>
              <w:jc w:val="center"/>
              <w:rPr>
                <w:sz w:val="16"/>
                <w:szCs w:val="16"/>
              </w:rPr>
            </w:pPr>
            <w:r w:rsidRPr="001922C9">
              <w:rPr>
                <w:sz w:val="16"/>
                <w:szCs w:val="16"/>
              </w:rPr>
              <w:t>265</w:t>
            </w:r>
          </w:p>
        </w:tc>
        <w:tc>
          <w:tcPr>
            <w:tcW w:w="384" w:type="pct"/>
            <w:tcBorders>
              <w:top w:val="nil"/>
              <w:left w:val="nil"/>
              <w:bottom w:val="nil"/>
              <w:right w:val="nil"/>
            </w:tcBorders>
            <w:shd w:val="clear" w:color="auto" w:fill="auto"/>
            <w:noWrap/>
            <w:vAlign w:val="center"/>
            <w:hideMark/>
          </w:tcPr>
          <w:p w14:paraId="4095CE7C" w14:textId="271B8015" w:rsidR="00E16412" w:rsidRPr="001922C9" w:rsidRDefault="00E16412" w:rsidP="001922C9">
            <w:pPr>
              <w:jc w:val="center"/>
              <w:rPr>
                <w:sz w:val="16"/>
                <w:szCs w:val="16"/>
              </w:rPr>
            </w:pPr>
            <w:r w:rsidRPr="001922C9">
              <w:rPr>
                <w:sz w:val="16"/>
                <w:szCs w:val="16"/>
              </w:rPr>
              <w:t>355</w:t>
            </w:r>
          </w:p>
        </w:tc>
        <w:tc>
          <w:tcPr>
            <w:tcW w:w="347" w:type="pct"/>
            <w:tcBorders>
              <w:top w:val="nil"/>
              <w:left w:val="nil"/>
              <w:bottom w:val="nil"/>
              <w:right w:val="nil"/>
            </w:tcBorders>
            <w:shd w:val="clear" w:color="auto" w:fill="auto"/>
            <w:noWrap/>
            <w:vAlign w:val="center"/>
            <w:hideMark/>
          </w:tcPr>
          <w:p w14:paraId="4E1F3779" w14:textId="50C63CF0" w:rsidR="00E16412" w:rsidRPr="001922C9" w:rsidRDefault="00E16412" w:rsidP="001922C9">
            <w:pPr>
              <w:jc w:val="center"/>
              <w:rPr>
                <w:sz w:val="16"/>
                <w:szCs w:val="16"/>
              </w:rPr>
            </w:pPr>
            <w:r w:rsidRPr="001922C9">
              <w:rPr>
                <w:sz w:val="16"/>
                <w:szCs w:val="16"/>
              </w:rPr>
              <w:t>1.3</w:t>
            </w:r>
          </w:p>
        </w:tc>
        <w:tc>
          <w:tcPr>
            <w:tcW w:w="338" w:type="pct"/>
            <w:tcBorders>
              <w:top w:val="nil"/>
              <w:left w:val="single" w:sz="4" w:space="0" w:color="auto"/>
              <w:bottom w:val="nil"/>
              <w:right w:val="nil"/>
            </w:tcBorders>
            <w:shd w:val="clear" w:color="auto" w:fill="auto"/>
            <w:noWrap/>
            <w:vAlign w:val="center"/>
            <w:hideMark/>
          </w:tcPr>
          <w:p w14:paraId="1EA0014A" w14:textId="47B7C513" w:rsidR="00E16412" w:rsidRPr="001922C9" w:rsidRDefault="00E16412" w:rsidP="001922C9">
            <w:pPr>
              <w:jc w:val="center"/>
              <w:rPr>
                <w:sz w:val="16"/>
                <w:szCs w:val="16"/>
              </w:rPr>
            </w:pPr>
            <w:r w:rsidRPr="001922C9">
              <w:rPr>
                <w:sz w:val="16"/>
                <w:szCs w:val="16"/>
              </w:rPr>
              <w:t>-</w:t>
            </w:r>
          </w:p>
        </w:tc>
        <w:tc>
          <w:tcPr>
            <w:tcW w:w="387" w:type="pct"/>
            <w:tcBorders>
              <w:top w:val="nil"/>
              <w:left w:val="nil"/>
              <w:bottom w:val="nil"/>
              <w:right w:val="nil"/>
            </w:tcBorders>
            <w:shd w:val="clear" w:color="auto" w:fill="auto"/>
            <w:noWrap/>
            <w:vAlign w:val="center"/>
            <w:hideMark/>
          </w:tcPr>
          <w:p w14:paraId="7B5E2FAC" w14:textId="38E17A45" w:rsidR="00E16412" w:rsidRPr="001922C9" w:rsidRDefault="00E16412" w:rsidP="001922C9">
            <w:pPr>
              <w:jc w:val="center"/>
              <w:rPr>
                <w:sz w:val="16"/>
                <w:szCs w:val="16"/>
              </w:rPr>
            </w:pPr>
            <w:r w:rsidRPr="001922C9">
              <w:rPr>
                <w:sz w:val="16"/>
                <w:szCs w:val="16"/>
              </w:rPr>
              <w:t>-</w:t>
            </w:r>
          </w:p>
        </w:tc>
        <w:tc>
          <w:tcPr>
            <w:tcW w:w="337" w:type="pct"/>
            <w:tcBorders>
              <w:top w:val="nil"/>
              <w:left w:val="nil"/>
              <w:bottom w:val="nil"/>
              <w:right w:val="nil"/>
            </w:tcBorders>
            <w:shd w:val="clear" w:color="auto" w:fill="auto"/>
            <w:noWrap/>
            <w:vAlign w:val="center"/>
            <w:hideMark/>
          </w:tcPr>
          <w:p w14:paraId="6757D7BD" w14:textId="066177CA" w:rsidR="00E16412" w:rsidRPr="001922C9" w:rsidRDefault="00E16412" w:rsidP="001922C9">
            <w:pPr>
              <w:jc w:val="center"/>
              <w:rPr>
                <w:sz w:val="16"/>
                <w:szCs w:val="16"/>
              </w:rPr>
            </w:pPr>
            <w:r w:rsidRPr="001922C9">
              <w:rPr>
                <w:sz w:val="16"/>
                <w:szCs w:val="16"/>
              </w:rPr>
              <w:t>-</w:t>
            </w:r>
          </w:p>
        </w:tc>
        <w:tc>
          <w:tcPr>
            <w:tcW w:w="300" w:type="pct"/>
            <w:tcBorders>
              <w:top w:val="nil"/>
              <w:left w:val="nil"/>
              <w:bottom w:val="nil"/>
              <w:right w:val="nil"/>
            </w:tcBorders>
            <w:shd w:val="clear" w:color="auto" w:fill="auto"/>
            <w:noWrap/>
            <w:vAlign w:val="center"/>
            <w:hideMark/>
          </w:tcPr>
          <w:p w14:paraId="2FFC4A0C" w14:textId="1B688BAF" w:rsidR="00E16412" w:rsidRPr="001922C9" w:rsidRDefault="00E16412" w:rsidP="001922C9">
            <w:pPr>
              <w:jc w:val="center"/>
              <w:rPr>
                <w:sz w:val="16"/>
                <w:szCs w:val="16"/>
              </w:rPr>
            </w:pPr>
            <w:r w:rsidRPr="001922C9">
              <w:rPr>
                <w:sz w:val="16"/>
                <w:szCs w:val="16"/>
              </w:rPr>
              <w:t>-</w:t>
            </w:r>
          </w:p>
        </w:tc>
      </w:tr>
      <w:tr w:rsidR="001922C9" w:rsidRPr="001922C9" w14:paraId="377439C3" w14:textId="77777777" w:rsidTr="005345A5">
        <w:trPr>
          <w:trHeight w:val="323"/>
        </w:trPr>
        <w:tc>
          <w:tcPr>
            <w:tcW w:w="483" w:type="pct"/>
            <w:tcBorders>
              <w:top w:val="single" w:sz="4" w:space="0" w:color="auto"/>
              <w:left w:val="nil"/>
              <w:bottom w:val="single" w:sz="4" w:space="0" w:color="auto"/>
              <w:right w:val="nil"/>
            </w:tcBorders>
            <w:shd w:val="clear" w:color="auto" w:fill="E2EFD9" w:themeFill="accent6" w:themeFillTint="33"/>
            <w:noWrap/>
            <w:vAlign w:val="center"/>
            <w:hideMark/>
          </w:tcPr>
          <w:p w14:paraId="418C40A8" w14:textId="77777777" w:rsidR="00E16412" w:rsidRPr="001922C9" w:rsidRDefault="00E16412" w:rsidP="001922C9">
            <w:pPr>
              <w:jc w:val="left"/>
              <w:rPr>
                <w:b/>
                <w:bCs/>
                <w:sz w:val="16"/>
                <w:szCs w:val="16"/>
              </w:rPr>
            </w:pPr>
            <w:r w:rsidRPr="001922C9">
              <w:rPr>
                <w:b/>
                <w:bCs/>
                <w:sz w:val="16"/>
                <w:szCs w:val="16"/>
              </w:rPr>
              <w:t>Cereals</w:t>
            </w:r>
          </w:p>
        </w:tc>
        <w:tc>
          <w:tcPr>
            <w:tcW w:w="431" w:type="pct"/>
            <w:tcBorders>
              <w:top w:val="single" w:sz="4" w:space="0" w:color="auto"/>
              <w:left w:val="single" w:sz="4" w:space="0" w:color="auto"/>
              <w:bottom w:val="single" w:sz="4" w:space="0" w:color="auto"/>
              <w:right w:val="nil"/>
            </w:tcBorders>
            <w:shd w:val="clear" w:color="auto" w:fill="E2EFD9" w:themeFill="accent6" w:themeFillTint="33"/>
            <w:noWrap/>
            <w:vAlign w:val="center"/>
            <w:hideMark/>
          </w:tcPr>
          <w:p w14:paraId="3C994812" w14:textId="77777777" w:rsidR="00E16412" w:rsidRPr="001922C9" w:rsidRDefault="00E16412" w:rsidP="001922C9">
            <w:pPr>
              <w:jc w:val="center"/>
              <w:rPr>
                <w:b/>
                <w:bCs/>
                <w:sz w:val="16"/>
                <w:szCs w:val="16"/>
              </w:rPr>
            </w:pPr>
            <w:r w:rsidRPr="001922C9">
              <w:rPr>
                <w:b/>
                <w:bCs/>
                <w:sz w:val="16"/>
                <w:szCs w:val="16"/>
              </w:rPr>
              <w:t>7,406,207</w:t>
            </w:r>
          </w:p>
        </w:tc>
        <w:tc>
          <w:tcPr>
            <w:tcW w:w="436" w:type="pct"/>
            <w:tcBorders>
              <w:top w:val="single" w:sz="4" w:space="0" w:color="auto"/>
              <w:left w:val="nil"/>
              <w:bottom w:val="single" w:sz="4" w:space="0" w:color="auto"/>
              <w:right w:val="nil"/>
            </w:tcBorders>
            <w:shd w:val="clear" w:color="auto" w:fill="E2EFD9" w:themeFill="accent6" w:themeFillTint="33"/>
            <w:noWrap/>
            <w:vAlign w:val="center"/>
            <w:hideMark/>
          </w:tcPr>
          <w:p w14:paraId="5F6EA89D" w14:textId="77777777" w:rsidR="00E16412" w:rsidRPr="001922C9" w:rsidRDefault="00E16412" w:rsidP="001922C9">
            <w:pPr>
              <w:jc w:val="center"/>
              <w:rPr>
                <w:b/>
                <w:bCs/>
                <w:sz w:val="16"/>
                <w:szCs w:val="16"/>
              </w:rPr>
            </w:pPr>
            <w:r w:rsidRPr="001922C9">
              <w:rPr>
                <w:b/>
                <w:bCs/>
                <w:sz w:val="16"/>
                <w:szCs w:val="16"/>
              </w:rPr>
              <w:t>6,518,577</w:t>
            </w:r>
          </w:p>
        </w:tc>
        <w:tc>
          <w:tcPr>
            <w:tcW w:w="388" w:type="pct"/>
            <w:tcBorders>
              <w:top w:val="single" w:sz="4" w:space="0" w:color="auto"/>
              <w:left w:val="nil"/>
              <w:bottom w:val="single" w:sz="4" w:space="0" w:color="auto"/>
              <w:right w:val="nil"/>
            </w:tcBorders>
            <w:shd w:val="clear" w:color="auto" w:fill="E2EFD9" w:themeFill="accent6" w:themeFillTint="33"/>
            <w:noWrap/>
            <w:vAlign w:val="center"/>
            <w:hideMark/>
          </w:tcPr>
          <w:p w14:paraId="33477337" w14:textId="77777777" w:rsidR="00E16412" w:rsidRPr="001922C9" w:rsidRDefault="00E16412" w:rsidP="001922C9">
            <w:pPr>
              <w:jc w:val="center"/>
              <w:rPr>
                <w:b/>
                <w:bCs/>
                <w:sz w:val="16"/>
                <w:szCs w:val="16"/>
              </w:rPr>
            </w:pPr>
            <w:r w:rsidRPr="001922C9">
              <w:rPr>
                <w:b/>
                <w:bCs/>
                <w:sz w:val="16"/>
                <w:szCs w:val="16"/>
              </w:rPr>
              <w:t>10,761,559</w:t>
            </w:r>
          </w:p>
        </w:tc>
        <w:tc>
          <w:tcPr>
            <w:tcW w:w="302" w:type="pct"/>
            <w:tcBorders>
              <w:top w:val="single" w:sz="4" w:space="0" w:color="auto"/>
              <w:left w:val="nil"/>
              <w:bottom w:val="single" w:sz="4" w:space="0" w:color="auto"/>
              <w:right w:val="single" w:sz="4" w:space="0" w:color="auto"/>
            </w:tcBorders>
            <w:shd w:val="clear" w:color="auto" w:fill="7F7F7F"/>
            <w:noWrap/>
            <w:vAlign w:val="center"/>
            <w:hideMark/>
          </w:tcPr>
          <w:p w14:paraId="571BD933" w14:textId="20165FAA" w:rsidR="00E16412" w:rsidRPr="001922C9" w:rsidRDefault="00E16412" w:rsidP="001922C9">
            <w:pPr>
              <w:jc w:val="center"/>
              <w:rPr>
                <w:b/>
                <w:bCs/>
                <w:sz w:val="16"/>
                <w:szCs w:val="16"/>
              </w:rPr>
            </w:pPr>
          </w:p>
        </w:tc>
        <w:tc>
          <w:tcPr>
            <w:tcW w:w="434" w:type="pct"/>
            <w:tcBorders>
              <w:top w:val="single" w:sz="4" w:space="0" w:color="auto"/>
              <w:left w:val="nil"/>
              <w:bottom w:val="single" w:sz="4" w:space="0" w:color="auto"/>
              <w:right w:val="nil"/>
            </w:tcBorders>
            <w:shd w:val="clear" w:color="auto" w:fill="E2EFD9" w:themeFill="accent6" w:themeFillTint="33"/>
            <w:noWrap/>
            <w:vAlign w:val="center"/>
            <w:hideMark/>
          </w:tcPr>
          <w:p w14:paraId="626859A9" w14:textId="77777777" w:rsidR="00E16412" w:rsidRPr="001922C9" w:rsidRDefault="00E16412" w:rsidP="001922C9">
            <w:pPr>
              <w:jc w:val="center"/>
              <w:rPr>
                <w:b/>
                <w:bCs/>
                <w:sz w:val="16"/>
                <w:szCs w:val="16"/>
              </w:rPr>
            </w:pPr>
            <w:r w:rsidRPr="001922C9">
              <w:rPr>
                <w:b/>
                <w:bCs/>
                <w:sz w:val="16"/>
                <w:szCs w:val="16"/>
              </w:rPr>
              <w:t>7,369,459</w:t>
            </w:r>
          </w:p>
        </w:tc>
        <w:tc>
          <w:tcPr>
            <w:tcW w:w="433" w:type="pct"/>
            <w:tcBorders>
              <w:top w:val="single" w:sz="4" w:space="0" w:color="auto"/>
              <w:left w:val="nil"/>
              <w:bottom w:val="single" w:sz="4" w:space="0" w:color="auto"/>
              <w:right w:val="nil"/>
            </w:tcBorders>
            <w:shd w:val="clear" w:color="auto" w:fill="E2EFD9" w:themeFill="accent6" w:themeFillTint="33"/>
            <w:noWrap/>
            <w:vAlign w:val="center"/>
            <w:hideMark/>
          </w:tcPr>
          <w:p w14:paraId="584483F5" w14:textId="77777777" w:rsidR="00E16412" w:rsidRPr="001922C9" w:rsidRDefault="00E16412" w:rsidP="001922C9">
            <w:pPr>
              <w:jc w:val="center"/>
              <w:rPr>
                <w:b/>
                <w:bCs/>
                <w:sz w:val="16"/>
                <w:szCs w:val="16"/>
              </w:rPr>
            </w:pPr>
            <w:r w:rsidRPr="001922C9">
              <w:rPr>
                <w:b/>
                <w:bCs/>
                <w:sz w:val="16"/>
                <w:szCs w:val="16"/>
              </w:rPr>
              <w:t>6,491,761</w:t>
            </w:r>
          </w:p>
        </w:tc>
        <w:tc>
          <w:tcPr>
            <w:tcW w:w="384" w:type="pct"/>
            <w:tcBorders>
              <w:top w:val="single" w:sz="4" w:space="0" w:color="auto"/>
              <w:left w:val="nil"/>
              <w:bottom w:val="single" w:sz="4" w:space="0" w:color="auto"/>
              <w:right w:val="nil"/>
            </w:tcBorders>
            <w:shd w:val="clear" w:color="auto" w:fill="E2EFD9" w:themeFill="accent6" w:themeFillTint="33"/>
            <w:noWrap/>
            <w:vAlign w:val="center"/>
            <w:hideMark/>
          </w:tcPr>
          <w:p w14:paraId="5787267E" w14:textId="77777777" w:rsidR="00E16412" w:rsidRPr="001922C9" w:rsidRDefault="00E16412" w:rsidP="001922C9">
            <w:pPr>
              <w:jc w:val="center"/>
              <w:rPr>
                <w:b/>
                <w:bCs/>
                <w:sz w:val="16"/>
                <w:szCs w:val="16"/>
              </w:rPr>
            </w:pPr>
            <w:r w:rsidRPr="001922C9">
              <w:rPr>
                <w:b/>
                <w:bCs/>
                <w:sz w:val="16"/>
                <w:szCs w:val="16"/>
              </w:rPr>
              <w:t>10,706,957</w:t>
            </w:r>
          </w:p>
        </w:tc>
        <w:tc>
          <w:tcPr>
            <w:tcW w:w="347" w:type="pct"/>
            <w:tcBorders>
              <w:top w:val="single" w:sz="4" w:space="0" w:color="auto"/>
              <w:left w:val="nil"/>
              <w:bottom w:val="single" w:sz="4" w:space="0" w:color="auto"/>
              <w:right w:val="nil"/>
            </w:tcBorders>
            <w:shd w:val="clear" w:color="auto" w:fill="7F7F7F"/>
            <w:noWrap/>
            <w:vAlign w:val="center"/>
            <w:hideMark/>
          </w:tcPr>
          <w:p w14:paraId="76DC9D77" w14:textId="1560B675" w:rsidR="00E16412" w:rsidRPr="001922C9" w:rsidRDefault="00E16412" w:rsidP="001922C9">
            <w:pPr>
              <w:jc w:val="center"/>
              <w:rPr>
                <w:b/>
                <w:bCs/>
                <w:sz w:val="16"/>
                <w:szCs w:val="16"/>
              </w:rPr>
            </w:pPr>
          </w:p>
        </w:tc>
        <w:tc>
          <w:tcPr>
            <w:tcW w:w="338" w:type="pct"/>
            <w:tcBorders>
              <w:top w:val="single" w:sz="4" w:space="0" w:color="auto"/>
              <w:left w:val="single" w:sz="4" w:space="0" w:color="auto"/>
              <w:bottom w:val="single" w:sz="4" w:space="0" w:color="auto"/>
              <w:right w:val="nil"/>
            </w:tcBorders>
            <w:shd w:val="clear" w:color="auto" w:fill="E2EFD9" w:themeFill="accent6" w:themeFillTint="33"/>
            <w:noWrap/>
            <w:vAlign w:val="center"/>
            <w:hideMark/>
          </w:tcPr>
          <w:p w14:paraId="0891DB70" w14:textId="77777777" w:rsidR="00E16412" w:rsidRPr="001922C9" w:rsidRDefault="00E16412" w:rsidP="001922C9">
            <w:pPr>
              <w:jc w:val="center"/>
              <w:rPr>
                <w:b/>
                <w:bCs/>
                <w:sz w:val="16"/>
                <w:szCs w:val="16"/>
              </w:rPr>
            </w:pPr>
            <w:r w:rsidRPr="001922C9">
              <w:rPr>
                <w:b/>
                <w:bCs/>
                <w:sz w:val="16"/>
                <w:szCs w:val="16"/>
              </w:rPr>
              <w:t>36,748</w:t>
            </w:r>
          </w:p>
        </w:tc>
        <w:tc>
          <w:tcPr>
            <w:tcW w:w="387" w:type="pct"/>
            <w:tcBorders>
              <w:top w:val="single" w:sz="4" w:space="0" w:color="auto"/>
              <w:left w:val="nil"/>
              <w:bottom w:val="single" w:sz="4" w:space="0" w:color="auto"/>
              <w:right w:val="nil"/>
            </w:tcBorders>
            <w:shd w:val="clear" w:color="auto" w:fill="E2EFD9" w:themeFill="accent6" w:themeFillTint="33"/>
            <w:noWrap/>
            <w:vAlign w:val="center"/>
            <w:hideMark/>
          </w:tcPr>
          <w:p w14:paraId="5E9C1F3E" w14:textId="77777777" w:rsidR="00E16412" w:rsidRPr="001922C9" w:rsidRDefault="00E16412" w:rsidP="001922C9">
            <w:pPr>
              <w:jc w:val="center"/>
              <w:rPr>
                <w:b/>
                <w:bCs/>
                <w:sz w:val="16"/>
                <w:szCs w:val="16"/>
              </w:rPr>
            </w:pPr>
            <w:r w:rsidRPr="001922C9">
              <w:rPr>
                <w:b/>
                <w:bCs/>
                <w:sz w:val="16"/>
                <w:szCs w:val="16"/>
              </w:rPr>
              <w:t>26,817</w:t>
            </w:r>
          </w:p>
        </w:tc>
        <w:tc>
          <w:tcPr>
            <w:tcW w:w="337" w:type="pct"/>
            <w:tcBorders>
              <w:top w:val="single" w:sz="4" w:space="0" w:color="auto"/>
              <w:left w:val="nil"/>
              <w:bottom w:val="single" w:sz="4" w:space="0" w:color="auto"/>
              <w:right w:val="nil"/>
            </w:tcBorders>
            <w:shd w:val="clear" w:color="auto" w:fill="E2EFD9" w:themeFill="accent6" w:themeFillTint="33"/>
            <w:noWrap/>
            <w:vAlign w:val="center"/>
            <w:hideMark/>
          </w:tcPr>
          <w:p w14:paraId="26677946" w14:textId="77777777" w:rsidR="00E16412" w:rsidRPr="001922C9" w:rsidRDefault="00E16412" w:rsidP="001922C9">
            <w:pPr>
              <w:jc w:val="center"/>
              <w:rPr>
                <w:b/>
                <w:bCs/>
                <w:sz w:val="16"/>
                <w:szCs w:val="16"/>
              </w:rPr>
            </w:pPr>
            <w:r w:rsidRPr="001922C9">
              <w:rPr>
                <w:b/>
                <w:bCs/>
                <w:sz w:val="16"/>
                <w:szCs w:val="16"/>
              </w:rPr>
              <w:t>54,602</w:t>
            </w:r>
          </w:p>
        </w:tc>
        <w:tc>
          <w:tcPr>
            <w:tcW w:w="300" w:type="pct"/>
            <w:tcBorders>
              <w:top w:val="single" w:sz="4" w:space="0" w:color="auto"/>
              <w:left w:val="nil"/>
              <w:bottom w:val="single" w:sz="4" w:space="0" w:color="auto"/>
              <w:right w:val="nil"/>
            </w:tcBorders>
            <w:shd w:val="clear" w:color="auto" w:fill="7F7F7F"/>
            <w:noWrap/>
            <w:vAlign w:val="center"/>
            <w:hideMark/>
          </w:tcPr>
          <w:p w14:paraId="6AA42D8C" w14:textId="3A4454BC" w:rsidR="00E16412" w:rsidRPr="001922C9" w:rsidRDefault="00E16412" w:rsidP="001922C9">
            <w:pPr>
              <w:jc w:val="center"/>
              <w:rPr>
                <w:b/>
                <w:bCs/>
                <w:sz w:val="16"/>
                <w:szCs w:val="16"/>
              </w:rPr>
            </w:pPr>
          </w:p>
        </w:tc>
      </w:tr>
    </w:tbl>
    <w:p w14:paraId="00D8C8E2" w14:textId="70A925D5" w:rsidR="005345A5" w:rsidRDefault="005345A5" w:rsidP="005C2EFC">
      <w:pPr>
        <w:spacing w:before="240"/>
        <w:rPr>
          <w:b/>
        </w:rPr>
      </w:pPr>
    </w:p>
    <w:p w14:paraId="241D4701" w14:textId="4B32FE39" w:rsidR="005345A5" w:rsidRDefault="005345A5" w:rsidP="005345A5"/>
    <w:p w14:paraId="7E4FA200" w14:textId="07F9DD49" w:rsidR="005345A5" w:rsidRDefault="005345A5" w:rsidP="005345A5">
      <w:pPr>
        <w:tabs>
          <w:tab w:val="left" w:pos="6580"/>
        </w:tabs>
      </w:pPr>
      <w:r>
        <w:tab/>
      </w:r>
    </w:p>
    <w:p w14:paraId="3263A943" w14:textId="34613938" w:rsidR="005345A5" w:rsidRDefault="005345A5" w:rsidP="005345A5"/>
    <w:p w14:paraId="10DCF6EF" w14:textId="77777777" w:rsidR="00E16412" w:rsidRPr="005345A5" w:rsidRDefault="00E16412" w:rsidP="005345A5">
      <w:pPr>
        <w:sectPr w:rsidR="00E16412" w:rsidRPr="005345A5" w:rsidSect="00B102DD">
          <w:pgSz w:w="16840" w:h="11900" w:orient="landscape" w:code="9"/>
          <w:pgMar w:top="1440" w:right="1440" w:bottom="1440" w:left="1440" w:header="709" w:footer="709" w:gutter="0"/>
          <w:cols w:space="720"/>
          <w:docGrid w:linePitch="360"/>
        </w:sectPr>
      </w:pPr>
    </w:p>
    <w:p w14:paraId="179F2DD1" w14:textId="1B5156D7" w:rsidR="00E16412" w:rsidRPr="006F02CB" w:rsidRDefault="00E16412" w:rsidP="006F02CB">
      <w:pPr>
        <w:pStyle w:val="Heading4"/>
      </w:pPr>
      <w:bookmarkStart w:id="104" w:name="_Toc82385645"/>
      <w:r w:rsidRPr="006F02CB">
        <w:lastRenderedPageBreak/>
        <w:t>3.</w:t>
      </w:r>
      <w:r w:rsidR="001174B4" w:rsidRPr="006F02CB">
        <w:t>1</w:t>
      </w:r>
      <w:r w:rsidRPr="006F02CB">
        <w:t>.1.1</w:t>
      </w:r>
      <w:r w:rsidR="00E763F5" w:rsidRPr="006F02CB">
        <w:tab/>
      </w:r>
      <w:r w:rsidRPr="006F02CB">
        <w:t>Maize</w:t>
      </w:r>
      <w:bookmarkEnd w:id="104"/>
    </w:p>
    <w:p w14:paraId="42B155EB" w14:textId="3B8B1883" w:rsidR="00DF5C1F" w:rsidRDefault="00DF5C1F" w:rsidP="00AE40CD">
      <w:r w:rsidRPr="006B42D6">
        <w:t xml:space="preserve">Across Tanzania, maize was the most widely planted cereal crop by smallholder farmers. The 2019/20 NSCA results show that, the number of agricultural households engaged in growing maize during short rainy season were 2,612,913 households (2,604,063 in </w:t>
      </w:r>
      <w:r w:rsidR="00EA1552">
        <w:t>Mainland Tanzania</w:t>
      </w:r>
      <w:r w:rsidRPr="006B42D6">
        <w:t xml:space="preserve"> and 8,850 households in </w:t>
      </w:r>
      <w:r w:rsidR="00DB76D8" w:rsidRPr="006B42D6">
        <w:t xml:space="preserve">Tanzania </w:t>
      </w:r>
      <w:r w:rsidRPr="006B42D6">
        <w:t xml:space="preserve">Zanzibar) and 4,779,199 households during long rainy season (4,772,012 households in </w:t>
      </w:r>
      <w:r w:rsidR="00EA1552">
        <w:t>Mainland Tanzania</w:t>
      </w:r>
      <w:r w:rsidRPr="006B42D6">
        <w:t xml:space="preserve"> and 7,187 households in </w:t>
      </w:r>
      <w:r w:rsidR="00DB76D8" w:rsidRPr="006B42D6">
        <w:t xml:space="preserve">Tanzania </w:t>
      </w:r>
      <w:r w:rsidRPr="006B42D6">
        <w:t>Zanzibar).</w:t>
      </w:r>
    </w:p>
    <w:p w14:paraId="62383AC5" w14:textId="77777777" w:rsidR="00AE40CD" w:rsidRPr="006B42D6" w:rsidRDefault="00AE40CD" w:rsidP="00AE40CD">
      <w:pPr>
        <w:spacing w:line="240" w:lineRule="auto"/>
      </w:pPr>
    </w:p>
    <w:p w14:paraId="2839F895" w14:textId="51CF006F" w:rsidR="00DF5C1F" w:rsidRDefault="00DF5C1F" w:rsidP="00AE40CD">
      <w:r w:rsidRPr="006B42D6">
        <w:t xml:space="preserve">The total planted area with maize in Tanzania during the 2019/20 agricultural year was 4,946,799 ha of which 4,931,111 ha were occupied by smallholder farmers and 15,688 ha by large scale farms. Out of the total planted area occupied by smallholder farmers, 4,927,748 ha were in </w:t>
      </w:r>
      <w:r w:rsidR="00EA1552">
        <w:t>Mainland Tanzania</w:t>
      </w:r>
      <w:r w:rsidRPr="006B42D6">
        <w:t xml:space="preserve"> and 3,36</w:t>
      </w:r>
      <w:r w:rsidR="00FA3A24" w:rsidRPr="006B42D6">
        <w:t>3</w:t>
      </w:r>
      <w:r w:rsidRPr="006B42D6">
        <w:t xml:space="preserve"> ha were in </w:t>
      </w:r>
      <w:r w:rsidR="00DB76D8" w:rsidRPr="006B42D6">
        <w:t xml:space="preserve">Tanzania </w:t>
      </w:r>
      <w:r w:rsidRPr="006B42D6">
        <w:t xml:space="preserve">Zanzibar. In </w:t>
      </w:r>
      <w:r w:rsidR="00EA1552">
        <w:t>Mainland Tanzania</w:t>
      </w:r>
      <w:r w:rsidRPr="006B42D6">
        <w:t>, Tanga region had the largest planted area with maize (397,028 ha; 8.1 percent), followed by Dodoma (393,822 ha; 8.0 percent) and Tabora (383,633 ha; 7.8 percent)</w:t>
      </w:r>
      <w:r w:rsidR="00FA3A24" w:rsidRPr="006B42D6">
        <w:t>,</w:t>
      </w:r>
      <w:r w:rsidRPr="006B42D6">
        <w:t xml:space="preserve"> while Pwani region had the smallest planted area (69,915 ha; 1.4 percent). For the case of </w:t>
      </w:r>
      <w:r w:rsidR="0067515E" w:rsidRPr="006B42D6">
        <w:t xml:space="preserve">Tanzania </w:t>
      </w:r>
      <w:r w:rsidRPr="006B42D6">
        <w:t>Zanzibar, Kaskazini Unguja (1,141 ha; 33.9 percent) had the largest area planted with maize, followed by Mjini Magharibi (1,085 ha; 32.3 percent)</w:t>
      </w:r>
      <w:r w:rsidR="00953D35">
        <w:t>, while Kaskazini</w:t>
      </w:r>
      <w:r w:rsidRPr="006B42D6">
        <w:t xml:space="preserve"> Pemba</w:t>
      </w:r>
      <w:r w:rsidR="00953D35">
        <w:t xml:space="preserve"> had the least planted area</w:t>
      </w:r>
      <w:r w:rsidRPr="006B42D6">
        <w:t xml:space="preserve"> (</w:t>
      </w:r>
      <w:r w:rsidR="00953D35">
        <w:t>132</w:t>
      </w:r>
      <w:r w:rsidRPr="006B42D6">
        <w:t xml:space="preserve"> ha; </w:t>
      </w:r>
      <w:r w:rsidR="00953D35">
        <w:t>3.9</w:t>
      </w:r>
      <w:r w:rsidRPr="006B42D6">
        <w:t xml:space="preserve"> percent) (Figure 3.</w:t>
      </w:r>
      <w:r w:rsidR="0033183A" w:rsidRPr="006B42D6">
        <w:t>1</w:t>
      </w:r>
      <w:r w:rsidRPr="006B42D6">
        <w:t>).</w:t>
      </w:r>
    </w:p>
    <w:p w14:paraId="2DF3AD87" w14:textId="77777777" w:rsidR="00AE40CD" w:rsidRPr="006B42D6" w:rsidRDefault="00AE40CD" w:rsidP="00AE40CD">
      <w:pPr>
        <w:spacing w:line="240" w:lineRule="auto"/>
      </w:pPr>
    </w:p>
    <w:p w14:paraId="5302284C" w14:textId="3C238BCE" w:rsidR="00DF5C1F" w:rsidRDefault="00DF5C1F" w:rsidP="00AE40CD">
      <w:r w:rsidRPr="006B42D6">
        <w:t>Moreover, the total harvested area of maize in Tanzania occupied by smallholder farmers was 4,345,266 ha</w:t>
      </w:r>
      <w:r w:rsidR="00FA3A24" w:rsidRPr="006B42D6">
        <w:t>,</w:t>
      </w:r>
      <w:r w:rsidRPr="006B42D6">
        <w:t xml:space="preserve"> of which 4,343,159 ha were in </w:t>
      </w:r>
      <w:r w:rsidR="00EA1552">
        <w:t>Mainland Tanzania</w:t>
      </w:r>
      <w:r w:rsidRPr="006B42D6">
        <w:t xml:space="preserve"> and 2,106 ha in </w:t>
      </w:r>
      <w:r w:rsidR="0067515E" w:rsidRPr="006B42D6">
        <w:t xml:space="preserve">Tanzania </w:t>
      </w:r>
      <w:r w:rsidRPr="006B42D6">
        <w:t xml:space="preserve">Zanzibar. This implies that, the total harvested area was about 88.1 percent of the total planted area with maize by smallholder farmers. </w:t>
      </w:r>
    </w:p>
    <w:p w14:paraId="3AB738A6" w14:textId="4E63A27C" w:rsidR="00B102DD" w:rsidRDefault="00B102DD">
      <w:pPr>
        <w:spacing w:line="240" w:lineRule="auto"/>
        <w:contextualSpacing w:val="0"/>
        <w:jc w:val="left"/>
      </w:pPr>
      <w:r>
        <w:br w:type="page"/>
      </w:r>
    </w:p>
    <w:p w14:paraId="648FD5E0" w14:textId="67D17A72" w:rsidR="00E16412" w:rsidRDefault="00E16412" w:rsidP="006F532D">
      <w:pPr>
        <w:pStyle w:val="Caption"/>
      </w:pPr>
      <w:bookmarkStart w:id="105" w:name="_Toc82386278"/>
      <w:r w:rsidRPr="006B42D6">
        <w:lastRenderedPageBreak/>
        <w:t>Figure 3.1</w:t>
      </w:r>
      <w:r w:rsidR="00A22AAD">
        <w:t>:</w:t>
      </w:r>
      <w:r w:rsidR="0076608F">
        <w:tab/>
      </w:r>
      <w:r w:rsidRPr="006B42D6">
        <w:t xml:space="preserve">Planted and Harvested Area with Maize by </w:t>
      </w:r>
      <w:r w:rsidR="00BC400D" w:rsidRPr="006B42D6">
        <w:t>Smallholder Farmers</w:t>
      </w:r>
      <w:r w:rsidR="00AF2E6B" w:rsidRPr="006B42D6">
        <w:t xml:space="preserve"> </w:t>
      </w:r>
      <w:r w:rsidRPr="006B42D6">
        <w:t xml:space="preserve">by Region </w:t>
      </w:r>
      <w:r w:rsidR="00BC400D" w:rsidRPr="006B42D6">
        <w:t xml:space="preserve">During </w:t>
      </w:r>
      <w:r w:rsidR="00AF2E6B" w:rsidRPr="006B42D6">
        <w:t xml:space="preserve">2019/20 </w:t>
      </w:r>
      <w:r w:rsidR="00BC400D" w:rsidRPr="006B42D6">
        <w:t>Agricultural Year</w:t>
      </w:r>
      <w:r w:rsidR="00AF2E6B" w:rsidRPr="006B42D6">
        <w:t xml:space="preserve">, </w:t>
      </w:r>
      <w:r w:rsidR="00EA1552">
        <w:t>Mainland Tanzania</w:t>
      </w:r>
      <w:bookmarkEnd w:id="105"/>
    </w:p>
    <w:p w14:paraId="6A53485E" w14:textId="77777777" w:rsidR="00B102DD" w:rsidRPr="00B102DD" w:rsidRDefault="00B102DD" w:rsidP="00B102DD">
      <w:pPr>
        <w:rPr>
          <w:sz w:val="6"/>
          <w:szCs w:val="6"/>
        </w:rPr>
      </w:pPr>
    </w:p>
    <w:p w14:paraId="7D0CCCE3" w14:textId="31E1BA5D" w:rsidR="00E16412" w:rsidRPr="006B42D6" w:rsidRDefault="001B26AC" w:rsidP="005C2EFC">
      <w:r w:rsidRPr="006B42D6">
        <w:rPr>
          <w:noProof/>
        </w:rPr>
        <w:drawing>
          <wp:inline distT="0" distB="0" distL="0" distR="0" wp14:anchorId="49EE1C66" wp14:editId="6F9DB344">
            <wp:extent cx="5791200" cy="2520315"/>
            <wp:effectExtent l="0" t="0" r="12700" b="6985"/>
            <wp:docPr id="149" name="Chart 40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14:paraId="4449FD9B" w14:textId="77777777" w:rsidR="00265BE7" w:rsidRPr="006B42D6" w:rsidRDefault="00265BE7" w:rsidP="00B106E2">
      <w:pPr>
        <w:pStyle w:val="Caption"/>
      </w:pPr>
    </w:p>
    <w:p w14:paraId="38705D49" w14:textId="77777777" w:rsidR="004F27E9" w:rsidRDefault="004F27E9" w:rsidP="006F532D">
      <w:pPr>
        <w:pStyle w:val="Caption"/>
      </w:pPr>
    </w:p>
    <w:p w14:paraId="6F1D0A7C" w14:textId="5A9687AB" w:rsidR="00E16412" w:rsidRPr="006B42D6" w:rsidRDefault="00E16412" w:rsidP="00680DF7">
      <w:pPr>
        <w:pStyle w:val="Caption"/>
        <w:rPr>
          <w:i/>
        </w:rPr>
      </w:pPr>
      <w:bookmarkStart w:id="106" w:name="_Toc82386279"/>
      <w:r w:rsidRPr="004F27E9">
        <w:t>Figure</w:t>
      </w:r>
      <w:r w:rsidRPr="006B42D6">
        <w:t xml:space="preserve"> 3.2</w:t>
      </w:r>
      <w:r w:rsidR="00A22AAD">
        <w:t>:</w:t>
      </w:r>
      <w:r w:rsidR="0076608F">
        <w:tab/>
      </w:r>
      <w:r w:rsidRPr="006B42D6">
        <w:t xml:space="preserve">Planted and Harvested Area with Maize by </w:t>
      </w:r>
      <w:r w:rsidR="002216AD" w:rsidRPr="006B42D6">
        <w:t>S</w:t>
      </w:r>
      <w:r w:rsidRPr="006B42D6">
        <w:t xml:space="preserve">mallholder </w:t>
      </w:r>
      <w:r w:rsidR="002216AD" w:rsidRPr="006B42D6">
        <w:t>F</w:t>
      </w:r>
      <w:r w:rsidRPr="006B42D6">
        <w:t xml:space="preserve">armers by Region </w:t>
      </w:r>
      <w:r w:rsidR="00BC400D" w:rsidRPr="006B42D6">
        <w:t xml:space="preserve">During </w:t>
      </w:r>
      <w:r w:rsidR="00FA3A24" w:rsidRPr="006B42D6">
        <w:t xml:space="preserve">2019/20 </w:t>
      </w:r>
      <w:r w:rsidR="00BC400D" w:rsidRPr="006B42D6">
        <w:t>Agricultural Year</w:t>
      </w:r>
      <w:r w:rsidR="00AF2E6B" w:rsidRPr="006B42D6">
        <w:t>, Tanzania Zanzibar</w:t>
      </w:r>
      <w:bookmarkEnd w:id="106"/>
    </w:p>
    <w:p w14:paraId="48283826" w14:textId="0D507EDD" w:rsidR="00E16412" w:rsidRDefault="001B26AC" w:rsidP="005C2EFC">
      <w:r w:rsidRPr="006B42D6">
        <w:rPr>
          <w:noProof/>
        </w:rPr>
        <w:drawing>
          <wp:inline distT="0" distB="0" distL="0" distR="0" wp14:anchorId="055D2E66" wp14:editId="0FF335E3">
            <wp:extent cx="5791200" cy="2356485"/>
            <wp:effectExtent l="0" t="0" r="12700" b="18415"/>
            <wp:docPr id="148" name="Chart 40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14:paraId="641FA446" w14:textId="77777777" w:rsidR="00953D35" w:rsidRPr="006B42D6" w:rsidRDefault="00953D35" w:rsidP="00953D35">
      <w:pPr>
        <w:spacing w:line="240" w:lineRule="auto"/>
      </w:pPr>
    </w:p>
    <w:p w14:paraId="2D46547A" w14:textId="2C3493A6" w:rsidR="00C76FE1" w:rsidRDefault="00F15DF2" w:rsidP="0076608F">
      <w:r w:rsidRPr="006B42D6">
        <w:t xml:space="preserve">The total production </w:t>
      </w:r>
      <w:r w:rsidR="00FA3A24" w:rsidRPr="006B42D6">
        <w:t>of</w:t>
      </w:r>
      <w:r w:rsidRPr="006B42D6">
        <w:t xml:space="preserve"> maize in Tanzania was 6,536,322 tons</w:t>
      </w:r>
      <w:r w:rsidR="00FA3A24" w:rsidRPr="006B42D6">
        <w:t>,</w:t>
      </w:r>
      <w:r w:rsidRPr="006B42D6">
        <w:t xml:space="preserve"> of which 6,504,725 tons (99.5 percent) were from smallholder farmers and 31,597 tons (0.5 percent) from large scale farms. Out of the total quantity produced by smallholder farmers, 6,500,77</w:t>
      </w:r>
      <w:r w:rsidR="00953D35">
        <w:t>4</w:t>
      </w:r>
      <w:r w:rsidRPr="006B42D6">
        <w:t xml:space="preserve"> tons were in </w:t>
      </w:r>
      <w:r w:rsidR="00EA1552">
        <w:t>Mainland Tanzania</w:t>
      </w:r>
      <w:r w:rsidRPr="006B42D6">
        <w:t xml:space="preserve"> and 3,951 tons were in </w:t>
      </w:r>
      <w:r w:rsidR="00FA3A24" w:rsidRPr="006B42D6">
        <w:t xml:space="preserve">Tanzania </w:t>
      </w:r>
      <w:r w:rsidRPr="006B42D6">
        <w:t xml:space="preserve">Zanzibar. In </w:t>
      </w:r>
      <w:r w:rsidR="00EA1552">
        <w:t>Mainland Tanzania</w:t>
      </w:r>
      <w:r w:rsidRPr="006B42D6">
        <w:t xml:space="preserve">, Ruvuma region had the highest maize production (498,685 tons; 7.7 percent), followed by Manyara (469,037 tons; 7.2 percent) and Tanga (429,788 tons; 6.6 percent). On the other hand, the lowest maize production was reported in Pwani region (69,914 tons; 1.1 percent), followed by Lindi (104,268 tons; 1.6 percent) and Mtwara (111,287 tons; 1.7 percent) (Figure 3.3). </w:t>
      </w:r>
    </w:p>
    <w:p w14:paraId="781102DF" w14:textId="77777777" w:rsidR="00680DF7" w:rsidRPr="006B42D6" w:rsidRDefault="00680DF7" w:rsidP="0076608F"/>
    <w:p w14:paraId="5E3B6BC7" w14:textId="17AADE50" w:rsidR="00C76FE1" w:rsidRPr="006B42D6" w:rsidRDefault="00C76FE1" w:rsidP="006F532D">
      <w:pPr>
        <w:pStyle w:val="Caption"/>
        <w:rPr>
          <w:noProof/>
        </w:rPr>
      </w:pPr>
      <w:bookmarkStart w:id="107" w:name="_Toc82386280"/>
      <w:r w:rsidRPr="006B42D6">
        <w:lastRenderedPageBreak/>
        <w:t>Figure 3.3</w:t>
      </w:r>
      <w:r w:rsidR="005345A5">
        <w:t>:</w:t>
      </w:r>
      <w:r w:rsidR="0076608F">
        <w:tab/>
      </w:r>
      <w:r w:rsidRPr="006B42D6">
        <w:t xml:space="preserve">Production and Yield of Maize </w:t>
      </w:r>
      <w:r w:rsidR="00BC400D" w:rsidRPr="006B42D6">
        <w:t>D</w:t>
      </w:r>
      <w:r w:rsidRPr="006B42D6">
        <w:t xml:space="preserve">uring 2019/20 </w:t>
      </w:r>
      <w:r w:rsidR="00BC400D" w:rsidRPr="006B42D6">
        <w:t>Agricultural Year</w:t>
      </w:r>
      <w:r w:rsidR="00AF2E6B" w:rsidRPr="006B42D6">
        <w:t>,</w:t>
      </w:r>
      <w:r w:rsidR="00BC400D" w:rsidRPr="006B42D6">
        <w:rPr>
          <w:noProof/>
        </w:rPr>
        <w:t xml:space="preserve"> </w:t>
      </w:r>
      <w:r w:rsidR="00EA1552">
        <w:t>Mainland Tanzania</w:t>
      </w:r>
      <w:bookmarkEnd w:id="107"/>
    </w:p>
    <w:p w14:paraId="28A2ACB4" w14:textId="45A66C6D" w:rsidR="00C76FE1" w:rsidRPr="006B42D6" w:rsidRDefault="001B26AC" w:rsidP="00C76FE1">
      <w:pPr>
        <w:rPr>
          <w:noProof/>
        </w:rPr>
      </w:pPr>
      <w:r w:rsidRPr="006B42D6">
        <w:rPr>
          <w:noProof/>
        </w:rPr>
        <w:drawing>
          <wp:inline distT="0" distB="0" distL="0" distR="0" wp14:anchorId="44C9F5CF" wp14:editId="0066FFFD">
            <wp:extent cx="5729468" cy="2892425"/>
            <wp:effectExtent l="0" t="0" r="11430" b="15875"/>
            <wp:docPr id="147" name="Chart 40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14:paraId="217E34AF" w14:textId="77777777" w:rsidR="0076608F" w:rsidRDefault="0076608F" w:rsidP="0076608F">
      <w:pPr>
        <w:spacing w:line="240" w:lineRule="auto"/>
      </w:pPr>
    </w:p>
    <w:p w14:paraId="3D87A8A4" w14:textId="15C0D37E" w:rsidR="00F15DF2" w:rsidRDefault="00F15DF2" w:rsidP="0076608F">
      <w:r w:rsidRPr="006B42D6">
        <w:t xml:space="preserve">In </w:t>
      </w:r>
      <w:r w:rsidR="00AF2E6B" w:rsidRPr="006B42D6">
        <w:t xml:space="preserve">Tanzania </w:t>
      </w:r>
      <w:r w:rsidRPr="006B42D6">
        <w:t>Zanzibar, Mjini Magharibi</w:t>
      </w:r>
      <w:r w:rsidR="00AF2E6B" w:rsidRPr="006B42D6">
        <w:t xml:space="preserve"> region</w:t>
      </w:r>
      <w:r w:rsidRPr="006B42D6">
        <w:t xml:space="preserve"> had the highest production of maize (2,031 tons; 51.4 percent), followed by Kaskazini Unguja (1,166 tons; 29.5 percent) and Kusini Pemba (289 tons; 7.3 percent) while Kusini Unguja reported the lowest maize production (226 tons; 5.7 percent) (Figure 3.4).</w:t>
      </w:r>
    </w:p>
    <w:p w14:paraId="5A0A99B7" w14:textId="77777777" w:rsidR="0076608F" w:rsidRPr="006B42D6" w:rsidRDefault="0076608F" w:rsidP="0076608F">
      <w:pPr>
        <w:spacing w:line="240" w:lineRule="auto"/>
      </w:pPr>
    </w:p>
    <w:p w14:paraId="7E9A7A84" w14:textId="08FB2886" w:rsidR="00AF2E6B" w:rsidRDefault="00B857FB" w:rsidP="0076608F">
      <w:r w:rsidRPr="006B42D6">
        <w:t>Moreover,</w:t>
      </w:r>
      <w:r w:rsidR="00F15DF2" w:rsidRPr="006B42D6">
        <w:t xml:space="preserve"> the results also reveal that, the average productivity of maize reported at national level was 1.</w:t>
      </w:r>
      <w:r w:rsidR="00953D35">
        <w:t>5</w:t>
      </w:r>
      <w:r w:rsidR="00F15DF2" w:rsidRPr="006B42D6">
        <w:t xml:space="preserve"> tons/ha whereby 1.5 tons/ha was reported in </w:t>
      </w:r>
      <w:r w:rsidR="00EA1552">
        <w:t>Mainland Tanzania</w:t>
      </w:r>
      <w:r w:rsidR="00F15DF2" w:rsidRPr="006B42D6">
        <w:t xml:space="preserve"> and 1.9 tons/ha in </w:t>
      </w:r>
      <w:r w:rsidR="00504511" w:rsidRPr="006B42D6">
        <w:t xml:space="preserve">Tanzania </w:t>
      </w:r>
      <w:r w:rsidR="00F15DF2" w:rsidRPr="006B42D6">
        <w:t xml:space="preserve">Zanzibar. In </w:t>
      </w:r>
      <w:r w:rsidR="00EA1552">
        <w:t>Mainland Tanzania</w:t>
      </w:r>
      <w:r w:rsidR="00F15DF2" w:rsidRPr="006B42D6">
        <w:t>, the highest productivity (yield) of 2.0 tons/ha were reported in Ruvuma and Njombe regions each, followed by Songwe (1.9 tons/ha). On the other hand, the lowest productivity of 1.1 tons/ha were observed in Dodoma region (Figure 3.3</w:t>
      </w:r>
      <w:r w:rsidR="00AF2E6B" w:rsidRPr="006B42D6">
        <w:t xml:space="preserve"> &amp; Map 3.1</w:t>
      </w:r>
      <w:r w:rsidR="00F15DF2" w:rsidRPr="006B42D6">
        <w:t>).</w:t>
      </w:r>
    </w:p>
    <w:p w14:paraId="22F7C156" w14:textId="77777777" w:rsidR="0076608F" w:rsidRPr="006B42D6" w:rsidRDefault="0076608F" w:rsidP="0076608F">
      <w:pPr>
        <w:spacing w:line="240" w:lineRule="auto"/>
      </w:pPr>
    </w:p>
    <w:p w14:paraId="0CB199B3" w14:textId="77777777" w:rsidR="00680DF7" w:rsidRDefault="00F15DF2">
      <w:r w:rsidRPr="006B42D6">
        <w:t>In</w:t>
      </w:r>
      <w:r w:rsidR="00AF2E6B" w:rsidRPr="006B42D6">
        <w:t xml:space="preserve"> Tanzania</w:t>
      </w:r>
      <w:r w:rsidRPr="006B42D6">
        <w:t xml:space="preserve"> Zanzibar, Mjini Magharibi region reported the highest yield of 2.3 tons/ha, followed by Kaskazini Unguja and Kaskazini Pemba each with a yield of 2.0 tons/ha, while the lowest yield of 0.7 tons/ha was reported in Kusini Pemba region (Figure 3.4</w:t>
      </w:r>
      <w:r w:rsidR="00D32BA4" w:rsidRPr="006B42D6">
        <w:t xml:space="preserve"> &amp; Map </w:t>
      </w:r>
      <w:r w:rsidR="00C76FE1" w:rsidRPr="006B42D6">
        <w:t>3.</w:t>
      </w:r>
      <w:r w:rsidR="00D32BA4" w:rsidRPr="006B42D6">
        <w:t>1</w:t>
      </w:r>
      <w:r w:rsidRPr="006B42D6">
        <w:t xml:space="preserve">). </w:t>
      </w:r>
    </w:p>
    <w:p w14:paraId="1102A9D8" w14:textId="654148FE" w:rsidR="00B102DD" w:rsidRDefault="00B102DD">
      <w:pPr>
        <w:spacing w:line="240" w:lineRule="auto"/>
        <w:contextualSpacing w:val="0"/>
        <w:jc w:val="left"/>
      </w:pPr>
      <w:r>
        <w:br w:type="page"/>
      </w:r>
    </w:p>
    <w:p w14:paraId="5876D8A0" w14:textId="111F5DA9" w:rsidR="00C76FE1" w:rsidRPr="006B42D6" w:rsidRDefault="00C76FE1" w:rsidP="006F532D">
      <w:pPr>
        <w:pStyle w:val="Caption"/>
        <w:rPr>
          <w:b w:val="0"/>
          <w:i/>
        </w:rPr>
      </w:pPr>
      <w:bookmarkStart w:id="108" w:name="_Toc82386281"/>
      <w:r w:rsidRPr="006B42D6">
        <w:lastRenderedPageBreak/>
        <w:t>Figure 3.4</w:t>
      </w:r>
      <w:r w:rsidR="005345A5">
        <w:t>:</w:t>
      </w:r>
      <w:r w:rsidR="0076608F">
        <w:tab/>
      </w:r>
      <w:r w:rsidRPr="006B42D6">
        <w:t xml:space="preserve">Production and Yield of Maize </w:t>
      </w:r>
      <w:r w:rsidR="00AF2E6B" w:rsidRPr="006B42D6">
        <w:t>D</w:t>
      </w:r>
      <w:r w:rsidRPr="006B42D6">
        <w:t xml:space="preserve">uring 2019/20 </w:t>
      </w:r>
      <w:r w:rsidR="00AF2E6B" w:rsidRPr="006B42D6">
        <w:t>A</w:t>
      </w:r>
      <w:r w:rsidRPr="006B42D6">
        <w:t xml:space="preserve">gricultural </w:t>
      </w:r>
      <w:r w:rsidR="00AF2E6B" w:rsidRPr="006B42D6">
        <w:t>Y</w:t>
      </w:r>
      <w:r w:rsidRPr="006B42D6">
        <w:t>ear</w:t>
      </w:r>
      <w:r w:rsidR="00AF2E6B" w:rsidRPr="006B42D6">
        <w:t>, Tanzania Zanzibar</w:t>
      </w:r>
      <w:bookmarkEnd w:id="108"/>
    </w:p>
    <w:p w14:paraId="62614A8A" w14:textId="51915122" w:rsidR="00C76FE1" w:rsidRPr="006B42D6" w:rsidRDefault="001B26AC" w:rsidP="00C76FE1">
      <w:pPr>
        <w:spacing w:before="240"/>
        <w:rPr>
          <w:b/>
        </w:rPr>
      </w:pPr>
      <w:r w:rsidRPr="006B42D6">
        <w:rPr>
          <w:b/>
          <w:noProof/>
        </w:rPr>
        <w:drawing>
          <wp:inline distT="0" distB="0" distL="0" distR="0" wp14:anchorId="6EAE2618" wp14:editId="0A773B12">
            <wp:extent cx="5615940" cy="2820670"/>
            <wp:effectExtent l="0" t="0" r="10160" b="11430"/>
            <wp:docPr id="146" name="Chart 40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14:paraId="3DCC0F61" w14:textId="77777777" w:rsidR="00C76FE1" w:rsidRPr="006B42D6" w:rsidRDefault="00C76FE1" w:rsidP="00D32BA4"/>
    <w:p w14:paraId="2D1F36B0" w14:textId="30401BFF" w:rsidR="00D32BA4" w:rsidRPr="0015754C" w:rsidRDefault="00D32BA4" w:rsidP="0015754C">
      <w:pPr>
        <w:pStyle w:val="MapNew"/>
        <w:rPr>
          <w:rStyle w:val="BookTitle"/>
          <w:rFonts w:ascii="Times New Roman" w:hAnsi="Times New Roman"/>
          <w:b/>
          <w:bCs w:val="0"/>
          <w:iCs/>
          <w:spacing w:val="0"/>
        </w:rPr>
      </w:pPr>
      <w:bookmarkStart w:id="109" w:name="_Toc80901876"/>
      <w:bookmarkStart w:id="110" w:name="_Toc80902550"/>
      <w:bookmarkStart w:id="111" w:name="_Toc82386468"/>
      <w:r w:rsidRPr="0015754C">
        <w:rPr>
          <w:rStyle w:val="BookTitle"/>
          <w:rFonts w:ascii="Times New Roman" w:hAnsi="Times New Roman"/>
          <w:b/>
          <w:bCs w:val="0"/>
          <w:iCs/>
          <w:spacing w:val="0"/>
        </w:rPr>
        <w:t>M</w:t>
      </w:r>
      <w:r w:rsidR="00C76FE1" w:rsidRPr="0015754C">
        <w:rPr>
          <w:rStyle w:val="BookTitle"/>
          <w:rFonts w:ascii="Times New Roman" w:hAnsi="Times New Roman"/>
          <w:b/>
          <w:bCs w:val="0"/>
          <w:iCs/>
          <w:spacing w:val="0"/>
        </w:rPr>
        <w:t>ap 3.</w:t>
      </w:r>
      <w:r w:rsidRPr="0015754C">
        <w:rPr>
          <w:rStyle w:val="BookTitle"/>
          <w:rFonts w:ascii="Times New Roman" w:hAnsi="Times New Roman"/>
          <w:b/>
          <w:bCs w:val="0"/>
          <w:iCs/>
          <w:spacing w:val="0"/>
        </w:rPr>
        <w:t>1</w:t>
      </w:r>
      <w:r w:rsidR="0015754C">
        <w:rPr>
          <w:rStyle w:val="BookTitle"/>
          <w:rFonts w:ascii="Times New Roman" w:hAnsi="Times New Roman"/>
          <w:b/>
          <w:bCs w:val="0"/>
          <w:iCs/>
          <w:spacing w:val="0"/>
        </w:rPr>
        <w:t>:</w:t>
      </w:r>
      <w:r w:rsidR="00CC4F14" w:rsidRPr="0015754C">
        <w:rPr>
          <w:rStyle w:val="BookTitle"/>
          <w:rFonts w:ascii="Times New Roman" w:hAnsi="Times New Roman"/>
          <w:b/>
          <w:bCs w:val="0"/>
          <w:iCs/>
          <w:spacing w:val="0"/>
        </w:rPr>
        <w:tab/>
      </w:r>
      <w:r w:rsidRPr="0015754C">
        <w:rPr>
          <w:rStyle w:val="BookTitle"/>
          <w:rFonts w:ascii="Times New Roman" w:hAnsi="Times New Roman"/>
          <w:b/>
          <w:bCs w:val="0"/>
          <w:iCs/>
          <w:spacing w:val="0"/>
        </w:rPr>
        <w:t xml:space="preserve">Production </w:t>
      </w:r>
      <w:r w:rsidR="00805540" w:rsidRPr="0015754C">
        <w:rPr>
          <w:rStyle w:val="BookTitle"/>
          <w:rFonts w:ascii="Times New Roman" w:hAnsi="Times New Roman"/>
          <w:b/>
          <w:bCs w:val="0"/>
          <w:iCs/>
          <w:spacing w:val="0"/>
        </w:rPr>
        <w:t xml:space="preserve">of Maize </w:t>
      </w:r>
      <w:r w:rsidRPr="0015754C">
        <w:rPr>
          <w:rStyle w:val="BookTitle"/>
          <w:rFonts w:ascii="Times New Roman" w:hAnsi="Times New Roman"/>
          <w:b/>
          <w:bCs w:val="0"/>
          <w:iCs/>
          <w:spacing w:val="0"/>
        </w:rPr>
        <w:t>by Region</w:t>
      </w:r>
      <w:r w:rsidR="00805540" w:rsidRPr="0015754C">
        <w:rPr>
          <w:rStyle w:val="BookTitle"/>
          <w:rFonts w:ascii="Times New Roman" w:hAnsi="Times New Roman"/>
          <w:b/>
          <w:bCs w:val="0"/>
          <w:iCs/>
          <w:spacing w:val="0"/>
        </w:rPr>
        <w:t xml:space="preserve"> During 2019/20 Agricultural Year, Tanzania</w:t>
      </w:r>
      <w:bookmarkEnd w:id="109"/>
      <w:bookmarkEnd w:id="110"/>
      <w:bookmarkEnd w:id="111"/>
    </w:p>
    <w:p w14:paraId="54591F1E" w14:textId="3A6965EF" w:rsidR="00680DF7" w:rsidRDefault="001E2D27" w:rsidP="0015754C">
      <w:r>
        <w:rPr>
          <w:noProof/>
        </w:rPr>
        <w:drawing>
          <wp:inline distT="0" distB="0" distL="0" distR="0" wp14:anchorId="787853CB" wp14:editId="1B21D0D3">
            <wp:extent cx="6116320" cy="4221640"/>
            <wp:effectExtent l="0" t="0" r="5080" b="0"/>
            <wp:docPr id="218" name="Picture 218"/>
            <wp:cNvGraphicFramePr/>
            <a:graphic xmlns:a="http://schemas.openxmlformats.org/drawingml/2006/main">
              <a:graphicData uri="http://schemas.openxmlformats.org/drawingml/2006/picture">
                <pic:pic xmlns:pic="http://schemas.openxmlformats.org/drawingml/2006/picture">
                  <pic:nvPicPr>
                    <pic:cNvPr id="4309" name="Picture 4309"/>
                    <pic:cNvPicPr/>
                  </pic:nvPicPr>
                  <pic:blipFill>
                    <a:blip r:embed="rId151"/>
                    <a:stretch>
                      <a:fillRect/>
                    </a:stretch>
                  </pic:blipFill>
                  <pic:spPr>
                    <a:xfrm>
                      <a:off x="0" y="0"/>
                      <a:ext cx="6116320" cy="4221640"/>
                    </a:xfrm>
                    <a:prstGeom prst="rect">
                      <a:avLst/>
                    </a:prstGeom>
                  </pic:spPr>
                </pic:pic>
              </a:graphicData>
            </a:graphic>
          </wp:inline>
        </w:drawing>
      </w:r>
    </w:p>
    <w:p w14:paraId="4F554E86" w14:textId="7CF3A791" w:rsidR="00B102DD" w:rsidRDefault="00B102DD">
      <w:pPr>
        <w:spacing w:line="240" w:lineRule="auto"/>
        <w:contextualSpacing w:val="0"/>
        <w:jc w:val="left"/>
        <w:rPr>
          <w:b/>
        </w:rPr>
      </w:pPr>
      <w:r>
        <w:rPr>
          <w:b/>
        </w:rPr>
        <w:br w:type="page"/>
      </w:r>
    </w:p>
    <w:p w14:paraId="22A3B5EA" w14:textId="063552E8" w:rsidR="00E16412" w:rsidRPr="00680DF7" w:rsidRDefault="00C0167A" w:rsidP="00680DF7">
      <w:pPr>
        <w:spacing w:before="240"/>
      </w:pPr>
      <w:r w:rsidRPr="006B42D6">
        <w:rPr>
          <w:noProof/>
        </w:rPr>
        <w:lastRenderedPageBreak/>
        <w:drawing>
          <wp:anchor distT="0" distB="2794" distL="114300" distR="118364" simplePos="0" relativeHeight="251649024" behindDoc="1" locked="0" layoutInCell="1" allowOverlap="1" wp14:anchorId="5EEFED2D" wp14:editId="1DCE2133">
            <wp:simplePos x="0" y="0"/>
            <wp:positionH relativeFrom="column">
              <wp:posOffset>2758440</wp:posOffset>
            </wp:positionH>
            <wp:positionV relativeFrom="paragraph">
              <wp:posOffset>562610</wp:posOffset>
            </wp:positionV>
            <wp:extent cx="3014345" cy="1788795"/>
            <wp:effectExtent l="0" t="0" r="8255" b="14605"/>
            <wp:wrapTight wrapText="bothSides">
              <wp:wrapPolygon edited="0">
                <wp:start x="0" y="0"/>
                <wp:lineTo x="0" y="21623"/>
                <wp:lineTo x="21568" y="21623"/>
                <wp:lineTo x="21568" y="0"/>
                <wp:lineTo x="0" y="0"/>
              </wp:wrapPolygon>
            </wp:wrapTight>
            <wp:docPr id="231" name="Chart 5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14:sizeRelH relativeFrom="page">
              <wp14:pctWidth>0</wp14:pctWidth>
            </wp14:sizeRelH>
            <wp14:sizeRelV relativeFrom="page">
              <wp14:pctHeight>0</wp14:pctHeight>
            </wp14:sizeRelV>
          </wp:anchor>
        </w:drawing>
      </w:r>
      <w:r w:rsidR="00B106E2" w:rsidRPr="006B42D6">
        <w:rPr>
          <w:noProof/>
        </w:rPr>
        <mc:AlternateContent>
          <mc:Choice Requires="wps">
            <w:drawing>
              <wp:anchor distT="0" distB="0" distL="114300" distR="114300" simplePos="0" relativeHeight="251553792" behindDoc="0" locked="0" layoutInCell="1" allowOverlap="1" wp14:anchorId="3D34039C" wp14:editId="7355B994">
                <wp:simplePos x="0" y="0"/>
                <wp:positionH relativeFrom="column">
                  <wp:posOffset>2719705</wp:posOffset>
                </wp:positionH>
                <wp:positionV relativeFrom="paragraph">
                  <wp:posOffset>22860</wp:posOffset>
                </wp:positionV>
                <wp:extent cx="3324225" cy="473710"/>
                <wp:effectExtent l="0" t="0" r="3175" b="0"/>
                <wp:wrapSquare wrapText="bothSides"/>
                <wp:docPr id="34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324225" cy="4737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A79AC6" w14:textId="462575DF" w:rsidR="00933456" w:rsidRPr="00BC400D" w:rsidRDefault="00933456" w:rsidP="003179E3">
                            <w:pPr>
                              <w:pStyle w:val="Caption"/>
                            </w:pPr>
                            <w:bookmarkStart w:id="112" w:name="_Toc80120181"/>
                            <w:bookmarkStart w:id="113" w:name="_Toc80884056"/>
                            <w:bookmarkStart w:id="114" w:name="_Toc80884427"/>
                            <w:bookmarkStart w:id="115" w:name="_Toc82386282"/>
                            <w:r w:rsidRPr="00BC400D">
                              <w:t>Figure 3.5:</w:t>
                            </w:r>
                            <w:r>
                              <w:tab/>
                            </w:r>
                            <w:r w:rsidRPr="00BC400D">
                              <w:t>Trend of Maize Production</w:t>
                            </w:r>
                            <w:r>
                              <w:t xml:space="preserve"> by Smallholder Farmers</w:t>
                            </w:r>
                            <w:r w:rsidRPr="00BC400D">
                              <w:t xml:space="preserve"> by Three Consecutive Censuses in Tanzania</w:t>
                            </w:r>
                            <w:bookmarkEnd w:id="112"/>
                            <w:bookmarkEnd w:id="113"/>
                            <w:bookmarkEnd w:id="114"/>
                            <w:bookmarkEnd w:id="115"/>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34039C" id="Text Box 27" o:spid="_x0000_s1040" type="#_x0000_t202" style="position:absolute;left:0;text-align:left;margin-left:214.15pt;margin-top:1.8pt;width:261.75pt;height:37.3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" stroked="f">
                <v:path arrowok="t"/>
                <v:textbox inset="0,0,0,0">
                  <w:txbxContent>
                    <w:p w14:paraId="2EA79AC6" w14:textId="462575DF" w:rsidR="00933456" w:rsidRPr="00BC400D" w:rsidRDefault="00933456" w:rsidP="003179E3">
                      <w:pPr>
                        <w:pStyle w:val="Caption"/>
                      </w:pPr>
                      <w:bookmarkStart w:id="156" w:name="_Toc80120181"/>
                      <w:bookmarkStart w:id="157" w:name="_Toc80884056"/>
                      <w:bookmarkStart w:id="158" w:name="_Toc80884427"/>
                      <w:bookmarkStart w:id="159" w:name="_Toc82386282"/>
                      <w:r w:rsidRPr="00BC400D">
                        <w:t>Figure 3.5:</w:t>
                      </w:r>
                      <w:r>
                        <w:tab/>
                      </w:r>
                      <w:r w:rsidRPr="00BC400D">
                        <w:t>Trend of Maize Production</w:t>
                      </w:r>
                      <w:r>
                        <w:t xml:space="preserve"> by Smallholder Farmers</w:t>
                      </w:r>
                      <w:r w:rsidRPr="00BC400D">
                        <w:t xml:space="preserve"> by Three Consecutive Censuses in Tanzania</w:t>
                      </w:r>
                      <w:bookmarkEnd w:id="156"/>
                      <w:bookmarkEnd w:id="157"/>
                      <w:bookmarkEnd w:id="158"/>
                      <w:bookmarkEnd w:id="159"/>
                    </w:p>
                  </w:txbxContent>
                </v:textbox>
                <w10:wrap type="square"/>
              </v:shape>
            </w:pict>
          </mc:Fallback>
        </mc:AlternateContent>
      </w:r>
      <w:r w:rsidR="00E16412" w:rsidRPr="006B42D6">
        <w:t xml:space="preserve">Comparatively, the trend </w:t>
      </w:r>
      <w:r w:rsidR="008D5C6F" w:rsidRPr="006B42D6">
        <w:t>shows</w:t>
      </w:r>
      <w:r w:rsidR="00E16412" w:rsidRPr="006B42D6">
        <w:t xml:space="preserve"> that, the production of maize has increased from 5,444,178 tons in 2007/08 to 6,504,725 tons in 2019/20 agricultural year by 19.5 percent (Figure 3.5).</w:t>
      </w:r>
    </w:p>
    <w:p w14:paraId="77AA19EF" w14:textId="7231742A" w:rsidR="00E16412" w:rsidRDefault="00E16412" w:rsidP="005C2EFC">
      <w:pPr>
        <w:spacing w:before="240"/>
        <w:rPr>
          <w:b/>
        </w:rPr>
      </w:pPr>
    </w:p>
    <w:p w14:paraId="6E4256A8" w14:textId="02035E5A" w:rsidR="00680DF7" w:rsidRDefault="00680DF7" w:rsidP="005C2EFC">
      <w:pPr>
        <w:spacing w:before="240"/>
        <w:rPr>
          <w:b/>
        </w:rPr>
      </w:pPr>
    </w:p>
    <w:p w14:paraId="564744C9" w14:textId="0726C5AA" w:rsidR="00680DF7" w:rsidRDefault="00680DF7" w:rsidP="005C2EFC">
      <w:pPr>
        <w:spacing w:before="240"/>
        <w:rPr>
          <w:b/>
        </w:rPr>
      </w:pPr>
    </w:p>
    <w:p w14:paraId="7579D1C9" w14:textId="7B58D184" w:rsidR="00680DF7" w:rsidRDefault="00680DF7" w:rsidP="005C2EFC">
      <w:pPr>
        <w:spacing w:before="240"/>
        <w:rPr>
          <w:b/>
        </w:rPr>
      </w:pPr>
    </w:p>
    <w:p w14:paraId="53B1CCB3" w14:textId="51F2A54C" w:rsidR="00E16412" w:rsidRPr="00D754E0" w:rsidRDefault="00E16412" w:rsidP="00D754E0">
      <w:pPr>
        <w:pStyle w:val="Heading4"/>
      </w:pPr>
      <w:bookmarkStart w:id="116" w:name="_Toc82385646"/>
      <w:r w:rsidRPr="00D754E0">
        <w:t>3.</w:t>
      </w:r>
      <w:r w:rsidR="001174B4">
        <w:t>1</w:t>
      </w:r>
      <w:r w:rsidRPr="00D754E0">
        <w:t>.1.2</w:t>
      </w:r>
      <w:r w:rsidR="00E763F5" w:rsidRPr="00D754E0">
        <w:tab/>
      </w:r>
      <w:r w:rsidRPr="00D754E0">
        <w:t>Paddy</w:t>
      </w:r>
      <w:bookmarkEnd w:id="116"/>
    </w:p>
    <w:p w14:paraId="66FD6AC4" w14:textId="4DB79ED6" w:rsidR="00F15DF2" w:rsidRDefault="00F15DF2" w:rsidP="00680DF7">
      <w:r w:rsidRPr="006B42D6">
        <w:t xml:space="preserve">The 2019/20 NSCA results show that, a total of 609,331 households were engaged in growing paddy in Tanzania during short rainy season (579,682 households were in </w:t>
      </w:r>
      <w:r w:rsidR="00EA1552">
        <w:t>Mainland Tanzania</w:t>
      </w:r>
      <w:r w:rsidRPr="006B42D6">
        <w:t xml:space="preserve"> and 29,649 households in </w:t>
      </w:r>
      <w:r w:rsidR="008D5C6F" w:rsidRPr="006B42D6">
        <w:t xml:space="preserve">Tanzania </w:t>
      </w:r>
      <w:r w:rsidRPr="006B42D6">
        <w:t>Zanzibar)</w:t>
      </w:r>
      <w:r w:rsidR="00D52583" w:rsidRPr="006B42D6">
        <w:t>.</w:t>
      </w:r>
      <w:r w:rsidRPr="006B42D6">
        <w:t xml:space="preserve"> </w:t>
      </w:r>
      <w:r w:rsidR="00D52583" w:rsidRPr="006B42D6">
        <w:t xml:space="preserve">During long rainy season, </w:t>
      </w:r>
      <w:r w:rsidRPr="006B42D6">
        <w:t xml:space="preserve">1,348,037 households </w:t>
      </w:r>
      <w:r w:rsidR="00D52583" w:rsidRPr="006B42D6">
        <w:t xml:space="preserve">were engaged in paddy production, of which </w:t>
      </w:r>
      <w:r w:rsidRPr="006B42D6">
        <w:t xml:space="preserve">1,270,429 households </w:t>
      </w:r>
      <w:r w:rsidR="00D52583" w:rsidRPr="006B42D6">
        <w:t xml:space="preserve">were </w:t>
      </w:r>
      <w:r w:rsidRPr="006B42D6">
        <w:t xml:space="preserve">in </w:t>
      </w:r>
      <w:r w:rsidR="00EA1552">
        <w:t>Mainland Tanzania</w:t>
      </w:r>
      <w:r w:rsidRPr="006B42D6">
        <w:t xml:space="preserve"> and 77,608 households in</w:t>
      </w:r>
      <w:r w:rsidR="008D5C6F" w:rsidRPr="006B42D6">
        <w:t xml:space="preserve"> Tanzania</w:t>
      </w:r>
      <w:r w:rsidRPr="006B42D6">
        <w:t xml:space="preserve"> Zanzibar.</w:t>
      </w:r>
      <w:r w:rsidR="000B48BC" w:rsidRPr="006B42D6">
        <w:t xml:space="preserve"> </w:t>
      </w:r>
    </w:p>
    <w:p w14:paraId="18556211" w14:textId="77777777" w:rsidR="00DD7DBB" w:rsidRDefault="00DD7DBB" w:rsidP="00FD301E">
      <w:pPr>
        <w:spacing w:line="240" w:lineRule="auto"/>
      </w:pPr>
    </w:p>
    <w:p w14:paraId="22F5E0CF" w14:textId="5DA2BA96" w:rsidR="00F15DF2" w:rsidRDefault="00F15DF2" w:rsidP="00E03B53">
      <w:r w:rsidRPr="006B42D6">
        <w:t>A total area of 1,700,701 ha was planted with paddy in Tanzania</w:t>
      </w:r>
      <w:r w:rsidR="00D52583" w:rsidRPr="006B42D6">
        <w:t>,</w:t>
      </w:r>
      <w:r w:rsidRPr="006B42D6">
        <w:t xml:space="preserve"> out of which 1,688,241 ha </w:t>
      </w:r>
      <w:r w:rsidR="008F530D" w:rsidRPr="006B42D6">
        <w:t xml:space="preserve">were </w:t>
      </w:r>
      <w:r w:rsidRPr="006B42D6">
        <w:t>occupied by smallholder farmers and 12,460 ha occupied by large scale farms. Out of the total planted area occupied by smallholder farmers, 1,655,087 ha were in</w:t>
      </w:r>
      <w:r w:rsidR="00D52583" w:rsidRPr="006B42D6">
        <w:t xml:space="preserve"> </w:t>
      </w:r>
      <w:r w:rsidR="00EA1552">
        <w:t>Mainland Tanzania</w:t>
      </w:r>
      <w:r w:rsidRPr="006B42D6">
        <w:t xml:space="preserve"> and 33,155 ha were in </w:t>
      </w:r>
      <w:r w:rsidR="00D52583" w:rsidRPr="006B42D6">
        <w:t xml:space="preserve">Tanzania </w:t>
      </w:r>
      <w:r w:rsidRPr="006B42D6">
        <w:t xml:space="preserve">Zanzibar. In </w:t>
      </w:r>
      <w:r w:rsidR="00EA1552">
        <w:t>Mainland Tanzania</w:t>
      </w:r>
      <w:r w:rsidRPr="006B42D6">
        <w:t xml:space="preserve">, Morogoro region had the largest planted area of 309,624 ha (18.7 percent), followed by Tabora (255,910 ha; 15.5 percent) and Shinyanga (182,173 ha; 11.0 percent). In </w:t>
      </w:r>
      <w:r w:rsidR="00D52583" w:rsidRPr="006B42D6">
        <w:t xml:space="preserve">Tanzania </w:t>
      </w:r>
      <w:r w:rsidRPr="006B42D6">
        <w:t xml:space="preserve">Zanzibar, the largest planted area </w:t>
      </w:r>
      <w:r w:rsidR="00D52583" w:rsidRPr="006B42D6">
        <w:t>with</w:t>
      </w:r>
      <w:r w:rsidRPr="006B42D6">
        <w:t xml:space="preserve"> </w:t>
      </w:r>
      <w:r w:rsidR="00D52583" w:rsidRPr="006B42D6">
        <w:t xml:space="preserve">paddy </w:t>
      </w:r>
      <w:r w:rsidR="00D26B82" w:rsidRPr="006B42D6">
        <w:t>(</w:t>
      </w:r>
      <w:r w:rsidRPr="006B42D6">
        <w:t>13,620 ha</w:t>
      </w:r>
      <w:r w:rsidR="00D26B82" w:rsidRPr="006B42D6">
        <w:t xml:space="preserve">; </w:t>
      </w:r>
      <w:r w:rsidRPr="006B42D6">
        <w:t>41.1 percent) was observed in Kusini Pemba</w:t>
      </w:r>
      <w:r w:rsidR="00D26B82" w:rsidRPr="006B42D6">
        <w:t xml:space="preserve"> region</w:t>
      </w:r>
      <w:r w:rsidRPr="006B42D6">
        <w:t xml:space="preserve">, followed by Mjini Magharibi (8,124 ha; 24.5 percent) and Kaskazini Pemba </w:t>
      </w:r>
      <w:r w:rsidR="00D26B82" w:rsidRPr="006B42D6">
        <w:t>(</w:t>
      </w:r>
      <w:r w:rsidRPr="006B42D6">
        <w:t>6,818 ha</w:t>
      </w:r>
      <w:r w:rsidR="00D26B82" w:rsidRPr="006B42D6">
        <w:t xml:space="preserve">; </w:t>
      </w:r>
      <w:r w:rsidRPr="006B42D6">
        <w:t xml:space="preserve">20.6 percent) (Figure </w:t>
      </w:r>
      <w:r w:rsidR="00B15464" w:rsidRPr="006B42D6">
        <w:t xml:space="preserve">3.6 &amp; </w:t>
      </w:r>
      <w:r w:rsidRPr="006B42D6">
        <w:t>3.7).</w:t>
      </w:r>
    </w:p>
    <w:p w14:paraId="46DCF372" w14:textId="77777777" w:rsidR="00E03B53" w:rsidRPr="006B42D6" w:rsidRDefault="00E03B53" w:rsidP="00FD301E">
      <w:pPr>
        <w:spacing w:line="240" w:lineRule="auto"/>
      </w:pPr>
    </w:p>
    <w:p w14:paraId="7B3F7F7D" w14:textId="1F7A182C" w:rsidR="00D52583" w:rsidRDefault="00F15DF2" w:rsidP="00E03B53">
      <w:r w:rsidRPr="006B42D6">
        <w:t xml:space="preserve">The census results also show that, the total harvested area with paddy in Tanzania by </w:t>
      </w:r>
      <w:r w:rsidR="00D52583" w:rsidRPr="006B42D6">
        <w:t>s</w:t>
      </w:r>
      <w:r w:rsidRPr="006B42D6">
        <w:t xml:space="preserve">mallholder </w:t>
      </w:r>
      <w:r w:rsidR="00D52583" w:rsidRPr="006B42D6">
        <w:t>f</w:t>
      </w:r>
      <w:r w:rsidRPr="006B42D6">
        <w:t>armers was 1,485,125 ha</w:t>
      </w:r>
      <w:r w:rsidR="00D26B82" w:rsidRPr="006B42D6">
        <w:t>,</w:t>
      </w:r>
      <w:r w:rsidRPr="006B42D6">
        <w:t xml:space="preserve"> out of which 1,460,571 ha were in </w:t>
      </w:r>
      <w:r w:rsidR="00EA1552">
        <w:t>Mainland Tanzania</w:t>
      </w:r>
      <w:r w:rsidRPr="006B42D6">
        <w:t xml:space="preserve"> and 24,554 ha in </w:t>
      </w:r>
      <w:r w:rsidR="00D52583" w:rsidRPr="006B42D6">
        <w:t xml:space="preserve">Tanzania </w:t>
      </w:r>
      <w:r w:rsidRPr="006B42D6">
        <w:t>Zanzibar. This implies that 88</w:t>
      </w:r>
      <w:r w:rsidR="00D26B82" w:rsidRPr="006B42D6">
        <w:t>.0</w:t>
      </w:r>
      <w:r w:rsidRPr="006B42D6">
        <w:t xml:space="preserve"> percent of the total planted area was harvested with paddy by </w:t>
      </w:r>
      <w:r w:rsidR="00D52583" w:rsidRPr="006B42D6">
        <w:t>s</w:t>
      </w:r>
      <w:r w:rsidRPr="006B42D6">
        <w:t xml:space="preserve">mallholder </w:t>
      </w:r>
      <w:r w:rsidR="00D52583" w:rsidRPr="006B42D6">
        <w:t>f</w:t>
      </w:r>
      <w:r w:rsidRPr="006B42D6">
        <w:t>armers.</w:t>
      </w:r>
      <w:r w:rsidR="00D26B82" w:rsidRPr="006B42D6">
        <w:t xml:space="preserve"> </w:t>
      </w:r>
    </w:p>
    <w:p w14:paraId="1507C74E" w14:textId="511AE856" w:rsidR="00B106E2" w:rsidRDefault="00B106E2">
      <w:pPr>
        <w:spacing w:line="240" w:lineRule="auto"/>
        <w:contextualSpacing w:val="0"/>
        <w:jc w:val="left"/>
        <w:rPr>
          <w:rFonts w:eastAsia="Calibri"/>
        </w:rPr>
      </w:pPr>
      <w:r>
        <w:br w:type="page"/>
      </w:r>
    </w:p>
    <w:p w14:paraId="376DE0E5" w14:textId="63A27B63" w:rsidR="00E16412" w:rsidRPr="006B42D6" w:rsidRDefault="00E16412" w:rsidP="006F532D">
      <w:pPr>
        <w:pStyle w:val="Caption"/>
        <w:rPr>
          <w:b w:val="0"/>
          <w:i/>
        </w:rPr>
      </w:pPr>
      <w:bookmarkStart w:id="117" w:name="_Toc82386283"/>
      <w:r w:rsidRPr="006B42D6">
        <w:lastRenderedPageBreak/>
        <w:t>Figure 3.6</w:t>
      </w:r>
      <w:r w:rsidR="00D754E0">
        <w:t>:</w:t>
      </w:r>
      <w:r w:rsidR="00E03B53">
        <w:tab/>
      </w:r>
      <w:r w:rsidRPr="006B42D6">
        <w:t xml:space="preserve">Planted and Harvested Area with Paddy by </w:t>
      </w:r>
      <w:r w:rsidR="00BC400D" w:rsidRPr="006B42D6">
        <w:t xml:space="preserve">Smallholder Farmers </w:t>
      </w:r>
      <w:r w:rsidRPr="006B42D6">
        <w:t xml:space="preserve">by Region </w:t>
      </w:r>
      <w:r w:rsidR="00BC400D" w:rsidRPr="006B42D6">
        <w:t xml:space="preserve">During </w:t>
      </w:r>
      <w:r w:rsidR="00D26B82" w:rsidRPr="006B42D6">
        <w:t xml:space="preserve">2019/20 </w:t>
      </w:r>
      <w:r w:rsidR="00BC400D" w:rsidRPr="006B42D6">
        <w:t>Agricultural Year</w:t>
      </w:r>
      <w:r w:rsidR="00D26B82" w:rsidRPr="006B42D6">
        <w:t xml:space="preserve">, </w:t>
      </w:r>
      <w:r w:rsidR="00EA1552">
        <w:t>Mainland Tanzania</w:t>
      </w:r>
      <w:bookmarkEnd w:id="117"/>
    </w:p>
    <w:p w14:paraId="0D598EA1" w14:textId="6731C539" w:rsidR="00E16412" w:rsidRDefault="001B26AC" w:rsidP="005C2EFC">
      <w:r w:rsidRPr="006B42D6">
        <w:rPr>
          <w:noProof/>
        </w:rPr>
        <w:drawing>
          <wp:inline distT="0" distB="0" distL="0" distR="0" wp14:anchorId="144F5922" wp14:editId="7CE2F31D">
            <wp:extent cx="5975350" cy="2839085"/>
            <wp:effectExtent l="0" t="0" r="6350" b="18415"/>
            <wp:docPr id="144" name="Chart 44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14:paraId="7B680B1F" w14:textId="77777777" w:rsidR="00B106E2" w:rsidRPr="006B42D6" w:rsidRDefault="00B106E2" w:rsidP="005C2EFC"/>
    <w:p w14:paraId="3FC17D5F" w14:textId="6B64755B" w:rsidR="00E16412" w:rsidRPr="00D754E0" w:rsidRDefault="00E16412" w:rsidP="00D754E0">
      <w:pPr>
        <w:pStyle w:val="Caption"/>
      </w:pPr>
      <w:bookmarkStart w:id="118" w:name="_Toc82386284"/>
      <w:r w:rsidRPr="00D754E0">
        <w:t>Figure 3.7</w:t>
      </w:r>
      <w:r w:rsidR="00D754E0">
        <w:t>:</w:t>
      </w:r>
      <w:r w:rsidR="00E03B53" w:rsidRPr="00D754E0">
        <w:tab/>
      </w:r>
      <w:r w:rsidRPr="00D754E0">
        <w:t xml:space="preserve">Planted and Harvested Area with Paddy by </w:t>
      </w:r>
      <w:r w:rsidR="00BC400D" w:rsidRPr="00D754E0">
        <w:t xml:space="preserve">Smallholder Farmers </w:t>
      </w:r>
      <w:r w:rsidRPr="00D754E0">
        <w:t xml:space="preserve">by Region </w:t>
      </w:r>
      <w:r w:rsidR="00BC400D" w:rsidRPr="00D754E0">
        <w:t xml:space="preserve">During </w:t>
      </w:r>
      <w:r w:rsidR="00D26B82" w:rsidRPr="00D754E0">
        <w:t xml:space="preserve">2019/20 </w:t>
      </w:r>
      <w:r w:rsidR="00BC400D" w:rsidRPr="00D754E0">
        <w:t>Agricultural Year</w:t>
      </w:r>
      <w:r w:rsidR="00D26B82" w:rsidRPr="00D754E0">
        <w:t>, Tanzania Zanzibar</w:t>
      </w:r>
      <w:bookmarkEnd w:id="118"/>
      <w:r w:rsidR="00D26B82" w:rsidRPr="00D754E0">
        <w:t xml:space="preserve">  </w:t>
      </w:r>
    </w:p>
    <w:p w14:paraId="7CF378E7" w14:textId="40A3C791" w:rsidR="00E16412" w:rsidRPr="006B42D6" w:rsidRDefault="001B26AC" w:rsidP="005C2EFC">
      <w:r w:rsidRPr="006B42D6">
        <w:rPr>
          <w:noProof/>
        </w:rPr>
        <w:drawing>
          <wp:inline distT="0" distB="0" distL="0" distR="0" wp14:anchorId="67DA0926" wp14:editId="29959062">
            <wp:extent cx="5975350" cy="2622884"/>
            <wp:effectExtent l="0" t="0" r="6350" b="6350"/>
            <wp:docPr id="143" name="Chart 44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14:paraId="4FBECAE5" w14:textId="77777777" w:rsidR="00680DF7" w:rsidRDefault="00680DF7" w:rsidP="008B0802">
      <w:pPr>
        <w:spacing w:line="240" w:lineRule="auto"/>
      </w:pPr>
    </w:p>
    <w:p w14:paraId="632B2E4E" w14:textId="4720C8A9" w:rsidR="00805540" w:rsidRDefault="00B857FB" w:rsidP="00E03B53">
      <w:r w:rsidRPr="006B42D6">
        <w:t xml:space="preserve">Furthermore, the total production </w:t>
      </w:r>
      <w:r w:rsidR="00D26B82" w:rsidRPr="006B42D6">
        <w:t>of</w:t>
      </w:r>
      <w:r w:rsidRPr="006B42D6">
        <w:t xml:space="preserve"> paddy in Tanzania was 3,443,606 tons</w:t>
      </w:r>
      <w:r w:rsidR="00D26B82" w:rsidRPr="006B42D6">
        <w:t>,</w:t>
      </w:r>
      <w:r w:rsidRPr="006B42D6">
        <w:t xml:space="preserve"> of which 3.380,715 tons (98.2 percent) were from smallholder farmers and 62,891 tons (1.8 percent) from large scale farms. Out of the total quantity produced by smallholder farmers, 3,330,293 tons were in </w:t>
      </w:r>
      <w:r w:rsidR="00EA1552">
        <w:t>Mainland Tanzania</w:t>
      </w:r>
      <w:r w:rsidRPr="006B42D6">
        <w:t xml:space="preserve"> and 50,421 tons were in </w:t>
      </w:r>
      <w:r w:rsidR="00D26B82" w:rsidRPr="006B42D6">
        <w:t xml:space="preserve">Tanzania </w:t>
      </w:r>
      <w:r w:rsidRPr="006B42D6">
        <w:t xml:space="preserve">Zanzibar. In </w:t>
      </w:r>
      <w:r w:rsidR="00EA1552">
        <w:t>Mainland Tanzania</w:t>
      </w:r>
      <w:r w:rsidRPr="006B42D6">
        <w:t xml:space="preserve">, Morogoro region had </w:t>
      </w:r>
      <w:r w:rsidR="00805540" w:rsidRPr="006B42D6">
        <w:t>the</w:t>
      </w:r>
      <w:r w:rsidRPr="006B42D6">
        <w:t xml:space="preserve"> highest production </w:t>
      </w:r>
      <w:r w:rsidR="00805540" w:rsidRPr="006B42D6">
        <w:t>of</w:t>
      </w:r>
      <w:r w:rsidRPr="006B42D6">
        <w:t xml:space="preserve"> paddy (572,884 tons; 17.2 percent), followed by Mbeya (413,212 tons; 12.4 percent) and Shinyanga (381,092 tons; 11.4 percent). The lowest paddy production was reported in Arusha region (1,493 tons; 0.04 percent), </w:t>
      </w:r>
      <w:r w:rsidRPr="006B42D6">
        <w:lastRenderedPageBreak/>
        <w:t>followed by Njombe (7,162 tons; 0.2 percent) and Manyara (9,020 tons; 0.3 percent) (Figure 3.8</w:t>
      </w:r>
      <w:r w:rsidR="00805540" w:rsidRPr="006B42D6">
        <w:t xml:space="preserve"> &amp; Map 3.2</w:t>
      </w:r>
      <w:r w:rsidRPr="006B42D6">
        <w:t>)</w:t>
      </w:r>
      <w:r w:rsidR="00805540" w:rsidRPr="006B42D6">
        <w:t>.</w:t>
      </w:r>
      <w:r w:rsidRPr="006B42D6">
        <w:t xml:space="preserve"> </w:t>
      </w:r>
    </w:p>
    <w:p w14:paraId="0A295B78" w14:textId="77777777" w:rsidR="00E03B53" w:rsidRPr="00671CA8" w:rsidRDefault="00E03B53" w:rsidP="00E03B53">
      <w:pPr>
        <w:spacing w:line="240" w:lineRule="auto"/>
      </w:pPr>
    </w:p>
    <w:p w14:paraId="203B3298" w14:textId="6FA6D31F" w:rsidR="00B857FB" w:rsidRDefault="00805540" w:rsidP="00E03B53">
      <w:r w:rsidRPr="006B42D6">
        <w:t>I</w:t>
      </w:r>
      <w:r w:rsidR="00B857FB" w:rsidRPr="006B42D6">
        <w:t xml:space="preserve">n </w:t>
      </w:r>
      <w:r w:rsidRPr="006B42D6">
        <w:t xml:space="preserve">Tanzania </w:t>
      </w:r>
      <w:r w:rsidR="00B857FB" w:rsidRPr="006B42D6">
        <w:t xml:space="preserve">Zanzibar, Kusini Pemba </w:t>
      </w:r>
      <w:r w:rsidRPr="006B42D6">
        <w:t xml:space="preserve">region </w:t>
      </w:r>
      <w:r w:rsidR="00B857FB" w:rsidRPr="006B42D6">
        <w:t xml:space="preserve">reported the highest production of </w:t>
      </w:r>
      <w:r w:rsidRPr="006B42D6">
        <w:t xml:space="preserve">paddy </w:t>
      </w:r>
      <w:r w:rsidR="00B857FB" w:rsidRPr="006B42D6">
        <w:t xml:space="preserve">(15,296 tons; 30.3 percent), followed by Mjini Magharibi (13,416 tons; 26.6 percent) and Kaskazini Pemba </w:t>
      </w:r>
      <w:r w:rsidRPr="006B42D6">
        <w:t>(</w:t>
      </w:r>
      <w:r w:rsidR="00B857FB" w:rsidRPr="006B42D6">
        <w:t>12,426 tons; 24.6 percent)</w:t>
      </w:r>
      <w:r w:rsidRPr="006B42D6">
        <w:t>,</w:t>
      </w:r>
      <w:r w:rsidR="00B857FB" w:rsidRPr="006B42D6">
        <w:t xml:space="preserve"> while Kusini Unguja had the lowest paddy production (1,463 tons; 2.9 percent) (Figure 3.9</w:t>
      </w:r>
      <w:r w:rsidR="0033183A" w:rsidRPr="006B42D6">
        <w:t xml:space="preserve"> &amp; Map 3.2</w:t>
      </w:r>
      <w:r w:rsidR="00B857FB" w:rsidRPr="006B42D6">
        <w:t>).</w:t>
      </w:r>
    </w:p>
    <w:p w14:paraId="6DFE45DE" w14:textId="77777777" w:rsidR="00E03B53" w:rsidRPr="00737701" w:rsidRDefault="00E03B53" w:rsidP="00E03B53">
      <w:pPr>
        <w:spacing w:line="240" w:lineRule="auto"/>
      </w:pPr>
    </w:p>
    <w:p w14:paraId="7B3EBB64" w14:textId="4A5914FD" w:rsidR="00805540" w:rsidRPr="0015754C" w:rsidRDefault="00805540" w:rsidP="0015754C">
      <w:pPr>
        <w:pStyle w:val="MapNew"/>
        <w:rPr>
          <w:rStyle w:val="BookTitle"/>
          <w:rFonts w:ascii="Times New Roman" w:hAnsi="Times New Roman"/>
          <w:b/>
          <w:bCs w:val="0"/>
          <w:iCs/>
          <w:spacing w:val="0"/>
        </w:rPr>
      </w:pPr>
      <w:bookmarkStart w:id="119" w:name="_Toc80901877"/>
      <w:bookmarkStart w:id="120" w:name="_Toc80902551"/>
      <w:bookmarkStart w:id="121" w:name="_Toc82386469"/>
      <w:r w:rsidRPr="0015754C">
        <w:rPr>
          <w:rStyle w:val="BookTitle"/>
          <w:rFonts w:ascii="Times New Roman" w:hAnsi="Times New Roman"/>
          <w:b/>
          <w:bCs w:val="0"/>
          <w:iCs/>
          <w:spacing w:val="0"/>
        </w:rPr>
        <w:t>Map 3.2</w:t>
      </w:r>
      <w:r w:rsidR="0015754C" w:rsidRPr="0015754C">
        <w:rPr>
          <w:rStyle w:val="BookTitle"/>
          <w:rFonts w:ascii="Times New Roman" w:hAnsi="Times New Roman"/>
          <w:b/>
          <w:bCs w:val="0"/>
          <w:iCs/>
          <w:spacing w:val="0"/>
        </w:rPr>
        <w:t>:</w:t>
      </w:r>
      <w:r w:rsidR="00392BA9" w:rsidRPr="0015754C">
        <w:rPr>
          <w:rStyle w:val="BookTitle"/>
          <w:rFonts w:ascii="Times New Roman" w:hAnsi="Times New Roman"/>
          <w:b/>
          <w:bCs w:val="0"/>
          <w:iCs/>
          <w:spacing w:val="0"/>
        </w:rPr>
        <w:tab/>
      </w:r>
      <w:r w:rsidRPr="0015754C">
        <w:rPr>
          <w:rStyle w:val="BookTitle"/>
          <w:rFonts w:ascii="Times New Roman" w:hAnsi="Times New Roman"/>
          <w:b/>
          <w:bCs w:val="0"/>
          <w:iCs/>
          <w:spacing w:val="0"/>
        </w:rPr>
        <w:t>Production of Paddy by Region During 2019/20 Agricultural Year, Tanzania</w:t>
      </w:r>
      <w:bookmarkEnd w:id="119"/>
      <w:bookmarkEnd w:id="120"/>
      <w:bookmarkEnd w:id="121"/>
    </w:p>
    <w:p w14:paraId="7FAB057D" w14:textId="2AFD7414" w:rsidR="007936A7" w:rsidRDefault="001E2D27" w:rsidP="00E03B53">
      <w:pPr>
        <w:spacing w:before="240"/>
      </w:pPr>
      <w:r>
        <w:rPr>
          <w:noProof/>
        </w:rPr>
        <w:drawing>
          <wp:inline distT="0" distB="0" distL="0" distR="0" wp14:anchorId="585AFC81" wp14:editId="2232B8F5">
            <wp:extent cx="5830277" cy="4221480"/>
            <wp:effectExtent l="0" t="0" r="0" b="0"/>
            <wp:docPr id="4491" name="Picture 4491"/>
            <wp:cNvGraphicFramePr/>
            <a:graphic xmlns:a="http://schemas.openxmlformats.org/drawingml/2006/main">
              <a:graphicData uri="http://schemas.openxmlformats.org/drawingml/2006/picture">
                <pic:pic xmlns:pic="http://schemas.openxmlformats.org/drawingml/2006/picture">
                  <pic:nvPicPr>
                    <pic:cNvPr id="4491" name="Picture 4491"/>
                    <pic:cNvPicPr/>
                  </pic:nvPicPr>
                  <pic:blipFill>
                    <a:blip r:embed="rId155"/>
                    <a:stretch>
                      <a:fillRect/>
                    </a:stretch>
                  </pic:blipFill>
                  <pic:spPr>
                    <a:xfrm>
                      <a:off x="0" y="0"/>
                      <a:ext cx="5834902" cy="4224829"/>
                    </a:xfrm>
                    <a:prstGeom prst="rect">
                      <a:avLst/>
                    </a:prstGeom>
                  </pic:spPr>
                </pic:pic>
              </a:graphicData>
            </a:graphic>
          </wp:inline>
        </w:drawing>
      </w:r>
    </w:p>
    <w:p w14:paraId="636E56EC" w14:textId="77777777" w:rsidR="007936A7" w:rsidRDefault="007936A7" w:rsidP="00FD301E">
      <w:pPr>
        <w:spacing w:before="240" w:line="240" w:lineRule="auto"/>
      </w:pPr>
    </w:p>
    <w:p w14:paraId="70C2A217" w14:textId="726819D1" w:rsidR="003A448A" w:rsidRPr="006B42D6" w:rsidRDefault="00B15464" w:rsidP="00E03B53">
      <w:r w:rsidRPr="006B42D6">
        <w:t xml:space="preserve">Furthermore, results show that, the average productivity of </w:t>
      </w:r>
      <w:r w:rsidR="00805540" w:rsidRPr="006B42D6">
        <w:t>paddy</w:t>
      </w:r>
      <w:r w:rsidRPr="006B42D6">
        <w:t xml:space="preserve"> reported in Tanzania was 2.3 tons/ha whereby 2.3 tons/ha was reported in </w:t>
      </w:r>
      <w:r w:rsidR="00EA1552">
        <w:t>Mainland Tanzania</w:t>
      </w:r>
      <w:r w:rsidRPr="006B42D6">
        <w:t xml:space="preserve"> and 2.1 tons/ha in </w:t>
      </w:r>
      <w:r w:rsidR="00805540" w:rsidRPr="006B42D6">
        <w:t xml:space="preserve">Tanzania </w:t>
      </w:r>
      <w:r w:rsidRPr="006B42D6">
        <w:t xml:space="preserve">Zanzibar. In </w:t>
      </w:r>
      <w:r w:rsidR="00EA1552">
        <w:t>Mainland Tanzania</w:t>
      </w:r>
      <w:r w:rsidRPr="006B42D6">
        <w:t>, Arusha and Njombe regions had the highest productivity of 4.4 tons/ha</w:t>
      </w:r>
      <w:r w:rsidR="00805540" w:rsidRPr="006B42D6">
        <w:t xml:space="preserve"> each</w:t>
      </w:r>
      <w:r w:rsidRPr="006B42D6">
        <w:t xml:space="preserve">, followed by Mbeya (3.5 tons/ha), while the lowest productivity </w:t>
      </w:r>
      <w:r w:rsidR="00805540" w:rsidRPr="006B42D6">
        <w:t>(</w:t>
      </w:r>
      <w:r w:rsidRPr="006B42D6">
        <w:t>1.5 tons/ha</w:t>
      </w:r>
      <w:r w:rsidR="00805540" w:rsidRPr="006B42D6">
        <w:t>)</w:t>
      </w:r>
      <w:r w:rsidRPr="006B42D6">
        <w:t xml:space="preserve"> </w:t>
      </w:r>
      <w:r w:rsidR="00805540" w:rsidRPr="006B42D6">
        <w:t>was</w:t>
      </w:r>
      <w:r w:rsidRPr="006B42D6">
        <w:t xml:space="preserve"> reported in Tabora region</w:t>
      </w:r>
      <w:r w:rsidR="00805540" w:rsidRPr="006B42D6">
        <w:t xml:space="preserve">. </w:t>
      </w:r>
      <w:r w:rsidRPr="006B42D6">
        <w:t xml:space="preserve">In </w:t>
      </w:r>
      <w:r w:rsidR="00805540" w:rsidRPr="006B42D6">
        <w:t xml:space="preserve">Tanzania </w:t>
      </w:r>
      <w:r w:rsidRPr="006B42D6">
        <w:t xml:space="preserve">Zanzibar, Kaskazini Unguja region reported the highest yield of 2.7 tons/ha, followed by </w:t>
      </w:r>
      <w:r w:rsidR="008B368A" w:rsidRPr="006B42D6">
        <w:t>Mjini Magharibi</w:t>
      </w:r>
      <w:r w:rsidRPr="006B42D6">
        <w:t xml:space="preserve"> (2.4 tons/ha) and Kaskazini Pemba (2.3 tons/ha). The lowest yield </w:t>
      </w:r>
      <w:r w:rsidR="008B368A" w:rsidRPr="006B42D6">
        <w:t xml:space="preserve">(1.5 tons/ha) was reported in Kusini Pemba </w:t>
      </w:r>
      <w:r w:rsidRPr="006B42D6">
        <w:t xml:space="preserve">(Figure </w:t>
      </w:r>
      <w:r w:rsidR="003A448A" w:rsidRPr="006B42D6">
        <w:t>3.8</w:t>
      </w:r>
      <w:r w:rsidR="00805540" w:rsidRPr="006B42D6">
        <w:t xml:space="preserve"> </w:t>
      </w:r>
      <w:r w:rsidR="003A448A" w:rsidRPr="006B42D6">
        <w:t xml:space="preserve">&amp; </w:t>
      </w:r>
      <w:r w:rsidRPr="006B42D6">
        <w:t>3.9).</w:t>
      </w:r>
    </w:p>
    <w:p w14:paraId="15F816EC" w14:textId="7452AB9B" w:rsidR="009877E9" w:rsidRPr="006B42D6" w:rsidRDefault="0015754C" w:rsidP="003179E3">
      <w:pPr>
        <w:pStyle w:val="Caption"/>
      </w:pPr>
      <w:bookmarkStart w:id="122" w:name="_Toc82386285"/>
      <w:r w:rsidRPr="006B42D6">
        <w:rPr>
          <w:b w:val="0"/>
          <w:noProof/>
        </w:rPr>
        <w:lastRenderedPageBreak/>
        <w:drawing>
          <wp:anchor distT="0" distB="0" distL="114300" distR="114300" simplePos="0" relativeHeight="251744256" behindDoc="1" locked="0" layoutInCell="1" allowOverlap="1" wp14:anchorId="30439A39" wp14:editId="2248E02C">
            <wp:simplePos x="0" y="0"/>
            <wp:positionH relativeFrom="column">
              <wp:posOffset>0</wp:posOffset>
            </wp:positionH>
            <wp:positionV relativeFrom="paragraph">
              <wp:posOffset>351155</wp:posOffset>
            </wp:positionV>
            <wp:extent cx="5712460" cy="2922270"/>
            <wp:effectExtent l="0" t="0" r="15240" b="11430"/>
            <wp:wrapTight wrapText="bothSides">
              <wp:wrapPolygon edited="0">
                <wp:start x="0" y="0"/>
                <wp:lineTo x="0" y="21591"/>
                <wp:lineTo x="21610" y="21591"/>
                <wp:lineTo x="21610" y="0"/>
                <wp:lineTo x="0" y="0"/>
              </wp:wrapPolygon>
            </wp:wrapTight>
            <wp:docPr id="141" name="Chart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14:sizeRelH relativeFrom="page">
              <wp14:pctWidth>0</wp14:pctWidth>
            </wp14:sizeRelH>
            <wp14:sizeRelV relativeFrom="page">
              <wp14:pctHeight>0</wp14:pctHeight>
            </wp14:sizeRelV>
          </wp:anchor>
        </w:drawing>
      </w:r>
      <w:r w:rsidR="00E16412" w:rsidRPr="006B42D6">
        <w:t>Figure 3.8</w:t>
      </w:r>
      <w:r w:rsidR="00D754E0">
        <w:t>:</w:t>
      </w:r>
      <w:r w:rsidR="00E03B53">
        <w:tab/>
      </w:r>
      <w:r w:rsidR="00E16412" w:rsidRPr="006B42D6">
        <w:t>Production and Yield of Paddy</w:t>
      </w:r>
      <w:r w:rsidR="00833DCA">
        <w:t xml:space="preserve"> by Smallholder Farmers</w:t>
      </w:r>
      <w:r w:rsidR="00E16412" w:rsidRPr="006B42D6">
        <w:t xml:space="preserve"> </w:t>
      </w:r>
      <w:r w:rsidR="00BC400D" w:rsidRPr="006B42D6">
        <w:t>During 2019/20 Agricultural Year</w:t>
      </w:r>
      <w:r w:rsidR="00D35A2C" w:rsidRPr="006B42D6">
        <w:t xml:space="preserve">, </w:t>
      </w:r>
      <w:r w:rsidR="00EA1552">
        <w:t>Mainland Tanzania</w:t>
      </w:r>
      <w:bookmarkEnd w:id="122"/>
    </w:p>
    <w:p w14:paraId="05CC6551" w14:textId="0D578488" w:rsidR="00D35A2C" w:rsidRPr="006B42D6" w:rsidRDefault="00D35A2C" w:rsidP="007936A7">
      <w:pPr>
        <w:rPr>
          <w:noProof/>
        </w:rPr>
      </w:pPr>
    </w:p>
    <w:p w14:paraId="48081335" w14:textId="007E240A" w:rsidR="00CA1FBF" w:rsidRDefault="00CA1FBF" w:rsidP="00D35A2C">
      <w:pPr>
        <w:pStyle w:val="Caption"/>
      </w:pPr>
      <w:bookmarkStart w:id="123" w:name="_Toc82386286"/>
      <w:r w:rsidRPr="006B42D6">
        <w:t>Figure 3.9</w:t>
      </w:r>
      <w:r w:rsidR="00D754E0">
        <w:t>:</w:t>
      </w:r>
      <w:r w:rsidR="00E03B53">
        <w:tab/>
      </w:r>
      <w:r w:rsidRPr="006B42D6">
        <w:t>Production and Yield of Paddy</w:t>
      </w:r>
      <w:r w:rsidR="00833DCA">
        <w:t xml:space="preserve"> by Smallholder Farmers</w:t>
      </w:r>
      <w:r w:rsidRPr="006B42D6">
        <w:t xml:space="preserve"> </w:t>
      </w:r>
      <w:r w:rsidR="00BC400D" w:rsidRPr="006B42D6">
        <w:t>During 2019/20 Agricultural Year</w:t>
      </w:r>
      <w:r w:rsidR="00D35A2C" w:rsidRPr="006B42D6">
        <w:t>, Tanzania Zanzibar</w:t>
      </w:r>
      <w:bookmarkEnd w:id="123"/>
    </w:p>
    <w:p w14:paraId="023942FE" w14:textId="77777777" w:rsidR="00737701" w:rsidRPr="00737701" w:rsidRDefault="00737701" w:rsidP="00737701">
      <w:pPr>
        <w:rPr>
          <w:sz w:val="6"/>
          <w:szCs w:val="6"/>
        </w:rPr>
      </w:pPr>
    </w:p>
    <w:p w14:paraId="2BAC5DB8" w14:textId="670423E8" w:rsidR="00CA1FBF" w:rsidRPr="006B42D6" w:rsidRDefault="001B26AC" w:rsidP="00D32BA4">
      <w:r w:rsidRPr="006B42D6">
        <w:rPr>
          <w:noProof/>
        </w:rPr>
        <w:drawing>
          <wp:inline distT="0" distB="0" distL="0" distR="0" wp14:anchorId="40A94E69" wp14:editId="4B13F6E3">
            <wp:extent cx="5712460" cy="2795270"/>
            <wp:effectExtent l="0" t="0" r="15240" b="11430"/>
            <wp:docPr id="140" name="Chart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14:paraId="65A5DA36" w14:textId="38A095BE" w:rsidR="00CA1FBF" w:rsidRDefault="00CA1FBF" w:rsidP="00D32BA4"/>
    <w:p w14:paraId="039D5D77" w14:textId="47173DA0" w:rsidR="007936A7" w:rsidRDefault="007936A7" w:rsidP="00D32BA4"/>
    <w:p w14:paraId="61A40115" w14:textId="6BCA7A49" w:rsidR="007936A7" w:rsidRDefault="007936A7" w:rsidP="00D32BA4"/>
    <w:p w14:paraId="51C245CB" w14:textId="798E3AD5" w:rsidR="007936A7" w:rsidRDefault="007936A7" w:rsidP="00D32BA4"/>
    <w:p w14:paraId="6073FCC1" w14:textId="640138BE" w:rsidR="00D754E0" w:rsidRDefault="00D754E0" w:rsidP="00D32BA4"/>
    <w:p w14:paraId="11421B11" w14:textId="4FCE654B" w:rsidR="00D754E0" w:rsidRDefault="00D754E0" w:rsidP="00D32BA4"/>
    <w:p w14:paraId="36440749" w14:textId="2C7EB33F" w:rsidR="00D754E0" w:rsidRDefault="00D754E0" w:rsidP="00D32BA4"/>
    <w:p w14:paraId="0B7B40B3" w14:textId="21FA671F" w:rsidR="00D32BA4" w:rsidRPr="006B42D6" w:rsidRDefault="00C0167A" w:rsidP="005D5E2A">
      <w:r w:rsidRPr="006B42D6">
        <w:rPr>
          <w:noProof/>
        </w:rPr>
        <w:lastRenderedPageBreak/>
        <mc:AlternateContent>
          <mc:Choice Requires="wps">
            <w:drawing>
              <wp:anchor distT="0" distB="0" distL="114300" distR="114300" simplePos="0" relativeHeight="251617280" behindDoc="0" locked="0" layoutInCell="1" allowOverlap="1" wp14:anchorId="5643E9B0" wp14:editId="120554E1">
                <wp:simplePos x="0" y="0"/>
                <wp:positionH relativeFrom="column">
                  <wp:posOffset>2940197</wp:posOffset>
                </wp:positionH>
                <wp:positionV relativeFrom="paragraph">
                  <wp:posOffset>-56515</wp:posOffset>
                </wp:positionV>
                <wp:extent cx="3007360" cy="521335"/>
                <wp:effectExtent l="0" t="0" r="2540" b="0"/>
                <wp:wrapTight wrapText="bothSides">
                  <wp:wrapPolygon edited="0">
                    <wp:start x="0" y="0"/>
                    <wp:lineTo x="0" y="21048"/>
                    <wp:lineTo x="21527" y="21048"/>
                    <wp:lineTo x="21527" y="0"/>
                    <wp:lineTo x="0" y="0"/>
                  </wp:wrapPolygon>
                </wp:wrapTight>
                <wp:docPr id="34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07360" cy="5213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5D28EE" w14:textId="122BEB43" w:rsidR="00933456" w:rsidRPr="003179E3" w:rsidRDefault="00933456" w:rsidP="003179E3">
                            <w:pPr>
                              <w:pStyle w:val="Caption"/>
                            </w:pPr>
                            <w:bookmarkStart w:id="124" w:name="_Toc80120187"/>
                            <w:bookmarkStart w:id="125" w:name="_Toc80884061"/>
                            <w:bookmarkStart w:id="126" w:name="_Toc80884432"/>
                            <w:bookmarkStart w:id="127" w:name="_Toc82386287"/>
                            <w:r w:rsidRPr="003179E3">
                              <w:t>Figure 3.10:</w:t>
                            </w:r>
                            <w:r>
                              <w:tab/>
                            </w:r>
                            <w:r w:rsidRPr="003179E3">
                              <w:t>Trend of Paddy Production by Smallholder Farmers in Three Consecutive Censuses, Tanzania</w:t>
                            </w:r>
                            <w:bookmarkEnd w:id="124"/>
                            <w:bookmarkEnd w:id="125"/>
                            <w:bookmarkEnd w:id="126"/>
                            <w:bookmarkEnd w:id="127"/>
                          </w:p>
                          <w:p w14:paraId="2FF7EBEF" w14:textId="77777777" w:rsidR="00933456" w:rsidRPr="003179E3" w:rsidRDefault="00933456" w:rsidP="003179E3">
                            <w:pPr>
                              <w:pStyle w:val="Caption"/>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43E9B0" id="Text Box 28" o:spid="_x0000_s1041" type="#_x0000_t202" style="position:absolute;left:0;text-align:left;margin-left:231.5pt;margin-top:-4.45pt;width:236.8pt;height:41.0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" stroked="f">
                <v:path arrowok="t"/>
                <v:textbox inset="0,0,0,0">
                  <w:txbxContent>
                    <w:p w14:paraId="2B5D28EE" w14:textId="122BEB43" w:rsidR="00933456" w:rsidRPr="003179E3" w:rsidRDefault="00933456" w:rsidP="003179E3">
                      <w:pPr>
                        <w:pStyle w:val="Caption"/>
                      </w:pPr>
                      <w:bookmarkStart w:id="172" w:name="_Toc80120187"/>
                      <w:bookmarkStart w:id="173" w:name="_Toc80884061"/>
                      <w:bookmarkStart w:id="174" w:name="_Toc80884432"/>
                      <w:bookmarkStart w:id="175" w:name="_Toc82386287"/>
                      <w:r w:rsidRPr="003179E3">
                        <w:t>Figure 3.10:</w:t>
                      </w:r>
                      <w:r>
                        <w:tab/>
                      </w:r>
                      <w:r w:rsidRPr="003179E3">
                        <w:t>Trend of Paddy Production by Smallholder Farmers in Three Consecutive Censuses, Tanzania</w:t>
                      </w:r>
                      <w:bookmarkEnd w:id="172"/>
                      <w:bookmarkEnd w:id="173"/>
                      <w:bookmarkEnd w:id="174"/>
                      <w:bookmarkEnd w:id="175"/>
                    </w:p>
                    <w:p w14:paraId="2FF7EBEF" w14:textId="77777777" w:rsidR="00933456" w:rsidRPr="003179E3" w:rsidRDefault="00933456" w:rsidP="003179E3">
                      <w:pPr>
                        <w:pStyle w:val="Caption"/>
                      </w:pPr>
                    </w:p>
                  </w:txbxContent>
                </v:textbox>
                <w10:wrap type="tight"/>
              </v:shape>
            </w:pict>
          </mc:Fallback>
        </mc:AlternateContent>
      </w:r>
      <w:r w:rsidR="00310F42" w:rsidRPr="006B42D6">
        <w:rPr>
          <w:noProof/>
        </w:rPr>
        <w:drawing>
          <wp:anchor distT="0" distB="2159" distL="114300" distR="114554" simplePos="0" relativeHeight="251650048" behindDoc="1" locked="0" layoutInCell="1" allowOverlap="1" wp14:anchorId="157E9EB0" wp14:editId="29C8F149">
            <wp:simplePos x="0" y="0"/>
            <wp:positionH relativeFrom="column">
              <wp:posOffset>2938389</wp:posOffset>
            </wp:positionH>
            <wp:positionV relativeFrom="paragraph">
              <wp:posOffset>544830</wp:posOffset>
            </wp:positionV>
            <wp:extent cx="2790825" cy="1788160"/>
            <wp:effectExtent l="0" t="0" r="15875" b="15240"/>
            <wp:wrapTight wrapText="bothSides">
              <wp:wrapPolygon edited="0">
                <wp:start x="0" y="0"/>
                <wp:lineTo x="0" y="21631"/>
                <wp:lineTo x="21625" y="21631"/>
                <wp:lineTo x="21625" y="0"/>
                <wp:lineTo x="0" y="0"/>
              </wp:wrapPolygon>
            </wp:wrapTight>
            <wp:docPr id="228" name="Chart 1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14:sizeRelH relativeFrom="page">
              <wp14:pctWidth>0</wp14:pctWidth>
            </wp14:sizeRelH>
            <wp14:sizeRelV relativeFrom="page">
              <wp14:pctHeight>0</wp14:pctHeight>
            </wp14:sizeRelV>
          </wp:anchor>
        </w:drawing>
      </w:r>
      <w:r w:rsidR="00833DCA">
        <w:rPr>
          <w:noProof/>
        </w:rPr>
        <w:t>The 2019/20 NSCA results shows an increase in paddy production by more than 100 percent as compared to 2007/08 NSCA, from 1,431,946 tons reported in 2007/08 to 3,380,715 tons in 2019/20</w:t>
      </w:r>
      <w:r w:rsidR="00D32BA4" w:rsidRPr="006B42D6">
        <w:t xml:space="preserve"> (Figure 3.10).</w:t>
      </w:r>
    </w:p>
    <w:p w14:paraId="7857D8E1" w14:textId="6185EE27" w:rsidR="00D32BA4" w:rsidRPr="006B42D6" w:rsidRDefault="00D32BA4" w:rsidP="00D32BA4"/>
    <w:p w14:paraId="6AD23623" w14:textId="315C42AE" w:rsidR="00D32BA4" w:rsidRPr="006B42D6" w:rsidRDefault="00D32BA4" w:rsidP="00D32BA4"/>
    <w:p w14:paraId="01595043" w14:textId="3901490D" w:rsidR="00D32BA4" w:rsidRDefault="00D32BA4" w:rsidP="00D32BA4"/>
    <w:p w14:paraId="015C3BB0" w14:textId="77777777" w:rsidR="00310F42" w:rsidRPr="006B42D6" w:rsidRDefault="00310F42" w:rsidP="00D32BA4"/>
    <w:p w14:paraId="3E3B3271" w14:textId="215D4E51" w:rsidR="00E16412" w:rsidRPr="006B42D6" w:rsidRDefault="00E16412" w:rsidP="005C2EFC">
      <w:pPr>
        <w:pStyle w:val="Heading4"/>
      </w:pPr>
      <w:bookmarkStart w:id="128" w:name="_Toc82385647"/>
      <w:r w:rsidRPr="006B42D6">
        <w:t>3.</w:t>
      </w:r>
      <w:r w:rsidR="001174B4">
        <w:t>1</w:t>
      </w:r>
      <w:r w:rsidRPr="006B42D6">
        <w:t>.1.3</w:t>
      </w:r>
      <w:r w:rsidR="00E763F5" w:rsidRPr="006B42D6">
        <w:tab/>
      </w:r>
      <w:r w:rsidRPr="006B42D6">
        <w:t>Sorghum</w:t>
      </w:r>
      <w:bookmarkEnd w:id="128"/>
    </w:p>
    <w:p w14:paraId="3F535CE4" w14:textId="64CCE986" w:rsidR="00B857FB" w:rsidRDefault="00B857FB" w:rsidP="00E03B53">
      <w:r w:rsidRPr="006B42D6">
        <w:t xml:space="preserve">Sorghum is among the cereal crops produced in Tanzania by smallholder farmers especially in </w:t>
      </w:r>
      <w:r w:rsidR="00EA1552">
        <w:t>Mainland Tanzania</w:t>
      </w:r>
      <w:r w:rsidRPr="006B42D6">
        <w:t xml:space="preserve">. The 2019/20 NSCA results show that, sorghum was grown by 122,780 households in Tanzania during short rainy season (122,695 in </w:t>
      </w:r>
      <w:r w:rsidR="00EA1552">
        <w:t>Mainland Tanzania</w:t>
      </w:r>
      <w:r w:rsidRPr="006B42D6">
        <w:t xml:space="preserve"> and 85 in</w:t>
      </w:r>
      <w:r w:rsidR="005E3ABB" w:rsidRPr="006B42D6">
        <w:t xml:space="preserve"> Tanzania</w:t>
      </w:r>
      <w:r w:rsidRPr="006B42D6">
        <w:t xml:space="preserve"> Zanzibar) and 552,250 households during long rainy season (551,817 households in </w:t>
      </w:r>
      <w:r w:rsidR="00EA1552">
        <w:t>Mainland Tanzania</w:t>
      </w:r>
      <w:r w:rsidRPr="006B42D6">
        <w:t xml:space="preserve"> and 433 households in </w:t>
      </w:r>
      <w:r w:rsidR="005E3ABB" w:rsidRPr="006B42D6">
        <w:t xml:space="preserve">Tanzania </w:t>
      </w:r>
      <w:r w:rsidRPr="006B42D6">
        <w:t xml:space="preserve">Zanzibar). </w:t>
      </w:r>
    </w:p>
    <w:p w14:paraId="2427B4DD" w14:textId="77777777" w:rsidR="007936A7" w:rsidRPr="006B42D6" w:rsidRDefault="007936A7" w:rsidP="00FD301E">
      <w:pPr>
        <w:spacing w:line="240" w:lineRule="auto"/>
      </w:pPr>
    </w:p>
    <w:p w14:paraId="7C1F6799" w14:textId="6B8961F6" w:rsidR="00B857FB" w:rsidRDefault="00B857FB" w:rsidP="00E03B53">
      <w:r w:rsidRPr="006B42D6">
        <w:t>Sorghum was grown in a total area of 514,435 ha in Tanzania</w:t>
      </w:r>
      <w:r w:rsidR="005E3ABB" w:rsidRPr="006B42D6">
        <w:t>,</w:t>
      </w:r>
      <w:r w:rsidRPr="006B42D6">
        <w:t xml:space="preserve"> of which 512,888 ha </w:t>
      </w:r>
      <w:r w:rsidR="00F46C34" w:rsidRPr="006B42D6">
        <w:t xml:space="preserve">were </w:t>
      </w:r>
      <w:r w:rsidRPr="006B42D6">
        <w:t xml:space="preserve">occupied by smallholder farmers and 1,547 ha occupied by large scale farms. Out of the total planted area occupied by smallholder farmers, 512,767 ha were in </w:t>
      </w:r>
      <w:r w:rsidR="00EA1552">
        <w:t>Mainland Tanzania</w:t>
      </w:r>
      <w:r w:rsidRPr="006B42D6">
        <w:t xml:space="preserve"> and 121 ha were in </w:t>
      </w:r>
      <w:r w:rsidR="005E3ABB" w:rsidRPr="006B42D6">
        <w:t xml:space="preserve">Tanzania </w:t>
      </w:r>
      <w:r w:rsidRPr="006B42D6">
        <w:t xml:space="preserve">Zanzibar. Looking on the planted area with sorghum in </w:t>
      </w:r>
      <w:r w:rsidR="00EA1552">
        <w:t>Mainland Tanzania</w:t>
      </w:r>
      <w:r w:rsidRPr="006B42D6">
        <w:t>, the largest area was observed in Dodoma</w:t>
      </w:r>
      <w:r w:rsidR="005E3ABB" w:rsidRPr="006B42D6">
        <w:t xml:space="preserve"> region</w:t>
      </w:r>
      <w:r w:rsidRPr="006B42D6">
        <w:t xml:space="preserve"> (203,783 ha; 39.7 percent), followed by Singida (60,548 ha; 11.8 percent) and Songwe (54,914 ha; 10.7 percent)</w:t>
      </w:r>
      <w:r w:rsidR="003B387D" w:rsidRPr="006B42D6">
        <w:t xml:space="preserve"> (Figure 3.11)</w:t>
      </w:r>
      <w:r w:rsidR="005E3ABB" w:rsidRPr="006B42D6">
        <w:t xml:space="preserve">. </w:t>
      </w:r>
      <w:r w:rsidRPr="006B42D6">
        <w:t xml:space="preserve">In </w:t>
      </w:r>
      <w:r w:rsidR="005E3ABB" w:rsidRPr="006B42D6">
        <w:t xml:space="preserve">Tanzania </w:t>
      </w:r>
      <w:r w:rsidRPr="006B42D6">
        <w:t xml:space="preserve">Zanzibar, sorghum was grown </w:t>
      </w:r>
      <w:r w:rsidR="005E3ABB" w:rsidRPr="006B42D6">
        <w:t xml:space="preserve">only in </w:t>
      </w:r>
      <w:r w:rsidRPr="006B42D6">
        <w:t xml:space="preserve">Kaskazini Unguja </w:t>
      </w:r>
      <w:r w:rsidR="005E3ABB" w:rsidRPr="006B42D6">
        <w:t>region</w:t>
      </w:r>
      <w:r w:rsidRPr="006B42D6">
        <w:t xml:space="preserve"> </w:t>
      </w:r>
      <w:r w:rsidR="005E3ABB" w:rsidRPr="006B42D6">
        <w:t>(</w:t>
      </w:r>
      <w:r w:rsidRPr="006B42D6">
        <w:t>20 ha</w:t>
      </w:r>
      <w:r w:rsidR="005E3ABB" w:rsidRPr="006B42D6">
        <w:t>)</w:t>
      </w:r>
      <w:r w:rsidRPr="006B42D6">
        <w:t xml:space="preserve"> and Kaskazini Pemba </w:t>
      </w:r>
      <w:r w:rsidR="005E3ABB" w:rsidRPr="006B42D6">
        <w:t>(</w:t>
      </w:r>
      <w:r w:rsidRPr="006B42D6">
        <w:t>101 ha</w:t>
      </w:r>
      <w:r w:rsidR="005E3ABB" w:rsidRPr="006B42D6">
        <w:t>)</w:t>
      </w:r>
      <w:r w:rsidR="003B387D" w:rsidRPr="006B42D6">
        <w:t>.</w:t>
      </w:r>
      <w:r w:rsidRPr="006B42D6">
        <w:t xml:space="preserve"> </w:t>
      </w:r>
    </w:p>
    <w:p w14:paraId="10800EA9" w14:textId="77777777" w:rsidR="00E03B53" w:rsidRPr="006B42D6" w:rsidRDefault="00E03B53" w:rsidP="00E03B53">
      <w:pPr>
        <w:spacing w:line="240" w:lineRule="auto"/>
      </w:pPr>
    </w:p>
    <w:p w14:paraId="5BD65171" w14:textId="1BBF1947" w:rsidR="00B857FB" w:rsidRDefault="00B857FB" w:rsidP="00E03B53">
      <w:r w:rsidRPr="006B42D6">
        <w:t xml:space="preserve">Likewise, the total </w:t>
      </w:r>
      <w:r w:rsidR="00222026" w:rsidRPr="006B42D6">
        <w:t xml:space="preserve">harvested </w:t>
      </w:r>
      <w:r w:rsidRPr="006B42D6">
        <w:t>area of sorghum in Tanzania by smallholder farmers was 447,567 ha</w:t>
      </w:r>
      <w:r w:rsidR="00222026" w:rsidRPr="006B42D6">
        <w:t>,</w:t>
      </w:r>
      <w:r w:rsidRPr="006B42D6">
        <w:t xml:space="preserve"> of which 447,47</w:t>
      </w:r>
      <w:r w:rsidR="00222026" w:rsidRPr="006B42D6">
        <w:t>5</w:t>
      </w:r>
      <w:r w:rsidRPr="006B42D6">
        <w:t xml:space="preserve"> ha was in </w:t>
      </w:r>
      <w:r w:rsidR="00EA1552">
        <w:t>Mainland Tanzania</w:t>
      </w:r>
      <w:r w:rsidRPr="006B42D6">
        <w:t xml:space="preserve"> and 92 ha in </w:t>
      </w:r>
      <w:r w:rsidR="005E3ABB" w:rsidRPr="006B42D6">
        <w:t xml:space="preserve">Tanzania </w:t>
      </w:r>
      <w:r w:rsidRPr="006B42D6">
        <w:t>Zanzibar. The Census results also show that, the total harvested area was 87</w:t>
      </w:r>
      <w:r w:rsidR="00222026" w:rsidRPr="006B42D6">
        <w:t>.3</w:t>
      </w:r>
      <w:r w:rsidRPr="006B42D6">
        <w:t xml:space="preserve"> percent of the total planted area with sorghum by smallholder farmers. </w:t>
      </w:r>
    </w:p>
    <w:p w14:paraId="0D396EE5" w14:textId="77777777" w:rsidR="00E03B53" w:rsidRPr="006B42D6" w:rsidRDefault="00E03B53" w:rsidP="00E03B53">
      <w:pPr>
        <w:spacing w:line="240" w:lineRule="auto"/>
      </w:pPr>
    </w:p>
    <w:p w14:paraId="4C296EDC" w14:textId="77777777" w:rsidR="007936A7" w:rsidRDefault="007936A7">
      <w:pPr>
        <w:spacing w:line="240" w:lineRule="auto"/>
        <w:contextualSpacing w:val="0"/>
        <w:jc w:val="left"/>
        <w:rPr>
          <w:b/>
          <w:iCs/>
          <w:sz w:val="18"/>
          <w:szCs w:val="18"/>
        </w:rPr>
      </w:pPr>
      <w:r>
        <w:br w:type="page"/>
      </w:r>
    </w:p>
    <w:p w14:paraId="36F72A6B" w14:textId="3CB7B0E4" w:rsidR="00E16412" w:rsidRPr="006B42D6" w:rsidRDefault="00E16412" w:rsidP="00DA6451">
      <w:pPr>
        <w:pStyle w:val="Caption"/>
        <w:rPr>
          <w:b w:val="0"/>
          <w:i/>
        </w:rPr>
      </w:pPr>
      <w:bookmarkStart w:id="129" w:name="_Toc82386288"/>
      <w:r w:rsidRPr="006B42D6">
        <w:lastRenderedPageBreak/>
        <w:t>Figure 3.11</w:t>
      </w:r>
      <w:r w:rsidR="00671693">
        <w:t>:</w:t>
      </w:r>
      <w:r w:rsidR="00E03B53">
        <w:tab/>
      </w:r>
      <w:r w:rsidRPr="006B42D6">
        <w:t xml:space="preserve">Planted and Harvested Area with Sorghum by </w:t>
      </w:r>
      <w:r w:rsidR="00BC400D" w:rsidRPr="006B42D6">
        <w:t xml:space="preserve">Smallholder Farmers </w:t>
      </w:r>
      <w:r w:rsidRPr="006B42D6">
        <w:t xml:space="preserve">by Region </w:t>
      </w:r>
      <w:r w:rsidR="00BC400D" w:rsidRPr="006B42D6">
        <w:t>During Agricultural Year</w:t>
      </w:r>
      <w:r w:rsidR="00222026" w:rsidRPr="006B42D6">
        <w:t xml:space="preserve">, </w:t>
      </w:r>
      <w:r w:rsidR="00EA1552">
        <w:t>Mainland Tanzania</w:t>
      </w:r>
      <w:bookmarkEnd w:id="129"/>
    </w:p>
    <w:p w14:paraId="43232011" w14:textId="6F0E7584" w:rsidR="00E16412" w:rsidRPr="006B42D6" w:rsidRDefault="001B26AC" w:rsidP="005C2EFC">
      <w:r w:rsidRPr="006B42D6">
        <w:rPr>
          <w:noProof/>
        </w:rPr>
        <w:drawing>
          <wp:inline distT="0" distB="0" distL="0" distR="0" wp14:anchorId="7F702DEA" wp14:editId="6A2C31DC">
            <wp:extent cx="5705231" cy="2650490"/>
            <wp:effectExtent l="0" t="0" r="10160" b="16510"/>
            <wp:docPr id="139" name="Chart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14:paraId="3A508F82" w14:textId="77777777" w:rsidR="007936A7" w:rsidRDefault="007936A7" w:rsidP="00FD301E">
      <w:pPr>
        <w:spacing w:line="240" w:lineRule="auto"/>
      </w:pPr>
    </w:p>
    <w:p w14:paraId="4D78CE23" w14:textId="6C8EB8B3" w:rsidR="00B857FB" w:rsidRDefault="00B857FB" w:rsidP="00E03B53">
      <w:r w:rsidRPr="006B42D6">
        <w:t>The total quantity of sorghum produced in Tanzania was 650,499 tons</w:t>
      </w:r>
      <w:r w:rsidR="003B387D" w:rsidRPr="006B42D6">
        <w:t>,</w:t>
      </w:r>
      <w:r w:rsidRPr="006B42D6">
        <w:t xml:space="preserve"> out of which 601,470 tons </w:t>
      </w:r>
      <w:r w:rsidR="003B387D" w:rsidRPr="006B42D6">
        <w:t>were</w:t>
      </w:r>
      <w:r w:rsidRPr="006B42D6">
        <w:t xml:space="preserve"> produced by smallholder farmers and 49,029 tons from large scale farms. </w:t>
      </w:r>
      <w:r w:rsidR="003B387D" w:rsidRPr="006B42D6">
        <w:t>Moreover</w:t>
      </w:r>
      <w:r w:rsidRPr="006B42D6">
        <w:t xml:space="preserve">, out of the production of sorghum by </w:t>
      </w:r>
      <w:r w:rsidR="00222026" w:rsidRPr="006B42D6">
        <w:t>s</w:t>
      </w:r>
      <w:r w:rsidRPr="006B42D6">
        <w:t xml:space="preserve">mallholder </w:t>
      </w:r>
      <w:r w:rsidR="00222026" w:rsidRPr="006B42D6">
        <w:t>f</w:t>
      </w:r>
      <w:r w:rsidRPr="006B42D6">
        <w:t xml:space="preserve">armers, 601,390 tons </w:t>
      </w:r>
      <w:r w:rsidR="003B387D" w:rsidRPr="006B42D6">
        <w:t>were</w:t>
      </w:r>
      <w:r w:rsidRPr="006B42D6">
        <w:t xml:space="preserve"> in </w:t>
      </w:r>
      <w:r w:rsidR="00EA1552">
        <w:t>Mainland Tanzania</w:t>
      </w:r>
      <w:r w:rsidRPr="006B42D6">
        <w:t xml:space="preserve"> and 80 tons </w:t>
      </w:r>
      <w:r w:rsidR="003B387D" w:rsidRPr="006B42D6">
        <w:t>were</w:t>
      </w:r>
      <w:r w:rsidRPr="006B42D6">
        <w:t xml:space="preserve"> </w:t>
      </w:r>
      <w:r w:rsidR="003B387D" w:rsidRPr="006B42D6">
        <w:t>in</w:t>
      </w:r>
      <w:r w:rsidRPr="006B42D6">
        <w:t xml:space="preserve"> </w:t>
      </w:r>
      <w:r w:rsidR="00222026" w:rsidRPr="006B42D6">
        <w:t xml:space="preserve">Tanzania </w:t>
      </w:r>
      <w:r w:rsidRPr="006B42D6">
        <w:t xml:space="preserve">Zanzibar. Among the regions growing sorghum in </w:t>
      </w:r>
      <w:r w:rsidR="00EA1552">
        <w:t>Mainland Tanzania</w:t>
      </w:r>
      <w:r w:rsidRPr="006B42D6">
        <w:t xml:space="preserve">, Dodoma </w:t>
      </w:r>
      <w:r w:rsidR="003B387D" w:rsidRPr="006B42D6">
        <w:t>had the highest production (</w:t>
      </w:r>
      <w:r w:rsidRPr="006B42D6">
        <w:t>255,262 tons</w:t>
      </w:r>
      <w:r w:rsidR="003B387D" w:rsidRPr="006B42D6">
        <w:t xml:space="preserve">; </w:t>
      </w:r>
      <w:r w:rsidRPr="006B42D6">
        <w:t>42.4 percent), followed by Songwe (72,960 tons; 12.1 percent) and Singida (65,646 tons; 10.9 percent)</w:t>
      </w:r>
      <w:r w:rsidR="00F46C34" w:rsidRPr="006B42D6">
        <w:t>,</w:t>
      </w:r>
      <w:r w:rsidRPr="006B42D6">
        <w:t xml:space="preserve"> while the lowest production </w:t>
      </w:r>
      <w:r w:rsidR="003B387D" w:rsidRPr="006B42D6">
        <w:t>was reported in Ruvuma region (</w:t>
      </w:r>
      <w:r w:rsidRPr="006B42D6">
        <w:t>74 tons</w:t>
      </w:r>
      <w:r w:rsidR="003B387D" w:rsidRPr="006B42D6">
        <w:t xml:space="preserve">; </w:t>
      </w:r>
      <w:r w:rsidRPr="006B42D6">
        <w:t>0.01 percent)</w:t>
      </w:r>
      <w:r w:rsidR="003B387D" w:rsidRPr="006B42D6">
        <w:t xml:space="preserve">. </w:t>
      </w:r>
      <w:r w:rsidRPr="006B42D6">
        <w:t xml:space="preserve">In </w:t>
      </w:r>
      <w:r w:rsidR="003B387D" w:rsidRPr="006B42D6">
        <w:t xml:space="preserve">Tanzania </w:t>
      </w:r>
      <w:r w:rsidRPr="006B42D6">
        <w:t>Zanzibar, Kaskazini Pemba was the only region which produced sorghum with 80 tons</w:t>
      </w:r>
      <w:r w:rsidR="009055E5" w:rsidRPr="006B42D6">
        <w:t>.</w:t>
      </w:r>
    </w:p>
    <w:p w14:paraId="11E2E7F3" w14:textId="77777777" w:rsidR="00E03B53" w:rsidRPr="006B42D6" w:rsidRDefault="00E03B53" w:rsidP="00E03B53">
      <w:pPr>
        <w:spacing w:line="240" w:lineRule="auto"/>
      </w:pPr>
    </w:p>
    <w:p w14:paraId="2E88ECE8" w14:textId="3F389C03" w:rsidR="00B857FB" w:rsidRPr="006B42D6" w:rsidRDefault="009055E5" w:rsidP="00E03B53">
      <w:r w:rsidRPr="006B42D6">
        <w:t>Furthermore</w:t>
      </w:r>
      <w:r w:rsidR="00B857FB" w:rsidRPr="006B42D6">
        <w:t xml:space="preserve">, the results indicate that, the average productivity of sorghum reported at the national level was 1.3 tons/ha. While sorghum productivity for </w:t>
      </w:r>
      <w:r w:rsidR="00EA1552">
        <w:t>Mainland Tanzania</w:t>
      </w:r>
      <w:r w:rsidR="00B857FB" w:rsidRPr="006B42D6">
        <w:t xml:space="preserve"> was 1.3 tons/ha, that of </w:t>
      </w:r>
      <w:r w:rsidRPr="006B42D6">
        <w:t xml:space="preserve">Tanzania </w:t>
      </w:r>
      <w:r w:rsidR="00B857FB" w:rsidRPr="006B42D6">
        <w:t>Zanzibar was 0.9 tons/ha. In Mainland, the highest productivity was reported in Kigoma with 1.8 tons/ha, followed by Iringa (1.7 tons/ha) and Morogoro (1.5 tons/ha). The lowest yield of 0.6 tons/ha was reported in Dar es Salaam region, followed by Njombe (0.8 tons/ha)</w:t>
      </w:r>
      <w:r w:rsidRPr="006B42D6">
        <w:t>.</w:t>
      </w:r>
      <w:r w:rsidR="00B857FB" w:rsidRPr="006B42D6">
        <w:t xml:space="preserve"> </w:t>
      </w:r>
      <w:r w:rsidRPr="006B42D6">
        <w:t xml:space="preserve">Although Dodoma, Songwe and Singida regions were top three in sorghum production each with a yield of 1.4 tons/ha, but the highest yield was observed in Kigoma region with 1.8 tons/ha </w:t>
      </w:r>
      <w:r w:rsidR="00B857FB" w:rsidRPr="006B42D6">
        <w:t>(Figure 3.1</w:t>
      </w:r>
      <w:r w:rsidRPr="006B42D6">
        <w:t>2</w:t>
      </w:r>
      <w:r w:rsidR="00B857FB" w:rsidRPr="006B42D6">
        <w:t xml:space="preserve">). In </w:t>
      </w:r>
      <w:r w:rsidRPr="006B42D6">
        <w:t xml:space="preserve">Tanzania </w:t>
      </w:r>
      <w:r w:rsidR="00B857FB" w:rsidRPr="006B42D6">
        <w:t xml:space="preserve">Zanzibar, sorghum was harvested only in Kaskazini Pemba with an average yield of 0.9 tons/ha. </w:t>
      </w:r>
    </w:p>
    <w:p w14:paraId="5209A18E" w14:textId="77777777" w:rsidR="00DA6451" w:rsidRPr="006B42D6" w:rsidRDefault="00DA6451" w:rsidP="00E03B53">
      <w:pPr>
        <w:spacing w:before="240" w:line="240" w:lineRule="auto"/>
      </w:pPr>
    </w:p>
    <w:p w14:paraId="513473EE" w14:textId="77777777" w:rsidR="00671693" w:rsidRDefault="00671693" w:rsidP="00DA6451">
      <w:pPr>
        <w:pStyle w:val="Caption"/>
      </w:pPr>
    </w:p>
    <w:p w14:paraId="370FED70" w14:textId="77777777" w:rsidR="00FD301E" w:rsidRDefault="00FD301E">
      <w:pPr>
        <w:spacing w:line="240" w:lineRule="auto"/>
        <w:contextualSpacing w:val="0"/>
        <w:jc w:val="left"/>
        <w:rPr>
          <w:b/>
          <w:iCs/>
          <w:color w:val="000000" w:themeColor="text1"/>
          <w:sz w:val="20"/>
          <w:szCs w:val="18"/>
        </w:rPr>
      </w:pPr>
      <w:r>
        <w:br w:type="page"/>
      </w:r>
    </w:p>
    <w:p w14:paraId="74CA654B" w14:textId="782B7AB8" w:rsidR="00E16412" w:rsidRPr="006B42D6" w:rsidRDefault="00E16412" w:rsidP="00DA6451">
      <w:pPr>
        <w:pStyle w:val="Caption"/>
      </w:pPr>
      <w:bookmarkStart w:id="130" w:name="_Toc82386289"/>
      <w:r w:rsidRPr="006B42D6">
        <w:lastRenderedPageBreak/>
        <w:t>Figure 3.1</w:t>
      </w:r>
      <w:r w:rsidR="009055E5" w:rsidRPr="006B42D6">
        <w:t>2</w:t>
      </w:r>
      <w:r w:rsidR="00671693">
        <w:t>:</w:t>
      </w:r>
      <w:r w:rsidR="00E03B53">
        <w:tab/>
      </w:r>
      <w:r w:rsidRPr="006B42D6">
        <w:t xml:space="preserve">Production and Yield of Sorghum </w:t>
      </w:r>
      <w:r w:rsidR="00833DCA">
        <w:t xml:space="preserve">by Smallholder Farmers </w:t>
      </w:r>
      <w:r w:rsidR="00BC400D" w:rsidRPr="006B42D6">
        <w:t>D</w:t>
      </w:r>
      <w:r w:rsidRPr="006B42D6">
        <w:t xml:space="preserve">uring 2019/20 </w:t>
      </w:r>
      <w:r w:rsidR="00BC400D" w:rsidRPr="006B42D6">
        <w:t>Agricultural Year</w:t>
      </w:r>
      <w:r w:rsidR="009055E5" w:rsidRPr="006B42D6">
        <w:t xml:space="preserve">, </w:t>
      </w:r>
      <w:r w:rsidR="00EA1552">
        <w:t>Mainland Tanzania</w:t>
      </w:r>
      <w:bookmarkEnd w:id="130"/>
    </w:p>
    <w:p w14:paraId="46E33AC4" w14:textId="394EA5A6" w:rsidR="007936A7" w:rsidRDefault="001B26AC" w:rsidP="005C2EFC">
      <w:r w:rsidRPr="006B42D6">
        <w:rPr>
          <w:noProof/>
          <w:sz w:val="134"/>
          <w:szCs w:val="134"/>
        </w:rPr>
        <w:drawing>
          <wp:inline distT="0" distB="0" distL="0" distR="0" wp14:anchorId="1B20A23B" wp14:editId="24EB3598">
            <wp:extent cx="5720862" cy="2420620"/>
            <wp:effectExtent l="0" t="0" r="6985" b="17780"/>
            <wp:docPr id="138" name="Chart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p w14:paraId="1935B03E" w14:textId="77777777" w:rsidR="005F4FD7" w:rsidRPr="006B42D6" w:rsidRDefault="005F4FD7" w:rsidP="005C2EFC"/>
    <w:p w14:paraId="195B94CE" w14:textId="4781C2CC" w:rsidR="009F0BCF" w:rsidRPr="00EC4C0F" w:rsidRDefault="009F0BCF" w:rsidP="00EC4C0F">
      <w:pPr>
        <w:pStyle w:val="MapNew"/>
      </w:pPr>
      <w:bookmarkStart w:id="131" w:name="_Toc80901878"/>
      <w:bookmarkStart w:id="132" w:name="_Toc80902552"/>
      <w:bookmarkStart w:id="133" w:name="_Toc82386470"/>
      <w:r w:rsidRPr="00EC4C0F">
        <w:rPr>
          <w:rStyle w:val="BookTitle"/>
          <w:rFonts w:ascii="Times New Roman" w:hAnsi="Times New Roman"/>
          <w:b/>
          <w:bCs w:val="0"/>
          <w:iCs/>
          <w:spacing w:val="0"/>
        </w:rPr>
        <w:t>Map 3.3</w:t>
      </w:r>
      <w:r w:rsidR="00EC4C0F" w:rsidRPr="00EC4C0F">
        <w:rPr>
          <w:rStyle w:val="BookTitle"/>
          <w:rFonts w:ascii="Times New Roman" w:hAnsi="Times New Roman"/>
          <w:b/>
          <w:bCs w:val="0"/>
          <w:iCs/>
          <w:spacing w:val="0"/>
        </w:rPr>
        <w:t>:</w:t>
      </w:r>
      <w:r w:rsidR="007936A7" w:rsidRPr="00EC4C0F">
        <w:rPr>
          <w:rStyle w:val="BookTitle"/>
          <w:rFonts w:ascii="Times New Roman" w:hAnsi="Times New Roman"/>
          <w:b/>
          <w:bCs w:val="0"/>
          <w:iCs/>
          <w:spacing w:val="0"/>
        </w:rPr>
        <w:tab/>
      </w:r>
      <w:r w:rsidRPr="00EC4C0F">
        <w:rPr>
          <w:rStyle w:val="BookTitle"/>
          <w:rFonts w:ascii="Times New Roman" w:hAnsi="Times New Roman"/>
          <w:b/>
          <w:bCs w:val="0"/>
          <w:iCs/>
          <w:spacing w:val="0"/>
        </w:rPr>
        <w:t>Production of Sorghum (tons) by Region During 2019/20 Agricultural Year, Tanzania</w:t>
      </w:r>
      <w:bookmarkEnd w:id="131"/>
      <w:bookmarkEnd w:id="132"/>
      <w:bookmarkEnd w:id="133"/>
    </w:p>
    <w:p w14:paraId="222395A4" w14:textId="531C752D" w:rsidR="000F0F78" w:rsidRPr="006B42D6" w:rsidRDefault="001E2D27" w:rsidP="005C2EFC">
      <w:r>
        <w:rPr>
          <w:noProof/>
        </w:rPr>
        <w:drawing>
          <wp:inline distT="0" distB="0" distL="0" distR="0" wp14:anchorId="05C83151" wp14:editId="45609185">
            <wp:extent cx="5822462" cy="4221480"/>
            <wp:effectExtent l="0" t="0" r="0" b="0"/>
            <wp:docPr id="4472" name="Picture 4472"/>
            <wp:cNvGraphicFramePr/>
            <a:graphic xmlns:a="http://schemas.openxmlformats.org/drawingml/2006/main">
              <a:graphicData uri="http://schemas.openxmlformats.org/drawingml/2006/picture">
                <pic:pic xmlns:pic="http://schemas.openxmlformats.org/drawingml/2006/picture">
                  <pic:nvPicPr>
                    <pic:cNvPr id="4472" name="Picture 4472"/>
                    <pic:cNvPicPr/>
                  </pic:nvPicPr>
                  <pic:blipFill>
                    <a:blip r:embed="rId161"/>
                    <a:stretch>
                      <a:fillRect/>
                    </a:stretch>
                  </pic:blipFill>
                  <pic:spPr>
                    <a:xfrm>
                      <a:off x="0" y="0"/>
                      <a:ext cx="5825821" cy="4223915"/>
                    </a:xfrm>
                    <a:prstGeom prst="rect">
                      <a:avLst/>
                    </a:prstGeom>
                  </pic:spPr>
                </pic:pic>
              </a:graphicData>
            </a:graphic>
          </wp:inline>
        </w:drawing>
      </w:r>
    </w:p>
    <w:p w14:paraId="431C78D2" w14:textId="593AE048" w:rsidR="000F0F78" w:rsidRDefault="000F0F78" w:rsidP="005C2EFC"/>
    <w:p w14:paraId="42BB1561" w14:textId="3BB6F352" w:rsidR="005F4FD7" w:rsidRDefault="005F4FD7">
      <w:pPr>
        <w:spacing w:line="240" w:lineRule="auto"/>
        <w:contextualSpacing w:val="0"/>
        <w:jc w:val="left"/>
      </w:pPr>
      <w:r>
        <w:br w:type="page"/>
      </w:r>
    </w:p>
    <w:p w14:paraId="075A792F" w14:textId="037C2075" w:rsidR="00E16412" w:rsidRPr="006B42D6" w:rsidRDefault="00C0167A" w:rsidP="005C2EFC">
      <w:pPr>
        <w:adjustRightInd w:val="0"/>
      </w:pPr>
      <w:r>
        <w:rPr>
          <w:noProof/>
        </w:rPr>
        <w:lastRenderedPageBreak/>
        <mc:AlternateContent>
          <mc:Choice Requires="wps">
            <w:drawing>
              <wp:anchor distT="0" distB="0" distL="114300" distR="114300" simplePos="0" relativeHeight="251725824" behindDoc="0" locked="0" layoutInCell="1" allowOverlap="1" wp14:anchorId="1680689A" wp14:editId="2145D6BF">
                <wp:simplePos x="0" y="0"/>
                <wp:positionH relativeFrom="column">
                  <wp:posOffset>2891155</wp:posOffset>
                </wp:positionH>
                <wp:positionV relativeFrom="paragraph">
                  <wp:posOffset>31115</wp:posOffset>
                </wp:positionV>
                <wp:extent cx="2961640" cy="456565"/>
                <wp:effectExtent l="0" t="0" r="0" b="635"/>
                <wp:wrapTight wrapText="bothSides">
                  <wp:wrapPolygon edited="0">
                    <wp:start x="0" y="0"/>
                    <wp:lineTo x="0" y="21029"/>
                    <wp:lineTo x="21489" y="21029"/>
                    <wp:lineTo x="21489" y="0"/>
                    <wp:lineTo x="0" y="0"/>
                  </wp:wrapPolygon>
                </wp:wrapTight>
                <wp:docPr id="28" name="Text Box 28"/>
                <wp:cNvGraphicFramePr/>
                <a:graphic xmlns:a="http://schemas.openxmlformats.org/drawingml/2006/main">
                  <a:graphicData uri="http://schemas.microsoft.com/office/word/2010/wordprocessingShape">
                    <wps:wsp>
                      <wps:cNvSpPr txBox="1"/>
                      <wps:spPr>
                        <a:xfrm>
                          <a:off x="0" y="0"/>
                          <a:ext cx="2961640" cy="456565"/>
                        </a:xfrm>
                        <a:prstGeom prst="rect">
                          <a:avLst/>
                        </a:prstGeom>
                        <a:solidFill>
                          <a:prstClr val="white"/>
                        </a:solidFill>
                        <a:ln>
                          <a:noFill/>
                        </a:ln>
                      </wps:spPr>
                      <wps:txbx>
                        <w:txbxContent>
                          <w:p w14:paraId="55EE1D9B" w14:textId="12E2D873" w:rsidR="00933456" w:rsidRPr="00C47FD7" w:rsidRDefault="00933456" w:rsidP="00C47FD7">
                            <w:pPr>
                              <w:pStyle w:val="Caption"/>
                            </w:pPr>
                            <w:bookmarkStart w:id="134" w:name="_Toc80120190"/>
                            <w:bookmarkStart w:id="135" w:name="_Toc80884064"/>
                            <w:bookmarkStart w:id="136" w:name="_Toc80884435"/>
                            <w:bookmarkStart w:id="137" w:name="_Toc82386290"/>
                            <w:r w:rsidRPr="00C47FD7">
                              <w:t>Figure 3.13:</w:t>
                            </w:r>
                            <w:r w:rsidRPr="00C47FD7">
                              <w:tab/>
                              <w:t>Trend of Sorghum Production by Smallholder Farmers in Three Consecutive Censuses, Tanzania</w:t>
                            </w:r>
                            <w:bookmarkEnd w:id="134"/>
                            <w:bookmarkEnd w:id="135"/>
                            <w:bookmarkEnd w:id="136"/>
                            <w:bookmarkEnd w:id="13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680689A" id="_x0000_s1042" type="#_x0000_t202" style="position:absolute;left:0;text-align:left;margin-left:227.65pt;margin-top:2.45pt;width:233.2pt;height:35.95pt;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" stroked="f">
                <v:textbox inset="0,0,0,0">
                  <w:txbxContent>
                    <w:p w14:paraId="55EE1D9B" w14:textId="12E2D873" w:rsidR="00933456" w:rsidRPr="00C47FD7" w:rsidRDefault="00933456" w:rsidP="00C47FD7">
                      <w:pPr>
                        <w:pStyle w:val="Caption"/>
                      </w:pPr>
                      <w:bookmarkStart w:id="186" w:name="_Toc80120190"/>
                      <w:bookmarkStart w:id="187" w:name="_Toc80884064"/>
                      <w:bookmarkStart w:id="188" w:name="_Toc80884435"/>
                      <w:bookmarkStart w:id="189" w:name="_Toc82386290"/>
                      <w:r w:rsidRPr="00C47FD7">
                        <w:t>Figure 3.13:</w:t>
                      </w:r>
                      <w:r w:rsidRPr="00C47FD7">
                        <w:tab/>
                        <w:t>Trend of Sorghum Production by Smallholder Farmers in Three Consecutive Censuses, Tanzania</w:t>
                      </w:r>
                      <w:bookmarkEnd w:id="186"/>
                      <w:bookmarkEnd w:id="187"/>
                      <w:bookmarkEnd w:id="188"/>
                      <w:bookmarkEnd w:id="189"/>
                    </w:p>
                  </w:txbxContent>
                </v:textbox>
                <w10:wrap type="tight"/>
              </v:shape>
            </w:pict>
          </mc:Fallback>
        </mc:AlternateContent>
      </w:r>
      <w:r>
        <w:rPr>
          <w:noProof/>
        </w:rPr>
        <w:drawing>
          <wp:anchor distT="0" distB="0" distL="114300" distR="114300" simplePos="0" relativeHeight="251724800" behindDoc="0" locked="0" layoutInCell="1" allowOverlap="1" wp14:anchorId="03723C85" wp14:editId="53166AA6">
            <wp:simplePos x="0" y="0"/>
            <wp:positionH relativeFrom="column">
              <wp:posOffset>2890130</wp:posOffset>
            </wp:positionH>
            <wp:positionV relativeFrom="paragraph">
              <wp:posOffset>544830</wp:posOffset>
            </wp:positionV>
            <wp:extent cx="2803525" cy="1553210"/>
            <wp:effectExtent l="0" t="0" r="15875" b="8890"/>
            <wp:wrapTight wrapText="bothSides">
              <wp:wrapPolygon edited="0">
                <wp:start x="0" y="0"/>
                <wp:lineTo x="0" y="21547"/>
                <wp:lineTo x="21624" y="21547"/>
                <wp:lineTo x="21624" y="0"/>
                <wp:lineTo x="0" y="0"/>
              </wp:wrapPolygon>
            </wp:wrapTight>
            <wp:docPr id="226" name="Chart 1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14:sizeRelH relativeFrom="margin">
              <wp14:pctWidth>0</wp14:pctWidth>
            </wp14:sizeRelH>
            <wp14:sizeRelV relativeFrom="margin">
              <wp14:pctHeight>0</wp14:pctHeight>
            </wp14:sizeRelV>
          </wp:anchor>
        </w:drawing>
      </w:r>
      <w:r w:rsidR="001B26AC" w:rsidRPr="006B42D6">
        <w:rPr>
          <w:noProof/>
        </w:rPr>
        <mc:AlternateContent>
          <mc:Choice Requires="wps">
            <w:drawing>
              <wp:anchor distT="0" distB="0" distL="114300" distR="114300" simplePos="0" relativeHeight="251554816" behindDoc="1" locked="0" layoutInCell="1" allowOverlap="1" wp14:anchorId="60FF390E" wp14:editId="3729DB2B">
                <wp:simplePos x="0" y="0"/>
                <wp:positionH relativeFrom="column">
                  <wp:posOffset>2692400</wp:posOffset>
                </wp:positionH>
                <wp:positionV relativeFrom="paragraph">
                  <wp:posOffset>34925</wp:posOffset>
                </wp:positionV>
                <wp:extent cx="3357880" cy="333375"/>
                <wp:effectExtent l="0" t="0" r="0" b="9525"/>
                <wp:wrapTight wrapText="bothSides">
                  <wp:wrapPolygon edited="0">
                    <wp:start x="0" y="0"/>
                    <wp:lineTo x="0" y="20983"/>
                    <wp:lineTo x="21445" y="20983"/>
                    <wp:lineTo x="21445" y="0"/>
                    <wp:lineTo x="0" y="0"/>
                  </wp:wrapPolygon>
                </wp:wrapTight>
                <wp:docPr id="344"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357880" cy="333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B2E5A4" w14:textId="77777777" w:rsidR="00933456" w:rsidRPr="002639C4" w:rsidRDefault="00933456" w:rsidP="00DA6451">
                            <w:pPr>
                              <w:pStyle w:val="Caption"/>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FF390E" id="Text Box 29" o:spid="_x0000_s1043" type="#_x0000_t202" style="position:absolute;left:0;text-align:left;margin-left:212pt;margin-top:2.75pt;width:264.4pt;height:26.2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" stroked="f">
                <v:path arrowok="t"/>
                <v:textbox inset="0,0,0,0">
                  <w:txbxContent>
                    <w:p w14:paraId="5CB2E5A4" w14:textId="77777777" w:rsidR="00933456" w:rsidRPr="002639C4" w:rsidRDefault="00933456" w:rsidP="00DA6451">
                      <w:pPr>
                        <w:pStyle w:val="Caption"/>
                      </w:pPr>
                    </w:p>
                  </w:txbxContent>
                </v:textbox>
                <w10:wrap type="tight"/>
              </v:shape>
            </w:pict>
          </mc:Fallback>
        </mc:AlternateContent>
      </w:r>
      <w:r w:rsidR="00B857FB" w:rsidRPr="006B42D6">
        <w:t xml:space="preserve">In general, the trend shows that, the production of sorghum has increased by 8.9 percent from 552,353 tons in 2007/08 to 601, 470 tons in 2019/20 </w:t>
      </w:r>
      <w:r w:rsidR="00E16412" w:rsidRPr="006B42D6">
        <w:t>(Figure 3.1</w:t>
      </w:r>
      <w:r w:rsidR="009F0BCF" w:rsidRPr="006B42D6">
        <w:t>3</w:t>
      </w:r>
      <w:r w:rsidR="00E16412" w:rsidRPr="006B42D6">
        <w:t>).</w:t>
      </w:r>
    </w:p>
    <w:p w14:paraId="43423DCC" w14:textId="09BCBDC1" w:rsidR="00372C59" w:rsidRPr="006B42D6" w:rsidRDefault="00372C59" w:rsidP="005C2EFC">
      <w:pPr>
        <w:rPr>
          <w:b/>
        </w:rPr>
      </w:pPr>
    </w:p>
    <w:p w14:paraId="0600F7E4" w14:textId="6E329A33" w:rsidR="007936A7" w:rsidRDefault="007936A7" w:rsidP="005C2EFC">
      <w:pPr>
        <w:rPr>
          <w:b/>
        </w:rPr>
      </w:pPr>
    </w:p>
    <w:p w14:paraId="26529575" w14:textId="7D60A2DA" w:rsidR="007936A7" w:rsidRDefault="007936A7" w:rsidP="005C2EFC">
      <w:pPr>
        <w:rPr>
          <w:b/>
        </w:rPr>
      </w:pPr>
    </w:p>
    <w:p w14:paraId="7F5490C8" w14:textId="77777777" w:rsidR="005F4FD7" w:rsidRPr="005F4FD7" w:rsidRDefault="005F4FD7" w:rsidP="005C2EFC">
      <w:pPr>
        <w:rPr>
          <w:b/>
          <w:sz w:val="20"/>
          <w:szCs w:val="20"/>
        </w:rPr>
      </w:pPr>
    </w:p>
    <w:p w14:paraId="6C90D6A8" w14:textId="69E2AAD0" w:rsidR="00E16412" w:rsidRPr="00A01AA0" w:rsidRDefault="00E16412" w:rsidP="00A01AA0">
      <w:pPr>
        <w:pStyle w:val="Heading4"/>
      </w:pPr>
      <w:bookmarkStart w:id="138" w:name="_Toc82385648"/>
      <w:r w:rsidRPr="00A01AA0">
        <w:t>3.</w:t>
      </w:r>
      <w:r w:rsidR="001174B4">
        <w:t>1</w:t>
      </w:r>
      <w:r w:rsidRPr="00A01AA0">
        <w:t>.1.4</w:t>
      </w:r>
      <w:r w:rsidR="00E763F5" w:rsidRPr="00A01AA0">
        <w:tab/>
      </w:r>
      <w:r w:rsidRPr="00A01AA0">
        <w:t>Other Cereals</w:t>
      </w:r>
      <w:bookmarkEnd w:id="138"/>
    </w:p>
    <w:p w14:paraId="069851B0" w14:textId="5976A9B1" w:rsidR="00B857FB" w:rsidRPr="006B42D6" w:rsidRDefault="00F46C34" w:rsidP="007E60C9">
      <w:r w:rsidRPr="006B42D6">
        <w:t>The 2019/20 NSCA also looked at o</w:t>
      </w:r>
      <w:r w:rsidR="00B857FB" w:rsidRPr="006B42D6">
        <w:t xml:space="preserve">ther cereals </w:t>
      </w:r>
      <w:r w:rsidRPr="006B42D6">
        <w:t xml:space="preserve">which </w:t>
      </w:r>
      <w:r w:rsidR="00B857FB" w:rsidRPr="006B42D6">
        <w:t xml:space="preserve">were produced in small </w:t>
      </w:r>
      <w:r w:rsidR="000F0F78" w:rsidRPr="006B42D6">
        <w:t>quantities</w:t>
      </w:r>
      <w:r w:rsidR="00B857FB" w:rsidRPr="006B42D6">
        <w:t xml:space="preserve"> </w:t>
      </w:r>
      <w:r w:rsidRPr="006B42D6">
        <w:t>but</w:t>
      </w:r>
      <w:r w:rsidR="00B857FB" w:rsidRPr="006B42D6">
        <w:t xml:space="preserve"> important in some regions. These cereal crops </w:t>
      </w:r>
      <w:r w:rsidR="00544545" w:rsidRPr="006B42D6">
        <w:t>include</w:t>
      </w:r>
      <w:r w:rsidR="00B857FB" w:rsidRPr="006B42D6">
        <w:t xml:space="preserve"> bulrush millet, finger millet, wheat and barley.</w:t>
      </w:r>
      <w:r w:rsidR="009F0BCF" w:rsidRPr="006B42D6">
        <w:t xml:space="preserve"> </w:t>
      </w:r>
      <w:r w:rsidR="00B857FB" w:rsidRPr="006B42D6">
        <w:t xml:space="preserve">The results show that, a total of 150,533 ha </w:t>
      </w:r>
      <w:r w:rsidR="009F0BCF" w:rsidRPr="006B42D6">
        <w:t>was</w:t>
      </w:r>
      <w:r w:rsidR="00B857FB" w:rsidRPr="006B42D6">
        <w:t xml:space="preserve"> planted with bulrush millet in Tanzania out of which</w:t>
      </w:r>
      <w:r w:rsidR="009F0BCF" w:rsidRPr="006B42D6">
        <w:t>,</w:t>
      </w:r>
      <w:r w:rsidR="00B857FB" w:rsidRPr="006B42D6">
        <w:t xml:space="preserve"> 150,423 ha were in Mainland and 110 ha were in Zanzibar. </w:t>
      </w:r>
      <w:r w:rsidRPr="006B42D6">
        <w:t>The</w:t>
      </w:r>
      <w:r w:rsidR="00B857FB" w:rsidRPr="006B42D6">
        <w:t xml:space="preserve"> harvested area with bulrush millet was 134,314 ha of which 134,250 ha were in </w:t>
      </w:r>
      <w:r w:rsidR="00EA1552">
        <w:t>Mainland Tanzania</w:t>
      </w:r>
      <w:r w:rsidR="00B857FB" w:rsidRPr="006B42D6">
        <w:t xml:space="preserve"> and 64 ha in</w:t>
      </w:r>
      <w:r w:rsidR="009F0BCF" w:rsidRPr="006B42D6">
        <w:t xml:space="preserve"> Tanzania</w:t>
      </w:r>
      <w:r w:rsidR="00B857FB" w:rsidRPr="006B42D6">
        <w:t xml:space="preserve"> Zanzibar. Furthermore, the total production </w:t>
      </w:r>
      <w:r w:rsidR="009F0BCF" w:rsidRPr="006B42D6">
        <w:t>of</w:t>
      </w:r>
      <w:r w:rsidR="00B857FB" w:rsidRPr="006B42D6">
        <w:t xml:space="preserve"> bulrush millet at national level was 148,162 tons</w:t>
      </w:r>
      <w:r w:rsidR="004D3D61" w:rsidRPr="006B42D6">
        <w:t>,</w:t>
      </w:r>
      <w:r w:rsidR="00B857FB" w:rsidRPr="006B42D6">
        <w:t xml:space="preserve"> of which 148,011 tons were in</w:t>
      </w:r>
      <w:r w:rsidR="009F0BCF" w:rsidRPr="006B42D6">
        <w:t xml:space="preserve"> </w:t>
      </w:r>
      <w:r w:rsidR="00EA1552">
        <w:t>Mainland Tanzania</w:t>
      </w:r>
      <w:r w:rsidR="00B857FB" w:rsidRPr="006B42D6">
        <w:t xml:space="preserve"> and 150 tons in </w:t>
      </w:r>
      <w:r w:rsidR="009F0BCF" w:rsidRPr="006B42D6">
        <w:t xml:space="preserve">Tanzania </w:t>
      </w:r>
      <w:r w:rsidR="00B857FB" w:rsidRPr="006B42D6">
        <w:t>Zanzibar. The average yield of bulrush millet at the national level was 1.1 tons/ha</w:t>
      </w:r>
      <w:r w:rsidR="004D3D61" w:rsidRPr="006B42D6">
        <w:t xml:space="preserve"> whereby 1.1 tons/ha was in </w:t>
      </w:r>
      <w:r w:rsidR="00EA1552">
        <w:t>Mainland Tanzania</w:t>
      </w:r>
      <w:r w:rsidR="004D3D61" w:rsidRPr="006B42D6">
        <w:t xml:space="preserve"> and 2.4 tons/ha in Tanzania Zanzibar</w:t>
      </w:r>
      <w:r w:rsidR="00B857FB" w:rsidRPr="006B42D6">
        <w:t>.</w:t>
      </w:r>
    </w:p>
    <w:p w14:paraId="75D21366" w14:textId="77777777" w:rsidR="004D3D61" w:rsidRPr="005F4FD7" w:rsidRDefault="004D3D61" w:rsidP="007E60C9">
      <w:pPr>
        <w:spacing w:line="240" w:lineRule="auto"/>
        <w:rPr>
          <w:sz w:val="20"/>
          <w:szCs w:val="20"/>
        </w:rPr>
      </w:pPr>
    </w:p>
    <w:p w14:paraId="1C827A6C" w14:textId="45716396" w:rsidR="00B857FB" w:rsidRDefault="00544545" w:rsidP="007E60C9">
      <w:r w:rsidRPr="006B42D6">
        <w:t>On the other hand,</w:t>
      </w:r>
      <w:r w:rsidR="00B857FB" w:rsidRPr="006B42D6">
        <w:t xml:space="preserve"> finger millet was grown almost in all regions of </w:t>
      </w:r>
      <w:r w:rsidR="00EA1552">
        <w:t>Mainland Tanzania</w:t>
      </w:r>
      <w:r w:rsidR="00B857FB" w:rsidRPr="006B42D6">
        <w:t xml:space="preserve"> except in Tanga, Morogoro, Pwani, Dar es Salaam and Lindi regions. The total planted area with finger millet was 31,468 ha while the total harvested area was 27,767 ha. The total production of finger millet was 32,950 tons</w:t>
      </w:r>
      <w:r w:rsidR="004D3D61" w:rsidRPr="006B42D6">
        <w:t>,</w:t>
      </w:r>
      <w:r w:rsidR="00B857FB" w:rsidRPr="006B42D6">
        <w:t xml:space="preserve"> of which Rukwa region had the highest production of 8,853 tons</w:t>
      </w:r>
      <w:r w:rsidR="004D3D61" w:rsidRPr="006B42D6">
        <w:t>,</w:t>
      </w:r>
      <w:r w:rsidR="00B857FB" w:rsidRPr="006B42D6">
        <w:t xml:space="preserve"> followed by Dodoma (5,420 tons) and Singida (4,423 tons)</w:t>
      </w:r>
      <w:r w:rsidRPr="006B42D6">
        <w:t xml:space="preserve">, while the </w:t>
      </w:r>
      <w:r w:rsidR="00B857FB" w:rsidRPr="006B42D6">
        <w:t xml:space="preserve">lowest production </w:t>
      </w:r>
      <w:r w:rsidRPr="006B42D6">
        <w:t xml:space="preserve">of </w:t>
      </w:r>
      <w:r w:rsidR="00B857FB" w:rsidRPr="006B42D6">
        <w:t>14 tons was reported in Katavi region</w:t>
      </w:r>
      <w:r w:rsidRPr="006B42D6">
        <w:t xml:space="preserve">. Regarding productivity, Mwanza region recorded the </w:t>
      </w:r>
      <w:r w:rsidR="00B857FB" w:rsidRPr="006B42D6">
        <w:t xml:space="preserve">highest yield of 1.8 tons/ha </w:t>
      </w:r>
      <w:r w:rsidR="004D3D61" w:rsidRPr="006B42D6">
        <w:t xml:space="preserve">and the lowest yield </w:t>
      </w:r>
      <w:r w:rsidR="00421C8C" w:rsidRPr="006B42D6">
        <w:t xml:space="preserve">was in Kigoma </w:t>
      </w:r>
      <w:r w:rsidR="001D4647" w:rsidRPr="006B42D6">
        <w:t>(0.</w:t>
      </w:r>
      <w:r w:rsidR="005C1D67" w:rsidRPr="006B42D6">
        <w:t>7</w:t>
      </w:r>
      <w:r w:rsidR="001D4647" w:rsidRPr="006B42D6">
        <w:t xml:space="preserve"> tons/ha)</w:t>
      </w:r>
      <w:r w:rsidR="00B857FB" w:rsidRPr="006B42D6">
        <w:t>.</w:t>
      </w:r>
    </w:p>
    <w:p w14:paraId="2A06457D" w14:textId="77777777" w:rsidR="007E60C9" w:rsidRPr="005F4FD7" w:rsidRDefault="007E60C9" w:rsidP="007E60C9">
      <w:pPr>
        <w:spacing w:line="240" w:lineRule="auto"/>
        <w:rPr>
          <w:sz w:val="20"/>
          <w:szCs w:val="20"/>
        </w:rPr>
      </w:pPr>
    </w:p>
    <w:p w14:paraId="3960F3CC" w14:textId="62CF5416" w:rsidR="00881823" w:rsidRPr="006B42D6" w:rsidRDefault="00B857FB" w:rsidP="007E60C9">
      <w:r w:rsidRPr="006B42D6">
        <w:t xml:space="preserve">The 2019/20 NSCA results </w:t>
      </w:r>
      <w:r w:rsidR="00421C8C" w:rsidRPr="006B42D6">
        <w:t xml:space="preserve">further </w:t>
      </w:r>
      <w:r w:rsidRPr="006B42D6">
        <w:t xml:space="preserve">show that, wheat was grown in 14 regions of </w:t>
      </w:r>
      <w:r w:rsidR="00EA1552">
        <w:t>Mainland Tanzania</w:t>
      </w:r>
      <w:r w:rsidR="005C1D67" w:rsidRPr="006B42D6">
        <w:t>,</w:t>
      </w:r>
      <w:r w:rsidRPr="006B42D6">
        <w:t xml:space="preserve"> and occupied a total planted area of 91,659 ha with harvested area of 78,274 ha. The total production of wheat was 93,184 tons </w:t>
      </w:r>
      <w:r w:rsidR="005C1D67" w:rsidRPr="006B42D6">
        <w:t>with</w:t>
      </w:r>
      <w:r w:rsidRPr="006B42D6">
        <w:t xml:space="preserve"> </w:t>
      </w:r>
      <w:r w:rsidR="005C1D67" w:rsidRPr="006B42D6">
        <w:t>an</w:t>
      </w:r>
      <w:r w:rsidRPr="006B42D6">
        <w:t xml:space="preserve"> average yield of 1.2 tons/ha.</w:t>
      </w:r>
      <w:r w:rsidR="00421C8C" w:rsidRPr="006B42D6">
        <w:t xml:space="preserve"> </w:t>
      </w:r>
      <w:r w:rsidR="005C1D67" w:rsidRPr="006B42D6">
        <w:t>B</w:t>
      </w:r>
      <w:r w:rsidRPr="006B42D6">
        <w:t xml:space="preserve">arley was grown in Mbeya and Rukwa regions </w:t>
      </w:r>
      <w:r w:rsidR="005C1D67" w:rsidRPr="006B42D6">
        <w:t>only</w:t>
      </w:r>
      <w:r w:rsidR="00881823" w:rsidRPr="006B42D6">
        <w:t xml:space="preserve"> with t</w:t>
      </w:r>
      <w:r w:rsidRPr="006B42D6">
        <w:t xml:space="preserve">he total planted area </w:t>
      </w:r>
      <w:r w:rsidR="00881823" w:rsidRPr="006B42D6">
        <w:t xml:space="preserve">of </w:t>
      </w:r>
      <w:r w:rsidRPr="006B42D6">
        <w:t xml:space="preserve">308 ha </w:t>
      </w:r>
      <w:r w:rsidR="00881823" w:rsidRPr="006B42D6">
        <w:t>(251 ha and 57 ha respectively). The t</w:t>
      </w:r>
      <w:r w:rsidRPr="006B42D6">
        <w:t xml:space="preserve">otal quantity produced </w:t>
      </w:r>
      <w:r w:rsidR="00881823" w:rsidRPr="006B42D6">
        <w:t>with barley was</w:t>
      </w:r>
      <w:r w:rsidRPr="006B42D6">
        <w:t xml:space="preserve"> 355 tons</w:t>
      </w:r>
      <w:r w:rsidR="00881823" w:rsidRPr="006B42D6">
        <w:t xml:space="preserve">, of which 341 </w:t>
      </w:r>
      <w:r w:rsidR="00881823" w:rsidRPr="006B42D6">
        <w:lastRenderedPageBreak/>
        <w:t>tons were in Rukwa and 14 tons in Mbeya with average yield of 1.4 tons/ha and 1.0 tons/ha respectively.</w:t>
      </w:r>
    </w:p>
    <w:p w14:paraId="77B0645C" w14:textId="77777777" w:rsidR="00D047C8" w:rsidRPr="005F4FD7" w:rsidRDefault="00D047C8" w:rsidP="007E60C9">
      <w:pPr>
        <w:spacing w:line="240" w:lineRule="auto"/>
        <w:rPr>
          <w:sz w:val="20"/>
          <w:szCs w:val="20"/>
        </w:rPr>
      </w:pPr>
    </w:p>
    <w:p w14:paraId="3F720BFC" w14:textId="554B7554" w:rsidR="00E16412" w:rsidRPr="006B42D6" w:rsidRDefault="00E16412" w:rsidP="005C2EFC">
      <w:pPr>
        <w:pStyle w:val="Heading3"/>
      </w:pPr>
      <w:bookmarkStart w:id="139" w:name="_Toc82385649"/>
      <w:r w:rsidRPr="006B42D6">
        <w:t>3.</w:t>
      </w:r>
      <w:r w:rsidR="001174B4">
        <w:t>1</w:t>
      </w:r>
      <w:r w:rsidRPr="006B42D6">
        <w:t>.2</w:t>
      </w:r>
      <w:r w:rsidRPr="006B42D6">
        <w:tab/>
        <w:t>Roots and Tuber Crops Production</w:t>
      </w:r>
      <w:bookmarkEnd w:id="139"/>
    </w:p>
    <w:p w14:paraId="56492743" w14:textId="4DA497A3" w:rsidR="00B857FB" w:rsidRDefault="00B857FB" w:rsidP="007E60C9">
      <w:r w:rsidRPr="006B42D6">
        <w:t xml:space="preserve">Root and tuber crops grown in Tanzania </w:t>
      </w:r>
      <w:r w:rsidR="00881823" w:rsidRPr="006B42D6">
        <w:t>are</w:t>
      </w:r>
      <w:r w:rsidRPr="006B42D6">
        <w:t xml:space="preserve"> cassava, sweet potatoes, irish potatoes, yams and coco</w:t>
      </w:r>
      <w:r w:rsidR="00881823" w:rsidRPr="006B42D6">
        <w:t xml:space="preserve"> </w:t>
      </w:r>
      <w:r w:rsidRPr="006B42D6">
        <w:t xml:space="preserve">yams. These crops were produced during both short and long rainy seasons in </w:t>
      </w:r>
      <w:r w:rsidR="00EA1552">
        <w:t>Mainland Tanzania</w:t>
      </w:r>
      <w:r w:rsidRPr="006B42D6">
        <w:t xml:space="preserve"> and </w:t>
      </w:r>
      <w:r w:rsidR="00881823" w:rsidRPr="006B42D6">
        <w:t xml:space="preserve">Tanzania </w:t>
      </w:r>
      <w:r w:rsidRPr="006B42D6">
        <w:t xml:space="preserve">Zanzibar. </w:t>
      </w:r>
      <w:r w:rsidR="00881823" w:rsidRPr="006B42D6">
        <w:t xml:space="preserve">The </w:t>
      </w:r>
      <w:r w:rsidRPr="006B42D6">
        <w:t xml:space="preserve">2019/20 </w:t>
      </w:r>
      <w:r w:rsidR="00881823" w:rsidRPr="006B42D6">
        <w:t xml:space="preserve">NSCA </w:t>
      </w:r>
      <w:r w:rsidRPr="006B42D6">
        <w:t>results revealed that, a total area of 1,113,006 ha was planted with root and tuber crops in Tanzania</w:t>
      </w:r>
      <w:r w:rsidR="00881823" w:rsidRPr="006B42D6">
        <w:t>,</w:t>
      </w:r>
      <w:r w:rsidRPr="006B42D6">
        <w:t xml:space="preserve"> out of which 1,112,398 ha (</w:t>
      </w:r>
      <w:r w:rsidR="00291F39" w:rsidRPr="006B42D6">
        <w:t>99</w:t>
      </w:r>
      <w:r w:rsidRPr="006B42D6">
        <w:t>.</w:t>
      </w:r>
      <w:r w:rsidR="00291F39" w:rsidRPr="006B42D6">
        <w:t>97</w:t>
      </w:r>
      <w:r w:rsidRPr="006B42D6">
        <w:t xml:space="preserve"> percent) was occupied by smallholder farmers and 608 ha (0.03 percent) occupied by large scale farms. Out of the total planted area by smallholder farmers, 1,039,270 ha was in </w:t>
      </w:r>
      <w:r w:rsidR="00EA1552">
        <w:t>Mainland Tanzania</w:t>
      </w:r>
      <w:r w:rsidRPr="006B42D6">
        <w:t xml:space="preserve"> and 73,127 ha in </w:t>
      </w:r>
      <w:r w:rsidR="00881823" w:rsidRPr="006B42D6">
        <w:t xml:space="preserve">Tanzania </w:t>
      </w:r>
      <w:r w:rsidRPr="006B42D6">
        <w:t>Zanzibar. Out of the total planted area with roots and tubers by smallholder farmers, Cassava occupied a large area of 740,706 ha (66.6 percent), followed by sweet potatoes (289,917 ha; 26.1 percent) and irish potatoes (64,428 ha; 5.8 percent)</w:t>
      </w:r>
      <w:r w:rsidR="00291F39" w:rsidRPr="006B42D6">
        <w:t>.</w:t>
      </w:r>
    </w:p>
    <w:p w14:paraId="3E5A3024" w14:textId="77777777" w:rsidR="007E60C9" w:rsidRPr="005F4FD7" w:rsidRDefault="007E60C9" w:rsidP="007E60C9">
      <w:pPr>
        <w:spacing w:line="240" w:lineRule="auto"/>
        <w:rPr>
          <w:sz w:val="20"/>
          <w:szCs w:val="20"/>
        </w:rPr>
      </w:pPr>
    </w:p>
    <w:p w14:paraId="4F741266" w14:textId="24F5AC72" w:rsidR="00B857FB" w:rsidRDefault="00B857FB" w:rsidP="007E60C9">
      <w:r w:rsidRPr="006B42D6">
        <w:t xml:space="preserve">Total harvested area with root and tuber crops under smallholder farmers in Tanzania was 522,348 ha out of which 481,630 ha was in </w:t>
      </w:r>
      <w:r w:rsidR="00EA1552">
        <w:t>Mainland Tanzania</w:t>
      </w:r>
      <w:r w:rsidRPr="006B42D6">
        <w:t xml:space="preserve"> and 40,718 ha in</w:t>
      </w:r>
      <w:r w:rsidR="00291F39" w:rsidRPr="006B42D6">
        <w:t xml:space="preserve"> Tanzania </w:t>
      </w:r>
      <w:r w:rsidRPr="006B42D6">
        <w:t xml:space="preserve">Zanzibar. The results also show that, a total harvested area with root and tuber crops was 47 percent of the total planted area by smallholder farmers during 2019/20 </w:t>
      </w:r>
      <w:r w:rsidR="00291F39" w:rsidRPr="006B42D6">
        <w:t>a</w:t>
      </w:r>
      <w:r w:rsidRPr="006B42D6">
        <w:t>gricultural year (Table 3.2).</w:t>
      </w:r>
    </w:p>
    <w:p w14:paraId="7FE5634F" w14:textId="77777777" w:rsidR="007E60C9" w:rsidRPr="005F4FD7" w:rsidRDefault="007E60C9" w:rsidP="007E60C9">
      <w:pPr>
        <w:spacing w:line="240" w:lineRule="auto"/>
        <w:rPr>
          <w:sz w:val="20"/>
          <w:szCs w:val="20"/>
        </w:rPr>
      </w:pPr>
    </w:p>
    <w:p w14:paraId="2C2E72EC" w14:textId="79B66F2C" w:rsidR="00FD301E" w:rsidRPr="006B42D6" w:rsidRDefault="00B857FB" w:rsidP="007E60C9">
      <w:r w:rsidRPr="006B42D6">
        <w:t xml:space="preserve">Furthermore, a total quantity of 2,611,233 tons of root and tuber crops was produced in Tanzania whereby 2,609,305 tons (92.6 percent) was produced by smallholder farmers and 1,927 tons (7.4 percent) by large scale farms. Of the total quantity produced by smallholder farmers, 2,383,658 tons was in </w:t>
      </w:r>
      <w:r w:rsidR="00EA1552">
        <w:t>Mainland Tanzania</w:t>
      </w:r>
      <w:r w:rsidRPr="006B42D6">
        <w:t xml:space="preserve"> and 225,648 tons was in </w:t>
      </w:r>
      <w:r w:rsidR="00291F39" w:rsidRPr="006B42D6">
        <w:t xml:space="preserve">Tanzania </w:t>
      </w:r>
      <w:r w:rsidRPr="006B42D6">
        <w:t>Zanzibar. Among the root and tuber crops, cassava had the highest production of 1,770,608 tons (67.9 percent)</w:t>
      </w:r>
      <w:r w:rsidR="00291F39" w:rsidRPr="006B42D6">
        <w:t>,</w:t>
      </w:r>
      <w:r w:rsidRPr="006B42D6">
        <w:t xml:space="preserve"> of which 1,586,358 tons were from </w:t>
      </w:r>
      <w:r w:rsidR="00EA1552">
        <w:t>Mainland Tanzania</w:t>
      </w:r>
      <w:r w:rsidRPr="006B42D6">
        <w:t xml:space="preserve"> and 184,250 tons in </w:t>
      </w:r>
      <w:r w:rsidR="00291F39" w:rsidRPr="006B42D6">
        <w:t xml:space="preserve">Tanzania </w:t>
      </w:r>
      <w:r w:rsidRPr="006B42D6">
        <w:t xml:space="preserve">Zanzibar, followed by sweet potatoes (504,302 tons; 19.3 percent) of which 466,122 tons were harvested in </w:t>
      </w:r>
      <w:r w:rsidR="00EA1552">
        <w:t>Mainland Tanzania</w:t>
      </w:r>
      <w:r w:rsidRPr="006B42D6">
        <w:t xml:space="preserve"> and 38,180 tons in </w:t>
      </w:r>
      <w:r w:rsidR="00291F39" w:rsidRPr="006B42D6">
        <w:t xml:space="preserve">Tanzania </w:t>
      </w:r>
      <w:r w:rsidRPr="006B42D6">
        <w:t>Zanzibar</w:t>
      </w:r>
      <w:r w:rsidR="00421C8C" w:rsidRPr="006B42D6">
        <w:t>. I</w:t>
      </w:r>
      <w:r w:rsidRPr="006B42D6">
        <w:t xml:space="preserve">rish potatoes </w:t>
      </w:r>
      <w:r w:rsidR="00421C8C" w:rsidRPr="006B42D6">
        <w:t xml:space="preserve">was the third mostly produced tuber crop </w:t>
      </w:r>
      <w:r w:rsidRPr="006B42D6">
        <w:t>with a total production of 319,314 tons (12.2 percent)</w:t>
      </w:r>
      <w:r w:rsidR="00291F39" w:rsidRPr="006B42D6">
        <w:t>,</w:t>
      </w:r>
      <w:r w:rsidRPr="006B42D6">
        <w:t xml:space="preserve"> produced </w:t>
      </w:r>
      <w:r w:rsidR="00421C8C" w:rsidRPr="006B42D6">
        <w:t xml:space="preserve">only </w:t>
      </w:r>
      <w:r w:rsidRPr="006B42D6">
        <w:t xml:space="preserve">in </w:t>
      </w:r>
      <w:r w:rsidR="00EA1552">
        <w:t>Mainland Tanzania</w:t>
      </w:r>
      <w:r w:rsidRPr="006B42D6">
        <w:t>, followed by cocoyams with 8,810 tons (0.3 percent) of which 7,400 tons were harvested in</w:t>
      </w:r>
      <w:r w:rsidR="00291F39" w:rsidRPr="006B42D6">
        <w:t xml:space="preserve"> </w:t>
      </w:r>
      <w:r w:rsidR="00EA1552">
        <w:t>Mainland Tanzania</w:t>
      </w:r>
      <w:r w:rsidRPr="006B42D6">
        <w:t xml:space="preserve"> and 1,409 tons in </w:t>
      </w:r>
      <w:r w:rsidR="00291F39" w:rsidRPr="006B42D6">
        <w:t xml:space="preserve">Tanzania </w:t>
      </w:r>
      <w:r w:rsidRPr="006B42D6">
        <w:t>Zanzibar</w:t>
      </w:r>
      <w:r w:rsidR="00421C8C" w:rsidRPr="006B42D6">
        <w:t>.</w:t>
      </w:r>
      <w:r w:rsidRPr="006B42D6">
        <w:t xml:space="preserve"> </w:t>
      </w:r>
      <w:r w:rsidR="00421C8C" w:rsidRPr="006B42D6">
        <w:t>T</w:t>
      </w:r>
      <w:r w:rsidRPr="006B42D6">
        <w:t xml:space="preserve">he lowest root and tuber crop in production was yams with 6,272 tons (0.2 percent) of which 4,463 tons were harvested in </w:t>
      </w:r>
      <w:r w:rsidR="00EA1552">
        <w:t>Mainland Tanzania</w:t>
      </w:r>
      <w:r w:rsidRPr="006B42D6">
        <w:t xml:space="preserve"> and 1,809 tons in </w:t>
      </w:r>
      <w:r w:rsidR="00291F39" w:rsidRPr="006B42D6">
        <w:t xml:space="preserve">Tanzania </w:t>
      </w:r>
      <w:r w:rsidRPr="006B42D6">
        <w:t>Zanzibar (Table 3.2).</w:t>
      </w:r>
    </w:p>
    <w:p w14:paraId="43A6BCBB" w14:textId="4A37CA0D" w:rsidR="00F56D73" w:rsidRPr="006B42D6" w:rsidRDefault="00F56D73" w:rsidP="005C2EFC">
      <w:pPr>
        <w:sectPr w:rsidR="00F56D73" w:rsidRPr="006B42D6" w:rsidSect="00B102DD">
          <w:pgSz w:w="11900" w:h="16840" w:code="9"/>
          <w:pgMar w:top="1440" w:right="1440" w:bottom="1440" w:left="1440" w:header="709" w:footer="709" w:gutter="0"/>
          <w:cols w:space="720"/>
          <w:docGrid w:linePitch="360"/>
        </w:sectPr>
      </w:pPr>
    </w:p>
    <w:p w14:paraId="6EA32327" w14:textId="106B199A" w:rsidR="00E16412" w:rsidRPr="006B42D6" w:rsidRDefault="00E16412" w:rsidP="007200F6">
      <w:pPr>
        <w:pStyle w:val="Heading7"/>
        <w:rPr>
          <w:i/>
        </w:rPr>
      </w:pPr>
      <w:bookmarkStart w:id="140" w:name="_Toc82386184"/>
      <w:r w:rsidRPr="006B42D6">
        <w:lastRenderedPageBreak/>
        <w:t>Table 3.2</w:t>
      </w:r>
      <w:r w:rsidR="00997F48">
        <w:t>:</w:t>
      </w:r>
      <w:r w:rsidR="007E60C9">
        <w:tab/>
      </w:r>
      <w:r w:rsidRPr="006B42D6">
        <w:t xml:space="preserve">Planted Area, Harvested Area, Quantity </w:t>
      </w:r>
      <w:r w:rsidRPr="007936A7">
        <w:t>harvested</w:t>
      </w:r>
      <w:r w:rsidRPr="006B42D6">
        <w:t>, Yield and Percent</w:t>
      </w:r>
      <w:r w:rsidR="00F8344D" w:rsidRPr="006B42D6">
        <w:t>age</w:t>
      </w:r>
      <w:r w:rsidRPr="006B42D6">
        <w:t xml:space="preserve"> of Roots and Tubers </w:t>
      </w:r>
      <w:r w:rsidR="00F8344D" w:rsidRPr="006B42D6">
        <w:t>D</w:t>
      </w:r>
      <w:r w:rsidRPr="006B42D6">
        <w:t xml:space="preserve">uring 2019/20 </w:t>
      </w:r>
      <w:r w:rsidR="00F8344D" w:rsidRPr="006B42D6">
        <w:t>A</w:t>
      </w:r>
      <w:r w:rsidRPr="006B42D6">
        <w:t xml:space="preserve">gricultural </w:t>
      </w:r>
      <w:r w:rsidR="00F8344D" w:rsidRPr="006B42D6">
        <w:t>Y</w:t>
      </w:r>
      <w:r w:rsidRPr="006B42D6">
        <w:t>ea</w:t>
      </w:r>
      <w:r w:rsidR="00F8344D" w:rsidRPr="006B42D6">
        <w:t>r, Tanzania</w:t>
      </w:r>
      <w:bookmarkEnd w:id="140"/>
    </w:p>
    <w:tbl>
      <w:tblPr>
        <w:tblW w:w="13704" w:type="dxa"/>
        <w:tblInd w:w="108" w:type="dxa"/>
        <w:tblLayout w:type="fixed"/>
        <w:tblLook w:val="04A0" w:firstRow="1" w:lastRow="0" w:firstColumn="1" w:lastColumn="0" w:noHBand="0" w:noVBand="1"/>
      </w:tblPr>
      <w:tblGrid>
        <w:gridCol w:w="1451"/>
        <w:gridCol w:w="993"/>
        <w:gridCol w:w="1080"/>
        <w:gridCol w:w="1099"/>
        <w:gridCol w:w="870"/>
        <w:gridCol w:w="1060"/>
        <w:gridCol w:w="1133"/>
        <w:gridCol w:w="1079"/>
        <w:gridCol w:w="868"/>
        <w:gridCol w:w="991"/>
        <w:gridCol w:w="1079"/>
        <w:gridCol w:w="1089"/>
        <w:gridCol w:w="912"/>
      </w:tblGrid>
      <w:tr w:rsidR="007936A7" w:rsidRPr="007936A7" w14:paraId="22812546" w14:textId="77777777" w:rsidTr="00671693">
        <w:trPr>
          <w:trHeight w:val="345"/>
        </w:trPr>
        <w:tc>
          <w:tcPr>
            <w:tcW w:w="1451" w:type="dxa"/>
            <w:vMerge w:val="restart"/>
            <w:tcBorders>
              <w:top w:val="single" w:sz="4" w:space="0" w:color="auto"/>
              <w:left w:val="nil"/>
              <w:bottom w:val="single" w:sz="4" w:space="0" w:color="000000"/>
              <w:right w:val="nil"/>
            </w:tcBorders>
            <w:shd w:val="clear" w:color="auto" w:fill="E2EFD9" w:themeFill="accent6" w:themeFillTint="33"/>
            <w:noWrap/>
            <w:vAlign w:val="center"/>
            <w:hideMark/>
          </w:tcPr>
          <w:p w14:paraId="03888B7A" w14:textId="77777777" w:rsidR="00E16412" w:rsidRPr="007936A7" w:rsidRDefault="00E16412" w:rsidP="005C2EFC">
            <w:pPr>
              <w:rPr>
                <w:sz w:val="16"/>
                <w:szCs w:val="16"/>
              </w:rPr>
            </w:pPr>
            <w:r w:rsidRPr="007936A7">
              <w:rPr>
                <w:sz w:val="16"/>
                <w:szCs w:val="16"/>
              </w:rPr>
              <w:t xml:space="preserve">Crop </w:t>
            </w:r>
          </w:p>
        </w:tc>
        <w:tc>
          <w:tcPr>
            <w:tcW w:w="4042" w:type="dxa"/>
            <w:gridSpan w:val="4"/>
            <w:tcBorders>
              <w:top w:val="single" w:sz="4" w:space="0" w:color="auto"/>
              <w:left w:val="single" w:sz="4" w:space="0" w:color="auto"/>
              <w:bottom w:val="single" w:sz="4" w:space="0" w:color="auto"/>
              <w:right w:val="single" w:sz="4" w:space="0" w:color="000000"/>
            </w:tcBorders>
            <w:shd w:val="clear" w:color="auto" w:fill="E2EFD9" w:themeFill="accent6" w:themeFillTint="33"/>
            <w:noWrap/>
            <w:vAlign w:val="center"/>
            <w:hideMark/>
          </w:tcPr>
          <w:p w14:paraId="285B87FC" w14:textId="1095F4E7" w:rsidR="00E16412" w:rsidRPr="007936A7" w:rsidRDefault="00E16412" w:rsidP="000A5ABC">
            <w:pPr>
              <w:jc w:val="center"/>
              <w:rPr>
                <w:b/>
                <w:bCs/>
                <w:sz w:val="16"/>
                <w:szCs w:val="16"/>
              </w:rPr>
            </w:pPr>
            <w:r w:rsidRPr="007936A7">
              <w:rPr>
                <w:b/>
                <w:bCs/>
                <w:sz w:val="16"/>
                <w:szCs w:val="16"/>
              </w:rPr>
              <w:t>Tanzania</w:t>
            </w:r>
          </w:p>
        </w:tc>
        <w:tc>
          <w:tcPr>
            <w:tcW w:w="4135" w:type="dxa"/>
            <w:gridSpan w:val="4"/>
            <w:tcBorders>
              <w:top w:val="single" w:sz="4" w:space="0" w:color="auto"/>
              <w:left w:val="nil"/>
              <w:bottom w:val="single" w:sz="4" w:space="0" w:color="auto"/>
              <w:right w:val="nil"/>
            </w:tcBorders>
            <w:shd w:val="clear" w:color="auto" w:fill="E2EFD9" w:themeFill="accent6" w:themeFillTint="33"/>
            <w:noWrap/>
            <w:vAlign w:val="center"/>
            <w:hideMark/>
          </w:tcPr>
          <w:p w14:paraId="5A7C9F05" w14:textId="7334B189" w:rsidR="00E16412" w:rsidRPr="007936A7" w:rsidRDefault="00EA1552" w:rsidP="000A5ABC">
            <w:pPr>
              <w:jc w:val="center"/>
              <w:rPr>
                <w:b/>
                <w:bCs/>
                <w:sz w:val="16"/>
                <w:szCs w:val="16"/>
              </w:rPr>
            </w:pPr>
            <w:r w:rsidRPr="007936A7">
              <w:rPr>
                <w:b/>
                <w:bCs/>
                <w:sz w:val="16"/>
                <w:szCs w:val="16"/>
              </w:rPr>
              <w:t>Mainland Tanzania</w:t>
            </w:r>
          </w:p>
        </w:tc>
        <w:tc>
          <w:tcPr>
            <w:tcW w:w="4071" w:type="dxa"/>
            <w:gridSpan w:val="4"/>
            <w:tcBorders>
              <w:top w:val="single" w:sz="4" w:space="0" w:color="auto"/>
              <w:left w:val="single" w:sz="4" w:space="0" w:color="auto"/>
              <w:bottom w:val="single" w:sz="4" w:space="0" w:color="auto"/>
              <w:right w:val="nil"/>
            </w:tcBorders>
            <w:shd w:val="clear" w:color="auto" w:fill="E2EFD9" w:themeFill="accent6" w:themeFillTint="33"/>
            <w:noWrap/>
            <w:vAlign w:val="center"/>
            <w:hideMark/>
          </w:tcPr>
          <w:p w14:paraId="79ED5FCD" w14:textId="2DADDD04" w:rsidR="00E16412" w:rsidRPr="007936A7" w:rsidRDefault="00D35A2C" w:rsidP="000A5ABC">
            <w:pPr>
              <w:jc w:val="center"/>
              <w:rPr>
                <w:b/>
                <w:bCs/>
                <w:sz w:val="16"/>
                <w:szCs w:val="16"/>
              </w:rPr>
            </w:pPr>
            <w:r w:rsidRPr="007936A7">
              <w:rPr>
                <w:b/>
                <w:bCs/>
                <w:sz w:val="16"/>
                <w:szCs w:val="16"/>
              </w:rPr>
              <w:t xml:space="preserve">Tanzania </w:t>
            </w:r>
            <w:r w:rsidR="00E16412" w:rsidRPr="007936A7">
              <w:rPr>
                <w:b/>
                <w:bCs/>
                <w:sz w:val="16"/>
                <w:szCs w:val="16"/>
              </w:rPr>
              <w:t>Zanzibar</w:t>
            </w:r>
          </w:p>
        </w:tc>
      </w:tr>
      <w:tr w:rsidR="007936A7" w:rsidRPr="007936A7" w14:paraId="1C5C9722" w14:textId="77777777" w:rsidTr="00671693">
        <w:trPr>
          <w:trHeight w:val="900"/>
        </w:trPr>
        <w:tc>
          <w:tcPr>
            <w:tcW w:w="1451" w:type="dxa"/>
            <w:vMerge/>
            <w:tcBorders>
              <w:top w:val="single" w:sz="4" w:space="0" w:color="auto"/>
              <w:left w:val="nil"/>
              <w:bottom w:val="single" w:sz="4" w:space="0" w:color="000000"/>
              <w:right w:val="nil"/>
            </w:tcBorders>
            <w:shd w:val="clear" w:color="auto" w:fill="E2EFD9" w:themeFill="accent6" w:themeFillTint="33"/>
            <w:vAlign w:val="center"/>
            <w:hideMark/>
          </w:tcPr>
          <w:p w14:paraId="4F7FB430" w14:textId="77777777" w:rsidR="00E16412" w:rsidRPr="007936A7" w:rsidRDefault="00E16412" w:rsidP="005C2EFC">
            <w:pPr>
              <w:rPr>
                <w:sz w:val="16"/>
                <w:szCs w:val="16"/>
              </w:rPr>
            </w:pPr>
          </w:p>
        </w:tc>
        <w:tc>
          <w:tcPr>
            <w:tcW w:w="993" w:type="dxa"/>
            <w:tcBorders>
              <w:top w:val="nil"/>
              <w:left w:val="single" w:sz="4" w:space="0" w:color="auto"/>
              <w:bottom w:val="single" w:sz="4" w:space="0" w:color="auto"/>
              <w:right w:val="nil"/>
            </w:tcBorders>
            <w:shd w:val="clear" w:color="auto" w:fill="E2EFD9" w:themeFill="accent6" w:themeFillTint="33"/>
            <w:vAlign w:val="center"/>
            <w:hideMark/>
          </w:tcPr>
          <w:p w14:paraId="71307365" w14:textId="77777777" w:rsidR="00E16412" w:rsidRPr="007936A7" w:rsidRDefault="00E16412" w:rsidP="005C2EFC">
            <w:pPr>
              <w:rPr>
                <w:sz w:val="16"/>
                <w:szCs w:val="16"/>
              </w:rPr>
            </w:pPr>
            <w:r w:rsidRPr="007936A7">
              <w:rPr>
                <w:sz w:val="16"/>
                <w:szCs w:val="16"/>
              </w:rPr>
              <w:t xml:space="preserve"> Planted Area (ha) </w:t>
            </w:r>
          </w:p>
        </w:tc>
        <w:tc>
          <w:tcPr>
            <w:tcW w:w="1080" w:type="dxa"/>
            <w:tcBorders>
              <w:top w:val="nil"/>
              <w:left w:val="nil"/>
              <w:bottom w:val="single" w:sz="4" w:space="0" w:color="auto"/>
              <w:right w:val="nil"/>
            </w:tcBorders>
            <w:shd w:val="clear" w:color="auto" w:fill="E2EFD9" w:themeFill="accent6" w:themeFillTint="33"/>
            <w:vAlign w:val="center"/>
            <w:hideMark/>
          </w:tcPr>
          <w:p w14:paraId="6AC7E159" w14:textId="77777777" w:rsidR="00E16412" w:rsidRPr="007936A7" w:rsidRDefault="00E16412" w:rsidP="005C2EFC">
            <w:pPr>
              <w:rPr>
                <w:sz w:val="16"/>
                <w:szCs w:val="16"/>
              </w:rPr>
            </w:pPr>
            <w:r w:rsidRPr="007936A7">
              <w:rPr>
                <w:sz w:val="16"/>
                <w:szCs w:val="16"/>
              </w:rPr>
              <w:t xml:space="preserve"> Harvested Area (ha) </w:t>
            </w:r>
          </w:p>
        </w:tc>
        <w:tc>
          <w:tcPr>
            <w:tcW w:w="1099" w:type="dxa"/>
            <w:tcBorders>
              <w:top w:val="nil"/>
              <w:left w:val="nil"/>
              <w:bottom w:val="single" w:sz="4" w:space="0" w:color="auto"/>
              <w:right w:val="nil"/>
            </w:tcBorders>
            <w:shd w:val="clear" w:color="auto" w:fill="E2EFD9" w:themeFill="accent6" w:themeFillTint="33"/>
            <w:vAlign w:val="center"/>
            <w:hideMark/>
          </w:tcPr>
          <w:p w14:paraId="111D16AF" w14:textId="77777777" w:rsidR="00E16412" w:rsidRPr="007936A7" w:rsidRDefault="00E16412" w:rsidP="005C2EFC">
            <w:pPr>
              <w:rPr>
                <w:sz w:val="16"/>
                <w:szCs w:val="16"/>
              </w:rPr>
            </w:pPr>
            <w:r w:rsidRPr="007936A7">
              <w:rPr>
                <w:sz w:val="16"/>
                <w:szCs w:val="16"/>
              </w:rPr>
              <w:t xml:space="preserve"> Quantity harvested (tons) </w:t>
            </w:r>
          </w:p>
        </w:tc>
        <w:tc>
          <w:tcPr>
            <w:tcW w:w="870" w:type="dxa"/>
            <w:tcBorders>
              <w:top w:val="nil"/>
              <w:left w:val="nil"/>
              <w:bottom w:val="single" w:sz="4" w:space="0" w:color="auto"/>
              <w:right w:val="single" w:sz="4" w:space="0" w:color="auto"/>
            </w:tcBorders>
            <w:shd w:val="clear" w:color="auto" w:fill="E2EFD9" w:themeFill="accent6" w:themeFillTint="33"/>
            <w:vAlign w:val="center"/>
            <w:hideMark/>
          </w:tcPr>
          <w:p w14:paraId="23FBFB16" w14:textId="77777777" w:rsidR="00E16412" w:rsidRPr="007936A7" w:rsidRDefault="00E16412" w:rsidP="005C2EFC">
            <w:pPr>
              <w:rPr>
                <w:sz w:val="16"/>
                <w:szCs w:val="16"/>
              </w:rPr>
            </w:pPr>
            <w:r w:rsidRPr="007936A7">
              <w:rPr>
                <w:sz w:val="16"/>
                <w:szCs w:val="16"/>
              </w:rPr>
              <w:t xml:space="preserve"> Yield (tons/ha) </w:t>
            </w:r>
          </w:p>
        </w:tc>
        <w:tc>
          <w:tcPr>
            <w:tcW w:w="1060" w:type="dxa"/>
            <w:tcBorders>
              <w:top w:val="nil"/>
              <w:left w:val="nil"/>
              <w:bottom w:val="single" w:sz="4" w:space="0" w:color="auto"/>
              <w:right w:val="nil"/>
            </w:tcBorders>
            <w:shd w:val="clear" w:color="auto" w:fill="E2EFD9" w:themeFill="accent6" w:themeFillTint="33"/>
            <w:vAlign w:val="center"/>
            <w:hideMark/>
          </w:tcPr>
          <w:p w14:paraId="14DC47B9" w14:textId="77777777" w:rsidR="00E16412" w:rsidRPr="007936A7" w:rsidRDefault="00E16412" w:rsidP="005C2EFC">
            <w:pPr>
              <w:rPr>
                <w:sz w:val="16"/>
                <w:szCs w:val="16"/>
              </w:rPr>
            </w:pPr>
            <w:r w:rsidRPr="007936A7">
              <w:rPr>
                <w:sz w:val="16"/>
                <w:szCs w:val="16"/>
              </w:rPr>
              <w:t xml:space="preserve"> Planted Area (ha) </w:t>
            </w:r>
          </w:p>
        </w:tc>
        <w:tc>
          <w:tcPr>
            <w:tcW w:w="1133" w:type="dxa"/>
            <w:tcBorders>
              <w:top w:val="nil"/>
              <w:left w:val="nil"/>
              <w:bottom w:val="single" w:sz="4" w:space="0" w:color="auto"/>
              <w:right w:val="nil"/>
            </w:tcBorders>
            <w:shd w:val="clear" w:color="auto" w:fill="E2EFD9" w:themeFill="accent6" w:themeFillTint="33"/>
            <w:vAlign w:val="center"/>
            <w:hideMark/>
          </w:tcPr>
          <w:p w14:paraId="61B837AE" w14:textId="77777777" w:rsidR="00E16412" w:rsidRPr="007936A7" w:rsidRDefault="00E16412" w:rsidP="005C2EFC">
            <w:pPr>
              <w:rPr>
                <w:sz w:val="16"/>
                <w:szCs w:val="16"/>
              </w:rPr>
            </w:pPr>
            <w:r w:rsidRPr="007936A7">
              <w:rPr>
                <w:sz w:val="16"/>
                <w:szCs w:val="16"/>
              </w:rPr>
              <w:t xml:space="preserve"> Harvested Area (ha) </w:t>
            </w:r>
          </w:p>
        </w:tc>
        <w:tc>
          <w:tcPr>
            <w:tcW w:w="1079" w:type="dxa"/>
            <w:tcBorders>
              <w:top w:val="nil"/>
              <w:left w:val="nil"/>
              <w:bottom w:val="single" w:sz="4" w:space="0" w:color="auto"/>
              <w:right w:val="nil"/>
            </w:tcBorders>
            <w:shd w:val="clear" w:color="auto" w:fill="E2EFD9" w:themeFill="accent6" w:themeFillTint="33"/>
            <w:vAlign w:val="center"/>
            <w:hideMark/>
          </w:tcPr>
          <w:p w14:paraId="733D063E" w14:textId="77777777" w:rsidR="00E16412" w:rsidRPr="007936A7" w:rsidRDefault="00E16412" w:rsidP="005C2EFC">
            <w:pPr>
              <w:rPr>
                <w:sz w:val="16"/>
                <w:szCs w:val="16"/>
              </w:rPr>
            </w:pPr>
            <w:r w:rsidRPr="007936A7">
              <w:rPr>
                <w:sz w:val="16"/>
                <w:szCs w:val="16"/>
              </w:rPr>
              <w:t xml:space="preserve"> Quantity harvested (tons) </w:t>
            </w:r>
          </w:p>
        </w:tc>
        <w:tc>
          <w:tcPr>
            <w:tcW w:w="868" w:type="dxa"/>
            <w:tcBorders>
              <w:top w:val="nil"/>
              <w:left w:val="nil"/>
              <w:bottom w:val="single" w:sz="4" w:space="0" w:color="auto"/>
              <w:right w:val="nil"/>
            </w:tcBorders>
            <w:shd w:val="clear" w:color="auto" w:fill="E2EFD9" w:themeFill="accent6" w:themeFillTint="33"/>
            <w:vAlign w:val="center"/>
            <w:hideMark/>
          </w:tcPr>
          <w:p w14:paraId="07257848" w14:textId="77777777" w:rsidR="00E16412" w:rsidRPr="007936A7" w:rsidRDefault="00E16412" w:rsidP="005C2EFC">
            <w:pPr>
              <w:rPr>
                <w:sz w:val="16"/>
                <w:szCs w:val="16"/>
              </w:rPr>
            </w:pPr>
            <w:r w:rsidRPr="007936A7">
              <w:rPr>
                <w:sz w:val="16"/>
                <w:szCs w:val="16"/>
              </w:rPr>
              <w:t xml:space="preserve"> Yield (tons/ha) </w:t>
            </w:r>
          </w:p>
        </w:tc>
        <w:tc>
          <w:tcPr>
            <w:tcW w:w="991" w:type="dxa"/>
            <w:tcBorders>
              <w:top w:val="nil"/>
              <w:left w:val="single" w:sz="4" w:space="0" w:color="auto"/>
              <w:bottom w:val="single" w:sz="4" w:space="0" w:color="auto"/>
              <w:right w:val="nil"/>
            </w:tcBorders>
            <w:shd w:val="clear" w:color="auto" w:fill="E2EFD9" w:themeFill="accent6" w:themeFillTint="33"/>
            <w:vAlign w:val="center"/>
            <w:hideMark/>
          </w:tcPr>
          <w:p w14:paraId="43840A18" w14:textId="77777777" w:rsidR="00E16412" w:rsidRPr="007936A7" w:rsidRDefault="00E16412" w:rsidP="005C2EFC">
            <w:pPr>
              <w:rPr>
                <w:sz w:val="16"/>
                <w:szCs w:val="16"/>
              </w:rPr>
            </w:pPr>
            <w:r w:rsidRPr="007936A7">
              <w:rPr>
                <w:sz w:val="16"/>
                <w:szCs w:val="16"/>
              </w:rPr>
              <w:t xml:space="preserve"> Planted Area (ha) </w:t>
            </w:r>
          </w:p>
        </w:tc>
        <w:tc>
          <w:tcPr>
            <w:tcW w:w="1079" w:type="dxa"/>
            <w:tcBorders>
              <w:top w:val="nil"/>
              <w:left w:val="nil"/>
              <w:bottom w:val="single" w:sz="4" w:space="0" w:color="auto"/>
              <w:right w:val="nil"/>
            </w:tcBorders>
            <w:shd w:val="clear" w:color="auto" w:fill="E2EFD9" w:themeFill="accent6" w:themeFillTint="33"/>
            <w:vAlign w:val="center"/>
            <w:hideMark/>
          </w:tcPr>
          <w:p w14:paraId="3B840D71" w14:textId="77777777" w:rsidR="00E16412" w:rsidRPr="007936A7" w:rsidRDefault="00E16412" w:rsidP="005C2EFC">
            <w:pPr>
              <w:rPr>
                <w:sz w:val="16"/>
                <w:szCs w:val="16"/>
              </w:rPr>
            </w:pPr>
            <w:r w:rsidRPr="007936A7">
              <w:rPr>
                <w:sz w:val="16"/>
                <w:szCs w:val="16"/>
              </w:rPr>
              <w:t xml:space="preserve"> Harvested Area (ha) </w:t>
            </w:r>
          </w:p>
        </w:tc>
        <w:tc>
          <w:tcPr>
            <w:tcW w:w="1089" w:type="dxa"/>
            <w:tcBorders>
              <w:top w:val="nil"/>
              <w:left w:val="nil"/>
              <w:bottom w:val="single" w:sz="4" w:space="0" w:color="auto"/>
              <w:right w:val="nil"/>
            </w:tcBorders>
            <w:shd w:val="clear" w:color="auto" w:fill="E2EFD9" w:themeFill="accent6" w:themeFillTint="33"/>
            <w:vAlign w:val="center"/>
            <w:hideMark/>
          </w:tcPr>
          <w:p w14:paraId="54046FE8" w14:textId="77777777" w:rsidR="00E16412" w:rsidRPr="007936A7" w:rsidRDefault="00E16412" w:rsidP="005C2EFC">
            <w:pPr>
              <w:rPr>
                <w:sz w:val="16"/>
                <w:szCs w:val="16"/>
              </w:rPr>
            </w:pPr>
            <w:r w:rsidRPr="007936A7">
              <w:rPr>
                <w:sz w:val="16"/>
                <w:szCs w:val="16"/>
              </w:rPr>
              <w:t xml:space="preserve"> Quantity harvested (tons) </w:t>
            </w:r>
          </w:p>
        </w:tc>
        <w:tc>
          <w:tcPr>
            <w:tcW w:w="912" w:type="dxa"/>
            <w:tcBorders>
              <w:top w:val="nil"/>
              <w:left w:val="nil"/>
              <w:bottom w:val="single" w:sz="4" w:space="0" w:color="auto"/>
              <w:right w:val="nil"/>
            </w:tcBorders>
            <w:shd w:val="clear" w:color="auto" w:fill="E2EFD9" w:themeFill="accent6" w:themeFillTint="33"/>
            <w:vAlign w:val="center"/>
            <w:hideMark/>
          </w:tcPr>
          <w:p w14:paraId="4945F88A" w14:textId="77777777" w:rsidR="00E16412" w:rsidRPr="007936A7" w:rsidRDefault="00E16412" w:rsidP="005C2EFC">
            <w:pPr>
              <w:rPr>
                <w:sz w:val="16"/>
                <w:szCs w:val="16"/>
              </w:rPr>
            </w:pPr>
            <w:r w:rsidRPr="007936A7">
              <w:rPr>
                <w:sz w:val="16"/>
                <w:szCs w:val="16"/>
              </w:rPr>
              <w:t xml:space="preserve"> Yield (tons/ha) </w:t>
            </w:r>
          </w:p>
        </w:tc>
      </w:tr>
      <w:tr w:rsidR="007936A7" w:rsidRPr="007936A7" w14:paraId="1A3A4D55" w14:textId="77777777" w:rsidTr="007936A7">
        <w:trPr>
          <w:trHeight w:val="300"/>
        </w:trPr>
        <w:tc>
          <w:tcPr>
            <w:tcW w:w="1451" w:type="dxa"/>
            <w:tcBorders>
              <w:top w:val="nil"/>
              <w:left w:val="nil"/>
              <w:bottom w:val="nil"/>
              <w:right w:val="nil"/>
            </w:tcBorders>
            <w:shd w:val="clear" w:color="auto" w:fill="auto"/>
            <w:noWrap/>
            <w:vAlign w:val="bottom"/>
            <w:hideMark/>
          </w:tcPr>
          <w:p w14:paraId="271EB464" w14:textId="0DFCABAC" w:rsidR="00E16412" w:rsidRPr="007936A7" w:rsidRDefault="00E16412" w:rsidP="007936A7">
            <w:pPr>
              <w:jc w:val="left"/>
              <w:rPr>
                <w:sz w:val="16"/>
                <w:szCs w:val="16"/>
              </w:rPr>
            </w:pPr>
            <w:r w:rsidRPr="007936A7">
              <w:rPr>
                <w:sz w:val="16"/>
                <w:szCs w:val="16"/>
              </w:rPr>
              <w:t>Cassava</w:t>
            </w:r>
          </w:p>
        </w:tc>
        <w:tc>
          <w:tcPr>
            <w:tcW w:w="993" w:type="dxa"/>
            <w:tcBorders>
              <w:top w:val="nil"/>
              <w:left w:val="single" w:sz="4" w:space="0" w:color="auto"/>
              <w:bottom w:val="nil"/>
              <w:right w:val="nil"/>
            </w:tcBorders>
            <w:shd w:val="clear" w:color="auto" w:fill="auto"/>
            <w:noWrap/>
            <w:vAlign w:val="bottom"/>
            <w:hideMark/>
          </w:tcPr>
          <w:p w14:paraId="5FFB2D47" w14:textId="7402A3CE" w:rsidR="00E16412" w:rsidRPr="007936A7" w:rsidRDefault="00E16412" w:rsidP="000A5ABC">
            <w:pPr>
              <w:jc w:val="right"/>
              <w:rPr>
                <w:sz w:val="16"/>
                <w:szCs w:val="16"/>
              </w:rPr>
            </w:pPr>
            <w:r w:rsidRPr="007936A7">
              <w:rPr>
                <w:sz w:val="16"/>
                <w:szCs w:val="16"/>
              </w:rPr>
              <w:t>740,705</w:t>
            </w:r>
          </w:p>
        </w:tc>
        <w:tc>
          <w:tcPr>
            <w:tcW w:w="1080" w:type="dxa"/>
            <w:tcBorders>
              <w:top w:val="nil"/>
              <w:left w:val="nil"/>
              <w:bottom w:val="nil"/>
              <w:right w:val="nil"/>
            </w:tcBorders>
            <w:shd w:val="clear" w:color="auto" w:fill="auto"/>
            <w:noWrap/>
            <w:vAlign w:val="bottom"/>
            <w:hideMark/>
          </w:tcPr>
          <w:p w14:paraId="4204EB8A" w14:textId="2278AFB2" w:rsidR="00E16412" w:rsidRPr="007936A7" w:rsidRDefault="00E16412" w:rsidP="000A5ABC">
            <w:pPr>
              <w:jc w:val="right"/>
              <w:rPr>
                <w:sz w:val="16"/>
                <w:szCs w:val="16"/>
              </w:rPr>
            </w:pPr>
            <w:r w:rsidRPr="007936A7">
              <w:rPr>
                <w:sz w:val="16"/>
                <w:szCs w:val="16"/>
              </w:rPr>
              <w:t>225,005</w:t>
            </w:r>
          </w:p>
        </w:tc>
        <w:tc>
          <w:tcPr>
            <w:tcW w:w="1099" w:type="dxa"/>
            <w:tcBorders>
              <w:top w:val="nil"/>
              <w:left w:val="nil"/>
              <w:bottom w:val="nil"/>
              <w:right w:val="nil"/>
            </w:tcBorders>
            <w:shd w:val="clear" w:color="auto" w:fill="auto"/>
            <w:noWrap/>
            <w:vAlign w:val="bottom"/>
            <w:hideMark/>
          </w:tcPr>
          <w:p w14:paraId="51CCD271" w14:textId="0D5D8931" w:rsidR="00E16412" w:rsidRPr="007936A7" w:rsidRDefault="00E16412" w:rsidP="000A5ABC">
            <w:pPr>
              <w:jc w:val="right"/>
              <w:rPr>
                <w:sz w:val="16"/>
                <w:szCs w:val="16"/>
              </w:rPr>
            </w:pPr>
            <w:r w:rsidRPr="007936A7">
              <w:rPr>
                <w:sz w:val="16"/>
                <w:szCs w:val="16"/>
              </w:rPr>
              <w:t>1,770,608</w:t>
            </w:r>
          </w:p>
        </w:tc>
        <w:tc>
          <w:tcPr>
            <w:tcW w:w="870" w:type="dxa"/>
            <w:tcBorders>
              <w:top w:val="nil"/>
              <w:left w:val="nil"/>
              <w:bottom w:val="nil"/>
              <w:right w:val="single" w:sz="4" w:space="0" w:color="auto"/>
            </w:tcBorders>
            <w:shd w:val="clear" w:color="auto" w:fill="auto"/>
            <w:noWrap/>
            <w:vAlign w:val="bottom"/>
            <w:hideMark/>
          </w:tcPr>
          <w:p w14:paraId="39B21391" w14:textId="2E0FEB8B" w:rsidR="00E16412" w:rsidRPr="007936A7" w:rsidRDefault="00E16412" w:rsidP="000A5ABC">
            <w:pPr>
              <w:jc w:val="right"/>
              <w:rPr>
                <w:sz w:val="16"/>
                <w:szCs w:val="16"/>
              </w:rPr>
            </w:pPr>
            <w:r w:rsidRPr="007936A7">
              <w:rPr>
                <w:sz w:val="16"/>
                <w:szCs w:val="16"/>
              </w:rPr>
              <w:t>7.9</w:t>
            </w:r>
          </w:p>
        </w:tc>
        <w:tc>
          <w:tcPr>
            <w:tcW w:w="1060" w:type="dxa"/>
            <w:tcBorders>
              <w:top w:val="nil"/>
              <w:left w:val="nil"/>
              <w:bottom w:val="nil"/>
              <w:right w:val="nil"/>
            </w:tcBorders>
            <w:shd w:val="clear" w:color="auto" w:fill="auto"/>
            <w:noWrap/>
            <w:vAlign w:val="bottom"/>
            <w:hideMark/>
          </w:tcPr>
          <w:p w14:paraId="7FA56555" w14:textId="365F0B75" w:rsidR="00E16412" w:rsidRPr="007936A7" w:rsidRDefault="00E16412" w:rsidP="000A5ABC">
            <w:pPr>
              <w:jc w:val="right"/>
              <w:rPr>
                <w:sz w:val="16"/>
                <w:szCs w:val="16"/>
              </w:rPr>
            </w:pPr>
            <w:r w:rsidRPr="007936A7">
              <w:rPr>
                <w:sz w:val="16"/>
                <w:szCs w:val="16"/>
              </w:rPr>
              <w:t>677,911</w:t>
            </w:r>
          </w:p>
        </w:tc>
        <w:tc>
          <w:tcPr>
            <w:tcW w:w="1133" w:type="dxa"/>
            <w:tcBorders>
              <w:top w:val="nil"/>
              <w:left w:val="nil"/>
              <w:bottom w:val="nil"/>
              <w:right w:val="nil"/>
            </w:tcBorders>
            <w:shd w:val="clear" w:color="auto" w:fill="auto"/>
            <w:noWrap/>
            <w:vAlign w:val="bottom"/>
            <w:hideMark/>
          </w:tcPr>
          <w:p w14:paraId="072D6EE9" w14:textId="0820A223" w:rsidR="00E16412" w:rsidRPr="007936A7" w:rsidRDefault="00E16412" w:rsidP="000A5ABC">
            <w:pPr>
              <w:jc w:val="right"/>
              <w:rPr>
                <w:sz w:val="16"/>
                <w:szCs w:val="16"/>
              </w:rPr>
            </w:pPr>
            <w:r w:rsidRPr="007936A7">
              <w:rPr>
                <w:sz w:val="16"/>
                <w:szCs w:val="16"/>
              </w:rPr>
              <w:t>189,309</w:t>
            </w:r>
          </w:p>
        </w:tc>
        <w:tc>
          <w:tcPr>
            <w:tcW w:w="1079" w:type="dxa"/>
            <w:tcBorders>
              <w:top w:val="nil"/>
              <w:left w:val="nil"/>
              <w:bottom w:val="nil"/>
              <w:right w:val="nil"/>
            </w:tcBorders>
            <w:shd w:val="clear" w:color="auto" w:fill="auto"/>
            <w:noWrap/>
            <w:vAlign w:val="bottom"/>
            <w:hideMark/>
          </w:tcPr>
          <w:p w14:paraId="75048C06" w14:textId="711D4CB6" w:rsidR="00E16412" w:rsidRPr="007936A7" w:rsidRDefault="00E16412" w:rsidP="000A5ABC">
            <w:pPr>
              <w:jc w:val="right"/>
              <w:rPr>
                <w:sz w:val="16"/>
                <w:szCs w:val="16"/>
              </w:rPr>
            </w:pPr>
            <w:r w:rsidRPr="007936A7">
              <w:rPr>
                <w:sz w:val="16"/>
                <w:szCs w:val="16"/>
              </w:rPr>
              <w:t>1,586,636</w:t>
            </w:r>
          </w:p>
        </w:tc>
        <w:tc>
          <w:tcPr>
            <w:tcW w:w="868" w:type="dxa"/>
            <w:tcBorders>
              <w:top w:val="nil"/>
              <w:left w:val="nil"/>
              <w:bottom w:val="nil"/>
              <w:right w:val="nil"/>
            </w:tcBorders>
            <w:shd w:val="clear" w:color="auto" w:fill="auto"/>
            <w:noWrap/>
            <w:vAlign w:val="bottom"/>
            <w:hideMark/>
          </w:tcPr>
          <w:p w14:paraId="4A7CC8E7" w14:textId="1840F548" w:rsidR="00E16412" w:rsidRPr="007936A7" w:rsidRDefault="00E16412" w:rsidP="000A5ABC">
            <w:pPr>
              <w:jc w:val="right"/>
              <w:rPr>
                <w:sz w:val="16"/>
                <w:szCs w:val="16"/>
              </w:rPr>
            </w:pPr>
            <w:r w:rsidRPr="007936A7">
              <w:rPr>
                <w:sz w:val="16"/>
                <w:szCs w:val="16"/>
              </w:rPr>
              <w:t>8.4</w:t>
            </w:r>
          </w:p>
        </w:tc>
        <w:tc>
          <w:tcPr>
            <w:tcW w:w="991" w:type="dxa"/>
            <w:tcBorders>
              <w:top w:val="nil"/>
              <w:left w:val="single" w:sz="4" w:space="0" w:color="auto"/>
              <w:bottom w:val="nil"/>
              <w:right w:val="nil"/>
            </w:tcBorders>
            <w:shd w:val="clear" w:color="auto" w:fill="auto"/>
            <w:noWrap/>
            <w:vAlign w:val="bottom"/>
            <w:hideMark/>
          </w:tcPr>
          <w:p w14:paraId="3034102C" w14:textId="39DAC180" w:rsidR="00E16412" w:rsidRPr="007936A7" w:rsidRDefault="00E16412" w:rsidP="000A5ABC">
            <w:pPr>
              <w:jc w:val="right"/>
              <w:rPr>
                <w:sz w:val="16"/>
                <w:szCs w:val="16"/>
              </w:rPr>
            </w:pPr>
            <w:r w:rsidRPr="007936A7">
              <w:rPr>
                <w:sz w:val="16"/>
                <w:szCs w:val="16"/>
              </w:rPr>
              <w:t>62,794</w:t>
            </w:r>
          </w:p>
        </w:tc>
        <w:tc>
          <w:tcPr>
            <w:tcW w:w="1079" w:type="dxa"/>
            <w:tcBorders>
              <w:top w:val="nil"/>
              <w:left w:val="nil"/>
              <w:bottom w:val="nil"/>
              <w:right w:val="nil"/>
            </w:tcBorders>
            <w:shd w:val="clear" w:color="auto" w:fill="auto"/>
            <w:noWrap/>
            <w:vAlign w:val="bottom"/>
            <w:hideMark/>
          </w:tcPr>
          <w:p w14:paraId="585D420C" w14:textId="200F101A" w:rsidR="00E16412" w:rsidRPr="007936A7" w:rsidRDefault="00E16412" w:rsidP="000A5ABC">
            <w:pPr>
              <w:jc w:val="right"/>
              <w:rPr>
                <w:sz w:val="16"/>
                <w:szCs w:val="16"/>
              </w:rPr>
            </w:pPr>
            <w:r w:rsidRPr="007936A7">
              <w:rPr>
                <w:sz w:val="16"/>
                <w:szCs w:val="16"/>
              </w:rPr>
              <w:t>35,696</w:t>
            </w:r>
          </w:p>
        </w:tc>
        <w:tc>
          <w:tcPr>
            <w:tcW w:w="1089" w:type="dxa"/>
            <w:tcBorders>
              <w:top w:val="nil"/>
              <w:left w:val="nil"/>
              <w:bottom w:val="nil"/>
              <w:right w:val="nil"/>
            </w:tcBorders>
            <w:shd w:val="clear" w:color="auto" w:fill="auto"/>
            <w:noWrap/>
            <w:vAlign w:val="bottom"/>
            <w:hideMark/>
          </w:tcPr>
          <w:p w14:paraId="0CBBACF1" w14:textId="25B22623" w:rsidR="00E16412" w:rsidRPr="007936A7" w:rsidRDefault="00E16412" w:rsidP="000A5ABC">
            <w:pPr>
              <w:jc w:val="right"/>
              <w:rPr>
                <w:sz w:val="16"/>
                <w:szCs w:val="16"/>
              </w:rPr>
            </w:pPr>
            <w:r w:rsidRPr="007936A7">
              <w:rPr>
                <w:sz w:val="16"/>
                <w:szCs w:val="16"/>
              </w:rPr>
              <w:t>183,971</w:t>
            </w:r>
          </w:p>
        </w:tc>
        <w:tc>
          <w:tcPr>
            <w:tcW w:w="912" w:type="dxa"/>
            <w:tcBorders>
              <w:top w:val="nil"/>
              <w:left w:val="nil"/>
              <w:bottom w:val="nil"/>
              <w:right w:val="nil"/>
            </w:tcBorders>
            <w:shd w:val="clear" w:color="auto" w:fill="auto"/>
            <w:noWrap/>
            <w:vAlign w:val="bottom"/>
            <w:hideMark/>
          </w:tcPr>
          <w:p w14:paraId="16E64037" w14:textId="13CEE556" w:rsidR="00E16412" w:rsidRPr="007936A7" w:rsidRDefault="00E16412" w:rsidP="000A5ABC">
            <w:pPr>
              <w:jc w:val="right"/>
              <w:rPr>
                <w:sz w:val="16"/>
                <w:szCs w:val="16"/>
              </w:rPr>
            </w:pPr>
            <w:r w:rsidRPr="007936A7">
              <w:rPr>
                <w:sz w:val="16"/>
                <w:szCs w:val="16"/>
              </w:rPr>
              <w:t>5.2</w:t>
            </w:r>
          </w:p>
        </w:tc>
      </w:tr>
      <w:tr w:rsidR="007936A7" w:rsidRPr="007936A7" w14:paraId="3C1ECE7E" w14:textId="77777777" w:rsidTr="007936A7">
        <w:trPr>
          <w:trHeight w:val="300"/>
        </w:trPr>
        <w:tc>
          <w:tcPr>
            <w:tcW w:w="1451" w:type="dxa"/>
            <w:tcBorders>
              <w:top w:val="nil"/>
              <w:left w:val="nil"/>
              <w:bottom w:val="nil"/>
              <w:right w:val="nil"/>
            </w:tcBorders>
            <w:shd w:val="clear" w:color="auto" w:fill="auto"/>
            <w:noWrap/>
            <w:vAlign w:val="bottom"/>
            <w:hideMark/>
          </w:tcPr>
          <w:p w14:paraId="49B57711" w14:textId="4BF6222E" w:rsidR="00E16412" w:rsidRPr="007936A7" w:rsidRDefault="00E16412" w:rsidP="007936A7">
            <w:pPr>
              <w:jc w:val="left"/>
              <w:rPr>
                <w:sz w:val="16"/>
                <w:szCs w:val="16"/>
              </w:rPr>
            </w:pPr>
            <w:r w:rsidRPr="007936A7">
              <w:rPr>
                <w:sz w:val="16"/>
                <w:szCs w:val="16"/>
              </w:rPr>
              <w:t>Sweet Potatoes</w:t>
            </w:r>
          </w:p>
        </w:tc>
        <w:tc>
          <w:tcPr>
            <w:tcW w:w="993" w:type="dxa"/>
            <w:tcBorders>
              <w:top w:val="nil"/>
              <w:left w:val="single" w:sz="4" w:space="0" w:color="auto"/>
              <w:bottom w:val="nil"/>
              <w:right w:val="nil"/>
            </w:tcBorders>
            <w:shd w:val="clear" w:color="auto" w:fill="auto"/>
            <w:noWrap/>
            <w:vAlign w:val="bottom"/>
            <w:hideMark/>
          </w:tcPr>
          <w:p w14:paraId="51A5A210" w14:textId="6A654B0B" w:rsidR="00E16412" w:rsidRPr="007936A7" w:rsidRDefault="00E16412" w:rsidP="000A5ABC">
            <w:pPr>
              <w:jc w:val="right"/>
              <w:rPr>
                <w:sz w:val="16"/>
                <w:szCs w:val="16"/>
              </w:rPr>
            </w:pPr>
            <w:r w:rsidRPr="007936A7">
              <w:rPr>
                <w:sz w:val="16"/>
                <w:szCs w:val="16"/>
              </w:rPr>
              <w:t>289,917</w:t>
            </w:r>
          </w:p>
        </w:tc>
        <w:tc>
          <w:tcPr>
            <w:tcW w:w="1080" w:type="dxa"/>
            <w:tcBorders>
              <w:top w:val="nil"/>
              <w:left w:val="nil"/>
              <w:bottom w:val="nil"/>
              <w:right w:val="nil"/>
            </w:tcBorders>
            <w:shd w:val="clear" w:color="auto" w:fill="auto"/>
            <w:noWrap/>
            <w:vAlign w:val="bottom"/>
            <w:hideMark/>
          </w:tcPr>
          <w:p w14:paraId="5A472650" w14:textId="61315260" w:rsidR="00E16412" w:rsidRPr="007936A7" w:rsidRDefault="00E16412" w:rsidP="000A5ABC">
            <w:pPr>
              <w:jc w:val="right"/>
              <w:rPr>
                <w:sz w:val="16"/>
                <w:szCs w:val="16"/>
              </w:rPr>
            </w:pPr>
            <w:r w:rsidRPr="007936A7">
              <w:rPr>
                <w:sz w:val="16"/>
                <w:szCs w:val="16"/>
              </w:rPr>
              <w:t>234,664</w:t>
            </w:r>
          </w:p>
        </w:tc>
        <w:tc>
          <w:tcPr>
            <w:tcW w:w="1099" w:type="dxa"/>
            <w:tcBorders>
              <w:top w:val="nil"/>
              <w:left w:val="nil"/>
              <w:bottom w:val="nil"/>
              <w:right w:val="nil"/>
            </w:tcBorders>
            <w:shd w:val="clear" w:color="auto" w:fill="auto"/>
            <w:noWrap/>
            <w:vAlign w:val="bottom"/>
            <w:hideMark/>
          </w:tcPr>
          <w:p w14:paraId="7695B77B" w14:textId="6926AA65" w:rsidR="00E16412" w:rsidRPr="007936A7" w:rsidRDefault="00E16412" w:rsidP="000A5ABC">
            <w:pPr>
              <w:jc w:val="right"/>
              <w:rPr>
                <w:sz w:val="16"/>
                <w:szCs w:val="16"/>
              </w:rPr>
            </w:pPr>
            <w:r w:rsidRPr="007936A7">
              <w:rPr>
                <w:sz w:val="16"/>
                <w:szCs w:val="16"/>
              </w:rPr>
              <w:t>504,302</w:t>
            </w:r>
          </w:p>
        </w:tc>
        <w:tc>
          <w:tcPr>
            <w:tcW w:w="870" w:type="dxa"/>
            <w:tcBorders>
              <w:top w:val="nil"/>
              <w:left w:val="nil"/>
              <w:bottom w:val="nil"/>
              <w:right w:val="single" w:sz="4" w:space="0" w:color="auto"/>
            </w:tcBorders>
            <w:shd w:val="clear" w:color="auto" w:fill="auto"/>
            <w:noWrap/>
            <w:vAlign w:val="bottom"/>
            <w:hideMark/>
          </w:tcPr>
          <w:p w14:paraId="68ACE384" w14:textId="12091A19" w:rsidR="00E16412" w:rsidRPr="007936A7" w:rsidRDefault="00E16412" w:rsidP="000A5ABC">
            <w:pPr>
              <w:jc w:val="right"/>
              <w:rPr>
                <w:sz w:val="16"/>
                <w:szCs w:val="16"/>
              </w:rPr>
            </w:pPr>
            <w:r w:rsidRPr="007936A7">
              <w:rPr>
                <w:sz w:val="16"/>
                <w:szCs w:val="16"/>
              </w:rPr>
              <w:t>2.1</w:t>
            </w:r>
          </w:p>
        </w:tc>
        <w:tc>
          <w:tcPr>
            <w:tcW w:w="1060" w:type="dxa"/>
            <w:tcBorders>
              <w:top w:val="nil"/>
              <w:left w:val="nil"/>
              <w:bottom w:val="nil"/>
              <w:right w:val="nil"/>
            </w:tcBorders>
            <w:shd w:val="clear" w:color="auto" w:fill="auto"/>
            <w:noWrap/>
            <w:vAlign w:val="bottom"/>
            <w:hideMark/>
          </w:tcPr>
          <w:p w14:paraId="4BA12647" w14:textId="2C3EC701" w:rsidR="00E16412" w:rsidRPr="007936A7" w:rsidRDefault="00E16412" w:rsidP="000A5ABC">
            <w:pPr>
              <w:jc w:val="right"/>
              <w:rPr>
                <w:sz w:val="16"/>
                <w:szCs w:val="16"/>
              </w:rPr>
            </w:pPr>
            <w:r w:rsidRPr="007936A7">
              <w:rPr>
                <w:sz w:val="16"/>
                <w:szCs w:val="16"/>
              </w:rPr>
              <w:t>282,773</w:t>
            </w:r>
          </w:p>
        </w:tc>
        <w:tc>
          <w:tcPr>
            <w:tcW w:w="1133" w:type="dxa"/>
            <w:tcBorders>
              <w:top w:val="nil"/>
              <w:left w:val="nil"/>
              <w:bottom w:val="nil"/>
              <w:right w:val="nil"/>
            </w:tcBorders>
            <w:shd w:val="clear" w:color="auto" w:fill="auto"/>
            <w:noWrap/>
            <w:vAlign w:val="bottom"/>
            <w:hideMark/>
          </w:tcPr>
          <w:p w14:paraId="00465E25" w14:textId="6B989759" w:rsidR="00E16412" w:rsidRPr="007936A7" w:rsidRDefault="00E16412" w:rsidP="000A5ABC">
            <w:pPr>
              <w:jc w:val="right"/>
              <w:rPr>
                <w:sz w:val="16"/>
                <w:szCs w:val="16"/>
              </w:rPr>
            </w:pPr>
            <w:r w:rsidRPr="007936A7">
              <w:rPr>
                <w:sz w:val="16"/>
                <w:szCs w:val="16"/>
              </w:rPr>
              <w:t>231,209</w:t>
            </w:r>
          </w:p>
        </w:tc>
        <w:tc>
          <w:tcPr>
            <w:tcW w:w="1079" w:type="dxa"/>
            <w:tcBorders>
              <w:top w:val="nil"/>
              <w:left w:val="nil"/>
              <w:bottom w:val="nil"/>
              <w:right w:val="nil"/>
            </w:tcBorders>
            <w:shd w:val="clear" w:color="auto" w:fill="auto"/>
            <w:noWrap/>
            <w:vAlign w:val="bottom"/>
            <w:hideMark/>
          </w:tcPr>
          <w:p w14:paraId="26965795" w14:textId="262DB8A0" w:rsidR="00E16412" w:rsidRPr="007936A7" w:rsidRDefault="00E16412" w:rsidP="000A5ABC">
            <w:pPr>
              <w:jc w:val="right"/>
              <w:rPr>
                <w:sz w:val="16"/>
                <w:szCs w:val="16"/>
              </w:rPr>
            </w:pPr>
            <w:r w:rsidRPr="007936A7">
              <w:rPr>
                <w:sz w:val="16"/>
                <w:szCs w:val="16"/>
              </w:rPr>
              <w:t>466,122</w:t>
            </w:r>
          </w:p>
        </w:tc>
        <w:tc>
          <w:tcPr>
            <w:tcW w:w="868" w:type="dxa"/>
            <w:tcBorders>
              <w:top w:val="nil"/>
              <w:left w:val="nil"/>
              <w:bottom w:val="nil"/>
              <w:right w:val="nil"/>
            </w:tcBorders>
            <w:shd w:val="clear" w:color="auto" w:fill="auto"/>
            <w:noWrap/>
            <w:vAlign w:val="bottom"/>
            <w:hideMark/>
          </w:tcPr>
          <w:p w14:paraId="70AAB410" w14:textId="6D15C8C7" w:rsidR="00E16412" w:rsidRPr="007936A7" w:rsidRDefault="00E16412" w:rsidP="000A5ABC">
            <w:pPr>
              <w:jc w:val="right"/>
              <w:rPr>
                <w:sz w:val="16"/>
                <w:szCs w:val="16"/>
              </w:rPr>
            </w:pPr>
            <w:r w:rsidRPr="007936A7">
              <w:rPr>
                <w:sz w:val="16"/>
                <w:szCs w:val="16"/>
              </w:rPr>
              <w:t>2.0</w:t>
            </w:r>
          </w:p>
        </w:tc>
        <w:tc>
          <w:tcPr>
            <w:tcW w:w="991" w:type="dxa"/>
            <w:tcBorders>
              <w:top w:val="nil"/>
              <w:left w:val="single" w:sz="4" w:space="0" w:color="auto"/>
              <w:bottom w:val="nil"/>
              <w:right w:val="nil"/>
            </w:tcBorders>
            <w:shd w:val="clear" w:color="auto" w:fill="auto"/>
            <w:noWrap/>
            <w:vAlign w:val="bottom"/>
            <w:hideMark/>
          </w:tcPr>
          <w:p w14:paraId="5FCAB63B" w14:textId="44B3AD4E" w:rsidR="00E16412" w:rsidRPr="007936A7" w:rsidRDefault="00E16412" w:rsidP="000A5ABC">
            <w:pPr>
              <w:jc w:val="right"/>
              <w:rPr>
                <w:sz w:val="16"/>
                <w:szCs w:val="16"/>
              </w:rPr>
            </w:pPr>
            <w:r w:rsidRPr="007936A7">
              <w:rPr>
                <w:sz w:val="16"/>
                <w:szCs w:val="16"/>
              </w:rPr>
              <w:t>7,144</w:t>
            </w:r>
          </w:p>
        </w:tc>
        <w:tc>
          <w:tcPr>
            <w:tcW w:w="1079" w:type="dxa"/>
            <w:tcBorders>
              <w:top w:val="nil"/>
              <w:left w:val="nil"/>
              <w:bottom w:val="nil"/>
              <w:right w:val="nil"/>
            </w:tcBorders>
            <w:shd w:val="clear" w:color="auto" w:fill="auto"/>
            <w:noWrap/>
            <w:vAlign w:val="bottom"/>
            <w:hideMark/>
          </w:tcPr>
          <w:p w14:paraId="7EBDEF57" w14:textId="4131936F" w:rsidR="00E16412" w:rsidRPr="007936A7" w:rsidRDefault="00E16412" w:rsidP="000A5ABC">
            <w:pPr>
              <w:jc w:val="right"/>
              <w:rPr>
                <w:sz w:val="16"/>
                <w:szCs w:val="16"/>
              </w:rPr>
            </w:pPr>
            <w:r w:rsidRPr="007936A7">
              <w:rPr>
                <w:sz w:val="16"/>
                <w:szCs w:val="16"/>
              </w:rPr>
              <w:t>3,455</w:t>
            </w:r>
          </w:p>
        </w:tc>
        <w:tc>
          <w:tcPr>
            <w:tcW w:w="1089" w:type="dxa"/>
            <w:tcBorders>
              <w:top w:val="nil"/>
              <w:left w:val="nil"/>
              <w:bottom w:val="nil"/>
              <w:right w:val="nil"/>
            </w:tcBorders>
            <w:shd w:val="clear" w:color="auto" w:fill="auto"/>
            <w:noWrap/>
            <w:vAlign w:val="bottom"/>
            <w:hideMark/>
          </w:tcPr>
          <w:p w14:paraId="5793CAC0" w14:textId="4D5F4003" w:rsidR="00E16412" w:rsidRPr="007936A7" w:rsidRDefault="00E16412" w:rsidP="000A5ABC">
            <w:pPr>
              <w:jc w:val="right"/>
              <w:rPr>
                <w:sz w:val="16"/>
                <w:szCs w:val="16"/>
              </w:rPr>
            </w:pPr>
            <w:r w:rsidRPr="007936A7">
              <w:rPr>
                <w:sz w:val="16"/>
                <w:szCs w:val="16"/>
              </w:rPr>
              <w:t>38,180</w:t>
            </w:r>
          </w:p>
        </w:tc>
        <w:tc>
          <w:tcPr>
            <w:tcW w:w="912" w:type="dxa"/>
            <w:tcBorders>
              <w:top w:val="nil"/>
              <w:left w:val="nil"/>
              <w:bottom w:val="nil"/>
              <w:right w:val="nil"/>
            </w:tcBorders>
            <w:shd w:val="clear" w:color="auto" w:fill="auto"/>
            <w:noWrap/>
            <w:vAlign w:val="bottom"/>
            <w:hideMark/>
          </w:tcPr>
          <w:p w14:paraId="5BD60230" w14:textId="3CE5BAA6" w:rsidR="00E16412" w:rsidRPr="007936A7" w:rsidRDefault="00E16412" w:rsidP="000A5ABC">
            <w:pPr>
              <w:jc w:val="right"/>
              <w:rPr>
                <w:sz w:val="16"/>
                <w:szCs w:val="16"/>
              </w:rPr>
            </w:pPr>
            <w:r w:rsidRPr="007936A7">
              <w:rPr>
                <w:sz w:val="16"/>
                <w:szCs w:val="16"/>
              </w:rPr>
              <w:t>11.0</w:t>
            </w:r>
          </w:p>
        </w:tc>
      </w:tr>
      <w:tr w:rsidR="007936A7" w:rsidRPr="007936A7" w14:paraId="5EF8123D" w14:textId="77777777" w:rsidTr="007936A7">
        <w:trPr>
          <w:trHeight w:val="300"/>
        </w:trPr>
        <w:tc>
          <w:tcPr>
            <w:tcW w:w="1451" w:type="dxa"/>
            <w:tcBorders>
              <w:top w:val="nil"/>
              <w:left w:val="nil"/>
              <w:bottom w:val="nil"/>
              <w:right w:val="nil"/>
            </w:tcBorders>
            <w:shd w:val="clear" w:color="auto" w:fill="auto"/>
            <w:noWrap/>
            <w:vAlign w:val="bottom"/>
            <w:hideMark/>
          </w:tcPr>
          <w:p w14:paraId="04E49690" w14:textId="1B01B232" w:rsidR="00E16412" w:rsidRPr="007936A7" w:rsidRDefault="00E16412" w:rsidP="007936A7">
            <w:pPr>
              <w:jc w:val="left"/>
              <w:rPr>
                <w:sz w:val="16"/>
                <w:szCs w:val="16"/>
              </w:rPr>
            </w:pPr>
            <w:r w:rsidRPr="007936A7">
              <w:rPr>
                <w:sz w:val="16"/>
                <w:szCs w:val="16"/>
              </w:rPr>
              <w:t>Irish Potatoes</w:t>
            </w:r>
          </w:p>
        </w:tc>
        <w:tc>
          <w:tcPr>
            <w:tcW w:w="993" w:type="dxa"/>
            <w:tcBorders>
              <w:top w:val="nil"/>
              <w:left w:val="single" w:sz="4" w:space="0" w:color="auto"/>
              <w:bottom w:val="nil"/>
              <w:right w:val="nil"/>
            </w:tcBorders>
            <w:shd w:val="clear" w:color="auto" w:fill="auto"/>
            <w:noWrap/>
            <w:vAlign w:val="bottom"/>
            <w:hideMark/>
          </w:tcPr>
          <w:p w14:paraId="5070BD2C" w14:textId="3F2E5A7B" w:rsidR="00E16412" w:rsidRPr="007936A7" w:rsidRDefault="00E16412" w:rsidP="000A5ABC">
            <w:pPr>
              <w:jc w:val="right"/>
              <w:rPr>
                <w:sz w:val="16"/>
                <w:szCs w:val="16"/>
              </w:rPr>
            </w:pPr>
            <w:r w:rsidRPr="007936A7">
              <w:rPr>
                <w:sz w:val="16"/>
                <w:szCs w:val="16"/>
              </w:rPr>
              <w:t>64,429</w:t>
            </w:r>
          </w:p>
        </w:tc>
        <w:tc>
          <w:tcPr>
            <w:tcW w:w="1080" w:type="dxa"/>
            <w:tcBorders>
              <w:top w:val="nil"/>
              <w:left w:val="nil"/>
              <w:bottom w:val="nil"/>
              <w:right w:val="nil"/>
            </w:tcBorders>
            <w:shd w:val="clear" w:color="auto" w:fill="auto"/>
            <w:noWrap/>
            <w:vAlign w:val="bottom"/>
            <w:hideMark/>
          </w:tcPr>
          <w:p w14:paraId="101616EE" w14:textId="124FCC03" w:rsidR="00E16412" w:rsidRPr="007936A7" w:rsidRDefault="00E16412" w:rsidP="000A5ABC">
            <w:pPr>
              <w:jc w:val="right"/>
              <w:rPr>
                <w:sz w:val="16"/>
                <w:szCs w:val="16"/>
              </w:rPr>
            </w:pPr>
            <w:r w:rsidRPr="007936A7">
              <w:rPr>
                <w:sz w:val="16"/>
                <w:szCs w:val="16"/>
              </w:rPr>
              <w:t>53,115</w:t>
            </w:r>
          </w:p>
        </w:tc>
        <w:tc>
          <w:tcPr>
            <w:tcW w:w="1099" w:type="dxa"/>
            <w:tcBorders>
              <w:top w:val="nil"/>
              <w:left w:val="nil"/>
              <w:bottom w:val="nil"/>
              <w:right w:val="nil"/>
            </w:tcBorders>
            <w:shd w:val="clear" w:color="auto" w:fill="auto"/>
            <w:noWrap/>
            <w:vAlign w:val="bottom"/>
            <w:hideMark/>
          </w:tcPr>
          <w:p w14:paraId="3A7A690D" w14:textId="62A7F123" w:rsidR="00E16412" w:rsidRPr="007936A7" w:rsidRDefault="00E16412" w:rsidP="000A5ABC">
            <w:pPr>
              <w:jc w:val="right"/>
              <w:rPr>
                <w:sz w:val="16"/>
                <w:szCs w:val="16"/>
              </w:rPr>
            </w:pPr>
            <w:r w:rsidRPr="007936A7">
              <w:rPr>
                <w:sz w:val="16"/>
                <w:szCs w:val="16"/>
              </w:rPr>
              <w:t>319,314</w:t>
            </w:r>
          </w:p>
        </w:tc>
        <w:tc>
          <w:tcPr>
            <w:tcW w:w="870" w:type="dxa"/>
            <w:tcBorders>
              <w:top w:val="nil"/>
              <w:left w:val="nil"/>
              <w:bottom w:val="nil"/>
              <w:right w:val="single" w:sz="4" w:space="0" w:color="auto"/>
            </w:tcBorders>
            <w:shd w:val="clear" w:color="auto" w:fill="auto"/>
            <w:noWrap/>
            <w:vAlign w:val="bottom"/>
            <w:hideMark/>
          </w:tcPr>
          <w:p w14:paraId="051CE13B" w14:textId="643031AF" w:rsidR="00E16412" w:rsidRPr="007936A7" w:rsidRDefault="00E16412" w:rsidP="000A5ABC">
            <w:pPr>
              <w:jc w:val="right"/>
              <w:rPr>
                <w:sz w:val="16"/>
                <w:szCs w:val="16"/>
              </w:rPr>
            </w:pPr>
            <w:r w:rsidRPr="007936A7">
              <w:rPr>
                <w:sz w:val="16"/>
                <w:szCs w:val="16"/>
              </w:rPr>
              <w:t>6.0</w:t>
            </w:r>
          </w:p>
        </w:tc>
        <w:tc>
          <w:tcPr>
            <w:tcW w:w="1060" w:type="dxa"/>
            <w:tcBorders>
              <w:top w:val="nil"/>
              <w:left w:val="nil"/>
              <w:bottom w:val="nil"/>
              <w:right w:val="nil"/>
            </w:tcBorders>
            <w:shd w:val="clear" w:color="auto" w:fill="auto"/>
            <w:noWrap/>
            <w:vAlign w:val="bottom"/>
            <w:hideMark/>
          </w:tcPr>
          <w:p w14:paraId="3FF94F2D" w14:textId="1576EDE7" w:rsidR="00E16412" w:rsidRPr="007936A7" w:rsidRDefault="00E16412" w:rsidP="000A5ABC">
            <w:pPr>
              <w:jc w:val="right"/>
              <w:rPr>
                <w:sz w:val="16"/>
                <w:szCs w:val="16"/>
              </w:rPr>
            </w:pPr>
            <w:r w:rsidRPr="007936A7">
              <w:rPr>
                <w:sz w:val="16"/>
                <w:szCs w:val="16"/>
              </w:rPr>
              <w:t>64,418</w:t>
            </w:r>
          </w:p>
        </w:tc>
        <w:tc>
          <w:tcPr>
            <w:tcW w:w="1133" w:type="dxa"/>
            <w:tcBorders>
              <w:top w:val="nil"/>
              <w:left w:val="nil"/>
              <w:bottom w:val="nil"/>
              <w:right w:val="nil"/>
            </w:tcBorders>
            <w:shd w:val="clear" w:color="auto" w:fill="auto"/>
            <w:noWrap/>
            <w:vAlign w:val="bottom"/>
            <w:hideMark/>
          </w:tcPr>
          <w:p w14:paraId="5A5F5AC5" w14:textId="7CC529B0" w:rsidR="00E16412" w:rsidRPr="007936A7" w:rsidRDefault="00E16412" w:rsidP="000A5ABC">
            <w:pPr>
              <w:jc w:val="right"/>
              <w:rPr>
                <w:sz w:val="16"/>
                <w:szCs w:val="16"/>
              </w:rPr>
            </w:pPr>
            <w:r w:rsidRPr="007936A7">
              <w:rPr>
                <w:sz w:val="16"/>
                <w:szCs w:val="16"/>
              </w:rPr>
              <w:t>53,115</w:t>
            </w:r>
          </w:p>
        </w:tc>
        <w:tc>
          <w:tcPr>
            <w:tcW w:w="1079" w:type="dxa"/>
            <w:tcBorders>
              <w:top w:val="nil"/>
              <w:left w:val="nil"/>
              <w:bottom w:val="nil"/>
              <w:right w:val="nil"/>
            </w:tcBorders>
            <w:shd w:val="clear" w:color="auto" w:fill="auto"/>
            <w:noWrap/>
            <w:vAlign w:val="bottom"/>
            <w:hideMark/>
          </w:tcPr>
          <w:p w14:paraId="172A2736" w14:textId="6A98EB84" w:rsidR="00E16412" w:rsidRPr="007936A7" w:rsidRDefault="00E16412" w:rsidP="000A5ABC">
            <w:pPr>
              <w:jc w:val="right"/>
              <w:rPr>
                <w:sz w:val="16"/>
                <w:szCs w:val="16"/>
              </w:rPr>
            </w:pPr>
            <w:r w:rsidRPr="007936A7">
              <w:rPr>
                <w:sz w:val="16"/>
                <w:szCs w:val="16"/>
              </w:rPr>
              <w:t>319,314</w:t>
            </w:r>
          </w:p>
        </w:tc>
        <w:tc>
          <w:tcPr>
            <w:tcW w:w="868" w:type="dxa"/>
            <w:tcBorders>
              <w:top w:val="nil"/>
              <w:left w:val="nil"/>
              <w:bottom w:val="nil"/>
              <w:right w:val="nil"/>
            </w:tcBorders>
            <w:shd w:val="clear" w:color="auto" w:fill="auto"/>
            <w:noWrap/>
            <w:vAlign w:val="bottom"/>
            <w:hideMark/>
          </w:tcPr>
          <w:p w14:paraId="472F0ED2" w14:textId="3F2FA73B" w:rsidR="00E16412" w:rsidRPr="007936A7" w:rsidRDefault="00E16412" w:rsidP="000A5ABC">
            <w:pPr>
              <w:jc w:val="right"/>
              <w:rPr>
                <w:sz w:val="16"/>
                <w:szCs w:val="16"/>
              </w:rPr>
            </w:pPr>
            <w:r w:rsidRPr="007936A7">
              <w:rPr>
                <w:sz w:val="16"/>
                <w:szCs w:val="16"/>
              </w:rPr>
              <w:t>6.0</w:t>
            </w:r>
          </w:p>
        </w:tc>
        <w:tc>
          <w:tcPr>
            <w:tcW w:w="991" w:type="dxa"/>
            <w:tcBorders>
              <w:top w:val="nil"/>
              <w:left w:val="single" w:sz="4" w:space="0" w:color="auto"/>
              <w:bottom w:val="nil"/>
              <w:right w:val="nil"/>
            </w:tcBorders>
            <w:shd w:val="clear" w:color="auto" w:fill="auto"/>
            <w:noWrap/>
            <w:vAlign w:val="bottom"/>
            <w:hideMark/>
          </w:tcPr>
          <w:p w14:paraId="73585DB6" w14:textId="0DD41C87" w:rsidR="00E16412" w:rsidRPr="007936A7" w:rsidRDefault="00E16412" w:rsidP="000A5ABC">
            <w:pPr>
              <w:jc w:val="right"/>
              <w:rPr>
                <w:sz w:val="16"/>
                <w:szCs w:val="16"/>
              </w:rPr>
            </w:pPr>
            <w:r w:rsidRPr="007936A7">
              <w:rPr>
                <w:sz w:val="16"/>
                <w:szCs w:val="16"/>
              </w:rPr>
              <w:t>11</w:t>
            </w:r>
          </w:p>
        </w:tc>
        <w:tc>
          <w:tcPr>
            <w:tcW w:w="1079" w:type="dxa"/>
            <w:tcBorders>
              <w:top w:val="nil"/>
              <w:left w:val="nil"/>
              <w:bottom w:val="nil"/>
              <w:right w:val="nil"/>
            </w:tcBorders>
            <w:shd w:val="clear" w:color="auto" w:fill="auto"/>
            <w:noWrap/>
            <w:vAlign w:val="bottom"/>
            <w:hideMark/>
          </w:tcPr>
          <w:p w14:paraId="200FFDA4" w14:textId="329B46BD" w:rsidR="00E16412" w:rsidRPr="007936A7" w:rsidRDefault="00E16412" w:rsidP="000A5ABC">
            <w:pPr>
              <w:jc w:val="right"/>
              <w:rPr>
                <w:sz w:val="16"/>
                <w:szCs w:val="16"/>
              </w:rPr>
            </w:pPr>
            <w:r w:rsidRPr="007936A7">
              <w:rPr>
                <w:sz w:val="16"/>
                <w:szCs w:val="16"/>
              </w:rPr>
              <w:t>-</w:t>
            </w:r>
          </w:p>
        </w:tc>
        <w:tc>
          <w:tcPr>
            <w:tcW w:w="1089" w:type="dxa"/>
            <w:tcBorders>
              <w:top w:val="nil"/>
              <w:left w:val="nil"/>
              <w:bottom w:val="nil"/>
              <w:right w:val="nil"/>
            </w:tcBorders>
            <w:shd w:val="clear" w:color="auto" w:fill="auto"/>
            <w:noWrap/>
            <w:vAlign w:val="bottom"/>
            <w:hideMark/>
          </w:tcPr>
          <w:p w14:paraId="20822D0F" w14:textId="2C26E9D7" w:rsidR="00E16412" w:rsidRPr="007936A7" w:rsidRDefault="00E16412" w:rsidP="000A5ABC">
            <w:pPr>
              <w:jc w:val="right"/>
              <w:rPr>
                <w:sz w:val="16"/>
                <w:szCs w:val="16"/>
              </w:rPr>
            </w:pPr>
            <w:r w:rsidRPr="007936A7">
              <w:rPr>
                <w:sz w:val="16"/>
                <w:szCs w:val="16"/>
              </w:rPr>
              <w:t>-</w:t>
            </w:r>
          </w:p>
        </w:tc>
        <w:tc>
          <w:tcPr>
            <w:tcW w:w="912" w:type="dxa"/>
            <w:tcBorders>
              <w:top w:val="nil"/>
              <w:left w:val="nil"/>
              <w:bottom w:val="nil"/>
              <w:right w:val="nil"/>
            </w:tcBorders>
            <w:shd w:val="clear" w:color="auto" w:fill="auto"/>
            <w:noWrap/>
            <w:vAlign w:val="bottom"/>
            <w:hideMark/>
          </w:tcPr>
          <w:p w14:paraId="3D075FEE" w14:textId="649FEAFE" w:rsidR="00E16412" w:rsidRPr="007936A7" w:rsidRDefault="00E16412" w:rsidP="000A5ABC">
            <w:pPr>
              <w:jc w:val="right"/>
              <w:rPr>
                <w:sz w:val="16"/>
                <w:szCs w:val="16"/>
              </w:rPr>
            </w:pPr>
            <w:r w:rsidRPr="007936A7">
              <w:rPr>
                <w:sz w:val="16"/>
                <w:szCs w:val="16"/>
              </w:rPr>
              <w:t>-</w:t>
            </w:r>
          </w:p>
        </w:tc>
      </w:tr>
      <w:tr w:rsidR="007936A7" w:rsidRPr="007936A7" w14:paraId="183BF38B" w14:textId="77777777" w:rsidTr="007936A7">
        <w:trPr>
          <w:trHeight w:val="300"/>
        </w:trPr>
        <w:tc>
          <w:tcPr>
            <w:tcW w:w="1451" w:type="dxa"/>
            <w:tcBorders>
              <w:top w:val="nil"/>
              <w:left w:val="nil"/>
              <w:bottom w:val="nil"/>
              <w:right w:val="nil"/>
            </w:tcBorders>
            <w:shd w:val="clear" w:color="auto" w:fill="auto"/>
            <w:noWrap/>
            <w:vAlign w:val="bottom"/>
            <w:hideMark/>
          </w:tcPr>
          <w:p w14:paraId="6DE093C3" w14:textId="3634B515" w:rsidR="00E16412" w:rsidRPr="007936A7" w:rsidRDefault="00E16412" w:rsidP="007936A7">
            <w:pPr>
              <w:jc w:val="left"/>
              <w:rPr>
                <w:sz w:val="16"/>
                <w:szCs w:val="16"/>
              </w:rPr>
            </w:pPr>
            <w:r w:rsidRPr="007936A7">
              <w:rPr>
                <w:sz w:val="16"/>
                <w:szCs w:val="16"/>
              </w:rPr>
              <w:t>Yams</w:t>
            </w:r>
          </w:p>
        </w:tc>
        <w:tc>
          <w:tcPr>
            <w:tcW w:w="993" w:type="dxa"/>
            <w:tcBorders>
              <w:top w:val="nil"/>
              <w:left w:val="single" w:sz="4" w:space="0" w:color="auto"/>
              <w:bottom w:val="nil"/>
              <w:right w:val="nil"/>
            </w:tcBorders>
            <w:shd w:val="clear" w:color="auto" w:fill="auto"/>
            <w:noWrap/>
            <w:vAlign w:val="bottom"/>
            <w:hideMark/>
          </w:tcPr>
          <w:p w14:paraId="5B91855E" w14:textId="351B097F" w:rsidR="00E16412" w:rsidRPr="007936A7" w:rsidRDefault="00E16412" w:rsidP="000A5ABC">
            <w:pPr>
              <w:jc w:val="right"/>
              <w:rPr>
                <w:sz w:val="16"/>
                <w:szCs w:val="16"/>
              </w:rPr>
            </w:pPr>
            <w:r w:rsidRPr="007936A7">
              <w:rPr>
                <w:sz w:val="16"/>
                <w:szCs w:val="16"/>
              </w:rPr>
              <w:t>6,715</w:t>
            </w:r>
          </w:p>
        </w:tc>
        <w:tc>
          <w:tcPr>
            <w:tcW w:w="1080" w:type="dxa"/>
            <w:tcBorders>
              <w:top w:val="nil"/>
              <w:left w:val="nil"/>
              <w:bottom w:val="nil"/>
              <w:right w:val="nil"/>
            </w:tcBorders>
            <w:shd w:val="clear" w:color="auto" w:fill="auto"/>
            <w:noWrap/>
            <w:vAlign w:val="bottom"/>
            <w:hideMark/>
          </w:tcPr>
          <w:p w14:paraId="78B645C8" w14:textId="10DB0D2F" w:rsidR="00E16412" w:rsidRPr="007936A7" w:rsidRDefault="00E16412" w:rsidP="000A5ABC">
            <w:pPr>
              <w:jc w:val="right"/>
              <w:rPr>
                <w:sz w:val="16"/>
                <w:szCs w:val="16"/>
              </w:rPr>
            </w:pPr>
            <w:r w:rsidRPr="007936A7">
              <w:rPr>
                <w:sz w:val="16"/>
                <w:szCs w:val="16"/>
              </w:rPr>
              <w:t>4,125</w:t>
            </w:r>
          </w:p>
        </w:tc>
        <w:tc>
          <w:tcPr>
            <w:tcW w:w="1099" w:type="dxa"/>
            <w:tcBorders>
              <w:top w:val="nil"/>
              <w:left w:val="nil"/>
              <w:bottom w:val="nil"/>
              <w:right w:val="nil"/>
            </w:tcBorders>
            <w:shd w:val="clear" w:color="auto" w:fill="auto"/>
            <w:noWrap/>
            <w:vAlign w:val="bottom"/>
            <w:hideMark/>
          </w:tcPr>
          <w:p w14:paraId="039FF34F" w14:textId="088DDD16" w:rsidR="00E16412" w:rsidRPr="007936A7" w:rsidRDefault="00E16412" w:rsidP="000A5ABC">
            <w:pPr>
              <w:jc w:val="right"/>
              <w:rPr>
                <w:sz w:val="16"/>
                <w:szCs w:val="16"/>
              </w:rPr>
            </w:pPr>
            <w:r w:rsidRPr="007936A7">
              <w:rPr>
                <w:sz w:val="16"/>
                <w:szCs w:val="16"/>
              </w:rPr>
              <w:t>6,272</w:t>
            </w:r>
          </w:p>
        </w:tc>
        <w:tc>
          <w:tcPr>
            <w:tcW w:w="870" w:type="dxa"/>
            <w:tcBorders>
              <w:top w:val="nil"/>
              <w:left w:val="nil"/>
              <w:bottom w:val="nil"/>
              <w:right w:val="single" w:sz="4" w:space="0" w:color="auto"/>
            </w:tcBorders>
            <w:shd w:val="clear" w:color="auto" w:fill="auto"/>
            <w:noWrap/>
            <w:vAlign w:val="bottom"/>
            <w:hideMark/>
          </w:tcPr>
          <w:p w14:paraId="2A45D5AC" w14:textId="267673B7" w:rsidR="00E16412" w:rsidRPr="007936A7" w:rsidRDefault="00E16412" w:rsidP="000A5ABC">
            <w:pPr>
              <w:jc w:val="right"/>
              <w:rPr>
                <w:sz w:val="16"/>
                <w:szCs w:val="16"/>
              </w:rPr>
            </w:pPr>
            <w:r w:rsidRPr="007936A7">
              <w:rPr>
                <w:sz w:val="16"/>
                <w:szCs w:val="16"/>
              </w:rPr>
              <w:t>1.5</w:t>
            </w:r>
          </w:p>
        </w:tc>
        <w:tc>
          <w:tcPr>
            <w:tcW w:w="1060" w:type="dxa"/>
            <w:tcBorders>
              <w:top w:val="nil"/>
              <w:left w:val="nil"/>
              <w:bottom w:val="nil"/>
              <w:right w:val="nil"/>
            </w:tcBorders>
            <w:shd w:val="clear" w:color="auto" w:fill="auto"/>
            <w:noWrap/>
            <w:vAlign w:val="bottom"/>
            <w:hideMark/>
          </w:tcPr>
          <w:p w14:paraId="5422F542" w14:textId="644B2860" w:rsidR="00E16412" w:rsidRPr="007936A7" w:rsidRDefault="00E16412" w:rsidP="000A5ABC">
            <w:pPr>
              <w:jc w:val="right"/>
              <w:rPr>
                <w:sz w:val="16"/>
                <w:szCs w:val="16"/>
              </w:rPr>
            </w:pPr>
            <w:r w:rsidRPr="007936A7">
              <w:rPr>
                <w:sz w:val="16"/>
                <w:szCs w:val="16"/>
              </w:rPr>
              <w:t>4,801</w:t>
            </w:r>
          </w:p>
        </w:tc>
        <w:tc>
          <w:tcPr>
            <w:tcW w:w="1133" w:type="dxa"/>
            <w:tcBorders>
              <w:top w:val="nil"/>
              <w:left w:val="nil"/>
              <w:bottom w:val="nil"/>
              <w:right w:val="nil"/>
            </w:tcBorders>
            <w:shd w:val="clear" w:color="auto" w:fill="auto"/>
            <w:noWrap/>
            <w:vAlign w:val="bottom"/>
            <w:hideMark/>
          </w:tcPr>
          <w:p w14:paraId="5C27D3A5" w14:textId="158D4EFB" w:rsidR="00E16412" w:rsidRPr="007936A7" w:rsidRDefault="00E16412" w:rsidP="000A5ABC">
            <w:pPr>
              <w:jc w:val="right"/>
              <w:rPr>
                <w:sz w:val="16"/>
                <w:szCs w:val="16"/>
              </w:rPr>
            </w:pPr>
            <w:r w:rsidRPr="007936A7">
              <w:rPr>
                <w:sz w:val="16"/>
                <w:szCs w:val="16"/>
              </w:rPr>
              <w:t>3,217</w:t>
            </w:r>
          </w:p>
        </w:tc>
        <w:tc>
          <w:tcPr>
            <w:tcW w:w="1079" w:type="dxa"/>
            <w:tcBorders>
              <w:top w:val="nil"/>
              <w:left w:val="nil"/>
              <w:bottom w:val="nil"/>
              <w:right w:val="nil"/>
            </w:tcBorders>
            <w:shd w:val="clear" w:color="auto" w:fill="auto"/>
            <w:noWrap/>
            <w:vAlign w:val="bottom"/>
            <w:hideMark/>
          </w:tcPr>
          <w:p w14:paraId="7EEF45A4" w14:textId="63824253" w:rsidR="00E16412" w:rsidRPr="007936A7" w:rsidRDefault="00E16412" w:rsidP="000A5ABC">
            <w:pPr>
              <w:jc w:val="right"/>
              <w:rPr>
                <w:sz w:val="16"/>
                <w:szCs w:val="16"/>
              </w:rPr>
            </w:pPr>
            <w:r w:rsidRPr="007936A7">
              <w:rPr>
                <w:sz w:val="16"/>
                <w:szCs w:val="16"/>
              </w:rPr>
              <w:t>4,463</w:t>
            </w:r>
          </w:p>
        </w:tc>
        <w:tc>
          <w:tcPr>
            <w:tcW w:w="868" w:type="dxa"/>
            <w:tcBorders>
              <w:top w:val="nil"/>
              <w:left w:val="nil"/>
              <w:bottom w:val="nil"/>
              <w:right w:val="nil"/>
            </w:tcBorders>
            <w:shd w:val="clear" w:color="auto" w:fill="auto"/>
            <w:noWrap/>
            <w:vAlign w:val="bottom"/>
            <w:hideMark/>
          </w:tcPr>
          <w:p w14:paraId="3C4FA994" w14:textId="42098CFA" w:rsidR="00E16412" w:rsidRPr="007936A7" w:rsidRDefault="00E16412" w:rsidP="000A5ABC">
            <w:pPr>
              <w:jc w:val="right"/>
              <w:rPr>
                <w:sz w:val="16"/>
                <w:szCs w:val="16"/>
              </w:rPr>
            </w:pPr>
            <w:r w:rsidRPr="007936A7">
              <w:rPr>
                <w:sz w:val="16"/>
                <w:szCs w:val="16"/>
              </w:rPr>
              <w:t>1.4</w:t>
            </w:r>
          </w:p>
        </w:tc>
        <w:tc>
          <w:tcPr>
            <w:tcW w:w="991" w:type="dxa"/>
            <w:tcBorders>
              <w:top w:val="nil"/>
              <w:left w:val="single" w:sz="4" w:space="0" w:color="auto"/>
              <w:bottom w:val="nil"/>
              <w:right w:val="nil"/>
            </w:tcBorders>
            <w:shd w:val="clear" w:color="auto" w:fill="auto"/>
            <w:noWrap/>
            <w:vAlign w:val="bottom"/>
            <w:hideMark/>
          </w:tcPr>
          <w:p w14:paraId="57295620" w14:textId="4B148480" w:rsidR="00E16412" w:rsidRPr="007936A7" w:rsidRDefault="00E16412" w:rsidP="000A5ABC">
            <w:pPr>
              <w:jc w:val="right"/>
              <w:rPr>
                <w:sz w:val="16"/>
                <w:szCs w:val="16"/>
              </w:rPr>
            </w:pPr>
            <w:r w:rsidRPr="007936A7">
              <w:rPr>
                <w:sz w:val="16"/>
                <w:szCs w:val="16"/>
              </w:rPr>
              <w:t>1,913</w:t>
            </w:r>
          </w:p>
        </w:tc>
        <w:tc>
          <w:tcPr>
            <w:tcW w:w="1079" w:type="dxa"/>
            <w:tcBorders>
              <w:top w:val="nil"/>
              <w:left w:val="nil"/>
              <w:bottom w:val="nil"/>
              <w:right w:val="nil"/>
            </w:tcBorders>
            <w:shd w:val="clear" w:color="auto" w:fill="auto"/>
            <w:noWrap/>
            <w:vAlign w:val="bottom"/>
            <w:hideMark/>
          </w:tcPr>
          <w:p w14:paraId="67D9EEC7" w14:textId="4DE94B58" w:rsidR="00E16412" w:rsidRPr="007936A7" w:rsidRDefault="00E16412" w:rsidP="000A5ABC">
            <w:pPr>
              <w:jc w:val="right"/>
              <w:rPr>
                <w:sz w:val="16"/>
                <w:szCs w:val="16"/>
              </w:rPr>
            </w:pPr>
            <w:r w:rsidRPr="007936A7">
              <w:rPr>
                <w:sz w:val="16"/>
                <w:szCs w:val="16"/>
              </w:rPr>
              <w:t>908</w:t>
            </w:r>
          </w:p>
        </w:tc>
        <w:tc>
          <w:tcPr>
            <w:tcW w:w="1089" w:type="dxa"/>
            <w:tcBorders>
              <w:top w:val="nil"/>
              <w:left w:val="nil"/>
              <w:bottom w:val="nil"/>
              <w:right w:val="nil"/>
            </w:tcBorders>
            <w:shd w:val="clear" w:color="auto" w:fill="auto"/>
            <w:noWrap/>
            <w:vAlign w:val="bottom"/>
            <w:hideMark/>
          </w:tcPr>
          <w:p w14:paraId="2EAA2A60" w14:textId="2D4B8CD7" w:rsidR="00E16412" w:rsidRPr="007936A7" w:rsidRDefault="00E16412" w:rsidP="000A5ABC">
            <w:pPr>
              <w:jc w:val="right"/>
              <w:rPr>
                <w:sz w:val="16"/>
                <w:szCs w:val="16"/>
              </w:rPr>
            </w:pPr>
            <w:r w:rsidRPr="007936A7">
              <w:rPr>
                <w:sz w:val="16"/>
                <w:szCs w:val="16"/>
              </w:rPr>
              <w:t>1,809</w:t>
            </w:r>
          </w:p>
        </w:tc>
        <w:tc>
          <w:tcPr>
            <w:tcW w:w="912" w:type="dxa"/>
            <w:tcBorders>
              <w:top w:val="nil"/>
              <w:left w:val="nil"/>
              <w:bottom w:val="nil"/>
              <w:right w:val="nil"/>
            </w:tcBorders>
            <w:shd w:val="clear" w:color="auto" w:fill="auto"/>
            <w:noWrap/>
            <w:vAlign w:val="bottom"/>
            <w:hideMark/>
          </w:tcPr>
          <w:p w14:paraId="512875CC" w14:textId="736789BE" w:rsidR="00E16412" w:rsidRPr="007936A7" w:rsidRDefault="00E16412" w:rsidP="000A5ABC">
            <w:pPr>
              <w:jc w:val="right"/>
              <w:rPr>
                <w:sz w:val="16"/>
                <w:szCs w:val="16"/>
              </w:rPr>
            </w:pPr>
            <w:r w:rsidRPr="007936A7">
              <w:rPr>
                <w:sz w:val="16"/>
                <w:szCs w:val="16"/>
              </w:rPr>
              <w:t>2.0</w:t>
            </w:r>
          </w:p>
        </w:tc>
      </w:tr>
      <w:tr w:rsidR="007936A7" w:rsidRPr="007936A7" w14:paraId="7C3AAF34" w14:textId="77777777" w:rsidTr="007936A7">
        <w:trPr>
          <w:trHeight w:val="300"/>
        </w:trPr>
        <w:tc>
          <w:tcPr>
            <w:tcW w:w="1451" w:type="dxa"/>
            <w:tcBorders>
              <w:top w:val="nil"/>
              <w:left w:val="nil"/>
              <w:bottom w:val="nil"/>
              <w:right w:val="nil"/>
            </w:tcBorders>
            <w:shd w:val="clear" w:color="auto" w:fill="auto"/>
            <w:noWrap/>
            <w:vAlign w:val="bottom"/>
            <w:hideMark/>
          </w:tcPr>
          <w:p w14:paraId="4EFAEC91" w14:textId="545E26AB" w:rsidR="00E16412" w:rsidRPr="007936A7" w:rsidRDefault="00E16412" w:rsidP="007936A7">
            <w:pPr>
              <w:jc w:val="left"/>
              <w:rPr>
                <w:sz w:val="16"/>
                <w:szCs w:val="16"/>
              </w:rPr>
            </w:pPr>
            <w:r w:rsidRPr="007936A7">
              <w:rPr>
                <w:sz w:val="16"/>
                <w:szCs w:val="16"/>
              </w:rPr>
              <w:t>Cocoyams</w:t>
            </w:r>
          </w:p>
        </w:tc>
        <w:tc>
          <w:tcPr>
            <w:tcW w:w="993" w:type="dxa"/>
            <w:tcBorders>
              <w:top w:val="nil"/>
              <w:left w:val="single" w:sz="4" w:space="0" w:color="auto"/>
              <w:bottom w:val="nil"/>
              <w:right w:val="nil"/>
            </w:tcBorders>
            <w:shd w:val="clear" w:color="auto" w:fill="auto"/>
            <w:noWrap/>
            <w:vAlign w:val="bottom"/>
            <w:hideMark/>
          </w:tcPr>
          <w:p w14:paraId="0B52650C" w14:textId="61F126D2" w:rsidR="00E16412" w:rsidRPr="007936A7" w:rsidRDefault="00E16412" w:rsidP="000A5ABC">
            <w:pPr>
              <w:jc w:val="right"/>
              <w:rPr>
                <w:sz w:val="16"/>
                <w:szCs w:val="16"/>
              </w:rPr>
            </w:pPr>
            <w:r w:rsidRPr="007936A7">
              <w:rPr>
                <w:sz w:val="16"/>
                <w:szCs w:val="16"/>
              </w:rPr>
              <w:t>10,634</w:t>
            </w:r>
          </w:p>
        </w:tc>
        <w:tc>
          <w:tcPr>
            <w:tcW w:w="1080" w:type="dxa"/>
            <w:tcBorders>
              <w:top w:val="nil"/>
              <w:left w:val="nil"/>
              <w:bottom w:val="nil"/>
              <w:right w:val="nil"/>
            </w:tcBorders>
            <w:shd w:val="clear" w:color="auto" w:fill="auto"/>
            <w:noWrap/>
            <w:vAlign w:val="bottom"/>
            <w:hideMark/>
          </w:tcPr>
          <w:p w14:paraId="72FB4630" w14:textId="58437D95" w:rsidR="00E16412" w:rsidRPr="007936A7" w:rsidRDefault="00E16412" w:rsidP="000A5ABC">
            <w:pPr>
              <w:jc w:val="right"/>
              <w:rPr>
                <w:sz w:val="16"/>
                <w:szCs w:val="16"/>
              </w:rPr>
            </w:pPr>
            <w:r w:rsidRPr="007936A7">
              <w:rPr>
                <w:sz w:val="16"/>
                <w:szCs w:val="16"/>
              </w:rPr>
              <w:t>5,437</w:t>
            </w:r>
          </w:p>
        </w:tc>
        <w:tc>
          <w:tcPr>
            <w:tcW w:w="1099" w:type="dxa"/>
            <w:tcBorders>
              <w:top w:val="nil"/>
              <w:left w:val="nil"/>
              <w:bottom w:val="nil"/>
              <w:right w:val="nil"/>
            </w:tcBorders>
            <w:shd w:val="clear" w:color="auto" w:fill="auto"/>
            <w:noWrap/>
            <w:vAlign w:val="bottom"/>
            <w:hideMark/>
          </w:tcPr>
          <w:p w14:paraId="2CC08E8F" w14:textId="12973DA6" w:rsidR="00E16412" w:rsidRPr="007936A7" w:rsidRDefault="00E16412" w:rsidP="000A5ABC">
            <w:pPr>
              <w:jc w:val="right"/>
              <w:rPr>
                <w:sz w:val="16"/>
                <w:szCs w:val="16"/>
              </w:rPr>
            </w:pPr>
            <w:r w:rsidRPr="007936A7">
              <w:rPr>
                <w:sz w:val="16"/>
                <w:szCs w:val="16"/>
              </w:rPr>
              <w:t>8,810</w:t>
            </w:r>
          </w:p>
        </w:tc>
        <w:tc>
          <w:tcPr>
            <w:tcW w:w="870" w:type="dxa"/>
            <w:tcBorders>
              <w:top w:val="nil"/>
              <w:left w:val="nil"/>
              <w:bottom w:val="nil"/>
              <w:right w:val="single" w:sz="4" w:space="0" w:color="auto"/>
            </w:tcBorders>
            <w:shd w:val="clear" w:color="auto" w:fill="auto"/>
            <w:noWrap/>
            <w:vAlign w:val="bottom"/>
            <w:hideMark/>
          </w:tcPr>
          <w:p w14:paraId="7229C5CF" w14:textId="50A1885C" w:rsidR="00E16412" w:rsidRPr="007936A7" w:rsidRDefault="00E16412" w:rsidP="000A5ABC">
            <w:pPr>
              <w:jc w:val="right"/>
              <w:rPr>
                <w:sz w:val="16"/>
                <w:szCs w:val="16"/>
              </w:rPr>
            </w:pPr>
            <w:r w:rsidRPr="007936A7">
              <w:rPr>
                <w:sz w:val="16"/>
                <w:szCs w:val="16"/>
              </w:rPr>
              <w:t>1.6</w:t>
            </w:r>
          </w:p>
        </w:tc>
        <w:tc>
          <w:tcPr>
            <w:tcW w:w="1060" w:type="dxa"/>
            <w:tcBorders>
              <w:top w:val="nil"/>
              <w:left w:val="nil"/>
              <w:bottom w:val="nil"/>
              <w:right w:val="nil"/>
            </w:tcBorders>
            <w:shd w:val="clear" w:color="auto" w:fill="auto"/>
            <w:noWrap/>
            <w:vAlign w:val="bottom"/>
            <w:hideMark/>
          </w:tcPr>
          <w:p w14:paraId="47968970" w14:textId="726B0167" w:rsidR="00E16412" w:rsidRPr="007936A7" w:rsidRDefault="00E16412" w:rsidP="000A5ABC">
            <w:pPr>
              <w:jc w:val="right"/>
              <w:rPr>
                <w:sz w:val="16"/>
                <w:szCs w:val="16"/>
              </w:rPr>
            </w:pPr>
            <w:r w:rsidRPr="007936A7">
              <w:rPr>
                <w:sz w:val="16"/>
                <w:szCs w:val="16"/>
              </w:rPr>
              <w:t>9,368</w:t>
            </w:r>
          </w:p>
        </w:tc>
        <w:tc>
          <w:tcPr>
            <w:tcW w:w="1133" w:type="dxa"/>
            <w:tcBorders>
              <w:top w:val="nil"/>
              <w:left w:val="nil"/>
              <w:bottom w:val="nil"/>
              <w:right w:val="nil"/>
            </w:tcBorders>
            <w:shd w:val="clear" w:color="auto" w:fill="auto"/>
            <w:noWrap/>
            <w:vAlign w:val="bottom"/>
            <w:hideMark/>
          </w:tcPr>
          <w:p w14:paraId="7523759C" w14:textId="4015D422" w:rsidR="00E16412" w:rsidRPr="007936A7" w:rsidRDefault="00E16412" w:rsidP="000A5ABC">
            <w:pPr>
              <w:jc w:val="right"/>
              <w:rPr>
                <w:sz w:val="16"/>
                <w:szCs w:val="16"/>
              </w:rPr>
            </w:pPr>
            <w:r w:rsidRPr="007936A7">
              <w:rPr>
                <w:sz w:val="16"/>
                <w:szCs w:val="16"/>
              </w:rPr>
              <w:t>4,778</w:t>
            </w:r>
          </w:p>
        </w:tc>
        <w:tc>
          <w:tcPr>
            <w:tcW w:w="1079" w:type="dxa"/>
            <w:tcBorders>
              <w:top w:val="nil"/>
              <w:left w:val="nil"/>
              <w:bottom w:val="nil"/>
              <w:right w:val="nil"/>
            </w:tcBorders>
            <w:shd w:val="clear" w:color="auto" w:fill="auto"/>
            <w:noWrap/>
            <w:vAlign w:val="bottom"/>
            <w:hideMark/>
          </w:tcPr>
          <w:p w14:paraId="6C63DF66" w14:textId="3318BF66" w:rsidR="00E16412" w:rsidRPr="007936A7" w:rsidRDefault="00E16412" w:rsidP="000A5ABC">
            <w:pPr>
              <w:jc w:val="right"/>
              <w:rPr>
                <w:sz w:val="16"/>
                <w:szCs w:val="16"/>
              </w:rPr>
            </w:pPr>
            <w:r w:rsidRPr="007936A7">
              <w:rPr>
                <w:sz w:val="16"/>
                <w:szCs w:val="16"/>
              </w:rPr>
              <w:t>7,400</w:t>
            </w:r>
          </w:p>
        </w:tc>
        <w:tc>
          <w:tcPr>
            <w:tcW w:w="868" w:type="dxa"/>
            <w:tcBorders>
              <w:top w:val="nil"/>
              <w:left w:val="nil"/>
              <w:bottom w:val="nil"/>
              <w:right w:val="nil"/>
            </w:tcBorders>
            <w:shd w:val="clear" w:color="auto" w:fill="auto"/>
            <w:noWrap/>
            <w:vAlign w:val="bottom"/>
            <w:hideMark/>
          </w:tcPr>
          <w:p w14:paraId="4E7E4477" w14:textId="05185D0D" w:rsidR="00E16412" w:rsidRPr="007936A7" w:rsidRDefault="00E16412" w:rsidP="000A5ABC">
            <w:pPr>
              <w:jc w:val="right"/>
              <w:rPr>
                <w:sz w:val="16"/>
                <w:szCs w:val="16"/>
              </w:rPr>
            </w:pPr>
            <w:r w:rsidRPr="007936A7">
              <w:rPr>
                <w:sz w:val="16"/>
                <w:szCs w:val="16"/>
              </w:rPr>
              <w:t>1.5</w:t>
            </w:r>
          </w:p>
        </w:tc>
        <w:tc>
          <w:tcPr>
            <w:tcW w:w="991" w:type="dxa"/>
            <w:tcBorders>
              <w:top w:val="nil"/>
              <w:left w:val="single" w:sz="4" w:space="0" w:color="auto"/>
              <w:bottom w:val="nil"/>
              <w:right w:val="nil"/>
            </w:tcBorders>
            <w:shd w:val="clear" w:color="auto" w:fill="auto"/>
            <w:noWrap/>
            <w:vAlign w:val="bottom"/>
            <w:hideMark/>
          </w:tcPr>
          <w:p w14:paraId="5D155F2C" w14:textId="799E82AC" w:rsidR="00E16412" w:rsidRPr="007936A7" w:rsidRDefault="00E16412" w:rsidP="000A5ABC">
            <w:pPr>
              <w:jc w:val="right"/>
              <w:rPr>
                <w:sz w:val="16"/>
                <w:szCs w:val="16"/>
              </w:rPr>
            </w:pPr>
            <w:r w:rsidRPr="007936A7">
              <w:rPr>
                <w:sz w:val="16"/>
                <w:szCs w:val="16"/>
              </w:rPr>
              <w:t>1,266</w:t>
            </w:r>
          </w:p>
        </w:tc>
        <w:tc>
          <w:tcPr>
            <w:tcW w:w="1079" w:type="dxa"/>
            <w:tcBorders>
              <w:top w:val="nil"/>
              <w:left w:val="nil"/>
              <w:bottom w:val="nil"/>
              <w:right w:val="nil"/>
            </w:tcBorders>
            <w:shd w:val="clear" w:color="auto" w:fill="auto"/>
            <w:noWrap/>
            <w:vAlign w:val="bottom"/>
            <w:hideMark/>
          </w:tcPr>
          <w:p w14:paraId="17F101F0" w14:textId="3BEC87A7" w:rsidR="00E16412" w:rsidRPr="007936A7" w:rsidRDefault="00E16412" w:rsidP="000A5ABC">
            <w:pPr>
              <w:jc w:val="right"/>
              <w:rPr>
                <w:sz w:val="16"/>
                <w:szCs w:val="16"/>
              </w:rPr>
            </w:pPr>
            <w:r w:rsidRPr="007936A7">
              <w:rPr>
                <w:sz w:val="16"/>
                <w:szCs w:val="16"/>
              </w:rPr>
              <w:t>659</w:t>
            </w:r>
          </w:p>
        </w:tc>
        <w:tc>
          <w:tcPr>
            <w:tcW w:w="1089" w:type="dxa"/>
            <w:tcBorders>
              <w:top w:val="nil"/>
              <w:left w:val="nil"/>
              <w:bottom w:val="nil"/>
              <w:right w:val="nil"/>
            </w:tcBorders>
            <w:shd w:val="clear" w:color="auto" w:fill="auto"/>
            <w:noWrap/>
            <w:vAlign w:val="bottom"/>
            <w:hideMark/>
          </w:tcPr>
          <w:p w14:paraId="13E41DB2" w14:textId="7AE2DEA6" w:rsidR="00E16412" w:rsidRPr="007936A7" w:rsidRDefault="00E16412" w:rsidP="000A5ABC">
            <w:pPr>
              <w:jc w:val="right"/>
              <w:rPr>
                <w:sz w:val="16"/>
                <w:szCs w:val="16"/>
              </w:rPr>
            </w:pPr>
            <w:r w:rsidRPr="007936A7">
              <w:rPr>
                <w:sz w:val="16"/>
                <w:szCs w:val="16"/>
              </w:rPr>
              <w:t>1,409</w:t>
            </w:r>
          </w:p>
        </w:tc>
        <w:tc>
          <w:tcPr>
            <w:tcW w:w="912" w:type="dxa"/>
            <w:tcBorders>
              <w:top w:val="nil"/>
              <w:left w:val="nil"/>
              <w:bottom w:val="nil"/>
              <w:right w:val="nil"/>
            </w:tcBorders>
            <w:shd w:val="clear" w:color="auto" w:fill="auto"/>
            <w:noWrap/>
            <w:vAlign w:val="bottom"/>
            <w:hideMark/>
          </w:tcPr>
          <w:p w14:paraId="3153F069" w14:textId="30AAD7AF" w:rsidR="00E16412" w:rsidRPr="007936A7" w:rsidRDefault="00E16412" w:rsidP="000A5ABC">
            <w:pPr>
              <w:jc w:val="right"/>
              <w:rPr>
                <w:sz w:val="16"/>
                <w:szCs w:val="16"/>
              </w:rPr>
            </w:pPr>
            <w:r w:rsidRPr="007936A7">
              <w:rPr>
                <w:sz w:val="16"/>
                <w:szCs w:val="16"/>
              </w:rPr>
              <w:t>2.1</w:t>
            </w:r>
          </w:p>
        </w:tc>
      </w:tr>
      <w:tr w:rsidR="007936A7" w:rsidRPr="007936A7" w14:paraId="13EF5841" w14:textId="77777777" w:rsidTr="00671693">
        <w:trPr>
          <w:trHeight w:val="416"/>
        </w:trPr>
        <w:tc>
          <w:tcPr>
            <w:tcW w:w="1451" w:type="dxa"/>
            <w:tcBorders>
              <w:top w:val="single" w:sz="4" w:space="0" w:color="auto"/>
              <w:left w:val="nil"/>
              <w:bottom w:val="single" w:sz="4" w:space="0" w:color="auto"/>
              <w:right w:val="nil"/>
            </w:tcBorders>
            <w:shd w:val="clear" w:color="auto" w:fill="E2EFD9" w:themeFill="accent6" w:themeFillTint="33"/>
            <w:vAlign w:val="center"/>
            <w:hideMark/>
          </w:tcPr>
          <w:p w14:paraId="72604D88" w14:textId="77777777" w:rsidR="00E16412" w:rsidRPr="007936A7" w:rsidRDefault="00E16412" w:rsidP="005C2EFC">
            <w:pPr>
              <w:rPr>
                <w:b/>
                <w:bCs/>
                <w:sz w:val="16"/>
                <w:szCs w:val="16"/>
              </w:rPr>
            </w:pPr>
            <w:r w:rsidRPr="007936A7">
              <w:rPr>
                <w:b/>
                <w:bCs/>
                <w:sz w:val="16"/>
                <w:szCs w:val="16"/>
              </w:rPr>
              <w:t>Roots and Tubers</w:t>
            </w:r>
          </w:p>
        </w:tc>
        <w:tc>
          <w:tcPr>
            <w:tcW w:w="993" w:type="dxa"/>
            <w:tcBorders>
              <w:top w:val="single" w:sz="4" w:space="0" w:color="auto"/>
              <w:left w:val="single" w:sz="4" w:space="0" w:color="auto"/>
              <w:bottom w:val="single" w:sz="4" w:space="0" w:color="auto"/>
              <w:right w:val="nil"/>
            </w:tcBorders>
            <w:shd w:val="clear" w:color="auto" w:fill="E2EFD9" w:themeFill="accent6" w:themeFillTint="33"/>
            <w:noWrap/>
            <w:vAlign w:val="center"/>
            <w:hideMark/>
          </w:tcPr>
          <w:p w14:paraId="738B4D1E" w14:textId="77777777" w:rsidR="00E16412" w:rsidRPr="007936A7" w:rsidRDefault="00E16412" w:rsidP="000A5ABC">
            <w:pPr>
              <w:jc w:val="right"/>
              <w:rPr>
                <w:b/>
                <w:bCs/>
                <w:sz w:val="16"/>
                <w:szCs w:val="16"/>
              </w:rPr>
            </w:pPr>
            <w:r w:rsidRPr="007936A7">
              <w:rPr>
                <w:b/>
                <w:bCs/>
                <w:sz w:val="16"/>
                <w:szCs w:val="16"/>
              </w:rPr>
              <w:t>1,112,399</w:t>
            </w:r>
          </w:p>
        </w:tc>
        <w:tc>
          <w:tcPr>
            <w:tcW w:w="1080" w:type="dxa"/>
            <w:tcBorders>
              <w:top w:val="single" w:sz="4" w:space="0" w:color="auto"/>
              <w:left w:val="nil"/>
              <w:bottom w:val="single" w:sz="4" w:space="0" w:color="auto"/>
              <w:right w:val="nil"/>
            </w:tcBorders>
            <w:shd w:val="clear" w:color="auto" w:fill="E2EFD9" w:themeFill="accent6" w:themeFillTint="33"/>
            <w:noWrap/>
            <w:vAlign w:val="center"/>
            <w:hideMark/>
          </w:tcPr>
          <w:p w14:paraId="421A7BB3" w14:textId="77777777" w:rsidR="00E16412" w:rsidRPr="007936A7" w:rsidRDefault="00E16412" w:rsidP="000A5ABC">
            <w:pPr>
              <w:jc w:val="right"/>
              <w:rPr>
                <w:b/>
                <w:bCs/>
                <w:sz w:val="16"/>
                <w:szCs w:val="16"/>
              </w:rPr>
            </w:pPr>
            <w:r w:rsidRPr="007936A7">
              <w:rPr>
                <w:b/>
                <w:bCs/>
                <w:sz w:val="16"/>
                <w:szCs w:val="16"/>
              </w:rPr>
              <w:t>522,347</w:t>
            </w:r>
          </w:p>
        </w:tc>
        <w:tc>
          <w:tcPr>
            <w:tcW w:w="1099" w:type="dxa"/>
            <w:tcBorders>
              <w:top w:val="single" w:sz="4" w:space="0" w:color="auto"/>
              <w:left w:val="nil"/>
              <w:bottom w:val="single" w:sz="4" w:space="0" w:color="auto"/>
              <w:right w:val="nil"/>
            </w:tcBorders>
            <w:shd w:val="clear" w:color="auto" w:fill="E2EFD9" w:themeFill="accent6" w:themeFillTint="33"/>
            <w:noWrap/>
            <w:vAlign w:val="center"/>
            <w:hideMark/>
          </w:tcPr>
          <w:p w14:paraId="0D0848FD" w14:textId="77777777" w:rsidR="00E16412" w:rsidRPr="007936A7" w:rsidRDefault="00E16412" w:rsidP="000A5ABC">
            <w:pPr>
              <w:jc w:val="right"/>
              <w:rPr>
                <w:b/>
                <w:bCs/>
                <w:sz w:val="16"/>
                <w:szCs w:val="16"/>
              </w:rPr>
            </w:pPr>
            <w:r w:rsidRPr="007936A7">
              <w:rPr>
                <w:b/>
                <w:bCs/>
                <w:sz w:val="16"/>
                <w:szCs w:val="16"/>
              </w:rPr>
              <w:t>2,609,306</w:t>
            </w:r>
          </w:p>
        </w:tc>
        <w:tc>
          <w:tcPr>
            <w:tcW w:w="870" w:type="dxa"/>
            <w:tcBorders>
              <w:top w:val="single" w:sz="4" w:space="0" w:color="auto"/>
              <w:left w:val="nil"/>
              <w:bottom w:val="single" w:sz="4" w:space="0" w:color="auto"/>
              <w:right w:val="single" w:sz="4" w:space="0" w:color="auto"/>
            </w:tcBorders>
            <w:shd w:val="clear" w:color="auto" w:fill="7F7F7F"/>
            <w:noWrap/>
            <w:vAlign w:val="center"/>
            <w:hideMark/>
          </w:tcPr>
          <w:p w14:paraId="11E4C5EA" w14:textId="6A738CE8" w:rsidR="00E16412" w:rsidRPr="007936A7" w:rsidRDefault="00E16412" w:rsidP="000A5ABC">
            <w:pPr>
              <w:jc w:val="right"/>
              <w:rPr>
                <w:b/>
                <w:bCs/>
                <w:sz w:val="16"/>
                <w:szCs w:val="16"/>
              </w:rPr>
            </w:pPr>
          </w:p>
        </w:tc>
        <w:tc>
          <w:tcPr>
            <w:tcW w:w="1060" w:type="dxa"/>
            <w:tcBorders>
              <w:top w:val="single" w:sz="4" w:space="0" w:color="auto"/>
              <w:left w:val="nil"/>
              <w:bottom w:val="single" w:sz="4" w:space="0" w:color="auto"/>
              <w:right w:val="nil"/>
            </w:tcBorders>
            <w:shd w:val="clear" w:color="auto" w:fill="E2EFD9" w:themeFill="accent6" w:themeFillTint="33"/>
            <w:noWrap/>
            <w:vAlign w:val="center"/>
            <w:hideMark/>
          </w:tcPr>
          <w:p w14:paraId="108957BC" w14:textId="77777777" w:rsidR="00E16412" w:rsidRPr="007936A7" w:rsidRDefault="00E16412" w:rsidP="000A5ABC">
            <w:pPr>
              <w:jc w:val="right"/>
              <w:rPr>
                <w:b/>
                <w:bCs/>
                <w:sz w:val="16"/>
                <w:szCs w:val="16"/>
              </w:rPr>
            </w:pPr>
            <w:r w:rsidRPr="007936A7">
              <w:rPr>
                <w:b/>
                <w:bCs/>
                <w:sz w:val="16"/>
                <w:szCs w:val="16"/>
              </w:rPr>
              <w:t>1,039,270</w:t>
            </w:r>
          </w:p>
        </w:tc>
        <w:tc>
          <w:tcPr>
            <w:tcW w:w="1133" w:type="dxa"/>
            <w:tcBorders>
              <w:top w:val="single" w:sz="4" w:space="0" w:color="auto"/>
              <w:left w:val="nil"/>
              <w:bottom w:val="single" w:sz="4" w:space="0" w:color="auto"/>
              <w:right w:val="nil"/>
            </w:tcBorders>
            <w:shd w:val="clear" w:color="auto" w:fill="E2EFD9" w:themeFill="accent6" w:themeFillTint="33"/>
            <w:noWrap/>
            <w:vAlign w:val="center"/>
            <w:hideMark/>
          </w:tcPr>
          <w:p w14:paraId="7FF783D6" w14:textId="77777777" w:rsidR="00E16412" w:rsidRPr="007936A7" w:rsidRDefault="00E16412" w:rsidP="000A5ABC">
            <w:pPr>
              <w:jc w:val="right"/>
              <w:rPr>
                <w:b/>
                <w:bCs/>
                <w:sz w:val="16"/>
                <w:szCs w:val="16"/>
              </w:rPr>
            </w:pPr>
            <w:r w:rsidRPr="007936A7">
              <w:rPr>
                <w:b/>
                <w:bCs/>
                <w:sz w:val="16"/>
                <w:szCs w:val="16"/>
              </w:rPr>
              <w:t>481,628</w:t>
            </w:r>
          </w:p>
        </w:tc>
        <w:tc>
          <w:tcPr>
            <w:tcW w:w="1079" w:type="dxa"/>
            <w:tcBorders>
              <w:top w:val="single" w:sz="4" w:space="0" w:color="auto"/>
              <w:left w:val="nil"/>
              <w:bottom w:val="single" w:sz="4" w:space="0" w:color="auto"/>
              <w:right w:val="nil"/>
            </w:tcBorders>
            <w:shd w:val="clear" w:color="auto" w:fill="E2EFD9" w:themeFill="accent6" w:themeFillTint="33"/>
            <w:noWrap/>
            <w:vAlign w:val="center"/>
            <w:hideMark/>
          </w:tcPr>
          <w:p w14:paraId="55899FF4" w14:textId="77777777" w:rsidR="00E16412" w:rsidRPr="007936A7" w:rsidRDefault="00E16412" w:rsidP="000A5ABC">
            <w:pPr>
              <w:jc w:val="right"/>
              <w:rPr>
                <w:b/>
                <w:bCs/>
                <w:sz w:val="16"/>
                <w:szCs w:val="16"/>
              </w:rPr>
            </w:pPr>
            <w:r w:rsidRPr="007936A7">
              <w:rPr>
                <w:b/>
                <w:bCs/>
                <w:sz w:val="16"/>
                <w:szCs w:val="16"/>
              </w:rPr>
              <w:t>2,383,936</w:t>
            </w:r>
          </w:p>
        </w:tc>
        <w:tc>
          <w:tcPr>
            <w:tcW w:w="868" w:type="dxa"/>
            <w:tcBorders>
              <w:top w:val="single" w:sz="4" w:space="0" w:color="auto"/>
              <w:left w:val="nil"/>
              <w:bottom w:val="single" w:sz="4" w:space="0" w:color="auto"/>
              <w:right w:val="nil"/>
            </w:tcBorders>
            <w:shd w:val="clear" w:color="auto" w:fill="7F7F7F"/>
            <w:noWrap/>
            <w:vAlign w:val="center"/>
            <w:hideMark/>
          </w:tcPr>
          <w:p w14:paraId="1BCA2D2F" w14:textId="6DF18D99" w:rsidR="00E16412" w:rsidRPr="007936A7" w:rsidRDefault="00E16412" w:rsidP="000A5ABC">
            <w:pPr>
              <w:jc w:val="right"/>
              <w:rPr>
                <w:b/>
                <w:bCs/>
                <w:sz w:val="16"/>
                <w:szCs w:val="16"/>
              </w:rPr>
            </w:pPr>
          </w:p>
        </w:tc>
        <w:tc>
          <w:tcPr>
            <w:tcW w:w="991" w:type="dxa"/>
            <w:tcBorders>
              <w:top w:val="single" w:sz="4" w:space="0" w:color="auto"/>
              <w:left w:val="single" w:sz="4" w:space="0" w:color="auto"/>
              <w:bottom w:val="single" w:sz="4" w:space="0" w:color="auto"/>
              <w:right w:val="nil"/>
            </w:tcBorders>
            <w:shd w:val="clear" w:color="auto" w:fill="E2EFD9" w:themeFill="accent6" w:themeFillTint="33"/>
            <w:noWrap/>
            <w:vAlign w:val="center"/>
            <w:hideMark/>
          </w:tcPr>
          <w:p w14:paraId="363419E0" w14:textId="77777777" w:rsidR="00E16412" w:rsidRPr="007936A7" w:rsidRDefault="00E16412" w:rsidP="000A5ABC">
            <w:pPr>
              <w:jc w:val="right"/>
              <w:rPr>
                <w:b/>
                <w:bCs/>
                <w:sz w:val="16"/>
                <w:szCs w:val="16"/>
              </w:rPr>
            </w:pPr>
            <w:r w:rsidRPr="007936A7">
              <w:rPr>
                <w:b/>
                <w:bCs/>
                <w:sz w:val="16"/>
                <w:szCs w:val="16"/>
              </w:rPr>
              <w:t>73,129</w:t>
            </w:r>
          </w:p>
        </w:tc>
        <w:tc>
          <w:tcPr>
            <w:tcW w:w="1079" w:type="dxa"/>
            <w:tcBorders>
              <w:top w:val="single" w:sz="4" w:space="0" w:color="auto"/>
              <w:left w:val="nil"/>
              <w:bottom w:val="single" w:sz="4" w:space="0" w:color="auto"/>
              <w:right w:val="nil"/>
            </w:tcBorders>
            <w:shd w:val="clear" w:color="auto" w:fill="E2EFD9" w:themeFill="accent6" w:themeFillTint="33"/>
            <w:noWrap/>
            <w:vAlign w:val="center"/>
            <w:hideMark/>
          </w:tcPr>
          <w:p w14:paraId="07D169E4" w14:textId="77777777" w:rsidR="00E16412" w:rsidRPr="007936A7" w:rsidRDefault="00E16412" w:rsidP="000A5ABC">
            <w:pPr>
              <w:jc w:val="right"/>
              <w:rPr>
                <w:b/>
                <w:bCs/>
                <w:sz w:val="16"/>
                <w:szCs w:val="16"/>
              </w:rPr>
            </w:pPr>
            <w:r w:rsidRPr="007936A7">
              <w:rPr>
                <w:b/>
                <w:bCs/>
                <w:sz w:val="16"/>
                <w:szCs w:val="16"/>
              </w:rPr>
              <w:t>40,718</w:t>
            </w:r>
          </w:p>
        </w:tc>
        <w:tc>
          <w:tcPr>
            <w:tcW w:w="1089" w:type="dxa"/>
            <w:tcBorders>
              <w:top w:val="single" w:sz="4" w:space="0" w:color="auto"/>
              <w:left w:val="nil"/>
              <w:bottom w:val="single" w:sz="4" w:space="0" w:color="auto"/>
              <w:right w:val="nil"/>
            </w:tcBorders>
            <w:shd w:val="clear" w:color="auto" w:fill="E2EFD9" w:themeFill="accent6" w:themeFillTint="33"/>
            <w:noWrap/>
            <w:vAlign w:val="center"/>
            <w:hideMark/>
          </w:tcPr>
          <w:p w14:paraId="07D7F632" w14:textId="77777777" w:rsidR="00E16412" w:rsidRPr="007936A7" w:rsidRDefault="00E16412" w:rsidP="000A5ABC">
            <w:pPr>
              <w:jc w:val="right"/>
              <w:rPr>
                <w:b/>
                <w:bCs/>
                <w:sz w:val="16"/>
                <w:szCs w:val="16"/>
              </w:rPr>
            </w:pPr>
            <w:r w:rsidRPr="007936A7">
              <w:rPr>
                <w:b/>
                <w:bCs/>
                <w:sz w:val="16"/>
                <w:szCs w:val="16"/>
              </w:rPr>
              <w:t>225,370</w:t>
            </w:r>
          </w:p>
        </w:tc>
        <w:tc>
          <w:tcPr>
            <w:tcW w:w="912" w:type="dxa"/>
            <w:tcBorders>
              <w:top w:val="single" w:sz="4" w:space="0" w:color="auto"/>
              <w:left w:val="nil"/>
              <w:bottom w:val="single" w:sz="4" w:space="0" w:color="auto"/>
              <w:right w:val="nil"/>
            </w:tcBorders>
            <w:shd w:val="clear" w:color="auto" w:fill="7F7F7F"/>
            <w:noWrap/>
            <w:vAlign w:val="center"/>
            <w:hideMark/>
          </w:tcPr>
          <w:p w14:paraId="030C8FA5" w14:textId="66D2274F" w:rsidR="00E16412" w:rsidRPr="007936A7" w:rsidRDefault="00E16412" w:rsidP="000A5ABC">
            <w:pPr>
              <w:jc w:val="right"/>
              <w:rPr>
                <w:b/>
                <w:bCs/>
                <w:sz w:val="16"/>
                <w:szCs w:val="16"/>
              </w:rPr>
            </w:pPr>
          </w:p>
        </w:tc>
      </w:tr>
    </w:tbl>
    <w:p w14:paraId="601968A4" w14:textId="77777777" w:rsidR="00E16412" w:rsidRPr="006B42D6" w:rsidRDefault="00E16412" w:rsidP="005C2EFC"/>
    <w:p w14:paraId="717A7D82" w14:textId="77777777" w:rsidR="00E16412" w:rsidRPr="006B42D6" w:rsidRDefault="00E16412" w:rsidP="005C2EFC"/>
    <w:p w14:paraId="032DD825" w14:textId="77777777" w:rsidR="00E16412" w:rsidRPr="006B42D6" w:rsidRDefault="00E16412" w:rsidP="005C2EFC">
      <w:pPr>
        <w:sectPr w:rsidR="00E16412" w:rsidRPr="006B42D6" w:rsidSect="005F4FD7">
          <w:pgSz w:w="16840" w:h="11900" w:orient="landscape" w:code="9"/>
          <w:pgMar w:top="1440" w:right="1440" w:bottom="1440" w:left="1440" w:header="709" w:footer="709" w:gutter="0"/>
          <w:cols w:space="720"/>
          <w:docGrid w:linePitch="360"/>
        </w:sectPr>
      </w:pPr>
    </w:p>
    <w:p w14:paraId="2F9D9B69" w14:textId="3310BC4D" w:rsidR="00372C59" w:rsidRPr="006B42D6" w:rsidRDefault="00372C59" w:rsidP="00A01AA0">
      <w:pPr>
        <w:pStyle w:val="Heading4"/>
      </w:pPr>
      <w:bookmarkStart w:id="141" w:name="_Toc82385650"/>
      <w:r w:rsidRPr="006B42D6">
        <w:lastRenderedPageBreak/>
        <w:t>3.</w:t>
      </w:r>
      <w:r w:rsidR="001174B4">
        <w:t>1</w:t>
      </w:r>
      <w:r w:rsidRPr="006B42D6">
        <w:t>.2.1</w:t>
      </w:r>
      <w:r w:rsidR="00E763F5" w:rsidRPr="006B42D6">
        <w:tab/>
      </w:r>
      <w:r w:rsidRPr="006B42D6">
        <w:t>Cassava</w:t>
      </w:r>
      <w:bookmarkEnd w:id="141"/>
    </w:p>
    <w:p w14:paraId="30354674" w14:textId="266CE661" w:rsidR="00B857FB" w:rsidRDefault="00B857FB" w:rsidP="007E60C9">
      <w:bookmarkStart w:id="142" w:name="OLE_LINK6"/>
      <w:bookmarkStart w:id="143" w:name="OLE_LINK7"/>
      <w:r w:rsidRPr="006B42D6">
        <w:t xml:space="preserve">Cassava is an important subsistence food crop in Tanzania, especially in the semi-arid areas and sometimes considered as a famine reserve when cereals fail due to its drought tolerance. The 2019/20 NSCA results revealed that, a total of 727,322 households were engaged in growing cassava in Tanzania during short rainy season (579,708 households were in </w:t>
      </w:r>
      <w:r w:rsidR="00EA1552">
        <w:t>Mainland Tanzania</w:t>
      </w:r>
      <w:r w:rsidRPr="006B42D6">
        <w:t xml:space="preserve"> and 147,614 households in </w:t>
      </w:r>
      <w:r w:rsidR="00F8344D" w:rsidRPr="006B42D6">
        <w:t xml:space="preserve">Tanzania </w:t>
      </w:r>
      <w:r w:rsidRPr="006B42D6">
        <w:t xml:space="preserve">Zanzibar) and 727,976 households during long rainy season (628,246 households were in </w:t>
      </w:r>
      <w:r w:rsidR="00EA1552">
        <w:t>Mainland Tanzania</w:t>
      </w:r>
      <w:r w:rsidRPr="006B42D6">
        <w:t xml:space="preserve"> and 99,730 households in </w:t>
      </w:r>
      <w:r w:rsidR="00F8344D" w:rsidRPr="006B42D6">
        <w:t xml:space="preserve">Tanzania </w:t>
      </w:r>
      <w:r w:rsidRPr="006B42D6">
        <w:t>Zanzibar).</w:t>
      </w:r>
      <w:r w:rsidR="00B4576E" w:rsidRPr="006B42D6">
        <w:t xml:space="preserve"> Furthermore, 649,357 households were engaged in growing cassava as a permanent crop.</w:t>
      </w:r>
    </w:p>
    <w:p w14:paraId="3ACED8A7" w14:textId="77777777" w:rsidR="007E60C9" w:rsidRPr="008B0802" w:rsidRDefault="007E60C9" w:rsidP="007E60C9">
      <w:pPr>
        <w:spacing w:line="240" w:lineRule="auto"/>
        <w:rPr>
          <w:sz w:val="20"/>
          <w:szCs w:val="20"/>
        </w:rPr>
      </w:pPr>
    </w:p>
    <w:p w14:paraId="55EE47D8" w14:textId="0C238DE8" w:rsidR="00B857FB" w:rsidRPr="006B42D6" w:rsidRDefault="00B857FB" w:rsidP="007E60C9">
      <w:r w:rsidRPr="006B42D6">
        <w:t>The total area planted with cassava in Tanzania during the 2019/20 agricultural year was 741,059 ha</w:t>
      </w:r>
      <w:r w:rsidR="00B4576E" w:rsidRPr="006B42D6">
        <w:t>,</w:t>
      </w:r>
      <w:r w:rsidRPr="006B42D6">
        <w:t xml:space="preserve"> of which 740,706 ha occupied by smallholder farmers and 353 ha occupied by large scale farms. Out of the total planted area by smallholder farmers, 677,913 ha was</w:t>
      </w:r>
      <w:r w:rsidR="00B4576E" w:rsidRPr="006B42D6">
        <w:t xml:space="preserve"> </w:t>
      </w:r>
      <w:r w:rsidRPr="006B42D6">
        <w:t xml:space="preserve">in </w:t>
      </w:r>
      <w:r w:rsidR="00EA1552">
        <w:t>Mainland Tanzania</w:t>
      </w:r>
      <w:r w:rsidRPr="006B42D6">
        <w:t xml:space="preserve"> and 62,794 ha in </w:t>
      </w:r>
      <w:r w:rsidR="00B4576E" w:rsidRPr="006B42D6">
        <w:t xml:space="preserve">Tanzania </w:t>
      </w:r>
      <w:r w:rsidRPr="006B42D6">
        <w:t xml:space="preserve">Zanzibar. Among regions that grew cassava in </w:t>
      </w:r>
      <w:r w:rsidR="00EA1552">
        <w:t>Mainland Tanzania</w:t>
      </w:r>
      <w:r w:rsidRPr="006B42D6">
        <w:t>, Kigoma region with 82,115 ha (12.1 percent) reported the largest planted area, followed by Mtwara (66,762 ha; 9.8 percent) and Mwanza (61,323 ha; 9.0 percent)</w:t>
      </w:r>
      <w:r w:rsidR="00B4576E" w:rsidRPr="006B42D6">
        <w:t xml:space="preserve">. </w:t>
      </w:r>
      <w:r w:rsidRPr="006B42D6">
        <w:t xml:space="preserve">In </w:t>
      </w:r>
      <w:r w:rsidR="00B4576E" w:rsidRPr="006B42D6">
        <w:t xml:space="preserve">Tanzania </w:t>
      </w:r>
      <w:r w:rsidRPr="006B42D6">
        <w:t>Zanzibar, Kusini Pemba region had largest planted area with cassava</w:t>
      </w:r>
      <w:r w:rsidR="00421C8C" w:rsidRPr="006B42D6">
        <w:t xml:space="preserve"> of</w:t>
      </w:r>
      <w:r w:rsidRPr="006B42D6">
        <w:t xml:space="preserve"> 23,288 ha (37.1 percent), followed by Kaskazini Pemba (17,173 ha; 27.3 percent) and Kaskazini Unguja region (9,563 ha; 15.2 percent) (Figure </w:t>
      </w:r>
      <w:r w:rsidR="00B4576E" w:rsidRPr="006B42D6">
        <w:t xml:space="preserve">3.14 &amp; </w:t>
      </w:r>
      <w:r w:rsidRPr="006B42D6">
        <w:t>3.1</w:t>
      </w:r>
      <w:r w:rsidR="00B4576E" w:rsidRPr="006B42D6">
        <w:t>5</w:t>
      </w:r>
      <w:r w:rsidRPr="006B42D6">
        <w:t>).</w:t>
      </w:r>
    </w:p>
    <w:p w14:paraId="4C8DE5CA" w14:textId="77777777" w:rsidR="00B4576E" w:rsidRPr="008B0802" w:rsidRDefault="00B4576E" w:rsidP="007E60C9">
      <w:pPr>
        <w:spacing w:line="240" w:lineRule="auto"/>
        <w:rPr>
          <w:sz w:val="20"/>
          <w:szCs w:val="20"/>
        </w:rPr>
      </w:pPr>
    </w:p>
    <w:p w14:paraId="314709E7" w14:textId="2F94A922" w:rsidR="00B857FB" w:rsidRDefault="00B857FB" w:rsidP="007E60C9">
      <w:r w:rsidRPr="006B42D6">
        <w:t xml:space="preserve">The total harvested area with cassava was 255,005 ha out of which 189,309 ha was in </w:t>
      </w:r>
      <w:r w:rsidR="00EA1552">
        <w:t>Mainland Tanzania</w:t>
      </w:r>
      <w:r w:rsidRPr="006B42D6">
        <w:t xml:space="preserve"> and 35,696 ha in </w:t>
      </w:r>
      <w:r w:rsidR="00B4576E" w:rsidRPr="006B42D6">
        <w:t xml:space="preserve">Tanzania </w:t>
      </w:r>
      <w:r w:rsidRPr="006B42D6">
        <w:t xml:space="preserve">Zanzibar. In </w:t>
      </w:r>
      <w:r w:rsidR="00EA1552">
        <w:t>Mainland Tanzania</w:t>
      </w:r>
      <w:r w:rsidRPr="006B42D6">
        <w:t xml:space="preserve">, Mtwara region </w:t>
      </w:r>
      <w:r w:rsidR="00B4576E" w:rsidRPr="006B42D6">
        <w:t xml:space="preserve">reported the largest harvested area </w:t>
      </w:r>
      <w:r w:rsidRPr="006B42D6">
        <w:t>(39,929 ha; 21.1 percent), followed by Kigoma (23,656 ha; 12.5 percent), and Pwani (22,820 ha; 12.1 percent) (Figure 3.1</w:t>
      </w:r>
      <w:r w:rsidR="00AF636C" w:rsidRPr="006B42D6">
        <w:t>4</w:t>
      </w:r>
      <w:r w:rsidRPr="006B42D6">
        <w:t xml:space="preserve">). In </w:t>
      </w:r>
      <w:r w:rsidR="00B4576E" w:rsidRPr="006B42D6">
        <w:t xml:space="preserve">Tanzania </w:t>
      </w:r>
      <w:r w:rsidRPr="006B42D6">
        <w:t>Zanzibar, the largest harvested area with cassava was reported in Kusini Pemba region with 12,112 ha (33.9 percent), followed by Kaskazini Pemba (10,219 ha; 28.6 percent) and Mjini Magharibi (5,546 ha; 15.5 percent) (Figure 3.1</w:t>
      </w:r>
      <w:r w:rsidR="00AF636C" w:rsidRPr="006B42D6">
        <w:t>5</w:t>
      </w:r>
      <w:r w:rsidRPr="006B42D6">
        <w:t>).</w:t>
      </w:r>
    </w:p>
    <w:p w14:paraId="75293D30" w14:textId="043CC7ED" w:rsidR="00DB4E8F" w:rsidRDefault="00DB4E8F">
      <w:pPr>
        <w:spacing w:line="240" w:lineRule="auto"/>
        <w:contextualSpacing w:val="0"/>
        <w:jc w:val="left"/>
      </w:pPr>
      <w:r>
        <w:br w:type="page"/>
      </w:r>
    </w:p>
    <w:p w14:paraId="0095C165" w14:textId="4D5AC1C9" w:rsidR="00E16412" w:rsidRPr="006B42D6" w:rsidRDefault="00E16412" w:rsidP="00D35A2C">
      <w:pPr>
        <w:pStyle w:val="Caption"/>
        <w:rPr>
          <w:b w:val="0"/>
          <w:i/>
        </w:rPr>
      </w:pPr>
      <w:bookmarkStart w:id="144" w:name="_Toc82386291"/>
      <w:r w:rsidRPr="006B42D6">
        <w:lastRenderedPageBreak/>
        <w:t>Figure 3.1</w:t>
      </w:r>
      <w:r w:rsidR="00B4576E" w:rsidRPr="006B42D6">
        <w:t>4</w:t>
      </w:r>
      <w:r w:rsidR="00FD301E">
        <w:t>:</w:t>
      </w:r>
      <w:r w:rsidR="007E60C9">
        <w:tab/>
      </w:r>
      <w:r w:rsidRPr="006B42D6">
        <w:t xml:space="preserve">Planted and Harvested Area with Cassava by </w:t>
      </w:r>
      <w:r w:rsidR="00BC400D" w:rsidRPr="006B42D6">
        <w:t xml:space="preserve">Smallholder Farmers </w:t>
      </w:r>
      <w:r w:rsidRPr="006B42D6">
        <w:t xml:space="preserve">by Region </w:t>
      </w:r>
      <w:r w:rsidR="00BC400D" w:rsidRPr="006B42D6">
        <w:t xml:space="preserve">During </w:t>
      </w:r>
      <w:r w:rsidR="00B4576E" w:rsidRPr="006B42D6">
        <w:t xml:space="preserve">2019/20 </w:t>
      </w:r>
      <w:r w:rsidR="00BC400D" w:rsidRPr="006B42D6">
        <w:t>Agricultural Year</w:t>
      </w:r>
      <w:r w:rsidR="00B4576E" w:rsidRPr="006B42D6">
        <w:t xml:space="preserve">, </w:t>
      </w:r>
      <w:r w:rsidR="00EA1552">
        <w:t>Mainland Tanzania</w:t>
      </w:r>
      <w:bookmarkEnd w:id="144"/>
    </w:p>
    <w:p w14:paraId="38702583" w14:textId="34962609" w:rsidR="00EC4C0F" w:rsidRDefault="001B26AC" w:rsidP="005C2EFC">
      <w:r w:rsidRPr="006B42D6">
        <w:rPr>
          <w:noProof/>
        </w:rPr>
        <w:drawing>
          <wp:inline distT="0" distB="0" distL="0" distR="0" wp14:anchorId="601C498D" wp14:editId="5BC9CBEC">
            <wp:extent cx="5767137" cy="2350135"/>
            <wp:effectExtent l="0" t="0" r="11430" b="12065"/>
            <wp:docPr id="136" name="Chart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14:paraId="7F3DFF4F" w14:textId="77777777" w:rsidR="00DB4E8F" w:rsidRDefault="00DB4E8F" w:rsidP="005C2EFC"/>
    <w:p w14:paraId="16EC2DFE" w14:textId="0CFB9597" w:rsidR="00E16412" w:rsidRPr="006B42D6" w:rsidRDefault="00E16412" w:rsidP="00D35A2C">
      <w:pPr>
        <w:pStyle w:val="Caption"/>
        <w:rPr>
          <w:b w:val="0"/>
          <w:i/>
        </w:rPr>
      </w:pPr>
      <w:bookmarkStart w:id="145" w:name="_Toc82386292"/>
      <w:r w:rsidRPr="006B42D6">
        <w:t>Figure 3.1</w:t>
      </w:r>
      <w:r w:rsidR="00B4576E" w:rsidRPr="006B42D6">
        <w:t>5</w:t>
      </w:r>
      <w:r w:rsidR="00FD301E">
        <w:t>:</w:t>
      </w:r>
      <w:r w:rsidR="007E60C9">
        <w:tab/>
      </w:r>
      <w:r w:rsidRPr="006B42D6">
        <w:t xml:space="preserve">Planted and Harvested Area with Cassava produced by </w:t>
      </w:r>
      <w:r w:rsidR="00BC400D" w:rsidRPr="006B42D6">
        <w:t xml:space="preserve">Smallholder Farmers </w:t>
      </w:r>
      <w:r w:rsidRPr="006B42D6">
        <w:t xml:space="preserve">by Region </w:t>
      </w:r>
      <w:r w:rsidR="00BC400D" w:rsidRPr="006B42D6">
        <w:t>During</w:t>
      </w:r>
      <w:r w:rsidR="00B4576E" w:rsidRPr="006B42D6">
        <w:t xml:space="preserve"> 2019/20</w:t>
      </w:r>
      <w:r w:rsidR="00BC400D" w:rsidRPr="006B42D6">
        <w:t xml:space="preserve"> Agricultural Year</w:t>
      </w:r>
      <w:r w:rsidR="00B4576E" w:rsidRPr="006B42D6">
        <w:t>, Tanzania Zanzibar</w:t>
      </w:r>
      <w:bookmarkEnd w:id="145"/>
    </w:p>
    <w:p w14:paraId="7DAD1A50" w14:textId="592D21D8" w:rsidR="00E16412" w:rsidRPr="006B42D6" w:rsidRDefault="001B26AC" w:rsidP="005C2EFC">
      <w:r w:rsidRPr="006B42D6">
        <w:rPr>
          <w:noProof/>
        </w:rPr>
        <w:drawing>
          <wp:inline distT="0" distB="0" distL="0" distR="0" wp14:anchorId="769A2331" wp14:editId="67A10BA0">
            <wp:extent cx="5815263" cy="2577465"/>
            <wp:effectExtent l="0" t="0" r="14605" b="13335"/>
            <wp:docPr id="135" name="Chart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14:paraId="4970616D" w14:textId="77777777" w:rsidR="00372C59" w:rsidRPr="006B42D6" w:rsidRDefault="00372C59" w:rsidP="00EC4C0F">
      <w:pPr>
        <w:spacing w:line="240" w:lineRule="auto"/>
      </w:pPr>
    </w:p>
    <w:p w14:paraId="0F22D2A7" w14:textId="77777777" w:rsidR="00DB4E8F" w:rsidRDefault="00AF636C" w:rsidP="007E60C9">
      <w:r w:rsidRPr="006B42D6">
        <w:t xml:space="preserve">In terms of production, a total of 1,770,813 tons of cassava was produced, out </w:t>
      </w:r>
      <w:r w:rsidR="00B857FB" w:rsidRPr="006B42D6">
        <w:t xml:space="preserve">of which 1,770,608 tons (99.99 percent) were from smallholder farmers and 205 tons (0.01 percent) from large scale farms. </w:t>
      </w:r>
      <w:r w:rsidR="00A32CAC" w:rsidRPr="006B42D6">
        <w:t>Out of</w:t>
      </w:r>
      <w:r w:rsidR="00B857FB" w:rsidRPr="006B42D6">
        <w:t xml:space="preserve"> the total production </w:t>
      </w:r>
      <w:r w:rsidR="00A32CAC" w:rsidRPr="006B42D6">
        <w:t>of</w:t>
      </w:r>
      <w:r w:rsidR="00B857FB" w:rsidRPr="006B42D6">
        <w:t xml:space="preserve"> cassava </w:t>
      </w:r>
      <w:r w:rsidRPr="006B42D6">
        <w:t xml:space="preserve">produced </w:t>
      </w:r>
      <w:r w:rsidR="00B857FB" w:rsidRPr="006B42D6">
        <w:t>by smallholder farmers</w:t>
      </w:r>
      <w:r w:rsidRPr="006B42D6">
        <w:t xml:space="preserve"> in Tanzania</w:t>
      </w:r>
      <w:r w:rsidR="00B857FB" w:rsidRPr="006B42D6">
        <w:t xml:space="preserve">, 1,586,358 tons were in </w:t>
      </w:r>
      <w:r w:rsidR="00EA1552">
        <w:t>Mainland Tanzania</w:t>
      </w:r>
      <w:r w:rsidR="00B857FB" w:rsidRPr="006B42D6">
        <w:t xml:space="preserve"> and 184,250 tons in </w:t>
      </w:r>
      <w:r w:rsidR="00B4576E" w:rsidRPr="006B42D6">
        <w:t xml:space="preserve">Tanzania </w:t>
      </w:r>
      <w:r w:rsidR="00B857FB" w:rsidRPr="006B42D6">
        <w:t xml:space="preserve">Zanzibar. The highest production of cassava in </w:t>
      </w:r>
      <w:r w:rsidR="00EA1552">
        <w:t>Mainland Tanzania</w:t>
      </w:r>
      <w:r w:rsidR="00B857FB" w:rsidRPr="006B42D6">
        <w:t xml:space="preserve"> was reported in Mtwara region (396,128 tons; 25.0 percent), followed by Pwani (196,551 tons; 12.4 percent) and Kigoma (157,965 tons; 10.0 percent). On the other hand, Arusha region reported the lowest cassava production of 49 tons (0.003 percent) followed by Katavi (531 tons; 0.03 percent) and Iringa (592 tons; 0.04 percent) (Figure 3.1</w:t>
      </w:r>
      <w:r w:rsidRPr="006B42D6">
        <w:t>6</w:t>
      </w:r>
      <w:r w:rsidR="00B857FB" w:rsidRPr="006B42D6">
        <w:t>).</w:t>
      </w:r>
    </w:p>
    <w:p w14:paraId="58563F02" w14:textId="77777777" w:rsidR="00DB4E8F" w:rsidRDefault="00DB4E8F">
      <w:pPr>
        <w:spacing w:line="240" w:lineRule="auto"/>
        <w:contextualSpacing w:val="0"/>
        <w:jc w:val="left"/>
      </w:pPr>
      <w:r>
        <w:br w:type="page"/>
      </w:r>
    </w:p>
    <w:p w14:paraId="1412F8DC" w14:textId="7FBC079D" w:rsidR="00B857FB" w:rsidRDefault="00B857FB" w:rsidP="007E60C9">
      <w:r w:rsidRPr="006B42D6">
        <w:lastRenderedPageBreak/>
        <w:t xml:space="preserve">In </w:t>
      </w:r>
      <w:r w:rsidR="00A32CAC" w:rsidRPr="006B42D6">
        <w:t xml:space="preserve">Tanzania </w:t>
      </w:r>
      <w:r w:rsidRPr="006B42D6">
        <w:t>Zanzibar, the highest cassava production was reported in Kaskazini Pemba (69,843 tons; 38.0 percent), followed by Mjini Magharibi (37,028 tons; 20.1 percent) and Kaskazini Unguja (32,389 tons; 17.6 percent)</w:t>
      </w:r>
      <w:r w:rsidR="00A32CAC" w:rsidRPr="006B42D6">
        <w:t>,</w:t>
      </w:r>
      <w:r w:rsidRPr="006B42D6">
        <w:t xml:space="preserve"> while the lowest cassava production was observed in Kusini Unguja with (17,342 tons; 9.4 percent) (Figure 3.1</w:t>
      </w:r>
      <w:r w:rsidR="00A32CAC" w:rsidRPr="006B42D6">
        <w:t>7</w:t>
      </w:r>
      <w:r w:rsidRPr="006B42D6">
        <w:t>).</w:t>
      </w:r>
    </w:p>
    <w:p w14:paraId="00E020DA" w14:textId="77777777" w:rsidR="007E60C9" w:rsidRPr="006B42D6" w:rsidRDefault="007E60C9" w:rsidP="007E60C9">
      <w:pPr>
        <w:spacing w:line="240" w:lineRule="auto"/>
      </w:pPr>
    </w:p>
    <w:p w14:paraId="36E1DDB3" w14:textId="59D249B8" w:rsidR="00B857FB" w:rsidRPr="006B42D6" w:rsidRDefault="00B857FB" w:rsidP="007E60C9">
      <w:r w:rsidRPr="006B42D6">
        <w:t xml:space="preserve">Furthermore, results show that, the average productivity of cassava in Tanzania was 7.9 tons/ha, </w:t>
      </w:r>
      <w:r w:rsidR="00833DCA">
        <w:t xml:space="preserve">whereby </w:t>
      </w:r>
      <w:r w:rsidRPr="006B42D6">
        <w:t>that of Mainland</w:t>
      </w:r>
      <w:r w:rsidR="00833DCA">
        <w:t xml:space="preserve"> Tanzania</w:t>
      </w:r>
      <w:r w:rsidRPr="006B42D6">
        <w:t xml:space="preserve"> was 8.4 tons/ha and </w:t>
      </w:r>
      <w:r w:rsidR="00833DCA">
        <w:t xml:space="preserve">Tanzania </w:t>
      </w:r>
      <w:r w:rsidRPr="006B42D6">
        <w:t>Zanzibar was 5.2 tons/ha. In Mainland, the highest productivity (yield) was reported in Mara region with 10.2 tons/ha, followed by Mwanza (10.1 tons/ha) and Mtwara (9.9 tons/ha). On the other hand, the lowest productivity of 4.4 tons/ha was reported in Simiyu region. In Zanzibar, the highest productivity (yield) was reported in Kusini Unguja region with 6.9 tons/ha, followed by Kaskazini Pemba (6.8 tons/ha) and Mjini Magharibi (6.7 tons/ha). The lowest productivity of 2.3 tons/ha was reported in Kusini Pemba region (Figure 3.1</w:t>
      </w:r>
      <w:r w:rsidR="00A32CAC" w:rsidRPr="006B42D6">
        <w:t>6 &amp; 3.17</w:t>
      </w:r>
      <w:r w:rsidRPr="006B42D6">
        <w:t>).</w:t>
      </w:r>
    </w:p>
    <w:p w14:paraId="093165B1" w14:textId="38A3E363" w:rsidR="00B857FB" w:rsidRPr="006B42D6" w:rsidRDefault="00B857FB" w:rsidP="005C2EFC"/>
    <w:p w14:paraId="5EAC87A6" w14:textId="184C2405" w:rsidR="00EC4C0F" w:rsidRDefault="00EC4C0F" w:rsidP="00EC4C0F">
      <w:pPr>
        <w:pStyle w:val="Caption"/>
      </w:pPr>
      <w:bookmarkStart w:id="146" w:name="_Toc82386293"/>
      <w:r w:rsidRPr="006B42D6">
        <w:t>Figure 3.16</w:t>
      </w:r>
      <w:r>
        <w:t>:</w:t>
      </w:r>
      <w:r>
        <w:tab/>
      </w:r>
      <w:r w:rsidRPr="006B42D6">
        <w:t xml:space="preserve">Production and Yield of Cassava During 2019/20 Agricultural Year, </w:t>
      </w:r>
      <w:r>
        <w:t>Mainland Tanzania</w:t>
      </w:r>
      <w:bookmarkEnd w:id="146"/>
    </w:p>
    <w:p w14:paraId="03104540" w14:textId="5D84C8B3" w:rsidR="00EC4C0F" w:rsidRDefault="00EC4C0F" w:rsidP="005F0EE7">
      <w:r w:rsidRPr="006B42D6">
        <w:rPr>
          <w:noProof/>
        </w:rPr>
        <w:drawing>
          <wp:inline distT="0" distB="0" distL="0" distR="0" wp14:anchorId="4A145F35" wp14:editId="2847F2BC">
            <wp:extent cx="5729605" cy="2842895"/>
            <wp:effectExtent l="0" t="0" r="10795" b="14605"/>
            <wp:docPr id="134" name="Chart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14:paraId="08799300" w14:textId="6B7D14B5" w:rsidR="00DB4E8F" w:rsidRDefault="00DB4E8F">
      <w:pPr>
        <w:spacing w:line="240" w:lineRule="auto"/>
        <w:contextualSpacing w:val="0"/>
        <w:jc w:val="left"/>
      </w:pPr>
      <w:r>
        <w:br w:type="page"/>
      </w:r>
    </w:p>
    <w:p w14:paraId="51F3601A" w14:textId="2DC91B08" w:rsidR="00372C59" w:rsidRPr="006B42D6" w:rsidRDefault="00372C59" w:rsidP="00D35A2C">
      <w:pPr>
        <w:pStyle w:val="Caption"/>
      </w:pPr>
      <w:bookmarkStart w:id="147" w:name="_Toc82386294"/>
      <w:r w:rsidRPr="006B42D6">
        <w:lastRenderedPageBreak/>
        <w:t>Figure 3.1</w:t>
      </w:r>
      <w:r w:rsidR="00330325" w:rsidRPr="006B42D6">
        <w:t>7</w:t>
      </w:r>
      <w:r w:rsidR="00FD301E">
        <w:t>:</w:t>
      </w:r>
      <w:r w:rsidR="007E60C9">
        <w:tab/>
      </w:r>
      <w:r w:rsidRPr="006B42D6">
        <w:t xml:space="preserve">Production and Yield of Cassava </w:t>
      </w:r>
      <w:r w:rsidR="00330325" w:rsidRPr="006B42D6">
        <w:t>D</w:t>
      </w:r>
      <w:r w:rsidRPr="006B42D6">
        <w:t xml:space="preserve">uring 2019/20 </w:t>
      </w:r>
      <w:r w:rsidR="00330325" w:rsidRPr="006B42D6">
        <w:t>A</w:t>
      </w:r>
      <w:r w:rsidRPr="006B42D6">
        <w:t xml:space="preserve">gricultural </w:t>
      </w:r>
      <w:r w:rsidR="00330325" w:rsidRPr="006B42D6">
        <w:t>Y</w:t>
      </w:r>
      <w:r w:rsidRPr="006B42D6">
        <w:t>ear</w:t>
      </w:r>
      <w:r w:rsidR="00330325" w:rsidRPr="006B42D6">
        <w:t>, Tanzania Zanzibar</w:t>
      </w:r>
      <w:bookmarkEnd w:id="147"/>
    </w:p>
    <w:p w14:paraId="3AE848BF" w14:textId="37954386" w:rsidR="00372C59" w:rsidRPr="006B42D6" w:rsidRDefault="001B26AC" w:rsidP="005C2EFC">
      <w:r w:rsidRPr="006B42D6">
        <w:rPr>
          <w:b/>
          <w:i/>
          <w:noProof/>
          <w:sz w:val="20"/>
          <w:szCs w:val="20"/>
        </w:rPr>
        <w:drawing>
          <wp:inline distT="0" distB="0" distL="0" distR="0" wp14:anchorId="42A42770" wp14:editId="6B37E891">
            <wp:extent cx="5432425" cy="2735179"/>
            <wp:effectExtent l="0" t="0" r="15875" b="8255"/>
            <wp:docPr id="133" name="Chart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bookmarkEnd w:id="142"/>
    <w:bookmarkEnd w:id="143"/>
    <w:p w14:paraId="186B6FC2" w14:textId="77777777" w:rsidR="00372C59" w:rsidRPr="006B42D6" w:rsidRDefault="00372C59" w:rsidP="005C2EFC"/>
    <w:p w14:paraId="6F512DDC" w14:textId="15C7CA25" w:rsidR="00E16412" w:rsidRPr="006B42D6" w:rsidRDefault="00E16412" w:rsidP="008E1AE9">
      <w:pPr>
        <w:pStyle w:val="Heading4"/>
      </w:pPr>
      <w:bookmarkStart w:id="148" w:name="_Toc82385651"/>
      <w:r w:rsidRPr="006B42D6">
        <w:t>3.</w:t>
      </w:r>
      <w:r w:rsidR="001174B4">
        <w:t>1</w:t>
      </w:r>
      <w:r w:rsidRPr="006B42D6">
        <w:t>.2.2</w:t>
      </w:r>
      <w:r w:rsidR="00EC4C0F">
        <w:tab/>
      </w:r>
      <w:r w:rsidRPr="006B42D6">
        <w:t>Sweet Potatoes</w:t>
      </w:r>
      <w:bookmarkEnd w:id="148"/>
    </w:p>
    <w:p w14:paraId="6F79857A" w14:textId="0960CD80" w:rsidR="00C67016" w:rsidRDefault="00C67016" w:rsidP="007E60C9">
      <w:r w:rsidRPr="006B42D6">
        <w:t>Sweet potato is an important food security crop in Tanzania, often crucial during famine periods because of its excellent drought tolerance and rapid production of storage roots. The 2019/20 NSCA results show that, sweet potatoes w</w:t>
      </w:r>
      <w:r w:rsidR="000032B5">
        <w:t>ere</w:t>
      </w:r>
      <w:r w:rsidRPr="006B42D6">
        <w:t xml:space="preserve"> grown by 368,664 households in Tanzania during short rainy season (354,382 in </w:t>
      </w:r>
      <w:r w:rsidR="00EA1552">
        <w:t>Mainland Tanzania</w:t>
      </w:r>
      <w:r w:rsidRPr="006B42D6">
        <w:t xml:space="preserve"> and 14,282 in </w:t>
      </w:r>
      <w:r w:rsidR="00BD4898" w:rsidRPr="006B42D6">
        <w:t xml:space="preserve">Tanzania </w:t>
      </w:r>
      <w:r w:rsidRPr="006B42D6">
        <w:t xml:space="preserve">Zanzibar) and 626,569 households during long rainy season (604,895 households in </w:t>
      </w:r>
      <w:r w:rsidR="00EA1552">
        <w:t>Mainland Tanzania</w:t>
      </w:r>
      <w:r w:rsidRPr="006B42D6">
        <w:t xml:space="preserve"> and 21,674 households in </w:t>
      </w:r>
      <w:r w:rsidR="00BD4898" w:rsidRPr="006B42D6">
        <w:t xml:space="preserve">Tanzania </w:t>
      </w:r>
      <w:r w:rsidRPr="006B42D6">
        <w:t xml:space="preserve">Zanzibar). </w:t>
      </w:r>
    </w:p>
    <w:p w14:paraId="5989B3C7" w14:textId="77777777" w:rsidR="007E60C9" w:rsidRPr="006B42D6" w:rsidRDefault="007E60C9" w:rsidP="007E60C9">
      <w:pPr>
        <w:spacing w:line="240" w:lineRule="auto"/>
      </w:pPr>
    </w:p>
    <w:p w14:paraId="24029E8B" w14:textId="12C2AC18" w:rsidR="00C67016" w:rsidRDefault="00C67016" w:rsidP="007E60C9">
      <w:r w:rsidRPr="006B42D6">
        <w:t>A total area of 289,940 ha was planted with sweet potatoes national wide</w:t>
      </w:r>
      <w:r w:rsidR="00BD4898" w:rsidRPr="006B42D6">
        <w:t>,</w:t>
      </w:r>
      <w:r w:rsidRPr="006B42D6">
        <w:t xml:space="preserve"> of which 289,917 ha was occupied by smallholder farmers and 23 ha by large scale farms. Among the total area occupied by smallholder farmers in Tanzania, 282,773 ha </w:t>
      </w:r>
      <w:r w:rsidR="001C0DD2" w:rsidRPr="006B42D6">
        <w:t>were</w:t>
      </w:r>
      <w:r w:rsidRPr="006B42D6">
        <w:t xml:space="preserve"> in </w:t>
      </w:r>
      <w:r w:rsidR="00EA1552">
        <w:t>Mainland Tanzania</w:t>
      </w:r>
      <w:r w:rsidRPr="006B42D6">
        <w:t xml:space="preserve"> and 7,144 ha in </w:t>
      </w:r>
      <w:r w:rsidR="00BD4898" w:rsidRPr="006B42D6">
        <w:t xml:space="preserve">Tanzania </w:t>
      </w:r>
      <w:r w:rsidRPr="006B42D6">
        <w:t xml:space="preserve">Zanzibar. Looking on the planted area across the regions producing sweet potatoes in </w:t>
      </w:r>
      <w:r w:rsidR="00EA1552">
        <w:t>Mainland Tanzania</w:t>
      </w:r>
      <w:r w:rsidRPr="006B42D6">
        <w:t>; Mwanza</w:t>
      </w:r>
      <w:r w:rsidR="001429C5" w:rsidRPr="006B42D6">
        <w:t xml:space="preserve"> reported the largest planted area (61,326 ha; 21.7 percent), followed by </w:t>
      </w:r>
      <w:r w:rsidRPr="006B42D6">
        <w:t xml:space="preserve">Tabora </w:t>
      </w:r>
      <w:r w:rsidR="001429C5" w:rsidRPr="006B42D6">
        <w:t xml:space="preserve">(44,745 ha; 15.8 percent) </w:t>
      </w:r>
      <w:r w:rsidRPr="006B42D6">
        <w:t>and Geita regions (43,454 ha; 15.4 percent)</w:t>
      </w:r>
      <w:r w:rsidR="001429C5" w:rsidRPr="006B42D6">
        <w:t xml:space="preserve"> and the least planted area was in Arusha (85 ha; 0.03 percent)</w:t>
      </w:r>
      <w:r w:rsidRPr="006B42D6">
        <w:t xml:space="preserve">. In </w:t>
      </w:r>
      <w:r w:rsidR="001429C5" w:rsidRPr="006B42D6">
        <w:t xml:space="preserve">Tanzania </w:t>
      </w:r>
      <w:r w:rsidRPr="006B42D6">
        <w:t xml:space="preserve">Zanzibar, Mjini Magharibi </w:t>
      </w:r>
      <w:r w:rsidR="001429C5" w:rsidRPr="006B42D6">
        <w:t xml:space="preserve">region </w:t>
      </w:r>
      <w:r w:rsidRPr="006B42D6">
        <w:t>with 2,136 ha (29.9 percent) had the largest area planted with sweet potatoes, followed by Kaskazini Unguja (2,049 ha; 28.7 percent) and Kaskazini Pemba (1,808 ha; 25.3 percent)</w:t>
      </w:r>
      <w:r w:rsidR="001429C5" w:rsidRPr="006B42D6">
        <w:t xml:space="preserve"> and the least planted area was in Kusini Pemba (399 ha; 5.6 percent)</w:t>
      </w:r>
      <w:r w:rsidRPr="006B42D6">
        <w:t>.</w:t>
      </w:r>
    </w:p>
    <w:p w14:paraId="5150C8A5" w14:textId="63D3A48F" w:rsidR="00DB4E8F" w:rsidRDefault="00DB4E8F">
      <w:pPr>
        <w:spacing w:line="240" w:lineRule="auto"/>
        <w:contextualSpacing w:val="0"/>
        <w:jc w:val="left"/>
      </w:pPr>
      <w:r>
        <w:br w:type="page"/>
      </w:r>
    </w:p>
    <w:p w14:paraId="61509B95" w14:textId="232E3710" w:rsidR="001429C5" w:rsidRDefault="00C67016" w:rsidP="007E60C9">
      <w:r w:rsidRPr="006B42D6">
        <w:lastRenderedPageBreak/>
        <w:t>During 2019/20 Agricultural year, a total harvested area with sweet potatoes was 234,664 ha</w:t>
      </w:r>
      <w:r w:rsidR="001429C5" w:rsidRPr="006B42D6">
        <w:t>,</w:t>
      </w:r>
      <w:r w:rsidRPr="006B42D6">
        <w:t xml:space="preserve"> out of which 231,209 ha </w:t>
      </w:r>
      <w:r w:rsidR="001C0DD2" w:rsidRPr="006B42D6">
        <w:t>were</w:t>
      </w:r>
      <w:r w:rsidRPr="006B42D6">
        <w:t xml:space="preserve"> in </w:t>
      </w:r>
      <w:r w:rsidR="00EA1552">
        <w:t>Mainland Tanzania</w:t>
      </w:r>
      <w:r w:rsidRPr="006B42D6">
        <w:t xml:space="preserve"> and 3,455 ha in </w:t>
      </w:r>
      <w:r w:rsidR="001429C5" w:rsidRPr="006B42D6">
        <w:t xml:space="preserve">Tanzania </w:t>
      </w:r>
      <w:r w:rsidRPr="006B42D6">
        <w:t xml:space="preserve">Zanzibar. In </w:t>
      </w:r>
      <w:r w:rsidR="00EA1552">
        <w:t>Mainland Tanzania</w:t>
      </w:r>
      <w:r w:rsidRPr="006B42D6">
        <w:t>, Mwanza region (48,973 ha; 21.2 percent) had the largest harvested area, followed by Geita (38,209 ha; 16.5 percent) and Tabora (37,575 ha; 16.3 percent)</w:t>
      </w:r>
      <w:r w:rsidR="001429C5" w:rsidRPr="006B42D6">
        <w:t>.</w:t>
      </w:r>
    </w:p>
    <w:p w14:paraId="3F03217A" w14:textId="77777777" w:rsidR="007E60C9" w:rsidRPr="006B42D6" w:rsidRDefault="007E60C9" w:rsidP="007E60C9">
      <w:pPr>
        <w:spacing w:line="240" w:lineRule="auto"/>
      </w:pPr>
    </w:p>
    <w:p w14:paraId="58A98D39" w14:textId="22EA7968" w:rsidR="00C67016" w:rsidRPr="006B42D6" w:rsidRDefault="00C67016" w:rsidP="007E60C9">
      <w:r w:rsidRPr="006B42D6">
        <w:t xml:space="preserve">In </w:t>
      </w:r>
      <w:r w:rsidR="001429C5" w:rsidRPr="006B42D6">
        <w:t xml:space="preserve">Tanzania </w:t>
      </w:r>
      <w:r w:rsidRPr="006B42D6">
        <w:t xml:space="preserve">Zanzibar, Mjini Magharibi reported the largest harvested area with sweet potatoes of 1,276 ha (36.9 percent), followed by Kaskazini Unguja </w:t>
      </w:r>
      <w:r w:rsidR="001429C5" w:rsidRPr="006B42D6">
        <w:t xml:space="preserve">(988 ha; 28.6 percent) </w:t>
      </w:r>
      <w:r w:rsidRPr="006B42D6">
        <w:t>and Kaskazini Pemba (711 ha; 20.6 percent)</w:t>
      </w:r>
      <w:r w:rsidR="001429C5" w:rsidRPr="006B42D6">
        <w:t xml:space="preserve">. </w:t>
      </w:r>
      <w:r w:rsidRPr="006B42D6">
        <w:t xml:space="preserve">The total harvested area reported in Tanzania by </w:t>
      </w:r>
      <w:r w:rsidR="001429C5" w:rsidRPr="006B42D6">
        <w:t>s</w:t>
      </w:r>
      <w:r w:rsidRPr="006B42D6">
        <w:t xml:space="preserve">mallholder </w:t>
      </w:r>
      <w:r w:rsidR="001429C5" w:rsidRPr="006B42D6">
        <w:t>f</w:t>
      </w:r>
      <w:r w:rsidRPr="006B42D6">
        <w:t>armers was 80.9 percent of the total planted area with sweet potatoes during 2019/20 Agricultural year</w:t>
      </w:r>
      <w:r w:rsidR="001429C5" w:rsidRPr="006B42D6">
        <w:t xml:space="preserve"> (Figure 3.18 &amp;</w:t>
      </w:r>
      <w:r w:rsidR="00DB4E8F">
        <w:t xml:space="preserve"> </w:t>
      </w:r>
      <w:r w:rsidR="001429C5" w:rsidRPr="006B42D6">
        <w:t>3.19).</w:t>
      </w:r>
    </w:p>
    <w:p w14:paraId="3BD1B67A" w14:textId="77777777" w:rsidR="00372C59" w:rsidRPr="006B42D6" w:rsidRDefault="00372C59" w:rsidP="007E60C9">
      <w:pPr>
        <w:spacing w:line="240" w:lineRule="auto"/>
      </w:pPr>
    </w:p>
    <w:p w14:paraId="586E1299" w14:textId="171EC1AC" w:rsidR="00E16412" w:rsidRPr="006B42D6" w:rsidRDefault="00E16412" w:rsidP="00D35A2C">
      <w:pPr>
        <w:pStyle w:val="Caption"/>
        <w:rPr>
          <w:b w:val="0"/>
          <w:i/>
        </w:rPr>
      </w:pPr>
      <w:bookmarkStart w:id="149" w:name="_Toc82386295"/>
      <w:r w:rsidRPr="006B42D6">
        <w:t>Figure 3.1</w:t>
      </w:r>
      <w:r w:rsidR="001429C5" w:rsidRPr="006B42D6">
        <w:t>8</w:t>
      </w:r>
      <w:r w:rsidR="00FD301E">
        <w:t>:</w:t>
      </w:r>
      <w:r w:rsidR="003F3D87">
        <w:tab/>
      </w:r>
      <w:r w:rsidRPr="006B42D6">
        <w:t xml:space="preserve">Planted and Harvested Area with Sweet Potatoes by </w:t>
      </w:r>
      <w:r w:rsidR="001429C5" w:rsidRPr="006B42D6">
        <w:t>S</w:t>
      </w:r>
      <w:r w:rsidRPr="006B42D6">
        <w:t xml:space="preserve">mallholder </w:t>
      </w:r>
      <w:r w:rsidR="001429C5" w:rsidRPr="006B42D6">
        <w:t>F</w:t>
      </w:r>
      <w:r w:rsidRPr="006B42D6">
        <w:t xml:space="preserve">armers by Region </w:t>
      </w:r>
      <w:r w:rsidR="001429C5" w:rsidRPr="006B42D6">
        <w:t>D</w:t>
      </w:r>
      <w:r w:rsidRPr="006B42D6">
        <w:t xml:space="preserve">uring </w:t>
      </w:r>
      <w:r w:rsidR="001429C5" w:rsidRPr="006B42D6">
        <w:t>2019/20 A</w:t>
      </w:r>
      <w:r w:rsidRPr="006B42D6">
        <w:t xml:space="preserve">gricultural </w:t>
      </w:r>
      <w:r w:rsidR="001429C5" w:rsidRPr="006B42D6">
        <w:t>Y</w:t>
      </w:r>
      <w:r w:rsidRPr="006B42D6">
        <w:t>ear</w:t>
      </w:r>
      <w:r w:rsidR="001429C5" w:rsidRPr="006B42D6">
        <w:t xml:space="preserve">, </w:t>
      </w:r>
      <w:r w:rsidR="00EA1552">
        <w:t>Mainland Tanzania</w:t>
      </w:r>
      <w:bookmarkEnd w:id="149"/>
    </w:p>
    <w:p w14:paraId="11CC649B" w14:textId="42149472" w:rsidR="003D1880" w:rsidRDefault="001B26AC" w:rsidP="005C2EFC">
      <w:r w:rsidRPr="006B42D6">
        <w:rPr>
          <w:noProof/>
        </w:rPr>
        <w:drawing>
          <wp:inline distT="0" distB="0" distL="0" distR="0" wp14:anchorId="5BB322D3" wp14:editId="4D371696">
            <wp:extent cx="5806831" cy="3155315"/>
            <wp:effectExtent l="0" t="0" r="10160" b="6985"/>
            <wp:docPr id="132" name="Chart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14:paraId="2A8FBD72" w14:textId="77777777" w:rsidR="003D1880" w:rsidRDefault="003D1880">
      <w:pPr>
        <w:spacing w:line="240" w:lineRule="auto"/>
        <w:contextualSpacing w:val="0"/>
        <w:jc w:val="left"/>
      </w:pPr>
      <w:r>
        <w:br w:type="page"/>
      </w:r>
    </w:p>
    <w:p w14:paraId="693C4CCC" w14:textId="11F8AD11" w:rsidR="00E16412" w:rsidRPr="006B42D6" w:rsidRDefault="00E16412" w:rsidP="00D35A2C">
      <w:pPr>
        <w:pStyle w:val="Caption"/>
        <w:rPr>
          <w:b w:val="0"/>
          <w:i/>
        </w:rPr>
      </w:pPr>
      <w:bookmarkStart w:id="150" w:name="_Toc82386296"/>
      <w:r w:rsidRPr="006B42D6">
        <w:lastRenderedPageBreak/>
        <w:t>Figure 3.</w:t>
      </w:r>
      <w:r w:rsidR="001429C5" w:rsidRPr="006B42D6">
        <w:t>19</w:t>
      </w:r>
      <w:r w:rsidR="00FD301E">
        <w:t>:</w:t>
      </w:r>
      <w:r w:rsidR="007E60C9">
        <w:tab/>
      </w:r>
      <w:r w:rsidRPr="006B42D6">
        <w:t xml:space="preserve">Planted and Harvested Area with Sweet Potatoes by </w:t>
      </w:r>
      <w:r w:rsidR="008C45E6" w:rsidRPr="006B42D6">
        <w:t xml:space="preserve">Smallholder Farmers </w:t>
      </w:r>
      <w:r w:rsidRPr="006B42D6">
        <w:t xml:space="preserve">by Region </w:t>
      </w:r>
      <w:r w:rsidR="008C45E6" w:rsidRPr="006B42D6">
        <w:t xml:space="preserve">During </w:t>
      </w:r>
      <w:r w:rsidR="001429C5" w:rsidRPr="006B42D6">
        <w:t xml:space="preserve">2019/20 </w:t>
      </w:r>
      <w:r w:rsidR="008C45E6" w:rsidRPr="006B42D6">
        <w:t>Agricultural Year</w:t>
      </w:r>
      <w:r w:rsidR="001429C5" w:rsidRPr="006B42D6">
        <w:t>, Tanzania Zanzibar</w:t>
      </w:r>
      <w:bookmarkEnd w:id="150"/>
    </w:p>
    <w:p w14:paraId="495B1AAE" w14:textId="61B86218" w:rsidR="00E16412" w:rsidRDefault="001B26AC" w:rsidP="005C2EFC">
      <w:r w:rsidRPr="006B42D6">
        <w:rPr>
          <w:noProof/>
        </w:rPr>
        <w:drawing>
          <wp:inline distT="0" distB="0" distL="0" distR="0" wp14:anchorId="1D8C2814" wp14:editId="1B4D77B2">
            <wp:extent cx="5673969" cy="2325370"/>
            <wp:effectExtent l="0" t="0" r="15875" b="11430"/>
            <wp:docPr id="131" name="Chart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14:paraId="79980E34" w14:textId="77777777" w:rsidR="000032B5" w:rsidRPr="006B42D6" w:rsidRDefault="000032B5" w:rsidP="000032B5">
      <w:pPr>
        <w:spacing w:line="240" w:lineRule="auto"/>
      </w:pPr>
    </w:p>
    <w:p w14:paraId="519A2142" w14:textId="654E4E78" w:rsidR="00C67016" w:rsidRPr="006B42D6" w:rsidRDefault="001C0DD2" w:rsidP="007E60C9">
      <w:r w:rsidRPr="006B42D6">
        <w:t>In terms of production</w:t>
      </w:r>
      <w:r w:rsidR="00C67016" w:rsidRPr="006B42D6">
        <w:t xml:space="preserve">, </w:t>
      </w:r>
      <w:r w:rsidRPr="006B42D6">
        <w:t xml:space="preserve">the results also show that, </w:t>
      </w:r>
      <w:r w:rsidR="00C67016" w:rsidRPr="006B42D6">
        <w:t>the total sweet potatoes’ production in Tanzania was 504,346 tons</w:t>
      </w:r>
      <w:r w:rsidR="001429C5" w:rsidRPr="006B42D6">
        <w:t>,</w:t>
      </w:r>
      <w:r w:rsidR="00C67016" w:rsidRPr="006B42D6">
        <w:t xml:space="preserve"> out of which 504,302 tons (99.9 percent) were from smallholder farmers and 44 tons (0.01 percent) from large scale farms. Out of the total sweet potatoes production, 466,122 tons were produced in </w:t>
      </w:r>
      <w:r w:rsidR="00EA1552">
        <w:t>Mainland Tanzania</w:t>
      </w:r>
      <w:r w:rsidR="00C67016" w:rsidRPr="006B42D6">
        <w:t xml:space="preserve"> and 38,180 tons in</w:t>
      </w:r>
      <w:r w:rsidR="000D483E" w:rsidRPr="006B42D6">
        <w:t xml:space="preserve"> Tanzania</w:t>
      </w:r>
      <w:r w:rsidR="00C67016" w:rsidRPr="006B42D6">
        <w:t xml:space="preserve"> Zanzibar. The highest production of sweet potatoes in </w:t>
      </w:r>
      <w:r w:rsidR="00EA1552">
        <w:t>Mainland Tanzania</w:t>
      </w:r>
      <w:r w:rsidR="00C67016" w:rsidRPr="006B42D6">
        <w:t xml:space="preserve"> was reported in Mwanza region (94,707 tons; 20.3 percent)</w:t>
      </w:r>
      <w:r w:rsidR="000D483E" w:rsidRPr="006B42D6">
        <w:t>,</w:t>
      </w:r>
      <w:r w:rsidR="00C67016" w:rsidRPr="006B42D6">
        <w:t xml:space="preserve"> followed by Tabora (75,013 tons; 16.1 percent) and Simiyu (73,886 tons; 15.9 percent). The lowest production of 21 tons (0.005 percent) was reported in Arusha region, followed by Dar es Salaam (355 tons; 0.1 percent) and Njombe (375 tons; 0.1 percent) (Figure 3.2</w:t>
      </w:r>
      <w:r w:rsidR="000D483E" w:rsidRPr="006B42D6">
        <w:t>0</w:t>
      </w:r>
      <w:r w:rsidR="00C67016" w:rsidRPr="006B42D6">
        <w:t xml:space="preserve">). In </w:t>
      </w:r>
      <w:r w:rsidR="000D483E" w:rsidRPr="006B42D6">
        <w:t xml:space="preserve">Tanzania </w:t>
      </w:r>
      <w:r w:rsidR="00C67016" w:rsidRPr="006B42D6">
        <w:t>Zanzibar, the highest sweet potatoes production was reported in Mjini Magharibi region (14,531 tons; 38.1 percent), followed by Kaskazini Unguja (10,481 tons; 27.5 percent) and Kaskazini Pemba (8,247 tons; 21.6 percent). Kusini Pemba region reported the lowest sweet potatoes production of 1,401 tons (3.7 percent) (Figure 3.2</w:t>
      </w:r>
      <w:r w:rsidR="000D483E" w:rsidRPr="006B42D6">
        <w:t>1</w:t>
      </w:r>
      <w:r w:rsidR="0026461C" w:rsidRPr="006B42D6">
        <w:t xml:space="preserve"> &amp; Map</w:t>
      </w:r>
      <w:r w:rsidR="000D483E" w:rsidRPr="006B42D6">
        <w:t xml:space="preserve"> 3.4</w:t>
      </w:r>
      <w:r w:rsidR="00C67016" w:rsidRPr="006B42D6">
        <w:t xml:space="preserve">). </w:t>
      </w:r>
    </w:p>
    <w:p w14:paraId="7C24B7C4" w14:textId="77777777" w:rsidR="00FD301E" w:rsidRDefault="00FD301E"/>
    <w:p w14:paraId="141E4E24" w14:textId="77777777" w:rsidR="008E1AE9" w:rsidRDefault="008E1AE9">
      <w:pPr>
        <w:spacing w:line="240" w:lineRule="auto"/>
        <w:contextualSpacing w:val="0"/>
        <w:jc w:val="left"/>
        <w:rPr>
          <w:b/>
          <w:iCs/>
          <w:color w:val="000000" w:themeColor="text1"/>
          <w:sz w:val="20"/>
          <w:szCs w:val="18"/>
        </w:rPr>
      </w:pPr>
      <w:r>
        <w:br w:type="page"/>
      </w:r>
    </w:p>
    <w:p w14:paraId="46C02539" w14:textId="16E8BD03" w:rsidR="0026461C" w:rsidRPr="006B42D6" w:rsidRDefault="0026461C" w:rsidP="008E1AE9">
      <w:pPr>
        <w:pStyle w:val="MapNew"/>
      </w:pPr>
      <w:bookmarkStart w:id="151" w:name="_Toc80902553"/>
      <w:bookmarkStart w:id="152" w:name="_Toc82386471"/>
      <w:r w:rsidRPr="006B42D6">
        <w:lastRenderedPageBreak/>
        <w:t>M</w:t>
      </w:r>
      <w:r w:rsidR="000D483E" w:rsidRPr="006B42D6">
        <w:t>ap</w:t>
      </w:r>
      <w:r w:rsidRPr="006B42D6">
        <w:t xml:space="preserve"> </w:t>
      </w:r>
      <w:r w:rsidR="002D3F14" w:rsidRPr="006B42D6">
        <w:t>3.4</w:t>
      </w:r>
      <w:r w:rsidR="008E1AE9">
        <w:t>:</w:t>
      </w:r>
      <w:r w:rsidR="00DD7DBB">
        <w:tab/>
      </w:r>
      <w:r w:rsidRPr="006B42D6">
        <w:t xml:space="preserve">Production </w:t>
      </w:r>
      <w:r w:rsidR="000D483E" w:rsidRPr="008E1AE9">
        <w:t xml:space="preserve">of </w:t>
      </w:r>
      <w:r w:rsidR="000D483E" w:rsidRPr="006B42D6">
        <w:t xml:space="preserve">Sweet </w:t>
      </w:r>
      <w:r w:rsidR="003D1880">
        <w:t>P</w:t>
      </w:r>
      <w:r w:rsidR="000D483E" w:rsidRPr="006B42D6">
        <w:t xml:space="preserve">otatoes </w:t>
      </w:r>
      <w:r w:rsidRPr="006B42D6">
        <w:t>by Region</w:t>
      </w:r>
      <w:r w:rsidR="000D483E" w:rsidRPr="006B42D6">
        <w:t xml:space="preserve"> During 2019/20 Agricultural Year, Tanzania</w:t>
      </w:r>
      <w:bookmarkEnd w:id="151"/>
      <w:bookmarkEnd w:id="152"/>
    </w:p>
    <w:p w14:paraId="19B79469" w14:textId="1874C88D" w:rsidR="0026461C" w:rsidRPr="006B42D6" w:rsidRDefault="001E2D27" w:rsidP="005C2EFC">
      <w:pPr>
        <w:spacing w:before="240"/>
      </w:pPr>
      <w:r>
        <w:rPr>
          <w:noProof/>
        </w:rPr>
        <w:drawing>
          <wp:inline distT="0" distB="0" distL="0" distR="0" wp14:anchorId="533E8C5C" wp14:editId="65A07FAC">
            <wp:extent cx="6116320" cy="4221640"/>
            <wp:effectExtent l="0" t="0" r="5080" b="0"/>
            <wp:docPr id="4468" name="Picture 4468"/>
            <wp:cNvGraphicFramePr/>
            <a:graphic xmlns:a="http://schemas.openxmlformats.org/drawingml/2006/main">
              <a:graphicData uri="http://schemas.openxmlformats.org/drawingml/2006/picture">
                <pic:pic xmlns:pic="http://schemas.openxmlformats.org/drawingml/2006/picture">
                  <pic:nvPicPr>
                    <pic:cNvPr id="4468" name="Picture 4468"/>
                    <pic:cNvPicPr/>
                  </pic:nvPicPr>
                  <pic:blipFill>
                    <a:blip r:embed="rId169"/>
                    <a:stretch>
                      <a:fillRect/>
                    </a:stretch>
                  </pic:blipFill>
                  <pic:spPr>
                    <a:xfrm>
                      <a:off x="0" y="0"/>
                      <a:ext cx="6116320" cy="4221640"/>
                    </a:xfrm>
                    <a:prstGeom prst="rect">
                      <a:avLst/>
                    </a:prstGeom>
                  </pic:spPr>
                </pic:pic>
              </a:graphicData>
            </a:graphic>
          </wp:inline>
        </w:drawing>
      </w:r>
    </w:p>
    <w:p w14:paraId="0A710147" w14:textId="77777777" w:rsidR="007E60C9" w:rsidRDefault="007E60C9" w:rsidP="007E60C9">
      <w:pPr>
        <w:spacing w:line="240" w:lineRule="auto"/>
      </w:pPr>
    </w:p>
    <w:p w14:paraId="20FACDA0" w14:textId="65E7D8B2" w:rsidR="00C67016" w:rsidRPr="006B42D6" w:rsidRDefault="000D483E" w:rsidP="007E60C9">
      <w:r w:rsidRPr="006B42D6">
        <w:t>Moreover,</w:t>
      </w:r>
      <w:r w:rsidR="00C67016" w:rsidRPr="006B42D6">
        <w:t xml:space="preserve"> results show that, the average productivity of sweet potatoes in Tanzania was 2.1 tons/ha, </w:t>
      </w:r>
      <w:r w:rsidRPr="006B42D6">
        <w:t>whereby</w:t>
      </w:r>
      <w:r w:rsidR="00C67016" w:rsidRPr="006B42D6">
        <w:t xml:space="preserve"> </w:t>
      </w:r>
      <w:r w:rsidRPr="006B42D6">
        <w:t xml:space="preserve">2.0 tons/ha was reported in </w:t>
      </w:r>
      <w:r w:rsidR="00EA1552">
        <w:t>Mainland Tanzania</w:t>
      </w:r>
      <w:r w:rsidR="00C67016" w:rsidRPr="006B42D6">
        <w:t xml:space="preserve"> and </w:t>
      </w:r>
      <w:r w:rsidRPr="006B42D6">
        <w:t xml:space="preserve">11.0 tons/ha in Tanzania </w:t>
      </w:r>
      <w:r w:rsidR="00C67016" w:rsidRPr="006B42D6">
        <w:t xml:space="preserve">Zanzibar. In </w:t>
      </w:r>
      <w:r w:rsidR="00EA1552">
        <w:t>Mainland Tanzania</w:t>
      </w:r>
      <w:r w:rsidR="00C67016" w:rsidRPr="006B42D6">
        <w:t xml:space="preserve">, the highest productivity </w:t>
      </w:r>
      <w:r w:rsidRPr="006B42D6">
        <w:t>(</w:t>
      </w:r>
      <w:r w:rsidR="00C67016" w:rsidRPr="006B42D6">
        <w:t>4.5 tons/ha</w:t>
      </w:r>
      <w:r w:rsidRPr="006B42D6">
        <w:t>)</w:t>
      </w:r>
      <w:r w:rsidR="00C67016" w:rsidRPr="006B42D6">
        <w:t xml:space="preserve"> was reported in Iringa region, followed by Pwani (4.3 tons/ha) and Ruvuma (3.5 tons/ha). On the other hand, the lowest productivity of 0.9 tons/ha was reported in Songwe region. In </w:t>
      </w:r>
      <w:r w:rsidRPr="006B42D6">
        <w:t xml:space="preserve">Tanzania </w:t>
      </w:r>
      <w:r w:rsidR="00C67016" w:rsidRPr="006B42D6">
        <w:t xml:space="preserve">Zanzibar, the highest productivity </w:t>
      </w:r>
      <w:r w:rsidRPr="006B42D6">
        <w:t xml:space="preserve">(11.6 tons/ha) </w:t>
      </w:r>
      <w:r w:rsidR="00C67016" w:rsidRPr="006B42D6">
        <w:t>was reported in Kaskazini Pemba region, followed by Mjini Magharibi (11.4 tons/ha) and Kusini Pemba (10.7 tons/ha). The lowest productivity of 10.1 tons/ha was reported in Kusini Unguja region (Figure 3.2</w:t>
      </w:r>
      <w:r w:rsidR="0010021C" w:rsidRPr="006B42D6">
        <w:t>0 &amp; 3.21</w:t>
      </w:r>
      <w:r w:rsidR="00C67016" w:rsidRPr="006B42D6">
        <w:t xml:space="preserve">). </w:t>
      </w:r>
    </w:p>
    <w:p w14:paraId="5E1CB576" w14:textId="77777777" w:rsidR="00FD301E" w:rsidRDefault="00FD301E"/>
    <w:p w14:paraId="1881E351" w14:textId="77777777" w:rsidR="008E1AE9" w:rsidRDefault="008E1AE9">
      <w:pPr>
        <w:spacing w:line="240" w:lineRule="auto"/>
        <w:contextualSpacing w:val="0"/>
        <w:jc w:val="left"/>
        <w:rPr>
          <w:b/>
          <w:iCs/>
          <w:color w:val="000000" w:themeColor="text1"/>
          <w:sz w:val="20"/>
          <w:szCs w:val="18"/>
        </w:rPr>
      </w:pPr>
      <w:r>
        <w:br w:type="page"/>
      </w:r>
    </w:p>
    <w:p w14:paraId="0CF98E0B" w14:textId="4E511AE7" w:rsidR="00E16412" w:rsidRPr="006B42D6" w:rsidRDefault="00E16412" w:rsidP="00DA6451">
      <w:pPr>
        <w:pStyle w:val="Caption"/>
      </w:pPr>
      <w:bookmarkStart w:id="153" w:name="_Toc82386297"/>
      <w:r w:rsidRPr="006B42D6">
        <w:lastRenderedPageBreak/>
        <w:t>Figure 3.2</w:t>
      </w:r>
      <w:r w:rsidR="0010021C" w:rsidRPr="006B42D6">
        <w:t>0</w:t>
      </w:r>
      <w:r w:rsidR="00FD301E">
        <w:t>:</w:t>
      </w:r>
      <w:r w:rsidR="003F3D87">
        <w:tab/>
      </w:r>
      <w:r w:rsidRPr="006B42D6">
        <w:t xml:space="preserve">Production and Yield of Sweet </w:t>
      </w:r>
      <w:r w:rsidR="009B0F90" w:rsidRPr="006B42D6">
        <w:t>P</w:t>
      </w:r>
      <w:r w:rsidRPr="006B42D6">
        <w:t xml:space="preserve">otatoes </w:t>
      </w:r>
      <w:r w:rsidR="008C45E6" w:rsidRPr="006B42D6">
        <w:t>During 2019/20 Agricultural Year</w:t>
      </w:r>
      <w:r w:rsidR="0010021C" w:rsidRPr="006B42D6">
        <w:t xml:space="preserve">, </w:t>
      </w:r>
      <w:r w:rsidR="00EA1552">
        <w:t>Mainland Tanzania</w:t>
      </w:r>
      <w:bookmarkEnd w:id="153"/>
    </w:p>
    <w:p w14:paraId="5CCAE355" w14:textId="30675610" w:rsidR="00E16412" w:rsidRPr="006B42D6" w:rsidRDefault="001B26AC" w:rsidP="005C2EFC">
      <w:r w:rsidRPr="006B42D6">
        <w:rPr>
          <w:noProof/>
        </w:rPr>
        <w:drawing>
          <wp:inline distT="0" distB="0" distL="0" distR="0" wp14:anchorId="496135BC" wp14:editId="594EE1E5">
            <wp:extent cx="5868035" cy="2675187"/>
            <wp:effectExtent l="0" t="0" r="12065" b="17780"/>
            <wp:docPr id="129" name="Chart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14:paraId="425D310A" w14:textId="77777777" w:rsidR="00491C36" w:rsidRPr="006B42D6" w:rsidRDefault="00491C36" w:rsidP="005C2EFC"/>
    <w:p w14:paraId="6E802714" w14:textId="77C1DFCA" w:rsidR="00E16412" w:rsidRPr="006B42D6" w:rsidRDefault="00E16412" w:rsidP="00DA6451">
      <w:pPr>
        <w:pStyle w:val="Caption"/>
      </w:pPr>
      <w:bookmarkStart w:id="154" w:name="_Toc82386298"/>
      <w:r w:rsidRPr="006B42D6">
        <w:t>Figure 3.2</w:t>
      </w:r>
      <w:r w:rsidR="0010021C" w:rsidRPr="006B42D6">
        <w:t>1</w:t>
      </w:r>
      <w:r w:rsidR="00997F48">
        <w:t>:</w:t>
      </w:r>
      <w:r w:rsidR="003F3D87">
        <w:tab/>
      </w:r>
      <w:r w:rsidRPr="006B42D6">
        <w:t xml:space="preserve">Production and Yield of Sweet </w:t>
      </w:r>
      <w:r w:rsidR="009B0F90" w:rsidRPr="006B42D6">
        <w:t>P</w:t>
      </w:r>
      <w:r w:rsidRPr="006B42D6">
        <w:t xml:space="preserve">otatoes </w:t>
      </w:r>
      <w:r w:rsidR="008C45E6" w:rsidRPr="006B42D6">
        <w:t>During 2019/20 Agricultural Year</w:t>
      </w:r>
      <w:r w:rsidR="0010021C" w:rsidRPr="006B42D6">
        <w:t>, Tanzania Zanzibar</w:t>
      </w:r>
      <w:bookmarkEnd w:id="154"/>
    </w:p>
    <w:p w14:paraId="456821B4" w14:textId="6B8464D1" w:rsidR="00E16412" w:rsidRPr="006B42D6" w:rsidRDefault="001B26AC" w:rsidP="005C2EFC">
      <w:r w:rsidRPr="006B42D6">
        <w:rPr>
          <w:noProof/>
        </w:rPr>
        <w:drawing>
          <wp:inline distT="0" distB="0" distL="0" distR="0" wp14:anchorId="4B8B5FAF" wp14:editId="423CE40F">
            <wp:extent cx="5819775" cy="2780986"/>
            <wp:effectExtent l="0" t="0" r="9525" b="13335"/>
            <wp:docPr id="128" name="Chart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14:paraId="06B30F57" w14:textId="3D268DE9" w:rsidR="00491C36" w:rsidRPr="006B42D6" w:rsidRDefault="00491C36" w:rsidP="005C2EFC">
      <w:pPr>
        <w:rPr>
          <w:b/>
        </w:rPr>
      </w:pPr>
    </w:p>
    <w:p w14:paraId="5D57D7A0" w14:textId="687B3452" w:rsidR="00E16412" w:rsidRPr="006B42D6" w:rsidRDefault="00E16412" w:rsidP="005C2EFC">
      <w:pPr>
        <w:pStyle w:val="Heading4"/>
      </w:pPr>
      <w:bookmarkStart w:id="155" w:name="_Toc82385652"/>
      <w:r w:rsidRPr="006B42D6">
        <w:t>3.</w:t>
      </w:r>
      <w:r w:rsidR="001174B4">
        <w:t>1</w:t>
      </w:r>
      <w:r w:rsidRPr="006B42D6">
        <w:t>.2.3</w:t>
      </w:r>
      <w:r w:rsidR="00E763F5" w:rsidRPr="006B42D6">
        <w:tab/>
      </w:r>
      <w:r w:rsidRPr="006B42D6">
        <w:t>Irish Potatoes</w:t>
      </w:r>
      <w:bookmarkEnd w:id="155"/>
    </w:p>
    <w:p w14:paraId="114B2AE3" w14:textId="3653F9F8" w:rsidR="00C67016" w:rsidRDefault="00C67016" w:rsidP="007E60C9">
      <w:r w:rsidRPr="006B42D6">
        <w:t>Irish potato</w:t>
      </w:r>
      <w:r w:rsidR="00391050" w:rsidRPr="006B42D6">
        <w:t>es</w:t>
      </w:r>
      <w:r w:rsidRPr="006B42D6">
        <w:t xml:space="preserve"> </w:t>
      </w:r>
      <w:r w:rsidR="00391050" w:rsidRPr="006B42D6">
        <w:t xml:space="preserve">is </w:t>
      </w:r>
      <w:r w:rsidRPr="006B42D6">
        <w:t>one of mankind’s valuable food crops which is mostly produced by smallholder farmers in the Southern Highlands Zone where it is used as food and source of income</w:t>
      </w:r>
      <w:r w:rsidR="00391050" w:rsidRPr="006B42D6">
        <w:t>.</w:t>
      </w:r>
      <w:r w:rsidRPr="006B42D6">
        <w:t xml:space="preserve"> </w:t>
      </w:r>
      <w:r w:rsidR="00391050" w:rsidRPr="006B42D6">
        <w:t>Irish potatoes is</w:t>
      </w:r>
      <w:r w:rsidRPr="006B42D6">
        <w:t xml:space="preserve"> considered as potential crop as maize, rice and wheat in the region. The 2019/20 NSCA results indicate that, a total of 57,928 households were engaged in the production of irish potatoes in </w:t>
      </w:r>
      <w:r w:rsidR="00EA1552">
        <w:t>Mainland Tanzania</w:t>
      </w:r>
      <w:r w:rsidRPr="006B42D6">
        <w:t xml:space="preserve"> during short rainy season and 99,748 </w:t>
      </w:r>
      <w:r w:rsidRPr="006B42D6">
        <w:lastRenderedPageBreak/>
        <w:t xml:space="preserve">households during long rainy season (99,693 households were in </w:t>
      </w:r>
      <w:r w:rsidR="00EA1552">
        <w:t>Mainland Tanzania</w:t>
      </w:r>
      <w:r w:rsidRPr="006B42D6">
        <w:t xml:space="preserve"> and 55 households in </w:t>
      </w:r>
      <w:r w:rsidR="00D41DEC" w:rsidRPr="006B42D6">
        <w:t xml:space="preserve">Tanzania </w:t>
      </w:r>
      <w:r w:rsidRPr="006B42D6">
        <w:t>Zanzibar).</w:t>
      </w:r>
    </w:p>
    <w:p w14:paraId="4EA9788F" w14:textId="77777777" w:rsidR="007E60C9" w:rsidRPr="006B42D6" w:rsidRDefault="007E60C9" w:rsidP="007E60C9">
      <w:pPr>
        <w:spacing w:line="240" w:lineRule="auto"/>
      </w:pPr>
    </w:p>
    <w:p w14:paraId="0BB8F84C" w14:textId="5682DB24" w:rsidR="00C67016" w:rsidRDefault="00C67016" w:rsidP="007E60C9">
      <w:r w:rsidRPr="006B42D6">
        <w:t>The total planted area with irish potatoes in Tanzania was 64,429 ha</w:t>
      </w:r>
      <w:r w:rsidR="00D41DEC" w:rsidRPr="006B42D6">
        <w:t>,</w:t>
      </w:r>
      <w:r w:rsidRPr="006B42D6">
        <w:t xml:space="preserve"> of which 64,418 ha were in </w:t>
      </w:r>
      <w:r w:rsidR="00EA1552">
        <w:t>Mainland Tanzania</w:t>
      </w:r>
      <w:r w:rsidRPr="006B42D6">
        <w:t xml:space="preserve"> and 11 ha in </w:t>
      </w:r>
      <w:r w:rsidR="00D41DEC" w:rsidRPr="006B42D6">
        <w:t xml:space="preserve">Tanzania </w:t>
      </w:r>
      <w:r w:rsidRPr="006B42D6">
        <w:t xml:space="preserve">Zanzibar. Among the regions growing irish potatoes in </w:t>
      </w:r>
      <w:r w:rsidR="00EA1552">
        <w:t>Mainland Tanzania</w:t>
      </w:r>
      <w:r w:rsidRPr="006B42D6">
        <w:t>, Mbeya region had the largest area planted</w:t>
      </w:r>
      <w:r w:rsidR="00D41DEC" w:rsidRPr="006B42D6">
        <w:t xml:space="preserve"> with irish potatoes (15,267 ha; 23.7 percent)</w:t>
      </w:r>
      <w:r w:rsidRPr="006B42D6">
        <w:t>, followed by Njombe (12,286 ha; 19.1 percent) and Dar es Salaam (11,648 ha; 18.1 percent)</w:t>
      </w:r>
      <w:r w:rsidR="00D41DEC" w:rsidRPr="006B42D6">
        <w:t xml:space="preserve"> and the least area planted with irish potatoes was in Dodoma region (16 ha; 0.02 percent)</w:t>
      </w:r>
      <w:r w:rsidR="001060B1" w:rsidRPr="006B42D6">
        <w:t xml:space="preserve"> (Figure 3.22)</w:t>
      </w:r>
      <w:r w:rsidRPr="006B42D6">
        <w:t xml:space="preserve">. In </w:t>
      </w:r>
      <w:r w:rsidR="00D41DEC" w:rsidRPr="006B42D6">
        <w:t xml:space="preserve">Tanzania </w:t>
      </w:r>
      <w:r w:rsidRPr="006B42D6">
        <w:t xml:space="preserve">Zanzibar, irish potatoes was </w:t>
      </w:r>
      <w:r w:rsidR="001060B1" w:rsidRPr="006B42D6">
        <w:t xml:space="preserve">only </w:t>
      </w:r>
      <w:r w:rsidRPr="006B42D6">
        <w:t>planted i</w:t>
      </w:r>
      <w:r w:rsidR="001060B1" w:rsidRPr="006B42D6">
        <w:t xml:space="preserve">n </w:t>
      </w:r>
      <w:r w:rsidRPr="006B42D6">
        <w:t xml:space="preserve">Kusini Unguja </w:t>
      </w:r>
      <w:r w:rsidR="001060B1" w:rsidRPr="006B42D6">
        <w:t xml:space="preserve">region </w:t>
      </w:r>
      <w:r w:rsidRPr="006B42D6">
        <w:t>with 11 ha.</w:t>
      </w:r>
    </w:p>
    <w:p w14:paraId="751DE212" w14:textId="77777777" w:rsidR="007E60C9" w:rsidRPr="006B42D6" w:rsidRDefault="007E60C9" w:rsidP="007E60C9">
      <w:pPr>
        <w:spacing w:line="240" w:lineRule="auto"/>
      </w:pPr>
    </w:p>
    <w:p w14:paraId="521A2711" w14:textId="77C8B888" w:rsidR="00C67016" w:rsidRPr="006B42D6" w:rsidRDefault="00391050" w:rsidP="007E60C9">
      <w:r w:rsidRPr="006B42D6">
        <w:t xml:space="preserve">Out of the area planted with irish potatoes, </w:t>
      </w:r>
      <w:r w:rsidR="00C67016" w:rsidRPr="006B42D6">
        <w:t>53,115 ha</w:t>
      </w:r>
      <w:r w:rsidRPr="006B42D6">
        <w:t xml:space="preserve"> </w:t>
      </w:r>
      <w:r w:rsidR="00FD505E">
        <w:t>were</w:t>
      </w:r>
      <w:r w:rsidR="00C67016" w:rsidRPr="006B42D6">
        <w:t xml:space="preserve"> harvested in </w:t>
      </w:r>
      <w:r w:rsidR="00EA1552">
        <w:t>Mainland Tanzania</w:t>
      </w:r>
      <w:r w:rsidR="00C67016" w:rsidRPr="006B42D6">
        <w:t>. The largest harvested</w:t>
      </w:r>
      <w:r w:rsidRPr="006B42D6">
        <w:t xml:space="preserve"> area</w:t>
      </w:r>
      <w:r w:rsidR="00C67016" w:rsidRPr="006B42D6">
        <w:t xml:space="preserve"> </w:t>
      </w:r>
      <w:r w:rsidRPr="006B42D6">
        <w:t>was</w:t>
      </w:r>
      <w:r w:rsidR="00C67016" w:rsidRPr="006B42D6">
        <w:t xml:space="preserve"> in Mbeya region (13,077 ha; 24.6 percent), followed by Dar es Salaam (11,648 ha; 21.9 percent) and Tanga (8,562 ha; 16.1 percent). </w:t>
      </w:r>
    </w:p>
    <w:p w14:paraId="1F558D45" w14:textId="77777777" w:rsidR="00C67016" w:rsidRPr="006B42D6" w:rsidRDefault="00C67016" w:rsidP="0072387B">
      <w:pPr>
        <w:spacing w:line="240" w:lineRule="auto"/>
      </w:pPr>
    </w:p>
    <w:p w14:paraId="162961C9" w14:textId="07D3B804" w:rsidR="00E16412" w:rsidRDefault="00E16412" w:rsidP="00D35A2C">
      <w:pPr>
        <w:pStyle w:val="Caption"/>
      </w:pPr>
      <w:bookmarkStart w:id="156" w:name="_Toc82386299"/>
      <w:r w:rsidRPr="006B42D6">
        <w:t>Figure 3.2</w:t>
      </w:r>
      <w:r w:rsidR="00D41DEC" w:rsidRPr="006B42D6">
        <w:t>2</w:t>
      </w:r>
      <w:r w:rsidR="00FD301E">
        <w:t>:</w:t>
      </w:r>
      <w:r w:rsidR="0072387B">
        <w:tab/>
      </w:r>
      <w:r w:rsidRPr="006B42D6">
        <w:t xml:space="preserve">Planted and Harvested Area with Irish Potatoes </w:t>
      </w:r>
      <w:r w:rsidR="00BC0C0C" w:rsidRPr="006B42D6">
        <w:t xml:space="preserve">by Smallholder Farmers by </w:t>
      </w:r>
      <w:r w:rsidRPr="006B42D6">
        <w:t xml:space="preserve">Region </w:t>
      </w:r>
      <w:r w:rsidR="00BC0C0C" w:rsidRPr="006B42D6">
        <w:t xml:space="preserve">During </w:t>
      </w:r>
      <w:r w:rsidR="00D41DEC" w:rsidRPr="006B42D6">
        <w:t xml:space="preserve">2019/20 </w:t>
      </w:r>
      <w:r w:rsidR="00BC0C0C" w:rsidRPr="006B42D6">
        <w:t>Agricultural Year</w:t>
      </w:r>
      <w:r w:rsidR="00D41DEC" w:rsidRPr="006B42D6">
        <w:t xml:space="preserve">, </w:t>
      </w:r>
      <w:r w:rsidR="00EA1552">
        <w:t>Mainland Tanzania</w:t>
      </w:r>
      <w:bookmarkEnd w:id="156"/>
    </w:p>
    <w:p w14:paraId="60472CB8" w14:textId="77777777" w:rsidR="00BE3EDD" w:rsidRPr="00BE3EDD" w:rsidRDefault="00BE3EDD" w:rsidP="00BE3EDD">
      <w:pPr>
        <w:rPr>
          <w:sz w:val="6"/>
          <w:szCs w:val="6"/>
        </w:rPr>
      </w:pPr>
    </w:p>
    <w:p w14:paraId="0DD01CCF" w14:textId="77777777" w:rsidR="00FD301E" w:rsidRDefault="0087762F" w:rsidP="005C2EFC">
      <w:r w:rsidRPr="006B42D6">
        <w:rPr>
          <w:noProof/>
        </w:rPr>
        <w:drawing>
          <wp:inline distT="0" distB="0" distL="0" distR="0" wp14:anchorId="0E8C7F61" wp14:editId="3505F36F">
            <wp:extent cx="5766010" cy="2738755"/>
            <wp:effectExtent l="0" t="0" r="12700" b="17145"/>
            <wp:docPr id="10" name="Chart 10">
              <a:extLst xmlns:a="http://schemas.openxmlformats.org/drawingml/2006/main">
                <a:ext uri="{FF2B5EF4-FFF2-40B4-BE49-F238E27FC236}">
                  <a16:creationId xmlns:a16="http://schemas.microsoft.com/office/drawing/2014/main" id="{00000000-0008-0000-0200-00001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14:paraId="6FBAF6D3" w14:textId="77777777" w:rsidR="00997F48" w:rsidRDefault="00997F48" w:rsidP="0072387B"/>
    <w:p w14:paraId="3E37C28F" w14:textId="63B34716" w:rsidR="00C67016" w:rsidRDefault="00391050" w:rsidP="0072387B">
      <w:r w:rsidRPr="006B42D6">
        <w:t>On production</w:t>
      </w:r>
      <w:r w:rsidR="00477403">
        <w:t>,</w:t>
      </w:r>
      <w:r w:rsidRPr="006B42D6">
        <w:t xml:space="preserve"> a </w:t>
      </w:r>
      <w:r w:rsidR="00C67016" w:rsidRPr="006B42D6">
        <w:t xml:space="preserve">total quantity of 319,314 tons was </w:t>
      </w:r>
      <w:r w:rsidRPr="006B42D6">
        <w:t>produced</w:t>
      </w:r>
      <w:r w:rsidR="00C67016" w:rsidRPr="006B42D6">
        <w:t xml:space="preserve"> in </w:t>
      </w:r>
      <w:r w:rsidR="00EA1552">
        <w:t>Mainland Tanzania</w:t>
      </w:r>
      <w:r w:rsidR="00C67016" w:rsidRPr="006B42D6">
        <w:t xml:space="preserve">. Looking on regional production, Dar es Salaam region </w:t>
      </w:r>
      <w:r w:rsidR="001060B1" w:rsidRPr="006B42D6">
        <w:t xml:space="preserve">reported the highest production of irish potatoes </w:t>
      </w:r>
      <w:r w:rsidR="00C67016" w:rsidRPr="006B42D6">
        <w:t>(122,240 tons; 38.3 percent), followed by Mbeya (81,939 tons; 25.7 percent) and Njombe (48,987 tons; 15.3 percent) while the lowest production occurred in Ruvuma region (22 tons; 0.01 percent), followed by Shinyanga (51 tons; 0.02 percent) and Pwani (110 tons, 0.03) (Figure 3.2</w:t>
      </w:r>
      <w:r w:rsidR="001060B1" w:rsidRPr="006B42D6">
        <w:t>3</w:t>
      </w:r>
      <w:r w:rsidR="00C67016" w:rsidRPr="006B42D6">
        <w:t xml:space="preserve">). </w:t>
      </w:r>
    </w:p>
    <w:p w14:paraId="4EF95641" w14:textId="2228C0B9" w:rsidR="00C67016" w:rsidRPr="006B42D6" w:rsidRDefault="00C67016" w:rsidP="0072387B">
      <w:r w:rsidRPr="006B42D6">
        <w:lastRenderedPageBreak/>
        <w:t xml:space="preserve">Further results show that, the average productivity </w:t>
      </w:r>
      <w:r w:rsidR="00604E3C" w:rsidRPr="006B42D6">
        <w:t xml:space="preserve">of irish potatoes in </w:t>
      </w:r>
      <w:r w:rsidR="00EA1552">
        <w:t>Mainland Tanzania</w:t>
      </w:r>
      <w:r w:rsidR="00604E3C" w:rsidRPr="006B42D6">
        <w:t xml:space="preserve"> was </w:t>
      </w:r>
      <w:r w:rsidRPr="006B42D6">
        <w:t>6.0 tons/ha. Dar es Salaam region</w:t>
      </w:r>
      <w:r w:rsidR="00604E3C" w:rsidRPr="006B42D6">
        <w:t xml:space="preserve"> had the</w:t>
      </w:r>
      <w:r w:rsidRPr="006B42D6">
        <w:t xml:space="preserve"> </w:t>
      </w:r>
      <w:r w:rsidR="00604E3C" w:rsidRPr="006B42D6">
        <w:t xml:space="preserve">highest productivity of </w:t>
      </w:r>
      <w:r w:rsidRPr="006B42D6">
        <w:t xml:space="preserve">10.5 tons/ha, followed by Songwe (8.2 tons/ha) and Mbeya (6.3 tons/ha). On the other hand, </w:t>
      </w:r>
      <w:r w:rsidR="00604E3C" w:rsidRPr="006B42D6">
        <w:t xml:space="preserve">Ruvuma region had </w:t>
      </w:r>
      <w:r w:rsidRPr="006B42D6">
        <w:t>the lowest productivity of 1.0 tons/ha (Figure 3.2</w:t>
      </w:r>
      <w:r w:rsidR="00326FD6" w:rsidRPr="006B42D6">
        <w:t>3</w:t>
      </w:r>
      <w:r w:rsidRPr="006B42D6">
        <w:t xml:space="preserve">). </w:t>
      </w:r>
    </w:p>
    <w:p w14:paraId="0BF160F9" w14:textId="77777777" w:rsidR="00C67016" w:rsidRPr="006B42D6" w:rsidRDefault="00C67016" w:rsidP="005C2EFC">
      <w:pPr>
        <w:spacing w:before="240"/>
      </w:pPr>
    </w:p>
    <w:p w14:paraId="17CD60A9" w14:textId="705CB560" w:rsidR="00E16412" w:rsidRPr="006B42D6" w:rsidRDefault="00E16412" w:rsidP="00D35A2C">
      <w:pPr>
        <w:pStyle w:val="Caption"/>
        <w:rPr>
          <w:b w:val="0"/>
          <w:i/>
        </w:rPr>
      </w:pPr>
      <w:bookmarkStart w:id="157" w:name="_Toc82386300"/>
      <w:r w:rsidRPr="006B42D6">
        <w:t>Figure 3.2</w:t>
      </w:r>
      <w:r w:rsidR="00604E3C" w:rsidRPr="006B42D6">
        <w:t>3</w:t>
      </w:r>
      <w:r w:rsidR="00FD301E">
        <w:t>:</w:t>
      </w:r>
      <w:r w:rsidR="00284B57">
        <w:tab/>
      </w:r>
      <w:r w:rsidRPr="006B42D6">
        <w:t xml:space="preserve">Production and </w:t>
      </w:r>
      <w:r w:rsidR="00604E3C" w:rsidRPr="006B42D6">
        <w:t>Yield</w:t>
      </w:r>
      <w:r w:rsidRPr="006B42D6">
        <w:t xml:space="preserve"> of Irish </w:t>
      </w:r>
      <w:r w:rsidR="00BE3EDD">
        <w:t>P</w:t>
      </w:r>
      <w:r w:rsidRPr="006B42D6">
        <w:t xml:space="preserve">otatoes </w:t>
      </w:r>
      <w:r w:rsidR="00604E3C" w:rsidRPr="006B42D6">
        <w:t>D</w:t>
      </w:r>
      <w:r w:rsidRPr="006B42D6">
        <w:t xml:space="preserve">uring 2019/20 </w:t>
      </w:r>
      <w:r w:rsidR="00604E3C" w:rsidRPr="006B42D6">
        <w:t>A</w:t>
      </w:r>
      <w:r w:rsidRPr="006B42D6">
        <w:t xml:space="preserve">gricultural </w:t>
      </w:r>
      <w:r w:rsidR="00604E3C" w:rsidRPr="006B42D6">
        <w:t>Y</w:t>
      </w:r>
      <w:r w:rsidRPr="006B42D6">
        <w:t>ear</w:t>
      </w:r>
      <w:r w:rsidR="00604E3C" w:rsidRPr="006B42D6">
        <w:t xml:space="preserve">, </w:t>
      </w:r>
      <w:r w:rsidR="00EA1552">
        <w:t>Mainland Tanzania</w:t>
      </w:r>
      <w:bookmarkEnd w:id="157"/>
    </w:p>
    <w:p w14:paraId="3D01E97E" w14:textId="5CC82133" w:rsidR="00E16412" w:rsidRPr="006B42D6" w:rsidRDefault="001B26AC" w:rsidP="005C2EFC">
      <w:r w:rsidRPr="006B42D6">
        <w:rPr>
          <w:noProof/>
        </w:rPr>
        <w:drawing>
          <wp:inline distT="0" distB="0" distL="0" distR="0" wp14:anchorId="326F9A46" wp14:editId="4058B6F3">
            <wp:extent cx="5835650" cy="3476625"/>
            <wp:effectExtent l="0" t="0" r="6350" b="15875"/>
            <wp:docPr id="126" name="Chart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14:paraId="0D676629" w14:textId="1E603E78" w:rsidR="00E16412" w:rsidRPr="006B42D6" w:rsidRDefault="00E16412" w:rsidP="005C2EFC"/>
    <w:p w14:paraId="52C6EF23" w14:textId="23F3DB76" w:rsidR="00E16412" w:rsidRPr="006B42D6" w:rsidRDefault="00E16412" w:rsidP="005C2EFC">
      <w:pPr>
        <w:pStyle w:val="Heading4"/>
      </w:pPr>
      <w:bookmarkStart w:id="158" w:name="_Toc82385653"/>
      <w:r w:rsidRPr="006B42D6">
        <w:t>3.</w:t>
      </w:r>
      <w:r w:rsidR="001174B4">
        <w:t>1</w:t>
      </w:r>
      <w:r w:rsidRPr="006B42D6">
        <w:t>.2.4</w:t>
      </w:r>
      <w:r w:rsidR="00E763F5" w:rsidRPr="006B42D6">
        <w:tab/>
      </w:r>
      <w:r w:rsidRPr="006B42D6">
        <w:t xml:space="preserve">Other Roots and Tuber </w:t>
      </w:r>
      <w:r w:rsidR="001A4B32">
        <w:t>C</w:t>
      </w:r>
      <w:r w:rsidRPr="006B42D6">
        <w:t>rops</w:t>
      </w:r>
      <w:bookmarkEnd w:id="158"/>
    </w:p>
    <w:p w14:paraId="519ABF51" w14:textId="5E4ADB8D" w:rsidR="00855667" w:rsidRDefault="00855667" w:rsidP="0072387B">
      <w:r w:rsidRPr="006B42D6">
        <w:t>Other root and tuber crops were produced in Tanzania in small quantities</w:t>
      </w:r>
      <w:r w:rsidR="00391050" w:rsidRPr="006B42D6">
        <w:t>;</w:t>
      </w:r>
      <w:r w:rsidRPr="006B42D6">
        <w:t xml:space="preserve"> however</w:t>
      </w:r>
      <w:r w:rsidR="00391050" w:rsidRPr="006B42D6">
        <w:t>,</w:t>
      </w:r>
      <w:r w:rsidRPr="006B42D6">
        <w:t xml:space="preserve"> they are important in some regions. These root and tuber crops were yams and cocoyams.</w:t>
      </w:r>
      <w:r w:rsidR="00941C01" w:rsidRPr="006B42D6">
        <w:t xml:space="preserve"> </w:t>
      </w:r>
      <w:r w:rsidRPr="006B42D6">
        <w:t>The results show that, yams were planted in an area of 6,715 ha</w:t>
      </w:r>
      <w:r w:rsidR="00941C01" w:rsidRPr="006B42D6">
        <w:t>,</w:t>
      </w:r>
      <w:r w:rsidRPr="006B42D6">
        <w:t xml:space="preserve"> of which 4,801 ha were in </w:t>
      </w:r>
      <w:r w:rsidR="00EA1552">
        <w:t>Mainland Tanzania</w:t>
      </w:r>
      <w:r w:rsidRPr="006B42D6">
        <w:t xml:space="preserve"> and 1,913 ha in </w:t>
      </w:r>
      <w:r w:rsidR="00941C01" w:rsidRPr="006B42D6">
        <w:t xml:space="preserve">Tanzania </w:t>
      </w:r>
      <w:r w:rsidRPr="006B42D6">
        <w:t>Zanzibar. The harvested area for yams was 4,125 ha</w:t>
      </w:r>
      <w:r w:rsidR="00941C01" w:rsidRPr="006B42D6">
        <w:t>,</w:t>
      </w:r>
      <w:r w:rsidRPr="006B42D6">
        <w:t xml:space="preserve"> out of which 3,217 ha were in </w:t>
      </w:r>
      <w:r w:rsidR="00EA1552">
        <w:t>Mainland Tanzania</w:t>
      </w:r>
      <w:r w:rsidRPr="006B42D6">
        <w:t xml:space="preserve"> and 908 ha in </w:t>
      </w:r>
      <w:r w:rsidR="00941C01" w:rsidRPr="006B42D6">
        <w:t xml:space="preserve">Tanzania </w:t>
      </w:r>
      <w:r w:rsidRPr="006B42D6">
        <w:t>Zanzibar. Total production of yams in Tanzania was 6,272 tons</w:t>
      </w:r>
      <w:r w:rsidR="00941C01" w:rsidRPr="006B42D6">
        <w:t>,</w:t>
      </w:r>
      <w:r w:rsidRPr="006B42D6">
        <w:t xml:space="preserve"> out of which 4,463 tons were </w:t>
      </w:r>
      <w:r w:rsidR="00941C01" w:rsidRPr="006B42D6">
        <w:t xml:space="preserve">in </w:t>
      </w:r>
      <w:r w:rsidR="00EA1552">
        <w:t>Mainland Tanzania</w:t>
      </w:r>
      <w:r w:rsidRPr="006B42D6">
        <w:t xml:space="preserve"> and 1,809 tons </w:t>
      </w:r>
      <w:r w:rsidR="00941C01" w:rsidRPr="006B42D6">
        <w:t>in Tanzania</w:t>
      </w:r>
      <w:r w:rsidRPr="006B42D6">
        <w:t xml:space="preserve"> Zanzibar.</w:t>
      </w:r>
      <w:r w:rsidR="00941C01" w:rsidRPr="006B42D6">
        <w:t xml:space="preserve"> T</w:t>
      </w:r>
      <w:r w:rsidRPr="006B42D6">
        <w:t xml:space="preserve">he average yield of yams was 1.4 tons/ha in </w:t>
      </w:r>
      <w:r w:rsidR="00EA1552">
        <w:t>Mainland Tanzania</w:t>
      </w:r>
      <w:r w:rsidRPr="006B42D6">
        <w:t xml:space="preserve"> and 2.0 tons/ha in </w:t>
      </w:r>
      <w:r w:rsidR="00941C01" w:rsidRPr="006B42D6">
        <w:t xml:space="preserve">Tanzania </w:t>
      </w:r>
      <w:r w:rsidRPr="006B42D6">
        <w:t>Zanzibar, the national average yield was 1.5 tons/ha.</w:t>
      </w:r>
    </w:p>
    <w:p w14:paraId="71367BF4" w14:textId="78D5AB7A" w:rsidR="00BE3EDD" w:rsidRDefault="00BE3EDD">
      <w:pPr>
        <w:spacing w:line="240" w:lineRule="auto"/>
        <w:contextualSpacing w:val="0"/>
        <w:jc w:val="left"/>
      </w:pPr>
      <w:r>
        <w:br w:type="page"/>
      </w:r>
    </w:p>
    <w:p w14:paraId="38AA5C85" w14:textId="4D083EAC" w:rsidR="00855667" w:rsidRDefault="003C4A35" w:rsidP="0072387B">
      <w:r w:rsidRPr="006B42D6">
        <w:lastRenderedPageBreak/>
        <w:t>C</w:t>
      </w:r>
      <w:r w:rsidR="00855667" w:rsidRPr="006B42D6">
        <w:t xml:space="preserve">ocoyam was grown by half of the regions in </w:t>
      </w:r>
      <w:r w:rsidR="001170F9" w:rsidRPr="006B42D6">
        <w:t>Mainland</w:t>
      </w:r>
      <w:r w:rsidR="0073231C">
        <w:t xml:space="preserve"> Tanzania</w:t>
      </w:r>
      <w:r w:rsidR="00855667" w:rsidRPr="006B42D6">
        <w:t xml:space="preserve"> and all regions in </w:t>
      </w:r>
      <w:r w:rsidR="0073231C">
        <w:t xml:space="preserve">Tanzania </w:t>
      </w:r>
      <w:r w:rsidR="00855667" w:rsidRPr="006B42D6">
        <w:t>Zanzibar. The total area planted with cocoyams for Tanzania was 10,634 ha of which 9,368 ha were in Mainland</w:t>
      </w:r>
      <w:r w:rsidR="0073231C">
        <w:t xml:space="preserve"> Tanzania</w:t>
      </w:r>
      <w:r w:rsidR="00855667" w:rsidRPr="006B42D6">
        <w:t xml:space="preserve"> and 1,266 ha in </w:t>
      </w:r>
      <w:r w:rsidR="0073231C">
        <w:t xml:space="preserve">Tanzania </w:t>
      </w:r>
      <w:r w:rsidR="00855667" w:rsidRPr="006B42D6">
        <w:t xml:space="preserve">Zanzibar). The total harvested area for cocoyams in Tanzania was 5,437 ha of which 4,778 ha was in </w:t>
      </w:r>
      <w:r w:rsidR="00EA1552">
        <w:t>Mainland Tanzania</w:t>
      </w:r>
      <w:r w:rsidR="00855667" w:rsidRPr="006B42D6">
        <w:t xml:space="preserve"> and 659 ha in </w:t>
      </w:r>
      <w:r w:rsidRPr="006B42D6">
        <w:t xml:space="preserve">Tanzania </w:t>
      </w:r>
      <w:r w:rsidR="00855667" w:rsidRPr="006B42D6">
        <w:t>Zanzibar. Total production of cocoyams in Tanzania was 8,810 tons</w:t>
      </w:r>
      <w:r w:rsidRPr="006B42D6">
        <w:t>,</w:t>
      </w:r>
      <w:r w:rsidR="00855667" w:rsidRPr="006B42D6">
        <w:t xml:space="preserve"> of which 7,400 tons was in </w:t>
      </w:r>
      <w:r w:rsidR="00EA1552">
        <w:t>Mainland Tanzania</w:t>
      </w:r>
      <w:r w:rsidR="00855667" w:rsidRPr="006B42D6">
        <w:t xml:space="preserve"> and 1,409 tons in </w:t>
      </w:r>
      <w:r w:rsidRPr="006B42D6">
        <w:t xml:space="preserve">Tanzania </w:t>
      </w:r>
      <w:r w:rsidR="00855667" w:rsidRPr="006B42D6">
        <w:t xml:space="preserve">Zanzibar. The average yield of cocoyams was 1.5 tons/ha in </w:t>
      </w:r>
      <w:r w:rsidR="00EA1552">
        <w:t>Mainland Tanzania</w:t>
      </w:r>
      <w:r w:rsidR="00855667" w:rsidRPr="006B42D6">
        <w:t xml:space="preserve"> and 2.1 tons/ha in </w:t>
      </w:r>
      <w:r w:rsidRPr="006B42D6">
        <w:t xml:space="preserve">Tanzania </w:t>
      </w:r>
      <w:r w:rsidR="00855667" w:rsidRPr="006B42D6">
        <w:t xml:space="preserve">Zanzibar making </w:t>
      </w:r>
      <w:r w:rsidR="009D2B13">
        <w:t xml:space="preserve">a national </w:t>
      </w:r>
      <w:r w:rsidR="00855667" w:rsidRPr="006B42D6">
        <w:t xml:space="preserve">average yield </w:t>
      </w:r>
      <w:r w:rsidR="009D2B13">
        <w:t xml:space="preserve">of </w:t>
      </w:r>
      <w:r w:rsidR="00855667" w:rsidRPr="006B42D6">
        <w:t>1.6 tons/ha.</w:t>
      </w:r>
    </w:p>
    <w:p w14:paraId="50592859" w14:textId="77777777" w:rsidR="00BE3EDD" w:rsidRPr="006B42D6" w:rsidRDefault="00BE3EDD" w:rsidP="0072387B"/>
    <w:p w14:paraId="3F12DD4B" w14:textId="7400CAC6" w:rsidR="00F327E4" w:rsidRPr="006B42D6" w:rsidRDefault="00F327E4" w:rsidP="005C2EFC">
      <w:pPr>
        <w:pStyle w:val="Heading3"/>
      </w:pPr>
      <w:bookmarkStart w:id="159" w:name="_Toc82385654"/>
      <w:r w:rsidRPr="006B42D6">
        <w:t>3.1.</w:t>
      </w:r>
      <w:r w:rsidR="00193728">
        <w:t>3</w:t>
      </w:r>
      <w:r w:rsidRPr="006B42D6">
        <w:tab/>
        <w:t>Pulses</w:t>
      </w:r>
      <w:bookmarkEnd w:id="159"/>
      <w:r w:rsidRPr="006B42D6">
        <w:t xml:space="preserve"> </w:t>
      </w:r>
    </w:p>
    <w:p w14:paraId="45254FC8" w14:textId="04DC6986" w:rsidR="00481924" w:rsidRPr="006B42D6" w:rsidRDefault="00F327E4" w:rsidP="0072387B">
      <w:r w:rsidRPr="006B42D6">
        <w:t>Pulses were produced during the short and long rain</w:t>
      </w:r>
      <w:r w:rsidR="003C4A35" w:rsidRPr="006B42D6">
        <w:t>y</w:t>
      </w:r>
      <w:r w:rsidRPr="006B42D6">
        <w:t xml:space="preserve"> season </w:t>
      </w:r>
      <w:r w:rsidR="001170F9" w:rsidRPr="006B42D6">
        <w:t>in</w:t>
      </w:r>
      <w:r w:rsidR="003C4A35" w:rsidRPr="006B42D6">
        <w:t xml:space="preserve"> Tanzania</w:t>
      </w:r>
      <w:r w:rsidRPr="006B42D6">
        <w:t xml:space="preserve">. This group comprises of beans, pigeon peas, cow peas and green gram. Others </w:t>
      </w:r>
      <w:r w:rsidR="00F600CE" w:rsidRPr="006B42D6">
        <w:t xml:space="preserve">pulses </w:t>
      </w:r>
      <w:r w:rsidRPr="006B42D6">
        <w:t xml:space="preserve">were </w:t>
      </w:r>
      <w:r w:rsidR="003E3BF9" w:rsidRPr="006B42D6">
        <w:t>b</w:t>
      </w:r>
      <w:r w:rsidR="001570D4" w:rsidRPr="006B42D6">
        <w:t>ambara</w:t>
      </w:r>
      <w:r w:rsidRPr="006B42D6">
        <w:t>nut</w:t>
      </w:r>
      <w:r w:rsidR="001570D4" w:rsidRPr="006B42D6">
        <w:t>s</w:t>
      </w:r>
      <w:r w:rsidRPr="006B42D6">
        <w:t>, chick</w:t>
      </w:r>
      <w:r w:rsidR="00391050" w:rsidRPr="006B42D6">
        <w:t xml:space="preserve"> </w:t>
      </w:r>
      <w:r w:rsidRPr="006B42D6">
        <w:t xml:space="preserve">peas and green peas. </w:t>
      </w:r>
      <w:r w:rsidR="001170F9" w:rsidRPr="006B42D6">
        <w:t>The total n</w:t>
      </w:r>
      <w:r w:rsidRPr="006B42D6">
        <w:t>umber of households growing pulses was 4,149,287</w:t>
      </w:r>
      <w:r w:rsidR="003C4A35" w:rsidRPr="006B42D6">
        <w:t>,</w:t>
      </w:r>
      <w:r w:rsidRPr="006B42D6">
        <w:t xml:space="preserve"> of which 4,127,726</w:t>
      </w:r>
      <w:r w:rsidR="003C4A35" w:rsidRPr="006B42D6">
        <w:t xml:space="preserve"> households</w:t>
      </w:r>
      <w:r w:rsidRPr="006B42D6">
        <w:t xml:space="preserve"> </w:t>
      </w:r>
      <w:r w:rsidR="003C4A35" w:rsidRPr="006B42D6">
        <w:t>were</w:t>
      </w:r>
      <w:r w:rsidRPr="006B42D6">
        <w:t xml:space="preserve"> in </w:t>
      </w:r>
      <w:r w:rsidR="00EA1552">
        <w:t>Mainland Tanzania</w:t>
      </w:r>
      <w:r w:rsidRPr="006B42D6">
        <w:t xml:space="preserve"> and 21,561 in </w:t>
      </w:r>
      <w:r w:rsidR="003C4A35" w:rsidRPr="006B42D6">
        <w:t xml:space="preserve">Tanzania </w:t>
      </w:r>
      <w:r w:rsidRPr="006B42D6">
        <w:t xml:space="preserve">Zanzibar. </w:t>
      </w:r>
    </w:p>
    <w:p w14:paraId="1D527579" w14:textId="77777777" w:rsidR="00481924" w:rsidRPr="006B42D6" w:rsidRDefault="00481924" w:rsidP="00FD301E">
      <w:pPr>
        <w:spacing w:line="240" w:lineRule="auto"/>
      </w:pPr>
    </w:p>
    <w:p w14:paraId="51C04A48" w14:textId="2BD5D77C" w:rsidR="00F327E4" w:rsidRPr="006B42D6" w:rsidRDefault="00F327E4" w:rsidP="0072387B">
      <w:r w:rsidRPr="006B42D6">
        <w:t>The total area planted with pulses was 1,426,783 ha</w:t>
      </w:r>
      <w:r w:rsidR="003C4A35" w:rsidRPr="006B42D6">
        <w:t>,</w:t>
      </w:r>
      <w:r w:rsidRPr="006B42D6">
        <w:t xml:space="preserve"> </w:t>
      </w:r>
      <w:r w:rsidR="00BD1C31" w:rsidRPr="006B42D6">
        <w:t xml:space="preserve">out </w:t>
      </w:r>
      <w:r w:rsidRPr="006B42D6">
        <w:t xml:space="preserve">of which 1,423,512 ha </w:t>
      </w:r>
      <w:r w:rsidR="001170F9" w:rsidRPr="006B42D6">
        <w:t>was</w:t>
      </w:r>
      <w:r w:rsidRPr="006B42D6">
        <w:t xml:space="preserve"> in </w:t>
      </w:r>
      <w:r w:rsidR="00EA1552">
        <w:t>Mainland Tanzania</w:t>
      </w:r>
      <w:r w:rsidRPr="006B42D6">
        <w:t xml:space="preserve"> and 3,272 ha in </w:t>
      </w:r>
      <w:r w:rsidR="003C4A35" w:rsidRPr="006B42D6">
        <w:t xml:space="preserve">Tanzania </w:t>
      </w:r>
      <w:r w:rsidRPr="006B42D6">
        <w:t xml:space="preserve">Zanzibar. The total quantity harvested was </w:t>
      </w:r>
      <w:r w:rsidRPr="006B42D6">
        <w:rPr>
          <w:bCs/>
        </w:rPr>
        <w:t xml:space="preserve">952,065 </w:t>
      </w:r>
      <w:r w:rsidRPr="006B42D6">
        <w:t xml:space="preserve">tons </w:t>
      </w:r>
      <w:r w:rsidR="001170F9" w:rsidRPr="006B42D6">
        <w:t>out of</w:t>
      </w:r>
      <w:r w:rsidRPr="006B42D6">
        <w:t xml:space="preserve"> which </w:t>
      </w:r>
      <w:r w:rsidRPr="006B42D6">
        <w:rPr>
          <w:bCs/>
        </w:rPr>
        <w:t xml:space="preserve">949,827 </w:t>
      </w:r>
      <w:r w:rsidRPr="006B42D6">
        <w:t xml:space="preserve">tons </w:t>
      </w:r>
      <w:r w:rsidR="001170F9" w:rsidRPr="006B42D6">
        <w:t xml:space="preserve">was </w:t>
      </w:r>
      <w:r w:rsidRPr="006B42D6">
        <w:t>produced by smallholder farmers and</w:t>
      </w:r>
      <w:r w:rsidRPr="006B42D6">
        <w:rPr>
          <w:bCs/>
        </w:rPr>
        <w:t xml:space="preserve"> 2,238 </w:t>
      </w:r>
      <w:r w:rsidRPr="006B42D6">
        <w:t xml:space="preserve">tons by large scale farms. </w:t>
      </w:r>
    </w:p>
    <w:p w14:paraId="6CD35735" w14:textId="77777777" w:rsidR="00C84DFC" w:rsidRPr="006B42D6" w:rsidRDefault="00C84DFC" w:rsidP="00997F48">
      <w:pPr>
        <w:spacing w:line="240" w:lineRule="auto"/>
      </w:pPr>
    </w:p>
    <w:p w14:paraId="58EE834C" w14:textId="2F36FBF6" w:rsidR="00F327E4" w:rsidRPr="006B42D6" w:rsidRDefault="00F327E4" w:rsidP="005C2EFC">
      <w:pPr>
        <w:pStyle w:val="Heading4"/>
      </w:pPr>
      <w:bookmarkStart w:id="160" w:name="_Toc82385655"/>
      <w:r w:rsidRPr="006B42D6">
        <w:t>3.1.</w:t>
      </w:r>
      <w:r w:rsidR="00193728">
        <w:t>3</w:t>
      </w:r>
      <w:r w:rsidRPr="006B42D6">
        <w:t>.1</w:t>
      </w:r>
      <w:r w:rsidR="00E763F5" w:rsidRPr="006B42D6">
        <w:tab/>
      </w:r>
      <w:r w:rsidRPr="006B42D6">
        <w:t>Beans</w:t>
      </w:r>
      <w:bookmarkEnd w:id="160"/>
      <w:r w:rsidRPr="006B42D6">
        <w:t xml:space="preserve"> </w:t>
      </w:r>
    </w:p>
    <w:p w14:paraId="1E70AFD3" w14:textId="523E3CD8" w:rsidR="00481924" w:rsidRDefault="00F327E4" w:rsidP="0072387B">
      <w:r w:rsidRPr="006B42D6">
        <w:t xml:space="preserve">Beans </w:t>
      </w:r>
      <w:r w:rsidR="001170F9" w:rsidRPr="006B42D6">
        <w:t>were</w:t>
      </w:r>
      <w:r w:rsidRPr="006B42D6">
        <w:t xml:space="preserve"> the most</w:t>
      </w:r>
      <w:r w:rsidR="001170F9" w:rsidRPr="006B42D6">
        <w:t xml:space="preserve"> common</w:t>
      </w:r>
      <w:r w:rsidRPr="006B42D6">
        <w:t xml:space="preserve"> pulse</w:t>
      </w:r>
      <w:r w:rsidR="001170F9" w:rsidRPr="006B42D6">
        <w:t>s</w:t>
      </w:r>
      <w:r w:rsidRPr="006B42D6">
        <w:t xml:space="preserve"> </w:t>
      </w:r>
      <w:r w:rsidR="001170F9" w:rsidRPr="006B42D6">
        <w:t xml:space="preserve">produced </w:t>
      </w:r>
      <w:r w:rsidRPr="006B42D6">
        <w:t xml:space="preserve">in the country </w:t>
      </w:r>
      <w:r w:rsidR="00F720C8" w:rsidRPr="006B42D6">
        <w:t>in both short and long rainy seasons</w:t>
      </w:r>
      <w:r w:rsidRPr="006B42D6">
        <w:t xml:space="preserve">. </w:t>
      </w:r>
      <w:r w:rsidR="00481924" w:rsidRPr="006B42D6">
        <w:t xml:space="preserve">The 2019/20 NSCA results show that, the number of agricultural households engaged in growing beans during short rainy season were </w:t>
      </w:r>
      <w:r w:rsidR="00F720C8" w:rsidRPr="006B42D6">
        <w:t>1,044,895</w:t>
      </w:r>
      <w:r w:rsidR="00481924" w:rsidRPr="006B42D6">
        <w:t xml:space="preserve"> households (</w:t>
      </w:r>
      <w:r w:rsidR="00F720C8" w:rsidRPr="006B42D6">
        <w:t>1,044,698</w:t>
      </w:r>
      <w:r w:rsidR="00481924" w:rsidRPr="006B42D6">
        <w:t xml:space="preserve"> in </w:t>
      </w:r>
      <w:r w:rsidR="00EA1552">
        <w:t>Mainland Tanzania</w:t>
      </w:r>
      <w:r w:rsidR="00481924" w:rsidRPr="006B42D6">
        <w:t xml:space="preserve"> and </w:t>
      </w:r>
      <w:r w:rsidR="00F720C8" w:rsidRPr="006B42D6">
        <w:t>197</w:t>
      </w:r>
      <w:r w:rsidR="00481924" w:rsidRPr="006B42D6">
        <w:t xml:space="preserve"> households in Tanzania Zanzibar) and </w:t>
      </w:r>
      <w:r w:rsidR="00F720C8" w:rsidRPr="006B42D6">
        <w:t>1,525,870</w:t>
      </w:r>
      <w:r w:rsidR="00481924" w:rsidRPr="006B42D6">
        <w:t xml:space="preserve"> households during long rainy season in </w:t>
      </w:r>
      <w:r w:rsidR="00EA1552">
        <w:t>Mainland Tanzania</w:t>
      </w:r>
      <w:r w:rsidR="00481924" w:rsidRPr="006B42D6">
        <w:t>.</w:t>
      </w:r>
    </w:p>
    <w:p w14:paraId="38B11864" w14:textId="77777777" w:rsidR="0072387B" w:rsidRPr="006B42D6" w:rsidRDefault="0072387B" w:rsidP="00116990">
      <w:pPr>
        <w:spacing w:line="240" w:lineRule="auto"/>
      </w:pPr>
    </w:p>
    <w:p w14:paraId="1CA1FCD9" w14:textId="7D0179B5" w:rsidR="006A7257" w:rsidRDefault="00481924" w:rsidP="0072387B">
      <w:r w:rsidRPr="006B42D6">
        <w:t xml:space="preserve">The total planted area with beans in Tanzania during the 2019/20 agricultural year was 826,685 ha, of which </w:t>
      </w:r>
      <w:r w:rsidRPr="006B42D6">
        <w:rPr>
          <w:bCs/>
        </w:rPr>
        <w:t xml:space="preserve">823,485 </w:t>
      </w:r>
      <w:r w:rsidRPr="006B42D6">
        <w:t xml:space="preserve">ha were occupied by smallholder farmers and 3,200 ha by large scale farms. Out of the total planted area occupied by smallholder farmers, </w:t>
      </w:r>
      <w:r w:rsidR="00F327E4" w:rsidRPr="006B42D6">
        <w:rPr>
          <w:bCs/>
        </w:rPr>
        <w:t xml:space="preserve">823,427 </w:t>
      </w:r>
      <w:r w:rsidR="00F327E4" w:rsidRPr="006B42D6">
        <w:t xml:space="preserve">ha </w:t>
      </w:r>
      <w:r w:rsidRPr="006B42D6">
        <w:t>were</w:t>
      </w:r>
      <w:r w:rsidR="00F327E4" w:rsidRPr="006B42D6">
        <w:t xml:space="preserve"> in </w:t>
      </w:r>
      <w:r w:rsidR="00EA1552">
        <w:t>Mainland Tanzania</w:t>
      </w:r>
      <w:r w:rsidR="00F327E4" w:rsidRPr="006B42D6">
        <w:t xml:space="preserve"> and</w:t>
      </w:r>
      <w:r w:rsidR="00F327E4" w:rsidRPr="006B42D6">
        <w:rPr>
          <w:bCs/>
        </w:rPr>
        <w:t xml:space="preserve"> 58 </w:t>
      </w:r>
      <w:r w:rsidR="00F327E4" w:rsidRPr="006B42D6">
        <w:t xml:space="preserve">ha in </w:t>
      </w:r>
      <w:r w:rsidR="003C4A35" w:rsidRPr="006B42D6">
        <w:t xml:space="preserve">Tanzania </w:t>
      </w:r>
      <w:r w:rsidR="00F327E4" w:rsidRPr="006B42D6">
        <w:t xml:space="preserve">Zanzibar. In </w:t>
      </w:r>
      <w:r w:rsidR="00EA1552">
        <w:t>Mainland Tanzania</w:t>
      </w:r>
      <w:r w:rsidR="00F327E4" w:rsidRPr="006B42D6">
        <w:t xml:space="preserve">, Kagera Region (153,344 ha; 18.6 percent), had the largest planted area with Beans, followed by Kigoma (84,213 ha; 10.2 percent) and Manyara (71,785 ha; 8.7 percent). On the other hand, Mtwara region had the least planted area (45 ha; 0.01 percent). In </w:t>
      </w:r>
      <w:r w:rsidRPr="006B42D6">
        <w:t xml:space="preserve">Tanzania </w:t>
      </w:r>
      <w:r w:rsidR="00F327E4" w:rsidRPr="006B42D6">
        <w:t xml:space="preserve">Zanzibar, beans </w:t>
      </w:r>
      <w:r w:rsidR="00F327E4" w:rsidRPr="006B42D6">
        <w:lastRenderedPageBreak/>
        <w:t>were produced only in Kaskazini Unguja and Kusini Pemba</w:t>
      </w:r>
      <w:r w:rsidRPr="006B42D6">
        <w:t xml:space="preserve"> regions</w:t>
      </w:r>
      <w:r w:rsidR="00F327E4" w:rsidRPr="006B42D6">
        <w:t xml:space="preserve"> with planted area of 43 ha and 13 ha respectively</w:t>
      </w:r>
      <w:r w:rsidR="00477DA9" w:rsidRPr="006B42D6">
        <w:t xml:space="preserve"> (Figure 3.24)</w:t>
      </w:r>
      <w:r w:rsidR="00F327E4" w:rsidRPr="006B42D6">
        <w:t>.</w:t>
      </w:r>
    </w:p>
    <w:p w14:paraId="3CA71C99" w14:textId="77777777" w:rsidR="0072387B" w:rsidRPr="006B42D6" w:rsidRDefault="0072387B" w:rsidP="0072387B"/>
    <w:p w14:paraId="38E3DF5C" w14:textId="70E34901" w:rsidR="006A7257" w:rsidRPr="006B42D6" w:rsidRDefault="006A7257" w:rsidP="00D35A2C">
      <w:pPr>
        <w:pStyle w:val="Caption"/>
      </w:pPr>
      <w:bookmarkStart w:id="161" w:name="_Toc82386301"/>
      <w:r w:rsidRPr="006B42D6">
        <w:t>Figure 3.24</w:t>
      </w:r>
      <w:r w:rsidR="00116990">
        <w:t>:</w:t>
      </w:r>
      <w:r w:rsidR="00284B57">
        <w:tab/>
      </w:r>
      <w:r w:rsidRPr="006B42D6">
        <w:t xml:space="preserve">Planted and Harvested Area with Beans by Smallholder Farmers by Region During 2019/20 Agricultural Year, </w:t>
      </w:r>
      <w:r w:rsidR="00EA1552">
        <w:t>Mainland Tanzania</w:t>
      </w:r>
      <w:bookmarkEnd w:id="161"/>
    </w:p>
    <w:p w14:paraId="512FDDF7" w14:textId="7512539C" w:rsidR="00F327E4" w:rsidRPr="006B42D6" w:rsidRDefault="001B26AC" w:rsidP="005C2EFC">
      <w:pPr>
        <w:pStyle w:val="Default"/>
        <w:spacing w:after="240" w:line="360" w:lineRule="auto"/>
        <w:jc w:val="both"/>
        <w:rPr>
          <w:color w:val="auto"/>
        </w:rPr>
      </w:pPr>
      <w:r w:rsidRPr="006B42D6">
        <w:rPr>
          <w:noProof/>
          <w:color w:val="auto"/>
        </w:rPr>
        <w:drawing>
          <wp:inline distT="0" distB="0" distL="0" distR="0" wp14:anchorId="1B801D2A" wp14:editId="266F6903">
            <wp:extent cx="5659755" cy="2719952"/>
            <wp:effectExtent l="0" t="0" r="17145" b="10795"/>
            <wp:docPr id="125" name="Chart 5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14:paraId="2FCEB094" w14:textId="30552497" w:rsidR="00F720C8" w:rsidRDefault="00481924" w:rsidP="0072387B">
      <w:r w:rsidRPr="006B42D6">
        <w:t>Moreover</w:t>
      </w:r>
      <w:r w:rsidR="00F720C8" w:rsidRPr="006B42D6">
        <w:t xml:space="preserve">, the total harvested area of beans in Tanzania occupied by smallholder farmers was 709,108 ha, of which 709,093 ha were in </w:t>
      </w:r>
      <w:r w:rsidR="00EA1552">
        <w:t>Mainland Tanzania</w:t>
      </w:r>
      <w:r w:rsidR="00F720C8" w:rsidRPr="006B42D6">
        <w:t xml:space="preserve"> and 15 ha in Tanzania Zanzibar. This implies that, the total harvested area was about 86.1 percent of the total planted area with beans by smallholder farmers. </w:t>
      </w:r>
    </w:p>
    <w:p w14:paraId="4D698627" w14:textId="77777777" w:rsidR="00284B57" w:rsidRPr="006B42D6" w:rsidRDefault="00284B57" w:rsidP="00116990">
      <w:pPr>
        <w:spacing w:line="240" w:lineRule="auto"/>
      </w:pPr>
    </w:p>
    <w:p w14:paraId="34632107" w14:textId="0118186C" w:rsidR="00F327E4" w:rsidRPr="006B42D6" w:rsidRDefault="00F327E4" w:rsidP="0072387B">
      <w:r w:rsidRPr="006B42D6">
        <w:t xml:space="preserve">Production of </w:t>
      </w:r>
      <w:r w:rsidRPr="006B42D6">
        <w:rPr>
          <w:bCs/>
        </w:rPr>
        <w:t>Beans</w:t>
      </w:r>
      <w:r w:rsidRPr="006B42D6">
        <w:t xml:space="preserve"> in Tanzania was </w:t>
      </w:r>
      <w:r w:rsidRPr="006B42D6">
        <w:rPr>
          <w:bCs/>
        </w:rPr>
        <w:t>6</w:t>
      </w:r>
      <w:r w:rsidR="00F12A7C" w:rsidRPr="006B42D6">
        <w:rPr>
          <w:bCs/>
        </w:rPr>
        <w:t>61,699 tons</w:t>
      </w:r>
      <w:r w:rsidR="00481924" w:rsidRPr="006B42D6">
        <w:rPr>
          <w:bCs/>
        </w:rPr>
        <w:t>,</w:t>
      </w:r>
      <w:r w:rsidRPr="006B42D6">
        <w:rPr>
          <w:bCs/>
        </w:rPr>
        <w:t xml:space="preserve"> </w:t>
      </w:r>
      <w:r w:rsidR="00C27803" w:rsidRPr="006B42D6">
        <w:rPr>
          <w:bCs/>
        </w:rPr>
        <w:t xml:space="preserve">out </w:t>
      </w:r>
      <w:r w:rsidRPr="006B42D6">
        <w:t xml:space="preserve">of which </w:t>
      </w:r>
      <w:r w:rsidRPr="006B42D6">
        <w:rPr>
          <w:bCs/>
        </w:rPr>
        <w:t>65</w:t>
      </w:r>
      <w:r w:rsidR="00F12A7C" w:rsidRPr="006B42D6">
        <w:rPr>
          <w:bCs/>
        </w:rPr>
        <w:t>9</w:t>
      </w:r>
      <w:r w:rsidRPr="006B42D6">
        <w:rPr>
          <w:bCs/>
        </w:rPr>
        <w:t>,</w:t>
      </w:r>
      <w:r w:rsidR="00F12A7C" w:rsidRPr="006B42D6">
        <w:rPr>
          <w:bCs/>
        </w:rPr>
        <w:t>497</w:t>
      </w:r>
      <w:r w:rsidRPr="006B42D6">
        <w:t xml:space="preserve"> tons </w:t>
      </w:r>
      <w:r w:rsidR="00F12A7C" w:rsidRPr="006B42D6">
        <w:t xml:space="preserve">were </w:t>
      </w:r>
      <w:r w:rsidRPr="006B42D6">
        <w:t>produced by smallholder farmers and</w:t>
      </w:r>
      <w:r w:rsidRPr="006B42D6">
        <w:rPr>
          <w:bCs/>
        </w:rPr>
        <w:t xml:space="preserve"> 2,20</w:t>
      </w:r>
      <w:r w:rsidR="00F12A7C" w:rsidRPr="006B42D6">
        <w:rPr>
          <w:bCs/>
        </w:rPr>
        <w:t>2</w:t>
      </w:r>
      <w:r w:rsidRPr="006B42D6">
        <w:rPr>
          <w:bCs/>
        </w:rPr>
        <w:t xml:space="preserve"> </w:t>
      </w:r>
      <w:r w:rsidRPr="006B42D6">
        <w:t>tons by large scale farms.</w:t>
      </w:r>
      <w:r w:rsidRPr="006B42D6">
        <w:rPr>
          <w:bCs/>
        </w:rPr>
        <w:t xml:space="preserve"> </w:t>
      </w:r>
      <w:r w:rsidR="00510A6D" w:rsidRPr="006B42D6">
        <w:rPr>
          <w:bCs/>
        </w:rPr>
        <w:t>From the production of smallholder farmers</w:t>
      </w:r>
      <w:r w:rsidR="00510A6D" w:rsidRPr="006B42D6">
        <w:t xml:space="preserve">, </w:t>
      </w:r>
      <w:r w:rsidR="00510A6D" w:rsidRPr="006B42D6">
        <w:rPr>
          <w:bCs/>
        </w:rPr>
        <w:t xml:space="preserve">659,473 tons were </w:t>
      </w:r>
      <w:r w:rsidR="00510A6D" w:rsidRPr="006B42D6">
        <w:t>i</w:t>
      </w:r>
      <w:r w:rsidRPr="006B42D6">
        <w:t xml:space="preserve">n </w:t>
      </w:r>
      <w:bookmarkStart w:id="162" w:name="OLE_LINK4"/>
      <w:r w:rsidR="00EA1552">
        <w:t>Mainland Tanzania</w:t>
      </w:r>
      <w:r w:rsidR="00510A6D" w:rsidRPr="006B42D6">
        <w:t xml:space="preserve"> </w:t>
      </w:r>
      <w:bookmarkEnd w:id="162"/>
      <w:r w:rsidR="00510A6D" w:rsidRPr="006B42D6">
        <w:t>and 24 tons in Tanzania Zanzibar.</w:t>
      </w:r>
      <w:r w:rsidRPr="006B42D6">
        <w:t xml:space="preserve"> </w:t>
      </w:r>
      <w:r w:rsidR="00510A6D" w:rsidRPr="006B42D6">
        <w:t xml:space="preserve">In </w:t>
      </w:r>
      <w:r w:rsidR="00EA1552">
        <w:t>Mainland Tanzania</w:t>
      </w:r>
      <w:r w:rsidR="00510A6D" w:rsidRPr="006B42D6">
        <w:t xml:space="preserve">, </w:t>
      </w:r>
      <w:r w:rsidRPr="006B42D6">
        <w:t xml:space="preserve">Kagera </w:t>
      </w:r>
      <w:r w:rsidR="00FF198E">
        <w:t>r</w:t>
      </w:r>
      <w:r w:rsidRPr="006B42D6">
        <w:t xml:space="preserve">egion </w:t>
      </w:r>
      <w:r w:rsidR="00F12A7C" w:rsidRPr="006B42D6">
        <w:t xml:space="preserve">had the highest production </w:t>
      </w:r>
      <w:r w:rsidRPr="006B42D6">
        <w:t>(1</w:t>
      </w:r>
      <w:r w:rsidR="00510A6D" w:rsidRPr="006B42D6">
        <w:t>33</w:t>
      </w:r>
      <w:r w:rsidRPr="006B42D6">
        <w:t>,</w:t>
      </w:r>
      <w:r w:rsidR="00510A6D" w:rsidRPr="006B42D6">
        <w:t>592</w:t>
      </w:r>
      <w:r w:rsidRPr="006B42D6">
        <w:t xml:space="preserve"> tons; 2</w:t>
      </w:r>
      <w:r w:rsidR="00510A6D" w:rsidRPr="006B42D6">
        <w:t>0</w:t>
      </w:r>
      <w:r w:rsidRPr="006B42D6">
        <w:t>.</w:t>
      </w:r>
      <w:r w:rsidR="00510A6D" w:rsidRPr="006B42D6">
        <w:t>3</w:t>
      </w:r>
      <w:r w:rsidRPr="006B42D6">
        <w:t xml:space="preserve"> percent), followed by Manyara (7</w:t>
      </w:r>
      <w:r w:rsidR="00510A6D" w:rsidRPr="006B42D6">
        <w:t>2</w:t>
      </w:r>
      <w:r w:rsidRPr="006B42D6">
        <w:t>,</w:t>
      </w:r>
      <w:r w:rsidR="00510A6D" w:rsidRPr="006B42D6">
        <w:t>476</w:t>
      </w:r>
      <w:r w:rsidRPr="006B42D6">
        <w:t xml:space="preserve"> tons; 11.</w:t>
      </w:r>
      <w:r w:rsidR="00510A6D" w:rsidRPr="006B42D6">
        <w:t>0</w:t>
      </w:r>
      <w:r w:rsidRPr="006B42D6">
        <w:t xml:space="preserve"> percent) and Kigoma (61,</w:t>
      </w:r>
      <w:r w:rsidR="00510A6D" w:rsidRPr="006B42D6">
        <w:t>766</w:t>
      </w:r>
      <w:r w:rsidRPr="006B42D6">
        <w:t xml:space="preserve"> tons; 9.</w:t>
      </w:r>
      <w:r w:rsidR="00510A6D" w:rsidRPr="006B42D6">
        <w:t>4</w:t>
      </w:r>
      <w:r w:rsidRPr="006B42D6">
        <w:t xml:space="preserve"> percent). On the other hand, Mtwara region had a least production (2</w:t>
      </w:r>
      <w:r w:rsidR="00510A6D" w:rsidRPr="006B42D6">
        <w:t>0</w:t>
      </w:r>
      <w:r w:rsidRPr="006B42D6">
        <w:t xml:space="preserve"> tons; 0.00</w:t>
      </w:r>
      <w:r w:rsidR="00510A6D" w:rsidRPr="006B42D6">
        <w:t>3</w:t>
      </w:r>
      <w:r w:rsidRPr="006B42D6">
        <w:t xml:space="preserve"> percent). In</w:t>
      </w:r>
      <w:r w:rsidR="00F720C8" w:rsidRPr="006B42D6">
        <w:t xml:space="preserve"> Tanzania</w:t>
      </w:r>
      <w:r w:rsidRPr="006B42D6">
        <w:t xml:space="preserve"> Zanzibar, only Kaskazini Unguja </w:t>
      </w:r>
      <w:r w:rsidR="00510A6D" w:rsidRPr="006B42D6">
        <w:t xml:space="preserve">region </w:t>
      </w:r>
      <w:r w:rsidRPr="006B42D6">
        <w:t xml:space="preserve">harvested a total of </w:t>
      </w:r>
      <w:r w:rsidR="00510A6D" w:rsidRPr="006B42D6">
        <w:t>24</w:t>
      </w:r>
      <w:r w:rsidRPr="006B42D6">
        <w:t xml:space="preserve"> tons</w:t>
      </w:r>
      <w:r w:rsidR="00510A6D" w:rsidRPr="006B42D6">
        <w:t xml:space="preserve"> equivalent to 100 percent</w:t>
      </w:r>
      <w:r w:rsidRPr="006B42D6">
        <w:t xml:space="preserve"> (Figure</w:t>
      </w:r>
      <w:r w:rsidR="00277FB5" w:rsidRPr="006B42D6">
        <w:rPr>
          <w:b/>
        </w:rPr>
        <w:t xml:space="preserve"> </w:t>
      </w:r>
      <w:r w:rsidRPr="006B42D6">
        <w:t>3</w:t>
      </w:r>
      <w:r w:rsidR="00F12A7C" w:rsidRPr="006B42D6">
        <w:t>.2</w:t>
      </w:r>
      <w:r w:rsidR="00477DA9" w:rsidRPr="006B42D6">
        <w:t>5</w:t>
      </w:r>
      <w:r w:rsidRPr="006B42D6">
        <w:t>).</w:t>
      </w:r>
    </w:p>
    <w:p w14:paraId="1109A545" w14:textId="77777777" w:rsidR="00F12A7C" w:rsidRPr="006B42D6" w:rsidRDefault="00F12A7C" w:rsidP="00116990">
      <w:pPr>
        <w:spacing w:line="240" w:lineRule="auto"/>
      </w:pPr>
    </w:p>
    <w:p w14:paraId="1D4F8962" w14:textId="4E0DD334" w:rsidR="00F12A7C" w:rsidRDefault="00F12A7C" w:rsidP="0072387B">
      <w:r w:rsidRPr="006B42D6">
        <w:t xml:space="preserve">Moreover, results show that, the average productivity of </w:t>
      </w:r>
      <w:r w:rsidR="00510A6D" w:rsidRPr="006B42D6">
        <w:t>beans</w:t>
      </w:r>
      <w:r w:rsidRPr="006B42D6">
        <w:t xml:space="preserve"> in Tanzania was </w:t>
      </w:r>
      <w:r w:rsidR="00510A6D" w:rsidRPr="006B42D6">
        <w:t>0</w:t>
      </w:r>
      <w:r w:rsidRPr="006B42D6">
        <w:t>.</w:t>
      </w:r>
      <w:r w:rsidR="00510A6D" w:rsidRPr="006B42D6">
        <w:t>9</w:t>
      </w:r>
      <w:r w:rsidRPr="006B42D6">
        <w:t xml:space="preserve"> tons/ha, whereby </w:t>
      </w:r>
      <w:r w:rsidR="00510A6D" w:rsidRPr="006B42D6">
        <w:t>0</w:t>
      </w:r>
      <w:r w:rsidRPr="006B42D6">
        <w:t>.</w:t>
      </w:r>
      <w:r w:rsidR="00510A6D" w:rsidRPr="006B42D6">
        <w:t>9</w:t>
      </w:r>
      <w:r w:rsidRPr="006B42D6">
        <w:t xml:space="preserve"> tons/ha was reported in </w:t>
      </w:r>
      <w:r w:rsidR="00EA1552">
        <w:t>Mainland Tanzania</w:t>
      </w:r>
      <w:r w:rsidRPr="006B42D6">
        <w:t xml:space="preserve"> and 1.</w:t>
      </w:r>
      <w:r w:rsidR="00510A6D" w:rsidRPr="006B42D6">
        <w:t>6</w:t>
      </w:r>
      <w:r w:rsidRPr="006B42D6">
        <w:t xml:space="preserve"> tons/ha in Tanzania Zanzibar. In </w:t>
      </w:r>
      <w:r w:rsidR="00EA1552">
        <w:t>Mainland Tanzania</w:t>
      </w:r>
      <w:r w:rsidRPr="006B42D6">
        <w:t>, the highest productivity (</w:t>
      </w:r>
      <w:r w:rsidR="00510A6D" w:rsidRPr="006B42D6">
        <w:t>1</w:t>
      </w:r>
      <w:r w:rsidRPr="006B42D6">
        <w:t>.</w:t>
      </w:r>
      <w:r w:rsidR="00510A6D" w:rsidRPr="006B42D6">
        <w:t>3</w:t>
      </w:r>
      <w:r w:rsidRPr="006B42D6">
        <w:t xml:space="preserve"> tons/ha) was reported in </w:t>
      </w:r>
      <w:r w:rsidR="00510A6D" w:rsidRPr="006B42D6">
        <w:t>Mwanza and Geita</w:t>
      </w:r>
      <w:r w:rsidRPr="006B42D6">
        <w:t xml:space="preserve"> region</w:t>
      </w:r>
      <w:r w:rsidR="00510A6D" w:rsidRPr="006B42D6">
        <w:t>s</w:t>
      </w:r>
      <w:r w:rsidRPr="006B42D6">
        <w:t xml:space="preserve">, followed by </w:t>
      </w:r>
      <w:r w:rsidR="00510A6D" w:rsidRPr="006B42D6">
        <w:t>Mara</w:t>
      </w:r>
      <w:r w:rsidRPr="006B42D6">
        <w:t xml:space="preserve"> (</w:t>
      </w:r>
      <w:r w:rsidR="00510A6D" w:rsidRPr="006B42D6">
        <w:t>1</w:t>
      </w:r>
      <w:r w:rsidRPr="006B42D6">
        <w:t>.</w:t>
      </w:r>
      <w:r w:rsidR="00510A6D" w:rsidRPr="006B42D6">
        <w:t>2</w:t>
      </w:r>
      <w:r w:rsidRPr="006B42D6">
        <w:t xml:space="preserve"> tons/ha). On the other hand, the lowest </w:t>
      </w:r>
      <w:r w:rsidRPr="006B42D6">
        <w:lastRenderedPageBreak/>
        <w:t>productivity of 0.</w:t>
      </w:r>
      <w:r w:rsidR="00510A6D" w:rsidRPr="006B42D6">
        <w:t>5</w:t>
      </w:r>
      <w:r w:rsidRPr="006B42D6">
        <w:t xml:space="preserve"> tons/ha was in </w:t>
      </w:r>
      <w:r w:rsidR="00510A6D" w:rsidRPr="006B42D6">
        <w:t>Mtwara</w:t>
      </w:r>
      <w:r w:rsidRPr="006B42D6">
        <w:t xml:space="preserve"> region. In Tanzania Zanzibar, </w:t>
      </w:r>
      <w:r w:rsidR="00510A6D" w:rsidRPr="006B42D6">
        <w:t>Kaskazini Unguja region had</w:t>
      </w:r>
      <w:r w:rsidRPr="006B42D6">
        <w:t xml:space="preserve"> productivity </w:t>
      </w:r>
      <w:r w:rsidR="00510A6D" w:rsidRPr="006B42D6">
        <w:t xml:space="preserve">of </w:t>
      </w:r>
      <w:r w:rsidRPr="006B42D6">
        <w:t>1.6 tons/ha</w:t>
      </w:r>
      <w:r w:rsidR="00A335C0" w:rsidRPr="006B42D6">
        <w:t xml:space="preserve"> (Figure</w:t>
      </w:r>
      <w:r w:rsidR="00A335C0" w:rsidRPr="006B42D6">
        <w:rPr>
          <w:b/>
        </w:rPr>
        <w:t xml:space="preserve"> </w:t>
      </w:r>
      <w:r w:rsidR="00A335C0" w:rsidRPr="006B42D6">
        <w:t>3.25).</w:t>
      </w:r>
      <w:r w:rsidRPr="006B42D6">
        <w:t xml:space="preserve"> </w:t>
      </w:r>
    </w:p>
    <w:p w14:paraId="036C5074" w14:textId="77777777" w:rsidR="00FF198E" w:rsidRPr="006B42D6" w:rsidRDefault="00FF198E" w:rsidP="0072387B"/>
    <w:p w14:paraId="76104DB5" w14:textId="6D7FA68E" w:rsidR="00F327E4" w:rsidRPr="006B42D6" w:rsidRDefault="00F327E4" w:rsidP="00D35A2C">
      <w:pPr>
        <w:pStyle w:val="Caption"/>
      </w:pPr>
      <w:bookmarkStart w:id="163" w:name="_Toc82386302"/>
      <w:r w:rsidRPr="006B42D6">
        <w:t>Figure 3.</w:t>
      </w:r>
      <w:r w:rsidR="002D3F14" w:rsidRPr="006B42D6">
        <w:t>2</w:t>
      </w:r>
      <w:r w:rsidR="00477DA9" w:rsidRPr="006B42D6">
        <w:t>5</w:t>
      </w:r>
      <w:r w:rsidR="00116990">
        <w:t>:</w:t>
      </w:r>
      <w:r w:rsidR="00284B57">
        <w:tab/>
      </w:r>
      <w:r w:rsidRPr="006B42D6">
        <w:t xml:space="preserve">Quantity Harvested and Yield of Beans by Region </w:t>
      </w:r>
      <w:r w:rsidR="00BC0C0C" w:rsidRPr="006B42D6">
        <w:t>D</w:t>
      </w:r>
      <w:r w:rsidRPr="006B42D6">
        <w:t xml:space="preserve">uring 2019/20 </w:t>
      </w:r>
      <w:r w:rsidR="00BC0C0C" w:rsidRPr="006B42D6">
        <w:t>A</w:t>
      </w:r>
      <w:r w:rsidRPr="006B42D6">
        <w:t>gricultural Year</w:t>
      </w:r>
      <w:r w:rsidR="00510A6D" w:rsidRPr="006B42D6">
        <w:t xml:space="preserve">, </w:t>
      </w:r>
      <w:r w:rsidR="00EA1552">
        <w:t>Mainland Tanzania</w:t>
      </w:r>
      <w:bookmarkEnd w:id="163"/>
    </w:p>
    <w:p w14:paraId="280D433A" w14:textId="19D2ECC1" w:rsidR="00E16412" w:rsidRPr="006B42D6" w:rsidRDefault="001B26AC" w:rsidP="005C2EFC">
      <w:pPr>
        <w:pStyle w:val="Default"/>
        <w:spacing w:line="360" w:lineRule="auto"/>
        <w:jc w:val="both"/>
        <w:rPr>
          <w:color w:val="auto"/>
        </w:rPr>
      </w:pPr>
      <w:r w:rsidRPr="006B42D6">
        <w:rPr>
          <w:noProof/>
          <w:color w:val="auto"/>
        </w:rPr>
        <w:drawing>
          <wp:inline distT="0" distB="0" distL="0" distR="0" wp14:anchorId="57A9453C" wp14:editId="1B1C5EAD">
            <wp:extent cx="5695627" cy="2595880"/>
            <wp:effectExtent l="0" t="0" r="6985" b="7620"/>
            <wp:docPr id="124" name="Chart 15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14:paraId="2521589F" w14:textId="77777777" w:rsidR="000A67F8" w:rsidRPr="006B42D6" w:rsidRDefault="000A67F8" w:rsidP="005C2EFC">
      <w:pPr>
        <w:pStyle w:val="Default"/>
        <w:spacing w:line="360" w:lineRule="auto"/>
        <w:jc w:val="both"/>
        <w:rPr>
          <w:color w:val="auto"/>
        </w:rPr>
      </w:pPr>
    </w:p>
    <w:p w14:paraId="7639256D" w14:textId="4A3E82A5" w:rsidR="000908FF" w:rsidRPr="006B42D6" w:rsidRDefault="00F327E4" w:rsidP="000908FF">
      <w:pPr>
        <w:pStyle w:val="Heading4"/>
      </w:pPr>
      <w:bookmarkStart w:id="164" w:name="_Toc82385656"/>
      <w:r w:rsidRPr="006B42D6">
        <w:t>3.1.</w:t>
      </w:r>
      <w:r w:rsidR="00193728">
        <w:t>3</w:t>
      </w:r>
      <w:r w:rsidRPr="006B42D6">
        <w:t>.2</w:t>
      </w:r>
      <w:r w:rsidR="00E763F5" w:rsidRPr="006B42D6">
        <w:tab/>
      </w:r>
      <w:r w:rsidRPr="006B42D6">
        <w:t>Cowpeas</w:t>
      </w:r>
      <w:bookmarkEnd w:id="164"/>
    </w:p>
    <w:p w14:paraId="0D518DAC" w14:textId="755F4F5D" w:rsidR="000908FF" w:rsidRDefault="00F327E4" w:rsidP="0072387B">
      <w:r w:rsidRPr="006B42D6">
        <w:rPr>
          <w:bCs/>
        </w:rPr>
        <w:t>Cowpeas</w:t>
      </w:r>
      <w:r w:rsidRPr="006B42D6">
        <w:t xml:space="preserve"> production in Tanzania involved </w:t>
      </w:r>
      <w:r w:rsidR="000908FF" w:rsidRPr="006B42D6">
        <w:rPr>
          <w:bCs/>
        </w:rPr>
        <w:t>137,792</w:t>
      </w:r>
      <w:r w:rsidRPr="006B42D6">
        <w:rPr>
          <w:bCs/>
        </w:rPr>
        <w:t xml:space="preserve"> </w:t>
      </w:r>
      <w:r w:rsidRPr="006B42D6">
        <w:t>households</w:t>
      </w:r>
      <w:r w:rsidR="000908FF" w:rsidRPr="006B42D6">
        <w:t xml:space="preserve"> during short rainy season (127,293 in </w:t>
      </w:r>
      <w:r w:rsidR="00EA1552">
        <w:t>Mainland Tanzania</w:t>
      </w:r>
      <w:r w:rsidR="000908FF" w:rsidRPr="006B42D6">
        <w:t xml:space="preserve"> and 10,499 in Tanzania Zanzibar) and 185,383 households in the long rainy season (183,020 in </w:t>
      </w:r>
      <w:r w:rsidR="00EA1552">
        <w:t>Mainland Tanzania</w:t>
      </w:r>
      <w:r w:rsidR="000908FF" w:rsidRPr="006B42D6">
        <w:t xml:space="preserve"> and 2,363 in Tanzania Zanzibar). </w:t>
      </w:r>
    </w:p>
    <w:p w14:paraId="647499EB" w14:textId="77777777" w:rsidR="00284B57" w:rsidRPr="006B42D6" w:rsidRDefault="00284B57" w:rsidP="00116990">
      <w:pPr>
        <w:spacing w:line="240" w:lineRule="auto"/>
      </w:pPr>
    </w:p>
    <w:p w14:paraId="643AD6BC" w14:textId="3226208C" w:rsidR="00117C6C" w:rsidRDefault="000908FF" w:rsidP="0072387B">
      <w:r w:rsidRPr="006B42D6">
        <w:t xml:space="preserve">The total planted area with cowpeas in Tanzania during the 2019/20 agricultural year was 66,101 ha, of which </w:t>
      </w:r>
      <w:r w:rsidRPr="006B42D6">
        <w:rPr>
          <w:bCs/>
        </w:rPr>
        <w:t xml:space="preserve">66,072 </w:t>
      </w:r>
      <w:r w:rsidRPr="006B42D6">
        <w:t xml:space="preserve">ha were occupied by smallholder farmers and 29 ha by large scale farms. Out of the total planted area occupied by smallholder farmers, </w:t>
      </w:r>
      <w:r w:rsidRPr="006B42D6">
        <w:rPr>
          <w:bCs/>
        </w:rPr>
        <w:t xml:space="preserve">64,050 </w:t>
      </w:r>
      <w:r w:rsidRPr="006B42D6">
        <w:t xml:space="preserve">ha were in </w:t>
      </w:r>
      <w:r w:rsidR="00EA1552">
        <w:t>Mainland Tanzania</w:t>
      </w:r>
      <w:r w:rsidRPr="006B42D6">
        <w:t xml:space="preserve"> and</w:t>
      </w:r>
      <w:r w:rsidRPr="006B42D6">
        <w:rPr>
          <w:bCs/>
        </w:rPr>
        <w:t xml:space="preserve"> 2,022 </w:t>
      </w:r>
      <w:r w:rsidRPr="006B42D6">
        <w:t xml:space="preserve">ha in Tanzania Zanzibar. In </w:t>
      </w:r>
      <w:r w:rsidR="00EA1552">
        <w:t>Mainland Tanzania</w:t>
      </w:r>
      <w:r w:rsidRPr="006B42D6">
        <w:t xml:space="preserve">, Dodoma </w:t>
      </w:r>
      <w:r w:rsidR="00A335C0" w:rsidRPr="006B42D6">
        <w:t>r</w:t>
      </w:r>
      <w:r w:rsidRPr="006B42D6">
        <w:t xml:space="preserve">egion (7,609 ha; </w:t>
      </w:r>
      <w:r w:rsidR="00F1421B" w:rsidRPr="006B42D6">
        <w:t>11</w:t>
      </w:r>
      <w:r w:rsidR="00117C6C" w:rsidRPr="006B42D6">
        <w:t>.9</w:t>
      </w:r>
      <w:r w:rsidRPr="006B42D6">
        <w:t xml:space="preserve"> percent), had the largest </w:t>
      </w:r>
      <w:r w:rsidR="00117C6C" w:rsidRPr="006B42D6">
        <w:t xml:space="preserve">area </w:t>
      </w:r>
      <w:r w:rsidRPr="006B42D6">
        <w:t xml:space="preserve">planted with </w:t>
      </w:r>
      <w:r w:rsidR="00280F56">
        <w:t>b</w:t>
      </w:r>
      <w:r w:rsidRPr="006B42D6">
        <w:t xml:space="preserve">eans, followed by </w:t>
      </w:r>
      <w:r w:rsidR="00117C6C" w:rsidRPr="006B42D6">
        <w:t>Mtwara</w:t>
      </w:r>
      <w:r w:rsidRPr="006B42D6">
        <w:t xml:space="preserve"> (</w:t>
      </w:r>
      <w:r w:rsidR="00117C6C" w:rsidRPr="006B42D6">
        <w:t>6,527</w:t>
      </w:r>
      <w:r w:rsidRPr="006B42D6">
        <w:t xml:space="preserve"> ha; 10.2 percent) and </w:t>
      </w:r>
      <w:r w:rsidR="00117C6C" w:rsidRPr="006B42D6">
        <w:t>Tanga</w:t>
      </w:r>
      <w:r w:rsidRPr="006B42D6">
        <w:t xml:space="preserve"> (</w:t>
      </w:r>
      <w:r w:rsidR="00117C6C" w:rsidRPr="006B42D6">
        <w:t>5,210</w:t>
      </w:r>
      <w:r w:rsidRPr="006B42D6">
        <w:t xml:space="preserve"> ha; </w:t>
      </w:r>
      <w:r w:rsidR="00117C6C" w:rsidRPr="006B42D6">
        <w:t>8.1</w:t>
      </w:r>
      <w:r w:rsidRPr="006B42D6">
        <w:t xml:space="preserve"> percent). On the other hand, </w:t>
      </w:r>
      <w:r w:rsidR="00117C6C" w:rsidRPr="006B42D6">
        <w:t>Katavi</w:t>
      </w:r>
      <w:r w:rsidRPr="006B42D6">
        <w:t xml:space="preserve"> region had the least planted area (</w:t>
      </w:r>
      <w:r w:rsidR="00117C6C" w:rsidRPr="006B42D6">
        <w:t>97</w:t>
      </w:r>
      <w:r w:rsidRPr="006B42D6">
        <w:t xml:space="preserve"> ha; 0.</w:t>
      </w:r>
      <w:r w:rsidR="00117C6C" w:rsidRPr="006B42D6">
        <w:t>2</w:t>
      </w:r>
      <w:r w:rsidRPr="006B42D6">
        <w:t xml:space="preserve"> percent). </w:t>
      </w:r>
      <w:r w:rsidR="00117C6C" w:rsidRPr="006B42D6">
        <w:t>In Tanzania Zanzibar, Kusini Pemba led with the planted area of 1,444 ha (71.4 percent), followed by Kaskazini Pemba (312 ha, 15.4 percent) while Mjini Magharibi had the lowest planted area of 3 ha (0.1 percent)</w:t>
      </w:r>
      <w:r w:rsidR="00634172" w:rsidRPr="006B42D6">
        <w:t xml:space="preserve"> (Figure 3.26 &amp; 3.27)</w:t>
      </w:r>
      <w:r w:rsidR="00117C6C" w:rsidRPr="006B42D6">
        <w:t xml:space="preserve">. </w:t>
      </w:r>
    </w:p>
    <w:p w14:paraId="4B1EF6D5" w14:textId="77777777" w:rsidR="0072387B" w:rsidRPr="006B42D6" w:rsidRDefault="0072387B" w:rsidP="0072387B">
      <w:pPr>
        <w:spacing w:line="240" w:lineRule="auto"/>
      </w:pPr>
    </w:p>
    <w:p w14:paraId="085E9D38" w14:textId="42AC133A" w:rsidR="008175C8" w:rsidRPr="006B42D6" w:rsidRDefault="008175C8" w:rsidP="0072387B">
      <w:r w:rsidRPr="006B42D6">
        <w:t xml:space="preserve">Furthermore, the total harvested area of cowpeas in Tanzania occupied by smallholder farmers was 54,276 ha, of which 52,960 ha were in </w:t>
      </w:r>
      <w:r w:rsidR="00EA1552">
        <w:t>Mainland Tanzania</w:t>
      </w:r>
      <w:r w:rsidRPr="006B42D6">
        <w:t xml:space="preserve"> and 1,316 ha in </w:t>
      </w:r>
      <w:r w:rsidRPr="006B42D6">
        <w:lastRenderedPageBreak/>
        <w:t>Tanzania Zanzibar. This implies that, the total harvested area was 82.1 percent of the total planted area with cowpeas by smallholder farmers</w:t>
      </w:r>
      <w:r w:rsidR="00634172" w:rsidRPr="006B42D6">
        <w:t>.</w:t>
      </w:r>
      <w:r w:rsidR="00477DA9" w:rsidRPr="006B42D6">
        <w:t xml:space="preserve"> </w:t>
      </w:r>
    </w:p>
    <w:p w14:paraId="140FD8AF" w14:textId="4612AE5A" w:rsidR="00634172" w:rsidRPr="006B42D6" w:rsidRDefault="00634172" w:rsidP="008175C8">
      <w:pPr>
        <w:pStyle w:val="Default"/>
        <w:spacing w:line="360" w:lineRule="auto"/>
        <w:jc w:val="both"/>
        <w:rPr>
          <w:color w:val="auto"/>
        </w:rPr>
      </w:pPr>
    </w:p>
    <w:p w14:paraId="55B7821E" w14:textId="6A1250CF" w:rsidR="00634172" w:rsidRPr="006B42D6" w:rsidRDefault="00634172" w:rsidP="0072387B">
      <w:pPr>
        <w:pStyle w:val="Caption"/>
      </w:pPr>
      <w:bookmarkStart w:id="165" w:name="OLE_LINK8"/>
      <w:bookmarkStart w:id="166" w:name="_Toc82386303"/>
      <w:r w:rsidRPr="006B42D6">
        <w:t>Figure 3.26</w:t>
      </w:r>
      <w:r w:rsidR="00116990">
        <w:t>:</w:t>
      </w:r>
      <w:r w:rsidR="0072387B">
        <w:tab/>
      </w:r>
      <w:r w:rsidRPr="006B42D6">
        <w:t xml:space="preserve">Planted and Harvested Area with Cowpeas by Smallholder Farmers by Region During 2019/20 Agricultural Year, </w:t>
      </w:r>
      <w:r w:rsidR="00EA1552">
        <w:t>Mainland Tanzania</w:t>
      </w:r>
      <w:bookmarkEnd w:id="165"/>
      <w:bookmarkEnd w:id="166"/>
    </w:p>
    <w:p w14:paraId="5E0F49F1" w14:textId="1C3AE60B" w:rsidR="00634172" w:rsidRPr="006B42D6" w:rsidRDefault="001B26AC" w:rsidP="008175C8">
      <w:pPr>
        <w:pStyle w:val="Default"/>
        <w:spacing w:line="360" w:lineRule="auto"/>
        <w:jc w:val="both"/>
        <w:rPr>
          <w:color w:val="auto"/>
        </w:rPr>
      </w:pPr>
      <w:r w:rsidRPr="006B42D6">
        <w:rPr>
          <w:noProof/>
          <w:color w:val="auto"/>
        </w:rPr>
        <w:drawing>
          <wp:inline distT="0" distB="0" distL="0" distR="0" wp14:anchorId="562907F7" wp14:editId="2A68CA5F">
            <wp:extent cx="5850255" cy="3058795"/>
            <wp:effectExtent l="0" t="0" r="17145" b="14605"/>
            <wp:docPr id="123" name="Chart 5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14:paraId="1C50057F" w14:textId="44EF892A" w:rsidR="00634172" w:rsidRPr="006B42D6" w:rsidRDefault="00634172" w:rsidP="008175C8">
      <w:pPr>
        <w:pStyle w:val="Default"/>
        <w:spacing w:line="360" w:lineRule="auto"/>
        <w:jc w:val="both"/>
        <w:rPr>
          <w:color w:val="auto"/>
        </w:rPr>
      </w:pPr>
    </w:p>
    <w:p w14:paraId="462EB6F8" w14:textId="2E6AA00B" w:rsidR="00634172" w:rsidRPr="006B42D6" w:rsidRDefault="00634172" w:rsidP="00D35A2C">
      <w:pPr>
        <w:pStyle w:val="Caption"/>
      </w:pPr>
      <w:bookmarkStart w:id="167" w:name="_Toc82386304"/>
      <w:r w:rsidRPr="006B42D6">
        <w:t>Figure 3.27</w:t>
      </w:r>
      <w:r w:rsidR="00116990">
        <w:t>:</w:t>
      </w:r>
      <w:r w:rsidR="0072387B">
        <w:tab/>
      </w:r>
      <w:r w:rsidRPr="006B42D6">
        <w:t>Planted and Harvested Area with Cowpeas by Smallholder Farmers by Region During 2019/20 Agricultural Year, Tanzania Zanzibar</w:t>
      </w:r>
      <w:bookmarkEnd w:id="167"/>
    </w:p>
    <w:p w14:paraId="7C9A4AA6" w14:textId="166576B1" w:rsidR="00634172" w:rsidRPr="006B42D6" w:rsidRDefault="001370FF" w:rsidP="008175C8">
      <w:pPr>
        <w:pStyle w:val="Default"/>
        <w:spacing w:line="360" w:lineRule="auto"/>
        <w:jc w:val="both"/>
        <w:rPr>
          <w:color w:val="auto"/>
        </w:rPr>
      </w:pPr>
      <w:r w:rsidRPr="006B42D6">
        <w:rPr>
          <w:noProof/>
          <w:color w:val="auto"/>
        </w:rPr>
        <w:drawing>
          <wp:inline distT="0" distB="0" distL="0" distR="0" wp14:anchorId="4D871C92" wp14:editId="112868D8">
            <wp:extent cx="5850610" cy="2571115"/>
            <wp:effectExtent l="0" t="0" r="17145" b="6985"/>
            <wp:docPr id="122" name="Chart 5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14:paraId="20B469DA" w14:textId="3397B367" w:rsidR="00280F56" w:rsidRDefault="00280F56">
      <w:pPr>
        <w:spacing w:line="240" w:lineRule="auto"/>
        <w:contextualSpacing w:val="0"/>
        <w:jc w:val="left"/>
      </w:pPr>
      <w:r>
        <w:br w:type="page"/>
      </w:r>
    </w:p>
    <w:p w14:paraId="02D81E0F" w14:textId="13DD4E55" w:rsidR="00F327E4" w:rsidRDefault="00F327E4" w:rsidP="0072387B">
      <w:r w:rsidRPr="006B42D6">
        <w:lastRenderedPageBreak/>
        <w:t xml:space="preserve">Production of </w:t>
      </w:r>
      <w:r w:rsidR="007B2F7A">
        <w:rPr>
          <w:bCs/>
        </w:rPr>
        <w:t>c</w:t>
      </w:r>
      <w:r w:rsidRPr="006B42D6">
        <w:rPr>
          <w:bCs/>
        </w:rPr>
        <w:t>owpeas</w:t>
      </w:r>
      <w:r w:rsidRPr="006B42D6">
        <w:t xml:space="preserve"> in Tanzania was </w:t>
      </w:r>
      <w:r w:rsidR="008C71FC" w:rsidRPr="006B42D6">
        <w:rPr>
          <w:bCs/>
        </w:rPr>
        <w:t>142,893</w:t>
      </w:r>
      <w:r w:rsidR="00F46D54" w:rsidRPr="006B42D6">
        <w:rPr>
          <w:bCs/>
        </w:rPr>
        <w:t xml:space="preserve"> tons</w:t>
      </w:r>
      <w:r w:rsidR="008C71FC" w:rsidRPr="006B42D6">
        <w:rPr>
          <w:bCs/>
        </w:rPr>
        <w:t>,</w:t>
      </w:r>
      <w:r w:rsidR="00F46D54" w:rsidRPr="006B42D6">
        <w:rPr>
          <w:bCs/>
        </w:rPr>
        <w:t xml:space="preserve"> out</w:t>
      </w:r>
      <w:r w:rsidRPr="006B42D6">
        <w:rPr>
          <w:bCs/>
        </w:rPr>
        <w:t xml:space="preserve"> </w:t>
      </w:r>
      <w:r w:rsidRPr="006B42D6">
        <w:t xml:space="preserve">of which </w:t>
      </w:r>
      <w:r w:rsidR="008C71FC" w:rsidRPr="006B42D6">
        <w:rPr>
          <w:bCs/>
        </w:rPr>
        <w:t xml:space="preserve">142,882 </w:t>
      </w:r>
      <w:r w:rsidRPr="006B42D6">
        <w:t xml:space="preserve">tons </w:t>
      </w:r>
      <w:r w:rsidR="008C71FC" w:rsidRPr="006B42D6">
        <w:t xml:space="preserve">were </w:t>
      </w:r>
      <w:r w:rsidRPr="006B42D6">
        <w:t>produced by smallholder farmers and</w:t>
      </w:r>
      <w:r w:rsidRPr="006B42D6">
        <w:rPr>
          <w:bCs/>
        </w:rPr>
        <w:t xml:space="preserve"> 11 </w:t>
      </w:r>
      <w:r w:rsidRPr="006B42D6">
        <w:t xml:space="preserve">tons </w:t>
      </w:r>
      <w:r w:rsidR="008C71FC" w:rsidRPr="006B42D6">
        <w:t>were</w:t>
      </w:r>
      <w:r w:rsidR="00F46D54" w:rsidRPr="006B42D6">
        <w:t xml:space="preserve"> </w:t>
      </w:r>
      <w:r w:rsidRPr="006B42D6">
        <w:t>produced by large scale farm</w:t>
      </w:r>
      <w:r w:rsidR="008C71FC" w:rsidRPr="006B42D6">
        <w:t>s</w:t>
      </w:r>
      <w:r w:rsidRPr="006B42D6">
        <w:t>.</w:t>
      </w:r>
      <w:r w:rsidRPr="006B42D6">
        <w:rPr>
          <w:bCs/>
        </w:rPr>
        <w:t xml:space="preserve"> From the production of smallh</w:t>
      </w:r>
      <w:r w:rsidR="00F46D54" w:rsidRPr="006B42D6">
        <w:rPr>
          <w:bCs/>
        </w:rPr>
        <w:t>o</w:t>
      </w:r>
      <w:r w:rsidRPr="006B42D6">
        <w:rPr>
          <w:bCs/>
        </w:rPr>
        <w:t xml:space="preserve">lder farmers, </w:t>
      </w:r>
      <w:r w:rsidR="008C71FC" w:rsidRPr="006B42D6">
        <w:rPr>
          <w:bCs/>
        </w:rPr>
        <w:t xml:space="preserve">139,207 </w:t>
      </w:r>
      <w:r w:rsidRPr="006B42D6">
        <w:t xml:space="preserve">tons were in </w:t>
      </w:r>
      <w:r w:rsidR="00EA1552">
        <w:t>Mainland Tanzania</w:t>
      </w:r>
      <w:r w:rsidRPr="006B42D6">
        <w:t xml:space="preserve"> and </w:t>
      </w:r>
      <w:r w:rsidRPr="006B42D6">
        <w:rPr>
          <w:bCs/>
        </w:rPr>
        <w:t>3,</w:t>
      </w:r>
      <w:r w:rsidR="008C71FC" w:rsidRPr="006B42D6">
        <w:rPr>
          <w:bCs/>
        </w:rPr>
        <w:t>675</w:t>
      </w:r>
      <w:r w:rsidRPr="006B42D6">
        <w:rPr>
          <w:bCs/>
        </w:rPr>
        <w:t xml:space="preserve"> </w:t>
      </w:r>
      <w:r w:rsidRPr="006B42D6">
        <w:t xml:space="preserve">tons in </w:t>
      </w:r>
      <w:r w:rsidR="00A335C0" w:rsidRPr="006B42D6">
        <w:t xml:space="preserve">Tanzania </w:t>
      </w:r>
      <w:r w:rsidRPr="006B42D6">
        <w:t xml:space="preserve">Zanzibar. In </w:t>
      </w:r>
      <w:r w:rsidR="00EA1552">
        <w:t>Mainland Tanzania</w:t>
      </w:r>
      <w:r w:rsidRPr="006B42D6">
        <w:t xml:space="preserve">, Dodoma </w:t>
      </w:r>
      <w:r w:rsidR="00A335C0" w:rsidRPr="006B42D6">
        <w:t>r</w:t>
      </w:r>
      <w:r w:rsidRPr="006B42D6">
        <w:t xml:space="preserve">egion </w:t>
      </w:r>
      <w:r w:rsidR="00A335C0" w:rsidRPr="006B42D6">
        <w:t xml:space="preserve">had the highest production </w:t>
      </w:r>
      <w:r w:rsidRPr="006B42D6">
        <w:t>(</w:t>
      </w:r>
      <w:r w:rsidR="008C71FC" w:rsidRPr="006B42D6">
        <w:t>14,761</w:t>
      </w:r>
      <w:r w:rsidRPr="006B42D6">
        <w:t xml:space="preserve"> tons; </w:t>
      </w:r>
      <w:r w:rsidR="008C71FC" w:rsidRPr="006B42D6">
        <w:t>10.6</w:t>
      </w:r>
      <w:r w:rsidRPr="006B42D6">
        <w:t xml:space="preserve"> percent), followed by Tanga (</w:t>
      </w:r>
      <w:r w:rsidR="007551B0" w:rsidRPr="006B42D6">
        <w:t>13,381</w:t>
      </w:r>
      <w:r w:rsidRPr="006B42D6">
        <w:t xml:space="preserve"> tons; </w:t>
      </w:r>
      <w:r w:rsidR="007551B0" w:rsidRPr="006B42D6">
        <w:t>9.6</w:t>
      </w:r>
      <w:r w:rsidRPr="006B42D6">
        <w:t xml:space="preserve"> percent) and Mtwara (</w:t>
      </w:r>
      <w:r w:rsidR="007551B0" w:rsidRPr="006B42D6">
        <w:t>13,315</w:t>
      </w:r>
      <w:r w:rsidRPr="006B42D6">
        <w:t xml:space="preserve"> tons; 9.</w:t>
      </w:r>
      <w:r w:rsidR="007551B0" w:rsidRPr="006B42D6">
        <w:t>6</w:t>
      </w:r>
      <w:r w:rsidRPr="006B42D6">
        <w:t xml:space="preserve"> percent)</w:t>
      </w:r>
      <w:r w:rsidR="007551B0" w:rsidRPr="006B42D6">
        <w:t xml:space="preserve"> while </w:t>
      </w:r>
      <w:r w:rsidRPr="006B42D6">
        <w:t>Katavi had a least production (</w:t>
      </w:r>
      <w:r w:rsidR="007551B0" w:rsidRPr="006B42D6">
        <w:t>85</w:t>
      </w:r>
      <w:r w:rsidRPr="006B42D6">
        <w:t xml:space="preserve"> tons; 0.1 percent)</w:t>
      </w:r>
      <w:r w:rsidR="002D3F14" w:rsidRPr="006B42D6">
        <w:t xml:space="preserve"> (Figure 3.2</w:t>
      </w:r>
      <w:r w:rsidR="00634172" w:rsidRPr="006B42D6">
        <w:t>8</w:t>
      </w:r>
      <w:r w:rsidR="002D3F14" w:rsidRPr="006B42D6">
        <w:t>)</w:t>
      </w:r>
      <w:r w:rsidRPr="006B42D6">
        <w:t>. In Zanzibar, Kusini Pemba led with the production of 2,</w:t>
      </w:r>
      <w:r w:rsidR="007551B0" w:rsidRPr="006B42D6">
        <w:t>954</w:t>
      </w:r>
      <w:r w:rsidRPr="006B42D6">
        <w:t xml:space="preserve"> tons (</w:t>
      </w:r>
      <w:r w:rsidR="007551B0" w:rsidRPr="006B42D6">
        <w:t>80.4</w:t>
      </w:r>
      <w:r w:rsidRPr="006B42D6">
        <w:t xml:space="preserve"> percent), followed by Kaskazini Pemba </w:t>
      </w:r>
      <w:r w:rsidR="007551B0" w:rsidRPr="006B42D6">
        <w:t>(414</w:t>
      </w:r>
      <w:r w:rsidRPr="006B42D6">
        <w:t xml:space="preserve"> tons</w:t>
      </w:r>
      <w:r w:rsidR="00F547FA" w:rsidRPr="006B42D6">
        <w:t xml:space="preserve">; </w:t>
      </w:r>
      <w:r w:rsidR="007551B0" w:rsidRPr="006B42D6">
        <w:t>11.3</w:t>
      </w:r>
      <w:r w:rsidRPr="006B42D6">
        <w:t xml:space="preserve"> percent)</w:t>
      </w:r>
      <w:r w:rsidR="00F547FA" w:rsidRPr="006B42D6">
        <w:t>,</w:t>
      </w:r>
      <w:r w:rsidRPr="006B42D6">
        <w:t xml:space="preserve"> while Kusini Unguja had</w:t>
      </w:r>
      <w:r w:rsidR="00F46D54" w:rsidRPr="006B42D6">
        <w:t xml:space="preserve"> the</w:t>
      </w:r>
      <w:r w:rsidRPr="006B42D6">
        <w:t xml:space="preserve"> least production (</w:t>
      </w:r>
      <w:r w:rsidR="001370FF" w:rsidRPr="006B42D6">
        <w:t>1</w:t>
      </w:r>
      <w:r w:rsidR="00F547FA" w:rsidRPr="006B42D6">
        <w:t xml:space="preserve"> </w:t>
      </w:r>
      <w:r w:rsidRPr="006B42D6">
        <w:t>ton, 0.03 percent) (Figure 3.</w:t>
      </w:r>
      <w:r w:rsidR="002D3F14" w:rsidRPr="006B42D6">
        <w:t>2</w:t>
      </w:r>
      <w:r w:rsidR="00634172" w:rsidRPr="006B42D6">
        <w:t>9</w:t>
      </w:r>
      <w:r w:rsidRPr="006B42D6">
        <w:t>).</w:t>
      </w:r>
    </w:p>
    <w:p w14:paraId="2C12BC51" w14:textId="77777777" w:rsidR="00280F56" w:rsidRPr="006B42D6" w:rsidRDefault="00280F56" w:rsidP="0072387B"/>
    <w:p w14:paraId="2DFAD512" w14:textId="7BBB65C9" w:rsidR="00F547FA" w:rsidRDefault="00140C9D" w:rsidP="0072387B">
      <w:r w:rsidRPr="006B42D6">
        <w:t>The</w:t>
      </w:r>
      <w:r w:rsidR="00F547FA" w:rsidRPr="006B42D6">
        <w:t xml:space="preserve"> results </w:t>
      </w:r>
      <w:r w:rsidRPr="006B42D6">
        <w:t xml:space="preserve">further </w:t>
      </w:r>
      <w:r w:rsidR="00F547FA" w:rsidRPr="006B42D6">
        <w:t xml:space="preserve">show that, the average productivity of </w:t>
      </w:r>
      <w:r w:rsidRPr="006B42D6">
        <w:t>cowpeas</w:t>
      </w:r>
      <w:r w:rsidR="00F547FA" w:rsidRPr="006B42D6">
        <w:t xml:space="preserve"> in Tanzania was </w:t>
      </w:r>
      <w:r w:rsidRPr="006B42D6">
        <w:t>2</w:t>
      </w:r>
      <w:r w:rsidR="00F547FA" w:rsidRPr="006B42D6">
        <w:t>.</w:t>
      </w:r>
      <w:r w:rsidRPr="006B42D6">
        <w:t>6</w:t>
      </w:r>
      <w:r w:rsidR="00F547FA" w:rsidRPr="006B42D6">
        <w:t xml:space="preserve"> tons/ha, whereby </w:t>
      </w:r>
      <w:r w:rsidRPr="006B42D6">
        <w:t>2</w:t>
      </w:r>
      <w:r w:rsidR="00F547FA" w:rsidRPr="006B42D6">
        <w:t>.</w:t>
      </w:r>
      <w:r w:rsidRPr="006B42D6">
        <w:t>6</w:t>
      </w:r>
      <w:r w:rsidR="00F547FA" w:rsidRPr="006B42D6">
        <w:t xml:space="preserve"> tons/ha was in</w:t>
      </w:r>
      <w:r w:rsidR="00C83EE7" w:rsidRPr="00C83EE7">
        <w:rPr>
          <w:noProof/>
        </w:rPr>
        <w:t xml:space="preserve"> </w:t>
      </w:r>
      <w:r w:rsidR="00EA1552">
        <w:t>Mainland Tanzania</w:t>
      </w:r>
      <w:r w:rsidR="00F547FA" w:rsidRPr="006B42D6">
        <w:t xml:space="preserve"> and </w:t>
      </w:r>
      <w:r w:rsidRPr="006B42D6">
        <w:t>2</w:t>
      </w:r>
      <w:r w:rsidR="00F547FA" w:rsidRPr="006B42D6">
        <w:t>.</w:t>
      </w:r>
      <w:r w:rsidRPr="006B42D6">
        <w:t>8</w:t>
      </w:r>
      <w:r w:rsidR="00F547FA" w:rsidRPr="006B42D6">
        <w:t xml:space="preserve"> tons/ha in Tanzania Zanzibar. In </w:t>
      </w:r>
      <w:r w:rsidR="00EA1552">
        <w:t>Mainland Tanzania</w:t>
      </w:r>
      <w:r w:rsidR="00F547FA" w:rsidRPr="006B42D6">
        <w:t xml:space="preserve">, </w:t>
      </w:r>
      <w:r w:rsidRPr="006B42D6">
        <w:t xml:space="preserve">Kagera region had </w:t>
      </w:r>
      <w:r w:rsidR="00F547FA" w:rsidRPr="006B42D6">
        <w:t>the highest productivity (</w:t>
      </w:r>
      <w:r w:rsidRPr="006B42D6">
        <w:t>3</w:t>
      </w:r>
      <w:r w:rsidR="00F547FA" w:rsidRPr="006B42D6">
        <w:t>.</w:t>
      </w:r>
      <w:r w:rsidRPr="006B42D6">
        <w:t>7</w:t>
      </w:r>
      <w:r w:rsidR="00F547FA" w:rsidRPr="006B42D6">
        <w:t xml:space="preserve"> tons/ha), followed by </w:t>
      </w:r>
      <w:r w:rsidRPr="006B42D6">
        <w:t>Kigoma</w:t>
      </w:r>
      <w:r w:rsidR="00F547FA" w:rsidRPr="006B42D6">
        <w:t xml:space="preserve"> (</w:t>
      </w:r>
      <w:r w:rsidRPr="006B42D6">
        <w:t>3</w:t>
      </w:r>
      <w:r w:rsidR="00F547FA" w:rsidRPr="006B42D6">
        <w:t>.</w:t>
      </w:r>
      <w:r w:rsidRPr="006B42D6">
        <w:t>4</w:t>
      </w:r>
      <w:r w:rsidR="00F547FA" w:rsidRPr="006B42D6">
        <w:t xml:space="preserve"> tons/ha). On the other hand, the lowest productivity of </w:t>
      </w:r>
      <w:r w:rsidRPr="006B42D6">
        <w:t>1</w:t>
      </w:r>
      <w:r w:rsidR="00F547FA" w:rsidRPr="006B42D6">
        <w:t xml:space="preserve">.5 tons/ha was in </w:t>
      </w:r>
      <w:r w:rsidRPr="006B42D6">
        <w:t>Rukwa</w:t>
      </w:r>
      <w:r w:rsidR="00F547FA" w:rsidRPr="006B42D6">
        <w:t xml:space="preserve"> region. In Tanzania Zanzibar, </w:t>
      </w:r>
      <w:r w:rsidRPr="006B42D6">
        <w:t>Mjini Magharibi</w:t>
      </w:r>
      <w:r w:rsidR="00F547FA" w:rsidRPr="006B42D6">
        <w:t xml:space="preserve"> region had </w:t>
      </w:r>
      <w:r w:rsidRPr="006B42D6">
        <w:t xml:space="preserve">the highest </w:t>
      </w:r>
      <w:r w:rsidR="00F547FA" w:rsidRPr="006B42D6">
        <w:t xml:space="preserve">productivity of </w:t>
      </w:r>
      <w:r w:rsidRPr="006B42D6">
        <w:t>3</w:t>
      </w:r>
      <w:r w:rsidR="00F547FA" w:rsidRPr="006B42D6">
        <w:t>.</w:t>
      </w:r>
      <w:r w:rsidRPr="006B42D6">
        <w:t>4</w:t>
      </w:r>
      <w:r w:rsidR="00F547FA" w:rsidRPr="006B42D6">
        <w:t xml:space="preserve"> tons/ha</w:t>
      </w:r>
      <w:r w:rsidRPr="006B42D6">
        <w:t xml:space="preserve"> while the lowest productivity was in Kusini Unguja (0.9 tons/ha)</w:t>
      </w:r>
      <w:r w:rsidR="00A335C0" w:rsidRPr="006B42D6">
        <w:t xml:space="preserve"> (Figure 3.28 &amp;</w:t>
      </w:r>
      <w:r w:rsidR="00280F56">
        <w:t xml:space="preserve"> </w:t>
      </w:r>
      <w:r w:rsidR="00A335C0" w:rsidRPr="006B42D6">
        <w:t>3.29)</w:t>
      </w:r>
      <w:r w:rsidR="00F547FA" w:rsidRPr="006B42D6">
        <w:t xml:space="preserve">. </w:t>
      </w:r>
    </w:p>
    <w:p w14:paraId="7645F422" w14:textId="77777777" w:rsidR="001B2D0C" w:rsidRPr="006B42D6" w:rsidRDefault="001B2D0C" w:rsidP="001B2D0C">
      <w:pPr>
        <w:spacing w:line="240" w:lineRule="auto"/>
      </w:pPr>
    </w:p>
    <w:p w14:paraId="4DC4566D" w14:textId="77777777" w:rsidR="001B2D0C" w:rsidRPr="00A016DE" w:rsidRDefault="001B2D0C" w:rsidP="001B2D0C">
      <w:pPr>
        <w:pStyle w:val="Caption"/>
        <w:rPr>
          <w:rFonts w:eastAsia="Calibri"/>
        </w:rPr>
      </w:pPr>
      <w:bookmarkStart w:id="168" w:name="_Toc80120205"/>
      <w:bookmarkStart w:id="169" w:name="_Toc80884080"/>
      <w:bookmarkStart w:id="170" w:name="_Toc80884451"/>
      <w:bookmarkStart w:id="171" w:name="_Toc82386305"/>
      <w:r w:rsidRPr="001370FF">
        <w:t>Figure 3.28:</w:t>
      </w:r>
      <w:r>
        <w:tab/>
      </w:r>
      <w:r w:rsidRPr="001370FF">
        <w:t xml:space="preserve">Quantity Harvested and Yield of Cowpeas by Region </w:t>
      </w:r>
      <w:r>
        <w:t>D</w:t>
      </w:r>
      <w:r w:rsidRPr="001370FF">
        <w:t xml:space="preserve">uring 2019/20 Agricultural Year, </w:t>
      </w:r>
      <w:r>
        <w:t>Mainland Tanzania</w:t>
      </w:r>
      <w:bookmarkEnd w:id="168"/>
      <w:bookmarkEnd w:id="169"/>
      <w:bookmarkEnd w:id="170"/>
      <w:bookmarkEnd w:id="171"/>
    </w:p>
    <w:p w14:paraId="5AAFE1A8" w14:textId="57F9C2FE" w:rsidR="009200C8" w:rsidRDefault="001B2D0C" w:rsidP="005C2EFC">
      <w:pPr>
        <w:pStyle w:val="Default"/>
        <w:spacing w:line="360" w:lineRule="auto"/>
        <w:jc w:val="both"/>
        <w:rPr>
          <w:color w:val="auto"/>
        </w:rPr>
      </w:pPr>
      <w:r>
        <w:rPr>
          <w:noProof/>
        </w:rPr>
        <w:drawing>
          <wp:inline distT="0" distB="0" distL="0" distR="0" wp14:anchorId="16961DB0" wp14:editId="564AE123">
            <wp:extent cx="5746531" cy="2766695"/>
            <wp:effectExtent l="0" t="0" r="6985" b="14605"/>
            <wp:docPr id="9" name="Chart 9">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p w14:paraId="590B9361" w14:textId="65CF340F" w:rsidR="00280F56" w:rsidRDefault="00280F56">
      <w:pPr>
        <w:spacing w:line="240" w:lineRule="auto"/>
        <w:contextualSpacing w:val="0"/>
        <w:jc w:val="left"/>
        <w:rPr>
          <w:rFonts w:eastAsia="Calibri"/>
        </w:rPr>
      </w:pPr>
      <w:r>
        <w:br w:type="page"/>
      </w:r>
    </w:p>
    <w:p w14:paraId="5C13B1F0" w14:textId="0FBC1C73" w:rsidR="00E918F7" w:rsidRPr="0072387B" w:rsidRDefault="00E918F7" w:rsidP="00284B57">
      <w:pPr>
        <w:pStyle w:val="Caption"/>
      </w:pPr>
      <w:bookmarkStart w:id="172" w:name="_Toc82386306"/>
      <w:r w:rsidRPr="006B42D6">
        <w:lastRenderedPageBreak/>
        <w:t>Figure</w:t>
      </w:r>
      <w:r w:rsidR="00284B57">
        <w:t xml:space="preserve"> </w:t>
      </w:r>
      <w:r w:rsidRPr="006B42D6">
        <w:t>3.2</w:t>
      </w:r>
      <w:r w:rsidR="00634172" w:rsidRPr="006B42D6">
        <w:t>9</w:t>
      </w:r>
      <w:r w:rsidR="00BE5E36">
        <w:t>:</w:t>
      </w:r>
      <w:r w:rsidR="00284B57">
        <w:tab/>
      </w:r>
      <w:r w:rsidRPr="006B42D6">
        <w:t xml:space="preserve">Production of Cowpeas by Region </w:t>
      </w:r>
      <w:r w:rsidR="001370FF" w:rsidRPr="006B42D6">
        <w:t>D</w:t>
      </w:r>
      <w:r w:rsidRPr="006B42D6">
        <w:t xml:space="preserve">uring 2019/2 Agricultural </w:t>
      </w:r>
      <w:r w:rsidR="001370FF" w:rsidRPr="006B42D6">
        <w:t>Y</w:t>
      </w:r>
      <w:r w:rsidRPr="006B42D6">
        <w:t>ear, Tanzania Zanzibar</w:t>
      </w:r>
      <w:bookmarkEnd w:id="172"/>
    </w:p>
    <w:p w14:paraId="3805E391" w14:textId="7A84DBE4" w:rsidR="00F327E4" w:rsidRPr="006B42D6" w:rsidRDefault="001B26AC" w:rsidP="005C2EFC">
      <w:pPr>
        <w:pStyle w:val="Default"/>
        <w:spacing w:line="360" w:lineRule="auto"/>
        <w:jc w:val="both"/>
        <w:rPr>
          <w:color w:val="auto"/>
        </w:rPr>
      </w:pPr>
      <w:r w:rsidRPr="006B42D6">
        <w:rPr>
          <w:noProof/>
          <w:color w:val="auto"/>
        </w:rPr>
        <w:drawing>
          <wp:inline distT="0" distB="0" distL="0" distR="0" wp14:anchorId="17C8A5AC" wp14:editId="11ABDE2C">
            <wp:extent cx="5746115" cy="2675255"/>
            <wp:effectExtent l="0" t="0" r="6985" b="17145"/>
            <wp:docPr id="121" name="Chart 5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p w14:paraId="3EE19552" w14:textId="72A7EB96" w:rsidR="00F327E4" w:rsidRPr="006B42D6" w:rsidRDefault="00F327E4" w:rsidP="005C2EFC">
      <w:pPr>
        <w:pStyle w:val="Default"/>
        <w:spacing w:line="360" w:lineRule="auto"/>
        <w:jc w:val="both"/>
        <w:rPr>
          <w:color w:val="auto"/>
        </w:rPr>
      </w:pPr>
    </w:p>
    <w:p w14:paraId="5CF710DD" w14:textId="790216B9" w:rsidR="00F327E4" w:rsidRPr="006B42D6" w:rsidRDefault="00F327E4" w:rsidP="005C2EFC">
      <w:pPr>
        <w:pStyle w:val="Heading4"/>
      </w:pPr>
      <w:bookmarkStart w:id="173" w:name="_Toc82385657"/>
      <w:r w:rsidRPr="006B42D6">
        <w:t>3.1.</w:t>
      </w:r>
      <w:r w:rsidR="00193728">
        <w:t>3</w:t>
      </w:r>
      <w:r w:rsidRPr="006B42D6">
        <w:t>.3</w:t>
      </w:r>
      <w:r w:rsidR="00E763F5" w:rsidRPr="006B42D6">
        <w:tab/>
      </w:r>
      <w:r w:rsidRPr="006B42D6">
        <w:t>Green gram</w:t>
      </w:r>
      <w:bookmarkEnd w:id="173"/>
    </w:p>
    <w:p w14:paraId="0D4ECD4C" w14:textId="34775958" w:rsidR="00F327E4" w:rsidRPr="006B42D6" w:rsidRDefault="00F327E4" w:rsidP="0072387B">
      <w:r w:rsidRPr="006B42D6">
        <w:t>A total of 247,</w:t>
      </w:r>
      <w:r w:rsidR="00E918F7" w:rsidRPr="006B42D6">
        <w:t>712</w:t>
      </w:r>
      <w:r w:rsidRPr="006B42D6">
        <w:t xml:space="preserve"> households </w:t>
      </w:r>
      <w:r w:rsidR="00E918F7" w:rsidRPr="006B42D6">
        <w:t>were</w:t>
      </w:r>
      <w:r w:rsidR="00F46D54" w:rsidRPr="006B42D6">
        <w:t xml:space="preserve"> </w:t>
      </w:r>
      <w:r w:rsidRPr="006B42D6">
        <w:t xml:space="preserve">engaged in </w:t>
      </w:r>
      <w:r w:rsidR="00E918F7" w:rsidRPr="006B42D6">
        <w:t>g</w:t>
      </w:r>
      <w:r w:rsidRPr="006B42D6">
        <w:t>reen gram production</w:t>
      </w:r>
      <w:r w:rsidR="00E918F7" w:rsidRPr="006B42D6">
        <w:t>,</w:t>
      </w:r>
      <w:r w:rsidRPr="006B42D6">
        <w:t xml:space="preserve"> </w:t>
      </w:r>
      <w:r w:rsidR="00F46D54" w:rsidRPr="006B42D6">
        <w:t xml:space="preserve">out </w:t>
      </w:r>
      <w:r w:rsidRPr="006B42D6">
        <w:t xml:space="preserve">of which 244,156 were in </w:t>
      </w:r>
      <w:r w:rsidR="00EA1552">
        <w:t>Mainland Tanzania</w:t>
      </w:r>
      <w:r w:rsidRPr="006B42D6">
        <w:t xml:space="preserve"> and 3,556 were in </w:t>
      </w:r>
      <w:r w:rsidR="00E918F7" w:rsidRPr="006B42D6">
        <w:t xml:space="preserve">Tanzania </w:t>
      </w:r>
      <w:r w:rsidRPr="006B42D6">
        <w:t xml:space="preserve">Zanzibar. </w:t>
      </w:r>
      <w:r w:rsidR="00E918F7" w:rsidRPr="006B42D6">
        <w:t xml:space="preserve">The total planted area with green gram in Tanzania during the 2019/20 agricultural year was 91,063 ha, of which </w:t>
      </w:r>
      <w:r w:rsidR="00E918F7" w:rsidRPr="006B42D6">
        <w:rPr>
          <w:bCs/>
        </w:rPr>
        <w:t xml:space="preserve">91,010 </w:t>
      </w:r>
      <w:r w:rsidR="00E918F7" w:rsidRPr="006B42D6">
        <w:t xml:space="preserve">ha were occupied by smallholder farmers and 53 ha by large scale farms. Out of the total planted area occupied by smallholder farmers, </w:t>
      </w:r>
      <w:r w:rsidR="00E918F7" w:rsidRPr="006B42D6">
        <w:rPr>
          <w:bCs/>
        </w:rPr>
        <w:t xml:space="preserve">90,514 </w:t>
      </w:r>
      <w:r w:rsidR="00E918F7" w:rsidRPr="006B42D6">
        <w:t xml:space="preserve">ha were in </w:t>
      </w:r>
      <w:r w:rsidR="00EA1552">
        <w:t>Mainland Tanzania</w:t>
      </w:r>
      <w:r w:rsidR="00E918F7" w:rsidRPr="006B42D6">
        <w:t xml:space="preserve"> and</w:t>
      </w:r>
      <w:r w:rsidR="00E918F7" w:rsidRPr="006B42D6">
        <w:rPr>
          <w:bCs/>
        </w:rPr>
        <w:t xml:space="preserve"> 496 </w:t>
      </w:r>
      <w:r w:rsidR="00E918F7" w:rsidRPr="006B42D6">
        <w:t xml:space="preserve">ha in Tanzania Zanzibar. </w:t>
      </w:r>
      <w:r w:rsidRPr="006B42D6">
        <w:t xml:space="preserve">In </w:t>
      </w:r>
      <w:r w:rsidR="00EA1552">
        <w:t>Mainland Tanzania</w:t>
      </w:r>
      <w:r w:rsidRPr="006B42D6">
        <w:t xml:space="preserve">, Mwanza </w:t>
      </w:r>
      <w:r w:rsidR="00CD5562" w:rsidRPr="006B42D6">
        <w:t>r</w:t>
      </w:r>
      <w:r w:rsidRPr="006B42D6">
        <w:t xml:space="preserve">egion </w:t>
      </w:r>
      <w:r w:rsidR="00E918F7" w:rsidRPr="006B42D6">
        <w:t xml:space="preserve">had the largest area planted with green gram </w:t>
      </w:r>
      <w:r w:rsidRPr="006B42D6">
        <w:t>(28,042 ha; 30.9 percent), followed by Simiyu (13,367 ha; 14.8 percent) and Mtwara (12,643 ha; 1</w:t>
      </w:r>
      <w:r w:rsidR="00CD5562" w:rsidRPr="006B42D6">
        <w:t>4</w:t>
      </w:r>
      <w:r w:rsidRPr="006B42D6">
        <w:t>.</w:t>
      </w:r>
      <w:r w:rsidR="00CD5562" w:rsidRPr="006B42D6">
        <w:t>0</w:t>
      </w:r>
      <w:r w:rsidRPr="006B42D6">
        <w:t xml:space="preserve"> percent). On the other hand, Mbeya region had the least planted area (11 ha; 0.01 percent). In </w:t>
      </w:r>
      <w:r w:rsidR="00CD5562" w:rsidRPr="006B42D6">
        <w:t xml:space="preserve">Tanzania </w:t>
      </w:r>
      <w:r w:rsidRPr="006B42D6">
        <w:t>Zanzibar, Kusini Pemba</w:t>
      </w:r>
      <w:r w:rsidR="00CD5562" w:rsidRPr="006B42D6">
        <w:t xml:space="preserve"> region</w:t>
      </w:r>
      <w:r w:rsidRPr="006B42D6">
        <w:t xml:space="preserve"> led with the planted area of 288 ha (58.1 percent), followed by Kaskazini Unguja </w:t>
      </w:r>
      <w:r w:rsidR="00CD5562" w:rsidRPr="006B42D6">
        <w:t>(</w:t>
      </w:r>
      <w:r w:rsidRPr="006B42D6">
        <w:t>102 ha</w:t>
      </w:r>
      <w:r w:rsidR="00CD5562" w:rsidRPr="006B42D6">
        <w:t xml:space="preserve">; </w:t>
      </w:r>
      <w:r w:rsidRPr="006B42D6">
        <w:t xml:space="preserve">20.6 percent); while Kaskazini Pemba had </w:t>
      </w:r>
      <w:r w:rsidR="00F46D54" w:rsidRPr="006B42D6">
        <w:t xml:space="preserve">the </w:t>
      </w:r>
      <w:r w:rsidRPr="006B42D6">
        <w:t>least area of 18 ha (3.6 percent)</w:t>
      </w:r>
      <w:r w:rsidR="00634172" w:rsidRPr="006B42D6">
        <w:t xml:space="preserve"> (Figure 3.30 &amp; 3.31)</w:t>
      </w:r>
      <w:r w:rsidRPr="006B42D6">
        <w:t>.</w:t>
      </w:r>
    </w:p>
    <w:p w14:paraId="23269C60" w14:textId="1DEF9C7C" w:rsidR="00F327E4" w:rsidRPr="006B42D6" w:rsidRDefault="00F327E4" w:rsidP="0072387B">
      <w:pPr>
        <w:spacing w:line="240" w:lineRule="auto"/>
      </w:pPr>
    </w:p>
    <w:p w14:paraId="223DBB15" w14:textId="06DF772F" w:rsidR="00CD5562" w:rsidRPr="006B42D6" w:rsidRDefault="00CD5562" w:rsidP="0072387B">
      <w:r w:rsidRPr="006B42D6">
        <w:t xml:space="preserve">Furthermore, the total harvested area of green gram in Tanzania occupied by smallholder farmers was 74,587 ha, of which 74,195 ha were in </w:t>
      </w:r>
      <w:r w:rsidR="00EA1552">
        <w:t>Mainland Tanzania</w:t>
      </w:r>
      <w:r w:rsidRPr="006B42D6">
        <w:t xml:space="preserve"> and 392 ha in Tanzania Zanzibar. This implies that, the total harvested area was 82.0 percent of the total planted area with green gram by smallholder farmers. </w:t>
      </w:r>
    </w:p>
    <w:p w14:paraId="2A2BB753" w14:textId="6701566C" w:rsidR="00280F56" w:rsidRDefault="00280F56">
      <w:pPr>
        <w:spacing w:line="240" w:lineRule="auto"/>
        <w:contextualSpacing w:val="0"/>
        <w:jc w:val="left"/>
        <w:rPr>
          <w:rFonts w:eastAsia="Calibri"/>
        </w:rPr>
      </w:pPr>
      <w:r>
        <w:br w:type="page"/>
      </w:r>
    </w:p>
    <w:p w14:paraId="506D568F" w14:textId="3743DBA6" w:rsidR="00634172" w:rsidRPr="006B42D6" w:rsidRDefault="00634172" w:rsidP="00D35A2C">
      <w:pPr>
        <w:pStyle w:val="Caption"/>
      </w:pPr>
      <w:bookmarkStart w:id="174" w:name="_Toc82386307"/>
      <w:r w:rsidRPr="006B42D6">
        <w:lastRenderedPageBreak/>
        <w:t>Figure 3.30</w:t>
      </w:r>
      <w:r w:rsidR="00BE5E36">
        <w:t>:</w:t>
      </w:r>
      <w:r w:rsidR="00284B57">
        <w:tab/>
      </w:r>
      <w:r w:rsidRPr="006B42D6">
        <w:t>Production of Green</w:t>
      </w:r>
      <w:r w:rsidR="00D50DF9">
        <w:t xml:space="preserve"> </w:t>
      </w:r>
      <w:r w:rsidRPr="006B42D6">
        <w:t xml:space="preserve">gram by Region </w:t>
      </w:r>
      <w:r w:rsidR="00D35A2C" w:rsidRPr="006B42D6">
        <w:t>D</w:t>
      </w:r>
      <w:r w:rsidRPr="006B42D6">
        <w:t xml:space="preserve">uring 2019/2 Agricultural </w:t>
      </w:r>
      <w:r w:rsidR="00A335C0" w:rsidRPr="006B42D6">
        <w:t>Y</w:t>
      </w:r>
      <w:r w:rsidRPr="006B42D6">
        <w:t xml:space="preserve">ear, </w:t>
      </w:r>
      <w:r w:rsidR="00EA1552">
        <w:t>Mainland Tanzania</w:t>
      </w:r>
      <w:bookmarkEnd w:id="174"/>
    </w:p>
    <w:p w14:paraId="57F64925" w14:textId="2F6B42CB" w:rsidR="00634172" w:rsidRDefault="001B26AC" w:rsidP="00CD5562">
      <w:pPr>
        <w:pStyle w:val="Default"/>
        <w:spacing w:line="360" w:lineRule="auto"/>
        <w:jc w:val="both"/>
        <w:rPr>
          <w:color w:val="auto"/>
        </w:rPr>
      </w:pPr>
      <w:r w:rsidRPr="006B42D6">
        <w:rPr>
          <w:noProof/>
          <w:color w:val="auto"/>
          <w:sz w:val="16"/>
          <w:szCs w:val="16"/>
        </w:rPr>
        <w:drawing>
          <wp:inline distT="0" distB="0" distL="0" distR="0" wp14:anchorId="79C028BE" wp14:editId="09770B64">
            <wp:extent cx="5729605" cy="2781946"/>
            <wp:effectExtent l="0" t="0" r="10795" b="12065"/>
            <wp:docPr id="120" name="Chart 6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p w14:paraId="40EE426F" w14:textId="77777777" w:rsidR="00DB0A7E" w:rsidRPr="006B42D6" w:rsidRDefault="00DB0A7E" w:rsidP="00CD5562">
      <w:pPr>
        <w:pStyle w:val="Default"/>
        <w:spacing w:line="360" w:lineRule="auto"/>
        <w:jc w:val="both"/>
        <w:rPr>
          <w:color w:val="auto"/>
        </w:rPr>
      </w:pPr>
    </w:p>
    <w:p w14:paraId="4E7F1991" w14:textId="2A77913D" w:rsidR="00634172" w:rsidRPr="006B42D6" w:rsidRDefault="00634172" w:rsidP="0072387B">
      <w:pPr>
        <w:pStyle w:val="Caption"/>
      </w:pPr>
      <w:bookmarkStart w:id="175" w:name="_Toc82386308"/>
      <w:r w:rsidRPr="006B42D6">
        <w:t>Figure</w:t>
      </w:r>
      <w:r w:rsidR="00686E94">
        <w:t xml:space="preserve"> </w:t>
      </w:r>
      <w:r w:rsidRPr="006B42D6">
        <w:t>3.31</w:t>
      </w:r>
      <w:r w:rsidR="00BE5E36">
        <w:t>:</w:t>
      </w:r>
      <w:r w:rsidR="00686E94">
        <w:tab/>
      </w:r>
      <w:r w:rsidRPr="006B42D6">
        <w:t>Production of Green</w:t>
      </w:r>
      <w:r w:rsidR="00DB0A7E">
        <w:t xml:space="preserve"> </w:t>
      </w:r>
      <w:r w:rsidRPr="006B42D6">
        <w:t xml:space="preserve">gram by Region </w:t>
      </w:r>
      <w:r w:rsidR="00D35A2C" w:rsidRPr="006B42D6">
        <w:t>D</w:t>
      </w:r>
      <w:r w:rsidRPr="006B42D6">
        <w:t xml:space="preserve">uring 2019/2 Agricultural </w:t>
      </w:r>
      <w:r w:rsidR="00A335C0" w:rsidRPr="006B42D6">
        <w:t>Y</w:t>
      </w:r>
      <w:r w:rsidRPr="006B42D6">
        <w:t>ear, Tanzania Zanzibar</w:t>
      </w:r>
      <w:bookmarkEnd w:id="175"/>
    </w:p>
    <w:p w14:paraId="3A65F668" w14:textId="5C44023E" w:rsidR="00634172" w:rsidRPr="006B42D6" w:rsidRDefault="001B26AC" w:rsidP="00CD5562">
      <w:pPr>
        <w:pStyle w:val="Default"/>
        <w:spacing w:line="360" w:lineRule="auto"/>
        <w:jc w:val="both"/>
        <w:rPr>
          <w:color w:val="auto"/>
        </w:rPr>
      </w:pPr>
      <w:r w:rsidRPr="006B42D6">
        <w:rPr>
          <w:noProof/>
          <w:color w:val="auto"/>
        </w:rPr>
        <w:drawing>
          <wp:inline distT="0" distB="0" distL="0" distR="0" wp14:anchorId="17499B3D" wp14:editId="36FCA0CB">
            <wp:extent cx="5687695" cy="2580468"/>
            <wp:effectExtent l="0" t="0" r="14605" b="10795"/>
            <wp:docPr id="119" name="Chart 45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p>
    <w:p w14:paraId="7B01C236" w14:textId="4D9C90C8" w:rsidR="00DB0A7E" w:rsidRDefault="00DB0A7E">
      <w:pPr>
        <w:spacing w:line="240" w:lineRule="auto"/>
        <w:contextualSpacing w:val="0"/>
        <w:jc w:val="left"/>
        <w:rPr>
          <w:rFonts w:eastAsia="Calibri"/>
          <w:b/>
          <w:sz w:val="16"/>
          <w:szCs w:val="16"/>
        </w:rPr>
      </w:pPr>
      <w:r>
        <w:rPr>
          <w:b/>
          <w:sz w:val="16"/>
          <w:szCs w:val="16"/>
        </w:rPr>
        <w:br w:type="page"/>
      </w:r>
    </w:p>
    <w:p w14:paraId="6532651C" w14:textId="1C4089C1" w:rsidR="00CD5562" w:rsidRDefault="00DB0A7E" w:rsidP="005C2EFC">
      <w:r>
        <w:rPr>
          <w:noProof/>
        </w:rPr>
        <w:lastRenderedPageBreak/>
        <mc:AlternateContent>
          <mc:Choice Requires="wps">
            <w:drawing>
              <wp:anchor distT="0" distB="0" distL="114300" distR="114300" simplePos="0" relativeHeight="251667456" behindDoc="0" locked="0" layoutInCell="1" allowOverlap="1" wp14:anchorId="199A4997" wp14:editId="14B15EB2">
                <wp:simplePos x="0" y="0"/>
                <wp:positionH relativeFrom="column">
                  <wp:posOffset>2455545</wp:posOffset>
                </wp:positionH>
                <wp:positionV relativeFrom="page">
                  <wp:posOffset>895221</wp:posOffset>
                </wp:positionV>
                <wp:extent cx="3626485" cy="301625"/>
                <wp:effectExtent l="0" t="0" r="5715" b="3175"/>
                <wp:wrapTight wrapText="bothSides">
                  <wp:wrapPolygon edited="0">
                    <wp:start x="0" y="0"/>
                    <wp:lineTo x="0" y="20918"/>
                    <wp:lineTo x="21558" y="20918"/>
                    <wp:lineTo x="21558" y="0"/>
                    <wp:lineTo x="0" y="0"/>
                  </wp:wrapPolygon>
                </wp:wrapTight>
                <wp:docPr id="160" name="Text Box 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26485" cy="301625"/>
                        </a:xfrm>
                        <a:prstGeom prst="rect">
                          <a:avLst/>
                        </a:prstGeom>
                        <a:solidFill>
                          <a:prstClr val="white"/>
                        </a:solidFill>
                        <a:ln>
                          <a:noFill/>
                        </a:ln>
                      </wps:spPr>
                      <wps:txbx>
                        <w:txbxContent>
                          <w:p w14:paraId="06CC901D" w14:textId="0D0FE341" w:rsidR="00933456" w:rsidRPr="00A016DE" w:rsidRDefault="00933456" w:rsidP="00D35A2C">
                            <w:pPr>
                              <w:pStyle w:val="Caption"/>
                              <w:rPr>
                                <w:rFonts w:eastAsia="Calibri"/>
                              </w:rPr>
                            </w:pPr>
                            <w:bookmarkStart w:id="176" w:name="_Toc80120209"/>
                            <w:bookmarkStart w:id="177" w:name="_Toc80884084"/>
                            <w:bookmarkStart w:id="178" w:name="_Toc80884455"/>
                            <w:bookmarkStart w:id="179" w:name="_Toc82386309"/>
                            <w:r w:rsidRPr="00BF7C95">
                              <w:t>Figure 3.32:</w:t>
                            </w:r>
                            <w:r>
                              <w:tab/>
                            </w:r>
                            <w:r w:rsidRPr="00BF7C95">
                              <w:t xml:space="preserve">Green gram </w:t>
                            </w:r>
                            <w:r>
                              <w:t>P</w:t>
                            </w:r>
                            <w:r w:rsidRPr="00BF7C95">
                              <w:t xml:space="preserve">roduction by Region during 2019/20 Agricultural Year, </w:t>
                            </w:r>
                            <w:r>
                              <w:t>Mainland Tanzania</w:t>
                            </w:r>
                            <w:bookmarkEnd w:id="176"/>
                            <w:bookmarkEnd w:id="177"/>
                            <w:bookmarkEnd w:id="178"/>
                            <w:bookmarkEnd w:id="17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9A4997" id="Text Box 552" o:spid="_x0000_s1044" type="#_x0000_t202" style="position:absolute;left:0;text-align:left;margin-left:193.35pt;margin-top:70.5pt;width:285.55pt;height:23.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" stroked="f">
                <v:textbox inset="0,0,0,0">
                  <w:txbxContent>
                    <w:p w14:paraId="06CC901D" w14:textId="0D0FE341" w:rsidR="00933456" w:rsidRPr="00A016DE" w:rsidRDefault="00933456" w:rsidP="00D35A2C">
                      <w:pPr>
                        <w:pStyle w:val="Caption"/>
                        <w:rPr>
                          <w:rFonts w:eastAsia="Calibri"/>
                        </w:rPr>
                      </w:pPr>
                      <w:bookmarkStart w:id="232" w:name="_Toc80120209"/>
                      <w:bookmarkStart w:id="233" w:name="_Toc80884084"/>
                      <w:bookmarkStart w:id="234" w:name="_Toc80884455"/>
                      <w:bookmarkStart w:id="235" w:name="_Toc82386309"/>
                      <w:r w:rsidRPr="00BF7C95">
                        <w:t>Figure 3.32:</w:t>
                      </w:r>
                      <w:r>
                        <w:tab/>
                      </w:r>
                      <w:r w:rsidRPr="00BF7C95">
                        <w:t xml:space="preserve">Green gram </w:t>
                      </w:r>
                      <w:r>
                        <w:t>P</w:t>
                      </w:r>
                      <w:r w:rsidRPr="00BF7C95">
                        <w:t xml:space="preserve">roduction by Region during 2019/20 Agricultural Year, </w:t>
                      </w:r>
                      <w:r>
                        <w:t>Mainland Tanzania</w:t>
                      </w:r>
                      <w:bookmarkEnd w:id="232"/>
                      <w:bookmarkEnd w:id="233"/>
                      <w:bookmarkEnd w:id="234"/>
                      <w:bookmarkEnd w:id="235"/>
                    </w:p>
                  </w:txbxContent>
                </v:textbox>
                <w10:wrap type="tight" anchory="page"/>
              </v:shape>
            </w:pict>
          </mc:Fallback>
        </mc:AlternateContent>
      </w:r>
      <w:r>
        <w:rPr>
          <w:noProof/>
        </w:rPr>
        <w:drawing>
          <wp:anchor distT="0" distB="0" distL="114300" distR="114300" simplePos="0" relativeHeight="251668480" behindDoc="0" locked="0" layoutInCell="1" allowOverlap="1" wp14:anchorId="0D2463AC" wp14:editId="738A890F">
            <wp:simplePos x="0" y="0"/>
            <wp:positionH relativeFrom="column">
              <wp:posOffset>2417596</wp:posOffset>
            </wp:positionH>
            <wp:positionV relativeFrom="page">
              <wp:posOffset>1324869</wp:posOffset>
            </wp:positionV>
            <wp:extent cx="3456940" cy="2286000"/>
            <wp:effectExtent l="0" t="0" r="10160" b="12700"/>
            <wp:wrapTight wrapText="bothSides">
              <wp:wrapPolygon edited="0">
                <wp:start x="0" y="0"/>
                <wp:lineTo x="0" y="21600"/>
                <wp:lineTo x="21584" y="21600"/>
                <wp:lineTo x="21584" y="0"/>
                <wp:lineTo x="0" y="0"/>
              </wp:wrapPolygon>
            </wp:wrapTight>
            <wp:docPr id="223" name="Chart 1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14:sizeRelH relativeFrom="margin">
              <wp14:pctWidth>0</wp14:pctWidth>
            </wp14:sizeRelH>
            <wp14:sizeRelV relativeFrom="margin">
              <wp14:pctHeight>0</wp14:pctHeight>
            </wp14:sizeRelV>
          </wp:anchor>
        </w:drawing>
      </w:r>
      <w:r w:rsidR="00F327E4" w:rsidRPr="006B42D6">
        <w:t xml:space="preserve">Production of </w:t>
      </w:r>
      <w:r w:rsidR="00E446A3">
        <w:t>g</w:t>
      </w:r>
      <w:r w:rsidR="00F327E4" w:rsidRPr="006B42D6">
        <w:t>reen gram in Tanzania was 31,</w:t>
      </w:r>
      <w:r w:rsidR="00CD5562" w:rsidRPr="006B42D6">
        <w:t>551</w:t>
      </w:r>
      <w:r w:rsidR="00A335C0" w:rsidRPr="006B42D6">
        <w:t xml:space="preserve"> tons</w:t>
      </w:r>
      <w:r w:rsidR="00F327E4" w:rsidRPr="006B42D6">
        <w:t xml:space="preserve"> of which 31,</w:t>
      </w:r>
      <w:r w:rsidR="00CD5562" w:rsidRPr="006B42D6">
        <w:t>526</w:t>
      </w:r>
      <w:r w:rsidR="00F327E4" w:rsidRPr="006B42D6">
        <w:t xml:space="preserve"> tons produced by smallholder farmers and 25 tons produced by large scale far</w:t>
      </w:r>
      <w:r w:rsidR="00CD5562" w:rsidRPr="006B42D6">
        <w:t>m</w:t>
      </w:r>
      <w:r w:rsidR="00F327E4" w:rsidRPr="006B42D6">
        <w:t>s. From the production of smallholder farmers, 31,3</w:t>
      </w:r>
      <w:r w:rsidR="00CD5562" w:rsidRPr="006B42D6">
        <w:t>72</w:t>
      </w:r>
      <w:r w:rsidR="00F327E4" w:rsidRPr="006B42D6">
        <w:t xml:space="preserve"> tons were in </w:t>
      </w:r>
      <w:r w:rsidR="00EA1552">
        <w:t>Mainland Tanzania</w:t>
      </w:r>
      <w:r w:rsidR="00F327E4" w:rsidRPr="006B42D6">
        <w:t xml:space="preserve"> and 15</w:t>
      </w:r>
      <w:r w:rsidR="00CD5562" w:rsidRPr="006B42D6">
        <w:t>5</w:t>
      </w:r>
      <w:r w:rsidR="00F327E4" w:rsidRPr="006B42D6">
        <w:t xml:space="preserve"> tons from </w:t>
      </w:r>
      <w:r w:rsidR="00CD5562" w:rsidRPr="006B42D6">
        <w:t xml:space="preserve">Tanzania </w:t>
      </w:r>
      <w:r w:rsidR="00F327E4" w:rsidRPr="006B42D6">
        <w:t>Zanzibar.</w:t>
      </w:r>
    </w:p>
    <w:p w14:paraId="05CB6FDC" w14:textId="77777777" w:rsidR="00686E94" w:rsidRPr="006B42D6" w:rsidRDefault="00686E94" w:rsidP="00E446A3">
      <w:pPr>
        <w:spacing w:line="240" w:lineRule="auto"/>
      </w:pPr>
    </w:p>
    <w:p w14:paraId="0D849D49" w14:textId="67059997" w:rsidR="00F327E4" w:rsidRDefault="00DB0A7E" w:rsidP="005C2EFC">
      <w:r w:rsidRPr="006B42D6">
        <w:rPr>
          <w:noProof/>
        </w:rPr>
        <w:drawing>
          <wp:anchor distT="0" distB="4445" distL="114300" distR="118110" simplePos="0" relativeHeight="251669504" behindDoc="1" locked="0" layoutInCell="1" allowOverlap="1" wp14:anchorId="0FF056B5" wp14:editId="24B8FFB5">
            <wp:simplePos x="0" y="0"/>
            <wp:positionH relativeFrom="column">
              <wp:posOffset>2417445</wp:posOffset>
            </wp:positionH>
            <wp:positionV relativeFrom="paragraph">
              <wp:posOffset>1068705</wp:posOffset>
            </wp:positionV>
            <wp:extent cx="3394075" cy="2281555"/>
            <wp:effectExtent l="0" t="0" r="9525" b="17145"/>
            <wp:wrapTight wrapText="bothSides">
              <wp:wrapPolygon edited="0">
                <wp:start x="0" y="0"/>
                <wp:lineTo x="0" y="21642"/>
                <wp:lineTo x="21580" y="21642"/>
                <wp:lineTo x="21580" y="0"/>
                <wp:lineTo x="0" y="0"/>
              </wp:wrapPolygon>
            </wp:wrapTight>
            <wp:docPr id="221" name="Chart 15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14:sizeRelH relativeFrom="page">
              <wp14:pctWidth>0</wp14:pctWidth>
            </wp14:sizeRelH>
            <wp14:sizeRelV relativeFrom="page">
              <wp14:pctHeight>0</wp14:pctHeight>
            </wp14:sizeRelV>
          </wp:anchor>
        </w:drawing>
      </w:r>
      <w:r w:rsidRPr="006B42D6">
        <w:rPr>
          <w:noProof/>
        </w:rPr>
        <mc:AlternateContent>
          <mc:Choice Requires="wps">
            <w:drawing>
              <wp:anchor distT="0" distB="0" distL="114300" distR="114300" simplePos="0" relativeHeight="251651072" behindDoc="1" locked="0" layoutInCell="1" allowOverlap="1" wp14:anchorId="1060CC40" wp14:editId="683694F3">
                <wp:simplePos x="0" y="0"/>
                <wp:positionH relativeFrom="column">
                  <wp:posOffset>2415723</wp:posOffset>
                </wp:positionH>
                <wp:positionV relativeFrom="paragraph">
                  <wp:posOffset>415742</wp:posOffset>
                </wp:positionV>
                <wp:extent cx="3285490" cy="473710"/>
                <wp:effectExtent l="0" t="0" r="3810" b="0"/>
                <wp:wrapTight wrapText="bothSides">
                  <wp:wrapPolygon edited="0">
                    <wp:start x="0" y="0"/>
                    <wp:lineTo x="0" y="20847"/>
                    <wp:lineTo x="21542" y="20847"/>
                    <wp:lineTo x="21542" y="0"/>
                    <wp:lineTo x="0" y="0"/>
                  </wp:wrapPolygon>
                </wp:wrapTight>
                <wp:docPr id="159" name="Text Box 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85490" cy="473710"/>
                        </a:xfrm>
                        <a:prstGeom prst="rect">
                          <a:avLst/>
                        </a:prstGeom>
                        <a:solidFill>
                          <a:prstClr val="white"/>
                        </a:solidFill>
                        <a:ln>
                          <a:noFill/>
                        </a:ln>
                      </wps:spPr>
                      <wps:txbx>
                        <w:txbxContent>
                          <w:p w14:paraId="25851DEC" w14:textId="32BACE6D" w:rsidR="00933456" w:rsidRPr="00D35A2C" w:rsidRDefault="00933456" w:rsidP="00D35A2C">
                            <w:pPr>
                              <w:pStyle w:val="Caption"/>
                            </w:pPr>
                            <w:bookmarkStart w:id="180" w:name="_Toc80120210"/>
                            <w:bookmarkStart w:id="181" w:name="_Toc80884085"/>
                            <w:bookmarkStart w:id="182" w:name="_Toc80884456"/>
                            <w:bookmarkStart w:id="183" w:name="_Toc82386310"/>
                            <w:r w:rsidRPr="00A335C0">
                              <w:t>Figure 3.33:</w:t>
                            </w:r>
                            <w:r>
                              <w:tab/>
                            </w:r>
                            <w:r w:rsidRPr="00A335C0">
                              <w:t xml:space="preserve">Green gram Production and Yield by Region </w:t>
                            </w:r>
                            <w:r>
                              <w:t>D</w:t>
                            </w:r>
                            <w:r w:rsidRPr="00A335C0">
                              <w:t>uring 2019/20 Agricultural Year, Tanzania Zanzibar</w:t>
                            </w:r>
                            <w:bookmarkEnd w:id="180"/>
                            <w:bookmarkEnd w:id="181"/>
                            <w:bookmarkEnd w:id="182"/>
                            <w:bookmarkEnd w:id="18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60CC40" id="Text Box 479" o:spid="_x0000_s1045" type="#_x0000_t202" style="position:absolute;left:0;text-align:left;margin-left:190.2pt;margin-top:32.75pt;width:258.7pt;height:37.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" stroked="f">
                <v:textbox inset="0,0,0,0">
                  <w:txbxContent>
                    <w:p w14:paraId="25851DEC" w14:textId="32BACE6D" w:rsidR="00933456" w:rsidRPr="00D35A2C" w:rsidRDefault="00933456" w:rsidP="00D35A2C">
                      <w:pPr>
                        <w:pStyle w:val="Caption"/>
                      </w:pPr>
                      <w:bookmarkStart w:id="240" w:name="_Toc80120210"/>
                      <w:bookmarkStart w:id="241" w:name="_Toc80884085"/>
                      <w:bookmarkStart w:id="242" w:name="_Toc80884456"/>
                      <w:bookmarkStart w:id="243" w:name="_Toc82386310"/>
                      <w:r w:rsidRPr="00A335C0">
                        <w:t>Figure 3.33:</w:t>
                      </w:r>
                      <w:r>
                        <w:tab/>
                      </w:r>
                      <w:r w:rsidRPr="00A335C0">
                        <w:t xml:space="preserve">Green gram Production and Yield by Region </w:t>
                      </w:r>
                      <w:r>
                        <w:t>D</w:t>
                      </w:r>
                      <w:r w:rsidRPr="00A335C0">
                        <w:t>uring 2019/20 Agricultural Year, Tanzania Zanzibar</w:t>
                      </w:r>
                      <w:bookmarkEnd w:id="240"/>
                      <w:bookmarkEnd w:id="241"/>
                      <w:bookmarkEnd w:id="242"/>
                      <w:bookmarkEnd w:id="243"/>
                    </w:p>
                  </w:txbxContent>
                </v:textbox>
                <w10:wrap type="tight"/>
              </v:shape>
            </w:pict>
          </mc:Fallback>
        </mc:AlternateContent>
      </w:r>
      <w:r w:rsidR="00F327E4" w:rsidRPr="006B42D6">
        <w:t xml:space="preserve">In </w:t>
      </w:r>
      <w:r w:rsidR="00EA1552">
        <w:t>Mainland Tanzania</w:t>
      </w:r>
      <w:r w:rsidR="00F327E4" w:rsidRPr="006B42D6">
        <w:t xml:space="preserve">, Mwanza </w:t>
      </w:r>
      <w:r w:rsidR="00A335C0" w:rsidRPr="006B42D6">
        <w:t>r</w:t>
      </w:r>
      <w:r w:rsidR="00F327E4" w:rsidRPr="006B42D6">
        <w:t xml:space="preserve">egion </w:t>
      </w:r>
      <w:r w:rsidR="00F547FA" w:rsidRPr="006B42D6">
        <w:t xml:space="preserve">had the highest production </w:t>
      </w:r>
      <w:r w:rsidR="00F327E4" w:rsidRPr="006B42D6">
        <w:t>(13,2</w:t>
      </w:r>
      <w:r w:rsidR="00F547FA" w:rsidRPr="006B42D6">
        <w:t>26</w:t>
      </w:r>
      <w:r w:rsidR="00F327E4" w:rsidRPr="006B42D6">
        <w:t xml:space="preserve"> tons; 42.</w:t>
      </w:r>
      <w:r w:rsidR="00F547FA" w:rsidRPr="006B42D6">
        <w:t>2</w:t>
      </w:r>
      <w:r w:rsidR="00F327E4" w:rsidRPr="006B42D6">
        <w:t xml:space="preserve"> percent), followed by Simiyu (6,</w:t>
      </w:r>
      <w:r w:rsidR="00F547FA" w:rsidRPr="006B42D6">
        <w:t>254</w:t>
      </w:r>
      <w:r w:rsidR="00F327E4" w:rsidRPr="006B42D6">
        <w:t xml:space="preserve"> tons; 19.</w:t>
      </w:r>
      <w:r w:rsidR="00F547FA" w:rsidRPr="006B42D6">
        <w:t>9</w:t>
      </w:r>
      <w:r w:rsidR="00F327E4" w:rsidRPr="006B42D6">
        <w:t xml:space="preserve"> percent) and Mtwara (4,</w:t>
      </w:r>
      <w:r w:rsidR="00F547FA" w:rsidRPr="006B42D6">
        <w:t>130</w:t>
      </w:r>
      <w:r w:rsidR="00F327E4" w:rsidRPr="006B42D6">
        <w:t xml:space="preserve"> tons; 13.</w:t>
      </w:r>
      <w:r w:rsidR="00F547FA" w:rsidRPr="006B42D6">
        <w:t>2</w:t>
      </w:r>
      <w:r w:rsidR="00F327E4" w:rsidRPr="006B42D6">
        <w:t xml:space="preserve"> percent). On the other hand, Kagera region had a least production (1 ton</w:t>
      </w:r>
      <w:r w:rsidR="00F547FA" w:rsidRPr="006B42D6">
        <w:t>; 0.003 percent</w:t>
      </w:r>
      <w:r w:rsidR="00F327E4" w:rsidRPr="006B42D6">
        <w:t>)</w:t>
      </w:r>
      <w:r w:rsidR="002D3F14" w:rsidRPr="006B42D6">
        <w:t xml:space="preserve"> (Figure 3.</w:t>
      </w:r>
      <w:r w:rsidR="00E96063" w:rsidRPr="006B42D6">
        <w:t>32</w:t>
      </w:r>
      <w:r w:rsidR="002D3F14" w:rsidRPr="006B42D6">
        <w:t>)</w:t>
      </w:r>
      <w:r w:rsidR="00F327E4" w:rsidRPr="006B42D6">
        <w:t>.</w:t>
      </w:r>
    </w:p>
    <w:p w14:paraId="2B177FC8" w14:textId="53F4DE92" w:rsidR="00BE5E36" w:rsidRDefault="00BE5E36" w:rsidP="00E446A3">
      <w:pPr>
        <w:spacing w:line="240" w:lineRule="auto"/>
      </w:pPr>
    </w:p>
    <w:p w14:paraId="499B9099" w14:textId="273BF180" w:rsidR="00F327E4" w:rsidRPr="006B42D6" w:rsidRDefault="00F327E4" w:rsidP="005C2EFC">
      <w:r w:rsidRPr="006B42D6">
        <w:t xml:space="preserve">In </w:t>
      </w:r>
      <w:r w:rsidR="00C84358" w:rsidRPr="006B42D6">
        <w:t xml:space="preserve">Tanzania </w:t>
      </w:r>
      <w:r w:rsidRPr="006B42D6">
        <w:t>Zanzibar, Kusini Pemba led with the</w:t>
      </w:r>
      <w:r w:rsidR="00F547FA" w:rsidRPr="006B42D6">
        <w:t xml:space="preserve"> </w:t>
      </w:r>
      <w:r w:rsidRPr="006B42D6">
        <w:t>production of 9</w:t>
      </w:r>
      <w:r w:rsidR="00C84358" w:rsidRPr="006B42D6">
        <w:t>9</w:t>
      </w:r>
      <w:r w:rsidRPr="006B42D6">
        <w:t xml:space="preserve"> tons (64.1 percent), followed by Kaskazini Unguja </w:t>
      </w:r>
      <w:r w:rsidR="00C84358" w:rsidRPr="006B42D6">
        <w:t>(</w:t>
      </w:r>
      <w:r w:rsidRPr="006B42D6">
        <w:t>28 tons</w:t>
      </w:r>
      <w:r w:rsidR="00C84358" w:rsidRPr="006B42D6">
        <w:t xml:space="preserve">; </w:t>
      </w:r>
      <w:r w:rsidRPr="006B42D6">
        <w:t xml:space="preserve">18.7 percent); while Kaskazini Pemba had least production </w:t>
      </w:r>
      <w:r w:rsidR="00C84358" w:rsidRPr="006B42D6">
        <w:t>(</w:t>
      </w:r>
      <w:r w:rsidRPr="006B42D6">
        <w:t>9 tons</w:t>
      </w:r>
      <w:r w:rsidR="00C84358" w:rsidRPr="006B42D6">
        <w:t xml:space="preserve">; </w:t>
      </w:r>
      <w:r w:rsidRPr="006B42D6">
        <w:t>5.9 percent) (Figure 3.</w:t>
      </w:r>
      <w:r w:rsidR="00E96063" w:rsidRPr="006B42D6">
        <w:t>33</w:t>
      </w:r>
      <w:r w:rsidRPr="006B42D6">
        <w:t>).</w:t>
      </w:r>
    </w:p>
    <w:p w14:paraId="7B73C7B9" w14:textId="77777777" w:rsidR="00C84358" w:rsidRPr="006B42D6" w:rsidRDefault="00C84358" w:rsidP="00A0610C">
      <w:pPr>
        <w:spacing w:line="240" w:lineRule="auto"/>
      </w:pPr>
    </w:p>
    <w:p w14:paraId="7EE1C6E6" w14:textId="61D445D4" w:rsidR="008667E6" w:rsidRPr="006B42D6" w:rsidRDefault="00C84358" w:rsidP="008667E6">
      <w:r w:rsidRPr="006B42D6">
        <w:t>Moreover, results show that, the</w:t>
      </w:r>
      <w:r w:rsidR="004264C3" w:rsidRPr="006B42D6">
        <w:t xml:space="preserve"> </w:t>
      </w:r>
      <w:r w:rsidRPr="006B42D6">
        <w:t xml:space="preserve">average productivity of green gram in Tanzania was 0.4 tons/ha, whereby 0.4 tons/ha was in </w:t>
      </w:r>
      <w:r w:rsidR="00EA1552">
        <w:t>Mainland Tanzania</w:t>
      </w:r>
      <w:r w:rsidRPr="006B42D6">
        <w:t xml:space="preserve"> and 0.4 tons/ha in Tanzania Zanzibar. In </w:t>
      </w:r>
      <w:r w:rsidR="00EA1552">
        <w:t>Mainland Tanzania</w:t>
      </w:r>
      <w:r w:rsidRPr="006B42D6">
        <w:t>, Pwani region had the highest productivity (0.8 tons/ha), followed by Kilimanjaro and Mwanza with 0.6 tons/ha each. On the other hand, the lowest productivity of 0.1 tons/ha was</w:t>
      </w:r>
      <w:r w:rsidR="00D858B2">
        <w:t xml:space="preserve"> reported</w:t>
      </w:r>
      <w:r w:rsidRPr="006B42D6">
        <w:t xml:space="preserve"> in Dodoma, Dar es Salaam, Lindi, Kagera and Songwe regions. In Tanzania Zanzibar, Kaskazini Pemba region had productivity of 0.5 tons/ha</w:t>
      </w:r>
      <w:r w:rsidR="00A335C0" w:rsidRPr="006B42D6">
        <w:t xml:space="preserve"> (Figure 3.32 &amp; 3.33)</w:t>
      </w:r>
      <w:r w:rsidR="008667E6" w:rsidRPr="006B42D6">
        <w:t>.</w:t>
      </w:r>
    </w:p>
    <w:p w14:paraId="296C98DD" w14:textId="77777777" w:rsidR="00C84358" w:rsidRPr="006B42D6" w:rsidRDefault="00C84358" w:rsidP="00A0610C">
      <w:pPr>
        <w:pStyle w:val="Default"/>
        <w:jc w:val="both"/>
        <w:rPr>
          <w:color w:val="auto"/>
        </w:rPr>
      </w:pPr>
    </w:p>
    <w:p w14:paraId="462E4B04" w14:textId="7BD4822A" w:rsidR="00F327E4" w:rsidRPr="006B42D6" w:rsidRDefault="00B40D9E" w:rsidP="00B40D9E">
      <w:pPr>
        <w:pStyle w:val="Heading4"/>
      </w:pPr>
      <w:bookmarkStart w:id="184" w:name="_Toc82385658"/>
      <w:r w:rsidRPr="006B42D6">
        <w:lastRenderedPageBreak/>
        <w:t>3.1.</w:t>
      </w:r>
      <w:r w:rsidR="00193728">
        <w:t>3</w:t>
      </w:r>
      <w:r w:rsidRPr="006B42D6">
        <w:t>.4</w:t>
      </w:r>
      <w:r w:rsidRPr="006B42D6">
        <w:tab/>
        <w:t>Pigeon Peas</w:t>
      </w:r>
      <w:bookmarkEnd w:id="184"/>
      <w:r w:rsidRPr="006B42D6">
        <w:t xml:space="preserve"> </w:t>
      </w:r>
    </w:p>
    <w:p w14:paraId="29E25C68" w14:textId="5AE0957D" w:rsidR="00B40D9E" w:rsidRDefault="00B40D9E" w:rsidP="0072387B">
      <w:r w:rsidRPr="006B42D6">
        <w:t xml:space="preserve">The 2019/20 NSCA results revealed that, a total of 90,687 households were engaged in growing pigeon peas in Tanzania during short rainy season (86,975 households were in </w:t>
      </w:r>
      <w:r w:rsidR="00EA1552">
        <w:t>Mainland Tanzania</w:t>
      </w:r>
      <w:r w:rsidRPr="006B42D6">
        <w:t xml:space="preserve"> and 3,712 households in Tanzania Zanzibar) and 534,264 households during long rainy season (533,373 households were in </w:t>
      </w:r>
      <w:r w:rsidR="00EA1552">
        <w:t>Mainland Tanzania</w:t>
      </w:r>
      <w:r w:rsidRPr="006B42D6">
        <w:t xml:space="preserve"> and </w:t>
      </w:r>
      <w:r w:rsidR="0069570D" w:rsidRPr="006B42D6">
        <w:t>891</w:t>
      </w:r>
      <w:r w:rsidRPr="006B42D6">
        <w:t xml:space="preserve"> households in Tanzania Zanzibar). Furthermore, </w:t>
      </w:r>
      <w:r w:rsidR="0069570D" w:rsidRPr="006B42D6">
        <w:t>79,828</w:t>
      </w:r>
      <w:r w:rsidRPr="006B42D6">
        <w:t xml:space="preserve"> households were engaged in growing pigeon peas as a permanent crop.</w:t>
      </w:r>
    </w:p>
    <w:p w14:paraId="74D3BD24" w14:textId="77777777" w:rsidR="00DB0A7E" w:rsidRDefault="00DB0A7E" w:rsidP="00DB0A7E">
      <w:pPr>
        <w:spacing w:line="240" w:lineRule="auto"/>
      </w:pPr>
    </w:p>
    <w:p w14:paraId="6BFFBEFF" w14:textId="1DDA6C9B" w:rsidR="00B40D9E" w:rsidRPr="006B42D6" w:rsidRDefault="00B40D9E" w:rsidP="0072387B">
      <w:r w:rsidRPr="006B42D6">
        <w:t xml:space="preserve">The total area planted with pigeon peas </w:t>
      </w:r>
      <w:r w:rsidR="0015047D" w:rsidRPr="006B42D6">
        <w:t xml:space="preserve">by smallholder farmers </w:t>
      </w:r>
      <w:r w:rsidRPr="006B42D6">
        <w:t xml:space="preserve">in Tanzania during the 2019/20 agricultural year was </w:t>
      </w:r>
      <w:r w:rsidR="0069570D" w:rsidRPr="006B42D6">
        <w:t>258,251</w:t>
      </w:r>
      <w:r w:rsidRPr="006B42D6">
        <w:t xml:space="preserve"> ha, of which </w:t>
      </w:r>
      <w:r w:rsidR="0069570D" w:rsidRPr="006B42D6">
        <w:t>257,135</w:t>
      </w:r>
      <w:r w:rsidRPr="006B42D6">
        <w:t xml:space="preserve"> ha was in </w:t>
      </w:r>
      <w:r w:rsidR="00EA1552">
        <w:t>Mainland Tanzania</w:t>
      </w:r>
      <w:r w:rsidRPr="006B42D6">
        <w:t xml:space="preserve"> and </w:t>
      </w:r>
      <w:r w:rsidR="0069570D" w:rsidRPr="006B42D6">
        <w:t>1,116</w:t>
      </w:r>
      <w:r w:rsidRPr="006B42D6">
        <w:t xml:space="preserve"> ha in Tanzania Zanzibar. Among regions that grew </w:t>
      </w:r>
      <w:r w:rsidR="0015047D" w:rsidRPr="006B42D6">
        <w:t>pigeon peas</w:t>
      </w:r>
      <w:r w:rsidRPr="006B42D6">
        <w:t xml:space="preserve"> in </w:t>
      </w:r>
      <w:r w:rsidR="00EA1552">
        <w:t>Mainland Tanzania</w:t>
      </w:r>
      <w:r w:rsidRPr="006B42D6">
        <w:t xml:space="preserve">, </w:t>
      </w:r>
      <w:r w:rsidR="0015047D" w:rsidRPr="006B42D6">
        <w:t>Dodoma</w:t>
      </w:r>
      <w:r w:rsidRPr="006B42D6">
        <w:t xml:space="preserve"> region with </w:t>
      </w:r>
      <w:r w:rsidR="0015047D" w:rsidRPr="006B42D6">
        <w:t>88,817</w:t>
      </w:r>
      <w:r w:rsidRPr="006B42D6">
        <w:t xml:space="preserve"> ha (</w:t>
      </w:r>
      <w:r w:rsidR="0015047D" w:rsidRPr="006B42D6">
        <w:t>34.5</w:t>
      </w:r>
      <w:r w:rsidRPr="006B42D6">
        <w:t xml:space="preserve"> percent) reported the largest planted area, followed by </w:t>
      </w:r>
      <w:r w:rsidR="0015047D" w:rsidRPr="006B42D6">
        <w:t>Manyara</w:t>
      </w:r>
      <w:r w:rsidRPr="006B42D6">
        <w:t xml:space="preserve"> (</w:t>
      </w:r>
      <w:r w:rsidR="0015047D" w:rsidRPr="006B42D6">
        <w:t>48</w:t>
      </w:r>
      <w:r w:rsidRPr="006B42D6">
        <w:t>,</w:t>
      </w:r>
      <w:r w:rsidR="0015047D" w:rsidRPr="006B42D6">
        <w:t>228</w:t>
      </w:r>
      <w:r w:rsidRPr="006B42D6">
        <w:t xml:space="preserve"> ha; </w:t>
      </w:r>
      <w:r w:rsidR="0015047D" w:rsidRPr="006B42D6">
        <w:t>1</w:t>
      </w:r>
      <w:r w:rsidRPr="006B42D6">
        <w:t>9.</w:t>
      </w:r>
      <w:r w:rsidR="0015047D" w:rsidRPr="006B42D6">
        <w:t>0</w:t>
      </w:r>
      <w:r w:rsidRPr="006B42D6">
        <w:t xml:space="preserve"> percent) and </w:t>
      </w:r>
      <w:r w:rsidR="0015047D" w:rsidRPr="006B42D6">
        <w:t>Mtwara</w:t>
      </w:r>
      <w:r w:rsidRPr="006B42D6">
        <w:t xml:space="preserve"> (</w:t>
      </w:r>
      <w:r w:rsidR="0015047D" w:rsidRPr="006B42D6">
        <w:t>28</w:t>
      </w:r>
      <w:r w:rsidRPr="006B42D6">
        <w:t>,</w:t>
      </w:r>
      <w:r w:rsidR="0015047D" w:rsidRPr="006B42D6">
        <w:t>594</w:t>
      </w:r>
      <w:r w:rsidRPr="006B42D6">
        <w:t xml:space="preserve"> ha; </w:t>
      </w:r>
      <w:r w:rsidR="0015047D" w:rsidRPr="006B42D6">
        <w:t>11</w:t>
      </w:r>
      <w:r w:rsidRPr="006B42D6">
        <w:t>.</w:t>
      </w:r>
      <w:r w:rsidR="0015047D" w:rsidRPr="006B42D6">
        <w:t>1</w:t>
      </w:r>
      <w:r w:rsidRPr="006B42D6">
        <w:t xml:space="preserve"> percent)</w:t>
      </w:r>
      <w:r w:rsidR="0015047D" w:rsidRPr="006B42D6">
        <w:t xml:space="preserve"> while the least planted area was in Geita (22 ha; 0.01 percent). </w:t>
      </w:r>
      <w:r w:rsidRPr="006B42D6">
        <w:t xml:space="preserve">In Tanzania Zanzibar, </w:t>
      </w:r>
      <w:r w:rsidR="0015047D" w:rsidRPr="006B42D6">
        <w:t xml:space="preserve">Kaskazini Unguja </w:t>
      </w:r>
      <w:r w:rsidRPr="006B42D6">
        <w:t xml:space="preserve">region had largest planted area with </w:t>
      </w:r>
      <w:r w:rsidR="0015047D" w:rsidRPr="006B42D6">
        <w:t>pigeon peas 779</w:t>
      </w:r>
      <w:r w:rsidRPr="006B42D6">
        <w:t xml:space="preserve"> ha (</w:t>
      </w:r>
      <w:r w:rsidR="0015047D" w:rsidRPr="006B42D6">
        <w:t>69.8</w:t>
      </w:r>
      <w:r w:rsidRPr="006B42D6">
        <w:t xml:space="preserve"> percent), followed by </w:t>
      </w:r>
      <w:r w:rsidR="0015047D" w:rsidRPr="006B42D6">
        <w:t>Kusini Unguja</w:t>
      </w:r>
      <w:r w:rsidRPr="006B42D6">
        <w:t xml:space="preserve"> (</w:t>
      </w:r>
      <w:r w:rsidR="0015047D" w:rsidRPr="006B42D6">
        <w:t>285</w:t>
      </w:r>
      <w:r w:rsidRPr="006B42D6">
        <w:t xml:space="preserve"> ha; 2</w:t>
      </w:r>
      <w:r w:rsidR="0015047D" w:rsidRPr="006B42D6">
        <w:t>5</w:t>
      </w:r>
      <w:r w:rsidRPr="006B42D6">
        <w:t>.</w:t>
      </w:r>
      <w:r w:rsidR="0015047D" w:rsidRPr="006B42D6">
        <w:t>5</w:t>
      </w:r>
      <w:r w:rsidRPr="006B42D6">
        <w:t xml:space="preserve"> percent) and </w:t>
      </w:r>
      <w:r w:rsidR="0015047D" w:rsidRPr="006B42D6">
        <w:t xml:space="preserve">least was in Kaskazini Pemba </w:t>
      </w:r>
      <w:r w:rsidRPr="006B42D6">
        <w:t>region (</w:t>
      </w:r>
      <w:r w:rsidR="0015047D" w:rsidRPr="006B42D6">
        <w:t>16</w:t>
      </w:r>
      <w:r w:rsidRPr="006B42D6">
        <w:t xml:space="preserve"> ha; </w:t>
      </w:r>
      <w:r w:rsidR="0015047D" w:rsidRPr="006B42D6">
        <w:t>0.5</w:t>
      </w:r>
      <w:r w:rsidRPr="006B42D6">
        <w:t xml:space="preserve"> percent) (Figure 3.</w:t>
      </w:r>
      <w:r w:rsidR="0015047D" w:rsidRPr="006B42D6">
        <w:t>3</w:t>
      </w:r>
      <w:r w:rsidR="004264C3" w:rsidRPr="006B42D6">
        <w:t>4</w:t>
      </w:r>
      <w:r w:rsidRPr="006B42D6">
        <w:t xml:space="preserve"> &amp; 3.</w:t>
      </w:r>
      <w:r w:rsidR="0015047D" w:rsidRPr="006B42D6">
        <w:t>3</w:t>
      </w:r>
      <w:r w:rsidR="004264C3" w:rsidRPr="006B42D6">
        <w:t>5</w:t>
      </w:r>
      <w:r w:rsidRPr="006B42D6">
        <w:t>).</w:t>
      </w:r>
    </w:p>
    <w:p w14:paraId="4D4F25D6" w14:textId="77777777" w:rsidR="00B40D9E" w:rsidRPr="006B42D6" w:rsidRDefault="00B40D9E" w:rsidP="0072387B">
      <w:pPr>
        <w:spacing w:line="240" w:lineRule="auto"/>
      </w:pPr>
    </w:p>
    <w:p w14:paraId="706B5D7A" w14:textId="4E191F60" w:rsidR="00B40D9E" w:rsidRDefault="00B40D9E" w:rsidP="0072387B">
      <w:r w:rsidRPr="006B42D6">
        <w:t xml:space="preserve">The total harvested area with </w:t>
      </w:r>
      <w:r w:rsidR="0015047D" w:rsidRPr="006B42D6">
        <w:t>pigeon peas</w:t>
      </w:r>
      <w:r w:rsidRPr="006B42D6">
        <w:t xml:space="preserve"> was </w:t>
      </w:r>
      <w:r w:rsidR="005F7AC1" w:rsidRPr="006B42D6">
        <w:t>97,092</w:t>
      </w:r>
      <w:r w:rsidRPr="006B42D6">
        <w:t xml:space="preserve"> ha out of which </w:t>
      </w:r>
      <w:r w:rsidR="005F7AC1" w:rsidRPr="006B42D6">
        <w:t>96,437</w:t>
      </w:r>
      <w:r w:rsidRPr="006B42D6">
        <w:t xml:space="preserve"> ha was in </w:t>
      </w:r>
      <w:r w:rsidR="00EA1552">
        <w:t>Mainland Tanzania</w:t>
      </w:r>
      <w:r w:rsidRPr="006B42D6">
        <w:t xml:space="preserve"> and </w:t>
      </w:r>
      <w:r w:rsidR="005F7AC1" w:rsidRPr="006B42D6">
        <w:t>655</w:t>
      </w:r>
      <w:r w:rsidRPr="006B42D6">
        <w:t xml:space="preserve"> ha in Tanzania Zanzibar. In </w:t>
      </w:r>
      <w:r w:rsidR="00EA1552">
        <w:t>Mainland Tanzania</w:t>
      </w:r>
      <w:r w:rsidRPr="006B42D6">
        <w:t xml:space="preserve">, </w:t>
      </w:r>
      <w:r w:rsidR="005F7AC1" w:rsidRPr="006B42D6">
        <w:t xml:space="preserve">Mtwara </w:t>
      </w:r>
      <w:r w:rsidRPr="006B42D6">
        <w:t>region reported the largest harvested area (</w:t>
      </w:r>
      <w:r w:rsidR="005F7AC1" w:rsidRPr="006B42D6">
        <w:t>20</w:t>
      </w:r>
      <w:r w:rsidRPr="006B42D6">
        <w:t>,</w:t>
      </w:r>
      <w:r w:rsidR="005F7AC1" w:rsidRPr="006B42D6">
        <w:t>975</w:t>
      </w:r>
      <w:r w:rsidRPr="006B42D6">
        <w:t xml:space="preserve"> ha; 2</w:t>
      </w:r>
      <w:r w:rsidR="005F7AC1" w:rsidRPr="006B42D6">
        <w:t>1</w:t>
      </w:r>
      <w:r w:rsidRPr="006B42D6">
        <w:t>.</w:t>
      </w:r>
      <w:r w:rsidR="005F7AC1" w:rsidRPr="006B42D6">
        <w:t>8</w:t>
      </w:r>
      <w:r w:rsidRPr="006B42D6">
        <w:t xml:space="preserve"> percent), followed by </w:t>
      </w:r>
      <w:r w:rsidR="005F7AC1" w:rsidRPr="006B42D6">
        <w:t>Manyara</w:t>
      </w:r>
      <w:r w:rsidRPr="006B42D6">
        <w:t xml:space="preserve"> (</w:t>
      </w:r>
      <w:r w:rsidR="005F7AC1" w:rsidRPr="006B42D6">
        <w:t>19,720</w:t>
      </w:r>
      <w:r w:rsidRPr="006B42D6">
        <w:t xml:space="preserve"> ha; </w:t>
      </w:r>
      <w:r w:rsidR="005F7AC1" w:rsidRPr="006B42D6">
        <w:t>20.4</w:t>
      </w:r>
      <w:r w:rsidRPr="006B42D6">
        <w:t xml:space="preserve"> percent), and </w:t>
      </w:r>
      <w:r w:rsidR="005F7AC1" w:rsidRPr="006B42D6">
        <w:t>Lindi</w:t>
      </w:r>
      <w:r w:rsidRPr="006B42D6">
        <w:t xml:space="preserve"> (</w:t>
      </w:r>
      <w:r w:rsidR="005F7AC1" w:rsidRPr="006B42D6">
        <w:t xml:space="preserve">16,540 </w:t>
      </w:r>
      <w:r w:rsidRPr="006B42D6">
        <w:t>ha; 1</w:t>
      </w:r>
      <w:r w:rsidR="005F7AC1" w:rsidRPr="006B42D6">
        <w:t>7</w:t>
      </w:r>
      <w:r w:rsidRPr="006B42D6">
        <w:t>.</w:t>
      </w:r>
      <w:r w:rsidR="005F7AC1" w:rsidRPr="006B42D6">
        <w:t>2</w:t>
      </w:r>
      <w:r w:rsidRPr="006B42D6">
        <w:t xml:space="preserve"> percent</w:t>
      </w:r>
      <w:r w:rsidR="005F7AC1" w:rsidRPr="006B42D6">
        <w:t>) and the lea</w:t>
      </w:r>
      <w:r w:rsidR="00434DC5" w:rsidRPr="006B42D6">
        <w:t>st harvested area was in Mwanza (7 ha; 0.01 percent)</w:t>
      </w:r>
      <w:r w:rsidRPr="006B42D6">
        <w:t xml:space="preserve">. In Tanzania Zanzibar, the largest harvested area with </w:t>
      </w:r>
      <w:r w:rsidR="0015047D" w:rsidRPr="006B42D6">
        <w:t>pigeon peas</w:t>
      </w:r>
      <w:r w:rsidRPr="006B42D6">
        <w:t xml:space="preserve"> was reported in </w:t>
      </w:r>
      <w:r w:rsidR="00434DC5" w:rsidRPr="006B42D6">
        <w:t>Kaskazini Unguja</w:t>
      </w:r>
      <w:r w:rsidRPr="006B42D6">
        <w:t xml:space="preserve"> region with </w:t>
      </w:r>
      <w:r w:rsidR="00434DC5" w:rsidRPr="006B42D6">
        <w:t>466</w:t>
      </w:r>
      <w:r w:rsidRPr="006B42D6">
        <w:t xml:space="preserve"> ha (</w:t>
      </w:r>
      <w:r w:rsidR="00434DC5" w:rsidRPr="006B42D6">
        <w:t>71</w:t>
      </w:r>
      <w:r w:rsidRPr="006B42D6">
        <w:t>.</w:t>
      </w:r>
      <w:r w:rsidR="00434DC5" w:rsidRPr="006B42D6">
        <w:t>2</w:t>
      </w:r>
      <w:r w:rsidRPr="006B42D6">
        <w:t xml:space="preserve"> percent), followed by </w:t>
      </w:r>
      <w:r w:rsidR="00434DC5" w:rsidRPr="006B42D6">
        <w:t>Kusini</w:t>
      </w:r>
      <w:r w:rsidRPr="006B42D6">
        <w:t xml:space="preserve"> </w:t>
      </w:r>
      <w:r w:rsidR="00434DC5" w:rsidRPr="006B42D6">
        <w:t>Unguja</w:t>
      </w:r>
      <w:r w:rsidRPr="006B42D6">
        <w:t xml:space="preserve"> (</w:t>
      </w:r>
      <w:r w:rsidR="00434DC5" w:rsidRPr="006B42D6">
        <w:t>137</w:t>
      </w:r>
      <w:r w:rsidRPr="006B42D6">
        <w:t xml:space="preserve"> ha; 2</w:t>
      </w:r>
      <w:r w:rsidR="00434DC5" w:rsidRPr="006B42D6">
        <w:t>0.9</w:t>
      </w:r>
      <w:r w:rsidRPr="006B42D6">
        <w:t xml:space="preserve"> percent) and </w:t>
      </w:r>
      <w:r w:rsidR="00434DC5" w:rsidRPr="006B42D6">
        <w:t>least area harvested was in Kaskazini Pemba</w:t>
      </w:r>
      <w:r w:rsidRPr="006B42D6">
        <w:t xml:space="preserve"> (</w:t>
      </w:r>
      <w:r w:rsidR="00434DC5" w:rsidRPr="006B42D6">
        <w:t>6</w:t>
      </w:r>
      <w:r w:rsidRPr="006B42D6">
        <w:t xml:space="preserve"> ha; </w:t>
      </w:r>
      <w:r w:rsidR="00434DC5" w:rsidRPr="006B42D6">
        <w:t>0.9</w:t>
      </w:r>
      <w:r w:rsidRPr="006B42D6">
        <w:t xml:space="preserve"> percent) </w:t>
      </w:r>
      <w:r w:rsidR="00434DC5" w:rsidRPr="006B42D6">
        <w:t>(Figure 3.3</w:t>
      </w:r>
      <w:r w:rsidR="004264C3" w:rsidRPr="006B42D6">
        <w:t>4</w:t>
      </w:r>
      <w:r w:rsidR="00434DC5" w:rsidRPr="006B42D6">
        <w:t>&amp; 3.3</w:t>
      </w:r>
      <w:r w:rsidR="004264C3" w:rsidRPr="006B42D6">
        <w:t>5</w:t>
      </w:r>
      <w:r w:rsidR="00434DC5" w:rsidRPr="006B42D6">
        <w:t>).</w:t>
      </w:r>
    </w:p>
    <w:p w14:paraId="0ECEAA8D" w14:textId="77777777" w:rsidR="00910B94" w:rsidRDefault="00910B94">
      <w:pPr>
        <w:spacing w:line="240" w:lineRule="auto"/>
        <w:contextualSpacing w:val="0"/>
        <w:jc w:val="left"/>
      </w:pPr>
      <w:r>
        <w:rPr>
          <w:b/>
          <w:iCs/>
        </w:rPr>
        <w:br w:type="page"/>
      </w:r>
    </w:p>
    <w:p w14:paraId="04F235B4" w14:textId="2AFEDF71" w:rsidR="00B40D9E" w:rsidRPr="006B42D6" w:rsidRDefault="00B40D9E" w:rsidP="00D35A2C">
      <w:pPr>
        <w:pStyle w:val="Caption"/>
        <w:rPr>
          <w:b w:val="0"/>
          <w:i/>
        </w:rPr>
      </w:pPr>
      <w:bookmarkStart w:id="185" w:name="_Toc82386311"/>
      <w:r w:rsidRPr="006B42D6">
        <w:lastRenderedPageBreak/>
        <w:t>Figure 3.</w:t>
      </w:r>
      <w:r w:rsidR="00434DC5" w:rsidRPr="006B42D6">
        <w:t>3</w:t>
      </w:r>
      <w:r w:rsidR="004264C3" w:rsidRPr="006B42D6">
        <w:t>4</w:t>
      </w:r>
      <w:r w:rsidR="00A51CC7">
        <w:t>:</w:t>
      </w:r>
      <w:r w:rsidR="007B2F7A">
        <w:tab/>
      </w:r>
      <w:r w:rsidRPr="006B42D6">
        <w:t xml:space="preserve">Planted and Harvested Area with </w:t>
      </w:r>
      <w:r w:rsidR="0015047D" w:rsidRPr="006B42D6">
        <w:t>Pigeon Peas</w:t>
      </w:r>
      <w:r w:rsidRPr="006B42D6">
        <w:t xml:space="preserve"> by Smallholder Farmers by Region During 2019/20 Agricultural Year, </w:t>
      </w:r>
      <w:r w:rsidR="00EA1552">
        <w:t>Mainland Tanzania</w:t>
      </w:r>
      <w:bookmarkEnd w:id="185"/>
    </w:p>
    <w:p w14:paraId="5B02F4AF" w14:textId="62FEDF8C" w:rsidR="00B40D9E" w:rsidRPr="006B42D6" w:rsidRDefault="001B26AC" w:rsidP="00B40D9E">
      <w:r w:rsidRPr="006B42D6">
        <w:rPr>
          <w:noProof/>
        </w:rPr>
        <w:drawing>
          <wp:inline distT="0" distB="0" distL="0" distR="0" wp14:anchorId="541E74FF" wp14:editId="10FD1216">
            <wp:extent cx="5966847" cy="2750185"/>
            <wp:effectExtent l="0" t="0" r="15240" b="18415"/>
            <wp:docPr id="118" name="Chart 15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inline>
        </w:drawing>
      </w:r>
    </w:p>
    <w:p w14:paraId="26F91ACF" w14:textId="77777777" w:rsidR="00BF7C95" w:rsidRPr="006B42D6" w:rsidRDefault="00BF7C95" w:rsidP="00B40D9E"/>
    <w:p w14:paraId="44677DB8" w14:textId="7A617F6C" w:rsidR="0072387B" w:rsidRPr="00A51CC7" w:rsidRDefault="00B40D9E" w:rsidP="00A51CC7">
      <w:pPr>
        <w:pStyle w:val="Caption"/>
      </w:pPr>
      <w:bookmarkStart w:id="186" w:name="_Toc82386312"/>
      <w:r w:rsidRPr="0072387B">
        <w:t>Figure 3.</w:t>
      </w:r>
      <w:r w:rsidR="00434DC5" w:rsidRPr="0072387B">
        <w:t>3</w:t>
      </w:r>
      <w:r w:rsidR="004264C3" w:rsidRPr="0072387B">
        <w:t>5</w:t>
      </w:r>
      <w:r w:rsidR="00A51CC7">
        <w:t>:</w:t>
      </w:r>
      <w:r w:rsidR="0072387B">
        <w:tab/>
      </w:r>
      <w:r w:rsidRPr="0072387B">
        <w:t xml:space="preserve">Planted and Harvested Area with </w:t>
      </w:r>
      <w:r w:rsidR="0015047D" w:rsidRPr="0072387B">
        <w:t>Pigeon Peas</w:t>
      </w:r>
      <w:r w:rsidRPr="0072387B">
        <w:t xml:space="preserve"> by Smallholder Farmers by Region During 2019/20 Agricultural Year, Tanzania</w:t>
      </w:r>
      <w:r w:rsidR="00BF7C95" w:rsidRPr="0072387B">
        <w:t xml:space="preserve"> </w:t>
      </w:r>
      <w:r w:rsidRPr="0072387B">
        <w:t>Zanzibar</w:t>
      </w:r>
      <w:bookmarkEnd w:id="186"/>
    </w:p>
    <w:p w14:paraId="7667DA3A" w14:textId="69774538" w:rsidR="00B40D9E" w:rsidRPr="006B42D6" w:rsidRDefault="00BF7C95" w:rsidP="0095651D">
      <w:r w:rsidRPr="006B42D6">
        <w:rPr>
          <w:noProof/>
        </w:rPr>
        <w:drawing>
          <wp:inline distT="0" distB="0" distL="0" distR="0" wp14:anchorId="51D0ED97" wp14:editId="57AB875E">
            <wp:extent cx="5926455" cy="2678545"/>
            <wp:effectExtent l="0" t="0" r="17145" b="13970"/>
            <wp:docPr id="117" name="Chart 15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14:paraId="7CEC4B25" w14:textId="77777777" w:rsidR="00A51CC7" w:rsidRPr="006B42D6" w:rsidRDefault="00A51CC7" w:rsidP="00A0610C"/>
    <w:p w14:paraId="0464B9AD" w14:textId="77777777" w:rsidR="00DB0A7E" w:rsidRDefault="00B40D9E" w:rsidP="0072387B">
      <w:r w:rsidRPr="006B42D6">
        <w:t xml:space="preserve">The total production of </w:t>
      </w:r>
      <w:r w:rsidR="00434DC5" w:rsidRPr="006B42D6">
        <w:t>pigeon peas</w:t>
      </w:r>
      <w:r w:rsidRPr="006B42D6">
        <w:t xml:space="preserve"> in Tanzania was </w:t>
      </w:r>
      <w:r w:rsidR="00434DC5" w:rsidRPr="006B42D6">
        <w:t>41,922</w:t>
      </w:r>
      <w:r w:rsidRPr="006B42D6">
        <w:t xml:space="preserve"> tons, of which, </w:t>
      </w:r>
      <w:r w:rsidR="00434DC5" w:rsidRPr="006B42D6">
        <w:t xml:space="preserve">40,990 </w:t>
      </w:r>
      <w:r w:rsidRPr="006B42D6">
        <w:t xml:space="preserve">tons were produced in </w:t>
      </w:r>
      <w:r w:rsidR="00EA1552">
        <w:t>Mainland Tanzania</w:t>
      </w:r>
      <w:r w:rsidRPr="006B42D6">
        <w:t xml:space="preserve"> and </w:t>
      </w:r>
      <w:r w:rsidR="00434DC5" w:rsidRPr="006B42D6">
        <w:t>931</w:t>
      </w:r>
      <w:r w:rsidRPr="006B42D6">
        <w:t xml:space="preserve"> tons in Tanzania Zanzibar. The highest production of </w:t>
      </w:r>
      <w:r w:rsidR="00434DC5" w:rsidRPr="006B42D6">
        <w:t>pigeon peas</w:t>
      </w:r>
      <w:r w:rsidRPr="006B42D6">
        <w:t xml:space="preserve"> in </w:t>
      </w:r>
      <w:r w:rsidR="00EA1552">
        <w:t>Mainland Tanzania</w:t>
      </w:r>
      <w:r w:rsidRPr="006B42D6">
        <w:t xml:space="preserve"> was reported in M</w:t>
      </w:r>
      <w:r w:rsidR="00434DC5" w:rsidRPr="006B42D6">
        <w:t>anyara</w:t>
      </w:r>
      <w:r w:rsidRPr="006B42D6">
        <w:t xml:space="preserve"> region (</w:t>
      </w:r>
      <w:r w:rsidR="00434DC5" w:rsidRPr="006B42D6">
        <w:t>9,652</w:t>
      </w:r>
      <w:r w:rsidRPr="006B42D6">
        <w:t xml:space="preserve"> tons; 2</w:t>
      </w:r>
      <w:r w:rsidR="00434DC5" w:rsidRPr="006B42D6">
        <w:t>3</w:t>
      </w:r>
      <w:r w:rsidRPr="006B42D6">
        <w:t>.</w:t>
      </w:r>
      <w:r w:rsidR="00434DC5" w:rsidRPr="006B42D6">
        <w:t>5</w:t>
      </w:r>
      <w:r w:rsidRPr="006B42D6">
        <w:t xml:space="preserve"> percent), followed by </w:t>
      </w:r>
      <w:r w:rsidR="00434DC5" w:rsidRPr="006B42D6">
        <w:t>Mtwara</w:t>
      </w:r>
      <w:r w:rsidRPr="006B42D6">
        <w:t xml:space="preserve"> (</w:t>
      </w:r>
      <w:r w:rsidR="00434DC5" w:rsidRPr="006B42D6">
        <w:t>8,851</w:t>
      </w:r>
      <w:r w:rsidRPr="006B42D6">
        <w:t xml:space="preserve"> tons; </w:t>
      </w:r>
      <w:r w:rsidR="00434DC5" w:rsidRPr="006B42D6">
        <w:t>19.9</w:t>
      </w:r>
      <w:r w:rsidRPr="006B42D6">
        <w:t xml:space="preserve"> percent) and </w:t>
      </w:r>
      <w:r w:rsidR="00434DC5" w:rsidRPr="006B42D6">
        <w:t>Lindi</w:t>
      </w:r>
      <w:r w:rsidRPr="006B42D6">
        <w:t xml:space="preserve"> (</w:t>
      </w:r>
      <w:r w:rsidR="00434DC5" w:rsidRPr="006B42D6">
        <w:t>7,682</w:t>
      </w:r>
      <w:r w:rsidRPr="006B42D6">
        <w:t xml:space="preserve"> tons; 1</w:t>
      </w:r>
      <w:r w:rsidR="00434DC5" w:rsidRPr="006B42D6">
        <w:t>8</w:t>
      </w:r>
      <w:r w:rsidRPr="006B42D6">
        <w:t>.</w:t>
      </w:r>
      <w:r w:rsidR="00434DC5" w:rsidRPr="006B42D6">
        <w:t>7</w:t>
      </w:r>
      <w:r w:rsidRPr="006B42D6">
        <w:t xml:space="preserve"> percent)</w:t>
      </w:r>
      <w:r w:rsidR="00434DC5" w:rsidRPr="006B42D6">
        <w:t xml:space="preserve"> and Mwanza region reported the least production (4 tons; 0.01 percent)</w:t>
      </w:r>
      <w:r w:rsidR="00BC3F8D" w:rsidRPr="006B42D6">
        <w:t xml:space="preserve"> (Figure 3.3</w:t>
      </w:r>
      <w:r w:rsidR="004264C3" w:rsidRPr="006B42D6">
        <w:t>6</w:t>
      </w:r>
      <w:r w:rsidR="00BC3F8D" w:rsidRPr="006B42D6">
        <w:t>)</w:t>
      </w:r>
      <w:r w:rsidRPr="006B42D6">
        <w:t>.</w:t>
      </w:r>
    </w:p>
    <w:p w14:paraId="0D434388" w14:textId="77777777" w:rsidR="00DB0A7E" w:rsidRDefault="00DB0A7E">
      <w:pPr>
        <w:spacing w:line="240" w:lineRule="auto"/>
        <w:contextualSpacing w:val="0"/>
        <w:jc w:val="left"/>
      </w:pPr>
      <w:r>
        <w:br w:type="page"/>
      </w:r>
    </w:p>
    <w:p w14:paraId="0D1E7F93" w14:textId="68826B95" w:rsidR="00DD0B3C" w:rsidRDefault="00B40D9E" w:rsidP="0072387B">
      <w:r w:rsidRPr="006B42D6">
        <w:lastRenderedPageBreak/>
        <w:t xml:space="preserve"> </w:t>
      </w:r>
      <w:r w:rsidR="00DD0B3C" w:rsidRPr="006B42D6">
        <w:t>In Tanzania Zanzibar, the highest pigeon peas production was reported in Kaskazini Unguja (662 tons; 71.1 percent), followed by Kusini Unguja (190 tons; 20.4 percent), while the lowest pigeon peas production was observed in Kaskazini Pemba (8 tons; 0.9 percent) (Figure 3.37).</w:t>
      </w:r>
    </w:p>
    <w:p w14:paraId="6E660F4A" w14:textId="77777777" w:rsidR="00DB0A7E" w:rsidRDefault="00DB0A7E" w:rsidP="00DB0A7E">
      <w:pPr>
        <w:spacing w:line="240" w:lineRule="auto"/>
      </w:pPr>
    </w:p>
    <w:p w14:paraId="4DB4D1D4" w14:textId="498DCDAF" w:rsidR="00DD0B3C" w:rsidRPr="006B42D6" w:rsidRDefault="00DD0B3C" w:rsidP="0072387B">
      <w:r w:rsidRPr="006B42D6">
        <w:t xml:space="preserve">Furthermore, results show that, the average productivity of pigeon peas in Tanzania was 0.4 tons/ha, that of </w:t>
      </w:r>
      <w:r w:rsidR="00EA1552">
        <w:t>Mainland Tanzania</w:t>
      </w:r>
      <w:r w:rsidRPr="006B42D6">
        <w:t xml:space="preserve"> was 0.4 tons/ha and </w:t>
      </w:r>
      <w:r w:rsidR="00BF7C95" w:rsidRPr="006B42D6">
        <w:t xml:space="preserve">Tanzania </w:t>
      </w:r>
      <w:r w:rsidRPr="006B42D6">
        <w:t xml:space="preserve">Zanzibar was 1.4 tons/ha. In </w:t>
      </w:r>
      <w:r w:rsidR="00EA1552">
        <w:t>Mainland Tanzania</w:t>
      </w:r>
      <w:r w:rsidRPr="006B42D6">
        <w:t>, the highest productivity was in Rukwa and Geita region with 1.0 tons/ha each, followed by Dar es Salaam and Mbeya (0.8 tons/ha each) and Singida (0.7 tons/ha). On the other hand, the lowest productivity was in Tabora and Kagera regions each with 0.2 tons/ha. In Zanzibar, the highest productivity was in Mjini Magharibi region (1.6 tons/ha), followed by Kusini Pemba (1.5 tons/ha). The remaining regions had the lowest productivity of 1.4 tons/ha each (Figure 3.36 &amp; 3.37).</w:t>
      </w:r>
    </w:p>
    <w:p w14:paraId="40F68E10" w14:textId="77777777" w:rsidR="00DD0B3C" w:rsidRPr="006B42D6" w:rsidRDefault="00DD0B3C" w:rsidP="00B40D9E"/>
    <w:p w14:paraId="210A1C88" w14:textId="2DFAB878" w:rsidR="00BC3F8D" w:rsidRDefault="00BC3F8D" w:rsidP="00D35A2C">
      <w:pPr>
        <w:pStyle w:val="Caption"/>
      </w:pPr>
      <w:bookmarkStart w:id="187" w:name="_Toc82386313"/>
      <w:r w:rsidRPr="006B42D6">
        <w:t>Figure 3.3</w:t>
      </w:r>
      <w:r w:rsidR="004264C3" w:rsidRPr="006B42D6">
        <w:t>6</w:t>
      </w:r>
      <w:r w:rsidR="00A51CC7">
        <w:t>:</w:t>
      </w:r>
      <w:r w:rsidR="007B2F7A">
        <w:tab/>
      </w:r>
      <w:r w:rsidRPr="006B42D6">
        <w:t xml:space="preserve">Production and Yield of Pigeon Peas by Smallholder Farmers by Region During 2019/20 Agricultural Year, </w:t>
      </w:r>
      <w:r w:rsidR="00EA1552">
        <w:t>Mainland Tanzania</w:t>
      </w:r>
      <w:bookmarkEnd w:id="187"/>
      <w:r w:rsidRPr="006B42D6">
        <w:t xml:space="preserve"> </w:t>
      </w:r>
    </w:p>
    <w:p w14:paraId="0683AF89" w14:textId="77777777" w:rsidR="00EA2BD4" w:rsidRPr="00EA2BD4" w:rsidRDefault="00EA2BD4" w:rsidP="00EA2BD4">
      <w:pPr>
        <w:rPr>
          <w:sz w:val="6"/>
          <w:szCs w:val="6"/>
        </w:rPr>
      </w:pPr>
    </w:p>
    <w:p w14:paraId="751A99D8" w14:textId="7E366D1D" w:rsidR="00BC3F8D" w:rsidRPr="006B42D6" w:rsidRDefault="001B26AC" w:rsidP="00B40D9E">
      <w:r w:rsidRPr="006B42D6">
        <w:rPr>
          <w:noProof/>
        </w:rPr>
        <w:drawing>
          <wp:inline distT="0" distB="0" distL="0" distR="0" wp14:anchorId="39EA4C8E" wp14:editId="3493632C">
            <wp:extent cx="5814646" cy="2719705"/>
            <wp:effectExtent l="0" t="0" r="15240" b="10795"/>
            <wp:docPr id="116" name="Chart 15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p>
    <w:p w14:paraId="13AD831A" w14:textId="15B12F34" w:rsidR="00DB0A7E" w:rsidRDefault="00DB0A7E">
      <w:pPr>
        <w:spacing w:line="240" w:lineRule="auto"/>
        <w:contextualSpacing w:val="0"/>
        <w:jc w:val="left"/>
      </w:pPr>
      <w:r>
        <w:br w:type="page"/>
      </w:r>
    </w:p>
    <w:p w14:paraId="1BF54096" w14:textId="23AB572A" w:rsidR="00BC3F8D" w:rsidRPr="006B42D6" w:rsidRDefault="00BC3F8D" w:rsidP="00910B94">
      <w:pPr>
        <w:pStyle w:val="Caption"/>
        <w:ind w:left="1140" w:right="1304" w:hanging="1140"/>
      </w:pPr>
      <w:bookmarkStart w:id="188" w:name="_Toc82386314"/>
      <w:r w:rsidRPr="006B42D6">
        <w:lastRenderedPageBreak/>
        <w:t>Figure 3.3</w:t>
      </w:r>
      <w:r w:rsidR="004264C3" w:rsidRPr="006B42D6">
        <w:t>7</w:t>
      </w:r>
      <w:r w:rsidR="00A51CC7">
        <w:t>:</w:t>
      </w:r>
      <w:r w:rsidR="0072387B">
        <w:tab/>
      </w:r>
      <w:r w:rsidRPr="006B42D6">
        <w:t>Production and Yield of Pigeon Peas by Smallholder Farmers by Region During 2019/20 Agricultural Year, Tanzania Zanzibar</w:t>
      </w:r>
      <w:bookmarkEnd w:id="188"/>
    </w:p>
    <w:p w14:paraId="34D932F2" w14:textId="1BD4361D" w:rsidR="00BC3F8D" w:rsidRDefault="001B26AC" w:rsidP="00B40D9E">
      <w:r w:rsidRPr="006B42D6">
        <w:rPr>
          <w:noProof/>
        </w:rPr>
        <w:drawing>
          <wp:inline distT="0" distB="0" distL="0" distR="0" wp14:anchorId="4D6EC1B8" wp14:editId="28D57F28">
            <wp:extent cx="5091193" cy="2138680"/>
            <wp:effectExtent l="0" t="0" r="14605" b="7620"/>
            <wp:docPr id="115" name="Chart 15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
              </a:graphicData>
            </a:graphic>
          </wp:inline>
        </w:drawing>
      </w:r>
    </w:p>
    <w:p w14:paraId="372CC942" w14:textId="77777777" w:rsidR="00686E94" w:rsidRPr="006B42D6" w:rsidRDefault="00686E94" w:rsidP="00A51CC7">
      <w:pPr>
        <w:spacing w:line="240" w:lineRule="auto"/>
      </w:pPr>
    </w:p>
    <w:p w14:paraId="7900C04D" w14:textId="218690E9" w:rsidR="00F327E4" w:rsidRPr="006B42D6" w:rsidRDefault="00F327E4" w:rsidP="005C2EFC">
      <w:pPr>
        <w:pStyle w:val="Heading4"/>
      </w:pPr>
      <w:bookmarkStart w:id="189" w:name="_Toc82385659"/>
      <w:r w:rsidRPr="006B42D6">
        <w:t>3.1.</w:t>
      </w:r>
      <w:r w:rsidR="00193728">
        <w:t>3</w:t>
      </w:r>
      <w:r w:rsidRPr="006B42D6">
        <w:t>.</w:t>
      </w:r>
      <w:r w:rsidR="006F02CB">
        <w:t>5</w:t>
      </w:r>
      <w:r w:rsidR="0065010E" w:rsidRPr="006B42D6">
        <w:tab/>
      </w:r>
      <w:r w:rsidRPr="006B42D6">
        <w:t>Other Pulses</w:t>
      </w:r>
      <w:bookmarkEnd w:id="189"/>
      <w:r w:rsidRPr="006B42D6">
        <w:t xml:space="preserve"> </w:t>
      </w:r>
    </w:p>
    <w:p w14:paraId="0F34A547" w14:textId="5D92AC54" w:rsidR="008667E6" w:rsidRDefault="00F327E4" w:rsidP="0072387B">
      <w:r w:rsidRPr="0072387B">
        <w:t xml:space="preserve">Other </w:t>
      </w:r>
      <w:r w:rsidR="00F600CE" w:rsidRPr="0072387B">
        <w:t>p</w:t>
      </w:r>
      <w:r w:rsidRPr="0072387B">
        <w:t xml:space="preserve">ulses include </w:t>
      </w:r>
      <w:r w:rsidR="00F42CDC" w:rsidRPr="0072387B">
        <w:t xml:space="preserve">chick peas, </w:t>
      </w:r>
      <w:r w:rsidR="005358A9" w:rsidRPr="0072387B">
        <w:t>bambara</w:t>
      </w:r>
      <w:r w:rsidR="00F42CDC" w:rsidRPr="0072387B">
        <w:t>nuts, field peas, fiwi and upupu</w:t>
      </w:r>
      <w:r w:rsidRPr="0072387B">
        <w:t xml:space="preserve">. The </w:t>
      </w:r>
      <w:r w:rsidR="00F42CDC" w:rsidRPr="0072387B">
        <w:t xml:space="preserve">total </w:t>
      </w:r>
      <w:r w:rsidRPr="0072387B">
        <w:t xml:space="preserve">area planted with other </w:t>
      </w:r>
      <w:r w:rsidR="00F42CDC" w:rsidRPr="0072387B">
        <w:t>pulses</w:t>
      </w:r>
      <w:r w:rsidRPr="0072387B">
        <w:t xml:space="preserve"> was 208,31</w:t>
      </w:r>
      <w:r w:rsidR="00F42CDC" w:rsidRPr="0072387B">
        <w:t>7</w:t>
      </w:r>
      <w:r w:rsidRPr="0072387B">
        <w:t xml:space="preserve"> ha </w:t>
      </w:r>
      <w:r w:rsidR="002D738A" w:rsidRPr="0072387B">
        <w:t xml:space="preserve">out </w:t>
      </w:r>
      <w:r w:rsidRPr="0072387B">
        <w:t xml:space="preserve">of which </w:t>
      </w:r>
      <w:r w:rsidR="00F42CDC" w:rsidRPr="0072387B">
        <w:t>20</w:t>
      </w:r>
      <w:r w:rsidR="00F10204" w:rsidRPr="0072387B">
        <w:t>8</w:t>
      </w:r>
      <w:r w:rsidR="00F42CDC" w:rsidRPr="0072387B">
        <w:t>,245</w:t>
      </w:r>
      <w:r w:rsidRPr="0072387B">
        <w:t xml:space="preserve"> ha were in </w:t>
      </w:r>
      <w:r w:rsidR="00EA1552" w:rsidRPr="0072387B">
        <w:t>Mainland Tanzania</w:t>
      </w:r>
      <w:r w:rsidRPr="0072387B">
        <w:t xml:space="preserve"> and </w:t>
      </w:r>
      <w:r w:rsidR="001570D4" w:rsidRPr="0072387B">
        <w:t>72</w:t>
      </w:r>
      <w:r w:rsidRPr="0072387B">
        <w:t xml:space="preserve"> ha in </w:t>
      </w:r>
      <w:r w:rsidR="005358A9" w:rsidRPr="0072387B">
        <w:t xml:space="preserve">Tanzania </w:t>
      </w:r>
      <w:r w:rsidRPr="0072387B">
        <w:t xml:space="preserve">Zanzibar. </w:t>
      </w:r>
      <w:r w:rsidR="001570D4" w:rsidRPr="0072387B">
        <w:t xml:space="preserve">The total area harvested with other pulses was 97,895 ha (97,881 ha in </w:t>
      </w:r>
      <w:r w:rsidR="00EA1552" w:rsidRPr="0072387B">
        <w:t>Mainland Tanzania</w:t>
      </w:r>
      <w:r w:rsidR="001570D4" w:rsidRPr="0072387B">
        <w:t xml:space="preserve"> and 14 ha in Tanzania Zanzibar). </w:t>
      </w:r>
      <w:r w:rsidRPr="0072387B">
        <w:t>The total quantity harvested was 78,</w:t>
      </w:r>
      <w:r w:rsidR="001570D4" w:rsidRPr="0072387B">
        <w:t>910</w:t>
      </w:r>
      <w:r w:rsidRPr="0072387B">
        <w:t xml:space="preserve"> tons with </w:t>
      </w:r>
      <w:r w:rsidR="001570D4" w:rsidRPr="0072387B">
        <w:t>78,903</w:t>
      </w:r>
      <w:r w:rsidRPr="0072387B">
        <w:t xml:space="preserve"> tons from </w:t>
      </w:r>
      <w:r w:rsidR="00EA1552" w:rsidRPr="0072387B">
        <w:t>Mainland Tanzania</w:t>
      </w:r>
      <w:r w:rsidRPr="0072387B">
        <w:t xml:space="preserve"> and </w:t>
      </w:r>
      <w:r w:rsidR="001570D4" w:rsidRPr="0072387B">
        <w:t xml:space="preserve">7 </w:t>
      </w:r>
      <w:r w:rsidRPr="0072387B">
        <w:t>tons from</w:t>
      </w:r>
      <w:r w:rsidRPr="006B42D6">
        <w:t xml:space="preserve"> </w:t>
      </w:r>
      <w:r w:rsidR="005358A9" w:rsidRPr="006B42D6">
        <w:t xml:space="preserve">Tanzania </w:t>
      </w:r>
      <w:r w:rsidRPr="006B42D6">
        <w:t>Zanzibar.</w:t>
      </w:r>
    </w:p>
    <w:p w14:paraId="5EE9EAC8" w14:textId="77777777" w:rsidR="00910B94" w:rsidRPr="006B42D6" w:rsidRDefault="00910B94" w:rsidP="00910B94">
      <w:pPr>
        <w:spacing w:line="240" w:lineRule="auto"/>
      </w:pPr>
    </w:p>
    <w:p w14:paraId="4C4692B1" w14:textId="219E1F80" w:rsidR="00E16412" w:rsidRPr="006B42D6" w:rsidRDefault="003D1662" w:rsidP="009729AC">
      <w:pPr>
        <w:pStyle w:val="Heading3"/>
      </w:pPr>
      <w:bookmarkStart w:id="190" w:name="_Toc82385660"/>
      <w:r w:rsidRPr="006B42D6">
        <w:t>3.1.</w:t>
      </w:r>
      <w:r w:rsidR="00193728">
        <w:t>4</w:t>
      </w:r>
      <w:r w:rsidRPr="006B42D6">
        <w:tab/>
        <w:t>Oil Seeds and Nuts Crops</w:t>
      </w:r>
      <w:bookmarkEnd w:id="190"/>
      <w:r w:rsidRPr="006B42D6">
        <w:t xml:space="preserve"> </w:t>
      </w:r>
    </w:p>
    <w:p w14:paraId="61473317" w14:textId="2B3F4741" w:rsidR="003E3BF9" w:rsidRPr="006B42D6" w:rsidRDefault="00F327E4" w:rsidP="0072387B">
      <w:r w:rsidRPr="006B42D6">
        <w:rPr>
          <w:bCs/>
        </w:rPr>
        <w:t>Oil seeds and nuts grown in Tanzania include groundnuts, sunflower</w:t>
      </w:r>
      <w:r w:rsidR="00EC54E5" w:rsidRPr="006B42D6">
        <w:rPr>
          <w:bCs/>
        </w:rPr>
        <w:t>, oil palm</w:t>
      </w:r>
      <w:r w:rsidRPr="006B42D6">
        <w:rPr>
          <w:bCs/>
        </w:rPr>
        <w:t xml:space="preserve"> and sesame. </w:t>
      </w:r>
      <w:r w:rsidR="003E3BF9" w:rsidRPr="006B42D6">
        <w:t>These crops were produced during both short and long rainy seasons in Tanzania.</w:t>
      </w:r>
      <w:r w:rsidR="00B822C1" w:rsidRPr="006B42D6">
        <w:rPr>
          <w:bCs/>
        </w:rPr>
        <w:t xml:space="preserve"> </w:t>
      </w:r>
      <w:r w:rsidR="003E3BF9" w:rsidRPr="006B42D6">
        <w:t>The results revealed that, a total area of 1,</w:t>
      </w:r>
      <w:r w:rsidR="00B822C1" w:rsidRPr="006B42D6">
        <w:t>514,617</w:t>
      </w:r>
      <w:r w:rsidR="003E3BF9" w:rsidRPr="006B42D6">
        <w:t xml:space="preserve"> ha was planted with </w:t>
      </w:r>
      <w:r w:rsidR="003E3BF9" w:rsidRPr="006B42D6">
        <w:rPr>
          <w:bCs/>
        </w:rPr>
        <w:t>oil seeds and nuts</w:t>
      </w:r>
      <w:r w:rsidR="003E3BF9" w:rsidRPr="006B42D6">
        <w:t xml:space="preserve"> in Tanzania, out of which 1,</w:t>
      </w:r>
      <w:r w:rsidR="00B822C1" w:rsidRPr="006B42D6">
        <w:t>508,208</w:t>
      </w:r>
      <w:r w:rsidR="003E3BF9" w:rsidRPr="006B42D6">
        <w:t xml:space="preserve"> ha (</w:t>
      </w:r>
      <w:r w:rsidR="00B822C1" w:rsidRPr="006B42D6">
        <w:t xml:space="preserve">99.6 </w:t>
      </w:r>
      <w:r w:rsidR="003E3BF9" w:rsidRPr="006B42D6">
        <w:t xml:space="preserve">percent) was occupied by smallholder farmers and </w:t>
      </w:r>
      <w:r w:rsidR="00B822C1" w:rsidRPr="006B42D6">
        <w:t xml:space="preserve">6,410 </w:t>
      </w:r>
      <w:r w:rsidR="003E3BF9" w:rsidRPr="006B42D6">
        <w:t>ha (0.</w:t>
      </w:r>
      <w:r w:rsidR="00B822C1" w:rsidRPr="006B42D6">
        <w:t>4</w:t>
      </w:r>
      <w:r w:rsidR="003E3BF9" w:rsidRPr="006B42D6">
        <w:t xml:space="preserve"> percent) by large scale farms. Out of the total planted area by smallholder farmers, </w:t>
      </w:r>
      <w:r w:rsidR="00B822C1" w:rsidRPr="006B42D6">
        <w:t>1,506,977</w:t>
      </w:r>
      <w:r w:rsidR="003E3BF9" w:rsidRPr="006B42D6">
        <w:t xml:space="preserve"> ha w</w:t>
      </w:r>
      <w:r w:rsidR="00B822C1" w:rsidRPr="006B42D6">
        <w:t>ere</w:t>
      </w:r>
      <w:r w:rsidR="003E3BF9" w:rsidRPr="006B42D6">
        <w:t xml:space="preserve"> in </w:t>
      </w:r>
      <w:r w:rsidR="00EA1552">
        <w:t>Mainland Tanzania</w:t>
      </w:r>
      <w:r w:rsidR="003E3BF9" w:rsidRPr="006B42D6">
        <w:t xml:space="preserve"> and </w:t>
      </w:r>
      <w:r w:rsidR="00B822C1" w:rsidRPr="006B42D6">
        <w:t>1,231</w:t>
      </w:r>
      <w:r w:rsidR="003E3BF9" w:rsidRPr="006B42D6">
        <w:t xml:space="preserve"> ha in Tanzania Zanzibar.</w:t>
      </w:r>
    </w:p>
    <w:p w14:paraId="3D4A8347" w14:textId="77777777" w:rsidR="00B822C1" w:rsidRPr="006B42D6" w:rsidRDefault="00B822C1" w:rsidP="0072387B">
      <w:pPr>
        <w:spacing w:line="240" w:lineRule="auto"/>
        <w:rPr>
          <w:bCs/>
        </w:rPr>
      </w:pPr>
    </w:p>
    <w:p w14:paraId="644B5CAD" w14:textId="6EF16112" w:rsidR="00B822C1" w:rsidRDefault="003E3BF9" w:rsidP="0072387B">
      <w:r w:rsidRPr="006B42D6">
        <w:t xml:space="preserve">Total harvested area with </w:t>
      </w:r>
      <w:r w:rsidRPr="006B42D6">
        <w:rPr>
          <w:bCs/>
        </w:rPr>
        <w:t>oil seeds and nuts</w:t>
      </w:r>
      <w:r w:rsidRPr="006B42D6">
        <w:t xml:space="preserve"> under smallholder farmers in Tanzania was </w:t>
      </w:r>
      <w:r w:rsidR="00B822C1" w:rsidRPr="006B42D6">
        <w:t xml:space="preserve">1,365,297 </w:t>
      </w:r>
      <w:r w:rsidRPr="006B42D6">
        <w:t xml:space="preserve">ha out of which </w:t>
      </w:r>
      <w:r w:rsidR="00B822C1" w:rsidRPr="006B42D6">
        <w:t xml:space="preserve">1,364,280 </w:t>
      </w:r>
      <w:r w:rsidRPr="006B42D6">
        <w:t xml:space="preserve">ha was in </w:t>
      </w:r>
      <w:r w:rsidR="00EA1552">
        <w:t>Mainland Tanzania</w:t>
      </w:r>
      <w:r w:rsidRPr="006B42D6">
        <w:t xml:space="preserve"> and </w:t>
      </w:r>
      <w:r w:rsidR="00B822C1" w:rsidRPr="006B42D6">
        <w:t>1,017</w:t>
      </w:r>
      <w:r w:rsidRPr="006B42D6">
        <w:t xml:space="preserve"> ha in Tanzania Zanzibar. The results also show that, a total harvested area with </w:t>
      </w:r>
      <w:r w:rsidRPr="006B42D6">
        <w:rPr>
          <w:bCs/>
        </w:rPr>
        <w:t>oil seeds and nuts</w:t>
      </w:r>
      <w:r w:rsidRPr="006B42D6">
        <w:t xml:space="preserve"> was </w:t>
      </w:r>
      <w:r w:rsidR="00B822C1" w:rsidRPr="006B42D6">
        <w:t>90.5</w:t>
      </w:r>
      <w:r w:rsidRPr="006B42D6">
        <w:t xml:space="preserve"> percent of the total planted area by smallholder farmers. </w:t>
      </w:r>
    </w:p>
    <w:p w14:paraId="3D25D2D2" w14:textId="77777777" w:rsidR="0072387B" w:rsidRPr="006B42D6" w:rsidRDefault="0072387B" w:rsidP="0072387B">
      <w:pPr>
        <w:spacing w:line="240" w:lineRule="auto"/>
      </w:pPr>
    </w:p>
    <w:p w14:paraId="57BB13A2" w14:textId="29901412" w:rsidR="00EC54E5" w:rsidRPr="006B42D6" w:rsidRDefault="003E3BF9" w:rsidP="0072387B">
      <w:r w:rsidRPr="006B42D6">
        <w:t xml:space="preserve">Furthermore, a total quantity of </w:t>
      </w:r>
      <w:r w:rsidR="00B822C1" w:rsidRPr="006B42D6">
        <w:t xml:space="preserve">1,279,657 </w:t>
      </w:r>
      <w:r w:rsidRPr="006B42D6">
        <w:t xml:space="preserve">tons of </w:t>
      </w:r>
      <w:r w:rsidRPr="006B42D6">
        <w:rPr>
          <w:bCs/>
        </w:rPr>
        <w:t>oil seeds and nuts</w:t>
      </w:r>
      <w:r w:rsidRPr="006B42D6">
        <w:t xml:space="preserve"> was produced in Tanzania whereby </w:t>
      </w:r>
      <w:r w:rsidR="00B822C1" w:rsidRPr="006B42D6">
        <w:t>1,277,925</w:t>
      </w:r>
      <w:r w:rsidRPr="006B42D6">
        <w:t xml:space="preserve"> tons (</w:t>
      </w:r>
      <w:r w:rsidR="00B822C1" w:rsidRPr="006B42D6">
        <w:t xml:space="preserve">99.9 </w:t>
      </w:r>
      <w:r w:rsidRPr="006B42D6">
        <w:t xml:space="preserve">percent) was produced by smallholder farmers and </w:t>
      </w:r>
      <w:r w:rsidR="00B822C1" w:rsidRPr="006B42D6">
        <w:lastRenderedPageBreak/>
        <w:t>1,731</w:t>
      </w:r>
      <w:r w:rsidRPr="006B42D6">
        <w:t xml:space="preserve"> tons (</w:t>
      </w:r>
      <w:r w:rsidR="00B822C1" w:rsidRPr="006B42D6">
        <w:t xml:space="preserve">0.1 </w:t>
      </w:r>
      <w:r w:rsidRPr="006B42D6">
        <w:t xml:space="preserve">percent) by large scale farms. Of the total quantity produced by smallholder farmers, </w:t>
      </w:r>
      <w:r w:rsidR="00B822C1" w:rsidRPr="006B42D6">
        <w:t>1,277,235</w:t>
      </w:r>
      <w:r w:rsidRPr="006B42D6">
        <w:t xml:space="preserve"> tons was in </w:t>
      </w:r>
      <w:r w:rsidR="00EA1552">
        <w:t>Mainland Tanzania</w:t>
      </w:r>
      <w:r w:rsidRPr="006B42D6">
        <w:t xml:space="preserve"> and </w:t>
      </w:r>
      <w:r w:rsidR="00B822C1" w:rsidRPr="006B42D6">
        <w:t>690</w:t>
      </w:r>
      <w:r w:rsidRPr="006B42D6">
        <w:t xml:space="preserve"> tons in Tanzania Zanzibar. </w:t>
      </w:r>
    </w:p>
    <w:p w14:paraId="33383B2F" w14:textId="77777777" w:rsidR="004338FE" w:rsidRPr="006B42D6" w:rsidRDefault="004338FE" w:rsidP="00FC7400">
      <w:pPr>
        <w:spacing w:line="240" w:lineRule="auto"/>
      </w:pPr>
    </w:p>
    <w:p w14:paraId="4EF5D63C" w14:textId="75642EE9" w:rsidR="00F327E4" w:rsidRPr="006B42D6" w:rsidRDefault="00F327E4" w:rsidP="005C2EFC">
      <w:pPr>
        <w:pStyle w:val="Heading4"/>
      </w:pPr>
      <w:bookmarkStart w:id="191" w:name="_Toc82385661"/>
      <w:r w:rsidRPr="006B42D6">
        <w:t>3.1.</w:t>
      </w:r>
      <w:r w:rsidR="00193728">
        <w:t>4</w:t>
      </w:r>
      <w:r w:rsidRPr="006B42D6">
        <w:t>.1</w:t>
      </w:r>
      <w:r w:rsidR="0065010E" w:rsidRPr="006B42D6">
        <w:tab/>
      </w:r>
      <w:r w:rsidRPr="006B42D6">
        <w:t>Groundnuts</w:t>
      </w:r>
      <w:bookmarkEnd w:id="191"/>
      <w:r w:rsidRPr="006B42D6">
        <w:t xml:space="preserve"> </w:t>
      </w:r>
    </w:p>
    <w:p w14:paraId="2ED39AF5" w14:textId="2206D5F0" w:rsidR="004E7434" w:rsidRDefault="004E7434" w:rsidP="0072387B">
      <w:r w:rsidRPr="006B42D6">
        <w:t xml:space="preserve">The 2019/20 NSCA results show that, a total of 293,997 households were engaged in growing groundnuts in Tanzania during short rainy season (288,804 households were in </w:t>
      </w:r>
      <w:r w:rsidR="00EA1552">
        <w:t>Mainland Tanzania</w:t>
      </w:r>
      <w:r w:rsidRPr="006B42D6">
        <w:t xml:space="preserve"> and 5,193 households in Tanzania Zanzibar) and 931,792 households during long rainy season (929,736 households were in </w:t>
      </w:r>
      <w:r w:rsidR="00EA1552">
        <w:t>Mainland Tanzania</w:t>
      </w:r>
      <w:r w:rsidRPr="006B42D6">
        <w:t xml:space="preserve"> and 2,056 households in Tanzania Zanzibar). </w:t>
      </w:r>
    </w:p>
    <w:p w14:paraId="7B4A0E95" w14:textId="77777777" w:rsidR="0072387B" w:rsidRPr="006B42D6" w:rsidRDefault="0072387B" w:rsidP="00A51CC7">
      <w:pPr>
        <w:spacing w:line="240" w:lineRule="auto"/>
      </w:pPr>
    </w:p>
    <w:p w14:paraId="48289676" w14:textId="4F94AED2" w:rsidR="00F327E4" w:rsidRPr="006B42D6" w:rsidRDefault="00F327E4" w:rsidP="0072387B">
      <w:r w:rsidRPr="006B42D6">
        <w:t>The total planted area for groundnuts was 528,37</w:t>
      </w:r>
      <w:r w:rsidR="004E7434" w:rsidRPr="006B42D6">
        <w:t>3</w:t>
      </w:r>
      <w:r w:rsidRPr="006B42D6">
        <w:t xml:space="preserve"> ha </w:t>
      </w:r>
      <w:r w:rsidR="002D738A" w:rsidRPr="006B42D6">
        <w:t xml:space="preserve">out </w:t>
      </w:r>
      <w:r w:rsidRPr="006B42D6">
        <w:t xml:space="preserve">of which 527,142 ha were in </w:t>
      </w:r>
      <w:r w:rsidR="00EA1552">
        <w:t>Mainland Tanzania</w:t>
      </w:r>
      <w:r w:rsidRPr="006B42D6">
        <w:t xml:space="preserve"> and 1,23</w:t>
      </w:r>
      <w:r w:rsidR="004E7434" w:rsidRPr="006B42D6">
        <w:t>1</w:t>
      </w:r>
      <w:r w:rsidRPr="006B42D6">
        <w:t xml:space="preserve"> ha in </w:t>
      </w:r>
      <w:r w:rsidR="004338FE" w:rsidRPr="006B42D6">
        <w:t xml:space="preserve">Tanzania </w:t>
      </w:r>
      <w:r w:rsidRPr="006B42D6">
        <w:t>Zanzibar. In</w:t>
      </w:r>
      <w:r w:rsidR="004338FE" w:rsidRPr="006B42D6">
        <w:t xml:space="preserve"> </w:t>
      </w:r>
      <w:r w:rsidR="00EA1552">
        <w:t>Mainland Tanzania</w:t>
      </w:r>
      <w:r w:rsidRPr="006B42D6">
        <w:t xml:space="preserve">, Dodoma </w:t>
      </w:r>
      <w:r w:rsidR="004E7434" w:rsidRPr="006B42D6">
        <w:t>r</w:t>
      </w:r>
      <w:r w:rsidRPr="006B42D6">
        <w:t>egion had the largest</w:t>
      </w:r>
      <w:r w:rsidR="004E7434" w:rsidRPr="006B42D6">
        <w:t xml:space="preserve"> </w:t>
      </w:r>
      <w:r w:rsidRPr="006B42D6">
        <w:t>planted</w:t>
      </w:r>
      <w:r w:rsidR="004E7434" w:rsidRPr="006B42D6">
        <w:t xml:space="preserve"> area </w:t>
      </w:r>
      <w:r w:rsidRPr="006B42D6">
        <w:t>with groundnuts</w:t>
      </w:r>
      <w:r w:rsidR="004E7434" w:rsidRPr="006B42D6">
        <w:t xml:space="preserve"> (132,427 ha; 25.1 percent)</w:t>
      </w:r>
      <w:r w:rsidRPr="006B42D6">
        <w:t xml:space="preserve">, followed by Tabora (103,486 ha; 19.6 percent) and Shinyanga (45,746 ha; 8.7 percent). On the other hand, Pwani region had the least planted area (352 ha; 0.1 percent). In </w:t>
      </w:r>
      <w:r w:rsidR="004338FE" w:rsidRPr="006B42D6">
        <w:t xml:space="preserve">Tanzania </w:t>
      </w:r>
      <w:r w:rsidRPr="006B42D6">
        <w:t xml:space="preserve">Zanzibar, Kusini Pemba </w:t>
      </w:r>
      <w:r w:rsidR="004338FE" w:rsidRPr="006B42D6">
        <w:t xml:space="preserve">region had </w:t>
      </w:r>
      <w:r w:rsidRPr="006B42D6">
        <w:t xml:space="preserve">the </w:t>
      </w:r>
      <w:r w:rsidR="004338FE" w:rsidRPr="006B42D6">
        <w:t xml:space="preserve">largest </w:t>
      </w:r>
      <w:r w:rsidRPr="006B42D6">
        <w:t>planted area of 829 ha (67.4 percent), followed by Kaskazini Pemba</w:t>
      </w:r>
      <w:r w:rsidR="000900BA" w:rsidRPr="006B42D6">
        <w:t xml:space="preserve"> (</w:t>
      </w:r>
      <w:r w:rsidRPr="006B42D6">
        <w:t>273 ha</w:t>
      </w:r>
      <w:r w:rsidR="000900BA" w:rsidRPr="006B42D6">
        <w:t xml:space="preserve">; </w:t>
      </w:r>
      <w:r w:rsidRPr="006B42D6">
        <w:t xml:space="preserve">22.2 percent); while Kaskazini Unguja had </w:t>
      </w:r>
      <w:r w:rsidR="002D738A" w:rsidRPr="006B42D6">
        <w:t xml:space="preserve">the </w:t>
      </w:r>
      <w:r w:rsidRPr="006B42D6">
        <w:t xml:space="preserve">least </w:t>
      </w:r>
      <w:r w:rsidR="000900BA" w:rsidRPr="006B42D6">
        <w:t>planted area</w:t>
      </w:r>
      <w:r w:rsidRPr="006B42D6">
        <w:t xml:space="preserve"> </w:t>
      </w:r>
      <w:r w:rsidR="000900BA" w:rsidRPr="006B42D6">
        <w:t>(</w:t>
      </w:r>
      <w:r w:rsidRPr="006B42D6">
        <w:t>42 ha</w:t>
      </w:r>
      <w:r w:rsidR="000900BA" w:rsidRPr="006B42D6">
        <w:t xml:space="preserve">, </w:t>
      </w:r>
      <w:r w:rsidRPr="006B42D6">
        <w:t xml:space="preserve">3.4 percent). </w:t>
      </w:r>
    </w:p>
    <w:p w14:paraId="5820FE77" w14:textId="73475756" w:rsidR="00F327E4" w:rsidRPr="006B42D6" w:rsidRDefault="00F327E4" w:rsidP="00A51CC7">
      <w:pPr>
        <w:spacing w:line="240" w:lineRule="auto"/>
      </w:pPr>
    </w:p>
    <w:p w14:paraId="4C50AF49" w14:textId="561E0498" w:rsidR="000900BA" w:rsidRPr="006B42D6" w:rsidRDefault="000900BA" w:rsidP="0072387B">
      <w:r w:rsidRPr="006B42D6">
        <w:t xml:space="preserve">The total harvested area with groundnuts was 484,684 ha out of which 483,668 ha was in </w:t>
      </w:r>
      <w:r w:rsidR="00EA1552">
        <w:t>Mainland Tanzania</w:t>
      </w:r>
      <w:r w:rsidRPr="006B42D6">
        <w:t xml:space="preserve"> and 1,017 ha in Tanzania Zanzibar. In </w:t>
      </w:r>
      <w:r w:rsidR="00EA1552">
        <w:t>Mainland Tanzania</w:t>
      </w:r>
      <w:r w:rsidRPr="006B42D6">
        <w:t>, Dodoma region reported the largest harvested area (126,539 ha; 26.2 percent), followed by Tabora (89,199 ha; 18.4 percent) and Shinyanga (39,011 ha; 8.1 percent) and the least harvested area was in Pwani (323 ha; 0.1 percent). In Tanzania Zanzibar, the largest harvested area with groundnuts was reported in Kaskazini Pemba region with 660 ha (65.0 percent), followed by Kaskazini Pemba (264 ha; 26.0 percent) and least area harvested was in Kusini Unguja (19 ha; 1.8 percent).</w:t>
      </w:r>
    </w:p>
    <w:p w14:paraId="3287052A" w14:textId="77777777" w:rsidR="000900BA" w:rsidRPr="006B42D6" w:rsidRDefault="000900BA" w:rsidP="00A51CC7">
      <w:pPr>
        <w:spacing w:line="240" w:lineRule="auto"/>
      </w:pPr>
    </w:p>
    <w:p w14:paraId="2AF8250C" w14:textId="77777777" w:rsidR="00AC6068" w:rsidRDefault="00F327E4" w:rsidP="0072387B">
      <w:r w:rsidRPr="006B42D6">
        <w:t xml:space="preserve">Production of groundnuts in Tanzania was </w:t>
      </w:r>
      <w:r w:rsidRPr="006B42D6">
        <w:rPr>
          <w:bCs/>
        </w:rPr>
        <w:t>621,</w:t>
      </w:r>
      <w:r w:rsidR="000900BA" w:rsidRPr="006B42D6">
        <w:rPr>
          <w:bCs/>
        </w:rPr>
        <w:t>697 tons,</w:t>
      </w:r>
      <w:r w:rsidR="002D738A" w:rsidRPr="006B42D6">
        <w:rPr>
          <w:bCs/>
        </w:rPr>
        <w:t xml:space="preserve"> out</w:t>
      </w:r>
      <w:r w:rsidRPr="006B42D6">
        <w:rPr>
          <w:bCs/>
        </w:rPr>
        <w:t xml:space="preserve"> </w:t>
      </w:r>
      <w:r w:rsidRPr="006B42D6">
        <w:t>of which 621,</w:t>
      </w:r>
      <w:r w:rsidR="000900BA" w:rsidRPr="006B42D6">
        <w:t>665</w:t>
      </w:r>
      <w:r w:rsidRPr="006B42D6">
        <w:t xml:space="preserve"> tons</w:t>
      </w:r>
      <w:r w:rsidR="000900BA" w:rsidRPr="006B42D6">
        <w:t xml:space="preserve"> </w:t>
      </w:r>
      <w:r w:rsidR="004338FE" w:rsidRPr="006B42D6">
        <w:t xml:space="preserve">were </w:t>
      </w:r>
      <w:r w:rsidRPr="006B42D6">
        <w:t>produced by smallholder farmers and</w:t>
      </w:r>
      <w:r w:rsidRPr="006B42D6">
        <w:rPr>
          <w:bCs/>
        </w:rPr>
        <w:t xml:space="preserve"> 32 </w:t>
      </w:r>
      <w:r w:rsidRPr="006B42D6">
        <w:t>tons</w:t>
      </w:r>
      <w:r w:rsidR="000900BA" w:rsidRPr="006B42D6">
        <w:t xml:space="preserve"> </w:t>
      </w:r>
      <w:r w:rsidRPr="006B42D6">
        <w:t>produced by large scale farm</w:t>
      </w:r>
      <w:r w:rsidR="000900BA" w:rsidRPr="006B42D6">
        <w:t>s</w:t>
      </w:r>
      <w:r w:rsidRPr="006B42D6">
        <w:t>.</w:t>
      </w:r>
      <w:r w:rsidRPr="006B42D6">
        <w:rPr>
          <w:bCs/>
        </w:rPr>
        <w:t xml:space="preserve"> From the production of smallholder farmers,</w:t>
      </w:r>
      <w:r w:rsidRPr="006B42D6">
        <w:t xml:space="preserve"> 62</w:t>
      </w:r>
      <w:r w:rsidR="000900BA" w:rsidRPr="006B42D6">
        <w:t xml:space="preserve">0,975 </w:t>
      </w:r>
      <w:r w:rsidRPr="006B42D6">
        <w:t>tons</w:t>
      </w:r>
      <w:r w:rsidR="000900BA" w:rsidRPr="006B42D6">
        <w:t xml:space="preserve"> </w:t>
      </w:r>
      <w:r w:rsidR="002D738A" w:rsidRPr="006B42D6">
        <w:t xml:space="preserve">was </w:t>
      </w:r>
      <w:r w:rsidRPr="006B42D6">
        <w:t xml:space="preserve">in </w:t>
      </w:r>
      <w:r w:rsidR="00EA1552">
        <w:t>Mainland Tanzania</w:t>
      </w:r>
      <w:r w:rsidRPr="006B42D6">
        <w:t xml:space="preserve"> and 690 tons in </w:t>
      </w:r>
      <w:r w:rsidR="004338FE" w:rsidRPr="006B42D6">
        <w:t xml:space="preserve">Tanzania </w:t>
      </w:r>
      <w:r w:rsidRPr="006B42D6">
        <w:t xml:space="preserve">Zanzibar. Dodoma </w:t>
      </w:r>
      <w:r w:rsidR="000900BA" w:rsidRPr="006B42D6">
        <w:t>r</w:t>
      </w:r>
      <w:r w:rsidRPr="006B42D6">
        <w:t>egion</w:t>
      </w:r>
      <w:r w:rsidR="000900BA" w:rsidRPr="006B42D6">
        <w:t xml:space="preserve"> had the highest production</w:t>
      </w:r>
      <w:r w:rsidRPr="006B42D6">
        <w:t xml:space="preserve"> (17</w:t>
      </w:r>
      <w:r w:rsidR="000900BA" w:rsidRPr="006B42D6">
        <w:t>6,287</w:t>
      </w:r>
      <w:r w:rsidRPr="006B42D6">
        <w:t xml:space="preserve"> tons; 28.</w:t>
      </w:r>
      <w:r w:rsidR="000900BA" w:rsidRPr="006B42D6">
        <w:t>4</w:t>
      </w:r>
      <w:r w:rsidRPr="006B42D6">
        <w:t xml:space="preserve"> percent</w:t>
      </w:r>
      <w:r w:rsidR="000900BA" w:rsidRPr="006B42D6">
        <w:t>)</w:t>
      </w:r>
      <w:r w:rsidRPr="006B42D6">
        <w:t>, followed by Tabora (97,6</w:t>
      </w:r>
      <w:r w:rsidR="000900BA" w:rsidRPr="006B42D6">
        <w:t>77</w:t>
      </w:r>
      <w:r w:rsidRPr="006B42D6">
        <w:t xml:space="preserve"> tons; 15.7 percent) and Geita (50,</w:t>
      </w:r>
      <w:r w:rsidR="000900BA" w:rsidRPr="006B42D6">
        <w:t>062</w:t>
      </w:r>
      <w:r w:rsidRPr="006B42D6">
        <w:t xml:space="preserve"> tons; 8.1</w:t>
      </w:r>
      <w:r w:rsidR="000900BA" w:rsidRPr="006B42D6">
        <w:t xml:space="preserve"> percent</w:t>
      </w:r>
      <w:r w:rsidRPr="006B42D6">
        <w:t>)</w:t>
      </w:r>
      <w:r w:rsidR="000900BA" w:rsidRPr="006B42D6">
        <w:t>.</w:t>
      </w:r>
      <w:r w:rsidRPr="006B42D6">
        <w:t xml:space="preserve"> On the other hand, Mara region had a least production (60</w:t>
      </w:r>
      <w:r w:rsidR="00CD3224" w:rsidRPr="006B42D6">
        <w:t>5</w:t>
      </w:r>
      <w:r w:rsidRPr="006B42D6">
        <w:t xml:space="preserve"> tons; 0.1 percent). </w:t>
      </w:r>
    </w:p>
    <w:p w14:paraId="245F51A9" w14:textId="77777777" w:rsidR="00AC6068" w:rsidRDefault="00AC6068">
      <w:pPr>
        <w:spacing w:line="240" w:lineRule="auto"/>
        <w:contextualSpacing w:val="0"/>
        <w:jc w:val="left"/>
      </w:pPr>
      <w:r>
        <w:br w:type="page"/>
      </w:r>
    </w:p>
    <w:p w14:paraId="04CEEDA8" w14:textId="77CC985B" w:rsidR="00F327E4" w:rsidRDefault="00F327E4" w:rsidP="0072387B">
      <w:r w:rsidRPr="006B42D6">
        <w:lastRenderedPageBreak/>
        <w:t xml:space="preserve">In </w:t>
      </w:r>
      <w:r w:rsidR="004338FE" w:rsidRPr="006B42D6">
        <w:t>Tanzani</w:t>
      </w:r>
      <w:r w:rsidR="00AC6068">
        <w:t>a</w:t>
      </w:r>
      <w:r w:rsidR="004338FE" w:rsidRPr="006B42D6">
        <w:t xml:space="preserve"> </w:t>
      </w:r>
      <w:r w:rsidRPr="006B42D6">
        <w:t xml:space="preserve">Zanzibar, Kusini Pemba led with the production of 455 tons (65.9 percent), followed by Kaskazini Pemba </w:t>
      </w:r>
      <w:r w:rsidR="00CD3224" w:rsidRPr="006B42D6">
        <w:t>(</w:t>
      </w:r>
      <w:r w:rsidRPr="006B42D6">
        <w:t>189 tons</w:t>
      </w:r>
      <w:r w:rsidR="00CD3224" w:rsidRPr="006B42D6">
        <w:t xml:space="preserve">; </w:t>
      </w:r>
      <w:r w:rsidRPr="006B42D6">
        <w:t>27.4 percent)</w:t>
      </w:r>
      <w:r w:rsidR="00CD3224" w:rsidRPr="006B42D6">
        <w:t xml:space="preserve"> while</w:t>
      </w:r>
      <w:r w:rsidRPr="006B42D6">
        <w:t xml:space="preserve"> Mjini Magharibi had </w:t>
      </w:r>
      <w:r w:rsidR="00CD3224" w:rsidRPr="006B42D6">
        <w:t xml:space="preserve">a least </w:t>
      </w:r>
      <w:r w:rsidRPr="006B42D6">
        <w:t xml:space="preserve">production </w:t>
      </w:r>
      <w:r w:rsidR="00CD3224" w:rsidRPr="006B42D6">
        <w:t>(</w:t>
      </w:r>
      <w:r w:rsidRPr="006B42D6">
        <w:t>9 tons</w:t>
      </w:r>
      <w:r w:rsidR="00CD3224" w:rsidRPr="006B42D6">
        <w:t xml:space="preserve">; </w:t>
      </w:r>
      <w:r w:rsidRPr="006B42D6">
        <w:t>1.</w:t>
      </w:r>
      <w:r w:rsidR="00CD3224" w:rsidRPr="006B42D6">
        <w:t>2</w:t>
      </w:r>
      <w:r w:rsidRPr="006B42D6">
        <w:t xml:space="preserve"> percent) </w:t>
      </w:r>
    </w:p>
    <w:p w14:paraId="370D9E35" w14:textId="77777777" w:rsidR="00DD78AA" w:rsidRPr="006B42D6" w:rsidRDefault="00DD78AA" w:rsidP="00A51CC7">
      <w:pPr>
        <w:spacing w:line="240" w:lineRule="auto"/>
      </w:pPr>
    </w:p>
    <w:p w14:paraId="21F88D5A" w14:textId="6F158FB0" w:rsidR="00864920" w:rsidRDefault="00864920" w:rsidP="0072387B">
      <w:r w:rsidRPr="006B42D6">
        <w:t xml:space="preserve">Moreover, results show that, the average productivity of groundnuts in Tanzania was 1.3 tons/ha (1.3 tons/ha in </w:t>
      </w:r>
      <w:r w:rsidR="00EA1552">
        <w:t>Mainland Tanzania</w:t>
      </w:r>
      <w:r w:rsidRPr="006B42D6">
        <w:t xml:space="preserve"> and 0.7 tons/ha in Tanzania Zanzibar). The highest productivity was in Pwani region (2.6 tons/ha), followed by Dar es Salaam (2.3 tons/ha) and Iringa (2.1 tons/ha). On the other hand, the lowest productivity was in Lindi and Mtwara regions each with 1.0 tons/ha. In </w:t>
      </w:r>
      <w:r w:rsidR="004338FE" w:rsidRPr="006B42D6">
        <w:t xml:space="preserve">Tanzania </w:t>
      </w:r>
      <w:r w:rsidRPr="006B42D6">
        <w:t>Zanzibar, the highest productivity was in Kaskazini Unguja region (0.8 tons/ha) while the least productivity was in Mjini Magharibi (0.2 tons/ha) (Table 3.3).</w:t>
      </w:r>
    </w:p>
    <w:p w14:paraId="3042C7E8" w14:textId="4FD3526B" w:rsidR="00883C16" w:rsidRDefault="00883C16">
      <w:pPr>
        <w:spacing w:line="240" w:lineRule="auto"/>
        <w:contextualSpacing w:val="0"/>
        <w:jc w:val="left"/>
      </w:pPr>
      <w:r>
        <w:br w:type="page"/>
      </w:r>
    </w:p>
    <w:p w14:paraId="547112EB" w14:textId="1A7FCF51" w:rsidR="00E16412" w:rsidRPr="006B42D6" w:rsidRDefault="00E16412" w:rsidP="007200F6">
      <w:pPr>
        <w:pStyle w:val="Heading7"/>
      </w:pPr>
      <w:bookmarkStart w:id="192" w:name="_Toc82386185"/>
      <w:r w:rsidRPr="006B42D6">
        <w:lastRenderedPageBreak/>
        <w:t>Table</w:t>
      </w:r>
      <w:r w:rsidR="00464C4B" w:rsidRPr="006B42D6">
        <w:t xml:space="preserve"> 3.3</w:t>
      </w:r>
      <w:r w:rsidR="00FC7400">
        <w:t>:</w:t>
      </w:r>
      <w:r w:rsidR="0072387B">
        <w:tab/>
      </w:r>
      <w:r w:rsidRPr="006B42D6">
        <w:t xml:space="preserve">Planted </w:t>
      </w:r>
      <w:r w:rsidR="00864920" w:rsidRPr="006B42D6">
        <w:t xml:space="preserve">and Harvested </w:t>
      </w:r>
      <w:r w:rsidRPr="006B42D6">
        <w:t>Area, Quantity Harvested and Yield</w:t>
      </w:r>
      <w:r w:rsidR="00864920" w:rsidRPr="006B42D6">
        <w:t xml:space="preserve"> </w:t>
      </w:r>
      <w:r w:rsidRPr="006B42D6">
        <w:t xml:space="preserve">of Groundnuts by Region </w:t>
      </w:r>
      <w:r w:rsidR="0072387B">
        <w:t>D</w:t>
      </w:r>
      <w:r w:rsidRPr="006B42D6">
        <w:t xml:space="preserve">uring 2019/20 </w:t>
      </w:r>
      <w:r w:rsidR="00864920" w:rsidRPr="006B42D6">
        <w:t>A</w:t>
      </w:r>
      <w:r w:rsidRPr="006B42D6">
        <w:t>gricultural Year</w:t>
      </w:r>
      <w:r w:rsidR="00864920" w:rsidRPr="006B42D6">
        <w:t>, Tanzania</w:t>
      </w:r>
      <w:bookmarkEnd w:id="192"/>
    </w:p>
    <w:tbl>
      <w:tblPr>
        <w:tblW w:w="0" w:type="auto"/>
        <w:tblLook w:val="04A0" w:firstRow="1" w:lastRow="0" w:firstColumn="1" w:lastColumn="0" w:noHBand="0" w:noVBand="1"/>
      </w:tblPr>
      <w:tblGrid>
        <w:gridCol w:w="1900"/>
        <w:gridCol w:w="1627"/>
        <w:gridCol w:w="1838"/>
        <w:gridCol w:w="2294"/>
        <w:gridCol w:w="1422"/>
      </w:tblGrid>
      <w:tr w:rsidR="006B42D6" w:rsidRPr="006B42D6" w14:paraId="7AF08D95" w14:textId="77777777" w:rsidTr="00D972DA">
        <w:trPr>
          <w:trHeight w:val="371"/>
        </w:trPr>
        <w:tc>
          <w:tcPr>
            <w:tcW w:w="0" w:type="auto"/>
            <w:tcBorders>
              <w:top w:val="single" w:sz="4" w:space="0" w:color="auto"/>
              <w:left w:val="nil"/>
              <w:bottom w:val="single" w:sz="4" w:space="0" w:color="000000"/>
            </w:tcBorders>
            <w:shd w:val="clear" w:color="auto" w:fill="E2EFD9" w:themeFill="accent6" w:themeFillTint="33"/>
            <w:hideMark/>
          </w:tcPr>
          <w:p w14:paraId="416DCE54" w14:textId="7858AB19" w:rsidR="00CD0F26" w:rsidRPr="006B42D6" w:rsidRDefault="00D972DA" w:rsidP="00883C16">
            <w:pPr>
              <w:jc w:val="left"/>
              <w:rPr>
                <w:sz w:val="20"/>
                <w:szCs w:val="20"/>
              </w:rPr>
            </w:pPr>
            <w:r>
              <w:rPr>
                <w:sz w:val="20"/>
                <w:szCs w:val="20"/>
              </w:rPr>
              <w:t>Region</w:t>
            </w:r>
          </w:p>
        </w:tc>
        <w:tc>
          <w:tcPr>
            <w:tcW w:w="0" w:type="auto"/>
            <w:tcBorders>
              <w:top w:val="single" w:sz="4" w:space="0" w:color="auto"/>
              <w:bottom w:val="single" w:sz="4" w:space="0" w:color="auto"/>
              <w:right w:val="nil"/>
            </w:tcBorders>
            <w:shd w:val="clear" w:color="auto" w:fill="E2EFD9" w:themeFill="accent6" w:themeFillTint="33"/>
            <w:vAlign w:val="bottom"/>
            <w:hideMark/>
          </w:tcPr>
          <w:p w14:paraId="2C915651" w14:textId="089FD5B4" w:rsidR="00CD0F26" w:rsidRPr="006B42D6" w:rsidRDefault="00CD0F26" w:rsidP="004D716C">
            <w:pPr>
              <w:jc w:val="left"/>
              <w:rPr>
                <w:sz w:val="20"/>
                <w:szCs w:val="20"/>
              </w:rPr>
            </w:pPr>
            <w:r w:rsidRPr="006B42D6">
              <w:rPr>
                <w:sz w:val="20"/>
                <w:szCs w:val="20"/>
              </w:rPr>
              <w:t>Planted Area (ha)</w:t>
            </w:r>
          </w:p>
        </w:tc>
        <w:tc>
          <w:tcPr>
            <w:tcW w:w="0" w:type="auto"/>
            <w:tcBorders>
              <w:top w:val="single" w:sz="4" w:space="0" w:color="auto"/>
              <w:left w:val="nil"/>
              <w:bottom w:val="single" w:sz="4" w:space="0" w:color="auto"/>
              <w:right w:val="nil"/>
            </w:tcBorders>
            <w:shd w:val="clear" w:color="auto" w:fill="E2EFD9" w:themeFill="accent6" w:themeFillTint="33"/>
            <w:vAlign w:val="bottom"/>
            <w:hideMark/>
          </w:tcPr>
          <w:p w14:paraId="5EA9272F" w14:textId="0C4C35EB" w:rsidR="00CD0F26" w:rsidRPr="006B42D6" w:rsidRDefault="00CD0F26" w:rsidP="004D716C">
            <w:pPr>
              <w:jc w:val="left"/>
              <w:rPr>
                <w:sz w:val="20"/>
                <w:szCs w:val="20"/>
              </w:rPr>
            </w:pPr>
            <w:r w:rsidRPr="006B42D6">
              <w:rPr>
                <w:sz w:val="20"/>
                <w:szCs w:val="20"/>
              </w:rPr>
              <w:t>Harvested Area (ha)</w:t>
            </w:r>
          </w:p>
        </w:tc>
        <w:tc>
          <w:tcPr>
            <w:tcW w:w="0" w:type="auto"/>
            <w:tcBorders>
              <w:top w:val="single" w:sz="4" w:space="0" w:color="auto"/>
              <w:left w:val="nil"/>
              <w:bottom w:val="single" w:sz="4" w:space="0" w:color="auto"/>
              <w:right w:val="nil"/>
            </w:tcBorders>
            <w:shd w:val="clear" w:color="auto" w:fill="E2EFD9" w:themeFill="accent6" w:themeFillTint="33"/>
            <w:vAlign w:val="bottom"/>
            <w:hideMark/>
          </w:tcPr>
          <w:p w14:paraId="1A511409" w14:textId="10F9D678" w:rsidR="00CD0F26" w:rsidRPr="006B42D6" w:rsidRDefault="00CD0F26" w:rsidP="004D716C">
            <w:pPr>
              <w:jc w:val="left"/>
              <w:rPr>
                <w:sz w:val="20"/>
                <w:szCs w:val="20"/>
              </w:rPr>
            </w:pPr>
            <w:r w:rsidRPr="006B42D6">
              <w:rPr>
                <w:sz w:val="20"/>
                <w:szCs w:val="20"/>
              </w:rPr>
              <w:t>Quantity Harvested (tons)</w:t>
            </w:r>
          </w:p>
        </w:tc>
        <w:tc>
          <w:tcPr>
            <w:tcW w:w="0" w:type="auto"/>
            <w:tcBorders>
              <w:top w:val="single" w:sz="4" w:space="0" w:color="auto"/>
              <w:left w:val="nil"/>
              <w:bottom w:val="single" w:sz="4" w:space="0" w:color="auto"/>
              <w:right w:val="nil"/>
            </w:tcBorders>
            <w:shd w:val="clear" w:color="auto" w:fill="E2EFD9" w:themeFill="accent6" w:themeFillTint="33"/>
            <w:vAlign w:val="bottom"/>
            <w:hideMark/>
          </w:tcPr>
          <w:p w14:paraId="337A6E91" w14:textId="7586CF80" w:rsidR="00CD0F26" w:rsidRPr="006B42D6" w:rsidRDefault="00CD0F26" w:rsidP="004D716C">
            <w:pPr>
              <w:jc w:val="left"/>
              <w:rPr>
                <w:sz w:val="20"/>
                <w:szCs w:val="20"/>
              </w:rPr>
            </w:pPr>
            <w:r w:rsidRPr="006B42D6">
              <w:rPr>
                <w:sz w:val="20"/>
                <w:szCs w:val="20"/>
              </w:rPr>
              <w:t>Yield (tons/ha)</w:t>
            </w:r>
          </w:p>
        </w:tc>
      </w:tr>
      <w:tr w:rsidR="006B42D6" w:rsidRPr="006B42D6" w14:paraId="04AFBD0B" w14:textId="77777777" w:rsidTr="00AC6068">
        <w:trPr>
          <w:trHeight w:hRule="exact" w:val="340"/>
        </w:trPr>
        <w:tc>
          <w:tcPr>
            <w:tcW w:w="0" w:type="auto"/>
            <w:tcBorders>
              <w:top w:val="nil"/>
              <w:left w:val="nil"/>
              <w:bottom w:val="nil"/>
            </w:tcBorders>
            <w:shd w:val="clear" w:color="auto" w:fill="auto"/>
            <w:noWrap/>
            <w:vAlign w:val="bottom"/>
            <w:hideMark/>
          </w:tcPr>
          <w:p w14:paraId="79749652" w14:textId="77777777" w:rsidR="00CD0F26" w:rsidRPr="006B42D6" w:rsidRDefault="00CD0F26" w:rsidP="00CD0F26">
            <w:pPr>
              <w:rPr>
                <w:sz w:val="20"/>
                <w:szCs w:val="20"/>
              </w:rPr>
            </w:pPr>
            <w:r w:rsidRPr="006B42D6">
              <w:rPr>
                <w:sz w:val="20"/>
                <w:szCs w:val="20"/>
              </w:rPr>
              <w:t>Dodoma</w:t>
            </w:r>
          </w:p>
        </w:tc>
        <w:tc>
          <w:tcPr>
            <w:tcW w:w="0" w:type="auto"/>
            <w:tcBorders>
              <w:top w:val="nil"/>
              <w:bottom w:val="nil"/>
              <w:right w:val="nil"/>
            </w:tcBorders>
            <w:shd w:val="clear" w:color="auto" w:fill="auto"/>
            <w:noWrap/>
            <w:vAlign w:val="bottom"/>
            <w:hideMark/>
          </w:tcPr>
          <w:p w14:paraId="08B7B81C" w14:textId="5D402575" w:rsidR="00CD0F26" w:rsidRPr="006B42D6" w:rsidRDefault="00CD0F26" w:rsidP="00CD0F26">
            <w:pPr>
              <w:jc w:val="right"/>
              <w:rPr>
                <w:sz w:val="20"/>
                <w:szCs w:val="20"/>
              </w:rPr>
            </w:pPr>
            <w:r w:rsidRPr="006B42D6">
              <w:rPr>
                <w:sz w:val="20"/>
                <w:szCs w:val="20"/>
              </w:rPr>
              <w:t>132,427</w:t>
            </w:r>
          </w:p>
        </w:tc>
        <w:tc>
          <w:tcPr>
            <w:tcW w:w="0" w:type="auto"/>
            <w:tcBorders>
              <w:top w:val="nil"/>
              <w:left w:val="nil"/>
              <w:bottom w:val="nil"/>
              <w:right w:val="nil"/>
            </w:tcBorders>
            <w:shd w:val="clear" w:color="auto" w:fill="auto"/>
            <w:noWrap/>
            <w:vAlign w:val="bottom"/>
            <w:hideMark/>
          </w:tcPr>
          <w:p w14:paraId="0B1EC871" w14:textId="29FDF35C" w:rsidR="00CD0F26" w:rsidRPr="006B42D6" w:rsidRDefault="00CD0F26" w:rsidP="00CD0F26">
            <w:pPr>
              <w:jc w:val="right"/>
              <w:rPr>
                <w:sz w:val="20"/>
                <w:szCs w:val="20"/>
              </w:rPr>
            </w:pPr>
            <w:r w:rsidRPr="006B42D6">
              <w:rPr>
                <w:sz w:val="20"/>
                <w:szCs w:val="20"/>
              </w:rPr>
              <w:t>126,539</w:t>
            </w:r>
          </w:p>
        </w:tc>
        <w:tc>
          <w:tcPr>
            <w:tcW w:w="0" w:type="auto"/>
            <w:tcBorders>
              <w:top w:val="nil"/>
              <w:left w:val="nil"/>
              <w:bottom w:val="nil"/>
              <w:right w:val="nil"/>
            </w:tcBorders>
            <w:shd w:val="clear" w:color="auto" w:fill="auto"/>
            <w:noWrap/>
            <w:vAlign w:val="bottom"/>
            <w:hideMark/>
          </w:tcPr>
          <w:p w14:paraId="36FC485B" w14:textId="28343B5D" w:rsidR="00CD0F26" w:rsidRPr="006B42D6" w:rsidRDefault="00CD0F26" w:rsidP="00CD0F26">
            <w:pPr>
              <w:jc w:val="right"/>
              <w:rPr>
                <w:sz w:val="20"/>
                <w:szCs w:val="20"/>
              </w:rPr>
            </w:pPr>
            <w:r w:rsidRPr="006B42D6">
              <w:rPr>
                <w:sz w:val="20"/>
                <w:szCs w:val="20"/>
              </w:rPr>
              <w:t>176,287</w:t>
            </w:r>
          </w:p>
        </w:tc>
        <w:tc>
          <w:tcPr>
            <w:tcW w:w="0" w:type="auto"/>
            <w:tcBorders>
              <w:top w:val="nil"/>
              <w:left w:val="nil"/>
              <w:bottom w:val="nil"/>
              <w:right w:val="nil"/>
            </w:tcBorders>
            <w:shd w:val="clear" w:color="auto" w:fill="auto"/>
            <w:noWrap/>
            <w:vAlign w:val="bottom"/>
            <w:hideMark/>
          </w:tcPr>
          <w:p w14:paraId="07709278" w14:textId="0EA56926" w:rsidR="00CD0F26" w:rsidRPr="006B42D6" w:rsidRDefault="00CD0F26" w:rsidP="00CD0F26">
            <w:pPr>
              <w:jc w:val="right"/>
              <w:rPr>
                <w:sz w:val="20"/>
                <w:szCs w:val="20"/>
              </w:rPr>
            </w:pPr>
            <w:r w:rsidRPr="006B42D6">
              <w:rPr>
                <w:sz w:val="20"/>
                <w:szCs w:val="20"/>
              </w:rPr>
              <w:t>1.4</w:t>
            </w:r>
          </w:p>
        </w:tc>
      </w:tr>
      <w:tr w:rsidR="006B42D6" w:rsidRPr="006B42D6" w14:paraId="6472FB7C" w14:textId="77777777" w:rsidTr="00AC6068">
        <w:trPr>
          <w:trHeight w:hRule="exact" w:val="340"/>
        </w:trPr>
        <w:tc>
          <w:tcPr>
            <w:tcW w:w="0" w:type="auto"/>
            <w:tcBorders>
              <w:top w:val="nil"/>
              <w:left w:val="nil"/>
              <w:bottom w:val="nil"/>
            </w:tcBorders>
            <w:shd w:val="clear" w:color="auto" w:fill="auto"/>
            <w:noWrap/>
            <w:vAlign w:val="bottom"/>
            <w:hideMark/>
          </w:tcPr>
          <w:p w14:paraId="64F4125B" w14:textId="77777777" w:rsidR="00CD0F26" w:rsidRPr="006B42D6" w:rsidRDefault="00CD0F26" w:rsidP="00CD0F26">
            <w:pPr>
              <w:rPr>
                <w:sz w:val="20"/>
                <w:szCs w:val="20"/>
              </w:rPr>
            </w:pPr>
            <w:r w:rsidRPr="006B42D6">
              <w:rPr>
                <w:sz w:val="20"/>
                <w:szCs w:val="20"/>
              </w:rPr>
              <w:t>Arusha</w:t>
            </w:r>
          </w:p>
        </w:tc>
        <w:tc>
          <w:tcPr>
            <w:tcW w:w="0" w:type="auto"/>
            <w:tcBorders>
              <w:top w:val="nil"/>
              <w:bottom w:val="nil"/>
              <w:right w:val="nil"/>
            </w:tcBorders>
            <w:shd w:val="clear" w:color="auto" w:fill="auto"/>
            <w:noWrap/>
            <w:vAlign w:val="bottom"/>
            <w:hideMark/>
          </w:tcPr>
          <w:p w14:paraId="02711237" w14:textId="20038B06" w:rsidR="00CD0F26" w:rsidRPr="006B42D6" w:rsidRDefault="00CD0F26" w:rsidP="00CD0F26">
            <w:pPr>
              <w:jc w:val="right"/>
              <w:rPr>
                <w:sz w:val="20"/>
                <w:szCs w:val="20"/>
              </w:rPr>
            </w:pPr>
            <w:r w:rsidRPr="006B42D6">
              <w:rPr>
                <w:sz w:val="20"/>
                <w:szCs w:val="20"/>
              </w:rPr>
              <w:t>-</w:t>
            </w:r>
          </w:p>
        </w:tc>
        <w:tc>
          <w:tcPr>
            <w:tcW w:w="0" w:type="auto"/>
            <w:tcBorders>
              <w:top w:val="nil"/>
              <w:left w:val="nil"/>
              <w:bottom w:val="nil"/>
              <w:right w:val="nil"/>
            </w:tcBorders>
            <w:shd w:val="clear" w:color="auto" w:fill="auto"/>
            <w:noWrap/>
            <w:vAlign w:val="bottom"/>
            <w:hideMark/>
          </w:tcPr>
          <w:p w14:paraId="46D483B3" w14:textId="68E33A52" w:rsidR="00CD0F26" w:rsidRPr="006B42D6" w:rsidRDefault="00CD0F26" w:rsidP="00CD0F26">
            <w:pPr>
              <w:jc w:val="right"/>
              <w:rPr>
                <w:sz w:val="20"/>
                <w:szCs w:val="20"/>
              </w:rPr>
            </w:pPr>
            <w:r w:rsidRPr="006B42D6">
              <w:rPr>
                <w:sz w:val="20"/>
                <w:szCs w:val="20"/>
              </w:rPr>
              <w:t>-</w:t>
            </w:r>
          </w:p>
        </w:tc>
        <w:tc>
          <w:tcPr>
            <w:tcW w:w="0" w:type="auto"/>
            <w:tcBorders>
              <w:top w:val="nil"/>
              <w:left w:val="nil"/>
              <w:bottom w:val="nil"/>
              <w:right w:val="nil"/>
            </w:tcBorders>
            <w:shd w:val="clear" w:color="auto" w:fill="auto"/>
            <w:noWrap/>
            <w:vAlign w:val="bottom"/>
            <w:hideMark/>
          </w:tcPr>
          <w:p w14:paraId="61CD3AF3" w14:textId="166D3135" w:rsidR="00CD0F26" w:rsidRPr="006B42D6" w:rsidRDefault="00CD0F26" w:rsidP="00CD0F26">
            <w:pPr>
              <w:jc w:val="right"/>
              <w:rPr>
                <w:sz w:val="20"/>
                <w:szCs w:val="20"/>
              </w:rPr>
            </w:pPr>
            <w:r w:rsidRPr="006B42D6">
              <w:rPr>
                <w:sz w:val="20"/>
                <w:szCs w:val="20"/>
              </w:rPr>
              <w:t>-</w:t>
            </w:r>
          </w:p>
        </w:tc>
        <w:tc>
          <w:tcPr>
            <w:tcW w:w="0" w:type="auto"/>
            <w:tcBorders>
              <w:top w:val="nil"/>
              <w:left w:val="nil"/>
              <w:bottom w:val="nil"/>
              <w:right w:val="nil"/>
            </w:tcBorders>
            <w:shd w:val="clear" w:color="auto" w:fill="auto"/>
            <w:noWrap/>
            <w:vAlign w:val="bottom"/>
            <w:hideMark/>
          </w:tcPr>
          <w:p w14:paraId="195B73B7" w14:textId="4B13D728" w:rsidR="00CD0F26" w:rsidRPr="006B42D6" w:rsidRDefault="00CD0F26" w:rsidP="00CD0F26">
            <w:pPr>
              <w:jc w:val="right"/>
              <w:rPr>
                <w:sz w:val="20"/>
                <w:szCs w:val="20"/>
              </w:rPr>
            </w:pPr>
            <w:r w:rsidRPr="006B42D6">
              <w:rPr>
                <w:sz w:val="20"/>
                <w:szCs w:val="20"/>
              </w:rPr>
              <w:t>-</w:t>
            </w:r>
          </w:p>
        </w:tc>
      </w:tr>
      <w:tr w:rsidR="006B42D6" w:rsidRPr="006B42D6" w14:paraId="4C34305D" w14:textId="77777777" w:rsidTr="00AC6068">
        <w:trPr>
          <w:trHeight w:hRule="exact" w:val="340"/>
        </w:trPr>
        <w:tc>
          <w:tcPr>
            <w:tcW w:w="0" w:type="auto"/>
            <w:tcBorders>
              <w:top w:val="nil"/>
              <w:left w:val="nil"/>
              <w:bottom w:val="nil"/>
            </w:tcBorders>
            <w:shd w:val="clear" w:color="auto" w:fill="auto"/>
            <w:noWrap/>
            <w:vAlign w:val="bottom"/>
            <w:hideMark/>
          </w:tcPr>
          <w:p w14:paraId="2A26B33E" w14:textId="77777777" w:rsidR="00CD0F26" w:rsidRPr="006B42D6" w:rsidRDefault="00CD0F26" w:rsidP="00CD0F26">
            <w:pPr>
              <w:rPr>
                <w:sz w:val="20"/>
                <w:szCs w:val="20"/>
              </w:rPr>
            </w:pPr>
            <w:r w:rsidRPr="006B42D6">
              <w:rPr>
                <w:sz w:val="20"/>
                <w:szCs w:val="20"/>
              </w:rPr>
              <w:t>Kilimanjaro</w:t>
            </w:r>
          </w:p>
        </w:tc>
        <w:tc>
          <w:tcPr>
            <w:tcW w:w="0" w:type="auto"/>
            <w:tcBorders>
              <w:top w:val="nil"/>
              <w:bottom w:val="nil"/>
              <w:right w:val="nil"/>
            </w:tcBorders>
            <w:shd w:val="clear" w:color="auto" w:fill="auto"/>
            <w:noWrap/>
            <w:vAlign w:val="bottom"/>
            <w:hideMark/>
          </w:tcPr>
          <w:p w14:paraId="29B71A48" w14:textId="3D49E115" w:rsidR="00CD0F26" w:rsidRPr="006B42D6" w:rsidRDefault="00CD0F26" w:rsidP="00CD0F26">
            <w:pPr>
              <w:jc w:val="right"/>
              <w:rPr>
                <w:sz w:val="20"/>
                <w:szCs w:val="20"/>
              </w:rPr>
            </w:pPr>
            <w:r w:rsidRPr="006B42D6">
              <w:rPr>
                <w:sz w:val="20"/>
                <w:szCs w:val="20"/>
              </w:rPr>
              <w:t>2,065</w:t>
            </w:r>
          </w:p>
        </w:tc>
        <w:tc>
          <w:tcPr>
            <w:tcW w:w="0" w:type="auto"/>
            <w:tcBorders>
              <w:top w:val="nil"/>
              <w:left w:val="nil"/>
              <w:bottom w:val="nil"/>
              <w:right w:val="nil"/>
            </w:tcBorders>
            <w:shd w:val="clear" w:color="auto" w:fill="auto"/>
            <w:noWrap/>
            <w:vAlign w:val="bottom"/>
            <w:hideMark/>
          </w:tcPr>
          <w:p w14:paraId="7077FDF1" w14:textId="582961CD" w:rsidR="00CD0F26" w:rsidRPr="006B42D6" w:rsidRDefault="00CD0F26" w:rsidP="00CD0F26">
            <w:pPr>
              <w:jc w:val="right"/>
              <w:rPr>
                <w:sz w:val="20"/>
                <w:szCs w:val="20"/>
              </w:rPr>
            </w:pPr>
            <w:r w:rsidRPr="006B42D6">
              <w:rPr>
                <w:sz w:val="20"/>
                <w:szCs w:val="20"/>
              </w:rPr>
              <w:t>1,999</w:t>
            </w:r>
          </w:p>
        </w:tc>
        <w:tc>
          <w:tcPr>
            <w:tcW w:w="0" w:type="auto"/>
            <w:tcBorders>
              <w:top w:val="nil"/>
              <w:left w:val="nil"/>
              <w:bottom w:val="nil"/>
              <w:right w:val="nil"/>
            </w:tcBorders>
            <w:shd w:val="clear" w:color="auto" w:fill="auto"/>
            <w:noWrap/>
            <w:vAlign w:val="bottom"/>
            <w:hideMark/>
          </w:tcPr>
          <w:p w14:paraId="4655F2D2" w14:textId="1625FC90" w:rsidR="00CD0F26" w:rsidRPr="006B42D6" w:rsidRDefault="00CD0F26" w:rsidP="00CD0F26">
            <w:pPr>
              <w:jc w:val="right"/>
              <w:rPr>
                <w:sz w:val="20"/>
                <w:szCs w:val="20"/>
              </w:rPr>
            </w:pPr>
            <w:r w:rsidRPr="006B42D6">
              <w:rPr>
                <w:sz w:val="20"/>
                <w:szCs w:val="20"/>
              </w:rPr>
              <w:t>2,919</w:t>
            </w:r>
          </w:p>
        </w:tc>
        <w:tc>
          <w:tcPr>
            <w:tcW w:w="0" w:type="auto"/>
            <w:tcBorders>
              <w:top w:val="nil"/>
              <w:left w:val="nil"/>
              <w:bottom w:val="nil"/>
              <w:right w:val="nil"/>
            </w:tcBorders>
            <w:shd w:val="clear" w:color="auto" w:fill="auto"/>
            <w:noWrap/>
            <w:vAlign w:val="bottom"/>
            <w:hideMark/>
          </w:tcPr>
          <w:p w14:paraId="6A514E42" w14:textId="04015047" w:rsidR="00CD0F26" w:rsidRPr="006B42D6" w:rsidRDefault="00CD0F26" w:rsidP="00CD0F26">
            <w:pPr>
              <w:jc w:val="right"/>
              <w:rPr>
                <w:sz w:val="20"/>
                <w:szCs w:val="20"/>
              </w:rPr>
            </w:pPr>
            <w:r w:rsidRPr="006B42D6">
              <w:rPr>
                <w:sz w:val="20"/>
                <w:szCs w:val="20"/>
              </w:rPr>
              <w:t>1.5</w:t>
            </w:r>
          </w:p>
        </w:tc>
      </w:tr>
      <w:tr w:rsidR="006B42D6" w:rsidRPr="006B42D6" w14:paraId="7279C280" w14:textId="77777777" w:rsidTr="00AC6068">
        <w:trPr>
          <w:trHeight w:hRule="exact" w:val="340"/>
        </w:trPr>
        <w:tc>
          <w:tcPr>
            <w:tcW w:w="0" w:type="auto"/>
            <w:tcBorders>
              <w:top w:val="nil"/>
              <w:left w:val="nil"/>
              <w:bottom w:val="nil"/>
            </w:tcBorders>
            <w:shd w:val="clear" w:color="auto" w:fill="auto"/>
            <w:noWrap/>
            <w:vAlign w:val="bottom"/>
            <w:hideMark/>
          </w:tcPr>
          <w:p w14:paraId="09303954" w14:textId="77777777" w:rsidR="00CD0F26" w:rsidRPr="006B42D6" w:rsidRDefault="00CD0F26" w:rsidP="00CD0F26">
            <w:pPr>
              <w:rPr>
                <w:sz w:val="20"/>
                <w:szCs w:val="20"/>
              </w:rPr>
            </w:pPr>
            <w:r w:rsidRPr="006B42D6">
              <w:rPr>
                <w:sz w:val="20"/>
                <w:szCs w:val="20"/>
              </w:rPr>
              <w:t>Tanga</w:t>
            </w:r>
          </w:p>
        </w:tc>
        <w:tc>
          <w:tcPr>
            <w:tcW w:w="0" w:type="auto"/>
            <w:tcBorders>
              <w:top w:val="nil"/>
              <w:bottom w:val="nil"/>
              <w:right w:val="nil"/>
            </w:tcBorders>
            <w:shd w:val="clear" w:color="auto" w:fill="auto"/>
            <w:noWrap/>
            <w:vAlign w:val="bottom"/>
            <w:hideMark/>
          </w:tcPr>
          <w:p w14:paraId="1A140151" w14:textId="365A1653" w:rsidR="00CD0F26" w:rsidRPr="006B42D6" w:rsidRDefault="00CD0F26" w:rsidP="00CD0F26">
            <w:pPr>
              <w:jc w:val="right"/>
              <w:rPr>
                <w:sz w:val="20"/>
                <w:szCs w:val="20"/>
              </w:rPr>
            </w:pPr>
            <w:r w:rsidRPr="006B42D6">
              <w:rPr>
                <w:sz w:val="20"/>
                <w:szCs w:val="20"/>
              </w:rPr>
              <w:t>2,932</w:t>
            </w:r>
          </w:p>
        </w:tc>
        <w:tc>
          <w:tcPr>
            <w:tcW w:w="0" w:type="auto"/>
            <w:tcBorders>
              <w:top w:val="nil"/>
              <w:left w:val="nil"/>
              <w:bottom w:val="nil"/>
              <w:right w:val="nil"/>
            </w:tcBorders>
            <w:shd w:val="clear" w:color="auto" w:fill="auto"/>
            <w:noWrap/>
            <w:vAlign w:val="bottom"/>
            <w:hideMark/>
          </w:tcPr>
          <w:p w14:paraId="0C8343F1" w14:textId="4DFAE3E4" w:rsidR="00CD0F26" w:rsidRPr="006B42D6" w:rsidRDefault="00CD0F26" w:rsidP="00CD0F26">
            <w:pPr>
              <w:jc w:val="right"/>
              <w:rPr>
                <w:sz w:val="20"/>
                <w:szCs w:val="20"/>
              </w:rPr>
            </w:pPr>
            <w:r w:rsidRPr="006B42D6">
              <w:rPr>
                <w:sz w:val="20"/>
                <w:szCs w:val="20"/>
              </w:rPr>
              <w:t>2,743</w:t>
            </w:r>
          </w:p>
        </w:tc>
        <w:tc>
          <w:tcPr>
            <w:tcW w:w="0" w:type="auto"/>
            <w:tcBorders>
              <w:top w:val="nil"/>
              <w:left w:val="nil"/>
              <w:bottom w:val="nil"/>
              <w:right w:val="nil"/>
            </w:tcBorders>
            <w:shd w:val="clear" w:color="auto" w:fill="auto"/>
            <w:noWrap/>
            <w:vAlign w:val="bottom"/>
            <w:hideMark/>
          </w:tcPr>
          <w:p w14:paraId="22D21AEB" w14:textId="491801C1" w:rsidR="00CD0F26" w:rsidRPr="006B42D6" w:rsidRDefault="00CD0F26" w:rsidP="00CD0F26">
            <w:pPr>
              <w:jc w:val="right"/>
              <w:rPr>
                <w:sz w:val="20"/>
                <w:szCs w:val="20"/>
              </w:rPr>
            </w:pPr>
            <w:r w:rsidRPr="006B42D6">
              <w:rPr>
                <w:sz w:val="20"/>
                <w:szCs w:val="20"/>
              </w:rPr>
              <w:t>3,331</w:t>
            </w:r>
          </w:p>
        </w:tc>
        <w:tc>
          <w:tcPr>
            <w:tcW w:w="0" w:type="auto"/>
            <w:tcBorders>
              <w:top w:val="nil"/>
              <w:left w:val="nil"/>
              <w:bottom w:val="nil"/>
              <w:right w:val="nil"/>
            </w:tcBorders>
            <w:shd w:val="clear" w:color="auto" w:fill="auto"/>
            <w:noWrap/>
            <w:vAlign w:val="bottom"/>
            <w:hideMark/>
          </w:tcPr>
          <w:p w14:paraId="715F5CD8" w14:textId="09626E9C" w:rsidR="00CD0F26" w:rsidRPr="006B42D6" w:rsidRDefault="00CD0F26" w:rsidP="00CD0F26">
            <w:pPr>
              <w:jc w:val="right"/>
              <w:rPr>
                <w:sz w:val="20"/>
                <w:szCs w:val="20"/>
              </w:rPr>
            </w:pPr>
            <w:r w:rsidRPr="006B42D6">
              <w:rPr>
                <w:sz w:val="20"/>
                <w:szCs w:val="20"/>
              </w:rPr>
              <w:t>1.2</w:t>
            </w:r>
          </w:p>
        </w:tc>
      </w:tr>
      <w:tr w:rsidR="006B42D6" w:rsidRPr="006B42D6" w14:paraId="59571F63" w14:textId="77777777" w:rsidTr="00AC6068">
        <w:trPr>
          <w:trHeight w:hRule="exact" w:val="340"/>
        </w:trPr>
        <w:tc>
          <w:tcPr>
            <w:tcW w:w="0" w:type="auto"/>
            <w:tcBorders>
              <w:top w:val="nil"/>
              <w:left w:val="nil"/>
              <w:bottom w:val="nil"/>
            </w:tcBorders>
            <w:shd w:val="clear" w:color="auto" w:fill="auto"/>
            <w:noWrap/>
            <w:vAlign w:val="bottom"/>
            <w:hideMark/>
          </w:tcPr>
          <w:p w14:paraId="4427A867" w14:textId="77777777" w:rsidR="00CD0F26" w:rsidRPr="006B42D6" w:rsidRDefault="00CD0F26" w:rsidP="00CD0F26">
            <w:pPr>
              <w:rPr>
                <w:sz w:val="20"/>
                <w:szCs w:val="20"/>
              </w:rPr>
            </w:pPr>
            <w:r w:rsidRPr="006B42D6">
              <w:rPr>
                <w:sz w:val="20"/>
                <w:szCs w:val="20"/>
              </w:rPr>
              <w:t>Morogoro</w:t>
            </w:r>
          </w:p>
        </w:tc>
        <w:tc>
          <w:tcPr>
            <w:tcW w:w="0" w:type="auto"/>
            <w:tcBorders>
              <w:top w:val="nil"/>
              <w:bottom w:val="nil"/>
              <w:right w:val="nil"/>
            </w:tcBorders>
            <w:shd w:val="clear" w:color="auto" w:fill="auto"/>
            <w:noWrap/>
            <w:vAlign w:val="bottom"/>
            <w:hideMark/>
          </w:tcPr>
          <w:p w14:paraId="407453A8" w14:textId="6B59BFDB" w:rsidR="00CD0F26" w:rsidRPr="006B42D6" w:rsidRDefault="00CD0F26" w:rsidP="00CD0F26">
            <w:pPr>
              <w:jc w:val="right"/>
              <w:rPr>
                <w:sz w:val="20"/>
                <w:szCs w:val="20"/>
              </w:rPr>
            </w:pPr>
            <w:r w:rsidRPr="006B42D6">
              <w:rPr>
                <w:sz w:val="20"/>
                <w:szCs w:val="20"/>
              </w:rPr>
              <w:t>4,393</w:t>
            </w:r>
          </w:p>
        </w:tc>
        <w:tc>
          <w:tcPr>
            <w:tcW w:w="0" w:type="auto"/>
            <w:tcBorders>
              <w:top w:val="nil"/>
              <w:left w:val="nil"/>
              <w:bottom w:val="nil"/>
              <w:right w:val="nil"/>
            </w:tcBorders>
            <w:shd w:val="clear" w:color="auto" w:fill="auto"/>
            <w:noWrap/>
            <w:vAlign w:val="bottom"/>
            <w:hideMark/>
          </w:tcPr>
          <w:p w14:paraId="49BA1E82" w14:textId="53BF350D" w:rsidR="00CD0F26" w:rsidRPr="006B42D6" w:rsidRDefault="00CD0F26" w:rsidP="00CD0F26">
            <w:pPr>
              <w:jc w:val="right"/>
              <w:rPr>
                <w:sz w:val="20"/>
                <w:szCs w:val="20"/>
              </w:rPr>
            </w:pPr>
            <w:r w:rsidRPr="006B42D6">
              <w:rPr>
                <w:sz w:val="20"/>
                <w:szCs w:val="20"/>
              </w:rPr>
              <w:t>4,029</w:t>
            </w:r>
          </w:p>
        </w:tc>
        <w:tc>
          <w:tcPr>
            <w:tcW w:w="0" w:type="auto"/>
            <w:tcBorders>
              <w:top w:val="nil"/>
              <w:left w:val="nil"/>
              <w:bottom w:val="nil"/>
              <w:right w:val="nil"/>
            </w:tcBorders>
            <w:shd w:val="clear" w:color="auto" w:fill="auto"/>
            <w:noWrap/>
            <w:vAlign w:val="bottom"/>
            <w:hideMark/>
          </w:tcPr>
          <w:p w14:paraId="04315033" w14:textId="1B2B3B09" w:rsidR="00CD0F26" w:rsidRPr="006B42D6" w:rsidRDefault="00CD0F26" w:rsidP="00CD0F26">
            <w:pPr>
              <w:jc w:val="right"/>
              <w:rPr>
                <w:sz w:val="20"/>
                <w:szCs w:val="20"/>
              </w:rPr>
            </w:pPr>
            <w:r w:rsidRPr="006B42D6">
              <w:rPr>
                <w:sz w:val="20"/>
                <w:szCs w:val="20"/>
              </w:rPr>
              <w:t>5,132</w:t>
            </w:r>
          </w:p>
        </w:tc>
        <w:tc>
          <w:tcPr>
            <w:tcW w:w="0" w:type="auto"/>
            <w:tcBorders>
              <w:top w:val="nil"/>
              <w:left w:val="nil"/>
              <w:bottom w:val="nil"/>
              <w:right w:val="nil"/>
            </w:tcBorders>
            <w:shd w:val="clear" w:color="auto" w:fill="auto"/>
            <w:noWrap/>
            <w:vAlign w:val="bottom"/>
            <w:hideMark/>
          </w:tcPr>
          <w:p w14:paraId="72DE6860" w14:textId="4A4417C8" w:rsidR="00CD0F26" w:rsidRPr="006B42D6" w:rsidRDefault="00CD0F26" w:rsidP="00CD0F26">
            <w:pPr>
              <w:jc w:val="right"/>
              <w:rPr>
                <w:sz w:val="20"/>
                <w:szCs w:val="20"/>
              </w:rPr>
            </w:pPr>
            <w:r w:rsidRPr="006B42D6">
              <w:rPr>
                <w:sz w:val="20"/>
                <w:szCs w:val="20"/>
              </w:rPr>
              <w:t>1.3</w:t>
            </w:r>
          </w:p>
        </w:tc>
      </w:tr>
      <w:tr w:rsidR="006B42D6" w:rsidRPr="006B42D6" w14:paraId="5814486A" w14:textId="77777777" w:rsidTr="00AC6068">
        <w:trPr>
          <w:trHeight w:hRule="exact" w:val="340"/>
        </w:trPr>
        <w:tc>
          <w:tcPr>
            <w:tcW w:w="0" w:type="auto"/>
            <w:tcBorders>
              <w:top w:val="nil"/>
              <w:left w:val="nil"/>
              <w:bottom w:val="nil"/>
            </w:tcBorders>
            <w:shd w:val="clear" w:color="auto" w:fill="auto"/>
            <w:noWrap/>
            <w:vAlign w:val="bottom"/>
            <w:hideMark/>
          </w:tcPr>
          <w:p w14:paraId="7E5C042F" w14:textId="77777777" w:rsidR="00CD0F26" w:rsidRPr="006B42D6" w:rsidRDefault="00CD0F26" w:rsidP="00CD0F26">
            <w:pPr>
              <w:rPr>
                <w:sz w:val="20"/>
                <w:szCs w:val="20"/>
              </w:rPr>
            </w:pPr>
            <w:r w:rsidRPr="006B42D6">
              <w:rPr>
                <w:sz w:val="20"/>
                <w:szCs w:val="20"/>
              </w:rPr>
              <w:t>Pwani</w:t>
            </w:r>
          </w:p>
        </w:tc>
        <w:tc>
          <w:tcPr>
            <w:tcW w:w="0" w:type="auto"/>
            <w:tcBorders>
              <w:top w:val="nil"/>
              <w:bottom w:val="nil"/>
              <w:right w:val="nil"/>
            </w:tcBorders>
            <w:shd w:val="clear" w:color="auto" w:fill="auto"/>
            <w:noWrap/>
            <w:vAlign w:val="bottom"/>
            <w:hideMark/>
          </w:tcPr>
          <w:p w14:paraId="2B197C81" w14:textId="12F1EB50" w:rsidR="00CD0F26" w:rsidRPr="006B42D6" w:rsidRDefault="00CD0F26" w:rsidP="00CD0F26">
            <w:pPr>
              <w:jc w:val="right"/>
              <w:rPr>
                <w:sz w:val="20"/>
                <w:szCs w:val="20"/>
              </w:rPr>
            </w:pPr>
            <w:r w:rsidRPr="006B42D6">
              <w:rPr>
                <w:sz w:val="20"/>
                <w:szCs w:val="20"/>
              </w:rPr>
              <w:t>352</w:t>
            </w:r>
          </w:p>
        </w:tc>
        <w:tc>
          <w:tcPr>
            <w:tcW w:w="0" w:type="auto"/>
            <w:tcBorders>
              <w:top w:val="nil"/>
              <w:left w:val="nil"/>
              <w:bottom w:val="nil"/>
              <w:right w:val="nil"/>
            </w:tcBorders>
            <w:shd w:val="clear" w:color="auto" w:fill="auto"/>
            <w:noWrap/>
            <w:vAlign w:val="bottom"/>
            <w:hideMark/>
          </w:tcPr>
          <w:p w14:paraId="0BCA3D67" w14:textId="6B4582D7" w:rsidR="00CD0F26" w:rsidRPr="006B42D6" w:rsidRDefault="00CD0F26" w:rsidP="00CD0F26">
            <w:pPr>
              <w:jc w:val="right"/>
              <w:rPr>
                <w:sz w:val="20"/>
                <w:szCs w:val="20"/>
              </w:rPr>
            </w:pPr>
            <w:r w:rsidRPr="006B42D6">
              <w:rPr>
                <w:sz w:val="20"/>
                <w:szCs w:val="20"/>
              </w:rPr>
              <w:t>323</w:t>
            </w:r>
          </w:p>
        </w:tc>
        <w:tc>
          <w:tcPr>
            <w:tcW w:w="0" w:type="auto"/>
            <w:tcBorders>
              <w:top w:val="nil"/>
              <w:left w:val="nil"/>
              <w:bottom w:val="nil"/>
              <w:right w:val="nil"/>
            </w:tcBorders>
            <w:shd w:val="clear" w:color="auto" w:fill="auto"/>
            <w:noWrap/>
            <w:vAlign w:val="bottom"/>
            <w:hideMark/>
          </w:tcPr>
          <w:p w14:paraId="68A25868" w14:textId="3569803A" w:rsidR="00CD0F26" w:rsidRPr="006B42D6" w:rsidRDefault="00CD0F26" w:rsidP="00CD0F26">
            <w:pPr>
              <w:jc w:val="right"/>
              <w:rPr>
                <w:sz w:val="20"/>
                <w:szCs w:val="20"/>
              </w:rPr>
            </w:pPr>
            <w:r w:rsidRPr="006B42D6">
              <w:rPr>
                <w:sz w:val="20"/>
                <w:szCs w:val="20"/>
              </w:rPr>
              <w:t>840</w:t>
            </w:r>
          </w:p>
        </w:tc>
        <w:tc>
          <w:tcPr>
            <w:tcW w:w="0" w:type="auto"/>
            <w:tcBorders>
              <w:top w:val="nil"/>
              <w:left w:val="nil"/>
              <w:bottom w:val="nil"/>
              <w:right w:val="nil"/>
            </w:tcBorders>
            <w:shd w:val="clear" w:color="auto" w:fill="auto"/>
            <w:noWrap/>
            <w:vAlign w:val="bottom"/>
            <w:hideMark/>
          </w:tcPr>
          <w:p w14:paraId="37266C44" w14:textId="78F6B140" w:rsidR="00CD0F26" w:rsidRPr="006B42D6" w:rsidRDefault="00CD0F26" w:rsidP="00CD0F26">
            <w:pPr>
              <w:jc w:val="right"/>
              <w:rPr>
                <w:sz w:val="20"/>
                <w:szCs w:val="20"/>
              </w:rPr>
            </w:pPr>
            <w:r w:rsidRPr="006B42D6">
              <w:rPr>
                <w:sz w:val="20"/>
                <w:szCs w:val="20"/>
              </w:rPr>
              <w:t>2.6</w:t>
            </w:r>
          </w:p>
        </w:tc>
      </w:tr>
      <w:tr w:rsidR="006B42D6" w:rsidRPr="006B42D6" w14:paraId="2E5C9FC2" w14:textId="77777777" w:rsidTr="00AC6068">
        <w:trPr>
          <w:trHeight w:hRule="exact" w:val="340"/>
        </w:trPr>
        <w:tc>
          <w:tcPr>
            <w:tcW w:w="0" w:type="auto"/>
            <w:tcBorders>
              <w:top w:val="nil"/>
              <w:left w:val="nil"/>
              <w:bottom w:val="nil"/>
            </w:tcBorders>
            <w:shd w:val="clear" w:color="auto" w:fill="auto"/>
            <w:noWrap/>
            <w:vAlign w:val="bottom"/>
            <w:hideMark/>
          </w:tcPr>
          <w:p w14:paraId="1D2AF0F0" w14:textId="77777777" w:rsidR="00CD0F26" w:rsidRPr="006B42D6" w:rsidRDefault="00CD0F26" w:rsidP="00CD0F26">
            <w:pPr>
              <w:rPr>
                <w:sz w:val="20"/>
                <w:szCs w:val="20"/>
              </w:rPr>
            </w:pPr>
            <w:r w:rsidRPr="006B42D6">
              <w:rPr>
                <w:sz w:val="20"/>
                <w:szCs w:val="20"/>
              </w:rPr>
              <w:t>Dar Es Salaam</w:t>
            </w:r>
          </w:p>
        </w:tc>
        <w:tc>
          <w:tcPr>
            <w:tcW w:w="0" w:type="auto"/>
            <w:tcBorders>
              <w:top w:val="nil"/>
              <w:bottom w:val="nil"/>
              <w:right w:val="nil"/>
            </w:tcBorders>
            <w:shd w:val="clear" w:color="auto" w:fill="auto"/>
            <w:noWrap/>
            <w:vAlign w:val="bottom"/>
            <w:hideMark/>
          </w:tcPr>
          <w:p w14:paraId="1369E648" w14:textId="76E71EC7" w:rsidR="00CD0F26" w:rsidRPr="006B42D6" w:rsidRDefault="00CD0F26" w:rsidP="00CD0F26">
            <w:pPr>
              <w:jc w:val="right"/>
              <w:rPr>
                <w:sz w:val="20"/>
                <w:szCs w:val="20"/>
              </w:rPr>
            </w:pPr>
            <w:r w:rsidRPr="006B42D6">
              <w:rPr>
                <w:sz w:val="20"/>
                <w:szCs w:val="20"/>
              </w:rPr>
              <w:t>693</w:t>
            </w:r>
          </w:p>
        </w:tc>
        <w:tc>
          <w:tcPr>
            <w:tcW w:w="0" w:type="auto"/>
            <w:tcBorders>
              <w:top w:val="nil"/>
              <w:left w:val="nil"/>
              <w:bottom w:val="nil"/>
              <w:right w:val="nil"/>
            </w:tcBorders>
            <w:shd w:val="clear" w:color="auto" w:fill="auto"/>
            <w:noWrap/>
            <w:vAlign w:val="bottom"/>
            <w:hideMark/>
          </w:tcPr>
          <w:p w14:paraId="60B40962" w14:textId="31E16432" w:rsidR="00CD0F26" w:rsidRPr="006B42D6" w:rsidRDefault="00CD0F26" w:rsidP="00CD0F26">
            <w:pPr>
              <w:jc w:val="right"/>
              <w:rPr>
                <w:sz w:val="20"/>
                <w:szCs w:val="20"/>
              </w:rPr>
            </w:pPr>
            <w:r w:rsidRPr="006B42D6">
              <w:rPr>
                <w:sz w:val="20"/>
                <w:szCs w:val="20"/>
              </w:rPr>
              <w:t>443</w:t>
            </w:r>
          </w:p>
        </w:tc>
        <w:tc>
          <w:tcPr>
            <w:tcW w:w="0" w:type="auto"/>
            <w:tcBorders>
              <w:top w:val="nil"/>
              <w:left w:val="nil"/>
              <w:bottom w:val="nil"/>
              <w:right w:val="nil"/>
            </w:tcBorders>
            <w:shd w:val="clear" w:color="auto" w:fill="auto"/>
            <w:noWrap/>
            <w:vAlign w:val="bottom"/>
            <w:hideMark/>
          </w:tcPr>
          <w:p w14:paraId="75D8DB66" w14:textId="2069B546" w:rsidR="00CD0F26" w:rsidRPr="006B42D6" w:rsidRDefault="00CD0F26" w:rsidP="00CD0F26">
            <w:pPr>
              <w:jc w:val="right"/>
              <w:rPr>
                <w:sz w:val="20"/>
                <w:szCs w:val="20"/>
              </w:rPr>
            </w:pPr>
            <w:r w:rsidRPr="006B42D6">
              <w:rPr>
                <w:sz w:val="20"/>
                <w:szCs w:val="20"/>
              </w:rPr>
              <w:t>1,015</w:t>
            </w:r>
          </w:p>
        </w:tc>
        <w:tc>
          <w:tcPr>
            <w:tcW w:w="0" w:type="auto"/>
            <w:tcBorders>
              <w:top w:val="nil"/>
              <w:left w:val="nil"/>
              <w:bottom w:val="nil"/>
              <w:right w:val="nil"/>
            </w:tcBorders>
            <w:shd w:val="clear" w:color="auto" w:fill="auto"/>
            <w:noWrap/>
            <w:vAlign w:val="bottom"/>
            <w:hideMark/>
          </w:tcPr>
          <w:p w14:paraId="1B65E05A" w14:textId="6FC8DB82" w:rsidR="00CD0F26" w:rsidRPr="006B42D6" w:rsidRDefault="00CD0F26" w:rsidP="00CD0F26">
            <w:pPr>
              <w:jc w:val="right"/>
              <w:rPr>
                <w:sz w:val="20"/>
                <w:szCs w:val="20"/>
              </w:rPr>
            </w:pPr>
            <w:r w:rsidRPr="006B42D6">
              <w:rPr>
                <w:sz w:val="20"/>
                <w:szCs w:val="20"/>
              </w:rPr>
              <w:t>2.3</w:t>
            </w:r>
          </w:p>
        </w:tc>
      </w:tr>
      <w:tr w:rsidR="006B42D6" w:rsidRPr="006B42D6" w14:paraId="5FB8FCAB" w14:textId="77777777" w:rsidTr="00AC6068">
        <w:trPr>
          <w:trHeight w:hRule="exact" w:val="340"/>
        </w:trPr>
        <w:tc>
          <w:tcPr>
            <w:tcW w:w="0" w:type="auto"/>
            <w:tcBorders>
              <w:top w:val="nil"/>
              <w:left w:val="nil"/>
              <w:bottom w:val="nil"/>
            </w:tcBorders>
            <w:shd w:val="clear" w:color="auto" w:fill="auto"/>
            <w:noWrap/>
            <w:vAlign w:val="bottom"/>
            <w:hideMark/>
          </w:tcPr>
          <w:p w14:paraId="32699EC2" w14:textId="77777777" w:rsidR="00CD0F26" w:rsidRPr="006B42D6" w:rsidRDefault="00CD0F26" w:rsidP="00CD0F26">
            <w:pPr>
              <w:rPr>
                <w:sz w:val="20"/>
                <w:szCs w:val="20"/>
              </w:rPr>
            </w:pPr>
            <w:r w:rsidRPr="006B42D6">
              <w:rPr>
                <w:sz w:val="20"/>
                <w:szCs w:val="20"/>
              </w:rPr>
              <w:t>Lindi</w:t>
            </w:r>
          </w:p>
        </w:tc>
        <w:tc>
          <w:tcPr>
            <w:tcW w:w="0" w:type="auto"/>
            <w:tcBorders>
              <w:top w:val="nil"/>
              <w:bottom w:val="nil"/>
              <w:right w:val="nil"/>
            </w:tcBorders>
            <w:shd w:val="clear" w:color="auto" w:fill="auto"/>
            <w:noWrap/>
            <w:vAlign w:val="bottom"/>
            <w:hideMark/>
          </w:tcPr>
          <w:p w14:paraId="18FC44AE" w14:textId="3719C320" w:rsidR="00CD0F26" w:rsidRPr="006B42D6" w:rsidRDefault="00CD0F26" w:rsidP="00CD0F26">
            <w:pPr>
              <w:jc w:val="right"/>
              <w:rPr>
                <w:sz w:val="20"/>
                <w:szCs w:val="20"/>
              </w:rPr>
            </w:pPr>
            <w:r w:rsidRPr="006B42D6">
              <w:rPr>
                <w:sz w:val="20"/>
                <w:szCs w:val="20"/>
              </w:rPr>
              <w:t>2,870</w:t>
            </w:r>
          </w:p>
        </w:tc>
        <w:tc>
          <w:tcPr>
            <w:tcW w:w="0" w:type="auto"/>
            <w:tcBorders>
              <w:top w:val="nil"/>
              <w:left w:val="nil"/>
              <w:bottom w:val="nil"/>
              <w:right w:val="nil"/>
            </w:tcBorders>
            <w:shd w:val="clear" w:color="auto" w:fill="auto"/>
            <w:noWrap/>
            <w:vAlign w:val="bottom"/>
            <w:hideMark/>
          </w:tcPr>
          <w:p w14:paraId="20E396A3" w14:textId="5433D308" w:rsidR="00CD0F26" w:rsidRPr="006B42D6" w:rsidRDefault="00CD0F26" w:rsidP="00CD0F26">
            <w:pPr>
              <w:jc w:val="right"/>
              <w:rPr>
                <w:sz w:val="20"/>
                <w:szCs w:val="20"/>
              </w:rPr>
            </w:pPr>
            <w:r w:rsidRPr="006B42D6">
              <w:rPr>
                <w:sz w:val="20"/>
                <w:szCs w:val="20"/>
              </w:rPr>
              <w:t>2,724</w:t>
            </w:r>
          </w:p>
        </w:tc>
        <w:tc>
          <w:tcPr>
            <w:tcW w:w="0" w:type="auto"/>
            <w:tcBorders>
              <w:top w:val="nil"/>
              <w:left w:val="nil"/>
              <w:bottom w:val="nil"/>
              <w:right w:val="nil"/>
            </w:tcBorders>
            <w:shd w:val="clear" w:color="auto" w:fill="auto"/>
            <w:noWrap/>
            <w:vAlign w:val="bottom"/>
            <w:hideMark/>
          </w:tcPr>
          <w:p w14:paraId="5616B35F" w14:textId="52133197" w:rsidR="00CD0F26" w:rsidRPr="006B42D6" w:rsidRDefault="00CD0F26" w:rsidP="00CD0F26">
            <w:pPr>
              <w:jc w:val="right"/>
              <w:rPr>
                <w:sz w:val="20"/>
                <w:szCs w:val="20"/>
              </w:rPr>
            </w:pPr>
            <w:r w:rsidRPr="006B42D6">
              <w:rPr>
                <w:sz w:val="20"/>
                <w:szCs w:val="20"/>
              </w:rPr>
              <w:t>2,713</w:t>
            </w:r>
          </w:p>
        </w:tc>
        <w:tc>
          <w:tcPr>
            <w:tcW w:w="0" w:type="auto"/>
            <w:tcBorders>
              <w:top w:val="nil"/>
              <w:left w:val="nil"/>
              <w:bottom w:val="nil"/>
              <w:right w:val="nil"/>
            </w:tcBorders>
            <w:shd w:val="clear" w:color="auto" w:fill="auto"/>
            <w:noWrap/>
            <w:vAlign w:val="bottom"/>
            <w:hideMark/>
          </w:tcPr>
          <w:p w14:paraId="3FEC1A47" w14:textId="69F1A077" w:rsidR="00CD0F26" w:rsidRPr="006B42D6" w:rsidRDefault="00CD0F26" w:rsidP="00CD0F26">
            <w:pPr>
              <w:jc w:val="right"/>
              <w:rPr>
                <w:sz w:val="20"/>
                <w:szCs w:val="20"/>
              </w:rPr>
            </w:pPr>
            <w:r w:rsidRPr="006B42D6">
              <w:rPr>
                <w:sz w:val="20"/>
                <w:szCs w:val="20"/>
              </w:rPr>
              <w:t>1.0</w:t>
            </w:r>
          </w:p>
        </w:tc>
      </w:tr>
      <w:tr w:rsidR="006B42D6" w:rsidRPr="006B42D6" w14:paraId="63677DB9" w14:textId="77777777" w:rsidTr="00AC6068">
        <w:trPr>
          <w:trHeight w:hRule="exact" w:val="340"/>
        </w:trPr>
        <w:tc>
          <w:tcPr>
            <w:tcW w:w="0" w:type="auto"/>
            <w:tcBorders>
              <w:top w:val="nil"/>
              <w:left w:val="nil"/>
              <w:bottom w:val="nil"/>
            </w:tcBorders>
            <w:shd w:val="clear" w:color="auto" w:fill="auto"/>
            <w:noWrap/>
            <w:vAlign w:val="bottom"/>
            <w:hideMark/>
          </w:tcPr>
          <w:p w14:paraId="56C21505" w14:textId="77777777" w:rsidR="00CD0F26" w:rsidRPr="006B42D6" w:rsidRDefault="00CD0F26" w:rsidP="00CD0F26">
            <w:pPr>
              <w:rPr>
                <w:sz w:val="20"/>
                <w:szCs w:val="20"/>
              </w:rPr>
            </w:pPr>
            <w:r w:rsidRPr="006B42D6">
              <w:rPr>
                <w:sz w:val="20"/>
                <w:szCs w:val="20"/>
              </w:rPr>
              <w:t>Mtwara</w:t>
            </w:r>
          </w:p>
        </w:tc>
        <w:tc>
          <w:tcPr>
            <w:tcW w:w="0" w:type="auto"/>
            <w:tcBorders>
              <w:top w:val="nil"/>
              <w:bottom w:val="nil"/>
              <w:right w:val="nil"/>
            </w:tcBorders>
            <w:shd w:val="clear" w:color="auto" w:fill="auto"/>
            <w:noWrap/>
            <w:vAlign w:val="bottom"/>
            <w:hideMark/>
          </w:tcPr>
          <w:p w14:paraId="6EAD460B" w14:textId="7B04B226" w:rsidR="00CD0F26" w:rsidRPr="006B42D6" w:rsidRDefault="00CD0F26" w:rsidP="00CD0F26">
            <w:pPr>
              <w:jc w:val="right"/>
              <w:rPr>
                <w:sz w:val="20"/>
                <w:szCs w:val="20"/>
              </w:rPr>
            </w:pPr>
            <w:r w:rsidRPr="006B42D6">
              <w:rPr>
                <w:sz w:val="20"/>
                <w:szCs w:val="20"/>
              </w:rPr>
              <w:t>17,123</w:t>
            </w:r>
          </w:p>
        </w:tc>
        <w:tc>
          <w:tcPr>
            <w:tcW w:w="0" w:type="auto"/>
            <w:tcBorders>
              <w:top w:val="nil"/>
              <w:left w:val="nil"/>
              <w:bottom w:val="nil"/>
              <w:right w:val="nil"/>
            </w:tcBorders>
            <w:shd w:val="clear" w:color="auto" w:fill="auto"/>
            <w:noWrap/>
            <w:vAlign w:val="bottom"/>
            <w:hideMark/>
          </w:tcPr>
          <w:p w14:paraId="0864FD0D" w14:textId="1135A34F" w:rsidR="00CD0F26" w:rsidRPr="006B42D6" w:rsidRDefault="00CD0F26" w:rsidP="00CD0F26">
            <w:pPr>
              <w:jc w:val="right"/>
              <w:rPr>
                <w:sz w:val="20"/>
                <w:szCs w:val="20"/>
              </w:rPr>
            </w:pPr>
            <w:r w:rsidRPr="006B42D6">
              <w:rPr>
                <w:sz w:val="20"/>
                <w:szCs w:val="20"/>
              </w:rPr>
              <w:t>16,076</w:t>
            </w:r>
          </w:p>
        </w:tc>
        <w:tc>
          <w:tcPr>
            <w:tcW w:w="0" w:type="auto"/>
            <w:tcBorders>
              <w:top w:val="nil"/>
              <w:left w:val="nil"/>
              <w:bottom w:val="nil"/>
              <w:right w:val="nil"/>
            </w:tcBorders>
            <w:shd w:val="clear" w:color="auto" w:fill="auto"/>
            <w:noWrap/>
            <w:vAlign w:val="bottom"/>
            <w:hideMark/>
          </w:tcPr>
          <w:p w14:paraId="254C8250" w14:textId="4FC2BA78" w:rsidR="00CD0F26" w:rsidRPr="006B42D6" w:rsidRDefault="00CD0F26" w:rsidP="00CD0F26">
            <w:pPr>
              <w:jc w:val="right"/>
              <w:rPr>
                <w:sz w:val="20"/>
                <w:szCs w:val="20"/>
              </w:rPr>
            </w:pPr>
            <w:r w:rsidRPr="006B42D6">
              <w:rPr>
                <w:sz w:val="20"/>
                <w:szCs w:val="20"/>
              </w:rPr>
              <w:t>16,712</w:t>
            </w:r>
          </w:p>
        </w:tc>
        <w:tc>
          <w:tcPr>
            <w:tcW w:w="0" w:type="auto"/>
            <w:tcBorders>
              <w:top w:val="nil"/>
              <w:left w:val="nil"/>
              <w:bottom w:val="nil"/>
              <w:right w:val="nil"/>
            </w:tcBorders>
            <w:shd w:val="clear" w:color="auto" w:fill="auto"/>
            <w:noWrap/>
            <w:vAlign w:val="bottom"/>
            <w:hideMark/>
          </w:tcPr>
          <w:p w14:paraId="032FFF73" w14:textId="33109464" w:rsidR="00CD0F26" w:rsidRPr="006B42D6" w:rsidRDefault="00CD0F26" w:rsidP="00CD0F26">
            <w:pPr>
              <w:jc w:val="right"/>
              <w:rPr>
                <w:sz w:val="20"/>
                <w:szCs w:val="20"/>
              </w:rPr>
            </w:pPr>
            <w:r w:rsidRPr="006B42D6">
              <w:rPr>
                <w:sz w:val="20"/>
                <w:szCs w:val="20"/>
              </w:rPr>
              <w:t>1.0</w:t>
            </w:r>
          </w:p>
        </w:tc>
      </w:tr>
      <w:tr w:rsidR="006B42D6" w:rsidRPr="006B42D6" w14:paraId="0636BC8F" w14:textId="77777777" w:rsidTr="00AC6068">
        <w:trPr>
          <w:trHeight w:hRule="exact" w:val="340"/>
        </w:trPr>
        <w:tc>
          <w:tcPr>
            <w:tcW w:w="0" w:type="auto"/>
            <w:tcBorders>
              <w:top w:val="nil"/>
              <w:left w:val="nil"/>
              <w:bottom w:val="nil"/>
            </w:tcBorders>
            <w:shd w:val="clear" w:color="auto" w:fill="auto"/>
            <w:noWrap/>
            <w:vAlign w:val="bottom"/>
            <w:hideMark/>
          </w:tcPr>
          <w:p w14:paraId="144EFCBA" w14:textId="77777777" w:rsidR="00CD0F26" w:rsidRPr="006B42D6" w:rsidRDefault="00CD0F26" w:rsidP="00CD0F26">
            <w:pPr>
              <w:rPr>
                <w:sz w:val="20"/>
                <w:szCs w:val="20"/>
              </w:rPr>
            </w:pPr>
            <w:r w:rsidRPr="006B42D6">
              <w:rPr>
                <w:sz w:val="20"/>
                <w:szCs w:val="20"/>
              </w:rPr>
              <w:t>Ruvuma</w:t>
            </w:r>
          </w:p>
        </w:tc>
        <w:tc>
          <w:tcPr>
            <w:tcW w:w="0" w:type="auto"/>
            <w:tcBorders>
              <w:top w:val="nil"/>
              <w:bottom w:val="nil"/>
              <w:right w:val="nil"/>
            </w:tcBorders>
            <w:shd w:val="clear" w:color="auto" w:fill="auto"/>
            <w:noWrap/>
            <w:vAlign w:val="bottom"/>
            <w:hideMark/>
          </w:tcPr>
          <w:p w14:paraId="35421FDF" w14:textId="5844A965" w:rsidR="00CD0F26" w:rsidRPr="006B42D6" w:rsidRDefault="00CD0F26" w:rsidP="00CD0F26">
            <w:pPr>
              <w:jc w:val="right"/>
              <w:rPr>
                <w:sz w:val="20"/>
                <w:szCs w:val="20"/>
              </w:rPr>
            </w:pPr>
            <w:r w:rsidRPr="006B42D6">
              <w:rPr>
                <w:sz w:val="20"/>
                <w:szCs w:val="20"/>
              </w:rPr>
              <w:t>5,789</w:t>
            </w:r>
          </w:p>
        </w:tc>
        <w:tc>
          <w:tcPr>
            <w:tcW w:w="0" w:type="auto"/>
            <w:tcBorders>
              <w:top w:val="nil"/>
              <w:left w:val="nil"/>
              <w:bottom w:val="nil"/>
              <w:right w:val="nil"/>
            </w:tcBorders>
            <w:shd w:val="clear" w:color="auto" w:fill="auto"/>
            <w:noWrap/>
            <w:vAlign w:val="bottom"/>
            <w:hideMark/>
          </w:tcPr>
          <w:p w14:paraId="44CD7F9C" w14:textId="31FCA918" w:rsidR="00CD0F26" w:rsidRPr="006B42D6" w:rsidRDefault="00CD0F26" w:rsidP="00CD0F26">
            <w:pPr>
              <w:jc w:val="right"/>
              <w:rPr>
                <w:sz w:val="20"/>
                <w:szCs w:val="20"/>
              </w:rPr>
            </w:pPr>
            <w:r w:rsidRPr="006B42D6">
              <w:rPr>
                <w:sz w:val="20"/>
                <w:szCs w:val="20"/>
              </w:rPr>
              <w:t>5,327</w:t>
            </w:r>
          </w:p>
        </w:tc>
        <w:tc>
          <w:tcPr>
            <w:tcW w:w="0" w:type="auto"/>
            <w:tcBorders>
              <w:top w:val="nil"/>
              <w:left w:val="nil"/>
              <w:bottom w:val="nil"/>
              <w:right w:val="nil"/>
            </w:tcBorders>
            <w:shd w:val="clear" w:color="auto" w:fill="auto"/>
            <w:noWrap/>
            <w:vAlign w:val="bottom"/>
            <w:hideMark/>
          </w:tcPr>
          <w:p w14:paraId="1AA55618" w14:textId="41414E35" w:rsidR="00CD0F26" w:rsidRPr="006B42D6" w:rsidRDefault="00CD0F26" w:rsidP="00CD0F26">
            <w:pPr>
              <w:jc w:val="right"/>
              <w:rPr>
                <w:sz w:val="20"/>
                <w:szCs w:val="20"/>
              </w:rPr>
            </w:pPr>
            <w:r w:rsidRPr="006B42D6">
              <w:rPr>
                <w:sz w:val="20"/>
                <w:szCs w:val="20"/>
              </w:rPr>
              <w:t>7,154</w:t>
            </w:r>
          </w:p>
        </w:tc>
        <w:tc>
          <w:tcPr>
            <w:tcW w:w="0" w:type="auto"/>
            <w:tcBorders>
              <w:top w:val="nil"/>
              <w:left w:val="nil"/>
              <w:bottom w:val="nil"/>
              <w:right w:val="nil"/>
            </w:tcBorders>
            <w:shd w:val="clear" w:color="auto" w:fill="auto"/>
            <w:noWrap/>
            <w:vAlign w:val="bottom"/>
            <w:hideMark/>
          </w:tcPr>
          <w:p w14:paraId="53E4A910" w14:textId="2ABF3CDC" w:rsidR="00CD0F26" w:rsidRPr="006B42D6" w:rsidRDefault="00CD0F26" w:rsidP="00CD0F26">
            <w:pPr>
              <w:jc w:val="right"/>
              <w:rPr>
                <w:sz w:val="20"/>
                <w:szCs w:val="20"/>
              </w:rPr>
            </w:pPr>
            <w:r w:rsidRPr="006B42D6">
              <w:rPr>
                <w:sz w:val="20"/>
                <w:szCs w:val="20"/>
              </w:rPr>
              <w:t>1.3</w:t>
            </w:r>
          </w:p>
        </w:tc>
      </w:tr>
      <w:tr w:rsidR="006B42D6" w:rsidRPr="006B42D6" w14:paraId="2A8F3DD4" w14:textId="77777777" w:rsidTr="00AC6068">
        <w:trPr>
          <w:trHeight w:hRule="exact" w:val="340"/>
        </w:trPr>
        <w:tc>
          <w:tcPr>
            <w:tcW w:w="0" w:type="auto"/>
            <w:tcBorders>
              <w:top w:val="nil"/>
              <w:left w:val="nil"/>
              <w:bottom w:val="nil"/>
            </w:tcBorders>
            <w:shd w:val="clear" w:color="auto" w:fill="auto"/>
            <w:noWrap/>
            <w:vAlign w:val="bottom"/>
            <w:hideMark/>
          </w:tcPr>
          <w:p w14:paraId="7CEC6315" w14:textId="77777777" w:rsidR="00CD0F26" w:rsidRPr="006B42D6" w:rsidRDefault="00CD0F26" w:rsidP="00CD0F26">
            <w:pPr>
              <w:rPr>
                <w:sz w:val="20"/>
                <w:szCs w:val="20"/>
              </w:rPr>
            </w:pPr>
            <w:r w:rsidRPr="006B42D6">
              <w:rPr>
                <w:sz w:val="20"/>
                <w:szCs w:val="20"/>
              </w:rPr>
              <w:t>Iringa</w:t>
            </w:r>
          </w:p>
        </w:tc>
        <w:tc>
          <w:tcPr>
            <w:tcW w:w="0" w:type="auto"/>
            <w:tcBorders>
              <w:top w:val="nil"/>
              <w:bottom w:val="nil"/>
              <w:right w:val="nil"/>
            </w:tcBorders>
            <w:shd w:val="clear" w:color="auto" w:fill="auto"/>
            <w:noWrap/>
            <w:vAlign w:val="bottom"/>
            <w:hideMark/>
          </w:tcPr>
          <w:p w14:paraId="13A2121F" w14:textId="4A3EAAE9" w:rsidR="00CD0F26" w:rsidRPr="006B42D6" w:rsidRDefault="00CD0F26" w:rsidP="00CD0F26">
            <w:pPr>
              <w:jc w:val="right"/>
              <w:rPr>
                <w:sz w:val="20"/>
                <w:szCs w:val="20"/>
              </w:rPr>
            </w:pPr>
            <w:r w:rsidRPr="006B42D6">
              <w:rPr>
                <w:sz w:val="20"/>
                <w:szCs w:val="20"/>
              </w:rPr>
              <w:t>943</w:t>
            </w:r>
          </w:p>
        </w:tc>
        <w:tc>
          <w:tcPr>
            <w:tcW w:w="0" w:type="auto"/>
            <w:tcBorders>
              <w:top w:val="nil"/>
              <w:left w:val="nil"/>
              <w:bottom w:val="nil"/>
              <w:right w:val="nil"/>
            </w:tcBorders>
            <w:shd w:val="clear" w:color="auto" w:fill="auto"/>
            <w:noWrap/>
            <w:vAlign w:val="bottom"/>
            <w:hideMark/>
          </w:tcPr>
          <w:p w14:paraId="4B9DDB8B" w14:textId="78BB5401" w:rsidR="00CD0F26" w:rsidRPr="006B42D6" w:rsidRDefault="00CD0F26" w:rsidP="00CD0F26">
            <w:pPr>
              <w:jc w:val="right"/>
              <w:rPr>
                <w:sz w:val="20"/>
                <w:szCs w:val="20"/>
              </w:rPr>
            </w:pPr>
            <w:r w:rsidRPr="006B42D6">
              <w:rPr>
                <w:sz w:val="20"/>
                <w:szCs w:val="20"/>
              </w:rPr>
              <w:t>896</w:t>
            </w:r>
          </w:p>
        </w:tc>
        <w:tc>
          <w:tcPr>
            <w:tcW w:w="0" w:type="auto"/>
            <w:tcBorders>
              <w:top w:val="nil"/>
              <w:left w:val="nil"/>
              <w:bottom w:val="nil"/>
              <w:right w:val="nil"/>
            </w:tcBorders>
            <w:shd w:val="clear" w:color="auto" w:fill="auto"/>
            <w:noWrap/>
            <w:vAlign w:val="bottom"/>
            <w:hideMark/>
          </w:tcPr>
          <w:p w14:paraId="01FC4AC0" w14:textId="279D834D" w:rsidR="00CD0F26" w:rsidRPr="006B42D6" w:rsidRDefault="00CD0F26" w:rsidP="00CD0F26">
            <w:pPr>
              <w:jc w:val="right"/>
              <w:rPr>
                <w:sz w:val="20"/>
                <w:szCs w:val="20"/>
              </w:rPr>
            </w:pPr>
            <w:r w:rsidRPr="006B42D6">
              <w:rPr>
                <w:sz w:val="20"/>
                <w:szCs w:val="20"/>
              </w:rPr>
              <w:t>1,924</w:t>
            </w:r>
          </w:p>
        </w:tc>
        <w:tc>
          <w:tcPr>
            <w:tcW w:w="0" w:type="auto"/>
            <w:tcBorders>
              <w:top w:val="nil"/>
              <w:left w:val="nil"/>
              <w:bottom w:val="nil"/>
              <w:right w:val="nil"/>
            </w:tcBorders>
            <w:shd w:val="clear" w:color="auto" w:fill="auto"/>
            <w:noWrap/>
            <w:vAlign w:val="bottom"/>
            <w:hideMark/>
          </w:tcPr>
          <w:p w14:paraId="46CC66C4" w14:textId="32B833C3" w:rsidR="00CD0F26" w:rsidRPr="006B42D6" w:rsidRDefault="00CD0F26" w:rsidP="00CD0F26">
            <w:pPr>
              <w:jc w:val="right"/>
              <w:rPr>
                <w:sz w:val="20"/>
                <w:szCs w:val="20"/>
              </w:rPr>
            </w:pPr>
            <w:r w:rsidRPr="006B42D6">
              <w:rPr>
                <w:sz w:val="20"/>
                <w:szCs w:val="20"/>
              </w:rPr>
              <w:t>2.1</w:t>
            </w:r>
          </w:p>
        </w:tc>
      </w:tr>
      <w:tr w:rsidR="006B42D6" w:rsidRPr="006B42D6" w14:paraId="19EAD19A" w14:textId="77777777" w:rsidTr="00AC6068">
        <w:trPr>
          <w:trHeight w:hRule="exact" w:val="340"/>
        </w:trPr>
        <w:tc>
          <w:tcPr>
            <w:tcW w:w="0" w:type="auto"/>
            <w:tcBorders>
              <w:top w:val="nil"/>
              <w:left w:val="nil"/>
              <w:bottom w:val="nil"/>
            </w:tcBorders>
            <w:shd w:val="clear" w:color="auto" w:fill="auto"/>
            <w:noWrap/>
            <w:vAlign w:val="bottom"/>
            <w:hideMark/>
          </w:tcPr>
          <w:p w14:paraId="5443C994" w14:textId="77777777" w:rsidR="00CD0F26" w:rsidRPr="006B42D6" w:rsidRDefault="00CD0F26" w:rsidP="00CD0F26">
            <w:pPr>
              <w:rPr>
                <w:sz w:val="20"/>
                <w:szCs w:val="20"/>
              </w:rPr>
            </w:pPr>
            <w:r w:rsidRPr="006B42D6">
              <w:rPr>
                <w:sz w:val="20"/>
                <w:szCs w:val="20"/>
              </w:rPr>
              <w:t>Mbeya</w:t>
            </w:r>
          </w:p>
        </w:tc>
        <w:tc>
          <w:tcPr>
            <w:tcW w:w="0" w:type="auto"/>
            <w:tcBorders>
              <w:top w:val="nil"/>
              <w:bottom w:val="nil"/>
              <w:right w:val="nil"/>
            </w:tcBorders>
            <w:shd w:val="clear" w:color="auto" w:fill="auto"/>
            <w:noWrap/>
            <w:vAlign w:val="bottom"/>
            <w:hideMark/>
          </w:tcPr>
          <w:p w14:paraId="47990B41" w14:textId="13EFAA92" w:rsidR="00CD0F26" w:rsidRPr="006B42D6" w:rsidRDefault="00CD0F26" w:rsidP="00CD0F26">
            <w:pPr>
              <w:jc w:val="right"/>
              <w:rPr>
                <w:sz w:val="20"/>
                <w:szCs w:val="20"/>
              </w:rPr>
            </w:pPr>
            <w:r w:rsidRPr="006B42D6">
              <w:rPr>
                <w:sz w:val="20"/>
                <w:szCs w:val="20"/>
              </w:rPr>
              <w:t>20,601</w:t>
            </w:r>
          </w:p>
        </w:tc>
        <w:tc>
          <w:tcPr>
            <w:tcW w:w="0" w:type="auto"/>
            <w:tcBorders>
              <w:top w:val="nil"/>
              <w:left w:val="nil"/>
              <w:bottom w:val="nil"/>
              <w:right w:val="nil"/>
            </w:tcBorders>
            <w:shd w:val="clear" w:color="auto" w:fill="auto"/>
            <w:noWrap/>
            <w:vAlign w:val="bottom"/>
            <w:hideMark/>
          </w:tcPr>
          <w:p w14:paraId="5551AA4F" w14:textId="0573C1D8" w:rsidR="00CD0F26" w:rsidRPr="006B42D6" w:rsidRDefault="00CD0F26" w:rsidP="00CD0F26">
            <w:pPr>
              <w:jc w:val="right"/>
              <w:rPr>
                <w:sz w:val="20"/>
                <w:szCs w:val="20"/>
              </w:rPr>
            </w:pPr>
            <w:r w:rsidRPr="006B42D6">
              <w:rPr>
                <w:sz w:val="20"/>
                <w:szCs w:val="20"/>
              </w:rPr>
              <w:t>19,235</w:t>
            </w:r>
          </w:p>
        </w:tc>
        <w:tc>
          <w:tcPr>
            <w:tcW w:w="0" w:type="auto"/>
            <w:tcBorders>
              <w:top w:val="nil"/>
              <w:left w:val="nil"/>
              <w:bottom w:val="nil"/>
              <w:right w:val="nil"/>
            </w:tcBorders>
            <w:shd w:val="clear" w:color="auto" w:fill="auto"/>
            <w:noWrap/>
            <w:vAlign w:val="bottom"/>
            <w:hideMark/>
          </w:tcPr>
          <w:p w14:paraId="38FF6F8B" w14:textId="6A332C07" w:rsidR="00CD0F26" w:rsidRPr="006B42D6" w:rsidRDefault="00CD0F26" w:rsidP="00CD0F26">
            <w:pPr>
              <w:jc w:val="right"/>
              <w:rPr>
                <w:sz w:val="20"/>
                <w:szCs w:val="20"/>
              </w:rPr>
            </w:pPr>
            <w:r w:rsidRPr="006B42D6">
              <w:rPr>
                <w:sz w:val="20"/>
                <w:szCs w:val="20"/>
              </w:rPr>
              <w:t>24,382</w:t>
            </w:r>
          </w:p>
        </w:tc>
        <w:tc>
          <w:tcPr>
            <w:tcW w:w="0" w:type="auto"/>
            <w:tcBorders>
              <w:top w:val="nil"/>
              <w:left w:val="nil"/>
              <w:bottom w:val="nil"/>
              <w:right w:val="nil"/>
            </w:tcBorders>
            <w:shd w:val="clear" w:color="auto" w:fill="auto"/>
            <w:noWrap/>
            <w:vAlign w:val="bottom"/>
            <w:hideMark/>
          </w:tcPr>
          <w:p w14:paraId="3A66EEFA" w14:textId="016DA7CE" w:rsidR="00CD0F26" w:rsidRPr="006B42D6" w:rsidRDefault="00CD0F26" w:rsidP="00CD0F26">
            <w:pPr>
              <w:jc w:val="right"/>
              <w:rPr>
                <w:sz w:val="20"/>
                <w:szCs w:val="20"/>
              </w:rPr>
            </w:pPr>
            <w:r w:rsidRPr="006B42D6">
              <w:rPr>
                <w:sz w:val="20"/>
                <w:szCs w:val="20"/>
              </w:rPr>
              <w:t>1.3</w:t>
            </w:r>
          </w:p>
        </w:tc>
      </w:tr>
      <w:tr w:rsidR="006B42D6" w:rsidRPr="006B42D6" w14:paraId="65592914" w14:textId="77777777" w:rsidTr="00AC6068">
        <w:trPr>
          <w:trHeight w:hRule="exact" w:val="340"/>
        </w:trPr>
        <w:tc>
          <w:tcPr>
            <w:tcW w:w="0" w:type="auto"/>
            <w:tcBorders>
              <w:top w:val="nil"/>
              <w:left w:val="nil"/>
              <w:bottom w:val="nil"/>
            </w:tcBorders>
            <w:shd w:val="clear" w:color="auto" w:fill="auto"/>
            <w:noWrap/>
            <w:vAlign w:val="bottom"/>
            <w:hideMark/>
          </w:tcPr>
          <w:p w14:paraId="6077C02F" w14:textId="77777777" w:rsidR="00CD0F26" w:rsidRPr="006B42D6" w:rsidRDefault="00CD0F26" w:rsidP="00CD0F26">
            <w:pPr>
              <w:rPr>
                <w:sz w:val="20"/>
                <w:szCs w:val="20"/>
              </w:rPr>
            </w:pPr>
            <w:r w:rsidRPr="006B42D6">
              <w:rPr>
                <w:sz w:val="20"/>
                <w:szCs w:val="20"/>
              </w:rPr>
              <w:t>Singida</w:t>
            </w:r>
          </w:p>
        </w:tc>
        <w:tc>
          <w:tcPr>
            <w:tcW w:w="0" w:type="auto"/>
            <w:tcBorders>
              <w:top w:val="nil"/>
              <w:bottom w:val="nil"/>
              <w:right w:val="nil"/>
            </w:tcBorders>
            <w:shd w:val="clear" w:color="auto" w:fill="auto"/>
            <w:noWrap/>
            <w:vAlign w:val="bottom"/>
            <w:hideMark/>
          </w:tcPr>
          <w:p w14:paraId="6D14B09A" w14:textId="1F54E838" w:rsidR="00CD0F26" w:rsidRPr="006B42D6" w:rsidRDefault="00CD0F26" w:rsidP="00CD0F26">
            <w:pPr>
              <w:jc w:val="right"/>
              <w:rPr>
                <w:sz w:val="20"/>
                <w:szCs w:val="20"/>
              </w:rPr>
            </w:pPr>
            <w:r w:rsidRPr="006B42D6">
              <w:rPr>
                <w:sz w:val="20"/>
                <w:szCs w:val="20"/>
              </w:rPr>
              <w:t>22,533</w:t>
            </w:r>
          </w:p>
        </w:tc>
        <w:tc>
          <w:tcPr>
            <w:tcW w:w="0" w:type="auto"/>
            <w:tcBorders>
              <w:top w:val="nil"/>
              <w:left w:val="nil"/>
              <w:bottom w:val="nil"/>
              <w:right w:val="nil"/>
            </w:tcBorders>
            <w:shd w:val="clear" w:color="auto" w:fill="auto"/>
            <w:noWrap/>
            <w:vAlign w:val="bottom"/>
            <w:hideMark/>
          </w:tcPr>
          <w:p w14:paraId="4DC7E281" w14:textId="767952B4" w:rsidR="00CD0F26" w:rsidRPr="006B42D6" w:rsidRDefault="00CD0F26" w:rsidP="00CD0F26">
            <w:pPr>
              <w:jc w:val="right"/>
              <w:rPr>
                <w:sz w:val="20"/>
                <w:szCs w:val="20"/>
              </w:rPr>
            </w:pPr>
            <w:r w:rsidRPr="006B42D6">
              <w:rPr>
                <w:sz w:val="20"/>
                <w:szCs w:val="20"/>
              </w:rPr>
              <w:t>20,138</w:t>
            </w:r>
          </w:p>
        </w:tc>
        <w:tc>
          <w:tcPr>
            <w:tcW w:w="0" w:type="auto"/>
            <w:tcBorders>
              <w:top w:val="nil"/>
              <w:left w:val="nil"/>
              <w:bottom w:val="nil"/>
              <w:right w:val="nil"/>
            </w:tcBorders>
            <w:shd w:val="clear" w:color="auto" w:fill="auto"/>
            <w:noWrap/>
            <w:vAlign w:val="bottom"/>
            <w:hideMark/>
          </w:tcPr>
          <w:p w14:paraId="084951B3" w14:textId="2D75C3DD" w:rsidR="00CD0F26" w:rsidRPr="006B42D6" w:rsidRDefault="00CD0F26" w:rsidP="00CD0F26">
            <w:pPr>
              <w:jc w:val="right"/>
              <w:rPr>
                <w:sz w:val="20"/>
                <w:szCs w:val="20"/>
              </w:rPr>
            </w:pPr>
            <w:r w:rsidRPr="006B42D6">
              <w:rPr>
                <w:sz w:val="20"/>
                <w:szCs w:val="20"/>
              </w:rPr>
              <w:t>21,769</w:t>
            </w:r>
          </w:p>
        </w:tc>
        <w:tc>
          <w:tcPr>
            <w:tcW w:w="0" w:type="auto"/>
            <w:tcBorders>
              <w:top w:val="nil"/>
              <w:left w:val="nil"/>
              <w:bottom w:val="nil"/>
              <w:right w:val="nil"/>
            </w:tcBorders>
            <w:shd w:val="clear" w:color="auto" w:fill="auto"/>
            <w:noWrap/>
            <w:vAlign w:val="bottom"/>
            <w:hideMark/>
          </w:tcPr>
          <w:p w14:paraId="7FCFE38A" w14:textId="6CFEF06C" w:rsidR="00CD0F26" w:rsidRPr="006B42D6" w:rsidRDefault="00CD0F26" w:rsidP="00CD0F26">
            <w:pPr>
              <w:jc w:val="right"/>
              <w:rPr>
                <w:sz w:val="20"/>
                <w:szCs w:val="20"/>
              </w:rPr>
            </w:pPr>
            <w:r w:rsidRPr="006B42D6">
              <w:rPr>
                <w:sz w:val="20"/>
                <w:szCs w:val="20"/>
              </w:rPr>
              <w:t>1.1</w:t>
            </w:r>
          </w:p>
        </w:tc>
      </w:tr>
      <w:tr w:rsidR="006B42D6" w:rsidRPr="006B42D6" w14:paraId="3FFF5859" w14:textId="77777777" w:rsidTr="00AC6068">
        <w:trPr>
          <w:trHeight w:hRule="exact" w:val="340"/>
        </w:trPr>
        <w:tc>
          <w:tcPr>
            <w:tcW w:w="0" w:type="auto"/>
            <w:tcBorders>
              <w:top w:val="nil"/>
              <w:left w:val="nil"/>
              <w:bottom w:val="nil"/>
            </w:tcBorders>
            <w:shd w:val="clear" w:color="auto" w:fill="auto"/>
            <w:noWrap/>
            <w:vAlign w:val="bottom"/>
            <w:hideMark/>
          </w:tcPr>
          <w:p w14:paraId="2889DF86" w14:textId="77777777" w:rsidR="00CD0F26" w:rsidRPr="006B42D6" w:rsidRDefault="00CD0F26" w:rsidP="00CD0F26">
            <w:pPr>
              <w:rPr>
                <w:sz w:val="20"/>
                <w:szCs w:val="20"/>
              </w:rPr>
            </w:pPr>
            <w:r w:rsidRPr="006B42D6">
              <w:rPr>
                <w:sz w:val="20"/>
                <w:szCs w:val="20"/>
              </w:rPr>
              <w:t>Tabora</w:t>
            </w:r>
          </w:p>
        </w:tc>
        <w:tc>
          <w:tcPr>
            <w:tcW w:w="0" w:type="auto"/>
            <w:tcBorders>
              <w:top w:val="nil"/>
              <w:bottom w:val="nil"/>
              <w:right w:val="nil"/>
            </w:tcBorders>
            <w:shd w:val="clear" w:color="auto" w:fill="auto"/>
            <w:noWrap/>
            <w:vAlign w:val="bottom"/>
            <w:hideMark/>
          </w:tcPr>
          <w:p w14:paraId="4C50E9CD" w14:textId="2598F706" w:rsidR="00CD0F26" w:rsidRPr="006B42D6" w:rsidRDefault="00CD0F26" w:rsidP="00CD0F26">
            <w:pPr>
              <w:jc w:val="right"/>
              <w:rPr>
                <w:sz w:val="20"/>
                <w:szCs w:val="20"/>
              </w:rPr>
            </w:pPr>
            <w:r w:rsidRPr="006B42D6">
              <w:rPr>
                <w:sz w:val="20"/>
                <w:szCs w:val="20"/>
              </w:rPr>
              <w:t>103,486</w:t>
            </w:r>
          </w:p>
        </w:tc>
        <w:tc>
          <w:tcPr>
            <w:tcW w:w="0" w:type="auto"/>
            <w:tcBorders>
              <w:top w:val="nil"/>
              <w:left w:val="nil"/>
              <w:bottom w:val="nil"/>
              <w:right w:val="nil"/>
            </w:tcBorders>
            <w:shd w:val="clear" w:color="auto" w:fill="auto"/>
            <w:noWrap/>
            <w:vAlign w:val="bottom"/>
            <w:hideMark/>
          </w:tcPr>
          <w:p w14:paraId="57263A4F" w14:textId="346BF2B9" w:rsidR="00CD0F26" w:rsidRPr="006B42D6" w:rsidRDefault="00CD0F26" w:rsidP="00CD0F26">
            <w:pPr>
              <w:jc w:val="right"/>
              <w:rPr>
                <w:sz w:val="20"/>
                <w:szCs w:val="20"/>
              </w:rPr>
            </w:pPr>
            <w:r w:rsidRPr="006B42D6">
              <w:rPr>
                <w:sz w:val="20"/>
                <w:szCs w:val="20"/>
              </w:rPr>
              <w:t>89,199</w:t>
            </w:r>
          </w:p>
        </w:tc>
        <w:tc>
          <w:tcPr>
            <w:tcW w:w="0" w:type="auto"/>
            <w:tcBorders>
              <w:top w:val="nil"/>
              <w:left w:val="nil"/>
              <w:bottom w:val="nil"/>
              <w:right w:val="nil"/>
            </w:tcBorders>
            <w:shd w:val="clear" w:color="auto" w:fill="auto"/>
            <w:noWrap/>
            <w:vAlign w:val="bottom"/>
            <w:hideMark/>
          </w:tcPr>
          <w:p w14:paraId="7097C48F" w14:textId="67D23DFA" w:rsidR="00CD0F26" w:rsidRPr="006B42D6" w:rsidRDefault="00CD0F26" w:rsidP="00CD0F26">
            <w:pPr>
              <w:jc w:val="right"/>
              <w:rPr>
                <w:sz w:val="20"/>
                <w:szCs w:val="20"/>
              </w:rPr>
            </w:pPr>
            <w:r w:rsidRPr="006B42D6">
              <w:rPr>
                <w:sz w:val="20"/>
                <w:szCs w:val="20"/>
              </w:rPr>
              <w:t>97,677</w:t>
            </w:r>
          </w:p>
        </w:tc>
        <w:tc>
          <w:tcPr>
            <w:tcW w:w="0" w:type="auto"/>
            <w:tcBorders>
              <w:top w:val="nil"/>
              <w:left w:val="nil"/>
              <w:bottom w:val="nil"/>
              <w:right w:val="nil"/>
            </w:tcBorders>
            <w:shd w:val="clear" w:color="auto" w:fill="auto"/>
            <w:noWrap/>
            <w:vAlign w:val="bottom"/>
            <w:hideMark/>
          </w:tcPr>
          <w:p w14:paraId="095C9651" w14:textId="3519FB07" w:rsidR="00CD0F26" w:rsidRPr="006B42D6" w:rsidRDefault="00CD0F26" w:rsidP="00CD0F26">
            <w:pPr>
              <w:jc w:val="right"/>
              <w:rPr>
                <w:sz w:val="20"/>
                <w:szCs w:val="20"/>
              </w:rPr>
            </w:pPr>
            <w:r w:rsidRPr="006B42D6">
              <w:rPr>
                <w:sz w:val="20"/>
                <w:szCs w:val="20"/>
              </w:rPr>
              <w:t>1.1</w:t>
            </w:r>
          </w:p>
        </w:tc>
      </w:tr>
      <w:tr w:rsidR="006B42D6" w:rsidRPr="006B42D6" w14:paraId="2E7E69C8" w14:textId="77777777" w:rsidTr="00AC6068">
        <w:trPr>
          <w:trHeight w:hRule="exact" w:val="340"/>
        </w:trPr>
        <w:tc>
          <w:tcPr>
            <w:tcW w:w="0" w:type="auto"/>
            <w:tcBorders>
              <w:top w:val="nil"/>
              <w:left w:val="nil"/>
              <w:bottom w:val="nil"/>
            </w:tcBorders>
            <w:shd w:val="clear" w:color="auto" w:fill="auto"/>
            <w:noWrap/>
            <w:vAlign w:val="bottom"/>
            <w:hideMark/>
          </w:tcPr>
          <w:p w14:paraId="41ED2DA4" w14:textId="77777777" w:rsidR="00CD0F26" w:rsidRPr="006B42D6" w:rsidRDefault="00CD0F26" w:rsidP="00CD0F26">
            <w:pPr>
              <w:rPr>
                <w:sz w:val="20"/>
                <w:szCs w:val="20"/>
              </w:rPr>
            </w:pPr>
            <w:r w:rsidRPr="006B42D6">
              <w:rPr>
                <w:sz w:val="20"/>
                <w:szCs w:val="20"/>
              </w:rPr>
              <w:t>Rukwa</w:t>
            </w:r>
          </w:p>
        </w:tc>
        <w:tc>
          <w:tcPr>
            <w:tcW w:w="0" w:type="auto"/>
            <w:tcBorders>
              <w:top w:val="nil"/>
              <w:bottom w:val="nil"/>
              <w:right w:val="nil"/>
            </w:tcBorders>
            <w:shd w:val="clear" w:color="auto" w:fill="auto"/>
            <w:noWrap/>
            <w:vAlign w:val="bottom"/>
            <w:hideMark/>
          </w:tcPr>
          <w:p w14:paraId="42FCC837" w14:textId="2531D491" w:rsidR="00CD0F26" w:rsidRPr="006B42D6" w:rsidRDefault="00CD0F26" w:rsidP="00CD0F26">
            <w:pPr>
              <w:jc w:val="right"/>
              <w:rPr>
                <w:sz w:val="20"/>
                <w:szCs w:val="20"/>
              </w:rPr>
            </w:pPr>
            <w:r w:rsidRPr="006B42D6">
              <w:rPr>
                <w:sz w:val="20"/>
                <w:szCs w:val="20"/>
              </w:rPr>
              <w:t>13,529</w:t>
            </w:r>
          </w:p>
        </w:tc>
        <w:tc>
          <w:tcPr>
            <w:tcW w:w="0" w:type="auto"/>
            <w:tcBorders>
              <w:top w:val="nil"/>
              <w:left w:val="nil"/>
              <w:bottom w:val="nil"/>
              <w:right w:val="nil"/>
            </w:tcBorders>
            <w:shd w:val="clear" w:color="auto" w:fill="auto"/>
            <w:noWrap/>
            <w:vAlign w:val="bottom"/>
            <w:hideMark/>
          </w:tcPr>
          <w:p w14:paraId="7699C570" w14:textId="40016C02" w:rsidR="00CD0F26" w:rsidRPr="006B42D6" w:rsidRDefault="00CD0F26" w:rsidP="00CD0F26">
            <w:pPr>
              <w:jc w:val="right"/>
              <w:rPr>
                <w:sz w:val="20"/>
                <w:szCs w:val="20"/>
              </w:rPr>
            </w:pPr>
            <w:r w:rsidRPr="006B42D6">
              <w:rPr>
                <w:sz w:val="20"/>
                <w:szCs w:val="20"/>
              </w:rPr>
              <w:t>13,206</w:t>
            </w:r>
          </w:p>
        </w:tc>
        <w:tc>
          <w:tcPr>
            <w:tcW w:w="0" w:type="auto"/>
            <w:tcBorders>
              <w:top w:val="nil"/>
              <w:left w:val="nil"/>
              <w:bottom w:val="nil"/>
              <w:right w:val="nil"/>
            </w:tcBorders>
            <w:shd w:val="clear" w:color="auto" w:fill="auto"/>
            <w:noWrap/>
            <w:vAlign w:val="bottom"/>
            <w:hideMark/>
          </w:tcPr>
          <w:p w14:paraId="04384344" w14:textId="43D76CD0" w:rsidR="00CD0F26" w:rsidRPr="006B42D6" w:rsidRDefault="00CD0F26" w:rsidP="00CD0F26">
            <w:pPr>
              <w:jc w:val="right"/>
              <w:rPr>
                <w:sz w:val="20"/>
                <w:szCs w:val="20"/>
              </w:rPr>
            </w:pPr>
            <w:r w:rsidRPr="006B42D6">
              <w:rPr>
                <w:sz w:val="20"/>
                <w:szCs w:val="20"/>
              </w:rPr>
              <w:t>21,701</w:t>
            </w:r>
          </w:p>
        </w:tc>
        <w:tc>
          <w:tcPr>
            <w:tcW w:w="0" w:type="auto"/>
            <w:tcBorders>
              <w:top w:val="nil"/>
              <w:left w:val="nil"/>
              <w:bottom w:val="nil"/>
              <w:right w:val="nil"/>
            </w:tcBorders>
            <w:shd w:val="clear" w:color="auto" w:fill="auto"/>
            <w:noWrap/>
            <w:vAlign w:val="bottom"/>
            <w:hideMark/>
          </w:tcPr>
          <w:p w14:paraId="7D7938A1" w14:textId="67C8C64B" w:rsidR="00CD0F26" w:rsidRPr="006B42D6" w:rsidRDefault="00CD0F26" w:rsidP="00CD0F26">
            <w:pPr>
              <w:jc w:val="right"/>
              <w:rPr>
                <w:sz w:val="20"/>
                <w:szCs w:val="20"/>
              </w:rPr>
            </w:pPr>
            <w:r w:rsidRPr="006B42D6">
              <w:rPr>
                <w:sz w:val="20"/>
                <w:szCs w:val="20"/>
              </w:rPr>
              <w:t>1.6</w:t>
            </w:r>
          </w:p>
        </w:tc>
      </w:tr>
      <w:tr w:rsidR="006B42D6" w:rsidRPr="006B42D6" w14:paraId="7956ACAE" w14:textId="77777777" w:rsidTr="00AC6068">
        <w:trPr>
          <w:trHeight w:hRule="exact" w:val="340"/>
        </w:trPr>
        <w:tc>
          <w:tcPr>
            <w:tcW w:w="0" w:type="auto"/>
            <w:tcBorders>
              <w:top w:val="nil"/>
              <w:left w:val="nil"/>
              <w:bottom w:val="nil"/>
            </w:tcBorders>
            <w:shd w:val="clear" w:color="auto" w:fill="auto"/>
            <w:noWrap/>
            <w:vAlign w:val="bottom"/>
            <w:hideMark/>
          </w:tcPr>
          <w:p w14:paraId="42ACE9B5" w14:textId="77777777" w:rsidR="00CD0F26" w:rsidRPr="006B42D6" w:rsidRDefault="00CD0F26" w:rsidP="00CD0F26">
            <w:pPr>
              <w:rPr>
                <w:sz w:val="20"/>
                <w:szCs w:val="20"/>
              </w:rPr>
            </w:pPr>
            <w:r w:rsidRPr="006B42D6">
              <w:rPr>
                <w:sz w:val="20"/>
                <w:szCs w:val="20"/>
              </w:rPr>
              <w:t>Kigoma</w:t>
            </w:r>
          </w:p>
        </w:tc>
        <w:tc>
          <w:tcPr>
            <w:tcW w:w="0" w:type="auto"/>
            <w:tcBorders>
              <w:top w:val="nil"/>
              <w:bottom w:val="nil"/>
              <w:right w:val="nil"/>
            </w:tcBorders>
            <w:shd w:val="clear" w:color="auto" w:fill="auto"/>
            <w:noWrap/>
            <w:vAlign w:val="bottom"/>
            <w:hideMark/>
          </w:tcPr>
          <w:p w14:paraId="7E8EAC9A" w14:textId="78539FEB" w:rsidR="00CD0F26" w:rsidRPr="006B42D6" w:rsidRDefault="00CD0F26" w:rsidP="00CD0F26">
            <w:pPr>
              <w:jc w:val="right"/>
              <w:rPr>
                <w:sz w:val="20"/>
                <w:szCs w:val="20"/>
              </w:rPr>
            </w:pPr>
            <w:r w:rsidRPr="006B42D6">
              <w:rPr>
                <w:sz w:val="20"/>
                <w:szCs w:val="20"/>
              </w:rPr>
              <w:t>16,272</w:t>
            </w:r>
          </w:p>
        </w:tc>
        <w:tc>
          <w:tcPr>
            <w:tcW w:w="0" w:type="auto"/>
            <w:tcBorders>
              <w:top w:val="nil"/>
              <w:left w:val="nil"/>
              <w:bottom w:val="nil"/>
              <w:right w:val="nil"/>
            </w:tcBorders>
            <w:shd w:val="clear" w:color="auto" w:fill="auto"/>
            <w:noWrap/>
            <w:vAlign w:val="bottom"/>
            <w:hideMark/>
          </w:tcPr>
          <w:p w14:paraId="428086B5" w14:textId="79603C38" w:rsidR="00CD0F26" w:rsidRPr="006B42D6" w:rsidRDefault="00CD0F26" w:rsidP="00CD0F26">
            <w:pPr>
              <w:jc w:val="right"/>
              <w:rPr>
                <w:sz w:val="20"/>
                <w:szCs w:val="20"/>
              </w:rPr>
            </w:pPr>
            <w:r w:rsidRPr="006B42D6">
              <w:rPr>
                <w:sz w:val="20"/>
                <w:szCs w:val="20"/>
              </w:rPr>
              <w:t>15,174</w:t>
            </w:r>
          </w:p>
        </w:tc>
        <w:tc>
          <w:tcPr>
            <w:tcW w:w="0" w:type="auto"/>
            <w:tcBorders>
              <w:top w:val="nil"/>
              <w:left w:val="nil"/>
              <w:bottom w:val="nil"/>
              <w:right w:val="nil"/>
            </w:tcBorders>
            <w:shd w:val="clear" w:color="auto" w:fill="auto"/>
            <w:noWrap/>
            <w:vAlign w:val="bottom"/>
            <w:hideMark/>
          </w:tcPr>
          <w:p w14:paraId="57BCA3D8" w14:textId="37DD07BF" w:rsidR="00CD0F26" w:rsidRPr="006B42D6" w:rsidRDefault="00CD0F26" w:rsidP="00CD0F26">
            <w:pPr>
              <w:jc w:val="right"/>
              <w:rPr>
                <w:sz w:val="20"/>
                <w:szCs w:val="20"/>
              </w:rPr>
            </w:pPr>
            <w:r w:rsidRPr="006B42D6">
              <w:rPr>
                <w:sz w:val="20"/>
                <w:szCs w:val="20"/>
              </w:rPr>
              <w:t>18,697</w:t>
            </w:r>
          </w:p>
        </w:tc>
        <w:tc>
          <w:tcPr>
            <w:tcW w:w="0" w:type="auto"/>
            <w:tcBorders>
              <w:top w:val="nil"/>
              <w:left w:val="nil"/>
              <w:bottom w:val="nil"/>
              <w:right w:val="nil"/>
            </w:tcBorders>
            <w:shd w:val="clear" w:color="auto" w:fill="auto"/>
            <w:noWrap/>
            <w:vAlign w:val="bottom"/>
            <w:hideMark/>
          </w:tcPr>
          <w:p w14:paraId="7AE68A5B" w14:textId="6589EE77" w:rsidR="00CD0F26" w:rsidRPr="006B42D6" w:rsidRDefault="00CD0F26" w:rsidP="00CD0F26">
            <w:pPr>
              <w:jc w:val="right"/>
              <w:rPr>
                <w:sz w:val="20"/>
                <w:szCs w:val="20"/>
              </w:rPr>
            </w:pPr>
            <w:r w:rsidRPr="006B42D6">
              <w:rPr>
                <w:sz w:val="20"/>
                <w:szCs w:val="20"/>
              </w:rPr>
              <w:t>1.2</w:t>
            </w:r>
          </w:p>
        </w:tc>
      </w:tr>
      <w:tr w:rsidR="006B42D6" w:rsidRPr="006B42D6" w14:paraId="01D58347" w14:textId="77777777" w:rsidTr="00AC6068">
        <w:trPr>
          <w:trHeight w:hRule="exact" w:val="340"/>
        </w:trPr>
        <w:tc>
          <w:tcPr>
            <w:tcW w:w="0" w:type="auto"/>
            <w:tcBorders>
              <w:top w:val="nil"/>
              <w:left w:val="nil"/>
              <w:bottom w:val="nil"/>
            </w:tcBorders>
            <w:shd w:val="clear" w:color="auto" w:fill="auto"/>
            <w:noWrap/>
            <w:vAlign w:val="bottom"/>
            <w:hideMark/>
          </w:tcPr>
          <w:p w14:paraId="0D2B9782" w14:textId="77777777" w:rsidR="00CD0F26" w:rsidRPr="006B42D6" w:rsidRDefault="00CD0F26" w:rsidP="00CD0F26">
            <w:pPr>
              <w:rPr>
                <w:sz w:val="20"/>
                <w:szCs w:val="20"/>
              </w:rPr>
            </w:pPr>
            <w:r w:rsidRPr="006B42D6">
              <w:rPr>
                <w:sz w:val="20"/>
                <w:szCs w:val="20"/>
              </w:rPr>
              <w:t>Shinyanga</w:t>
            </w:r>
          </w:p>
        </w:tc>
        <w:tc>
          <w:tcPr>
            <w:tcW w:w="0" w:type="auto"/>
            <w:tcBorders>
              <w:top w:val="nil"/>
              <w:bottom w:val="nil"/>
              <w:right w:val="nil"/>
            </w:tcBorders>
            <w:shd w:val="clear" w:color="auto" w:fill="auto"/>
            <w:noWrap/>
            <w:vAlign w:val="bottom"/>
            <w:hideMark/>
          </w:tcPr>
          <w:p w14:paraId="5C601949" w14:textId="23D7ADB6" w:rsidR="00CD0F26" w:rsidRPr="006B42D6" w:rsidRDefault="00CD0F26" w:rsidP="00CD0F26">
            <w:pPr>
              <w:jc w:val="right"/>
              <w:rPr>
                <w:sz w:val="20"/>
                <w:szCs w:val="20"/>
              </w:rPr>
            </w:pPr>
            <w:r w:rsidRPr="006B42D6">
              <w:rPr>
                <w:sz w:val="20"/>
                <w:szCs w:val="20"/>
              </w:rPr>
              <w:t>45,746</w:t>
            </w:r>
          </w:p>
        </w:tc>
        <w:tc>
          <w:tcPr>
            <w:tcW w:w="0" w:type="auto"/>
            <w:tcBorders>
              <w:top w:val="nil"/>
              <w:left w:val="nil"/>
              <w:bottom w:val="nil"/>
              <w:right w:val="nil"/>
            </w:tcBorders>
            <w:shd w:val="clear" w:color="auto" w:fill="auto"/>
            <w:noWrap/>
            <w:vAlign w:val="bottom"/>
            <w:hideMark/>
          </w:tcPr>
          <w:p w14:paraId="6DB6F529" w14:textId="5E0A30B6" w:rsidR="00CD0F26" w:rsidRPr="006B42D6" w:rsidRDefault="00CD0F26" w:rsidP="00CD0F26">
            <w:pPr>
              <w:jc w:val="right"/>
              <w:rPr>
                <w:sz w:val="20"/>
                <w:szCs w:val="20"/>
              </w:rPr>
            </w:pPr>
            <w:r w:rsidRPr="006B42D6">
              <w:rPr>
                <w:sz w:val="20"/>
                <w:szCs w:val="20"/>
              </w:rPr>
              <w:t>39,011</w:t>
            </w:r>
          </w:p>
        </w:tc>
        <w:tc>
          <w:tcPr>
            <w:tcW w:w="0" w:type="auto"/>
            <w:tcBorders>
              <w:top w:val="nil"/>
              <w:left w:val="nil"/>
              <w:bottom w:val="nil"/>
              <w:right w:val="nil"/>
            </w:tcBorders>
            <w:shd w:val="clear" w:color="auto" w:fill="auto"/>
            <w:noWrap/>
            <w:vAlign w:val="bottom"/>
            <w:hideMark/>
          </w:tcPr>
          <w:p w14:paraId="1EE81876" w14:textId="1A94A73F" w:rsidR="00CD0F26" w:rsidRPr="006B42D6" w:rsidRDefault="00CD0F26" w:rsidP="00CD0F26">
            <w:pPr>
              <w:jc w:val="right"/>
              <w:rPr>
                <w:sz w:val="20"/>
                <w:szCs w:val="20"/>
              </w:rPr>
            </w:pPr>
            <w:r w:rsidRPr="006B42D6">
              <w:rPr>
                <w:sz w:val="20"/>
                <w:szCs w:val="20"/>
              </w:rPr>
              <w:t>41,031</w:t>
            </w:r>
          </w:p>
        </w:tc>
        <w:tc>
          <w:tcPr>
            <w:tcW w:w="0" w:type="auto"/>
            <w:tcBorders>
              <w:top w:val="nil"/>
              <w:left w:val="nil"/>
              <w:bottom w:val="nil"/>
              <w:right w:val="nil"/>
            </w:tcBorders>
            <w:shd w:val="clear" w:color="auto" w:fill="auto"/>
            <w:noWrap/>
            <w:vAlign w:val="bottom"/>
            <w:hideMark/>
          </w:tcPr>
          <w:p w14:paraId="48FF365E" w14:textId="7296F36B" w:rsidR="00CD0F26" w:rsidRPr="006B42D6" w:rsidRDefault="00CD0F26" w:rsidP="00CD0F26">
            <w:pPr>
              <w:jc w:val="right"/>
              <w:rPr>
                <w:sz w:val="20"/>
                <w:szCs w:val="20"/>
              </w:rPr>
            </w:pPr>
            <w:r w:rsidRPr="006B42D6">
              <w:rPr>
                <w:sz w:val="20"/>
                <w:szCs w:val="20"/>
              </w:rPr>
              <w:t>1.1</w:t>
            </w:r>
          </w:p>
        </w:tc>
      </w:tr>
      <w:tr w:rsidR="006B42D6" w:rsidRPr="006B42D6" w14:paraId="74B59E50" w14:textId="77777777" w:rsidTr="00AC6068">
        <w:trPr>
          <w:trHeight w:hRule="exact" w:val="340"/>
        </w:trPr>
        <w:tc>
          <w:tcPr>
            <w:tcW w:w="0" w:type="auto"/>
            <w:tcBorders>
              <w:top w:val="nil"/>
              <w:left w:val="nil"/>
              <w:bottom w:val="nil"/>
            </w:tcBorders>
            <w:shd w:val="clear" w:color="auto" w:fill="auto"/>
            <w:noWrap/>
            <w:vAlign w:val="bottom"/>
            <w:hideMark/>
          </w:tcPr>
          <w:p w14:paraId="7719E713" w14:textId="77777777" w:rsidR="00CD0F26" w:rsidRPr="006B42D6" w:rsidRDefault="00CD0F26" w:rsidP="00CD0F26">
            <w:pPr>
              <w:rPr>
                <w:sz w:val="20"/>
                <w:szCs w:val="20"/>
              </w:rPr>
            </w:pPr>
            <w:r w:rsidRPr="006B42D6">
              <w:rPr>
                <w:sz w:val="20"/>
                <w:szCs w:val="20"/>
              </w:rPr>
              <w:t>Kagera</w:t>
            </w:r>
          </w:p>
        </w:tc>
        <w:tc>
          <w:tcPr>
            <w:tcW w:w="0" w:type="auto"/>
            <w:tcBorders>
              <w:top w:val="nil"/>
              <w:bottom w:val="nil"/>
              <w:right w:val="nil"/>
            </w:tcBorders>
            <w:shd w:val="clear" w:color="auto" w:fill="auto"/>
            <w:noWrap/>
            <w:vAlign w:val="bottom"/>
            <w:hideMark/>
          </w:tcPr>
          <w:p w14:paraId="37C2AB28" w14:textId="7B9B721C" w:rsidR="00CD0F26" w:rsidRPr="006B42D6" w:rsidRDefault="00CD0F26" w:rsidP="00CD0F26">
            <w:pPr>
              <w:jc w:val="right"/>
              <w:rPr>
                <w:sz w:val="20"/>
                <w:szCs w:val="20"/>
              </w:rPr>
            </w:pPr>
            <w:r w:rsidRPr="006B42D6">
              <w:rPr>
                <w:sz w:val="20"/>
                <w:szCs w:val="20"/>
              </w:rPr>
              <w:t>12,890</w:t>
            </w:r>
          </w:p>
        </w:tc>
        <w:tc>
          <w:tcPr>
            <w:tcW w:w="0" w:type="auto"/>
            <w:tcBorders>
              <w:top w:val="nil"/>
              <w:left w:val="nil"/>
              <w:bottom w:val="nil"/>
              <w:right w:val="nil"/>
            </w:tcBorders>
            <w:shd w:val="clear" w:color="auto" w:fill="auto"/>
            <w:noWrap/>
            <w:vAlign w:val="bottom"/>
            <w:hideMark/>
          </w:tcPr>
          <w:p w14:paraId="422CF3A0" w14:textId="5C72BB3E" w:rsidR="00CD0F26" w:rsidRPr="006B42D6" w:rsidRDefault="00CD0F26" w:rsidP="00CD0F26">
            <w:pPr>
              <w:jc w:val="right"/>
              <w:rPr>
                <w:sz w:val="20"/>
                <w:szCs w:val="20"/>
              </w:rPr>
            </w:pPr>
            <w:r w:rsidRPr="006B42D6">
              <w:rPr>
                <w:sz w:val="20"/>
                <w:szCs w:val="20"/>
              </w:rPr>
              <w:t>11,223</w:t>
            </w:r>
          </w:p>
        </w:tc>
        <w:tc>
          <w:tcPr>
            <w:tcW w:w="0" w:type="auto"/>
            <w:tcBorders>
              <w:top w:val="nil"/>
              <w:left w:val="nil"/>
              <w:bottom w:val="nil"/>
              <w:right w:val="nil"/>
            </w:tcBorders>
            <w:shd w:val="clear" w:color="auto" w:fill="auto"/>
            <w:noWrap/>
            <w:vAlign w:val="bottom"/>
            <w:hideMark/>
          </w:tcPr>
          <w:p w14:paraId="518B0FA6" w14:textId="0DFD21CB" w:rsidR="00CD0F26" w:rsidRPr="006B42D6" w:rsidRDefault="00CD0F26" w:rsidP="00CD0F26">
            <w:pPr>
              <w:jc w:val="right"/>
              <w:rPr>
                <w:sz w:val="20"/>
                <w:szCs w:val="20"/>
              </w:rPr>
            </w:pPr>
            <w:r w:rsidRPr="006B42D6">
              <w:rPr>
                <w:sz w:val="20"/>
                <w:szCs w:val="20"/>
              </w:rPr>
              <w:t>14,350</w:t>
            </w:r>
          </w:p>
        </w:tc>
        <w:tc>
          <w:tcPr>
            <w:tcW w:w="0" w:type="auto"/>
            <w:tcBorders>
              <w:top w:val="nil"/>
              <w:left w:val="nil"/>
              <w:bottom w:val="nil"/>
              <w:right w:val="nil"/>
            </w:tcBorders>
            <w:shd w:val="clear" w:color="auto" w:fill="auto"/>
            <w:noWrap/>
            <w:vAlign w:val="bottom"/>
            <w:hideMark/>
          </w:tcPr>
          <w:p w14:paraId="5EE43AEE" w14:textId="5BB4F10B" w:rsidR="00CD0F26" w:rsidRPr="006B42D6" w:rsidRDefault="00CD0F26" w:rsidP="00CD0F26">
            <w:pPr>
              <w:jc w:val="right"/>
              <w:rPr>
                <w:sz w:val="20"/>
                <w:szCs w:val="20"/>
              </w:rPr>
            </w:pPr>
            <w:r w:rsidRPr="006B42D6">
              <w:rPr>
                <w:sz w:val="20"/>
                <w:szCs w:val="20"/>
              </w:rPr>
              <w:t>1.3</w:t>
            </w:r>
          </w:p>
        </w:tc>
      </w:tr>
      <w:tr w:rsidR="006B42D6" w:rsidRPr="006B42D6" w14:paraId="0947BDDE" w14:textId="77777777" w:rsidTr="00AC6068">
        <w:trPr>
          <w:trHeight w:hRule="exact" w:val="340"/>
        </w:trPr>
        <w:tc>
          <w:tcPr>
            <w:tcW w:w="0" w:type="auto"/>
            <w:tcBorders>
              <w:top w:val="nil"/>
              <w:left w:val="nil"/>
              <w:bottom w:val="nil"/>
            </w:tcBorders>
            <w:shd w:val="clear" w:color="auto" w:fill="auto"/>
            <w:noWrap/>
            <w:vAlign w:val="bottom"/>
            <w:hideMark/>
          </w:tcPr>
          <w:p w14:paraId="76876BCE" w14:textId="77777777" w:rsidR="00CD0F26" w:rsidRPr="006B42D6" w:rsidRDefault="00CD0F26" w:rsidP="00CD0F26">
            <w:pPr>
              <w:rPr>
                <w:sz w:val="20"/>
                <w:szCs w:val="20"/>
              </w:rPr>
            </w:pPr>
            <w:r w:rsidRPr="006B42D6">
              <w:rPr>
                <w:sz w:val="20"/>
                <w:szCs w:val="20"/>
              </w:rPr>
              <w:t>Mwanza</w:t>
            </w:r>
          </w:p>
        </w:tc>
        <w:tc>
          <w:tcPr>
            <w:tcW w:w="0" w:type="auto"/>
            <w:tcBorders>
              <w:top w:val="nil"/>
              <w:bottom w:val="nil"/>
              <w:right w:val="nil"/>
            </w:tcBorders>
            <w:shd w:val="clear" w:color="auto" w:fill="auto"/>
            <w:noWrap/>
            <w:vAlign w:val="bottom"/>
            <w:hideMark/>
          </w:tcPr>
          <w:p w14:paraId="443FAAB5" w14:textId="7D5A5320" w:rsidR="00CD0F26" w:rsidRPr="006B42D6" w:rsidRDefault="00CD0F26" w:rsidP="00CD0F26">
            <w:pPr>
              <w:jc w:val="right"/>
              <w:rPr>
                <w:sz w:val="20"/>
                <w:szCs w:val="20"/>
              </w:rPr>
            </w:pPr>
            <w:r w:rsidRPr="006B42D6">
              <w:rPr>
                <w:sz w:val="20"/>
                <w:szCs w:val="20"/>
              </w:rPr>
              <w:t>13,585</w:t>
            </w:r>
          </w:p>
        </w:tc>
        <w:tc>
          <w:tcPr>
            <w:tcW w:w="0" w:type="auto"/>
            <w:tcBorders>
              <w:top w:val="nil"/>
              <w:left w:val="nil"/>
              <w:bottom w:val="nil"/>
              <w:right w:val="nil"/>
            </w:tcBorders>
            <w:shd w:val="clear" w:color="auto" w:fill="auto"/>
            <w:noWrap/>
            <w:vAlign w:val="bottom"/>
            <w:hideMark/>
          </w:tcPr>
          <w:p w14:paraId="5984B8BF" w14:textId="1BB86F0C" w:rsidR="00CD0F26" w:rsidRPr="006B42D6" w:rsidRDefault="00CD0F26" w:rsidP="00CD0F26">
            <w:pPr>
              <w:jc w:val="right"/>
              <w:rPr>
                <w:sz w:val="20"/>
                <w:szCs w:val="20"/>
              </w:rPr>
            </w:pPr>
            <w:r w:rsidRPr="006B42D6">
              <w:rPr>
                <w:sz w:val="20"/>
                <w:szCs w:val="20"/>
              </w:rPr>
              <w:t>12,952</w:t>
            </w:r>
          </w:p>
        </w:tc>
        <w:tc>
          <w:tcPr>
            <w:tcW w:w="0" w:type="auto"/>
            <w:tcBorders>
              <w:top w:val="nil"/>
              <w:left w:val="nil"/>
              <w:bottom w:val="nil"/>
              <w:right w:val="nil"/>
            </w:tcBorders>
            <w:shd w:val="clear" w:color="auto" w:fill="auto"/>
            <w:noWrap/>
            <w:vAlign w:val="bottom"/>
            <w:hideMark/>
          </w:tcPr>
          <w:p w14:paraId="53B04CCE" w14:textId="548BD33C" w:rsidR="00CD0F26" w:rsidRPr="006B42D6" w:rsidRDefault="00CD0F26" w:rsidP="00CD0F26">
            <w:pPr>
              <w:jc w:val="right"/>
              <w:rPr>
                <w:sz w:val="20"/>
                <w:szCs w:val="20"/>
              </w:rPr>
            </w:pPr>
            <w:r w:rsidRPr="006B42D6">
              <w:rPr>
                <w:sz w:val="20"/>
                <w:szCs w:val="20"/>
              </w:rPr>
              <w:t>16,933</w:t>
            </w:r>
          </w:p>
        </w:tc>
        <w:tc>
          <w:tcPr>
            <w:tcW w:w="0" w:type="auto"/>
            <w:tcBorders>
              <w:top w:val="nil"/>
              <w:left w:val="nil"/>
              <w:bottom w:val="nil"/>
              <w:right w:val="nil"/>
            </w:tcBorders>
            <w:shd w:val="clear" w:color="auto" w:fill="auto"/>
            <w:noWrap/>
            <w:vAlign w:val="bottom"/>
            <w:hideMark/>
          </w:tcPr>
          <w:p w14:paraId="2D7F5760" w14:textId="388870A8" w:rsidR="00CD0F26" w:rsidRPr="006B42D6" w:rsidRDefault="00CD0F26" w:rsidP="00CD0F26">
            <w:pPr>
              <w:jc w:val="right"/>
              <w:rPr>
                <w:sz w:val="20"/>
                <w:szCs w:val="20"/>
              </w:rPr>
            </w:pPr>
            <w:r w:rsidRPr="006B42D6">
              <w:rPr>
                <w:sz w:val="20"/>
                <w:szCs w:val="20"/>
              </w:rPr>
              <w:t>1.3</w:t>
            </w:r>
          </w:p>
        </w:tc>
      </w:tr>
      <w:tr w:rsidR="006B42D6" w:rsidRPr="006B42D6" w14:paraId="7A37D3D3" w14:textId="77777777" w:rsidTr="00AC6068">
        <w:trPr>
          <w:trHeight w:hRule="exact" w:val="340"/>
        </w:trPr>
        <w:tc>
          <w:tcPr>
            <w:tcW w:w="0" w:type="auto"/>
            <w:tcBorders>
              <w:top w:val="nil"/>
              <w:left w:val="nil"/>
              <w:bottom w:val="nil"/>
            </w:tcBorders>
            <w:shd w:val="clear" w:color="auto" w:fill="auto"/>
            <w:noWrap/>
            <w:vAlign w:val="bottom"/>
            <w:hideMark/>
          </w:tcPr>
          <w:p w14:paraId="204BA5C6" w14:textId="77777777" w:rsidR="00CD0F26" w:rsidRPr="006B42D6" w:rsidRDefault="00CD0F26" w:rsidP="00CD0F26">
            <w:pPr>
              <w:rPr>
                <w:sz w:val="20"/>
                <w:szCs w:val="20"/>
              </w:rPr>
            </w:pPr>
            <w:r w:rsidRPr="006B42D6">
              <w:rPr>
                <w:sz w:val="20"/>
                <w:szCs w:val="20"/>
              </w:rPr>
              <w:t>Mara</w:t>
            </w:r>
          </w:p>
        </w:tc>
        <w:tc>
          <w:tcPr>
            <w:tcW w:w="0" w:type="auto"/>
            <w:tcBorders>
              <w:top w:val="nil"/>
              <w:bottom w:val="nil"/>
              <w:right w:val="nil"/>
            </w:tcBorders>
            <w:shd w:val="clear" w:color="auto" w:fill="auto"/>
            <w:noWrap/>
            <w:vAlign w:val="bottom"/>
            <w:hideMark/>
          </w:tcPr>
          <w:p w14:paraId="11235248" w14:textId="49568A55" w:rsidR="00CD0F26" w:rsidRPr="006B42D6" w:rsidRDefault="00CD0F26" w:rsidP="00CD0F26">
            <w:pPr>
              <w:jc w:val="right"/>
              <w:rPr>
                <w:sz w:val="20"/>
                <w:szCs w:val="20"/>
              </w:rPr>
            </w:pPr>
            <w:r w:rsidRPr="006B42D6">
              <w:rPr>
                <w:sz w:val="20"/>
                <w:szCs w:val="20"/>
              </w:rPr>
              <w:t>469</w:t>
            </w:r>
          </w:p>
        </w:tc>
        <w:tc>
          <w:tcPr>
            <w:tcW w:w="0" w:type="auto"/>
            <w:tcBorders>
              <w:top w:val="nil"/>
              <w:left w:val="nil"/>
              <w:bottom w:val="nil"/>
              <w:right w:val="nil"/>
            </w:tcBorders>
            <w:shd w:val="clear" w:color="auto" w:fill="auto"/>
            <w:noWrap/>
            <w:vAlign w:val="bottom"/>
            <w:hideMark/>
          </w:tcPr>
          <w:p w14:paraId="13185439" w14:textId="2E781D6C" w:rsidR="00CD0F26" w:rsidRPr="006B42D6" w:rsidRDefault="00CD0F26" w:rsidP="00CD0F26">
            <w:pPr>
              <w:jc w:val="right"/>
              <w:rPr>
                <w:sz w:val="20"/>
                <w:szCs w:val="20"/>
              </w:rPr>
            </w:pPr>
            <w:r w:rsidRPr="006B42D6">
              <w:rPr>
                <w:sz w:val="20"/>
                <w:szCs w:val="20"/>
              </w:rPr>
              <w:t>425</w:t>
            </w:r>
          </w:p>
        </w:tc>
        <w:tc>
          <w:tcPr>
            <w:tcW w:w="0" w:type="auto"/>
            <w:tcBorders>
              <w:top w:val="nil"/>
              <w:left w:val="nil"/>
              <w:bottom w:val="nil"/>
              <w:right w:val="nil"/>
            </w:tcBorders>
            <w:shd w:val="clear" w:color="auto" w:fill="auto"/>
            <w:noWrap/>
            <w:vAlign w:val="bottom"/>
            <w:hideMark/>
          </w:tcPr>
          <w:p w14:paraId="2763CDCC" w14:textId="0F2B65C7" w:rsidR="00CD0F26" w:rsidRPr="006B42D6" w:rsidRDefault="00CD0F26" w:rsidP="00CD0F26">
            <w:pPr>
              <w:jc w:val="right"/>
              <w:rPr>
                <w:sz w:val="20"/>
                <w:szCs w:val="20"/>
              </w:rPr>
            </w:pPr>
            <w:r w:rsidRPr="006B42D6">
              <w:rPr>
                <w:sz w:val="20"/>
                <w:szCs w:val="20"/>
              </w:rPr>
              <w:t>605</w:t>
            </w:r>
          </w:p>
        </w:tc>
        <w:tc>
          <w:tcPr>
            <w:tcW w:w="0" w:type="auto"/>
            <w:tcBorders>
              <w:top w:val="nil"/>
              <w:left w:val="nil"/>
              <w:bottom w:val="nil"/>
              <w:right w:val="nil"/>
            </w:tcBorders>
            <w:shd w:val="clear" w:color="auto" w:fill="auto"/>
            <w:noWrap/>
            <w:vAlign w:val="bottom"/>
            <w:hideMark/>
          </w:tcPr>
          <w:p w14:paraId="3ADAE2B4" w14:textId="18934302" w:rsidR="00CD0F26" w:rsidRPr="006B42D6" w:rsidRDefault="00CD0F26" w:rsidP="00CD0F26">
            <w:pPr>
              <w:jc w:val="right"/>
              <w:rPr>
                <w:sz w:val="20"/>
                <w:szCs w:val="20"/>
              </w:rPr>
            </w:pPr>
            <w:r w:rsidRPr="006B42D6">
              <w:rPr>
                <w:sz w:val="20"/>
                <w:szCs w:val="20"/>
              </w:rPr>
              <w:t>1.4</w:t>
            </w:r>
          </w:p>
        </w:tc>
      </w:tr>
      <w:tr w:rsidR="006B42D6" w:rsidRPr="006B42D6" w14:paraId="59D68604" w14:textId="77777777" w:rsidTr="00AC6068">
        <w:trPr>
          <w:trHeight w:hRule="exact" w:val="340"/>
        </w:trPr>
        <w:tc>
          <w:tcPr>
            <w:tcW w:w="0" w:type="auto"/>
            <w:tcBorders>
              <w:top w:val="nil"/>
              <w:left w:val="nil"/>
              <w:bottom w:val="nil"/>
            </w:tcBorders>
            <w:shd w:val="clear" w:color="auto" w:fill="auto"/>
            <w:noWrap/>
            <w:vAlign w:val="bottom"/>
            <w:hideMark/>
          </w:tcPr>
          <w:p w14:paraId="4AC64DF2" w14:textId="77777777" w:rsidR="00CD0F26" w:rsidRPr="006B42D6" w:rsidRDefault="00CD0F26" w:rsidP="00CD0F26">
            <w:pPr>
              <w:rPr>
                <w:sz w:val="20"/>
                <w:szCs w:val="20"/>
              </w:rPr>
            </w:pPr>
            <w:r w:rsidRPr="006B42D6">
              <w:rPr>
                <w:sz w:val="20"/>
                <w:szCs w:val="20"/>
              </w:rPr>
              <w:t>Manyara</w:t>
            </w:r>
          </w:p>
        </w:tc>
        <w:tc>
          <w:tcPr>
            <w:tcW w:w="0" w:type="auto"/>
            <w:tcBorders>
              <w:top w:val="nil"/>
              <w:bottom w:val="nil"/>
              <w:right w:val="nil"/>
            </w:tcBorders>
            <w:shd w:val="clear" w:color="auto" w:fill="auto"/>
            <w:noWrap/>
            <w:vAlign w:val="bottom"/>
            <w:hideMark/>
          </w:tcPr>
          <w:p w14:paraId="34A92657" w14:textId="5CFB6209" w:rsidR="00CD0F26" w:rsidRPr="006B42D6" w:rsidRDefault="00CD0F26" w:rsidP="00CD0F26">
            <w:pPr>
              <w:jc w:val="right"/>
              <w:rPr>
                <w:sz w:val="20"/>
                <w:szCs w:val="20"/>
              </w:rPr>
            </w:pPr>
            <w:r w:rsidRPr="006B42D6">
              <w:rPr>
                <w:sz w:val="20"/>
                <w:szCs w:val="20"/>
              </w:rPr>
              <w:t>10,350</w:t>
            </w:r>
          </w:p>
        </w:tc>
        <w:tc>
          <w:tcPr>
            <w:tcW w:w="0" w:type="auto"/>
            <w:tcBorders>
              <w:top w:val="nil"/>
              <w:left w:val="nil"/>
              <w:bottom w:val="nil"/>
              <w:right w:val="nil"/>
            </w:tcBorders>
            <w:shd w:val="clear" w:color="auto" w:fill="auto"/>
            <w:noWrap/>
            <w:vAlign w:val="bottom"/>
            <w:hideMark/>
          </w:tcPr>
          <w:p w14:paraId="5830A0E2" w14:textId="457C2F31" w:rsidR="00CD0F26" w:rsidRPr="006B42D6" w:rsidRDefault="00CD0F26" w:rsidP="00CD0F26">
            <w:pPr>
              <w:jc w:val="right"/>
              <w:rPr>
                <w:sz w:val="20"/>
                <w:szCs w:val="20"/>
              </w:rPr>
            </w:pPr>
            <w:r w:rsidRPr="006B42D6">
              <w:rPr>
                <w:sz w:val="20"/>
                <w:szCs w:val="20"/>
              </w:rPr>
              <w:t>10,350</w:t>
            </w:r>
          </w:p>
        </w:tc>
        <w:tc>
          <w:tcPr>
            <w:tcW w:w="0" w:type="auto"/>
            <w:tcBorders>
              <w:top w:val="nil"/>
              <w:left w:val="nil"/>
              <w:bottom w:val="nil"/>
              <w:right w:val="nil"/>
            </w:tcBorders>
            <w:shd w:val="clear" w:color="auto" w:fill="auto"/>
            <w:noWrap/>
            <w:vAlign w:val="bottom"/>
            <w:hideMark/>
          </w:tcPr>
          <w:p w14:paraId="5C98F0AA" w14:textId="3F59B4B9" w:rsidR="00CD0F26" w:rsidRPr="006B42D6" w:rsidRDefault="00CD0F26" w:rsidP="00CD0F26">
            <w:pPr>
              <w:jc w:val="right"/>
              <w:rPr>
                <w:sz w:val="20"/>
                <w:szCs w:val="20"/>
              </w:rPr>
            </w:pPr>
            <w:r w:rsidRPr="006B42D6">
              <w:rPr>
                <w:sz w:val="20"/>
                <w:szCs w:val="20"/>
              </w:rPr>
              <w:t>21,156</w:t>
            </w:r>
          </w:p>
        </w:tc>
        <w:tc>
          <w:tcPr>
            <w:tcW w:w="0" w:type="auto"/>
            <w:tcBorders>
              <w:top w:val="nil"/>
              <w:left w:val="nil"/>
              <w:bottom w:val="nil"/>
              <w:right w:val="nil"/>
            </w:tcBorders>
            <w:shd w:val="clear" w:color="auto" w:fill="auto"/>
            <w:noWrap/>
            <w:vAlign w:val="bottom"/>
            <w:hideMark/>
          </w:tcPr>
          <w:p w14:paraId="72559F8B" w14:textId="4340A9E6" w:rsidR="00CD0F26" w:rsidRPr="006B42D6" w:rsidRDefault="00CD0F26" w:rsidP="00CD0F26">
            <w:pPr>
              <w:jc w:val="right"/>
              <w:rPr>
                <w:sz w:val="20"/>
                <w:szCs w:val="20"/>
              </w:rPr>
            </w:pPr>
            <w:r w:rsidRPr="006B42D6">
              <w:rPr>
                <w:sz w:val="20"/>
                <w:szCs w:val="20"/>
              </w:rPr>
              <w:t>2.0</w:t>
            </w:r>
          </w:p>
        </w:tc>
      </w:tr>
      <w:tr w:rsidR="006B42D6" w:rsidRPr="006B42D6" w14:paraId="124D672F" w14:textId="77777777" w:rsidTr="00AC6068">
        <w:trPr>
          <w:trHeight w:hRule="exact" w:val="340"/>
        </w:trPr>
        <w:tc>
          <w:tcPr>
            <w:tcW w:w="0" w:type="auto"/>
            <w:tcBorders>
              <w:top w:val="nil"/>
              <w:left w:val="nil"/>
              <w:bottom w:val="nil"/>
            </w:tcBorders>
            <w:shd w:val="clear" w:color="auto" w:fill="auto"/>
            <w:noWrap/>
            <w:vAlign w:val="bottom"/>
            <w:hideMark/>
          </w:tcPr>
          <w:p w14:paraId="15E01E4C" w14:textId="77777777" w:rsidR="00CD0F26" w:rsidRPr="006B42D6" w:rsidRDefault="00CD0F26" w:rsidP="00CD0F26">
            <w:pPr>
              <w:rPr>
                <w:sz w:val="20"/>
                <w:szCs w:val="20"/>
              </w:rPr>
            </w:pPr>
            <w:r w:rsidRPr="006B42D6">
              <w:rPr>
                <w:sz w:val="20"/>
                <w:szCs w:val="20"/>
              </w:rPr>
              <w:t>Njombe</w:t>
            </w:r>
          </w:p>
        </w:tc>
        <w:tc>
          <w:tcPr>
            <w:tcW w:w="0" w:type="auto"/>
            <w:tcBorders>
              <w:top w:val="nil"/>
              <w:bottom w:val="nil"/>
              <w:right w:val="nil"/>
            </w:tcBorders>
            <w:shd w:val="clear" w:color="auto" w:fill="auto"/>
            <w:noWrap/>
            <w:vAlign w:val="bottom"/>
            <w:hideMark/>
          </w:tcPr>
          <w:p w14:paraId="51F71117" w14:textId="2548F66E" w:rsidR="00CD0F26" w:rsidRPr="006B42D6" w:rsidRDefault="00CD0F26" w:rsidP="00CD0F26">
            <w:pPr>
              <w:jc w:val="right"/>
              <w:rPr>
                <w:sz w:val="20"/>
                <w:szCs w:val="20"/>
              </w:rPr>
            </w:pPr>
            <w:r w:rsidRPr="006B42D6">
              <w:rPr>
                <w:sz w:val="20"/>
                <w:szCs w:val="20"/>
              </w:rPr>
              <w:t>1,276</w:t>
            </w:r>
          </w:p>
        </w:tc>
        <w:tc>
          <w:tcPr>
            <w:tcW w:w="0" w:type="auto"/>
            <w:tcBorders>
              <w:top w:val="nil"/>
              <w:left w:val="nil"/>
              <w:bottom w:val="nil"/>
              <w:right w:val="nil"/>
            </w:tcBorders>
            <w:shd w:val="clear" w:color="auto" w:fill="auto"/>
            <w:noWrap/>
            <w:vAlign w:val="bottom"/>
            <w:hideMark/>
          </w:tcPr>
          <w:p w14:paraId="0E578423" w14:textId="7C1C5F5E" w:rsidR="00CD0F26" w:rsidRPr="006B42D6" w:rsidRDefault="00CD0F26" w:rsidP="00CD0F26">
            <w:pPr>
              <w:jc w:val="right"/>
              <w:rPr>
                <w:sz w:val="20"/>
                <w:szCs w:val="20"/>
              </w:rPr>
            </w:pPr>
            <w:r w:rsidRPr="006B42D6">
              <w:rPr>
                <w:sz w:val="20"/>
                <w:szCs w:val="20"/>
              </w:rPr>
              <w:t>1,230</w:t>
            </w:r>
          </w:p>
        </w:tc>
        <w:tc>
          <w:tcPr>
            <w:tcW w:w="0" w:type="auto"/>
            <w:tcBorders>
              <w:top w:val="nil"/>
              <w:left w:val="nil"/>
              <w:bottom w:val="nil"/>
              <w:right w:val="nil"/>
            </w:tcBorders>
            <w:shd w:val="clear" w:color="auto" w:fill="auto"/>
            <w:noWrap/>
            <w:vAlign w:val="bottom"/>
            <w:hideMark/>
          </w:tcPr>
          <w:p w14:paraId="4E74F1F4" w14:textId="3D7F7060" w:rsidR="00CD0F26" w:rsidRPr="006B42D6" w:rsidRDefault="00CD0F26" w:rsidP="00CD0F26">
            <w:pPr>
              <w:jc w:val="right"/>
              <w:rPr>
                <w:sz w:val="20"/>
                <w:szCs w:val="20"/>
              </w:rPr>
            </w:pPr>
            <w:r w:rsidRPr="006B42D6">
              <w:rPr>
                <w:sz w:val="20"/>
                <w:szCs w:val="20"/>
              </w:rPr>
              <w:t>2,006</w:t>
            </w:r>
          </w:p>
        </w:tc>
        <w:tc>
          <w:tcPr>
            <w:tcW w:w="0" w:type="auto"/>
            <w:tcBorders>
              <w:top w:val="nil"/>
              <w:left w:val="nil"/>
              <w:bottom w:val="nil"/>
              <w:right w:val="nil"/>
            </w:tcBorders>
            <w:shd w:val="clear" w:color="auto" w:fill="auto"/>
            <w:noWrap/>
            <w:vAlign w:val="bottom"/>
            <w:hideMark/>
          </w:tcPr>
          <w:p w14:paraId="7773032A" w14:textId="6D329FF8" w:rsidR="00CD0F26" w:rsidRPr="006B42D6" w:rsidRDefault="00CD0F26" w:rsidP="00CD0F26">
            <w:pPr>
              <w:jc w:val="right"/>
              <w:rPr>
                <w:sz w:val="20"/>
                <w:szCs w:val="20"/>
              </w:rPr>
            </w:pPr>
            <w:r w:rsidRPr="006B42D6">
              <w:rPr>
                <w:sz w:val="20"/>
                <w:szCs w:val="20"/>
              </w:rPr>
              <w:t>1.6</w:t>
            </w:r>
          </w:p>
        </w:tc>
      </w:tr>
      <w:tr w:rsidR="006B42D6" w:rsidRPr="006B42D6" w14:paraId="5F976C50" w14:textId="77777777" w:rsidTr="00AC6068">
        <w:trPr>
          <w:trHeight w:hRule="exact" w:val="340"/>
        </w:trPr>
        <w:tc>
          <w:tcPr>
            <w:tcW w:w="0" w:type="auto"/>
            <w:tcBorders>
              <w:top w:val="nil"/>
              <w:left w:val="nil"/>
              <w:bottom w:val="nil"/>
            </w:tcBorders>
            <w:shd w:val="clear" w:color="auto" w:fill="auto"/>
            <w:noWrap/>
            <w:vAlign w:val="bottom"/>
            <w:hideMark/>
          </w:tcPr>
          <w:p w14:paraId="3E7C328B" w14:textId="77777777" w:rsidR="00CD0F26" w:rsidRPr="006B42D6" w:rsidRDefault="00CD0F26" w:rsidP="00CD0F26">
            <w:pPr>
              <w:rPr>
                <w:sz w:val="20"/>
                <w:szCs w:val="20"/>
              </w:rPr>
            </w:pPr>
            <w:r w:rsidRPr="006B42D6">
              <w:rPr>
                <w:sz w:val="20"/>
                <w:szCs w:val="20"/>
              </w:rPr>
              <w:t>Katavi</w:t>
            </w:r>
          </w:p>
        </w:tc>
        <w:tc>
          <w:tcPr>
            <w:tcW w:w="0" w:type="auto"/>
            <w:tcBorders>
              <w:top w:val="nil"/>
              <w:bottom w:val="nil"/>
              <w:right w:val="nil"/>
            </w:tcBorders>
            <w:shd w:val="clear" w:color="auto" w:fill="auto"/>
            <w:noWrap/>
            <w:vAlign w:val="bottom"/>
            <w:hideMark/>
          </w:tcPr>
          <w:p w14:paraId="3DABC860" w14:textId="2AA9BA0D" w:rsidR="00CD0F26" w:rsidRPr="006B42D6" w:rsidRDefault="00CD0F26" w:rsidP="00CD0F26">
            <w:pPr>
              <w:jc w:val="right"/>
              <w:rPr>
                <w:sz w:val="20"/>
                <w:szCs w:val="20"/>
              </w:rPr>
            </w:pPr>
            <w:r w:rsidRPr="006B42D6">
              <w:rPr>
                <w:sz w:val="20"/>
                <w:szCs w:val="20"/>
              </w:rPr>
              <w:t>17,373</w:t>
            </w:r>
          </w:p>
        </w:tc>
        <w:tc>
          <w:tcPr>
            <w:tcW w:w="0" w:type="auto"/>
            <w:tcBorders>
              <w:top w:val="nil"/>
              <w:left w:val="nil"/>
              <w:bottom w:val="nil"/>
              <w:right w:val="nil"/>
            </w:tcBorders>
            <w:shd w:val="clear" w:color="auto" w:fill="auto"/>
            <w:noWrap/>
            <w:vAlign w:val="bottom"/>
            <w:hideMark/>
          </w:tcPr>
          <w:p w14:paraId="0232E877" w14:textId="3403BBA2" w:rsidR="00CD0F26" w:rsidRPr="006B42D6" w:rsidRDefault="00CD0F26" w:rsidP="00CD0F26">
            <w:pPr>
              <w:jc w:val="right"/>
              <w:rPr>
                <w:sz w:val="20"/>
                <w:szCs w:val="20"/>
              </w:rPr>
            </w:pPr>
            <w:r w:rsidRPr="006B42D6">
              <w:rPr>
                <w:sz w:val="20"/>
                <w:szCs w:val="20"/>
              </w:rPr>
              <w:t>16,290</w:t>
            </w:r>
          </w:p>
        </w:tc>
        <w:tc>
          <w:tcPr>
            <w:tcW w:w="0" w:type="auto"/>
            <w:tcBorders>
              <w:top w:val="nil"/>
              <w:left w:val="nil"/>
              <w:bottom w:val="nil"/>
              <w:right w:val="nil"/>
            </w:tcBorders>
            <w:shd w:val="clear" w:color="auto" w:fill="auto"/>
            <w:noWrap/>
            <w:vAlign w:val="bottom"/>
            <w:hideMark/>
          </w:tcPr>
          <w:p w14:paraId="760CCBAF" w14:textId="174CABE1" w:rsidR="00CD0F26" w:rsidRPr="006B42D6" w:rsidRDefault="00CD0F26" w:rsidP="00CD0F26">
            <w:pPr>
              <w:jc w:val="right"/>
              <w:rPr>
                <w:sz w:val="20"/>
                <w:szCs w:val="20"/>
              </w:rPr>
            </w:pPr>
            <w:r w:rsidRPr="006B42D6">
              <w:rPr>
                <w:sz w:val="20"/>
                <w:szCs w:val="20"/>
              </w:rPr>
              <w:t>22,996</w:t>
            </w:r>
          </w:p>
        </w:tc>
        <w:tc>
          <w:tcPr>
            <w:tcW w:w="0" w:type="auto"/>
            <w:tcBorders>
              <w:top w:val="nil"/>
              <w:left w:val="nil"/>
              <w:bottom w:val="nil"/>
              <w:right w:val="nil"/>
            </w:tcBorders>
            <w:shd w:val="clear" w:color="auto" w:fill="auto"/>
            <w:noWrap/>
            <w:vAlign w:val="bottom"/>
            <w:hideMark/>
          </w:tcPr>
          <w:p w14:paraId="63EEEA17" w14:textId="5D86A0A3" w:rsidR="00CD0F26" w:rsidRPr="006B42D6" w:rsidRDefault="00CD0F26" w:rsidP="00CD0F26">
            <w:pPr>
              <w:jc w:val="right"/>
              <w:rPr>
                <w:sz w:val="20"/>
                <w:szCs w:val="20"/>
              </w:rPr>
            </w:pPr>
            <w:r w:rsidRPr="006B42D6">
              <w:rPr>
                <w:sz w:val="20"/>
                <w:szCs w:val="20"/>
              </w:rPr>
              <w:t>1.4</w:t>
            </w:r>
          </w:p>
        </w:tc>
      </w:tr>
      <w:tr w:rsidR="006B42D6" w:rsidRPr="006B42D6" w14:paraId="2FB20939" w14:textId="77777777" w:rsidTr="00AC6068">
        <w:trPr>
          <w:trHeight w:hRule="exact" w:val="340"/>
        </w:trPr>
        <w:tc>
          <w:tcPr>
            <w:tcW w:w="0" w:type="auto"/>
            <w:tcBorders>
              <w:top w:val="nil"/>
              <w:left w:val="nil"/>
              <w:bottom w:val="nil"/>
            </w:tcBorders>
            <w:shd w:val="clear" w:color="auto" w:fill="auto"/>
            <w:noWrap/>
            <w:vAlign w:val="bottom"/>
            <w:hideMark/>
          </w:tcPr>
          <w:p w14:paraId="4F2331D9" w14:textId="77777777" w:rsidR="00CD0F26" w:rsidRPr="006B42D6" w:rsidRDefault="00CD0F26" w:rsidP="00CD0F26">
            <w:pPr>
              <w:rPr>
                <w:sz w:val="20"/>
                <w:szCs w:val="20"/>
              </w:rPr>
            </w:pPr>
            <w:r w:rsidRPr="006B42D6">
              <w:rPr>
                <w:sz w:val="20"/>
                <w:szCs w:val="20"/>
              </w:rPr>
              <w:t>Simiyu</w:t>
            </w:r>
          </w:p>
        </w:tc>
        <w:tc>
          <w:tcPr>
            <w:tcW w:w="0" w:type="auto"/>
            <w:tcBorders>
              <w:top w:val="nil"/>
              <w:bottom w:val="nil"/>
              <w:right w:val="nil"/>
            </w:tcBorders>
            <w:shd w:val="clear" w:color="auto" w:fill="auto"/>
            <w:noWrap/>
            <w:vAlign w:val="bottom"/>
            <w:hideMark/>
          </w:tcPr>
          <w:p w14:paraId="143C242E" w14:textId="348F8365" w:rsidR="00CD0F26" w:rsidRPr="006B42D6" w:rsidRDefault="00CD0F26" w:rsidP="00CD0F26">
            <w:pPr>
              <w:jc w:val="right"/>
              <w:rPr>
                <w:sz w:val="20"/>
                <w:szCs w:val="20"/>
              </w:rPr>
            </w:pPr>
            <w:r w:rsidRPr="006B42D6">
              <w:rPr>
                <w:sz w:val="20"/>
                <w:szCs w:val="20"/>
              </w:rPr>
              <w:t>15,327</w:t>
            </w:r>
          </w:p>
        </w:tc>
        <w:tc>
          <w:tcPr>
            <w:tcW w:w="0" w:type="auto"/>
            <w:tcBorders>
              <w:top w:val="nil"/>
              <w:left w:val="nil"/>
              <w:bottom w:val="nil"/>
              <w:right w:val="nil"/>
            </w:tcBorders>
            <w:shd w:val="clear" w:color="auto" w:fill="auto"/>
            <w:noWrap/>
            <w:vAlign w:val="bottom"/>
            <w:hideMark/>
          </w:tcPr>
          <w:p w14:paraId="6244C416" w14:textId="0F91ABAB" w:rsidR="00CD0F26" w:rsidRPr="006B42D6" w:rsidRDefault="00CD0F26" w:rsidP="00CD0F26">
            <w:pPr>
              <w:jc w:val="right"/>
              <w:rPr>
                <w:sz w:val="20"/>
                <w:szCs w:val="20"/>
              </w:rPr>
            </w:pPr>
            <w:r w:rsidRPr="006B42D6">
              <w:rPr>
                <w:sz w:val="20"/>
                <w:szCs w:val="20"/>
              </w:rPr>
              <w:t>14,390</w:t>
            </w:r>
          </w:p>
        </w:tc>
        <w:tc>
          <w:tcPr>
            <w:tcW w:w="0" w:type="auto"/>
            <w:tcBorders>
              <w:top w:val="nil"/>
              <w:left w:val="nil"/>
              <w:bottom w:val="nil"/>
              <w:right w:val="nil"/>
            </w:tcBorders>
            <w:shd w:val="clear" w:color="auto" w:fill="auto"/>
            <w:noWrap/>
            <w:vAlign w:val="bottom"/>
            <w:hideMark/>
          </w:tcPr>
          <w:p w14:paraId="032375DC" w14:textId="056FCD2F" w:rsidR="00CD0F26" w:rsidRPr="006B42D6" w:rsidRDefault="00CD0F26" w:rsidP="00CD0F26">
            <w:pPr>
              <w:jc w:val="right"/>
              <w:rPr>
                <w:sz w:val="20"/>
                <w:szCs w:val="20"/>
              </w:rPr>
            </w:pPr>
            <w:r w:rsidRPr="006B42D6">
              <w:rPr>
                <w:sz w:val="20"/>
                <w:szCs w:val="20"/>
              </w:rPr>
              <w:t>16,085</w:t>
            </w:r>
          </w:p>
        </w:tc>
        <w:tc>
          <w:tcPr>
            <w:tcW w:w="0" w:type="auto"/>
            <w:tcBorders>
              <w:top w:val="nil"/>
              <w:left w:val="nil"/>
              <w:bottom w:val="nil"/>
              <w:right w:val="nil"/>
            </w:tcBorders>
            <w:shd w:val="clear" w:color="auto" w:fill="auto"/>
            <w:noWrap/>
            <w:vAlign w:val="bottom"/>
            <w:hideMark/>
          </w:tcPr>
          <w:p w14:paraId="026D21B0" w14:textId="247FECEB" w:rsidR="00CD0F26" w:rsidRPr="006B42D6" w:rsidRDefault="00CD0F26" w:rsidP="00CD0F26">
            <w:pPr>
              <w:jc w:val="right"/>
              <w:rPr>
                <w:sz w:val="20"/>
                <w:szCs w:val="20"/>
              </w:rPr>
            </w:pPr>
            <w:r w:rsidRPr="006B42D6">
              <w:rPr>
                <w:sz w:val="20"/>
                <w:szCs w:val="20"/>
              </w:rPr>
              <w:t>1.1</w:t>
            </w:r>
          </w:p>
        </w:tc>
      </w:tr>
      <w:tr w:rsidR="006B42D6" w:rsidRPr="006B42D6" w14:paraId="45B4637C" w14:textId="77777777" w:rsidTr="00AC6068">
        <w:trPr>
          <w:trHeight w:hRule="exact" w:val="340"/>
        </w:trPr>
        <w:tc>
          <w:tcPr>
            <w:tcW w:w="0" w:type="auto"/>
            <w:tcBorders>
              <w:top w:val="nil"/>
              <w:left w:val="nil"/>
              <w:bottom w:val="nil"/>
            </w:tcBorders>
            <w:shd w:val="clear" w:color="auto" w:fill="auto"/>
            <w:noWrap/>
            <w:vAlign w:val="bottom"/>
            <w:hideMark/>
          </w:tcPr>
          <w:p w14:paraId="5C18A798" w14:textId="77777777" w:rsidR="00CD0F26" w:rsidRPr="006B42D6" w:rsidRDefault="00CD0F26" w:rsidP="00CD0F26">
            <w:pPr>
              <w:rPr>
                <w:sz w:val="20"/>
                <w:szCs w:val="20"/>
              </w:rPr>
            </w:pPr>
            <w:r w:rsidRPr="006B42D6">
              <w:rPr>
                <w:sz w:val="20"/>
                <w:szCs w:val="20"/>
              </w:rPr>
              <w:t>Geita</w:t>
            </w:r>
          </w:p>
        </w:tc>
        <w:tc>
          <w:tcPr>
            <w:tcW w:w="0" w:type="auto"/>
            <w:tcBorders>
              <w:top w:val="nil"/>
              <w:bottom w:val="nil"/>
              <w:right w:val="nil"/>
            </w:tcBorders>
            <w:shd w:val="clear" w:color="auto" w:fill="auto"/>
            <w:noWrap/>
            <w:vAlign w:val="bottom"/>
            <w:hideMark/>
          </w:tcPr>
          <w:p w14:paraId="38E246E3" w14:textId="496A5D0F" w:rsidR="00CD0F26" w:rsidRPr="006B42D6" w:rsidRDefault="00CD0F26" w:rsidP="00CD0F26">
            <w:pPr>
              <w:jc w:val="right"/>
              <w:rPr>
                <w:sz w:val="20"/>
                <w:szCs w:val="20"/>
              </w:rPr>
            </w:pPr>
            <w:r w:rsidRPr="006B42D6">
              <w:rPr>
                <w:sz w:val="20"/>
                <w:szCs w:val="20"/>
              </w:rPr>
              <w:t>40,702</w:t>
            </w:r>
          </w:p>
        </w:tc>
        <w:tc>
          <w:tcPr>
            <w:tcW w:w="0" w:type="auto"/>
            <w:tcBorders>
              <w:top w:val="nil"/>
              <w:left w:val="nil"/>
              <w:bottom w:val="nil"/>
              <w:right w:val="nil"/>
            </w:tcBorders>
            <w:shd w:val="clear" w:color="auto" w:fill="auto"/>
            <w:noWrap/>
            <w:vAlign w:val="bottom"/>
            <w:hideMark/>
          </w:tcPr>
          <w:p w14:paraId="5BC6560B" w14:textId="3CC093AF" w:rsidR="00CD0F26" w:rsidRPr="006B42D6" w:rsidRDefault="00CD0F26" w:rsidP="00CD0F26">
            <w:pPr>
              <w:jc w:val="right"/>
              <w:rPr>
                <w:sz w:val="20"/>
                <w:szCs w:val="20"/>
              </w:rPr>
            </w:pPr>
            <w:r w:rsidRPr="006B42D6">
              <w:rPr>
                <w:sz w:val="20"/>
                <w:szCs w:val="20"/>
              </w:rPr>
              <w:t>36,773</w:t>
            </w:r>
          </w:p>
        </w:tc>
        <w:tc>
          <w:tcPr>
            <w:tcW w:w="0" w:type="auto"/>
            <w:tcBorders>
              <w:top w:val="nil"/>
              <w:left w:val="nil"/>
              <w:bottom w:val="nil"/>
              <w:right w:val="nil"/>
            </w:tcBorders>
            <w:shd w:val="clear" w:color="auto" w:fill="auto"/>
            <w:noWrap/>
            <w:vAlign w:val="bottom"/>
            <w:hideMark/>
          </w:tcPr>
          <w:p w14:paraId="62DFCD32" w14:textId="4FC17E5D" w:rsidR="00CD0F26" w:rsidRPr="006B42D6" w:rsidRDefault="00CD0F26" w:rsidP="00CD0F26">
            <w:pPr>
              <w:jc w:val="right"/>
              <w:rPr>
                <w:sz w:val="20"/>
                <w:szCs w:val="20"/>
              </w:rPr>
            </w:pPr>
            <w:r w:rsidRPr="006B42D6">
              <w:rPr>
                <w:sz w:val="20"/>
                <w:szCs w:val="20"/>
              </w:rPr>
              <w:t>50,062</w:t>
            </w:r>
          </w:p>
        </w:tc>
        <w:tc>
          <w:tcPr>
            <w:tcW w:w="0" w:type="auto"/>
            <w:tcBorders>
              <w:top w:val="nil"/>
              <w:left w:val="nil"/>
              <w:bottom w:val="nil"/>
              <w:right w:val="nil"/>
            </w:tcBorders>
            <w:shd w:val="clear" w:color="auto" w:fill="auto"/>
            <w:noWrap/>
            <w:vAlign w:val="bottom"/>
            <w:hideMark/>
          </w:tcPr>
          <w:p w14:paraId="3ECFD1E7" w14:textId="6917D9C0" w:rsidR="00CD0F26" w:rsidRPr="006B42D6" w:rsidRDefault="00CD0F26" w:rsidP="00CD0F26">
            <w:pPr>
              <w:jc w:val="right"/>
              <w:rPr>
                <w:sz w:val="20"/>
                <w:szCs w:val="20"/>
              </w:rPr>
            </w:pPr>
            <w:r w:rsidRPr="006B42D6">
              <w:rPr>
                <w:sz w:val="20"/>
                <w:szCs w:val="20"/>
              </w:rPr>
              <w:t>1.4</w:t>
            </w:r>
          </w:p>
        </w:tc>
      </w:tr>
      <w:tr w:rsidR="006B42D6" w:rsidRPr="006B42D6" w14:paraId="50B7BC90" w14:textId="77777777" w:rsidTr="00AC6068">
        <w:trPr>
          <w:trHeight w:hRule="exact" w:val="340"/>
        </w:trPr>
        <w:tc>
          <w:tcPr>
            <w:tcW w:w="0" w:type="auto"/>
            <w:tcBorders>
              <w:top w:val="nil"/>
              <w:left w:val="nil"/>
              <w:bottom w:val="single" w:sz="4" w:space="0" w:color="auto"/>
            </w:tcBorders>
            <w:shd w:val="clear" w:color="auto" w:fill="auto"/>
            <w:noWrap/>
            <w:vAlign w:val="bottom"/>
            <w:hideMark/>
          </w:tcPr>
          <w:p w14:paraId="34595A59" w14:textId="77777777" w:rsidR="00CD0F26" w:rsidRPr="006B42D6" w:rsidRDefault="00CD0F26" w:rsidP="00CD0F26">
            <w:pPr>
              <w:rPr>
                <w:sz w:val="20"/>
                <w:szCs w:val="20"/>
              </w:rPr>
            </w:pPr>
            <w:r w:rsidRPr="006B42D6">
              <w:rPr>
                <w:sz w:val="20"/>
                <w:szCs w:val="20"/>
              </w:rPr>
              <w:t>Songwe</w:t>
            </w:r>
          </w:p>
        </w:tc>
        <w:tc>
          <w:tcPr>
            <w:tcW w:w="0" w:type="auto"/>
            <w:tcBorders>
              <w:top w:val="nil"/>
              <w:bottom w:val="single" w:sz="4" w:space="0" w:color="auto"/>
              <w:right w:val="nil"/>
            </w:tcBorders>
            <w:shd w:val="clear" w:color="auto" w:fill="auto"/>
            <w:noWrap/>
            <w:vAlign w:val="bottom"/>
            <w:hideMark/>
          </w:tcPr>
          <w:p w14:paraId="62EBDB0D" w14:textId="316241A2" w:rsidR="00CD0F26" w:rsidRPr="006B42D6" w:rsidRDefault="00CD0F26" w:rsidP="00CD0F26">
            <w:pPr>
              <w:jc w:val="right"/>
              <w:rPr>
                <w:sz w:val="20"/>
                <w:szCs w:val="20"/>
              </w:rPr>
            </w:pPr>
            <w:r w:rsidRPr="006B42D6">
              <w:rPr>
                <w:sz w:val="20"/>
                <w:szCs w:val="20"/>
              </w:rPr>
              <w:t>23,416</w:t>
            </w:r>
          </w:p>
        </w:tc>
        <w:tc>
          <w:tcPr>
            <w:tcW w:w="0" w:type="auto"/>
            <w:tcBorders>
              <w:top w:val="nil"/>
              <w:left w:val="nil"/>
              <w:bottom w:val="single" w:sz="4" w:space="0" w:color="auto"/>
              <w:right w:val="nil"/>
            </w:tcBorders>
            <w:shd w:val="clear" w:color="auto" w:fill="auto"/>
            <w:noWrap/>
            <w:vAlign w:val="bottom"/>
            <w:hideMark/>
          </w:tcPr>
          <w:p w14:paraId="0D3F6FF2" w14:textId="49D39D7B" w:rsidR="00CD0F26" w:rsidRPr="006B42D6" w:rsidRDefault="00CD0F26" w:rsidP="00CD0F26">
            <w:pPr>
              <w:jc w:val="right"/>
              <w:rPr>
                <w:sz w:val="20"/>
                <w:szCs w:val="20"/>
              </w:rPr>
            </w:pPr>
            <w:r w:rsidRPr="006B42D6">
              <w:rPr>
                <w:sz w:val="20"/>
                <w:szCs w:val="20"/>
              </w:rPr>
              <w:t>22,973</w:t>
            </w:r>
          </w:p>
        </w:tc>
        <w:tc>
          <w:tcPr>
            <w:tcW w:w="0" w:type="auto"/>
            <w:tcBorders>
              <w:top w:val="nil"/>
              <w:left w:val="nil"/>
              <w:bottom w:val="single" w:sz="4" w:space="0" w:color="auto"/>
              <w:right w:val="nil"/>
            </w:tcBorders>
            <w:shd w:val="clear" w:color="auto" w:fill="auto"/>
            <w:noWrap/>
            <w:vAlign w:val="bottom"/>
            <w:hideMark/>
          </w:tcPr>
          <w:p w14:paraId="55B651CF" w14:textId="6FBEAD87" w:rsidR="00CD0F26" w:rsidRPr="006B42D6" w:rsidRDefault="00CD0F26" w:rsidP="00CD0F26">
            <w:pPr>
              <w:jc w:val="right"/>
              <w:rPr>
                <w:sz w:val="20"/>
                <w:szCs w:val="20"/>
              </w:rPr>
            </w:pPr>
            <w:r w:rsidRPr="006B42D6">
              <w:rPr>
                <w:sz w:val="20"/>
                <w:szCs w:val="20"/>
              </w:rPr>
              <w:t>33,497</w:t>
            </w:r>
          </w:p>
        </w:tc>
        <w:tc>
          <w:tcPr>
            <w:tcW w:w="0" w:type="auto"/>
            <w:tcBorders>
              <w:top w:val="nil"/>
              <w:left w:val="nil"/>
              <w:bottom w:val="single" w:sz="4" w:space="0" w:color="auto"/>
              <w:right w:val="nil"/>
            </w:tcBorders>
            <w:shd w:val="clear" w:color="auto" w:fill="auto"/>
            <w:noWrap/>
            <w:vAlign w:val="bottom"/>
            <w:hideMark/>
          </w:tcPr>
          <w:p w14:paraId="4E6D4332" w14:textId="7B3C9C7D" w:rsidR="00CD0F26" w:rsidRPr="006B42D6" w:rsidRDefault="00CD0F26" w:rsidP="00CD0F26">
            <w:pPr>
              <w:jc w:val="right"/>
              <w:rPr>
                <w:sz w:val="20"/>
                <w:szCs w:val="20"/>
              </w:rPr>
            </w:pPr>
            <w:r w:rsidRPr="006B42D6">
              <w:rPr>
                <w:sz w:val="20"/>
                <w:szCs w:val="20"/>
              </w:rPr>
              <w:t>1.5</w:t>
            </w:r>
          </w:p>
        </w:tc>
      </w:tr>
      <w:tr w:rsidR="00CD0F26" w:rsidRPr="006B42D6" w14:paraId="0924CB4E" w14:textId="77777777" w:rsidTr="00AC6068">
        <w:trPr>
          <w:trHeight w:hRule="exact" w:val="340"/>
        </w:trPr>
        <w:tc>
          <w:tcPr>
            <w:tcW w:w="0" w:type="auto"/>
            <w:tcBorders>
              <w:top w:val="single" w:sz="4" w:space="0" w:color="auto"/>
              <w:left w:val="nil"/>
              <w:bottom w:val="single" w:sz="4" w:space="0" w:color="auto"/>
            </w:tcBorders>
            <w:shd w:val="clear" w:color="auto" w:fill="E2EFD9" w:themeFill="accent6" w:themeFillTint="33"/>
            <w:noWrap/>
            <w:vAlign w:val="bottom"/>
            <w:hideMark/>
          </w:tcPr>
          <w:p w14:paraId="33C9D3A1" w14:textId="31B2578C" w:rsidR="00CD0F26" w:rsidRPr="006B42D6" w:rsidRDefault="00EA1552" w:rsidP="00CD0F26">
            <w:pPr>
              <w:rPr>
                <w:b/>
                <w:bCs/>
                <w:sz w:val="20"/>
                <w:szCs w:val="20"/>
              </w:rPr>
            </w:pPr>
            <w:r>
              <w:rPr>
                <w:b/>
                <w:bCs/>
                <w:sz w:val="20"/>
                <w:szCs w:val="20"/>
              </w:rPr>
              <w:t>Mainland Tanzania</w:t>
            </w:r>
          </w:p>
        </w:tc>
        <w:tc>
          <w:tcPr>
            <w:tcW w:w="0" w:type="auto"/>
            <w:tcBorders>
              <w:top w:val="single" w:sz="4" w:space="0" w:color="auto"/>
              <w:bottom w:val="single" w:sz="4" w:space="0" w:color="auto"/>
              <w:right w:val="nil"/>
            </w:tcBorders>
            <w:shd w:val="clear" w:color="auto" w:fill="E2EFD9" w:themeFill="accent6" w:themeFillTint="33"/>
            <w:noWrap/>
            <w:vAlign w:val="bottom"/>
            <w:hideMark/>
          </w:tcPr>
          <w:p w14:paraId="60C88FDE" w14:textId="1069782C" w:rsidR="00CD0F26" w:rsidRPr="006B42D6" w:rsidRDefault="00CD0F26" w:rsidP="00CD0F26">
            <w:pPr>
              <w:jc w:val="right"/>
              <w:rPr>
                <w:b/>
                <w:bCs/>
                <w:sz w:val="20"/>
                <w:szCs w:val="20"/>
              </w:rPr>
            </w:pPr>
            <w:r w:rsidRPr="006B42D6">
              <w:rPr>
                <w:b/>
                <w:bCs/>
                <w:sz w:val="20"/>
                <w:szCs w:val="20"/>
              </w:rPr>
              <w:t>527,142</w:t>
            </w:r>
          </w:p>
        </w:tc>
        <w:tc>
          <w:tcPr>
            <w:tcW w:w="0" w:type="auto"/>
            <w:tcBorders>
              <w:top w:val="single" w:sz="4" w:space="0" w:color="auto"/>
              <w:left w:val="nil"/>
              <w:bottom w:val="single" w:sz="4" w:space="0" w:color="auto"/>
              <w:right w:val="nil"/>
            </w:tcBorders>
            <w:shd w:val="clear" w:color="auto" w:fill="E2EFD9" w:themeFill="accent6" w:themeFillTint="33"/>
            <w:noWrap/>
            <w:vAlign w:val="bottom"/>
            <w:hideMark/>
          </w:tcPr>
          <w:p w14:paraId="09442353" w14:textId="18CEFED7" w:rsidR="00CD0F26" w:rsidRPr="006B42D6" w:rsidRDefault="00CD0F26" w:rsidP="00CD0F26">
            <w:pPr>
              <w:jc w:val="right"/>
              <w:rPr>
                <w:b/>
                <w:bCs/>
                <w:sz w:val="20"/>
                <w:szCs w:val="20"/>
              </w:rPr>
            </w:pPr>
            <w:r w:rsidRPr="006B42D6">
              <w:rPr>
                <w:b/>
                <w:bCs/>
                <w:sz w:val="20"/>
                <w:szCs w:val="20"/>
              </w:rPr>
              <w:t>483,668</w:t>
            </w:r>
          </w:p>
        </w:tc>
        <w:tc>
          <w:tcPr>
            <w:tcW w:w="0" w:type="auto"/>
            <w:tcBorders>
              <w:top w:val="single" w:sz="4" w:space="0" w:color="auto"/>
              <w:left w:val="nil"/>
              <w:bottom w:val="single" w:sz="4" w:space="0" w:color="auto"/>
              <w:right w:val="nil"/>
            </w:tcBorders>
            <w:shd w:val="clear" w:color="auto" w:fill="E2EFD9" w:themeFill="accent6" w:themeFillTint="33"/>
            <w:noWrap/>
            <w:vAlign w:val="bottom"/>
            <w:hideMark/>
          </w:tcPr>
          <w:p w14:paraId="160BDB4E" w14:textId="7616B3A1" w:rsidR="00CD0F26" w:rsidRPr="006B42D6" w:rsidRDefault="00CD0F26" w:rsidP="00CD0F26">
            <w:pPr>
              <w:jc w:val="right"/>
              <w:rPr>
                <w:b/>
                <w:bCs/>
                <w:sz w:val="20"/>
                <w:szCs w:val="20"/>
              </w:rPr>
            </w:pPr>
            <w:r w:rsidRPr="006B42D6">
              <w:rPr>
                <w:b/>
                <w:bCs/>
                <w:sz w:val="20"/>
                <w:szCs w:val="20"/>
              </w:rPr>
              <w:t>620,975</w:t>
            </w:r>
          </w:p>
        </w:tc>
        <w:tc>
          <w:tcPr>
            <w:tcW w:w="0" w:type="auto"/>
            <w:tcBorders>
              <w:top w:val="single" w:sz="4" w:space="0" w:color="auto"/>
              <w:left w:val="nil"/>
              <w:bottom w:val="single" w:sz="4" w:space="0" w:color="auto"/>
              <w:right w:val="nil"/>
            </w:tcBorders>
            <w:shd w:val="clear" w:color="auto" w:fill="E2EFD9" w:themeFill="accent6" w:themeFillTint="33"/>
            <w:noWrap/>
            <w:vAlign w:val="bottom"/>
            <w:hideMark/>
          </w:tcPr>
          <w:p w14:paraId="5FE902FF" w14:textId="01F01C88" w:rsidR="00CD0F26" w:rsidRPr="006B42D6" w:rsidRDefault="00CD0F26" w:rsidP="00CD0F26">
            <w:pPr>
              <w:jc w:val="right"/>
              <w:rPr>
                <w:b/>
                <w:bCs/>
                <w:sz w:val="20"/>
                <w:szCs w:val="20"/>
              </w:rPr>
            </w:pPr>
            <w:r w:rsidRPr="006B42D6">
              <w:rPr>
                <w:b/>
                <w:bCs/>
                <w:sz w:val="20"/>
                <w:szCs w:val="20"/>
              </w:rPr>
              <w:t>1.3</w:t>
            </w:r>
          </w:p>
        </w:tc>
      </w:tr>
    </w:tbl>
    <w:p w14:paraId="060EA4EF" w14:textId="67256E74" w:rsidR="00361E96" w:rsidRDefault="00361E96" w:rsidP="00361E96"/>
    <w:p w14:paraId="220B5413" w14:textId="77777777" w:rsidR="00361E96" w:rsidRDefault="00361E96">
      <w:pPr>
        <w:spacing w:line="240" w:lineRule="auto"/>
        <w:contextualSpacing w:val="0"/>
        <w:jc w:val="left"/>
      </w:pPr>
      <w:r>
        <w:br w:type="page"/>
      </w:r>
    </w:p>
    <w:p w14:paraId="7E5B89F7" w14:textId="54CF601C" w:rsidR="00F327E4" w:rsidRPr="006B42D6" w:rsidRDefault="00F327E4" w:rsidP="00361E96">
      <w:pPr>
        <w:pStyle w:val="Heading4"/>
      </w:pPr>
      <w:bookmarkStart w:id="193" w:name="_Toc82385662"/>
      <w:r w:rsidRPr="006B42D6">
        <w:lastRenderedPageBreak/>
        <w:t>3.1.</w:t>
      </w:r>
      <w:r w:rsidR="00193728">
        <w:t>4</w:t>
      </w:r>
      <w:r w:rsidRPr="006B42D6">
        <w:t>.2</w:t>
      </w:r>
      <w:r w:rsidR="0065010E" w:rsidRPr="006B42D6">
        <w:tab/>
      </w:r>
      <w:r w:rsidRPr="006B42D6">
        <w:t>Sunflower</w:t>
      </w:r>
      <w:bookmarkEnd w:id="193"/>
    </w:p>
    <w:p w14:paraId="5FB7E2C3" w14:textId="581CBFC0" w:rsidR="009729AC" w:rsidRDefault="009729AC" w:rsidP="00883C16">
      <w:r w:rsidRPr="006B42D6">
        <w:t xml:space="preserve">The 2019/20 NSCA results show that, a total of 110,335 households were engaged in growing sunflower in </w:t>
      </w:r>
      <w:r w:rsidR="00EA1552">
        <w:t>Mainland Tanzania</w:t>
      </w:r>
      <w:r w:rsidRPr="006B42D6">
        <w:t xml:space="preserve"> during short rainy season and 661,520 households during long rainy season. There was no production of sunflower reported in Tanzania Zanzibar during 2019/20 agricultural year. </w:t>
      </w:r>
    </w:p>
    <w:p w14:paraId="61F504AF" w14:textId="77777777" w:rsidR="00A51CC7" w:rsidRDefault="00A51CC7" w:rsidP="00A51CC7">
      <w:pPr>
        <w:spacing w:after="240" w:line="240" w:lineRule="auto"/>
      </w:pPr>
    </w:p>
    <w:p w14:paraId="2C833812" w14:textId="0B52894B" w:rsidR="009729AC" w:rsidRPr="006B42D6" w:rsidRDefault="009729AC" w:rsidP="004B66C4">
      <w:pPr>
        <w:spacing w:after="240"/>
      </w:pPr>
      <w:r w:rsidRPr="006B42D6">
        <w:t xml:space="preserve">The total planted area for sunflower was 529,394 ha out of which 524,050 ha were from smallholder farmers and 5,344 ha from large scale farms. </w:t>
      </w:r>
      <w:r w:rsidR="004B66C4" w:rsidRPr="006B42D6">
        <w:t xml:space="preserve">From the total planted area by smallholder farmers, </w:t>
      </w:r>
      <w:r w:rsidRPr="006B42D6">
        <w:t xml:space="preserve">Dodoma region had the largest planted area with </w:t>
      </w:r>
      <w:r w:rsidR="004B66C4" w:rsidRPr="006B42D6">
        <w:t>sunflower</w:t>
      </w:r>
      <w:r w:rsidRPr="006B42D6">
        <w:t xml:space="preserve"> (</w:t>
      </w:r>
      <w:r w:rsidR="004B66C4" w:rsidRPr="006B42D6">
        <w:t>202</w:t>
      </w:r>
      <w:r w:rsidRPr="006B42D6">
        <w:t>,</w:t>
      </w:r>
      <w:r w:rsidR="004B66C4" w:rsidRPr="006B42D6">
        <w:t>658</w:t>
      </w:r>
      <w:r w:rsidRPr="006B42D6">
        <w:t xml:space="preserve"> ha; </w:t>
      </w:r>
      <w:r w:rsidR="004B66C4" w:rsidRPr="006B42D6">
        <w:t>38</w:t>
      </w:r>
      <w:r w:rsidRPr="006B42D6">
        <w:t>.</w:t>
      </w:r>
      <w:r w:rsidR="004B66C4" w:rsidRPr="006B42D6">
        <w:t>7</w:t>
      </w:r>
      <w:r w:rsidRPr="006B42D6">
        <w:t xml:space="preserve"> percent), followed by </w:t>
      </w:r>
      <w:r w:rsidR="004B66C4" w:rsidRPr="006B42D6">
        <w:t>Singida</w:t>
      </w:r>
      <w:r w:rsidRPr="006B42D6">
        <w:t xml:space="preserve"> (</w:t>
      </w:r>
      <w:r w:rsidR="004B66C4" w:rsidRPr="006B42D6">
        <w:t>85</w:t>
      </w:r>
      <w:r w:rsidRPr="006B42D6">
        <w:t>,4</w:t>
      </w:r>
      <w:r w:rsidR="004B66C4" w:rsidRPr="006B42D6">
        <w:t>57</w:t>
      </w:r>
      <w:r w:rsidRPr="006B42D6">
        <w:t xml:space="preserve"> ha; </w:t>
      </w:r>
      <w:r w:rsidR="004B66C4" w:rsidRPr="006B42D6">
        <w:t>16</w:t>
      </w:r>
      <w:r w:rsidRPr="006B42D6">
        <w:t>.</w:t>
      </w:r>
      <w:r w:rsidR="004B66C4" w:rsidRPr="006B42D6">
        <w:t>3</w:t>
      </w:r>
      <w:r w:rsidRPr="006B42D6">
        <w:t xml:space="preserve"> percent) and </w:t>
      </w:r>
      <w:r w:rsidR="004B66C4" w:rsidRPr="006B42D6">
        <w:t>Manyara</w:t>
      </w:r>
      <w:r w:rsidRPr="006B42D6">
        <w:t xml:space="preserve"> (</w:t>
      </w:r>
      <w:r w:rsidR="004B66C4" w:rsidRPr="006B42D6">
        <w:t>57</w:t>
      </w:r>
      <w:r w:rsidRPr="006B42D6">
        <w:t>,</w:t>
      </w:r>
      <w:r w:rsidR="004B66C4" w:rsidRPr="006B42D6">
        <w:t>228</w:t>
      </w:r>
      <w:r w:rsidRPr="006B42D6">
        <w:t xml:space="preserve"> ha; </w:t>
      </w:r>
      <w:r w:rsidR="004B66C4" w:rsidRPr="006B42D6">
        <w:t>10.9</w:t>
      </w:r>
      <w:r w:rsidRPr="006B42D6">
        <w:t xml:space="preserve"> percent). On the other hand, </w:t>
      </w:r>
      <w:r w:rsidR="004B66C4" w:rsidRPr="006B42D6">
        <w:t>Lindi</w:t>
      </w:r>
      <w:r w:rsidRPr="006B42D6">
        <w:t xml:space="preserve"> region had the least planted area (</w:t>
      </w:r>
      <w:r w:rsidR="004B66C4" w:rsidRPr="006B42D6">
        <w:t>151</w:t>
      </w:r>
      <w:r w:rsidRPr="006B42D6">
        <w:t xml:space="preserve"> ha; 0.</w:t>
      </w:r>
      <w:r w:rsidR="004B66C4" w:rsidRPr="006B42D6">
        <w:t>03</w:t>
      </w:r>
      <w:r w:rsidRPr="006B42D6">
        <w:t xml:space="preserve"> percent). </w:t>
      </w:r>
    </w:p>
    <w:p w14:paraId="410ACD3A" w14:textId="77777777" w:rsidR="009729AC" w:rsidRPr="006B42D6" w:rsidRDefault="009729AC" w:rsidP="0072387B">
      <w:pPr>
        <w:spacing w:after="240" w:line="240" w:lineRule="auto"/>
      </w:pPr>
    </w:p>
    <w:p w14:paraId="566FF6DF" w14:textId="23E0B728" w:rsidR="009729AC" w:rsidRPr="0072387B" w:rsidRDefault="009729AC" w:rsidP="0072387B">
      <w:r w:rsidRPr="006B42D6">
        <w:t xml:space="preserve">The total harvested area with </w:t>
      </w:r>
      <w:r w:rsidR="004B66C4" w:rsidRPr="006B42D6">
        <w:t>sunflower</w:t>
      </w:r>
      <w:r w:rsidRPr="006B42D6">
        <w:t xml:space="preserve"> was </w:t>
      </w:r>
      <w:r w:rsidR="004B66C4" w:rsidRPr="006B42D6">
        <w:t>481</w:t>
      </w:r>
      <w:r w:rsidRPr="006B42D6">
        <w:t>,</w:t>
      </w:r>
      <w:r w:rsidR="004B66C4" w:rsidRPr="006B42D6">
        <w:t>641</w:t>
      </w:r>
      <w:r w:rsidRPr="006B42D6">
        <w:t xml:space="preserve"> ha </w:t>
      </w:r>
      <w:r w:rsidR="004B66C4" w:rsidRPr="006B42D6">
        <w:t>from smallholder farmers</w:t>
      </w:r>
      <w:r w:rsidRPr="006B42D6">
        <w:t>. Dodoma region reported the largest harvested area (</w:t>
      </w:r>
      <w:r w:rsidR="004B66C4" w:rsidRPr="006B42D6">
        <w:t>193</w:t>
      </w:r>
      <w:r w:rsidRPr="006B42D6">
        <w:t>,53</w:t>
      </w:r>
      <w:r w:rsidR="004B66C4" w:rsidRPr="006B42D6">
        <w:t>3</w:t>
      </w:r>
      <w:r w:rsidRPr="006B42D6">
        <w:t xml:space="preserve"> ha; </w:t>
      </w:r>
      <w:r w:rsidR="004B66C4" w:rsidRPr="006B42D6">
        <w:t>40</w:t>
      </w:r>
      <w:r w:rsidRPr="006B42D6">
        <w:t xml:space="preserve">.2 percent), followed by </w:t>
      </w:r>
      <w:r w:rsidR="004B66C4" w:rsidRPr="006B42D6">
        <w:t>Singida</w:t>
      </w:r>
      <w:r w:rsidRPr="006B42D6">
        <w:t xml:space="preserve"> (</w:t>
      </w:r>
      <w:r w:rsidR="004B66C4" w:rsidRPr="006B42D6">
        <w:t>75</w:t>
      </w:r>
      <w:r w:rsidRPr="006B42D6">
        <w:t>,</w:t>
      </w:r>
      <w:r w:rsidR="004B66C4" w:rsidRPr="006B42D6">
        <w:t>527</w:t>
      </w:r>
      <w:r w:rsidRPr="006B42D6">
        <w:t xml:space="preserve"> ha; 1</w:t>
      </w:r>
      <w:r w:rsidR="004B66C4" w:rsidRPr="006B42D6">
        <w:t>5</w:t>
      </w:r>
      <w:r w:rsidRPr="006B42D6">
        <w:t>.</w:t>
      </w:r>
      <w:r w:rsidR="004B66C4" w:rsidRPr="006B42D6">
        <w:t>7</w:t>
      </w:r>
      <w:r w:rsidRPr="006B42D6">
        <w:t xml:space="preserve"> percent) and </w:t>
      </w:r>
      <w:r w:rsidR="004B66C4" w:rsidRPr="006B42D6">
        <w:t>Manyara</w:t>
      </w:r>
      <w:r w:rsidRPr="006B42D6">
        <w:t xml:space="preserve"> (</w:t>
      </w:r>
      <w:r w:rsidR="004B66C4" w:rsidRPr="006B42D6">
        <w:t>53</w:t>
      </w:r>
      <w:r w:rsidRPr="006B42D6">
        <w:t>,</w:t>
      </w:r>
      <w:r w:rsidR="004B66C4" w:rsidRPr="006B42D6">
        <w:t>780</w:t>
      </w:r>
      <w:r w:rsidRPr="006B42D6">
        <w:t xml:space="preserve"> ha; </w:t>
      </w:r>
      <w:r w:rsidR="004B66C4" w:rsidRPr="006B42D6">
        <w:t>11.2</w:t>
      </w:r>
      <w:r w:rsidRPr="006B42D6">
        <w:t xml:space="preserve"> percent) and the least harvested area was in </w:t>
      </w:r>
      <w:r w:rsidR="004B66C4" w:rsidRPr="006B42D6">
        <w:t>Lindi</w:t>
      </w:r>
      <w:r w:rsidRPr="006B42D6">
        <w:t xml:space="preserve"> (</w:t>
      </w:r>
      <w:r w:rsidR="004B66C4" w:rsidRPr="006B42D6">
        <w:t>117</w:t>
      </w:r>
      <w:r w:rsidRPr="006B42D6">
        <w:t xml:space="preserve"> ha; 0.</w:t>
      </w:r>
      <w:r w:rsidR="004B66C4" w:rsidRPr="006B42D6">
        <w:t>02</w:t>
      </w:r>
      <w:r w:rsidRPr="006B42D6">
        <w:t xml:space="preserve"> percent). </w:t>
      </w:r>
      <w:r w:rsidR="004B66C4" w:rsidRPr="006B42D6">
        <w:t xml:space="preserve">The results also reveal that, a total harvested area with </w:t>
      </w:r>
      <w:r w:rsidR="004B66C4" w:rsidRPr="006B42D6">
        <w:rPr>
          <w:bCs/>
        </w:rPr>
        <w:t>sunflower</w:t>
      </w:r>
      <w:r w:rsidR="004B66C4" w:rsidRPr="006B42D6">
        <w:t xml:space="preserve"> was 91.9 percent of the total planted area by smallholder farmers. </w:t>
      </w:r>
    </w:p>
    <w:p w14:paraId="5729C538" w14:textId="77777777" w:rsidR="0072387B" w:rsidRDefault="0072387B" w:rsidP="0072387B">
      <w:pPr>
        <w:spacing w:line="240" w:lineRule="auto"/>
      </w:pPr>
    </w:p>
    <w:p w14:paraId="5C4B2030" w14:textId="50892C8F" w:rsidR="00F327E4" w:rsidRPr="006B42D6" w:rsidRDefault="00F327E4" w:rsidP="0072387B">
      <w:r w:rsidRPr="006B42D6">
        <w:t xml:space="preserve">Production of sunflower in Tanzania stands at </w:t>
      </w:r>
      <w:r w:rsidR="004B66C4" w:rsidRPr="006B42D6">
        <w:rPr>
          <w:bCs/>
        </w:rPr>
        <w:t>504</w:t>
      </w:r>
      <w:r w:rsidRPr="006B42D6">
        <w:rPr>
          <w:bCs/>
        </w:rPr>
        <w:t>,</w:t>
      </w:r>
      <w:r w:rsidR="004B66C4" w:rsidRPr="006B42D6">
        <w:rPr>
          <w:bCs/>
        </w:rPr>
        <w:t>422</w:t>
      </w:r>
      <w:r w:rsidR="002D738A" w:rsidRPr="006B42D6">
        <w:rPr>
          <w:bCs/>
        </w:rPr>
        <w:t xml:space="preserve"> out</w:t>
      </w:r>
      <w:r w:rsidRPr="006B42D6">
        <w:rPr>
          <w:bCs/>
        </w:rPr>
        <w:t xml:space="preserve"> </w:t>
      </w:r>
      <w:r w:rsidRPr="006B42D6">
        <w:t>of which 50</w:t>
      </w:r>
      <w:r w:rsidR="004B66C4" w:rsidRPr="006B42D6">
        <w:t>3</w:t>
      </w:r>
      <w:r w:rsidRPr="006B42D6">
        <w:t>,</w:t>
      </w:r>
      <w:r w:rsidR="004B66C4" w:rsidRPr="006B42D6">
        <w:t>032</w:t>
      </w:r>
      <w:r w:rsidRPr="006B42D6">
        <w:t xml:space="preserve"> tons </w:t>
      </w:r>
      <w:r w:rsidR="002D738A" w:rsidRPr="006B42D6">
        <w:t xml:space="preserve">was </w:t>
      </w:r>
      <w:r w:rsidRPr="006B42D6">
        <w:t>produced by smallholder</w:t>
      </w:r>
      <w:r w:rsidR="004D4695" w:rsidRPr="006B42D6">
        <w:t xml:space="preserve"> </w:t>
      </w:r>
      <w:r w:rsidRPr="006B42D6">
        <w:t>farmers and</w:t>
      </w:r>
      <w:r w:rsidRPr="006B42D6">
        <w:rPr>
          <w:bCs/>
        </w:rPr>
        <w:t xml:space="preserve"> 1,390 </w:t>
      </w:r>
      <w:r w:rsidRPr="006B42D6">
        <w:t xml:space="preserve">tons </w:t>
      </w:r>
      <w:r w:rsidR="002D738A" w:rsidRPr="006B42D6">
        <w:t xml:space="preserve">was </w:t>
      </w:r>
      <w:r w:rsidRPr="006B42D6">
        <w:t>produced by large scale farmers.</w:t>
      </w:r>
      <w:r w:rsidRPr="006B42D6">
        <w:rPr>
          <w:bCs/>
        </w:rPr>
        <w:t xml:space="preserve"> From the </w:t>
      </w:r>
      <w:r w:rsidR="004B66C4" w:rsidRPr="006B42D6">
        <w:rPr>
          <w:bCs/>
        </w:rPr>
        <w:t xml:space="preserve">total </w:t>
      </w:r>
      <w:r w:rsidRPr="006B42D6">
        <w:rPr>
          <w:bCs/>
        </w:rPr>
        <w:t xml:space="preserve">production of smallholder farmers, </w:t>
      </w:r>
      <w:r w:rsidRPr="006B42D6">
        <w:t xml:space="preserve">Dodoma </w:t>
      </w:r>
      <w:r w:rsidR="004338FE" w:rsidRPr="006B42D6">
        <w:t>r</w:t>
      </w:r>
      <w:r w:rsidRPr="006B42D6">
        <w:t>egion had the highest production of 20</w:t>
      </w:r>
      <w:r w:rsidR="004B66C4" w:rsidRPr="006B42D6">
        <w:t>2</w:t>
      </w:r>
      <w:r w:rsidRPr="006B42D6">
        <w:t>,</w:t>
      </w:r>
      <w:r w:rsidR="004B66C4" w:rsidRPr="006B42D6">
        <w:t>528</w:t>
      </w:r>
      <w:r w:rsidRPr="006B42D6">
        <w:t xml:space="preserve"> tons (40.</w:t>
      </w:r>
      <w:r w:rsidR="004B66C4" w:rsidRPr="006B42D6">
        <w:t>3</w:t>
      </w:r>
      <w:r w:rsidRPr="006B42D6">
        <w:t xml:space="preserve"> percent), followed by Singida </w:t>
      </w:r>
      <w:r w:rsidR="004B66C4" w:rsidRPr="006B42D6">
        <w:t>(</w:t>
      </w:r>
      <w:r w:rsidRPr="006B42D6">
        <w:t>6</w:t>
      </w:r>
      <w:r w:rsidR="004B66C4" w:rsidRPr="006B42D6">
        <w:t>7</w:t>
      </w:r>
      <w:r w:rsidRPr="006B42D6">
        <w:t>,7</w:t>
      </w:r>
      <w:r w:rsidR="004B66C4" w:rsidRPr="006B42D6">
        <w:t>06</w:t>
      </w:r>
      <w:r w:rsidRPr="006B42D6">
        <w:t xml:space="preserve"> tons</w:t>
      </w:r>
      <w:r w:rsidR="00EA2BD4">
        <w:t xml:space="preserve">; </w:t>
      </w:r>
      <w:r w:rsidRPr="006B42D6">
        <w:t>13.</w:t>
      </w:r>
      <w:r w:rsidR="004B66C4" w:rsidRPr="006B42D6">
        <w:t>5</w:t>
      </w:r>
      <w:r w:rsidRPr="006B42D6">
        <w:t xml:space="preserve"> percent) and Manyara </w:t>
      </w:r>
      <w:r w:rsidR="004B66C4" w:rsidRPr="006B42D6">
        <w:t>(</w:t>
      </w:r>
      <w:r w:rsidRPr="006B42D6">
        <w:t>5</w:t>
      </w:r>
      <w:r w:rsidR="004B66C4" w:rsidRPr="006B42D6">
        <w:t>7</w:t>
      </w:r>
      <w:r w:rsidRPr="006B42D6">
        <w:t>,</w:t>
      </w:r>
      <w:r w:rsidR="004B66C4" w:rsidRPr="006B42D6">
        <w:t>722</w:t>
      </w:r>
      <w:r w:rsidRPr="006B42D6">
        <w:t xml:space="preserve"> tons</w:t>
      </w:r>
      <w:r w:rsidR="004D4695" w:rsidRPr="006B42D6">
        <w:t>;</w:t>
      </w:r>
      <w:r w:rsidR="00EA2BD4">
        <w:t xml:space="preserve"> </w:t>
      </w:r>
      <w:r w:rsidRPr="006B42D6">
        <w:t xml:space="preserve">11.5 percent). On the other hand, Lindi region had </w:t>
      </w:r>
      <w:r w:rsidR="002D738A" w:rsidRPr="006B42D6">
        <w:t>the</w:t>
      </w:r>
      <w:r w:rsidRPr="006B42D6">
        <w:t xml:space="preserve"> least production (</w:t>
      </w:r>
      <w:r w:rsidR="004B66C4" w:rsidRPr="006B42D6">
        <w:t>123</w:t>
      </w:r>
      <w:r w:rsidRPr="006B42D6">
        <w:t xml:space="preserve"> tons; 0.02 percent) (Table 3</w:t>
      </w:r>
      <w:r w:rsidR="00464C4B" w:rsidRPr="006B42D6">
        <w:t>.4 &amp; Map 3.5</w:t>
      </w:r>
      <w:r w:rsidRPr="006B42D6">
        <w:t>).</w:t>
      </w:r>
    </w:p>
    <w:p w14:paraId="39D2CB22" w14:textId="0953C58C" w:rsidR="00995E98" w:rsidRPr="006B42D6" w:rsidRDefault="00995E98" w:rsidP="0072387B">
      <w:pPr>
        <w:spacing w:line="240" w:lineRule="auto"/>
      </w:pPr>
    </w:p>
    <w:p w14:paraId="1E1B4400" w14:textId="117138CC" w:rsidR="004B66C4" w:rsidRPr="006B42D6" w:rsidRDefault="004B66C4" w:rsidP="0072387B">
      <w:r w:rsidRPr="006B42D6">
        <w:t xml:space="preserve">Moreover, results show that, the average productivity of sunflower in Tanzania was 1.0 tons/ha </w:t>
      </w:r>
      <w:r w:rsidR="005A39AE" w:rsidRPr="006B42D6">
        <w:t>the</w:t>
      </w:r>
      <w:r w:rsidRPr="006B42D6">
        <w:t xml:space="preserve"> highest productivity was in Kagera region (1.8 tons/ha), followed by Pwani (1.7 tons/ha) and Dar es Salaam (1.6 tons/ha). On the other hand, the lowest productivity was in Mtwara regions (0.8 tons/ha) (Table 3.4).</w:t>
      </w:r>
    </w:p>
    <w:p w14:paraId="6DCE4ADF" w14:textId="1A554815" w:rsidR="004B66C4" w:rsidRPr="006B42D6" w:rsidRDefault="004B66C4" w:rsidP="00686E94"/>
    <w:p w14:paraId="2ACFC1F9" w14:textId="1E880EC4" w:rsidR="004D716C" w:rsidRDefault="00686E94">
      <w:pPr>
        <w:spacing w:line="240" w:lineRule="auto"/>
        <w:contextualSpacing w:val="0"/>
        <w:jc w:val="left"/>
      </w:pPr>
      <w:r>
        <w:br w:type="page"/>
      </w:r>
    </w:p>
    <w:p w14:paraId="79A7FBF2" w14:textId="77777777" w:rsidR="004D716C" w:rsidRPr="006B42D6" w:rsidRDefault="004D716C" w:rsidP="004D716C">
      <w:pPr>
        <w:pStyle w:val="Heading7"/>
      </w:pPr>
      <w:bookmarkStart w:id="194" w:name="_Toc82386186"/>
      <w:r w:rsidRPr="006B42D6">
        <w:lastRenderedPageBreak/>
        <w:t>Table 3.4</w:t>
      </w:r>
      <w:r>
        <w:t>:</w:t>
      </w:r>
      <w:r>
        <w:tab/>
      </w:r>
      <w:r w:rsidRPr="006B42D6">
        <w:t xml:space="preserve">Planted and Harvested Area, Quantity Harvested and Yield of Sunflower by Region During 2019/20 Agricultural Year, </w:t>
      </w:r>
      <w:r>
        <w:t>Mainland Tanzania</w:t>
      </w:r>
      <w:bookmarkEnd w:id="194"/>
    </w:p>
    <w:tbl>
      <w:tblPr>
        <w:tblW w:w="0" w:type="auto"/>
        <w:tblLook w:val="04A0" w:firstRow="1" w:lastRow="0" w:firstColumn="1" w:lastColumn="0" w:noHBand="0" w:noVBand="1"/>
      </w:tblPr>
      <w:tblGrid>
        <w:gridCol w:w="1900"/>
        <w:gridCol w:w="1627"/>
        <w:gridCol w:w="1838"/>
        <w:gridCol w:w="2294"/>
        <w:gridCol w:w="1422"/>
      </w:tblGrid>
      <w:tr w:rsidR="004D716C" w:rsidRPr="006B42D6" w14:paraId="7D6F0B7F" w14:textId="77777777" w:rsidTr="00D972DA">
        <w:trPr>
          <w:trHeight w:val="328"/>
        </w:trPr>
        <w:tc>
          <w:tcPr>
            <w:tcW w:w="0" w:type="auto"/>
            <w:tcBorders>
              <w:top w:val="single" w:sz="4" w:space="0" w:color="auto"/>
              <w:left w:val="nil"/>
              <w:bottom w:val="single" w:sz="4" w:space="0" w:color="000000"/>
            </w:tcBorders>
            <w:shd w:val="clear" w:color="auto" w:fill="E2EFD9" w:themeFill="accent6" w:themeFillTint="33"/>
            <w:vAlign w:val="center"/>
            <w:hideMark/>
          </w:tcPr>
          <w:p w14:paraId="0194891B" w14:textId="489CECA6" w:rsidR="004D716C" w:rsidRPr="006B42D6" w:rsidRDefault="00D972DA" w:rsidP="00216F13">
            <w:pPr>
              <w:rPr>
                <w:sz w:val="20"/>
                <w:szCs w:val="20"/>
              </w:rPr>
            </w:pPr>
            <w:r>
              <w:rPr>
                <w:sz w:val="20"/>
                <w:szCs w:val="20"/>
              </w:rPr>
              <w:t>Region</w:t>
            </w:r>
          </w:p>
        </w:tc>
        <w:tc>
          <w:tcPr>
            <w:tcW w:w="0" w:type="auto"/>
            <w:tcBorders>
              <w:top w:val="single" w:sz="4" w:space="0" w:color="auto"/>
              <w:bottom w:val="single" w:sz="4" w:space="0" w:color="auto"/>
              <w:right w:val="nil"/>
            </w:tcBorders>
            <w:shd w:val="clear" w:color="auto" w:fill="E2EFD9" w:themeFill="accent6" w:themeFillTint="33"/>
            <w:vAlign w:val="center"/>
            <w:hideMark/>
          </w:tcPr>
          <w:p w14:paraId="3A5C900C" w14:textId="77777777" w:rsidR="004D716C" w:rsidRPr="006B42D6" w:rsidRDefault="004D716C" w:rsidP="00216F13">
            <w:pPr>
              <w:jc w:val="left"/>
              <w:rPr>
                <w:sz w:val="20"/>
                <w:szCs w:val="20"/>
              </w:rPr>
            </w:pPr>
            <w:r w:rsidRPr="006B42D6">
              <w:rPr>
                <w:sz w:val="20"/>
                <w:szCs w:val="20"/>
              </w:rPr>
              <w:t>Planted Area (ha)</w:t>
            </w:r>
          </w:p>
        </w:tc>
        <w:tc>
          <w:tcPr>
            <w:tcW w:w="0" w:type="auto"/>
            <w:tcBorders>
              <w:top w:val="single" w:sz="4" w:space="0" w:color="auto"/>
              <w:left w:val="nil"/>
              <w:bottom w:val="single" w:sz="4" w:space="0" w:color="auto"/>
              <w:right w:val="nil"/>
            </w:tcBorders>
            <w:shd w:val="clear" w:color="auto" w:fill="E2EFD9" w:themeFill="accent6" w:themeFillTint="33"/>
            <w:vAlign w:val="center"/>
            <w:hideMark/>
          </w:tcPr>
          <w:p w14:paraId="0C0F01E4" w14:textId="77777777" w:rsidR="004D716C" w:rsidRPr="006B42D6" w:rsidRDefault="004D716C" w:rsidP="00216F13">
            <w:pPr>
              <w:jc w:val="left"/>
              <w:rPr>
                <w:sz w:val="20"/>
                <w:szCs w:val="20"/>
              </w:rPr>
            </w:pPr>
            <w:r w:rsidRPr="006B42D6">
              <w:rPr>
                <w:sz w:val="20"/>
                <w:szCs w:val="20"/>
              </w:rPr>
              <w:t>Harvested Area (ha)</w:t>
            </w:r>
          </w:p>
        </w:tc>
        <w:tc>
          <w:tcPr>
            <w:tcW w:w="0" w:type="auto"/>
            <w:tcBorders>
              <w:top w:val="single" w:sz="4" w:space="0" w:color="auto"/>
              <w:left w:val="nil"/>
              <w:bottom w:val="single" w:sz="4" w:space="0" w:color="auto"/>
              <w:right w:val="nil"/>
            </w:tcBorders>
            <w:shd w:val="clear" w:color="auto" w:fill="E2EFD9" w:themeFill="accent6" w:themeFillTint="33"/>
            <w:vAlign w:val="center"/>
            <w:hideMark/>
          </w:tcPr>
          <w:p w14:paraId="36C84B7D" w14:textId="77777777" w:rsidR="004D716C" w:rsidRPr="006B42D6" w:rsidRDefault="004D716C" w:rsidP="00216F13">
            <w:pPr>
              <w:jc w:val="left"/>
              <w:rPr>
                <w:sz w:val="20"/>
                <w:szCs w:val="20"/>
              </w:rPr>
            </w:pPr>
            <w:r w:rsidRPr="006B42D6">
              <w:rPr>
                <w:sz w:val="20"/>
                <w:szCs w:val="20"/>
              </w:rPr>
              <w:t>Quantity Harvested (tons)</w:t>
            </w:r>
          </w:p>
        </w:tc>
        <w:tc>
          <w:tcPr>
            <w:tcW w:w="0" w:type="auto"/>
            <w:tcBorders>
              <w:top w:val="single" w:sz="4" w:space="0" w:color="auto"/>
              <w:left w:val="nil"/>
              <w:bottom w:val="single" w:sz="4" w:space="0" w:color="auto"/>
              <w:right w:val="nil"/>
            </w:tcBorders>
            <w:shd w:val="clear" w:color="auto" w:fill="E2EFD9" w:themeFill="accent6" w:themeFillTint="33"/>
            <w:vAlign w:val="center"/>
            <w:hideMark/>
          </w:tcPr>
          <w:p w14:paraId="3D04D513" w14:textId="77777777" w:rsidR="004D716C" w:rsidRPr="006B42D6" w:rsidRDefault="004D716C" w:rsidP="00216F13">
            <w:pPr>
              <w:jc w:val="left"/>
              <w:rPr>
                <w:sz w:val="20"/>
                <w:szCs w:val="20"/>
              </w:rPr>
            </w:pPr>
            <w:r w:rsidRPr="006B42D6">
              <w:rPr>
                <w:sz w:val="20"/>
                <w:szCs w:val="20"/>
              </w:rPr>
              <w:t>Yield (tons/ha)</w:t>
            </w:r>
          </w:p>
        </w:tc>
      </w:tr>
      <w:tr w:rsidR="004D716C" w:rsidRPr="006B42D6" w14:paraId="7281C4CF" w14:textId="77777777" w:rsidTr="00216F13">
        <w:trPr>
          <w:trHeight w:val="57"/>
        </w:trPr>
        <w:tc>
          <w:tcPr>
            <w:tcW w:w="0" w:type="auto"/>
            <w:tcBorders>
              <w:top w:val="nil"/>
              <w:left w:val="nil"/>
              <w:bottom w:val="nil"/>
            </w:tcBorders>
            <w:shd w:val="clear" w:color="auto" w:fill="auto"/>
            <w:noWrap/>
            <w:vAlign w:val="bottom"/>
            <w:hideMark/>
          </w:tcPr>
          <w:p w14:paraId="2818FFEC" w14:textId="77777777" w:rsidR="004D716C" w:rsidRPr="006B42D6" w:rsidRDefault="004D716C" w:rsidP="00216F13">
            <w:pPr>
              <w:rPr>
                <w:sz w:val="20"/>
                <w:szCs w:val="20"/>
              </w:rPr>
            </w:pPr>
            <w:r w:rsidRPr="006B42D6">
              <w:rPr>
                <w:sz w:val="20"/>
                <w:szCs w:val="20"/>
              </w:rPr>
              <w:t>Dodoma</w:t>
            </w:r>
          </w:p>
        </w:tc>
        <w:tc>
          <w:tcPr>
            <w:tcW w:w="0" w:type="auto"/>
            <w:tcBorders>
              <w:top w:val="nil"/>
              <w:bottom w:val="nil"/>
              <w:right w:val="nil"/>
            </w:tcBorders>
            <w:shd w:val="clear" w:color="auto" w:fill="auto"/>
            <w:noWrap/>
            <w:vAlign w:val="bottom"/>
            <w:hideMark/>
          </w:tcPr>
          <w:p w14:paraId="621ED314" w14:textId="77777777" w:rsidR="004D716C" w:rsidRPr="006B42D6" w:rsidRDefault="004D716C" w:rsidP="00216F13">
            <w:pPr>
              <w:jc w:val="right"/>
              <w:rPr>
                <w:sz w:val="20"/>
                <w:szCs w:val="20"/>
              </w:rPr>
            </w:pPr>
            <w:r w:rsidRPr="006B42D6">
              <w:rPr>
                <w:sz w:val="20"/>
                <w:szCs w:val="20"/>
              </w:rPr>
              <w:t>202,658</w:t>
            </w:r>
          </w:p>
        </w:tc>
        <w:tc>
          <w:tcPr>
            <w:tcW w:w="0" w:type="auto"/>
            <w:tcBorders>
              <w:top w:val="nil"/>
              <w:left w:val="nil"/>
              <w:bottom w:val="nil"/>
              <w:right w:val="nil"/>
            </w:tcBorders>
            <w:shd w:val="clear" w:color="auto" w:fill="auto"/>
            <w:noWrap/>
            <w:vAlign w:val="bottom"/>
            <w:hideMark/>
          </w:tcPr>
          <w:p w14:paraId="53949802" w14:textId="77777777" w:rsidR="004D716C" w:rsidRPr="006B42D6" w:rsidRDefault="004D716C" w:rsidP="00216F13">
            <w:pPr>
              <w:jc w:val="right"/>
              <w:rPr>
                <w:sz w:val="20"/>
                <w:szCs w:val="20"/>
              </w:rPr>
            </w:pPr>
            <w:r w:rsidRPr="006B42D6">
              <w:rPr>
                <w:sz w:val="20"/>
                <w:szCs w:val="20"/>
              </w:rPr>
              <w:t>193,533</w:t>
            </w:r>
          </w:p>
        </w:tc>
        <w:tc>
          <w:tcPr>
            <w:tcW w:w="0" w:type="auto"/>
            <w:tcBorders>
              <w:top w:val="nil"/>
              <w:left w:val="nil"/>
              <w:bottom w:val="nil"/>
              <w:right w:val="nil"/>
            </w:tcBorders>
            <w:shd w:val="clear" w:color="auto" w:fill="auto"/>
            <w:noWrap/>
            <w:vAlign w:val="bottom"/>
            <w:hideMark/>
          </w:tcPr>
          <w:p w14:paraId="0698543B" w14:textId="77777777" w:rsidR="004D716C" w:rsidRPr="006B42D6" w:rsidRDefault="004D716C" w:rsidP="00216F13">
            <w:pPr>
              <w:jc w:val="right"/>
              <w:rPr>
                <w:sz w:val="20"/>
                <w:szCs w:val="20"/>
              </w:rPr>
            </w:pPr>
            <w:r w:rsidRPr="006B42D6">
              <w:rPr>
                <w:sz w:val="20"/>
                <w:szCs w:val="20"/>
              </w:rPr>
              <w:t>202,528</w:t>
            </w:r>
          </w:p>
        </w:tc>
        <w:tc>
          <w:tcPr>
            <w:tcW w:w="0" w:type="auto"/>
            <w:tcBorders>
              <w:top w:val="nil"/>
              <w:left w:val="nil"/>
              <w:bottom w:val="nil"/>
              <w:right w:val="nil"/>
            </w:tcBorders>
            <w:shd w:val="clear" w:color="auto" w:fill="auto"/>
            <w:noWrap/>
            <w:vAlign w:val="bottom"/>
            <w:hideMark/>
          </w:tcPr>
          <w:p w14:paraId="1CE40432" w14:textId="77777777" w:rsidR="004D716C" w:rsidRPr="006B42D6" w:rsidRDefault="004D716C" w:rsidP="00216F13">
            <w:pPr>
              <w:jc w:val="right"/>
              <w:rPr>
                <w:sz w:val="20"/>
                <w:szCs w:val="20"/>
              </w:rPr>
            </w:pPr>
            <w:r w:rsidRPr="006B42D6">
              <w:rPr>
                <w:sz w:val="20"/>
                <w:szCs w:val="20"/>
              </w:rPr>
              <w:t>1.0</w:t>
            </w:r>
          </w:p>
        </w:tc>
      </w:tr>
      <w:tr w:rsidR="004D716C" w:rsidRPr="006B42D6" w14:paraId="6FD4FE37" w14:textId="77777777" w:rsidTr="00216F13">
        <w:trPr>
          <w:trHeight w:val="57"/>
        </w:trPr>
        <w:tc>
          <w:tcPr>
            <w:tcW w:w="0" w:type="auto"/>
            <w:tcBorders>
              <w:top w:val="nil"/>
              <w:left w:val="nil"/>
              <w:bottom w:val="nil"/>
            </w:tcBorders>
            <w:shd w:val="clear" w:color="auto" w:fill="auto"/>
            <w:noWrap/>
            <w:vAlign w:val="bottom"/>
            <w:hideMark/>
          </w:tcPr>
          <w:p w14:paraId="77682073" w14:textId="77777777" w:rsidR="004D716C" w:rsidRPr="006B42D6" w:rsidRDefault="004D716C" w:rsidP="00216F13">
            <w:pPr>
              <w:rPr>
                <w:sz w:val="20"/>
                <w:szCs w:val="20"/>
              </w:rPr>
            </w:pPr>
            <w:r w:rsidRPr="006B42D6">
              <w:rPr>
                <w:sz w:val="20"/>
                <w:szCs w:val="20"/>
              </w:rPr>
              <w:t>Arusha</w:t>
            </w:r>
          </w:p>
        </w:tc>
        <w:tc>
          <w:tcPr>
            <w:tcW w:w="0" w:type="auto"/>
            <w:tcBorders>
              <w:top w:val="nil"/>
              <w:bottom w:val="nil"/>
              <w:right w:val="nil"/>
            </w:tcBorders>
            <w:shd w:val="clear" w:color="auto" w:fill="auto"/>
            <w:noWrap/>
            <w:vAlign w:val="bottom"/>
            <w:hideMark/>
          </w:tcPr>
          <w:p w14:paraId="70B1C14D" w14:textId="77777777" w:rsidR="004D716C" w:rsidRPr="006B42D6" w:rsidRDefault="004D716C" w:rsidP="00216F13">
            <w:pPr>
              <w:jc w:val="right"/>
              <w:rPr>
                <w:sz w:val="20"/>
                <w:szCs w:val="20"/>
              </w:rPr>
            </w:pPr>
            <w:r w:rsidRPr="006B42D6">
              <w:rPr>
                <w:sz w:val="20"/>
                <w:szCs w:val="20"/>
              </w:rPr>
              <w:t>2,089</w:t>
            </w:r>
          </w:p>
        </w:tc>
        <w:tc>
          <w:tcPr>
            <w:tcW w:w="0" w:type="auto"/>
            <w:tcBorders>
              <w:top w:val="nil"/>
              <w:left w:val="nil"/>
              <w:bottom w:val="nil"/>
              <w:right w:val="nil"/>
            </w:tcBorders>
            <w:shd w:val="clear" w:color="auto" w:fill="auto"/>
            <w:noWrap/>
            <w:vAlign w:val="bottom"/>
            <w:hideMark/>
          </w:tcPr>
          <w:p w14:paraId="6E51ABF8" w14:textId="77777777" w:rsidR="004D716C" w:rsidRPr="006B42D6" w:rsidRDefault="004D716C" w:rsidP="00216F13">
            <w:pPr>
              <w:jc w:val="right"/>
              <w:rPr>
                <w:sz w:val="20"/>
                <w:szCs w:val="20"/>
              </w:rPr>
            </w:pPr>
            <w:r w:rsidRPr="006B42D6">
              <w:rPr>
                <w:sz w:val="20"/>
                <w:szCs w:val="20"/>
              </w:rPr>
              <w:t>1,500</w:t>
            </w:r>
          </w:p>
        </w:tc>
        <w:tc>
          <w:tcPr>
            <w:tcW w:w="0" w:type="auto"/>
            <w:tcBorders>
              <w:top w:val="nil"/>
              <w:left w:val="nil"/>
              <w:bottom w:val="nil"/>
              <w:right w:val="nil"/>
            </w:tcBorders>
            <w:shd w:val="clear" w:color="auto" w:fill="auto"/>
            <w:noWrap/>
            <w:vAlign w:val="bottom"/>
            <w:hideMark/>
          </w:tcPr>
          <w:p w14:paraId="4E3F32D1" w14:textId="77777777" w:rsidR="004D716C" w:rsidRPr="006B42D6" w:rsidRDefault="004D716C" w:rsidP="00216F13">
            <w:pPr>
              <w:jc w:val="right"/>
              <w:rPr>
                <w:sz w:val="20"/>
                <w:szCs w:val="20"/>
              </w:rPr>
            </w:pPr>
            <w:r w:rsidRPr="006B42D6">
              <w:rPr>
                <w:sz w:val="20"/>
                <w:szCs w:val="20"/>
              </w:rPr>
              <w:t>1,669</w:t>
            </w:r>
          </w:p>
        </w:tc>
        <w:tc>
          <w:tcPr>
            <w:tcW w:w="0" w:type="auto"/>
            <w:tcBorders>
              <w:top w:val="nil"/>
              <w:left w:val="nil"/>
              <w:bottom w:val="nil"/>
              <w:right w:val="nil"/>
            </w:tcBorders>
            <w:shd w:val="clear" w:color="auto" w:fill="auto"/>
            <w:noWrap/>
            <w:vAlign w:val="bottom"/>
            <w:hideMark/>
          </w:tcPr>
          <w:p w14:paraId="698D6127" w14:textId="77777777" w:rsidR="004D716C" w:rsidRPr="006B42D6" w:rsidRDefault="004D716C" w:rsidP="00216F13">
            <w:pPr>
              <w:jc w:val="right"/>
              <w:rPr>
                <w:sz w:val="20"/>
                <w:szCs w:val="20"/>
              </w:rPr>
            </w:pPr>
            <w:r w:rsidRPr="006B42D6">
              <w:rPr>
                <w:sz w:val="20"/>
                <w:szCs w:val="20"/>
              </w:rPr>
              <w:t>1.1</w:t>
            </w:r>
          </w:p>
        </w:tc>
      </w:tr>
      <w:tr w:rsidR="004D716C" w:rsidRPr="006B42D6" w14:paraId="7DEF3629" w14:textId="77777777" w:rsidTr="00216F13">
        <w:trPr>
          <w:trHeight w:val="57"/>
        </w:trPr>
        <w:tc>
          <w:tcPr>
            <w:tcW w:w="0" w:type="auto"/>
            <w:tcBorders>
              <w:top w:val="nil"/>
              <w:left w:val="nil"/>
              <w:bottom w:val="nil"/>
            </w:tcBorders>
            <w:shd w:val="clear" w:color="auto" w:fill="auto"/>
            <w:noWrap/>
            <w:vAlign w:val="bottom"/>
            <w:hideMark/>
          </w:tcPr>
          <w:p w14:paraId="59297725" w14:textId="77777777" w:rsidR="004D716C" w:rsidRPr="006B42D6" w:rsidRDefault="004D716C" w:rsidP="00216F13">
            <w:pPr>
              <w:rPr>
                <w:sz w:val="20"/>
                <w:szCs w:val="20"/>
              </w:rPr>
            </w:pPr>
            <w:r w:rsidRPr="006B42D6">
              <w:rPr>
                <w:sz w:val="20"/>
                <w:szCs w:val="20"/>
              </w:rPr>
              <w:t>Kilimanjaro</w:t>
            </w:r>
          </w:p>
        </w:tc>
        <w:tc>
          <w:tcPr>
            <w:tcW w:w="0" w:type="auto"/>
            <w:tcBorders>
              <w:top w:val="nil"/>
              <w:bottom w:val="nil"/>
              <w:right w:val="nil"/>
            </w:tcBorders>
            <w:shd w:val="clear" w:color="auto" w:fill="auto"/>
            <w:noWrap/>
            <w:vAlign w:val="bottom"/>
            <w:hideMark/>
          </w:tcPr>
          <w:p w14:paraId="26CCA753" w14:textId="77777777" w:rsidR="004D716C" w:rsidRPr="006B42D6" w:rsidRDefault="004D716C" w:rsidP="00216F13">
            <w:pPr>
              <w:jc w:val="right"/>
              <w:rPr>
                <w:sz w:val="20"/>
                <w:szCs w:val="20"/>
              </w:rPr>
            </w:pPr>
            <w:r w:rsidRPr="006B42D6">
              <w:rPr>
                <w:sz w:val="20"/>
                <w:szCs w:val="20"/>
              </w:rPr>
              <w:t>7,238</w:t>
            </w:r>
          </w:p>
        </w:tc>
        <w:tc>
          <w:tcPr>
            <w:tcW w:w="0" w:type="auto"/>
            <w:tcBorders>
              <w:top w:val="nil"/>
              <w:left w:val="nil"/>
              <w:bottom w:val="nil"/>
              <w:right w:val="nil"/>
            </w:tcBorders>
            <w:shd w:val="clear" w:color="auto" w:fill="auto"/>
            <w:noWrap/>
            <w:vAlign w:val="bottom"/>
            <w:hideMark/>
          </w:tcPr>
          <w:p w14:paraId="143BEFAD" w14:textId="77777777" w:rsidR="004D716C" w:rsidRPr="006B42D6" w:rsidRDefault="004D716C" w:rsidP="00216F13">
            <w:pPr>
              <w:jc w:val="right"/>
              <w:rPr>
                <w:sz w:val="20"/>
                <w:szCs w:val="20"/>
              </w:rPr>
            </w:pPr>
            <w:r w:rsidRPr="006B42D6">
              <w:rPr>
                <w:sz w:val="20"/>
                <w:szCs w:val="20"/>
              </w:rPr>
              <w:t>6,550</w:t>
            </w:r>
          </w:p>
        </w:tc>
        <w:tc>
          <w:tcPr>
            <w:tcW w:w="0" w:type="auto"/>
            <w:tcBorders>
              <w:top w:val="nil"/>
              <w:left w:val="nil"/>
              <w:bottom w:val="nil"/>
              <w:right w:val="nil"/>
            </w:tcBorders>
            <w:shd w:val="clear" w:color="auto" w:fill="auto"/>
            <w:noWrap/>
            <w:vAlign w:val="bottom"/>
            <w:hideMark/>
          </w:tcPr>
          <w:p w14:paraId="5A666F20" w14:textId="77777777" w:rsidR="004D716C" w:rsidRPr="006B42D6" w:rsidRDefault="004D716C" w:rsidP="00216F13">
            <w:pPr>
              <w:jc w:val="right"/>
              <w:rPr>
                <w:sz w:val="20"/>
                <w:szCs w:val="20"/>
              </w:rPr>
            </w:pPr>
            <w:r w:rsidRPr="006B42D6">
              <w:rPr>
                <w:sz w:val="20"/>
                <w:szCs w:val="20"/>
              </w:rPr>
              <w:t>8,075</w:t>
            </w:r>
          </w:p>
        </w:tc>
        <w:tc>
          <w:tcPr>
            <w:tcW w:w="0" w:type="auto"/>
            <w:tcBorders>
              <w:top w:val="nil"/>
              <w:left w:val="nil"/>
              <w:bottom w:val="nil"/>
              <w:right w:val="nil"/>
            </w:tcBorders>
            <w:shd w:val="clear" w:color="auto" w:fill="auto"/>
            <w:noWrap/>
            <w:vAlign w:val="bottom"/>
            <w:hideMark/>
          </w:tcPr>
          <w:p w14:paraId="26C21011" w14:textId="77777777" w:rsidR="004D716C" w:rsidRPr="006B42D6" w:rsidRDefault="004D716C" w:rsidP="00216F13">
            <w:pPr>
              <w:jc w:val="right"/>
              <w:rPr>
                <w:sz w:val="20"/>
                <w:szCs w:val="20"/>
              </w:rPr>
            </w:pPr>
            <w:r w:rsidRPr="006B42D6">
              <w:rPr>
                <w:sz w:val="20"/>
                <w:szCs w:val="20"/>
              </w:rPr>
              <w:t>1.2</w:t>
            </w:r>
          </w:p>
        </w:tc>
      </w:tr>
      <w:tr w:rsidR="004D716C" w:rsidRPr="006B42D6" w14:paraId="0A500EF3" w14:textId="77777777" w:rsidTr="00216F13">
        <w:trPr>
          <w:trHeight w:val="57"/>
        </w:trPr>
        <w:tc>
          <w:tcPr>
            <w:tcW w:w="0" w:type="auto"/>
            <w:tcBorders>
              <w:top w:val="nil"/>
              <w:left w:val="nil"/>
              <w:bottom w:val="nil"/>
            </w:tcBorders>
            <w:shd w:val="clear" w:color="auto" w:fill="auto"/>
            <w:noWrap/>
            <w:vAlign w:val="bottom"/>
            <w:hideMark/>
          </w:tcPr>
          <w:p w14:paraId="5CFDC8DD" w14:textId="77777777" w:rsidR="004D716C" w:rsidRPr="006B42D6" w:rsidRDefault="004D716C" w:rsidP="00216F13">
            <w:pPr>
              <w:rPr>
                <w:sz w:val="20"/>
                <w:szCs w:val="20"/>
              </w:rPr>
            </w:pPr>
            <w:r w:rsidRPr="006B42D6">
              <w:rPr>
                <w:sz w:val="20"/>
                <w:szCs w:val="20"/>
              </w:rPr>
              <w:t>Tanga</w:t>
            </w:r>
          </w:p>
        </w:tc>
        <w:tc>
          <w:tcPr>
            <w:tcW w:w="0" w:type="auto"/>
            <w:tcBorders>
              <w:top w:val="nil"/>
              <w:bottom w:val="nil"/>
              <w:right w:val="nil"/>
            </w:tcBorders>
            <w:shd w:val="clear" w:color="auto" w:fill="auto"/>
            <w:noWrap/>
            <w:vAlign w:val="bottom"/>
            <w:hideMark/>
          </w:tcPr>
          <w:p w14:paraId="0F0FBDCD" w14:textId="77777777" w:rsidR="004D716C" w:rsidRPr="006B42D6" w:rsidRDefault="004D716C" w:rsidP="00216F13">
            <w:pPr>
              <w:jc w:val="right"/>
              <w:rPr>
                <w:sz w:val="20"/>
                <w:szCs w:val="20"/>
              </w:rPr>
            </w:pPr>
            <w:r w:rsidRPr="006B42D6">
              <w:rPr>
                <w:sz w:val="20"/>
                <w:szCs w:val="20"/>
              </w:rPr>
              <w:t>7,385</w:t>
            </w:r>
          </w:p>
        </w:tc>
        <w:tc>
          <w:tcPr>
            <w:tcW w:w="0" w:type="auto"/>
            <w:tcBorders>
              <w:top w:val="nil"/>
              <w:left w:val="nil"/>
              <w:bottom w:val="nil"/>
              <w:right w:val="nil"/>
            </w:tcBorders>
            <w:shd w:val="clear" w:color="auto" w:fill="auto"/>
            <w:noWrap/>
            <w:vAlign w:val="bottom"/>
            <w:hideMark/>
          </w:tcPr>
          <w:p w14:paraId="69F10A15" w14:textId="77777777" w:rsidR="004D716C" w:rsidRPr="006B42D6" w:rsidRDefault="004D716C" w:rsidP="00216F13">
            <w:pPr>
              <w:jc w:val="right"/>
              <w:rPr>
                <w:sz w:val="20"/>
                <w:szCs w:val="20"/>
              </w:rPr>
            </w:pPr>
            <w:r w:rsidRPr="006B42D6">
              <w:rPr>
                <w:sz w:val="20"/>
                <w:szCs w:val="20"/>
              </w:rPr>
              <w:t>7,134</w:t>
            </w:r>
          </w:p>
        </w:tc>
        <w:tc>
          <w:tcPr>
            <w:tcW w:w="0" w:type="auto"/>
            <w:tcBorders>
              <w:top w:val="nil"/>
              <w:left w:val="nil"/>
              <w:bottom w:val="nil"/>
              <w:right w:val="nil"/>
            </w:tcBorders>
            <w:shd w:val="clear" w:color="auto" w:fill="auto"/>
            <w:noWrap/>
            <w:vAlign w:val="bottom"/>
            <w:hideMark/>
          </w:tcPr>
          <w:p w14:paraId="5F1CB2B3" w14:textId="77777777" w:rsidR="004D716C" w:rsidRPr="006B42D6" w:rsidRDefault="004D716C" w:rsidP="00216F13">
            <w:pPr>
              <w:jc w:val="right"/>
              <w:rPr>
                <w:sz w:val="20"/>
                <w:szCs w:val="20"/>
              </w:rPr>
            </w:pPr>
            <w:r w:rsidRPr="006B42D6">
              <w:rPr>
                <w:sz w:val="20"/>
                <w:szCs w:val="20"/>
              </w:rPr>
              <w:t>8,553</w:t>
            </w:r>
          </w:p>
        </w:tc>
        <w:tc>
          <w:tcPr>
            <w:tcW w:w="0" w:type="auto"/>
            <w:tcBorders>
              <w:top w:val="nil"/>
              <w:left w:val="nil"/>
              <w:bottom w:val="nil"/>
              <w:right w:val="nil"/>
            </w:tcBorders>
            <w:shd w:val="clear" w:color="auto" w:fill="auto"/>
            <w:noWrap/>
            <w:vAlign w:val="bottom"/>
            <w:hideMark/>
          </w:tcPr>
          <w:p w14:paraId="6B006C85" w14:textId="77777777" w:rsidR="004D716C" w:rsidRPr="006B42D6" w:rsidRDefault="004D716C" w:rsidP="00216F13">
            <w:pPr>
              <w:jc w:val="right"/>
              <w:rPr>
                <w:sz w:val="20"/>
                <w:szCs w:val="20"/>
              </w:rPr>
            </w:pPr>
            <w:r w:rsidRPr="006B42D6">
              <w:rPr>
                <w:sz w:val="20"/>
                <w:szCs w:val="20"/>
              </w:rPr>
              <w:t>1.2</w:t>
            </w:r>
          </w:p>
        </w:tc>
      </w:tr>
      <w:tr w:rsidR="004D716C" w:rsidRPr="006B42D6" w14:paraId="2C24B331" w14:textId="77777777" w:rsidTr="00216F13">
        <w:trPr>
          <w:trHeight w:val="57"/>
        </w:trPr>
        <w:tc>
          <w:tcPr>
            <w:tcW w:w="0" w:type="auto"/>
            <w:tcBorders>
              <w:top w:val="nil"/>
              <w:left w:val="nil"/>
              <w:bottom w:val="nil"/>
            </w:tcBorders>
            <w:shd w:val="clear" w:color="auto" w:fill="auto"/>
            <w:noWrap/>
            <w:vAlign w:val="bottom"/>
            <w:hideMark/>
          </w:tcPr>
          <w:p w14:paraId="3C5A31A8" w14:textId="77777777" w:rsidR="004D716C" w:rsidRPr="006B42D6" w:rsidRDefault="004D716C" w:rsidP="00216F13">
            <w:pPr>
              <w:rPr>
                <w:sz w:val="20"/>
                <w:szCs w:val="20"/>
              </w:rPr>
            </w:pPr>
            <w:r w:rsidRPr="006B42D6">
              <w:rPr>
                <w:sz w:val="20"/>
                <w:szCs w:val="20"/>
              </w:rPr>
              <w:t>Morogoro</w:t>
            </w:r>
          </w:p>
        </w:tc>
        <w:tc>
          <w:tcPr>
            <w:tcW w:w="0" w:type="auto"/>
            <w:tcBorders>
              <w:top w:val="nil"/>
              <w:bottom w:val="nil"/>
              <w:right w:val="nil"/>
            </w:tcBorders>
            <w:shd w:val="clear" w:color="auto" w:fill="auto"/>
            <w:noWrap/>
            <w:vAlign w:val="bottom"/>
            <w:hideMark/>
          </w:tcPr>
          <w:p w14:paraId="6B2FC867" w14:textId="77777777" w:rsidR="004D716C" w:rsidRPr="006B42D6" w:rsidRDefault="004D716C" w:rsidP="00216F13">
            <w:pPr>
              <w:jc w:val="right"/>
              <w:rPr>
                <w:sz w:val="20"/>
                <w:szCs w:val="20"/>
              </w:rPr>
            </w:pPr>
            <w:r w:rsidRPr="006B42D6">
              <w:rPr>
                <w:sz w:val="20"/>
                <w:szCs w:val="20"/>
              </w:rPr>
              <w:t>14,030</w:t>
            </w:r>
          </w:p>
        </w:tc>
        <w:tc>
          <w:tcPr>
            <w:tcW w:w="0" w:type="auto"/>
            <w:tcBorders>
              <w:top w:val="nil"/>
              <w:left w:val="nil"/>
              <w:bottom w:val="nil"/>
              <w:right w:val="nil"/>
            </w:tcBorders>
            <w:shd w:val="clear" w:color="auto" w:fill="auto"/>
            <w:noWrap/>
            <w:vAlign w:val="bottom"/>
            <w:hideMark/>
          </w:tcPr>
          <w:p w14:paraId="23281779" w14:textId="77777777" w:rsidR="004D716C" w:rsidRPr="006B42D6" w:rsidRDefault="004D716C" w:rsidP="00216F13">
            <w:pPr>
              <w:jc w:val="right"/>
              <w:rPr>
                <w:sz w:val="20"/>
                <w:szCs w:val="20"/>
              </w:rPr>
            </w:pPr>
            <w:r w:rsidRPr="006B42D6">
              <w:rPr>
                <w:sz w:val="20"/>
                <w:szCs w:val="20"/>
              </w:rPr>
              <w:t>10,881</w:t>
            </w:r>
          </w:p>
        </w:tc>
        <w:tc>
          <w:tcPr>
            <w:tcW w:w="0" w:type="auto"/>
            <w:tcBorders>
              <w:top w:val="nil"/>
              <w:left w:val="nil"/>
              <w:bottom w:val="nil"/>
              <w:right w:val="nil"/>
            </w:tcBorders>
            <w:shd w:val="clear" w:color="auto" w:fill="auto"/>
            <w:noWrap/>
            <w:vAlign w:val="bottom"/>
            <w:hideMark/>
          </w:tcPr>
          <w:p w14:paraId="541940C4" w14:textId="77777777" w:rsidR="004D716C" w:rsidRPr="006B42D6" w:rsidRDefault="004D716C" w:rsidP="00216F13">
            <w:pPr>
              <w:jc w:val="right"/>
              <w:rPr>
                <w:sz w:val="20"/>
                <w:szCs w:val="20"/>
              </w:rPr>
            </w:pPr>
            <w:r w:rsidRPr="006B42D6">
              <w:rPr>
                <w:sz w:val="20"/>
                <w:szCs w:val="20"/>
              </w:rPr>
              <w:t>13,035</w:t>
            </w:r>
          </w:p>
        </w:tc>
        <w:tc>
          <w:tcPr>
            <w:tcW w:w="0" w:type="auto"/>
            <w:tcBorders>
              <w:top w:val="nil"/>
              <w:left w:val="nil"/>
              <w:bottom w:val="nil"/>
              <w:right w:val="nil"/>
            </w:tcBorders>
            <w:shd w:val="clear" w:color="auto" w:fill="auto"/>
            <w:noWrap/>
            <w:vAlign w:val="bottom"/>
            <w:hideMark/>
          </w:tcPr>
          <w:p w14:paraId="67D687CD" w14:textId="77777777" w:rsidR="004D716C" w:rsidRPr="006B42D6" w:rsidRDefault="004D716C" w:rsidP="00216F13">
            <w:pPr>
              <w:jc w:val="right"/>
              <w:rPr>
                <w:sz w:val="20"/>
                <w:szCs w:val="20"/>
              </w:rPr>
            </w:pPr>
            <w:r w:rsidRPr="006B42D6">
              <w:rPr>
                <w:sz w:val="20"/>
                <w:szCs w:val="20"/>
              </w:rPr>
              <w:t>1.2</w:t>
            </w:r>
          </w:p>
        </w:tc>
      </w:tr>
      <w:tr w:rsidR="004D716C" w:rsidRPr="006B42D6" w14:paraId="19757208" w14:textId="77777777" w:rsidTr="00216F13">
        <w:trPr>
          <w:trHeight w:val="57"/>
        </w:trPr>
        <w:tc>
          <w:tcPr>
            <w:tcW w:w="0" w:type="auto"/>
            <w:tcBorders>
              <w:top w:val="nil"/>
              <w:left w:val="nil"/>
              <w:bottom w:val="nil"/>
            </w:tcBorders>
            <w:shd w:val="clear" w:color="auto" w:fill="auto"/>
            <w:noWrap/>
            <w:vAlign w:val="bottom"/>
            <w:hideMark/>
          </w:tcPr>
          <w:p w14:paraId="16FB31F9" w14:textId="77777777" w:rsidR="004D716C" w:rsidRPr="006B42D6" w:rsidRDefault="004D716C" w:rsidP="00216F13">
            <w:pPr>
              <w:rPr>
                <w:sz w:val="20"/>
                <w:szCs w:val="20"/>
              </w:rPr>
            </w:pPr>
            <w:r w:rsidRPr="006B42D6">
              <w:rPr>
                <w:sz w:val="20"/>
                <w:szCs w:val="20"/>
              </w:rPr>
              <w:t>Pwani</w:t>
            </w:r>
          </w:p>
        </w:tc>
        <w:tc>
          <w:tcPr>
            <w:tcW w:w="0" w:type="auto"/>
            <w:tcBorders>
              <w:top w:val="nil"/>
              <w:bottom w:val="nil"/>
              <w:right w:val="nil"/>
            </w:tcBorders>
            <w:shd w:val="clear" w:color="auto" w:fill="auto"/>
            <w:noWrap/>
            <w:vAlign w:val="bottom"/>
            <w:hideMark/>
          </w:tcPr>
          <w:p w14:paraId="3DB8E8C3" w14:textId="77777777" w:rsidR="004D716C" w:rsidRPr="006B42D6" w:rsidRDefault="004D716C" w:rsidP="00216F13">
            <w:pPr>
              <w:jc w:val="right"/>
              <w:rPr>
                <w:sz w:val="20"/>
                <w:szCs w:val="20"/>
              </w:rPr>
            </w:pPr>
            <w:r w:rsidRPr="006B42D6">
              <w:rPr>
                <w:sz w:val="20"/>
                <w:szCs w:val="20"/>
              </w:rPr>
              <w:t>345</w:t>
            </w:r>
          </w:p>
        </w:tc>
        <w:tc>
          <w:tcPr>
            <w:tcW w:w="0" w:type="auto"/>
            <w:tcBorders>
              <w:top w:val="nil"/>
              <w:left w:val="nil"/>
              <w:bottom w:val="nil"/>
              <w:right w:val="nil"/>
            </w:tcBorders>
            <w:shd w:val="clear" w:color="auto" w:fill="auto"/>
            <w:noWrap/>
            <w:vAlign w:val="bottom"/>
            <w:hideMark/>
          </w:tcPr>
          <w:p w14:paraId="79C6495E" w14:textId="77777777" w:rsidR="004D716C" w:rsidRPr="006B42D6" w:rsidRDefault="004D716C" w:rsidP="00216F13">
            <w:pPr>
              <w:jc w:val="right"/>
              <w:rPr>
                <w:sz w:val="20"/>
                <w:szCs w:val="20"/>
              </w:rPr>
            </w:pPr>
            <w:r w:rsidRPr="006B42D6">
              <w:rPr>
                <w:sz w:val="20"/>
                <w:szCs w:val="20"/>
              </w:rPr>
              <w:t>243</w:t>
            </w:r>
          </w:p>
        </w:tc>
        <w:tc>
          <w:tcPr>
            <w:tcW w:w="0" w:type="auto"/>
            <w:tcBorders>
              <w:top w:val="nil"/>
              <w:left w:val="nil"/>
              <w:bottom w:val="nil"/>
              <w:right w:val="nil"/>
            </w:tcBorders>
            <w:shd w:val="clear" w:color="auto" w:fill="auto"/>
            <w:noWrap/>
            <w:vAlign w:val="bottom"/>
            <w:hideMark/>
          </w:tcPr>
          <w:p w14:paraId="46F994C2" w14:textId="77777777" w:rsidR="004D716C" w:rsidRPr="006B42D6" w:rsidRDefault="004D716C" w:rsidP="00216F13">
            <w:pPr>
              <w:jc w:val="right"/>
              <w:rPr>
                <w:sz w:val="20"/>
                <w:szCs w:val="20"/>
              </w:rPr>
            </w:pPr>
            <w:r w:rsidRPr="006B42D6">
              <w:rPr>
                <w:sz w:val="20"/>
                <w:szCs w:val="20"/>
              </w:rPr>
              <w:t>404</w:t>
            </w:r>
          </w:p>
        </w:tc>
        <w:tc>
          <w:tcPr>
            <w:tcW w:w="0" w:type="auto"/>
            <w:tcBorders>
              <w:top w:val="nil"/>
              <w:left w:val="nil"/>
              <w:bottom w:val="nil"/>
              <w:right w:val="nil"/>
            </w:tcBorders>
            <w:shd w:val="clear" w:color="auto" w:fill="auto"/>
            <w:noWrap/>
            <w:vAlign w:val="bottom"/>
            <w:hideMark/>
          </w:tcPr>
          <w:p w14:paraId="6FCCA8D2" w14:textId="77777777" w:rsidR="004D716C" w:rsidRPr="006B42D6" w:rsidRDefault="004D716C" w:rsidP="00216F13">
            <w:pPr>
              <w:jc w:val="right"/>
              <w:rPr>
                <w:sz w:val="20"/>
                <w:szCs w:val="20"/>
              </w:rPr>
            </w:pPr>
            <w:r w:rsidRPr="006B42D6">
              <w:rPr>
                <w:sz w:val="20"/>
                <w:szCs w:val="20"/>
              </w:rPr>
              <w:t>1.7</w:t>
            </w:r>
          </w:p>
        </w:tc>
      </w:tr>
      <w:tr w:rsidR="004D716C" w:rsidRPr="006B42D6" w14:paraId="10509C8E" w14:textId="77777777" w:rsidTr="00216F13">
        <w:trPr>
          <w:trHeight w:val="57"/>
        </w:trPr>
        <w:tc>
          <w:tcPr>
            <w:tcW w:w="0" w:type="auto"/>
            <w:tcBorders>
              <w:top w:val="nil"/>
              <w:left w:val="nil"/>
              <w:bottom w:val="nil"/>
            </w:tcBorders>
            <w:shd w:val="clear" w:color="auto" w:fill="auto"/>
            <w:noWrap/>
            <w:vAlign w:val="bottom"/>
            <w:hideMark/>
          </w:tcPr>
          <w:p w14:paraId="49A46C8E" w14:textId="77777777" w:rsidR="004D716C" w:rsidRPr="006B42D6" w:rsidRDefault="004D716C" w:rsidP="00216F13">
            <w:pPr>
              <w:rPr>
                <w:sz w:val="20"/>
                <w:szCs w:val="20"/>
              </w:rPr>
            </w:pPr>
            <w:r w:rsidRPr="006B42D6">
              <w:rPr>
                <w:sz w:val="20"/>
                <w:szCs w:val="20"/>
              </w:rPr>
              <w:t>Dar Es Salaam</w:t>
            </w:r>
          </w:p>
        </w:tc>
        <w:tc>
          <w:tcPr>
            <w:tcW w:w="0" w:type="auto"/>
            <w:tcBorders>
              <w:top w:val="nil"/>
              <w:bottom w:val="nil"/>
              <w:right w:val="nil"/>
            </w:tcBorders>
            <w:shd w:val="clear" w:color="auto" w:fill="auto"/>
            <w:noWrap/>
            <w:vAlign w:val="bottom"/>
            <w:hideMark/>
          </w:tcPr>
          <w:p w14:paraId="43E560A6" w14:textId="77777777" w:rsidR="004D716C" w:rsidRPr="006B42D6" w:rsidRDefault="004D716C" w:rsidP="00216F13">
            <w:pPr>
              <w:jc w:val="right"/>
              <w:rPr>
                <w:sz w:val="20"/>
                <w:szCs w:val="20"/>
              </w:rPr>
            </w:pPr>
            <w:r w:rsidRPr="006B42D6">
              <w:rPr>
                <w:sz w:val="20"/>
                <w:szCs w:val="20"/>
              </w:rPr>
              <w:t>4,197</w:t>
            </w:r>
          </w:p>
        </w:tc>
        <w:tc>
          <w:tcPr>
            <w:tcW w:w="0" w:type="auto"/>
            <w:tcBorders>
              <w:top w:val="nil"/>
              <w:left w:val="nil"/>
              <w:bottom w:val="nil"/>
              <w:right w:val="nil"/>
            </w:tcBorders>
            <w:shd w:val="clear" w:color="auto" w:fill="auto"/>
            <w:noWrap/>
            <w:vAlign w:val="bottom"/>
            <w:hideMark/>
          </w:tcPr>
          <w:p w14:paraId="51B98AB5" w14:textId="77777777" w:rsidR="004D716C" w:rsidRPr="006B42D6" w:rsidRDefault="004D716C" w:rsidP="00216F13">
            <w:pPr>
              <w:jc w:val="right"/>
              <w:rPr>
                <w:sz w:val="20"/>
                <w:szCs w:val="20"/>
              </w:rPr>
            </w:pPr>
            <w:r w:rsidRPr="006B42D6">
              <w:rPr>
                <w:sz w:val="20"/>
                <w:szCs w:val="20"/>
              </w:rPr>
              <w:t>3,925</w:t>
            </w:r>
          </w:p>
        </w:tc>
        <w:tc>
          <w:tcPr>
            <w:tcW w:w="0" w:type="auto"/>
            <w:tcBorders>
              <w:top w:val="nil"/>
              <w:left w:val="nil"/>
              <w:bottom w:val="nil"/>
              <w:right w:val="nil"/>
            </w:tcBorders>
            <w:shd w:val="clear" w:color="auto" w:fill="auto"/>
            <w:noWrap/>
            <w:vAlign w:val="bottom"/>
            <w:hideMark/>
          </w:tcPr>
          <w:p w14:paraId="560B29C1" w14:textId="77777777" w:rsidR="004D716C" w:rsidRPr="006B42D6" w:rsidRDefault="004D716C" w:rsidP="00216F13">
            <w:pPr>
              <w:jc w:val="right"/>
              <w:rPr>
                <w:sz w:val="20"/>
                <w:szCs w:val="20"/>
              </w:rPr>
            </w:pPr>
            <w:r w:rsidRPr="006B42D6">
              <w:rPr>
                <w:sz w:val="20"/>
                <w:szCs w:val="20"/>
              </w:rPr>
              <w:t>6,247</w:t>
            </w:r>
          </w:p>
        </w:tc>
        <w:tc>
          <w:tcPr>
            <w:tcW w:w="0" w:type="auto"/>
            <w:tcBorders>
              <w:top w:val="nil"/>
              <w:left w:val="nil"/>
              <w:bottom w:val="nil"/>
              <w:right w:val="nil"/>
            </w:tcBorders>
            <w:shd w:val="clear" w:color="auto" w:fill="auto"/>
            <w:noWrap/>
            <w:vAlign w:val="bottom"/>
            <w:hideMark/>
          </w:tcPr>
          <w:p w14:paraId="054DAF74" w14:textId="77777777" w:rsidR="004D716C" w:rsidRPr="006B42D6" w:rsidRDefault="004D716C" w:rsidP="00216F13">
            <w:pPr>
              <w:jc w:val="right"/>
              <w:rPr>
                <w:sz w:val="20"/>
                <w:szCs w:val="20"/>
              </w:rPr>
            </w:pPr>
            <w:r w:rsidRPr="006B42D6">
              <w:rPr>
                <w:sz w:val="20"/>
                <w:szCs w:val="20"/>
              </w:rPr>
              <w:t>1.6</w:t>
            </w:r>
          </w:p>
        </w:tc>
      </w:tr>
      <w:tr w:rsidR="004D716C" w:rsidRPr="006B42D6" w14:paraId="66C2C69F" w14:textId="77777777" w:rsidTr="00216F13">
        <w:trPr>
          <w:trHeight w:val="57"/>
        </w:trPr>
        <w:tc>
          <w:tcPr>
            <w:tcW w:w="0" w:type="auto"/>
            <w:tcBorders>
              <w:top w:val="nil"/>
              <w:left w:val="nil"/>
              <w:bottom w:val="nil"/>
            </w:tcBorders>
            <w:shd w:val="clear" w:color="auto" w:fill="auto"/>
            <w:noWrap/>
            <w:vAlign w:val="bottom"/>
            <w:hideMark/>
          </w:tcPr>
          <w:p w14:paraId="7F92BBE3" w14:textId="77777777" w:rsidR="004D716C" w:rsidRPr="006B42D6" w:rsidRDefault="004D716C" w:rsidP="00216F13">
            <w:pPr>
              <w:rPr>
                <w:sz w:val="20"/>
                <w:szCs w:val="20"/>
              </w:rPr>
            </w:pPr>
            <w:r w:rsidRPr="006B42D6">
              <w:rPr>
                <w:sz w:val="20"/>
                <w:szCs w:val="20"/>
              </w:rPr>
              <w:t>Lindi</w:t>
            </w:r>
          </w:p>
        </w:tc>
        <w:tc>
          <w:tcPr>
            <w:tcW w:w="0" w:type="auto"/>
            <w:tcBorders>
              <w:top w:val="nil"/>
              <w:bottom w:val="nil"/>
              <w:right w:val="nil"/>
            </w:tcBorders>
            <w:shd w:val="clear" w:color="auto" w:fill="auto"/>
            <w:noWrap/>
            <w:vAlign w:val="bottom"/>
            <w:hideMark/>
          </w:tcPr>
          <w:p w14:paraId="3B3EFE88" w14:textId="77777777" w:rsidR="004D716C" w:rsidRPr="006B42D6" w:rsidRDefault="004D716C" w:rsidP="00216F13">
            <w:pPr>
              <w:jc w:val="right"/>
              <w:rPr>
                <w:sz w:val="20"/>
                <w:szCs w:val="20"/>
              </w:rPr>
            </w:pPr>
            <w:r w:rsidRPr="006B42D6">
              <w:rPr>
                <w:sz w:val="20"/>
                <w:szCs w:val="20"/>
              </w:rPr>
              <w:t>151</w:t>
            </w:r>
          </w:p>
        </w:tc>
        <w:tc>
          <w:tcPr>
            <w:tcW w:w="0" w:type="auto"/>
            <w:tcBorders>
              <w:top w:val="nil"/>
              <w:left w:val="nil"/>
              <w:bottom w:val="nil"/>
              <w:right w:val="nil"/>
            </w:tcBorders>
            <w:shd w:val="clear" w:color="auto" w:fill="auto"/>
            <w:noWrap/>
            <w:vAlign w:val="bottom"/>
            <w:hideMark/>
          </w:tcPr>
          <w:p w14:paraId="7AB7860A" w14:textId="77777777" w:rsidR="004D716C" w:rsidRPr="006B42D6" w:rsidRDefault="004D716C" w:rsidP="00216F13">
            <w:pPr>
              <w:jc w:val="right"/>
              <w:rPr>
                <w:sz w:val="20"/>
                <w:szCs w:val="20"/>
              </w:rPr>
            </w:pPr>
            <w:r w:rsidRPr="006B42D6">
              <w:rPr>
                <w:sz w:val="20"/>
                <w:szCs w:val="20"/>
              </w:rPr>
              <w:t>117</w:t>
            </w:r>
          </w:p>
        </w:tc>
        <w:tc>
          <w:tcPr>
            <w:tcW w:w="0" w:type="auto"/>
            <w:tcBorders>
              <w:top w:val="nil"/>
              <w:left w:val="nil"/>
              <w:bottom w:val="nil"/>
              <w:right w:val="nil"/>
            </w:tcBorders>
            <w:shd w:val="clear" w:color="auto" w:fill="auto"/>
            <w:noWrap/>
            <w:vAlign w:val="bottom"/>
            <w:hideMark/>
          </w:tcPr>
          <w:p w14:paraId="6D9E1747" w14:textId="77777777" w:rsidR="004D716C" w:rsidRPr="006B42D6" w:rsidRDefault="004D716C" w:rsidP="00216F13">
            <w:pPr>
              <w:jc w:val="right"/>
              <w:rPr>
                <w:sz w:val="20"/>
                <w:szCs w:val="20"/>
              </w:rPr>
            </w:pPr>
            <w:r w:rsidRPr="006B42D6">
              <w:rPr>
                <w:sz w:val="20"/>
                <w:szCs w:val="20"/>
              </w:rPr>
              <w:t>123</w:t>
            </w:r>
          </w:p>
        </w:tc>
        <w:tc>
          <w:tcPr>
            <w:tcW w:w="0" w:type="auto"/>
            <w:tcBorders>
              <w:top w:val="nil"/>
              <w:left w:val="nil"/>
              <w:bottom w:val="nil"/>
              <w:right w:val="nil"/>
            </w:tcBorders>
            <w:shd w:val="clear" w:color="auto" w:fill="auto"/>
            <w:noWrap/>
            <w:vAlign w:val="bottom"/>
            <w:hideMark/>
          </w:tcPr>
          <w:p w14:paraId="64F0037D" w14:textId="77777777" w:rsidR="004D716C" w:rsidRPr="006B42D6" w:rsidRDefault="004D716C" w:rsidP="00216F13">
            <w:pPr>
              <w:jc w:val="right"/>
              <w:rPr>
                <w:sz w:val="20"/>
                <w:szCs w:val="20"/>
              </w:rPr>
            </w:pPr>
            <w:r w:rsidRPr="006B42D6">
              <w:rPr>
                <w:sz w:val="20"/>
                <w:szCs w:val="20"/>
              </w:rPr>
              <w:t>1.1</w:t>
            </w:r>
          </w:p>
        </w:tc>
      </w:tr>
      <w:tr w:rsidR="004D716C" w:rsidRPr="006B42D6" w14:paraId="1A94F0BD" w14:textId="77777777" w:rsidTr="00216F13">
        <w:trPr>
          <w:trHeight w:val="57"/>
        </w:trPr>
        <w:tc>
          <w:tcPr>
            <w:tcW w:w="0" w:type="auto"/>
            <w:tcBorders>
              <w:top w:val="nil"/>
              <w:left w:val="nil"/>
              <w:bottom w:val="nil"/>
            </w:tcBorders>
            <w:shd w:val="clear" w:color="auto" w:fill="auto"/>
            <w:noWrap/>
            <w:vAlign w:val="bottom"/>
            <w:hideMark/>
          </w:tcPr>
          <w:p w14:paraId="594AB766" w14:textId="77777777" w:rsidR="004D716C" w:rsidRPr="006B42D6" w:rsidRDefault="004D716C" w:rsidP="00216F13">
            <w:pPr>
              <w:rPr>
                <w:sz w:val="20"/>
                <w:szCs w:val="20"/>
              </w:rPr>
            </w:pPr>
            <w:r w:rsidRPr="006B42D6">
              <w:rPr>
                <w:sz w:val="20"/>
                <w:szCs w:val="20"/>
              </w:rPr>
              <w:t>Mtwara</w:t>
            </w:r>
          </w:p>
        </w:tc>
        <w:tc>
          <w:tcPr>
            <w:tcW w:w="0" w:type="auto"/>
            <w:tcBorders>
              <w:top w:val="nil"/>
              <w:bottom w:val="nil"/>
              <w:right w:val="nil"/>
            </w:tcBorders>
            <w:shd w:val="clear" w:color="auto" w:fill="auto"/>
            <w:noWrap/>
            <w:vAlign w:val="bottom"/>
            <w:hideMark/>
          </w:tcPr>
          <w:p w14:paraId="226AA4A4" w14:textId="77777777" w:rsidR="004D716C" w:rsidRPr="006B42D6" w:rsidRDefault="004D716C" w:rsidP="00216F13">
            <w:pPr>
              <w:jc w:val="right"/>
              <w:rPr>
                <w:sz w:val="20"/>
                <w:szCs w:val="20"/>
              </w:rPr>
            </w:pPr>
            <w:r w:rsidRPr="006B42D6">
              <w:rPr>
                <w:sz w:val="20"/>
                <w:szCs w:val="20"/>
              </w:rPr>
              <w:t>264</w:t>
            </w:r>
          </w:p>
        </w:tc>
        <w:tc>
          <w:tcPr>
            <w:tcW w:w="0" w:type="auto"/>
            <w:tcBorders>
              <w:top w:val="nil"/>
              <w:left w:val="nil"/>
              <w:bottom w:val="nil"/>
              <w:right w:val="nil"/>
            </w:tcBorders>
            <w:shd w:val="clear" w:color="auto" w:fill="auto"/>
            <w:noWrap/>
            <w:vAlign w:val="bottom"/>
            <w:hideMark/>
          </w:tcPr>
          <w:p w14:paraId="703AE039" w14:textId="77777777" w:rsidR="004D716C" w:rsidRPr="006B42D6" w:rsidRDefault="004D716C" w:rsidP="00216F13">
            <w:pPr>
              <w:jc w:val="right"/>
              <w:rPr>
                <w:sz w:val="20"/>
                <w:szCs w:val="20"/>
              </w:rPr>
            </w:pPr>
            <w:r w:rsidRPr="006B42D6">
              <w:rPr>
                <w:sz w:val="20"/>
                <w:szCs w:val="20"/>
              </w:rPr>
              <w:t>264</w:t>
            </w:r>
          </w:p>
        </w:tc>
        <w:tc>
          <w:tcPr>
            <w:tcW w:w="0" w:type="auto"/>
            <w:tcBorders>
              <w:top w:val="nil"/>
              <w:left w:val="nil"/>
              <w:bottom w:val="nil"/>
              <w:right w:val="nil"/>
            </w:tcBorders>
            <w:shd w:val="clear" w:color="auto" w:fill="auto"/>
            <w:noWrap/>
            <w:vAlign w:val="bottom"/>
            <w:hideMark/>
          </w:tcPr>
          <w:p w14:paraId="1DB8D0D6" w14:textId="77777777" w:rsidR="004D716C" w:rsidRPr="006B42D6" w:rsidRDefault="004D716C" w:rsidP="00216F13">
            <w:pPr>
              <w:jc w:val="right"/>
              <w:rPr>
                <w:sz w:val="20"/>
                <w:szCs w:val="20"/>
              </w:rPr>
            </w:pPr>
            <w:r w:rsidRPr="006B42D6">
              <w:rPr>
                <w:sz w:val="20"/>
                <w:szCs w:val="20"/>
              </w:rPr>
              <w:t>209</w:t>
            </w:r>
          </w:p>
        </w:tc>
        <w:tc>
          <w:tcPr>
            <w:tcW w:w="0" w:type="auto"/>
            <w:tcBorders>
              <w:top w:val="nil"/>
              <w:left w:val="nil"/>
              <w:bottom w:val="nil"/>
              <w:right w:val="nil"/>
            </w:tcBorders>
            <w:shd w:val="clear" w:color="auto" w:fill="auto"/>
            <w:noWrap/>
            <w:vAlign w:val="bottom"/>
            <w:hideMark/>
          </w:tcPr>
          <w:p w14:paraId="56306B65" w14:textId="77777777" w:rsidR="004D716C" w:rsidRPr="006B42D6" w:rsidRDefault="004D716C" w:rsidP="00216F13">
            <w:pPr>
              <w:jc w:val="right"/>
              <w:rPr>
                <w:sz w:val="20"/>
                <w:szCs w:val="20"/>
              </w:rPr>
            </w:pPr>
            <w:r w:rsidRPr="006B42D6">
              <w:rPr>
                <w:sz w:val="20"/>
                <w:szCs w:val="20"/>
              </w:rPr>
              <w:t>0.8</w:t>
            </w:r>
          </w:p>
        </w:tc>
      </w:tr>
      <w:tr w:rsidR="004D716C" w:rsidRPr="006B42D6" w14:paraId="2299CE22" w14:textId="77777777" w:rsidTr="00216F13">
        <w:trPr>
          <w:trHeight w:val="57"/>
        </w:trPr>
        <w:tc>
          <w:tcPr>
            <w:tcW w:w="0" w:type="auto"/>
            <w:tcBorders>
              <w:top w:val="nil"/>
              <w:left w:val="nil"/>
              <w:bottom w:val="nil"/>
            </w:tcBorders>
            <w:shd w:val="clear" w:color="auto" w:fill="auto"/>
            <w:noWrap/>
            <w:vAlign w:val="bottom"/>
            <w:hideMark/>
          </w:tcPr>
          <w:p w14:paraId="5EE43D7A" w14:textId="77777777" w:rsidR="004D716C" w:rsidRPr="006B42D6" w:rsidRDefault="004D716C" w:rsidP="00216F13">
            <w:pPr>
              <w:rPr>
                <w:sz w:val="20"/>
                <w:szCs w:val="20"/>
              </w:rPr>
            </w:pPr>
            <w:r w:rsidRPr="006B42D6">
              <w:rPr>
                <w:sz w:val="20"/>
                <w:szCs w:val="20"/>
              </w:rPr>
              <w:t>Ruvuma</w:t>
            </w:r>
          </w:p>
        </w:tc>
        <w:tc>
          <w:tcPr>
            <w:tcW w:w="0" w:type="auto"/>
            <w:tcBorders>
              <w:top w:val="nil"/>
              <w:bottom w:val="nil"/>
              <w:right w:val="nil"/>
            </w:tcBorders>
            <w:shd w:val="clear" w:color="auto" w:fill="auto"/>
            <w:noWrap/>
            <w:vAlign w:val="bottom"/>
            <w:hideMark/>
          </w:tcPr>
          <w:p w14:paraId="751761B6" w14:textId="77777777" w:rsidR="004D716C" w:rsidRPr="006B42D6" w:rsidRDefault="004D716C" w:rsidP="00216F13">
            <w:pPr>
              <w:jc w:val="right"/>
              <w:rPr>
                <w:sz w:val="20"/>
                <w:szCs w:val="20"/>
              </w:rPr>
            </w:pPr>
            <w:r w:rsidRPr="006B42D6">
              <w:rPr>
                <w:sz w:val="20"/>
                <w:szCs w:val="20"/>
              </w:rPr>
              <w:t>11,218</w:t>
            </w:r>
          </w:p>
        </w:tc>
        <w:tc>
          <w:tcPr>
            <w:tcW w:w="0" w:type="auto"/>
            <w:tcBorders>
              <w:top w:val="nil"/>
              <w:left w:val="nil"/>
              <w:bottom w:val="nil"/>
              <w:right w:val="nil"/>
            </w:tcBorders>
            <w:shd w:val="clear" w:color="auto" w:fill="auto"/>
            <w:noWrap/>
            <w:vAlign w:val="bottom"/>
            <w:hideMark/>
          </w:tcPr>
          <w:p w14:paraId="1D0C6EA4" w14:textId="77777777" w:rsidR="004D716C" w:rsidRPr="006B42D6" w:rsidRDefault="004D716C" w:rsidP="00216F13">
            <w:pPr>
              <w:jc w:val="right"/>
              <w:rPr>
                <w:sz w:val="20"/>
                <w:szCs w:val="20"/>
              </w:rPr>
            </w:pPr>
            <w:r w:rsidRPr="006B42D6">
              <w:rPr>
                <w:sz w:val="20"/>
                <w:szCs w:val="20"/>
              </w:rPr>
              <w:t>11,057</w:t>
            </w:r>
          </w:p>
        </w:tc>
        <w:tc>
          <w:tcPr>
            <w:tcW w:w="0" w:type="auto"/>
            <w:tcBorders>
              <w:top w:val="nil"/>
              <w:left w:val="nil"/>
              <w:bottom w:val="nil"/>
              <w:right w:val="nil"/>
            </w:tcBorders>
            <w:shd w:val="clear" w:color="auto" w:fill="auto"/>
            <w:noWrap/>
            <w:vAlign w:val="bottom"/>
            <w:hideMark/>
          </w:tcPr>
          <w:p w14:paraId="00FD563C" w14:textId="77777777" w:rsidR="004D716C" w:rsidRPr="006B42D6" w:rsidRDefault="004D716C" w:rsidP="00216F13">
            <w:pPr>
              <w:jc w:val="right"/>
              <w:rPr>
                <w:sz w:val="20"/>
                <w:szCs w:val="20"/>
              </w:rPr>
            </w:pPr>
            <w:r w:rsidRPr="006B42D6">
              <w:rPr>
                <w:sz w:val="20"/>
                <w:szCs w:val="20"/>
              </w:rPr>
              <w:t>12,246</w:t>
            </w:r>
          </w:p>
        </w:tc>
        <w:tc>
          <w:tcPr>
            <w:tcW w:w="0" w:type="auto"/>
            <w:tcBorders>
              <w:top w:val="nil"/>
              <w:left w:val="nil"/>
              <w:bottom w:val="nil"/>
              <w:right w:val="nil"/>
            </w:tcBorders>
            <w:shd w:val="clear" w:color="auto" w:fill="auto"/>
            <w:noWrap/>
            <w:vAlign w:val="bottom"/>
            <w:hideMark/>
          </w:tcPr>
          <w:p w14:paraId="11E1E84F" w14:textId="77777777" w:rsidR="004D716C" w:rsidRPr="006B42D6" w:rsidRDefault="004D716C" w:rsidP="00216F13">
            <w:pPr>
              <w:jc w:val="right"/>
              <w:rPr>
                <w:sz w:val="20"/>
                <w:szCs w:val="20"/>
              </w:rPr>
            </w:pPr>
            <w:r w:rsidRPr="006B42D6">
              <w:rPr>
                <w:sz w:val="20"/>
                <w:szCs w:val="20"/>
              </w:rPr>
              <w:t>1.1</w:t>
            </w:r>
          </w:p>
        </w:tc>
      </w:tr>
      <w:tr w:rsidR="004D716C" w:rsidRPr="006B42D6" w14:paraId="2424D551" w14:textId="77777777" w:rsidTr="00216F13">
        <w:trPr>
          <w:trHeight w:val="57"/>
        </w:trPr>
        <w:tc>
          <w:tcPr>
            <w:tcW w:w="0" w:type="auto"/>
            <w:tcBorders>
              <w:top w:val="nil"/>
              <w:left w:val="nil"/>
              <w:bottom w:val="nil"/>
            </w:tcBorders>
            <w:shd w:val="clear" w:color="auto" w:fill="auto"/>
            <w:noWrap/>
            <w:vAlign w:val="bottom"/>
            <w:hideMark/>
          </w:tcPr>
          <w:p w14:paraId="0185AC82" w14:textId="77777777" w:rsidR="004D716C" w:rsidRPr="006B42D6" w:rsidRDefault="004D716C" w:rsidP="00216F13">
            <w:pPr>
              <w:rPr>
                <w:sz w:val="20"/>
                <w:szCs w:val="20"/>
              </w:rPr>
            </w:pPr>
            <w:r w:rsidRPr="006B42D6">
              <w:rPr>
                <w:sz w:val="20"/>
                <w:szCs w:val="20"/>
              </w:rPr>
              <w:t>Iringa</w:t>
            </w:r>
          </w:p>
        </w:tc>
        <w:tc>
          <w:tcPr>
            <w:tcW w:w="0" w:type="auto"/>
            <w:tcBorders>
              <w:top w:val="nil"/>
              <w:bottom w:val="nil"/>
              <w:right w:val="nil"/>
            </w:tcBorders>
            <w:shd w:val="clear" w:color="auto" w:fill="auto"/>
            <w:noWrap/>
            <w:vAlign w:val="bottom"/>
            <w:hideMark/>
          </w:tcPr>
          <w:p w14:paraId="0037B143" w14:textId="77777777" w:rsidR="004D716C" w:rsidRPr="006B42D6" w:rsidRDefault="004D716C" w:rsidP="00216F13">
            <w:pPr>
              <w:jc w:val="right"/>
              <w:rPr>
                <w:sz w:val="20"/>
                <w:szCs w:val="20"/>
              </w:rPr>
            </w:pPr>
            <w:r w:rsidRPr="006B42D6">
              <w:rPr>
                <w:sz w:val="20"/>
                <w:szCs w:val="20"/>
              </w:rPr>
              <w:t>21,316</w:t>
            </w:r>
          </w:p>
        </w:tc>
        <w:tc>
          <w:tcPr>
            <w:tcW w:w="0" w:type="auto"/>
            <w:tcBorders>
              <w:top w:val="nil"/>
              <w:left w:val="nil"/>
              <w:bottom w:val="nil"/>
              <w:right w:val="nil"/>
            </w:tcBorders>
            <w:shd w:val="clear" w:color="auto" w:fill="auto"/>
            <w:noWrap/>
            <w:vAlign w:val="bottom"/>
            <w:hideMark/>
          </w:tcPr>
          <w:p w14:paraId="739811BF" w14:textId="77777777" w:rsidR="004D716C" w:rsidRPr="006B42D6" w:rsidRDefault="004D716C" w:rsidP="00216F13">
            <w:pPr>
              <w:jc w:val="right"/>
              <w:rPr>
                <w:sz w:val="20"/>
                <w:szCs w:val="20"/>
              </w:rPr>
            </w:pPr>
            <w:r w:rsidRPr="006B42D6">
              <w:rPr>
                <w:sz w:val="20"/>
                <w:szCs w:val="20"/>
              </w:rPr>
              <w:t>16,251</w:t>
            </w:r>
          </w:p>
        </w:tc>
        <w:tc>
          <w:tcPr>
            <w:tcW w:w="0" w:type="auto"/>
            <w:tcBorders>
              <w:top w:val="nil"/>
              <w:left w:val="nil"/>
              <w:bottom w:val="nil"/>
              <w:right w:val="nil"/>
            </w:tcBorders>
            <w:shd w:val="clear" w:color="auto" w:fill="auto"/>
            <w:noWrap/>
            <w:vAlign w:val="bottom"/>
            <w:hideMark/>
          </w:tcPr>
          <w:p w14:paraId="2BEDB523" w14:textId="77777777" w:rsidR="004D716C" w:rsidRPr="006B42D6" w:rsidRDefault="004D716C" w:rsidP="00216F13">
            <w:pPr>
              <w:jc w:val="right"/>
              <w:rPr>
                <w:sz w:val="20"/>
                <w:szCs w:val="20"/>
              </w:rPr>
            </w:pPr>
            <w:r w:rsidRPr="006B42D6">
              <w:rPr>
                <w:sz w:val="20"/>
                <w:szCs w:val="20"/>
              </w:rPr>
              <w:t>18,078</w:t>
            </w:r>
          </w:p>
        </w:tc>
        <w:tc>
          <w:tcPr>
            <w:tcW w:w="0" w:type="auto"/>
            <w:tcBorders>
              <w:top w:val="nil"/>
              <w:left w:val="nil"/>
              <w:bottom w:val="nil"/>
              <w:right w:val="nil"/>
            </w:tcBorders>
            <w:shd w:val="clear" w:color="auto" w:fill="auto"/>
            <w:noWrap/>
            <w:vAlign w:val="bottom"/>
            <w:hideMark/>
          </w:tcPr>
          <w:p w14:paraId="594AC2ED" w14:textId="77777777" w:rsidR="004D716C" w:rsidRPr="006B42D6" w:rsidRDefault="004D716C" w:rsidP="00216F13">
            <w:pPr>
              <w:jc w:val="right"/>
              <w:rPr>
                <w:sz w:val="20"/>
                <w:szCs w:val="20"/>
              </w:rPr>
            </w:pPr>
            <w:r w:rsidRPr="006B42D6">
              <w:rPr>
                <w:sz w:val="20"/>
                <w:szCs w:val="20"/>
              </w:rPr>
              <w:t>1.1</w:t>
            </w:r>
          </w:p>
        </w:tc>
      </w:tr>
      <w:tr w:rsidR="004D716C" w:rsidRPr="006B42D6" w14:paraId="3EB8D948" w14:textId="77777777" w:rsidTr="00216F13">
        <w:trPr>
          <w:trHeight w:val="57"/>
        </w:trPr>
        <w:tc>
          <w:tcPr>
            <w:tcW w:w="0" w:type="auto"/>
            <w:tcBorders>
              <w:top w:val="nil"/>
              <w:left w:val="nil"/>
              <w:bottom w:val="nil"/>
            </w:tcBorders>
            <w:shd w:val="clear" w:color="auto" w:fill="auto"/>
            <w:noWrap/>
            <w:vAlign w:val="bottom"/>
            <w:hideMark/>
          </w:tcPr>
          <w:p w14:paraId="34184863" w14:textId="77777777" w:rsidR="004D716C" w:rsidRPr="006B42D6" w:rsidRDefault="004D716C" w:rsidP="00216F13">
            <w:pPr>
              <w:rPr>
                <w:sz w:val="20"/>
                <w:szCs w:val="20"/>
              </w:rPr>
            </w:pPr>
            <w:r w:rsidRPr="006B42D6">
              <w:rPr>
                <w:sz w:val="20"/>
                <w:szCs w:val="20"/>
              </w:rPr>
              <w:t>Mbeya</w:t>
            </w:r>
          </w:p>
        </w:tc>
        <w:tc>
          <w:tcPr>
            <w:tcW w:w="0" w:type="auto"/>
            <w:tcBorders>
              <w:top w:val="nil"/>
              <w:bottom w:val="nil"/>
              <w:right w:val="nil"/>
            </w:tcBorders>
            <w:shd w:val="clear" w:color="auto" w:fill="auto"/>
            <w:noWrap/>
            <w:vAlign w:val="bottom"/>
            <w:hideMark/>
          </w:tcPr>
          <w:p w14:paraId="229DCE24" w14:textId="77777777" w:rsidR="004D716C" w:rsidRPr="006B42D6" w:rsidRDefault="004D716C" w:rsidP="00216F13">
            <w:pPr>
              <w:jc w:val="right"/>
              <w:rPr>
                <w:sz w:val="20"/>
                <w:szCs w:val="20"/>
              </w:rPr>
            </w:pPr>
            <w:r w:rsidRPr="006B42D6">
              <w:rPr>
                <w:sz w:val="20"/>
                <w:szCs w:val="20"/>
              </w:rPr>
              <w:t>12,280</w:t>
            </w:r>
          </w:p>
        </w:tc>
        <w:tc>
          <w:tcPr>
            <w:tcW w:w="0" w:type="auto"/>
            <w:tcBorders>
              <w:top w:val="nil"/>
              <w:left w:val="nil"/>
              <w:bottom w:val="nil"/>
              <w:right w:val="nil"/>
            </w:tcBorders>
            <w:shd w:val="clear" w:color="auto" w:fill="auto"/>
            <w:noWrap/>
            <w:vAlign w:val="bottom"/>
            <w:hideMark/>
          </w:tcPr>
          <w:p w14:paraId="1AF9FC32" w14:textId="77777777" w:rsidR="004D716C" w:rsidRPr="006B42D6" w:rsidRDefault="004D716C" w:rsidP="00216F13">
            <w:pPr>
              <w:jc w:val="right"/>
              <w:rPr>
                <w:sz w:val="20"/>
                <w:szCs w:val="20"/>
              </w:rPr>
            </w:pPr>
            <w:r w:rsidRPr="006B42D6">
              <w:rPr>
                <w:sz w:val="20"/>
                <w:szCs w:val="20"/>
              </w:rPr>
              <w:t>12,041</w:t>
            </w:r>
          </w:p>
        </w:tc>
        <w:tc>
          <w:tcPr>
            <w:tcW w:w="0" w:type="auto"/>
            <w:tcBorders>
              <w:top w:val="nil"/>
              <w:left w:val="nil"/>
              <w:bottom w:val="nil"/>
              <w:right w:val="nil"/>
            </w:tcBorders>
            <w:shd w:val="clear" w:color="auto" w:fill="auto"/>
            <w:noWrap/>
            <w:vAlign w:val="bottom"/>
            <w:hideMark/>
          </w:tcPr>
          <w:p w14:paraId="034CB7B9" w14:textId="77777777" w:rsidR="004D716C" w:rsidRPr="006B42D6" w:rsidRDefault="004D716C" w:rsidP="00216F13">
            <w:pPr>
              <w:jc w:val="right"/>
              <w:rPr>
                <w:sz w:val="20"/>
                <w:szCs w:val="20"/>
              </w:rPr>
            </w:pPr>
            <w:r w:rsidRPr="006B42D6">
              <w:rPr>
                <w:sz w:val="20"/>
                <w:szCs w:val="20"/>
              </w:rPr>
              <w:t>14,530</w:t>
            </w:r>
          </w:p>
        </w:tc>
        <w:tc>
          <w:tcPr>
            <w:tcW w:w="0" w:type="auto"/>
            <w:tcBorders>
              <w:top w:val="nil"/>
              <w:left w:val="nil"/>
              <w:bottom w:val="nil"/>
              <w:right w:val="nil"/>
            </w:tcBorders>
            <w:shd w:val="clear" w:color="auto" w:fill="auto"/>
            <w:noWrap/>
            <w:vAlign w:val="bottom"/>
            <w:hideMark/>
          </w:tcPr>
          <w:p w14:paraId="3130F878" w14:textId="77777777" w:rsidR="004D716C" w:rsidRPr="006B42D6" w:rsidRDefault="004D716C" w:rsidP="00216F13">
            <w:pPr>
              <w:jc w:val="right"/>
              <w:rPr>
                <w:sz w:val="20"/>
                <w:szCs w:val="20"/>
              </w:rPr>
            </w:pPr>
            <w:r w:rsidRPr="006B42D6">
              <w:rPr>
                <w:sz w:val="20"/>
                <w:szCs w:val="20"/>
              </w:rPr>
              <w:t>1.2</w:t>
            </w:r>
          </w:p>
        </w:tc>
      </w:tr>
      <w:tr w:rsidR="004D716C" w:rsidRPr="006B42D6" w14:paraId="594BBAD0" w14:textId="77777777" w:rsidTr="00216F13">
        <w:trPr>
          <w:trHeight w:val="57"/>
        </w:trPr>
        <w:tc>
          <w:tcPr>
            <w:tcW w:w="0" w:type="auto"/>
            <w:tcBorders>
              <w:top w:val="nil"/>
              <w:left w:val="nil"/>
              <w:bottom w:val="nil"/>
            </w:tcBorders>
            <w:shd w:val="clear" w:color="auto" w:fill="auto"/>
            <w:noWrap/>
            <w:vAlign w:val="bottom"/>
            <w:hideMark/>
          </w:tcPr>
          <w:p w14:paraId="547466C9" w14:textId="77777777" w:rsidR="004D716C" w:rsidRPr="006B42D6" w:rsidRDefault="004D716C" w:rsidP="00216F13">
            <w:pPr>
              <w:rPr>
                <w:sz w:val="20"/>
                <w:szCs w:val="20"/>
              </w:rPr>
            </w:pPr>
            <w:r w:rsidRPr="006B42D6">
              <w:rPr>
                <w:sz w:val="20"/>
                <w:szCs w:val="20"/>
              </w:rPr>
              <w:t>Singida</w:t>
            </w:r>
          </w:p>
        </w:tc>
        <w:tc>
          <w:tcPr>
            <w:tcW w:w="0" w:type="auto"/>
            <w:tcBorders>
              <w:top w:val="nil"/>
              <w:bottom w:val="nil"/>
              <w:right w:val="nil"/>
            </w:tcBorders>
            <w:shd w:val="clear" w:color="auto" w:fill="auto"/>
            <w:noWrap/>
            <w:vAlign w:val="bottom"/>
            <w:hideMark/>
          </w:tcPr>
          <w:p w14:paraId="10981FBD" w14:textId="77777777" w:rsidR="004D716C" w:rsidRPr="006B42D6" w:rsidRDefault="004D716C" w:rsidP="00216F13">
            <w:pPr>
              <w:jc w:val="right"/>
              <w:rPr>
                <w:sz w:val="20"/>
                <w:szCs w:val="20"/>
              </w:rPr>
            </w:pPr>
            <w:r w:rsidRPr="006B42D6">
              <w:rPr>
                <w:sz w:val="20"/>
                <w:szCs w:val="20"/>
              </w:rPr>
              <w:t>85,457</w:t>
            </w:r>
          </w:p>
        </w:tc>
        <w:tc>
          <w:tcPr>
            <w:tcW w:w="0" w:type="auto"/>
            <w:tcBorders>
              <w:top w:val="nil"/>
              <w:left w:val="nil"/>
              <w:bottom w:val="nil"/>
              <w:right w:val="nil"/>
            </w:tcBorders>
            <w:shd w:val="clear" w:color="auto" w:fill="auto"/>
            <w:noWrap/>
            <w:vAlign w:val="bottom"/>
            <w:hideMark/>
          </w:tcPr>
          <w:p w14:paraId="37064CA9" w14:textId="77777777" w:rsidR="004D716C" w:rsidRPr="006B42D6" w:rsidRDefault="004D716C" w:rsidP="00216F13">
            <w:pPr>
              <w:jc w:val="right"/>
              <w:rPr>
                <w:sz w:val="20"/>
                <w:szCs w:val="20"/>
              </w:rPr>
            </w:pPr>
            <w:r w:rsidRPr="006B42D6">
              <w:rPr>
                <w:sz w:val="20"/>
                <w:szCs w:val="20"/>
              </w:rPr>
              <w:t>75,527</w:t>
            </w:r>
          </w:p>
        </w:tc>
        <w:tc>
          <w:tcPr>
            <w:tcW w:w="0" w:type="auto"/>
            <w:tcBorders>
              <w:top w:val="nil"/>
              <w:left w:val="nil"/>
              <w:bottom w:val="nil"/>
              <w:right w:val="nil"/>
            </w:tcBorders>
            <w:shd w:val="clear" w:color="auto" w:fill="auto"/>
            <w:noWrap/>
            <w:vAlign w:val="bottom"/>
            <w:hideMark/>
          </w:tcPr>
          <w:p w14:paraId="07B7AF50" w14:textId="77777777" w:rsidR="004D716C" w:rsidRPr="006B42D6" w:rsidRDefault="004D716C" w:rsidP="00216F13">
            <w:pPr>
              <w:jc w:val="right"/>
              <w:rPr>
                <w:sz w:val="20"/>
                <w:szCs w:val="20"/>
              </w:rPr>
            </w:pPr>
            <w:r w:rsidRPr="006B42D6">
              <w:rPr>
                <w:sz w:val="20"/>
                <w:szCs w:val="20"/>
              </w:rPr>
              <w:t>67,706</w:t>
            </w:r>
          </w:p>
        </w:tc>
        <w:tc>
          <w:tcPr>
            <w:tcW w:w="0" w:type="auto"/>
            <w:tcBorders>
              <w:top w:val="nil"/>
              <w:left w:val="nil"/>
              <w:bottom w:val="nil"/>
              <w:right w:val="nil"/>
            </w:tcBorders>
            <w:shd w:val="clear" w:color="auto" w:fill="auto"/>
            <w:noWrap/>
            <w:vAlign w:val="bottom"/>
            <w:hideMark/>
          </w:tcPr>
          <w:p w14:paraId="2CCD4138" w14:textId="77777777" w:rsidR="004D716C" w:rsidRPr="006B42D6" w:rsidRDefault="004D716C" w:rsidP="00216F13">
            <w:pPr>
              <w:jc w:val="right"/>
              <w:rPr>
                <w:sz w:val="20"/>
                <w:szCs w:val="20"/>
              </w:rPr>
            </w:pPr>
            <w:r w:rsidRPr="006B42D6">
              <w:rPr>
                <w:sz w:val="20"/>
                <w:szCs w:val="20"/>
              </w:rPr>
              <w:t>0.9</w:t>
            </w:r>
          </w:p>
        </w:tc>
      </w:tr>
      <w:tr w:rsidR="004D716C" w:rsidRPr="006B42D6" w14:paraId="26B85D1D" w14:textId="77777777" w:rsidTr="00216F13">
        <w:trPr>
          <w:trHeight w:val="57"/>
        </w:trPr>
        <w:tc>
          <w:tcPr>
            <w:tcW w:w="0" w:type="auto"/>
            <w:tcBorders>
              <w:top w:val="nil"/>
              <w:left w:val="nil"/>
              <w:bottom w:val="nil"/>
            </w:tcBorders>
            <w:shd w:val="clear" w:color="auto" w:fill="auto"/>
            <w:noWrap/>
            <w:vAlign w:val="bottom"/>
            <w:hideMark/>
          </w:tcPr>
          <w:p w14:paraId="494AA39D" w14:textId="77777777" w:rsidR="004D716C" w:rsidRPr="006B42D6" w:rsidRDefault="004D716C" w:rsidP="00216F13">
            <w:pPr>
              <w:rPr>
                <w:sz w:val="20"/>
                <w:szCs w:val="20"/>
              </w:rPr>
            </w:pPr>
            <w:r w:rsidRPr="006B42D6">
              <w:rPr>
                <w:sz w:val="20"/>
                <w:szCs w:val="20"/>
              </w:rPr>
              <w:t>Tabora</w:t>
            </w:r>
          </w:p>
        </w:tc>
        <w:tc>
          <w:tcPr>
            <w:tcW w:w="0" w:type="auto"/>
            <w:tcBorders>
              <w:top w:val="nil"/>
              <w:bottom w:val="nil"/>
              <w:right w:val="nil"/>
            </w:tcBorders>
            <w:shd w:val="clear" w:color="auto" w:fill="auto"/>
            <w:noWrap/>
            <w:vAlign w:val="bottom"/>
            <w:hideMark/>
          </w:tcPr>
          <w:p w14:paraId="4F73A702" w14:textId="77777777" w:rsidR="004D716C" w:rsidRPr="006B42D6" w:rsidRDefault="004D716C" w:rsidP="00216F13">
            <w:pPr>
              <w:jc w:val="right"/>
              <w:rPr>
                <w:sz w:val="20"/>
                <w:szCs w:val="20"/>
              </w:rPr>
            </w:pPr>
            <w:r w:rsidRPr="006B42D6">
              <w:rPr>
                <w:sz w:val="20"/>
                <w:szCs w:val="20"/>
              </w:rPr>
              <w:t>21,228</w:t>
            </w:r>
          </w:p>
        </w:tc>
        <w:tc>
          <w:tcPr>
            <w:tcW w:w="0" w:type="auto"/>
            <w:tcBorders>
              <w:top w:val="nil"/>
              <w:left w:val="nil"/>
              <w:bottom w:val="nil"/>
              <w:right w:val="nil"/>
            </w:tcBorders>
            <w:shd w:val="clear" w:color="auto" w:fill="auto"/>
            <w:noWrap/>
            <w:vAlign w:val="bottom"/>
            <w:hideMark/>
          </w:tcPr>
          <w:p w14:paraId="22DAE3ED" w14:textId="77777777" w:rsidR="004D716C" w:rsidRPr="006B42D6" w:rsidRDefault="004D716C" w:rsidP="00216F13">
            <w:pPr>
              <w:jc w:val="right"/>
              <w:rPr>
                <w:sz w:val="20"/>
                <w:szCs w:val="20"/>
              </w:rPr>
            </w:pPr>
            <w:r w:rsidRPr="006B42D6">
              <w:rPr>
                <w:sz w:val="20"/>
                <w:szCs w:val="20"/>
              </w:rPr>
              <w:t>19,619</w:t>
            </w:r>
          </w:p>
        </w:tc>
        <w:tc>
          <w:tcPr>
            <w:tcW w:w="0" w:type="auto"/>
            <w:tcBorders>
              <w:top w:val="nil"/>
              <w:left w:val="nil"/>
              <w:bottom w:val="nil"/>
              <w:right w:val="nil"/>
            </w:tcBorders>
            <w:shd w:val="clear" w:color="auto" w:fill="auto"/>
            <w:noWrap/>
            <w:vAlign w:val="bottom"/>
            <w:hideMark/>
          </w:tcPr>
          <w:p w14:paraId="4266B9AA" w14:textId="77777777" w:rsidR="004D716C" w:rsidRPr="006B42D6" w:rsidRDefault="004D716C" w:rsidP="00216F13">
            <w:pPr>
              <w:jc w:val="right"/>
              <w:rPr>
                <w:sz w:val="20"/>
                <w:szCs w:val="20"/>
              </w:rPr>
            </w:pPr>
            <w:r w:rsidRPr="006B42D6">
              <w:rPr>
                <w:sz w:val="20"/>
                <w:szCs w:val="20"/>
              </w:rPr>
              <w:t>22,153</w:t>
            </w:r>
          </w:p>
        </w:tc>
        <w:tc>
          <w:tcPr>
            <w:tcW w:w="0" w:type="auto"/>
            <w:tcBorders>
              <w:top w:val="nil"/>
              <w:left w:val="nil"/>
              <w:bottom w:val="nil"/>
              <w:right w:val="nil"/>
            </w:tcBorders>
            <w:shd w:val="clear" w:color="auto" w:fill="auto"/>
            <w:noWrap/>
            <w:vAlign w:val="bottom"/>
            <w:hideMark/>
          </w:tcPr>
          <w:p w14:paraId="79ED7BEE" w14:textId="77777777" w:rsidR="004D716C" w:rsidRPr="006B42D6" w:rsidRDefault="004D716C" w:rsidP="00216F13">
            <w:pPr>
              <w:jc w:val="right"/>
              <w:rPr>
                <w:sz w:val="20"/>
                <w:szCs w:val="20"/>
              </w:rPr>
            </w:pPr>
            <w:r w:rsidRPr="006B42D6">
              <w:rPr>
                <w:sz w:val="20"/>
                <w:szCs w:val="20"/>
              </w:rPr>
              <w:t>1.1</w:t>
            </w:r>
          </w:p>
        </w:tc>
      </w:tr>
      <w:tr w:rsidR="004D716C" w:rsidRPr="006B42D6" w14:paraId="3020CADD" w14:textId="77777777" w:rsidTr="00216F13">
        <w:trPr>
          <w:trHeight w:val="57"/>
        </w:trPr>
        <w:tc>
          <w:tcPr>
            <w:tcW w:w="0" w:type="auto"/>
            <w:tcBorders>
              <w:top w:val="nil"/>
              <w:left w:val="nil"/>
              <w:bottom w:val="nil"/>
            </w:tcBorders>
            <w:shd w:val="clear" w:color="auto" w:fill="auto"/>
            <w:noWrap/>
            <w:vAlign w:val="bottom"/>
            <w:hideMark/>
          </w:tcPr>
          <w:p w14:paraId="09D8DA8F" w14:textId="77777777" w:rsidR="004D716C" w:rsidRPr="006B42D6" w:rsidRDefault="004D716C" w:rsidP="00216F13">
            <w:pPr>
              <w:rPr>
                <w:sz w:val="20"/>
                <w:szCs w:val="20"/>
              </w:rPr>
            </w:pPr>
            <w:r w:rsidRPr="006B42D6">
              <w:rPr>
                <w:sz w:val="20"/>
                <w:szCs w:val="20"/>
              </w:rPr>
              <w:t>Rukwa</w:t>
            </w:r>
          </w:p>
        </w:tc>
        <w:tc>
          <w:tcPr>
            <w:tcW w:w="0" w:type="auto"/>
            <w:tcBorders>
              <w:top w:val="nil"/>
              <w:bottom w:val="nil"/>
              <w:right w:val="nil"/>
            </w:tcBorders>
            <w:shd w:val="clear" w:color="auto" w:fill="auto"/>
            <w:noWrap/>
            <w:vAlign w:val="bottom"/>
            <w:hideMark/>
          </w:tcPr>
          <w:p w14:paraId="5F455C31" w14:textId="77777777" w:rsidR="004D716C" w:rsidRPr="006B42D6" w:rsidRDefault="004D716C" w:rsidP="00216F13">
            <w:pPr>
              <w:jc w:val="right"/>
              <w:rPr>
                <w:sz w:val="20"/>
                <w:szCs w:val="20"/>
              </w:rPr>
            </w:pPr>
            <w:r w:rsidRPr="006B42D6">
              <w:rPr>
                <w:sz w:val="20"/>
                <w:szCs w:val="20"/>
              </w:rPr>
              <w:t>28,636</w:t>
            </w:r>
          </w:p>
        </w:tc>
        <w:tc>
          <w:tcPr>
            <w:tcW w:w="0" w:type="auto"/>
            <w:tcBorders>
              <w:top w:val="nil"/>
              <w:left w:val="nil"/>
              <w:bottom w:val="nil"/>
              <w:right w:val="nil"/>
            </w:tcBorders>
            <w:shd w:val="clear" w:color="auto" w:fill="auto"/>
            <w:noWrap/>
            <w:vAlign w:val="bottom"/>
            <w:hideMark/>
          </w:tcPr>
          <w:p w14:paraId="02EE9F24" w14:textId="77777777" w:rsidR="004D716C" w:rsidRPr="006B42D6" w:rsidRDefault="004D716C" w:rsidP="00216F13">
            <w:pPr>
              <w:jc w:val="right"/>
              <w:rPr>
                <w:sz w:val="20"/>
                <w:szCs w:val="20"/>
              </w:rPr>
            </w:pPr>
            <w:r w:rsidRPr="006B42D6">
              <w:rPr>
                <w:sz w:val="20"/>
                <w:szCs w:val="20"/>
              </w:rPr>
              <w:t>26,281</w:t>
            </w:r>
          </w:p>
        </w:tc>
        <w:tc>
          <w:tcPr>
            <w:tcW w:w="0" w:type="auto"/>
            <w:tcBorders>
              <w:top w:val="nil"/>
              <w:left w:val="nil"/>
              <w:bottom w:val="nil"/>
              <w:right w:val="nil"/>
            </w:tcBorders>
            <w:shd w:val="clear" w:color="auto" w:fill="auto"/>
            <w:noWrap/>
            <w:vAlign w:val="bottom"/>
            <w:hideMark/>
          </w:tcPr>
          <w:p w14:paraId="175BEBAB" w14:textId="77777777" w:rsidR="004D716C" w:rsidRPr="006B42D6" w:rsidRDefault="004D716C" w:rsidP="00216F13">
            <w:pPr>
              <w:jc w:val="right"/>
              <w:rPr>
                <w:sz w:val="20"/>
                <w:szCs w:val="20"/>
              </w:rPr>
            </w:pPr>
            <w:r w:rsidRPr="006B42D6">
              <w:rPr>
                <w:sz w:val="20"/>
                <w:szCs w:val="20"/>
              </w:rPr>
              <w:t>24,716</w:t>
            </w:r>
          </w:p>
        </w:tc>
        <w:tc>
          <w:tcPr>
            <w:tcW w:w="0" w:type="auto"/>
            <w:tcBorders>
              <w:top w:val="nil"/>
              <w:left w:val="nil"/>
              <w:bottom w:val="nil"/>
              <w:right w:val="nil"/>
            </w:tcBorders>
            <w:shd w:val="clear" w:color="auto" w:fill="auto"/>
            <w:noWrap/>
            <w:vAlign w:val="bottom"/>
            <w:hideMark/>
          </w:tcPr>
          <w:p w14:paraId="3C6CAC75" w14:textId="77777777" w:rsidR="004D716C" w:rsidRPr="006B42D6" w:rsidRDefault="004D716C" w:rsidP="00216F13">
            <w:pPr>
              <w:jc w:val="right"/>
              <w:rPr>
                <w:sz w:val="20"/>
                <w:szCs w:val="20"/>
              </w:rPr>
            </w:pPr>
            <w:r w:rsidRPr="006B42D6">
              <w:rPr>
                <w:sz w:val="20"/>
                <w:szCs w:val="20"/>
              </w:rPr>
              <w:t>0.9</w:t>
            </w:r>
          </w:p>
        </w:tc>
      </w:tr>
      <w:tr w:rsidR="004D716C" w:rsidRPr="006B42D6" w14:paraId="27EAB0A5" w14:textId="77777777" w:rsidTr="00216F13">
        <w:trPr>
          <w:trHeight w:val="57"/>
        </w:trPr>
        <w:tc>
          <w:tcPr>
            <w:tcW w:w="0" w:type="auto"/>
            <w:tcBorders>
              <w:top w:val="nil"/>
              <w:left w:val="nil"/>
              <w:bottom w:val="nil"/>
            </w:tcBorders>
            <w:shd w:val="clear" w:color="auto" w:fill="auto"/>
            <w:noWrap/>
            <w:vAlign w:val="bottom"/>
            <w:hideMark/>
          </w:tcPr>
          <w:p w14:paraId="75134943" w14:textId="77777777" w:rsidR="004D716C" w:rsidRPr="006B42D6" w:rsidRDefault="004D716C" w:rsidP="00216F13">
            <w:pPr>
              <w:rPr>
                <w:sz w:val="20"/>
                <w:szCs w:val="20"/>
              </w:rPr>
            </w:pPr>
            <w:r w:rsidRPr="006B42D6">
              <w:rPr>
                <w:sz w:val="20"/>
                <w:szCs w:val="20"/>
              </w:rPr>
              <w:t>Kigoma</w:t>
            </w:r>
          </w:p>
        </w:tc>
        <w:tc>
          <w:tcPr>
            <w:tcW w:w="0" w:type="auto"/>
            <w:tcBorders>
              <w:top w:val="nil"/>
              <w:bottom w:val="nil"/>
              <w:right w:val="nil"/>
            </w:tcBorders>
            <w:shd w:val="clear" w:color="auto" w:fill="auto"/>
            <w:noWrap/>
            <w:vAlign w:val="bottom"/>
            <w:hideMark/>
          </w:tcPr>
          <w:p w14:paraId="7FEE8C64" w14:textId="77777777" w:rsidR="004D716C" w:rsidRPr="006B42D6" w:rsidRDefault="004D716C" w:rsidP="00216F13">
            <w:pPr>
              <w:jc w:val="right"/>
              <w:rPr>
                <w:sz w:val="20"/>
                <w:szCs w:val="20"/>
              </w:rPr>
            </w:pPr>
            <w:r w:rsidRPr="006B42D6">
              <w:rPr>
                <w:sz w:val="20"/>
                <w:szCs w:val="20"/>
              </w:rPr>
              <w:t>645</w:t>
            </w:r>
          </w:p>
        </w:tc>
        <w:tc>
          <w:tcPr>
            <w:tcW w:w="0" w:type="auto"/>
            <w:tcBorders>
              <w:top w:val="nil"/>
              <w:left w:val="nil"/>
              <w:bottom w:val="nil"/>
              <w:right w:val="nil"/>
            </w:tcBorders>
            <w:shd w:val="clear" w:color="auto" w:fill="auto"/>
            <w:noWrap/>
            <w:vAlign w:val="bottom"/>
            <w:hideMark/>
          </w:tcPr>
          <w:p w14:paraId="7D8CDEAC" w14:textId="77777777" w:rsidR="004D716C" w:rsidRPr="006B42D6" w:rsidRDefault="004D716C" w:rsidP="00216F13">
            <w:pPr>
              <w:jc w:val="right"/>
              <w:rPr>
                <w:sz w:val="20"/>
                <w:szCs w:val="20"/>
              </w:rPr>
            </w:pPr>
            <w:r w:rsidRPr="006B42D6">
              <w:rPr>
                <w:sz w:val="20"/>
                <w:szCs w:val="20"/>
              </w:rPr>
              <w:t>645</w:t>
            </w:r>
          </w:p>
        </w:tc>
        <w:tc>
          <w:tcPr>
            <w:tcW w:w="0" w:type="auto"/>
            <w:tcBorders>
              <w:top w:val="nil"/>
              <w:left w:val="nil"/>
              <w:bottom w:val="nil"/>
              <w:right w:val="nil"/>
            </w:tcBorders>
            <w:shd w:val="clear" w:color="auto" w:fill="auto"/>
            <w:noWrap/>
            <w:vAlign w:val="bottom"/>
            <w:hideMark/>
          </w:tcPr>
          <w:p w14:paraId="2047608D" w14:textId="77777777" w:rsidR="004D716C" w:rsidRPr="006B42D6" w:rsidRDefault="004D716C" w:rsidP="00216F13">
            <w:pPr>
              <w:jc w:val="right"/>
              <w:rPr>
                <w:sz w:val="20"/>
                <w:szCs w:val="20"/>
              </w:rPr>
            </w:pPr>
            <w:r w:rsidRPr="006B42D6">
              <w:rPr>
                <w:sz w:val="20"/>
                <w:szCs w:val="20"/>
              </w:rPr>
              <w:t>794</w:t>
            </w:r>
          </w:p>
        </w:tc>
        <w:tc>
          <w:tcPr>
            <w:tcW w:w="0" w:type="auto"/>
            <w:tcBorders>
              <w:top w:val="nil"/>
              <w:left w:val="nil"/>
              <w:bottom w:val="nil"/>
              <w:right w:val="nil"/>
            </w:tcBorders>
            <w:shd w:val="clear" w:color="auto" w:fill="auto"/>
            <w:noWrap/>
            <w:vAlign w:val="bottom"/>
            <w:hideMark/>
          </w:tcPr>
          <w:p w14:paraId="6D4FC2A2" w14:textId="77777777" w:rsidR="004D716C" w:rsidRPr="006B42D6" w:rsidRDefault="004D716C" w:rsidP="00216F13">
            <w:pPr>
              <w:jc w:val="right"/>
              <w:rPr>
                <w:sz w:val="20"/>
                <w:szCs w:val="20"/>
              </w:rPr>
            </w:pPr>
            <w:r w:rsidRPr="006B42D6">
              <w:rPr>
                <w:sz w:val="20"/>
                <w:szCs w:val="20"/>
              </w:rPr>
              <w:t>1.2</w:t>
            </w:r>
          </w:p>
        </w:tc>
      </w:tr>
      <w:tr w:rsidR="004D716C" w:rsidRPr="006B42D6" w14:paraId="6D02CB07" w14:textId="77777777" w:rsidTr="00216F13">
        <w:trPr>
          <w:trHeight w:val="57"/>
        </w:trPr>
        <w:tc>
          <w:tcPr>
            <w:tcW w:w="0" w:type="auto"/>
            <w:tcBorders>
              <w:top w:val="nil"/>
              <w:left w:val="nil"/>
              <w:bottom w:val="nil"/>
            </w:tcBorders>
            <w:shd w:val="clear" w:color="auto" w:fill="auto"/>
            <w:noWrap/>
            <w:vAlign w:val="bottom"/>
            <w:hideMark/>
          </w:tcPr>
          <w:p w14:paraId="71878414" w14:textId="77777777" w:rsidR="004D716C" w:rsidRPr="006B42D6" w:rsidRDefault="004D716C" w:rsidP="00216F13">
            <w:pPr>
              <w:rPr>
                <w:sz w:val="20"/>
                <w:szCs w:val="20"/>
              </w:rPr>
            </w:pPr>
            <w:r w:rsidRPr="006B42D6">
              <w:rPr>
                <w:sz w:val="20"/>
                <w:szCs w:val="20"/>
              </w:rPr>
              <w:t>Shinyanga</w:t>
            </w:r>
          </w:p>
        </w:tc>
        <w:tc>
          <w:tcPr>
            <w:tcW w:w="0" w:type="auto"/>
            <w:tcBorders>
              <w:top w:val="nil"/>
              <w:bottom w:val="nil"/>
              <w:right w:val="nil"/>
            </w:tcBorders>
            <w:shd w:val="clear" w:color="auto" w:fill="auto"/>
            <w:noWrap/>
            <w:vAlign w:val="bottom"/>
            <w:hideMark/>
          </w:tcPr>
          <w:p w14:paraId="76E2E0CF" w14:textId="77777777" w:rsidR="004D716C" w:rsidRPr="006B42D6" w:rsidRDefault="004D716C" w:rsidP="00216F13">
            <w:pPr>
              <w:jc w:val="right"/>
              <w:rPr>
                <w:sz w:val="20"/>
                <w:szCs w:val="20"/>
              </w:rPr>
            </w:pPr>
            <w:r w:rsidRPr="006B42D6">
              <w:rPr>
                <w:sz w:val="20"/>
                <w:szCs w:val="20"/>
              </w:rPr>
              <w:t>4,594</w:t>
            </w:r>
          </w:p>
        </w:tc>
        <w:tc>
          <w:tcPr>
            <w:tcW w:w="0" w:type="auto"/>
            <w:tcBorders>
              <w:top w:val="nil"/>
              <w:left w:val="nil"/>
              <w:bottom w:val="nil"/>
              <w:right w:val="nil"/>
            </w:tcBorders>
            <w:shd w:val="clear" w:color="auto" w:fill="auto"/>
            <w:noWrap/>
            <w:vAlign w:val="bottom"/>
            <w:hideMark/>
          </w:tcPr>
          <w:p w14:paraId="78D7549D" w14:textId="77777777" w:rsidR="004D716C" w:rsidRPr="006B42D6" w:rsidRDefault="004D716C" w:rsidP="00216F13">
            <w:pPr>
              <w:jc w:val="right"/>
              <w:rPr>
                <w:sz w:val="20"/>
                <w:szCs w:val="20"/>
              </w:rPr>
            </w:pPr>
            <w:r w:rsidRPr="006B42D6">
              <w:rPr>
                <w:sz w:val="20"/>
                <w:szCs w:val="20"/>
              </w:rPr>
              <w:t>3,658</w:t>
            </w:r>
          </w:p>
        </w:tc>
        <w:tc>
          <w:tcPr>
            <w:tcW w:w="0" w:type="auto"/>
            <w:tcBorders>
              <w:top w:val="nil"/>
              <w:left w:val="nil"/>
              <w:bottom w:val="nil"/>
              <w:right w:val="nil"/>
            </w:tcBorders>
            <w:shd w:val="clear" w:color="auto" w:fill="auto"/>
            <w:noWrap/>
            <w:vAlign w:val="bottom"/>
            <w:hideMark/>
          </w:tcPr>
          <w:p w14:paraId="77D60F21" w14:textId="77777777" w:rsidR="004D716C" w:rsidRPr="006B42D6" w:rsidRDefault="004D716C" w:rsidP="00216F13">
            <w:pPr>
              <w:jc w:val="right"/>
              <w:rPr>
                <w:sz w:val="20"/>
                <w:szCs w:val="20"/>
              </w:rPr>
            </w:pPr>
            <w:r w:rsidRPr="006B42D6">
              <w:rPr>
                <w:sz w:val="20"/>
                <w:szCs w:val="20"/>
              </w:rPr>
              <w:t>3,442</w:t>
            </w:r>
          </w:p>
        </w:tc>
        <w:tc>
          <w:tcPr>
            <w:tcW w:w="0" w:type="auto"/>
            <w:tcBorders>
              <w:top w:val="nil"/>
              <w:left w:val="nil"/>
              <w:bottom w:val="nil"/>
              <w:right w:val="nil"/>
            </w:tcBorders>
            <w:shd w:val="clear" w:color="auto" w:fill="auto"/>
            <w:noWrap/>
            <w:vAlign w:val="bottom"/>
            <w:hideMark/>
          </w:tcPr>
          <w:p w14:paraId="6A0F6E2E" w14:textId="77777777" w:rsidR="004D716C" w:rsidRPr="006B42D6" w:rsidRDefault="004D716C" w:rsidP="00216F13">
            <w:pPr>
              <w:jc w:val="right"/>
              <w:rPr>
                <w:sz w:val="20"/>
                <w:szCs w:val="20"/>
              </w:rPr>
            </w:pPr>
            <w:r w:rsidRPr="006B42D6">
              <w:rPr>
                <w:sz w:val="20"/>
                <w:szCs w:val="20"/>
              </w:rPr>
              <w:t>0.9</w:t>
            </w:r>
          </w:p>
        </w:tc>
      </w:tr>
      <w:tr w:rsidR="004D716C" w:rsidRPr="006B42D6" w14:paraId="769D1716" w14:textId="77777777" w:rsidTr="00216F13">
        <w:trPr>
          <w:trHeight w:val="57"/>
        </w:trPr>
        <w:tc>
          <w:tcPr>
            <w:tcW w:w="0" w:type="auto"/>
            <w:tcBorders>
              <w:top w:val="nil"/>
              <w:left w:val="nil"/>
              <w:bottom w:val="nil"/>
            </w:tcBorders>
            <w:shd w:val="clear" w:color="auto" w:fill="auto"/>
            <w:noWrap/>
            <w:vAlign w:val="bottom"/>
            <w:hideMark/>
          </w:tcPr>
          <w:p w14:paraId="1F33B019" w14:textId="77777777" w:rsidR="004D716C" w:rsidRPr="006B42D6" w:rsidRDefault="004D716C" w:rsidP="00216F13">
            <w:pPr>
              <w:rPr>
                <w:sz w:val="20"/>
                <w:szCs w:val="20"/>
              </w:rPr>
            </w:pPr>
            <w:r w:rsidRPr="006B42D6">
              <w:rPr>
                <w:sz w:val="20"/>
                <w:szCs w:val="20"/>
              </w:rPr>
              <w:t>Kagera</w:t>
            </w:r>
          </w:p>
        </w:tc>
        <w:tc>
          <w:tcPr>
            <w:tcW w:w="0" w:type="auto"/>
            <w:tcBorders>
              <w:top w:val="nil"/>
              <w:bottom w:val="nil"/>
              <w:right w:val="nil"/>
            </w:tcBorders>
            <w:shd w:val="clear" w:color="auto" w:fill="auto"/>
            <w:noWrap/>
            <w:vAlign w:val="bottom"/>
            <w:hideMark/>
          </w:tcPr>
          <w:p w14:paraId="1CF77FEF" w14:textId="77777777" w:rsidR="004D716C" w:rsidRPr="006B42D6" w:rsidRDefault="004D716C" w:rsidP="00216F13">
            <w:pPr>
              <w:jc w:val="right"/>
              <w:rPr>
                <w:sz w:val="20"/>
                <w:szCs w:val="20"/>
              </w:rPr>
            </w:pPr>
            <w:r w:rsidRPr="006B42D6">
              <w:rPr>
                <w:sz w:val="20"/>
                <w:szCs w:val="20"/>
              </w:rPr>
              <w:t>1,885</w:t>
            </w:r>
          </w:p>
        </w:tc>
        <w:tc>
          <w:tcPr>
            <w:tcW w:w="0" w:type="auto"/>
            <w:tcBorders>
              <w:top w:val="nil"/>
              <w:left w:val="nil"/>
              <w:bottom w:val="nil"/>
              <w:right w:val="nil"/>
            </w:tcBorders>
            <w:shd w:val="clear" w:color="auto" w:fill="auto"/>
            <w:noWrap/>
            <w:vAlign w:val="bottom"/>
            <w:hideMark/>
          </w:tcPr>
          <w:p w14:paraId="5DF3A6EC" w14:textId="77777777" w:rsidR="004D716C" w:rsidRPr="006B42D6" w:rsidRDefault="004D716C" w:rsidP="00216F13">
            <w:pPr>
              <w:jc w:val="right"/>
              <w:rPr>
                <w:sz w:val="20"/>
                <w:szCs w:val="20"/>
              </w:rPr>
            </w:pPr>
            <w:r w:rsidRPr="006B42D6">
              <w:rPr>
                <w:sz w:val="20"/>
                <w:szCs w:val="20"/>
              </w:rPr>
              <w:t>1,677</w:t>
            </w:r>
          </w:p>
        </w:tc>
        <w:tc>
          <w:tcPr>
            <w:tcW w:w="0" w:type="auto"/>
            <w:tcBorders>
              <w:top w:val="nil"/>
              <w:left w:val="nil"/>
              <w:bottom w:val="nil"/>
              <w:right w:val="nil"/>
            </w:tcBorders>
            <w:shd w:val="clear" w:color="auto" w:fill="auto"/>
            <w:noWrap/>
            <w:vAlign w:val="bottom"/>
            <w:hideMark/>
          </w:tcPr>
          <w:p w14:paraId="6757A74A" w14:textId="77777777" w:rsidR="004D716C" w:rsidRPr="006B42D6" w:rsidRDefault="004D716C" w:rsidP="00216F13">
            <w:pPr>
              <w:jc w:val="right"/>
              <w:rPr>
                <w:sz w:val="20"/>
                <w:szCs w:val="20"/>
              </w:rPr>
            </w:pPr>
            <w:r w:rsidRPr="006B42D6">
              <w:rPr>
                <w:sz w:val="20"/>
                <w:szCs w:val="20"/>
              </w:rPr>
              <w:t>2,948</w:t>
            </w:r>
          </w:p>
        </w:tc>
        <w:tc>
          <w:tcPr>
            <w:tcW w:w="0" w:type="auto"/>
            <w:tcBorders>
              <w:top w:val="nil"/>
              <w:left w:val="nil"/>
              <w:bottom w:val="nil"/>
              <w:right w:val="nil"/>
            </w:tcBorders>
            <w:shd w:val="clear" w:color="auto" w:fill="auto"/>
            <w:noWrap/>
            <w:vAlign w:val="bottom"/>
            <w:hideMark/>
          </w:tcPr>
          <w:p w14:paraId="28B9AFE1" w14:textId="77777777" w:rsidR="004D716C" w:rsidRPr="006B42D6" w:rsidRDefault="004D716C" w:rsidP="00216F13">
            <w:pPr>
              <w:jc w:val="right"/>
              <w:rPr>
                <w:sz w:val="20"/>
                <w:szCs w:val="20"/>
              </w:rPr>
            </w:pPr>
            <w:r w:rsidRPr="006B42D6">
              <w:rPr>
                <w:sz w:val="20"/>
                <w:szCs w:val="20"/>
              </w:rPr>
              <w:t>1.8</w:t>
            </w:r>
          </w:p>
        </w:tc>
      </w:tr>
      <w:tr w:rsidR="004D716C" w:rsidRPr="006B42D6" w14:paraId="62726DA2" w14:textId="77777777" w:rsidTr="00216F13">
        <w:trPr>
          <w:trHeight w:val="57"/>
        </w:trPr>
        <w:tc>
          <w:tcPr>
            <w:tcW w:w="0" w:type="auto"/>
            <w:tcBorders>
              <w:top w:val="nil"/>
              <w:left w:val="nil"/>
              <w:bottom w:val="nil"/>
            </w:tcBorders>
            <w:shd w:val="clear" w:color="auto" w:fill="auto"/>
            <w:noWrap/>
            <w:vAlign w:val="bottom"/>
            <w:hideMark/>
          </w:tcPr>
          <w:p w14:paraId="038BAAB8" w14:textId="77777777" w:rsidR="004D716C" w:rsidRPr="006B42D6" w:rsidRDefault="004D716C" w:rsidP="00216F13">
            <w:pPr>
              <w:rPr>
                <w:sz w:val="20"/>
                <w:szCs w:val="20"/>
              </w:rPr>
            </w:pPr>
            <w:r w:rsidRPr="006B42D6">
              <w:rPr>
                <w:sz w:val="20"/>
                <w:szCs w:val="20"/>
              </w:rPr>
              <w:t>Mwanza</w:t>
            </w:r>
          </w:p>
        </w:tc>
        <w:tc>
          <w:tcPr>
            <w:tcW w:w="0" w:type="auto"/>
            <w:tcBorders>
              <w:top w:val="nil"/>
              <w:bottom w:val="nil"/>
              <w:right w:val="nil"/>
            </w:tcBorders>
            <w:shd w:val="clear" w:color="auto" w:fill="auto"/>
            <w:noWrap/>
            <w:vAlign w:val="bottom"/>
            <w:hideMark/>
          </w:tcPr>
          <w:p w14:paraId="202114E9" w14:textId="77777777" w:rsidR="004D716C" w:rsidRPr="006B42D6" w:rsidRDefault="004D716C" w:rsidP="00216F13">
            <w:pPr>
              <w:jc w:val="right"/>
              <w:rPr>
                <w:sz w:val="20"/>
                <w:szCs w:val="20"/>
              </w:rPr>
            </w:pPr>
            <w:r w:rsidRPr="006B42D6">
              <w:rPr>
                <w:sz w:val="20"/>
                <w:szCs w:val="20"/>
              </w:rPr>
              <w:t>2,246</w:t>
            </w:r>
          </w:p>
        </w:tc>
        <w:tc>
          <w:tcPr>
            <w:tcW w:w="0" w:type="auto"/>
            <w:tcBorders>
              <w:top w:val="nil"/>
              <w:left w:val="nil"/>
              <w:bottom w:val="nil"/>
              <w:right w:val="nil"/>
            </w:tcBorders>
            <w:shd w:val="clear" w:color="auto" w:fill="auto"/>
            <w:noWrap/>
            <w:vAlign w:val="bottom"/>
            <w:hideMark/>
          </w:tcPr>
          <w:p w14:paraId="302BEDBC" w14:textId="77777777" w:rsidR="004D716C" w:rsidRPr="006B42D6" w:rsidRDefault="004D716C" w:rsidP="00216F13">
            <w:pPr>
              <w:jc w:val="right"/>
              <w:rPr>
                <w:sz w:val="20"/>
                <w:szCs w:val="20"/>
              </w:rPr>
            </w:pPr>
            <w:r w:rsidRPr="006B42D6">
              <w:rPr>
                <w:sz w:val="20"/>
                <w:szCs w:val="20"/>
              </w:rPr>
              <w:t>2,116</w:t>
            </w:r>
          </w:p>
        </w:tc>
        <w:tc>
          <w:tcPr>
            <w:tcW w:w="0" w:type="auto"/>
            <w:tcBorders>
              <w:top w:val="nil"/>
              <w:left w:val="nil"/>
              <w:bottom w:val="nil"/>
              <w:right w:val="nil"/>
            </w:tcBorders>
            <w:shd w:val="clear" w:color="auto" w:fill="auto"/>
            <w:noWrap/>
            <w:vAlign w:val="bottom"/>
            <w:hideMark/>
          </w:tcPr>
          <w:p w14:paraId="204C1CE4" w14:textId="77777777" w:rsidR="004D716C" w:rsidRPr="006B42D6" w:rsidRDefault="004D716C" w:rsidP="00216F13">
            <w:pPr>
              <w:jc w:val="right"/>
              <w:rPr>
                <w:sz w:val="20"/>
                <w:szCs w:val="20"/>
              </w:rPr>
            </w:pPr>
            <w:r w:rsidRPr="006B42D6">
              <w:rPr>
                <w:sz w:val="20"/>
                <w:szCs w:val="20"/>
              </w:rPr>
              <w:t>2,699</w:t>
            </w:r>
          </w:p>
        </w:tc>
        <w:tc>
          <w:tcPr>
            <w:tcW w:w="0" w:type="auto"/>
            <w:tcBorders>
              <w:top w:val="nil"/>
              <w:left w:val="nil"/>
              <w:bottom w:val="nil"/>
              <w:right w:val="nil"/>
            </w:tcBorders>
            <w:shd w:val="clear" w:color="auto" w:fill="auto"/>
            <w:noWrap/>
            <w:vAlign w:val="bottom"/>
            <w:hideMark/>
          </w:tcPr>
          <w:p w14:paraId="22FD1745" w14:textId="77777777" w:rsidR="004D716C" w:rsidRPr="006B42D6" w:rsidRDefault="004D716C" w:rsidP="00216F13">
            <w:pPr>
              <w:jc w:val="right"/>
              <w:rPr>
                <w:sz w:val="20"/>
                <w:szCs w:val="20"/>
              </w:rPr>
            </w:pPr>
            <w:r w:rsidRPr="006B42D6">
              <w:rPr>
                <w:sz w:val="20"/>
                <w:szCs w:val="20"/>
              </w:rPr>
              <w:t>1.3</w:t>
            </w:r>
          </w:p>
        </w:tc>
      </w:tr>
      <w:tr w:rsidR="004D716C" w:rsidRPr="006B42D6" w14:paraId="2D77F381" w14:textId="77777777" w:rsidTr="00216F13">
        <w:trPr>
          <w:trHeight w:val="57"/>
        </w:trPr>
        <w:tc>
          <w:tcPr>
            <w:tcW w:w="0" w:type="auto"/>
            <w:tcBorders>
              <w:top w:val="nil"/>
              <w:left w:val="nil"/>
              <w:bottom w:val="nil"/>
            </w:tcBorders>
            <w:shd w:val="clear" w:color="auto" w:fill="auto"/>
            <w:noWrap/>
            <w:vAlign w:val="bottom"/>
            <w:hideMark/>
          </w:tcPr>
          <w:p w14:paraId="5AE4C933" w14:textId="77777777" w:rsidR="004D716C" w:rsidRPr="006B42D6" w:rsidRDefault="004D716C" w:rsidP="00216F13">
            <w:pPr>
              <w:rPr>
                <w:sz w:val="20"/>
                <w:szCs w:val="20"/>
              </w:rPr>
            </w:pPr>
            <w:r w:rsidRPr="006B42D6">
              <w:rPr>
                <w:sz w:val="20"/>
                <w:szCs w:val="20"/>
              </w:rPr>
              <w:t>Mara</w:t>
            </w:r>
          </w:p>
        </w:tc>
        <w:tc>
          <w:tcPr>
            <w:tcW w:w="0" w:type="auto"/>
            <w:tcBorders>
              <w:top w:val="nil"/>
              <w:bottom w:val="nil"/>
              <w:right w:val="nil"/>
            </w:tcBorders>
            <w:shd w:val="clear" w:color="auto" w:fill="auto"/>
            <w:noWrap/>
            <w:vAlign w:val="bottom"/>
            <w:hideMark/>
          </w:tcPr>
          <w:p w14:paraId="16079234" w14:textId="77777777" w:rsidR="004D716C" w:rsidRPr="006B42D6" w:rsidRDefault="004D716C" w:rsidP="00216F13">
            <w:pPr>
              <w:jc w:val="right"/>
              <w:rPr>
                <w:sz w:val="20"/>
                <w:szCs w:val="20"/>
              </w:rPr>
            </w:pPr>
            <w:r w:rsidRPr="006B42D6">
              <w:rPr>
                <w:sz w:val="20"/>
                <w:szCs w:val="20"/>
              </w:rPr>
              <w:t>658</w:t>
            </w:r>
          </w:p>
        </w:tc>
        <w:tc>
          <w:tcPr>
            <w:tcW w:w="0" w:type="auto"/>
            <w:tcBorders>
              <w:top w:val="nil"/>
              <w:left w:val="nil"/>
              <w:bottom w:val="nil"/>
              <w:right w:val="nil"/>
            </w:tcBorders>
            <w:shd w:val="clear" w:color="auto" w:fill="auto"/>
            <w:noWrap/>
            <w:vAlign w:val="bottom"/>
            <w:hideMark/>
          </w:tcPr>
          <w:p w14:paraId="3B80A537" w14:textId="77777777" w:rsidR="004D716C" w:rsidRPr="006B42D6" w:rsidRDefault="004D716C" w:rsidP="00216F13">
            <w:pPr>
              <w:jc w:val="right"/>
              <w:rPr>
                <w:sz w:val="20"/>
                <w:szCs w:val="20"/>
              </w:rPr>
            </w:pPr>
            <w:r w:rsidRPr="006B42D6">
              <w:rPr>
                <w:sz w:val="20"/>
                <w:szCs w:val="20"/>
              </w:rPr>
              <w:t>530</w:t>
            </w:r>
          </w:p>
        </w:tc>
        <w:tc>
          <w:tcPr>
            <w:tcW w:w="0" w:type="auto"/>
            <w:tcBorders>
              <w:top w:val="nil"/>
              <w:left w:val="nil"/>
              <w:bottom w:val="nil"/>
              <w:right w:val="nil"/>
            </w:tcBorders>
            <w:shd w:val="clear" w:color="auto" w:fill="auto"/>
            <w:noWrap/>
            <w:vAlign w:val="bottom"/>
            <w:hideMark/>
          </w:tcPr>
          <w:p w14:paraId="514EFE07" w14:textId="77777777" w:rsidR="004D716C" w:rsidRPr="006B42D6" w:rsidRDefault="004D716C" w:rsidP="00216F13">
            <w:pPr>
              <w:jc w:val="right"/>
              <w:rPr>
                <w:sz w:val="20"/>
                <w:szCs w:val="20"/>
              </w:rPr>
            </w:pPr>
            <w:r w:rsidRPr="006B42D6">
              <w:rPr>
                <w:sz w:val="20"/>
                <w:szCs w:val="20"/>
              </w:rPr>
              <w:t>684</w:t>
            </w:r>
          </w:p>
        </w:tc>
        <w:tc>
          <w:tcPr>
            <w:tcW w:w="0" w:type="auto"/>
            <w:tcBorders>
              <w:top w:val="nil"/>
              <w:left w:val="nil"/>
              <w:bottom w:val="nil"/>
              <w:right w:val="nil"/>
            </w:tcBorders>
            <w:shd w:val="clear" w:color="auto" w:fill="auto"/>
            <w:noWrap/>
            <w:vAlign w:val="bottom"/>
            <w:hideMark/>
          </w:tcPr>
          <w:p w14:paraId="5E744495" w14:textId="77777777" w:rsidR="004D716C" w:rsidRPr="006B42D6" w:rsidRDefault="004D716C" w:rsidP="00216F13">
            <w:pPr>
              <w:jc w:val="right"/>
              <w:rPr>
                <w:sz w:val="20"/>
                <w:szCs w:val="20"/>
              </w:rPr>
            </w:pPr>
            <w:r w:rsidRPr="006B42D6">
              <w:rPr>
                <w:sz w:val="20"/>
                <w:szCs w:val="20"/>
              </w:rPr>
              <w:t>1.3</w:t>
            </w:r>
          </w:p>
        </w:tc>
      </w:tr>
      <w:tr w:rsidR="004D716C" w:rsidRPr="006B42D6" w14:paraId="0E3D8DD0" w14:textId="77777777" w:rsidTr="00216F13">
        <w:trPr>
          <w:trHeight w:val="57"/>
        </w:trPr>
        <w:tc>
          <w:tcPr>
            <w:tcW w:w="0" w:type="auto"/>
            <w:tcBorders>
              <w:top w:val="nil"/>
              <w:left w:val="nil"/>
              <w:bottom w:val="nil"/>
            </w:tcBorders>
            <w:shd w:val="clear" w:color="auto" w:fill="auto"/>
            <w:noWrap/>
            <w:vAlign w:val="bottom"/>
            <w:hideMark/>
          </w:tcPr>
          <w:p w14:paraId="6DC55A80" w14:textId="77777777" w:rsidR="004D716C" w:rsidRPr="006B42D6" w:rsidRDefault="004D716C" w:rsidP="00216F13">
            <w:pPr>
              <w:rPr>
                <w:sz w:val="20"/>
                <w:szCs w:val="20"/>
              </w:rPr>
            </w:pPr>
            <w:r w:rsidRPr="006B42D6">
              <w:rPr>
                <w:sz w:val="20"/>
                <w:szCs w:val="20"/>
              </w:rPr>
              <w:t>Manyara</w:t>
            </w:r>
          </w:p>
        </w:tc>
        <w:tc>
          <w:tcPr>
            <w:tcW w:w="0" w:type="auto"/>
            <w:tcBorders>
              <w:top w:val="nil"/>
              <w:bottom w:val="nil"/>
              <w:right w:val="nil"/>
            </w:tcBorders>
            <w:shd w:val="clear" w:color="auto" w:fill="auto"/>
            <w:noWrap/>
            <w:vAlign w:val="bottom"/>
            <w:hideMark/>
          </w:tcPr>
          <w:p w14:paraId="472DDB02" w14:textId="77777777" w:rsidR="004D716C" w:rsidRPr="006B42D6" w:rsidRDefault="004D716C" w:rsidP="00216F13">
            <w:pPr>
              <w:jc w:val="right"/>
              <w:rPr>
                <w:sz w:val="20"/>
                <w:szCs w:val="20"/>
              </w:rPr>
            </w:pPr>
            <w:r w:rsidRPr="006B42D6">
              <w:rPr>
                <w:sz w:val="20"/>
                <w:szCs w:val="20"/>
              </w:rPr>
              <w:t>57,228</w:t>
            </w:r>
          </w:p>
        </w:tc>
        <w:tc>
          <w:tcPr>
            <w:tcW w:w="0" w:type="auto"/>
            <w:tcBorders>
              <w:top w:val="nil"/>
              <w:left w:val="nil"/>
              <w:bottom w:val="nil"/>
              <w:right w:val="nil"/>
            </w:tcBorders>
            <w:shd w:val="clear" w:color="auto" w:fill="auto"/>
            <w:noWrap/>
            <w:vAlign w:val="bottom"/>
            <w:hideMark/>
          </w:tcPr>
          <w:p w14:paraId="4537B4F7" w14:textId="77777777" w:rsidR="004D716C" w:rsidRPr="006B42D6" w:rsidRDefault="004D716C" w:rsidP="00216F13">
            <w:pPr>
              <w:jc w:val="right"/>
              <w:rPr>
                <w:sz w:val="20"/>
                <w:szCs w:val="20"/>
              </w:rPr>
            </w:pPr>
            <w:r w:rsidRPr="006B42D6">
              <w:rPr>
                <w:sz w:val="20"/>
                <w:szCs w:val="20"/>
              </w:rPr>
              <w:t>53,780</w:t>
            </w:r>
          </w:p>
        </w:tc>
        <w:tc>
          <w:tcPr>
            <w:tcW w:w="0" w:type="auto"/>
            <w:tcBorders>
              <w:top w:val="nil"/>
              <w:left w:val="nil"/>
              <w:bottom w:val="nil"/>
              <w:right w:val="nil"/>
            </w:tcBorders>
            <w:shd w:val="clear" w:color="auto" w:fill="auto"/>
            <w:noWrap/>
            <w:vAlign w:val="bottom"/>
            <w:hideMark/>
          </w:tcPr>
          <w:p w14:paraId="05264E63" w14:textId="77777777" w:rsidR="004D716C" w:rsidRPr="006B42D6" w:rsidRDefault="004D716C" w:rsidP="00216F13">
            <w:pPr>
              <w:jc w:val="right"/>
              <w:rPr>
                <w:sz w:val="20"/>
                <w:szCs w:val="20"/>
              </w:rPr>
            </w:pPr>
            <w:r w:rsidRPr="006B42D6">
              <w:rPr>
                <w:sz w:val="20"/>
                <w:szCs w:val="20"/>
              </w:rPr>
              <w:t>57,722</w:t>
            </w:r>
          </w:p>
        </w:tc>
        <w:tc>
          <w:tcPr>
            <w:tcW w:w="0" w:type="auto"/>
            <w:tcBorders>
              <w:top w:val="nil"/>
              <w:left w:val="nil"/>
              <w:bottom w:val="nil"/>
              <w:right w:val="nil"/>
            </w:tcBorders>
            <w:shd w:val="clear" w:color="auto" w:fill="auto"/>
            <w:noWrap/>
            <w:vAlign w:val="bottom"/>
            <w:hideMark/>
          </w:tcPr>
          <w:p w14:paraId="2999D999" w14:textId="77777777" w:rsidR="004D716C" w:rsidRPr="006B42D6" w:rsidRDefault="004D716C" w:rsidP="00216F13">
            <w:pPr>
              <w:jc w:val="right"/>
              <w:rPr>
                <w:sz w:val="20"/>
                <w:szCs w:val="20"/>
              </w:rPr>
            </w:pPr>
            <w:r w:rsidRPr="006B42D6">
              <w:rPr>
                <w:sz w:val="20"/>
                <w:szCs w:val="20"/>
              </w:rPr>
              <w:t>1.1</w:t>
            </w:r>
          </w:p>
        </w:tc>
      </w:tr>
      <w:tr w:rsidR="004D716C" w:rsidRPr="006B42D6" w14:paraId="323CB0AD" w14:textId="77777777" w:rsidTr="00216F13">
        <w:trPr>
          <w:trHeight w:val="57"/>
        </w:trPr>
        <w:tc>
          <w:tcPr>
            <w:tcW w:w="0" w:type="auto"/>
            <w:tcBorders>
              <w:top w:val="nil"/>
              <w:left w:val="nil"/>
              <w:bottom w:val="nil"/>
            </w:tcBorders>
            <w:shd w:val="clear" w:color="auto" w:fill="auto"/>
            <w:noWrap/>
            <w:vAlign w:val="bottom"/>
            <w:hideMark/>
          </w:tcPr>
          <w:p w14:paraId="6A76261F" w14:textId="77777777" w:rsidR="004D716C" w:rsidRPr="006B42D6" w:rsidRDefault="004D716C" w:rsidP="00216F13">
            <w:pPr>
              <w:rPr>
                <w:sz w:val="20"/>
                <w:szCs w:val="20"/>
              </w:rPr>
            </w:pPr>
            <w:r w:rsidRPr="006B42D6">
              <w:rPr>
                <w:sz w:val="20"/>
                <w:szCs w:val="20"/>
              </w:rPr>
              <w:t>Njombe</w:t>
            </w:r>
          </w:p>
        </w:tc>
        <w:tc>
          <w:tcPr>
            <w:tcW w:w="0" w:type="auto"/>
            <w:tcBorders>
              <w:top w:val="nil"/>
              <w:bottom w:val="nil"/>
              <w:right w:val="nil"/>
            </w:tcBorders>
            <w:shd w:val="clear" w:color="auto" w:fill="auto"/>
            <w:noWrap/>
            <w:vAlign w:val="bottom"/>
            <w:hideMark/>
          </w:tcPr>
          <w:p w14:paraId="51A170FE" w14:textId="77777777" w:rsidR="004D716C" w:rsidRPr="006B42D6" w:rsidRDefault="004D716C" w:rsidP="00216F13">
            <w:pPr>
              <w:jc w:val="right"/>
              <w:rPr>
                <w:sz w:val="20"/>
                <w:szCs w:val="20"/>
              </w:rPr>
            </w:pPr>
            <w:r w:rsidRPr="006B42D6">
              <w:rPr>
                <w:sz w:val="20"/>
                <w:szCs w:val="20"/>
              </w:rPr>
              <w:t>7,026</w:t>
            </w:r>
          </w:p>
        </w:tc>
        <w:tc>
          <w:tcPr>
            <w:tcW w:w="0" w:type="auto"/>
            <w:tcBorders>
              <w:top w:val="nil"/>
              <w:left w:val="nil"/>
              <w:bottom w:val="nil"/>
              <w:right w:val="nil"/>
            </w:tcBorders>
            <w:shd w:val="clear" w:color="auto" w:fill="auto"/>
            <w:noWrap/>
            <w:vAlign w:val="bottom"/>
            <w:hideMark/>
          </w:tcPr>
          <w:p w14:paraId="3978922C" w14:textId="77777777" w:rsidR="004D716C" w:rsidRPr="006B42D6" w:rsidRDefault="004D716C" w:rsidP="00216F13">
            <w:pPr>
              <w:jc w:val="right"/>
              <w:rPr>
                <w:sz w:val="20"/>
                <w:szCs w:val="20"/>
              </w:rPr>
            </w:pPr>
            <w:r w:rsidRPr="006B42D6">
              <w:rPr>
                <w:sz w:val="20"/>
                <w:szCs w:val="20"/>
              </w:rPr>
              <w:t>6,912</w:t>
            </w:r>
          </w:p>
        </w:tc>
        <w:tc>
          <w:tcPr>
            <w:tcW w:w="0" w:type="auto"/>
            <w:tcBorders>
              <w:top w:val="nil"/>
              <w:left w:val="nil"/>
              <w:bottom w:val="nil"/>
              <w:right w:val="nil"/>
            </w:tcBorders>
            <w:shd w:val="clear" w:color="auto" w:fill="auto"/>
            <w:noWrap/>
            <w:vAlign w:val="bottom"/>
            <w:hideMark/>
          </w:tcPr>
          <w:p w14:paraId="618C69EA" w14:textId="77777777" w:rsidR="004D716C" w:rsidRPr="006B42D6" w:rsidRDefault="004D716C" w:rsidP="00216F13">
            <w:pPr>
              <w:jc w:val="right"/>
              <w:rPr>
                <w:sz w:val="20"/>
                <w:szCs w:val="20"/>
              </w:rPr>
            </w:pPr>
            <w:r w:rsidRPr="006B42D6">
              <w:rPr>
                <w:sz w:val="20"/>
                <w:szCs w:val="20"/>
              </w:rPr>
              <w:t>6,171</w:t>
            </w:r>
          </w:p>
        </w:tc>
        <w:tc>
          <w:tcPr>
            <w:tcW w:w="0" w:type="auto"/>
            <w:tcBorders>
              <w:top w:val="nil"/>
              <w:left w:val="nil"/>
              <w:bottom w:val="nil"/>
              <w:right w:val="nil"/>
            </w:tcBorders>
            <w:shd w:val="clear" w:color="auto" w:fill="auto"/>
            <w:noWrap/>
            <w:vAlign w:val="bottom"/>
            <w:hideMark/>
          </w:tcPr>
          <w:p w14:paraId="62C81E3B" w14:textId="77777777" w:rsidR="004D716C" w:rsidRPr="006B42D6" w:rsidRDefault="004D716C" w:rsidP="00216F13">
            <w:pPr>
              <w:jc w:val="right"/>
              <w:rPr>
                <w:sz w:val="20"/>
                <w:szCs w:val="20"/>
              </w:rPr>
            </w:pPr>
            <w:r w:rsidRPr="006B42D6">
              <w:rPr>
                <w:sz w:val="20"/>
                <w:szCs w:val="20"/>
              </w:rPr>
              <w:t>0.9</w:t>
            </w:r>
          </w:p>
        </w:tc>
      </w:tr>
      <w:tr w:rsidR="004D716C" w:rsidRPr="006B42D6" w14:paraId="2A84E22F" w14:textId="77777777" w:rsidTr="00216F13">
        <w:trPr>
          <w:trHeight w:val="57"/>
        </w:trPr>
        <w:tc>
          <w:tcPr>
            <w:tcW w:w="0" w:type="auto"/>
            <w:tcBorders>
              <w:top w:val="nil"/>
              <w:left w:val="nil"/>
              <w:bottom w:val="nil"/>
            </w:tcBorders>
            <w:shd w:val="clear" w:color="auto" w:fill="auto"/>
            <w:noWrap/>
            <w:vAlign w:val="bottom"/>
            <w:hideMark/>
          </w:tcPr>
          <w:p w14:paraId="5D529E42" w14:textId="77777777" w:rsidR="004D716C" w:rsidRPr="006B42D6" w:rsidRDefault="004D716C" w:rsidP="00216F13">
            <w:pPr>
              <w:rPr>
                <w:sz w:val="20"/>
                <w:szCs w:val="20"/>
              </w:rPr>
            </w:pPr>
            <w:r w:rsidRPr="006B42D6">
              <w:rPr>
                <w:sz w:val="20"/>
                <w:szCs w:val="20"/>
              </w:rPr>
              <w:t>Katavi</w:t>
            </w:r>
          </w:p>
        </w:tc>
        <w:tc>
          <w:tcPr>
            <w:tcW w:w="0" w:type="auto"/>
            <w:tcBorders>
              <w:top w:val="nil"/>
              <w:bottom w:val="nil"/>
              <w:right w:val="nil"/>
            </w:tcBorders>
            <w:shd w:val="clear" w:color="auto" w:fill="auto"/>
            <w:noWrap/>
            <w:vAlign w:val="bottom"/>
            <w:hideMark/>
          </w:tcPr>
          <w:p w14:paraId="458E39C5" w14:textId="77777777" w:rsidR="004D716C" w:rsidRPr="006B42D6" w:rsidRDefault="004D716C" w:rsidP="00216F13">
            <w:pPr>
              <w:jc w:val="right"/>
              <w:rPr>
                <w:sz w:val="20"/>
                <w:szCs w:val="20"/>
              </w:rPr>
            </w:pPr>
            <w:r w:rsidRPr="006B42D6">
              <w:rPr>
                <w:sz w:val="20"/>
                <w:szCs w:val="20"/>
              </w:rPr>
              <w:t>1,735</w:t>
            </w:r>
          </w:p>
        </w:tc>
        <w:tc>
          <w:tcPr>
            <w:tcW w:w="0" w:type="auto"/>
            <w:tcBorders>
              <w:top w:val="nil"/>
              <w:left w:val="nil"/>
              <w:bottom w:val="nil"/>
              <w:right w:val="nil"/>
            </w:tcBorders>
            <w:shd w:val="clear" w:color="auto" w:fill="auto"/>
            <w:noWrap/>
            <w:vAlign w:val="bottom"/>
            <w:hideMark/>
          </w:tcPr>
          <w:p w14:paraId="7C4B14B4" w14:textId="77777777" w:rsidR="004D716C" w:rsidRPr="006B42D6" w:rsidRDefault="004D716C" w:rsidP="00216F13">
            <w:pPr>
              <w:jc w:val="right"/>
              <w:rPr>
                <w:sz w:val="20"/>
                <w:szCs w:val="20"/>
              </w:rPr>
            </w:pPr>
            <w:r w:rsidRPr="006B42D6">
              <w:rPr>
                <w:sz w:val="20"/>
                <w:szCs w:val="20"/>
              </w:rPr>
              <w:t>1,542</w:t>
            </w:r>
          </w:p>
        </w:tc>
        <w:tc>
          <w:tcPr>
            <w:tcW w:w="0" w:type="auto"/>
            <w:tcBorders>
              <w:top w:val="nil"/>
              <w:left w:val="nil"/>
              <w:bottom w:val="nil"/>
              <w:right w:val="nil"/>
            </w:tcBorders>
            <w:shd w:val="clear" w:color="auto" w:fill="auto"/>
            <w:noWrap/>
            <w:vAlign w:val="bottom"/>
            <w:hideMark/>
          </w:tcPr>
          <w:p w14:paraId="67662AEF" w14:textId="77777777" w:rsidR="004D716C" w:rsidRPr="006B42D6" w:rsidRDefault="004D716C" w:rsidP="00216F13">
            <w:pPr>
              <w:jc w:val="right"/>
              <w:rPr>
                <w:sz w:val="20"/>
                <w:szCs w:val="20"/>
              </w:rPr>
            </w:pPr>
            <w:r w:rsidRPr="006B42D6">
              <w:rPr>
                <w:sz w:val="20"/>
                <w:szCs w:val="20"/>
              </w:rPr>
              <w:t>1,856</w:t>
            </w:r>
          </w:p>
        </w:tc>
        <w:tc>
          <w:tcPr>
            <w:tcW w:w="0" w:type="auto"/>
            <w:tcBorders>
              <w:top w:val="nil"/>
              <w:left w:val="nil"/>
              <w:bottom w:val="nil"/>
              <w:right w:val="nil"/>
            </w:tcBorders>
            <w:shd w:val="clear" w:color="auto" w:fill="auto"/>
            <w:noWrap/>
            <w:vAlign w:val="bottom"/>
            <w:hideMark/>
          </w:tcPr>
          <w:p w14:paraId="558A023E" w14:textId="77777777" w:rsidR="004D716C" w:rsidRPr="006B42D6" w:rsidRDefault="004D716C" w:rsidP="00216F13">
            <w:pPr>
              <w:jc w:val="right"/>
              <w:rPr>
                <w:sz w:val="20"/>
                <w:szCs w:val="20"/>
              </w:rPr>
            </w:pPr>
            <w:r w:rsidRPr="006B42D6">
              <w:rPr>
                <w:sz w:val="20"/>
                <w:szCs w:val="20"/>
              </w:rPr>
              <w:t>1.2</w:t>
            </w:r>
          </w:p>
        </w:tc>
      </w:tr>
      <w:tr w:rsidR="004D716C" w:rsidRPr="006B42D6" w14:paraId="70A3636A" w14:textId="77777777" w:rsidTr="00216F13">
        <w:trPr>
          <w:trHeight w:val="57"/>
        </w:trPr>
        <w:tc>
          <w:tcPr>
            <w:tcW w:w="0" w:type="auto"/>
            <w:tcBorders>
              <w:top w:val="nil"/>
              <w:left w:val="nil"/>
              <w:bottom w:val="nil"/>
            </w:tcBorders>
            <w:shd w:val="clear" w:color="auto" w:fill="auto"/>
            <w:noWrap/>
            <w:vAlign w:val="bottom"/>
            <w:hideMark/>
          </w:tcPr>
          <w:p w14:paraId="46E600DC" w14:textId="77777777" w:rsidR="004D716C" w:rsidRPr="006B42D6" w:rsidRDefault="004D716C" w:rsidP="00216F13">
            <w:pPr>
              <w:rPr>
                <w:sz w:val="20"/>
                <w:szCs w:val="20"/>
              </w:rPr>
            </w:pPr>
            <w:r w:rsidRPr="006B42D6">
              <w:rPr>
                <w:sz w:val="20"/>
                <w:szCs w:val="20"/>
              </w:rPr>
              <w:t>Simiyu</w:t>
            </w:r>
          </w:p>
        </w:tc>
        <w:tc>
          <w:tcPr>
            <w:tcW w:w="0" w:type="auto"/>
            <w:tcBorders>
              <w:top w:val="nil"/>
              <w:bottom w:val="nil"/>
              <w:right w:val="nil"/>
            </w:tcBorders>
            <w:shd w:val="clear" w:color="auto" w:fill="auto"/>
            <w:noWrap/>
            <w:vAlign w:val="bottom"/>
            <w:hideMark/>
          </w:tcPr>
          <w:p w14:paraId="00BBE552" w14:textId="77777777" w:rsidR="004D716C" w:rsidRPr="006B42D6" w:rsidRDefault="004D716C" w:rsidP="00216F13">
            <w:pPr>
              <w:jc w:val="right"/>
              <w:rPr>
                <w:sz w:val="20"/>
                <w:szCs w:val="20"/>
              </w:rPr>
            </w:pPr>
            <w:r w:rsidRPr="006B42D6">
              <w:rPr>
                <w:sz w:val="20"/>
                <w:szCs w:val="20"/>
              </w:rPr>
              <w:t>7,317</w:t>
            </w:r>
          </w:p>
        </w:tc>
        <w:tc>
          <w:tcPr>
            <w:tcW w:w="0" w:type="auto"/>
            <w:tcBorders>
              <w:top w:val="nil"/>
              <w:left w:val="nil"/>
              <w:bottom w:val="nil"/>
              <w:right w:val="nil"/>
            </w:tcBorders>
            <w:shd w:val="clear" w:color="auto" w:fill="auto"/>
            <w:noWrap/>
            <w:vAlign w:val="bottom"/>
            <w:hideMark/>
          </w:tcPr>
          <w:p w14:paraId="435935C2" w14:textId="77777777" w:rsidR="004D716C" w:rsidRPr="006B42D6" w:rsidRDefault="004D716C" w:rsidP="00216F13">
            <w:pPr>
              <w:jc w:val="right"/>
              <w:rPr>
                <w:sz w:val="20"/>
                <w:szCs w:val="20"/>
              </w:rPr>
            </w:pPr>
            <w:r w:rsidRPr="006B42D6">
              <w:rPr>
                <w:sz w:val="20"/>
                <w:szCs w:val="20"/>
              </w:rPr>
              <w:t>6,581</w:t>
            </w:r>
          </w:p>
        </w:tc>
        <w:tc>
          <w:tcPr>
            <w:tcW w:w="0" w:type="auto"/>
            <w:tcBorders>
              <w:top w:val="nil"/>
              <w:left w:val="nil"/>
              <w:bottom w:val="nil"/>
              <w:right w:val="nil"/>
            </w:tcBorders>
            <w:shd w:val="clear" w:color="auto" w:fill="auto"/>
            <w:noWrap/>
            <w:vAlign w:val="bottom"/>
            <w:hideMark/>
          </w:tcPr>
          <w:p w14:paraId="50702B71" w14:textId="77777777" w:rsidR="004D716C" w:rsidRPr="006B42D6" w:rsidRDefault="004D716C" w:rsidP="00216F13">
            <w:pPr>
              <w:jc w:val="right"/>
              <w:rPr>
                <w:sz w:val="20"/>
                <w:szCs w:val="20"/>
              </w:rPr>
            </w:pPr>
            <w:r w:rsidRPr="006B42D6">
              <w:rPr>
                <w:sz w:val="20"/>
                <w:szCs w:val="20"/>
              </w:rPr>
              <w:t>6,438</w:t>
            </w:r>
          </w:p>
        </w:tc>
        <w:tc>
          <w:tcPr>
            <w:tcW w:w="0" w:type="auto"/>
            <w:tcBorders>
              <w:top w:val="nil"/>
              <w:left w:val="nil"/>
              <w:bottom w:val="nil"/>
              <w:right w:val="nil"/>
            </w:tcBorders>
            <w:shd w:val="clear" w:color="auto" w:fill="auto"/>
            <w:noWrap/>
            <w:vAlign w:val="bottom"/>
            <w:hideMark/>
          </w:tcPr>
          <w:p w14:paraId="7A3F7CCB" w14:textId="77777777" w:rsidR="004D716C" w:rsidRPr="006B42D6" w:rsidRDefault="004D716C" w:rsidP="00216F13">
            <w:pPr>
              <w:jc w:val="right"/>
              <w:rPr>
                <w:sz w:val="20"/>
                <w:szCs w:val="20"/>
              </w:rPr>
            </w:pPr>
            <w:r w:rsidRPr="006B42D6">
              <w:rPr>
                <w:sz w:val="20"/>
                <w:szCs w:val="20"/>
              </w:rPr>
              <w:t>1.0</w:t>
            </w:r>
          </w:p>
        </w:tc>
      </w:tr>
      <w:tr w:rsidR="004D716C" w:rsidRPr="006B42D6" w14:paraId="054F9F16" w14:textId="77777777" w:rsidTr="00216F13">
        <w:trPr>
          <w:trHeight w:val="57"/>
        </w:trPr>
        <w:tc>
          <w:tcPr>
            <w:tcW w:w="0" w:type="auto"/>
            <w:tcBorders>
              <w:top w:val="nil"/>
              <w:left w:val="nil"/>
              <w:bottom w:val="nil"/>
            </w:tcBorders>
            <w:shd w:val="clear" w:color="auto" w:fill="auto"/>
            <w:noWrap/>
            <w:vAlign w:val="bottom"/>
            <w:hideMark/>
          </w:tcPr>
          <w:p w14:paraId="4729DA76" w14:textId="77777777" w:rsidR="004D716C" w:rsidRPr="006B42D6" w:rsidRDefault="004D716C" w:rsidP="00216F13">
            <w:pPr>
              <w:rPr>
                <w:sz w:val="20"/>
                <w:szCs w:val="20"/>
              </w:rPr>
            </w:pPr>
            <w:r w:rsidRPr="006B42D6">
              <w:rPr>
                <w:sz w:val="20"/>
                <w:szCs w:val="20"/>
              </w:rPr>
              <w:t>Geita</w:t>
            </w:r>
          </w:p>
        </w:tc>
        <w:tc>
          <w:tcPr>
            <w:tcW w:w="0" w:type="auto"/>
            <w:tcBorders>
              <w:top w:val="nil"/>
              <w:bottom w:val="nil"/>
              <w:right w:val="nil"/>
            </w:tcBorders>
            <w:shd w:val="clear" w:color="auto" w:fill="auto"/>
            <w:noWrap/>
            <w:vAlign w:val="bottom"/>
            <w:hideMark/>
          </w:tcPr>
          <w:p w14:paraId="2BAEAB92" w14:textId="77777777" w:rsidR="004D716C" w:rsidRPr="006B42D6" w:rsidRDefault="004D716C" w:rsidP="00216F13">
            <w:pPr>
              <w:jc w:val="right"/>
              <w:rPr>
                <w:sz w:val="20"/>
                <w:szCs w:val="20"/>
              </w:rPr>
            </w:pPr>
            <w:r w:rsidRPr="006B42D6">
              <w:rPr>
                <w:sz w:val="20"/>
                <w:szCs w:val="20"/>
              </w:rPr>
              <w:t>2,714</w:t>
            </w:r>
          </w:p>
        </w:tc>
        <w:tc>
          <w:tcPr>
            <w:tcW w:w="0" w:type="auto"/>
            <w:tcBorders>
              <w:top w:val="nil"/>
              <w:left w:val="nil"/>
              <w:bottom w:val="nil"/>
              <w:right w:val="nil"/>
            </w:tcBorders>
            <w:shd w:val="clear" w:color="auto" w:fill="auto"/>
            <w:noWrap/>
            <w:vAlign w:val="bottom"/>
            <w:hideMark/>
          </w:tcPr>
          <w:p w14:paraId="66F8DD8C" w14:textId="77777777" w:rsidR="004D716C" w:rsidRPr="006B42D6" w:rsidRDefault="004D716C" w:rsidP="00216F13">
            <w:pPr>
              <w:jc w:val="right"/>
              <w:rPr>
                <w:sz w:val="20"/>
                <w:szCs w:val="20"/>
              </w:rPr>
            </w:pPr>
            <w:r w:rsidRPr="006B42D6">
              <w:rPr>
                <w:sz w:val="20"/>
                <w:szCs w:val="20"/>
              </w:rPr>
              <w:t>2,625</w:t>
            </w:r>
          </w:p>
        </w:tc>
        <w:tc>
          <w:tcPr>
            <w:tcW w:w="0" w:type="auto"/>
            <w:tcBorders>
              <w:top w:val="nil"/>
              <w:left w:val="nil"/>
              <w:bottom w:val="nil"/>
              <w:right w:val="nil"/>
            </w:tcBorders>
            <w:shd w:val="clear" w:color="auto" w:fill="auto"/>
            <w:noWrap/>
            <w:vAlign w:val="bottom"/>
            <w:hideMark/>
          </w:tcPr>
          <w:p w14:paraId="74583812" w14:textId="77777777" w:rsidR="004D716C" w:rsidRPr="006B42D6" w:rsidRDefault="004D716C" w:rsidP="00216F13">
            <w:pPr>
              <w:jc w:val="right"/>
              <w:rPr>
                <w:sz w:val="20"/>
                <w:szCs w:val="20"/>
              </w:rPr>
            </w:pPr>
            <w:r w:rsidRPr="006B42D6">
              <w:rPr>
                <w:sz w:val="20"/>
                <w:szCs w:val="20"/>
              </w:rPr>
              <w:t>3,071</w:t>
            </w:r>
          </w:p>
        </w:tc>
        <w:tc>
          <w:tcPr>
            <w:tcW w:w="0" w:type="auto"/>
            <w:tcBorders>
              <w:top w:val="nil"/>
              <w:left w:val="nil"/>
              <w:bottom w:val="nil"/>
              <w:right w:val="nil"/>
            </w:tcBorders>
            <w:shd w:val="clear" w:color="auto" w:fill="auto"/>
            <w:noWrap/>
            <w:vAlign w:val="bottom"/>
            <w:hideMark/>
          </w:tcPr>
          <w:p w14:paraId="776C002C" w14:textId="77777777" w:rsidR="004D716C" w:rsidRPr="006B42D6" w:rsidRDefault="004D716C" w:rsidP="00216F13">
            <w:pPr>
              <w:jc w:val="right"/>
              <w:rPr>
                <w:sz w:val="20"/>
                <w:szCs w:val="20"/>
              </w:rPr>
            </w:pPr>
            <w:r w:rsidRPr="006B42D6">
              <w:rPr>
                <w:sz w:val="20"/>
                <w:szCs w:val="20"/>
              </w:rPr>
              <w:t>1.2</w:t>
            </w:r>
          </w:p>
        </w:tc>
      </w:tr>
      <w:tr w:rsidR="004D716C" w:rsidRPr="006B42D6" w14:paraId="310B3620" w14:textId="77777777" w:rsidTr="00216F13">
        <w:trPr>
          <w:trHeight w:val="57"/>
        </w:trPr>
        <w:tc>
          <w:tcPr>
            <w:tcW w:w="0" w:type="auto"/>
            <w:tcBorders>
              <w:top w:val="nil"/>
              <w:left w:val="nil"/>
              <w:bottom w:val="nil"/>
            </w:tcBorders>
            <w:shd w:val="clear" w:color="auto" w:fill="auto"/>
            <w:noWrap/>
            <w:vAlign w:val="bottom"/>
            <w:hideMark/>
          </w:tcPr>
          <w:p w14:paraId="5A96AF49" w14:textId="77777777" w:rsidR="004D716C" w:rsidRPr="006B42D6" w:rsidRDefault="004D716C" w:rsidP="00216F13">
            <w:pPr>
              <w:rPr>
                <w:sz w:val="20"/>
                <w:szCs w:val="20"/>
              </w:rPr>
            </w:pPr>
            <w:r w:rsidRPr="006B42D6">
              <w:rPr>
                <w:sz w:val="20"/>
                <w:szCs w:val="20"/>
              </w:rPr>
              <w:t>Songwe</w:t>
            </w:r>
          </w:p>
        </w:tc>
        <w:tc>
          <w:tcPr>
            <w:tcW w:w="0" w:type="auto"/>
            <w:tcBorders>
              <w:top w:val="nil"/>
              <w:bottom w:val="nil"/>
              <w:right w:val="nil"/>
            </w:tcBorders>
            <w:shd w:val="clear" w:color="auto" w:fill="auto"/>
            <w:noWrap/>
            <w:vAlign w:val="bottom"/>
            <w:hideMark/>
          </w:tcPr>
          <w:p w14:paraId="61CF685F" w14:textId="77777777" w:rsidR="004D716C" w:rsidRPr="006B42D6" w:rsidRDefault="004D716C" w:rsidP="00216F13">
            <w:pPr>
              <w:jc w:val="right"/>
              <w:rPr>
                <w:sz w:val="20"/>
                <w:szCs w:val="20"/>
              </w:rPr>
            </w:pPr>
            <w:r w:rsidRPr="006B42D6">
              <w:rPr>
                <w:sz w:val="20"/>
                <w:szCs w:val="20"/>
              </w:rPr>
              <w:t>19,509</w:t>
            </w:r>
          </w:p>
        </w:tc>
        <w:tc>
          <w:tcPr>
            <w:tcW w:w="0" w:type="auto"/>
            <w:tcBorders>
              <w:top w:val="nil"/>
              <w:left w:val="nil"/>
              <w:bottom w:val="nil"/>
              <w:right w:val="nil"/>
            </w:tcBorders>
            <w:shd w:val="clear" w:color="auto" w:fill="auto"/>
            <w:noWrap/>
            <w:vAlign w:val="bottom"/>
            <w:hideMark/>
          </w:tcPr>
          <w:p w14:paraId="6CE3F115" w14:textId="77777777" w:rsidR="004D716C" w:rsidRPr="006B42D6" w:rsidRDefault="004D716C" w:rsidP="00216F13">
            <w:pPr>
              <w:jc w:val="right"/>
              <w:rPr>
                <w:sz w:val="20"/>
                <w:szCs w:val="20"/>
              </w:rPr>
            </w:pPr>
            <w:r w:rsidRPr="006B42D6">
              <w:rPr>
                <w:sz w:val="20"/>
                <w:szCs w:val="20"/>
              </w:rPr>
              <w:t>16,651</w:t>
            </w:r>
          </w:p>
        </w:tc>
        <w:tc>
          <w:tcPr>
            <w:tcW w:w="0" w:type="auto"/>
            <w:tcBorders>
              <w:top w:val="nil"/>
              <w:left w:val="nil"/>
              <w:bottom w:val="nil"/>
              <w:right w:val="nil"/>
            </w:tcBorders>
            <w:shd w:val="clear" w:color="auto" w:fill="auto"/>
            <w:noWrap/>
            <w:vAlign w:val="bottom"/>
            <w:hideMark/>
          </w:tcPr>
          <w:p w14:paraId="7FA49408" w14:textId="77777777" w:rsidR="004D716C" w:rsidRPr="006B42D6" w:rsidRDefault="004D716C" w:rsidP="00216F13">
            <w:pPr>
              <w:jc w:val="right"/>
              <w:rPr>
                <w:sz w:val="20"/>
                <w:szCs w:val="20"/>
              </w:rPr>
            </w:pPr>
            <w:r w:rsidRPr="006B42D6">
              <w:rPr>
                <w:sz w:val="20"/>
                <w:szCs w:val="20"/>
              </w:rPr>
              <w:t>16,935</w:t>
            </w:r>
          </w:p>
        </w:tc>
        <w:tc>
          <w:tcPr>
            <w:tcW w:w="0" w:type="auto"/>
            <w:tcBorders>
              <w:top w:val="nil"/>
              <w:left w:val="nil"/>
              <w:bottom w:val="nil"/>
              <w:right w:val="nil"/>
            </w:tcBorders>
            <w:shd w:val="clear" w:color="auto" w:fill="auto"/>
            <w:noWrap/>
            <w:vAlign w:val="bottom"/>
            <w:hideMark/>
          </w:tcPr>
          <w:p w14:paraId="67CFFC34" w14:textId="77777777" w:rsidR="004D716C" w:rsidRPr="006B42D6" w:rsidRDefault="004D716C" w:rsidP="00216F13">
            <w:pPr>
              <w:jc w:val="right"/>
              <w:rPr>
                <w:sz w:val="20"/>
                <w:szCs w:val="20"/>
              </w:rPr>
            </w:pPr>
            <w:r w:rsidRPr="006B42D6">
              <w:rPr>
                <w:sz w:val="20"/>
                <w:szCs w:val="20"/>
              </w:rPr>
              <w:t>1.0</w:t>
            </w:r>
          </w:p>
        </w:tc>
      </w:tr>
      <w:tr w:rsidR="004D716C" w:rsidRPr="006B42D6" w14:paraId="007FC5A2" w14:textId="77777777" w:rsidTr="00216F13">
        <w:trPr>
          <w:trHeight w:val="57"/>
        </w:trPr>
        <w:tc>
          <w:tcPr>
            <w:tcW w:w="0" w:type="auto"/>
            <w:tcBorders>
              <w:top w:val="single" w:sz="4" w:space="0" w:color="auto"/>
              <w:left w:val="nil"/>
              <w:bottom w:val="single" w:sz="4" w:space="0" w:color="auto"/>
            </w:tcBorders>
            <w:shd w:val="clear" w:color="auto" w:fill="E2EFD9" w:themeFill="accent6" w:themeFillTint="33"/>
            <w:noWrap/>
            <w:vAlign w:val="bottom"/>
            <w:hideMark/>
          </w:tcPr>
          <w:p w14:paraId="16283E4C" w14:textId="77777777" w:rsidR="004D716C" w:rsidRPr="006B42D6" w:rsidRDefault="004D716C" w:rsidP="00216F13">
            <w:pPr>
              <w:rPr>
                <w:b/>
                <w:bCs/>
                <w:sz w:val="20"/>
                <w:szCs w:val="20"/>
              </w:rPr>
            </w:pPr>
            <w:r>
              <w:rPr>
                <w:b/>
                <w:bCs/>
                <w:sz w:val="20"/>
                <w:szCs w:val="20"/>
              </w:rPr>
              <w:t>Mainland Tanzania</w:t>
            </w:r>
          </w:p>
        </w:tc>
        <w:tc>
          <w:tcPr>
            <w:tcW w:w="0" w:type="auto"/>
            <w:tcBorders>
              <w:top w:val="single" w:sz="4" w:space="0" w:color="auto"/>
              <w:bottom w:val="single" w:sz="4" w:space="0" w:color="auto"/>
              <w:right w:val="nil"/>
            </w:tcBorders>
            <w:shd w:val="clear" w:color="auto" w:fill="E2EFD9" w:themeFill="accent6" w:themeFillTint="33"/>
            <w:noWrap/>
            <w:vAlign w:val="bottom"/>
            <w:hideMark/>
          </w:tcPr>
          <w:p w14:paraId="20EAA6D4" w14:textId="77777777" w:rsidR="004D716C" w:rsidRPr="006B42D6" w:rsidRDefault="004D716C" w:rsidP="00216F13">
            <w:pPr>
              <w:jc w:val="right"/>
              <w:rPr>
                <w:b/>
                <w:bCs/>
                <w:sz w:val="20"/>
                <w:szCs w:val="20"/>
              </w:rPr>
            </w:pPr>
            <w:r w:rsidRPr="006B42D6">
              <w:rPr>
                <w:b/>
                <w:bCs/>
                <w:sz w:val="20"/>
                <w:szCs w:val="20"/>
              </w:rPr>
              <w:t>524,050</w:t>
            </w:r>
          </w:p>
        </w:tc>
        <w:tc>
          <w:tcPr>
            <w:tcW w:w="0" w:type="auto"/>
            <w:tcBorders>
              <w:top w:val="single" w:sz="4" w:space="0" w:color="auto"/>
              <w:left w:val="nil"/>
              <w:bottom w:val="single" w:sz="4" w:space="0" w:color="auto"/>
              <w:right w:val="nil"/>
            </w:tcBorders>
            <w:shd w:val="clear" w:color="auto" w:fill="E2EFD9" w:themeFill="accent6" w:themeFillTint="33"/>
            <w:noWrap/>
            <w:vAlign w:val="bottom"/>
            <w:hideMark/>
          </w:tcPr>
          <w:p w14:paraId="650ED5DA" w14:textId="77777777" w:rsidR="004D716C" w:rsidRPr="006B42D6" w:rsidRDefault="004D716C" w:rsidP="00216F13">
            <w:pPr>
              <w:jc w:val="right"/>
              <w:rPr>
                <w:b/>
                <w:bCs/>
                <w:sz w:val="20"/>
                <w:szCs w:val="20"/>
              </w:rPr>
            </w:pPr>
            <w:r w:rsidRPr="006B42D6">
              <w:rPr>
                <w:b/>
                <w:bCs/>
                <w:sz w:val="20"/>
                <w:szCs w:val="20"/>
              </w:rPr>
              <w:t>481,641</w:t>
            </w:r>
          </w:p>
        </w:tc>
        <w:tc>
          <w:tcPr>
            <w:tcW w:w="0" w:type="auto"/>
            <w:tcBorders>
              <w:top w:val="single" w:sz="4" w:space="0" w:color="auto"/>
              <w:left w:val="nil"/>
              <w:bottom w:val="single" w:sz="4" w:space="0" w:color="auto"/>
              <w:right w:val="nil"/>
            </w:tcBorders>
            <w:shd w:val="clear" w:color="auto" w:fill="E2EFD9" w:themeFill="accent6" w:themeFillTint="33"/>
            <w:noWrap/>
            <w:vAlign w:val="bottom"/>
            <w:hideMark/>
          </w:tcPr>
          <w:p w14:paraId="052EE6F0" w14:textId="77777777" w:rsidR="004D716C" w:rsidRPr="006B42D6" w:rsidRDefault="004D716C" w:rsidP="00216F13">
            <w:pPr>
              <w:jc w:val="right"/>
              <w:rPr>
                <w:b/>
                <w:bCs/>
                <w:sz w:val="20"/>
                <w:szCs w:val="20"/>
              </w:rPr>
            </w:pPr>
            <w:r w:rsidRPr="006B42D6">
              <w:rPr>
                <w:b/>
                <w:bCs/>
                <w:sz w:val="20"/>
                <w:szCs w:val="20"/>
              </w:rPr>
              <w:t>503,032</w:t>
            </w:r>
          </w:p>
        </w:tc>
        <w:tc>
          <w:tcPr>
            <w:tcW w:w="0" w:type="auto"/>
            <w:tcBorders>
              <w:top w:val="single" w:sz="4" w:space="0" w:color="auto"/>
              <w:left w:val="nil"/>
              <w:bottom w:val="single" w:sz="4" w:space="0" w:color="auto"/>
              <w:right w:val="nil"/>
            </w:tcBorders>
            <w:shd w:val="clear" w:color="auto" w:fill="E2EFD9" w:themeFill="accent6" w:themeFillTint="33"/>
            <w:noWrap/>
            <w:vAlign w:val="bottom"/>
            <w:hideMark/>
          </w:tcPr>
          <w:p w14:paraId="735E3763" w14:textId="77777777" w:rsidR="004D716C" w:rsidRPr="006B42D6" w:rsidRDefault="004D716C" w:rsidP="00216F13">
            <w:pPr>
              <w:jc w:val="right"/>
              <w:rPr>
                <w:b/>
                <w:bCs/>
                <w:sz w:val="20"/>
                <w:szCs w:val="20"/>
              </w:rPr>
            </w:pPr>
            <w:r w:rsidRPr="006B42D6">
              <w:rPr>
                <w:b/>
                <w:bCs/>
                <w:sz w:val="20"/>
                <w:szCs w:val="20"/>
              </w:rPr>
              <w:t>1.0</w:t>
            </w:r>
          </w:p>
        </w:tc>
      </w:tr>
    </w:tbl>
    <w:p w14:paraId="40CD8449" w14:textId="77777777" w:rsidR="004D716C" w:rsidRDefault="004D716C" w:rsidP="004D716C"/>
    <w:p w14:paraId="2758B359" w14:textId="77777777" w:rsidR="004D716C" w:rsidRDefault="004D716C" w:rsidP="004D716C">
      <w:pPr>
        <w:spacing w:line="240" w:lineRule="auto"/>
        <w:contextualSpacing w:val="0"/>
        <w:jc w:val="left"/>
      </w:pPr>
      <w:r>
        <w:br w:type="page"/>
      </w:r>
    </w:p>
    <w:p w14:paraId="65B54FBC" w14:textId="23D396A1" w:rsidR="00995E98" w:rsidRPr="006B42D6" w:rsidRDefault="00995E98" w:rsidP="00686E94">
      <w:pPr>
        <w:pStyle w:val="MapNew"/>
      </w:pPr>
      <w:bookmarkStart w:id="195" w:name="_Toc80902554"/>
      <w:bookmarkStart w:id="196" w:name="_Toc82386472"/>
      <w:r w:rsidRPr="006B42D6">
        <w:lastRenderedPageBreak/>
        <w:t>M</w:t>
      </w:r>
      <w:r w:rsidR="001C689D" w:rsidRPr="006B42D6">
        <w:t>ap</w:t>
      </w:r>
      <w:r w:rsidRPr="006B42D6">
        <w:t xml:space="preserve"> </w:t>
      </w:r>
      <w:r w:rsidR="00464C4B" w:rsidRPr="006B42D6">
        <w:t>3.5</w:t>
      </w:r>
      <w:r w:rsidR="00883C16">
        <w:t>:</w:t>
      </w:r>
      <w:r w:rsidR="00A51CC7">
        <w:tab/>
      </w:r>
      <w:r w:rsidRPr="006B42D6">
        <w:t>Sunflower Production by Region</w:t>
      </w:r>
      <w:r w:rsidR="004D4695" w:rsidRPr="006B42D6">
        <w:t xml:space="preserve"> During 2019/20 Agricultural Year, Tanzania</w:t>
      </w:r>
      <w:bookmarkEnd w:id="195"/>
      <w:bookmarkEnd w:id="196"/>
    </w:p>
    <w:p w14:paraId="3E5FDC09" w14:textId="30216DC0" w:rsidR="00995E98" w:rsidRPr="006B42D6" w:rsidRDefault="001E2D27" w:rsidP="005C2EFC">
      <w:pPr>
        <w:pStyle w:val="Default"/>
        <w:spacing w:line="360" w:lineRule="auto"/>
        <w:jc w:val="both"/>
        <w:rPr>
          <w:color w:val="auto"/>
        </w:rPr>
      </w:pPr>
      <w:r>
        <w:rPr>
          <w:noProof/>
        </w:rPr>
        <w:drawing>
          <wp:inline distT="0" distB="0" distL="0" distR="0" wp14:anchorId="0D7C3200" wp14:editId="5F395F75">
            <wp:extent cx="5884985" cy="4221480"/>
            <wp:effectExtent l="0" t="0" r="0" b="0"/>
            <wp:docPr id="4522" name="Picture 4522"/>
            <wp:cNvGraphicFramePr/>
            <a:graphic xmlns:a="http://schemas.openxmlformats.org/drawingml/2006/main">
              <a:graphicData uri="http://schemas.openxmlformats.org/drawingml/2006/picture">
                <pic:pic xmlns:pic="http://schemas.openxmlformats.org/drawingml/2006/picture">
                  <pic:nvPicPr>
                    <pic:cNvPr id="4522" name="Picture 4522"/>
                    <pic:cNvPicPr/>
                  </pic:nvPicPr>
                  <pic:blipFill>
                    <a:blip r:embed="rId188"/>
                    <a:stretch>
                      <a:fillRect/>
                    </a:stretch>
                  </pic:blipFill>
                  <pic:spPr>
                    <a:xfrm>
                      <a:off x="0" y="0"/>
                      <a:ext cx="5888832" cy="4224240"/>
                    </a:xfrm>
                    <a:prstGeom prst="rect">
                      <a:avLst/>
                    </a:prstGeom>
                  </pic:spPr>
                </pic:pic>
              </a:graphicData>
            </a:graphic>
          </wp:inline>
        </w:drawing>
      </w:r>
    </w:p>
    <w:p w14:paraId="27BBDDC3" w14:textId="77777777" w:rsidR="004D716C" w:rsidRDefault="004D716C" w:rsidP="004D716C"/>
    <w:p w14:paraId="400E2A4D" w14:textId="104E5266" w:rsidR="00F327E4" w:rsidRPr="006B42D6" w:rsidRDefault="00F327E4" w:rsidP="005C2EFC">
      <w:pPr>
        <w:pStyle w:val="Heading4"/>
      </w:pPr>
      <w:bookmarkStart w:id="197" w:name="_Toc82385663"/>
      <w:r w:rsidRPr="006B42D6">
        <w:t>3.1.</w:t>
      </w:r>
      <w:r w:rsidR="00193728">
        <w:t>4</w:t>
      </w:r>
      <w:r w:rsidRPr="006B42D6">
        <w:t>.3</w:t>
      </w:r>
      <w:r w:rsidR="000807B0" w:rsidRPr="006B42D6">
        <w:tab/>
      </w:r>
      <w:r w:rsidRPr="006B42D6">
        <w:t>Sesame</w:t>
      </w:r>
      <w:bookmarkEnd w:id="197"/>
      <w:r w:rsidRPr="006B42D6">
        <w:t xml:space="preserve"> </w:t>
      </w:r>
    </w:p>
    <w:p w14:paraId="15EAE98D" w14:textId="75CBD8F1" w:rsidR="00D80467" w:rsidRDefault="00D80467" w:rsidP="0072387B">
      <w:r w:rsidRPr="006B42D6">
        <w:t xml:space="preserve">The </w:t>
      </w:r>
      <w:r w:rsidR="004338FE" w:rsidRPr="006B42D6">
        <w:t>C</w:t>
      </w:r>
      <w:r w:rsidRPr="006B42D6">
        <w:t xml:space="preserve">ensus results show that, a total of 56,097 households were engaged in growing sesame in </w:t>
      </w:r>
      <w:r w:rsidR="00EA1552">
        <w:t>Mainland Tanzania</w:t>
      </w:r>
      <w:r w:rsidRPr="006B42D6">
        <w:t xml:space="preserve"> during short rainy season and 425,018 households during long rainy season. There was no production of sesame reported in Tanzania Zanzibar during 2019/20 agricultural year. </w:t>
      </w:r>
    </w:p>
    <w:p w14:paraId="284E8C8A" w14:textId="77777777" w:rsidR="0072387B" w:rsidRPr="008B0802" w:rsidRDefault="0072387B" w:rsidP="0072387B">
      <w:pPr>
        <w:spacing w:line="240" w:lineRule="auto"/>
        <w:rPr>
          <w:sz w:val="20"/>
          <w:szCs w:val="20"/>
        </w:rPr>
      </w:pPr>
    </w:p>
    <w:p w14:paraId="700E781F" w14:textId="68724EB1" w:rsidR="00D80467" w:rsidRDefault="00D80467" w:rsidP="0072387B">
      <w:r w:rsidRPr="006B42D6">
        <w:t xml:space="preserve">The total planted area for sesame was 443,068 ha out of which 442,689 ha were from smallholder farmers and 379 ha from large scale farms. From the total planted area by smallholder farmers, Lindi region had the largest planted area with sesame (113,169 ha; 25.6 percent), followed by Dodoma (77,719 ha; 17.6 percent) and Songwe (71,464 ha; 16.1 percent). The least planted area was reported in Geita region (142 ha; 0.03 percent). </w:t>
      </w:r>
    </w:p>
    <w:p w14:paraId="0441BDDD" w14:textId="77777777" w:rsidR="0072387B" w:rsidRPr="006B42D6" w:rsidRDefault="0072387B" w:rsidP="0072387B">
      <w:pPr>
        <w:spacing w:line="240" w:lineRule="auto"/>
      </w:pPr>
    </w:p>
    <w:p w14:paraId="40D191CA" w14:textId="05421578" w:rsidR="00D80467" w:rsidRPr="006B42D6" w:rsidRDefault="00D80467" w:rsidP="0072387B">
      <w:r w:rsidRPr="006B42D6">
        <w:t>The total harvested area with sesame was 392,110 ha from smallholder farmers. Lindi region reported the largest harvested area (91,820 ha; 23.4 percent), followed by Dodoma (74,375 ha; 19.0 percent) and Songwe (62,413 ha; 15.9 percent)</w:t>
      </w:r>
      <w:r w:rsidR="004338FE" w:rsidRPr="006B42D6">
        <w:t xml:space="preserve">. </w:t>
      </w:r>
      <w:r w:rsidR="00E1048C" w:rsidRPr="006B42D6">
        <w:t>Mara</w:t>
      </w:r>
      <w:r w:rsidRPr="006B42D6">
        <w:t xml:space="preserve"> </w:t>
      </w:r>
      <w:r w:rsidR="004338FE" w:rsidRPr="006B42D6">
        <w:t xml:space="preserve">region had the least harvested </w:t>
      </w:r>
      <w:r w:rsidR="004338FE" w:rsidRPr="006B42D6">
        <w:lastRenderedPageBreak/>
        <w:t xml:space="preserve">area </w:t>
      </w:r>
      <w:r w:rsidRPr="006B42D6">
        <w:t>(</w:t>
      </w:r>
      <w:r w:rsidR="00E1048C" w:rsidRPr="006B42D6">
        <w:t>59</w:t>
      </w:r>
      <w:r w:rsidRPr="006B42D6">
        <w:t xml:space="preserve"> ha; 0.02 percent). The results also reveal that, a total harvested area with </w:t>
      </w:r>
      <w:r w:rsidR="00E1048C" w:rsidRPr="006B42D6">
        <w:rPr>
          <w:bCs/>
        </w:rPr>
        <w:t>sesame</w:t>
      </w:r>
      <w:r w:rsidRPr="006B42D6">
        <w:t xml:space="preserve"> was </w:t>
      </w:r>
      <w:r w:rsidR="00E1048C" w:rsidRPr="006B42D6">
        <w:t>88.6</w:t>
      </w:r>
      <w:r w:rsidRPr="006B42D6">
        <w:t xml:space="preserve"> percent of the total planted area by smallholder farmers. </w:t>
      </w:r>
    </w:p>
    <w:p w14:paraId="42D2BFC9" w14:textId="77777777" w:rsidR="00D80467" w:rsidRPr="006B42D6" w:rsidRDefault="00D80467" w:rsidP="0072387B">
      <w:pPr>
        <w:spacing w:line="240" w:lineRule="auto"/>
      </w:pPr>
    </w:p>
    <w:p w14:paraId="2A144DD9" w14:textId="7B6128CE" w:rsidR="00D80467" w:rsidRPr="006B42D6" w:rsidRDefault="00D80467" w:rsidP="0072387B">
      <w:r w:rsidRPr="006B42D6">
        <w:t xml:space="preserve">Production of </w:t>
      </w:r>
      <w:r w:rsidR="00E1048C" w:rsidRPr="006B42D6">
        <w:t>sesame</w:t>
      </w:r>
      <w:r w:rsidRPr="006B42D6">
        <w:t xml:space="preserve"> in Tanzania </w:t>
      </w:r>
      <w:r w:rsidR="00E1048C" w:rsidRPr="006B42D6">
        <w:t>was</w:t>
      </w:r>
      <w:r w:rsidRPr="006B42D6">
        <w:t xml:space="preserve"> </w:t>
      </w:r>
      <w:r w:rsidR="00E1048C" w:rsidRPr="006B42D6">
        <w:rPr>
          <w:bCs/>
        </w:rPr>
        <w:t>128,842 tons,</w:t>
      </w:r>
      <w:r w:rsidRPr="006B42D6">
        <w:rPr>
          <w:bCs/>
        </w:rPr>
        <w:t xml:space="preserve"> out </w:t>
      </w:r>
      <w:r w:rsidRPr="006B42D6">
        <w:t xml:space="preserve">of which </w:t>
      </w:r>
      <w:r w:rsidR="00E1048C" w:rsidRPr="006B42D6">
        <w:t>128,588</w:t>
      </w:r>
      <w:r w:rsidRPr="006B42D6">
        <w:t xml:space="preserve"> tons was produced by smallholder farmers and</w:t>
      </w:r>
      <w:r w:rsidRPr="006B42D6">
        <w:rPr>
          <w:bCs/>
        </w:rPr>
        <w:t xml:space="preserve"> </w:t>
      </w:r>
      <w:r w:rsidR="00E1048C" w:rsidRPr="006B42D6">
        <w:rPr>
          <w:bCs/>
        </w:rPr>
        <w:t>254</w:t>
      </w:r>
      <w:r w:rsidRPr="006B42D6">
        <w:rPr>
          <w:bCs/>
        </w:rPr>
        <w:t xml:space="preserve"> </w:t>
      </w:r>
      <w:r w:rsidRPr="006B42D6">
        <w:t>tons was produced by large scale farm</w:t>
      </w:r>
      <w:r w:rsidR="00E1048C" w:rsidRPr="006B42D6">
        <w:t>s</w:t>
      </w:r>
      <w:r w:rsidRPr="006B42D6">
        <w:t>.</w:t>
      </w:r>
      <w:r w:rsidRPr="006B42D6">
        <w:rPr>
          <w:bCs/>
        </w:rPr>
        <w:t xml:space="preserve"> From the total production of smallholder farmers, </w:t>
      </w:r>
      <w:r w:rsidR="00E1048C" w:rsidRPr="006B42D6">
        <w:t>Lindi</w:t>
      </w:r>
      <w:r w:rsidRPr="006B42D6">
        <w:t xml:space="preserve"> </w:t>
      </w:r>
      <w:r w:rsidR="00E1048C" w:rsidRPr="006B42D6">
        <w:t>r</w:t>
      </w:r>
      <w:r w:rsidRPr="006B42D6">
        <w:t xml:space="preserve">egion had the highest production of </w:t>
      </w:r>
      <w:r w:rsidR="00E1048C" w:rsidRPr="006B42D6">
        <w:t>26,900</w:t>
      </w:r>
      <w:r w:rsidRPr="006B42D6">
        <w:t xml:space="preserve"> tons (</w:t>
      </w:r>
      <w:r w:rsidR="00E1048C" w:rsidRPr="006B42D6">
        <w:t>20.9</w:t>
      </w:r>
      <w:r w:rsidRPr="006B42D6">
        <w:t xml:space="preserve"> percent), followed by </w:t>
      </w:r>
      <w:r w:rsidR="00E1048C" w:rsidRPr="006B42D6">
        <w:t>Songwe</w:t>
      </w:r>
      <w:r w:rsidRPr="006B42D6">
        <w:t xml:space="preserve"> (</w:t>
      </w:r>
      <w:r w:rsidR="00E1048C" w:rsidRPr="006B42D6">
        <w:t>23,544</w:t>
      </w:r>
      <w:r w:rsidRPr="006B42D6">
        <w:t xml:space="preserve"> tons</w:t>
      </w:r>
      <w:r w:rsidR="00E1048C" w:rsidRPr="006B42D6">
        <w:t>;</w:t>
      </w:r>
      <w:r w:rsidRPr="006B42D6">
        <w:t xml:space="preserve"> </w:t>
      </w:r>
      <w:r w:rsidR="00E1048C" w:rsidRPr="006B42D6">
        <w:t>18.3</w:t>
      </w:r>
      <w:r w:rsidRPr="006B42D6">
        <w:t xml:space="preserve"> percent) and </w:t>
      </w:r>
      <w:r w:rsidR="00E1048C" w:rsidRPr="006B42D6">
        <w:t>Dodoma</w:t>
      </w:r>
      <w:r w:rsidRPr="006B42D6">
        <w:t xml:space="preserve"> (</w:t>
      </w:r>
      <w:r w:rsidR="00E1048C" w:rsidRPr="006B42D6">
        <w:t>21,980</w:t>
      </w:r>
      <w:r w:rsidRPr="006B42D6">
        <w:t xml:space="preserve"> tons;</w:t>
      </w:r>
      <w:r w:rsidR="003F1238">
        <w:t xml:space="preserve"> </w:t>
      </w:r>
      <w:r w:rsidR="00E1048C" w:rsidRPr="006B42D6">
        <w:t>17.1</w:t>
      </w:r>
      <w:r w:rsidRPr="006B42D6">
        <w:t xml:space="preserve"> percent)</w:t>
      </w:r>
      <w:r w:rsidR="00E1048C" w:rsidRPr="006B42D6">
        <w:t xml:space="preserve"> while </w:t>
      </w:r>
      <w:r w:rsidRPr="006B42D6">
        <w:t>the least production</w:t>
      </w:r>
      <w:r w:rsidR="00E1048C" w:rsidRPr="006B42D6">
        <w:t xml:space="preserve"> was reported in Mara</w:t>
      </w:r>
      <w:r w:rsidRPr="006B42D6">
        <w:t xml:space="preserve"> (</w:t>
      </w:r>
      <w:r w:rsidR="00E1048C" w:rsidRPr="006B42D6">
        <w:t>82</w:t>
      </w:r>
      <w:r w:rsidR="003F1238">
        <w:t xml:space="preserve"> </w:t>
      </w:r>
      <w:r w:rsidRPr="006B42D6">
        <w:t>tons; 0.</w:t>
      </w:r>
      <w:r w:rsidR="00E1048C" w:rsidRPr="006B42D6">
        <w:t>1</w:t>
      </w:r>
      <w:r w:rsidRPr="006B42D6">
        <w:t xml:space="preserve"> percent) (Table 3.</w:t>
      </w:r>
      <w:r w:rsidR="001C689D" w:rsidRPr="006B42D6">
        <w:t>5</w:t>
      </w:r>
      <w:r w:rsidRPr="006B42D6">
        <w:t xml:space="preserve"> &amp; Map 3.5).</w:t>
      </w:r>
    </w:p>
    <w:p w14:paraId="67FB50C7" w14:textId="77777777" w:rsidR="00D80467" w:rsidRPr="006B42D6" w:rsidRDefault="00D80467" w:rsidP="0072387B">
      <w:pPr>
        <w:spacing w:line="240" w:lineRule="auto"/>
      </w:pPr>
    </w:p>
    <w:p w14:paraId="2F56BF0E" w14:textId="35DEE91B" w:rsidR="00D80467" w:rsidRDefault="00E1048C" w:rsidP="0072387B">
      <w:r w:rsidRPr="006B42D6">
        <w:t>R</w:t>
      </w:r>
      <w:r w:rsidR="00D80467" w:rsidRPr="006B42D6">
        <w:t xml:space="preserve">esults </w:t>
      </w:r>
      <w:r w:rsidRPr="006B42D6">
        <w:t xml:space="preserve">further </w:t>
      </w:r>
      <w:r w:rsidR="00D80467" w:rsidRPr="006B42D6">
        <w:t xml:space="preserve">show that, the average productivity of </w:t>
      </w:r>
      <w:r w:rsidRPr="006B42D6">
        <w:t xml:space="preserve">sesame </w:t>
      </w:r>
      <w:r w:rsidR="00D80467" w:rsidRPr="006B42D6">
        <w:t xml:space="preserve">in Tanzania was </w:t>
      </w:r>
      <w:r w:rsidRPr="006B42D6">
        <w:t>0.3</w:t>
      </w:r>
      <w:r w:rsidR="00D80467" w:rsidRPr="006B42D6">
        <w:t xml:space="preserve"> tons/ha</w:t>
      </w:r>
      <w:r w:rsidR="006F4124" w:rsidRPr="006B42D6">
        <w:t>.</w:t>
      </w:r>
      <w:r w:rsidR="00D80467" w:rsidRPr="006B42D6">
        <w:t xml:space="preserve"> The highest productivity was in </w:t>
      </w:r>
      <w:r w:rsidR="006F4124" w:rsidRPr="006B42D6">
        <w:t>Mara</w:t>
      </w:r>
      <w:r w:rsidR="00D80467" w:rsidRPr="006B42D6">
        <w:t xml:space="preserve"> region (</w:t>
      </w:r>
      <w:r w:rsidR="006F4124" w:rsidRPr="006B42D6">
        <w:t>1.4</w:t>
      </w:r>
      <w:r w:rsidR="00D80467" w:rsidRPr="006B42D6">
        <w:t xml:space="preserve"> tons/ha), followed by </w:t>
      </w:r>
      <w:r w:rsidR="006F4124" w:rsidRPr="006B42D6">
        <w:t>Mwanza, Tanga, Simiyu, Tabora and Geita each with 0.9</w:t>
      </w:r>
      <w:r w:rsidR="00D80467" w:rsidRPr="006B42D6">
        <w:t xml:space="preserve"> tons/ha</w:t>
      </w:r>
      <w:r w:rsidR="006F4124" w:rsidRPr="006B42D6">
        <w:t>.</w:t>
      </w:r>
      <w:r w:rsidR="00D80467" w:rsidRPr="006B42D6">
        <w:t xml:space="preserve"> On the other hand, the lowest productivity was in </w:t>
      </w:r>
      <w:r w:rsidR="006F4124" w:rsidRPr="006B42D6">
        <w:t xml:space="preserve">Rukwa, Lindi, Dodoma, Singida, Mtwara, Katavi, Pwani, Ruvuma and Kilimanjaro regions each with 0.3 tons/ha </w:t>
      </w:r>
      <w:r w:rsidR="00D80467" w:rsidRPr="006B42D6">
        <w:t>(Table 3.</w:t>
      </w:r>
      <w:r w:rsidR="006F4124" w:rsidRPr="006B42D6">
        <w:t>5</w:t>
      </w:r>
      <w:r w:rsidR="00D80467" w:rsidRPr="006B42D6">
        <w:t>).</w:t>
      </w:r>
    </w:p>
    <w:p w14:paraId="43A17658" w14:textId="77777777" w:rsidR="00686E94" w:rsidRPr="006B42D6" w:rsidRDefault="00686E94" w:rsidP="0072387B"/>
    <w:p w14:paraId="7B92D4AD" w14:textId="77777777" w:rsidR="00A51CC7" w:rsidRDefault="00A51CC7">
      <w:pPr>
        <w:spacing w:line="240" w:lineRule="auto"/>
        <w:contextualSpacing w:val="0"/>
        <w:jc w:val="left"/>
        <w:rPr>
          <w:b/>
          <w:iCs/>
          <w:sz w:val="20"/>
          <w:szCs w:val="20"/>
        </w:rPr>
      </w:pPr>
      <w:r>
        <w:br w:type="page"/>
      </w:r>
    </w:p>
    <w:p w14:paraId="182F633A" w14:textId="67894499" w:rsidR="00E16412" w:rsidRPr="006B42D6" w:rsidRDefault="00E16412" w:rsidP="007200F6">
      <w:pPr>
        <w:pStyle w:val="Heading7"/>
      </w:pPr>
      <w:bookmarkStart w:id="198" w:name="_Toc82386187"/>
      <w:r w:rsidRPr="006B42D6">
        <w:lastRenderedPageBreak/>
        <w:t>Table</w:t>
      </w:r>
      <w:r w:rsidR="00464C4B" w:rsidRPr="006B42D6">
        <w:t xml:space="preserve"> 3.5</w:t>
      </w:r>
      <w:r w:rsidR="00361E96">
        <w:t>:</w:t>
      </w:r>
      <w:r w:rsidR="0072387B">
        <w:tab/>
      </w:r>
      <w:r w:rsidRPr="006B42D6">
        <w:t xml:space="preserve">Planted </w:t>
      </w:r>
      <w:r w:rsidR="006F4124" w:rsidRPr="006B42D6">
        <w:t xml:space="preserve">and Harvested </w:t>
      </w:r>
      <w:r w:rsidRPr="006B42D6">
        <w:t xml:space="preserve">Area, Quantity Harvested and Yield of Sesame by Region </w:t>
      </w:r>
      <w:r w:rsidR="004338FE" w:rsidRPr="006B42D6">
        <w:t>D</w:t>
      </w:r>
      <w:r w:rsidRPr="006B42D6">
        <w:t xml:space="preserve">uring 2019/20 </w:t>
      </w:r>
      <w:r w:rsidR="006F4124" w:rsidRPr="006B42D6">
        <w:t>A</w:t>
      </w:r>
      <w:r w:rsidRPr="006B42D6">
        <w:t>gricultural Year</w:t>
      </w:r>
      <w:r w:rsidR="004338FE" w:rsidRPr="006B42D6">
        <w:t>, Tanzania</w:t>
      </w:r>
      <w:bookmarkEnd w:id="198"/>
      <w:r w:rsidRPr="006B42D6">
        <w:t xml:space="preserve"> </w:t>
      </w:r>
    </w:p>
    <w:tbl>
      <w:tblPr>
        <w:tblW w:w="4844" w:type="pct"/>
        <w:tblLook w:val="04A0" w:firstRow="1" w:lastRow="0" w:firstColumn="1" w:lastColumn="0" w:noHBand="0" w:noVBand="1"/>
      </w:tblPr>
      <w:tblGrid>
        <w:gridCol w:w="2474"/>
        <w:gridCol w:w="1458"/>
        <w:gridCol w:w="1596"/>
        <w:gridCol w:w="2040"/>
        <w:gridCol w:w="1380"/>
      </w:tblGrid>
      <w:tr w:rsidR="00361E96" w:rsidRPr="00361E96" w14:paraId="44D8FE94" w14:textId="77777777" w:rsidTr="00D972DA">
        <w:trPr>
          <w:trHeight w:val="20"/>
        </w:trPr>
        <w:tc>
          <w:tcPr>
            <w:tcW w:w="1382" w:type="pct"/>
            <w:tcBorders>
              <w:top w:val="single" w:sz="4" w:space="0" w:color="auto"/>
              <w:left w:val="nil"/>
              <w:bottom w:val="single" w:sz="4" w:space="0" w:color="000000"/>
            </w:tcBorders>
            <w:shd w:val="clear" w:color="auto" w:fill="E2EFD9" w:themeFill="accent6" w:themeFillTint="33"/>
            <w:vAlign w:val="bottom"/>
            <w:hideMark/>
          </w:tcPr>
          <w:p w14:paraId="2B634071" w14:textId="3B8251DB" w:rsidR="00CD0F26" w:rsidRPr="00361E96" w:rsidRDefault="00D972DA" w:rsidP="00D972DA">
            <w:pPr>
              <w:jc w:val="left"/>
              <w:rPr>
                <w:sz w:val="16"/>
                <w:szCs w:val="16"/>
              </w:rPr>
            </w:pPr>
            <w:r>
              <w:rPr>
                <w:sz w:val="16"/>
                <w:szCs w:val="16"/>
              </w:rPr>
              <w:t>Region</w:t>
            </w:r>
          </w:p>
        </w:tc>
        <w:tc>
          <w:tcPr>
            <w:tcW w:w="814" w:type="pct"/>
            <w:tcBorders>
              <w:top w:val="single" w:sz="4" w:space="0" w:color="auto"/>
              <w:bottom w:val="single" w:sz="4" w:space="0" w:color="auto"/>
              <w:right w:val="nil"/>
            </w:tcBorders>
            <w:shd w:val="clear" w:color="auto" w:fill="E2EFD9" w:themeFill="accent6" w:themeFillTint="33"/>
            <w:vAlign w:val="bottom"/>
            <w:hideMark/>
          </w:tcPr>
          <w:p w14:paraId="19ABF4BD" w14:textId="18136B78" w:rsidR="00CD0F26" w:rsidRPr="00361E96" w:rsidRDefault="00CD0F26" w:rsidP="00D972DA">
            <w:pPr>
              <w:jc w:val="left"/>
              <w:rPr>
                <w:sz w:val="16"/>
                <w:szCs w:val="16"/>
              </w:rPr>
            </w:pPr>
            <w:r w:rsidRPr="00361E96">
              <w:rPr>
                <w:sz w:val="16"/>
                <w:szCs w:val="16"/>
              </w:rPr>
              <w:t>Planted Area (ha)</w:t>
            </w:r>
          </w:p>
        </w:tc>
        <w:tc>
          <w:tcPr>
            <w:tcW w:w="892" w:type="pct"/>
            <w:tcBorders>
              <w:top w:val="single" w:sz="4" w:space="0" w:color="auto"/>
              <w:left w:val="nil"/>
              <w:bottom w:val="single" w:sz="4" w:space="0" w:color="auto"/>
              <w:right w:val="nil"/>
            </w:tcBorders>
            <w:shd w:val="clear" w:color="auto" w:fill="E2EFD9" w:themeFill="accent6" w:themeFillTint="33"/>
            <w:vAlign w:val="bottom"/>
            <w:hideMark/>
          </w:tcPr>
          <w:p w14:paraId="74D8A749" w14:textId="186C97AF" w:rsidR="00CD0F26" w:rsidRPr="00361E96" w:rsidRDefault="00CD0F26" w:rsidP="00D972DA">
            <w:pPr>
              <w:jc w:val="left"/>
              <w:rPr>
                <w:sz w:val="16"/>
                <w:szCs w:val="16"/>
              </w:rPr>
            </w:pPr>
            <w:r w:rsidRPr="00361E96">
              <w:rPr>
                <w:sz w:val="16"/>
                <w:szCs w:val="16"/>
              </w:rPr>
              <w:t>Harvested Area (ha)</w:t>
            </w:r>
          </w:p>
        </w:tc>
        <w:tc>
          <w:tcPr>
            <w:tcW w:w="1140" w:type="pct"/>
            <w:tcBorders>
              <w:top w:val="single" w:sz="4" w:space="0" w:color="auto"/>
              <w:left w:val="nil"/>
              <w:bottom w:val="single" w:sz="4" w:space="0" w:color="auto"/>
              <w:right w:val="nil"/>
            </w:tcBorders>
            <w:shd w:val="clear" w:color="auto" w:fill="E2EFD9" w:themeFill="accent6" w:themeFillTint="33"/>
            <w:vAlign w:val="bottom"/>
            <w:hideMark/>
          </w:tcPr>
          <w:p w14:paraId="3696974D" w14:textId="42E1B817" w:rsidR="00CD0F26" w:rsidRPr="00361E96" w:rsidRDefault="00CD0F26" w:rsidP="00D972DA">
            <w:pPr>
              <w:jc w:val="left"/>
              <w:rPr>
                <w:sz w:val="16"/>
                <w:szCs w:val="16"/>
              </w:rPr>
            </w:pPr>
            <w:r w:rsidRPr="00361E96">
              <w:rPr>
                <w:sz w:val="16"/>
                <w:szCs w:val="16"/>
              </w:rPr>
              <w:t>Quantity Harvested (tons)</w:t>
            </w:r>
          </w:p>
        </w:tc>
        <w:tc>
          <w:tcPr>
            <w:tcW w:w="771" w:type="pct"/>
            <w:tcBorders>
              <w:top w:val="single" w:sz="4" w:space="0" w:color="auto"/>
              <w:left w:val="nil"/>
              <w:bottom w:val="single" w:sz="4" w:space="0" w:color="auto"/>
              <w:right w:val="nil"/>
            </w:tcBorders>
            <w:shd w:val="clear" w:color="auto" w:fill="E2EFD9" w:themeFill="accent6" w:themeFillTint="33"/>
            <w:vAlign w:val="bottom"/>
            <w:hideMark/>
          </w:tcPr>
          <w:p w14:paraId="4A374182" w14:textId="4C0E7BB0" w:rsidR="00CD0F26" w:rsidRPr="00361E96" w:rsidRDefault="00CD0F26" w:rsidP="00D972DA">
            <w:pPr>
              <w:jc w:val="left"/>
              <w:rPr>
                <w:sz w:val="16"/>
                <w:szCs w:val="16"/>
              </w:rPr>
            </w:pPr>
            <w:r w:rsidRPr="00361E96">
              <w:rPr>
                <w:sz w:val="16"/>
                <w:szCs w:val="16"/>
              </w:rPr>
              <w:t>Yield (tons/ha)</w:t>
            </w:r>
          </w:p>
        </w:tc>
      </w:tr>
      <w:tr w:rsidR="00361E96" w:rsidRPr="00361E96" w14:paraId="31553F98" w14:textId="77777777" w:rsidTr="00D972DA">
        <w:trPr>
          <w:trHeight w:val="20"/>
        </w:trPr>
        <w:tc>
          <w:tcPr>
            <w:tcW w:w="1382" w:type="pct"/>
            <w:tcBorders>
              <w:top w:val="nil"/>
              <w:left w:val="nil"/>
              <w:bottom w:val="nil"/>
            </w:tcBorders>
            <w:shd w:val="clear" w:color="auto" w:fill="auto"/>
            <w:noWrap/>
            <w:vAlign w:val="bottom"/>
            <w:hideMark/>
          </w:tcPr>
          <w:p w14:paraId="53AB5240" w14:textId="77777777" w:rsidR="00CD0F26" w:rsidRPr="00361E96" w:rsidRDefault="00CD0F26" w:rsidP="00CD0F26">
            <w:pPr>
              <w:rPr>
                <w:sz w:val="16"/>
                <w:szCs w:val="16"/>
              </w:rPr>
            </w:pPr>
            <w:r w:rsidRPr="00361E96">
              <w:rPr>
                <w:sz w:val="16"/>
                <w:szCs w:val="16"/>
              </w:rPr>
              <w:t>Dodoma</w:t>
            </w:r>
          </w:p>
        </w:tc>
        <w:tc>
          <w:tcPr>
            <w:tcW w:w="814" w:type="pct"/>
            <w:tcBorders>
              <w:top w:val="nil"/>
              <w:bottom w:val="nil"/>
              <w:right w:val="nil"/>
            </w:tcBorders>
            <w:shd w:val="clear" w:color="auto" w:fill="auto"/>
            <w:noWrap/>
            <w:vAlign w:val="bottom"/>
            <w:hideMark/>
          </w:tcPr>
          <w:p w14:paraId="6E7F3CF6" w14:textId="6510117C" w:rsidR="00CD0F26" w:rsidRPr="00361E96" w:rsidRDefault="00CD0F26" w:rsidP="00CD0F26">
            <w:pPr>
              <w:jc w:val="right"/>
              <w:rPr>
                <w:sz w:val="16"/>
                <w:szCs w:val="16"/>
              </w:rPr>
            </w:pPr>
            <w:r w:rsidRPr="00361E96">
              <w:rPr>
                <w:sz w:val="16"/>
                <w:szCs w:val="16"/>
              </w:rPr>
              <w:t>77,719</w:t>
            </w:r>
          </w:p>
        </w:tc>
        <w:tc>
          <w:tcPr>
            <w:tcW w:w="892" w:type="pct"/>
            <w:tcBorders>
              <w:top w:val="nil"/>
              <w:left w:val="nil"/>
              <w:bottom w:val="nil"/>
              <w:right w:val="nil"/>
            </w:tcBorders>
            <w:shd w:val="clear" w:color="auto" w:fill="auto"/>
            <w:noWrap/>
            <w:vAlign w:val="bottom"/>
            <w:hideMark/>
          </w:tcPr>
          <w:p w14:paraId="22528FCC" w14:textId="07290D58" w:rsidR="00CD0F26" w:rsidRPr="00361E96" w:rsidRDefault="00CD0F26" w:rsidP="00CD0F26">
            <w:pPr>
              <w:jc w:val="right"/>
              <w:rPr>
                <w:sz w:val="16"/>
                <w:szCs w:val="16"/>
              </w:rPr>
            </w:pPr>
            <w:r w:rsidRPr="00361E96">
              <w:rPr>
                <w:sz w:val="16"/>
                <w:szCs w:val="16"/>
              </w:rPr>
              <w:t>74,375</w:t>
            </w:r>
          </w:p>
        </w:tc>
        <w:tc>
          <w:tcPr>
            <w:tcW w:w="1140" w:type="pct"/>
            <w:tcBorders>
              <w:top w:val="nil"/>
              <w:left w:val="nil"/>
              <w:bottom w:val="nil"/>
              <w:right w:val="nil"/>
            </w:tcBorders>
            <w:shd w:val="clear" w:color="auto" w:fill="auto"/>
            <w:noWrap/>
            <w:vAlign w:val="bottom"/>
            <w:hideMark/>
          </w:tcPr>
          <w:p w14:paraId="54634446" w14:textId="6D534457" w:rsidR="00CD0F26" w:rsidRPr="00361E96" w:rsidRDefault="00CD0F26" w:rsidP="00CD0F26">
            <w:pPr>
              <w:jc w:val="right"/>
              <w:rPr>
                <w:sz w:val="16"/>
                <w:szCs w:val="16"/>
              </w:rPr>
            </w:pPr>
            <w:r w:rsidRPr="00361E96">
              <w:rPr>
                <w:sz w:val="16"/>
                <w:szCs w:val="16"/>
              </w:rPr>
              <w:t>21,980</w:t>
            </w:r>
          </w:p>
        </w:tc>
        <w:tc>
          <w:tcPr>
            <w:tcW w:w="771" w:type="pct"/>
            <w:tcBorders>
              <w:top w:val="nil"/>
              <w:left w:val="nil"/>
              <w:bottom w:val="nil"/>
              <w:right w:val="nil"/>
            </w:tcBorders>
            <w:shd w:val="clear" w:color="auto" w:fill="auto"/>
            <w:noWrap/>
            <w:vAlign w:val="bottom"/>
            <w:hideMark/>
          </w:tcPr>
          <w:p w14:paraId="7F3F0FFC" w14:textId="5B101104" w:rsidR="00CD0F26" w:rsidRPr="00361E96" w:rsidRDefault="00CD0F26" w:rsidP="00CD0F26">
            <w:pPr>
              <w:jc w:val="right"/>
              <w:rPr>
                <w:sz w:val="16"/>
                <w:szCs w:val="16"/>
              </w:rPr>
            </w:pPr>
            <w:r w:rsidRPr="00361E96">
              <w:rPr>
                <w:sz w:val="16"/>
                <w:szCs w:val="16"/>
              </w:rPr>
              <w:t>0.3</w:t>
            </w:r>
          </w:p>
        </w:tc>
      </w:tr>
      <w:tr w:rsidR="00361E96" w:rsidRPr="00361E96" w14:paraId="2F5DF5F2" w14:textId="77777777" w:rsidTr="00D972DA">
        <w:trPr>
          <w:trHeight w:val="20"/>
        </w:trPr>
        <w:tc>
          <w:tcPr>
            <w:tcW w:w="1382" w:type="pct"/>
            <w:tcBorders>
              <w:top w:val="nil"/>
              <w:left w:val="nil"/>
              <w:bottom w:val="nil"/>
            </w:tcBorders>
            <w:shd w:val="clear" w:color="auto" w:fill="auto"/>
            <w:noWrap/>
            <w:vAlign w:val="bottom"/>
            <w:hideMark/>
          </w:tcPr>
          <w:p w14:paraId="2E75663D" w14:textId="77777777" w:rsidR="00CD0F26" w:rsidRPr="00361E96" w:rsidRDefault="00CD0F26" w:rsidP="00CD0F26">
            <w:pPr>
              <w:rPr>
                <w:sz w:val="16"/>
                <w:szCs w:val="16"/>
              </w:rPr>
            </w:pPr>
            <w:r w:rsidRPr="00361E96">
              <w:rPr>
                <w:sz w:val="16"/>
                <w:szCs w:val="16"/>
              </w:rPr>
              <w:t>Arusha</w:t>
            </w:r>
          </w:p>
        </w:tc>
        <w:tc>
          <w:tcPr>
            <w:tcW w:w="814" w:type="pct"/>
            <w:tcBorders>
              <w:top w:val="nil"/>
              <w:bottom w:val="nil"/>
              <w:right w:val="nil"/>
            </w:tcBorders>
            <w:shd w:val="clear" w:color="auto" w:fill="auto"/>
            <w:noWrap/>
            <w:vAlign w:val="bottom"/>
            <w:hideMark/>
          </w:tcPr>
          <w:p w14:paraId="68DFF897" w14:textId="7B39B7C4" w:rsidR="00CD0F26" w:rsidRPr="00361E96" w:rsidRDefault="00CD0F26" w:rsidP="00CD0F26">
            <w:pPr>
              <w:jc w:val="right"/>
              <w:rPr>
                <w:sz w:val="16"/>
                <w:szCs w:val="16"/>
              </w:rPr>
            </w:pPr>
            <w:r w:rsidRPr="00361E96">
              <w:rPr>
                <w:sz w:val="16"/>
                <w:szCs w:val="16"/>
              </w:rPr>
              <w:t>306</w:t>
            </w:r>
          </w:p>
        </w:tc>
        <w:tc>
          <w:tcPr>
            <w:tcW w:w="892" w:type="pct"/>
            <w:tcBorders>
              <w:top w:val="nil"/>
              <w:left w:val="nil"/>
              <w:bottom w:val="nil"/>
              <w:right w:val="nil"/>
            </w:tcBorders>
            <w:shd w:val="clear" w:color="auto" w:fill="auto"/>
            <w:noWrap/>
            <w:vAlign w:val="bottom"/>
            <w:hideMark/>
          </w:tcPr>
          <w:p w14:paraId="7350AF2A" w14:textId="27A5095D" w:rsidR="00CD0F26" w:rsidRPr="00361E96" w:rsidRDefault="00CD0F26" w:rsidP="00CD0F26">
            <w:pPr>
              <w:jc w:val="right"/>
              <w:rPr>
                <w:sz w:val="16"/>
                <w:szCs w:val="16"/>
              </w:rPr>
            </w:pPr>
            <w:r w:rsidRPr="00361E96">
              <w:rPr>
                <w:sz w:val="16"/>
                <w:szCs w:val="16"/>
              </w:rPr>
              <w:t>306</w:t>
            </w:r>
          </w:p>
        </w:tc>
        <w:tc>
          <w:tcPr>
            <w:tcW w:w="1140" w:type="pct"/>
            <w:tcBorders>
              <w:top w:val="nil"/>
              <w:left w:val="nil"/>
              <w:bottom w:val="nil"/>
              <w:right w:val="nil"/>
            </w:tcBorders>
            <w:shd w:val="clear" w:color="auto" w:fill="auto"/>
            <w:noWrap/>
            <w:vAlign w:val="bottom"/>
            <w:hideMark/>
          </w:tcPr>
          <w:p w14:paraId="795CD730" w14:textId="185A1691" w:rsidR="00CD0F26" w:rsidRPr="00361E96" w:rsidRDefault="00CD0F26" w:rsidP="00CD0F26">
            <w:pPr>
              <w:jc w:val="right"/>
              <w:rPr>
                <w:sz w:val="16"/>
                <w:szCs w:val="16"/>
              </w:rPr>
            </w:pPr>
            <w:r w:rsidRPr="00361E96">
              <w:rPr>
                <w:sz w:val="16"/>
                <w:szCs w:val="16"/>
              </w:rPr>
              <w:t>169</w:t>
            </w:r>
          </w:p>
        </w:tc>
        <w:tc>
          <w:tcPr>
            <w:tcW w:w="771" w:type="pct"/>
            <w:tcBorders>
              <w:top w:val="nil"/>
              <w:left w:val="nil"/>
              <w:bottom w:val="nil"/>
              <w:right w:val="nil"/>
            </w:tcBorders>
            <w:shd w:val="clear" w:color="auto" w:fill="auto"/>
            <w:noWrap/>
            <w:vAlign w:val="bottom"/>
            <w:hideMark/>
          </w:tcPr>
          <w:p w14:paraId="79B8533B" w14:textId="1CD3BD80" w:rsidR="00CD0F26" w:rsidRPr="00361E96" w:rsidRDefault="00CD0F26" w:rsidP="00CD0F26">
            <w:pPr>
              <w:jc w:val="right"/>
              <w:rPr>
                <w:sz w:val="16"/>
                <w:szCs w:val="16"/>
              </w:rPr>
            </w:pPr>
            <w:r w:rsidRPr="00361E96">
              <w:rPr>
                <w:sz w:val="16"/>
                <w:szCs w:val="16"/>
              </w:rPr>
              <w:t>0.6</w:t>
            </w:r>
          </w:p>
        </w:tc>
      </w:tr>
      <w:tr w:rsidR="00361E96" w:rsidRPr="00361E96" w14:paraId="5C938727" w14:textId="77777777" w:rsidTr="00D972DA">
        <w:trPr>
          <w:trHeight w:val="20"/>
        </w:trPr>
        <w:tc>
          <w:tcPr>
            <w:tcW w:w="1382" w:type="pct"/>
            <w:tcBorders>
              <w:top w:val="nil"/>
              <w:left w:val="nil"/>
              <w:bottom w:val="nil"/>
            </w:tcBorders>
            <w:shd w:val="clear" w:color="auto" w:fill="auto"/>
            <w:noWrap/>
            <w:vAlign w:val="bottom"/>
            <w:hideMark/>
          </w:tcPr>
          <w:p w14:paraId="42B113F7" w14:textId="77777777" w:rsidR="00CD0F26" w:rsidRPr="00361E96" w:rsidRDefault="00CD0F26" w:rsidP="00CD0F26">
            <w:pPr>
              <w:rPr>
                <w:sz w:val="16"/>
                <w:szCs w:val="16"/>
              </w:rPr>
            </w:pPr>
            <w:r w:rsidRPr="00361E96">
              <w:rPr>
                <w:sz w:val="16"/>
                <w:szCs w:val="16"/>
              </w:rPr>
              <w:t>Kilimanjaro</w:t>
            </w:r>
          </w:p>
        </w:tc>
        <w:tc>
          <w:tcPr>
            <w:tcW w:w="814" w:type="pct"/>
            <w:tcBorders>
              <w:top w:val="nil"/>
              <w:bottom w:val="nil"/>
              <w:right w:val="nil"/>
            </w:tcBorders>
            <w:shd w:val="clear" w:color="auto" w:fill="auto"/>
            <w:noWrap/>
            <w:vAlign w:val="bottom"/>
            <w:hideMark/>
          </w:tcPr>
          <w:p w14:paraId="1E57B669" w14:textId="2BA46B96" w:rsidR="00CD0F26" w:rsidRPr="00361E96" w:rsidRDefault="00CD0F26" w:rsidP="00CD0F26">
            <w:pPr>
              <w:jc w:val="right"/>
              <w:rPr>
                <w:sz w:val="16"/>
                <w:szCs w:val="16"/>
              </w:rPr>
            </w:pPr>
            <w:r w:rsidRPr="00361E96">
              <w:rPr>
                <w:sz w:val="16"/>
                <w:szCs w:val="16"/>
              </w:rPr>
              <w:t>924</w:t>
            </w:r>
          </w:p>
        </w:tc>
        <w:tc>
          <w:tcPr>
            <w:tcW w:w="892" w:type="pct"/>
            <w:tcBorders>
              <w:top w:val="nil"/>
              <w:left w:val="nil"/>
              <w:bottom w:val="nil"/>
              <w:right w:val="nil"/>
            </w:tcBorders>
            <w:shd w:val="clear" w:color="auto" w:fill="auto"/>
            <w:noWrap/>
            <w:vAlign w:val="bottom"/>
            <w:hideMark/>
          </w:tcPr>
          <w:p w14:paraId="25FD9F28" w14:textId="2D8D39F3" w:rsidR="00CD0F26" w:rsidRPr="00361E96" w:rsidRDefault="00CD0F26" w:rsidP="00CD0F26">
            <w:pPr>
              <w:jc w:val="right"/>
              <w:rPr>
                <w:sz w:val="16"/>
                <w:szCs w:val="16"/>
              </w:rPr>
            </w:pPr>
            <w:r w:rsidRPr="00361E96">
              <w:rPr>
                <w:sz w:val="16"/>
                <w:szCs w:val="16"/>
              </w:rPr>
              <w:t>895</w:t>
            </w:r>
          </w:p>
        </w:tc>
        <w:tc>
          <w:tcPr>
            <w:tcW w:w="1140" w:type="pct"/>
            <w:tcBorders>
              <w:top w:val="nil"/>
              <w:left w:val="nil"/>
              <w:bottom w:val="nil"/>
              <w:right w:val="nil"/>
            </w:tcBorders>
            <w:shd w:val="clear" w:color="auto" w:fill="auto"/>
            <w:noWrap/>
            <w:vAlign w:val="bottom"/>
            <w:hideMark/>
          </w:tcPr>
          <w:p w14:paraId="0DCF802D" w14:textId="56E6A986" w:rsidR="00CD0F26" w:rsidRPr="00361E96" w:rsidRDefault="00CD0F26" w:rsidP="00CD0F26">
            <w:pPr>
              <w:jc w:val="right"/>
              <w:rPr>
                <w:sz w:val="16"/>
                <w:szCs w:val="16"/>
              </w:rPr>
            </w:pPr>
            <w:r w:rsidRPr="00361E96">
              <w:rPr>
                <w:sz w:val="16"/>
                <w:szCs w:val="16"/>
              </w:rPr>
              <w:t>304</w:t>
            </w:r>
          </w:p>
        </w:tc>
        <w:tc>
          <w:tcPr>
            <w:tcW w:w="771" w:type="pct"/>
            <w:tcBorders>
              <w:top w:val="nil"/>
              <w:left w:val="nil"/>
              <w:bottom w:val="nil"/>
              <w:right w:val="nil"/>
            </w:tcBorders>
            <w:shd w:val="clear" w:color="auto" w:fill="auto"/>
            <w:noWrap/>
            <w:vAlign w:val="bottom"/>
            <w:hideMark/>
          </w:tcPr>
          <w:p w14:paraId="6C74EC20" w14:textId="757070D0" w:rsidR="00CD0F26" w:rsidRPr="00361E96" w:rsidRDefault="00CD0F26" w:rsidP="00CD0F26">
            <w:pPr>
              <w:jc w:val="right"/>
              <w:rPr>
                <w:sz w:val="16"/>
                <w:szCs w:val="16"/>
              </w:rPr>
            </w:pPr>
            <w:r w:rsidRPr="00361E96">
              <w:rPr>
                <w:sz w:val="16"/>
                <w:szCs w:val="16"/>
              </w:rPr>
              <w:t>0.3</w:t>
            </w:r>
          </w:p>
        </w:tc>
      </w:tr>
      <w:tr w:rsidR="00361E96" w:rsidRPr="00361E96" w14:paraId="52CD505F" w14:textId="77777777" w:rsidTr="00D972DA">
        <w:trPr>
          <w:trHeight w:val="20"/>
        </w:trPr>
        <w:tc>
          <w:tcPr>
            <w:tcW w:w="1382" w:type="pct"/>
            <w:tcBorders>
              <w:top w:val="nil"/>
              <w:left w:val="nil"/>
              <w:bottom w:val="nil"/>
            </w:tcBorders>
            <w:shd w:val="clear" w:color="auto" w:fill="auto"/>
            <w:noWrap/>
            <w:vAlign w:val="bottom"/>
            <w:hideMark/>
          </w:tcPr>
          <w:p w14:paraId="22B4C301" w14:textId="77777777" w:rsidR="00CD0F26" w:rsidRPr="00361E96" w:rsidRDefault="00CD0F26" w:rsidP="00CD0F26">
            <w:pPr>
              <w:rPr>
                <w:sz w:val="16"/>
                <w:szCs w:val="16"/>
              </w:rPr>
            </w:pPr>
            <w:r w:rsidRPr="00361E96">
              <w:rPr>
                <w:sz w:val="16"/>
                <w:szCs w:val="16"/>
              </w:rPr>
              <w:t>Tanga</w:t>
            </w:r>
          </w:p>
        </w:tc>
        <w:tc>
          <w:tcPr>
            <w:tcW w:w="814" w:type="pct"/>
            <w:tcBorders>
              <w:top w:val="nil"/>
              <w:bottom w:val="nil"/>
              <w:right w:val="nil"/>
            </w:tcBorders>
            <w:shd w:val="clear" w:color="auto" w:fill="auto"/>
            <w:noWrap/>
            <w:vAlign w:val="bottom"/>
            <w:hideMark/>
          </w:tcPr>
          <w:p w14:paraId="0BA9BD0E" w14:textId="516FF5DD" w:rsidR="00CD0F26" w:rsidRPr="00361E96" w:rsidRDefault="00CD0F26" w:rsidP="00CD0F26">
            <w:pPr>
              <w:jc w:val="right"/>
              <w:rPr>
                <w:sz w:val="16"/>
                <w:szCs w:val="16"/>
              </w:rPr>
            </w:pPr>
            <w:r w:rsidRPr="00361E96">
              <w:rPr>
                <w:sz w:val="16"/>
                <w:szCs w:val="16"/>
              </w:rPr>
              <w:t>1,247</w:t>
            </w:r>
          </w:p>
        </w:tc>
        <w:tc>
          <w:tcPr>
            <w:tcW w:w="892" w:type="pct"/>
            <w:tcBorders>
              <w:top w:val="nil"/>
              <w:left w:val="nil"/>
              <w:bottom w:val="nil"/>
              <w:right w:val="nil"/>
            </w:tcBorders>
            <w:shd w:val="clear" w:color="auto" w:fill="auto"/>
            <w:noWrap/>
            <w:vAlign w:val="bottom"/>
            <w:hideMark/>
          </w:tcPr>
          <w:p w14:paraId="09C684B3" w14:textId="302C6002" w:rsidR="00CD0F26" w:rsidRPr="00361E96" w:rsidRDefault="00CD0F26" w:rsidP="00CD0F26">
            <w:pPr>
              <w:jc w:val="right"/>
              <w:rPr>
                <w:sz w:val="16"/>
                <w:szCs w:val="16"/>
              </w:rPr>
            </w:pPr>
            <w:r w:rsidRPr="00361E96">
              <w:rPr>
                <w:sz w:val="16"/>
                <w:szCs w:val="16"/>
              </w:rPr>
              <w:t>895</w:t>
            </w:r>
          </w:p>
        </w:tc>
        <w:tc>
          <w:tcPr>
            <w:tcW w:w="1140" w:type="pct"/>
            <w:tcBorders>
              <w:top w:val="nil"/>
              <w:left w:val="nil"/>
              <w:bottom w:val="nil"/>
              <w:right w:val="nil"/>
            </w:tcBorders>
            <w:shd w:val="clear" w:color="auto" w:fill="auto"/>
            <w:noWrap/>
            <w:vAlign w:val="bottom"/>
            <w:hideMark/>
          </w:tcPr>
          <w:p w14:paraId="1FDD8CDD" w14:textId="14ACE3BC" w:rsidR="00CD0F26" w:rsidRPr="00361E96" w:rsidRDefault="00CD0F26" w:rsidP="00CD0F26">
            <w:pPr>
              <w:jc w:val="right"/>
              <w:rPr>
                <w:sz w:val="16"/>
                <w:szCs w:val="16"/>
              </w:rPr>
            </w:pPr>
            <w:r w:rsidRPr="00361E96">
              <w:rPr>
                <w:sz w:val="16"/>
                <w:szCs w:val="16"/>
              </w:rPr>
              <w:t>819</w:t>
            </w:r>
          </w:p>
        </w:tc>
        <w:tc>
          <w:tcPr>
            <w:tcW w:w="771" w:type="pct"/>
            <w:tcBorders>
              <w:top w:val="nil"/>
              <w:left w:val="nil"/>
              <w:bottom w:val="nil"/>
              <w:right w:val="nil"/>
            </w:tcBorders>
            <w:shd w:val="clear" w:color="auto" w:fill="auto"/>
            <w:noWrap/>
            <w:vAlign w:val="bottom"/>
            <w:hideMark/>
          </w:tcPr>
          <w:p w14:paraId="1171B8DA" w14:textId="4889638C" w:rsidR="00CD0F26" w:rsidRPr="00361E96" w:rsidRDefault="00CD0F26" w:rsidP="00CD0F26">
            <w:pPr>
              <w:jc w:val="right"/>
              <w:rPr>
                <w:sz w:val="16"/>
                <w:szCs w:val="16"/>
              </w:rPr>
            </w:pPr>
            <w:r w:rsidRPr="00361E96">
              <w:rPr>
                <w:sz w:val="16"/>
                <w:szCs w:val="16"/>
              </w:rPr>
              <w:t>0.9</w:t>
            </w:r>
          </w:p>
        </w:tc>
      </w:tr>
      <w:tr w:rsidR="00361E96" w:rsidRPr="00361E96" w14:paraId="5E729418" w14:textId="77777777" w:rsidTr="00D972DA">
        <w:trPr>
          <w:trHeight w:val="20"/>
        </w:trPr>
        <w:tc>
          <w:tcPr>
            <w:tcW w:w="1382" w:type="pct"/>
            <w:tcBorders>
              <w:top w:val="nil"/>
              <w:left w:val="nil"/>
              <w:bottom w:val="nil"/>
            </w:tcBorders>
            <w:shd w:val="clear" w:color="auto" w:fill="auto"/>
            <w:noWrap/>
            <w:vAlign w:val="bottom"/>
            <w:hideMark/>
          </w:tcPr>
          <w:p w14:paraId="299129CD" w14:textId="77777777" w:rsidR="00CD0F26" w:rsidRPr="00361E96" w:rsidRDefault="00CD0F26" w:rsidP="00CD0F26">
            <w:pPr>
              <w:rPr>
                <w:sz w:val="16"/>
                <w:szCs w:val="16"/>
              </w:rPr>
            </w:pPr>
            <w:r w:rsidRPr="00361E96">
              <w:rPr>
                <w:sz w:val="16"/>
                <w:szCs w:val="16"/>
              </w:rPr>
              <w:t>Morogoro</w:t>
            </w:r>
          </w:p>
        </w:tc>
        <w:tc>
          <w:tcPr>
            <w:tcW w:w="814" w:type="pct"/>
            <w:tcBorders>
              <w:top w:val="nil"/>
              <w:bottom w:val="nil"/>
              <w:right w:val="nil"/>
            </w:tcBorders>
            <w:shd w:val="clear" w:color="auto" w:fill="auto"/>
            <w:noWrap/>
            <w:vAlign w:val="bottom"/>
            <w:hideMark/>
          </w:tcPr>
          <w:p w14:paraId="40FD566B" w14:textId="3AEAE32F" w:rsidR="00CD0F26" w:rsidRPr="00361E96" w:rsidRDefault="00CD0F26" w:rsidP="00CD0F26">
            <w:pPr>
              <w:jc w:val="right"/>
              <w:rPr>
                <w:sz w:val="16"/>
                <w:szCs w:val="16"/>
              </w:rPr>
            </w:pPr>
            <w:r w:rsidRPr="00361E96">
              <w:rPr>
                <w:sz w:val="16"/>
                <w:szCs w:val="16"/>
              </w:rPr>
              <w:t>20,171</w:t>
            </w:r>
          </w:p>
        </w:tc>
        <w:tc>
          <w:tcPr>
            <w:tcW w:w="892" w:type="pct"/>
            <w:tcBorders>
              <w:top w:val="nil"/>
              <w:left w:val="nil"/>
              <w:bottom w:val="nil"/>
              <w:right w:val="nil"/>
            </w:tcBorders>
            <w:shd w:val="clear" w:color="auto" w:fill="auto"/>
            <w:noWrap/>
            <w:vAlign w:val="bottom"/>
            <w:hideMark/>
          </w:tcPr>
          <w:p w14:paraId="51E92282" w14:textId="6BBB4EE8" w:rsidR="00CD0F26" w:rsidRPr="00361E96" w:rsidRDefault="00CD0F26" w:rsidP="00CD0F26">
            <w:pPr>
              <w:jc w:val="right"/>
              <w:rPr>
                <w:sz w:val="16"/>
                <w:szCs w:val="16"/>
              </w:rPr>
            </w:pPr>
            <w:r w:rsidRPr="00361E96">
              <w:rPr>
                <w:sz w:val="16"/>
                <w:szCs w:val="16"/>
              </w:rPr>
              <w:t>17,563</w:t>
            </w:r>
          </w:p>
        </w:tc>
        <w:tc>
          <w:tcPr>
            <w:tcW w:w="1140" w:type="pct"/>
            <w:tcBorders>
              <w:top w:val="nil"/>
              <w:left w:val="nil"/>
              <w:bottom w:val="nil"/>
              <w:right w:val="nil"/>
            </w:tcBorders>
            <w:shd w:val="clear" w:color="auto" w:fill="auto"/>
            <w:noWrap/>
            <w:vAlign w:val="bottom"/>
            <w:hideMark/>
          </w:tcPr>
          <w:p w14:paraId="77DDB4AF" w14:textId="1EFF096C" w:rsidR="00CD0F26" w:rsidRPr="00361E96" w:rsidRDefault="00CD0F26" w:rsidP="00CD0F26">
            <w:pPr>
              <w:jc w:val="right"/>
              <w:rPr>
                <w:sz w:val="16"/>
                <w:szCs w:val="16"/>
              </w:rPr>
            </w:pPr>
            <w:r w:rsidRPr="00361E96">
              <w:rPr>
                <w:sz w:val="16"/>
                <w:szCs w:val="16"/>
              </w:rPr>
              <w:t>6,523</w:t>
            </w:r>
          </w:p>
        </w:tc>
        <w:tc>
          <w:tcPr>
            <w:tcW w:w="771" w:type="pct"/>
            <w:tcBorders>
              <w:top w:val="nil"/>
              <w:left w:val="nil"/>
              <w:bottom w:val="nil"/>
              <w:right w:val="nil"/>
            </w:tcBorders>
            <w:shd w:val="clear" w:color="auto" w:fill="auto"/>
            <w:noWrap/>
            <w:vAlign w:val="bottom"/>
            <w:hideMark/>
          </w:tcPr>
          <w:p w14:paraId="0F698727" w14:textId="184E3DAD" w:rsidR="00CD0F26" w:rsidRPr="00361E96" w:rsidRDefault="00CD0F26" w:rsidP="00CD0F26">
            <w:pPr>
              <w:jc w:val="right"/>
              <w:rPr>
                <w:sz w:val="16"/>
                <w:szCs w:val="16"/>
              </w:rPr>
            </w:pPr>
            <w:r w:rsidRPr="00361E96">
              <w:rPr>
                <w:sz w:val="16"/>
                <w:szCs w:val="16"/>
              </w:rPr>
              <w:t>0.4</w:t>
            </w:r>
          </w:p>
        </w:tc>
      </w:tr>
      <w:tr w:rsidR="00361E96" w:rsidRPr="00361E96" w14:paraId="69AD994F" w14:textId="77777777" w:rsidTr="00D972DA">
        <w:trPr>
          <w:trHeight w:val="20"/>
        </w:trPr>
        <w:tc>
          <w:tcPr>
            <w:tcW w:w="1382" w:type="pct"/>
            <w:tcBorders>
              <w:top w:val="nil"/>
              <w:left w:val="nil"/>
              <w:bottom w:val="nil"/>
            </w:tcBorders>
            <w:shd w:val="clear" w:color="auto" w:fill="auto"/>
            <w:noWrap/>
            <w:vAlign w:val="bottom"/>
            <w:hideMark/>
          </w:tcPr>
          <w:p w14:paraId="6CA84E02" w14:textId="77777777" w:rsidR="00CD0F26" w:rsidRPr="00361E96" w:rsidRDefault="00CD0F26" w:rsidP="00CD0F26">
            <w:pPr>
              <w:rPr>
                <w:sz w:val="16"/>
                <w:szCs w:val="16"/>
              </w:rPr>
            </w:pPr>
            <w:r w:rsidRPr="00361E96">
              <w:rPr>
                <w:sz w:val="16"/>
                <w:szCs w:val="16"/>
              </w:rPr>
              <w:t>Pwani</w:t>
            </w:r>
          </w:p>
        </w:tc>
        <w:tc>
          <w:tcPr>
            <w:tcW w:w="814" w:type="pct"/>
            <w:tcBorders>
              <w:top w:val="nil"/>
              <w:bottom w:val="nil"/>
              <w:right w:val="nil"/>
            </w:tcBorders>
            <w:shd w:val="clear" w:color="auto" w:fill="auto"/>
            <w:noWrap/>
            <w:vAlign w:val="bottom"/>
            <w:hideMark/>
          </w:tcPr>
          <w:p w14:paraId="0FC59525" w14:textId="10411C5A" w:rsidR="00CD0F26" w:rsidRPr="00361E96" w:rsidRDefault="00CD0F26" w:rsidP="00CD0F26">
            <w:pPr>
              <w:jc w:val="right"/>
              <w:rPr>
                <w:sz w:val="16"/>
                <w:szCs w:val="16"/>
              </w:rPr>
            </w:pPr>
            <w:r w:rsidRPr="00361E96">
              <w:rPr>
                <w:sz w:val="16"/>
                <w:szCs w:val="16"/>
              </w:rPr>
              <w:t>21,840</w:t>
            </w:r>
          </w:p>
        </w:tc>
        <w:tc>
          <w:tcPr>
            <w:tcW w:w="892" w:type="pct"/>
            <w:tcBorders>
              <w:top w:val="nil"/>
              <w:left w:val="nil"/>
              <w:bottom w:val="nil"/>
              <w:right w:val="nil"/>
            </w:tcBorders>
            <w:shd w:val="clear" w:color="auto" w:fill="auto"/>
            <w:noWrap/>
            <w:vAlign w:val="bottom"/>
            <w:hideMark/>
          </w:tcPr>
          <w:p w14:paraId="29F76E01" w14:textId="112862A6" w:rsidR="00CD0F26" w:rsidRPr="00361E96" w:rsidRDefault="00CD0F26" w:rsidP="00CD0F26">
            <w:pPr>
              <w:jc w:val="right"/>
              <w:rPr>
                <w:sz w:val="16"/>
                <w:szCs w:val="16"/>
              </w:rPr>
            </w:pPr>
            <w:r w:rsidRPr="00361E96">
              <w:rPr>
                <w:sz w:val="16"/>
                <w:szCs w:val="16"/>
              </w:rPr>
              <w:t>17,591</w:t>
            </w:r>
          </w:p>
        </w:tc>
        <w:tc>
          <w:tcPr>
            <w:tcW w:w="1140" w:type="pct"/>
            <w:tcBorders>
              <w:top w:val="nil"/>
              <w:left w:val="nil"/>
              <w:bottom w:val="nil"/>
              <w:right w:val="nil"/>
            </w:tcBorders>
            <w:shd w:val="clear" w:color="auto" w:fill="auto"/>
            <w:noWrap/>
            <w:vAlign w:val="bottom"/>
            <w:hideMark/>
          </w:tcPr>
          <w:p w14:paraId="1443F3BC" w14:textId="73D47643" w:rsidR="00CD0F26" w:rsidRPr="00361E96" w:rsidRDefault="00CD0F26" w:rsidP="00CD0F26">
            <w:pPr>
              <w:jc w:val="right"/>
              <w:rPr>
                <w:sz w:val="16"/>
                <w:szCs w:val="16"/>
              </w:rPr>
            </w:pPr>
            <w:r w:rsidRPr="00361E96">
              <w:rPr>
                <w:sz w:val="16"/>
                <w:szCs w:val="16"/>
              </w:rPr>
              <w:t>5,832</w:t>
            </w:r>
          </w:p>
        </w:tc>
        <w:tc>
          <w:tcPr>
            <w:tcW w:w="771" w:type="pct"/>
            <w:tcBorders>
              <w:top w:val="nil"/>
              <w:left w:val="nil"/>
              <w:bottom w:val="nil"/>
              <w:right w:val="nil"/>
            </w:tcBorders>
            <w:shd w:val="clear" w:color="auto" w:fill="auto"/>
            <w:noWrap/>
            <w:vAlign w:val="bottom"/>
            <w:hideMark/>
          </w:tcPr>
          <w:p w14:paraId="0DEA1ED5" w14:textId="35B70523" w:rsidR="00CD0F26" w:rsidRPr="00361E96" w:rsidRDefault="00CD0F26" w:rsidP="00CD0F26">
            <w:pPr>
              <w:jc w:val="right"/>
              <w:rPr>
                <w:sz w:val="16"/>
                <w:szCs w:val="16"/>
              </w:rPr>
            </w:pPr>
            <w:r w:rsidRPr="00361E96">
              <w:rPr>
                <w:sz w:val="16"/>
                <w:szCs w:val="16"/>
              </w:rPr>
              <w:t>0.3</w:t>
            </w:r>
          </w:p>
        </w:tc>
      </w:tr>
      <w:tr w:rsidR="00361E96" w:rsidRPr="00361E96" w14:paraId="449EDBCD" w14:textId="77777777" w:rsidTr="00D972DA">
        <w:trPr>
          <w:trHeight w:val="20"/>
        </w:trPr>
        <w:tc>
          <w:tcPr>
            <w:tcW w:w="1382" w:type="pct"/>
            <w:tcBorders>
              <w:top w:val="nil"/>
              <w:left w:val="nil"/>
              <w:bottom w:val="nil"/>
            </w:tcBorders>
            <w:shd w:val="clear" w:color="auto" w:fill="auto"/>
            <w:noWrap/>
            <w:vAlign w:val="bottom"/>
            <w:hideMark/>
          </w:tcPr>
          <w:p w14:paraId="43DF53ED" w14:textId="77777777" w:rsidR="00CD0F26" w:rsidRPr="00361E96" w:rsidRDefault="00CD0F26" w:rsidP="00CD0F26">
            <w:pPr>
              <w:rPr>
                <w:sz w:val="16"/>
                <w:szCs w:val="16"/>
              </w:rPr>
            </w:pPr>
            <w:r w:rsidRPr="00361E96">
              <w:rPr>
                <w:sz w:val="16"/>
                <w:szCs w:val="16"/>
              </w:rPr>
              <w:t>Dar Es Salaam</w:t>
            </w:r>
          </w:p>
        </w:tc>
        <w:tc>
          <w:tcPr>
            <w:tcW w:w="814" w:type="pct"/>
            <w:tcBorders>
              <w:top w:val="nil"/>
              <w:bottom w:val="nil"/>
              <w:right w:val="nil"/>
            </w:tcBorders>
            <w:shd w:val="clear" w:color="auto" w:fill="auto"/>
            <w:noWrap/>
            <w:vAlign w:val="bottom"/>
            <w:hideMark/>
          </w:tcPr>
          <w:p w14:paraId="69A377F9" w14:textId="2513707F" w:rsidR="00CD0F26" w:rsidRPr="00361E96" w:rsidRDefault="00CD0F26" w:rsidP="00CD0F26">
            <w:pPr>
              <w:jc w:val="right"/>
              <w:rPr>
                <w:sz w:val="16"/>
                <w:szCs w:val="16"/>
              </w:rPr>
            </w:pPr>
            <w:r w:rsidRPr="00361E96">
              <w:rPr>
                <w:sz w:val="16"/>
                <w:szCs w:val="16"/>
              </w:rPr>
              <w:t>4,580</w:t>
            </w:r>
          </w:p>
        </w:tc>
        <w:tc>
          <w:tcPr>
            <w:tcW w:w="892" w:type="pct"/>
            <w:tcBorders>
              <w:top w:val="nil"/>
              <w:left w:val="nil"/>
              <w:bottom w:val="nil"/>
              <w:right w:val="nil"/>
            </w:tcBorders>
            <w:shd w:val="clear" w:color="auto" w:fill="auto"/>
            <w:noWrap/>
            <w:vAlign w:val="bottom"/>
            <w:hideMark/>
          </w:tcPr>
          <w:p w14:paraId="3F3E733C" w14:textId="32268EC9" w:rsidR="00CD0F26" w:rsidRPr="00361E96" w:rsidRDefault="00CD0F26" w:rsidP="00CD0F26">
            <w:pPr>
              <w:jc w:val="right"/>
              <w:rPr>
                <w:sz w:val="16"/>
                <w:szCs w:val="16"/>
              </w:rPr>
            </w:pPr>
            <w:r w:rsidRPr="00361E96">
              <w:rPr>
                <w:sz w:val="16"/>
                <w:szCs w:val="16"/>
              </w:rPr>
              <w:t>4,580</w:t>
            </w:r>
          </w:p>
        </w:tc>
        <w:tc>
          <w:tcPr>
            <w:tcW w:w="1140" w:type="pct"/>
            <w:tcBorders>
              <w:top w:val="nil"/>
              <w:left w:val="nil"/>
              <w:bottom w:val="nil"/>
              <w:right w:val="nil"/>
            </w:tcBorders>
            <w:shd w:val="clear" w:color="auto" w:fill="auto"/>
            <w:noWrap/>
            <w:vAlign w:val="bottom"/>
            <w:hideMark/>
          </w:tcPr>
          <w:p w14:paraId="59D78E3A" w14:textId="21487B88" w:rsidR="00CD0F26" w:rsidRPr="00361E96" w:rsidRDefault="00CD0F26" w:rsidP="00CD0F26">
            <w:pPr>
              <w:jc w:val="right"/>
              <w:rPr>
                <w:sz w:val="16"/>
                <w:szCs w:val="16"/>
              </w:rPr>
            </w:pPr>
            <w:r w:rsidRPr="00361E96">
              <w:rPr>
                <w:sz w:val="16"/>
                <w:szCs w:val="16"/>
              </w:rPr>
              <w:t>1,819</w:t>
            </w:r>
          </w:p>
        </w:tc>
        <w:tc>
          <w:tcPr>
            <w:tcW w:w="771" w:type="pct"/>
            <w:tcBorders>
              <w:top w:val="nil"/>
              <w:left w:val="nil"/>
              <w:bottom w:val="nil"/>
              <w:right w:val="nil"/>
            </w:tcBorders>
            <w:shd w:val="clear" w:color="auto" w:fill="auto"/>
            <w:noWrap/>
            <w:vAlign w:val="bottom"/>
            <w:hideMark/>
          </w:tcPr>
          <w:p w14:paraId="3D782136" w14:textId="49FC3A19" w:rsidR="00CD0F26" w:rsidRPr="00361E96" w:rsidRDefault="00CD0F26" w:rsidP="00CD0F26">
            <w:pPr>
              <w:jc w:val="right"/>
              <w:rPr>
                <w:sz w:val="16"/>
                <w:szCs w:val="16"/>
              </w:rPr>
            </w:pPr>
            <w:r w:rsidRPr="00361E96">
              <w:rPr>
                <w:sz w:val="16"/>
                <w:szCs w:val="16"/>
              </w:rPr>
              <w:t>0.4</w:t>
            </w:r>
          </w:p>
        </w:tc>
      </w:tr>
      <w:tr w:rsidR="00361E96" w:rsidRPr="00361E96" w14:paraId="56F7E51A" w14:textId="77777777" w:rsidTr="00D972DA">
        <w:trPr>
          <w:trHeight w:val="20"/>
        </w:trPr>
        <w:tc>
          <w:tcPr>
            <w:tcW w:w="1382" w:type="pct"/>
            <w:tcBorders>
              <w:top w:val="nil"/>
              <w:left w:val="nil"/>
              <w:bottom w:val="nil"/>
            </w:tcBorders>
            <w:shd w:val="clear" w:color="auto" w:fill="auto"/>
            <w:noWrap/>
            <w:vAlign w:val="bottom"/>
            <w:hideMark/>
          </w:tcPr>
          <w:p w14:paraId="1D631061" w14:textId="77777777" w:rsidR="00CD0F26" w:rsidRPr="00361E96" w:rsidRDefault="00CD0F26" w:rsidP="00CD0F26">
            <w:pPr>
              <w:rPr>
                <w:sz w:val="16"/>
                <w:szCs w:val="16"/>
              </w:rPr>
            </w:pPr>
            <w:r w:rsidRPr="00361E96">
              <w:rPr>
                <w:sz w:val="16"/>
                <w:szCs w:val="16"/>
              </w:rPr>
              <w:t>Lindi</w:t>
            </w:r>
          </w:p>
        </w:tc>
        <w:tc>
          <w:tcPr>
            <w:tcW w:w="814" w:type="pct"/>
            <w:tcBorders>
              <w:top w:val="nil"/>
              <w:bottom w:val="nil"/>
              <w:right w:val="nil"/>
            </w:tcBorders>
            <w:shd w:val="clear" w:color="auto" w:fill="auto"/>
            <w:noWrap/>
            <w:vAlign w:val="bottom"/>
            <w:hideMark/>
          </w:tcPr>
          <w:p w14:paraId="7C7828F5" w14:textId="7D4952E2" w:rsidR="00CD0F26" w:rsidRPr="00361E96" w:rsidRDefault="00CD0F26" w:rsidP="00CD0F26">
            <w:pPr>
              <w:jc w:val="right"/>
              <w:rPr>
                <w:sz w:val="16"/>
                <w:szCs w:val="16"/>
              </w:rPr>
            </w:pPr>
            <w:r w:rsidRPr="00361E96">
              <w:rPr>
                <w:sz w:val="16"/>
                <w:szCs w:val="16"/>
              </w:rPr>
              <w:t>113,169</w:t>
            </w:r>
          </w:p>
        </w:tc>
        <w:tc>
          <w:tcPr>
            <w:tcW w:w="892" w:type="pct"/>
            <w:tcBorders>
              <w:top w:val="nil"/>
              <w:left w:val="nil"/>
              <w:bottom w:val="nil"/>
              <w:right w:val="nil"/>
            </w:tcBorders>
            <w:shd w:val="clear" w:color="auto" w:fill="auto"/>
            <w:noWrap/>
            <w:vAlign w:val="bottom"/>
            <w:hideMark/>
          </w:tcPr>
          <w:p w14:paraId="28C84966" w14:textId="1C1DA1E2" w:rsidR="00CD0F26" w:rsidRPr="00361E96" w:rsidRDefault="00CD0F26" w:rsidP="00CD0F26">
            <w:pPr>
              <w:jc w:val="right"/>
              <w:rPr>
                <w:sz w:val="16"/>
                <w:szCs w:val="16"/>
              </w:rPr>
            </w:pPr>
            <w:r w:rsidRPr="00361E96">
              <w:rPr>
                <w:sz w:val="16"/>
                <w:szCs w:val="16"/>
              </w:rPr>
              <w:t>91,820</w:t>
            </w:r>
          </w:p>
        </w:tc>
        <w:tc>
          <w:tcPr>
            <w:tcW w:w="1140" w:type="pct"/>
            <w:tcBorders>
              <w:top w:val="nil"/>
              <w:left w:val="nil"/>
              <w:bottom w:val="nil"/>
              <w:right w:val="nil"/>
            </w:tcBorders>
            <w:shd w:val="clear" w:color="auto" w:fill="auto"/>
            <w:noWrap/>
            <w:vAlign w:val="bottom"/>
            <w:hideMark/>
          </w:tcPr>
          <w:p w14:paraId="26B4946A" w14:textId="76554534" w:rsidR="00CD0F26" w:rsidRPr="00361E96" w:rsidRDefault="00CD0F26" w:rsidP="00CD0F26">
            <w:pPr>
              <w:jc w:val="right"/>
              <w:rPr>
                <w:sz w:val="16"/>
                <w:szCs w:val="16"/>
              </w:rPr>
            </w:pPr>
            <w:r w:rsidRPr="00361E96">
              <w:rPr>
                <w:sz w:val="16"/>
                <w:szCs w:val="16"/>
              </w:rPr>
              <w:t>26,900</w:t>
            </w:r>
          </w:p>
        </w:tc>
        <w:tc>
          <w:tcPr>
            <w:tcW w:w="771" w:type="pct"/>
            <w:tcBorders>
              <w:top w:val="nil"/>
              <w:left w:val="nil"/>
              <w:bottom w:val="nil"/>
              <w:right w:val="nil"/>
            </w:tcBorders>
            <w:shd w:val="clear" w:color="auto" w:fill="auto"/>
            <w:noWrap/>
            <w:vAlign w:val="bottom"/>
            <w:hideMark/>
          </w:tcPr>
          <w:p w14:paraId="78AE6F7C" w14:textId="5F28BBF3" w:rsidR="00CD0F26" w:rsidRPr="00361E96" w:rsidRDefault="00CD0F26" w:rsidP="00CD0F26">
            <w:pPr>
              <w:jc w:val="right"/>
              <w:rPr>
                <w:sz w:val="16"/>
                <w:szCs w:val="16"/>
              </w:rPr>
            </w:pPr>
            <w:r w:rsidRPr="00361E96">
              <w:rPr>
                <w:sz w:val="16"/>
                <w:szCs w:val="16"/>
              </w:rPr>
              <w:t>0.3</w:t>
            </w:r>
          </w:p>
        </w:tc>
      </w:tr>
      <w:tr w:rsidR="00361E96" w:rsidRPr="00361E96" w14:paraId="56FB72FD" w14:textId="77777777" w:rsidTr="00D972DA">
        <w:trPr>
          <w:trHeight w:val="20"/>
        </w:trPr>
        <w:tc>
          <w:tcPr>
            <w:tcW w:w="1382" w:type="pct"/>
            <w:tcBorders>
              <w:top w:val="nil"/>
              <w:left w:val="nil"/>
              <w:bottom w:val="nil"/>
            </w:tcBorders>
            <w:shd w:val="clear" w:color="auto" w:fill="auto"/>
            <w:noWrap/>
            <w:vAlign w:val="bottom"/>
            <w:hideMark/>
          </w:tcPr>
          <w:p w14:paraId="7F1CF66D" w14:textId="77777777" w:rsidR="00CD0F26" w:rsidRPr="00361E96" w:rsidRDefault="00CD0F26" w:rsidP="00CD0F26">
            <w:pPr>
              <w:rPr>
                <w:sz w:val="16"/>
                <w:szCs w:val="16"/>
              </w:rPr>
            </w:pPr>
            <w:r w:rsidRPr="00361E96">
              <w:rPr>
                <w:sz w:val="16"/>
                <w:szCs w:val="16"/>
              </w:rPr>
              <w:t>Mtwara</w:t>
            </w:r>
          </w:p>
        </w:tc>
        <w:tc>
          <w:tcPr>
            <w:tcW w:w="814" w:type="pct"/>
            <w:tcBorders>
              <w:top w:val="nil"/>
              <w:bottom w:val="nil"/>
              <w:right w:val="nil"/>
            </w:tcBorders>
            <w:shd w:val="clear" w:color="auto" w:fill="auto"/>
            <w:noWrap/>
            <w:vAlign w:val="bottom"/>
            <w:hideMark/>
          </w:tcPr>
          <w:p w14:paraId="1526A797" w14:textId="1D96CF5A" w:rsidR="00CD0F26" w:rsidRPr="00361E96" w:rsidRDefault="00CD0F26" w:rsidP="00CD0F26">
            <w:pPr>
              <w:jc w:val="right"/>
              <w:rPr>
                <w:sz w:val="16"/>
                <w:szCs w:val="16"/>
              </w:rPr>
            </w:pPr>
            <w:r w:rsidRPr="00361E96">
              <w:rPr>
                <w:sz w:val="16"/>
                <w:szCs w:val="16"/>
              </w:rPr>
              <w:t>37,877</w:t>
            </w:r>
          </w:p>
        </w:tc>
        <w:tc>
          <w:tcPr>
            <w:tcW w:w="892" w:type="pct"/>
            <w:tcBorders>
              <w:top w:val="nil"/>
              <w:left w:val="nil"/>
              <w:bottom w:val="nil"/>
              <w:right w:val="nil"/>
            </w:tcBorders>
            <w:shd w:val="clear" w:color="auto" w:fill="auto"/>
            <w:noWrap/>
            <w:vAlign w:val="bottom"/>
            <w:hideMark/>
          </w:tcPr>
          <w:p w14:paraId="06F8063A" w14:textId="5D481A3F" w:rsidR="00CD0F26" w:rsidRPr="00361E96" w:rsidRDefault="00CD0F26" w:rsidP="00CD0F26">
            <w:pPr>
              <w:jc w:val="right"/>
              <w:rPr>
                <w:sz w:val="16"/>
                <w:szCs w:val="16"/>
              </w:rPr>
            </w:pPr>
            <w:r w:rsidRPr="00361E96">
              <w:rPr>
                <w:sz w:val="16"/>
                <w:szCs w:val="16"/>
              </w:rPr>
              <w:t>34,577</w:t>
            </w:r>
          </w:p>
        </w:tc>
        <w:tc>
          <w:tcPr>
            <w:tcW w:w="1140" w:type="pct"/>
            <w:tcBorders>
              <w:top w:val="nil"/>
              <w:left w:val="nil"/>
              <w:bottom w:val="nil"/>
              <w:right w:val="nil"/>
            </w:tcBorders>
            <w:shd w:val="clear" w:color="auto" w:fill="auto"/>
            <w:noWrap/>
            <w:vAlign w:val="bottom"/>
            <w:hideMark/>
          </w:tcPr>
          <w:p w14:paraId="7413A5A6" w14:textId="208797AF" w:rsidR="00CD0F26" w:rsidRPr="00361E96" w:rsidRDefault="00CD0F26" w:rsidP="00CD0F26">
            <w:pPr>
              <w:jc w:val="right"/>
              <w:rPr>
                <w:sz w:val="16"/>
                <w:szCs w:val="16"/>
              </w:rPr>
            </w:pPr>
            <w:r w:rsidRPr="00361E96">
              <w:rPr>
                <w:sz w:val="16"/>
                <w:szCs w:val="16"/>
              </w:rPr>
              <w:t>10,433</w:t>
            </w:r>
          </w:p>
        </w:tc>
        <w:tc>
          <w:tcPr>
            <w:tcW w:w="771" w:type="pct"/>
            <w:tcBorders>
              <w:top w:val="nil"/>
              <w:left w:val="nil"/>
              <w:bottom w:val="nil"/>
              <w:right w:val="nil"/>
            </w:tcBorders>
            <w:shd w:val="clear" w:color="auto" w:fill="auto"/>
            <w:noWrap/>
            <w:vAlign w:val="bottom"/>
            <w:hideMark/>
          </w:tcPr>
          <w:p w14:paraId="30C6D58E" w14:textId="0F70B3F5" w:rsidR="00CD0F26" w:rsidRPr="00361E96" w:rsidRDefault="00CD0F26" w:rsidP="00CD0F26">
            <w:pPr>
              <w:jc w:val="right"/>
              <w:rPr>
                <w:sz w:val="16"/>
                <w:szCs w:val="16"/>
              </w:rPr>
            </w:pPr>
            <w:r w:rsidRPr="00361E96">
              <w:rPr>
                <w:sz w:val="16"/>
                <w:szCs w:val="16"/>
              </w:rPr>
              <w:t>0.3</w:t>
            </w:r>
          </w:p>
        </w:tc>
      </w:tr>
      <w:tr w:rsidR="00361E96" w:rsidRPr="00361E96" w14:paraId="184C94F2" w14:textId="77777777" w:rsidTr="00D972DA">
        <w:trPr>
          <w:trHeight w:val="20"/>
        </w:trPr>
        <w:tc>
          <w:tcPr>
            <w:tcW w:w="1382" w:type="pct"/>
            <w:tcBorders>
              <w:top w:val="nil"/>
              <w:left w:val="nil"/>
              <w:bottom w:val="nil"/>
            </w:tcBorders>
            <w:shd w:val="clear" w:color="auto" w:fill="auto"/>
            <w:noWrap/>
            <w:vAlign w:val="bottom"/>
            <w:hideMark/>
          </w:tcPr>
          <w:p w14:paraId="07773BEA" w14:textId="77777777" w:rsidR="00CD0F26" w:rsidRPr="00361E96" w:rsidRDefault="00CD0F26" w:rsidP="00CD0F26">
            <w:pPr>
              <w:rPr>
                <w:sz w:val="16"/>
                <w:szCs w:val="16"/>
              </w:rPr>
            </w:pPr>
            <w:r w:rsidRPr="00361E96">
              <w:rPr>
                <w:sz w:val="16"/>
                <w:szCs w:val="16"/>
              </w:rPr>
              <w:t>Ruvuma</w:t>
            </w:r>
          </w:p>
        </w:tc>
        <w:tc>
          <w:tcPr>
            <w:tcW w:w="814" w:type="pct"/>
            <w:tcBorders>
              <w:top w:val="nil"/>
              <w:bottom w:val="nil"/>
              <w:right w:val="nil"/>
            </w:tcBorders>
            <w:shd w:val="clear" w:color="auto" w:fill="auto"/>
            <w:noWrap/>
            <w:vAlign w:val="bottom"/>
            <w:hideMark/>
          </w:tcPr>
          <w:p w14:paraId="044237FC" w14:textId="30A3822E" w:rsidR="00CD0F26" w:rsidRPr="00361E96" w:rsidRDefault="00CD0F26" w:rsidP="00CD0F26">
            <w:pPr>
              <w:jc w:val="right"/>
              <w:rPr>
                <w:sz w:val="16"/>
                <w:szCs w:val="16"/>
              </w:rPr>
            </w:pPr>
            <w:r w:rsidRPr="00361E96">
              <w:rPr>
                <w:sz w:val="16"/>
                <w:szCs w:val="16"/>
              </w:rPr>
              <w:t>42,844</w:t>
            </w:r>
          </w:p>
        </w:tc>
        <w:tc>
          <w:tcPr>
            <w:tcW w:w="892" w:type="pct"/>
            <w:tcBorders>
              <w:top w:val="nil"/>
              <w:left w:val="nil"/>
              <w:bottom w:val="nil"/>
              <w:right w:val="nil"/>
            </w:tcBorders>
            <w:shd w:val="clear" w:color="auto" w:fill="auto"/>
            <w:noWrap/>
            <w:vAlign w:val="bottom"/>
            <w:hideMark/>
          </w:tcPr>
          <w:p w14:paraId="7B6A65F5" w14:textId="40C0FA3A" w:rsidR="00CD0F26" w:rsidRPr="00361E96" w:rsidRDefault="00CD0F26" w:rsidP="00CD0F26">
            <w:pPr>
              <w:jc w:val="right"/>
              <w:rPr>
                <w:sz w:val="16"/>
                <w:szCs w:val="16"/>
              </w:rPr>
            </w:pPr>
            <w:r w:rsidRPr="00361E96">
              <w:rPr>
                <w:sz w:val="16"/>
                <w:szCs w:val="16"/>
              </w:rPr>
              <w:t>39,818</w:t>
            </w:r>
          </w:p>
        </w:tc>
        <w:tc>
          <w:tcPr>
            <w:tcW w:w="1140" w:type="pct"/>
            <w:tcBorders>
              <w:top w:val="nil"/>
              <w:left w:val="nil"/>
              <w:bottom w:val="nil"/>
              <w:right w:val="nil"/>
            </w:tcBorders>
            <w:shd w:val="clear" w:color="auto" w:fill="auto"/>
            <w:noWrap/>
            <w:vAlign w:val="bottom"/>
            <w:hideMark/>
          </w:tcPr>
          <w:p w14:paraId="3BD656AC" w14:textId="7C559423" w:rsidR="00CD0F26" w:rsidRPr="00361E96" w:rsidRDefault="00CD0F26" w:rsidP="00CD0F26">
            <w:pPr>
              <w:jc w:val="right"/>
              <w:rPr>
                <w:sz w:val="16"/>
                <w:szCs w:val="16"/>
              </w:rPr>
            </w:pPr>
            <w:r w:rsidRPr="00361E96">
              <w:rPr>
                <w:sz w:val="16"/>
                <w:szCs w:val="16"/>
              </w:rPr>
              <w:t>13,237</w:t>
            </w:r>
          </w:p>
        </w:tc>
        <w:tc>
          <w:tcPr>
            <w:tcW w:w="771" w:type="pct"/>
            <w:tcBorders>
              <w:top w:val="nil"/>
              <w:left w:val="nil"/>
              <w:bottom w:val="nil"/>
              <w:right w:val="nil"/>
            </w:tcBorders>
            <w:shd w:val="clear" w:color="auto" w:fill="auto"/>
            <w:noWrap/>
            <w:vAlign w:val="bottom"/>
            <w:hideMark/>
          </w:tcPr>
          <w:p w14:paraId="28C7E944" w14:textId="60CCF3DB" w:rsidR="00CD0F26" w:rsidRPr="00361E96" w:rsidRDefault="00CD0F26" w:rsidP="00CD0F26">
            <w:pPr>
              <w:jc w:val="right"/>
              <w:rPr>
                <w:sz w:val="16"/>
                <w:szCs w:val="16"/>
              </w:rPr>
            </w:pPr>
            <w:r w:rsidRPr="00361E96">
              <w:rPr>
                <w:sz w:val="16"/>
                <w:szCs w:val="16"/>
              </w:rPr>
              <w:t>0.3</w:t>
            </w:r>
          </w:p>
        </w:tc>
      </w:tr>
      <w:tr w:rsidR="00361E96" w:rsidRPr="00361E96" w14:paraId="2361A5FD" w14:textId="77777777" w:rsidTr="00D972DA">
        <w:trPr>
          <w:trHeight w:val="20"/>
        </w:trPr>
        <w:tc>
          <w:tcPr>
            <w:tcW w:w="1382" w:type="pct"/>
            <w:tcBorders>
              <w:top w:val="nil"/>
              <w:left w:val="nil"/>
              <w:bottom w:val="nil"/>
            </w:tcBorders>
            <w:shd w:val="clear" w:color="auto" w:fill="auto"/>
            <w:noWrap/>
            <w:vAlign w:val="bottom"/>
            <w:hideMark/>
          </w:tcPr>
          <w:p w14:paraId="4CFAC714" w14:textId="77777777" w:rsidR="00CD0F26" w:rsidRPr="00361E96" w:rsidRDefault="00CD0F26" w:rsidP="00CD0F26">
            <w:pPr>
              <w:rPr>
                <w:sz w:val="16"/>
                <w:szCs w:val="16"/>
              </w:rPr>
            </w:pPr>
            <w:r w:rsidRPr="00361E96">
              <w:rPr>
                <w:sz w:val="16"/>
                <w:szCs w:val="16"/>
              </w:rPr>
              <w:t>Iringa</w:t>
            </w:r>
          </w:p>
        </w:tc>
        <w:tc>
          <w:tcPr>
            <w:tcW w:w="814" w:type="pct"/>
            <w:tcBorders>
              <w:top w:val="nil"/>
              <w:bottom w:val="nil"/>
              <w:right w:val="nil"/>
            </w:tcBorders>
            <w:shd w:val="clear" w:color="auto" w:fill="auto"/>
            <w:noWrap/>
            <w:vAlign w:val="bottom"/>
            <w:hideMark/>
          </w:tcPr>
          <w:p w14:paraId="4BB428D3" w14:textId="624123E0" w:rsidR="00CD0F26" w:rsidRPr="00361E96" w:rsidRDefault="00CD0F26" w:rsidP="00CD0F26">
            <w:pPr>
              <w:jc w:val="right"/>
              <w:rPr>
                <w:sz w:val="16"/>
                <w:szCs w:val="16"/>
              </w:rPr>
            </w:pPr>
            <w:r w:rsidRPr="00361E96">
              <w:rPr>
                <w:sz w:val="16"/>
                <w:szCs w:val="16"/>
              </w:rPr>
              <w:t>2,288</w:t>
            </w:r>
          </w:p>
        </w:tc>
        <w:tc>
          <w:tcPr>
            <w:tcW w:w="892" w:type="pct"/>
            <w:tcBorders>
              <w:top w:val="nil"/>
              <w:left w:val="nil"/>
              <w:bottom w:val="nil"/>
              <w:right w:val="nil"/>
            </w:tcBorders>
            <w:shd w:val="clear" w:color="auto" w:fill="auto"/>
            <w:noWrap/>
            <w:vAlign w:val="bottom"/>
            <w:hideMark/>
          </w:tcPr>
          <w:p w14:paraId="598F0955" w14:textId="3BDA3B18" w:rsidR="00CD0F26" w:rsidRPr="00361E96" w:rsidRDefault="00CD0F26" w:rsidP="00CD0F26">
            <w:pPr>
              <w:jc w:val="right"/>
              <w:rPr>
                <w:sz w:val="16"/>
                <w:szCs w:val="16"/>
              </w:rPr>
            </w:pPr>
            <w:r w:rsidRPr="00361E96">
              <w:rPr>
                <w:sz w:val="16"/>
                <w:szCs w:val="16"/>
              </w:rPr>
              <w:t>1,880</w:t>
            </w:r>
          </w:p>
        </w:tc>
        <w:tc>
          <w:tcPr>
            <w:tcW w:w="1140" w:type="pct"/>
            <w:tcBorders>
              <w:top w:val="nil"/>
              <w:left w:val="nil"/>
              <w:bottom w:val="nil"/>
              <w:right w:val="nil"/>
            </w:tcBorders>
            <w:shd w:val="clear" w:color="auto" w:fill="auto"/>
            <w:noWrap/>
            <w:vAlign w:val="bottom"/>
            <w:hideMark/>
          </w:tcPr>
          <w:p w14:paraId="5F65E42F" w14:textId="03C6676A" w:rsidR="00CD0F26" w:rsidRPr="00361E96" w:rsidRDefault="00CD0F26" w:rsidP="00CD0F26">
            <w:pPr>
              <w:jc w:val="right"/>
              <w:rPr>
                <w:sz w:val="16"/>
                <w:szCs w:val="16"/>
              </w:rPr>
            </w:pPr>
            <w:r w:rsidRPr="00361E96">
              <w:rPr>
                <w:sz w:val="16"/>
                <w:szCs w:val="16"/>
              </w:rPr>
              <w:t>1,202</w:t>
            </w:r>
          </w:p>
        </w:tc>
        <w:tc>
          <w:tcPr>
            <w:tcW w:w="771" w:type="pct"/>
            <w:tcBorders>
              <w:top w:val="nil"/>
              <w:left w:val="nil"/>
              <w:bottom w:val="nil"/>
              <w:right w:val="nil"/>
            </w:tcBorders>
            <w:shd w:val="clear" w:color="auto" w:fill="auto"/>
            <w:noWrap/>
            <w:vAlign w:val="bottom"/>
            <w:hideMark/>
          </w:tcPr>
          <w:p w14:paraId="62EFC4E6" w14:textId="7EA6BCA5" w:rsidR="00CD0F26" w:rsidRPr="00361E96" w:rsidRDefault="00CD0F26" w:rsidP="00CD0F26">
            <w:pPr>
              <w:jc w:val="right"/>
              <w:rPr>
                <w:sz w:val="16"/>
                <w:szCs w:val="16"/>
              </w:rPr>
            </w:pPr>
            <w:r w:rsidRPr="00361E96">
              <w:rPr>
                <w:sz w:val="16"/>
                <w:szCs w:val="16"/>
              </w:rPr>
              <w:t>0.6</w:t>
            </w:r>
          </w:p>
        </w:tc>
      </w:tr>
      <w:tr w:rsidR="00361E96" w:rsidRPr="00361E96" w14:paraId="38BD1A93" w14:textId="77777777" w:rsidTr="00D972DA">
        <w:trPr>
          <w:trHeight w:val="20"/>
        </w:trPr>
        <w:tc>
          <w:tcPr>
            <w:tcW w:w="1382" w:type="pct"/>
            <w:tcBorders>
              <w:top w:val="nil"/>
              <w:left w:val="nil"/>
              <w:bottom w:val="nil"/>
            </w:tcBorders>
            <w:shd w:val="clear" w:color="auto" w:fill="auto"/>
            <w:noWrap/>
            <w:vAlign w:val="bottom"/>
            <w:hideMark/>
          </w:tcPr>
          <w:p w14:paraId="7429AD1B" w14:textId="77777777" w:rsidR="00CD0F26" w:rsidRPr="00361E96" w:rsidRDefault="00CD0F26" w:rsidP="00CD0F26">
            <w:pPr>
              <w:rPr>
                <w:sz w:val="16"/>
                <w:szCs w:val="16"/>
              </w:rPr>
            </w:pPr>
            <w:r w:rsidRPr="00361E96">
              <w:rPr>
                <w:sz w:val="16"/>
                <w:szCs w:val="16"/>
              </w:rPr>
              <w:t>Mbeya</w:t>
            </w:r>
          </w:p>
        </w:tc>
        <w:tc>
          <w:tcPr>
            <w:tcW w:w="814" w:type="pct"/>
            <w:tcBorders>
              <w:top w:val="nil"/>
              <w:bottom w:val="nil"/>
              <w:right w:val="nil"/>
            </w:tcBorders>
            <w:shd w:val="clear" w:color="auto" w:fill="auto"/>
            <w:noWrap/>
            <w:vAlign w:val="bottom"/>
            <w:hideMark/>
          </w:tcPr>
          <w:p w14:paraId="7DE2C89C" w14:textId="5CABA71F" w:rsidR="00CD0F26" w:rsidRPr="00361E96" w:rsidRDefault="00CD0F26" w:rsidP="00CD0F26">
            <w:pPr>
              <w:jc w:val="right"/>
              <w:rPr>
                <w:sz w:val="16"/>
                <w:szCs w:val="16"/>
              </w:rPr>
            </w:pPr>
            <w:r w:rsidRPr="00361E96">
              <w:rPr>
                <w:sz w:val="16"/>
                <w:szCs w:val="16"/>
              </w:rPr>
              <w:t>2,316</w:t>
            </w:r>
          </w:p>
        </w:tc>
        <w:tc>
          <w:tcPr>
            <w:tcW w:w="892" w:type="pct"/>
            <w:tcBorders>
              <w:top w:val="nil"/>
              <w:left w:val="nil"/>
              <w:bottom w:val="nil"/>
              <w:right w:val="nil"/>
            </w:tcBorders>
            <w:shd w:val="clear" w:color="auto" w:fill="auto"/>
            <w:noWrap/>
            <w:vAlign w:val="bottom"/>
            <w:hideMark/>
          </w:tcPr>
          <w:p w14:paraId="003706C8" w14:textId="217C006B" w:rsidR="00CD0F26" w:rsidRPr="00361E96" w:rsidRDefault="00CD0F26" w:rsidP="00CD0F26">
            <w:pPr>
              <w:jc w:val="right"/>
              <w:rPr>
                <w:sz w:val="16"/>
                <w:szCs w:val="16"/>
              </w:rPr>
            </w:pPr>
            <w:r w:rsidRPr="00361E96">
              <w:rPr>
                <w:sz w:val="16"/>
                <w:szCs w:val="16"/>
              </w:rPr>
              <w:t>2,316</w:t>
            </w:r>
          </w:p>
        </w:tc>
        <w:tc>
          <w:tcPr>
            <w:tcW w:w="1140" w:type="pct"/>
            <w:tcBorders>
              <w:top w:val="nil"/>
              <w:left w:val="nil"/>
              <w:bottom w:val="nil"/>
              <w:right w:val="nil"/>
            </w:tcBorders>
            <w:shd w:val="clear" w:color="auto" w:fill="auto"/>
            <w:noWrap/>
            <w:vAlign w:val="bottom"/>
            <w:hideMark/>
          </w:tcPr>
          <w:p w14:paraId="5A0BCEBE" w14:textId="118334D7" w:rsidR="00CD0F26" w:rsidRPr="00361E96" w:rsidRDefault="00CD0F26" w:rsidP="00CD0F26">
            <w:pPr>
              <w:jc w:val="right"/>
              <w:rPr>
                <w:sz w:val="16"/>
                <w:szCs w:val="16"/>
              </w:rPr>
            </w:pPr>
            <w:r w:rsidRPr="00361E96">
              <w:rPr>
                <w:sz w:val="16"/>
                <w:szCs w:val="16"/>
              </w:rPr>
              <w:t>1,192</w:t>
            </w:r>
          </w:p>
        </w:tc>
        <w:tc>
          <w:tcPr>
            <w:tcW w:w="771" w:type="pct"/>
            <w:tcBorders>
              <w:top w:val="nil"/>
              <w:left w:val="nil"/>
              <w:bottom w:val="nil"/>
              <w:right w:val="nil"/>
            </w:tcBorders>
            <w:shd w:val="clear" w:color="auto" w:fill="auto"/>
            <w:noWrap/>
            <w:vAlign w:val="bottom"/>
            <w:hideMark/>
          </w:tcPr>
          <w:p w14:paraId="12072FAF" w14:textId="0F50F235" w:rsidR="00CD0F26" w:rsidRPr="00361E96" w:rsidRDefault="00CD0F26" w:rsidP="00CD0F26">
            <w:pPr>
              <w:jc w:val="right"/>
              <w:rPr>
                <w:sz w:val="16"/>
                <w:szCs w:val="16"/>
              </w:rPr>
            </w:pPr>
            <w:r w:rsidRPr="00361E96">
              <w:rPr>
                <w:sz w:val="16"/>
                <w:szCs w:val="16"/>
              </w:rPr>
              <w:t>0.5</w:t>
            </w:r>
          </w:p>
        </w:tc>
      </w:tr>
      <w:tr w:rsidR="00361E96" w:rsidRPr="00361E96" w14:paraId="5BC55031" w14:textId="77777777" w:rsidTr="00D972DA">
        <w:trPr>
          <w:trHeight w:val="20"/>
        </w:trPr>
        <w:tc>
          <w:tcPr>
            <w:tcW w:w="1382" w:type="pct"/>
            <w:tcBorders>
              <w:top w:val="nil"/>
              <w:left w:val="nil"/>
              <w:bottom w:val="nil"/>
            </w:tcBorders>
            <w:shd w:val="clear" w:color="auto" w:fill="auto"/>
            <w:noWrap/>
            <w:vAlign w:val="bottom"/>
            <w:hideMark/>
          </w:tcPr>
          <w:p w14:paraId="49B1569D" w14:textId="77777777" w:rsidR="00CD0F26" w:rsidRPr="00361E96" w:rsidRDefault="00CD0F26" w:rsidP="00CD0F26">
            <w:pPr>
              <w:rPr>
                <w:sz w:val="16"/>
                <w:szCs w:val="16"/>
              </w:rPr>
            </w:pPr>
            <w:r w:rsidRPr="00361E96">
              <w:rPr>
                <w:sz w:val="16"/>
                <w:szCs w:val="16"/>
              </w:rPr>
              <w:t>Singida</w:t>
            </w:r>
          </w:p>
        </w:tc>
        <w:tc>
          <w:tcPr>
            <w:tcW w:w="814" w:type="pct"/>
            <w:tcBorders>
              <w:top w:val="nil"/>
              <w:bottom w:val="nil"/>
              <w:right w:val="nil"/>
            </w:tcBorders>
            <w:shd w:val="clear" w:color="auto" w:fill="auto"/>
            <w:noWrap/>
            <w:vAlign w:val="bottom"/>
            <w:hideMark/>
          </w:tcPr>
          <w:p w14:paraId="33549D60" w14:textId="5C298BB8" w:rsidR="00CD0F26" w:rsidRPr="00361E96" w:rsidRDefault="00CD0F26" w:rsidP="00CD0F26">
            <w:pPr>
              <w:jc w:val="right"/>
              <w:rPr>
                <w:sz w:val="16"/>
                <w:szCs w:val="16"/>
              </w:rPr>
            </w:pPr>
            <w:r w:rsidRPr="00361E96">
              <w:rPr>
                <w:sz w:val="16"/>
                <w:szCs w:val="16"/>
              </w:rPr>
              <w:t>23,342</w:t>
            </w:r>
          </w:p>
        </w:tc>
        <w:tc>
          <w:tcPr>
            <w:tcW w:w="892" w:type="pct"/>
            <w:tcBorders>
              <w:top w:val="nil"/>
              <w:left w:val="nil"/>
              <w:bottom w:val="nil"/>
              <w:right w:val="nil"/>
            </w:tcBorders>
            <w:shd w:val="clear" w:color="auto" w:fill="auto"/>
            <w:noWrap/>
            <w:vAlign w:val="bottom"/>
            <w:hideMark/>
          </w:tcPr>
          <w:p w14:paraId="50264BA2" w14:textId="3AF53261" w:rsidR="00CD0F26" w:rsidRPr="00361E96" w:rsidRDefault="00CD0F26" w:rsidP="00CD0F26">
            <w:pPr>
              <w:jc w:val="right"/>
              <w:rPr>
                <w:sz w:val="16"/>
                <w:szCs w:val="16"/>
              </w:rPr>
            </w:pPr>
            <w:r w:rsidRPr="00361E96">
              <w:rPr>
                <w:sz w:val="16"/>
                <w:szCs w:val="16"/>
              </w:rPr>
              <w:t>21,971</w:t>
            </w:r>
          </w:p>
        </w:tc>
        <w:tc>
          <w:tcPr>
            <w:tcW w:w="1140" w:type="pct"/>
            <w:tcBorders>
              <w:top w:val="nil"/>
              <w:left w:val="nil"/>
              <w:bottom w:val="nil"/>
              <w:right w:val="nil"/>
            </w:tcBorders>
            <w:shd w:val="clear" w:color="auto" w:fill="auto"/>
            <w:noWrap/>
            <w:vAlign w:val="bottom"/>
            <w:hideMark/>
          </w:tcPr>
          <w:p w14:paraId="683064EF" w14:textId="20BBE59E" w:rsidR="00CD0F26" w:rsidRPr="00361E96" w:rsidRDefault="00CD0F26" w:rsidP="00CD0F26">
            <w:pPr>
              <w:jc w:val="right"/>
              <w:rPr>
                <w:sz w:val="16"/>
                <w:szCs w:val="16"/>
              </w:rPr>
            </w:pPr>
            <w:r w:rsidRPr="00361E96">
              <w:rPr>
                <w:sz w:val="16"/>
                <w:szCs w:val="16"/>
              </w:rPr>
              <w:t>6,616</w:t>
            </w:r>
          </w:p>
        </w:tc>
        <w:tc>
          <w:tcPr>
            <w:tcW w:w="771" w:type="pct"/>
            <w:tcBorders>
              <w:top w:val="nil"/>
              <w:left w:val="nil"/>
              <w:bottom w:val="nil"/>
              <w:right w:val="nil"/>
            </w:tcBorders>
            <w:shd w:val="clear" w:color="auto" w:fill="auto"/>
            <w:noWrap/>
            <w:vAlign w:val="bottom"/>
            <w:hideMark/>
          </w:tcPr>
          <w:p w14:paraId="239D11EC" w14:textId="241A919A" w:rsidR="00CD0F26" w:rsidRPr="00361E96" w:rsidRDefault="00CD0F26" w:rsidP="00CD0F26">
            <w:pPr>
              <w:jc w:val="right"/>
              <w:rPr>
                <w:sz w:val="16"/>
                <w:szCs w:val="16"/>
              </w:rPr>
            </w:pPr>
            <w:r w:rsidRPr="00361E96">
              <w:rPr>
                <w:sz w:val="16"/>
                <w:szCs w:val="16"/>
              </w:rPr>
              <w:t>0.3</w:t>
            </w:r>
          </w:p>
        </w:tc>
      </w:tr>
      <w:tr w:rsidR="00361E96" w:rsidRPr="00361E96" w14:paraId="22242097" w14:textId="77777777" w:rsidTr="00D972DA">
        <w:trPr>
          <w:trHeight w:val="20"/>
        </w:trPr>
        <w:tc>
          <w:tcPr>
            <w:tcW w:w="1382" w:type="pct"/>
            <w:tcBorders>
              <w:top w:val="nil"/>
              <w:left w:val="nil"/>
              <w:bottom w:val="nil"/>
            </w:tcBorders>
            <w:shd w:val="clear" w:color="auto" w:fill="auto"/>
            <w:noWrap/>
            <w:vAlign w:val="bottom"/>
            <w:hideMark/>
          </w:tcPr>
          <w:p w14:paraId="3BA25040" w14:textId="77777777" w:rsidR="00CD0F26" w:rsidRPr="00361E96" w:rsidRDefault="00CD0F26" w:rsidP="00CD0F26">
            <w:pPr>
              <w:rPr>
                <w:sz w:val="16"/>
                <w:szCs w:val="16"/>
              </w:rPr>
            </w:pPr>
            <w:r w:rsidRPr="00361E96">
              <w:rPr>
                <w:sz w:val="16"/>
                <w:szCs w:val="16"/>
              </w:rPr>
              <w:t>Tabora</w:t>
            </w:r>
          </w:p>
        </w:tc>
        <w:tc>
          <w:tcPr>
            <w:tcW w:w="814" w:type="pct"/>
            <w:tcBorders>
              <w:top w:val="nil"/>
              <w:bottom w:val="nil"/>
              <w:right w:val="nil"/>
            </w:tcBorders>
            <w:shd w:val="clear" w:color="auto" w:fill="auto"/>
            <w:noWrap/>
            <w:vAlign w:val="bottom"/>
            <w:hideMark/>
          </w:tcPr>
          <w:p w14:paraId="5CED8908" w14:textId="6D27528A" w:rsidR="00CD0F26" w:rsidRPr="00361E96" w:rsidRDefault="00CD0F26" w:rsidP="00CD0F26">
            <w:pPr>
              <w:jc w:val="right"/>
              <w:rPr>
                <w:sz w:val="16"/>
                <w:szCs w:val="16"/>
              </w:rPr>
            </w:pPr>
            <w:r w:rsidRPr="00361E96">
              <w:rPr>
                <w:sz w:val="16"/>
                <w:szCs w:val="16"/>
              </w:rPr>
              <w:t>550</w:t>
            </w:r>
          </w:p>
        </w:tc>
        <w:tc>
          <w:tcPr>
            <w:tcW w:w="892" w:type="pct"/>
            <w:tcBorders>
              <w:top w:val="nil"/>
              <w:left w:val="nil"/>
              <w:bottom w:val="nil"/>
              <w:right w:val="nil"/>
            </w:tcBorders>
            <w:shd w:val="clear" w:color="auto" w:fill="auto"/>
            <w:noWrap/>
            <w:vAlign w:val="bottom"/>
            <w:hideMark/>
          </w:tcPr>
          <w:p w14:paraId="1FAED352" w14:textId="5E0C5E93" w:rsidR="00CD0F26" w:rsidRPr="00361E96" w:rsidRDefault="00CD0F26" w:rsidP="00CD0F26">
            <w:pPr>
              <w:jc w:val="right"/>
              <w:rPr>
                <w:sz w:val="16"/>
                <w:szCs w:val="16"/>
              </w:rPr>
            </w:pPr>
            <w:r w:rsidRPr="00361E96">
              <w:rPr>
                <w:sz w:val="16"/>
                <w:szCs w:val="16"/>
              </w:rPr>
              <w:t>247</w:t>
            </w:r>
          </w:p>
        </w:tc>
        <w:tc>
          <w:tcPr>
            <w:tcW w:w="1140" w:type="pct"/>
            <w:tcBorders>
              <w:top w:val="nil"/>
              <w:left w:val="nil"/>
              <w:bottom w:val="nil"/>
              <w:right w:val="nil"/>
            </w:tcBorders>
            <w:shd w:val="clear" w:color="auto" w:fill="auto"/>
            <w:noWrap/>
            <w:vAlign w:val="bottom"/>
            <w:hideMark/>
          </w:tcPr>
          <w:p w14:paraId="10EDBB59" w14:textId="43BE9398" w:rsidR="00CD0F26" w:rsidRPr="00361E96" w:rsidRDefault="00CD0F26" w:rsidP="00CD0F26">
            <w:pPr>
              <w:jc w:val="right"/>
              <w:rPr>
                <w:sz w:val="16"/>
                <w:szCs w:val="16"/>
              </w:rPr>
            </w:pPr>
            <w:r w:rsidRPr="00361E96">
              <w:rPr>
                <w:sz w:val="16"/>
                <w:szCs w:val="16"/>
              </w:rPr>
              <w:t>219</w:t>
            </w:r>
          </w:p>
        </w:tc>
        <w:tc>
          <w:tcPr>
            <w:tcW w:w="771" w:type="pct"/>
            <w:tcBorders>
              <w:top w:val="nil"/>
              <w:left w:val="nil"/>
              <w:bottom w:val="nil"/>
              <w:right w:val="nil"/>
            </w:tcBorders>
            <w:shd w:val="clear" w:color="auto" w:fill="auto"/>
            <w:noWrap/>
            <w:vAlign w:val="bottom"/>
            <w:hideMark/>
          </w:tcPr>
          <w:p w14:paraId="0B38EE8C" w14:textId="51C9D0B7" w:rsidR="00CD0F26" w:rsidRPr="00361E96" w:rsidRDefault="00CD0F26" w:rsidP="00CD0F26">
            <w:pPr>
              <w:jc w:val="right"/>
              <w:rPr>
                <w:sz w:val="16"/>
                <w:szCs w:val="16"/>
              </w:rPr>
            </w:pPr>
            <w:r w:rsidRPr="00361E96">
              <w:rPr>
                <w:sz w:val="16"/>
                <w:szCs w:val="16"/>
              </w:rPr>
              <w:t>0.9</w:t>
            </w:r>
          </w:p>
        </w:tc>
      </w:tr>
      <w:tr w:rsidR="00361E96" w:rsidRPr="00361E96" w14:paraId="3D80ECEC" w14:textId="77777777" w:rsidTr="00D972DA">
        <w:trPr>
          <w:trHeight w:val="20"/>
        </w:trPr>
        <w:tc>
          <w:tcPr>
            <w:tcW w:w="1382" w:type="pct"/>
            <w:tcBorders>
              <w:top w:val="nil"/>
              <w:left w:val="nil"/>
              <w:bottom w:val="nil"/>
            </w:tcBorders>
            <w:shd w:val="clear" w:color="auto" w:fill="auto"/>
            <w:noWrap/>
            <w:vAlign w:val="bottom"/>
            <w:hideMark/>
          </w:tcPr>
          <w:p w14:paraId="5F030F61" w14:textId="77777777" w:rsidR="00CD0F26" w:rsidRPr="00361E96" w:rsidRDefault="00CD0F26" w:rsidP="00CD0F26">
            <w:pPr>
              <w:rPr>
                <w:sz w:val="16"/>
                <w:szCs w:val="16"/>
              </w:rPr>
            </w:pPr>
            <w:r w:rsidRPr="00361E96">
              <w:rPr>
                <w:sz w:val="16"/>
                <w:szCs w:val="16"/>
              </w:rPr>
              <w:t>Rukwa</w:t>
            </w:r>
          </w:p>
        </w:tc>
        <w:tc>
          <w:tcPr>
            <w:tcW w:w="814" w:type="pct"/>
            <w:tcBorders>
              <w:top w:val="nil"/>
              <w:bottom w:val="nil"/>
              <w:right w:val="nil"/>
            </w:tcBorders>
            <w:shd w:val="clear" w:color="auto" w:fill="auto"/>
            <w:noWrap/>
            <w:vAlign w:val="bottom"/>
            <w:hideMark/>
          </w:tcPr>
          <w:p w14:paraId="1371E3DE" w14:textId="592B8489" w:rsidR="00CD0F26" w:rsidRPr="00361E96" w:rsidRDefault="00CD0F26" w:rsidP="00CD0F26">
            <w:pPr>
              <w:jc w:val="right"/>
              <w:rPr>
                <w:sz w:val="16"/>
                <w:szCs w:val="16"/>
              </w:rPr>
            </w:pPr>
            <w:r w:rsidRPr="00361E96">
              <w:rPr>
                <w:sz w:val="16"/>
                <w:szCs w:val="16"/>
              </w:rPr>
              <w:t>6,454</w:t>
            </w:r>
          </w:p>
        </w:tc>
        <w:tc>
          <w:tcPr>
            <w:tcW w:w="892" w:type="pct"/>
            <w:tcBorders>
              <w:top w:val="nil"/>
              <w:left w:val="nil"/>
              <w:bottom w:val="nil"/>
              <w:right w:val="nil"/>
            </w:tcBorders>
            <w:shd w:val="clear" w:color="auto" w:fill="auto"/>
            <w:noWrap/>
            <w:vAlign w:val="bottom"/>
            <w:hideMark/>
          </w:tcPr>
          <w:p w14:paraId="133F7725" w14:textId="0CE9B516" w:rsidR="00CD0F26" w:rsidRPr="00361E96" w:rsidRDefault="00CD0F26" w:rsidP="00CD0F26">
            <w:pPr>
              <w:jc w:val="right"/>
              <w:rPr>
                <w:sz w:val="16"/>
                <w:szCs w:val="16"/>
              </w:rPr>
            </w:pPr>
            <w:r w:rsidRPr="00361E96">
              <w:rPr>
                <w:sz w:val="16"/>
                <w:szCs w:val="16"/>
              </w:rPr>
              <w:t>6,255</w:t>
            </w:r>
          </w:p>
        </w:tc>
        <w:tc>
          <w:tcPr>
            <w:tcW w:w="1140" w:type="pct"/>
            <w:tcBorders>
              <w:top w:val="nil"/>
              <w:left w:val="nil"/>
              <w:bottom w:val="nil"/>
              <w:right w:val="nil"/>
            </w:tcBorders>
            <w:shd w:val="clear" w:color="auto" w:fill="auto"/>
            <w:noWrap/>
            <w:vAlign w:val="bottom"/>
            <w:hideMark/>
          </w:tcPr>
          <w:p w14:paraId="04CA8277" w14:textId="080E1719" w:rsidR="00CD0F26" w:rsidRPr="00361E96" w:rsidRDefault="00CD0F26" w:rsidP="00CD0F26">
            <w:pPr>
              <w:jc w:val="right"/>
              <w:rPr>
                <w:sz w:val="16"/>
                <w:szCs w:val="16"/>
              </w:rPr>
            </w:pPr>
            <w:r w:rsidRPr="00361E96">
              <w:rPr>
                <w:sz w:val="16"/>
                <w:szCs w:val="16"/>
              </w:rPr>
              <w:t>1,730</w:t>
            </w:r>
          </w:p>
        </w:tc>
        <w:tc>
          <w:tcPr>
            <w:tcW w:w="771" w:type="pct"/>
            <w:tcBorders>
              <w:top w:val="nil"/>
              <w:left w:val="nil"/>
              <w:bottom w:val="nil"/>
              <w:right w:val="nil"/>
            </w:tcBorders>
            <w:shd w:val="clear" w:color="auto" w:fill="auto"/>
            <w:noWrap/>
            <w:vAlign w:val="bottom"/>
            <w:hideMark/>
          </w:tcPr>
          <w:p w14:paraId="67FBAF4C" w14:textId="44F8AE46" w:rsidR="00CD0F26" w:rsidRPr="00361E96" w:rsidRDefault="00CD0F26" w:rsidP="00CD0F26">
            <w:pPr>
              <w:jc w:val="right"/>
              <w:rPr>
                <w:sz w:val="16"/>
                <w:szCs w:val="16"/>
              </w:rPr>
            </w:pPr>
            <w:r w:rsidRPr="00361E96">
              <w:rPr>
                <w:sz w:val="16"/>
                <w:szCs w:val="16"/>
              </w:rPr>
              <w:t>0.3</w:t>
            </w:r>
          </w:p>
        </w:tc>
      </w:tr>
      <w:tr w:rsidR="00361E96" w:rsidRPr="00361E96" w14:paraId="79510E2B" w14:textId="77777777" w:rsidTr="00D972DA">
        <w:trPr>
          <w:trHeight w:val="20"/>
        </w:trPr>
        <w:tc>
          <w:tcPr>
            <w:tcW w:w="1382" w:type="pct"/>
            <w:tcBorders>
              <w:top w:val="nil"/>
              <w:left w:val="nil"/>
              <w:bottom w:val="nil"/>
            </w:tcBorders>
            <w:shd w:val="clear" w:color="auto" w:fill="auto"/>
            <w:noWrap/>
            <w:vAlign w:val="bottom"/>
            <w:hideMark/>
          </w:tcPr>
          <w:p w14:paraId="160DEC4F" w14:textId="77777777" w:rsidR="00CD0F26" w:rsidRPr="00361E96" w:rsidRDefault="00CD0F26" w:rsidP="00CD0F26">
            <w:pPr>
              <w:rPr>
                <w:sz w:val="16"/>
                <w:szCs w:val="16"/>
              </w:rPr>
            </w:pPr>
            <w:r w:rsidRPr="00361E96">
              <w:rPr>
                <w:sz w:val="16"/>
                <w:szCs w:val="16"/>
              </w:rPr>
              <w:t>Kigoma</w:t>
            </w:r>
          </w:p>
        </w:tc>
        <w:tc>
          <w:tcPr>
            <w:tcW w:w="814" w:type="pct"/>
            <w:tcBorders>
              <w:top w:val="nil"/>
              <w:bottom w:val="nil"/>
              <w:right w:val="nil"/>
            </w:tcBorders>
            <w:shd w:val="clear" w:color="auto" w:fill="auto"/>
            <w:noWrap/>
            <w:vAlign w:val="bottom"/>
            <w:hideMark/>
          </w:tcPr>
          <w:p w14:paraId="2F2F4C9F" w14:textId="7D77079C" w:rsidR="00CD0F26" w:rsidRPr="00361E96" w:rsidRDefault="00CD0F26" w:rsidP="00CD0F26">
            <w:pPr>
              <w:jc w:val="right"/>
              <w:rPr>
                <w:sz w:val="16"/>
                <w:szCs w:val="16"/>
              </w:rPr>
            </w:pPr>
            <w:r w:rsidRPr="00361E96">
              <w:rPr>
                <w:sz w:val="16"/>
                <w:szCs w:val="16"/>
              </w:rPr>
              <w:t>-</w:t>
            </w:r>
          </w:p>
        </w:tc>
        <w:tc>
          <w:tcPr>
            <w:tcW w:w="892" w:type="pct"/>
            <w:tcBorders>
              <w:top w:val="nil"/>
              <w:left w:val="nil"/>
              <w:bottom w:val="nil"/>
              <w:right w:val="nil"/>
            </w:tcBorders>
            <w:shd w:val="clear" w:color="auto" w:fill="auto"/>
            <w:noWrap/>
            <w:vAlign w:val="bottom"/>
            <w:hideMark/>
          </w:tcPr>
          <w:p w14:paraId="449B32E6" w14:textId="7AEE2EFA" w:rsidR="00CD0F26" w:rsidRPr="00361E96" w:rsidRDefault="00CD0F26" w:rsidP="00CD0F26">
            <w:pPr>
              <w:jc w:val="right"/>
              <w:rPr>
                <w:sz w:val="16"/>
                <w:szCs w:val="16"/>
              </w:rPr>
            </w:pPr>
            <w:r w:rsidRPr="00361E96">
              <w:rPr>
                <w:sz w:val="16"/>
                <w:szCs w:val="16"/>
              </w:rPr>
              <w:t>-</w:t>
            </w:r>
          </w:p>
        </w:tc>
        <w:tc>
          <w:tcPr>
            <w:tcW w:w="1140" w:type="pct"/>
            <w:tcBorders>
              <w:top w:val="nil"/>
              <w:left w:val="nil"/>
              <w:bottom w:val="nil"/>
              <w:right w:val="nil"/>
            </w:tcBorders>
            <w:shd w:val="clear" w:color="auto" w:fill="auto"/>
            <w:noWrap/>
            <w:vAlign w:val="bottom"/>
            <w:hideMark/>
          </w:tcPr>
          <w:p w14:paraId="10FC71CE" w14:textId="2A949F07" w:rsidR="00CD0F26" w:rsidRPr="00361E96" w:rsidRDefault="00CD0F26" w:rsidP="00CD0F26">
            <w:pPr>
              <w:jc w:val="right"/>
              <w:rPr>
                <w:sz w:val="16"/>
                <w:szCs w:val="16"/>
              </w:rPr>
            </w:pPr>
            <w:r w:rsidRPr="00361E96">
              <w:rPr>
                <w:sz w:val="16"/>
                <w:szCs w:val="16"/>
              </w:rPr>
              <w:t>-</w:t>
            </w:r>
          </w:p>
        </w:tc>
        <w:tc>
          <w:tcPr>
            <w:tcW w:w="771" w:type="pct"/>
            <w:tcBorders>
              <w:top w:val="nil"/>
              <w:left w:val="nil"/>
              <w:bottom w:val="nil"/>
              <w:right w:val="nil"/>
            </w:tcBorders>
            <w:shd w:val="clear" w:color="auto" w:fill="auto"/>
            <w:noWrap/>
            <w:vAlign w:val="bottom"/>
            <w:hideMark/>
          </w:tcPr>
          <w:p w14:paraId="3FA6B3EB" w14:textId="450A2CAF" w:rsidR="00CD0F26" w:rsidRPr="00361E96" w:rsidRDefault="00CD0F26" w:rsidP="00CD0F26">
            <w:pPr>
              <w:jc w:val="right"/>
              <w:rPr>
                <w:sz w:val="16"/>
                <w:szCs w:val="16"/>
              </w:rPr>
            </w:pPr>
            <w:r w:rsidRPr="00361E96">
              <w:rPr>
                <w:sz w:val="16"/>
                <w:szCs w:val="16"/>
              </w:rPr>
              <w:t>-</w:t>
            </w:r>
          </w:p>
        </w:tc>
      </w:tr>
      <w:tr w:rsidR="00361E96" w:rsidRPr="00361E96" w14:paraId="179BB0D3" w14:textId="77777777" w:rsidTr="00D972DA">
        <w:trPr>
          <w:trHeight w:val="20"/>
        </w:trPr>
        <w:tc>
          <w:tcPr>
            <w:tcW w:w="1382" w:type="pct"/>
            <w:tcBorders>
              <w:top w:val="nil"/>
              <w:left w:val="nil"/>
              <w:bottom w:val="nil"/>
            </w:tcBorders>
            <w:shd w:val="clear" w:color="auto" w:fill="auto"/>
            <w:noWrap/>
            <w:vAlign w:val="bottom"/>
            <w:hideMark/>
          </w:tcPr>
          <w:p w14:paraId="3599729F" w14:textId="77777777" w:rsidR="00CD0F26" w:rsidRPr="00361E96" w:rsidRDefault="00CD0F26" w:rsidP="00CD0F26">
            <w:pPr>
              <w:rPr>
                <w:sz w:val="16"/>
                <w:szCs w:val="16"/>
              </w:rPr>
            </w:pPr>
            <w:r w:rsidRPr="00361E96">
              <w:rPr>
                <w:sz w:val="16"/>
                <w:szCs w:val="16"/>
              </w:rPr>
              <w:t>Shinyanga</w:t>
            </w:r>
          </w:p>
        </w:tc>
        <w:tc>
          <w:tcPr>
            <w:tcW w:w="814" w:type="pct"/>
            <w:tcBorders>
              <w:top w:val="nil"/>
              <w:bottom w:val="nil"/>
              <w:right w:val="nil"/>
            </w:tcBorders>
            <w:shd w:val="clear" w:color="auto" w:fill="auto"/>
            <w:noWrap/>
            <w:vAlign w:val="bottom"/>
            <w:hideMark/>
          </w:tcPr>
          <w:p w14:paraId="5ACEFFEC" w14:textId="4FFB0E4B" w:rsidR="00CD0F26" w:rsidRPr="00361E96" w:rsidRDefault="00CD0F26" w:rsidP="00CD0F26">
            <w:pPr>
              <w:jc w:val="right"/>
              <w:rPr>
                <w:sz w:val="16"/>
                <w:szCs w:val="16"/>
              </w:rPr>
            </w:pPr>
            <w:r w:rsidRPr="00361E96">
              <w:rPr>
                <w:sz w:val="16"/>
                <w:szCs w:val="16"/>
              </w:rPr>
              <w:t>567</w:t>
            </w:r>
          </w:p>
        </w:tc>
        <w:tc>
          <w:tcPr>
            <w:tcW w:w="892" w:type="pct"/>
            <w:tcBorders>
              <w:top w:val="nil"/>
              <w:left w:val="nil"/>
              <w:bottom w:val="nil"/>
              <w:right w:val="nil"/>
            </w:tcBorders>
            <w:shd w:val="clear" w:color="auto" w:fill="auto"/>
            <w:noWrap/>
            <w:vAlign w:val="bottom"/>
            <w:hideMark/>
          </w:tcPr>
          <w:p w14:paraId="523CE97C" w14:textId="1D161D85" w:rsidR="00CD0F26" w:rsidRPr="00361E96" w:rsidRDefault="00CD0F26" w:rsidP="00CD0F26">
            <w:pPr>
              <w:jc w:val="right"/>
              <w:rPr>
                <w:sz w:val="16"/>
                <w:szCs w:val="16"/>
              </w:rPr>
            </w:pPr>
            <w:r w:rsidRPr="00361E96">
              <w:rPr>
                <w:sz w:val="16"/>
                <w:szCs w:val="16"/>
              </w:rPr>
              <w:t>567</w:t>
            </w:r>
          </w:p>
        </w:tc>
        <w:tc>
          <w:tcPr>
            <w:tcW w:w="1140" w:type="pct"/>
            <w:tcBorders>
              <w:top w:val="nil"/>
              <w:left w:val="nil"/>
              <w:bottom w:val="nil"/>
              <w:right w:val="nil"/>
            </w:tcBorders>
            <w:shd w:val="clear" w:color="auto" w:fill="auto"/>
            <w:noWrap/>
            <w:vAlign w:val="bottom"/>
            <w:hideMark/>
          </w:tcPr>
          <w:p w14:paraId="05D61158" w14:textId="1E9F9228" w:rsidR="00CD0F26" w:rsidRPr="00361E96" w:rsidRDefault="00CD0F26" w:rsidP="00CD0F26">
            <w:pPr>
              <w:jc w:val="right"/>
              <w:rPr>
                <w:sz w:val="16"/>
                <w:szCs w:val="16"/>
              </w:rPr>
            </w:pPr>
            <w:r w:rsidRPr="00361E96">
              <w:rPr>
                <w:sz w:val="16"/>
                <w:szCs w:val="16"/>
              </w:rPr>
              <w:t>430</w:t>
            </w:r>
          </w:p>
        </w:tc>
        <w:tc>
          <w:tcPr>
            <w:tcW w:w="771" w:type="pct"/>
            <w:tcBorders>
              <w:top w:val="nil"/>
              <w:left w:val="nil"/>
              <w:bottom w:val="nil"/>
              <w:right w:val="nil"/>
            </w:tcBorders>
            <w:shd w:val="clear" w:color="auto" w:fill="auto"/>
            <w:noWrap/>
            <w:vAlign w:val="bottom"/>
            <w:hideMark/>
          </w:tcPr>
          <w:p w14:paraId="0064018A" w14:textId="0196508A" w:rsidR="00CD0F26" w:rsidRPr="00361E96" w:rsidRDefault="00CD0F26" w:rsidP="00CD0F26">
            <w:pPr>
              <w:jc w:val="right"/>
              <w:rPr>
                <w:sz w:val="16"/>
                <w:szCs w:val="16"/>
              </w:rPr>
            </w:pPr>
            <w:r w:rsidRPr="00361E96">
              <w:rPr>
                <w:sz w:val="16"/>
                <w:szCs w:val="16"/>
              </w:rPr>
              <w:t>0.8</w:t>
            </w:r>
          </w:p>
        </w:tc>
      </w:tr>
      <w:tr w:rsidR="00361E96" w:rsidRPr="00361E96" w14:paraId="3CD5AE1E" w14:textId="77777777" w:rsidTr="00D972DA">
        <w:trPr>
          <w:trHeight w:val="20"/>
        </w:trPr>
        <w:tc>
          <w:tcPr>
            <w:tcW w:w="1382" w:type="pct"/>
            <w:tcBorders>
              <w:top w:val="nil"/>
              <w:left w:val="nil"/>
              <w:bottom w:val="nil"/>
            </w:tcBorders>
            <w:shd w:val="clear" w:color="auto" w:fill="auto"/>
            <w:noWrap/>
            <w:vAlign w:val="bottom"/>
            <w:hideMark/>
          </w:tcPr>
          <w:p w14:paraId="4ADB5024" w14:textId="77777777" w:rsidR="00CD0F26" w:rsidRPr="00361E96" w:rsidRDefault="00CD0F26" w:rsidP="00CD0F26">
            <w:pPr>
              <w:rPr>
                <w:sz w:val="16"/>
                <w:szCs w:val="16"/>
              </w:rPr>
            </w:pPr>
            <w:r w:rsidRPr="00361E96">
              <w:rPr>
                <w:sz w:val="16"/>
                <w:szCs w:val="16"/>
              </w:rPr>
              <w:t>Kagera</w:t>
            </w:r>
          </w:p>
        </w:tc>
        <w:tc>
          <w:tcPr>
            <w:tcW w:w="814" w:type="pct"/>
            <w:tcBorders>
              <w:top w:val="nil"/>
              <w:bottom w:val="nil"/>
              <w:right w:val="nil"/>
            </w:tcBorders>
            <w:shd w:val="clear" w:color="auto" w:fill="auto"/>
            <w:noWrap/>
            <w:vAlign w:val="bottom"/>
            <w:hideMark/>
          </w:tcPr>
          <w:p w14:paraId="5A9E53D8" w14:textId="4FE52031" w:rsidR="00CD0F26" w:rsidRPr="00361E96" w:rsidRDefault="00CD0F26" w:rsidP="00CD0F26">
            <w:pPr>
              <w:jc w:val="right"/>
              <w:rPr>
                <w:sz w:val="16"/>
                <w:szCs w:val="16"/>
              </w:rPr>
            </w:pPr>
            <w:r w:rsidRPr="00361E96">
              <w:rPr>
                <w:sz w:val="16"/>
                <w:szCs w:val="16"/>
              </w:rPr>
              <w:t>-</w:t>
            </w:r>
          </w:p>
        </w:tc>
        <w:tc>
          <w:tcPr>
            <w:tcW w:w="892" w:type="pct"/>
            <w:tcBorders>
              <w:top w:val="nil"/>
              <w:left w:val="nil"/>
              <w:bottom w:val="nil"/>
              <w:right w:val="nil"/>
            </w:tcBorders>
            <w:shd w:val="clear" w:color="auto" w:fill="auto"/>
            <w:noWrap/>
            <w:vAlign w:val="bottom"/>
            <w:hideMark/>
          </w:tcPr>
          <w:p w14:paraId="07035E90" w14:textId="37946C3B" w:rsidR="00CD0F26" w:rsidRPr="00361E96" w:rsidRDefault="00CD0F26" w:rsidP="00CD0F26">
            <w:pPr>
              <w:jc w:val="right"/>
              <w:rPr>
                <w:sz w:val="16"/>
                <w:szCs w:val="16"/>
              </w:rPr>
            </w:pPr>
            <w:r w:rsidRPr="00361E96">
              <w:rPr>
                <w:sz w:val="16"/>
                <w:szCs w:val="16"/>
              </w:rPr>
              <w:t>-</w:t>
            </w:r>
          </w:p>
        </w:tc>
        <w:tc>
          <w:tcPr>
            <w:tcW w:w="1140" w:type="pct"/>
            <w:tcBorders>
              <w:top w:val="nil"/>
              <w:left w:val="nil"/>
              <w:bottom w:val="nil"/>
              <w:right w:val="nil"/>
            </w:tcBorders>
            <w:shd w:val="clear" w:color="auto" w:fill="auto"/>
            <w:noWrap/>
            <w:vAlign w:val="bottom"/>
            <w:hideMark/>
          </w:tcPr>
          <w:p w14:paraId="274F6CAB" w14:textId="72198F6A" w:rsidR="00CD0F26" w:rsidRPr="00361E96" w:rsidRDefault="00CD0F26" w:rsidP="00CD0F26">
            <w:pPr>
              <w:jc w:val="right"/>
              <w:rPr>
                <w:sz w:val="16"/>
                <w:szCs w:val="16"/>
              </w:rPr>
            </w:pPr>
            <w:r w:rsidRPr="00361E96">
              <w:rPr>
                <w:sz w:val="16"/>
                <w:szCs w:val="16"/>
              </w:rPr>
              <w:t>-</w:t>
            </w:r>
          </w:p>
        </w:tc>
        <w:tc>
          <w:tcPr>
            <w:tcW w:w="771" w:type="pct"/>
            <w:tcBorders>
              <w:top w:val="nil"/>
              <w:left w:val="nil"/>
              <w:bottom w:val="nil"/>
              <w:right w:val="nil"/>
            </w:tcBorders>
            <w:shd w:val="clear" w:color="auto" w:fill="auto"/>
            <w:noWrap/>
            <w:vAlign w:val="bottom"/>
            <w:hideMark/>
          </w:tcPr>
          <w:p w14:paraId="2D0891FF" w14:textId="61CB5066" w:rsidR="00CD0F26" w:rsidRPr="00361E96" w:rsidRDefault="00CD0F26" w:rsidP="00CD0F26">
            <w:pPr>
              <w:jc w:val="right"/>
              <w:rPr>
                <w:sz w:val="16"/>
                <w:szCs w:val="16"/>
              </w:rPr>
            </w:pPr>
            <w:r w:rsidRPr="00361E96">
              <w:rPr>
                <w:sz w:val="16"/>
                <w:szCs w:val="16"/>
              </w:rPr>
              <w:t>-</w:t>
            </w:r>
          </w:p>
        </w:tc>
      </w:tr>
      <w:tr w:rsidR="00361E96" w:rsidRPr="00361E96" w14:paraId="5F69C97F" w14:textId="77777777" w:rsidTr="00D972DA">
        <w:trPr>
          <w:trHeight w:val="20"/>
        </w:trPr>
        <w:tc>
          <w:tcPr>
            <w:tcW w:w="1382" w:type="pct"/>
            <w:tcBorders>
              <w:top w:val="nil"/>
              <w:left w:val="nil"/>
              <w:bottom w:val="nil"/>
            </w:tcBorders>
            <w:shd w:val="clear" w:color="auto" w:fill="auto"/>
            <w:noWrap/>
            <w:vAlign w:val="bottom"/>
            <w:hideMark/>
          </w:tcPr>
          <w:p w14:paraId="6C857D80" w14:textId="77777777" w:rsidR="00CD0F26" w:rsidRPr="00361E96" w:rsidRDefault="00CD0F26" w:rsidP="00CD0F26">
            <w:pPr>
              <w:rPr>
                <w:sz w:val="16"/>
                <w:szCs w:val="16"/>
              </w:rPr>
            </w:pPr>
            <w:r w:rsidRPr="00361E96">
              <w:rPr>
                <w:sz w:val="16"/>
                <w:szCs w:val="16"/>
              </w:rPr>
              <w:t>Mwanza</w:t>
            </w:r>
          </w:p>
        </w:tc>
        <w:tc>
          <w:tcPr>
            <w:tcW w:w="814" w:type="pct"/>
            <w:tcBorders>
              <w:top w:val="nil"/>
              <w:bottom w:val="nil"/>
              <w:right w:val="nil"/>
            </w:tcBorders>
            <w:shd w:val="clear" w:color="auto" w:fill="auto"/>
            <w:noWrap/>
            <w:vAlign w:val="bottom"/>
            <w:hideMark/>
          </w:tcPr>
          <w:p w14:paraId="582C9813" w14:textId="3849FD25" w:rsidR="00CD0F26" w:rsidRPr="00361E96" w:rsidRDefault="00CD0F26" w:rsidP="00CD0F26">
            <w:pPr>
              <w:jc w:val="right"/>
              <w:rPr>
                <w:sz w:val="16"/>
                <w:szCs w:val="16"/>
              </w:rPr>
            </w:pPr>
            <w:r w:rsidRPr="00361E96">
              <w:rPr>
                <w:sz w:val="16"/>
                <w:szCs w:val="16"/>
              </w:rPr>
              <w:t>168</w:t>
            </w:r>
          </w:p>
        </w:tc>
        <w:tc>
          <w:tcPr>
            <w:tcW w:w="892" w:type="pct"/>
            <w:tcBorders>
              <w:top w:val="nil"/>
              <w:left w:val="nil"/>
              <w:bottom w:val="nil"/>
              <w:right w:val="nil"/>
            </w:tcBorders>
            <w:shd w:val="clear" w:color="auto" w:fill="auto"/>
            <w:noWrap/>
            <w:vAlign w:val="bottom"/>
            <w:hideMark/>
          </w:tcPr>
          <w:p w14:paraId="41D3056B" w14:textId="3CE7BCE5" w:rsidR="00CD0F26" w:rsidRPr="00361E96" w:rsidRDefault="00CD0F26" w:rsidP="00CD0F26">
            <w:pPr>
              <w:jc w:val="right"/>
              <w:rPr>
                <w:sz w:val="16"/>
                <w:szCs w:val="16"/>
              </w:rPr>
            </w:pPr>
            <w:r w:rsidRPr="00361E96">
              <w:rPr>
                <w:sz w:val="16"/>
                <w:szCs w:val="16"/>
              </w:rPr>
              <w:t>168</w:t>
            </w:r>
          </w:p>
        </w:tc>
        <w:tc>
          <w:tcPr>
            <w:tcW w:w="1140" w:type="pct"/>
            <w:tcBorders>
              <w:top w:val="nil"/>
              <w:left w:val="nil"/>
              <w:bottom w:val="nil"/>
              <w:right w:val="nil"/>
            </w:tcBorders>
            <w:shd w:val="clear" w:color="auto" w:fill="auto"/>
            <w:noWrap/>
            <w:vAlign w:val="bottom"/>
            <w:hideMark/>
          </w:tcPr>
          <w:p w14:paraId="57839EA7" w14:textId="25EFAF7D" w:rsidR="00CD0F26" w:rsidRPr="00361E96" w:rsidRDefault="00CD0F26" w:rsidP="00CD0F26">
            <w:pPr>
              <w:jc w:val="right"/>
              <w:rPr>
                <w:sz w:val="16"/>
                <w:szCs w:val="16"/>
              </w:rPr>
            </w:pPr>
            <w:r w:rsidRPr="00361E96">
              <w:rPr>
                <w:sz w:val="16"/>
                <w:szCs w:val="16"/>
              </w:rPr>
              <w:t>154</w:t>
            </w:r>
          </w:p>
        </w:tc>
        <w:tc>
          <w:tcPr>
            <w:tcW w:w="771" w:type="pct"/>
            <w:tcBorders>
              <w:top w:val="nil"/>
              <w:left w:val="nil"/>
              <w:bottom w:val="nil"/>
              <w:right w:val="nil"/>
            </w:tcBorders>
            <w:shd w:val="clear" w:color="auto" w:fill="auto"/>
            <w:noWrap/>
            <w:vAlign w:val="bottom"/>
            <w:hideMark/>
          </w:tcPr>
          <w:p w14:paraId="6F6A6321" w14:textId="6F7945D0" w:rsidR="00CD0F26" w:rsidRPr="00361E96" w:rsidRDefault="00CD0F26" w:rsidP="00CD0F26">
            <w:pPr>
              <w:jc w:val="right"/>
              <w:rPr>
                <w:sz w:val="16"/>
                <w:szCs w:val="16"/>
              </w:rPr>
            </w:pPr>
            <w:r w:rsidRPr="00361E96">
              <w:rPr>
                <w:sz w:val="16"/>
                <w:szCs w:val="16"/>
              </w:rPr>
              <w:t>0.9</w:t>
            </w:r>
          </w:p>
        </w:tc>
      </w:tr>
      <w:tr w:rsidR="00361E96" w:rsidRPr="00361E96" w14:paraId="646C7CD7" w14:textId="77777777" w:rsidTr="00D972DA">
        <w:trPr>
          <w:trHeight w:val="20"/>
        </w:trPr>
        <w:tc>
          <w:tcPr>
            <w:tcW w:w="1382" w:type="pct"/>
            <w:tcBorders>
              <w:top w:val="nil"/>
              <w:left w:val="nil"/>
              <w:bottom w:val="nil"/>
            </w:tcBorders>
            <w:shd w:val="clear" w:color="auto" w:fill="auto"/>
            <w:noWrap/>
            <w:vAlign w:val="bottom"/>
            <w:hideMark/>
          </w:tcPr>
          <w:p w14:paraId="7863E52D" w14:textId="77777777" w:rsidR="00CD0F26" w:rsidRPr="00361E96" w:rsidRDefault="00CD0F26" w:rsidP="00CD0F26">
            <w:pPr>
              <w:rPr>
                <w:sz w:val="16"/>
                <w:szCs w:val="16"/>
              </w:rPr>
            </w:pPr>
            <w:r w:rsidRPr="00361E96">
              <w:rPr>
                <w:sz w:val="16"/>
                <w:szCs w:val="16"/>
              </w:rPr>
              <w:t>Mara</w:t>
            </w:r>
          </w:p>
        </w:tc>
        <w:tc>
          <w:tcPr>
            <w:tcW w:w="814" w:type="pct"/>
            <w:tcBorders>
              <w:top w:val="nil"/>
              <w:bottom w:val="nil"/>
              <w:right w:val="nil"/>
            </w:tcBorders>
            <w:shd w:val="clear" w:color="auto" w:fill="auto"/>
            <w:noWrap/>
            <w:vAlign w:val="bottom"/>
            <w:hideMark/>
          </w:tcPr>
          <w:p w14:paraId="2B5BD999" w14:textId="1152C1DE" w:rsidR="00CD0F26" w:rsidRPr="00361E96" w:rsidRDefault="00CD0F26" w:rsidP="00CD0F26">
            <w:pPr>
              <w:jc w:val="right"/>
              <w:rPr>
                <w:sz w:val="16"/>
                <w:szCs w:val="16"/>
              </w:rPr>
            </w:pPr>
            <w:r w:rsidRPr="00361E96">
              <w:rPr>
                <w:sz w:val="16"/>
                <w:szCs w:val="16"/>
              </w:rPr>
              <w:t>169</w:t>
            </w:r>
          </w:p>
        </w:tc>
        <w:tc>
          <w:tcPr>
            <w:tcW w:w="892" w:type="pct"/>
            <w:tcBorders>
              <w:top w:val="nil"/>
              <w:left w:val="nil"/>
              <w:bottom w:val="nil"/>
              <w:right w:val="nil"/>
            </w:tcBorders>
            <w:shd w:val="clear" w:color="auto" w:fill="auto"/>
            <w:noWrap/>
            <w:vAlign w:val="bottom"/>
            <w:hideMark/>
          </w:tcPr>
          <w:p w14:paraId="7DB78BEF" w14:textId="007E0D9E" w:rsidR="00CD0F26" w:rsidRPr="00361E96" w:rsidRDefault="00CD0F26" w:rsidP="00CD0F26">
            <w:pPr>
              <w:jc w:val="right"/>
              <w:rPr>
                <w:sz w:val="16"/>
                <w:szCs w:val="16"/>
              </w:rPr>
            </w:pPr>
            <w:r w:rsidRPr="00361E96">
              <w:rPr>
                <w:sz w:val="16"/>
                <w:szCs w:val="16"/>
              </w:rPr>
              <w:t>59</w:t>
            </w:r>
          </w:p>
        </w:tc>
        <w:tc>
          <w:tcPr>
            <w:tcW w:w="1140" w:type="pct"/>
            <w:tcBorders>
              <w:top w:val="nil"/>
              <w:left w:val="nil"/>
              <w:bottom w:val="nil"/>
              <w:right w:val="nil"/>
            </w:tcBorders>
            <w:shd w:val="clear" w:color="auto" w:fill="auto"/>
            <w:noWrap/>
            <w:vAlign w:val="bottom"/>
            <w:hideMark/>
          </w:tcPr>
          <w:p w14:paraId="0580495D" w14:textId="03F70F63" w:rsidR="00CD0F26" w:rsidRPr="00361E96" w:rsidRDefault="00CD0F26" w:rsidP="00CD0F26">
            <w:pPr>
              <w:jc w:val="right"/>
              <w:rPr>
                <w:sz w:val="16"/>
                <w:szCs w:val="16"/>
              </w:rPr>
            </w:pPr>
            <w:r w:rsidRPr="00361E96">
              <w:rPr>
                <w:sz w:val="16"/>
                <w:szCs w:val="16"/>
              </w:rPr>
              <w:t>82</w:t>
            </w:r>
          </w:p>
        </w:tc>
        <w:tc>
          <w:tcPr>
            <w:tcW w:w="771" w:type="pct"/>
            <w:tcBorders>
              <w:top w:val="nil"/>
              <w:left w:val="nil"/>
              <w:bottom w:val="nil"/>
              <w:right w:val="nil"/>
            </w:tcBorders>
            <w:shd w:val="clear" w:color="auto" w:fill="auto"/>
            <w:noWrap/>
            <w:vAlign w:val="bottom"/>
            <w:hideMark/>
          </w:tcPr>
          <w:p w14:paraId="258B19E0" w14:textId="3F0C4684" w:rsidR="00CD0F26" w:rsidRPr="00361E96" w:rsidRDefault="00CD0F26" w:rsidP="00CD0F26">
            <w:pPr>
              <w:jc w:val="right"/>
              <w:rPr>
                <w:sz w:val="16"/>
                <w:szCs w:val="16"/>
              </w:rPr>
            </w:pPr>
            <w:r w:rsidRPr="00361E96">
              <w:rPr>
                <w:sz w:val="16"/>
                <w:szCs w:val="16"/>
              </w:rPr>
              <w:t>1.4</w:t>
            </w:r>
          </w:p>
        </w:tc>
      </w:tr>
      <w:tr w:rsidR="00361E96" w:rsidRPr="00361E96" w14:paraId="708576AA" w14:textId="77777777" w:rsidTr="00D972DA">
        <w:trPr>
          <w:trHeight w:val="20"/>
        </w:trPr>
        <w:tc>
          <w:tcPr>
            <w:tcW w:w="1382" w:type="pct"/>
            <w:tcBorders>
              <w:top w:val="nil"/>
              <w:left w:val="nil"/>
              <w:bottom w:val="nil"/>
            </w:tcBorders>
            <w:shd w:val="clear" w:color="auto" w:fill="auto"/>
            <w:noWrap/>
            <w:vAlign w:val="bottom"/>
            <w:hideMark/>
          </w:tcPr>
          <w:p w14:paraId="30FE3579" w14:textId="77777777" w:rsidR="00CD0F26" w:rsidRPr="00361E96" w:rsidRDefault="00CD0F26" w:rsidP="00CD0F26">
            <w:pPr>
              <w:rPr>
                <w:sz w:val="16"/>
                <w:szCs w:val="16"/>
              </w:rPr>
            </w:pPr>
            <w:r w:rsidRPr="00361E96">
              <w:rPr>
                <w:sz w:val="16"/>
                <w:szCs w:val="16"/>
              </w:rPr>
              <w:t>Manyara</w:t>
            </w:r>
          </w:p>
        </w:tc>
        <w:tc>
          <w:tcPr>
            <w:tcW w:w="814" w:type="pct"/>
            <w:tcBorders>
              <w:top w:val="nil"/>
              <w:bottom w:val="nil"/>
              <w:right w:val="nil"/>
            </w:tcBorders>
            <w:shd w:val="clear" w:color="auto" w:fill="auto"/>
            <w:noWrap/>
            <w:vAlign w:val="bottom"/>
            <w:hideMark/>
          </w:tcPr>
          <w:p w14:paraId="235635FB" w14:textId="17457B8B" w:rsidR="00CD0F26" w:rsidRPr="00361E96" w:rsidRDefault="00CD0F26" w:rsidP="00CD0F26">
            <w:pPr>
              <w:jc w:val="right"/>
              <w:rPr>
                <w:sz w:val="16"/>
                <w:szCs w:val="16"/>
              </w:rPr>
            </w:pPr>
            <w:r w:rsidRPr="00361E96">
              <w:rPr>
                <w:sz w:val="16"/>
                <w:szCs w:val="16"/>
              </w:rPr>
              <w:t>2,174</w:t>
            </w:r>
          </w:p>
        </w:tc>
        <w:tc>
          <w:tcPr>
            <w:tcW w:w="892" w:type="pct"/>
            <w:tcBorders>
              <w:top w:val="nil"/>
              <w:left w:val="nil"/>
              <w:bottom w:val="nil"/>
              <w:right w:val="nil"/>
            </w:tcBorders>
            <w:shd w:val="clear" w:color="auto" w:fill="auto"/>
            <w:noWrap/>
            <w:vAlign w:val="bottom"/>
            <w:hideMark/>
          </w:tcPr>
          <w:p w14:paraId="3D619B8D" w14:textId="48143120" w:rsidR="00CD0F26" w:rsidRPr="00361E96" w:rsidRDefault="00CD0F26" w:rsidP="00CD0F26">
            <w:pPr>
              <w:jc w:val="right"/>
              <w:rPr>
                <w:sz w:val="16"/>
                <w:szCs w:val="16"/>
              </w:rPr>
            </w:pPr>
            <w:r w:rsidRPr="00361E96">
              <w:rPr>
                <w:sz w:val="16"/>
                <w:szCs w:val="16"/>
              </w:rPr>
              <w:t>2,080</w:t>
            </w:r>
          </w:p>
        </w:tc>
        <w:tc>
          <w:tcPr>
            <w:tcW w:w="1140" w:type="pct"/>
            <w:tcBorders>
              <w:top w:val="nil"/>
              <w:left w:val="nil"/>
              <w:bottom w:val="nil"/>
              <w:right w:val="nil"/>
            </w:tcBorders>
            <w:shd w:val="clear" w:color="auto" w:fill="auto"/>
            <w:noWrap/>
            <w:vAlign w:val="bottom"/>
            <w:hideMark/>
          </w:tcPr>
          <w:p w14:paraId="649940FE" w14:textId="21152DFD" w:rsidR="00CD0F26" w:rsidRPr="00361E96" w:rsidRDefault="00CD0F26" w:rsidP="00CD0F26">
            <w:pPr>
              <w:jc w:val="right"/>
              <w:rPr>
                <w:sz w:val="16"/>
                <w:szCs w:val="16"/>
              </w:rPr>
            </w:pPr>
            <w:r w:rsidRPr="00361E96">
              <w:rPr>
                <w:sz w:val="16"/>
                <w:szCs w:val="16"/>
              </w:rPr>
              <w:t>886</w:t>
            </w:r>
          </w:p>
        </w:tc>
        <w:tc>
          <w:tcPr>
            <w:tcW w:w="771" w:type="pct"/>
            <w:tcBorders>
              <w:top w:val="nil"/>
              <w:left w:val="nil"/>
              <w:bottom w:val="nil"/>
              <w:right w:val="nil"/>
            </w:tcBorders>
            <w:shd w:val="clear" w:color="auto" w:fill="auto"/>
            <w:noWrap/>
            <w:vAlign w:val="bottom"/>
            <w:hideMark/>
          </w:tcPr>
          <w:p w14:paraId="665F4921" w14:textId="2E8F06AC" w:rsidR="00CD0F26" w:rsidRPr="00361E96" w:rsidRDefault="00CD0F26" w:rsidP="00CD0F26">
            <w:pPr>
              <w:jc w:val="right"/>
              <w:rPr>
                <w:sz w:val="16"/>
                <w:szCs w:val="16"/>
              </w:rPr>
            </w:pPr>
            <w:r w:rsidRPr="00361E96">
              <w:rPr>
                <w:sz w:val="16"/>
                <w:szCs w:val="16"/>
              </w:rPr>
              <w:t>0.4</w:t>
            </w:r>
          </w:p>
        </w:tc>
      </w:tr>
      <w:tr w:rsidR="00361E96" w:rsidRPr="00361E96" w14:paraId="3B381252" w14:textId="77777777" w:rsidTr="00D972DA">
        <w:trPr>
          <w:trHeight w:val="20"/>
        </w:trPr>
        <w:tc>
          <w:tcPr>
            <w:tcW w:w="1382" w:type="pct"/>
            <w:tcBorders>
              <w:top w:val="nil"/>
              <w:left w:val="nil"/>
              <w:bottom w:val="nil"/>
            </w:tcBorders>
            <w:shd w:val="clear" w:color="auto" w:fill="auto"/>
            <w:noWrap/>
            <w:vAlign w:val="bottom"/>
            <w:hideMark/>
          </w:tcPr>
          <w:p w14:paraId="4B264561" w14:textId="77777777" w:rsidR="00CD0F26" w:rsidRPr="00361E96" w:rsidRDefault="00CD0F26" w:rsidP="00CD0F26">
            <w:pPr>
              <w:rPr>
                <w:sz w:val="16"/>
                <w:szCs w:val="16"/>
              </w:rPr>
            </w:pPr>
            <w:r w:rsidRPr="00361E96">
              <w:rPr>
                <w:sz w:val="16"/>
                <w:szCs w:val="16"/>
              </w:rPr>
              <w:t>Njombe</w:t>
            </w:r>
          </w:p>
        </w:tc>
        <w:tc>
          <w:tcPr>
            <w:tcW w:w="814" w:type="pct"/>
            <w:tcBorders>
              <w:top w:val="nil"/>
              <w:bottom w:val="nil"/>
              <w:right w:val="nil"/>
            </w:tcBorders>
            <w:shd w:val="clear" w:color="auto" w:fill="auto"/>
            <w:noWrap/>
            <w:vAlign w:val="bottom"/>
            <w:hideMark/>
          </w:tcPr>
          <w:p w14:paraId="16406A31" w14:textId="52BAE1E9" w:rsidR="00CD0F26" w:rsidRPr="00361E96" w:rsidRDefault="00CD0F26" w:rsidP="00CD0F26">
            <w:pPr>
              <w:jc w:val="right"/>
              <w:rPr>
                <w:sz w:val="16"/>
                <w:szCs w:val="16"/>
              </w:rPr>
            </w:pPr>
            <w:r w:rsidRPr="00361E96">
              <w:rPr>
                <w:sz w:val="16"/>
                <w:szCs w:val="16"/>
              </w:rPr>
              <w:t>-</w:t>
            </w:r>
          </w:p>
        </w:tc>
        <w:tc>
          <w:tcPr>
            <w:tcW w:w="892" w:type="pct"/>
            <w:tcBorders>
              <w:top w:val="nil"/>
              <w:left w:val="nil"/>
              <w:bottom w:val="nil"/>
              <w:right w:val="nil"/>
            </w:tcBorders>
            <w:shd w:val="clear" w:color="auto" w:fill="auto"/>
            <w:noWrap/>
            <w:vAlign w:val="bottom"/>
            <w:hideMark/>
          </w:tcPr>
          <w:p w14:paraId="40368602" w14:textId="6085AB67" w:rsidR="00CD0F26" w:rsidRPr="00361E96" w:rsidRDefault="00CD0F26" w:rsidP="00CD0F26">
            <w:pPr>
              <w:jc w:val="right"/>
              <w:rPr>
                <w:sz w:val="16"/>
                <w:szCs w:val="16"/>
              </w:rPr>
            </w:pPr>
            <w:r w:rsidRPr="00361E96">
              <w:rPr>
                <w:sz w:val="16"/>
                <w:szCs w:val="16"/>
              </w:rPr>
              <w:t>-</w:t>
            </w:r>
          </w:p>
        </w:tc>
        <w:tc>
          <w:tcPr>
            <w:tcW w:w="1140" w:type="pct"/>
            <w:tcBorders>
              <w:top w:val="nil"/>
              <w:left w:val="nil"/>
              <w:bottom w:val="nil"/>
              <w:right w:val="nil"/>
            </w:tcBorders>
            <w:shd w:val="clear" w:color="auto" w:fill="auto"/>
            <w:noWrap/>
            <w:vAlign w:val="bottom"/>
            <w:hideMark/>
          </w:tcPr>
          <w:p w14:paraId="06BFDB03" w14:textId="38F48925" w:rsidR="00CD0F26" w:rsidRPr="00361E96" w:rsidRDefault="00CD0F26" w:rsidP="00CD0F26">
            <w:pPr>
              <w:jc w:val="right"/>
              <w:rPr>
                <w:sz w:val="16"/>
                <w:szCs w:val="16"/>
              </w:rPr>
            </w:pPr>
            <w:r w:rsidRPr="00361E96">
              <w:rPr>
                <w:sz w:val="16"/>
                <w:szCs w:val="16"/>
              </w:rPr>
              <w:t>-</w:t>
            </w:r>
          </w:p>
        </w:tc>
        <w:tc>
          <w:tcPr>
            <w:tcW w:w="771" w:type="pct"/>
            <w:tcBorders>
              <w:top w:val="nil"/>
              <w:left w:val="nil"/>
              <w:bottom w:val="nil"/>
              <w:right w:val="nil"/>
            </w:tcBorders>
            <w:shd w:val="clear" w:color="auto" w:fill="auto"/>
            <w:noWrap/>
            <w:vAlign w:val="bottom"/>
            <w:hideMark/>
          </w:tcPr>
          <w:p w14:paraId="0941C53B" w14:textId="20511E38" w:rsidR="00CD0F26" w:rsidRPr="00361E96" w:rsidRDefault="00CD0F26" w:rsidP="00CD0F26">
            <w:pPr>
              <w:jc w:val="right"/>
              <w:rPr>
                <w:sz w:val="16"/>
                <w:szCs w:val="16"/>
              </w:rPr>
            </w:pPr>
            <w:r w:rsidRPr="00361E96">
              <w:rPr>
                <w:sz w:val="16"/>
                <w:szCs w:val="16"/>
              </w:rPr>
              <w:t>-</w:t>
            </w:r>
          </w:p>
        </w:tc>
      </w:tr>
      <w:tr w:rsidR="00361E96" w:rsidRPr="00361E96" w14:paraId="1E3AB853" w14:textId="77777777" w:rsidTr="00D972DA">
        <w:trPr>
          <w:trHeight w:val="20"/>
        </w:trPr>
        <w:tc>
          <w:tcPr>
            <w:tcW w:w="1382" w:type="pct"/>
            <w:tcBorders>
              <w:top w:val="nil"/>
              <w:left w:val="nil"/>
              <w:bottom w:val="nil"/>
            </w:tcBorders>
            <w:shd w:val="clear" w:color="auto" w:fill="auto"/>
            <w:noWrap/>
            <w:vAlign w:val="bottom"/>
            <w:hideMark/>
          </w:tcPr>
          <w:p w14:paraId="71239BDE" w14:textId="77777777" w:rsidR="00CD0F26" w:rsidRPr="00361E96" w:rsidRDefault="00CD0F26" w:rsidP="00CD0F26">
            <w:pPr>
              <w:rPr>
                <w:sz w:val="16"/>
                <w:szCs w:val="16"/>
              </w:rPr>
            </w:pPr>
            <w:r w:rsidRPr="00361E96">
              <w:rPr>
                <w:sz w:val="16"/>
                <w:szCs w:val="16"/>
              </w:rPr>
              <w:t>Katavi</w:t>
            </w:r>
          </w:p>
        </w:tc>
        <w:tc>
          <w:tcPr>
            <w:tcW w:w="814" w:type="pct"/>
            <w:tcBorders>
              <w:top w:val="nil"/>
              <w:bottom w:val="nil"/>
              <w:right w:val="nil"/>
            </w:tcBorders>
            <w:shd w:val="clear" w:color="auto" w:fill="auto"/>
            <w:noWrap/>
            <w:vAlign w:val="bottom"/>
            <w:hideMark/>
          </w:tcPr>
          <w:p w14:paraId="7E1F89CF" w14:textId="38D10A8E" w:rsidR="00CD0F26" w:rsidRPr="00361E96" w:rsidRDefault="00CD0F26" w:rsidP="00CD0F26">
            <w:pPr>
              <w:jc w:val="right"/>
              <w:rPr>
                <w:sz w:val="16"/>
                <w:szCs w:val="16"/>
              </w:rPr>
            </w:pPr>
            <w:r w:rsidRPr="00361E96">
              <w:rPr>
                <w:sz w:val="16"/>
                <w:szCs w:val="16"/>
              </w:rPr>
              <w:t>10,925</w:t>
            </w:r>
          </w:p>
        </w:tc>
        <w:tc>
          <w:tcPr>
            <w:tcW w:w="892" w:type="pct"/>
            <w:tcBorders>
              <w:top w:val="nil"/>
              <w:left w:val="nil"/>
              <w:bottom w:val="nil"/>
              <w:right w:val="nil"/>
            </w:tcBorders>
            <w:shd w:val="clear" w:color="auto" w:fill="auto"/>
            <w:noWrap/>
            <w:vAlign w:val="bottom"/>
            <w:hideMark/>
          </w:tcPr>
          <w:p w14:paraId="1AF6B546" w14:textId="6DF49DE1" w:rsidR="00CD0F26" w:rsidRPr="00361E96" w:rsidRDefault="00CD0F26" w:rsidP="00CD0F26">
            <w:pPr>
              <w:jc w:val="right"/>
              <w:rPr>
                <w:sz w:val="16"/>
                <w:szCs w:val="16"/>
              </w:rPr>
            </w:pPr>
            <w:r w:rsidRPr="00361E96">
              <w:rPr>
                <w:sz w:val="16"/>
                <w:szCs w:val="16"/>
              </w:rPr>
              <w:t>10,140</w:t>
            </w:r>
          </w:p>
        </w:tc>
        <w:tc>
          <w:tcPr>
            <w:tcW w:w="1140" w:type="pct"/>
            <w:tcBorders>
              <w:top w:val="nil"/>
              <w:left w:val="nil"/>
              <w:bottom w:val="nil"/>
              <w:right w:val="nil"/>
            </w:tcBorders>
            <w:shd w:val="clear" w:color="auto" w:fill="auto"/>
            <w:noWrap/>
            <w:vAlign w:val="bottom"/>
            <w:hideMark/>
          </w:tcPr>
          <w:p w14:paraId="059507A3" w14:textId="78602556" w:rsidR="00CD0F26" w:rsidRPr="00361E96" w:rsidRDefault="00CD0F26" w:rsidP="00CD0F26">
            <w:pPr>
              <w:jc w:val="right"/>
              <w:rPr>
                <w:sz w:val="16"/>
                <w:szCs w:val="16"/>
              </w:rPr>
            </w:pPr>
            <w:r w:rsidRPr="00361E96">
              <w:rPr>
                <w:sz w:val="16"/>
                <w:szCs w:val="16"/>
              </w:rPr>
              <w:t>3,075</w:t>
            </w:r>
          </w:p>
        </w:tc>
        <w:tc>
          <w:tcPr>
            <w:tcW w:w="771" w:type="pct"/>
            <w:tcBorders>
              <w:top w:val="nil"/>
              <w:left w:val="nil"/>
              <w:bottom w:val="nil"/>
              <w:right w:val="nil"/>
            </w:tcBorders>
            <w:shd w:val="clear" w:color="auto" w:fill="auto"/>
            <w:noWrap/>
            <w:vAlign w:val="bottom"/>
            <w:hideMark/>
          </w:tcPr>
          <w:p w14:paraId="4152BD73" w14:textId="6153B5C8" w:rsidR="00CD0F26" w:rsidRPr="00361E96" w:rsidRDefault="00CD0F26" w:rsidP="00CD0F26">
            <w:pPr>
              <w:jc w:val="right"/>
              <w:rPr>
                <w:sz w:val="16"/>
                <w:szCs w:val="16"/>
              </w:rPr>
            </w:pPr>
            <w:r w:rsidRPr="00361E96">
              <w:rPr>
                <w:sz w:val="16"/>
                <w:szCs w:val="16"/>
              </w:rPr>
              <w:t>0.3</w:t>
            </w:r>
          </w:p>
        </w:tc>
      </w:tr>
      <w:tr w:rsidR="00361E96" w:rsidRPr="00361E96" w14:paraId="67B6F8B3" w14:textId="77777777" w:rsidTr="00D972DA">
        <w:trPr>
          <w:trHeight w:val="20"/>
        </w:trPr>
        <w:tc>
          <w:tcPr>
            <w:tcW w:w="1382" w:type="pct"/>
            <w:tcBorders>
              <w:top w:val="nil"/>
              <w:left w:val="nil"/>
              <w:bottom w:val="nil"/>
            </w:tcBorders>
            <w:shd w:val="clear" w:color="auto" w:fill="auto"/>
            <w:noWrap/>
            <w:vAlign w:val="bottom"/>
            <w:hideMark/>
          </w:tcPr>
          <w:p w14:paraId="4DBE0FEF" w14:textId="77777777" w:rsidR="00CD0F26" w:rsidRPr="00361E96" w:rsidRDefault="00CD0F26" w:rsidP="00CD0F26">
            <w:pPr>
              <w:rPr>
                <w:sz w:val="16"/>
                <w:szCs w:val="16"/>
              </w:rPr>
            </w:pPr>
            <w:r w:rsidRPr="00361E96">
              <w:rPr>
                <w:sz w:val="16"/>
                <w:szCs w:val="16"/>
              </w:rPr>
              <w:t>Simiyu</w:t>
            </w:r>
          </w:p>
        </w:tc>
        <w:tc>
          <w:tcPr>
            <w:tcW w:w="814" w:type="pct"/>
            <w:tcBorders>
              <w:top w:val="nil"/>
              <w:bottom w:val="nil"/>
              <w:right w:val="nil"/>
            </w:tcBorders>
            <w:shd w:val="clear" w:color="auto" w:fill="auto"/>
            <w:noWrap/>
            <w:vAlign w:val="bottom"/>
            <w:hideMark/>
          </w:tcPr>
          <w:p w14:paraId="0F761E1E" w14:textId="1B30B2E7" w:rsidR="00CD0F26" w:rsidRPr="00361E96" w:rsidRDefault="00CD0F26" w:rsidP="00CD0F26">
            <w:pPr>
              <w:jc w:val="right"/>
              <w:rPr>
                <w:sz w:val="16"/>
                <w:szCs w:val="16"/>
              </w:rPr>
            </w:pPr>
            <w:r w:rsidRPr="00361E96">
              <w:rPr>
                <w:sz w:val="16"/>
                <w:szCs w:val="16"/>
              </w:rPr>
              <w:t>1,452</w:t>
            </w:r>
          </w:p>
        </w:tc>
        <w:tc>
          <w:tcPr>
            <w:tcW w:w="892" w:type="pct"/>
            <w:tcBorders>
              <w:top w:val="nil"/>
              <w:left w:val="nil"/>
              <w:bottom w:val="nil"/>
              <w:right w:val="nil"/>
            </w:tcBorders>
            <w:shd w:val="clear" w:color="auto" w:fill="auto"/>
            <w:noWrap/>
            <w:vAlign w:val="bottom"/>
            <w:hideMark/>
          </w:tcPr>
          <w:p w14:paraId="416E13A7" w14:textId="1B208D11" w:rsidR="00CD0F26" w:rsidRPr="00361E96" w:rsidRDefault="00CD0F26" w:rsidP="00CD0F26">
            <w:pPr>
              <w:jc w:val="right"/>
              <w:rPr>
                <w:sz w:val="16"/>
                <w:szCs w:val="16"/>
              </w:rPr>
            </w:pPr>
            <w:r w:rsidRPr="00361E96">
              <w:rPr>
                <w:sz w:val="16"/>
                <w:szCs w:val="16"/>
              </w:rPr>
              <w:t>1,452</w:t>
            </w:r>
          </w:p>
        </w:tc>
        <w:tc>
          <w:tcPr>
            <w:tcW w:w="1140" w:type="pct"/>
            <w:tcBorders>
              <w:top w:val="nil"/>
              <w:left w:val="nil"/>
              <w:bottom w:val="nil"/>
              <w:right w:val="nil"/>
            </w:tcBorders>
            <w:shd w:val="clear" w:color="auto" w:fill="auto"/>
            <w:noWrap/>
            <w:vAlign w:val="bottom"/>
            <w:hideMark/>
          </w:tcPr>
          <w:p w14:paraId="36F4D4B2" w14:textId="3AF38D5E" w:rsidR="00CD0F26" w:rsidRPr="00361E96" w:rsidRDefault="00CD0F26" w:rsidP="00CD0F26">
            <w:pPr>
              <w:jc w:val="right"/>
              <w:rPr>
                <w:sz w:val="16"/>
                <w:szCs w:val="16"/>
              </w:rPr>
            </w:pPr>
            <w:r w:rsidRPr="00361E96">
              <w:rPr>
                <w:sz w:val="16"/>
                <w:szCs w:val="16"/>
              </w:rPr>
              <w:t>1,321</w:t>
            </w:r>
          </w:p>
        </w:tc>
        <w:tc>
          <w:tcPr>
            <w:tcW w:w="771" w:type="pct"/>
            <w:tcBorders>
              <w:top w:val="nil"/>
              <w:left w:val="nil"/>
              <w:bottom w:val="nil"/>
              <w:right w:val="nil"/>
            </w:tcBorders>
            <w:shd w:val="clear" w:color="auto" w:fill="auto"/>
            <w:noWrap/>
            <w:vAlign w:val="bottom"/>
            <w:hideMark/>
          </w:tcPr>
          <w:p w14:paraId="69908123" w14:textId="3C024387" w:rsidR="00CD0F26" w:rsidRPr="00361E96" w:rsidRDefault="00CD0F26" w:rsidP="00CD0F26">
            <w:pPr>
              <w:jc w:val="right"/>
              <w:rPr>
                <w:sz w:val="16"/>
                <w:szCs w:val="16"/>
              </w:rPr>
            </w:pPr>
            <w:r w:rsidRPr="00361E96">
              <w:rPr>
                <w:sz w:val="16"/>
                <w:szCs w:val="16"/>
              </w:rPr>
              <w:t>0.9</w:t>
            </w:r>
          </w:p>
        </w:tc>
      </w:tr>
      <w:tr w:rsidR="00361E96" w:rsidRPr="00361E96" w14:paraId="63AE39CD" w14:textId="77777777" w:rsidTr="00D972DA">
        <w:trPr>
          <w:trHeight w:val="20"/>
        </w:trPr>
        <w:tc>
          <w:tcPr>
            <w:tcW w:w="1382" w:type="pct"/>
            <w:tcBorders>
              <w:top w:val="nil"/>
              <w:left w:val="nil"/>
              <w:bottom w:val="nil"/>
            </w:tcBorders>
            <w:shd w:val="clear" w:color="auto" w:fill="auto"/>
            <w:noWrap/>
            <w:vAlign w:val="bottom"/>
            <w:hideMark/>
          </w:tcPr>
          <w:p w14:paraId="716FD4D3" w14:textId="77777777" w:rsidR="00CD0F26" w:rsidRPr="00361E96" w:rsidRDefault="00CD0F26" w:rsidP="00CD0F26">
            <w:pPr>
              <w:rPr>
                <w:sz w:val="16"/>
                <w:szCs w:val="16"/>
              </w:rPr>
            </w:pPr>
            <w:r w:rsidRPr="00361E96">
              <w:rPr>
                <w:sz w:val="16"/>
                <w:szCs w:val="16"/>
              </w:rPr>
              <w:t>Geita</w:t>
            </w:r>
          </w:p>
        </w:tc>
        <w:tc>
          <w:tcPr>
            <w:tcW w:w="814" w:type="pct"/>
            <w:tcBorders>
              <w:top w:val="nil"/>
              <w:bottom w:val="nil"/>
              <w:right w:val="nil"/>
            </w:tcBorders>
            <w:shd w:val="clear" w:color="auto" w:fill="auto"/>
            <w:noWrap/>
            <w:vAlign w:val="bottom"/>
            <w:hideMark/>
          </w:tcPr>
          <w:p w14:paraId="6A448EC6" w14:textId="22A84E76" w:rsidR="00CD0F26" w:rsidRPr="00361E96" w:rsidRDefault="00CD0F26" w:rsidP="00CD0F26">
            <w:pPr>
              <w:jc w:val="right"/>
              <w:rPr>
                <w:sz w:val="16"/>
                <w:szCs w:val="16"/>
              </w:rPr>
            </w:pPr>
            <w:r w:rsidRPr="00361E96">
              <w:rPr>
                <w:sz w:val="16"/>
                <w:szCs w:val="16"/>
              </w:rPr>
              <w:t>142</w:t>
            </w:r>
          </w:p>
        </w:tc>
        <w:tc>
          <w:tcPr>
            <w:tcW w:w="892" w:type="pct"/>
            <w:tcBorders>
              <w:top w:val="nil"/>
              <w:left w:val="nil"/>
              <w:bottom w:val="nil"/>
              <w:right w:val="nil"/>
            </w:tcBorders>
            <w:shd w:val="clear" w:color="auto" w:fill="auto"/>
            <w:noWrap/>
            <w:vAlign w:val="bottom"/>
            <w:hideMark/>
          </w:tcPr>
          <w:p w14:paraId="63261FF6" w14:textId="232E2557" w:rsidR="00CD0F26" w:rsidRPr="00361E96" w:rsidRDefault="00CD0F26" w:rsidP="00CD0F26">
            <w:pPr>
              <w:jc w:val="right"/>
              <w:rPr>
                <w:sz w:val="16"/>
                <w:szCs w:val="16"/>
              </w:rPr>
            </w:pPr>
            <w:r w:rsidRPr="00361E96">
              <w:rPr>
                <w:sz w:val="16"/>
                <w:szCs w:val="16"/>
              </w:rPr>
              <w:t>142</w:t>
            </w:r>
          </w:p>
        </w:tc>
        <w:tc>
          <w:tcPr>
            <w:tcW w:w="1140" w:type="pct"/>
            <w:tcBorders>
              <w:top w:val="nil"/>
              <w:left w:val="nil"/>
              <w:bottom w:val="nil"/>
              <w:right w:val="nil"/>
            </w:tcBorders>
            <w:shd w:val="clear" w:color="auto" w:fill="auto"/>
            <w:noWrap/>
            <w:vAlign w:val="bottom"/>
            <w:hideMark/>
          </w:tcPr>
          <w:p w14:paraId="48A51EFF" w14:textId="11B8C528" w:rsidR="00CD0F26" w:rsidRPr="00361E96" w:rsidRDefault="00CD0F26" w:rsidP="00CD0F26">
            <w:pPr>
              <w:jc w:val="right"/>
              <w:rPr>
                <w:sz w:val="16"/>
                <w:szCs w:val="16"/>
              </w:rPr>
            </w:pPr>
            <w:r w:rsidRPr="00361E96">
              <w:rPr>
                <w:sz w:val="16"/>
                <w:szCs w:val="16"/>
              </w:rPr>
              <w:t>121</w:t>
            </w:r>
          </w:p>
        </w:tc>
        <w:tc>
          <w:tcPr>
            <w:tcW w:w="771" w:type="pct"/>
            <w:tcBorders>
              <w:top w:val="nil"/>
              <w:left w:val="nil"/>
              <w:bottom w:val="nil"/>
              <w:right w:val="nil"/>
            </w:tcBorders>
            <w:shd w:val="clear" w:color="auto" w:fill="auto"/>
            <w:noWrap/>
            <w:vAlign w:val="bottom"/>
            <w:hideMark/>
          </w:tcPr>
          <w:p w14:paraId="01A2F56E" w14:textId="070C46CA" w:rsidR="00CD0F26" w:rsidRPr="00361E96" w:rsidRDefault="00CD0F26" w:rsidP="00CD0F26">
            <w:pPr>
              <w:jc w:val="right"/>
              <w:rPr>
                <w:sz w:val="16"/>
                <w:szCs w:val="16"/>
              </w:rPr>
            </w:pPr>
            <w:r w:rsidRPr="00361E96">
              <w:rPr>
                <w:sz w:val="16"/>
                <w:szCs w:val="16"/>
              </w:rPr>
              <w:t>0.9</w:t>
            </w:r>
          </w:p>
        </w:tc>
      </w:tr>
      <w:tr w:rsidR="00361E96" w:rsidRPr="00361E96" w14:paraId="68A34DF2" w14:textId="77777777" w:rsidTr="00D972DA">
        <w:trPr>
          <w:trHeight w:val="20"/>
        </w:trPr>
        <w:tc>
          <w:tcPr>
            <w:tcW w:w="1382" w:type="pct"/>
            <w:tcBorders>
              <w:top w:val="nil"/>
              <w:left w:val="nil"/>
              <w:bottom w:val="nil"/>
            </w:tcBorders>
            <w:shd w:val="clear" w:color="auto" w:fill="auto"/>
            <w:noWrap/>
            <w:vAlign w:val="bottom"/>
            <w:hideMark/>
          </w:tcPr>
          <w:p w14:paraId="2DEC5A32" w14:textId="77777777" w:rsidR="00CD0F26" w:rsidRPr="00361E96" w:rsidRDefault="00CD0F26" w:rsidP="00CD0F26">
            <w:pPr>
              <w:rPr>
                <w:sz w:val="16"/>
                <w:szCs w:val="16"/>
              </w:rPr>
            </w:pPr>
            <w:r w:rsidRPr="00361E96">
              <w:rPr>
                <w:sz w:val="16"/>
                <w:szCs w:val="16"/>
              </w:rPr>
              <w:t>Songwe</w:t>
            </w:r>
          </w:p>
        </w:tc>
        <w:tc>
          <w:tcPr>
            <w:tcW w:w="814" w:type="pct"/>
            <w:tcBorders>
              <w:top w:val="nil"/>
              <w:bottom w:val="nil"/>
              <w:right w:val="nil"/>
            </w:tcBorders>
            <w:shd w:val="clear" w:color="auto" w:fill="auto"/>
            <w:noWrap/>
            <w:vAlign w:val="bottom"/>
            <w:hideMark/>
          </w:tcPr>
          <w:p w14:paraId="5F4D049B" w14:textId="2C10616D" w:rsidR="00CD0F26" w:rsidRPr="00361E96" w:rsidRDefault="00CD0F26" w:rsidP="00CD0F26">
            <w:pPr>
              <w:jc w:val="right"/>
              <w:rPr>
                <w:sz w:val="16"/>
                <w:szCs w:val="16"/>
              </w:rPr>
            </w:pPr>
            <w:r w:rsidRPr="00361E96">
              <w:rPr>
                <w:sz w:val="16"/>
                <w:szCs w:val="16"/>
              </w:rPr>
              <w:t>71,464</w:t>
            </w:r>
          </w:p>
        </w:tc>
        <w:tc>
          <w:tcPr>
            <w:tcW w:w="892" w:type="pct"/>
            <w:tcBorders>
              <w:top w:val="nil"/>
              <w:left w:val="nil"/>
              <w:bottom w:val="nil"/>
              <w:right w:val="nil"/>
            </w:tcBorders>
            <w:shd w:val="clear" w:color="auto" w:fill="auto"/>
            <w:noWrap/>
            <w:vAlign w:val="bottom"/>
            <w:hideMark/>
          </w:tcPr>
          <w:p w14:paraId="28B6A359" w14:textId="54510E3A" w:rsidR="00CD0F26" w:rsidRPr="00361E96" w:rsidRDefault="00CD0F26" w:rsidP="00CD0F26">
            <w:pPr>
              <w:jc w:val="right"/>
              <w:rPr>
                <w:sz w:val="16"/>
                <w:szCs w:val="16"/>
              </w:rPr>
            </w:pPr>
            <w:r w:rsidRPr="00361E96">
              <w:rPr>
                <w:sz w:val="16"/>
                <w:szCs w:val="16"/>
              </w:rPr>
              <w:t>62,413</w:t>
            </w:r>
          </w:p>
        </w:tc>
        <w:tc>
          <w:tcPr>
            <w:tcW w:w="1140" w:type="pct"/>
            <w:tcBorders>
              <w:top w:val="nil"/>
              <w:left w:val="nil"/>
              <w:bottom w:val="nil"/>
              <w:right w:val="nil"/>
            </w:tcBorders>
            <w:shd w:val="clear" w:color="auto" w:fill="auto"/>
            <w:noWrap/>
            <w:vAlign w:val="bottom"/>
            <w:hideMark/>
          </w:tcPr>
          <w:p w14:paraId="01A55C89" w14:textId="23BD8232" w:rsidR="00CD0F26" w:rsidRPr="00361E96" w:rsidRDefault="00CD0F26" w:rsidP="00CD0F26">
            <w:pPr>
              <w:jc w:val="right"/>
              <w:rPr>
                <w:sz w:val="16"/>
                <w:szCs w:val="16"/>
              </w:rPr>
            </w:pPr>
            <w:r w:rsidRPr="00361E96">
              <w:rPr>
                <w:sz w:val="16"/>
                <w:szCs w:val="16"/>
              </w:rPr>
              <w:t>23,544</w:t>
            </w:r>
          </w:p>
        </w:tc>
        <w:tc>
          <w:tcPr>
            <w:tcW w:w="771" w:type="pct"/>
            <w:tcBorders>
              <w:top w:val="nil"/>
              <w:left w:val="nil"/>
              <w:bottom w:val="nil"/>
              <w:right w:val="nil"/>
            </w:tcBorders>
            <w:shd w:val="clear" w:color="auto" w:fill="auto"/>
            <w:noWrap/>
            <w:vAlign w:val="bottom"/>
            <w:hideMark/>
          </w:tcPr>
          <w:p w14:paraId="3FDBA705" w14:textId="692FB11C" w:rsidR="00CD0F26" w:rsidRPr="00361E96" w:rsidRDefault="00CD0F26" w:rsidP="00CD0F26">
            <w:pPr>
              <w:jc w:val="right"/>
              <w:rPr>
                <w:sz w:val="16"/>
                <w:szCs w:val="16"/>
              </w:rPr>
            </w:pPr>
            <w:r w:rsidRPr="00361E96">
              <w:rPr>
                <w:sz w:val="16"/>
                <w:szCs w:val="16"/>
              </w:rPr>
              <w:t>0.4</w:t>
            </w:r>
          </w:p>
        </w:tc>
      </w:tr>
      <w:tr w:rsidR="00361E96" w:rsidRPr="00361E96" w14:paraId="6846B661" w14:textId="77777777" w:rsidTr="00D972DA">
        <w:trPr>
          <w:trHeight w:val="20"/>
        </w:trPr>
        <w:tc>
          <w:tcPr>
            <w:tcW w:w="1382" w:type="pct"/>
            <w:tcBorders>
              <w:top w:val="single" w:sz="4" w:space="0" w:color="auto"/>
              <w:left w:val="nil"/>
              <w:bottom w:val="single" w:sz="4" w:space="0" w:color="auto"/>
            </w:tcBorders>
            <w:shd w:val="clear" w:color="auto" w:fill="E2EFD9" w:themeFill="accent6" w:themeFillTint="33"/>
            <w:noWrap/>
            <w:vAlign w:val="bottom"/>
            <w:hideMark/>
          </w:tcPr>
          <w:p w14:paraId="5BF22E21" w14:textId="423AACD7" w:rsidR="00CD0F26" w:rsidRPr="00361E96" w:rsidRDefault="00EA1552" w:rsidP="00CD0F26">
            <w:pPr>
              <w:rPr>
                <w:b/>
                <w:bCs/>
                <w:sz w:val="16"/>
                <w:szCs w:val="16"/>
              </w:rPr>
            </w:pPr>
            <w:r w:rsidRPr="00361E96">
              <w:rPr>
                <w:b/>
                <w:bCs/>
                <w:sz w:val="16"/>
                <w:szCs w:val="16"/>
              </w:rPr>
              <w:t>Mainland Tanzania</w:t>
            </w:r>
          </w:p>
        </w:tc>
        <w:tc>
          <w:tcPr>
            <w:tcW w:w="814" w:type="pct"/>
            <w:tcBorders>
              <w:top w:val="single" w:sz="4" w:space="0" w:color="auto"/>
              <w:bottom w:val="single" w:sz="4" w:space="0" w:color="auto"/>
              <w:right w:val="nil"/>
            </w:tcBorders>
            <w:shd w:val="clear" w:color="auto" w:fill="E2EFD9" w:themeFill="accent6" w:themeFillTint="33"/>
            <w:noWrap/>
            <w:vAlign w:val="bottom"/>
            <w:hideMark/>
          </w:tcPr>
          <w:p w14:paraId="74E0936F" w14:textId="53A9D3D0" w:rsidR="00CD0F26" w:rsidRPr="00361E96" w:rsidRDefault="00CD0F26" w:rsidP="00CD0F26">
            <w:pPr>
              <w:jc w:val="right"/>
              <w:rPr>
                <w:b/>
                <w:bCs/>
                <w:sz w:val="16"/>
                <w:szCs w:val="16"/>
              </w:rPr>
            </w:pPr>
            <w:r w:rsidRPr="00361E96">
              <w:rPr>
                <w:b/>
                <w:bCs/>
                <w:sz w:val="16"/>
                <w:szCs w:val="16"/>
              </w:rPr>
              <w:t>442,689</w:t>
            </w:r>
          </w:p>
        </w:tc>
        <w:tc>
          <w:tcPr>
            <w:tcW w:w="892" w:type="pct"/>
            <w:tcBorders>
              <w:top w:val="single" w:sz="4" w:space="0" w:color="auto"/>
              <w:left w:val="nil"/>
              <w:bottom w:val="single" w:sz="4" w:space="0" w:color="auto"/>
              <w:right w:val="nil"/>
            </w:tcBorders>
            <w:shd w:val="clear" w:color="auto" w:fill="E2EFD9" w:themeFill="accent6" w:themeFillTint="33"/>
            <w:noWrap/>
            <w:vAlign w:val="bottom"/>
            <w:hideMark/>
          </w:tcPr>
          <w:p w14:paraId="6684F54B" w14:textId="013AB9FD" w:rsidR="00CD0F26" w:rsidRPr="00361E96" w:rsidRDefault="00CD0F26" w:rsidP="00CD0F26">
            <w:pPr>
              <w:jc w:val="right"/>
              <w:rPr>
                <w:b/>
                <w:bCs/>
                <w:sz w:val="16"/>
                <w:szCs w:val="16"/>
              </w:rPr>
            </w:pPr>
            <w:r w:rsidRPr="00361E96">
              <w:rPr>
                <w:b/>
                <w:bCs/>
                <w:sz w:val="16"/>
                <w:szCs w:val="16"/>
              </w:rPr>
              <w:t>392,110</w:t>
            </w:r>
          </w:p>
        </w:tc>
        <w:tc>
          <w:tcPr>
            <w:tcW w:w="1140" w:type="pct"/>
            <w:tcBorders>
              <w:top w:val="single" w:sz="4" w:space="0" w:color="auto"/>
              <w:left w:val="nil"/>
              <w:bottom w:val="single" w:sz="4" w:space="0" w:color="auto"/>
              <w:right w:val="nil"/>
            </w:tcBorders>
            <w:shd w:val="clear" w:color="auto" w:fill="E2EFD9" w:themeFill="accent6" w:themeFillTint="33"/>
            <w:noWrap/>
            <w:vAlign w:val="bottom"/>
            <w:hideMark/>
          </w:tcPr>
          <w:p w14:paraId="15C334B6" w14:textId="5AD8967A" w:rsidR="00CD0F26" w:rsidRPr="00361E96" w:rsidRDefault="00CD0F26" w:rsidP="00CD0F26">
            <w:pPr>
              <w:jc w:val="right"/>
              <w:rPr>
                <w:b/>
                <w:bCs/>
                <w:sz w:val="16"/>
                <w:szCs w:val="16"/>
              </w:rPr>
            </w:pPr>
            <w:r w:rsidRPr="00361E96">
              <w:rPr>
                <w:b/>
                <w:bCs/>
                <w:sz w:val="16"/>
                <w:szCs w:val="16"/>
              </w:rPr>
              <w:t>128,588</w:t>
            </w:r>
          </w:p>
        </w:tc>
        <w:tc>
          <w:tcPr>
            <w:tcW w:w="771" w:type="pct"/>
            <w:tcBorders>
              <w:top w:val="single" w:sz="4" w:space="0" w:color="auto"/>
              <w:left w:val="nil"/>
              <w:bottom w:val="single" w:sz="4" w:space="0" w:color="auto"/>
              <w:right w:val="nil"/>
            </w:tcBorders>
            <w:shd w:val="clear" w:color="auto" w:fill="E2EFD9" w:themeFill="accent6" w:themeFillTint="33"/>
            <w:noWrap/>
            <w:vAlign w:val="bottom"/>
            <w:hideMark/>
          </w:tcPr>
          <w:p w14:paraId="7CC9E442" w14:textId="3D6A4654" w:rsidR="00CD0F26" w:rsidRPr="00361E96" w:rsidRDefault="00CD0F26" w:rsidP="00CD0F26">
            <w:pPr>
              <w:jc w:val="right"/>
              <w:rPr>
                <w:b/>
                <w:bCs/>
                <w:sz w:val="16"/>
                <w:szCs w:val="16"/>
              </w:rPr>
            </w:pPr>
            <w:r w:rsidRPr="00361E96">
              <w:rPr>
                <w:b/>
                <w:bCs/>
                <w:sz w:val="16"/>
                <w:szCs w:val="16"/>
              </w:rPr>
              <w:t>0.3</w:t>
            </w:r>
          </w:p>
        </w:tc>
      </w:tr>
    </w:tbl>
    <w:p w14:paraId="73380A21" w14:textId="47E9832F" w:rsidR="0093401C" w:rsidRPr="006B42D6" w:rsidRDefault="0093401C" w:rsidP="005C2EFC">
      <w:pPr>
        <w:pStyle w:val="Default"/>
        <w:spacing w:line="360" w:lineRule="auto"/>
        <w:jc w:val="both"/>
        <w:rPr>
          <w:b/>
          <w:color w:val="auto"/>
          <w:sz w:val="20"/>
          <w:szCs w:val="20"/>
        </w:rPr>
      </w:pPr>
    </w:p>
    <w:p w14:paraId="30D68799" w14:textId="1D92F794" w:rsidR="00CD5D2F" w:rsidRPr="006B42D6" w:rsidRDefault="00CD5D2F" w:rsidP="00CD5D2F">
      <w:pPr>
        <w:pStyle w:val="Heading4"/>
      </w:pPr>
      <w:bookmarkStart w:id="199" w:name="_Toc82385664"/>
      <w:r w:rsidRPr="006B42D6">
        <w:t>3.1.</w:t>
      </w:r>
      <w:r w:rsidR="00193728">
        <w:t>4</w:t>
      </w:r>
      <w:r w:rsidRPr="006B42D6">
        <w:t>.4</w:t>
      </w:r>
      <w:r w:rsidRPr="006B42D6">
        <w:tab/>
        <w:t>Oil Palm</w:t>
      </w:r>
      <w:bookmarkEnd w:id="199"/>
    </w:p>
    <w:p w14:paraId="311CBAF8" w14:textId="29A1396D" w:rsidR="00CD5D2F" w:rsidRDefault="00CD5D2F" w:rsidP="0072387B">
      <w:r w:rsidRPr="006B42D6">
        <w:t xml:space="preserve">The 2019/20 NSCA results show that, a total of 29,255 households were engaged in growing oil palm in </w:t>
      </w:r>
      <w:r w:rsidR="00EA1552">
        <w:t>Mainland Tanzania</w:t>
      </w:r>
      <w:r w:rsidRPr="006B42D6">
        <w:t xml:space="preserve"> during 2019/20 agricultural year. Oil palm was grown in only eight region of </w:t>
      </w:r>
      <w:r w:rsidR="00EA1552">
        <w:t>Mainland Tanzania</w:t>
      </w:r>
      <w:r w:rsidRPr="006B42D6">
        <w:t xml:space="preserve"> and there was no production of oil palm reported in Tanzania Zanzibar. </w:t>
      </w:r>
    </w:p>
    <w:p w14:paraId="2924D2C1" w14:textId="77777777" w:rsidR="0072387B" w:rsidRPr="00D972DA" w:rsidRDefault="0072387B" w:rsidP="0072387B">
      <w:pPr>
        <w:spacing w:line="240" w:lineRule="auto"/>
        <w:rPr>
          <w:sz w:val="20"/>
          <w:szCs w:val="20"/>
        </w:rPr>
      </w:pPr>
    </w:p>
    <w:p w14:paraId="6B792518" w14:textId="77777777" w:rsidR="0072387B" w:rsidRDefault="00CD5D2F" w:rsidP="0072387B">
      <w:r w:rsidRPr="006B42D6">
        <w:t>The total planted area for oil palm was 13,736 ha, out of which 13,096 ha were from smallholder farmers and 640 ha from large scale farms. From the total planted area by smallholder farmers, Kigoma region had the largest planted area with oil palm (7,025 ha; 53.6 percent), followed by Pwani (3,609 ha; 27.6 percent) and Mbeya (1,922 ha; 14.7 percent). On the other hand, Kagera region had the least planted area (4 ha; 0.03 percent).</w:t>
      </w:r>
    </w:p>
    <w:p w14:paraId="363D9363" w14:textId="4B175EEA" w:rsidR="00CD5D2F" w:rsidRPr="006B42D6" w:rsidRDefault="00CD5D2F" w:rsidP="0072387B">
      <w:pPr>
        <w:spacing w:line="240" w:lineRule="auto"/>
      </w:pPr>
    </w:p>
    <w:p w14:paraId="46D7A83E" w14:textId="77777777" w:rsidR="00CD5D2F" w:rsidRPr="006B42D6" w:rsidRDefault="00CD5D2F" w:rsidP="0072387B">
      <w:r w:rsidRPr="006B42D6">
        <w:lastRenderedPageBreak/>
        <w:t xml:space="preserve">The total harvested area with oil palm was 7,067 ha (6,861 ha from smallholder farmers and 206 ha from large scale farms). Kigoma region reported the largest harvested area (4,726 ha; 68.9 percent), followed by Mbeya (1,614 ha; 23.5 percent) and Pwani (384 ha; 5.6 percent), and the least harvested area was in Kagera (2 ha; 0.02 percent). The results also revealed that, the total harvested area with </w:t>
      </w:r>
      <w:r w:rsidRPr="006B42D6">
        <w:rPr>
          <w:bCs/>
        </w:rPr>
        <w:t>oil palm</w:t>
      </w:r>
      <w:r w:rsidRPr="006B42D6">
        <w:t xml:space="preserve"> was 53.4 percent of the total planted area by smallholder farmers. </w:t>
      </w:r>
    </w:p>
    <w:p w14:paraId="5A5E3A73" w14:textId="77777777" w:rsidR="00CD5D2F" w:rsidRPr="00D972DA" w:rsidRDefault="00CD5D2F" w:rsidP="0072387B">
      <w:pPr>
        <w:spacing w:line="240" w:lineRule="auto"/>
        <w:rPr>
          <w:sz w:val="20"/>
          <w:szCs w:val="20"/>
        </w:rPr>
      </w:pPr>
    </w:p>
    <w:p w14:paraId="6BF52524" w14:textId="4950E7F9" w:rsidR="00CD5D2F" w:rsidRPr="006B42D6" w:rsidRDefault="00CD5D2F" w:rsidP="0072387B">
      <w:r w:rsidRPr="006B42D6">
        <w:t xml:space="preserve">Production of oil palm in Tanzania was </w:t>
      </w:r>
      <w:r w:rsidRPr="006B42D6">
        <w:rPr>
          <w:bCs/>
        </w:rPr>
        <w:t xml:space="preserve">24,696 tons, out </w:t>
      </w:r>
      <w:r w:rsidRPr="006B42D6">
        <w:t>of which 24,640 tons was produced by smallholder farmers and</w:t>
      </w:r>
      <w:r w:rsidRPr="006B42D6">
        <w:rPr>
          <w:bCs/>
        </w:rPr>
        <w:t xml:space="preserve"> 56 </w:t>
      </w:r>
      <w:r w:rsidRPr="006B42D6">
        <w:t>tons by large scale farms.</w:t>
      </w:r>
      <w:r w:rsidRPr="006B42D6">
        <w:rPr>
          <w:bCs/>
        </w:rPr>
        <w:t xml:space="preserve"> From the total production by smallholder farmers, </w:t>
      </w:r>
      <w:r w:rsidRPr="006B42D6">
        <w:t>Kigoma region had the largest production (17,987 tons; 73.0 percent), followed by Mbeya (5,013 tons; 20.3 percent) and Pwani (1,262 tons;</w:t>
      </w:r>
      <w:r w:rsidR="00D972DA">
        <w:t xml:space="preserve"> </w:t>
      </w:r>
      <w:r w:rsidRPr="006B42D6">
        <w:t>5.1 percent), while Kagera region reported the least production (6 tons; 0.02 percent) (Table 3.</w:t>
      </w:r>
      <w:r w:rsidR="000A2A0B" w:rsidRPr="006B42D6">
        <w:t>6</w:t>
      </w:r>
      <w:r w:rsidRPr="006B42D6">
        <w:t>).</w:t>
      </w:r>
    </w:p>
    <w:p w14:paraId="369ECE57" w14:textId="77777777" w:rsidR="00CD5D2F" w:rsidRPr="00D972DA" w:rsidRDefault="00CD5D2F" w:rsidP="004D716C">
      <w:pPr>
        <w:pStyle w:val="Default"/>
        <w:jc w:val="both"/>
        <w:rPr>
          <w:color w:val="auto"/>
          <w:sz w:val="20"/>
          <w:szCs w:val="20"/>
        </w:rPr>
      </w:pPr>
    </w:p>
    <w:p w14:paraId="1B50FADE" w14:textId="751F33C4" w:rsidR="0093401C" w:rsidRPr="006B42D6" w:rsidRDefault="00CD5D2F" w:rsidP="007200F6">
      <w:pPr>
        <w:pStyle w:val="Heading7"/>
      </w:pPr>
      <w:bookmarkStart w:id="200" w:name="_Toc82386188"/>
      <w:r w:rsidRPr="006B42D6">
        <w:t>Table 3.</w:t>
      </w:r>
      <w:r w:rsidR="000A2A0B" w:rsidRPr="006B42D6">
        <w:t>6</w:t>
      </w:r>
      <w:r w:rsidR="000E00D3">
        <w:t>:</w:t>
      </w:r>
      <w:r w:rsidR="0072387B">
        <w:tab/>
      </w:r>
      <w:r w:rsidRPr="006B42D6">
        <w:t xml:space="preserve">Planted and Harvested Area, Quantity Harvested and Yield of Oil Palm by Region </w:t>
      </w:r>
      <w:r w:rsidR="000A2A0B" w:rsidRPr="006B42D6">
        <w:t>D</w:t>
      </w:r>
      <w:r w:rsidRPr="006B42D6">
        <w:t>uring 2019/20 Agricultural Year</w:t>
      </w:r>
      <w:r w:rsidR="000A2A0B" w:rsidRPr="006B42D6">
        <w:t xml:space="preserve">, </w:t>
      </w:r>
      <w:r w:rsidR="00EA1552">
        <w:t>Mainland Tanzania</w:t>
      </w:r>
      <w:bookmarkEnd w:id="200"/>
    </w:p>
    <w:tbl>
      <w:tblPr>
        <w:tblW w:w="9770" w:type="dxa"/>
        <w:tblLook w:val="04A0" w:firstRow="1" w:lastRow="0" w:firstColumn="1" w:lastColumn="0" w:noHBand="0" w:noVBand="1"/>
      </w:tblPr>
      <w:tblGrid>
        <w:gridCol w:w="1758"/>
        <w:gridCol w:w="1107"/>
        <w:gridCol w:w="1047"/>
        <w:gridCol w:w="1107"/>
        <w:gridCol w:w="1438"/>
        <w:gridCol w:w="1331"/>
        <w:gridCol w:w="1006"/>
        <w:gridCol w:w="976"/>
      </w:tblGrid>
      <w:tr w:rsidR="006B42D6" w:rsidRPr="006B42D6" w14:paraId="47B98439" w14:textId="77777777" w:rsidTr="00D972DA">
        <w:trPr>
          <w:trHeight w:val="778"/>
        </w:trPr>
        <w:tc>
          <w:tcPr>
            <w:tcW w:w="1758" w:type="dxa"/>
            <w:tcBorders>
              <w:top w:val="single" w:sz="4" w:space="0" w:color="auto"/>
              <w:left w:val="nil"/>
              <w:bottom w:val="single" w:sz="4" w:space="0" w:color="000000"/>
              <w:right w:val="single" w:sz="4" w:space="0" w:color="auto"/>
            </w:tcBorders>
            <w:shd w:val="clear" w:color="auto" w:fill="E2EFD9" w:themeFill="accent6" w:themeFillTint="33"/>
            <w:vAlign w:val="center"/>
            <w:hideMark/>
          </w:tcPr>
          <w:p w14:paraId="346A1FF1" w14:textId="5DF97F0F" w:rsidR="00CD5D2F" w:rsidRPr="00D972DA" w:rsidRDefault="00D972DA" w:rsidP="00CD5D2F">
            <w:pPr>
              <w:rPr>
                <w:bCs/>
                <w:sz w:val="16"/>
                <w:szCs w:val="16"/>
              </w:rPr>
            </w:pPr>
            <w:r w:rsidRPr="00D972DA">
              <w:rPr>
                <w:bCs/>
                <w:sz w:val="16"/>
                <w:szCs w:val="16"/>
              </w:rPr>
              <w:t>Region</w:t>
            </w:r>
          </w:p>
        </w:tc>
        <w:tc>
          <w:tcPr>
            <w:tcW w:w="1107" w:type="dxa"/>
            <w:tcBorders>
              <w:top w:val="single" w:sz="4" w:space="0" w:color="auto"/>
              <w:left w:val="single" w:sz="4" w:space="0" w:color="auto"/>
              <w:bottom w:val="single" w:sz="4" w:space="0" w:color="auto"/>
              <w:right w:val="nil"/>
            </w:tcBorders>
            <w:shd w:val="clear" w:color="auto" w:fill="E2EFD9" w:themeFill="accent6" w:themeFillTint="33"/>
            <w:vAlign w:val="center"/>
            <w:hideMark/>
          </w:tcPr>
          <w:p w14:paraId="665834EB" w14:textId="77777777" w:rsidR="00CD5D2F" w:rsidRPr="00686E94" w:rsidRDefault="00CD5D2F" w:rsidP="00D972DA">
            <w:pPr>
              <w:spacing w:line="240" w:lineRule="auto"/>
              <w:jc w:val="center"/>
              <w:rPr>
                <w:bCs/>
                <w:sz w:val="16"/>
                <w:szCs w:val="16"/>
              </w:rPr>
            </w:pPr>
            <w:r w:rsidRPr="00686E94">
              <w:rPr>
                <w:bCs/>
                <w:sz w:val="16"/>
                <w:szCs w:val="16"/>
              </w:rPr>
              <w:t xml:space="preserve"> Number of Households </w:t>
            </w:r>
          </w:p>
        </w:tc>
        <w:tc>
          <w:tcPr>
            <w:tcW w:w="1047" w:type="dxa"/>
            <w:tcBorders>
              <w:top w:val="single" w:sz="4" w:space="0" w:color="auto"/>
              <w:left w:val="nil"/>
              <w:bottom w:val="single" w:sz="4" w:space="0" w:color="auto"/>
              <w:right w:val="nil"/>
            </w:tcBorders>
            <w:shd w:val="clear" w:color="auto" w:fill="E2EFD9" w:themeFill="accent6" w:themeFillTint="33"/>
            <w:vAlign w:val="center"/>
            <w:hideMark/>
          </w:tcPr>
          <w:p w14:paraId="60F30970" w14:textId="77777777" w:rsidR="00CD5D2F" w:rsidRPr="00686E94" w:rsidRDefault="00CD5D2F" w:rsidP="00D972DA">
            <w:pPr>
              <w:spacing w:line="240" w:lineRule="auto"/>
              <w:jc w:val="center"/>
              <w:rPr>
                <w:bCs/>
                <w:sz w:val="16"/>
                <w:szCs w:val="16"/>
              </w:rPr>
            </w:pPr>
            <w:r w:rsidRPr="00686E94">
              <w:rPr>
                <w:bCs/>
                <w:sz w:val="16"/>
                <w:szCs w:val="16"/>
              </w:rPr>
              <w:t xml:space="preserve"> Planted Area with MONO CROP (ha) </w:t>
            </w:r>
          </w:p>
        </w:tc>
        <w:tc>
          <w:tcPr>
            <w:tcW w:w="1107" w:type="dxa"/>
            <w:tcBorders>
              <w:top w:val="single" w:sz="4" w:space="0" w:color="auto"/>
              <w:left w:val="nil"/>
              <w:bottom w:val="single" w:sz="4" w:space="0" w:color="auto"/>
              <w:right w:val="nil"/>
            </w:tcBorders>
            <w:shd w:val="clear" w:color="auto" w:fill="E2EFD9" w:themeFill="accent6" w:themeFillTint="33"/>
            <w:vAlign w:val="center"/>
            <w:hideMark/>
          </w:tcPr>
          <w:p w14:paraId="66BE075E" w14:textId="77777777" w:rsidR="00CD5D2F" w:rsidRPr="00686E94" w:rsidRDefault="00CD5D2F" w:rsidP="00D972DA">
            <w:pPr>
              <w:spacing w:line="240" w:lineRule="auto"/>
              <w:jc w:val="center"/>
              <w:rPr>
                <w:bCs/>
                <w:sz w:val="16"/>
                <w:szCs w:val="16"/>
              </w:rPr>
            </w:pPr>
            <w:r w:rsidRPr="00686E94">
              <w:rPr>
                <w:bCs/>
                <w:sz w:val="16"/>
                <w:szCs w:val="16"/>
              </w:rPr>
              <w:t xml:space="preserve"> Number of Households </w:t>
            </w:r>
          </w:p>
        </w:tc>
        <w:tc>
          <w:tcPr>
            <w:tcW w:w="1438" w:type="dxa"/>
            <w:tcBorders>
              <w:top w:val="single" w:sz="4" w:space="0" w:color="auto"/>
              <w:left w:val="nil"/>
              <w:bottom w:val="single" w:sz="4" w:space="0" w:color="auto"/>
              <w:right w:val="nil"/>
            </w:tcBorders>
            <w:shd w:val="clear" w:color="auto" w:fill="E2EFD9" w:themeFill="accent6" w:themeFillTint="33"/>
            <w:vAlign w:val="center"/>
            <w:hideMark/>
          </w:tcPr>
          <w:p w14:paraId="232DA0C1" w14:textId="77777777" w:rsidR="00CD5D2F" w:rsidRPr="00686E94" w:rsidRDefault="00CD5D2F" w:rsidP="00D972DA">
            <w:pPr>
              <w:spacing w:line="240" w:lineRule="auto"/>
              <w:jc w:val="center"/>
              <w:rPr>
                <w:bCs/>
                <w:sz w:val="16"/>
                <w:szCs w:val="16"/>
              </w:rPr>
            </w:pPr>
            <w:r w:rsidRPr="00686E94">
              <w:rPr>
                <w:bCs/>
                <w:sz w:val="16"/>
                <w:szCs w:val="16"/>
              </w:rPr>
              <w:t xml:space="preserve"> Area covered by permanent crop in MIXED CROP (ha) </w:t>
            </w:r>
          </w:p>
        </w:tc>
        <w:tc>
          <w:tcPr>
            <w:tcW w:w="1331" w:type="dxa"/>
            <w:tcBorders>
              <w:top w:val="single" w:sz="4" w:space="0" w:color="auto"/>
              <w:left w:val="nil"/>
              <w:bottom w:val="single" w:sz="4" w:space="0" w:color="auto"/>
              <w:right w:val="nil"/>
            </w:tcBorders>
            <w:shd w:val="clear" w:color="auto" w:fill="E2EFD9" w:themeFill="accent6" w:themeFillTint="33"/>
            <w:vAlign w:val="center"/>
            <w:hideMark/>
          </w:tcPr>
          <w:p w14:paraId="287CCC67" w14:textId="77777777" w:rsidR="00CD5D2F" w:rsidRPr="00686E94" w:rsidRDefault="00CD5D2F" w:rsidP="00D972DA">
            <w:pPr>
              <w:spacing w:line="240" w:lineRule="auto"/>
              <w:jc w:val="center"/>
              <w:rPr>
                <w:bCs/>
                <w:sz w:val="16"/>
                <w:szCs w:val="16"/>
              </w:rPr>
            </w:pPr>
            <w:r w:rsidRPr="00686E94">
              <w:rPr>
                <w:bCs/>
                <w:sz w:val="16"/>
                <w:szCs w:val="16"/>
              </w:rPr>
              <w:t xml:space="preserve"> Total Planted Area (MONO + MIXED CROPS) (ha) </w:t>
            </w:r>
          </w:p>
        </w:tc>
        <w:tc>
          <w:tcPr>
            <w:tcW w:w="1006" w:type="dxa"/>
            <w:tcBorders>
              <w:top w:val="single" w:sz="4" w:space="0" w:color="auto"/>
              <w:left w:val="nil"/>
              <w:bottom w:val="single" w:sz="4" w:space="0" w:color="auto"/>
              <w:right w:val="nil"/>
            </w:tcBorders>
            <w:shd w:val="clear" w:color="auto" w:fill="E2EFD9" w:themeFill="accent6" w:themeFillTint="33"/>
            <w:vAlign w:val="center"/>
            <w:hideMark/>
          </w:tcPr>
          <w:p w14:paraId="56BA5F69" w14:textId="77777777" w:rsidR="00CD5D2F" w:rsidRPr="00686E94" w:rsidRDefault="00CD5D2F" w:rsidP="00D972DA">
            <w:pPr>
              <w:spacing w:line="240" w:lineRule="auto"/>
              <w:jc w:val="center"/>
              <w:rPr>
                <w:bCs/>
                <w:sz w:val="16"/>
                <w:szCs w:val="16"/>
              </w:rPr>
            </w:pPr>
            <w:r w:rsidRPr="00686E94">
              <w:rPr>
                <w:bCs/>
                <w:sz w:val="16"/>
                <w:szCs w:val="16"/>
              </w:rPr>
              <w:t xml:space="preserve"> Area Harvested (ha) </w:t>
            </w:r>
          </w:p>
        </w:tc>
        <w:tc>
          <w:tcPr>
            <w:tcW w:w="976" w:type="dxa"/>
            <w:tcBorders>
              <w:top w:val="single" w:sz="4" w:space="0" w:color="auto"/>
              <w:left w:val="nil"/>
              <w:bottom w:val="single" w:sz="4" w:space="0" w:color="auto"/>
              <w:right w:val="nil"/>
            </w:tcBorders>
            <w:shd w:val="clear" w:color="auto" w:fill="E2EFD9" w:themeFill="accent6" w:themeFillTint="33"/>
            <w:vAlign w:val="center"/>
            <w:hideMark/>
          </w:tcPr>
          <w:p w14:paraId="46EB30BC" w14:textId="77777777" w:rsidR="00CD5D2F" w:rsidRPr="00686E94" w:rsidRDefault="00CD5D2F" w:rsidP="00D972DA">
            <w:pPr>
              <w:spacing w:line="240" w:lineRule="auto"/>
              <w:jc w:val="center"/>
              <w:rPr>
                <w:bCs/>
                <w:sz w:val="16"/>
                <w:szCs w:val="16"/>
              </w:rPr>
            </w:pPr>
            <w:r w:rsidRPr="00686E94">
              <w:rPr>
                <w:bCs/>
                <w:sz w:val="16"/>
                <w:szCs w:val="16"/>
              </w:rPr>
              <w:t xml:space="preserve"> Quantity harvested (tons) </w:t>
            </w:r>
          </w:p>
        </w:tc>
      </w:tr>
      <w:tr w:rsidR="006B42D6" w:rsidRPr="006B42D6" w14:paraId="1FFCF525" w14:textId="77777777" w:rsidTr="00D972DA">
        <w:trPr>
          <w:trHeight w:val="20"/>
        </w:trPr>
        <w:tc>
          <w:tcPr>
            <w:tcW w:w="1758" w:type="dxa"/>
            <w:tcBorders>
              <w:top w:val="nil"/>
              <w:left w:val="nil"/>
              <w:bottom w:val="nil"/>
              <w:right w:val="nil"/>
            </w:tcBorders>
            <w:shd w:val="clear" w:color="auto" w:fill="auto"/>
            <w:noWrap/>
            <w:vAlign w:val="bottom"/>
            <w:hideMark/>
          </w:tcPr>
          <w:p w14:paraId="33125613" w14:textId="5718FA9D" w:rsidR="00CD5D2F" w:rsidRPr="006B42D6" w:rsidRDefault="00CD5D2F" w:rsidP="0072387B">
            <w:pPr>
              <w:jc w:val="left"/>
              <w:rPr>
                <w:sz w:val="16"/>
                <w:szCs w:val="16"/>
              </w:rPr>
            </w:pPr>
            <w:r w:rsidRPr="006B42D6">
              <w:rPr>
                <w:sz w:val="16"/>
                <w:szCs w:val="16"/>
              </w:rPr>
              <w:t>Dodoma</w:t>
            </w:r>
          </w:p>
        </w:tc>
        <w:tc>
          <w:tcPr>
            <w:tcW w:w="1107" w:type="dxa"/>
            <w:tcBorders>
              <w:top w:val="nil"/>
              <w:left w:val="single" w:sz="4" w:space="0" w:color="auto"/>
              <w:bottom w:val="nil"/>
              <w:right w:val="nil"/>
            </w:tcBorders>
            <w:shd w:val="clear" w:color="auto" w:fill="auto"/>
            <w:noWrap/>
            <w:vAlign w:val="bottom"/>
            <w:hideMark/>
          </w:tcPr>
          <w:p w14:paraId="617CE8CC" w14:textId="395F4DD7" w:rsidR="00CD5D2F" w:rsidRPr="006B42D6" w:rsidRDefault="00CD5D2F" w:rsidP="00CD5D2F">
            <w:pPr>
              <w:jc w:val="right"/>
              <w:rPr>
                <w:sz w:val="16"/>
                <w:szCs w:val="16"/>
              </w:rPr>
            </w:pPr>
            <w:r w:rsidRPr="006B42D6">
              <w:rPr>
                <w:sz w:val="16"/>
                <w:szCs w:val="16"/>
              </w:rPr>
              <w:t>-</w:t>
            </w:r>
          </w:p>
        </w:tc>
        <w:tc>
          <w:tcPr>
            <w:tcW w:w="1047" w:type="dxa"/>
            <w:tcBorders>
              <w:top w:val="nil"/>
              <w:left w:val="nil"/>
              <w:bottom w:val="nil"/>
              <w:right w:val="nil"/>
            </w:tcBorders>
            <w:shd w:val="clear" w:color="auto" w:fill="auto"/>
            <w:noWrap/>
            <w:vAlign w:val="bottom"/>
            <w:hideMark/>
          </w:tcPr>
          <w:p w14:paraId="0FFBC868" w14:textId="03EB4CCD" w:rsidR="00CD5D2F" w:rsidRPr="006B42D6" w:rsidRDefault="00CD5D2F" w:rsidP="00CD5D2F">
            <w:pPr>
              <w:jc w:val="right"/>
              <w:rPr>
                <w:sz w:val="16"/>
                <w:szCs w:val="16"/>
              </w:rPr>
            </w:pPr>
            <w:r w:rsidRPr="006B42D6">
              <w:rPr>
                <w:sz w:val="16"/>
                <w:szCs w:val="16"/>
              </w:rPr>
              <w:t>-</w:t>
            </w:r>
          </w:p>
        </w:tc>
        <w:tc>
          <w:tcPr>
            <w:tcW w:w="1107" w:type="dxa"/>
            <w:tcBorders>
              <w:top w:val="nil"/>
              <w:left w:val="nil"/>
              <w:bottom w:val="nil"/>
              <w:right w:val="nil"/>
            </w:tcBorders>
            <w:shd w:val="clear" w:color="auto" w:fill="auto"/>
            <w:noWrap/>
            <w:vAlign w:val="bottom"/>
            <w:hideMark/>
          </w:tcPr>
          <w:p w14:paraId="4943FFA5" w14:textId="686F2112" w:rsidR="00CD5D2F" w:rsidRPr="006B42D6" w:rsidRDefault="00CD5D2F" w:rsidP="00CD5D2F">
            <w:pPr>
              <w:jc w:val="right"/>
              <w:rPr>
                <w:sz w:val="16"/>
                <w:szCs w:val="16"/>
              </w:rPr>
            </w:pPr>
            <w:r w:rsidRPr="006B42D6">
              <w:rPr>
                <w:sz w:val="16"/>
                <w:szCs w:val="16"/>
              </w:rPr>
              <w:t>-</w:t>
            </w:r>
          </w:p>
        </w:tc>
        <w:tc>
          <w:tcPr>
            <w:tcW w:w="1438" w:type="dxa"/>
            <w:tcBorders>
              <w:top w:val="nil"/>
              <w:left w:val="nil"/>
              <w:bottom w:val="nil"/>
              <w:right w:val="nil"/>
            </w:tcBorders>
            <w:shd w:val="clear" w:color="auto" w:fill="auto"/>
            <w:noWrap/>
            <w:vAlign w:val="bottom"/>
            <w:hideMark/>
          </w:tcPr>
          <w:p w14:paraId="50B329D1" w14:textId="6C1AF263" w:rsidR="00CD5D2F" w:rsidRPr="006B42D6" w:rsidRDefault="00CD5D2F" w:rsidP="00CD5D2F">
            <w:pPr>
              <w:jc w:val="right"/>
              <w:rPr>
                <w:sz w:val="16"/>
                <w:szCs w:val="16"/>
              </w:rPr>
            </w:pPr>
            <w:r w:rsidRPr="006B42D6">
              <w:rPr>
                <w:sz w:val="16"/>
                <w:szCs w:val="16"/>
              </w:rPr>
              <w:t>-</w:t>
            </w:r>
          </w:p>
        </w:tc>
        <w:tc>
          <w:tcPr>
            <w:tcW w:w="1331" w:type="dxa"/>
            <w:tcBorders>
              <w:top w:val="nil"/>
              <w:left w:val="nil"/>
              <w:bottom w:val="nil"/>
              <w:right w:val="nil"/>
            </w:tcBorders>
            <w:shd w:val="clear" w:color="auto" w:fill="auto"/>
            <w:noWrap/>
            <w:vAlign w:val="bottom"/>
            <w:hideMark/>
          </w:tcPr>
          <w:p w14:paraId="04581EB5" w14:textId="6508F9F1" w:rsidR="00CD5D2F" w:rsidRPr="006B42D6" w:rsidRDefault="00CD5D2F" w:rsidP="00CD5D2F">
            <w:pPr>
              <w:jc w:val="right"/>
              <w:rPr>
                <w:sz w:val="16"/>
                <w:szCs w:val="16"/>
              </w:rPr>
            </w:pPr>
            <w:r w:rsidRPr="006B42D6">
              <w:rPr>
                <w:sz w:val="16"/>
                <w:szCs w:val="16"/>
              </w:rPr>
              <w:t>-</w:t>
            </w:r>
          </w:p>
        </w:tc>
        <w:tc>
          <w:tcPr>
            <w:tcW w:w="1006" w:type="dxa"/>
            <w:tcBorders>
              <w:top w:val="nil"/>
              <w:left w:val="nil"/>
              <w:bottom w:val="nil"/>
              <w:right w:val="nil"/>
            </w:tcBorders>
            <w:shd w:val="clear" w:color="auto" w:fill="auto"/>
            <w:noWrap/>
            <w:vAlign w:val="bottom"/>
            <w:hideMark/>
          </w:tcPr>
          <w:p w14:paraId="439EA8D2" w14:textId="7E52C8C2" w:rsidR="00CD5D2F" w:rsidRPr="006B42D6" w:rsidRDefault="00CD5D2F" w:rsidP="00CD5D2F">
            <w:pPr>
              <w:jc w:val="right"/>
              <w:rPr>
                <w:sz w:val="16"/>
                <w:szCs w:val="16"/>
              </w:rPr>
            </w:pPr>
            <w:r w:rsidRPr="006B42D6">
              <w:rPr>
                <w:sz w:val="16"/>
                <w:szCs w:val="16"/>
              </w:rPr>
              <w:t>-</w:t>
            </w:r>
          </w:p>
        </w:tc>
        <w:tc>
          <w:tcPr>
            <w:tcW w:w="976" w:type="dxa"/>
            <w:tcBorders>
              <w:top w:val="nil"/>
              <w:left w:val="nil"/>
              <w:bottom w:val="nil"/>
              <w:right w:val="nil"/>
            </w:tcBorders>
            <w:shd w:val="clear" w:color="auto" w:fill="auto"/>
            <w:noWrap/>
            <w:vAlign w:val="bottom"/>
            <w:hideMark/>
          </w:tcPr>
          <w:p w14:paraId="38BF5A6E" w14:textId="3EF2FDD1" w:rsidR="00CD5D2F" w:rsidRPr="006B42D6" w:rsidRDefault="00CD5D2F" w:rsidP="00CD5D2F">
            <w:pPr>
              <w:jc w:val="right"/>
              <w:rPr>
                <w:sz w:val="16"/>
                <w:szCs w:val="16"/>
              </w:rPr>
            </w:pPr>
            <w:r w:rsidRPr="006B42D6">
              <w:rPr>
                <w:sz w:val="16"/>
                <w:szCs w:val="16"/>
              </w:rPr>
              <w:t>-</w:t>
            </w:r>
          </w:p>
        </w:tc>
      </w:tr>
      <w:tr w:rsidR="006B42D6" w:rsidRPr="006B42D6" w14:paraId="0A53A823" w14:textId="77777777" w:rsidTr="00D972DA">
        <w:trPr>
          <w:trHeight w:val="20"/>
        </w:trPr>
        <w:tc>
          <w:tcPr>
            <w:tcW w:w="1758" w:type="dxa"/>
            <w:tcBorders>
              <w:top w:val="nil"/>
              <w:left w:val="nil"/>
              <w:bottom w:val="nil"/>
              <w:right w:val="nil"/>
            </w:tcBorders>
            <w:shd w:val="clear" w:color="auto" w:fill="auto"/>
            <w:noWrap/>
            <w:vAlign w:val="bottom"/>
            <w:hideMark/>
          </w:tcPr>
          <w:p w14:paraId="46555559" w14:textId="3915530E" w:rsidR="00CD5D2F" w:rsidRPr="006B42D6" w:rsidRDefault="00CD5D2F" w:rsidP="0072387B">
            <w:pPr>
              <w:jc w:val="left"/>
              <w:rPr>
                <w:sz w:val="16"/>
                <w:szCs w:val="16"/>
              </w:rPr>
            </w:pPr>
            <w:r w:rsidRPr="006B42D6">
              <w:rPr>
                <w:sz w:val="16"/>
                <w:szCs w:val="16"/>
              </w:rPr>
              <w:t>Arusha</w:t>
            </w:r>
          </w:p>
        </w:tc>
        <w:tc>
          <w:tcPr>
            <w:tcW w:w="1107" w:type="dxa"/>
            <w:tcBorders>
              <w:top w:val="nil"/>
              <w:left w:val="single" w:sz="4" w:space="0" w:color="auto"/>
              <w:bottom w:val="nil"/>
              <w:right w:val="nil"/>
            </w:tcBorders>
            <w:shd w:val="clear" w:color="auto" w:fill="auto"/>
            <w:noWrap/>
            <w:vAlign w:val="bottom"/>
            <w:hideMark/>
          </w:tcPr>
          <w:p w14:paraId="52B8070E" w14:textId="19BCBC52" w:rsidR="00CD5D2F" w:rsidRPr="006B42D6" w:rsidRDefault="00CD5D2F" w:rsidP="00CD5D2F">
            <w:pPr>
              <w:jc w:val="right"/>
              <w:rPr>
                <w:sz w:val="16"/>
                <w:szCs w:val="16"/>
              </w:rPr>
            </w:pPr>
            <w:r w:rsidRPr="006B42D6">
              <w:rPr>
                <w:sz w:val="16"/>
                <w:szCs w:val="16"/>
              </w:rPr>
              <w:t>-</w:t>
            </w:r>
          </w:p>
        </w:tc>
        <w:tc>
          <w:tcPr>
            <w:tcW w:w="1047" w:type="dxa"/>
            <w:tcBorders>
              <w:top w:val="nil"/>
              <w:left w:val="nil"/>
              <w:bottom w:val="nil"/>
              <w:right w:val="nil"/>
            </w:tcBorders>
            <w:shd w:val="clear" w:color="auto" w:fill="auto"/>
            <w:noWrap/>
            <w:vAlign w:val="bottom"/>
            <w:hideMark/>
          </w:tcPr>
          <w:p w14:paraId="78F3881D" w14:textId="7D073595" w:rsidR="00CD5D2F" w:rsidRPr="006B42D6" w:rsidRDefault="00CD5D2F" w:rsidP="00CD5D2F">
            <w:pPr>
              <w:jc w:val="right"/>
              <w:rPr>
                <w:sz w:val="16"/>
                <w:szCs w:val="16"/>
              </w:rPr>
            </w:pPr>
            <w:r w:rsidRPr="006B42D6">
              <w:rPr>
                <w:sz w:val="16"/>
                <w:szCs w:val="16"/>
              </w:rPr>
              <w:t>-</w:t>
            </w:r>
          </w:p>
        </w:tc>
        <w:tc>
          <w:tcPr>
            <w:tcW w:w="1107" w:type="dxa"/>
            <w:tcBorders>
              <w:top w:val="nil"/>
              <w:left w:val="nil"/>
              <w:bottom w:val="nil"/>
              <w:right w:val="nil"/>
            </w:tcBorders>
            <w:shd w:val="clear" w:color="auto" w:fill="auto"/>
            <w:noWrap/>
            <w:vAlign w:val="bottom"/>
            <w:hideMark/>
          </w:tcPr>
          <w:p w14:paraId="31B9AD2F" w14:textId="3B1447F1" w:rsidR="00CD5D2F" w:rsidRPr="006B42D6" w:rsidRDefault="00CD5D2F" w:rsidP="00CD5D2F">
            <w:pPr>
              <w:jc w:val="right"/>
              <w:rPr>
                <w:sz w:val="16"/>
                <w:szCs w:val="16"/>
              </w:rPr>
            </w:pPr>
            <w:r w:rsidRPr="006B42D6">
              <w:rPr>
                <w:sz w:val="16"/>
                <w:szCs w:val="16"/>
              </w:rPr>
              <w:t>-</w:t>
            </w:r>
          </w:p>
        </w:tc>
        <w:tc>
          <w:tcPr>
            <w:tcW w:w="1438" w:type="dxa"/>
            <w:tcBorders>
              <w:top w:val="nil"/>
              <w:left w:val="nil"/>
              <w:bottom w:val="nil"/>
              <w:right w:val="nil"/>
            </w:tcBorders>
            <w:shd w:val="clear" w:color="auto" w:fill="auto"/>
            <w:noWrap/>
            <w:vAlign w:val="bottom"/>
            <w:hideMark/>
          </w:tcPr>
          <w:p w14:paraId="3B35A63D" w14:textId="11401209" w:rsidR="00CD5D2F" w:rsidRPr="006B42D6" w:rsidRDefault="00CD5D2F" w:rsidP="00CD5D2F">
            <w:pPr>
              <w:jc w:val="right"/>
              <w:rPr>
                <w:sz w:val="16"/>
                <w:szCs w:val="16"/>
              </w:rPr>
            </w:pPr>
            <w:r w:rsidRPr="006B42D6">
              <w:rPr>
                <w:sz w:val="16"/>
                <w:szCs w:val="16"/>
              </w:rPr>
              <w:t>-</w:t>
            </w:r>
          </w:p>
        </w:tc>
        <w:tc>
          <w:tcPr>
            <w:tcW w:w="1331" w:type="dxa"/>
            <w:tcBorders>
              <w:top w:val="nil"/>
              <w:left w:val="nil"/>
              <w:bottom w:val="nil"/>
              <w:right w:val="nil"/>
            </w:tcBorders>
            <w:shd w:val="clear" w:color="auto" w:fill="auto"/>
            <w:noWrap/>
            <w:vAlign w:val="bottom"/>
            <w:hideMark/>
          </w:tcPr>
          <w:p w14:paraId="1437348D" w14:textId="4B1155A7" w:rsidR="00CD5D2F" w:rsidRPr="006B42D6" w:rsidRDefault="00CD5D2F" w:rsidP="00CD5D2F">
            <w:pPr>
              <w:jc w:val="right"/>
              <w:rPr>
                <w:sz w:val="16"/>
                <w:szCs w:val="16"/>
              </w:rPr>
            </w:pPr>
            <w:r w:rsidRPr="006B42D6">
              <w:rPr>
                <w:sz w:val="16"/>
                <w:szCs w:val="16"/>
              </w:rPr>
              <w:t>-</w:t>
            </w:r>
          </w:p>
        </w:tc>
        <w:tc>
          <w:tcPr>
            <w:tcW w:w="1006" w:type="dxa"/>
            <w:tcBorders>
              <w:top w:val="nil"/>
              <w:left w:val="nil"/>
              <w:bottom w:val="nil"/>
              <w:right w:val="nil"/>
            </w:tcBorders>
            <w:shd w:val="clear" w:color="auto" w:fill="auto"/>
            <w:noWrap/>
            <w:vAlign w:val="bottom"/>
            <w:hideMark/>
          </w:tcPr>
          <w:p w14:paraId="24E7B627" w14:textId="412E6AFD" w:rsidR="00CD5D2F" w:rsidRPr="006B42D6" w:rsidRDefault="00CD5D2F" w:rsidP="00CD5D2F">
            <w:pPr>
              <w:jc w:val="right"/>
              <w:rPr>
                <w:sz w:val="16"/>
                <w:szCs w:val="16"/>
              </w:rPr>
            </w:pPr>
            <w:r w:rsidRPr="006B42D6">
              <w:rPr>
                <w:sz w:val="16"/>
                <w:szCs w:val="16"/>
              </w:rPr>
              <w:t>-</w:t>
            </w:r>
          </w:p>
        </w:tc>
        <w:tc>
          <w:tcPr>
            <w:tcW w:w="976" w:type="dxa"/>
            <w:tcBorders>
              <w:top w:val="nil"/>
              <w:left w:val="nil"/>
              <w:bottom w:val="nil"/>
              <w:right w:val="nil"/>
            </w:tcBorders>
            <w:shd w:val="clear" w:color="auto" w:fill="auto"/>
            <w:noWrap/>
            <w:vAlign w:val="bottom"/>
            <w:hideMark/>
          </w:tcPr>
          <w:p w14:paraId="6843C118" w14:textId="0F115379" w:rsidR="00CD5D2F" w:rsidRPr="006B42D6" w:rsidRDefault="00CD5D2F" w:rsidP="00CD5D2F">
            <w:pPr>
              <w:jc w:val="right"/>
              <w:rPr>
                <w:sz w:val="16"/>
                <w:szCs w:val="16"/>
              </w:rPr>
            </w:pPr>
            <w:r w:rsidRPr="006B42D6">
              <w:rPr>
                <w:sz w:val="16"/>
                <w:szCs w:val="16"/>
              </w:rPr>
              <w:t>-</w:t>
            </w:r>
          </w:p>
        </w:tc>
      </w:tr>
      <w:tr w:rsidR="006B42D6" w:rsidRPr="006B42D6" w14:paraId="6371BB53" w14:textId="77777777" w:rsidTr="00D972DA">
        <w:trPr>
          <w:trHeight w:val="20"/>
        </w:trPr>
        <w:tc>
          <w:tcPr>
            <w:tcW w:w="1758" w:type="dxa"/>
            <w:tcBorders>
              <w:top w:val="nil"/>
              <w:left w:val="nil"/>
              <w:bottom w:val="nil"/>
              <w:right w:val="nil"/>
            </w:tcBorders>
            <w:shd w:val="clear" w:color="auto" w:fill="auto"/>
            <w:noWrap/>
            <w:vAlign w:val="bottom"/>
            <w:hideMark/>
          </w:tcPr>
          <w:p w14:paraId="46660834" w14:textId="211A129B" w:rsidR="00CD5D2F" w:rsidRPr="006B42D6" w:rsidRDefault="00CD5D2F" w:rsidP="0072387B">
            <w:pPr>
              <w:jc w:val="left"/>
              <w:rPr>
                <w:sz w:val="16"/>
                <w:szCs w:val="16"/>
              </w:rPr>
            </w:pPr>
            <w:r w:rsidRPr="006B42D6">
              <w:rPr>
                <w:sz w:val="16"/>
                <w:szCs w:val="16"/>
              </w:rPr>
              <w:t>Kilimanjaro</w:t>
            </w:r>
          </w:p>
        </w:tc>
        <w:tc>
          <w:tcPr>
            <w:tcW w:w="1107" w:type="dxa"/>
            <w:tcBorders>
              <w:top w:val="nil"/>
              <w:left w:val="single" w:sz="4" w:space="0" w:color="auto"/>
              <w:bottom w:val="nil"/>
              <w:right w:val="nil"/>
            </w:tcBorders>
            <w:shd w:val="clear" w:color="auto" w:fill="auto"/>
            <w:noWrap/>
            <w:vAlign w:val="bottom"/>
            <w:hideMark/>
          </w:tcPr>
          <w:p w14:paraId="5355834A" w14:textId="182E5933" w:rsidR="00CD5D2F" w:rsidRPr="006B42D6" w:rsidRDefault="00CD5D2F" w:rsidP="00CD5D2F">
            <w:pPr>
              <w:jc w:val="right"/>
              <w:rPr>
                <w:sz w:val="16"/>
                <w:szCs w:val="16"/>
              </w:rPr>
            </w:pPr>
            <w:r w:rsidRPr="006B42D6">
              <w:rPr>
                <w:sz w:val="16"/>
                <w:szCs w:val="16"/>
              </w:rPr>
              <w:t>-</w:t>
            </w:r>
          </w:p>
        </w:tc>
        <w:tc>
          <w:tcPr>
            <w:tcW w:w="1047" w:type="dxa"/>
            <w:tcBorders>
              <w:top w:val="nil"/>
              <w:left w:val="nil"/>
              <w:bottom w:val="nil"/>
              <w:right w:val="nil"/>
            </w:tcBorders>
            <w:shd w:val="clear" w:color="auto" w:fill="auto"/>
            <w:noWrap/>
            <w:vAlign w:val="bottom"/>
            <w:hideMark/>
          </w:tcPr>
          <w:p w14:paraId="129A83E7" w14:textId="15FADE9A" w:rsidR="00CD5D2F" w:rsidRPr="006B42D6" w:rsidRDefault="00CD5D2F" w:rsidP="00CD5D2F">
            <w:pPr>
              <w:jc w:val="right"/>
              <w:rPr>
                <w:sz w:val="16"/>
                <w:szCs w:val="16"/>
              </w:rPr>
            </w:pPr>
            <w:r w:rsidRPr="006B42D6">
              <w:rPr>
                <w:sz w:val="16"/>
                <w:szCs w:val="16"/>
              </w:rPr>
              <w:t>-</w:t>
            </w:r>
          </w:p>
        </w:tc>
        <w:tc>
          <w:tcPr>
            <w:tcW w:w="1107" w:type="dxa"/>
            <w:tcBorders>
              <w:top w:val="nil"/>
              <w:left w:val="nil"/>
              <w:bottom w:val="nil"/>
              <w:right w:val="nil"/>
            </w:tcBorders>
            <w:shd w:val="clear" w:color="auto" w:fill="auto"/>
            <w:noWrap/>
            <w:vAlign w:val="bottom"/>
            <w:hideMark/>
          </w:tcPr>
          <w:p w14:paraId="4CC2FC79" w14:textId="610E93B2" w:rsidR="00CD5D2F" w:rsidRPr="006B42D6" w:rsidRDefault="00CD5D2F" w:rsidP="00CD5D2F">
            <w:pPr>
              <w:jc w:val="right"/>
              <w:rPr>
                <w:sz w:val="16"/>
                <w:szCs w:val="16"/>
              </w:rPr>
            </w:pPr>
            <w:r w:rsidRPr="006B42D6">
              <w:rPr>
                <w:sz w:val="16"/>
                <w:szCs w:val="16"/>
              </w:rPr>
              <w:t>-</w:t>
            </w:r>
          </w:p>
        </w:tc>
        <w:tc>
          <w:tcPr>
            <w:tcW w:w="1438" w:type="dxa"/>
            <w:tcBorders>
              <w:top w:val="nil"/>
              <w:left w:val="nil"/>
              <w:bottom w:val="nil"/>
              <w:right w:val="nil"/>
            </w:tcBorders>
            <w:shd w:val="clear" w:color="auto" w:fill="auto"/>
            <w:noWrap/>
            <w:vAlign w:val="bottom"/>
            <w:hideMark/>
          </w:tcPr>
          <w:p w14:paraId="6F5C99B4" w14:textId="7F20C870" w:rsidR="00CD5D2F" w:rsidRPr="006B42D6" w:rsidRDefault="00CD5D2F" w:rsidP="00CD5D2F">
            <w:pPr>
              <w:jc w:val="right"/>
              <w:rPr>
                <w:sz w:val="16"/>
                <w:szCs w:val="16"/>
              </w:rPr>
            </w:pPr>
            <w:r w:rsidRPr="006B42D6">
              <w:rPr>
                <w:sz w:val="16"/>
                <w:szCs w:val="16"/>
              </w:rPr>
              <w:t>-</w:t>
            </w:r>
          </w:p>
        </w:tc>
        <w:tc>
          <w:tcPr>
            <w:tcW w:w="1331" w:type="dxa"/>
            <w:tcBorders>
              <w:top w:val="nil"/>
              <w:left w:val="nil"/>
              <w:bottom w:val="nil"/>
              <w:right w:val="nil"/>
            </w:tcBorders>
            <w:shd w:val="clear" w:color="auto" w:fill="auto"/>
            <w:noWrap/>
            <w:vAlign w:val="bottom"/>
            <w:hideMark/>
          </w:tcPr>
          <w:p w14:paraId="4E816FDF" w14:textId="1E631D93" w:rsidR="00CD5D2F" w:rsidRPr="006B42D6" w:rsidRDefault="00CD5D2F" w:rsidP="00CD5D2F">
            <w:pPr>
              <w:jc w:val="right"/>
              <w:rPr>
                <w:sz w:val="16"/>
                <w:szCs w:val="16"/>
              </w:rPr>
            </w:pPr>
            <w:r w:rsidRPr="006B42D6">
              <w:rPr>
                <w:sz w:val="16"/>
                <w:szCs w:val="16"/>
              </w:rPr>
              <w:t>-</w:t>
            </w:r>
          </w:p>
        </w:tc>
        <w:tc>
          <w:tcPr>
            <w:tcW w:w="1006" w:type="dxa"/>
            <w:tcBorders>
              <w:top w:val="nil"/>
              <w:left w:val="nil"/>
              <w:bottom w:val="nil"/>
              <w:right w:val="nil"/>
            </w:tcBorders>
            <w:shd w:val="clear" w:color="auto" w:fill="auto"/>
            <w:noWrap/>
            <w:vAlign w:val="bottom"/>
            <w:hideMark/>
          </w:tcPr>
          <w:p w14:paraId="56ADA3FD" w14:textId="4DB65177" w:rsidR="00CD5D2F" w:rsidRPr="006B42D6" w:rsidRDefault="00CD5D2F" w:rsidP="00CD5D2F">
            <w:pPr>
              <w:jc w:val="right"/>
              <w:rPr>
                <w:sz w:val="16"/>
                <w:szCs w:val="16"/>
              </w:rPr>
            </w:pPr>
            <w:r w:rsidRPr="006B42D6">
              <w:rPr>
                <w:sz w:val="16"/>
                <w:szCs w:val="16"/>
              </w:rPr>
              <w:t>-</w:t>
            </w:r>
          </w:p>
        </w:tc>
        <w:tc>
          <w:tcPr>
            <w:tcW w:w="976" w:type="dxa"/>
            <w:tcBorders>
              <w:top w:val="nil"/>
              <w:left w:val="nil"/>
              <w:bottom w:val="nil"/>
              <w:right w:val="nil"/>
            </w:tcBorders>
            <w:shd w:val="clear" w:color="auto" w:fill="auto"/>
            <w:noWrap/>
            <w:vAlign w:val="bottom"/>
            <w:hideMark/>
          </w:tcPr>
          <w:p w14:paraId="5E7902EA" w14:textId="1019109A" w:rsidR="00CD5D2F" w:rsidRPr="006B42D6" w:rsidRDefault="00CD5D2F" w:rsidP="00CD5D2F">
            <w:pPr>
              <w:jc w:val="right"/>
              <w:rPr>
                <w:sz w:val="16"/>
                <w:szCs w:val="16"/>
              </w:rPr>
            </w:pPr>
            <w:r w:rsidRPr="006B42D6">
              <w:rPr>
                <w:sz w:val="16"/>
                <w:szCs w:val="16"/>
              </w:rPr>
              <w:t>-</w:t>
            </w:r>
          </w:p>
        </w:tc>
      </w:tr>
      <w:tr w:rsidR="006B42D6" w:rsidRPr="006B42D6" w14:paraId="4BC420A0" w14:textId="77777777" w:rsidTr="00D972DA">
        <w:trPr>
          <w:trHeight w:val="20"/>
        </w:trPr>
        <w:tc>
          <w:tcPr>
            <w:tcW w:w="1758" w:type="dxa"/>
            <w:tcBorders>
              <w:top w:val="nil"/>
              <w:left w:val="nil"/>
              <w:bottom w:val="nil"/>
              <w:right w:val="nil"/>
            </w:tcBorders>
            <w:shd w:val="clear" w:color="auto" w:fill="auto"/>
            <w:noWrap/>
            <w:vAlign w:val="bottom"/>
            <w:hideMark/>
          </w:tcPr>
          <w:p w14:paraId="1D2C43B5" w14:textId="77957DC7" w:rsidR="00CD5D2F" w:rsidRPr="006B42D6" w:rsidRDefault="00CD5D2F" w:rsidP="0072387B">
            <w:pPr>
              <w:jc w:val="left"/>
              <w:rPr>
                <w:sz w:val="16"/>
                <w:szCs w:val="16"/>
              </w:rPr>
            </w:pPr>
            <w:r w:rsidRPr="006B42D6">
              <w:rPr>
                <w:sz w:val="16"/>
                <w:szCs w:val="16"/>
              </w:rPr>
              <w:t>Tanga</w:t>
            </w:r>
          </w:p>
        </w:tc>
        <w:tc>
          <w:tcPr>
            <w:tcW w:w="1107" w:type="dxa"/>
            <w:tcBorders>
              <w:top w:val="nil"/>
              <w:left w:val="single" w:sz="4" w:space="0" w:color="auto"/>
              <w:bottom w:val="nil"/>
              <w:right w:val="nil"/>
            </w:tcBorders>
            <w:shd w:val="clear" w:color="auto" w:fill="auto"/>
            <w:noWrap/>
            <w:vAlign w:val="bottom"/>
            <w:hideMark/>
          </w:tcPr>
          <w:p w14:paraId="462E4774" w14:textId="5CECE758" w:rsidR="00CD5D2F" w:rsidRPr="006B42D6" w:rsidRDefault="00CD5D2F" w:rsidP="00CD5D2F">
            <w:pPr>
              <w:jc w:val="right"/>
              <w:rPr>
                <w:sz w:val="16"/>
                <w:szCs w:val="16"/>
              </w:rPr>
            </w:pPr>
            <w:r w:rsidRPr="006B42D6">
              <w:rPr>
                <w:sz w:val="16"/>
                <w:szCs w:val="16"/>
              </w:rPr>
              <w:t>-</w:t>
            </w:r>
          </w:p>
        </w:tc>
        <w:tc>
          <w:tcPr>
            <w:tcW w:w="1047" w:type="dxa"/>
            <w:tcBorders>
              <w:top w:val="nil"/>
              <w:left w:val="nil"/>
              <w:bottom w:val="nil"/>
              <w:right w:val="nil"/>
            </w:tcBorders>
            <w:shd w:val="clear" w:color="auto" w:fill="auto"/>
            <w:noWrap/>
            <w:vAlign w:val="bottom"/>
            <w:hideMark/>
          </w:tcPr>
          <w:p w14:paraId="7877F8AA" w14:textId="05FC60F4" w:rsidR="00CD5D2F" w:rsidRPr="006B42D6" w:rsidRDefault="00CD5D2F" w:rsidP="00CD5D2F">
            <w:pPr>
              <w:jc w:val="right"/>
              <w:rPr>
                <w:sz w:val="16"/>
                <w:szCs w:val="16"/>
              </w:rPr>
            </w:pPr>
            <w:r w:rsidRPr="006B42D6">
              <w:rPr>
                <w:sz w:val="16"/>
                <w:szCs w:val="16"/>
              </w:rPr>
              <w:t>-</w:t>
            </w:r>
          </w:p>
        </w:tc>
        <w:tc>
          <w:tcPr>
            <w:tcW w:w="1107" w:type="dxa"/>
            <w:tcBorders>
              <w:top w:val="nil"/>
              <w:left w:val="nil"/>
              <w:bottom w:val="nil"/>
              <w:right w:val="nil"/>
            </w:tcBorders>
            <w:shd w:val="clear" w:color="auto" w:fill="auto"/>
            <w:noWrap/>
            <w:vAlign w:val="bottom"/>
            <w:hideMark/>
          </w:tcPr>
          <w:p w14:paraId="2D8B958F" w14:textId="724D021C" w:rsidR="00CD5D2F" w:rsidRPr="006B42D6" w:rsidRDefault="00CD5D2F" w:rsidP="00CD5D2F">
            <w:pPr>
              <w:jc w:val="right"/>
              <w:rPr>
                <w:sz w:val="16"/>
                <w:szCs w:val="16"/>
              </w:rPr>
            </w:pPr>
            <w:r w:rsidRPr="006B42D6">
              <w:rPr>
                <w:sz w:val="16"/>
                <w:szCs w:val="16"/>
              </w:rPr>
              <w:t>-</w:t>
            </w:r>
          </w:p>
        </w:tc>
        <w:tc>
          <w:tcPr>
            <w:tcW w:w="1438" w:type="dxa"/>
            <w:tcBorders>
              <w:top w:val="nil"/>
              <w:left w:val="nil"/>
              <w:bottom w:val="nil"/>
              <w:right w:val="nil"/>
            </w:tcBorders>
            <w:shd w:val="clear" w:color="auto" w:fill="auto"/>
            <w:noWrap/>
            <w:vAlign w:val="bottom"/>
            <w:hideMark/>
          </w:tcPr>
          <w:p w14:paraId="5EF555E8" w14:textId="1469540B" w:rsidR="00CD5D2F" w:rsidRPr="006B42D6" w:rsidRDefault="00CD5D2F" w:rsidP="00CD5D2F">
            <w:pPr>
              <w:jc w:val="right"/>
              <w:rPr>
                <w:sz w:val="16"/>
                <w:szCs w:val="16"/>
              </w:rPr>
            </w:pPr>
            <w:r w:rsidRPr="006B42D6">
              <w:rPr>
                <w:sz w:val="16"/>
                <w:szCs w:val="16"/>
              </w:rPr>
              <w:t>-</w:t>
            </w:r>
          </w:p>
        </w:tc>
        <w:tc>
          <w:tcPr>
            <w:tcW w:w="1331" w:type="dxa"/>
            <w:tcBorders>
              <w:top w:val="nil"/>
              <w:left w:val="nil"/>
              <w:bottom w:val="nil"/>
              <w:right w:val="nil"/>
            </w:tcBorders>
            <w:shd w:val="clear" w:color="auto" w:fill="auto"/>
            <w:noWrap/>
            <w:vAlign w:val="bottom"/>
            <w:hideMark/>
          </w:tcPr>
          <w:p w14:paraId="04ED7FA6" w14:textId="059E6401" w:rsidR="00CD5D2F" w:rsidRPr="006B42D6" w:rsidRDefault="00CD5D2F" w:rsidP="00CD5D2F">
            <w:pPr>
              <w:jc w:val="right"/>
              <w:rPr>
                <w:sz w:val="16"/>
                <w:szCs w:val="16"/>
              </w:rPr>
            </w:pPr>
            <w:r w:rsidRPr="006B42D6">
              <w:rPr>
                <w:sz w:val="16"/>
                <w:szCs w:val="16"/>
              </w:rPr>
              <w:t>-</w:t>
            </w:r>
          </w:p>
        </w:tc>
        <w:tc>
          <w:tcPr>
            <w:tcW w:w="1006" w:type="dxa"/>
            <w:tcBorders>
              <w:top w:val="nil"/>
              <w:left w:val="nil"/>
              <w:bottom w:val="nil"/>
              <w:right w:val="nil"/>
            </w:tcBorders>
            <w:shd w:val="clear" w:color="auto" w:fill="auto"/>
            <w:noWrap/>
            <w:vAlign w:val="bottom"/>
            <w:hideMark/>
          </w:tcPr>
          <w:p w14:paraId="2646B908" w14:textId="4CE23B68" w:rsidR="00CD5D2F" w:rsidRPr="006B42D6" w:rsidRDefault="00CD5D2F" w:rsidP="00CD5D2F">
            <w:pPr>
              <w:jc w:val="right"/>
              <w:rPr>
                <w:sz w:val="16"/>
                <w:szCs w:val="16"/>
              </w:rPr>
            </w:pPr>
            <w:r w:rsidRPr="006B42D6">
              <w:rPr>
                <w:sz w:val="16"/>
                <w:szCs w:val="16"/>
              </w:rPr>
              <w:t>-</w:t>
            </w:r>
          </w:p>
        </w:tc>
        <w:tc>
          <w:tcPr>
            <w:tcW w:w="976" w:type="dxa"/>
            <w:tcBorders>
              <w:top w:val="nil"/>
              <w:left w:val="nil"/>
              <w:bottom w:val="nil"/>
              <w:right w:val="nil"/>
            </w:tcBorders>
            <w:shd w:val="clear" w:color="auto" w:fill="auto"/>
            <w:noWrap/>
            <w:vAlign w:val="bottom"/>
            <w:hideMark/>
          </w:tcPr>
          <w:p w14:paraId="02352474" w14:textId="145BF45C" w:rsidR="00CD5D2F" w:rsidRPr="006B42D6" w:rsidRDefault="00CD5D2F" w:rsidP="00CD5D2F">
            <w:pPr>
              <w:jc w:val="right"/>
              <w:rPr>
                <w:sz w:val="16"/>
                <w:szCs w:val="16"/>
              </w:rPr>
            </w:pPr>
            <w:r w:rsidRPr="006B42D6">
              <w:rPr>
                <w:sz w:val="16"/>
                <w:szCs w:val="16"/>
              </w:rPr>
              <w:t>-</w:t>
            </w:r>
          </w:p>
        </w:tc>
      </w:tr>
      <w:tr w:rsidR="006B42D6" w:rsidRPr="006B42D6" w14:paraId="08AAFD2C" w14:textId="77777777" w:rsidTr="00D972DA">
        <w:trPr>
          <w:trHeight w:val="20"/>
        </w:trPr>
        <w:tc>
          <w:tcPr>
            <w:tcW w:w="1758" w:type="dxa"/>
            <w:tcBorders>
              <w:top w:val="nil"/>
              <w:left w:val="nil"/>
              <w:bottom w:val="nil"/>
              <w:right w:val="nil"/>
            </w:tcBorders>
            <w:shd w:val="clear" w:color="auto" w:fill="auto"/>
            <w:noWrap/>
            <w:vAlign w:val="bottom"/>
            <w:hideMark/>
          </w:tcPr>
          <w:p w14:paraId="3E247398" w14:textId="579C8D0D" w:rsidR="00CD5D2F" w:rsidRPr="006B42D6" w:rsidRDefault="00CD5D2F" w:rsidP="0072387B">
            <w:pPr>
              <w:jc w:val="left"/>
              <w:rPr>
                <w:sz w:val="16"/>
                <w:szCs w:val="16"/>
              </w:rPr>
            </w:pPr>
            <w:r w:rsidRPr="006B42D6">
              <w:rPr>
                <w:sz w:val="16"/>
                <w:szCs w:val="16"/>
              </w:rPr>
              <w:t>Morogoro</w:t>
            </w:r>
          </w:p>
        </w:tc>
        <w:tc>
          <w:tcPr>
            <w:tcW w:w="1107" w:type="dxa"/>
            <w:tcBorders>
              <w:top w:val="nil"/>
              <w:left w:val="single" w:sz="4" w:space="0" w:color="auto"/>
              <w:bottom w:val="nil"/>
              <w:right w:val="nil"/>
            </w:tcBorders>
            <w:shd w:val="clear" w:color="auto" w:fill="auto"/>
            <w:noWrap/>
            <w:vAlign w:val="bottom"/>
            <w:hideMark/>
          </w:tcPr>
          <w:p w14:paraId="1773540E" w14:textId="4FDA2EB7" w:rsidR="00CD5D2F" w:rsidRPr="006B42D6" w:rsidRDefault="00CD5D2F" w:rsidP="00CD5D2F">
            <w:pPr>
              <w:jc w:val="right"/>
              <w:rPr>
                <w:sz w:val="16"/>
                <w:szCs w:val="16"/>
              </w:rPr>
            </w:pPr>
            <w:r w:rsidRPr="006B42D6">
              <w:rPr>
                <w:sz w:val="16"/>
                <w:szCs w:val="16"/>
              </w:rPr>
              <w:t>1,185</w:t>
            </w:r>
          </w:p>
        </w:tc>
        <w:tc>
          <w:tcPr>
            <w:tcW w:w="1047" w:type="dxa"/>
            <w:tcBorders>
              <w:top w:val="nil"/>
              <w:left w:val="nil"/>
              <w:bottom w:val="nil"/>
              <w:right w:val="nil"/>
            </w:tcBorders>
            <w:shd w:val="clear" w:color="auto" w:fill="auto"/>
            <w:noWrap/>
            <w:vAlign w:val="bottom"/>
            <w:hideMark/>
          </w:tcPr>
          <w:p w14:paraId="3E6C5BA7" w14:textId="0B31C9AA" w:rsidR="00CD5D2F" w:rsidRPr="006B42D6" w:rsidRDefault="00CD5D2F" w:rsidP="00CD5D2F">
            <w:pPr>
              <w:jc w:val="right"/>
              <w:rPr>
                <w:sz w:val="16"/>
                <w:szCs w:val="16"/>
              </w:rPr>
            </w:pPr>
            <w:r w:rsidRPr="006B42D6">
              <w:rPr>
                <w:sz w:val="16"/>
                <w:szCs w:val="16"/>
              </w:rPr>
              <w:t>0</w:t>
            </w:r>
          </w:p>
        </w:tc>
        <w:tc>
          <w:tcPr>
            <w:tcW w:w="1107" w:type="dxa"/>
            <w:tcBorders>
              <w:top w:val="nil"/>
              <w:left w:val="nil"/>
              <w:bottom w:val="nil"/>
              <w:right w:val="nil"/>
            </w:tcBorders>
            <w:shd w:val="clear" w:color="auto" w:fill="auto"/>
            <w:noWrap/>
            <w:vAlign w:val="bottom"/>
            <w:hideMark/>
          </w:tcPr>
          <w:p w14:paraId="5E04E2D8" w14:textId="240CF422" w:rsidR="00CD5D2F" w:rsidRPr="006B42D6" w:rsidRDefault="00CD5D2F" w:rsidP="00CD5D2F">
            <w:pPr>
              <w:jc w:val="right"/>
              <w:rPr>
                <w:sz w:val="16"/>
                <w:szCs w:val="16"/>
              </w:rPr>
            </w:pPr>
            <w:r w:rsidRPr="006B42D6">
              <w:rPr>
                <w:sz w:val="16"/>
                <w:szCs w:val="16"/>
              </w:rPr>
              <w:t>11,419</w:t>
            </w:r>
          </w:p>
        </w:tc>
        <w:tc>
          <w:tcPr>
            <w:tcW w:w="1438" w:type="dxa"/>
            <w:tcBorders>
              <w:top w:val="nil"/>
              <w:left w:val="nil"/>
              <w:bottom w:val="nil"/>
              <w:right w:val="nil"/>
            </w:tcBorders>
            <w:shd w:val="clear" w:color="auto" w:fill="auto"/>
            <w:noWrap/>
            <w:vAlign w:val="bottom"/>
            <w:hideMark/>
          </w:tcPr>
          <w:p w14:paraId="7C7F55C0" w14:textId="02F04D45" w:rsidR="00CD5D2F" w:rsidRPr="006B42D6" w:rsidRDefault="00CD5D2F" w:rsidP="00CD5D2F">
            <w:pPr>
              <w:jc w:val="right"/>
              <w:rPr>
                <w:sz w:val="16"/>
                <w:szCs w:val="16"/>
              </w:rPr>
            </w:pPr>
            <w:r w:rsidRPr="006B42D6">
              <w:rPr>
                <w:sz w:val="16"/>
                <w:szCs w:val="16"/>
              </w:rPr>
              <w:t>308</w:t>
            </w:r>
          </w:p>
        </w:tc>
        <w:tc>
          <w:tcPr>
            <w:tcW w:w="1331" w:type="dxa"/>
            <w:tcBorders>
              <w:top w:val="nil"/>
              <w:left w:val="nil"/>
              <w:bottom w:val="nil"/>
              <w:right w:val="nil"/>
            </w:tcBorders>
            <w:shd w:val="clear" w:color="auto" w:fill="auto"/>
            <w:noWrap/>
            <w:vAlign w:val="bottom"/>
            <w:hideMark/>
          </w:tcPr>
          <w:p w14:paraId="3C09AC6C" w14:textId="0624A866" w:rsidR="00CD5D2F" w:rsidRPr="006B42D6" w:rsidRDefault="00CD5D2F" w:rsidP="00CD5D2F">
            <w:pPr>
              <w:jc w:val="right"/>
              <w:rPr>
                <w:sz w:val="16"/>
                <w:szCs w:val="16"/>
              </w:rPr>
            </w:pPr>
            <w:r w:rsidRPr="006B42D6">
              <w:rPr>
                <w:sz w:val="16"/>
                <w:szCs w:val="16"/>
              </w:rPr>
              <w:t>308</w:t>
            </w:r>
          </w:p>
        </w:tc>
        <w:tc>
          <w:tcPr>
            <w:tcW w:w="1006" w:type="dxa"/>
            <w:tcBorders>
              <w:top w:val="nil"/>
              <w:left w:val="nil"/>
              <w:bottom w:val="nil"/>
              <w:right w:val="nil"/>
            </w:tcBorders>
            <w:shd w:val="clear" w:color="auto" w:fill="auto"/>
            <w:noWrap/>
            <w:vAlign w:val="bottom"/>
            <w:hideMark/>
          </w:tcPr>
          <w:p w14:paraId="5A2886DF" w14:textId="54C8FAFE" w:rsidR="00CD5D2F" w:rsidRPr="006B42D6" w:rsidRDefault="00CD5D2F" w:rsidP="00CD5D2F">
            <w:pPr>
              <w:jc w:val="right"/>
              <w:rPr>
                <w:sz w:val="16"/>
                <w:szCs w:val="16"/>
              </w:rPr>
            </w:pPr>
            <w:r w:rsidRPr="006B42D6">
              <w:rPr>
                <w:sz w:val="16"/>
                <w:szCs w:val="16"/>
              </w:rPr>
              <w:t>84</w:t>
            </w:r>
          </w:p>
        </w:tc>
        <w:tc>
          <w:tcPr>
            <w:tcW w:w="976" w:type="dxa"/>
            <w:tcBorders>
              <w:top w:val="nil"/>
              <w:left w:val="nil"/>
              <w:bottom w:val="nil"/>
              <w:right w:val="nil"/>
            </w:tcBorders>
            <w:shd w:val="clear" w:color="auto" w:fill="auto"/>
            <w:noWrap/>
            <w:vAlign w:val="bottom"/>
            <w:hideMark/>
          </w:tcPr>
          <w:p w14:paraId="5FCAF878" w14:textId="06B85309" w:rsidR="00CD5D2F" w:rsidRPr="006B42D6" w:rsidRDefault="00CD5D2F" w:rsidP="00CD5D2F">
            <w:pPr>
              <w:jc w:val="right"/>
              <w:rPr>
                <w:sz w:val="16"/>
                <w:szCs w:val="16"/>
              </w:rPr>
            </w:pPr>
            <w:r w:rsidRPr="006B42D6">
              <w:rPr>
                <w:sz w:val="16"/>
                <w:szCs w:val="16"/>
              </w:rPr>
              <w:t>237</w:t>
            </w:r>
          </w:p>
        </w:tc>
      </w:tr>
      <w:tr w:rsidR="006B42D6" w:rsidRPr="006B42D6" w14:paraId="4EE0E7B6" w14:textId="77777777" w:rsidTr="00D972DA">
        <w:trPr>
          <w:trHeight w:val="20"/>
        </w:trPr>
        <w:tc>
          <w:tcPr>
            <w:tcW w:w="1758" w:type="dxa"/>
            <w:tcBorders>
              <w:top w:val="nil"/>
              <w:left w:val="nil"/>
              <w:bottom w:val="nil"/>
              <w:right w:val="nil"/>
            </w:tcBorders>
            <w:shd w:val="clear" w:color="auto" w:fill="auto"/>
            <w:noWrap/>
            <w:vAlign w:val="bottom"/>
            <w:hideMark/>
          </w:tcPr>
          <w:p w14:paraId="22BF31D7" w14:textId="32E815D2" w:rsidR="00CD5D2F" w:rsidRPr="006B42D6" w:rsidRDefault="00CD5D2F" w:rsidP="0072387B">
            <w:pPr>
              <w:jc w:val="left"/>
              <w:rPr>
                <w:sz w:val="16"/>
                <w:szCs w:val="16"/>
              </w:rPr>
            </w:pPr>
            <w:r w:rsidRPr="006B42D6">
              <w:rPr>
                <w:sz w:val="16"/>
                <w:szCs w:val="16"/>
              </w:rPr>
              <w:t>Pwani</w:t>
            </w:r>
          </w:p>
        </w:tc>
        <w:tc>
          <w:tcPr>
            <w:tcW w:w="1107" w:type="dxa"/>
            <w:tcBorders>
              <w:top w:val="nil"/>
              <w:left w:val="single" w:sz="4" w:space="0" w:color="auto"/>
              <w:bottom w:val="nil"/>
              <w:right w:val="nil"/>
            </w:tcBorders>
            <w:shd w:val="clear" w:color="auto" w:fill="auto"/>
            <w:noWrap/>
            <w:vAlign w:val="bottom"/>
            <w:hideMark/>
          </w:tcPr>
          <w:p w14:paraId="1BE7C911" w14:textId="4CB8C752" w:rsidR="00CD5D2F" w:rsidRPr="006B42D6" w:rsidRDefault="00CD5D2F" w:rsidP="00CD5D2F">
            <w:pPr>
              <w:jc w:val="right"/>
              <w:rPr>
                <w:sz w:val="16"/>
                <w:szCs w:val="16"/>
              </w:rPr>
            </w:pPr>
            <w:r w:rsidRPr="006B42D6">
              <w:rPr>
                <w:sz w:val="16"/>
                <w:szCs w:val="16"/>
              </w:rPr>
              <w:t>923</w:t>
            </w:r>
          </w:p>
        </w:tc>
        <w:tc>
          <w:tcPr>
            <w:tcW w:w="1047" w:type="dxa"/>
            <w:tcBorders>
              <w:top w:val="nil"/>
              <w:left w:val="nil"/>
              <w:bottom w:val="nil"/>
              <w:right w:val="nil"/>
            </w:tcBorders>
            <w:shd w:val="clear" w:color="auto" w:fill="auto"/>
            <w:noWrap/>
            <w:vAlign w:val="bottom"/>
            <w:hideMark/>
          </w:tcPr>
          <w:p w14:paraId="2619615A" w14:textId="4D897E67" w:rsidR="00CD5D2F" w:rsidRPr="006B42D6" w:rsidRDefault="00CD5D2F" w:rsidP="00CD5D2F">
            <w:pPr>
              <w:jc w:val="right"/>
              <w:rPr>
                <w:sz w:val="16"/>
                <w:szCs w:val="16"/>
              </w:rPr>
            </w:pPr>
            <w:r w:rsidRPr="006B42D6">
              <w:rPr>
                <w:sz w:val="16"/>
                <w:szCs w:val="16"/>
              </w:rPr>
              <w:t>428</w:t>
            </w:r>
          </w:p>
        </w:tc>
        <w:tc>
          <w:tcPr>
            <w:tcW w:w="1107" w:type="dxa"/>
            <w:tcBorders>
              <w:top w:val="nil"/>
              <w:left w:val="nil"/>
              <w:bottom w:val="nil"/>
              <w:right w:val="nil"/>
            </w:tcBorders>
            <w:shd w:val="clear" w:color="auto" w:fill="auto"/>
            <w:noWrap/>
            <w:vAlign w:val="bottom"/>
            <w:hideMark/>
          </w:tcPr>
          <w:p w14:paraId="36B87ACF" w14:textId="0ED949DF" w:rsidR="00CD5D2F" w:rsidRPr="006B42D6" w:rsidRDefault="00CD5D2F" w:rsidP="00CD5D2F">
            <w:pPr>
              <w:jc w:val="right"/>
              <w:rPr>
                <w:sz w:val="16"/>
                <w:szCs w:val="16"/>
              </w:rPr>
            </w:pPr>
            <w:r w:rsidRPr="006B42D6">
              <w:rPr>
                <w:sz w:val="16"/>
                <w:szCs w:val="16"/>
              </w:rPr>
              <w:t>6,032</w:t>
            </w:r>
          </w:p>
        </w:tc>
        <w:tc>
          <w:tcPr>
            <w:tcW w:w="1438" w:type="dxa"/>
            <w:tcBorders>
              <w:top w:val="nil"/>
              <w:left w:val="nil"/>
              <w:bottom w:val="nil"/>
              <w:right w:val="nil"/>
            </w:tcBorders>
            <w:shd w:val="clear" w:color="auto" w:fill="auto"/>
            <w:noWrap/>
            <w:vAlign w:val="bottom"/>
            <w:hideMark/>
          </w:tcPr>
          <w:p w14:paraId="5E4C2B1E" w14:textId="6040A825" w:rsidR="00CD5D2F" w:rsidRPr="006B42D6" w:rsidRDefault="00CD5D2F" w:rsidP="00CD5D2F">
            <w:pPr>
              <w:jc w:val="right"/>
              <w:rPr>
                <w:sz w:val="16"/>
                <w:szCs w:val="16"/>
              </w:rPr>
            </w:pPr>
            <w:r w:rsidRPr="006B42D6">
              <w:rPr>
                <w:sz w:val="16"/>
                <w:szCs w:val="16"/>
              </w:rPr>
              <w:t>3,180</w:t>
            </w:r>
          </w:p>
        </w:tc>
        <w:tc>
          <w:tcPr>
            <w:tcW w:w="1331" w:type="dxa"/>
            <w:tcBorders>
              <w:top w:val="nil"/>
              <w:left w:val="nil"/>
              <w:bottom w:val="nil"/>
              <w:right w:val="nil"/>
            </w:tcBorders>
            <w:shd w:val="clear" w:color="auto" w:fill="auto"/>
            <w:noWrap/>
            <w:vAlign w:val="bottom"/>
            <w:hideMark/>
          </w:tcPr>
          <w:p w14:paraId="2B1F0886" w14:textId="5713C0D7" w:rsidR="00CD5D2F" w:rsidRPr="006B42D6" w:rsidRDefault="00CD5D2F" w:rsidP="00CD5D2F">
            <w:pPr>
              <w:jc w:val="right"/>
              <w:rPr>
                <w:sz w:val="16"/>
                <w:szCs w:val="16"/>
              </w:rPr>
            </w:pPr>
            <w:r w:rsidRPr="006B42D6">
              <w:rPr>
                <w:sz w:val="16"/>
                <w:szCs w:val="16"/>
              </w:rPr>
              <w:t>3,609</w:t>
            </w:r>
          </w:p>
        </w:tc>
        <w:tc>
          <w:tcPr>
            <w:tcW w:w="1006" w:type="dxa"/>
            <w:tcBorders>
              <w:top w:val="nil"/>
              <w:left w:val="nil"/>
              <w:bottom w:val="nil"/>
              <w:right w:val="nil"/>
            </w:tcBorders>
            <w:shd w:val="clear" w:color="auto" w:fill="auto"/>
            <w:noWrap/>
            <w:vAlign w:val="bottom"/>
            <w:hideMark/>
          </w:tcPr>
          <w:p w14:paraId="6096C25D" w14:textId="5D388F84" w:rsidR="00CD5D2F" w:rsidRPr="006B42D6" w:rsidRDefault="00CD5D2F" w:rsidP="00CD5D2F">
            <w:pPr>
              <w:jc w:val="right"/>
              <w:rPr>
                <w:sz w:val="16"/>
                <w:szCs w:val="16"/>
              </w:rPr>
            </w:pPr>
            <w:r w:rsidRPr="006B42D6">
              <w:rPr>
                <w:sz w:val="16"/>
                <w:szCs w:val="16"/>
              </w:rPr>
              <w:t>384</w:t>
            </w:r>
          </w:p>
        </w:tc>
        <w:tc>
          <w:tcPr>
            <w:tcW w:w="976" w:type="dxa"/>
            <w:tcBorders>
              <w:top w:val="nil"/>
              <w:left w:val="nil"/>
              <w:bottom w:val="nil"/>
              <w:right w:val="nil"/>
            </w:tcBorders>
            <w:shd w:val="clear" w:color="auto" w:fill="auto"/>
            <w:noWrap/>
            <w:vAlign w:val="bottom"/>
            <w:hideMark/>
          </w:tcPr>
          <w:p w14:paraId="12AB40C8" w14:textId="761A110C" w:rsidR="00CD5D2F" w:rsidRPr="006B42D6" w:rsidRDefault="00CD5D2F" w:rsidP="00CD5D2F">
            <w:pPr>
              <w:jc w:val="right"/>
              <w:rPr>
                <w:sz w:val="16"/>
                <w:szCs w:val="16"/>
              </w:rPr>
            </w:pPr>
            <w:r w:rsidRPr="006B42D6">
              <w:rPr>
                <w:sz w:val="16"/>
                <w:szCs w:val="16"/>
              </w:rPr>
              <w:t>1,262</w:t>
            </w:r>
          </w:p>
        </w:tc>
      </w:tr>
      <w:tr w:rsidR="006B42D6" w:rsidRPr="006B42D6" w14:paraId="4EE5CD96" w14:textId="77777777" w:rsidTr="00D972DA">
        <w:trPr>
          <w:trHeight w:val="20"/>
        </w:trPr>
        <w:tc>
          <w:tcPr>
            <w:tcW w:w="1758" w:type="dxa"/>
            <w:tcBorders>
              <w:top w:val="nil"/>
              <w:left w:val="nil"/>
              <w:bottom w:val="nil"/>
              <w:right w:val="nil"/>
            </w:tcBorders>
            <w:shd w:val="clear" w:color="auto" w:fill="auto"/>
            <w:noWrap/>
            <w:vAlign w:val="bottom"/>
            <w:hideMark/>
          </w:tcPr>
          <w:p w14:paraId="25260DA8" w14:textId="0930A93E" w:rsidR="00CD5D2F" w:rsidRPr="006B42D6" w:rsidRDefault="00CD5D2F" w:rsidP="0072387B">
            <w:pPr>
              <w:jc w:val="left"/>
              <w:rPr>
                <w:sz w:val="16"/>
                <w:szCs w:val="16"/>
              </w:rPr>
            </w:pPr>
            <w:r w:rsidRPr="006B42D6">
              <w:rPr>
                <w:sz w:val="16"/>
                <w:szCs w:val="16"/>
              </w:rPr>
              <w:t>Dar Es Salaam</w:t>
            </w:r>
          </w:p>
        </w:tc>
        <w:tc>
          <w:tcPr>
            <w:tcW w:w="1107" w:type="dxa"/>
            <w:tcBorders>
              <w:top w:val="nil"/>
              <w:left w:val="single" w:sz="4" w:space="0" w:color="auto"/>
              <w:bottom w:val="nil"/>
              <w:right w:val="nil"/>
            </w:tcBorders>
            <w:shd w:val="clear" w:color="auto" w:fill="auto"/>
            <w:noWrap/>
            <w:vAlign w:val="bottom"/>
            <w:hideMark/>
          </w:tcPr>
          <w:p w14:paraId="3FE6A605" w14:textId="48BAE779" w:rsidR="00CD5D2F" w:rsidRPr="006B42D6" w:rsidRDefault="00CD5D2F" w:rsidP="00CD5D2F">
            <w:pPr>
              <w:jc w:val="right"/>
              <w:rPr>
                <w:sz w:val="16"/>
                <w:szCs w:val="16"/>
              </w:rPr>
            </w:pPr>
            <w:r w:rsidRPr="006B42D6">
              <w:rPr>
                <w:sz w:val="16"/>
                <w:szCs w:val="16"/>
              </w:rPr>
              <w:t>1,308</w:t>
            </w:r>
          </w:p>
        </w:tc>
        <w:tc>
          <w:tcPr>
            <w:tcW w:w="1047" w:type="dxa"/>
            <w:tcBorders>
              <w:top w:val="nil"/>
              <w:left w:val="nil"/>
              <w:bottom w:val="nil"/>
              <w:right w:val="nil"/>
            </w:tcBorders>
            <w:shd w:val="clear" w:color="auto" w:fill="auto"/>
            <w:noWrap/>
            <w:vAlign w:val="bottom"/>
            <w:hideMark/>
          </w:tcPr>
          <w:p w14:paraId="0E7BEC4E" w14:textId="01BEF1D8" w:rsidR="00CD5D2F" w:rsidRPr="006B42D6" w:rsidRDefault="00CD5D2F" w:rsidP="00CD5D2F">
            <w:pPr>
              <w:jc w:val="right"/>
              <w:rPr>
                <w:sz w:val="16"/>
                <w:szCs w:val="16"/>
              </w:rPr>
            </w:pPr>
            <w:r w:rsidRPr="006B42D6">
              <w:rPr>
                <w:sz w:val="16"/>
                <w:szCs w:val="16"/>
              </w:rPr>
              <w:t>3</w:t>
            </w:r>
          </w:p>
        </w:tc>
        <w:tc>
          <w:tcPr>
            <w:tcW w:w="1107" w:type="dxa"/>
            <w:tcBorders>
              <w:top w:val="nil"/>
              <w:left w:val="nil"/>
              <w:bottom w:val="nil"/>
              <w:right w:val="nil"/>
            </w:tcBorders>
            <w:shd w:val="clear" w:color="auto" w:fill="auto"/>
            <w:noWrap/>
            <w:vAlign w:val="bottom"/>
            <w:hideMark/>
          </w:tcPr>
          <w:p w14:paraId="432521AF" w14:textId="4DCC7FAB" w:rsidR="00CD5D2F" w:rsidRPr="006B42D6" w:rsidRDefault="00CD5D2F" w:rsidP="00CD5D2F">
            <w:pPr>
              <w:jc w:val="right"/>
              <w:rPr>
                <w:sz w:val="16"/>
                <w:szCs w:val="16"/>
              </w:rPr>
            </w:pPr>
            <w:r w:rsidRPr="006B42D6">
              <w:rPr>
                <w:sz w:val="16"/>
                <w:szCs w:val="16"/>
              </w:rPr>
              <w:t>962</w:t>
            </w:r>
          </w:p>
        </w:tc>
        <w:tc>
          <w:tcPr>
            <w:tcW w:w="1438" w:type="dxa"/>
            <w:tcBorders>
              <w:top w:val="nil"/>
              <w:left w:val="nil"/>
              <w:bottom w:val="nil"/>
              <w:right w:val="nil"/>
            </w:tcBorders>
            <w:shd w:val="clear" w:color="auto" w:fill="auto"/>
            <w:noWrap/>
            <w:vAlign w:val="bottom"/>
            <w:hideMark/>
          </w:tcPr>
          <w:p w14:paraId="028A1D01" w14:textId="01AA760E" w:rsidR="00CD5D2F" w:rsidRPr="006B42D6" w:rsidRDefault="00CD5D2F" w:rsidP="00CD5D2F">
            <w:pPr>
              <w:jc w:val="right"/>
              <w:rPr>
                <w:sz w:val="16"/>
                <w:szCs w:val="16"/>
              </w:rPr>
            </w:pPr>
            <w:r w:rsidRPr="006B42D6">
              <w:rPr>
                <w:sz w:val="16"/>
                <w:szCs w:val="16"/>
              </w:rPr>
              <w:t>-</w:t>
            </w:r>
          </w:p>
        </w:tc>
        <w:tc>
          <w:tcPr>
            <w:tcW w:w="1331" w:type="dxa"/>
            <w:tcBorders>
              <w:top w:val="nil"/>
              <w:left w:val="nil"/>
              <w:bottom w:val="nil"/>
              <w:right w:val="nil"/>
            </w:tcBorders>
            <w:shd w:val="clear" w:color="auto" w:fill="auto"/>
            <w:noWrap/>
            <w:vAlign w:val="bottom"/>
            <w:hideMark/>
          </w:tcPr>
          <w:p w14:paraId="07876E75" w14:textId="55461666" w:rsidR="00CD5D2F" w:rsidRPr="006B42D6" w:rsidRDefault="00CD5D2F" w:rsidP="00CD5D2F">
            <w:pPr>
              <w:jc w:val="right"/>
              <w:rPr>
                <w:sz w:val="16"/>
                <w:szCs w:val="16"/>
              </w:rPr>
            </w:pPr>
            <w:r w:rsidRPr="006B42D6">
              <w:rPr>
                <w:sz w:val="16"/>
                <w:szCs w:val="16"/>
              </w:rPr>
              <w:t>3</w:t>
            </w:r>
          </w:p>
        </w:tc>
        <w:tc>
          <w:tcPr>
            <w:tcW w:w="1006" w:type="dxa"/>
            <w:tcBorders>
              <w:top w:val="nil"/>
              <w:left w:val="nil"/>
              <w:bottom w:val="nil"/>
              <w:right w:val="nil"/>
            </w:tcBorders>
            <w:shd w:val="clear" w:color="auto" w:fill="auto"/>
            <w:noWrap/>
            <w:vAlign w:val="bottom"/>
            <w:hideMark/>
          </w:tcPr>
          <w:p w14:paraId="71A52FBB" w14:textId="3D98C846" w:rsidR="00CD5D2F" w:rsidRPr="006B42D6" w:rsidRDefault="00CD5D2F" w:rsidP="00CD5D2F">
            <w:pPr>
              <w:jc w:val="right"/>
              <w:rPr>
                <w:sz w:val="16"/>
                <w:szCs w:val="16"/>
              </w:rPr>
            </w:pPr>
            <w:r w:rsidRPr="006B42D6">
              <w:rPr>
                <w:sz w:val="16"/>
                <w:szCs w:val="16"/>
              </w:rPr>
              <w:t>-</w:t>
            </w:r>
          </w:p>
        </w:tc>
        <w:tc>
          <w:tcPr>
            <w:tcW w:w="976" w:type="dxa"/>
            <w:tcBorders>
              <w:top w:val="nil"/>
              <w:left w:val="nil"/>
              <w:bottom w:val="nil"/>
              <w:right w:val="nil"/>
            </w:tcBorders>
            <w:shd w:val="clear" w:color="auto" w:fill="auto"/>
            <w:noWrap/>
            <w:vAlign w:val="bottom"/>
            <w:hideMark/>
          </w:tcPr>
          <w:p w14:paraId="692516BA" w14:textId="4AC543FA" w:rsidR="00CD5D2F" w:rsidRPr="006B42D6" w:rsidRDefault="00CD5D2F" w:rsidP="00CD5D2F">
            <w:pPr>
              <w:jc w:val="right"/>
              <w:rPr>
                <w:sz w:val="16"/>
                <w:szCs w:val="16"/>
              </w:rPr>
            </w:pPr>
            <w:r w:rsidRPr="006B42D6">
              <w:rPr>
                <w:sz w:val="16"/>
                <w:szCs w:val="16"/>
              </w:rPr>
              <w:t>-</w:t>
            </w:r>
          </w:p>
        </w:tc>
      </w:tr>
      <w:tr w:rsidR="006B42D6" w:rsidRPr="006B42D6" w14:paraId="6096A7AA" w14:textId="77777777" w:rsidTr="00D972DA">
        <w:trPr>
          <w:trHeight w:val="20"/>
        </w:trPr>
        <w:tc>
          <w:tcPr>
            <w:tcW w:w="1758" w:type="dxa"/>
            <w:tcBorders>
              <w:top w:val="nil"/>
              <w:left w:val="nil"/>
              <w:bottom w:val="nil"/>
              <w:right w:val="nil"/>
            </w:tcBorders>
            <w:shd w:val="clear" w:color="auto" w:fill="auto"/>
            <w:noWrap/>
            <w:vAlign w:val="bottom"/>
            <w:hideMark/>
          </w:tcPr>
          <w:p w14:paraId="610CE289" w14:textId="6F9B3579" w:rsidR="00CD5D2F" w:rsidRPr="006B42D6" w:rsidRDefault="00CD5D2F" w:rsidP="0072387B">
            <w:pPr>
              <w:jc w:val="left"/>
              <w:rPr>
                <w:sz w:val="16"/>
                <w:szCs w:val="16"/>
              </w:rPr>
            </w:pPr>
            <w:r w:rsidRPr="006B42D6">
              <w:rPr>
                <w:sz w:val="16"/>
                <w:szCs w:val="16"/>
              </w:rPr>
              <w:t>Lindi</w:t>
            </w:r>
          </w:p>
        </w:tc>
        <w:tc>
          <w:tcPr>
            <w:tcW w:w="1107" w:type="dxa"/>
            <w:tcBorders>
              <w:top w:val="nil"/>
              <w:left w:val="single" w:sz="4" w:space="0" w:color="auto"/>
              <w:bottom w:val="nil"/>
              <w:right w:val="nil"/>
            </w:tcBorders>
            <w:shd w:val="clear" w:color="auto" w:fill="auto"/>
            <w:noWrap/>
            <w:vAlign w:val="bottom"/>
            <w:hideMark/>
          </w:tcPr>
          <w:p w14:paraId="465B82F4" w14:textId="4BC4EC1D" w:rsidR="00CD5D2F" w:rsidRPr="006B42D6" w:rsidRDefault="00CD5D2F" w:rsidP="00CD5D2F">
            <w:pPr>
              <w:jc w:val="right"/>
              <w:rPr>
                <w:sz w:val="16"/>
                <w:szCs w:val="16"/>
              </w:rPr>
            </w:pPr>
            <w:r w:rsidRPr="006B42D6">
              <w:rPr>
                <w:sz w:val="16"/>
                <w:szCs w:val="16"/>
              </w:rPr>
              <w:t>-</w:t>
            </w:r>
          </w:p>
        </w:tc>
        <w:tc>
          <w:tcPr>
            <w:tcW w:w="1047" w:type="dxa"/>
            <w:tcBorders>
              <w:top w:val="nil"/>
              <w:left w:val="nil"/>
              <w:bottom w:val="nil"/>
              <w:right w:val="nil"/>
            </w:tcBorders>
            <w:shd w:val="clear" w:color="auto" w:fill="auto"/>
            <w:noWrap/>
            <w:vAlign w:val="bottom"/>
            <w:hideMark/>
          </w:tcPr>
          <w:p w14:paraId="3FBB94AC" w14:textId="7257A244" w:rsidR="00CD5D2F" w:rsidRPr="006B42D6" w:rsidRDefault="00CD5D2F" w:rsidP="00CD5D2F">
            <w:pPr>
              <w:jc w:val="right"/>
              <w:rPr>
                <w:sz w:val="16"/>
                <w:szCs w:val="16"/>
              </w:rPr>
            </w:pPr>
            <w:r w:rsidRPr="006B42D6">
              <w:rPr>
                <w:sz w:val="16"/>
                <w:szCs w:val="16"/>
              </w:rPr>
              <w:t>-</w:t>
            </w:r>
          </w:p>
        </w:tc>
        <w:tc>
          <w:tcPr>
            <w:tcW w:w="1107" w:type="dxa"/>
            <w:tcBorders>
              <w:top w:val="nil"/>
              <w:left w:val="nil"/>
              <w:bottom w:val="nil"/>
              <w:right w:val="nil"/>
            </w:tcBorders>
            <w:shd w:val="clear" w:color="auto" w:fill="auto"/>
            <w:noWrap/>
            <w:vAlign w:val="bottom"/>
            <w:hideMark/>
          </w:tcPr>
          <w:p w14:paraId="1A434FA5" w14:textId="3BCAF087" w:rsidR="00CD5D2F" w:rsidRPr="006B42D6" w:rsidRDefault="00CD5D2F" w:rsidP="00CD5D2F">
            <w:pPr>
              <w:jc w:val="right"/>
              <w:rPr>
                <w:sz w:val="16"/>
                <w:szCs w:val="16"/>
              </w:rPr>
            </w:pPr>
            <w:r w:rsidRPr="006B42D6">
              <w:rPr>
                <w:sz w:val="16"/>
                <w:szCs w:val="16"/>
              </w:rPr>
              <w:t>-</w:t>
            </w:r>
          </w:p>
        </w:tc>
        <w:tc>
          <w:tcPr>
            <w:tcW w:w="1438" w:type="dxa"/>
            <w:tcBorders>
              <w:top w:val="nil"/>
              <w:left w:val="nil"/>
              <w:bottom w:val="nil"/>
              <w:right w:val="nil"/>
            </w:tcBorders>
            <w:shd w:val="clear" w:color="auto" w:fill="auto"/>
            <w:noWrap/>
            <w:vAlign w:val="bottom"/>
            <w:hideMark/>
          </w:tcPr>
          <w:p w14:paraId="23533985" w14:textId="345847C9" w:rsidR="00CD5D2F" w:rsidRPr="006B42D6" w:rsidRDefault="00CD5D2F" w:rsidP="00CD5D2F">
            <w:pPr>
              <w:jc w:val="right"/>
              <w:rPr>
                <w:sz w:val="16"/>
                <w:szCs w:val="16"/>
              </w:rPr>
            </w:pPr>
            <w:r w:rsidRPr="006B42D6">
              <w:rPr>
                <w:sz w:val="16"/>
                <w:szCs w:val="16"/>
              </w:rPr>
              <w:t>-</w:t>
            </w:r>
          </w:p>
        </w:tc>
        <w:tc>
          <w:tcPr>
            <w:tcW w:w="1331" w:type="dxa"/>
            <w:tcBorders>
              <w:top w:val="nil"/>
              <w:left w:val="nil"/>
              <w:bottom w:val="nil"/>
              <w:right w:val="nil"/>
            </w:tcBorders>
            <w:shd w:val="clear" w:color="auto" w:fill="auto"/>
            <w:noWrap/>
            <w:vAlign w:val="bottom"/>
            <w:hideMark/>
          </w:tcPr>
          <w:p w14:paraId="4AD26F38" w14:textId="156C4D9A" w:rsidR="00CD5D2F" w:rsidRPr="006B42D6" w:rsidRDefault="00CD5D2F" w:rsidP="00CD5D2F">
            <w:pPr>
              <w:jc w:val="right"/>
              <w:rPr>
                <w:sz w:val="16"/>
                <w:szCs w:val="16"/>
              </w:rPr>
            </w:pPr>
            <w:r w:rsidRPr="006B42D6">
              <w:rPr>
                <w:sz w:val="16"/>
                <w:szCs w:val="16"/>
              </w:rPr>
              <w:t>-</w:t>
            </w:r>
          </w:p>
        </w:tc>
        <w:tc>
          <w:tcPr>
            <w:tcW w:w="1006" w:type="dxa"/>
            <w:tcBorders>
              <w:top w:val="nil"/>
              <w:left w:val="nil"/>
              <w:bottom w:val="nil"/>
              <w:right w:val="nil"/>
            </w:tcBorders>
            <w:shd w:val="clear" w:color="auto" w:fill="auto"/>
            <w:noWrap/>
            <w:vAlign w:val="bottom"/>
            <w:hideMark/>
          </w:tcPr>
          <w:p w14:paraId="06019143" w14:textId="02A9E857" w:rsidR="00CD5D2F" w:rsidRPr="006B42D6" w:rsidRDefault="00CD5D2F" w:rsidP="00CD5D2F">
            <w:pPr>
              <w:jc w:val="right"/>
              <w:rPr>
                <w:sz w:val="16"/>
                <w:szCs w:val="16"/>
              </w:rPr>
            </w:pPr>
            <w:r w:rsidRPr="006B42D6">
              <w:rPr>
                <w:sz w:val="16"/>
                <w:szCs w:val="16"/>
              </w:rPr>
              <w:t>-</w:t>
            </w:r>
          </w:p>
        </w:tc>
        <w:tc>
          <w:tcPr>
            <w:tcW w:w="976" w:type="dxa"/>
            <w:tcBorders>
              <w:top w:val="nil"/>
              <w:left w:val="nil"/>
              <w:bottom w:val="nil"/>
              <w:right w:val="nil"/>
            </w:tcBorders>
            <w:shd w:val="clear" w:color="auto" w:fill="auto"/>
            <w:noWrap/>
            <w:vAlign w:val="bottom"/>
            <w:hideMark/>
          </w:tcPr>
          <w:p w14:paraId="052E699F" w14:textId="62B9E43C" w:rsidR="00CD5D2F" w:rsidRPr="006B42D6" w:rsidRDefault="00CD5D2F" w:rsidP="00CD5D2F">
            <w:pPr>
              <w:jc w:val="right"/>
              <w:rPr>
                <w:sz w:val="16"/>
                <w:szCs w:val="16"/>
              </w:rPr>
            </w:pPr>
            <w:r w:rsidRPr="006B42D6">
              <w:rPr>
                <w:sz w:val="16"/>
                <w:szCs w:val="16"/>
              </w:rPr>
              <w:t>-</w:t>
            </w:r>
          </w:p>
        </w:tc>
      </w:tr>
      <w:tr w:rsidR="006B42D6" w:rsidRPr="006B42D6" w14:paraId="79359C32" w14:textId="77777777" w:rsidTr="00D972DA">
        <w:trPr>
          <w:trHeight w:val="20"/>
        </w:trPr>
        <w:tc>
          <w:tcPr>
            <w:tcW w:w="1758" w:type="dxa"/>
            <w:tcBorders>
              <w:top w:val="nil"/>
              <w:left w:val="nil"/>
              <w:bottom w:val="nil"/>
              <w:right w:val="nil"/>
            </w:tcBorders>
            <w:shd w:val="clear" w:color="auto" w:fill="auto"/>
            <w:noWrap/>
            <w:vAlign w:val="bottom"/>
            <w:hideMark/>
          </w:tcPr>
          <w:p w14:paraId="0EAB19B9" w14:textId="544126AD" w:rsidR="00CD5D2F" w:rsidRPr="006B42D6" w:rsidRDefault="00CD5D2F" w:rsidP="0072387B">
            <w:pPr>
              <w:jc w:val="left"/>
              <w:rPr>
                <w:sz w:val="16"/>
                <w:szCs w:val="16"/>
              </w:rPr>
            </w:pPr>
            <w:r w:rsidRPr="006B42D6">
              <w:rPr>
                <w:sz w:val="16"/>
                <w:szCs w:val="16"/>
              </w:rPr>
              <w:t>Mtwara</w:t>
            </w:r>
          </w:p>
        </w:tc>
        <w:tc>
          <w:tcPr>
            <w:tcW w:w="1107" w:type="dxa"/>
            <w:tcBorders>
              <w:top w:val="nil"/>
              <w:left w:val="single" w:sz="4" w:space="0" w:color="auto"/>
              <w:bottom w:val="nil"/>
              <w:right w:val="nil"/>
            </w:tcBorders>
            <w:shd w:val="clear" w:color="auto" w:fill="auto"/>
            <w:noWrap/>
            <w:vAlign w:val="bottom"/>
            <w:hideMark/>
          </w:tcPr>
          <w:p w14:paraId="55069670" w14:textId="11D28983" w:rsidR="00CD5D2F" w:rsidRPr="006B42D6" w:rsidRDefault="00CD5D2F" w:rsidP="00CD5D2F">
            <w:pPr>
              <w:jc w:val="right"/>
              <w:rPr>
                <w:sz w:val="16"/>
                <w:szCs w:val="16"/>
              </w:rPr>
            </w:pPr>
            <w:r w:rsidRPr="006B42D6">
              <w:rPr>
                <w:sz w:val="16"/>
                <w:szCs w:val="16"/>
              </w:rPr>
              <w:t>-</w:t>
            </w:r>
          </w:p>
        </w:tc>
        <w:tc>
          <w:tcPr>
            <w:tcW w:w="1047" w:type="dxa"/>
            <w:tcBorders>
              <w:top w:val="nil"/>
              <w:left w:val="nil"/>
              <w:bottom w:val="nil"/>
              <w:right w:val="nil"/>
            </w:tcBorders>
            <w:shd w:val="clear" w:color="auto" w:fill="auto"/>
            <w:noWrap/>
            <w:vAlign w:val="bottom"/>
            <w:hideMark/>
          </w:tcPr>
          <w:p w14:paraId="78C6246B" w14:textId="69A4CFE7" w:rsidR="00CD5D2F" w:rsidRPr="006B42D6" w:rsidRDefault="00CD5D2F" w:rsidP="00CD5D2F">
            <w:pPr>
              <w:jc w:val="right"/>
              <w:rPr>
                <w:sz w:val="16"/>
                <w:szCs w:val="16"/>
              </w:rPr>
            </w:pPr>
            <w:r w:rsidRPr="006B42D6">
              <w:rPr>
                <w:sz w:val="16"/>
                <w:szCs w:val="16"/>
              </w:rPr>
              <w:t>-</w:t>
            </w:r>
          </w:p>
        </w:tc>
        <w:tc>
          <w:tcPr>
            <w:tcW w:w="1107" w:type="dxa"/>
            <w:tcBorders>
              <w:top w:val="nil"/>
              <w:left w:val="nil"/>
              <w:bottom w:val="nil"/>
              <w:right w:val="nil"/>
            </w:tcBorders>
            <w:shd w:val="clear" w:color="auto" w:fill="auto"/>
            <w:noWrap/>
            <w:vAlign w:val="bottom"/>
            <w:hideMark/>
          </w:tcPr>
          <w:p w14:paraId="647025FD" w14:textId="19E96805" w:rsidR="00CD5D2F" w:rsidRPr="006B42D6" w:rsidRDefault="00CD5D2F" w:rsidP="00CD5D2F">
            <w:pPr>
              <w:jc w:val="right"/>
              <w:rPr>
                <w:sz w:val="16"/>
                <w:szCs w:val="16"/>
              </w:rPr>
            </w:pPr>
            <w:r w:rsidRPr="006B42D6">
              <w:rPr>
                <w:sz w:val="16"/>
                <w:szCs w:val="16"/>
              </w:rPr>
              <w:t>-</w:t>
            </w:r>
          </w:p>
        </w:tc>
        <w:tc>
          <w:tcPr>
            <w:tcW w:w="1438" w:type="dxa"/>
            <w:tcBorders>
              <w:top w:val="nil"/>
              <w:left w:val="nil"/>
              <w:bottom w:val="nil"/>
              <w:right w:val="nil"/>
            </w:tcBorders>
            <w:shd w:val="clear" w:color="auto" w:fill="auto"/>
            <w:noWrap/>
            <w:vAlign w:val="bottom"/>
            <w:hideMark/>
          </w:tcPr>
          <w:p w14:paraId="3D6E4456" w14:textId="2FDE0081" w:rsidR="00CD5D2F" w:rsidRPr="006B42D6" w:rsidRDefault="00CD5D2F" w:rsidP="00CD5D2F">
            <w:pPr>
              <w:jc w:val="right"/>
              <w:rPr>
                <w:sz w:val="16"/>
                <w:szCs w:val="16"/>
              </w:rPr>
            </w:pPr>
            <w:r w:rsidRPr="006B42D6">
              <w:rPr>
                <w:sz w:val="16"/>
                <w:szCs w:val="16"/>
              </w:rPr>
              <w:t>-</w:t>
            </w:r>
          </w:p>
        </w:tc>
        <w:tc>
          <w:tcPr>
            <w:tcW w:w="1331" w:type="dxa"/>
            <w:tcBorders>
              <w:top w:val="nil"/>
              <w:left w:val="nil"/>
              <w:bottom w:val="nil"/>
              <w:right w:val="nil"/>
            </w:tcBorders>
            <w:shd w:val="clear" w:color="auto" w:fill="auto"/>
            <w:noWrap/>
            <w:vAlign w:val="bottom"/>
            <w:hideMark/>
          </w:tcPr>
          <w:p w14:paraId="4A406086" w14:textId="38C3B803" w:rsidR="00CD5D2F" w:rsidRPr="006B42D6" w:rsidRDefault="00CD5D2F" w:rsidP="00CD5D2F">
            <w:pPr>
              <w:jc w:val="right"/>
              <w:rPr>
                <w:sz w:val="16"/>
                <w:szCs w:val="16"/>
              </w:rPr>
            </w:pPr>
            <w:r w:rsidRPr="006B42D6">
              <w:rPr>
                <w:sz w:val="16"/>
                <w:szCs w:val="16"/>
              </w:rPr>
              <w:t>-</w:t>
            </w:r>
          </w:p>
        </w:tc>
        <w:tc>
          <w:tcPr>
            <w:tcW w:w="1006" w:type="dxa"/>
            <w:tcBorders>
              <w:top w:val="nil"/>
              <w:left w:val="nil"/>
              <w:bottom w:val="nil"/>
              <w:right w:val="nil"/>
            </w:tcBorders>
            <w:shd w:val="clear" w:color="auto" w:fill="auto"/>
            <w:noWrap/>
            <w:vAlign w:val="bottom"/>
            <w:hideMark/>
          </w:tcPr>
          <w:p w14:paraId="22C3C0E2" w14:textId="3DC2B34F" w:rsidR="00CD5D2F" w:rsidRPr="006B42D6" w:rsidRDefault="00CD5D2F" w:rsidP="00CD5D2F">
            <w:pPr>
              <w:jc w:val="right"/>
              <w:rPr>
                <w:sz w:val="16"/>
                <w:szCs w:val="16"/>
              </w:rPr>
            </w:pPr>
            <w:r w:rsidRPr="006B42D6">
              <w:rPr>
                <w:sz w:val="16"/>
                <w:szCs w:val="16"/>
              </w:rPr>
              <w:t>-</w:t>
            </w:r>
          </w:p>
        </w:tc>
        <w:tc>
          <w:tcPr>
            <w:tcW w:w="976" w:type="dxa"/>
            <w:tcBorders>
              <w:top w:val="nil"/>
              <w:left w:val="nil"/>
              <w:bottom w:val="nil"/>
              <w:right w:val="nil"/>
            </w:tcBorders>
            <w:shd w:val="clear" w:color="auto" w:fill="auto"/>
            <w:noWrap/>
            <w:vAlign w:val="bottom"/>
            <w:hideMark/>
          </w:tcPr>
          <w:p w14:paraId="4ACB6D86" w14:textId="676FAD18" w:rsidR="00CD5D2F" w:rsidRPr="006B42D6" w:rsidRDefault="00CD5D2F" w:rsidP="00CD5D2F">
            <w:pPr>
              <w:jc w:val="right"/>
              <w:rPr>
                <w:sz w:val="16"/>
                <w:szCs w:val="16"/>
              </w:rPr>
            </w:pPr>
            <w:r w:rsidRPr="006B42D6">
              <w:rPr>
                <w:sz w:val="16"/>
                <w:szCs w:val="16"/>
              </w:rPr>
              <w:t>-</w:t>
            </w:r>
          </w:p>
        </w:tc>
      </w:tr>
      <w:tr w:rsidR="006B42D6" w:rsidRPr="006B42D6" w14:paraId="6CCB73EC" w14:textId="77777777" w:rsidTr="00D972DA">
        <w:trPr>
          <w:trHeight w:val="20"/>
        </w:trPr>
        <w:tc>
          <w:tcPr>
            <w:tcW w:w="1758" w:type="dxa"/>
            <w:tcBorders>
              <w:top w:val="nil"/>
              <w:left w:val="nil"/>
              <w:bottom w:val="nil"/>
              <w:right w:val="nil"/>
            </w:tcBorders>
            <w:shd w:val="clear" w:color="auto" w:fill="auto"/>
            <w:noWrap/>
            <w:vAlign w:val="bottom"/>
            <w:hideMark/>
          </w:tcPr>
          <w:p w14:paraId="18B6274C" w14:textId="5451900C" w:rsidR="00CD5D2F" w:rsidRPr="006B42D6" w:rsidRDefault="00CD5D2F" w:rsidP="0072387B">
            <w:pPr>
              <w:jc w:val="left"/>
              <w:rPr>
                <w:sz w:val="16"/>
                <w:szCs w:val="16"/>
              </w:rPr>
            </w:pPr>
            <w:r w:rsidRPr="006B42D6">
              <w:rPr>
                <w:sz w:val="16"/>
                <w:szCs w:val="16"/>
              </w:rPr>
              <w:t>Ruvuma</w:t>
            </w:r>
          </w:p>
        </w:tc>
        <w:tc>
          <w:tcPr>
            <w:tcW w:w="1107" w:type="dxa"/>
            <w:tcBorders>
              <w:top w:val="nil"/>
              <w:left w:val="single" w:sz="4" w:space="0" w:color="auto"/>
              <w:bottom w:val="nil"/>
              <w:right w:val="nil"/>
            </w:tcBorders>
            <w:shd w:val="clear" w:color="auto" w:fill="auto"/>
            <w:noWrap/>
            <w:vAlign w:val="bottom"/>
            <w:hideMark/>
          </w:tcPr>
          <w:p w14:paraId="1F0E4F46" w14:textId="20E4D6CA" w:rsidR="00CD5D2F" w:rsidRPr="006B42D6" w:rsidRDefault="00CD5D2F" w:rsidP="00CD5D2F">
            <w:pPr>
              <w:jc w:val="right"/>
              <w:rPr>
                <w:sz w:val="16"/>
                <w:szCs w:val="16"/>
              </w:rPr>
            </w:pPr>
            <w:r w:rsidRPr="006B42D6">
              <w:rPr>
                <w:sz w:val="16"/>
                <w:szCs w:val="16"/>
              </w:rPr>
              <w:t>-</w:t>
            </w:r>
          </w:p>
        </w:tc>
        <w:tc>
          <w:tcPr>
            <w:tcW w:w="1047" w:type="dxa"/>
            <w:tcBorders>
              <w:top w:val="nil"/>
              <w:left w:val="nil"/>
              <w:bottom w:val="nil"/>
              <w:right w:val="nil"/>
            </w:tcBorders>
            <w:shd w:val="clear" w:color="auto" w:fill="auto"/>
            <w:noWrap/>
            <w:vAlign w:val="bottom"/>
            <w:hideMark/>
          </w:tcPr>
          <w:p w14:paraId="030400E8" w14:textId="4F73EBD8" w:rsidR="00CD5D2F" w:rsidRPr="006B42D6" w:rsidRDefault="00CD5D2F" w:rsidP="00CD5D2F">
            <w:pPr>
              <w:jc w:val="right"/>
              <w:rPr>
                <w:sz w:val="16"/>
                <w:szCs w:val="16"/>
              </w:rPr>
            </w:pPr>
            <w:r w:rsidRPr="006B42D6">
              <w:rPr>
                <w:sz w:val="16"/>
                <w:szCs w:val="16"/>
              </w:rPr>
              <w:t>-</w:t>
            </w:r>
          </w:p>
        </w:tc>
        <w:tc>
          <w:tcPr>
            <w:tcW w:w="1107" w:type="dxa"/>
            <w:tcBorders>
              <w:top w:val="nil"/>
              <w:left w:val="nil"/>
              <w:bottom w:val="nil"/>
              <w:right w:val="nil"/>
            </w:tcBorders>
            <w:shd w:val="clear" w:color="auto" w:fill="auto"/>
            <w:noWrap/>
            <w:vAlign w:val="bottom"/>
            <w:hideMark/>
          </w:tcPr>
          <w:p w14:paraId="4BA37AE7" w14:textId="7E696B92" w:rsidR="00CD5D2F" w:rsidRPr="006B42D6" w:rsidRDefault="00CD5D2F" w:rsidP="00CD5D2F">
            <w:pPr>
              <w:jc w:val="right"/>
              <w:rPr>
                <w:sz w:val="16"/>
                <w:szCs w:val="16"/>
              </w:rPr>
            </w:pPr>
            <w:r w:rsidRPr="006B42D6">
              <w:rPr>
                <w:sz w:val="16"/>
                <w:szCs w:val="16"/>
              </w:rPr>
              <w:t>-</w:t>
            </w:r>
          </w:p>
        </w:tc>
        <w:tc>
          <w:tcPr>
            <w:tcW w:w="1438" w:type="dxa"/>
            <w:tcBorders>
              <w:top w:val="nil"/>
              <w:left w:val="nil"/>
              <w:bottom w:val="nil"/>
              <w:right w:val="nil"/>
            </w:tcBorders>
            <w:shd w:val="clear" w:color="auto" w:fill="auto"/>
            <w:noWrap/>
            <w:vAlign w:val="bottom"/>
            <w:hideMark/>
          </w:tcPr>
          <w:p w14:paraId="59AED9B8" w14:textId="0F338D88" w:rsidR="00CD5D2F" w:rsidRPr="006B42D6" w:rsidRDefault="00CD5D2F" w:rsidP="00CD5D2F">
            <w:pPr>
              <w:jc w:val="right"/>
              <w:rPr>
                <w:sz w:val="16"/>
                <w:szCs w:val="16"/>
              </w:rPr>
            </w:pPr>
            <w:r w:rsidRPr="006B42D6">
              <w:rPr>
                <w:sz w:val="16"/>
                <w:szCs w:val="16"/>
              </w:rPr>
              <w:t>-</w:t>
            </w:r>
          </w:p>
        </w:tc>
        <w:tc>
          <w:tcPr>
            <w:tcW w:w="1331" w:type="dxa"/>
            <w:tcBorders>
              <w:top w:val="nil"/>
              <w:left w:val="nil"/>
              <w:bottom w:val="nil"/>
              <w:right w:val="nil"/>
            </w:tcBorders>
            <w:shd w:val="clear" w:color="auto" w:fill="auto"/>
            <w:noWrap/>
            <w:vAlign w:val="bottom"/>
            <w:hideMark/>
          </w:tcPr>
          <w:p w14:paraId="23E3449B" w14:textId="104D8DD2" w:rsidR="00CD5D2F" w:rsidRPr="006B42D6" w:rsidRDefault="00CD5D2F" w:rsidP="00CD5D2F">
            <w:pPr>
              <w:jc w:val="right"/>
              <w:rPr>
                <w:sz w:val="16"/>
                <w:szCs w:val="16"/>
              </w:rPr>
            </w:pPr>
            <w:r w:rsidRPr="006B42D6">
              <w:rPr>
                <w:sz w:val="16"/>
                <w:szCs w:val="16"/>
              </w:rPr>
              <w:t>-</w:t>
            </w:r>
          </w:p>
        </w:tc>
        <w:tc>
          <w:tcPr>
            <w:tcW w:w="1006" w:type="dxa"/>
            <w:tcBorders>
              <w:top w:val="nil"/>
              <w:left w:val="nil"/>
              <w:bottom w:val="nil"/>
              <w:right w:val="nil"/>
            </w:tcBorders>
            <w:shd w:val="clear" w:color="auto" w:fill="auto"/>
            <w:noWrap/>
            <w:vAlign w:val="bottom"/>
            <w:hideMark/>
          </w:tcPr>
          <w:p w14:paraId="60CBC333" w14:textId="4A9A191B" w:rsidR="00CD5D2F" w:rsidRPr="006B42D6" w:rsidRDefault="00CD5D2F" w:rsidP="00CD5D2F">
            <w:pPr>
              <w:jc w:val="right"/>
              <w:rPr>
                <w:sz w:val="16"/>
                <w:szCs w:val="16"/>
              </w:rPr>
            </w:pPr>
            <w:r w:rsidRPr="006B42D6">
              <w:rPr>
                <w:sz w:val="16"/>
                <w:szCs w:val="16"/>
              </w:rPr>
              <w:t>-</w:t>
            </w:r>
          </w:p>
        </w:tc>
        <w:tc>
          <w:tcPr>
            <w:tcW w:w="976" w:type="dxa"/>
            <w:tcBorders>
              <w:top w:val="nil"/>
              <w:left w:val="nil"/>
              <w:bottom w:val="nil"/>
              <w:right w:val="nil"/>
            </w:tcBorders>
            <w:shd w:val="clear" w:color="auto" w:fill="auto"/>
            <w:noWrap/>
            <w:vAlign w:val="bottom"/>
            <w:hideMark/>
          </w:tcPr>
          <w:p w14:paraId="040C7404" w14:textId="71F2D5E1" w:rsidR="00CD5D2F" w:rsidRPr="006B42D6" w:rsidRDefault="00CD5D2F" w:rsidP="00CD5D2F">
            <w:pPr>
              <w:jc w:val="right"/>
              <w:rPr>
                <w:sz w:val="16"/>
                <w:szCs w:val="16"/>
              </w:rPr>
            </w:pPr>
            <w:r w:rsidRPr="006B42D6">
              <w:rPr>
                <w:sz w:val="16"/>
                <w:szCs w:val="16"/>
              </w:rPr>
              <w:t>-</w:t>
            </w:r>
          </w:p>
        </w:tc>
      </w:tr>
      <w:tr w:rsidR="006B42D6" w:rsidRPr="006B42D6" w14:paraId="57258E0C" w14:textId="77777777" w:rsidTr="00D972DA">
        <w:trPr>
          <w:trHeight w:val="20"/>
        </w:trPr>
        <w:tc>
          <w:tcPr>
            <w:tcW w:w="1758" w:type="dxa"/>
            <w:tcBorders>
              <w:top w:val="nil"/>
              <w:left w:val="nil"/>
              <w:bottom w:val="nil"/>
              <w:right w:val="nil"/>
            </w:tcBorders>
            <w:shd w:val="clear" w:color="auto" w:fill="auto"/>
            <w:noWrap/>
            <w:vAlign w:val="bottom"/>
            <w:hideMark/>
          </w:tcPr>
          <w:p w14:paraId="542B26F5" w14:textId="79841BC1" w:rsidR="00CD5D2F" w:rsidRPr="006B42D6" w:rsidRDefault="00CD5D2F" w:rsidP="0072387B">
            <w:pPr>
              <w:jc w:val="left"/>
              <w:rPr>
                <w:sz w:val="16"/>
                <w:szCs w:val="16"/>
              </w:rPr>
            </w:pPr>
            <w:r w:rsidRPr="006B42D6">
              <w:rPr>
                <w:sz w:val="16"/>
                <w:szCs w:val="16"/>
              </w:rPr>
              <w:t>Iringa</w:t>
            </w:r>
          </w:p>
        </w:tc>
        <w:tc>
          <w:tcPr>
            <w:tcW w:w="1107" w:type="dxa"/>
            <w:tcBorders>
              <w:top w:val="nil"/>
              <w:left w:val="single" w:sz="4" w:space="0" w:color="auto"/>
              <w:bottom w:val="nil"/>
              <w:right w:val="nil"/>
            </w:tcBorders>
            <w:shd w:val="clear" w:color="auto" w:fill="auto"/>
            <w:noWrap/>
            <w:vAlign w:val="bottom"/>
            <w:hideMark/>
          </w:tcPr>
          <w:p w14:paraId="16827985" w14:textId="1018F719" w:rsidR="00CD5D2F" w:rsidRPr="006B42D6" w:rsidRDefault="00CD5D2F" w:rsidP="00CD5D2F">
            <w:pPr>
              <w:jc w:val="right"/>
              <w:rPr>
                <w:sz w:val="16"/>
                <w:szCs w:val="16"/>
              </w:rPr>
            </w:pPr>
            <w:r w:rsidRPr="006B42D6">
              <w:rPr>
                <w:sz w:val="16"/>
                <w:szCs w:val="16"/>
              </w:rPr>
              <w:t>-</w:t>
            </w:r>
          </w:p>
        </w:tc>
        <w:tc>
          <w:tcPr>
            <w:tcW w:w="1047" w:type="dxa"/>
            <w:tcBorders>
              <w:top w:val="nil"/>
              <w:left w:val="nil"/>
              <w:bottom w:val="nil"/>
              <w:right w:val="nil"/>
            </w:tcBorders>
            <w:shd w:val="clear" w:color="auto" w:fill="auto"/>
            <w:noWrap/>
            <w:vAlign w:val="bottom"/>
            <w:hideMark/>
          </w:tcPr>
          <w:p w14:paraId="267CA81A" w14:textId="3BEE3945" w:rsidR="00CD5D2F" w:rsidRPr="006B42D6" w:rsidRDefault="00CD5D2F" w:rsidP="00CD5D2F">
            <w:pPr>
              <w:jc w:val="right"/>
              <w:rPr>
                <w:sz w:val="16"/>
                <w:szCs w:val="16"/>
              </w:rPr>
            </w:pPr>
            <w:r w:rsidRPr="006B42D6">
              <w:rPr>
                <w:sz w:val="16"/>
                <w:szCs w:val="16"/>
              </w:rPr>
              <w:t>-</w:t>
            </w:r>
          </w:p>
        </w:tc>
        <w:tc>
          <w:tcPr>
            <w:tcW w:w="1107" w:type="dxa"/>
            <w:tcBorders>
              <w:top w:val="nil"/>
              <w:left w:val="nil"/>
              <w:bottom w:val="nil"/>
              <w:right w:val="nil"/>
            </w:tcBorders>
            <w:shd w:val="clear" w:color="auto" w:fill="auto"/>
            <w:noWrap/>
            <w:vAlign w:val="bottom"/>
            <w:hideMark/>
          </w:tcPr>
          <w:p w14:paraId="1749BD8C" w14:textId="56214661" w:rsidR="00CD5D2F" w:rsidRPr="006B42D6" w:rsidRDefault="00CD5D2F" w:rsidP="00CD5D2F">
            <w:pPr>
              <w:jc w:val="right"/>
              <w:rPr>
                <w:sz w:val="16"/>
                <w:szCs w:val="16"/>
              </w:rPr>
            </w:pPr>
            <w:r w:rsidRPr="006B42D6">
              <w:rPr>
                <w:sz w:val="16"/>
                <w:szCs w:val="16"/>
              </w:rPr>
              <w:t>-</w:t>
            </w:r>
          </w:p>
        </w:tc>
        <w:tc>
          <w:tcPr>
            <w:tcW w:w="1438" w:type="dxa"/>
            <w:tcBorders>
              <w:top w:val="nil"/>
              <w:left w:val="nil"/>
              <w:bottom w:val="nil"/>
              <w:right w:val="nil"/>
            </w:tcBorders>
            <w:shd w:val="clear" w:color="auto" w:fill="auto"/>
            <w:noWrap/>
            <w:vAlign w:val="bottom"/>
            <w:hideMark/>
          </w:tcPr>
          <w:p w14:paraId="02F95E02" w14:textId="7009D7DB" w:rsidR="00CD5D2F" w:rsidRPr="006B42D6" w:rsidRDefault="00CD5D2F" w:rsidP="00CD5D2F">
            <w:pPr>
              <w:jc w:val="right"/>
              <w:rPr>
                <w:sz w:val="16"/>
                <w:szCs w:val="16"/>
              </w:rPr>
            </w:pPr>
            <w:r w:rsidRPr="006B42D6">
              <w:rPr>
                <w:sz w:val="16"/>
                <w:szCs w:val="16"/>
              </w:rPr>
              <w:t>-</w:t>
            </w:r>
          </w:p>
        </w:tc>
        <w:tc>
          <w:tcPr>
            <w:tcW w:w="1331" w:type="dxa"/>
            <w:tcBorders>
              <w:top w:val="nil"/>
              <w:left w:val="nil"/>
              <w:bottom w:val="nil"/>
              <w:right w:val="nil"/>
            </w:tcBorders>
            <w:shd w:val="clear" w:color="auto" w:fill="auto"/>
            <w:noWrap/>
            <w:vAlign w:val="bottom"/>
            <w:hideMark/>
          </w:tcPr>
          <w:p w14:paraId="33982468" w14:textId="6BF0AA85" w:rsidR="00CD5D2F" w:rsidRPr="006B42D6" w:rsidRDefault="00CD5D2F" w:rsidP="00CD5D2F">
            <w:pPr>
              <w:jc w:val="right"/>
              <w:rPr>
                <w:sz w:val="16"/>
                <w:szCs w:val="16"/>
              </w:rPr>
            </w:pPr>
            <w:r w:rsidRPr="006B42D6">
              <w:rPr>
                <w:sz w:val="16"/>
                <w:szCs w:val="16"/>
              </w:rPr>
              <w:t>-</w:t>
            </w:r>
          </w:p>
        </w:tc>
        <w:tc>
          <w:tcPr>
            <w:tcW w:w="1006" w:type="dxa"/>
            <w:tcBorders>
              <w:top w:val="nil"/>
              <w:left w:val="nil"/>
              <w:bottom w:val="nil"/>
              <w:right w:val="nil"/>
            </w:tcBorders>
            <w:shd w:val="clear" w:color="auto" w:fill="auto"/>
            <w:noWrap/>
            <w:vAlign w:val="bottom"/>
            <w:hideMark/>
          </w:tcPr>
          <w:p w14:paraId="6EB96DAB" w14:textId="18F77D47" w:rsidR="00CD5D2F" w:rsidRPr="006B42D6" w:rsidRDefault="00CD5D2F" w:rsidP="00CD5D2F">
            <w:pPr>
              <w:jc w:val="right"/>
              <w:rPr>
                <w:sz w:val="16"/>
                <w:szCs w:val="16"/>
              </w:rPr>
            </w:pPr>
            <w:r w:rsidRPr="006B42D6">
              <w:rPr>
                <w:sz w:val="16"/>
                <w:szCs w:val="16"/>
              </w:rPr>
              <w:t>-</w:t>
            </w:r>
          </w:p>
        </w:tc>
        <w:tc>
          <w:tcPr>
            <w:tcW w:w="976" w:type="dxa"/>
            <w:tcBorders>
              <w:top w:val="nil"/>
              <w:left w:val="nil"/>
              <w:bottom w:val="nil"/>
              <w:right w:val="nil"/>
            </w:tcBorders>
            <w:shd w:val="clear" w:color="auto" w:fill="auto"/>
            <w:noWrap/>
            <w:vAlign w:val="bottom"/>
            <w:hideMark/>
          </w:tcPr>
          <w:p w14:paraId="5AB11954" w14:textId="7D2D1336" w:rsidR="00CD5D2F" w:rsidRPr="006B42D6" w:rsidRDefault="00CD5D2F" w:rsidP="00CD5D2F">
            <w:pPr>
              <w:jc w:val="right"/>
              <w:rPr>
                <w:sz w:val="16"/>
                <w:szCs w:val="16"/>
              </w:rPr>
            </w:pPr>
            <w:r w:rsidRPr="006B42D6">
              <w:rPr>
                <w:sz w:val="16"/>
                <w:szCs w:val="16"/>
              </w:rPr>
              <w:t>-</w:t>
            </w:r>
          </w:p>
        </w:tc>
      </w:tr>
      <w:tr w:rsidR="006B42D6" w:rsidRPr="006B42D6" w14:paraId="44602142" w14:textId="77777777" w:rsidTr="00D972DA">
        <w:trPr>
          <w:trHeight w:val="20"/>
        </w:trPr>
        <w:tc>
          <w:tcPr>
            <w:tcW w:w="1758" w:type="dxa"/>
            <w:tcBorders>
              <w:top w:val="nil"/>
              <w:left w:val="nil"/>
              <w:bottom w:val="nil"/>
              <w:right w:val="nil"/>
            </w:tcBorders>
            <w:shd w:val="clear" w:color="auto" w:fill="auto"/>
            <w:noWrap/>
            <w:vAlign w:val="bottom"/>
            <w:hideMark/>
          </w:tcPr>
          <w:p w14:paraId="56C736BA" w14:textId="46351912" w:rsidR="00CD5D2F" w:rsidRPr="006B42D6" w:rsidRDefault="00CD5D2F" w:rsidP="0072387B">
            <w:pPr>
              <w:jc w:val="left"/>
              <w:rPr>
                <w:sz w:val="16"/>
                <w:szCs w:val="16"/>
              </w:rPr>
            </w:pPr>
            <w:r w:rsidRPr="006B42D6">
              <w:rPr>
                <w:sz w:val="16"/>
                <w:szCs w:val="16"/>
              </w:rPr>
              <w:t>Mbeya</w:t>
            </w:r>
          </w:p>
        </w:tc>
        <w:tc>
          <w:tcPr>
            <w:tcW w:w="1107" w:type="dxa"/>
            <w:tcBorders>
              <w:top w:val="nil"/>
              <w:left w:val="single" w:sz="4" w:space="0" w:color="auto"/>
              <w:bottom w:val="nil"/>
              <w:right w:val="nil"/>
            </w:tcBorders>
            <w:shd w:val="clear" w:color="auto" w:fill="auto"/>
            <w:noWrap/>
            <w:vAlign w:val="bottom"/>
            <w:hideMark/>
          </w:tcPr>
          <w:p w14:paraId="338B6BA4" w14:textId="4DE18486" w:rsidR="00CD5D2F" w:rsidRPr="006B42D6" w:rsidRDefault="00CD5D2F" w:rsidP="00CD5D2F">
            <w:pPr>
              <w:jc w:val="right"/>
              <w:rPr>
                <w:sz w:val="16"/>
                <w:szCs w:val="16"/>
              </w:rPr>
            </w:pPr>
            <w:r w:rsidRPr="006B42D6">
              <w:rPr>
                <w:sz w:val="16"/>
                <w:szCs w:val="16"/>
              </w:rPr>
              <w:t>7,973</w:t>
            </w:r>
          </w:p>
        </w:tc>
        <w:tc>
          <w:tcPr>
            <w:tcW w:w="1047" w:type="dxa"/>
            <w:tcBorders>
              <w:top w:val="nil"/>
              <w:left w:val="nil"/>
              <w:bottom w:val="nil"/>
              <w:right w:val="nil"/>
            </w:tcBorders>
            <w:shd w:val="clear" w:color="auto" w:fill="auto"/>
            <w:noWrap/>
            <w:vAlign w:val="bottom"/>
            <w:hideMark/>
          </w:tcPr>
          <w:p w14:paraId="06AD45E7" w14:textId="7A547575" w:rsidR="00CD5D2F" w:rsidRPr="006B42D6" w:rsidRDefault="00CD5D2F" w:rsidP="00CD5D2F">
            <w:pPr>
              <w:jc w:val="right"/>
              <w:rPr>
                <w:sz w:val="16"/>
                <w:szCs w:val="16"/>
              </w:rPr>
            </w:pPr>
            <w:r w:rsidRPr="006B42D6">
              <w:rPr>
                <w:sz w:val="16"/>
                <w:szCs w:val="16"/>
              </w:rPr>
              <w:t>439</w:t>
            </w:r>
          </w:p>
        </w:tc>
        <w:tc>
          <w:tcPr>
            <w:tcW w:w="1107" w:type="dxa"/>
            <w:tcBorders>
              <w:top w:val="nil"/>
              <w:left w:val="nil"/>
              <w:bottom w:val="nil"/>
              <w:right w:val="nil"/>
            </w:tcBorders>
            <w:shd w:val="clear" w:color="auto" w:fill="auto"/>
            <w:noWrap/>
            <w:vAlign w:val="bottom"/>
            <w:hideMark/>
          </w:tcPr>
          <w:p w14:paraId="405F61CB" w14:textId="3070874C" w:rsidR="00CD5D2F" w:rsidRPr="006B42D6" w:rsidRDefault="00CD5D2F" w:rsidP="00CD5D2F">
            <w:pPr>
              <w:jc w:val="right"/>
              <w:rPr>
                <w:sz w:val="16"/>
                <w:szCs w:val="16"/>
              </w:rPr>
            </w:pPr>
            <w:r w:rsidRPr="006B42D6">
              <w:rPr>
                <w:sz w:val="16"/>
                <w:szCs w:val="16"/>
              </w:rPr>
              <w:t>15,430</w:t>
            </w:r>
          </w:p>
        </w:tc>
        <w:tc>
          <w:tcPr>
            <w:tcW w:w="1438" w:type="dxa"/>
            <w:tcBorders>
              <w:top w:val="nil"/>
              <w:left w:val="nil"/>
              <w:bottom w:val="nil"/>
              <w:right w:val="nil"/>
            </w:tcBorders>
            <w:shd w:val="clear" w:color="auto" w:fill="auto"/>
            <w:noWrap/>
            <w:vAlign w:val="bottom"/>
            <w:hideMark/>
          </w:tcPr>
          <w:p w14:paraId="26378F66" w14:textId="5DA97BDC" w:rsidR="00CD5D2F" w:rsidRPr="006B42D6" w:rsidRDefault="00CD5D2F" w:rsidP="00CD5D2F">
            <w:pPr>
              <w:jc w:val="right"/>
              <w:rPr>
                <w:sz w:val="16"/>
                <w:szCs w:val="16"/>
              </w:rPr>
            </w:pPr>
            <w:r w:rsidRPr="006B42D6">
              <w:rPr>
                <w:sz w:val="16"/>
                <w:szCs w:val="16"/>
              </w:rPr>
              <w:t>1,483</w:t>
            </w:r>
          </w:p>
        </w:tc>
        <w:tc>
          <w:tcPr>
            <w:tcW w:w="1331" w:type="dxa"/>
            <w:tcBorders>
              <w:top w:val="nil"/>
              <w:left w:val="nil"/>
              <w:bottom w:val="nil"/>
              <w:right w:val="nil"/>
            </w:tcBorders>
            <w:shd w:val="clear" w:color="auto" w:fill="auto"/>
            <w:noWrap/>
            <w:vAlign w:val="bottom"/>
            <w:hideMark/>
          </w:tcPr>
          <w:p w14:paraId="3C85100D" w14:textId="361771A0" w:rsidR="00CD5D2F" w:rsidRPr="006B42D6" w:rsidRDefault="00CD5D2F" w:rsidP="00CD5D2F">
            <w:pPr>
              <w:jc w:val="right"/>
              <w:rPr>
                <w:sz w:val="16"/>
                <w:szCs w:val="16"/>
              </w:rPr>
            </w:pPr>
            <w:r w:rsidRPr="006B42D6">
              <w:rPr>
                <w:sz w:val="16"/>
                <w:szCs w:val="16"/>
              </w:rPr>
              <w:t>1,922</w:t>
            </w:r>
          </w:p>
        </w:tc>
        <w:tc>
          <w:tcPr>
            <w:tcW w:w="1006" w:type="dxa"/>
            <w:tcBorders>
              <w:top w:val="nil"/>
              <w:left w:val="nil"/>
              <w:bottom w:val="nil"/>
              <w:right w:val="nil"/>
            </w:tcBorders>
            <w:shd w:val="clear" w:color="auto" w:fill="auto"/>
            <w:noWrap/>
            <w:vAlign w:val="bottom"/>
            <w:hideMark/>
          </w:tcPr>
          <w:p w14:paraId="57C58DF3" w14:textId="0420DC43" w:rsidR="00CD5D2F" w:rsidRPr="006B42D6" w:rsidRDefault="00CD5D2F" w:rsidP="00CD5D2F">
            <w:pPr>
              <w:jc w:val="right"/>
              <w:rPr>
                <w:sz w:val="16"/>
                <w:szCs w:val="16"/>
              </w:rPr>
            </w:pPr>
            <w:r w:rsidRPr="006B42D6">
              <w:rPr>
                <w:sz w:val="16"/>
                <w:szCs w:val="16"/>
              </w:rPr>
              <w:t>1,614</w:t>
            </w:r>
          </w:p>
        </w:tc>
        <w:tc>
          <w:tcPr>
            <w:tcW w:w="976" w:type="dxa"/>
            <w:tcBorders>
              <w:top w:val="nil"/>
              <w:left w:val="nil"/>
              <w:bottom w:val="nil"/>
              <w:right w:val="nil"/>
            </w:tcBorders>
            <w:shd w:val="clear" w:color="auto" w:fill="auto"/>
            <w:noWrap/>
            <w:vAlign w:val="bottom"/>
            <w:hideMark/>
          </w:tcPr>
          <w:p w14:paraId="50E38B34" w14:textId="74E0FDAD" w:rsidR="00CD5D2F" w:rsidRPr="006B42D6" w:rsidRDefault="00CD5D2F" w:rsidP="00CD5D2F">
            <w:pPr>
              <w:jc w:val="right"/>
              <w:rPr>
                <w:sz w:val="16"/>
                <w:szCs w:val="16"/>
              </w:rPr>
            </w:pPr>
            <w:r w:rsidRPr="006B42D6">
              <w:rPr>
                <w:sz w:val="16"/>
                <w:szCs w:val="16"/>
              </w:rPr>
              <w:t>5,013</w:t>
            </w:r>
          </w:p>
        </w:tc>
      </w:tr>
      <w:tr w:rsidR="006B42D6" w:rsidRPr="006B42D6" w14:paraId="7F3A734B" w14:textId="77777777" w:rsidTr="00D972DA">
        <w:trPr>
          <w:trHeight w:val="20"/>
        </w:trPr>
        <w:tc>
          <w:tcPr>
            <w:tcW w:w="1758" w:type="dxa"/>
            <w:tcBorders>
              <w:top w:val="nil"/>
              <w:left w:val="nil"/>
              <w:bottom w:val="nil"/>
              <w:right w:val="nil"/>
            </w:tcBorders>
            <w:shd w:val="clear" w:color="auto" w:fill="auto"/>
            <w:noWrap/>
            <w:vAlign w:val="bottom"/>
            <w:hideMark/>
          </w:tcPr>
          <w:p w14:paraId="36E8B2E0" w14:textId="36A68F52" w:rsidR="00CD5D2F" w:rsidRPr="006B42D6" w:rsidRDefault="00CD5D2F" w:rsidP="0072387B">
            <w:pPr>
              <w:jc w:val="left"/>
              <w:rPr>
                <w:sz w:val="16"/>
                <w:szCs w:val="16"/>
              </w:rPr>
            </w:pPr>
            <w:r w:rsidRPr="006B42D6">
              <w:rPr>
                <w:sz w:val="16"/>
                <w:szCs w:val="16"/>
              </w:rPr>
              <w:t>Singida</w:t>
            </w:r>
          </w:p>
        </w:tc>
        <w:tc>
          <w:tcPr>
            <w:tcW w:w="1107" w:type="dxa"/>
            <w:tcBorders>
              <w:top w:val="nil"/>
              <w:left w:val="single" w:sz="4" w:space="0" w:color="auto"/>
              <w:bottom w:val="nil"/>
              <w:right w:val="nil"/>
            </w:tcBorders>
            <w:shd w:val="clear" w:color="auto" w:fill="auto"/>
            <w:noWrap/>
            <w:vAlign w:val="bottom"/>
            <w:hideMark/>
          </w:tcPr>
          <w:p w14:paraId="1823034F" w14:textId="5EF0A393" w:rsidR="00CD5D2F" w:rsidRPr="006B42D6" w:rsidRDefault="00CD5D2F" w:rsidP="00CD5D2F">
            <w:pPr>
              <w:jc w:val="right"/>
              <w:rPr>
                <w:sz w:val="16"/>
                <w:szCs w:val="16"/>
              </w:rPr>
            </w:pPr>
            <w:r w:rsidRPr="006B42D6">
              <w:rPr>
                <w:sz w:val="16"/>
                <w:szCs w:val="16"/>
              </w:rPr>
              <w:t>-</w:t>
            </w:r>
          </w:p>
        </w:tc>
        <w:tc>
          <w:tcPr>
            <w:tcW w:w="1047" w:type="dxa"/>
            <w:tcBorders>
              <w:top w:val="nil"/>
              <w:left w:val="nil"/>
              <w:bottom w:val="nil"/>
              <w:right w:val="nil"/>
            </w:tcBorders>
            <w:shd w:val="clear" w:color="auto" w:fill="auto"/>
            <w:noWrap/>
            <w:vAlign w:val="bottom"/>
            <w:hideMark/>
          </w:tcPr>
          <w:p w14:paraId="1242AF90" w14:textId="784BA7B4" w:rsidR="00CD5D2F" w:rsidRPr="006B42D6" w:rsidRDefault="00CD5D2F" w:rsidP="00CD5D2F">
            <w:pPr>
              <w:jc w:val="right"/>
              <w:rPr>
                <w:sz w:val="16"/>
                <w:szCs w:val="16"/>
              </w:rPr>
            </w:pPr>
            <w:r w:rsidRPr="006B42D6">
              <w:rPr>
                <w:sz w:val="16"/>
                <w:szCs w:val="16"/>
              </w:rPr>
              <w:t>-</w:t>
            </w:r>
          </w:p>
        </w:tc>
        <w:tc>
          <w:tcPr>
            <w:tcW w:w="1107" w:type="dxa"/>
            <w:tcBorders>
              <w:top w:val="nil"/>
              <w:left w:val="nil"/>
              <w:bottom w:val="nil"/>
              <w:right w:val="nil"/>
            </w:tcBorders>
            <w:shd w:val="clear" w:color="auto" w:fill="auto"/>
            <w:noWrap/>
            <w:vAlign w:val="bottom"/>
            <w:hideMark/>
          </w:tcPr>
          <w:p w14:paraId="2355F431" w14:textId="4E83EAA3" w:rsidR="00CD5D2F" w:rsidRPr="006B42D6" w:rsidRDefault="00CD5D2F" w:rsidP="00CD5D2F">
            <w:pPr>
              <w:jc w:val="right"/>
              <w:rPr>
                <w:sz w:val="16"/>
                <w:szCs w:val="16"/>
              </w:rPr>
            </w:pPr>
            <w:r w:rsidRPr="006B42D6">
              <w:rPr>
                <w:sz w:val="16"/>
                <w:szCs w:val="16"/>
              </w:rPr>
              <w:t>-</w:t>
            </w:r>
          </w:p>
        </w:tc>
        <w:tc>
          <w:tcPr>
            <w:tcW w:w="1438" w:type="dxa"/>
            <w:tcBorders>
              <w:top w:val="nil"/>
              <w:left w:val="nil"/>
              <w:bottom w:val="nil"/>
              <w:right w:val="nil"/>
            </w:tcBorders>
            <w:shd w:val="clear" w:color="auto" w:fill="auto"/>
            <w:noWrap/>
            <w:vAlign w:val="bottom"/>
            <w:hideMark/>
          </w:tcPr>
          <w:p w14:paraId="3385BD37" w14:textId="20D4401D" w:rsidR="00CD5D2F" w:rsidRPr="006B42D6" w:rsidRDefault="00CD5D2F" w:rsidP="00CD5D2F">
            <w:pPr>
              <w:jc w:val="right"/>
              <w:rPr>
                <w:sz w:val="16"/>
                <w:szCs w:val="16"/>
              </w:rPr>
            </w:pPr>
            <w:r w:rsidRPr="006B42D6">
              <w:rPr>
                <w:sz w:val="16"/>
                <w:szCs w:val="16"/>
              </w:rPr>
              <w:t>-</w:t>
            </w:r>
          </w:p>
        </w:tc>
        <w:tc>
          <w:tcPr>
            <w:tcW w:w="1331" w:type="dxa"/>
            <w:tcBorders>
              <w:top w:val="nil"/>
              <w:left w:val="nil"/>
              <w:bottom w:val="nil"/>
              <w:right w:val="nil"/>
            </w:tcBorders>
            <w:shd w:val="clear" w:color="auto" w:fill="auto"/>
            <w:noWrap/>
            <w:vAlign w:val="bottom"/>
            <w:hideMark/>
          </w:tcPr>
          <w:p w14:paraId="2CB8B069" w14:textId="31DE8169" w:rsidR="00CD5D2F" w:rsidRPr="006B42D6" w:rsidRDefault="00CD5D2F" w:rsidP="00CD5D2F">
            <w:pPr>
              <w:jc w:val="right"/>
              <w:rPr>
                <w:sz w:val="16"/>
                <w:szCs w:val="16"/>
              </w:rPr>
            </w:pPr>
            <w:r w:rsidRPr="006B42D6">
              <w:rPr>
                <w:sz w:val="16"/>
                <w:szCs w:val="16"/>
              </w:rPr>
              <w:t>-</w:t>
            </w:r>
          </w:p>
        </w:tc>
        <w:tc>
          <w:tcPr>
            <w:tcW w:w="1006" w:type="dxa"/>
            <w:tcBorders>
              <w:top w:val="nil"/>
              <w:left w:val="nil"/>
              <w:bottom w:val="nil"/>
              <w:right w:val="nil"/>
            </w:tcBorders>
            <w:shd w:val="clear" w:color="auto" w:fill="auto"/>
            <w:noWrap/>
            <w:vAlign w:val="bottom"/>
            <w:hideMark/>
          </w:tcPr>
          <w:p w14:paraId="44548649" w14:textId="5BE87EA5" w:rsidR="00CD5D2F" w:rsidRPr="006B42D6" w:rsidRDefault="00CD5D2F" w:rsidP="00CD5D2F">
            <w:pPr>
              <w:jc w:val="right"/>
              <w:rPr>
                <w:sz w:val="16"/>
                <w:szCs w:val="16"/>
              </w:rPr>
            </w:pPr>
            <w:r w:rsidRPr="006B42D6">
              <w:rPr>
                <w:sz w:val="16"/>
                <w:szCs w:val="16"/>
              </w:rPr>
              <w:t>-</w:t>
            </w:r>
          </w:p>
        </w:tc>
        <w:tc>
          <w:tcPr>
            <w:tcW w:w="976" w:type="dxa"/>
            <w:tcBorders>
              <w:top w:val="nil"/>
              <w:left w:val="nil"/>
              <w:bottom w:val="nil"/>
              <w:right w:val="nil"/>
            </w:tcBorders>
            <w:shd w:val="clear" w:color="auto" w:fill="auto"/>
            <w:noWrap/>
            <w:vAlign w:val="bottom"/>
            <w:hideMark/>
          </w:tcPr>
          <w:p w14:paraId="79B065B3" w14:textId="5CBB3940" w:rsidR="00CD5D2F" w:rsidRPr="006B42D6" w:rsidRDefault="00CD5D2F" w:rsidP="00CD5D2F">
            <w:pPr>
              <w:jc w:val="right"/>
              <w:rPr>
                <w:sz w:val="16"/>
                <w:szCs w:val="16"/>
              </w:rPr>
            </w:pPr>
            <w:r w:rsidRPr="006B42D6">
              <w:rPr>
                <w:sz w:val="16"/>
                <w:szCs w:val="16"/>
              </w:rPr>
              <w:t>-</w:t>
            </w:r>
          </w:p>
        </w:tc>
      </w:tr>
      <w:tr w:rsidR="006B42D6" w:rsidRPr="006B42D6" w14:paraId="12112ACD" w14:textId="77777777" w:rsidTr="00D972DA">
        <w:trPr>
          <w:trHeight w:val="20"/>
        </w:trPr>
        <w:tc>
          <w:tcPr>
            <w:tcW w:w="1758" w:type="dxa"/>
            <w:tcBorders>
              <w:top w:val="nil"/>
              <w:left w:val="nil"/>
              <w:bottom w:val="nil"/>
              <w:right w:val="nil"/>
            </w:tcBorders>
            <w:shd w:val="clear" w:color="auto" w:fill="auto"/>
            <w:noWrap/>
            <w:vAlign w:val="bottom"/>
            <w:hideMark/>
          </w:tcPr>
          <w:p w14:paraId="0065FA6A" w14:textId="3C9055AA" w:rsidR="00CD5D2F" w:rsidRPr="006B42D6" w:rsidRDefault="00CD5D2F" w:rsidP="0072387B">
            <w:pPr>
              <w:jc w:val="left"/>
              <w:rPr>
                <w:sz w:val="16"/>
                <w:szCs w:val="16"/>
              </w:rPr>
            </w:pPr>
            <w:r w:rsidRPr="006B42D6">
              <w:rPr>
                <w:sz w:val="16"/>
                <w:szCs w:val="16"/>
              </w:rPr>
              <w:t>Tabora</w:t>
            </w:r>
          </w:p>
        </w:tc>
        <w:tc>
          <w:tcPr>
            <w:tcW w:w="1107" w:type="dxa"/>
            <w:tcBorders>
              <w:top w:val="nil"/>
              <w:left w:val="single" w:sz="4" w:space="0" w:color="auto"/>
              <w:bottom w:val="nil"/>
              <w:right w:val="nil"/>
            </w:tcBorders>
            <w:shd w:val="clear" w:color="auto" w:fill="auto"/>
            <w:noWrap/>
            <w:vAlign w:val="bottom"/>
            <w:hideMark/>
          </w:tcPr>
          <w:p w14:paraId="634452DA" w14:textId="55B90180" w:rsidR="00CD5D2F" w:rsidRPr="006B42D6" w:rsidRDefault="00CD5D2F" w:rsidP="00CD5D2F">
            <w:pPr>
              <w:jc w:val="right"/>
              <w:rPr>
                <w:sz w:val="16"/>
                <w:szCs w:val="16"/>
              </w:rPr>
            </w:pPr>
            <w:r w:rsidRPr="006B42D6">
              <w:rPr>
                <w:sz w:val="16"/>
                <w:szCs w:val="16"/>
              </w:rPr>
              <w:t>1,622</w:t>
            </w:r>
          </w:p>
        </w:tc>
        <w:tc>
          <w:tcPr>
            <w:tcW w:w="1047" w:type="dxa"/>
            <w:tcBorders>
              <w:top w:val="nil"/>
              <w:left w:val="nil"/>
              <w:bottom w:val="nil"/>
              <w:right w:val="nil"/>
            </w:tcBorders>
            <w:shd w:val="clear" w:color="auto" w:fill="auto"/>
            <w:noWrap/>
            <w:vAlign w:val="bottom"/>
            <w:hideMark/>
          </w:tcPr>
          <w:p w14:paraId="4F2B64B1" w14:textId="5A8C8509" w:rsidR="00CD5D2F" w:rsidRPr="006B42D6" w:rsidRDefault="00CD5D2F" w:rsidP="00CD5D2F">
            <w:pPr>
              <w:jc w:val="right"/>
              <w:rPr>
                <w:sz w:val="16"/>
                <w:szCs w:val="16"/>
              </w:rPr>
            </w:pPr>
            <w:r w:rsidRPr="006B42D6">
              <w:rPr>
                <w:sz w:val="16"/>
                <w:szCs w:val="16"/>
              </w:rPr>
              <w:t>140</w:t>
            </w:r>
          </w:p>
        </w:tc>
        <w:tc>
          <w:tcPr>
            <w:tcW w:w="1107" w:type="dxa"/>
            <w:tcBorders>
              <w:top w:val="nil"/>
              <w:left w:val="nil"/>
              <w:bottom w:val="nil"/>
              <w:right w:val="nil"/>
            </w:tcBorders>
            <w:shd w:val="clear" w:color="auto" w:fill="auto"/>
            <w:noWrap/>
            <w:vAlign w:val="bottom"/>
            <w:hideMark/>
          </w:tcPr>
          <w:p w14:paraId="4EC2A6F4" w14:textId="1C28B9A8" w:rsidR="00CD5D2F" w:rsidRPr="006B42D6" w:rsidRDefault="00CD5D2F" w:rsidP="00CD5D2F">
            <w:pPr>
              <w:jc w:val="right"/>
              <w:rPr>
                <w:sz w:val="16"/>
                <w:szCs w:val="16"/>
              </w:rPr>
            </w:pPr>
            <w:r w:rsidRPr="006B42D6">
              <w:rPr>
                <w:sz w:val="16"/>
                <w:szCs w:val="16"/>
              </w:rPr>
              <w:t>207</w:t>
            </w:r>
          </w:p>
        </w:tc>
        <w:tc>
          <w:tcPr>
            <w:tcW w:w="1438" w:type="dxa"/>
            <w:tcBorders>
              <w:top w:val="nil"/>
              <w:left w:val="nil"/>
              <w:bottom w:val="nil"/>
              <w:right w:val="nil"/>
            </w:tcBorders>
            <w:shd w:val="clear" w:color="auto" w:fill="auto"/>
            <w:noWrap/>
            <w:vAlign w:val="bottom"/>
            <w:hideMark/>
          </w:tcPr>
          <w:p w14:paraId="1C8BB184" w14:textId="4D854D4F" w:rsidR="00CD5D2F" w:rsidRPr="006B42D6" w:rsidRDefault="00CD5D2F" w:rsidP="00CD5D2F">
            <w:pPr>
              <w:jc w:val="right"/>
              <w:rPr>
                <w:sz w:val="16"/>
                <w:szCs w:val="16"/>
              </w:rPr>
            </w:pPr>
            <w:r w:rsidRPr="006B42D6">
              <w:rPr>
                <w:sz w:val="16"/>
                <w:szCs w:val="16"/>
              </w:rPr>
              <w:t>0</w:t>
            </w:r>
          </w:p>
        </w:tc>
        <w:tc>
          <w:tcPr>
            <w:tcW w:w="1331" w:type="dxa"/>
            <w:tcBorders>
              <w:top w:val="nil"/>
              <w:left w:val="nil"/>
              <w:bottom w:val="nil"/>
              <w:right w:val="nil"/>
            </w:tcBorders>
            <w:shd w:val="clear" w:color="auto" w:fill="auto"/>
            <w:noWrap/>
            <w:vAlign w:val="bottom"/>
            <w:hideMark/>
          </w:tcPr>
          <w:p w14:paraId="3625C462" w14:textId="57432A3C" w:rsidR="00CD5D2F" w:rsidRPr="006B42D6" w:rsidRDefault="00CD5D2F" w:rsidP="00CD5D2F">
            <w:pPr>
              <w:jc w:val="right"/>
              <w:rPr>
                <w:sz w:val="16"/>
                <w:szCs w:val="16"/>
              </w:rPr>
            </w:pPr>
            <w:r w:rsidRPr="006B42D6">
              <w:rPr>
                <w:sz w:val="16"/>
                <w:szCs w:val="16"/>
              </w:rPr>
              <w:t>141</w:t>
            </w:r>
          </w:p>
        </w:tc>
        <w:tc>
          <w:tcPr>
            <w:tcW w:w="1006" w:type="dxa"/>
            <w:tcBorders>
              <w:top w:val="nil"/>
              <w:left w:val="nil"/>
              <w:bottom w:val="nil"/>
              <w:right w:val="nil"/>
            </w:tcBorders>
            <w:shd w:val="clear" w:color="auto" w:fill="auto"/>
            <w:noWrap/>
            <w:vAlign w:val="bottom"/>
            <w:hideMark/>
          </w:tcPr>
          <w:p w14:paraId="61EBBC9D" w14:textId="229C32C8" w:rsidR="00CD5D2F" w:rsidRPr="006B42D6" w:rsidRDefault="00CD5D2F" w:rsidP="00CD5D2F">
            <w:pPr>
              <w:jc w:val="right"/>
              <w:rPr>
                <w:sz w:val="16"/>
                <w:szCs w:val="16"/>
              </w:rPr>
            </w:pPr>
            <w:r w:rsidRPr="006B42D6">
              <w:rPr>
                <w:sz w:val="16"/>
                <w:szCs w:val="16"/>
              </w:rPr>
              <w:t>30</w:t>
            </w:r>
          </w:p>
        </w:tc>
        <w:tc>
          <w:tcPr>
            <w:tcW w:w="976" w:type="dxa"/>
            <w:tcBorders>
              <w:top w:val="nil"/>
              <w:left w:val="nil"/>
              <w:bottom w:val="nil"/>
              <w:right w:val="nil"/>
            </w:tcBorders>
            <w:shd w:val="clear" w:color="auto" w:fill="auto"/>
            <w:noWrap/>
            <w:vAlign w:val="bottom"/>
            <w:hideMark/>
          </w:tcPr>
          <w:p w14:paraId="2BAFCB26" w14:textId="1D7647B2" w:rsidR="00CD5D2F" w:rsidRPr="006B42D6" w:rsidRDefault="00CD5D2F" w:rsidP="00CD5D2F">
            <w:pPr>
              <w:jc w:val="right"/>
              <w:rPr>
                <w:sz w:val="16"/>
                <w:szCs w:val="16"/>
              </w:rPr>
            </w:pPr>
            <w:r w:rsidRPr="006B42D6">
              <w:rPr>
                <w:sz w:val="16"/>
                <w:szCs w:val="16"/>
              </w:rPr>
              <w:t>74</w:t>
            </w:r>
          </w:p>
        </w:tc>
      </w:tr>
      <w:tr w:rsidR="006B42D6" w:rsidRPr="006B42D6" w14:paraId="3B604822" w14:textId="77777777" w:rsidTr="00D972DA">
        <w:trPr>
          <w:trHeight w:val="20"/>
        </w:trPr>
        <w:tc>
          <w:tcPr>
            <w:tcW w:w="1758" w:type="dxa"/>
            <w:tcBorders>
              <w:top w:val="nil"/>
              <w:left w:val="nil"/>
              <w:bottom w:val="nil"/>
              <w:right w:val="nil"/>
            </w:tcBorders>
            <w:shd w:val="clear" w:color="auto" w:fill="auto"/>
            <w:noWrap/>
            <w:vAlign w:val="bottom"/>
            <w:hideMark/>
          </w:tcPr>
          <w:p w14:paraId="37A3C494" w14:textId="304499F2" w:rsidR="00CD5D2F" w:rsidRPr="006B42D6" w:rsidRDefault="00CD5D2F" w:rsidP="0072387B">
            <w:pPr>
              <w:jc w:val="left"/>
              <w:rPr>
                <w:sz w:val="16"/>
                <w:szCs w:val="16"/>
              </w:rPr>
            </w:pPr>
            <w:r w:rsidRPr="006B42D6">
              <w:rPr>
                <w:sz w:val="16"/>
                <w:szCs w:val="16"/>
              </w:rPr>
              <w:t>Rukwa</w:t>
            </w:r>
          </w:p>
        </w:tc>
        <w:tc>
          <w:tcPr>
            <w:tcW w:w="1107" w:type="dxa"/>
            <w:tcBorders>
              <w:top w:val="nil"/>
              <w:left w:val="single" w:sz="4" w:space="0" w:color="auto"/>
              <w:bottom w:val="nil"/>
              <w:right w:val="nil"/>
            </w:tcBorders>
            <w:shd w:val="clear" w:color="auto" w:fill="auto"/>
            <w:noWrap/>
            <w:vAlign w:val="bottom"/>
            <w:hideMark/>
          </w:tcPr>
          <w:p w14:paraId="20B92DE5" w14:textId="3EAC4CF5" w:rsidR="00CD5D2F" w:rsidRPr="006B42D6" w:rsidRDefault="00CD5D2F" w:rsidP="00CD5D2F">
            <w:pPr>
              <w:jc w:val="right"/>
              <w:rPr>
                <w:sz w:val="16"/>
                <w:szCs w:val="16"/>
              </w:rPr>
            </w:pPr>
            <w:r w:rsidRPr="006B42D6">
              <w:rPr>
                <w:sz w:val="16"/>
                <w:szCs w:val="16"/>
              </w:rPr>
              <w:t>-</w:t>
            </w:r>
          </w:p>
        </w:tc>
        <w:tc>
          <w:tcPr>
            <w:tcW w:w="1047" w:type="dxa"/>
            <w:tcBorders>
              <w:top w:val="nil"/>
              <w:left w:val="nil"/>
              <w:bottom w:val="nil"/>
              <w:right w:val="nil"/>
            </w:tcBorders>
            <w:shd w:val="clear" w:color="auto" w:fill="auto"/>
            <w:noWrap/>
            <w:vAlign w:val="bottom"/>
            <w:hideMark/>
          </w:tcPr>
          <w:p w14:paraId="7B2272A5" w14:textId="73208117" w:rsidR="00CD5D2F" w:rsidRPr="006B42D6" w:rsidRDefault="00CD5D2F" w:rsidP="00CD5D2F">
            <w:pPr>
              <w:jc w:val="right"/>
              <w:rPr>
                <w:sz w:val="16"/>
                <w:szCs w:val="16"/>
              </w:rPr>
            </w:pPr>
            <w:r w:rsidRPr="006B42D6">
              <w:rPr>
                <w:sz w:val="16"/>
                <w:szCs w:val="16"/>
              </w:rPr>
              <w:t>-</w:t>
            </w:r>
          </w:p>
        </w:tc>
        <w:tc>
          <w:tcPr>
            <w:tcW w:w="1107" w:type="dxa"/>
            <w:tcBorders>
              <w:top w:val="nil"/>
              <w:left w:val="nil"/>
              <w:bottom w:val="nil"/>
              <w:right w:val="nil"/>
            </w:tcBorders>
            <w:shd w:val="clear" w:color="auto" w:fill="auto"/>
            <w:noWrap/>
            <w:vAlign w:val="bottom"/>
            <w:hideMark/>
          </w:tcPr>
          <w:p w14:paraId="73951694" w14:textId="00491B0D" w:rsidR="00CD5D2F" w:rsidRPr="006B42D6" w:rsidRDefault="00CD5D2F" w:rsidP="00CD5D2F">
            <w:pPr>
              <w:jc w:val="right"/>
              <w:rPr>
                <w:sz w:val="16"/>
                <w:szCs w:val="16"/>
              </w:rPr>
            </w:pPr>
            <w:r w:rsidRPr="006B42D6">
              <w:rPr>
                <w:sz w:val="16"/>
                <w:szCs w:val="16"/>
              </w:rPr>
              <w:t>-</w:t>
            </w:r>
          </w:p>
        </w:tc>
        <w:tc>
          <w:tcPr>
            <w:tcW w:w="1438" w:type="dxa"/>
            <w:tcBorders>
              <w:top w:val="nil"/>
              <w:left w:val="nil"/>
              <w:bottom w:val="nil"/>
              <w:right w:val="nil"/>
            </w:tcBorders>
            <w:shd w:val="clear" w:color="auto" w:fill="auto"/>
            <w:noWrap/>
            <w:vAlign w:val="bottom"/>
            <w:hideMark/>
          </w:tcPr>
          <w:p w14:paraId="399028AC" w14:textId="71912C05" w:rsidR="00CD5D2F" w:rsidRPr="006B42D6" w:rsidRDefault="00CD5D2F" w:rsidP="00CD5D2F">
            <w:pPr>
              <w:jc w:val="right"/>
              <w:rPr>
                <w:sz w:val="16"/>
                <w:szCs w:val="16"/>
              </w:rPr>
            </w:pPr>
            <w:r w:rsidRPr="006B42D6">
              <w:rPr>
                <w:sz w:val="16"/>
                <w:szCs w:val="16"/>
              </w:rPr>
              <w:t>-</w:t>
            </w:r>
          </w:p>
        </w:tc>
        <w:tc>
          <w:tcPr>
            <w:tcW w:w="1331" w:type="dxa"/>
            <w:tcBorders>
              <w:top w:val="nil"/>
              <w:left w:val="nil"/>
              <w:bottom w:val="nil"/>
              <w:right w:val="nil"/>
            </w:tcBorders>
            <w:shd w:val="clear" w:color="auto" w:fill="auto"/>
            <w:noWrap/>
            <w:vAlign w:val="bottom"/>
            <w:hideMark/>
          </w:tcPr>
          <w:p w14:paraId="6A752087" w14:textId="240C1C40" w:rsidR="00CD5D2F" w:rsidRPr="006B42D6" w:rsidRDefault="00CD5D2F" w:rsidP="00CD5D2F">
            <w:pPr>
              <w:jc w:val="right"/>
              <w:rPr>
                <w:sz w:val="16"/>
                <w:szCs w:val="16"/>
              </w:rPr>
            </w:pPr>
            <w:r w:rsidRPr="006B42D6">
              <w:rPr>
                <w:sz w:val="16"/>
                <w:szCs w:val="16"/>
              </w:rPr>
              <w:t>-</w:t>
            </w:r>
          </w:p>
        </w:tc>
        <w:tc>
          <w:tcPr>
            <w:tcW w:w="1006" w:type="dxa"/>
            <w:tcBorders>
              <w:top w:val="nil"/>
              <w:left w:val="nil"/>
              <w:bottom w:val="nil"/>
              <w:right w:val="nil"/>
            </w:tcBorders>
            <w:shd w:val="clear" w:color="auto" w:fill="auto"/>
            <w:noWrap/>
            <w:vAlign w:val="bottom"/>
            <w:hideMark/>
          </w:tcPr>
          <w:p w14:paraId="2A6DD747" w14:textId="63A7EC86" w:rsidR="00CD5D2F" w:rsidRPr="006B42D6" w:rsidRDefault="00CD5D2F" w:rsidP="00CD5D2F">
            <w:pPr>
              <w:jc w:val="right"/>
              <w:rPr>
                <w:sz w:val="16"/>
                <w:szCs w:val="16"/>
              </w:rPr>
            </w:pPr>
            <w:r w:rsidRPr="006B42D6">
              <w:rPr>
                <w:sz w:val="16"/>
                <w:szCs w:val="16"/>
              </w:rPr>
              <w:t>-</w:t>
            </w:r>
          </w:p>
        </w:tc>
        <w:tc>
          <w:tcPr>
            <w:tcW w:w="976" w:type="dxa"/>
            <w:tcBorders>
              <w:top w:val="nil"/>
              <w:left w:val="nil"/>
              <w:bottom w:val="nil"/>
              <w:right w:val="nil"/>
            </w:tcBorders>
            <w:shd w:val="clear" w:color="auto" w:fill="auto"/>
            <w:noWrap/>
            <w:vAlign w:val="bottom"/>
            <w:hideMark/>
          </w:tcPr>
          <w:p w14:paraId="52E87869" w14:textId="29B8515D" w:rsidR="00CD5D2F" w:rsidRPr="006B42D6" w:rsidRDefault="00CD5D2F" w:rsidP="00CD5D2F">
            <w:pPr>
              <w:jc w:val="right"/>
              <w:rPr>
                <w:sz w:val="16"/>
                <w:szCs w:val="16"/>
              </w:rPr>
            </w:pPr>
            <w:r w:rsidRPr="006B42D6">
              <w:rPr>
                <w:sz w:val="16"/>
                <w:szCs w:val="16"/>
              </w:rPr>
              <w:t>-</w:t>
            </w:r>
          </w:p>
        </w:tc>
      </w:tr>
      <w:tr w:rsidR="006B42D6" w:rsidRPr="006B42D6" w14:paraId="3305AAF3" w14:textId="77777777" w:rsidTr="00D972DA">
        <w:trPr>
          <w:trHeight w:val="20"/>
        </w:trPr>
        <w:tc>
          <w:tcPr>
            <w:tcW w:w="1758" w:type="dxa"/>
            <w:tcBorders>
              <w:top w:val="nil"/>
              <w:left w:val="nil"/>
              <w:bottom w:val="nil"/>
              <w:right w:val="nil"/>
            </w:tcBorders>
            <w:shd w:val="clear" w:color="auto" w:fill="auto"/>
            <w:noWrap/>
            <w:vAlign w:val="bottom"/>
            <w:hideMark/>
          </w:tcPr>
          <w:p w14:paraId="77BC2115" w14:textId="73D6592F" w:rsidR="00CD5D2F" w:rsidRPr="006B42D6" w:rsidRDefault="00CD5D2F" w:rsidP="0072387B">
            <w:pPr>
              <w:jc w:val="left"/>
              <w:rPr>
                <w:sz w:val="16"/>
                <w:szCs w:val="16"/>
              </w:rPr>
            </w:pPr>
            <w:r w:rsidRPr="006B42D6">
              <w:rPr>
                <w:sz w:val="16"/>
                <w:szCs w:val="16"/>
              </w:rPr>
              <w:t>Kigoma</w:t>
            </w:r>
          </w:p>
        </w:tc>
        <w:tc>
          <w:tcPr>
            <w:tcW w:w="1107" w:type="dxa"/>
            <w:tcBorders>
              <w:top w:val="nil"/>
              <w:left w:val="single" w:sz="4" w:space="0" w:color="auto"/>
              <w:bottom w:val="nil"/>
              <w:right w:val="nil"/>
            </w:tcBorders>
            <w:shd w:val="clear" w:color="auto" w:fill="auto"/>
            <w:noWrap/>
            <w:vAlign w:val="bottom"/>
            <w:hideMark/>
          </w:tcPr>
          <w:p w14:paraId="074E0F94" w14:textId="2FEA4470" w:rsidR="00CD5D2F" w:rsidRPr="006B42D6" w:rsidRDefault="00CD5D2F" w:rsidP="00CD5D2F">
            <w:pPr>
              <w:jc w:val="right"/>
              <w:rPr>
                <w:sz w:val="16"/>
                <w:szCs w:val="16"/>
              </w:rPr>
            </w:pPr>
            <w:r w:rsidRPr="006B42D6">
              <w:rPr>
                <w:sz w:val="16"/>
                <w:szCs w:val="16"/>
              </w:rPr>
              <w:t>8,895</w:t>
            </w:r>
          </w:p>
        </w:tc>
        <w:tc>
          <w:tcPr>
            <w:tcW w:w="1047" w:type="dxa"/>
            <w:tcBorders>
              <w:top w:val="nil"/>
              <w:left w:val="nil"/>
              <w:bottom w:val="nil"/>
              <w:right w:val="nil"/>
            </w:tcBorders>
            <w:shd w:val="clear" w:color="auto" w:fill="auto"/>
            <w:noWrap/>
            <w:vAlign w:val="bottom"/>
            <w:hideMark/>
          </w:tcPr>
          <w:p w14:paraId="58B85870" w14:textId="2AC0C2F5" w:rsidR="00CD5D2F" w:rsidRPr="006B42D6" w:rsidRDefault="00CD5D2F" w:rsidP="00CD5D2F">
            <w:pPr>
              <w:jc w:val="right"/>
              <w:rPr>
                <w:sz w:val="16"/>
                <w:szCs w:val="16"/>
              </w:rPr>
            </w:pPr>
            <w:r w:rsidRPr="006B42D6">
              <w:rPr>
                <w:sz w:val="16"/>
                <w:szCs w:val="16"/>
              </w:rPr>
              <w:t>4,913</w:t>
            </w:r>
          </w:p>
        </w:tc>
        <w:tc>
          <w:tcPr>
            <w:tcW w:w="1107" w:type="dxa"/>
            <w:tcBorders>
              <w:top w:val="nil"/>
              <w:left w:val="nil"/>
              <w:bottom w:val="nil"/>
              <w:right w:val="nil"/>
            </w:tcBorders>
            <w:shd w:val="clear" w:color="auto" w:fill="auto"/>
            <w:noWrap/>
            <w:vAlign w:val="bottom"/>
            <w:hideMark/>
          </w:tcPr>
          <w:p w14:paraId="332598F4" w14:textId="73803066" w:rsidR="00CD5D2F" w:rsidRPr="006B42D6" w:rsidRDefault="00CD5D2F" w:rsidP="00CD5D2F">
            <w:pPr>
              <w:jc w:val="right"/>
              <w:rPr>
                <w:sz w:val="16"/>
                <w:szCs w:val="16"/>
              </w:rPr>
            </w:pPr>
            <w:r w:rsidRPr="006B42D6">
              <w:rPr>
                <w:sz w:val="16"/>
                <w:szCs w:val="16"/>
              </w:rPr>
              <w:t>10,003</w:t>
            </w:r>
          </w:p>
        </w:tc>
        <w:tc>
          <w:tcPr>
            <w:tcW w:w="1438" w:type="dxa"/>
            <w:tcBorders>
              <w:top w:val="nil"/>
              <w:left w:val="nil"/>
              <w:bottom w:val="nil"/>
              <w:right w:val="nil"/>
            </w:tcBorders>
            <w:shd w:val="clear" w:color="auto" w:fill="auto"/>
            <w:noWrap/>
            <w:vAlign w:val="bottom"/>
            <w:hideMark/>
          </w:tcPr>
          <w:p w14:paraId="4469A16E" w14:textId="4B00E272" w:rsidR="00CD5D2F" w:rsidRPr="006B42D6" w:rsidRDefault="00CD5D2F" w:rsidP="00CD5D2F">
            <w:pPr>
              <w:jc w:val="right"/>
              <w:rPr>
                <w:sz w:val="16"/>
                <w:szCs w:val="16"/>
              </w:rPr>
            </w:pPr>
            <w:r w:rsidRPr="006B42D6">
              <w:rPr>
                <w:sz w:val="16"/>
                <w:szCs w:val="16"/>
              </w:rPr>
              <w:t>2,112</w:t>
            </w:r>
          </w:p>
        </w:tc>
        <w:tc>
          <w:tcPr>
            <w:tcW w:w="1331" w:type="dxa"/>
            <w:tcBorders>
              <w:top w:val="nil"/>
              <w:left w:val="nil"/>
              <w:bottom w:val="nil"/>
              <w:right w:val="nil"/>
            </w:tcBorders>
            <w:shd w:val="clear" w:color="auto" w:fill="auto"/>
            <w:noWrap/>
            <w:vAlign w:val="bottom"/>
            <w:hideMark/>
          </w:tcPr>
          <w:p w14:paraId="2362DC2B" w14:textId="10ADE0C3" w:rsidR="00CD5D2F" w:rsidRPr="006B42D6" w:rsidRDefault="00CD5D2F" w:rsidP="00CD5D2F">
            <w:pPr>
              <w:jc w:val="right"/>
              <w:rPr>
                <w:sz w:val="16"/>
                <w:szCs w:val="16"/>
              </w:rPr>
            </w:pPr>
            <w:r w:rsidRPr="006B42D6">
              <w:rPr>
                <w:sz w:val="16"/>
                <w:szCs w:val="16"/>
              </w:rPr>
              <w:t>7,025</w:t>
            </w:r>
          </w:p>
        </w:tc>
        <w:tc>
          <w:tcPr>
            <w:tcW w:w="1006" w:type="dxa"/>
            <w:tcBorders>
              <w:top w:val="nil"/>
              <w:left w:val="nil"/>
              <w:bottom w:val="nil"/>
              <w:right w:val="nil"/>
            </w:tcBorders>
            <w:shd w:val="clear" w:color="auto" w:fill="auto"/>
            <w:noWrap/>
            <w:vAlign w:val="bottom"/>
            <w:hideMark/>
          </w:tcPr>
          <w:p w14:paraId="22A523FB" w14:textId="47ED605C" w:rsidR="00CD5D2F" w:rsidRPr="006B42D6" w:rsidRDefault="00CD5D2F" w:rsidP="00CD5D2F">
            <w:pPr>
              <w:jc w:val="right"/>
              <w:rPr>
                <w:sz w:val="16"/>
                <w:szCs w:val="16"/>
              </w:rPr>
            </w:pPr>
            <w:r w:rsidRPr="006B42D6">
              <w:rPr>
                <w:sz w:val="16"/>
                <w:szCs w:val="16"/>
              </w:rPr>
              <w:t>4,726</w:t>
            </w:r>
          </w:p>
        </w:tc>
        <w:tc>
          <w:tcPr>
            <w:tcW w:w="976" w:type="dxa"/>
            <w:tcBorders>
              <w:top w:val="nil"/>
              <w:left w:val="nil"/>
              <w:bottom w:val="nil"/>
              <w:right w:val="nil"/>
            </w:tcBorders>
            <w:shd w:val="clear" w:color="auto" w:fill="auto"/>
            <w:noWrap/>
            <w:vAlign w:val="bottom"/>
            <w:hideMark/>
          </w:tcPr>
          <w:p w14:paraId="34621D2A" w14:textId="3F480942" w:rsidR="00CD5D2F" w:rsidRPr="006B42D6" w:rsidRDefault="00CD5D2F" w:rsidP="00CD5D2F">
            <w:pPr>
              <w:jc w:val="right"/>
              <w:rPr>
                <w:sz w:val="16"/>
                <w:szCs w:val="16"/>
              </w:rPr>
            </w:pPr>
            <w:r w:rsidRPr="006B42D6">
              <w:rPr>
                <w:sz w:val="16"/>
                <w:szCs w:val="16"/>
              </w:rPr>
              <w:t>17,987</w:t>
            </w:r>
          </w:p>
        </w:tc>
      </w:tr>
      <w:tr w:rsidR="006B42D6" w:rsidRPr="006B42D6" w14:paraId="30D8EF07" w14:textId="77777777" w:rsidTr="00D972DA">
        <w:trPr>
          <w:trHeight w:val="20"/>
        </w:trPr>
        <w:tc>
          <w:tcPr>
            <w:tcW w:w="1758" w:type="dxa"/>
            <w:tcBorders>
              <w:top w:val="nil"/>
              <w:left w:val="nil"/>
              <w:bottom w:val="nil"/>
              <w:right w:val="nil"/>
            </w:tcBorders>
            <w:shd w:val="clear" w:color="auto" w:fill="auto"/>
            <w:noWrap/>
            <w:vAlign w:val="bottom"/>
            <w:hideMark/>
          </w:tcPr>
          <w:p w14:paraId="7B7C0C2F" w14:textId="0524D3FE" w:rsidR="00CD5D2F" w:rsidRPr="006B42D6" w:rsidRDefault="00CD5D2F" w:rsidP="0072387B">
            <w:pPr>
              <w:jc w:val="left"/>
              <w:rPr>
                <w:sz w:val="16"/>
                <w:szCs w:val="16"/>
              </w:rPr>
            </w:pPr>
            <w:r w:rsidRPr="006B42D6">
              <w:rPr>
                <w:sz w:val="16"/>
                <w:szCs w:val="16"/>
              </w:rPr>
              <w:t>Shinyanga</w:t>
            </w:r>
          </w:p>
        </w:tc>
        <w:tc>
          <w:tcPr>
            <w:tcW w:w="1107" w:type="dxa"/>
            <w:tcBorders>
              <w:top w:val="nil"/>
              <w:left w:val="single" w:sz="4" w:space="0" w:color="auto"/>
              <w:bottom w:val="nil"/>
              <w:right w:val="nil"/>
            </w:tcBorders>
            <w:shd w:val="clear" w:color="auto" w:fill="auto"/>
            <w:noWrap/>
            <w:vAlign w:val="bottom"/>
            <w:hideMark/>
          </w:tcPr>
          <w:p w14:paraId="60EC5418" w14:textId="64A300C6" w:rsidR="00CD5D2F" w:rsidRPr="006B42D6" w:rsidRDefault="00CD5D2F" w:rsidP="00CD5D2F">
            <w:pPr>
              <w:jc w:val="right"/>
              <w:rPr>
                <w:sz w:val="16"/>
                <w:szCs w:val="16"/>
              </w:rPr>
            </w:pPr>
            <w:r w:rsidRPr="006B42D6">
              <w:rPr>
                <w:sz w:val="16"/>
                <w:szCs w:val="16"/>
              </w:rPr>
              <w:t>-</w:t>
            </w:r>
          </w:p>
        </w:tc>
        <w:tc>
          <w:tcPr>
            <w:tcW w:w="1047" w:type="dxa"/>
            <w:tcBorders>
              <w:top w:val="nil"/>
              <w:left w:val="nil"/>
              <w:bottom w:val="nil"/>
              <w:right w:val="nil"/>
            </w:tcBorders>
            <w:shd w:val="clear" w:color="auto" w:fill="auto"/>
            <w:noWrap/>
            <w:vAlign w:val="bottom"/>
            <w:hideMark/>
          </w:tcPr>
          <w:p w14:paraId="656301A5" w14:textId="25865A88" w:rsidR="00CD5D2F" w:rsidRPr="006B42D6" w:rsidRDefault="00CD5D2F" w:rsidP="00CD5D2F">
            <w:pPr>
              <w:jc w:val="right"/>
              <w:rPr>
                <w:sz w:val="16"/>
                <w:szCs w:val="16"/>
              </w:rPr>
            </w:pPr>
            <w:r w:rsidRPr="006B42D6">
              <w:rPr>
                <w:sz w:val="16"/>
                <w:szCs w:val="16"/>
              </w:rPr>
              <w:t>-</w:t>
            </w:r>
          </w:p>
        </w:tc>
        <w:tc>
          <w:tcPr>
            <w:tcW w:w="1107" w:type="dxa"/>
            <w:tcBorders>
              <w:top w:val="nil"/>
              <w:left w:val="nil"/>
              <w:bottom w:val="nil"/>
              <w:right w:val="nil"/>
            </w:tcBorders>
            <w:shd w:val="clear" w:color="auto" w:fill="auto"/>
            <w:noWrap/>
            <w:vAlign w:val="bottom"/>
            <w:hideMark/>
          </w:tcPr>
          <w:p w14:paraId="22430A7C" w14:textId="2F8EF5F1" w:rsidR="00CD5D2F" w:rsidRPr="006B42D6" w:rsidRDefault="00CD5D2F" w:rsidP="00CD5D2F">
            <w:pPr>
              <w:jc w:val="right"/>
              <w:rPr>
                <w:sz w:val="16"/>
                <w:szCs w:val="16"/>
              </w:rPr>
            </w:pPr>
            <w:r w:rsidRPr="006B42D6">
              <w:rPr>
                <w:sz w:val="16"/>
                <w:szCs w:val="16"/>
              </w:rPr>
              <w:t>-</w:t>
            </w:r>
          </w:p>
        </w:tc>
        <w:tc>
          <w:tcPr>
            <w:tcW w:w="1438" w:type="dxa"/>
            <w:tcBorders>
              <w:top w:val="nil"/>
              <w:left w:val="nil"/>
              <w:bottom w:val="nil"/>
              <w:right w:val="nil"/>
            </w:tcBorders>
            <w:shd w:val="clear" w:color="auto" w:fill="auto"/>
            <w:noWrap/>
            <w:vAlign w:val="bottom"/>
            <w:hideMark/>
          </w:tcPr>
          <w:p w14:paraId="00F5EDF9" w14:textId="6D1F2C77" w:rsidR="00CD5D2F" w:rsidRPr="006B42D6" w:rsidRDefault="00CD5D2F" w:rsidP="00CD5D2F">
            <w:pPr>
              <w:jc w:val="right"/>
              <w:rPr>
                <w:sz w:val="16"/>
                <w:szCs w:val="16"/>
              </w:rPr>
            </w:pPr>
            <w:r w:rsidRPr="006B42D6">
              <w:rPr>
                <w:sz w:val="16"/>
                <w:szCs w:val="16"/>
              </w:rPr>
              <w:t>-</w:t>
            </w:r>
          </w:p>
        </w:tc>
        <w:tc>
          <w:tcPr>
            <w:tcW w:w="1331" w:type="dxa"/>
            <w:tcBorders>
              <w:top w:val="nil"/>
              <w:left w:val="nil"/>
              <w:bottom w:val="nil"/>
              <w:right w:val="nil"/>
            </w:tcBorders>
            <w:shd w:val="clear" w:color="auto" w:fill="auto"/>
            <w:noWrap/>
            <w:vAlign w:val="bottom"/>
            <w:hideMark/>
          </w:tcPr>
          <w:p w14:paraId="75B72266" w14:textId="0A358B7E" w:rsidR="00CD5D2F" w:rsidRPr="006B42D6" w:rsidRDefault="00CD5D2F" w:rsidP="00CD5D2F">
            <w:pPr>
              <w:jc w:val="right"/>
              <w:rPr>
                <w:sz w:val="16"/>
                <w:szCs w:val="16"/>
              </w:rPr>
            </w:pPr>
            <w:r w:rsidRPr="006B42D6">
              <w:rPr>
                <w:sz w:val="16"/>
                <w:szCs w:val="16"/>
              </w:rPr>
              <w:t>-</w:t>
            </w:r>
          </w:p>
        </w:tc>
        <w:tc>
          <w:tcPr>
            <w:tcW w:w="1006" w:type="dxa"/>
            <w:tcBorders>
              <w:top w:val="nil"/>
              <w:left w:val="nil"/>
              <w:bottom w:val="nil"/>
              <w:right w:val="nil"/>
            </w:tcBorders>
            <w:shd w:val="clear" w:color="auto" w:fill="auto"/>
            <w:noWrap/>
            <w:vAlign w:val="bottom"/>
            <w:hideMark/>
          </w:tcPr>
          <w:p w14:paraId="0DAFA50F" w14:textId="68A9B226" w:rsidR="00CD5D2F" w:rsidRPr="006B42D6" w:rsidRDefault="00CD5D2F" w:rsidP="00CD5D2F">
            <w:pPr>
              <w:jc w:val="right"/>
              <w:rPr>
                <w:sz w:val="16"/>
                <w:szCs w:val="16"/>
              </w:rPr>
            </w:pPr>
            <w:r w:rsidRPr="006B42D6">
              <w:rPr>
                <w:sz w:val="16"/>
                <w:szCs w:val="16"/>
              </w:rPr>
              <w:t>-</w:t>
            </w:r>
          </w:p>
        </w:tc>
        <w:tc>
          <w:tcPr>
            <w:tcW w:w="976" w:type="dxa"/>
            <w:tcBorders>
              <w:top w:val="nil"/>
              <w:left w:val="nil"/>
              <w:bottom w:val="nil"/>
              <w:right w:val="nil"/>
            </w:tcBorders>
            <w:shd w:val="clear" w:color="auto" w:fill="auto"/>
            <w:noWrap/>
            <w:vAlign w:val="bottom"/>
            <w:hideMark/>
          </w:tcPr>
          <w:p w14:paraId="265BF529" w14:textId="797D7AD2" w:rsidR="00CD5D2F" w:rsidRPr="006B42D6" w:rsidRDefault="00CD5D2F" w:rsidP="00CD5D2F">
            <w:pPr>
              <w:jc w:val="right"/>
              <w:rPr>
                <w:sz w:val="16"/>
                <w:szCs w:val="16"/>
              </w:rPr>
            </w:pPr>
            <w:r w:rsidRPr="006B42D6">
              <w:rPr>
                <w:sz w:val="16"/>
                <w:szCs w:val="16"/>
              </w:rPr>
              <w:t>-</w:t>
            </w:r>
          </w:p>
        </w:tc>
      </w:tr>
      <w:tr w:rsidR="006B42D6" w:rsidRPr="006B42D6" w14:paraId="3B1A6F8D" w14:textId="77777777" w:rsidTr="00D972DA">
        <w:trPr>
          <w:trHeight w:val="20"/>
        </w:trPr>
        <w:tc>
          <w:tcPr>
            <w:tcW w:w="1758" w:type="dxa"/>
            <w:tcBorders>
              <w:top w:val="nil"/>
              <w:left w:val="nil"/>
              <w:bottom w:val="nil"/>
              <w:right w:val="nil"/>
            </w:tcBorders>
            <w:shd w:val="clear" w:color="auto" w:fill="auto"/>
            <w:noWrap/>
            <w:vAlign w:val="bottom"/>
            <w:hideMark/>
          </w:tcPr>
          <w:p w14:paraId="0D569DD0" w14:textId="2B8DCCCF" w:rsidR="00CD5D2F" w:rsidRPr="006B42D6" w:rsidRDefault="00CD5D2F" w:rsidP="0072387B">
            <w:pPr>
              <w:jc w:val="left"/>
              <w:rPr>
                <w:sz w:val="16"/>
                <w:szCs w:val="16"/>
              </w:rPr>
            </w:pPr>
            <w:r w:rsidRPr="006B42D6">
              <w:rPr>
                <w:sz w:val="16"/>
                <w:szCs w:val="16"/>
              </w:rPr>
              <w:t>Kagera</w:t>
            </w:r>
          </w:p>
        </w:tc>
        <w:tc>
          <w:tcPr>
            <w:tcW w:w="1107" w:type="dxa"/>
            <w:tcBorders>
              <w:top w:val="nil"/>
              <w:left w:val="single" w:sz="4" w:space="0" w:color="auto"/>
              <w:bottom w:val="nil"/>
              <w:right w:val="nil"/>
            </w:tcBorders>
            <w:shd w:val="clear" w:color="auto" w:fill="auto"/>
            <w:noWrap/>
            <w:vAlign w:val="bottom"/>
            <w:hideMark/>
          </w:tcPr>
          <w:p w14:paraId="4EF0E5DD" w14:textId="1E8ECE0A" w:rsidR="00CD5D2F" w:rsidRPr="006B42D6" w:rsidRDefault="00CD5D2F" w:rsidP="00CD5D2F">
            <w:pPr>
              <w:jc w:val="right"/>
              <w:rPr>
                <w:sz w:val="16"/>
                <w:szCs w:val="16"/>
              </w:rPr>
            </w:pPr>
            <w:r w:rsidRPr="006B42D6">
              <w:rPr>
                <w:sz w:val="16"/>
                <w:szCs w:val="16"/>
              </w:rPr>
              <w:t>-</w:t>
            </w:r>
          </w:p>
        </w:tc>
        <w:tc>
          <w:tcPr>
            <w:tcW w:w="1047" w:type="dxa"/>
            <w:tcBorders>
              <w:top w:val="nil"/>
              <w:left w:val="nil"/>
              <w:bottom w:val="nil"/>
              <w:right w:val="nil"/>
            </w:tcBorders>
            <w:shd w:val="clear" w:color="auto" w:fill="auto"/>
            <w:noWrap/>
            <w:vAlign w:val="bottom"/>
            <w:hideMark/>
          </w:tcPr>
          <w:p w14:paraId="0AAF3D0F" w14:textId="2CC43D85" w:rsidR="00CD5D2F" w:rsidRPr="006B42D6" w:rsidRDefault="00CD5D2F" w:rsidP="00CD5D2F">
            <w:pPr>
              <w:jc w:val="right"/>
              <w:rPr>
                <w:sz w:val="16"/>
                <w:szCs w:val="16"/>
              </w:rPr>
            </w:pPr>
            <w:r w:rsidRPr="006B42D6">
              <w:rPr>
                <w:sz w:val="16"/>
                <w:szCs w:val="16"/>
              </w:rPr>
              <w:t>-</w:t>
            </w:r>
          </w:p>
        </w:tc>
        <w:tc>
          <w:tcPr>
            <w:tcW w:w="1107" w:type="dxa"/>
            <w:tcBorders>
              <w:top w:val="nil"/>
              <w:left w:val="nil"/>
              <w:bottom w:val="nil"/>
              <w:right w:val="nil"/>
            </w:tcBorders>
            <w:shd w:val="clear" w:color="auto" w:fill="auto"/>
            <w:noWrap/>
            <w:vAlign w:val="bottom"/>
            <w:hideMark/>
          </w:tcPr>
          <w:p w14:paraId="7FC61FE5" w14:textId="5DCB3D13" w:rsidR="00CD5D2F" w:rsidRPr="006B42D6" w:rsidRDefault="00CD5D2F" w:rsidP="00CD5D2F">
            <w:pPr>
              <w:jc w:val="right"/>
              <w:rPr>
                <w:sz w:val="16"/>
                <w:szCs w:val="16"/>
              </w:rPr>
            </w:pPr>
            <w:r w:rsidRPr="006B42D6">
              <w:rPr>
                <w:sz w:val="16"/>
                <w:szCs w:val="16"/>
              </w:rPr>
              <w:t>5,149</w:t>
            </w:r>
          </w:p>
        </w:tc>
        <w:tc>
          <w:tcPr>
            <w:tcW w:w="1438" w:type="dxa"/>
            <w:tcBorders>
              <w:top w:val="nil"/>
              <w:left w:val="nil"/>
              <w:bottom w:val="nil"/>
              <w:right w:val="nil"/>
            </w:tcBorders>
            <w:shd w:val="clear" w:color="auto" w:fill="auto"/>
            <w:noWrap/>
            <w:vAlign w:val="bottom"/>
            <w:hideMark/>
          </w:tcPr>
          <w:p w14:paraId="6EC27DEA" w14:textId="77386174" w:rsidR="00CD5D2F" w:rsidRPr="006B42D6" w:rsidRDefault="00CD5D2F" w:rsidP="00CD5D2F">
            <w:pPr>
              <w:jc w:val="right"/>
              <w:rPr>
                <w:sz w:val="16"/>
                <w:szCs w:val="16"/>
              </w:rPr>
            </w:pPr>
            <w:r w:rsidRPr="006B42D6">
              <w:rPr>
                <w:sz w:val="16"/>
                <w:szCs w:val="16"/>
              </w:rPr>
              <w:t>4</w:t>
            </w:r>
          </w:p>
        </w:tc>
        <w:tc>
          <w:tcPr>
            <w:tcW w:w="1331" w:type="dxa"/>
            <w:tcBorders>
              <w:top w:val="nil"/>
              <w:left w:val="nil"/>
              <w:bottom w:val="nil"/>
              <w:right w:val="nil"/>
            </w:tcBorders>
            <w:shd w:val="clear" w:color="auto" w:fill="auto"/>
            <w:noWrap/>
            <w:vAlign w:val="bottom"/>
            <w:hideMark/>
          </w:tcPr>
          <w:p w14:paraId="36655F3D" w14:textId="0E4F2A39" w:rsidR="00CD5D2F" w:rsidRPr="006B42D6" w:rsidRDefault="00CD5D2F" w:rsidP="00CD5D2F">
            <w:pPr>
              <w:jc w:val="right"/>
              <w:rPr>
                <w:sz w:val="16"/>
                <w:szCs w:val="16"/>
              </w:rPr>
            </w:pPr>
            <w:r w:rsidRPr="006B42D6">
              <w:rPr>
                <w:sz w:val="16"/>
                <w:szCs w:val="16"/>
              </w:rPr>
              <w:t>4</w:t>
            </w:r>
          </w:p>
        </w:tc>
        <w:tc>
          <w:tcPr>
            <w:tcW w:w="1006" w:type="dxa"/>
            <w:tcBorders>
              <w:top w:val="nil"/>
              <w:left w:val="nil"/>
              <w:bottom w:val="nil"/>
              <w:right w:val="nil"/>
            </w:tcBorders>
            <w:shd w:val="clear" w:color="auto" w:fill="auto"/>
            <w:noWrap/>
            <w:vAlign w:val="bottom"/>
            <w:hideMark/>
          </w:tcPr>
          <w:p w14:paraId="6A0369EB" w14:textId="1F03A769" w:rsidR="00CD5D2F" w:rsidRPr="006B42D6" w:rsidRDefault="00CD5D2F" w:rsidP="00CD5D2F">
            <w:pPr>
              <w:jc w:val="right"/>
              <w:rPr>
                <w:sz w:val="16"/>
                <w:szCs w:val="16"/>
              </w:rPr>
            </w:pPr>
            <w:r w:rsidRPr="006B42D6">
              <w:rPr>
                <w:sz w:val="16"/>
                <w:szCs w:val="16"/>
              </w:rPr>
              <w:t>2</w:t>
            </w:r>
          </w:p>
        </w:tc>
        <w:tc>
          <w:tcPr>
            <w:tcW w:w="976" w:type="dxa"/>
            <w:tcBorders>
              <w:top w:val="nil"/>
              <w:left w:val="nil"/>
              <w:bottom w:val="nil"/>
              <w:right w:val="nil"/>
            </w:tcBorders>
            <w:shd w:val="clear" w:color="auto" w:fill="auto"/>
            <w:noWrap/>
            <w:vAlign w:val="bottom"/>
            <w:hideMark/>
          </w:tcPr>
          <w:p w14:paraId="20035682" w14:textId="53A025F9" w:rsidR="00CD5D2F" w:rsidRPr="006B42D6" w:rsidRDefault="00CD5D2F" w:rsidP="00CD5D2F">
            <w:pPr>
              <w:jc w:val="right"/>
              <w:rPr>
                <w:sz w:val="16"/>
                <w:szCs w:val="16"/>
              </w:rPr>
            </w:pPr>
            <w:r w:rsidRPr="006B42D6">
              <w:rPr>
                <w:sz w:val="16"/>
                <w:szCs w:val="16"/>
              </w:rPr>
              <w:t>6</w:t>
            </w:r>
          </w:p>
        </w:tc>
      </w:tr>
      <w:tr w:rsidR="006B42D6" w:rsidRPr="006B42D6" w14:paraId="209ED0AC" w14:textId="77777777" w:rsidTr="00D972DA">
        <w:trPr>
          <w:trHeight w:val="20"/>
        </w:trPr>
        <w:tc>
          <w:tcPr>
            <w:tcW w:w="1758" w:type="dxa"/>
            <w:tcBorders>
              <w:top w:val="nil"/>
              <w:left w:val="nil"/>
              <w:bottom w:val="nil"/>
              <w:right w:val="nil"/>
            </w:tcBorders>
            <w:shd w:val="clear" w:color="auto" w:fill="auto"/>
            <w:noWrap/>
            <w:vAlign w:val="bottom"/>
            <w:hideMark/>
          </w:tcPr>
          <w:p w14:paraId="00364227" w14:textId="1177126A" w:rsidR="00CD5D2F" w:rsidRPr="006B42D6" w:rsidRDefault="00CD5D2F" w:rsidP="0072387B">
            <w:pPr>
              <w:jc w:val="left"/>
              <w:rPr>
                <w:sz w:val="16"/>
                <w:szCs w:val="16"/>
              </w:rPr>
            </w:pPr>
            <w:r w:rsidRPr="006B42D6">
              <w:rPr>
                <w:sz w:val="16"/>
                <w:szCs w:val="16"/>
              </w:rPr>
              <w:t>Mwanza</w:t>
            </w:r>
          </w:p>
        </w:tc>
        <w:tc>
          <w:tcPr>
            <w:tcW w:w="1107" w:type="dxa"/>
            <w:tcBorders>
              <w:top w:val="nil"/>
              <w:left w:val="single" w:sz="4" w:space="0" w:color="auto"/>
              <w:bottom w:val="nil"/>
              <w:right w:val="nil"/>
            </w:tcBorders>
            <w:shd w:val="clear" w:color="auto" w:fill="auto"/>
            <w:noWrap/>
            <w:vAlign w:val="bottom"/>
            <w:hideMark/>
          </w:tcPr>
          <w:p w14:paraId="3C94820C" w14:textId="70674414" w:rsidR="00CD5D2F" w:rsidRPr="006B42D6" w:rsidRDefault="00CD5D2F" w:rsidP="00CD5D2F">
            <w:pPr>
              <w:jc w:val="right"/>
              <w:rPr>
                <w:sz w:val="16"/>
                <w:szCs w:val="16"/>
              </w:rPr>
            </w:pPr>
            <w:r w:rsidRPr="006B42D6">
              <w:rPr>
                <w:sz w:val="16"/>
                <w:szCs w:val="16"/>
              </w:rPr>
              <w:t>7,349</w:t>
            </w:r>
          </w:p>
        </w:tc>
        <w:tc>
          <w:tcPr>
            <w:tcW w:w="1047" w:type="dxa"/>
            <w:tcBorders>
              <w:top w:val="nil"/>
              <w:left w:val="nil"/>
              <w:bottom w:val="nil"/>
              <w:right w:val="nil"/>
            </w:tcBorders>
            <w:shd w:val="clear" w:color="auto" w:fill="auto"/>
            <w:noWrap/>
            <w:vAlign w:val="bottom"/>
            <w:hideMark/>
          </w:tcPr>
          <w:p w14:paraId="284DE2D3" w14:textId="05B2A6BA" w:rsidR="00CD5D2F" w:rsidRPr="006B42D6" w:rsidRDefault="00CD5D2F" w:rsidP="00CD5D2F">
            <w:pPr>
              <w:jc w:val="right"/>
              <w:rPr>
                <w:sz w:val="16"/>
                <w:szCs w:val="16"/>
              </w:rPr>
            </w:pPr>
            <w:r w:rsidRPr="006B42D6">
              <w:rPr>
                <w:sz w:val="16"/>
                <w:szCs w:val="16"/>
              </w:rPr>
              <w:t>59</w:t>
            </w:r>
          </w:p>
        </w:tc>
        <w:tc>
          <w:tcPr>
            <w:tcW w:w="1107" w:type="dxa"/>
            <w:tcBorders>
              <w:top w:val="nil"/>
              <w:left w:val="nil"/>
              <w:bottom w:val="nil"/>
              <w:right w:val="nil"/>
            </w:tcBorders>
            <w:shd w:val="clear" w:color="auto" w:fill="auto"/>
            <w:noWrap/>
            <w:vAlign w:val="bottom"/>
            <w:hideMark/>
          </w:tcPr>
          <w:p w14:paraId="4F03800F" w14:textId="373C71DA" w:rsidR="00CD5D2F" w:rsidRPr="006B42D6" w:rsidRDefault="00CD5D2F" w:rsidP="00CD5D2F">
            <w:pPr>
              <w:jc w:val="right"/>
              <w:rPr>
                <w:sz w:val="16"/>
                <w:szCs w:val="16"/>
              </w:rPr>
            </w:pPr>
            <w:r w:rsidRPr="006B42D6">
              <w:rPr>
                <w:sz w:val="16"/>
                <w:szCs w:val="16"/>
              </w:rPr>
              <w:t>3,942</w:t>
            </w:r>
          </w:p>
        </w:tc>
        <w:tc>
          <w:tcPr>
            <w:tcW w:w="1438" w:type="dxa"/>
            <w:tcBorders>
              <w:top w:val="nil"/>
              <w:left w:val="nil"/>
              <w:bottom w:val="nil"/>
              <w:right w:val="nil"/>
            </w:tcBorders>
            <w:shd w:val="clear" w:color="auto" w:fill="auto"/>
            <w:noWrap/>
            <w:vAlign w:val="bottom"/>
            <w:hideMark/>
          </w:tcPr>
          <w:p w14:paraId="54549D42" w14:textId="058B3F3C" w:rsidR="00CD5D2F" w:rsidRPr="006B42D6" w:rsidRDefault="00CD5D2F" w:rsidP="00CD5D2F">
            <w:pPr>
              <w:jc w:val="right"/>
              <w:rPr>
                <w:sz w:val="16"/>
                <w:szCs w:val="16"/>
              </w:rPr>
            </w:pPr>
            <w:r w:rsidRPr="006B42D6">
              <w:rPr>
                <w:sz w:val="16"/>
                <w:szCs w:val="16"/>
              </w:rPr>
              <w:t>8</w:t>
            </w:r>
          </w:p>
        </w:tc>
        <w:tc>
          <w:tcPr>
            <w:tcW w:w="1331" w:type="dxa"/>
            <w:tcBorders>
              <w:top w:val="nil"/>
              <w:left w:val="nil"/>
              <w:bottom w:val="nil"/>
              <w:right w:val="nil"/>
            </w:tcBorders>
            <w:shd w:val="clear" w:color="auto" w:fill="auto"/>
            <w:noWrap/>
            <w:vAlign w:val="bottom"/>
            <w:hideMark/>
          </w:tcPr>
          <w:p w14:paraId="4D21D6B3" w14:textId="53BFAB78" w:rsidR="00CD5D2F" w:rsidRPr="006B42D6" w:rsidRDefault="00CD5D2F" w:rsidP="00CD5D2F">
            <w:pPr>
              <w:jc w:val="right"/>
              <w:rPr>
                <w:sz w:val="16"/>
                <w:szCs w:val="16"/>
              </w:rPr>
            </w:pPr>
            <w:r w:rsidRPr="006B42D6">
              <w:rPr>
                <w:sz w:val="16"/>
                <w:szCs w:val="16"/>
              </w:rPr>
              <w:t>67</w:t>
            </w:r>
          </w:p>
        </w:tc>
        <w:tc>
          <w:tcPr>
            <w:tcW w:w="1006" w:type="dxa"/>
            <w:tcBorders>
              <w:top w:val="nil"/>
              <w:left w:val="nil"/>
              <w:bottom w:val="nil"/>
              <w:right w:val="nil"/>
            </w:tcBorders>
            <w:shd w:val="clear" w:color="auto" w:fill="auto"/>
            <w:noWrap/>
            <w:vAlign w:val="bottom"/>
            <w:hideMark/>
          </w:tcPr>
          <w:p w14:paraId="2636762F" w14:textId="64684CEE" w:rsidR="00CD5D2F" w:rsidRPr="006B42D6" w:rsidRDefault="00CD5D2F" w:rsidP="00CD5D2F">
            <w:pPr>
              <w:jc w:val="right"/>
              <w:rPr>
                <w:sz w:val="16"/>
                <w:szCs w:val="16"/>
              </w:rPr>
            </w:pPr>
            <w:r w:rsidRPr="006B42D6">
              <w:rPr>
                <w:sz w:val="16"/>
                <w:szCs w:val="16"/>
              </w:rPr>
              <w:t>5</w:t>
            </w:r>
          </w:p>
        </w:tc>
        <w:tc>
          <w:tcPr>
            <w:tcW w:w="976" w:type="dxa"/>
            <w:tcBorders>
              <w:top w:val="nil"/>
              <w:left w:val="nil"/>
              <w:bottom w:val="nil"/>
              <w:right w:val="nil"/>
            </w:tcBorders>
            <w:shd w:val="clear" w:color="auto" w:fill="auto"/>
            <w:noWrap/>
            <w:vAlign w:val="bottom"/>
            <w:hideMark/>
          </w:tcPr>
          <w:p w14:paraId="1260A4CC" w14:textId="3A91ED29" w:rsidR="00CD5D2F" w:rsidRPr="006B42D6" w:rsidRDefault="00CD5D2F" w:rsidP="00CD5D2F">
            <w:pPr>
              <w:jc w:val="right"/>
              <w:rPr>
                <w:sz w:val="16"/>
                <w:szCs w:val="16"/>
              </w:rPr>
            </w:pPr>
            <w:r w:rsidRPr="006B42D6">
              <w:rPr>
                <w:sz w:val="16"/>
                <w:szCs w:val="16"/>
              </w:rPr>
              <w:t>22</w:t>
            </w:r>
          </w:p>
        </w:tc>
      </w:tr>
      <w:tr w:rsidR="006B42D6" w:rsidRPr="006B42D6" w14:paraId="31A59658" w14:textId="77777777" w:rsidTr="00D972DA">
        <w:trPr>
          <w:trHeight w:val="20"/>
        </w:trPr>
        <w:tc>
          <w:tcPr>
            <w:tcW w:w="1758" w:type="dxa"/>
            <w:tcBorders>
              <w:top w:val="nil"/>
              <w:left w:val="nil"/>
              <w:bottom w:val="nil"/>
              <w:right w:val="nil"/>
            </w:tcBorders>
            <w:shd w:val="clear" w:color="auto" w:fill="auto"/>
            <w:noWrap/>
            <w:vAlign w:val="bottom"/>
            <w:hideMark/>
          </w:tcPr>
          <w:p w14:paraId="07B8108F" w14:textId="3FA7D626" w:rsidR="00CD5D2F" w:rsidRPr="006B42D6" w:rsidRDefault="00CD5D2F" w:rsidP="0072387B">
            <w:pPr>
              <w:jc w:val="left"/>
              <w:rPr>
                <w:sz w:val="16"/>
                <w:szCs w:val="16"/>
              </w:rPr>
            </w:pPr>
            <w:r w:rsidRPr="006B42D6">
              <w:rPr>
                <w:sz w:val="16"/>
                <w:szCs w:val="16"/>
              </w:rPr>
              <w:t>Mara</w:t>
            </w:r>
          </w:p>
        </w:tc>
        <w:tc>
          <w:tcPr>
            <w:tcW w:w="1107" w:type="dxa"/>
            <w:tcBorders>
              <w:top w:val="nil"/>
              <w:left w:val="single" w:sz="4" w:space="0" w:color="auto"/>
              <w:bottom w:val="nil"/>
              <w:right w:val="nil"/>
            </w:tcBorders>
            <w:shd w:val="clear" w:color="auto" w:fill="auto"/>
            <w:noWrap/>
            <w:vAlign w:val="bottom"/>
            <w:hideMark/>
          </w:tcPr>
          <w:p w14:paraId="3B5FE8A9" w14:textId="4E101BD0" w:rsidR="00CD5D2F" w:rsidRPr="006B42D6" w:rsidRDefault="00CD5D2F" w:rsidP="00CD5D2F">
            <w:pPr>
              <w:jc w:val="right"/>
              <w:rPr>
                <w:sz w:val="16"/>
                <w:szCs w:val="16"/>
              </w:rPr>
            </w:pPr>
            <w:r w:rsidRPr="006B42D6">
              <w:rPr>
                <w:sz w:val="16"/>
                <w:szCs w:val="16"/>
              </w:rPr>
              <w:t>-</w:t>
            </w:r>
          </w:p>
        </w:tc>
        <w:tc>
          <w:tcPr>
            <w:tcW w:w="1047" w:type="dxa"/>
            <w:tcBorders>
              <w:top w:val="nil"/>
              <w:left w:val="nil"/>
              <w:bottom w:val="nil"/>
              <w:right w:val="nil"/>
            </w:tcBorders>
            <w:shd w:val="clear" w:color="auto" w:fill="auto"/>
            <w:noWrap/>
            <w:vAlign w:val="bottom"/>
            <w:hideMark/>
          </w:tcPr>
          <w:p w14:paraId="696D6366" w14:textId="5871ADCF" w:rsidR="00CD5D2F" w:rsidRPr="006B42D6" w:rsidRDefault="00CD5D2F" w:rsidP="00CD5D2F">
            <w:pPr>
              <w:jc w:val="right"/>
              <w:rPr>
                <w:sz w:val="16"/>
                <w:szCs w:val="16"/>
              </w:rPr>
            </w:pPr>
            <w:r w:rsidRPr="006B42D6">
              <w:rPr>
                <w:sz w:val="16"/>
                <w:szCs w:val="16"/>
              </w:rPr>
              <w:t>-</w:t>
            </w:r>
          </w:p>
        </w:tc>
        <w:tc>
          <w:tcPr>
            <w:tcW w:w="1107" w:type="dxa"/>
            <w:tcBorders>
              <w:top w:val="nil"/>
              <w:left w:val="nil"/>
              <w:bottom w:val="nil"/>
              <w:right w:val="nil"/>
            </w:tcBorders>
            <w:shd w:val="clear" w:color="auto" w:fill="auto"/>
            <w:noWrap/>
            <w:vAlign w:val="bottom"/>
            <w:hideMark/>
          </w:tcPr>
          <w:p w14:paraId="248B2F40" w14:textId="71D23E1B" w:rsidR="00CD5D2F" w:rsidRPr="006B42D6" w:rsidRDefault="00CD5D2F" w:rsidP="00CD5D2F">
            <w:pPr>
              <w:jc w:val="right"/>
              <w:rPr>
                <w:sz w:val="16"/>
                <w:szCs w:val="16"/>
              </w:rPr>
            </w:pPr>
            <w:r w:rsidRPr="006B42D6">
              <w:rPr>
                <w:sz w:val="16"/>
                <w:szCs w:val="16"/>
              </w:rPr>
              <w:t>-</w:t>
            </w:r>
          </w:p>
        </w:tc>
        <w:tc>
          <w:tcPr>
            <w:tcW w:w="1438" w:type="dxa"/>
            <w:tcBorders>
              <w:top w:val="nil"/>
              <w:left w:val="nil"/>
              <w:bottom w:val="nil"/>
              <w:right w:val="nil"/>
            </w:tcBorders>
            <w:shd w:val="clear" w:color="auto" w:fill="auto"/>
            <w:noWrap/>
            <w:vAlign w:val="bottom"/>
            <w:hideMark/>
          </w:tcPr>
          <w:p w14:paraId="0AA07302" w14:textId="50804798" w:rsidR="00CD5D2F" w:rsidRPr="006B42D6" w:rsidRDefault="00CD5D2F" w:rsidP="00CD5D2F">
            <w:pPr>
              <w:jc w:val="right"/>
              <w:rPr>
                <w:sz w:val="16"/>
                <w:szCs w:val="16"/>
              </w:rPr>
            </w:pPr>
            <w:r w:rsidRPr="006B42D6">
              <w:rPr>
                <w:sz w:val="16"/>
                <w:szCs w:val="16"/>
              </w:rPr>
              <w:t>-</w:t>
            </w:r>
          </w:p>
        </w:tc>
        <w:tc>
          <w:tcPr>
            <w:tcW w:w="1331" w:type="dxa"/>
            <w:tcBorders>
              <w:top w:val="nil"/>
              <w:left w:val="nil"/>
              <w:bottom w:val="nil"/>
              <w:right w:val="nil"/>
            </w:tcBorders>
            <w:shd w:val="clear" w:color="auto" w:fill="auto"/>
            <w:noWrap/>
            <w:vAlign w:val="bottom"/>
            <w:hideMark/>
          </w:tcPr>
          <w:p w14:paraId="4868D583" w14:textId="23EC62E8" w:rsidR="00CD5D2F" w:rsidRPr="006B42D6" w:rsidRDefault="00CD5D2F" w:rsidP="00CD5D2F">
            <w:pPr>
              <w:jc w:val="right"/>
              <w:rPr>
                <w:sz w:val="16"/>
                <w:szCs w:val="16"/>
              </w:rPr>
            </w:pPr>
            <w:r w:rsidRPr="006B42D6">
              <w:rPr>
                <w:sz w:val="16"/>
                <w:szCs w:val="16"/>
              </w:rPr>
              <w:t>-</w:t>
            </w:r>
          </w:p>
        </w:tc>
        <w:tc>
          <w:tcPr>
            <w:tcW w:w="1006" w:type="dxa"/>
            <w:tcBorders>
              <w:top w:val="nil"/>
              <w:left w:val="nil"/>
              <w:bottom w:val="nil"/>
              <w:right w:val="nil"/>
            </w:tcBorders>
            <w:shd w:val="clear" w:color="auto" w:fill="auto"/>
            <w:noWrap/>
            <w:vAlign w:val="bottom"/>
            <w:hideMark/>
          </w:tcPr>
          <w:p w14:paraId="78D3EEDC" w14:textId="60E7CFE9" w:rsidR="00CD5D2F" w:rsidRPr="006B42D6" w:rsidRDefault="00CD5D2F" w:rsidP="00CD5D2F">
            <w:pPr>
              <w:jc w:val="right"/>
              <w:rPr>
                <w:sz w:val="16"/>
                <w:szCs w:val="16"/>
              </w:rPr>
            </w:pPr>
            <w:r w:rsidRPr="006B42D6">
              <w:rPr>
                <w:sz w:val="16"/>
                <w:szCs w:val="16"/>
              </w:rPr>
              <w:t>-</w:t>
            </w:r>
          </w:p>
        </w:tc>
        <w:tc>
          <w:tcPr>
            <w:tcW w:w="976" w:type="dxa"/>
            <w:tcBorders>
              <w:top w:val="nil"/>
              <w:left w:val="nil"/>
              <w:bottom w:val="nil"/>
              <w:right w:val="nil"/>
            </w:tcBorders>
            <w:shd w:val="clear" w:color="auto" w:fill="auto"/>
            <w:noWrap/>
            <w:vAlign w:val="bottom"/>
            <w:hideMark/>
          </w:tcPr>
          <w:p w14:paraId="757F59D1" w14:textId="3F96A880" w:rsidR="00CD5D2F" w:rsidRPr="006B42D6" w:rsidRDefault="00CD5D2F" w:rsidP="00CD5D2F">
            <w:pPr>
              <w:jc w:val="right"/>
              <w:rPr>
                <w:sz w:val="16"/>
                <w:szCs w:val="16"/>
              </w:rPr>
            </w:pPr>
            <w:r w:rsidRPr="006B42D6">
              <w:rPr>
                <w:sz w:val="16"/>
                <w:szCs w:val="16"/>
              </w:rPr>
              <w:t>-</w:t>
            </w:r>
          </w:p>
        </w:tc>
      </w:tr>
      <w:tr w:rsidR="006B42D6" w:rsidRPr="006B42D6" w14:paraId="27D7C601" w14:textId="77777777" w:rsidTr="00D972DA">
        <w:trPr>
          <w:trHeight w:val="20"/>
        </w:trPr>
        <w:tc>
          <w:tcPr>
            <w:tcW w:w="1758" w:type="dxa"/>
            <w:tcBorders>
              <w:top w:val="nil"/>
              <w:left w:val="nil"/>
              <w:bottom w:val="nil"/>
              <w:right w:val="nil"/>
            </w:tcBorders>
            <w:shd w:val="clear" w:color="auto" w:fill="auto"/>
            <w:noWrap/>
            <w:vAlign w:val="bottom"/>
            <w:hideMark/>
          </w:tcPr>
          <w:p w14:paraId="38858BB4" w14:textId="40D5BEC4" w:rsidR="00CD5D2F" w:rsidRPr="006B42D6" w:rsidRDefault="00CD5D2F" w:rsidP="0072387B">
            <w:pPr>
              <w:jc w:val="left"/>
              <w:rPr>
                <w:sz w:val="16"/>
                <w:szCs w:val="16"/>
              </w:rPr>
            </w:pPr>
            <w:r w:rsidRPr="006B42D6">
              <w:rPr>
                <w:sz w:val="16"/>
                <w:szCs w:val="16"/>
              </w:rPr>
              <w:t>Manyara</w:t>
            </w:r>
          </w:p>
        </w:tc>
        <w:tc>
          <w:tcPr>
            <w:tcW w:w="1107" w:type="dxa"/>
            <w:tcBorders>
              <w:top w:val="nil"/>
              <w:left w:val="single" w:sz="4" w:space="0" w:color="auto"/>
              <w:bottom w:val="nil"/>
              <w:right w:val="nil"/>
            </w:tcBorders>
            <w:shd w:val="clear" w:color="auto" w:fill="auto"/>
            <w:noWrap/>
            <w:vAlign w:val="bottom"/>
            <w:hideMark/>
          </w:tcPr>
          <w:p w14:paraId="764D5B25" w14:textId="367B0890" w:rsidR="00CD5D2F" w:rsidRPr="006B42D6" w:rsidRDefault="00CD5D2F" w:rsidP="00CD5D2F">
            <w:pPr>
              <w:jc w:val="right"/>
              <w:rPr>
                <w:sz w:val="16"/>
                <w:szCs w:val="16"/>
              </w:rPr>
            </w:pPr>
            <w:r w:rsidRPr="006B42D6">
              <w:rPr>
                <w:sz w:val="16"/>
                <w:szCs w:val="16"/>
              </w:rPr>
              <w:t>-</w:t>
            </w:r>
          </w:p>
        </w:tc>
        <w:tc>
          <w:tcPr>
            <w:tcW w:w="1047" w:type="dxa"/>
            <w:tcBorders>
              <w:top w:val="nil"/>
              <w:left w:val="nil"/>
              <w:bottom w:val="nil"/>
              <w:right w:val="nil"/>
            </w:tcBorders>
            <w:shd w:val="clear" w:color="auto" w:fill="auto"/>
            <w:noWrap/>
            <w:vAlign w:val="bottom"/>
            <w:hideMark/>
          </w:tcPr>
          <w:p w14:paraId="10AE83B8" w14:textId="24E0198F" w:rsidR="00CD5D2F" w:rsidRPr="006B42D6" w:rsidRDefault="00CD5D2F" w:rsidP="00CD5D2F">
            <w:pPr>
              <w:jc w:val="right"/>
              <w:rPr>
                <w:sz w:val="16"/>
                <w:szCs w:val="16"/>
              </w:rPr>
            </w:pPr>
            <w:r w:rsidRPr="006B42D6">
              <w:rPr>
                <w:sz w:val="16"/>
                <w:szCs w:val="16"/>
              </w:rPr>
              <w:t>-</w:t>
            </w:r>
          </w:p>
        </w:tc>
        <w:tc>
          <w:tcPr>
            <w:tcW w:w="1107" w:type="dxa"/>
            <w:tcBorders>
              <w:top w:val="nil"/>
              <w:left w:val="nil"/>
              <w:bottom w:val="nil"/>
              <w:right w:val="nil"/>
            </w:tcBorders>
            <w:shd w:val="clear" w:color="auto" w:fill="auto"/>
            <w:noWrap/>
            <w:vAlign w:val="bottom"/>
            <w:hideMark/>
          </w:tcPr>
          <w:p w14:paraId="11FFE544" w14:textId="18DF7696" w:rsidR="00CD5D2F" w:rsidRPr="006B42D6" w:rsidRDefault="00CD5D2F" w:rsidP="00CD5D2F">
            <w:pPr>
              <w:jc w:val="right"/>
              <w:rPr>
                <w:sz w:val="16"/>
                <w:szCs w:val="16"/>
              </w:rPr>
            </w:pPr>
            <w:r w:rsidRPr="006B42D6">
              <w:rPr>
                <w:sz w:val="16"/>
                <w:szCs w:val="16"/>
              </w:rPr>
              <w:t>-</w:t>
            </w:r>
          </w:p>
        </w:tc>
        <w:tc>
          <w:tcPr>
            <w:tcW w:w="1438" w:type="dxa"/>
            <w:tcBorders>
              <w:top w:val="nil"/>
              <w:left w:val="nil"/>
              <w:bottom w:val="nil"/>
              <w:right w:val="nil"/>
            </w:tcBorders>
            <w:shd w:val="clear" w:color="auto" w:fill="auto"/>
            <w:noWrap/>
            <w:vAlign w:val="bottom"/>
            <w:hideMark/>
          </w:tcPr>
          <w:p w14:paraId="210B16C1" w14:textId="3C6C8CEE" w:rsidR="00CD5D2F" w:rsidRPr="006B42D6" w:rsidRDefault="00CD5D2F" w:rsidP="00CD5D2F">
            <w:pPr>
              <w:jc w:val="right"/>
              <w:rPr>
                <w:sz w:val="16"/>
                <w:szCs w:val="16"/>
              </w:rPr>
            </w:pPr>
            <w:r w:rsidRPr="006B42D6">
              <w:rPr>
                <w:sz w:val="16"/>
                <w:szCs w:val="16"/>
              </w:rPr>
              <w:t>-</w:t>
            </w:r>
          </w:p>
        </w:tc>
        <w:tc>
          <w:tcPr>
            <w:tcW w:w="1331" w:type="dxa"/>
            <w:tcBorders>
              <w:top w:val="nil"/>
              <w:left w:val="nil"/>
              <w:bottom w:val="nil"/>
              <w:right w:val="nil"/>
            </w:tcBorders>
            <w:shd w:val="clear" w:color="auto" w:fill="auto"/>
            <w:noWrap/>
            <w:vAlign w:val="bottom"/>
            <w:hideMark/>
          </w:tcPr>
          <w:p w14:paraId="4174B4AB" w14:textId="34FDBD24" w:rsidR="00CD5D2F" w:rsidRPr="006B42D6" w:rsidRDefault="00CD5D2F" w:rsidP="00CD5D2F">
            <w:pPr>
              <w:jc w:val="right"/>
              <w:rPr>
                <w:sz w:val="16"/>
                <w:szCs w:val="16"/>
              </w:rPr>
            </w:pPr>
            <w:r w:rsidRPr="006B42D6">
              <w:rPr>
                <w:sz w:val="16"/>
                <w:szCs w:val="16"/>
              </w:rPr>
              <w:t>-</w:t>
            </w:r>
          </w:p>
        </w:tc>
        <w:tc>
          <w:tcPr>
            <w:tcW w:w="1006" w:type="dxa"/>
            <w:tcBorders>
              <w:top w:val="nil"/>
              <w:left w:val="nil"/>
              <w:bottom w:val="nil"/>
              <w:right w:val="nil"/>
            </w:tcBorders>
            <w:shd w:val="clear" w:color="auto" w:fill="auto"/>
            <w:noWrap/>
            <w:vAlign w:val="bottom"/>
            <w:hideMark/>
          </w:tcPr>
          <w:p w14:paraId="3543D3B2" w14:textId="17B02097" w:rsidR="00CD5D2F" w:rsidRPr="006B42D6" w:rsidRDefault="00CD5D2F" w:rsidP="00CD5D2F">
            <w:pPr>
              <w:jc w:val="right"/>
              <w:rPr>
                <w:sz w:val="16"/>
                <w:szCs w:val="16"/>
              </w:rPr>
            </w:pPr>
            <w:r w:rsidRPr="006B42D6">
              <w:rPr>
                <w:sz w:val="16"/>
                <w:szCs w:val="16"/>
              </w:rPr>
              <w:t>-</w:t>
            </w:r>
          </w:p>
        </w:tc>
        <w:tc>
          <w:tcPr>
            <w:tcW w:w="976" w:type="dxa"/>
            <w:tcBorders>
              <w:top w:val="nil"/>
              <w:left w:val="nil"/>
              <w:bottom w:val="nil"/>
              <w:right w:val="nil"/>
            </w:tcBorders>
            <w:shd w:val="clear" w:color="auto" w:fill="auto"/>
            <w:noWrap/>
            <w:vAlign w:val="bottom"/>
            <w:hideMark/>
          </w:tcPr>
          <w:p w14:paraId="061D29C3" w14:textId="38A8F786" w:rsidR="00CD5D2F" w:rsidRPr="006B42D6" w:rsidRDefault="00CD5D2F" w:rsidP="00CD5D2F">
            <w:pPr>
              <w:jc w:val="right"/>
              <w:rPr>
                <w:sz w:val="16"/>
                <w:szCs w:val="16"/>
              </w:rPr>
            </w:pPr>
            <w:r w:rsidRPr="006B42D6">
              <w:rPr>
                <w:sz w:val="16"/>
                <w:szCs w:val="16"/>
              </w:rPr>
              <w:t>-</w:t>
            </w:r>
          </w:p>
        </w:tc>
      </w:tr>
      <w:tr w:rsidR="006B42D6" w:rsidRPr="006B42D6" w14:paraId="27A955A5" w14:textId="77777777" w:rsidTr="00D972DA">
        <w:trPr>
          <w:trHeight w:val="20"/>
        </w:trPr>
        <w:tc>
          <w:tcPr>
            <w:tcW w:w="1758" w:type="dxa"/>
            <w:tcBorders>
              <w:top w:val="nil"/>
              <w:left w:val="nil"/>
              <w:bottom w:val="nil"/>
              <w:right w:val="nil"/>
            </w:tcBorders>
            <w:shd w:val="clear" w:color="auto" w:fill="auto"/>
            <w:noWrap/>
            <w:vAlign w:val="bottom"/>
            <w:hideMark/>
          </w:tcPr>
          <w:p w14:paraId="1BD3D5A1" w14:textId="35E4CFCE" w:rsidR="00CD5D2F" w:rsidRPr="006B42D6" w:rsidRDefault="00CD5D2F" w:rsidP="0072387B">
            <w:pPr>
              <w:jc w:val="left"/>
              <w:rPr>
                <w:sz w:val="16"/>
                <w:szCs w:val="16"/>
              </w:rPr>
            </w:pPr>
            <w:r w:rsidRPr="006B42D6">
              <w:rPr>
                <w:sz w:val="16"/>
                <w:szCs w:val="16"/>
              </w:rPr>
              <w:t>Njombe</w:t>
            </w:r>
          </w:p>
        </w:tc>
        <w:tc>
          <w:tcPr>
            <w:tcW w:w="1107" w:type="dxa"/>
            <w:tcBorders>
              <w:top w:val="nil"/>
              <w:left w:val="single" w:sz="4" w:space="0" w:color="auto"/>
              <w:bottom w:val="nil"/>
              <w:right w:val="nil"/>
            </w:tcBorders>
            <w:shd w:val="clear" w:color="auto" w:fill="auto"/>
            <w:noWrap/>
            <w:vAlign w:val="bottom"/>
            <w:hideMark/>
          </w:tcPr>
          <w:p w14:paraId="28B73CFC" w14:textId="5AC6E3A3" w:rsidR="00CD5D2F" w:rsidRPr="006B42D6" w:rsidRDefault="00CD5D2F" w:rsidP="00CD5D2F">
            <w:pPr>
              <w:jc w:val="right"/>
              <w:rPr>
                <w:sz w:val="16"/>
                <w:szCs w:val="16"/>
              </w:rPr>
            </w:pPr>
            <w:r w:rsidRPr="006B42D6">
              <w:rPr>
                <w:sz w:val="16"/>
                <w:szCs w:val="16"/>
              </w:rPr>
              <w:t>-</w:t>
            </w:r>
          </w:p>
        </w:tc>
        <w:tc>
          <w:tcPr>
            <w:tcW w:w="1047" w:type="dxa"/>
            <w:tcBorders>
              <w:top w:val="nil"/>
              <w:left w:val="nil"/>
              <w:bottom w:val="nil"/>
              <w:right w:val="nil"/>
            </w:tcBorders>
            <w:shd w:val="clear" w:color="auto" w:fill="auto"/>
            <w:noWrap/>
            <w:vAlign w:val="bottom"/>
            <w:hideMark/>
          </w:tcPr>
          <w:p w14:paraId="18AB4B91" w14:textId="7B753324" w:rsidR="00CD5D2F" w:rsidRPr="006B42D6" w:rsidRDefault="00CD5D2F" w:rsidP="00CD5D2F">
            <w:pPr>
              <w:jc w:val="right"/>
              <w:rPr>
                <w:sz w:val="16"/>
                <w:szCs w:val="16"/>
              </w:rPr>
            </w:pPr>
            <w:r w:rsidRPr="006B42D6">
              <w:rPr>
                <w:sz w:val="16"/>
                <w:szCs w:val="16"/>
              </w:rPr>
              <w:t>-</w:t>
            </w:r>
          </w:p>
        </w:tc>
        <w:tc>
          <w:tcPr>
            <w:tcW w:w="1107" w:type="dxa"/>
            <w:tcBorders>
              <w:top w:val="nil"/>
              <w:left w:val="nil"/>
              <w:bottom w:val="nil"/>
              <w:right w:val="nil"/>
            </w:tcBorders>
            <w:shd w:val="clear" w:color="auto" w:fill="auto"/>
            <w:noWrap/>
            <w:vAlign w:val="bottom"/>
            <w:hideMark/>
          </w:tcPr>
          <w:p w14:paraId="7E7EC01B" w14:textId="2AECA075" w:rsidR="00CD5D2F" w:rsidRPr="006B42D6" w:rsidRDefault="00CD5D2F" w:rsidP="00CD5D2F">
            <w:pPr>
              <w:jc w:val="right"/>
              <w:rPr>
                <w:sz w:val="16"/>
                <w:szCs w:val="16"/>
              </w:rPr>
            </w:pPr>
            <w:r w:rsidRPr="006B42D6">
              <w:rPr>
                <w:sz w:val="16"/>
                <w:szCs w:val="16"/>
              </w:rPr>
              <w:t>-</w:t>
            </w:r>
          </w:p>
        </w:tc>
        <w:tc>
          <w:tcPr>
            <w:tcW w:w="1438" w:type="dxa"/>
            <w:tcBorders>
              <w:top w:val="nil"/>
              <w:left w:val="nil"/>
              <w:bottom w:val="nil"/>
              <w:right w:val="nil"/>
            </w:tcBorders>
            <w:shd w:val="clear" w:color="auto" w:fill="auto"/>
            <w:noWrap/>
            <w:vAlign w:val="bottom"/>
            <w:hideMark/>
          </w:tcPr>
          <w:p w14:paraId="5F9CC21E" w14:textId="3D73DD53" w:rsidR="00CD5D2F" w:rsidRPr="006B42D6" w:rsidRDefault="00CD5D2F" w:rsidP="00CD5D2F">
            <w:pPr>
              <w:jc w:val="right"/>
              <w:rPr>
                <w:sz w:val="16"/>
                <w:szCs w:val="16"/>
              </w:rPr>
            </w:pPr>
            <w:r w:rsidRPr="006B42D6">
              <w:rPr>
                <w:sz w:val="16"/>
                <w:szCs w:val="16"/>
              </w:rPr>
              <w:t>-</w:t>
            </w:r>
          </w:p>
        </w:tc>
        <w:tc>
          <w:tcPr>
            <w:tcW w:w="1331" w:type="dxa"/>
            <w:tcBorders>
              <w:top w:val="nil"/>
              <w:left w:val="nil"/>
              <w:bottom w:val="nil"/>
              <w:right w:val="nil"/>
            </w:tcBorders>
            <w:shd w:val="clear" w:color="auto" w:fill="auto"/>
            <w:noWrap/>
            <w:vAlign w:val="bottom"/>
            <w:hideMark/>
          </w:tcPr>
          <w:p w14:paraId="1BCFF1E9" w14:textId="5DD074AE" w:rsidR="00CD5D2F" w:rsidRPr="006B42D6" w:rsidRDefault="00CD5D2F" w:rsidP="00CD5D2F">
            <w:pPr>
              <w:jc w:val="right"/>
              <w:rPr>
                <w:sz w:val="16"/>
                <w:szCs w:val="16"/>
              </w:rPr>
            </w:pPr>
            <w:r w:rsidRPr="006B42D6">
              <w:rPr>
                <w:sz w:val="16"/>
                <w:szCs w:val="16"/>
              </w:rPr>
              <w:t>-</w:t>
            </w:r>
          </w:p>
        </w:tc>
        <w:tc>
          <w:tcPr>
            <w:tcW w:w="1006" w:type="dxa"/>
            <w:tcBorders>
              <w:top w:val="nil"/>
              <w:left w:val="nil"/>
              <w:bottom w:val="nil"/>
              <w:right w:val="nil"/>
            </w:tcBorders>
            <w:shd w:val="clear" w:color="auto" w:fill="auto"/>
            <w:noWrap/>
            <w:vAlign w:val="bottom"/>
            <w:hideMark/>
          </w:tcPr>
          <w:p w14:paraId="13803889" w14:textId="5E6FDAB0" w:rsidR="00CD5D2F" w:rsidRPr="006B42D6" w:rsidRDefault="00CD5D2F" w:rsidP="00CD5D2F">
            <w:pPr>
              <w:jc w:val="right"/>
              <w:rPr>
                <w:sz w:val="16"/>
                <w:szCs w:val="16"/>
              </w:rPr>
            </w:pPr>
            <w:r w:rsidRPr="006B42D6">
              <w:rPr>
                <w:sz w:val="16"/>
                <w:szCs w:val="16"/>
              </w:rPr>
              <w:t>-</w:t>
            </w:r>
          </w:p>
        </w:tc>
        <w:tc>
          <w:tcPr>
            <w:tcW w:w="976" w:type="dxa"/>
            <w:tcBorders>
              <w:top w:val="nil"/>
              <w:left w:val="nil"/>
              <w:bottom w:val="nil"/>
              <w:right w:val="nil"/>
            </w:tcBorders>
            <w:shd w:val="clear" w:color="auto" w:fill="auto"/>
            <w:noWrap/>
            <w:vAlign w:val="bottom"/>
            <w:hideMark/>
          </w:tcPr>
          <w:p w14:paraId="39059EC9" w14:textId="2DCC3EA0" w:rsidR="00CD5D2F" w:rsidRPr="006B42D6" w:rsidRDefault="00CD5D2F" w:rsidP="00CD5D2F">
            <w:pPr>
              <w:jc w:val="right"/>
              <w:rPr>
                <w:sz w:val="16"/>
                <w:szCs w:val="16"/>
              </w:rPr>
            </w:pPr>
            <w:r w:rsidRPr="006B42D6">
              <w:rPr>
                <w:sz w:val="16"/>
                <w:szCs w:val="16"/>
              </w:rPr>
              <w:t>-</w:t>
            </w:r>
          </w:p>
        </w:tc>
      </w:tr>
      <w:tr w:rsidR="006B42D6" w:rsidRPr="006B42D6" w14:paraId="196F7FFF" w14:textId="77777777" w:rsidTr="00D972DA">
        <w:trPr>
          <w:trHeight w:val="20"/>
        </w:trPr>
        <w:tc>
          <w:tcPr>
            <w:tcW w:w="1758" w:type="dxa"/>
            <w:tcBorders>
              <w:top w:val="nil"/>
              <w:left w:val="nil"/>
              <w:bottom w:val="nil"/>
              <w:right w:val="nil"/>
            </w:tcBorders>
            <w:shd w:val="clear" w:color="auto" w:fill="auto"/>
            <w:noWrap/>
            <w:vAlign w:val="bottom"/>
            <w:hideMark/>
          </w:tcPr>
          <w:p w14:paraId="26475F81" w14:textId="259E5FD9" w:rsidR="00CD5D2F" w:rsidRPr="006B42D6" w:rsidRDefault="00CD5D2F" w:rsidP="0072387B">
            <w:pPr>
              <w:jc w:val="left"/>
              <w:rPr>
                <w:sz w:val="16"/>
                <w:szCs w:val="16"/>
              </w:rPr>
            </w:pPr>
            <w:r w:rsidRPr="006B42D6">
              <w:rPr>
                <w:sz w:val="16"/>
                <w:szCs w:val="16"/>
              </w:rPr>
              <w:t>Katavi</w:t>
            </w:r>
          </w:p>
        </w:tc>
        <w:tc>
          <w:tcPr>
            <w:tcW w:w="1107" w:type="dxa"/>
            <w:tcBorders>
              <w:top w:val="nil"/>
              <w:left w:val="single" w:sz="4" w:space="0" w:color="auto"/>
              <w:bottom w:val="nil"/>
              <w:right w:val="nil"/>
            </w:tcBorders>
            <w:shd w:val="clear" w:color="auto" w:fill="auto"/>
            <w:noWrap/>
            <w:vAlign w:val="bottom"/>
            <w:hideMark/>
          </w:tcPr>
          <w:p w14:paraId="1B27930F" w14:textId="6EE4D776" w:rsidR="00CD5D2F" w:rsidRPr="006B42D6" w:rsidRDefault="00CD5D2F" w:rsidP="00CD5D2F">
            <w:pPr>
              <w:jc w:val="right"/>
              <w:rPr>
                <w:sz w:val="16"/>
                <w:szCs w:val="16"/>
              </w:rPr>
            </w:pPr>
            <w:r w:rsidRPr="006B42D6">
              <w:rPr>
                <w:sz w:val="16"/>
                <w:szCs w:val="16"/>
              </w:rPr>
              <w:t>-</w:t>
            </w:r>
          </w:p>
        </w:tc>
        <w:tc>
          <w:tcPr>
            <w:tcW w:w="1047" w:type="dxa"/>
            <w:tcBorders>
              <w:top w:val="nil"/>
              <w:left w:val="nil"/>
              <w:bottom w:val="nil"/>
              <w:right w:val="nil"/>
            </w:tcBorders>
            <w:shd w:val="clear" w:color="auto" w:fill="auto"/>
            <w:noWrap/>
            <w:vAlign w:val="bottom"/>
            <w:hideMark/>
          </w:tcPr>
          <w:p w14:paraId="58416CF5" w14:textId="6FA850F1" w:rsidR="00CD5D2F" w:rsidRPr="006B42D6" w:rsidRDefault="00CD5D2F" w:rsidP="00CD5D2F">
            <w:pPr>
              <w:jc w:val="right"/>
              <w:rPr>
                <w:sz w:val="16"/>
                <w:szCs w:val="16"/>
              </w:rPr>
            </w:pPr>
            <w:r w:rsidRPr="006B42D6">
              <w:rPr>
                <w:sz w:val="16"/>
                <w:szCs w:val="16"/>
              </w:rPr>
              <w:t>-</w:t>
            </w:r>
          </w:p>
        </w:tc>
        <w:tc>
          <w:tcPr>
            <w:tcW w:w="1107" w:type="dxa"/>
            <w:tcBorders>
              <w:top w:val="nil"/>
              <w:left w:val="nil"/>
              <w:bottom w:val="nil"/>
              <w:right w:val="nil"/>
            </w:tcBorders>
            <w:shd w:val="clear" w:color="auto" w:fill="auto"/>
            <w:noWrap/>
            <w:vAlign w:val="bottom"/>
            <w:hideMark/>
          </w:tcPr>
          <w:p w14:paraId="60FDC9EB" w14:textId="63F93D45" w:rsidR="00CD5D2F" w:rsidRPr="006B42D6" w:rsidRDefault="00CD5D2F" w:rsidP="00CD5D2F">
            <w:pPr>
              <w:jc w:val="right"/>
              <w:rPr>
                <w:sz w:val="16"/>
                <w:szCs w:val="16"/>
              </w:rPr>
            </w:pPr>
            <w:r w:rsidRPr="006B42D6">
              <w:rPr>
                <w:sz w:val="16"/>
                <w:szCs w:val="16"/>
              </w:rPr>
              <w:t>80</w:t>
            </w:r>
          </w:p>
        </w:tc>
        <w:tc>
          <w:tcPr>
            <w:tcW w:w="1438" w:type="dxa"/>
            <w:tcBorders>
              <w:top w:val="nil"/>
              <w:left w:val="nil"/>
              <w:bottom w:val="nil"/>
              <w:right w:val="nil"/>
            </w:tcBorders>
            <w:shd w:val="clear" w:color="auto" w:fill="auto"/>
            <w:noWrap/>
            <w:vAlign w:val="bottom"/>
            <w:hideMark/>
          </w:tcPr>
          <w:p w14:paraId="03383130" w14:textId="6AFF6237" w:rsidR="00CD5D2F" w:rsidRPr="006B42D6" w:rsidRDefault="00CD5D2F" w:rsidP="00CD5D2F">
            <w:pPr>
              <w:jc w:val="right"/>
              <w:rPr>
                <w:sz w:val="16"/>
                <w:szCs w:val="16"/>
              </w:rPr>
            </w:pPr>
            <w:r w:rsidRPr="006B42D6">
              <w:rPr>
                <w:sz w:val="16"/>
                <w:szCs w:val="16"/>
              </w:rPr>
              <w:t>16</w:t>
            </w:r>
          </w:p>
        </w:tc>
        <w:tc>
          <w:tcPr>
            <w:tcW w:w="1331" w:type="dxa"/>
            <w:tcBorders>
              <w:top w:val="nil"/>
              <w:left w:val="nil"/>
              <w:bottom w:val="nil"/>
              <w:right w:val="nil"/>
            </w:tcBorders>
            <w:shd w:val="clear" w:color="auto" w:fill="auto"/>
            <w:noWrap/>
            <w:vAlign w:val="bottom"/>
            <w:hideMark/>
          </w:tcPr>
          <w:p w14:paraId="1DC3B8BC" w14:textId="3FFDCCF3" w:rsidR="00CD5D2F" w:rsidRPr="006B42D6" w:rsidRDefault="00CD5D2F" w:rsidP="00CD5D2F">
            <w:pPr>
              <w:jc w:val="right"/>
              <w:rPr>
                <w:sz w:val="16"/>
                <w:szCs w:val="16"/>
              </w:rPr>
            </w:pPr>
            <w:r w:rsidRPr="006B42D6">
              <w:rPr>
                <w:sz w:val="16"/>
                <w:szCs w:val="16"/>
              </w:rPr>
              <w:t>16</w:t>
            </w:r>
          </w:p>
        </w:tc>
        <w:tc>
          <w:tcPr>
            <w:tcW w:w="1006" w:type="dxa"/>
            <w:tcBorders>
              <w:top w:val="nil"/>
              <w:left w:val="nil"/>
              <w:bottom w:val="nil"/>
              <w:right w:val="nil"/>
            </w:tcBorders>
            <w:shd w:val="clear" w:color="auto" w:fill="auto"/>
            <w:noWrap/>
            <w:vAlign w:val="bottom"/>
            <w:hideMark/>
          </w:tcPr>
          <w:p w14:paraId="7892C3E9" w14:textId="1CBC9E69" w:rsidR="00CD5D2F" w:rsidRPr="006B42D6" w:rsidRDefault="00CD5D2F" w:rsidP="00CD5D2F">
            <w:pPr>
              <w:jc w:val="right"/>
              <w:rPr>
                <w:sz w:val="16"/>
                <w:szCs w:val="16"/>
              </w:rPr>
            </w:pPr>
            <w:r w:rsidRPr="006B42D6">
              <w:rPr>
                <w:sz w:val="16"/>
                <w:szCs w:val="16"/>
              </w:rPr>
              <w:t>16</w:t>
            </w:r>
          </w:p>
        </w:tc>
        <w:tc>
          <w:tcPr>
            <w:tcW w:w="976" w:type="dxa"/>
            <w:tcBorders>
              <w:top w:val="nil"/>
              <w:left w:val="nil"/>
              <w:bottom w:val="nil"/>
              <w:right w:val="nil"/>
            </w:tcBorders>
            <w:shd w:val="clear" w:color="auto" w:fill="auto"/>
            <w:noWrap/>
            <w:vAlign w:val="bottom"/>
            <w:hideMark/>
          </w:tcPr>
          <w:p w14:paraId="3172BAA8" w14:textId="6277067D" w:rsidR="00CD5D2F" w:rsidRPr="006B42D6" w:rsidRDefault="00CD5D2F" w:rsidP="00CD5D2F">
            <w:pPr>
              <w:jc w:val="right"/>
              <w:rPr>
                <w:sz w:val="16"/>
                <w:szCs w:val="16"/>
              </w:rPr>
            </w:pPr>
            <w:r w:rsidRPr="006B42D6">
              <w:rPr>
                <w:sz w:val="16"/>
                <w:szCs w:val="16"/>
              </w:rPr>
              <w:t>40</w:t>
            </w:r>
          </w:p>
        </w:tc>
      </w:tr>
      <w:tr w:rsidR="006B42D6" w:rsidRPr="006B42D6" w14:paraId="296E9D9E" w14:textId="77777777" w:rsidTr="00D972DA">
        <w:trPr>
          <w:trHeight w:val="20"/>
        </w:trPr>
        <w:tc>
          <w:tcPr>
            <w:tcW w:w="1758" w:type="dxa"/>
            <w:tcBorders>
              <w:top w:val="nil"/>
              <w:left w:val="nil"/>
              <w:bottom w:val="nil"/>
              <w:right w:val="nil"/>
            </w:tcBorders>
            <w:shd w:val="clear" w:color="auto" w:fill="auto"/>
            <w:noWrap/>
            <w:vAlign w:val="bottom"/>
            <w:hideMark/>
          </w:tcPr>
          <w:p w14:paraId="658E1F9E" w14:textId="0C9E5A55" w:rsidR="00CD5D2F" w:rsidRPr="006B42D6" w:rsidRDefault="00CD5D2F" w:rsidP="0072387B">
            <w:pPr>
              <w:jc w:val="left"/>
              <w:rPr>
                <w:sz w:val="16"/>
                <w:szCs w:val="16"/>
              </w:rPr>
            </w:pPr>
            <w:r w:rsidRPr="006B42D6">
              <w:rPr>
                <w:sz w:val="16"/>
                <w:szCs w:val="16"/>
              </w:rPr>
              <w:t>Simiyu</w:t>
            </w:r>
          </w:p>
        </w:tc>
        <w:tc>
          <w:tcPr>
            <w:tcW w:w="1107" w:type="dxa"/>
            <w:tcBorders>
              <w:top w:val="nil"/>
              <w:left w:val="single" w:sz="4" w:space="0" w:color="auto"/>
              <w:bottom w:val="nil"/>
              <w:right w:val="nil"/>
            </w:tcBorders>
            <w:shd w:val="clear" w:color="auto" w:fill="auto"/>
            <w:noWrap/>
            <w:vAlign w:val="bottom"/>
            <w:hideMark/>
          </w:tcPr>
          <w:p w14:paraId="185FE344" w14:textId="512D01CA" w:rsidR="00CD5D2F" w:rsidRPr="006B42D6" w:rsidRDefault="00CD5D2F" w:rsidP="00CD5D2F">
            <w:pPr>
              <w:jc w:val="right"/>
              <w:rPr>
                <w:sz w:val="16"/>
                <w:szCs w:val="16"/>
              </w:rPr>
            </w:pPr>
            <w:r w:rsidRPr="006B42D6">
              <w:rPr>
                <w:sz w:val="16"/>
                <w:szCs w:val="16"/>
              </w:rPr>
              <w:t>-</w:t>
            </w:r>
          </w:p>
        </w:tc>
        <w:tc>
          <w:tcPr>
            <w:tcW w:w="1047" w:type="dxa"/>
            <w:tcBorders>
              <w:top w:val="nil"/>
              <w:left w:val="nil"/>
              <w:bottom w:val="nil"/>
              <w:right w:val="nil"/>
            </w:tcBorders>
            <w:shd w:val="clear" w:color="auto" w:fill="auto"/>
            <w:noWrap/>
            <w:vAlign w:val="bottom"/>
            <w:hideMark/>
          </w:tcPr>
          <w:p w14:paraId="319E6CA3" w14:textId="15300B19" w:rsidR="00CD5D2F" w:rsidRPr="006B42D6" w:rsidRDefault="00CD5D2F" w:rsidP="00CD5D2F">
            <w:pPr>
              <w:jc w:val="right"/>
              <w:rPr>
                <w:sz w:val="16"/>
                <w:szCs w:val="16"/>
              </w:rPr>
            </w:pPr>
            <w:r w:rsidRPr="006B42D6">
              <w:rPr>
                <w:sz w:val="16"/>
                <w:szCs w:val="16"/>
              </w:rPr>
              <w:t>-</w:t>
            </w:r>
          </w:p>
        </w:tc>
        <w:tc>
          <w:tcPr>
            <w:tcW w:w="1107" w:type="dxa"/>
            <w:tcBorders>
              <w:top w:val="nil"/>
              <w:left w:val="nil"/>
              <w:bottom w:val="nil"/>
              <w:right w:val="nil"/>
            </w:tcBorders>
            <w:shd w:val="clear" w:color="auto" w:fill="auto"/>
            <w:noWrap/>
            <w:vAlign w:val="bottom"/>
            <w:hideMark/>
          </w:tcPr>
          <w:p w14:paraId="25BA8740" w14:textId="32469C75" w:rsidR="00CD5D2F" w:rsidRPr="006B42D6" w:rsidRDefault="00CD5D2F" w:rsidP="00CD5D2F">
            <w:pPr>
              <w:jc w:val="right"/>
              <w:rPr>
                <w:sz w:val="16"/>
                <w:szCs w:val="16"/>
              </w:rPr>
            </w:pPr>
            <w:r w:rsidRPr="006B42D6">
              <w:rPr>
                <w:sz w:val="16"/>
                <w:szCs w:val="16"/>
              </w:rPr>
              <w:t>-</w:t>
            </w:r>
          </w:p>
        </w:tc>
        <w:tc>
          <w:tcPr>
            <w:tcW w:w="1438" w:type="dxa"/>
            <w:tcBorders>
              <w:top w:val="nil"/>
              <w:left w:val="nil"/>
              <w:bottom w:val="nil"/>
              <w:right w:val="nil"/>
            </w:tcBorders>
            <w:shd w:val="clear" w:color="auto" w:fill="auto"/>
            <w:noWrap/>
            <w:vAlign w:val="bottom"/>
            <w:hideMark/>
          </w:tcPr>
          <w:p w14:paraId="7FE37A83" w14:textId="73C8349B" w:rsidR="00CD5D2F" w:rsidRPr="006B42D6" w:rsidRDefault="00CD5D2F" w:rsidP="00CD5D2F">
            <w:pPr>
              <w:jc w:val="right"/>
              <w:rPr>
                <w:sz w:val="16"/>
                <w:szCs w:val="16"/>
              </w:rPr>
            </w:pPr>
            <w:r w:rsidRPr="006B42D6">
              <w:rPr>
                <w:sz w:val="16"/>
                <w:szCs w:val="16"/>
              </w:rPr>
              <w:t>-</w:t>
            </w:r>
          </w:p>
        </w:tc>
        <w:tc>
          <w:tcPr>
            <w:tcW w:w="1331" w:type="dxa"/>
            <w:tcBorders>
              <w:top w:val="nil"/>
              <w:left w:val="nil"/>
              <w:bottom w:val="nil"/>
              <w:right w:val="nil"/>
            </w:tcBorders>
            <w:shd w:val="clear" w:color="auto" w:fill="auto"/>
            <w:noWrap/>
            <w:vAlign w:val="bottom"/>
            <w:hideMark/>
          </w:tcPr>
          <w:p w14:paraId="54DFF2BE" w14:textId="5AC515F9" w:rsidR="00CD5D2F" w:rsidRPr="006B42D6" w:rsidRDefault="00CD5D2F" w:rsidP="00CD5D2F">
            <w:pPr>
              <w:jc w:val="right"/>
              <w:rPr>
                <w:sz w:val="16"/>
                <w:szCs w:val="16"/>
              </w:rPr>
            </w:pPr>
            <w:r w:rsidRPr="006B42D6">
              <w:rPr>
                <w:sz w:val="16"/>
                <w:szCs w:val="16"/>
              </w:rPr>
              <w:t>-</w:t>
            </w:r>
          </w:p>
        </w:tc>
        <w:tc>
          <w:tcPr>
            <w:tcW w:w="1006" w:type="dxa"/>
            <w:tcBorders>
              <w:top w:val="nil"/>
              <w:left w:val="nil"/>
              <w:bottom w:val="nil"/>
              <w:right w:val="nil"/>
            </w:tcBorders>
            <w:shd w:val="clear" w:color="auto" w:fill="auto"/>
            <w:noWrap/>
            <w:vAlign w:val="bottom"/>
            <w:hideMark/>
          </w:tcPr>
          <w:p w14:paraId="2E70464E" w14:textId="60F6BB52" w:rsidR="00CD5D2F" w:rsidRPr="006B42D6" w:rsidRDefault="00CD5D2F" w:rsidP="00CD5D2F">
            <w:pPr>
              <w:jc w:val="right"/>
              <w:rPr>
                <w:sz w:val="16"/>
                <w:szCs w:val="16"/>
              </w:rPr>
            </w:pPr>
            <w:r w:rsidRPr="006B42D6">
              <w:rPr>
                <w:sz w:val="16"/>
                <w:szCs w:val="16"/>
              </w:rPr>
              <w:t>-</w:t>
            </w:r>
          </w:p>
        </w:tc>
        <w:tc>
          <w:tcPr>
            <w:tcW w:w="976" w:type="dxa"/>
            <w:tcBorders>
              <w:top w:val="nil"/>
              <w:left w:val="nil"/>
              <w:bottom w:val="nil"/>
              <w:right w:val="nil"/>
            </w:tcBorders>
            <w:shd w:val="clear" w:color="auto" w:fill="auto"/>
            <w:noWrap/>
            <w:vAlign w:val="bottom"/>
            <w:hideMark/>
          </w:tcPr>
          <w:p w14:paraId="2445EBAA" w14:textId="7EB90B37" w:rsidR="00CD5D2F" w:rsidRPr="006B42D6" w:rsidRDefault="00CD5D2F" w:rsidP="00CD5D2F">
            <w:pPr>
              <w:jc w:val="right"/>
              <w:rPr>
                <w:sz w:val="16"/>
                <w:szCs w:val="16"/>
              </w:rPr>
            </w:pPr>
            <w:r w:rsidRPr="006B42D6">
              <w:rPr>
                <w:sz w:val="16"/>
                <w:szCs w:val="16"/>
              </w:rPr>
              <w:t>-</w:t>
            </w:r>
          </w:p>
        </w:tc>
      </w:tr>
      <w:tr w:rsidR="006B42D6" w:rsidRPr="006B42D6" w14:paraId="1B21BC45" w14:textId="77777777" w:rsidTr="00D972DA">
        <w:trPr>
          <w:trHeight w:val="20"/>
        </w:trPr>
        <w:tc>
          <w:tcPr>
            <w:tcW w:w="1758" w:type="dxa"/>
            <w:tcBorders>
              <w:top w:val="nil"/>
              <w:left w:val="nil"/>
              <w:bottom w:val="nil"/>
              <w:right w:val="nil"/>
            </w:tcBorders>
            <w:shd w:val="clear" w:color="auto" w:fill="auto"/>
            <w:noWrap/>
            <w:vAlign w:val="bottom"/>
            <w:hideMark/>
          </w:tcPr>
          <w:p w14:paraId="13A18D78" w14:textId="32627BDA" w:rsidR="00CD5D2F" w:rsidRPr="006B42D6" w:rsidRDefault="00CD5D2F" w:rsidP="0072387B">
            <w:pPr>
              <w:jc w:val="left"/>
              <w:rPr>
                <w:sz w:val="16"/>
                <w:szCs w:val="16"/>
              </w:rPr>
            </w:pPr>
            <w:r w:rsidRPr="006B42D6">
              <w:rPr>
                <w:sz w:val="16"/>
                <w:szCs w:val="16"/>
              </w:rPr>
              <w:t>Geita</w:t>
            </w:r>
          </w:p>
        </w:tc>
        <w:tc>
          <w:tcPr>
            <w:tcW w:w="1107" w:type="dxa"/>
            <w:tcBorders>
              <w:top w:val="nil"/>
              <w:left w:val="single" w:sz="4" w:space="0" w:color="auto"/>
              <w:bottom w:val="nil"/>
              <w:right w:val="nil"/>
            </w:tcBorders>
            <w:shd w:val="clear" w:color="auto" w:fill="auto"/>
            <w:noWrap/>
            <w:vAlign w:val="bottom"/>
            <w:hideMark/>
          </w:tcPr>
          <w:p w14:paraId="37BCEA9E" w14:textId="69EF4B40" w:rsidR="00CD5D2F" w:rsidRPr="006B42D6" w:rsidRDefault="00CD5D2F" w:rsidP="00CD5D2F">
            <w:pPr>
              <w:jc w:val="right"/>
              <w:rPr>
                <w:sz w:val="16"/>
                <w:szCs w:val="16"/>
              </w:rPr>
            </w:pPr>
            <w:r w:rsidRPr="006B42D6">
              <w:rPr>
                <w:sz w:val="16"/>
                <w:szCs w:val="16"/>
              </w:rPr>
              <w:t>-</w:t>
            </w:r>
          </w:p>
        </w:tc>
        <w:tc>
          <w:tcPr>
            <w:tcW w:w="1047" w:type="dxa"/>
            <w:tcBorders>
              <w:top w:val="nil"/>
              <w:left w:val="nil"/>
              <w:bottom w:val="nil"/>
              <w:right w:val="nil"/>
            </w:tcBorders>
            <w:shd w:val="clear" w:color="auto" w:fill="auto"/>
            <w:noWrap/>
            <w:vAlign w:val="bottom"/>
            <w:hideMark/>
          </w:tcPr>
          <w:p w14:paraId="658187D0" w14:textId="172966E5" w:rsidR="00CD5D2F" w:rsidRPr="006B42D6" w:rsidRDefault="00CD5D2F" w:rsidP="00CD5D2F">
            <w:pPr>
              <w:jc w:val="right"/>
              <w:rPr>
                <w:sz w:val="16"/>
                <w:szCs w:val="16"/>
              </w:rPr>
            </w:pPr>
            <w:r w:rsidRPr="006B42D6">
              <w:rPr>
                <w:sz w:val="16"/>
                <w:szCs w:val="16"/>
              </w:rPr>
              <w:t>-</w:t>
            </w:r>
          </w:p>
        </w:tc>
        <w:tc>
          <w:tcPr>
            <w:tcW w:w="1107" w:type="dxa"/>
            <w:tcBorders>
              <w:top w:val="nil"/>
              <w:left w:val="nil"/>
              <w:bottom w:val="nil"/>
              <w:right w:val="nil"/>
            </w:tcBorders>
            <w:shd w:val="clear" w:color="auto" w:fill="auto"/>
            <w:noWrap/>
            <w:vAlign w:val="bottom"/>
            <w:hideMark/>
          </w:tcPr>
          <w:p w14:paraId="35441D4A" w14:textId="527EFAD0" w:rsidR="00CD5D2F" w:rsidRPr="006B42D6" w:rsidRDefault="00CD5D2F" w:rsidP="00CD5D2F">
            <w:pPr>
              <w:jc w:val="right"/>
              <w:rPr>
                <w:sz w:val="16"/>
                <w:szCs w:val="16"/>
              </w:rPr>
            </w:pPr>
            <w:r w:rsidRPr="006B42D6">
              <w:rPr>
                <w:sz w:val="16"/>
                <w:szCs w:val="16"/>
              </w:rPr>
              <w:t>-</w:t>
            </w:r>
          </w:p>
        </w:tc>
        <w:tc>
          <w:tcPr>
            <w:tcW w:w="1438" w:type="dxa"/>
            <w:tcBorders>
              <w:top w:val="nil"/>
              <w:left w:val="nil"/>
              <w:bottom w:val="nil"/>
              <w:right w:val="nil"/>
            </w:tcBorders>
            <w:shd w:val="clear" w:color="auto" w:fill="auto"/>
            <w:noWrap/>
            <w:vAlign w:val="bottom"/>
            <w:hideMark/>
          </w:tcPr>
          <w:p w14:paraId="11247AD9" w14:textId="108914A6" w:rsidR="00CD5D2F" w:rsidRPr="006B42D6" w:rsidRDefault="00CD5D2F" w:rsidP="00CD5D2F">
            <w:pPr>
              <w:jc w:val="right"/>
              <w:rPr>
                <w:sz w:val="16"/>
                <w:szCs w:val="16"/>
              </w:rPr>
            </w:pPr>
            <w:r w:rsidRPr="006B42D6">
              <w:rPr>
                <w:sz w:val="16"/>
                <w:szCs w:val="16"/>
              </w:rPr>
              <w:t>-</w:t>
            </w:r>
          </w:p>
        </w:tc>
        <w:tc>
          <w:tcPr>
            <w:tcW w:w="1331" w:type="dxa"/>
            <w:tcBorders>
              <w:top w:val="nil"/>
              <w:left w:val="nil"/>
              <w:bottom w:val="nil"/>
              <w:right w:val="nil"/>
            </w:tcBorders>
            <w:shd w:val="clear" w:color="auto" w:fill="auto"/>
            <w:noWrap/>
            <w:vAlign w:val="bottom"/>
            <w:hideMark/>
          </w:tcPr>
          <w:p w14:paraId="3F899DF0" w14:textId="28555654" w:rsidR="00CD5D2F" w:rsidRPr="006B42D6" w:rsidRDefault="00CD5D2F" w:rsidP="00CD5D2F">
            <w:pPr>
              <w:jc w:val="right"/>
              <w:rPr>
                <w:sz w:val="16"/>
                <w:szCs w:val="16"/>
              </w:rPr>
            </w:pPr>
            <w:r w:rsidRPr="006B42D6">
              <w:rPr>
                <w:sz w:val="16"/>
                <w:szCs w:val="16"/>
              </w:rPr>
              <w:t>-</w:t>
            </w:r>
          </w:p>
        </w:tc>
        <w:tc>
          <w:tcPr>
            <w:tcW w:w="1006" w:type="dxa"/>
            <w:tcBorders>
              <w:top w:val="nil"/>
              <w:left w:val="nil"/>
              <w:bottom w:val="nil"/>
              <w:right w:val="nil"/>
            </w:tcBorders>
            <w:shd w:val="clear" w:color="auto" w:fill="auto"/>
            <w:noWrap/>
            <w:vAlign w:val="bottom"/>
            <w:hideMark/>
          </w:tcPr>
          <w:p w14:paraId="1D7CE87D" w14:textId="0CC4C9C6" w:rsidR="00CD5D2F" w:rsidRPr="006B42D6" w:rsidRDefault="00CD5D2F" w:rsidP="00CD5D2F">
            <w:pPr>
              <w:jc w:val="right"/>
              <w:rPr>
                <w:sz w:val="16"/>
                <w:szCs w:val="16"/>
              </w:rPr>
            </w:pPr>
            <w:r w:rsidRPr="006B42D6">
              <w:rPr>
                <w:sz w:val="16"/>
                <w:szCs w:val="16"/>
              </w:rPr>
              <w:t>-</w:t>
            </w:r>
          </w:p>
        </w:tc>
        <w:tc>
          <w:tcPr>
            <w:tcW w:w="976" w:type="dxa"/>
            <w:tcBorders>
              <w:top w:val="nil"/>
              <w:left w:val="nil"/>
              <w:bottom w:val="nil"/>
              <w:right w:val="nil"/>
            </w:tcBorders>
            <w:shd w:val="clear" w:color="auto" w:fill="auto"/>
            <w:noWrap/>
            <w:vAlign w:val="bottom"/>
            <w:hideMark/>
          </w:tcPr>
          <w:p w14:paraId="5BEFD741" w14:textId="08344A75" w:rsidR="00CD5D2F" w:rsidRPr="006B42D6" w:rsidRDefault="00CD5D2F" w:rsidP="00CD5D2F">
            <w:pPr>
              <w:jc w:val="right"/>
              <w:rPr>
                <w:sz w:val="16"/>
                <w:szCs w:val="16"/>
              </w:rPr>
            </w:pPr>
            <w:r w:rsidRPr="006B42D6">
              <w:rPr>
                <w:sz w:val="16"/>
                <w:szCs w:val="16"/>
              </w:rPr>
              <w:t>-</w:t>
            </w:r>
          </w:p>
        </w:tc>
      </w:tr>
      <w:tr w:rsidR="006B42D6" w:rsidRPr="006B42D6" w14:paraId="1EFCF999" w14:textId="77777777" w:rsidTr="00D972DA">
        <w:trPr>
          <w:trHeight w:val="20"/>
        </w:trPr>
        <w:tc>
          <w:tcPr>
            <w:tcW w:w="1758" w:type="dxa"/>
            <w:tcBorders>
              <w:top w:val="nil"/>
              <w:left w:val="nil"/>
              <w:bottom w:val="nil"/>
              <w:right w:val="nil"/>
            </w:tcBorders>
            <w:shd w:val="clear" w:color="auto" w:fill="auto"/>
            <w:noWrap/>
            <w:vAlign w:val="bottom"/>
            <w:hideMark/>
          </w:tcPr>
          <w:p w14:paraId="78406CDE" w14:textId="4177BCFB" w:rsidR="00CD5D2F" w:rsidRPr="006B42D6" w:rsidRDefault="00CD5D2F" w:rsidP="0072387B">
            <w:pPr>
              <w:jc w:val="left"/>
              <w:rPr>
                <w:sz w:val="16"/>
                <w:szCs w:val="16"/>
              </w:rPr>
            </w:pPr>
            <w:r w:rsidRPr="006B42D6">
              <w:rPr>
                <w:sz w:val="16"/>
                <w:szCs w:val="16"/>
              </w:rPr>
              <w:t>Songwe</w:t>
            </w:r>
          </w:p>
        </w:tc>
        <w:tc>
          <w:tcPr>
            <w:tcW w:w="1107" w:type="dxa"/>
            <w:tcBorders>
              <w:top w:val="nil"/>
              <w:left w:val="single" w:sz="4" w:space="0" w:color="auto"/>
              <w:bottom w:val="nil"/>
              <w:right w:val="nil"/>
            </w:tcBorders>
            <w:shd w:val="clear" w:color="auto" w:fill="auto"/>
            <w:noWrap/>
            <w:vAlign w:val="bottom"/>
            <w:hideMark/>
          </w:tcPr>
          <w:p w14:paraId="5A9D7DA1" w14:textId="363AD9DA" w:rsidR="00CD5D2F" w:rsidRPr="006B42D6" w:rsidRDefault="00CD5D2F" w:rsidP="00CD5D2F">
            <w:pPr>
              <w:jc w:val="right"/>
              <w:rPr>
                <w:sz w:val="16"/>
                <w:szCs w:val="16"/>
              </w:rPr>
            </w:pPr>
            <w:r w:rsidRPr="006B42D6">
              <w:rPr>
                <w:sz w:val="16"/>
                <w:szCs w:val="16"/>
              </w:rPr>
              <w:t>-</w:t>
            </w:r>
          </w:p>
        </w:tc>
        <w:tc>
          <w:tcPr>
            <w:tcW w:w="1047" w:type="dxa"/>
            <w:tcBorders>
              <w:top w:val="nil"/>
              <w:left w:val="nil"/>
              <w:bottom w:val="nil"/>
              <w:right w:val="nil"/>
            </w:tcBorders>
            <w:shd w:val="clear" w:color="auto" w:fill="auto"/>
            <w:noWrap/>
            <w:vAlign w:val="bottom"/>
            <w:hideMark/>
          </w:tcPr>
          <w:p w14:paraId="66E9626D" w14:textId="2A20988C" w:rsidR="00CD5D2F" w:rsidRPr="006B42D6" w:rsidRDefault="00CD5D2F" w:rsidP="00CD5D2F">
            <w:pPr>
              <w:jc w:val="right"/>
              <w:rPr>
                <w:sz w:val="16"/>
                <w:szCs w:val="16"/>
              </w:rPr>
            </w:pPr>
            <w:r w:rsidRPr="006B42D6">
              <w:rPr>
                <w:sz w:val="16"/>
                <w:szCs w:val="16"/>
              </w:rPr>
              <w:t>-</w:t>
            </w:r>
          </w:p>
        </w:tc>
        <w:tc>
          <w:tcPr>
            <w:tcW w:w="1107" w:type="dxa"/>
            <w:tcBorders>
              <w:top w:val="nil"/>
              <w:left w:val="nil"/>
              <w:bottom w:val="nil"/>
              <w:right w:val="nil"/>
            </w:tcBorders>
            <w:shd w:val="clear" w:color="auto" w:fill="auto"/>
            <w:noWrap/>
            <w:vAlign w:val="bottom"/>
            <w:hideMark/>
          </w:tcPr>
          <w:p w14:paraId="2271E0BE" w14:textId="03E7ACAD" w:rsidR="00CD5D2F" w:rsidRPr="006B42D6" w:rsidRDefault="00CD5D2F" w:rsidP="00CD5D2F">
            <w:pPr>
              <w:jc w:val="right"/>
              <w:rPr>
                <w:sz w:val="16"/>
                <w:szCs w:val="16"/>
              </w:rPr>
            </w:pPr>
            <w:r w:rsidRPr="006B42D6">
              <w:rPr>
                <w:sz w:val="16"/>
                <w:szCs w:val="16"/>
              </w:rPr>
              <w:t>-</w:t>
            </w:r>
          </w:p>
        </w:tc>
        <w:tc>
          <w:tcPr>
            <w:tcW w:w="1438" w:type="dxa"/>
            <w:tcBorders>
              <w:top w:val="nil"/>
              <w:left w:val="nil"/>
              <w:bottom w:val="nil"/>
              <w:right w:val="nil"/>
            </w:tcBorders>
            <w:shd w:val="clear" w:color="auto" w:fill="auto"/>
            <w:noWrap/>
            <w:vAlign w:val="bottom"/>
            <w:hideMark/>
          </w:tcPr>
          <w:p w14:paraId="05C79725" w14:textId="1FF4CE28" w:rsidR="00CD5D2F" w:rsidRPr="006B42D6" w:rsidRDefault="00CD5D2F" w:rsidP="00CD5D2F">
            <w:pPr>
              <w:jc w:val="right"/>
              <w:rPr>
                <w:sz w:val="16"/>
                <w:szCs w:val="16"/>
              </w:rPr>
            </w:pPr>
            <w:r w:rsidRPr="006B42D6">
              <w:rPr>
                <w:sz w:val="16"/>
                <w:szCs w:val="16"/>
              </w:rPr>
              <w:t>-</w:t>
            </w:r>
          </w:p>
        </w:tc>
        <w:tc>
          <w:tcPr>
            <w:tcW w:w="1331" w:type="dxa"/>
            <w:tcBorders>
              <w:top w:val="nil"/>
              <w:left w:val="nil"/>
              <w:bottom w:val="nil"/>
              <w:right w:val="nil"/>
            </w:tcBorders>
            <w:shd w:val="clear" w:color="auto" w:fill="auto"/>
            <w:noWrap/>
            <w:vAlign w:val="bottom"/>
            <w:hideMark/>
          </w:tcPr>
          <w:p w14:paraId="54FE09CE" w14:textId="41694E88" w:rsidR="00CD5D2F" w:rsidRPr="006B42D6" w:rsidRDefault="00CD5D2F" w:rsidP="00CD5D2F">
            <w:pPr>
              <w:jc w:val="right"/>
              <w:rPr>
                <w:sz w:val="16"/>
                <w:szCs w:val="16"/>
              </w:rPr>
            </w:pPr>
            <w:r w:rsidRPr="006B42D6">
              <w:rPr>
                <w:sz w:val="16"/>
                <w:szCs w:val="16"/>
              </w:rPr>
              <w:t>-</w:t>
            </w:r>
          </w:p>
        </w:tc>
        <w:tc>
          <w:tcPr>
            <w:tcW w:w="1006" w:type="dxa"/>
            <w:tcBorders>
              <w:top w:val="nil"/>
              <w:left w:val="nil"/>
              <w:bottom w:val="nil"/>
              <w:right w:val="nil"/>
            </w:tcBorders>
            <w:shd w:val="clear" w:color="auto" w:fill="auto"/>
            <w:noWrap/>
            <w:vAlign w:val="bottom"/>
            <w:hideMark/>
          </w:tcPr>
          <w:p w14:paraId="30CB19D9" w14:textId="2EC7CB3C" w:rsidR="00CD5D2F" w:rsidRPr="006B42D6" w:rsidRDefault="00CD5D2F" w:rsidP="00CD5D2F">
            <w:pPr>
              <w:jc w:val="right"/>
              <w:rPr>
                <w:sz w:val="16"/>
                <w:szCs w:val="16"/>
              </w:rPr>
            </w:pPr>
            <w:r w:rsidRPr="006B42D6">
              <w:rPr>
                <w:sz w:val="16"/>
                <w:szCs w:val="16"/>
              </w:rPr>
              <w:t>-</w:t>
            </w:r>
          </w:p>
        </w:tc>
        <w:tc>
          <w:tcPr>
            <w:tcW w:w="976" w:type="dxa"/>
            <w:tcBorders>
              <w:top w:val="nil"/>
              <w:left w:val="nil"/>
              <w:bottom w:val="nil"/>
              <w:right w:val="nil"/>
            </w:tcBorders>
            <w:shd w:val="clear" w:color="auto" w:fill="auto"/>
            <w:noWrap/>
            <w:vAlign w:val="bottom"/>
            <w:hideMark/>
          </w:tcPr>
          <w:p w14:paraId="7AAB76E4" w14:textId="60993E70" w:rsidR="00CD5D2F" w:rsidRPr="006B42D6" w:rsidRDefault="00CD5D2F" w:rsidP="00CD5D2F">
            <w:pPr>
              <w:jc w:val="right"/>
              <w:rPr>
                <w:sz w:val="16"/>
                <w:szCs w:val="16"/>
              </w:rPr>
            </w:pPr>
            <w:r w:rsidRPr="006B42D6">
              <w:rPr>
                <w:sz w:val="16"/>
                <w:szCs w:val="16"/>
              </w:rPr>
              <w:t>-</w:t>
            </w:r>
          </w:p>
        </w:tc>
      </w:tr>
      <w:tr w:rsidR="00CD5D2F" w:rsidRPr="006B42D6" w14:paraId="3BDED972" w14:textId="77777777" w:rsidTr="00D972DA">
        <w:trPr>
          <w:trHeight w:val="20"/>
        </w:trPr>
        <w:tc>
          <w:tcPr>
            <w:tcW w:w="1758" w:type="dxa"/>
            <w:tcBorders>
              <w:top w:val="single" w:sz="4" w:space="0" w:color="auto"/>
              <w:left w:val="nil"/>
              <w:bottom w:val="single" w:sz="4" w:space="0" w:color="auto"/>
              <w:right w:val="nil"/>
            </w:tcBorders>
            <w:shd w:val="clear" w:color="auto" w:fill="E2EFD9" w:themeFill="accent6" w:themeFillTint="33"/>
            <w:noWrap/>
            <w:vAlign w:val="bottom"/>
            <w:hideMark/>
          </w:tcPr>
          <w:p w14:paraId="6A00244B" w14:textId="0C2EBF98" w:rsidR="00CD5D2F" w:rsidRPr="006B42D6" w:rsidRDefault="00EA1552" w:rsidP="0072387B">
            <w:pPr>
              <w:jc w:val="left"/>
              <w:rPr>
                <w:b/>
                <w:bCs/>
                <w:sz w:val="16"/>
                <w:szCs w:val="16"/>
              </w:rPr>
            </w:pPr>
            <w:r>
              <w:rPr>
                <w:b/>
                <w:bCs/>
                <w:sz w:val="16"/>
                <w:szCs w:val="16"/>
              </w:rPr>
              <w:t>Mainland Tanzania</w:t>
            </w:r>
          </w:p>
        </w:tc>
        <w:tc>
          <w:tcPr>
            <w:tcW w:w="1107" w:type="dxa"/>
            <w:tcBorders>
              <w:top w:val="single" w:sz="4" w:space="0" w:color="auto"/>
              <w:left w:val="single" w:sz="4" w:space="0" w:color="auto"/>
              <w:bottom w:val="single" w:sz="4" w:space="0" w:color="auto"/>
              <w:right w:val="nil"/>
            </w:tcBorders>
            <w:shd w:val="clear" w:color="auto" w:fill="E2EFD9" w:themeFill="accent6" w:themeFillTint="33"/>
            <w:noWrap/>
            <w:vAlign w:val="bottom"/>
            <w:hideMark/>
          </w:tcPr>
          <w:p w14:paraId="227D368D" w14:textId="19A0C25A" w:rsidR="00CD5D2F" w:rsidRPr="006B42D6" w:rsidRDefault="00CD5D2F" w:rsidP="00CD5D2F">
            <w:pPr>
              <w:jc w:val="right"/>
              <w:rPr>
                <w:b/>
                <w:bCs/>
                <w:sz w:val="16"/>
                <w:szCs w:val="16"/>
              </w:rPr>
            </w:pPr>
            <w:r w:rsidRPr="006B42D6">
              <w:rPr>
                <w:b/>
                <w:bCs/>
                <w:sz w:val="16"/>
                <w:szCs w:val="16"/>
              </w:rPr>
              <w:t>29,255</w:t>
            </w:r>
          </w:p>
        </w:tc>
        <w:tc>
          <w:tcPr>
            <w:tcW w:w="1047" w:type="dxa"/>
            <w:tcBorders>
              <w:top w:val="single" w:sz="4" w:space="0" w:color="auto"/>
              <w:left w:val="nil"/>
              <w:bottom w:val="single" w:sz="4" w:space="0" w:color="auto"/>
              <w:right w:val="nil"/>
            </w:tcBorders>
            <w:shd w:val="clear" w:color="auto" w:fill="E2EFD9" w:themeFill="accent6" w:themeFillTint="33"/>
            <w:noWrap/>
            <w:vAlign w:val="bottom"/>
            <w:hideMark/>
          </w:tcPr>
          <w:p w14:paraId="38A288E1" w14:textId="6761FB07" w:rsidR="00CD5D2F" w:rsidRPr="006B42D6" w:rsidRDefault="00CD5D2F" w:rsidP="00CD5D2F">
            <w:pPr>
              <w:jc w:val="right"/>
              <w:rPr>
                <w:b/>
                <w:bCs/>
                <w:sz w:val="16"/>
                <w:szCs w:val="16"/>
              </w:rPr>
            </w:pPr>
            <w:r w:rsidRPr="006B42D6">
              <w:rPr>
                <w:b/>
                <w:bCs/>
                <w:sz w:val="16"/>
                <w:szCs w:val="16"/>
              </w:rPr>
              <w:t>5,984</w:t>
            </w:r>
          </w:p>
        </w:tc>
        <w:tc>
          <w:tcPr>
            <w:tcW w:w="1107" w:type="dxa"/>
            <w:tcBorders>
              <w:top w:val="single" w:sz="4" w:space="0" w:color="auto"/>
              <w:left w:val="nil"/>
              <w:bottom w:val="single" w:sz="4" w:space="0" w:color="auto"/>
              <w:right w:val="nil"/>
            </w:tcBorders>
            <w:shd w:val="clear" w:color="auto" w:fill="E2EFD9" w:themeFill="accent6" w:themeFillTint="33"/>
            <w:noWrap/>
            <w:vAlign w:val="bottom"/>
            <w:hideMark/>
          </w:tcPr>
          <w:p w14:paraId="4E69E86B" w14:textId="49F8BAB3" w:rsidR="00CD5D2F" w:rsidRPr="006B42D6" w:rsidRDefault="00CD5D2F" w:rsidP="00CD5D2F">
            <w:pPr>
              <w:jc w:val="right"/>
              <w:rPr>
                <w:b/>
                <w:bCs/>
                <w:sz w:val="16"/>
                <w:szCs w:val="16"/>
              </w:rPr>
            </w:pPr>
            <w:r w:rsidRPr="006B42D6">
              <w:rPr>
                <w:b/>
                <w:bCs/>
                <w:sz w:val="16"/>
                <w:szCs w:val="16"/>
              </w:rPr>
              <w:t>53,224</w:t>
            </w:r>
          </w:p>
        </w:tc>
        <w:tc>
          <w:tcPr>
            <w:tcW w:w="1438" w:type="dxa"/>
            <w:tcBorders>
              <w:top w:val="single" w:sz="4" w:space="0" w:color="auto"/>
              <w:left w:val="nil"/>
              <w:bottom w:val="single" w:sz="4" w:space="0" w:color="auto"/>
              <w:right w:val="nil"/>
            </w:tcBorders>
            <w:shd w:val="clear" w:color="auto" w:fill="E2EFD9" w:themeFill="accent6" w:themeFillTint="33"/>
            <w:noWrap/>
            <w:vAlign w:val="bottom"/>
            <w:hideMark/>
          </w:tcPr>
          <w:p w14:paraId="5006320D" w14:textId="5868148F" w:rsidR="00CD5D2F" w:rsidRPr="006B42D6" w:rsidRDefault="00CD5D2F" w:rsidP="00CD5D2F">
            <w:pPr>
              <w:jc w:val="right"/>
              <w:rPr>
                <w:b/>
                <w:bCs/>
                <w:sz w:val="16"/>
                <w:szCs w:val="16"/>
              </w:rPr>
            </w:pPr>
            <w:r w:rsidRPr="006B42D6">
              <w:rPr>
                <w:b/>
                <w:bCs/>
                <w:sz w:val="16"/>
                <w:szCs w:val="16"/>
              </w:rPr>
              <w:t>7,112</w:t>
            </w:r>
          </w:p>
        </w:tc>
        <w:tc>
          <w:tcPr>
            <w:tcW w:w="1331" w:type="dxa"/>
            <w:tcBorders>
              <w:top w:val="single" w:sz="4" w:space="0" w:color="auto"/>
              <w:left w:val="nil"/>
              <w:bottom w:val="single" w:sz="4" w:space="0" w:color="auto"/>
              <w:right w:val="nil"/>
            </w:tcBorders>
            <w:shd w:val="clear" w:color="auto" w:fill="E2EFD9" w:themeFill="accent6" w:themeFillTint="33"/>
            <w:noWrap/>
            <w:vAlign w:val="bottom"/>
            <w:hideMark/>
          </w:tcPr>
          <w:p w14:paraId="18BB0D1E" w14:textId="3CC3B21A" w:rsidR="00CD5D2F" w:rsidRPr="006B42D6" w:rsidRDefault="00CD5D2F" w:rsidP="00CD5D2F">
            <w:pPr>
              <w:jc w:val="right"/>
              <w:rPr>
                <w:b/>
                <w:bCs/>
                <w:sz w:val="16"/>
                <w:szCs w:val="16"/>
              </w:rPr>
            </w:pPr>
            <w:r w:rsidRPr="006B42D6">
              <w:rPr>
                <w:b/>
                <w:bCs/>
                <w:sz w:val="16"/>
                <w:szCs w:val="16"/>
              </w:rPr>
              <w:t>13,096</w:t>
            </w:r>
          </w:p>
        </w:tc>
        <w:tc>
          <w:tcPr>
            <w:tcW w:w="1006" w:type="dxa"/>
            <w:tcBorders>
              <w:top w:val="single" w:sz="4" w:space="0" w:color="auto"/>
              <w:left w:val="nil"/>
              <w:bottom w:val="single" w:sz="4" w:space="0" w:color="auto"/>
              <w:right w:val="nil"/>
            </w:tcBorders>
            <w:shd w:val="clear" w:color="auto" w:fill="E2EFD9" w:themeFill="accent6" w:themeFillTint="33"/>
            <w:noWrap/>
            <w:vAlign w:val="bottom"/>
            <w:hideMark/>
          </w:tcPr>
          <w:p w14:paraId="5AF2FD0E" w14:textId="6B4FDEEA" w:rsidR="00CD5D2F" w:rsidRPr="006B42D6" w:rsidRDefault="00CD5D2F" w:rsidP="00CD5D2F">
            <w:pPr>
              <w:jc w:val="right"/>
              <w:rPr>
                <w:b/>
                <w:bCs/>
                <w:sz w:val="16"/>
                <w:szCs w:val="16"/>
              </w:rPr>
            </w:pPr>
            <w:r w:rsidRPr="006B42D6">
              <w:rPr>
                <w:b/>
                <w:bCs/>
                <w:sz w:val="16"/>
                <w:szCs w:val="16"/>
              </w:rPr>
              <w:t>6,861</w:t>
            </w:r>
          </w:p>
        </w:tc>
        <w:tc>
          <w:tcPr>
            <w:tcW w:w="976" w:type="dxa"/>
            <w:tcBorders>
              <w:top w:val="single" w:sz="4" w:space="0" w:color="auto"/>
              <w:left w:val="nil"/>
              <w:bottom w:val="single" w:sz="4" w:space="0" w:color="auto"/>
              <w:right w:val="nil"/>
            </w:tcBorders>
            <w:shd w:val="clear" w:color="auto" w:fill="E2EFD9" w:themeFill="accent6" w:themeFillTint="33"/>
            <w:noWrap/>
            <w:vAlign w:val="bottom"/>
            <w:hideMark/>
          </w:tcPr>
          <w:p w14:paraId="36E2F507" w14:textId="73935F13" w:rsidR="00CD5D2F" w:rsidRPr="006B42D6" w:rsidRDefault="00CD5D2F" w:rsidP="00CD5D2F">
            <w:pPr>
              <w:jc w:val="right"/>
              <w:rPr>
                <w:b/>
                <w:bCs/>
                <w:sz w:val="16"/>
                <w:szCs w:val="16"/>
              </w:rPr>
            </w:pPr>
            <w:r w:rsidRPr="006B42D6">
              <w:rPr>
                <w:b/>
                <w:bCs/>
                <w:sz w:val="16"/>
                <w:szCs w:val="16"/>
              </w:rPr>
              <w:t>24,640</w:t>
            </w:r>
          </w:p>
        </w:tc>
      </w:tr>
    </w:tbl>
    <w:p w14:paraId="3F286EB0" w14:textId="2AB230FA" w:rsidR="00E16412" w:rsidRPr="006B42D6" w:rsidRDefault="003D1662" w:rsidP="005C2EFC">
      <w:pPr>
        <w:pStyle w:val="Heading3"/>
      </w:pPr>
      <w:bookmarkStart w:id="201" w:name="_Toc82385665"/>
      <w:r w:rsidRPr="006B42D6">
        <w:lastRenderedPageBreak/>
        <w:t>3.1.</w:t>
      </w:r>
      <w:r w:rsidR="00193728">
        <w:t>5</w:t>
      </w:r>
      <w:r w:rsidRPr="006B42D6">
        <w:tab/>
        <w:t>Fruits and Vegetables</w:t>
      </w:r>
      <w:bookmarkEnd w:id="201"/>
      <w:r w:rsidRPr="006B42D6">
        <w:t xml:space="preserve"> </w:t>
      </w:r>
    </w:p>
    <w:p w14:paraId="1BEFCC0C" w14:textId="208DD1C7" w:rsidR="00483812" w:rsidRPr="006B42D6" w:rsidRDefault="00320BCF" w:rsidP="0072387B">
      <w:r w:rsidRPr="006B42D6">
        <w:t xml:space="preserve">There is a wide range of fruit and vegetable crops grown in different parts of Tanzania. The fruits and vegetables discussed under this sub-section are tomatoes, onions, cabbage, okra, watermelon, orange, pineapple, mango and banana. However, most of the fruits are produced from permanent tree crops while vegetables are temporary crops. </w:t>
      </w:r>
    </w:p>
    <w:p w14:paraId="0F0C31CE" w14:textId="77777777" w:rsidR="008567D1" w:rsidRPr="00C0167A" w:rsidRDefault="008567D1" w:rsidP="0072387B">
      <w:pPr>
        <w:pStyle w:val="Default"/>
        <w:jc w:val="both"/>
        <w:rPr>
          <w:color w:val="auto"/>
          <w:sz w:val="20"/>
          <w:szCs w:val="20"/>
        </w:rPr>
      </w:pPr>
    </w:p>
    <w:p w14:paraId="53ED73FD" w14:textId="52947F64" w:rsidR="008567D1" w:rsidRPr="006B42D6" w:rsidRDefault="00CB59A8" w:rsidP="008567D1">
      <w:pPr>
        <w:pStyle w:val="Heading4"/>
      </w:pPr>
      <w:bookmarkStart w:id="202" w:name="_Toc82385666"/>
      <w:r w:rsidRPr="006B42D6">
        <w:t>3.1.</w:t>
      </w:r>
      <w:r w:rsidR="00193728">
        <w:t>5</w:t>
      </w:r>
      <w:r w:rsidRPr="006B42D6">
        <w:t>.1</w:t>
      </w:r>
      <w:r w:rsidR="000807B0" w:rsidRPr="006B42D6">
        <w:tab/>
      </w:r>
      <w:r w:rsidR="00E16412" w:rsidRPr="006B42D6">
        <w:t>Tomato</w:t>
      </w:r>
      <w:bookmarkEnd w:id="202"/>
      <w:r w:rsidR="00E16412" w:rsidRPr="006B42D6">
        <w:t xml:space="preserve"> </w:t>
      </w:r>
    </w:p>
    <w:p w14:paraId="1AD18479" w14:textId="397F521A" w:rsidR="008567D1" w:rsidRDefault="008567D1" w:rsidP="0072387B">
      <w:r w:rsidRPr="006B42D6">
        <w:t xml:space="preserve">The 2019/20 NSCA results show that, a total of 72,586 households were engaged in growing tomatoes in Tanzania during short rainy season (62,663 households were in </w:t>
      </w:r>
      <w:r w:rsidR="00EA1552">
        <w:t>Mainland Tanzania</w:t>
      </w:r>
      <w:r w:rsidRPr="006B42D6">
        <w:t xml:space="preserve"> and 9,923 households in Tanzania Zanzibar) and 131,734 households during long rainy season (125,069 households were in </w:t>
      </w:r>
      <w:r w:rsidR="00EA1552">
        <w:t>Mainland Tanzania</w:t>
      </w:r>
      <w:r w:rsidRPr="006B42D6">
        <w:t xml:space="preserve"> and 6,665 households in Tanzania Zanzibar). </w:t>
      </w:r>
    </w:p>
    <w:p w14:paraId="647D755A" w14:textId="77777777" w:rsidR="00EA2BD4" w:rsidRPr="00C0167A" w:rsidRDefault="00EA2BD4" w:rsidP="0072387B">
      <w:pPr>
        <w:rPr>
          <w:sz w:val="20"/>
          <w:szCs w:val="20"/>
        </w:rPr>
      </w:pPr>
    </w:p>
    <w:p w14:paraId="767271CB" w14:textId="763ACCE5" w:rsidR="008567D1" w:rsidRPr="006B42D6" w:rsidRDefault="008567D1" w:rsidP="0072387B">
      <w:r w:rsidRPr="006B42D6">
        <w:t xml:space="preserve">The total planted area for tomato was 51,658 ha, out of which 51,595 ha were from smallholder farmers and 63 ha from large scale farms. From the total planted area by smallholder farmers 49,187 ha was in </w:t>
      </w:r>
      <w:r w:rsidR="00EA1552">
        <w:t>Mainland Tanzania</w:t>
      </w:r>
      <w:r w:rsidRPr="006B42D6">
        <w:t xml:space="preserve"> and 2,408 ha in Tanzania Zanzibar. In </w:t>
      </w:r>
      <w:r w:rsidR="00EA1552">
        <w:t>Mainland Tanzania</w:t>
      </w:r>
      <w:r w:rsidRPr="006B42D6">
        <w:t>, Iringa region had the largest planted area with tomato (9,390 ha; 19.1 percent), followed by Dodoma (6,054 ha; 12.3 percent) and Tanga (3,533 ha; 7.2 percent). On the other hand, Katavi region had the least planted area (33 ha; 0.1 percent). In Zanzibar, Kaskazini Unguja led with the planted area of 720 ha (29.9 percent), followed by Kusini Unguja (596 ha; 24.7 percent) while the least planted area was reported in Kaskazini Pemba (63 ha; 2.6 percent).</w:t>
      </w:r>
    </w:p>
    <w:p w14:paraId="79DC817A" w14:textId="77777777" w:rsidR="008567D1" w:rsidRPr="006B42D6" w:rsidRDefault="008567D1" w:rsidP="00A51CC7">
      <w:pPr>
        <w:spacing w:line="240" w:lineRule="auto"/>
      </w:pPr>
    </w:p>
    <w:p w14:paraId="13098AF1" w14:textId="0913DAE9" w:rsidR="008567D1" w:rsidRPr="006B42D6" w:rsidRDefault="008567D1" w:rsidP="0072387B">
      <w:r w:rsidRPr="006B42D6">
        <w:t xml:space="preserve">The total harvested area with </w:t>
      </w:r>
      <w:r w:rsidR="0020534D" w:rsidRPr="006B42D6">
        <w:t>tomato</w:t>
      </w:r>
      <w:r w:rsidRPr="006B42D6">
        <w:t xml:space="preserve"> was </w:t>
      </w:r>
      <w:r w:rsidR="0020534D" w:rsidRPr="006B42D6">
        <w:t>34,531</w:t>
      </w:r>
      <w:r w:rsidRPr="006B42D6">
        <w:t xml:space="preserve"> ha out of which </w:t>
      </w:r>
      <w:r w:rsidR="0020534D" w:rsidRPr="006B42D6">
        <w:t>32,792</w:t>
      </w:r>
      <w:r w:rsidRPr="006B42D6">
        <w:t xml:space="preserve"> ha was in </w:t>
      </w:r>
      <w:r w:rsidR="00EA1552">
        <w:t>Mainland Tanzania</w:t>
      </w:r>
      <w:r w:rsidRPr="006B42D6">
        <w:t xml:space="preserve"> and </w:t>
      </w:r>
      <w:r w:rsidR="0020534D" w:rsidRPr="006B42D6">
        <w:t>1,739</w:t>
      </w:r>
      <w:r w:rsidRPr="006B42D6">
        <w:t xml:space="preserve"> ha in Tanzania Zanzibar. In </w:t>
      </w:r>
      <w:r w:rsidR="00EA1552">
        <w:t>Mainland Tanzania</w:t>
      </w:r>
      <w:r w:rsidRPr="006B42D6">
        <w:t>, Dodoma region reported the largest harvested area (</w:t>
      </w:r>
      <w:r w:rsidR="0020534D" w:rsidRPr="006B42D6">
        <w:t>4,939</w:t>
      </w:r>
      <w:r w:rsidRPr="006B42D6">
        <w:t xml:space="preserve"> ha; </w:t>
      </w:r>
      <w:r w:rsidR="0020534D" w:rsidRPr="006B42D6">
        <w:t>15.1</w:t>
      </w:r>
      <w:r w:rsidRPr="006B42D6">
        <w:t xml:space="preserve"> percent), followed by </w:t>
      </w:r>
      <w:r w:rsidR="0020534D" w:rsidRPr="006B42D6">
        <w:t>Iringa</w:t>
      </w:r>
      <w:r w:rsidRPr="006B42D6">
        <w:t xml:space="preserve"> (</w:t>
      </w:r>
      <w:r w:rsidR="0020534D" w:rsidRPr="006B42D6">
        <w:t>4,679</w:t>
      </w:r>
      <w:r w:rsidRPr="006B42D6">
        <w:t xml:space="preserve"> ha; </w:t>
      </w:r>
      <w:r w:rsidR="0020534D" w:rsidRPr="006B42D6">
        <w:t>14.3</w:t>
      </w:r>
      <w:r w:rsidRPr="006B42D6">
        <w:t xml:space="preserve"> percent) and </w:t>
      </w:r>
      <w:r w:rsidR="0020534D" w:rsidRPr="006B42D6">
        <w:t>Morogoro</w:t>
      </w:r>
      <w:r w:rsidRPr="006B42D6">
        <w:t xml:space="preserve"> (</w:t>
      </w:r>
      <w:r w:rsidR="0020534D" w:rsidRPr="006B42D6">
        <w:t>2,637</w:t>
      </w:r>
      <w:r w:rsidRPr="006B42D6">
        <w:t xml:space="preserve"> ha; </w:t>
      </w:r>
      <w:r w:rsidR="0020534D" w:rsidRPr="006B42D6">
        <w:t>8.0</w:t>
      </w:r>
      <w:r w:rsidRPr="006B42D6">
        <w:t xml:space="preserve"> percent) and the least harvested area was in </w:t>
      </w:r>
      <w:r w:rsidR="0020534D" w:rsidRPr="006B42D6">
        <w:t>Katavi</w:t>
      </w:r>
      <w:r w:rsidRPr="006B42D6">
        <w:t xml:space="preserve"> (</w:t>
      </w:r>
      <w:r w:rsidR="0020534D" w:rsidRPr="006B42D6">
        <w:t>18</w:t>
      </w:r>
      <w:r w:rsidRPr="006B42D6">
        <w:t xml:space="preserve"> ha; 0.1 percent). In Tanzania Zanzibar, the largest harvested area with </w:t>
      </w:r>
      <w:r w:rsidR="00EE1A24" w:rsidRPr="006B42D6">
        <w:t>tomato</w:t>
      </w:r>
      <w:r w:rsidRPr="006B42D6">
        <w:t xml:space="preserve"> was reported in Kaskazini </w:t>
      </w:r>
      <w:r w:rsidR="00EE1A24" w:rsidRPr="006B42D6">
        <w:t>Unguja</w:t>
      </w:r>
      <w:r w:rsidRPr="006B42D6">
        <w:t xml:space="preserve"> region (</w:t>
      </w:r>
      <w:r w:rsidR="00EE1A24" w:rsidRPr="006B42D6">
        <w:t>562 ha; 32.3</w:t>
      </w:r>
      <w:r w:rsidRPr="006B42D6">
        <w:t xml:space="preserve"> percent), followed by </w:t>
      </w:r>
      <w:r w:rsidR="00EE1A24" w:rsidRPr="006B42D6">
        <w:t>Mjini Magharibi</w:t>
      </w:r>
      <w:r w:rsidRPr="006B42D6">
        <w:t xml:space="preserve"> (</w:t>
      </w:r>
      <w:r w:rsidR="00EE1A24" w:rsidRPr="006B42D6">
        <w:t>443</w:t>
      </w:r>
      <w:r w:rsidRPr="006B42D6">
        <w:t xml:space="preserve"> ha; </w:t>
      </w:r>
      <w:r w:rsidR="00EE1A24" w:rsidRPr="006B42D6">
        <w:t>25.5</w:t>
      </w:r>
      <w:r w:rsidRPr="006B42D6">
        <w:t xml:space="preserve"> percent) and least harvested</w:t>
      </w:r>
      <w:r w:rsidR="00EE1A24" w:rsidRPr="006B42D6">
        <w:t xml:space="preserve"> area</w:t>
      </w:r>
      <w:r w:rsidRPr="006B42D6">
        <w:t xml:space="preserve"> was in </w:t>
      </w:r>
      <w:r w:rsidR="00EE1A24" w:rsidRPr="006B42D6">
        <w:t>Kaskazini Pemba</w:t>
      </w:r>
      <w:r w:rsidRPr="006B42D6">
        <w:t xml:space="preserve"> (</w:t>
      </w:r>
      <w:r w:rsidR="00EE1A24" w:rsidRPr="006B42D6">
        <w:t>31</w:t>
      </w:r>
      <w:r w:rsidRPr="006B42D6">
        <w:t xml:space="preserve"> ha; 1.8 percent).</w:t>
      </w:r>
      <w:r w:rsidR="00EE1A24" w:rsidRPr="006B42D6">
        <w:t xml:space="preserve"> The results also reveal that, a total harvested area with </w:t>
      </w:r>
      <w:r w:rsidR="00EE1A24" w:rsidRPr="006B42D6">
        <w:rPr>
          <w:bCs/>
        </w:rPr>
        <w:t>tomato</w:t>
      </w:r>
      <w:r w:rsidR="00EE1A24" w:rsidRPr="006B42D6">
        <w:t xml:space="preserve"> was 66.9 percent of the total planted area by smallholder farmers.</w:t>
      </w:r>
    </w:p>
    <w:p w14:paraId="69076956" w14:textId="5C60E860" w:rsidR="00EE1A24" w:rsidRPr="00C0167A" w:rsidRDefault="00EE1A24" w:rsidP="00A51CC7">
      <w:pPr>
        <w:spacing w:line="240" w:lineRule="auto"/>
        <w:rPr>
          <w:sz w:val="20"/>
          <w:szCs w:val="20"/>
        </w:rPr>
      </w:pPr>
    </w:p>
    <w:p w14:paraId="0CBF8671" w14:textId="7BCA21E3" w:rsidR="00EE1A24" w:rsidRPr="006B42D6" w:rsidRDefault="00EE1A24" w:rsidP="0072387B">
      <w:r w:rsidRPr="006B42D6">
        <w:t xml:space="preserve">Production of tomato in Tanzania was </w:t>
      </w:r>
      <w:r w:rsidRPr="006B42D6">
        <w:rPr>
          <w:bCs/>
        </w:rPr>
        <w:t xml:space="preserve">329,907 tons, out </w:t>
      </w:r>
      <w:r w:rsidRPr="006B42D6">
        <w:t>of which 329,078 tons was produced by smallholder farmers and</w:t>
      </w:r>
      <w:r w:rsidRPr="006B42D6">
        <w:rPr>
          <w:bCs/>
        </w:rPr>
        <w:t xml:space="preserve"> 829 </w:t>
      </w:r>
      <w:r w:rsidRPr="006B42D6">
        <w:t>tons was produced by large scale farmers.</w:t>
      </w:r>
      <w:r w:rsidRPr="006B42D6">
        <w:rPr>
          <w:bCs/>
        </w:rPr>
        <w:t xml:space="preserve"> From the </w:t>
      </w:r>
      <w:r w:rsidRPr="006B42D6">
        <w:rPr>
          <w:bCs/>
        </w:rPr>
        <w:lastRenderedPageBreak/>
        <w:t xml:space="preserve">production of smallholder farmers, </w:t>
      </w:r>
      <w:r w:rsidRPr="006B42D6">
        <w:t xml:space="preserve">318,431 tons were in </w:t>
      </w:r>
      <w:r w:rsidR="00EA1552">
        <w:t>Mainland Tanzania</w:t>
      </w:r>
      <w:r w:rsidRPr="006B42D6">
        <w:t xml:space="preserve"> and 10,647 tons in Tanzania Zanzibar. In Mainland, Iringa region had the highest production of tomato (50,358 tons; 15.8 percent), followed by Dodoma (44,600 tons; 14.0 percent) and Dar </w:t>
      </w:r>
      <w:r w:rsidR="001C689D" w:rsidRPr="006B42D6">
        <w:t>e</w:t>
      </w:r>
      <w:r w:rsidRPr="006B42D6">
        <w:t>s Salaam (28,631 tons; 9.0 percent). On the other hand, Katavi region had the least production (231 tons; 0.1 percent). In Zanzibar, Kusini Unguja led with the production of 3,156 tons (29.6 percent), followed by Kaskazini Unguja (2,636 tons; 24.8 percent) while Kaskazini Pemba had the least production (127 tons; 1.2 percent) (</w:t>
      </w:r>
      <w:r w:rsidR="00203F5A" w:rsidRPr="006B42D6">
        <w:t>Map</w:t>
      </w:r>
      <w:r w:rsidRPr="006B42D6">
        <w:t xml:space="preserve"> 3.</w:t>
      </w:r>
      <w:r w:rsidR="00203F5A" w:rsidRPr="006B42D6">
        <w:t>6</w:t>
      </w:r>
      <w:r w:rsidRPr="006B42D6">
        <w:t>).</w:t>
      </w:r>
    </w:p>
    <w:p w14:paraId="164CB847" w14:textId="18462BD3" w:rsidR="00203F5A" w:rsidRPr="00C0167A" w:rsidRDefault="00203F5A" w:rsidP="008567D1">
      <w:pPr>
        <w:rPr>
          <w:sz w:val="20"/>
          <w:szCs w:val="20"/>
        </w:rPr>
      </w:pPr>
    </w:p>
    <w:p w14:paraId="00DEF610" w14:textId="32A6F3F4" w:rsidR="00203F5A" w:rsidRPr="00361E96" w:rsidRDefault="00203F5A" w:rsidP="00361E96">
      <w:pPr>
        <w:pStyle w:val="MapNew"/>
        <w:rPr>
          <w:rStyle w:val="BookTitle"/>
          <w:rFonts w:ascii="Times New Roman" w:hAnsi="Times New Roman"/>
          <w:b/>
          <w:bCs w:val="0"/>
          <w:iCs/>
          <w:spacing w:val="0"/>
        </w:rPr>
      </w:pPr>
      <w:bookmarkStart w:id="203" w:name="_Toc80902555"/>
      <w:bookmarkStart w:id="204" w:name="_Toc82386473"/>
      <w:r w:rsidRPr="00361E96">
        <w:rPr>
          <w:rStyle w:val="BookTitle"/>
          <w:rFonts w:ascii="Times New Roman" w:hAnsi="Times New Roman"/>
          <w:b/>
          <w:bCs w:val="0"/>
          <w:iCs/>
          <w:spacing w:val="0"/>
        </w:rPr>
        <w:t>Map 3.6</w:t>
      </w:r>
      <w:r w:rsidR="00361E96" w:rsidRPr="00361E96">
        <w:rPr>
          <w:rStyle w:val="BookTitle"/>
          <w:rFonts w:ascii="Times New Roman" w:hAnsi="Times New Roman"/>
          <w:b/>
          <w:bCs w:val="0"/>
          <w:iCs/>
          <w:spacing w:val="0"/>
        </w:rPr>
        <w:t>:</w:t>
      </w:r>
      <w:r w:rsidR="00686E94" w:rsidRPr="00361E96">
        <w:rPr>
          <w:rStyle w:val="BookTitle"/>
          <w:rFonts w:ascii="Times New Roman" w:hAnsi="Times New Roman"/>
          <w:b/>
          <w:bCs w:val="0"/>
          <w:iCs/>
          <w:spacing w:val="0"/>
        </w:rPr>
        <w:tab/>
      </w:r>
      <w:r w:rsidRPr="00361E96">
        <w:rPr>
          <w:rStyle w:val="BookTitle"/>
          <w:rFonts w:ascii="Times New Roman" w:hAnsi="Times New Roman"/>
          <w:b/>
          <w:bCs w:val="0"/>
          <w:iCs/>
          <w:spacing w:val="0"/>
        </w:rPr>
        <w:t>Tomato Production by Region During 2019/20 Agricultural Year, Tanzania</w:t>
      </w:r>
      <w:bookmarkEnd w:id="203"/>
      <w:bookmarkEnd w:id="204"/>
    </w:p>
    <w:p w14:paraId="04927532" w14:textId="6231EF59" w:rsidR="00203F5A" w:rsidRPr="006B42D6" w:rsidRDefault="001E2D27" w:rsidP="00203F5A">
      <w:pPr>
        <w:pStyle w:val="Default"/>
        <w:spacing w:line="360" w:lineRule="auto"/>
        <w:jc w:val="both"/>
        <w:rPr>
          <w:color w:val="auto"/>
        </w:rPr>
      </w:pPr>
      <w:r>
        <w:rPr>
          <w:noProof/>
        </w:rPr>
        <w:drawing>
          <wp:inline distT="0" distB="0" distL="0" distR="0" wp14:anchorId="30B80BDD" wp14:editId="71C412D0">
            <wp:extent cx="6116320" cy="4221640"/>
            <wp:effectExtent l="0" t="0" r="3175" b="0"/>
            <wp:docPr id="4512" name="Picture 4512"/>
            <wp:cNvGraphicFramePr/>
            <a:graphic xmlns:a="http://schemas.openxmlformats.org/drawingml/2006/main">
              <a:graphicData uri="http://schemas.openxmlformats.org/drawingml/2006/picture">
                <pic:pic xmlns:pic="http://schemas.openxmlformats.org/drawingml/2006/picture">
                  <pic:nvPicPr>
                    <pic:cNvPr id="4512" name="Picture 4512"/>
                    <pic:cNvPicPr/>
                  </pic:nvPicPr>
                  <pic:blipFill>
                    <a:blip r:embed="rId189"/>
                    <a:stretch>
                      <a:fillRect/>
                    </a:stretch>
                  </pic:blipFill>
                  <pic:spPr>
                    <a:xfrm>
                      <a:off x="0" y="0"/>
                      <a:ext cx="6116320" cy="4221640"/>
                    </a:xfrm>
                    <a:prstGeom prst="rect">
                      <a:avLst/>
                    </a:prstGeom>
                  </pic:spPr>
                </pic:pic>
              </a:graphicData>
            </a:graphic>
          </wp:inline>
        </w:drawing>
      </w:r>
    </w:p>
    <w:p w14:paraId="570C01B0" w14:textId="77777777" w:rsidR="00203F5A" w:rsidRPr="006B42D6" w:rsidRDefault="00203F5A" w:rsidP="008567D1"/>
    <w:p w14:paraId="1D948759" w14:textId="5159CD93" w:rsidR="008567D1" w:rsidRPr="006B42D6" w:rsidRDefault="008567D1" w:rsidP="008567D1">
      <w:pPr>
        <w:spacing w:before="240"/>
      </w:pPr>
      <w:r w:rsidRPr="006B42D6">
        <w:t xml:space="preserve">Moreover, results show that, the average productivity of </w:t>
      </w:r>
      <w:r w:rsidR="00EE1A24" w:rsidRPr="006B42D6">
        <w:t>tomato</w:t>
      </w:r>
      <w:r w:rsidRPr="006B42D6">
        <w:t xml:space="preserve"> in Tanzania was </w:t>
      </w:r>
      <w:r w:rsidR="00EE1A24" w:rsidRPr="006B42D6">
        <w:t>9.5</w:t>
      </w:r>
      <w:r w:rsidRPr="006B42D6">
        <w:t xml:space="preserve"> tons/ha (</w:t>
      </w:r>
      <w:r w:rsidR="00EE1A24" w:rsidRPr="006B42D6">
        <w:t>9.7</w:t>
      </w:r>
      <w:r w:rsidRPr="006B42D6">
        <w:t xml:space="preserve"> tons/ha in </w:t>
      </w:r>
      <w:r w:rsidR="00EA1552">
        <w:t>Mainland Tanzania</w:t>
      </w:r>
      <w:r w:rsidRPr="006B42D6">
        <w:t xml:space="preserve"> and </w:t>
      </w:r>
      <w:r w:rsidR="00EE1A24" w:rsidRPr="006B42D6">
        <w:t>6.1</w:t>
      </w:r>
      <w:r w:rsidRPr="006B42D6">
        <w:t xml:space="preserve"> tons/ha in Tanzania Zanzibar). The highest productivity was in </w:t>
      </w:r>
      <w:r w:rsidR="00EE1A24" w:rsidRPr="006B42D6">
        <w:t>Singida</w:t>
      </w:r>
      <w:r w:rsidRPr="006B42D6">
        <w:t xml:space="preserve"> region (</w:t>
      </w:r>
      <w:r w:rsidR="00EE1A24" w:rsidRPr="006B42D6">
        <w:t>26.9</w:t>
      </w:r>
      <w:r w:rsidRPr="006B42D6">
        <w:t xml:space="preserve"> tons/ha), followed by Dar es Salaam (</w:t>
      </w:r>
      <w:r w:rsidR="00EE1A24" w:rsidRPr="006B42D6">
        <w:t>18.4</w:t>
      </w:r>
      <w:r w:rsidRPr="006B42D6">
        <w:t xml:space="preserve"> tons/ha) and </w:t>
      </w:r>
      <w:r w:rsidR="00EE1A24" w:rsidRPr="006B42D6">
        <w:t>Kilimanjaro</w:t>
      </w:r>
      <w:r w:rsidRPr="006B42D6">
        <w:t xml:space="preserve"> (</w:t>
      </w:r>
      <w:r w:rsidR="00EE1A24" w:rsidRPr="006B42D6">
        <w:t>18.2</w:t>
      </w:r>
      <w:r w:rsidRPr="006B42D6">
        <w:t xml:space="preserve"> tons/ha). On the other hand, the lowest productivity was in </w:t>
      </w:r>
      <w:r w:rsidR="00EE1A24" w:rsidRPr="006B42D6">
        <w:t>Songwe region</w:t>
      </w:r>
      <w:r w:rsidRPr="006B42D6">
        <w:t xml:space="preserve"> </w:t>
      </w:r>
      <w:r w:rsidR="00EE1A24" w:rsidRPr="006B42D6">
        <w:t>(0.6</w:t>
      </w:r>
      <w:r w:rsidRPr="006B42D6">
        <w:t xml:space="preserve"> tons/ha</w:t>
      </w:r>
      <w:r w:rsidR="00EE1A24" w:rsidRPr="006B42D6">
        <w:t>)</w:t>
      </w:r>
      <w:r w:rsidRPr="006B42D6">
        <w:t>. In Zanzibar, the highest productivity was in K</w:t>
      </w:r>
      <w:r w:rsidR="00D4546C" w:rsidRPr="006B42D6">
        <w:t>usini</w:t>
      </w:r>
      <w:r w:rsidRPr="006B42D6">
        <w:t xml:space="preserve"> Unguja region (</w:t>
      </w:r>
      <w:r w:rsidR="00D4546C" w:rsidRPr="006B42D6">
        <w:t xml:space="preserve">7.8 </w:t>
      </w:r>
      <w:r w:rsidRPr="006B42D6">
        <w:t xml:space="preserve">tons/ha) while the least productivity was in </w:t>
      </w:r>
      <w:r w:rsidR="00D4546C" w:rsidRPr="006B42D6">
        <w:t>Kaskazini Pemba</w:t>
      </w:r>
      <w:r w:rsidRPr="006B42D6">
        <w:t xml:space="preserve"> (</w:t>
      </w:r>
      <w:r w:rsidR="00D4546C" w:rsidRPr="006B42D6">
        <w:t xml:space="preserve">4.1 </w:t>
      </w:r>
      <w:r w:rsidRPr="006B42D6">
        <w:t>tons/ha)</w:t>
      </w:r>
      <w:r w:rsidR="00203F5A" w:rsidRPr="006B42D6">
        <w:t xml:space="preserve"> (Figure 3.38 &amp;</w:t>
      </w:r>
      <w:r w:rsidR="00D972DA">
        <w:t xml:space="preserve"> </w:t>
      </w:r>
      <w:r w:rsidR="00203F5A" w:rsidRPr="006B42D6">
        <w:t>3.39).</w:t>
      </w:r>
    </w:p>
    <w:p w14:paraId="35E5CCFD" w14:textId="77777777" w:rsidR="00DD78AA" w:rsidRDefault="00DD78AA">
      <w:pPr>
        <w:spacing w:line="240" w:lineRule="auto"/>
        <w:contextualSpacing w:val="0"/>
        <w:jc w:val="left"/>
        <w:rPr>
          <w:b/>
          <w:iCs/>
          <w:color w:val="000000" w:themeColor="text1"/>
          <w:sz w:val="20"/>
          <w:szCs w:val="18"/>
        </w:rPr>
      </w:pPr>
      <w:r>
        <w:br w:type="page"/>
      </w:r>
    </w:p>
    <w:p w14:paraId="17288B2F" w14:textId="4AF5EAFB" w:rsidR="003B7993" w:rsidRPr="006B42D6" w:rsidRDefault="003B7993" w:rsidP="00D35A2C">
      <w:pPr>
        <w:pStyle w:val="Caption"/>
      </w:pPr>
      <w:bookmarkStart w:id="205" w:name="_Toc82386315"/>
      <w:r w:rsidRPr="006B42D6">
        <w:lastRenderedPageBreak/>
        <w:t>Figure 3.</w:t>
      </w:r>
      <w:r w:rsidR="00464C4B" w:rsidRPr="006B42D6">
        <w:t>3</w:t>
      </w:r>
      <w:r w:rsidR="002E64E0" w:rsidRPr="006B42D6">
        <w:t>8</w:t>
      </w:r>
      <w:r w:rsidR="00A51CC7">
        <w:t>:</w:t>
      </w:r>
      <w:r w:rsidR="00F57EE9">
        <w:tab/>
      </w:r>
      <w:r w:rsidRPr="006B42D6">
        <w:t xml:space="preserve">Quantity Harvested and Yield of Tomato by Region during 2019/20 </w:t>
      </w:r>
      <w:r w:rsidR="00D4546C" w:rsidRPr="006B42D6">
        <w:t>A</w:t>
      </w:r>
      <w:r w:rsidRPr="006B42D6">
        <w:t>gricultural Year</w:t>
      </w:r>
      <w:r w:rsidR="00D4546C" w:rsidRPr="006B42D6">
        <w:t xml:space="preserve">, </w:t>
      </w:r>
      <w:r w:rsidR="00EA1552">
        <w:t>Mainland Tanzania</w:t>
      </w:r>
      <w:bookmarkEnd w:id="205"/>
    </w:p>
    <w:p w14:paraId="6F2FCB80" w14:textId="561049AB" w:rsidR="002E64E0" w:rsidRPr="006B42D6" w:rsidRDefault="001B26AC" w:rsidP="005C2EFC">
      <w:pPr>
        <w:pStyle w:val="Default"/>
        <w:spacing w:line="360" w:lineRule="auto"/>
        <w:jc w:val="both"/>
        <w:rPr>
          <w:b/>
          <w:color w:val="auto"/>
          <w:sz w:val="20"/>
          <w:szCs w:val="20"/>
        </w:rPr>
      </w:pPr>
      <w:r w:rsidRPr="006B42D6">
        <w:rPr>
          <w:noProof/>
          <w:color w:val="auto"/>
          <w:sz w:val="16"/>
          <w:szCs w:val="16"/>
        </w:rPr>
        <w:drawing>
          <wp:inline distT="0" distB="0" distL="0" distR="0" wp14:anchorId="14B0DE79" wp14:editId="7C7F07B7">
            <wp:extent cx="5572369" cy="2427605"/>
            <wp:effectExtent l="0" t="0" r="15875" b="10795"/>
            <wp:docPr id="113" name="Chart 47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p>
    <w:p w14:paraId="43E46527" w14:textId="77777777" w:rsidR="00361E96" w:rsidRDefault="00361E96" w:rsidP="00361E96"/>
    <w:p w14:paraId="064831D1" w14:textId="2586EAA4" w:rsidR="00D4546C" w:rsidRPr="00361E96" w:rsidRDefault="00D4546C" w:rsidP="00361E96">
      <w:pPr>
        <w:pStyle w:val="Caption"/>
      </w:pPr>
      <w:bookmarkStart w:id="206" w:name="_Toc82386316"/>
      <w:r w:rsidRPr="00361E96">
        <w:t>Figure 3.3</w:t>
      </w:r>
      <w:r w:rsidR="002E64E0" w:rsidRPr="00361E96">
        <w:t>9</w:t>
      </w:r>
      <w:r w:rsidR="00361E96" w:rsidRPr="00361E96">
        <w:t>:</w:t>
      </w:r>
      <w:r w:rsidR="00F033BB" w:rsidRPr="00361E96">
        <w:tab/>
      </w:r>
      <w:r w:rsidRPr="00361E96">
        <w:t>Quantity Harvested and Yield of Tomato by Region during 2019/20 Agricultural Year, Tanzania Zanzibar</w:t>
      </w:r>
      <w:bookmarkEnd w:id="206"/>
    </w:p>
    <w:p w14:paraId="0A916123" w14:textId="41F73BA2" w:rsidR="00D4546C" w:rsidRPr="006B42D6" w:rsidRDefault="001B26AC" w:rsidP="005C2EFC">
      <w:pPr>
        <w:pStyle w:val="Default"/>
        <w:spacing w:line="360" w:lineRule="auto"/>
        <w:jc w:val="both"/>
        <w:rPr>
          <w:b/>
          <w:color w:val="auto"/>
          <w:sz w:val="20"/>
          <w:szCs w:val="20"/>
        </w:rPr>
      </w:pPr>
      <w:r w:rsidRPr="006B42D6">
        <w:rPr>
          <w:noProof/>
          <w:color w:val="auto"/>
        </w:rPr>
        <w:drawing>
          <wp:inline distT="0" distB="0" distL="0" distR="0" wp14:anchorId="060C7BC7" wp14:editId="3057F0A4">
            <wp:extent cx="5517662" cy="2416810"/>
            <wp:effectExtent l="0" t="0" r="6985" b="8890"/>
            <wp:docPr id="112" name="Chart 47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inline>
        </w:drawing>
      </w:r>
    </w:p>
    <w:p w14:paraId="44B78B32" w14:textId="77777777" w:rsidR="00203F5A" w:rsidRPr="006B42D6" w:rsidRDefault="00203F5A" w:rsidP="00A51CC7"/>
    <w:p w14:paraId="69A5D126" w14:textId="51CFBB74" w:rsidR="003B7993" w:rsidRPr="006B42D6" w:rsidRDefault="003B7993" w:rsidP="005C2EFC">
      <w:pPr>
        <w:pStyle w:val="Heading4"/>
      </w:pPr>
      <w:bookmarkStart w:id="207" w:name="_Toc82385667"/>
      <w:r w:rsidRPr="006B42D6">
        <w:t>3.1.</w:t>
      </w:r>
      <w:r w:rsidR="00193728">
        <w:t>5</w:t>
      </w:r>
      <w:r w:rsidRPr="006B42D6">
        <w:t>.2</w:t>
      </w:r>
      <w:r w:rsidR="000807B0" w:rsidRPr="006B42D6">
        <w:tab/>
      </w:r>
      <w:r w:rsidRPr="006B42D6">
        <w:t>Onions</w:t>
      </w:r>
      <w:bookmarkEnd w:id="207"/>
    </w:p>
    <w:p w14:paraId="713C1995" w14:textId="273A439A" w:rsidR="004070D2" w:rsidRDefault="004070D2" w:rsidP="00F033BB">
      <w:r w:rsidRPr="006B42D6">
        <w:t xml:space="preserve">The 2019/20 NSCA results reveal that, a total of 22,690 households were engaged in growing onions in Tanzania during short rainy season (22,647 households were in </w:t>
      </w:r>
      <w:r w:rsidR="00EA1552">
        <w:t>Mainland Tanzania</w:t>
      </w:r>
      <w:r w:rsidRPr="006B42D6">
        <w:t xml:space="preserve"> and 43 households in Tanzania Zanzibar)</w:t>
      </w:r>
      <w:r w:rsidR="00047AAD" w:rsidRPr="006B42D6">
        <w:t>. During long rainy season,</w:t>
      </w:r>
      <w:r w:rsidRPr="006B42D6">
        <w:t xml:space="preserve"> 52,097 households </w:t>
      </w:r>
      <w:r w:rsidR="00047AAD" w:rsidRPr="006B42D6">
        <w:t xml:space="preserve">were involved in growing onions in </w:t>
      </w:r>
      <w:r w:rsidR="00EA1552">
        <w:t>Mainland Tanzania</w:t>
      </w:r>
      <w:r w:rsidR="00047AAD" w:rsidRPr="006B42D6">
        <w:t>, while there were no households reported to grow onions in Tanzania Zanzibar.</w:t>
      </w:r>
    </w:p>
    <w:p w14:paraId="01403DD2" w14:textId="77777777" w:rsidR="00F033BB" w:rsidRPr="006B42D6" w:rsidRDefault="00F033BB" w:rsidP="00F033BB">
      <w:pPr>
        <w:spacing w:line="240" w:lineRule="auto"/>
      </w:pPr>
    </w:p>
    <w:p w14:paraId="060026BB" w14:textId="77777777" w:rsidR="00442577" w:rsidRDefault="00047AAD" w:rsidP="00F033BB">
      <w:r w:rsidRPr="006B42D6">
        <w:t xml:space="preserve">The total planted area for onions was 28,352 ha, out of which 28,336 ha were from smallholder farmers and 16 ha from large scale farms. From the total planted area by smallholder farmers, 28,323 ha was in </w:t>
      </w:r>
      <w:r w:rsidR="00EA1552">
        <w:t>Mainland Tanzania</w:t>
      </w:r>
      <w:r w:rsidRPr="006B42D6">
        <w:t xml:space="preserve"> and 13 ha in Tanzania Zanzibar. </w:t>
      </w:r>
    </w:p>
    <w:p w14:paraId="1655907B" w14:textId="09AE7D0E" w:rsidR="00047AAD" w:rsidRPr="006B42D6" w:rsidRDefault="00047AAD" w:rsidP="00F033BB">
      <w:r w:rsidRPr="006B42D6">
        <w:lastRenderedPageBreak/>
        <w:t xml:space="preserve">In </w:t>
      </w:r>
      <w:r w:rsidR="00EA1552">
        <w:t>Mainland Tanzania</w:t>
      </w:r>
      <w:r w:rsidRPr="006B42D6">
        <w:t xml:space="preserve">, Dodoma region had the largest planted area with onions (5,708 ha; 20.2 percent), followed by Singida (4,124 ha; 14.6 percent) and Manyara (3,588 ha; 12.7 percent), while Kagera region </w:t>
      </w:r>
      <w:r w:rsidR="00203F5A" w:rsidRPr="006B42D6">
        <w:t xml:space="preserve">on the other hand, </w:t>
      </w:r>
      <w:r w:rsidRPr="006B42D6">
        <w:t xml:space="preserve">had the least planted area (49 ha; 0.2 percent). In Tanzania Zanzibar, onions were </w:t>
      </w:r>
      <w:r w:rsidR="00203F5A" w:rsidRPr="006B42D6">
        <w:t xml:space="preserve">only </w:t>
      </w:r>
      <w:r w:rsidRPr="006B42D6">
        <w:t>grown in Mjini Magharibi region with a planted area of 13 ha.</w:t>
      </w:r>
    </w:p>
    <w:p w14:paraId="38F5172F" w14:textId="77777777" w:rsidR="00047AAD" w:rsidRPr="006B42D6" w:rsidRDefault="00047AAD" w:rsidP="00F033BB">
      <w:pPr>
        <w:spacing w:line="240" w:lineRule="auto"/>
      </w:pPr>
    </w:p>
    <w:p w14:paraId="6D98E3E4" w14:textId="488C3E83" w:rsidR="0070525B" w:rsidRPr="006B42D6" w:rsidRDefault="00983E96" w:rsidP="00F033BB">
      <w:r w:rsidRPr="006B42D6">
        <w:t xml:space="preserve">The total harvested area with onions was 15,585 ha out of which 15,572 ha was in </w:t>
      </w:r>
      <w:r w:rsidR="00EA1552">
        <w:t>Mainland Tanzania</w:t>
      </w:r>
      <w:r w:rsidRPr="006B42D6">
        <w:t xml:space="preserve"> and 13 ha in Tanzania Zanzibar. In </w:t>
      </w:r>
      <w:r w:rsidR="00EA1552">
        <w:t>Mainland Tanzania</w:t>
      </w:r>
      <w:r w:rsidRPr="006B42D6">
        <w:t>, Dodoma region reported the largest harvested area (3,927 ha; 25.2 percent), followed by Manyara (3,014 ha; 19.4 percent) and Singida (2,159 ha; 13.9 percent) and the least harvested area was in Mtwara (26 ha; 0.2 percent). In Tanzania Zanzibar, the only region reported harvested area was Mjini Magharibi (13 ha; 100.0 percent).</w:t>
      </w:r>
      <w:r w:rsidR="0070525B" w:rsidRPr="006B42D6">
        <w:t xml:space="preserve"> The results reveal that, a total harvested area with </w:t>
      </w:r>
      <w:r w:rsidR="00CC1BF6" w:rsidRPr="006B42D6">
        <w:rPr>
          <w:bCs/>
        </w:rPr>
        <w:t>onions</w:t>
      </w:r>
      <w:r w:rsidR="0070525B" w:rsidRPr="006B42D6">
        <w:t xml:space="preserve"> was</w:t>
      </w:r>
      <w:r w:rsidR="00CC1BF6" w:rsidRPr="006B42D6">
        <w:t xml:space="preserve"> 55.0</w:t>
      </w:r>
      <w:r w:rsidR="0070525B" w:rsidRPr="006B42D6">
        <w:t xml:space="preserve"> percent of the total planted area by smallholder farmers.</w:t>
      </w:r>
    </w:p>
    <w:p w14:paraId="5A1AB47A" w14:textId="77777777" w:rsidR="00047AAD" w:rsidRPr="006B42D6" w:rsidRDefault="00047AAD" w:rsidP="00F033BB">
      <w:pPr>
        <w:spacing w:line="240" w:lineRule="auto"/>
      </w:pPr>
    </w:p>
    <w:p w14:paraId="5C1C8A85" w14:textId="08B7FAD8" w:rsidR="003B7993" w:rsidRPr="006B42D6" w:rsidRDefault="003B7993" w:rsidP="00F033BB">
      <w:r w:rsidRPr="006B42D6">
        <w:t xml:space="preserve">Onions production in Tanzania was </w:t>
      </w:r>
      <w:r w:rsidRPr="006B42D6">
        <w:rPr>
          <w:bCs/>
        </w:rPr>
        <w:t>6</w:t>
      </w:r>
      <w:r w:rsidR="00CC1BF6" w:rsidRPr="006B42D6">
        <w:rPr>
          <w:bCs/>
        </w:rPr>
        <w:t>4,007 tons,</w:t>
      </w:r>
      <w:r w:rsidRPr="006B42D6">
        <w:rPr>
          <w:bCs/>
        </w:rPr>
        <w:t xml:space="preserve"> </w:t>
      </w:r>
      <w:r w:rsidRPr="006B42D6">
        <w:t>of which 6</w:t>
      </w:r>
      <w:r w:rsidR="00CC1BF6" w:rsidRPr="006B42D6">
        <w:t>3,956</w:t>
      </w:r>
      <w:r w:rsidRPr="006B42D6">
        <w:t xml:space="preserve"> tons </w:t>
      </w:r>
      <w:r w:rsidR="00D32F30" w:rsidRPr="006B42D6">
        <w:t xml:space="preserve">was </w:t>
      </w:r>
      <w:r w:rsidRPr="006B42D6">
        <w:t>produced by smallholder farmers and</w:t>
      </w:r>
      <w:r w:rsidRPr="006B42D6">
        <w:rPr>
          <w:bCs/>
        </w:rPr>
        <w:t xml:space="preserve"> 51 t</w:t>
      </w:r>
      <w:r w:rsidRPr="006B42D6">
        <w:t xml:space="preserve">ons </w:t>
      </w:r>
      <w:r w:rsidR="00D32F30" w:rsidRPr="006B42D6">
        <w:t xml:space="preserve">was </w:t>
      </w:r>
      <w:r w:rsidRPr="006B42D6">
        <w:t>produced by large scale farm</w:t>
      </w:r>
      <w:r w:rsidR="00CC1BF6" w:rsidRPr="006B42D6">
        <w:t>s</w:t>
      </w:r>
      <w:r w:rsidRPr="006B42D6">
        <w:t>.</w:t>
      </w:r>
      <w:r w:rsidRPr="006B42D6">
        <w:rPr>
          <w:bCs/>
        </w:rPr>
        <w:t xml:space="preserve"> From the production of smallholder farmer</w:t>
      </w:r>
      <w:r w:rsidR="00CC1BF6" w:rsidRPr="006B42D6">
        <w:rPr>
          <w:bCs/>
        </w:rPr>
        <w:t>s</w:t>
      </w:r>
      <w:r w:rsidRPr="006B42D6">
        <w:rPr>
          <w:bCs/>
        </w:rPr>
        <w:t xml:space="preserve">, </w:t>
      </w:r>
      <w:r w:rsidR="00CC1BF6" w:rsidRPr="006B42D6">
        <w:t>63,954</w:t>
      </w:r>
      <w:r w:rsidRPr="006B42D6">
        <w:t xml:space="preserve"> tons were in </w:t>
      </w:r>
      <w:r w:rsidR="00EA1552">
        <w:t>Mainland Tanzania</w:t>
      </w:r>
      <w:r w:rsidRPr="006B42D6">
        <w:t xml:space="preserve"> and 2 tons in </w:t>
      </w:r>
      <w:r w:rsidR="00CC1BF6" w:rsidRPr="006B42D6">
        <w:t xml:space="preserve">Tanzania </w:t>
      </w:r>
      <w:r w:rsidRPr="006B42D6">
        <w:t xml:space="preserve">Zanzibar. In </w:t>
      </w:r>
      <w:r w:rsidR="00EA1552">
        <w:t>Mainland Tanzania</w:t>
      </w:r>
      <w:r w:rsidRPr="006B42D6">
        <w:t>, Dodoma Region had the highest production</w:t>
      </w:r>
      <w:r w:rsidR="00CC1BF6" w:rsidRPr="006B42D6">
        <w:t xml:space="preserve"> (13,551 tons; 21.2 percent)</w:t>
      </w:r>
      <w:r w:rsidRPr="006B42D6">
        <w:t>, followed by Singida (</w:t>
      </w:r>
      <w:r w:rsidR="00CC1BF6" w:rsidRPr="006B42D6">
        <w:t>12,022</w:t>
      </w:r>
      <w:r w:rsidRPr="006B42D6">
        <w:t xml:space="preserve"> tons; 1</w:t>
      </w:r>
      <w:r w:rsidR="00CC1BF6" w:rsidRPr="006B42D6">
        <w:t>8.8</w:t>
      </w:r>
      <w:r w:rsidRPr="006B42D6">
        <w:t xml:space="preserve"> percent) and Manyara (10,</w:t>
      </w:r>
      <w:r w:rsidR="00CC1BF6" w:rsidRPr="006B42D6">
        <w:t>564</w:t>
      </w:r>
      <w:r w:rsidRPr="006B42D6">
        <w:t xml:space="preserve"> tons; 16.</w:t>
      </w:r>
      <w:r w:rsidR="00CC1BF6" w:rsidRPr="006B42D6">
        <w:t>5</w:t>
      </w:r>
      <w:r w:rsidRPr="006B42D6">
        <w:t xml:space="preserve"> percent). On the other hand, Simiyu region had </w:t>
      </w:r>
      <w:r w:rsidR="00D32F30" w:rsidRPr="006B42D6">
        <w:t>the</w:t>
      </w:r>
      <w:r w:rsidRPr="006B42D6">
        <w:t xml:space="preserve"> least production (64 tons; 0.1 percent). In </w:t>
      </w:r>
      <w:r w:rsidR="00CC1BF6" w:rsidRPr="006B42D6">
        <w:t xml:space="preserve">Tanzania </w:t>
      </w:r>
      <w:r w:rsidRPr="006B42D6">
        <w:t>Zanzibar, Mjini Magharibi produced 2 tons as it was the only region engaged in production (Figure 3.</w:t>
      </w:r>
      <w:r w:rsidR="002E64E0" w:rsidRPr="006B42D6">
        <w:t>40</w:t>
      </w:r>
      <w:r w:rsidRPr="006B42D6">
        <w:t xml:space="preserve">). </w:t>
      </w:r>
    </w:p>
    <w:p w14:paraId="69C35DC2" w14:textId="239EC7EB" w:rsidR="00E16412" w:rsidRPr="006B42D6" w:rsidRDefault="00E16412" w:rsidP="005C2EFC">
      <w:pPr>
        <w:pStyle w:val="Default"/>
        <w:spacing w:line="360" w:lineRule="auto"/>
        <w:jc w:val="both"/>
        <w:rPr>
          <w:color w:val="auto"/>
        </w:rPr>
      </w:pPr>
    </w:p>
    <w:p w14:paraId="2D4F19B5" w14:textId="4C7DA25A" w:rsidR="003B7993" w:rsidRPr="006B42D6" w:rsidRDefault="003B7993" w:rsidP="00D35A2C">
      <w:pPr>
        <w:pStyle w:val="Caption"/>
      </w:pPr>
      <w:bookmarkStart w:id="208" w:name="_Toc82386317"/>
      <w:r w:rsidRPr="006B42D6">
        <w:t>Figure 3.</w:t>
      </w:r>
      <w:r w:rsidR="002E64E0" w:rsidRPr="006B42D6">
        <w:t>40</w:t>
      </w:r>
      <w:r w:rsidR="00A51CC7">
        <w:t>:</w:t>
      </w:r>
      <w:r w:rsidR="00F033BB">
        <w:tab/>
      </w:r>
      <w:r w:rsidRPr="006B42D6">
        <w:t>Quantity Harvested and Yield of Onion</w:t>
      </w:r>
      <w:r w:rsidR="00CC1BF6" w:rsidRPr="006B42D6">
        <w:t>s</w:t>
      </w:r>
      <w:r w:rsidRPr="006B42D6">
        <w:t xml:space="preserve"> by Region </w:t>
      </w:r>
      <w:r w:rsidR="00CC1BF6" w:rsidRPr="006B42D6">
        <w:t>D</w:t>
      </w:r>
      <w:r w:rsidRPr="006B42D6">
        <w:t xml:space="preserve">uring 2019/20 </w:t>
      </w:r>
      <w:r w:rsidR="00CC1BF6" w:rsidRPr="006B42D6">
        <w:t>A</w:t>
      </w:r>
      <w:r w:rsidRPr="006B42D6">
        <w:t>gricultural Year</w:t>
      </w:r>
      <w:r w:rsidR="00CC1BF6" w:rsidRPr="006B42D6">
        <w:t xml:space="preserve">, </w:t>
      </w:r>
      <w:r w:rsidR="00EA1552">
        <w:t>Mainland Tanzania</w:t>
      </w:r>
      <w:bookmarkEnd w:id="208"/>
      <w:r w:rsidRPr="006B42D6">
        <w:t xml:space="preserve"> </w:t>
      </w:r>
    </w:p>
    <w:p w14:paraId="19C94C58" w14:textId="0D2FE4BD" w:rsidR="00E16412" w:rsidRPr="006B42D6" w:rsidRDefault="001B26AC" w:rsidP="005C2EFC">
      <w:pPr>
        <w:pStyle w:val="Default"/>
        <w:spacing w:line="360" w:lineRule="auto"/>
        <w:jc w:val="both"/>
        <w:rPr>
          <w:color w:val="auto"/>
        </w:rPr>
      </w:pPr>
      <w:r w:rsidRPr="006B42D6">
        <w:rPr>
          <w:noProof/>
          <w:color w:val="auto"/>
        </w:rPr>
        <w:drawing>
          <wp:inline distT="0" distB="0" distL="0" distR="0" wp14:anchorId="6AE5A8CC" wp14:editId="38B7927A">
            <wp:extent cx="5689600" cy="2353310"/>
            <wp:effectExtent l="0" t="0" r="12700" b="8890"/>
            <wp:docPr id="110" name="Chart 48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inline>
        </w:drawing>
      </w:r>
    </w:p>
    <w:p w14:paraId="0A7BA263" w14:textId="2C0E2BCD" w:rsidR="00361E96" w:rsidRDefault="00361E96">
      <w:pPr>
        <w:spacing w:line="240" w:lineRule="auto"/>
        <w:contextualSpacing w:val="0"/>
        <w:jc w:val="left"/>
      </w:pPr>
      <w:r>
        <w:br w:type="page"/>
      </w:r>
    </w:p>
    <w:p w14:paraId="4BA8F432" w14:textId="10498EA9" w:rsidR="003B7993" w:rsidRPr="006B42D6" w:rsidRDefault="003B7993" w:rsidP="005C2EFC">
      <w:pPr>
        <w:pStyle w:val="Heading4"/>
      </w:pPr>
      <w:bookmarkStart w:id="209" w:name="_Toc82385668"/>
      <w:r w:rsidRPr="006B42D6">
        <w:lastRenderedPageBreak/>
        <w:t>3.1.</w:t>
      </w:r>
      <w:r w:rsidR="00193728">
        <w:t>5</w:t>
      </w:r>
      <w:r w:rsidRPr="006B42D6">
        <w:t>.3</w:t>
      </w:r>
      <w:r w:rsidR="000807B0" w:rsidRPr="006B42D6">
        <w:tab/>
      </w:r>
      <w:r w:rsidRPr="006B42D6">
        <w:t>Cabbage</w:t>
      </w:r>
      <w:bookmarkEnd w:id="209"/>
      <w:r w:rsidRPr="006B42D6">
        <w:t xml:space="preserve"> </w:t>
      </w:r>
    </w:p>
    <w:p w14:paraId="5EECDAF5" w14:textId="7D1D842B" w:rsidR="00CC1BF6" w:rsidRDefault="00CC1BF6" w:rsidP="00F033BB">
      <w:r w:rsidRPr="006B42D6">
        <w:t xml:space="preserve">The 2019/20 NSCA results reveal that, a total of 8,846 households were engaged in growing cabbage in Tanzania during short rainy season (8,802 households were in </w:t>
      </w:r>
      <w:r w:rsidR="00EA1552">
        <w:t>Mainland Tanzania</w:t>
      </w:r>
      <w:r w:rsidRPr="006B42D6">
        <w:t xml:space="preserve"> and 44 households in Tanzania Zanzibar). During long rainy season, 14,215 households were involved in growing cabbage in </w:t>
      </w:r>
      <w:r w:rsidR="00EA1552">
        <w:t>Mainland Tanzania</w:t>
      </w:r>
      <w:r w:rsidRPr="006B42D6">
        <w:t>, while there were no households reported to grow cabbage in Tanzania Zanzibar.</w:t>
      </w:r>
    </w:p>
    <w:p w14:paraId="706454BD" w14:textId="77777777" w:rsidR="00F033BB" w:rsidRPr="006B42D6" w:rsidRDefault="00F033BB" w:rsidP="00F033BB">
      <w:pPr>
        <w:spacing w:line="240" w:lineRule="auto"/>
      </w:pPr>
    </w:p>
    <w:p w14:paraId="2BAD0572" w14:textId="79F4B2AF" w:rsidR="003B7993" w:rsidRPr="006B42D6" w:rsidRDefault="003B7993" w:rsidP="00F033BB">
      <w:r w:rsidRPr="006B42D6">
        <w:t>The total planted area</w:t>
      </w:r>
      <w:r w:rsidR="00CC1BF6" w:rsidRPr="006B42D6">
        <w:t xml:space="preserve"> of</w:t>
      </w:r>
      <w:r w:rsidRPr="006B42D6">
        <w:t xml:space="preserve"> </w:t>
      </w:r>
      <w:r w:rsidR="00CC1BF6" w:rsidRPr="006B42D6">
        <w:t>c</w:t>
      </w:r>
      <w:r w:rsidRPr="006B42D6">
        <w:t>abbage was 4,484 ha</w:t>
      </w:r>
      <w:r w:rsidR="00CC1BF6" w:rsidRPr="006B42D6">
        <w:t>,</w:t>
      </w:r>
      <w:r w:rsidRPr="006B42D6">
        <w:t xml:space="preserve"> of which 4,482 ha were in </w:t>
      </w:r>
      <w:r w:rsidR="00EA1552">
        <w:t>Mainland Tanzania</w:t>
      </w:r>
      <w:r w:rsidRPr="006B42D6">
        <w:t xml:space="preserve"> and 2 ha in </w:t>
      </w:r>
      <w:r w:rsidR="00CC1BF6" w:rsidRPr="006B42D6">
        <w:t xml:space="preserve">Tanzania </w:t>
      </w:r>
      <w:r w:rsidRPr="006B42D6">
        <w:t xml:space="preserve">Zanzibar. In </w:t>
      </w:r>
      <w:r w:rsidR="00EA1552">
        <w:t>Mainland Tanzania</w:t>
      </w:r>
      <w:r w:rsidRPr="006B42D6">
        <w:t xml:space="preserve">, Tanga </w:t>
      </w:r>
      <w:r w:rsidR="00CC1BF6" w:rsidRPr="006B42D6">
        <w:t>r</w:t>
      </w:r>
      <w:r w:rsidRPr="006B42D6">
        <w:t xml:space="preserve">egion, had the largest planted area with </w:t>
      </w:r>
      <w:r w:rsidR="00CC1BF6" w:rsidRPr="006B42D6">
        <w:t>c</w:t>
      </w:r>
      <w:r w:rsidRPr="006B42D6">
        <w:t>abbage</w:t>
      </w:r>
      <w:r w:rsidR="00CC1BF6" w:rsidRPr="006B42D6">
        <w:t xml:space="preserve"> (1,383 ha; 30.8 percent)</w:t>
      </w:r>
      <w:r w:rsidRPr="006B42D6">
        <w:t xml:space="preserve">, followed by Kigoma (484 ha; 10.8 percent) and Mbeya (354 ha; 7.9 percent). On the other hand, Mara region had the least planted area (15 ha; 0.3 percent). In </w:t>
      </w:r>
      <w:r w:rsidR="00CC1BF6" w:rsidRPr="006B42D6">
        <w:t xml:space="preserve">Tanzania </w:t>
      </w:r>
      <w:r w:rsidRPr="006B42D6">
        <w:t xml:space="preserve">Zanzibar, only Mjini Magharibi produced </w:t>
      </w:r>
      <w:r w:rsidR="00CC1BF6" w:rsidRPr="006B42D6">
        <w:t>c</w:t>
      </w:r>
      <w:r w:rsidRPr="006B42D6">
        <w:t>abbage with the planted area of 2 ha</w:t>
      </w:r>
      <w:r w:rsidR="00CC1BF6" w:rsidRPr="006B42D6">
        <w:t>.</w:t>
      </w:r>
    </w:p>
    <w:p w14:paraId="2064A1A1" w14:textId="77777777" w:rsidR="00CC1BF6" w:rsidRPr="006B42D6" w:rsidRDefault="00CC1BF6" w:rsidP="00F033BB">
      <w:pPr>
        <w:spacing w:line="240" w:lineRule="auto"/>
      </w:pPr>
    </w:p>
    <w:p w14:paraId="191DB7FA" w14:textId="4A6EF41C" w:rsidR="00CC1BF6" w:rsidRDefault="00CC1BF6" w:rsidP="00F033BB">
      <w:r w:rsidRPr="006B42D6">
        <w:t xml:space="preserve">The total harvested area with cabbage was 2,811 ha, of which 2,809 ha was in </w:t>
      </w:r>
      <w:r w:rsidR="00EA1552">
        <w:t>Mainland Tanzania</w:t>
      </w:r>
      <w:r w:rsidRPr="006B42D6">
        <w:t xml:space="preserve"> and 2 ha in Tanzania Zanzibar. In </w:t>
      </w:r>
      <w:r w:rsidR="00EA1552">
        <w:t>Mainland Tanzania</w:t>
      </w:r>
      <w:r w:rsidRPr="006B42D6">
        <w:t xml:space="preserve">, Tanga region reported the largest harvested area (1,167 ha; 41.6 percent), followed by Iringa (238 ha; 8.5 percent) and Mbeya (173 ha; 6.2 percent) and the least harvested area was in Mara (15 ha; 0.5 percent). In Tanzania Zanzibar, the only region reported harvested area was Mjini Magharibi (2 ha; 100.0 percent). The results reveal that, a total harvested area with </w:t>
      </w:r>
      <w:r w:rsidR="00404A6B" w:rsidRPr="006B42D6">
        <w:rPr>
          <w:bCs/>
        </w:rPr>
        <w:t>cabbage</w:t>
      </w:r>
      <w:r w:rsidRPr="006B42D6">
        <w:t xml:space="preserve"> was 99.9 percent of the total planted area by smallholder farmers.</w:t>
      </w:r>
    </w:p>
    <w:p w14:paraId="1D97B6FB" w14:textId="77777777" w:rsidR="00BD67A5" w:rsidRPr="006B42D6" w:rsidRDefault="00BD67A5" w:rsidP="00A51CC7">
      <w:pPr>
        <w:spacing w:line="240" w:lineRule="auto"/>
      </w:pPr>
    </w:p>
    <w:p w14:paraId="271A44E2" w14:textId="10329FE6" w:rsidR="003B7993" w:rsidRPr="006B42D6" w:rsidRDefault="003B7993" w:rsidP="00F033BB">
      <w:r w:rsidRPr="006B42D6">
        <w:t xml:space="preserve">Production of </w:t>
      </w:r>
      <w:r w:rsidR="00CC1BF6" w:rsidRPr="006B42D6">
        <w:t>c</w:t>
      </w:r>
      <w:r w:rsidRPr="006B42D6">
        <w:t xml:space="preserve">abbage in Tanzania was </w:t>
      </w:r>
      <w:r w:rsidR="00CC1BF6" w:rsidRPr="006B42D6">
        <w:t>35,156</w:t>
      </w:r>
      <w:r w:rsidRPr="006B42D6">
        <w:t xml:space="preserve"> tons</w:t>
      </w:r>
      <w:r w:rsidR="00CC1BF6" w:rsidRPr="006B42D6">
        <w:t>,</w:t>
      </w:r>
      <w:r w:rsidR="005D180F" w:rsidRPr="006B42D6">
        <w:t xml:space="preserve"> </w:t>
      </w:r>
      <w:r w:rsidRPr="006B42D6">
        <w:t xml:space="preserve">of which </w:t>
      </w:r>
      <w:r w:rsidR="00CC1BF6" w:rsidRPr="006B42D6">
        <w:t>35,154</w:t>
      </w:r>
      <w:r w:rsidRPr="006B42D6">
        <w:t xml:space="preserve"> tons were in </w:t>
      </w:r>
      <w:r w:rsidR="00EA1552">
        <w:t>Mainland Tanzania</w:t>
      </w:r>
      <w:r w:rsidRPr="006B42D6">
        <w:t xml:space="preserve"> and 2 tons in </w:t>
      </w:r>
      <w:r w:rsidR="00CC1BF6" w:rsidRPr="006B42D6">
        <w:t xml:space="preserve">Tanzania </w:t>
      </w:r>
      <w:r w:rsidRPr="006B42D6">
        <w:t xml:space="preserve">Zanzibar. </w:t>
      </w:r>
      <w:r w:rsidR="00CC1BF6" w:rsidRPr="006B42D6">
        <w:t xml:space="preserve">In </w:t>
      </w:r>
      <w:r w:rsidR="00EA1552">
        <w:t>Mainland Tanzania</w:t>
      </w:r>
      <w:r w:rsidR="00CC1BF6" w:rsidRPr="006B42D6">
        <w:t xml:space="preserve">, </w:t>
      </w:r>
      <w:r w:rsidRPr="006B42D6">
        <w:t xml:space="preserve">Tanga </w:t>
      </w:r>
      <w:r w:rsidR="00CC1BF6" w:rsidRPr="006B42D6">
        <w:t>r</w:t>
      </w:r>
      <w:r w:rsidRPr="006B42D6">
        <w:t>egion had the highest production</w:t>
      </w:r>
      <w:r w:rsidR="00B5600F" w:rsidRPr="006B42D6">
        <w:t xml:space="preserve"> (9,714 tons; 27.6 percent)</w:t>
      </w:r>
      <w:r w:rsidRPr="006B42D6">
        <w:t xml:space="preserve">, followed by Kilimanjaro (4,973 tons; </w:t>
      </w:r>
      <w:r w:rsidR="00B5600F" w:rsidRPr="006B42D6">
        <w:t>14.1</w:t>
      </w:r>
      <w:r w:rsidRPr="006B42D6">
        <w:t xml:space="preserve"> percent) and Mbeya (3,</w:t>
      </w:r>
      <w:r w:rsidR="00B5600F" w:rsidRPr="006B42D6">
        <w:t>662</w:t>
      </w:r>
      <w:r w:rsidRPr="006B42D6">
        <w:t xml:space="preserve"> tons; </w:t>
      </w:r>
      <w:r w:rsidR="00B5600F" w:rsidRPr="006B42D6">
        <w:t>10.4</w:t>
      </w:r>
      <w:r w:rsidRPr="006B42D6">
        <w:t xml:space="preserve"> percent). On the other hand, Simiyu region had </w:t>
      </w:r>
      <w:r w:rsidR="005D180F" w:rsidRPr="006B42D6">
        <w:t>the</w:t>
      </w:r>
      <w:r w:rsidRPr="006B42D6">
        <w:t xml:space="preserve"> least production (39 tons; 0.1 percent). In </w:t>
      </w:r>
      <w:r w:rsidR="00B5600F" w:rsidRPr="006B42D6">
        <w:t xml:space="preserve">Tanzania </w:t>
      </w:r>
      <w:r w:rsidRPr="006B42D6">
        <w:t>Zanzibar, Mjini Magharibi produced 2 tons (</w:t>
      </w:r>
      <w:r w:rsidR="00B5600F" w:rsidRPr="006B42D6">
        <w:t>100.0 percent</w:t>
      </w:r>
      <w:r w:rsidRPr="006B42D6">
        <w:t>) as it was the only region engaged in</w:t>
      </w:r>
      <w:r w:rsidR="005D180F" w:rsidRPr="006B42D6">
        <w:t xml:space="preserve"> cabbage</w:t>
      </w:r>
      <w:r w:rsidRPr="006B42D6">
        <w:t xml:space="preserve"> production (Table 3.</w:t>
      </w:r>
      <w:r w:rsidR="00464C4B" w:rsidRPr="006B42D6">
        <w:t>7</w:t>
      </w:r>
      <w:r w:rsidRPr="006B42D6">
        <w:t>).</w:t>
      </w:r>
    </w:p>
    <w:p w14:paraId="05B4C750" w14:textId="034EEF41" w:rsidR="001550D5" w:rsidRPr="006B42D6" w:rsidRDefault="001550D5" w:rsidP="00F033BB">
      <w:pPr>
        <w:spacing w:line="240" w:lineRule="auto"/>
      </w:pPr>
    </w:p>
    <w:p w14:paraId="58135056" w14:textId="3757D0AD" w:rsidR="003D1662" w:rsidRPr="006B42D6" w:rsidRDefault="001550D5" w:rsidP="00F033BB">
      <w:r w:rsidRPr="006B42D6">
        <w:t xml:space="preserve">Moreover, results show that, the average productivity of cabbage in Tanzania was 12.5 tons/ha (12.5 tons/ha in </w:t>
      </w:r>
      <w:r w:rsidR="00EA1552">
        <w:t>Mainland Tanzania</w:t>
      </w:r>
      <w:r w:rsidRPr="006B42D6">
        <w:t xml:space="preserve"> and 1.1 tons/ha in Tanzania Zanzibar). The highest productivity was in Lindi region (39.5 tons/ha), followed by Kilimanjaro (34.5 tons/ha) and Dodoma (30.8 tons/ha). On the other hand, the lowest productivity was in Singida region (1.9 tons/ha).</w:t>
      </w:r>
    </w:p>
    <w:p w14:paraId="205C2CF3" w14:textId="77777777" w:rsidR="00A51CC7" w:rsidRDefault="00A51CC7">
      <w:pPr>
        <w:spacing w:line="240" w:lineRule="auto"/>
        <w:contextualSpacing w:val="0"/>
        <w:jc w:val="left"/>
        <w:rPr>
          <w:b/>
          <w:iCs/>
          <w:sz w:val="20"/>
          <w:szCs w:val="20"/>
        </w:rPr>
      </w:pPr>
      <w:r>
        <w:br w:type="page"/>
      </w:r>
    </w:p>
    <w:p w14:paraId="0194EC25" w14:textId="137A7B9C" w:rsidR="003B7993" w:rsidRPr="006B42D6" w:rsidRDefault="003B7993" w:rsidP="00442577">
      <w:pPr>
        <w:pStyle w:val="Heading7"/>
        <w:ind w:right="907"/>
      </w:pPr>
      <w:bookmarkStart w:id="210" w:name="_Toc82386189"/>
      <w:r w:rsidRPr="006B42D6">
        <w:lastRenderedPageBreak/>
        <w:t>Table 3.</w:t>
      </w:r>
      <w:r w:rsidR="00A9608F" w:rsidRPr="006B42D6">
        <w:t>7</w:t>
      </w:r>
      <w:r w:rsidR="00361E96">
        <w:t>:</w:t>
      </w:r>
      <w:r w:rsidR="00F033BB">
        <w:tab/>
      </w:r>
      <w:r w:rsidRPr="006B42D6">
        <w:t xml:space="preserve">Number of Household, Planted Area, Quantity Harvested and Yield of Cabbage by Region </w:t>
      </w:r>
      <w:r w:rsidR="00203F5A" w:rsidRPr="006B42D6">
        <w:t>D</w:t>
      </w:r>
      <w:r w:rsidRPr="006B42D6">
        <w:t xml:space="preserve">uring 2019/20 </w:t>
      </w:r>
      <w:r w:rsidR="00203F5A" w:rsidRPr="006B42D6">
        <w:t>A</w:t>
      </w:r>
      <w:r w:rsidRPr="006B42D6">
        <w:t>gricultural Year</w:t>
      </w:r>
      <w:r w:rsidR="00203F5A" w:rsidRPr="006B42D6">
        <w:t>, Tanzania</w:t>
      </w:r>
      <w:bookmarkEnd w:id="210"/>
    </w:p>
    <w:tbl>
      <w:tblPr>
        <w:tblW w:w="8635" w:type="dxa"/>
        <w:tblLook w:val="04A0" w:firstRow="1" w:lastRow="0" w:firstColumn="1" w:lastColumn="0" w:noHBand="0" w:noVBand="1"/>
      </w:tblPr>
      <w:tblGrid>
        <w:gridCol w:w="1798"/>
        <w:gridCol w:w="1732"/>
        <w:gridCol w:w="1770"/>
        <w:gridCol w:w="2043"/>
        <w:gridCol w:w="1292"/>
      </w:tblGrid>
      <w:tr w:rsidR="00F033BB" w:rsidRPr="00442577" w14:paraId="1644BDD0" w14:textId="77777777" w:rsidTr="00442577">
        <w:trPr>
          <w:trHeight w:val="53"/>
        </w:trPr>
        <w:tc>
          <w:tcPr>
            <w:tcW w:w="1798" w:type="dxa"/>
            <w:tcBorders>
              <w:top w:val="single" w:sz="4" w:space="0" w:color="auto"/>
              <w:left w:val="nil"/>
              <w:bottom w:val="single" w:sz="4" w:space="0" w:color="000000"/>
            </w:tcBorders>
            <w:shd w:val="clear" w:color="auto" w:fill="E2EFD9" w:themeFill="accent6" w:themeFillTint="33"/>
            <w:vAlign w:val="center"/>
            <w:hideMark/>
          </w:tcPr>
          <w:p w14:paraId="2273D376" w14:textId="20D02A0C" w:rsidR="00895A1D" w:rsidRPr="00442577" w:rsidRDefault="00203F5A" w:rsidP="00895A1D">
            <w:pPr>
              <w:rPr>
                <w:bCs/>
                <w:sz w:val="17"/>
                <w:szCs w:val="17"/>
              </w:rPr>
            </w:pPr>
            <w:r w:rsidRPr="00442577">
              <w:rPr>
                <w:bCs/>
                <w:sz w:val="17"/>
                <w:szCs w:val="17"/>
              </w:rPr>
              <w:t>Region</w:t>
            </w:r>
          </w:p>
        </w:tc>
        <w:tc>
          <w:tcPr>
            <w:tcW w:w="1732" w:type="dxa"/>
            <w:tcBorders>
              <w:top w:val="single" w:sz="4" w:space="0" w:color="auto"/>
              <w:bottom w:val="single" w:sz="4" w:space="0" w:color="auto"/>
              <w:right w:val="nil"/>
            </w:tcBorders>
            <w:shd w:val="clear" w:color="auto" w:fill="E2EFD9" w:themeFill="accent6" w:themeFillTint="33"/>
            <w:vAlign w:val="center"/>
            <w:hideMark/>
          </w:tcPr>
          <w:p w14:paraId="508414F5" w14:textId="77777777" w:rsidR="00895A1D" w:rsidRPr="00442577" w:rsidRDefault="00895A1D" w:rsidP="00895A1D">
            <w:pPr>
              <w:jc w:val="center"/>
              <w:rPr>
                <w:bCs/>
                <w:sz w:val="17"/>
                <w:szCs w:val="17"/>
              </w:rPr>
            </w:pPr>
            <w:r w:rsidRPr="00442577">
              <w:rPr>
                <w:bCs/>
                <w:sz w:val="17"/>
                <w:szCs w:val="17"/>
              </w:rPr>
              <w:t xml:space="preserve"> Planted Area (ha) </w:t>
            </w:r>
          </w:p>
        </w:tc>
        <w:tc>
          <w:tcPr>
            <w:tcW w:w="1770" w:type="dxa"/>
            <w:tcBorders>
              <w:top w:val="single" w:sz="4" w:space="0" w:color="auto"/>
              <w:left w:val="nil"/>
              <w:bottom w:val="single" w:sz="4" w:space="0" w:color="auto"/>
              <w:right w:val="nil"/>
            </w:tcBorders>
            <w:shd w:val="clear" w:color="auto" w:fill="E2EFD9" w:themeFill="accent6" w:themeFillTint="33"/>
            <w:vAlign w:val="center"/>
            <w:hideMark/>
          </w:tcPr>
          <w:p w14:paraId="7624D298" w14:textId="77777777" w:rsidR="00895A1D" w:rsidRPr="00442577" w:rsidRDefault="00895A1D" w:rsidP="00895A1D">
            <w:pPr>
              <w:jc w:val="center"/>
              <w:rPr>
                <w:bCs/>
                <w:sz w:val="17"/>
                <w:szCs w:val="17"/>
              </w:rPr>
            </w:pPr>
            <w:r w:rsidRPr="00442577">
              <w:rPr>
                <w:bCs/>
                <w:sz w:val="17"/>
                <w:szCs w:val="17"/>
              </w:rPr>
              <w:t xml:space="preserve"> Harvested Area (ha) </w:t>
            </w:r>
          </w:p>
        </w:tc>
        <w:tc>
          <w:tcPr>
            <w:tcW w:w="2043" w:type="dxa"/>
            <w:tcBorders>
              <w:top w:val="single" w:sz="4" w:space="0" w:color="auto"/>
              <w:left w:val="nil"/>
              <w:bottom w:val="single" w:sz="4" w:space="0" w:color="auto"/>
              <w:right w:val="nil"/>
            </w:tcBorders>
            <w:shd w:val="clear" w:color="auto" w:fill="E2EFD9" w:themeFill="accent6" w:themeFillTint="33"/>
            <w:vAlign w:val="center"/>
            <w:hideMark/>
          </w:tcPr>
          <w:p w14:paraId="7DAFF804" w14:textId="77777777" w:rsidR="00895A1D" w:rsidRPr="00442577" w:rsidRDefault="00895A1D" w:rsidP="00895A1D">
            <w:pPr>
              <w:jc w:val="center"/>
              <w:rPr>
                <w:bCs/>
                <w:sz w:val="17"/>
                <w:szCs w:val="17"/>
              </w:rPr>
            </w:pPr>
            <w:r w:rsidRPr="00442577">
              <w:rPr>
                <w:bCs/>
                <w:sz w:val="17"/>
                <w:szCs w:val="17"/>
              </w:rPr>
              <w:t xml:space="preserve"> Quantity Harvested (tons) </w:t>
            </w:r>
          </w:p>
        </w:tc>
        <w:tc>
          <w:tcPr>
            <w:tcW w:w="1292" w:type="dxa"/>
            <w:tcBorders>
              <w:top w:val="single" w:sz="4" w:space="0" w:color="auto"/>
              <w:left w:val="nil"/>
              <w:bottom w:val="single" w:sz="4" w:space="0" w:color="auto"/>
              <w:right w:val="nil"/>
            </w:tcBorders>
            <w:shd w:val="clear" w:color="auto" w:fill="E2EFD9" w:themeFill="accent6" w:themeFillTint="33"/>
            <w:vAlign w:val="center"/>
            <w:hideMark/>
          </w:tcPr>
          <w:p w14:paraId="62CAB9BF" w14:textId="77777777" w:rsidR="00895A1D" w:rsidRPr="00442577" w:rsidRDefault="00895A1D" w:rsidP="00895A1D">
            <w:pPr>
              <w:jc w:val="center"/>
              <w:rPr>
                <w:bCs/>
                <w:sz w:val="17"/>
                <w:szCs w:val="17"/>
              </w:rPr>
            </w:pPr>
            <w:r w:rsidRPr="00442577">
              <w:rPr>
                <w:bCs/>
                <w:sz w:val="17"/>
                <w:szCs w:val="17"/>
              </w:rPr>
              <w:t xml:space="preserve"> Yield (tons/ha) </w:t>
            </w:r>
          </w:p>
        </w:tc>
      </w:tr>
      <w:tr w:rsidR="00F033BB" w:rsidRPr="00442577" w14:paraId="63182BE8" w14:textId="77777777" w:rsidTr="00442577">
        <w:trPr>
          <w:trHeight w:val="53"/>
        </w:trPr>
        <w:tc>
          <w:tcPr>
            <w:tcW w:w="1798" w:type="dxa"/>
            <w:tcBorders>
              <w:top w:val="nil"/>
              <w:left w:val="nil"/>
              <w:bottom w:val="nil"/>
            </w:tcBorders>
            <w:shd w:val="clear" w:color="auto" w:fill="auto"/>
            <w:noWrap/>
            <w:vAlign w:val="bottom"/>
            <w:hideMark/>
          </w:tcPr>
          <w:p w14:paraId="66329DD7" w14:textId="77777777" w:rsidR="00895A1D" w:rsidRPr="00442577" w:rsidRDefault="00895A1D" w:rsidP="00895A1D">
            <w:pPr>
              <w:rPr>
                <w:sz w:val="17"/>
                <w:szCs w:val="17"/>
              </w:rPr>
            </w:pPr>
            <w:r w:rsidRPr="00442577">
              <w:rPr>
                <w:sz w:val="17"/>
                <w:szCs w:val="17"/>
              </w:rPr>
              <w:t>Dodoma</w:t>
            </w:r>
          </w:p>
        </w:tc>
        <w:tc>
          <w:tcPr>
            <w:tcW w:w="1732" w:type="dxa"/>
            <w:tcBorders>
              <w:top w:val="nil"/>
              <w:bottom w:val="nil"/>
              <w:right w:val="nil"/>
            </w:tcBorders>
            <w:shd w:val="clear" w:color="auto" w:fill="auto"/>
            <w:noWrap/>
            <w:vAlign w:val="bottom"/>
            <w:hideMark/>
          </w:tcPr>
          <w:p w14:paraId="3EDE33AC" w14:textId="25A0F0B9" w:rsidR="00895A1D" w:rsidRPr="00442577" w:rsidRDefault="00895A1D" w:rsidP="00895A1D">
            <w:pPr>
              <w:jc w:val="right"/>
              <w:rPr>
                <w:sz w:val="17"/>
                <w:szCs w:val="17"/>
              </w:rPr>
            </w:pPr>
            <w:r w:rsidRPr="00442577">
              <w:rPr>
                <w:sz w:val="17"/>
                <w:szCs w:val="17"/>
              </w:rPr>
              <w:t>19</w:t>
            </w:r>
          </w:p>
        </w:tc>
        <w:tc>
          <w:tcPr>
            <w:tcW w:w="1770" w:type="dxa"/>
            <w:tcBorders>
              <w:top w:val="nil"/>
              <w:left w:val="nil"/>
              <w:bottom w:val="nil"/>
              <w:right w:val="nil"/>
            </w:tcBorders>
            <w:shd w:val="clear" w:color="auto" w:fill="auto"/>
            <w:noWrap/>
            <w:vAlign w:val="bottom"/>
            <w:hideMark/>
          </w:tcPr>
          <w:p w14:paraId="6D711CE8" w14:textId="67D1DB91" w:rsidR="00895A1D" w:rsidRPr="00442577" w:rsidRDefault="00895A1D" w:rsidP="00895A1D">
            <w:pPr>
              <w:jc w:val="right"/>
              <w:rPr>
                <w:sz w:val="17"/>
                <w:szCs w:val="17"/>
              </w:rPr>
            </w:pPr>
            <w:r w:rsidRPr="00442577">
              <w:rPr>
                <w:sz w:val="17"/>
                <w:szCs w:val="17"/>
              </w:rPr>
              <w:t>19</w:t>
            </w:r>
          </w:p>
        </w:tc>
        <w:tc>
          <w:tcPr>
            <w:tcW w:w="2043" w:type="dxa"/>
            <w:tcBorders>
              <w:top w:val="nil"/>
              <w:left w:val="nil"/>
              <w:bottom w:val="nil"/>
              <w:right w:val="nil"/>
            </w:tcBorders>
            <w:shd w:val="clear" w:color="auto" w:fill="auto"/>
            <w:noWrap/>
            <w:vAlign w:val="bottom"/>
            <w:hideMark/>
          </w:tcPr>
          <w:p w14:paraId="276EDECD" w14:textId="75DC0E68" w:rsidR="00895A1D" w:rsidRPr="00442577" w:rsidRDefault="00895A1D" w:rsidP="00895A1D">
            <w:pPr>
              <w:jc w:val="right"/>
              <w:rPr>
                <w:sz w:val="17"/>
                <w:szCs w:val="17"/>
              </w:rPr>
            </w:pPr>
            <w:r w:rsidRPr="00442577">
              <w:rPr>
                <w:sz w:val="17"/>
                <w:szCs w:val="17"/>
              </w:rPr>
              <w:t>598</w:t>
            </w:r>
          </w:p>
        </w:tc>
        <w:tc>
          <w:tcPr>
            <w:tcW w:w="1292" w:type="dxa"/>
            <w:tcBorders>
              <w:top w:val="nil"/>
              <w:left w:val="nil"/>
              <w:bottom w:val="nil"/>
              <w:right w:val="nil"/>
            </w:tcBorders>
            <w:shd w:val="clear" w:color="auto" w:fill="auto"/>
            <w:noWrap/>
            <w:vAlign w:val="bottom"/>
            <w:hideMark/>
          </w:tcPr>
          <w:p w14:paraId="63663550" w14:textId="24C434D0" w:rsidR="00895A1D" w:rsidRPr="00442577" w:rsidRDefault="00895A1D" w:rsidP="00895A1D">
            <w:pPr>
              <w:jc w:val="right"/>
              <w:rPr>
                <w:sz w:val="17"/>
                <w:szCs w:val="17"/>
              </w:rPr>
            </w:pPr>
            <w:r w:rsidRPr="00442577">
              <w:rPr>
                <w:sz w:val="17"/>
                <w:szCs w:val="17"/>
              </w:rPr>
              <w:t>30.8</w:t>
            </w:r>
          </w:p>
        </w:tc>
      </w:tr>
      <w:tr w:rsidR="00F033BB" w:rsidRPr="00442577" w14:paraId="4A40770B" w14:textId="77777777" w:rsidTr="00442577">
        <w:trPr>
          <w:trHeight w:val="53"/>
        </w:trPr>
        <w:tc>
          <w:tcPr>
            <w:tcW w:w="1798" w:type="dxa"/>
            <w:tcBorders>
              <w:top w:val="nil"/>
              <w:left w:val="nil"/>
              <w:bottom w:val="nil"/>
            </w:tcBorders>
            <w:shd w:val="clear" w:color="auto" w:fill="auto"/>
            <w:noWrap/>
            <w:vAlign w:val="bottom"/>
            <w:hideMark/>
          </w:tcPr>
          <w:p w14:paraId="31594810" w14:textId="77777777" w:rsidR="00895A1D" w:rsidRPr="00442577" w:rsidRDefault="00895A1D" w:rsidP="00895A1D">
            <w:pPr>
              <w:rPr>
                <w:sz w:val="17"/>
                <w:szCs w:val="17"/>
              </w:rPr>
            </w:pPr>
            <w:r w:rsidRPr="00442577">
              <w:rPr>
                <w:sz w:val="17"/>
                <w:szCs w:val="17"/>
              </w:rPr>
              <w:t>Arusha</w:t>
            </w:r>
          </w:p>
        </w:tc>
        <w:tc>
          <w:tcPr>
            <w:tcW w:w="1732" w:type="dxa"/>
            <w:tcBorders>
              <w:top w:val="nil"/>
              <w:bottom w:val="nil"/>
              <w:right w:val="nil"/>
            </w:tcBorders>
            <w:shd w:val="clear" w:color="auto" w:fill="auto"/>
            <w:noWrap/>
            <w:vAlign w:val="bottom"/>
            <w:hideMark/>
          </w:tcPr>
          <w:p w14:paraId="492E4D0D" w14:textId="04FBA09B" w:rsidR="00895A1D" w:rsidRPr="00442577" w:rsidRDefault="00895A1D" w:rsidP="00895A1D">
            <w:pPr>
              <w:jc w:val="right"/>
              <w:rPr>
                <w:sz w:val="17"/>
                <w:szCs w:val="17"/>
              </w:rPr>
            </w:pPr>
            <w:r w:rsidRPr="00442577">
              <w:rPr>
                <w:sz w:val="17"/>
                <w:szCs w:val="17"/>
              </w:rPr>
              <w:t>272</w:t>
            </w:r>
          </w:p>
        </w:tc>
        <w:tc>
          <w:tcPr>
            <w:tcW w:w="1770" w:type="dxa"/>
            <w:tcBorders>
              <w:top w:val="nil"/>
              <w:left w:val="nil"/>
              <w:bottom w:val="nil"/>
              <w:right w:val="nil"/>
            </w:tcBorders>
            <w:shd w:val="clear" w:color="auto" w:fill="auto"/>
            <w:noWrap/>
            <w:vAlign w:val="bottom"/>
            <w:hideMark/>
          </w:tcPr>
          <w:p w14:paraId="104ED141" w14:textId="5B25090B" w:rsidR="00895A1D" w:rsidRPr="00442577" w:rsidRDefault="00895A1D" w:rsidP="00895A1D">
            <w:pPr>
              <w:jc w:val="right"/>
              <w:rPr>
                <w:sz w:val="17"/>
                <w:szCs w:val="17"/>
              </w:rPr>
            </w:pPr>
            <w:r w:rsidRPr="00442577">
              <w:rPr>
                <w:sz w:val="17"/>
                <w:szCs w:val="17"/>
              </w:rPr>
              <w:t>117</w:t>
            </w:r>
          </w:p>
        </w:tc>
        <w:tc>
          <w:tcPr>
            <w:tcW w:w="2043" w:type="dxa"/>
            <w:tcBorders>
              <w:top w:val="nil"/>
              <w:left w:val="nil"/>
              <w:bottom w:val="nil"/>
              <w:right w:val="nil"/>
            </w:tcBorders>
            <w:shd w:val="clear" w:color="auto" w:fill="auto"/>
            <w:noWrap/>
            <w:vAlign w:val="bottom"/>
            <w:hideMark/>
          </w:tcPr>
          <w:p w14:paraId="3ABE62CF" w14:textId="379C198A" w:rsidR="00895A1D" w:rsidRPr="00442577" w:rsidRDefault="00895A1D" w:rsidP="00895A1D">
            <w:pPr>
              <w:jc w:val="right"/>
              <w:rPr>
                <w:sz w:val="17"/>
                <w:szCs w:val="17"/>
              </w:rPr>
            </w:pPr>
            <w:r w:rsidRPr="00442577">
              <w:rPr>
                <w:sz w:val="17"/>
                <w:szCs w:val="17"/>
              </w:rPr>
              <w:t>1,901</w:t>
            </w:r>
          </w:p>
        </w:tc>
        <w:tc>
          <w:tcPr>
            <w:tcW w:w="1292" w:type="dxa"/>
            <w:tcBorders>
              <w:top w:val="nil"/>
              <w:left w:val="nil"/>
              <w:bottom w:val="nil"/>
              <w:right w:val="nil"/>
            </w:tcBorders>
            <w:shd w:val="clear" w:color="auto" w:fill="auto"/>
            <w:noWrap/>
            <w:vAlign w:val="bottom"/>
            <w:hideMark/>
          </w:tcPr>
          <w:p w14:paraId="34E181E1" w14:textId="006EA2A0" w:rsidR="00895A1D" w:rsidRPr="00442577" w:rsidRDefault="00895A1D" w:rsidP="00895A1D">
            <w:pPr>
              <w:jc w:val="right"/>
              <w:rPr>
                <w:sz w:val="17"/>
                <w:szCs w:val="17"/>
              </w:rPr>
            </w:pPr>
            <w:r w:rsidRPr="00442577">
              <w:rPr>
                <w:sz w:val="17"/>
                <w:szCs w:val="17"/>
              </w:rPr>
              <w:t>16.3</w:t>
            </w:r>
          </w:p>
        </w:tc>
      </w:tr>
      <w:tr w:rsidR="00F033BB" w:rsidRPr="00442577" w14:paraId="7D02E626" w14:textId="77777777" w:rsidTr="00442577">
        <w:trPr>
          <w:trHeight w:val="53"/>
        </w:trPr>
        <w:tc>
          <w:tcPr>
            <w:tcW w:w="1798" w:type="dxa"/>
            <w:tcBorders>
              <w:top w:val="nil"/>
              <w:left w:val="nil"/>
              <w:bottom w:val="nil"/>
            </w:tcBorders>
            <w:shd w:val="clear" w:color="auto" w:fill="auto"/>
            <w:noWrap/>
            <w:vAlign w:val="bottom"/>
            <w:hideMark/>
          </w:tcPr>
          <w:p w14:paraId="2623C6D3" w14:textId="77777777" w:rsidR="00895A1D" w:rsidRPr="00442577" w:rsidRDefault="00895A1D" w:rsidP="00895A1D">
            <w:pPr>
              <w:rPr>
                <w:sz w:val="17"/>
                <w:szCs w:val="17"/>
              </w:rPr>
            </w:pPr>
            <w:r w:rsidRPr="00442577">
              <w:rPr>
                <w:sz w:val="17"/>
                <w:szCs w:val="17"/>
              </w:rPr>
              <w:t>Kilimanjaro</w:t>
            </w:r>
          </w:p>
        </w:tc>
        <w:tc>
          <w:tcPr>
            <w:tcW w:w="1732" w:type="dxa"/>
            <w:tcBorders>
              <w:top w:val="nil"/>
              <w:bottom w:val="nil"/>
              <w:right w:val="nil"/>
            </w:tcBorders>
            <w:shd w:val="clear" w:color="auto" w:fill="auto"/>
            <w:noWrap/>
            <w:vAlign w:val="bottom"/>
            <w:hideMark/>
          </w:tcPr>
          <w:p w14:paraId="458F60B9" w14:textId="48549662" w:rsidR="00895A1D" w:rsidRPr="00442577" w:rsidRDefault="00895A1D" w:rsidP="00895A1D">
            <w:pPr>
              <w:jc w:val="right"/>
              <w:rPr>
                <w:sz w:val="17"/>
                <w:szCs w:val="17"/>
              </w:rPr>
            </w:pPr>
            <w:r w:rsidRPr="00442577">
              <w:rPr>
                <w:sz w:val="17"/>
                <w:szCs w:val="17"/>
              </w:rPr>
              <w:t>144</w:t>
            </w:r>
          </w:p>
        </w:tc>
        <w:tc>
          <w:tcPr>
            <w:tcW w:w="1770" w:type="dxa"/>
            <w:tcBorders>
              <w:top w:val="nil"/>
              <w:left w:val="nil"/>
              <w:bottom w:val="nil"/>
              <w:right w:val="nil"/>
            </w:tcBorders>
            <w:shd w:val="clear" w:color="auto" w:fill="auto"/>
            <w:noWrap/>
            <w:vAlign w:val="bottom"/>
            <w:hideMark/>
          </w:tcPr>
          <w:p w14:paraId="287E6B68" w14:textId="2FA0F296" w:rsidR="00895A1D" w:rsidRPr="00442577" w:rsidRDefault="00895A1D" w:rsidP="00895A1D">
            <w:pPr>
              <w:jc w:val="right"/>
              <w:rPr>
                <w:sz w:val="17"/>
                <w:szCs w:val="17"/>
              </w:rPr>
            </w:pPr>
            <w:r w:rsidRPr="00442577">
              <w:rPr>
                <w:sz w:val="17"/>
                <w:szCs w:val="17"/>
              </w:rPr>
              <w:t>144</w:t>
            </w:r>
          </w:p>
        </w:tc>
        <w:tc>
          <w:tcPr>
            <w:tcW w:w="2043" w:type="dxa"/>
            <w:tcBorders>
              <w:top w:val="nil"/>
              <w:left w:val="nil"/>
              <w:bottom w:val="nil"/>
              <w:right w:val="nil"/>
            </w:tcBorders>
            <w:shd w:val="clear" w:color="auto" w:fill="auto"/>
            <w:noWrap/>
            <w:vAlign w:val="bottom"/>
            <w:hideMark/>
          </w:tcPr>
          <w:p w14:paraId="14EB323A" w14:textId="7BA891F6" w:rsidR="00895A1D" w:rsidRPr="00442577" w:rsidRDefault="00895A1D" w:rsidP="00895A1D">
            <w:pPr>
              <w:jc w:val="right"/>
              <w:rPr>
                <w:sz w:val="17"/>
                <w:szCs w:val="17"/>
              </w:rPr>
            </w:pPr>
            <w:r w:rsidRPr="00442577">
              <w:rPr>
                <w:sz w:val="17"/>
                <w:szCs w:val="17"/>
              </w:rPr>
              <w:t>4,973</w:t>
            </w:r>
          </w:p>
        </w:tc>
        <w:tc>
          <w:tcPr>
            <w:tcW w:w="1292" w:type="dxa"/>
            <w:tcBorders>
              <w:top w:val="nil"/>
              <w:left w:val="nil"/>
              <w:bottom w:val="nil"/>
              <w:right w:val="nil"/>
            </w:tcBorders>
            <w:shd w:val="clear" w:color="auto" w:fill="auto"/>
            <w:noWrap/>
            <w:vAlign w:val="bottom"/>
            <w:hideMark/>
          </w:tcPr>
          <w:p w14:paraId="1DF28C73" w14:textId="1B891F65" w:rsidR="00895A1D" w:rsidRPr="00442577" w:rsidRDefault="00895A1D" w:rsidP="00895A1D">
            <w:pPr>
              <w:jc w:val="right"/>
              <w:rPr>
                <w:sz w:val="17"/>
                <w:szCs w:val="17"/>
              </w:rPr>
            </w:pPr>
            <w:r w:rsidRPr="00442577">
              <w:rPr>
                <w:sz w:val="17"/>
                <w:szCs w:val="17"/>
              </w:rPr>
              <w:t>34.5</w:t>
            </w:r>
          </w:p>
        </w:tc>
      </w:tr>
      <w:tr w:rsidR="00F033BB" w:rsidRPr="00442577" w14:paraId="2F09509E" w14:textId="77777777" w:rsidTr="00442577">
        <w:trPr>
          <w:trHeight w:val="53"/>
        </w:trPr>
        <w:tc>
          <w:tcPr>
            <w:tcW w:w="1798" w:type="dxa"/>
            <w:tcBorders>
              <w:top w:val="nil"/>
              <w:left w:val="nil"/>
              <w:bottom w:val="nil"/>
            </w:tcBorders>
            <w:shd w:val="clear" w:color="auto" w:fill="auto"/>
            <w:noWrap/>
            <w:vAlign w:val="bottom"/>
            <w:hideMark/>
          </w:tcPr>
          <w:p w14:paraId="73443FDB" w14:textId="77777777" w:rsidR="00895A1D" w:rsidRPr="00442577" w:rsidRDefault="00895A1D" w:rsidP="00895A1D">
            <w:pPr>
              <w:rPr>
                <w:sz w:val="17"/>
                <w:szCs w:val="17"/>
              </w:rPr>
            </w:pPr>
            <w:r w:rsidRPr="00442577">
              <w:rPr>
                <w:sz w:val="17"/>
                <w:szCs w:val="17"/>
              </w:rPr>
              <w:t>Tanga</w:t>
            </w:r>
          </w:p>
        </w:tc>
        <w:tc>
          <w:tcPr>
            <w:tcW w:w="1732" w:type="dxa"/>
            <w:tcBorders>
              <w:top w:val="nil"/>
              <w:bottom w:val="nil"/>
              <w:right w:val="nil"/>
            </w:tcBorders>
            <w:shd w:val="clear" w:color="auto" w:fill="auto"/>
            <w:noWrap/>
            <w:vAlign w:val="bottom"/>
            <w:hideMark/>
          </w:tcPr>
          <w:p w14:paraId="1C529EBC" w14:textId="1160B9B8" w:rsidR="00895A1D" w:rsidRPr="00442577" w:rsidRDefault="00895A1D" w:rsidP="00895A1D">
            <w:pPr>
              <w:jc w:val="right"/>
              <w:rPr>
                <w:sz w:val="17"/>
                <w:szCs w:val="17"/>
              </w:rPr>
            </w:pPr>
            <w:r w:rsidRPr="00442577">
              <w:rPr>
                <w:sz w:val="17"/>
                <w:szCs w:val="17"/>
              </w:rPr>
              <w:t>1,383</w:t>
            </w:r>
          </w:p>
        </w:tc>
        <w:tc>
          <w:tcPr>
            <w:tcW w:w="1770" w:type="dxa"/>
            <w:tcBorders>
              <w:top w:val="nil"/>
              <w:left w:val="nil"/>
              <w:bottom w:val="nil"/>
              <w:right w:val="nil"/>
            </w:tcBorders>
            <w:shd w:val="clear" w:color="auto" w:fill="auto"/>
            <w:noWrap/>
            <w:vAlign w:val="bottom"/>
            <w:hideMark/>
          </w:tcPr>
          <w:p w14:paraId="28A0549C" w14:textId="08A1BF15" w:rsidR="00895A1D" w:rsidRPr="00442577" w:rsidRDefault="00895A1D" w:rsidP="00895A1D">
            <w:pPr>
              <w:jc w:val="right"/>
              <w:rPr>
                <w:sz w:val="17"/>
                <w:szCs w:val="17"/>
              </w:rPr>
            </w:pPr>
            <w:r w:rsidRPr="00442577">
              <w:rPr>
                <w:sz w:val="17"/>
                <w:szCs w:val="17"/>
              </w:rPr>
              <w:t>1,167</w:t>
            </w:r>
          </w:p>
        </w:tc>
        <w:tc>
          <w:tcPr>
            <w:tcW w:w="2043" w:type="dxa"/>
            <w:tcBorders>
              <w:top w:val="nil"/>
              <w:left w:val="nil"/>
              <w:bottom w:val="nil"/>
              <w:right w:val="nil"/>
            </w:tcBorders>
            <w:shd w:val="clear" w:color="auto" w:fill="auto"/>
            <w:noWrap/>
            <w:vAlign w:val="bottom"/>
            <w:hideMark/>
          </w:tcPr>
          <w:p w14:paraId="29DAB4FF" w14:textId="7F1E460B" w:rsidR="00895A1D" w:rsidRPr="00442577" w:rsidRDefault="00895A1D" w:rsidP="00895A1D">
            <w:pPr>
              <w:jc w:val="right"/>
              <w:rPr>
                <w:sz w:val="17"/>
                <w:szCs w:val="17"/>
              </w:rPr>
            </w:pPr>
            <w:r w:rsidRPr="00442577">
              <w:rPr>
                <w:sz w:val="17"/>
                <w:szCs w:val="17"/>
              </w:rPr>
              <w:t>9,714</w:t>
            </w:r>
          </w:p>
        </w:tc>
        <w:tc>
          <w:tcPr>
            <w:tcW w:w="1292" w:type="dxa"/>
            <w:tcBorders>
              <w:top w:val="nil"/>
              <w:left w:val="nil"/>
              <w:bottom w:val="nil"/>
              <w:right w:val="nil"/>
            </w:tcBorders>
            <w:shd w:val="clear" w:color="auto" w:fill="auto"/>
            <w:noWrap/>
            <w:vAlign w:val="bottom"/>
            <w:hideMark/>
          </w:tcPr>
          <w:p w14:paraId="465E69B0" w14:textId="7BEE57C2" w:rsidR="00895A1D" w:rsidRPr="00442577" w:rsidRDefault="00895A1D" w:rsidP="00895A1D">
            <w:pPr>
              <w:jc w:val="right"/>
              <w:rPr>
                <w:sz w:val="17"/>
                <w:szCs w:val="17"/>
              </w:rPr>
            </w:pPr>
            <w:r w:rsidRPr="00442577">
              <w:rPr>
                <w:sz w:val="17"/>
                <w:szCs w:val="17"/>
              </w:rPr>
              <w:t>8.3</w:t>
            </w:r>
          </w:p>
        </w:tc>
      </w:tr>
      <w:tr w:rsidR="00F033BB" w:rsidRPr="00442577" w14:paraId="53D01C7C" w14:textId="77777777" w:rsidTr="00442577">
        <w:trPr>
          <w:trHeight w:val="53"/>
        </w:trPr>
        <w:tc>
          <w:tcPr>
            <w:tcW w:w="1798" w:type="dxa"/>
            <w:tcBorders>
              <w:top w:val="nil"/>
              <w:left w:val="nil"/>
              <w:bottom w:val="nil"/>
            </w:tcBorders>
            <w:shd w:val="clear" w:color="auto" w:fill="auto"/>
            <w:noWrap/>
            <w:vAlign w:val="bottom"/>
            <w:hideMark/>
          </w:tcPr>
          <w:p w14:paraId="13668269" w14:textId="77777777" w:rsidR="00895A1D" w:rsidRPr="00442577" w:rsidRDefault="00895A1D" w:rsidP="00895A1D">
            <w:pPr>
              <w:rPr>
                <w:sz w:val="17"/>
                <w:szCs w:val="17"/>
              </w:rPr>
            </w:pPr>
            <w:r w:rsidRPr="00442577">
              <w:rPr>
                <w:sz w:val="17"/>
                <w:szCs w:val="17"/>
              </w:rPr>
              <w:t>Morogoro</w:t>
            </w:r>
          </w:p>
        </w:tc>
        <w:tc>
          <w:tcPr>
            <w:tcW w:w="1732" w:type="dxa"/>
            <w:tcBorders>
              <w:top w:val="nil"/>
              <w:bottom w:val="nil"/>
              <w:right w:val="nil"/>
            </w:tcBorders>
            <w:shd w:val="clear" w:color="auto" w:fill="auto"/>
            <w:noWrap/>
            <w:vAlign w:val="bottom"/>
            <w:hideMark/>
          </w:tcPr>
          <w:p w14:paraId="5EA5B4C8" w14:textId="63877467" w:rsidR="00895A1D" w:rsidRPr="00442577" w:rsidRDefault="00895A1D" w:rsidP="00895A1D">
            <w:pPr>
              <w:jc w:val="right"/>
              <w:rPr>
                <w:sz w:val="17"/>
                <w:szCs w:val="17"/>
              </w:rPr>
            </w:pPr>
            <w:r w:rsidRPr="00442577">
              <w:rPr>
                <w:sz w:val="17"/>
                <w:szCs w:val="17"/>
              </w:rPr>
              <w:t>120</w:t>
            </w:r>
          </w:p>
        </w:tc>
        <w:tc>
          <w:tcPr>
            <w:tcW w:w="1770" w:type="dxa"/>
            <w:tcBorders>
              <w:top w:val="nil"/>
              <w:left w:val="nil"/>
              <w:bottom w:val="nil"/>
              <w:right w:val="nil"/>
            </w:tcBorders>
            <w:shd w:val="clear" w:color="auto" w:fill="auto"/>
            <w:noWrap/>
            <w:vAlign w:val="bottom"/>
            <w:hideMark/>
          </w:tcPr>
          <w:p w14:paraId="1615572B" w14:textId="5E923C2A" w:rsidR="00895A1D" w:rsidRPr="00442577" w:rsidRDefault="00895A1D" w:rsidP="00895A1D">
            <w:pPr>
              <w:jc w:val="right"/>
              <w:rPr>
                <w:sz w:val="17"/>
                <w:szCs w:val="17"/>
              </w:rPr>
            </w:pPr>
            <w:r w:rsidRPr="00442577">
              <w:rPr>
                <w:sz w:val="17"/>
                <w:szCs w:val="17"/>
              </w:rPr>
              <w:t>108</w:t>
            </w:r>
          </w:p>
        </w:tc>
        <w:tc>
          <w:tcPr>
            <w:tcW w:w="2043" w:type="dxa"/>
            <w:tcBorders>
              <w:top w:val="nil"/>
              <w:left w:val="nil"/>
              <w:bottom w:val="nil"/>
              <w:right w:val="nil"/>
            </w:tcBorders>
            <w:shd w:val="clear" w:color="auto" w:fill="auto"/>
            <w:noWrap/>
            <w:vAlign w:val="bottom"/>
            <w:hideMark/>
          </w:tcPr>
          <w:p w14:paraId="4BBDBF6C" w14:textId="457D4849" w:rsidR="00895A1D" w:rsidRPr="00442577" w:rsidRDefault="00895A1D" w:rsidP="00895A1D">
            <w:pPr>
              <w:jc w:val="right"/>
              <w:rPr>
                <w:sz w:val="17"/>
                <w:szCs w:val="17"/>
              </w:rPr>
            </w:pPr>
            <w:r w:rsidRPr="00442577">
              <w:rPr>
                <w:sz w:val="17"/>
                <w:szCs w:val="17"/>
              </w:rPr>
              <w:t>1,337</w:t>
            </w:r>
          </w:p>
        </w:tc>
        <w:tc>
          <w:tcPr>
            <w:tcW w:w="1292" w:type="dxa"/>
            <w:tcBorders>
              <w:top w:val="nil"/>
              <w:left w:val="nil"/>
              <w:bottom w:val="nil"/>
              <w:right w:val="nil"/>
            </w:tcBorders>
            <w:shd w:val="clear" w:color="auto" w:fill="auto"/>
            <w:noWrap/>
            <w:vAlign w:val="bottom"/>
            <w:hideMark/>
          </w:tcPr>
          <w:p w14:paraId="496571EB" w14:textId="41267ABF" w:rsidR="00895A1D" w:rsidRPr="00442577" w:rsidRDefault="00895A1D" w:rsidP="00895A1D">
            <w:pPr>
              <w:jc w:val="right"/>
              <w:rPr>
                <w:sz w:val="17"/>
                <w:szCs w:val="17"/>
              </w:rPr>
            </w:pPr>
            <w:r w:rsidRPr="00442577">
              <w:rPr>
                <w:sz w:val="17"/>
                <w:szCs w:val="17"/>
              </w:rPr>
              <w:t>12.4</w:t>
            </w:r>
          </w:p>
        </w:tc>
      </w:tr>
      <w:tr w:rsidR="00F033BB" w:rsidRPr="00442577" w14:paraId="13C1A244" w14:textId="77777777" w:rsidTr="00442577">
        <w:trPr>
          <w:trHeight w:val="53"/>
        </w:trPr>
        <w:tc>
          <w:tcPr>
            <w:tcW w:w="1798" w:type="dxa"/>
            <w:tcBorders>
              <w:top w:val="nil"/>
              <w:left w:val="nil"/>
              <w:bottom w:val="nil"/>
            </w:tcBorders>
            <w:shd w:val="clear" w:color="auto" w:fill="auto"/>
            <w:noWrap/>
            <w:vAlign w:val="bottom"/>
            <w:hideMark/>
          </w:tcPr>
          <w:p w14:paraId="71E1B243" w14:textId="77777777" w:rsidR="00895A1D" w:rsidRPr="00442577" w:rsidRDefault="00895A1D" w:rsidP="00895A1D">
            <w:pPr>
              <w:rPr>
                <w:sz w:val="17"/>
                <w:szCs w:val="17"/>
              </w:rPr>
            </w:pPr>
            <w:r w:rsidRPr="00442577">
              <w:rPr>
                <w:sz w:val="17"/>
                <w:szCs w:val="17"/>
              </w:rPr>
              <w:t>Pwani</w:t>
            </w:r>
          </w:p>
        </w:tc>
        <w:tc>
          <w:tcPr>
            <w:tcW w:w="1732" w:type="dxa"/>
            <w:tcBorders>
              <w:top w:val="nil"/>
              <w:bottom w:val="nil"/>
              <w:right w:val="nil"/>
            </w:tcBorders>
            <w:shd w:val="clear" w:color="auto" w:fill="auto"/>
            <w:noWrap/>
            <w:vAlign w:val="bottom"/>
            <w:hideMark/>
          </w:tcPr>
          <w:p w14:paraId="7A809FC9" w14:textId="38AEA75C" w:rsidR="00895A1D" w:rsidRPr="00442577" w:rsidRDefault="00895A1D" w:rsidP="00895A1D">
            <w:pPr>
              <w:jc w:val="right"/>
              <w:rPr>
                <w:sz w:val="17"/>
                <w:szCs w:val="17"/>
              </w:rPr>
            </w:pPr>
            <w:r w:rsidRPr="00442577">
              <w:rPr>
                <w:sz w:val="17"/>
                <w:szCs w:val="17"/>
              </w:rPr>
              <w:t>46</w:t>
            </w:r>
          </w:p>
        </w:tc>
        <w:tc>
          <w:tcPr>
            <w:tcW w:w="1770" w:type="dxa"/>
            <w:tcBorders>
              <w:top w:val="nil"/>
              <w:left w:val="nil"/>
              <w:bottom w:val="nil"/>
              <w:right w:val="nil"/>
            </w:tcBorders>
            <w:shd w:val="clear" w:color="auto" w:fill="auto"/>
            <w:noWrap/>
            <w:vAlign w:val="bottom"/>
            <w:hideMark/>
          </w:tcPr>
          <w:p w14:paraId="337ECE24" w14:textId="73D52CD6" w:rsidR="00895A1D" w:rsidRPr="00442577" w:rsidRDefault="00895A1D" w:rsidP="00895A1D">
            <w:pPr>
              <w:jc w:val="right"/>
              <w:rPr>
                <w:sz w:val="17"/>
                <w:szCs w:val="17"/>
              </w:rPr>
            </w:pPr>
            <w:r w:rsidRPr="00442577">
              <w:rPr>
                <w:sz w:val="17"/>
                <w:szCs w:val="17"/>
              </w:rPr>
              <w:t>46</w:t>
            </w:r>
          </w:p>
        </w:tc>
        <w:tc>
          <w:tcPr>
            <w:tcW w:w="2043" w:type="dxa"/>
            <w:tcBorders>
              <w:top w:val="nil"/>
              <w:left w:val="nil"/>
              <w:bottom w:val="nil"/>
              <w:right w:val="nil"/>
            </w:tcBorders>
            <w:shd w:val="clear" w:color="auto" w:fill="auto"/>
            <w:noWrap/>
            <w:vAlign w:val="bottom"/>
            <w:hideMark/>
          </w:tcPr>
          <w:p w14:paraId="22B7191E" w14:textId="512BA318" w:rsidR="00895A1D" w:rsidRPr="00442577" w:rsidRDefault="00895A1D" w:rsidP="00895A1D">
            <w:pPr>
              <w:jc w:val="right"/>
              <w:rPr>
                <w:sz w:val="17"/>
                <w:szCs w:val="17"/>
              </w:rPr>
            </w:pPr>
            <w:r w:rsidRPr="00442577">
              <w:rPr>
                <w:sz w:val="17"/>
                <w:szCs w:val="17"/>
              </w:rPr>
              <w:t>148</w:t>
            </w:r>
          </w:p>
        </w:tc>
        <w:tc>
          <w:tcPr>
            <w:tcW w:w="1292" w:type="dxa"/>
            <w:tcBorders>
              <w:top w:val="nil"/>
              <w:left w:val="nil"/>
              <w:bottom w:val="nil"/>
              <w:right w:val="nil"/>
            </w:tcBorders>
            <w:shd w:val="clear" w:color="auto" w:fill="auto"/>
            <w:noWrap/>
            <w:vAlign w:val="bottom"/>
            <w:hideMark/>
          </w:tcPr>
          <w:p w14:paraId="654B45CC" w14:textId="71737B2D" w:rsidR="00895A1D" w:rsidRPr="00442577" w:rsidRDefault="00895A1D" w:rsidP="00895A1D">
            <w:pPr>
              <w:jc w:val="right"/>
              <w:rPr>
                <w:sz w:val="17"/>
                <w:szCs w:val="17"/>
              </w:rPr>
            </w:pPr>
            <w:r w:rsidRPr="00442577">
              <w:rPr>
                <w:sz w:val="17"/>
                <w:szCs w:val="17"/>
              </w:rPr>
              <w:t>3.2</w:t>
            </w:r>
          </w:p>
        </w:tc>
      </w:tr>
      <w:tr w:rsidR="00F033BB" w:rsidRPr="00442577" w14:paraId="4BDA78E5" w14:textId="77777777" w:rsidTr="00442577">
        <w:trPr>
          <w:trHeight w:val="53"/>
        </w:trPr>
        <w:tc>
          <w:tcPr>
            <w:tcW w:w="1798" w:type="dxa"/>
            <w:tcBorders>
              <w:top w:val="nil"/>
              <w:left w:val="nil"/>
              <w:bottom w:val="nil"/>
            </w:tcBorders>
            <w:shd w:val="clear" w:color="auto" w:fill="auto"/>
            <w:noWrap/>
            <w:vAlign w:val="bottom"/>
            <w:hideMark/>
          </w:tcPr>
          <w:p w14:paraId="067AC78C" w14:textId="77777777" w:rsidR="00895A1D" w:rsidRPr="00442577" w:rsidRDefault="00895A1D" w:rsidP="00895A1D">
            <w:pPr>
              <w:rPr>
                <w:sz w:val="17"/>
                <w:szCs w:val="17"/>
              </w:rPr>
            </w:pPr>
            <w:r w:rsidRPr="00442577">
              <w:rPr>
                <w:sz w:val="17"/>
                <w:szCs w:val="17"/>
              </w:rPr>
              <w:t>Dar Es Salaam</w:t>
            </w:r>
          </w:p>
        </w:tc>
        <w:tc>
          <w:tcPr>
            <w:tcW w:w="1732" w:type="dxa"/>
            <w:tcBorders>
              <w:top w:val="nil"/>
              <w:bottom w:val="nil"/>
              <w:right w:val="nil"/>
            </w:tcBorders>
            <w:shd w:val="clear" w:color="auto" w:fill="auto"/>
            <w:noWrap/>
            <w:vAlign w:val="bottom"/>
            <w:hideMark/>
          </w:tcPr>
          <w:p w14:paraId="2F460C38" w14:textId="7AD42257" w:rsidR="00895A1D" w:rsidRPr="00442577" w:rsidRDefault="00895A1D" w:rsidP="00895A1D">
            <w:pPr>
              <w:jc w:val="right"/>
              <w:rPr>
                <w:sz w:val="17"/>
                <w:szCs w:val="17"/>
              </w:rPr>
            </w:pPr>
            <w:r w:rsidRPr="00442577">
              <w:rPr>
                <w:sz w:val="17"/>
                <w:szCs w:val="17"/>
              </w:rPr>
              <w:t>-</w:t>
            </w:r>
          </w:p>
        </w:tc>
        <w:tc>
          <w:tcPr>
            <w:tcW w:w="1770" w:type="dxa"/>
            <w:tcBorders>
              <w:top w:val="nil"/>
              <w:left w:val="nil"/>
              <w:bottom w:val="nil"/>
              <w:right w:val="nil"/>
            </w:tcBorders>
            <w:shd w:val="clear" w:color="auto" w:fill="auto"/>
            <w:noWrap/>
            <w:vAlign w:val="bottom"/>
            <w:hideMark/>
          </w:tcPr>
          <w:p w14:paraId="2D4F8953" w14:textId="3E54BA4A" w:rsidR="00895A1D" w:rsidRPr="00442577" w:rsidRDefault="00895A1D" w:rsidP="00895A1D">
            <w:pPr>
              <w:jc w:val="right"/>
              <w:rPr>
                <w:sz w:val="17"/>
                <w:szCs w:val="17"/>
              </w:rPr>
            </w:pPr>
            <w:r w:rsidRPr="00442577">
              <w:rPr>
                <w:sz w:val="17"/>
                <w:szCs w:val="17"/>
              </w:rPr>
              <w:t>-</w:t>
            </w:r>
          </w:p>
        </w:tc>
        <w:tc>
          <w:tcPr>
            <w:tcW w:w="2043" w:type="dxa"/>
            <w:tcBorders>
              <w:top w:val="nil"/>
              <w:left w:val="nil"/>
              <w:bottom w:val="nil"/>
              <w:right w:val="nil"/>
            </w:tcBorders>
            <w:shd w:val="clear" w:color="auto" w:fill="auto"/>
            <w:noWrap/>
            <w:vAlign w:val="bottom"/>
            <w:hideMark/>
          </w:tcPr>
          <w:p w14:paraId="5F540BD8" w14:textId="4369EF5B" w:rsidR="00895A1D" w:rsidRPr="00442577" w:rsidRDefault="00895A1D" w:rsidP="00895A1D">
            <w:pPr>
              <w:jc w:val="right"/>
              <w:rPr>
                <w:sz w:val="17"/>
                <w:szCs w:val="17"/>
              </w:rPr>
            </w:pPr>
            <w:r w:rsidRPr="00442577">
              <w:rPr>
                <w:sz w:val="17"/>
                <w:szCs w:val="17"/>
              </w:rPr>
              <w:t>-</w:t>
            </w:r>
          </w:p>
        </w:tc>
        <w:tc>
          <w:tcPr>
            <w:tcW w:w="1292" w:type="dxa"/>
            <w:tcBorders>
              <w:top w:val="nil"/>
              <w:left w:val="nil"/>
              <w:bottom w:val="nil"/>
              <w:right w:val="nil"/>
            </w:tcBorders>
            <w:shd w:val="clear" w:color="auto" w:fill="auto"/>
            <w:noWrap/>
            <w:vAlign w:val="bottom"/>
            <w:hideMark/>
          </w:tcPr>
          <w:p w14:paraId="36573D61" w14:textId="550CF0CA" w:rsidR="00895A1D" w:rsidRPr="00442577" w:rsidRDefault="00895A1D" w:rsidP="00895A1D">
            <w:pPr>
              <w:jc w:val="right"/>
              <w:rPr>
                <w:sz w:val="17"/>
                <w:szCs w:val="17"/>
              </w:rPr>
            </w:pPr>
            <w:r w:rsidRPr="00442577">
              <w:rPr>
                <w:sz w:val="17"/>
                <w:szCs w:val="17"/>
              </w:rPr>
              <w:t>-</w:t>
            </w:r>
          </w:p>
        </w:tc>
      </w:tr>
      <w:tr w:rsidR="00F033BB" w:rsidRPr="00442577" w14:paraId="479ECEA8" w14:textId="77777777" w:rsidTr="00442577">
        <w:trPr>
          <w:trHeight w:val="53"/>
        </w:trPr>
        <w:tc>
          <w:tcPr>
            <w:tcW w:w="1798" w:type="dxa"/>
            <w:tcBorders>
              <w:top w:val="nil"/>
              <w:left w:val="nil"/>
              <w:bottom w:val="nil"/>
            </w:tcBorders>
            <w:shd w:val="clear" w:color="auto" w:fill="auto"/>
            <w:noWrap/>
            <w:vAlign w:val="bottom"/>
            <w:hideMark/>
          </w:tcPr>
          <w:p w14:paraId="175CCE0C" w14:textId="77777777" w:rsidR="00895A1D" w:rsidRPr="00442577" w:rsidRDefault="00895A1D" w:rsidP="00895A1D">
            <w:pPr>
              <w:rPr>
                <w:sz w:val="17"/>
                <w:szCs w:val="17"/>
              </w:rPr>
            </w:pPr>
            <w:r w:rsidRPr="00442577">
              <w:rPr>
                <w:sz w:val="17"/>
                <w:szCs w:val="17"/>
              </w:rPr>
              <w:t>Lindi</w:t>
            </w:r>
          </w:p>
        </w:tc>
        <w:tc>
          <w:tcPr>
            <w:tcW w:w="1732" w:type="dxa"/>
            <w:tcBorders>
              <w:top w:val="nil"/>
              <w:bottom w:val="nil"/>
              <w:right w:val="nil"/>
            </w:tcBorders>
            <w:shd w:val="clear" w:color="auto" w:fill="auto"/>
            <w:noWrap/>
            <w:vAlign w:val="bottom"/>
            <w:hideMark/>
          </w:tcPr>
          <w:p w14:paraId="5E596891" w14:textId="4516AADA" w:rsidR="00895A1D" w:rsidRPr="00442577" w:rsidRDefault="00895A1D" w:rsidP="00895A1D">
            <w:pPr>
              <w:jc w:val="right"/>
              <w:rPr>
                <w:sz w:val="17"/>
                <w:szCs w:val="17"/>
              </w:rPr>
            </w:pPr>
            <w:r w:rsidRPr="00442577">
              <w:rPr>
                <w:sz w:val="17"/>
                <w:szCs w:val="17"/>
              </w:rPr>
              <w:t>54</w:t>
            </w:r>
          </w:p>
        </w:tc>
        <w:tc>
          <w:tcPr>
            <w:tcW w:w="1770" w:type="dxa"/>
            <w:tcBorders>
              <w:top w:val="nil"/>
              <w:left w:val="nil"/>
              <w:bottom w:val="nil"/>
              <w:right w:val="nil"/>
            </w:tcBorders>
            <w:shd w:val="clear" w:color="auto" w:fill="auto"/>
            <w:noWrap/>
            <w:vAlign w:val="bottom"/>
            <w:hideMark/>
          </w:tcPr>
          <w:p w14:paraId="270D6416" w14:textId="0DF626AF" w:rsidR="00895A1D" w:rsidRPr="00442577" w:rsidRDefault="00895A1D" w:rsidP="00895A1D">
            <w:pPr>
              <w:jc w:val="right"/>
              <w:rPr>
                <w:sz w:val="17"/>
                <w:szCs w:val="17"/>
              </w:rPr>
            </w:pPr>
            <w:r w:rsidRPr="00442577">
              <w:rPr>
                <w:sz w:val="17"/>
                <w:szCs w:val="17"/>
              </w:rPr>
              <w:t>54</w:t>
            </w:r>
          </w:p>
        </w:tc>
        <w:tc>
          <w:tcPr>
            <w:tcW w:w="2043" w:type="dxa"/>
            <w:tcBorders>
              <w:top w:val="nil"/>
              <w:left w:val="nil"/>
              <w:bottom w:val="nil"/>
              <w:right w:val="nil"/>
            </w:tcBorders>
            <w:shd w:val="clear" w:color="auto" w:fill="auto"/>
            <w:noWrap/>
            <w:vAlign w:val="bottom"/>
            <w:hideMark/>
          </w:tcPr>
          <w:p w14:paraId="47C55890" w14:textId="4B7E9EB4" w:rsidR="00895A1D" w:rsidRPr="00442577" w:rsidRDefault="00895A1D" w:rsidP="00895A1D">
            <w:pPr>
              <w:jc w:val="right"/>
              <w:rPr>
                <w:sz w:val="17"/>
                <w:szCs w:val="17"/>
              </w:rPr>
            </w:pPr>
            <w:r w:rsidRPr="00442577">
              <w:rPr>
                <w:sz w:val="17"/>
                <w:szCs w:val="17"/>
              </w:rPr>
              <w:t>2,127</w:t>
            </w:r>
          </w:p>
        </w:tc>
        <w:tc>
          <w:tcPr>
            <w:tcW w:w="1292" w:type="dxa"/>
            <w:tcBorders>
              <w:top w:val="nil"/>
              <w:left w:val="nil"/>
              <w:bottom w:val="nil"/>
              <w:right w:val="nil"/>
            </w:tcBorders>
            <w:shd w:val="clear" w:color="auto" w:fill="auto"/>
            <w:noWrap/>
            <w:vAlign w:val="bottom"/>
            <w:hideMark/>
          </w:tcPr>
          <w:p w14:paraId="78E36B78" w14:textId="03CA2B4D" w:rsidR="00895A1D" w:rsidRPr="00442577" w:rsidRDefault="00895A1D" w:rsidP="00895A1D">
            <w:pPr>
              <w:jc w:val="right"/>
              <w:rPr>
                <w:sz w:val="17"/>
                <w:szCs w:val="17"/>
              </w:rPr>
            </w:pPr>
            <w:r w:rsidRPr="00442577">
              <w:rPr>
                <w:sz w:val="17"/>
                <w:szCs w:val="17"/>
              </w:rPr>
              <w:t>39.5</w:t>
            </w:r>
          </w:p>
        </w:tc>
      </w:tr>
      <w:tr w:rsidR="00F033BB" w:rsidRPr="00442577" w14:paraId="5D5CD00D" w14:textId="77777777" w:rsidTr="00442577">
        <w:trPr>
          <w:trHeight w:val="53"/>
        </w:trPr>
        <w:tc>
          <w:tcPr>
            <w:tcW w:w="1798" w:type="dxa"/>
            <w:tcBorders>
              <w:top w:val="nil"/>
              <w:left w:val="nil"/>
              <w:bottom w:val="nil"/>
            </w:tcBorders>
            <w:shd w:val="clear" w:color="auto" w:fill="auto"/>
            <w:noWrap/>
            <w:vAlign w:val="bottom"/>
            <w:hideMark/>
          </w:tcPr>
          <w:p w14:paraId="326AEACF" w14:textId="77777777" w:rsidR="00895A1D" w:rsidRPr="00442577" w:rsidRDefault="00895A1D" w:rsidP="00895A1D">
            <w:pPr>
              <w:rPr>
                <w:sz w:val="17"/>
                <w:szCs w:val="17"/>
              </w:rPr>
            </w:pPr>
            <w:r w:rsidRPr="00442577">
              <w:rPr>
                <w:sz w:val="17"/>
                <w:szCs w:val="17"/>
              </w:rPr>
              <w:t>Mtwara</w:t>
            </w:r>
          </w:p>
        </w:tc>
        <w:tc>
          <w:tcPr>
            <w:tcW w:w="1732" w:type="dxa"/>
            <w:tcBorders>
              <w:top w:val="nil"/>
              <w:bottom w:val="nil"/>
              <w:right w:val="nil"/>
            </w:tcBorders>
            <w:shd w:val="clear" w:color="auto" w:fill="auto"/>
            <w:noWrap/>
            <w:vAlign w:val="bottom"/>
            <w:hideMark/>
          </w:tcPr>
          <w:p w14:paraId="4ABED0A1" w14:textId="5C247D12" w:rsidR="00895A1D" w:rsidRPr="00442577" w:rsidRDefault="00895A1D" w:rsidP="00895A1D">
            <w:pPr>
              <w:jc w:val="right"/>
              <w:rPr>
                <w:sz w:val="17"/>
                <w:szCs w:val="17"/>
              </w:rPr>
            </w:pPr>
            <w:r w:rsidRPr="00442577">
              <w:rPr>
                <w:sz w:val="17"/>
                <w:szCs w:val="17"/>
              </w:rPr>
              <w:t>81</w:t>
            </w:r>
          </w:p>
        </w:tc>
        <w:tc>
          <w:tcPr>
            <w:tcW w:w="1770" w:type="dxa"/>
            <w:tcBorders>
              <w:top w:val="nil"/>
              <w:left w:val="nil"/>
              <w:bottom w:val="nil"/>
              <w:right w:val="nil"/>
            </w:tcBorders>
            <w:shd w:val="clear" w:color="auto" w:fill="auto"/>
            <w:noWrap/>
            <w:vAlign w:val="bottom"/>
            <w:hideMark/>
          </w:tcPr>
          <w:p w14:paraId="15568AA1" w14:textId="4A785BE9" w:rsidR="00895A1D" w:rsidRPr="00442577" w:rsidRDefault="00895A1D" w:rsidP="00895A1D">
            <w:pPr>
              <w:jc w:val="right"/>
              <w:rPr>
                <w:sz w:val="17"/>
                <w:szCs w:val="17"/>
              </w:rPr>
            </w:pPr>
            <w:r w:rsidRPr="00442577">
              <w:rPr>
                <w:sz w:val="17"/>
                <w:szCs w:val="17"/>
              </w:rPr>
              <w:t>-</w:t>
            </w:r>
          </w:p>
        </w:tc>
        <w:tc>
          <w:tcPr>
            <w:tcW w:w="2043" w:type="dxa"/>
            <w:tcBorders>
              <w:top w:val="nil"/>
              <w:left w:val="nil"/>
              <w:bottom w:val="nil"/>
              <w:right w:val="nil"/>
            </w:tcBorders>
            <w:shd w:val="clear" w:color="auto" w:fill="auto"/>
            <w:noWrap/>
            <w:vAlign w:val="bottom"/>
            <w:hideMark/>
          </w:tcPr>
          <w:p w14:paraId="341109AC" w14:textId="4B348E3C" w:rsidR="00895A1D" w:rsidRPr="00442577" w:rsidRDefault="00895A1D" w:rsidP="00895A1D">
            <w:pPr>
              <w:jc w:val="right"/>
              <w:rPr>
                <w:sz w:val="17"/>
                <w:szCs w:val="17"/>
              </w:rPr>
            </w:pPr>
            <w:r w:rsidRPr="00442577">
              <w:rPr>
                <w:sz w:val="17"/>
                <w:szCs w:val="17"/>
              </w:rPr>
              <w:t>-</w:t>
            </w:r>
          </w:p>
        </w:tc>
        <w:tc>
          <w:tcPr>
            <w:tcW w:w="1292" w:type="dxa"/>
            <w:tcBorders>
              <w:top w:val="nil"/>
              <w:left w:val="nil"/>
              <w:bottom w:val="nil"/>
              <w:right w:val="nil"/>
            </w:tcBorders>
            <w:shd w:val="clear" w:color="auto" w:fill="auto"/>
            <w:noWrap/>
            <w:vAlign w:val="bottom"/>
            <w:hideMark/>
          </w:tcPr>
          <w:p w14:paraId="0CACD465" w14:textId="7D7EFC35" w:rsidR="00895A1D" w:rsidRPr="00442577" w:rsidRDefault="00895A1D" w:rsidP="00895A1D">
            <w:pPr>
              <w:jc w:val="right"/>
              <w:rPr>
                <w:sz w:val="17"/>
                <w:szCs w:val="17"/>
              </w:rPr>
            </w:pPr>
            <w:r w:rsidRPr="00442577">
              <w:rPr>
                <w:sz w:val="17"/>
                <w:szCs w:val="17"/>
              </w:rPr>
              <w:t>-</w:t>
            </w:r>
          </w:p>
        </w:tc>
      </w:tr>
      <w:tr w:rsidR="00F033BB" w:rsidRPr="00442577" w14:paraId="6F8CF197" w14:textId="77777777" w:rsidTr="00442577">
        <w:trPr>
          <w:trHeight w:val="53"/>
        </w:trPr>
        <w:tc>
          <w:tcPr>
            <w:tcW w:w="1798" w:type="dxa"/>
            <w:tcBorders>
              <w:top w:val="nil"/>
              <w:left w:val="nil"/>
              <w:bottom w:val="nil"/>
            </w:tcBorders>
            <w:shd w:val="clear" w:color="auto" w:fill="auto"/>
            <w:noWrap/>
            <w:vAlign w:val="bottom"/>
            <w:hideMark/>
          </w:tcPr>
          <w:p w14:paraId="4CA666C0" w14:textId="77777777" w:rsidR="00895A1D" w:rsidRPr="00442577" w:rsidRDefault="00895A1D" w:rsidP="00895A1D">
            <w:pPr>
              <w:rPr>
                <w:sz w:val="17"/>
                <w:szCs w:val="17"/>
              </w:rPr>
            </w:pPr>
            <w:r w:rsidRPr="00442577">
              <w:rPr>
                <w:sz w:val="17"/>
                <w:szCs w:val="17"/>
              </w:rPr>
              <w:t>Ruvuma</w:t>
            </w:r>
          </w:p>
        </w:tc>
        <w:tc>
          <w:tcPr>
            <w:tcW w:w="1732" w:type="dxa"/>
            <w:tcBorders>
              <w:top w:val="nil"/>
              <w:bottom w:val="nil"/>
              <w:right w:val="nil"/>
            </w:tcBorders>
            <w:shd w:val="clear" w:color="auto" w:fill="auto"/>
            <w:noWrap/>
            <w:vAlign w:val="bottom"/>
            <w:hideMark/>
          </w:tcPr>
          <w:p w14:paraId="26C0C066" w14:textId="5A3FC340" w:rsidR="00895A1D" w:rsidRPr="00442577" w:rsidRDefault="00895A1D" w:rsidP="00895A1D">
            <w:pPr>
              <w:jc w:val="right"/>
              <w:rPr>
                <w:sz w:val="17"/>
                <w:szCs w:val="17"/>
              </w:rPr>
            </w:pPr>
            <w:r w:rsidRPr="00442577">
              <w:rPr>
                <w:sz w:val="17"/>
                <w:szCs w:val="17"/>
              </w:rPr>
              <w:t>189</w:t>
            </w:r>
          </w:p>
        </w:tc>
        <w:tc>
          <w:tcPr>
            <w:tcW w:w="1770" w:type="dxa"/>
            <w:tcBorders>
              <w:top w:val="nil"/>
              <w:left w:val="nil"/>
              <w:bottom w:val="nil"/>
              <w:right w:val="nil"/>
            </w:tcBorders>
            <w:shd w:val="clear" w:color="auto" w:fill="auto"/>
            <w:noWrap/>
            <w:vAlign w:val="bottom"/>
            <w:hideMark/>
          </w:tcPr>
          <w:p w14:paraId="4BA1CB11" w14:textId="33FE80C7" w:rsidR="00895A1D" w:rsidRPr="00442577" w:rsidRDefault="00895A1D" w:rsidP="00895A1D">
            <w:pPr>
              <w:jc w:val="right"/>
              <w:rPr>
                <w:sz w:val="17"/>
                <w:szCs w:val="17"/>
              </w:rPr>
            </w:pPr>
            <w:r w:rsidRPr="00442577">
              <w:rPr>
                <w:sz w:val="17"/>
                <w:szCs w:val="17"/>
              </w:rPr>
              <w:t>132</w:t>
            </w:r>
          </w:p>
        </w:tc>
        <w:tc>
          <w:tcPr>
            <w:tcW w:w="2043" w:type="dxa"/>
            <w:tcBorders>
              <w:top w:val="nil"/>
              <w:left w:val="nil"/>
              <w:bottom w:val="nil"/>
              <w:right w:val="nil"/>
            </w:tcBorders>
            <w:shd w:val="clear" w:color="auto" w:fill="auto"/>
            <w:noWrap/>
            <w:vAlign w:val="bottom"/>
            <w:hideMark/>
          </w:tcPr>
          <w:p w14:paraId="18F825FE" w14:textId="045EDDB2" w:rsidR="00895A1D" w:rsidRPr="00442577" w:rsidRDefault="00895A1D" w:rsidP="00895A1D">
            <w:pPr>
              <w:jc w:val="right"/>
              <w:rPr>
                <w:sz w:val="17"/>
                <w:szCs w:val="17"/>
              </w:rPr>
            </w:pPr>
            <w:r w:rsidRPr="00442577">
              <w:rPr>
                <w:sz w:val="17"/>
                <w:szCs w:val="17"/>
              </w:rPr>
              <w:t>2,493</w:t>
            </w:r>
          </w:p>
        </w:tc>
        <w:tc>
          <w:tcPr>
            <w:tcW w:w="1292" w:type="dxa"/>
            <w:tcBorders>
              <w:top w:val="nil"/>
              <w:left w:val="nil"/>
              <w:bottom w:val="nil"/>
              <w:right w:val="nil"/>
            </w:tcBorders>
            <w:shd w:val="clear" w:color="auto" w:fill="auto"/>
            <w:noWrap/>
            <w:vAlign w:val="bottom"/>
            <w:hideMark/>
          </w:tcPr>
          <w:p w14:paraId="02D63A73" w14:textId="293C5329" w:rsidR="00895A1D" w:rsidRPr="00442577" w:rsidRDefault="00895A1D" w:rsidP="00895A1D">
            <w:pPr>
              <w:jc w:val="right"/>
              <w:rPr>
                <w:sz w:val="17"/>
                <w:szCs w:val="17"/>
              </w:rPr>
            </w:pPr>
            <w:r w:rsidRPr="00442577">
              <w:rPr>
                <w:sz w:val="17"/>
                <w:szCs w:val="17"/>
              </w:rPr>
              <w:t>19.0</w:t>
            </w:r>
          </w:p>
        </w:tc>
      </w:tr>
      <w:tr w:rsidR="00F033BB" w:rsidRPr="00442577" w14:paraId="0B535D99" w14:textId="77777777" w:rsidTr="00442577">
        <w:trPr>
          <w:trHeight w:val="53"/>
        </w:trPr>
        <w:tc>
          <w:tcPr>
            <w:tcW w:w="1798" w:type="dxa"/>
            <w:tcBorders>
              <w:top w:val="nil"/>
              <w:left w:val="nil"/>
              <w:bottom w:val="nil"/>
            </w:tcBorders>
            <w:shd w:val="clear" w:color="auto" w:fill="auto"/>
            <w:noWrap/>
            <w:vAlign w:val="bottom"/>
            <w:hideMark/>
          </w:tcPr>
          <w:p w14:paraId="0D1D2752" w14:textId="77777777" w:rsidR="00895A1D" w:rsidRPr="00442577" w:rsidRDefault="00895A1D" w:rsidP="00895A1D">
            <w:pPr>
              <w:rPr>
                <w:sz w:val="17"/>
                <w:szCs w:val="17"/>
              </w:rPr>
            </w:pPr>
            <w:r w:rsidRPr="00442577">
              <w:rPr>
                <w:sz w:val="17"/>
                <w:szCs w:val="17"/>
              </w:rPr>
              <w:t>Iringa</w:t>
            </w:r>
          </w:p>
        </w:tc>
        <w:tc>
          <w:tcPr>
            <w:tcW w:w="1732" w:type="dxa"/>
            <w:tcBorders>
              <w:top w:val="nil"/>
              <w:bottom w:val="nil"/>
              <w:right w:val="nil"/>
            </w:tcBorders>
            <w:shd w:val="clear" w:color="auto" w:fill="auto"/>
            <w:noWrap/>
            <w:vAlign w:val="bottom"/>
            <w:hideMark/>
          </w:tcPr>
          <w:p w14:paraId="327A29C4" w14:textId="1622F49B" w:rsidR="00895A1D" w:rsidRPr="00442577" w:rsidRDefault="00895A1D" w:rsidP="00895A1D">
            <w:pPr>
              <w:jc w:val="right"/>
              <w:rPr>
                <w:sz w:val="17"/>
                <w:szCs w:val="17"/>
              </w:rPr>
            </w:pPr>
            <w:r w:rsidRPr="00442577">
              <w:rPr>
                <w:sz w:val="17"/>
                <w:szCs w:val="17"/>
              </w:rPr>
              <w:t>280</w:t>
            </w:r>
          </w:p>
        </w:tc>
        <w:tc>
          <w:tcPr>
            <w:tcW w:w="1770" w:type="dxa"/>
            <w:tcBorders>
              <w:top w:val="nil"/>
              <w:left w:val="nil"/>
              <w:bottom w:val="nil"/>
              <w:right w:val="nil"/>
            </w:tcBorders>
            <w:shd w:val="clear" w:color="auto" w:fill="auto"/>
            <w:noWrap/>
            <w:vAlign w:val="bottom"/>
            <w:hideMark/>
          </w:tcPr>
          <w:p w14:paraId="13A107CB" w14:textId="0968AD45" w:rsidR="00895A1D" w:rsidRPr="00442577" w:rsidRDefault="00895A1D" w:rsidP="00895A1D">
            <w:pPr>
              <w:jc w:val="right"/>
              <w:rPr>
                <w:sz w:val="17"/>
                <w:szCs w:val="17"/>
              </w:rPr>
            </w:pPr>
            <w:r w:rsidRPr="00442577">
              <w:rPr>
                <w:sz w:val="17"/>
                <w:szCs w:val="17"/>
              </w:rPr>
              <w:t>238</w:t>
            </w:r>
          </w:p>
        </w:tc>
        <w:tc>
          <w:tcPr>
            <w:tcW w:w="2043" w:type="dxa"/>
            <w:tcBorders>
              <w:top w:val="nil"/>
              <w:left w:val="nil"/>
              <w:bottom w:val="nil"/>
              <w:right w:val="nil"/>
            </w:tcBorders>
            <w:shd w:val="clear" w:color="auto" w:fill="auto"/>
            <w:noWrap/>
            <w:vAlign w:val="bottom"/>
            <w:hideMark/>
          </w:tcPr>
          <w:p w14:paraId="23B4A414" w14:textId="1DE1E648" w:rsidR="00895A1D" w:rsidRPr="00442577" w:rsidRDefault="00895A1D" w:rsidP="00895A1D">
            <w:pPr>
              <w:jc w:val="right"/>
              <w:rPr>
                <w:sz w:val="17"/>
                <w:szCs w:val="17"/>
              </w:rPr>
            </w:pPr>
            <w:r w:rsidRPr="00442577">
              <w:rPr>
                <w:sz w:val="17"/>
                <w:szCs w:val="17"/>
              </w:rPr>
              <w:t>2,542</w:t>
            </w:r>
          </w:p>
        </w:tc>
        <w:tc>
          <w:tcPr>
            <w:tcW w:w="1292" w:type="dxa"/>
            <w:tcBorders>
              <w:top w:val="nil"/>
              <w:left w:val="nil"/>
              <w:bottom w:val="nil"/>
              <w:right w:val="nil"/>
            </w:tcBorders>
            <w:shd w:val="clear" w:color="auto" w:fill="auto"/>
            <w:noWrap/>
            <w:vAlign w:val="bottom"/>
            <w:hideMark/>
          </w:tcPr>
          <w:p w14:paraId="640768FB" w14:textId="4641B934" w:rsidR="00895A1D" w:rsidRPr="00442577" w:rsidRDefault="00895A1D" w:rsidP="00895A1D">
            <w:pPr>
              <w:jc w:val="right"/>
              <w:rPr>
                <w:sz w:val="17"/>
                <w:szCs w:val="17"/>
              </w:rPr>
            </w:pPr>
            <w:r w:rsidRPr="00442577">
              <w:rPr>
                <w:sz w:val="17"/>
                <w:szCs w:val="17"/>
              </w:rPr>
              <w:t>10.7</w:t>
            </w:r>
          </w:p>
        </w:tc>
      </w:tr>
      <w:tr w:rsidR="00F033BB" w:rsidRPr="00442577" w14:paraId="19594EDA" w14:textId="77777777" w:rsidTr="00442577">
        <w:trPr>
          <w:trHeight w:val="53"/>
        </w:trPr>
        <w:tc>
          <w:tcPr>
            <w:tcW w:w="1798" w:type="dxa"/>
            <w:tcBorders>
              <w:top w:val="nil"/>
              <w:left w:val="nil"/>
              <w:bottom w:val="nil"/>
            </w:tcBorders>
            <w:shd w:val="clear" w:color="auto" w:fill="auto"/>
            <w:noWrap/>
            <w:vAlign w:val="bottom"/>
            <w:hideMark/>
          </w:tcPr>
          <w:p w14:paraId="183A6617" w14:textId="77777777" w:rsidR="00895A1D" w:rsidRPr="00442577" w:rsidRDefault="00895A1D" w:rsidP="00895A1D">
            <w:pPr>
              <w:rPr>
                <w:sz w:val="17"/>
                <w:szCs w:val="17"/>
              </w:rPr>
            </w:pPr>
            <w:r w:rsidRPr="00442577">
              <w:rPr>
                <w:sz w:val="17"/>
                <w:szCs w:val="17"/>
              </w:rPr>
              <w:t>Mbeya</w:t>
            </w:r>
          </w:p>
        </w:tc>
        <w:tc>
          <w:tcPr>
            <w:tcW w:w="1732" w:type="dxa"/>
            <w:tcBorders>
              <w:top w:val="nil"/>
              <w:bottom w:val="nil"/>
              <w:right w:val="nil"/>
            </w:tcBorders>
            <w:shd w:val="clear" w:color="auto" w:fill="auto"/>
            <w:noWrap/>
            <w:vAlign w:val="bottom"/>
            <w:hideMark/>
          </w:tcPr>
          <w:p w14:paraId="136B39FA" w14:textId="3A68D300" w:rsidR="00895A1D" w:rsidRPr="00442577" w:rsidRDefault="00895A1D" w:rsidP="00895A1D">
            <w:pPr>
              <w:jc w:val="right"/>
              <w:rPr>
                <w:sz w:val="17"/>
                <w:szCs w:val="17"/>
              </w:rPr>
            </w:pPr>
            <w:r w:rsidRPr="00442577">
              <w:rPr>
                <w:sz w:val="17"/>
                <w:szCs w:val="17"/>
              </w:rPr>
              <w:t>354</w:t>
            </w:r>
          </w:p>
        </w:tc>
        <w:tc>
          <w:tcPr>
            <w:tcW w:w="1770" w:type="dxa"/>
            <w:tcBorders>
              <w:top w:val="nil"/>
              <w:left w:val="nil"/>
              <w:bottom w:val="nil"/>
              <w:right w:val="nil"/>
            </w:tcBorders>
            <w:shd w:val="clear" w:color="auto" w:fill="auto"/>
            <w:noWrap/>
            <w:vAlign w:val="bottom"/>
            <w:hideMark/>
          </w:tcPr>
          <w:p w14:paraId="139BF973" w14:textId="02849C68" w:rsidR="00895A1D" w:rsidRPr="00442577" w:rsidRDefault="00895A1D" w:rsidP="00895A1D">
            <w:pPr>
              <w:jc w:val="right"/>
              <w:rPr>
                <w:sz w:val="17"/>
                <w:szCs w:val="17"/>
              </w:rPr>
            </w:pPr>
            <w:r w:rsidRPr="00442577">
              <w:rPr>
                <w:sz w:val="17"/>
                <w:szCs w:val="17"/>
              </w:rPr>
              <w:t>173</w:t>
            </w:r>
          </w:p>
        </w:tc>
        <w:tc>
          <w:tcPr>
            <w:tcW w:w="2043" w:type="dxa"/>
            <w:tcBorders>
              <w:top w:val="nil"/>
              <w:left w:val="nil"/>
              <w:bottom w:val="nil"/>
              <w:right w:val="nil"/>
            </w:tcBorders>
            <w:shd w:val="clear" w:color="auto" w:fill="auto"/>
            <w:noWrap/>
            <w:vAlign w:val="bottom"/>
            <w:hideMark/>
          </w:tcPr>
          <w:p w14:paraId="61BD6B25" w14:textId="695E9A9A" w:rsidR="00895A1D" w:rsidRPr="00442577" w:rsidRDefault="00895A1D" w:rsidP="00895A1D">
            <w:pPr>
              <w:jc w:val="right"/>
              <w:rPr>
                <w:sz w:val="17"/>
                <w:szCs w:val="17"/>
              </w:rPr>
            </w:pPr>
            <w:r w:rsidRPr="00442577">
              <w:rPr>
                <w:sz w:val="17"/>
                <w:szCs w:val="17"/>
              </w:rPr>
              <w:t>3,662</w:t>
            </w:r>
          </w:p>
        </w:tc>
        <w:tc>
          <w:tcPr>
            <w:tcW w:w="1292" w:type="dxa"/>
            <w:tcBorders>
              <w:top w:val="nil"/>
              <w:left w:val="nil"/>
              <w:bottom w:val="nil"/>
              <w:right w:val="nil"/>
            </w:tcBorders>
            <w:shd w:val="clear" w:color="auto" w:fill="auto"/>
            <w:noWrap/>
            <w:vAlign w:val="bottom"/>
            <w:hideMark/>
          </w:tcPr>
          <w:p w14:paraId="3AC45763" w14:textId="47F6F5D1" w:rsidR="00895A1D" w:rsidRPr="00442577" w:rsidRDefault="00895A1D" w:rsidP="00895A1D">
            <w:pPr>
              <w:jc w:val="right"/>
              <w:rPr>
                <w:sz w:val="17"/>
                <w:szCs w:val="17"/>
              </w:rPr>
            </w:pPr>
            <w:r w:rsidRPr="00442577">
              <w:rPr>
                <w:sz w:val="17"/>
                <w:szCs w:val="17"/>
              </w:rPr>
              <w:t>21.1</w:t>
            </w:r>
          </w:p>
        </w:tc>
      </w:tr>
      <w:tr w:rsidR="00F033BB" w:rsidRPr="00442577" w14:paraId="2DB93EB4" w14:textId="77777777" w:rsidTr="00442577">
        <w:trPr>
          <w:trHeight w:val="53"/>
        </w:trPr>
        <w:tc>
          <w:tcPr>
            <w:tcW w:w="1798" w:type="dxa"/>
            <w:tcBorders>
              <w:top w:val="nil"/>
              <w:left w:val="nil"/>
              <w:bottom w:val="nil"/>
            </w:tcBorders>
            <w:shd w:val="clear" w:color="auto" w:fill="auto"/>
            <w:noWrap/>
            <w:vAlign w:val="bottom"/>
            <w:hideMark/>
          </w:tcPr>
          <w:p w14:paraId="1232CB87" w14:textId="77777777" w:rsidR="00895A1D" w:rsidRPr="00442577" w:rsidRDefault="00895A1D" w:rsidP="00895A1D">
            <w:pPr>
              <w:rPr>
                <w:sz w:val="17"/>
                <w:szCs w:val="17"/>
              </w:rPr>
            </w:pPr>
            <w:r w:rsidRPr="00442577">
              <w:rPr>
                <w:sz w:val="17"/>
                <w:szCs w:val="17"/>
              </w:rPr>
              <w:t>Singida</w:t>
            </w:r>
          </w:p>
        </w:tc>
        <w:tc>
          <w:tcPr>
            <w:tcW w:w="1732" w:type="dxa"/>
            <w:tcBorders>
              <w:top w:val="nil"/>
              <w:bottom w:val="nil"/>
              <w:right w:val="nil"/>
            </w:tcBorders>
            <w:shd w:val="clear" w:color="auto" w:fill="auto"/>
            <w:noWrap/>
            <w:vAlign w:val="bottom"/>
            <w:hideMark/>
          </w:tcPr>
          <w:p w14:paraId="41B6B4B6" w14:textId="2861E13D" w:rsidR="00895A1D" w:rsidRPr="00442577" w:rsidRDefault="00895A1D" w:rsidP="00895A1D">
            <w:pPr>
              <w:jc w:val="right"/>
              <w:rPr>
                <w:sz w:val="17"/>
                <w:szCs w:val="17"/>
              </w:rPr>
            </w:pPr>
            <w:r w:rsidRPr="00442577">
              <w:rPr>
                <w:sz w:val="17"/>
                <w:szCs w:val="17"/>
              </w:rPr>
              <w:t>54</w:t>
            </w:r>
          </w:p>
        </w:tc>
        <w:tc>
          <w:tcPr>
            <w:tcW w:w="1770" w:type="dxa"/>
            <w:tcBorders>
              <w:top w:val="nil"/>
              <w:left w:val="nil"/>
              <w:bottom w:val="nil"/>
              <w:right w:val="nil"/>
            </w:tcBorders>
            <w:shd w:val="clear" w:color="auto" w:fill="auto"/>
            <w:noWrap/>
            <w:vAlign w:val="bottom"/>
            <w:hideMark/>
          </w:tcPr>
          <w:p w14:paraId="193F8C93" w14:textId="08CC6DAE" w:rsidR="00895A1D" w:rsidRPr="00442577" w:rsidRDefault="00895A1D" w:rsidP="00895A1D">
            <w:pPr>
              <w:jc w:val="right"/>
              <w:rPr>
                <w:sz w:val="17"/>
                <w:szCs w:val="17"/>
              </w:rPr>
            </w:pPr>
            <w:r w:rsidRPr="00442577">
              <w:rPr>
                <w:sz w:val="17"/>
                <w:szCs w:val="17"/>
              </w:rPr>
              <w:t>31</w:t>
            </w:r>
          </w:p>
        </w:tc>
        <w:tc>
          <w:tcPr>
            <w:tcW w:w="2043" w:type="dxa"/>
            <w:tcBorders>
              <w:top w:val="nil"/>
              <w:left w:val="nil"/>
              <w:bottom w:val="nil"/>
              <w:right w:val="nil"/>
            </w:tcBorders>
            <w:shd w:val="clear" w:color="auto" w:fill="auto"/>
            <w:noWrap/>
            <w:vAlign w:val="bottom"/>
            <w:hideMark/>
          </w:tcPr>
          <w:p w14:paraId="3600B0CE" w14:textId="63BDDC09" w:rsidR="00895A1D" w:rsidRPr="00442577" w:rsidRDefault="00895A1D" w:rsidP="00895A1D">
            <w:pPr>
              <w:jc w:val="right"/>
              <w:rPr>
                <w:sz w:val="17"/>
                <w:szCs w:val="17"/>
              </w:rPr>
            </w:pPr>
            <w:r w:rsidRPr="00442577">
              <w:rPr>
                <w:sz w:val="17"/>
                <w:szCs w:val="17"/>
              </w:rPr>
              <w:t>60</w:t>
            </w:r>
          </w:p>
        </w:tc>
        <w:tc>
          <w:tcPr>
            <w:tcW w:w="1292" w:type="dxa"/>
            <w:tcBorders>
              <w:top w:val="nil"/>
              <w:left w:val="nil"/>
              <w:bottom w:val="nil"/>
              <w:right w:val="nil"/>
            </w:tcBorders>
            <w:shd w:val="clear" w:color="auto" w:fill="auto"/>
            <w:noWrap/>
            <w:vAlign w:val="bottom"/>
            <w:hideMark/>
          </w:tcPr>
          <w:p w14:paraId="538B9AAA" w14:textId="2D9C2091" w:rsidR="00895A1D" w:rsidRPr="00442577" w:rsidRDefault="00895A1D" w:rsidP="00895A1D">
            <w:pPr>
              <w:jc w:val="right"/>
              <w:rPr>
                <w:sz w:val="17"/>
                <w:szCs w:val="17"/>
              </w:rPr>
            </w:pPr>
            <w:r w:rsidRPr="00442577">
              <w:rPr>
                <w:sz w:val="17"/>
                <w:szCs w:val="17"/>
              </w:rPr>
              <w:t>1.9</w:t>
            </w:r>
          </w:p>
        </w:tc>
      </w:tr>
      <w:tr w:rsidR="00F033BB" w:rsidRPr="00442577" w14:paraId="047F1621" w14:textId="77777777" w:rsidTr="00442577">
        <w:trPr>
          <w:trHeight w:val="53"/>
        </w:trPr>
        <w:tc>
          <w:tcPr>
            <w:tcW w:w="1798" w:type="dxa"/>
            <w:tcBorders>
              <w:top w:val="nil"/>
              <w:left w:val="nil"/>
              <w:bottom w:val="nil"/>
            </w:tcBorders>
            <w:shd w:val="clear" w:color="auto" w:fill="auto"/>
            <w:noWrap/>
            <w:vAlign w:val="bottom"/>
            <w:hideMark/>
          </w:tcPr>
          <w:p w14:paraId="36A75C27" w14:textId="77777777" w:rsidR="00895A1D" w:rsidRPr="00442577" w:rsidRDefault="00895A1D" w:rsidP="00895A1D">
            <w:pPr>
              <w:rPr>
                <w:sz w:val="17"/>
                <w:szCs w:val="17"/>
              </w:rPr>
            </w:pPr>
            <w:r w:rsidRPr="00442577">
              <w:rPr>
                <w:sz w:val="17"/>
                <w:szCs w:val="17"/>
              </w:rPr>
              <w:t>Tabora</w:t>
            </w:r>
          </w:p>
        </w:tc>
        <w:tc>
          <w:tcPr>
            <w:tcW w:w="1732" w:type="dxa"/>
            <w:tcBorders>
              <w:top w:val="nil"/>
              <w:bottom w:val="nil"/>
              <w:right w:val="nil"/>
            </w:tcBorders>
            <w:shd w:val="clear" w:color="auto" w:fill="auto"/>
            <w:noWrap/>
            <w:vAlign w:val="bottom"/>
            <w:hideMark/>
          </w:tcPr>
          <w:p w14:paraId="4D871910" w14:textId="0737732B" w:rsidR="00895A1D" w:rsidRPr="00442577" w:rsidRDefault="00895A1D" w:rsidP="00895A1D">
            <w:pPr>
              <w:jc w:val="right"/>
              <w:rPr>
                <w:sz w:val="17"/>
                <w:szCs w:val="17"/>
              </w:rPr>
            </w:pPr>
            <w:r w:rsidRPr="00442577">
              <w:rPr>
                <w:sz w:val="17"/>
                <w:szCs w:val="17"/>
              </w:rPr>
              <w:t>49</w:t>
            </w:r>
          </w:p>
        </w:tc>
        <w:tc>
          <w:tcPr>
            <w:tcW w:w="1770" w:type="dxa"/>
            <w:tcBorders>
              <w:top w:val="nil"/>
              <w:left w:val="nil"/>
              <w:bottom w:val="nil"/>
              <w:right w:val="nil"/>
            </w:tcBorders>
            <w:shd w:val="clear" w:color="auto" w:fill="auto"/>
            <w:noWrap/>
            <w:vAlign w:val="bottom"/>
            <w:hideMark/>
          </w:tcPr>
          <w:p w14:paraId="52D94CEF" w14:textId="3299AE3C" w:rsidR="00895A1D" w:rsidRPr="00442577" w:rsidRDefault="00895A1D" w:rsidP="00895A1D">
            <w:pPr>
              <w:jc w:val="right"/>
              <w:rPr>
                <w:sz w:val="17"/>
                <w:szCs w:val="17"/>
              </w:rPr>
            </w:pPr>
            <w:r w:rsidRPr="00442577">
              <w:rPr>
                <w:sz w:val="17"/>
                <w:szCs w:val="17"/>
              </w:rPr>
              <w:t>-</w:t>
            </w:r>
          </w:p>
        </w:tc>
        <w:tc>
          <w:tcPr>
            <w:tcW w:w="2043" w:type="dxa"/>
            <w:tcBorders>
              <w:top w:val="nil"/>
              <w:left w:val="nil"/>
              <w:bottom w:val="nil"/>
              <w:right w:val="nil"/>
            </w:tcBorders>
            <w:shd w:val="clear" w:color="auto" w:fill="auto"/>
            <w:noWrap/>
            <w:vAlign w:val="bottom"/>
            <w:hideMark/>
          </w:tcPr>
          <w:p w14:paraId="756949A8" w14:textId="300D0FAF" w:rsidR="00895A1D" w:rsidRPr="00442577" w:rsidRDefault="00895A1D" w:rsidP="00895A1D">
            <w:pPr>
              <w:jc w:val="right"/>
              <w:rPr>
                <w:sz w:val="17"/>
                <w:szCs w:val="17"/>
              </w:rPr>
            </w:pPr>
            <w:r w:rsidRPr="00442577">
              <w:rPr>
                <w:sz w:val="17"/>
                <w:szCs w:val="17"/>
              </w:rPr>
              <w:t>-</w:t>
            </w:r>
          </w:p>
        </w:tc>
        <w:tc>
          <w:tcPr>
            <w:tcW w:w="1292" w:type="dxa"/>
            <w:tcBorders>
              <w:top w:val="nil"/>
              <w:left w:val="nil"/>
              <w:bottom w:val="nil"/>
              <w:right w:val="nil"/>
            </w:tcBorders>
            <w:shd w:val="clear" w:color="auto" w:fill="auto"/>
            <w:noWrap/>
            <w:vAlign w:val="bottom"/>
            <w:hideMark/>
          </w:tcPr>
          <w:p w14:paraId="633BB441" w14:textId="530A3279" w:rsidR="00895A1D" w:rsidRPr="00442577" w:rsidRDefault="00895A1D" w:rsidP="00895A1D">
            <w:pPr>
              <w:jc w:val="right"/>
              <w:rPr>
                <w:sz w:val="17"/>
                <w:szCs w:val="17"/>
              </w:rPr>
            </w:pPr>
            <w:r w:rsidRPr="00442577">
              <w:rPr>
                <w:sz w:val="17"/>
                <w:szCs w:val="17"/>
              </w:rPr>
              <w:t>-</w:t>
            </w:r>
          </w:p>
        </w:tc>
      </w:tr>
      <w:tr w:rsidR="00F033BB" w:rsidRPr="00442577" w14:paraId="04A70D90" w14:textId="77777777" w:rsidTr="00442577">
        <w:trPr>
          <w:trHeight w:val="53"/>
        </w:trPr>
        <w:tc>
          <w:tcPr>
            <w:tcW w:w="1798" w:type="dxa"/>
            <w:tcBorders>
              <w:top w:val="nil"/>
              <w:left w:val="nil"/>
              <w:bottom w:val="nil"/>
            </w:tcBorders>
            <w:shd w:val="clear" w:color="auto" w:fill="auto"/>
            <w:noWrap/>
            <w:vAlign w:val="bottom"/>
            <w:hideMark/>
          </w:tcPr>
          <w:p w14:paraId="1A80B4C6" w14:textId="77777777" w:rsidR="00895A1D" w:rsidRPr="00442577" w:rsidRDefault="00895A1D" w:rsidP="00895A1D">
            <w:pPr>
              <w:rPr>
                <w:sz w:val="17"/>
                <w:szCs w:val="17"/>
              </w:rPr>
            </w:pPr>
            <w:r w:rsidRPr="00442577">
              <w:rPr>
                <w:sz w:val="17"/>
                <w:szCs w:val="17"/>
              </w:rPr>
              <w:t>Rukwa</w:t>
            </w:r>
          </w:p>
        </w:tc>
        <w:tc>
          <w:tcPr>
            <w:tcW w:w="1732" w:type="dxa"/>
            <w:tcBorders>
              <w:top w:val="nil"/>
              <w:bottom w:val="nil"/>
              <w:right w:val="nil"/>
            </w:tcBorders>
            <w:shd w:val="clear" w:color="auto" w:fill="auto"/>
            <w:noWrap/>
            <w:vAlign w:val="bottom"/>
            <w:hideMark/>
          </w:tcPr>
          <w:p w14:paraId="56A3E007" w14:textId="199C4083" w:rsidR="00895A1D" w:rsidRPr="00442577" w:rsidRDefault="00895A1D" w:rsidP="00895A1D">
            <w:pPr>
              <w:jc w:val="right"/>
              <w:rPr>
                <w:sz w:val="17"/>
                <w:szCs w:val="17"/>
              </w:rPr>
            </w:pPr>
            <w:r w:rsidRPr="00442577">
              <w:rPr>
                <w:sz w:val="17"/>
                <w:szCs w:val="17"/>
              </w:rPr>
              <w:t>-</w:t>
            </w:r>
          </w:p>
        </w:tc>
        <w:tc>
          <w:tcPr>
            <w:tcW w:w="1770" w:type="dxa"/>
            <w:tcBorders>
              <w:top w:val="nil"/>
              <w:left w:val="nil"/>
              <w:bottom w:val="nil"/>
              <w:right w:val="nil"/>
            </w:tcBorders>
            <w:shd w:val="clear" w:color="auto" w:fill="auto"/>
            <w:noWrap/>
            <w:vAlign w:val="bottom"/>
            <w:hideMark/>
          </w:tcPr>
          <w:p w14:paraId="67D64D0C" w14:textId="79C7B9EE" w:rsidR="00895A1D" w:rsidRPr="00442577" w:rsidRDefault="00895A1D" w:rsidP="00895A1D">
            <w:pPr>
              <w:jc w:val="right"/>
              <w:rPr>
                <w:sz w:val="17"/>
                <w:szCs w:val="17"/>
              </w:rPr>
            </w:pPr>
            <w:r w:rsidRPr="00442577">
              <w:rPr>
                <w:sz w:val="17"/>
                <w:szCs w:val="17"/>
              </w:rPr>
              <w:t>-</w:t>
            </w:r>
          </w:p>
        </w:tc>
        <w:tc>
          <w:tcPr>
            <w:tcW w:w="2043" w:type="dxa"/>
            <w:tcBorders>
              <w:top w:val="nil"/>
              <w:left w:val="nil"/>
              <w:bottom w:val="nil"/>
              <w:right w:val="nil"/>
            </w:tcBorders>
            <w:shd w:val="clear" w:color="auto" w:fill="auto"/>
            <w:noWrap/>
            <w:vAlign w:val="bottom"/>
            <w:hideMark/>
          </w:tcPr>
          <w:p w14:paraId="2356C3C4" w14:textId="4CEB54B6" w:rsidR="00895A1D" w:rsidRPr="00442577" w:rsidRDefault="00895A1D" w:rsidP="00895A1D">
            <w:pPr>
              <w:jc w:val="right"/>
              <w:rPr>
                <w:sz w:val="17"/>
                <w:szCs w:val="17"/>
              </w:rPr>
            </w:pPr>
            <w:r w:rsidRPr="00442577">
              <w:rPr>
                <w:sz w:val="17"/>
                <w:szCs w:val="17"/>
              </w:rPr>
              <w:t>-</w:t>
            </w:r>
          </w:p>
        </w:tc>
        <w:tc>
          <w:tcPr>
            <w:tcW w:w="1292" w:type="dxa"/>
            <w:tcBorders>
              <w:top w:val="nil"/>
              <w:left w:val="nil"/>
              <w:bottom w:val="nil"/>
              <w:right w:val="nil"/>
            </w:tcBorders>
            <w:shd w:val="clear" w:color="auto" w:fill="auto"/>
            <w:noWrap/>
            <w:vAlign w:val="bottom"/>
            <w:hideMark/>
          </w:tcPr>
          <w:p w14:paraId="52A0FA16" w14:textId="3D0AA9F3" w:rsidR="00895A1D" w:rsidRPr="00442577" w:rsidRDefault="00895A1D" w:rsidP="00895A1D">
            <w:pPr>
              <w:jc w:val="right"/>
              <w:rPr>
                <w:sz w:val="17"/>
                <w:szCs w:val="17"/>
              </w:rPr>
            </w:pPr>
            <w:r w:rsidRPr="00442577">
              <w:rPr>
                <w:sz w:val="17"/>
                <w:szCs w:val="17"/>
              </w:rPr>
              <w:t>-</w:t>
            </w:r>
          </w:p>
        </w:tc>
      </w:tr>
      <w:tr w:rsidR="00F033BB" w:rsidRPr="00442577" w14:paraId="34A8F8D7" w14:textId="77777777" w:rsidTr="00442577">
        <w:trPr>
          <w:trHeight w:val="53"/>
        </w:trPr>
        <w:tc>
          <w:tcPr>
            <w:tcW w:w="1798" w:type="dxa"/>
            <w:tcBorders>
              <w:top w:val="nil"/>
              <w:left w:val="nil"/>
              <w:bottom w:val="nil"/>
            </w:tcBorders>
            <w:shd w:val="clear" w:color="auto" w:fill="auto"/>
            <w:noWrap/>
            <w:vAlign w:val="bottom"/>
            <w:hideMark/>
          </w:tcPr>
          <w:p w14:paraId="17C0128D" w14:textId="77777777" w:rsidR="00895A1D" w:rsidRPr="00442577" w:rsidRDefault="00895A1D" w:rsidP="00895A1D">
            <w:pPr>
              <w:rPr>
                <w:sz w:val="17"/>
                <w:szCs w:val="17"/>
              </w:rPr>
            </w:pPr>
            <w:r w:rsidRPr="00442577">
              <w:rPr>
                <w:sz w:val="17"/>
                <w:szCs w:val="17"/>
              </w:rPr>
              <w:t>Kigoma</w:t>
            </w:r>
          </w:p>
        </w:tc>
        <w:tc>
          <w:tcPr>
            <w:tcW w:w="1732" w:type="dxa"/>
            <w:tcBorders>
              <w:top w:val="nil"/>
              <w:bottom w:val="nil"/>
              <w:right w:val="nil"/>
            </w:tcBorders>
            <w:shd w:val="clear" w:color="auto" w:fill="auto"/>
            <w:noWrap/>
            <w:vAlign w:val="bottom"/>
            <w:hideMark/>
          </w:tcPr>
          <w:p w14:paraId="3E945868" w14:textId="2EE23931" w:rsidR="00895A1D" w:rsidRPr="00442577" w:rsidRDefault="00895A1D" w:rsidP="00895A1D">
            <w:pPr>
              <w:jc w:val="right"/>
              <w:rPr>
                <w:sz w:val="17"/>
                <w:szCs w:val="17"/>
              </w:rPr>
            </w:pPr>
            <w:r w:rsidRPr="00442577">
              <w:rPr>
                <w:sz w:val="17"/>
                <w:szCs w:val="17"/>
              </w:rPr>
              <w:t>484</w:t>
            </w:r>
          </w:p>
        </w:tc>
        <w:tc>
          <w:tcPr>
            <w:tcW w:w="1770" w:type="dxa"/>
            <w:tcBorders>
              <w:top w:val="nil"/>
              <w:left w:val="nil"/>
              <w:bottom w:val="nil"/>
              <w:right w:val="nil"/>
            </w:tcBorders>
            <w:shd w:val="clear" w:color="auto" w:fill="auto"/>
            <w:noWrap/>
            <w:vAlign w:val="bottom"/>
            <w:hideMark/>
          </w:tcPr>
          <w:p w14:paraId="5C105590" w14:textId="4B6F3382" w:rsidR="00895A1D" w:rsidRPr="00442577" w:rsidRDefault="00895A1D" w:rsidP="00895A1D">
            <w:pPr>
              <w:jc w:val="right"/>
              <w:rPr>
                <w:sz w:val="17"/>
                <w:szCs w:val="17"/>
              </w:rPr>
            </w:pPr>
            <w:r w:rsidRPr="00442577">
              <w:rPr>
                <w:sz w:val="17"/>
                <w:szCs w:val="17"/>
              </w:rPr>
              <w:t>208</w:t>
            </w:r>
          </w:p>
        </w:tc>
        <w:tc>
          <w:tcPr>
            <w:tcW w:w="2043" w:type="dxa"/>
            <w:tcBorders>
              <w:top w:val="nil"/>
              <w:left w:val="nil"/>
              <w:bottom w:val="nil"/>
              <w:right w:val="nil"/>
            </w:tcBorders>
            <w:shd w:val="clear" w:color="auto" w:fill="auto"/>
            <w:noWrap/>
            <w:vAlign w:val="bottom"/>
            <w:hideMark/>
          </w:tcPr>
          <w:p w14:paraId="79AF4F99" w14:textId="238D3C66" w:rsidR="00895A1D" w:rsidRPr="00442577" w:rsidRDefault="00895A1D" w:rsidP="00895A1D">
            <w:pPr>
              <w:jc w:val="right"/>
              <w:rPr>
                <w:sz w:val="17"/>
                <w:szCs w:val="17"/>
              </w:rPr>
            </w:pPr>
            <w:r w:rsidRPr="00442577">
              <w:rPr>
                <w:sz w:val="17"/>
                <w:szCs w:val="17"/>
              </w:rPr>
              <w:t>3,596</w:t>
            </w:r>
          </w:p>
        </w:tc>
        <w:tc>
          <w:tcPr>
            <w:tcW w:w="1292" w:type="dxa"/>
            <w:tcBorders>
              <w:top w:val="nil"/>
              <w:left w:val="nil"/>
              <w:bottom w:val="nil"/>
              <w:right w:val="nil"/>
            </w:tcBorders>
            <w:shd w:val="clear" w:color="auto" w:fill="auto"/>
            <w:noWrap/>
            <w:vAlign w:val="bottom"/>
            <w:hideMark/>
          </w:tcPr>
          <w:p w14:paraId="558D9C10" w14:textId="13956506" w:rsidR="00895A1D" w:rsidRPr="00442577" w:rsidRDefault="00895A1D" w:rsidP="00895A1D">
            <w:pPr>
              <w:jc w:val="right"/>
              <w:rPr>
                <w:sz w:val="17"/>
                <w:szCs w:val="17"/>
              </w:rPr>
            </w:pPr>
            <w:r w:rsidRPr="00442577">
              <w:rPr>
                <w:sz w:val="17"/>
                <w:szCs w:val="17"/>
              </w:rPr>
              <w:t>17.3</w:t>
            </w:r>
          </w:p>
        </w:tc>
      </w:tr>
      <w:tr w:rsidR="00F033BB" w:rsidRPr="00442577" w14:paraId="2FD0D6BD" w14:textId="77777777" w:rsidTr="00442577">
        <w:trPr>
          <w:trHeight w:val="53"/>
        </w:trPr>
        <w:tc>
          <w:tcPr>
            <w:tcW w:w="1798" w:type="dxa"/>
            <w:tcBorders>
              <w:top w:val="nil"/>
              <w:left w:val="nil"/>
              <w:bottom w:val="nil"/>
            </w:tcBorders>
            <w:shd w:val="clear" w:color="auto" w:fill="auto"/>
            <w:noWrap/>
            <w:vAlign w:val="bottom"/>
            <w:hideMark/>
          </w:tcPr>
          <w:p w14:paraId="515F2094" w14:textId="77777777" w:rsidR="00895A1D" w:rsidRPr="00442577" w:rsidRDefault="00895A1D" w:rsidP="00895A1D">
            <w:pPr>
              <w:rPr>
                <w:sz w:val="17"/>
                <w:szCs w:val="17"/>
              </w:rPr>
            </w:pPr>
            <w:r w:rsidRPr="00442577">
              <w:rPr>
                <w:sz w:val="17"/>
                <w:szCs w:val="17"/>
              </w:rPr>
              <w:t>Shinyanga</w:t>
            </w:r>
          </w:p>
        </w:tc>
        <w:tc>
          <w:tcPr>
            <w:tcW w:w="1732" w:type="dxa"/>
            <w:tcBorders>
              <w:top w:val="nil"/>
              <w:bottom w:val="nil"/>
              <w:right w:val="nil"/>
            </w:tcBorders>
            <w:shd w:val="clear" w:color="auto" w:fill="auto"/>
            <w:noWrap/>
            <w:vAlign w:val="bottom"/>
            <w:hideMark/>
          </w:tcPr>
          <w:p w14:paraId="4971AAC0" w14:textId="7B285B02" w:rsidR="00895A1D" w:rsidRPr="00442577" w:rsidRDefault="00895A1D" w:rsidP="00895A1D">
            <w:pPr>
              <w:jc w:val="right"/>
              <w:rPr>
                <w:sz w:val="17"/>
                <w:szCs w:val="17"/>
              </w:rPr>
            </w:pPr>
            <w:r w:rsidRPr="00442577">
              <w:rPr>
                <w:sz w:val="17"/>
                <w:szCs w:val="17"/>
              </w:rPr>
              <w:t>115</w:t>
            </w:r>
          </w:p>
        </w:tc>
        <w:tc>
          <w:tcPr>
            <w:tcW w:w="1770" w:type="dxa"/>
            <w:tcBorders>
              <w:top w:val="nil"/>
              <w:left w:val="nil"/>
              <w:bottom w:val="nil"/>
              <w:right w:val="nil"/>
            </w:tcBorders>
            <w:shd w:val="clear" w:color="auto" w:fill="auto"/>
            <w:noWrap/>
            <w:vAlign w:val="bottom"/>
            <w:hideMark/>
          </w:tcPr>
          <w:p w14:paraId="28B0718D" w14:textId="4CACB9E1" w:rsidR="00895A1D" w:rsidRPr="00442577" w:rsidRDefault="00895A1D" w:rsidP="00895A1D">
            <w:pPr>
              <w:jc w:val="right"/>
              <w:rPr>
                <w:sz w:val="17"/>
                <w:szCs w:val="17"/>
              </w:rPr>
            </w:pPr>
            <w:r w:rsidRPr="00442577">
              <w:rPr>
                <w:sz w:val="17"/>
                <w:szCs w:val="17"/>
              </w:rPr>
              <w:t>-</w:t>
            </w:r>
          </w:p>
        </w:tc>
        <w:tc>
          <w:tcPr>
            <w:tcW w:w="2043" w:type="dxa"/>
            <w:tcBorders>
              <w:top w:val="nil"/>
              <w:left w:val="nil"/>
              <w:bottom w:val="nil"/>
              <w:right w:val="nil"/>
            </w:tcBorders>
            <w:shd w:val="clear" w:color="auto" w:fill="auto"/>
            <w:noWrap/>
            <w:vAlign w:val="bottom"/>
            <w:hideMark/>
          </w:tcPr>
          <w:p w14:paraId="1400F3FC" w14:textId="227B5C50" w:rsidR="00895A1D" w:rsidRPr="00442577" w:rsidRDefault="00895A1D" w:rsidP="00895A1D">
            <w:pPr>
              <w:jc w:val="right"/>
              <w:rPr>
                <w:sz w:val="17"/>
                <w:szCs w:val="17"/>
              </w:rPr>
            </w:pPr>
            <w:r w:rsidRPr="00442577">
              <w:rPr>
                <w:sz w:val="17"/>
                <w:szCs w:val="17"/>
              </w:rPr>
              <w:t>-</w:t>
            </w:r>
          </w:p>
        </w:tc>
        <w:tc>
          <w:tcPr>
            <w:tcW w:w="1292" w:type="dxa"/>
            <w:tcBorders>
              <w:top w:val="nil"/>
              <w:left w:val="nil"/>
              <w:bottom w:val="nil"/>
              <w:right w:val="nil"/>
            </w:tcBorders>
            <w:shd w:val="clear" w:color="auto" w:fill="auto"/>
            <w:noWrap/>
            <w:vAlign w:val="bottom"/>
            <w:hideMark/>
          </w:tcPr>
          <w:p w14:paraId="039CC226" w14:textId="68F7B52C" w:rsidR="00895A1D" w:rsidRPr="00442577" w:rsidRDefault="00895A1D" w:rsidP="00895A1D">
            <w:pPr>
              <w:jc w:val="right"/>
              <w:rPr>
                <w:sz w:val="17"/>
                <w:szCs w:val="17"/>
              </w:rPr>
            </w:pPr>
            <w:r w:rsidRPr="00442577">
              <w:rPr>
                <w:sz w:val="17"/>
                <w:szCs w:val="17"/>
              </w:rPr>
              <w:t>-</w:t>
            </w:r>
          </w:p>
        </w:tc>
      </w:tr>
      <w:tr w:rsidR="00F033BB" w:rsidRPr="00442577" w14:paraId="0F607EC4" w14:textId="77777777" w:rsidTr="00442577">
        <w:trPr>
          <w:trHeight w:val="53"/>
        </w:trPr>
        <w:tc>
          <w:tcPr>
            <w:tcW w:w="1798" w:type="dxa"/>
            <w:tcBorders>
              <w:top w:val="nil"/>
              <w:left w:val="nil"/>
              <w:bottom w:val="nil"/>
            </w:tcBorders>
            <w:shd w:val="clear" w:color="auto" w:fill="auto"/>
            <w:noWrap/>
            <w:vAlign w:val="bottom"/>
            <w:hideMark/>
          </w:tcPr>
          <w:p w14:paraId="79CAED91" w14:textId="77777777" w:rsidR="00895A1D" w:rsidRPr="00442577" w:rsidRDefault="00895A1D" w:rsidP="00895A1D">
            <w:pPr>
              <w:rPr>
                <w:sz w:val="17"/>
                <w:szCs w:val="17"/>
              </w:rPr>
            </w:pPr>
            <w:r w:rsidRPr="00442577">
              <w:rPr>
                <w:sz w:val="17"/>
                <w:szCs w:val="17"/>
              </w:rPr>
              <w:t>Kagera</w:t>
            </w:r>
          </w:p>
        </w:tc>
        <w:tc>
          <w:tcPr>
            <w:tcW w:w="1732" w:type="dxa"/>
            <w:tcBorders>
              <w:top w:val="nil"/>
              <w:bottom w:val="nil"/>
              <w:right w:val="nil"/>
            </w:tcBorders>
            <w:shd w:val="clear" w:color="auto" w:fill="auto"/>
            <w:noWrap/>
            <w:vAlign w:val="bottom"/>
            <w:hideMark/>
          </w:tcPr>
          <w:p w14:paraId="7908DCDE" w14:textId="2B3A4DA7" w:rsidR="00895A1D" w:rsidRPr="00442577" w:rsidRDefault="00895A1D" w:rsidP="00895A1D">
            <w:pPr>
              <w:jc w:val="right"/>
              <w:rPr>
                <w:sz w:val="17"/>
                <w:szCs w:val="17"/>
              </w:rPr>
            </w:pPr>
            <w:r w:rsidRPr="00442577">
              <w:rPr>
                <w:sz w:val="17"/>
                <w:szCs w:val="17"/>
              </w:rPr>
              <w:t>338</w:t>
            </w:r>
          </w:p>
        </w:tc>
        <w:tc>
          <w:tcPr>
            <w:tcW w:w="1770" w:type="dxa"/>
            <w:tcBorders>
              <w:top w:val="nil"/>
              <w:left w:val="nil"/>
              <w:bottom w:val="nil"/>
              <w:right w:val="nil"/>
            </w:tcBorders>
            <w:shd w:val="clear" w:color="auto" w:fill="auto"/>
            <w:noWrap/>
            <w:vAlign w:val="bottom"/>
            <w:hideMark/>
          </w:tcPr>
          <w:p w14:paraId="640E20F7" w14:textId="02A8DC99" w:rsidR="00895A1D" w:rsidRPr="00442577" w:rsidRDefault="00895A1D" w:rsidP="00895A1D">
            <w:pPr>
              <w:jc w:val="right"/>
              <w:rPr>
                <w:sz w:val="17"/>
                <w:szCs w:val="17"/>
              </w:rPr>
            </w:pPr>
            <w:r w:rsidRPr="00442577">
              <w:rPr>
                <w:sz w:val="17"/>
                <w:szCs w:val="17"/>
              </w:rPr>
              <w:t>125</w:t>
            </w:r>
          </w:p>
        </w:tc>
        <w:tc>
          <w:tcPr>
            <w:tcW w:w="2043" w:type="dxa"/>
            <w:tcBorders>
              <w:top w:val="nil"/>
              <w:left w:val="nil"/>
              <w:bottom w:val="nil"/>
              <w:right w:val="nil"/>
            </w:tcBorders>
            <w:shd w:val="clear" w:color="auto" w:fill="auto"/>
            <w:noWrap/>
            <w:vAlign w:val="bottom"/>
            <w:hideMark/>
          </w:tcPr>
          <w:p w14:paraId="0D13885D" w14:textId="28376F7C" w:rsidR="00895A1D" w:rsidRPr="00442577" w:rsidRDefault="00895A1D" w:rsidP="00895A1D">
            <w:pPr>
              <w:jc w:val="right"/>
              <w:rPr>
                <w:sz w:val="17"/>
                <w:szCs w:val="17"/>
              </w:rPr>
            </w:pPr>
            <w:r w:rsidRPr="00442577">
              <w:rPr>
                <w:sz w:val="17"/>
                <w:szCs w:val="17"/>
              </w:rPr>
              <w:t>299</w:t>
            </w:r>
          </w:p>
        </w:tc>
        <w:tc>
          <w:tcPr>
            <w:tcW w:w="1292" w:type="dxa"/>
            <w:tcBorders>
              <w:top w:val="nil"/>
              <w:left w:val="nil"/>
              <w:bottom w:val="nil"/>
              <w:right w:val="nil"/>
            </w:tcBorders>
            <w:shd w:val="clear" w:color="auto" w:fill="auto"/>
            <w:noWrap/>
            <w:vAlign w:val="bottom"/>
            <w:hideMark/>
          </w:tcPr>
          <w:p w14:paraId="41630917" w14:textId="6E4AB6F5" w:rsidR="00895A1D" w:rsidRPr="00442577" w:rsidRDefault="00895A1D" w:rsidP="00895A1D">
            <w:pPr>
              <w:jc w:val="right"/>
              <w:rPr>
                <w:sz w:val="17"/>
                <w:szCs w:val="17"/>
              </w:rPr>
            </w:pPr>
            <w:r w:rsidRPr="00442577">
              <w:rPr>
                <w:sz w:val="17"/>
                <w:szCs w:val="17"/>
              </w:rPr>
              <w:t>2.4</w:t>
            </w:r>
          </w:p>
        </w:tc>
      </w:tr>
      <w:tr w:rsidR="00F033BB" w:rsidRPr="00442577" w14:paraId="23461001" w14:textId="77777777" w:rsidTr="00442577">
        <w:trPr>
          <w:trHeight w:val="53"/>
        </w:trPr>
        <w:tc>
          <w:tcPr>
            <w:tcW w:w="1798" w:type="dxa"/>
            <w:tcBorders>
              <w:top w:val="nil"/>
              <w:left w:val="nil"/>
              <w:bottom w:val="nil"/>
            </w:tcBorders>
            <w:shd w:val="clear" w:color="auto" w:fill="auto"/>
            <w:noWrap/>
            <w:vAlign w:val="bottom"/>
            <w:hideMark/>
          </w:tcPr>
          <w:p w14:paraId="03EBDCA7" w14:textId="77777777" w:rsidR="00895A1D" w:rsidRPr="00442577" w:rsidRDefault="00895A1D" w:rsidP="00895A1D">
            <w:pPr>
              <w:rPr>
                <w:sz w:val="17"/>
                <w:szCs w:val="17"/>
              </w:rPr>
            </w:pPr>
            <w:r w:rsidRPr="00442577">
              <w:rPr>
                <w:sz w:val="17"/>
                <w:szCs w:val="17"/>
              </w:rPr>
              <w:t>Mwanza</w:t>
            </w:r>
          </w:p>
        </w:tc>
        <w:tc>
          <w:tcPr>
            <w:tcW w:w="1732" w:type="dxa"/>
            <w:tcBorders>
              <w:top w:val="nil"/>
              <w:bottom w:val="nil"/>
              <w:right w:val="nil"/>
            </w:tcBorders>
            <w:shd w:val="clear" w:color="auto" w:fill="auto"/>
            <w:noWrap/>
            <w:vAlign w:val="bottom"/>
            <w:hideMark/>
          </w:tcPr>
          <w:p w14:paraId="0A7CB608" w14:textId="66DF74D0" w:rsidR="00895A1D" w:rsidRPr="00442577" w:rsidRDefault="00895A1D" w:rsidP="00895A1D">
            <w:pPr>
              <w:jc w:val="right"/>
              <w:rPr>
                <w:sz w:val="17"/>
                <w:szCs w:val="17"/>
              </w:rPr>
            </w:pPr>
            <w:r w:rsidRPr="00442577">
              <w:rPr>
                <w:sz w:val="17"/>
                <w:szCs w:val="17"/>
              </w:rPr>
              <w:t>61</w:t>
            </w:r>
          </w:p>
        </w:tc>
        <w:tc>
          <w:tcPr>
            <w:tcW w:w="1770" w:type="dxa"/>
            <w:tcBorders>
              <w:top w:val="nil"/>
              <w:left w:val="nil"/>
              <w:bottom w:val="nil"/>
              <w:right w:val="nil"/>
            </w:tcBorders>
            <w:shd w:val="clear" w:color="auto" w:fill="auto"/>
            <w:noWrap/>
            <w:vAlign w:val="bottom"/>
            <w:hideMark/>
          </w:tcPr>
          <w:p w14:paraId="6D600FB2" w14:textId="4DB47D2A" w:rsidR="00895A1D" w:rsidRPr="00442577" w:rsidRDefault="00895A1D" w:rsidP="00895A1D">
            <w:pPr>
              <w:jc w:val="right"/>
              <w:rPr>
                <w:sz w:val="17"/>
                <w:szCs w:val="17"/>
              </w:rPr>
            </w:pPr>
            <w:r w:rsidRPr="00442577">
              <w:rPr>
                <w:sz w:val="17"/>
                <w:szCs w:val="17"/>
              </w:rPr>
              <w:t>41</w:t>
            </w:r>
          </w:p>
        </w:tc>
        <w:tc>
          <w:tcPr>
            <w:tcW w:w="2043" w:type="dxa"/>
            <w:tcBorders>
              <w:top w:val="nil"/>
              <w:left w:val="nil"/>
              <w:bottom w:val="nil"/>
              <w:right w:val="nil"/>
            </w:tcBorders>
            <w:shd w:val="clear" w:color="auto" w:fill="auto"/>
            <w:noWrap/>
            <w:vAlign w:val="bottom"/>
            <w:hideMark/>
          </w:tcPr>
          <w:p w14:paraId="194701BF" w14:textId="51D2209A" w:rsidR="00895A1D" w:rsidRPr="00442577" w:rsidRDefault="00895A1D" w:rsidP="00895A1D">
            <w:pPr>
              <w:jc w:val="right"/>
              <w:rPr>
                <w:sz w:val="17"/>
                <w:szCs w:val="17"/>
              </w:rPr>
            </w:pPr>
            <w:r w:rsidRPr="00442577">
              <w:rPr>
                <w:sz w:val="17"/>
                <w:szCs w:val="17"/>
              </w:rPr>
              <w:t>474</w:t>
            </w:r>
          </w:p>
        </w:tc>
        <w:tc>
          <w:tcPr>
            <w:tcW w:w="1292" w:type="dxa"/>
            <w:tcBorders>
              <w:top w:val="nil"/>
              <w:left w:val="nil"/>
              <w:bottom w:val="nil"/>
              <w:right w:val="nil"/>
            </w:tcBorders>
            <w:shd w:val="clear" w:color="auto" w:fill="auto"/>
            <w:noWrap/>
            <w:vAlign w:val="bottom"/>
            <w:hideMark/>
          </w:tcPr>
          <w:p w14:paraId="541ACD62" w14:textId="0DB8F5E8" w:rsidR="00895A1D" w:rsidRPr="00442577" w:rsidRDefault="00895A1D" w:rsidP="00895A1D">
            <w:pPr>
              <w:jc w:val="right"/>
              <w:rPr>
                <w:sz w:val="17"/>
                <w:szCs w:val="17"/>
              </w:rPr>
            </w:pPr>
            <w:r w:rsidRPr="00442577">
              <w:rPr>
                <w:sz w:val="17"/>
                <w:szCs w:val="17"/>
              </w:rPr>
              <w:t>11.6</w:t>
            </w:r>
          </w:p>
        </w:tc>
      </w:tr>
      <w:tr w:rsidR="00F033BB" w:rsidRPr="00442577" w14:paraId="5605F13D" w14:textId="77777777" w:rsidTr="00442577">
        <w:trPr>
          <w:trHeight w:val="53"/>
        </w:trPr>
        <w:tc>
          <w:tcPr>
            <w:tcW w:w="1798" w:type="dxa"/>
            <w:tcBorders>
              <w:top w:val="nil"/>
              <w:left w:val="nil"/>
              <w:bottom w:val="nil"/>
            </w:tcBorders>
            <w:shd w:val="clear" w:color="auto" w:fill="auto"/>
            <w:noWrap/>
            <w:vAlign w:val="bottom"/>
            <w:hideMark/>
          </w:tcPr>
          <w:p w14:paraId="51E0C350" w14:textId="77777777" w:rsidR="00895A1D" w:rsidRPr="00442577" w:rsidRDefault="00895A1D" w:rsidP="00895A1D">
            <w:pPr>
              <w:rPr>
                <w:sz w:val="17"/>
                <w:szCs w:val="17"/>
              </w:rPr>
            </w:pPr>
            <w:r w:rsidRPr="00442577">
              <w:rPr>
                <w:sz w:val="17"/>
                <w:szCs w:val="17"/>
              </w:rPr>
              <w:t>Mara</w:t>
            </w:r>
          </w:p>
        </w:tc>
        <w:tc>
          <w:tcPr>
            <w:tcW w:w="1732" w:type="dxa"/>
            <w:tcBorders>
              <w:top w:val="nil"/>
              <w:bottom w:val="nil"/>
              <w:right w:val="nil"/>
            </w:tcBorders>
            <w:shd w:val="clear" w:color="auto" w:fill="auto"/>
            <w:noWrap/>
            <w:vAlign w:val="bottom"/>
            <w:hideMark/>
          </w:tcPr>
          <w:p w14:paraId="36B1C2CF" w14:textId="2858F78D" w:rsidR="00895A1D" w:rsidRPr="00442577" w:rsidRDefault="00895A1D" w:rsidP="00895A1D">
            <w:pPr>
              <w:jc w:val="right"/>
              <w:rPr>
                <w:sz w:val="17"/>
                <w:szCs w:val="17"/>
              </w:rPr>
            </w:pPr>
            <w:r w:rsidRPr="00442577">
              <w:rPr>
                <w:sz w:val="17"/>
                <w:szCs w:val="17"/>
              </w:rPr>
              <w:t>15</w:t>
            </w:r>
          </w:p>
        </w:tc>
        <w:tc>
          <w:tcPr>
            <w:tcW w:w="1770" w:type="dxa"/>
            <w:tcBorders>
              <w:top w:val="nil"/>
              <w:left w:val="nil"/>
              <w:bottom w:val="nil"/>
              <w:right w:val="nil"/>
            </w:tcBorders>
            <w:shd w:val="clear" w:color="auto" w:fill="auto"/>
            <w:noWrap/>
            <w:vAlign w:val="bottom"/>
            <w:hideMark/>
          </w:tcPr>
          <w:p w14:paraId="5C8B4482" w14:textId="247FD0C6" w:rsidR="00895A1D" w:rsidRPr="00442577" w:rsidRDefault="00895A1D" w:rsidP="00895A1D">
            <w:pPr>
              <w:jc w:val="right"/>
              <w:rPr>
                <w:sz w:val="17"/>
                <w:szCs w:val="17"/>
              </w:rPr>
            </w:pPr>
            <w:r w:rsidRPr="00442577">
              <w:rPr>
                <w:sz w:val="17"/>
                <w:szCs w:val="17"/>
              </w:rPr>
              <w:t>15</w:t>
            </w:r>
          </w:p>
        </w:tc>
        <w:tc>
          <w:tcPr>
            <w:tcW w:w="2043" w:type="dxa"/>
            <w:tcBorders>
              <w:top w:val="nil"/>
              <w:left w:val="nil"/>
              <w:bottom w:val="nil"/>
              <w:right w:val="nil"/>
            </w:tcBorders>
            <w:shd w:val="clear" w:color="auto" w:fill="auto"/>
            <w:noWrap/>
            <w:vAlign w:val="bottom"/>
            <w:hideMark/>
          </w:tcPr>
          <w:p w14:paraId="65D009BD" w14:textId="7C4B0EFF" w:rsidR="00895A1D" w:rsidRPr="00442577" w:rsidRDefault="00895A1D" w:rsidP="00895A1D">
            <w:pPr>
              <w:jc w:val="right"/>
              <w:rPr>
                <w:sz w:val="17"/>
                <w:szCs w:val="17"/>
              </w:rPr>
            </w:pPr>
            <w:r w:rsidRPr="00442577">
              <w:rPr>
                <w:sz w:val="17"/>
                <w:szCs w:val="17"/>
              </w:rPr>
              <w:t>78</w:t>
            </w:r>
          </w:p>
        </w:tc>
        <w:tc>
          <w:tcPr>
            <w:tcW w:w="1292" w:type="dxa"/>
            <w:tcBorders>
              <w:top w:val="nil"/>
              <w:left w:val="nil"/>
              <w:bottom w:val="nil"/>
              <w:right w:val="nil"/>
            </w:tcBorders>
            <w:shd w:val="clear" w:color="auto" w:fill="auto"/>
            <w:noWrap/>
            <w:vAlign w:val="bottom"/>
            <w:hideMark/>
          </w:tcPr>
          <w:p w14:paraId="791281AE" w14:textId="08746CD7" w:rsidR="00895A1D" w:rsidRPr="00442577" w:rsidRDefault="00895A1D" w:rsidP="00895A1D">
            <w:pPr>
              <w:jc w:val="right"/>
              <w:rPr>
                <w:sz w:val="17"/>
                <w:szCs w:val="17"/>
              </w:rPr>
            </w:pPr>
            <w:r w:rsidRPr="00442577">
              <w:rPr>
                <w:sz w:val="17"/>
                <w:szCs w:val="17"/>
              </w:rPr>
              <w:t>5.3</w:t>
            </w:r>
          </w:p>
        </w:tc>
      </w:tr>
      <w:tr w:rsidR="00F033BB" w:rsidRPr="00442577" w14:paraId="0DC6D401" w14:textId="77777777" w:rsidTr="00442577">
        <w:trPr>
          <w:trHeight w:val="53"/>
        </w:trPr>
        <w:tc>
          <w:tcPr>
            <w:tcW w:w="1798" w:type="dxa"/>
            <w:tcBorders>
              <w:top w:val="nil"/>
              <w:left w:val="nil"/>
              <w:bottom w:val="nil"/>
            </w:tcBorders>
            <w:shd w:val="clear" w:color="auto" w:fill="auto"/>
            <w:noWrap/>
            <w:vAlign w:val="bottom"/>
            <w:hideMark/>
          </w:tcPr>
          <w:p w14:paraId="3D0482E8" w14:textId="77777777" w:rsidR="00895A1D" w:rsidRPr="00442577" w:rsidRDefault="00895A1D" w:rsidP="00895A1D">
            <w:pPr>
              <w:rPr>
                <w:sz w:val="17"/>
                <w:szCs w:val="17"/>
              </w:rPr>
            </w:pPr>
            <w:r w:rsidRPr="00442577">
              <w:rPr>
                <w:sz w:val="17"/>
                <w:szCs w:val="17"/>
              </w:rPr>
              <w:t>Manyara</w:t>
            </w:r>
          </w:p>
        </w:tc>
        <w:tc>
          <w:tcPr>
            <w:tcW w:w="1732" w:type="dxa"/>
            <w:tcBorders>
              <w:top w:val="nil"/>
              <w:bottom w:val="nil"/>
              <w:right w:val="nil"/>
            </w:tcBorders>
            <w:shd w:val="clear" w:color="auto" w:fill="auto"/>
            <w:noWrap/>
            <w:vAlign w:val="bottom"/>
            <w:hideMark/>
          </w:tcPr>
          <w:p w14:paraId="711EDEA3" w14:textId="505032BD" w:rsidR="00895A1D" w:rsidRPr="00442577" w:rsidRDefault="00895A1D" w:rsidP="00895A1D">
            <w:pPr>
              <w:jc w:val="right"/>
              <w:rPr>
                <w:sz w:val="17"/>
                <w:szCs w:val="17"/>
              </w:rPr>
            </w:pPr>
            <w:r w:rsidRPr="00442577">
              <w:rPr>
                <w:sz w:val="17"/>
                <w:szCs w:val="17"/>
              </w:rPr>
              <w:t>-</w:t>
            </w:r>
          </w:p>
        </w:tc>
        <w:tc>
          <w:tcPr>
            <w:tcW w:w="1770" w:type="dxa"/>
            <w:tcBorders>
              <w:top w:val="nil"/>
              <w:left w:val="nil"/>
              <w:bottom w:val="nil"/>
              <w:right w:val="nil"/>
            </w:tcBorders>
            <w:shd w:val="clear" w:color="auto" w:fill="auto"/>
            <w:noWrap/>
            <w:vAlign w:val="bottom"/>
            <w:hideMark/>
          </w:tcPr>
          <w:p w14:paraId="485003AF" w14:textId="2AF39657" w:rsidR="00895A1D" w:rsidRPr="00442577" w:rsidRDefault="00895A1D" w:rsidP="00895A1D">
            <w:pPr>
              <w:jc w:val="right"/>
              <w:rPr>
                <w:sz w:val="17"/>
                <w:szCs w:val="17"/>
              </w:rPr>
            </w:pPr>
            <w:r w:rsidRPr="00442577">
              <w:rPr>
                <w:sz w:val="17"/>
                <w:szCs w:val="17"/>
              </w:rPr>
              <w:t>-</w:t>
            </w:r>
          </w:p>
        </w:tc>
        <w:tc>
          <w:tcPr>
            <w:tcW w:w="2043" w:type="dxa"/>
            <w:tcBorders>
              <w:top w:val="nil"/>
              <w:left w:val="nil"/>
              <w:bottom w:val="nil"/>
              <w:right w:val="nil"/>
            </w:tcBorders>
            <w:shd w:val="clear" w:color="auto" w:fill="auto"/>
            <w:noWrap/>
            <w:vAlign w:val="bottom"/>
            <w:hideMark/>
          </w:tcPr>
          <w:p w14:paraId="40AA1CC7" w14:textId="43A66A8D" w:rsidR="00895A1D" w:rsidRPr="00442577" w:rsidRDefault="00895A1D" w:rsidP="00895A1D">
            <w:pPr>
              <w:jc w:val="right"/>
              <w:rPr>
                <w:sz w:val="17"/>
                <w:szCs w:val="17"/>
              </w:rPr>
            </w:pPr>
            <w:r w:rsidRPr="00442577">
              <w:rPr>
                <w:sz w:val="17"/>
                <w:szCs w:val="17"/>
              </w:rPr>
              <w:t>-</w:t>
            </w:r>
          </w:p>
        </w:tc>
        <w:tc>
          <w:tcPr>
            <w:tcW w:w="1292" w:type="dxa"/>
            <w:tcBorders>
              <w:top w:val="nil"/>
              <w:left w:val="nil"/>
              <w:bottom w:val="nil"/>
              <w:right w:val="nil"/>
            </w:tcBorders>
            <w:shd w:val="clear" w:color="auto" w:fill="auto"/>
            <w:noWrap/>
            <w:vAlign w:val="bottom"/>
            <w:hideMark/>
          </w:tcPr>
          <w:p w14:paraId="591ECDB7" w14:textId="13A588B1" w:rsidR="00895A1D" w:rsidRPr="00442577" w:rsidRDefault="00895A1D" w:rsidP="00895A1D">
            <w:pPr>
              <w:jc w:val="right"/>
              <w:rPr>
                <w:sz w:val="17"/>
                <w:szCs w:val="17"/>
              </w:rPr>
            </w:pPr>
            <w:r w:rsidRPr="00442577">
              <w:rPr>
                <w:sz w:val="17"/>
                <w:szCs w:val="17"/>
              </w:rPr>
              <w:t>-</w:t>
            </w:r>
          </w:p>
        </w:tc>
      </w:tr>
      <w:tr w:rsidR="00F033BB" w:rsidRPr="00442577" w14:paraId="6FAA61C0" w14:textId="77777777" w:rsidTr="00442577">
        <w:trPr>
          <w:trHeight w:val="53"/>
        </w:trPr>
        <w:tc>
          <w:tcPr>
            <w:tcW w:w="1798" w:type="dxa"/>
            <w:tcBorders>
              <w:top w:val="nil"/>
              <w:left w:val="nil"/>
              <w:bottom w:val="nil"/>
            </w:tcBorders>
            <w:shd w:val="clear" w:color="auto" w:fill="auto"/>
            <w:noWrap/>
            <w:vAlign w:val="bottom"/>
            <w:hideMark/>
          </w:tcPr>
          <w:p w14:paraId="1FBFDAC5" w14:textId="77777777" w:rsidR="00895A1D" w:rsidRPr="00442577" w:rsidRDefault="00895A1D" w:rsidP="00895A1D">
            <w:pPr>
              <w:rPr>
                <w:sz w:val="17"/>
                <w:szCs w:val="17"/>
              </w:rPr>
            </w:pPr>
            <w:r w:rsidRPr="00442577">
              <w:rPr>
                <w:sz w:val="17"/>
                <w:szCs w:val="17"/>
              </w:rPr>
              <w:t>Njombe</w:t>
            </w:r>
          </w:p>
        </w:tc>
        <w:tc>
          <w:tcPr>
            <w:tcW w:w="1732" w:type="dxa"/>
            <w:tcBorders>
              <w:top w:val="nil"/>
              <w:bottom w:val="nil"/>
              <w:right w:val="nil"/>
            </w:tcBorders>
            <w:shd w:val="clear" w:color="auto" w:fill="auto"/>
            <w:noWrap/>
            <w:vAlign w:val="bottom"/>
            <w:hideMark/>
          </w:tcPr>
          <w:p w14:paraId="1E387815" w14:textId="6687D238" w:rsidR="00895A1D" w:rsidRPr="00442577" w:rsidRDefault="00895A1D" w:rsidP="00895A1D">
            <w:pPr>
              <w:jc w:val="right"/>
              <w:rPr>
                <w:sz w:val="17"/>
                <w:szCs w:val="17"/>
              </w:rPr>
            </w:pPr>
            <w:r w:rsidRPr="00442577">
              <w:rPr>
                <w:sz w:val="17"/>
                <w:szCs w:val="17"/>
              </w:rPr>
              <w:t>32</w:t>
            </w:r>
          </w:p>
        </w:tc>
        <w:tc>
          <w:tcPr>
            <w:tcW w:w="1770" w:type="dxa"/>
            <w:tcBorders>
              <w:top w:val="nil"/>
              <w:left w:val="nil"/>
              <w:bottom w:val="nil"/>
              <w:right w:val="nil"/>
            </w:tcBorders>
            <w:shd w:val="clear" w:color="auto" w:fill="auto"/>
            <w:noWrap/>
            <w:vAlign w:val="bottom"/>
            <w:hideMark/>
          </w:tcPr>
          <w:p w14:paraId="7763802A" w14:textId="11F1939B" w:rsidR="00895A1D" w:rsidRPr="00442577" w:rsidRDefault="00895A1D" w:rsidP="00895A1D">
            <w:pPr>
              <w:jc w:val="right"/>
              <w:rPr>
                <w:sz w:val="17"/>
                <w:szCs w:val="17"/>
              </w:rPr>
            </w:pPr>
            <w:r w:rsidRPr="00442577">
              <w:rPr>
                <w:sz w:val="17"/>
                <w:szCs w:val="17"/>
              </w:rPr>
              <w:t>11</w:t>
            </w:r>
          </w:p>
        </w:tc>
        <w:tc>
          <w:tcPr>
            <w:tcW w:w="2043" w:type="dxa"/>
            <w:tcBorders>
              <w:top w:val="nil"/>
              <w:left w:val="nil"/>
              <w:bottom w:val="nil"/>
              <w:right w:val="nil"/>
            </w:tcBorders>
            <w:shd w:val="clear" w:color="auto" w:fill="auto"/>
            <w:noWrap/>
            <w:vAlign w:val="bottom"/>
            <w:hideMark/>
          </w:tcPr>
          <w:p w14:paraId="3F38B07C" w14:textId="6A90A991" w:rsidR="00895A1D" w:rsidRPr="00442577" w:rsidRDefault="00895A1D" w:rsidP="00895A1D">
            <w:pPr>
              <w:jc w:val="right"/>
              <w:rPr>
                <w:sz w:val="17"/>
                <w:szCs w:val="17"/>
              </w:rPr>
            </w:pPr>
            <w:r w:rsidRPr="00442577">
              <w:rPr>
                <w:sz w:val="17"/>
                <w:szCs w:val="17"/>
              </w:rPr>
              <w:t>-</w:t>
            </w:r>
          </w:p>
        </w:tc>
        <w:tc>
          <w:tcPr>
            <w:tcW w:w="1292" w:type="dxa"/>
            <w:tcBorders>
              <w:top w:val="nil"/>
              <w:left w:val="nil"/>
              <w:bottom w:val="nil"/>
              <w:right w:val="nil"/>
            </w:tcBorders>
            <w:shd w:val="clear" w:color="auto" w:fill="auto"/>
            <w:noWrap/>
            <w:vAlign w:val="bottom"/>
            <w:hideMark/>
          </w:tcPr>
          <w:p w14:paraId="7CD76E2B" w14:textId="2C51DCF7" w:rsidR="00895A1D" w:rsidRPr="00442577" w:rsidRDefault="00895A1D" w:rsidP="00895A1D">
            <w:pPr>
              <w:jc w:val="right"/>
              <w:rPr>
                <w:sz w:val="17"/>
                <w:szCs w:val="17"/>
              </w:rPr>
            </w:pPr>
            <w:r w:rsidRPr="00442577">
              <w:rPr>
                <w:sz w:val="17"/>
                <w:szCs w:val="17"/>
              </w:rPr>
              <w:t>-</w:t>
            </w:r>
          </w:p>
        </w:tc>
      </w:tr>
      <w:tr w:rsidR="00F033BB" w:rsidRPr="00442577" w14:paraId="490FD4E4" w14:textId="77777777" w:rsidTr="00442577">
        <w:trPr>
          <w:trHeight w:val="53"/>
        </w:trPr>
        <w:tc>
          <w:tcPr>
            <w:tcW w:w="1798" w:type="dxa"/>
            <w:tcBorders>
              <w:top w:val="nil"/>
              <w:left w:val="nil"/>
              <w:bottom w:val="nil"/>
            </w:tcBorders>
            <w:shd w:val="clear" w:color="auto" w:fill="auto"/>
            <w:noWrap/>
            <w:vAlign w:val="bottom"/>
            <w:hideMark/>
          </w:tcPr>
          <w:p w14:paraId="767505F2" w14:textId="77777777" w:rsidR="00895A1D" w:rsidRPr="00442577" w:rsidRDefault="00895A1D" w:rsidP="00895A1D">
            <w:pPr>
              <w:rPr>
                <w:sz w:val="17"/>
                <w:szCs w:val="17"/>
              </w:rPr>
            </w:pPr>
            <w:r w:rsidRPr="00442577">
              <w:rPr>
                <w:sz w:val="17"/>
                <w:szCs w:val="17"/>
              </w:rPr>
              <w:t>Katavi</w:t>
            </w:r>
          </w:p>
        </w:tc>
        <w:tc>
          <w:tcPr>
            <w:tcW w:w="1732" w:type="dxa"/>
            <w:tcBorders>
              <w:top w:val="nil"/>
              <w:bottom w:val="nil"/>
              <w:right w:val="nil"/>
            </w:tcBorders>
            <w:shd w:val="clear" w:color="auto" w:fill="auto"/>
            <w:noWrap/>
            <w:vAlign w:val="bottom"/>
            <w:hideMark/>
          </w:tcPr>
          <w:p w14:paraId="02721738" w14:textId="413E890A" w:rsidR="00895A1D" w:rsidRPr="00442577" w:rsidRDefault="00895A1D" w:rsidP="00895A1D">
            <w:pPr>
              <w:jc w:val="right"/>
              <w:rPr>
                <w:sz w:val="17"/>
                <w:szCs w:val="17"/>
              </w:rPr>
            </w:pPr>
            <w:r w:rsidRPr="00442577">
              <w:rPr>
                <w:sz w:val="17"/>
                <w:szCs w:val="17"/>
              </w:rPr>
              <w:t>-</w:t>
            </w:r>
          </w:p>
        </w:tc>
        <w:tc>
          <w:tcPr>
            <w:tcW w:w="1770" w:type="dxa"/>
            <w:tcBorders>
              <w:top w:val="nil"/>
              <w:left w:val="nil"/>
              <w:bottom w:val="nil"/>
              <w:right w:val="nil"/>
            </w:tcBorders>
            <w:shd w:val="clear" w:color="auto" w:fill="auto"/>
            <w:noWrap/>
            <w:vAlign w:val="bottom"/>
            <w:hideMark/>
          </w:tcPr>
          <w:p w14:paraId="6DF16E06" w14:textId="2EFD4048" w:rsidR="00895A1D" w:rsidRPr="00442577" w:rsidRDefault="00895A1D" w:rsidP="00895A1D">
            <w:pPr>
              <w:jc w:val="right"/>
              <w:rPr>
                <w:sz w:val="17"/>
                <w:szCs w:val="17"/>
              </w:rPr>
            </w:pPr>
            <w:r w:rsidRPr="00442577">
              <w:rPr>
                <w:sz w:val="17"/>
                <w:szCs w:val="17"/>
              </w:rPr>
              <w:t>-</w:t>
            </w:r>
          </w:p>
        </w:tc>
        <w:tc>
          <w:tcPr>
            <w:tcW w:w="2043" w:type="dxa"/>
            <w:tcBorders>
              <w:top w:val="nil"/>
              <w:left w:val="nil"/>
              <w:bottom w:val="nil"/>
              <w:right w:val="nil"/>
            </w:tcBorders>
            <w:shd w:val="clear" w:color="auto" w:fill="auto"/>
            <w:noWrap/>
            <w:vAlign w:val="bottom"/>
            <w:hideMark/>
          </w:tcPr>
          <w:p w14:paraId="6216BC3D" w14:textId="11B0C3B5" w:rsidR="00895A1D" w:rsidRPr="00442577" w:rsidRDefault="00895A1D" w:rsidP="00895A1D">
            <w:pPr>
              <w:jc w:val="right"/>
              <w:rPr>
                <w:sz w:val="17"/>
                <w:szCs w:val="17"/>
              </w:rPr>
            </w:pPr>
            <w:r w:rsidRPr="00442577">
              <w:rPr>
                <w:sz w:val="17"/>
                <w:szCs w:val="17"/>
              </w:rPr>
              <w:t>-</w:t>
            </w:r>
          </w:p>
        </w:tc>
        <w:tc>
          <w:tcPr>
            <w:tcW w:w="1292" w:type="dxa"/>
            <w:tcBorders>
              <w:top w:val="nil"/>
              <w:left w:val="nil"/>
              <w:bottom w:val="nil"/>
              <w:right w:val="nil"/>
            </w:tcBorders>
            <w:shd w:val="clear" w:color="auto" w:fill="auto"/>
            <w:noWrap/>
            <w:vAlign w:val="bottom"/>
            <w:hideMark/>
          </w:tcPr>
          <w:p w14:paraId="1D405BD6" w14:textId="464E40B0" w:rsidR="00895A1D" w:rsidRPr="00442577" w:rsidRDefault="00895A1D" w:rsidP="00895A1D">
            <w:pPr>
              <w:jc w:val="right"/>
              <w:rPr>
                <w:sz w:val="17"/>
                <w:szCs w:val="17"/>
              </w:rPr>
            </w:pPr>
            <w:r w:rsidRPr="00442577">
              <w:rPr>
                <w:sz w:val="17"/>
                <w:szCs w:val="17"/>
              </w:rPr>
              <w:t>-</w:t>
            </w:r>
          </w:p>
        </w:tc>
      </w:tr>
      <w:tr w:rsidR="00F033BB" w:rsidRPr="00442577" w14:paraId="6637A382" w14:textId="77777777" w:rsidTr="00442577">
        <w:trPr>
          <w:trHeight w:val="53"/>
        </w:trPr>
        <w:tc>
          <w:tcPr>
            <w:tcW w:w="1798" w:type="dxa"/>
            <w:tcBorders>
              <w:top w:val="nil"/>
              <w:left w:val="nil"/>
              <w:bottom w:val="nil"/>
            </w:tcBorders>
            <w:shd w:val="clear" w:color="auto" w:fill="auto"/>
            <w:noWrap/>
            <w:vAlign w:val="bottom"/>
            <w:hideMark/>
          </w:tcPr>
          <w:p w14:paraId="7F6718D9" w14:textId="77777777" w:rsidR="00895A1D" w:rsidRPr="00442577" w:rsidRDefault="00895A1D" w:rsidP="00895A1D">
            <w:pPr>
              <w:rPr>
                <w:sz w:val="17"/>
                <w:szCs w:val="17"/>
              </w:rPr>
            </w:pPr>
            <w:r w:rsidRPr="00442577">
              <w:rPr>
                <w:sz w:val="17"/>
                <w:szCs w:val="17"/>
              </w:rPr>
              <w:t>Simiyu</w:t>
            </w:r>
          </w:p>
        </w:tc>
        <w:tc>
          <w:tcPr>
            <w:tcW w:w="1732" w:type="dxa"/>
            <w:tcBorders>
              <w:top w:val="nil"/>
              <w:bottom w:val="nil"/>
              <w:right w:val="nil"/>
            </w:tcBorders>
            <w:shd w:val="clear" w:color="auto" w:fill="auto"/>
            <w:noWrap/>
            <w:vAlign w:val="bottom"/>
            <w:hideMark/>
          </w:tcPr>
          <w:p w14:paraId="31313DDC" w14:textId="02266944" w:rsidR="00895A1D" w:rsidRPr="00442577" w:rsidRDefault="00895A1D" w:rsidP="00895A1D">
            <w:pPr>
              <w:jc w:val="right"/>
              <w:rPr>
                <w:sz w:val="17"/>
                <w:szCs w:val="17"/>
              </w:rPr>
            </w:pPr>
            <w:r w:rsidRPr="00442577">
              <w:rPr>
                <w:sz w:val="17"/>
                <w:szCs w:val="17"/>
              </w:rPr>
              <w:t>74</w:t>
            </w:r>
          </w:p>
        </w:tc>
        <w:tc>
          <w:tcPr>
            <w:tcW w:w="1770" w:type="dxa"/>
            <w:tcBorders>
              <w:top w:val="nil"/>
              <w:left w:val="nil"/>
              <w:bottom w:val="nil"/>
              <w:right w:val="nil"/>
            </w:tcBorders>
            <w:shd w:val="clear" w:color="auto" w:fill="auto"/>
            <w:noWrap/>
            <w:vAlign w:val="bottom"/>
            <w:hideMark/>
          </w:tcPr>
          <w:p w14:paraId="491EF2AB" w14:textId="382C9AF1" w:rsidR="00895A1D" w:rsidRPr="00442577" w:rsidRDefault="00895A1D" w:rsidP="00895A1D">
            <w:pPr>
              <w:jc w:val="right"/>
              <w:rPr>
                <w:sz w:val="17"/>
                <w:szCs w:val="17"/>
              </w:rPr>
            </w:pPr>
            <w:r w:rsidRPr="00442577">
              <w:rPr>
                <w:sz w:val="17"/>
                <w:szCs w:val="17"/>
              </w:rPr>
              <w:t>19</w:t>
            </w:r>
          </w:p>
        </w:tc>
        <w:tc>
          <w:tcPr>
            <w:tcW w:w="2043" w:type="dxa"/>
            <w:tcBorders>
              <w:top w:val="nil"/>
              <w:left w:val="nil"/>
              <w:bottom w:val="nil"/>
              <w:right w:val="nil"/>
            </w:tcBorders>
            <w:shd w:val="clear" w:color="auto" w:fill="auto"/>
            <w:noWrap/>
            <w:vAlign w:val="bottom"/>
            <w:hideMark/>
          </w:tcPr>
          <w:p w14:paraId="43506A7B" w14:textId="2E1E6052" w:rsidR="00895A1D" w:rsidRPr="00442577" w:rsidRDefault="00895A1D" w:rsidP="00895A1D">
            <w:pPr>
              <w:jc w:val="right"/>
              <w:rPr>
                <w:sz w:val="17"/>
                <w:szCs w:val="17"/>
              </w:rPr>
            </w:pPr>
            <w:r w:rsidRPr="00442577">
              <w:rPr>
                <w:sz w:val="17"/>
                <w:szCs w:val="17"/>
              </w:rPr>
              <w:t>39</w:t>
            </w:r>
          </w:p>
        </w:tc>
        <w:tc>
          <w:tcPr>
            <w:tcW w:w="1292" w:type="dxa"/>
            <w:tcBorders>
              <w:top w:val="nil"/>
              <w:left w:val="nil"/>
              <w:bottom w:val="nil"/>
              <w:right w:val="nil"/>
            </w:tcBorders>
            <w:shd w:val="clear" w:color="auto" w:fill="auto"/>
            <w:noWrap/>
            <w:vAlign w:val="bottom"/>
            <w:hideMark/>
          </w:tcPr>
          <w:p w14:paraId="7F11BAC9" w14:textId="717FA5AA" w:rsidR="00895A1D" w:rsidRPr="00442577" w:rsidRDefault="00895A1D" w:rsidP="00895A1D">
            <w:pPr>
              <w:jc w:val="right"/>
              <w:rPr>
                <w:sz w:val="17"/>
                <w:szCs w:val="17"/>
              </w:rPr>
            </w:pPr>
            <w:r w:rsidRPr="00442577">
              <w:rPr>
                <w:sz w:val="17"/>
                <w:szCs w:val="17"/>
              </w:rPr>
              <w:t>2.0</w:t>
            </w:r>
          </w:p>
        </w:tc>
      </w:tr>
      <w:tr w:rsidR="00F033BB" w:rsidRPr="00442577" w14:paraId="70A1EAF3" w14:textId="77777777" w:rsidTr="00442577">
        <w:trPr>
          <w:trHeight w:val="53"/>
        </w:trPr>
        <w:tc>
          <w:tcPr>
            <w:tcW w:w="1798" w:type="dxa"/>
            <w:tcBorders>
              <w:top w:val="nil"/>
              <w:left w:val="nil"/>
              <w:bottom w:val="nil"/>
            </w:tcBorders>
            <w:shd w:val="clear" w:color="auto" w:fill="auto"/>
            <w:noWrap/>
            <w:vAlign w:val="bottom"/>
            <w:hideMark/>
          </w:tcPr>
          <w:p w14:paraId="7F88A10B" w14:textId="77777777" w:rsidR="00895A1D" w:rsidRPr="00442577" w:rsidRDefault="00895A1D" w:rsidP="00895A1D">
            <w:pPr>
              <w:rPr>
                <w:sz w:val="17"/>
                <w:szCs w:val="17"/>
              </w:rPr>
            </w:pPr>
            <w:r w:rsidRPr="00442577">
              <w:rPr>
                <w:sz w:val="17"/>
                <w:szCs w:val="17"/>
              </w:rPr>
              <w:t>Geita</w:t>
            </w:r>
          </w:p>
        </w:tc>
        <w:tc>
          <w:tcPr>
            <w:tcW w:w="1732" w:type="dxa"/>
            <w:tcBorders>
              <w:top w:val="nil"/>
              <w:bottom w:val="nil"/>
              <w:right w:val="nil"/>
            </w:tcBorders>
            <w:shd w:val="clear" w:color="auto" w:fill="auto"/>
            <w:noWrap/>
            <w:vAlign w:val="bottom"/>
            <w:hideMark/>
          </w:tcPr>
          <w:p w14:paraId="379715A3" w14:textId="23AC8B39" w:rsidR="00895A1D" w:rsidRPr="00442577" w:rsidRDefault="00895A1D" w:rsidP="00895A1D">
            <w:pPr>
              <w:jc w:val="right"/>
              <w:rPr>
                <w:sz w:val="17"/>
                <w:szCs w:val="17"/>
              </w:rPr>
            </w:pPr>
            <w:r w:rsidRPr="00442577">
              <w:rPr>
                <w:sz w:val="17"/>
                <w:szCs w:val="17"/>
              </w:rPr>
              <w:t>317</w:t>
            </w:r>
          </w:p>
        </w:tc>
        <w:tc>
          <w:tcPr>
            <w:tcW w:w="1770" w:type="dxa"/>
            <w:tcBorders>
              <w:top w:val="nil"/>
              <w:left w:val="nil"/>
              <w:bottom w:val="nil"/>
              <w:right w:val="nil"/>
            </w:tcBorders>
            <w:shd w:val="clear" w:color="auto" w:fill="auto"/>
            <w:noWrap/>
            <w:vAlign w:val="bottom"/>
            <w:hideMark/>
          </w:tcPr>
          <w:p w14:paraId="3A25E4C2" w14:textId="33FA9B88" w:rsidR="00895A1D" w:rsidRPr="00442577" w:rsidRDefault="00895A1D" w:rsidP="00895A1D">
            <w:pPr>
              <w:jc w:val="right"/>
              <w:rPr>
                <w:sz w:val="17"/>
                <w:szCs w:val="17"/>
              </w:rPr>
            </w:pPr>
            <w:r w:rsidRPr="00442577">
              <w:rPr>
                <w:sz w:val="17"/>
                <w:szCs w:val="17"/>
              </w:rPr>
              <w:t>160</w:t>
            </w:r>
          </w:p>
        </w:tc>
        <w:tc>
          <w:tcPr>
            <w:tcW w:w="2043" w:type="dxa"/>
            <w:tcBorders>
              <w:top w:val="nil"/>
              <w:left w:val="nil"/>
              <w:bottom w:val="nil"/>
              <w:right w:val="nil"/>
            </w:tcBorders>
            <w:shd w:val="clear" w:color="auto" w:fill="auto"/>
            <w:noWrap/>
            <w:vAlign w:val="bottom"/>
            <w:hideMark/>
          </w:tcPr>
          <w:p w14:paraId="5AC5B872" w14:textId="5B406589" w:rsidR="00895A1D" w:rsidRPr="00442577" w:rsidRDefault="00895A1D" w:rsidP="00895A1D">
            <w:pPr>
              <w:jc w:val="right"/>
              <w:rPr>
                <w:sz w:val="17"/>
                <w:szCs w:val="17"/>
              </w:rPr>
            </w:pPr>
            <w:r w:rsidRPr="00442577">
              <w:rPr>
                <w:sz w:val="17"/>
                <w:szCs w:val="17"/>
              </w:rPr>
              <w:t>1,113</w:t>
            </w:r>
          </w:p>
        </w:tc>
        <w:tc>
          <w:tcPr>
            <w:tcW w:w="1292" w:type="dxa"/>
            <w:tcBorders>
              <w:top w:val="nil"/>
              <w:left w:val="nil"/>
              <w:bottom w:val="nil"/>
              <w:right w:val="nil"/>
            </w:tcBorders>
            <w:shd w:val="clear" w:color="auto" w:fill="auto"/>
            <w:noWrap/>
            <w:vAlign w:val="bottom"/>
            <w:hideMark/>
          </w:tcPr>
          <w:p w14:paraId="6E41E2AD" w14:textId="77FB431F" w:rsidR="00895A1D" w:rsidRPr="00442577" w:rsidRDefault="00895A1D" w:rsidP="00895A1D">
            <w:pPr>
              <w:jc w:val="right"/>
              <w:rPr>
                <w:sz w:val="17"/>
                <w:szCs w:val="17"/>
              </w:rPr>
            </w:pPr>
            <w:r w:rsidRPr="00442577">
              <w:rPr>
                <w:sz w:val="17"/>
                <w:szCs w:val="17"/>
              </w:rPr>
              <w:t>6.9</w:t>
            </w:r>
          </w:p>
        </w:tc>
      </w:tr>
      <w:tr w:rsidR="00F033BB" w:rsidRPr="00442577" w14:paraId="125CA5F7" w14:textId="77777777" w:rsidTr="00442577">
        <w:trPr>
          <w:trHeight w:val="53"/>
        </w:trPr>
        <w:tc>
          <w:tcPr>
            <w:tcW w:w="1798" w:type="dxa"/>
            <w:tcBorders>
              <w:top w:val="nil"/>
              <w:left w:val="nil"/>
              <w:bottom w:val="nil"/>
            </w:tcBorders>
            <w:shd w:val="clear" w:color="auto" w:fill="auto"/>
            <w:noWrap/>
            <w:vAlign w:val="bottom"/>
            <w:hideMark/>
          </w:tcPr>
          <w:p w14:paraId="0EBF5FE5" w14:textId="77777777" w:rsidR="00895A1D" w:rsidRPr="00442577" w:rsidRDefault="00895A1D" w:rsidP="00895A1D">
            <w:pPr>
              <w:rPr>
                <w:sz w:val="17"/>
                <w:szCs w:val="17"/>
              </w:rPr>
            </w:pPr>
            <w:r w:rsidRPr="00442577">
              <w:rPr>
                <w:sz w:val="17"/>
                <w:szCs w:val="17"/>
              </w:rPr>
              <w:t>Songwe</w:t>
            </w:r>
          </w:p>
        </w:tc>
        <w:tc>
          <w:tcPr>
            <w:tcW w:w="1732" w:type="dxa"/>
            <w:tcBorders>
              <w:top w:val="nil"/>
              <w:bottom w:val="nil"/>
              <w:right w:val="nil"/>
            </w:tcBorders>
            <w:shd w:val="clear" w:color="auto" w:fill="auto"/>
            <w:noWrap/>
            <w:vAlign w:val="bottom"/>
            <w:hideMark/>
          </w:tcPr>
          <w:p w14:paraId="5ECE9228" w14:textId="41009030" w:rsidR="00895A1D" w:rsidRPr="00442577" w:rsidRDefault="00895A1D" w:rsidP="00895A1D">
            <w:pPr>
              <w:jc w:val="right"/>
              <w:rPr>
                <w:sz w:val="17"/>
                <w:szCs w:val="17"/>
              </w:rPr>
            </w:pPr>
            <w:r w:rsidRPr="00442577">
              <w:rPr>
                <w:sz w:val="17"/>
                <w:szCs w:val="17"/>
              </w:rPr>
              <w:t>-</w:t>
            </w:r>
          </w:p>
        </w:tc>
        <w:tc>
          <w:tcPr>
            <w:tcW w:w="1770" w:type="dxa"/>
            <w:tcBorders>
              <w:top w:val="nil"/>
              <w:left w:val="nil"/>
              <w:bottom w:val="nil"/>
              <w:right w:val="nil"/>
            </w:tcBorders>
            <w:shd w:val="clear" w:color="auto" w:fill="auto"/>
            <w:noWrap/>
            <w:vAlign w:val="bottom"/>
            <w:hideMark/>
          </w:tcPr>
          <w:p w14:paraId="35C9EAB0" w14:textId="4D3B960D" w:rsidR="00895A1D" w:rsidRPr="00442577" w:rsidRDefault="00895A1D" w:rsidP="00895A1D">
            <w:pPr>
              <w:jc w:val="right"/>
              <w:rPr>
                <w:sz w:val="17"/>
                <w:szCs w:val="17"/>
              </w:rPr>
            </w:pPr>
            <w:r w:rsidRPr="00442577">
              <w:rPr>
                <w:sz w:val="17"/>
                <w:szCs w:val="17"/>
              </w:rPr>
              <w:t>-</w:t>
            </w:r>
          </w:p>
        </w:tc>
        <w:tc>
          <w:tcPr>
            <w:tcW w:w="2043" w:type="dxa"/>
            <w:tcBorders>
              <w:top w:val="nil"/>
              <w:left w:val="nil"/>
              <w:bottom w:val="nil"/>
              <w:right w:val="nil"/>
            </w:tcBorders>
            <w:shd w:val="clear" w:color="auto" w:fill="auto"/>
            <w:noWrap/>
            <w:vAlign w:val="bottom"/>
            <w:hideMark/>
          </w:tcPr>
          <w:p w14:paraId="1E3D39D5" w14:textId="30C0E069" w:rsidR="00895A1D" w:rsidRPr="00442577" w:rsidRDefault="00895A1D" w:rsidP="00895A1D">
            <w:pPr>
              <w:jc w:val="right"/>
              <w:rPr>
                <w:sz w:val="17"/>
                <w:szCs w:val="17"/>
              </w:rPr>
            </w:pPr>
            <w:r w:rsidRPr="00442577">
              <w:rPr>
                <w:sz w:val="17"/>
                <w:szCs w:val="17"/>
              </w:rPr>
              <w:t>-</w:t>
            </w:r>
          </w:p>
        </w:tc>
        <w:tc>
          <w:tcPr>
            <w:tcW w:w="1292" w:type="dxa"/>
            <w:tcBorders>
              <w:top w:val="nil"/>
              <w:left w:val="nil"/>
              <w:bottom w:val="nil"/>
              <w:right w:val="nil"/>
            </w:tcBorders>
            <w:shd w:val="clear" w:color="auto" w:fill="auto"/>
            <w:noWrap/>
            <w:vAlign w:val="bottom"/>
            <w:hideMark/>
          </w:tcPr>
          <w:p w14:paraId="2DE05654" w14:textId="002F2577" w:rsidR="00895A1D" w:rsidRPr="00442577" w:rsidRDefault="00895A1D" w:rsidP="00895A1D">
            <w:pPr>
              <w:jc w:val="right"/>
              <w:rPr>
                <w:sz w:val="17"/>
                <w:szCs w:val="17"/>
              </w:rPr>
            </w:pPr>
            <w:r w:rsidRPr="00442577">
              <w:rPr>
                <w:sz w:val="17"/>
                <w:szCs w:val="17"/>
              </w:rPr>
              <w:t>-</w:t>
            </w:r>
          </w:p>
        </w:tc>
      </w:tr>
      <w:tr w:rsidR="00F033BB" w:rsidRPr="00442577" w14:paraId="04BCEDD7" w14:textId="77777777" w:rsidTr="00442577">
        <w:trPr>
          <w:trHeight w:val="53"/>
        </w:trPr>
        <w:tc>
          <w:tcPr>
            <w:tcW w:w="1798" w:type="dxa"/>
            <w:tcBorders>
              <w:top w:val="single" w:sz="4" w:space="0" w:color="auto"/>
              <w:left w:val="nil"/>
              <w:bottom w:val="single" w:sz="4" w:space="0" w:color="auto"/>
            </w:tcBorders>
            <w:shd w:val="clear" w:color="auto" w:fill="E2EFD9" w:themeFill="accent6" w:themeFillTint="33"/>
            <w:noWrap/>
            <w:vAlign w:val="bottom"/>
            <w:hideMark/>
          </w:tcPr>
          <w:p w14:paraId="0757B938" w14:textId="3331AEEB" w:rsidR="00895A1D" w:rsidRPr="00442577" w:rsidRDefault="00EA1552" w:rsidP="00895A1D">
            <w:pPr>
              <w:rPr>
                <w:b/>
                <w:bCs/>
                <w:sz w:val="17"/>
                <w:szCs w:val="17"/>
              </w:rPr>
            </w:pPr>
            <w:r w:rsidRPr="00442577">
              <w:rPr>
                <w:b/>
                <w:bCs/>
                <w:sz w:val="17"/>
                <w:szCs w:val="17"/>
              </w:rPr>
              <w:t>Mainland Tanzania</w:t>
            </w:r>
          </w:p>
        </w:tc>
        <w:tc>
          <w:tcPr>
            <w:tcW w:w="1732" w:type="dxa"/>
            <w:tcBorders>
              <w:top w:val="single" w:sz="4" w:space="0" w:color="auto"/>
              <w:bottom w:val="single" w:sz="4" w:space="0" w:color="auto"/>
              <w:right w:val="nil"/>
            </w:tcBorders>
            <w:shd w:val="clear" w:color="auto" w:fill="E2EFD9" w:themeFill="accent6" w:themeFillTint="33"/>
            <w:noWrap/>
            <w:vAlign w:val="bottom"/>
            <w:hideMark/>
          </w:tcPr>
          <w:p w14:paraId="4B694D92" w14:textId="0D8A91FF" w:rsidR="00895A1D" w:rsidRPr="00442577" w:rsidRDefault="00895A1D" w:rsidP="00895A1D">
            <w:pPr>
              <w:jc w:val="right"/>
              <w:rPr>
                <w:b/>
                <w:bCs/>
                <w:sz w:val="17"/>
                <w:szCs w:val="17"/>
              </w:rPr>
            </w:pPr>
            <w:r w:rsidRPr="00442577">
              <w:rPr>
                <w:b/>
                <w:bCs/>
                <w:sz w:val="17"/>
                <w:szCs w:val="17"/>
              </w:rPr>
              <w:t>4,482</w:t>
            </w:r>
          </w:p>
        </w:tc>
        <w:tc>
          <w:tcPr>
            <w:tcW w:w="1770" w:type="dxa"/>
            <w:tcBorders>
              <w:top w:val="single" w:sz="4" w:space="0" w:color="auto"/>
              <w:left w:val="nil"/>
              <w:bottom w:val="single" w:sz="4" w:space="0" w:color="auto"/>
              <w:right w:val="nil"/>
            </w:tcBorders>
            <w:shd w:val="clear" w:color="auto" w:fill="E2EFD9" w:themeFill="accent6" w:themeFillTint="33"/>
            <w:noWrap/>
            <w:vAlign w:val="bottom"/>
            <w:hideMark/>
          </w:tcPr>
          <w:p w14:paraId="21D1A4AB" w14:textId="2B63EB58" w:rsidR="00895A1D" w:rsidRPr="00442577" w:rsidRDefault="00895A1D" w:rsidP="00895A1D">
            <w:pPr>
              <w:jc w:val="right"/>
              <w:rPr>
                <w:b/>
                <w:bCs/>
                <w:sz w:val="17"/>
                <w:szCs w:val="17"/>
              </w:rPr>
            </w:pPr>
            <w:r w:rsidRPr="00442577">
              <w:rPr>
                <w:b/>
                <w:bCs/>
                <w:sz w:val="17"/>
                <w:szCs w:val="17"/>
              </w:rPr>
              <w:t>2,809</w:t>
            </w:r>
          </w:p>
        </w:tc>
        <w:tc>
          <w:tcPr>
            <w:tcW w:w="2043" w:type="dxa"/>
            <w:tcBorders>
              <w:top w:val="single" w:sz="4" w:space="0" w:color="auto"/>
              <w:left w:val="nil"/>
              <w:bottom w:val="single" w:sz="4" w:space="0" w:color="auto"/>
              <w:right w:val="nil"/>
            </w:tcBorders>
            <w:shd w:val="clear" w:color="auto" w:fill="E2EFD9" w:themeFill="accent6" w:themeFillTint="33"/>
            <w:noWrap/>
            <w:vAlign w:val="bottom"/>
            <w:hideMark/>
          </w:tcPr>
          <w:p w14:paraId="02A70AAB" w14:textId="790F7FB7" w:rsidR="00895A1D" w:rsidRPr="00442577" w:rsidRDefault="00895A1D" w:rsidP="00895A1D">
            <w:pPr>
              <w:jc w:val="right"/>
              <w:rPr>
                <w:b/>
                <w:bCs/>
                <w:sz w:val="17"/>
                <w:szCs w:val="17"/>
              </w:rPr>
            </w:pPr>
            <w:r w:rsidRPr="00442577">
              <w:rPr>
                <w:b/>
                <w:bCs/>
                <w:sz w:val="17"/>
                <w:szCs w:val="17"/>
              </w:rPr>
              <w:t>35,154</w:t>
            </w:r>
          </w:p>
        </w:tc>
        <w:tc>
          <w:tcPr>
            <w:tcW w:w="1292" w:type="dxa"/>
            <w:tcBorders>
              <w:top w:val="single" w:sz="4" w:space="0" w:color="auto"/>
              <w:left w:val="nil"/>
              <w:bottom w:val="single" w:sz="4" w:space="0" w:color="auto"/>
              <w:right w:val="nil"/>
            </w:tcBorders>
            <w:shd w:val="clear" w:color="auto" w:fill="E2EFD9" w:themeFill="accent6" w:themeFillTint="33"/>
            <w:noWrap/>
            <w:vAlign w:val="bottom"/>
            <w:hideMark/>
          </w:tcPr>
          <w:p w14:paraId="5D50EDBA" w14:textId="395E6C37" w:rsidR="00895A1D" w:rsidRPr="00442577" w:rsidRDefault="00895A1D" w:rsidP="00895A1D">
            <w:pPr>
              <w:jc w:val="right"/>
              <w:rPr>
                <w:b/>
                <w:bCs/>
                <w:sz w:val="17"/>
                <w:szCs w:val="17"/>
              </w:rPr>
            </w:pPr>
            <w:r w:rsidRPr="00442577">
              <w:rPr>
                <w:b/>
                <w:bCs/>
                <w:sz w:val="17"/>
                <w:szCs w:val="17"/>
              </w:rPr>
              <w:t>12.5</w:t>
            </w:r>
          </w:p>
        </w:tc>
      </w:tr>
      <w:tr w:rsidR="00F033BB" w:rsidRPr="00442577" w14:paraId="5412D94F" w14:textId="77777777" w:rsidTr="00442577">
        <w:trPr>
          <w:trHeight w:val="53"/>
        </w:trPr>
        <w:tc>
          <w:tcPr>
            <w:tcW w:w="1798" w:type="dxa"/>
            <w:tcBorders>
              <w:top w:val="nil"/>
              <w:left w:val="nil"/>
              <w:bottom w:val="nil"/>
            </w:tcBorders>
            <w:shd w:val="clear" w:color="auto" w:fill="auto"/>
            <w:noWrap/>
            <w:vAlign w:val="bottom"/>
            <w:hideMark/>
          </w:tcPr>
          <w:p w14:paraId="5EFCFF7C" w14:textId="77777777" w:rsidR="00895A1D" w:rsidRPr="00442577" w:rsidRDefault="00895A1D" w:rsidP="00895A1D">
            <w:pPr>
              <w:rPr>
                <w:sz w:val="17"/>
                <w:szCs w:val="17"/>
              </w:rPr>
            </w:pPr>
            <w:r w:rsidRPr="00442577">
              <w:rPr>
                <w:sz w:val="17"/>
                <w:szCs w:val="17"/>
              </w:rPr>
              <w:t>Kaskazini Unguja</w:t>
            </w:r>
          </w:p>
        </w:tc>
        <w:tc>
          <w:tcPr>
            <w:tcW w:w="1732" w:type="dxa"/>
            <w:tcBorders>
              <w:top w:val="nil"/>
              <w:bottom w:val="nil"/>
              <w:right w:val="nil"/>
            </w:tcBorders>
            <w:shd w:val="clear" w:color="auto" w:fill="auto"/>
            <w:noWrap/>
            <w:vAlign w:val="bottom"/>
            <w:hideMark/>
          </w:tcPr>
          <w:p w14:paraId="2AE22299" w14:textId="68DF084B" w:rsidR="00895A1D" w:rsidRPr="00442577" w:rsidRDefault="00895A1D" w:rsidP="00895A1D">
            <w:pPr>
              <w:jc w:val="right"/>
              <w:rPr>
                <w:sz w:val="17"/>
                <w:szCs w:val="17"/>
              </w:rPr>
            </w:pPr>
            <w:r w:rsidRPr="00442577">
              <w:rPr>
                <w:sz w:val="17"/>
                <w:szCs w:val="17"/>
              </w:rPr>
              <w:t>-</w:t>
            </w:r>
          </w:p>
        </w:tc>
        <w:tc>
          <w:tcPr>
            <w:tcW w:w="1770" w:type="dxa"/>
            <w:tcBorders>
              <w:top w:val="nil"/>
              <w:left w:val="nil"/>
              <w:bottom w:val="nil"/>
              <w:right w:val="nil"/>
            </w:tcBorders>
            <w:shd w:val="clear" w:color="auto" w:fill="auto"/>
            <w:noWrap/>
            <w:vAlign w:val="bottom"/>
            <w:hideMark/>
          </w:tcPr>
          <w:p w14:paraId="4056064C" w14:textId="02CECC29" w:rsidR="00895A1D" w:rsidRPr="00442577" w:rsidRDefault="00895A1D" w:rsidP="00895A1D">
            <w:pPr>
              <w:jc w:val="right"/>
              <w:rPr>
                <w:sz w:val="17"/>
                <w:szCs w:val="17"/>
              </w:rPr>
            </w:pPr>
            <w:r w:rsidRPr="00442577">
              <w:rPr>
                <w:sz w:val="17"/>
                <w:szCs w:val="17"/>
              </w:rPr>
              <w:t>-</w:t>
            </w:r>
          </w:p>
        </w:tc>
        <w:tc>
          <w:tcPr>
            <w:tcW w:w="2043" w:type="dxa"/>
            <w:tcBorders>
              <w:top w:val="nil"/>
              <w:left w:val="nil"/>
              <w:bottom w:val="nil"/>
              <w:right w:val="nil"/>
            </w:tcBorders>
            <w:shd w:val="clear" w:color="auto" w:fill="auto"/>
            <w:noWrap/>
            <w:vAlign w:val="bottom"/>
            <w:hideMark/>
          </w:tcPr>
          <w:p w14:paraId="3F3C6CB9" w14:textId="5425995B" w:rsidR="00895A1D" w:rsidRPr="00442577" w:rsidRDefault="00895A1D" w:rsidP="00895A1D">
            <w:pPr>
              <w:jc w:val="right"/>
              <w:rPr>
                <w:sz w:val="17"/>
                <w:szCs w:val="17"/>
              </w:rPr>
            </w:pPr>
            <w:r w:rsidRPr="00442577">
              <w:rPr>
                <w:sz w:val="17"/>
                <w:szCs w:val="17"/>
              </w:rPr>
              <w:t>-</w:t>
            </w:r>
          </w:p>
        </w:tc>
        <w:tc>
          <w:tcPr>
            <w:tcW w:w="1292" w:type="dxa"/>
            <w:tcBorders>
              <w:top w:val="nil"/>
              <w:left w:val="nil"/>
              <w:bottom w:val="nil"/>
              <w:right w:val="nil"/>
            </w:tcBorders>
            <w:shd w:val="clear" w:color="auto" w:fill="auto"/>
            <w:noWrap/>
            <w:vAlign w:val="bottom"/>
            <w:hideMark/>
          </w:tcPr>
          <w:p w14:paraId="0C23CA41" w14:textId="5C79D8AF" w:rsidR="00895A1D" w:rsidRPr="00442577" w:rsidRDefault="00895A1D" w:rsidP="00895A1D">
            <w:pPr>
              <w:jc w:val="right"/>
              <w:rPr>
                <w:sz w:val="17"/>
                <w:szCs w:val="17"/>
              </w:rPr>
            </w:pPr>
            <w:r w:rsidRPr="00442577">
              <w:rPr>
                <w:sz w:val="17"/>
                <w:szCs w:val="17"/>
              </w:rPr>
              <w:t>-</w:t>
            </w:r>
          </w:p>
        </w:tc>
      </w:tr>
      <w:tr w:rsidR="00F033BB" w:rsidRPr="00442577" w14:paraId="02200C35" w14:textId="77777777" w:rsidTr="00442577">
        <w:trPr>
          <w:trHeight w:val="53"/>
        </w:trPr>
        <w:tc>
          <w:tcPr>
            <w:tcW w:w="1798" w:type="dxa"/>
            <w:tcBorders>
              <w:top w:val="nil"/>
              <w:left w:val="nil"/>
              <w:bottom w:val="nil"/>
            </w:tcBorders>
            <w:shd w:val="clear" w:color="auto" w:fill="auto"/>
            <w:noWrap/>
            <w:vAlign w:val="bottom"/>
            <w:hideMark/>
          </w:tcPr>
          <w:p w14:paraId="7227804A" w14:textId="77777777" w:rsidR="00895A1D" w:rsidRPr="00442577" w:rsidRDefault="00895A1D" w:rsidP="00895A1D">
            <w:pPr>
              <w:rPr>
                <w:sz w:val="17"/>
                <w:szCs w:val="17"/>
              </w:rPr>
            </w:pPr>
            <w:r w:rsidRPr="00442577">
              <w:rPr>
                <w:sz w:val="17"/>
                <w:szCs w:val="17"/>
              </w:rPr>
              <w:t>Kusini Unguja</w:t>
            </w:r>
          </w:p>
        </w:tc>
        <w:tc>
          <w:tcPr>
            <w:tcW w:w="1732" w:type="dxa"/>
            <w:tcBorders>
              <w:top w:val="nil"/>
              <w:bottom w:val="nil"/>
              <w:right w:val="nil"/>
            </w:tcBorders>
            <w:shd w:val="clear" w:color="auto" w:fill="auto"/>
            <w:noWrap/>
            <w:vAlign w:val="bottom"/>
            <w:hideMark/>
          </w:tcPr>
          <w:p w14:paraId="707199DB" w14:textId="7D6E513D" w:rsidR="00895A1D" w:rsidRPr="00442577" w:rsidRDefault="00895A1D" w:rsidP="00895A1D">
            <w:pPr>
              <w:jc w:val="right"/>
              <w:rPr>
                <w:sz w:val="17"/>
                <w:szCs w:val="17"/>
              </w:rPr>
            </w:pPr>
            <w:r w:rsidRPr="00442577">
              <w:rPr>
                <w:sz w:val="17"/>
                <w:szCs w:val="17"/>
              </w:rPr>
              <w:t>-</w:t>
            </w:r>
          </w:p>
        </w:tc>
        <w:tc>
          <w:tcPr>
            <w:tcW w:w="1770" w:type="dxa"/>
            <w:tcBorders>
              <w:top w:val="nil"/>
              <w:left w:val="nil"/>
              <w:bottom w:val="nil"/>
              <w:right w:val="nil"/>
            </w:tcBorders>
            <w:shd w:val="clear" w:color="auto" w:fill="auto"/>
            <w:noWrap/>
            <w:vAlign w:val="bottom"/>
            <w:hideMark/>
          </w:tcPr>
          <w:p w14:paraId="512853E1" w14:textId="145377B7" w:rsidR="00895A1D" w:rsidRPr="00442577" w:rsidRDefault="00895A1D" w:rsidP="00895A1D">
            <w:pPr>
              <w:jc w:val="right"/>
              <w:rPr>
                <w:sz w:val="17"/>
                <w:szCs w:val="17"/>
              </w:rPr>
            </w:pPr>
            <w:r w:rsidRPr="00442577">
              <w:rPr>
                <w:sz w:val="17"/>
                <w:szCs w:val="17"/>
              </w:rPr>
              <w:t>-</w:t>
            </w:r>
          </w:p>
        </w:tc>
        <w:tc>
          <w:tcPr>
            <w:tcW w:w="2043" w:type="dxa"/>
            <w:tcBorders>
              <w:top w:val="nil"/>
              <w:left w:val="nil"/>
              <w:bottom w:val="nil"/>
              <w:right w:val="nil"/>
            </w:tcBorders>
            <w:shd w:val="clear" w:color="auto" w:fill="auto"/>
            <w:noWrap/>
            <w:vAlign w:val="bottom"/>
            <w:hideMark/>
          </w:tcPr>
          <w:p w14:paraId="1326B92E" w14:textId="4C3AC9BC" w:rsidR="00895A1D" w:rsidRPr="00442577" w:rsidRDefault="00895A1D" w:rsidP="00895A1D">
            <w:pPr>
              <w:jc w:val="right"/>
              <w:rPr>
                <w:sz w:val="17"/>
                <w:szCs w:val="17"/>
              </w:rPr>
            </w:pPr>
            <w:r w:rsidRPr="00442577">
              <w:rPr>
                <w:sz w:val="17"/>
                <w:szCs w:val="17"/>
              </w:rPr>
              <w:t>-</w:t>
            </w:r>
          </w:p>
        </w:tc>
        <w:tc>
          <w:tcPr>
            <w:tcW w:w="1292" w:type="dxa"/>
            <w:tcBorders>
              <w:top w:val="nil"/>
              <w:left w:val="nil"/>
              <w:bottom w:val="nil"/>
              <w:right w:val="nil"/>
            </w:tcBorders>
            <w:shd w:val="clear" w:color="auto" w:fill="auto"/>
            <w:noWrap/>
            <w:vAlign w:val="bottom"/>
            <w:hideMark/>
          </w:tcPr>
          <w:p w14:paraId="4F9AD667" w14:textId="46EE74F3" w:rsidR="00895A1D" w:rsidRPr="00442577" w:rsidRDefault="00895A1D" w:rsidP="00895A1D">
            <w:pPr>
              <w:jc w:val="right"/>
              <w:rPr>
                <w:sz w:val="17"/>
                <w:szCs w:val="17"/>
              </w:rPr>
            </w:pPr>
            <w:r w:rsidRPr="00442577">
              <w:rPr>
                <w:sz w:val="17"/>
                <w:szCs w:val="17"/>
              </w:rPr>
              <w:t>-</w:t>
            </w:r>
          </w:p>
        </w:tc>
      </w:tr>
      <w:tr w:rsidR="00F033BB" w:rsidRPr="00442577" w14:paraId="74011622" w14:textId="77777777" w:rsidTr="00442577">
        <w:trPr>
          <w:trHeight w:val="53"/>
        </w:trPr>
        <w:tc>
          <w:tcPr>
            <w:tcW w:w="1798" w:type="dxa"/>
            <w:tcBorders>
              <w:top w:val="nil"/>
              <w:left w:val="nil"/>
              <w:bottom w:val="nil"/>
            </w:tcBorders>
            <w:shd w:val="clear" w:color="auto" w:fill="auto"/>
            <w:noWrap/>
            <w:vAlign w:val="bottom"/>
            <w:hideMark/>
          </w:tcPr>
          <w:p w14:paraId="2280F81D" w14:textId="77777777" w:rsidR="00895A1D" w:rsidRPr="00442577" w:rsidRDefault="00895A1D" w:rsidP="00895A1D">
            <w:pPr>
              <w:rPr>
                <w:sz w:val="17"/>
                <w:szCs w:val="17"/>
              </w:rPr>
            </w:pPr>
            <w:r w:rsidRPr="00442577">
              <w:rPr>
                <w:sz w:val="17"/>
                <w:szCs w:val="17"/>
              </w:rPr>
              <w:t>Mjini Magharibi</w:t>
            </w:r>
          </w:p>
        </w:tc>
        <w:tc>
          <w:tcPr>
            <w:tcW w:w="1732" w:type="dxa"/>
            <w:tcBorders>
              <w:top w:val="nil"/>
              <w:bottom w:val="nil"/>
              <w:right w:val="nil"/>
            </w:tcBorders>
            <w:shd w:val="clear" w:color="auto" w:fill="auto"/>
            <w:noWrap/>
            <w:vAlign w:val="bottom"/>
            <w:hideMark/>
          </w:tcPr>
          <w:p w14:paraId="48BB467B" w14:textId="12AA5291" w:rsidR="00895A1D" w:rsidRPr="00442577" w:rsidRDefault="00895A1D" w:rsidP="00895A1D">
            <w:pPr>
              <w:jc w:val="right"/>
              <w:rPr>
                <w:sz w:val="17"/>
                <w:szCs w:val="17"/>
              </w:rPr>
            </w:pPr>
            <w:r w:rsidRPr="00442577">
              <w:rPr>
                <w:sz w:val="17"/>
                <w:szCs w:val="17"/>
              </w:rPr>
              <w:t>2</w:t>
            </w:r>
          </w:p>
        </w:tc>
        <w:tc>
          <w:tcPr>
            <w:tcW w:w="1770" w:type="dxa"/>
            <w:tcBorders>
              <w:top w:val="nil"/>
              <w:left w:val="nil"/>
              <w:bottom w:val="nil"/>
              <w:right w:val="nil"/>
            </w:tcBorders>
            <w:shd w:val="clear" w:color="auto" w:fill="auto"/>
            <w:noWrap/>
            <w:vAlign w:val="bottom"/>
            <w:hideMark/>
          </w:tcPr>
          <w:p w14:paraId="538BB446" w14:textId="2A82BB6F" w:rsidR="00895A1D" w:rsidRPr="00442577" w:rsidRDefault="00895A1D" w:rsidP="00895A1D">
            <w:pPr>
              <w:jc w:val="right"/>
              <w:rPr>
                <w:sz w:val="17"/>
                <w:szCs w:val="17"/>
              </w:rPr>
            </w:pPr>
            <w:r w:rsidRPr="00442577">
              <w:rPr>
                <w:sz w:val="17"/>
                <w:szCs w:val="17"/>
              </w:rPr>
              <w:t>2</w:t>
            </w:r>
          </w:p>
        </w:tc>
        <w:tc>
          <w:tcPr>
            <w:tcW w:w="2043" w:type="dxa"/>
            <w:tcBorders>
              <w:top w:val="nil"/>
              <w:left w:val="nil"/>
              <w:bottom w:val="nil"/>
              <w:right w:val="nil"/>
            </w:tcBorders>
            <w:shd w:val="clear" w:color="auto" w:fill="auto"/>
            <w:noWrap/>
            <w:vAlign w:val="bottom"/>
            <w:hideMark/>
          </w:tcPr>
          <w:p w14:paraId="318FC83C" w14:textId="39A0D896" w:rsidR="00895A1D" w:rsidRPr="00442577" w:rsidRDefault="00895A1D" w:rsidP="00895A1D">
            <w:pPr>
              <w:jc w:val="right"/>
              <w:rPr>
                <w:sz w:val="17"/>
                <w:szCs w:val="17"/>
              </w:rPr>
            </w:pPr>
            <w:r w:rsidRPr="00442577">
              <w:rPr>
                <w:sz w:val="17"/>
                <w:szCs w:val="17"/>
              </w:rPr>
              <w:t>2</w:t>
            </w:r>
          </w:p>
        </w:tc>
        <w:tc>
          <w:tcPr>
            <w:tcW w:w="1292" w:type="dxa"/>
            <w:tcBorders>
              <w:top w:val="nil"/>
              <w:left w:val="nil"/>
              <w:bottom w:val="nil"/>
              <w:right w:val="nil"/>
            </w:tcBorders>
            <w:shd w:val="clear" w:color="auto" w:fill="auto"/>
            <w:noWrap/>
            <w:vAlign w:val="bottom"/>
            <w:hideMark/>
          </w:tcPr>
          <w:p w14:paraId="7401615D" w14:textId="588B1431" w:rsidR="00895A1D" w:rsidRPr="00442577" w:rsidRDefault="00895A1D" w:rsidP="00895A1D">
            <w:pPr>
              <w:jc w:val="right"/>
              <w:rPr>
                <w:sz w:val="17"/>
                <w:szCs w:val="17"/>
              </w:rPr>
            </w:pPr>
            <w:r w:rsidRPr="00442577">
              <w:rPr>
                <w:sz w:val="17"/>
                <w:szCs w:val="17"/>
              </w:rPr>
              <w:t>1.1</w:t>
            </w:r>
          </w:p>
        </w:tc>
      </w:tr>
      <w:tr w:rsidR="00F033BB" w:rsidRPr="00442577" w14:paraId="63A36B06" w14:textId="77777777" w:rsidTr="00442577">
        <w:trPr>
          <w:trHeight w:val="53"/>
        </w:trPr>
        <w:tc>
          <w:tcPr>
            <w:tcW w:w="1798" w:type="dxa"/>
            <w:tcBorders>
              <w:top w:val="nil"/>
              <w:left w:val="nil"/>
              <w:bottom w:val="nil"/>
            </w:tcBorders>
            <w:shd w:val="clear" w:color="auto" w:fill="auto"/>
            <w:noWrap/>
            <w:vAlign w:val="bottom"/>
            <w:hideMark/>
          </w:tcPr>
          <w:p w14:paraId="68BAFF2D" w14:textId="77777777" w:rsidR="00895A1D" w:rsidRPr="00442577" w:rsidRDefault="00895A1D" w:rsidP="00895A1D">
            <w:pPr>
              <w:rPr>
                <w:sz w:val="17"/>
                <w:szCs w:val="17"/>
              </w:rPr>
            </w:pPr>
            <w:r w:rsidRPr="00442577">
              <w:rPr>
                <w:sz w:val="17"/>
                <w:szCs w:val="17"/>
              </w:rPr>
              <w:t>Kaskazini Pemba</w:t>
            </w:r>
          </w:p>
        </w:tc>
        <w:tc>
          <w:tcPr>
            <w:tcW w:w="1732" w:type="dxa"/>
            <w:tcBorders>
              <w:top w:val="nil"/>
              <w:bottom w:val="nil"/>
              <w:right w:val="nil"/>
            </w:tcBorders>
            <w:shd w:val="clear" w:color="auto" w:fill="auto"/>
            <w:noWrap/>
            <w:vAlign w:val="bottom"/>
            <w:hideMark/>
          </w:tcPr>
          <w:p w14:paraId="68DC3FAE" w14:textId="130ABFF9" w:rsidR="00895A1D" w:rsidRPr="00442577" w:rsidRDefault="00895A1D" w:rsidP="00895A1D">
            <w:pPr>
              <w:jc w:val="right"/>
              <w:rPr>
                <w:sz w:val="17"/>
                <w:szCs w:val="17"/>
              </w:rPr>
            </w:pPr>
            <w:r w:rsidRPr="00442577">
              <w:rPr>
                <w:sz w:val="17"/>
                <w:szCs w:val="17"/>
              </w:rPr>
              <w:t>-</w:t>
            </w:r>
          </w:p>
        </w:tc>
        <w:tc>
          <w:tcPr>
            <w:tcW w:w="1770" w:type="dxa"/>
            <w:tcBorders>
              <w:top w:val="nil"/>
              <w:left w:val="nil"/>
              <w:bottom w:val="nil"/>
              <w:right w:val="nil"/>
            </w:tcBorders>
            <w:shd w:val="clear" w:color="auto" w:fill="auto"/>
            <w:noWrap/>
            <w:vAlign w:val="bottom"/>
            <w:hideMark/>
          </w:tcPr>
          <w:p w14:paraId="6483EA59" w14:textId="4D5A63D2" w:rsidR="00895A1D" w:rsidRPr="00442577" w:rsidRDefault="00895A1D" w:rsidP="00895A1D">
            <w:pPr>
              <w:jc w:val="right"/>
              <w:rPr>
                <w:sz w:val="17"/>
                <w:szCs w:val="17"/>
              </w:rPr>
            </w:pPr>
            <w:r w:rsidRPr="00442577">
              <w:rPr>
                <w:sz w:val="17"/>
                <w:szCs w:val="17"/>
              </w:rPr>
              <w:t>-</w:t>
            </w:r>
          </w:p>
        </w:tc>
        <w:tc>
          <w:tcPr>
            <w:tcW w:w="2043" w:type="dxa"/>
            <w:tcBorders>
              <w:top w:val="nil"/>
              <w:left w:val="nil"/>
              <w:bottom w:val="nil"/>
              <w:right w:val="nil"/>
            </w:tcBorders>
            <w:shd w:val="clear" w:color="auto" w:fill="auto"/>
            <w:noWrap/>
            <w:vAlign w:val="bottom"/>
            <w:hideMark/>
          </w:tcPr>
          <w:p w14:paraId="33C24701" w14:textId="650CAA23" w:rsidR="00895A1D" w:rsidRPr="00442577" w:rsidRDefault="00895A1D" w:rsidP="00895A1D">
            <w:pPr>
              <w:jc w:val="right"/>
              <w:rPr>
                <w:sz w:val="17"/>
                <w:szCs w:val="17"/>
              </w:rPr>
            </w:pPr>
            <w:r w:rsidRPr="00442577">
              <w:rPr>
                <w:sz w:val="17"/>
                <w:szCs w:val="17"/>
              </w:rPr>
              <w:t>-</w:t>
            </w:r>
          </w:p>
        </w:tc>
        <w:tc>
          <w:tcPr>
            <w:tcW w:w="1292" w:type="dxa"/>
            <w:tcBorders>
              <w:top w:val="nil"/>
              <w:left w:val="nil"/>
              <w:bottom w:val="nil"/>
              <w:right w:val="nil"/>
            </w:tcBorders>
            <w:shd w:val="clear" w:color="auto" w:fill="auto"/>
            <w:noWrap/>
            <w:vAlign w:val="bottom"/>
            <w:hideMark/>
          </w:tcPr>
          <w:p w14:paraId="3F2AAFB4" w14:textId="2A616119" w:rsidR="00895A1D" w:rsidRPr="00442577" w:rsidRDefault="00895A1D" w:rsidP="00895A1D">
            <w:pPr>
              <w:jc w:val="right"/>
              <w:rPr>
                <w:sz w:val="17"/>
                <w:szCs w:val="17"/>
              </w:rPr>
            </w:pPr>
            <w:r w:rsidRPr="00442577">
              <w:rPr>
                <w:sz w:val="17"/>
                <w:szCs w:val="17"/>
              </w:rPr>
              <w:t>-</w:t>
            </w:r>
          </w:p>
        </w:tc>
      </w:tr>
      <w:tr w:rsidR="00F033BB" w:rsidRPr="00442577" w14:paraId="0FAEFDE5" w14:textId="77777777" w:rsidTr="00442577">
        <w:trPr>
          <w:trHeight w:val="53"/>
        </w:trPr>
        <w:tc>
          <w:tcPr>
            <w:tcW w:w="1798" w:type="dxa"/>
            <w:tcBorders>
              <w:top w:val="nil"/>
              <w:left w:val="nil"/>
              <w:bottom w:val="nil"/>
            </w:tcBorders>
            <w:shd w:val="clear" w:color="auto" w:fill="auto"/>
            <w:noWrap/>
            <w:vAlign w:val="bottom"/>
            <w:hideMark/>
          </w:tcPr>
          <w:p w14:paraId="0F4DAED5" w14:textId="19EE6D9A" w:rsidR="00895A1D" w:rsidRPr="00442577" w:rsidRDefault="00895A1D" w:rsidP="00895A1D">
            <w:pPr>
              <w:rPr>
                <w:sz w:val="17"/>
                <w:szCs w:val="17"/>
              </w:rPr>
            </w:pPr>
            <w:r w:rsidRPr="00442577">
              <w:rPr>
                <w:sz w:val="17"/>
                <w:szCs w:val="17"/>
              </w:rPr>
              <w:t>Kusini Pemba</w:t>
            </w:r>
          </w:p>
        </w:tc>
        <w:tc>
          <w:tcPr>
            <w:tcW w:w="1732" w:type="dxa"/>
            <w:tcBorders>
              <w:top w:val="nil"/>
              <w:bottom w:val="nil"/>
              <w:right w:val="nil"/>
            </w:tcBorders>
            <w:shd w:val="clear" w:color="auto" w:fill="auto"/>
            <w:noWrap/>
            <w:vAlign w:val="bottom"/>
            <w:hideMark/>
          </w:tcPr>
          <w:p w14:paraId="3238D934" w14:textId="70AB9279" w:rsidR="00895A1D" w:rsidRPr="00442577" w:rsidRDefault="00895A1D" w:rsidP="00895A1D">
            <w:pPr>
              <w:jc w:val="right"/>
              <w:rPr>
                <w:sz w:val="17"/>
                <w:szCs w:val="17"/>
              </w:rPr>
            </w:pPr>
            <w:r w:rsidRPr="00442577">
              <w:rPr>
                <w:sz w:val="17"/>
                <w:szCs w:val="17"/>
              </w:rPr>
              <w:t>-</w:t>
            </w:r>
          </w:p>
        </w:tc>
        <w:tc>
          <w:tcPr>
            <w:tcW w:w="1770" w:type="dxa"/>
            <w:tcBorders>
              <w:top w:val="nil"/>
              <w:left w:val="nil"/>
              <w:bottom w:val="nil"/>
              <w:right w:val="nil"/>
            </w:tcBorders>
            <w:shd w:val="clear" w:color="auto" w:fill="auto"/>
            <w:noWrap/>
            <w:vAlign w:val="bottom"/>
            <w:hideMark/>
          </w:tcPr>
          <w:p w14:paraId="49F15FBB" w14:textId="224485C9" w:rsidR="00895A1D" w:rsidRPr="00442577" w:rsidRDefault="00895A1D" w:rsidP="00895A1D">
            <w:pPr>
              <w:jc w:val="right"/>
              <w:rPr>
                <w:sz w:val="17"/>
                <w:szCs w:val="17"/>
              </w:rPr>
            </w:pPr>
            <w:r w:rsidRPr="00442577">
              <w:rPr>
                <w:sz w:val="17"/>
                <w:szCs w:val="17"/>
              </w:rPr>
              <w:t>-</w:t>
            </w:r>
          </w:p>
        </w:tc>
        <w:tc>
          <w:tcPr>
            <w:tcW w:w="2043" w:type="dxa"/>
            <w:tcBorders>
              <w:top w:val="nil"/>
              <w:left w:val="nil"/>
              <w:bottom w:val="nil"/>
              <w:right w:val="nil"/>
            </w:tcBorders>
            <w:shd w:val="clear" w:color="auto" w:fill="auto"/>
            <w:noWrap/>
            <w:vAlign w:val="bottom"/>
            <w:hideMark/>
          </w:tcPr>
          <w:p w14:paraId="4BF2597B" w14:textId="0E3C37C9" w:rsidR="00895A1D" w:rsidRPr="00442577" w:rsidRDefault="00895A1D" w:rsidP="00895A1D">
            <w:pPr>
              <w:jc w:val="right"/>
              <w:rPr>
                <w:sz w:val="17"/>
                <w:szCs w:val="17"/>
              </w:rPr>
            </w:pPr>
            <w:r w:rsidRPr="00442577">
              <w:rPr>
                <w:sz w:val="17"/>
                <w:szCs w:val="17"/>
              </w:rPr>
              <w:t>-</w:t>
            </w:r>
          </w:p>
        </w:tc>
        <w:tc>
          <w:tcPr>
            <w:tcW w:w="1292" w:type="dxa"/>
            <w:tcBorders>
              <w:top w:val="nil"/>
              <w:left w:val="nil"/>
              <w:bottom w:val="nil"/>
              <w:right w:val="nil"/>
            </w:tcBorders>
            <w:shd w:val="clear" w:color="auto" w:fill="auto"/>
            <w:noWrap/>
            <w:vAlign w:val="bottom"/>
            <w:hideMark/>
          </w:tcPr>
          <w:p w14:paraId="2B5FA7A4" w14:textId="03400A55" w:rsidR="00895A1D" w:rsidRPr="00442577" w:rsidRDefault="00895A1D" w:rsidP="00895A1D">
            <w:pPr>
              <w:jc w:val="right"/>
              <w:rPr>
                <w:sz w:val="17"/>
                <w:szCs w:val="17"/>
              </w:rPr>
            </w:pPr>
            <w:r w:rsidRPr="00442577">
              <w:rPr>
                <w:sz w:val="17"/>
                <w:szCs w:val="17"/>
              </w:rPr>
              <w:t>-</w:t>
            </w:r>
          </w:p>
        </w:tc>
      </w:tr>
      <w:tr w:rsidR="00F033BB" w:rsidRPr="00442577" w14:paraId="38A8A405" w14:textId="77777777" w:rsidTr="00442577">
        <w:trPr>
          <w:trHeight w:val="53"/>
        </w:trPr>
        <w:tc>
          <w:tcPr>
            <w:tcW w:w="1798" w:type="dxa"/>
            <w:tcBorders>
              <w:top w:val="single" w:sz="4" w:space="0" w:color="auto"/>
              <w:left w:val="nil"/>
              <w:bottom w:val="single" w:sz="4" w:space="0" w:color="auto"/>
            </w:tcBorders>
            <w:shd w:val="clear" w:color="auto" w:fill="E2EFD9" w:themeFill="accent6" w:themeFillTint="33"/>
            <w:noWrap/>
            <w:vAlign w:val="bottom"/>
            <w:hideMark/>
          </w:tcPr>
          <w:p w14:paraId="474F0053" w14:textId="77777777" w:rsidR="00895A1D" w:rsidRPr="00442577" w:rsidRDefault="00895A1D" w:rsidP="00895A1D">
            <w:pPr>
              <w:rPr>
                <w:b/>
                <w:bCs/>
                <w:sz w:val="17"/>
                <w:szCs w:val="17"/>
              </w:rPr>
            </w:pPr>
            <w:r w:rsidRPr="00442577">
              <w:rPr>
                <w:b/>
                <w:bCs/>
                <w:sz w:val="17"/>
                <w:szCs w:val="17"/>
              </w:rPr>
              <w:t>Tanzania Zanzibar</w:t>
            </w:r>
          </w:p>
        </w:tc>
        <w:tc>
          <w:tcPr>
            <w:tcW w:w="1732" w:type="dxa"/>
            <w:tcBorders>
              <w:top w:val="single" w:sz="4" w:space="0" w:color="auto"/>
              <w:bottom w:val="single" w:sz="4" w:space="0" w:color="auto"/>
              <w:right w:val="nil"/>
            </w:tcBorders>
            <w:shd w:val="clear" w:color="auto" w:fill="E2EFD9" w:themeFill="accent6" w:themeFillTint="33"/>
            <w:noWrap/>
            <w:vAlign w:val="bottom"/>
            <w:hideMark/>
          </w:tcPr>
          <w:p w14:paraId="3CCC4A97" w14:textId="06BB868D" w:rsidR="00895A1D" w:rsidRPr="00442577" w:rsidRDefault="00895A1D" w:rsidP="009F18D5">
            <w:pPr>
              <w:jc w:val="right"/>
              <w:rPr>
                <w:b/>
                <w:bCs/>
                <w:sz w:val="17"/>
                <w:szCs w:val="17"/>
              </w:rPr>
            </w:pPr>
            <w:r w:rsidRPr="00442577">
              <w:rPr>
                <w:b/>
                <w:bCs/>
                <w:sz w:val="17"/>
                <w:szCs w:val="17"/>
              </w:rPr>
              <w:t>2</w:t>
            </w:r>
          </w:p>
        </w:tc>
        <w:tc>
          <w:tcPr>
            <w:tcW w:w="1770" w:type="dxa"/>
            <w:tcBorders>
              <w:top w:val="single" w:sz="4" w:space="0" w:color="auto"/>
              <w:left w:val="nil"/>
              <w:bottom w:val="single" w:sz="4" w:space="0" w:color="auto"/>
              <w:right w:val="nil"/>
            </w:tcBorders>
            <w:shd w:val="clear" w:color="auto" w:fill="E2EFD9" w:themeFill="accent6" w:themeFillTint="33"/>
            <w:noWrap/>
            <w:vAlign w:val="bottom"/>
            <w:hideMark/>
          </w:tcPr>
          <w:p w14:paraId="045665EA" w14:textId="33F3BD98" w:rsidR="00895A1D" w:rsidRPr="00442577" w:rsidRDefault="00895A1D" w:rsidP="009F18D5">
            <w:pPr>
              <w:jc w:val="right"/>
              <w:rPr>
                <w:b/>
                <w:bCs/>
                <w:sz w:val="17"/>
                <w:szCs w:val="17"/>
              </w:rPr>
            </w:pPr>
            <w:r w:rsidRPr="00442577">
              <w:rPr>
                <w:b/>
                <w:bCs/>
                <w:sz w:val="17"/>
                <w:szCs w:val="17"/>
              </w:rPr>
              <w:t>2</w:t>
            </w:r>
          </w:p>
        </w:tc>
        <w:tc>
          <w:tcPr>
            <w:tcW w:w="2043" w:type="dxa"/>
            <w:tcBorders>
              <w:top w:val="single" w:sz="4" w:space="0" w:color="auto"/>
              <w:left w:val="nil"/>
              <w:bottom w:val="single" w:sz="4" w:space="0" w:color="auto"/>
              <w:right w:val="nil"/>
            </w:tcBorders>
            <w:shd w:val="clear" w:color="auto" w:fill="E2EFD9" w:themeFill="accent6" w:themeFillTint="33"/>
            <w:noWrap/>
            <w:vAlign w:val="bottom"/>
            <w:hideMark/>
          </w:tcPr>
          <w:p w14:paraId="01907A6F" w14:textId="7DDDD500" w:rsidR="00895A1D" w:rsidRPr="00442577" w:rsidRDefault="00895A1D" w:rsidP="009F18D5">
            <w:pPr>
              <w:jc w:val="right"/>
              <w:rPr>
                <w:b/>
                <w:bCs/>
                <w:sz w:val="17"/>
                <w:szCs w:val="17"/>
              </w:rPr>
            </w:pPr>
            <w:r w:rsidRPr="00442577">
              <w:rPr>
                <w:b/>
                <w:bCs/>
                <w:sz w:val="17"/>
                <w:szCs w:val="17"/>
              </w:rPr>
              <w:t>2</w:t>
            </w:r>
          </w:p>
        </w:tc>
        <w:tc>
          <w:tcPr>
            <w:tcW w:w="1292" w:type="dxa"/>
            <w:tcBorders>
              <w:top w:val="single" w:sz="4" w:space="0" w:color="auto"/>
              <w:left w:val="nil"/>
              <w:bottom w:val="single" w:sz="4" w:space="0" w:color="auto"/>
              <w:right w:val="nil"/>
            </w:tcBorders>
            <w:shd w:val="clear" w:color="auto" w:fill="E2EFD9" w:themeFill="accent6" w:themeFillTint="33"/>
            <w:noWrap/>
            <w:vAlign w:val="bottom"/>
            <w:hideMark/>
          </w:tcPr>
          <w:p w14:paraId="1EB59F30" w14:textId="61FE50D7" w:rsidR="00895A1D" w:rsidRPr="00442577" w:rsidRDefault="00895A1D" w:rsidP="009F18D5">
            <w:pPr>
              <w:jc w:val="right"/>
              <w:rPr>
                <w:b/>
                <w:bCs/>
                <w:sz w:val="17"/>
                <w:szCs w:val="17"/>
              </w:rPr>
            </w:pPr>
            <w:r w:rsidRPr="00442577">
              <w:rPr>
                <w:b/>
                <w:bCs/>
                <w:sz w:val="17"/>
                <w:szCs w:val="17"/>
              </w:rPr>
              <w:t>1.1</w:t>
            </w:r>
          </w:p>
        </w:tc>
      </w:tr>
      <w:tr w:rsidR="00F033BB" w:rsidRPr="00442577" w14:paraId="57153885" w14:textId="77777777" w:rsidTr="00442577">
        <w:trPr>
          <w:trHeight w:val="53"/>
        </w:trPr>
        <w:tc>
          <w:tcPr>
            <w:tcW w:w="1798" w:type="dxa"/>
            <w:tcBorders>
              <w:top w:val="nil"/>
              <w:left w:val="nil"/>
              <w:bottom w:val="single" w:sz="4" w:space="0" w:color="auto"/>
            </w:tcBorders>
            <w:shd w:val="clear" w:color="auto" w:fill="E2EFD9" w:themeFill="accent6" w:themeFillTint="33"/>
            <w:noWrap/>
            <w:vAlign w:val="bottom"/>
            <w:hideMark/>
          </w:tcPr>
          <w:p w14:paraId="38A91FE8" w14:textId="77777777" w:rsidR="00895A1D" w:rsidRPr="00442577" w:rsidRDefault="00895A1D" w:rsidP="00895A1D">
            <w:pPr>
              <w:rPr>
                <w:b/>
                <w:bCs/>
                <w:sz w:val="17"/>
                <w:szCs w:val="17"/>
              </w:rPr>
            </w:pPr>
            <w:r w:rsidRPr="00442577">
              <w:rPr>
                <w:b/>
                <w:bCs/>
                <w:sz w:val="17"/>
                <w:szCs w:val="17"/>
              </w:rPr>
              <w:t>Tanzania</w:t>
            </w:r>
          </w:p>
        </w:tc>
        <w:tc>
          <w:tcPr>
            <w:tcW w:w="1732" w:type="dxa"/>
            <w:tcBorders>
              <w:top w:val="nil"/>
              <w:bottom w:val="single" w:sz="4" w:space="0" w:color="auto"/>
              <w:right w:val="nil"/>
            </w:tcBorders>
            <w:shd w:val="clear" w:color="auto" w:fill="E2EFD9" w:themeFill="accent6" w:themeFillTint="33"/>
            <w:noWrap/>
            <w:vAlign w:val="bottom"/>
            <w:hideMark/>
          </w:tcPr>
          <w:p w14:paraId="4B39DF66" w14:textId="11CC794C" w:rsidR="00895A1D" w:rsidRPr="00442577" w:rsidRDefault="00895A1D" w:rsidP="009F18D5">
            <w:pPr>
              <w:jc w:val="right"/>
              <w:rPr>
                <w:b/>
                <w:bCs/>
                <w:sz w:val="17"/>
                <w:szCs w:val="17"/>
              </w:rPr>
            </w:pPr>
            <w:r w:rsidRPr="00442577">
              <w:rPr>
                <w:b/>
                <w:bCs/>
                <w:sz w:val="17"/>
                <w:szCs w:val="17"/>
              </w:rPr>
              <w:t>4,484</w:t>
            </w:r>
          </w:p>
        </w:tc>
        <w:tc>
          <w:tcPr>
            <w:tcW w:w="1770" w:type="dxa"/>
            <w:tcBorders>
              <w:top w:val="nil"/>
              <w:left w:val="nil"/>
              <w:bottom w:val="single" w:sz="4" w:space="0" w:color="auto"/>
              <w:right w:val="nil"/>
            </w:tcBorders>
            <w:shd w:val="clear" w:color="auto" w:fill="E2EFD9" w:themeFill="accent6" w:themeFillTint="33"/>
            <w:noWrap/>
            <w:vAlign w:val="bottom"/>
            <w:hideMark/>
          </w:tcPr>
          <w:p w14:paraId="063C16E9" w14:textId="3E6A9F06" w:rsidR="00895A1D" w:rsidRPr="00442577" w:rsidRDefault="00895A1D" w:rsidP="009F18D5">
            <w:pPr>
              <w:jc w:val="right"/>
              <w:rPr>
                <w:b/>
                <w:bCs/>
                <w:sz w:val="17"/>
                <w:szCs w:val="17"/>
              </w:rPr>
            </w:pPr>
            <w:r w:rsidRPr="00442577">
              <w:rPr>
                <w:b/>
                <w:bCs/>
                <w:sz w:val="17"/>
                <w:szCs w:val="17"/>
              </w:rPr>
              <w:t>2,811</w:t>
            </w:r>
          </w:p>
        </w:tc>
        <w:tc>
          <w:tcPr>
            <w:tcW w:w="2043" w:type="dxa"/>
            <w:tcBorders>
              <w:top w:val="nil"/>
              <w:left w:val="nil"/>
              <w:bottom w:val="single" w:sz="4" w:space="0" w:color="auto"/>
              <w:right w:val="nil"/>
            </w:tcBorders>
            <w:shd w:val="clear" w:color="auto" w:fill="E2EFD9" w:themeFill="accent6" w:themeFillTint="33"/>
            <w:noWrap/>
            <w:vAlign w:val="bottom"/>
            <w:hideMark/>
          </w:tcPr>
          <w:p w14:paraId="4A47ADBA" w14:textId="52D731CD" w:rsidR="00895A1D" w:rsidRPr="00442577" w:rsidRDefault="00895A1D" w:rsidP="009F18D5">
            <w:pPr>
              <w:jc w:val="right"/>
              <w:rPr>
                <w:b/>
                <w:bCs/>
                <w:sz w:val="17"/>
                <w:szCs w:val="17"/>
              </w:rPr>
            </w:pPr>
            <w:r w:rsidRPr="00442577">
              <w:rPr>
                <w:b/>
                <w:bCs/>
                <w:sz w:val="17"/>
                <w:szCs w:val="17"/>
              </w:rPr>
              <w:t>35,156</w:t>
            </w:r>
          </w:p>
        </w:tc>
        <w:tc>
          <w:tcPr>
            <w:tcW w:w="1292" w:type="dxa"/>
            <w:tcBorders>
              <w:top w:val="nil"/>
              <w:left w:val="nil"/>
              <w:bottom w:val="single" w:sz="4" w:space="0" w:color="auto"/>
              <w:right w:val="nil"/>
            </w:tcBorders>
            <w:shd w:val="clear" w:color="auto" w:fill="E2EFD9" w:themeFill="accent6" w:themeFillTint="33"/>
            <w:noWrap/>
            <w:vAlign w:val="bottom"/>
            <w:hideMark/>
          </w:tcPr>
          <w:p w14:paraId="3AE0A48B" w14:textId="69232419" w:rsidR="00895A1D" w:rsidRPr="00442577" w:rsidRDefault="00895A1D" w:rsidP="009F18D5">
            <w:pPr>
              <w:jc w:val="right"/>
              <w:rPr>
                <w:b/>
                <w:bCs/>
                <w:sz w:val="17"/>
                <w:szCs w:val="17"/>
              </w:rPr>
            </w:pPr>
            <w:r w:rsidRPr="00442577">
              <w:rPr>
                <w:b/>
                <w:bCs/>
                <w:sz w:val="17"/>
                <w:szCs w:val="17"/>
              </w:rPr>
              <w:t>12.5</w:t>
            </w:r>
          </w:p>
        </w:tc>
      </w:tr>
    </w:tbl>
    <w:p w14:paraId="4E70025D" w14:textId="77777777" w:rsidR="00361E96" w:rsidRDefault="00361E96" w:rsidP="00361E96"/>
    <w:p w14:paraId="1308A0C5" w14:textId="27677DF4" w:rsidR="00EA085B" w:rsidRPr="006B42D6" w:rsidRDefault="003B7993" w:rsidP="00EA085B">
      <w:pPr>
        <w:pStyle w:val="Heading4"/>
      </w:pPr>
      <w:bookmarkStart w:id="211" w:name="_Toc82385669"/>
      <w:r w:rsidRPr="006B42D6">
        <w:t>3.1.</w:t>
      </w:r>
      <w:r w:rsidR="00193728">
        <w:t>5</w:t>
      </w:r>
      <w:r w:rsidRPr="006B42D6">
        <w:t>.4</w:t>
      </w:r>
      <w:r w:rsidR="000807B0" w:rsidRPr="006B42D6">
        <w:tab/>
      </w:r>
      <w:r w:rsidRPr="006B42D6">
        <w:t>Watermelon</w:t>
      </w:r>
      <w:bookmarkEnd w:id="211"/>
      <w:r w:rsidRPr="006B42D6">
        <w:t xml:space="preserve"> </w:t>
      </w:r>
    </w:p>
    <w:p w14:paraId="1DCB159B" w14:textId="44A2AFC2" w:rsidR="00EA085B" w:rsidRDefault="00EA085B" w:rsidP="00EA085B">
      <w:pPr>
        <w:spacing w:after="240"/>
      </w:pPr>
      <w:r w:rsidRPr="006B42D6">
        <w:t xml:space="preserve">The 2019/20 NSCA results reveal that, a total of 16,707 households were engaged in growing watermelon in Tanzania during short rainy season (13,907 households were in </w:t>
      </w:r>
      <w:r w:rsidR="00EA1552">
        <w:t>Mainland Tanzania</w:t>
      </w:r>
      <w:r w:rsidRPr="006B42D6">
        <w:t xml:space="preserve"> and 2,800 households in Tanzania Zanzibar). During long rainy season, a total of 19,271 households were involved in growing watermelon in Tanzania, of which 17,987 were in </w:t>
      </w:r>
      <w:r w:rsidR="00EA1552">
        <w:t>Mainland Tanzania</w:t>
      </w:r>
      <w:r w:rsidRPr="006B42D6">
        <w:t xml:space="preserve"> and 1,284 in Tanzania Zanzibar.</w:t>
      </w:r>
    </w:p>
    <w:p w14:paraId="4AD01667" w14:textId="3C3393C2" w:rsidR="00EA085B" w:rsidRPr="006B42D6" w:rsidRDefault="00EA085B" w:rsidP="00BD67A5">
      <w:r w:rsidRPr="006B42D6">
        <w:lastRenderedPageBreak/>
        <w:t xml:space="preserve">The total planted area for watermelon was 18,496 ha, of which 18,444 ha were from smallholder farmers and 52 ha from large scale farms. From the total planted area by smallholder farmers, 16,537 ha was in </w:t>
      </w:r>
      <w:r w:rsidR="00EA1552">
        <w:t>Mainland Tanzania</w:t>
      </w:r>
      <w:r w:rsidRPr="006B42D6">
        <w:t xml:space="preserve"> and 1,907 ha in Tanzania Zanzibar. In </w:t>
      </w:r>
      <w:r w:rsidR="00EA1552">
        <w:t>Mainland Tanzania</w:t>
      </w:r>
      <w:r w:rsidRPr="006B42D6">
        <w:t>, Dar es Salaam region had the largest planted area with watermelon (7,036 ha; 42.5 percent), followed by Geita (2,668 ha; 16.1 percent) and Morogoro (1,032 ha; 6.2 percent), while Ruvuma region had the least planted area (14 ha; 0.1 percent). In Tanzania Zanzibar, Mjini Magharibi had the largest planted area with watermelon (898 ha; 48.1 percent), followed by Kaskazini Unguja (560 ha; 29.4 percent) and the least region was Kusini Unguja (104 ha</w:t>
      </w:r>
      <w:r w:rsidR="006F4ADD">
        <w:t>;</w:t>
      </w:r>
      <w:r w:rsidRPr="006B42D6">
        <w:t xml:space="preserve"> 5.5 percent).</w:t>
      </w:r>
    </w:p>
    <w:p w14:paraId="2BF84FBA" w14:textId="77777777" w:rsidR="00EA085B" w:rsidRPr="006F4ADD" w:rsidRDefault="00EA085B" w:rsidP="00BD67A5">
      <w:pPr>
        <w:spacing w:line="240" w:lineRule="auto"/>
        <w:rPr>
          <w:sz w:val="20"/>
          <w:szCs w:val="20"/>
        </w:rPr>
      </w:pPr>
    </w:p>
    <w:p w14:paraId="70175208" w14:textId="7D233970" w:rsidR="00EA085B" w:rsidRPr="006B42D6" w:rsidRDefault="00EA085B" w:rsidP="00BD67A5">
      <w:r w:rsidRPr="006B42D6">
        <w:t xml:space="preserve">The total harvested area with watermelon was 8,473 ha, of which 7,779 ha was in </w:t>
      </w:r>
      <w:r w:rsidR="00EA1552">
        <w:t>Mainland Tanzania</w:t>
      </w:r>
      <w:r w:rsidRPr="006B42D6">
        <w:t xml:space="preserve"> and 694 ha in Tanzania Zanzibar. In </w:t>
      </w:r>
      <w:r w:rsidR="00EA1552">
        <w:t>Mainland Tanzania</w:t>
      </w:r>
      <w:r w:rsidRPr="006B42D6">
        <w:t xml:space="preserve">, Geita region reported the largest harvested area (2,099 ha; 27.0 percent), followed by Dar es Salaam (1,948 ha; 25.0 percent) and Mwanza (857 ha; 11.0 percent) and the least harvested area was in Ruvuma (14 ha; 0.2 percent). In Tanzania Zanzibar, Kaskazini Unguja had the largest harvested area (308 ha; 44.3 percent), followed by Mjini Magharibi (244 ha; 35.1 percent), while the least harvested area was Kaskazini Pemba (30 ha; 4.4 percent). The results also reveal that, a total harvested area with </w:t>
      </w:r>
      <w:r w:rsidRPr="006B42D6">
        <w:rPr>
          <w:bCs/>
        </w:rPr>
        <w:t>onions</w:t>
      </w:r>
      <w:r w:rsidRPr="006B42D6">
        <w:t xml:space="preserve"> was 45.9 percent of the total planted area by smallholder farmers.</w:t>
      </w:r>
    </w:p>
    <w:p w14:paraId="49B2F757" w14:textId="77777777" w:rsidR="00EA085B" w:rsidRPr="006F4ADD" w:rsidRDefault="00EA085B" w:rsidP="00BD67A5">
      <w:pPr>
        <w:spacing w:line="240" w:lineRule="auto"/>
        <w:rPr>
          <w:sz w:val="20"/>
          <w:szCs w:val="20"/>
        </w:rPr>
      </w:pPr>
    </w:p>
    <w:p w14:paraId="10F6DA06" w14:textId="53950783" w:rsidR="00EA085B" w:rsidRPr="006B42D6" w:rsidRDefault="00EA085B" w:rsidP="00BD67A5">
      <w:r w:rsidRPr="006B42D6">
        <w:t xml:space="preserve">Watermelon production in Tanzania was </w:t>
      </w:r>
      <w:r w:rsidRPr="006B42D6">
        <w:rPr>
          <w:bCs/>
        </w:rPr>
        <w:t xml:space="preserve">68,687 tons, </w:t>
      </w:r>
      <w:r w:rsidRPr="006B42D6">
        <w:t>of which 68,469 tons was produced by smallholder farmers and</w:t>
      </w:r>
      <w:r w:rsidRPr="006B42D6">
        <w:rPr>
          <w:bCs/>
        </w:rPr>
        <w:t xml:space="preserve"> 218 t</w:t>
      </w:r>
      <w:r w:rsidRPr="006B42D6">
        <w:t>ons was produced by large scale farms.</w:t>
      </w:r>
      <w:r w:rsidRPr="006B42D6">
        <w:rPr>
          <w:bCs/>
        </w:rPr>
        <w:t xml:space="preserve"> From the production by smallholder farmers, </w:t>
      </w:r>
      <w:r w:rsidRPr="006B42D6">
        <w:t xml:space="preserve">57,573 tons were in </w:t>
      </w:r>
      <w:r w:rsidR="00EA1552">
        <w:t>Mainland Tanzania</w:t>
      </w:r>
      <w:r w:rsidRPr="006B42D6">
        <w:t xml:space="preserve"> and 10,897 tons in Tanzania Zanzibar. In </w:t>
      </w:r>
      <w:r w:rsidR="00EA1552">
        <w:t>Mainland Tanzania</w:t>
      </w:r>
      <w:r w:rsidRPr="006B42D6">
        <w:t>, Dar es Salaam region had the highest production (20,452 tons; 35.5 percent), followed by Geita (15,628 tons; 27.1 percent) and Mwanza (5,596 tons; 9.7 percent). On the other hand, Ruvuma region had the least production (3 tons; 0.01 percent). In Tanzania Zanzibar, Mjini Magharibi had the largest production of watermelon production (4,512 tons; 41.4 percent), followed by Kaskazini Unguja (3,931 tons; 36.1</w:t>
      </w:r>
      <w:r w:rsidR="00605CCA">
        <w:t xml:space="preserve"> percent</w:t>
      </w:r>
      <w:r w:rsidRPr="006B42D6">
        <w:t>), while the least production was in Kaskazini Pemba (409 tons; 3.8 percent) (Figure 3.</w:t>
      </w:r>
      <w:r w:rsidR="00551206" w:rsidRPr="006B42D6">
        <w:t>4</w:t>
      </w:r>
      <w:r w:rsidRPr="006B42D6">
        <w:t>1</w:t>
      </w:r>
      <w:r w:rsidR="004F67C7" w:rsidRPr="006B42D6">
        <w:t xml:space="preserve"> &amp; 3.42</w:t>
      </w:r>
      <w:r w:rsidRPr="006B42D6">
        <w:t xml:space="preserve">). </w:t>
      </w:r>
    </w:p>
    <w:p w14:paraId="01E60871" w14:textId="77777777" w:rsidR="00EA085B" w:rsidRPr="006F4ADD" w:rsidRDefault="00EA085B" w:rsidP="00BD67A5">
      <w:pPr>
        <w:spacing w:line="240" w:lineRule="auto"/>
        <w:rPr>
          <w:sz w:val="20"/>
          <w:szCs w:val="20"/>
        </w:rPr>
      </w:pPr>
    </w:p>
    <w:p w14:paraId="0960FD0A" w14:textId="0EFB84BE" w:rsidR="003B7993" w:rsidRPr="006B42D6" w:rsidRDefault="00EA085B" w:rsidP="00BD67A5">
      <w:r w:rsidRPr="006B42D6">
        <w:t xml:space="preserve">Moreover, results show that, the average productivity of watermelon in Tanzania was 8.1 tons/ha (7.4 tons/ha in </w:t>
      </w:r>
      <w:r w:rsidR="00EA1552">
        <w:t>Mainland Tanzania</w:t>
      </w:r>
      <w:r w:rsidRPr="006B42D6">
        <w:t xml:space="preserve"> and 15.7 tons/ha in Tanzania Zanzibar). In </w:t>
      </w:r>
      <w:r w:rsidR="00EA1552">
        <w:t>Mainland Tanzania</w:t>
      </w:r>
      <w:r w:rsidRPr="006B42D6">
        <w:t>, the highest productivity was in Dar es Salaam region (10.5 tons/ha), followed by Pwani (10.4 tons/ha) and Iringa (9.9 tons/ha). On the other hand, the lowest productivity was in Ruvuma region (0.2 tons/ha)</w:t>
      </w:r>
      <w:r w:rsidR="003B7993" w:rsidRPr="006B42D6">
        <w:t xml:space="preserve"> (</w:t>
      </w:r>
      <w:r w:rsidR="00A9608F" w:rsidRPr="006B42D6">
        <w:t>Figure</w:t>
      </w:r>
      <w:r w:rsidR="003B7993" w:rsidRPr="006B42D6">
        <w:t xml:space="preserve"> 3.</w:t>
      </w:r>
      <w:r w:rsidR="00551206" w:rsidRPr="006B42D6">
        <w:t>41</w:t>
      </w:r>
      <w:r w:rsidR="004F67C7" w:rsidRPr="006B42D6">
        <w:t xml:space="preserve"> &amp;</w:t>
      </w:r>
      <w:r w:rsidR="00442577">
        <w:t xml:space="preserve"> </w:t>
      </w:r>
      <w:r w:rsidR="004F67C7" w:rsidRPr="006B42D6">
        <w:t>3.42</w:t>
      </w:r>
      <w:r w:rsidR="003B7993" w:rsidRPr="006B42D6">
        <w:t>).</w:t>
      </w:r>
    </w:p>
    <w:p w14:paraId="50B4AA44" w14:textId="0B352C30" w:rsidR="003B7993" w:rsidRPr="006B42D6" w:rsidRDefault="003B7993" w:rsidP="00D35A2C">
      <w:pPr>
        <w:pStyle w:val="Caption"/>
      </w:pPr>
      <w:bookmarkStart w:id="212" w:name="_Toc82386318"/>
      <w:r w:rsidRPr="006B42D6">
        <w:lastRenderedPageBreak/>
        <w:t>Figure 3.</w:t>
      </w:r>
      <w:r w:rsidR="00551206" w:rsidRPr="006B42D6">
        <w:t>4</w:t>
      </w:r>
      <w:r w:rsidR="004F67C7" w:rsidRPr="006B42D6">
        <w:t>1</w:t>
      </w:r>
      <w:r w:rsidR="00A51CC7">
        <w:t>:</w:t>
      </w:r>
      <w:r w:rsidR="00BD67A5">
        <w:tab/>
      </w:r>
      <w:r w:rsidRPr="006B42D6">
        <w:t xml:space="preserve">Quantity Harvested and Yield of Watermelon by Region </w:t>
      </w:r>
      <w:r w:rsidR="004F67C7" w:rsidRPr="006B42D6">
        <w:t>D</w:t>
      </w:r>
      <w:r w:rsidRPr="006B42D6">
        <w:t xml:space="preserve">uring 2019/20 </w:t>
      </w:r>
      <w:r w:rsidR="004F67C7" w:rsidRPr="006B42D6">
        <w:t>A</w:t>
      </w:r>
      <w:r w:rsidRPr="006B42D6">
        <w:t>gricultural Year</w:t>
      </w:r>
      <w:r w:rsidR="00780D6D" w:rsidRPr="006B42D6">
        <w:t xml:space="preserve">, </w:t>
      </w:r>
      <w:r w:rsidR="00EA1552">
        <w:t>Mainland Tanzania</w:t>
      </w:r>
      <w:bookmarkEnd w:id="212"/>
      <w:r w:rsidRPr="006B42D6">
        <w:t xml:space="preserve"> </w:t>
      </w:r>
    </w:p>
    <w:p w14:paraId="6D3A8630" w14:textId="25858880" w:rsidR="00E16412" w:rsidRPr="006B42D6" w:rsidRDefault="001B26AC" w:rsidP="005C2EFC">
      <w:pPr>
        <w:pStyle w:val="Default"/>
        <w:spacing w:line="360" w:lineRule="auto"/>
        <w:jc w:val="both"/>
        <w:rPr>
          <w:noProof/>
          <w:color w:val="auto"/>
        </w:rPr>
      </w:pPr>
      <w:r w:rsidRPr="006B42D6">
        <w:rPr>
          <w:noProof/>
          <w:color w:val="auto"/>
        </w:rPr>
        <w:drawing>
          <wp:inline distT="0" distB="0" distL="0" distR="0" wp14:anchorId="10EAFFDB" wp14:editId="757B366C">
            <wp:extent cx="5785485" cy="2568575"/>
            <wp:effectExtent l="0" t="0" r="18415" b="9525"/>
            <wp:docPr id="109" name="Chart 50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inline>
        </w:drawing>
      </w:r>
    </w:p>
    <w:p w14:paraId="0ED25E82" w14:textId="54718A34" w:rsidR="004F67C7" w:rsidRPr="006B42D6" w:rsidRDefault="004F67C7" w:rsidP="005C2EFC">
      <w:pPr>
        <w:pStyle w:val="Default"/>
        <w:spacing w:line="360" w:lineRule="auto"/>
        <w:jc w:val="both"/>
        <w:rPr>
          <w:noProof/>
          <w:color w:val="auto"/>
        </w:rPr>
      </w:pPr>
    </w:p>
    <w:p w14:paraId="22CFD50B" w14:textId="11ECF2F9" w:rsidR="004F67C7" w:rsidRPr="006B42D6" w:rsidRDefault="004F67C7" w:rsidP="00BD67A5">
      <w:pPr>
        <w:pStyle w:val="Caption"/>
      </w:pPr>
      <w:bookmarkStart w:id="213" w:name="_Toc82386319"/>
      <w:r w:rsidRPr="006B42D6">
        <w:t>Figure 3.42</w:t>
      </w:r>
      <w:r w:rsidR="00A51CC7">
        <w:t>:</w:t>
      </w:r>
      <w:r w:rsidR="00BD67A5">
        <w:tab/>
      </w:r>
      <w:r w:rsidRPr="006B42D6">
        <w:t>Quantity Harvested and Yield of Watermelon by Region During 2019/20 Agricultural Year, Tanzania Zanzibar</w:t>
      </w:r>
      <w:bookmarkEnd w:id="213"/>
      <w:r w:rsidRPr="006B42D6">
        <w:t xml:space="preserve"> </w:t>
      </w:r>
    </w:p>
    <w:p w14:paraId="12DD5CDE" w14:textId="7D39C03C" w:rsidR="00CD0F26" w:rsidRDefault="001B26AC" w:rsidP="005C2EFC">
      <w:pPr>
        <w:pStyle w:val="Default"/>
        <w:spacing w:line="360" w:lineRule="auto"/>
        <w:jc w:val="both"/>
        <w:rPr>
          <w:color w:val="auto"/>
        </w:rPr>
      </w:pPr>
      <w:r w:rsidRPr="006B42D6">
        <w:rPr>
          <w:noProof/>
          <w:color w:val="auto"/>
        </w:rPr>
        <w:drawing>
          <wp:inline distT="0" distB="0" distL="0" distR="0" wp14:anchorId="4F8D465E" wp14:editId="12E3C0DA">
            <wp:extent cx="5785503" cy="2402205"/>
            <wp:effectExtent l="0" t="0" r="18415" b="10795"/>
            <wp:docPr id="108" name="Chart 5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inline>
        </w:drawing>
      </w:r>
    </w:p>
    <w:p w14:paraId="2B90A653" w14:textId="77777777" w:rsidR="00BD67A5" w:rsidRPr="006B42D6" w:rsidRDefault="00BD67A5" w:rsidP="00F57EE9"/>
    <w:p w14:paraId="7EE97E78" w14:textId="670664A7" w:rsidR="003B7993" w:rsidRPr="006B42D6" w:rsidRDefault="003B7993" w:rsidP="005C2EFC">
      <w:pPr>
        <w:pStyle w:val="Heading4"/>
      </w:pPr>
      <w:bookmarkStart w:id="214" w:name="_Toc82385670"/>
      <w:r w:rsidRPr="006B42D6">
        <w:t>3.1.</w:t>
      </w:r>
      <w:r w:rsidR="00193728">
        <w:t>5</w:t>
      </w:r>
      <w:r w:rsidRPr="006B42D6">
        <w:t>.5</w:t>
      </w:r>
      <w:r w:rsidR="000807B0" w:rsidRPr="006B42D6">
        <w:tab/>
      </w:r>
      <w:r w:rsidRPr="006B42D6">
        <w:t>Okra</w:t>
      </w:r>
      <w:bookmarkEnd w:id="214"/>
      <w:r w:rsidRPr="006B42D6">
        <w:t xml:space="preserve"> </w:t>
      </w:r>
    </w:p>
    <w:p w14:paraId="45DAD377" w14:textId="06B273D5" w:rsidR="009576D6" w:rsidRPr="006B42D6" w:rsidRDefault="009576D6" w:rsidP="00BD67A5">
      <w:r w:rsidRPr="006B42D6">
        <w:t xml:space="preserve">The 2019/20 NSCA results reveal that, a total of 30,930 households were engaged in growing okra in Tanzania during short rainy season (24,646 households were in </w:t>
      </w:r>
      <w:r w:rsidR="00EA1552">
        <w:t>Mainland Tanzania</w:t>
      </w:r>
      <w:r w:rsidRPr="006B42D6">
        <w:t xml:space="preserve"> and 6,284 households in Tanzania Zanzibar). During long rainy season, a total of 34,967 households were involved in growing okra in Tanzania, of which 32,387 were in </w:t>
      </w:r>
      <w:r w:rsidR="00EA1552">
        <w:t>Mainland Tanzania</w:t>
      </w:r>
      <w:r w:rsidRPr="006B42D6">
        <w:t xml:space="preserve"> and 2,580 in Tanzania Zanzibar.</w:t>
      </w:r>
    </w:p>
    <w:p w14:paraId="18983A65" w14:textId="3258EA19" w:rsidR="003B7993" w:rsidRPr="006B42D6" w:rsidRDefault="003B7993" w:rsidP="00361E96">
      <w:pPr>
        <w:spacing w:line="240" w:lineRule="auto"/>
      </w:pPr>
    </w:p>
    <w:p w14:paraId="54805DF1" w14:textId="79122036" w:rsidR="009576D6" w:rsidRPr="006B42D6" w:rsidRDefault="009576D6" w:rsidP="00BD67A5">
      <w:r w:rsidRPr="006B42D6">
        <w:t xml:space="preserve">The total planted area for okra was 12,108 ha, of which 12,072 ha were from smallholder farmers and 36 ha from large scale farms. From the total planted area by smallholder farmers, </w:t>
      </w:r>
      <w:r w:rsidRPr="006B42D6">
        <w:lastRenderedPageBreak/>
        <w:t xml:space="preserve">10,479 ha was in </w:t>
      </w:r>
      <w:r w:rsidR="00EA1552">
        <w:t>Mainland Tanzania</w:t>
      </w:r>
      <w:r w:rsidRPr="006B42D6">
        <w:t xml:space="preserve"> and 1,593 ha in Tanzania Zanzibar. In </w:t>
      </w:r>
      <w:r w:rsidR="00EA1552">
        <w:t>Mainland Tanzania</w:t>
      </w:r>
      <w:r w:rsidRPr="006B42D6">
        <w:t>, Dar es Salaam region had the largest planted area with okra (6,759 ha; 64.5 percent), followed by Dodoma (663 ha; 6.3 percent) and Pwani (645 ha; 6.2 percent), while Mara region had the least planted area (19 ha; 0.2 percent). In Tanzania Zanzibar, Mjini Magharibi had the largest planted area with okra (913 ha; 57.3 percent), followed by Kaskazini Unguja (307 ha; 19.3 percent) and the least region was Kaskazini Pemba (8 ha 0.5 percent).</w:t>
      </w:r>
    </w:p>
    <w:p w14:paraId="394D1E42" w14:textId="77777777" w:rsidR="00CD0F26" w:rsidRPr="006B42D6" w:rsidRDefault="00CD0F26" w:rsidP="00BD67A5">
      <w:pPr>
        <w:spacing w:line="240" w:lineRule="auto"/>
      </w:pPr>
    </w:p>
    <w:p w14:paraId="07B1C83C" w14:textId="2BF569B8" w:rsidR="009576D6" w:rsidRPr="006B42D6" w:rsidRDefault="009576D6" w:rsidP="00BD67A5">
      <w:r w:rsidRPr="006B42D6">
        <w:t xml:space="preserve">The total harvested area with okra was 10,177 ha, of which 9,067 ha was in </w:t>
      </w:r>
      <w:r w:rsidR="00EA1552">
        <w:t>Mainland Tanzania</w:t>
      </w:r>
      <w:r w:rsidRPr="006B42D6">
        <w:t xml:space="preserve"> and 1,110 ha in Tanzania Zanzibar. In </w:t>
      </w:r>
      <w:r w:rsidR="00EA1552">
        <w:t>Mainland Tanzania</w:t>
      </w:r>
      <w:r w:rsidRPr="006B42D6">
        <w:t xml:space="preserve">, Dar es Salaam region reported the largest harvested area (6,443 ha; 71.1 percent), followed by Tanga (482 ha; 5.3 percent) and Pwani (344 ha; 3.8 percent) and the least harvested area was in Mara (19 ha; 0.2 percent). In Tanzania Zanzibar, Mjini Magharibi had the largest harvested area (643 ha; 58.0 percent), followed by Kaskazini Unguja (267 ha; 24.1 percent), while the least harvested area was Kusini Pemba (71 ha; 6.4 percent). The results also reveal that, a total harvested area with </w:t>
      </w:r>
      <w:r w:rsidRPr="006B42D6">
        <w:rPr>
          <w:bCs/>
        </w:rPr>
        <w:t>okra</w:t>
      </w:r>
      <w:r w:rsidRPr="006B42D6">
        <w:t xml:space="preserve"> was 84.3 percent of the total planted area by smallholder farmers.</w:t>
      </w:r>
    </w:p>
    <w:p w14:paraId="4A5B4FAE" w14:textId="77777777" w:rsidR="009576D6" w:rsidRPr="006B42D6" w:rsidRDefault="009576D6" w:rsidP="00BD67A5">
      <w:pPr>
        <w:spacing w:line="240" w:lineRule="auto"/>
      </w:pPr>
    </w:p>
    <w:p w14:paraId="6B8389D2" w14:textId="6B7DF5F5" w:rsidR="009576D6" w:rsidRPr="006B42D6" w:rsidRDefault="003B7993" w:rsidP="00BD67A5">
      <w:r w:rsidRPr="006B42D6">
        <w:rPr>
          <w:bCs/>
        </w:rPr>
        <w:t>Okra</w:t>
      </w:r>
      <w:r w:rsidRPr="006B42D6">
        <w:t xml:space="preserve"> production in Tanzania was </w:t>
      </w:r>
      <w:r w:rsidR="009576D6" w:rsidRPr="006B42D6">
        <w:rPr>
          <w:bCs/>
        </w:rPr>
        <w:t>44</w:t>
      </w:r>
      <w:r w:rsidRPr="006B42D6">
        <w:rPr>
          <w:bCs/>
        </w:rPr>
        <w:t>,</w:t>
      </w:r>
      <w:r w:rsidR="009576D6" w:rsidRPr="006B42D6">
        <w:rPr>
          <w:bCs/>
        </w:rPr>
        <w:t>325</w:t>
      </w:r>
      <w:r w:rsidR="004F67C7" w:rsidRPr="006B42D6">
        <w:rPr>
          <w:bCs/>
        </w:rPr>
        <w:t xml:space="preserve"> tons,</w:t>
      </w:r>
      <w:r w:rsidRPr="006B42D6">
        <w:rPr>
          <w:bCs/>
        </w:rPr>
        <w:t xml:space="preserve"> </w:t>
      </w:r>
      <w:r w:rsidR="005D180F" w:rsidRPr="006B42D6">
        <w:rPr>
          <w:bCs/>
        </w:rPr>
        <w:t xml:space="preserve">out </w:t>
      </w:r>
      <w:r w:rsidRPr="006B42D6">
        <w:t xml:space="preserve">of which </w:t>
      </w:r>
      <w:r w:rsidR="009576D6" w:rsidRPr="006B42D6">
        <w:t>44</w:t>
      </w:r>
      <w:r w:rsidRPr="006B42D6">
        <w:t>,</w:t>
      </w:r>
      <w:r w:rsidR="009576D6" w:rsidRPr="006B42D6">
        <w:t>241</w:t>
      </w:r>
      <w:r w:rsidRPr="006B42D6">
        <w:t xml:space="preserve"> tons </w:t>
      </w:r>
      <w:r w:rsidR="005D180F" w:rsidRPr="006B42D6">
        <w:t xml:space="preserve">was </w:t>
      </w:r>
      <w:r w:rsidRPr="006B42D6">
        <w:t>produced by smallholder farmers and</w:t>
      </w:r>
      <w:r w:rsidRPr="006B42D6">
        <w:rPr>
          <w:bCs/>
        </w:rPr>
        <w:t xml:space="preserve"> 84 </w:t>
      </w:r>
      <w:r w:rsidRPr="006B42D6">
        <w:t xml:space="preserve">tons </w:t>
      </w:r>
      <w:r w:rsidR="005D180F" w:rsidRPr="006B42D6">
        <w:t xml:space="preserve">was </w:t>
      </w:r>
      <w:r w:rsidRPr="006B42D6">
        <w:t>produced by large scale farmers.</w:t>
      </w:r>
      <w:r w:rsidRPr="006B42D6">
        <w:rPr>
          <w:bCs/>
        </w:rPr>
        <w:t xml:space="preserve"> From the production of smallholder farmers, </w:t>
      </w:r>
      <w:r w:rsidR="009576D6" w:rsidRPr="006B42D6">
        <w:t>33</w:t>
      </w:r>
      <w:r w:rsidRPr="006B42D6">
        <w:t>,</w:t>
      </w:r>
      <w:r w:rsidR="009576D6" w:rsidRPr="006B42D6">
        <w:t>228</w:t>
      </w:r>
      <w:r w:rsidRPr="006B42D6">
        <w:t xml:space="preserve"> </w:t>
      </w:r>
      <w:r w:rsidR="005D180F" w:rsidRPr="006B42D6">
        <w:t xml:space="preserve">tons </w:t>
      </w:r>
      <w:r w:rsidRPr="006B42D6">
        <w:t xml:space="preserve">were in </w:t>
      </w:r>
      <w:r w:rsidR="00EA1552">
        <w:t>Mainland Tanzania</w:t>
      </w:r>
      <w:r w:rsidRPr="006B42D6">
        <w:t xml:space="preserve"> and </w:t>
      </w:r>
      <w:r w:rsidR="009576D6" w:rsidRPr="006B42D6">
        <w:t>11</w:t>
      </w:r>
      <w:r w:rsidRPr="006B42D6">
        <w:t>,</w:t>
      </w:r>
      <w:r w:rsidR="009576D6" w:rsidRPr="006B42D6">
        <w:t>004</w:t>
      </w:r>
      <w:r w:rsidRPr="006B42D6">
        <w:t xml:space="preserve"> tons in </w:t>
      </w:r>
      <w:r w:rsidR="009576D6" w:rsidRPr="006B42D6">
        <w:t xml:space="preserve">Tanzania </w:t>
      </w:r>
      <w:r w:rsidRPr="006B42D6">
        <w:t xml:space="preserve">Zanzibar. In Mainland, Dar Es Salaam </w:t>
      </w:r>
      <w:r w:rsidR="009576D6" w:rsidRPr="006B42D6">
        <w:t>r</w:t>
      </w:r>
      <w:r w:rsidRPr="006B42D6">
        <w:t>egion (</w:t>
      </w:r>
      <w:r w:rsidR="009576D6" w:rsidRPr="006B42D6">
        <w:t>24</w:t>
      </w:r>
      <w:r w:rsidRPr="006B42D6">
        <w:t>,</w:t>
      </w:r>
      <w:r w:rsidR="009576D6" w:rsidRPr="006B42D6">
        <w:t>041</w:t>
      </w:r>
      <w:r w:rsidRPr="006B42D6">
        <w:t xml:space="preserve"> tons; </w:t>
      </w:r>
      <w:r w:rsidR="009576D6" w:rsidRPr="006B42D6">
        <w:t>72.3</w:t>
      </w:r>
      <w:r w:rsidRPr="006B42D6">
        <w:t xml:space="preserve"> percent) had the highest production, followed by Tanga (</w:t>
      </w:r>
      <w:r w:rsidR="009576D6" w:rsidRPr="006B42D6">
        <w:t>2,494</w:t>
      </w:r>
      <w:r w:rsidRPr="006B42D6">
        <w:t xml:space="preserve"> tons; </w:t>
      </w:r>
      <w:r w:rsidR="009576D6" w:rsidRPr="006B42D6">
        <w:t>7.3</w:t>
      </w:r>
      <w:r w:rsidRPr="006B42D6">
        <w:t xml:space="preserve"> percent and yield 4.5</w:t>
      </w:r>
      <w:r w:rsidR="00605CCA">
        <w:t xml:space="preserve"> </w:t>
      </w:r>
      <w:r w:rsidRPr="006B42D6">
        <w:t>tons/ha) and Pwani (1,19</w:t>
      </w:r>
      <w:r w:rsidR="009576D6" w:rsidRPr="006B42D6">
        <w:t>2</w:t>
      </w:r>
      <w:r w:rsidRPr="006B42D6">
        <w:t xml:space="preserve"> tons; 3.6 percent). On the other hand, Lindi region had </w:t>
      </w:r>
      <w:r w:rsidR="005D180F" w:rsidRPr="006B42D6">
        <w:t>the</w:t>
      </w:r>
      <w:r w:rsidRPr="006B42D6">
        <w:t xml:space="preserve"> least production (</w:t>
      </w:r>
      <w:r w:rsidR="009576D6" w:rsidRPr="006B42D6">
        <w:t>38</w:t>
      </w:r>
      <w:r w:rsidRPr="006B42D6">
        <w:t xml:space="preserve"> tons; 0.1 percent). In </w:t>
      </w:r>
      <w:r w:rsidR="009576D6" w:rsidRPr="006B42D6">
        <w:t xml:space="preserve">Tanzania </w:t>
      </w:r>
      <w:r w:rsidRPr="006B42D6">
        <w:t>Zanzibar, Mjini Magharibi led with the production of 9,0</w:t>
      </w:r>
      <w:r w:rsidR="009576D6" w:rsidRPr="006B42D6">
        <w:t>97</w:t>
      </w:r>
      <w:r w:rsidRPr="006B42D6">
        <w:t xml:space="preserve"> tons (</w:t>
      </w:r>
      <w:r w:rsidR="009576D6" w:rsidRPr="006B42D6">
        <w:t>82.7</w:t>
      </w:r>
      <w:r w:rsidRPr="006B42D6">
        <w:t xml:space="preserve"> percent), followed by Kaskazini Unguja with the production of 84</w:t>
      </w:r>
      <w:r w:rsidR="009576D6" w:rsidRPr="006B42D6">
        <w:t>8</w:t>
      </w:r>
      <w:r w:rsidRPr="006B42D6">
        <w:t xml:space="preserve"> tons (</w:t>
      </w:r>
      <w:r w:rsidR="009576D6" w:rsidRPr="006B42D6">
        <w:t>7.7</w:t>
      </w:r>
      <w:r w:rsidRPr="006B42D6">
        <w:t xml:space="preserve"> percent)</w:t>
      </w:r>
      <w:r w:rsidR="009576D6" w:rsidRPr="006B42D6">
        <w:t>, while the least production was reported in Kusini Pemba region (324 tons; 2.9 percent)</w:t>
      </w:r>
      <w:r w:rsidRPr="006B42D6">
        <w:t xml:space="preserve"> (Table 3.</w:t>
      </w:r>
      <w:r w:rsidR="00A9608F" w:rsidRPr="006B42D6">
        <w:t>8</w:t>
      </w:r>
      <w:r w:rsidRPr="006B42D6">
        <w:t>)</w:t>
      </w:r>
      <w:r w:rsidR="00605CCA">
        <w:t>.</w:t>
      </w:r>
    </w:p>
    <w:p w14:paraId="4F411697" w14:textId="77777777" w:rsidR="009576D6" w:rsidRPr="006B42D6" w:rsidRDefault="009576D6" w:rsidP="00BD67A5">
      <w:pPr>
        <w:spacing w:line="240" w:lineRule="auto"/>
      </w:pPr>
    </w:p>
    <w:p w14:paraId="648EBBCD" w14:textId="6ACEB576" w:rsidR="009576D6" w:rsidRDefault="009576D6" w:rsidP="00BD67A5">
      <w:r w:rsidRPr="006B42D6">
        <w:t xml:space="preserve">Moreover, results show that, the average productivity of okra in Tanzania was 4.3 tons/ha (3.7 tons/ha in </w:t>
      </w:r>
      <w:r w:rsidR="00EA1552">
        <w:t>Mainland Tanzania</w:t>
      </w:r>
      <w:r w:rsidRPr="006B42D6">
        <w:t xml:space="preserve"> and 9.9 tons/ha in Tanzania Zanzibar). In </w:t>
      </w:r>
      <w:r w:rsidR="00EA1552">
        <w:t>Mainland Tanzania</w:t>
      </w:r>
      <w:r w:rsidRPr="006B42D6">
        <w:t>, the highest productivity was in Arusha region (5.8 tons/ha), followed by Tanga (5.2 tons/ha). On the other hand, the lowest productivity was in Singida region (0.8 tons/ha). In Tanzania Zanzibar, Mjini Magharibi had the highest yield of okra (14.1 tons/ha), whereas the lowest yield was reported in Kaskazini Unguja (3.2 tons/ha).</w:t>
      </w:r>
    </w:p>
    <w:p w14:paraId="699A7167" w14:textId="77777777" w:rsidR="00F57EE9" w:rsidRDefault="00F57EE9">
      <w:pPr>
        <w:spacing w:line="240" w:lineRule="auto"/>
        <w:contextualSpacing w:val="0"/>
        <w:jc w:val="left"/>
        <w:rPr>
          <w:b/>
          <w:iCs/>
          <w:sz w:val="20"/>
          <w:szCs w:val="20"/>
        </w:rPr>
      </w:pPr>
      <w:r>
        <w:br w:type="page"/>
      </w:r>
    </w:p>
    <w:p w14:paraId="28E87FCC" w14:textId="74F73778" w:rsidR="003B7993" w:rsidRPr="006B42D6" w:rsidRDefault="003B7993" w:rsidP="007200F6">
      <w:pPr>
        <w:pStyle w:val="Heading7"/>
      </w:pPr>
      <w:bookmarkStart w:id="215" w:name="_Toc82386190"/>
      <w:r w:rsidRPr="006B42D6">
        <w:lastRenderedPageBreak/>
        <w:t>Table 3.</w:t>
      </w:r>
      <w:r w:rsidR="00A9608F" w:rsidRPr="006B42D6">
        <w:t>8</w:t>
      </w:r>
      <w:r w:rsidR="00361E96">
        <w:t>:</w:t>
      </w:r>
      <w:r w:rsidR="00BD67A5">
        <w:tab/>
      </w:r>
      <w:r w:rsidRPr="006B42D6">
        <w:t>Planted</w:t>
      </w:r>
      <w:r w:rsidR="009576D6" w:rsidRPr="006B42D6">
        <w:t xml:space="preserve"> and</w:t>
      </w:r>
      <w:r w:rsidRPr="006B42D6">
        <w:t xml:space="preserve"> </w:t>
      </w:r>
      <w:r w:rsidR="009576D6" w:rsidRPr="006B42D6">
        <w:t xml:space="preserve">Harvested </w:t>
      </w:r>
      <w:r w:rsidRPr="006B42D6">
        <w:t xml:space="preserve">Area, Quantity </w:t>
      </w:r>
      <w:r w:rsidR="009576D6" w:rsidRPr="006B42D6">
        <w:t>and</w:t>
      </w:r>
      <w:r w:rsidRPr="006B42D6">
        <w:t xml:space="preserve"> Yield of Okra by Region </w:t>
      </w:r>
      <w:r w:rsidR="009576D6" w:rsidRPr="006B42D6">
        <w:t>D</w:t>
      </w:r>
      <w:r w:rsidRPr="006B42D6">
        <w:t xml:space="preserve">uring 2019/20 </w:t>
      </w:r>
      <w:r w:rsidR="009576D6" w:rsidRPr="006B42D6">
        <w:t>A</w:t>
      </w:r>
      <w:r w:rsidRPr="006B42D6">
        <w:t>gricultural Year</w:t>
      </w:r>
      <w:r w:rsidR="004F67C7" w:rsidRPr="006B42D6">
        <w:t>, Tanzania</w:t>
      </w:r>
      <w:bookmarkEnd w:id="215"/>
      <w:r w:rsidRPr="006B42D6">
        <w:t xml:space="preserve"> </w:t>
      </w:r>
    </w:p>
    <w:tbl>
      <w:tblPr>
        <w:tblW w:w="4891" w:type="pct"/>
        <w:tblLook w:val="04A0" w:firstRow="1" w:lastRow="0" w:firstColumn="1" w:lastColumn="0" w:noHBand="0" w:noVBand="1"/>
      </w:tblPr>
      <w:tblGrid>
        <w:gridCol w:w="2233"/>
        <w:gridCol w:w="1484"/>
        <w:gridCol w:w="1778"/>
        <w:gridCol w:w="2098"/>
        <w:gridCol w:w="1442"/>
      </w:tblGrid>
      <w:tr w:rsidR="00D249A2" w:rsidRPr="00D249A2" w14:paraId="482CE52E" w14:textId="77777777" w:rsidTr="00D249A2">
        <w:trPr>
          <w:trHeight w:val="312"/>
        </w:trPr>
        <w:tc>
          <w:tcPr>
            <w:tcW w:w="1236" w:type="pct"/>
            <w:tcBorders>
              <w:top w:val="single" w:sz="4" w:space="0" w:color="auto"/>
              <w:left w:val="nil"/>
              <w:bottom w:val="single" w:sz="4" w:space="0" w:color="000000"/>
            </w:tcBorders>
            <w:shd w:val="clear" w:color="auto" w:fill="E2EFD9" w:themeFill="accent6" w:themeFillTint="33"/>
            <w:vAlign w:val="center"/>
            <w:hideMark/>
          </w:tcPr>
          <w:p w14:paraId="0806FCDE" w14:textId="6F4FAF51" w:rsidR="00895A1D" w:rsidRPr="00D249A2" w:rsidRDefault="004F67C7" w:rsidP="00895A1D">
            <w:pPr>
              <w:rPr>
                <w:bCs/>
                <w:sz w:val="17"/>
                <w:szCs w:val="17"/>
              </w:rPr>
            </w:pPr>
            <w:r w:rsidRPr="00D249A2">
              <w:rPr>
                <w:bCs/>
                <w:sz w:val="17"/>
                <w:szCs w:val="17"/>
              </w:rPr>
              <w:t>Region</w:t>
            </w:r>
          </w:p>
        </w:tc>
        <w:tc>
          <w:tcPr>
            <w:tcW w:w="821" w:type="pct"/>
            <w:tcBorders>
              <w:top w:val="single" w:sz="4" w:space="0" w:color="auto"/>
              <w:bottom w:val="single" w:sz="4" w:space="0" w:color="auto"/>
              <w:right w:val="nil"/>
            </w:tcBorders>
            <w:shd w:val="clear" w:color="auto" w:fill="E2EFD9" w:themeFill="accent6" w:themeFillTint="33"/>
            <w:vAlign w:val="center"/>
            <w:hideMark/>
          </w:tcPr>
          <w:p w14:paraId="0F1F9716" w14:textId="77777777" w:rsidR="00895A1D" w:rsidRPr="00D249A2" w:rsidRDefault="00895A1D" w:rsidP="00F57EE9">
            <w:pPr>
              <w:jc w:val="left"/>
              <w:rPr>
                <w:bCs/>
                <w:sz w:val="17"/>
                <w:szCs w:val="17"/>
              </w:rPr>
            </w:pPr>
            <w:r w:rsidRPr="00D249A2">
              <w:rPr>
                <w:bCs/>
                <w:sz w:val="17"/>
                <w:szCs w:val="17"/>
              </w:rPr>
              <w:t xml:space="preserve"> Planted Area (ha) </w:t>
            </w:r>
          </w:p>
        </w:tc>
        <w:tc>
          <w:tcPr>
            <w:tcW w:w="984" w:type="pct"/>
            <w:tcBorders>
              <w:top w:val="single" w:sz="4" w:space="0" w:color="auto"/>
              <w:left w:val="nil"/>
              <w:bottom w:val="single" w:sz="4" w:space="0" w:color="auto"/>
              <w:right w:val="nil"/>
            </w:tcBorders>
            <w:shd w:val="clear" w:color="auto" w:fill="E2EFD9" w:themeFill="accent6" w:themeFillTint="33"/>
            <w:vAlign w:val="center"/>
            <w:hideMark/>
          </w:tcPr>
          <w:p w14:paraId="49F3D094" w14:textId="77777777" w:rsidR="00895A1D" w:rsidRPr="00D249A2" w:rsidRDefault="00895A1D" w:rsidP="00F57EE9">
            <w:pPr>
              <w:jc w:val="left"/>
              <w:rPr>
                <w:bCs/>
                <w:sz w:val="17"/>
                <w:szCs w:val="17"/>
              </w:rPr>
            </w:pPr>
            <w:r w:rsidRPr="00D249A2">
              <w:rPr>
                <w:bCs/>
                <w:sz w:val="17"/>
                <w:szCs w:val="17"/>
              </w:rPr>
              <w:t xml:space="preserve"> Harvested Area (ha) </w:t>
            </w:r>
          </w:p>
        </w:tc>
        <w:tc>
          <w:tcPr>
            <w:tcW w:w="1161" w:type="pct"/>
            <w:tcBorders>
              <w:top w:val="single" w:sz="4" w:space="0" w:color="auto"/>
              <w:left w:val="nil"/>
              <w:bottom w:val="single" w:sz="4" w:space="0" w:color="auto"/>
              <w:right w:val="nil"/>
            </w:tcBorders>
            <w:shd w:val="clear" w:color="auto" w:fill="E2EFD9" w:themeFill="accent6" w:themeFillTint="33"/>
            <w:vAlign w:val="center"/>
            <w:hideMark/>
          </w:tcPr>
          <w:p w14:paraId="29959057" w14:textId="77777777" w:rsidR="00895A1D" w:rsidRPr="00D249A2" w:rsidRDefault="00895A1D" w:rsidP="00F57EE9">
            <w:pPr>
              <w:jc w:val="left"/>
              <w:rPr>
                <w:bCs/>
                <w:sz w:val="17"/>
                <w:szCs w:val="17"/>
              </w:rPr>
            </w:pPr>
            <w:r w:rsidRPr="00D249A2">
              <w:rPr>
                <w:bCs/>
                <w:sz w:val="17"/>
                <w:szCs w:val="17"/>
              </w:rPr>
              <w:t xml:space="preserve"> Quantity Harvested (tons) </w:t>
            </w:r>
          </w:p>
        </w:tc>
        <w:tc>
          <w:tcPr>
            <w:tcW w:w="798" w:type="pct"/>
            <w:tcBorders>
              <w:top w:val="single" w:sz="4" w:space="0" w:color="auto"/>
              <w:left w:val="nil"/>
              <w:bottom w:val="single" w:sz="4" w:space="0" w:color="auto"/>
              <w:right w:val="nil"/>
            </w:tcBorders>
            <w:shd w:val="clear" w:color="auto" w:fill="E2EFD9" w:themeFill="accent6" w:themeFillTint="33"/>
            <w:vAlign w:val="center"/>
            <w:hideMark/>
          </w:tcPr>
          <w:p w14:paraId="69CF1386" w14:textId="77777777" w:rsidR="00895A1D" w:rsidRPr="00D249A2" w:rsidRDefault="00895A1D" w:rsidP="00F57EE9">
            <w:pPr>
              <w:jc w:val="left"/>
              <w:rPr>
                <w:bCs/>
                <w:sz w:val="17"/>
                <w:szCs w:val="17"/>
              </w:rPr>
            </w:pPr>
            <w:r w:rsidRPr="00D249A2">
              <w:rPr>
                <w:bCs/>
                <w:sz w:val="17"/>
                <w:szCs w:val="17"/>
              </w:rPr>
              <w:t xml:space="preserve"> Yield (tons/ha) </w:t>
            </w:r>
          </w:p>
        </w:tc>
      </w:tr>
      <w:tr w:rsidR="00D249A2" w:rsidRPr="00D249A2" w14:paraId="12527300" w14:textId="77777777" w:rsidTr="00D249A2">
        <w:trPr>
          <w:trHeight w:val="312"/>
        </w:trPr>
        <w:tc>
          <w:tcPr>
            <w:tcW w:w="1236" w:type="pct"/>
            <w:tcBorders>
              <w:top w:val="nil"/>
              <w:left w:val="nil"/>
              <w:bottom w:val="nil"/>
            </w:tcBorders>
            <w:shd w:val="clear" w:color="auto" w:fill="auto"/>
            <w:noWrap/>
            <w:vAlign w:val="bottom"/>
            <w:hideMark/>
          </w:tcPr>
          <w:p w14:paraId="7D60E5F5" w14:textId="77777777" w:rsidR="00895A1D" w:rsidRPr="00D249A2" w:rsidRDefault="00895A1D" w:rsidP="00895A1D">
            <w:pPr>
              <w:rPr>
                <w:sz w:val="17"/>
                <w:szCs w:val="17"/>
              </w:rPr>
            </w:pPr>
            <w:r w:rsidRPr="00D249A2">
              <w:rPr>
                <w:sz w:val="17"/>
                <w:szCs w:val="17"/>
              </w:rPr>
              <w:t>Dodoma</w:t>
            </w:r>
          </w:p>
        </w:tc>
        <w:tc>
          <w:tcPr>
            <w:tcW w:w="821" w:type="pct"/>
            <w:tcBorders>
              <w:top w:val="nil"/>
              <w:bottom w:val="nil"/>
              <w:right w:val="nil"/>
            </w:tcBorders>
            <w:shd w:val="clear" w:color="auto" w:fill="auto"/>
            <w:noWrap/>
            <w:vAlign w:val="bottom"/>
            <w:hideMark/>
          </w:tcPr>
          <w:p w14:paraId="0962D674" w14:textId="41D58886" w:rsidR="00895A1D" w:rsidRPr="00D249A2" w:rsidRDefault="00895A1D" w:rsidP="00895A1D">
            <w:pPr>
              <w:jc w:val="right"/>
              <w:rPr>
                <w:sz w:val="17"/>
                <w:szCs w:val="17"/>
              </w:rPr>
            </w:pPr>
            <w:r w:rsidRPr="00D249A2">
              <w:rPr>
                <w:sz w:val="17"/>
                <w:szCs w:val="17"/>
              </w:rPr>
              <w:t>663</w:t>
            </w:r>
          </w:p>
        </w:tc>
        <w:tc>
          <w:tcPr>
            <w:tcW w:w="984" w:type="pct"/>
            <w:tcBorders>
              <w:top w:val="nil"/>
              <w:left w:val="nil"/>
              <w:bottom w:val="nil"/>
              <w:right w:val="nil"/>
            </w:tcBorders>
            <w:shd w:val="clear" w:color="auto" w:fill="auto"/>
            <w:noWrap/>
            <w:vAlign w:val="bottom"/>
            <w:hideMark/>
          </w:tcPr>
          <w:p w14:paraId="2FC9C9BA" w14:textId="24CBFCE6" w:rsidR="00895A1D" w:rsidRPr="00D249A2" w:rsidRDefault="00895A1D" w:rsidP="00895A1D">
            <w:pPr>
              <w:jc w:val="right"/>
              <w:rPr>
                <w:sz w:val="17"/>
                <w:szCs w:val="17"/>
              </w:rPr>
            </w:pPr>
            <w:r w:rsidRPr="00D249A2">
              <w:rPr>
                <w:sz w:val="17"/>
                <w:szCs w:val="17"/>
              </w:rPr>
              <w:t>274</w:t>
            </w:r>
          </w:p>
        </w:tc>
        <w:tc>
          <w:tcPr>
            <w:tcW w:w="1161" w:type="pct"/>
            <w:tcBorders>
              <w:top w:val="nil"/>
              <w:left w:val="nil"/>
              <w:bottom w:val="nil"/>
              <w:right w:val="nil"/>
            </w:tcBorders>
            <w:shd w:val="clear" w:color="auto" w:fill="auto"/>
            <w:noWrap/>
            <w:vAlign w:val="bottom"/>
            <w:hideMark/>
          </w:tcPr>
          <w:p w14:paraId="6B4CB724" w14:textId="0095F3BE" w:rsidR="00895A1D" w:rsidRPr="00D249A2" w:rsidRDefault="00895A1D" w:rsidP="00895A1D">
            <w:pPr>
              <w:jc w:val="right"/>
              <w:rPr>
                <w:sz w:val="17"/>
                <w:szCs w:val="17"/>
              </w:rPr>
            </w:pPr>
            <w:r w:rsidRPr="00D249A2">
              <w:rPr>
                <w:sz w:val="17"/>
                <w:szCs w:val="17"/>
              </w:rPr>
              <w:t>914</w:t>
            </w:r>
          </w:p>
        </w:tc>
        <w:tc>
          <w:tcPr>
            <w:tcW w:w="798" w:type="pct"/>
            <w:tcBorders>
              <w:top w:val="nil"/>
              <w:left w:val="nil"/>
              <w:bottom w:val="nil"/>
              <w:right w:val="nil"/>
            </w:tcBorders>
            <w:shd w:val="clear" w:color="auto" w:fill="auto"/>
            <w:noWrap/>
            <w:vAlign w:val="bottom"/>
            <w:hideMark/>
          </w:tcPr>
          <w:p w14:paraId="791AC05C" w14:textId="0A4A4380" w:rsidR="00895A1D" w:rsidRPr="00D249A2" w:rsidRDefault="00895A1D" w:rsidP="00895A1D">
            <w:pPr>
              <w:jc w:val="right"/>
              <w:rPr>
                <w:sz w:val="17"/>
                <w:szCs w:val="17"/>
              </w:rPr>
            </w:pPr>
            <w:r w:rsidRPr="00D249A2">
              <w:rPr>
                <w:sz w:val="17"/>
                <w:szCs w:val="17"/>
              </w:rPr>
              <w:t>3.3</w:t>
            </w:r>
          </w:p>
        </w:tc>
      </w:tr>
      <w:tr w:rsidR="00D249A2" w:rsidRPr="00D249A2" w14:paraId="01CF553D" w14:textId="77777777" w:rsidTr="00D249A2">
        <w:trPr>
          <w:trHeight w:val="312"/>
        </w:trPr>
        <w:tc>
          <w:tcPr>
            <w:tcW w:w="1236" w:type="pct"/>
            <w:tcBorders>
              <w:top w:val="nil"/>
              <w:left w:val="nil"/>
              <w:bottom w:val="nil"/>
            </w:tcBorders>
            <w:shd w:val="clear" w:color="auto" w:fill="auto"/>
            <w:noWrap/>
            <w:vAlign w:val="bottom"/>
            <w:hideMark/>
          </w:tcPr>
          <w:p w14:paraId="001277EF" w14:textId="77777777" w:rsidR="00895A1D" w:rsidRPr="00D249A2" w:rsidRDefault="00895A1D" w:rsidP="00895A1D">
            <w:pPr>
              <w:rPr>
                <w:sz w:val="17"/>
                <w:szCs w:val="17"/>
              </w:rPr>
            </w:pPr>
            <w:r w:rsidRPr="00D249A2">
              <w:rPr>
                <w:sz w:val="17"/>
                <w:szCs w:val="17"/>
              </w:rPr>
              <w:t>Arusha</w:t>
            </w:r>
          </w:p>
        </w:tc>
        <w:tc>
          <w:tcPr>
            <w:tcW w:w="821" w:type="pct"/>
            <w:tcBorders>
              <w:top w:val="nil"/>
              <w:bottom w:val="nil"/>
              <w:right w:val="nil"/>
            </w:tcBorders>
            <w:shd w:val="clear" w:color="auto" w:fill="auto"/>
            <w:noWrap/>
            <w:vAlign w:val="bottom"/>
            <w:hideMark/>
          </w:tcPr>
          <w:p w14:paraId="5F8FB063" w14:textId="14E01CD9" w:rsidR="00895A1D" w:rsidRPr="00D249A2" w:rsidRDefault="00895A1D" w:rsidP="00895A1D">
            <w:pPr>
              <w:jc w:val="right"/>
              <w:rPr>
                <w:sz w:val="17"/>
                <w:szCs w:val="17"/>
              </w:rPr>
            </w:pPr>
            <w:r w:rsidRPr="00D249A2">
              <w:rPr>
                <w:sz w:val="17"/>
                <w:szCs w:val="17"/>
              </w:rPr>
              <w:t>159</w:t>
            </w:r>
          </w:p>
        </w:tc>
        <w:tc>
          <w:tcPr>
            <w:tcW w:w="984" w:type="pct"/>
            <w:tcBorders>
              <w:top w:val="nil"/>
              <w:left w:val="nil"/>
              <w:bottom w:val="nil"/>
              <w:right w:val="nil"/>
            </w:tcBorders>
            <w:shd w:val="clear" w:color="auto" w:fill="auto"/>
            <w:noWrap/>
            <w:vAlign w:val="bottom"/>
            <w:hideMark/>
          </w:tcPr>
          <w:p w14:paraId="266EB862" w14:textId="6C052D0D" w:rsidR="00895A1D" w:rsidRPr="00D249A2" w:rsidRDefault="00895A1D" w:rsidP="00895A1D">
            <w:pPr>
              <w:jc w:val="right"/>
              <w:rPr>
                <w:sz w:val="17"/>
                <w:szCs w:val="17"/>
              </w:rPr>
            </w:pPr>
            <w:r w:rsidRPr="00D249A2">
              <w:rPr>
                <w:sz w:val="17"/>
                <w:szCs w:val="17"/>
              </w:rPr>
              <w:t>159</w:t>
            </w:r>
          </w:p>
        </w:tc>
        <w:tc>
          <w:tcPr>
            <w:tcW w:w="1161" w:type="pct"/>
            <w:tcBorders>
              <w:top w:val="nil"/>
              <w:left w:val="nil"/>
              <w:bottom w:val="nil"/>
              <w:right w:val="nil"/>
            </w:tcBorders>
            <w:shd w:val="clear" w:color="auto" w:fill="auto"/>
            <w:noWrap/>
            <w:vAlign w:val="bottom"/>
            <w:hideMark/>
          </w:tcPr>
          <w:p w14:paraId="00A456BB" w14:textId="5BF35EEE" w:rsidR="00895A1D" w:rsidRPr="00D249A2" w:rsidRDefault="00895A1D" w:rsidP="00895A1D">
            <w:pPr>
              <w:jc w:val="right"/>
              <w:rPr>
                <w:sz w:val="17"/>
                <w:szCs w:val="17"/>
              </w:rPr>
            </w:pPr>
            <w:r w:rsidRPr="00D249A2">
              <w:rPr>
                <w:sz w:val="17"/>
                <w:szCs w:val="17"/>
              </w:rPr>
              <w:t>913</w:t>
            </w:r>
          </w:p>
        </w:tc>
        <w:tc>
          <w:tcPr>
            <w:tcW w:w="798" w:type="pct"/>
            <w:tcBorders>
              <w:top w:val="nil"/>
              <w:left w:val="nil"/>
              <w:bottom w:val="nil"/>
              <w:right w:val="nil"/>
            </w:tcBorders>
            <w:shd w:val="clear" w:color="auto" w:fill="auto"/>
            <w:noWrap/>
            <w:vAlign w:val="bottom"/>
            <w:hideMark/>
          </w:tcPr>
          <w:p w14:paraId="3B9FF038" w14:textId="32F2D94E" w:rsidR="00895A1D" w:rsidRPr="00D249A2" w:rsidRDefault="00895A1D" w:rsidP="00895A1D">
            <w:pPr>
              <w:jc w:val="right"/>
              <w:rPr>
                <w:sz w:val="17"/>
                <w:szCs w:val="17"/>
              </w:rPr>
            </w:pPr>
            <w:r w:rsidRPr="00D249A2">
              <w:rPr>
                <w:sz w:val="17"/>
                <w:szCs w:val="17"/>
              </w:rPr>
              <w:t>5.8</w:t>
            </w:r>
          </w:p>
        </w:tc>
      </w:tr>
      <w:tr w:rsidR="00D249A2" w:rsidRPr="00D249A2" w14:paraId="7209758B" w14:textId="77777777" w:rsidTr="00D249A2">
        <w:trPr>
          <w:trHeight w:val="312"/>
        </w:trPr>
        <w:tc>
          <w:tcPr>
            <w:tcW w:w="1236" w:type="pct"/>
            <w:tcBorders>
              <w:top w:val="nil"/>
              <w:left w:val="nil"/>
              <w:bottom w:val="nil"/>
            </w:tcBorders>
            <w:shd w:val="clear" w:color="auto" w:fill="auto"/>
            <w:noWrap/>
            <w:vAlign w:val="bottom"/>
            <w:hideMark/>
          </w:tcPr>
          <w:p w14:paraId="0A05A947" w14:textId="77777777" w:rsidR="00895A1D" w:rsidRPr="00D249A2" w:rsidRDefault="00895A1D" w:rsidP="00895A1D">
            <w:pPr>
              <w:rPr>
                <w:sz w:val="17"/>
                <w:szCs w:val="17"/>
              </w:rPr>
            </w:pPr>
            <w:r w:rsidRPr="00D249A2">
              <w:rPr>
                <w:sz w:val="17"/>
                <w:szCs w:val="17"/>
              </w:rPr>
              <w:t>Kilimanjaro</w:t>
            </w:r>
          </w:p>
        </w:tc>
        <w:tc>
          <w:tcPr>
            <w:tcW w:w="821" w:type="pct"/>
            <w:tcBorders>
              <w:top w:val="nil"/>
              <w:bottom w:val="nil"/>
              <w:right w:val="nil"/>
            </w:tcBorders>
            <w:shd w:val="clear" w:color="auto" w:fill="auto"/>
            <w:noWrap/>
            <w:vAlign w:val="bottom"/>
            <w:hideMark/>
          </w:tcPr>
          <w:p w14:paraId="163BD167" w14:textId="4838C015" w:rsidR="00895A1D" w:rsidRPr="00D249A2" w:rsidRDefault="00895A1D" w:rsidP="00895A1D">
            <w:pPr>
              <w:jc w:val="right"/>
              <w:rPr>
                <w:sz w:val="17"/>
                <w:szCs w:val="17"/>
              </w:rPr>
            </w:pPr>
            <w:r w:rsidRPr="00D249A2">
              <w:rPr>
                <w:sz w:val="17"/>
                <w:szCs w:val="17"/>
              </w:rPr>
              <w:t>136</w:t>
            </w:r>
          </w:p>
        </w:tc>
        <w:tc>
          <w:tcPr>
            <w:tcW w:w="984" w:type="pct"/>
            <w:tcBorders>
              <w:top w:val="nil"/>
              <w:left w:val="nil"/>
              <w:bottom w:val="nil"/>
              <w:right w:val="nil"/>
            </w:tcBorders>
            <w:shd w:val="clear" w:color="auto" w:fill="auto"/>
            <w:noWrap/>
            <w:vAlign w:val="bottom"/>
            <w:hideMark/>
          </w:tcPr>
          <w:p w14:paraId="0FDD2744" w14:textId="29289B00" w:rsidR="00895A1D" w:rsidRPr="00D249A2" w:rsidRDefault="00895A1D" w:rsidP="00895A1D">
            <w:pPr>
              <w:jc w:val="right"/>
              <w:rPr>
                <w:sz w:val="17"/>
                <w:szCs w:val="17"/>
              </w:rPr>
            </w:pPr>
            <w:r w:rsidRPr="00D249A2">
              <w:rPr>
                <w:sz w:val="17"/>
                <w:szCs w:val="17"/>
              </w:rPr>
              <w:t>136</w:t>
            </w:r>
          </w:p>
        </w:tc>
        <w:tc>
          <w:tcPr>
            <w:tcW w:w="1161" w:type="pct"/>
            <w:tcBorders>
              <w:top w:val="nil"/>
              <w:left w:val="nil"/>
              <w:bottom w:val="nil"/>
              <w:right w:val="nil"/>
            </w:tcBorders>
            <w:shd w:val="clear" w:color="auto" w:fill="auto"/>
            <w:noWrap/>
            <w:vAlign w:val="bottom"/>
            <w:hideMark/>
          </w:tcPr>
          <w:p w14:paraId="3238118A" w14:textId="46D1B81D" w:rsidR="00895A1D" w:rsidRPr="00D249A2" w:rsidRDefault="00895A1D" w:rsidP="00895A1D">
            <w:pPr>
              <w:jc w:val="right"/>
              <w:rPr>
                <w:sz w:val="17"/>
                <w:szCs w:val="17"/>
              </w:rPr>
            </w:pPr>
            <w:r w:rsidRPr="00D249A2">
              <w:rPr>
                <w:sz w:val="17"/>
                <w:szCs w:val="17"/>
              </w:rPr>
              <w:t>585</w:t>
            </w:r>
          </w:p>
        </w:tc>
        <w:tc>
          <w:tcPr>
            <w:tcW w:w="798" w:type="pct"/>
            <w:tcBorders>
              <w:top w:val="nil"/>
              <w:left w:val="nil"/>
              <w:bottom w:val="nil"/>
              <w:right w:val="nil"/>
            </w:tcBorders>
            <w:shd w:val="clear" w:color="auto" w:fill="auto"/>
            <w:noWrap/>
            <w:vAlign w:val="bottom"/>
            <w:hideMark/>
          </w:tcPr>
          <w:p w14:paraId="2C05B550" w14:textId="36BAA5DD" w:rsidR="00895A1D" w:rsidRPr="00D249A2" w:rsidRDefault="00895A1D" w:rsidP="00895A1D">
            <w:pPr>
              <w:jc w:val="right"/>
              <w:rPr>
                <w:sz w:val="17"/>
                <w:szCs w:val="17"/>
              </w:rPr>
            </w:pPr>
            <w:r w:rsidRPr="00D249A2">
              <w:rPr>
                <w:sz w:val="17"/>
                <w:szCs w:val="17"/>
              </w:rPr>
              <w:t>4.3</w:t>
            </w:r>
          </w:p>
        </w:tc>
      </w:tr>
      <w:tr w:rsidR="00D249A2" w:rsidRPr="00D249A2" w14:paraId="2F29E29E" w14:textId="77777777" w:rsidTr="00D249A2">
        <w:trPr>
          <w:trHeight w:val="312"/>
        </w:trPr>
        <w:tc>
          <w:tcPr>
            <w:tcW w:w="1236" w:type="pct"/>
            <w:tcBorders>
              <w:top w:val="nil"/>
              <w:left w:val="nil"/>
              <w:bottom w:val="nil"/>
            </w:tcBorders>
            <w:shd w:val="clear" w:color="auto" w:fill="auto"/>
            <w:noWrap/>
            <w:vAlign w:val="bottom"/>
            <w:hideMark/>
          </w:tcPr>
          <w:p w14:paraId="6FEF55E2" w14:textId="77777777" w:rsidR="00895A1D" w:rsidRPr="00D249A2" w:rsidRDefault="00895A1D" w:rsidP="00895A1D">
            <w:pPr>
              <w:rPr>
                <w:sz w:val="17"/>
                <w:szCs w:val="17"/>
              </w:rPr>
            </w:pPr>
            <w:r w:rsidRPr="00D249A2">
              <w:rPr>
                <w:sz w:val="17"/>
                <w:szCs w:val="17"/>
              </w:rPr>
              <w:t>Tanga</w:t>
            </w:r>
          </w:p>
        </w:tc>
        <w:tc>
          <w:tcPr>
            <w:tcW w:w="821" w:type="pct"/>
            <w:tcBorders>
              <w:top w:val="nil"/>
              <w:bottom w:val="nil"/>
              <w:right w:val="nil"/>
            </w:tcBorders>
            <w:shd w:val="clear" w:color="auto" w:fill="auto"/>
            <w:noWrap/>
            <w:vAlign w:val="bottom"/>
            <w:hideMark/>
          </w:tcPr>
          <w:p w14:paraId="4BBEB56A" w14:textId="2DB4B981" w:rsidR="00895A1D" w:rsidRPr="00D249A2" w:rsidRDefault="00895A1D" w:rsidP="00895A1D">
            <w:pPr>
              <w:jc w:val="right"/>
              <w:rPr>
                <w:sz w:val="17"/>
                <w:szCs w:val="17"/>
              </w:rPr>
            </w:pPr>
            <w:r w:rsidRPr="00D249A2">
              <w:rPr>
                <w:sz w:val="17"/>
                <w:szCs w:val="17"/>
              </w:rPr>
              <w:t>568</w:t>
            </w:r>
          </w:p>
        </w:tc>
        <w:tc>
          <w:tcPr>
            <w:tcW w:w="984" w:type="pct"/>
            <w:tcBorders>
              <w:top w:val="nil"/>
              <w:left w:val="nil"/>
              <w:bottom w:val="nil"/>
              <w:right w:val="nil"/>
            </w:tcBorders>
            <w:shd w:val="clear" w:color="auto" w:fill="auto"/>
            <w:noWrap/>
            <w:vAlign w:val="bottom"/>
            <w:hideMark/>
          </w:tcPr>
          <w:p w14:paraId="6E427627" w14:textId="11551704" w:rsidR="00895A1D" w:rsidRPr="00D249A2" w:rsidRDefault="00895A1D" w:rsidP="00895A1D">
            <w:pPr>
              <w:jc w:val="right"/>
              <w:rPr>
                <w:sz w:val="17"/>
                <w:szCs w:val="17"/>
              </w:rPr>
            </w:pPr>
            <w:r w:rsidRPr="00D249A2">
              <w:rPr>
                <w:sz w:val="17"/>
                <w:szCs w:val="17"/>
              </w:rPr>
              <w:t>482</w:t>
            </w:r>
          </w:p>
        </w:tc>
        <w:tc>
          <w:tcPr>
            <w:tcW w:w="1161" w:type="pct"/>
            <w:tcBorders>
              <w:top w:val="nil"/>
              <w:left w:val="nil"/>
              <w:bottom w:val="nil"/>
              <w:right w:val="nil"/>
            </w:tcBorders>
            <w:shd w:val="clear" w:color="auto" w:fill="auto"/>
            <w:noWrap/>
            <w:vAlign w:val="bottom"/>
            <w:hideMark/>
          </w:tcPr>
          <w:p w14:paraId="06BB9D6C" w14:textId="01560D46" w:rsidR="00895A1D" w:rsidRPr="00D249A2" w:rsidRDefault="00895A1D" w:rsidP="00895A1D">
            <w:pPr>
              <w:jc w:val="right"/>
              <w:rPr>
                <w:sz w:val="17"/>
                <w:szCs w:val="17"/>
              </w:rPr>
            </w:pPr>
            <w:r w:rsidRPr="00D249A2">
              <w:rPr>
                <w:sz w:val="17"/>
                <w:szCs w:val="17"/>
              </w:rPr>
              <w:t>2,494</w:t>
            </w:r>
          </w:p>
        </w:tc>
        <w:tc>
          <w:tcPr>
            <w:tcW w:w="798" w:type="pct"/>
            <w:tcBorders>
              <w:top w:val="nil"/>
              <w:left w:val="nil"/>
              <w:bottom w:val="nil"/>
              <w:right w:val="nil"/>
            </w:tcBorders>
            <w:shd w:val="clear" w:color="auto" w:fill="auto"/>
            <w:noWrap/>
            <w:vAlign w:val="bottom"/>
            <w:hideMark/>
          </w:tcPr>
          <w:p w14:paraId="6692F766" w14:textId="280B1BCE" w:rsidR="00895A1D" w:rsidRPr="00D249A2" w:rsidRDefault="00895A1D" w:rsidP="00895A1D">
            <w:pPr>
              <w:jc w:val="right"/>
              <w:rPr>
                <w:sz w:val="17"/>
                <w:szCs w:val="17"/>
              </w:rPr>
            </w:pPr>
            <w:r w:rsidRPr="00D249A2">
              <w:rPr>
                <w:sz w:val="17"/>
                <w:szCs w:val="17"/>
              </w:rPr>
              <w:t>5.2</w:t>
            </w:r>
          </w:p>
        </w:tc>
      </w:tr>
      <w:tr w:rsidR="00D249A2" w:rsidRPr="00D249A2" w14:paraId="478E773B" w14:textId="77777777" w:rsidTr="00D249A2">
        <w:trPr>
          <w:trHeight w:val="312"/>
        </w:trPr>
        <w:tc>
          <w:tcPr>
            <w:tcW w:w="1236" w:type="pct"/>
            <w:tcBorders>
              <w:top w:val="nil"/>
              <w:left w:val="nil"/>
              <w:bottom w:val="nil"/>
            </w:tcBorders>
            <w:shd w:val="clear" w:color="auto" w:fill="auto"/>
            <w:noWrap/>
            <w:vAlign w:val="bottom"/>
            <w:hideMark/>
          </w:tcPr>
          <w:p w14:paraId="74E783B6" w14:textId="77777777" w:rsidR="00895A1D" w:rsidRPr="00D249A2" w:rsidRDefault="00895A1D" w:rsidP="00895A1D">
            <w:pPr>
              <w:rPr>
                <w:sz w:val="17"/>
                <w:szCs w:val="17"/>
              </w:rPr>
            </w:pPr>
            <w:r w:rsidRPr="00D249A2">
              <w:rPr>
                <w:sz w:val="17"/>
                <w:szCs w:val="17"/>
              </w:rPr>
              <w:t>Morogoro</w:t>
            </w:r>
          </w:p>
        </w:tc>
        <w:tc>
          <w:tcPr>
            <w:tcW w:w="821" w:type="pct"/>
            <w:tcBorders>
              <w:top w:val="nil"/>
              <w:bottom w:val="nil"/>
              <w:right w:val="nil"/>
            </w:tcBorders>
            <w:shd w:val="clear" w:color="auto" w:fill="auto"/>
            <w:noWrap/>
            <w:vAlign w:val="bottom"/>
            <w:hideMark/>
          </w:tcPr>
          <w:p w14:paraId="70B4E5C9" w14:textId="3D8A45D8" w:rsidR="00895A1D" w:rsidRPr="00D249A2" w:rsidRDefault="00895A1D" w:rsidP="00895A1D">
            <w:pPr>
              <w:jc w:val="right"/>
              <w:rPr>
                <w:sz w:val="17"/>
                <w:szCs w:val="17"/>
              </w:rPr>
            </w:pPr>
            <w:r w:rsidRPr="00D249A2">
              <w:rPr>
                <w:sz w:val="17"/>
                <w:szCs w:val="17"/>
              </w:rPr>
              <w:t>243</w:t>
            </w:r>
          </w:p>
        </w:tc>
        <w:tc>
          <w:tcPr>
            <w:tcW w:w="984" w:type="pct"/>
            <w:tcBorders>
              <w:top w:val="nil"/>
              <w:left w:val="nil"/>
              <w:bottom w:val="nil"/>
              <w:right w:val="nil"/>
            </w:tcBorders>
            <w:shd w:val="clear" w:color="auto" w:fill="auto"/>
            <w:noWrap/>
            <w:vAlign w:val="bottom"/>
            <w:hideMark/>
          </w:tcPr>
          <w:p w14:paraId="66E035D8" w14:textId="0F8B6D94" w:rsidR="00895A1D" w:rsidRPr="00D249A2" w:rsidRDefault="00895A1D" w:rsidP="00895A1D">
            <w:pPr>
              <w:jc w:val="right"/>
              <w:rPr>
                <w:sz w:val="17"/>
                <w:szCs w:val="17"/>
              </w:rPr>
            </w:pPr>
            <w:r w:rsidRPr="00D249A2">
              <w:rPr>
                <w:sz w:val="17"/>
                <w:szCs w:val="17"/>
              </w:rPr>
              <w:t>174</w:t>
            </w:r>
          </w:p>
        </w:tc>
        <w:tc>
          <w:tcPr>
            <w:tcW w:w="1161" w:type="pct"/>
            <w:tcBorders>
              <w:top w:val="nil"/>
              <w:left w:val="nil"/>
              <w:bottom w:val="nil"/>
              <w:right w:val="nil"/>
            </w:tcBorders>
            <w:shd w:val="clear" w:color="auto" w:fill="auto"/>
            <w:noWrap/>
            <w:vAlign w:val="bottom"/>
            <w:hideMark/>
          </w:tcPr>
          <w:p w14:paraId="427E99FA" w14:textId="19983F87" w:rsidR="00895A1D" w:rsidRPr="00D249A2" w:rsidRDefault="00895A1D" w:rsidP="00895A1D">
            <w:pPr>
              <w:jc w:val="right"/>
              <w:rPr>
                <w:sz w:val="17"/>
                <w:szCs w:val="17"/>
              </w:rPr>
            </w:pPr>
            <w:r w:rsidRPr="00D249A2">
              <w:rPr>
                <w:sz w:val="17"/>
                <w:szCs w:val="17"/>
              </w:rPr>
              <w:t>787</w:t>
            </w:r>
          </w:p>
        </w:tc>
        <w:tc>
          <w:tcPr>
            <w:tcW w:w="798" w:type="pct"/>
            <w:tcBorders>
              <w:top w:val="nil"/>
              <w:left w:val="nil"/>
              <w:bottom w:val="nil"/>
              <w:right w:val="nil"/>
            </w:tcBorders>
            <w:shd w:val="clear" w:color="auto" w:fill="auto"/>
            <w:noWrap/>
            <w:vAlign w:val="bottom"/>
            <w:hideMark/>
          </w:tcPr>
          <w:p w14:paraId="0DE5E4FD" w14:textId="5BAB13A4" w:rsidR="00895A1D" w:rsidRPr="00D249A2" w:rsidRDefault="00895A1D" w:rsidP="00895A1D">
            <w:pPr>
              <w:jc w:val="right"/>
              <w:rPr>
                <w:sz w:val="17"/>
                <w:szCs w:val="17"/>
              </w:rPr>
            </w:pPr>
            <w:r w:rsidRPr="00D249A2">
              <w:rPr>
                <w:sz w:val="17"/>
                <w:szCs w:val="17"/>
              </w:rPr>
              <w:t>4.5</w:t>
            </w:r>
          </w:p>
        </w:tc>
      </w:tr>
      <w:tr w:rsidR="00D249A2" w:rsidRPr="00D249A2" w14:paraId="319E16F6" w14:textId="77777777" w:rsidTr="00D249A2">
        <w:trPr>
          <w:trHeight w:val="312"/>
        </w:trPr>
        <w:tc>
          <w:tcPr>
            <w:tcW w:w="1236" w:type="pct"/>
            <w:tcBorders>
              <w:top w:val="nil"/>
              <w:left w:val="nil"/>
              <w:bottom w:val="nil"/>
            </w:tcBorders>
            <w:shd w:val="clear" w:color="auto" w:fill="auto"/>
            <w:noWrap/>
            <w:vAlign w:val="bottom"/>
            <w:hideMark/>
          </w:tcPr>
          <w:p w14:paraId="3F80EA8D" w14:textId="77777777" w:rsidR="00895A1D" w:rsidRPr="00D249A2" w:rsidRDefault="00895A1D" w:rsidP="00895A1D">
            <w:pPr>
              <w:rPr>
                <w:sz w:val="17"/>
                <w:szCs w:val="17"/>
              </w:rPr>
            </w:pPr>
            <w:r w:rsidRPr="00D249A2">
              <w:rPr>
                <w:sz w:val="17"/>
                <w:szCs w:val="17"/>
              </w:rPr>
              <w:t>Pwani</w:t>
            </w:r>
          </w:p>
        </w:tc>
        <w:tc>
          <w:tcPr>
            <w:tcW w:w="821" w:type="pct"/>
            <w:tcBorders>
              <w:top w:val="nil"/>
              <w:bottom w:val="nil"/>
              <w:right w:val="nil"/>
            </w:tcBorders>
            <w:shd w:val="clear" w:color="auto" w:fill="auto"/>
            <w:noWrap/>
            <w:vAlign w:val="bottom"/>
            <w:hideMark/>
          </w:tcPr>
          <w:p w14:paraId="4FB2EE13" w14:textId="78DAAE67" w:rsidR="00895A1D" w:rsidRPr="00D249A2" w:rsidRDefault="00895A1D" w:rsidP="00895A1D">
            <w:pPr>
              <w:jc w:val="right"/>
              <w:rPr>
                <w:sz w:val="17"/>
                <w:szCs w:val="17"/>
              </w:rPr>
            </w:pPr>
            <w:r w:rsidRPr="00D249A2">
              <w:rPr>
                <w:sz w:val="17"/>
                <w:szCs w:val="17"/>
              </w:rPr>
              <w:t>645</w:t>
            </w:r>
          </w:p>
        </w:tc>
        <w:tc>
          <w:tcPr>
            <w:tcW w:w="984" w:type="pct"/>
            <w:tcBorders>
              <w:top w:val="nil"/>
              <w:left w:val="nil"/>
              <w:bottom w:val="nil"/>
              <w:right w:val="nil"/>
            </w:tcBorders>
            <w:shd w:val="clear" w:color="auto" w:fill="auto"/>
            <w:noWrap/>
            <w:vAlign w:val="bottom"/>
            <w:hideMark/>
          </w:tcPr>
          <w:p w14:paraId="1E643A5A" w14:textId="51D71C11" w:rsidR="00895A1D" w:rsidRPr="00D249A2" w:rsidRDefault="00895A1D" w:rsidP="00895A1D">
            <w:pPr>
              <w:jc w:val="right"/>
              <w:rPr>
                <w:sz w:val="17"/>
                <w:szCs w:val="17"/>
              </w:rPr>
            </w:pPr>
            <w:r w:rsidRPr="00D249A2">
              <w:rPr>
                <w:sz w:val="17"/>
                <w:szCs w:val="17"/>
              </w:rPr>
              <w:t>344</w:t>
            </w:r>
          </w:p>
        </w:tc>
        <w:tc>
          <w:tcPr>
            <w:tcW w:w="1161" w:type="pct"/>
            <w:tcBorders>
              <w:top w:val="nil"/>
              <w:left w:val="nil"/>
              <w:bottom w:val="nil"/>
              <w:right w:val="nil"/>
            </w:tcBorders>
            <w:shd w:val="clear" w:color="auto" w:fill="auto"/>
            <w:noWrap/>
            <w:vAlign w:val="bottom"/>
            <w:hideMark/>
          </w:tcPr>
          <w:p w14:paraId="061F544F" w14:textId="2FCA6493" w:rsidR="00895A1D" w:rsidRPr="00D249A2" w:rsidRDefault="00895A1D" w:rsidP="00895A1D">
            <w:pPr>
              <w:jc w:val="right"/>
              <w:rPr>
                <w:sz w:val="17"/>
                <w:szCs w:val="17"/>
              </w:rPr>
            </w:pPr>
            <w:r w:rsidRPr="00D249A2">
              <w:rPr>
                <w:sz w:val="17"/>
                <w:szCs w:val="17"/>
              </w:rPr>
              <w:t>1,192</w:t>
            </w:r>
          </w:p>
        </w:tc>
        <w:tc>
          <w:tcPr>
            <w:tcW w:w="798" w:type="pct"/>
            <w:tcBorders>
              <w:top w:val="nil"/>
              <w:left w:val="nil"/>
              <w:bottom w:val="nil"/>
              <w:right w:val="nil"/>
            </w:tcBorders>
            <w:shd w:val="clear" w:color="auto" w:fill="auto"/>
            <w:noWrap/>
            <w:vAlign w:val="bottom"/>
            <w:hideMark/>
          </w:tcPr>
          <w:p w14:paraId="7AF2045B" w14:textId="2D834FA2" w:rsidR="00895A1D" w:rsidRPr="00D249A2" w:rsidRDefault="00895A1D" w:rsidP="00895A1D">
            <w:pPr>
              <w:jc w:val="right"/>
              <w:rPr>
                <w:sz w:val="17"/>
                <w:szCs w:val="17"/>
              </w:rPr>
            </w:pPr>
            <w:r w:rsidRPr="00D249A2">
              <w:rPr>
                <w:sz w:val="17"/>
                <w:szCs w:val="17"/>
              </w:rPr>
              <w:t>3.5</w:t>
            </w:r>
          </w:p>
        </w:tc>
      </w:tr>
      <w:tr w:rsidR="00D249A2" w:rsidRPr="00D249A2" w14:paraId="3B52810C" w14:textId="77777777" w:rsidTr="00D249A2">
        <w:trPr>
          <w:trHeight w:val="312"/>
        </w:trPr>
        <w:tc>
          <w:tcPr>
            <w:tcW w:w="1236" w:type="pct"/>
            <w:tcBorders>
              <w:top w:val="nil"/>
              <w:left w:val="nil"/>
              <w:bottom w:val="nil"/>
            </w:tcBorders>
            <w:shd w:val="clear" w:color="auto" w:fill="auto"/>
            <w:noWrap/>
            <w:vAlign w:val="bottom"/>
            <w:hideMark/>
          </w:tcPr>
          <w:p w14:paraId="18E3B79B" w14:textId="77777777" w:rsidR="00895A1D" w:rsidRPr="00D249A2" w:rsidRDefault="00895A1D" w:rsidP="00895A1D">
            <w:pPr>
              <w:rPr>
                <w:sz w:val="17"/>
                <w:szCs w:val="17"/>
              </w:rPr>
            </w:pPr>
            <w:r w:rsidRPr="00D249A2">
              <w:rPr>
                <w:sz w:val="17"/>
                <w:szCs w:val="17"/>
              </w:rPr>
              <w:t>Dar Es Salaam</w:t>
            </w:r>
          </w:p>
        </w:tc>
        <w:tc>
          <w:tcPr>
            <w:tcW w:w="821" w:type="pct"/>
            <w:tcBorders>
              <w:top w:val="nil"/>
              <w:bottom w:val="nil"/>
              <w:right w:val="nil"/>
            </w:tcBorders>
            <w:shd w:val="clear" w:color="auto" w:fill="auto"/>
            <w:noWrap/>
            <w:vAlign w:val="bottom"/>
            <w:hideMark/>
          </w:tcPr>
          <w:p w14:paraId="73077FC9" w14:textId="18239DBD" w:rsidR="00895A1D" w:rsidRPr="00D249A2" w:rsidRDefault="00895A1D" w:rsidP="00895A1D">
            <w:pPr>
              <w:jc w:val="right"/>
              <w:rPr>
                <w:sz w:val="17"/>
                <w:szCs w:val="17"/>
              </w:rPr>
            </w:pPr>
            <w:r w:rsidRPr="00D249A2">
              <w:rPr>
                <w:sz w:val="17"/>
                <w:szCs w:val="17"/>
              </w:rPr>
              <w:t>6,759</w:t>
            </w:r>
          </w:p>
        </w:tc>
        <w:tc>
          <w:tcPr>
            <w:tcW w:w="984" w:type="pct"/>
            <w:tcBorders>
              <w:top w:val="nil"/>
              <w:left w:val="nil"/>
              <w:bottom w:val="nil"/>
              <w:right w:val="nil"/>
            </w:tcBorders>
            <w:shd w:val="clear" w:color="auto" w:fill="auto"/>
            <w:noWrap/>
            <w:vAlign w:val="bottom"/>
            <w:hideMark/>
          </w:tcPr>
          <w:p w14:paraId="01BE30FE" w14:textId="72DED652" w:rsidR="00895A1D" w:rsidRPr="00D249A2" w:rsidRDefault="00895A1D" w:rsidP="00895A1D">
            <w:pPr>
              <w:jc w:val="right"/>
              <w:rPr>
                <w:sz w:val="17"/>
                <w:szCs w:val="17"/>
              </w:rPr>
            </w:pPr>
            <w:r w:rsidRPr="00D249A2">
              <w:rPr>
                <w:sz w:val="17"/>
                <w:szCs w:val="17"/>
              </w:rPr>
              <w:t>6,443</w:t>
            </w:r>
          </w:p>
        </w:tc>
        <w:tc>
          <w:tcPr>
            <w:tcW w:w="1161" w:type="pct"/>
            <w:tcBorders>
              <w:top w:val="nil"/>
              <w:left w:val="nil"/>
              <w:bottom w:val="nil"/>
              <w:right w:val="nil"/>
            </w:tcBorders>
            <w:shd w:val="clear" w:color="auto" w:fill="auto"/>
            <w:noWrap/>
            <w:vAlign w:val="bottom"/>
            <w:hideMark/>
          </w:tcPr>
          <w:p w14:paraId="786A3432" w14:textId="13F883EA" w:rsidR="00895A1D" w:rsidRPr="00D249A2" w:rsidRDefault="00895A1D" w:rsidP="00895A1D">
            <w:pPr>
              <w:jc w:val="right"/>
              <w:rPr>
                <w:sz w:val="17"/>
                <w:szCs w:val="17"/>
              </w:rPr>
            </w:pPr>
            <w:r w:rsidRPr="00D249A2">
              <w:rPr>
                <w:sz w:val="17"/>
                <w:szCs w:val="17"/>
              </w:rPr>
              <w:t>24,041</w:t>
            </w:r>
          </w:p>
        </w:tc>
        <w:tc>
          <w:tcPr>
            <w:tcW w:w="798" w:type="pct"/>
            <w:tcBorders>
              <w:top w:val="nil"/>
              <w:left w:val="nil"/>
              <w:bottom w:val="nil"/>
              <w:right w:val="nil"/>
            </w:tcBorders>
            <w:shd w:val="clear" w:color="auto" w:fill="auto"/>
            <w:noWrap/>
            <w:vAlign w:val="bottom"/>
            <w:hideMark/>
          </w:tcPr>
          <w:p w14:paraId="1D615DA7" w14:textId="7A91E5BC" w:rsidR="00895A1D" w:rsidRPr="00D249A2" w:rsidRDefault="00895A1D" w:rsidP="00895A1D">
            <w:pPr>
              <w:jc w:val="right"/>
              <w:rPr>
                <w:sz w:val="17"/>
                <w:szCs w:val="17"/>
              </w:rPr>
            </w:pPr>
            <w:r w:rsidRPr="00D249A2">
              <w:rPr>
                <w:sz w:val="17"/>
                <w:szCs w:val="17"/>
              </w:rPr>
              <w:t>3.7</w:t>
            </w:r>
          </w:p>
        </w:tc>
      </w:tr>
      <w:tr w:rsidR="00D249A2" w:rsidRPr="00D249A2" w14:paraId="2966C27B" w14:textId="77777777" w:rsidTr="00D249A2">
        <w:trPr>
          <w:trHeight w:val="312"/>
        </w:trPr>
        <w:tc>
          <w:tcPr>
            <w:tcW w:w="1236" w:type="pct"/>
            <w:tcBorders>
              <w:top w:val="nil"/>
              <w:left w:val="nil"/>
              <w:bottom w:val="nil"/>
            </w:tcBorders>
            <w:shd w:val="clear" w:color="auto" w:fill="auto"/>
            <w:noWrap/>
            <w:vAlign w:val="bottom"/>
            <w:hideMark/>
          </w:tcPr>
          <w:p w14:paraId="672D77BB" w14:textId="77777777" w:rsidR="00895A1D" w:rsidRPr="00D249A2" w:rsidRDefault="00895A1D" w:rsidP="00895A1D">
            <w:pPr>
              <w:rPr>
                <w:sz w:val="17"/>
                <w:szCs w:val="17"/>
              </w:rPr>
            </w:pPr>
            <w:r w:rsidRPr="00D249A2">
              <w:rPr>
                <w:sz w:val="17"/>
                <w:szCs w:val="17"/>
              </w:rPr>
              <w:t>Lindi</w:t>
            </w:r>
          </w:p>
        </w:tc>
        <w:tc>
          <w:tcPr>
            <w:tcW w:w="821" w:type="pct"/>
            <w:tcBorders>
              <w:top w:val="nil"/>
              <w:bottom w:val="nil"/>
              <w:right w:val="nil"/>
            </w:tcBorders>
            <w:shd w:val="clear" w:color="auto" w:fill="auto"/>
            <w:noWrap/>
            <w:vAlign w:val="bottom"/>
            <w:hideMark/>
          </w:tcPr>
          <w:p w14:paraId="565740FC" w14:textId="6401203F" w:rsidR="00895A1D" w:rsidRPr="00D249A2" w:rsidRDefault="00895A1D" w:rsidP="00895A1D">
            <w:pPr>
              <w:jc w:val="right"/>
              <w:rPr>
                <w:sz w:val="17"/>
                <w:szCs w:val="17"/>
              </w:rPr>
            </w:pPr>
            <w:r w:rsidRPr="00D249A2">
              <w:rPr>
                <w:sz w:val="17"/>
                <w:szCs w:val="17"/>
              </w:rPr>
              <w:t>86</w:t>
            </w:r>
          </w:p>
        </w:tc>
        <w:tc>
          <w:tcPr>
            <w:tcW w:w="984" w:type="pct"/>
            <w:tcBorders>
              <w:top w:val="nil"/>
              <w:left w:val="nil"/>
              <w:bottom w:val="nil"/>
              <w:right w:val="nil"/>
            </w:tcBorders>
            <w:shd w:val="clear" w:color="auto" w:fill="auto"/>
            <w:noWrap/>
            <w:vAlign w:val="bottom"/>
            <w:hideMark/>
          </w:tcPr>
          <w:p w14:paraId="6C64EDA5" w14:textId="7E0FAD16" w:rsidR="00895A1D" w:rsidRPr="00D249A2" w:rsidRDefault="00895A1D" w:rsidP="00895A1D">
            <w:pPr>
              <w:jc w:val="right"/>
              <w:rPr>
                <w:sz w:val="17"/>
                <w:szCs w:val="17"/>
              </w:rPr>
            </w:pPr>
            <w:r w:rsidRPr="00D249A2">
              <w:rPr>
                <w:sz w:val="17"/>
                <w:szCs w:val="17"/>
              </w:rPr>
              <w:t>27</w:t>
            </w:r>
          </w:p>
        </w:tc>
        <w:tc>
          <w:tcPr>
            <w:tcW w:w="1161" w:type="pct"/>
            <w:tcBorders>
              <w:top w:val="nil"/>
              <w:left w:val="nil"/>
              <w:bottom w:val="nil"/>
              <w:right w:val="nil"/>
            </w:tcBorders>
            <w:shd w:val="clear" w:color="auto" w:fill="auto"/>
            <w:noWrap/>
            <w:vAlign w:val="bottom"/>
            <w:hideMark/>
          </w:tcPr>
          <w:p w14:paraId="76FDB492" w14:textId="7D078D0C" w:rsidR="00895A1D" w:rsidRPr="00D249A2" w:rsidRDefault="00895A1D" w:rsidP="00895A1D">
            <w:pPr>
              <w:jc w:val="right"/>
              <w:rPr>
                <w:sz w:val="17"/>
                <w:szCs w:val="17"/>
              </w:rPr>
            </w:pPr>
            <w:r w:rsidRPr="00D249A2">
              <w:rPr>
                <w:sz w:val="17"/>
                <w:szCs w:val="17"/>
              </w:rPr>
              <w:t>38</w:t>
            </w:r>
          </w:p>
        </w:tc>
        <w:tc>
          <w:tcPr>
            <w:tcW w:w="798" w:type="pct"/>
            <w:tcBorders>
              <w:top w:val="nil"/>
              <w:left w:val="nil"/>
              <w:bottom w:val="nil"/>
              <w:right w:val="nil"/>
            </w:tcBorders>
            <w:shd w:val="clear" w:color="auto" w:fill="auto"/>
            <w:noWrap/>
            <w:vAlign w:val="bottom"/>
            <w:hideMark/>
          </w:tcPr>
          <w:p w14:paraId="7E0538F3" w14:textId="103EF4C1" w:rsidR="00895A1D" w:rsidRPr="00D249A2" w:rsidRDefault="00895A1D" w:rsidP="00895A1D">
            <w:pPr>
              <w:jc w:val="right"/>
              <w:rPr>
                <w:sz w:val="17"/>
                <w:szCs w:val="17"/>
              </w:rPr>
            </w:pPr>
            <w:r w:rsidRPr="00D249A2">
              <w:rPr>
                <w:sz w:val="17"/>
                <w:szCs w:val="17"/>
              </w:rPr>
              <w:t>1.4</w:t>
            </w:r>
          </w:p>
        </w:tc>
      </w:tr>
      <w:tr w:rsidR="00D249A2" w:rsidRPr="00D249A2" w14:paraId="0B2D392B" w14:textId="77777777" w:rsidTr="00D249A2">
        <w:trPr>
          <w:trHeight w:val="312"/>
        </w:trPr>
        <w:tc>
          <w:tcPr>
            <w:tcW w:w="1236" w:type="pct"/>
            <w:tcBorders>
              <w:top w:val="nil"/>
              <w:left w:val="nil"/>
              <w:bottom w:val="nil"/>
            </w:tcBorders>
            <w:shd w:val="clear" w:color="auto" w:fill="auto"/>
            <w:noWrap/>
            <w:vAlign w:val="bottom"/>
            <w:hideMark/>
          </w:tcPr>
          <w:p w14:paraId="663FBA6E" w14:textId="77777777" w:rsidR="00895A1D" w:rsidRPr="00D249A2" w:rsidRDefault="00895A1D" w:rsidP="00895A1D">
            <w:pPr>
              <w:rPr>
                <w:sz w:val="17"/>
                <w:szCs w:val="17"/>
              </w:rPr>
            </w:pPr>
            <w:r w:rsidRPr="00D249A2">
              <w:rPr>
                <w:sz w:val="17"/>
                <w:szCs w:val="17"/>
              </w:rPr>
              <w:t>Mtwara</w:t>
            </w:r>
          </w:p>
        </w:tc>
        <w:tc>
          <w:tcPr>
            <w:tcW w:w="821" w:type="pct"/>
            <w:tcBorders>
              <w:top w:val="nil"/>
              <w:bottom w:val="nil"/>
              <w:right w:val="nil"/>
            </w:tcBorders>
            <w:shd w:val="clear" w:color="auto" w:fill="auto"/>
            <w:noWrap/>
            <w:vAlign w:val="bottom"/>
            <w:hideMark/>
          </w:tcPr>
          <w:p w14:paraId="35DFEE52" w14:textId="6E25ECC2" w:rsidR="00895A1D" w:rsidRPr="00D249A2" w:rsidRDefault="00895A1D" w:rsidP="00895A1D">
            <w:pPr>
              <w:jc w:val="right"/>
              <w:rPr>
                <w:sz w:val="17"/>
                <w:szCs w:val="17"/>
              </w:rPr>
            </w:pPr>
            <w:r w:rsidRPr="00D249A2">
              <w:rPr>
                <w:sz w:val="17"/>
                <w:szCs w:val="17"/>
              </w:rPr>
              <w:t>345</w:t>
            </w:r>
          </w:p>
        </w:tc>
        <w:tc>
          <w:tcPr>
            <w:tcW w:w="984" w:type="pct"/>
            <w:tcBorders>
              <w:top w:val="nil"/>
              <w:left w:val="nil"/>
              <w:bottom w:val="nil"/>
              <w:right w:val="nil"/>
            </w:tcBorders>
            <w:shd w:val="clear" w:color="auto" w:fill="auto"/>
            <w:noWrap/>
            <w:vAlign w:val="bottom"/>
            <w:hideMark/>
          </w:tcPr>
          <w:p w14:paraId="6AC689E4" w14:textId="453DB07B" w:rsidR="00895A1D" w:rsidRPr="00D249A2" w:rsidRDefault="00895A1D" w:rsidP="00895A1D">
            <w:pPr>
              <w:jc w:val="right"/>
              <w:rPr>
                <w:sz w:val="17"/>
                <w:szCs w:val="17"/>
              </w:rPr>
            </w:pPr>
            <w:r w:rsidRPr="00D249A2">
              <w:rPr>
                <w:sz w:val="17"/>
                <w:szCs w:val="17"/>
              </w:rPr>
              <w:t>285</w:t>
            </w:r>
          </w:p>
        </w:tc>
        <w:tc>
          <w:tcPr>
            <w:tcW w:w="1161" w:type="pct"/>
            <w:tcBorders>
              <w:top w:val="nil"/>
              <w:left w:val="nil"/>
              <w:bottom w:val="nil"/>
              <w:right w:val="nil"/>
            </w:tcBorders>
            <w:shd w:val="clear" w:color="auto" w:fill="auto"/>
            <w:noWrap/>
            <w:vAlign w:val="bottom"/>
            <w:hideMark/>
          </w:tcPr>
          <w:p w14:paraId="5DA4E251" w14:textId="5222E323" w:rsidR="00895A1D" w:rsidRPr="00D249A2" w:rsidRDefault="00895A1D" w:rsidP="00895A1D">
            <w:pPr>
              <w:jc w:val="right"/>
              <w:rPr>
                <w:sz w:val="17"/>
                <w:szCs w:val="17"/>
              </w:rPr>
            </w:pPr>
            <w:r w:rsidRPr="00D249A2">
              <w:rPr>
                <w:sz w:val="17"/>
                <w:szCs w:val="17"/>
              </w:rPr>
              <w:t>392</w:t>
            </w:r>
          </w:p>
        </w:tc>
        <w:tc>
          <w:tcPr>
            <w:tcW w:w="798" w:type="pct"/>
            <w:tcBorders>
              <w:top w:val="nil"/>
              <w:left w:val="nil"/>
              <w:bottom w:val="nil"/>
              <w:right w:val="nil"/>
            </w:tcBorders>
            <w:shd w:val="clear" w:color="auto" w:fill="auto"/>
            <w:noWrap/>
            <w:vAlign w:val="bottom"/>
            <w:hideMark/>
          </w:tcPr>
          <w:p w14:paraId="198B2C3F" w14:textId="3C096EB7" w:rsidR="00895A1D" w:rsidRPr="00D249A2" w:rsidRDefault="00895A1D" w:rsidP="00895A1D">
            <w:pPr>
              <w:jc w:val="right"/>
              <w:rPr>
                <w:sz w:val="17"/>
                <w:szCs w:val="17"/>
              </w:rPr>
            </w:pPr>
            <w:r w:rsidRPr="00D249A2">
              <w:rPr>
                <w:sz w:val="17"/>
                <w:szCs w:val="17"/>
              </w:rPr>
              <w:t>1.4</w:t>
            </w:r>
          </w:p>
        </w:tc>
      </w:tr>
      <w:tr w:rsidR="00D249A2" w:rsidRPr="00D249A2" w14:paraId="6BF29E7E" w14:textId="77777777" w:rsidTr="00D249A2">
        <w:trPr>
          <w:trHeight w:val="312"/>
        </w:trPr>
        <w:tc>
          <w:tcPr>
            <w:tcW w:w="1236" w:type="pct"/>
            <w:tcBorders>
              <w:top w:val="nil"/>
              <w:left w:val="nil"/>
              <w:bottom w:val="nil"/>
            </w:tcBorders>
            <w:shd w:val="clear" w:color="auto" w:fill="auto"/>
            <w:noWrap/>
            <w:vAlign w:val="bottom"/>
            <w:hideMark/>
          </w:tcPr>
          <w:p w14:paraId="60F6D6A6" w14:textId="77777777" w:rsidR="00895A1D" w:rsidRPr="00D249A2" w:rsidRDefault="00895A1D" w:rsidP="00895A1D">
            <w:pPr>
              <w:rPr>
                <w:sz w:val="17"/>
                <w:szCs w:val="17"/>
              </w:rPr>
            </w:pPr>
            <w:r w:rsidRPr="00D249A2">
              <w:rPr>
                <w:sz w:val="17"/>
                <w:szCs w:val="17"/>
              </w:rPr>
              <w:t>Ruvuma</w:t>
            </w:r>
          </w:p>
        </w:tc>
        <w:tc>
          <w:tcPr>
            <w:tcW w:w="821" w:type="pct"/>
            <w:tcBorders>
              <w:top w:val="nil"/>
              <w:bottom w:val="nil"/>
              <w:right w:val="nil"/>
            </w:tcBorders>
            <w:shd w:val="clear" w:color="auto" w:fill="auto"/>
            <w:noWrap/>
            <w:vAlign w:val="bottom"/>
            <w:hideMark/>
          </w:tcPr>
          <w:p w14:paraId="789588B3" w14:textId="1EE70586" w:rsidR="00895A1D" w:rsidRPr="00D249A2" w:rsidRDefault="00895A1D" w:rsidP="00895A1D">
            <w:pPr>
              <w:jc w:val="right"/>
              <w:rPr>
                <w:sz w:val="17"/>
                <w:szCs w:val="17"/>
              </w:rPr>
            </w:pPr>
            <w:r w:rsidRPr="00D249A2">
              <w:rPr>
                <w:sz w:val="17"/>
                <w:szCs w:val="17"/>
              </w:rPr>
              <w:t>-</w:t>
            </w:r>
          </w:p>
        </w:tc>
        <w:tc>
          <w:tcPr>
            <w:tcW w:w="984" w:type="pct"/>
            <w:tcBorders>
              <w:top w:val="nil"/>
              <w:left w:val="nil"/>
              <w:bottom w:val="nil"/>
              <w:right w:val="nil"/>
            </w:tcBorders>
            <w:shd w:val="clear" w:color="auto" w:fill="auto"/>
            <w:noWrap/>
            <w:vAlign w:val="bottom"/>
            <w:hideMark/>
          </w:tcPr>
          <w:p w14:paraId="1BAA3889" w14:textId="62EA2C3E" w:rsidR="00895A1D" w:rsidRPr="00D249A2" w:rsidRDefault="00895A1D" w:rsidP="00895A1D">
            <w:pPr>
              <w:jc w:val="right"/>
              <w:rPr>
                <w:sz w:val="17"/>
                <w:szCs w:val="17"/>
              </w:rPr>
            </w:pPr>
            <w:r w:rsidRPr="00D249A2">
              <w:rPr>
                <w:sz w:val="17"/>
                <w:szCs w:val="17"/>
              </w:rPr>
              <w:t>-</w:t>
            </w:r>
          </w:p>
        </w:tc>
        <w:tc>
          <w:tcPr>
            <w:tcW w:w="1161" w:type="pct"/>
            <w:tcBorders>
              <w:top w:val="nil"/>
              <w:left w:val="nil"/>
              <w:bottom w:val="nil"/>
              <w:right w:val="nil"/>
            </w:tcBorders>
            <w:shd w:val="clear" w:color="auto" w:fill="auto"/>
            <w:noWrap/>
            <w:vAlign w:val="bottom"/>
            <w:hideMark/>
          </w:tcPr>
          <w:p w14:paraId="6C479CD5" w14:textId="1D4EF085" w:rsidR="00895A1D" w:rsidRPr="00D249A2" w:rsidRDefault="00895A1D" w:rsidP="00895A1D">
            <w:pPr>
              <w:jc w:val="right"/>
              <w:rPr>
                <w:sz w:val="17"/>
                <w:szCs w:val="17"/>
              </w:rPr>
            </w:pPr>
            <w:r w:rsidRPr="00D249A2">
              <w:rPr>
                <w:sz w:val="17"/>
                <w:szCs w:val="17"/>
              </w:rPr>
              <w:t>-</w:t>
            </w:r>
          </w:p>
        </w:tc>
        <w:tc>
          <w:tcPr>
            <w:tcW w:w="798" w:type="pct"/>
            <w:tcBorders>
              <w:top w:val="nil"/>
              <w:left w:val="nil"/>
              <w:bottom w:val="nil"/>
              <w:right w:val="nil"/>
            </w:tcBorders>
            <w:shd w:val="clear" w:color="auto" w:fill="auto"/>
            <w:noWrap/>
            <w:vAlign w:val="bottom"/>
            <w:hideMark/>
          </w:tcPr>
          <w:p w14:paraId="12589902" w14:textId="279A8FFB" w:rsidR="00895A1D" w:rsidRPr="00D249A2" w:rsidRDefault="00895A1D" w:rsidP="00895A1D">
            <w:pPr>
              <w:jc w:val="right"/>
              <w:rPr>
                <w:sz w:val="17"/>
                <w:szCs w:val="17"/>
              </w:rPr>
            </w:pPr>
            <w:r w:rsidRPr="00D249A2">
              <w:rPr>
                <w:sz w:val="17"/>
                <w:szCs w:val="17"/>
              </w:rPr>
              <w:t>-</w:t>
            </w:r>
          </w:p>
        </w:tc>
      </w:tr>
      <w:tr w:rsidR="00D249A2" w:rsidRPr="00D249A2" w14:paraId="4BA04FDE" w14:textId="77777777" w:rsidTr="00D249A2">
        <w:trPr>
          <w:trHeight w:val="312"/>
        </w:trPr>
        <w:tc>
          <w:tcPr>
            <w:tcW w:w="1236" w:type="pct"/>
            <w:tcBorders>
              <w:top w:val="nil"/>
              <w:left w:val="nil"/>
              <w:bottom w:val="nil"/>
            </w:tcBorders>
            <w:shd w:val="clear" w:color="auto" w:fill="auto"/>
            <w:noWrap/>
            <w:vAlign w:val="bottom"/>
            <w:hideMark/>
          </w:tcPr>
          <w:p w14:paraId="55B72D86" w14:textId="77777777" w:rsidR="00895A1D" w:rsidRPr="00D249A2" w:rsidRDefault="00895A1D" w:rsidP="00895A1D">
            <w:pPr>
              <w:rPr>
                <w:sz w:val="17"/>
                <w:szCs w:val="17"/>
              </w:rPr>
            </w:pPr>
            <w:r w:rsidRPr="00D249A2">
              <w:rPr>
                <w:sz w:val="17"/>
                <w:szCs w:val="17"/>
              </w:rPr>
              <w:t>Iringa</w:t>
            </w:r>
          </w:p>
        </w:tc>
        <w:tc>
          <w:tcPr>
            <w:tcW w:w="821" w:type="pct"/>
            <w:tcBorders>
              <w:top w:val="nil"/>
              <w:bottom w:val="nil"/>
              <w:right w:val="nil"/>
            </w:tcBorders>
            <w:shd w:val="clear" w:color="auto" w:fill="auto"/>
            <w:noWrap/>
            <w:vAlign w:val="bottom"/>
            <w:hideMark/>
          </w:tcPr>
          <w:p w14:paraId="6F5A614B" w14:textId="5CBB53B7" w:rsidR="00895A1D" w:rsidRPr="00D249A2" w:rsidRDefault="00895A1D" w:rsidP="00895A1D">
            <w:pPr>
              <w:jc w:val="right"/>
              <w:rPr>
                <w:sz w:val="17"/>
                <w:szCs w:val="17"/>
              </w:rPr>
            </w:pPr>
            <w:r w:rsidRPr="00D249A2">
              <w:rPr>
                <w:sz w:val="17"/>
                <w:szCs w:val="17"/>
              </w:rPr>
              <w:t>227</w:t>
            </w:r>
          </w:p>
        </w:tc>
        <w:tc>
          <w:tcPr>
            <w:tcW w:w="984" w:type="pct"/>
            <w:tcBorders>
              <w:top w:val="nil"/>
              <w:left w:val="nil"/>
              <w:bottom w:val="nil"/>
              <w:right w:val="nil"/>
            </w:tcBorders>
            <w:shd w:val="clear" w:color="auto" w:fill="auto"/>
            <w:noWrap/>
            <w:vAlign w:val="bottom"/>
            <w:hideMark/>
          </w:tcPr>
          <w:p w14:paraId="79535E7F" w14:textId="7E3714E7" w:rsidR="00895A1D" w:rsidRPr="00D249A2" w:rsidRDefault="00895A1D" w:rsidP="00895A1D">
            <w:pPr>
              <w:jc w:val="right"/>
              <w:rPr>
                <w:sz w:val="17"/>
                <w:szCs w:val="17"/>
              </w:rPr>
            </w:pPr>
            <w:r w:rsidRPr="00D249A2">
              <w:rPr>
                <w:sz w:val="17"/>
                <w:szCs w:val="17"/>
              </w:rPr>
              <w:t>209</w:t>
            </w:r>
          </w:p>
        </w:tc>
        <w:tc>
          <w:tcPr>
            <w:tcW w:w="1161" w:type="pct"/>
            <w:tcBorders>
              <w:top w:val="nil"/>
              <w:left w:val="nil"/>
              <w:bottom w:val="nil"/>
              <w:right w:val="nil"/>
            </w:tcBorders>
            <w:shd w:val="clear" w:color="auto" w:fill="auto"/>
            <w:noWrap/>
            <w:vAlign w:val="bottom"/>
            <w:hideMark/>
          </w:tcPr>
          <w:p w14:paraId="0E5D2FD7" w14:textId="3A8CDFC1" w:rsidR="00895A1D" w:rsidRPr="00D249A2" w:rsidRDefault="00895A1D" w:rsidP="00895A1D">
            <w:pPr>
              <w:jc w:val="right"/>
              <w:rPr>
                <w:sz w:val="17"/>
                <w:szCs w:val="17"/>
              </w:rPr>
            </w:pPr>
            <w:r w:rsidRPr="00D249A2">
              <w:rPr>
                <w:sz w:val="17"/>
                <w:szCs w:val="17"/>
              </w:rPr>
              <w:t>632</w:t>
            </w:r>
          </w:p>
        </w:tc>
        <w:tc>
          <w:tcPr>
            <w:tcW w:w="798" w:type="pct"/>
            <w:tcBorders>
              <w:top w:val="nil"/>
              <w:left w:val="nil"/>
              <w:bottom w:val="nil"/>
              <w:right w:val="nil"/>
            </w:tcBorders>
            <w:shd w:val="clear" w:color="auto" w:fill="auto"/>
            <w:noWrap/>
            <w:vAlign w:val="bottom"/>
            <w:hideMark/>
          </w:tcPr>
          <w:p w14:paraId="28010EC4" w14:textId="037E90FC" w:rsidR="00895A1D" w:rsidRPr="00D249A2" w:rsidRDefault="00895A1D" w:rsidP="00895A1D">
            <w:pPr>
              <w:jc w:val="right"/>
              <w:rPr>
                <w:sz w:val="17"/>
                <w:szCs w:val="17"/>
              </w:rPr>
            </w:pPr>
            <w:r w:rsidRPr="00D249A2">
              <w:rPr>
                <w:sz w:val="17"/>
                <w:szCs w:val="17"/>
              </w:rPr>
              <w:t>3.0</w:t>
            </w:r>
          </w:p>
        </w:tc>
      </w:tr>
      <w:tr w:rsidR="00D249A2" w:rsidRPr="00D249A2" w14:paraId="5B955BE8" w14:textId="77777777" w:rsidTr="00D249A2">
        <w:trPr>
          <w:trHeight w:val="312"/>
        </w:trPr>
        <w:tc>
          <w:tcPr>
            <w:tcW w:w="1236" w:type="pct"/>
            <w:tcBorders>
              <w:top w:val="nil"/>
              <w:left w:val="nil"/>
              <w:bottom w:val="nil"/>
            </w:tcBorders>
            <w:shd w:val="clear" w:color="auto" w:fill="auto"/>
            <w:noWrap/>
            <w:vAlign w:val="bottom"/>
            <w:hideMark/>
          </w:tcPr>
          <w:p w14:paraId="6024C93E" w14:textId="77777777" w:rsidR="00895A1D" w:rsidRPr="00D249A2" w:rsidRDefault="00895A1D" w:rsidP="00895A1D">
            <w:pPr>
              <w:rPr>
                <w:sz w:val="17"/>
                <w:szCs w:val="17"/>
              </w:rPr>
            </w:pPr>
            <w:r w:rsidRPr="00D249A2">
              <w:rPr>
                <w:sz w:val="17"/>
                <w:szCs w:val="17"/>
              </w:rPr>
              <w:t>Mbeya</w:t>
            </w:r>
          </w:p>
        </w:tc>
        <w:tc>
          <w:tcPr>
            <w:tcW w:w="821" w:type="pct"/>
            <w:tcBorders>
              <w:top w:val="nil"/>
              <w:bottom w:val="nil"/>
              <w:right w:val="nil"/>
            </w:tcBorders>
            <w:shd w:val="clear" w:color="auto" w:fill="auto"/>
            <w:noWrap/>
            <w:vAlign w:val="bottom"/>
            <w:hideMark/>
          </w:tcPr>
          <w:p w14:paraId="7E49484E" w14:textId="195A1BBE" w:rsidR="00895A1D" w:rsidRPr="00D249A2" w:rsidRDefault="00895A1D" w:rsidP="00895A1D">
            <w:pPr>
              <w:jc w:val="right"/>
              <w:rPr>
                <w:sz w:val="17"/>
                <w:szCs w:val="17"/>
              </w:rPr>
            </w:pPr>
            <w:r w:rsidRPr="00D249A2">
              <w:rPr>
                <w:sz w:val="17"/>
                <w:szCs w:val="17"/>
              </w:rPr>
              <w:t>60</w:t>
            </w:r>
          </w:p>
        </w:tc>
        <w:tc>
          <w:tcPr>
            <w:tcW w:w="984" w:type="pct"/>
            <w:tcBorders>
              <w:top w:val="nil"/>
              <w:left w:val="nil"/>
              <w:bottom w:val="nil"/>
              <w:right w:val="nil"/>
            </w:tcBorders>
            <w:shd w:val="clear" w:color="auto" w:fill="auto"/>
            <w:noWrap/>
            <w:vAlign w:val="bottom"/>
            <w:hideMark/>
          </w:tcPr>
          <w:p w14:paraId="5C67D10B" w14:textId="28C109DF" w:rsidR="00895A1D" w:rsidRPr="00D249A2" w:rsidRDefault="00895A1D" w:rsidP="00895A1D">
            <w:pPr>
              <w:jc w:val="right"/>
              <w:rPr>
                <w:sz w:val="17"/>
                <w:szCs w:val="17"/>
              </w:rPr>
            </w:pPr>
            <w:r w:rsidRPr="00D249A2">
              <w:rPr>
                <w:sz w:val="17"/>
                <w:szCs w:val="17"/>
              </w:rPr>
              <w:t>54</w:t>
            </w:r>
          </w:p>
        </w:tc>
        <w:tc>
          <w:tcPr>
            <w:tcW w:w="1161" w:type="pct"/>
            <w:tcBorders>
              <w:top w:val="nil"/>
              <w:left w:val="nil"/>
              <w:bottom w:val="nil"/>
              <w:right w:val="nil"/>
            </w:tcBorders>
            <w:shd w:val="clear" w:color="auto" w:fill="auto"/>
            <w:noWrap/>
            <w:vAlign w:val="bottom"/>
            <w:hideMark/>
          </w:tcPr>
          <w:p w14:paraId="15CB84D1" w14:textId="10E4FD6B" w:rsidR="00895A1D" w:rsidRPr="00D249A2" w:rsidRDefault="00895A1D" w:rsidP="00895A1D">
            <w:pPr>
              <w:jc w:val="right"/>
              <w:rPr>
                <w:sz w:val="17"/>
                <w:szCs w:val="17"/>
              </w:rPr>
            </w:pPr>
            <w:r w:rsidRPr="00D249A2">
              <w:rPr>
                <w:sz w:val="17"/>
                <w:szCs w:val="17"/>
              </w:rPr>
              <w:t>96</w:t>
            </w:r>
          </w:p>
        </w:tc>
        <w:tc>
          <w:tcPr>
            <w:tcW w:w="798" w:type="pct"/>
            <w:tcBorders>
              <w:top w:val="nil"/>
              <w:left w:val="nil"/>
              <w:bottom w:val="nil"/>
              <w:right w:val="nil"/>
            </w:tcBorders>
            <w:shd w:val="clear" w:color="auto" w:fill="auto"/>
            <w:noWrap/>
            <w:vAlign w:val="bottom"/>
            <w:hideMark/>
          </w:tcPr>
          <w:p w14:paraId="3BB2F608" w14:textId="4D4581AB" w:rsidR="00895A1D" w:rsidRPr="00D249A2" w:rsidRDefault="00895A1D" w:rsidP="00895A1D">
            <w:pPr>
              <w:jc w:val="right"/>
              <w:rPr>
                <w:sz w:val="17"/>
                <w:szCs w:val="17"/>
              </w:rPr>
            </w:pPr>
            <w:r w:rsidRPr="00D249A2">
              <w:rPr>
                <w:sz w:val="17"/>
                <w:szCs w:val="17"/>
              </w:rPr>
              <w:t>1.8</w:t>
            </w:r>
          </w:p>
        </w:tc>
      </w:tr>
      <w:tr w:rsidR="00D249A2" w:rsidRPr="00D249A2" w14:paraId="7B540650" w14:textId="77777777" w:rsidTr="00D249A2">
        <w:trPr>
          <w:trHeight w:val="312"/>
        </w:trPr>
        <w:tc>
          <w:tcPr>
            <w:tcW w:w="1236" w:type="pct"/>
            <w:tcBorders>
              <w:top w:val="nil"/>
              <w:left w:val="nil"/>
              <w:bottom w:val="nil"/>
            </w:tcBorders>
            <w:shd w:val="clear" w:color="auto" w:fill="auto"/>
            <w:noWrap/>
            <w:vAlign w:val="bottom"/>
            <w:hideMark/>
          </w:tcPr>
          <w:p w14:paraId="0BF3CCAB" w14:textId="77777777" w:rsidR="00895A1D" w:rsidRPr="00D249A2" w:rsidRDefault="00895A1D" w:rsidP="00895A1D">
            <w:pPr>
              <w:rPr>
                <w:sz w:val="17"/>
                <w:szCs w:val="17"/>
              </w:rPr>
            </w:pPr>
            <w:r w:rsidRPr="00D249A2">
              <w:rPr>
                <w:sz w:val="17"/>
                <w:szCs w:val="17"/>
              </w:rPr>
              <w:t>Singida</w:t>
            </w:r>
          </w:p>
        </w:tc>
        <w:tc>
          <w:tcPr>
            <w:tcW w:w="821" w:type="pct"/>
            <w:tcBorders>
              <w:top w:val="nil"/>
              <w:bottom w:val="nil"/>
              <w:right w:val="nil"/>
            </w:tcBorders>
            <w:shd w:val="clear" w:color="auto" w:fill="auto"/>
            <w:noWrap/>
            <w:vAlign w:val="bottom"/>
            <w:hideMark/>
          </w:tcPr>
          <w:p w14:paraId="22FF797D" w14:textId="6A0200C0" w:rsidR="00895A1D" w:rsidRPr="00D249A2" w:rsidRDefault="00895A1D" w:rsidP="00895A1D">
            <w:pPr>
              <w:jc w:val="right"/>
              <w:rPr>
                <w:sz w:val="17"/>
                <w:szCs w:val="17"/>
              </w:rPr>
            </w:pPr>
            <w:r w:rsidRPr="00D249A2">
              <w:rPr>
                <w:sz w:val="17"/>
                <w:szCs w:val="17"/>
              </w:rPr>
              <w:t>149</w:t>
            </w:r>
          </w:p>
        </w:tc>
        <w:tc>
          <w:tcPr>
            <w:tcW w:w="984" w:type="pct"/>
            <w:tcBorders>
              <w:top w:val="nil"/>
              <w:left w:val="nil"/>
              <w:bottom w:val="nil"/>
              <w:right w:val="nil"/>
            </w:tcBorders>
            <w:shd w:val="clear" w:color="auto" w:fill="auto"/>
            <w:noWrap/>
            <w:vAlign w:val="bottom"/>
            <w:hideMark/>
          </w:tcPr>
          <w:p w14:paraId="3DE4812F" w14:textId="60F1C189" w:rsidR="00895A1D" w:rsidRPr="00D249A2" w:rsidRDefault="00895A1D" w:rsidP="00895A1D">
            <w:pPr>
              <w:jc w:val="right"/>
              <w:rPr>
                <w:sz w:val="17"/>
                <w:szCs w:val="17"/>
              </w:rPr>
            </w:pPr>
            <w:r w:rsidRPr="00D249A2">
              <w:rPr>
                <w:sz w:val="17"/>
                <w:szCs w:val="17"/>
              </w:rPr>
              <w:t>125</w:t>
            </w:r>
          </w:p>
        </w:tc>
        <w:tc>
          <w:tcPr>
            <w:tcW w:w="1161" w:type="pct"/>
            <w:tcBorders>
              <w:top w:val="nil"/>
              <w:left w:val="nil"/>
              <w:bottom w:val="nil"/>
              <w:right w:val="nil"/>
            </w:tcBorders>
            <w:shd w:val="clear" w:color="auto" w:fill="auto"/>
            <w:noWrap/>
            <w:vAlign w:val="bottom"/>
            <w:hideMark/>
          </w:tcPr>
          <w:p w14:paraId="023CBA93" w14:textId="07984311" w:rsidR="00895A1D" w:rsidRPr="00D249A2" w:rsidRDefault="00895A1D" w:rsidP="00895A1D">
            <w:pPr>
              <w:jc w:val="right"/>
              <w:rPr>
                <w:sz w:val="17"/>
                <w:szCs w:val="17"/>
              </w:rPr>
            </w:pPr>
            <w:r w:rsidRPr="00D249A2">
              <w:rPr>
                <w:sz w:val="17"/>
                <w:szCs w:val="17"/>
              </w:rPr>
              <w:t>102</w:t>
            </w:r>
          </w:p>
        </w:tc>
        <w:tc>
          <w:tcPr>
            <w:tcW w:w="798" w:type="pct"/>
            <w:tcBorders>
              <w:top w:val="nil"/>
              <w:left w:val="nil"/>
              <w:bottom w:val="nil"/>
              <w:right w:val="nil"/>
            </w:tcBorders>
            <w:shd w:val="clear" w:color="auto" w:fill="auto"/>
            <w:noWrap/>
            <w:vAlign w:val="bottom"/>
            <w:hideMark/>
          </w:tcPr>
          <w:p w14:paraId="6ECE4C5A" w14:textId="0E80A831" w:rsidR="00895A1D" w:rsidRPr="00D249A2" w:rsidRDefault="00895A1D" w:rsidP="00895A1D">
            <w:pPr>
              <w:jc w:val="right"/>
              <w:rPr>
                <w:sz w:val="17"/>
                <w:szCs w:val="17"/>
              </w:rPr>
            </w:pPr>
            <w:r w:rsidRPr="00D249A2">
              <w:rPr>
                <w:sz w:val="17"/>
                <w:szCs w:val="17"/>
              </w:rPr>
              <w:t>0.8</w:t>
            </w:r>
          </w:p>
        </w:tc>
      </w:tr>
      <w:tr w:rsidR="00D249A2" w:rsidRPr="00D249A2" w14:paraId="635DBC58" w14:textId="77777777" w:rsidTr="00D249A2">
        <w:trPr>
          <w:trHeight w:val="312"/>
        </w:trPr>
        <w:tc>
          <w:tcPr>
            <w:tcW w:w="1236" w:type="pct"/>
            <w:tcBorders>
              <w:top w:val="nil"/>
              <w:left w:val="nil"/>
              <w:bottom w:val="nil"/>
            </w:tcBorders>
            <w:shd w:val="clear" w:color="auto" w:fill="auto"/>
            <w:noWrap/>
            <w:vAlign w:val="bottom"/>
            <w:hideMark/>
          </w:tcPr>
          <w:p w14:paraId="6183384D" w14:textId="77777777" w:rsidR="00895A1D" w:rsidRPr="00D249A2" w:rsidRDefault="00895A1D" w:rsidP="00895A1D">
            <w:pPr>
              <w:rPr>
                <w:sz w:val="17"/>
                <w:szCs w:val="17"/>
              </w:rPr>
            </w:pPr>
            <w:r w:rsidRPr="00D249A2">
              <w:rPr>
                <w:sz w:val="17"/>
                <w:szCs w:val="17"/>
              </w:rPr>
              <w:t>Tabora</w:t>
            </w:r>
          </w:p>
        </w:tc>
        <w:tc>
          <w:tcPr>
            <w:tcW w:w="821" w:type="pct"/>
            <w:tcBorders>
              <w:top w:val="nil"/>
              <w:bottom w:val="nil"/>
              <w:right w:val="nil"/>
            </w:tcBorders>
            <w:shd w:val="clear" w:color="auto" w:fill="auto"/>
            <w:noWrap/>
            <w:vAlign w:val="bottom"/>
            <w:hideMark/>
          </w:tcPr>
          <w:p w14:paraId="0213CAF4" w14:textId="20F968E2" w:rsidR="00895A1D" w:rsidRPr="00D249A2" w:rsidRDefault="00895A1D" w:rsidP="00895A1D">
            <w:pPr>
              <w:jc w:val="right"/>
              <w:rPr>
                <w:sz w:val="17"/>
                <w:szCs w:val="17"/>
              </w:rPr>
            </w:pPr>
            <w:r w:rsidRPr="00D249A2">
              <w:rPr>
                <w:sz w:val="17"/>
                <w:szCs w:val="17"/>
              </w:rPr>
              <w:t>25</w:t>
            </w:r>
          </w:p>
        </w:tc>
        <w:tc>
          <w:tcPr>
            <w:tcW w:w="984" w:type="pct"/>
            <w:tcBorders>
              <w:top w:val="nil"/>
              <w:left w:val="nil"/>
              <w:bottom w:val="nil"/>
              <w:right w:val="nil"/>
            </w:tcBorders>
            <w:shd w:val="clear" w:color="auto" w:fill="auto"/>
            <w:noWrap/>
            <w:vAlign w:val="bottom"/>
            <w:hideMark/>
          </w:tcPr>
          <w:p w14:paraId="4C5D921C" w14:textId="03EEC044" w:rsidR="00895A1D" w:rsidRPr="00D249A2" w:rsidRDefault="00895A1D" w:rsidP="00895A1D">
            <w:pPr>
              <w:jc w:val="right"/>
              <w:rPr>
                <w:sz w:val="17"/>
                <w:szCs w:val="17"/>
              </w:rPr>
            </w:pPr>
            <w:r w:rsidRPr="00D249A2">
              <w:rPr>
                <w:sz w:val="17"/>
                <w:szCs w:val="17"/>
              </w:rPr>
              <w:t>25</w:t>
            </w:r>
          </w:p>
        </w:tc>
        <w:tc>
          <w:tcPr>
            <w:tcW w:w="1161" w:type="pct"/>
            <w:tcBorders>
              <w:top w:val="nil"/>
              <w:left w:val="nil"/>
              <w:bottom w:val="nil"/>
              <w:right w:val="nil"/>
            </w:tcBorders>
            <w:shd w:val="clear" w:color="auto" w:fill="auto"/>
            <w:noWrap/>
            <w:vAlign w:val="bottom"/>
            <w:hideMark/>
          </w:tcPr>
          <w:p w14:paraId="3CBB211A" w14:textId="73C47B1F" w:rsidR="00895A1D" w:rsidRPr="00D249A2" w:rsidRDefault="00895A1D" w:rsidP="00895A1D">
            <w:pPr>
              <w:jc w:val="right"/>
              <w:rPr>
                <w:sz w:val="17"/>
                <w:szCs w:val="17"/>
              </w:rPr>
            </w:pPr>
            <w:r w:rsidRPr="00D249A2">
              <w:rPr>
                <w:sz w:val="17"/>
                <w:szCs w:val="17"/>
              </w:rPr>
              <w:t>121</w:t>
            </w:r>
          </w:p>
        </w:tc>
        <w:tc>
          <w:tcPr>
            <w:tcW w:w="798" w:type="pct"/>
            <w:tcBorders>
              <w:top w:val="nil"/>
              <w:left w:val="nil"/>
              <w:bottom w:val="nil"/>
              <w:right w:val="nil"/>
            </w:tcBorders>
            <w:shd w:val="clear" w:color="auto" w:fill="auto"/>
            <w:noWrap/>
            <w:vAlign w:val="bottom"/>
            <w:hideMark/>
          </w:tcPr>
          <w:p w14:paraId="71F1C69F" w14:textId="44255880" w:rsidR="00895A1D" w:rsidRPr="00D249A2" w:rsidRDefault="00895A1D" w:rsidP="00895A1D">
            <w:pPr>
              <w:jc w:val="right"/>
              <w:rPr>
                <w:sz w:val="17"/>
                <w:szCs w:val="17"/>
              </w:rPr>
            </w:pPr>
            <w:r w:rsidRPr="00D249A2">
              <w:rPr>
                <w:sz w:val="17"/>
                <w:szCs w:val="17"/>
              </w:rPr>
              <w:t>4.8</w:t>
            </w:r>
          </w:p>
        </w:tc>
      </w:tr>
      <w:tr w:rsidR="00D249A2" w:rsidRPr="00D249A2" w14:paraId="17D274CA" w14:textId="77777777" w:rsidTr="00D249A2">
        <w:trPr>
          <w:trHeight w:val="312"/>
        </w:trPr>
        <w:tc>
          <w:tcPr>
            <w:tcW w:w="1236" w:type="pct"/>
            <w:tcBorders>
              <w:top w:val="nil"/>
              <w:left w:val="nil"/>
              <w:bottom w:val="nil"/>
            </w:tcBorders>
            <w:shd w:val="clear" w:color="auto" w:fill="auto"/>
            <w:noWrap/>
            <w:vAlign w:val="bottom"/>
            <w:hideMark/>
          </w:tcPr>
          <w:p w14:paraId="1E0F5C1B" w14:textId="77777777" w:rsidR="00895A1D" w:rsidRPr="00D249A2" w:rsidRDefault="00895A1D" w:rsidP="00895A1D">
            <w:pPr>
              <w:rPr>
                <w:sz w:val="17"/>
                <w:szCs w:val="17"/>
              </w:rPr>
            </w:pPr>
            <w:r w:rsidRPr="00D249A2">
              <w:rPr>
                <w:sz w:val="17"/>
                <w:szCs w:val="17"/>
              </w:rPr>
              <w:t>Rukwa</w:t>
            </w:r>
          </w:p>
        </w:tc>
        <w:tc>
          <w:tcPr>
            <w:tcW w:w="821" w:type="pct"/>
            <w:tcBorders>
              <w:top w:val="nil"/>
              <w:bottom w:val="nil"/>
              <w:right w:val="nil"/>
            </w:tcBorders>
            <w:shd w:val="clear" w:color="auto" w:fill="auto"/>
            <w:noWrap/>
            <w:vAlign w:val="bottom"/>
            <w:hideMark/>
          </w:tcPr>
          <w:p w14:paraId="4E4D2D02" w14:textId="721CFC70" w:rsidR="00895A1D" w:rsidRPr="00D249A2" w:rsidRDefault="00895A1D" w:rsidP="00895A1D">
            <w:pPr>
              <w:jc w:val="right"/>
              <w:rPr>
                <w:sz w:val="17"/>
                <w:szCs w:val="17"/>
              </w:rPr>
            </w:pPr>
            <w:r w:rsidRPr="00D249A2">
              <w:rPr>
                <w:sz w:val="17"/>
                <w:szCs w:val="17"/>
              </w:rPr>
              <w:t>112</w:t>
            </w:r>
          </w:p>
        </w:tc>
        <w:tc>
          <w:tcPr>
            <w:tcW w:w="984" w:type="pct"/>
            <w:tcBorders>
              <w:top w:val="nil"/>
              <w:left w:val="nil"/>
              <w:bottom w:val="nil"/>
              <w:right w:val="nil"/>
            </w:tcBorders>
            <w:shd w:val="clear" w:color="auto" w:fill="auto"/>
            <w:noWrap/>
            <w:vAlign w:val="bottom"/>
            <w:hideMark/>
          </w:tcPr>
          <w:p w14:paraId="01C47E39" w14:textId="633C6379" w:rsidR="00895A1D" w:rsidRPr="00D249A2" w:rsidRDefault="00895A1D" w:rsidP="00895A1D">
            <w:pPr>
              <w:jc w:val="right"/>
              <w:rPr>
                <w:sz w:val="17"/>
                <w:szCs w:val="17"/>
              </w:rPr>
            </w:pPr>
            <w:r w:rsidRPr="00D249A2">
              <w:rPr>
                <w:sz w:val="17"/>
                <w:szCs w:val="17"/>
              </w:rPr>
              <w:t>112</w:t>
            </w:r>
          </w:p>
        </w:tc>
        <w:tc>
          <w:tcPr>
            <w:tcW w:w="1161" w:type="pct"/>
            <w:tcBorders>
              <w:top w:val="nil"/>
              <w:left w:val="nil"/>
              <w:bottom w:val="nil"/>
              <w:right w:val="nil"/>
            </w:tcBorders>
            <w:shd w:val="clear" w:color="auto" w:fill="auto"/>
            <w:noWrap/>
            <w:vAlign w:val="bottom"/>
            <w:hideMark/>
          </w:tcPr>
          <w:p w14:paraId="6A2AF1AC" w14:textId="6DD2CF63" w:rsidR="00895A1D" w:rsidRPr="00D249A2" w:rsidRDefault="00895A1D" w:rsidP="00895A1D">
            <w:pPr>
              <w:jc w:val="right"/>
              <w:rPr>
                <w:sz w:val="17"/>
                <w:szCs w:val="17"/>
              </w:rPr>
            </w:pPr>
            <w:r w:rsidRPr="00D249A2">
              <w:rPr>
                <w:sz w:val="17"/>
                <w:szCs w:val="17"/>
              </w:rPr>
              <w:t>334</w:t>
            </w:r>
          </w:p>
        </w:tc>
        <w:tc>
          <w:tcPr>
            <w:tcW w:w="798" w:type="pct"/>
            <w:tcBorders>
              <w:top w:val="nil"/>
              <w:left w:val="nil"/>
              <w:bottom w:val="nil"/>
              <w:right w:val="nil"/>
            </w:tcBorders>
            <w:shd w:val="clear" w:color="auto" w:fill="auto"/>
            <w:noWrap/>
            <w:vAlign w:val="bottom"/>
            <w:hideMark/>
          </w:tcPr>
          <w:p w14:paraId="0C8650B2" w14:textId="62D2F93C" w:rsidR="00895A1D" w:rsidRPr="00D249A2" w:rsidRDefault="00895A1D" w:rsidP="00895A1D">
            <w:pPr>
              <w:jc w:val="right"/>
              <w:rPr>
                <w:sz w:val="17"/>
                <w:szCs w:val="17"/>
              </w:rPr>
            </w:pPr>
            <w:r w:rsidRPr="00D249A2">
              <w:rPr>
                <w:sz w:val="17"/>
                <w:szCs w:val="17"/>
              </w:rPr>
              <w:t>3.0</w:t>
            </w:r>
          </w:p>
        </w:tc>
      </w:tr>
      <w:tr w:rsidR="00D249A2" w:rsidRPr="00D249A2" w14:paraId="2DCA7F6F" w14:textId="77777777" w:rsidTr="00D249A2">
        <w:trPr>
          <w:trHeight w:val="312"/>
        </w:trPr>
        <w:tc>
          <w:tcPr>
            <w:tcW w:w="1236" w:type="pct"/>
            <w:tcBorders>
              <w:top w:val="nil"/>
              <w:left w:val="nil"/>
              <w:bottom w:val="nil"/>
            </w:tcBorders>
            <w:shd w:val="clear" w:color="auto" w:fill="auto"/>
            <w:noWrap/>
            <w:vAlign w:val="bottom"/>
            <w:hideMark/>
          </w:tcPr>
          <w:p w14:paraId="7FD71EBA" w14:textId="77777777" w:rsidR="00895A1D" w:rsidRPr="00D249A2" w:rsidRDefault="00895A1D" w:rsidP="00895A1D">
            <w:pPr>
              <w:rPr>
                <w:sz w:val="17"/>
                <w:szCs w:val="17"/>
              </w:rPr>
            </w:pPr>
            <w:r w:rsidRPr="00D249A2">
              <w:rPr>
                <w:sz w:val="17"/>
                <w:szCs w:val="17"/>
              </w:rPr>
              <w:t>Kigoma</w:t>
            </w:r>
          </w:p>
        </w:tc>
        <w:tc>
          <w:tcPr>
            <w:tcW w:w="821" w:type="pct"/>
            <w:tcBorders>
              <w:top w:val="nil"/>
              <w:bottom w:val="nil"/>
              <w:right w:val="nil"/>
            </w:tcBorders>
            <w:shd w:val="clear" w:color="auto" w:fill="auto"/>
            <w:noWrap/>
            <w:vAlign w:val="bottom"/>
            <w:hideMark/>
          </w:tcPr>
          <w:p w14:paraId="7AC2D25B" w14:textId="50D1F6E0" w:rsidR="00895A1D" w:rsidRPr="00D249A2" w:rsidRDefault="00895A1D" w:rsidP="00895A1D">
            <w:pPr>
              <w:jc w:val="right"/>
              <w:rPr>
                <w:sz w:val="17"/>
                <w:szCs w:val="17"/>
              </w:rPr>
            </w:pPr>
            <w:r w:rsidRPr="00D249A2">
              <w:rPr>
                <w:sz w:val="17"/>
                <w:szCs w:val="17"/>
              </w:rPr>
              <w:t>-</w:t>
            </w:r>
          </w:p>
        </w:tc>
        <w:tc>
          <w:tcPr>
            <w:tcW w:w="984" w:type="pct"/>
            <w:tcBorders>
              <w:top w:val="nil"/>
              <w:left w:val="nil"/>
              <w:bottom w:val="nil"/>
              <w:right w:val="nil"/>
            </w:tcBorders>
            <w:shd w:val="clear" w:color="auto" w:fill="auto"/>
            <w:noWrap/>
            <w:vAlign w:val="bottom"/>
            <w:hideMark/>
          </w:tcPr>
          <w:p w14:paraId="1F0CF8F4" w14:textId="6414C911" w:rsidR="00895A1D" w:rsidRPr="00D249A2" w:rsidRDefault="00895A1D" w:rsidP="00895A1D">
            <w:pPr>
              <w:jc w:val="right"/>
              <w:rPr>
                <w:sz w:val="17"/>
                <w:szCs w:val="17"/>
              </w:rPr>
            </w:pPr>
            <w:r w:rsidRPr="00D249A2">
              <w:rPr>
                <w:sz w:val="17"/>
                <w:szCs w:val="17"/>
              </w:rPr>
              <w:t>-</w:t>
            </w:r>
          </w:p>
        </w:tc>
        <w:tc>
          <w:tcPr>
            <w:tcW w:w="1161" w:type="pct"/>
            <w:tcBorders>
              <w:top w:val="nil"/>
              <w:left w:val="nil"/>
              <w:bottom w:val="nil"/>
              <w:right w:val="nil"/>
            </w:tcBorders>
            <w:shd w:val="clear" w:color="auto" w:fill="auto"/>
            <w:noWrap/>
            <w:vAlign w:val="bottom"/>
            <w:hideMark/>
          </w:tcPr>
          <w:p w14:paraId="4FB760E9" w14:textId="2106B602" w:rsidR="00895A1D" w:rsidRPr="00D249A2" w:rsidRDefault="00895A1D" w:rsidP="00895A1D">
            <w:pPr>
              <w:jc w:val="right"/>
              <w:rPr>
                <w:sz w:val="17"/>
                <w:szCs w:val="17"/>
              </w:rPr>
            </w:pPr>
            <w:r w:rsidRPr="00D249A2">
              <w:rPr>
                <w:sz w:val="17"/>
                <w:szCs w:val="17"/>
              </w:rPr>
              <w:t>-</w:t>
            </w:r>
          </w:p>
        </w:tc>
        <w:tc>
          <w:tcPr>
            <w:tcW w:w="798" w:type="pct"/>
            <w:tcBorders>
              <w:top w:val="nil"/>
              <w:left w:val="nil"/>
              <w:bottom w:val="nil"/>
              <w:right w:val="nil"/>
            </w:tcBorders>
            <w:shd w:val="clear" w:color="auto" w:fill="auto"/>
            <w:noWrap/>
            <w:vAlign w:val="bottom"/>
            <w:hideMark/>
          </w:tcPr>
          <w:p w14:paraId="490DB44B" w14:textId="0D72B466" w:rsidR="00895A1D" w:rsidRPr="00D249A2" w:rsidRDefault="00895A1D" w:rsidP="00895A1D">
            <w:pPr>
              <w:jc w:val="right"/>
              <w:rPr>
                <w:sz w:val="17"/>
                <w:szCs w:val="17"/>
              </w:rPr>
            </w:pPr>
            <w:r w:rsidRPr="00D249A2">
              <w:rPr>
                <w:sz w:val="17"/>
                <w:szCs w:val="17"/>
              </w:rPr>
              <w:t>-</w:t>
            </w:r>
          </w:p>
        </w:tc>
      </w:tr>
      <w:tr w:rsidR="00D249A2" w:rsidRPr="00D249A2" w14:paraId="05BC765B" w14:textId="77777777" w:rsidTr="00D249A2">
        <w:trPr>
          <w:trHeight w:val="312"/>
        </w:trPr>
        <w:tc>
          <w:tcPr>
            <w:tcW w:w="1236" w:type="pct"/>
            <w:tcBorders>
              <w:top w:val="nil"/>
              <w:left w:val="nil"/>
              <w:bottom w:val="nil"/>
            </w:tcBorders>
            <w:shd w:val="clear" w:color="auto" w:fill="auto"/>
            <w:noWrap/>
            <w:vAlign w:val="bottom"/>
            <w:hideMark/>
          </w:tcPr>
          <w:p w14:paraId="4C87852A" w14:textId="77777777" w:rsidR="00895A1D" w:rsidRPr="00D249A2" w:rsidRDefault="00895A1D" w:rsidP="00895A1D">
            <w:pPr>
              <w:rPr>
                <w:sz w:val="17"/>
                <w:szCs w:val="17"/>
              </w:rPr>
            </w:pPr>
            <w:r w:rsidRPr="00D249A2">
              <w:rPr>
                <w:sz w:val="17"/>
                <w:szCs w:val="17"/>
              </w:rPr>
              <w:t>Shinyanga</w:t>
            </w:r>
          </w:p>
        </w:tc>
        <w:tc>
          <w:tcPr>
            <w:tcW w:w="821" w:type="pct"/>
            <w:tcBorders>
              <w:top w:val="nil"/>
              <w:bottom w:val="nil"/>
              <w:right w:val="nil"/>
            </w:tcBorders>
            <w:shd w:val="clear" w:color="auto" w:fill="auto"/>
            <w:noWrap/>
            <w:vAlign w:val="bottom"/>
            <w:hideMark/>
          </w:tcPr>
          <w:p w14:paraId="060C6CCF" w14:textId="23934B01" w:rsidR="00895A1D" w:rsidRPr="00D249A2" w:rsidRDefault="00895A1D" w:rsidP="00895A1D">
            <w:pPr>
              <w:jc w:val="right"/>
              <w:rPr>
                <w:sz w:val="17"/>
                <w:szCs w:val="17"/>
              </w:rPr>
            </w:pPr>
            <w:r w:rsidRPr="00D249A2">
              <w:rPr>
                <w:sz w:val="17"/>
                <w:szCs w:val="17"/>
              </w:rPr>
              <w:t>67</w:t>
            </w:r>
          </w:p>
        </w:tc>
        <w:tc>
          <w:tcPr>
            <w:tcW w:w="984" w:type="pct"/>
            <w:tcBorders>
              <w:top w:val="nil"/>
              <w:left w:val="nil"/>
              <w:bottom w:val="nil"/>
              <w:right w:val="nil"/>
            </w:tcBorders>
            <w:shd w:val="clear" w:color="auto" w:fill="auto"/>
            <w:noWrap/>
            <w:vAlign w:val="bottom"/>
            <w:hideMark/>
          </w:tcPr>
          <w:p w14:paraId="25B6FECB" w14:textId="7E0668BE" w:rsidR="00895A1D" w:rsidRPr="00D249A2" w:rsidRDefault="00895A1D" w:rsidP="00895A1D">
            <w:pPr>
              <w:jc w:val="right"/>
              <w:rPr>
                <w:sz w:val="17"/>
                <w:szCs w:val="17"/>
              </w:rPr>
            </w:pPr>
            <w:r w:rsidRPr="00D249A2">
              <w:rPr>
                <w:sz w:val="17"/>
                <w:szCs w:val="17"/>
              </w:rPr>
              <w:t>29</w:t>
            </w:r>
          </w:p>
        </w:tc>
        <w:tc>
          <w:tcPr>
            <w:tcW w:w="1161" w:type="pct"/>
            <w:tcBorders>
              <w:top w:val="nil"/>
              <w:left w:val="nil"/>
              <w:bottom w:val="nil"/>
              <w:right w:val="nil"/>
            </w:tcBorders>
            <w:shd w:val="clear" w:color="auto" w:fill="auto"/>
            <w:noWrap/>
            <w:vAlign w:val="bottom"/>
            <w:hideMark/>
          </w:tcPr>
          <w:p w14:paraId="7859710F" w14:textId="64B5D95E" w:rsidR="00895A1D" w:rsidRPr="00D249A2" w:rsidRDefault="00895A1D" w:rsidP="00895A1D">
            <w:pPr>
              <w:jc w:val="right"/>
              <w:rPr>
                <w:sz w:val="17"/>
                <w:szCs w:val="17"/>
              </w:rPr>
            </w:pPr>
            <w:r w:rsidRPr="00D249A2">
              <w:rPr>
                <w:sz w:val="17"/>
                <w:szCs w:val="17"/>
              </w:rPr>
              <w:t>83</w:t>
            </w:r>
          </w:p>
        </w:tc>
        <w:tc>
          <w:tcPr>
            <w:tcW w:w="798" w:type="pct"/>
            <w:tcBorders>
              <w:top w:val="nil"/>
              <w:left w:val="nil"/>
              <w:bottom w:val="nil"/>
              <w:right w:val="nil"/>
            </w:tcBorders>
            <w:shd w:val="clear" w:color="auto" w:fill="auto"/>
            <w:noWrap/>
            <w:vAlign w:val="bottom"/>
            <w:hideMark/>
          </w:tcPr>
          <w:p w14:paraId="1A5338F3" w14:textId="3165ED92" w:rsidR="00895A1D" w:rsidRPr="00D249A2" w:rsidRDefault="00895A1D" w:rsidP="00895A1D">
            <w:pPr>
              <w:jc w:val="right"/>
              <w:rPr>
                <w:sz w:val="17"/>
                <w:szCs w:val="17"/>
              </w:rPr>
            </w:pPr>
            <w:r w:rsidRPr="00D249A2">
              <w:rPr>
                <w:sz w:val="17"/>
                <w:szCs w:val="17"/>
              </w:rPr>
              <w:t>2.8</w:t>
            </w:r>
          </w:p>
        </w:tc>
      </w:tr>
      <w:tr w:rsidR="00D249A2" w:rsidRPr="00D249A2" w14:paraId="2CD25955" w14:textId="77777777" w:rsidTr="00D249A2">
        <w:trPr>
          <w:trHeight w:val="312"/>
        </w:trPr>
        <w:tc>
          <w:tcPr>
            <w:tcW w:w="1236" w:type="pct"/>
            <w:tcBorders>
              <w:top w:val="nil"/>
              <w:left w:val="nil"/>
              <w:bottom w:val="nil"/>
            </w:tcBorders>
            <w:shd w:val="clear" w:color="auto" w:fill="auto"/>
            <w:noWrap/>
            <w:vAlign w:val="bottom"/>
            <w:hideMark/>
          </w:tcPr>
          <w:p w14:paraId="2A153DC1" w14:textId="77777777" w:rsidR="00895A1D" w:rsidRPr="00D249A2" w:rsidRDefault="00895A1D" w:rsidP="00895A1D">
            <w:pPr>
              <w:rPr>
                <w:sz w:val="17"/>
                <w:szCs w:val="17"/>
              </w:rPr>
            </w:pPr>
            <w:r w:rsidRPr="00D249A2">
              <w:rPr>
                <w:sz w:val="17"/>
                <w:szCs w:val="17"/>
              </w:rPr>
              <w:t>Kagera</w:t>
            </w:r>
          </w:p>
        </w:tc>
        <w:tc>
          <w:tcPr>
            <w:tcW w:w="821" w:type="pct"/>
            <w:tcBorders>
              <w:top w:val="nil"/>
              <w:bottom w:val="nil"/>
              <w:right w:val="nil"/>
            </w:tcBorders>
            <w:shd w:val="clear" w:color="auto" w:fill="auto"/>
            <w:noWrap/>
            <w:vAlign w:val="bottom"/>
            <w:hideMark/>
          </w:tcPr>
          <w:p w14:paraId="0BEECD8A" w14:textId="78E421DE" w:rsidR="00895A1D" w:rsidRPr="00D249A2" w:rsidRDefault="00895A1D" w:rsidP="00895A1D">
            <w:pPr>
              <w:jc w:val="right"/>
              <w:rPr>
                <w:sz w:val="17"/>
                <w:szCs w:val="17"/>
              </w:rPr>
            </w:pPr>
            <w:r w:rsidRPr="00D249A2">
              <w:rPr>
                <w:sz w:val="17"/>
                <w:szCs w:val="17"/>
              </w:rPr>
              <w:t>-</w:t>
            </w:r>
          </w:p>
        </w:tc>
        <w:tc>
          <w:tcPr>
            <w:tcW w:w="984" w:type="pct"/>
            <w:tcBorders>
              <w:top w:val="nil"/>
              <w:left w:val="nil"/>
              <w:bottom w:val="nil"/>
              <w:right w:val="nil"/>
            </w:tcBorders>
            <w:shd w:val="clear" w:color="auto" w:fill="auto"/>
            <w:noWrap/>
            <w:vAlign w:val="bottom"/>
            <w:hideMark/>
          </w:tcPr>
          <w:p w14:paraId="634FD1FD" w14:textId="4CA0DBC5" w:rsidR="00895A1D" w:rsidRPr="00D249A2" w:rsidRDefault="00895A1D" w:rsidP="00895A1D">
            <w:pPr>
              <w:jc w:val="right"/>
              <w:rPr>
                <w:sz w:val="17"/>
                <w:szCs w:val="17"/>
              </w:rPr>
            </w:pPr>
            <w:r w:rsidRPr="00D249A2">
              <w:rPr>
                <w:sz w:val="17"/>
                <w:szCs w:val="17"/>
              </w:rPr>
              <w:t>-</w:t>
            </w:r>
          </w:p>
        </w:tc>
        <w:tc>
          <w:tcPr>
            <w:tcW w:w="1161" w:type="pct"/>
            <w:tcBorders>
              <w:top w:val="nil"/>
              <w:left w:val="nil"/>
              <w:bottom w:val="nil"/>
              <w:right w:val="nil"/>
            </w:tcBorders>
            <w:shd w:val="clear" w:color="auto" w:fill="auto"/>
            <w:noWrap/>
            <w:vAlign w:val="bottom"/>
            <w:hideMark/>
          </w:tcPr>
          <w:p w14:paraId="0837D338" w14:textId="16D1E3B8" w:rsidR="00895A1D" w:rsidRPr="00D249A2" w:rsidRDefault="00895A1D" w:rsidP="00895A1D">
            <w:pPr>
              <w:jc w:val="right"/>
              <w:rPr>
                <w:sz w:val="17"/>
                <w:szCs w:val="17"/>
              </w:rPr>
            </w:pPr>
            <w:r w:rsidRPr="00D249A2">
              <w:rPr>
                <w:sz w:val="17"/>
                <w:szCs w:val="17"/>
              </w:rPr>
              <w:t>-</w:t>
            </w:r>
          </w:p>
        </w:tc>
        <w:tc>
          <w:tcPr>
            <w:tcW w:w="798" w:type="pct"/>
            <w:tcBorders>
              <w:top w:val="nil"/>
              <w:left w:val="nil"/>
              <w:bottom w:val="nil"/>
              <w:right w:val="nil"/>
            </w:tcBorders>
            <w:shd w:val="clear" w:color="auto" w:fill="auto"/>
            <w:noWrap/>
            <w:vAlign w:val="bottom"/>
            <w:hideMark/>
          </w:tcPr>
          <w:p w14:paraId="60AECBEE" w14:textId="33047BFC" w:rsidR="00895A1D" w:rsidRPr="00D249A2" w:rsidRDefault="00895A1D" w:rsidP="00895A1D">
            <w:pPr>
              <w:jc w:val="right"/>
              <w:rPr>
                <w:sz w:val="17"/>
                <w:szCs w:val="17"/>
              </w:rPr>
            </w:pPr>
            <w:r w:rsidRPr="00D249A2">
              <w:rPr>
                <w:sz w:val="17"/>
                <w:szCs w:val="17"/>
              </w:rPr>
              <w:t>-</w:t>
            </w:r>
          </w:p>
        </w:tc>
      </w:tr>
      <w:tr w:rsidR="00D249A2" w:rsidRPr="00D249A2" w14:paraId="0FDFD82E" w14:textId="77777777" w:rsidTr="00D249A2">
        <w:trPr>
          <w:trHeight w:val="312"/>
        </w:trPr>
        <w:tc>
          <w:tcPr>
            <w:tcW w:w="1236" w:type="pct"/>
            <w:tcBorders>
              <w:top w:val="nil"/>
              <w:left w:val="nil"/>
              <w:bottom w:val="nil"/>
            </w:tcBorders>
            <w:shd w:val="clear" w:color="auto" w:fill="auto"/>
            <w:noWrap/>
            <w:vAlign w:val="bottom"/>
            <w:hideMark/>
          </w:tcPr>
          <w:p w14:paraId="1CB9CCA0" w14:textId="77777777" w:rsidR="00895A1D" w:rsidRPr="00D249A2" w:rsidRDefault="00895A1D" w:rsidP="00895A1D">
            <w:pPr>
              <w:rPr>
                <w:sz w:val="17"/>
                <w:szCs w:val="17"/>
              </w:rPr>
            </w:pPr>
            <w:r w:rsidRPr="00D249A2">
              <w:rPr>
                <w:sz w:val="17"/>
                <w:szCs w:val="17"/>
              </w:rPr>
              <w:t>Mwanza</w:t>
            </w:r>
          </w:p>
        </w:tc>
        <w:tc>
          <w:tcPr>
            <w:tcW w:w="821" w:type="pct"/>
            <w:tcBorders>
              <w:top w:val="nil"/>
              <w:bottom w:val="nil"/>
              <w:right w:val="nil"/>
            </w:tcBorders>
            <w:shd w:val="clear" w:color="auto" w:fill="auto"/>
            <w:noWrap/>
            <w:vAlign w:val="bottom"/>
            <w:hideMark/>
          </w:tcPr>
          <w:p w14:paraId="1EEBD930" w14:textId="1E7A0DAC" w:rsidR="00895A1D" w:rsidRPr="00D249A2" w:rsidRDefault="00895A1D" w:rsidP="00895A1D">
            <w:pPr>
              <w:jc w:val="right"/>
              <w:rPr>
                <w:sz w:val="17"/>
                <w:szCs w:val="17"/>
              </w:rPr>
            </w:pPr>
            <w:r w:rsidRPr="00D249A2">
              <w:rPr>
                <w:sz w:val="17"/>
                <w:szCs w:val="17"/>
              </w:rPr>
              <w:t>127</w:t>
            </w:r>
          </w:p>
        </w:tc>
        <w:tc>
          <w:tcPr>
            <w:tcW w:w="984" w:type="pct"/>
            <w:tcBorders>
              <w:top w:val="nil"/>
              <w:left w:val="nil"/>
              <w:bottom w:val="nil"/>
              <w:right w:val="nil"/>
            </w:tcBorders>
            <w:shd w:val="clear" w:color="auto" w:fill="auto"/>
            <w:noWrap/>
            <w:vAlign w:val="bottom"/>
            <w:hideMark/>
          </w:tcPr>
          <w:p w14:paraId="58F7CFB7" w14:textId="69FC3FA2" w:rsidR="00895A1D" w:rsidRPr="00D249A2" w:rsidRDefault="00895A1D" w:rsidP="00895A1D">
            <w:pPr>
              <w:jc w:val="right"/>
              <w:rPr>
                <w:sz w:val="17"/>
                <w:szCs w:val="17"/>
              </w:rPr>
            </w:pPr>
            <w:r w:rsidRPr="00D249A2">
              <w:rPr>
                <w:sz w:val="17"/>
                <w:szCs w:val="17"/>
              </w:rPr>
              <w:t>104</w:t>
            </w:r>
          </w:p>
        </w:tc>
        <w:tc>
          <w:tcPr>
            <w:tcW w:w="1161" w:type="pct"/>
            <w:tcBorders>
              <w:top w:val="nil"/>
              <w:left w:val="nil"/>
              <w:bottom w:val="nil"/>
              <w:right w:val="nil"/>
            </w:tcBorders>
            <w:shd w:val="clear" w:color="auto" w:fill="auto"/>
            <w:noWrap/>
            <w:vAlign w:val="bottom"/>
            <w:hideMark/>
          </w:tcPr>
          <w:p w14:paraId="35E8920C" w14:textId="6FA37010" w:rsidR="00895A1D" w:rsidRPr="00D249A2" w:rsidRDefault="00895A1D" w:rsidP="00895A1D">
            <w:pPr>
              <w:jc w:val="right"/>
              <w:rPr>
                <w:sz w:val="17"/>
                <w:szCs w:val="17"/>
              </w:rPr>
            </w:pPr>
            <w:r w:rsidRPr="00D249A2">
              <w:rPr>
                <w:sz w:val="17"/>
                <w:szCs w:val="17"/>
              </w:rPr>
              <w:t>117</w:t>
            </w:r>
          </w:p>
        </w:tc>
        <w:tc>
          <w:tcPr>
            <w:tcW w:w="798" w:type="pct"/>
            <w:tcBorders>
              <w:top w:val="nil"/>
              <w:left w:val="nil"/>
              <w:bottom w:val="nil"/>
              <w:right w:val="nil"/>
            </w:tcBorders>
            <w:shd w:val="clear" w:color="auto" w:fill="auto"/>
            <w:noWrap/>
            <w:vAlign w:val="bottom"/>
            <w:hideMark/>
          </w:tcPr>
          <w:p w14:paraId="3637A5C9" w14:textId="15DB7685" w:rsidR="00895A1D" w:rsidRPr="00D249A2" w:rsidRDefault="00895A1D" w:rsidP="00895A1D">
            <w:pPr>
              <w:jc w:val="right"/>
              <w:rPr>
                <w:sz w:val="17"/>
                <w:szCs w:val="17"/>
              </w:rPr>
            </w:pPr>
            <w:r w:rsidRPr="00D249A2">
              <w:rPr>
                <w:sz w:val="17"/>
                <w:szCs w:val="17"/>
              </w:rPr>
              <w:t>1.1</w:t>
            </w:r>
          </w:p>
        </w:tc>
      </w:tr>
      <w:tr w:rsidR="00D249A2" w:rsidRPr="00D249A2" w14:paraId="7EDE7A46" w14:textId="77777777" w:rsidTr="00D249A2">
        <w:trPr>
          <w:trHeight w:val="312"/>
        </w:trPr>
        <w:tc>
          <w:tcPr>
            <w:tcW w:w="1236" w:type="pct"/>
            <w:tcBorders>
              <w:top w:val="nil"/>
              <w:left w:val="nil"/>
              <w:bottom w:val="nil"/>
            </w:tcBorders>
            <w:shd w:val="clear" w:color="auto" w:fill="auto"/>
            <w:noWrap/>
            <w:vAlign w:val="bottom"/>
            <w:hideMark/>
          </w:tcPr>
          <w:p w14:paraId="19750D1E" w14:textId="77777777" w:rsidR="00895A1D" w:rsidRPr="00D249A2" w:rsidRDefault="00895A1D" w:rsidP="00895A1D">
            <w:pPr>
              <w:rPr>
                <w:sz w:val="17"/>
                <w:szCs w:val="17"/>
              </w:rPr>
            </w:pPr>
            <w:r w:rsidRPr="00D249A2">
              <w:rPr>
                <w:sz w:val="17"/>
                <w:szCs w:val="17"/>
              </w:rPr>
              <w:t>Mara</w:t>
            </w:r>
          </w:p>
        </w:tc>
        <w:tc>
          <w:tcPr>
            <w:tcW w:w="821" w:type="pct"/>
            <w:tcBorders>
              <w:top w:val="nil"/>
              <w:bottom w:val="nil"/>
              <w:right w:val="nil"/>
            </w:tcBorders>
            <w:shd w:val="clear" w:color="auto" w:fill="auto"/>
            <w:noWrap/>
            <w:vAlign w:val="bottom"/>
            <w:hideMark/>
          </w:tcPr>
          <w:p w14:paraId="3A84F86A" w14:textId="0B58B262" w:rsidR="00895A1D" w:rsidRPr="00D249A2" w:rsidRDefault="00895A1D" w:rsidP="00895A1D">
            <w:pPr>
              <w:jc w:val="right"/>
              <w:rPr>
                <w:sz w:val="17"/>
                <w:szCs w:val="17"/>
              </w:rPr>
            </w:pPr>
            <w:r w:rsidRPr="00D249A2">
              <w:rPr>
                <w:sz w:val="17"/>
                <w:szCs w:val="17"/>
              </w:rPr>
              <w:t>19</w:t>
            </w:r>
          </w:p>
        </w:tc>
        <w:tc>
          <w:tcPr>
            <w:tcW w:w="984" w:type="pct"/>
            <w:tcBorders>
              <w:top w:val="nil"/>
              <w:left w:val="nil"/>
              <w:bottom w:val="nil"/>
              <w:right w:val="nil"/>
            </w:tcBorders>
            <w:shd w:val="clear" w:color="auto" w:fill="auto"/>
            <w:noWrap/>
            <w:vAlign w:val="bottom"/>
            <w:hideMark/>
          </w:tcPr>
          <w:p w14:paraId="1A3ABD0C" w14:textId="354CDAC0" w:rsidR="00895A1D" w:rsidRPr="00D249A2" w:rsidRDefault="00895A1D" w:rsidP="00895A1D">
            <w:pPr>
              <w:jc w:val="right"/>
              <w:rPr>
                <w:sz w:val="17"/>
                <w:szCs w:val="17"/>
              </w:rPr>
            </w:pPr>
            <w:r w:rsidRPr="00D249A2">
              <w:rPr>
                <w:sz w:val="17"/>
                <w:szCs w:val="17"/>
              </w:rPr>
              <w:t>19</w:t>
            </w:r>
          </w:p>
        </w:tc>
        <w:tc>
          <w:tcPr>
            <w:tcW w:w="1161" w:type="pct"/>
            <w:tcBorders>
              <w:top w:val="nil"/>
              <w:left w:val="nil"/>
              <w:bottom w:val="nil"/>
              <w:right w:val="nil"/>
            </w:tcBorders>
            <w:shd w:val="clear" w:color="auto" w:fill="auto"/>
            <w:noWrap/>
            <w:vAlign w:val="bottom"/>
            <w:hideMark/>
          </w:tcPr>
          <w:p w14:paraId="5A733439" w14:textId="62E062A1" w:rsidR="00895A1D" w:rsidRPr="00D249A2" w:rsidRDefault="00895A1D" w:rsidP="00895A1D">
            <w:pPr>
              <w:jc w:val="right"/>
              <w:rPr>
                <w:sz w:val="17"/>
                <w:szCs w:val="17"/>
              </w:rPr>
            </w:pPr>
            <w:r w:rsidRPr="00D249A2">
              <w:rPr>
                <w:sz w:val="17"/>
                <w:szCs w:val="17"/>
              </w:rPr>
              <w:t>86</w:t>
            </w:r>
          </w:p>
        </w:tc>
        <w:tc>
          <w:tcPr>
            <w:tcW w:w="798" w:type="pct"/>
            <w:tcBorders>
              <w:top w:val="nil"/>
              <w:left w:val="nil"/>
              <w:bottom w:val="nil"/>
              <w:right w:val="nil"/>
            </w:tcBorders>
            <w:shd w:val="clear" w:color="auto" w:fill="auto"/>
            <w:noWrap/>
            <w:vAlign w:val="bottom"/>
            <w:hideMark/>
          </w:tcPr>
          <w:p w14:paraId="10A757C2" w14:textId="606CC6AE" w:rsidR="00895A1D" w:rsidRPr="00D249A2" w:rsidRDefault="00895A1D" w:rsidP="00895A1D">
            <w:pPr>
              <w:jc w:val="right"/>
              <w:rPr>
                <w:sz w:val="17"/>
                <w:szCs w:val="17"/>
              </w:rPr>
            </w:pPr>
            <w:r w:rsidRPr="00D249A2">
              <w:rPr>
                <w:sz w:val="17"/>
                <w:szCs w:val="17"/>
              </w:rPr>
              <w:t>4.6</w:t>
            </w:r>
          </w:p>
        </w:tc>
      </w:tr>
      <w:tr w:rsidR="00D249A2" w:rsidRPr="00D249A2" w14:paraId="0E7A7449" w14:textId="77777777" w:rsidTr="00D249A2">
        <w:trPr>
          <w:trHeight w:val="312"/>
        </w:trPr>
        <w:tc>
          <w:tcPr>
            <w:tcW w:w="1236" w:type="pct"/>
            <w:tcBorders>
              <w:top w:val="nil"/>
              <w:left w:val="nil"/>
              <w:bottom w:val="nil"/>
            </w:tcBorders>
            <w:shd w:val="clear" w:color="auto" w:fill="auto"/>
            <w:noWrap/>
            <w:vAlign w:val="bottom"/>
            <w:hideMark/>
          </w:tcPr>
          <w:p w14:paraId="3805D69A" w14:textId="77777777" w:rsidR="00895A1D" w:rsidRPr="00D249A2" w:rsidRDefault="00895A1D" w:rsidP="00895A1D">
            <w:pPr>
              <w:rPr>
                <w:sz w:val="17"/>
                <w:szCs w:val="17"/>
              </w:rPr>
            </w:pPr>
            <w:r w:rsidRPr="00D249A2">
              <w:rPr>
                <w:sz w:val="17"/>
                <w:szCs w:val="17"/>
              </w:rPr>
              <w:t>Manyara</w:t>
            </w:r>
          </w:p>
        </w:tc>
        <w:tc>
          <w:tcPr>
            <w:tcW w:w="821" w:type="pct"/>
            <w:tcBorders>
              <w:top w:val="nil"/>
              <w:bottom w:val="nil"/>
              <w:right w:val="nil"/>
            </w:tcBorders>
            <w:shd w:val="clear" w:color="auto" w:fill="auto"/>
            <w:noWrap/>
            <w:vAlign w:val="bottom"/>
            <w:hideMark/>
          </w:tcPr>
          <w:p w14:paraId="53069F7F" w14:textId="01C49C0C" w:rsidR="00895A1D" w:rsidRPr="00D249A2" w:rsidRDefault="00895A1D" w:rsidP="00895A1D">
            <w:pPr>
              <w:jc w:val="right"/>
              <w:rPr>
                <w:sz w:val="17"/>
                <w:szCs w:val="17"/>
              </w:rPr>
            </w:pPr>
            <w:r w:rsidRPr="00D249A2">
              <w:rPr>
                <w:sz w:val="17"/>
                <w:szCs w:val="17"/>
              </w:rPr>
              <w:t>-</w:t>
            </w:r>
          </w:p>
        </w:tc>
        <w:tc>
          <w:tcPr>
            <w:tcW w:w="984" w:type="pct"/>
            <w:tcBorders>
              <w:top w:val="nil"/>
              <w:left w:val="nil"/>
              <w:bottom w:val="nil"/>
              <w:right w:val="nil"/>
            </w:tcBorders>
            <w:shd w:val="clear" w:color="auto" w:fill="auto"/>
            <w:noWrap/>
            <w:vAlign w:val="bottom"/>
            <w:hideMark/>
          </w:tcPr>
          <w:p w14:paraId="4021A4E7" w14:textId="04E6C1A5" w:rsidR="00895A1D" w:rsidRPr="00D249A2" w:rsidRDefault="00895A1D" w:rsidP="00895A1D">
            <w:pPr>
              <w:jc w:val="right"/>
              <w:rPr>
                <w:sz w:val="17"/>
                <w:szCs w:val="17"/>
              </w:rPr>
            </w:pPr>
            <w:r w:rsidRPr="00D249A2">
              <w:rPr>
                <w:sz w:val="17"/>
                <w:szCs w:val="17"/>
              </w:rPr>
              <w:t>-</w:t>
            </w:r>
          </w:p>
        </w:tc>
        <w:tc>
          <w:tcPr>
            <w:tcW w:w="1161" w:type="pct"/>
            <w:tcBorders>
              <w:top w:val="nil"/>
              <w:left w:val="nil"/>
              <w:bottom w:val="nil"/>
              <w:right w:val="nil"/>
            </w:tcBorders>
            <w:shd w:val="clear" w:color="auto" w:fill="auto"/>
            <w:noWrap/>
            <w:vAlign w:val="bottom"/>
            <w:hideMark/>
          </w:tcPr>
          <w:p w14:paraId="65BFFC9F" w14:textId="3A3D802A" w:rsidR="00895A1D" w:rsidRPr="00D249A2" w:rsidRDefault="00895A1D" w:rsidP="00895A1D">
            <w:pPr>
              <w:jc w:val="right"/>
              <w:rPr>
                <w:sz w:val="17"/>
                <w:szCs w:val="17"/>
              </w:rPr>
            </w:pPr>
            <w:r w:rsidRPr="00D249A2">
              <w:rPr>
                <w:sz w:val="17"/>
                <w:szCs w:val="17"/>
              </w:rPr>
              <w:t>-</w:t>
            </w:r>
          </w:p>
        </w:tc>
        <w:tc>
          <w:tcPr>
            <w:tcW w:w="798" w:type="pct"/>
            <w:tcBorders>
              <w:top w:val="nil"/>
              <w:left w:val="nil"/>
              <w:bottom w:val="nil"/>
              <w:right w:val="nil"/>
            </w:tcBorders>
            <w:shd w:val="clear" w:color="auto" w:fill="auto"/>
            <w:noWrap/>
            <w:vAlign w:val="bottom"/>
            <w:hideMark/>
          </w:tcPr>
          <w:p w14:paraId="114B3D47" w14:textId="6A46C203" w:rsidR="00895A1D" w:rsidRPr="00D249A2" w:rsidRDefault="00895A1D" w:rsidP="00895A1D">
            <w:pPr>
              <w:jc w:val="right"/>
              <w:rPr>
                <w:sz w:val="17"/>
                <w:szCs w:val="17"/>
              </w:rPr>
            </w:pPr>
            <w:r w:rsidRPr="00D249A2">
              <w:rPr>
                <w:sz w:val="17"/>
                <w:szCs w:val="17"/>
              </w:rPr>
              <w:t>-</w:t>
            </w:r>
          </w:p>
        </w:tc>
      </w:tr>
      <w:tr w:rsidR="00D249A2" w:rsidRPr="00D249A2" w14:paraId="50E28645" w14:textId="77777777" w:rsidTr="00D249A2">
        <w:trPr>
          <w:trHeight w:val="312"/>
        </w:trPr>
        <w:tc>
          <w:tcPr>
            <w:tcW w:w="1236" w:type="pct"/>
            <w:tcBorders>
              <w:top w:val="nil"/>
              <w:left w:val="nil"/>
              <w:bottom w:val="nil"/>
            </w:tcBorders>
            <w:shd w:val="clear" w:color="auto" w:fill="auto"/>
            <w:noWrap/>
            <w:vAlign w:val="bottom"/>
            <w:hideMark/>
          </w:tcPr>
          <w:p w14:paraId="0ACBBD6F" w14:textId="77777777" w:rsidR="00895A1D" w:rsidRPr="00D249A2" w:rsidRDefault="00895A1D" w:rsidP="00895A1D">
            <w:pPr>
              <w:rPr>
                <w:sz w:val="17"/>
                <w:szCs w:val="17"/>
              </w:rPr>
            </w:pPr>
            <w:r w:rsidRPr="00D249A2">
              <w:rPr>
                <w:sz w:val="17"/>
                <w:szCs w:val="17"/>
              </w:rPr>
              <w:t>Njombe</w:t>
            </w:r>
          </w:p>
        </w:tc>
        <w:tc>
          <w:tcPr>
            <w:tcW w:w="821" w:type="pct"/>
            <w:tcBorders>
              <w:top w:val="nil"/>
              <w:bottom w:val="nil"/>
              <w:right w:val="nil"/>
            </w:tcBorders>
            <w:shd w:val="clear" w:color="auto" w:fill="auto"/>
            <w:noWrap/>
            <w:vAlign w:val="bottom"/>
            <w:hideMark/>
          </w:tcPr>
          <w:p w14:paraId="452F058B" w14:textId="56405CAF" w:rsidR="00895A1D" w:rsidRPr="00D249A2" w:rsidRDefault="00895A1D" w:rsidP="00895A1D">
            <w:pPr>
              <w:jc w:val="right"/>
              <w:rPr>
                <w:sz w:val="17"/>
                <w:szCs w:val="17"/>
              </w:rPr>
            </w:pPr>
            <w:r w:rsidRPr="00D249A2">
              <w:rPr>
                <w:sz w:val="17"/>
                <w:szCs w:val="17"/>
              </w:rPr>
              <w:t>-</w:t>
            </w:r>
          </w:p>
        </w:tc>
        <w:tc>
          <w:tcPr>
            <w:tcW w:w="984" w:type="pct"/>
            <w:tcBorders>
              <w:top w:val="nil"/>
              <w:left w:val="nil"/>
              <w:bottom w:val="nil"/>
              <w:right w:val="nil"/>
            </w:tcBorders>
            <w:shd w:val="clear" w:color="auto" w:fill="auto"/>
            <w:noWrap/>
            <w:vAlign w:val="bottom"/>
            <w:hideMark/>
          </w:tcPr>
          <w:p w14:paraId="37F48482" w14:textId="2486A357" w:rsidR="00895A1D" w:rsidRPr="00D249A2" w:rsidRDefault="00895A1D" w:rsidP="00895A1D">
            <w:pPr>
              <w:jc w:val="right"/>
              <w:rPr>
                <w:sz w:val="17"/>
                <w:szCs w:val="17"/>
              </w:rPr>
            </w:pPr>
            <w:r w:rsidRPr="00D249A2">
              <w:rPr>
                <w:sz w:val="17"/>
                <w:szCs w:val="17"/>
              </w:rPr>
              <w:t>-</w:t>
            </w:r>
          </w:p>
        </w:tc>
        <w:tc>
          <w:tcPr>
            <w:tcW w:w="1161" w:type="pct"/>
            <w:tcBorders>
              <w:top w:val="nil"/>
              <w:left w:val="nil"/>
              <w:bottom w:val="nil"/>
              <w:right w:val="nil"/>
            </w:tcBorders>
            <w:shd w:val="clear" w:color="auto" w:fill="auto"/>
            <w:noWrap/>
            <w:vAlign w:val="bottom"/>
            <w:hideMark/>
          </w:tcPr>
          <w:p w14:paraId="3A8C2EFE" w14:textId="7703159B" w:rsidR="00895A1D" w:rsidRPr="00D249A2" w:rsidRDefault="00895A1D" w:rsidP="00895A1D">
            <w:pPr>
              <w:jc w:val="right"/>
              <w:rPr>
                <w:sz w:val="17"/>
                <w:szCs w:val="17"/>
              </w:rPr>
            </w:pPr>
            <w:r w:rsidRPr="00D249A2">
              <w:rPr>
                <w:sz w:val="17"/>
                <w:szCs w:val="17"/>
              </w:rPr>
              <w:t>-</w:t>
            </w:r>
          </w:p>
        </w:tc>
        <w:tc>
          <w:tcPr>
            <w:tcW w:w="798" w:type="pct"/>
            <w:tcBorders>
              <w:top w:val="nil"/>
              <w:left w:val="nil"/>
              <w:bottom w:val="nil"/>
              <w:right w:val="nil"/>
            </w:tcBorders>
            <w:shd w:val="clear" w:color="auto" w:fill="auto"/>
            <w:noWrap/>
            <w:vAlign w:val="bottom"/>
            <w:hideMark/>
          </w:tcPr>
          <w:p w14:paraId="2EF38FDB" w14:textId="3C533102" w:rsidR="00895A1D" w:rsidRPr="00D249A2" w:rsidRDefault="00895A1D" w:rsidP="00895A1D">
            <w:pPr>
              <w:jc w:val="right"/>
              <w:rPr>
                <w:sz w:val="17"/>
                <w:szCs w:val="17"/>
              </w:rPr>
            </w:pPr>
            <w:r w:rsidRPr="00D249A2">
              <w:rPr>
                <w:sz w:val="17"/>
                <w:szCs w:val="17"/>
              </w:rPr>
              <w:t>-</w:t>
            </w:r>
          </w:p>
        </w:tc>
      </w:tr>
      <w:tr w:rsidR="00D249A2" w:rsidRPr="00D249A2" w14:paraId="758BAE78" w14:textId="77777777" w:rsidTr="00D249A2">
        <w:trPr>
          <w:trHeight w:val="312"/>
        </w:trPr>
        <w:tc>
          <w:tcPr>
            <w:tcW w:w="1236" w:type="pct"/>
            <w:tcBorders>
              <w:top w:val="nil"/>
              <w:left w:val="nil"/>
              <w:bottom w:val="nil"/>
            </w:tcBorders>
            <w:shd w:val="clear" w:color="auto" w:fill="auto"/>
            <w:noWrap/>
            <w:vAlign w:val="bottom"/>
            <w:hideMark/>
          </w:tcPr>
          <w:p w14:paraId="1D45EA5F" w14:textId="77777777" w:rsidR="00895A1D" w:rsidRPr="00D249A2" w:rsidRDefault="00895A1D" w:rsidP="00895A1D">
            <w:pPr>
              <w:rPr>
                <w:sz w:val="17"/>
                <w:szCs w:val="17"/>
              </w:rPr>
            </w:pPr>
            <w:r w:rsidRPr="00D249A2">
              <w:rPr>
                <w:sz w:val="17"/>
                <w:szCs w:val="17"/>
              </w:rPr>
              <w:t>Katavi</w:t>
            </w:r>
          </w:p>
        </w:tc>
        <w:tc>
          <w:tcPr>
            <w:tcW w:w="821" w:type="pct"/>
            <w:tcBorders>
              <w:top w:val="nil"/>
              <w:bottom w:val="nil"/>
              <w:right w:val="nil"/>
            </w:tcBorders>
            <w:shd w:val="clear" w:color="auto" w:fill="auto"/>
            <w:noWrap/>
            <w:vAlign w:val="bottom"/>
            <w:hideMark/>
          </w:tcPr>
          <w:p w14:paraId="1E3D082B" w14:textId="38C14239" w:rsidR="00895A1D" w:rsidRPr="00D249A2" w:rsidRDefault="00895A1D" w:rsidP="00895A1D">
            <w:pPr>
              <w:jc w:val="right"/>
              <w:rPr>
                <w:sz w:val="17"/>
                <w:szCs w:val="17"/>
              </w:rPr>
            </w:pPr>
            <w:r w:rsidRPr="00D249A2">
              <w:rPr>
                <w:sz w:val="17"/>
                <w:szCs w:val="17"/>
              </w:rPr>
              <w:t>-</w:t>
            </w:r>
          </w:p>
        </w:tc>
        <w:tc>
          <w:tcPr>
            <w:tcW w:w="984" w:type="pct"/>
            <w:tcBorders>
              <w:top w:val="nil"/>
              <w:left w:val="nil"/>
              <w:bottom w:val="nil"/>
              <w:right w:val="nil"/>
            </w:tcBorders>
            <w:shd w:val="clear" w:color="auto" w:fill="auto"/>
            <w:noWrap/>
            <w:vAlign w:val="bottom"/>
            <w:hideMark/>
          </w:tcPr>
          <w:p w14:paraId="266F224E" w14:textId="166D3E1E" w:rsidR="00895A1D" w:rsidRPr="00D249A2" w:rsidRDefault="00895A1D" w:rsidP="00895A1D">
            <w:pPr>
              <w:jc w:val="right"/>
              <w:rPr>
                <w:sz w:val="17"/>
                <w:szCs w:val="17"/>
              </w:rPr>
            </w:pPr>
            <w:r w:rsidRPr="00D249A2">
              <w:rPr>
                <w:sz w:val="17"/>
                <w:szCs w:val="17"/>
              </w:rPr>
              <w:t>-</w:t>
            </w:r>
          </w:p>
        </w:tc>
        <w:tc>
          <w:tcPr>
            <w:tcW w:w="1161" w:type="pct"/>
            <w:tcBorders>
              <w:top w:val="nil"/>
              <w:left w:val="nil"/>
              <w:bottom w:val="nil"/>
              <w:right w:val="nil"/>
            </w:tcBorders>
            <w:shd w:val="clear" w:color="auto" w:fill="auto"/>
            <w:noWrap/>
            <w:vAlign w:val="bottom"/>
            <w:hideMark/>
          </w:tcPr>
          <w:p w14:paraId="1083C528" w14:textId="0368E002" w:rsidR="00895A1D" w:rsidRPr="00D249A2" w:rsidRDefault="00895A1D" w:rsidP="00895A1D">
            <w:pPr>
              <w:jc w:val="right"/>
              <w:rPr>
                <w:sz w:val="17"/>
                <w:szCs w:val="17"/>
              </w:rPr>
            </w:pPr>
            <w:r w:rsidRPr="00D249A2">
              <w:rPr>
                <w:sz w:val="17"/>
                <w:szCs w:val="17"/>
              </w:rPr>
              <w:t>-</w:t>
            </w:r>
          </w:p>
        </w:tc>
        <w:tc>
          <w:tcPr>
            <w:tcW w:w="798" w:type="pct"/>
            <w:tcBorders>
              <w:top w:val="nil"/>
              <w:left w:val="nil"/>
              <w:bottom w:val="nil"/>
              <w:right w:val="nil"/>
            </w:tcBorders>
            <w:shd w:val="clear" w:color="auto" w:fill="auto"/>
            <w:noWrap/>
            <w:vAlign w:val="bottom"/>
            <w:hideMark/>
          </w:tcPr>
          <w:p w14:paraId="2A2F5990" w14:textId="150D1904" w:rsidR="00895A1D" w:rsidRPr="00D249A2" w:rsidRDefault="00895A1D" w:rsidP="00895A1D">
            <w:pPr>
              <w:jc w:val="right"/>
              <w:rPr>
                <w:sz w:val="17"/>
                <w:szCs w:val="17"/>
              </w:rPr>
            </w:pPr>
            <w:r w:rsidRPr="00D249A2">
              <w:rPr>
                <w:sz w:val="17"/>
                <w:szCs w:val="17"/>
              </w:rPr>
              <w:t>-</w:t>
            </w:r>
          </w:p>
        </w:tc>
      </w:tr>
      <w:tr w:rsidR="00D249A2" w:rsidRPr="00D249A2" w14:paraId="07312B09" w14:textId="77777777" w:rsidTr="00D249A2">
        <w:trPr>
          <w:trHeight w:val="312"/>
        </w:trPr>
        <w:tc>
          <w:tcPr>
            <w:tcW w:w="1236" w:type="pct"/>
            <w:tcBorders>
              <w:top w:val="nil"/>
              <w:left w:val="nil"/>
              <w:bottom w:val="nil"/>
            </w:tcBorders>
            <w:shd w:val="clear" w:color="auto" w:fill="auto"/>
            <w:noWrap/>
            <w:vAlign w:val="bottom"/>
            <w:hideMark/>
          </w:tcPr>
          <w:p w14:paraId="0AB1248A" w14:textId="77777777" w:rsidR="00895A1D" w:rsidRPr="00D249A2" w:rsidRDefault="00895A1D" w:rsidP="00895A1D">
            <w:pPr>
              <w:rPr>
                <w:sz w:val="17"/>
                <w:szCs w:val="17"/>
              </w:rPr>
            </w:pPr>
            <w:r w:rsidRPr="00D249A2">
              <w:rPr>
                <w:sz w:val="17"/>
                <w:szCs w:val="17"/>
              </w:rPr>
              <w:t>Simiyu</w:t>
            </w:r>
          </w:p>
        </w:tc>
        <w:tc>
          <w:tcPr>
            <w:tcW w:w="821" w:type="pct"/>
            <w:tcBorders>
              <w:top w:val="nil"/>
              <w:bottom w:val="nil"/>
              <w:right w:val="nil"/>
            </w:tcBorders>
            <w:shd w:val="clear" w:color="auto" w:fill="auto"/>
            <w:noWrap/>
            <w:vAlign w:val="bottom"/>
            <w:hideMark/>
          </w:tcPr>
          <w:p w14:paraId="48D367D2" w14:textId="459CD002" w:rsidR="00895A1D" w:rsidRPr="00D249A2" w:rsidRDefault="00895A1D" w:rsidP="00895A1D">
            <w:pPr>
              <w:jc w:val="right"/>
              <w:rPr>
                <w:sz w:val="17"/>
                <w:szCs w:val="17"/>
              </w:rPr>
            </w:pPr>
            <w:r w:rsidRPr="00D249A2">
              <w:rPr>
                <w:sz w:val="17"/>
                <w:szCs w:val="17"/>
              </w:rPr>
              <w:t>-</w:t>
            </w:r>
          </w:p>
        </w:tc>
        <w:tc>
          <w:tcPr>
            <w:tcW w:w="984" w:type="pct"/>
            <w:tcBorders>
              <w:top w:val="nil"/>
              <w:left w:val="nil"/>
              <w:bottom w:val="nil"/>
              <w:right w:val="nil"/>
            </w:tcBorders>
            <w:shd w:val="clear" w:color="auto" w:fill="auto"/>
            <w:noWrap/>
            <w:vAlign w:val="bottom"/>
            <w:hideMark/>
          </w:tcPr>
          <w:p w14:paraId="7142CB23" w14:textId="7F3FB5BA" w:rsidR="00895A1D" w:rsidRPr="00D249A2" w:rsidRDefault="00895A1D" w:rsidP="00895A1D">
            <w:pPr>
              <w:jc w:val="right"/>
              <w:rPr>
                <w:sz w:val="17"/>
                <w:szCs w:val="17"/>
              </w:rPr>
            </w:pPr>
            <w:r w:rsidRPr="00D249A2">
              <w:rPr>
                <w:sz w:val="17"/>
                <w:szCs w:val="17"/>
              </w:rPr>
              <w:t>-</w:t>
            </w:r>
          </w:p>
        </w:tc>
        <w:tc>
          <w:tcPr>
            <w:tcW w:w="1161" w:type="pct"/>
            <w:tcBorders>
              <w:top w:val="nil"/>
              <w:left w:val="nil"/>
              <w:bottom w:val="nil"/>
              <w:right w:val="nil"/>
            </w:tcBorders>
            <w:shd w:val="clear" w:color="auto" w:fill="auto"/>
            <w:noWrap/>
            <w:vAlign w:val="bottom"/>
            <w:hideMark/>
          </w:tcPr>
          <w:p w14:paraId="2A77F47A" w14:textId="038D82AB" w:rsidR="00895A1D" w:rsidRPr="00D249A2" w:rsidRDefault="00895A1D" w:rsidP="00895A1D">
            <w:pPr>
              <w:jc w:val="right"/>
              <w:rPr>
                <w:sz w:val="17"/>
                <w:szCs w:val="17"/>
              </w:rPr>
            </w:pPr>
            <w:r w:rsidRPr="00D249A2">
              <w:rPr>
                <w:sz w:val="17"/>
                <w:szCs w:val="17"/>
              </w:rPr>
              <w:t>-</w:t>
            </w:r>
          </w:p>
        </w:tc>
        <w:tc>
          <w:tcPr>
            <w:tcW w:w="798" w:type="pct"/>
            <w:tcBorders>
              <w:top w:val="nil"/>
              <w:left w:val="nil"/>
              <w:bottom w:val="nil"/>
              <w:right w:val="nil"/>
            </w:tcBorders>
            <w:shd w:val="clear" w:color="auto" w:fill="auto"/>
            <w:noWrap/>
            <w:vAlign w:val="bottom"/>
            <w:hideMark/>
          </w:tcPr>
          <w:p w14:paraId="56EAC269" w14:textId="68D8DF5D" w:rsidR="00895A1D" w:rsidRPr="00D249A2" w:rsidRDefault="00895A1D" w:rsidP="00895A1D">
            <w:pPr>
              <w:jc w:val="right"/>
              <w:rPr>
                <w:sz w:val="17"/>
                <w:szCs w:val="17"/>
              </w:rPr>
            </w:pPr>
            <w:r w:rsidRPr="00D249A2">
              <w:rPr>
                <w:sz w:val="17"/>
                <w:szCs w:val="17"/>
              </w:rPr>
              <w:t>-</w:t>
            </w:r>
          </w:p>
        </w:tc>
      </w:tr>
      <w:tr w:rsidR="00D249A2" w:rsidRPr="00D249A2" w14:paraId="6AC94F9D" w14:textId="77777777" w:rsidTr="00D249A2">
        <w:trPr>
          <w:trHeight w:val="312"/>
        </w:trPr>
        <w:tc>
          <w:tcPr>
            <w:tcW w:w="1236" w:type="pct"/>
            <w:tcBorders>
              <w:top w:val="nil"/>
              <w:left w:val="nil"/>
              <w:bottom w:val="nil"/>
            </w:tcBorders>
            <w:shd w:val="clear" w:color="auto" w:fill="auto"/>
            <w:noWrap/>
            <w:vAlign w:val="bottom"/>
            <w:hideMark/>
          </w:tcPr>
          <w:p w14:paraId="044CB989" w14:textId="77777777" w:rsidR="00895A1D" w:rsidRPr="00D249A2" w:rsidRDefault="00895A1D" w:rsidP="00895A1D">
            <w:pPr>
              <w:rPr>
                <w:sz w:val="17"/>
                <w:szCs w:val="17"/>
              </w:rPr>
            </w:pPr>
            <w:r w:rsidRPr="00D249A2">
              <w:rPr>
                <w:sz w:val="17"/>
                <w:szCs w:val="17"/>
              </w:rPr>
              <w:t>Geita</w:t>
            </w:r>
          </w:p>
        </w:tc>
        <w:tc>
          <w:tcPr>
            <w:tcW w:w="821" w:type="pct"/>
            <w:tcBorders>
              <w:top w:val="nil"/>
              <w:bottom w:val="nil"/>
              <w:right w:val="nil"/>
            </w:tcBorders>
            <w:shd w:val="clear" w:color="auto" w:fill="auto"/>
            <w:noWrap/>
            <w:vAlign w:val="bottom"/>
            <w:hideMark/>
          </w:tcPr>
          <w:p w14:paraId="0E767844" w14:textId="42C74C70" w:rsidR="00895A1D" w:rsidRPr="00D249A2" w:rsidRDefault="00895A1D" w:rsidP="00895A1D">
            <w:pPr>
              <w:jc w:val="right"/>
              <w:rPr>
                <w:sz w:val="17"/>
                <w:szCs w:val="17"/>
              </w:rPr>
            </w:pPr>
            <w:r w:rsidRPr="00D249A2">
              <w:rPr>
                <w:sz w:val="17"/>
                <w:szCs w:val="17"/>
              </w:rPr>
              <w:t>32</w:t>
            </w:r>
          </w:p>
        </w:tc>
        <w:tc>
          <w:tcPr>
            <w:tcW w:w="984" w:type="pct"/>
            <w:tcBorders>
              <w:top w:val="nil"/>
              <w:left w:val="nil"/>
              <w:bottom w:val="nil"/>
              <w:right w:val="nil"/>
            </w:tcBorders>
            <w:shd w:val="clear" w:color="auto" w:fill="auto"/>
            <w:noWrap/>
            <w:vAlign w:val="bottom"/>
            <w:hideMark/>
          </w:tcPr>
          <w:p w14:paraId="71F084B8" w14:textId="1EB307CC" w:rsidR="00895A1D" w:rsidRPr="00D249A2" w:rsidRDefault="00895A1D" w:rsidP="00895A1D">
            <w:pPr>
              <w:jc w:val="right"/>
              <w:rPr>
                <w:sz w:val="17"/>
                <w:szCs w:val="17"/>
              </w:rPr>
            </w:pPr>
            <w:r w:rsidRPr="00D249A2">
              <w:rPr>
                <w:sz w:val="17"/>
                <w:szCs w:val="17"/>
              </w:rPr>
              <w:t>32</w:t>
            </w:r>
          </w:p>
        </w:tc>
        <w:tc>
          <w:tcPr>
            <w:tcW w:w="1161" w:type="pct"/>
            <w:tcBorders>
              <w:top w:val="nil"/>
              <w:left w:val="nil"/>
              <w:bottom w:val="nil"/>
              <w:right w:val="nil"/>
            </w:tcBorders>
            <w:shd w:val="clear" w:color="auto" w:fill="auto"/>
            <w:noWrap/>
            <w:vAlign w:val="bottom"/>
            <w:hideMark/>
          </w:tcPr>
          <w:p w14:paraId="332073A4" w14:textId="68B4BB0E" w:rsidR="00895A1D" w:rsidRPr="00D249A2" w:rsidRDefault="00895A1D" w:rsidP="00895A1D">
            <w:pPr>
              <w:jc w:val="right"/>
              <w:rPr>
                <w:sz w:val="17"/>
                <w:szCs w:val="17"/>
              </w:rPr>
            </w:pPr>
            <w:r w:rsidRPr="00D249A2">
              <w:rPr>
                <w:sz w:val="17"/>
                <w:szCs w:val="17"/>
              </w:rPr>
              <w:t>154</w:t>
            </w:r>
          </w:p>
        </w:tc>
        <w:tc>
          <w:tcPr>
            <w:tcW w:w="798" w:type="pct"/>
            <w:tcBorders>
              <w:top w:val="nil"/>
              <w:left w:val="nil"/>
              <w:bottom w:val="nil"/>
              <w:right w:val="nil"/>
            </w:tcBorders>
            <w:shd w:val="clear" w:color="auto" w:fill="auto"/>
            <w:noWrap/>
            <w:vAlign w:val="bottom"/>
            <w:hideMark/>
          </w:tcPr>
          <w:p w14:paraId="7F012A86" w14:textId="534EB270" w:rsidR="00895A1D" w:rsidRPr="00D249A2" w:rsidRDefault="00895A1D" w:rsidP="00895A1D">
            <w:pPr>
              <w:jc w:val="right"/>
              <w:rPr>
                <w:sz w:val="17"/>
                <w:szCs w:val="17"/>
              </w:rPr>
            </w:pPr>
            <w:r w:rsidRPr="00D249A2">
              <w:rPr>
                <w:sz w:val="17"/>
                <w:szCs w:val="17"/>
              </w:rPr>
              <w:t>4.8</w:t>
            </w:r>
          </w:p>
        </w:tc>
      </w:tr>
      <w:tr w:rsidR="00D249A2" w:rsidRPr="00D249A2" w14:paraId="600EB284" w14:textId="77777777" w:rsidTr="00D249A2">
        <w:trPr>
          <w:trHeight w:val="312"/>
        </w:trPr>
        <w:tc>
          <w:tcPr>
            <w:tcW w:w="1236" w:type="pct"/>
            <w:tcBorders>
              <w:top w:val="nil"/>
              <w:left w:val="nil"/>
              <w:bottom w:val="nil"/>
            </w:tcBorders>
            <w:shd w:val="clear" w:color="auto" w:fill="auto"/>
            <w:noWrap/>
            <w:vAlign w:val="bottom"/>
            <w:hideMark/>
          </w:tcPr>
          <w:p w14:paraId="48001A78" w14:textId="77777777" w:rsidR="00895A1D" w:rsidRPr="00D249A2" w:rsidRDefault="00895A1D" w:rsidP="00895A1D">
            <w:pPr>
              <w:rPr>
                <w:sz w:val="17"/>
                <w:szCs w:val="17"/>
              </w:rPr>
            </w:pPr>
            <w:r w:rsidRPr="00D249A2">
              <w:rPr>
                <w:sz w:val="17"/>
                <w:szCs w:val="17"/>
              </w:rPr>
              <w:t>Songwe</w:t>
            </w:r>
          </w:p>
        </w:tc>
        <w:tc>
          <w:tcPr>
            <w:tcW w:w="821" w:type="pct"/>
            <w:tcBorders>
              <w:top w:val="nil"/>
              <w:bottom w:val="nil"/>
              <w:right w:val="nil"/>
            </w:tcBorders>
            <w:shd w:val="clear" w:color="auto" w:fill="auto"/>
            <w:noWrap/>
            <w:vAlign w:val="bottom"/>
            <w:hideMark/>
          </w:tcPr>
          <w:p w14:paraId="47043EBE" w14:textId="2BE81FEC" w:rsidR="00895A1D" w:rsidRPr="00D249A2" w:rsidRDefault="00895A1D" w:rsidP="00895A1D">
            <w:pPr>
              <w:jc w:val="right"/>
              <w:rPr>
                <w:sz w:val="17"/>
                <w:szCs w:val="17"/>
              </w:rPr>
            </w:pPr>
            <w:r w:rsidRPr="00D249A2">
              <w:rPr>
                <w:sz w:val="17"/>
                <w:szCs w:val="17"/>
              </w:rPr>
              <w:t>56</w:t>
            </w:r>
          </w:p>
        </w:tc>
        <w:tc>
          <w:tcPr>
            <w:tcW w:w="984" w:type="pct"/>
            <w:tcBorders>
              <w:top w:val="nil"/>
              <w:left w:val="nil"/>
              <w:bottom w:val="nil"/>
              <w:right w:val="nil"/>
            </w:tcBorders>
            <w:shd w:val="clear" w:color="auto" w:fill="auto"/>
            <w:noWrap/>
            <w:vAlign w:val="bottom"/>
            <w:hideMark/>
          </w:tcPr>
          <w:p w14:paraId="08E7CE00" w14:textId="1B228007" w:rsidR="00895A1D" w:rsidRPr="00D249A2" w:rsidRDefault="00895A1D" w:rsidP="00895A1D">
            <w:pPr>
              <w:jc w:val="right"/>
              <w:rPr>
                <w:sz w:val="17"/>
                <w:szCs w:val="17"/>
              </w:rPr>
            </w:pPr>
            <w:r w:rsidRPr="00D249A2">
              <w:rPr>
                <w:sz w:val="17"/>
                <w:szCs w:val="17"/>
              </w:rPr>
              <w:t>34</w:t>
            </w:r>
          </w:p>
        </w:tc>
        <w:tc>
          <w:tcPr>
            <w:tcW w:w="1161" w:type="pct"/>
            <w:tcBorders>
              <w:top w:val="nil"/>
              <w:left w:val="nil"/>
              <w:bottom w:val="nil"/>
              <w:right w:val="nil"/>
            </w:tcBorders>
            <w:shd w:val="clear" w:color="auto" w:fill="auto"/>
            <w:noWrap/>
            <w:vAlign w:val="bottom"/>
            <w:hideMark/>
          </w:tcPr>
          <w:p w14:paraId="3FD69AB6" w14:textId="4261CEA0" w:rsidR="00895A1D" w:rsidRPr="00D249A2" w:rsidRDefault="00895A1D" w:rsidP="00895A1D">
            <w:pPr>
              <w:jc w:val="right"/>
              <w:rPr>
                <w:sz w:val="17"/>
                <w:szCs w:val="17"/>
              </w:rPr>
            </w:pPr>
            <w:r w:rsidRPr="00D249A2">
              <w:rPr>
                <w:sz w:val="17"/>
                <w:szCs w:val="17"/>
              </w:rPr>
              <w:t>155</w:t>
            </w:r>
          </w:p>
        </w:tc>
        <w:tc>
          <w:tcPr>
            <w:tcW w:w="798" w:type="pct"/>
            <w:tcBorders>
              <w:top w:val="nil"/>
              <w:left w:val="nil"/>
              <w:bottom w:val="nil"/>
              <w:right w:val="nil"/>
            </w:tcBorders>
            <w:shd w:val="clear" w:color="auto" w:fill="auto"/>
            <w:noWrap/>
            <w:vAlign w:val="bottom"/>
            <w:hideMark/>
          </w:tcPr>
          <w:p w14:paraId="26FA0140" w14:textId="764F08AF" w:rsidR="00895A1D" w:rsidRPr="00D249A2" w:rsidRDefault="00895A1D" w:rsidP="00895A1D">
            <w:pPr>
              <w:jc w:val="right"/>
              <w:rPr>
                <w:sz w:val="17"/>
                <w:szCs w:val="17"/>
              </w:rPr>
            </w:pPr>
            <w:r w:rsidRPr="00D249A2">
              <w:rPr>
                <w:sz w:val="17"/>
                <w:szCs w:val="17"/>
              </w:rPr>
              <w:t>4.6</w:t>
            </w:r>
          </w:p>
        </w:tc>
      </w:tr>
      <w:tr w:rsidR="00D249A2" w:rsidRPr="00D249A2" w14:paraId="0CD97F9A" w14:textId="77777777" w:rsidTr="00D249A2">
        <w:trPr>
          <w:trHeight w:val="312"/>
        </w:trPr>
        <w:tc>
          <w:tcPr>
            <w:tcW w:w="1236" w:type="pct"/>
            <w:tcBorders>
              <w:top w:val="single" w:sz="4" w:space="0" w:color="auto"/>
              <w:left w:val="nil"/>
              <w:bottom w:val="single" w:sz="4" w:space="0" w:color="auto"/>
            </w:tcBorders>
            <w:shd w:val="clear" w:color="auto" w:fill="E2EFD9" w:themeFill="accent6" w:themeFillTint="33"/>
            <w:noWrap/>
            <w:vAlign w:val="bottom"/>
            <w:hideMark/>
          </w:tcPr>
          <w:p w14:paraId="2EE3499F" w14:textId="4D2A1FF7" w:rsidR="00895A1D" w:rsidRPr="00D249A2" w:rsidRDefault="00EA1552" w:rsidP="00895A1D">
            <w:pPr>
              <w:rPr>
                <w:b/>
                <w:bCs/>
                <w:sz w:val="17"/>
                <w:szCs w:val="17"/>
              </w:rPr>
            </w:pPr>
            <w:r w:rsidRPr="00D249A2">
              <w:rPr>
                <w:b/>
                <w:bCs/>
                <w:sz w:val="17"/>
                <w:szCs w:val="17"/>
              </w:rPr>
              <w:t>Mainland Tanzania</w:t>
            </w:r>
          </w:p>
        </w:tc>
        <w:tc>
          <w:tcPr>
            <w:tcW w:w="821" w:type="pct"/>
            <w:tcBorders>
              <w:top w:val="single" w:sz="4" w:space="0" w:color="auto"/>
              <w:bottom w:val="single" w:sz="4" w:space="0" w:color="auto"/>
              <w:right w:val="nil"/>
            </w:tcBorders>
            <w:shd w:val="clear" w:color="auto" w:fill="E2EFD9" w:themeFill="accent6" w:themeFillTint="33"/>
            <w:noWrap/>
            <w:vAlign w:val="bottom"/>
            <w:hideMark/>
          </w:tcPr>
          <w:p w14:paraId="608C202B" w14:textId="7BA5715A" w:rsidR="00895A1D" w:rsidRPr="00D249A2" w:rsidRDefault="00895A1D" w:rsidP="00895A1D">
            <w:pPr>
              <w:jc w:val="right"/>
              <w:rPr>
                <w:b/>
                <w:bCs/>
                <w:sz w:val="17"/>
                <w:szCs w:val="17"/>
              </w:rPr>
            </w:pPr>
            <w:r w:rsidRPr="00D249A2">
              <w:rPr>
                <w:b/>
                <w:bCs/>
                <w:sz w:val="17"/>
                <w:szCs w:val="17"/>
              </w:rPr>
              <w:t>10,479</w:t>
            </w:r>
          </w:p>
        </w:tc>
        <w:tc>
          <w:tcPr>
            <w:tcW w:w="984" w:type="pct"/>
            <w:tcBorders>
              <w:top w:val="single" w:sz="4" w:space="0" w:color="auto"/>
              <w:left w:val="nil"/>
              <w:bottom w:val="single" w:sz="4" w:space="0" w:color="auto"/>
              <w:right w:val="nil"/>
            </w:tcBorders>
            <w:shd w:val="clear" w:color="auto" w:fill="E2EFD9" w:themeFill="accent6" w:themeFillTint="33"/>
            <w:noWrap/>
            <w:vAlign w:val="bottom"/>
            <w:hideMark/>
          </w:tcPr>
          <w:p w14:paraId="7ABAEF6E" w14:textId="673354C9" w:rsidR="00895A1D" w:rsidRPr="00D249A2" w:rsidRDefault="00895A1D" w:rsidP="00895A1D">
            <w:pPr>
              <w:jc w:val="right"/>
              <w:rPr>
                <w:b/>
                <w:bCs/>
                <w:sz w:val="17"/>
                <w:szCs w:val="17"/>
              </w:rPr>
            </w:pPr>
            <w:r w:rsidRPr="00D249A2">
              <w:rPr>
                <w:b/>
                <w:bCs/>
                <w:sz w:val="17"/>
                <w:szCs w:val="17"/>
              </w:rPr>
              <w:t>9,067</w:t>
            </w:r>
          </w:p>
        </w:tc>
        <w:tc>
          <w:tcPr>
            <w:tcW w:w="1161" w:type="pct"/>
            <w:tcBorders>
              <w:top w:val="single" w:sz="4" w:space="0" w:color="auto"/>
              <w:left w:val="nil"/>
              <w:bottom w:val="single" w:sz="4" w:space="0" w:color="auto"/>
              <w:right w:val="nil"/>
            </w:tcBorders>
            <w:shd w:val="clear" w:color="auto" w:fill="E2EFD9" w:themeFill="accent6" w:themeFillTint="33"/>
            <w:noWrap/>
            <w:vAlign w:val="bottom"/>
            <w:hideMark/>
          </w:tcPr>
          <w:p w14:paraId="708038AF" w14:textId="746364A6" w:rsidR="00895A1D" w:rsidRPr="00D249A2" w:rsidRDefault="00895A1D" w:rsidP="00895A1D">
            <w:pPr>
              <w:jc w:val="right"/>
              <w:rPr>
                <w:b/>
                <w:bCs/>
                <w:sz w:val="17"/>
                <w:szCs w:val="17"/>
              </w:rPr>
            </w:pPr>
            <w:r w:rsidRPr="00D249A2">
              <w:rPr>
                <w:b/>
                <w:bCs/>
                <w:sz w:val="17"/>
                <w:szCs w:val="17"/>
              </w:rPr>
              <w:t>33,238</w:t>
            </w:r>
          </w:p>
        </w:tc>
        <w:tc>
          <w:tcPr>
            <w:tcW w:w="798" w:type="pct"/>
            <w:tcBorders>
              <w:top w:val="single" w:sz="4" w:space="0" w:color="auto"/>
              <w:left w:val="nil"/>
              <w:bottom w:val="single" w:sz="4" w:space="0" w:color="auto"/>
              <w:right w:val="nil"/>
            </w:tcBorders>
            <w:shd w:val="clear" w:color="auto" w:fill="E2EFD9" w:themeFill="accent6" w:themeFillTint="33"/>
            <w:noWrap/>
            <w:vAlign w:val="bottom"/>
            <w:hideMark/>
          </w:tcPr>
          <w:p w14:paraId="020B76CE" w14:textId="75849675" w:rsidR="00895A1D" w:rsidRPr="00D249A2" w:rsidRDefault="00895A1D" w:rsidP="00895A1D">
            <w:pPr>
              <w:jc w:val="right"/>
              <w:rPr>
                <w:b/>
                <w:bCs/>
                <w:sz w:val="17"/>
                <w:szCs w:val="17"/>
              </w:rPr>
            </w:pPr>
            <w:r w:rsidRPr="00D249A2">
              <w:rPr>
                <w:b/>
                <w:bCs/>
                <w:sz w:val="17"/>
                <w:szCs w:val="17"/>
              </w:rPr>
              <w:t>3.7</w:t>
            </w:r>
          </w:p>
        </w:tc>
      </w:tr>
      <w:tr w:rsidR="00D249A2" w:rsidRPr="00D249A2" w14:paraId="28E524C3" w14:textId="77777777" w:rsidTr="00D249A2">
        <w:trPr>
          <w:trHeight w:val="312"/>
        </w:trPr>
        <w:tc>
          <w:tcPr>
            <w:tcW w:w="1236" w:type="pct"/>
            <w:tcBorders>
              <w:top w:val="nil"/>
              <w:left w:val="nil"/>
              <w:bottom w:val="nil"/>
            </w:tcBorders>
            <w:shd w:val="clear" w:color="auto" w:fill="auto"/>
            <w:noWrap/>
            <w:vAlign w:val="bottom"/>
            <w:hideMark/>
          </w:tcPr>
          <w:p w14:paraId="0F00E45C" w14:textId="77777777" w:rsidR="00895A1D" w:rsidRPr="00D249A2" w:rsidRDefault="00895A1D" w:rsidP="00895A1D">
            <w:pPr>
              <w:rPr>
                <w:sz w:val="17"/>
                <w:szCs w:val="17"/>
              </w:rPr>
            </w:pPr>
            <w:r w:rsidRPr="00D249A2">
              <w:rPr>
                <w:sz w:val="17"/>
                <w:szCs w:val="17"/>
              </w:rPr>
              <w:t>Kaskazini Unguja</w:t>
            </w:r>
          </w:p>
        </w:tc>
        <w:tc>
          <w:tcPr>
            <w:tcW w:w="821" w:type="pct"/>
            <w:tcBorders>
              <w:top w:val="nil"/>
              <w:bottom w:val="nil"/>
              <w:right w:val="nil"/>
            </w:tcBorders>
            <w:shd w:val="clear" w:color="auto" w:fill="auto"/>
            <w:noWrap/>
            <w:vAlign w:val="bottom"/>
            <w:hideMark/>
          </w:tcPr>
          <w:p w14:paraId="30454460" w14:textId="0D055993" w:rsidR="00895A1D" w:rsidRPr="00D249A2" w:rsidRDefault="00895A1D" w:rsidP="00895A1D">
            <w:pPr>
              <w:jc w:val="right"/>
              <w:rPr>
                <w:sz w:val="17"/>
                <w:szCs w:val="17"/>
              </w:rPr>
            </w:pPr>
            <w:r w:rsidRPr="00D249A2">
              <w:rPr>
                <w:sz w:val="17"/>
                <w:szCs w:val="17"/>
              </w:rPr>
              <w:t>307</w:t>
            </w:r>
          </w:p>
        </w:tc>
        <w:tc>
          <w:tcPr>
            <w:tcW w:w="984" w:type="pct"/>
            <w:tcBorders>
              <w:top w:val="nil"/>
              <w:left w:val="nil"/>
              <w:bottom w:val="nil"/>
              <w:right w:val="nil"/>
            </w:tcBorders>
            <w:shd w:val="clear" w:color="auto" w:fill="auto"/>
            <w:noWrap/>
            <w:vAlign w:val="bottom"/>
            <w:hideMark/>
          </w:tcPr>
          <w:p w14:paraId="6C5CF2D9" w14:textId="30FF8008" w:rsidR="00895A1D" w:rsidRPr="00D249A2" w:rsidRDefault="00895A1D" w:rsidP="00895A1D">
            <w:pPr>
              <w:jc w:val="right"/>
              <w:rPr>
                <w:sz w:val="17"/>
                <w:szCs w:val="17"/>
              </w:rPr>
            </w:pPr>
            <w:r w:rsidRPr="00D249A2">
              <w:rPr>
                <w:sz w:val="17"/>
                <w:szCs w:val="17"/>
              </w:rPr>
              <w:t>267</w:t>
            </w:r>
          </w:p>
        </w:tc>
        <w:tc>
          <w:tcPr>
            <w:tcW w:w="1161" w:type="pct"/>
            <w:tcBorders>
              <w:top w:val="nil"/>
              <w:left w:val="nil"/>
              <w:bottom w:val="nil"/>
              <w:right w:val="nil"/>
            </w:tcBorders>
            <w:shd w:val="clear" w:color="auto" w:fill="auto"/>
            <w:noWrap/>
            <w:vAlign w:val="bottom"/>
            <w:hideMark/>
          </w:tcPr>
          <w:p w14:paraId="44DD5A77" w14:textId="1F218D52" w:rsidR="00895A1D" w:rsidRPr="00D249A2" w:rsidRDefault="00895A1D" w:rsidP="00895A1D">
            <w:pPr>
              <w:jc w:val="right"/>
              <w:rPr>
                <w:sz w:val="17"/>
                <w:szCs w:val="17"/>
              </w:rPr>
            </w:pPr>
            <w:r w:rsidRPr="00D249A2">
              <w:rPr>
                <w:sz w:val="17"/>
                <w:szCs w:val="17"/>
              </w:rPr>
              <w:t>848</w:t>
            </w:r>
          </w:p>
        </w:tc>
        <w:tc>
          <w:tcPr>
            <w:tcW w:w="798" w:type="pct"/>
            <w:tcBorders>
              <w:top w:val="nil"/>
              <w:left w:val="nil"/>
              <w:bottom w:val="nil"/>
              <w:right w:val="nil"/>
            </w:tcBorders>
            <w:shd w:val="clear" w:color="auto" w:fill="auto"/>
            <w:noWrap/>
            <w:vAlign w:val="bottom"/>
            <w:hideMark/>
          </w:tcPr>
          <w:p w14:paraId="7AE4718D" w14:textId="135492EE" w:rsidR="00895A1D" w:rsidRPr="00D249A2" w:rsidRDefault="00895A1D" w:rsidP="00895A1D">
            <w:pPr>
              <w:jc w:val="right"/>
              <w:rPr>
                <w:sz w:val="17"/>
                <w:szCs w:val="17"/>
              </w:rPr>
            </w:pPr>
            <w:r w:rsidRPr="00D249A2">
              <w:rPr>
                <w:sz w:val="17"/>
                <w:szCs w:val="17"/>
              </w:rPr>
              <w:t>3.2</w:t>
            </w:r>
          </w:p>
        </w:tc>
      </w:tr>
      <w:tr w:rsidR="00D249A2" w:rsidRPr="00D249A2" w14:paraId="6C7E732E" w14:textId="77777777" w:rsidTr="00D249A2">
        <w:trPr>
          <w:trHeight w:val="312"/>
        </w:trPr>
        <w:tc>
          <w:tcPr>
            <w:tcW w:w="1236" w:type="pct"/>
            <w:tcBorders>
              <w:top w:val="nil"/>
              <w:left w:val="nil"/>
              <w:bottom w:val="nil"/>
            </w:tcBorders>
            <w:shd w:val="clear" w:color="auto" w:fill="auto"/>
            <w:noWrap/>
            <w:vAlign w:val="bottom"/>
            <w:hideMark/>
          </w:tcPr>
          <w:p w14:paraId="79C00E19" w14:textId="77777777" w:rsidR="00895A1D" w:rsidRPr="00D249A2" w:rsidRDefault="00895A1D" w:rsidP="00895A1D">
            <w:pPr>
              <w:rPr>
                <w:sz w:val="17"/>
                <w:szCs w:val="17"/>
              </w:rPr>
            </w:pPr>
            <w:r w:rsidRPr="00D249A2">
              <w:rPr>
                <w:sz w:val="17"/>
                <w:szCs w:val="17"/>
              </w:rPr>
              <w:t>Kusini Unguja</w:t>
            </w:r>
          </w:p>
        </w:tc>
        <w:tc>
          <w:tcPr>
            <w:tcW w:w="821" w:type="pct"/>
            <w:tcBorders>
              <w:top w:val="nil"/>
              <w:bottom w:val="nil"/>
              <w:right w:val="nil"/>
            </w:tcBorders>
            <w:shd w:val="clear" w:color="auto" w:fill="auto"/>
            <w:noWrap/>
            <w:vAlign w:val="bottom"/>
            <w:hideMark/>
          </w:tcPr>
          <w:p w14:paraId="57E9DD4D" w14:textId="33B30004" w:rsidR="00895A1D" w:rsidRPr="00D249A2" w:rsidRDefault="00895A1D" w:rsidP="00895A1D">
            <w:pPr>
              <w:jc w:val="right"/>
              <w:rPr>
                <w:sz w:val="17"/>
                <w:szCs w:val="17"/>
              </w:rPr>
            </w:pPr>
            <w:r w:rsidRPr="00D249A2">
              <w:rPr>
                <w:sz w:val="17"/>
                <w:szCs w:val="17"/>
              </w:rPr>
              <w:t>204</w:t>
            </w:r>
          </w:p>
        </w:tc>
        <w:tc>
          <w:tcPr>
            <w:tcW w:w="984" w:type="pct"/>
            <w:tcBorders>
              <w:top w:val="nil"/>
              <w:left w:val="nil"/>
              <w:bottom w:val="nil"/>
              <w:right w:val="nil"/>
            </w:tcBorders>
            <w:shd w:val="clear" w:color="auto" w:fill="auto"/>
            <w:noWrap/>
            <w:vAlign w:val="bottom"/>
            <w:hideMark/>
          </w:tcPr>
          <w:p w14:paraId="41DBB581" w14:textId="2D16503B" w:rsidR="00895A1D" w:rsidRPr="00D249A2" w:rsidRDefault="00895A1D" w:rsidP="00895A1D">
            <w:pPr>
              <w:jc w:val="right"/>
              <w:rPr>
                <w:sz w:val="17"/>
                <w:szCs w:val="17"/>
              </w:rPr>
            </w:pPr>
            <w:r w:rsidRPr="00D249A2">
              <w:rPr>
                <w:sz w:val="17"/>
                <w:szCs w:val="17"/>
              </w:rPr>
              <w:t>128</w:t>
            </w:r>
          </w:p>
        </w:tc>
        <w:tc>
          <w:tcPr>
            <w:tcW w:w="1161" w:type="pct"/>
            <w:tcBorders>
              <w:top w:val="nil"/>
              <w:left w:val="nil"/>
              <w:bottom w:val="nil"/>
              <w:right w:val="nil"/>
            </w:tcBorders>
            <w:shd w:val="clear" w:color="auto" w:fill="auto"/>
            <w:noWrap/>
            <w:vAlign w:val="bottom"/>
            <w:hideMark/>
          </w:tcPr>
          <w:p w14:paraId="24CEEA3C" w14:textId="359A9CBB" w:rsidR="00895A1D" w:rsidRPr="00D249A2" w:rsidRDefault="00895A1D" w:rsidP="00895A1D">
            <w:pPr>
              <w:jc w:val="right"/>
              <w:rPr>
                <w:sz w:val="17"/>
                <w:szCs w:val="17"/>
              </w:rPr>
            </w:pPr>
            <w:r w:rsidRPr="00D249A2">
              <w:rPr>
                <w:sz w:val="17"/>
                <w:szCs w:val="17"/>
              </w:rPr>
              <w:t>734</w:t>
            </w:r>
          </w:p>
        </w:tc>
        <w:tc>
          <w:tcPr>
            <w:tcW w:w="798" w:type="pct"/>
            <w:tcBorders>
              <w:top w:val="nil"/>
              <w:left w:val="nil"/>
              <w:bottom w:val="nil"/>
              <w:right w:val="nil"/>
            </w:tcBorders>
            <w:shd w:val="clear" w:color="auto" w:fill="auto"/>
            <w:noWrap/>
            <w:vAlign w:val="bottom"/>
            <w:hideMark/>
          </w:tcPr>
          <w:p w14:paraId="30FCC781" w14:textId="261BE5BB" w:rsidR="00895A1D" w:rsidRPr="00D249A2" w:rsidRDefault="00895A1D" w:rsidP="00895A1D">
            <w:pPr>
              <w:jc w:val="right"/>
              <w:rPr>
                <w:sz w:val="17"/>
                <w:szCs w:val="17"/>
              </w:rPr>
            </w:pPr>
            <w:r w:rsidRPr="00D249A2">
              <w:rPr>
                <w:sz w:val="17"/>
                <w:szCs w:val="17"/>
              </w:rPr>
              <w:t>5.7</w:t>
            </w:r>
          </w:p>
        </w:tc>
      </w:tr>
      <w:tr w:rsidR="00D249A2" w:rsidRPr="00D249A2" w14:paraId="6426B4C1" w14:textId="77777777" w:rsidTr="00D249A2">
        <w:trPr>
          <w:trHeight w:val="312"/>
        </w:trPr>
        <w:tc>
          <w:tcPr>
            <w:tcW w:w="1236" w:type="pct"/>
            <w:tcBorders>
              <w:top w:val="nil"/>
              <w:left w:val="nil"/>
              <w:bottom w:val="nil"/>
            </w:tcBorders>
            <w:shd w:val="clear" w:color="auto" w:fill="auto"/>
            <w:noWrap/>
            <w:vAlign w:val="bottom"/>
            <w:hideMark/>
          </w:tcPr>
          <w:p w14:paraId="4A15AB50" w14:textId="77777777" w:rsidR="00895A1D" w:rsidRPr="00D249A2" w:rsidRDefault="00895A1D" w:rsidP="00895A1D">
            <w:pPr>
              <w:rPr>
                <w:sz w:val="17"/>
                <w:szCs w:val="17"/>
              </w:rPr>
            </w:pPr>
            <w:r w:rsidRPr="00D249A2">
              <w:rPr>
                <w:sz w:val="17"/>
                <w:szCs w:val="17"/>
              </w:rPr>
              <w:t>Mjini Magharibi</w:t>
            </w:r>
          </w:p>
        </w:tc>
        <w:tc>
          <w:tcPr>
            <w:tcW w:w="821" w:type="pct"/>
            <w:tcBorders>
              <w:top w:val="nil"/>
              <w:bottom w:val="nil"/>
              <w:right w:val="nil"/>
            </w:tcBorders>
            <w:shd w:val="clear" w:color="auto" w:fill="auto"/>
            <w:noWrap/>
            <w:vAlign w:val="bottom"/>
            <w:hideMark/>
          </w:tcPr>
          <w:p w14:paraId="3C5A02CA" w14:textId="643005FC" w:rsidR="00895A1D" w:rsidRPr="00D249A2" w:rsidRDefault="00895A1D" w:rsidP="00895A1D">
            <w:pPr>
              <w:jc w:val="right"/>
              <w:rPr>
                <w:sz w:val="17"/>
                <w:szCs w:val="17"/>
              </w:rPr>
            </w:pPr>
            <w:r w:rsidRPr="00D249A2">
              <w:rPr>
                <w:sz w:val="17"/>
                <w:szCs w:val="17"/>
              </w:rPr>
              <w:t>913</w:t>
            </w:r>
          </w:p>
        </w:tc>
        <w:tc>
          <w:tcPr>
            <w:tcW w:w="984" w:type="pct"/>
            <w:tcBorders>
              <w:top w:val="nil"/>
              <w:left w:val="nil"/>
              <w:bottom w:val="nil"/>
              <w:right w:val="nil"/>
            </w:tcBorders>
            <w:shd w:val="clear" w:color="auto" w:fill="auto"/>
            <w:noWrap/>
            <w:vAlign w:val="bottom"/>
            <w:hideMark/>
          </w:tcPr>
          <w:p w14:paraId="6429DA58" w14:textId="5CEEA70F" w:rsidR="00895A1D" w:rsidRPr="00D249A2" w:rsidRDefault="00895A1D" w:rsidP="00895A1D">
            <w:pPr>
              <w:jc w:val="right"/>
              <w:rPr>
                <w:sz w:val="17"/>
                <w:szCs w:val="17"/>
              </w:rPr>
            </w:pPr>
            <w:r w:rsidRPr="00D249A2">
              <w:rPr>
                <w:sz w:val="17"/>
                <w:szCs w:val="17"/>
              </w:rPr>
              <w:t>643</w:t>
            </w:r>
          </w:p>
        </w:tc>
        <w:tc>
          <w:tcPr>
            <w:tcW w:w="1161" w:type="pct"/>
            <w:tcBorders>
              <w:top w:val="nil"/>
              <w:left w:val="nil"/>
              <w:bottom w:val="nil"/>
              <w:right w:val="nil"/>
            </w:tcBorders>
            <w:shd w:val="clear" w:color="auto" w:fill="auto"/>
            <w:noWrap/>
            <w:vAlign w:val="bottom"/>
            <w:hideMark/>
          </w:tcPr>
          <w:p w14:paraId="34AA4F71" w14:textId="72BBF119" w:rsidR="00895A1D" w:rsidRPr="00D249A2" w:rsidRDefault="00895A1D" w:rsidP="00895A1D">
            <w:pPr>
              <w:jc w:val="right"/>
              <w:rPr>
                <w:sz w:val="17"/>
                <w:szCs w:val="17"/>
              </w:rPr>
            </w:pPr>
            <w:r w:rsidRPr="00D249A2">
              <w:rPr>
                <w:sz w:val="17"/>
                <w:szCs w:val="17"/>
              </w:rPr>
              <w:t>9,097</w:t>
            </w:r>
          </w:p>
        </w:tc>
        <w:tc>
          <w:tcPr>
            <w:tcW w:w="798" w:type="pct"/>
            <w:tcBorders>
              <w:top w:val="nil"/>
              <w:left w:val="nil"/>
              <w:bottom w:val="nil"/>
              <w:right w:val="nil"/>
            </w:tcBorders>
            <w:shd w:val="clear" w:color="auto" w:fill="auto"/>
            <w:noWrap/>
            <w:vAlign w:val="bottom"/>
            <w:hideMark/>
          </w:tcPr>
          <w:p w14:paraId="04B663FE" w14:textId="11692541" w:rsidR="00895A1D" w:rsidRPr="00D249A2" w:rsidRDefault="00895A1D" w:rsidP="00895A1D">
            <w:pPr>
              <w:jc w:val="right"/>
              <w:rPr>
                <w:sz w:val="17"/>
                <w:szCs w:val="17"/>
              </w:rPr>
            </w:pPr>
            <w:r w:rsidRPr="00D249A2">
              <w:rPr>
                <w:sz w:val="17"/>
                <w:szCs w:val="17"/>
              </w:rPr>
              <w:t>14.1</w:t>
            </w:r>
          </w:p>
        </w:tc>
      </w:tr>
      <w:tr w:rsidR="00D249A2" w:rsidRPr="00D249A2" w14:paraId="7A9E1882" w14:textId="77777777" w:rsidTr="00D249A2">
        <w:trPr>
          <w:trHeight w:val="312"/>
        </w:trPr>
        <w:tc>
          <w:tcPr>
            <w:tcW w:w="1236" w:type="pct"/>
            <w:tcBorders>
              <w:top w:val="nil"/>
              <w:left w:val="nil"/>
              <w:bottom w:val="nil"/>
            </w:tcBorders>
            <w:shd w:val="clear" w:color="auto" w:fill="auto"/>
            <w:noWrap/>
            <w:vAlign w:val="bottom"/>
            <w:hideMark/>
          </w:tcPr>
          <w:p w14:paraId="3BF133C5" w14:textId="77777777" w:rsidR="00895A1D" w:rsidRPr="00D249A2" w:rsidRDefault="00895A1D" w:rsidP="00895A1D">
            <w:pPr>
              <w:rPr>
                <w:sz w:val="17"/>
                <w:szCs w:val="17"/>
              </w:rPr>
            </w:pPr>
            <w:r w:rsidRPr="00D249A2">
              <w:rPr>
                <w:sz w:val="17"/>
                <w:szCs w:val="17"/>
              </w:rPr>
              <w:t>Kaskazini Pemba</w:t>
            </w:r>
          </w:p>
        </w:tc>
        <w:tc>
          <w:tcPr>
            <w:tcW w:w="821" w:type="pct"/>
            <w:tcBorders>
              <w:top w:val="nil"/>
              <w:bottom w:val="nil"/>
              <w:right w:val="nil"/>
            </w:tcBorders>
            <w:shd w:val="clear" w:color="auto" w:fill="auto"/>
            <w:noWrap/>
            <w:vAlign w:val="bottom"/>
            <w:hideMark/>
          </w:tcPr>
          <w:p w14:paraId="2F5BD65F" w14:textId="2DB13FF8" w:rsidR="00895A1D" w:rsidRPr="00D249A2" w:rsidRDefault="00895A1D" w:rsidP="00895A1D">
            <w:pPr>
              <w:jc w:val="right"/>
              <w:rPr>
                <w:sz w:val="17"/>
                <w:szCs w:val="17"/>
              </w:rPr>
            </w:pPr>
            <w:r w:rsidRPr="00D249A2">
              <w:rPr>
                <w:sz w:val="17"/>
                <w:szCs w:val="17"/>
              </w:rPr>
              <w:t>8</w:t>
            </w:r>
          </w:p>
        </w:tc>
        <w:tc>
          <w:tcPr>
            <w:tcW w:w="984" w:type="pct"/>
            <w:tcBorders>
              <w:top w:val="nil"/>
              <w:left w:val="nil"/>
              <w:bottom w:val="nil"/>
              <w:right w:val="nil"/>
            </w:tcBorders>
            <w:shd w:val="clear" w:color="auto" w:fill="auto"/>
            <w:noWrap/>
            <w:vAlign w:val="bottom"/>
            <w:hideMark/>
          </w:tcPr>
          <w:p w14:paraId="713BD120" w14:textId="232DEB03" w:rsidR="00895A1D" w:rsidRPr="00D249A2" w:rsidRDefault="00895A1D" w:rsidP="00895A1D">
            <w:pPr>
              <w:jc w:val="right"/>
              <w:rPr>
                <w:sz w:val="17"/>
                <w:szCs w:val="17"/>
              </w:rPr>
            </w:pPr>
            <w:r w:rsidRPr="00D249A2">
              <w:rPr>
                <w:sz w:val="17"/>
                <w:szCs w:val="17"/>
              </w:rPr>
              <w:t>-</w:t>
            </w:r>
          </w:p>
        </w:tc>
        <w:tc>
          <w:tcPr>
            <w:tcW w:w="1161" w:type="pct"/>
            <w:tcBorders>
              <w:top w:val="nil"/>
              <w:left w:val="nil"/>
              <w:bottom w:val="nil"/>
              <w:right w:val="nil"/>
            </w:tcBorders>
            <w:shd w:val="clear" w:color="auto" w:fill="auto"/>
            <w:noWrap/>
            <w:vAlign w:val="bottom"/>
            <w:hideMark/>
          </w:tcPr>
          <w:p w14:paraId="1ED2B7EE" w14:textId="3D283CB4" w:rsidR="00895A1D" w:rsidRPr="00D249A2" w:rsidRDefault="00895A1D" w:rsidP="00895A1D">
            <w:pPr>
              <w:jc w:val="right"/>
              <w:rPr>
                <w:sz w:val="17"/>
                <w:szCs w:val="17"/>
              </w:rPr>
            </w:pPr>
            <w:r w:rsidRPr="00D249A2">
              <w:rPr>
                <w:sz w:val="17"/>
                <w:szCs w:val="17"/>
              </w:rPr>
              <w:t>-</w:t>
            </w:r>
          </w:p>
        </w:tc>
        <w:tc>
          <w:tcPr>
            <w:tcW w:w="798" w:type="pct"/>
            <w:tcBorders>
              <w:top w:val="nil"/>
              <w:left w:val="nil"/>
              <w:bottom w:val="nil"/>
              <w:right w:val="nil"/>
            </w:tcBorders>
            <w:shd w:val="clear" w:color="auto" w:fill="auto"/>
            <w:noWrap/>
            <w:vAlign w:val="bottom"/>
            <w:hideMark/>
          </w:tcPr>
          <w:p w14:paraId="14E6F051" w14:textId="5B9AB072" w:rsidR="00895A1D" w:rsidRPr="00D249A2" w:rsidRDefault="00895A1D" w:rsidP="00895A1D">
            <w:pPr>
              <w:jc w:val="right"/>
              <w:rPr>
                <w:sz w:val="17"/>
                <w:szCs w:val="17"/>
              </w:rPr>
            </w:pPr>
            <w:r w:rsidRPr="00D249A2">
              <w:rPr>
                <w:sz w:val="17"/>
                <w:szCs w:val="17"/>
              </w:rPr>
              <w:t>-</w:t>
            </w:r>
          </w:p>
        </w:tc>
      </w:tr>
      <w:tr w:rsidR="00D249A2" w:rsidRPr="00D249A2" w14:paraId="378DA079" w14:textId="77777777" w:rsidTr="00D249A2">
        <w:trPr>
          <w:trHeight w:val="312"/>
        </w:trPr>
        <w:tc>
          <w:tcPr>
            <w:tcW w:w="1236" w:type="pct"/>
            <w:tcBorders>
              <w:top w:val="nil"/>
              <w:left w:val="nil"/>
              <w:bottom w:val="nil"/>
            </w:tcBorders>
            <w:shd w:val="clear" w:color="auto" w:fill="auto"/>
            <w:noWrap/>
            <w:vAlign w:val="bottom"/>
            <w:hideMark/>
          </w:tcPr>
          <w:p w14:paraId="1E1F1F33" w14:textId="1CE94931" w:rsidR="00895A1D" w:rsidRPr="00D249A2" w:rsidRDefault="00895A1D" w:rsidP="00895A1D">
            <w:pPr>
              <w:rPr>
                <w:sz w:val="17"/>
                <w:szCs w:val="17"/>
              </w:rPr>
            </w:pPr>
            <w:r w:rsidRPr="00D249A2">
              <w:rPr>
                <w:sz w:val="17"/>
                <w:szCs w:val="17"/>
              </w:rPr>
              <w:t>Kusini Pemba</w:t>
            </w:r>
          </w:p>
        </w:tc>
        <w:tc>
          <w:tcPr>
            <w:tcW w:w="821" w:type="pct"/>
            <w:tcBorders>
              <w:top w:val="nil"/>
              <w:bottom w:val="nil"/>
              <w:right w:val="nil"/>
            </w:tcBorders>
            <w:shd w:val="clear" w:color="auto" w:fill="auto"/>
            <w:noWrap/>
            <w:vAlign w:val="bottom"/>
            <w:hideMark/>
          </w:tcPr>
          <w:p w14:paraId="2AFCB7A1" w14:textId="57D466C6" w:rsidR="00895A1D" w:rsidRPr="00D249A2" w:rsidRDefault="00895A1D" w:rsidP="00895A1D">
            <w:pPr>
              <w:jc w:val="right"/>
              <w:rPr>
                <w:sz w:val="17"/>
                <w:szCs w:val="17"/>
              </w:rPr>
            </w:pPr>
            <w:r w:rsidRPr="00D249A2">
              <w:rPr>
                <w:sz w:val="17"/>
                <w:szCs w:val="17"/>
              </w:rPr>
              <w:t>161</w:t>
            </w:r>
          </w:p>
        </w:tc>
        <w:tc>
          <w:tcPr>
            <w:tcW w:w="984" w:type="pct"/>
            <w:tcBorders>
              <w:top w:val="nil"/>
              <w:left w:val="nil"/>
              <w:bottom w:val="nil"/>
              <w:right w:val="nil"/>
            </w:tcBorders>
            <w:shd w:val="clear" w:color="auto" w:fill="auto"/>
            <w:noWrap/>
            <w:vAlign w:val="bottom"/>
            <w:hideMark/>
          </w:tcPr>
          <w:p w14:paraId="3C1D55A2" w14:textId="2AE241EB" w:rsidR="00895A1D" w:rsidRPr="00D249A2" w:rsidRDefault="00895A1D" w:rsidP="00895A1D">
            <w:pPr>
              <w:jc w:val="right"/>
              <w:rPr>
                <w:sz w:val="17"/>
                <w:szCs w:val="17"/>
              </w:rPr>
            </w:pPr>
            <w:r w:rsidRPr="00D249A2">
              <w:rPr>
                <w:sz w:val="17"/>
                <w:szCs w:val="17"/>
              </w:rPr>
              <w:t>71</w:t>
            </w:r>
          </w:p>
        </w:tc>
        <w:tc>
          <w:tcPr>
            <w:tcW w:w="1161" w:type="pct"/>
            <w:tcBorders>
              <w:top w:val="nil"/>
              <w:left w:val="nil"/>
              <w:bottom w:val="nil"/>
              <w:right w:val="nil"/>
            </w:tcBorders>
            <w:shd w:val="clear" w:color="auto" w:fill="auto"/>
            <w:noWrap/>
            <w:vAlign w:val="bottom"/>
            <w:hideMark/>
          </w:tcPr>
          <w:p w14:paraId="4C6AFFE4" w14:textId="4F9CA2DA" w:rsidR="00895A1D" w:rsidRPr="00D249A2" w:rsidRDefault="00895A1D" w:rsidP="00895A1D">
            <w:pPr>
              <w:jc w:val="right"/>
              <w:rPr>
                <w:sz w:val="17"/>
                <w:szCs w:val="17"/>
              </w:rPr>
            </w:pPr>
            <w:r w:rsidRPr="00D249A2">
              <w:rPr>
                <w:sz w:val="17"/>
                <w:szCs w:val="17"/>
              </w:rPr>
              <w:t>324</w:t>
            </w:r>
          </w:p>
        </w:tc>
        <w:tc>
          <w:tcPr>
            <w:tcW w:w="798" w:type="pct"/>
            <w:tcBorders>
              <w:top w:val="nil"/>
              <w:left w:val="nil"/>
              <w:bottom w:val="nil"/>
              <w:right w:val="nil"/>
            </w:tcBorders>
            <w:shd w:val="clear" w:color="auto" w:fill="auto"/>
            <w:noWrap/>
            <w:vAlign w:val="bottom"/>
            <w:hideMark/>
          </w:tcPr>
          <w:p w14:paraId="3FE7B814" w14:textId="42F5AAE5" w:rsidR="00895A1D" w:rsidRPr="00D249A2" w:rsidRDefault="00895A1D" w:rsidP="00895A1D">
            <w:pPr>
              <w:jc w:val="right"/>
              <w:rPr>
                <w:sz w:val="17"/>
                <w:szCs w:val="17"/>
              </w:rPr>
            </w:pPr>
            <w:r w:rsidRPr="00D249A2">
              <w:rPr>
                <w:sz w:val="17"/>
                <w:szCs w:val="17"/>
              </w:rPr>
              <w:t>4.6</w:t>
            </w:r>
          </w:p>
        </w:tc>
      </w:tr>
      <w:tr w:rsidR="00D249A2" w:rsidRPr="00D249A2" w14:paraId="039A818B" w14:textId="77777777" w:rsidTr="00D249A2">
        <w:trPr>
          <w:trHeight w:val="312"/>
        </w:trPr>
        <w:tc>
          <w:tcPr>
            <w:tcW w:w="1236" w:type="pct"/>
            <w:tcBorders>
              <w:top w:val="single" w:sz="4" w:space="0" w:color="auto"/>
              <w:left w:val="nil"/>
              <w:bottom w:val="single" w:sz="4" w:space="0" w:color="auto"/>
            </w:tcBorders>
            <w:shd w:val="clear" w:color="auto" w:fill="E2EFD9" w:themeFill="accent6" w:themeFillTint="33"/>
            <w:noWrap/>
            <w:vAlign w:val="bottom"/>
            <w:hideMark/>
          </w:tcPr>
          <w:p w14:paraId="4F520731" w14:textId="77777777" w:rsidR="00895A1D" w:rsidRPr="00D249A2" w:rsidRDefault="00895A1D" w:rsidP="00895A1D">
            <w:pPr>
              <w:rPr>
                <w:b/>
                <w:bCs/>
                <w:sz w:val="17"/>
                <w:szCs w:val="17"/>
              </w:rPr>
            </w:pPr>
            <w:r w:rsidRPr="00D249A2">
              <w:rPr>
                <w:b/>
                <w:bCs/>
                <w:sz w:val="17"/>
                <w:szCs w:val="17"/>
              </w:rPr>
              <w:t>Tanzania Zanzibar</w:t>
            </w:r>
          </w:p>
        </w:tc>
        <w:tc>
          <w:tcPr>
            <w:tcW w:w="821" w:type="pct"/>
            <w:tcBorders>
              <w:top w:val="single" w:sz="4" w:space="0" w:color="auto"/>
              <w:bottom w:val="single" w:sz="4" w:space="0" w:color="auto"/>
              <w:right w:val="nil"/>
            </w:tcBorders>
            <w:shd w:val="clear" w:color="auto" w:fill="E2EFD9" w:themeFill="accent6" w:themeFillTint="33"/>
            <w:noWrap/>
            <w:vAlign w:val="bottom"/>
            <w:hideMark/>
          </w:tcPr>
          <w:p w14:paraId="18EAB659" w14:textId="424205BA" w:rsidR="00895A1D" w:rsidRPr="00D249A2" w:rsidRDefault="00895A1D" w:rsidP="00895A1D">
            <w:pPr>
              <w:jc w:val="right"/>
              <w:rPr>
                <w:b/>
                <w:bCs/>
                <w:sz w:val="17"/>
                <w:szCs w:val="17"/>
              </w:rPr>
            </w:pPr>
            <w:r w:rsidRPr="00D249A2">
              <w:rPr>
                <w:b/>
                <w:bCs/>
                <w:sz w:val="17"/>
                <w:szCs w:val="17"/>
              </w:rPr>
              <w:t>1,593</w:t>
            </w:r>
          </w:p>
        </w:tc>
        <w:tc>
          <w:tcPr>
            <w:tcW w:w="984" w:type="pct"/>
            <w:tcBorders>
              <w:top w:val="single" w:sz="4" w:space="0" w:color="auto"/>
              <w:left w:val="nil"/>
              <w:bottom w:val="single" w:sz="4" w:space="0" w:color="auto"/>
              <w:right w:val="nil"/>
            </w:tcBorders>
            <w:shd w:val="clear" w:color="auto" w:fill="E2EFD9" w:themeFill="accent6" w:themeFillTint="33"/>
            <w:noWrap/>
            <w:vAlign w:val="bottom"/>
            <w:hideMark/>
          </w:tcPr>
          <w:p w14:paraId="7F623C1C" w14:textId="017D5FFC" w:rsidR="00895A1D" w:rsidRPr="00D249A2" w:rsidRDefault="00895A1D" w:rsidP="00895A1D">
            <w:pPr>
              <w:jc w:val="right"/>
              <w:rPr>
                <w:b/>
                <w:bCs/>
                <w:sz w:val="17"/>
                <w:szCs w:val="17"/>
              </w:rPr>
            </w:pPr>
            <w:r w:rsidRPr="00D249A2">
              <w:rPr>
                <w:b/>
                <w:bCs/>
                <w:sz w:val="17"/>
                <w:szCs w:val="17"/>
              </w:rPr>
              <w:t>1,110</w:t>
            </w:r>
          </w:p>
        </w:tc>
        <w:tc>
          <w:tcPr>
            <w:tcW w:w="1161" w:type="pct"/>
            <w:tcBorders>
              <w:top w:val="single" w:sz="4" w:space="0" w:color="auto"/>
              <w:left w:val="nil"/>
              <w:bottom w:val="single" w:sz="4" w:space="0" w:color="auto"/>
              <w:right w:val="nil"/>
            </w:tcBorders>
            <w:shd w:val="clear" w:color="auto" w:fill="E2EFD9" w:themeFill="accent6" w:themeFillTint="33"/>
            <w:noWrap/>
            <w:vAlign w:val="bottom"/>
            <w:hideMark/>
          </w:tcPr>
          <w:p w14:paraId="76A8FED2" w14:textId="1806AE2E" w:rsidR="00895A1D" w:rsidRPr="00D249A2" w:rsidRDefault="00895A1D" w:rsidP="00895A1D">
            <w:pPr>
              <w:jc w:val="right"/>
              <w:rPr>
                <w:b/>
                <w:bCs/>
                <w:sz w:val="17"/>
                <w:szCs w:val="17"/>
              </w:rPr>
            </w:pPr>
            <w:r w:rsidRPr="00D249A2">
              <w:rPr>
                <w:b/>
                <w:bCs/>
                <w:sz w:val="17"/>
                <w:szCs w:val="17"/>
              </w:rPr>
              <w:t>11,004</w:t>
            </w:r>
          </w:p>
        </w:tc>
        <w:tc>
          <w:tcPr>
            <w:tcW w:w="798" w:type="pct"/>
            <w:tcBorders>
              <w:top w:val="single" w:sz="4" w:space="0" w:color="auto"/>
              <w:left w:val="nil"/>
              <w:bottom w:val="single" w:sz="4" w:space="0" w:color="auto"/>
              <w:right w:val="nil"/>
            </w:tcBorders>
            <w:shd w:val="clear" w:color="auto" w:fill="E2EFD9" w:themeFill="accent6" w:themeFillTint="33"/>
            <w:noWrap/>
            <w:vAlign w:val="bottom"/>
            <w:hideMark/>
          </w:tcPr>
          <w:p w14:paraId="4C44B9D8" w14:textId="792EA552" w:rsidR="00895A1D" w:rsidRPr="00D249A2" w:rsidRDefault="00895A1D" w:rsidP="00895A1D">
            <w:pPr>
              <w:jc w:val="right"/>
              <w:rPr>
                <w:b/>
                <w:bCs/>
                <w:sz w:val="17"/>
                <w:szCs w:val="17"/>
              </w:rPr>
            </w:pPr>
            <w:r w:rsidRPr="00D249A2">
              <w:rPr>
                <w:b/>
                <w:bCs/>
                <w:sz w:val="17"/>
                <w:szCs w:val="17"/>
              </w:rPr>
              <w:t>9.9</w:t>
            </w:r>
          </w:p>
        </w:tc>
      </w:tr>
      <w:tr w:rsidR="00D249A2" w:rsidRPr="00D249A2" w14:paraId="0CA58EAB" w14:textId="77777777" w:rsidTr="00D249A2">
        <w:trPr>
          <w:trHeight w:val="312"/>
        </w:trPr>
        <w:tc>
          <w:tcPr>
            <w:tcW w:w="1236" w:type="pct"/>
            <w:tcBorders>
              <w:top w:val="nil"/>
              <w:left w:val="nil"/>
              <w:bottom w:val="single" w:sz="4" w:space="0" w:color="auto"/>
            </w:tcBorders>
            <w:shd w:val="clear" w:color="auto" w:fill="E2EFD9" w:themeFill="accent6" w:themeFillTint="33"/>
            <w:noWrap/>
            <w:vAlign w:val="bottom"/>
            <w:hideMark/>
          </w:tcPr>
          <w:p w14:paraId="59685E74" w14:textId="77777777" w:rsidR="00895A1D" w:rsidRPr="00D249A2" w:rsidRDefault="00895A1D" w:rsidP="00895A1D">
            <w:pPr>
              <w:rPr>
                <w:b/>
                <w:bCs/>
                <w:sz w:val="17"/>
                <w:szCs w:val="17"/>
              </w:rPr>
            </w:pPr>
            <w:r w:rsidRPr="00D249A2">
              <w:rPr>
                <w:b/>
                <w:bCs/>
                <w:sz w:val="17"/>
                <w:szCs w:val="17"/>
              </w:rPr>
              <w:t>Tanzania</w:t>
            </w:r>
          </w:p>
        </w:tc>
        <w:tc>
          <w:tcPr>
            <w:tcW w:w="821" w:type="pct"/>
            <w:tcBorders>
              <w:top w:val="nil"/>
              <w:bottom w:val="single" w:sz="4" w:space="0" w:color="auto"/>
              <w:right w:val="nil"/>
            </w:tcBorders>
            <w:shd w:val="clear" w:color="auto" w:fill="E2EFD9" w:themeFill="accent6" w:themeFillTint="33"/>
            <w:noWrap/>
            <w:vAlign w:val="bottom"/>
            <w:hideMark/>
          </w:tcPr>
          <w:p w14:paraId="13FC6162" w14:textId="6216B1B6" w:rsidR="00895A1D" w:rsidRPr="00D249A2" w:rsidRDefault="00895A1D" w:rsidP="00895A1D">
            <w:pPr>
              <w:jc w:val="right"/>
              <w:rPr>
                <w:b/>
                <w:bCs/>
                <w:sz w:val="17"/>
                <w:szCs w:val="17"/>
              </w:rPr>
            </w:pPr>
            <w:r w:rsidRPr="00D249A2">
              <w:rPr>
                <w:b/>
                <w:bCs/>
                <w:sz w:val="17"/>
                <w:szCs w:val="17"/>
              </w:rPr>
              <w:t>12,072</w:t>
            </w:r>
          </w:p>
        </w:tc>
        <w:tc>
          <w:tcPr>
            <w:tcW w:w="984" w:type="pct"/>
            <w:tcBorders>
              <w:top w:val="nil"/>
              <w:left w:val="nil"/>
              <w:bottom w:val="single" w:sz="4" w:space="0" w:color="auto"/>
              <w:right w:val="nil"/>
            </w:tcBorders>
            <w:shd w:val="clear" w:color="auto" w:fill="E2EFD9" w:themeFill="accent6" w:themeFillTint="33"/>
            <w:noWrap/>
            <w:vAlign w:val="bottom"/>
            <w:hideMark/>
          </w:tcPr>
          <w:p w14:paraId="5430ACE4" w14:textId="4094E7E9" w:rsidR="00895A1D" w:rsidRPr="00D249A2" w:rsidRDefault="00895A1D" w:rsidP="00895A1D">
            <w:pPr>
              <w:jc w:val="right"/>
              <w:rPr>
                <w:b/>
                <w:bCs/>
                <w:sz w:val="17"/>
                <w:szCs w:val="17"/>
              </w:rPr>
            </w:pPr>
            <w:r w:rsidRPr="00D249A2">
              <w:rPr>
                <w:b/>
                <w:bCs/>
                <w:sz w:val="17"/>
                <w:szCs w:val="17"/>
              </w:rPr>
              <w:t>10,177</w:t>
            </w:r>
          </w:p>
        </w:tc>
        <w:tc>
          <w:tcPr>
            <w:tcW w:w="1161" w:type="pct"/>
            <w:tcBorders>
              <w:top w:val="nil"/>
              <w:left w:val="nil"/>
              <w:bottom w:val="single" w:sz="4" w:space="0" w:color="auto"/>
              <w:right w:val="nil"/>
            </w:tcBorders>
            <w:shd w:val="clear" w:color="auto" w:fill="E2EFD9" w:themeFill="accent6" w:themeFillTint="33"/>
            <w:noWrap/>
            <w:vAlign w:val="bottom"/>
            <w:hideMark/>
          </w:tcPr>
          <w:p w14:paraId="6A657AD2" w14:textId="0D25EF52" w:rsidR="00895A1D" w:rsidRPr="00D249A2" w:rsidRDefault="00895A1D" w:rsidP="00895A1D">
            <w:pPr>
              <w:jc w:val="right"/>
              <w:rPr>
                <w:b/>
                <w:bCs/>
                <w:sz w:val="17"/>
                <w:szCs w:val="17"/>
              </w:rPr>
            </w:pPr>
            <w:r w:rsidRPr="00D249A2">
              <w:rPr>
                <w:b/>
                <w:bCs/>
                <w:sz w:val="17"/>
                <w:szCs w:val="17"/>
              </w:rPr>
              <w:t>44,241</w:t>
            </w:r>
          </w:p>
        </w:tc>
        <w:tc>
          <w:tcPr>
            <w:tcW w:w="798" w:type="pct"/>
            <w:tcBorders>
              <w:top w:val="nil"/>
              <w:left w:val="nil"/>
              <w:bottom w:val="single" w:sz="4" w:space="0" w:color="auto"/>
              <w:right w:val="nil"/>
            </w:tcBorders>
            <w:shd w:val="clear" w:color="auto" w:fill="E2EFD9" w:themeFill="accent6" w:themeFillTint="33"/>
            <w:noWrap/>
            <w:vAlign w:val="bottom"/>
            <w:hideMark/>
          </w:tcPr>
          <w:p w14:paraId="5225BBE1" w14:textId="4D8A3729" w:rsidR="00895A1D" w:rsidRPr="00D249A2" w:rsidRDefault="00895A1D" w:rsidP="00895A1D">
            <w:pPr>
              <w:jc w:val="right"/>
              <w:rPr>
                <w:b/>
                <w:bCs/>
                <w:sz w:val="17"/>
                <w:szCs w:val="17"/>
              </w:rPr>
            </w:pPr>
            <w:r w:rsidRPr="00D249A2">
              <w:rPr>
                <w:b/>
                <w:bCs/>
                <w:sz w:val="17"/>
                <w:szCs w:val="17"/>
              </w:rPr>
              <w:t>4.3</w:t>
            </w:r>
          </w:p>
        </w:tc>
      </w:tr>
    </w:tbl>
    <w:p w14:paraId="6C889175" w14:textId="77777777" w:rsidR="00F57EE9" w:rsidRDefault="00F57EE9" w:rsidP="00F57EE9"/>
    <w:p w14:paraId="19962EA5" w14:textId="5430F4E4" w:rsidR="00B86583" w:rsidRPr="006B42D6" w:rsidRDefault="00B86583" w:rsidP="005C2EFC">
      <w:pPr>
        <w:pStyle w:val="Heading4"/>
      </w:pPr>
      <w:bookmarkStart w:id="216" w:name="_Toc82385671"/>
      <w:r w:rsidRPr="006B42D6">
        <w:t>3.1.</w:t>
      </w:r>
      <w:r w:rsidR="00193728">
        <w:t>5</w:t>
      </w:r>
      <w:r w:rsidRPr="006B42D6">
        <w:t>.6</w:t>
      </w:r>
      <w:r w:rsidR="000807B0" w:rsidRPr="006B42D6">
        <w:tab/>
      </w:r>
      <w:r w:rsidRPr="006B42D6">
        <w:t>Banana</w:t>
      </w:r>
      <w:bookmarkEnd w:id="216"/>
    </w:p>
    <w:p w14:paraId="31881CE6" w14:textId="2EAA6BF7" w:rsidR="00B86583" w:rsidRPr="006B42D6" w:rsidRDefault="00B86583" w:rsidP="00BD67A5">
      <w:pPr>
        <w:rPr>
          <w:b/>
          <w:bCs/>
        </w:rPr>
      </w:pPr>
      <w:r w:rsidRPr="006B42D6">
        <w:rPr>
          <w:bCs/>
        </w:rPr>
        <w:t>Banana</w:t>
      </w:r>
      <w:r w:rsidRPr="006B42D6">
        <w:t xml:space="preserve"> production in Tanzania involved 1,761,560 households</w:t>
      </w:r>
      <w:r w:rsidR="009576D6" w:rsidRPr="006B42D6">
        <w:t>,</w:t>
      </w:r>
      <w:r w:rsidR="005D180F" w:rsidRPr="006B42D6">
        <w:t xml:space="preserve"> out </w:t>
      </w:r>
      <w:r w:rsidRPr="006B42D6">
        <w:t xml:space="preserve">of which 1,627,578 were in </w:t>
      </w:r>
      <w:r w:rsidR="00EA1552">
        <w:t>Mainland Tanzania</w:t>
      </w:r>
      <w:r w:rsidRPr="006B42D6">
        <w:t xml:space="preserve"> and 133,982 in</w:t>
      </w:r>
      <w:r w:rsidR="007003AB" w:rsidRPr="006B42D6">
        <w:t xml:space="preserve"> Tanzania</w:t>
      </w:r>
      <w:r w:rsidRPr="006B42D6">
        <w:t xml:space="preserve"> Zanzibar.</w:t>
      </w:r>
      <w:r w:rsidR="00946D33" w:rsidRPr="006B42D6">
        <w:t xml:space="preserve"> The total planted area with banana was 343,766 ha, of which 343,501 ha were from smallholder farmers and 26</w:t>
      </w:r>
      <w:r w:rsidR="0094603F" w:rsidRPr="006B42D6">
        <w:t>5</w:t>
      </w:r>
      <w:r w:rsidR="00946D33" w:rsidRPr="006B42D6">
        <w:t xml:space="preserve"> ha from large </w:t>
      </w:r>
      <w:r w:rsidR="00946D33" w:rsidRPr="006B42D6">
        <w:lastRenderedPageBreak/>
        <w:t>scale farms. From t</w:t>
      </w:r>
      <w:r w:rsidRPr="006B42D6">
        <w:t>he total planted area</w:t>
      </w:r>
      <w:r w:rsidR="00946D33" w:rsidRPr="006B42D6">
        <w:t xml:space="preserve"> by smallholder farmers,</w:t>
      </w:r>
      <w:r w:rsidRPr="006B42D6">
        <w:t xml:space="preserve"> 313,485 ha were in </w:t>
      </w:r>
      <w:r w:rsidR="00EA1552">
        <w:t>Mainland Tanzania</w:t>
      </w:r>
      <w:r w:rsidRPr="006B42D6">
        <w:t xml:space="preserve"> and 30,016 ha in </w:t>
      </w:r>
      <w:r w:rsidR="007003AB" w:rsidRPr="006B42D6">
        <w:t xml:space="preserve">Tanzania </w:t>
      </w:r>
      <w:r w:rsidRPr="006B42D6">
        <w:t xml:space="preserve">Zanzibar. In </w:t>
      </w:r>
      <w:r w:rsidR="00EA1552">
        <w:t>Mainland Tanzania</w:t>
      </w:r>
      <w:r w:rsidRPr="006B42D6">
        <w:t xml:space="preserve">, Kagera </w:t>
      </w:r>
      <w:r w:rsidR="007003AB" w:rsidRPr="006B42D6">
        <w:t>r</w:t>
      </w:r>
      <w:r w:rsidRPr="006B42D6">
        <w:t xml:space="preserve">egion had the largest planted area with </w:t>
      </w:r>
      <w:r w:rsidRPr="006B42D6">
        <w:rPr>
          <w:bCs/>
        </w:rPr>
        <w:t>Banana</w:t>
      </w:r>
      <w:r w:rsidR="007003AB" w:rsidRPr="006B42D6">
        <w:rPr>
          <w:bCs/>
        </w:rPr>
        <w:t xml:space="preserve"> </w:t>
      </w:r>
      <w:r w:rsidR="007003AB" w:rsidRPr="006B42D6">
        <w:t>(137,186 ha; 43.8 percent),</w:t>
      </w:r>
      <w:r w:rsidRPr="006B42D6">
        <w:t xml:space="preserve"> followed by Kilimanjaro (40,744 ha; 1</w:t>
      </w:r>
      <w:r w:rsidR="00946D33" w:rsidRPr="006B42D6">
        <w:t>3</w:t>
      </w:r>
      <w:r w:rsidRPr="006B42D6">
        <w:t>.</w:t>
      </w:r>
      <w:r w:rsidR="00946D33" w:rsidRPr="006B42D6">
        <w:t>0</w:t>
      </w:r>
      <w:r w:rsidRPr="006B42D6">
        <w:t xml:space="preserve"> percent) and Mbeya (18,611 ha; 5.9 percent). On the other hand, Simiyu region had the least planted area (24 ha; 0.01 percent). In </w:t>
      </w:r>
      <w:r w:rsidR="007003AB" w:rsidRPr="006B42D6">
        <w:t xml:space="preserve">Tanzania </w:t>
      </w:r>
      <w:r w:rsidRPr="006B42D6">
        <w:t>Zanzibar, Kusini Pemba</w:t>
      </w:r>
      <w:r w:rsidR="00946D33" w:rsidRPr="006B42D6">
        <w:t xml:space="preserve"> region</w:t>
      </w:r>
      <w:r w:rsidRPr="006B42D6">
        <w:t xml:space="preserve"> led with planted area of 12,875 ha (42.9 percent), followed by Mjini Magharibi </w:t>
      </w:r>
      <w:r w:rsidR="007003AB" w:rsidRPr="006B42D6">
        <w:t>(</w:t>
      </w:r>
      <w:r w:rsidRPr="006B42D6">
        <w:t>5,685 ha</w:t>
      </w:r>
      <w:r w:rsidR="007003AB" w:rsidRPr="006B42D6">
        <w:t xml:space="preserve">; </w:t>
      </w:r>
      <w:r w:rsidRPr="006B42D6">
        <w:t xml:space="preserve">18.9 percent); while Kusini Unguja had the least planted area </w:t>
      </w:r>
      <w:r w:rsidR="007003AB" w:rsidRPr="006B42D6">
        <w:t>(</w:t>
      </w:r>
      <w:r w:rsidR="00946D33" w:rsidRPr="006B42D6">
        <w:t>2,8</w:t>
      </w:r>
      <w:r w:rsidRPr="006B42D6">
        <w:t>56 ha</w:t>
      </w:r>
      <w:r w:rsidR="007003AB" w:rsidRPr="006B42D6">
        <w:t xml:space="preserve">; </w:t>
      </w:r>
      <w:r w:rsidRPr="006B42D6">
        <w:t xml:space="preserve">9.5 percent). </w:t>
      </w:r>
    </w:p>
    <w:p w14:paraId="4DC97CCB" w14:textId="2DFA520B" w:rsidR="00B86583" w:rsidRPr="006B42D6" w:rsidRDefault="00B86583" w:rsidP="00BD67A5">
      <w:pPr>
        <w:spacing w:line="240" w:lineRule="auto"/>
      </w:pPr>
      <w:r w:rsidRPr="006B42D6">
        <w:t xml:space="preserve"> </w:t>
      </w:r>
    </w:p>
    <w:p w14:paraId="698891B8" w14:textId="4DE29377" w:rsidR="007003AB" w:rsidRPr="006B42D6" w:rsidRDefault="0094603F" w:rsidP="00BD67A5">
      <w:r w:rsidRPr="006B42D6">
        <w:t xml:space="preserve">The total harvested area with banana was </w:t>
      </w:r>
      <w:r w:rsidR="00D93BCC" w:rsidRPr="006B42D6">
        <w:t>241,798</w:t>
      </w:r>
      <w:r w:rsidRPr="006B42D6">
        <w:t xml:space="preserve"> ha, of which 241,638 ha were from smallholder farmers and 160 ha from large scale farms. From the total harvested area by smallholder farmers, 216,619 ha were in </w:t>
      </w:r>
      <w:r w:rsidR="00EA1552">
        <w:t>Mainland Tanzania</w:t>
      </w:r>
      <w:r w:rsidRPr="006B42D6">
        <w:t xml:space="preserve"> and 25,019 ha in Tanzania Zanzibar. </w:t>
      </w:r>
      <w:r w:rsidR="007003AB" w:rsidRPr="006B42D6">
        <w:t xml:space="preserve">In </w:t>
      </w:r>
      <w:r w:rsidR="00EA1552">
        <w:t>Mainland Tanzania</w:t>
      </w:r>
      <w:r w:rsidR="007003AB" w:rsidRPr="006B42D6">
        <w:t xml:space="preserve">, </w:t>
      </w:r>
      <w:r w:rsidR="00946D33" w:rsidRPr="006B42D6">
        <w:t>Kagera</w:t>
      </w:r>
      <w:r w:rsidR="007003AB" w:rsidRPr="006B42D6">
        <w:t xml:space="preserve"> region reported the largest harvested area (</w:t>
      </w:r>
      <w:r w:rsidR="00946D33" w:rsidRPr="006B42D6">
        <w:t>102</w:t>
      </w:r>
      <w:r w:rsidR="007003AB" w:rsidRPr="006B42D6">
        <w:t>,</w:t>
      </w:r>
      <w:r w:rsidR="00946D33" w:rsidRPr="006B42D6">
        <w:t>630</w:t>
      </w:r>
      <w:r w:rsidR="007003AB" w:rsidRPr="006B42D6">
        <w:t xml:space="preserve"> ha; </w:t>
      </w:r>
      <w:r w:rsidR="00946D33" w:rsidRPr="006B42D6">
        <w:t>47.4</w:t>
      </w:r>
      <w:r w:rsidR="007003AB" w:rsidRPr="006B42D6">
        <w:t xml:space="preserve"> percent), followed by </w:t>
      </w:r>
      <w:r w:rsidR="00946D33" w:rsidRPr="006B42D6">
        <w:t>Kilimanjaro</w:t>
      </w:r>
      <w:r w:rsidR="007003AB" w:rsidRPr="006B42D6">
        <w:t xml:space="preserve"> (</w:t>
      </w:r>
      <w:r w:rsidR="00946D33" w:rsidRPr="006B42D6">
        <w:t>34,705</w:t>
      </w:r>
      <w:r w:rsidR="007003AB" w:rsidRPr="006B42D6">
        <w:t xml:space="preserve"> ha; </w:t>
      </w:r>
      <w:r w:rsidR="00946D33" w:rsidRPr="006B42D6">
        <w:t>16.0</w:t>
      </w:r>
      <w:r w:rsidR="007003AB" w:rsidRPr="006B42D6">
        <w:t xml:space="preserve"> percent) and </w:t>
      </w:r>
      <w:r w:rsidR="00946D33" w:rsidRPr="006B42D6">
        <w:t>Mbeya</w:t>
      </w:r>
      <w:r w:rsidR="007003AB" w:rsidRPr="006B42D6">
        <w:t xml:space="preserve"> (</w:t>
      </w:r>
      <w:r w:rsidR="00946D33" w:rsidRPr="006B42D6">
        <w:t>12,528</w:t>
      </w:r>
      <w:r w:rsidR="007003AB" w:rsidRPr="006B42D6">
        <w:t xml:space="preserve"> ha; </w:t>
      </w:r>
      <w:r w:rsidR="00946D33" w:rsidRPr="006B42D6">
        <w:t>5.8</w:t>
      </w:r>
      <w:r w:rsidR="007003AB" w:rsidRPr="006B42D6">
        <w:t xml:space="preserve"> percent) and the least harvested area was in </w:t>
      </w:r>
      <w:r w:rsidR="00946D33" w:rsidRPr="006B42D6">
        <w:t>Simiyu</w:t>
      </w:r>
      <w:r w:rsidR="007003AB" w:rsidRPr="006B42D6">
        <w:t xml:space="preserve"> (</w:t>
      </w:r>
      <w:r w:rsidR="00946D33" w:rsidRPr="006B42D6">
        <w:t>3</w:t>
      </w:r>
      <w:r w:rsidR="007003AB" w:rsidRPr="006B42D6">
        <w:t xml:space="preserve"> ha; 0.</w:t>
      </w:r>
      <w:r w:rsidR="00946D33" w:rsidRPr="006B42D6">
        <w:t>001</w:t>
      </w:r>
      <w:r w:rsidR="007003AB" w:rsidRPr="006B42D6">
        <w:t xml:space="preserve"> percent). In Tanzania Zanzibar, </w:t>
      </w:r>
      <w:r w:rsidR="00946D33" w:rsidRPr="006B42D6">
        <w:t>Kusini</w:t>
      </w:r>
      <w:r w:rsidR="007003AB" w:rsidRPr="006B42D6">
        <w:t xml:space="preserve"> </w:t>
      </w:r>
      <w:r w:rsidR="00946D33" w:rsidRPr="006B42D6">
        <w:t>Pemba</w:t>
      </w:r>
      <w:r w:rsidR="007003AB" w:rsidRPr="006B42D6">
        <w:t xml:space="preserve"> had the largest harvested area (</w:t>
      </w:r>
      <w:r w:rsidR="00946D33" w:rsidRPr="006B42D6">
        <w:t>10,162</w:t>
      </w:r>
      <w:r w:rsidR="007003AB" w:rsidRPr="006B42D6">
        <w:t xml:space="preserve"> ha; </w:t>
      </w:r>
      <w:r w:rsidR="006C2F58" w:rsidRPr="006B42D6">
        <w:t>40.6</w:t>
      </w:r>
      <w:r w:rsidR="007003AB" w:rsidRPr="006B42D6">
        <w:t xml:space="preserve"> percent), followed by </w:t>
      </w:r>
      <w:r w:rsidR="006C2F58" w:rsidRPr="006B42D6">
        <w:t>Mjini Magharibi</w:t>
      </w:r>
      <w:r w:rsidR="007003AB" w:rsidRPr="006B42D6">
        <w:t xml:space="preserve"> (</w:t>
      </w:r>
      <w:r w:rsidR="006C2F58" w:rsidRPr="006B42D6">
        <w:t>5,458</w:t>
      </w:r>
      <w:r w:rsidR="007003AB" w:rsidRPr="006B42D6">
        <w:t xml:space="preserve"> ha; </w:t>
      </w:r>
      <w:r w:rsidR="006C2F58" w:rsidRPr="006B42D6">
        <w:t>21</w:t>
      </w:r>
      <w:r w:rsidR="007003AB" w:rsidRPr="006B42D6">
        <w:t>.</w:t>
      </w:r>
      <w:r w:rsidR="006C2F58" w:rsidRPr="006B42D6">
        <w:t>8</w:t>
      </w:r>
      <w:r w:rsidR="007003AB" w:rsidRPr="006B42D6">
        <w:t xml:space="preserve"> percent), while the least harvested area was Kusini </w:t>
      </w:r>
      <w:r w:rsidR="006C2F58" w:rsidRPr="006B42D6">
        <w:t>Unguja</w:t>
      </w:r>
      <w:r w:rsidR="007003AB" w:rsidRPr="006B42D6">
        <w:t xml:space="preserve"> (</w:t>
      </w:r>
      <w:r w:rsidR="006C2F58" w:rsidRPr="006B42D6">
        <w:t>2,047</w:t>
      </w:r>
      <w:r w:rsidR="007003AB" w:rsidRPr="006B42D6">
        <w:t xml:space="preserve"> ha; </w:t>
      </w:r>
      <w:r w:rsidR="006C2F58" w:rsidRPr="006B42D6">
        <w:t>8.2</w:t>
      </w:r>
      <w:r w:rsidR="007003AB" w:rsidRPr="006B42D6">
        <w:t xml:space="preserve"> percent). </w:t>
      </w:r>
    </w:p>
    <w:p w14:paraId="2815DB3E" w14:textId="1E610487" w:rsidR="007003AB" w:rsidRPr="006B42D6" w:rsidRDefault="007003AB" w:rsidP="00BD67A5">
      <w:pPr>
        <w:spacing w:line="240" w:lineRule="auto"/>
      </w:pPr>
    </w:p>
    <w:p w14:paraId="17C3B2E7" w14:textId="3097EB5F" w:rsidR="00D2623E" w:rsidRPr="006B42D6" w:rsidRDefault="006C2F58" w:rsidP="00BD67A5">
      <w:r w:rsidRPr="006B42D6">
        <w:rPr>
          <w:bCs/>
        </w:rPr>
        <w:t>Banana</w:t>
      </w:r>
      <w:r w:rsidRPr="006B42D6">
        <w:t xml:space="preserve"> production in Tanzania was </w:t>
      </w:r>
      <w:r w:rsidRPr="006B42D6">
        <w:rPr>
          <w:bCs/>
        </w:rPr>
        <w:t xml:space="preserve">2,039,433 tons, out </w:t>
      </w:r>
      <w:r w:rsidRPr="006B42D6">
        <w:t>of which 2,037,371 tons was produced by smallholder farmers and</w:t>
      </w:r>
      <w:r w:rsidRPr="006B42D6">
        <w:rPr>
          <w:bCs/>
        </w:rPr>
        <w:t xml:space="preserve"> 2,062 </w:t>
      </w:r>
      <w:r w:rsidRPr="006B42D6">
        <w:t xml:space="preserve">tons was produced by large scale farmers. Out of the total production by smallholder farmers, </w:t>
      </w:r>
      <w:r w:rsidR="00B86583" w:rsidRPr="006B42D6">
        <w:t>1,9</w:t>
      </w:r>
      <w:r w:rsidRPr="006B42D6">
        <w:t>4</w:t>
      </w:r>
      <w:r w:rsidR="00B86583" w:rsidRPr="006B42D6">
        <w:t>9,</w:t>
      </w:r>
      <w:r w:rsidRPr="006B42D6">
        <w:t>287</w:t>
      </w:r>
      <w:r w:rsidR="00B86583" w:rsidRPr="006B42D6">
        <w:t xml:space="preserve"> tons were in </w:t>
      </w:r>
      <w:r w:rsidR="00EA1552">
        <w:t>Mainland Tanzania</w:t>
      </w:r>
      <w:r w:rsidR="00B86583" w:rsidRPr="006B42D6">
        <w:t xml:space="preserve"> and 8</w:t>
      </w:r>
      <w:r w:rsidRPr="006B42D6">
        <w:t>8</w:t>
      </w:r>
      <w:r w:rsidR="00B86583" w:rsidRPr="006B42D6">
        <w:t>,0</w:t>
      </w:r>
      <w:r w:rsidRPr="006B42D6">
        <w:t>85</w:t>
      </w:r>
      <w:r w:rsidR="00B86583" w:rsidRPr="006B42D6">
        <w:t xml:space="preserve"> tons in </w:t>
      </w:r>
      <w:r w:rsidRPr="006B42D6">
        <w:t xml:space="preserve">Tanzania </w:t>
      </w:r>
      <w:r w:rsidR="00B86583" w:rsidRPr="006B42D6">
        <w:t xml:space="preserve">Zanzibar. In </w:t>
      </w:r>
      <w:r w:rsidR="00EA1552">
        <w:t>Mainland Tanzania</w:t>
      </w:r>
      <w:r w:rsidR="00B86583" w:rsidRPr="006B42D6">
        <w:t xml:space="preserve">, Kagera </w:t>
      </w:r>
      <w:r w:rsidRPr="006B42D6">
        <w:t>r</w:t>
      </w:r>
      <w:r w:rsidR="00B86583" w:rsidRPr="006B42D6">
        <w:t>egion had the highest production</w:t>
      </w:r>
      <w:r w:rsidRPr="006B42D6">
        <w:t xml:space="preserve"> (1,131,452 tons; 52.9 percent)</w:t>
      </w:r>
      <w:r w:rsidR="00B86583" w:rsidRPr="006B42D6">
        <w:t>, followed by Kilimanjaro (</w:t>
      </w:r>
      <w:r w:rsidRPr="006B42D6">
        <w:t>262</w:t>
      </w:r>
      <w:r w:rsidR="00B86583" w:rsidRPr="006B42D6">
        <w:t>,</w:t>
      </w:r>
      <w:r w:rsidRPr="006B42D6">
        <w:t>650</w:t>
      </w:r>
      <w:r w:rsidR="00B86583" w:rsidRPr="006B42D6">
        <w:t xml:space="preserve"> tons; </w:t>
      </w:r>
      <w:r w:rsidRPr="006B42D6">
        <w:t>13</w:t>
      </w:r>
      <w:r w:rsidR="00B86583" w:rsidRPr="006B42D6">
        <w:t>.</w:t>
      </w:r>
      <w:r w:rsidRPr="006B42D6">
        <w:t>5</w:t>
      </w:r>
      <w:r w:rsidR="00B86583" w:rsidRPr="006B42D6">
        <w:t xml:space="preserve"> percent) and Mbeya (</w:t>
      </w:r>
      <w:r w:rsidRPr="006B42D6">
        <w:t>127</w:t>
      </w:r>
      <w:r w:rsidR="00B86583" w:rsidRPr="006B42D6">
        <w:t>,</w:t>
      </w:r>
      <w:r w:rsidRPr="006B42D6">
        <w:t>759</w:t>
      </w:r>
      <w:r w:rsidR="00B86583" w:rsidRPr="006B42D6">
        <w:t xml:space="preserve"> tons; 6.6 percent). On the other hand, Simiyu region had </w:t>
      </w:r>
      <w:r w:rsidR="005D180F" w:rsidRPr="006B42D6">
        <w:t>the</w:t>
      </w:r>
      <w:r w:rsidR="00B86583" w:rsidRPr="006B42D6">
        <w:t xml:space="preserve"> least production (33 tons; 0.00</w:t>
      </w:r>
      <w:r w:rsidRPr="006B42D6">
        <w:t>2</w:t>
      </w:r>
      <w:r w:rsidR="00B86583" w:rsidRPr="006B42D6">
        <w:t xml:space="preserve"> percent). In </w:t>
      </w:r>
      <w:r w:rsidRPr="006B42D6">
        <w:t xml:space="preserve">Tanzania </w:t>
      </w:r>
      <w:r w:rsidR="00B86583" w:rsidRPr="006B42D6">
        <w:t xml:space="preserve">Zanzibar, Mjini Magharibi led with the production of </w:t>
      </w:r>
      <w:r w:rsidRPr="006B42D6">
        <w:t>27</w:t>
      </w:r>
      <w:r w:rsidR="00B86583" w:rsidRPr="006B42D6">
        <w:t>,</w:t>
      </w:r>
      <w:r w:rsidRPr="006B42D6">
        <w:t>069</w:t>
      </w:r>
      <w:r w:rsidR="00B86583" w:rsidRPr="006B42D6">
        <w:t xml:space="preserve"> tons (</w:t>
      </w:r>
      <w:r w:rsidRPr="006B42D6">
        <w:t>30</w:t>
      </w:r>
      <w:r w:rsidR="00B86583" w:rsidRPr="006B42D6">
        <w:t>.</w:t>
      </w:r>
      <w:r w:rsidRPr="006B42D6">
        <w:t>7</w:t>
      </w:r>
      <w:r w:rsidR="00B86583" w:rsidRPr="006B42D6">
        <w:t xml:space="preserve"> percent), followed by Kusini Pemba </w:t>
      </w:r>
      <w:r w:rsidRPr="006B42D6">
        <w:t>(26</w:t>
      </w:r>
      <w:r w:rsidR="00B86583" w:rsidRPr="006B42D6">
        <w:t>,</w:t>
      </w:r>
      <w:r w:rsidRPr="006B42D6">
        <w:t>635</w:t>
      </w:r>
      <w:r w:rsidR="00B86583" w:rsidRPr="006B42D6">
        <w:t xml:space="preserve"> tons</w:t>
      </w:r>
      <w:r w:rsidRPr="006B42D6">
        <w:t>; 30</w:t>
      </w:r>
      <w:r w:rsidR="00B86583" w:rsidRPr="006B42D6">
        <w:t>.</w:t>
      </w:r>
      <w:r w:rsidRPr="006B42D6">
        <w:t>2</w:t>
      </w:r>
      <w:r w:rsidR="00B86583" w:rsidRPr="006B42D6">
        <w:t xml:space="preserve"> percent). On the other hand, Kusini Unguja had </w:t>
      </w:r>
      <w:r w:rsidR="005D180F" w:rsidRPr="006B42D6">
        <w:t>the</w:t>
      </w:r>
      <w:r w:rsidR="00B86583" w:rsidRPr="006B42D6">
        <w:t xml:space="preserve"> least production (8,64</w:t>
      </w:r>
      <w:r w:rsidRPr="006B42D6">
        <w:t>6</w:t>
      </w:r>
      <w:r w:rsidR="00B86583" w:rsidRPr="006B42D6">
        <w:t xml:space="preserve"> tons; </w:t>
      </w:r>
      <w:r w:rsidRPr="006B42D6">
        <w:t>9</w:t>
      </w:r>
      <w:r w:rsidR="00B86583" w:rsidRPr="006B42D6">
        <w:t>.</w:t>
      </w:r>
      <w:r w:rsidRPr="006B42D6">
        <w:t>8</w:t>
      </w:r>
      <w:r w:rsidR="00B86583" w:rsidRPr="006B42D6">
        <w:t xml:space="preserve"> percent) (Table 3.</w:t>
      </w:r>
      <w:r w:rsidR="00A9608F" w:rsidRPr="006B42D6">
        <w:t>9</w:t>
      </w:r>
      <w:r w:rsidR="00B86583" w:rsidRPr="006B42D6">
        <w:t>).</w:t>
      </w:r>
    </w:p>
    <w:p w14:paraId="3DCDBF19" w14:textId="06F0D025" w:rsidR="00DC1806" w:rsidRPr="006B42D6" w:rsidRDefault="00DC1806" w:rsidP="005C2EFC">
      <w:pPr>
        <w:rPr>
          <w:rFonts w:eastAsia="Calibri"/>
        </w:rPr>
      </w:pPr>
      <w:r w:rsidRPr="006B42D6">
        <w:br w:type="page"/>
      </w:r>
    </w:p>
    <w:p w14:paraId="56048B02" w14:textId="6A67CD3C" w:rsidR="00B86583" w:rsidRPr="006B42D6" w:rsidRDefault="00B86583" w:rsidP="007200F6">
      <w:pPr>
        <w:pStyle w:val="Heading7"/>
      </w:pPr>
      <w:bookmarkStart w:id="217" w:name="_Toc82386191"/>
      <w:r w:rsidRPr="006B42D6">
        <w:lastRenderedPageBreak/>
        <w:t>Table 3.</w:t>
      </w:r>
      <w:r w:rsidR="00A9608F" w:rsidRPr="006B42D6">
        <w:t>9</w:t>
      </w:r>
      <w:r w:rsidR="00EF5C3C">
        <w:t>:</w:t>
      </w:r>
      <w:r w:rsidR="00BD67A5">
        <w:tab/>
      </w:r>
      <w:r w:rsidR="001E3B1A" w:rsidRPr="006B42D6">
        <w:t xml:space="preserve">Number of </w:t>
      </w:r>
      <w:r w:rsidRPr="006B42D6">
        <w:t>Households</w:t>
      </w:r>
      <w:r w:rsidR="001E3B1A" w:rsidRPr="006B42D6">
        <w:t xml:space="preserve">, </w:t>
      </w:r>
      <w:r w:rsidRPr="006B42D6">
        <w:t xml:space="preserve">Planted </w:t>
      </w:r>
      <w:r w:rsidR="001E3B1A" w:rsidRPr="006B42D6">
        <w:t xml:space="preserve">and </w:t>
      </w:r>
      <w:r w:rsidRPr="006B42D6">
        <w:t xml:space="preserve">Harvested Area, Quantity Harvested </w:t>
      </w:r>
      <w:r w:rsidR="001E3B1A" w:rsidRPr="006B42D6">
        <w:t xml:space="preserve">of Banana </w:t>
      </w:r>
      <w:r w:rsidRPr="006B42D6">
        <w:t xml:space="preserve">by Region </w:t>
      </w:r>
      <w:r w:rsidR="006C2F58" w:rsidRPr="006B42D6">
        <w:t>D</w:t>
      </w:r>
      <w:r w:rsidRPr="006B42D6">
        <w:t xml:space="preserve">uring 2019/20 </w:t>
      </w:r>
      <w:r w:rsidR="006C2F58" w:rsidRPr="006B42D6">
        <w:t>A</w:t>
      </w:r>
      <w:r w:rsidRPr="006B42D6">
        <w:t>gricultural Year</w:t>
      </w:r>
      <w:r w:rsidR="006C2F58" w:rsidRPr="006B42D6">
        <w:t>,</w:t>
      </w:r>
      <w:r w:rsidRPr="006B42D6">
        <w:t xml:space="preserve"> </w:t>
      </w:r>
      <w:r w:rsidR="006C2F58" w:rsidRPr="006B42D6">
        <w:t>Tanzania</w:t>
      </w:r>
      <w:bookmarkEnd w:id="217"/>
    </w:p>
    <w:tbl>
      <w:tblPr>
        <w:tblW w:w="0" w:type="auto"/>
        <w:tblLook w:val="04A0" w:firstRow="1" w:lastRow="0" w:firstColumn="1" w:lastColumn="0" w:noHBand="0" w:noVBand="1"/>
      </w:tblPr>
      <w:tblGrid>
        <w:gridCol w:w="1564"/>
        <w:gridCol w:w="1095"/>
        <w:gridCol w:w="1015"/>
        <w:gridCol w:w="1096"/>
        <w:gridCol w:w="1328"/>
        <w:gridCol w:w="1144"/>
        <w:gridCol w:w="975"/>
        <w:gridCol w:w="1019"/>
      </w:tblGrid>
      <w:tr w:rsidR="006B42D6" w:rsidRPr="006B42D6" w14:paraId="3E6F6497" w14:textId="77777777" w:rsidTr="00D249A2">
        <w:trPr>
          <w:trHeight w:val="312"/>
        </w:trPr>
        <w:tc>
          <w:tcPr>
            <w:tcW w:w="0" w:type="auto"/>
            <w:tcBorders>
              <w:top w:val="single" w:sz="4" w:space="0" w:color="auto"/>
              <w:left w:val="nil"/>
              <w:bottom w:val="single" w:sz="4" w:space="0" w:color="000000"/>
            </w:tcBorders>
            <w:shd w:val="clear" w:color="auto" w:fill="E2EFD9" w:themeFill="accent6" w:themeFillTint="33"/>
            <w:vAlign w:val="center"/>
            <w:hideMark/>
          </w:tcPr>
          <w:p w14:paraId="4DC2B1A7" w14:textId="694B494B" w:rsidR="00895A1D" w:rsidRPr="006B42D6" w:rsidRDefault="004F67C7" w:rsidP="00D249A2">
            <w:pPr>
              <w:spacing w:line="276" w:lineRule="auto"/>
              <w:rPr>
                <w:bCs/>
                <w:sz w:val="16"/>
                <w:szCs w:val="16"/>
              </w:rPr>
            </w:pPr>
            <w:r w:rsidRPr="006B42D6">
              <w:rPr>
                <w:bCs/>
                <w:sz w:val="16"/>
                <w:szCs w:val="16"/>
              </w:rPr>
              <w:t>Region</w:t>
            </w:r>
          </w:p>
        </w:tc>
        <w:tc>
          <w:tcPr>
            <w:tcW w:w="0" w:type="auto"/>
            <w:tcBorders>
              <w:top w:val="single" w:sz="4" w:space="0" w:color="auto"/>
              <w:bottom w:val="single" w:sz="4" w:space="0" w:color="auto"/>
              <w:right w:val="nil"/>
            </w:tcBorders>
            <w:shd w:val="clear" w:color="auto" w:fill="E2EFD9" w:themeFill="accent6" w:themeFillTint="33"/>
            <w:vAlign w:val="center"/>
            <w:hideMark/>
          </w:tcPr>
          <w:p w14:paraId="41262976" w14:textId="77777777" w:rsidR="00895A1D" w:rsidRPr="006B42D6" w:rsidRDefault="00895A1D" w:rsidP="00D249A2">
            <w:pPr>
              <w:spacing w:line="276" w:lineRule="auto"/>
              <w:jc w:val="center"/>
              <w:rPr>
                <w:bCs/>
                <w:sz w:val="16"/>
                <w:szCs w:val="16"/>
              </w:rPr>
            </w:pPr>
            <w:r w:rsidRPr="006B42D6">
              <w:rPr>
                <w:bCs/>
                <w:sz w:val="16"/>
                <w:szCs w:val="16"/>
              </w:rPr>
              <w:t xml:space="preserve"> Number of Households </w:t>
            </w:r>
          </w:p>
        </w:tc>
        <w:tc>
          <w:tcPr>
            <w:tcW w:w="0" w:type="auto"/>
            <w:tcBorders>
              <w:top w:val="single" w:sz="4" w:space="0" w:color="auto"/>
              <w:left w:val="nil"/>
              <w:bottom w:val="single" w:sz="4" w:space="0" w:color="auto"/>
              <w:right w:val="nil"/>
            </w:tcBorders>
            <w:shd w:val="clear" w:color="auto" w:fill="E2EFD9" w:themeFill="accent6" w:themeFillTint="33"/>
            <w:vAlign w:val="center"/>
            <w:hideMark/>
          </w:tcPr>
          <w:p w14:paraId="70116CE1" w14:textId="2EF221DD" w:rsidR="00895A1D" w:rsidRPr="006B42D6" w:rsidRDefault="00895A1D" w:rsidP="00D249A2">
            <w:pPr>
              <w:spacing w:line="276" w:lineRule="auto"/>
              <w:jc w:val="center"/>
              <w:rPr>
                <w:bCs/>
                <w:sz w:val="16"/>
                <w:szCs w:val="16"/>
              </w:rPr>
            </w:pPr>
            <w:r w:rsidRPr="006B42D6">
              <w:rPr>
                <w:bCs/>
                <w:sz w:val="16"/>
                <w:szCs w:val="16"/>
              </w:rPr>
              <w:t xml:space="preserve"> Planted Area with </w:t>
            </w:r>
            <w:r w:rsidR="004F67C7" w:rsidRPr="006B42D6">
              <w:rPr>
                <w:bCs/>
                <w:sz w:val="16"/>
                <w:szCs w:val="16"/>
              </w:rPr>
              <w:t xml:space="preserve">Mono Crop </w:t>
            </w:r>
            <w:r w:rsidRPr="006B42D6">
              <w:rPr>
                <w:bCs/>
                <w:sz w:val="16"/>
                <w:szCs w:val="16"/>
              </w:rPr>
              <w:t xml:space="preserve">(ha) </w:t>
            </w:r>
          </w:p>
        </w:tc>
        <w:tc>
          <w:tcPr>
            <w:tcW w:w="0" w:type="auto"/>
            <w:tcBorders>
              <w:top w:val="single" w:sz="4" w:space="0" w:color="auto"/>
              <w:left w:val="nil"/>
              <w:bottom w:val="single" w:sz="4" w:space="0" w:color="auto"/>
              <w:right w:val="nil"/>
            </w:tcBorders>
            <w:shd w:val="clear" w:color="auto" w:fill="E2EFD9" w:themeFill="accent6" w:themeFillTint="33"/>
            <w:vAlign w:val="center"/>
            <w:hideMark/>
          </w:tcPr>
          <w:p w14:paraId="678AEBD9" w14:textId="77777777" w:rsidR="00895A1D" w:rsidRPr="006B42D6" w:rsidRDefault="00895A1D" w:rsidP="00D249A2">
            <w:pPr>
              <w:spacing w:line="276" w:lineRule="auto"/>
              <w:jc w:val="center"/>
              <w:rPr>
                <w:bCs/>
                <w:sz w:val="16"/>
                <w:szCs w:val="16"/>
              </w:rPr>
            </w:pPr>
            <w:r w:rsidRPr="006B42D6">
              <w:rPr>
                <w:bCs/>
                <w:sz w:val="16"/>
                <w:szCs w:val="16"/>
              </w:rPr>
              <w:t xml:space="preserve"> Number of Households </w:t>
            </w:r>
          </w:p>
        </w:tc>
        <w:tc>
          <w:tcPr>
            <w:tcW w:w="0" w:type="auto"/>
            <w:tcBorders>
              <w:top w:val="single" w:sz="4" w:space="0" w:color="auto"/>
              <w:left w:val="nil"/>
              <w:bottom w:val="single" w:sz="4" w:space="0" w:color="auto"/>
              <w:right w:val="nil"/>
            </w:tcBorders>
            <w:shd w:val="clear" w:color="auto" w:fill="E2EFD9" w:themeFill="accent6" w:themeFillTint="33"/>
            <w:vAlign w:val="center"/>
            <w:hideMark/>
          </w:tcPr>
          <w:p w14:paraId="5786C443" w14:textId="2CE2C6C2" w:rsidR="00895A1D" w:rsidRPr="006B42D6" w:rsidRDefault="00895A1D" w:rsidP="00D249A2">
            <w:pPr>
              <w:spacing w:line="276" w:lineRule="auto"/>
              <w:jc w:val="center"/>
              <w:rPr>
                <w:bCs/>
                <w:sz w:val="16"/>
                <w:szCs w:val="16"/>
              </w:rPr>
            </w:pPr>
            <w:r w:rsidRPr="006B42D6">
              <w:rPr>
                <w:bCs/>
                <w:sz w:val="16"/>
                <w:szCs w:val="16"/>
              </w:rPr>
              <w:t xml:space="preserve"> Area covered by permanent crop in </w:t>
            </w:r>
            <w:r w:rsidR="004F67C7" w:rsidRPr="006B42D6">
              <w:rPr>
                <w:bCs/>
                <w:sz w:val="16"/>
                <w:szCs w:val="16"/>
              </w:rPr>
              <w:t xml:space="preserve">Mixed Crop </w:t>
            </w:r>
            <w:r w:rsidRPr="006B42D6">
              <w:rPr>
                <w:bCs/>
                <w:sz w:val="16"/>
                <w:szCs w:val="16"/>
              </w:rPr>
              <w:t xml:space="preserve">(ha) </w:t>
            </w:r>
          </w:p>
        </w:tc>
        <w:tc>
          <w:tcPr>
            <w:tcW w:w="0" w:type="auto"/>
            <w:tcBorders>
              <w:top w:val="single" w:sz="4" w:space="0" w:color="auto"/>
              <w:left w:val="nil"/>
              <w:bottom w:val="single" w:sz="4" w:space="0" w:color="auto"/>
              <w:right w:val="nil"/>
            </w:tcBorders>
            <w:shd w:val="clear" w:color="auto" w:fill="E2EFD9" w:themeFill="accent6" w:themeFillTint="33"/>
            <w:vAlign w:val="center"/>
            <w:hideMark/>
          </w:tcPr>
          <w:p w14:paraId="682435C6" w14:textId="11C31EB6" w:rsidR="00895A1D" w:rsidRPr="006B42D6" w:rsidRDefault="00895A1D" w:rsidP="00D249A2">
            <w:pPr>
              <w:spacing w:line="276" w:lineRule="auto"/>
              <w:jc w:val="center"/>
              <w:rPr>
                <w:bCs/>
                <w:sz w:val="16"/>
                <w:szCs w:val="16"/>
              </w:rPr>
            </w:pPr>
            <w:r w:rsidRPr="006B42D6">
              <w:rPr>
                <w:bCs/>
                <w:sz w:val="16"/>
                <w:szCs w:val="16"/>
              </w:rPr>
              <w:t xml:space="preserve"> Total Planted Area (</w:t>
            </w:r>
            <w:r w:rsidR="004F67C7" w:rsidRPr="006B42D6">
              <w:rPr>
                <w:bCs/>
                <w:sz w:val="16"/>
                <w:szCs w:val="16"/>
              </w:rPr>
              <w:t>Mono + Mixed Crops</w:t>
            </w:r>
            <w:r w:rsidRPr="006B42D6">
              <w:rPr>
                <w:bCs/>
                <w:sz w:val="16"/>
                <w:szCs w:val="16"/>
              </w:rPr>
              <w:t xml:space="preserve">) (ha) </w:t>
            </w:r>
          </w:p>
        </w:tc>
        <w:tc>
          <w:tcPr>
            <w:tcW w:w="0" w:type="auto"/>
            <w:tcBorders>
              <w:top w:val="single" w:sz="4" w:space="0" w:color="auto"/>
              <w:left w:val="nil"/>
              <w:bottom w:val="single" w:sz="4" w:space="0" w:color="auto"/>
              <w:right w:val="nil"/>
            </w:tcBorders>
            <w:shd w:val="clear" w:color="auto" w:fill="E2EFD9" w:themeFill="accent6" w:themeFillTint="33"/>
            <w:vAlign w:val="center"/>
            <w:hideMark/>
          </w:tcPr>
          <w:p w14:paraId="502FDB4C" w14:textId="77777777" w:rsidR="00895A1D" w:rsidRPr="006B42D6" w:rsidRDefault="00895A1D" w:rsidP="00D249A2">
            <w:pPr>
              <w:spacing w:line="276" w:lineRule="auto"/>
              <w:jc w:val="center"/>
              <w:rPr>
                <w:bCs/>
                <w:sz w:val="16"/>
                <w:szCs w:val="16"/>
              </w:rPr>
            </w:pPr>
            <w:r w:rsidRPr="006B42D6">
              <w:rPr>
                <w:bCs/>
                <w:sz w:val="16"/>
                <w:szCs w:val="16"/>
              </w:rPr>
              <w:t xml:space="preserve"> Area Harvested (ha) </w:t>
            </w:r>
          </w:p>
        </w:tc>
        <w:tc>
          <w:tcPr>
            <w:tcW w:w="0" w:type="auto"/>
            <w:tcBorders>
              <w:top w:val="single" w:sz="4" w:space="0" w:color="auto"/>
              <w:left w:val="nil"/>
              <w:bottom w:val="single" w:sz="4" w:space="0" w:color="auto"/>
              <w:right w:val="nil"/>
            </w:tcBorders>
            <w:shd w:val="clear" w:color="auto" w:fill="E2EFD9" w:themeFill="accent6" w:themeFillTint="33"/>
            <w:vAlign w:val="center"/>
            <w:hideMark/>
          </w:tcPr>
          <w:p w14:paraId="56FCE1CD" w14:textId="77777777" w:rsidR="00895A1D" w:rsidRPr="006B42D6" w:rsidRDefault="00895A1D" w:rsidP="00D249A2">
            <w:pPr>
              <w:spacing w:line="276" w:lineRule="auto"/>
              <w:jc w:val="center"/>
              <w:rPr>
                <w:bCs/>
                <w:sz w:val="16"/>
                <w:szCs w:val="16"/>
              </w:rPr>
            </w:pPr>
            <w:r w:rsidRPr="006B42D6">
              <w:rPr>
                <w:bCs/>
                <w:sz w:val="16"/>
                <w:szCs w:val="16"/>
              </w:rPr>
              <w:t xml:space="preserve"> Quantity harvested (tons) </w:t>
            </w:r>
          </w:p>
        </w:tc>
      </w:tr>
      <w:tr w:rsidR="006B42D6" w:rsidRPr="006B42D6" w14:paraId="2C1CCFA6" w14:textId="77777777" w:rsidTr="00D249A2">
        <w:trPr>
          <w:trHeight w:val="283"/>
        </w:trPr>
        <w:tc>
          <w:tcPr>
            <w:tcW w:w="0" w:type="auto"/>
            <w:tcBorders>
              <w:top w:val="nil"/>
              <w:left w:val="nil"/>
              <w:bottom w:val="nil"/>
            </w:tcBorders>
            <w:shd w:val="clear" w:color="auto" w:fill="auto"/>
            <w:noWrap/>
            <w:vAlign w:val="bottom"/>
            <w:hideMark/>
          </w:tcPr>
          <w:p w14:paraId="5272DD01" w14:textId="020B7A9C" w:rsidR="00895A1D" w:rsidRPr="006B42D6" w:rsidRDefault="00895A1D" w:rsidP="00EF5C3C">
            <w:pPr>
              <w:jc w:val="left"/>
              <w:rPr>
                <w:sz w:val="16"/>
                <w:szCs w:val="16"/>
              </w:rPr>
            </w:pPr>
            <w:r w:rsidRPr="006B42D6">
              <w:rPr>
                <w:sz w:val="16"/>
                <w:szCs w:val="16"/>
              </w:rPr>
              <w:t>Dodoma</w:t>
            </w:r>
          </w:p>
        </w:tc>
        <w:tc>
          <w:tcPr>
            <w:tcW w:w="0" w:type="auto"/>
            <w:tcBorders>
              <w:top w:val="nil"/>
              <w:bottom w:val="nil"/>
              <w:right w:val="nil"/>
            </w:tcBorders>
            <w:shd w:val="clear" w:color="auto" w:fill="auto"/>
            <w:noWrap/>
            <w:vAlign w:val="bottom"/>
            <w:hideMark/>
          </w:tcPr>
          <w:p w14:paraId="1B955BA3" w14:textId="1B59431F" w:rsidR="00895A1D" w:rsidRPr="006B42D6" w:rsidRDefault="00895A1D" w:rsidP="00895A1D">
            <w:pPr>
              <w:jc w:val="right"/>
              <w:rPr>
                <w:sz w:val="16"/>
                <w:szCs w:val="16"/>
              </w:rPr>
            </w:pPr>
            <w:r w:rsidRPr="006B42D6">
              <w:rPr>
                <w:sz w:val="16"/>
                <w:szCs w:val="16"/>
              </w:rPr>
              <w:t>13,067</w:t>
            </w:r>
          </w:p>
        </w:tc>
        <w:tc>
          <w:tcPr>
            <w:tcW w:w="0" w:type="auto"/>
            <w:tcBorders>
              <w:top w:val="nil"/>
              <w:left w:val="nil"/>
              <w:bottom w:val="nil"/>
              <w:right w:val="nil"/>
            </w:tcBorders>
            <w:shd w:val="clear" w:color="auto" w:fill="auto"/>
            <w:noWrap/>
            <w:vAlign w:val="bottom"/>
            <w:hideMark/>
          </w:tcPr>
          <w:p w14:paraId="4BE941BF" w14:textId="5F971CE4" w:rsidR="00895A1D" w:rsidRPr="006B42D6" w:rsidRDefault="00895A1D" w:rsidP="00895A1D">
            <w:pPr>
              <w:jc w:val="right"/>
              <w:rPr>
                <w:sz w:val="16"/>
                <w:szCs w:val="16"/>
              </w:rPr>
            </w:pPr>
            <w:r w:rsidRPr="006B42D6">
              <w:rPr>
                <w:sz w:val="16"/>
                <w:szCs w:val="16"/>
              </w:rPr>
              <w:t>1,243</w:t>
            </w:r>
          </w:p>
        </w:tc>
        <w:tc>
          <w:tcPr>
            <w:tcW w:w="0" w:type="auto"/>
            <w:tcBorders>
              <w:top w:val="nil"/>
              <w:left w:val="nil"/>
              <w:bottom w:val="nil"/>
              <w:right w:val="nil"/>
            </w:tcBorders>
            <w:shd w:val="clear" w:color="auto" w:fill="auto"/>
            <w:noWrap/>
            <w:vAlign w:val="bottom"/>
            <w:hideMark/>
          </w:tcPr>
          <w:p w14:paraId="4E8C2BCE" w14:textId="7AA1D992" w:rsidR="00895A1D" w:rsidRPr="006B42D6" w:rsidRDefault="00895A1D" w:rsidP="00895A1D">
            <w:pPr>
              <w:jc w:val="right"/>
              <w:rPr>
                <w:sz w:val="16"/>
                <w:szCs w:val="16"/>
              </w:rPr>
            </w:pPr>
            <w:r w:rsidRPr="006B42D6">
              <w:rPr>
                <w:sz w:val="16"/>
                <w:szCs w:val="16"/>
              </w:rPr>
              <w:t>7,149</w:t>
            </w:r>
          </w:p>
        </w:tc>
        <w:tc>
          <w:tcPr>
            <w:tcW w:w="0" w:type="auto"/>
            <w:tcBorders>
              <w:top w:val="nil"/>
              <w:left w:val="nil"/>
              <w:bottom w:val="nil"/>
              <w:right w:val="nil"/>
            </w:tcBorders>
            <w:shd w:val="clear" w:color="auto" w:fill="auto"/>
            <w:noWrap/>
            <w:vAlign w:val="bottom"/>
            <w:hideMark/>
          </w:tcPr>
          <w:p w14:paraId="72795B7E" w14:textId="4F063600" w:rsidR="00895A1D" w:rsidRPr="006B42D6" w:rsidRDefault="00895A1D" w:rsidP="00895A1D">
            <w:pPr>
              <w:jc w:val="right"/>
              <w:rPr>
                <w:sz w:val="16"/>
                <w:szCs w:val="16"/>
              </w:rPr>
            </w:pPr>
            <w:r w:rsidRPr="006B42D6">
              <w:rPr>
                <w:sz w:val="16"/>
                <w:szCs w:val="16"/>
              </w:rPr>
              <w:t>301</w:t>
            </w:r>
          </w:p>
        </w:tc>
        <w:tc>
          <w:tcPr>
            <w:tcW w:w="0" w:type="auto"/>
            <w:tcBorders>
              <w:top w:val="nil"/>
              <w:left w:val="nil"/>
              <w:bottom w:val="nil"/>
              <w:right w:val="nil"/>
            </w:tcBorders>
            <w:shd w:val="clear" w:color="auto" w:fill="auto"/>
            <w:noWrap/>
            <w:vAlign w:val="bottom"/>
            <w:hideMark/>
          </w:tcPr>
          <w:p w14:paraId="34B7F2ED" w14:textId="4347DF37" w:rsidR="00895A1D" w:rsidRPr="006B42D6" w:rsidRDefault="00895A1D" w:rsidP="00895A1D">
            <w:pPr>
              <w:jc w:val="right"/>
              <w:rPr>
                <w:sz w:val="16"/>
                <w:szCs w:val="16"/>
              </w:rPr>
            </w:pPr>
            <w:r w:rsidRPr="006B42D6">
              <w:rPr>
                <w:sz w:val="16"/>
                <w:szCs w:val="16"/>
              </w:rPr>
              <w:t>1,544</w:t>
            </w:r>
          </w:p>
        </w:tc>
        <w:tc>
          <w:tcPr>
            <w:tcW w:w="0" w:type="auto"/>
            <w:tcBorders>
              <w:top w:val="nil"/>
              <w:left w:val="nil"/>
              <w:bottom w:val="nil"/>
              <w:right w:val="nil"/>
            </w:tcBorders>
            <w:shd w:val="clear" w:color="auto" w:fill="auto"/>
            <w:noWrap/>
            <w:vAlign w:val="bottom"/>
            <w:hideMark/>
          </w:tcPr>
          <w:p w14:paraId="0FEF3535" w14:textId="59700384" w:rsidR="00895A1D" w:rsidRPr="006B42D6" w:rsidRDefault="00895A1D" w:rsidP="00895A1D">
            <w:pPr>
              <w:jc w:val="right"/>
              <w:rPr>
                <w:sz w:val="16"/>
                <w:szCs w:val="16"/>
              </w:rPr>
            </w:pPr>
            <w:r w:rsidRPr="006B42D6">
              <w:rPr>
                <w:sz w:val="16"/>
                <w:szCs w:val="16"/>
              </w:rPr>
              <w:t>993</w:t>
            </w:r>
          </w:p>
        </w:tc>
        <w:tc>
          <w:tcPr>
            <w:tcW w:w="0" w:type="auto"/>
            <w:tcBorders>
              <w:top w:val="nil"/>
              <w:left w:val="nil"/>
              <w:bottom w:val="nil"/>
              <w:right w:val="nil"/>
            </w:tcBorders>
            <w:shd w:val="clear" w:color="auto" w:fill="auto"/>
            <w:noWrap/>
            <w:vAlign w:val="bottom"/>
            <w:hideMark/>
          </w:tcPr>
          <w:p w14:paraId="66D8F430" w14:textId="7A060805" w:rsidR="00895A1D" w:rsidRPr="006B42D6" w:rsidRDefault="00895A1D" w:rsidP="00895A1D">
            <w:pPr>
              <w:jc w:val="right"/>
              <w:rPr>
                <w:sz w:val="16"/>
                <w:szCs w:val="16"/>
              </w:rPr>
            </w:pPr>
            <w:r w:rsidRPr="006B42D6">
              <w:rPr>
                <w:sz w:val="16"/>
                <w:szCs w:val="16"/>
              </w:rPr>
              <w:t>7,319</w:t>
            </w:r>
          </w:p>
        </w:tc>
      </w:tr>
      <w:tr w:rsidR="006B42D6" w:rsidRPr="006B42D6" w14:paraId="1608F718" w14:textId="77777777" w:rsidTr="00D249A2">
        <w:trPr>
          <w:trHeight w:val="283"/>
        </w:trPr>
        <w:tc>
          <w:tcPr>
            <w:tcW w:w="0" w:type="auto"/>
            <w:tcBorders>
              <w:top w:val="nil"/>
              <w:left w:val="nil"/>
              <w:bottom w:val="nil"/>
            </w:tcBorders>
            <w:shd w:val="clear" w:color="auto" w:fill="auto"/>
            <w:noWrap/>
            <w:vAlign w:val="bottom"/>
            <w:hideMark/>
          </w:tcPr>
          <w:p w14:paraId="6856D098" w14:textId="6E205B9F" w:rsidR="00895A1D" w:rsidRPr="006B42D6" w:rsidRDefault="00895A1D" w:rsidP="00EF5C3C">
            <w:pPr>
              <w:jc w:val="left"/>
              <w:rPr>
                <w:sz w:val="16"/>
                <w:szCs w:val="16"/>
              </w:rPr>
            </w:pPr>
            <w:r w:rsidRPr="006B42D6">
              <w:rPr>
                <w:sz w:val="16"/>
                <w:szCs w:val="16"/>
              </w:rPr>
              <w:t>Arusha</w:t>
            </w:r>
          </w:p>
        </w:tc>
        <w:tc>
          <w:tcPr>
            <w:tcW w:w="0" w:type="auto"/>
            <w:tcBorders>
              <w:top w:val="nil"/>
              <w:bottom w:val="nil"/>
              <w:right w:val="nil"/>
            </w:tcBorders>
            <w:shd w:val="clear" w:color="auto" w:fill="auto"/>
            <w:noWrap/>
            <w:vAlign w:val="bottom"/>
            <w:hideMark/>
          </w:tcPr>
          <w:p w14:paraId="658D4762" w14:textId="35D166BD" w:rsidR="00895A1D" w:rsidRPr="006B42D6" w:rsidRDefault="00895A1D" w:rsidP="00895A1D">
            <w:pPr>
              <w:jc w:val="right"/>
              <w:rPr>
                <w:sz w:val="16"/>
                <w:szCs w:val="16"/>
              </w:rPr>
            </w:pPr>
            <w:r w:rsidRPr="006B42D6">
              <w:rPr>
                <w:sz w:val="16"/>
                <w:szCs w:val="16"/>
              </w:rPr>
              <w:t>22,216</w:t>
            </w:r>
          </w:p>
        </w:tc>
        <w:tc>
          <w:tcPr>
            <w:tcW w:w="0" w:type="auto"/>
            <w:tcBorders>
              <w:top w:val="nil"/>
              <w:left w:val="nil"/>
              <w:bottom w:val="nil"/>
              <w:right w:val="nil"/>
            </w:tcBorders>
            <w:shd w:val="clear" w:color="auto" w:fill="auto"/>
            <w:noWrap/>
            <w:vAlign w:val="bottom"/>
            <w:hideMark/>
          </w:tcPr>
          <w:p w14:paraId="77F87794" w14:textId="05F2D91A" w:rsidR="00895A1D" w:rsidRPr="006B42D6" w:rsidRDefault="00895A1D" w:rsidP="00895A1D">
            <w:pPr>
              <w:jc w:val="right"/>
              <w:rPr>
                <w:sz w:val="16"/>
                <w:szCs w:val="16"/>
              </w:rPr>
            </w:pPr>
            <w:r w:rsidRPr="006B42D6">
              <w:rPr>
                <w:sz w:val="16"/>
                <w:szCs w:val="16"/>
              </w:rPr>
              <w:t>3,671</w:t>
            </w:r>
          </w:p>
        </w:tc>
        <w:tc>
          <w:tcPr>
            <w:tcW w:w="0" w:type="auto"/>
            <w:tcBorders>
              <w:top w:val="nil"/>
              <w:left w:val="nil"/>
              <w:bottom w:val="nil"/>
              <w:right w:val="nil"/>
            </w:tcBorders>
            <w:shd w:val="clear" w:color="auto" w:fill="auto"/>
            <w:noWrap/>
            <w:vAlign w:val="bottom"/>
            <w:hideMark/>
          </w:tcPr>
          <w:p w14:paraId="12106812" w14:textId="45831311" w:rsidR="00895A1D" w:rsidRPr="006B42D6" w:rsidRDefault="00895A1D" w:rsidP="00895A1D">
            <w:pPr>
              <w:jc w:val="right"/>
              <w:rPr>
                <w:sz w:val="16"/>
                <w:szCs w:val="16"/>
              </w:rPr>
            </w:pPr>
            <w:r w:rsidRPr="006B42D6">
              <w:rPr>
                <w:sz w:val="16"/>
                <w:szCs w:val="16"/>
              </w:rPr>
              <w:t>23,396</w:t>
            </w:r>
          </w:p>
        </w:tc>
        <w:tc>
          <w:tcPr>
            <w:tcW w:w="0" w:type="auto"/>
            <w:tcBorders>
              <w:top w:val="nil"/>
              <w:left w:val="nil"/>
              <w:bottom w:val="nil"/>
              <w:right w:val="nil"/>
            </w:tcBorders>
            <w:shd w:val="clear" w:color="auto" w:fill="auto"/>
            <w:noWrap/>
            <w:vAlign w:val="bottom"/>
            <w:hideMark/>
          </w:tcPr>
          <w:p w14:paraId="1A754565" w14:textId="403E72AB" w:rsidR="00895A1D" w:rsidRPr="006B42D6" w:rsidRDefault="00895A1D" w:rsidP="00895A1D">
            <w:pPr>
              <w:jc w:val="right"/>
              <w:rPr>
                <w:sz w:val="16"/>
                <w:szCs w:val="16"/>
              </w:rPr>
            </w:pPr>
            <w:r w:rsidRPr="006B42D6">
              <w:rPr>
                <w:sz w:val="16"/>
                <w:szCs w:val="16"/>
              </w:rPr>
              <w:t>4,268</w:t>
            </w:r>
          </w:p>
        </w:tc>
        <w:tc>
          <w:tcPr>
            <w:tcW w:w="0" w:type="auto"/>
            <w:tcBorders>
              <w:top w:val="nil"/>
              <w:left w:val="nil"/>
              <w:bottom w:val="nil"/>
              <w:right w:val="nil"/>
            </w:tcBorders>
            <w:shd w:val="clear" w:color="auto" w:fill="auto"/>
            <w:noWrap/>
            <w:vAlign w:val="bottom"/>
            <w:hideMark/>
          </w:tcPr>
          <w:p w14:paraId="1FF3F8C7" w14:textId="445F280D" w:rsidR="00895A1D" w:rsidRPr="006B42D6" w:rsidRDefault="00895A1D" w:rsidP="00895A1D">
            <w:pPr>
              <w:jc w:val="right"/>
              <w:rPr>
                <w:sz w:val="16"/>
                <w:szCs w:val="16"/>
              </w:rPr>
            </w:pPr>
            <w:r w:rsidRPr="006B42D6">
              <w:rPr>
                <w:sz w:val="16"/>
                <w:szCs w:val="16"/>
              </w:rPr>
              <w:t>7,940</w:t>
            </w:r>
          </w:p>
        </w:tc>
        <w:tc>
          <w:tcPr>
            <w:tcW w:w="0" w:type="auto"/>
            <w:tcBorders>
              <w:top w:val="nil"/>
              <w:left w:val="nil"/>
              <w:bottom w:val="nil"/>
              <w:right w:val="nil"/>
            </w:tcBorders>
            <w:shd w:val="clear" w:color="auto" w:fill="auto"/>
            <w:noWrap/>
            <w:vAlign w:val="bottom"/>
            <w:hideMark/>
          </w:tcPr>
          <w:p w14:paraId="6D9BAFE6" w14:textId="6A6A7A13" w:rsidR="00895A1D" w:rsidRPr="006B42D6" w:rsidRDefault="00895A1D" w:rsidP="00895A1D">
            <w:pPr>
              <w:jc w:val="right"/>
              <w:rPr>
                <w:sz w:val="16"/>
                <w:szCs w:val="16"/>
              </w:rPr>
            </w:pPr>
            <w:r w:rsidRPr="006B42D6">
              <w:rPr>
                <w:sz w:val="16"/>
                <w:szCs w:val="16"/>
              </w:rPr>
              <w:t>5,962</w:t>
            </w:r>
          </w:p>
        </w:tc>
        <w:tc>
          <w:tcPr>
            <w:tcW w:w="0" w:type="auto"/>
            <w:tcBorders>
              <w:top w:val="nil"/>
              <w:left w:val="nil"/>
              <w:bottom w:val="nil"/>
              <w:right w:val="nil"/>
            </w:tcBorders>
            <w:shd w:val="clear" w:color="auto" w:fill="auto"/>
            <w:noWrap/>
            <w:vAlign w:val="bottom"/>
            <w:hideMark/>
          </w:tcPr>
          <w:p w14:paraId="08B800F2" w14:textId="7869EB5A" w:rsidR="00895A1D" w:rsidRPr="006B42D6" w:rsidRDefault="00895A1D" w:rsidP="00895A1D">
            <w:pPr>
              <w:jc w:val="right"/>
              <w:rPr>
                <w:sz w:val="16"/>
                <w:szCs w:val="16"/>
              </w:rPr>
            </w:pPr>
            <w:r w:rsidRPr="006B42D6">
              <w:rPr>
                <w:sz w:val="16"/>
                <w:szCs w:val="16"/>
              </w:rPr>
              <w:t>32,632</w:t>
            </w:r>
          </w:p>
        </w:tc>
      </w:tr>
      <w:tr w:rsidR="006B42D6" w:rsidRPr="006B42D6" w14:paraId="1F540EC2" w14:textId="77777777" w:rsidTr="00D249A2">
        <w:trPr>
          <w:trHeight w:val="283"/>
        </w:trPr>
        <w:tc>
          <w:tcPr>
            <w:tcW w:w="0" w:type="auto"/>
            <w:tcBorders>
              <w:top w:val="nil"/>
              <w:left w:val="nil"/>
              <w:bottom w:val="nil"/>
            </w:tcBorders>
            <w:shd w:val="clear" w:color="auto" w:fill="auto"/>
            <w:noWrap/>
            <w:vAlign w:val="bottom"/>
            <w:hideMark/>
          </w:tcPr>
          <w:p w14:paraId="70FC0984" w14:textId="517E0763" w:rsidR="00895A1D" w:rsidRPr="006B42D6" w:rsidRDefault="00895A1D" w:rsidP="00EF5C3C">
            <w:pPr>
              <w:jc w:val="left"/>
              <w:rPr>
                <w:sz w:val="16"/>
                <w:szCs w:val="16"/>
              </w:rPr>
            </w:pPr>
            <w:r w:rsidRPr="006B42D6">
              <w:rPr>
                <w:sz w:val="16"/>
                <w:szCs w:val="16"/>
              </w:rPr>
              <w:t>Kilimanjaro</w:t>
            </w:r>
          </w:p>
        </w:tc>
        <w:tc>
          <w:tcPr>
            <w:tcW w:w="0" w:type="auto"/>
            <w:tcBorders>
              <w:top w:val="nil"/>
              <w:bottom w:val="nil"/>
              <w:right w:val="nil"/>
            </w:tcBorders>
            <w:shd w:val="clear" w:color="auto" w:fill="auto"/>
            <w:noWrap/>
            <w:vAlign w:val="bottom"/>
            <w:hideMark/>
          </w:tcPr>
          <w:p w14:paraId="1005F6D4" w14:textId="711623F5" w:rsidR="00895A1D" w:rsidRPr="006B42D6" w:rsidRDefault="00895A1D" w:rsidP="00895A1D">
            <w:pPr>
              <w:jc w:val="right"/>
              <w:rPr>
                <w:sz w:val="16"/>
                <w:szCs w:val="16"/>
              </w:rPr>
            </w:pPr>
            <w:r w:rsidRPr="006B42D6">
              <w:rPr>
                <w:sz w:val="16"/>
                <w:szCs w:val="16"/>
              </w:rPr>
              <w:t>58,947</w:t>
            </w:r>
          </w:p>
        </w:tc>
        <w:tc>
          <w:tcPr>
            <w:tcW w:w="0" w:type="auto"/>
            <w:tcBorders>
              <w:top w:val="nil"/>
              <w:left w:val="nil"/>
              <w:bottom w:val="nil"/>
              <w:right w:val="nil"/>
            </w:tcBorders>
            <w:shd w:val="clear" w:color="auto" w:fill="auto"/>
            <w:noWrap/>
            <w:vAlign w:val="bottom"/>
            <w:hideMark/>
          </w:tcPr>
          <w:p w14:paraId="4FDAEFD1" w14:textId="19F476B2" w:rsidR="00895A1D" w:rsidRPr="006B42D6" w:rsidRDefault="00895A1D" w:rsidP="00895A1D">
            <w:pPr>
              <w:jc w:val="right"/>
              <w:rPr>
                <w:sz w:val="16"/>
                <w:szCs w:val="16"/>
              </w:rPr>
            </w:pPr>
            <w:r w:rsidRPr="006B42D6">
              <w:rPr>
                <w:sz w:val="16"/>
                <w:szCs w:val="16"/>
              </w:rPr>
              <w:t>17,688</w:t>
            </w:r>
          </w:p>
        </w:tc>
        <w:tc>
          <w:tcPr>
            <w:tcW w:w="0" w:type="auto"/>
            <w:tcBorders>
              <w:top w:val="nil"/>
              <w:left w:val="nil"/>
              <w:bottom w:val="nil"/>
              <w:right w:val="nil"/>
            </w:tcBorders>
            <w:shd w:val="clear" w:color="auto" w:fill="auto"/>
            <w:noWrap/>
            <w:vAlign w:val="bottom"/>
            <w:hideMark/>
          </w:tcPr>
          <w:p w14:paraId="1D2F05BC" w14:textId="3669BFDB" w:rsidR="00895A1D" w:rsidRPr="006B42D6" w:rsidRDefault="00895A1D" w:rsidP="00895A1D">
            <w:pPr>
              <w:jc w:val="right"/>
              <w:rPr>
                <w:sz w:val="16"/>
                <w:szCs w:val="16"/>
              </w:rPr>
            </w:pPr>
            <w:r w:rsidRPr="006B42D6">
              <w:rPr>
                <w:sz w:val="16"/>
                <w:szCs w:val="16"/>
              </w:rPr>
              <w:t>100,215</w:t>
            </w:r>
          </w:p>
        </w:tc>
        <w:tc>
          <w:tcPr>
            <w:tcW w:w="0" w:type="auto"/>
            <w:tcBorders>
              <w:top w:val="nil"/>
              <w:left w:val="nil"/>
              <w:bottom w:val="nil"/>
              <w:right w:val="nil"/>
            </w:tcBorders>
            <w:shd w:val="clear" w:color="auto" w:fill="auto"/>
            <w:noWrap/>
            <w:vAlign w:val="bottom"/>
            <w:hideMark/>
          </w:tcPr>
          <w:p w14:paraId="2FFBCAD9" w14:textId="0BA10D71" w:rsidR="00895A1D" w:rsidRPr="006B42D6" w:rsidRDefault="00895A1D" w:rsidP="00895A1D">
            <w:pPr>
              <w:jc w:val="right"/>
              <w:rPr>
                <w:sz w:val="16"/>
                <w:szCs w:val="16"/>
              </w:rPr>
            </w:pPr>
            <w:r w:rsidRPr="006B42D6">
              <w:rPr>
                <w:sz w:val="16"/>
                <w:szCs w:val="16"/>
              </w:rPr>
              <w:t>23,056</w:t>
            </w:r>
          </w:p>
        </w:tc>
        <w:tc>
          <w:tcPr>
            <w:tcW w:w="0" w:type="auto"/>
            <w:tcBorders>
              <w:top w:val="nil"/>
              <w:left w:val="nil"/>
              <w:bottom w:val="nil"/>
              <w:right w:val="nil"/>
            </w:tcBorders>
            <w:shd w:val="clear" w:color="auto" w:fill="auto"/>
            <w:noWrap/>
            <w:vAlign w:val="bottom"/>
            <w:hideMark/>
          </w:tcPr>
          <w:p w14:paraId="69A1C098" w14:textId="150BA695" w:rsidR="00895A1D" w:rsidRPr="006B42D6" w:rsidRDefault="00895A1D" w:rsidP="00895A1D">
            <w:pPr>
              <w:jc w:val="right"/>
              <w:rPr>
                <w:sz w:val="16"/>
                <w:szCs w:val="16"/>
              </w:rPr>
            </w:pPr>
            <w:r w:rsidRPr="006B42D6">
              <w:rPr>
                <w:sz w:val="16"/>
                <w:szCs w:val="16"/>
              </w:rPr>
              <w:t>40,744</w:t>
            </w:r>
          </w:p>
        </w:tc>
        <w:tc>
          <w:tcPr>
            <w:tcW w:w="0" w:type="auto"/>
            <w:tcBorders>
              <w:top w:val="nil"/>
              <w:left w:val="nil"/>
              <w:bottom w:val="nil"/>
              <w:right w:val="nil"/>
            </w:tcBorders>
            <w:shd w:val="clear" w:color="auto" w:fill="auto"/>
            <w:noWrap/>
            <w:vAlign w:val="bottom"/>
            <w:hideMark/>
          </w:tcPr>
          <w:p w14:paraId="7D667848" w14:textId="23AC2C35" w:rsidR="00895A1D" w:rsidRPr="006B42D6" w:rsidRDefault="00895A1D" w:rsidP="00895A1D">
            <w:pPr>
              <w:jc w:val="right"/>
              <w:rPr>
                <w:sz w:val="16"/>
                <w:szCs w:val="16"/>
              </w:rPr>
            </w:pPr>
            <w:r w:rsidRPr="006B42D6">
              <w:rPr>
                <w:sz w:val="16"/>
                <w:szCs w:val="16"/>
              </w:rPr>
              <w:t>34,705</w:t>
            </w:r>
          </w:p>
        </w:tc>
        <w:tc>
          <w:tcPr>
            <w:tcW w:w="0" w:type="auto"/>
            <w:tcBorders>
              <w:top w:val="nil"/>
              <w:left w:val="nil"/>
              <w:bottom w:val="nil"/>
              <w:right w:val="nil"/>
            </w:tcBorders>
            <w:shd w:val="clear" w:color="auto" w:fill="auto"/>
            <w:noWrap/>
            <w:vAlign w:val="bottom"/>
            <w:hideMark/>
          </w:tcPr>
          <w:p w14:paraId="5F216607" w14:textId="76A4E0D7" w:rsidR="00895A1D" w:rsidRPr="006B42D6" w:rsidRDefault="00895A1D" w:rsidP="00895A1D">
            <w:pPr>
              <w:jc w:val="right"/>
              <w:rPr>
                <w:sz w:val="16"/>
                <w:szCs w:val="16"/>
              </w:rPr>
            </w:pPr>
            <w:r w:rsidRPr="006B42D6">
              <w:rPr>
                <w:sz w:val="16"/>
                <w:szCs w:val="16"/>
              </w:rPr>
              <w:t>262,650</w:t>
            </w:r>
          </w:p>
        </w:tc>
      </w:tr>
      <w:tr w:rsidR="006B42D6" w:rsidRPr="006B42D6" w14:paraId="14C793F6" w14:textId="77777777" w:rsidTr="00D249A2">
        <w:trPr>
          <w:trHeight w:val="283"/>
        </w:trPr>
        <w:tc>
          <w:tcPr>
            <w:tcW w:w="0" w:type="auto"/>
            <w:tcBorders>
              <w:top w:val="nil"/>
              <w:left w:val="nil"/>
              <w:bottom w:val="nil"/>
            </w:tcBorders>
            <w:shd w:val="clear" w:color="auto" w:fill="auto"/>
            <w:noWrap/>
            <w:vAlign w:val="bottom"/>
            <w:hideMark/>
          </w:tcPr>
          <w:p w14:paraId="76C6F7BF" w14:textId="4EEE528B" w:rsidR="00895A1D" w:rsidRPr="006B42D6" w:rsidRDefault="00895A1D" w:rsidP="00EF5C3C">
            <w:pPr>
              <w:jc w:val="left"/>
              <w:rPr>
                <w:sz w:val="16"/>
                <w:szCs w:val="16"/>
              </w:rPr>
            </w:pPr>
            <w:r w:rsidRPr="006B42D6">
              <w:rPr>
                <w:sz w:val="16"/>
                <w:szCs w:val="16"/>
              </w:rPr>
              <w:t>Tanga</w:t>
            </w:r>
          </w:p>
        </w:tc>
        <w:tc>
          <w:tcPr>
            <w:tcW w:w="0" w:type="auto"/>
            <w:tcBorders>
              <w:top w:val="nil"/>
              <w:bottom w:val="nil"/>
              <w:right w:val="nil"/>
            </w:tcBorders>
            <w:shd w:val="clear" w:color="auto" w:fill="auto"/>
            <w:noWrap/>
            <w:vAlign w:val="bottom"/>
            <w:hideMark/>
          </w:tcPr>
          <w:p w14:paraId="4A1B6155" w14:textId="32229B04" w:rsidR="00895A1D" w:rsidRPr="006B42D6" w:rsidRDefault="00895A1D" w:rsidP="00895A1D">
            <w:pPr>
              <w:jc w:val="right"/>
              <w:rPr>
                <w:sz w:val="16"/>
                <w:szCs w:val="16"/>
              </w:rPr>
            </w:pPr>
            <w:r w:rsidRPr="006B42D6">
              <w:rPr>
                <w:sz w:val="16"/>
                <w:szCs w:val="16"/>
              </w:rPr>
              <w:t>28,817</w:t>
            </w:r>
          </w:p>
        </w:tc>
        <w:tc>
          <w:tcPr>
            <w:tcW w:w="0" w:type="auto"/>
            <w:tcBorders>
              <w:top w:val="nil"/>
              <w:left w:val="nil"/>
              <w:bottom w:val="nil"/>
              <w:right w:val="nil"/>
            </w:tcBorders>
            <w:shd w:val="clear" w:color="auto" w:fill="auto"/>
            <w:noWrap/>
            <w:vAlign w:val="bottom"/>
            <w:hideMark/>
          </w:tcPr>
          <w:p w14:paraId="1771D8F7" w14:textId="7AB07F8C" w:rsidR="00895A1D" w:rsidRPr="006B42D6" w:rsidRDefault="00895A1D" w:rsidP="00895A1D">
            <w:pPr>
              <w:jc w:val="right"/>
              <w:rPr>
                <w:sz w:val="16"/>
                <w:szCs w:val="16"/>
              </w:rPr>
            </w:pPr>
            <w:r w:rsidRPr="006B42D6">
              <w:rPr>
                <w:sz w:val="16"/>
                <w:szCs w:val="16"/>
              </w:rPr>
              <w:t>5,541</w:t>
            </w:r>
          </w:p>
        </w:tc>
        <w:tc>
          <w:tcPr>
            <w:tcW w:w="0" w:type="auto"/>
            <w:tcBorders>
              <w:top w:val="nil"/>
              <w:left w:val="nil"/>
              <w:bottom w:val="nil"/>
              <w:right w:val="nil"/>
            </w:tcBorders>
            <w:shd w:val="clear" w:color="auto" w:fill="auto"/>
            <w:noWrap/>
            <w:vAlign w:val="bottom"/>
            <w:hideMark/>
          </w:tcPr>
          <w:p w14:paraId="059D4277" w14:textId="63C9AB86" w:rsidR="00895A1D" w:rsidRPr="006B42D6" w:rsidRDefault="00895A1D" w:rsidP="00895A1D">
            <w:pPr>
              <w:jc w:val="right"/>
              <w:rPr>
                <w:sz w:val="16"/>
                <w:szCs w:val="16"/>
              </w:rPr>
            </w:pPr>
            <w:r w:rsidRPr="006B42D6">
              <w:rPr>
                <w:sz w:val="16"/>
                <w:szCs w:val="16"/>
              </w:rPr>
              <w:t>68,930</w:t>
            </w:r>
          </w:p>
        </w:tc>
        <w:tc>
          <w:tcPr>
            <w:tcW w:w="0" w:type="auto"/>
            <w:tcBorders>
              <w:top w:val="nil"/>
              <w:left w:val="nil"/>
              <w:bottom w:val="nil"/>
              <w:right w:val="nil"/>
            </w:tcBorders>
            <w:shd w:val="clear" w:color="auto" w:fill="auto"/>
            <w:noWrap/>
            <w:vAlign w:val="bottom"/>
            <w:hideMark/>
          </w:tcPr>
          <w:p w14:paraId="7D0B94B0" w14:textId="2F70E5E8" w:rsidR="00895A1D" w:rsidRPr="006B42D6" w:rsidRDefault="00895A1D" w:rsidP="00895A1D">
            <w:pPr>
              <w:jc w:val="right"/>
              <w:rPr>
                <w:sz w:val="16"/>
                <w:szCs w:val="16"/>
              </w:rPr>
            </w:pPr>
            <w:r w:rsidRPr="006B42D6">
              <w:rPr>
                <w:sz w:val="16"/>
                <w:szCs w:val="16"/>
              </w:rPr>
              <w:t>10,493</w:t>
            </w:r>
          </w:p>
        </w:tc>
        <w:tc>
          <w:tcPr>
            <w:tcW w:w="0" w:type="auto"/>
            <w:tcBorders>
              <w:top w:val="nil"/>
              <w:left w:val="nil"/>
              <w:bottom w:val="nil"/>
              <w:right w:val="nil"/>
            </w:tcBorders>
            <w:shd w:val="clear" w:color="auto" w:fill="auto"/>
            <w:noWrap/>
            <w:vAlign w:val="bottom"/>
            <w:hideMark/>
          </w:tcPr>
          <w:p w14:paraId="40540C63" w14:textId="7DFA2749" w:rsidR="00895A1D" w:rsidRPr="006B42D6" w:rsidRDefault="00895A1D" w:rsidP="00895A1D">
            <w:pPr>
              <w:jc w:val="right"/>
              <w:rPr>
                <w:sz w:val="16"/>
                <w:szCs w:val="16"/>
              </w:rPr>
            </w:pPr>
            <w:r w:rsidRPr="006B42D6">
              <w:rPr>
                <w:sz w:val="16"/>
                <w:szCs w:val="16"/>
              </w:rPr>
              <w:t>16,034</w:t>
            </w:r>
          </w:p>
        </w:tc>
        <w:tc>
          <w:tcPr>
            <w:tcW w:w="0" w:type="auto"/>
            <w:tcBorders>
              <w:top w:val="nil"/>
              <w:left w:val="nil"/>
              <w:bottom w:val="nil"/>
              <w:right w:val="nil"/>
            </w:tcBorders>
            <w:shd w:val="clear" w:color="auto" w:fill="auto"/>
            <w:noWrap/>
            <w:vAlign w:val="bottom"/>
            <w:hideMark/>
          </w:tcPr>
          <w:p w14:paraId="736C13E5" w14:textId="33D36154" w:rsidR="00895A1D" w:rsidRPr="006B42D6" w:rsidRDefault="00895A1D" w:rsidP="00895A1D">
            <w:pPr>
              <w:jc w:val="right"/>
              <w:rPr>
                <w:sz w:val="16"/>
                <w:szCs w:val="16"/>
              </w:rPr>
            </w:pPr>
            <w:r w:rsidRPr="006B42D6">
              <w:rPr>
                <w:sz w:val="16"/>
                <w:szCs w:val="16"/>
              </w:rPr>
              <w:t>12,044</w:t>
            </w:r>
          </w:p>
        </w:tc>
        <w:tc>
          <w:tcPr>
            <w:tcW w:w="0" w:type="auto"/>
            <w:tcBorders>
              <w:top w:val="nil"/>
              <w:left w:val="nil"/>
              <w:bottom w:val="nil"/>
              <w:right w:val="nil"/>
            </w:tcBorders>
            <w:shd w:val="clear" w:color="auto" w:fill="auto"/>
            <w:noWrap/>
            <w:vAlign w:val="bottom"/>
            <w:hideMark/>
          </w:tcPr>
          <w:p w14:paraId="1444218B" w14:textId="57980439" w:rsidR="00895A1D" w:rsidRPr="006B42D6" w:rsidRDefault="00895A1D" w:rsidP="00895A1D">
            <w:pPr>
              <w:jc w:val="right"/>
              <w:rPr>
                <w:sz w:val="16"/>
                <w:szCs w:val="16"/>
              </w:rPr>
            </w:pPr>
            <w:r w:rsidRPr="006B42D6">
              <w:rPr>
                <w:sz w:val="16"/>
                <w:szCs w:val="16"/>
              </w:rPr>
              <w:t>92,701</w:t>
            </w:r>
          </w:p>
        </w:tc>
      </w:tr>
      <w:tr w:rsidR="006B42D6" w:rsidRPr="006B42D6" w14:paraId="3A9BC0A7" w14:textId="77777777" w:rsidTr="00D249A2">
        <w:trPr>
          <w:trHeight w:val="283"/>
        </w:trPr>
        <w:tc>
          <w:tcPr>
            <w:tcW w:w="0" w:type="auto"/>
            <w:tcBorders>
              <w:top w:val="nil"/>
              <w:left w:val="nil"/>
              <w:bottom w:val="nil"/>
            </w:tcBorders>
            <w:shd w:val="clear" w:color="auto" w:fill="auto"/>
            <w:noWrap/>
            <w:vAlign w:val="bottom"/>
            <w:hideMark/>
          </w:tcPr>
          <w:p w14:paraId="4783FC43" w14:textId="119E383A" w:rsidR="00895A1D" w:rsidRPr="006B42D6" w:rsidRDefault="00895A1D" w:rsidP="00EF5C3C">
            <w:pPr>
              <w:jc w:val="left"/>
              <w:rPr>
                <w:sz w:val="16"/>
                <w:szCs w:val="16"/>
              </w:rPr>
            </w:pPr>
            <w:r w:rsidRPr="006B42D6">
              <w:rPr>
                <w:sz w:val="16"/>
                <w:szCs w:val="16"/>
              </w:rPr>
              <w:t>Morogoro</w:t>
            </w:r>
          </w:p>
        </w:tc>
        <w:tc>
          <w:tcPr>
            <w:tcW w:w="0" w:type="auto"/>
            <w:tcBorders>
              <w:top w:val="nil"/>
              <w:bottom w:val="nil"/>
              <w:right w:val="nil"/>
            </w:tcBorders>
            <w:shd w:val="clear" w:color="auto" w:fill="auto"/>
            <w:noWrap/>
            <w:vAlign w:val="bottom"/>
            <w:hideMark/>
          </w:tcPr>
          <w:p w14:paraId="2D718383" w14:textId="1EF1034C" w:rsidR="00895A1D" w:rsidRPr="006B42D6" w:rsidRDefault="00895A1D" w:rsidP="00895A1D">
            <w:pPr>
              <w:jc w:val="right"/>
              <w:rPr>
                <w:sz w:val="16"/>
                <w:szCs w:val="16"/>
              </w:rPr>
            </w:pPr>
            <w:r w:rsidRPr="006B42D6">
              <w:rPr>
                <w:sz w:val="16"/>
                <w:szCs w:val="16"/>
              </w:rPr>
              <w:t>30,494</w:t>
            </w:r>
          </w:p>
        </w:tc>
        <w:tc>
          <w:tcPr>
            <w:tcW w:w="0" w:type="auto"/>
            <w:tcBorders>
              <w:top w:val="nil"/>
              <w:left w:val="nil"/>
              <w:bottom w:val="nil"/>
              <w:right w:val="nil"/>
            </w:tcBorders>
            <w:shd w:val="clear" w:color="auto" w:fill="auto"/>
            <w:noWrap/>
            <w:vAlign w:val="bottom"/>
            <w:hideMark/>
          </w:tcPr>
          <w:p w14:paraId="76CF0504" w14:textId="7FE03A50" w:rsidR="00895A1D" w:rsidRPr="006B42D6" w:rsidRDefault="00895A1D" w:rsidP="00895A1D">
            <w:pPr>
              <w:jc w:val="right"/>
              <w:rPr>
                <w:sz w:val="16"/>
                <w:szCs w:val="16"/>
              </w:rPr>
            </w:pPr>
            <w:r w:rsidRPr="006B42D6">
              <w:rPr>
                <w:sz w:val="16"/>
                <w:szCs w:val="16"/>
              </w:rPr>
              <w:t>4,397</w:t>
            </w:r>
          </w:p>
        </w:tc>
        <w:tc>
          <w:tcPr>
            <w:tcW w:w="0" w:type="auto"/>
            <w:tcBorders>
              <w:top w:val="nil"/>
              <w:left w:val="nil"/>
              <w:bottom w:val="nil"/>
              <w:right w:val="nil"/>
            </w:tcBorders>
            <w:shd w:val="clear" w:color="auto" w:fill="auto"/>
            <w:noWrap/>
            <w:vAlign w:val="bottom"/>
            <w:hideMark/>
          </w:tcPr>
          <w:p w14:paraId="7F004EC7" w14:textId="6036B9D8" w:rsidR="00895A1D" w:rsidRPr="006B42D6" w:rsidRDefault="00895A1D" w:rsidP="00895A1D">
            <w:pPr>
              <w:jc w:val="right"/>
              <w:rPr>
                <w:sz w:val="16"/>
                <w:szCs w:val="16"/>
              </w:rPr>
            </w:pPr>
            <w:r w:rsidRPr="006B42D6">
              <w:rPr>
                <w:sz w:val="16"/>
                <w:szCs w:val="16"/>
              </w:rPr>
              <w:t>57,154</w:t>
            </w:r>
          </w:p>
        </w:tc>
        <w:tc>
          <w:tcPr>
            <w:tcW w:w="0" w:type="auto"/>
            <w:tcBorders>
              <w:top w:val="nil"/>
              <w:left w:val="nil"/>
              <w:bottom w:val="nil"/>
              <w:right w:val="nil"/>
            </w:tcBorders>
            <w:shd w:val="clear" w:color="auto" w:fill="auto"/>
            <w:noWrap/>
            <w:vAlign w:val="bottom"/>
            <w:hideMark/>
          </w:tcPr>
          <w:p w14:paraId="49DB30E3" w14:textId="2E1C6AED" w:rsidR="00895A1D" w:rsidRPr="006B42D6" w:rsidRDefault="00895A1D" w:rsidP="00895A1D">
            <w:pPr>
              <w:jc w:val="right"/>
              <w:rPr>
                <w:sz w:val="16"/>
                <w:szCs w:val="16"/>
              </w:rPr>
            </w:pPr>
            <w:r w:rsidRPr="006B42D6">
              <w:rPr>
                <w:sz w:val="16"/>
                <w:szCs w:val="16"/>
              </w:rPr>
              <w:t>8,197</w:t>
            </w:r>
          </w:p>
        </w:tc>
        <w:tc>
          <w:tcPr>
            <w:tcW w:w="0" w:type="auto"/>
            <w:tcBorders>
              <w:top w:val="nil"/>
              <w:left w:val="nil"/>
              <w:bottom w:val="nil"/>
              <w:right w:val="nil"/>
            </w:tcBorders>
            <w:shd w:val="clear" w:color="auto" w:fill="auto"/>
            <w:noWrap/>
            <w:vAlign w:val="bottom"/>
            <w:hideMark/>
          </w:tcPr>
          <w:p w14:paraId="78EF5365" w14:textId="6CC5FB81" w:rsidR="00895A1D" w:rsidRPr="006B42D6" w:rsidRDefault="00895A1D" w:rsidP="00895A1D">
            <w:pPr>
              <w:jc w:val="right"/>
              <w:rPr>
                <w:sz w:val="16"/>
                <w:szCs w:val="16"/>
              </w:rPr>
            </w:pPr>
            <w:r w:rsidRPr="006B42D6">
              <w:rPr>
                <w:sz w:val="16"/>
                <w:szCs w:val="16"/>
              </w:rPr>
              <w:t>12,594</w:t>
            </w:r>
          </w:p>
        </w:tc>
        <w:tc>
          <w:tcPr>
            <w:tcW w:w="0" w:type="auto"/>
            <w:tcBorders>
              <w:top w:val="nil"/>
              <w:left w:val="nil"/>
              <w:bottom w:val="nil"/>
              <w:right w:val="nil"/>
            </w:tcBorders>
            <w:shd w:val="clear" w:color="auto" w:fill="auto"/>
            <w:noWrap/>
            <w:vAlign w:val="bottom"/>
            <w:hideMark/>
          </w:tcPr>
          <w:p w14:paraId="105F4F38" w14:textId="191932C1" w:rsidR="00895A1D" w:rsidRPr="006B42D6" w:rsidRDefault="00895A1D" w:rsidP="00895A1D">
            <w:pPr>
              <w:jc w:val="right"/>
              <w:rPr>
                <w:sz w:val="16"/>
                <w:szCs w:val="16"/>
              </w:rPr>
            </w:pPr>
            <w:r w:rsidRPr="006B42D6">
              <w:rPr>
                <w:sz w:val="16"/>
                <w:szCs w:val="16"/>
              </w:rPr>
              <w:t>9,571</w:t>
            </w:r>
          </w:p>
        </w:tc>
        <w:tc>
          <w:tcPr>
            <w:tcW w:w="0" w:type="auto"/>
            <w:tcBorders>
              <w:top w:val="nil"/>
              <w:left w:val="nil"/>
              <w:bottom w:val="nil"/>
              <w:right w:val="nil"/>
            </w:tcBorders>
            <w:shd w:val="clear" w:color="auto" w:fill="auto"/>
            <w:noWrap/>
            <w:vAlign w:val="bottom"/>
            <w:hideMark/>
          </w:tcPr>
          <w:p w14:paraId="336EBED5" w14:textId="47CFFD84" w:rsidR="00895A1D" w:rsidRPr="006B42D6" w:rsidRDefault="00895A1D" w:rsidP="00895A1D">
            <w:pPr>
              <w:jc w:val="right"/>
              <w:rPr>
                <w:sz w:val="16"/>
                <w:szCs w:val="16"/>
              </w:rPr>
            </w:pPr>
            <w:r w:rsidRPr="006B42D6">
              <w:rPr>
                <w:sz w:val="16"/>
                <w:szCs w:val="16"/>
              </w:rPr>
              <w:t>92,917</w:t>
            </w:r>
          </w:p>
        </w:tc>
      </w:tr>
      <w:tr w:rsidR="006B42D6" w:rsidRPr="006B42D6" w14:paraId="25262335" w14:textId="77777777" w:rsidTr="00D249A2">
        <w:trPr>
          <w:trHeight w:val="283"/>
        </w:trPr>
        <w:tc>
          <w:tcPr>
            <w:tcW w:w="0" w:type="auto"/>
            <w:tcBorders>
              <w:top w:val="nil"/>
              <w:left w:val="nil"/>
              <w:bottom w:val="nil"/>
            </w:tcBorders>
            <w:shd w:val="clear" w:color="auto" w:fill="auto"/>
            <w:noWrap/>
            <w:vAlign w:val="bottom"/>
            <w:hideMark/>
          </w:tcPr>
          <w:p w14:paraId="043AA741" w14:textId="0A2BE5BA" w:rsidR="00895A1D" w:rsidRPr="006B42D6" w:rsidRDefault="00895A1D" w:rsidP="00EF5C3C">
            <w:pPr>
              <w:jc w:val="left"/>
              <w:rPr>
                <w:sz w:val="16"/>
                <w:szCs w:val="16"/>
              </w:rPr>
            </w:pPr>
            <w:r w:rsidRPr="006B42D6">
              <w:rPr>
                <w:sz w:val="16"/>
                <w:szCs w:val="16"/>
              </w:rPr>
              <w:t>Pwani</w:t>
            </w:r>
          </w:p>
        </w:tc>
        <w:tc>
          <w:tcPr>
            <w:tcW w:w="0" w:type="auto"/>
            <w:tcBorders>
              <w:top w:val="nil"/>
              <w:bottom w:val="nil"/>
              <w:right w:val="nil"/>
            </w:tcBorders>
            <w:shd w:val="clear" w:color="auto" w:fill="auto"/>
            <w:noWrap/>
            <w:vAlign w:val="bottom"/>
            <w:hideMark/>
          </w:tcPr>
          <w:p w14:paraId="592F2142" w14:textId="013BDCD6" w:rsidR="00895A1D" w:rsidRPr="006B42D6" w:rsidRDefault="00895A1D" w:rsidP="00895A1D">
            <w:pPr>
              <w:jc w:val="right"/>
              <w:rPr>
                <w:sz w:val="16"/>
                <w:szCs w:val="16"/>
              </w:rPr>
            </w:pPr>
            <w:r w:rsidRPr="006B42D6">
              <w:rPr>
                <w:sz w:val="16"/>
                <w:szCs w:val="16"/>
              </w:rPr>
              <w:t>8,628</w:t>
            </w:r>
          </w:p>
        </w:tc>
        <w:tc>
          <w:tcPr>
            <w:tcW w:w="0" w:type="auto"/>
            <w:tcBorders>
              <w:top w:val="nil"/>
              <w:left w:val="nil"/>
              <w:bottom w:val="nil"/>
              <w:right w:val="nil"/>
            </w:tcBorders>
            <w:shd w:val="clear" w:color="auto" w:fill="auto"/>
            <w:noWrap/>
            <w:vAlign w:val="bottom"/>
            <w:hideMark/>
          </w:tcPr>
          <w:p w14:paraId="001BC71C" w14:textId="6C16CD9E" w:rsidR="00895A1D" w:rsidRPr="006B42D6" w:rsidRDefault="00895A1D" w:rsidP="00895A1D">
            <w:pPr>
              <w:jc w:val="right"/>
              <w:rPr>
                <w:sz w:val="16"/>
                <w:szCs w:val="16"/>
              </w:rPr>
            </w:pPr>
            <w:r w:rsidRPr="006B42D6">
              <w:rPr>
                <w:sz w:val="16"/>
                <w:szCs w:val="16"/>
              </w:rPr>
              <w:t>1,909</w:t>
            </w:r>
          </w:p>
        </w:tc>
        <w:tc>
          <w:tcPr>
            <w:tcW w:w="0" w:type="auto"/>
            <w:tcBorders>
              <w:top w:val="nil"/>
              <w:left w:val="nil"/>
              <w:bottom w:val="nil"/>
              <w:right w:val="nil"/>
            </w:tcBorders>
            <w:shd w:val="clear" w:color="auto" w:fill="auto"/>
            <w:noWrap/>
            <w:vAlign w:val="bottom"/>
            <w:hideMark/>
          </w:tcPr>
          <w:p w14:paraId="44B22063" w14:textId="0FF46D3B" w:rsidR="00895A1D" w:rsidRPr="006B42D6" w:rsidRDefault="00895A1D" w:rsidP="00895A1D">
            <w:pPr>
              <w:jc w:val="right"/>
              <w:rPr>
                <w:sz w:val="16"/>
                <w:szCs w:val="16"/>
              </w:rPr>
            </w:pPr>
            <w:r w:rsidRPr="006B42D6">
              <w:rPr>
                <w:sz w:val="16"/>
                <w:szCs w:val="16"/>
              </w:rPr>
              <w:t>46,902</w:t>
            </w:r>
          </w:p>
        </w:tc>
        <w:tc>
          <w:tcPr>
            <w:tcW w:w="0" w:type="auto"/>
            <w:tcBorders>
              <w:top w:val="nil"/>
              <w:left w:val="nil"/>
              <w:bottom w:val="nil"/>
              <w:right w:val="nil"/>
            </w:tcBorders>
            <w:shd w:val="clear" w:color="auto" w:fill="auto"/>
            <w:noWrap/>
            <w:vAlign w:val="bottom"/>
            <w:hideMark/>
          </w:tcPr>
          <w:p w14:paraId="00915E0C" w14:textId="71B960A2" w:rsidR="00895A1D" w:rsidRPr="006B42D6" w:rsidRDefault="00895A1D" w:rsidP="00895A1D">
            <w:pPr>
              <w:jc w:val="right"/>
              <w:rPr>
                <w:sz w:val="16"/>
                <w:szCs w:val="16"/>
              </w:rPr>
            </w:pPr>
            <w:r w:rsidRPr="006B42D6">
              <w:rPr>
                <w:sz w:val="16"/>
                <w:szCs w:val="16"/>
              </w:rPr>
              <w:t>8,506</w:t>
            </w:r>
          </w:p>
        </w:tc>
        <w:tc>
          <w:tcPr>
            <w:tcW w:w="0" w:type="auto"/>
            <w:tcBorders>
              <w:top w:val="nil"/>
              <w:left w:val="nil"/>
              <w:bottom w:val="nil"/>
              <w:right w:val="nil"/>
            </w:tcBorders>
            <w:shd w:val="clear" w:color="auto" w:fill="auto"/>
            <w:noWrap/>
            <w:vAlign w:val="bottom"/>
            <w:hideMark/>
          </w:tcPr>
          <w:p w14:paraId="63D19952" w14:textId="46DDB26A" w:rsidR="00895A1D" w:rsidRPr="006B42D6" w:rsidRDefault="00895A1D" w:rsidP="00895A1D">
            <w:pPr>
              <w:jc w:val="right"/>
              <w:rPr>
                <w:sz w:val="16"/>
                <w:szCs w:val="16"/>
              </w:rPr>
            </w:pPr>
            <w:r w:rsidRPr="006B42D6">
              <w:rPr>
                <w:sz w:val="16"/>
                <w:szCs w:val="16"/>
              </w:rPr>
              <w:t>10,415</w:t>
            </w:r>
          </w:p>
        </w:tc>
        <w:tc>
          <w:tcPr>
            <w:tcW w:w="0" w:type="auto"/>
            <w:tcBorders>
              <w:top w:val="nil"/>
              <w:left w:val="nil"/>
              <w:bottom w:val="nil"/>
              <w:right w:val="nil"/>
            </w:tcBorders>
            <w:shd w:val="clear" w:color="auto" w:fill="auto"/>
            <w:noWrap/>
            <w:vAlign w:val="bottom"/>
            <w:hideMark/>
          </w:tcPr>
          <w:p w14:paraId="7AF3CA02" w14:textId="59881800" w:rsidR="00895A1D" w:rsidRPr="006B42D6" w:rsidRDefault="00895A1D" w:rsidP="00895A1D">
            <w:pPr>
              <w:jc w:val="right"/>
              <w:rPr>
                <w:sz w:val="16"/>
                <w:szCs w:val="16"/>
              </w:rPr>
            </w:pPr>
            <w:r w:rsidRPr="006B42D6">
              <w:rPr>
                <w:sz w:val="16"/>
                <w:szCs w:val="16"/>
              </w:rPr>
              <w:t>6,726</w:t>
            </w:r>
          </w:p>
        </w:tc>
        <w:tc>
          <w:tcPr>
            <w:tcW w:w="0" w:type="auto"/>
            <w:tcBorders>
              <w:top w:val="nil"/>
              <w:left w:val="nil"/>
              <w:bottom w:val="nil"/>
              <w:right w:val="nil"/>
            </w:tcBorders>
            <w:shd w:val="clear" w:color="auto" w:fill="auto"/>
            <w:noWrap/>
            <w:vAlign w:val="bottom"/>
            <w:hideMark/>
          </w:tcPr>
          <w:p w14:paraId="7599B79E" w14:textId="05027262" w:rsidR="00895A1D" w:rsidRPr="006B42D6" w:rsidRDefault="00895A1D" w:rsidP="00895A1D">
            <w:pPr>
              <w:jc w:val="right"/>
              <w:rPr>
                <w:sz w:val="16"/>
                <w:szCs w:val="16"/>
              </w:rPr>
            </w:pPr>
            <w:r w:rsidRPr="006B42D6">
              <w:rPr>
                <w:sz w:val="16"/>
                <w:szCs w:val="16"/>
              </w:rPr>
              <w:t>63,722</w:t>
            </w:r>
          </w:p>
        </w:tc>
      </w:tr>
      <w:tr w:rsidR="006B42D6" w:rsidRPr="006B42D6" w14:paraId="40EB3E59" w14:textId="77777777" w:rsidTr="00D249A2">
        <w:trPr>
          <w:trHeight w:val="283"/>
        </w:trPr>
        <w:tc>
          <w:tcPr>
            <w:tcW w:w="0" w:type="auto"/>
            <w:tcBorders>
              <w:top w:val="nil"/>
              <w:left w:val="nil"/>
              <w:bottom w:val="nil"/>
            </w:tcBorders>
            <w:shd w:val="clear" w:color="auto" w:fill="auto"/>
            <w:noWrap/>
            <w:vAlign w:val="bottom"/>
            <w:hideMark/>
          </w:tcPr>
          <w:p w14:paraId="43217701" w14:textId="3DD555A7" w:rsidR="00895A1D" w:rsidRPr="006B42D6" w:rsidRDefault="00895A1D" w:rsidP="00EF5C3C">
            <w:pPr>
              <w:jc w:val="left"/>
              <w:rPr>
                <w:sz w:val="16"/>
                <w:szCs w:val="16"/>
              </w:rPr>
            </w:pPr>
            <w:r w:rsidRPr="006B42D6">
              <w:rPr>
                <w:sz w:val="16"/>
                <w:szCs w:val="16"/>
              </w:rPr>
              <w:t>Dar Es Salaam</w:t>
            </w:r>
          </w:p>
        </w:tc>
        <w:tc>
          <w:tcPr>
            <w:tcW w:w="0" w:type="auto"/>
            <w:tcBorders>
              <w:top w:val="nil"/>
              <w:bottom w:val="nil"/>
              <w:right w:val="nil"/>
            </w:tcBorders>
            <w:shd w:val="clear" w:color="auto" w:fill="auto"/>
            <w:noWrap/>
            <w:vAlign w:val="bottom"/>
            <w:hideMark/>
          </w:tcPr>
          <w:p w14:paraId="75DF3787" w14:textId="51B8B3B1" w:rsidR="00895A1D" w:rsidRPr="006B42D6" w:rsidRDefault="00895A1D" w:rsidP="00895A1D">
            <w:pPr>
              <w:jc w:val="right"/>
              <w:rPr>
                <w:sz w:val="16"/>
                <w:szCs w:val="16"/>
              </w:rPr>
            </w:pPr>
            <w:r w:rsidRPr="006B42D6">
              <w:rPr>
                <w:sz w:val="16"/>
                <w:szCs w:val="16"/>
              </w:rPr>
              <w:t>94,863</w:t>
            </w:r>
          </w:p>
        </w:tc>
        <w:tc>
          <w:tcPr>
            <w:tcW w:w="0" w:type="auto"/>
            <w:tcBorders>
              <w:top w:val="nil"/>
              <w:left w:val="nil"/>
              <w:bottom w:val="nil"/>
              <w:right w:val="nil"/>
            </w:tcBorders>
            <w:shd w:val="clear" w:color="auto" w:fill="auto"/>
            <w:noWrap/>
            <w:vAlign w:val="bottom"/>
            <w:hideMark/>
          </w:tcPr>
          <w:p w14:paraId="0F6231E7" w14:textId="66BCBFDD" w:rsidR="00895A1D" w:rsidRPr="006B42D6" w:rsidRDefault="00895A1D" w:rsidP="00895A1D">
            <w:pPr>
              <w:jc w:val="right"/>
              <w:rPr>
                <w:sz w:val="16"/>
                <w:szCs w:val="16"/>
              </w:rPr>
            </w:pPr>
            <w:r w:rsidRPr="006B42D6">
              <w:rPr>
                <w:sz w:val="16"/>
                <w:szCs w:val="16"/>
              </w:rPr>
              <w:t>5,399</w:t>
            </w:r>
          </w:p>
        </w:tc>
        <w:tc>
          <w:tcPr>
            <w:tcW w:w="0" w:type="auto"/>
            <w:tcBorders>
              <w:top w:val="nil"/>
              <w:left w:val="nil"/>
              <w:bottom w:val="nil"/>
              <w:right w:val="nil"/>
            </w:tcBorders>
            <w:shd w:val="clear" w:color="auto" w:fill="auto"/>
            <w:noWrap/>
            <w:vAlign w:val="bottom"/>
            <w:hideMark/>
          </w:tcPr>
          <w:p w14:paraId="45212822" w14:textId="56A3746D" w:rsidR="00895A1D" w:rsidRPr="006B42D6" w:rsidRDefault="00895A1D" w:rsidP="00895A1D">
            <w:pPr>
              <w:jc w:val="right"/>
              <w:rPr>
                <w:sz w:val="16"/>
                <w:szCs w:val="16"/>
              </w:rPr>
            </w:pPr>
            <w:r w:rsidRPr="006B42D6">
              <w:rPr>
                <w:sz w:val="16"/>
                <w:szCs w:val="16"/>
              </w:rPr>
              <w:t>33,147</w:t>
            </w:r>
          </w:p>
        </w:tc>
        <w:tc>
          <w:tcPr>
            <w:tcW w:w="0" w:type="auto"/>
            <w:tcBorders>
              <w:top w:val="nil"/>
              <w:left w:val="nil"/>
              <w:bottom w:val="nil"/>
              <w:right w:val="nil"/>
            </w:tcBorders>
            <w:shd w:val="clear" w:color="auto" w:fill="auto"/>
            <w:noWrap/>
            <w:vAlign w:val="bottom"/>
            <w:hideMark/>
          </w:tcPr>
          <w:p w14:paraId="240D898E" w14:textId="0C0A1A91" w:rsidR="00895A1D" w:rsidRPr="006B42D6" w:rsidRDefault="00895A1D" w:rsidP="00895A1D">
            <w:pPr>
              <w:jc w:val="right"/>
              <w:rPr>
                <w:sz w:val="16"/>
                <w:szCs w:val="16"/>
              </w:rPr>
            </w:pPr>
            <w:r w:rsidRPr="006B42D6">
              <w:rPr>
                <w:sz w:val="16"/>
                <w:szCs w:val="16"/>
              </w:rPr>
              <w:t>2,574</w:t>
            </w:r>
          </w:p>
        </w:tc>
        <w:tc>
          <w:tcPr>
            <w:tcW w:w="0" w:type="auto"/>
            <w:tcBorders>
              <w:top w:val="nil"/>
              <w:left w:val="nil"/>
              <w:bottom w:val="nil"/>
              <w:right w:val="nil"/>
            </w:tcBorders>
            <w:shd w:val="clear" w:color="auto" w:fill="auto"/>
            <w:noWrap/>
            <w:vAlign w:val="bottom"/>
            <w:hideMark/>
          </w:tcPr>
          <w:p w14:paraId="3662C0F6" w14:textId="60AA599E" w:rsidR="00895A1D" w:rsidRPr="006B42D6" w:rsidRDefault="00895A1D" w:rsidP="00895A1D">
            <w:pPr>
              <w:jc w:val="right"/>
              <w:rPr>
                <w:sz w:val="16"/>
                <w:szCs w:val="16"/>
              </w:rPr>
            </w:pPr>
            <w:r w:rsidRPr="006B42D6">
              <w:rPr>
                <w:sz w:val="16"/>
                <w:szCs w:val="16"/>
              </w:rPr>
              <w:t>7,973</w:t>
            </w:r>
          </w:p>
        </w:tc>
        <w:tc>
          <w:tcPr>
            <w:tcW w:w="0" w:type="auto"/>
            <w:tcBorders>
              <w:top w:val="nil"/>
              <w:left w:val="nil"/>
              <w:bottom w:val="nil"/>
              <w:right w:val="nil"/>
            </w:tcBorders>
            <w:shd w:val="clear" w:color="auto" w:fill="auto"/>
            <w:noWrap/>
            <w:vAlign w:val="bottom"/>
            <w:hideMark/>
          </w:tcPr>
          <w:p w14:paraId="059175F0" w14:textId="7463DB9F" w:rsidR="00895A1D" w:rsidRPr="006B42D6" w:rsidRDefault="00895A1D" w:rsidP="00895A1D">
            <w:pPr>
              <w:jc w:val="right"/>
              <w:rPr>
                <w:sz w:val="16"/>
                <w:szCs w:val="16"/>
              </w:rPr>
            </w:pPr>
            <w:r w:rsidRPr="006B42D6">
              <w:rPr>
                <w:sz w:val="16"/>
                <w:szCs w:val="16"/>
              </w:rPr>
              <w:t>4,220</w:t>
            </w:r>
          </w:p>
        </w:tc>
        <w:tc>
          <w:tcPr>
            <w:tcW w:w="0" w:type="auto"/>
            <w:tcBorders>
              <w:top w:val="nil"/>
              <w:left w:val="nil"/>
              <w:bottom w:val="nil"/>
              <w:right w:val="nil"/>
            </w:tcBorders>
            <w:shd w:val="clear" w:color="auto" w:fill="auto"/>
            <w:noWrap/>
            <w:vAlign w:val="bottom"/>
            <w:hideMark/>
          </w:tcPr>
          <w:p w14:paraId="38662020" w14:textId="6E035186" w:rsidR="00895A1D" w:rsidRPr="006B42D6" w:rsidRDefault="00895A1D" w:rsidP="00895A1D">
            <w:pPr>
              <w:jc w:val="right"/>
              <w:rPr>
                <w:sz w:val="16"/>
                <w:szCs w:val="16"/>
              </w:rPr>
            </w:pPr>
            <w:r w:rsidRPr="006B42D6">
              <w:rPr>
                <w:sz w:val="16"/>
                <w:szCs w:val="16"/>
              </w:rPr>
              <w:t>28,758</w:t>
            </w:r>
          </w:p>
        </w:tc>
      </w:tr>
      <w:tr w:rsidR="006B42D6" w:rsidRPr="006B42D6" w14:paraId="580A069E" w14:textId="77777777" w:rsidTr="00D249A2">
        <w:trPr>
          <w:trHeight w:val="283"/>
        </w:trPr>
        <w:tc>
          <w:tcPr>
            <w:tcW w:w="0" w:type="auto"/>
            <w:tcBorders>
              <w:top w:val="nil"/>
              <w:left w:val="nil"/>
              <w:bottom w:val="nil"/>
            </w:tcBorders>
            <w:shd w:val="clear" w:color="auto" w:fill="auto"/>
            <w:noWrap/>
            <w:vAlign w:val="bottom"/>
            <w:hideMark/>
          </w:tcPr>
          <w:p w14:paraId="1BC3A431" w14:textId="0E5DAA29" w:rsidR="00895A1D" w:rsidRPr="006B42D6" w:rsidRDefault="00895A1D" w:rsidP="00EF5C3C">
            <w:pPr>
              <w:jc w:val="left"/>
              <w:rPr>
                <w:sz w:val="16"/>
                <w:szCs w:val="16"/>
              </w:rPr>
            </w:pPr>
            <w:r w:rsidRPr="006B42D6">
              <w:rPr>
                <w:sz w:val="16"/>
                <w:szCs w:val="16"/>
              </w:rPr>
              <w:t>Lindi</w:t>
            </w:r>
          </w:p>
        </w:tc>
        <w:tc>
          <w:tcPr>
            <w:tcW w:w="0" w:type="auto"/>
            <w:tcBorders>
              <w:top w:val="nil"/>
              <w:bottom w:val="nil"/>
              <w:right w:val="nil"/>
            </w:tcBorders>
            <w:shd w:val="clear" w:color="auto" w:fill="auto"/>
            <w:noWrap/>
            <w:vAlign w:val="bottom"/>
            <w:hideMark/>
          </w:tcPr>
          <w:p w14:paraId="3B7EA6B2" w14:textId="21842D92" w:rsidR="00895A1D" w:rsidRPr="006B42D6" w:rsidRDefault="00895A1D" w:rsidP="00895A1D">
            <w:pPr>
              <w:jc w:val="right"/>
              <w:rPr>
                <w:sz w:val="16"/>
                <w:szCs w:val="16"/>
              </w:rPr>
            </w:pPr>
            <w:r w:rsidRPr="006B42D6">
              <w:rPr>
                <w:sz w:val="16"/>
                <w:szCs w:val="16"/>
              </w:rPr>
              <w:t>8,028</w:t>
            </w:r>
          </w:p>
        </w:tc>
        <w:tc>
          <w:tcPr>
            <w:tcW w:w="0" w:type="auto"/>
            <w:tcBorders>
              <w:top w:val="nil"/>
              <w:left w:val="nil"/>
              <w:bottom w:val="nil"/>
              <w:right w:val="nil"/>
            </w:tcBorders>
            <w:shd w:val="clear" w:color="auto" w:fill="auto"/>
            <w:noWrap/>
            <w:vAlign w:val="bottom"/>
            <w:hideMark/>
          </w:tcPr>
          <w:p w14:paraId="04CDCBAA" w14:textId="16C497C9" w:rsidR="00895A1D" w:rsidRPr="006B42D6" w:rsidRDefault="00895A1D" w:rsidP="00895A1D">
            <w:pPr>
              <w:jc w:val="right"/>
              <w:rPr>
                <w:sz w:val="16"/>
                <w:szCs w:val="16"/>
              </w:rPr>
            </w:pPr>
            <w:r w:rsidRPr="006B42D6">
              <w:rPr>
                <w:sz w:val="16"/>
                <w:szCs w:val="16"/>
              </w:rPr>
              <w:t>7,181</w:t>
            </w:r>
          </w:p>
        </w:tc>
        <w:tc>
          <w:tcPr>
            <w:tcW w:w="0" w:type="auto"/>
            <w:tcBorders>
              <w:top w:val="nil"/>
              <w:left w:val="nil"/>
              <w:bottom w:val="nil"/>
              <w:right w:val="nil"/>
            </w:tcBorders>
            <w:shd w:val="clear" w:color="auto" w:fill="auto"/>
            <w:noWrap/>
            <w:vAlign w:val="bottom"/>
            <w:hideMark/>
          </w:tcPr>
          <w:p w14:paraId="660AF9CB" w14:textId="02538B71" w:rsidR="00895A1D" w:rsidRPr="006B42D6" w:rsidRDefault="00895A1D" w:rsidP="00895A1D">
            <w:pPr>
              <w:jc w:val="right"/>
              <w:rPr>
                <w:sz w:val="16"/>
                <w:szCs w:val="16"/>
              </w:rPr>
            </w:pPr>
            <w:r w:rsidRPr="006B42D6">
              <w:rPr>
                <w:sz w:val="16"/>
                <w:szCs w:val="16"/>
              </w:rPr>
              <w:t>3,838</w:t>
            </w:r>
          </w:p>
        </w:tc>
        <w:tc>
          <w:tcPr>
            <w:tcW w:w="0" w:type="auto"/>
            <w:tcBorders>
              <w:top w:val="nil"/>
              <w:left w:val="nil"/>
              <w:bottom w:val="nil"/>
              <w:right w:val="nil"/>
            </w:tcBorders>
            <w:shd w:val="clear" w:color="auto" w:fill="auto"/>
            <w:noWrap/>
            <w:vAlign w:val="bottom"/>
            <w:hideMark/>
          </w:tcPr>
          <w:p w14:paraId="4E1DD40F" w14:textId="1061B2A5" w:rsidR="00895A1D" w:rsidRPr="006B42D6" w:rsidRDefault="00895A1D" w:rsidP="00895A1D">
            <w:pPr>
              <w:jc w:val="right"/>
              <w:rPr>
                <w:sz w:val="16"/>
                <w:szCs w:val="16"/>
              </w:rPr>
            </w:pPr>
            <w:r w:rsidRPr="006B42D6">
              <w:rPr>
                <w:sz w:val="16"/>
                <w:szCs w:val="16"/>
              </w:rPr>
              <w:t>1,448</w:t>
            </w:r>
          </w:p>
        </w:tc>
        <w:tc>
          <w:tcPr>
            <w:tcW w:w="0" w:type="auto"/>
            <w:tcBorders>
              <w:top w:val="nil"/>
              <w:left w:val="nil"/>
              <w:bottom w:val="nil"/>
              <w:right w:val="nil"/>
            </w:tcBorders>
            <w:shd w:val="clear" w:color="auto" w:fill="auto"/>
            <w:noWrap/>
            <w:vAlign w:val="bottom"/>
            <w:hideMark/>
          </w:tcPr>
          <w:p w14:paraId="695D3231" w14:textId="5102358B" w:rsidR="00895A1D" w:rsidRPr="006B42D6" w:rsidRDefault="00895A1D" w:rsidP="00895A1D">
            <w:pPr>
              <w:jc w:val="right"/>
              <w:rPr>
                <w:sz w:val="16"/>
                <w:szCs w:val="16"/>
              </w:rPr>
            </w:pPr>
            <w:r w:rsidRPr="006B42D6">
              <w:rPr>
                <w:sz w:val="16"/>
                <w:szCs w:val="16"/>
              </w:rPr>
              <w:t>8,629</w:t>
            </w:r>
          </w:p>
        </w:tc>
        <w:tc>
          <w:tcPr>
            <w:tcW w:w="0" w:type="auto"/>
            <w:tcBorders>
              <w:top w:val="nil"/>
              <w:left w:val="nil"/>
              <w:bottom w:val="nil"/>
              <w:right w:val="nil"/>
            </w:tcBorders>
            <w:shd w:val="clear" w:color="auto" w:fill="auto"/>
            <w:noWrap/>
            <w:vAlign w:val="bottom"/>
            <w:hideMark/>
          </w:tcPr>
          <w:p w14:paraId="375B6D79" w14:textId="3CF548B1" w:rsidR="00895A1D" w:rsidRPr="006B42D6" w:rsidRDefault="00895A1D" w:rsidP="00895A1D">
            <w:pPr>
              <w:jc w:val="right"/>
              <w:rPr>
                <w:sz w:val="16"/>
                <w:szCs w:val="16"/>
              </w:rPr>
            </w:pPr>
            <w:r w:rsidRPr="006B42D6">
              <w:rPr>
                <w:sz w:val="16"/>
                <w:szCs w:val="16"/>
              </w:rPr>
              <w:t>2,449</w:t>
            </w:r>
          </w:p>
        </w:tc>
        <w:tc>
          <w:tcPr>
            <w:tcW w:w="0" w:type="auto"/>
            <w:tcBorders>
              <w:top w:val="nil"/>
              <w:left w:val="nil"/>
              <w:bottom w:val="nil"/>
              <w:right w:val="nil"/>
            </w:tcBorders>
            <w:shd w:val="clear" w:color="auto" w:fill="auto"/>
            <w:noWrap/>
            <w:vAlign w:val="bottom"/>
            <w:hideMark/>
          </w:tcPr>
          <w:p w14:paraId="49839578" w14:textId="7941370F" w:rsidR="00895A1D" w:rsidRPr="006B42D6" w:rsidRDefault="00895A1D" w:rsidP="00895A1D">
            <w:pPr>
              <w:jc w:val="right"/>
              <w:rPr>
                <w:sz w:val="16"/>
                <w:szCs w:val="16"/>
              </w:rPr>
            </w:pPr>
            <w:r w:rsidRPr="006B42D6">
              <w:rPr>
                <w:sz w:val="16"/>
                <w:szCs w:val="16"/>
              </w:rPr>
              <w:t>19,103</w:t>
            </w:r>
          </w:p>
        </w:tc>
      </w:tr>
      <w:tr w:rsidR="006B42D6" w:rsidRPr="006B42D6" w14:paraId="5AF4C2B6" w14:textId="77777777" w:rsidTr="00D249A2">
        <w:trPr>
          <w:trHeight w:val="283"/>
        </w:trPr>
        <w:tc>
          <w:tcPr>
            <w:tcW w:w="0" w:type="auto"/>
            <w:tcBorders>
              <w:top w:val="nil"/>
              <w:left w:val="nil"/>
              <w:bottom w:val="nil"/>
            </w:tcBorders>
            <w:shd w:val="clear" w:color="auto" w:fill="auto"/>
            <w:noWrap/>
            <w:vAlign w:val="bottom"/>
            <w:hideMark/>
          </w:tcPr>
          <w:p w14:paraId="13ACB611" w14:textId="023AF2BD" w:rsidR="00895A1D" w:rsidRPr="006B42D6" w:rsidRDefault="00895A1D" w:rsidP="00EF5C3C">
            <w:pPr>
              <w:jc w:val="left"/>
              <w:rPr>
                <w:sz w:val="16"/>
                <w:szCs w:val="16"/>
              </w:rPr>
            </w:pPr>
            <w:r w:rsidRPr="006B42D6">
              <w:rPr>
                <w:sz w:val="16"/>
                <w:szCs w:val="16"/>
              </w:rPr>
              <w:t>Mtwara</w:t>
            </w:r>
          </w:p>
        </w:tc>
        <w:tc>
          <w:tcPr>
            <w:tcW w:w="0" w:type="auto"/>
            <w:tcBorders>
              <w:top w:val="nil"/>
              <w:bottom w:val="nil"/>
              <w:right w:val="nil"/>
            </w:tcBorders>
            <w:shd w:val="clear" w:color="auto" w:fill="auto"/>
            <w:noWrap/>
            <w:vAlign w:val="bottom"/>
            <w:hideMark/>
          </w:tcPr>
          <w:p w14:paraId="63D15568" w14:textId="16E71E43" w:rsidR="00895A1D" w:rsidRPr="006B42D6" w:rsidRDefault="00895A1D" w:rsidP="00895A1D">
            <w:pPr>
              <w:jc w:val="right"/>
              <w:rPr>
                <w:sz w:val="16"/>
                <w:szCs w:val="16"/>
              </w:rPr>
            </w:pPr>
            <w:r w:rsidRPr="006B42D6">
              <w:rPr>
                <w:sz w:val="16"/>
                <w:szCs w:val="16"/>
              </w:rPr>
              <w:t>6,062</w:t>
            </w:r>
          </w:p>
        </w:tc>
        <w:tc>
          <w:tcPr>
            <w:tcW w:w="0" w:type="auto"/>
            <w:tcBorders>
              <w:top w:val="nil"/>
              <w:left w:val="nil"/>
              <w:bottom w:val="nil"/>
              <w:right w:val="nil"/>
            </w:tcBorders>
            <w:shd w:val="clear" w:color="auto" w:fill="auto"/>
            <w:noWrap/>
            <w:vAlign w:val="bottom"/>
            <w:hideMark/>
          </w:tcPr>
          <w:p w14:paraId="70C66F90" w14:textId="5183B5D0" w:rsidR="00895A1D" w:rsidRPr="006B42D6" w:rsidRDefault="00895A1D" w:rsidP="00895A1D">
            <w:pPr>
              <w:jc w:val="right"/>
              <w:rPr>
                <w:sz w:val="16"/>
                <w:szCs w:val="16"/>
              </w:rPr>
            </w:pPr>
            <w:r w:rsidRPr="006B42D6">
              <w:rPr>
                <w:sz w:val="16"/>
                <w:szCs w:val="16"/>
              </w:rPr>
              <w:t>602</w:t>
            </w:r>
          </w:p>
        </w:tc>
        <w:tc>
          <w:tcPr>
            <w:tcW w:w="0" w:type="auto"/>
            <w:tcBorders>
              <w:top w:val="nil"/>
              <w:left w:val="nil"/>
              <w:bottom w:val="nil"/>
              <w:right w:val="nil"/>
            </w:tcBorders>
            <w:shd w:val="clear" w:color="auto" w:fill="auto"/>
            <w:noWrap/>
            <w:vAlign w:val="bottom"/>
            <w:hideMark/>
          </w:tcPr>
          <w:p w14:paraId="07B2E007" w14:textId="4AF64E2F" w:rsidR="00895A1D" w:rsidRPr="006B42D6" w:rsidRDefault="00895A1D" w:rsidP="00895A1D">
            <w:pPr>
              <w:jc w:val="right"/>
              <w:rPr>
                <w:sz w:val="16"/>
                <w:szCs w:val="16"/>
              </w:rPr>
            </w:pPr>
            <w:r w:rsidRPr="006B42D6">
              <w:rPr>
                <w:sz w:val="16"/>
                <w:szCs w:val="16"/>
              </w:rPr>
              <w:t>16,624</w:t>
            </w:r>
          </w:p>
        </w:tc>
        <w:tc>
          <w:tcPr>
            <w:tcW w:w="0" w:type="auto"/>
            <w:tcBorders>
              <w:top w:val="nil"/>
              <w:left w:val="nil"/>
              <w:bottom w:val="nil"/>
              <w:right w:val="nil"/>
            </w:tcBorders>
            <w:shd w:val="clear" w:color="auto" w:fill="auto"/>
            <w:noWrap/>
            <w:vAlign w:val="bottom"/>
            <w:hideMark/>
          </w:tcPr>
          <w:p w14:paraId="744911A1" w14:textId="4B96C508" w:rsidR="00895A1D" w:rsidRPr="006B42D6" w:rsidRDefault="00895A1D" w:rsidP="00895A1D">
            <w:pPr>
              <w:jc w:val="right"/>
              <w:rPr>
                <w:sz w:val="16"/>
                <w:szCs w:val="16"/>
              </w:rPr>
            </w:pPr>
            <w:r w:rsidRPr="006B42D6">
              <w:rPr>
                <w:sz w:val="16"/>
                <w:szCs w:val="16"/>
              </w:rPr>
              <w:t>1,196</w:t>
            </w:r>
          </w:p>
        </w:tc>
        <w:tc>
          <w:tcPr>
            <w:tcW w:w="0" w:type="auto"/>
            <w:tcBorders>
              <w:top w:val="nil"/>
              <w:left w:val="nil"/>
              <w:bottom w:val="nil"/>
              <w:right w:val="nil"/>
            </w:tcBorders>
            <w:shd w:val="clear" w:color="auto" w:fill="auto"/>
            <w:noWrap/>
            <w:vAlign w:val="bottom"/>
            <w:hideMark/>
          </w:tcPr>
          <w:p w14:paraId="32364A52" w14:textId="28CF1AB5" w:rsidR="00895A1D" w:rsidRPr="006B42D6" w:rsidRDefault="00895A1D" w:rsidP="00895A1D">
            <w:pPr>
              <w:jc w:val="right"/>
              <w:rPr>
                <w:sz w:val="16"/>
                <w:szCs w:val="16"/>
              </w:rPr>
            </w:pPr>
            <w:r w:rsidRPr="006B42D6">
              <w:rPr>
                <w:sz w:val="16"/>
                <w:szCs w:val="16"/>
              </w:rPr>
              <w:t>1,798</w:t>
            </w:r>
          </w:p>
        </w:tc>
        <w:tc>
          <w:tcPr>
            <w:tcW w:w="0" w:type="auto"/>
            <w:tcBorders>
              <w:top w:val="nil"/>
              <w:left w:val="nil"/>
              <w:bottom w:val="nil"/>
              <w:right w:val="nil"/>
            </w:tcBorders>
            <w:shd w:val="clear" w:color="auto" w:fill="auto"/>
            <w:noWrap/>
            <w:vAlign w:val="bottom"/>
            <w:hideMark/>
          </w:tcPr>
          <w:p w14:paraId="67CDF6F1" w14:textId="3BB4D730" w:rsidR="00895A1D" w:rsidRPr="006B42D6" w:rsidRDefault="00895A1D" w:rsidP="00895A1D">
            <w:pPr>
              <w:jc w:val="right"/>
              <w:rPr>
                <w:sz w:val="16"/>
                <w:szCs w:val="16"/>
              </w:rPr>
            </w:pPr>
            <w:r w:rsidRPr="006B42D6">
              <w:rPr>
                <w:sz w:val="16"/>
                <w:szCs w:val="16"/>
              </w:rPr>
              <w:t>1,650</w:t>
            </w:r>
          </w:p>
        </w:tc>
        <w:tc>
          <w:tcPr>
            <w:tcW w:w="0" w:type="auto"/>
            <w:tcBorders>
              <w:top w:val="nil"/>
              <w:left w:val="nil"/>
              <w:bottom w:val="nil"/>
              <w:right w:val="nil"/>
            </w:tcBorders>
            <w:shd w:val="clear" w:color="auto" w:fill="auto"/>
            <w:noWrap/>
            <w:vAlign w:val="bottom"/>
            <w:hideMark/>
          </w:tcPr>
          <w:p w14:paraId="63875C82" w14:textId="37A24480" w:rsidR="00895A1D" w:rsidRPr="006B42D6" w:rsidRDefault="00895A1D" w:rsidP="00895A1D">
            <w:pPr>
              <w:jc w:val="right"/>
              <w:rPr>
                <w:sz w:val="16"/>
                <w:szCs w:val="16"/>
              </w:rPr>
            </w:pPr>
            <w:r w:rsidRPr="006B42D6">
              <w:rPr>
                <w:sz w:val="16"/>
                <w:szCs w:val="16"/>
              </w:rPr>
              <w:t>10,204</w:t>
            </w:r>
          </w:p>
        </w:tc>
      </w:tr>
      <w:tr w:rsidR="006B42D6" w:rsidRPr="006B42D6" w14:paraId="5D6DD0CD" w14:textId="77777777" w:rsidTr="00D249A2">
        <w:trPr>
          <w:trHeight w:val="283"/>
        </w:trPr>
        <w:tc>
          <w:tcPr>
            <w:tcW w:w="0" w:type="auto"/>
            <w:tcBorders>
              <w:top w:val="nil"/>
              <w:left w:val="nil"/>
              <w:bottom w:val="nil"/>
            </w:tcBorders>
            <w:shd w:val="clear" w:color="auto" w:fill="auto"/>
            <w:noWrap/>
            <w:vAlign w:val="bottom"/>
            <w:hideMark/>
          </w:tcPr>
          <w:p w14:paraId="7ADEB800" w14:textId="61C10C8B" w:rsidR="00895A1D" w:rsidRPr="006B42D6" w:rsidRDefault="00895A1D" w:rsidP="00EF5C3C">
            <w:pPr>
              <w:jc w:val="left"/>
              <w:rPr>
                <w:sz w:val="16"/>
                <w:szCs w:val="16"/>
              </w:rPr>
            </w:pPr>
            <w:r w:rsidRPr="006B42D6">
              <w:rPr>
                <w:sz w:val="16"/>
                <w:szCs w:val="16"/>
              </w:rPr>
              <w:t>Ruvuma</w:t>
            </w:r>
          </w:p>
        </w:tc>
        <w:tc>
          <w:tcPr>
            <w:tcW w:w="0" w:type="auto"/>
            <w:tcBorders>
              <w:top w:val="nil"/>
              <w:bottom w:val="nil"/>
              <w:right w:val="nil"/>
            </w:tcBorders>
            <w:shd w:val="clear" w:color="auto" w:fill="auto"/>
            <w:noWrap/>
            <w:vAlign w:val="bottom"/>
            <w:hideMark/>
          </w:tcPr>
          <w:p w14:paraId="4D45C9D1" w14:textId="6CA7F15D" w:rsidR="00895A1D" w:rsidRPr="006B42D6" w:rsidRDefault="00895A1D" w:rsidP="00895A1D">
            <w:pPr>
              <w:jc w:val="right"/>
              <w:rPr>
                <w:sz w:val="16"/>
                <w:szCs w:val="16"/>
              </w:rPr>
            </w:pPr>
            <w:r w:rsidRPr="006B42D6">
              <w:rPr>
                <w:sz w:val="16"/>
                <w:szCs w:val="16"/>
              </w:rPr>
              <w:t>13,185</w:t>
            </w:r>
          </w:p>
        </w:tc>
        <w:tc>
          <w:tcPr>
            <w:tcW w:w="0" w:type="auto"/>
            <w:tcBorders>
              <w:top w:val="nil"/>
              <w:left w:val="nil"/>
              <w:bottom w:val="nil"/>
              <w:right w:val="nil"/>
            </w:tcBorders>
            <w:shd w:val="clear" w:color="auto" w:fill="auto"/>
            <w:noWrap/>
            <w:vAlign w:val="bottom"/>
            <w:hideMark/>
          </w:tcPr>
          <w:p w14:paraId="095C2D79" w14:textId="0B9B7190" w:rsidR="00895A1D" w:rsidRPr="006B42D6" w:rsidRDefault="00895A1D" w:rsidP="00895A1D">
            <w:pPr>
              <w:jc w:val="right"/>
              <w:rPr>
                <w:sz w:val="16"/>
                <w:szCs w:val="16"/>
              </w:rPr>
            </w:pPr>
            <w:r w:rsidRPr="006B42D6">
              <w:rPr>
                <w:sz w:val="16"/>
                <w:szCs w:val="16"/>
              </w:rPr>
              <w:t>2,565</w:t>
            </w:r>
          </w:p>
        </w:tc>
        <w:tc>
          <w:tcPr>
            <w:tcW w:w="0" w:type="auto"/>
            <w:tcBorders>
              <w:top w:val="nil"/>
              <w:left w:val="nil"/>
              <w:bottom w:val="nil"/>
              <w:right w:val="nil"/>
            </w:tcBorders>
            <w:shd w:val="clear" w:color="auto" w:fill="auto"/>
            <w:noWrap/>
            <w:vAlign w:val="bottom"/>
            <w:hideMark/>
          </w:tcPr>
          <w:p w14:paraId="30492691" w14:textId="3B7C53BB" w:rsidR="00895A1D" w:rsidRPr="006B42D6" w:rsidRDefault="00895A1D" w:rsidP="00895A1D">
            <w:pPr>
              <w:jc w:val="right"/>
              <w:rPr>
                <w:sz w:val="16"/>
                <w:szCs w:val="16"/>
              </w:rPr>
            </w:pPr>
            <w:r w:rsidRPr="006B42D6">
              <w:rPr>
                <w:sz w:val="16"/>
                <w:szCs w:val="16"/>
              </w:rPr>
              <w:t>45,752</w:t>
            </w:r>
          </w:p>
        </w:tc>
        <w:tc>
          <w:tcPr>
            <w:tcW w:w="0" w:type="auto"/>
            <w:tcBorders>
              <w:top w:val="nil"/>
              <w:left w:val="nil"/>
              <w:bottom w:val="nil"/>
              <w:right w:val="nil"/>
            </w:tcBorders>
            <w:shd w:val="clear" w:color="auto" w:fill="auto"/>
            <w:noWrap/>
            <w:vAlign w:val="bottom"/>
            <w:hideMark/>
          </w:tcPr>
          <w:p w14:paraId="01595794" w14:textId="7391BC27" w:rsidR="00895A1D" w:rsidRPr="006B42D6" w:rsidRDefault="00895A1D" w:rsidP="00895A1D">
            <w:pPr>
              <w:jc w:val="right"/>
              <w:rPr>
                <w:sz w:val="16"/>
                <w:szCs w:val="16"/>
              </w:rPr>
            </w:pPr>
            <w:r w:rsidRPr="006B42D6">
              <w:rPr>
                <w:sz w:val="16"/>
                <w:szCs w:val="16"/>
              </w:rPr>
              <w:t>3,932</w:t>
            </w:r>
          </w:p>
        </w:tc>
        <w:tc>
          <w:tcPr>
            <w:tcW w:w="0" w:type="auto"/>
            <w:tcBorders>
              <w:top w:val="nil"/>
              <w:left w:val="nil"/>
              <w:bottom w:val="nil"/>
              <w:right w:val="nil"/>
            </w:tcBorders>
            <w:shd w:val="clear" w:color="auto" w:fill="auto"/>
            <w:noWrap/>
            <w:vAlign w:val="bottom"/>
            <w:hideMark/>
          </w:tcPr>
          <w:p w14:paraId="5B818681" w14:textId="54BAF396" w:rsidR="00895A1D" w:rsidRPr="006B42D6" w:rsidRDefault="00895A1D" w:rsidP="00895A1D">
            <w:pPr>
              <w:jc w:val="right"/>
              <w:rPr>
                <w:sz w:val="16"/>
                <w:szCs w:val="16"/>
              </w:rPr>
            </w:pPr>
            <w:r w:rsidRPr="006B42D6">
              <w:rPr>
                <w:sz w:val="16"/>
                <w:szCs w:val="16"/>
              </w:rPr>
              <w:t>6,497</w:t>
            </w:r>
          </w:p>
        </w:tc>
        <w:tc>
          <w:tcPr>
            <w:tcW w:w="0" w:type="auto"/>
            <w:tcBorders>
              <w:top w:val="nil"/>
              <w:left w:val="nil"/>
              <w:bottom w:val="nil"/>
              <w:right w:val="nil"/>
            </w:tcBorders>
            <w:shd w:val="clear" w:color="auto" w:fill="auto"/>
            <w:noWrap/>
            <w:vAlign w:val="bottom"/>
            <w:hideMark/>
          </w:tcPr>
          <w:p w14:paraId="1311F67B" w14:textId="11D5982E" w:rsidR="00895A1D" w:rsidRPr="006B42D6" w:rsidRDefault="00895A1D" w:rsidP="00895A1D">
            <w:pPr>
              <w:jc w:val="right"/>
              <w:rPr>
                <w:sz w:val="16"/>
                <w:szCs w:val="16"/>
              </w:rPr>
            </w:pPr>
            <w:r w:rsidRPr="006B42D6">
              <w:rPr>
                <w:sz w:val="16"/>
                <w:szCs w:val="16"/>
              </w:rPr>
              <w:t>3,630</w:t>
            </w:r>
          </w:p>
        </w:tc>
        <w:tc>
          <w:tcPr>
            <w:tcW w:w="0" w:type="auto"/>
            <w:tcBorders>
              <w:top w:val="nil"/>
              <w:left w:val="nil"/>
              <w:bottom w:val="nil"/>
              <w:right w:val="nil"/>
            </w:tcBorders>
            <w:shd w:val="clear" w:color="auto" w:fill="auto"/>
            <w:noWrap/>
            <w:vAlign w:val="bottom"/>
            <w:hideMark/>
          </w:tcPr>
          <w:p w14:paraId="3329960A" w14:textId="735B36DB" w:rsidR="00895A1D" w:rsidRPr="006B42D6" w:rsidRDefault="00895A1D" w:rsidP="00895A1D">
            <w:pPr>
              <w:jc w:val="right"/>
              <w:rPr>
                <w:sz w:val="16"/>
                <w:szCs w:val="16"/>
              </w:rPr>
            </w:pPr>
            <w:r w:rsidRPr="006B42D6">
              <w:rPr>
                <w:sz w:val="16"/>
                <w:szCs w:val="16"/>
              </w:rPr>
              <w:t>32,606</w:t>
            </w:r>
          </w:p>
        </w:tc>
      </w:tr>
      <w:tr w:rsidR="006B42D6" w:rsidRPr="006B42D6" w14:paraId="5B394C98" w14:textId="77777777" w:rsidTr="00D249A2">
        <w:trPr>
          <w:trHeight w:val="283"/>
        </w:trPr>
        <w:tc>
          <w:tcPr>
            <w:tcW w:w="0" w:type="auto"/>
            <w:tcBorders>
              <w:top w:val="nil"/>
              <w:left w:val="nil"/>
              <w:bottom w:val="nil"/>
            </w:tcBorders>
            <w:shd w:val="clear" w:color="auto" w:fill="auto"/>
            <w:noWrap/>
            <w:vAlign w:val="bottom"/>
            <w:hideMark/>
          </w:tcPr>
          <w:p w14:paraId="58F03A23" w14:textId="34894986" w:rsidR="00895A1D" w:rsidRPr="006B42D6" w:rsidRDefault="00895A1D" w:rsidP="00EF5C3C">
            <w:pPr>
              <w:jc w:val="left"/>
              <w:rPr>
                <w:sz w:val="16"/>
                <w:szCs w:val="16"/>
              </w:rPr>
            </w:pPr>
            <w:r w:rsidRPr="006B42D6">
              <w:rPr>
                <w:sz w:val="16"/>
                <w:szCs w:val="16"/>
              </w:rPr>
              <w:t>Iringa</w:t>
            </w:r>
          </w:p>
        </w:tc>
        <w:tc>
          <w:tcPr>
            <w:tcW w:w="0" w:type="auto"/>
            <w:tcBorders>
              <w:top w:val="nil"/>
              <w:bottom w:val="nil"/>
              <w:right w:val="nil"/>
            </w:tcBorders>
            <w:shd w:val="clear" w:color="auto" w:fill="auto"/>
            <w:noWrap/>
            <w:vAlign w:val="bottom"/>
            <w:hideMark/>
          </w:tcPr>
          <w:p w14:paraId="12F33F9D" w14:textId="7BE8B6A7" w:rsidR="00895A1D" w:rsidRPr="006B42D6" w:rsidRDefault="00895A1D" w:rsidP="00895A1D">
            <w:pPr>
              <w:jc w:val="right"/>
              <w:rPr>
                <w:sz w:val="16"/>
                <w:szCs w:val="16"/>
              </w:rPr>
            </w:pPr>
            <w:r w:rsidRPr="006B42D6">
              <w:rPr>
                <w:sz w:val="16"/>
                <w:szCs w:val="16"/>
              </w:rPr>
              <w:t>1,909</w:t>
            </w:r>
          </w:p>
        </w:tc>
        <w:tc>
          <w:tcPr>
            <w:tcW w:w="0" w:type="auto"/>
            <w:tcBorders>
              <w:top w:val="nil"/>
              <w:left w:val="nil"/>
              <w:bottom w:val="nil"/>
              <w:right w:val="nil"/>
            </w:tcBorders>
            <w:shd w:val="clear" w:color="auto" w:fill="auto"/>
            <w:noWrap/>
            <w:vAlign w:val="bottom"/>
            <w:hideMark/>
          </w:tcPr>
          <w:p w14:paraId="18DC16EC" w14:textId="00A95D4F" w:rsidR="00895A1D" w:rsidRPr="006B42D6" w:rsidRDefault="00895A1D" w:rsidP="00895A1D">
            <w:pPr>
              <w:jc w:val="right"/>
              <w:rPr>
                <w:sz w:val="16"/>
                <w:szCs w:val="16"/>
              </w:rPr>
            </w:pPr>
            <w:r w:rsidRPr="006B42D6">
              <w:rPr>
                <w:sz w:val="16"/>
                <w:szCs w:val="16"/>
              </w:rPr>
              <w:t>230</w:t>
            </w:r>
          </w:p>
        </w:tc>
        <w:tc>
          <w:tcPr>
            <w:tcW w:w="0" w:type="auto"/>
            <w:tcBorders>
              <w:top w:val="nil"/>
              <w:left w:val="nil"/>
              <w:bottom w:val="nil"/>
              <w:right w:val="nil"/>
            </w:tcBorders>
            <w:shd w:val="clear" w:color="auto" w:fill="auto"/>
            <w:noWrap/>
            <w:vAlign w:val="bottom"/>
            <w:hideMark/>
          </w:tcPr>
          <w:p w14:paraId="4E6807A4" w14:textId="09DD4E5C" w:rsidR="00895A1D" w:rsidRPr="006B42D6" w:rsidRDefault="00895A1D" w:rsidP="00895A1D">
            <w:pPr>
              <w:jc w:val="right"/>
              <w:rPr>
                <w:sz w:val="16"/>
                <w:szCs w:val="16"/>
              </w:rPr>
            </w:pPr>
            <w:r w:rsidRPr="006B42D6">
              <w:rPr>
                <w:sz w:val="16"/>
                <w:szCs w:val="16"/>
              </w:rPr>
              <w:t>46,295</w:t>
            </w:r>
          </w:p>
        </w:tc>
        <w:tc>
          <w:tcPr>
            <w:tcW w:w="0" w:type="auto"/>
            <w:tcBorders>
              <w:top w:val="nil"/>
              <w:left w:val="nil"/>
              <w:bottom w:val="nil"/>
              <w:right w:val="nil"/>
            </w:tcBorders>
            <w:shd w:val="clear" w:color="auto" w:fill="auto"/>
            <w:noWrap/>
            <w:vAlign w:val="bottom"/>
            <w:hideMark/>
          </w:tcPr>
          <w:p w14:paraId="07FA095B" w14:textId="36188D05" w:rsidR="00895A1D" w:rsidRPr="006B42D6" w:rsidRDefault="00895A1D" w:rsidP="00895A1D">
            <w:pPr>
              <w:jc w:val="right"/>
              <w:rPr>
                <w:sz w:val="16"/>
                <w:szCs w:val="16"/>
              </w:rPr>
            </w:pPr>
            <w:r w:rsidRPr="006B42D6">
              <w:rPr>
                <w:sz w:val="16"/>
                <w:szCs w:val="16"/>
              </w:rPr>
              <w:t>1,344</w:t>
            </w:r>
          </w:p>
        </w:tc>
        <w:tc>
          <w:tcPr>
            <w:tcW w:w="0" w:type="auto"/>
            <w:tcBorders>
              <w:top w:val="nil"/>
              <w:left w:val="nil"/>
              <w:bottom w:val="nil"/>
              <w:right w:val="nil"/>
            </w:tcBorders>
            <w:shd w:val="clear" w:color="auto" w:fill="auto"/>
            <w:noWrap/>
            <w:vAlign w:val="bottom"/>
            <w:hideMark/>
          </w:tcPr>
          <w:p w14:paraId="1E459551" w14:textId="3F3513D3" w:rsidR="00895A1D" w:rsidRPr="006B42D6" w:rsidRDefault="00895A1D" w:rsidP="00895A1D">
            <w:pPr>
              <w:jc w:val="right"/>
              <w:rPr>
                <w:sz w:val="16"/>
                <w:szCs w:val="16"/>
              </w:rPr>
            </w:pPr>
            <w:r w:rsidRPr="006B42D6">
              <w:rPr>
                <w:sz w:val="16"/>
                <w:szCs w:val="16"/>
              </w:rPr>
              <w:t>1,574</w:t>
            </w:r>
          </w:p>
        </w:tc>
        <w:tc>
          <w:tcPr>
            <w:tcW w:w="0" w:type="auto"/>
            <w:tcBorders>
              <w:top w:val="nil"/>
              <w:left w:val="nil"/>
              <w:bottom w:val="nil"/>
              <w:right w:val="nil"/>
            </w:tcBorders>
            <w:shd w:val="clear" w:color="auto" w:fill="auto"/>
            <w:noWrap/>
            <w:vAlign w:val="bottom"/>
            <w:hideMark/>
          </w:tcPr>
          <w:p w14:paraId="6E7E132C" w14:textId="1217A772" w:rsidR="00895A1D" w:rsidRPr="006B42D6" w:rsidRDefault="00895A1D" w:rsidP="00895A1D">
            <w:pPr>
              <w:jc w:val="right"/>
              <w:rPr>
                <w:sz w:val="16"/>
                <w:szCs w:val="16"/>
              </w:rPr>
            </w:pPr>
            <w:r w:rsidRPr="006B42D6">
              <w:rPr>
                <w:sz w:val="16"/>
                <w:szCs w:val="16"/>
              </w:rPr>
              <w:t>439</w:t>
            </w:r>
          </w:p>
        </w:tc>
        <w:tc>
          <w:tcPr>
            <w:tcW w:w="0" w:type="auto"/>
            <w:tcBorders>
              <w:top w:val="nil"/>
              <w:left w:val="nil"/>
              <w:bottom w:val="nil"/>
              <w:right w:val="nil"/>
            </w:tcBorders>
            <w:shd w:val="clear" w:color="auto" w:fill="auto"/>
            <w:noWrap/>
            <w:vAlign w:val="bottom"/>
            <w:hideMark/>
          </w:tcPr>
          <w:p w14:paraId="75B27B83" w14:textId="279BA053" w:rsidR="00895A1D" w:rsidRPr="006B42D6" w:rsidRDefault="00895A1D" w:rsidP="00895A1D">
            <w:pPr>
              <w:jc w:val="right"/>
              <w:rPr>
                <w:sz w:val="16"/>
                <w:szCs w:val="16"/>
              </w:rPr>
            </w:pPr>
            <w:r w:rsidRPr="006B42D6">
              <w:rPr>
                <w:sz w:val="16"/>
                <w:szCs w:val="16"/>
              </w:rPr>
              <w:t>6,654</w:t>
            </w:r>
          </w:p>
        </w:tc>
      </w:tr>
      <w:tr w:rsidR="006B42D6" w:rsidRPr="006B42D6" w14:paraId="45547AF9" w14:textId="77777777" w:rsidTr="00D249A2">
        <w:trPr>
          <w:trHeight w:val="283"/>
        </w:trPr>
        <w:tc>
          <w:tcPr>
            <w:tcW w:w="0" w:type="auto"/>
            <w:tcBorders>
              <w:top w:val="nil"/>
              <w:left w:val="nil"/>
              <w:bottom w:val="nil"/>
            </w:tcBorders>
            <w:shd w:val="clear" w:color="auto" w:fill="auto"/>
            <w:noWrap/>
            <w:vAlign w:val="bottom"/>
            <w:hideMark/>
          </w:tcPr>
          <w:p w14:paraId="403C54BC" w14:textId="66FB9673" w:rsidR="00895A1D" w:rsidRPr="006B42D6" w:rsidRDefault="00895A1D" w:rsidP="00EF5C3C">
            <w:pPr>
              <w:jc w:val="left"/>
              <w:rPr>
                <w:sz w:val="16"/>
                <w:szCs w:val="16"/>
              </w:rPr>
            </w:pPr>
            <w:r w:rsidRPr="006B42D6">
              <w:rPr>
                <w:sz w:val="16"/>
                <w:szCs w:val="16"/>
              </w:rPr>
              <w:t>Mbeya</w:t>
            </w:r>
          </w:p>
        </w:tc>
        <w:tc>
          <w:tcPr>
            <w:tcW w:w="0" w:type="auto"/>
            <w:tcBorders>
              <w:top w:val="nil"/>
              <w:bottom w:val="nil"/>
              <w:right w:val="nil"/>
            </w:tcBorders>
            <w:shd w:val="clear" w:color="auto" w:fill="auto"/>
            <w:noWrap/>
            <w:vAlign w:val="bottom"/>
            <w:hideMark/>
          </w:tcPr>
          <w:p w14:paraId="658B9141" w14:textId="1135D635" w:rsidR="00895A1D" w:rsidRPr="006B42D6" w:rsidRDefault="00895A1D" w:rsidP="00895A1D">
            <w:pPr>
              <w:jc w:val="right"/>
              <w:rPr>
                <w:sz w:val="16"/>
                <w:szCs w:val="16"/>
              </w:rPr>
            </w:pPr>
            <w:r w:rsidRPr="006B42D6">
              <w:rPr>
                <w:sz w:val="16"/>
                <w:szCs w:val="16"/>
              </w:rPr>
              <w:t>56,032</w:t>
            </w:r>
          </w:p>
        </w:tc>
        <w:tc>
          <w:tcPr>
            <w:tcW w:w="0" w:type="auto"/>
            <w:tcBorders>
              <w:top w:val="nil"/>
              <w:left w:val="nil"/>
              <w:bottom w:val="nil"/>
              <w:right w:val="nil"/>
            </w:tcBorders>
            <w:shd w:val="clear" w:color="auto" w:fill="auto"/>
            <w:noWrap/>
            <w:vAlign w:val="bottom"/>
            <w:hideMark/>
          </w:tcPr>
          <w:p w14:paraId="3650461A" w14:textId="7214C5A2" w:rsidR="00895A1D" w:rsidRPr="006B42D6" w:rsidRDefault="00895A1D" w:rsidP="00895A1D">
            <w:pPr>
              <w:jc w:val="right"/>
              <w:rPr>
                <w:sz w:val="16"/>
                <w:szCs w:val="16"/>
              </w:rPr>
            </w:pPr>
            <w:r w:rsidRPr="006B42D6">
              <w:rPr>
                <w:sz w:val="16"/>
                <w:szCs w:val="16"/>
              </w:rPr>
              <w:t>9,599</w:t>
            </w:r>
          </w:p>
        </w:tc>
        <w:tc>
          <w:tcPr>
            <w:tcW w:w="0" w:type="auto"/>
            <w:tcBorders>
              <w:top w:val="nil"/>
              <w:left w:val="nil"/>
              <w:bottom w:val="nil"/>
              <w:right w:val="nil"/>
            </w:tcBorders>
            <w:shd w:val="clear" w:color="auto" w:fill="auto"/>
            <w:noWrap/>
            <w:vAlign w:val="bottom"/>
            <w:hideMark/>
          </w:tcPr>
          <w:p w14:paraId="409E24F8" w14:textId="5FCFC644" w:rsidR="00895A1D" w:rsidRPr="006B42D6" w:rsidRDefault="00895A1D" w:rsidP="00895A1D">
            <w:pPr>
              <w:jc w:val="right"/>
              <w:rPr>
                <w:sz w:val="16"/>
                <w:szCs w:val="16"/>
              </w:rPr>
            </w:pPr>
            <w:r w:rsidRPr="006B42D6">
              <w:rPr>
                <w:sz w:val="16"/>
                <w:szCs w:val="16"/>
              </w:rPr>
              <w:t>74,826</w:t>
            </w:r>
          </w:p>
        </w:tc>
        <w:tc>
          <w:tcPr>
            <w:tcW w:w="0" w:type="auto"/>
            <w:tcBorders>
              <w:top w:val="nil"/>
              <w:left w:val="nil"/>
              <w:bottom w:val="nil"/>
              <w:right w:val="nil"/>
            </w:tcBorders>
            <w:shd w:val="clear" w:color="auto" w:fill="auto"/>
            <w:noWrap/>
            <w:vAlign w:val="bottom"/>
            <w:hideMark/>
          </w:tcPr>
          <w:p w14:paraId="0DFD098D" w14:textId="3AC4F635" w:rsidR="00895A1D" w:rsidRPr="006B42D6" w:rsidRDefault="00895A1D" w:rsidP="00895A1D">
            <w:pPr>
              <w:jc w:val="right"/>
              <w:rPr>
                <w:sz w:val="16"/>
                <w:szCs w:val="16"/>
              </w:rPr>
            </w:pPr>
            <w:r w:rsidRPr="006B42D6">
              <w:rPr>
                <w:sz w:val="16"/>
                <w:szCs w:val="16"/>
              </w:rPr>
              <w:t>9,012</w:t>
            </w:r>
          </w:p>
        </w:tc>
        <w:tc>
          <w:tcPr>
            <w:tcW w:w="0" w:type="auto"/>
            <w:tcBorders>
              <w:top w:val="nil"/>
              <w:left w:val="nil"/>
              <w:bottom w:val="nil"/>
              <w:right w:val="nil"/>
            </w:tcBorders>
            <w:shd w:val="clear" w:color="auto" w:fill="auto"/>
            <w:noWrap/>
            <w:vAlign w:val="bottom"/>
            <w:hideMark/>
          </w:tcPr>
          <w:p w14:paraId="3F641654" w14:textId="1ED57CF9" w:rsidR="00895A1D" w:rsidRPr="006B42D6" w:rsidRDefault="00895A1D" w:rsidP="00895A1D">
            <w:pPr>
              <w:jc w:val="right"/>
              <w:rPr>
                <w:sz w:val="16"/>
                <w:szCs w:val="16"/>
              </w:rPr>
            </w:pPr>
            <w:r w:rsidRPr="006B42D6">
              <w:rPr>
                <w:sz w:val="16"/>
                <w:szCs w:val="16"/>
              </w:rPr>
              <w:t>18,611</w:t>
            </w:r>
          </w:p>
        </w:tc>
        <w:tc>
          <w:tcPr>
            <w:tcW w:w="0" w:type="auto"/>
            <w:tcBorders>
              <w:top w:val="nil"/>
              <w:left w:val="nil"/>
              <w:bottom w:val="nil"/>
              <w:right w:val="nil"/>
            </w:tcBorders>
            <w:shd w:val="clear" w:color="auto" w:fill="auto"/>
            <w:noWrap/>
            <w:vAlign w:val="bottom"/>
            <w:hideMark/>
          </w:tcPr>
          <w:p w14:paraId="7DB95F84" w14:textId="4081E3C7" w:rsidR="00895A1D" w:rsidRPr="006B42D6" w:rsidRDefault="00895A1D" w:rsidP="00895A1D">
            <w:pPr>
              <w:jc w:val="right"/>
              <w:rPr>
                <w:sz w:val="16"/>
                <w:szCs w:val="16"/>
              </w:rPr>
            </w:pPr>
            <w:r w:rsidRPr="006B42D6">
              <w:rPr>
                <w:sz w:val="16"/>
                <w:szCs w:val="16"/>
              </w:rPr>
              <w:t>12,528</w:t>
            </w:r>
          </w:p>
        </w:tc>
        <w:tc>
          <w:tcPr>
            <w:tcW w:w="0" w:type="auto"/>
            <w:tcBorders>
              <w:top w:val="nil"/>
              <w:left w:val="nil"/>
              <w:bottom w:val="nil"/>
              <w:right w:val="nil"/>
            </w:tcBorders>
            <w:shd w:val="clear" w:color="auto" w:fill="auto"/>
            <w:noWrap/>
            <w:vAlign w:val="bottom"/>
            <w:hideMark/>
          </w:tcPr>
          <w:p w14:paraId="4B924456" w14:textId="383F0EEB" w:rsidR="00895A1D" w:rsidRPr="006B42D6" w:rsidRDefault="00895A1D" w:rsidP="00895A1D">
            <w:pPr>
              <w:jc w:val="right"/>
              <w:rPr>
                <w:sz w:val="16"/>
                <w:szCs w:val="16"/>
              </w:rPr>
            </w:pPr>
            <w:r w:rsidRPr="006B42D6">
              <w:rPr>
                <w:sz w:val="16"/>
                <w:szCs w:val="16"/>
              </w:rPr>
              <w:t>127,759</w:t>
            </w:r>
          </w:p>
        </w:tc>
      </w:tr>
      <w:tr w:rsidR="006B42D6" w:rsidRPr="006B42D6" w14:paraId="017A72B0" w14:textId="77777777" w:rsidTr="00D249A2">
        <w:trPr>
          <w:trHeight w:val="283"/>
        </w:trPr>
        <w:tc>
          <w:tcPr>
            <w:tcW w:w="0" w:type="auto"/>
            <w:tcBorders>
              <w:top w:val="nil"/>
              <w:left w:val="nil"/>
              <w:bottom w:val="nil"/>
            </w:tcBorders>
            <w:shd w:val="clear" w:color="auto" w:fill="auto"/>
            <w:noWrap/>
            <w:vAlign w:val="bottom"/>
            <w:hideMark/>
          </w:tcPr>
          <w:p w14:paraId="54FE733B" w14:textId="71D56AC8" w:rsidR="00895A1D" w:rsidRPr="006B42D6" w:rsidRDefault="00895A1D" w:rsidP="00EF5C3C">
            <w:pPr>
              <w:jc w:val="left"/>
              <w:rPr>
                <w:sz w:val="16"/>
                <w:szCs w:val="16"/>
              </w:rPr>
            </w:pPr>
            <w:r w:rsidRPr="006B42D6">
              <w:rPr>
                <w:sz w:val="16"/>
                <w:szCs w:val="16"/>
              </w:rPr>
              <w:t>Singida</w:t>
            </w:r>
          </w:p>
        </w:tc>
        <w:tc>
          <w:tcPr>
            <w:tcW w:w="0" w:type="auto"/>
            <w:tcBorders>
              <w:top w:val="nil"/>
              <w:bottom w:val="nil"/>
              <w:right w:val="nil"/>
            </w:tcBorders>
            <w:shd w:val="clear" w:color="auto" w:fill="auto"/>
            <w:noWrap/>
            <w:vAlign w:val="bottom"/>
            <w:hideMark/>
          </w:tcPr>
          <w:p w14:paraId="409770EE" w14:textId="469E57A7" w:rsidR="00895A1D" w:rsidRPr="006B42D6" w:rsidRDefault="00895A1D" w:rsidP="00895A1D">
            <w:pPr>
              <w:jc w:val="right"/>
              <w:rPr>
                <w:sz w:val="16"/>
                <w:szCs w:val="16"/>
              </w:rPr>
            </w:pPr>
            <w:r w:rsidRPr="006B42D6">
              <w:rPr>
                <w:sz w:val="16"/>
                <w:szCs w:val="16"/>
              </w:rPr>
              <w:t>14,292</w:t>
            </w:r>
          </w:p>
        </w:tc>
        <w:tc>
          <w:tcPr>
            <w:tcW w:w="0" w:type="auto"/>
            <w:tcBorders>
              <w:top w:val="nil"/>
              <w:left w:val="nil"/>
              <w:bottom w:val="nil"/>
              <w:right w:val="nil"/>
            </w:tcBorders>
            <w:shd w:val="clear" w:color="auto" w:fill="auto"/>
            <w:noWrap/>
            <w:vAlign w:val="bottom"/>
            <w:hideMark/>
          </w:tcPr>
          <w:p w14:paraId="0CD433C7" w14:textId="576E0A62" w:rsidR="00895A1D" w:rsidRPr="006B42D6" w:rsidRDefault="00895A1D" w:rsidP="00895A1D">
            <w:pPr>
              <w:jc w:val="right"/>
              <w:rPr>
                <w:sz w:val="16"/>
                <w:szCs w:val="16"/>
              </w:rPr>
            </w:pPr>
            <w:r w:rsidRPr="006B42D6">
              <w:rPr>
                <w:sz w:val="16"/>
                <w:szCs w:val="16"/>
              </w:rPr>
              <w:t>3,176</w:t>
            </w:r>
          </w:p>
        </w:tc>
        <w:tc>
          <w:tcPr>
            <w:tcW w:w="0" w:type="auto"/>
            <w:tcBorders>
              <w:top w:val="nil"/>
              <w:left w:val="nil"/>
              <w:bottom w:val="nil"/>
              <w:right w:val="nil"/>
            </w:tcBorders>
            <w:shd w:val="clear" w:color="auto" w:fill="auto"/>
            <w:noWrap/>
            <w:vAlign w:val="bottom"/>
            <w:hideMark/>
          </w:tcPr>
          <w:p w14:paraId="43D3208D" w14:textId="63591E6D" w:rsidR="00895A1D" w:rsidRPr="006B42D6" w:rsidRDefault="00895A1D" w:rsidP="00895A1D">
            <w:pPr>
              <w:jc w:val="right"/>
              <w:rPr>
                <w:sz w:val="16"/>
                <w:szCs w:val="16"/>
              </w:rPr>
            </w:pPr>
            <w:r w:rsidRPr="006B42D6">
              <w:rPr>
                <w:sz w:val="16"/>
                <w:szCs w:val="16"/>
              </w:rPr>
              <w:t>9,901</w:t>
            </w:r>
          </w:p>
        </w:tc>
        <w:tc>
          <w:tcPr>
            <w:tcW w:w="0" w:type="auto"/>
            <w:tcBorders>
              <w:top w:val="nil"/>
              <w:left w:val="nil"/>
              <w:bottom w:val="nil"/>
              <w:right w:val="nil"/>
            </w:tcBorders>
            <w:shd w:val="clear" w:color="auto" w:fill="auto"/>
            <w:noWrap/>
            <w:vAlign w:val="bottom"/>
            <w:hideMark/>
          </w:tcPr>
          <w:p w14:paraId="15949119" w14:textId="7D117ED5" w:rsidR="00895A1D" w:rsidRPr="006B42D6" w:rsidRDefault="00895A1D" w:rsidP="00895A1D">
            <w:pPr>
              <w:jc w:val="right"/>
              <w:rPr>
                <w:sz w:val="16"/>
                <w:szCs w:val="16"/>
              </w:rPr>
            </w:pPr>
            <w:r w:rsidRPr="006B42D6">
              <w:rPr>
                <w:sz w:val="16"/>
                <w:szCs w:val="16"/>
              </w:rPr>
              <w:t>181</w:t>
            </w:r>
          </w:p>
        </w:tc>
        <w:tc>
          <w:tcPr>
            <w:tcW w:w="0" w:type="auto"/>
            <w:tcBorders>
              <w:top w:val="nil"/>
              <w:left w:val="nil"/>
              <w:bottom w:val="nil"/>
              <w:right w:val="nil"/>
            </w:tcBorders>
            <w:shd w:val="clear" w:color="auto" w:fill="auto"/>
            <w:noWrap/>
            <w:vAlign w:val="bottom"/>
            <w:hideMark/>
          </w:tcPr>
          <w:p w14:paraId="7F8F37AE" w14:textId="427A8580" w:rsidR="00895A1D" w:rsidRPr="006B42D6" w:rsidRDefault="00895A1D" w:rsidP="00895A1D">
            <w:pPr>
              <w:jc w:val="right"/>
              <w:rPr>
                <w:sz w:val="16"/>
                <w:szCs w:val="16"/>
              </w:rPr>
            </w:pPr>
            <w:r w:rsidRPr="006B42D6">
              <w:rPr>
                <w:sz w:val="16"/>
                <w:szCs w:val="16"/>
              </w:rPr>
              <w:t>3,357</w:t>
            </w:r>
          </w:p>
        </w:tc>
        <w:tc>
          <w:tcPr>
            <w:tcW w:w="0" w:type="auto"/>
            <w:tcBorders>
              <w:top w:val="nil"/>
              <w:left w:val="nil"/>
              <w:bottom w:val="nil"/>
              <w:right w:val="nil"/>
            </w:tcBorders>
            <w:shd w:val="clear" w:color="auto" w:fill="auto"/>
            <w:noWrap/>
            <w:vAlign w:val="bottom"/>
            <w:hideMark/>
          </w:tcPr>
          <w:p w14:paraId="345818FB" w14:textId="163C6835" w:rsidR="00895A1D" w:rsidRPr="006B42D6" w:rsidRDefault="00895A1D" w:rsidP="00895A1D">
            <w:pPr>
              <w:jc w:val="right"/>
              <w:rPr>
                <w:sz w:val="16"/>
                <w:szCs w:val="16"/>
              </w:rPr>
            </w:pPr>
            <w:r w:rsidRPr="006B42D6">
              <w:rPr>
                <w:sz w:val="16"/>
                <w:szCs w:val="16"/>
              </w:rPr>
              <w:t>184</w:t>
            </w:r>
          </w:p>
        </w:tc>
        <w:tc>
          <w:tcPr>
            <w:tcW w:w="0" w:type="auto"/>
            <w:tcBorders>
              <w:top w:val="nil"/>
              <w:left w:val="nil"/>
              <w:bottom w:val="nil"/>
              <w:right w:val="nil"/>
            </w:tcBorders>
            <w:shd w:val="clear" w:color="auto" w:fill="auto"/>
            <w:noWrap/>
            <w:vAlign w:val="bottom"/>
            <w:hideMark/>
          </w:tcPr>
          <w:p w14:paraId="32C317F2" w14:textId="276CDCA9" w:rsidR="00895A1D" w:rsidRPr="006B42D6" w:rsidRDefault="00895A1D" w:rsidP="00895A1D">
            <w:pPr>
              <w:jc w:val="right"/>
              <w:rPr>
                <w:sz w:val="16"/>
                <w:szCs w:val="16"/>
              </w:rPr>
            </w:pPr>
            <w:r w:rsidRPr="006B42D6">
              <w:rPr>
                <w:sz w:val="16"/>
                <w:szCs w:val="16"/>
              </w:rPr>
              <w:t>1,343</w:t>
            </w:r>
          </w:p>
        </w:tc>
      </w:tr>
      <w:tr w:rsidR="006B42D6" w:rsidRPr="006B42D6" w14:paraId="0F84080B" w14:textId="77777777" w:rsidTr="00D249A2">
        <w:trPr>
          <w:trHeight w:val="283"/>
        </w:trPr>
        <w:tc>
          <w:tcPr>
            <w:tcW w:w="0" w:type="auto"/>
            <w:tcBorders>
              <w:top w:val="nil"/>
              <w:left w:val="nil"/>
              <w:bottom w:val="nil"/>
            </w:tcBorders>
            <w:shd w:val="clear" w:color="auto" w:fill="auto"/>
            <w:noWrap/>
            <w:vAlign w:val="bottom"/>
            <w:hideMark/>
          </w:tcPr>
          <w:p w14:paraId="518E8043" w14:textId="5C86A878" w:rsidR="00895A1D" w:rsidRPr="006B42D6" w:rsidRDefault="00895A1D" w:rsidP="00EF5C3C">
            <w:pPr>
              <w:jc w:val="left"/>
              <w:rPr>
                <w:sz w:val="16"/>
                <w:szCs w:val="16"/>
              </w:rPr>
            </w:pPr>
            <w:r w:rsidRPr="006B42D6">
              <w:rPr>
                <w:sz w:val="16"/>
                <w:szCs w:val="16"/>
              </w:rPr>
              <w:t>Tabora</w:t>
            </w:r>
          </w:p>
        </w:tc>
        <w:tc>
          <w:tcPr>
            <w:tcW w:w="0" w:type="auto"/>
            <w:tcBorders>
              <w:top w:val="nil"/>
              <w:bottom w:val="nil"/>
              <w:right w:val="nil"/>
            </w:tcBorders>
            <w:shd w:val="clear" w:color="auto" w:fill="auto"/>
            <w:noWrap/>
            <w:vAlign w:val="bottom"/>
            <w:hideMark/>
          </w:tcPr>
          <w:p w14:paraId="62DB5844" w14:textId="16B28510" w:rsidR="00895A1D" w:rsidRPr="006B42D6" w:rsidRDefault="00895A1D" w:rsidP="00895A1D">
            <w:pPr>
              <w:jc w:val="right"/>
              <w:rPr>
                <w:sz w:val="16"/>
                <w:szCs w:val="16"/>
              </w:rPr>
            </w:pPr>
            <w:r w:rsidRPr="006B42D6">
              <w:rPr>
                <w:sz w:val="16"/>
                <w:szCs w:val="16"/>
              </w:rPr>
              <w:t>15,950</w:t>
            </w:r>
          </w:p>
        </w:tc>
        <w:tc>
          <w:tcPr>
            <w:tcW w:w="0" w:type="auto"/>
            <w:tcBorders>
              <w:top w:val="nil"/>
              <w:left w:val="nil"/>
              <w:bottom w:val="nil"/>
              <w:right w:val="nil"/>
            </w:tcBorders>
            <w:shd w:val="clear" w:color="auto" w:fill="auto"/>
            <w:noWrap/>
            <w:vAlign w:val="bottom"/>
            <w:hideMark/>
          </w:tcPr>
          <w:p w14:paraId="13D60A6A" w14:textId="06FBA6AE" w:rsidR="00895A1D" w:rsidRPr="006B42D6" w:rsidRDefault="00895A1D" w:rsidP="00895A1D">
            <w:pPr>
              <w:jc w:val="right"/>
              <w:rPr>
                <w:sz w:val="16"/>
                <w:szCs w:val="16"/>
              </w:rPr>
            </w:pPr>
            <w:r w:rsidRPr="006B42D6">
              <w:rPr>
                <w:sz w:val="16"/>
                <w:szCs w:val="16"/>
              </w:rPr>
              <w:t>645</w:t>
            </w:r>
          </w:p>
        </w:tc>
        <w:tc>
          <w:tcPr>
            <w:tcW w:w="0" w:type="auto"/>
            <w:tcBorders>
              <w:top w:val="nil"/>
              <w:left w:val="nil"/>
              <w:bottom w:val="nil"/>
              <w:right w:val="nil"/>
            </w:tcBorders>
            <w:shd w:val="clear" w:color="auto" w:fill="auto"/>
            <w:noWrap/>
            <w:vAlign w:val="bottom"/>
            <w:hideMark/>
          </w:tcPr>
          <w:p w14:paraId="155A3297" w14:textId="576B8521" w:rsidR="00895A1D" w:rsidRPr="006B42D6" w:rsidRDefault="00895A1D" w:rsidP="00895A1D">
            <w:pPr>
              <w:jc w:val="right"/>
              <w:rPr>
                <w:sz w:val="16"/>
                <w:szCs w:val="16"/>
              </w:rPr>
            </w:pPr>
            <w:r w:rsidRPr="006B42D6">
              <w:rPr>
                <w:sz w:val="16"/>
                <w:szCs w:val="16"/>
              </w:rPr>
              <w:t>7,224</w:t>
            </w:r>
          </w:p>
        </w:tc>
        <w:tc>
          <w:tcPr>
            <w:tcW w:w="0" w:type="auto"/>
            <w:tcBorders>
              <w:top w:val="nil"/>
              <w:left w:val="nil"/>
              <w:bottom w:val="nil"/>
              <w:right w:val="nil"/>
            </w:tcBorders>
            <w:shd w:val="clear" w:color="auto" w:fill="auto"/>
            <w:noWrap/>
            <w:vAlign w:val="bottom"/>
            <w:hideMark/>
          </w:tcPr>
          <w:p w14:paraId="40539988" w14:textId="53B54A72" w:rsidR="00895A1D" w:rsidRPr="006B42D6" w:rsidRDefault="00895A1D" w:rsidP="00895A1D">
            <w:pPr>
              <w:jc w:val="right"/>
              <w:rPr>
                <w:sz w:val="16"/>
                <w:szCs w:val="16"/>
              </w:rPr>
            </w:pPr>
            <w:r w:rsidRPr="006B42D6">
              <w:rPr>
                <w:sz w:val="16"/>
                <w:szCs w:val="16"/>
              </w:rPr>
              <w:t>115</w:t>
            </w:r>
          </w:p>
        </w:tc>
        <w:tc>
          <w:tcPr>
            <w:tcW w:w="0" w:type="auto"/>
            <w:tcBorders>
              <w:top w:val="nil"/>
              <w:left w:val="nil"/>
              <w:bottom w:val="nil"/>
              <w:right w:val="nil"/>
            </w:tcBorders>
            <w:shd w:val="clear" w:color="auto" w:fill="auto"/>
            <w:noWrap/>
            <w:vAlign w:val="bottom"/>
            <w:hideMark/>
          </w:tcPr>
          <w:p w14:paraId="6235C59B" w14:textId="2FE79F93" w:rsidR="00895A1D" w:rsidRPr="006B42D6" w:rsidRDefault="00895A1D" w:rsidP="00895A1D">
            <w:pPr>
              <w:jc w:val="right"/>
              <w:rPr>
                <w:sz w:val="16"/>
                <w:szCs w:val="16"/>
              </w:rPr>
            </w:pPr>
            <w:r w:rsidRPr="006B42D6">
              <w:rPr>
                <w:sz w:val="16"/>
                <w:szCs w:val="16"/>
              </w:rPr>
              <w:t>761</w:t>
            </w:r>
          </w:p>
        </w:tc>
        <w:tc>
          <w:tcPr>
            <w:tcW w:w="0" w:type="auto"/>
            <w:tcBorders>
              <w:top w:val="nil"/>
              <w:left w:val="nil"/>
              <w:bottom w:val="nil"/>
              <w:right w:val="nil"/>
            </w:tcBorders>
            <w:shd w:val="clear" w:color="auto" w:fill="auto"/>
            <w:noWrap/>
            <w:vAlign w:val="bottom"/>
            <w:hideMark/>
          </w:tcPr>
          <w:p w14:paraId="43EAA4EC" w14:textId="6335A6E2" w:rsidR="00895A1D" w:rsidRPr="006B42D6" w:rsidRDefault="00895A1D" w:rsidP="00895A1D">
            <w:pPr>
              <w:jc w:val="right"/>
              <w:rPr>
                <w:sz w:val="16"/>
                <w:szCs w:val="16"/>
              </w:rPr>
            </w:pPr>
            <w:r w:rsidRPr="006B42D6">
              <w:rPr>
                <w:sz w:val="16"/>
                <w:szCs w:val="16"/>
              </w:rPr>
              <w:t>52</w:t>
            </w:r>
          </w:p>
        </w:tc>
        <w:tc>
          <w:tcPr>
            <w:tcW w:w="0" w:type="auto"/>
            <w:tcBorders>
              <w:top w:val="nil"/>
              <w:left w:val="nil"/>
              <w:bottom w:val="nil"/>
              <w:right w:val="nil"/>
            </w:tcBorders>
            <w:shd w:val="clear" w:color="auto" w:fill="auto"/>
            <w:noWrap/>
            <w:vAlign w:val="bottom"/>
            <w:hideMark/>
          </w:tcPr>
          <w:p w14:paraId="1BC5D4DE" w14:textId="46766F69" w:rsidR="00895A1D" w:rsidRPr="006B42D6" w:rsidRDefault="00895A1D" w:rsidP="00895A1D">
            <w:pPr>
              <w:jc w:val="right"/>
              <w:rPr>
                <w:sz w:val="16"/>
                <w:szCs w:val="16"/>
              </w:rPr>
            </w:pPr>
            <w:r w:rsidRPr="006B42D6">
              <w:rPr>
                <w:sz w:val="16"/>
                <w:szCs w:val="16"/>
              </w:rPr>
              <w:t>436</w:t>
            </w:r>
          </w:p>
        </w:tc>
      </w:tr>
      <w:tr w:rsidR="006B42D6" w:rsidRPr="006B42D6" w14:paraId="72276FE3" w14:textId="77777777" w:rsidTr="00D249A2">
        <w:trPr>
          <w:trHeight w:val="283"/>
        </w:trPr>
        <w:tc>
          <w:tcPr>
            <w:tcW w:w="0" w:type="auto"/>
            <w:tcBorders>
              <w:top w:val="nil"/>
              <w:left w:val="nil"/>
              <w:bottom w:val="nil"/>
            </w:tcBorders>
            <w:shd w:val="clear" w:color="auto" w:fill="auto"/>
            <w:noWrap/>
            <w:vAlign w:val="bottom"/>
            <w:hideMark/>
          </w:tcPr>
          <w:p w14:paraId="573534BC" w14:textId="7234CB89" w:rsidR="00895A1D" w:rsidRPr="006B42D6" w:rsidRDefault="00895A1D" w:rsidP="00EF5C3C">
            <w:pPr>
              <w:jc w:val="left"/>
              <w:rPr>
                <w:sz w:val="16"/>
                <w:szCs w:val="16"/>
              </w:rPr>
            </w:pPr>
            <w:r w:rsidRPr="006B42D6">
              <w:rPr>
                <w:sz w:val="16"/>
                <w:szCs w:val="16"/>
              </w:rPr>
              <w:t>Rukwa</w:t>
            </w:r>
          </w:p>
        </w:tc>
        <w:tc>
          <w:tcPr>
            <w:tcW w:w="0" w:type="auto"/>
            <w:tcBorders>
              <w:top w:val="nil"/>
              <w:bottom w:val="nil"/>
              <w:right w:val="nil"/>
            </w:tcBorders>
            <w:shd w:val="clear" w:color="auto" w:fill="auto"/>
            <w:noWrap/>
            <w:vAlign w:val="bottom"/>
            <w:hideMark/>
          </w:tcPr>
          <w:p w14:paraId="2F34E69E" w14:textId="46C55BAB" w:rsidR="00895A1D" w:rsidRPr="006B42D6" w:rsidRDefault="00895A1D" w:rsidP="00895A1D">
            <w:pPr>
              <w:jc w:val="right"/>
              <w:rPr>
                <w:sz w:val="16"/>
                <w:szCs w:val="16"/>
              </w:rPr>
            </w:pPr>
            <w:r w:rsidRPr="006B42D6">
              <w:rPr>
                <w:sz w:val="16"/>
                <w:szCs w:val="16"/>
              </w:rPr>
              <w:t>1,220</w:t>
            </w:r>
          </w:p>
        </w:tc>
        <w:tc>
          <w:tcPr>
            <w:tcW w:w="0" w:type="auto"/>
            <w:tcBorders>
              <w:top w:val="nil"/>
              <w:left w:val="nil"/>
              <w:bottom w:val="nil"/>
              <w:right w:val="nil"/>
            </w:tcBorders>
            <w:shd w:val="clear" w:color="auto" w:fill="auto"/>
            <w:noWrap/>
            <w:vAlign w:val="bottom"/>
            <w:hideMark/>
          </w:tcPr>
          <w:p w14:paraId="1B7FF878" w14:textId="568A6AF4" w:rsidR="00895A1D" w:rsidRPr="006B42D6" w:rsidRDefault="00895A1D" w:rsidP="00895A1D">
            <w:pPr>
              <w:jc w:val="right"/>
              <w:rPr>
                <w:sz w:val="16"/>
                <w:szCs w:val="16"/>
              </w:rPr>
            </w:pPr>
            <w:r w:rsidRPr="006B42D6">
              <w:rPr>
                <w:sz w:val="16"/>
                <w:szCs w:val="16"/>
              </w:rPr>
              <w:t>270</w:t>
            </w:r>
          </w:p>
        </w:tc>
        <w:tc>
          <w:tcPr>
            <w:tcW w:w="0" w:type="auto"/>
            <w:tcBorders>
              <w:top w:val="nil"/>
              <w:left w:val="nil"/>
              <w:bottom w:val="nil"/>
              <w:right w:val="nil"/>
            </w:tcBorders>
            <w:shd w:val="clear" w:color="auto" w:fill="auto"/>
            <w:noWrap/>
            <w:vAlign w:val="bottom"/>
            <w:hideMark/>
          </w:tcPr>
          <w:p w14:paraId="176BC87F" w14:textId="0DCBD92F" w:rsidR="00895A1D" w:rsidRPr="006B42D6" w:rsidRDefault="00895A1D" w:rsidP="00895A1D">
            <w:pPr>
              <w:jc w:val="right"/>
              <w:rPr>
                <w:sz w:val="16"/>
                <w:szCs w:val="16"/>
              </w:rPr>
            </w:pPr>
            <w:r w:rsidRPr="006B42D6">
              <w:rPr>
                <w:sz w:val="16"/>
                <w:szCs w:val="16"/>
              </w:rPr>
              <w:t>1,125</w:t>
            </w:r>
          </w:p>
        </w:tc>
        <w:tc>
          <w:tcPr>
            <w:tcW w:w="0" w:type="auto"/>
            <w:tcBorders>
              <w:top w:val="nil"/>
              <w:left w:val="nil"/>
              <w:bottom w:val="nil"/>
              <w:right w:val="nil"/>
            </w:tcBorders>
            <w:shd w:val="clear" w:color="auto" w:fill="auto"/>
            <w:noWrap/>
            <w:vAlign w:val="bottom"/>
            <w:hideMark/>
          </w:tcPr>
          <w:p w14:paraId="1CF76CC2" w14:textId="19712928" w:rsidR="00895A1D" w:rsidRPr="006B42D6" w:rsidRDefault="00895A1D" w:rsidP="00895A1D">
            <w:pPr>
              <w:jc w:val="right"/>
              <w:rPr>
                <w:sz w:val="16"/>
                <w:szCs w:val="16"/>
              </w:rPr>
            </w:pPr>
            <w:r w:rsidRPr="006B42D6">
              <w:rPr>
                <w:sz w:val="16"/>
                <w:szCs w:val="16"/>
              </w:rPr>
              <w:t>132</w:t>
            </w:r>
          </w:p>
        </w:tc>
        <w:tc>
          <w:tcPr>
            <w:tcW w:w="0" w:type="auto"/>
            <w:tcBorders>
              <w:top w:val="nil"/>
              <w:left w:val="nil"/>
              <w:bottom w:val="nil"/>
              <w:right w:val="nil"/>
            </w:tcBorders>
            <w:shd w:val="clear" w:color="auto" w:fill="auto"/>
            <w:noWrap/>
            <w:vAlign w:val="bottom"/>
            <w:hideMark/>
          </w:tcPr>
          <w:p w14:paraId="5B13FFEE" w14:textId="57334D6D" w:rsidR="00895A1D" w:rsidRPr="006B42D6" w:rsidRDefault="00895A1D" w:rsidP="00895A1D">
            <w:pPr>
              <w:jc w:val="right"/>
              <w:rPr>
                <w:sz w:val="16"/>
                <w:szCs w:val="16"/>
              </w:rPr>
            </w:pPr>
            <w:r w:rsidRPr="006B42D6">
              <w:rPr>
                <w:sz w:val="16"/>
                <w:szCs w:val="16"/>
              </w:rPr>
              <w:t>402</w:t>
            </w:r>
          </w:p>
        </w:tc>
        <w:tc>
          <w:tcPr>
            <w:tcW w:w="0" w:type="auto"/>
            <w:tcBorders>
              <w:top w:val="nil"/>
              <w:left w:val="nil"/>
              <w:bottom w:val="nil"/>
              <w:right w:val="nil"/>
            </w:tcBorders>
            <w:shd w:val="clear" w:color="auto" w:fill="auto"/>
            <w:noWrap/>
            <w:vAlign w:val="bottom"/>
            <w:hideMark/>
          </w:tcPr>
          <w:p w14:paraId="294E22CE" w14:textId="167E4395" w:rsidR="00895A1D" w:rsidRPr="006B42D6" w:rsidRDefault="00895A1D" w:rsidP="00895A1D">
            <w:pPr>
              <w:jc w:val="right"/>
              <w:rPr>
                <w:sz w:val="16"/>
                <w:szCs w:val="16"/>
              </w:rPr>
            </w:pPr>
            <w:r w:rsidRPr="006B42D6">
              <w:rPr>
                <w:sz w:val="16"/>
                <w:szCs w:val="16"/>
              </w:rPr>
              <w:t>402</w:t>
            </w:r>
          </w:p>
        </w:tc>
        <w:tc>
          <w:tcPr>
            <w:tcW w:w="0" w:type="auto"/>
            <w:tcBorders>
              <w:top w:val="nil"/>
              <w:left w:val="nil"/>
              <w:bottom w:val="nil"/>
              <w:right w:val="nil"/>
            </w:tcBorders>
            <w:shd w:val="clear" w:color="auto" w:fill="auto"/>
            <w:noWrap/>
            <w:vAlign w:val="bottom"/>
            <w:hideMark/>
          </w:tcPr>
          <w:p w14:paraId="359A0E68" w14:textId="09EE160D" w:rsidR="00895A1D" w:rsidRPr="006B42D6" w:rsidRDefault="00895A1D" w:rsidP="00895A1D">
            <w:pPr>
              <w:jc w:val="right"/>
              <w:rPr>
                <w:sz w:val="16"/>
                <w:szCs w:val="16"/>
              </w:rPr>
            </w:pPr>
            <w:r w:rsidRPr="006B42D6">
              <w:rPr>
                <w:sz w:val="16"/>
                <w:szCs w:val="16"/>
              </w:rPr>
              <w:t>1,893</w:t>
            </w:r>
          </w:p>
        </w:tc>
      </w:tr>
      <w:tr w:rsidR="006B42D6" w:rsidRPr="006B42D6" w14:paraId="1AED199A" w14:textId="77777777" w:rsidTr="00D249A2">
        <w:trPr>
          <w:trHeight w:val="283"/>
        </w:trPr>
        <w:tc>
          <w:tcPr>
            <w:tcW w:w="0" w:type="auto"/>
            <w:tcBorders>
              <w:top w:val="nil"/>
              <w:left w:val="nil"/>
              <w:bottom w:val="nil"/>
            </w:tcBorders>
            <w:shd w:val="clear" w:color="auto" w:fill="auto"/>
            <w:noWrap/>
            <w:vAlign w:val="bottom"/>
            <w:hideMark/>
          </w:tcPr>
          <w:p w14:paraId="6DFC5BF0" w14:textId="07C89225" w:rsidR="00895A1D" w:rsidRPr="006B42D6" w:rsidRDefault="00895A1D" w:rsidP="00EF5C3C">
            <w:pPr>
              <w:jc w:val="left"/>
              <w:rPr>
                <w:sz w:val="16"/>
                <w:szCs w:val="16"/>
              </w:rPr>
            </w:pPr>
            <w:r w:rsidRPr="006B42D6">
              <w:rPr>
                <w:sz w:val="16"/>
                <w:szCs w:val="16"/>
              </w:rPr>
              <w:t>Kigoma</w:t>
            </w:r>
          </w:p>
        </w:tc>
        <w:tc>
          <w:tcPr>
            <w:tcW w:w="0" w:type="auto"/>
            <w:tcBorders>
              <w:top w:val="nil"/>
              <w:bottom w:val="nil"/>
              <w:right w:val="nil"/>
            </w:tcBorders>
            <w:shd w:val="clear" w:color="auto" w:fill="auto"/>
            <w:noWrap/>
            <w:vAlign w:val="bottom"/>
            <w:hideMark/>
          </w:tcPr>
          <w:p w14:paraId="055FE56D" w14:textId="16FBD86E" w:rsidR="00895A1D" w:rsidRPr="006B42D6" w:rsidRDefault="00895A1D" w:rsidP="00895A1D">
            <w:pPr>
              <w:jc w:val="right"/>
              <w:rPr>
                <w:sz w:val="16"/>
                <w:szCs w:val="16"/>
              </w:rPr>
            </w:pPr>
            <w:r w:rsidRPr="006B42D6">
              <w:rPr>
                <w:sz w:val="16"/>
                <w:szCs w:val="16"/>
              </w:rPr>
              <w:t>22,382</w:t>
            </w:r>
          </w:p>
        </w:tc>
        <w:tc>
          <w:tcPr>
            <w:tcW w:w="0" w:type="auto"/>
            <w:tcBorders>
              <w:top w:val="nil"/>
              <w:left w:val="nil"/>
              <w:bottom w:val="nil"/>
              <w:right w:val="nil"/>
            </w:tcBorders>
            <w:shd w:val="clear" w:color="auto" w:fill="auto"/>
            <w:noWrap/>
            <w:vAlign w:val="bottom"/>
            <w:hideMark/>
          </w:tcPr>
          <w:p w14:paraId="4AF134FA" w14:textId="6AC6D24A" w:rsidR="00895A1D" w:rsidRPr="006B42D6" w:rsidRDefault="00895A1D" w:rsidP="00895A1D">
            <w:pPr>
              <w:jc w:val="right"/>
              <w:rPr>
                <w:sz w:val="16"/>
                <w:szCs w:val="16"/>
              </w:rPr>
            </w:pPr>
            <w:r w:rsidRPr="006B42D6">
              <w:rPr>
                <w:sz w:val="16"/>
                <w:szCs w:val="16"/>
              </w:rPr>
              <w:t>4,859</w:t>
            </w:r>
          </w:p>
        </w:tc>
        <w:tc>
          <w:tcPr>
            <w:tcW w:w="0" w:type="auto"/>
            <w:tcBorders>
              <w:top w:val="nil"/>
              <w:left w:val="nil"/>
              <w:bottom w:val="nil"/>
              <w:right w:val="nil"/>
            </w:tcBorders>
            <w:shd w:val="clear" w:color="auto" w:fill="auto"/>
            <w:noWrap/>
            <w:vAlign w:val="bottom"/>
            <w:hideMark/>
          </w:tcPr>
          <w:p w14:paraId="228A455F" w14:textId="51D2AC96" w:rsidR="00895A1D" w:rsidRPr="006B42D6" w:rsidRDefault="00895A1D" w:rsidP="00895A1D">
            <w:pPr>
              <w:jc w:val="right"/>
              <w:rPr>
                <w:sz w:val="16"/>
                <w:szCs w:val="16"/>
              </w:rPr>
            </w:pPr>
            <w:r w:rsidRPr="006B42D6">
              <w:rPr>
                <w:sz w:val="16"/>
                <w:szCs w:val="16"/>
              </w:rPr>
              <w:t>100,557</w:t>
            </w:r>
          </w:p>
        </w:tc>
        <w:tc>
          <w:tcPr>
            <w:tcW w:w="0" w:type="auto"/>
            <w:tcBorders>
              <w:top w:val="nil"/>
              <w:left w:val="nil"/>
              <w:bottom w:val="nil"/>
              <w:right w:val="nil"/>
            </w:tcBorders>
            <w:shd w:val="clear" w:color="auto" w:fill="auto"/>
            <w:noWrap/>
            <w:vAlign w:val="bottom"/>
            <w:hideMark/>
          </w:tcPr>
          <w:p w14:paraId="2D940C3A" w14:textId="50C37EF0" w:rsidR="00895A1D" w:rsidRPr="006B42D6" w:rsidRDefault="00895A1D" w:rsidP="00895A1D">
            <w:pPr>
              <w:jc w:val="right"/>
              <w:rPr>
                <w:sz w:val="16"/>
                <w:szCs w:val="16"/>
              </w:rPr>
            </w:pPr>
            <w:r w:rsidRPr="006B42D6">
              <w:rPr>
                <w:sz w:val="16"/>
                <w:szCs w:val="16"/>
              </w:rPr>
              <w:t>8,966</w:t>
            </w:r>
          </w:p>
        </w:tc>
        <w:tc>
          <w:tcPr>
            <w:tcW w:w="0" w:type="auto"/>
            <w:tcBorders>
              <w:top w:val="nil"/>
              <w:left w:val="nil"/>
              <w:bottom w:val="nil"/>
              <w:right w:val="nil"/>
            </w:tcBorders>
            <w:shd w:val="clear" w:color="auto" w:fill="auto"/>
            <w:noWrap/>
            <w:vAlign w:val="bottom"/>
            <w:hideMark/>
          </w:tcPr>
          <w:p w14:paraId="23A5E82F" w14:textId="7C1CC4A6" w:rsidR="00895A1D" w:rsidRPr="006B42D6" w:rsidRDefault="00895A1D" w:rsidP="00895A1D">
            <w:pPr>
              <w:jc w:val="right"/>
              <w:rPr>
                <w:sz w:val="16"/>
                <w:szCs w:val="16"/>
              </w:rPr>
            </w:pPr>
            <w:r w:rsidRPr="006B42D6">
              <w:rPr>
                <w:sz w:val="16"/>
                <w:szCs w:val="16"/>
              </w:rPr>
              <w:t>13,825</w:t>
            </w:r>
          </w:p>
        </w:tc>
        <w:tc>
          <w:tcPr>
            <w:tcW w:w="0" w:type="auto"/>
            <w:tcBorders>
              <w:top w:val="nil"/>
              <w:left w:val="nil"/>
              <w:bottom w:val="nil"/>
              <w:right w:val="nil"/>
            </w:tcBorders>
            <w:shd w:val="clear" w:color="auto" w:fill="auto"/>
            <w:noWrap/>
            <w:vAlign w:val="bottom"/>
            <w:hideMark/>
          </w:tcPr>
          <w:p w14:paraId="2EC9281F" w14:textId="01E856ED" w:rsidR="00895A1D" w:rsidRPr="006B42D6" w:rsidRDefault="00895A1D" w:rsidP="00895A1D">
            <w:pPr>
              <w:jc w:val="right"/>
              <w:rPr>
                <w:sz w:val="16"/>
                <w:szCs w:val="16"/>
              </w:rPr>
            </w:pPr>
            <w:r w:rsidRPr="006B42D6">
              <w:rPr>
                <w:sz w:val="16"/>
                <w:szCs w:val="16"/>
              </w:rPr>
              <w:t>11,518</w:t>
            </w:r>
          </w:p>
        </w:tc>
        <w:tc>
          <w:tcPr>
            <w:tcW w:w="0" w:type="auto"/>
            <w:tcBorders>
              <w:top w:val="nil"/>
              <w:left w:val="nil"/>
              <w:bottom w:val="nil"/>
              <w:right w:val="nil"/>
            </w:tcBorders>
            <w:shd w:val="clear" w:color="auto" w:fill="auto"/>
            <w:noWrap/>
            <w:vAlign w:val="bottom"/>
            <w:hideMark/>
          </w:tcPr>
          <w:p w14:paraId="7614E6F4" w14:textId="55611293" w:rsidR="00895A1D" w:rsidRPr="006B42D6" w:rsidRDefault="00895A1D" w:rsidP="00895A1D">
            <w:pPr>
              <w:jc w:val="right"/>
              <w:rPr>
                <w:sz w:val="16"/>
                <w:szCs w:val="16"/>
              </w:rPr>
            </w:pPr>
            <w:r w:rsidRPr="006B42D6">
              <w:rPr>
                <w:sz w:val="16"/>
                <w:szCs w:val="16"/>
              </w:rPr>
              <w:t>82,912</w:t>
            </w:r>
          </w:p>
        </w:tc>
      </w:tr>
      <w:tr w:rsidR="006B42D6" w:rsidRPr="006B42D6" w14:paraId="75C1A0A9" w14:textId="77777777" w:rsidTr="00D249A2">
        <w:trPr>
          <w:trHeight w:val="283"/>
        </w:trPr>
        <w:tc>
          <w:tcPr>
            <w:tcW w:w="0" w:type="auto"/>
            <w:tcBorders>
              <w:top w:val="nil"/>
              <w:left w:val="nil"/>
              <w:bottom w:val="nil"/>
            </w:tcBorders>
            <w:shd w:val="clear" w:color="auto" w:fill="auto"/>
            <w:noWrap/>
            <w:vAlign w:val="bottom"/>
            <w:hideMark/>
          </w:tcPr>
          <w:p w14:paraId="14FBDF45" w14:textId="45ADA102" w:rsidR="00895A1D" w:rsidRPr="006B42D6" w:rsidRDefault="00895A1D" w:rsidP="00EF5C3C">
            <w:pPr>
              <w:jc w:val="left"/>
              <w:rPr>
                <w:sz w:val="16"/>
                <w:szCs w:val="16"/>
              </w:rPr>
            </w:pPr>
            <w:r w:rsidRPr="006B42D6">
              <w:rPr>
                <w:sz w:val="16"/>
                <w:szCs w:val="16"/>
              </w:rPr>
              <w:t>Shinyanga</w:t>
            </w:r>
          </w:p>
        </w:tc>
        <w:tc>
          <w:tcPr>
            <w:tcW w:w="0" w:type="auto"/>
            <w:tcBorders>
              <w:top w:val="nil"/>
              <w:bottom w:val="nil"/>
              <w:right w:val="nil"/>
            </w:tcBorders>
            <w:shd w:val="clear" w:color="auto" w:fill="auto"/>
            <w:noWrap/>
            <w:vAlign w:val="bottom"/>
            <w:hideMark/>
          </w:tcPr>
          <w:p w14:paraId="1DB127FF" w14:textId="47B70387" w:rsidR="00895A1D" w:rsidRPr="006B42D6" w:rsidRDefault="00895A1D" w:rsidP="00895A1D">
            <w:pPr>
              <w:jc w:val="right"/>
              <w:rPr>
                <w:sz w:val="16"/>
                <w:szCs w:val="16"/>
              </w:rPr>
            </w:pPr>
            <w:r w:rsidRPr="006B42D6">
              <w:rPr>
                <w:sz w:val="16"/>
                <w:szCs w:val="16"/>
              </w:rPr>
              <w:t>7,504</w:t>
            </w:r>
          </w:p>
        </w:tc>
        <w:tc>
          <w:tcPr>
            <w:tcW w:w="0" w:type="auto"/>
            <w:tcBorders>
              <w:top w:val="nil"/>
              <w:left w:val="nil"/>
              <w:bottom w:val="nil"/>
              <w:right w:val="nil"/>
            </w:tcBorders>
            <w:shd w:val="clear" w:color="auto" w:fill="auto"/>
            <w:noWrap/>
            <w:vAlign w:val="bottom"/>
            <w:hideMark/>
          </w:tcPr>
          <w:p w14:paraId="30581184" w14:textId="09F918EC" w:rsidR="00895A1D" w:rsidRPr="006B42D6" w:rsidRDefault="00895A1D" w:rsidP="00895A1D">
            <w:pPr>
              <w:jc w:val="right"/>
              <w:rPr>
                <w:sz w:val="16"/>
                <w:szCs w:val="16"/>
              </w:rPr>
            </w:pPr>
            <w:r w:rsidRPr="006B42D6">
              <w:rPr>
                <w:sz w:val="16"/>
                <w:szCs w:val="16"/>
              </w:rPr>
              <w:t>180</w:t>
            </w:r>
          </w:p>
        </w:tc>
        <w:tc>
          <w:tcPr>
            <w:tcW w:w="0" w:type="auto"/>
            <w:tcBorders>
              <w:top w:val="nil"/>
              <w:left w:val="nil"/>
              <w:bottom w:val="nil"/>
              <w:right w:val="nil"/>
            </w:tcBorders>
            <w:shd w:val="clear" w:color="auto" w:fill="auto"/>
            <w:noWrap/>
            <w:vAlign w:val="bottom"/>
            <w:hideMark/>
          </w:tcPr>
          <w:p w14:paraId="3DA4D16A" w14:textId="40689948" w:rsidR="00895A1D" w:rsidRPr="006B42D6" w:rsidRDefault="00895A1D" w:rsidP="00895A1D">
            <w:pPr>
              <w:jc w:val="right"/>
              <w:rPr>
                <w:sz w:val="16"/>
                <w:szCs w:val="16"/>
              </w:rPr>
            </w:pPr>
            <w:r w:rsidRPr="006B42D6">
              <w:rPr>
                <w:sz w:val="16"/>
                <w:szCs w:val="16"/>
              </w:rPr>
              <w:t>1,206</w:t>
            </w:r>
          </w:p>
        </w:tc>
        <w:tc>
          <w:tcPr>
            <w:tcW w:w="0" w:type="auto"/>
            <w:tcBorders>
              <w:top w:val="nil"/>
              <w:left w:val="nil"/>
              <w:bottom w:val="nil"/>
              <w:right w:val="nil"/>
            </w:tcBorders>
            <w:shd w:val="clear" w:color="auto" w:fill="auto"/>
            <w:noWrap/>
            <w:vAlign w:val="bottom"/>
            <w:hideMark/>
          </w:tcPr>
          <w:p w14:paraId="7702AEE3" w14:textId="67BFB86B" w:rsidR="00895A1D" w:rsidRPr="006B42D6" w:rsidRDefault="00895A1D" w:rsidP="00895A1D">
            <w:pPr>
              <w:jc w:val="right"/>
              <w:rPr>
                <w:sz w:val="16"/>
                <w:szCs w:val="16"/>
              </w:rPr>
            </w:pPr>
            <w:r w:rsidRPr="006B42D6">
              <w:rPr>
                <w:sz w:val="16"/>
                <w:szCs w:val="16"/>
              </w:rPr>
              <w:t>30</w:t>
            </w:r>
          </w:p>
        </w:tc>
        <w:tc>
          <w:tcPr>
            <w:tcW w:w="0" w:type="auto"/>
            <w:tcBorders>
              <w:top w:val="nil"/>
              <w:left w:val="nil"/>
              <w:bottom w:val="nil"/>
              <w:right w:val="nil"/>
            </w:tcBorders>
            <w:shd w:val="clear" w:color="auto" w:fill="auto"/>
            <w:noWrap/>
            <w:vAlign w:val="bottom"/>
            <w:hideMark/>
          </w:tcPr>
          <w:p w14:paraId="3CFC436F" w14:textId="0912ACF4" w:rsidR="00895A1D" w:rsidRPr="006B42D6" w:rsidRDefault="00895A1D" w:rsidP="00895A1D">
            <w:pPr>
              <w:jc w:val="right"/>
              <w:rPr>
                <w:sz w:val="16"/>
                <w:szCs w:val="16"/>
              </w:rPr>
            </w:pPr>
            <w:r w:rsidRPr="006B42D6">
              <w:rPr>
                <w:sz w:val="16"/>
                <w:szCs w:val="16"/>
              </w:rPr>
              <w:t>210</w:t>
            </w:r>
          </w:p>
        </w:tc>
        <w:tc>
          <w:tcPr>
            <w:tcW w:w="0" w:type="auto"/>
            <w:tcBorders>
              <w:top w:val="nil"/>
              <w:left w:val="nil"/>
              <w:bottom w:val="nil"/>
              <w:right w:val="nil"/>
            </w:tcBorders>
            <w:shd w:val="clear" w:color="auto" w:fill="auto"/>
            <w:noWrap/>
            <w:vAlign w:val="bottom"/>
            <w:hideMark/>
          </w:tcPr>
          <w:p w14:paraId="34B3D4AA" w14:textId="08E4EE60" w:rsidR="00895A1D" w:rsidRPr="006B42D6" w:rsidRDefault="00895A1D" w:rsidP="00895A1D">
            <w:pPr>
              <w:jc w:val="right"/>
              <w:rPr>
                <w:sz w:val="16"/>
                <w:szCs w:val="16"/>
              </w:rPr>
            </w:pPr>
            <w:r w:rsidRPr="006B42D6">
              <w:rPr>
                <w:sz w:val="16"/>
                <w:szCs w:val="16"/>
              </w:rPr>
              <w:t>80</w:t>
            </w:r>
          </w:p>
        </w:tc>
        <w:tc>
          <w:tcPr>
            <w:tcW w:w="0" w:type="auto"/>
            <w:tcBorders>
              <w:top w:val="nil"/>
              <w:left w:val="nil"/>
              <w:bottom w:val="nil"/>
              <w:right w:val="nil"/>
            </w:tcBorders>
            <w:shd w:val="clear" w:color="auto" w:fill="auto"/>
            <w:noWrap/>
            <w:vAlign w:val="bottom"/>
            <w:hideMark/>
          </w:tcPr>
          <w:p w14:paraId="71F24157" w14:textId="0B98BFA3" w:rsidR="00895A1D" w:rsidRPr="006B42D6" w:rsidRDefault="00895A1D" w:rsidP="00895A1D">
            <w:pPr>
              <w:jc w:val="right"/>
              <w:rPr>
                <w:sz w:val="16"/>
                <w:szCs w:val="16"/>
              </w:rPr>
            </w:pPr>
            <w:r w:rsidRPr="006B42D6">
              <w:rPr>
                <w:sz w:val="16"/>
                <w:szCs w:val="16"/>
              </w:rPr>
              <w:t>607</w:t>
            </w:r>
          </w:p>
        </w:tc>
      </w:tr>
      <w:tr w:rsidR="006B42D6" w:rsidRPr="006B42D6" w14:paraId="7382B1EE" w14:textId="77777777" w:rsidTr="00D249A2">
        <w:trPr>
          <w:trHeight w:val="283"/>
        </w:trPr>
        <w:tc>
          <w:tcPr>
            <w:tcW w:w="0" w:type="auto"/>
            <w:tcBorders>
              <w:top w:val="nil"/>
              <w:left w:val="nil"/>
              <w:bottom w:val="nil"/>
            </w:tcBorders>
            <w:shd w:val="clear" w:color="auto" w:fill="auto"/>
            <w:noWrap/>
            <w:vAlign w:val="bottom"/>
            <w:hideMark/>
          </w:tcPr>
          <w:p w14:paraId="203D6F8E" w14:textId="64D51955" w:rsidR="00895A1D" w:rsidRPr="006B42D6" w:rsidRDefault="00895A1D" w:rsidP="00EF5C3C">
            <w:pPr>
              <w:jc w:val="left"/>
              <w:rPr>
                <w:sz w:val="16"/>
                <w:szCs w:val="16"/>
              </w:rPr>
            </w:pPr>
            <w:r w:rsidRPr="006B42D6">
              <w:rPr>
                <w:sz w:val="16"/>
                <w:szCs w:val="16"/>
              </w:rPr>
              <w:t>Kagera</w:t>
            </w:r>
          </w:p>
        </w:tc>
        <w:tc>
          <w:tcPr>
            <w:tcW w:w="0" w:type="auto"/>
            <w:tcBorders>
              <w:top w:val="nil"/>
              <w:bottom w:val="nil"/>
              <w:right w:val="nil"/>
            </w:tcBorders>
            <w:shd w:val="clear" w:color="auto" w:fill="auto"/>
            <w:noWrap/>
            <w:vAlign w:val="bottom"/>
            <w:hideMark/>
          </w:tcPr>
          <w:p w14:paraId="6FED4D4F" w14:textId="5BBF4A30" w:rsidR="00895A1D" w:rsidRPr="006B42D6" w:rsidRDefault="00895A1D" w:rsidP="00895A1D">
            <w:pPr>
              <w:jc w:val="right"/>
              <w:rPr>
                <w:sz w:val="16"/>
                <w:szCs w:val="16"/>
              </w:rPr>
            </w:pPr>
            <w:r w:rsidRPr="006B42D6">
              <w:rPr>
                <w:sz w:val="16"/>
                <w:szCs w:val="16"/>
              </w:rPr>
              <w:t>125,734</w:t>
            </w:r>
          </w:p>
        </w:tc>
        <w:tc>
          <w:tcPr>
            <w:tcW w:w="0" w:type="auto"/>
            <w:tcBorders>
              <w:top w:val="nil"/>
              <w:left w:val="nil"/>
              <w:bottom w:val="nil"/>
              <w:right w:val="nil"/>
            </w:tcBorders>
            <w:shd w:val="clear" w:color="auto" w:fill="auto"/>
            <w:noWrap/>
            <w:vAlign w:val="bottom"/>
            <w:hideMark/>
          </w:tcPr>
          <w:p w14:paraId="7DBBCEC6" w14:textId="63EB8D6E" w:rsidR="00895A1D" w:rsidRPr="006B42D6" w:rsidRDefault="00895A1D" w:rsidP="00895A1D">
            <w:pPr>
              <w:jc w:val="right"/>
              <w:rPr>
                <w:sz w:val="16"/>
                <w:szCs w:val="16"/>
              </w:rPr>
            </w:pPr>
            <w:r w:rsidRPr="006B42D6">
              <w:rPr>
                <w:sz w:val="16"/>
                <w:szCs w:val="16"/>
              </w:rPr>
              <w:t>50,356</w:t>
            </w:r>
          </w:p>
        </w:tc>
        <w:tc>
          <w:tcPr>
            <w:tcW w:w="0" w:type="auto"/>
            <w:tcBorders>
              <w:top w:val="nil"/>
              <w:left w:val="nil"/>
              <w:bottom w:val="nil"/>
              <w:right w:val="nil"/>
            </w:tcBorders>
            <w:shd w:val="clear" w:color="auto" w:fill="auto"/>
            <w:noWrap/>
            <w:vAlign w:val="bottom"/>
            <w:hideMark/>
          </w:tcPr>
          <w:p w14:paraId="28F88488" w14:textId="5E39D79C" w:rsidR="00895A1D" w:rsidRPr="006B42D6" w:rsidRDefault="00895A1D" w:rsidP="00895A1D">
            <w:pPr>
              <w:jc w:val="right"/>
              <w:rPr>
                <w:sz w:val="16"/>
                <w:szCs w:val="16"/>
              </w:rPr>
            </w:pPr>
            <w:r w:rsidRPr="006B42D6">
              <w:rPr>
                <w:sz w:val="16"/>
                <w:szCs w:val="16"/>
              </w:rPr>
              <w:t>319,284</w:t>
            </w:r>
          </w:p>
        </w:tc>
        <w:tc>
          <w:tcPr>
            <w:tcW w:w="0" w:type="auto"/>
            <w:tcBorders>
              <w:top w:val="nil"/>
              <w:left w:val="nil"/>
              <w:bottom w:val="nil"/>
              <w:right w:val="nil"/>
            </w:tcBorders>
            <w:shd w:val="clear" w:color="auto" w:fill="auto"/>
            <w:noWrap/>
            <w:vAlign w:val="bottom"/>
            <w:hideMark/>
          </w:tcPr>
          <w:p w14:paraId="61011FF5" w14:textId="6F74DAFC" w:rsidR="00895A1D" w:rsidRPr="006B42D6" w:rsidRDefault="00895A1D" w:rsidP="00895A1D">
            <w:pPr>
              <w:jc w:val="right"/>
              <w:rPr>
                <w:sz w:val="16"/>
                <w:szCs w:val="16"/>
              </w:rPr>
            </w:pPr>
            <w:r w:rsidRPr="006B42D6">
              <w:rPr>
                <w:sz w:val="16"/>
                <w:szCs w:val="16"/>
              </w:rPr>
              <w:t>86,830</w:t>
            </w:r>
          </w:p>
        </w:tc>
        <w:tc>
          <w:tcPr>
            <w:tcW w:w="0" w:type="auto"/>
            <w:tcBorders>
              <w:top w:val="nil"/>
              <w:left w:val="nil"/>
              <w:bottom w:val="nil"/>
              <w:right w:val="nil"/>
            </w:tcBorders>
            <w:shd w:val="clear" w:color="auto" w:fill="auto"/>
            <w:noWrap/>
            <w:vAlign w:val="bottom"/>
            <w:hideMark/>
          </w:tcPr>
          <w:p w14:paraId="0333EFF2" w14:textId="70D0B46E" w:rsidR="00895A1D" w:rsidRPr="006B42D6" w:rsidRDefault="00895A1D" w:rsidP="00895A1D">
            <w:pPr>
              <w:jc w:val="right"/>
              <w:rPr>
                <w:sz w:val="16"/>
                <w:szCs w:val="16"/>
              </w:rPr>
            </w:pPr>
            <w:r w:rsidRPr="006B42D6">
              <w:rPr>
                <w:sz w:val="16"/>
                <w:szCs w:val="16"/>
              </w:rPr>
              <w:t>137,186</w:t>
            </w:r>
          </w:p>
        </w:tc>
        <w:tc>
          <w:tcPr>
            <w:tcW w:w="0" w:type="auto"/>
            <w:tcBorders>
              <w:top w:val="nil"/>
              <w:left w:val="nil"/>
              <w:bottom w:val="nil"/>
              <w:right w:val="nil"/>
            </w:tcBorders>
            <w:shd w:val="clear" w:color="auto" w:fill="auto"/>
            <w:noWrap/>
            <w:vAlign w:val="bottom"/>
            <w:hideMark/>
          </w:tcPr>
          <w:p w14:paraId="7A88C6A4" w14:textId="465AA664" w:rsidR="00895A1D" w:rsidRPr="006B42D6" w:rsidRDefault="00895A1D" w:rsidP="00895A1D">
            <w:pPr>
              <w:jc w:val="right"/>
              <w:rPr>
                <w:sz w:val="16"/>
                <w:szCs w:val="16"/>
              </w:rPr>
            </w:pPr>
            <w:r w:rsidRPr="006B42D6">
              <w:rPr>
                <w:sz w:val="16"/>
                <w:szCs w:val="16"/>
              </w:rPr>
              <w:t>102,630</w:t>
            </w:r>
          </w:p>
        </w:tc>
        <w:tc>
          <w:tcPr>
            <w:tcW w:w="0" w:type="auto"/>
            <w:tcBorders>
              <w:top w:val="nil"/>
              <w:left w:val="nil"/>
              <w:bottom w:val="nil"/>
              <w:right w:val="nil"/>
            </w:tcBorders>
            <w:shd w:val="clear" w:color="auto" w:fill="auto"/>
            <w:noWrap/>
            <w:vAlign w:val="bottom"/>
            <w:hideMark/>
          </w:tcPr>
          <w:p w14:paraId="6C397677" w14:textId="1710956E" w:rsidR="00895A1D" w:rsidRPr="006B42D6" w:rsidRDefault="00895A1D" w:rsidP="00895A1D">
            <w:pPr>
              <w:jc w:val="right"/>
              <w:rPr>
                <w:sz w:val="16"/>
                <w:szCs w:val="16"/>
              </w:rPr>
            </w:pPr>
            <w:r w:rsidRPr="006B42D6">
              <w:rPr>
                <w:sz w:val="16"/>
                <w:szCs w:val="16"/>
              </w:rPr>
              <w:t>1,031,452</w:t>
            </w:r>
          </w:p>
        </w:tc>
      </w:tr>
      <w:tr w:rsidR="006B42D6" w:rsidRPr="006B42D6" w14:paraId="132D5D77" w14:textId="77777777" w:rsidTr="00D249A2">
        <w:trPr>
          <w:trHeight w:val="283"/>
        </w:trPr>
        <w:tc>
          <w:tcPr>
            <w:tcW w:w="0" w:type="auto"/>
            <w:tcBorders>
              <w:top w:val="nil"/>
              <w:left w:val="nil"/>
              <w:bottom w:val="nil"/>
            </w:tcBorders>
            <w:shd w:val="clear" w:color="auto" w:fill="auto"/>
            <w:noWrap/>
            <w:vAlign w:val="bottom"/>
            <w:hideMark/>
          </w:tcPr>
          <w:p w14:paraId="77F0FDA8" w14:textId="66ED72F6" w:rsidR="00895A1D" w:rsidRPr="006B42D6" w:rsidRDefault="00895A1D" w:rsidP="00EF5C3C">
            <w:pPr>
              <w:jc w:val="left"/>
              <w:rPr>
                <w:sz w:val="16"/>
                <w:szCs w:val="16"/>
              </w:rPr>
            </w:pPr>
            <w:r w:rsidRPr="006B42D6">
              <w:rPr>
                <w:sz w:val="16"/>
                <w:szCs w:val="16"/>
              </w:rPr>
              <w:t>Mwanza</w:t>
            </w:r>
          </w:p>
        </w:tc>
        <w:tc>
          <w:tcPr>
            <w:tcW w:w="0" w:type="auto"/>
            <w:tcBorders>
              <w:top w:val="nil"/>
              <w:bottom w:val="nil"/>
              <w:right w:val="nil"/>
            </w:tcBorders>
            <w:shd w:val="clear" w:color="auto" w:fill="auto"/>
            <w:noWrap/>
            <w:vAlign w:val="bottom"/>
            <w:hideMark/>
          </w:tcPr>
          <w:p w14:paraId="733FFC28" w14:textId="4ED18932" w:rsidR="00895A1D" w:rsidRPr="006B42D6" w:rsidRDefault="00895A1D" w:rsidP="00895A1D">
            <w:pPr>
              <w:jc w:val="right"/>
              <w:rPr>
                <w:sz w:val="16"/>
                <w:szCs w:val="16"/>
              </w:rPr>
            </w:pPr>
            <w:r w:rsidRPr="006B42D6">
              <w:rPr>
                <w:sz w:val="16"/>
                <w:szCs w:val="16"/>
              </w:rPr>
              <w:t>34,490</w:t>
            </w:r>
          </w:p>
        </w:tc>
        <w:tc>
          <w:tcPr>
            <w:tcW w:w="0" w:type="auto"/>
            <w:tcBorders>
              <w:top w:val="nil"/>
              <w:left w:val="nil"/>
              <w:bottom w:val="nil"/>
              <w:right w:val="nil"/>
            </w:tcBorders>
            <w:shd w:val="clear" w:color="auto" w:fill="auto"/>
            <w:noWrap/>
            <w:vAlign w:val="bottom"/>
            <w:hideMark/>
          </w:tcPr>
          <w:p w14:paraId="78B97A8C" w14:textId="424CFF7C" w:rsidR="00895A1D" w:rsidRPr="006B42D6" w:rsidRDefault="00895A1D" w:rsidP="00895A1D">
            <w:pPr>
              <w:jc w:val="right"/>
              <w:rPr>
                <w:sz w:val="16"/>
                <w:szCs w:val="16"/>
              </w:rPr>
            </w:pPr>
            <w:r w:rsidRPr="006B42D6">
              <w:rPr>
                <w:sz w:val="16"/>
                <w:szCs w:val="16"/>
              </w:rPr>
              <w:t>2,921</w:t>
            </w:r>
          </w:p>
        </w:tc>
        <w:tc>
          <w:tcPr>
            <w:tcW w:w="0" w:type="auto"/>
            <w:tcBorders>
              <w:top w:val="nil"/>
              <w:left w:val="nil"/>
              <w:bottom w:val="nil"/>
              <w:right w:val="nil"/>
            </w:tcBorders>
            <w:shd w:val="clear" w:color="auto" w:fill="auto"/>
            <w:noWrap/>
            <w:vAlign w:val="bottom"/>
            <w:hideMark/>
          </w:tcPr>
          <w:p w14:paraId="7E9F3BF9" w14:textId="45EA570E" w:rsidR="00895A1D" w:rsidRPr="006B42D6" w:rsidRDefault="00895A1D" w:rsidP="00895A1D">
            <w:pPr>
              <w:jc w:val="right"/>
              <w:rPr>
                <w:sz w:val="16"/>
                <w:szCs w:val="16"/>
              </w:rPr>
            </w:pPr>
            <w:r w:rsidRPr="006B42D6">
              <w:rPr>
                <w:sz w:val="16"/>
                <w:szCs w:val="16"/>
              </w:rPr>
              <w:t>15,678</w:t>
            </w:r>
          </w:p>
        </w:tc>
        <w:tc>
          <w:tcPr>
            <w:tcW w:w="0" w:type="auto"/>
            <w:tcBorders>
              <w:top w:val="nil"/>
              <w:left w:val="nil"/>
              <w:bottom w:val="nil"/>
              <w:right w:val="nil"/>
            </w:tcBorders>
            <w:shd w:val="clear" w:color="auto" w:fill="auto"/>
            <w:noWrap/>
            <w:vAlign w:val="bottom"/>
            <w:hideMark/>
          </w:tcPr>
          <w:p w14:paraId="3DCCCE0C" w14:textId="7511ADCE" w:rsidR="00895A1D" w:rsidRPr="006B42D6" w:rsidRDefault="00895A1D" w:rsidP="00895A1D">
            <w:pPr>
              <w:jc w:val="right"/>
              <w:rPr>
                <w:sz w:val="16"/>
                <w:szCs w:val="16"/>
              </w:rPr>
            </w:pPr>
            <w:r w:rsidRPr="006B42D6">
              <w:rPr>
                <w:sz w:val="16"/>
                <w:szCs w:val="16"/>
              </w:rPr>
              <w:t>1,026</w:t>
            </w:r>
          </w:p>
        </w:tc>
        <w:tc>
          <w:tcPr>
            <w:tcW w:w="0" w:type="auto"/>
            <w:tcBorders>
              <w:top w:val="nil"/>
              <w:left w:val="nil"/>
              <w:bottom w:val="nil"/>
              <w:right w:val="nil"/>
            </w:tcBorders>
            <w:shd w:val="clear" w:color="auto" w:fill="auto"/>
            <w:noWrap/>
            <w:vAlign w:val="bottom"/>
            <w:hideMark/>
          </w:tcPr>
          <w:p w14:paraId="75096F4F" w14:textId="065EF8A5" w:rsidR="00895A1D" w:rsidRPr="006B42D6" w:rsidRDefault="00895A1D" w:rsidP="00895A1D">
            <w:pPr>
              <w:jc w:val="right"/>
              <w:rPr>
                <w:sz w:val="16"/>
                <w:szCs w:val="16"/>
              </w:rPr>
            </w:pPr>
            <w:r w:rsidRPr="006B42D6">
              <w:rPr>
                <w:sz w:val="16"/>
                <w:szCs w:val="16"/>
              </w:rPr>
              <w:t>3,947</w:t>
            </w:r>
          </w:p>
        </w:tc>
        <w:tc>
          <w:tcPr>
            <w:tcW w:w="0" w:type="auto"/>
            <w:tcBorders>
              <w:top w:val="nil"/>
              <w:left w:val="nil"/>
              <w:bottom w:val="nil"/>
              <w:right w:val="nil"/>
            </w:tcBorders>
            <w:shd w:val="clear" w:color="auto" w:fill="auto"/>
            <w:noWrap/>
            <w:vAlign w:val="bottom"/>
            <w:hideMark/>
          </w:tcPr>
          <w:p w14:paraId="06001872" w14:textId="2AA915C3" w:rsidR="00895A1D" w:rsidRPr="006B42D6" w:rsidRDefault="00895A1D" w:rsidP="00895A1D">
            <w:pPr>
              <w:jc w:val="right"/>
              <w:rPr>
                <w:sz w:val="16"/>
                <w:szCs w:val="16"/>
              </w:rPr>
            </w:pPr>
            <w:r w:rsidRPr="006B42D6">
              <w:rPr>
                <w:sz w:val="16"/>
                <w:szCs w:val="16"/>
              </w:rPr>
              <w:t>675</w:t>
            </w:r>
          </w:p>
        </w:tc>
        <w:tc>
          <w:tcPr>
            <w:tcW w:w="0" w:type="auto"/>
            <w:tcBorders>
              <w:top w:val="nil"/>
              <w:left w:val="nil"/>
              <w:bottom w:val="nil"/>
              <w:right w:val="nil"/>
            </w:tcBorders>
            <w:shd w:val="clear" w:color="auto" w:fill="auto"/>
            <w:noWrap/>
            <w:vAlign w:val="bottom"/>
            <w:hideMark/>
          </w:tcPr>
          <w:p w14:paraId="4CB692DF" w14:textId="3358AEAC" w:rsidR="00895A1D" w:rsidRPr="006B42D6" w:rsidRDefault="00895A1D" w:rsidP="00895A1D">
            <w:pPr>
              <w:jc w:val="right"/>
              <w:rPr>
                <w:sz w:val="16"/>
                <w:szCs w:val="16"/>
              </w:rPr>
            </w:pPr>
            <w:r w:rsidRPr="006B42D6">
              <w:rPr>
                <w:sz w:val="16"/>
                <w:szCs w:val="16"/>
              </w:rPr>
              <w:t>12,047</w:t>
            </w:r>
          </w:p>
        </w:tc>
      </w:tr>
      <w:tr w:rsidR="006B42D6" w:rsidRPr="006B42D6" w14:paraId="0A06B2A0" w14:textId="77777777" w:rsidTr="00D249A2">
        <w:trPr>
          <w:trHeight w:val="283"/>
        </w:trPr>
        <w:tc>
          <w:tcPr>
            <w:tcW w:w="0" w:type="auto"/>
            <w:tcBorders>
              <w:top w:val="nil"/>
              <w:left w:val="nil"/>
              <w:bottom w:val="nil"/>
            </w:tcBorders>
            <w:shd w:val="clear" w:color="auto" w:fill="auto"/>
            <w:noWrap/>
            <w:vAlign w:val="bottom"/>
            <w:hideMark/>
          </w:tcPr>
          <w:p w14:paraId="4E6759A6" w14:textId="0A457027" w:rsidR="00895A1D" w:rsidRPr="006B42D6" w:rsidRDefault="00895A1D" w:rsidP="00EF5C3C">
            <w:pPr>
              <w:jc w:val="left"/>
              <w:rPr>
                <w:sz w:val="16"/>
                <w:szCs w:val="16"/>
              </w:rPr>
            </w:pPr>
            <w:r w:rsidRPr="006B42D6">
              <w:rPr>
                <w:sz w:val="16"/>
                <w:szCs w:val="16"/>
              </w:rPr>
              <w:t>Mara</w:t>
            </w:r>
          </w:p>
        </w:tc>
        <w:tc>
          <w:tcPr>
            <w:tcW w:w="0" w:type="auto"/>
            <w:tcBorders>
              <w:top w:val="nil"/>
              <w:bottom w:val="nil"/>
              <w:right w:val="nil"/>
            </w:tcBorders>
            <w:shd w:val="clear" w:color="auto" w:fill="auto"/>
            <w:noWrap/>
            <w:vAlign w:val="bottom"/>
            <w:hideMark/>
          </w:tcPr>
          <w:p w14:paraId="6DE710B7" w14:textId="4E4E6774" w:rsidR="00895A1D" w:rsidRPr="006B42D6" w:rsidRDefault="00895A1D" w:rsidP="00895A1D">
            <w:pPr>
              <w:jc w:val="right"/>
              <w:rPr>
                <w:sz w:val="16"/>
                <w:szCs w:val="16"/>
              </w:rPr>
            </w:pPr>
            <w:r w:rsidRPr="006B42D6">
              <w:rPr>
                <w:sz w:val="16"/>
                <w:szCs w:val="16"/>
              </w:rPr>
              <w:t>6,598</w:t>
            </w:r>
          </w:p>
        </w:tc>
        <w:tc>
          <w:tcPr>
            <w:tcW w:w="0" w:type="auto"/>
            <w:tcBorders>
              <w:top w:val="nil"/>
              <w:left w:val="nil"/>
              <w:bottom w:val="nil"/>
              <w:right w:val="nil"/>
            </w:tcBorders>
            <w:shd w:val="clear" w:color="auto" w:fill="auto"/>
            <w:noWrap/>
            <w:vAlign w:val="bottom"/>
            <w:hideMark/>
          </w:tcPr>
          <w:p w14:paraId="54792D66" w14:textId="2A6CA721" w:rsidR="00895A1D" w:rsidRPr="006B42D6" w:rsidRDefault="00895A1D" w:rsidP="00895A1D">
            <w:pPr>
              <w:jc w:val="right"/>
              <w:rPr>
                <w:sz w:val="16"/>
                <w:szCs w:val="16"/>
              </w:rPr>
            </w:pPr>
            <w:r w:rsidRPr="006B42D6">
              <w:rPr>
                <w:sz w:val="16"/>
                <w:szCs w:val="16"/>
              </w:rPr>
              <w:t>1,892</w:t>
            </w:r>
          </w:p>
        </w:tc>
        <w:tc>
          <w:tcPr>
            <w:tcW w:w="0" w:type="auto"/>
            <w:tcBorders>
              <w:top w:val="nil"/>
              <w:left w:val="nil"/>
              <w:bottom w:val="nil"/>
              <w:right w:val="nil"/>
            </w:tcBorders>
            <w:shd w:val="clear" w:color="auto" w:fill="auto"/>
            <w:noWrap/>
            <w:vAlign w:val="bottom"/>
            <w:hideMark/>
          </w:tcPr>
          <w:p w14:paraId="47CF71B4" w14:textId="34093891" w:rsidR="00895A1D" w:rsidRPr="006B42D6" w:rsidRDefault="00895A1D" w:rsidP="00895A1D">
            <w:pPr>
              <w:jc w:val="right"/>
              <w:rPr>
                <w:sz w:val="16"/>
                <w:szCs w:val="16"/>
              </w:rPr>
            </w:pPr>
            <w:r w:rsidRPr="006B42D6">
              <w:rPr>
                <w:sz w:val="16"/>
                <w:szCs w:val="16"/>
              </w:rPr>
              <w:t>8,504</w:t>
            </w:r>
          </w:p>
        </w:tc>
        <w:tc>
          <w:tcPr>
            <w:tcW w:w="0" w:type="auto"/>
            <w:tcBorders>
              <w:top w:val="nil"/>
              <w:left w:val="nil"/>
              <w:bottom w:val="nil"/>
              <w:right w:val="nil"/>
            </w:tcBorders>
            <w:shd w:val="clear" w:color="auto" w:fill="auto"/>
            <w:noWrap/>
            <w:vAlign w:val="bottom"/>
            <w:hideMark/>
          </w:tcPr>
          <w:p w14:paraId="7C49E373" w14:textId="0B73C7A9" w:rsidR="00895A1D" w:rsidRPr="006B42D6" w:rsidRDefault="00895A1D" w:rsidP="00895A1D">
            <w:pPr>
              <w:jc w:val="right"/>
              <w:rPr>
                <w:sz w:val="16"/>
                <w:szCs w:val="16"/>
              </w:rPr>
            </w:pPr>
            <w:r w:rsidRPr="006B42D6">
              <w:rPr>
                <w:sz w:val="16"/>
                <w:szCs w:val="16"/>
              </w:rPr>
              <w:t>1,785</w:t>
            </w:r>
          </w:p>
        </w:tc>
        <w:tc>
          <w:tcPr>
            <w:tcW w:w="0" w:type="auto"/>
            <w:tcBorders>
              <w:top w:val="nil"/>
              <w:left w:val="nil"/>
              <w:bottom w:val="nil"/>
              <w:right w:val="nil"/>
            </w:tcBorders>
            <w:shd w:val="clear" w:color="auto" w:fill="auto"/>
            <w:noWrap/>
            <w:vAlign w:val="bottom"/>
            <w:hideMark/>
          </w:tcPr>
          <w:p w14:paraId="39A7A38C" w14:textId="0FEDD015" w:rsidR="00895A1D" w:rsidRPr="006B42D6" w:rsidRDefault="00895A1D" w:rsidP="00895A1D">
            <w:pPr>
              <w:jc w:val="right"/>
              <w:rPr>
                <w:sz w:val="16"/>
                <w:szCs w:val="16"/>
              </w:rPr>
            </w:pPr>
            <w:r w:rsidRPr="006B42D6">
              <w:rPr>
                <w:sz w:val="16"/>
                <w:szCs w:val="16"/>
              </w:rPr>
              <w:t>3,677</w:t>
            </w:r>
          </w:p>
        </w:tc>
        <w:tc>
          <w:tcPr>
            <w:tcW w:w="0" w:type="auto"/>
            <w:tcBorders>
              <w:top w:val="nil"/>
              <w:left w:val="nil"/>
              <w:bottom w:val="nil"/>
              <w:right w:val="nil"/>
            </w:tcBorders>
            <w:shd w:val="clear" w:color="auto" w:fill="auto"/>
            <w:noWrap/>
            <w:vAlign w:val="bottom"/>
            <w:hideMark/>
          </w:tcPr>
          <w:p w14:paraId="6F39F392" w14:textId="0CB3151B" w:rsidR="00895A1D" w:rsidRPr="006B42D6" w:rsidRDefault="00895A1D" w:rsidP="00895A1D">
            <w:pPr>
              <w:jc w:val="right"/>
              <w:rPr>
                <w:sz w:val="16"/>
                <w:szCs w:val="16"/>
              </w:rPr>
            </w:pPr>
            <w:r w:rsidRPr="006B42D6">
              <w:rPr>
                <w:sz w:val="16"/>
                <w:szCs w:val="16"/>
              </w:rPr>
              <w:t>2,350</w:t>
            </w:r>
          </w:p>
        </w:tc>
        <w:tc>
          <w:tcPr>
            <w:tcW w:w="0" w:type="auto"/>
            <w:tcBorders>
              <w:top w:val="nil"/>
              <w:left w:val="nil"/>
              <w:bottom w:val="nil"/>
              <w:right w:val="nil"/>
            </w:tcBorders>
            <w:shd w:val="clear" w:color="auto" w:fill="auto"/>
            <w:noWrap/>
            <w:vAlign w:val="bottom"/>
            <w:hideMark/>
          </w:tcPr>
          <w:p w14:paraId="1D420D58" w14:textId="494443EE" w:rsidR="00895A1D" w:rsidRPr="006B42D6" w:rsidRDefault="00895A1D" w:rsidP="00895A1D">
            <w:pPr>
              <w:jc w:val="right"/>
              <w:rPr>
                <w:sz w:val="16"/>
                <w:szCs w:val="16"/>
              </w:rPr>
            </w:pPr>
            <w:r w:rsidRPr="006B42D6">
              <w:rPr>
                <w:sz w:val="16"/>
                <w:szCs w:val="16"/>
              </w:rPr>
              <w:t>16,875</w:t>
            </w:r>
          </w:p>
        </w:tc>
      </w:tr>
      <w:tr w:rsidR="006B42D6" w:rsidRPr="006B42D6" w14:paraId="55101EE6" w14:textId="77777777" w:rsidTr="00D249A2">
        <w:trPr>
          <w:trHeight w:val="283"/>
        </w:trPr>
        <w:tc>
          <w:tcPr>
            <w:tcW w:w="0" w:type="auto"/>
            <w:tcBorders>
              <w:top w:val="nil"/>
              <w:left w:val="nil"/>
              <w:bottom w:val="nil"/>
            </w:tcBorders>
            <w:shd w:val="clear" w:color="auto" w:fill="auto"/>
            <w:noWrap/>
            <w:vAlign w:val="bottom"/>
            <w:hideMark/>
          </w:tcPr>
          <w:p w14:paraId="3DFF6CCE" w14:textId="150C8260" w:rsidR="00895A1D" w:rsidRPr="006B42D6" w:rsidRDefault="00895A1D" w:rsidP="00EF5C3C">
            <w:pPr>
              <w:jc w:val="left"/>
              <w:rPr>
                <w:sz w:val="16"/>
                <w:szCs w:val="16"/>
              </w:rPr>
            </w:pPr>
            <w:r w:rsidRPr="006B42D6">
              <w:rPr>
                <w:sz w:val="16"/>
                <w:szCs w:val="16"/>
              </w:rPr>
              <w:t>Manyara</w:t>
            </w:r>
          </w:p>
        </w:tc>
        <w:tc>
          <w:tcPr>
            <w:tcW w:w="0" w:type="auto"/>
            <w:tcBorders>
              <w:top w:val="nil"/>
              <w:bottom w:val="nil"/>
              <w:right w:val="nil"/>
            </w:tcBorders>
            <w:shd w:val="clear" w:color="auto" w:fill="auto"/>
            <w:noWrap/>
            <w:vAlign w:val="bottom"/>
            <w:hideMark/>
          </w:tcPr>
          <w:p w14:paraId="0AFDFC06" w14:textId="1785747A" w:rsidR="00895A1D" w:rsidRPr="006B42D6" w:rsidRDefault="00895A1D" w:rsidP="00895A1D">
            <w:pPr>
              <w:jc w:val="right"/>
              <w:rPr>
                <w:sz w:val="16"/>
                <w:szCs w:val="16"/>
              </w:rPr>
            </w:pPr>
            <w:r w:rsidRPr="006B42D6">
              <w:rPr>
                <w:sz w:val="16"/>
                <w:szCs w:val="16"/>
              </w:rPr>
              <w:t>6,440</w:t>
            </w:r>
          </w:p>
        </w:tc>
        <w:tc>
          <w:tcPr>
            <w:tcW w:w="0" w:type="auto"/>
            <w:tcBorders>
              <w:top w:val="nil"/>
              <w:left w:val="nil"/>
              <w:bottom w:val="nil"/>
              <w:right w:val="nil"/>
            </w:tcBorders>
            <w:shd w:val="clear" w:color="auto" w:fill="auto"/>
            <w:noWrap/>
            <w:vAlign w:val="bottom"/>
            <w:hideMark/>
          </w:tcPr>
          <w:p w14:paraId="4CBA15D8" w14:textId="19FADCB2" w:rsidR="00895A1D" w:rsidRPr="006B42D6" w:rsidRDefault="00895A1D" w:rsidP="00895A1D">
            <w:pPr>
              <w:jc w:val="right"/>
              <w:rPr>
                <w:sz w:val="16"/>
                <w:szCs w:val="16"/>
              </w:rPr>
            </w:pPr>
            <w:r w:rsidRPr="006B42D6">
              <w:rPr>
                <w:sz w:val="16"/>
                <w:szCs w:val="16"/>
              </w:rPr>
              <w:t>524</w:t>
            </w:r>
          </w:p>
        </w:tc>
        <w:tc>
          <w:tcPr>
            <w:tcW w:w="0" w:type="auto"/>
            <w:tcBorders>
              <w:top w:val="nil"/>
              <w:left w:val="nil"/>
              <w:bottom w:val="nil"/>
              <w:right w:val="nil"/>
            </w:tcBorders>
            <w:shd w:val="clear" w:color="auto" w:fill="auto"/>
            <w:noWrap/>
            <w:vAlign w:val="bottom"/>
            <w:hideMark/>
          </w:tcPr>
          <w:p w14:paraId="19E4EAFE" w14:textId="1283AA67" w:rsidR="00895A1D" w:rsidRPr="006B42D6" w:rsidRDefault="00895A1D" w:rsidP="00895A1D">
            <w:pPr>
              <w:jc w:val="right"/>
              <w:rPr>
                <w:sz w:val="16"/>
                <w:szCs w:val="16"/>
              </w:rPr>
            </w:pPr>
            <w:r w:rsidRPr="006B42D6">
              <w:rPr>
                <w:sz w:val="16"/>
                <w:szCs w:val="16"/>
              </w:rPr>
              <w:t>3,095</w:t>
            </w:r>
          </w:p>
        </w:tc>
        <w:tc>
          <w:tcPr>
            <w:tcW w:w="0" w:type="auto"/>
            <w:tcBorders>
              <w:top w:val="nil"/>
              <w:left w:val="nil"/>
              <w:bottom w:val="nil"/>
              <w:right w:val="nil"/>
            </w:tcBorders>
            <w:shd w:val="clear" w:color="auto" w:fill="auto"/>
            <w:noWrap/>
            <w:vAlign w:val="bottom"/>
            <w:hideMark/>
          </w:tcPr>
          <w:p w14:paraId="7E17DED9" w14:textId="380D9791" w:rsidR="00895A1D" w:rsidRPr="006B42D6" w:rsidRDefault="00895A1D" w:rsidP="00895A1D">
            <w:pPr>
              <w:jc w:val="right"/>
              <w:rPr>
                <w:sz w:val="16"/>
                <w:szCs w:val="16"/>
              </w:rPr>
            </w:pPr>
            <w:r w:rsidRPr="006B42D6">
              <w:rPr>
                <w:sz w:val="16"/>
                <w:szCs w:val="16"/>
              </w:rPr>
              <w:t>218</w:t>
            </w:r>
          </w:p>
        </w:tc>
        <w:tc>
          <w:tcPr>
            <w:tcW w:w="0" w:type="auto"/>
            <w:tcBorders>
              <w:top w:val="nil"/>
              <w:left w:val="nil"/>
              <w:bottom w:val="nil"/>
              <w:right w:val="nil"/>
            </w:tcBorders>
            <w:shd w:val="clear" w:color="auto" w:fill="auto"/>
            <w:noWrap/>
            <w:vAlign w:val="bottom"/>
            <w:hideMark/>
          </w:tcPr>
          <w:p w14:paraId="74CD1D18" w14:textId="4CC36D24" w:rsidR="00895A1D" w:rsidRPr="006B42D6" w:rsidRDefault="00895A1D" w:rsidP="00895A1D">
            <w:pPr>
              <w:jc w:val="right"/>
              <w:rPr>
                <w:sz w:val="16"/>
                <w:szCs w:val="16"/>
              </w:rPr>
            </w:pPr>
            <w:r w:rsidRPr="006B42D6">
              <w:rPr>
                <w:sz w:val="16"/>
                <w:szCs w:val="16"/>
              </w:rPr>
              <w:t>741</w:t>
            </w:r>
          </w:p>
        </w:tc>
        <w:tc>
          <w:tcPr>
            <w:tcW w:w="0" w:type="auto"/>
            <w:tcBorders>
              <w:top w:val="nil"/>
              <w:left w:val="nil"/>
              <w:bottom w:val="nil"/>
              <w:right w:val="nil"/>
            </w:tcBorders>
            <w:shd w:val="clear" w:color="auto" w:fill="auto"/>
            <w:noWrap/>
            <w:vAlign w:val="bottom"/>
            <w:hideMark/>
          </w:tcPr>
          <w:p w14:paraId="7BE22211" w14:textId="085B081D" w:rsidR="00895A1D" w:rsidRPr="006B42D6" w:rsidRDefault="00895A1D" w:rsidP="00895A1D">
            <w:pPr>
              <w:jc w:val="right"/>
              <w:rPr>
                <w:sz w:val="16"/>
                <w:szCs w:val="16"/>
              </w:rPr>
            </w:pPr>
            <w:r w:rsidRPr="006B42D6">
              <w:rPr>
                <w:sz w:val="16"/>
                <w:szCs w:val="16"/>
              </w:rPr>
              <w:t>361</w:t>
            </w:r>
          </w:p>
        </w:tc>
        <w:tc>
          <w:tcPr>
            <w:tcW w:w="0" w:type="auto"/>
            <w:tcBorders>
              <w:top w:val="nil"/>
              <w:left w:val="nil"/>
              <w:bottom w:val="nil"/>
              <w:right w:val="nil"/>
            </w:tcBorders>
            <w:shd w:val="clear" w:color="auto" w:fill="auto"/>
            <w:noWrap/>
            <w:vAlign w:val="bottom"/>
            <w:hideMark/>
          </w:tcPr>
          <w:p w14:paraId="2D41EC39" w14:textId="332BC55E" w:rsidR="00895A1D" w:rsidRPr="006B42D6" w:rsidRDefault="00895A1D" w:rsidP="00895A1D">
            <w:pPr>
              <w:jc w:val="right"/>
              <w:rPr>
                <w:sz w:val="16"/>
                <w:szCs w:val="16"/>
              </w:rPr>
            </w:pPr>
            <w:r w:rsidRPr="006B42D6">
              <w:rPr>
                <w:sz w:val="16"/>
                <w:szCs w:val="16"/>
              </w:rPr>
              <w:t>2,760</w:t>
            </w:r>
          </w:p>
        </w:tc>
      </w:tr>
      <w:tr w:rsidR="006B42D6" w:rsidRPr="006B42D6" w14:paraId="30778652" w14:textId="77777777" w:rsidTr="00D249A2">
        <w:trPr>
          <w:trHeight w:val="283"/>
        </w:trPr>
        <w:tc>
          <w:tcPr>
            <w:tcW w:w="0" w:type="auto"/>
            <w:tcBorders>
              <w:top w:val="nil"/>
              <w:left w:val="nil"/>
              <w:bottom w:val="nil"/>
            </w:tcBorders>
            <w:shd w:val="clear" w:color="auto" w:fill="auto"/>
            <w:noWrap/>
            <w:vAlign w:val="bottom"/>
            <w:hideMark/>
          </w:tcPr>
          <w:p w14:paraId="667E2F60" w14:textId="3C7F81A8" w:rsidR="00895A1D" w:rsidRPr="006B42D6" w:rsidRDefault="00895A1D" w:rsidP="00EF5C3C">
            <w:pPr>
              <w:jc w:val="left"/>
              <w:rPr>
                <w:sz w:val="16"/>
                <w:szCs w:val="16"/>
              </w:rPr>
            </w:pPr>
            <w:r w:rsidRPr="006B42D6">
              <w:rPr>
                <w:sz w:val="16"/>
                <w:szCs w:val="16"/>
              </w:rPr>
              <w:t>Njombe</w:t>
            </w:r>
          </w:p>
        </w:tc>
        <w:tc>
          <w:tcPr>
            <w:tcW w:w="0" w:type="auto"/>
            <w:tcBorders>
              <w:top w:val="nil"/>
              <w:bottom w:val="nil"/>
              <w:right w:val="nil"/>
            </w:tcBorders>
            <w:shd w:val="clear" w:color="auto" w:fill="auto"/>
            <w:noWrap/>
            <w:vAlign w:val="bottom"/>
            <w:hideMark/>
          </w:tcPr>
          <w:p w14:paraId="11EC5D34" w14:textId="6823DB1B" w:rsidR="00895A1D" w:rsidRPr="006B42D6" w:rsidRDefault="00895A1D" w:rsidP="00895A1D">
            <w:pPr>
              <w:jc w:val="right"/>
              <w:rPr>
                <w:sz w:val="16"/>
                <w:szCs w:val="16"/>
              </w:rPr>
            </w:pPr>
            <w:r w:rsidRPr="006B42D6">
              <w:rPr>
                <w:sz w:val="16"/>
                <w:szCs w:val="16"/>
              </w:rPr>
              <w:t>8,762</w:t>
            </w:r>
          </w:p>
        </w:tc>
        <w:tc>
          <w:tcPr>
            <w:tcW w:w="0" w:type="auto"/>
            <w:tcBorders>
              <w:top w:val="nil"/>
              <w:left w:val="nil"/>
              <w:bottom w:val="nil"/>
              <w:right w:val="nil"/>
            </w:tcBorders>
            <w:shd w:val="clear" w:color="auto" w:fill="auto"/>
            <w:noWrap/>
            <w:vAlign w:val="bottom"/>
            <w:hideMark/>
          </w:tcPr>
          <w:p w14:paraId="33C059E0" w14:textId="19AA45FD" w:rsidR="00895A1D" w:rsidRPr="006B42D6" w:rsidRDefault="00895A1D" w:rsidP="00895A1D">
            <w:pPr>
              <w:jc w:val="right"/>
              <w:rPr>
                <w:sz w:val="16"/>
                <w:szCs w:val="16"/>
              </w:rPr>
            </w:pPr>
            <w:r w:rsidRPr="006B42D6">
              <w:rPr>
                <w:sz w:val="16"/>
                <w:szCs w:val="16"/>
              </w:rPr>
              <w:t>1,790</w:t>
            </w:r>
          </w:p>
        </w:tc>
        <w:tc>
          <w:tcPr>
            <w:tcW w:w="0" w:type="auto"/>
            <w:tcBorders>
              <w:top w:val="nil"/>
              <w:left w:val="nil"/>
              <w:bottom w:val="nil"/>
              <w:right w:val="nil"/>
            </w:tcBorders>
            <w:shd w:val="clear" w:color="auto" w:fill="auto"/>
            <w:noWrap/>
            <w:vAlign w:val="bottom"/>
            <w:hideMark/>
          </w:tcPr>
          <w:p w14:paraId="7544B2E0" w14:textId="5AE5EA2A" w:rsidR="00895A1D" w:rsidRPr="006B42D6" w:rsidRDefault="00895A1D" w:rsidP="00895A1D">
            <w:pPr>
              <w:jc w:val="right"/>
              <w:rPr>
                <w:sz w:val="16"/>
                <w:szCs w:val="16"/>
              </w:rPr>
            </w:pPr>
            <w:r w:rsidRPr="006B42D6">
              <w:rPr>
                <w:sz w:val="16"/>
                <w:szCs w:val="16"/>
              </w:rPr>
              <w:t>5,913</w:t>
            </w:r>
          </w:p>
        </w:tc>
        <w:tc>
          <w:tcPr>
            <w:tcW w:w="0" w:type="auto"/>
            <w:tcBorders>
              <w:top w:val="nil"/>
              <w:left w:val="nil"/>
              <w:bottom w:val="nil"/>
              <w:right w:val="nil"/>
            </w:tcBorders>
            <w:shd w:val="clear" w:color="auto" w:fill="auto"/>
            <w:noWrap/>
            <w:vAlign w:val="bottom"/>
            <w:hideMark/>
          </w:tcPr>
          <w:p w14:paraId="678F26AC" w14:textId="7C22AC3B" w:rsidR="00895A1D" w:rsidRPr="006B42D6" w:rsidRDefault="00895A1D" w:rsidP="00895A1D">
            <w:pPr>
              <w:jc w:val="right"/>
              <w:rPr>
                <w:sz w:val="16"/>
                <w:szCs w:val="16"/>
              </w:rPr>
            </w:pPr>
            <w:r w:rsidRPr="006B42D6">
              <w:rPr>
                <w:sz w:val="16"/>
                <w:szCs w:val="16"/>
              </w:rPr>
              <w:t>135</w:t>
            </w:r>
          </w:p>
        </w:tc>
        <w:tc>
          <w:tcPr>
            <w:tcW w:w="0" w:type="auto"/>
            <w:tcBorders>
              <w:top w:val="nil"/>
              <w:left w:val="nil"/>
              <w:bottom w:val="nil"/>
              <w:right w:val="nil"/>
            </w:tcBorders>
            <w:shd w:val="clear" w:color="auto" w:fill="auto"/>
            <w:noWrap/>
            <w:vAlign w:val="bottom"/>
            <w:hideMark/>
          </w:tcPr>
          <w:p w14:paraId="79CB7284" w14:textId="14C31F80" w:rsidR="00895A1D" w:rsidRPr="006B42D6" w:rsidRDefault="00895A1D" w:rsidP="00895A1D">
            <w:pPr>
              <w:jc w:val="right"/>
              <w:rPr>
                <w:sz w:val="16"/>
                <w:szCs w:val="16"/>
              </w:rPr>
            </w:pPr>
            <w:r w:rsidRPr="006B42D6">
              <w:rPr>
                <w:sz w:val="16"/>
                <w:szCs w:val="16"/>
              </w:rPr>
              <w:t>1,926</w:t>
            </w:r>
          </w:p>
        </w:tc>
        <w:tc>
          <w:tcPr>
            <w:tcW w:w="0" w:type="auto"/>
            <w:tcBorders>
              <w:top w:val="nil"/>
              <w:left w:val="nil"/>
              <w:bottom w:val="nil"/>
              <w:right w:val="nil"/>
            </w:tcBorders>
            <w:shd w:val="clear" w:color="auto" w:fill="auto"/>
            <w:noWrap/>
            <w:vAlign w:val="bottom"/>
            <w:hideMark/>
          </w:tcPr>
          <w:p w14:paraId="0CF53096" w14:textId="2C1B49D0" w:rsidR="00895A1D" w:rsidRPr="006B42D6" w:rsidRDefault="00895A1D" w:rsidP="00895A1D">
            <w:pPr>
              <w:jc w:val="right"/>
              <w:rPr>
                <w:sz w:val="16"/>
                <w:szCs w:val="16"/>
              </w:rPr>
            </w:pPr>
            <w:r w:rsidRPr="006B42D6">
              <w:rPr>
                <w:sz w:val="16"/>
                <w:szCs w:val="16"/>
              </w:rPr>
              <w:t>977</w:t>
            </w:r>
          </w:p>
        </w:tc>
        <w:tc>
          <w:tcPr>
            <w:tcW w:w="0" w:type="auto"/>
            <w:tcBorders>
              <w:top w:val="nil"/>
              <w:left w:val="nil"/>
              <w:bottom w:val="nil"/>
              <w:right w:val="nil"/>
            </w:tcBorders>
            <w:shd w:val="clear" w:color="auto" w:fill="auto"/>
            <w:noWrap/>
            <w:vAlign w:val="bottom"/>
            <w:hideMark/>
          </w:tcPr>
          <w:p w14:paraId="35559D12" w14:textId="4076FF99" w:rsidR="00895A1D" w:rsidRPr="006B42D6" w:rsidRDefault="00895A1D" w:rsidP="00895A1D">
            <w:pPr>
              <w:jc w:val="right"/>
              <w:rPr>
                <w:sz w:val="16"/>
                <w:szCs w:val="16"/>
              </w:rPr>
            </w:pPr>
            <w:r w:rsidRPr="006B42D6">
              <w:rPr>
                <w:sz w:val="16"/>
                <w:szCs w:val="16"/>
              </w:rPr>
              <w:t>5,729</w:t>
            </w:r>
          </w:p>
        </w:tc>
      </w:tr>
      <w:tr w:rsidR="006B42D6" w:rsidRPr="006B42D6" w14:paraId="06F19464" w14:textId="77777777" w:rsidTr="00D249A2">
        <w:trPr>
          <w:trHeight w:val="283"/>
        </w:trPr>
        <w:tc>
          <w:tcPr>
            <w:tcW w:w="0" w:type="auto"/>
            <w:tcBorders>
              <w:top w:val="nil"/>
              <w:left w:val="nil"/>
              <w:bottom w:val="nil"/>
            </w:tcBorders>
            <w:shd w:val="clear" w:color="auto" w:fill="auto"/>
            <w:noWrap/>
            <w:vAlign w:val="bottom"/>
            <w:hideMark/>
          </w:tcPr>
          <w:p w14:paraId="7468B5E7" w14:textId="7F0AAA5E" w:rsidR="00895A1D" w:rsidRPr="006B42D6" w:rsidRDefault="00895A1D" w:rsidP="00EF5C3C">
            <w:pPr>
              <w:jc w:val="left"/>
              <w:rPr>
                <w:sz w:val="16"/>
                <w:szCs w:val="16"/>
              </w:rPr>
            </w:pPr>
            <w:r w:rsidRPr="006B42D6">
              <w:rPr>
                <w:sz w:val="16"/>
                <w:szCs w:val="16"/>
              </w:rPr>
              <w:t>Katavi</w:t>
            </w:r>
          </w:p>
        </w:tc>
        <w:tc>
          <w:tcPr>
            <w:tcW w:w="0" w:type="auto"/>
            <w:tcBorders>
              <w:top w:val="nil"/>
              <w:bottom w:val="nil"/>
              <w:right w:val="nil"/>
            </w:tcBorders>
            <w:shd w:val="clear" w:color="auto" w:fill="auto"/>
            <w:noWrap/>
            <w:vAlign w:val="bottom"/>
            <w:hideMark/>
          </w:tcPr>
          <w:p w14:paraId="70174F02" w14:textId="7FD8DD15" w:rsidR="00895A1D" w:rsidRPr="006B42D6" w:rsidRDefault="00895A1D" w:rsidP="00895A1D">
            <w:pPr>
              <w:jc w:val="right"/>
              <w:rPr>
                <w:sz w:val="16"/>
                <w:szCs w:val="16"/>
              </w:rPr>
            </w:pPr>
            <w:r w:rsidRPr="006B42D6">
              <w:rPr>
                <w:sz w:val="16"/>
                <w:szCs w:val="16"/>
              </w:rPr>
              <w:t>507</w:t>
            </w:r>
          </w:p>
        </w:tc>
        <w:tc>
          <w:tcPr>
            <w:tcW w:w="0" w:type="auto"/>
            <w:tcBorders>
              <w:top w:val="nil"/>
              <w:left w:val="nil"/>
              <w:bottom w:val="nil"/>
              <w:right w:val="nil"/>
            </w:tcBorders>
            <w:shd w:val="clear" w:color="auto" w:fill="auto"/>
            <w:noWrap/>
            <w:vAlign w:val="bottom"/>
            <w:hideMark/>
          </w:tcPr>
          <w:p w14:paraId="493EF5BD" w14:textId="35D9C8FC" w:rsidR="00895A1D" w:rsidRPr="006B42D6" w:rsidRDefault="00895A1D" w:rsidP="00895A1D">
            <w:pPr>
              <w:jc w:val="right"/>
              <w:rPr>
                <w:sz w:val="16"/>
                <w:szCs w:val="16"/>
              </w:rPr>
            </w:pPr>
            <w:r w:rsidRPr="006B42D6">
              <w:rPr>
                <w:sz w:val="16"/>
                <w:szCs w:val="16"/>
              </w:rPr>
              <w:t>145</w:t>
            </w:r>
          </w:p>
        </w:tc>
        <w:tc>
          <w:tcPr>
            <w:tcW w:w="0" w:type="auto"/>
            <w:tcBorders>
              <w:top w:val="nil"/>
              <w:left w:val="nil"/>
              <w:bottom w:val="nil"/>
              <w:right w:val="nil"/>
            </w:tcBorders>
            <w:shd w:val="clear" w:color="auto" w:fill="auto"/>
            <w:noWrap/>
            <w:vAlign w:val="bottom"/>
            <w:hideMark/>
          </w:tcPr>
          <w:p w14:paraId="0F6630CD" w14:textId="47AC618F" w:rsidR="00895A1D" w:rsidRPr="006B42D6" w:rsidRDefault="00895A1D" w:rsidP="00895A1D">
            <w:pPr>
              <w:jc w:val="right"/>
              <w:rPr>
                <w:sz w:val="16"/>
                <w:szCs w:val="16"/>
              </w:rPr>
            </w:pPr>
            <w:r w:rsidRPr="006B42D6">
              <w:rPr>
                <w:sz w:val="16"/>
                <w:szCs w:val="16"/>
              </w:rPr>
              <w:t>252</w:t>
            </w:r>
          </w:p>
        </w:tc>
        <w:tc>
          <w:tcPr>
            <w:tcW w:w="0" w:type="auto"/>
            <w:tcBorders>
              <w:top w:val="nil"/>
              <w:left w:val="nil"/>
              <w:bottom w:val="nil"/>
              <w:right w:val="nil"/>
            </w:tcBorders>
            <w:shd w:val="clear" w:color="auto" w:fill="auto"/>
            <w:noWrap/>
            <w:vAlign w:val="bottom"/>
            <w:hideMark/>
          </w:tcPr>
          <w:p w14:paraId="5E6AD37B" w14:textId="786E3069" w:rsidR="00895A1D" w:rsidRPr="006B42D6" w:rsidRDefault="00895A1D" w:rsidP="00895A1D">
            <w:pPr>
              <w:jc w:val="right"/>
              <w:rPr>
                <w:sz w:val="16"/>
                <w:szCs w:val="16"/>
              </w:rPr>
            </w:pPr>
            <w:r w:rsidRPr="006B42D6">
              <w:rPr>
                <w:sz w:val="16"/>
                <w:szCs w:val="16"/>
              </w:rPr>
              <w:t>138</w:t>
            </w:r>
          </w:p>
        </w:tc>
        <w:tc>
          <w:tcPr>
            <w:tcW w:w="0" w:type="auto"/>
            <w:tcBorders>
              <w:top w:val="nil"/>
              <w:left w:val="nil"/>
              <w:bottom w:val="nil"/>
              <w:right w:val="nil"/>
            </w:tcBorders>
            <w:shd w:val="clear" w:color="auto" w:fill="auto"/>
            <w:noWrap/>
            <w:vAlign w:val="bottom"/>
            <w:hideMark/>
          </w:tcPr>
          <w:p w14:paraId="433FF990" w14:textId="6F972D63" w:rsidR="00895A1D" w:rsidRPr="006B42D6" w:rsidRDefault="00895A1D" w:rsidP="00895A1D">
            <w:pPr>
              <w:jc w:val="right"/>
              <w:rPr>
                <w:sz w:val="16"/>
                <w:szCs w:val="16"/>
              </w:rPr>
            </w:pPr>
            <w:r w:rsidRPr="006B42D6">
              <w:rPr>
                <w:sz w:val="16"/>
                <w:szCs w:val="16"/>
              </w:rPr>
              <w:t>283</w:t>
            </w:r>
          </w:p>
        </w:tc>
        <w:tc>
          <w:tcPr>
            <w:tcW w:w="0" w:type="auto"/>
            <w:tcBorders>
              <w:top w:val="nil"/>
              <w:left w:val="nil"/>
              <w:bottom w:val="nil"/>
              <w:right w:val="nil"/>
            </w:tcBorders>
            <w:shd w:val="clear" w:color="auto" w:fill="auto"/>
            <w:noWrap/>
            <w:vAlign w:val="bottom"/>
            <w:hideMark/>
          </w:tcPr>
          <w:p w14:paraId="0855E807" w14:textId="62527CC7" w:rsidR="00895A1D" w:rsidRPr="006B42D6" w:rsidRDefault="00895A1D" w:rsidP="00895A1D">
            <w:pPr>
              <w:jc w:val="right"/>
              <w:rPr>
                <w:sz w:val="16"/>
                <w:szCs w:val="16"/>
              </w:rPr>
            </w:pPr>
            <w:r w:rsidRPr="006B42D6">
              <w:rPr>
                <w:sz w:val="16"/>
                <w:szCs w:val="16"/>
              </w:rPr>
              <w:t>90</w:t>
            </w:r>
          </w:p>
        </w:tc>
        <w:tc>
          <w:tcPr>
            <w:tcW w:w="0" w:type="auto"/>
            <w:tcBorders>
              <w:top w:val="nil"/>
              <w:left w:val="nil"/>
              <w:bottom w:val="nil"/>
              <w:right w:val="nil"/>
            </w:tcBorders>
            <w:shd w:val="clear" w:color="auto" w:fill="auto"/>
            <w:noWrap/>
            <w:vAlign w:val="bottom"/>
            <w:hideMark/>
          </w:tcPr>
          <w:p w14:paraId="62B2F86F" w14:textId="6EF33949" w:rsidR="00895A1D" w:rsidRPr="006B42D6" w:rsidRDefault="00895A1D" w:rsidP="00895A1D">
            <w:pPr>
              <w:jc w:val="right"/>
              <w:rPr>
                <w:sz w:val="16"/>
                <w:szCs w:val="16"/>
              </w:rPr>
            </w:pPr>
            <w:r w:rsidRPr="006B42D6">
              <w:rPr>
                <w:sz w:val="16"/>
                <w:szCs w:val="16"/>
              </w:rPr>
              <w:t>924</w:t>
            </w:r>
          </w:p>
        </w:tc>
      </w:tr>
      <w:tr w:rsidR="006B42D6" w:rsidRPr="006B42D6" w14:paraId="44EE029C" w14:textId="77777777" w:rsidTr="00D249A2">
        <w:trPr>
          <w:trHeight w:val="283"/>
        </w:trPr>
        <w:tc>
          <w:tcPr>
            <w:tcW w:w="0" w:type="auto"/>
            <w:tcBorders>
              <w:top w:val="nil"/>
              <w:left w:val="nil"/>
              <w:bottom w:val="nil"/>
            </w:tcBorders>
            <w:shd w:val="clear" w:color="auto" w:fill="auto"/>
            <w:noWrap/>
            <w:vAlign w:val="bottom"/>
            <w:hideMark/>
          </w:tcPr>
          <w:p w14:paraId="7CD6808A" w14:textId="6F8C8C8E" w:rsidR="00895A1D" w:rsidRPr="006B42D6" w:rsidRDefault="00895A1D" w:rsidP="00EF5C3C">
            <w:pPr>
              <w:jc w:val="left"/>
              <w:rPr>
                <w:sz w:val="16"/>
                <w:szCs w:val="16"/>
              </w:rPr>
            </w:pPr>
            <w:r w:rsidRPr="006B42D6">
              <w:rPr>
                <w:sz w:val="16"/>
                <w:szCs w:val="16"/>
              </w:rPr>
              <w:t>Simiyu</w:t>
            </w:r>
          </w:p>
        </w:tc>
        <w:tc>
          <w:tcPr>
            <w:tcW w:w="0" w:type="auto"/>
            <w:tcBorders>
              <w:top w:val="nil"/>
              <w:bottom w:val="nil"/>
              <w:right w:val="nil"/>
            </w:tcBorders>
            <w:shd w:val="clear" w:color="auto" w:fill="auto"/>
            <w:noWrap/>
            <w:vAlign w:val="bottom"/>
            <w:hideMark/>
          </w:tcPr>
          <w:p w14:paraId="4C0E2186" w14:textId="30A51423" w:rsidR="00895A1D" w:rsidRPr="006B42D6" w:rsidRDefault="00895A1D" w:rsidP="00895A1D">
            <w:pPr>
              <w:jc w:val="right"/>
              <w:rPr>
                <w:sz w:val="16"/>
                <w:szCs w:val="16"/>
              </w:rPr>
            </w:pPr>
            <w:r w:rsidRPr="006B42D6">
              <w:rPr>
                <w:sz w:val="16"/>
                <w:szCs w:val="16"/>
              </w:rPr>
              <w:t>870</w:t>
            </w:r>
          </w:p>
        </w:tc>
        <w:tc>
          <w:tcPr>
            <w:tcW w:w="0" w:type="auto"/>
            <w:tcBorders>
              <w:top w:val="nil"/>
              <w:left w:val="nil"/>
              <w:bottom w:val="nil"/>
              <w:right w:val="nil"/>
            </w:tcBorders>
            <w:shd w:val="clear" w:color="auto" w:fill="auto"/>
            <w:noWrap/>
            <w:vAlign w:val="bottom"/>
            <w:hideMark/>
          </w:tcPr>
          <w:p w14:paraId="5528E107" w14:textId="1C04B803" w:rsidR="00895A1D" w:rsidRPr="006B42D6" w:rsidRDefault="00895A1D" w:rsidP="00895A1D">
            <w:pPr>
              <w:jc w:val="right"/>
              <w:rPr>
                <w:sz w:val="16"/>
                <w:szCs w:val="16"/>
              </w:rPr>
            </w:pPr>
            <w:r w:rsidRPr="006B42D6">
              <w:rPr>
                <w:sz w:val="16"/>
                <w:szCs w:val="16"/>
              </w:rPr>
              <w:t>24</w:t>
            </w:r>
          </w:p>
        </w:tc>
        <w:tc>
          <w:tcPr>
            <w:tcW w:w="0" w:type="auto"/>
            <w:tcBorders>
              <w:top w:val="nil"/>
              <w:left w:val="nil"/>
              <w:bottom w:val="nil"/>
              <w:right w:val="nil"/>
            </w:tcBorders>
            <w:shd w:val="clear" w:color="auto" w:fill="auto"/>
            <w:noWrap/>
            <w:vAlign w:val="bottom"/>
            <w:hideMark/>
          </w:tcPr>
          <w:p w14:paraId="1C4DB119" w14:textId="29588CF9" w:rsidR="00895A1D" w:rsidRPr="006B42D6" w:rsidRDefault="00895A1D" w:rsidP="00895A1D">
            <w:pPr>
              <w:jc w:val="right"/>
              <w:rPr>
                <w:sz w:val="16"/>
                <w:szCs w:val="16"/>
              </w:rPr>
            </w:pPr>
            <w:r w:rsidRPr="006B42D6">
              <w:rPr>
                <w:sz w:val="16"/>
                <w:szCs w:val="16"/>
              </w:rPr>
              <w:t>-</w:t>
            </w:r>
          </w:p>
        </w:tc>
        <w:tc>
          <w:tcPr>
            <w:tcW w:w="0" w:type="auto"/>
            <w:tcBorders>
              <w:top w:val="nil"/>
              <w:left w:val="nil"/>
              <w:bottom w:val="nil"/>
              <w:right w:val="nil"/>
            </w:tcBorders>
            <w:shd w:val="clear" w:color="auto" w:fill="auto"/>
            <w:noWrap/>
            <w:vAlign w:val="bottom"/>
            <w:hideMark/>
          </w:tcPr>
          <w:p w14:paraId="6B8FC09B" w14:textId="381EE6E7" w:rsidR="00895A1D" w:rsidRPr="006B42D6" w:rsidRDefault="00895A1D" w:rsidP="00895A1D">
            <w:pPr>
              <w:jc w:val="right"/>
              <w:rPr>
                <w:sz w:val="16"/>
                <w:szCs w:val="16"/>
              </w:rPr>
            </w:pPr>
            <w:r w:rsidRPr="006B42D6">
              <w:rPr>
                <w:sz w:val="16"/>
                <w:szCs w:val="16"/>
              </w:rPr>
              <w:t>-</w:t>
            </w:r>
          </w:p>
        </w:tc>
        <w:tc>
          <w:tcPr>
            <w:tcW w:w="0" w:type="auto"/>
            <w:tcBorders>
              <w:top w:val="nil"/>
              <w:left w:val="nil"/>
              <w:bottom w:val="nil"/>
              <w:right w:val="nil"/>
            </w:tcBorders>
            <w:shd w:val="clear" w:color="auto" w:fill="auto"/>
            <w:noWrap/>
            <w:vAlign w:val="bottom"/>
            <w:hideMark/>
          </w:tcPr>
          <w:p w14:paraId="04DCE0D0" w14:textId="011CF569" w:rsidR="00895A1D" w:rsidRPr="006B42D6" w:rsidRDefault="00895A1D" w:rsidP="00895A1D">
            <w:pPr>
              <w:jc w:val="right"/>
              <w:rPr>
                <w:sz w:val="16"/>
                <w:szCs w:val="16"/>
              </w:rPr>
            </w:pPr>
            <w:r w:rsidRPr="006B42D6">
              <w:rPr>
                <w:sz w:val="16"/>
                <w:szCs w:val="16"/>
              </w:rPr>
              <w:t>24</w:t>
            </w:r>
          </w:p>
        </w:tc>
        <w:tc>
          <w:tcPr>
            <w:tcW w:w="0" w:type="auto"/>
            <w:tcBorders>
              <w:top w:val="nil"/>
              <w:left w:val="nil"/>
              <w:bottom w:val="nil"/>
              <w:right w:val="nil"/>
            </w:tcBorders>
            <w:shd w:val="clear" w:color="auto" w:fill="auto"/>
            <w:noWrap/>
            <w:vAlign w:val="bottom"/>
            <w:hideMark/>
          </w:tcPr>
          <w:p w14:paraId="28A9519F" w14:textId="39BB47FC" w:rsidR="00895A1D" w:rsidRPr="006B42D6" w:rsidRDefault="00895A1D" w:rsidP="00895A1D">
            <w:pPr>
              <w:jc w:val="right"/>
              <w:rPr>
                <w:sz w:val="16"/>
                <w:szCs w:val="16"/>
              </w:rPr>
            </w:pPr>
            <w:r w:rsidRPr="006B42D6">
              <w:rPr>
                <w:sz w:val="16"/>
                <w:szCs w:val="16"/>
              </w:rPr>
              <w:t>3</w:t>
            </w:r>
          </w:p>
        </w:tc>
        <w:tc>
          <w:tcPr>
            <w:tcW w:w="0" w:type="auto"/>
            <w:tcBorders>
              <w:top w:val="nil"/>
              <w:left w:val="nil"/>
              <w:bottom w:val="nil"/>
              <w:right w:val="nil"/>
            </w:tcBorders>
            <w:shd w:val="clear" w:color="auto" w:fill="auto"/>
            <w:noWrap/>
            <w:vAlign w:val="bottom"/>
            <w:hideMark/>
          </w:tcPr>
          <w:p w14:paraId="02AD143C" w14:textId="10EC0802" w:rsidR="00895A1D" w:rsidRPr="006B42D6" w:rsidRDefault="00895A1D" w:rsidP="00895A1D">
            <w:pPr>
              <w:jc w:val="right"/>
              <w:rPr>
                <w:sz w:val="16"/>
                <w:szCs w:val="16"/>
              </w:rPr>
            </w:pPr>
            <w:r w:rsidRPr="006B42D6">
              <w:rPr>
                <w:sz w:val="16"/>
                <w:szCs w:val="16"/>
              </w:rPr>
              <w:t>33</w:t>
            </w:r>
          </w:p>
        </w:tc>
      </w:tr>
      <w:tr w:rsidR="006B42D6" w:rsidRPr="006B42D6" w14:paraId="1D3CBFA6" w14:textId="77777777" w:rsidTr="00D249A2">
        <w:trPr>
          <w:trHeight w:val="283"/>
        </w:trPr>
        <w:tc>
          <w:tcPr>
            <w:tcW w:w="0" w:type="auto"/>
            <w:tcBorders>
              <w:top w:val="nil"/>
              <w:left w:val="nil"/>
              <w:bottom w:val="nil"/>
            </w:tcBorders>
            <w:shd w:val="clear" w:color="auto" w:fill="auto"/>
            <w:noWrap/>
            <w:vAlign w:val="bottom"/>
            <w:hideMark/>
          </w:tcPr>
          <w:p w14:paraId="79E6F915" w14:textId="58A57C4D" w:rsidR="00895A1D" w:rsidRPr="006B42D6" w:rsidRDefault="00895A1D" w:rsidP="00EF5C3C">
            <w:pPr>
              <w:jc w:val="left"/>
              <w:rPr>
                <w:sz w:val="16"/>
                <w:szCs w:val="16"/>
              </w:rPr>
            </w:pPr>
            <w:r w:rsidRPr="006B42D6">
              <w:rPr>
                <w:sz w:val="16"/>
                <w:szCs w:val="16"/>
              </w:rPr>
              <w:t>Geita</w:t>
            </w:r>
          </w:p>
        </w:tc>
        <w:tc>
          <w:tcPr>
            <w:tcW w:w="0" w:type="auto"/>
            <w:tcBorders>
              <w:top w:val="nil"/>
              <w:bottom w:val="nil"/>
              <w:right w:val="nil"/>
            </w:tcBorders>
            <w:shd w:val="clear" w:color="auto" w:fill="auto"/>
            <w:noWrap/>
            <w:vAlign w:val="bottom"/>
            <w:hideMark/>
          </w:tcPr>
          <w:p w14:paraId="2CEE8661" w14:textId="63C5197F" w:rsidR="00895A1D" w:rsidRPr="006B42D6" w:rsidRDefault="00895A1D" w:rsidP="00895A1D">
            <w:pPr>
              <w:jc w:val="right"/>
              <w:rPr>
                <w:sz w:val="16"/>
                <w:szCs w:val="16"/>
              </w:rPr>
            </w:pPr>
            <w:r w:rsidRPr="006B42D6">
              <w:rPr>
                <w:sz w:val="16"/>
                <w:szCs w:val="16"/>
              </w:rPr>
              <w:t>11,959</w:t>
            </w:r>
          </w:p>
        </w:tc>
        <w:tc>
          <w:tcPr>
            <w:tcW w:w="0" w:type="auto"/>
            <w:tcBorders>
              <w:top w:val="nil"/>
              <w:left w:val="nil"/>
              <w:bottom w:val="nil"/>
              <w:right w:val="nil"/>
            </w:tcBorders>
            <w:shd w:val="clear" w:color="auto" w:fill="auto"/>
            <w:noWrap/>
            <w:vAlign w:val="bottom"/>
            <w:hideMark/>
          </w:tcPr>
          <w:p w14:paraId="55A5F281" w14:textId="32A1B823" w:rsidR="00895A1D" w:rsidRPr="006B42D6" w:rsidRDefault="00895A1D" w:rsidP="00895A1D">
            <w:pPr>
              <w:jc w:val="right"/>
              <w:rPr>
                <w:sz w:val="16"/>
                <w:szCs w:val="16"/>
              </w:rPr>
            </w:pPr>
            <w:r w:rsidRPr="006B42D6">
              <w:rPr>
                <w:sz w:val="16"/>
                <w:szCs w:val="16"/>
              </w:rPr>
              <w:t>9,888</w:t>
            </w:r>
          </w:p>
        </w:tc>
        <w:tc>
          <w:tcPr>
            <w:tcW w:w="0" w:type="auto"/>
            <w:tcBorders>
              <w:top w:val="nil"/>
              <w:left w:val="nil"/>
              <w:bottom w:val="nil"/>
              <w:right w:val="nil"/>
            </w:tcBorders>
            <w:shd w:val="clear" w:color="auto" w:fill="auto"/>
            <w:noWrap/>
            <w:vAlign w:val="bottom"/>
            <w:hideMark/>
          </w:tcPr>
          <w:p w14:paraId="5A5532B3" w14:textId="0E7524FE" w:rsidR="00895A1D" w:rsidRPr="006B42D6" w:rsidRDefault="00895A1D" w:rsidP="00895A1D">
            <w:pPr>
              <w:jc w:val="right"/>
              <w:rPr>
                <w:sz w:val="16"/>
                <w:szCs w:val="16"/>
              </w:rPr>
            </w:pPr>
            <w:r w:rsidRPr="006B42D6">
              <w:rPr>
                <w:sz w:val="16"/>
                <w:szCs w:val="16"/>
              </w:rPr>
              <w:t>19,671</w:t>
            </w:r>
          </w:p>
        </w:tc>
        <w:tc>
          <w:tcPr>
            <w:tcW w:w="0" w:type="auto"/>
            <w:tcBorders>
              <w:top w:val="nil"/>
              <w:left w:val="nil"/>
              <w:bottom w:val="nil"/>
              <w:right w:val="nil"/>
            </w:tcBorders>
            <w:shd w:val="clear" w:color="auto" w:fill="auto"/>
            <w:noWrap/>
            <w:vAlign w:val="bottom"/>
            <w:hideMark/>
          </w:tcPr>
          <w:p w14:paraId="1186F631" w14:textId="39A64091" w:rsidR="00895A1D" w:rsidRPr="006B42D6" w:rsidRDefault="00895A1D" w:rsidP="00895A1D">
            <w:pPr>
              <w:jc w:val="right"/>
              <w:rPr>
                <w:sz w:val="16"/>
                <w:szCs w:val="16"/>
              </w:rPr>
            </w:pPr>
            <w:r w:rsidRPr="006B42D6">
              <w:rPr>
                <w:sz w:val="16"/>
                <w:szCs w:val="16"/>
              </w:rPr>
              <w:t>661</w:t>
            </w:r>
          </w:p>
        </w:tc>
        <w:tc>
          <w:tcPr>
            <w:tcW w:w="0" w:type="auto"/>
            <w:tcBorders>
              <w:top w:val="nil"/>
              <w:left w:val="nil"/>
              <w:bottom w:val="nil"/>
              <w:right w:val="nil"/>
            </w:tcBorders>
            <w:shd w:val="clear" w:color="auto" w:fill="auto"/>
            <w:noWrap/>
            <w:vAlign w:val="bottom"/>
            <w:hideMark/>
          </w:tcPr>
          <w:p w14:paraId="019F5E44" w14:textId="595C7E87" w:rsidR="00895A1D" w:rsidRPr="006B42D6" w:rsidRDefault="00895A1D" w:rsidP="00895A1D">
            <w:pPr>
              <w:jc w:val="right"/>
              <w:rPr>
                <w:sz w:val="16"/>
                <w:szCs w:val="16"/>
              </w:rPr>
            </w:pPr>
            <w:r w:rsidRPr="006B42D6">
              <w:rPr>
                <w:sz w:val="16"/>
                <w:szCs w:val="16"/>
              </w:rPr>
              <w:t>10,550</w:t>
            </w:r>
          </w:p>
        </w:tc>
        <w:tc>
          <w:tcPr>
            <w:tcW w:w="0" w:type="auto"/>
            <w:tcBorders>
              <w:top w:val="nil"/>
              <w:left w:val="nil"/>
              <w:bottom w:val="nil"/>
              <w:right w:val="nil"/>
            </w:tcBorders>
            <w:shd w:val="clear" w:color="auto" w:fill="auto"/>
            <w:noWrap/>
            <w:vAlign w:val="bottom"/>
            <w:hideMark/>
          </w:tcPr>
          <w:p w14:paraId="59F00D79" w14:textId="581150C2" w:rsidR="00895A1D" w:rsidRPr="006B42D6" w:rsidRDefault="00895A1D" w:rsidP="00895A1D">
            <w:pPr>
              <w:jc w:val="right"/>
              <w:rPr>
                <w:sz w:val="16"/>
                <w:szCs w:val="16"/>
              </w:rPr>
            </w:pPr>
            <w:r w:rsidRPr="006B42D6">
              <w:rPr>
                <w:sz w:val="16"/>
                <w:szCs w:val="16"/>
              </w:rPr>
              <w:t>597</w:t>
            </w:r>
          </w:p>
        </w:tc>
        <w:tc>
          <w:tcPr>
            <w:tcW w:w="0" w:type="auto"/>
            <w:tcBorders>
              <w:top w:val="nil"/>
              <w:left w:val="nil"/>
              <w:bottom w:val="nil"/>
              <w:right w:val="nil"/>
            </w:tcBorders>
            <w:shd w:val="clear" w:color="auto" w:fill="auto"/>
            <w:noWrap/>
            <w:vAlign w:val="bottom"/>
            <w:hideMark/>
          </w:tcPr>
          <w:p w14:paraId="6941D2B1" w14:textId="5198CEDD" w:rsidR="00895A1D" w:rsidRPr="006B42D6" w:rsidRDefault="00895A1D" w:rsidP="00895A1D">
            <w:pPr>
              <w:jc w:val="right"/>
              <w:rPr>
                <w:sz w:val="16"/>
                <w:szCs w:val="16"/>
              </w:rPr>
            </w:pPr>
            <w:r w:rsidRPr="006B42D6">
              <w:rPr>
                <w:sz w:val="16"/>
                <w:szCs w:val="16"/>
              </w:rPr>
              <w:t>3,278</w:t>
            </w:r>
          </w:p>
        </w:tc>
      </w:tr>
      <w:tr w:rsidR="006B42D6" w:rsidRPr="006B42D6" w14:paraId="05878738" w14:textId="77777777" w:rsidTr="00D249A2">
        <w:trPr>
          <w:trHeight w:val="283"/>
        </w:trPr>
        <w:tc>
          <w:tcPr>
            <w:tcW w:w="0" w:type="auto"/>
            <w:tcBorders>
              <w:top w:val="nil"/>
              <w:left w:val="nil"/>
              <w:bottom w:val="nil"/>
            </w:tcBorders>
            <w:shd w:val="clear" w:color="auto" w:fill="auto"/>
            <w:noWrap/>
            <w:vAlign w:val="bottom"/>
            <w:hideMark/>
          </w:tcPr>
          <w:p w14:paraId="3E90F3A2" w14:textId="5C904C18" w:rsidR="00895A1D" w:rsidRPr="006B42D6" w:rsidRDefault="00895A1D" w:rsidP="00EF5C3C">
            <w:pPr>
              <w:jc w:val="left"/>
              <w:rPr>
                <w:sz w:val="16"/>
                <w:szCs w:val="16"/>
              </w:rPr>
            </w:pPr>
            <w:r w:rsidRPr="006B42D6">
              <w:rPr>
                <w:sz w:val="16"/>
                <w:szCs w:val="16"/>
              </w:rPr>
              <w:t>Songwe</w:t>
            </w:r>
          </w:p>
        </w:tc>
        <w:tc>
          <w:tcPr>
            <w:tcW w:w="0" w:type="auto"/>
            <w:tcBorders>
              <w:top w:val="nil"/>
              <w:bottom w:val="nil"/>
              <w:right w:val="nil"/>
            </w:tcBorders>
            <w:shd w:val="clear" w:color="auto" w:fill="auto"/>
            <w:noWrap/>
            <w:vAlign w:val="bottom"/>
            <w:hideMark/>
          </w:tcPr>
          <w:p w14:paraId="59DF6DC2" w14:textId="5FBB9DC5" w:rsidR="00895A1D" w:rsidRPr="006B42D6" w:rsidRDefault="00895A1D" w:rsidP="00895A1D">
            <w:pPr>
              <w:jc w:val="right"/>
              <w:rPr>
                <w:sz w:val="16"/>
                <w:szCs w:val="16"/>
              </w:rPr>
            </w:pPr>
            <w:r w:rsidRPr="006B42D6">
              <w:rPr>
                <w:sz w:val="16"/>
                <w:szCs w:val="16"/>
              </w:rPr>
              <w:t>6,345</w:t>
            </w:r>
          </w:p>
        </w:tc>
        <w:tc>
          <w:tcPr>
            <w:tcW w:w="0" w:type="auto"/>
            <w:tcBorders>
              <w:top w:val="nil"/>
              <w:left w:val="nil"/>
              <w:bottom w:val="nil"/>
              <w:right w:val="nil"/>
            </w:tcBorders>
            <w:shd w:val="clear" w:color="auto" w:fill="auto"/>
            <w:noWrap/>
            <w:vAlign w:val="bottom"/>
            <w:hideMark/>
          </w:tcPr>
          <w:p w14:paraId="6B82987F" w14:textId="17CBC1AD" w:rsidR="00895A1D" w:rsidRPr="006B42D6" w:rsidRDefault="00895A1D" w:rsidP="00895A1D">
            <w:pPr>
              <w:jc w:val="right"/>
              <w:rPr>
                <w:sz w:val="16"/>
                <w:szCs w:val="16"/>
              </w:rPr>
            </w:pPr>
            <w:r w:rsidRPr="006B42D6">
              <w:rPr>
                <w:sz w:val="16"/>
                <w:szCs w:val="16"/>
              </w:rPr>
              <w:t>1,107</w:t>
            </w:r>
          </w:p>
        </w:tc>
        <w:tc>
          <w:tcPr>
            <w:tcW w:w="0" w:type="auto"/>
            <w:tcBorders>
              <w:top w:val="nil"/>
              <w:left w:val="nil"/>
              <w:bottom w:val="nil"/>
              <w:right w:val="nil"/>
            </w:tcBorders>
            <w:shd w:val="clear" w:color="auto" w:fill="auto"/>
            <w:noWrap/>
            <w:vAlign w:val="bottom"/>
            <w:hideMark/>
          </w:tcPr>
          <w:p w14:paraId="0C2124FE" w14:textId="4F1F6D69" w:rsidR="00895A1D" w:rsidRPr="006B42D6" w:rsidRDefault="00895A1D" w:rsidP="00895A1D">
            <w:pPr>
              <w:jc w:val="right"/>
              <w:rPr>
                <w:sz w:val="16"/>
                <w:szCs w:val="16"/>
              </w:rPr>
            </w:pPr>
            <w:r w:rsidRPr="006B42D6">
              <w:rPr>
                <w:sz w:val="16"/>
                <w:szCs w:val="16"/>
              </w:rPr>
              <w:t>5,639</w:t>
            </w:r>
          </w:p>
        </w:tc>
        <w:tc>
          <w:tcPr>
            <w:tcW w:w="0" w:type="auto"/>
            <w:tcBorders>
              <w:top w:val="nil"/>
              <w:left w:val="nil"/>
              <w:bottom w:val="nil"/>
              <w:right w:val="nil"/>
            </w:tcBorders>
            <w:shd w:val="clear" w:color="auto" w:fill="auto"/>
            <w:noWrap/>
            <w:vAlign w:val="bottom"/>
            <w:hideMark/>
          </w:tcPr>
          <w:p w14:paraId="6E94EAA1" w14:textId="59A741E8" w:rsidR="00895A1D" w:rsidRPr="006B42D6" w:rsidRDefault="00895A1D" w:rsidP="00895A1D">
            <w:pPr>
              <w:jc w:val="right"/>
              <w:rPr>
                <w:sz w:val="16"/>
                <w:szCs w:val="16"/>
              </w:rPr>
            </w:pPr>
            <w:r w:rsidRPr="006B42D6">
              <w:rPr>
                <w:sz w:val="16"/>
                <w:szCs w:val="16"/>
              </w:rPr>
              <w:t>1,134</w:t>
            </w:r>
          </w:p>
        </w:tc>
        <w:tc>
          <w:tcPr>
            <w:tcW w:w="0" w:type="auto"/>
            <w:tcBorders>
              <w:top w:val="nil"/>
              <w:left w:val="nil"/>
              <w:bottom w:val="nil"/>
              <w:right w:val="nil"/>
            </w:tcBorders>
            <w:shd w:val="clear" w:color="auto" w:fill="auto"/>
            <w:noWrap/>
            <w:vAlign w:val="bottom"/>
            <w:hideMark/>
          </w:tcPr>
          <w:p w14:paraId="61FA11D4" w14:textId="6C96951E" w:rsidR="00895A1D" w:rsidRPr="006B42D6" w:rsidRDefault="00895A1D" w:rsidP="00895A1D">
            <w:pPr>
              <w:jc w:val="right"/>
              <w:rPr>
                <w:sz w:val="16"/>
                <w:szCs w:val="16"/>
              </w:rPr>
            </w:pPr>
            <w:r w:rsidRPr="006B42D6">
              <w:rPr>
                <w:sz w:val="16"/>
                <w:szCs w:val="16"/>
              </w:rPr>
              <w:t>2,242</w:t>
            </w:r>
          </w:p>
        </w:tc>
        <w:tc>
          <w:tcPr>
            <w:tcW w:w="0" w:type="auto"/>
            <w:tcBorders>
              <w:top w:val="nil"/>
              <w:left w:val="nil"/>
              <w:bottom w:val="nil"/>
              <w:right w:val="nil"/>
            </w:tcBorders>
            <w:shd w:val="clear" w:color="auto" w:fill="auto"/>
            <w:noWrap/>
            <w:vAlign w:val="bottom"/>
            <w:hideMark/>
          </w:tcPr>
          <w:p w14:paraId="518AEF38" w14:textId="22A4612E" w:rsidR="00895A1D" w:rsidRPr="006B42D6" w:rsidRDefault="00895A1D" w:rsidP="00895A1D">
            <w:pPr>
              <w:jc w:val="right"/>
              <w:rPr>
                <w:sz w:val="16"/>
                <w:szCs w:val="16"/>
              </w:rPr>
            </w:pPr>
            <w:r w:rsidRPr="006B42D6">
              <w:rPr>
                <w:sz w:val="16"/>
                <w:szCs w:val="16"/>
              </w:rPr>
              <w:t>1,786</w:t>
            </w:r>
          </w:p>
        </w:tc>
        <w:tc>
          <w:tcPr>
            <w:tcW w:w="0" w:type="auto"/>
            <w:tcBorders>
              <w:top w:val="nil"/>
              <w:left w:val="nil"/>
              <w:bottom w:val="nil"/>
              <w:right w:val="nil"/>
            </w:tcBorders>
            <w:shd w:val="clear" w:color="auto" w:fill="auto"/>
            <w:noWrap/>
            <w:vAlign w:val="bottom"/>
            <w:hideMark/>
          </w:tcPr>
          <w:p w14:paraId="5A082530" w14:textId="4C578B98" w:rsidR="00895A1D" w:rsidRPr="006B42D6" w:rsidRDefault="00895A1D" w:rsidP="00895A1D">
            <w:pPr>
              <w:jc w:val="right"/>
              <w:rPr>
                <w:sz w:val="16"/>
                <w:szCs w:val="16"/>
              </w:rPr>
            </w:pPr>
            <w:r w:rsidRPr="006B42D6">
              <w:rPr>
                <w:sz w:val="16"/>
                <w:szCs w:val="16"/>
              </w:rPr>
              <w:t>11,973</w:t>
            </w:r>
          </w:p>
        </w:tc>
      </w:tr>
      <w:tr w:rsidR="006B42D6" w:rsidRPr="006B42D6" w14:paraId="2858A020" w14:textId="77777777" w:rsidTr="00D249A2">
        <w:trPr>
          <w:trHeight w:val="283"/>
        </w:trPr>
        <w:tc>
          <w:tcPr>
            <w:tcW w:w="0" w:type="auto"/>
            <w:tcBorders>
              <w:top w:val="single" w:sz="4" w:space="0" w:color="auto"/>
              <w:left w:val="nil"/>
              <w:bottom w:val="single" w:sz="4" w:space="0" w:color="auto"/>
            </w:tcBorders>
            <w:shd w:val="clear" w:color="auto" w:fill="E2EFD9" w:themeFill="accent6" w:themeFillTint="33"/>
            <w:noWrap/>
            <w:vAlign w:val="bottom"/>
            <w:hideMark/>
          </w:tcPr>
          <w:p w14:paraId="3B5B2E95" w14:textId="4D99F127" w:rsidR="00895A1D" w:rsidRPr="006B42D6" w:rsidRDefault="00EA1552" w:rsidP="00EF5C3C">
            <w:pPr>
              <w:jc w:val="left"/>
              <w:rPr>
                <w:b/>
                <w:bCs/>
                <w:sz w:val="16"/>
                <w:szCs w:val="16"/>
              </w:rPr>
            </w:pPr>
            <w:r>
              <w:rPr>
                <w:b/>
                <w:bCs/>
                <w:sz w:val="16"/>
                <w:szCs w:val="16"/>
              </w:rPr>
              <w:t>Mainland Tanzania</w:t>
            </w:r>
          </w:p>
        </w:tc>
        <w:tc>
          <w:tcPr>
            <w:tcW w:w="0" w:type="auto"/>
            <w:tcBorders>
              <w:top w:val="single" w:sz="4" w:space="0" w:color="auto"/>
              <w:bottom w:val="single" w:sz="4" w:space="0" w:color="auto"/>
              <w:right w:val="nil"/>
            </w:tcBorders>
            <w:shd w:val="clear" w:color="auto" w:fill="E2EFD9" w:themeFill="accent6" w:themeFillTint="33"/>
            <w:noWrap/>
            <w:vAlign w:val="bottom"/>
            <w:hideMark/>
          </w:tcPr>
          <w:p w14:paraId="3416EFA8" w14:textId="0883CE26" w:rsidR="00895A1D" w:rsidRPr="006B42D6" w:rsidRDefault="00895A1D" w:rsidP="00895A1D">
            <w:pPr>
              <w:jc w:val="right"/>
              <w:rPr>
                <w:b/>
                <w:bCs/>
                <w:sz w:val="16"/>
                <w:szCs w:val="16"/>
              </w:rPr>
            </w:pPr>
            <w:r w:rsidRPr="006B42D6">
              <w:rPr>
                <w:b/>
                <w:bCs/>
                <w:sz w:val="16"/>
                <w:szCs w:val="16"/>
              </w:rPr>
              <w:t>605,301</w:t>
            </w:r>
          </w:p>
        </w:tc>
        <w:tc>
          <w:tcPr>
            <w:tcW w:w="0" w:type="auto"/>
            <w:tcBorders>
              <w:top w:val="single" w:sz="4" w:space="0" w:color="auto"/>
              <w:left w:val="nil"/>
              <w:bottom w:val="single" w:sz="4" w:space="0" w:color="auto"/>
              <w:right w:val="nil"/>
            </w:tcBorders>
            <w:shd w:val="clear" w:color="auto" w:fill="E2EFD9" w:themeFill="accent6" w:themeFillTint="33"/>
            <w:noWrap/>
            <w:vAlign w:val="bottom"/>
            <w:hideMark/>
          </w:tcPr>
          <w:p w14:paraId="6EF4DE97" w14:textId="5F50C88E" w:rsidR="00895A1D" w:rsidRPr="006B42D6" w:rsidRDefault="00895A1D" w:rsidP="00895A1D">
            <w:pPr>
              <w:jc w:val="right"/>
              <w:rPr>
                <w:b/>
                <w:bCs/>
                <w:sz w:val="16"/>
                <w:szCs w:val="16"/>
              </w:rPr>
            </w:pPr>
            <w:r w:rsidRPr="006B42D6">
              <w:rPr>
                <w:b/>
                <w:bCs/>
                <w:sz w:val="16"/>
                <w:szCs w:val="16"/>
              </w:rPr>
              <w:t>137,805</w:t>
            </w:r>
          </w:p>
        </w:tc>
        <w:tc>
          <w:tcPr>
            <w:tcW w:w="0" w:type="auto"/>
            <w:tcBorders>
              <w:top w:val="single" w:sz="4" w:space="0" w:color="auto"/>
              <w:left w:val="nil"/>
              <w:bottom w:val="single" w:sz="4" w:space="0" w:color="auto"/>
              <w:right w:val="nil"/>
            </w:tcBorders>
            <w:shd w:val="clear" w:color="auto" w:fill="E2EFD9" w:themeFill="accent6" w:themeFillTint="33"/>
            <w:noWrap/>
            <w:vAlign w:val="bottom"/>
            <w:hideMark/>
          </w:tcPr>
          <w:p w14:paraId="430C2989" w14:textId="3C7DA9BD" w:rsidR="00895A1D" w:rsidRPr="006B42D6" w:rsidRDefault="00895A1D" w:rsidP="00895A1D">
            <w:pPr>
              <w:jc w:val="right"/>
              <w:rPr>
                <w:b/>
                <w:bCs/>
                <w:sz w:val="16"/>
                <w:szCs w:val="16"/>
              </w:rPr>
            </w:pPr>
            <w:r w:rsidRPr="006B42D6">
              <w:rPr>
                <w:b/>
                <w:bCs/>
                <w:sz w:val="16"/>
                <w:szCs w:val="16"/>
              </w:rPr>
              <w:t>1,022,277</w:t>
            </w:r>
          </w:p>
        </w:tc>
        <w:tc>
          <w:tcPr>
            <w:tcW w:w="0" w:type="auto"/>
            <w:tcBorders>
              <w:top w:val="single" w:sz="4" w:space="0" w:color="auto"/>
              <w:left w:val="nil"/>
              <w:bottom w:val="single" w:sz="4" w:space="0" w:color="auto"/>
              <w:right w:val="nil"/>
            </w:tcBorders>
            <w:shd w:val="clear" w:color="auto" w:fill="E2EFD9" w:themeFill="accent6" w:themeFillTint="33"/>
            <w:noWrap/>
            <w:vAlign w:val="bottom"/>
            <w:hideMark/>
          </w:tcPr>
          <w:p w14:paraId="44A24F27" w14:textId="72CEF8DD" w:rsidR="00895A1D" w:rsidRPr="006B42D6" w:rsidRDefault="00895A1D" w:rsidP="00895A1D">
            <w:pPr>
              <w:jc w:val="right"/>
              <w:rPr>
                <w:b/>
                <w:bCs/>
                <w:sz w:val="16"/>
                <w:szCs w:val="16"/>
              </w:rPr>
            </w:pPr>
            <w:r w:rsidRPr="006B42D6">
              <w:rPr>
                <w:b/>
                <w:bCs/>
                <w:sz w:val="16"/>
                <w:szCs w:val="16"/>
              </w:rPr>
              <w:t>175,680</w:t>
            </w:r>
          </w:p>
        </w:tc>
        <w:tc>
          <w:tcPr>
            <w:tcW w:w="0" w:type="auto"/>
            <w:tcBorders>
              <w:top w:val="single" w:sz="4" w:space="0" w:color="auto"/>
              <w:left w:val="nil"/>
              <w:bottom w:val="single" w:sz="4" w:space="0" w:color="auto"/>
              <w:right w:val="nil"/>
            </w:tcBorders>
            <w:shd w:val="clear" w:color="auto" w:fill="E2EFD9" w:themeFill="accent6" w:themeFillTint="33"/>
            <w:noWrap/>
            <w:vAlign w:val="bottom"/>
            <w:hideMark/>
          </w:tcPr>
          <w:p w14:paraId="21C3519A" w14:textId="4DA24315" w:rsidR="00895A1D" w:rsidRPr="006B42D6" w:rsidRDefault="00895A1D" w:rsidP="00895A1D">
            <w:pPr>
              <w:jc w:val="right"/>
              <w:rPr>
                <w:b/>
                <w:bCs/>
                <w:sz w:val="16"/>
                <w:szCs w:val="16"/>
              </w:rPr>
            </w:pPr>
            <w:r w:rsidRPr="006B42D6">
              <w:rPr>
                <w:b/>
                <w:bCs/>
                <w:sz w:val="16"/>
                <w:szCs w:val="16"/>
              </w:rPr>
              <w:t>313,485</w:t>
            </w:r>
          </w:p>
        </w:tc>
        <w:tc>
          <w:tcPr>
            <w:tcW w:w="0" w:type="auto"/>
            <w:tcBorders>
              <w:top w:val="single" w:sz="4" w:space="0" w:color="auto"/>
              <w:left w:val="nil"/>
              <w:bottom w:val="single" w:sz="4" w:space="0" w:color="auto"/>
              <w:right w:val="nil"/>
            </w:tcBorders>
            <w:shd w:val="clear" w:color="auto" w:fill="E2EFD9" w:themeFill="accent6" w:themeFillTint="33"/>
            <w:noWrap/>
            <w:vAlign w:val="bottom"/>
            <w:hideMark/>
          </w:tcPr>
          <w:p w14:paraId="5D1E50E4" w14:textId="1001849A" w:rsidR="00895A1D" w:rsidRPr="006B42D6" w:rsidRDefault="00895A1D" w:rsidP="00895A1D">
            <w:pPr>
              <w:jc w:val="right"/>
              <w:rPr>
                <w:b/>
                <w:bCs/>
                <w:sz w:val="16"/>
                <w:szCs w:val="16"/>
              </w:rPr>
            </w:pPr>
            <w:r w:rsidRPr="006B42D6">
              <w:rPr>
                <w:b/>
                <w:bCs/>
                <w:sz w:val="16"/>
                <w:szCs w:val="16"/>
              </w:rPr>
              <w:t>216,619</w:t>
            </w:r>
          </w:p>
        </w:tc>
        <w:tc>
          <w:tcPr>
            <w:tcW w:w="0" w:type="auto"/>
            <w:tcBorders>
              <w:top w:val="single" w:sz="4" w:space="0" w:color="auto"/>
              <w:left w:val="nil"/>
              <w:bottom w:val="single" w:sz="4" w:space="0" w:color="auto"/>
              <w:right w:val="nil"/>
            </w:tcBorders>
            <w:shd w:val="clear" w:color="auto" w:fill="E2EFD9" w:themeFill="accent6" w:themeFillTint="33"/>
            <w:noWrap/>
            <w:vAlign w:val="bottom"/>
            <w:hideMark/>
          </w:tcPr>
          <w:p w14:paraId="6F1233C3" w14:textId="718A5891" w:rsidR="00895A1D" w:rsidRPr="006B42D6" w:rsidRDefault="00895A1D" w:rsidP="00895A1D">
            <w:pPr>
              <w:jc w:val="right"/>
              <w:rPr>
                <w:b/>
                <w:bCs/>
                <w:sz w:val="16"/>
                <w:szCs w:val="16"/>
              </w:rPr>
            </w:pPr>
            <w:r w:rsidRPr="006B42D6">
              <w:rPr>
                <w:b/>
                <w:bCs/>
                <w:sz w:val="16"/>
                <w:szCs w:val="16"/>
              </w:rPr>
              <w:t>1,949,287</w:t>
            </w:r>
          </w:p>
        </w:tc>
      </w:tr>
      <w:tr w:rsidR="006B42D6" w:rsidRPr="006B42D6" w14:paraId="3BCE4552" w14:textId="77777777" w:rsidTr="00D249A2">
        <w:trPr>
          <w:trHeight w:val="283"/>
        </w:trPr>
        <w:tc>
          <w:tcPr>
            <w:tcW w:w="0" w:type="auto"/>
            <w:tcBorders>
              <w:top w:val="nil"/>
              <w:left w:val="nil"/>
              <w:bottom w:val="nil"/>
            </w:tcBorders>
            <w:shd w:val="clear" w:color="auto" w:fill="auto"/>
            <w:noWrap/>
            <w:vAlign w:val="bottom"/>
            <w:hideMark/>
          </w:tcPr>
          <w:p w14:paraId="6B03AED5" w14:textId="194E9593" w:rsidR="00895A1D" w:rsidRPr="006B42D6" w:rsidRDefault="00895A1D" w:rsidP="00EF5C3C">
            <w:pPr>
              <w:jc w:val="left"/>
              <w:rPr>
                <w:sz w:val="16"/>
                <w:szCs w:val="16"/>
              </w:rPr>
            </w:pPr>
            <w:r w:rsidRPr="006B42D6">
              <w:rPr>
                <w:sz w:val="16"/>
                <w:szCs w:val="16"/>
              </w:rPr>
              <w:t>Kaskazini Unguja</w:t>
            </w:r>
          </w:p>
        </w:tc>
        <w:tc>
          <w:tcPr>
            <w:tcW w:w="0" w:type="auto"/>
            <w:tcBorders>
              <w:top w:val="nil"/>
              <w:bottom w:val="nil"/>
              <w:right w:val="nil"/>
            </w:tcBorders>
            <w:shd w:val="clear" w:color="auto" w:fill="auto"/>
            <w:noWrap/>
            <w:vAlign w:val="bottom"/>
            <w:hideMark/>
          </w:tcPr>
          <w:p w14:paraId="07571EF6" w14:textId="10104747" w:rsidR="00895A1D" w:rsidRPr="006B42D6" w:rsidRDefault="00895A1D" w:rsidP="00895A1D">
            <w:pPr>
              <w:jc w:val="right"/>
              <w:rPr>
                <w:sz w:val="16"/>
                <w:szCs w:val="16"/>
              </w:rPr>
            </w:pPr>
            <w:r w:rsidRPr="006B42D6">
              <w:rPr>
                <w:sz w:val="16"/>
                <w:szCs w:val="16"/>
              </w:rPr>
              <w:t>13,191</w:t>
            </w:r>
          </w:p>
        </w:tc>
        <w:tc>
          <w:tcPr>
            <w:tcW w:w="0" w:type="auto"/>
            <w:tcBorders>
              <w:top w:val="nil"/>
              <w:left w:val="nil"/>
              <w:bottom w:val="nil"/>
              <w:right w:val="nil"/>
            </w:tcBorders>
            <w:shd w:val="clear" w:color="auto" w:fill="auto"/>
            <w:noWrap/>
            <w:vAlign w:val="bottom"/>
            <w:hideMark/>
          </w:tcPr>
          <w:p w14:paraId="344B8754" w14:textId="0486190B" w:rsidR="00895A1D" w:rsidRPr="006B42D6" w:rsidRDefault="00895A1D" w:rsidP="00895A1D">
            <w:pPr>
              <w:jc w:val="right"/>
              <w:rPr>
                <w:sz w:val="16"/>
                <w:szCs w:val="16"/>
              </w:rPr>
            </w:pPr>
            <w:r w:rsidRPr="006B42D6">
              <w:rPr>
                <w:sz w:val="16"/>
                <w:szCs w:val="16"/>
              </w:rPr>
              <w:t>2,108</w:t>
            </w:r>
          </w:p>
        </w:tc>
        <w:tc>
          <w:tcPr>
            <w:tcW w:w="0" w:type="auto"/>
            <w:tcBorders>
              <w:top w:val="nil"/>
              <w:left w:val="nil"/>
              <w:bottom w:val="nil"/>
              <w:right w:val="nil"/>
            </w:tcBorders>
            <w:shd w:val="clear" w:color="auto" w:fill="auto"/>
            <w:noWrap/>
            <w:vAlign w:val="bottom"/>
            <w:hideMark/>
          </w:tcPr>
          <w:p w14:paraId="509371B0" w14:textId="44E54E28" w:rsidR="00895A1D" w:rsidRPr="006B42D6" w:rsidRDefault="00895A1D" w:rsidP="00895A1D">
            <w:pPr>
              <w:jc w:val="right"/>
              <w:rPr>
                <w:sz w:val="16"/>
                <w:szCs w:val="16"/>
              </w:rPr>
            </w:pPr>
            <w:r w:rsidRPr="006B42D6">
              <w:rPr>
                <w:sz w:val="16"/>
                <w:szCs w:val="16"/>
              </w:rPr>
              <w:t>6,698</w:t>
            </w:r>
          </w:p>
        </w:tc>
        <w:tc>
          <w:tcPr>
            <w:tcW w:w="0" w:type="auto"/>
            <w:tcBorders>
              <w:top w:val="nil"/>
              <w:left w:val="nil"/>
              <w:bottom w:val="nil"/>
              <w:right w:val="nil"/>
            </w:tcBorders>
            <w:shd w:val="clear" w:color="auto" w:fill="auto"/>
            <w:noWrap/>
            <w:vAlign w:val="bottom"/>
            <w:hideMark/>
          </w:tcPr>
          <w:p w14:paraId="437D546A" w14:textId="5030F4DE" w:rsidR="00895A1D" w:rsidRPr="006B42D6" w:rsidRDefault="00895A1D" w:rsidP="00895A1D">
            <w:pPr>
              <w:jc w:val="right"/>
              <w:rPr>
                <w:sz w:val="16"/>
                <w:szCs w:val="16"/>
              </w:rPr>
            </w:pPr>
            <w:r w:rsidRPr="006B42D6">
              <w:rPr>
                <w:sz w:val="16"/>
                <w:szCs w:val="16"/>
              </w:rPr>
              <w:t>919</w:t>
            </w:r>
          </w:p>
        </w:tc>
        <w:tc>
          <w:tcPr>
            <w:tcW w:w="0" w:type="auto"/>
            <w:tcBorders>
              <w:top w:val="nil"/>
              <w:left w:val="nil"/>
              <w:bottom w:val="nil"/>
              <w:right w:val="nil"/>
            </w:tcBorders>
            <w:shd w:val="clear" w:color="auto" w:fill="auto"/>
            <w:noWrap/>
            <w:vAlign w:val="bottom"/>
            <w:hideMark/>
          </w:tcPr>
          <w:p w14:paraId="3A1C3A6E" w14:textId="7904F14C" w:rsidR="00895A1D" w:rsidRPr="006B42D6" w:rsidRDefault="00895A1D" w:rsidP="00895A1D">
            <w:pPr>
              <w:jc w:val="right"/>
              <w:rPr>
                <w:sz w:val="16"/>
                <w:szCs w:val="16"/>
              </w:rPr>
            </w:pPr>
            <w:r w:rsidRPr="006B42D6">
              <w:rPr>
                <w:sz w:val="16"/>
                <w:szCs w:val="16"/>
              </w:rPr>
              <w:t>3,028</w:t>
            </w:r>
          </w:p>
        </w:tc>
        <w:tc>
          <w:tcPr>
            <w:tcW w:w="0" w:type="auto"/>
            <w:tcBorders>
              <w:top w:val="nil"/>
              <w:left w:val="nil"/>
              <w:bottom w:val="nil"/>
              <w:right w:val="nil"/>
            </w:tcBorders>
            <w:shd w:val="clear" w:color="auto" w:fill="auto"/>
            <w:noWrap/>
            <w:vAlign w:val="bottom"/>
            <w:hideMark/>
          </w:tcPr>
          <w:p w14:paraId="67FA5238" w14:textId="0882FB91" w:rsidR="00895A1D" w:rsidRPr="006B42D6" w:rsidRDefault="00895A1D" w:rsidP="00895A1D">
            <w:pPr>
              <w:jc w:val="right"/>
              <w:rPr>
                <w:sz w:val="16"/>
                <w:szCs w:val="16"/>
              </w:rPr>
            </w:pPr>
            <w:r w:rsidRPr="006B42D6">
              <w:rPr>
                <w:sz w:val="16"/>
                <w:szCs w:val="16"/>
              </w:rPr>
              <w:t>2,699</w:t>
            </w:r>
          </w:p>
        </w:tc>
        <w:tc>
          <w:tcPr>
            <w:tcW w:w="0" w:type="auto"/>
            <w:tcBorders>
              <w:top w:val="nil"/>
              <w:left w:val="nil"/>
              <w:bottom w:val="nil"/>
              <w:right w:val="nil"/>
            </w:tcBorders>
            <w:shd w:val="clear" w:color="auto" w:fill="auto"/>
            <w:noWrap/>
            <w:vAlign w:val="bottom"/>
            <w:hideMark/>
          </w:tcPr>
          <w:p w14:paraId="09311A65" w14:textId="393CDC48" w:rsidR="00895A1D" w:rsidRPr="006B42D6" w:rsidRDefault="00895A1D" w:rsidP="00895A1D">
            <w:pPr>
              <w:jc w:val="right"/>
              <w:rPr>
                <w:sz w:val="16"/>
                <w:szCs w:val="16"/>
              </w:rPr>
            </w:pPr>
            <w:r w:rsidRPr="006B42D6">
              <w:rPr>
                <w:sz w:val="16"/>
                <w:szCs w:val="16"/>
              </w:rPr>
              <w:t>9,504</w:t>
            </w:r>
          </w:p>
        </w:tc>
      </w:tr>
      <w:tr w:rsidR="006B42D6" w:rsidRPr="006B42D6" w14:paraId="523E7FC3" w14:textId="77777777" w:rsidTr="00D249A2">
        <w:trPr>
          <w:trHeight w:val="283"/>
        </w:trPr>
        <w:tc>
          <w:tcPr>
            <w:tcW w:w="0" w:type="auto"/>
            <w:tcBorders>
              <w:top w:val="nil"/>
              <w:left w:val="nil"/>
              <w:bottom w:val="nil"/>
            </w:tcBorders>
            <w:shd w:val="clear" w:color="auto" w:fill="auto"/>
            <w:noWrap/>
            <w:vAlign w:val="bottom"/>
            <w:hideMark/>
          </w:tcPr>
          <w:p w14:paraId="73463034" w14:textId="30662702" w:rsidR="00895A1D" w:rsidRPr="006B42D6" w:rsidRDefault="00895A1D" w:rsidP="00EF5C3C">
            <w:pPr>
              <w:jc w:val="left"/>
              <w:rPr>
                <w:sz w:val="16"/>
                <w:szCs w:val="16"/>
              </w:rPr>
            </w:pPr>
            <w:r w:rsidRPr="006B42D6">
              <w:rPr>
                <w:sz w:val="16"/>
                <w:szCs w:val="16"/>
              </w:rPr>
              <w:t>Kusini Unguja</w:t>
            </w:r>
          </w:p>
        </w:tc>
        <w:tc>
          <w:tcPr>
            <w:tcW w:w="0" w:type="auto"/>
            <w:tcBorders>
              <w:top w:val="nil"/>
              <w:bottom w:val="nil"/>
              <w:right w:val="nil"/>
            </w:tcBorders>
            <w:shd w:val="clear" w:color="auto" w:fill="auto"/>
            <w:noWrap/>
            <w:vAlign w:val="bottom"/>
            <w:hideMark/>
          </w:tcPr>
          <w:p w14:paraId="66B43DCA" w14:textId="7735E68F" w:rsidR="00895A1D" w:rsidRPr="006B42D6" w:rsidRDefault="00895A1D" w:rsidP="00895A1D">
            <w:pPr>
              <w:jc w:val="right"/>
              <w:rPr>
                <w:sz w:val="16"/>
                <w:szCs w:val="16"/>
              </w:rPr>
            </w:pPr>
            <w:r w:rsidRPr="006B42D6">
              <w:rPr>
                <w:sz w:val="16"/>
                <w:szCs w:val="16"/>
              </w:rPr>
              <w:t>6,582</w:t>
            </w:r>
          </w:p>
        </w:tc>
        <w:tc>
          <w:tcPr>
            <w:tcW w:w="0" w:type="auto"/>
            <w:tcBorders>
              <w:top w:val="nil"/>
              <w:left w:val="nil"/>
              <w:bottom w:val="nil"/>
              <w:right w:val="nil"/>
            </w:tcBorders>
            <w:shd w:val="clear" w:color="auto" w:fill="auto"/>
            <w:noWrap/>
            <w:vAlign w:val="bottom"/>
            <w:hideMark/>
          </w:tcPr>
          <w:p w14:paraId="2BB354D0" w14:textId="0D36E1E4" w:rsidR="00895A1D" w:rsidRPr="006B42D6" w:rsidRDefault="00895A1D" w:rsidP="00895A1D">
            <w:pPr>
              <w:jc w:val="right"/>
              <w:rPr>
                <w:sz w:val="16"/>
                <w:szCs w:val="16"/>
              </w:rPr>
            </w:pPr>
            <w:r w:rsidRPr="006B42D6">
              <w:rPr>
                <w:sz w:val="16"/>
                <w:szCs w:val="16"/>
              </w:rPr>
              <w:t>1,708</w:t>
            </w:r>
          </w:p>
        </w:tc>
        <w:tc>
          <w:tcPr>
            <w:tcW w:w="0" w:type="auto"/>
            <w:tcBorders>
              <w:top w:val="nil"/>
              <w:left w:val="nil"/>
              <w:bottom w:val="nil"/>
              <w:right w:val="nil"/>
            </w:tcBorders>
            <w:shd w:val="clear" w:color="auto" w:fill="auto"/>
            <w:noWrap/>
            <w:vAlign w:val="bottom"/>
            <w:hideMark/>
          </w:tcPr>
          <w:p w14:paraId="19C96EA8" w14:textId="31838550" w:rsidR="00895A1D" w:rsidRPr="006B42D6" w:rsidRDefault="00895A1D" w:rsidP="00895A1D">
            <w:pPr>
              <w:jc w:val="right"/>
              <w:rPr>
                <w:sz w:val="16"/>
                <w:szCs w:val="16"/>
              </w:rPr>
            </w:pPr>
            <w:r w:rsidRPr="006B42D6">
              <w:rPr>
                <w:sz w:val="16"/>
                <w:szCs w:val="16"/>
              </w:rPr>
              <w:t>4,689</w:t>
            </w:r>
          </w:p>
        </w:tc>
        <w:tc>
          <w:tcPr>
            <w:tcW w:w="0" w:type="auto"/>
            <w:tcBorders>
              <w:top w:val="nil"/>
              <w:left w:val="nil"/>
              <w:bottom w:val="nil"/>
              <w:right w:val="nil"/>
            </w:tcBorders>
            <w:shd w:val="clear" w:color="auto" w:fill="auto"/>
            <w:noWrap/>
            <w:vAlign w:val="bottom"/>
            <w:hideMark/>
          </w:tcPr>
          <w:p w14:paraId="5FA6D442" w14:textId="5696044A" w:rsidR="00895A1D" w:rsidRPr="006B42D6" w:rsidRDefault="00895A1D" w:rsidP="00895A1D">
            <w:pPr>
              <w:jc w:val="right"/>
              <w:rPr>
                <w:sz w:val="16"/>
                <w:szCs w:val="16"/>
              </w:rPr>
            </w:pPr>
            <w:r w:rsidRPr="006B42D6">
              <w:rPr>
                <w:sz w:val="16"/>
                <w:szCs w:val="16"/>
              </w:rPr>
              <w:t>1,149</w:t>
            </w:r>
          </w:p>
        </w:tc>
        <w:tc>
          <w:tcPr>
            <w:tcW w:w="0" w:type="auto"/>
            <w:tcBorders>
              <w:top w:val="nil"/>
              <w:left w:val="nil"/>
              <w:bottom w:val="nil"/>
              <w:right w:val="nil"/>
            </w:tcBorders>
            <w:shd w:val="clear" w:color="auto" w:fill="auto"/>
            <w:noWrap/>
            <w:vAlign w:val="bottom"/>
            <w:hideMark/>
          </w:tcPr>
          <w:p w14:paraId="1E29CEC8" w14:textId="3979FBE8" w:rsidR="00895A1D" w:rsidRPr="006B42D6" w:rsidRDefault="00895A1D" w:rsidP="00895A1D">
            <w:pPr>
              <w:jc w:val="right"/>
              <w:rPr>
                <w:sz w:val="16"/>
                <w:szCs w:val="16"/>
              </w:rPr>
            </w:pPr>
            <w:r w:rsidRPr="006B42D6">
              <w:rPr>
                <w:sz w:val="16"/>
                <w:szCs w:val="16"/>
              </w:rPr>
              <w:t>2,856</w:t>
            </w:r>
          </w:p>
        </w:tc>
        <w:tc>
          <w:tcPr>
            <w:tcW w:w="0" w:type="auto"/>
            <w:tcBorders>
              <w:top w:val="nil"/>
              <w:left w:val="nil"/>
              <w:bottom w:val="nil"/>
              <w:right w:val="nil"/>
            </w:tcBorders>
            <w:shd w:val="clear" w:color="auto" w:fill="auto"/>
            <w:noWrap/>
            <w:vAlign w:val="bottom"/>
            <w:hideMark/>
          </w:tcPr>
          <w:p w14:paraId="44EE8A39" w14:textId="7E20EFE0" w:rsidR="00895A1D" w:rsidRPr="006B42D6" w:rsidRDefault="00895A1D" w:rsidP="00895A1D">
            <w:pPr>
              <w:jc w:val="right"/>
              <w:rPr>
                <w:sz w:val="16"/>
                <w:szCs w:val="16"/>
              </w:rPr>
            </w:pPr>
            <w:r w:rsidRPr="006B42D6">
              <w:rPr>
                <w:sz w:val="16"/>
                <w:szCs w:val="16"/>
              </w:rPr>
              <w:t>2,047</w:t>
            </w:r>
          </w:p>
        </w:tc>
        <w:tc>
          <w:tcPr>
            <w:tcW w:w="0" w:type="auto"/>
            <w:tcBorders>
              <w:top w:val="nil"/>
              <w:left w:val="nil"/>
              <w:bottom w:val="nil"/>
              <w:right w:val="nil"/>
            </w:tcBorders>
            <w:shd w:val="clear" w:color="auto" w:fill="auto"/>
            <w:noWrap/>
            <w:vAlign w:val="bottom"/>
            <w:hideMark/>
          </w:tcPr>
          <w:p w14:paraId="0E39960F" w14:textId="0B221347" w:rsidR="00895A1D" w:rsidRPr="006B42D6" w:rsidRDefault="00895A1D" w:rsidP="00895A1D">
            <w:pPr>
              <w:jc w:val="right"/>
              <w:rPr>
                <w:sz w:val="16"/>
                <w:szCs w:val="16"/>
              </w:rPr>
            </w:pPr>
            <w:r w:rsidRPr="006B42D6">
              <w:rPr>
                <w:sz w:val="16"/>
                <w:szCs w:val="16"/>
              </w:rPr>
              <w:t>8,646</w:t>
            </w:r>
          </w:p>
        </w:tc>
      </w:tr>
      <w:tr w:rsidR="006B42D6" w:rsidRPr="006B42D6" w14:paraId="7D382DE5" w14:textId="77777777" w:rsidTr="00D249A2">
        <w:trPr>
          <w:trHeight w:val="283"/>
        </w:trPr>
        <w:tc>
          <w:tcPr>
            <w:tcW w:w="0" w:type="auto"/>
            <w:tcBorders>
              <w:top w:val="nil"/>
              <w:left w:val="nil"/>
              <w:bottom w:val="nil"/>
            </w:tcBorders>
            <w:shd w:val="clear" w:color="auto" w:fill="auto"/>
            <w:noWrap/>
            <w:vAlign w:val="bottom"/>
            <w:hideMark/>
          </w:tcPr>
          <w:p w14:paraId="42B82C2A" w14:textId="6647FC73" w:rsidR="00895A1D" w:rsidRPr="006B42D6" w:rsidRDefault="00895A1D" w:rsidP="00EF5C3C">
            <w:pPr>
              <w:jc w:val="left"/>
              <w:rPr>
                <w:sz w:val="16"/>
                <w:szCs w:val="16"/>
              </w:rPr>
            </w:pPr>
            <w:r w:rsidRPr="006B42D6">
              <w:rPr>
                <w:sz w:val="16"/>
                <w:szCs w:val="16"/>
              </w:rPr>
              <w:t>Mjini Magharibi</w:t>
            </w:r>
          </w:p>
        </w:tc>
        <w:tc>
          <w:tcPr>
            <w:tcW w:w="0" w:type="auto"/>
            <w:tcBorders>
              <w:top w:val="nil"/>
              <w:bottom w:val="nil"/>
              <w:right w:val="nil"/>
            </w:tcBorders>
            <w:shd w:val="clear" w:color="auto" w:fill="auto"/>
            <w:noWrap/>
            <w:vAlign w:val="bottom"/>
            <w:hideMark/>
          </w:tcPr>
          <w:p w14:paraId="2E83164F" w14:textId="7A5DE497" w:rsidR="00895A1D" w:rsidRPr="006B42D6" w:rsidRDefault="00895A1D" w:rsidP="00895A1D">
            <w:pPr>
              <w:jc w:val="right"/>
              <w:rPr>
                <w:sz w:val="16"/>
                <w:szCs w:val="16"/>
              </w:rPr>
            </w:pPr>
            <w:r w:rsidRPr="006B42D6">
              <w:rPr>
                <w:sz w:val="16"/>
                <w:szCs w:val="16"/>
              </w:rPr>
              <w:t>8,814</w:t>
            </w:r>
          </w:p>
        </w:tc>
        <w:tc>
          <w:tcPr>
            <w:tcW w:w="0" w:type="auto"/>
            <w:tcBorders>
              <w:top w:val="nil"/>
              <w:left w:val="nil"/>
              <w:bottom w:val="nil"/>
              <w:right w:val="nil"/>
            </w:tcBorders>
            <w:shd w:val="clear" w:color="auto" w:fill="auto"/>
            <w:noWrap/>
            <w:vAlign w:val="bottom"/>
            <w:hideMark/>
          </w:tcPr>
          <w:p w14:paraId="75FBA060" w14:textId="42C468AE" w:rsidR="00895A1D" w:rsidRPr="006B42D6" w:rsidRDefault="00895A1D" w:rsidP="00895A1D">
            <w:pPr>
              <w:jc w:val="right"/>
              <w:rPr>
                <w:sz w:val="16"/>
                <w:szCs w:val="16"/>
              </w:rPr>
            </w:pPr>
            <w:r w:rsidRPr="006B42D6">
              <w:rPr>
                <w:sz w:val="16"/>
                <w:szCs w:val="16"/>
              </w:rPr>
              <w:t>2,614</w:t>
            </w:r>
          </w:p>
        </w:tc>
        <w:tc>
          <w:tcPr>
            <w:tcW w:w="0" w:type="auto"/>
            <w:tcBorders>
              <w:top w:val="nil"/>
              <w:left w:val="nil"/>
              <w:bottom w:val="nil"/>
              <w:right w:val="nil"/>
            </w:tcBorders>
            <w:shd w:val="clear" w:color="auto" w:fill="auto"/>
            <w:noWrap/>
            <w:vAlign w:val="bottom"/>
            <w:hideMark/>
          </w:tcPr>
          <w:p w14:paraId="51446E3F" w14:textId="4538FB91" w:rsidR="00895A1D" w:rsidRPr="006B42D6" w:rsidRDefault="00895A1D" w:rsidP="00895A1D">
            <w:pPr>
              <w:jc w:val="right"/>
              <w:rPr>
                <w:sz w:val="16"/>
                <w:szCs w:val="16"/>
              </w:rPr>
            </w:pPr>
            <w:r w:rsidRPr="006B42D6">
              <w:rPr>
                <w:sz w:val="16"/>
                <w:szCs w:val="16"/>
              </w:rPr>
              <w:t>15,824</w:t>
            </w:r>
          </w:p>
        </w:tc>
        <w:tc>
          <w:tcPr>
            <w:tcW w:w="0" w:type="auto"/>
            <w:tcBorders>
              <w:top w:val="nil"/>
              <w:left w:val="nil"/>
              <w:bottom w:val="nil"/>
              <w:right w:val="nil"/>
            </w:tcBorders>
            <w:shd w:val="clear" w:color="auto" w:fill="auto"/>
            <w:noWrap/>
            <w:vAlign w:val="bottom"/>
            <w:hideMark/>
          </w:tcPr>
          <w:p w14:paraId="49464BF7" w14:textId="47B1BC44" w:rsidR="00895A1D" w:rsidRPr="006B42D6" w:rsidRDefault="00895A1D" w:rsidP="00895A1D">
            <w:pPr>
              <w:jc w:val="right"/>
              <w:rPr>
                <w:sz w:val="16"/>
                <w:szCs w:val="16"/>
              </w:rPr>
            </w:pPr>
            <w:r w:rsidRPr="006B42D6">
              <w:rPr>
                <w:sz w:val="16"/>
                <w:szCs w:val="16"/>
              </w:rPr>
              <w:t>3,071</w:t>
            </w:r>
          </w:p>
        </w:tc>
        <w:tc>
          <w:tcPr>
            <w:tcW w:w="0" w:type="auto"/>
            <w:tcBorders>
              <w:top w:val="nil"/>
              <w:left w:val="nil"/>
              <w:bottom w:val="nil"/>
              <w:right w:val="nil"/>
            </w:tcBorders>
            <w:shd w:val="clear" w:color="auto" w:fill="auto"/>
            <w:noWrap/>
            <w:vAlign w:val="bottom"/>
            <w:hideMark/>
          </w:tcPr>
          <w:p w14:paraId="28DD1DD8" w14:textId="225AFAEE" w:rsidR="00895A1D" w:rsidRPr="006B42D6" w:rsidRDefault="00895A1D" w:rsidP="00895A1D">
            <w:pPr>
              <w:jc w:val="right"/>
              <w:rPr>
                <w:sz w:val="16"/>
                <w:szCs w:val="16"/>
              </w:rPr>
            </w:pPr>
            <w:r w:rsidRPr="006B42D6">
              <w:rPr>
                <w:sz w:val="16"/>
                <w:szCs w:val="16"/>
              </w:rPr>
              <w:t>5,685</w:t>
            </w:r>
          </w:p>
        </w:tc>
        <w:tc>
          <w:tcPr>
            <w:tcW w:w="0" w:type="auto"/>
            <w:tcBorders>
              <w:top w:val="nil"/>
              <w:left w:val="nil"/>
              <w:bottom w:val="nil"/>
              <w:right w:val="nil"/>
            </w:tcBorders>
            <w:shd w:val="clear" w:color="auto" w:fill="auto"/>
            <w:noWrap/>
            <w:vAlign w:val="bottom"/>
            <w:hideMark/>
          </w:tcPr>
          <w:p w14:paraId="45CEBC83" w14:textId="58B560A0" w:rsidR="00895A1D" w:rsidRPr="006B42D6" w:rsidRDefault="00895A1D" w:rsidP="00895A1D">
            <w:pPr>
              <w:jc w:val="right"/>
              <w:rPr>
                <w:sz w:val="16"/>
                <w:szCs w:val="16"/>
              </w:rPr>
            </w:pPr>
            <w:r w:rsidRPr="006B42D6">
              <w:rPr>
                <w:sz w:val="16"/>
                <w:szCs w:val="16"/>
              </w:rPr>
              <w:t>5,458</w:t>
            </w:r>
          </w:p>
        </w:tc>
        <w:tc>
          <w:tcPr>
            <w:tcW w:w="0" w:type="auto"/>
            <w:tcBorders>
              <w:top w:val="nil"/>
              <w:left w:val="nil"/>
              <w:bottom w:val="nil"/>
              <w:right w:val="nil"/>
            </w:tcBorders>
            <w:shd w:val="clear" w:color="auto" w:fill="auto"/>
            <w:noWrap/>
            <w:vAlign w:val="bottom"/>
            <w:hideMark/>
          </w:tcPr>
          <w:p w14:paraId="2722CDA6" w14:textId="21B62828" w:rsidR="00895A1D" w:rsidRPr="006B42D6" w:rsidRDefault="00895A1D" w:rsidP="00895A1D">
            <w:pPr>
              <w:jc w:val="right"/>
              <w:rPr>
                <w:sz w:val="16"/>
                <w:szCs w:val="16"/>
              </w:rPr>
            </w:pPr>
            <w:r w:rsidRPr="006B42D6">
              <w:rPr>
                <w:sz w:val="16"/>
                <w:szCs w:val="16"/>
              </w:rPr>
              <w:t>27,069</w:t>
            </w:r>
          </w:p>
        </w:tc>
      </w:tr>
      <w:tr w:rsidR="006B42D6" w:rsidRPr="006B42D6" w14:paraId="2941FC91" w14:textId="77777777" w:rsidTr="00D249A2">
        <w:trPr>
          <w:trHeight w:val="283"/>
        </w:trPr>
        <w:tc>
          <w:tcPr>
            <w:tcW w:w="0" w:type="auto"/>
            <w:tcBorders>
              <w:top w:val="nil"/>
              <w:left w:val="nil"/>
              <w:bottom w:val="nil"/>
            </w:tcBorders>
            <w:shd w:val="clear" w:color="auto" w:fill="auto"/>
            <w:noWrap/>
            <w:vAlign w:val="bottom"/>
            <w:hideMark/>
          </w:tcPr>
          <w:p w14:paraId="6F45AD2A" w14:textId="67029690" w:rsidR="00895A1D" w:rsidRPr="006B42D6" w:rsidRDefault="00895A1D" w:rsidP="00EF5C3C">
            <w:pPr>
              <w:jc w:val="left"/>
              <w:rPr>
                <w:sz w:val="16"/>
                <w:szCs w:val="16"/>
              </w:rPr>
            </w:pPr>
            <w:r w:rsidRPr="006B42D6">
              <w:rPr>
                <w:sz w:val="16"/>
                <w:szCs w:val="16"/>
              </w:rPr>
              <w:t>Kaskazini Pemba</w:t>
            </w:r>
          </w:p>
        </w:tc>
        <w:tc>
          <w:tcPr>
            <w:tcW w:w="0" w:type="auto"/>
            <w:tcBorders>
              <w:top w:val="nil"/>
              <w:bottom w:val="nil"/>
              <w:right w:val="nil"/>
            </w:tcBorders>
            <w:shd w:val="clear" w:color="auto" w:fill="auto"/>
            <w:noWrap/>
            <w:vAlign w:val="bottom"/>
            <w:hideMark/>
          </w:tcPr>
          <w:p w14:paraId="5F111194" w14:textId="06354959" w:rsidR="00895A1D" w:rsidRPr="006B42D6" w:rsidRDefault="00895A1D" w:rsidP="00895A1D">
            <w:pPr>
              <w:jc w:val="right"/>
              <w:rPr>
                <w:sz w:val="16"/>
                <w:szCs w:val="16"/>
              </w:rPr>
            </w:pPr>
            <w:r w:rsidRPr="006B42D6">
              <w:rPr>
                <w:sz w:val="16"/>
                <w:szCs w:val="16"/>
              </w:rPr>
              <w:t>15,370</w:t>
            </w:r>
          </w:p>
        </w:tc>
        <w:tc>
          <w:tcPr>
            <w:tcW w:w="0" w:type="auto"/>
            <w:tcBorders>
              <w:top w:val="nil"/>
              <w:left w:val="nil"/>
              <w:bottom w:val="nil"/>
              <w:right w:val="nil"/>
            </w:tcBorders>
            <w:shd w:val="clear" w:color="auto" w:fill="auto"/>
            <w:noWrap/>
            <w:vAlign w:val="bottom"/>
            <w:hideMark/>
          </w:tcPr>
          <w:p w14:paraId="2CDC3535" w14:textId="7C178ADF" w:rsidR="00895A1D" w:rsidRPr="006B42D6" w:rsidRDefault="00895A1D" w:rsidP="00895A1D">
            <w:pPr>
              <w:jc w:val="right"/>
              <w:rPr>
                <w:sz w:val="16"/>
                <w:szCs w:val="16"/>
              </w:rPr>
            </w:pPr>
            <w:r w:rsidRPr="006B42D6">
              <w:rPr>
                <w:sz w:val="16"/>
                <w:szCs w:val="16"/>
              </w:rPr>
              <w:t>3,660</w:t>
            </w:r>
          </w:p>
        </w:tc>
        <w:tc>
          <w:tcPr>
            <w:tcW w:w="0" w:type="auto"/>
            <w:tcBorders>
              <w:top w:val="nil"/>
              <w:left w:val="nil"/>
              <w:bottom w:val="nil"/>
              <w:right w:val="nil"/>
            </w:tcBorders>
            <w:shd w:val="clear" w:color="auto" w:fill="auto"/>
            <w:noWrap/>
            <w:vAlign w:val="bottom"/>
            <w:hideMark/>
          </w:tcPr>
          <w:p w14:paraId="16F1EEF3" w14:textId="23AD0EAE" w:rsidR="00895A1D" w:rsidRPr="006B42D6" w:rsidRDefault="00895A1D" w:rsidP="00895A1D">
            <w:pPr>
              <w:jc w:val="right"/>
              <w:rPr>
                <w:sz w:val="16"/>
                <w:szCs w:val="16"/>
              </w:rPr>
            </w:pPr>
            <w:r w:rsidRPr="006B42D6">
              <w:rPr>
                <w:sz w:val="16"/>
                <w:szCs w:val="16"/>
              </w:rPr>
              <w:t>7,365</w:t>
            </w:r>
          </w:p>
        </w:tc>
        <w:tc>
          <w:tcPr>
            <w:tcW w:w="0" w:type="auto"/>
            <w:tcBorders>
              <w:top w:val="nil"/>
              <w:left w:val="nil"/>
              <w:bottom w:val="nil"/>
              <w:right w:val="nil"/>
            </w:tcBorders>
            <w:shd w:val="clear" w:color="auto" w:fill="auto"/>
            <w:noWrap/>
            <w:vAlign w:val="bottom"/>
            <w:hideMark/>
          </w:tcPr>
          <w:p w14:paraId="5A6898B2" w14:textId="727AF63C" w:rsidR="00895A1D" w:rsidRPr="006B42D6" w:rsidRDefault="00895A1D" w:rsidP="00895A1D">
            <w:pPr>
              <w:jc w:val="right"/>
              <w:rPr>
                <w:sz w:val="16"/>
                <w:szCs w:val="16"/>
              </w:rPr>
            </w:pPr>
            <w:r w:rsidRPr="006B42D6">
              <w:rPr>
                <w:sz w:val="16"/>
                <w:szCs w:val="16"/>
              </w:rPr>
              <w:t>1,913</w:t>
            </w:r>
          </w:p>
        </w:tc>
        <w:tc>
          <w:tcPr>
            <w:tcW w:w="0" w:type="auto"/>
            <w:tcBorders>
              <w:top w:val="nil"/>
              <w:left w:val="nil"/>
              <w:bottom w:val="nil"/>
              <w:right w:val="nil"/>
            </w:tcBorders>
            <w:shd w:val="clear" w:color="auto" w:fill="auto"/>
            <w:noWrap/>
            <w:vAlign w:val="bottom"/>
            <w:hideMark/>
          </w:tcPr>
          <w:p w14:paraId="79B6DC3F" w14:textId="6920E6BE" w:rsidR="00895A1D" w:rsidRPr="006B42D6" w:rsidRDefault="00895A1D" w:rsidP="00895A1D">
            <w:pPr>
              <w:jc w:val="right"/>
              <w:rPr>
                <w:sz w:val="16"/>
                <w:szCs w:val="16"/>
              </w:rPr>
            </w:pPr>
            <w:r w:rsidRPr="006B42D6">
              <w:rPr>
                <w:sz w:val="16"/>
                <w:szCs w:val="16"/>
              </w:rPr>
              <w:t>5,573</w:t>
            </w:r>
          </w:p>
        </w:tc>
        <w:tc>
          <w:tcPr>
            <w:tcW w:w="0" w:type="auto"/>
            <w:tcBorders>
              <w:top w:val="nil"/>
              <w:left w:val="nil"/>
              <w:bottom w:val="nil"/>
              <w:right w:val="nil"/>
            </w:tcBorders>
            <w:shd w:val="clear" w:color="auto" w:fill="auto"/>
            <w:noWrap/>
            <w:vAlign w:val="bottom"/>
            <w:hideMark/>
          </w:tcPr>
          <w:p w14:paraId="772C5931" w14:textId="0E661D44" w:rsidR="00895A1D" w:rsidRPr="006B42D6" w:rsidRDefault="00895A1D" w:rsidP="00895A1D">
            <w:pPr>
              <w:jc w:val="right"/>
              <w:rPr>
                <w:sz w:val="16"/>
                <w:szCs w:val="16"/>
              </w:rPr>
            </w:pPr>
            <w:r w:rsidRPr="006B42D6">
              <w:rPr>
                <w:sz w:val="16"/>
                <w:szCs w:val="16"/>
              </w:rPr>
              <w:t>4,653</w:t>
            </w:r>
          </w:p>
        </w:tc>
        <w:tc>
          <w:tcPr>
            <w:tcW w:w="0" w:type="auto"/>
            <w:tcBorders>
              <w:top w:val="nil"/>
              <w:left w:val="nil"/>
              <w:bottom w:val="nil"/>
              <w:right w:val="nil"/>
            </w:tcBorders>
            <w:shd w:val="clear" w:color="auto" w:fill="auto"/>
            <w:noWrap/>
            <w:vAlign w:val="bottom"/>
            <w:hideMark/>
          </w:tcPr>
          <w:p w14:paraId="7B6693D3" w14:textId="2C201767" w:rsidR="00895A1D" w:rsidRPr="006B42D6" w:rsidRDefault="00895A1D" w:rsidP="00895A1D">
            <w:pPr>
              <w:jc w:val="right"/>
              <w:rPr>
                <w:sz w:val="16"/>
                <w:szCs w:val="16"/>
              </w:rPr>
            </w:pPr>
            <w:r w:rsidRPr="006B42D6">
              <w:rPr>
                <w:sz w:val="16"/>
                <w:szCs w:val="16"/>
              </w:rPr>
              <w:t>16,230</w:t>
            </w:r>
          </w:p>
        </w:tc>
      </w:tr>
      <w:tr w:rsidR="006B42D6" w:rsidRPr="006B42D6" w14:paraId="28641375" w14:textId="77777777" w:rsidTr="00D249A2">
        <w:trPr>
          <w:trHeight w:val="283"/>
        </w:trPr>
        <w:tc>
          <w:tcPr>
            <w:tcW w:w="0" w:type="auto"/>
            <w:tcBorders>
              <w:top w:val="nil"/>
              <w:left w:val="nil"/>
              <w:bottom w:val="nil"/>
            </w:tcBorders>
            <w:shd w:val="clear" w:color="auto" w:fill="auto"/>
            <w:noWrap/>
            <w:vAlign w:val="bottom"/>
            <w:hideMark/>
          </w:tcPr>
          <w:p w14:paraId="63830457" w14:textId="4B7CAE7D" w:rsidR="00895A1D" w:rsidRPr="006B42D6" w:rsidRDefault="00895A1D" w:rsidP="00EF5C3C">
            <w:pPr>
              <w:jc w:val="left"/>
              <w:rPr>
                <w:sz w:val="16"/>
                <w:szCs w:val="16"/>
              </w:rPr>
            </w:pPr>
            <w:r w:rsidRPr="006B42D6">
              <w:rPr>
                <w:sz w:val="16"/>
                <w:szCs w:val="16"/>
              </w:rPr>
              <w:t>Kusini Pemba</w:t>
            </w:r>
          </w:p>
        </w:tc>
        <w:tc>
          <w:tcPr>
            <w:tcW w:w="0" w:type="auto"/>
            <w:tcBorders>
              <w:top w:val="nil"/>
              <w:bottom w:val="nil"/>
              <w:right w:val="nil"/>
            </w:tcBorders>
            <w:shd w:val="clear" w:color="auto" w:fill="auto"/>
            <w:noWrap/>
            <w:vAlign w:val="bottom"/>
            <w:hideMark/>
          </w:tcPr>
          <w:p w14:paraId="344A6A41" w14:textId="245AE0EE" w:rsidR="00895A1D" w:rsidRPr="006B42D6" w:rsidRDefault="00895A1D" w:rsidP="00895A1D">
            <w:pPr>
              <w:jc w:val="right"/>
              <w:rPr>
                <w:sz w:val="16"/>
                <w:szCs w:val="16"/>
              </w:rPr>
            </w:pPr>
            <w:r w:rsidRPr="006B42D6">
              <w:rPr>
                <w:sz w:val="16"/>
                <w:szCs w:val="16"/>
              </w:rPr>
              <w:t>15,093</w:t>
            </w:r>
          </w:p>
        </w:tc>
        <w:tc>
          <w:tcPr>
            <w:tcW w:w="0" w:type="auto"/>
            <w:tcBorders>
              <w:top w:val="nil"/>
              <w:left w:val="nil"/>
              <w:bottom w:val="nil"/>
              <w:right w:val="nil"/>
            </w:tcBorders>
            <w:shd w:val="clear" w:color="auto" w:fill="auto"/>
            <w:noWrap/>
            <w:vAlign w:val="bottom"/>
            <w:hideMark/>
          </w:tcPr>
          <w:p w14:paraId="25DB01A1" w14:textId="6E279C64" w:rsidR="00895A1D" w:rsidRPr="006B42D6" w:rsidRDefault="00895A1D" w:rsidP="00895A1D">
            <w:pPr>
              <w:jc w:val="right"/>
              <w:rPr>
                <w:sz w:val="16"/>
                <w:szCs w:val="16"/>
              </w:rPr>
            </w:pPr>
            <w:r w:rsidRPr="006B42D6">
              <w:rPr>
                <w:sz w:val="16"/>
                <w:szCs w:val="16"/>
              </w:rPr>
              <w:t>3,851</w:t>
            </w:r>
          </w:p>
        </w:tc>
        <w:tc>
          <w:tcPr>
            <w:tcW w:w="0" w:type="auto"/>
            <w:tcBorders>
              <w:top w:val="nil"/>
              <w:left w:val="nil"/>
              <w:bottom w:val="nil"/>
              <w:right w:val="nil"/>
            </w:tcBorders>
            <w:shd w:val="clear" w:color="auto" w:fill="auto"/>
            <w:noWrap/>
            <w:vAlign w:val="bottom"/>
            <w:hideMark/>
          </w:tcPr>
          <w:p w14:paraId="5DDA31F0" w14:textId="361F7306" w:rsidR="00895A1D" w:rsidRPr="006B42D6" w:rsidRDefault="00895A1D" w:rsidP="00895A1D">
            <w:pPr>
              <w:jc w:val="right"/>
              <w:rPr>
                <w:sz w:val="16"/>
                <w:szCs w:val="16"/>
              </w:rPr>
            </w:pPr>
            <w:r w:rsidRPr="006B42D6">
              <w:rPr>
                <w:sz w:val="16"/>
                <w:szCs w:val="16"/>
              </w:rPr>
              <w:t>40,356</w:t>
            </w:r>
          </w:p>
        </w:tc>
        <w:tc>
          <w:tcPr>
            <w:tcW w:w="0" w:type="auto"/>
            <w:tcBorders>
              <w:top w:val="nil"/>
              <w:left w:val="nil"/>
              <w:bottom w:val="nil"/>
              <w:right w:val="nil"/>
            </w:tcBorders>
            <w:shd w:val="clear" w:color="auto" w:fill="auto"/>
            <w:noWrap/>
            <w:vAlign w:val="bottom"/>
            <w:hideMark/>
          </w:tcPr>
          <w:p w14:paraId="16BAA3B9" w14:textId="7AB4E403" w:rsidR="00895A1D" w:rsidRPr="006B42D6" w:rsidRDefault="00895A1D" w:rsidP="00895A1D">
            <w:pPr>
              <w:jc w:val="right"/>
              <w:rPr>
                <w:sz w:val="16"/>
                <w:szCs w:val="16"/>
              </w:rPr>
            </w:pPr>
            <w:r w:rsidRPr="006B42D6">
              <w:rPr>
                <w:sz w:val="16"/>
                <w:szCs w:val="16"/>
              </w:rPr>
              <w:t>9,024</w:t>
            </w:r>
          </w:p>
        </w:tc>
        <w:tc>
          <w:tcPr>
            <w:tcW w:w="0" w:type="auto"/>
            <w:tcBorders>
              <w:top w:val="nil"/>
              <w:left w:val="nil"/>
              <w:bottom w:val="nil"/>
              <w:right w:val="nil"/>
            </w:tcBorders>
            <w:shd w:val="clear" w:color="auto" w:fill="auto"/>
            <w:noWrap/>
            <w:vAlign w:val="bottom"/>
            <w:hideMark/>
          </w:tcPr>
          <w:p w14:paraId="1127BA64" w14:textId="6EF1D3C8" w:rsidR="00895A1D" w:rsidRPr="006B42D6" w:rsidRDefault="00895A1D" w:rsidP="00895A1D">
            <w:pPr>
              <w:jc w:val="right"/>
              <w:rPr>
                <w:sz w:val="16"/>
                <w:szCs w:val="16"/>
              </w:rPr>
            </w:pPr>
            <w:r w:rsidRPr="006B42D6">
              <w:rPr>
                <w:sz w:val="16"/>
                <w:szCs w:val="16"/>
              </w:rPr>
              <w:t>12,875</w:t>
            </w:r>
          </w:p>
        </w:tc>
        <w:tc>
          <w:tcPr>
            <w:tcW w:w="0" w:type="auto"/>
            <w:tcBorders>
              <w:top w:val="nil"/>
              <w:left w:val="nil"/>
              <w:bottom w:val="nil"/>
              <w:right w:val="nil"/>
            </w:tcBorders>
            <w:shd w:val="clear" w:color="auto" w:fill="auto"/>
            <w:noWrap/>
            <w:vAlign w:val="bottom"/>
            <w:hideMark/>
          </w:tcPr>
          <w:p w14:paraId="3C263B10" w14:textId="6C53ABD6" w:rsidR="00895A1D" w:rsidRPr="006B42D6" w:rsidRDefault="00895A1D" w:rsidP="00895A1D">
            <w:pPr>
              <w:jc w:val="right"/>
              <w:rPr>
                <w:sz w:val="16"/>
                <w:szCs w:val="16"/>
              </w:rPr>
            </w:pPr>
            <w:r w:rsidRPr="006B42D6">
              <w:rPr>
                <w:sz w:val="16"/>
                <w:szCs w:val="16"/>
              </w:rPr>
              <w:t>10,162</w:t>
            </w:r>
          </w:p>
        </w:tc>
        <w:tc>
          <w:tcPr>
            <w:tcW w:w="0" w:type="auto"/>
            <w:tcBorders>
              <w:top w:val="nil"/>
              <w:left w:val="nil"/>
              <w:bottom w:val="nil"/>
              <w:right w:val="nil"/>
            </w:tcBorders>
            <w:shd w:val="clear" w:color="auto" w:fill="auto"/>
            <w:noWrap/>
            <w:vAlign w:val="bottom"/>
            <w:hideMark/>
          </w:tcPr>
          <w:p w14:paraId="21B49926" w14:textId="10B94040" w:rsidR="00895A1D" w:rsidRPr="006B42D6" w:rsidRDefault="00895A1D" w:rsidP="00895A1D">
            <w:pPr>
              <w:jc w:val="right"/>
              <w:rPr>
                <w:sz w:val="16"/>
                <w:szCs w:val="16"/>
              </w:rPr>
            </w:pPr>
            <w:r w:rsidRPr="006B42D6">
              <w:rPr>
                <w:sz w:val="16"/>
                <w:szCs w:val="16"/>
              </w:rPr>
              <w:t>26,635</w:t>
            </w:r>
          </w:p>
        </w:tc>
      </w:tr>
      <w:tr w:rsidR="006B42D6" w:rsidRPr="006B42D6" w14:paraId="531EA992" w14:textId="77777777" w:rsidTr="00D249A2">
        <w:trPr>
          <w:trHeight w:val="283"/>
        </w:trPr>
        <w:tc>
          <w:tcPr>
            <w:tcW w:w="0" w:type="auto"/>
            <w:tcBorders>
              <w:top w:val="single" w:sz="4" w:space="0" w:color="auto"/>
              <w:left w:val="nil"/>
              <w:bottom w:val="single" w:sz="4" w:space="0" w:color="auto"/>
            </w:tcBorders>
            <w:shd w:val="clear" w:color="auto" w:fill="E2EFD9" w:themeFill="accent6" w:themeFillTint="33"/>
            <w:noWrap/>
            <w:vAlign w:val="bottom"/>
            <w:hideMark/>
          </w:tcPr>
          <w:p w14:paraId="224B4260" w14:textId="49196725" w:rsidR="00895A1D" w:rsidRPr="006B42D6" w:rsidRDefault="00895A1D" w:rsidP="00EF5C3C">
            <w:pPr>
              <w:jc w:val="left"/>
              <w:rPr>
                <w:b/>
                <w:bCs/>
                <w:sz w:val="16"/>
                <w:szCs w:val="16"/>
              </w:rPr>
            </w:pPr>
            <w:r w:rsidRPr="006B42D6">
              <w:rPr>
                <w:b/>
                <w:bCs/>
                <w:sz w:val="16"/>
                <w:szCs w:val="16"/>
              </w:rPr>
              <w:t>Tanzania Zanzibar</w:t>
            </w:r>
          </w:p>
        </w:tc>
        <w:tc>
          <w:tcPr>
            <w:tcW w:w="0" w:type="auto"/>
            <w:tcBorders>
              <w:top w:val="single" w:sz="4" w:space="0" w:color="auto"/>
              <w:bottom w:val="single" w:sz="4" w:space="0" w:color="auto"/>
              <w:right w:val="nil"/>
            </w:tcBorders>
            <w:shd w:val="clear" w:color="auto" w:fill="E2EFD9" w:themeFill="accent6" w:themeFillTint="33"/>
            <w:noWrap/>
            <w:vAlign w:val="bottom"/>
            <w:hideMark/>
          </w:tcPr>
          <w:p w14:paraId="3C3E32AB" w14:textId="6915DA8A" w:rsidR="00895A1D" w:rsidRPr="006B42D6" w:rsidRDefault="00895A1D" w:rsidP="00895A1D">
            <w:pPr>
              <w:jc w:val="right"/>
              <w:rPr>
                <w:b/>
                <w:bCs/>
                <w:sz w:val="16"/>
                <w:szCs w:val="16"/>
              </w:rPr>
            </w:pPr>
            <w:r w:rsidRPr="006B42D6">
              <w:rPr>
                <w:b/>
                <w:bCs/>
                <w:sz w:val="16"/>
                <w:szCs w:val="16"/>
              </w:rPr>
              <w:t>59,050</w:t>
            </w:r>
          </w:p>
        </w:tc>
        <w:tc>
          <w:tcPr>
            <w:tcW w:w="0" w:type="auto"/>
            <w:tcBorders>
              <w:top w:val="single" w:sz="4" w:space="0" w:color="auto"/>
              <w:left w:val="nil"/>
              <w:bottom w:val="single" w:sz="4" w:space="0" w:color="auto"/>
              <w:right w:val="nil"/>
            </w:tcBorders>
            <w:shd w:val="clear" w:color="auto" w:fill="E2EFD9" w:themeFill="accent6" w:themeFillTint="33"/>
            <w:noWrap/>
            <w:vAlign w:val="bottom"/>
            <w:hideMark/>
          </w:tcPr>
          <w:p w14:paraId="392AA323" w14:textId="3D3917F6" w:rsidR="00895A1D" w:rsidRPr="006B42D6" w:rsidRDefault="00895A1D" w:rsidP="00895A1D">
            <w:pPr>
              <w:jc w:val="right"/>
              <w:rPr>
                <w:b/>
                <w:bCs/>
                <w:sz w:val="16"/>
                <w:szCs w:val="16"/>
              </w:rPr>
            </w:pPr>
            <w:r w:rsidRPr="006B42D6">
              <w:rPr>
                <w:b/>
                <w:bCs/>
                <w:sz w:val="16"/>
                <w:szCs w:val="16"/>
              </w:rPr>
              <w:t>13,941</w:t>
            </w:r>
          </w:p>
        </w:tc>
        <w:tc>
          <w:tcPr>
            <w:tcW w:w="0" w:type="auto"/>
            <w:tcBorders>
              <w:top w:val="single" w:sz="4" w:space="0" w:color="auto"/>
              <w:left w:val="nil"/>
              <w:bottom w:val="single" w:sz="4" w:space="0" w:color="auto"/>
              <w:right w:val="nil"/>
            </w:tcBorders>
            <w:shd w:val="clear" w:color="auto" w:fill="E2EFD9" w:themeFill="accent6" w:themeFillTint="33"/>
            <w:noWrap/>
            <w:vAlign w:val="bottom"/>
            <w:hideMark/>
          </w:tcPr>
          <w:p w14:paraId="33C14776" w14:textId="3EAEE655" w:rsidR="00895A1D" w:rsidRPr="006B42D6" w:rsidRDefault="00895A1D" w:rsidP="00895A1D">
            <w:pPr>
              <w:jc w:val="right"/>
              <w:rPr>
                <w:b/>
                <w:bCs/>
                <w:sz w:val="16"/>
                <w:szCs w:val="16"/>
              </w:rPr>
            </w:pPr>
            <w:r w:rsidRPr="006B42D6">
              <w:rPr>
                <w:b/>
                <w:bCs/>
                <w:sz w:val="16"/>
                <w:szCs w:val="16"/>
              </w:rPr>
              <w:t>74,932</w:t>
            </w:r>
          </w:p>
        </w:tc>
        <w:tc>
          <w:tcPr>
            <w:tcW w:w="0" w:type="auto"/>
            <w:tcBorders>
              <w:top w:val="single" w:sz="4" w:space="0" w:color="auto"/>
              <w:left w:val="nil"/>
              <w:bottom w:val="single" w:sz="4" w:space="0" w:color="auto"/>
              <w:right w:val="nil"/>
            </w:tcBorders>
            <w:shd w:val="clear" w:color="auto" w:fill="E2EFD9" w:themeFill="accent6" w:themeFillTint="33"/>
            <w:noWrap/>
            <w:vAlign w:val="bottom"/>
            <w:hideMark/>
          </w:tcPr>
          <w:p w14:paraId="18DF5A3A" w14:textId="2E06F8FA" w:rsidR="00895A1D" w:rsidRPr="006B42D6" w:rsidRDefault="00895A1D" w:rsidP="00895A1D">
            <w:pPr>
              <w:jc w:val="right"/>
              <w:rPr>
                <w:b/>
                <w:bCs/>
                <w:sz w:val="16"/>
                <w:szCs w:val="16"/>
              </w:rPr>
            </w:pPr>
            <w:r w:rsidRPr="006B42D6">
              <w:rPr>
                <w:b/>
                <w:bCs/>
                <w:sz w:val="16"/>
                <w:szCs w:val="16"/>
              </w:rPr>
              <w:t>16,075</w:t>
            </w:r>
          </w:p>
        </w:tc>
        <w:tc>
          <w:tcPr>
            <w:tcW w:w="0" w:type="auto"/>
            <w:tcBorders>
              <w:top w:val="single" w:sz="4" w:space="0" w:color="auto"/>
              <w:left w:val="nil"/>
              <w:bottom w:val="single" w:sz="4" w:space="0" w:color="auto"/>
              <w:right w:val="nil"/>
            </w:tcBorders>
            <w:shd w:val="clear" w:color="auto" w:fill="E2EFD9" w:themeFill="accent6" w:themeFillTint="33"/>
            <w:noWrap/>
            <w:vAlign w:val="bottom"/>
            <w:hideMark/>
          </w:tcPr>
          <w:p w14:paraId="4B952D2D" w14:textId="4496104D" w:rsidR="00895A1D" w:rsidRPr="006B42D6" w:rsidRDefault="00895A1D" w:rsidP="00895A1D">
            <w:pPr>
              <w:jc w:val="right"/>
              <w:rPr>
                <w:b/>
                <w:bCs/>
                <w:sz w:val="16"/>
                <w:szCs w:val="16"/>
              </w:rPr>
            </w:pPr>
            <w:r w:rsidRPr="006B42D6">
              <w:rPr>
                <w:b/>
                <w:bCs/>
                <w:sz w:val="16"/>
                <w:szCs w:val="16"/>
              </w:rPr>
              <w:t>30,016</w:t>
            </w:r>
          </w:p>
        </w:tc>
        <w:tc>
          <w:tcPr>
            <w:tcW w:w="0" w:type="auto"/>
            <w:tcBorders>
              <w:top w:val="single" w:sz="4" w:space="0" w:color="auto"/>
              <w:left w:val="nil"/>
              <w:bottom w:val="single" w:sz="4" w:space="0" w:color="auto"/>
              <w:right w:val="nil"/>
            </w:tcBorders>
            <w:shd w:val="clear" w:color="auto" w:fill="E2EFD9" w:themeFill="accent6" w:themeFillTint="33"/>
            <w:noWrap/>
            <w:vAlign w:val="bottom"/>
            <w:hideMark/>
          </w:tcPr>
          <w:p w14:paraId="34F2E37A" w14:textId="237C79D5" w:rsidR="00895A1D" w:rsidRPr="006B42D6" w:rsidRDefault="00895A1D" w:rsidP="00895A1D">
            <w:pPr>
              <w:jc w:val="right"/>
              <w:rPr>
                <w:b/>
                <w:bCs/>
                <w:sz w:val="16"/>
                <w:szCs w:val="16"/>
              </w:rPr>
            </w:pPr>
            <w:r w:rsidRPr="006B42D6">
              <w:rPr>
                <w:b/>
                <w:bCs/>
                <w:sz w:val="16"/>
                <w:szCs w:val="16"/>
              </w:rPr>
              <w:t>25,019</w:t>
            </w:r>
          </w:p>
        </w:tc>
        <w:tc>
          <w:tcPr>
            <w:tcW w:w="0" w:type="auto"/>
            <w:tcBorders>
              <w:top w:val="single" w:sz="4" w:space="0" w:color="auto"/>
              <w:left w:val="nil"/>
              <w:bottom w:val="single" w:sz="4" w:space="0" w:color="auto"/>
              <w:right w:val="nil"/>
            </w:tcBorders>
            <w:shd w:val="clear" w:color="auto" w:fill="E2EFD9" w:themeFill="accent6" w:themeFillTint="33"/>
            <w:noWrap/>
            <w:vAlign w:val="bottom"/>
            <w:hideMark/>
          </w:tcPr>
          <w:p w14:paraId="650D87C6" w14:textId="283C6CCD" w:rsidR="00895A1D" w:rsidRPr="006B42D6" w:rsidRDefault="00895A1D" w:rsidP="00895A1D">
            <w:pPr>
              <w:jc w:val="right"/>
              <w:rPr>
                <w:b/>
                <w:bCs/>
                <w:sz w:val="16"/>
                <w:szCs w:val="16"/>
              </w:rPr>
            </w:pPr>
            <w:r w:rsidRPr="006B42D6">
              <w:rPr>
                <w:b/>
                <w:bCs/>
                <w:sz w:val="16"/>
                <w:szCs w:val="16"/>
              </w:rPr>
              <w:t>88,085</w:t>
            </w:r>
          </w:p>
        </w:tc>
      </w:tr>
      <w:tr w:rsidR="00895A1D" w:rsidRPr="006B42D6" w14:paraId="706B3E19" w14:textId="77777777" w:rsidTr="00D249A2">
        <w:trPr>
          <w:trHeight w:val="283"/>
        </w:trPr>
        <w:tc>
          <w:tcPr>
            <w:tcW w:w="0" w:type="auto"/>
            <w:tcBorders>
              <w:top w:val="nil"/>
              <w:left w:val="nil"/>
              <w:bottom w:val="single" w:sz="4" w:space="0" w:color="auto"/>
            </w:tcBorders>
            <w:shd w:val="clear" w:color="auto" w:fill="E2EFD9" w:themeFill="accent6" w:themeFillTint="33"/>
            <w:noWrap/>
            <w:vAlign w:val="bottom"/>
            <w:hideMark/>
          </w:tcPr>
          <w:p w14:paraId="5A5C1C6E" w14:textId="2CBB1511" w:rsidR="00895A1D" w:rsidRPr="006B42D6" w:rsidRDefault="00895A1D" w:rsidP="00EF5C3C">
            <w:pPr>
              <w:jc w:val="left"/>
              <w:rPr>
                <w:b/>
                <w:bCs/>
                <w:sz w:val="16"/>
                <w:szCs w:val="16"/>
              </w:rPr>
            </w:pPr>
            <w:r w:rsidRPr="006B42D6">
              <w:rPr>
                <w:b/>
                <w:bCs/>
                <w:sz w:val="16"/>
                <w:szCs w:val="16"/>
              </w:rPr>
              <w:t>Tanzania</w:t>
            </w:r>
          </w:p>
        </w:tc>
        <w:tc>
          <w:tcPr>
            <w:tcW w:w="0" w:type="auto"/>
            <w:tcBorders>
              <w:top w:val="nil"/>
              <w:bottom w:val="single" w:sz="4" w:space="0" w:color="auto"/>
              <w:right w:val="nil"/>
            </w:tcBorders>
            <w:shd w:val="clear" w:color="auto" w:fill="E2EFD9" w:themeFill="accent6" w:themeFillTint="33"/>
            <w:noWrap/>
            <w:vAlign w:val="bottom"/>
            <w:hideMark/>
          </w:tcPr>
          <w:p w14:paraId="1ABB925D" w14:textId="3891E710" w:rsidR="00895A1D" w:rsidRPr="006B42D6" w:rsidRDefault="00895A1D" w:rsidP="00895A1D">
            <w:pPr>
              <w:jc w:val="right"/>
              <w:rPr>
                <w:b/>
                <w:bCs/>
                <w:sz w:val="16"/>
                <w:szCs w:val="16"/>
              </w:rPr>
            </w:pPr>
            <w:r w:rsidRPr="006B42D6">
              <w:rPr>
                <w:b/>
                <w:bCs/>
                <w:sz w:val="16"/>
                <w:szCs w:val="16"/>
              </w:rPr>
              <w:t>664,351</w:t>
            </w:r>
          </w:p>
        </w:tc>
        <w:tc>
          <w:tcPr>
            <w:tcW w:w="0" w:type="auto"/>
            <w:tcBorders>
              <w:top w:val="nil"/>
              <w:left w:val="nil"/>
              <w:bottom w:val="single" w:sz="4" w:space="0" w:color="auto"/>
              <w:right w:val="nil"/>
            </w:tcBorders>
            <w:shd w:val="clear" w:color="auto" w:fill="E2EFD9" w:themeFill="accent6" w:themeFillTint="33"/>
            <w:noWrap/>
            <w:vAlign w:val="bottom"/>
            <w:hideMark/>
          </w:tcPr>
          <w:p w14:paraId="28EAAA91" w14:textId="2DB01F84" w:rsidR="00895A1D" w:rsidRPr="006B42D6" w:rsidRDefault="00895A1D" w:rsidP="00895A1D">
            <w:pPr>
              <w:jc w:val="right"/>
              <w:rPr>
                <w:b/>
                <w:bCs/>
                <w:sz w:val="16"/>
                <w:szCs w:val="16"/>
              </w:rPr>
            </w:pPr>
            <w:r w:rsidRPr="006B42D6">
              <w:rPr>
                <w:b/>
                <w:bCs/>
                <w:sz w:val="16"/>
                <w:szCs w:val="16"/>
              </w:rPr>
              <w:t>151,745</w:t>
            </w:r>
          </w:p>
        </w:tc>
        <w:tc>
          <w:tcPr>
            <w:tcW w:w="0" w:type="auto"/>
            <w:tcBorders>
              <w:top w:val="nil"/>
              <w:left w:val="nil"/>
              <w:bottom w:val="single" w:sz="4" w:space="0" w:color="auto"/>
              <w:right w:val="nil"/>
            </w:tcBorders>
            <w:shd w:val="clear" w:color="auto" w:fill="E2EFD9" w:themeFill="accent6" w:themeFillTint="33"/>
            <w:noWrap/>
            <w:vAlign w:val="bottom"/>
            <w:hideMark/>
          </w:tcPr>
          <w:p w14:paraId="4D9E39AB" w14:textId="50FB00C0" w:rsidR="00895A1D" w:rsidRPr="006B42D6" w:rsidRDefault="00895A1D" w:rsidP="00895A1D">
            <w:pPr>
              <w:jc w:val="right"/>
              <w:rPr>
                <w:b/>
                <w:bCs/>
                <w:sz w:val="16"/>
                <w:szCs w:val="16"/>
              </w:rPr>
            </w:pPr>
            <w:r w:rsidRPr="006B42D6">
              <w:rPr>
                <w:b/>
                <w:bCs/>
                <w:sz w:val="16"/>
                <w:szCs w:val="16"/>
              </w:rPr>
              <w:t>1,097,209</w:t>
            </w:r>
          </w:p>
        </w:tc>
        <w:tc>
          <w:tcPr>
            <w:tcW w:w="0" w:type="auto"/>
            <w:tcBorders>
              <w:top w:val="nil"/>
              <w:left w:val="nil"/>
              <w:bottom w:val="single" w:sz="4" w:space="0" w:color="auto"/>
              <w:right w:val="nil"/>
            </w:tcBorders>
            <w:shd w:val="clear" w:color="auto" w:fill="E2EFD9" w:themeFill="accent6" w:themeFillTint="33"/>
            <w:noWrap/>
            <w:vAlign w:val="bottom"/>
            <w:hideMark/>
          </w:tcPr>
          <w:p w14:paraId="4A17296A" w14:textId="0CAFA15B" w:rsidR="00895A1D" w:rsidRPr="006B42D6" w:rsidRDefault="00895A1D" w:rsidP="00895A1D">
            <w:pPr>
              <w:jc w:val="right"/>
              <w:rPr>
                <w:b/>
                <w:bCs/>
                <w:sz w:val="16"/>
                <w:szCs w:val="16"/>
              </w:rPr>
            </w:pPr>
            <w:r w:rsidRPr="006B42D6">
              <w:rPr>
                <w:b/>
                <w:bCs/>
                <w:sz w:val="16"/>
                <w:szCs w:val="16"/>
              </w:rPr>
              <w:t>191,756</w:t>
            </w:r>
          </w:p>
        </w:tc>
        <w:tc>
          <w:tcPr>
            <w:tcW w:w="0" w:type="auto"/>
            <w:tcBorders>
              <w:top w:val="nil"/>
              <w:left w:val="nil"/>
              <w:bottom w:val="single" w:sz="4" w:space="0" w:color="auto"/>
              <w:right w:val="nil"/>
            </w:tcBorders>
            <w:shd w:val="clear" w:color="auto" w:fill="E2EFD9" w:themeFill="accent6" w:themeFillTint="33"/>
            <w:noWrap/>
            <w:vAlign w:val="bottom"/>
            <w:hideMark/>
          </w:tcPr>
          <w:p w14:paraId="759CAE9B" w14:textId="1C8C312F" w:rsidR="00895A1D" w:rsidRPr="006B42D6" w:rsidRDefault="00895A1D" w:rsidP="00895A1D">
            <w:pPr>
              <w:jc w:val="right"/>
              <w:rPr>
                <w:b/>
                <w:bCs/>
                <w:sz w:val="16"/>
                <w:szCs w:val="16"/>
              </w:rPr>
            </w:pPr>
            <w:r w:rsidRPr="006B42D6">
              <w:rPr>
                <w:b/>
                <w:bCs/>
                <w:sz w:val="16"/>
                <w:szCs w:val="16"/>
              </w:rPr>
              <w:t>343,501</w:t>
            </w:r>
          </w:p>
        </w:tc>
        <w:tc>
          <w:tcPr>
            <w:tcW w:w="0" w:type="auto"/>
            <w:tcBorders>
              <w:top w:val="nil"/>
              <w:left w:val="nil"/>
              <w:bottom w:val="single" w:sz="4" w:space="0" w:color="auto"/>
              <w:right w:val="nil"/>
            </w:tcBorders>
            <w:shd w:val="clear" w:color="auto" w:fill="E2EFD9" w:themeFill="accent6" w:themeFillTint="33"/>
            <w:noWrap/>
            <w:vAlign w:val="bottom"/>
            <w:hideMark/>
          </w:tcPr>
          <w:p w14:paraId="16E36E1E" w14:textId="5A8D5D33" w:rsidR="00895A1D" w:rsidRPr="006B42D6" w:rsidRDefault="00895A1D" w:rsidP="00895A1D">
            <w:pPr>
              <w:jc w:val="right"/>
              <w:rPr>
                <w:b/>
                <w:bCs/>
                <w:sz w:val="16"/>
                <w:szCs w:val="16"/>
              </w:rPr>
            </w:pPr>
            <w:r w:rsidRPr="006B42D6">
              <w:rPr>
                <w:b/>
                <w:bCs/>
                <w:sz w:val="16"/>
                <w:szCs w:val="16"/>
              </w:rPr>
              <w:t>241,638</w:t>
            </w:r>
          </w:p>
        </w:tc>
        <w:tc>
          <w:tcPr>
            <w:tcW w:w="0" w:type="auto"/>
            <w:tcBorders>
              <w:top w:val="nil"/>
              <w:left w:val="nil"/>
              <w:bottom w:val="single" w:sz="4" w:space="0" w:color="auto"/>
              <w:right w:val="nil"/>
            </w:tcBorders>
            <w:shd w:val="clear" w:color="auto" w:fill="E2EFD9" w:themeFill="accent6" w:themeFillTint="33"/>
            <w:noWrap/>
            <w:vAlign w:val="bottom"/>
            <w:hideMark/>
          </w:tcPr>
          <w:p w14:paraId="2E04277A" w14:textId="5A823DCC" w:rsidR="00895A1D" w:rsidRPr="006B42D6" w:rsidRDefault="00895A1D" w:rsidP="00895A1D">
            <w:pPr>
              <w:jc w:val="right"/>
              <w:rPr>
                <w:b/>
                <w:bCs/>
                <w:sz w:val="16"/>
                <w:szCs w:val="16"/>
              </w:rPr>
            </w:pPr>
            <w:r w:rsidRPr="006B42D6">
              <w:rPr>
                <w:b/>
                <w:bCs/>
                <w:sz w:val="16"/>
                <w:szCs w:val="16"/>
              </w:rPr>
              <w:t>2,037,371</w:t>
            </w:r>
          </w:p>
        </w:tc>
      </w:tr>
    </w:tbl>
    <w:p w14:paraId="7B05859F" w14:textId="6F623633" w:rsidR="00EF5C3C" w:rsidRDefault="00EF5C3C" w:rsidP="00EF5C3C"/>
    <w:p w14:paraId="25C6479A" w14:textId="77777777" w:rsidR="00EF5C3C" w:rsidRDefault="00EF5C3C">
      <w:pPr>
        <w:spacing w:line="240" w:lineRule="auto"/>
        <w:contextualSpacing w:val="0"/>
        <w:jc w:val="left"/>
      </w:pPr>
      <w:r>
        <w:br w:type="page"/>
      </w:r>
    </w:p>
    <w:p w14:paraId="7085B3E0" w14:textId="4140EFF7" w:rsidR="005C67A3" w:rsidRPr="006B42D6" w:rsidRDefault="005C67A3" w:rsidP="005C2EFC">
      <w:pPr>
        <w:pStyle w:val="Heading4"/>
      </w:pPr>
      <w:bookmarkStart w:id="218" w:name="_Toc82385672"/>
      <w:r w:rsidRPr="006B42D6">
        <w:lastRenderedPageBreak/>
        <w:t>3.1.</w:t>
      </w:r>
      <w:r w:rsidR="00193728">
        <w:t>5</w:t>
      </w:r>
      <w:r w:rsidRPr="006B42D6">
        <w:t>.7</w:t>
      </w:r>
      <w:r w:rsidR="000807B0" w:rsidRPr="006B42D6">
        <w:tab/>
      </w:r>
      <w:r w:rsidRPr="006B42D6">
        <w:t>Mango</w:t>
      </w:r>
      <w:bookmarkEnd w:id="218"/>
      <w:r w:rsidRPr="006B42D6">
        <w:t xml:space="preserve"> </w:t>
      </w:r>
    </w:p>
    <w:p w14:paraId="0DCDB0E5" w14:textId="42B5A933" w:rsidR="00F40D36" w:rsidRDefault="005C67A3" w:rsidP="00F57EE9">
      <w:r w:rsidRPr="006B42D6">
        <w:rPr>
          <w:bCs/>
        </w:rPr>
        <w:t xml:space="preserve">Mango </w:t>
      </w:r>
      <w:r w:rsidRPr="006B42D6">
        <w:t xml:space="preserve">production in Tanzania involved 658,965 households, of which 631,242 were in </w:t>
      </w:r>
      <w:r w:rsidR="00EA1552">
        <w:t>Mainland Tanzania</w:t>
      </w:r>
      <w:r w:rsidRPr="006B42D6">
        <w:t xml:space="preserve"> and 27,723 in </w:t>
      </w:r>
      <w:r w:rsidR="00F40D36" w:rsidRPr="006B42D6">
        <w:t xml:space="preserve">Tanzania </w:t>
      </w:r>
      <w:r w:rsidRPr="006B42D6">
        <w:t xml:space="preserve">Zanzibar. </w:t>
      </w:r>
      <w:r w:rsidR="00F40D36" w:rsidRPr="006B42D6">
        <w:t xml:space="preserve">The total planted area with mango was </w:t>
      </w:r>
      <w:r w:rsidR="00F14F86" w:rsidRPr="006B42D6">
        <w:t>96,560</w:t>
      </w:r>
      <w:r w:rsidR="00F40D36" w:rsidRPr="006B42D6">
        <w:t xml:space="preserve"> ha, of which 95,363 ha were from smallholder farmers and </w:t>
      </w:r>
      <w:r w:rsidR="00982F82" w:rsidRPr="006B42D6">
        <w:t>1,197</w:t>
      </w:r>
      <w:r w:rsidR="00F40D36" w:rsidRPr="006B42D6">
        <w:t xml:space="preserve"> ha from large scale farms. Out of the total planted area by smallholder farmers,</w:t>
      </w:r>
      <w:r w:rsidRPr="006B42D6">
        <w:t xml:space="preserve"> 91,95</w:t>
      </w:r>
      <w:r w:rsidR="00CE0C50" w:rsidRPr="006B42D6">
        <w:t>4</w:t>
      </w:r>
      <w:r w:rsidRPr="006B42D6">
        <w:t xml:space="preserve"> ha were in </w:t>
      </w:r>
      <w:r w:rsidR="00EA1552">
        <w:t>Mainland Tanzania</w:t>
      </w:r>
      <w:r w:rsidRPr="006B42D6">
        <w:t xml:space="preserve"> and 3,409 ha in </w:t>
      </w:r>
      <w:r w:rsidR="00F40D36" w:rsidRPr="006B42D6">
        <w:t xml:space="preserve">Tanzania </w:t>
      </w:r>
      <w:r w:rsidRPr="006B42D6">
        <w:t xml:space="preserve">Zanzibar. </w:t>
      </w:r>
    </w:p>
    <w:p w14:paraId="4E28E397" w14:textId="77777777" w:rsidR="00EF5C3C" w:rsidRPr="006B42D6" w:rsidRDefault="00EF5C3C" w:rsidP="00EF5C3C">
      <w:pPr>
        <w:spacing w:line="240" w:lineRule="auto"/>
      </w:pPr>
    </w:p>
    <w:p w14:paraId="54529C3F" w14:textId="71CDE7A9" w:rsidR="005C67A3" w:rsidRPr="006B42D6" w:rsidRDefault="005C67A3" w:rsidP="00F57EE9">
      <w:r w:rsidRPr="006B42D6">
        <w:t xml:space="preserve">In </w:t>
      </w:r>
      <w:r w:rsidR="00EA1552">
        <w:t>Mainland Tanzania</w:t>
      </w:r>
      <w:r w:rsidRPr="006B42D6">
        <w:t xml:space="preserve">, Ruvuma </w:t>
      </w:r>
      <w:r w:rsidR="00F40D36" w:rsidRPr="006B42D6">
        <w:t>r</w:t>
      </w:r>
      <w:r w:rsidRPr="006B42D6">
        <w:t>egion had the largest planted area</w:t>
      </w:r>
      <w:r w:rsidR="00F40D36" w:rsidRPr="006B42D6">
        <w:t xml:space="preserve"> (16,418 ha; 17.9 percent)</w:t>
      </w:r>
      <w:r w:rsidRPr="006B42D6">
        <w:t xml:space="preserve"> with </w:t>
      </w:r>
      <w:r w:rsidRPr="006B42D6">
        <w:rPr>
          <w:bCs/>
        </w:rPr>
        <w:t>Mango</w:t>
      </w:r>
      <w:r w:rsidRPr="006B42D6">
        <w:t>, followed by Geita (16,412 ha; 17.</w:t>
      </w:r>
      <w:r w:rsidR="00F40D36" w:rsidRPr="006B42D6">
        <w:t>8</w:t>
      </w:r>
      <w:r w:rsidRPr="006B42D6">
        <w:t xml:space="preserve"> percent) and Pwani (13,983 ha; 15.2 percent). On the other hand, Manyara region had the least planted area (15 ha; 0.02 percent). In </w:t>
      </w:r>
      <w:r w:rsidR="00F40D36" w:rsidRPr="006B42D6">
        <w:t xml:space="preserve">Tanzania </w:t>
      </w:r>
      <w:r w:rsidRPr="006B42D6">
        <w:t xml:space="preserve">Zanzibar, Kusini Pemba led with the planted area of 1,242 ha (36.4 percent), followed by Kusini Unguja </w:t>
      </w:r>
      <w:r w:rsidR="00F40D36" w:rsidRPr="006B42D6">
        <w:t>(</w:t>
      </w:r>
      <w:r w:rsidRPr="006B42D6">
        <w:t>765 ha</w:t>
      </w:r>
      <w:r w:rsidR="00F62024">
        <w:t xml:space="preserve">; </w:t>
      </w:r>
      <w:r w:rsidRPr="006B42D6">
        <w:t xml:space="preserve">22.4 percent); while Kaskazini Pemba region had the least planted (51 ha; 1.5 percent). </w:t>
      </w:r>
    </w:p>
    <w:p w14:paraId="60748EF0" w14:textId="41E4A7B8" w:rsidR="00F40D36" w:rsidRPr="006B42D6" w:rsidRDefault="00F40D36" w:rsidP="000A6832">
      <w:pPr>
        <w:spacing w:line="240" w:lineRule="auto"/>
        <w:rPr>
          <w:b/>
          <w:bCs/>
        </w:rPr>
      </w:pPr>
    </w:p>
    <w:p w14:paraId="1B9E0952" w14:textId="7A8A9216" w:rsidR="00FA16B7" w:rsidRPr="006B42D6" w:rsidRDefault="00CE0C50" w:rsidP="00F57EE9">
      <w:pPr>
        <w:rPr>
          <w:b/>
          <w:bCs/>
        </w:rPr>
      </w:pPr>
      <w:r w:rsidRPr="006B42D6">
        <w:t xml:space="preserve">The total harvested area with mango was 32,580 ha, of which 31,845 ha were from smallholder farmers and 735 ha from large scale farms. Out of the total planted area by smallholder farmers, 30,688 ha were in </w:t>
      </w:r>
      <w:r w:rsidR="00EA1552">
        <w:t>Mainland Tanzania</w:t>
      </w:r>
      <w:r w:rsidRPr="006B42D6">
        <w:t xml:space="preserve"> and 1,157 ha in Tanzania Zanzibar.</w:t>
      </w:r>
      <w:r w:rsidR="005A39AE" w:rsidRPr="006B42D6">
        <w:t xml:space="preserve"> </w:t>
      </w:r>
      <w:r w:rsidR="00FA16B7" w:rsidRPr="006B42D6">
        <w:t xml:space="preserve">In </w:t>
      </w:r>
      <w:r w:rsidR="00EA1552">
        <w:t>Mainland Tanzania</w:t>
      </w:r>
      <w:r w:rsidR="00FA16B7" w:rsidRPr="006B42D6">
        <w:t xml:space="preserve">, Ruvuma region reported the largest harvested area (15,955 ha; 52.0 percent), followed by Dar es Salaam (3,308 ha; 10.8 percent) and Pwani (2,923 ha; 9.5 percent) and the least harvested area was in Songwe (0.4 ha; 0.01 percent). In Tanzania Zanzibar, Kusini Unguja had the largest harvested area (427 ha; 36.9 percent), followed by Mjini Magharibi (5258 ha; 22.2 percent), while the least harvested area was Kaskazini Pemba (26 ha; 2.6 percent). </w:t>
      </w:r>
    </w:p>
    <w:p w14:paraId="03CC69F6" w14:textId="77777777" w:rsidR="00F40D36" w:rsidRPr="006B42D6" w:rsidRDefault="00F40D36" w:rsidP="000A6832">
      <w:pPr>
        <w:spacing w:line="240" w:lineRule="auto"/>
      </w:pPr>
    </w:p>
    <w:p w14:paraId="610336C5" w14:textId="5B1C58DB" w:rsidR="005C67A3" w:rsidRPr="00F62024" w:rsidRDefault="00FA16B7" w:rsidP="00F57EE9">
      <w:r w:rsidRPr="006B42D6">
        <w:t xml:space="preserve">Mango production in Tanzania was </w:t>
      </w:r>
      <w:r w:rsidR="0094603F" w:rsidRPr="006B42D6">
        <w:t>526,518</w:t>
      </w:r>
      <w:r w:rsidRPr="006B42D6">
        <w:t xml:space="preserve"> tons, out of which 525,142 tons was produced by smallholder farmers and </w:t>
      </w:r>
      <w:r w:rsidR="0094603F" w:rsidRPr="006B42D6">
        <w:t>1,376</w:t>
      </w:r>
      <w:r w:rsidRPr="006B42D6">
        <w:t xml:space="preserve"> tons was produced by large scale farms. Out of the total production by smallholder farmers,</w:t>
      </w:r>
      <w:r w:rsidR="005C67A3" w:rsidRPr="006B42D6">
        <w:t xml:space="preserve"> </w:t>
      </w:r>
      <w:r w:rsidRPr="006B42D6">
        <w:t>507,829</w:t>
      </w:r>
      <w:r w:rsidR="005C67A3" w:rsidRPr="006B42D6">
        <w:t xml:space="preserve"> tons were in </w:t>
      </w:r>
      <w:r w:rsidR="00EA1552">
        <w:t>Mainland Tanzania</w:t>
      </w:r>
      <w:r w:rsidR="005C67A3" w:rsidRPr="006B42D6">
        <w:t xml:space="preserve"> and 17,</w:t>
      </w:r>
      <w:r w:rsidRPr="006B42D6">
        <w:t>313</w:t>
      </w:r>
      <w:r w:rsidR="005C67A3" w:rsidRPr="006B42D6">
        <w:t xml:space="preserve"> tons in </w:t>
      </w:r>
      <w:r w:rsidRPr="006B42D6">
        <w:t xml:space="preserve">Tanzania </w:t>
      </w:r>
      <w:r w:rsidR="005C67A3" w:rsidRPr="006B42D6">
        <w:t xml:space="preserve">Zanzibar. In </w:t>
      </w:r>
      <w:r w:rsidR="00EA1552">
        <w:t>Mainland Tanzania</w:t>
      </w:r>
      <w:r w:rsidR="005C67A3" w:rsidRPr="006B42D6">
        <w:t xml:space="preserve">, Ruvuma </w:t>
      </w:r>
      <w:r w:rsidRPr="006B42D6">
        <w:t>r</w:t>
      </w:r>
      <w:r w:rsidR="005C67A3" w:rsidRPr="006B42D6">
        <w:t>egion (283,8</w:t>
      </w:r>
      <w:r w:rsidRPr="006B42D6">
        <w:t>79</w:t>
      </w:r>
      <w:r w:rsidR="005C67A3" w:rsidRPr="006B42D6">
        <w:t xml:space="preserve"> tons; </w:t>
      </w:r>
      <w:r w:rsidRPr="006B42D6">
        <w:t>55.9</w:t>
      </w:r>
      <w:r w:rsidR="005C67A3" w:rsidRPr="006B42D6">
        <w:t xml:space="preserve"> percent) had the highest production, followed by Dar es Salaam (58,</w:t>
      </w:r>
      <w:r w:rsidRPr="006B42D6">
        <w:t>671</w:t>
      </w:r>
      <w:r w:rsidR="005C67A3" w:rsidRPr="006B42D6">
        <w:t xml:space="preserve"> tons; 11.</w:t>
      </w:r>
      <w:r w:rsidRPr="006B42D6">
        <w:t>6</w:t>
      </w:r>
      <w:r w:rsidR="005C67A3" w:rsidRPr="006B42D6">
        <w:t xml:space="preserve"> percent) and Pwani (</w:t>
      </w:r>
      <w:r w:rsidRPr="006B42D6">
        <w:t>47</w:t>
      </w:r>
      <w:r w:rsidR="005C67A3" w:rsidRPr="006B42D6">
        <w:t>,</w:t>
      </w:r>
      <w:r w:rsidRPr="006B42D6">
        <w:t>949</w:t>
      </w:r>
      <w:r w:rsidR="005C67A3" w:rsidRPr="006B42D6">
        <w:t xml:space="preserve"> tons; 9.</w:t>
      </w:r>
      <w:r w:rsidRPr="006B42D6">
        <w:t>4</w:t>
      </w:r>
      <w:r w:rsidR="005C67A3" w:rsidRPr="006B42D6">
        <w:t xml:space="preserve"> percent). On the other hand, </w:t>
      </w:r>
      <w:r w:rsidRPr="006B42D6">
        <w:t>Songwe</w:t>
      </w:r>
      <w:r w:rsidR="005C67A3" w:rsidRPr="006B42D6">
        <w:t xml:space="preserve"> region had </w:t>
      </w:r>
      <w:r w:rsidRPr="006B42D6">
        <w:t>the least production of mango (6 tons; 0.001 percent)</w:t>
      </w:r>
      <w:r w:rsidR="005C67A3" w:rsidRPr="006B42D6">
        <w:t>.</w:t>
      </w:r>
      <w:r w:rsidR="00F62024">
        <w:t xml:space="preserve"> </w:t>
      </w:r>
      <w:r w:rsidR="005C67A3" w:rsidRPr="006B42D6">
        <w:t xml:space="preserve">In </w:t>
      </w:r>
      <w:r w:rsidRPr="006B42D6">
        <w:t xml:space="preserve">Tanzania </w:t>
      </w:r>
      <w:r w:rsidR="005C67A3" w:rsidRPr="006B42D6">
        <w:t>Zanzibar, Kusini Unguja led with the production of 6,754 tons (</w:t>
      </w:r>
      <w:r w:rsidRPr="006B42D6">
        <w:t>39.0</w:t>
      </w:r>
      <w:r w:rsidR="005C67A3" w:rsidRPr="006B42D6">
        <w:t xml:space="preserve"> percent), followed by Mjini Magharibi </w:t>
      </w:r>
      <w:r w:rsidRPr="006B42D6">
        <w:t>(</w:t>
      </w:r>
      <w:r w:rsidR="005C67A3" w:rsidRPr="006B42D6">
        <w:t>4,38</w:t>
      </w:r>
      <w:r w:rsidRPr="006B42D6">
        <w:t>7</w:t>
      </w:r>
      <w:r w:rsidR="005C67A3" w:rsidRPr="006B42D6">
        <w:t xml:space="preserve"> tons</w:t>
      </w:r>
      <w:r w:rsidRPr="006B42D6">
        <w:t>; 25</w:t>
      </w:r>
      <w:r w:rsidR="005C67A3" w:rsidRPr="006B42D6">
        <w:t>.</w:t>
      </w:r>
      <w:r w:rsidRPr="006B42D6">
        <w:t>3</w:t>
      </w:r>
      <w:r w:rsidR="005C67A3" w:rsidRPr="006B42D6">
        <w:t xml:space="preserve"> percent), while Kaskazini Pemba had least production of 466 tons (2.</w:t>
      </w:r>
      <w:r w:rsidRPr="006B42D6">
        <w:t>7 percent</w:t>
      </w:r>
      <w:r w:rsidR="005C67A3" w:rsidRPr="006B42D6">
        <w:t>) (</w:t>
      </w:r>
      <w:r w:rsidR="001E3B1A" w:rsidRPr="006B42D6">
        <w:t>Table</w:t>
      </w:r>
      <w:r w:rsidR="005C67A3" w:rsidRPr="006B42D6">
        <w:t xml:space="preserve"> 3.</w:t>
      </w:r>
      <w:r w:rsidR="001E3B1A" w:rsidRPr="006B42D6">
        <w:t>10</w:t>
      </w:r>
      <w:r w:rsidR="005C67A3" w:rsidRPr="006B42D6">
        <w:t>).</w:t>
      </w:r>
      <w:r w:rsidR="005C67A3" w:rsidRPr="006B42D6">
        <w:rPr>
          <w:noProof/>
        </w:rPr>
        <w:t xml:space="preserve"> </w:t>
      </w:r>
      <w:r w:rsidR="005C67A3" w:rsidRPr="006B42D6">
        <w:rPr>
          <w:sz w:val="18"/>
          <w:szCs w:val="18"/>
        </w:rPr>
        <w:t xml:space="preserve"> </w:t>
      </w:r>
    </w:p>
    <w:p w14:paraId="7C5DF29A" w14:textId="07F3F796" w:rsidR="001E3B1A" w:rsidRPr="006B42D6" w:rsidRDefault="001E3B1A" w:rsidP="007200F6">
      <w:pPr>
        <w:pStyle w:val="Heading7"/>
      </w:pPr>
      <w:bookmarkStart w:id="219" w:name="_Toc82386192"/>
      <w:r w:rsidRPr="006B42D6">
        <w:lastRenderedPageBreak/>
        <w:t>Table 3.10</w:t>
      </w:r>
      <w:r w:rsidR="00EF5C3C">
        <w:t>:</w:t>
      </w:r>
      <w:r w:rsidR="00EF5C3C">
        <w:tab/>
      </w:r>
      <w:r w:rsidRPr="006B42D6">
        <w:t>Number of Households, Planted and Harvested Area, Quantity Harvested of Mango by Region During 2019/20 Agricultural Year, Tanzania</w:t>
      </w:r>
      <w:bookmarkEnd w:id="219"/>
    </w:p>
    <w:tbl>
      <w:tblPr>
        <w:tblW w:w="5002" w:type="pct"/>
        <w:jc w:val="center"/>
        <w:tblLook w:val="04A0" w:firstRow="1" w:lastRow="0" w:firstColumn="1" w:lastColumn="0" w:noHBand="0" w:noVBand="1"/>
      </w:tblPr>
      <w:tblGrid>
        <w:gridCol w:w="1602"/>
        <w:gridCol w:w="1238"/>
        <w:gridCol w:w="1273"/>
        <w:gridCol w:w="1281"/>
        <w:gridCol w:w="1281"/>
        <w:gridCol w:w="1281"/>
        <w:gridCol w:w="1284"/>
      </w:tblGrid>
      <w:tr w:rsidR="006B42D6" w:rsidRPr="00EF5C3C" w14:paraId="4901B9AF" w14:textId="77777777" w:rsidTr="00F62024">
        <w:trPr>
          <w:trHeight w:val="807"/>
          <w:jc w:val="center"/>
        </w:trPr>
        <w:tc>
          <w:tcPr>
            <w:tcW w:w="867" w:type="pct"/>
            <w:tcBorders>
              <w:top w:val="single" w:sz="4" w:space="0" w:color="auto"/>
              <w:left w:val="nil"/>
              <w:bottom w:val="single" w:sz="4" w:space="0" w:color="auto"/>
            </w:tcBorders>
            <w:shd w:val="clear" w:color="auto" w:fill="E2EFD9" w:themeFill="accent6" w:themeFillTint="33"/>
            <w:vAlign w:val="center"/>
            <w:hideMark/>
          </w:tcPr>
          <w:p w14:paraId="4D445B23" w14:textId="0AD27B1E" w:rsidR="00DA35C5" w:rsidRPr="00EF5C3C" w:rsidRDefault="00F62024" w:rsidP="00F62024">
            <w:pPr>
              <w:spacing w:line="276" w:lineRule="auto"/>
              <w:jc w:val="left"/>
              <w:rPr>
                <w:bCs/>
                <w:sz w:val="16"/>
                <w:szCs w:val="16"/>
              </w:rPr>
            </w:pPr>
            <w:r>
              <w:rPr>
                <w:bCs/>
                <w:sz w:val="16"/>
                <w:szCs w:val="16"/>
              </w:rPr>
              <w:t>Region</w:t>
            </w:r>
          </w:p>
        </w:tc>
        <w:tc>
          <w:tcPr>
            <w:tcW w:w="670" w:type="pct"/>
            <w:tcBorders>
              <w:top w:val="single" w:sz="4" w:space="0" w:color="auto"/>
              <w:bottom w:val="single" w:sz="4" w:space="0" w:color="auto"/>
              <w:right w:val="nil"/>
            </w:tcBorders>
            <w:shd w:val="clear" w:color="auto" w:fill="E2EFD9" w:themeFill="accent6" w:themeFillTint="33"/>
            <w:vAlign w:val="center"/>
            <w:hideMark/>
          </w:tcPr>
          <w:p w14:paraId="52692202" w14:textId="18B90073" w:rsidR="00DA35C5" w:rsidRPr="00EF5C3C" w:rsidRDefault="00DA35C5" w:rsidP="00F62024">
            <w:pPr>
              <w:spacing w:line="276" w:lineRule="auto"/>
              <w:jc w:val="left"/>
              <w:rPr>
                <w:bCs/>
                <w:sz w:val="16"/>
                <w:szCs w:val="16"/>
              </w:rPr>
            </w:pPr>
            <w:r w:rsidRPr="00EF5C3C">
              <w:rPr>
                <w:bCs/>
                <w:sz w:val="16"/>
                <w:szCs w:val="16"/>
              </w:rPr>
              <w:t>Number of Households</w:t>
            </w:r>
          </w:p>
        </w:tc>
        <w:tc>
          <w:tcPr>
            <w:tcW w:w="689" w:type="pct"/>
            <w:tcBorders>
              <w:top w:val="single" w:sz="4" w:space="0" w:color="auto"/>
              <w:left w:val="nil"/>
              <w:bottom w:val="single" w:sz="4" w:space="0" w:color="auto"/>
              <w:right w:val="nil"/>
            </w:tcBorders>
            <w:shd w:val="clear" w:color="auto" w:fill="E2EFD9" w:themeFill="accent6" w:themeFillTint="33"/>
            <w:vAlign w:val="center"/>
            <w:hideMark/>
          </w:tcPr>
          <w:p w14:paraId="264A8DD4" w14:textId="670E770F" w:rsidR="00DA35C5" w:rsidRPr="00EF5C3C" w:rsidRDefault="00DA35C5" w:rsidP="00F62024">
            <w:pPr>
              <w:spacing w:line="276" w:lineRule="auto"/>
              <w:jc w:val="left"/>
              <w:rPr>
                <w:bCs/>
                <w:sz w:val="16"/>
                <w:szCs w:val="16"/>
              </w:rPr>
            </w:pPr>
            <w:r w:rsidRPr="00EF5C3C">
              <w:rPr>
                <w:bCs/>
                <w:sz w:val="16"/>
                <w:szCs w:val="16"/>
              </w:rPr>
              <w:t>Area of Plants in MONO CROP (ha)</w:t>
            </w:r>
          </w:p>
        </w:tc>
        <w:tc>
          <w:tcPr>
            <w:tcW w:w="693" w:type="pct"/>
            <w:tcBorders>
              <w:top w:val="single" w:sz="4" w:space="0" w:color="auto"/>
              <w:left w:val="nil"/>
              <w:bottom w:val="single" w:sz="4" w:space="0" w:color="auto"/>
              <w:right w:val="nil"/>
            </w:tcBorders>
            <w:shd w:val="clear" w:color="auto" w:fill="E2EFD9" w:themeFill="accent6" w:themeFillTint="33"/>
            <w:vAlign w:val="center"/>
            <w:hideMark/>
          </w:tcPr>
          <w:p w14:paraId="152FD576" w14:textId="1389A284" w:rsidR="00DA35C5" w:rsidRPr="00EF5C3C" w:rsidRDefault="00DA35C5" w:rsidP="00F62024">
            <w:pPr>
              <w:spacing w:line="276" w:lineRule="auto"/>
              <w:jc w:val="left"/>
              <w:rPr>
                <w:bCs/>
                <w:sz w:val="16"/>
                <w:szCs w:val="16"/>
              </w:rPr>
            </w:pPr>
            <w:r w:rsidRPr="00EF5C3C">
              <w:rPr>
                <w:bCs/>
                <w:sz w:val="16"/>
                <w:szCs w:val="16"/>
              </w:rPr>
              <w:t>Number of Households</w:t>
            </w:r>
          </w:p>
        </w:tc>
        <w:tc>
          <w:tcPr>
            <w:tcW w:w="693" w:type="pct"/>
            <w:tcBorders>
              <w:top w:val="single" w:sz="4" w:space="0" w:color="auto"/>
              <w:left w:val="nil"/>
              <w:bottom w:val="single" w:sz="4" w:space="0" w:color="auto"/>
              <w:right w:val="nil"/>
            </w:tcBorders>
            <w:shd w:val="clear" w:color="auto" w:fill="E2EFD9" w:themeFill="accent6" w:themeFillTint="33"/>
            <w:vAlign w:val="center"/>
            <w:hideMark/>
          </w:tcPr>
          <w:p w14:paraId="671CC25E" w14:textId="1DF7FF0B" w:rsidR="00DA35C5" w:rsidRPr="00EF5C3C" w:rsidRDefault="00DA35C5" w:rsidP="00F62024">
            <w:pPr>
              <w:spacing w:line="276" w:lineRule="auto"/>
              <w:jc w:val="left"/>
              <w:rPr>
                <w:bCs/>
                <w:sz w:val="16"/>
                <w:szCs w:val="16"/>
              </w:rPr>
            </w:pPr>
            <w:r w:rsidRPr="00EF5C3C">
              <w:rPr>
                <w:bCs/>
                <w:sz w:val="16"/>
                <w:szCs w:val="16"/>
              </w:rPr>
              <w:t>Area covered by permanent crop in MIXED CROP (ha)</w:t>
            </w:r>
          </w:p>
        </w:tc>
        <w:tc>
          <w:tcPr>
            <w:tcW w:w="693" w:type="pct"/>
            <w:tcBorders>
              <w:top w:val="single" w:sz="4" w:space="0" w:color="auto"/>
              <w:left w:val="nil"/>
              <w:bottom w:val="single" w:sz="4" w:space="0" w:color="auto"/>
              <w:right w:val="nil"/>
            </w:tcBorders>
            <w:shd w:val="clear" w:color="auto" w:fill="E2EFD9" w:themeFill="accent6" w:themeFillTint="33"/>
            <w:vAlign w:val="center"/>
            <w:hideMark/>
          </w:tcPr>
          <w:p w14:paraId="55597A52" w14:textId="7326215D" w:rsidR="00DA35C5" w:rsidRPr="00EF5C3C" w:rsidRDefault="00DA35C5" w:rsidP="00F62024">
            <w:pPr>
              <w:spacing w:line="276" w:lineRule="auto"/>
              <w:jc w:val="left"/>
              <w:rPr>
                <w:bCs/>
                <w:sz w:val="16"/>
                <w:szCs w:val="16"/>
              </w:rPr>
            </w:pPr>
            <w:r w:rsidRPr="00EF5C3C">
              <w:rPr>
                <w:bCs/>
                <w:sz w:val="16"/>
                <w:szCs w:val="16"/>
              </w:rPr>
              <w:t>Area Harvested (ha)</w:t>
            </w:r>
          </w:p>
        </w:tc>
        <w:tc>
          <w:tcPr>
            <w:tcW w:w="695" w:type="pct"/>
            <w:tcBorders>
              <w:top w:val="single" w:sz="4" w:space="0" w:color="auto"/>
              <w:left w:val="nil"/>
              <w:bottom w:val="single" w:sz="4" w:space="0" w:color="auto"/>
            </w:tcBorders>
            <w:shd w:val="clear" w:color="auto" w:fill="E2EFD9" w:themeFill="accent6" w:themeFillTint="33"/>
            <w:vAlign w:val="center"/>
            <w:hideMark/>
          </w:tcPr>
          <w:p w14:paraId="64B68463" w14:textId="20E8017D" w:rsidR="00DA35C5" w:rsidRPr="00EF5C3C" w:rsidRDefault="00DA35C5" w:rsidP="00F62024">
            <w:pPr>
              <w:spacing w:line="276" w:lineRule="auto"/>
              <w:jc w:val="left"/>
              <w:rPr>
                <w:bCs/>
                <w:sz w:val="16"/>
                <w:szCs w:val="16"/>
              </w:rPr>
            </w:pPr>
            <w:r w:rsidRPr="00EF5C3C">
              <w:rPr>
                <w:bCs/>
                <w:sz w:val="16"/>
                <w:szCs w:val="16"/>
              </w:rPr>
              <w:t>Quantity harvested (tons)</w:t>
            </w:r>
          </w:p>
        </w:tc>
      </w:tr>
      <w:tr w:rsidR="006B42D6" w:rsidRPr="006B42D6" w14:paraId="6C290625" w14:textId="77777777" w:rsidTr="00F62024">
        <w:trPr>
          <w:trHeight w:val="312"/>
          <w:jc w:val="center"/>
        </w:trPr>
        <w:tc>
          <w:tcPr>
            <w:tcW w:w="867" w:type="pct"/>
            <w:tcBorders>
              <w:top w:val="nil"/>
              <w:left w:val="nil"/>
              <w:bottom w:val="nil"/>
            </w:tcBorders>
            <w:shd w:val="clear" w:color="auto" w:fill="auto"/>
            <w:noWrap/>
            <w:vAlign w:val="center"/>
            <w:hideMark/>
          </w:tcPr>
          <w:p w14:paraId="623D41BE" w14:textId="3ACC659A" w:rsidR="00DA35C5" w:rsidRPr="006B42D6" w:rsidRDefault="00DA35C5" w:rsidP="00F121EE">
            <w:pPr>
              <w:jc w:val="left"/>
              <w:rPr>
                <w:sz w:val="16"/>
                <w:szCs w:val="16"/>
              </w:rPr>
            </w:pPr>
            <w:r w:rsidRPr="006B42D6">
              <w:rPr>
                <w:sz w:val="16"/>
                <w:szCs w:val="16"/>
              </w:rPr>
              <w:t>Dodoma</w:t>
            </w:r>
          </w:p>
        </w:tc>
        <w:tc>
          <w:tcPr>
            <w:tcW w:w="670" w:type="pct"/>
            <w:tcBorders>
              <w:top w:val="nil"/>
              <w:bottom w:val="nil"/>
              <w:right w:val="nil"/>
            </w:tcBorders>
            <w:shd w:val="clear" w:color="auto" w:fill="auto"/>
            <w:noWrap/>
            <w:vAlign w:val="center"/>
            <w:hideMark/>
          </w:tcPr>
          <w:p w14:paraId="631007B0" w14:textId="6D954DD8" w:rsidR="00DA35C5" w:rsidRPr="006B42D6" w:rsidRDefault="00DA35C5" w:rsidP="00F121EE">
            <w:pPr>
              <w:jc w:val="right"/>
              <w:rPr>
                <w:sz w:val="16"/>
                <w:szCs w:val="16"/>
              </w:rPr>
            </w:pPr>
            <w:r w:rsidRPr="006B42D6">
              <w:rPr>
                <w:sz w:val="16"/>
                <w:szCs w:val="16"/>
              </w:rPr>
              <w:t>2,890</w:t>
            </w:r>
          </w:p>
        </w:tc>
        <w:tc>
          <w:tcPr>
            <w:tcW w:w="689" w:type="pct"/>
            <w:tcBorders>
              <w:top w:val="nil"/>
              <w:left w:val="nil"/>
              <w:bottom w:val="nil"/>
              <w:right w:val="nil"/>
            </w:tcBorders>
            <w:shd w:val="clear" w:color="auto" w:fill="auto"/>
            <w:noWrap/>
            <w:vAlign w:val="center"/>
            <w:hideMark/>
          </w:tcPr>
          <w:p w14:paraId="7903D9D4" w14:textId="6BED8725" w:rsidR="00DA35C5" w:rsidRPr="006B42D6" w:rsidRDefault="00DA35C5" w:rsidP="00F121EE">
            <w:pPr>
              <w:jc w:val="right"/>
              <w:rPr>
                <w:sz w:val="16"/>
                <w:szCs w:val="16"/>
              </w:rPr>
            </w:pPr>
            <w:r w:rsidRPr="006B42D6">
              <w:rPr>
                <w:sz w:val="16"/>
                <w:szCs w:val="16"/>
              </w:rPr>
              <w:t>1,161</w:t>
            </w:r>
          </w:p>
        </w:tc>
        <w:tc>
          <w:tcPr>
            <w:tcW w:w="693" w:type="pct"/>
            <w:tcBorders>
              <w:top w:val="nil"/>
              <w:left w:val="nil"/>
              <w:bottom w:val="nil"/>
              <w:right w:val="nil"/>
            </w:tcBorders>
            <w:shd w:val="clear" w:color="auto" w:fill="auto"/>
            <w:noWrap/>
            <w:vAlign w:val="center"/>
            <w:hideMark/>
          </w:tcPr>
          <w:p w14:paraId="23C893A0" w14:textId="03077CA1" w:rsidR="00DA35C5" w:rsidRPr="006B42D6" w:rsidRDefault="00DA35C5" w:rsidP="00F121EE">
            <w:pPr>
              <w:jc w:val="right"/>
              <w:rPr>
                <w:sz w:val="16"/>
                <w:szCs w:val="16"/>
              </w:rPr>
            </w:pPr>
            <w:r w:rsidRPr="006B42D6">
              <w:rPr>
                <w:sz w:val="16"/>
                <w:szCs w:val="16"/>
              </w:rPr>
              <w:t>12,390</w:t>
            </w:r>
          </w:p>
        </w:tc>
        <w:tc>
          <w:tcPr>
            <w:tcW w:w="693" w:type="pct"/>
            <w:tcBorders>
              <w:top w:val="nil"/>
              <w:left w:val="nil"/>
              <w:bottom w:val="nil"/>
              <w:right w:val="nil"/>
            </w:tcBorders>
            <w:shd w:val="clear" w:color="auto" w:fill="auto"/>
            <w:noWrap/>
            <w:vAlign w:val="center"/>
            <w:hideMark/>
          </w:tcPr>
          <w:p w14:paraId="60D43378" w14:textId="590C0704" w:rsidR="00DA35C5" w:rsidRPr="006B42D6" w:rsidRDefault="00DA35C5" w:rsidP="00F121EE">
            <w:pPr>
              <w:jc w:val="right"/>
              <w:rPr>
                <w:sz w:val="16"/>
                <w:szCs w:val="16"/>
              </w:rPr>
            </w:pPr>
            <w:r w:rsidRPr="006B42D6">
              <w:rPr>
                <w:sz w:val="16"/>
                <w:szCs w:val="16"/>
              </w:rPr>
              <w:t>364</w:t>
            </w:r>
          </w:p>
        </w:tc>
        <w:tc>
          <w:tcPr>
            <w:tcW w:w="693" w:type="pct"/>
            <w:tcBorders>
              <w:top w:val="nil"/>
              <w:left w:val="nil"/>
              <w:bottom w:val="nil"/>
              <w:right w:val="nil"/>
            </w:tcBorders>
            <w:shd w:val="clear" w:color="auto" w:fill="auto"/>
            <w:noWrap/>
            <w:vAlign w:val="center"/>
            <w:hideMark/>
          </w:tcPr>
          <w:p w14:paraId="47C77456" w14:textId="76D6A4CE" w:rsidR="00DA35C5" w:rsidRPr="006B42D6" w:rsidRDefault="00DA35C5" w:rsidP="00F121EE">
            <w:pPr>
              <w:jc w:val="right"/>
              <w:rPr>
                <w:sz w:val="16"/>
                <w:szCs w:val="16"/>
              </w:rPr>
            </w:pPr>
            <w:r w:rsidRPr="006B42D6">
              <w:rPr>
                <w:sz w:val="16"/>
                <w:szCs w:val="16"/>
              </w:rPr>
              <w:t>342</w:t>
            </w:r>
          </w:p>
        </w:tc>
        <w:tc>
          <w:tcPr>
            <w:tcW w:w="695" w:type="pct"/>
            <w:tcBorders>
              <w:top w:val="nil"/>
              <w:left w:val="nil"/>
              <w:bottom w:val="nil"/>
            </w:tcBorders>
            <w:shd w:val="clear" w:color="auto" w:fill="auto"/>
            <w:noWrap/>
            <w:vAlign w:val="center"/>
            <w:hideMark/>
          </w:tcPr>
          <w:p w14:paraId="49C6D6BE" w14:textId="1EDB5692" w:rsidR="00DA35C5" w:rsidRPr="006B42D6" w:rsidRDefault="00DA35C5" w:rsidP="00F121EE">
            <w:pPr>
              <w:jc w:val="right"/>
              <w:rPr>
                <w:sz w:val="16"/>
                <w:szCs w:val="16"/>
              </w:rPr>
            </w:pPr>
            <w:r w:rsidRPr="006B42D6">
              <w:rPr>
                <w:sz w:val="16"/>
                <w:szCs w:val="16"/>
              </w:rPr>
              <w:t>2,068</w:t>
            </w:r>
          </w:p>
        </w:tc>
      </w:tr>
      <w:tr w:rsidR="006B42D6" w:rsidRPr="006B42D6" w14:paraId="566387AE" w14:textId="77777777" w:rsidTr="00F62024">
        <w:trPr>
          <w:trHeight w:val="312"/>
          <w:jc w:val="center"/>
        </w:trPr>
        <w:tc>
          <w:tcPr>
            <w:tcW w:w="867" w:type="pct"/>
            <w:tcBorders>
              <w:top w:val="nil"/>
              <w:left w:val="nil"/>
              <w:bottom w:val="nil"/>
            </w:tcBorders>
            <w:shd w:val="clear" w:color="auto" w:fill="auto"/>
            <w:noWrap/>
            <w:vAlign w:val="center"/>
            <w:hideMark/>
          </w:tcPr>
          <w:p w14:paraId="7CDDB272" w14:textId="35DD3470" w:rsidR="00DA35C5" w:rsidRPr="006B42D6" w:rsidRDefault="00DA35C5" w:rsidP="00F121EE">
            <w:pPr>
              <w:jc w:val="left"/>
              <w:rPr>
                <w:sz w:val="16"/>
                <w:szCs w:val="16"/>
              </w:rPr>
            </w:pPr>
            <w:r w:rsidRPr="006B42D6">
              <w:rPr>
                <w:sz w:val="16"/>
                <w:szCs w:val="16"/>
              </w:rPr>
              <w:t>Arusha</w:t>
            </w:r>
          </w:p>
        </w:tc>
        <w:tc>
          <w:tcPr>
            <w:tcW w:w="670" w:type="pct"/>
            <w:tcBorders>
              <w:top w:val="nil"/>
              <w:bottom w:val="nil"/>
              <w:right w:val="nil"/>
            </w:tcBorders>
            <w:shd w:val="clear" w:color="auto" w:fill="auto"/>
            <w:noWrap/>
            <w:vAlign w:val="center"/>
            <w:hideMark/>
          </w:tcPr>
          <w:p w14:paraId="6013CD1A" w14:textId="6F311786" w:rsidR="00DA35C5" w:rsidRPr="006B42D6" w:rsidRDefault="00DA35C5" w:rsidP="00F121EE">
            <w:pPr>
              <w:jc w:val="right"/>
              <w:rPr>
                <w:sz w:val="16"/>
                <w:szCs w:val="16"/>
              </w:rPr>
            </w:pPr>
            <w:r w:rsidRPr="006B42D6">
              <w:rPr>
                <w:sz w:val="16"/>
                <w:szCs w:val="16"/>
              </w:rPr>
              <w:t>3,983</w:t>
            </w:r>
          </w:p>
        </w:tc>
        <w:tc>
          <w:tcPr>
            <w:tcW w:w="689" w:type="pct"/>
            <w:tcBorders>
              <w:top w:val="nil"/>
              <w:left w:val="nil"/>
              <w:bottom w:val="nil"/>
              <w:right w:val="nil"/>
            </w:tcBorders>
            <w:shd w:val="clear" w:color="auto" w:fill="auto"/>
            <w:noWrap/>
            <w:vAlign w:val="center"/>
            <w:hideMark/>
          </w:tcPr>
          <w:p w14:paraId="72B04ADD" w14:textId="0FFF4D7A" w:rsidR="00DA35C5" w:rsidRPr="006B42D6" w:rsidRDefault="00DA35C5" w:rsidP="00F121EE">
            <w:pPr>
              <w:jc w:val="right"/>
              <w:rPr>
                <w:sz w:val="16"/>
                <w:szCs w:val="16"/>
              </w:rPr>
            </w:pPr>
            <w:r w:rsidRPr="006B42D6">
              <w:rPr>
                <w:sz w:val="16"/>
                <w:szCs w:val="16"/>
              </w:rPr>
              <w:t>66</w:t>
            </w:r>
          </w:p>
        </w:tc>
        <w:tc>
          <w:tcPr>
            <w:tcW w:w="693" w:type="pct"/>
            <w:tcBorders>
              <w:top w:val="nil"/>
              <w:left w:val="nil"/>
              <w:bottom w:val="nil"/>
              <w:right w:val="nil"/>
            </w:tcBorders>
            <w:shd w:val="clear" w:color="auto" w:fill="auto"/>
            <w:noWrap/>
            <w:vAlign w:val="center"/>
            <w:hideMark/>
          </w:tcPr>
          <w:p w14:paraId="7034FA1E" w14:textId="0B37BC17" w:rsidR="00DA35C5" w:rsidRPr="006B42D6" w:rsidRDefault="00DA35C5" w:rsidP="00F121EE">
            <w:pPr>
              <w:jc w:val="right"/>
              <w:rPr>
                <w:sz w:val="16"/>
                <w:szCs w:val="16"/>
              </w:rPr>
            </w:pPr>
            <w:r w:rsidRPr="006B42D6">
              <w:rPr>
                <w:sz w:val="16"/>
                <w:szCs w:val="16"/>
              </w:rPr>
              <w:t>4,693</w:t>
            </w:r>
          </w:p>
        </w:tc>
        <w:tc>
          <w:tcPr>
            <w:tcW w:w="693" w:type="pct"/>
            <w:tcBorders>
              <w:top w:val="nil"/>
              <w:left w:val="nil"/>
              <w:bottom w:val="nil"/>
              <w:right w:val="nil"/>
            </w:tcBorders>
            <w:shd w:val="clear" w:color="auto" w:fill="auto"/>
            <w:noWrap/>
            <w:vAlign w:val="center"/>
            <w:hideMark/>
          </w:tcPr>
          <w:p w14:paraId="3B6C383A" w14:textId="0D3F33C1" w:rsidR="00DA35C5" w:rsidRPr="006B42D6" w:rsidRDefault="00DA35C5" w:rsidP="00F121EE">
            <w:pPr>
              <w:jc w:val="right"/>
              <w:rPr>
                <w:sz w:val="16"/>
                <w:szCs w:val="16"/>
              </w:rPr>
            </w:pPr>
            <w:r w:rsidRPr="006B42D6">
              <w:rPr>
                <w:sz w:val="16"/>
                <w:szCs w:val="16"/>
              </w:rPr>
              <w:t>93</w:t>
            </w:r>
          </w:p>
        </w:tc>
        <w:tc>
          <w:tcPr>
            <w:tcW w:w="693" w:type="pct"/>
            <w:tcBorders>
              <w:top w:val="nil"/>
              <w:left w:val="nil"/>
              <w:bottom w:val="nil"/>
              <w:right w:val="nil"/>
            </w:tcBorders>
            <w:shd w:val="clear" w:color="auto" w:fill="auto"/>
            <w:noWrap/>
            <w:vAlign w:val="center"/>
            <w:hideMark/>
          </w:tcPr>
          <w:p w14:paraId="41B5CF21" w14:textId="43673D6C" w:rsidR="00DA35C5" w:rsidRPr="006B42D6" w:rsidRDefault="00DA35C5" w:rsidP="00F121EE">
            <w:pPr>
              <w:jc w:val="right"/>
              <w:rPr>
                <w:sz w:val="16"/>
                <w:szCs w:val="16"/>
              </w:rPr>
            </w:pPr>
            <w:r w:rsidRPr="006B42D6">
              <w:rPr>
                <w:sz w:val="16"/>
                <w:szCs w:val="16"/>
              </w:rPr>
              <w:t>68</w:t>
            </w:r>
          </w:p>
        </w:tc>
        <w:tc>
          <w:tcPr>
            <w:tcW w:w="695" w:type="pct"/>
            <w:tcBorders>
              <w:top w:val="nil"/>
              <w:left w:val="nil"/>
              <w:bottom w:val="nil"/>
            </w:tcBorders>
            <w:shd w:val="clear" w:color="auto" w:fill="auto"/>
            <w:noWrap/>
            <w:vAlign w:val="center"/>
            <w:hideMark/>
          </w:tcPr>
          <w:p w14:paraId="76D7F875" w14:textId="6D65796A" w:rsidR="00DA35C5" w:rsidRPr="006B42D6" w:rsidRDefault="00DA35C5" w:rsidP="00F121EE">
            <w:pPr>
              <w:jc w:val="right"/>
              <w:rPr>
                <w:sz w:val="16"/>
                <w:szCs w:val="16"/>
              </w:rPr>
            </w:pPr>
            <w:r w:rsidRPr="006B42D6">
              <w:rPr>
                <w:sz w:val="16"/>
                <w:szCs w:val="16"/>
              </w:rPr>
              <w:t>1,030</w:t>
            </w:r>
          </w:p>
        </w:tc>
      </w:tr>
      <w:tr w:rsidR="006B42D6" w:rsidRPr="006B42D6" w14:paraId="24AD0B30" w14:textId="77777777" w:rsidTr="00F62024">
        <w:trPr>
          <w:trHeight w:val="312"/>
          <w:jc w:val="center"/>
        </w:trPr>
        <w:tc>
          <w:tcPr>
            <w:tcW w:w="867" w:type="pct"/>
            <w:tcBorders>
              <w:top w:val="nil"/>
              <w:left w:val="nil"/>
              <w:bottom w:val="nil"/>
            </w:tcBorders>
            <w:shd w:val="clear" w:color="auto" w:fill="auto"/>
            <w:noWrap/>
            <w:vAlign w:val="center"/>
            <w:hideMark/>
          </w:tcPr>
          <w:p w14:paraId="4358FCB2" w14:textId="3F424EE4" w:rsidR="00DA35C5" w:rsidRPr="006B42D6" w:rsidRDefault="00DA35C5" w:rsidP="00F121EE">
            <w:pPr>
              <w:jc w:val="left"/>
              <w:rPr>
                <w:sz w:val="16"/>
                <w:szCs w:val="16"/>
              </w:rPr>
            </w:pPr>
            <w:r w:rsidRPr="006B42D6">
              <w:rPr>
                <w:sz w:val="16"/>
                <w:szCs w:val="16"/>
              </w:rPr>
              <w:t>Kilimanjaro</w:t>
            </w:r>
          </w:p>
        </w:tc>
        <w:tc>
          <w:tcPr>
            <w:tcW w:w="670" w:type="pct"/>
            <w:tcBorders>
              <w:top w:val="nil"/>
              <w:bottom w:val="nil"/>
              <w:right w:val="nil"/>
            </w:tcBorders>
            <w:shd w:val="clear" w:color="auto" w:fill="auto"/>
            <w:noWrap/>
            <w:vAlign w:val="center"/>
            <w:hideMark/>
          </w:tcPr>
          <w:p w14:paraId="47E31460" w14:textId="50EBD8A0" w:rsidR="00DA35C5" w:rsidRPr="006B42D6" w:rsidRDefault="00DA35C5" w:rsidP="00F121EE">
            <w:pPr>
              <w:jc w:val="right"/>
              <w:rPr>
                <w:sz w:val="16"/>
                <w:szCs w:val="16"/>
              </w:rPr>
            </w:pPr>
            <w:r w:rsidRPr="006B42D6">
              <w:rPr>
                <w:sz w:val="16"/>
                <w:szCs w:val="16"/>
              </w:rPr>
              <w:t>2,569</w:t>
            </w:r>
          </w:p>
        </w:tc>
        <w:tc>
          <w:tcPr>
            <w:tcW w:w="689" w:type="pct"/>
            <w:tcBorders>
              <w:top w:val="nil"/>
              <w:left w:val="nil"/>
              <w:bottom w:val="nil"/>
              <w:right w:val="nil"/>
            </w:tcBorders>
            <w:shd w:val="clear" w:color="auto" w:fill="auto"/>
            <w:noWrap/>
            <w:vAlign w:val="center"/>
            <w:hideMark/>
          </w:tcPr>
          <w:p w14:paraId="6D918D4D" w14:textId="419F90D7" w:rsidR="00DA35C5" w:rsidRPr="006B42D6" w:rsidRDefault="00DA35C5" w:rsidP="00F121EE">
            <w:pPr>
              <w:jc w:val="right"/>
              <w:rPr>
                <w:sz w:val="16"/>
                <w:szCs w:val="16"/>
              </w:rPr>
            </w:pPr>
            <w:r w:rsidRPr="006B42D6">
              <w:rPr>
                <w:sz w:val="16"/>
                <w:szCs w:val="16"/>
              </w:rPr>
              <w:t>84</w:t>
            </w:r>
          </w:p>
        </w:tc>
        <w:tc>
          <w:tcPr>
            <w:tcW w:w="693" w:type="pct"/>
            <w:tcBorders>
              <w:top w:val="nil"/>
              <w:left w:val="nil"/>
              <w:bottom w:val="nil"/>
              <w:right w:val="nil"/>
            </w:tcBorders>
            <w:shd w:val="clear" w:color="auto" w:fill="auto"/>
            <w:noWrap/>
            <w:vAlign w:val="center"/>
            <w:hideMark/>
          </w:tcPr>
          <w:p w14:paraId="03E6A86E" w14:textId="6B80EE30" w:rsidR="00DA35C5" w:rsidRPr="006B42D6" w:rsidRDefault="00DA35C5" w:rsidP="00F121EE">
            <w:pPr>
              <w:jc w:val="right"/>
              <w:rPr>
                <w:sz w:val="16"/>
                <w:szCs w:val="16"/>
              </w:rPr>
            </w:pPr>
            <w:r w:rsidRPr="006B42D6">
              <w:rPr>
                <w:sz w:val="16"/>
                <w:szCs w:val="16"/>
              </w:rPr>
              <w:t>2,920</w:t>
            </w:r>
          </w:p>
        </w:tc>
        <w:tc>
          <w:tcPr>
            <w:tcW w:w="693" w:type="pct"/>
            <w:tcBorders>
              <w:top w:val="nil"/>
              <w:left w:val="nil"/>
              <w:bottom w:val="nil"/>
              <w:right w:val="nil"/>
            </w:tcBorders>
            <w:shd w:val="clear" w:color="auto" w:fill="auto"/>
            <w:noWrap/>
            <w:vAlign w:val="center"/>
            <w:hideMark/>
          </w:tcPr>
          <w:p w14:paraId="42D83557" w14:textId="15D28875" w:rsidR="00DA35C5" w:rsidRPr="006B42D6" w:rsidRDefault="00DA35C5" w:rsidP="00F121EE">
            <w:pPr>
              <w:jc w:val="right"/>
              <w:rPr>
                <w:sz w:val="16"/>
                <w:szCs w:val="16"/>
              </w:rPr>
            </w:pPr>
            <w:r w:rsidRPr="006B42D6">
              <w:rPr>
                <w:sz w:val="16"/>
                <w:szCs w:val="16"/>
              </w:rPr>
              <w:t>13</w:t>
            </w:r>
          </w:p>
        </w:tc>
        <w:tc>
          <w:tcPr>
            <w:tcW w:w="693" w:type="pct"/>
            <w:tcBorders>
              <w:top w:val="nil"/>
              <w:left w:val="nil"/>
              <w:bottom w:val="nil"/>
              <w:right w:val="nil"/>
            </w:tcBorders>
            <w:shd w:val="clear" w:color="auto" w:fill="auto"/>
            <w:noWrap/>
            <w:vAlign w:val="center"/>
            <w:hideMark/>
          </w:tcPr>
          <w:p w14:paraId="7B8318FA" w14:textId="797113B1" w:rsidR="00DA35C5" w:rsidRPr="006B42D6" w:rsidRDefault="00DA35C5" w:rsidP="00F121EE">
            <w:pPr>
              <w:jc w:val="right"/>
              <w:rPr>
                <w:sz w:val="16"/>
                <w:szCs w:val="16"/>
              </w:rPr>
            </w:pPr>
            <w:r w:rsidRPr="006B42D6">
              <w:rPr>
                <w:sz w:val="16"/>
                <w:szCs w:val="16"/>
              </w:rPr>
              <w:t>18</w:t>
            </w:r>
          </w:p>
        </w:tc>
        <w:tc>
          <w:tcPr>
            <w:tcW w:w="695" w:type="pct"/>
            <w:tcBorders>
              <w:top w:val="nil"/>
              <w:left w:val="nil"/>
              <w:bottom w:val="nil"/>
            </w:tcBorders>
            <w:shd w:val="clear" w:color="auto" w:fill="auto"/>
            <w:noWrap/>
            <w:vAlign w:val="center"/>
            <w:hideMark/>
          </w:tcPr>
          <w:p w14:paraId="6F622EDF" w14:textId="553501F5" w:rsidR="00DA35C5" w:rsidRPr="006B42D6" w:rsidRDefault="00DA35C5" w:rsidP="00F121EE">
            <w:pPr>
              <w:jc w:val="right"/>
              <w:rPr>
                <w:sz w:val="16"/>
                <w:szCs w:val="16"/>
              </w:rPr>
            </w:pPr>
            <w:r w:rsidRPr="006B42D6">
              <w:rPr>
                <w:sz w:val="16"/>
                <w:szCs w:val="16"/>
              </w:rPr>
              <w:t>326</w:t>
            </w:r>
          </w:p>
        </w:tc>
      </w:tr>
      <w:tr w:rsidR="006B42D6" w:rsidRPr="006B42D6" w14:paraId="1871D474" w14:textId="77777777" w:rsidTr="00F62024">
        <w:trPr>
          <w:trHeight w:val="312"/>
          <w:jc w:val="center"/>
        </w:trPr>
        <w:tc>
          <w:tcPr>
            <w:tcW w:w="867" w:type="pct"/>
            <w:tcBorders>
              <w:top w:val="nil"/>
              <w:left w:val="nil"/>
              <w:bottom w:val="nil"/>
            </w:tcBorders>
            <w:shd w:val="clear" w:color="auto" w:fill="auto"/>
            <w:noWrap/>
            <w:vAlign w:val="center"/>
            <w:hideMark/>
          </w:tcPr>
          <w:p w14:paraId="1D92F2C0" w14:textId="45028B9C" w:rsidR="00DA35C5" w:rsidRPr="006B42D6" w:rsidRDefault="00DA35C5" w:rsidP="00F121EE">
            <w:pPr>
              <w:jc w:val="left"/>
              <w:rPr>
                <w:sz w:val="16"/>
                <w:szCs w:val="16"/>
              </w:rPr>
            </w:pPr>
            <w:r w:rsidRPr="006B42D6">
              <w:rPr>
                <w:sz w:val="16"/>
                <w:szCs w:val="16"/>
              </w:rPr>
              <w:t>Tanga</w:t>
            </w:r>
          </w:p>
        </w:tc>
        <w:tc>
          <w:tcPr>
            <w:tcW w:w="670" w:type="pct"/>
            <w:tcBorders>
              <w:top w:val="nil"/>
              <w:bottom w:val="nil"/>
              <w:right w:val="nil"/>
            </w:tcBorders>
            <w:shd w:val="clear" w:color="auto" w:fill="auto"/>
            <w:noWrap/>
            <w:vAlign w:val="center"/>
            <w:hideMark/>
          </w:tcPr>
          <w:p w14:paraId="29778013" w14:textId="1DDE0C2C" w:rsidR="00DA35C5" w:rsidRPr="006B42D6" w:rsidRDefault="00DA35C5" w:rsidP="00F121EE">
            <w:pPr>
              <w:jc w:val="right"/>
              <w:rPr>
                <w:sz w:val="16"/>
                <w:szCs w:val="16"/>
              </w:rPr>
            </w:pPr>
            <w:r w:rsidRPr="006B42D6">
              <w:rPr>
                <w:sz w:val="16"/>
                <w:szCs w:val="16"/>
              </w:rPr>
              <w:t>6,978</w:t>
            </w:r>
          </w:p>
        </w:tc>
        <w:tc>
          <w:tcPr>
            <w:tcW w:w="689" w:type="pct"/>
            <w:tcBorders>
              <w:top w:val="nil"/>
              <w:left w:val="nil"/>
              <w:bottom w:val="nil"/>
              <w:right w:val="nil"/>
            </w:tcBorders>
            <w:shd w:val="clear" w:color="auto" w:fill="auto"/>
            <w:noWrap/>
            <w:vAlign w:val="center"/>
            <w:hideMark/>
          </w:tcPr>
          <w:p w14:paraId="687927F3" w14:textId="28BA7A66" w:rsidR="00DA35C5" w:rsidRPr="006B42D6" w:rsidRDefault="00DA35C5" w:rsidP="00F121EE">
            <w:pPr>
              <w:jc w:val="right"/>
              <w:rPr>
                <w:sz w:val="16"/>
                <w:szCs w:val="16"/>
              </w:rPr>
            </w:pPr>
            <w:r w:rsidRPr="006B42D6">
              <w:rPr>
                <w:sz w:val="16"/>
                <w:szCs w:val="16"/>
              </w:rPr>
              <w:t>1,497</w:t>
            </w:r>
          </w:p>
        </w:tc>
        <w:tc>
          <w:tcPr>
            <w:tcW w:w="693" w:type="pct"/>
            <w:tcBorders>
              <w:top w:val="nil"/>
              <w:left w:val="nil"/>
              <w:bottom w:val="nil"/>
              <w:right w:val="nil"/>
            </w:tcBorders>
            <w:shd w:val="clear" w:color="auto" w:fill="auto"/>
            <w:noWrap/>
            <w:vAlign w:val="center"/>
            <w:hideMark/>
          </w:tcPr>
          <w:p w14:paraId="0AFE8752" w14:textId="4926BDF5" w:rsidR="00DA35C5" w:rsidRPr="006B42D6" w:rsidRDefault="00DA35C5" w:rsidP="00F121EE">
            <w:pPr>
              <w:jc w:val="right"/>
              <w:rPr>
                <w:sz w:val="16"/>
                <w:szCs w:val="16"/>
              </w:rPr>
            </w:pPr>
            <w:r w:rsidRPr="006B42D6">
              <w:rPr>
                <w:sz w:val="16"/>
                <w:szCs w:val="16"/>
              </w:rPr>
              <w:t>23,277</w:t>
            </w:r>
          </w:p>
        </w:tc>
        <w:tc>
          <w:tcPr>
            <w:tcW w:w="693" w:type="pct"/>
            <w:tcBorders>
              <w:top w:val="nil"/>
              <w:left w:val="nil"/>
              <w:bottom w:val="nil"/>
              <w:right w:val="nil"/>
            </w:tcBorders>
            <w:shd w:val="clear" w:color="auto" w:fill="auto"/>
            <w:noWrap/>
            <w:vAlign w:val="center"/>
            <w:hideMark/>
          </w:tcPr>
          <w:p w14:paraId="619A19CC" w14:textId="6211F5B1" w:rsidR="00DA35C5" w:rsidRPr="006B42D6" w:rsidRDefault="00DA35C5" w:rsidP="00F121EE">
            <w:pPr>
              <w:jc w:val="right"/>
              <w:rPr>
                <w:sz w:val="16"/>
                <w:szCs w:val="16"/>
              </w:rPr>
            </w:pPr>
            <w:r w:rsidRPr="006B42D6">
              <w:rPr>
                <w:sz w:val="16"/>
                <w:szCs w:val="16"/>
              </w:rPr>
              <w:t>3,794</w:t>
            </w:r>
          </w:p>
        </w:tc>
        <w:tc>
          <w:tcPr>
            <w:tcW w:w="693" w:type="pct"/>
            <w:tcBorders>
              <w:top w:val="nil"/>
              <w:left w:val="nil"/>
              <w:bottom w:val="nil"/>
              <w:right w:val="nil"/>
            </w:tcBorders>
            <w:shd w:val="clear" w:color="auto" w:fill="auto"/>
            <w:noWrap/>
            <w:vAlign w:val="center"/>
            <w:hideMark/>
          </w:tcPr>
          <w:p w14:paraId="6FDC8C1C" w14:textId="61DEC29B" w:rsidR="00DA35C5" w:rsidRPr="006B42D6" w:rsidRDefault="00DA35C5" w:rsidP="00F121EE">
            <w:pPr>
              <w:jc w:val="right"/>
              <w:rPr>
                <w:sz w:val="16"/>
                <w:szCs w:val="16"/>
              </w:rPr>
            </w:pPr>
            <w:r w:rsidRPr="006B42D6">
              <w:rPr>
                <w:sz w:val="16"/>
                <w:szCs w:val="16"/>
              </w:rPr>
              <w:t>2,027</w:t>
            </w:r>
          </w:p>
        </w:tc>
        <w:tc>
          <w:tcPr>
            <w:tcW w:w="695" w:type="pct"/>
            <w:tcBorders>
              <w:top w:val="nil"/>
              <w:left w:val="nil"/>
              <w:bottom w:val="nil"/>
            </w:tcBorders>
            <w:shd w:val="clear" w:color="auto" w:fill="auto"/>
            <w:noWrap/>
            <w:vAlign w:val="center"/>
            <w:hideMark/>
          </w:tcPr>
          <w:p w14:paraId="7AF808AD" w14:textId="5E3D4E5A" w:rsidR="00DA35C5" w:rsidRPr="006B42D6" w:rsidRDefault="00DA35C5" w:rsidP="00F121EE">
            <w:pPr>
              <w:jc w:val="right"/>
              <w:rPr>
                <w:sz w:val="16"/>
                <w:szCs w:val="16"/>
              </w:rPr>
            </w:pPr>
            <w:r w:rsidRPr="006B42D6">
              <w:rPr>
                <w:sz w:val="16"/>
                <w:szCs w:val="16"/>
              </w:rPr>
              <w:t>28,380</w:t>
            </w:r>
          </w:p>
        </w:tc>
      </w:tr>
      <w:tr w:rsidR="006B42D6" w:rsidRPr="006B42D6" w14:paraId="0617F7E3" w14:textId="77777777" w:rsidTr="00F62024">
        <w:trPr>
          <w:trHeight w:val="312"/>
          <w:jc w:val="center"/>
        </w:trPr>
        <w:tc>
          <w:tcPr>
            <w:tcW w:w="867" w:type="pct"/>
            <w:tcBorders>
              <w:top w:val="nil"/>
              <w:left w:val="nil"/>
              <w:bottom w:val="nil"/>
            </w:tcBorders>
            <w:shd w:val="clear" w:color="auto" w:fill="auto"/>
            <w:noWrap/>
            <w:vAlign w:val="center"/>
            <w:hideMark/>
          </w:tcPr>
          <w:p w14:paraId="61F02681" w14:textId="1AE5BAE3" w:rsidR="00DA35C5" w:rsidRPr="006B42D6" w:rsidRDefault="00DA35C5" w:rsidP="00F121EE">
            <w:pPr>
              <w:jc w:val="left"/>
              <w:rPr>
                <w:sz w:val="16"/>
                <w:szCs w:val="16"/>
              </w:rPr>
            </w:pPr>
            <w:r w:rsidRPr="006B42D6">
              <w:rPr>
                <w:sz w:val="16"/>
                <w:szCs w:val="16"/>
              </w:rPr>
              <w:t>Morogoro</w:t>
            </w:r>
          </w:p>
        </w:tc>
        <w:tc>
          <w:tcPr>
            <w:tcW w:w="670" w:type="pct"/>
            <w:tcBorders>
              <w:top w:val="nil"/>
              <w:bottom w:val="nil"/>
              <w:right w:val="nil"/>
            </w:tcBorders>
            <w:shd w:val="clear" w:color="auto" w:fill="auto"/>
            <w:noWrap/>
            <w:vAlign w:val="center"/>
            <w:hideMark/>
          </w:tcPr>
          <w:p w14:paraId="5501FDD3" w14:textId="537EA3C8" w:rsidR="00DA35C5" w:rsidRPr="006B42D6" w:rsidRDefault="00DA35C5" w:rsidP="00F121EE">
            <w:pPr>
              <w:jc w:val="right"/>
              <w:rPr>
                <w:sz w:val="16"/>
                <w:szCs w:val="16"/>
              </w:rPr>
            </w:pPr>
            <w:r w:rsidRPr="006B42D6">
              <w:rPr>
                <w:sz w:val="16"/>
                <w:szCs w:val="16"/>
              </w:rPr>
              <w:t>17,973</w:t>
            </w:r>
          </w:p>
        </w:tc>
        <w:tc>
          <w:tcPr>
            <w:tcW w:w="689" w:type="pct"/>
            <w:tcBorders>
              <w:top w:val="nil"/>
              <w:left w:val="nil"/>
              <w:bottom w:val="nil"/>
              <w:right w:val="nil"/>
            </w:tcBorders>
            <w:shd w:val="clear" w:color="auto" w:fill="auto"/>
            <w:noWrap/>
            <w:vAlign w:val="center"/>
            <w:hideMark/>
          </w:tcPr>
          <w:p w14:paraId="4873751F" w14:textId="7D23AFE0" w:rsidR="00DA35C5" w:rsidRPr="006B42D6" w:rsidRDefault="00DA35C5" w:rsidP="00F121EE">
            <w:pPr>
              <w:jc w:val="right"/>
              <w:rPr>
                <w:sz w:val="16"/>
                <w:szCs w:val="16"/>
              </w:rPr>
            </w:pPr>
            <w:r w:rsidRPr="006B42D6">
              <w:rPr>
                <w:sz w:val="16"/>
                <w:szCs w:val="16"/>
              </w:rPr>
              <w:t>490</w:t>
            </w:r>
          </w:p>
        </w:tc>
        <w:tc>
          <w:tcPr>
            <w:tcW w:w="693" w:type="pct"/>
            <w:tcBorders>
              <w:top w:val="nil"/>
              <w:left w:val="nil"/>
              <w:bottom w:val="nil"/>
              <w:right w:val="nil"/>
            </w:tcBorders>
            <w:shd w:val="clear" w:color="auto" w:fill="auto"/>
            <w:noWrap/>
            <w:vAlign w:val="center"/>
            <w:hideMark/>
          </w:tcPr>
          <w:p w14:paraId="10610E91" w14:textId="0FC24865" w:rsidR="00DA35C5" w:rsidRPr="006B42D6" w:rsidRDefault="00DA35C5" w:rsidP="00F121EE">
            <w:pPr>
              <w:jc w:val="right"/>
              <w:rPr>
                <w:sz w:val="16"/>
                <w:szCs w:val="16"/>
              </w:rPr>
            </w:pPr>
            <w:r w:rsidRPr="006B42D6">
              <w:rPr>
                <w:sz w:val="16"/>
                <w:szCs w:val="16"/>
              </w:rPr>
              <w:t>44,016</w:t>
            </w:r>
          </w:p>
        </w:tc>
        <w:tc>
          <w:tcPr>
            <w:tcW w:w="693" w:type="pct"/>
            <w:tcBorders>
              <w:top w:val="nil"/>
              <w:left w:val="nil"/>
              <w:bottom w:val="nil"/>
              <w:right w:val="nil"/>
            </w:tcBorders>
            <w:shd w:val="clear" w:color="auto" w:fill="auto"/>
            <w:noWrap/>
            <w:vAlign w:val="center"/>
            <w:hideMark/>
          </w:tcPr>
          <w:p w14:paraId="76787E27" w14:textId="1C41EDD2" w:rsidR="00DA35C5" w:rsidRPr="006B42D6" w:rsidRDefault="00DA35C5" w:rsidP="00F121EE">
            <w:pPr>
              <w:jc w:val="right"/>
              <w:rPr>
                <w:sz w:val="16"/>
                <w:szCs w:val="16"/>
              </w:rPr>
            </w:pPr>
            <w:r w:rsidRPr="006B42D6">
              <w:rPr>
                <w:sz w:val="16"/>
                <w:szCs w:val="16"/>
              </w:rPr>
              <w:t>2,997</w:t>
            </w:r>
          </w:p>
        </w:tc>
        <w:tc>
          <w:tcPr>
            <w:tcW w:w="693" w:type="pct"/>
            <w:tcBorders>
              <w:top w:val="nil"/>
              <w:left w:val="nil"/>
              <w:bottom w:val="nil"/>
              <w:right w:val="nil"/>
            </w:tcBorders>
            <w:shd w:val="clear" w:color="auto" w:fill="auto"/>
            <w:noWrap/>
            <w:vAlign w:val="center"/>
            <w:hideMark/>
          </w:tcPr>
          <w:p w14:paraId="078CA831" w14:textId="3BA0D358" w:rsidR="00DA35C5" w:rsidRPr="006B42D6" w:rsidRDefault="00DA35C5" w:rsidP="00F121EE">
            <w:pPr>
              <w:jc w:val="right"/>
              <w:rPr>
                <w:sz w:val="16"/>
                <w:szCs w:val="16"/>
              </w:rPr>
            </w:pPr>
            <w:r w:rsidRPr="006B42D6">
              <w:rPr>
                <w:sz w:val="16"/>
                <w:szCs w:val="16"/>
              </w:rPr>
              <w:t>371</w:t>
            </w:r>
          </w:p>
        </w:tc>
        <w:tc>
          <w:tcPr>
            <w:tcW w:w="695" w:type="pct"/>
            <w:tcBorders>
              <w:top w:val="nil"/>
              <w:left w:val="nil"/>
              <w:bottom w:val="nil"/>
            </w:tcBorders>
            <w:shd w:val="clear" w:color="auto" w:fill="auto"/>
            <w:noWrap/>
            <w:vAlign w:val="center"/>
            <w:hideMark/>
          </w:tcPr>
          <w:p w14:paraId="3A1D0364" w14:textId="4A20B116" w:rsidR="00DA35C5" w:rsidRPr="006B42D6" w:rsidRDefault="00DA35C5" w:rsidP="00F121EE">
            <w:pPr>
              <w:jc w:val="right"/>
              <w:rPr>
                <w:sz w:val="16"/>
                <w:szCs w:val="16"/>
              </w:rPr>
            </w:pPr>
            <w:r w:rsidRPr="006B42D6">
              <w:rPr>
                <w:sz w:val="16"/>
                <w:szCs w:val="16"/>
              </w:rPr>
              <w:t>6,123</w:t>
            </w:r>
          </w:p>
        </w:tc>
      </w:tr>
      <w:tr w:rsidR="006B42D6" w:rsidRPr="006B42D6" w14:paraId="3EA3320A" w14:textId="77777777" w:rsidTr="00F62024">
        <w:trPr>
          <w:trHeight w:val="312"/>
          <w:jc w:val="center"/>
        </w:trPr>
        <w:tc>
          <w:tcPr>
            <w:tcW w:w="867" w:type="pct"/>
            <w:tcBorders>
              <w:top w:val="nil"/>
              <w:left w:val="nil"/>
              <w:bottom w:val="nil"/>
            </w:tcBorders>
            <w:shd w:val="clear" w:color="auto" w:fill="auto"/>
            <w:noWrap/>
            <w:vAlign w:val="center"/>
            <w:hideMark/>
          </w:tcPr>
          <w:p w14:paraId="608D69CC" w14:textId="6BA515F5" w:rsidR="00DA35C5" w:rsidRPr="006B42D6" w:rsidRDefault="00DA35C5" w:rsidP="00F121EE">
            <w:pPr>
              <w:jc w:val="left"/>
              <w:rPr>
                <w:sz w:val="16"/>
                <w:szCs w:val="16"/>
              </w:rPr>
            </w:pPr>
            <w:r w:rsidRPr="006B42D6">
              <w:rPr>
                <w:sz w:val="16"/>
                <w:szCs w:val="16"/>
              </w:rPr>
              <w:t>Pwani</w:t>
            </w:r>
          </w:p>
        </w:tc>
        <w:tc>
          <w:tcPr>
            <w:tcW w:w="670" w:type="pct"/>
            <w:tcBorders>
              <w:top w:val="nil"/>
              <w:bottom w:val="nil"/>
              <w:right w:val="nil"/>
            </w:tcBorders>
            <w:shd w:val="clear" w:color="auto" w:fill="auto"/>
            <w:noWrap/>
            <w:vAlign w:val="center"/>
            <w:hideMark/>
          </w:tcPr>
          <w:p w14:paraId="2C20A900" w14:textId="3D9AA7A0" w:rsidR="00DA35C5" w:rsidRPr="006B42D6" w:rsidRDefault="00DA35C5" w:rsidP="00F121EE">
            <w:pPr>
              <w:jc w:val="right"/>
              <w:rPr>
                <w:sz w:val="16"/>
                <w:szCs w:val="16"/>
              </w:rPr>
            </w:pPr>
            <w:r w:rsidRPr="006B42D6">
              <w:rPr>
                <w:sz w:val="16"/>
                <w:szCs w:val="16"/>
              </w:rPr>
              <w:t>3,777</w:t>
            </w:r>
          </w:p>
        </w:tc>
        <w:tc>
          <w:tcPr>
            <w:tcW w:w="689" w:type="pct"/>
            <w:tcBorders>
              <w:top w:val="nil"/>
              <w:left w:val="nil"/>
              <w:bottom w:val="nil"/>
              <w:right w:val="nil"/>
            </w:tcBorders>
            <w:shd w:val="clear" w:color="auto" w:fill="auto"/>
            <w:noWrap/>
            <w:vAlign w:val="center"/>
            <w:hideMark/>
          </w:tcPr>
          <w:p w14:paraId="7C00426F" w14:textId="12F30309" w:rsidR="00DA35C5" w:rsidRPr="006B42D6" w:rsidRDefault="00DA35C5" w:rsidP="00F121EE">
            <w:pPr>
              <w:jc w:val="right"/>
              <w:rPr>
                <w:sz w:val="16"/>
                <w:szCs w:val="16"/>
              </w:rPr>
            </w:pPr>
            <w:r w:rsidRPr="006B42D6">
              <w:rPr>
                <w:sz w:val="16"/>
                <w:szCs w:val="16"/>
              </w:rPr>
              <w:t>3,978</w:t>
            </w:r>
          </w:p>
        </w:tc>
        <w:tc>
          <w:tcPr>
            <w:tcW w:w="693" w:type="pct"/>
            <w:tcBorders>
              <w:top w:val="nil"/>
              <w:left w:val="nil"/>
              <w:bottom w:val="nil"/>
              <w:right w:val="nil"/>
            </w:tcBorders>
            <w:shd w:val="clear" w:color="auto" w:fill="auto"/>
            <w:noWrap/>
            <w:vAlign w:val="center"/>
            <w:hideMark/>
          </w:tcPr>
          <w:p w14:paraId="31018992" w14:textId="0DF31256" w:rsidR="00DA35C5" w:rsidRPr="006B42D6" w:rsidRDefault="00DA35C5" w:rsidP="00F121EE">
            <w:pPr>
              <w:jc w:val="right"/>
              <w:rPr>
                <w:sz w:val="16"/>
                <w:szCs w:val="16"/>
              </w:rPr>
            </w:pPr>
            <w:r w:rsidRPr="006B42D6">
              <w:rPr>
                <w:sz w:val="16"/>
                <w:szCs w:val="16"/>
              </w:rPr>
              <w:t>43,525</w:t>
            </w:r>
          </w:p>
        </w:tc>
        <w:tc>
          <w:tcPr>
            <w:tcW w:w="693" w:type="pct"/>
            <w:tcBorders>
              <w:top w:val="nil"/>
              <w:left w:val="nil"/>
              <w:bottom w:val="nil"/>
              <w:right w:val="nil"/>
            </w:tcBorders>
            <w:shd w:val="clear" w:color="auto" w:fill="auto"/>
            <w:noWrap/>
            <w:vAlign w:val="center"/>
            <w:hideMark/>
          </w:tcPr>
          <w:p w14:paraId="23077996" w14:textId="1584C866" w:rsidR="00DA35C5" w:rsidRPr="006B42D6" w:rsidRDefault="00DA35C5" w:rsidP="00F121EE">
            <w:pPr>
              <w:jc w:val="right"/>
              <w:rPr>
                <w:sz w:val="16"/>
                <w:szCs w:val="16"/>
              </w:rPr>
            </w:pPr>
            <w:r w:rsidRPr="006B42D6">
              <w:rPr>
                <w:sz w:val="16"/>
                <w:szCs w:val="16"/>
              </w:rPr>
              <w:t>10,005</w:t>
            </w:r>
          </w:p>
        </w:tc>
        <w:tc>
          <w:tcPr>
            <w:tcW w:w="693" w:type="pct"/>
            <w:tcBorders>
              <w:top w:val="nil"/>
              <w:left w:val="nil"/>
              <w:bottom w:val="nil"/>
              <w:right w:val="nil"/>
            </w:tcBorders>
            <w:shd w:val="clear" w:color="auto" w:fill="auto"/>
            <w:noWrap/>
            <w:vAlign w:val="center"/>
            <w:hideMark/>
          </w:tcPr>
          <w:p w14:paraId="70D03745" w14:textId="41D3391C" w:rsidR="00DA35C5" w:rsidRPr="006B42D6" w:rsidRDefault="00DA35C5" w:rsidP="00F121EE">
            <w:pPr>
              <w:jc w:val="right"/>
              <w:rPr>
                <w:sz w:val="16"/>
                <w:szCs w:val="16"/>
              </w:rPr>
            </w:pPr>
            <w:r w:rsidRPr="006B42D6">
              <w:rPr>
                <w:sz w:val="16"/>
                <w:szCs w:val="16"/>
              </w:rPr>
              <w:t>2,923</w:t>
            </w:r>
          </w:p>
        </w:tc>
        <w:tc>
          <w:tcPr>
            <w:tcW w:w="695" w:type="pct"/>
            <w:tcBorders>
              <w:top w:val="nil"/>
              <w:left w:val="nil"/>
              <w:bottom w:val="nil"/>
            </w:tcBorders>
            <w:shd w:val="clear" w:color="auto" w:fill="auto"/>
            <w:noWrap/>
            <w:vAlign w:val="center"/>
            <w:hideMark/>
          </w:tcPr>
          <w:p w14:paraId="7EE552B7" w14:textId="212C8828" w:rsidR="00DA35C5" w:rsidRPr="006B42D6" w:rsidRDefault="00DA35C5" w:rsidP="00F121EE">
            <w:pPr>
              <w:jc w:val="right"/>
              <w:rPr>
                <w:sz w:val="16"/>
                <w:szCs w:val="16"/>
              </w:rPr>
            </w:pPr>
            <w:r w:rsidRPr="006B42D6">
              <w:rPr>
                <w:sz w:val="16"/>
                <w:szCs w:val="16"/>
              </w:rPr>
              <w:t>47,949</w:t>
            </w:r>
          </w:p>
        </w:tc>
      </w:tr>
      <w:tr w:rsidR="006B42D6" w:rsidRPr="006B42D6" w14:paraId="1619E03D" w14:textId="77777777" w:rsidTr="00F62024">
        <w:trPr>
          <w:trHeight w:val="312"/>
          <w:jc w:val="center"/>
        </w:trPr>
        <w:tc>
          <w:tcPr>
            <w:tcW w:w="867" w:type="pct"/>
            <w:tcBorders>
              <w:top w:val="nil"/>
              <w:left w:val="nil"/>
              <w:bottom w:val="nil"/>
            </w:tcBorders>
            <w:shd w:val="clear" w:color="auto" w:fill="auto"/>
            <w:noWrap/>
            <w:vAlign w:val="center"/>
            <w:hideMark/>
          </w:tcPr>
          <w:p w14:paraId="15C37158" w14:textId="6C9244D4" w:rsidR="00DA35C5" w:rsidRPr="006B42D6" w:rsidRDefault="00DA35C5" w:rsidP="00F121EE">
            <w:pPr>
              <w:jc w:val="left"/>
              <w:rPr>
                <w:sz w:val="16"/>
                <w:szCs w:val="16"/>
              </w:rPr>
            </w:pPr>
            <w:r w:rsidRPr="006B42D6">
              <w:rPr>
                <w:sz w:val="16"/>
                <w:szCs w:val="16"/>
              </w:rPr>
              <w:t>Dar Es Salaam</w:t>
            </w:r>
          </w:p>
        </w:tc>
        <w:tc>
          <w:tcPr>
            <w:tcW w:w="670" w:type="pct"/>
            <w:tcBorders>
              <w:top w:val="nil"/>
              <w:bottom w:val="nil"/>
              <w:right w:val="nil"/>
            </w:tcBorders>
            <w:shd w:val="clear" w:color="auto" w:fill="auto"/>
            <w:noWrap/>
            <w:vAlign w:val="center"/>
            <w:hideMark/>
          </w:tcPr>
          <w:p w14:paraId="05DFE9EE" w14:textId="1FC460CF" w:rsidR="00DA35C5" w:rsidRPr="006B42D6" w:rsidRDefault="00DA35C5" w:rsidP="00F121EE">
            <w:pPr>
              <w:jc w:val="right"/>
              <w:rPr>
                <w:sz w:val="16"/>
                <w:szCs w:val="16"/>
              </w:rPr>
            </w:pPr>
            <w:r w:rsidRPr="006B42D6">
              <w:rPr>
                <w:sz w:val="16"/>
                <w:szCs w:val="16"/>
              </w:rPr>
              <w:t>46,495</w:t>
            </w:r>
          </w:p>
        </w:tc>
        <w:tc>
          <w:tcPr>
            <w:tcW w:w="689" w:type="pct"/>
            <w:tcBorders>
              <w:top w:val="nil"/>
              <w:left w:val="nil"/>
              <w:bottom w:val="nil"/>
              <w:right w:val="nil"/>
            </w:tcBorders>
            <w:shd w:val="clear" w:color="auto" w:fill="auto"/>
            <w:noWrap/>
            <w:vAlign w:val="center"/>
            <w:hideMark/>
          </w:tcPr>
          <w:p w14:paraId="7A1E0256" w14:textId="06089843" w:rsidR="00DA35C5" w:rsidRPr="006B42D6" w:rsidRDefault="00DA35C5" w:rsidP="00F121EE">
            <w:pPr>
              <w:jc w:val="right"/>
              <w:rPr>
                <w:sz w:val="16"/>
                <w:szCs w:val="16"/>
              </w:rPr>
            </w:pPr>
            <w:r w:rsidRPr="006B42D6">
              <w:rPr>
                <w:sz w:val="16"/>
                <w:szCs w:val="16"/>
              </w:rPr>
              <w:t>4,699</w:t>
            </w:r>
          </w:p>
        </w:tc>
        <w:tc>
          <w:tcPr>
            <w:tcW w:w="693" w:type="pct"/>
            <w:tcBorders>
              <w:top w:val="nil"/>
              <w:left w:val="nil"/>
              <w:bottom w:val="nil"/>
              <w:right w:val="nil"/>
            </w:tcBorders>
            <w:shd w:val="clear" w:color="auto" w:fill="auto"/>
            <w:noWrap/>
            <w:vAlign w:val="center"/>
            <w:hideMark/>
          </w:tcPr>
          <w:p w14:paraId="6C4C83E4" w14:textId="4E99AE6D" w:rsidR="00DA35C5" w:rsidRPr="006B42D6" w:rsidRDefault="00DA35C5" w:rsidP="00F121EE">
            <w:pPr>
              <w:jc w:val="right"/>
              <w:rPr>
                <w:sz w:val="16"/>
                <w:szCs w:val="16"/>
              </w:rPr>
            </w:pPr>
            <w:r w:rsidRPr="006B42D6">
              <w:rPr>
                <w:sz w:val="16"/>
                <w:szCs w:val="16"/>
              </w:rPr>
              <w:t>22,174</w:t>
            </w:r>
          </w:p>
        </w:tc>
        <w:tc>
          <w:tcPr>
            <w:tcW w:w="693" w:type="pct"/>
            <w:tcBorders>
              <w:top w:val="nil"/>
              <w:left w:val="nil"/>
              <w:bottom w:val="nil"/>
              <w:right w:val="nil"/>
            </w:tcBorders>
            <w:shd w:val="clear" w:color="auto" w:fill="auto"/>
            <w:noWrap/>
            <w:vAlign w:val="center"/>
            <w:hideMark/>
          </w:tcPr>
          <w:p w14:paraId="4E6CBC56" w14:textId="48B18146" w:rsidR="00DA35C5" w:rsidRPr="006B42D6" w:rsidRDefault="00DA35C5" w:rsidP="00F121EE">
            <w:pPr>
              <w:jc w:val="right"/>
              <w:rPr>
                <w:sz w:val="16"/>
                <w:szCs w:val="16"/>
              </w:rPr>
            </w:pPr>
            <w:r w:rsidRPr="006B42D6">
              <w:rPr>
                <w:sz w:val="16"/>
                <w:szCs w:val="16"/>
              </w:rPr>
              <w:t>3,510</w:t>
            </w:r>
          </w:p>
        </w:tc>
        <w:tc>
          <w:tcPr>
            <w:tcW w:w="693" w:type="pct"/>
            <w:tcBorders>
              <w:top w:val="nil"/>
              <w:left w:val="nil"/>
              <w:bottom w:val="nil"/>
              <w:right w:val="nil"/>
            </w:tcBorders>
            <w:shd w:val="clear" w:color="auto" w:fill="auto"/>
            <w:noWrap/>
            <w:vAlign w:val="center"/>
            <w:hideMark/>
          </w:tcPr>
          <w:p w14:paraId="3C82087B" w14:textId="45D8269A" w:rsidR="00DA35C5" w:rsidRPr="006B42D6" w:rsidRDefault="00DA35C5" w:rsidP="00F121EE">
            <w:pPr>
              <w:jc w:val="right"/>
              <w:rPr>
                <w:sz w:val="16"/>
                <w:szCs w:val="16"/>
              </w:rPr>
            </w:pPr>
            <w:r w:rsidRPr="006B42D6">
              <w:rPr>
                <w:sz w:val="16"/>
                <w:szCs w:val="16"/>
              </w:rPr>
              <w:t>3,308</w:t>
            </w:r>
          </w:p>
        </w:tc>
        <w:tc>
          <w:tcPr>
            <w:tcW w:w="695" w:type="pct"/>
            <w:tcBorders>
              <w:top w:val="nil"/>
              <w:left w:val="nil"/>
              <w:bottom w:val="nil"/>
            </w:tcBorders>
            <w:shd w:val="clear" w:color="auto" w:fill="auto"/>
            <w:noWrap/>
            <w:vAlign w:val="center"/>
            <w:hideMark/>
          </w:tcPr>
          <w:p w14:paraId="638C3D55" w14:textId="13E18066" w:rsidR="00DA35C5" w:rsidRPr="006B42D6" w:rsidRDefault="00DA35C5" w:rsidP="00F121EE">
            <w:pPr>
              <w:jc w:val="right"/>
              <w:rPr>
                <w:sz w:val="16"/>
                <w:szCs w:val="16"/>
              </w:rPr>
            </w:pPr>
            <w:r w:rsidRPr="006B42D6">
              <w:rPr>
                <w:sz w:val="16"/>
                <w:szCs w:val="16"/>
              </w:rPr>
              <w:t>58,671</w:t>
            </w:r>
          </w:p>
        </w:tc>
      </w:tr>
      <w:tr w:rsidR="006B42D6" w:rsidRPr="006B42D6" w14:paraId="12DB6E4F" w14:textId="77777777" w:rsidTr="00F62024">
        <w:trPr>
          <w:trHeight w:val="312"/>
          <w:jc w:val="center"/>
        </w:trPr>
        <w:tc>
          <w:tcPr>
            <w:tcW w:w="867" w:type="pct"/>
            <w:tcBorders>
              <w:top w:val="nil"/>
              <w:left w:val="nil"/>
              <w:bottom w:val="nil"/>
            </w:tcBorders>
            <w:shd w:val="clear" w:color="auto" w:fill="auto"/>
            <w:noWrap/>
            <w:vAlign w:val="center"/>
            <w:hideMark/>
          </w:tcPr>
          <w:p w14:paraId="79BC4F63" w14:textId="12CDF745" w:rsidR="00DA35C5" w:rsidRPr="006B42D6" w:rsidRDefault="00DA35C5" w:rsidP="00F121EE">
            <w:pPr>
              <w:jc w:val="left"/>
              <w:rPr>
                <w:sz w:val="16"/>
                <w:szCs w:val="16"/>
              </w:rPr>
            </w:pPr>
            <w:r w:rsidRPr="006B42D6">
              <w:rPr>
                <w:sz w:val="16"/>
                <w:szCs w:val="16"/>
              </w:rPr>
              <w:t>Lindi</w:t>
            </w:r>
          </w:p>
        </w:tc>
        <w:tc>
          <w:tcPr>
            <w:tcW w:w="670" w:type="pct"/>
            <w:tcBorders>
              <w:top w:val="nil"/>
              <w:bottom w:val="nil"/>
              <w:right w:val="nil"/>
            </w:tcBorders>
            <w:shd w:val="clear" w:color="auto" w:fill="auto"/>
            <w:noWrap/>
            <w:vAlign w:val="center"/>
            <w:hideMark/>
          </w:tcPr>
          <w:p w14:paraId="483E70E4" w14:textId="3335BF99" w:rsidR="00DA35C5" w:rsidRPr="006B42D6" w:rsidRDefault="00DA35C5" w:rsidP="00F121EE">
            <w:pPr>
              <w:jc w:val="right"/>
              <w:rPr>
                <w:sz w:val="16"/>
                <w:szCs w:val="16"/>
              </w:rPr>
            </w:pPr>
            <w:r w:rsidRPr="006B42D6">
              <w:rPr>
                <w:sz w:val="16"/>
                <w:szCs w:val="16"/>
              </w:rPr>
              <w:t>5,935</w:t>
            </w:r>
          </w:p>
        </w:tc>
        <w:tc>
          <w:tcPr>
            <w:tcW w:w="689" w:type="pct"/>
            <w:tcBorders>
              <w:top w:val="nil"/>
              <w:left w:val="nil"/>
              <w:bottom w:val="nil"/>
              <w:right w:val="nil"/>
            </w:tcBorders>
            <w:shd w:val="clear" w:color="auto" w:fill="auto"/>
            <w:noWrap/>
            <w:vAlign w:val="center"/>
            <w:hideMark/>
          </w:tcPr>
          <w:p w14:paraId="1E7DB246" w14:textId="2783A972" w:rsidR="00DA35C5" w:rsidRPr="006B42D6" w:rsidRDefault="00DA35C5" w:rsidP="00F121EE">
            <w:pPr>
              <w:jc w:val="right"/>
              <w:rPr>
                <w:sz w:val="16"/>
                <w:szCs w:val="16"/>
              </w:rPr>
            </w:pPr>
            <w:r w:rsidRPr="006B42D6">
              <w:rPr>
                <w:sz w:val="16"/>
                <w:szCs w:val="16"/>
              </w:rPr>
              <w:t>6,280</w:t>
            </w:r>
          </w:p>
        </w:tc>
        <w:tc>
          <w:tcPr>
            <w:tcW w:w="693" w:type="pct"/>
            <w:tcBorders>
              <w:top w:val="nil"/>
              <w:left w:val="nil"/>
              <w:bottom w:val="nil"/>
              <w:right w:val="nil"/>
            </w:tcBorders>
            <w:shd w:val="clear" w:color="auto" w:fill="auto"/>
            <w:noWrap/>
            <w:vAlign w:val="center"/>
            <w:hideMark/>
          </w:tcPr>
          <w:p w14:paraId="572CD9EE" w14:textId="37951349" w:rsidR="00DA35C5" w:rsidRPr="006B42D6" w:rsidRDefault="00DA35C5" w:rsidP="00F121EE">
            <w:pPr>
              <w:jc w:val="right"/>
              <w:rPr>
                <w:sz w:val="16"/>
                <w:szCs w:val="16"/>
              </w:rPr>
            </w:pPr>
            <w:r w:rsidRPr="006B42D6">
              <w:rPr>
                <w:sz w:val="16"/>
                <w:szCs w:val="16"/>
              </w:rPr>
              <w:t>1,310</w:t>
            </w:r>
          </w:p>
        </w:tc>
        <w:tc>
          <w:tcPr>
            <w:tcW w:w="693" w:type="pct"/>
            <w:tcBorders>
              <w:top w:val="nil"/>
              <w:left w:val="nil"/>
              <w:bottom w:val="nil"/>
              <w:right w:val="nil"/>
            </w:tcBorders>
            <w:shd w:val="clear" w:color="auto" w:fill="auto"/>
            <w:noWrap/>
            <w:vAlign w:val="center"/>
            <w:hideMark/>
          </w:tcPr>
          <w:p w14:paraId="6EB169A2" w14:textId="5ABCB455" w:rsidR="00DA35C5" w:rsidRPr="006B42D6" w:rsidRDefault="00DA35C5" w:rsidP="00F121EE">
            <w:pPr>
              <w:jc w:val="right"/>
              <w:rPr>
                <w:sz w:val="16"/>
                <w:szCs w:val="16"/>
              </w:rPr>
            </w:pPr>
            <w:r w:rsidRPr="006B42D6">
              <w:rPr>
                <w:sz w:val="16"/>
                <w:szCs w:val="16"/>
              </w:rPr>
              <w:t>252</w:t>
            </w:r>
          </w:p>
        </w:tc>
        <w:tc>
          <w:tcPr>
            <w:tcW w:w="693" w:type="pct"/>
            <w:tcBorders>
              <w:top w:val="nil"/>
              <w:left w:val="nil"/>
              <w:bottom w:val="nil"/>
              <w:right w:val="nil"/>
            </w:tcBorders>
            <w:shd w:val="clear" w:color="auto" w:fill="auto"/>
            <w:noWrap/>
            <w:vAlign w:val="center"/>
            <w:hideMark/>
          </w:tcPr>
          <w:p w14:paraId="272E5474" w14:textId="1D37DA53" w:rsidR="00DA35C5" w:rsidRPr="006B42D6" w:rsidRDefault="00DA35C5" w:rsidP="00F121EE">
            <w:pPr>
              <w:jc w:val="right"/>
              <w:rPr>
                <w:sz w:val="16"/>
                <w:szCs w:val="16"/>
              </w:rPr>
            </w:pPr>
            <w:r w:rsidRPr="006B42D6">
              <w:rPr>
                <w:sz w:val="16"/>
                <w:szCs w:val="16"/>
              </w:rPr>
              <w:t>494</w:t>
            </w:r>
          </w:p>
        </w:tc>
        <w:tc>
          <w:tcPr>
            <w:tcW w:w="695" w:type="pct"/>
            <w:tcBorders>
              <w:top w:val="nil"/>
              <w:left w:val="nil"/>
              <w:bottom w:val="nil"/>
            </w:tcBorders>
            <w:shd w:val="clear" w:color="auto" w:fill="auto"/>
            <w:noWrap/>
            <w:vAlign w:val="center"/>
            <w:hideMark/>
          </w:tcPr>
          <w:p w14:paraId="376AAF7F" w14:textId="048C2D67" w:rsidR="00DA35C5" w:rsidRPr="006B42D6" w:rsidRDefault="00DA35C5" w:rsidP="00F121EE">
            <w:pPr>
              <w:jc w:val="right"/>
              <w:rPr>
                <w:sz w:val="16"/>
                <w:szCs w:val="16"/>
              </w:rPr>
            </w:pPr>
            <w:r w:rsidRPr="006B42D6">
              <w:rPr>
                <w:sz w:val="16"/>
                <w:szCs w:val="16"/>
              </w:rPr>
              <w:t>7,749</w:t>
            </w:r>
          </w:p>
        </w:tc>
      </w:tr>
      <w:tr w:rsidR="006B42D6" w:rsidRPr="006B42D6" w14:paraId="74013903" w14:textId="77777777" w:rsidTr="00F62024">
        <w:trPr>
          <w:trHeight w:val="312"/>
          <w:jc w:val="center"/>
        </w:trPr>
        <w:tc>
          <w:tcPr>
            <w:tcW w:w="867" w:type="pct"/>
            <w:tcBorders>
              <w:top w:val="nil"/>
              <w:left w:val="nil"/>
              <w:bottom w:val="nil"/>
            </w:tcBorders>
            <w:shd w:val="clear" w:color="auto" w:fill="auto"/>
            <w:noWrap/>
            <w:vAlign w:val="center"/>
            <w:hideMark/>
          </w:tcPr>
          <w:p w14:paraId="07239802" w14:textId="79F45854" w:rsidR="00DA35C5" w:rsidRPr="006B42D6" w:rsidRDefault="00DA35C5" w:rsidP="00F121EE">
            <w:pPr>
              <w:jc w:val="left"/>
              <w:rPr>
                <w:sz w:val="16"/>
                <w:szCs w:val="16"/>
              </w:rPr>
            </w:pPr>
            <w:r w:rsidRPr="006B42D6">
              <w:rPr>
                <w:sz w:val="16"/>
                <w:szCs w:val="16"/>
              </w:rPr>
              <w:t>Mtwara</w:t>
            </w:r>
          </w:p>
        </w:tc>
        <w:tc>
          <w:tcPr>
            <w:tcW w:w="670" w:type="pct"/>
            <w:tcBorders>
              <w:top w:val="nil"/>
              <w:bottom w:val="nil"/>
              <w:right w:val="nil"/>
            </w:tcBorders>
            <w:shd w:val="clear" w:color="auto" w:fill="auto"/>
            <w:noWrap/>
            <w:vAlign w:val="center"/>
            <w:hideMark/>
          </w:tcPr>
          <w:p w14:paraId="7B8B26E4" w14:textId="418E41F2" w:rsidR="00DA35C5" w:rsidRPr="006B42D6" w:rsidRDefault="00DA35C5" w:rsidP="00F121EE">
            <w:pPr>
              <w:jc w:val="right"/>
              <w:rPr>
                <w:sz w:val="16"/>
                <w:szCs w:val="16"/>
              </w:rPr>
            </w:pPr>
            <w:r w:rsidRPr="006B42D6">
              <w:rPr>
                <w:sz w:val="16"/>
                <w:szCs w:val="16"/>
              </w:rPr>
              <w:t>1,993</w:t>
            </w:r>
          </w:p>
        </w:tc>
        <w:tc>
          <w:tcPr>
            <w:tcW w:w="689" w:type="pct"/>
            <w:tcBorders>
              <w:top w:val="nil"/>
              <w:left w:val="nil"/>
              <w:bottom w:val="nil"/>
              <w:right w:val="nil"/>
            </w:tcBorders>
            <w:shd w:val="clear" w:color="auto" w:fill="auto"/>
            <w:noWrap/>
            <w:vAlign w:val="center"/>
            <w:hideMark/>
          </w:tcPr>
          <w:p w14:paraId="245FF270" w14:textId="451B52F4" w:rsidR="00DA35C5" w:rsidRPr="006B42D6" w:rsidRDefault="00DA35C5" w:rsidP="00F121EE">
            <w:pPr>
              <w:jc w:val="right"/>
              <w:rPr>
                <w:sz w:val="16"/>
                <w:szCs w:val="16"/>
              </w:rPr>
            </w:pPr>
            <w:r w:rsidRPr="006B42D6">
              <w:rPr>
                <w:sz w:val="16"/>
                <w:szCs w:val="16"/>
              </w:rPr>
              <w:t>144</w:t>
            </w:r>
          </w:p>
        </w:tc>
        <w:tc>
          <w:tcPr>
            <w:tcW w:w="693" w:type="pct"/>
            <w:tcBorders>
              <w:top w:val="nil"/>
              <w:left w:val="nil"/>
              <w:bottom w:val="nil"/>
              <w:right w:val="nil"/>
            </w:tcBorders>
            <w:shd w:val="clear" w:color="auto" w:fill="auto"/>
            <w:noWrap/>
            <w:vAlign w:val="center"/>
            <w:hideMark/>
          </w:tcPr>
          <w:p w14:paraId="0FE48509" w14:textId="700B0A7D" w:rsidR="00DA35C5" w:rsidRPr="006B42D6" w:rsidRDefault="00DA35C5" w:rsidP="00F121EE">
            <w:pPr>
              <w:jc w:val="right"/>
              <w:rPr>
                <w:sz w:val="16"/>
                <w:szCs w:val="16"/>
              </w:rPr>
            </w:pPr>
            <w:r w:rsidRPr="006B42D6">
              <w:rPr>
                <w:sz w:val="16"/>
                <w:szCs w:val="16"/>
              </w:rPr>
              <w:t>10,321</w:t>
            </w:r>
          </w:p>
        </w:tc>
        <w:tc>
          <w:tcPr>
            <w:tcW w:w="693" w:type="pct"/>
            <w:tcBorders>
              <w:top w:val="nil"/>
              <w:left w:val="nil"/>
              <w:bottom w:val="nil"/>
              <w:right w:val="nil"/>
            </w:tcBorders>
            <w:shd w:val="clear" w:color="auto" w:fill="auto"/>
            <w:noWrap/>
            <w:vAlign w:val="center"/>
            <w:hideMark/>
          </w:tcPr>
          <w:p w14:paraId="4CD075A6" w14:textId="3DA002A2" w:rsidR="00DA35C5" w:rsidRPr="006B42D6" w:rsidRDefault="00DA35C5" w:rsidP="00F121EE">
            <w:pPr>
              <w:jc w:val="right"/>
              <w:rPr>
                <w:sz w:val="16"/>
                <w:szCs w:val="16"/>
              </w:rPr>
            </w:pPr>
            <w:r w:rsidRPr="006B42D6">
              <w:rPr>
                <w:sz w:val="16"/>
                <w:szCs w:val="16"/>
              </w:rPr>
              <w:t>736</w:t>
            </w:r>
          </w:p>
        </w:tc>
        <w:tc>
          <w:tcPr>
            <w:tcW w:w="693" w:type="pct"/>
            <w:tcBorders>
              <w:top w:val="nil"/>
              <w:left w:val="nil"/>
              <w:bottom w:val="nil"/>
              <w:right w:val="nil"/>
            </w:tcBorders>
            <w:shd w:val="clear" w:color="auto" w:fill="auto"/>
            <w:noWrap/>
            <w:vAlign w:val="center"/>
            <w:hideMark/>
          </w:tcPr>
          <w:p w14:paraId="743E30CD" w14:textId="79606DEC" w:rsidR="00DA35C5" w:rsidRPr="006B42D6" w:rsidRDefault="00DA35C5" w:rsidP="00F121EE">
            <w:pPr>
              <w:jc w:val="right"/>
              <w:rPr>
                <w:sz w:val="16"/>
                <w:szCs w:val="16"/>
              </w:rPr>
            </w:pPr>
            <w:r w:rsidRPr="006B42D6">
              <w:rPr>
                <w:sz w:val="16"/>
                <w:szCs w:val="16"/>
              </w:rPr>
              <w:t>558</w:t>
            </w:r>
          </w:p>
        </w:tc>
        <w:tc>
          <w:tcPr>
            <w:tcW w:w="695" w:type="pct"/>
            <w:tcBorders>
              <w:top w:val="nil"/>
              <w:left w:val="nil"/>
              <w:bottom w:val="nil"/>
            </w:tcBorders>
            <w:shd w:val="clear" w:color="auto" w:fill="auto"/>
            <w:noWrap/>
            <w:vAlign w:val="center"/>
            <w:hideMark/>
          </w:tcPr>
          <w:p w14:paraId="10E31DF7" w14:textId="78E4B0C3" w:rsidR="00DA35C5" w:rsidRPr="006B42D6" w:rsidRDefault="00DA35C5" w:rsidP="00F121EE">
            <w:pPr>
              <w:jc w:val="right"/>
              <w:rPr>
                <w:sz w:val="16"/>
                <w:szCs w:val="16"/>
              </w:rPr>
            </w:pPr>
            <w:r w:rsidRPr="006B42D6">
              <w:rPr>
                <w:sz w:val="16"/>
                <w:szCs w:val="16"/>
              </w:rPr>
              <w:t>9,325</w:t>
            </w:r>
          </w:p>
        </w:tc>
      </w:tr>
      <w:tr w:rsidR="006B42D6" w:rsidRPr="006B42D6" w14:paraId="50C84BC0" w14:textId="77777777" w:rsidTr="00F62024">
        <w:trPr>
          <w:trHeight w:val="312"/>
          <w:jc w:val="center"/>
        </w:trPr>
        <w:tc>
          <w:tcPr>
            <w:tcW w:w="867" w:type="pct"/>
            <w:tcBorders>
              <w:top w:val="nil"/>
              <w:left w:val="nil"/>
              <w:bottom w:val="nil"/>
            </w:tcBorders>
            <w:shd w:val="clear" w:color="auto" w:fill="auto"/>
            <w:noWrap/>
            <w:vAlign w:val="center"/>
            <w:hideMark/>
          </w:tcPr>
          <w:p w14:paraId="6DF50F57" w14:textId="0D46F492" w:rsidR="00DA35C5" w:rsidRPr="006B42D6" w:rsidRDefault="00DA35C5" w:rsidP="00F121EE">
            <w:pPr>
              <w:jc w:val="left"/>
              <w:rPr>
                <w:sz w:val="16"/>
                <w:szCs w:val="16"/>
              </w:rPr>
            </w:pPr>
            <w:r w:rsidRPr="006B42D6">
              <w:rPr>
                <w:sz w:val="16"/>
                <w:szCs w:val="16"/>
              </w:rPr>
              <w:t>Ruvuma</w:t>
            </w:r>
          </w:p>
        </w:tc>
        <w:tc>
          <w:tcPr>
            <w:tcW w:w="670" w:type="pct"/>
            <w:tcBorders>
              <w:top w:val="nil"/>
              <w:bottom w:val="nil"/>
              <w:right w:val="nil"/>
            </w:tcBorders>
            <w:shd w:val="clear" w:color="auto" w:fill="auto"/>
            <w:noWrap/>
            <w:vAlign w:val="center"/>
            <w:hideMark/>
          </w:tcPr>
          <w:p w14:paraId="6D5A6222" w14:textId="4B8528EB" w:rsidR="00DA35C5" w:rsidRPr="006B42D6" w:rsidRDefault="00DA35C5" w:rsidP="00F121EE">
            <w:pPr>
              <w:jc w:val="right"/>
              <w:rPr>
                <w:sz w:val="16"/>
                <w:szCs w:val="16"/>
              </w:rPr>
            </w:pPr>
            <w:r w:rsidRPr="006B42D6">
              <w:rPr>
                <w:sz w:val="16"/>
                <w:szCs w:val="16"/>
              </w:rPr>
              <w:t>667</w:t>
            </w:r>
          </w:p>
        </w:tc>
        <w:tc>
          <w:tcPr>
            <w:tcW w:w="689" w:type="pct"/>
            <w:tcBorders>
              <w:top w:val="nil"/>
              <w:left w:val="nil"/>
              <w:bottom w:val="nil"/>
              <w:right w:val="nil"/>
            </w:tcBorders>
            <w:shd w:val="clear" w:color="auto" w:fill="auto"/>
            <w:noWrap/>
            <w:vAlign w:val="center"/>
            <w:hideMark/>
          </w:tcPr>
          <w:p w14:paraId="3F7390FD" w14:textId="100E7F54" w:rsidR="00DA35C5" w:rsidRPr="006B42D6" w:rsidRDefault="00DA35C5" w:rsidP="00F121EE">
            <w:pPr>
              <w:jc w:val="right"/>
              <w:rPr>
                <w:sz w:val="16"/>
                <w:szCs w:val="16"/>
              </w:rPr>
            </w:pPr>
            <w:r w:rsidRPr="006B42D6">
              <w:rPr>
                <w:sz w:val="16"/>
                <w:szCs w:val="16"/>
              </w:rPr>
              <w:t>59</w:t>
            </w:r>
          </w:p>
        </w:tc>
        <w:tc>
          <w:tcPr>
            <w:tcW w:w="693" w:type="pct"/>
            <w:tcBorders>
              <w:top w:val="nil"/>
              <w:left w:val="nil"/>
              <w:bottom w:val="nil"/>
              <w:right w:val="nil"/>
            </w:tcBorders>
            <w:shd w:val="clear" w:color="auto" w:fill="auto"/>
            <w:noWrap/>
            <w:vAlign w:val="center"/>
            <w:hideMark/>
          </w:tcPr>
          <w:p w14:paraId="4F8DFD45" w14:textId="437CE808" w:rsidR="00DA35C5" w:rsidRPr="006B42D6" w:rsidRDefault="00DA35C5" w:rsidP="00F121EE">
            <w:pPr>
              <w:jc w:val="right"/>
              <w:rPr>
                <w:sz w:val="16"/>
                <w:szCs w:val="16"/>
              </w:rPr>
            </w:pPr>
            <w:r w:rsidRPr="006B42D6">
              <w:rPr>
                <w:sz w:val="16"/>
                <w:szCs w:val="16"/>
              </w:rPr>
              <w:t>12,669</w:t>
            </w:r>
          </w:p>
        </w:tc>
        <w:tc>
          <w:tcPr>
            <w:tcW w:w="693" w:type="pct"/>
            <w:tcBorders>
              <w:top w:val="nil"/>
              <w:left w:val="nil"/>
              <w:bottom w:val="nil"/>
              <w:right w:val="nil"/>
            </w:tcBorders>
            <w:shd w:val="clear" w:color="auto" w:fill="auto"/>
            <w:noWrap/>
            <w:vAlign w:val="center"/>
            <w:hideMark/>
          </w:tcPr>
          <w:p w14:paraId="153A2539" w14:textId="53825CBF" w:rsidR="00DA35C5" w:rsidRPr="006B42D6" w:rsidRDefault="00DA35C5" w:rsidP="00F121EE">
            <w:pPr>
              <w:jc w:val="right"/>
              <w:rPr>
                <w:sz w:val="16"/>
                <w:szCs w:val="16"/>
              </w:rPr>
            </w:pPr>
            <w:r w:rsidRPr="006B42D6">
              <w:rPr>
                <w:sz w:val="16"/>
                <w:szCs w:val="16"/>
              </w:rPr>
              <w:t>16,359</w:t>
            </w:r>
          </w:p>
        </w:tc>
        <w:tc>
          <w:tcPr>
            <w:tcW w:w="693" w:type="pct"/>
            <w:tcBorders>
              <w:top w:val="nil"/>
              <w:left w:val="nil"/>
              <w:bottom w:val="nil"/>
              <w:right w:val="nil"/>
            </w:tcBorders>
            <w:shd w:val="clear" w:color="auto" w:fill="auto"/>
            <w:noWrap/>
            <w:vAlign w:val="center"/>
            <w:hideMark/>
          </w:tcPr>
          <w:p w14:paraId="72B2B76C" w14:textId="13320174" w:rsidR="00DA35C5" w:rsidRPr="006B42D6" w:rsidRDefault="00DA35C5" w:rsidP="00F121EE">
            <w:pPr>
              <w:jc w:val="right"/>
              <w:rPr>
                <w:sz w:val="16"/>
                <w:szCs w:val="16"/>
              </w:rPr>
            </w:pPr>
            <w:r w:rsidRPr="006B42D6">
              <w:rPr>
                <w:sz w:val="16"/>
                <w:szCs w:val="16"/>
              </w:rPr>
              <w:t>15,955</w:t>
            </w:r>
          </w:p>
        </w:tc>
        <w:tc>
          <w:tcPr>
            <w:tcW w:w="695" w:type="pct"/>
            <w:tcBorders>
              <w:top w:val="nil"/>
              <w:left w:val="nil"/>
              <w:bottom w:val="nil"/>
            </w:tcBorders>
            <w:shd w:val="clear" w:color="auto" w:fill="auto"/>
            <w:noWrap/>
            <w:vAlign w:val="center"/>
            <w:hideMark/>
          </w:tcPr>
          <w:p w14:paraId="4D33A185" w14:textId="2A57D03E" w:rsidR="00DA35C5" w:rsidRPr="006B42D6" w:rsidRDefault="00DA35C5" w:rsidP="00F121EE">
            <w:pPr>
              <w:jc w:val="right"/>
              <w:rPr>
                <w:sz w:val="16"/>
                <w:szCs w:val="16"/>
              </w:rPr>
            </w:pPr>
            <w:r w:rsidRPr="006B42D6">
              <w:rPr>
                <w:sz w:val="16"/>
                <w:szCs w:val="16"/>
              </w:rPr>
              <w:t>283,879</w:t>
            </w:r>
          </w:p>
        </w:tc>
      </w:tr>
      <w:tr w:rsidR="006B42D6" w:rsidRPr="006B42D6" w14:paraId="792F00C9" w14:textId="77777777" w:rsidTr="00F62024">
        <w:trPr>
          <w:trHeight w:val="312"/>
          <w:jc w:val="center"/>
        </w:trPr>
        <w:tc>
          <w:tcPr>
            <w:tcW w:w="867" w:type="pct"/>
            <w:tcBorders>
              <w:top w:val="nil"/>
              <w:left w:val="nil"/>
              <w:bottom w:val="nil"/>
            </w:tcBorders>
            <w:shd w:val="clear" w:color="auto" w:fill="auto"/>
            <w:noWrap/>
            <w:vAlign w:val="center"/>
            <w:hideMark/>
          </w:tcPr>
          <w:p w14:paraId="2F0ED5D3" w14:textId="75D4F6DA" w:rsidR="00DA35C5" w:rsidRPr="006B42D6" w:rsidRDefault="00DA35C5" w:rsidP="00F121EE">
            <w:pPr>
              <w:jc w:val="left"/>
              <w:rPr>
                <w:sz w:val="16"/>
                <w:szCs w:val="16"/>
              </w:rPr>
            </w:pPr>
            <w:r w:rsidRPr="006B42D6">
              <w:rPr>
                <w:sz w:val="16"/>
                <w:szCs w:val="16"/>
              </w:rPr>
              <w:t>Iringa</w:t>
            </w:r>
          </w:p>
        </w:tc>
        <w:tc>
          <w:tcPr>
            <w:tcW w:w="670" w:type="pct"/>
            <w:tcBorders>
              <w:top w:val="nil"/>
              <w:bottom w:val="nil"/>
              <w:right w:val="nil"/>
            </w:tcBorders>
            <w:shd w:val="clear" w:color="auto" w:fill="auto"/>
            <w:noWrap/>
            <w:vAlign w:val="center"/>
            <w:hideMark/>
          </w:tcPr>
          <w:p w14:paraId="672DC7A8" w14:textId="7B571B1E" w:rsidR="00DA35C5" w:rsidRPr="006B42D6" w:rsidRDefault="00DA35C5" w:rsidP="00F121EE">
            <w:pPr>
              <w:jc w:val="right"/>
              <w:rPr>
                <w:sz w:val="16"/>
                <w:szCs w:val="16"/>
              </w:rPr>
            </w:pPr>
            <w:r w:rsidRPr="006B42D6">
              <w:rPr>
                <w:sz w:val="16"/>
                <w:szCs w:val="16"/>
              </w:rPr>
              <w:t>2,128</w:t>
            </w:r>
          </w:p>
        </w:tc>
        <w:tc>
          <w:tcPr>
            <w:tcW w:w="689" w:type="pct"/>
            <w:tcBorders>
              <w:top w:val="nil"/>
              <w:left w:val="nil"/>
              <w:bottom w:val="nil"/>
              <w:right w:val="nil"/>
            </w:tcBorders>
            <w:shd w:val="clear" w:color="auto" w:fill="auto"/>
            <w:noWrap/>
            <w:vAlign w:val="center"/>
            <w:hideMark/>
          </w:tcPr>
          <w:p w14:paraId="62516739" w14:textId="5116C5A5" w:rsidR="00DA35C5" w:rsidRPr="006B42D6" w:rsidRDefault="00DA35C5" w:rsidP="00F121EE">
            <w:pPr>
              <w:jc w:val="right"/>
              <w:rPr>
                <w:sz w:val="16"/>
                <w:szCs w:val="16"/>
              </w:rPr>
            </w:pPr>
            <w:r w:rsidRPr="006B42D6">
              <w:rPr>
                <w:sz w:val="16"/>
                <w:szCs w:val="16"/>
              </w:rPr>
              <w:t>6</w:t>
            </w:r>
          </w:p>
        </w:tc>
        <w:tc>
          <w:tcPr>
            <w:tcW w:w="693" w:type="pct"/>
            <w:tcBorders>
              <w:top w:val="nil"/>
              <w:left w:val="nil"/>
              <w:bottom w:val="nil"/>
              <w:right w:val="nil"/>
            </w:tcBorders>
            <w:shd w:val="clear" w:color="auto" w:fill="auto"/>
            <w:noWrap/>
            <w:vAlign w:val="center"/>
            <w:hideMark/>
          </w:tcPr>
          <w:p w14:paraId="67F1E4D3" w14:textId="7FFAC993" w:rsidR="00DA35C5" w:rsidRPr="006B42D6" w:rsidRDefault="00DA35C5" w:rsidP="00F121EE">
            <w:pPr>
              <w:jc w:val="right"/>
              <w:rPr>
                <w:sz w:val="16"/>
                <w:szCs w:val="16"/>
              </w:rPr>
            </w:pPr>
            <w:r w:rsidRPr="006B42D6">
              <w:rPr>
                <w:sz w:val="16"/>
                <w:szCs w:val="16"/>
              </w:rPr>
              <w:t>18,785</w:t>
            </w:r>
          </w:p>
        </w:tc>
        <w:tc>
          <w:tcPr>
            <w:tcW w:w="693" w:type="pct"/>
            <w:tcBorders>
              <w:top w:val="nil"/>
              <w:left w:val="nil"/>
              <w:bottom w:val="nil"/>
              <w:right w:val="nil"/>
            </w:tcBorders>
            <w:shd w:val="clear" w:color="auto" w:fill="auto"/>
            <w:noWrap/>
            <w:vAlign w:val="center"/>
            <w:hideMark/>
          </w:tcPr>
          <w:p w14:paraId="45E45ACD" w14:textId="4522D1D0" w:rsidR="00DA35C5" w:rsidRPr="006B42D6" w:rsidRDefault="00DA35C5" w:rsidP="00F121EE">
            <w:pPr>
              <w:jc w:val="right"/>
              <w:rPr>
                <w:sz w:val="16"/>
                <w:szCs w:val="16"/>
              </w:rPr>
            </w:pPr>
            <w:r w:rsidRPr="006B42D6">
              <w:rPr>
                <w:sz w:val="16"/>
                <w:szCs w:val="16"/>
              </w:rPr>
              <w:t>76</w:t>
            </w:r>
          </w:p>
        </w:tc>
        <w:tc>
          <w:tcPr>
            <w:tcW w:w="693" w:type="pct"/>
            <w:tcBorders>
              <w:top w:val="nil"/>
              <w:left w:val="nil"/>
              <w:bottom w:val="nil"/>
              <w:right w:val="nil"/>
            </w:tcBorders>
            <w:shd w:val="clear" w:color="auto" w:fill="auto"/>
            <w:noWrap/>
            <w:vAlign w:val="center"/>
            <w:hideMark/>
          </w:tcPr>
          <w:p w14:paraId="647C56BE" w14:textId="6CB7DF64" w:rsidR="00DA35C5" w:rsidRPr="006B42D6" w:rsidRDefault="00DA35C5" w:rsidP="00F121EE">
            <w:pPr>
              <w:jc w:val="right"/>
              <w:rPr>
                <w:sz w:val="16"/>
                <w:szCs w:val="16"/>
              </w:rPr>
            </w:pPr>
            <w:r w:rsidRPr="006B42D6">
              <w:rPr>
                <w:sz w:val="16"/>
                <w:szCs w:val="16"/>
              </w:rPr>
              <w:t>20</w:t>
            </w:r>
          </w:p>
        </w:tc>
        <w:tc>
          <w:tcPr>
            <w:tcW w:w="695" w:type="pct"/>
            <w:tcBorders>
              <w:top w:val="nil"/>
              <w:left w:val="nil"/>
              <w:bottom w:val="nil"/>
            </w:tcBorders>
            <w:shd w:val="clear" w:color="auto" w:fill="auto"/>
            <w:noWrap/>
            <w:vAlign w:val="center"/>
            <w:hideMark/>
          </w:tcPr>
          <w:p w14:paraId="1118A2EC" w14:textId="17DD3FC8" w:rsidR="00DA35C5" w:rsidRPr="006B42D6" w:rsidRDefault="00DA35C5" w:rsidP="00F121EE">
            <w:pPr>
              <w:jc w:val="right"/>
              <w:rPr>
                <w:sz w:val="16"/>
                <w:szCs w:val="16"/>
              </w:rPr>
            </w:pPr>
            <w:r w:rsidRPr="006B42D6">
              <w:rPr>
                <w:sz w:val="16"/>
                <w:szCs w:val="16"/>
              </w:rPr>
              <w:t>368</w:t>
            </w:r>
          </w:p>
        </w:tc>
      </w:tr>
      <w:tr w:rsidR="006B42D6" w:rsidRPr="006B42D6" w14:paraId="6CC097AB" w14:textId="77777777" w:rsidTr="00F62024">
        <w:trPr>
          <w:trHeight w:val="312"/>
          <w:jc w:val="center"/>
        </w:trPr>
        <w:tc>
          <w:tcPr>
            <w:tcW w:w="867" w:type="pct"/>
            <w:tcBorders>
              <w:top w:val="nil"/>
              <w:left w:val="nil"/>
              <w:bottom w:val="nil"/>
            </w:tcBorders>
            <w:shd w:val="clear" w:color="auto" w:fill="auto"/>
            <w:noWrap/>
            <w:vAlign w:val="center"/>
            <w:hideMark/>
          </w:tcPr>
          <w:p w14:paraId="1B3E230C" w14:textId="087E301A" w:rsidR="00DA35C5" w:rsidRPr="006B42D6" w:rsidRDefault="00DA35C5" w:rsidP="00F121EE">
            <w:pPr>
              <w:jc w:val="left"/>
              <w:rPr>
                <w:sz w:val="16"/>
                <w:szCs w:val="16"/>
              </w:rPr>
            </w:pPr>
            <w:r w:rsidRPr="006B42D6">
              <w:rPr>
                <w:sz w:val="16"/>
                <w:szCs w:val="16"/>
              </w:rPr>
              <w:t>Mbeya</w:t>
            </w:r>
          </w:p>
        </w:tc>
        <w:tc>
          <w:tcPr>
            <w:tcW w:w="670" w:type="pct"/>
            <w:tcBorders>
              <w:top w:val="nil"/>
              <w:bottom w:val="nil"/>
              <w:right w:val="nil"/>
            </w:tcBorders>
            <w:shd w:val="clear" w:color="auto" w:fill="auto"/>
            <w:noWrap/>
            <w:vAlign w:val="center"/>
            <w:hideMark/>
          </w:tcPr>
          <w:p w14:paraId="39D338EF" w14:textId="6495FA0C" w:rsidR="00DA35C5" w:rsidRPr="006B42D6" w:rsidRDefault="00DA35C5" w:rsidP="00F121EE">
            <w:pPr>
              <w:jc w:val="right"/>
              <w:rPr>
                <w:sz w:val="16"/>
                <w:szCs w:val="16"/>
              </w:rPr>
            </w:pPr>
            <w:r w:rsidRPr="006B42D6">
              <w:rPr>
                <w:sz w:val="16"/>
                <w:szCs w:val="16"/>
              </w:rPr>
              <w:t>12,217</w:t>
            </w:r>
          </w:p>
        </w:tc>
        <w:tc>
          <w:tcPr>
            <w:tcW w:w="689" w:type="pct"/>
            <w:tcBorders>
              <w:top w:val="nil"/>
              <w:left w:val="nil"/>
              <w:bottom w:val="nil"/>
              <w:right w:val="nil"/>
            </w:tcBorders>
            <w:shd w:val="clear" w:color="auto" w:fill="auto"/>
            <w:noWrap/>
            <w:vAlign w:val="center"/>
            <w:hideMark/>
          </w:tcPr>
          <w:p w14:paraId="773BFDCA" w14:textId="5857CBED" w:rsidR="00DA35C5" w:rsidRPr="006B42D6" w:rsidRDefault="00DA35C5" w:rsidP="00F121EE">
            <w:pPr>
              <w:jc w:val="right"/>
              <w:rPr>
                <w:sz w:val="16"/>
                <w:szCs w:val="16"/>
              </w:rPr>
            </w:pPr>
            <w:r w:rsidRPr="006B42D6">
              <w:rPr>
                <w:sz w:val="16"/>
                <w:szCs w:val="16"/>
              </w:rPr>
              <w:t>8,252</w:t>
            </w:r>
          </w:p>
        </w:tc>
        <w:tc>
          <w:tcPr>
            <w:tcW w:w="693" w:type="pct"/>
            <w:tcBorders>
              <w:top w:val="nil"/>
              <w:left w:val="nil"/>
              <w:bottom w:val="nil"/>
              <w:right w:val="nil"/>
            </w:tcBorders>
            <w:shd w:val="clear" w:color="auto" w:fill="auto"/>
            <w:noWrap/>
            <w:vAlign w:val="center"/>
            <w:hideMark/>
          </w:tcPr>
          <w:p w14:paraId="53842DD6" w14:textId="4F5D7254" w:rsidR="00DA35C5" w:rsidRPr="006B42D6" w:rsidRDefault="00DA35C5" w:rsidP="00F121EE">
            <w:pPr>
              <w:jc w:val="right"/>
              <w:rPr>
                <w:sz w:val="16"/>
                <w:szCs w:val="16"/>
              </w:rPr>
            </w:pPr>
            <w:r w:rsidRPr="006B42D6">
              <w:rPr>
                <w:sz w:val="16"/>
                <w:szCs w:val="16"/>
              </w:rPr>
              <w:t>25,757</w:t>
            </w:r>
          </w:p>
        </w:tc>
        <w:tc>
          <w:tcPr>
            <w:tcW w:w="693" w:type="pct"/>
            <w:tcBorders>
              <w:top w:val="nil"/>
              <w:left w:val="nil"/>
              <w:bottom w:val="nil"/>
              <w:right w:val="nil"/>
            </w:tcBorders>
            <w:shd w:val="clear" w:color="auto" w:fill="auto"/>
            <w:noWrap/>
            <w:vAlign w:val="center"/>
            <w:hideMark/>
          </w:tcPr>
          <w:p w14:paraId="10DF4389" w14:textId="1743F26E" w:rsidR="00DA35C5" w:rsidRPr="006B42D6" w:rsidRDefault="00DA35C5" w:rsidP="00F121EE">
            <w:pPr>
              <w:jc w:val="right"/>
              <w:rPr>
                <w:sz w:val="16"/>
                <w:szCs w:val="16"/>
              </w:rPr>
            </w:pPr>
            <w:r w:rsidRPr="006B42D6">
              <w:rPr>
                <w:sz w:val="16"/>
                <w:szCs w:val="16"/>
              </w:rPr>
              <w:t>1,429</w:t>
            </w:r>
          </w:p>
        </w:tc>
        <w:tc>
          <w:tcPr>
            <w:tcW w:w="693" w:type="pct"/>
            <w:tcBorders>
              <w:top w:val="nil"/>
              <w:left w:val="nil"/>
              <w:bottom w:val="nil"/>
              <w:right w:val="nil"/>
            </w:tcBorders>
            <w:shd w:val="clear" w:color="auto" w:fill="auto"/>
            <w:noWrap/>
            <w:vAlign w:val="center"/>
            <w:hideMark/>
          </w:tcPr>
          <w:p w14:paraId="602E9B9C" w14:textId="4669C736" w:rsidR="00DA35C5" w:rsidRPr="006B42D6" w:rsidRDefault="00DA35C5" w:rsidP="00F121EE">
            <w:pPr>
              <w:jc w:val="right"/>
              <w:rPr>
                <w:sz w:val="16"/>
                <w:szCs w:val="16"/>
              </w:rPr>
            </w:pPr>
            <w:r w:rsidRPr="006B42D6">
              <w:rPr>
                <w:sz w:val="16"/>
                <w:szCs w:val="16"/>
              </w:rPr>
              <w:t>1,314</w:t>
            </w:r>
          </w:p>
        </w:tc>
        <w:tc>
          <w:tcPr>
            <w:tcW w:w="695" w:type="pct"/>
            <w:tcBorders>
              <w:top w:val="nil"/>
              <w:left w:val="nil"/>
              <w:bottom w:val="nil"/>
            </w:tcBorders>
            <w:shd w:val="clear" w:color="auto" w:fill="auto"/>
            <w:noWrap/>
            <w:vAlign w:val="center"/>
            <w:hideMark/>
          </w:tcPr>
          <w:p w14:paraId="77149C64" w14:textId="68BCF78F" w:rsidR="00DA35C5" w:rsidRPr="006B42D6" w:rsidRDefault="00DA35C5" w:rsidP="00F121EE">
            <w:pPr>
              <w:jc w:val="right"/>
              <w:rPr>
                <w:sz w:val="16"/>
                <w:szCs w:val="16"/>
              </w:rPr>
            </w:pPr>
            <w:r w:rsidRPr="006B42D6">
              <w:rPr>
                <w:sz w:val="16"/>
                <w:szCs w:val="16"/>
              </w:rPr>
              <w:t>15,882</w:t>
            </w:r>
          </w:p>
        </w:tc>
      </w:tr>
      <w:tr w:rsidR="006B42D6" w:rsidRPr="006B42D6" w14:paraId="257F522F" w14:textId="77777777" w:rsidTr="00F62024">
        <w:trPr>
          <w:trHeight w:val="312"/>
          <w:jc w:val="center"/>
        </w:trPr>
        <w:tc>
          <w:tcPr>
            <w:tcW w:w="867" w:type="pct"/>
            <w:tcBorders>
              <w:top w:val="nil"/>
              <w:left w:val="nil"/>
              <w:bottom w:val="nil"/>
            </w:tcBorders>
            <w:shd w:val="clear" w:color="auto" w:fill="auto"/>
            <w:noWrap/>
            <w:vAlign w:val="center"/>
            <w:hideMark/>
          </w:tcPr>
          <w:p w14:paraId="33877854" w14:textId="09990AF0" w:rsidR="00DA35C5" w:rsidRPr="006B42D6" w:rsidRDefault="00DA35C5" w:rsidP="00F121EE">
            <w:pPr>
              <w:jc w:val="left"/>
              <w:rPr>
                <w:sz w:val="16"/>
                <w:szCs w:val="16"/>
              </w:rPr>
            </w:pPr>
            <w:r w:rsidRPr="006B42D6">
              <w:rPr>
                <w:sz w:val="16"/>
                <w:szCs w:val="16"/>
              </w:rPr>
              <w:t>Singida</w:t>
            </w:r>
          </w:p>
        </w:tc>
        <w:tc>
          <w:tcPr>
            <w:tcW w:w="670" w:type="pct"/>
            <w:tcBorders>
              <w:top w:val="nil"/>
              <w:bottom w:val="nil"/>
              <w:right w:val="nil"/>
            </w:tcBorders>
            <w:shd w:val="clear" w:color="auto" w:fill="auto"/>
            <w:noWrap/>
            <w:vAlign w:val="center"/>
            <w:hideMark/>
          </w:tcPr>
          <w:p w14:paraId="6F1FF612" w14:textId="19C438CD" w:rsidR="00DA35C5" w:rsidRPr="006B42D6" w:rsidRDefault="00DA35C5" w:rsidP="00F121EE">
            <w:pPr>
              <w:jc w:val="right"/>
              <w:rPr>
                <w:sz w:val="16"/>
                <w:szCs w:val="16"/>
              </w:rPr>
            </w:pPr>
            <w:r w:rsidRPr="006B42D6">
              <w:rPr>
                <w:sz w:val="16"/>
                <w:szCs w:val="16"/>
              </w:rPr>
              <w:t>21,542</w:t>
            </w:r>
          </w:p>
        </w:tc>
        <w:tc>
          <w:tcPr>
            <w:tcW w:w="689" w:type="pct"/>
            <w:tcBorders>
              <w:top w:val="nil"/>
              <w:left w:val="nil"/>
              <w:bottom w:val="nil"/>
              <w:right w:val="nil"/>
            </w:tcBorders>
            <w:shd w:val="clear" w:color="auto" w:fill="auto"/>
            <w:noWrap/>
            <w:vAlign w:val="center"/>
            <w:hideMark/>
          </w:tcPr>
          <w:p w14:paraId="382FFC49" w14:textId="4DBF61C0" w:rsidR="00DA35C5" w:rsidRPr="006B42D6" w:rsidRDefault="00DA35C5" w:rsidP="00F121EE">
            <w:pPr>
              <w:jc w:val="right"/>
              <w:rPr>
                <w:sz w:val="16"/>
                <w:szCs w:val="16"/>
              </w:rPr>
            </w:pPr>
            <w:r w:rsidRPr="006B42D6">
              <w:rPr>
                <w:sz w:val="16"/>
                <w:szCs w:val="16"/>
              </w:rPr>
              <w:t>1,058</w:t>
            </w:r>
          </w:p>
        </w:tc>
        <w:tc>
          <w:tcPr>
            <w:tcW w:w="693" w:type="pct"/>
            <w:tcBorders>
              <w:top w:val="nil"/>
              <w:left w:val="nil"/>
              <w:bottom w:val="nil"/>
              <w:right w:val="nil"/>
            </w:tcBorders>
            <w:shd w:val="clear" w:color="auto" w:fill="auto"/>
            <w:noWrap/>
            <w:vAlign w:val="center"/>
            <w:hideMark/>
          </w:tcPr>
          <w:p w14:paraId="23EE5E27" w14:textId="5A049250" w:rsidR="00DA35C5" w:rsidRPr="006B42D6" w:rsidRDefault="00DA35C5" w:rsidP="00F121EE">
            <w:pPr>
              <w:jc w:val="right"/>
              <w:rPr>
                <w:sz w:val="16"/>
                <w:szCs w:val="16"/>
              </w:rPr>
            </w:pPr>
            <w:r w:rsidRPr="006B42D6">
              <w:rPr>
                <w:sz w:val="16"/>
                <w:szCs w:val="16"/>
              </w:rPr>
              <w:t>19,898</w:t>
            </w:r>
          </w:p>
        </w:tc>
        <w:tc>
          <w:tcPr>
            <w:tcW w:w="693" w:type="pct"/>
            <w:tcBorders>
              <w:top w:val="nil"/>
              <w:left w:val="nil"/>
              <w:bottom w:val="nil"/>
              <w:right w:val="nil"/>
            </w:tcBorders>
            <w:shd w:val="clear" w:color="auto" w:fill="auto"/>
            <w:noWrap/>
            <w:vAlign w:val="center"/>
            <w:hideMark/>
          </w:tcPr>
          <w:p w14:paraId="0A9ECBA6" w14:textId="20C99387" w:rsidR="00DA35C5" w:rsidRPr="006B42D6" w:rsidRDefault="00DA35C5" w:rsidP="00F121EE">
            <w:pPr>
              <w:jc w:val="right"/>
              <w:rPr>
                <w:sz w:val="16"/>
                <w:szCs w:val="16"/>
              </w:rPr>
            </w:pPr>
            <w:r w:rsidRPr="006B42D6">
              <w:rPr>
                <w:sz w:val="16"/>
                <w:szCs w:val="16"/>
              </w:rPr>
              <w:t>1,119</w:t>
            </w:r>
          </w:p>
        </w:tc>
        <w:tc>
          <w:tcPr>
            <w:tcW w:w="693" w:type="pct"/>
            <w:tcBorders>
              <w:top w:val="nil"/>
              <w:left w:val="nil"/>
              <w:bottom w:val="nil"/>
              <w:right w:val="nil"/>
            </w:tcBorders>
            <w:shd w:val="clear" w:color="auto" w:fill="auto"/>
            <w:noWrap/>
            <w:vAlign w:val="center"/>
            <w:hideMark/>
          </w:tcPr>
          <w:p w14:paraId="08F74BBE" w14:textId="1A1EF3FC" w:rsidR="00DA35C5" w:rsidRPr="006B42D6" w:rsidRDefault="00DA35C5" w:rsidP="00F121EE">
            <w:pPr>
              <w:jc w:val="right"/>
              <w:rPr>
                <w:sz w:val="16"/>
                <w:szCs w:val="16"/>
              </w:rPr>
            </w:pPr>
            <w:r w:rsidRPr="006B42D6">
              <w:rPr>
                <w:sz w:val="16"/>
                <w:szCs w:val="16"/>
              </w:rPr>
              <w:t>46</w:t>
            </w:r>
          </w:p>
        </w:tc>
        <w:tc>
          <w:tcPr>
            <w:tcW w:w="695" w:type="pct"/>
            <w:tcBorders>
              <w:top w:val="nil"/>
              <w:left w:val="nil"/>
              <w:bottom w:val="nil"/>
            </w:tcBorders>
            <w:shd w:val="clear" w:color="auto" w:fill="auto"/>
            <w:noWrap/>
            <w:vAlign w:val="center"/>
            <w:hideMark/>
          </w:tcPr>
          <w:p w14:paraId="1221607D" w14:textId="26419581" w:rsidR="00DA35C5" w:rsidRPr="006B42D6" w:rsidRDefault="00DA35C5" w:rsidP="00F121EE">
            <w:pPr>
              <w:jc w:val="right"/>
              <w:rPr>
                <w:sz w:val="16"/>
                <w:szCs w:val="16"/>
              </w:rPr>
            </w:pPr>
            <w:r w:rsidRPr="006B42D6">
              <w:rPr>
                <w:sz w:val="16"/>
                <w:szCs w:val="16"/>
              </w:rPr>
              <w:t>173</w:t>
            </w:r>
          </w:p>
        </w:tc>
      </w:tr>
      <w:tr w:rsidR="006B42D6" w:rsidRPr="006B42D6" w14:paraId="7C119689" w14:textId="77777777" w:rsidTr="00F62024">
        <w:trPr>
          <w:trHeight w:val="312"/>
          <w:jc w:val="center"/>
        </w:trPr>
        <w:tc>
          <w:tcPr>
            <w:tcW w:w="867" w:type="pct"/>
            <w:tcBorders>
              <w:top w:val="nil"/>
              <w:left w:val="nil"/>
              <w:bottom w:val="nil"/>
            </w:tcBorders>
            <w:shd w:val="clear" w:color="auto" w:fill="auto"/>
            <w:noWrap/>
            <w:vAlign w:val="center"/>
            <w:hideMark/>
          </w:tcPr>
          <w:p w14:paraId="2080A673" w14:textId="31D15977" w:rsidR="00DA35C5" w:rsidRPr="006B42D6" w:rsidRDefault="00DA35C5" w:rsidP="00F121EE">
            <w:pPr>
              <w:jc w:val="left"/>
              <w:rPr>
                <w:sz w:val="16"/>
                <w:szCs w:val="16"/>
              </w:rPr>
            </w:pPr>
            <w:r w:rsidRPr="006B42D6">
              <w:rPr>
                <w:sz w:val="16"/>
                <w:szCs w:val="16"/>
              </w:rPr>
              <w:t>Tabora</w:t>
            </w:r>
          </w:p>
        </w:tc>
        <w:tc>
          <w:tcPr>
            <w:tcW w:w="670" w:type="pct"/>
            <w:tcBorders>
              <w:top w:val="nil"/>
              <w:bottom w:val="nil"/>
              <w:right w:val="nil"/>
            </w:tcBorders>
            <w:shd w:val="clear" w:color="auto" w:fill="auto"/>
            <w:noWrap/>
            <w:vAlign w:val="center"/>
            <w:hideMark/>
          </w:tcPr>
          <w:p w14:paraId="027E474C" w14:textId="592360FB" w:rsidR="00DA35C5" w:rsidRPr="006B42D6" w:rsidRDefault="00DA35C5" w:rsidP="00F121EE">
            <w:pPr>
              <w:jc w:val="right"/>
              <w:rPr>
                <w:sz w:val="16"/>
                <w:szCs w:val="16"/>
              </w:rPr>
            </w:pPr>
            <w:r w:rsidRPr="006B42D6">
              <w:rPr>
                <w:sz w:val="16"/>
                <w:szCs w:val="16"/>
              </w:rPr>
              <w:t>13,790</w:t>
            </w:r>
          </w:p>
        </w:tc>
        <w:tc>
          <w:tcPr>
            <w:tcW w:w="689" w:type="pct"/>
            <w:tcBorders>
              <w:top w:val="nil"/>
              <w:left w:val="nil"/>
              <w:bottom w:val="nil"/>
              <w:right w:val="nil"/>
            </w:tcBorders>
            <w:shd w:val="clear" w:color="auto" w:fill="auto"/>
            <w:noWrap/>
            <w:vAlign w:val="center"/>
            <w:hideMark/>
          </w:tcPr>
          <w:p w14:paraId="4181E6F5" w14:textId="34A7D35F" w:rsidR="00DA35C5" w:rsidRPr="006B42D6" w:rsidRDefault="00DA35C5" w:rsidP="00F121EE">
            <w:pPr>
              <w:jc w:val="right"/>
              <w:rPr>
                <w:sz w:val="16"/>
                <w:szCs w:val="16"/>
              </w:rPr>
            </w:pPr>
            <w:r w:rsidRPr="006B42D6">
              <w:rPr>
                <w:sz w:val="16"/>
                <w:szCs w:val="16"/>
              </w:rPr>
              <w:t>868</w:t>
            </w:r>
          </w:p>
        </w:tc>
        <w:tc>
          <w:tcPr>
            <w:tcW w:w="693" w:type="pct"/>
            <w:tcBorders>
              <w:top w:val="nil"/>
              <w:left w:val="nil"/>
              <w:bottom w:val="nil"/>
              <w:right w:val="nil"/>
            </w:tcBorders>
            <w:shd w:val="clear" w:color="auto" w:fill="auto"/>
            <w:noWrap/>
            <w:vAlign w:val="center"/>
            <w:hideMark/>
          </w:tcPr>
          <w:p w14:paraId="2F860F43" w14:textId="21685DE9" w:rsidR="00DA35C5" w:rsidRPr="006B42D6" w:rsidRDefault="00DA35C5" w:rsidP="00F121EE">
            <w:pPr>
              <w:jc w:val="right"/>
              <w:rPr>
                <w:sz w:val="16"/>
                <w:szCs w:val="16"/>
              </w:rPr>
            </w:pPr>
            <w:r w:rsidRPr="006B42D6">
              <w:rPr>
                <w:sz w:val="16"/>
                <w:szCs w:val="16"/>
              </w:rPr>
              <w:t>11,700</w:t>
            </w:r>
          </w:p>
        </w:tc>
        <w:tc>
          <w:tcPr>
            <w:tcW w:w="693" w:type="pct"/>
            <w:tcBorders>
              <w:top w:val="nil"/>
              <w:left w:val="nil"/>
              <w:bottom w:val="nil"/>
              <w:right w:val="nil"/>
            </w:tcBorders>
            <w:shd w:val="clear" w:color="auto" w:fill="auto"/>
            <w:noWrap/>
            <w:vAlign w:val="center"/>
            <w:hideMark/>
          </w:tcPr>
          <w:p w14:paraId="4504480B" w14:textId="376BE1EF" w:rsidR="00DA35C5" w:rsidRPr="006B42D6" w:rsidRDefault="00DA35C5" w:rsidP="00F121EE">
            <w:pPr>
              <w:jc w:val="right"/>
              <w:rPr>
                <w:sz w:val="16"/>
                <w:szCs w:val="16"/>
              </w:rPr>
            </w:pPr>
            <w:r w:rsidRPr="006B42D6">
              <w:rPr>
                <w:sz w:val="16"/>
                <w:szCs w:val="16"/>
              </w:rPr>
              <w:t>685</w:t>
            </w:r>
          </w:p>
        </w:tc>
        <w:tc>
          <w:tcPr>
            <w:tcW w:w="693" w:type="pct"/>
            <w:tcBorders>
              <w:top w:val="nil"/>
              <w:left w:val="nil"/>
              <w:bottom w:val="nil"/>
              <w:right w:val="nil"/>
            </w:tcBorders>
            <w:shd w:val="clear" w:color="auto" w:fill="auto"/>
            <w:noWrap/>
            <w:vAlign w:val="center"/>
            <w:hideMark/>
          </w:tcPr>
          <w:p w14:paraId="504CAB82" w14:textId="3CCF7735" w:rsidR="00DA35C5" w:rsidRPr="006B42D6" w:rsidRDefault="00DA35C5" w:rsidP="00F121EE">
            <w:pPr>
              <w:jc w:val="right"/>
              <w:rPr>
                <w:sz w:val="16"/>
                <w:szCs w:val="16"/>
              </w:rPr>
            </w:pPr>
            <w:r w:rsidRPr="006B42D6">
              <w:rPr>
                <w:sz w:val="16"/>
                <w:szCs w:val="16"/>
              </w:rPr>
              <w:t>712</w:t>
            </w:r>
          </w:p>
        </w:tc>
        <w:tc>
          <w:tcPr>
            <w:tcW w:w="695" w:type="pct"/>
            <w:tcBorders>
              <w:top w:val="nil"/>
              <w:left w:val="nil"/>
              <w:bottom w:val="nil"/>
            </w:tcBorders>
            <w:shd w:val="clear" w:color="auto" w:fill="auto"/>
            <w:noWrap/>
            <w:vAlign w:val="center"/>
            <w:hideMark/>
          </w:tcPr>
          <w:p w14:paraId="285C6814" w14:textId="386330B4" w:rsidR="00DA35C5" w:rsidRPr="006B42D6" w:rsidRDefault="00DA35C5" w:rsidP="00F121EE">
            <w:pPr>
              <w:jc w:val="right"/>
              <w:rPr>
                <w:sz w:val="16"/>
                <w:szCs w:val="16"/>
              </w:rPr>
            </w:pPr>
            <w:r w:rsidRPr="006B42D6">
              <w:rPr>
                <w:sz w:val="16"/>
                <w:szCs w:val="16"/>
              </w:rPr>
              <w:t>15,579</w:t>
            </w:r>
          </w:p>
        </w:tc>
      </w:tr>
      <w:tr w:rsidR="006B42D6" w:rsidRPr="006B42D6" w14:paraId="2FCF855D" w14:textId="77777777" w:rsidTr="00F62024">
        <w:trPr>
          <w:trHeight w:val="312"/>
          <w:jc w:val="center"/>
        </w:trPr>
        <w:tc>
          <w:tcPr>
            <w:tcW w:w="867" w:type="pct"/>
            <w:tcBorders>
              <w:top w:val="nil"/>
              <w:left w:val="nil"/>
              <w:bottom w:val="nil"/>
            </w:tcBorders>
            <w:shd w:val="clear" w:color="auto" w:fill="auto"/>
            <w:noWrap/>
            <w:vAlign w:val="center"/>
            <w:hideMark/>
          </w:tcPr>
          <w:p w14:paraId="49C90CB7" w14:textId="12BC60D3" w:rsidR="00DA35C5" w:rsidRPr="006B42D6" w:rsidRDefault="00DA35C5" w:rsidP="00F121EE">
            <w:pPr>
              <w:jc w:val="left"/>
              <w:rPr>
                <w:sz w:val="16"/>
                <w:szCs w:val="16"/>
              </w:rPr>
            </w:pPr>
            <w:r w:rsidRPr="006B42D6">
              <w:rPr>
                <w:sz w:val="16"/>
                <w:szCs w:val="16"/>
              </w:rPr>
              <w:t>Rukwa</w:t>
            </w:r>
          </w:p>
        </w:tc>
        <w:tc>
          <w:tcPr>
            <w:tcW w:w="670" w:type="pct"/>
            <w:tcBorders>
              <w:top w:val="nil"/>
              <w:bottom w:val="nil"/>
              <w:right w:val="nil"/>
            </w:tcBorders>
            <w:shd w:val="clear" w:color="auto" w:fill="auto"/>
            <w:noWrap/>
            <w:vAlign w:val="center"/>
            <w:hideMark/>
          </w:tcPr>
          <w:p w14:paraId="40F9A791" w14:textId="3343F3B1" w:rsidR="00DA35C5" w:rsidRPr="006B42D6" w:rsidRDefault="00DA35C5" w:rsidP="00F121EE">
            <w:pPr>
              <w:jc w:val="right"/>
              <w:rPr>
                <w:sz w:val="16"/>
                <w:szCs w:val="16"/>
              </w:rPr>
            </w:pPr>
            <w:r w:rsidRPr="006B42D6">
              <w:rPr>
                <w:sz w:val="16"/>
                <w:szCs w:val="16"/>
              </w:rPr>
              <w:t>960</w:t>
            </w:r>
          </w:p>
        </w:tc>
        <w:tc>
          <w:tcPr>
            <w:tcW w:w="689" w:type="pct"/>
            <w:tcBorders>
              <w:top w:val="nil"/>
              <w:left w:val="nil"/>
              <w:bottom w:val="nil"/>
              <w:right w:val="nil"/>
            </w:tcBorders>
            <w:shd w:val="clear" w:color="auto" w:fill="auto"/>
            <w:noWrap/>
            <w:vAlign w:val="center"/>
            <w:hideMark/>
          </w:tcPr>
          <w:p w14:paraId="449E2C68" w14:textId="0683B739" w:rsidR="00DA35C5" w:rsidRPr="006B42D6" w:rsidRDefault="00DA35C5" w:rsidP="00F121EE">
            <w:pPr>
              <w:jc w:val="right"/>
              <w:rPr>
                <w:sz w:val="16"/>
                <w:szCs w:val="16"/>
              </w:rPr>
            </w:pPr>
            <w:r w:rsidRPr="006B42D6">
              <w:rPr>
                <w:sz w:val="16"/>
                <w:szCs w:val="16"/>
              </w:rPr>
              <w:t>381</w:t>
            </w:r>
          </w:p>
        </w:tc>
        <w:tc>
          <w:tcPr>
            <w:tcW w:w="693" w:type="pct"/>
            <w:tcBorders>
              <w:top w:val="nil"/>
              <w:left w:val="nil"/>
              <w:bottom w:val="nil"/>
              <w:right w:val="nil"/>
            </w:tcBorders>
            <w:shd w:val="clear" w:color="auto" w:fill="auto"/>
            <w:noWrap/>
            <w:vAlign w:val="center"/>
            <w:hideMark/>
          </w:tcPr>
          <w:p w14:paraId="031A7D9B" w14:textId="7C7C9DA4" w:rsidR="00DA35C5" w:rsidRPr="006B42D6" w:rsidRDefault="00DA35C5" w:rsidP="00F121EE">
            <w:pPr>
              <w:jc w:val="right"/>
              <w:rPr>
                <w:sz w:val="16"/>
                <w:szCs w:val="16"/>
              </w:rPr>
            </w:pPr>
            <w:r w:rsidRPr="006B42D6">
              <w:rPr>
                <w:sz w:val="16"/>
                <w:szCs w:val="16"/>
              </w:rPr>
              <w:t>-</w:t>
            </w:r>
          </w:p>
        </w:tc>
        <w:tc>
          <w:tcPr>
            <w:tcW w:w="693" w:type="pct"/>
            <w:tcBorders>
              <w:top w:val="nil"/>
              <w:left w:val="nil"/>
              <w:bottom w:val="nil"/>
              <w:right w:val="nil"/>
            </w:tcBorders>
            <w:shd w:val="clear" w:color="auto" w:fill="auto"/>
            <w:noWrap/>
            <w:vAlign w:val="center"/>
            <w:hideMark/>
          </w:tcPr>
          <w:p w14:paraId="2A516566" w14:textId="6BA5BEF0" w:rsidR="00DA35C5" w:rsidRPr="006B42D6" w:rsidRDefault="00DA35C5" w:rsidP="00F121EE">
            <w:pPr>
              <w:jc w:val="right"/>
              <w:rPr>
                <w:sz w:val="16"/>
                <w:szCs w:val="16"/>
              </w:rPr>
            </w:pPr>
            <w:r w:rsidRPr="006B42D6">
              <w:rPr>
                <w:sz w:val="16"/>
                <w:szCs w:val="16"/>
              </w:rPr>
              <w:t>-</w:t>
            </w:r>
          </w:p>
        </w:tc>
        <w:tc>
          <w:tcPr>
            <w:tcW w:w="693" w:type="pct"/>
            <w:tcBorders>
              <w:top w:val="nil"/>
              <w:left w:val="nil"/>
              <w:bottom w:val="nil"/>
              <w:right w:val="nil"/>
            </w:tcBorders>
            <w:shd w:val="clear" w:color="auto" w:fill="auto"/>
            <w:noWrap/>
            <w:vAlign w:val="center"/>
            <w:hideMark/>
          </w:tcPr>
          <w:p w14:paraId="0FABB57A" w14:textId="60B64803" w:rsidR="00DA35C5" w:rsidRPr="006B42D6" w:rsidRDefault="00DA35C5" w:rsidP="00F121EE">
            <w:pPr>
              <w:jc w:val="right"/>
              <w:rPr>
                <w:sz w:val="16"/>
                <w:szCs w:val="16"/>
              </w:rPr>
            </w:pPr>
            <w:r w:rsidRPr="006B42D6">
              <w:rPr>
                <w:sz w:val="16"/>
                <w:szCs w:val="16"/>
              </w:rPr>
              <w:t>91</w:t>
            </w:r>
          </w:p>
        </w:tc>
        <w:tc>
          <w:tcPr>
            <w:tcW w:w="695" w:type="pct"/>
            <w:tcBorders>
              <w:top w:val="nil"/>
              <w:left w:val="nil"/>
              <w:bottom w:val="nil"/>
            </w:tcBorders>
            <w:shd w:val="clear" w:color="auto" w:fill="auto"/>
            <w:noWrap/>
            <w:vAlign w:val="center"/>
            <w:hideMark/>
          </w:tcPr>
          <w:p w14:paraId="495DD55F" w14:textId="269B91B5" w:rsidR="00DA35C5" w:rsidRPr="006B42D6" w:rsidRDefault="00DA35C5" w:rsidP="00F121EE">
            <w:pPr>
              <w:jc w:val="right"/>
              <w:rPr>
                <w:sz w:val="16"/>
                <w:szCs w:val="16"/>
              </w:rPr>
            </w:pPr>
            <w:r w:rsidRPr="006B42D6">
              <w:rPr>
                <w:sz w:val="16"/>
                <w:szCs w:val="16"/>
              </w:rPr>
              <w:t>1,627</w:t>
            </w:r>
          </w:p>
        </w:tc>
      </w:tr>
      <w:tr w:rsidR="006B42D6" w:rsidRPr="006B42D6" w14:paraId="3E166C6F" w14:textId="77777777" w:rsidTr="00F62024">
        <w:trPr>
          <w:trHeight w:val="312"/>
          <w:jc w:val="center"/>
        </w:trPr>
        <w:tc>
          <w:tcPr>
            <w:tcW w:w="867" w:type="pct"/>
            <w:tcBorders>
              <w:top w:val="nil"/>
              <w:left w:val="nil"/>
              <w:bottom w:val="nil"/>
            </w:tcBorders>
            <w:shd w:val="clear" w:color="auto" w:fill="auto"/>
            <w:noWrap/>
            <w:vAlign w:val="center"/>
            <w:hideMark/>
          </w:tcPr>
          <w:p w14:paraId="473C112F" w14:textId="75810048" w:rsidR="00DA35C5" w:rsidRPr="006B42D6" w:rsidRDefault="00DA35C5" w:rsidP="00F121EE">
            <w:pPr>
              <w:jc w:val="left"/>
              <w:rPr>
                <w:sz w:val="16"/>
                <w:szCs w:val="16"/>
              </w:rPr>
            </w:pPr>
            <w:r w:rsidRPr="006B42D6">
              <w:rPr>
                <w:sz w:val="16"/>
                <w:szCs w:val="16"/>
              </w:rPr>
              <w:t>Kigoma</w:t>
            </w:r>
          </w:p>
        </w:tc>
        <w:tc>
          <w:tcPr>
            <w:tcW w:w="670" w:type="pct"/>
            <w:tcBorders>
              <w:top w:val="nil"/>
              <w:bottom w:val="nil"/>
              <w:right w:val="nil"/>
            </w:tcBorders>
            <w:shd w:val="clear" w:color="auto" w:fill="auto"/>
            <w:noWrap/>
            <w:vAlign w:val="center"/>
            <w:hideMark/>
          </w:tcPr>
          <w:p w14:paraId="666C0E17" w14:textId="3D80ED0B" w:rsidR="00DA35C5" w:rsidRPr="006B42D6" w:rsidRDefault="00DA35C5" w:rsidP="00F121EE">
            <w:pPr>
              <w:jc w:val="right"/>
              <w:rPr>
                <w:sz w:val="16"/>
                <w:szCs w:val="16"/>
              </w:rPr>
            </w:pPr>
            <w:r w:rsidRPr="006B42D6">
              <w:rPr>
                <w:sz w:val="16"/>
                <w:szCs w:val="16"/>
              </w:rPr>
              <w:t>3,863</w:t>
            </w:r>
          </w:p>
        </w:tc>
        <w:tc>
          <w:tcPr>
            <w:tcW w:w="689" w:type="pct"/>
            <w:tcBorders>
              <w:top w:val="nil"/>
              <w:left w:val="nil"/>
              <w:bottom w:val="nil"/>
              <w:right w:val="nil"/>
            </w:tcBorders>
            <w:shd w:val="clear" w:color="auto" w:fill="auto"/>
            <w:noWrap/>
            <w:vAlign w:val="center"/>
            <w:hideMark/>
          </w:tcPr>
          <w:p w14:paraId="5A657646" w14:textId="60A3D0C0" w:rsidR="00DA35C5" w:rsidRPr="006B42D6" w:rsidRDefault="00DA35C5" w:rsidP="00F121EE">
            <w:pPr>
              <w:jc w:val="right"/>
              <w:rPr>
                <w:sz w:val="16"/>
                <w:szCs w:val="16"/>
              </w:rPr>
            </w:pPr>
            <w:r w:rsidRPr="006B42D6">
              <w:rPr>
                <w:sz w:val="16"/>
                <w:szCs w:val="16"/>
              </w:rPr>
              <w:t>76</w:t>
            </w:r>
          </w:p>
        </w:tc>
        <w:tc>
          <w:tcPr>
            <w:tcW w:w="693" w:type="pct"/>
            <w:tcBorders>
              <w:top w:val="nil"/>
              <w:left w:val="nil"/>
              <w:bottom w:val="nil"/>
              <w:right w:val="nil"/>
            </w:tcBorders>
            <w:shd w:val="clear" w:color="auto" w:fill="auto"/>
            <w:noWrap/>
            <w:vAlign w:val="center"/>
            <w:hideMark/>
          </w:tcPr>
          <w:p w14:paraId="0177472E" w14:textId="2C23B653" w:rsidR="00DA35C5" w:rsidRPr="006B42D6" w:rsidRDefault="00DA35C5" w:rsidP="00F121EE">
            <w:pPr>
              <w:jc w:val="right"/>
              <w:rPr>
                <w:sz w:val="16"/>
                <w:szCs w:val="16"/>
              </w:rPr>
            </w:pPr>
            <w:r w:rsidRPr="006B42D6">
              <w:rPr>
                <w:sz w:val="16"/>
                <w:szCs w:val="16"/>
              </w:rPr>
              <w:t>29,012</w:t>
            </w:r>
          </w:p>
        </w:tc>
        <w:tc>
          <w:tcPr>
            <w:tcW w:w="693" w:type="pct"/>
            <w:tcBorders>
              <w:top w:val="nil"/>
              <w:left w:val="nil"/>
              <w:bottom w:val="nil"/>
              <w:right w:val="nil"/>
            </w:tcBorders>
            <w:shd w:val="clear" w:color="auto" w:fill="auto"/>
            <w:noWrap/>
            <w:vAlign w:val="center"/>
            <w:hideMark/>
          </w:tcPr>
          <w:p w14:paraId="57F26AD4" w14:textId="025B7B90" w:rsidR="00DA35C5" w:rsidRPr="006B42D6" w:rsidRDefault="00DA35C5" w:rsidP="00F121EE">
            <w:pPr>
              <w:jc w:val="right"/>
              <w:rPr>
                <w:sz w:val="16"/>
                <w:szCs w:val="16"/>
              </w:rPr>
            </w:pPr>
            <w:r w:rsidRPr="006B42D6">
              <w:rPr>
                <w:sz w:val="16"/>
                <w:szCs w:val="16"/>
              </w:rPr>
              <w:t>311</w:t>
            </w:r>
          </w:p>
        </w:tc>
        <w:tc>
          <w:tcPr>
            <w:tcW w:w="693" w:type="pct"/>
            <w:tcBorders>
              <w:top w:val="nil"/>
              <w:left w:val="nil"/>
              <w:bottom w:val="nil"/>
              <w:right w:val="nil"/>
            </w:tcBorders>
            <w:shd w:val="clear" w:color="auto" w:fill="auto"/>
            <w:noWrap/>
            <w:vAlign w:val="center"/>
            <w:hideMark/>
          </w:tcPr>
          <w:p w14:paraId="09F92CEC" w14:textId="36892C86" w:rsidR="00DA35C5" w:rsidRPr="006B42D6" w:rsidRDefault="00DA35C5" w:rsidP="00F121EE">
            <w:pPr>
              <w:jc w:val="right"/>
              <w:rPr>
                <w:sz w:val="16"/>
                <w:szCs w:val="16"/>
              </w:rPr>
            </w:pPr>
            <w:r w:rsidRPr="006B42D6">
              <w:rPr>
                <w:sz w:val="16"/>
                <w:szCs w:val="16"/>
              </w:rPr>
              <w:t>288</w:t>
            </w:r>
          </w:p>
        </w:tc>
        <w:tc>
          <w:tcPr>
            <w:tcW w:w="695" w:type="pct"/>
            <w:tcBorders>
              <w:top w:val="nil"/>
              <w:left w:val="nil"/>
              <w:bottom w:val="nil"/>
            </w:tcBorders>
            <w:shd w:val="clear" w:color="auto" w:fill="auto"/>
            <w:noWrap/>
            <w:vAlign w:val="center"/>
            <w:hideMark/>
          </w:tcPr>
          <w:p w14:paraId="373D19E0" w14:textId="41B7A737" w:rsidR="00DA35C5" w:rsidRPr="006B42D6" w:rsidRDefault="00DA35C5" w:rsidP="00F121EE">
            <w:pPr>
              <w:jc w:val="right"/>
              <w:rPr>
                <w:sz w:val="16"/>
                <w:szCs w:val="16"/>
              </w:rPr>
            </w:pPr>
            <w:r w:rsidRPr="006B42D6">
              <w:rPr>
                <w:sz w:val="16"/>
                <w:szCs w:val="16"/>
              </w:rPr>
              <w:t>5,129</w:t>
            </w:r>
          </w:p>
        </w:tc>
      </w:tr>
      <w:tr w:rsidR="006B42D6" w:rsidRPr="006B42D6" w14:paraId="5B18174B" w14:textId="77777777" w:rsidTr="00F62024">
        <w:trPr>
          <w:trHeight w:val="312"/>
          <w:jc w:val="center"/>
        </w:trPr>
        <w:tc>
          <w:tcPr>
            <w:tcW w:w="867" w:type="pct"/>
            <w:tcBorders>
              <w:top w:val="nil"/>
              <w:left w:val="nil"/>
              <w:bottom w:val="nil"/>
            </w:tcBorders>
            <w:shd w:val="clear" w:color="auto" w:fill="auto"/>
            <w:noWrap/>
            <w:vAlign w:val="center"/>
            <w:hideMark/>
          </w:tcPr>
          <w:p w14:paraId="7D4AB1CA" w14:textId="76E4E11E" w:rsidR="00DA35C5" w:rsidRPr="006B42D6" w:rsidRDefault="00DA35C5" w:rsidP="00F121EE">
            <w:pPr>
              <w:jc w:val="left"/>
              <w:rPr>
                <w:sz w:val="16"/>
                <w:szCs w:val="16"/>
              </w:rPr>
            </w:pPr>
            <w:r w:rsidRPr="006B42D6">
              <w:rPr>
                <w:sz w:val="16"/>
                <w:szCs w:val="16"/>
              </w:rPr>
              <w:t>Shinyanga</w:t>
            </w:r>
          </w:p>
        </w:tc>
        <w:tc>
          <w:tcPr>
            <w:tcW w:w="670" w:type="pct"/>
            <w:tcBorders>
              <w:top w:val="nil"/>
              <w:bottom w:val="nil"/>
              <w:right w:val="nil"/>
            </w:tcBorders>
            <w:shd w:val="clear" w:color="auto" w:fill="auto"/>
            <w:noWrap/>
            <w:vAlign w:val="center"/>
            <w:hideMark/>
          </w:tcPr>
          <w:p w14:paraId="35939FEC" w14:textId="5919425A" w:rsidR="00DA35C5" w:rsidRPr="006B42D6" w:rsidRDefault="00DA35C5" w:rsidP="00F121EE">
            <w:pPr>
              <w:jc w:val="right"/>
              <w:rPr>
                <w:sz w:val="16"/>
                <w:szCs w:val="16"/>
              </w:rPr>
            </w:pPr>
            <w:r w:rsidRPr="006B42D6">
              <w:rPr>
                <w:sz w:val="16"/>
                <w:szCs w:val="16"/>
              </w:rPr>
              <w:t>15,331</w:t>
            </w:r>
          </w:p>
        </w:tc>
        <w:tc>
          <w:tcPr>
            <w:tcW w:w="689" w:type="pct"/>
            <w:tcBorders>
              <w:top w:val="nil"/>
              <w:left w:val="nil"/>
              <w:bottom w:val="nil"/>
              <w:right w:val="nil"/>
            </w:tcBorders>
            <w:shd w:val="clear" w:color="auto" w:fill="auto"/>
            <w:noWrap/>
            <w:vAlign w:val="center"/>
            <w:hideMark/>
          </w:tcPr>
          <w:p w14:paraId="7B6AFF37" w14:textId="365B7A0D" w:rsidR="00DA35C5" w:rsidRPr="006B42D6" w:rsidRDefault="00DA35C5" w:rsidP="00F121EE">
            <w:pPr>
              <w:jc w:val="right"/>
              <w:rPr>
                <w:sz w:val="16"/>
                <w:szCs w:val="16"/>
              </w:rPr>
            </w:pPr>
            <w:r w:rsidRPr="006B42D6">
              <w:rPr>
                <w:sz w:val="16"/>
                <w:szCs w:val="16"/>
              </w:rPr>
              <w:t>844</w:t>
            </w:r>
          </w:p>
        </w:tc>
        <w:tc>
          <w:tcPr>
            <w:tcW w:w="693" w:type="pct"/>
            <w:tcBorders>
              <w:top w:val="nil"/>
              <w:left w:val="nil"/>
              <w:bottom w:val="nil"/>
              <w:right w:val="nil"/>
            </w:tcBorders>
            <w:shd w:val="clear" w:color="auto" w:fill="auto"/>
            <w:noWrap/>
            <w:vAlign w:val="center"/>
            <w:hideMark/>
          </w:tcPr>
          <w:p w14:paraId="52CDE30E" w14:textId="5FDD1E67" w:rsidR="00DA35C5" w:rsidRPr="006B42D6" w:rsidRDefault="00DA35C5" w:rsidP="00F121EE">
            <w:pPr>
              <w:jc w:val="right"/>
              <w:rPr>
                <w:sz w:val="16"/>
                <w:szCs w:val="16"/>
              </w:rPr>
            </w:pPr>
            <w:r w:rsidRPr="006B42D6">
              <w:rPr>
                <w:sz w:val="16"/>
                <w:szCs w:val="16"/>
              </w:rPr>
              <w:t>1,525</w:t>
            </w:r>
          </w:p>
        </w:tc>
        <w:tc>
          <w:tcPr>
            <w:tcW w:w="693" w:type="pct"/>
            <w:tcBorders>
              <w:top w:val="nil"/>
              <w:left w:val="nil"/>
              <w:bottom w:val="nil"/>
              <w:right w:val="nil"/>
            </w:tcBorders>
            <w:shd w:val="clear" w:color="auto" w:fill="auto"/>
            <w:noWrap/>
            <w:vAlign w:val="center"/>
            <w:hideMark/>
          </w:tcPr>
          <w:p w14:paraId="3F8C7683" w14:textId="110C1994" w:rsidR="00DA35C5" w:rsidRPr="006B42D6" w:rsidRDefault="00DA35C5" w:rsidP="00F121EE">
            <w:pPr>
              <w:jc w:val="right"/>
              <w:rPr>
                <w:sz w:val="16"/>
                <w:szCs w:val="16"/>
              </w:rPr>
            </w:pPr>
            <w:r w:rsidRPr="006B42D6">
              <w:rPr>
                <w:sz w:val="16"/>
                <w:szCs w:val="16"/>
              </w:rPr>
              <w:t>91</w:t>
            </w:r>
          </w:p>
        </w:tc>
        <w:tc>
          <w:tcPr>
            <w:tcW w:w="693" w:type="pct"/>
            <w:tcBorders>
              <w:top w:val="nil"/>
              <w:left w:val="nil"/>
              <w:bottom w:val="nil"/>
              <w:right w:val="nil"/>
            </w:tcBorders>
            <w:shd w:val="clear" w:color="auto" w:fill="auto"/>
            <w:noWrap/>
            <w:vAlign w:val="center"/>
            <w:hideMark/>
          </w:tcPr>
          <w:p w14:paraId="0AAB650C" w14:textId="1B75C1B3" w:rsidR="00DA35C5" w:rsidRPr="006B42D6" w:rsidRDefault="00DA35C5" w:rsidP="00F121EE">
            <w:pPr>
              <w:jc w:val="right"/>
              <w:rPr>
                <w:sz w:val="16"/>
                <w:szCs w:val="16"/>
              </w:rPr>
            </w:pPr>
            <w:r w:rsidRPr="006B42D6">
              <w:rPr>
                <w:sz w:val="16"/>
                <w:szCs w:val="16"/>
              </w:rPr>
              <w:t>511</w:t>
            </w:r>
          </w:p>
        </w:tc>
        <w:tc>
          <w:tcPr>
            <w:tcW w:w="695" w:type="pct"/>
            <w:tcBorders>
              <w:top w:val="nil"/>
              <w:left w:val="nil"/>
              <w:bottom w:val="nil"/>
            </w:tcBorders>
            <w:shd w:val="clear" w:color="auto" w:fill="auto"/>
            <w:noWrap/>
            <w:vAlign w:val="center"/>
            <w:hideMark/>
          </w:tcPr>
          <w:p w14:paraId="6C502E96" w14:textId="55934F0D" w:rsidR="00DA35C5" w:rsidRPr="006B42D6" w:rsidRDefault="00DA35C5" w:rsidP="00F121EE">
            <w:pPr>
              <w:jc w:val="right"/>
              <w:rPr>
                <w:sz w:val="16"/>
                <w:szCs w:val="16"/>
              </w:rPr>
            </w:pPr>
            <w:r w:rsidRPr="006B42D6">
              <w:rPr>
                <w:sz w:val="16"/>
                <w:szCs w:val="16"/>
              </w:rPr>
              <w:t>2,340</w:t>
            </w:r>
          </w:p>
        </w:tc>
      </w:tr>
      <w:tr w:rsidR="006B42D6" w:rsidRPr="006B42D6" w14:paraId="60D61E46" w14:textId="77777777" w:rsidTr="00F62024">
        <w:trPr>
          <w:trHeight w:val="312"/>
          <w:jc w:val="center"/>
        </w:trPr>
        <w:tc>
          <w:tcPr>
            <w:tcW w:w="867" w:type="pct"/>
            <w:tcBorders>
              <w:top w:val="nil"/>
              <w:left w:val="nil"/>
              <w:bottom w:val="nil"/>
            </w:tcBorders>
            <w:shd w:val="clear" w:color="auto" w:fill="auto"/>
            <w:noWrap/>
            <w:vAlign w:val="center"/>
            <w:hideMark/>
          </w:tcPr>
          <w:p w14:paraId="46427A2D" w14:textId="3C4B40DD" w:rsidR="00DA35C5" w:rsidRPr="006B42D6" w:rsidRDefault="00DA35C5" w:rsidP="00F121EE">
            <w:pPr>
              <w:jc w:val="left"/>
              <w:rPr>
                <w:sz w:val="16"/>
                <w:szCs w:val="16"/>
              </w:rPr>
            </w:pPr>
            <w:r w:rsidRPr="006B42D6">
              <w:rPr>
                <w:sz w:val="16"/>
                <w:szCs w:val="16"/>
              </w:rPr>
              <w:t>Kagera</w:t>
            </w:r>
          </w:p>
        </w:tc>
        <w:tc>
          <w:tcPr>
            <w:tcW w:w="670" w:type="pct"/>
            <w:tcBorders>
              <w:top w:val="nil"/>
              <w:bottom w:val="nil"/>
              <w:right w:val="nil"/>
            </w:tcBorders>
            <w:shd w:val="clear" w:color="auto" w:fill="auto"/>
            <w:noWrap/>
            <w:vAlign w:val="center"/>
            <w:hideMark/>
          </w:tcPr>
          <w:p w14:paraId="7F55F9B1" w14:textId="04874BD5" w:rsidR="00DA35C5" w:rsidRPr="006B42D6" w:rsidRDefault="00DA35C5" w:rsidP="00F121EE">
            <w:pPr>
              <w:jc w:val="right"/>
              <w:rPr>
                <w:sz w:val="16"/>
                <w:szCs w:val="16"/>
              </w:rPr>
            </w:pPr>
            <w:r w:rsidRPr="006B42D6">
              <w:rPr>
                <w:sz w:val="16"/>
                <w:szCs w:val="16"/>
              </w:rPr>
              <w:t>11,157</w:t>
            </w:r>
          </w:p>
        </w:tc>
        <w:tc>
          <w:tcPr>
            <w:tcW w:w="689" w:type="pct"/>
            <w:tcBorders>
              <w:top w:val="nil"/>
              <w:left w:val="nil"/>
              <w:bottom w:val="nil"/>
              <w:right w:val="nil"/>
            </w:tcBorders>
            <w:shd w:val="clear" w:color="auto" w:fill="auto"/>
            <w:noWrap/>
            <w:vAlign w:val="center"/>
            <w:hideMark/>
          </w:tcPr>
          <w:p w14:paraId="20590A57" w14:textId="017554F5" w:rsidR="00DA35C5" w:rsidRPr="006B42D6" w:rsidRDefault="00DA35C5" w:rsidP="00F121EE">
            <w:pPr>
              <w:jc w:val="right"/>
              <w:rPr>
                <w:sz w:val="16"/>
                <w:szCs w:val="16"/>
              </w:rPr>
            </w:pPr>
            <w:r w:rsidRPr="006B42D6">
              <w:rPr>
                <w:sz w:val="16"/>
                <w:szCs w:val="16"/>
              </w:rPr>
              <w:t>50</w:t>
            </w:r>
          </w:p>
        </w:tc>
        <w:tc>
          <w:tcPr>
            <w:tcW w:w="693" w:type="pct"/>
            <w:tcBorders>
              <w:top w:val="nil"/>
              <w:left w:val="nil"/>
              <w:bottom w:val="nil"/>
              <w:right w:val="nil"/>
            </w:tcBorders>
            <w:shd w:val="clear" w:color="auto" w:fill="auto"/>
            <w:noWrap/>
            <w:vAlign w:val="center"/>
            <w:hideMark/>
          </w:tcPr>
          <w:p w14:paraId="12EE7C02" w14:textId="3FF20D60" w:rsidR="00DA35C5" w:rsidRPr="006B42D6" w:rsidRDefault="00DA35C5" w:rsidP="00F121EE">
            <w:pPr>
              <w:jc w:val="right"/>
              <w:rPr>
                <w:sz w:val="16"/>
                <w:szCs w:val="16"/>
              </w:rPr>
            </w:pPr>
            <w:r w:rsidRPr="006B42D6">
              <w:rPr>
                <w:sz w:val="16"/>
                <w:szCs w:val="16"/>
              </w:rPr>
              <w:t>62,685</w:t>
            </w:r>
          </w:p>
        </w:tc>
        <w:tc>
          <w:tcPr>
            <w:tcW w:w="693" w:type="pct"/>
            <w:tcBorders>
              <w:top w:val="nil"/>
              <w:left w:val="nil"/>
              <w:bottom w:val="nil"/>
              <w:right w:val="nil"/>
            </w:tcBorders>
            <w:shd w:val="clear" w:color="auto" w:fill="auto"/>
            <w:noWrap/>
            <w:vAlign w:val="center"/>
            <w:hideMark/>
          </w:tcPr>
          <w:p w14:paraId="62180861" w14:textId="1CF47419" w:rsidR="00DA35C5" w:rsidRPr="006B42D6" w:rsidRDefault="00DA35C5" w:rsidP="00F121EE">
            <w:pPr>
              <w:jc w:val="right"/>
              <w:rPr>
                <w:sz w:val="16"/>
                <w:szCs w:val="16"/>
              </w:rPr>
            </w:pPr>
            <w:r w:rsidRPr="006B42D6">
              <w:rPr>
                <w:sz w:val="16"/>
                <w:szCs w:val="16"/>
              </w:rPr>
              <w:t>147</w:t>
            </w:r>
          </w:p>
        </w:tc>
        <w:tc>
          <w:tcPr>
            <w:tcW w:w="693" w:type="pct"/>
            <w:tcBorders>
              <w:top w:val="nil"/>
              <w:left w:val="nil"/>
              <w:bottom w:val="nil"/>
              <w:right w:val="nil"/>
            </w:tcBorders>
            <w:shd w:val="clear" w:color="auto" w:fill="auto"/>
            <w:noWrap/>
            <w:vAlign w:val="center"/>
            <w:hideMark/>
          </w:tcPr>
          <w:p w14:paraId="4F065F28" w14:textId="25E7D79A" w:rsidR="00DA35C5" w:rsidRPr="006B42D6" w:rsidRDefault="00DA35C5" w:rsidP="00F121EE">
            <w:pPr>
              <w:jc w:val="right"/>
              <w:rPr>
                <w:sz w:val="16"/>
                <w:szCs w:val="16"/>
              </w:rPr>
            </w:pPr>
            <w:r w:rsidRPr="006B42D6">
              <w:rPr>
                <w:sz w:val="16"/>
                <w:szCs w:val="16"/>
              </w:rPr>
              <w:t>28</w:t>
            </w:r>
          </w:p>
        </w:tc>
        <w:tc>
          <w:tcPr>
            <w:tcW w:w="695" w:type="pct"/>
            <w:tcBorders>
              <w:top w:val="nil"/>
              <w:left w:val="nil"/>
              <w:bottom w:val="nil"/>
            </w:tcBorders>
            <w:shd w:val="clear" w:color="auto" w:fill="auto"/>
            <w:noWrap/>
            <w:vAlign w:val="center"/>
            <w:hideMark/>
          </w:tcPr>
          <w:p w14:paraId="427D6D47" w14:textId="1EBF0002" w:rsidR="00DA35C5" w:rsidRPr="006B42D6" w:rsidRDefault="00DA35C5" w:rsidP="00F121EE">
            <w:pPr>
              <w:jc w:val="right"/>
              <w:rPr>
                <w:sz w:val="16"/>
                <w:szCs w:val="16"/>
              </w:rPr>
            </w:pPr>
            <w:r w:rsidRPr="006B42D6">
              <w:rPr>
                <w:sz w:val="16"/>
                <w:szCs w:val="16"/>
              </w:rPr>
              <w:t>495</w:t>
            </w:r>
          </w:p>
        </w:tc>
      </w:tr>
      <w:tr w:rsidR="006B42D6" w:rsidRPr="006B42D6" w14:paraId="291D3FD6" w14:textId="77777777" w:rsidTr="00F62024">
        <w:trPr>
          <w:trHeight w:val="312"/>
          <w:jc w:val="center"/>
        </w:trPr>
        <w:tc>
          <w:tcPr>
            <w:tcW w:w="867" w:type="pct"/>
            <w:tcBorders>
              <w:top w:val="nil"/>
              <w:left w:val="nil"/>
              <w:bottom w:val="nil"/>
            </w:tcBorders>
            <w:shd w:val="clear" w:color="auto" w:fill="auto"/>
            <w:noWrap/>
            <w:vAlign w:val="center"/>
            <w:hideMark/>
          </w:tcPr>
          <w:p w14:paraId="11544956" w14:textId="7445C5A5" w:rsidR="00DA35C5" w:rsidRPr="006B42D6" w:rsidRDefault="00DA35C5" w:rsidP="00F121EE">
            <w:pPr>
              <w:jc w:val="left"/>
              <w:rPr>
                <w:sz w:val="16"/>
                <w:szCs w:val="16"/>
              </w:rPr>
            </w:pPr>
            <w:r w:rsidRPr="006B42D6">
              <w:rPr>
                <w:sz w:val="16"/>
                <w:szCs w:val="16"/>
              </w:rPr>
              <w:t>Mwanza</w:t>
            </w:r>
          </w:p>
        </w:tc>
        <w:tc>
          <w:tcPr>
            <w:tcW w:w="670" w:type="pct"/>
            <w:tcBorders>
              <w:top w:val="nil"/>
              <w:bottom w:val="nil"/>
              <w:right w:val="nil"/>
            </w:tcBorders>
            <w:shd w:val="clear" w:color="auto" w:fill="auto"/>
            <w:noWrap/>
            <w:vAlign w:val="center"/>
            <w:hideMark/>
          </w:tcPr>
          <w:p w14:paraId="698E1CEA" w14:textId="077931E4" w:rsidR="00DA35C5" w:rsidRPr="006B42D6" w:rsidRDefault="00DA35C5" w:rsidP="00F121EE">
            <w:pPr>
              <w:jc w:val="right"/>
              <w:rPr>
                <w:sz w:val="16"/>
                <w:szCs w:val="16"/>
              </w:rPr>
            </w:pPr>
            <w:r w:rsidRPr="006B42D6">
              <w:rPr>
                <w:sz w:val="16"/>
                <w:szCs w:val="16"/>
              </w:rPr>
              <w:t>46,506</w:t>
            </w:r>
          </w:p>
        </w:tc>
        <w:tc>
          <w:tcPr>
            <w:tcW w:w="689" w:type="pct"/>
            <w:tcBorders>
              <w:top w:val="nil"/>
              <w:left w:val="nil"/>
              <w:bottom w:val="nil"/>
              <w:right w:val="nil"/>
            </w:tcBorders>
            <w:shd w:val="clear" w:color="auto" w:fill="auto"/>
            <w:noWrap/>
            <w:vAlign w:val="center"/>
            <w:hideMark/>
          </w:tcPr>
          <w:p w14:paraId="0BF83173" w14:textId="53C13F87" w:rsidR="00DA35C5" w:rsidRPr="006B42D6" w:rsidRDefault="00DA35C5" w:rsidP="00F121EE">
            <w:pPr>
              <w:jc w:val="right"/>
              <w:rPr>
                <w:sz w:val="16"/>
                <w:szCs w:val="16"/>
              </w:rPr>
            </w:pPr>
            <w:r w:rsidRPr="006B42D6">
              <w:rPr>
                <w:sz w:val="16"/>
                <w:szCs w:val="16"/>
              </w:rPr>
              <w:t>2,735</w:t>
            </w:r>
          </w:p>
        </w:tc>
        <w:tc>
          <w:tcPr>
            <w:tcW w:w="693" w:type="pct"/>
            <w:tcBorders>
              <w:top w:val="nil"/>
              <w:left w:val="nil"/>
              <w:bottom w:val="nil"/>
              <w:right w:val="nil"/>
            </w:tcBorders>
            <w:shd w:val="clear" w:color="auto" w:fill="auto"/>
            <w:noWrap/>
            <w:vAlign w:val="center"/>
            <w:hideMark/>
          </w:tcPr>
          <w:p w14:paraId="4B8DC698" w14:textId="505C9445" w:rsidR="00DA35C5" w:rsidRPr="006B42D6" w:rsidRDefault="00DA35C5" w:rsidP="00F121EE">
            <w:pPr>
              <w:jc w:val="right"/>
              <w:rPr>
                <w:sz w:val="16"/>
                <w:szCs w:val="16"/>
              </w:rPr>
            </w:pPr>
            <w:r w:rsidRPr="006B42D6">
              <w:rPr>
                <w:sz w:val="16"/>
                <w:szCs w:val="16"/>
              </w:rPr>
              <w:t>19,690</w:t>
            </w:r>
          </w:p>
        </w:tc>
        <w:tc>
          <w:tcPr>
            <w:tcW w:w="693" w:type="pct"/>
            <w:tcBorders>
              <w:top w:val="nil"/>
              <w:left w:val="nil"/>
              <w:bottom w:val="nil"/>
              <w:right w:val="nil"/>
            </w:tcBorders>
            <w:shd w:val="clear" w:color="auto" w:fill="auto"/>
            <w:noWrap/>
            <w:vAlign w:val="center"/>
            <w:hideMark/>
          </w:tcPr>
          <w:p w14:paraId="19088971" w14:textId="4365264C" w:rsidR="00DA35C5" w:rsidRPr="006B42D6" w:rsidRDefault="00DA35C5" w:rsidP="00F121EE">
            <w:pPr>
              <w:jc w:val="right"/>
              <w:rPr>
                <w:sz w:val="16"/>
                <w:szCs w:val="16"/>
              </w:rPr>
            </w:pPr>
            <w:r w:rsidRPr="006B42D6">
              <w:rPr>
                <w:sz w:val="16"/>
                <w:szCs w:val="16"/>
              </w:rPr>
              <w:t>250</w:t>
            </w:r>
          </w:p>
        </w:tc>
        <w:tc>
          <w:tcPr>
            <w:tcW w:w="693" w:type="pct"/>
            <w:tcBorders>
              <w:top w:val="nil"/>
              <w:left w:val="nil"/>
              <w:bottom w:val="nil"/>
              <w:right w:val="nil"/>
            </w:tcBorders>
            <w:shd w:val="clear" w:color="auto" w:fill="auto"/>
            <w:noWrap/>
            <w:vAlign w:val="center"/>
            <w:hideMark/>
          </w:tcPr>
          <w:p w14:paraId="778D6DD1" w14:textId="7B7EE2F3" w:rsidR="00DA35C5" w:rsidRPr="006B42D6" w:rsidRDefault="00DA35C5" w:rsidP="00F121EE">
            <w:pPr>
              <w:jc w:val="right"/>
              <w:rPr>
                <w:sz w:val="16"/>
                <w:szCs w:val="16"/>
              </w:rPr>
            </w:pPr>
            <w:r w:rsidRPr="006B42D6">
              <w:rPr>
                <w:sz w:val="16"/>
                <w:szCs w:val="16"/>
              </w:rPr>
              <w:t>817</w:t>
            </w:r>
          </w:p>
        </w:tc>
        <w:tc>
          <w:tcPr>
            <w:tcW w:w="695" w:type="pct"/>
            <w:tcBorders>
              <w:top w:val="nil"/>
              <w:left w:val="nil"/>
              <w:bottom w:val="nil"/>
            </w:tcBorders>
            <w:shd w:val="clear" w:color="auto" w:fill="auto"/>
            <w:noWrap/>
            <w:vAlign w:val="center"/>
            <w:hideMark/>
          </w:tcPr>
          <w:p w14:paraId="07BAECDB" w14:textId="1170C9A5" w:rsidR="00DA35C5" w:rsidRPr="006B42D6" w:rsidRDefault="00DA35C5" w:rsidP="00F121EE">
            <w:pPr>
              <w:jc w:val="right"/>
              <w:rPr>
                <w:sz w:val="16"/>
                <w:szCs w:val="16"/>
              </w:rPr>
            </w:pPr>
            <w:r w:rsidRPr="006B42D6">
              <w:rPr>
                <w:sz w:val="16"/>
                <w:szCs w:val="16"/>
              </w:rPr>
              <w:t>9,504</w:t>
            </w:r>
          </w:p>
        </w:tc>
      </w:tr>
      <w:tr w:rsidR="006B42D6" w:rsidRPr="006B42D6" w14:paraId="25A2E652" w14:textId="77777777" w:rsidTr="00F62024">
        <w:trPr>
          <w:trHeight w:val="312"/>
          <w:jc w:val="center"/>
        </w:trPr>
        <w:tc>
          <w:tcPr>
            <w:tcW w:w="867" w:type="pct"/>
            <w:tcBorders>
              <w:top w:val="nil"/>
              <w:left w:val="nil"/>
              <w:bottom w:val="nil"/>
            </w:tcBorders>
            <w:shd w:val="clear" w:color="auto" w:fill="auto"/>
            <w:noWrap/>
            <w:vAlign w:val="center"/>
            <w:hideMark/>
          </w:tcPr>
          <w:p w14:paraId="6226CA02" w14:textId="598D3CE9" w:rsidR="00DA35C5" w:rsidRPr="006B42D6" w:rsidRDefault="00DA35C5" w:rsidP="00F121EE">
            <w:pPr>
              <w:jc w:val="left"/>
              <w:rPr>
                <w:sz w:val="16"/>
                <w:szCs w:val="16"/>
              </w:rPr>
            </w:pPr>
            <w:r w:rsidRPr="006B42D6">
              <w:rPr>
                <w:sz w:val="16"/>
                <w:szCs w:val="16"/>
              </w:rPr>
              <w:t>Mara</w:t>
            </w:r>
          </w:p>
        </w:tc>
        <w:tc>
          <w:tcPr>
            <w:tcW w:w="670" w:type="pct"/>
            <w:tcBorders>
              <w:top w:val="nil"/>
              <w:bottom w:val="nil"/>
              <w:right w:val="nil"/>
            </w:tcBorders>
            <w:shd w:val="clear" w:color="auto" w:fill="auto"/>
            <w:noWrap/>
            <w:vAlign w:val="center"/>
            <w:hideMark/>
          </w:tcPr>
          <w:p w14:paraId="0520A3B2" w14:textId="719CF2A3" w:rsidR="00DA35C5" w:rsidRPr="006B42D6" w:rsidRDefault="00DA35C5" w:rsidP="00F121EE">
            <w:pPr>
              <w:jc w:val="right"/>
              <w:rPr>
                <w:sz w:val="16"/>
                <w:szCs w:val="16"/>
              </w:rPr>
            </w:pPr>
            <w:r w:rsidRPr="006B42D6">
              <w:rPr>
                <w:sz w:val="16"/>
                <w:szCs w:val="16"/>
              </w:rPr>
              <w:t>942</w:t>
            </w:r>
          </w:p>
        </w:tc>
        <w:tc>
          <w:tcPr>
            <w:tcW w:w="689" w:type="pct"/>
            <w:tcBorders>
              <w:top w:val="nil"/>
              <w:left w:val="nil"/>
              <w:bottom w:val="nil"/>
              <w:right w:val="nil"/>
            </w:tcBorders>
            <w:shd w:val="clear" w:color="auto" w:fill="auto"/>
            <w:noWrap/>
            <w:vAlign w:val="center"/>
            <w:hideMark/>
          </w:tcPr>
          <w:p w14:paraId="50348588" w14:textId="2509E997" w:rsidR="00DA35C5" w:rsidRPr="006B42D6" w:rsidRDefault="00DA35C5" w:rsidP="00F121EE">
            <w:pPr>
              <w:jc w:val="right"/>
              <w:rPr>
                <w:sz w:val="16"/>
                <w:szCs w:val="16"/>
              </w:rPr>
            </w:pPr>
            <w:r w:rsidRPr="006B42D6">
              <w:rPr>
                <w:sz w:val="16"/>
                <w:szCs w:val="16"/>
              </w:rPr>
              <w:t>75</w:t>
            </w:r>
          </w:p>
        </w:tc>
        <w:tc>
          <w:tcPr>
            <w:tcW w:w="693" w:type="pct"/>
            <w:tcBorders>
              <w:top w:val="nil"/>
              <w:left w:val="nil"/>
              <w:bottom w:val="nil"/>
              <w:right w:val="nil"/>
            </w:tcBorders>
            <w:shd w:val="clear" w:color="auto" w:fill="auto"/>
            <w:noWrap/>
            <w:vAlign w:val="center"/>
            <w:hideMark/>
          </w:tcPr>
          <w:p w14:paraId="09F39025" w14:textId="75DFF942" w:rsidR="00DA35C5" w:rsidRPr="006B42D6" w:rsidRDefault="00DA35C5" w:rsidP="00F121EE">
            <w:pPr>
              <w:jc w:val="right"/>
              <w:rPr>
                <w:sz w:val="16"/>
                <w:szCs w:val="16"/>
              </w:rPr>
            </w:pPr>
            <w:r w:rsidRPr="006B42D6">
              <w:rPr>
                <w:sz w:val="16"/>
                <w:szCs w:val="16"/>
              </w:rPr>
              <w:t>2,068</w:t>
            </w:r>
          </w:p>
        </w:tc>
        <w:tc>
          <w:tcPr>
            <w:tcW w:w="693" w:type="pct"/>
            <w:tcBorders>
              <w:top w:val="nil"/>
              <w:left w:val="nil"/>
              <w:bottom w:val="nil"/>
              <w:right w:val="nil"/>
            </w:tcBorders>
            <w:shd w:val="clear" w:color="auto" w:fill="auto"/>
            <w:noWrap/>
            <w:vAlign w:val="center"/>
            <w:hideMark/>
          </w:tcPr>
          <w:p w14:paraId="5FED97D5" w14:textId="061FF492" w:rsidR="00DA35C5" w:rsidRPr="006B42D6" w:rsidRDefault="00DA35C5" w:rsidP="00F121EE">
            <w:pPr>
              <w:jc w:val="right"/>
              <w:rPr>
                <w:sz w:val="16"/>
                <w:szCs w:val="16"/>
              </w:rPr>
            </w:pPr>
            <w:r w:rsidRPr="006B42D6">
              <w:rPr>
                <w:sz w:val="16"/>
                <w:szCs w:val="16"/>
              </w:rPr>
              <w:t>172</w:t>
            </w:r>
          </w:p>
        </w:tc>
        <w:tc>
          <w:tcPr>
            <w:tcW w:w="693" w:type="pct"/>
            <w:tcBorders>
              <w:top w:val="nil"/>
              <w:left w:val="nil"/>
              <w:bottom w:val="nil"/>
              <w:right w:val="nil"/>
            </w:tcBorders>
            <w:shd w:val="clear" w:color="auto" w:fill="auto"/>
            <w:noWrap/>
            <w:vAlign w:val="center"/>
            <w:hideMark/>
          </w:tcPr>
          <w:p w14:paraId="38E6AFA7" w14:textId="08ACAB1B" w:rsidR="00DA35C5" w:rsidRPr="006B42D6" w:rsidRDefault="00DA35C5" w:rsidP="00F121EE">
            <w:pPr>
              <w:jc w:val="right"/>
              <w:rPr>
                <w:sz w:val="16"/>
                <w:szCs w:val="16"/>
              </w:rPr>
            </w:pPr>
            <w:r w:rsidRPr="006B42D6">
              <w:rPr>
                <w:sz w:val="16"/>
                <w:szCs w:val="16"/>
              </w:rPr>
              <w:t>187</w:t>
            </w:r>
          </w:p>
        </w:tc>
        <w:tc>
          <w:tcPr>
            <w:tcW w:w="695" w:type="pct"/>
            <w:tcBorders>
              <w:top w:val="nil"/>
              <w:left w:val="nil"/>
              <w:bottom w:val="nil"/>
            </w:tcBorders>
            <w:shd w:val="clear" w:color="auto" w:fill="auto"/>
            <w:noWrap/>
            <w:vAlign w:val="center"/>
            <w:hideMark/>
          </w:tcPr>
          <w:p w14:paraId="04ED7B61" w14:textId="4C35BE3C" w:rsidR="00DA35C5" w:rsidRPr="006B42D6" w:rsidRDefault="00DA35C5" w:rsidP="00F121EE">
            <w:pPr>
              <w:jc w:val="right"/>
              <w:rPr>
                <w:sz w:val="16"/>
                <w:szCs w:val="16"/>
              </w:rPr>
            </w:pPr>
            <w:r w:rsidRPr="006B42D6">
              <w:rPr>
                <w:sz w:val="16"/>
                <w:szCs w:val="16"/>
              </w:rPr>
              <w:t>2,945</w:t>
            </w:r>
          </w:p>
        </w:tc>
      </w:tr>
      <w:tr w:rsidR="006B42D6" w:rsidRPr="006B42D6" w14:paraId="1A480BFB" w14:textId="77777777" w:rsidTr="00F62024">
        <w:trPr>
          <w:trHeight w:val="312"/>
          <w:jc w:val="center"/>
        </w:trPr>
        <w:tc>
          <w:tcPr>
            <w:tcW w:w="867" w:type="pct"/>
            <w:tcBorders>
              <w:top w:val="nil"/>
              <w:left w:val="nil"/>
              <w:bottom w:val="nil"/>
            </w:tcBorders>
            <w:shd w:val="clear" w:color="auto" w:fill="auto"/>
            <w:noWrap/>
            <w:vAlign w:val="center"/>
            <w:hideMark/>
          </w:tcPr>
          <w:p w14:paraId="756AA676" w14:textId="6B1DDE17" w:rsidR="00DA35C5" w:rsidRPr="006B42D6" w:rsidRDefault="00DA35C5" w:rsidP="00F121EE">
            <w:pPr>
              <w:jc w:val="left"/>
              <w:rPr>
                <w:sz w:val="16"/>
                <w:szCs w:val="16"/>
              </w:rPr>
            </w:pPr>
            <w:r w:rsidRPr="006B42D6">
              <w:rPr>
                <w:sz w:val="16"/>
                <w:szCs w:val="16"/>
              </w:rPr>
              <w:t>Manyara</w:t>
            </w:r>
          </w:p>
        </w:tc>
        <w:tc>
          <w:tcPr>
            <w:tcW w:w="670" w:type="pct"/>
            <w:tcBorders>
              <w:top w:val="nil"/>
              <w:bottom w:val="nil"/>
              <w:right w:val="nil"/>
            </w:tcBorders>
            <w:shd w:val="clear" w:color="auto" w:fill="auto"/>
            <w:noWrap/>
            <w:vAlign w:val="center"/>
            <w:hideMark/>
          </w:tcPr>
          <w:p w14:paraId="1780F26F" w14:textId="73D5BAA3" w:rsidR="00DA35C5" w:rsidRPr="006B42D6" w:rsidRDefault="00DA35C5" w:rsidP="00F121EE">
            <w:pPr>
              <w:jc w:val="right"/>
              <w:rPr>
                <w:sz w:val="16"/>
                <w:szCs w:val="16"/>
              </w:rPr>
            </w:pPr>
            <w:r w:rsidRPr="006B42D6">
              <w:rPr>
                <w:sz w:val="16"/>
                <w:szCs w:val="16"/>
              </w:rPr>
              <w:t>1,027</w:t>
            </w:r>
          </w:p>
        </w:tc>
        <w:tc>
          <w:tcPr>
            <w:tcW w:w="689" w:type="pct"/>
            <w:tcBorders>
              <w:top w:val="nil"/>
              <w:left w:val="nil"/>
              <w:bottom w:val="nil"/>
              <w:right w:val="nil"/>
            </w:tcBorders>
            <w:shd w:val="clear" w:color="auto" w:fill="auto"/>
            <w:noWrap/>
            <w:vAlign w:val="center"/>
            <w:hideMark/>
          </w:tcPr>
          <w:p w14:paraId="48E13FA6" w14:textId="06837A63" w:rsidR="00DA35C5" w:rsidRPr="006B42D6" w:rsidRDefault="00DA35C5" w:rsidP="00F121EE">
            <w:pPr>
              <w:jc w:val="right"/>
              <w:rPr>
                <w:sz w:val="16"/>
                <w:szCs w:val="16"/>
              </w:rPr>
            </w:pPr>
            <w:r w:rsidRPr="006B42D6">
              <w:rPr>
                <w:sz w:val="16"/>
                <w:szCs w:val="16"/>
              </w:rPr>
              <w:t>15</w:t>
            </w:r>
          </w:p>
        </w:tc>
        <w:tc>
          <w:tcPr>
            <w:tcW w:w="693" w:type="pct"/>
            <w:tcBorders>
              <w:top w:val="nil"/>
              <w:left w:val="nil"/>
              <w:bottom w:val="nil"/>
              <w:right w:val="nil"/>
            </w:tcBorders>
            <w:shd w:val="clear" w:color="auto" w:fill="auto"/>
            <w:noWrap/>
            <w:vAlign w:val="center"/>
            <w:hideMark/>
          </w:tcPr>
          <w:p w14:paraId="0453AD68" w14:textId="3E6DF379" w:rsidR="00DA35C5" w:rsidRPr="006B42D6" w:rsidRDefault="00DA35C5" w:rsidP="00F121EE">
            <w:pPr>
              <w:jc w:val="right"/>
              <w:rPr>
                <w:sz w:val="16"/>
                <w:szCs w:val="16"/>
              </w:rPr>
            </w:pPr>
            <w:r w:rsidRPr="006B42D6">
              <w:rPr>
                <w:sz w:val="16"/>
                <w:szCs w:val="16"/>
              </w:rPr>
              <w:t>-</w:t>
            </w:r>
          </w:p>
        </w:tc>
        <w:tc>
          <w:tcPr>
            <w:tcW w:w="693" w:type="pct"/>
            <w:tcBorders>
              <w:top w:val="nil"/>
              <w:left w:val="nil"/>
              <w:bottom w:val="nil"/>
              <w:right w:val="nil"/>
            </w:tcBorders>
            <w:shd w:val="clear" w:color="auto" w:fill="auto"/>
            <w:noWrap/>
            <w:vAlign w:val="center"/>
            <w:hideMark/>
          </w:tcPr>
          <w:p w14:paraId="19302A0D" w14:textId="0D0496CD" w:rsidR="00DA35C5" w:rsidRPr="006B42D6" w:rsidRDefault="00DA35C5" w:rsidP="00F121EE">
            <w:pPr>
              <w:jc w:val="right"/>
              <w:rPr>
                <w:sz w:val="16"/>
                <w:szCs w:val="16"/>
              </w:rPr>
            </w:pPr>
            <w:r w:rsidRPr="006B42D6">
              <w:rPr>
                <w:sz w:val="16"/>
                <w:szCs w:val="16"/>
              </w:rPr>
              <w:t>-</w:t>
            </w:r>
          </w:p>
        </w:tc>
        <w:tc>
          <w:tcPr>
            <w:tcW w:w="693" w:type="pct"/>
            <w:tcBorders>
              <w:top w:val="nil"/>
              <w:left w:val="nil"/>
              <w:bottom w:val="nil"/>
              <w:right w:val="nil"/>
            </w:tcBorders>
            <w:shd w:val="clear" w:color="auto" w:fill="auto"/>
            <w:noWrap/>
            <w:vAlign w:val="center"/>
            <w:hideMark/>
          </w:tcPr>
          <w:p w14:paraId="67CA0232" w14:textId="7244D488" w:rsidR="00DA35C5" w:rsidRPr="006B42D6" w:rsidRDefault="00DA35C5" w:rsidP="00F121EE">
            <w:pPr>
              <w:jc w:val="right"/>
              <w:rPr>
                <w:sz w:val="16"/>
                <w:szCs w:val="16"/>
              </w:rPr>
            </w:pPr>
            <w:r w:rsidRPr="006B42D6">
              <w:rPr>
                <w:sz w:val="16"/>
                <w:szCs w:val="16"/>
              </w:rPr>
              <w:t>-</w:t>
            </w:r>
          </w:p>
        </w:tc>
        <w:tc>
          <w:tcPr>
            <w:tcW w:w="695" w:type="pct"/>
            <w:tcBorders>
              <w:top w:val="nil"/>
              <w:left w:val="nil"/>
              <w:bottom w:val="nil"/>
            </w:tcBorders>
            <w:shd w:val="clear" w:color="auto" w:fill="auto"/>
            <w:noWrap/>
            <w:vAlign w:val="center"/>
            <w:hideMark/>
          </w:tcPr>
          <w:p w14:paraId="4BC33153" w14:textId="1D5BB8E4" w:rsidR="00DA35C5" w:rsidRPr="006B42D6" w:rsidRDefault="00DA35C5" w:rsidP="00F121EE">
            <w:pPr>
              <w:jc w:val="right"/>
              <w:rPr>
                <w:sz w:val="16"/>
                <w:szCs w:val="16"/>
              </w:rPr>
            </w:pPr>
            <w:r w:rsidRPr="006B42D6">
              <w:rPr>
                <w:sz w:val="16"/>
                <w:szCs w:val="16"/>
              </w:rPr>
              <w:t>-</w:t>
            </w:r>
          </w:p>
        </w:tc>
      </w:tr>
      <w:tr w:rsidR="006B42D6" w:rsidRPr="006B42D6" w14:paraId="125E6D68" w14:textId="77777777" w:rsidTr="00F62024">
        <w:trPr>
          <w:trHeight w:val="312"/>
          <w:jc w:val="center"/>
        </w:trPr>
        <w:tc>
          <w:tcPr>
            <w:tcW w:w="867" w:type="pct"/>
            <w:tcBorders>
              <w:top w:val="nil"/>
              <w:left w:val="nil"/>
              <w:bottom w:val="nil"/>
            </w:tcBorders>
            <w:shd w:val="clear" w:color="auto" w:fill="auto"/>
            <w:noWrap/>
            <w:vAlign w:val="center"/>
            <w:hideMark/>
          </w:tcPr>
          <w:p w14:paraId="590052F4" w14:textId="25451277" w:rsidR="00DA35C5" w:rsidRPr="006B42D6" w:rsidRDefault="00DA35C5" w:rsidP="00F121EE">
            <w:pPr>
              <w:jc w:val="left"/>
              <w:rPr>
                <w:sz w:val="16"/>
                <w:szCs w:val="16"/>
              </w:rPr>
            </w:pPr>
            <w:r w:rsidRPr="006B42D6">
              <w:rPr>
                <w:sz w:val="16"/>
                <w:szCs w:val="16"/>
              </w:rPr>
              <w:t>Njombe</w:t>
            </w:r>
          </w:p>
        </w:tc>
        <w:tc>
          <w:tcPr>
            <w:tcW w:w="670" w:type="pct"/>
            <w:tcBorders>
              <w:top w:val="nil"/>
              <w:bottom w:val="nil"/>
              <w:right w:val="nil"/>
            </w:tcBorders>
            <w:shd w:val="clear" w:color="auto" w:fill="auto"/>
            <w:noWrap/>
            <w:vAlign w:val="center"/>
            <w:hideMark/>
          </w:tcPr>
          <w:p w14:paraId="7C7B525F" w14:textId="7BF17FE0" w:rsidR="00DA35C5" w:rsidRPr="006B42D6" w:rsidRDefault="00DA35C5" w:rsidP="00F121EE">
            <w:pPr>
              <w:jc w:val="right"/>
              <w:rPr>
                <w:sz w:val="16"/>
                <w:szCs w:val="16"/>
              </w:rPr>
            </w:pPr>
            <w:r w:rsidRPr="006B42D6">
              <w:rPr>
                <w:sz w:val="16"/>
                <w:szCs w:val="16"/>
              </w:rPr>
              <w:t>1,208</w:t>
            </w:r>
          </w:p>
        </w:tc>
        <w:tc>
          <w:tcPr>
            <w:tcW w:w="689" w:type="pct"/>
            <w:tcBorders>
              <w:top w:val="nil"/>
              <w:left w:val="nil"/>
              <w:bottom w:val="nil"/>
              <w:right w:val="nil"/>
            </w:tcBorders>
            <w:shd w:val="clear" w:color="auto" w:fill="auto"/>
            <w:noWrap/>
            <w:vAlign w:val="center"/>
            <w:hideMark/>
          </w:tcPr>
          <w:p w14:paraId="221410C2" w14:textId="40440B7A" w:rsidR="00DA35C5" w:rsidRPr="006B42D6" w:rsidRDefault="00DA35C5" w:rsidP="00F121EE">
            <w:pPr>
              <w:jc w:val="right"/>
              <w:rPr>
                <w:sz w:val="16"/>
                <w:szCs w:val="16"/>
              </w:rPr>
            </w:pPr>
            <w:r w:rsidRPr="006B42D6">
              <w:rPr>
                <w:sz w:val="16"/>
                <w:szCs w:val="16"/>
              </w:rPr>
              <w:t>107</w:t>
            </w:r>
          </w:p>
        </w:tc>
        <w:tc>
          <w:tcPr>
            <w:tcW w:w="693" w:type="pct"/>
            <w:tcBorders>
              <w:top w:val="nil"/>
              <w:left w:val="nil"/>
              <w:bottom w:val="nil"/>
              <w:right w:val="nil"/>
            </w:tcBorders>
            <w:shd w:val="clear" w:color="auto" w:fill="auto"/>
            <w:noWrap/>
            <w:vAlign w:val="center"/>
            <w:hideMark/>
          </w:tcPr>
          <w:p w14:paraId="76D39AE5" w14:textId="7A6FF9C5" w:rsidR="00DA35C5" w:rsidRPr="006B42D6" w:rsidRDefault="00DA35C5" w:rsidP="00F121EE">
            <w:pPr>
              <w:jc w:val="right"/>
              <w:rPr>
                <w:sz w:val="16"/>
                <w:szCs w:val="16"/>
              </w:rPr>
            </w:pPr>
            <w:r w:rsidRPr="006B42D6">
              <w:rPr>
                <w:sz w:val="16"/>
                <w:szCs w:val="16"/>
              </w:rPr>
              <w:t>425</w:t>
            </w:r>
          </w:p>
        </w:tc>
        <w:tc>
          <w:tcPr>
            <w:tcW w:w="693" w:type="pct"/>
            <w:tcBorders>
              <w:top w:val="nil"/>
              <w:left w:val="nil"/>
              <w:bottom w:val="nil"/>
              <w:right w:val="nil"/>
            </w:tcBorders>
            <w:shd w:val="clear" w:color="auto" w:fill="auto"/>
            <w:noWrap/>
            <w:vAlign w:val="center"/>
            <w:hideMark/>
          </w:tcPr>
          <w:p w14:paraId="2EEA3AC7" w14:textId="5DEEDFBE" w:rsidR="00DA35C5" w:rsidRPr="006B42D6" w:rsidRDefault="00DA35C5" w:rsidP="00F121EE">
            <w:pPr>
              <w:jc w:val="right"/>
              <w:rPr>
                <w:sz w:val="16"/>
                <w:szCs w:val="16"/>
              </w:rPr>
            </w:pPr>
            <w:r w:rsidRPr="006B42D6">
              <w:rPr>
                <w:sz w:val="16"/>
                <w:szCs w:val="16"/>
              </w:rPr>
              <w:t>0</w:t>
            </w:r>
          </w:p>
        </w:tc>
        <w:tc>
          <w:tcPr>
            <w:tcW w:w="693" w:type="pct"/>
            <w:tcBorders>
              <w:top w:val="nil"/>
              <w:left w:val="nil"/>
              <w:bottom w:val="nil"/>
              <w:right w:val="nil"/>
            </w:tcBorders>
            <w:shd w:val="clear" w:color="auto" w:fill="auto"/>
            <w:noWrap/>
            <w:vAlign w:val="center"/>
            <w:hideMark/>
          </w:tcPr>
          <w:p w14:paraId="6ADDBA3C" w14:textId="18D1A259" w:rsidR="00DA35C5" w:rsidRPr="006B42D6" w:rsidRDefault="00DA35C5" w:rsidP="00F121EE">
            <w:pPr>
              <w:jc w:val="right"/>
              <w:rPr>
                <w:sz w:val="16"/>
                <w:szCs w:val="16"/>
              </w:rPr>
            </w:pPr>
            <w:r w:rsidRPr="006B42D6">
              <w:rPr>
                <w:sz w:val="16"/>
                <w:szCs w:val="16"/>
              </w:rPr>
              <w:t>11</w:t>
            </w:r>
          </w:p>
        </w:tc>
        <w:tc>
          <w:tcPr>
            <w:tcW w:w="695" w:type="pct"/>
            <w:tcBorders>
              <w:top w:val="nil"/>
              <w:left w:val="nil"/>
              <w:bottom w:val="nil"/>
            </w:tcBorders>
            <w:shd w:val="clear" w:color="auto" w:fill="auto"/>
            <w:noWrap/>
            <w:vAlign w:val="center"/>
            <w:hideMark/>
          </w:tcPr>
          <w:p w14:paraId="573E76BF" w14:textId="6F4BF7D4" w:rsidR="00DA35C5" w:rsidRPr="006B42D6" w:rsidRDefault="00DA35C5" w:rsidP="00F121EE">
            <w:pPr>
              <w:jc w:val="right"/>
              <w:rPr>
                <w:sz w:val="16"/>
                <w:szCs w:val="16"/>
              </w:rPr>
            </w:pPr>
            <w:r w:rsidRPr="006B42D6">
              <w:rPr>
                <w:sz w:val="16"/>
                <w:szCs w:val="16"/>
              </w:rPr>
              <w:t>204</w:t>
            </w:r>
          </w:p>
        </w:tc>
      </w:tr>
      <w:tr w:rsidR="006B42D6" w:rsidRPr="006B42D6" w14:paraId="198C4410" w14:textId="77777777" w:rsidTr="00F62024">
        <w:trPr>
          <w:trHeight w:val="312"/>
          <w:jc w:val="center"/>
        </w:trPr>
        <w:tc>
          <w:tcPr>
            <w:tcW w:w="867" w:type="pct"/>
            <w:tcBorders>
              <w:top w:val="nil"/>
              <w:left w:val="nil"/>
              <w:bottom w:val="nil"/>
            </w:tcBorders>
            <w:shd w:val="clear" w:color="auto" w:fill="auto"/>
            <w:noWrap/>
            <w:vAlign w:val="center"/>
            <w:hideMark/>
          </w:tcPr>
          <w:p w14:paraId="4B97F776" w14:textId="31F0C202" w:rsidR="00DA35C5" w:rsidRPr="006B42D6" w:rsidRDefault="00DA35C5" w:rsidP="00F121EE">
            <w:pPr>
              <w:jc w:val="left"/>
              <w:rPr>
                <w:sz w:val="16"/>
                <w:szCs w:val="16"/>
              </w:rPr>
            </w:pPr>
            <w:r w:rsidRPr="006B42D6">
              <w:rPr>
                <w:sz w:val="16"/>
                <w:szCs w:val="16"/>
              </w:rPr>
              <w:t>Katavi</w:t>
            </w:r>
          </w:p>
        </w:tc>
        <w:tc>
          <w:tcPr>
            <w:tcW w:w="670" w:type="pct"/>
            <w:tcBorders>
              <w:top w:val="nil"/>
              <w:bottom w:val="nil"/>
              <w:right w:val="nil"/>
            </w:tcBorders>
            <w:shd w:val="clear" w:color="auto" w:fill="auto"/>
            <w:noWrap/>
            <w:vAlign w:val="center"/>
            <w:hideMark/>
          </w:tcPr>
          <w:p w14:paraId="1FFD4B0D" w14:textId="5C554707" w:rsidR="00DA35C5" w:rsidRPr="006B42D6" w:rsidRDefault="00DA35C5" w:rsidP="00F121EE">
            <w:pPr>
              <w:jc w:val="right"/>
              <w:rPr>
                <w:sz w:val="16"/>
                <w:szCs w:val="16"/>
              </w:rPr>
            </w:pPr>
            <w:r w:rsidRPr="006B42D6">
              <w:rPr>
                <w:sz w:val="16"/>
                <w:szCs w:val="16"/>
              </w:rPr>
              <w:t>78</w:t>
            </w:r>
          </w:p>
        </w:tc>
        <w:tc>
          <w:tcPr>
            <w:tcW w:w="689" w:type="pct"/>
            <w:tcBorders>
              <w:top w:val="nil"/>
              <w:left w:val="nil"/>
              <w:bottom w:val="nil"/>
              <w:right w:val="nil"/>
            </w:tcBorders>
            <w:shd w:val="clear" w:color="auto" w:fill="auto"/>
            <w:noWrap/>
            <w:vAlign w:val="center"/>
            <w:hideMark/>
          </w:tcPr>
          <w:p w14:paraId="5334FBC0" w14:textId="70B3BFD8" w:rsidR="00DA35C5" w:rsidRPr="006B42D6" w:rsidRDefault="00DA35C5" w:rsidP="00F121EE">
            <w:pPr>
              <w:jc w:val="right"/>
              <w:rPr>
                <w:sz w:val="16"/>
                <w:szCs w:val="16"/>
              </w:rPr>
            </w:pPr>
            <w:r w:rsidRPr="006B42D6">
              <w:rPr>
                <w:sz w:val="16"/>
                <w:szCs w:val="16"/>
              </w:rPr>
              <w:t>16</w:t>
            </w:r>
          </w:p>
        </w:tc>
        <w:tc>
          <w:tcPr>
            <w:tcW w:w="693" w:type="pct"/>
            <w:tcBorders>
              <w:top w:val="nil"/>
              <w:left w:val="nil"/>
              <w:bottom w:val="nil"/>
              <w:right w:val="nil"/>
            </w:tcBorders>
            <w:shd w:val="clear" w:color="auto" w:fill="auto"/>
            <w:noWrap/>
            <w:vAlign w:val="center"/>
            <w:hideMark/>
          </w:tcPr>
          <w:p w14:paraId="32AAE046" w14:textId="6569BB4E" w:rsidR="00DA35C5" w:rsidRPr="006B42D6" w:rsidRDefault="00DA35C5" w:rsidP="00F121EE">
            <w:pPr>
              <w:jc w:val="right"/>
              <w:rPr>
                <w:sz w:val="16"/>
                <w:szCs w:val="16"/>
              </w:rPr>
            </w:pPr>
            <w:r w:rsidRPr="006B42D6">
              <w:rPr>
                <w:sz w:val="16"/>
                <w:szCs w:val="16"/>
              </w:rPr>
              <w:t>260</w:t>
            </w:r>
          </w:p>
        </w:tc>
        <w:tc>
          <w:tcPr>
            <w:tcW w:w="693" w:type="pct"/>
            <w:tcBorders>
              <w:top w:val="nil"/>
              <w:left w:val="nil"/>
              <w:bottom w:val="nil"/>
              <w:right w:val="nil"/>
            </w:tcBorders>
            <w:shd w:val="clear" w:color="auto" w:fill="auto"/>
            <w:noWrap/>
            <w:vAlign w:val="center"/>
            <w:hideMark/>
          </w:tcPr>
          <w:p w14:paraId="606AAA01" w14:textId="4F71F825" w:rsidR="00DA35C5" w:rsidRPr="006B42D6" w:rsidRDefault="00DA35C5" w:rsidP="00F121EE">
            <w:pPr>
              <w:jc w:val="right"/>
              <w:rPr>
                <w:sz w:val="16"/>
                <w:szCs w:val="16"/>
              </w:rPr>
            </w:pPr>
            <w:r w:rsidRPr="006B42D6">
              <w:rPr>
                <w:sz w:val="16"/>
                <w:szCs w:val="16"/>
              </w:rPr>
              <w:t>55</w:t>
            </w:r>
          </w:p>
        </w:tc>
        <w:tc>
          <w:tcPr>
            <w:tcW w:w="693" w:type="pct"/>
            <w:tcBorders>
              <w:top w:val="nil"/>
              <w:left w:val="nil"/>
              <w:bottom w:val="nil"/>
              <w:right w:val="nil"/>
            </w:tcBorders>
            <w:shd w:val="clear" w:color="auto" w:fill="auto"/>
            <w:noWrap/>
            <w:vAlign w:val="center"/>
            <w:hideMark/>
          </w:tcPr>
          <w:p w14:paraId="7708DAA0" w14:textId="36B177D7" w:rsidR="00DA35C5" w:rsidRPr="006B42D6" w:rsidRDefault="00DA35C5" w:rsidP="00F121EE">
            <w:pPr>
              <w:jc w:val="right"/>
              <w:rPr>
                <w:sz w:val="16"/>
                <w:szCs w:val="16"/>
              </w:rPr>
            </w:pPr>
            <w:r w:rsidRPr="006B42D6">
              <w:rPr>
                <w:sz w:val="16"/>
                <w:szCs w:val="16"/>
              </w:rPr>
              <w:t>16</w:t>
            </w:r>
          </w:p>
        </w:tc>
        <w:tc>
          <w:tcPr>
            <w:tcW w:w="695" w:type="pct"/>
            <w:tcBorders>
              <w:top w:val="nil"/>
              <w:left w:val="nil"/>
              <w:bottom w:val="nil"/>
            </w:tcBorders>
            <w:shd w:val="clear" w:color="auto" w:fill="auto"/>
            <w:noWrap/>
            <w:vAlign w:val="center"/>
            <w:hideMark/>
          </w:tcPr>
          <w:p w14:paraId="29B82C67" w14:textId="6902E033" w:rsidR="00DA35C5" w:rsidRPr="006B42D6" w:rsidRDefault="00DA35C5" w:rsidP="00F121EE">
            <w:pPr>
              <w:jc w:val="right"/>
              <w:rPr>
                <w:sz w:val="16"/>
                <w:szCs w:val="16"/>
              </w:rPr>
            </w:pPr>
            <w:r w:rsidRPr="006B42D6">
              <w:rPr>
                <w:sz w:val="16"/>
                <w:szCs w:val="16"/>
              </w:rPr>
              <w:t>556</w:t>
            </w:r>
          </w:p>
        </w:tc>
      </w:tr>
      <w:tr w:rsidR="006B42D6" w:rsidRPr="006B42D6" w14:paraId="426279F3" w14:textId="77777777" w:rsidTr="00F62024">
        <w:trPr>
          <w:trHeight w:val="312"/>
          <w:jc w:val="center"/>
        </w:trPr>
        <w:tc>
          <w:tcPr>
            <w:tcW w:w="867" w:type="pct"/>
            <w:tcBorders>
              <w:top w:val="nil"/>
              <w:left w:val="nil"/>
              <w:bottom w:val="nil"/>
            </w:tcBorders>
            <w:shd w:val="clear" w:color="auto" w:fill="auto"/>
            <w:noWrap/>
            <w:vAlign w:val="center"/>
            <w:hideMark/>
          </w:tcPr>
          <w:p w14:paraId="351BC8B8" w14:textId="11BF1B2B" w:rsidR="00DA35C5" w:rsidRPr="006B42D6" w:rsidRDefault="00DA35C5" w:rsidP="00F121EE">
            <w:pPr>
              <w:jc w:val="left"/>
              <w:rPr>
                <w:sz w:val="16"/>
                <w:szCs w:val="16"/>
              </w:rPr>
            </w:pPr>
            <w:r w:rsidRPr="006B42D6">
              <w:rPr>
                <w:sz w:val="16"/>
                <w:szCs w:val="16"/>
              </w:rPr>
              <w:t>Simiyu</w:t>
            </w:r>
          </w:p>
        </w:tc>
        <w:tc>
          <w:tcPr>
            <w:tcW w:w="670" w:type="pct"/>
            <w:tcBorders>
              <w:top w:val="nil"/>
              <w:bottom w:val="nil"/>
              <w:right w:val="nil"/>
            </w:tcBorders>
            <w:shd w:val="clear" w:color="auto" w:fill="auto"/>
            <w:noWrap/>
            <w:vAlign w:val="center"/>
            <w:hideMark/>
          </w:tcPr>
          <w:p w14:paraId="05F00973" w14:textId="2F9D656A" w:rsidR="00DA35C5" w:rsidRPr="006B42D6" w:rsidRDefault="00DA35C5" w:rsidP="00F121EE">
            <w:pPr>
              <w:jc w:val="right"/>
              <w:rPr>
                <w:sz w:val="16"/>
                <w:szCs w:val="16"/>
              </w:rPr>
            </w:pPr>
            <w:r w:rsidRPr="006B42D6">
              <w:rPr>
                <w:sz w:val="16"/>
                <w:szCs w:val="16"/>
              </w:rPr>
              <w:t>885</w:t>
            </w:r>
          </w:p>
        </w:tc>
        <w:tc>
          <w:tcPr>
            <w:tcW w:w="689" w:type="pct"/>
            <w:tcBorders>
              <w:top w:val="nil"/>
              <w:left w:val="nil"/>
              <w:bottom w:val="nil"/>
              <w:right w:val="nil"/>
            </w:tcBorders>
            <w:shd w:val="clear" w:color="auto" w:fill="auto"/>
            <w:noWrap/>
            <w:vAlign w:val="center"/>
            <w:hideMark/>
          </w:tcPr>
          <w:p w14:paraId="64A722A5" w14:textId="29A0609E" w:rsidR="00DA35C5" w:rsidRPr="006B42D6" w:rsidRDefault="00DA35C5" w:rsidP="00F121EE">
            <w:pPr>
              <w:jc w:val="right"/>
              <w:rPr>
                <w:sz w:val="16"/>
                <w:szCs w:val="16"/>
              </w:rPr>
            </w:pPr>
            <w:r w:rsidRPr="006B42D6">
              <w:rPr>
                <w:sz w:val="16"/>
                <w:szCs w:val="16"/>
              </w:rPr>
              <w:t>38</w:t>
            </w:r>
          </w:p>
        </w:tc>
        <w:tc>
          <w:tcPr>
            <w:tcW w:w="693" w:type="pct"/>
            <w:tcBorders>
              <w:top w:val="nil"/>
              <w:left w:val="nil"/>
              <w:bottom w:val="nil"/>
              <w:right w:val="nil"/>
            </w:tcBorders>
            <w:shd w:val="clear" w:color="auto" w:fill="auto"/>
            <w:noWrap/>
            <w:vAlign w:val="center"/>
            <w:hideMark/>
          </w:tcPr>
          <w:p w14:paraId="7AE8F1AC" w14:textId="1744D6F3" w:rsidR="00DA35C5" w:rsidRPr="006B42D6" w:rsidRDefault="00DA35C5" w:rsidP="00F121EE">
            <w:pPr>
              <w:jc w:val="right"/>
              <w:rPr>
                <w:sz w:val="16"/>
                <w:szCs w:val="16"/>
              </w:rPr>
            </w:pPr>
            <w:r w:rsidRPr="006B42D6">
              <w:rPr>
                <w:sz w:val="16"/>
                <w:szCs w:val="16"/>
              </w:rPr>
              <w:t>214</w:t>
            </w:r>
          </w:p>
        </w:tc>
        <w:tc>
          <w:tcPr>
            <w:tcW w:w="693" w:type="pct"/>
            <w:tcBorders>
              <w:top w:val="nil"/>
              <w:left w:val="nil"/>
              <w:bottom w:val="nil"/>
              <w:right w:val="nil"/>
            </w:tcBorders>
            <w:shd w:val="clear" w:color="auto" w:fill="auto"/>
            <w:noWrap/>
            <w:vAlign w:val="center"/>
            <w:hideMark/>
          </w:tcPr>
          <w:p w14:paraId="558C5C9A" w14:textId="0967551F" w:rsidR="00DA35C5" w:rsidRPr="006B42D6" w:rsidRDefault="00DA35C5" w:rsidP="00F121EE">
            <w:pPr>
              <w:jc w:val="right"/>
              <w:rPr>
                <w:sz w:val="16"/>
                <w:szCs w:val="16"/>
              </w:rPr>
            </w:pPr>
            <w:r w:rsidRPr="006B42D6">
              <w:rPr>
                <w:sz w:val="16"/>
                <w:szCs w:val="16"/>
              </w:rPr>
              <w:t>86</w:t>
            </w:r>
          </w:p>
        </w:tc>
        <w:tc>
          <w:tcPr>
            <w:tcW w:w="693" w:type="pct"/>
            <w:tcBorders>
              <w:top w:val="nil"/>
              <w:left w:val="nil"/>
              <w:bottom w:val="nil"/>
              <w:right w:val="nil"/>
            </w:tcBorders>
            <w:shd w:val="clear" w:color="auto" w:fill="auto"/>
            <w:noWrap/>
            <w:vAlign w:val="center"/>
            <w:hideMark/>
          </w:tcPr>
          <w:p w14:paraId="04C96960" w14:textId="1C4EA37A" w:rsidR="00DA35C5" w:rsidRPr="006B42D6" w:rsidRDefault="00DA35C5" w:rsidP="00F121EE">
            <w:pPr>
              <w:jc w:val="right"/>
              <w:rPr>
                <w:sz w:val="16"/>
                <w:szCs w:val="16"/>
              </w:rPr>
            </w:pPr>
            <w:r w:rsidRPr="006B42D6">
              <w:rPr>
                <w:sz w:val="16"/>
                <w:szCs w:val="16"/>
              </w:rPr>
              <w:t>10</w:t>
            </w:r>
          </w:p>
        </w:tc>
        <w:tc>
          <w:tcPr>
            <w:tcW w:w="695" w:type="pct"/>
            <w:tcBorders>
              <w:top w:val="nil"/>
              <w:left w:val="nil"/>
              <w:bottom w:val="nil"/>
            </w:tcBorders>
            <w:shd w:val="clear" w:color="auto" w:fill="auto"/>
            <w:noWrap/>
            <w:vAlign w:val="center"/>
            <w:hideMark/>
          </w:tcPr>
          <w:p w14:paraId="3DDC2ACB" w14:textId="788EF68E" w:rsidR="00DA35C5" w:rsidRPr="006B42D6" w:rsidRDefault="00DA35C5" w:rsidP="00F121EE">
            <w:pPr>
              <w:jc w:val="right"/>
              <w:rPr>
                <w:sz w:val="16"/>
                <w:szCs w:val="16"/>
              </w:rPr>
            </w:pPr>
            <w:r w:rsidRPr="006B42D6">
              <w:rPr>
                <w:sz w:val="16"/>
                <w:szCs w:val="16"/>
              </w:rPr>
              <w:t>183</w:t>
            </w:r>
          </w:p>
        </w:tc>
      </w:tr>
      <w:tr w:rsidR="006B42D6" w:rsidRPr="006B42D6" w14:paraId="4B861A6D" w14:textId="77777777" w:rsidTr="00F62024">
        <w:trPr>
          <w:trHeight w:val="312"/>
          <w:jc w:val="center"/>
        </w:trPr>
        <w:tc>
          <w:tcPr>
            <w:tcW w:w="867" w:type="pct"/>
            <w:tcBorders>
              <w:top w:val="nil"/>
              <w:left w:val="nil"/>
              <w:bottom w:val="nil"/>
            </w:tcBorders>
            <w:shd w:val="clear" w:color="auto" w:fill="auto"/>
            <w:noWrap/>
            <w:vAlign w:val="center"/>
            <w:hideMark/>
          </w:tcPr>
          <w:p w14:paraId="56ED2EB3" w14:textId="72C63D07" w:rsidR="00DA35C5" w:rsidRPr="006B42D6" w:rsidRDefault="00DA35C5" w:rsidP="00F121EE">
            <w:pPr>
              <w:jc w:val="left"/>
              <w:rPr>
                <w:sz w:val="16"/>
                <w:szCs w:val="16"/>
              </w:rPr>
            </w:pPr>
            <w:r w:rsidRPr="006B42D6">
              <w:rPr>
                <w:sz w:val="16"/>
                <w:szCs w:val="16"/>
              </w:rPr>
              <w:t>Geita</w:t>
            </w:r>
          </w:p>
        </w:tc>
        <w:tc>
          <w:tcPr>
            <w:tcW w:w="670" w:type="pct"/>
            <w:tcBorders>
              <w:top w:val="nil"/>
              <w:bottom w:val="nil"/>
              <w:right w:val="nil"/>
            </w:tcBorders>
            <w:shd w:val="clear" w:color="auto" w:fill="auto"/>
            <w:noWrap/>
            <w:vAlign w:val="center"/>
            <w:hideMark/>
          </w:tcPr>
          <w:p w14:paraId="6425778B" w14:textId="4BB5602A" w:rsidR="00DA35C5" w:rsidRPr="006B42D6" w:rsidRDefault="00DA35C5" w:rsidP="00F121EE">
            <w:pPr>
              <w:jc w:val="right"/>
              <w:rPr>
                <w:sz w:val="16"/>
                <w:szCs w:val="16"/>
              </w:rPr>
            </w:pPr>
            <w:r w:rsidRPr="006B42D6">
              <w:rPr>
                <w:sz w:val="16"/>
                <w:szCs w:val="16"/>
              </w:rPr>
              <w:t>9,555</w:t>
            </w:r>
          </w:p>
        </w:tc>
        <w:tc>
          <w:tcPr>
            <w:tcW w:w="689" w:type="pct"/>
            <w:tcBorders>
              <w:top w:val="nil"/>
              <w:left w:val="nil"/>
              <w:bottom w:val="nil"/>
              <w:right w:val="nil"/>
            </w:tcBorders>
            <w:shd w:val="clear" w:color="auto" w:fill="auto"/>
            <w:noWrap/>
            <w:vAlign w:val="center"/>
            <w:hideMark/>
          </w:tcPr>
          <w:p w14:paraId="0C680CA1" w14:textId="444C64EA" w:rsidR="00DA35C5" w:rsidRPr="006B42D6" w:rsidRDefault="00DA35C5" w:rsidP="00F121EE">
            <w:pPr>
              <w:jc w:val="right"/>
              <w:rPr>
                <w:sz w:val="16"/>
                <w:szCs w:val="16"/>
              </w:rPr>
            </w:pPr>
            <w:r w:rsidRPr="006B42D6">
              <w:rPr>
                <w:sz w:val="16"/>
                <w:szCs w:val="16"/>
              </w:rPr>
              <w:t>15,862</w:t>
            </w:r>
          </w:p>
        </w:tc>
        <w:tc>
          <w:tcPr>
            <w:tcW w:w="693" w:type="pct"/>
            <w:tcBorders>
              <w:top w:val="nil"/>
              <w:left w:val="nil"/>
              <w:bottom w:val="nil"/>
              <w:right w:val="nil"/>
            </w:tcBorders>
            <w:shd w:val="clear" w:color="auto" w:fill="auto"/>
            <w:noWrap/>
            <w:vAlign w:val="center"/>
            <w:hideMark/>
          </w:tcPr>
          <w:p w14:paraId="0EB93D01" w14:textId="3A50BA4E" w:rsidR="00DA35C5" w:rsidRPr="006B42D6" w:rsidRDefault="00DA35C5" w:rsidP="00F121EE">
            <w:pPr>
              <w:jc w:val="right"/>
              <w:rPr>
                <w:sz w:val="16"/>
                <w:szCs w:val="16"/>
              </w:rPr>
            </w:pPr>
            <w:r w:rsidRPr="006B42D6">
              <w:rPr>
                <w:sz w:val="16"/>
                <w:szCs w:val="16"/>
              </w:rPr>
              <w:t>20,780</w:t>
            </w:r>
          </w:p>
        </w:tc>
        <w:tc>
          <w:tcPr>
            <w:tcW w:w="693" w:type="pct"/>
            <w:tcBorders>
              <w:top w:val="nil"/>
              <w:left w:val="nil"/>
              <w:bottom w:val="nil"/>
              <w:right w:val="nil"/>
            </w:tcBorders>
            <w:shd w:val="clear" w:color="auto" w:fill="auto"/>
            <w:noWrap/>
            <w:vAlign w:val="center"/>
            <w:hideMark/>
          </w:tcPr>
          <w:p w14:paraId="736611E6" w14:textId="411C5149" w:rsidR="00DA35C5" w:rsidRPr="006B42D6" w:rsidRDefault="00DA35C5" w:rsidP="00F121EE">
            <w:pPr>
              <w:jc w:val="right"/>
              <w:rPr>
                <w:sz w:val="16"/>
                <w:szCs w:val="16"/>
              </w:rPr>
            </w:pPr>
            <w:r w:rsidRPr="006B42D6">
              <w:rPr>
                <w:sz w:val="16"/>
                <w:szCs w:val="16"/>
              </w:rPr>
              <w:t>550</w:t>
            </w:r>
          </w:p>
        </w:tc>
        <w:tc>
          <w:tcPr>
            <w:tcW w:w="693" w:type="pct"/>
            <w:tcBorders>
              <w:top w:val="nil"/>
              <w:left w:val="nil"/>
              <w:bottom w:val="nil"/>
              <w:right w:val="nil"/>
            </w:tcBorders>
            <w:shd w:val="clear" w:color="auto" w:fill="auto"/>
            <w:noWrap/>
            <w:vAlign w:val="center"/>
            <w:hideMark/>
          </w:tcPr>
          <w:p w14:paraId="2DC989C9" w14:textId="712DF14E" w:rsidR="00DA35C5" w:rsidRPr="006B42D6" w:rsidRDefault="00DA35C5" w:rsidP="00F121EE">
            <w:pPr>
              <w:jc w:val="right"/>
              <w:rPr>
                <w:sz w:val="16"/>
                <w:szCs w:val="16"/>
              </w:rPr>
            </w:pPr>
            <w:r w:rsidRPr="006B42D6">
              <w:rPr>
                <w:sz w:val="16"/>
                <w:szCs w:val="16"/>
              </w:rPr>
              <w:t>572</w:t>
            </w:r>
          </w:p>
        </w:tc>
        <w:tc>
          <w:tcPr>
            <w:tcW w:w="695" w:type="pct"/>
            <w:tcBorders>
              <w:top w:val="nil"/>
              <w:left w:val="nil"/>
              <w:bottom w:val="nil"/>
            </w:tcBorders>
            <w:shd w:val="clear" w:color="auto" w:fill="auto"/>
            <w:noWrap/>
            <w:vAlign w:val="center"/>
            <w:hideMark/>
          </w:tcPr>
          <w:p w14:paraId="27B7A6C8" w14:textId="344FA7D9" w:rsidR="00DA35C5" w:rsidRPr="006B42D6" w:rsidRDefault="00DA35C5" w:rsidP="00F121EE">
            <w:pPr>
              <w:jc w:val="right"/>
              <w:rPr>
                <w:sz w:val="16"/>
                <w:szCs w:val="16"/>
              </w:rPr>
            </w:pPr>
            <w:r w:rsidRPr="006B42D6">
              <w:rPr>
                <w:sz w:val="16"/>
                <w:szCs w:val="16"/>
              </w:rPr>
              <w:t>7,336</w:t>
            </w:r>
          </w:p>
        </w:tc>
      </w:tr>
      <w:tr w:rsidR="006B42D6" w:rsidRPr="006B42D6" w14:paraId="17337E0B" w14:textId="77777777" w:rsidTr="00F62024">
        <w:trPr>
          <w:trHeight w:val="312"/>
          <w:jc w:val="center"/>
        </w:trPr>
        <w:tc>
          <w:tcPr>
            <w:tcW w:w="867" w:type="pct"/>
            <w:tcBorders>
              <w:top w:val="nil"/>
              <w:left w:val="nil"/>
              <w:bottom w:val="nil"/>
            </w:tcBorders>
            <w:shd w:val="clear" w:color="auto" w:fill="auto"/>
            <w:noWrap/>
            <w:vAlign w:val="center"/>
            <w:hideMark/>
          </w:tcPr>
          <w:p w14:paraId="72B0A448" w14:textId="7FF73AED" w:rsidR="00DA35C5" w:rsidRPr="006B42D6" w:rsidRDefault="00DA35C5" w:rsidP="00F121EE">
            <w:pPr>
              <w:jc w:val="left"/>
              <w:rPr>
                <w:sz w:val="16"/>
                <w:szCs w:val="16"/>
              </w:rPr>
            </w:pPr>
            <w:r w:rsidRPr="006B42D6">
              <w:rPr>
                <w:sz w:val="16"/>
                <w:szCs w:val="16"/>
              </w:rPr>
              <w:t>Songwe</w:t>
            </w:r>
          </w:p>
        </w:tc>
        <w:tc>
          <w:tcPr>
            <w:tcW w:w="670" w:type="pct"/>
            <w:tcBorders>
              <w:top w:val="nil"/>
              <w:bottom w:val="nil"/>
              <w:right w:val="nil"/>
            </w:tcBorders>
            <w:shd w:val="clear" w:color="auto" w:fill="auto"/>
            <w:noWrap/>
            <w:vAlign w:val="center"/>
            <w:hideMark/>
          </w:tcPr>
          <w:p w14:paraId="7D9B5271" w14:textId="2C742ACF" w:rsidR="00DA35C5" w:rsidRPr="006B42D6" w:rsidRDefault="00DA35C5" w:rsidP="00F121EE">
            <w:pPr>
              <w:jc w:val="right"/>
              <w:rPr>
                <w:sz w:val="16"/>
                <w:szCs w:val="16"/>
              </w:rPr>
            </w:pPr>
            <w:r w:rsidRPr="006B42D6">
              <w:rPr>
                <w:sz w:val="16"/>
                <w:szCs w:val="16"/>
              </w:rPr>
              <w:t>4,252</w:t>
            </w:r>
          </w:p>
        </w:tc>
        <w:tc>
          <w:tcPr>
            <w:tcW w:w="689" w:type="pct"/>
            <w:tcBorders>
              <w:top w:val="nil"/>
              <w:left w:val="nil"/>
              <w:bottom w:val="nil"/>
              <w:right w:val="nil"/>
            </w:tcBorders>
            <w:shd w:val="clear" w:color="auto" w:fill="auto"/>
            <w:noWrap/>
            <w:vAlign w:val="center"/>
            <w:hideMark/>
          </w:tcPr>
          <w:p w14:paraId="4AB6B5A8" w14:textId="7CCB1440" w:rsidR="00DA35C5" w:rsidRPr="006B42D6" w:rsidRDefault="00DA35C5" w:rsidP="00F121EE">
            <w:pPr>
              <w:jc w:val="right"/>
              <w:rPr>
                <w:sz w:val="16"/>
                <w:szCs w:val="16"/>
              </w:rPr>
            </w:pPr>
            <w:r w:rsidRPr="006B42D6">
              <w:rPr>
                <w:sz w:val="16"/>
                <w:szCs w:val="16"/>
              </w:rPr>
              <w:t>16</w:t>
            </w:r>
          </w:p>
        </w:tc>
        <w:tc>
          <w:tcPr>
            <w:tcW w:w="693" w:type="pct"/>
            <w:tcBorders>
              <w:top w:val="nil"/>
              <w:left w:val="nil"/>
              <w:bottom w:val="nil"/>
              <w:right w:val="nil"/>
            </w:tcBorders>
            <w:shd w:val="clear" w:color="auto" w:fill="auto"/>
            <w:noWrap/>
            <w:vAlign w:val="center"/>
            <w:hideMark/>
          </w:tcPr>
          <w:p w14:paraId="5E63CA91" w14:textId="218C478C" w:rsidR="00DA35C5" w:rsidRPr="006B42D6" w:rsidRDefault="00DA35C5" w:rsidP="00F121EE">
            <w:pPr>
              <w:jc w:val="right"/>
              <w:rPr>
                <w:sz w:val="16"/>
                <w:szCs w:val="16"/>
              </w:rPr>
            </w:pPr>
            <w:r w:rsidRPr="006B42D6">
              <w:rPr>
                <w:sz w:val="16"/>
                <w:szCs w:val="16"/>
              </w:rPr>
              <w:t>2,447</w:t>
            </w:r>
          </w:p>
        </w:tc>
        <w:tc>
          <w:tcPr>
            <w:tcW w:w="693" w:type="pct"/>
            <w:tcBorders>
              <w:top w:val="nil"/>
              <w:left w:val="nil"/>
              <w:bottom w:val="nil"/>
              <w:right w:val="nil"/>
            </w:tcBorders>
            <w:shd w:val="clear" w:color="auto" w:fill="auto"/>
            <w:noWrap/>
            <w:vAlign w:val="center"/>
            <w:hideMark/>
          </w:tcPr>
          <w:p w14:paraId="355F0307" w14:textId="56EF4775" w:rsidR="00DA35C5" w:rsidRPr="006B42D6" w:rsidRDefault="00DA35C5" w:rsidP="00F121EE">
            <w:pPr>
              <w:jc w:val="right"/>
              <w:rPr>
                <w:sz w:val="16"/>
                <w:szCs w:val="16"/>
              </w:rPr>
            </w:pPr>
            <w:r w:rsidRPr="006B42D6">
              <w:rPr>
                <w:sz w:val="16"/>
                <w:szCs w:val="16"/>
              </w:rPr>
              <w:t>4</w:t>
            </w:r>
          </w:p>
        </w:tc>
        <w:tc>
          <w:tcPr>
            <w:tcW w:w="693" w:type="pct"/>
            <w:tcBorders>
              <w:top w:val="nil"/>
              <w:left w:val="nil"/>
              <w:bottom w:val="nil"/>
              <w:right w:val="nil"/>
            </w:tcBorders>
            <w:shd w:val="clear" w:color="auto" w:fill="auto"/>
            <w:noWrap/>
            <w:vAlign w:val="center"/>
            <w:hideMark/>
          </w:tcPr>
          <w:p w14:paraId="19040208" w14:textId="59ABBE22" w:rsidR="00DA35C5" w:rsidRPr="006B42D6" w:rsidRDefault="00DA35C5" w:rsidP="00F121EE">
            <w:pPr>
              <w:jc w:val="right"/>
              <w:rPr>
                <w:sz w:val="16"/>
                <w:szCs w:val="16"/>
              </w:rPr>
            </w:pPr>
            <w:r w:rsidRPr="006B42D6">
              <w:rPr>
                <w:sz w:val="16"/>
                <w:szCs w:val="16"/>
              </w:rPr>
              <w:t>0</w:t>
            </w:r>
          </w:p>
        </w:tc>
        <w:tc>
          <w:tcPr>
            <w:tcW w:w="695" w:type="pct"/>
            <w:tcBorders>
              <w:top w:val="nil"/>
              <w:left w:val="nil"/>
              <w:bottom w:val="nil"/>
            </w:tcBorders>
            <w:shd w:val="clear" w:color="auto" w:fill="auto"/>
            <w:noWrap/>
            <w:vAlign w:val="center"/>
            <w:hideMark/>
          </w:tcPr>
          <w:p w14:paraId="49CEA241" w14:textId="0EFF68D9" w:rsidR="00DA35C5" w:rsidRPr="006B42D6" w:rsidRDefault="00DA35C5" w:rsidP="00F121EE">
            <w:pPr>
              <w:jc w:val="right"/>
              <w:rPr>
                <w:sz w:val="16"/>
                <w:szCs w:val="16"/>
              </w:rPr>
            </w:pPr>
            <w:r w:rsidRPr="006B42D6">
              <w:rPr>
                <w:sz w:val="16"/>
                <w:szCs w:val="16"/>
              </w:rPr>
              <w:t>6</w:t>
            </w:r>
          </w:p>
        </w:tc>
      </w:tr>
      <w:tr w:rsidR="006B42D6" w:rsidRPr="006B42D6" w14:paraId="6769CC69" w14:textId="77777777" w:rsidTr="00F62024">
        <w:trPr>
          <w:trHeight w:val="312"/>
          <w:jc w:val="center"/>
        </w:trPr>
        <w:tc>
          <w:tcPr>
            <w:tcW w:w="867" w:type="pct"/>
            <w:tcBorders>
              <w:top w:val="single" w:sz="4" w:space="0" w:color="auto"/>
              <w:left w:val="nil"/>
              <w:bottom w:val="single" w:sz="4" w:space="0" w:color="auto"/>
            </w:tcBorders>
            <w:shd w:val="clear" w:color="auto" w:fill="E2EFD9" w:themeFill="accent6" w:themeFillTint="33"/>
            <w:noWrap/>
            <w:vAlign w:val="center"/>
            <w:hideMark/>
          </w:tcPr>
          <w:p w14:paraId="2D772B16" w14:textId="77CDADE6" w:rsidR="00DA35C5" w:rsidRPr="006B42D6" w:rsidRDefault="00EA1552" w:rsidP="00F121EE">
            <w:pPr>
              <w:jc w:val="left"/>
              <w:rPr>
                <w:b/>
                <w:bCs/>
                <w:sz w:val="16"/>
                <w:szCs w:val="16"/>
              </w:rPr>
            </w:pPr>
            <w:r>
              <w:rPr>
                <w:b/>
                <w:bCs/>
                <w:sz w:val="16"/>
                <w:szCs w:val="16"/>
              </w:rPr>
              <w:t>Mainland Tanzania</w:t>
            </w:r>
          </w:p>
        </w:tc>
        <w:tc>
          <w:tcPr>
            <w:tcW w:w="670" w:type="pct"/>
            <w:tcBorders>
              <w:top w:val="single" w:sz="4" w:space="0" w:color="auto"/>
              <w:bottom w:val="single" w:sz="4" w:space="0" w:color="auto"/>
              <w:right w:val="nil"/>
            </w:tcBorders>
            <w:shd w:val="clear" w:color="auto" w:fill="E2EFD9" w:themeFill="accent6" w:themeFillTint="33"/>
            <w:noWrap/>
            <w:vAlign w:val="center"/>
            <w:hideMark/>
          </w:tcPr>
          <w:p w14:paraId="4FBCC295" w14:textId="1FCA8100" w:rsidR="00DA35C5" w:rsidRPr="006B42D6" w:rsidRDefault="00DA35C5" w:rsidP="00F121EE">
            <w:pPr>
              <w:jc w:val="right"/>
              <w:rPr>
                <w:b/>
                <w:bCs/>
                <w:sz w:val="16"/>
                <w:szCs w:val="16"/>
              </w:rPr>
            </w:pPr>
            <w:r w:rsidRPr="006B42D6">
              <w:rPr>
                <w:b/>
                <w:bCs/>
                <w:sz w:val="16"/>
                <w:szCs w:val="16"/>
              </w:rPr>
              <w:t>238,701</w:t>
            </w:r>
          </w:p>
        </w:tc>
        <w:tc>
          <w:tcPr>
            <w:tcW w:w="689" w:type="pct"/>
            <w:tcBorders>
              <w:top w:val="single" w:sz="4" w:space="0" w:color="auto"/>
              <w:left w:val="nil"/>
              <w:bottom w:val="single" w:sz="4" w:space="0" w:color="auto"/>
              <w:right w:val="nil"/>
            </w:tcBorders>
            <w:shd w:val="clear" w:color="auto" w:fill="E2EFD9" w:themeFill="accent6" w:themeFillTint="33"/>
            <w:noWrap/>
            <w:vAlign w:val="center"/>
            <w:hideMark/>
          </w:tcPr>
          <w:p w14:paraId="1781B4EF" w14:textId="0C86B093" w:rsidR="00DA35C5" w:rsidRPr="006B42D6" w:rsidRDefault="00DA35C5" w:rsidP="00F121EE">
            <w:pPr>
              <w:jc w:val="right"/>
              <w:rPr>
                <w:b/>
                <w:bCs/>
                <w:sz w:val="16"/>
                <w:szCs w:val="16"/>
              </w:rPr>
            </w:pPr>
            <w:r w:rsidRPr="006B42D6">
              <w:rPr>
                <w:b/>
                <w:bCs/>
                <w:sz w:val="16"/>
                <w:szCs w:val="16"/>
              </w:rPr>
              <w:t>48,859</w:t>
            </w:r>
          </w:p>
        </w:tc>
        <w:tc>
          <w:tcPr>
            <w:tcW w:w="693" w:type="pct"/>
            <w:tcBorders>
              <w:top w:val="single" w:sz="4" w:space="0" w:color="auto"/>
              <w:left w:val="nil"/>
              <w:bottom w:val="single" w:sz="4" w:space="0" w:color="auto"/>
              <w:right w:val="nil"/>
            </w:tcBorders>
            <w:shd w:val="clear" w:color="auto" w:fill="E2EFD9" w:themeFill="accent6" w:themeFillTint="33"/>
            <w:noWrap/>
            <w:vAlign w:val="center"/>
            <w:hideMark/>
          </w:tcPr>
          <w:p w14:paraId="6606F064" w14:textId="35C77803" w:rsidR="00DA35C5" w:rsidRPr="006B42D6" w:rsidRDefault="00DA35C5" w:rsidP="00F121EE">
            <w:pPr>
              <w:jc w:val="right"/>
              <w:rPr>
                <w:b/>
                <w:bCs/>
                <w:sz w:val="16"/>
                <w:szCs w:val="16"/>
              </w:rPr>
            </w:pPr>
            <w:r w:rsidRPr="006B42D6">
              <w:rPr>
                <w:b/>
                <w:bCs/>
                <w:sz w:val="16"/>
                <w:szCs w:val="16"/>
              </w:rPr>
              <w:t>392,541</w:t>
            </w:r>
          </w:p>
        </w:tc>
        <w:tc>
          <w:tcPr>
            <w:tcW w:w="693" w:type="pct"/>
            <w:tcBorders>
              <w:top w:val="single" w:sz="4" w:space="0" w:color="auto"/>
              <w:left w:val="nil"/>
              <w:bottom w:val="single" w:sz="4" w:space="0" w:color="auto"/>
              <w:right w:val="nil"/>
            </w:tcBorders>
            <w:shd w:val="clear" w:color="auto" w:fill="E2EFD9" w:themeFill="accent6" w:themeFillTint="33"/>
            <w:noWrap/>
            <w:vAlign w:val="center"/>
            <w:hideMark/>
          </w:tcPr>
          <w:p w14:paraId="334115AE" w14:textId="6CCA5868" w:rsidR="00DA35C5" w:rsidRPr="006B42D6" w:rsidRDefault="00DA35C5" w:rsidP="00F121EE">
            <w:pPr>
              <w:jc w:val="right"/>
              <w:rPr>
                <w:b/>
                <w:bCs/>
                <w:sz w:val="16"/>
                <w:szCs w:val="16"/>
              </w:rPr>
            </w:pPr>
            <w:r w:rsidRPr="006B42D6">
              <w:rPr>
                <w:b/>
                <w:bCs/>
                <w:sz w:val="16"/>
                <w:szCs w:val="16"/>
              </w:rPr>
              <w:t>43,096</w:t>
            </w:r>
          </w:p>
        </w:tc>
        <w:tc>
          <w:tcPr>
            <w:tcW w:w="693" w:type="pct"/>
            <w:tcBorders>
              <w:top w:val="single" w:sz="4" w:space="0" w:color="auto"/>
              <w:left w:val="nil"/>
              <w:bottom w:val="single" w:sz="4" w:space="0" w:color="auto"/>
              <w:right w:val="nil"/>
            </w:tcBorders>
            <w:shd w:val="clear" w:color="auto" w:fill="E2EFD9" w:themeFill="accent6" w:themeFillTint="33"/>
            <w:noWrap/>
            <w:vAlign w:val="center"/>
            <w:hideMark/>
          </w:tcPr>
          <w:p w14:paraId="62E97685" w14:textId="27C09759" w:rsidR="00DA35C5" w:rsidRPr="006B42D6" w:rsidRDefault="00DA35C5" w:rsidP="00F121EE">
            <w:pPr>
              <w:jc w:val="right"/>
              <w:rPr>
                <w:b/>
                <w:bCs/>
                <w:sz w:val="16"/>
                <w:szCs w:val="16"/>
              </w:rPr>
            </w:pPr>
            <w:r w:rsidRPr="006B42D6">
              <w:rPr>
                <w:b/>
                <w:bCs/>
                <w:sz w:val="16"/>
                <w:szCs w:val="16"/>
              </w:rPr>
              <w:t>30,688</w:t>
            </w:r>
          </w:p>
        </w:tc>
        <w:tc>
          <w:tcPr>
            <w:tcW w:w="695" w:type="pct"/>
            <w:tcBorders>
              <w:top w:val="single" w:sz="4" w:space="0" w:color="auto"/>
              <w:left w:val="nil"/>
              <w:bottom w:val="single" w:sz="4" w:space="0" w:color="auto"/>
            </w:tcBorders>
            <w:shd w:val="clear" w:color="auto" w:fill="E2EFD9" w:themeFill="accent6" w:themeFillTint="33"/>
            <w:noWrap/>
            <w:vAlign w:val="center"/>
            <w:hideMark/>
          </w:tcPr>
          <w:p w14:paraId="3174C301" w14:textId="639F5D38" w:rsidR="00DA35C5" w:rsidRPr="006B42D6" w:rsidRDefault="00DA35C5" w:rsidP="00F121EE">
            <w:pPr>
              <w:jc w:val="right"/>
              <w:rPr>
                <w:b/>
                <w:bCs/>
                <w:sz w:val="16"/>
                <w:szCs w:val="16"/>
              </w:rPr>
            </w:pPr>
            <w:r w:rsidRPr="006B42D6">
              <w:rPr>
                <w:b/>
                <w:bCs/>
                <w:sz w:val="16"/>
                <w:szCs w:val="16"/>
              </w:rPr>
              <w:t>507,829</w:t>
            </w:r>
          </w:p>
        </w:tc>
      </w:tr>
      <w:tr w:rsidR="006B42D6" w:rsidRPr="006B42D6" w14:paraId="62D1243F" w14:textId="77777777" w:rsidTr="00F62024">
        <w:trPr>
          <w:trHeight w:val="312"/>
          <w:jc w:val="center"/>
        </w:trPr>
        <w:tc>
          <w:tcPr>
            <w:tcW w:w="867" w:type="pct"/>
            <w:tcBorders>
              <w:top w:val="nil"/>
              <w:left w:val="nil"/>
              <w:bottom w:val="nil"/>
            </w:tcBorders>
            <w:shd w:val="clear" w:color="auto" w:fill="auto"/>
            <w:noWrap/>
            <w:vAlign w:val="center"/>
            <w:hideMark/>
          </w:tcPr>
          <w:p w14:paraId="60D3CA2F" w14:textId="037BE07F" w:rsidR="00DA35C5" w:rsidRPr="006B42D6" w:rsidRDefault="00DA35C5" w:rsidP="00F121EE">
            <w:pPr>
              <w:jc w:val="left"/>
              <w:rPr>
                <w:sz w:val="16"/>
                <w:szCs w:val="16"/>
              </w:rPr>
            </w:pPr>
            <w:r w:rsidRPr="006B42D6">
              <w:rPr>
                <w:sz w:val="16"/>
                <w:szCs w:val="16"/>
              </w:rPr>
              <w:t>Kaskazini Unguja</w:t>
            </w:r>
          </w:p>
        </w:tc>
        <w:tc>
          <w:tcPr>
            <w:tcW w:w="670" w:type="pct"/>
            <w:tcBorders>
              <w:top w:val="nil"/>
              <w:bottom w:val="nil"/>
              <w:right w:val="nil"/>
            </w:tcBorders>
            <w:shd w:val="clear" w:color="auto" w:fill="auto"/>
            <w:noWrap/>
            <w:vAlign w:val="center"/>
            <w:hideMark/>
          </w:tcPr>
          <w:p w14:paraId="38005873" w14:textId="5C2D0338" w:rsidR="00DA35C5" w:rsidRPr="006B42D6" w:rsidRDefault="00DA35C5" w:rsidP="00F121EE">
            <w:pPr>
              <w:jc w:val="right"/>
              <w:rPr>
                <w:sz w:val="16"/>
                <w:szCs w:val="16"/>
              </w:rPr>
            </w:pPr>
            <w:r w:rsidRPr="006B42D6">
              <w:rPr>
                <w:sz w:val="16"/>
                <w:szCs w:val="16"/>
              </w:rPr>
              <w:t>952</w:t>
            </w:r>
          </w:p>
        </w:tc>
        <w:tc>
          <w:tcPr>
            <w:tcW w:w="689" w:type="pct"/>
            <w:tcBorders>
              <w:top w:val="nil"/>
              <w:left w:val="nil"/>
              <w:bottom w:val="nil"/>
              <w:right w:val="nil"/>
            </w:tcBorders>
            <w:shd w:val="clear" w:color="auto" w:fill="auto"/>
            <w:noWrap/>
            <w:vAlign w:val="center"/>
            <w:hideMark/>
          </w:tcPr>
          <w:p w14:paraId="004DF26C" w14:textId="71E0EE7C" w:rsidR="00DA35C5" w:rsidRPr="006B42D6" w:rsidRDefault="00DA35C5" w:rsidP="00F121EE">
            <w:pPr>
              <w:jc w:val="right"/>
              <w:rPr>
                <w:sz w:val="16"/>
                <w:szCs w:val="16"/>
              </w:rPr>
            </w:pPr>
            <w:r w:rsidRPr="006B42D6">
              <w:rPr>
                <w:sz w:val="16"/>
                <w:szCs w:val="16"/>
              </w:rPr>
              <w:t>316</w:t>
            </w:r>
          </w:p>
        </w:tc>
        <w:tc>
          <w:tcPr>
            <w:tcW w:w="693" w:type="pct"/>
            <w:tcBorders>
              <w:top w:val="nil"/>
              <w:left w:val="nil"/>
              <w:bottom w:val="nil"/>
              <w:right w:val="nil"/>
            </w:tcBorders>
            <w:shd w:val="clear" w:color="auto" w:fill="auto"/>
            <w:noWrap/>
            <w:vAlign w:val="center"/>
            <w:hideMark/>
          </w:tcPr>
          <w:p w14:paraId="4959C704" w14:textId="2D0A9585" w:rsidR="00DA35C5" w:rsidRPr="006B42D6" w:rsidRDefault="00DA35C5" w:rsidP="00F121EE">
            <w:pPr>
              <w:jc w:val="right"/>
              <w:rPr>
                <w:sz w:val="16"/>
                <w:szCs w:val="16"/>
              </w:rPr>
            </w:pPr>
            <w:r w:rsidRPr="006B42D6">
              <w:rPr>
                <w:sz w:val="16"/>
                <w:szCs w:val="16"/>
              </w:rPr>
              <w:t>3,980</w:t>
            </w:r>
          </w:p>
        </w:tc>
        <w:tc>
          <w:tcPr>
            <w:tcW w:w="693" w:type="pct"/>
            <w:tcBorders>
              <w:top w:val="nil"/>
              <w:left w:val="nil"/>
              <w:bottom w:val="nil"/>
              <w:right w:val="nil"/>
            </w:tcBorders>
            <w:shd w:val="clear" w:color="auto" w:fill="auto"/>
            <w:noWrap/>
            <w:vAlign w:val="center"/>
            <w:hideMark/>
          </w:tcPr>
          <w:p w14:paraId="1434BD9F" w14:textId="2BE1965E" w:rsidR="00DA35C5" w:rsidRPr="006B42D6" w:rsidRDefault="00DA35C5" w:rsidP="00F121EE">
            <w:pPr>
              <w:jc w:val="right"/>
              <w:rPr>
                <w:sz w:val="16"/>
                <w:szCs w:val="16"/>
              </w:rPr>
            </w:pPr>
            <w:r w:rsidRPr="006B42D6">
              <w:rPr>
                <w:sz w:val="16"/>
                <w:szCs w:val="16"/>
              </w:rPr>
              <w:t>432</w:t>
            </w:r>
          </w:p>
        </w:tc>
        <w:tc>
          <w:tcPr>
            <w:tcW w:w="693" w:type="pct"/>
            <w:tcBorders>
              <w:top w:val="nil"/>
              <w:left w:val="nil"/>
              <w:bottom w:val="nil"/>
              <w:right w:val="nil"/>
            </w:tcBorders>
            <w:shd w:val="clear" w:color="auto" w:fill="auto"/>
            <w:noWrap/>
            <w:vAlign w:val="center"/>
            <w:hideMark/>
          </w:tcPr>
          <w:p w14:paraId="465B4478" w14:textId="5D10378E" w:rsidR="00DA35C5" w:rsidRPr="006B42D6" w:rsidRDefault="00DA35C5" w:rsidP="00F121EE">
            <w:pPr>
              <w:jc w:val="right"/>
              <w:rPr>
                <w:sz w:val="16"/>
                <w:szCs w:val="16"/>
              </w:rPr>
            </w:pPr>
            <w:r w:rsidRPr="006B42D6">
              <w:rPr>
                <w:sz w:val="16"/>
                <w:szCs w:val="16"/>
              </w:rPr>
              <w:t>244</w:t>
            </w:r>
          </w:p>
        </w:tc>
        <w:tc>
          <w:tcPr>
            <w:tcW w:w="695" w:type="pct"/>
            <w:tcBorders>
              <w:top w:val="nil"/>
              <w:left w:val="nil"/>
              <w:bottom w:val="nil"/>
            </w:tcBorders>
            <w:shd w:val="clear" w:color="auto" w:fill="auto"/>
            <w:noWrap/>
            <w:vAlign w:val="center"/>
            <w:hideMark/>
          </w:tcPr>
          <w:p w14:paraId="365E82EA" w14:textId="1D62D4E1" w:rsidR="00DA35C5" w:rsidRPr="006B42D6" w:rsidRDefault="00DA35C5" w:rsidP="00F121EE">
            <w:pPr>
              <w:jc w:val="right"/>
              <w:rPr>
                <w:sz w:val="16"/>
                <w:szCs w:val="16"/>
              </w:rPr>
            </w:pPr>
            <w:r w:rsidRPr="006B42D6">
              <w:rPr>
                <w:sz w:val="16"/>
                <w:szCs w:val="16"/>
              </w:rPr>
              <w:t>2,599</w:t>
            </w:r>
          </w:p>
        </w:tc>
      </w:tr>
      <w:tr w:rsidR="006B42D6" w:rsidRPr="006B42D6" w14:paraId="5E33DA83" w14:textId="77777777" w:rsidTr="00F62024">
        <w:trPr>
          <w:trHeight w:val="312"/>
          <w:jc w:val="center"/>
        </w:trPr>
        <w:tc>
          <w:tcPr>
            <w:tcW w:w="867" w:type="pct"/>
            <w:tcBorders>
              <w:top w:val="nil"/>
              <w:left w:val="nil"/>
              <w:bottom w:val="nil"/>
            </w:tcBorders>
            <w:shd w:val="clear" w:color="auto" w:fill="auto"/>
            <w:noWrap/>
            <w:vAlign w:val="center"/>
            <w:hideMark/>
          </w:tcPr>
          <w:p w14:paraId="0C686B8B" w14:textId="7A63DAF9" w:rsidR="00DA35C5" w:rsidRPr="006B42D6" w:rsidRDefault="00DA35C5" w:rsidP="00F121EE">
            <w:pPr>
              <w:jc w:val="left"/>
              <w:rPr>
                <w:sz w:val="16"/>
                <w:szCs w:val="16"/>
              </w:rPr>
            </w:pPr>
            <w:r w:rsidRPr="006B42D6">
              <w:rPr>
                <w:sz w:val="16"/>
                <w:szCs w:val="16"/>
              </w:rPr>
              <w:t>Kusini Unguja</w:t>
            </w:r>
          </w:p>
        </w:tc>
        <w:tc>
          <w:tcPr>
            <w:tcW w:w="670" w:type="pct"/>
            <w:tcBorders>
              <w:top w:val="nil"/>
              <w:bottom w:val="nil"/>
              <w:right w:val="nil"/>
            </w:tcBorders>
            <w:shd w:val="clear" w:color="auto" w:fill="auto"/>
            <w:noWrap/>
            <w:vAlign w:val="center"/>
            <w:hideMark/>
          </w:tcPr>
          <w:p w14:paraId="1CF26121" w14:textId="18379162" w:rsidR="00DA35C5" w:rsidRPr="006B42D6" w:rsidRDefault="00DA35C5" w:rsidP="00F121EE">
            <w:pPr>
              <w:jc w:val="right"/>
              <w:rPr>
                <w:sz w:val="16"/>
                <w:szCs w:val="16"/>
              </w:rPr>
            </w:pPr>
            <w:r w:rsidRPr="006B42D6">
              <w:rPr>
                <w:sz w:val="16"/>
                <w:szCs w:val="16"/>
              </w:rPr>
              <w:t>494</w:t>
            </w:r>
          </w:p>
        </w:tc>
        <w:tc>
          <w:tcPr>
            <w:tcW w:w="689" w:type="pct"/>
            <w:tcBorders>
              <w:top w:val="nil"/>
              <w:left w:val="nil"/>
              <w:bottom w:val="nil"/>
              <w:right w:val="nil"/>
            </w:tcBorders>
            <w:shd w:val="clear" w:color="auto" w:fill="auto"/>
            <w:noWrap/>
            <w:vAlign w:val="center"/>
            <w:hideMark/>
          </w:tcPr>
          <w:p w14:paraId="1984FA38" w14:textId="3DBE9CCD" w:rsidR="00DA35C5" w:rsidRPr="006B42D6" w:rsidRDefault="00DA35C5" w:rsidP="00F121EE">
            <w:pPr>
              <w:jc w:val="right"/>
              <w:rPr>
                <w:sz w:val="16"/>
                <w:szCs w:val="16"/>
              </w:rPr>
            </w:pPr>
            <w:r w:rsidRPr="006B42D6">
              <w:rPr>
                <w:sz w:val="16"/>
                <w:szCs w:val="16"/>
              </w:rPr>
              <w:t>76</w:t>
            </w:r>
          </w:p>
        </w:tc>
        <w:tc>
          <w:tcPr>
            <w:tcW w:w="693" w:type="pct"/>
            <w:tcBorders>
              <w:top w:val="nil"/>
              <w:left w:val="nil"/>
              <w:bottom w:val="nil"/>
              <w:right w:val="nil"/>
            </w:tcBorders>
            <w:shd w:val="clear" w:color="auto" w:fill="auto"/>
            <w:noWrap/>
            <w:vAlign w:val="center"/>
            <w:hideMark/>
          </w:tcPr>
          <w:p w14:paraId="1D7FF7E9" w14:textId="06D8327C" w:rsidR="00DA35C5" w:rsidRPr="006B42D6" w:rsidRDefault="00DA35C5" w:rsidP="00F121EE">
            <w:pPr>
              <w:jc w:val="right"/>
              <w:rPr>
                <w:sz w:val="16"/>
                <w:szCs w:val="16"/>
              </w:rPr>
            </w:pPr>
            <w:r w:rsidRPr="006B42D6">
              <w:rPr>
                <w:sz w:val="16"/>
                <w:szCs w:val="16"/>
              </w:rPr>
              <w:t>3,774</w:t>
            </w:r>
          </w:p>
        </w:tc>
        <w:tc>
          <w:tcPr>
            <w:tcW w:w="693" w:type="pct"/>
            <w:tcBorders>
              <w:top w:val="nil"/>
              <w:left w:val="nil"/>
              <w:bottom w:val="nil"/>
              <w:right w:val="nil"/>
            </w:tcBorders>
            <w:shd w:val="clear" w:color="auto" w:fill="auto"/>
            <w:noWrap/>
            <w:vAlign w:val="center"/>
            <w:hideMark/>
          </w:tcPr>
          <w:p w14:paraId="515656A6" w14:textId="6316E486" w:rsidR="00DA35C5" w:rsidRPr="006B42D6" w:rsidRDefault="00DA35C5" w:rsidP="00F121EE">
            <w:pPr>
              <w:jc w:val="right"/>
              <w:rPr>
                <w:sz w:val="16"/>
                <w:szCs w:val="16"/>
              </w:rPr>
            </w:pPr>
            <w:r w:rsidRPr="006B42D6">
              <w:rPr>
                <w:sz w:val="16"/>
                <w:szCs w:val="16"/>
              </w:rPr>
              <w:t>689</w:t>
            </w:r>
          </w:p>
        </w:tc>
        <w:tc>
          <w:tcPr>
            <w:tcW w:w="693" w:type="pct"/>
            <w:tcBorders>
              <w:top w:val="nil"/>
              <w:left w:val="nil"/>
              <w:bottom w:val="nil"/>
              <w:right w:val="nil"/>
            </w:tcBorders>
            <w:shd w:val="clear" w:color="auto" w:fill="auto"/>
            <w:noWrap/>
            <w:vAlign w:val="center"/>
            <w:hideMark/>
          </w:tcPr>
          <w:p w14:paraId="7846F033" w14:textId="2D024896" w:rsidR="00DA35C5" w:rsidRPr="006B42D6" w:rsidRDefault="00DA35C5" w:rsidP="00F121EE">
            <w:pPr>
              <w:jc w:val="right"/>
              <w:rPr>
                <w:sz w:val="16"/>
                <w:szCs w:val="16"/>
              </w:rPr>
            </w:pPr>
            <w:r w:rsidRPr="006B42D6">
              <w:rPr>
                <w:sz w:val="16"/>
                <w:szCs w:val="16"/>
              </w:rPr>
              <w:t>427</w:t>
            </w:r>
          </w:p>
        </w:tc>
        <w:tc>
          <w:tcPr>
            <w:tcW w:w="695" w:type="pct"/>
            <w:tcBorders>
              <w:top w:val="nil"/>
              <w:left w:val="nil"/>
              <w:bottom w:val="nil"/>
            </w:tcBorders>
            <w:shd w:val="clear" w:color="auto" w:fill="auto"/>
            <w:noWrap/>
            <w:vAlign w:val="center"/>
            <w:hideMark/>
          </w:tcPr>
          <w:p w14:paraId="5479C2D2" w14:textId="7314AC0A" w:rsidR="00DA35C5" w:rsidRPr="006B42D6" w:rsidRDefault="00DA35C5" w:rsidP="00F121EE">
            <w:pPr>
              <w:jc w:val="right"/>
              <w:rPr>
                <w:sz w:val="16"/>
                <w:szCs w:val="16"/>
              </w:rPr>
            </w:pPr>
            <w:r w:rsidRPr="006B42D6">
              <w:rPr>
                <w:sz w:val="16"/>
                <w:szCs w:val="16"/>
              </w:rPr>
              <w:t>6,754</w:t>
            </w:r>
          </w:p>
        </w:tc>
      </w:tr>
      <w:tr w:rsidR="006B42D6" w:rsidRPr="006B42D6" w14:paraId="1CFF565D" w14:textId="77777777" w:rsidTr="00F62024">
        <w:trPr>
          <w:trHeight w:val="312"/>
          <w:jc w:val="center"/>
        </w:trPr>
        <w:tc>
          <w:tcPr>
            <w:tcW w:w="867" w:type="pct"/>
            <w:tcBorders>
              <w:top w:val="nil"/>
              <w:left w:val="nil"/>
              <w:bottom w:val="nil"/>
            </w:tcBorders>
            <w:shd w:val="clear" w:color="auto" w:fill="auto"/>
            <w:noWrap/>
            <w:vAlign w:val="center"/>
            <w:hideMark/>
          </w:tcPr>
          <w:p w14:paraId="0652C6D5" w14:textId="6A9CBF74" w:rsidR="00DA35C5" w:rsidRPr="006B42D6" w:rsidRDefault="00DA35C5" w:rsidP="00F121EE">
            <w:pPr>
              <w:jc w:val="left"/>
              <w:rPr>
                <w:sz w:val="16"/>
                <w:szCs w:val="16"/>
              </w:rPr>
            </w:pPr>
            <w:r w:rsidRPr="006B42D6">
              <w:rPr>
                <w:sz w:val="16"/>
                <w:szCs w:val="16"/>
              </w:rPr>
              <w:t>Mjini Magharibi</w:t>
            </w:r>
          </w:p>
        </w:tc>
        <w:tc>
          <w:tcPr>
            <w:tcW w:w="670" w:type="pct"/>
            <w:tcBorders>
              <w:top w:val="nil"/>
              <w:bottom w:val="nil"/>
              <w:right w:val="nil"/>
            </w:tcBorders>
            <w:shd w:val="clear" w:color="auto" w:fill="auto"/>
            <w:noWrap/>
            <w:vAlign w:val="center"/>
            <w:hideMark/>
          </w:tcPr>
          <w:p w14:paraId="30A29ACB" w14:textId="054BF77B" w:rsidR="00DA35C5" w:rsidRPr="006B42D6" w:rsidRDefault="00DA35C5" w:rsidP="00F121EE">
            <w:pPr>
              <w:jc w:val="right"/>
              <w:rPr>
                <w:sz w:val="16"/>
                <w:szCs w:val="16"/>
              </w:rPr>
            </w:pPr>
            <w:r w:rsidRPr="006B42D6">
              <w:rPr>
                <w:sz w:val="16"/>
                <w:szCs w:val="16"/>
              </w:rPr>
              <w:t>48</w:t>
            </w:r>
          </w:p>
        </w:tc>
        <w:tc>
          <w:tcPr>
            <w:tcW w:w="689" w:type="pct"/>
            <w:tcBorders>
              <w:top w:val="nil"/>
              <w:left w:val="nil"/>
              <w:bottom w:val="nil"/>
              <w:right w:val="nil"/>
            </w:tcBorders>
            <w:shd w:val="clear" w:color="auto" w:fill="auto"/>
            <w:noWrap/>
            <w:vAlign w:val="center"/>
            <w:hideMark/>
          </w:tcPr>
          <w:p w14:paraId="6919272C" w14:textId="1AD3068D" w:rsidR="00DA35C5" w:rsidRPr="006B42D6" w:rsidRDefault="00DA35C5" w:rsidP="00F121EE">
            <w:pPr>
              <w:jc w:val="right"/>
              <w:rPr>
                <w:sz w:val="16"/>
                <w:szCs w:val="16"/>
              </w:rPr>
            </w:pPr>
            <w:r w:rsidRPr="006B42D6">
              <w:rPr>
                <w:sz w:val="16"/>
                <w:szCs w:val="16"/>
              </w:rPr>
              <w:t>2</w:t>
            </w:r>
          </w:p>
        </w:tc>
        <w:tc>
          <w:tcPr>
            <w:tcW w:w="693" w:type="pct"/>
            <w:tcBorders>
              <w:top w:val="nil"/>
              <w:left w:val="nil"/>
              <w:bottom w:val="nil"/>
              <w:right w:val="nil"/>
            </w:tcBorders>
            <w:shd w:val="clear" w:color="auto" w:fill="auto"/>
            <w:noWrap/>
            <w:vAlign w:val="center"/>
            <w:hideMark/>
          </w:tcPr>
          <w:p w14:paraId="0500C37E" w14:textId="5590AA73" w:rsidR="00DA35C5" w:rsidRPr="006B42D6" w:rsidRDefault="00DA35C5" w:rsidP="00F121EE">
            <w:pPr>
              <w:jc w:val="right"/>
              <w:rPr>
                <w:sz w:val="16"/>
                <w:szCs w:val="16"/>
              </w:rPr>
            </w:pPr>
            <w:r w:rsidRPr="006B42D6">
              <w:rPr>
                <w:sz w:val="16"/>
                <w:szCs w:val="16"/>
              </w:rPr>
              <w:t>6,434</w:t>
            </w:r>
          </w:p>
        </w:tc>
        <w:tc>
          <w:tcPr>
            <w:tcW w:w="693" w:type="pct"/>
            <w:tcBorders>
              <w:top w:val="nil"/>
              <w:left w:val="nil"/>
              <w:bottom w:val="nil"/>
              <w:right w:val="nil"/>
            </w:tcBorders>
            <w:shd w:val="clear" w:color="auto" w:fill="auto"/>
            <w:noWrap/>
            <w:vAlign w:val="center"/>
            <w:hideMark/>
          </w:tcPr>
          <w:p w14:paraId="09585998" w14:textId="41ABB304" w:rsidR="00DA35C5" w:rsidRPr="006B42D6" w:rsidRDefault="00DA35C5" w:rsidP="00F121EE">
            <w:pPr>
              <w:jc w:val="right"/>
              <w:rPr>
                <w:sz w:val="16"/>
                <w:szCs w:val="16"/>
              </w:rPr>
            </w:pPr>
            <w:r w:rsidRPr="006B42D6">
              <w:rPr>
                <w:sz w:val="16"/>
                <w:szCs w:val="16"/>
              </w:rPr>
              <w:t>601</w:t>
            </w:r>
          </w:p>
        </w:tc>
        <w:tc>
          <w:tcPr>
            <w:tcW w:w="693" w:type="pct"/>
            <w:tcBorders>
              <w:top w:val="nil"/>
              <w:left w:val="nil"/>
              <w:bottom w:val="nil"/>
              <w:right w:val="nil"/>
            </w:tcBorders>
            <w:shd w:val="clear" w:color="auto" w:fill="auto"/>
            <w:noWrap/>
            <w:vAlign w:val="center"/>
            <w:hideMark/>
          </w:tcPr>
          <w:p w14:paraId="1D71E520" w14:textId="4B687EEC" w:rsidR="00DA35C5" w:rsidRPr="006B42D6" w:rsidRDefault="00DA35C5" w:rsidP="00F121EE">
            <w:pPr>
              <w:jc w:val="right"/>
              <w:rPr>
                <w:sz w:val="16"/>
                <w:szCs w:val="16"/>
              </w:rPr>
            </w:pPr>
            <w:r w:rsidRPr="006B42D6">
              <w:rPr>
                <w:sz w:val="16"/>
                <w:szCs w:val="16"/>
              </w:rPr>
              <w:t>258</w:t>
            </w:r>
          </w:p>
        </w:tc>
        <w:tc>
          <w:tcPr>
            <w:tcW w:w="695" w:type="pct"/>
            <w:tcBorders>
              <w:top w:val="nil"/>
              <w:left w:val="nil"/>
              <w:bottom w:val="nil"/>
            </w:tcBorders>
            <w:shd w:val="clear" w:color="auto" w:fill="auto"/>
            <w:noWrap/>
            <w:vAlign w:val="center"/>
            <w:hideMark/>
          </w:tcPr>
          <w:p w14:paraId="356FCC5A" w14:textId="7F6347C3" w:rsidR="00DA35C5" w:rsidRPr="006B42D6" w:rsidRDefault="00DA35C5" w:rsidP="00F121EE">
            <w:pPr>
              <w:jc w:val="right"/>
              <w:rPr>
                <w:sz w:val="16"/>
                <w:szCs w:val="16"/>
              </w:rPr>
            </w:pPr>
            <w:r w:rsidRPr="006B42D6">
              <w:rPr>
                <w:sz w:val="16"/>
                <w:szCs w:val="16"/>
              </w:rPr>
              <w:t>4,387</w:t>
            </w:r>
          </w:p>
        </w:tc>
      </w:tr>
      <w:tr w:rsidR="006B42D6" w:rsidRPr="006B42D6" w14:paraId="56D130E1" w14:textId="77777777" w:rsidTr="00F62024">
        <w:trPr>
          <w:trHeight w:val="312"/>
          <w:jc w:val="center"/>
        </w:trPr>
        <w:tc>
          <w:tcPr>
            <w:tcW w:w="867" w:type="pct"/>
            <w:tcBorders>
              <w:top w:val="nil"/>
              <w:left w:val="nil"/>
              <w:bottom w:val="nil"/>
            </w:tcBorders>
            <w:shd w:val="clear" w:color="auto" w:fill="auto"/>
            <w:noWrap/>
            <w:vAlign w:val="center"/>
            <w:hideMark/>
          </w:tcPr>
          <w:p w14:paraId="0AA0F412" w14:textId="62CDE04A" w:rsidR="00DA35C5" w:rsidRPr="006B42D6" w:rsidRDefault="00DA35C5" w:rsidP="00F121EE">
            <w:pPr>
              <w:jc w:val="left"/>
              <w:rPr>
                <w:sz w:val="16"/>
                <w:szCs w:val="16"/>
              </w:rPr>
            </w:pPr>
            <w:r w:rsidRPr="006B42D6">
              <w:rPr>
                <w:sz w:val="16"/>
                <w:szCs w:val="16"/>
              </w:rPr>
              <w:t>Kaskazini Pemba</w:t>
            </w:r>
          </w:p>
        </w:tc>
        <w:tc>
          <w:tcPr>
            <w:tcW w:w="670" w:type="pct"/>
            <w:tcBorders>
              <w:top w:val="nil"/>
              <w:bottom w:val="nil"/>
              <w:right w:val="nil"/>
            </w:tcBorders>
            <w:shd w:val="clear" w:color="auto" w:fill="auto"/>
            <w:noWrap/>
            <w:vAlign w:val="center"/>
            <w:hideMark/>
          </w:tcPr>
          <w:p w14:paraId="5BC0188D" w14:textId="0595558E" w:rsidR="00DA35C5" w:rsidRPr="006B42D6" w:rsidRDefault="00DA35C5" w:rsidP="00F121EE">
            <w:pPr>
              <w:jc w:val="right"/>
              <w:rPr>
                <w:sz w:val="16"/>
                <w:szCs w:val="16"/>
              </w:rPr>
            </w:pPr>
            <w:r w:rsidRPr="006B42D6">
              <w:rPr>
                <w:sz w:val="16"/>
                <w:szCs w:val="16"/>
              </w:rPr>
              <w:t>119</w:t>
            </w:r>
          </w:p>
        </w:tc>
        <w:tc>
          <w:tcPr>
            <w:tcW w:w="689" w:type="pct"/>
            <w:tcBorders>
              <w:top w:val="nil"/>
              <w:left w:val="nil"/>
              <w:bottom w:val="nil"/>
              <w:right w:val="nil"/>
            </w:tcBorders>
            <w:shd w:val="clear" w:color="auto" w:fill="auto"/>
            <w:noWrap/>
            <w:vAlign w:val="center"/>
            <w:hideMark/>
          </w:tcPr>
          <w:p w14:paraId="737AB408" w14:textId="112B26A6" w:rsidR="00DA35C5" w:rsidRPr="006B42D6" w:rsidRDefault="00DA35C5" w:rsidP="00F121EE">
            <w:pPr>
              <w:jc w:val="right"/>
              <w:rPr>
                <w:sz w:val="16"/>
                <w:szCs w:val="16"/>
              </w:rPr>
            </w:pPr>
            <w:r w:rsidRPr="006B42D6">
              <w:rPr>
                <w:sz w:val="16"/>
                <w:szCs w:val="16"/>
              </w:rPr>
              <w:t>5</w:t>
            </w:r>
          </w:p>
        </w:tc>
        <w:tc>
          <w:tcPr>
            <w:tcW w:w="693" w:type="pct"/>
            <w:tcBorders>
              <w:top w:val="nil"/>
              <w:left w:val="nil"/>
              <w:bottom w:val="nil"/>
              <w:right w:val="nil"/>
            </w:tcBorders>
            <w:shd w:val="clear" w:color="auto" w:fill="auto"/>
            <w:noWrap/>
            <w:vAlign w:val="center"/>
            <w:hideMark/>
          </w:tcPr>
          <w:p w14:paraId="45599CCE" w14:textId="3BC2E521" w:rsidR="00DA35C5" w:rsidRPr="006B42D6" w:rsidRDefault="00DA35C5" w:rsidP="00F121EE">
            <w:pPr>
              <w:jc w:val="right"/>
              <w:rPr>
                <w:sz w:val="16"/>
                <w:szCs w:val="16"/>
              </w:rPr>
            </w:pPr>
            <w:r w:rsidRPr="006B42D6">
              <w:rPr>
                <w:sz w:val="16"/>
                <w:szCs w:val="16"/>
              </w:rPr>
              <w:t>491</w:t>
            </w:r>
          </w:p>
        </w:tc>
        <w:tc>
          <w:tcPr>
            <w:tcW w:w="693" w:type="pct"/>
            <w:tcBorders>
              <w:top w:val="nil"/>
              <w:left w:val="nil"/>
              <w:bottom w:val="nil"/>
              <w:right w:val="nil"/>
            </w:tcBorders>
            <w:shd w:val="clear" w:color="auto" w:fill="auto"/>
            <w:noWrap/>
            <w:vAlign w:val="center"/>
            <w:hideMark/>
          </w:tcPr>
          <w:p w14:paraId="19E15518" w14:textId="3FCAB7F4" w:rsidR="00DA35C5" w:rsidRPr="006B42D6" w:rsidRDefault="00DA35C5" w:rsidP="00F121EE">
            <w:pPr>
              <w:jc w:val="right"/>
              <w:rPr>
                <w:sz w:val="16"/>
                <w:szCs w:val="16"/>
              </w:rPr>
            </w:pPr>
            <w:r w:rsidRPr="006B42D6">
              <w:rPr>
                <w:sz w:val="16"/>
                <w:szCs w:val="16"/>
              </w:rPr>
              <w:t>47</w:t>
            </w:r>
          </w:p>
        </w:tc>
        <w:tc>
          <w:tcPr>
            <w:tcW w:w="693" w:type="pct"/>
            <w:tcBorders>
              <w:top w:val="nil"/>
              <w:left w:val="nil"/>
              <w:bottom w:val="nil"/>
              <w:right w:val="nil"/>
            </w:tcBorders>
            <w:shd w:val="clear" w:color="auto" w:fill="auto"/>
            <w:noWrap/>
            <w:vAlign w:val="center"/>
            <w:hideMark/>
          </w:tcPr>
          <w:p w14:paraId="748A2D6B" w14:textId="1A7DCC93" w:rsidR="00DA35C5" w:rsidRPr="006B42D6" w:rsidRDefault="00DA35C5" w:rsidP="00F121EE">
            <w:pPr>
              <w:jc w:val="right"/>
              <w:rPr>
                <w:sz w:val="16"/>
                <w:szCs w:val="16"/>
              </w:rPr>
            </w:pPr>
            <w:r w:rsidRPr="006B42D6">
              <w:rPr>
                <w:sz w:val="16"/>
                <w:szCs w:val="16"/>
              </w:rPr>
              <w:t>26</w:t>
            </w:r>
          </w:p>
        </w:tc>
        <w:tc>
          <w:tcPr>
            <w:tcW w:w="695" w:type="pct"/>
            <w:tcBorders>
              <w:top w:val="nil"/>
              <w:left w:val="nil"/>
              <w:bottom w:val="nil"/>
            </w:tcBorders>
            <w:shd w:val="clear" w:color="auto" w:fill="auto"/>
            <w:noWrap/>
            <w:vAlign w:val="center"/>
            <w:hideMark/>
          </w:tcPr>
          <w:p w14:paraId="73FD4872" w14:textId="7EDD6680" w:rsidR="00DA35C5" w:rsidRPr="006B42D6" w:rsidRDefault="00DA35C5" w:rsidP="00F121EE">
            <w:pPr>
              <w:jc w:val="right"/>
              <w:rPr>
                <w:sz w:val="16"/>
                <w:szCs w:val="16"/>
              </w:rPr>
            </w:pPr>
            <w:r w:rsidRPr="006B42D6">
              <w:rPr>
                <w:sz w:val="16"/>
                <w:szCs w:val="16"/>
              </w:rPr>
              <w:t>466</w:t>
            </w:r>
          </w:p>
        </w:tc>
      </w:tr>
      <w:tr w:rsidR="006B42D6" w:rsidRPr="006B42D6" w14:paraId="4585887D" w14:textId="77777777" w:rsidTr="00F62024">
        <w:trPr>
          <w:trHeight w:val="312"/>
          <w:jc w:val="center"/>
        </w:trPr>
        <w:tc>
          <w:tcPr>
            <w:tcW w:w="867" w:type="pct"/>
            <w:tcBorders>
              <w:top w:val="nil"/>
              <w:left w:val="nil"/>
              <w:bottom w:val="nil"/>
            </w:tcBorders>
            <w:shd w:val="clear" w:color="auto" w:fill="auto"/>
            <w:noWrap/>
            <w:vAlign w:val="center"/>
            <w:hideMark/>
          </w:tcPr>
          <w:p w14:paraId="324CFE22" w14:textId="37B83EBE" w:rsidR="00DA35C5" w:rsidRPr="006B42D6" w:rsidRDefault="00DA35C5" w:rsidP="00F121EE">
            <w:pPr>
              <w:jc w:val="left"/>
              <w:rPr>
                <w:sz w:val="16"/>
                <w:szCs w:val="16"/>
              </w:rPr>
            </w:pPr>
            <w:r w:rsidRPr="006B42D6">
              <w:rPr>
                <w:sz w:val="16"/>
                <w:szCs w:val="16"/>
              </w:rPr>
              <w:t>Kusini Pemba</w:t>
            </w:r>
          </w:p>
        </w:tc>
        <w:tc>
          <w:tcPr>
            <w:tcW w:w="670" w:type="pct"/>
            <w:tcBorders>
              <w:top w:val="nil"/>
              <w:bottom w:val="nil"/>
              <w:right w:val="nil"/>
            </w:tcBorders>
            <w:shd w:val="clear" w:color="auto" w:fill="auto"/>
            <w:noWrap/>
            <w:vAlign w:val="center"/>
            <w:hideMark/>
          </w:tcPr>
          <w:p w14:paraId="4EBE2263" w14:textId="682B6769" w:rsidR="00DA35C5" w:rsidRPr="006B42D6" w:rsidRDefault="00DA35C5" w:rsidP="00F121EE">
            <w:pPr>
              <w:jc w:val="right"/>
              <w:rPr>
                <w:sz w:val="16"/>
                <w:szCs w:val="16"/>
              </w:rPr>
            </w:pPr>
            <w:r w:rsidRPr="006B42D6">
              <w:rPr>
                <w:sz w:val="16"/>
                <w:szCs w:val="16"/>
              </w:rPr>
              <w:t>858</w:t>
            </w:r>
          </w:p>
        </w:tc>
        <w:tc>
          <w:tcPr>
            <w:tcW w:w="689" w:type="pct"/>
            <w:tcBorders>
              <w:top w:val="nil"/>
              <w:left w:val="nil"/>
              <w:bottom w:val="nil"/>
              <w:right w:val="nil"/>
            </w:tcBorders>
            <w:shd w:val="clear" w:color="auto" w:fill="auto"/>
            <w:noWrap/>
            <w:vAlign w:val="center"/>
            <w:hideMark/>
          </w:tcPr>
          <w:p w14:paraId="6F3A071B" w14:textId="6682F3A6" w:rsidR="00DA35C5" w:rsidRPr="006B42D6" w:rsidRDefault="00DA35C5" w:rsidP="00F121EE">
            <w:pPr>
              <w:jc w:val="right"/>
              <w:rPr>
                <w:sz w:val="16"/>
                <w:szCs w:val="16"/>
              </w:rPr>
            </w:pPr>
            <w:r w:rsidRPr="006B42D6">
              <w:rPr>
                <w:sz w:val="16"/>
                <w:szCs w:val="16"/>
              </w:rPr>
              <w:t>180</w:t>
            </w:r>
          </w:p>
        </w:tc>
        <w:tc>
          <w:tcPr>
            <w:tcW w:w="693" w:type="pct"/>
            <w:tcBorders>
              <w:top w:val="nil"/>
              <w:left w:val="nil"/>
              <w:bottom w:val="nil"/>
              <w:right w:val="nil"/>
            </w:tcBorders>
            <w:shd w:val="clear" w:color="auto" w:fill="auto"/>
            <w:noWrap/>
            <w:vAlign w:val="center"/>
            <w:hideMark/>
          </w:tcPr>
          <w:p w14:paraId="202F7A2A" w14:textId="0B9FF754" w:rsidR="00DA35C5" w:rsidRPr="006B42D6" w:rsidRDefault="00DA35C5" w:rsidP="00F121EE">
            <w:pPr>
              <w:jc w:val="right"/>
              <w:rPr>
                <w:sz w:val="16"/>
                <w:szCs w:val="16"/>
              </w:rPr>
            </w:pPr>
            <w:r w:rsidRPr="006B42D6">
              <w:rPr>
                <w:sz w:val="16"/>
                <w:szCs w:val="16"/>
              </w:rPr>
              <w:t>10,573</w:t>
            </w:r>
          </w:p>
        </w:tc>
        <w:tc>
          <w:tcPr>
            <w:tcW w:w="693" w:type="pct"/>
            <w:tcBorders>
              <w:top w:val="nil"/>
              <w:left w:val="nil"/>
              <w:bottom w:val="nil"/>
              <w:right w:val="nil"/>
            </w:tcBorders>
            <w:shd w:val="clear" w:color="auto" w:fill="auto"/>
            <w:noWrap/>
            <w:vAlign w:val="center"/>
            <w:hideMark/>
          </w:tcPr>
          <w:p w14:paraId="586E71B3" w14:textId="37B36FDE" w:rsidR="00DA35C5" w:rsidRPr="006B42D6" w:rsidRDefault="00DA35C5" w:rsidP="00F121EE">
            <w:pPr>
              <w:jc w:val="right"/>
              <w:rPr>
                <w:sz w:val="16"/>
                <w:szCs w:val="16"/>
              </w:rPr>
            </w:pPr>
            <w:r w:rsidRPr="006B42D6">
              <w:rPr>
                <w:sz w:val="16"/>
                <w:szCs w:val="16"/>
              </w:rPr>
              <w:t>1,062</w:t>
            </w:r>
          </w:p>
        </w:tc>
        <w:tc>
          <w:tcPr>
            <w:tcW w:w="693" w:type="pct"/>
            <w:tcBorders>
              <w:top w:val="nil"/>
              <w:left w:val="nil"/>
              <w:bottom w:val="nil"/>
              <w:right w:val="nil"/>
            </w:tcBorders>
            <w:shd w:val="clear" w:color="auto" w:fill="auto"/>
            <w:noWrap/>
            <w:vAlign w:val="center"/>
            <w:hideMark/>
          </w:tcPr>
          <w:p w14:paraId="200CD511" w14:textId="58D07E17" w:rsidR="00DA35C5" w:rsidRPr="006B42D6" w:rsidRDefault="00DA35C5" w:rsidP="00F121EE">
            <w:pPr>
              <w:jc w:val="right"/>
              <w:rPr>
                <w:sz w:val="16"/>
                <w:szCs w:val="16"/>
              </w:rPr>
            </w:pPr>
            <w:r w:rsidRPr="006B42D6">
              <w:rPr>
                <w:sz w:val="16"/>
                <w:szCs w:val="16"/>
              </w:rPr>
              <w:t>202</w:t>
            </w:r>
          </w:p>
        </w:tc>
        <w:tc>
          <w:tcPr>
            <w:tcW w:w="695" w:type="pct"/>
            <w:tcBorders>
              <w:top w:val="nil"/>
              <w:left w:val="nil"/>
              <w:bottom w:val="nil"/>
            </w:tcBorders>
            <w:shd w:val="clear" w:color="auto" w:fill="auto"/>
            <w:noWrap/>
            <w:vAlign w:val="center"/>
            <w:hideMark/>
          </w:tcPr>
          <w:p w14:paraId="2756BC60" w14:textId="07D844A1" w:rsidR="00DA35C5" w:rsidRPr="006B42D6" w:rsidRDefault="00DA35C5" w:rsidP="00F121EE">
            <w:pPr>
              <w:jc w:val="right"/>
              <w:rPr>
                <w:sz w:val="16"/>
                <w:szCs w:val="16"/>
              </w:rPr>
            </w:pPr>
            <w:r w:rsidRPr="006B42D6">
              <w:rPr>
                <w:sz w:val="16"/>
                <w:szCs w:val="16"/>
              </w:rPr>
              <w:t>3,108</w:t>
            </w:r>
          </w:p>
        </w:tc>
      </w:tr>
      <w:tr w:rsidR="006B42D6" w:rsidRPr="006B42D6" w14:paraId="39E8761F" w14:textId="77777777" w:rsidTr="00F62024">
        <w:trPr>
          <w:trHeight w:val="312"/>
          <w:jc w:val="center"/>
        </w:trPr>
        <w:tc>
          <w:tcPr>
            <w:tcW w:w="867" w:type="pct"/>
            <w:tcBorders>
              <w:top w:val="single" w:sz="4" w:space="0" w:color="auto"/>
              <w:left w:val="nil"/>
              <w:bottom w:val="single" w:sz="4" w:space="0" w:color="auto"/>
            </w:tcBorders>
            <w:shd w:val="clear" w:color="auto" w:fill="E2EFD9" w:themeFill="accent6" w:themeFillTint="33"/>
            <w:noWrap/>
            <w:vAlign w:val="center"/>
            <w:hideMark/>
          </w:tcPr>
          <w:p w14:paraId="2ED2068B" w14:textId="23020580" w:rsidR="00DA35C5" w:rsidRPr="006B42D6" w:rsidRDefault="00DA35C5" w:rsidP="00F121EE">
            <w:pPr>
              <w:jc w:val="left"/>
              <w:rPr>
                <w:b/>
                <w:bCs/>
                <w:sz w:val="16"/>
                <w:szCs w:val="16"/>
              </w:rPr>
            </w:pPr>
            <w:r w:rsidRPr="006B42D6">
              <w:rPr>
                <w:b/>
                <w:bCs/>
                <w:sz w:val="16"/>
                <w:szCs w:val="16"/>
              </w:rPr>
              <w:t>Tanzania Zanzibar</w:t>
            </w:r>
          </w:p>
        </w:tc>
        <w:tc>
          <w:tcPr>
            <w:tcW w:w="670" w:type="pct"/>
            <w:tcBorders>
              <w:top w:val="single" w:sz="4" w:space="0" w:color="auto"/>
              <w:bottom w:val="single" w:sz="4" w:space="0" w:color="auto"/>
              <w:right w:val="nil"/>
            </w:tcBorders>
            <w:shd w:val="clear" w:color="auto" w:fill="E2EFD9" w:themeFill="accent6" w:themeFillTint="33"/>
            <w:noWrap/>
            <w:vAlign w:val="center"/>
            <w:hideMark/>
          </w:tcPr>
          <w:p w14:paraId="4A51C1E3" w14:textId="000807D6" w:rsidR="00DA35C5" w:rsidRPr="006B42D6" w:rsidRDefault="00DA35C5" w:rsidP="00F121EE">
            <w:pPr>
              <w:jc w:val="right"/>
              <w:rPr>
                <w:b/>
                <w:bCs/>
                <w:sz w:val="16"/>
                <w:szCs w:val="16"/>
              </w:rPr>
            </w:pPr>
            <w:r w:rsidRPr="006B42D6">
              <w:rPr>
                <w:b/>
                <w:bCs/>
                <w:sz w:val="16"/>
                <w:szCs w:val="16"/>
              </w:rPr>
              <w:t>2,471</w:t>
            </w:r>
          </w:p>
        </w:tc>
        <w:tc>
          <w:tcPr>
            <w:tcW w:w="689" w:type="pct"/>
            <w:tcBorders>
              <w:top w:val="single" w:sz="4" w:space="0" w:color="auto"/>
              <w:left w:val="nil"/>
              <w:bottom w:val="single" w:sz="4" w:space="0" w:color="auto"/>
              <w:right w:val="nil"/>
            </w:tcBorders>
            <w:shd w:val="clear" w:color="auto" w:fill="E2EFD9" w:themeFill="accent6" w:themeFillTint="33"/>
            <w:noWrap/>
            <w:vAlign w:val="center"/>
            <w:hideMark/>
          </w:tcPr>
          <w:p w14:paraId="3D87EE91" w14:textId="49A261F3" w:rsidR="00DA35C5" w:rsidRPr="006B42D6" w:rsidRDefault="00DA35C5" w:rsidP="00F121EE">
            <w:pPr>
              <w:jc w:val="right"/>
              <w:rPr>
                <w:b/>
                <w:bCs/>
                <w:sz w:val="16"/>
                <w:szCs w:val="16"/>
              </w:rPr>
            </w:pPr>
            <w:r w:rsidRPr="006B42D6">
              <w:rPr>
                <w:b/>
                <w:bCs/>
                <w:sz w:val="16"/>
                <w:szCs w:val="16"/>
              </w:rPr>
              <w:t>579</w:t>
            </w:r>
          </w:p>
        </w:tc>
        <w:tc>
          <w:tcPr>
            <w:tcW w:w="693" w:type="pct"/>
            <w:tcBorders>
              <w:top w:val="single" w:sz="4" w:space="0" w:color="auto"/>
              <w:left w:val="nil"/>
              <w:bottom w:val="single" w:sz="4" w:space="0" w:color="auto"/>
              <w:right w:val="nil"/>
            </w:tcBorders>
            <w:shd w:val="clear" w:color="auto" w:fill="E2EFD9" w:themeFill="accent6" w:themeFillTint="33"/>
            <w:noWrap/>
            <w:vAlign w:val="center"/>
            <w:hideMark/>
          </w:tcPr>
          <w:p w14:paraId="22D806FF" w14:textId="604F095B" w:rsidR="00DA35C5" w:rsidRPr="006B42D6" w:rsidRDefault="00DA35C5" w:rsidP="00F121EE">
            <w:pPr>
              <w:jc w:val="right"/>
              <w:rPr>
                <w:b/>
                <w:bCs/>
                <w:sz w:val="16"/>
                <w:szCs w:val="16"/>
              </w:rPr>
            </w:pPr>
            <w:r w:rsidRPr="006B42D6">
              <w:rPr>
                <w:b/>
                <w:bCs/>
                <w:sz w:val="16"/>
                <w:szCs w:val="16"/>
              </w:rPr>
              <w:t>25,252</w:t>
            </w:r>
          </w:p>
        </w:tc>
        <w:tc>
          <w:tcPr>
            <w:tcW w:w="693" w:type="pct"/>
            <w:tcBorders>
              <w:top w:val="single" w:sz="4" w:space="0" w:color="auto"/>
              <w:left w:val="nil"/>
              <w:bottom w:val="single" w:sz="4" w:space="0" w:color="auto"/>
              <w:right w:val="nil"/>
            </w:tcBorders>
            <w:shd w:val="clear" w:color="auto" w:fill="E2EFD9" w:themeFill="accent6" w:themeFillTint="33"/>
            <w:noWrap/>
            <w:vAlign w:val="center"/>
            <w:hideMark/>
          </w:tcPr>
          <w:p w14:paraId="549121B4" w14:textId="162AA9B4" w:rsidR="00DA35C5" w:rsidRPr="006B42D6" w:rsidRDefault="00DA35C5" w:rsidP="00F121EE">
            <w:pPr>
              <w:jc w:val="right"/>
              <w:rPr>
                <w:b/>
                <w:bCs/>
                <w:sz w:val="16"/>
                <w:szCs w:val="16"/>
              </w:rPr>
            </w:pPr>
            <w:r w:rsidRPr="006B42D6">
              <w:rPr>
                <w:b/>
                <w:bCs/>
                <w:sz w:val="16"/>
                <w:szCs w:val="16"/>
              </w:rPr>
              <w:t>2,830</w:t>
            </w:r>
          </w:p>
        </w:tc>
        <w:tc>
          <w:tcPr>
            <w:tcW w:w="693" w:type="pct"/>
            <w:tcBorders>
              <w:top w:val="single" w:sz="4" w:space="0" w:color="auto"/>
              <w:left w:val="nil"/>
              <w:bottom w:val="single" w:sz="4" w:space="0" w:color="auto"/>
              <w:right w:val="nil"/>
            </w:tcBorders>
            <w:shd w:val="clear" w:color="auto" w:fill="E2EFD9" w:themeFill="accent6" w:themeFillTint="33"/>
            <w:noWrap/>
            <w:vAlign w:val="center"/>
            <w:hideMark/>
          </w:tcPr>
          <w:p w14:paraId="5EC6D1A7" w14:textId="5D7F53FC" w:rsidR="00DA35C5" w:rsidRPr="006B42D6" w:rsidRDefault="00DA35C5" w:rsidP="00F121EE">
            <w:pPr>
              <w:jc w:val="right"/>
              <w:rPr>
                <w:b/>
                <w:bCs/>
                <w:sz w:val="16"/>
                <w:szCs w:val="16"/>
              </w:rPr>
            </w:pPr>
            <w:r w:rsidRPr="006B42D6">
              <w:rPr>
                <w:b/>
                <w:bCs/>
                <w:sz w:val="16"/>
                <w:szCs w:val="16"/>
              </w:rPr>
              <w:t>1,157</w:t>
            </w:r>
          </w:p>
        </w:tc>
        <w:tc>
          <w:tcPr>
            <w:tcW w:w="695" w:type="pct"/>
            <w:tcBorders>
              <w:top w:val="single" w:sz="4" w:space="0" w:color="auto"/>
              <w:left w:val="nil"/>
              <w:bottom w:val="single" w:sz="4" w:space="0" w:color="auto"/>
            </w:tcBorders>
            <w:shd w:val="clear" w:color="auto" w:fill="E2EFD9" w:themeFill="accent6" w:themeFillTint="33"/>
            <w:noWrap/>
            <w:vAlign w:val="center"/>
            <w:hideMark/>
          </w:tcPr>
          <w:p w14:paraId="0C65D6A7" w14:textId="59E8AF26" w:rsidR="00DA35C5" w:rsidRPr="006B42D6" w:rsidRDefault="00DA35C5" w:rsidP="00F121EE">
            <w:pPr>
              <w:jc w:val="right"/>
              <w:rPr>
                <w:b/>
                <w:bCs/>
                <w:sz w:val="16"/>
                <w:szCs w:val="16"/>
              </w:rPr>
            </w:pPr>
            <w:r w:rsidRPr="006B42D6">
              <w:rPr>
                <w:b/>
                <w:bCs/>
                <w:sz w:val="16"/>
                <w:szCs w:val="16"/>
              </w:rPr>
              <w:t>17,313</w:t>
            </w:r>
          </w:p>
        </w:tc>
      </w:tr>
      <w:tr w:rsidR="00DA35C5" w:rsidRPr="006B42D6" w14:paraId="2CAE4F27" w14:textId="77777777" w:rsidTr="00F62024">
        <w:trPr>
          <w:trHeight w:val="312"/>
          <w:jc w:val="center"/>
        </w:trPr>
        <w:tc>
          <w:tcPr>
            <w:tcW w:w="867" w:type="pct"/>
            <w:tcBorders>
              <w:top w:val="nil"/>
              <w:left w:val="nil"/>
              <w:bottom w:val="single" w:sz="4" w:space="0" w:color="auto"/>
            </w:tcBorders>
            <w:shd w:val="clear" w:color="auto" w:fill="E2EFD9" w:themeFill="accent6" w:themeFillTint="33"/>
            <w:noWrap/>
            <w:vAlign w:val="center"/>
            <w:hideMark/>
          </w:tcPr>
          <w:p w14:paraId="2608589B" w14:textId="6BE613C4" w:rsidR="00DA35C5" w:rsidRPr="006B42D6" w:rsidRDefault="00DA35C5" w:rsidP="00F121EE">
            <w:pPr>
              <w:jc w:val="left"/>
              <w:rPr>
                <w:b/>
                <w:bCs/>
                <w:sz w:val="16"/>
                <w:szCs w:val="16"/>
              </w:rPr>
            </w:pPr>
            <w:r w:rsidRPr="006B42D6">
              <w:rPr>
                <w:b/>
                <w:bCs/>
                <w:sz w:val="16"/>
                <w:szCs w:val="16"/>
              </w:rPr>
              <w:t>Tanzania</w:t>
            </w:r>
          </w:p>
        </w:tc>
        <w:tc>
          <w:tcPr>
            <w:tcW w:w="670" w:type="pct"/>
            <w:tcBorders>
              <w:top w:val="nil"/>
              <w:bottom w:val="single" w:sz="4" w:space="0" w:color="auto"/>
              <w:right w:val="nil"/>
            </w:tcBorders>
            <w:shd w:val="clear" w:color="auto" w:fill="E2EFD9" w:themeFill="accent6" w:themeFillTint="33"/>
            <w:noWrap/>
            <w:vAlign w:val="center"/>
            <w:hideMark/>
          </w:tcPr>
          <w:p w14:paraId="293C07E1" w14:textId="23A1EF07" w:rsidR="00DA35C5" w:rsidRPr="006B42D6" w:rsidRDefault="00DA35C5" w:rsidP="00F121EE">
            <w:pPr>
              <w:jc w:val="right"/>
              <w:rPr>
                <w:b/>
                <w:bCs/>
                <w:sz w:val="16"/>
                <w:szCs w:val="16"/>
              </w:rPr>
            </w:pPr>
            <w:r w:rsidRPr="006B42D6">
              <w:rPr>
                <w:b/>
                <w:bCs/>
                <w:sz w:val="16"/>
                <w:szCs w:val="16"/>
              </w:rPr>
              <w:t>241,172</w:t>
            </w:r>
          </w:p>
        </w:tc>
        <w:tc>
          <w:tcPr>
            <w:tcW w:w="689" w:type="pct"/>
            <w:tcBorders>
              <w:top w:val="nil"/>
              <w:left w:val="nil"/>
              <w:bottom w:val="single" w:sz="4" w:space="0" w:color="auto"/>
              <w:right w:val="nil"/>
            </w:tcBorders>
            <w:shd w:val="clear" w:color="auto" w:fill="E2EFD9" w:themeFill="accent6" w:themeFillTint="33"/>
            <w:noWrap/>
            <w:vAlign w:val="center"/>
            <w:hideMark/>
          </w:tcPr>
          <w:p w14:paraId="7F0706D8" w14:textId="56F800E1" w:rsidR="00DA35C5" w:rsidRPr="006B42D6" w:rsidRDefault="00DA35C5" w:rsidP="00F121EE">
            <w:pPr>
              <w:jc w:val="right"/>
              <w:rPr>
                <w:b/>
                <w:bCs/>
                <w:sz w:val="16"/>
                <w:szCs w:val="16"/>
              </w:rPr>
            </w:pPr>
            <w:r w:rsidRPr="006B42D6">
              <w:rPr>
                <w:b/>
                <w:bCs/>
                <w:sz w:val="16"/>
                <w:szCs w:val="16"/>
              </w:rPr>
              <w:t>49,438</w:t>
            </w:r>
          </w:p>
        </w:tc>
        <w:tc>
          <w:tcPr>
            <w:tcW w:w="693" w:type="pct"/>
            <w:tcBorders>
              <w:top w:val="nil"/>
              <w:left w:val="nil"/>
              <w:bottom w:val="single" w:sz="4" w:space="0" w:color="auto"/>
              <w:right w:val="nil"/>
            </w:tcBorders>
            <w:shd w:val="clear" w:color="auto" w:fill="E2EFD9" w:themeFill="accent6" w:themeFillTint="33"/>
            <w:noWrap/>
            <w:vAlign w:val="center"/>
            <w:hideMark/>
          </w:tcPr>
          <w:p w14:paraId="4B9E90F1" w14:textId="4420B9E3" w:rsidR="00DA35C5" w:rsidRPr="006B42D6" w:rsidRDefault="00DA35C5" w:rsidP="00F121EE">
            <w:pPr>
              <w:jc w:val="right"/>
              <w:rPr>
                <w:b/>
                <w:bCs/>
                <w:sz w:val="16"/>
                <w:szCs w:val="16"/>
              </w:rPr>
            </w:pPr>
            <w:r w:rsidRPr="006B42D6">
              <w:rPr>
                <w:b/>
                <w:bCs/>
                <w:sz w:val="16"/>
                <w:szCs w:val="16"/>
              </w:rPr>
              <w:t>417,793</w:t>
            </w:r>
          </w:p>
        </w:tc>
        <w:tc>
          <w:tcPr>
            <w:tcW w:w="693" w:type="pct"/>
            <w:tcBorders>
              <w:top w:val="nil"/>
              <w:left w:val="nil"/>
              <w:bottom w:val="single" w:sz="4" w:space="0" w:color="auto"/>
              <w:right w:val="nil"/>
            </w:tcBorders>
            <w:shd w:val="clear" w:color="auto" w:fill="E2EFD9" w:themeFill="accent6" w:themeFillTint="33"/>
            <w:noWrap/>
            <w:vAlign w:val="center"/>
            <w:hideMark/>
          </w:tcPr>
          <w:p w14:paraId="1D2B4CC9" w14:textId="1E453569" w:rsidR="00DA35C5" w:rsidRPr="006B42D6" w:rsidRDefault="00DA35C5" w:rsidP="00F121EE">
            <w:pPr>
              <w:jc w:val="right"/>
              <w:rPr>
                <w:b/>
                <w:bCs/>
                <w:sz w:val="16"/>
                <w:szCs w:val="16"/>
              </w:rPr>
            </w:pPr>
            <w:r w:rsidRPr="006B42D6">
              <w:rPr>
                <w:b/>
                <w:bCs/>
                <w:sz w:val="16"/>
                <w:szCs w:val="16"/>
              </w:rPr>
              <w:t>45,926</w:t>
            </w:r>
          </w:p>
        </w:tc>
        <w:tc>
          <w:tcPr>
            <w:tcW w:w="693" w:type="pct"/>
            <w:tcBorders>
              <w:top w:val="nil"/>
              <w:left w:val="nil"/>
              <w:bottom w:val="single" w:sz="4" w:space="0" w:color="auto"/>
              <w:right w:val="nil"/>
            </w:tcBorders>
            <w:shd w:val="clear" w:color="auto" w:fill="E2EFD9" w:themeFill="accent6" w:themeFillTint="33"/>
            <w:noWrap/>
            <w:vAlign w:val="center"/>
            <w:hideMark/>
          </w:tcPr>
          <w:p w14:paraId="212D8FB1" w14:textId="14173930" w:rsidR="00DA35C5" w:rsidRPr="006B42D6" w:rsidRDefault="00DA35C5" w:rsidP="00F121EE">
            <w:pPr>
              <w:jc w:val="right"/>
              <w:rPr>
                <w:b/>
                <w:bCs/>
                <w:sz w:val="16"/>
                <w:szCs w:val="16"/>
              </w:rPr>
            </w:pPr>
            <w:r w:rsidRPr="006B42D6">
              <w:rPr>
                <w:b/>
                <w:bCs/>
                <w:sz w:val="16"/>
                <w:szCs w:val="16"/>
              </w:rPr>
              <w:t>31,845</w:t>
            </w:r>
          </w:p>
        </w:tc>
        <w:tc>
          <w:tcPr>
            <w:tcW w:w="695" w:type="pct"/>
            <w:tcBorders>
              <w:top w:val="nil"/>
              <w:left w:val="nil"/>
              <w:bottom w:val="single" w:sz="4" w:space="0" w:color="auto"/>
            </w:tcBorders>
            <w:shd w:val="clear" w:color="auto" w:fill="E2EFD9" w:themeFill="accent6" w:themeFillTint="33"/>
            <w:noWrap/>
            <w:vAlign w:val="center"/>
            <w:hideMark/>
          </w:tcPr>
          <w:p w14:paraId="6BEE3684" w14:textId="582AD0D3" w:rsidR="00DA35C5" w:rsidRPr="006B42D6" w:rsidRDefault="00DA35C5" w:rsidP="00F121EE">
            <w:pPr>
              <w:jc w:val="right"/>
              <w:rPr>
                <w:b/>
                <w:bCs/>
                <w:sz w:val="16"/>
                <w:szCs w:val="16"/>
              </w:rPr>
            </w:pPr>
            <w:r w:rsidRPr="006B42D6">
              <w:rPr>
                <w:b/>
                <w:bCs/>
                <w:sz w:val="16"/>
                <w:szCs w:val="16"/>
              </w:rPr>
              <w:t>525,142</w:t>
            </w:r>
          </w:p>
        </w:tc>
      </w:tr>
    </w:tbl>
    <w:p w14:paraId="40FDEB84" w14:textId="58593BD6" w:rsidR="00EF5C3C" w:rsidRDefault="00EF5C3C" w:rsidP="00BE0494"/>
    <w:p w14:paraId="725971BB" w14:textId="77777777" w:rsidR="00EF5C3C" w:rsidRDefault="00EF5C3C">
      <w:pPr>
        <w:spacing w:line="240" w:lineRule="auto"/>
        <w:contextualSpacing w:val="0"/>
        <w:jc w:val="left"/>
      </w:pPr>
      <w:r>
        <w:br w:type="page"/>
      </w:r>
    </w:p>
    <w:p w14:paraId="6758A94D" w14:textId="5F7FAE17" w:rsidR="0023528E" w:rsidRPr="006B42D6" w:rsidRDefault="0023528E" w:rsidP="005C2EFC">
      <w:pPr>
        <w:pStyle w:val="Heading4"/>
      </w:pPr>
      <w:bookmarkStart w:id="220" w:name="_Toc82385673"/>
      <w:r w:rsidRPr="006B42D6">
        <w:lastRenderedPageBreak/>
        <w:t>3.1.</w:t>
      </w:r>
      <w:r w:rsidR="00193728">
        <w:t>5</w:t>
      </w:r>
      <w:r w:rsidRPr="006B42D6">
        <w:t>.8</w:t>
      </w:r>
      <w:r w:rsidR="000807B0" w:rsidRPr="006B42D6">
        <w:tab/>
      </w:r>
      <w:r w:rsidRPr="006B42D6">
        <w:t>Orange</w:t>
      </w:r>
      <w:bookmarkEnd w:id="220"/>
      <w:r w:rsidRPr="006B42D6">
        <w:t xml:space="preserve"> </w:t>
      </w:r>
    </w:p>
    <w:p w14:paraId="4F63E595" w14:textId="137C94DB" w:rsidR="0023528E" w:rsidRPr="006B42D6" w:rsidRDefault="0023528E" w:rsidP="005C2EFC">
      <w:pPr>
        <w:pStyle w:val="Default"/>
        <w:spacing w:line="360" w:lineRule="auto"/>
        <w:jc w:val="both"/>
        <w:rPr>
          <w:color w:val="auto"/>
        </w:rPr>
      </w:pPr>
      <w:r w:rsidRPr="006B42D6">
        <w:rPr>
          <w:bCs/>
          <w:color w:val="auto"/>
        </w:rPr>
        <w:t>Orange</w:t>
      </w:r>
      <w:r w:rsidRPr="006B42D6">
        <w:rPr>
          <w:color w:val="auto"/>
        </w:rPr>
        <w:t xml:space="preserve"> production in Tanzania involved 241,205 households</w:t>
      </w:r>
      <w:r w:rsidR="008138C0" w:rsidRPr="006B42D6">
        <w:rPr>
          <w:color w:val="auto"/>
        </w:rPr>
        <w:t xml:space="preserve"> out </w:t>
      </w:r>
      <w:r w:rsidRPr="006B42D6">
        <w:rPr>
          <w:color w:val="auto"/>
        </w:rPr>
        <w:t>of which 228,406</w:t>
      </w:r>
      <w:r w:rsidR="008138C0" w:rsidRPr="006B42D6">
        <w:rPr>
          <w:color w:val="auto"/>
        </w:rPr>
        <w:t xml:space="preserve"> households</w:t>
      </w:r>
      <w:r w:rsidRPr="006B42D6">
        <w:rPr>
          <w:color w:val="auto"/>
        </w:rPr>
        <w:t xml:space="preserve"> were in </w:t>
      </w:r>
      <w:r w:rsidR="00EA1552">
        <w:rPr>
          <w:color w:val="auto"/>
        </w:rPr>
        <w:t>Mainland Tanzania</w:t>
      </w:r>
      <w:r w:rsidRPr="006B42D6">
        <w:rPr>
          <w:color w:val="auto"/>
        </w:rPr>
        <w:t xml:space="preserve"> and 12,799 in </w:t>
      </w:r>
      <w:r w:rsidR="00FA16B7" w:rsidRPr="006B42D6">
        <w:rPr>
          <w:color w:val="auto"/>
        </w:rPr>
        <w:t xml:space="preserve">Tanzania </w:t>
      </w:r>
      <w:r w:rsidRPr="006B42D6">
        <w:rPr>
          <w:color w:val="auto"/>
        </w:rPr>
        <w:t xml:space="preserve">Zanzibar. </w:t>
      </w:r>
      <w:r w:rsidR="007D0A1E" w:rsidRPr="006B42D6">
        <w:rPr>
          <w:color w:val="auto"/>
        </w:rPr>
        <w:t xml:space="preserve">The total planted area with orange was </w:t>
      </w:r>
      <w:r w:rsidR="00F70CE2" w:rsidRPr="006B42D6">
        <w:rPr>
          <w:color w:val="auto"/>
        </w:rPr>
        <w:t>48,173</w:t>
      </w:r>
      <w:r w:rsidR="007D0A1E" w:rsidRPr="006B42D6">
        <w:rPr>
          <w:color w:val="auto"/>
        </w:rPr>
        <w:t xml:space="preserve"> ha, of which </w:t>
      </w:r>
      <w:r w:rsidR="00F70CE2" w:rsidRPr="006B42D6">
        <w:rPr>
          <w:color w:val="auto"/>
        </w:rPr>
        <w:t>47,807</w:t>
      </w:r>
      <w:r w:rsidR="00D638B0" w:rsidRPr="006B42D6">
        <w:rPr>
          <w:color w:val="auto"/>
        </w:rPr>
        <w:t xml:space="preserve"> </w:t>
      </w:r>
      <w:r w:rsidR="007D0A1E" w:rsidRPr="006B42D6">
        <w:rPr>
          <w:color w:val="auto"/>
        </w:rPr>
        <w:t>ha were from smallholder farmers and 366 ha from large scale farms. Out of the total planted area by smallholder farmers</w:t>
      </w:r>
      <w:r w:rsidR="00D638B0" w:rsidRPr="006B42D6">
        <w:rPr>
          <w:color w:val="auto"/>
        </w:rPr>
        <w:t xml:space="preserve">, </w:t>
      </w:r>
      <w:r w:rsidR="00CC5040" w:rsidRPr="006B42D6">
        <w:rPr>
          <w:color w:val="auto"/>
        </w:rPr>
        <w:t>46</w:t>
      </w:r>
      <w:r w:rsidRPr="006B42D6">
        <w:rPr>
          <w:color w:val="auto"/>
        </w:rPr>
        <w:t>,</w:t>
      </w:r>
      <w:r w:rsidR="00CC5040" w:rsidRPr="006B42D6">
        <w:rPr>
          <w:color w:val="auto"/>
        </w:rPr>
        <w:t>454</w:t>
      </w:r>
      <w:r w:rsidRPr="006B42D6">
        <w:rPr>
          <w:color w:val="auto"/>
        </w:rPr>
        <w:t xml:space="preserve"> ha were in </w:t>
      </w:r>
      <w:r w:rsidR="00EA1552">
        <w:rPr>
          <w:color w:val="auto"/>
        </w:rPr>
        <w:t>Mainland Tanzania</w:t>
      </w:r>
      <w:r w:rsidRPr="006B42D6">
        <w:rPr>
          <w:color w:val="auto"/>
        </w:rPr>
        <w:t xml:space="preserve"> and </w:t>
      </w:r>
      <w:r w:rsidR="00CC5040" w:rsidRPr="006B42D6">
        <w:rPr>
          <w:color w:val="auto"/>
        </w:rPr>
        <w:t>1,353</w:t>
      </w:r>
      <w:r w:rsidRPr="006B42D6">
        <w:rPr>
          <w:color w:val="auto"/>
        </w:rPr>
        <w:t xml:space="preserve"> ha in </w:t>
      </w:r>
      <w:r w:rsidR="00FA16B7" w:rsidRPr="006B42D6">
        <w:rPr>
          <w:color w:val="auto"/>
        </w:rPr>
        <w:t xml:space="preserve">Tanzania </w:t>
      </w:r>
      <w:r w:rsidRPr="006B42D6">
        <w:rPr>
          <w:color w:val="auto"/>
        </w:rPr>
        <w:t xml:space="preserve">Zanzibar. In </w:t>
      </w:r>
      <w:r w:rsidR="00EA1552">
        <w:rPr>
          <w:color w:val="auto"/>
        </w:rPr>
        <w:t>Mainland Tanzania</w:t>
      </w:r>
      <w:r w:rsidRPr="006B42D6">
        <w:rPr>
          <w:color w:val="auto"/>
        </w:rPr>
        <w:t xml:space="preserve">, Tanga </w:t>
      </w:r>
      <w:r w:rsidR="00CC5040" w:rsidRPr="006B42D6">
        <w:rPr>
          <w:color w:val="auto"/>
        </w:rPr>
        <w:t>r</w:t>
      </w:r>
      <w:r w:rsidRPr="006B42D6">
        <w:rPr>
          <w:color w:val="auto"/>
        </w:rPr>
        <w:t xml:space="preserve">egion had the largest planted area with </w:t>
      </w:r>
      <w:r w:rsidRPr="006B42D6">
        <w:rPr>
          <w:bCs/>
          <w:color w:val="auto"/>
        </w:rPr>
        <w:t>Orange</w:t>
      </w:r>
      <w:r w:rsidR="00CC5040" w:rsidRPr="006B42D6">
        <w:rPr>
          <w:bCs/>
          <w:color w:val="auto"/>
        </w:rPr>
        <w:t xml:space="preserve"> </w:t>
      </w:r>
      <w:r w:rsidR="00CC5040" w:rsidRPr="006B42D6">
        <w:rPr>
          <w:color w:val="auto"/>
        </w:rPr>
        <w:t>(23,827 ha; 51.3 percent),</w:t>
      </w:r>
      <w:r w:rsidRPr="006B42D6">
        <w:rPr>
          <w:color w:val="auto"/>
        </w:rPr>
        <w:t xml:space="preserve"> followed by Pwani (8,765 ha; 18.9 percent) and Lindi (4,540 ha; 9.8 percent). On the other hand, Rukwa region had the least planted area (0.4 ha</w:t>
      </w:r>
      <w:r w:rsidR="00CC5040" w:rsidRPr="006B42D6">
        <w:rPr>
          <w:color w:val="auto"/>
        </w:rPr>
        <w:t>; 0.001 percent</w:t>
      </w:r>
      <w:r w:rsidRPr="006B42D6">
        <w:rPr>
          <w:color w:val="auto"/>
        </w:rPr>
        <w:t>)</w:t>
      </w:r>
      <w:r w:rsidR="00CC5040" w:rsidRPr="006B42D6">
        <w:rPr>
          <w:color w:val="auto"/>
        </w:rPr>
        <w:t>.</w:t>
      </w:r>
      <w:r w:rsidRPr="006B42D6">
        <w:rPr>
          <w:color w:val="auto"/>
        </w:rPr>
        <w:t xml:space="preserve"> In </w:t>
      </w:r>
      <w:r w:rsidR="00FA16B7" w:rsidRPr="006B42D6">
        <w:rPr>
          <w:color w:val="auto"/>
        </w:rPr>
        <w:t xml:space="preserve">Tanzania </w:t>
      </w:r>
      <w:r w:rsidRPr="006B42D6">
        <w:rPr>
          <w:color w:val="auto"/>
        </w:rPr>
        <w:t xml:space="preserve">Zanzibar, Kusini Pemba led with the planted area of </w:t>
      </w:r>
      <w:r w:rsidR="00CC5040" w:rsidRPr="006B42D6">
        <w:rPr>
          <w:color w:val="auto"/>
        </w:rPr>
        <w:t>411</w:t>
      </w:r>
      <w:r w:rsidRPr="006B42D6">
        <w:rPr>
          <w:color w:val="auto"/>
        </w:rPr>
        <w:t xml:space="preserve"> ha (30.</w:t>
      </w:r>
      <w:r w:rsidR="00CC5040" w:rsidRPr="006B42D6">
        <w:rPr>
          <w:color w:val="auto"/>
        </w:rPr>
        <w:t>4</w:t>
      </w:r>
      <w:r w:rsidRPr="006B42D6">
        <w:rPr>
          <w:color w:val="auto"/>
        </w:rPr>
        <w:t xml:space="preserve"> percent), followed by Mjini Magharibi with the planted area of </w:t>
      </w:r>
      <w:r w:rsidR="00CC5040" w:rsidRPr="006B42D6">
        <w:rPr>
          <w:color w:val="auto"/>
        </w:rPr>
        <w:t>406</w:t>
      </w:r>
      <w:r w:rsidRPr="006B42D6">
        <w:rPr>
          <w:color w:val="auto"/>
        </w:rPr>
        <w:t xml:space="preserve"> ha (</w:t>
      </w:r>
      <w:r w:rsidR="00CC5040" w:rsidRPr="006B42D6">
        <w:rPr>
          <w:color w:val="auto"/>
        </w:rPr>
        <w:t>30</w:t>
      </w:r>
      <w:r w:rsidRPr="006B42D6">
        <w:rPr>
          <w:color w:val="auto"/>
        </w:rPr>
        <w:t>.</w:t>
      </w:r>
      <w:r w:rsidR="00CC5040" w:rsidRPr="006B42D6">
        <w:rPr>
          <w:color w:val="auto"/>
        </w:rPr>
        <w:t>0</w:t>
      </w:r>
      <w:r w:rsidRPr="006B42D6">
        <w:rPr>
          <w:color w:val="auto"/>
        </w:rPr>
        <w:t xml:space="preserve"> percent). </w:t>
      </w:r>
      <w:r w:rsidR="00CC5040" w:rsidRPr="006B42D6">
        <w:rPr>
          <w:color w:val="auto"/>
        </w:rPr>
        <w:t>Kaskazini Pemba had the least planted area with orange (3 ha; 0.2 percent).</w:t>
      </w:r>
    </w:p>
    <w:p w14:paraId="466B7393" w14:textId="245913D2" w:rsidR="0023528E" w:rsidRPr="006B42D6" w:rsidRDefault="0023528E" w:rsidP="000A6832">
      <w:pPr>
        <w:pStyle w:val="Default"/>
        <w:jc w:val="both"/>
        <w:rPr>
          <w:color w:val="auto"/>
        </w:rPr>
      </w:pPr>
    </w:p>
    <w:p w14:paraId="4E8C788D" w14:textId="188909F6" w:rsidR="00CC5040" w:rsidRPr="006B42D6" w:rsidRDefault="007D0A1E" w:rsidP="00D638B0">
      <w:pPr>
        <w:pStyle w:val="Default"/>
        <w:spacing w:line="360" w:lineRule="auto"/>
        <w:jc w:val="both"/>
        <w:rPr>
          <w:color w:val="auto"/>
        </w:rPr>
      </w:pPr>
      <w:r w:rsidRPr="006B42D6">
        <w:rPr>
          <w:color w:val="auto"/>
        </w:rPr>
        <w:t xml:space="preserve">The total </w:t>
      </w:r>
      <w:r w:rsidR="00F70CE2" w:rsidRPr="006B42D6">
        <w:rPr>
          <w:color w:val="auto"/>
        </w:rPr>
        <w:t>harvested</w:t>
      </w:r>
      <w:r w:rsidRPr="006B42D6">
        <w:rPr>
          <w:color w:val="auto"/>
        </w:rPr>
        <w:t xml:space="preserve"> area with </w:t>
      </w:r>
      <w:r w:rsidR="00D638B0" w:rsidRPr="006B42D6">
        <w:rPr>
          <w:color w:val="auto"/>
        </w:rPr>
        <w:t>orange</w:t>
      </w:r>
      <w:r w:rsidRPr="006B42D6">
        <w:rPr>
          <w:color w:val="auto"/>
        </w:rPr>
        <w:t xml:space="preserve"> was </w:t>
      </w:r>
      <w:r w:rsidR="00C51D13" w:rsidRPr="006B42D6">
        <w:rPr>
          <w:color w:val="auto"/>
        </w:rPr>
        <w:t>25,697</w:t>
      </w:r>
      <w:r w:rsidRPr="006B42D6">
        <w:rPr>
          <w:color w:val="auto"/>
        </w:rPr>
        <w:t xml:space="preserve"> ha, of which </w:t>
      </w:r>
      <w:r w:rsidR="00D638B0" w:rsidRPr="006B42D6">
        <w:rPr>
          <w:color w:val="auto"/>
        </w:rPr>
        <w:t>25,397</w:t>
      </w:r>
      <w:r w:rsidRPr="006B42D6">
        <w:rPr>
          <w:color w:val="auto"/>
        </w:rPr>
        <w:t xml:space="preserve"> ha were from smallholder farmers and </w:t>
      </w:r>
      <w:r w:rsidR="00F70CE2" w:rsidRPr="006B42D6">
        <w:rPr>
          <w:color w:val="auto"/>
        </w:rPr>
        <w:t>300</w:t>
      </w:r>
      <w:r w:rsidRPr="006B42D6">
        <w:rPr>
          <w:color w:val="auto"/>
        </w:rPr>
        <w:t xml:space="preserve"> ha from large scale farms. Out of the total </w:t>
      </w:r>
      <w:r w:rsidR="00F70CE2" w:rsidRPr="006B42D6">
        <w:rPr>
          <w:color w:val="auto"/>
        </w:rPr>
        <w:t>harvested</w:t>
      </w:r>
      <w:r w:rsidRPr="006B42D6">
        <w:rPr>
          <w:color w:val="auto"/>
        </w:rPr>
        <w:t xml:space="preserve"> area by smallholder farmers, </w:t>
      </w:r>
      <w:r w:rsidR="00D638B0" w:rsidRPr="006B42D6">
        <w:rPr>
          <w:color w:val="auto"/>
        </w:rPr>
        <w:t xml:space="preserve">24,627 </w:t>
      </w:r>
      <w:r w:rsidRPr="006B42D6">
        <w:rPr>
          <w:color w:val="auto"/>
        </w:rPr>
        <w:t xml:space="preserve">ha were in </w:t>
      </w:r>
      <w:r w:rsidR="00EA1552">
        <w:rPr>
          <w:color w:val="auto"/>
        </w:rPr>
        <w:t>Mainland Tanzania</w:t>
      </w:r>
      <w:r w:rsidRPr="006B42D6">
        <w:rPr>
          <w:color w:val="auto"/>
        </w:rPr>
        <w:t xml:space="preserve"> and </w:t>
      </w:r>
      <w:r w:rsidR="00D638B0" w:rsidRPr="006B42D6">
        <w:rPr>
          <w:color w:val="auto"/>
        </w:rPr>
        <w:t xml:space="preserve">770 </w:t>
      </w:r>
      <w:r w:rsidRPr="006B42D6">
        <w:rPr>
          <w:color w:val="auto"/>
        </w:rPr>
        <w:t>ha in Tanzania Zanzibar.</w:t>
      </w:r>
      <w:r w:rsidR="00D638B0" w:rsidRPr="006B42D6">
        <w:rPr>
          <w:color w:val="auto"/>
        </w:rPr>
        <w:t xml:space="preserve"> </w:t>
      </w:r>
      <w:r w:rsidR="00CC5040" w:rsidRPr="006B42D6">
        <w:rPr>
          <w:color w:val="auto"/>
        </w:rPr>
        <w:t xml:space="preserve">In </w:t>
      </w:r>
      <w:r w:rsidR="00EA1552">
        <w:rPr>
          <w:color w:val="auto"/>
        </w:rPr>
        <w:t>Mainland Tanzania</w:t>
      </w:r>
      <w:r w:rsidR="00CC5040" w:rsidRPr="006B42D6">
        <w:rPr>
          <w:color w:val="auto"/>
        </w:rPr>
        <w:t xml:space="preserve">, Tanga region reported the largest harvested area (16,289 ha; 66.1 percent), followed by Pwani (3,703 ha; 15.0 percent) and Mtwara (1,008 ha; 4.1 percent) and the least harvested area was in Shinyanga (0.4 ha; 0.02 percent). In Tanzania Zanzibar, Mjini Magharibi had the largest harvested area (355 ha; 46.1 percent), followed by Kusini Unguja (260 ha; 33.7 percent), while the least harvested area was Kaskazini Unguja (63 ha; 8.2 percent). </w:t>
      </w:r>
    </w:p>
    <w:p w14:paraId="4DB25C51" w14:textId="5D3B9407" w:rsidR="00CC5040" w:rsidRPr="006B42D6" w:rsidRDefault="00CC5040" w:rsidP="000A6832">
      <w:pPr>
        <w:pStyle w:val="Default"/>
        <w:jc w:val="both"/>
        <w:rPr>
          <w:color w:val="auto"/>
        </w:rPr>
      </w:pPr>
    </w:p>
    <w:p w14:paraId="233D9E34" w14:textId="76FED220" w:rsidR="0023528E" w:rsidRPr="006B42D6" w:rsidRDefault="00D638B0" w:rsidP="005C2EFC">
      <w:pPr>
        <w:pStyle w:val="Default"/>
        <w:spacing w:line="360" w:lineRule="auto"/>
        <w:jc w:val="both"/>
        <w:rPr>
          <w:color w:val="auto"/>
        </w:rPr>
      </w:pPr>
      <w:r w:rsidRPr="006B42D6">
        <w:rPr>
          <w:bCs/>
          <w:color w:val="auto"/>
        </w:rPr>
        <w:t>Orange</w:t>
      </w:r>
      <w:r w:rsidR="007D0A1E" w:rsidRPr="006B42D6">
        <w:rPr>
          <w:color w:val="auto"/>
        </w:rPr>
        <w:t xml:space="preserve"> production in Tanzania was </w:t>
      </w:r>
      <w:r w:rsidR="00C51D13" w:rsidRPr="006B42D6">
        <w:rPr>
          <w:bCs/>
          <w:color w:val="auto"/>
        </w:rPr>
        <w:t>162,691</w:t>
      </w:r>
      <w:r w:rsidR="007D0A1E" w:rsidRPr="006B42D6">
        <w:rPr>
          <w:bCs/>
          <w:color w:val="auto"/>
        </w:rPr>
        <w:t xml:space="preserve"> tons, out </w:t>
      </w:r>
      <w:r w:rsidR="007D0A1E" w:rsidRPr="006B42D6">
        <w:rPr>
          <w:color w:val="auto"/>
        </w:rPr>
        <w:t xml:space="preserve">of which </w:t>
      </w:r>
      <w:r w:rsidRPr="006B42D6">
        <w:rPr>
          <w:bCs/>
          <w:color w:val="auto"/>
        </w:rPr>
        <w:t>159,727</w:t>
      </w:r>
      <w:r w:rsidR="007D0A1E" w:rsidRPr="006B42D6">
        <w:rPr>
          <w:bCs/>
          <w:color w:val="auto"/>
        </w:rPr>
        <w:t xml:space="preserve"> </w:t>
      </w:r>
      <w:r w:rsidR="007D0A1E" w:rsidRPr="006B42D6">
        <w:rPr>
          <w:color w:val="auto"/>
        </w:rPr>
        <w:t>tons was produced by smallholder farmers and</w:t>
      </w:r>
      <w:r w:rsidR="007D0A1E" w:rsidRPr="006B42D6">
        <w:rPr>
          <w:bCs/>
          <w:color w:val="auto"/>
        </w:rPr>
        <w:t xml:space="preserve"> </w:t>
      </w:r>
      <w:r w:rsidR="00C51D13" w:rsidRPr="006B42D6">
        <w:rPr>
          <w:bCs/>
          <w:color w:val="auto"/>
        </w:rPr>
        <w:t>2,964</w:t>
      </w:r>
      <w:r w:rsidR="007D0A1E" w:rsidRPr="006B42D6">
        <w:rPr>
          <w:bCs/>
          <w:color w:val="auto"/>
        </w:rPr>
        <w:t xml:space="preserve"> </w:t>
      </w:r>
      <w:r w:rsidR="007D0A1E" w:rsidRPr="006B42D6">
        <w:rPr>
          <w:color w:val="auto"/>
        </w:rPr>
        <w:t xml:space="preserve">tons was produced by large scale farms. Out of the total production by smallholder farmers, </w:t>
      </w:r>
      <w:r w:rsidRPr="006B42D6">
        <w:rPr>
          <w:color w:val="auto"/>
        </w:rPr>
        <w:t xml:space="preserve">151,769 </w:t>
      </w:r>
      <w:r w:rsidR="007D0A1E" w:rsidRPr="006B42D6">
        <w:rPr>
          <w:color w:val="auto"/>
        </w:rPr>
        <w:t xml:space="preserve">tons were in </w:t>
      </w:r>
      <w:r w:rsidR="00EA1552">
        <w:rPr>
          <w:color w:val="auto"/>
        </w:rPr>
        <w:t>Mainland Tanzania</w:t>
      </w:r>
      <w:r w:rsidR="007D0A1E" w:rsidRPr="006B42D6">
        <w:rPr>
          <w:color w:val="auto"/>
        </w:rPr>
        <w:t xml:space="preserve"> and </w:t>
      </w:r>
      <w:r w:rsidRPr="006B42D6">
        <w:rPr>
          <w:color w:val="auto"/>
        </w:rPr>
        <w:t xml:space="preserve">7,958 </w:t>
      </w:r>
      <w:r w:rsidR="007D0A1E" w:rsidRPr="006B42D6">
        <w:rPr>
          <w:color w:val="auto"/>
        </w:rPr>
        <w:t>tons in Tanzania Zanzibar.</w:t>
      </w:r>
      <w:r w:rsidRPr="006B42D6">
        <w:rPr>
          <w:color w:val="auto"/>
        </w:rPr>
        <w:t xml:space="preserve"> </w:t>
      </w:r>
      <w:r w:rsidR="0023528E" w:rsidRPr="006B42D6">
        <w:rPr>
          <w:color w:val="auto"/>
        </w:rPr>
        <w:t xml:space="preserve">In </w:t>
      </w:r>
      <w:r w:rsidR="00EA1552">
        <w:rPr>
          <w:color w:val="auto"/>
        </w:rPr>
        <w:t>Mainland Tanzania</w:t>
      </w:r>
      <w:r w:rsidR="0023528E" w:rsidRPr="006B42D6">
        <w:rPr>
          <w:color w:val="auto"/>
        </w:rPr>
        <w:t xml:space="preserve">, Tanga </w:t>
      </w:r>
      <w:r w:rsidR="00CC5040" w:rsidRPr="006B42D6">
        <w:rPr>
          <w:color w:val="auto"/>
        </w:rPr>
        <w:t>r</w:t>
      </w:r>
      <w:r w:rsidR="0023528E" w:rsidRPr="006B42D6">
        <w:rPr>
          <w:color w:val="auto"/>
        </w:rPr>
        <w:t>egion had the highest production</w:t>
      </w:r>
      <w:r w:rsidR="00CC5040" w:rsidRPr="006B42D6">
        <w:rPr>
          <w:color w:val="auto"/>
        </w:rPr>
        <w:t xml:space="preserve"> (117,582 tons; 77.5 percent)</w:t>
      </w:r>
      <w:r w:rsidR="0023528E" w:rsidRPr="006B42D6">
        <w:rPr>
          <w:color w:val="auto"/>
        </w:rPr>
        <w:t>, followed by Pwani (</w:t>
      </w:r>
      <w:r w:rsidR="00CC5040" w:rsidRPr="006B42D6">
        <w:rPr>
          <w:color w:val="auto"/>
        </w:rPr>
        <w:t>17</w:t>
      </w:r>
      <w:r w:rsidR="0023528E" w:rsidRPr="006B42D6">
        <w:rPr>
          <w:color w:val="auto"/>
        </w:rPr>
        <w:t>,</w:t>
      </w:r>
      <w:r w:rsidR="00CC5040" w:rsidRPr="006B42D6">
        <w:rPr>
          <w:color w:val="auto"/>
        </w:rPr>
        <w:t>332</w:t>
      </w:r>
      <w:r w:rsidR="0023528E" w:rsidRPr="006B42D6">
        <w:rPr>
          <w:color w:val="auto"/>
        </w:rPr>
        <w:t xml:space="preserve"> tons; </w:t>
      </w:r>
      <w:r w:rsidR="00CC5040" w:rsidRPr="006B42D6">
        <w:rPr>
          <w:color w:val="auto"/>
        </w:rPr>
        <w:t>11.4</w:t>
      </w:r>
      <w:r w:rsidR="0023528E" w:rsidRPr="006B42D6">
        <w:rPr>
          <w:color w:val="auto"/>
        </w:rPr>
        <w:t xml:space="preserve"> percent) and Mtwara (</w:t>
      </w:r>
      <w:r w:rsidR="00CC5040" w:rsidRPr="006B42D6">
        <w:rPr>
          <w:color w:val="auto"/>
        </w:rPr>
        <w:t>8,066</w:t>
      </w:r>
      <w:r w:rsidR="0023528E" w:rsidRPr="006B42D6">
        <w:rPr>
          <w:color w:val="auto"/>
        </w:rPr>
        <w:t xml:space="preserve"> tons; </w:t>
      </w:r>
      <w:r w:rsidR="00CC5040" w:rsidRPr="006B42D6">
        <w:rPr>
          <w:color w:val="auto"/>
        </w:rPr>
        <w:t>5.3</w:t>
      </w:r>
      <w:r w:rsidR="0023528E" w:rsidRPr="006B42D6">
        <w:rPr>
          <w:color w:val="auto"/>
        </w:rPr>
        <w:t xml:space="preserve"> percent). On the other hand, Manyara region had </w:t>
      </w:r>
      <w:r w:rsidR="008138C0" w:rsidRPr="006B42D6">
        <w:rPr>
          <w:color w:val="auto"/>
        </w:rPr>
        <w:t>the</w:t>
      </w:r>
      <w:r w:rsidR="0023528E" w:rsidRPr="006B42D6">
        <w:rPr>
          <w:color w:val="auto"/>
        </w:rPr>
        <w:t xml:space="preserve"> least production </w:t>
      </w:r>
      <w:r w:rsidR="00CC5040" w:rsidRPr="006B42D6">
        <w:rPr>
          <w:color w:val="auto"/>
        </w:rPr>
        <w:t>(</w:t>
      </w:r>
      <w:r w:rsidR="0023528E" w:rsidRPr="006B42D6">
        <w:rPr>
          <w:color w:val="auto"/>
        </w:rPr>
        <w:t>4 tons</w:t>
      </w:r>
      <w:r w:rsidR="00CC5040" w:rsidRPr="006B42D6">
        <w:rPr>
          <w:color w:val="auto"/>
        </w:rPr>
        <w:t>; 0.002 percent)</w:t>
      </w:r>
      <w:r w:rsidR="0023528E" w:rsidRPr="006B42D6">
        <w:rPr>
          <w:color w:val="auto"/>
        </w:rPr>
        <w:t xml:space="preserve">. In </w:t>
      </w:r>
      <w:r w:rsidR="00FA16B7" w:rsidRPr="006B42D6">
        <w:rPr>
          <w:color w:val="auto"/>
        </w:rPr>
        <w:t xml:space="preserve">Tanzania </w:t>
      </w:r>
      <w:r w:rsidR="0023528E" w:rsidRPr="006B42D6">
        <w:rPr>
          <w:color w:val="auto"/>
        </w:rPr>
        <w:t>Zanzibar, Mjini Magharibi led with the production of 3,</w:t>
      </w:r>
      <w:r w:rsidR="00CC5040" w:rsidRPr="006B42D6">
        <w:rPr>
          <w:color w:val="auto"/>
        </w:rPr>
        <w:t>614</w:t>
      </w:r>
      <w:r w:rsidR="0023528E" w:rsidRPr="006B42D6">
        <w:rPr>
          <w:color w:val="auto"/>
        </w:rPr>
        <w:t xml:space="preserve"> tons (</w:t>
      </w:r>
      <w:r w:rsidR="00CC5040" w:rsidRPr="006B42D6">
        <w:rPr>
          <w:color w:val="auto"/>
        </w:rPr>
        <w:t>45.4</w:t>
      </w:r>
      <w:r w:rsidR="0023528E" w:rsidRPr="006B42D6">
        <w:rPr>
          <w:color w:val="auto"/>
        </w:rPr>
        <w:t xml:space="preserve"> percent), followed by Kusini Unguja </w:t>
      </w:r>
      <w:r w:rsidR="00CC5040" w:rsidRPr="006B42D6">
        <w:rPr>
          <w:color w:val="auto"/>
        </w:rPr>
        <w:t xml:space="preserve">(2,796 </w:t>
      </w:r>
      <w:r w:rsidR="0023528E" w:rsidRPr="006B42D6">
        <w:rPr>
          <w:color w:val="auto"/>
        </w:rPr>
        <w:t>tons</w:t>
      </w:r>
      <w:r w:rsidR="00CC5040" w:rsidRPr="006B42D6">
        <w:rPr>
          <w:color w:val="auto"/>
        </w:rPr>
        <w:t>; 37</w:t>
      </w:r>
      <w:r w:rsidR="0023528E" w:rsidRPr="006B42D6">
        <w:rPr>
          <w:color w:val="auto"/>
        </w:rPr>
        <w:t>.</w:t>
      </w:r>
      <w:r w:rsidR="00CC5040" w:rsidRPr="006B42D6">
        <w:rPr>
          <w:color w:val="auto"/>
        </w:rPr>
        <w:t>2</w:t>
      </w:r>
      <w:r w:rsidR="0023528E" w:rsidRPr="006B42D6">
        <w:rPr>
          <w:color w:val="auto"/>
        </w:rPr>
        <w:t xml:space="preserve"> percent), while Kaskazini </w:t>
      </w:r>
      <w:r w:rsidR="00CC5040" w:rsidRPr="006B42D6">
        <w:rPr>
          <w:color w:val="auto"/>
        </w:rPr>
        <w:t>Unguja</w:t>
      </w:r>
      <w:r w:rsidR="0023528E" w:rsidRPr="006B42D6">
        <w:rPr>
          <w:color w:val="auto"/>
        </w:rPr>
        <w:t xml:space="preserve"> had </w:t>
      </w:r>
      <w:r w:rsidR="00CC5040" w:rsidRPr="006B42D6">
        <w:rPr>
          <w:color w:val="auto"/>
        </w:rPr>
        <w:t>the least production (639 tons; 8.0 percent)</w:t>
      </w:r>
      <w:r w:rsidR="0023528E" w:rsidRPr="006B42D6">
        <w:rPr>
          <w:color w:val="auto"/>
        </w:rPr>
        <w:t xml:space="preserve"> (Table 3.</w:t>
      </w:r>
      <w:r w:rsidR="00A9608F" w:rsidRPr="006B42D6">
        <w:rPr>
          <w:color w:val="auto"/>
        </w:rPr>
        <w:t>1</w:t>
      </w:r>
      <w:r w:rsidR="001E3B1A" w:rsidRPr="006B42D6">
        <w:rPr>
          <w:color w:val="auto"/>
        </w:rPr>
        <w:t>1</w:t>
      </w:r>
      <w:r w:rsidR="0023528E" w:rsidRPr="006B42D6">
        <w:rPr>
          <w:color w:val="auto"/>
        </w:rPr>
        <w:t xml:space="preserve">). </w:t>
      </w:r>
    </w:p>
    <w:p w14:paraId="0DEAF587" w14:textId="53591AED" w:rsidR="00DC1806" w:rsidRPr="006B42D6" w:rsidRDefault="00DC1806" w:rsidP="005C2EFC">
      <w:pPr>
        <w:rPr>
          <w:rFonts w:eastAsia="Calibri"/>
          <w:sz w:val="23"/>
          <w:szCs w:val="23"/>
        </w:rPr>
      </w:pPr>
      <w:r w:rsidRPr="006B42D6">
        <w:rPr>
          <w:sz w:val="23"/>
          <w:szCs w:val="23"/>
        </w:rPr>
        <w:br w:type="page"/>
      </w:r>
    </w:p>
    <w:p w14:paraId="09D9FE35" w14:textId="2734F742" w:rsidR="0023528E" w:rsidRPr="006B42D6" w:rsidRDefault="0023528E" w:rsidP="007200F6">
      <w:pPr>
        <w:pStyle w:val="Heading7"/>
      </w:pPr>
      <w:bookmarkStart w:id="221" w:name="_Toc82386193"/>
      <w:r w:rsidRPr="006B42D6">
        <w:lastRenderedPageBreak/>
        <w:t>Table 3.</w:t>
      </w:r>
      <w:r w:rsidR="00A9608F" w:rsidRPr="006B42D6">
        <w:t>1</w:t>
      </w:r>
      <w:r w:rsidR="008534C5">
        <w:t>1</w:t>
      </w:r>
      <w:r w:rsidR="009C0DC0">
        <w:t>:</w:t>
      </w:r>
      <w:r w:rsidR="00BE0494">
        <w:tab/>
      </w:r>
      <w:r w:rsidR="001E3B1A" w:rsidRPr="006B42D6">
        <w:t>Number of</w:t>
      </w:r>
      <w:r w:rsidRPr="006B42D6">
        <w:t xml:space="preserve"> Households, Planted </w:t>
      </w:r>
      <w:r w:rsidR="00B826C0" w:rsidRPr="006B42D6">
        <w:t>and</w:t>
      </w:r>
      <w:r w:rsidRPr="006B42D6">
        <w:t xml:space="preserve"> Harvested Area, Quantity Harvested </w:t>
      </w:r>
      <w:r w:rsidR="001E3B1A" w:rsidRPr="006B42D6">
        <w:t xml:space="preserve">of Oranges </w:t>
      </w:r>
      <w:r w:rsidRPr="006B42D6">
        <w:t xml:space="preserve">by Region </w:t>
      </w:r>
      <w:r w:rsidR="00B826C0" w:rsidRPr="006B42D6">
        <w:t>D</w:t>
      </w:r>
      <w:r w:rsidRPr="006B42D6">
        <w:t xml:space="preserve">uring 2019/20 </w:t>
      </w:r>
      <w:r w:rsidR="00B826C0" w:rsidRPr="006B42D6">
        <w:t>A</w:t>
      </w:r>
      <w:r w:rsidRPr="006B42D6">
        <w:t xml:space="preserve">gricultural </w:t>
      </w:r>
      <w:r w:rsidR="00014F69" w:rsidRPr="006B42D6">
        <w:t>Year,</w:t>
      </w:r>
      <w:r w:rsidRPr="006B42D6">
        <w:t xml:space="preserve"> </w:t>
      </w:r>
      <w:r w:rsidR="00014F69" w:rsidRPr="006B42D6">
        <w:t>Tanzania</w:t>
      </w:r>
      <w:bookmarkEnd w:id="221"/>
    </w:p>
    <w:tbl>
      <w:tblPr>
        <w:tblW w:w="9440" w:type="dxa"/>
        <w:tblLook w:val="04A0" w:firstRow="1" w:lastRow="0" w:firstColumn="1" w:lastColumn="0" w:noHBand="0" w:noVBand="1"/>
      </w:tblPr>
      <w:tblGrid>
        <w:gridCol w:w="1711"/>
        <w:gridCol w:w="1054"/>
        <w:gridCol w:w="1020"/>
        <w:gridCol w:w="1054"/>
        <w:gridCol w:w="1400"/>
        <w:gridCol w:w="1296"/>
        <w:gridCol w:w="951"/>
        <w:gridCol w:w="954"/>
      </w:tblGrid>
      <w:tr w:rsidR="006B42D6" w:rsidRPr="006B42D6" w14:paraId="1AD0733D" w14:textId="77777777" w:rsidTr="00216F13">
        <w:trPr>
          <w:trHeight w:val="312"/>
        </w:trPr>
        <w:tc>
          <w:tcPr>
            <w:tcW w:w="1711" w:type="dxa"/>
            <w:tcBorders>
              <w:top w:val="single" w:sz="4" w:space="0" w:color="auto"/>
              <w:left w:val="nil"/>
              <w:bottom w:val="single" w:sz="4" w:space="0" w:color="000000"/>
            </w:tcBorders>
            <w:shd w:val="clear" w:color="auto" w:fill="E2EFD9" w:themeFill="accent6" w:themeFillTint="33"/>
            <w:vAlign w:val="center"/>
            <w:hideMark/>
          </w:tcPr>
          <w:p w14:paraId="0C951B03" w14:textId="5EB87DA9" w:rsidR="001E3B1A" w:rsidRPr="006B42D6" w:rsidRDefault="001E3B1A" w:rsidP="00216F13">
            <w:pPr>
              <w:spacing w:line="276" w:lineRule="auto"/>
              <w:rPr>
                <w:bCs/>
                <w:sz w:val="16"/>
                <w:szCs w:val="16"/>
              </w:rPr>
            </w:pPr>
            <w:r w:rsidRPr="006B42D6">
              <w:rPr>
                <w:bCs/>
                <w:sz w:val="16"/>
                <w:szCs w:val="16"/>
              </w:rPr>
              <w:t>Region</w:t>
            </w:r>
          </w:p>
        </w:tc>
        <w:tc>
          <w:tcPr>
            <w:tcW w:w="1054" w:type="dxa"/>
            <w:tcBorders>
              <w:top w:val="single" w:sz="4" w:space="0" w:color="auto"/>
              <w:bottom w:val="single" w:sz="4" w:space="0" w:color="auto"/>
              <w:right w:val="nil"/>
            </w:tcBorders>
            <w:shd w:val="clear" w:color="auto" w:fill="E2EFD9" w:themeFill="accent6" w:themeFillTint="33"/>
            <w:vAlign w:val="center"/>
            <w:hideMark/>
          </w:tcPr>
          <w:p w14:paraId="4F39F93D" w14:textId="188A4F42" w:rsidR="001E3B1A" w:rsidRPr="006B42D6" w:rsidRDefault="001E3B1A" w:rsidP="00216F13">
            <w:pPr>
              <w:spacing w:line="276" w:lineRule="auto"/>
              <w:jc w:val="center"/>
              <w:rPr>
                <w:bCs/>
                <w:sz w:val="16"/>
                <w:szCs w:val="16"/>
              </w:rPr>
            </w:pPr>
            <w:r w:rsidRPr="006B42D6">
              <w:rPr>
                <w:bCs/>
                <w:sz w:val="16"/>
                <w:szCs w:val="16"/>
              </w:rPr>
              <w:t xml:space="preserve"> Number of Households </w:t>
            </w:r>
          </w:p>
        </w:tc>
        <w:tc>
          <w:tcPr>
            <w:tcW w:w="1020" w:type="dxa"/>
            <w:tcBorders>
              <w:top w:val="single" w:sz="4" w:space="0" w:color="auto"/>
              <w:left w:val="nil"/>
              <w:bottom w:val="single" w:sz="4" w:space="0" w:color="auto"/>
              <w:right w:val="nil"/>
            </w:tcBorders>
            <w:shd w:val="clear" w:color="auto" w:fill="E2EFD9" w:themeFill="accent6" w:themeFillTint="33"/>
            <w:vAlign w:val="center"/>
            <w:hideMark/>
          </w:tcPr>
          <w:p w14:paraId="7E1B6702" w14:textId="7A8CED6A" w:rsidR="001E3B1A" w:rsidRPr="006B42D6" w:rsidRDefault="001E3B1A" w:rsidP="00216F13">
            <w:pPr>
              <w:spacing w:line="276" w:lineRule="auto"/>
              <w:jc w:val="center"/>
              <w:rPr>
                <w:bCs/>
                <w:sz w:val="16"/>
                <w:szCs w:val="16"/>
              </w:rPr>
            </w:pPr>
            <w:r w:rsidRPr="006B42D6">
              <w:rPr>
                <w:bCs/>
                <w:sz w:val="16"/>
                <w:szCs w:val="16"/>
              </w:rPr>
              <w:t xml:space="preserve"> Planted Area with Mono Crop (ha) </w:t>
            </w:r>
          </w:p>
        </w:tc>
        <w:tc>
          <w:tcPr>
            <w:tcW w:w="1054" w:type="dxa"/>
            <w:tcBorders>
              <w:top w:val="single" w:sz="4" w:space="0" w:color="auto"/>
              <w:left w:val="nil"/>
              <w:bottom w:val="single" w:sz="4" w:space="0" w:color="auto"/>
              <w:right w:val="nil"/>
            </w:tcBorders>
            <w:shd w:val="clear" w:color="auto" w:fill="E2EFD9" w:themeFill="accent6" w:themeFillTint="33"/>
            <w:vAlign w:val="center"/>
            <w:hideMark/>
          </w:tcPr>
          <w:p w14:paraId="7C4BAD5C" w14:textId="51141201" w:rsidR="001E3B1A" w:rsidRPr="006B42D6" w:rsidRDefault="001E3B1A" w:rsidP="00216F13">
            <w:pPr>
              <w:spacing w:line="276" w:lineRule="auto"/>
              <w:jc w:val="center"/>
              <w:rPr>
                <w:bCs/>
                <w:sz w:val="16"/>
                <w:szCs w:val="16"/>
              </w:rPr>
            </w:pPr>
            <w:r w:rsidRPr="006B42D6">
              <w:rPr>
                <w:bCs/>
                <w:sz w:val="16"/>
                <w:szCs w:val="16"/>
              </w:rPr>
              <w:t xml:space="preserve"> Number of Households </w:t>
            </w:r>
          </w:p>
        </w:tc>
        <w:tc>
          <w:tcPr>
            <w:tcW w:w="1400" w:type="dxa"/>
            <w:tcBorders>
              <w:top w:val="single" w:sz="4" w:space="0" w:color="auto"/>
              <w:left w:val="nil"/>
              <w:bottom w:val="single" w:sz="4" w:space="0" w:color="auto"/>
              <w:right w:val="nil"/>
            </w:tcBorders>
            <w:shd w:val="clear" w:color="auto" w:fill="E2EFD9" w:themeFill="accent6" w:themeFillTint="33"/>
            <w:vAlign w:val="center"/>
            <w:hideMark/>
          </w:tcPr>
          <w:p w14:paraId="7E46A984" w14:textId="458ED66A" w:rsidR="001E3B1A" w:rsidRPr="006B42D6" w:rsidRDefault="001E3B1A" w:rsidP="00216F13">
            <w:pPr>
              <w:spacing w:line="276" w:lineRule="auto"/>
              <w:jc w:val="center"/>
              <w:rPr>
                <w:bCs/>
                <w:sz w:val="16"/>
                <w:szCs w:val="16"/>
              </w:rPr>
            </w:pPr>
            <w:r w:rsidRPr="006B42D6">
              <w:rPr>
                <w:bCs/>
                <w:sz w:val="16"/>
                <w:szCs w:val="16"/>
              </w:rPr>
              <w:t xml:space="preserve"> Area covered by permanent crop in Mixed Crop (ha) </w:t>
            </w:r>
          </w:p>
        </w:tc>
        <w:tc>
          <w:tcPr>
            <w:tcW w:w="1296" w:type="dxa"/>
            <w:tcBorders>
              <w:top w:val="single" w:sz="4" w:space="0" w:color="auto"/>
              <w:left w:val="nil"/>
              <w:bottom w:val="single" w:sz="4" w:space="0" w:color="auto"/>
              <w:right w:val="nil"/>
            </w:tcBorders>
            <w:shd w:val="clear" w:color="auto" w:fill="E2EFD9" w:themeFill="accent6" w:themeFillTint="33"/>
            <w:vAlign w:val="center"/>
            <w:hideMark/>
          </w:tcPr>
          <w:p w14:paraId="77E219F9" w14:textId="74DB4B63" w:rsidR="001E3B1A" w:rsidRPr="006B42D6" w:rsidRDefault="001E3B1A" w:rsidP="00216F13">
            <w:pPr>
              <w:spacing w:line="276" w:lineRule="auto"/>
              <w:jc w:val="center"/>
              <w:rPr>
                <w:bCs/>
                <w:sz w:val="16"/>
                <w:szCs w:val="16"/>
              </w:rPr>
            </w:pPr>
            <w:r w:rsidRPr="006B42D6">
              <w:rPr>
                <w:bCs/>
                <w:sz w:val="16"/>
                <w:szCs w:val="16"/>
              </w:rPr>
              <w:t xml:space="preserve"> Total Planted Area (Mono + Mixed Crops) (ha) </w:t>
            </w:r>
          </w:p>
        </w:tc>
        <w:tc>
          <w:tcPr>
            <w:tcW w:w="951" w:type="dxa"/>
            <w:tcBorders>
              <w:top w:val="single" w:sz="4" w:space="0" w:color="auto"/>
              <w:left w:val="nil"/>
              <w:bottom w:val="single" w:sz="4" w:space="0" w:color="auto"/>
              <w:right w:val="nil"/>
            </w:tcBorders>
            <w:shd w:val="clear" w:color="auto" w:fill="E2EFD9" w:themeFill="accent6" w:themeFillTint="33"/>
            <w:vAlign w:val="center"/>
            <w:hideMark/>
          </w:tcPr>
          <w:p w14:paraId="380B4A63" w14:textId="30A38E67" w:rsidR="001E3B1A" w:rsidRPr="006B42D6" w:rsidRDefault="001E3B1A" w:rsidP="00216F13">
            <w:pPr>
              <w:spacing w:line="276" w:lineRule="auto"/>
              <w:jc w:val="center"/>
              <w:rPr>
                <w:bCs/>
                <w:sz w:val="16"/>
                <w:szCs w:val="16"/>
              </w:rPr>
            </w:pPr>
            <w:r w:rsidRPr="006B42D6">
              <w:rPr>
                <w:bCs/>
                <w:sz w:val="16"/>
                <w:szCs w:val="16"/>
              </w:rPr>
              <w:t xml:space="preserve"> Area Harvested (ha) </w:t>
            </w:r>
          </w:p>
        </w:tc>
        <w:tc>
          <w:tcPr>
            <w:tcW w:w="954" w:type="dxa"/>
            <w:tcBorders>
              <w:top w:val="single" w:sz="4" w:space="0" w:color="auto"/>
              <w:left w:val="nil"/>
              <w:bottom w:val="single" w:sz="4" w:space="0" w:color="auto"/>
              <w:right w:val="nil"/>
            </w:tcBorders>
            <w:shd w:val="clear" w:color="auto" w:fill="E2EFD9" w:themeFill="accent6" w:themeFillTint="33"/>
            <w:vAlign w:val="center"/>
            <w:hideMark/>
          </w:tcPr>
          <w:p w14:paraId="24318538" w14:textId="0748F19D" w:rsidR="001E3B1A" w:rsidRPr="006B42D6" w:rsidRDefault="001E3B1A" w:rsidP="00216F13">
            <w:pPr>
              <w:spacing w:line="276" w:lineRule="auto"/>
              <w:jc w:val="center"/>
              <w:rPr>
                <w:bCs/>
                <w:sz w:val="16"/>
                <w:szCs w:val="16"/>
              </w:rPr>
            </w:pPr>
            <w:r w:rsidRPr="006B42D6">
              <w:rPr>
                <w:bCs/>
                <w:sz w:val="16"/>
                <w:szCs w:val="16"/>
              </w:rPr>
              <w:t xml:space="preserve"> Quantity harvested (tons) </w:t>
            </w:r>
          </w:p>
        </w:tc>
      </w:tr>
      <w:tr w:rsidR="006B42D6" w:rsidRPr="006B42D6" w14:paraId="25627C35" w14:textId="77777777" w:rsidTr="00216F13">
        <w:trPr>
          <w:trHeight w:val="312"/>
        </w:trPr>
        <w:tc>
          <w:tcPr>
            <w:tcW w:w="1711" w:type="dxa"/>
            <w:tcBorders>
              <w:top w:val="nil"/>
              <w:left w:val="nil"/>
              <w:bottom w:val="nil"/>
            </w:tcBorders>
            <w:shd w:val="clear" w:color="auto" w:fill="auto"/>
            <w:noWrap/>
            <w:vAlign w:val="bottom"/>
            <w:hideMark/>
          </w:tcPr>
          <w:p w14:paraId="49E19FFC" w14:textId="2557098C" w:rsidR="00895A1D" w:rsidRPr="006B42D6" w:rsidRDefault="00895A1D" w:rsidP="00BE0494">
            <w:pPr>
              <w:jc w:val="left"/>
              <w:rPr>
                <w:sz w:val="16"/>
                <w:szCs w:val="16"/>
              </w:rPr>
            </w:pPr>
            <w:r w:rsidRPr="006B42D6">
              <w:rPr>
                <w:sz w:val="16"/>
                <w:szCs w:val="16"/>
              </w:rPr>
              <w:t>Dodoma</w:t>
            </w:r>
          </w:p>
        </w:tc>
        <w:tc>
          <w:tcPr>
            <w:tcW w:w="1054" w:type="dxa"/>
            <w:tcBorders>
              <w:top w:val="nil"/>
              <w:bottom w:val="nil"/>
              <w:right w:val="nil"/>
            </w:tcBorders>
            <w:shd w:val="clear" w:color="auto" w:fill="auto"/>
            <w:noWrap/>
            <w:vAlign w:val="bottom"/>
            <w:hideMark/>
          </w:tcPr>
          <w:p w14:paraId="6FC3628E" w14:textId="6AAEC344" w:rsidR="00895A1D" w:rsidRPr="006B42D6" w:rsidRDefault="00895A1D" w:rsidP="00895A1D">
            <w:pPr>
              <w:jc w:val="right"/>
              <w:rPr>
                <w:sz w:val="16"/>
                <w:szCs w:val="16"/>
              </w:rPr>
            </w:pPr>
            <w:r w:rsidRPr="006B42D6">
              <w:rPr>
                <w:sz w:val="16"/>
                <w:szCs w:val="16"/>
              </w:rPr>
              <w:t>575</w:t>
            </w:r>
          </w:p>
        </w:tc>
        <w:tc>
          <w:tcPr>
            <w:tcW w:w="1020" w:type="dxa"/>
            <w:tcBorders>
              <w:top w:val="nil"/>
              <w:left w:val="nil"/>
              <w:bottom w:val="nil"/>
              <w:right w:val="nil"/>
            </w:tcBorders>
            <w:shd w:val="clear" w:color="auto" w:fill="auto"/>
            <w:noWrap/>
            <w:vAlign w:val="bottom"/>
            <w:hideMark/>
          </w:tcPr>
          <w:p w14:paraId="35A8E3E3" w14:textId="24B73CD5" w:rsidR="00895A1D" w:rsidRPr="006B42D6" w:rsidRDefault="00895A1D" w:rsidP="00895A1D">
            <w:pPr>
              <w:jc w:val="right"/>
              <w:rPr>
                <w:sz w:val="16"/>
                <w:szCs w:val="16"/>
              </w:rPr>
            </w:pPr>
            <w:r w:rsidRPr="006B42D6">
              <w:rPr>
                <w:sz w:val="16"/>
                <w:szCs w:val="16"/>
              </w:rPr>
              <w:t>1</w:t>
            </w:r>
          </w:p>
        </w:tc>
        <w:tc>
          <w:tcPr>
            <w:tcW w:w="1054" w:type="dxa"/>
            <w:tcBorders>
              <w:top w:val="nil"/>
              <w:left w:val="nil"/>
              <w:bottom w:val="nil"/>
              <w:right w:val="nil"/>
            </w:tcBorders>
            <w:shd w:val="clear" w:color="auto" w:fill="auto"/>
            <w:noWrap/>
            <w:vAlign w:val="bottom"/>
            <w:hideMark/>
          </w:tcPr>
          <w:p w14:paraId="2B3B5083" w14:textId="7D2B953F" w:rsidR="00895A1D" w:rsidRPr="006B42D6" w:rsidRDefault="00895A1D" w:rsidP="00895A1D">
            <w:pPr>
              <w:jc w:val="right"/>
              <w:rPr>
                <w:sz w:val="16"/>
                <w:szCs w:val="16"/>
              </w:rPr>
            </w:pPr>
            <w:r w:rsidRPr="006B42D6">
              <w:rPr>
                <w:sz w:val="16"/>
                <w:szCs w:val="16"/>
              </w:rPr>
              <w:t>1,250</w:t>
            </w:r>
          </w:p>
        </w:tc>
        <w:tc>
          <w:tcPr>
            <w:tcW w:w="1400" w:type="dxa"/>
            <w:tcBorders>
              <w:top w:val="nil"/>
              <w:left w:val="nil"/>
              <w:bottom w:val="nil"/>
              <w:right w:val="nil"/>
            </w:tcBorders>
            <w:shd w:val="clear" w:color="auto" w:fill="auto"/>
            <w:noWrap/>
            <w:vAlign w:val="bottom"/>
            <w:hideMark/>
          </w:tcPr>
          <w:p w14:paraId="1D8C6B49" w14:textId="66FCA51A" w:rsidR="00895A1D" w:rsidRPr="006B42D6" w:rsidRDefault="00895A1D" w:rsidP="00895A1D">
            <w:pPr>
              <w:jc w:val="right"/>
              <w:rPr>
                <w:sz w:val="16"/>
                <w:szCs w:val="16"/>
              </w:rPr>
            </w:pPr>
            <w:r w:rsidRPr="006B42D6">
              <w:rPr>
                <w:sz w:val="16"/>
                <w:szCs w:val="16"/>
              </w:rPr>
              <w:t>2</w:t>
            </w:r>
          </w:p>
        </w:tc>
        <w:tc>
          <w:tcPr>
            <w:tcW w:w="1296" w:type="dxa"/>
            <w:tcBorders>
              <w:top w:val="nil"/>
              <w:left w:val="nil"/>
              <w:bottom w:val="nil"/>
              <w:right w:val="nil"/>
            </w:tcBorders>
            <w:shd w:val="clear" w:color="auto" w:fill="auto"/>
            <w:noWrap/>
            <w:vAlign w:val="bottom"/>
            <w:hideMark/>
          </w:tcPr>
          <w:p w14:paraId="2EFCA41D" w14:textId="6D05AC0A" w:rsidR="00895A1D" w:rsidRPr="006B42D6" w:rsidRDefault="00895A1D" w:rsidP="00895A1D">
            <w:pPr>
              <w:jc w:val="right"/>
              <w:rPr>
                <w:sz w:val="16"/>
                <w:szCs w:val="16"/>
              </w:rPr>
            </w:pPr>
            <w:r w:rsidRPr="006B42D6">
              <w:rPr>
                <w:sz w:val="16"/>
                <w:szCs w:val="16"/>
              </w:rPr>
              <w:t>2</w:t>
            </w:r>
          </w:p>
        </w:tc>
        <w:tc>
          <w:tcPr>
            <w:tcW w:w="951" w:type="dxa"/>
            <w:tcBorders>
              <w:top w:val="nil"/>
              <w:left w:val="nil"/>
              <w:bottom w:val="nil"/>
              <w:right w:val="nil"/>
            </w:tcBorders>
            <w:shd w:val="clear" w:color="auto" w:fill="auto"/>
            <w:noWrap/>
            <w:vAlign w:val="bottom"/>
            <w:hideMark/>
          </w:tcPr>
          <w:p w14:paraId="2D30C926" w14:textId="2FB320D8" w:rsidR="00895A1D" w:rsidRPr="006B42D6" w:rsidRDefault="00895A1D" w:rsidP="00895A1D">
            <w:pPr>
              <w:jc w:val="right"/>
              <w:rPr>
                <w:sz w:val="16"/>
                <w:szCs w:val="16"/>
              </w:rPr>
            </w:pPr>
            <w:r w:rsidRPr="006B42D6">
              <w:rPr>
                <w:sz w:val="16"/>
                <w:szCs w:val="16"/>
              </w:rPr>
              <w:t>1</w:t>
            </w:r>
          </w:p>
        </w:tc>
        <w:tc>
          <w:tcPr>
            <w:tcW w:w="954" w:type="dxa"/>
            <w:tcBorders>
              <w:top w:val="nil"/>
              <w:left w:val="nil"/>
              <w:bottom w:val="nil"/>
              <w:right w:val="nil"/>
            </w:tcBorders>
            <w:shd w:val="clear" w:color="auto" w:fill="auto"/>
            <w:noWrap/>
            <w:vAlign w:val="bottom"/>
            <w:hideMark/>
          </w:tcPr>
          <w:p w14:paraId="43A17DC3" w14:textId="4087DDFD" w:rsidR="00895A1D" w:rsidRPr="006B42D6" w:rsidRDefault="00895A1D" w:rsidP="00895A1D">
            <w:pPr>
              <w:jc w:val="right"/>
              <w:rPr>
                <w:sz w:val="16"/>
                <w:szCs w:val="16"/>
              </w:rPr>
            </w:pPr>
            <w:r w:rsidRPr="006B42D6">
              <w:rPr>
                <w:sz w:val="16"/>
                <w:szCs w:val="16"/>
              </w:rPr>
              <w:t>23</w:t>
            </w:r>
          </w:p>
        </w:tc>
      </w:tr>
      <w:tr w:rsidR="006B42D6" w:rsidRPr="006B42D6" w14:paraId="34A09FF7" w14:textId="77777777" w:rsidTr="00216F13">
        <w:trPr>
          <w:trHeight w:val="312"/>
        </w:trPr>
        <w:tc>
          <w:tcPr>
            <w:tcW w:w="1711" w:type="dxa"/>
            <w:tcBorders>
              <w:top w:val="nil"/>
              <w:left w:val="nil"/>
              <w:bottom w:val="nil"/>
            </w:tcBorders>
            <w:shd w:val="clear" w:color="auto" w:fill="auto"/>
            <w:noWrap/>
            <w:vAlign w:val="bottom"/>
            <w:hideMark/>
          </w:tcPr>
          <w:p w14:paraId="4E43B2FA" w14:textId="41D42884" w:rsidR="00895A1D" w:rsidRPr="006B42D6" w:rsidRDefault="00895A1D" w:rsidP="00BE0494">
            <w:pPr>
              <w:jc w:val="left"/>
              <w:rPr>
                <w:sz w:val="16"/>
                <w:szCs w:val="16"/>
              </w:rPr>
            </w:pPr>
            <w:r w:rsidRPr="006B42D6">
              <w:rPr>
                <w:sz w:val="16"/>
                <w:szCs w:val="16"/>
              </w:rPr>
              <w:t>Arusha</w:t>
            </w:r>
          </w:p>
        </w:tc>
        <w:tc>
          <w:tcPr>
            <w:tcW w:w="1054" w:type="dxa"/>
            <w:tcBorders>
              <w:top w:val="nil"/>
              <w:bottom w:val="nil"/>
              <w:right w:val="nil"/>
            </w:tcBorders>
            <w:shd w:val="clear" w:color="auto" w:fill="auto"/>
            <w:noWrap/>
            <w:vAlign w:val="bottom"/>
            <w:hideMark/>
          </w:tcPr>
          <w:p w14:paraId="163603BB" w14:textId="5F036EB5" w:rsidR="00895A1D" w:rsidRPr="006B42D6" w:rsidRDefault="00895A1D" w:rsidP="00895A1D">
            <w:pPr>
              <w:jc w:val="right"/>
              <w:rPr>
                <w:sz w:val="16"/>
                <w:szCs w:val="16"/>
              </w:rPr>
            </w:pPr>
            <w:r w:rsidRPr="006B42D6">
              <w:rPr>
                <w:sz w:val="16"/>
                <w:szCs w:val="16"/>
              </w:rPr>
              <w:t>1,398</w:t>
            </w:r>
          </w:p>
        </w:tc>
        <w:tc>
          <w:tcPr>
            <w:tcW w:w="1020" w:type="dxa"/>
            <w:tcBorders>
              <w:top w:val="nil"/>
              <w:left w:val="nil"/>
              <w:bottom w:val="nil"/>
              <w:right w:val="nil"/>
            </w:tcBorders>
            <w:shd w:val="clear" w:color="auto" w:fill="auto"/>
            <w:noWrap/>
            <w:vAlign w:val="bottom"/>
            <w:hideMark/>
          </w:tcPr>
          <w:p w14:paraId="3139C76B" w14:textId="1F496092" w:rsidR="00895A1D" w:rsidRPr="006B42D6" w:rsidRDefault="00895A1D" w:rsidP="00895A1D">
            <w:pPr>
              <w:jc w:val="right"/>
              <w:rPr>
                <w:sz w:val="16"/>
                <w:szCs w:val="16"/>
              </w:rPr>
            </w:pPr>
            <w:r w:rsidRPr="006B42D6">
              <w:rPr>
                <w:sz w:val="16"/>
                <w:szCs w:val="16"/>
              </w:rPr>
              <w:t>2</w:t>
            </w:r>
          </w:p>
        </w:tc>
        <w:tc>
          <w:tcPr>
            <w:tcW w:w="1054" w:type="dxa"/>
            <w:tcBorders>
              <w:top w:val="nil"/>
              <w:left w:val="nil"/>
              <w:bottom w:val="nil"/>
              <w:right w:val="nil"/>
            </w:tcBorders>
            <w:shd w:val="clear" w:color="auto" w:fill="auto"/>
            <w:noWrap/>
            <w:vAlign w:val="bottom"/>
            <w:hideMark/>
          </w:tcPr>
          <w:p w14:paraId="10A42D57" w14:textId="75279D7E" w:rsidR="00895A1D" w:rsidRPr="006B42D6" w:rsidRDefault="00895A1D" w:rsidP="00895A1D">
            <w:pPr>
              <w:jc w:val="right"/>
              <w:rPr>
                <w:sz w:val="16"/>
                <w:szCs w:val="16"/>
              </w:rPr>
            </w:pPr>
            <w:r w:rsidRPr="006B42D6">
              <w:rPr>
                <w:sz w:val="16"/>
                <w:szCs w:val="16"/>
              </w:rPr>
              <w:t>3,170</w:t>
            </w:r>
          </w:p>
        </w:tc>
        <w:tc>
          <w:tcPr>
            <w:tcW w:w="1400" w:type="dxa"/>
            <w:tcBorders>
              <w:top w:val="nil"/>
              <w:left w:val="nil"/>
              <w:bottom w:val="nil"/>
              <w:right w:val="nil"/>
            </w:tcBorders>
            <w:shd w:val="clear" w:color="auto" w:fill="auto"/>
            <w:noWrap/>
            <w:vAlign w:val="bottom"/>
            <w:hideMark/>
          </w:tcPr>
          <w:p w14:paraId="056C1171" w14:textId="0E80F289" w:rsidR="00895A1D" w:rsidRPr="006B42D6" w:rsidRDefault="00895A1D" w:rsidP="00895A1D">
            <w:pPr>
              <w:jc w:val="right"/>
              <w:rPr>
                <w:sz w:val="16"/>
                <w:szCs w:val="16"/>
              </w:rPr>
            </w:pPr>
            <w:r w:rsidRPr="006B42D6">
              <w:rPr>
                <w:sz w:val="16"/>
                <w:szCs w:val="16"/>
              </w:rPr>
              <w:t>70</w:t>
            </w:r>
          </w:p>
        </w:tc>
        <w:tc>
          <w:tcPr>
            <w:tcW w:w="1296" w:type="dxa"/>
            <w:tcBorders>
              <w:top w:val="nil"/>
              <w:left w:val="nil"/>
              <w:bottom w:val="nil"/>
              <w:right w:val="nil"/>
            </w:tcBorders>
            <w:shd w:val="clear" w:color="auto" w:fill="auto"/>
            <w:noWrap/>
            <w:vAlign w:val="bottom"/>
            <w:hideMark/>
          </w:tcPr>
          <w:p w14:paraId="1DE5BD52" w14:textId="0845D9E6" w:rsidR="00895A1D" w:rsidRPr="006B42D6" w:rsidRDefault="00895A1D" w:rsidP="00895A1D">
            <w:pPr>
              <w:jc w:val="right"/>
              <w:rPr>
                <w:sz w:val="16"/>
                <w:szCs w:val="16"/>
              </w:rPr>
            </w:pPr>
            <w:r w:rsidRPr="006B42D6">
              <w:rPr>
                <w:sz w:val="16"/>
                <w:szCs w:val="16"/>
              </w:rPr>
              <w:t>72</w:t>
            </w:r>
          </w:p>
        </w:tc>
        <w:tc>
          <w:tcPr>
            <w:tcW w:w="951" w:type="dxa"/>
            <w:tcBorders>
              <w:top w:val="nil"/>
              <w:left w:val="nil"/>
              <w:bottom w:val="nil"/>
              <w:right w:val="nil"/>
            </w:tcBorders>
            <w:shd w:val="clear" w:color="auto" w:fill="auto"/>
            <w:noWrap/>
            <w:vAlign w:val="bottom"/>
            <w:hideMark/>
          </w:tcPr>
          <w:p w14:paraId="119CBF25" w14:textId="7411D3E4" w:rsidR="00895A1D" w:rsidRPr="006B42D6" w:rsidRDefault="00895A1D" w:rsidP="00895A1D">
            <w:pPr>
              <w:jc w:val="right"/>
              <w:rPr>
                <w:sz w:val="16"/>
                <w:szCs w:val="16"/>
              </w:rPr>
            </w:pPr>
            <w:r w:rsidRPr="006B42D6">
              <w:rPr>
                <w:sz w:val="16"/>
                <w:szCs w:val="16"/>
              </w:rPr>
              <w:t>30</w:t>
            </w:r>
          </w:p>
        </w:tc>
        <w:tc>
          <w:tcPr>
            <w:tcW w:w="954" w:type="dxa"/>
            <w:tcBorders>
              <w:top w:val="nil"/>
              <w:left w:val="nil"/>
              <w:bottom w:val="nil"/>
              <w:right w:val="nil"/>
            </w:tcBorders>
            <w:shd w:val="clear" w:color="auto" w:fill="auto"/>
            <w:noWrap/>
            <w:vAlign w:val="bottom"/>
            <w:hideMark/>
          </w:tcPr>
          <w:p w14:paraId="455DA570" w14:textId="341BC5DC" w:rsidR="00895A1D" w:rsidRPr="006B42D6" w:rsidRDefault="00895A1D" w:rsidP="00895A1D">
            <w:pPr>
              <w:jc w:val="right"/>
              <w:rPr>
                <w:sz w:val="16"/>
                <w:szCs w:val="16"/>
              </w:rPr>
            </w:pPr>
            <w:r w:rsidRPr="006B42D6">
              <w:rPr>
                <w:sz w:val="16"/>
                <w:szCs w:val="16"/>
              </w:rPr>
              <w:t>81</w:t>
            </w:r>
          </w:p>
        </w:tc>
      </w:tr>
      <w:tr w:rsidR="006B42D6" w:rsidRPr="006B42D6" w14:paraId="1637DE83" w14:textId="77777777" w:rsidTr="00216F13">
        <w:trPr>
          <w:trHeight w:val="312"/>
        </w:trPr>
        <w:tc>
          <w:tcPr>
            <w:tcW w:w="1711" w:type="dxa"/>
            <w:tcBorders>
              <w:top w:val="nil"/>
              <w:left w:val="nil"/>
              <w:bottom w:val="nil"/>
            </w:tcBorders>
            <w:shd w:val="clear" w:color="auto" w:fill="auto"/>
            <w:noWrap/>
            <w:vAlign w:val="bottom"/>
            <w:hideMark/>
          </w:tcPr>
          <w:p w14:paraId="11259E40" w14:textId="764F2AB1" w:rsidR="00895A1D" w:rsidRPr="006B42D6" w:rsidRDefault="00895A1D" w:rsidP="00BE0494">
            <w:pPr>
              <w:jc w:val="left"/>
              <w:rPr>
                <w:sz w:val="16"/>
                <w:szCs w:val="16"/>
              </w:rPr>
            </w:pPr>
            <w:r w:rsidRPr="006B42D6">
              <w:rPr>
                <w:sz w:val="16"/>
                <w:szCs w:val="16"/>
              </w:rPr>
              <w:t>Kilimanjaro</w:t>
            </w:r>
          </w:p>
        </w:tc>
        <w:tc>
          <w:tcPr>
            <w:tcW w:w="1054" w:type="dxa"/>
            <w:tcBorders>
              <w:top w:val="nil"/>
              <w:bottom w:val="nil"/>
              <w:right w:val="nil"/>
            </w:tcBorders>
            <w:shd w:val="clear" w:color="auto" w:fill="auto"/>
            <w:noWrap/>
            <w:vAlign w:val="bottom"/>
            <w:hideMark/>
          </w:tcPr>
          <w:p w14:paraId="6B34B6B8" w14:textId="2C502D4F" w:rsidR="00895A1D" w:rsidRPr="006B42D6" w:rsidRDefault="00895A1D" w:rsidP="00895A1D">
            <w:pPr>
              <w:jc w:val="right"/>
              <w:rPr>
                <w:sz w:val="16"/>
                <w:szCs w:val="16"/>
              </w:rPr>
            </w:pPr>
            <w:r w:rsidRPr="006B42D6">
              <w:rPr>
                <w:sz w:val="16"/>
                <w:szCs w:val="16"/>
              </w:rPr>
              <w:t>634</w:t>
            </w:r>
          </w:p>
        </w:tc>
        <w:tc>
          <w:tcPr>
            <w:tcW w:w="1020" w:type="dxa"/>
            <w:tcBorders>
              <w:top w:val="nil"/>
              <w:left w:val="nil"/>
              <w:bottom w:val="nil"/>
              <w:right w:val="nil"/>
            </w:tcBorders>
            <w:shd w:val="clear" w:color="auto" w:fill="auto"/>
            <w:noWrap/>
            <w:vAlign w:val="bottom"/>
            <w:hideMark/>
          </w:tcPr>
          <w:p w14:paraId="605296E5" w14:textId="2855339F" w:rsidR="00895A1D" w:rsidRPr="006B42D6" w:rsidRDefault="00895A1D" w:rsidP="00895A1D">
            <w:pPr>
              <w:jc w:val="right"/>
              <w:rPr>
                <w:sz w:val="16"/>
                <w:szCs w:val="16"/>
              </w:rPr>
            </w:pPr>
            <w:r w:rsidRPr="006B42D6">
              <w:rPr>
                <w:sz w:val="16"/>
                <w:szCs w:val="16"/>
              </w:rPr>
              <w:t>-</w:t>
            </w:r>
          </w:p>
        </w:tc>
        <w:tc>
          <w:tcPr>
            <w:tcW w:w="1054" w:type="dxa"/>
            <w:tcBorders>
              <w:top w:val="nil"/>
              <w:left w:val="nil"/>
              <w:bottom w:val="nil"/>
              <w:right w:val="nil"/>
            </w:tcBorders>
            <w:shd w:val="clear" w:color="auto" w:fill="auto"/>
            <w:noWrap/>
            <w:vAlign w:val="bottom"/>
            <w:hideMark/>
          </w:tcPr>
          <w:p w14:paraId="5B73B850" w14:textId="06F8D1E6" w:rsidR="00895A1D" w:rsidRPr="006B42D6" w:rsidRDefault="00895A1D" w:rsidP="00895A1D">
            <w:pPr>
              <w:jc w:val="right"/>
              <w:rPr>
                <w:sz w:val="16"/>
                <w:szCs w:val="16"/>
              </w:rPr>
            </w:pPr>
            <w:r w:rsidRPr="006B42D6">
              <w:rPr>
                <w:sz w:val="16"/>
                <w:szCs w:val="16"/>
              </w:rPr>
              <w:t>1,410</w:t>
            </w:r>
          </w:p>
        </w:tc>
        <w:tc>
          <w:tcPr>
            <w:tcW w:w="1400" w:type="dxa"/>
            <w:tcBorders>
              <w:top w:val="nil"/>
              <w:left w:val="nil"/>
              <w:bottom w:val="nil"/>
              <w:right w:val="nil"/>
            </w:tcBorders>
            <w:shd w:val="clear" w:color="auto" w:fill="auto"/>
            <w:noWrap/>
            <w:vAlign w:val="bottom"/>
            <w:hideMark/>
          </w:tcPr>
          <w:p w14:paraId="0172CF33" w14:textId="157285A2" w:rsidR="00895A1D" w:rsidRPr="006B42D6" w:rsidRDefault="00895A1D" w:rsidP="00895A1D">
            <w:pPr>
              <w:jc w:val="right"/>
              <w:rPr>
                <w:sz w:val="16"/>
                <w:szCs w:val="16"/>
              </w:rPr>
            </w:pPr>
            <w:r w:rsidRPr="006B42D6">
              <w:rPr>
                <w:sz w:val="16"/>
                <w:szCs w:val="16"/>
              </w:rPr>
              <w:t>519</w:t>
            </w:r>
          </w:p>
        </w:tc>
        <w:tc>
          <w:tcPr>
            <w:tcW w:w="1296" w:type="dxa"/>
            <w:tcBorders>
              <w:top w:val="nil"/>
              <w:left w:val="nil"/>
              <w:bottom w:val="nil"/>
              <w:right w:val="nil"/>
            </w:tcBorders>
            <w:shd w:val="clear" w:color="auto" w:fill="auto"/>
            <w:noWrap/>
            <w:vAlign w:val="bottom"/>
            <w:hideMark/>
          </w:tcPr>
          <w:p w14:paraId="2C838DDA" w14:textId="15AB0591" w:rsidR="00895A1D" w:rsidRPr="006B42D6" w:rsidRDefault="00895A1D" w:rsidP="00895A1D">
            <w:pPr>
              <w:jc w:val="right"/>
              <w:rPr>
                <w:sz w:val="16"/>
                <w:szCs w:val="16"/>
              </w:rPr>
            </w:pPr>
            <w:r w:rsidRPr="006B42D6">
              <w:rPr>
                <w:sz w:val="16"/>
                <w:szCs w:val="16"/>
              </w:rPr>
              <w:t>519</w:t>
            </w:r>
          </w:p>
        </w:tc>
        <w:tc>
          <w:tcPr>
            <w:tcW w:w="951" w:type="dxa"/>
            <w:tcBorders>
              <w:top w:val="nil"/>
              <w:left w:val="nil"/>
              <w:bottom w:val="nil"/>
              <w:right w:val="nil"/>
            </w:tcBorders>
            <w:shd w:val="clear" w:color="auto" w:fill="auto"/>
            <w:noWrap/>
            <w:vAlign w:val="bottom"/>
            <w:hideMark/>
          </w:tcPr>
          <w:p w14:paraId="4DE5B21F" w14:textId="1436C8F7" w:rsidR="00895A1D" w:rsidRPr="006B42D6" w:rsidRDefault="00895A1D" w:rsidP="00895A1D">
            <w:pPr>
              <w:jc w:val="right"/>
              <w:rPr>
                <w:sz w:val="16"/>
                <w:szCs w:val="16"/>
              </w:rPr>
            </w:pPr>
            <w:r w:rsidRPr="006B42D6">
              <w:rPr>
                <w:sz w:val="16"/>
                <w:szCs w:val="16"/>
              </w:rPr>
              <w:t>82</w:t>
            </w:r>
          </w:p>
        </w:tc>
        <w:tc>
          <w:tcPr>
            <w:tcW w:w="954" w:type="dxa"/>
            <w:tcBorders>
              <w:top w:val="nil"/>
              <w:left w:val="nil"/>
              <w:bottom w:val="nil"/>
              <w:right w:val="nil"/>
            </w:tcBorders>
            <w:shd w:val="clear" w:color="auto" w:fill="auto"/>
            <w:noWrap/>
            <w:vAlign w:val="bottom"/>
            <w:hideMark/>
          </w:tcPr>
          <w:p w14:paraId="7FEF3101" w14:textId="64A05571" w:rsidR="00895A1D" w:rsidRPr="006B42D6" w:rsidRDefault="00895A1D" w:rsidP="00895A1D">
            <w:pPr>
              <w:jc w:val="right"/>
              <w:rPr>
                <w:sz w:val="16"/>
                <w:szCs w:val="16"/>
              </w:rPr>
            </w:pPr>
            <w:r w:rsidRPr="006B42D6">
              <w:rPr>
                <w:sz w:val="16"/>
                <w:szCs w:val="16"/>
              </w:rPr>
              <w:t>508</w:t>
            </w:r>
          </w:p>
        </w:tc>
      </w:tr>
      <w:tr w:rsidR="006B42D6" w:rsidRPr="006B42D6" w14:paraId="77A934CA" w14:textId="77777777" w:rsidTr="00216F13">
        <w:trPr>
          <w:trHeight w:val="312"/>
        </w:trPr>
        <w:tc>
          <w:tcPr>
            <w:tcW w:w="1711" w:type="dxa"/>
            <w:tcBorders>
              <w:top w:val="nil"/>
              <w:left w:val="nil"/>
              <w:bottom w:val="nil"/>
            </w:tcBorders>
            <w:shd w:val="clear" w:color="auto" w:fill="auto"/>
            <w:noWrap/>
            <w:vAlign w:val="bottom"/>
            <w:hideMark/>
          </w:tcPr>
          <w:p w14:paraId="786017D6" w14:textId="01C0AE98" w:rsidR="00895A1D" w:rsidRPr="006B42D6" w:rsidRDefault="00895A1D" w:rsidP="00BE0494">
            <w:pPr>
              <w:jc w:val="left"/>
              <w:rPr>
                <w:sz w:val="16"/>
                <w:szCs w:val="16"/>
              </w:rPr>
            </w:pPr>
            <w:r w:rsidRPr="006B42D6">
              <w:rPr>
                <w:sz w:val="16"/>
                <w:szCs w:val="16"/>
              </w:rPr>
              <w:t>Tanga</w:t>
            </w:r>
          </w:p>
        </w:tc>
        <w:tc>
          <w:tcPr>
            <w:tcW w:w="1054" w:type="dxa"/>
            <w:tcBorders>
              <w:top w:val="nil"/>
              <w:bottom w:val="nil"/>
              <w:right w:val="nil"/>
            </w:tcBorders>
            <w:shd w:val="clear" w:color="auto" w:fill="auto"/>
            <w:noWrap/>
            <w:vAlign w:val="bottom"/>
            <w:hideMark/>
          </w:tcPr>
          <w:p w14:paraId="197F5B30" w14:textId="3161E74E" w:rsidR="00895A1D" w:rsidRPr="006B42D6" w:rsidRDefault="00895A1D" w:rsidP="00895A1D">
            <w:pPr>
              <w:jc w:val="right"/>
              <w:rPr>
                <w:sz w:val="16"/>
                <w:szCs w:val="16"/>
              </w:rPr>
            </w:pPr>
            <w:r w:rsidRPr="006B42D6">
              <w:rPr>
                <w:sz w:val="16"/>
                <w:szCs w:val="16"/>
              </w:rPr>
              <w:t>11,320</w:t>
            </w:r>
          </w:p>
        </w:tc>
        <w:tc>
          <w:tcPr>
            <w:tcW w:w="1020" w:type="dxa"/>
            <w:tcBorders>
              <w:top w:val="nil"/>
              <w:left w:val="nil"/>
              <w:bottom w:val="nil"/>
              <w:right w:val="nil"/>
            </w:tcBorders>
            <w:shd w:val="clear" w:color="auto" w:fill="auto"/>
            <w:noWrap/>
            <w:vAlign w:val="bottom"/>
            <w:hideMark/>
          </w:tcPr>
          <w:p w14:paraId="45DA1063" w14:textId="7BDDA84B" w:rsidR="00895A1D" w:rsidRPr="006B42D6" w:rsidRDefault="00895A1D" w:rsidP="00895A1D">
            <w:pPr>
              <w:jc w:val="right"/>
              <w:rPr>
                <w:sz w:val="16"/>
                <w:szCs w:val="16"/>
              </w:rPr>
            </w:pPr>
            <w:r w:rsidRPr="006B42D6">
              <w:rPr>
                <w:sz w:val="16"/>
                <w:szCs w:val="16"/>
              </w:rPr>
              <w:t>13,182</w:t>
            </w:r>
          </w:p>
        </w:tc>
        <w:tc>
          <w:tcPr>
            <w:tcW w:w="1054" w:type="dxa"/>
            <w:tcBorders>
              <w:top w:val="nil"/>
              <w:left w:val="nil"/>
              <w:bottom w:val="nil"/>
              <w:right w:val="nil"/>
            </w:tcBorders>
            <w:shd w:val="clear" w:color="auto" w:fill="auto"/>
            <w:noWrap/>
            <w:vAlign w:val="bottom"/>
            <w:hideMark/>
          </w:tcPr>
          <w:p w14:paraId="59B37889" w14:textId="4BE8490E" w:rsidR="00895A1D" w:rsidRPr="006B42D6" w:rsidRDefault="00895A1D" w:rsidP="00895A1D">
            <w:pPr>
              <w:jc w:val="right"/>
              <w:rPr>
                <w:sz w:val="16"/>
                <w:szCs w:val="16"/>
              </w:rPr>
            </w:pPr>
            <w:r w:rsidRPr="006B42D6">
              <w:rPr>
                <w:sz w:val="16"/>
                <w:szCs w:val="16"/>
              </w:rPr>
              <w:t>20,036</w:t>
            </w:r>
          </w:p>
        </w:tc>
        <w:tc>
          <w:tcPr>
            <w:tcW w:w="1400" w:type="dxa"/>
            <w:tcBorders>
              <w:top w:val="nil"/>
              <w:left w:val="nil"/>
              <w:bottom w:val="nil"/>
              <w:right w:val="nil"/>
            </w:tcBorders>
            <w:shd w:val="clear" w:color="auto" w:fill="auto"/>
            <w:noWrap/>
            <w:vAlign w:val="bottom"/>
            <w:hideMark/>
          </w:tcPr>
          <w:p w14:paraId="5524000D" w14:textId="37C1E5DC" w:rsidR="00895A1D" w:rsidRPr="006B42D6" w:rsidRDefault="00895A1D" w:rsidP="00895A1D">
            <w:pPr>
              <w:jc w:val="right"/>
              <w:rPr>
                <w:sz w:val="16"/>
                <w:szCs w:val="16"/>
              </w:rPr>
            </w:pPr>
            <w:r w:rsidRPr="006B42D6">
              <w:rPr>
                <w:sz w:val="16"/>
                <w:szCs w:val="16"/>
              </w:rPr>
              <w:t>10,645</w:t>
            </w:r>
          </w:p>
        </w:tc>
        <w:tc>
          <w:tcPr>
            <w:tcW w:w="1296" w:type="dxa"/>
            <w:tcBorders>
              <w:top w:val="nil"/>
              <w:left w:val="nil"/>
              <w:bottom w:val="nil"/>
              <w:right w:val="nil"/>
            </w:tcBorders>
            <w:shd w:val="clear" w:color="auto" w:fill="auto"/>
            <w:noWrap/>
            <w:vAlign w:val="bottom"/>
            <w:hideMark/>
          </w:tcPr>
          <w:p w14:paraId="6122DC38" w14:textId="11423795" w:rsidR="00895A1D" w:rsidRPr="006B42D6" w:rsidRDefault="00895A1D" w:rsidP="00895A1D">
            <w:pPr>
              <w:jc w:val="right"/>
              <w:rPr>
                <w:sz w:val="16"/>
                <w:szCs w:val="16"/>
              </w:rPr>
            </w:pPr>
            <w:r w:rsidRPr="006B42D6">
              <w:rPr>
                <w:sz w:val="16"/>
                <w:szCs w:val="16"/>
              </w:rPr>
              <w:t>23,827</w:t>
            </w:r>
          </w:p>
        </w:tc>
        <w:tc>
          <w:tcPr>
            <w:tcW w:w="951" w:type="dxa"/>
            <w:tcBorders>
              <w:top w:val="nil"/>
              <w:left w:val="nil"/>
              <w:bottom w:val="nil"/>
              <w:right w:val="nil"/>
            </w:tcBorders>
            <w:shd w:val="clear" w:color="auto" w:fill="auto"/>
            <w:noWrap/>
            <w:vAlign w:val="bottom"/>
            <w:hideMark/>
          </w:tcPr>
          <w:p w14:paraId="116746F5" w14:textId="23E9F5B0" w:rsidR="00895A1D" w:rsidRPr="006B42D6" w:rsidRDefault="00895A1D" w:rsidP="00895A1D">
            <w:pPr>
              <w:jc w:val="right"/>
              <w:rPr>
                <w:sz w:val="16"/>
                <w:szCs w:val="16"/>
              </w:rPr>
            </w:pPr>
            <w:r w:rsidRPr="006B42D6">
              <w:rPr>
                <w:sz w:val="16"/>
                <w:szCs w:val="16"/>
              </w:rPr>
              <w:t>16,289</w:t>
            </w:r>
          </w:p>
        </w:tc>
        <w:tc>
          <w:tcPr>
            <w:tcW w:w="954" w:type="dxa"/>
            <w:tcBorders>
              <w:top w:val="nil"/>
              <w:left w:val="nil"/>
              <w:bottom w:val="nil"/>
              <w:right w:val="nil"/>
            </w:tcBorders>
            <w:shd w:val="clear" w:color="auto" w:fill="auto"/>
            <w:noWrap/>
            <w:vAlign w:val="bottom"/>
            <w:hideMark/>
          </w:tcPr>
          <w:p w14:paraId="4219ED16" w14:textId="7F4DDA2C" w:rsidR="00895A1D" w:rsidRPr="006B42D6" w:rsidRDefault="00895A1D" w:rsidP="00895A1D">
            <w:pPr>
              <w:jc w:val="right"/>
              <w:rPr>
                <w:sz w:val="16"/>
                <w:szCs w:val="16"/>
              </w:rPr>
            </w:pPr>
            <w:r w:rsidRPr="006B42D6">
              <w:rPr>
                <w:sz w:val="16"/>
                <w:szCs w:val="16"/>
              </w:rPr>
              <w:t>117,582</w:t>
            </w:r>
          </w:p>
        </w:tc>
      </w:tr>
      <w:tr w:rsidR="006B42D6" w:rsidRPr="006B42D6" w14:paraId="1A8B4A59" w14:textId="77777777" w:rsidTr="00216F13">
        <w:trPr>
          <w:trHeight w:val="312"/>
        </w:trPr>
        <w:tc>
          <w:tcPr>
            <w:tcW w:w="1711" w:type="dxa"/>
            <w:tcBorders>
              <w:top w:val="nil"/>
              <w:left w:val="nil"/>
              <w:bottom w:val="nil"/>
            </w:tcBorders>
            <w:shd w:val="clear" w:color="auto" w:fill="auto"/>
            <w:noWrap/>
            <w:vAlign w:val="bottom"/>
            <w:hideMark/>
          </w:tcPr>
          <w:p w14:paraId="315B1462" w14:textId="2F74FC5D" w:rsidR="00895A1D" w:rsidRPr="006B42D6" w:rsidRDefault="00895A1D" w:rsidP="00BE0494">
            <w:pPr>
              <w:jc w:val="left"/>
              <w:rPr>
                <w:sz w:val="16"/>
                <w:szCs w:val="16"/>
              </w:rPr>
            </w:pPr>
            <w:r w:rsidRPr="006B42D6">
              <w:rPr>
                <w:sz w:val="16"/>
                <w:szCs w:val="16"/>
              </w:rPr>
              <w:t>Morogoro</w:t>
            </w:r>
          </w:p>
        </w:tc>
        <w:tc>
          <w:tcPr>
            <w:tcW w:w="1054" w:type="dxa"/>
            <w:tcBorders>
              <w:top w:val="nil"/>
              <w:bottom w:val="nil"/>
              <w:right w:val="nil"/>
            </w:tcBorders>
            <w:shd w:val="clear" w:color="auto" w:fill="auto"/>
            <w:noWrap/>
            <w:vAlign w:val="bottom"/>
            <w:hideMark/>
          </w:tcPr>
          <w:p w14:paraId="0E29B5C4" w14:textId="6E3620C9" w:rsidR="00895A1D" w:rsidRPr="006B42D6" w:rsidRDefault="00895A1D" w:rsidP="00895A1D">
            <w:pPr>
              <w:jc w:val="right"/>
              <w:rPr>
                <w:sz w:val="16"/>
                <w:szCs w:val="16"/>
              </w:rPr>
            </w:pPr>
            <w:r w:rsidRPr="006B42D6">
              <w:rPr>
                <w:sz w:val="16"/>
                <w:szCs w:val="16"/>
              </w:rPr>
              <w:t>2,894</w:t>
            </w:r>
          </w:p>
        </w:tc>
        <w:tc>
          <w:tcPr>
            <w:tcW w:w="1020" w:type="dxa"/>
            <w:tcBorders>
              <w:top w:val="nil"/>
              <w:left w:val="nil"/>
              <w:bottom w:val="nil"/>
              <w:right w:val="nil"/>
            </w:tcBorders>
            <w:shd w:val="clear" w:color="auto" w:fill="auto"/>
            <w:noWrap/>
            <w:vAlign w:val="bottom"/>
            <w:hideMark/>
          </w:tcPr>
          <w:p w14:paraId="712EE296" w14:textId="3BB2BF53" w:rsidR="00895A1D" w:rsidRPr="006B42D6" w:rsidRDefault="00895A1D" w:rsidP="00895A1D">
            <w:pPr>
              <w:jc w:val="right"/>
              <w:rPr>
                <w:sz w:val="16"/>
                <w:szCs w:val="16"/>
              </w:rPr>
            </w:pPr>
            <w:r w:rsidRPr="006B42D6">
              <w:rPr>
                <w:sz w:val="16"/>
                <w:szCs w:val="16"/>
              </w:rPr>
              <w:t>153</w:t>
            </w:r>
          </w:p>
        </w:tc>
        <w:tc>
          <w:tcPr>
            <w:tcW w:w="1054" w:type="dxa"/>
            <w:tcBorders>
              <w:top w:val="nil"/>
              <w:left w:val="nil"/>
              <w:bottom w:val="nil"/>
              <w:right w:val="nil"/>
            </w:tcBorders>
            <w:shd w:val="clear" w:color="auto" w:fill="auto"/>
            <w:noWrap/>
            <w:vAlign w:val="bottom"/>
            <w:hideMark/>
          </w:tcPr>
          <w:p w14:paraId="2EB79226" w14:textId="08D31DA2" w:rsidR="00895A1D" w:rsidRPr="006B42D6" w:rsidRDefault="00895A1D" w:rsidP="00895A1D">
            <w:pPr>
              <w:jc w:val="right"/>
              <w:rPr>
                <w:sz w:val="16"/>
                <w:szCs w:val="16"/>
              </w:rPr>
            </w:pPr>
            <w:r w:rsidRPr="006B42D6">
              <w:rPr>
                <w:sz w:val="16"/>
                <w:szCs w:val="16"/>
              </w:rPr>
              <w:t>9,888</w:t>
            </w:r>
          </w:p>
        </w:tc>
        <w:tc>
          <w:tcPr>
            <w:tcW w:w="1400" w:type="dxa"/>
            <w:tcBorders>
              <w:top w:val="nil"/>
              <w:left w:val="nil"/>
              <w:bottom w:val="nil"/>
              <w:right w:val="nil"/>
            </w:tcBorders>
            <w:shd w:val="clear" w:color="auto" w:fill="auto"/>
            <w:noWrap/>
            <w:vAlign w:val="bottom"/>
            <w:hideMark/>
          </w:tcPr>
          <w:p w14:paraId="536E86CF" w14:textId="63924AE2" w:rsidR="00895A1D" w:rsidRPr="006B42D6" w:rsidRDefault="00895A1D" w:rsidP="00895A1D">
            <w:pPr>
              <w:jc w:val="right"/>
              <w:rPr>
                <w:sz w:val="16"/>
                <w:szCs w:val="16"/>
              </w:rPr>
            </w:pPr>
            <w:r w:rsidRPr="006B42D6">
              <w:rPr>
                <w:sz w:val="16"/>
                <w:szCs w:val="16"/>
              </w:rPr>
              <w:t>1,203</w:t>
            </w:r>
          </w:p>
        </w:tc>
        <w:tc>
          <w:tcPr>
            <w:tcW w:w="1296" w:type="dxa"/>
            <w:tcBorders>
              <w:top w:val="nil"/>
              <w:left w:val="nil"/>
              <w:bottom w:val="nil"/>
              <w:right w:val="nil"/>
            </w:tcBorders>
            <w:shd w:val="clear" w:color="auto" w:fill="auto"/>
            <w:noWrap/>
            <w:vAlign w:val="bottom"/>
            <w:hideMark/>
          </w:tcPr>
          <w:p w14:paraId="52368638" w14:textId="4F869C13" w:rsidR="00895A1D" w:rsidRPr="006B42D6" w:rsidRDefault="00895A1D" w:rsidP="00895A1D">
            <w:pPr>
              <w:jc w:val="right"/>
              <w:rPr>
                <w:sz w:val="16"/>
                <w:szCs w:val="16"/>
              </w:rPr>
            </w:pPr>
            <w:r w:rsidRPr="006B42D6">
              <w:rPr>
                <w:sz w:val="16"/>
                <w:szCs w:val="16"/>
              </w:rPr>
              <w:t>1,356</w:t>
            </w:r>
          </w:p>
        </w:tc>
        <w:tc>
          <w:tcPr>
            <w:tcW w:w="951" w:type="dxa"/>
            <w:tcBorders>
              <w:top w:val="nil"/>
              <w:left w:val="nil"/>
              <w:bottom w:val="nil"/>
              <w:right w:val="nil"/>
            </w:tcBorders>
            <w:shd w:val="clear" w:color="auto" w:fill="auto"/>
            <w:noWrap/>
            <w:vAlign w:val="bottom"/>
            <w:hideMark/>
          </w:tcPr>
          <w:p w14:paraId="10C7F614" w14:textId="7B6D21F3" w:rsidR="00895A1D" w:rsidRPr="006B42D6" w:rsidRDefault="00895A1D" w:rsidP="00895A1D">
            <w:pPr>
              <w:jc w:val="right"/>
              <w:rPr>
                <w:sz w:val="16"/>
                <w:szCs w:val="16"/>
              </w:rPr>
            </w:pPr>
            <w:r w:rsidRPr="006B42D6">
              <w:rPr>
                <w:sz w:val="16"/>
                <w:szCs w:val="16"/>
              </w:rPr>
              <w:t>1,000</w:t>
            </w:r>
          </w:p>
        </w:tc>
        <w:tc>
          <w:tcPr>
            <w:tcW w:w="954" w:type="dxa"/>
            <w:tcBorders>
              <w:top w:val="nil"/>
              <w:left w:val="nil"/>
              <w:bottom w:val="nil"/>
              <w:right w:val="nil"/>
            </w:tcBorders>
            <w:shd w:val="clear" w:color="auto" w:fill="auto"/>
            <w:noWrap/>
            <w:vAlign w:val="bottom"/>
            <w:hideMark/>
          </w:tcPr>
          <w:p w14:paraId="623807AC" w14:textId="695F3C80" w:rsidR="00895A1D" w:rsidRPr="006B42D6" w:rsidRDefault="00895A1D" w:rsidP="00895A1D">
            <w:pPr>
              <w:jc w:val="right"/>
              <w:rPr>
                <w:sz w:val="16"/>
                <w:szCs w:val="16"/>
              </w:rPr>
            </w:pPr>
            <w:r w:rsidRPr="006B42D6">
              <w:rPr>
                <w:sz w:val="16"/>
                <w:szCs w:val="16"/>
              </w:rPr>
              <w:t>1,623</w:t>
            </w:r>
          </w:p>
        </w:tc>
      </w:tr>
      <w:tr w:rsidR="006B42D6" w:rsidRPr="006B42D6" w14:paraId="1426312E" w14:textId="77777777" w:rsidTr="00216F13">
        <w:trPr>
          <w:trHeight w:val="312"/>
        </w:trPr>
        <w:tc>
          <w:tcPr>
            <w:tcW w:w="1711" w:type="dxa"/>
            <w:tcBorders>
              <w:top w:val="nil"/>
              <w:left w:val="nil"/>
              <w:bottom w:val="nil"/>
            </w:tcBorders>
            <w:shd w:val="clear" w:color="auto" w:fill="auto"/>
            <w:noWrap/>
            <w:vAlign w:val="bottom"/>
            <w:hideMark/>
          </w:tcPr>
          <w:p w14:paraId="6CAFEB48" w14:textId="10A1C390" w:rsidR="00895A1D" w:rsidRPr="006B42D6" w:rsidRDefault="00895A1D" w:rsidP="00BE0494">
            <w:pPr>
              <w:jc w:val="left"/>
              <w:rPr>
                <w:sz w:val="16"/>
                <w:szCs w:val="16"/>
              </w:rPr>
            </w:pPr>
            <w:r w:rsidRPr="006B42D6">
              <w:rPr>
                <w:sz w:val="16"/>
                <w:szCs w:val="16"/>
              </w:rPr>
              <w:t>Pwani</w:t>
            </w:r>
          </w:p>
        </w:tc>
        <w:tc>
          <w:tcPr>
            <w:tcW w:w="1054" w:type="dxa"/>
            <w:tcBorders>
              <w:top w:val="nil"/>
              <w:bottom w:val="nil"/>
              <w:right w:val="nil"/>
            </w:tcBorders>
            <w:shd w:val="clear" w:color="auto" w:fill="auto"/>
            <w:noWrap/>
            <w:vAlign w:val="bottom"/>
            <w:hideMark/>
          </w:tcPr>
          <w:p w14:paraId="33E216C7" w14:textId="08016822" w:rsidR="00895A1D" w:rsidRPr="006B42D6" w:rsidRDefault="00895A1D" w:rsidP="00895A1D">
            <w:pPr>
              <w:jc w:val="right"/>
              <w:rPr>
                <w:sz w:val="16"/>
                <w:szCs w:val="16"/>
              </w:rPr>
            </w:pPr>
            <w:r w:rsidRPr="006B42D6">
              <w:rPr>
                <w:sz w:val="16"/>
                <w:szCs w:val="16"/>
              </w:rPr>
              <w:t>3,564</w:t>
            </w:r>
          </w:p>
        </w:tc>
        <w:tc>
          <w:tcPr>
            <w:tcW w:w="1020" w:type="dxa"/>
            <w:tcBorders>
              <w:top w:val="nil"/>
              <w:left w:val="nil"/>
              <w:bottom w:val="nil"/>
              <w:right w:val="nil"/>
            </w:tcBorders>
            <w:shd w:val="clear" w:color="auto" w:fill="auto"/>
            <w:noWrap/>
            <w:vAlign w:val="bottom"/>
            <w:hideMark/>
          </w:tcPr>
          <w:p w14:paraId="0390A03F" w14:textId="7E466D97" w:rsidR="00895A1D" w:rsidRPr="006B42D6" w:rsidRDefault="00895A1D" w:rsidP="00895A1D">
            <w:pPr>
              <w:jc w:val="right"/>
              <w:rPr>
                <w:sz w:val="16"/>
                <w:szCs w:val="16"/>
              </w:rPr>
            </w:pPr>
            <w:r w:rsidRPr="006B42D6">
              <w:rPr>
                <w:sz w:val="16"/>
                <w:szCs w:val="16"/>
              </w:rPr>
              <w:t>1,227</w:t>
            </w:r>
          </w:p>
        </w:tc>
        <w:tc>
          <w:tcPr>
            <w:tcW w:w="1054" w:type="dxa"/>
            <w:tcBorders>
              <w:top w:val="nil"/>
              <w:left w:val="nil"/>
              <w:bottom w:val="nil"/>
              <w:right w:val="nil"/>
            </w:tcBorders>
            <w:shd w:val="clear" w:color="auto" w:fill="auto"/>
            <w:noWrap/>
            <w:vAlign w:val="bottom"/>
            <w:hideMark/>
          </w:tcPr>
          <w:p w14:paraId="5E603D18" w14:textId="38D335F3" w:rsidR="00895A1D" w:rsidRPr="006B42D6" w:rsidRDefault="00895A1D" w:rsidP="00895A1D">
            <w:pPr>
              <w:jc w:val="right"/>
              <w:rPr>
                <w:sz w:val="16"/>
                <w:szCs w:val="16"/>
              </w:rPr>
            </w:pPr>
            <w:r w:rsidRPr="006B42D6">
              <w:rPr>
                <w:sz w:val="16"/>
                <w:szCs w:val="16"/>
              </w:rPr>
              <w:t>24,332</w:t>
            </w:r>
          </w:p>
        </w:tc>
        <w:tc>
          <w:tcPr>
            <w:tcW w:w="1400" w:type="dxa"/>
            <w:tcBorders>
              <w:top w:val="nil"/>
              <w:left w:val="nil"/>
              <w:bottom w:val="nil"/>
              <w:right w:val="nil"/>
            </w:tcBorders>
            <w:shd w:val="clear" w:color="auto" w:fill="auto"/>
            <w:noWrap/>
            <w:vAlign w:val="bottom"/>
            <w:hideMark/>
          </w:tcPr>
          <w:p w14:paraId="2D14A201" w14:textId="64AE0E6E" w:rsidR="00895A1D" w:rsidRPr="006B42D6" w:rsidRDefault="00895A1D" w:rsidP="00895A1D">
            <w:pPr>
              <w:jc w:val="right"/>
              <w:rPr>
                <w:sz w:val="16"/>
                <w:szCs w:val="16"/>
              </w:rPr>
            </w:pPr>
            <w:r w:rsidRPr="006B42D6">
              <w:rPr>
                <w:sz w:val="16"/>
                <w:szCs w:val="16"/>
              </w:rPr>
              <w:t>7,538</w:t>
            </w:r>
          </w:p>
        </w:tc>
        <w:tc>
          <w:tcPr>
            <w:tcW w:w="1296" w:type="dxa"/>
            <w:tcBorders>
              <w:top w:val="nil"/>
              <w:left w:val="nil"/>
              <w:bottom w:val="nil"/>
              <w:right w:val="nil"/>
            </w:tcBorders>
            <w:shd w:val="clear" w:color="auto" w:fill="auto"/>
            <w:noWrap/>
            <w:vAlign w:val="bottom"/>
            <w:hideMark/>
          </w:tcPr>
          <w:p w14:paraId="0B97C381" w14:textId="4EF4A332" w:rsidR="00895A1D" w:rsidRPr="006B42D6" w:rsidRDefault="00895A1D" w:rsidP="00895A1D">
            <w:pPr>
              <w:jc w:val="right"/>
              <w:rPr>
                <w:sz w:val="16"/>
                <w:szCs w:val="16"/>
              </w:rPr>
            </w:pPr>
            <w:r w:rsidRPr="006B42D6">
              <w:rPr>
                <w:sz w:val="16"/>
                <w:szCs w:val="16"/>
              </w:rPr>
              <w:t>8,765</w:t>
            </w:r>
          </w:p>
        </w:tc>
        <w:tc>
          <w:tcPr>
            <w:tcW w:w="951" w:type="dxa"/>
            <w:tcBorders>
              <w:top w:val="nil"/>
              <w:left w:val="nil"/>
              <w:bottom w:val="nil"/>
              <w:right w:val="nil"/>
            </w:tcBorders>
            <w:shd w:val="clear" w:color="auto" w:fill="auto"/>
            <w:noWrap/>
            <w:vAlign w:val="bottom"/>
            <w:hideMark/>
          </w:tcPr>
          <w:p w14:paraId="5833D5BF" w14:textId="2E30E7EF" w:rsidR="00895A1D" w:rsidRPr="006B42D6" w:rsidRDefault="00895A1D" w:rsidP="00895A1D">
            <w:pPr>
              <w:jc w:val="right"/>
              <w:rPr>
                <w:sz w:val="16"/>
                <w:szCs w:val="16"/>
              </w:rPr>
            </w:pPr>
            <w:r w:rsidRPr="006B42D6">
              <w:rPr>
                <w:sz w:val="16"/>
                <w:szCs w:val="16"/>
              </w:rPr>
              <w:t>3,703</w:t>
            </w:r>
          </w:p>
        </w:tc>
        <w:tc>
          <w:tcPr>
            <w:tcW w:w="954" w:type="dxa"/>
            <w:tcBorders>
              <w:top w:val="nil"/>
              <w:left w:val="nil"/>
              <w:bottom w:val="nil"/>
              <w:right w:val="nil"/>
            </w:tcBorders>
            <w:shd w:val="clear" w:color="auto" w:fill="auto"/>
            <w:noWrap/>
            <w:vAlign w:val="bottom"/>
            <w:hideMark/>
          </w:tcPr>
          <w:p w14:paraId="579BEED4" w14:textId="699C537C" w:rsidR="00895A1D" w:rsidRPr="006B42D6" w:rsidRDefault="00895A1D" w:rsidP="00895A1D">
            <w:pPr>
              <w:jc w:val="right"/>
              <w:rPr>
                <w:sz w:val="16"/>
                <w:szCs w:val="16"/>
              </w:rPr>
            </w:pPr>
            <w:r w:rsidRPr="006B42D6">
              <w:rPr>
                <w:sz w:val="16"/>
                <w:szCs w:val="16"/>
              </w:rPr>
              <w:t>17,332</w:t>
            </w:r>
          </w:p>
        </w:tc>
      </w:tr>
      <w:tr w:rsidR="006B42D6" w:rsidRPr="006B42D6" w14:paraId="7119FD20" w14:textId="77777777" w:rsidTr="00216F13">
        <w:trPr>
          <w:trHeight w:val="312"/>
        </w:trPr>
        <w:tc>
          <w:tcPr>
            <w:tcW w:w="1711" w:type="dxa"/>
            <w:tcBorders>
              <w:top w:val="nil"/>
              <w:left w:val="nil"/>
              <w:bottom w:val="nil"/>
            </w:tcBorders>
            <w:shd w:val="clear" w:color="auto" w:fill="auto"/>
            <w:noWrap/>
            <w:vAlign w:val="bottom"/>
            <w:hideMark/>
          </w:tcPr>
          <w:p w14:paraId="18397659" w14:textId="0586C40B" w:rsidR="00895A1D" w:rsidRPr="006B42D6" w:rsidRDefault="00895A1D" w:rsidP="00BE0494">
            <w:pPr>
              <w:jc w:val="left"/>
              <w:rPr>
                <w:sz w:val="16"/>
                <w:szCs w:val="16"/>
              </w:rPr>
            </w:pPr>
            <w:r w:rsidRPr="006B42D6">
              <w:rPr>
                <w:sz w:val="16"/>
                <w:szCs w:val="16"/>
              </w:rPr>
              <w:t>Dar Es Salaam</w:t>
            </w:r>
          </w:p>
        </w:tc>
        <w:tc>
          <w:tcPr>
            <w:tcW w:w="1054" w:type="dxa"/>
            <w:tcBorders>
              <w:top w:val="nil"/>
              <w:bottom w:val="nil"/>
              <w:right w:val="nil"/>
            </w:tcBorders>
            <w:shd w:val="clear" w:color="auto" w:fill="auto"/>
            <w:noWrap/>
            <w:vAlign w:val="bottom"/>
            <w:hideMark/>
          </w:tcPr>
          <w:p w14:paraId="6F7DF67E" w14:textId="646A5AAF" w:rsidR="00895A1D" w:rsidRPr="006B42D6" w:rsidRDefault="00895A1D" w:rsidP="00895A1D">
            <w:pPr>
              <w:jc w:val="right"/>
              <w:rPr>
                <w:sz w:val="16"/>
                <w:szCs w:val="16"/>
              </w:rPr>
            </w:pPr>
            <w:r w:rsidRPr="006B42D6">
              <w:rPr>
                <w:sz w:val="16"/>
                <w:szCs w:val="16"/>
              </w:rPr>
              <w:t>11,913</w:t>
            </w:r>
          </w:p>
        </w:tc>
        <w:tc>
          <w:tcPr>
            <w:tcW w:w="1020" w:type="dxa"/>
            <w:tcBorders>
              <w:top w:val="nil"/>
              <w:left w:val="nil"/>
              <w:bottom w:val="nil"/>
              <w:right w:val="nil"/>
            </w:tcBorders>
            <w:shd w:val="clear" w:color="auto" w:fill="auto"/>
            <w:noWrap/>
            <w:vAlign w:val="bottom"/>
            <w:hideMark/>
          </w:tcPr>
          <w:p w14:paraId="4E662886" w14:textId="491E6DA4" w:rsidR="00895A1D" w:rsidRPr="006B42D6" w:rsidRDefault="00895A1D" w:rsidP="00895A1D">
            <w:pPr>
              <w:jc w:val="right"/>
              <w:rPr>
                <w:sz w:val="16"/>
                <w:szCs w:val="16"/>
              </w:rPr>
            </w:pPr>
            <w:r w:rsidRPr="006B42D6">
              <w:rPr>
                <w:sz w:val="16"/>
                <w:szCs w:val="16"/>
              </w:rPr>
              <w:t>892</w:t>
            </w:r>
          </w:p>
        </w:tc>
        <w:tc>
          <w:tcPr>
            <w:tcW w:w="1054" w:type="dxa"/>
            <w:tcBorders>
              <w:top w:val="nil"/>
              <w:left w:val="nil"/>
              <w:bottom w:val="nil"/>
              <w:right w:val="nil"/>
            </w:tcBorders>
            <w:shd w:val="clear" w:color="auto" w:fill="auto"/>
            <w:noWrap/>
            <w:vAlign w:val="bottom"/>
            <w:hideMark/>
          </w:tcPr>
          <w:p w14:paraId="402D741F" w14:textId="3AC3EB93" w:rsidR="00895A1D" w:rsidRPr="006B42D6" w:rsidRDefault="00895A1D" w:rsidP="00895A1D">
            <w:pPr>
              <w:jc w:val="right"/>
              <w:rPr>
                <w:sz w:val="16"/>
                <w:szCs w:val="16"/>
              </w:rPr>
            </w:pPr>
            <w:r w:rsidRPr="006B42D6">
              <w:rPr>
                <w:sz w:val="16"/>
                <w:szCs w:val="16"/>
              </w:rPr>
              <w:t>7,719</w:t>
            </w:r>
          </w:p>
        </w:tc>
        <w:tc>
          <w:tcPr>
            <w:tcW w:w="1400" w:type="dxa"/>
            <w:tcBorders>
              <w:top w:val="nil"/>
              <w:left w:val="nil"/>
              <w:bottom w:val="nil"/>
              <w:right w:val="nil"/>
            </w:tcBorders>
            <w:shd w:val="clear" w:color="auto" w:fill="auto"/>
            <w:noWrap/>
            <w:vAlign w:val="bottom"/>
            <w:hideMark/>
          </w:tcPr>
          <w:p w14:paraId="2ACCA221" w14:textId="410D211C" w:rsidR="00895A1D" w:rsidRPr="006B42D6" w:rsidRDefault="00895A1D" w:rsidP="00895A1D">
            <w:pPr>
              <w:jc w:val="right"/>
              <w:rPr>
                <w:sz w:val="16"/>
                <w:szCs w:val="16"/>
              </w:rPr>
            </w:pPr>
            <w:r w:rsidRPr="006B42D6">
              <w:rPr>
                <w:sz w:val="16"/>
                <w:szCs w:val="16"/>
              </w:rPr>
              <w:t>387</w:t>
            </w:r>
          </w:p>
        </w:tc>
        <w:tc>
          <w:tcPr>
            <w:tcW w:w="1296" w:type="dxa"/>
            <w:tcBorders>
              <w:top w:val="nil"/>
              <w:left w:val="nil"/>
              <w:bottom w:val="nil"/>
              <w:right w:val="nil"/>
            </w:tcBorders>
            <w:shd w:val="clear" w:color="auto" w:fill="auto"/>
            <w:noWrap/>
            <w:vAlign w:val="bottom"/>
            <w:hideMark/>
          </w:tcPr>
          <w:p w14:paraId="07748FCD" w14:textId="5C1A051B" w:rsidR="00895A1D" w:rsidRPr="006B42D6" w:rsidRDefault="00895A1D" w:rsidP="00895A1D">
            <w:pPr>
              <w:jc w:val="right"/>
              <w:rPr>
                <w:sz w:val="16"/>
                <w:szCs w:val="16"/>
              </w:rPr>
            </w:pPr>
            <w:r w:rsidRPr="006B42D6">
              <w:rPr>
                <w:sz w:val="16"/>
                <w:szCs w:val="16"/>
              </w:rPr>
              <w:t>1,279</w:t>
            </w:r>
          </w:p>
        </w:tc>
        <w:tc>
          <w:tcPr>
            <w:tcW w:w="951" w:type="dxa"/>
            <w:tcBorders>
              <w:top w:val="nil"/>
              <w:left w:val="nil"/>
              <w:bottom w:val="nil"/>
              <w:right w:val="nil"/>
            </w:tcBorders>
            <w:shd w:val="clear" w:color="auto" w:fill="auto"/>
            <w:noWrap/>
            <w:vAlign w:val="bottom"/>
            <w:hideMark/>
          </w:tcPr>
          <w:p w14:paraId="1DBD6DB6" w14:textId="341807F6" w:rsidR="00895A1D" w:rsidRPr="006B42D6" w:rsidRDefault="00895A1D" w:rsidP="00895A1D">
            <w:pPr>
              <w:jc w:val="right"/>
              <w:rPr>
                <w:sz w:val="16"/>
                <w:szCs w:val="16"/>
              </w:rPr>
            </w:pPr>
            <w:r w:rsidRPr="006B42D6">
              <w:rPr>
                <w:sz w:val="16"/>
                <w:szCs w:val="16"/>
              </w:rPr>
              <w:t>262</w:t>
            </w:r>
          </w:p>
        </w:tc>
        <w:tc>
          <w:tcPr>
            <w:tcW w:w="954" w:type="dxa"/>
            <w:tcBorders>
              <w:top w:val="nil"/>
              <w:left w:val="nil"/>
              <w:bottom w:val="nil"/>
              <w:right w:val="nil"/>
            </w:tcBorders>
            <w:shd w:val="clear" w:color="auto" w:fill="auto"/>
            <w:noWrap/>
            <w:vAlign w:val="bottom"/>
            <w:hideMark/>
          </w:tcPr>
          <w:p w14:paraId="0726A87A" w14:textId="3679E96A" w:rsidR="00895A1D" w:rsidRPr="006B42D6" w:rsidRDefault="00895A1D" w:rsidP="00895A1D">
            <w:pPr>
              <w:jc w:val="right"/>
              <w:rPr>
                <w:sz w:val="16"/>
                <w:szCs w:val="16"/>
              </w:rPr>
            </w:pPr>
            <w:r w:rsidRPr="006B42D6">
              <w:rPr>
                <w:sz w:val="16"/>
                <w:szCs w:val="16"/>
              </w:rPr>
              <w:t>795</w:t>
            </w:r>
          </w:p>
        </w:tc>
      </w:tr>
      <w:tr w:rsidR="006B42D6" w:rsidRPr="006B42D6" w14:paraId="1C7CE5E6" w14:textId="77777777" w:rsidTr="00216F13">
        <w:trPr>
          <w:trHeight w:val="312"/>
        </w:trPr>
        <w:tc>
          <w:tcPr>
            <w:tcW w:w="1711" w:type="dxa"/>
            <w:tcBorders>
              <w:top w:val="nil"/>
              <w:left w:val="nil"/>
              <w:bottom w:val="nil"/>
            </w:tcBorders>
            <w:shd w:val="clear" w:color="auto" w:fill="auto"/>
            <w:noWrap/>
            <w:vAlign w:val="bottom"/>
            <w:hideMark/>
          </w:tcPr>
          <w:p w14:paraId="0D10A64B" w14:textId="20D8BA99" w:rsidR="00895A1D" w:rsidRPr="006B42D6" w:rsidRDefault="00895A1D" w:rsidP="00BE0494">
            <w:pPr>
              <w:jc w:val="left"/>
              <w:rPr>
                <w:sz w:val="16"/>
                <w:szCs w:val="16"/>
              </w:rPr>
            </w:pPr>
            <w:r w:rsidRPr="006B42D6">
              <w:rPr>
                <w:sz w:val="16"/>
                <w:szCs w:val="16"/>
              </w:rPr>
              <w:t>Lindi</w:t>
            </w:r>
          </w:p>
        </w:tc>
        <w:tc>
          <w:tcPr>
            <w:tcW w:w="1054" w:type="dxa"/>
            <w:tcBorders>
              <w:top w:val="nil"/>
              <w:bottom w:val="nil"/>
              <w:right w:val="nil"/>
            </w:tcBorders>
            <w:shd w:val="clear" w:color="auto" w:fill="auto"/>
            <w:noWrap/>
            <w:vAlign w:val="bottom"/>
            <w:hideMark/>
          </w:tcPr>
          <w:p w14:paraId="52C853DA" w14:textId="55D928E2" w:rsidR="00895A1D" w:rsidRPr="006B42D6" w:rsidRDefault="00895A1D" w:rsidP="00895A1D">
            <w:pPr>
              <w:jc w:val="right"/>
              <w:rPr>
                <w:sz w:val="16"/>
                <w:szCs w:val="16"/>
              </w:rPr>
            </w:pPr>
            <w:r w:rsidRPr="006B42D6">
              <w:rPr>
                <w:sz w:val="16"/>
                <w:szCs w:val="16"/>
              </w:rPr>
              <w:t>3,102</w:t>
            </w:r>
          </w:p>
        </w:tc>
        <w:tc>
          <w:tcPr>
            <w:tcW w:w="1020" w:type="dxa"/>
            <w:tcBorders>
              <w:top w:val="nil"/>
              <w:left w:val="nil"/>
              <w:bottom w:val="nil"/>
              <w:right w:val="nil"/>
            </w:tcBorders>
            <w:shd w:val="clear" w:color="auto" w:fill="auto"/>
            <w:noWrap/>
            <w:vAlign w:val="bottom"/>
            <w:hideMark/>
          </w:tcPr>
          <w:p w14:paraId="6A45AC68" w14:textId="7D924441" w:rsidR="00895A1D" w:rsidRPr="006B42D6" w:rsidRDefault="00895A1D" w:rsidP="00895A1D">
            <w:pPr>
              <w:jc w:val="right"/>
              <w:rPr>
                <w:sz w:val="16"/>
                <w:szCs w:val="16"/>
              </w:rPr>
            </w:pPr>
            <w:r w:rsidRPr="006B42D6">
              <w:rPr>
                <w:sz w:val="16"/>
                <w:szCs w:val="16"/>
              </w:rPr>
              <w:t>3,730</w:t>
            </w:r>
          </w:p>
        </w:tc>
        <w:tc>
          <w:tcPr>
            <w:tcW w:w="1054" w:type="dxa"/>
            <w:tcBorders>
              <w:top w:val="nil"/>
              <w:left w:val="nil"/>
              <w:bottom w:val="nil"/>
              <w:right w:val="nil"/>
            </w:tcBorders>
            <w:shd w:val="clear" w:color="auto" w:fill="auto"/>
            <w:noWrap/>
            <w:vAlign w:val="bottom"/>
            <w:hideMark/>
          </w:tcPr>
          <w:p w14:paraId="0DF4064C" w14:textId="1F019949" w:rsidR="00895A1D" w:rsidRPr="006B42D6" w:rsidRDefault="00895A1D" w:rsidP="00895A1D">
            <w:pPr>
              <w:jc w:val="right"/>
              <w:rPr>
                <w:sz w:val="16"/>
                <w:szCs w:val="16"/>
              </w:rPr>
            </w:pPr>
            <w:r w:rsidRPr="006B42D6">
              <w:rPr>
                <w:sz w:val="16"/>
                <w:szCs w:val="16"/>
              </w:rPr>
              <w:t>1,966</w:t>
            </w:r>
          </w:p>
        </w:tc>
        <w:tc>
          <w:tcPr>
            <w:tcW w:w="1400" w:type="dxa"/>
            <w:tcBorders>
              <w:top w:val="nil"/>
              <w:left w:val="nil"/>
              <w:bottom w:val="nil"/>
              <w:right w:val="nil"/>
            </w:tcBorders>
            <w:shd w:val="clear" w:color="auto" w:fill="auto"/>
            <w:noWrap/>
            <w:vAlign w:val="bottom"/>
            <w:hideMark/>
          </w:tcPr>
          <w:p w14:paraId="65A25664" w14:textId="21A1A6C7" w:rsidR="00895A1D" w:rsidRPr="006B42D6" w:rsidRDefault="00895A1D" w:rsidP="00895A1D">
            <w:pPr>
              <w:jc w:val="right"/>
              <w:rPr>
                <w:sz w:val="16"/>
                <w:szCs w:val="16"/>
              </w:rPr>
            </w:pPr>
            <w:r w:rsidRPr="006B42D6">
              <w:rPr>
                <w:sz w:val="16"/>
                <w:szCs w:val="16"/>
              </w:rPr>
              <w:t>811</w:t>
            </w:r>
          </w:p>
        </w:tc>
        <w:tc>
          <w:tcPr>
            <w:tcW w:w="1296" w:type="dxa"/>
            <w:tcBorders>
              <w:top w:val="nil"/>
              <w:left w:val="nil"/>
              <w:bottom w:val="nil"/>
              <w:right w:val="nil"/>
            </w:tcBorders>
            <w:shd w:val="clear" w:color="auto" w:fill="auto"/>
            <w:noWrap/>
            <w:vAlign w:val="bottom"/>
            <w:hideMark/>
          </w:tcPr>
          <w:p w14:paraId="1FD930CB" w14:textId="64E4E671" w:rsidR="00895A1D" w:rsidRPr="006B42D6" w:rsidRDefault="00895A1D" w:rsidP="00895A1D">
            <w:pPr>
              <w:jc w:val="right"/>
              <w:rPr>
                <w:sz w:val="16"/>
                <w:szCs w:val="16"/>
              </w:rPr>
            </w:pPr>
            <w:r w:rsidRPr="006B42D6">
              <w:rPr>
                <w:sz w:val="16"/>
                <w:szCs w:val="16"/>
              </w:rPr>
              <w:t>4,540</w:t>
            </w:r>
          </w:p>
        </w:tc>
        <w:tc>
          <w:tcPr>
            <w:tcW w:w="951" w:type="dxa"/>
            <w:tcBorders>
              <w:top w:val="nil"/>
              <w:left w:val="nil"/>
              <w:bottom w:val="nil"/>
              <w:right w:val="nil"/>
            </w:tcBorders>
            <w:shd w:val="clear" w:color="auto" w:fill="auto"/>
            <w:noWrap/>
            <w:vAlign w:val="bottom"/>
            <w:hideMark/>
          </w:tcPr>
          <w:p w14:paraId="6A3195E3" w14:textId="317EEBC2" w:rsidR="00895A1D" w:rsidRPr="006B42D6" w:rsidRDefault="00895A1D" w:rsidP="00895A1D">
            <w:pPr>
              <w:jc w:val="right"/>
              <w:rPr>
                <w:sz w:val="16"/>
                <w:szCs w:val="16"/>
              </w:rPr>
            </w:pPr>
            <w:r w:rsidRPr="006B42D6">
              <w:rPr>
                <w:sz w:val="16"/>
                <w:szCs w:val="16"/>
              </w:rPr>
              <w:t>567</w:t>
            </w:r>
          </w:p>
        </w:tc>
        <w:tc>
          <w:tcPr>
            <w:tcW w:w="954" w:type="dxa"/>
            <w:tcBorders>
              <w:top w:val="nil"/>
              <w:left w:val="nil"/>
              <w:bottom w:val="nil"/>
              <w:right w:val="nil"/>
            </w:tcBorders>
            <w:shd w:val="clear" w:color="auto" w:fill="auto"/>
            <w:noWrap/>
            <w:vAlign w:val="bottom"/>
            <w:hideMark/>
          </w:tcPr>
          <w:p w14:paraId="0B5023DF" w14:textId="1605C52C" w:rsidR="00895A1D" w:rsidRPr="006B42D6" w:rsidRDefault="00895A1D" w:rsidP="00895A1D">
            <w:pPr>
              <w:jc w:val="right"/>
              <w:rPr>
                <w:sz w:val="16"/>
                <w:szCs w:val="16"/>
              </w:rPr>
            </w:pPr>
            <w:r w:rsidRPr="006B42D6">
              <w:rPr>
                <w:sz w:val="16"/>
                <w:szCs w:val="16"/>
              </w:rPr>
              <w:t>1,087</w:t>
            </w:r>
          </w:p>
        </w:tc>
      </w:tr>
      <w:tr w:rsidR="006B42D6" w:rsidRPr="006B42D6" w14:paraId="50FA9A23" w14:textId="77777777" w:rsidTr="00216F13">
        <w:trPr>
          <w:trHeight w:val="312"/>
        </w:trPr>
        <w:tc>
          <w:tcPr>
            <w:tcW w:w="1711" w:type="dxa"/>
            <w:tcBorders>
              <w:top w:val="nil"/>
              <w:left w:val="nil"/>
              <w:bottom w:val="nil"/>
            </w:tcBorders>
            <w:shd w:val="clear" w:color="auto" w:fill="auto"/>
            <w:noWrap/>
            <w:vAlign w:val="bottom"/>
            <w:hideMark/>
          </w:tcPr>
          <w:p w14:paraId="7E8C71C2" w14:textId="55C6B110" w:rsidR="00895A1D" w:rsidRPr="006B42D6" w:rsidRDefault="00895A1D" w:rsidP="00BE0494">
            <w:pPr>
              <w:jc w:val="left"/>
              <w:rPr>
                <w:sz w:val="16"/>
                <w:szCs w:val="16"/>
              </w:rPr>
            </w:pPr>
            <w:r w:rsidRPr="006B42D6">
              <w:rPr>
                <w:sz w:val="16"/>
                <w:szCs w:val="16"/>
              </w:rPr>
              <w:t>Mtwara</w:t>
            </w:r>
          </w:p>
        </w:tc>
        <w:tc>
          <w:tcPr>
            <w:tcW w:w="1054" w:type="dxa"/>
            <w:tcBorders>
              <w:top w:val="nil"/>
              <w:bottom w:val="nil"/>
              <w:right w:val="nil"/>
            </w:tcBorders>
            <w:shd w:val="clear" w:color="auto" w:fill="auto"/>
            <w:noWrap/>
            <w:vAlign w:val="bottom"/>
            <w:hideMark/>
          </w:tcPr>
          <w:p w14:paraId="6CF50B12" w14:textId="57386128" w:rsidR="00895A1D" w:rsidRPr="006B42D6" w:rsidRDefault="00895A1D" w:rsidP="00895A1D">
            <w:pPr>
              <w:jc w:val="right"/>
              <w:rPr>
                <w:sz w:val="16"/>
                <w:szCs w:val="16"/>
              </w:rPr>
            </w:pPr>
            <w:r w:rsidRPr="006B42D6">
              <w:rPr>
                <w:sz w:val="16"/>
                <w:szCs w:val="16"/>
              </w:rPr>
              <w:t>2,421</w:t>
            </w:r>
          </w:p>
        </w:tc>
        <w:tc>
          <w:tcPr>
            <w:tcW w:w="1020" w:type="dxa"/>
            <w:tcBorders>
              <w:top w:val="nil"/>
              <w:left w:val="nil"/>
              <w:bottom w:val="nil"/>
              <w:right w:val="nil"/>
            </w:tcBorders>
            <w:shd w:val="clear" w:color="auto" w:fill="auto"/>
            <w:noWrap/>
            <w:vAlign w:val="bottom"/>
            <w:hideMark/>
          </w:tcPr>
          <w:p w14:paraId="0FB6AB73" w14:textId="39FE0B7E" w:rsidR="00895A1D" w:rsidRPr="006B42D6" w:rsidRDefault="00895A1D" w:rsidP="00895A1D">
            <w:pPr>
              <w:jc w:val="right"/>
              <w:rPr>
                <w:sz w:val="16"/>
                <w:szCs w:val="16"/>
              </w:rPr>
            </w:pPr>
            <w:r w:rsidRPr="006B42D6">
              <w:rPr>
                <w:sz w:val="16"/>
                <w:szCs w:val="16"/>
              </w:rPr>
              <w:t>218</w:t>
            </w:r>
          </w:p>
        </w:tc>
        <w:tc>
          <w:tcPr>
            <w:tcW w:w="1054" w:type="dxa"/>
            <w:tcBorders>
              <w:top w:val="nil"/>
              <w:left w:val="nil"/>
              <w:bottom w:val="nil"/>
              <w:right w:val="nil"/>
            </w:tcBorders>
            <w:shd w:val="clear" w:color="auto" w:fill="auto"/>
            <w:noWrap/>
            <w:vAlign w:val="bottom"/>
            <w:hideMark/>
          </w:tcPr>
          <w:p w14:paraId="6DDC22A2" w14:textId="7337566B" w:rsidR="00895A1D" w:rsidRPr="006B42D6" w:rsidRDefault="00895A1D" w:rsidP="00895A1D">
            <w:pPr>
              <w:jc w:val="right"/>
              <w:rPr>
                <w:sz w:val="16"/>
                <w:szCs w:val="16"/>
              </w:rPr>
            </w:pPr>
            <w:r w:rsidRPr="006B42D6">
              <w:rPr>
                <w:sz w:val="16"/>
                <w:szCs w:val="16"/>
              </w:rPr>
              <w:t>17,231</w:t>
            </w:r>
          </w:p>
        </w:tc>
        <w:tc>
          <w:tcPr>
            <w:tcW w:w="1400" w:type="dxa"/>
            <w:tcBorders>
              <w:top w:val="nil"/>
              <w:left w:val="nil"/>
              <w:bottom w:val="nil"/>
              <w:right w:val="nil"/>
            </w:tcBorders>
            <w:shd w:val="clear" w:color="auto" w:fill="auto"/>
            <w:noWrap/>
            <w:vAlign w:val="bottom"/>
            <w:hideMark/>
          </w:tcPr>
          <w:p w14:paraId="3129821C" w14:textId="3AD7A435" w:rsidR="00895A1D" w:rsidRPr="006B42D6" w:rsidRDefault="00895A1D" w:rsidP="00895A1D">
            <w:pPr>
              <w:jc w:val="right"/>
              <w:rPr>
                <w:sz w:val="16"/>
                <w:szCs w:val="16"/>
              </w:rPr>
            </w:pPr>
            <w:r w:rsidRPr="006B42D6">
              <w:rPr>
                <w:sz w:val="16"/>
                <w:szCs w:val="16"/>
              </w:rPr>
              <w:t>1,208</w:t>
            </w:r>
          </w:p>
        </w:tc>
        <w:tc>
          <w:tcPr>
            <w:tcW w:w="1296" w:type="dxa"/>
            <w:tcBorders>
              <w:top w:val="nil"/>
              <w:left w:val="nil"/>
              <w:bottom w:val="nil"/>
              <w:right w:val="nil"/>
            </w:tcBorders>
            <w:shd w:val="clear" w:color="auto" w:fill="auto"/>
            <w:noWrap/>
            <w:vAlign w:val="bottom"/>
            <w:hideMark/>
          </w:tcPr>
          <w:p w14:paraId="20713D52" w14:textId="4A3B17DE" w:rsidR="00895A1D" w:rsidRPr="006B42D6" w:rsidRDefault="00895A1D" w:rsidP="00895A1D">
            <w:pPr>
              <w:jc w:val="right"/>
              <w:rPr>
                <w:sz w:val="16"/>
                <w:szCs w:val="16"/>
              </w:rPr>
            </w:pPr>
            <w:r w:rsidRPr="006B42D6">
              <w:rPr>
                <w:sz w:val="16"/>
                <w:szCs w:val="16"/>
              </w:rPr>
              <w:t>1,426</w:t>
            </w:r>
          </w:p>
        </w:tc>
        <w:tc>
          <w:tcPr>
            <w:tcW w:w="951" w:type="dxa"/>
            <w:tcBorders>
              <w:top w:val="nil"/>
              <w:left w:val="nil"/>
              <w:bottom w:val="nil"/>
              <w:right w:val="nil"/>
            </w:tcBorders>
            <w:shd w:val="clear" w:color="auto" w:fill="auto"/>
            <w:noWrap/>
            <w:vAlign w:val="bottom"/>
            <w:hideMark/>
          </w:tcPr>
          <w:p w14:paraId="334A41C4" w14:textId="62EE5684" w:rsidR="00895A1D" w:rsidRPr="006B42D6" w:rsidRDefault="00895A1D" w:rsidP="00895A1D">
            <w:pPr>
              <w:jc w:val="right"/>
              <w:rPr>
                <w:sz w:val="16"/>
                <w:szCs w:val="16"/>
              </w:rPr>
            </w:pPr>
            <w:r w:rsidRPr="006B42D6">
              <w:rPr>
                <w:sz w:val="16"/>
                <w:szCs w:val="16"/>
              </w:rPr>
              <w:t>1,008</w:t>
            </w:r>
          </w:p>
        </w:tc>
        <w:tc>
          <w:tcPr>
            <w:tcW w:w="954" w:type="dxa"/>
            <w:tcBorders>
              <w:top w:val="nil"/>
              <w:left w:val="nil"/>
              <w:bottom w:val="nil"/>
              <w:right w:val="nil"/>
            </w:tcBorders>
            <w:shd w:val="clear" w:color="auto" w:fill="auto"/>
            <w:noWrap/>
            <w:vAlign w:val="bottom"/>
            <w:hideMark/>
          </w:tcPr>
          <w:p w14:paraId="42C9C0EA" w14:textId="1A51C302" w:rsidR="00895A1D" w:rsidRPr="006B42D6" w:rsidRDefault="00895A1D" w:rsidP="00895A1D">
            <w:pPr>
              <w:jc w:val="right"/>
              <w:rPr>
                <w:sz w:val="16"/>
                <w:szCs w:val="16"/>
              </w:rPr>
            </w:pPr>
            <w:r w:rsidRPr="006B42D6">
              <w:rPr>
                <w:sz w:val="16"/>
                <w:szCs w:val="16"/>
              </w:rPr>
              <w:t>8,066</w:t>
            </w:r>
          </w:p>
        </w:tc>
      </w:tr>
      <w:tr w:rsidR="006B42D6" w:rsidRPr="006B42D6" w14:paraId="1FDCCAD2" w14:textId="77777777" w:rsidTr="00216F13">
        <w:trPr>
          <w:trHeight w:val="312"/>
        </w:trPr>
        <w:tc>
          <w:tcPr>
            <w:tcW w:w="1711" w:type="dxa"/>
            <w:tcBorders>
              <w:top w:val="nil"/>
              <w:left w:val="nil"/>
              <w:bottom w:val="nil"/>
            </w:tcBorders>
            <w:shd w:val="clear" w:color="auto" w:fill="auto"/>
            <w:noWrap/>
            <w:vAlign w:val="bottom"/>
            <w:hideMark/>
          </w:tcPr>
          <w:p w14:paraId="38F81558" w14:textId="4EDC9021" w:rsidR="00895A1D" w:rsidRPr="006B42D6" w:rsidRDefault="00895A1D" w:rsidP="00BE0494">
            <w:pPr>
              <w:jc w:val="left"/>
              <w:rPr>
                <w:sz w:val="16"/>
                <w:szCs w:val="16"/>
              </w:rPr>
            </w:pPr>
            <w:r w:rsidRPr="006B42D6">
              <w:rPr>
                <w:sz w:val="16"/>
                <w:szCs w:val="16"/>
              </w:rPr>
              <w:t>Ruvuma</w:t>
            </w:r>
          </w:p>
        </w:tc>
        <w:tc>
          <w:tcPr>
            <w:tcW w:w="1054" w:type="dxa"/>
            <w:tcBorders>
              <w:top w:val="nil"/>
              <w:bottom w:val="nil"/>
              <w:right w:val="nil"/>
            </w:tcBorders>
            <w:shd w:val="clear" w:color="auto" w:fill="auto"/>
            <w:noWrap/>
            <w:vAlign w:val="bottom"/>
            <w:hideMark/>
          </w:tcPr>
          <w:p w14:paraId="2057A8A3" w14:textId="61C5AE40" w:rsidR="00895A1D" w:rsidRPr="006B42D6" w:rsidRDefault="00895A1D" w:rsidP="00895A1D">
            <w:pPr>
              <w:jc w:val="right"/>
              <w:rPr>
                <w:sz w:val="16"/>
                <w:szCs w:val="16"/>
              </w:rPr>
            </w:pPr>
            <w:r w:rsidRPr="006B42D6">
              <w:rPr>
                <w:sz w:val="16"/>
                <w:szCs w:val="16"/>
              </w:rPr>
              <w:t>-</w:t>
            </w:r>
          </w:p>
        </w:tc>
        <w:tc>
          <w:tcPr>
            <w:tcW w:w="1020" w:type="dxa"/>
            <w:tcBorders>
              <w:top w:val="nil"/>
              <w:left w:val="nil"/>
              <w:bottom w:val="nil"/>
              <w:right w:val="nil"/>
            </w:tcBorders>
            <w:shd w:val="clear" w:color="auto" w:fill="auto"/>
            <w:noWrap/>
            <w:vAlign w:val="bottom"/>
            <w:hideMark/>
          </w:tcPr>
          <w:p w14:paraId="5DED3C9F" w14:textId="501E9E37" w:rsidR="00895A1D" w:rsidRPr="006B42D6" w:rsidRDefault="00895A1D" w:rsidP="00895A1D">
            <w:pPr>
              <w:jc w:val="right"/>
              <w:rPr>
                <w:sz w:val="16"/>
                <w:szCs w:val="16"/>
              </w:rPr>
            </w:pPr>
            <w:r w:rsidRPr="006B42D6">
              <w:rPr>
                <w:sz w:val="16"/>
                <w:szCs w:val="16"/>
              </w:rPr>
              <w:t>-</w:t>
            </w:r>
          </w:p>
        </w:tc>
        <w:tc>
          <w:tcPr>
            <w:tcW w:w="1054" w:type="dxa"/>
            <w:tcBorders>
              <w:top w:val="nil"/>
              <w:left w:val="nil"/>
              <w:bottom w:val="nil"/>
              <w:right w:val="nil"/>
            </w:tcBorders>
            <w:shd w:val="clear" w:color="auto" w:fill="auto"/>
            <w:noWrap/>
            <w:vAlign w:val="bottom"/>
            <w:hideMark/>
          </w:tcPr>
          <w:p w14:paraId="713B7D92" w14:textId="78123168" w:rsidR="00895A1D" w:rsidRPr="006B42D6" w:rsidRDefault="00895A1D" w:rsidP="00895A1D">
            <w:pPr>
              <w:jc w:val="right"/>
              <w:rPr>
                <w:sz w:val="16"/>
                <w:szCs w:val="16"/>
              </w:rPr>
            </w:pPr>
            <w:r w:rsidRPr="006B42D6">
              <w:rPr>
                <w:sz w:val="16"/>
                <w:szCs w:val="16"/>
              </w:rPr>
              <w:t>1,922</w:t>
            </w:r>
          </w:p>
        </w:tc>
        <w:tc>
          <w:tcPr>
            <w:tcW w:w="1400" w:type="dxa"/>
            <w:tcBorders>
              <w:top w:val="nil"/>
              <w:left w:val="nil"/>
              <w:bottom w:val="nil"/>
              <w:right w:val="nil"/>
            </w:tcBorders>
            <w:shd w:val="clear" w:color="auto" w:fill="auto"/>
            <w:noWrap/>
            <w:vAlign w:val="bottom"/>
            <w:hideMark/>
          </w:tcPr>
          <w:p w14:paraId="124D33C4" w14:textId="746D8335" w:rsidR="00895A1D" w:rsidRPr="006B42D6" w:rsidRDefault="00895A1D" w:rsidP="00895A1D">
            <w:pPr>
              <w:jc w:val="right"/>
              <w:rPr>
                <w:sz w:val="16"/>
                <w:szCs w:val="16"/>
              </w:rPr>
            </w:pPr>
            <w:r w:rsidRPr="006B42D6">
              <w:rPr>
                <w:sz w:val="16"/>
                <w:szCs w:val="16"/>
              </w:rPr>
              <w:t>152</w:t>
            </w:r>
          </w:p>
        </w:tc>
        <w:tc>
          <w:tcPr>
            <w:tcW w:w="1296" w:type="dxa"/>
            <w:tcBorders>
              <w:top w:val="nil"/>
              <w:left w:val="nil"/>
              <w:bottom w:val="nil"/>
              <w:right w:val="nil"/>
            </w:tcBorders>
            <w:shd w:val="clear" w:color="auto" w:fill="auto"/>
            <w:noWrap/>
            <w:vAlign w:val="bottom"/>
            <w:hideMark/>
          </w:tcPr>
          <w:p w14:paraId="36C7A512" w14:textId="0C8F1523" w:rsidR="00895A1D" w:rsidRPr="006B42D6" w:rsidRDefault="00895A1D" w:rsidP="00895A1D">
            <w:pPr>
              <w:jc w:val="right"/>
              <w:rPr>
                <w:sz w:val="16"/>
                <w:szCs w:val="16"/>
              </w:rPr>
            </w:pPr>
            <w:r w:rsidRPr="006B42D6">
              <w:rPr>
                <w:sz w:val="16"/>
                <w:szCs w:val="16"/>
              </w:rPr>
              <w:t>152</w:t>
            </w:r>
          </w:p>
        </w:tc>
        <w:tc>
          <w:tcPr>
            <w:tcW w:w="951" w:type="dxa"/>
            <w:tcBorders>
              <w:top w:val="nil"/>
              <w:left w:val="nil"/>
              <w:bottom w:val="nil"/>
              <w:right w:val="nil"/>
            </w:tcBorders>
            <w:shd w:val="clear" w:color="auto" w:fill="auto"/>
            <w:noWrap/>
            <w:vAlign w:val="bottom"/>
            <w:hideMark/>
          </w:tcPr>
          <w:p w14:paraId="2414663A" w14:textId="4385FA2C" w:rsidR="00895A1D" w:rsidRPr="006B42D6" w:rsidRDefault="00895A1D" w:rsidP="00895A1D">
            <w:pPr>
              <w:jc w:val="right"/>
              <w:rPr>
                <w:sz w:val="16"/>
                <w:szCs w:val="16"/>
              </w:rPr>
            </w:pPr>
            <w:r w:rsidRPr="006B42D6">
              <w:rPr>
                <w:sz w:val="16"/>
                <w:szCs w:val="16"/>
              </w:rPr>
              <w:t>121</w:t>
            </w:r>
          </w:p>
        </w:tc>
        <w:tc>
          <w:tcPr>
            <w:tcW w:w="954" w:type="dxa"/>
            <w:tcBorders>
              <w:top w:val="nil"/>
              <w:left w:val="nil"/>
              <w:bottom w:val="nil"/>
              <w:right w:val="nil"/>
            </w:tcBorders>
            <w:shd w:val="clear" w:color="auto" w:fill="auto"/>
            <w:noWrap/>
            <w:vAlign w:val="bottom"/>
            <w:hideMark/>
          </w:tcPr>
          <w:p w14:paraId="3DA28BDF" w14:textId="4807E459" w:rsidR="00895A1D" w:rsidRPr="006B42D6" w:rsidRDefault="00895A1D" w:rsidP="00895A1D">
            <w:pPr>
              <w:jc w:val="right"/>
              <w:rPr>
                <w:sz w:val="16"/>
                <w:szCs w:val="16"/>
              </w:rPr>
            </w:pPr>
            <w:r w:rsidRPr="006B42D6">
              <w:rPr>
                <w:sz w:val="16"/>
                <w:szCs w:val="16"/>
              </w:rPr>
              <w:t>242</w:t>
            </w:r>
          </w:p>
        </w:tc>
      </w:tr>
      <w:tr w:rsidR="006B42D6" w:rsidRPr="006B42D6" w14:paraId="26142EA5" w14:textId="77777777" w:rsidTr="00216F13">
        <w:trPr>
          <w:trHeight w:val="312"/>
        </w:trPr>
        <w:tc>
          <w:tcPr>
            <w:tcW w:w="1711" w:type="dxa"/>
            <w:tcBorders>
              <w:top w:val="nil"/>
              <w:left w:val="nil"/>
              <w:bottom w:val="nil"/>
            </w:tcBorders>
            <w:shd w:val="clear" w:color="auto" w:fill="auto"/>
            <w:noWrap/>
            <w:vAlign w:val="bottom"/>
            <w:hideMark/>
          </w:tcPr>
          <w:p w14:paraId="745DA7D6" w14:textId="45BE2BA3" w:rsidR="00895A1D" w:rsidRPr="006B42D6" w:rsidRDefault="00895A1D" w:rsidP="00BE0494">
            <w:pPr>
              <w:jc w:val="left"/>
              <w:rPr>
                <w:sz w:val="16"/>
                <w:szCs w:val="16"/>
              </w:rPr>
            </w:pPr>
            <w:r w:rsidRPr="006B42D6">
              <w:rPr>
                <w:sz w:val="16"/>
                <w:szCs w:val="16"/>
              </w:rPr>
              <w:t>Iringa</w:t>
            </w:r>
          </w:p>
        </w:tc>
        <w:tc>
          <w:tcPr>
            <w:tcW w:w="1054" w:type="dxa"/>
            <w:tcBorders>
              <w:top w:val="nil"/>
              <w:bottom w:val="nil"/>
              <w:right w:val="nil"/>
            </w:tcBorders>
            <w:shd w:val="clear" w:color="auto" w:fill="auto"/>
            <w:noWrap/>
            <w:vAlign w:val="bottom"/>
            <w:hideMark/>
          </w:tcPr>
          <w:p w14:paraId="47FCBCDF" w14:textId="57369B62" w:rsidR="00895A1D" w:rsidRPr="006B42D6" w:rsidRDefault="00895A1D" w:rsidP="00895A1D">
            <w:pPr>
              <w:jc w:val="right"/>
              <w:rPr>
                <w:sz w:val="16"/>
                <w:szCs w:val="16"/>
              </w:rPr>
            </w:pPr>
            <w:r w:rsidRPr="006B42D6">
              <w:rPr>
                <w:sz w:val="16"/>
                <w:szCs w:val="16"/>
              </w:rPr>
              <w:t>1,971</w:t>
            </w:r>
          </w:p>
        </w:tc>
        <w:tc>
          <w:tcPr>
            <w:tcW w:w="1020" w:type="dxa"/>
            <w:tcBorders>
              <w:top w:val="nil"/>
              <w:left w:val="nil"/>
              <w:bottom w:val="nil"/>
              <w:right w:val="nil"/>
            </w:tcBorders>
            <w:shd w:val="clear" w:color="auto" w:fill="auto"/>
            <w:noWrap/>
            <w:vAlign w:val="bottom"/>
            <w:hideMark/>
          </w:tcPr>
          <w:p w14:paraId="45E681DD" w14:textId="7CC5960F" w:rsidR="00895A1D" w:rsidRPr="006B42D6" w:rsidRDefault="00895A1D" w:rsidP="00895A1D">
            <w:pPr>
              <w:jc w:val="right"/>
              <w:rPr>
                <w:sz w:val="16"/>
                <w:szCs w:val="16"/>
              </w:rPr>
            </w:pPr>
            <w:r w:rsidRPr="006B42D6">
              <w:rPr>
                <w:sz w:val="16"/>
                <w:szCs w:val="16"/>
              </w:rPr>
              <w:t>4</w:t>
            </w:r>
          </w:p>
        </w:tc>
        <w:tc>
          <w:tcPr>
            <w:tcW w:w="1054" w:type="dxa"/>
            <w:tcBorders>
              <w:top w:val="nil"/>
              <w:left w:val="nil"/>
              <w:bottom w:val="nil"/>
              <w:right w:val="nil"/>
            </w:tcBorders>
            <w:shd w:val="clear" w:color="auto" w:fill="auto"/>
            <w:noWrap/>
            <w:vAlign w:val="bottom"/>
            <w:hideMark/>
          </w:tcPr>
          <w:p w14:paraId="3710E6BC" w14:textId="750FB438" w:rsidR="00895A1D" w:rsidRPr="006B42D6" w:rsidRDefault="00895A1D" w:rsidP="00895A1D">
            <w:pPr>
              <w:jc w:val="right"/>
              <w:rPr>
                <w:sz w:val="16"/>
                <w:szCs w:val="16"/>
              </w:rPr>
            </w:pPr>
            <w:r w:rsidRPr="006B42D6">
              <w:rPr>
                <w:sz w:val="16"/>
                <w:szCs w:val="16"/>
              </w:rPr>
              <w:t>2,631</w:t>
            </w:r>
          </w:p>
        </w:tc>
        <w:tc>
          <w:tcPr>
            <w:tcW w:w="1400" w:type="dxa"/>
            <w:tcBorders>
              <w:top w:val="nil"/>
              <w:left w:val="nil"/>
              <w:bottom w:val="nil"/>
              <w:right w:val="nil"/>
            </w:tcBorders>
            <w:shd w:val="clear" w:color="auto" w:fill="auto"/>
            <w:noWrap/>
            <w:vAlign w:val="bottom"/>
            <w:hideMark/>
          </w:tcPr>
          <w:p w14:paraId="1E707FE8" w14:textId="6D30C66F" w:rsidR="00895A1D" w:rsidRPr="006B42D6" w:rsidRDefault="00895A1D" w:rsidP="00895A1D">
            <w:pPr>
              <w:jc w:val="right"/>
              <w:rPr>
                <w:sz w:val="16"/>
                <w:szCs w:val="16"/>
              </w:rPr>
            </w:pPr>
            <w:r w:rsidRPr="006B42D6">
              <w:rPr>
                <w:sz w:val="16"/>
                <w:szCs w:val="16"/>
              </w:rPr>
              <w:t>4</w:t>
            </w:r>
          </w:p>
        </w:tc>
        <w:tc>
          <w:tcPr>
            <w:tcW w:w="1296" w:type="dxa"/>
            <w:tcBorders>
              <w:top w:val="nil"/>
              <w:left w:val="nil"/>
              <w:bottom w:val="nil"/>
              <w:right w:val="nil"/>
            </w:tcBorders>
            <w:shd w:val="clear" w:color="auto" w:fill="auto"/>
            <w:noWrap/>
            <w:vAlign w:val="bottom"/>
            <w:hideMark/>
          </w:tcPr>
          <w:p w14:paraId="5CE7B74E" w14:textId="4E488C62" w:rsidR="00895A1D" w:rsidRPr="006B42D6" w:rsidRDefault="00895A1D" w:rsidP="00895A1D">
            <w:pPr>
              <w:jc w:val="right"/>
              <w:rPr>
                <w:sz w:val="16"/>
                <w:szCs w:val="16"/>
              </w:rPr>
            </w:pPr>
            <w:r w:rsidRPr="006B42D6">
              <w:rPr>
                <w:sz w:val="16"/>
                <w:szCs w:val="16"/>
              </w:rPr>
              <w:t>8</w:t>
            </w:r>
          </w:p>
        </w:tc>
        <w:tc>
          <w:tcPr>
            <w:tcW w:w="951" w:type="dxa"/>
            <w:tcBorders>
              <w:top w:val="nil"/>
              <w:left w:val="nil"/>
              <w:bottom w:val="nil"/>
              <w:right w:val="nil"/>
            </w:tcBorders>
            <w:shd w:val="clear" w:color="auto" w:fill="auto"/>
            <w:noWrap/>
            <w:vAlign w:val="bottom"/>
            <w:hideMark/>
          </w:tcPr>
          <w:p w14:paraId="407004E0" w14:textId="030EBC84" w:rsidR="00895A1D" w:rsidRPr="006B42D6" w:rsidRDefault="00895A1D" w:rsidP="00895A1D">
            <w:pPr>
              <w:jc w:val="right"/>
              <w:rPr>
                <w:sz w:val="16"/>
                <w:szCs w:val="16"/>
              </w:rPr>
            </w:pPr>
            <w:r w:rsidRPr="006B42D6">
              <w:rPr>
                <w:sz w:val="16"/>
                <w:szCs w:val="16"/>
              </w:rPr>
              <w:t>2</w:t>
            </w:r>
          </w:p>
        </w:tc>
        <w:tc>
          <w:tcPr>
            <w:tcW w:w="954" w:type="dxa"/>
            <w:tcBorders>
              <w:top w:val="nil"/>
              <w:left w:val="nil"/>
              <w:bottom w:val="nil"/>
              <w:right w:val="nil"/>
            </w:tcBorders>
            <w:shd w:val="clear" w:color="auto" w:fill="auto"/>
            <w:noWrap/>
            <w:vAlign w:val="bottom"/>
            <w:hideMark/>
          </w:tcPr>
          <w:p w14:paraId="2477E18A" w14:textId="549D8C38" w:rsidR="00895A1D" w:rsidRPr="006B42D6" w:rsidRDefault="00895A1D" w:rsidP="00895A1D">
            <w:pPr>
              <w:jc w:val="right"/>
              <w:rPr>
                <w:sz w:val="16"/>
                <w:szCs w:val="16"/>
              </w:rPr>
            </w:pPr>
            <w:r w:rsidRPr="006B42D6">
              <w:rPr>
                <w:sz w:val="16"/>
                <w:szCs w:val="16"/>
              </w:rPr>
              <w:t>42</w:t>
            </w:r>
          </w:p>
        </w:tc>
      </w:tr>
      <w:tr w:rsidR="006B42D6" w:rsidRPr="006B42D6" w14:paraId="2EA394BE" w14:textId="77777777" w:rsidTr="00216F13">
        <w:trPr>
          <w:trHeight w:val="312"/>
        </w:trPr>
        <w:tc>
          <w:tcPr>
            <w:tcW w:w="1711" w:type="dxa"/>
            <w:tcBorders>
              <w:top w:val="nil"/>
              <w:left w:val="nil"/>
              <w:bottom w:val="nil"/>
            </w:tcBorders>
            <w:shd w:val="clear" w:color="auto" w:fill="auto"/>
            <w:noWrap/>
            <w:vAlign w:val="bottom"/>
            <w:hideMark/>
          </w:tcPr>
          <w:p w14:paraId="6F4E3CAA" w14:textId="3CCAFD6A" w:rsidR="00895A1D" w:rsidRPr="006B42D6" w:rsidRDefault="00895A1D" w:rsidP="00BE0494">
            <w:pPr>
              <w:jc w:val="left"/>
              <w:rPr>
                <w:sz w:val="16"/>
                <w:szCs w:val="16"/>
              </w:rPr>
            </w:pPr>
            <w:r w:rsidRPr="006B42D6">
              <w:rPr>
                <w:sz w:val="16"/>
                <w:szCs w:val="16"/>
              </w:rPr>
              <w:t>Mbeya</w:t>
            </w:r>
          </w:p>
        </w:tc>
        <w:tc>
          <w:tcPr>
            <w:tcW w:w="1054" w:type="dxa"/>
            <w:tcBorders>
              <w:top w:val="nil"/>
              <w:bottom w:val="nil"/>
              <w:right w:val="nil"/>
            </w:tcBorders>
            <w:shd w:val="clear" w:color="auto" w:fill="auto"/>
            <w:noWrap/>
            <w:vAlign w:val="bottom"/>
            <w:hideMark/>
          </w:tcPr>
          <w:p w14:paraId="277A45F6" w14:textId="4EA39C83" w:rsidR="00895A1D" w:rsidRPr="006B42D6" w:rsidRDefault="00895A1D" w:rsidP="00895A1D">
            <w:pPr>
              <w:jc w:val="right"/>
              <w:rPr>
                <w:sz w:val="16"/>
                <w:szCs w:val="16"/>
              </w:rPr>
            </w:pPr>
            <w:r w:rsidRPr="006B42D6">
              <w:rPr>
                <w:sz w:val="16"/>
                <w:szCs w:val="16"/>
              </w:rPr>
              <w:t>2,538</w:t>
            </w:r>
          </w:p>
        </w:tc>
        <w:tc>
          <w:tcPr>
            <w:tcW w:w="1020" w:type="dxa"/>
            <w:tcBorders>
              <w:top w:val="nil"/>
              <w:left w:val="nil"/>
              <w:bottom w:val="nil"/>
              <w:right w:val="nil"/>
            </w:tcBorders>
            <w:shd w:val="clear" w:color="auto" w:fill="auto"/>
            <w:noWrap/>
            <w:vAlign w:val="bottom"/>
            <w:hideMark/>
          </w:tcPr>
          <w:p w14:paraId="18DAC01E" w14:textId="33E4A31C" w:rsidR="00895A1D" w:rsidRPr="006B42D6" w:rsidRDefault="00895A1D" w:rsidP="00895A1D">
            <w:pPr>
              <w:jc w:val="right"/>
              <w:rPr>
                <w:sz w:val="16"/>
                <w:szCs w:val="16"/>
              </w:rPr>
            </w:pPr>
            <w:r w:rsidRPr="006B42D6">
              <w:rPr>
                <w:sz w:val="16"/>
                <w:szCs w:val="16"/>
              </w:rPr>
              <w:t>19</w:t>
            </w:r>
          </w:p>
        </w:tc>
        <w:tc>
          <w:tcPr>
            <w:tcW w:w="1054" w:type="dxa"/>
            <w:tcBorders>
              <w:top w:val="nil"/>
              <w:left w:val="nil"/>
              <w:bottom w:val="nil"/>
              <w:right w:val="nil"/>
            </w:tcBorders>
            <w:shd w:val="clear" w:color="auto" w:fill="auto"/>
            <w:noWrap/>
            <w:vAlign w:val="bottom"/>
            <w:hideMark/>
          </w:tcPr>
          <w:p w14:paraId="1B08F8E5" w14:textId="1E1B7033" w:rsidR="00895A1D" w:rsidRPr="006B42D6" w:rsidRDefault="00895A1D" w:rsidP="00895A1D">
            <w:pPr>
              <w:jc w:val="right"/>
              <w:rPr>
                <w:sz w:val="16"/>
                <w:szCs w:val="16"/>
              </w:rPr>
            </w:pPr>
            <w:r w:rsidRPr="006B42D6">
              <w:rPr>
                <w:sz w:val="16"/>
                <w:szCs w:val="16"/>
              </w:rPr>
              <w:t>8,345</w:t>
            </w:r>
          </w:p>
        </w:tc>
        <w:tc>
          <w:tcPr>
            <w:tcW w:w="1400" w:type="dxa"/>
            <w:tcBorders>
              <w:top w:val="nil"/>
              <w:left w:val="nil"/>
              <w:bottom w:val="nil"/>
              <w:right w:val="nil"/>
            </w:tcBorders>
            <w:shd w:val="clear" w:color="auto" w:fill="auto"/>
            <w:noWrap/>
            <w:vAlign w:val="bottom"/>
            <w:hideMark/>
          </w:tcPr>
          <w:p w14:paraId="4241334C" w14:textId="6B82629F" w:rsidR="00895A1D" w:rsidRPr="006B42D6" w:rsidRDefault="00895A1D" w:rsidP="00895A1D">
            <w:pPr>
              <w:jc w:val="right"/>
              <w:rPr>
                <w:sz w:val="16"/>
                <w:szCs w:val="16"/>
              </w:rPr>
            </w:pPr>
            <w:r w:rsidRPr="006B42D6">
              <w:rPr>
                <w:sz w:val="16"/>
                <w:szCs w:val="16"/>
              </w:rPr>
              <w:t>1,176</w:t>
            </w:r>
          </w:p>
        </w:tc>
        <w:tc>
          <w:tcPr>
            <w:tcW w:w="1296" w:type="dxa"/>
            <w:tcBorders>
              <w:top w:val="nil"/>
              <w:left w:val="nil"/>
              <w:bottom w:val="nil"/>
              <w:right w:val="nil"/>
            </w:tcBorders>
            <w:shd w:val="clear" w:color="auto" w:fill="auto"/>
            <w:noWrap/>
            <w:vAlign w:val="bottom"/>
            <w:hideMark/>
          </w:tcPr>
          <w:p w14:paraId="5A59B6BC" w14:textId="33A6E7A4" w:rsidR="00895A1D" w:rsidRPr="006B42D6" w:rsidRDefault="00895A1D" w:rsidP="00895A1D">
            <w:pPr>
              <w:jc w:val="right"/>
              <w:rPr>
                <w:sz w:val="16"/>
                <w:szCs w:val="16"/>
              </w:rPr>
            </w:pPr>
            <w:r w:rsidRPr="006B42D6">
              <w:rPr>
                <w:sz w:val="16"/>
                <w:szCs w:val="16"/>
              </w:rPr>
              <w:t>1,195</w:t>
            </w:r>
          </w:p>
        </w:tc>
        <w:tc>
          <w:tcPr>
            <w:tcW w:w="951" w:type="dxa"/>
            <w:tcBorders>
              <w:top w:val="nil"/>
              <w:left w:val="nil"/>
              <w:bottom w:val="nil"/>
              <w:right w:val="nil"/>
            </w:tcBorders>
            <w:shd w:val="clear" w:color="auto" w:fill="auto"/>
            <w:noWrap/>
            <w:vAlign w:val="bottom"/>
            <w:hideMark/>
          </w:tcPr>
          <w:p w14:paraId="3EC4391E" w14:textId="237749B2" w:rsidR="00895A1D" w:rsidRPr="006B42D6" w:rsidRDefault="00895A1D" w:rsidP="00895A1D">
            <w:pPr>
              <w:jc w:val="right"/>
              <w:rPr>
                <w:sz w:val="16"/>
                <w:szCs w:val="16"/>
              </w:rPr>
            </w:pPr>
            <w:r w:rsidRPr="006B42D6">
              <w:rPr>
                <w:sz w:val="16"/>
                <w:szCs w:val="16"/>
              </w:rPr>
              <w:t>912</w:t>
            </w:r>
          </w:p>
        </w:tc>
        <w:tc>
          <w:tcPr>
            <w:tcW w:w="954" w:type="dxa"/>
            <w:tcBorders>
              <w:top w:val="nil"/>
              <w:left w:val="nil"/>
              <w:bottom w:val="nil"/>
              <w:right w:val="nil"/>
            </w:tcBorders>
            <w:shd w:val="clear" w:color="auto" w:fill="auto"/>
            <w:noWrap/>
            <w:vAlign w:val="bottom"/>
            <w:hideMark/>
          </w:tcPr>
          <w:p w14:paraId="08D0002E" w14:textId="326C7965" w:rsidR="00895A1D" w:rsidRPr="006B42D6" w:rsidRDefault="00895A1D" w:rsidP="00895A1D">
            <w:pPr>
              <w:jc w:val="right"/>
              <w:rPr>
                <w:sz w:val="16"/>
                <w:szCs w:val="16"/>
              </w:rPr>
            </w:pPr>
            <w:r w:rsidRPr="006B42D6">
              <w:rPr>
                <w:sz w:val="16"/>
                <w:szCs w:val="16"/>
              </w:rPr>
              <w:t>1,092</w:t>
            </w:r>
          </w:p>
        </w:tc>
      </w:tr>
      <w:tr w:rsidR="006B42D6" w:rsidRPr="006B42D6" w14:paraId="02ED6653" w14:textId="77777777" w:rsidTr="00216F13">
        <w:trPr>
          <w:trHeight w:val="312"/>
        </w:trPr>
        <w:tc>
          <w:tcPr>
            <w:tcW w:w="1711" w:type="dxa"/>
            <w:tcBorders>
              <w:top w:val="nil"/>
              <w:left w:val="nil"/>
              <w:bottom w:val="nil"/>
            </w:tcBorders>
            <w:shd w:val="clear" w:color="auto" w:fill="auto"/>
            <w:noWrap/>
            <w:vAlign w:val="bottom"/>
            <w:hideMark/>
          </w:tcPr>
          <w:p w14:paraId="548E010F" w14:textId="12C76294" w:rsidR="00895A1D" w:rsidRPr="006B42D6" w:rsidRDefault="00895A1D" w:rsidP="00BE0494">
            <w:pPr>
              <w:jc w:val="left"/>
              <w:rPr>
                <w:sz w:val="16"/>
                <w:szCs w:val="16"/>
              </w:rPr>
            </w:pPr>
            <w:r w:rsidRPr="006B42D6">
              <w:rPr>
                <w:sz w:val="16"/>
                <w:szCs w:val="16"/>
              </w:rPr>
              <w:t>Singida</w:t>
            </w:r>
          </w:p>
        </w:tc>
        <w:tc>
          <w:tcPr>
            <w:tcW w:w="1054" w:type="dxa"/>
            <w:tcBorders>
              <w:top w:val="nil"/>
              <w:bottom w:val="nil"/>
              <w:right w:val="nil"/>
            </w:tcBorders>
            <w:shd w:val="clear" w:color="auto" w:fill="auto"/>
            <w:noWrap/>
            <w:vAlign w:val="bottom"/>
            <w:hideMark/>
          </w:tcPr>
          <w:p w14:paraId="66CB7397" w14:textId="0F929BD0" w:rsidR="00895A1D" w:rsidRPr="006B42D6" w:rsidRDefault="00895A1D" w:rsidP="00895A1D">
            <w:pPr>
              <w:jc w:val="right"/>
              <w:rPr>
                <w:sz w:val="16"/>
                <w:szCs w:val="16"/>
              </w:rPr>
            </w:pPr>
            <w:r w:rsidRPr="006B42D6">
              <w:rPr>
                <w:sz w:val="16"/>
                <w:szCs w:val="16"/>
              </w:rPr>
              <w:t>1,215</w:t>
            </w:r>
          </w:p>
        </w:tc>
        <w:tc>
          <w:tcPr>
            <w:tcW w:w="1020" w:type="dxa"/>
            <w:tcBorders>
              <w:top w:val="nil"/>
              <w:left w:val="nil"/>
              <w:bottom w:val="nil"/>
              <w:right w:val="nil"/>
            </w:tcBorders>
            <w:shd w:val="clear" w:color="auto" w:fill="auto"/>
            <w:noWrap/>
            <w:vAlign w:val="bottom"/>
            <w:hideMark/>
          </w:tcPr>
          <w:p w14:paraId="261E4B36" w14:textId="1B2F89F3" w:rsidR="00895A1D" w:rsidRPr="006B42D6" w:rsidRDefault="00895A1D" w:rsidP="00895A1D">
            <w:pPr>
              <w:jc w:val="right"/>
              <w:rPr>
                <w:sz w:val="16"/>
                <w:szCs w:val="16"/>
              </w:rPr>
            </w:pPr>
            <w:r w:rsidRPr="006B42D6">
              <w:rPr>
                <w:sz w:val="16"/>
                <w:szCs w:val="16"/>
              </w:rPr>
              <w:t>1</w:t>
            </w:r>
          </w:p>
        </w:tc>
        <w:tc>
          <w:tcPr>
            <w:tcW w:w="1054" w:type="dxa"/>
            <w:tcBorders>
              <w:top w:val="nil"/>
              <w:left w:val="nil"/>
              <w:bottom w:val="nil"/>
              <w:right w:val="nil"/>
            </w:tcBorders>
            <w:shd w:val="clear" w:color="auto" w:fill="auto"/>
            <w:noWrap/>
            <w:vAlign w:val="bottom"/>
            <w:hideMark/>
          </w:tcPr>
          <w:p w14:paraId="73382AE9" w14:textId="713F0FD2" w:rsidR="00895A1D" w:rsidRPr="006B42D6" w:rsidRDefault="00895A1D" w:rsidP="00895A1D">
            <w:pPr>
              <w:jc w:val="right"/>
              <w:rPr>
                <w:sz w:val="16"/>
                <w:szCs w:val="16"/>
              </w:rPr>
            </w:pPr>
            <w:r w:rsidRPr="006B42D6">
              <w:rPr>
                <w:sz w:val="16"/>
                <w:szCs w:val="16"/>
              </w:rPr>
              <w:t>3,829</w:t>
            </w:r>
          </w:p>
        </w:tc>
        <w:tc>
          <w:tcPr>
            <w:tcW w:w="1400" w:type="dxa"/>
            <w:tcBorders>
              <w:top w:val="nil"/>
              <w:left w:val="nil"/>
              <w:bottom w:val="nil"/>
              <w:right w:val="nil"/>
            </w:tcBorders>
            <w:shd w:val="clear" w:color="auto" w:fill="auto"/>
            <w:noWrap/>
            <w:vAlign w:val="bottom"/>
            <w:hideMark/>
          </w:tcPr>
          <w:p w14:paraId="4CD313BF" w14:textId="3C7F402D" w:rsidR="00895A1D" w:rsidRPr="006B42D6" w:rsidRDefault="00895A1D" w:rsidP="00895A1D">
            <w:pPr>
              <w:jc w:val="right"/>
              <w:rPr>
                <w:sz w:val="16"/>
                <w:szCs w:val="16"/>
              </w:rPr>
            </w:pPr>
            <w:r w:rsidRPr="006B42D6">
              <w:rPr>
                <w:sz w:val="16"/>
                <w:szCs w:val="16"/>
              </w:rPr>
              <w:t>2</w:t>
            </w:r>
          </w:p>
        </w:tc>
        <w:tc>
          <w:tcPr>
            <w:tcW w:w="1296" w:type="dxa"/>
            <w:tcBorders>
              <w:top w:val="nil"/>
              <w:left w:val="nil"/>
              <w:bottom w:val="nil"/>
              <w:right w:val="nil"/>
            </w:tcBorders>
            <w:shd w:val="clear" w:color="auto" w:fill="auto"/>
            <w:noWrap/>
            <w:vAlign w:val="bottom"/>
            <w:hideMark/>
          </w:tcPr>
          <w:p w14:paraId="58A95DD4" w14:textId="09CC338E" w:rsidR="00895A1D" w:rsidRPr="006B42D6" w:rsidRDefault="00895A1D" w:rsidP="00895A1D">
            <w:pPr>
              <w:jc w:val="right"/>
              <w:rPr>
                <w:sz w:val="16"/>
                <w:szCs w:val="16"/>
              </w:rPr>
            </w:pPr>
            <w:r w:rsidRPr="006B42D6">
              <w:rPr>
                <w:sz w:val="16"/>
                <w:szCs w:val="16"/>
              </w:rPr>
              <w:t>3</w:t>
            </w:r>
          </w:p>
        </w:tc>
        <w:tc>
          <w:tcPr>
            <w:tcW w:w="951" w:type="dxa"/>
            <w:tcBorders>
              <w:top w:val="nil"/>
              <w:left w:val="nil"/>
              <w:bottom w:val="nil"/>
              <w:right w:val="nil"/>
            </w:tcBorders>
            <w:shd w:val="clear" w:color="auto" w:fill="auto"/>
            <w:noWrap/>
            <w:vAlign w:val="bottom"/>
            <w:hideMark/>
          </w:tcPr>
          <w:p w14:paraId="748166E1" w14:textId="03539E17" w:rsidR="00895A1D" w:rsidRPr="006B42D6" w:rsidRDefault="00895A1D" w:rsidP="00895A1D">
            <w:pPr>
              <w:jc w:val="right"/>
              <w:rPr>
                <w:sz w:val="16"/>
                <w:szCs w:val="16"/>
              </w:rPr>
            </w:pPr>
            <w:r w:rsidRPr="006B42D6">
              <w:rPr>
                <w:sz w:val="16"/>
                <w:szCs w:val="16"/>
              </w:rPr>
              <w:t>*</w:t>
            </w:r>
          </w:p>
        </w:tc>
        <w:tc>
          <w:tcPr>
            <w:tcW w:w="954" w:type="dxa"/>
            <w:tcBorders>
              <w:top w:val="nil"/>
              <w:left w:val="nil"/>
              <w:bottom w:val="nil"/>
              <w:right w:val="nil"/>
            </w:tcBorders>
            <w:shd w:val="clear" w:color="auto" w:fill="auto"/>
            <w:noWrap/>
            <w:vAlign w:val="bottom"/>
            <w:hideMark/>
          </w:tcPr>
          <w:p w14:paraId="2354AFEA" w14:textId="0F1D4455" w:rsidR="00895A1D" w:rsidRPr="006B42D6" w:rsidRDefault="00895A1D" w:rsidP="00895A1D">
            <w:pPr>
              <w:jc w:val="right"/>
              <w:rPr>
                <w:sz w:val="16"/>
                <w:szCs w:val="16"/>
              </w:rPr>
            </w:pPr>
            <w:r w:rsidRPr="006B42D6">
              <w:rPr>
                <w:sz w:val="16"/>
                <w:szCs w:val="16"/>
              </w:rPr>
              <w:t>6</w:t>
            </w:r>
          </w:p>
        </w:tc>
      </w:tr>
      <w:tr w:rsidR="006B42D6" w:rsidRPr="006B42D6" w14:paraId="5C76920C" w14:textId="77777777" w:rsidTr="00216F13">
        <w:trPr>
          <w:trHeight w:val="312"/>
        </w:trPr>
        <w:tc>
          <w:tcPr>
            <w:tcW w:w="1711" w:type="dxa"/>
            <w:tcBorders>
              <w:top w:val="nil"/>
              <w:left w:val="nil"/>
              <w:bottom w:val="nil"/>
            </w:tcBorders>
            <w:shd w:val="clear" w:color="auto" w:fill="auto"/>
            <w:noWrap/>
            <w:vAlign w:val="bottom"/>
            <w:hideMark/>
          </w:tcPr>
          <w:p w14:paraId="687B281C" w14:textId="33B1CF56" w:rsidR="00895A1D" w:rsidRPr="006B42D6" w:rsidRDefault="00895A1D" w:rsidP="00BE0494">
            <w:pPr>
              <w:jc w:val="left"/>
              <w:rPr>
                <w:sz w:val="16"/>
                <w:szCs w:val="16"/>
              </w:rPr>
            </w:pPr>
            <w:r w:rsidRPr="006B42D6">
              <w:rPr>
                <w:sz w:val="16"/>
                <w:szCs w:val="16"/>
              </w:rPr>
              <w:t>Tabora</w:t>
            </w:r>
          </w:p>
        </w:tc>
        <w:tc>
          <w:tcPr>
            <w:tcW w:w="1054" w:type="dxa"/>
            <w:tcBorders>
              <w:top w:val="nil"/>
              <w:bottom w:val="nil"/>
              <w:right w:val="nil"/>
            </w:tcBorders>
            <w:shd w:val="clear" w:color="auto" w:fill="auto"/>
            <w:noWrap/>
            <w:vAlign w:val="bottom"/>
            <w:hideMark/>
          </w:tcPr>
          <w:p w14:paraId="57BEAF96" w14:textId="71CFCA14" w:rsidR="00895A1D" w:rsidRPr="006B42D6" w:rsidRDefault="00895A1D" w:rsidP="00895A1D">
            <w:pPr>
              <w:jc w:val="right"/>
              <w:rPr>
                <w:sz w:val="16"/>
                <w:szCs w:val="16"/>
              </w:rPr>
            </w:pPr>
            <w:r w:rsidRPr="006B42D6">
              <w:rPr>
                <w:sz w:val="16"/>
                <w:szCs w:val="16"/>
              </w:rPr>
              <w:t>5,150</w:t>
            </w:r>
          </w:p>
        </w:tc>
        <w:tc>
          <w:tcPr>
            <w:tcW w:w="1020" w:type="dxa"/>
            <w:tcBorders>
              <w:top w:val="nil"/>
              <w:left w:val="nil"/>
              <w:bottom w:val="nil"/>
              <w:right w:val="nil"/>
            </w:tcBorders>
            <w:shd w:val="clear" w:color="auto" w:fill="auto"/>
            <w:noWrap/>
            <w:vAlign w:val="bottom"/>
            <w:hideMark/>
          </w:tcPr>
          <w:p w14:paraId="4962F02C" w14:textId="475E2961" w:rsidR="00895A1D" w:rsidRPr="006B42D6" w:rsidRDefault="00895A1D" w:rsidP="00895A1D">
            <w:pPr>
              <w:jc w:val="right"/>
              <w:rPr>
                <w:sz w:val="16"/>
                <w:szCs w:val="16"/>
              </w:rPr>
            </w:pPr>
            <w:r w:rsidRPr="006B42D6">
              <w:rPr>
                <w:sz w:val="16"/>
                <w:szCs w:val="16"/>
              </w:rPr>
              <w:t>147</w:t>
            </w:r>
          </w:p>
        </w:tc>
        <w:tc>
          <w:tcPr>
            <w:tcW w:w="1054" w:type="dxa"/>
            <w:tcBorders>
              <w:top w:val="nil"/>
              <w:left w:val="nil"/>
              <w:bottom w:val="nil"/>
              <w:right w:val="nil"/>
            </w:tcBorders>
            <w:shd w:val="clear" w:color="auto" w:fill="auto"/>
            <w:noWrap/>
            <w:vAlign w:val="bottom"/>
            <w:hideMark/>
          </w:tcPr>
          <w:p w14:paraId="73A4AA4A" w14:textId="28A01C2C" w:rsidR="00895A1D" w:rsidRPr="006B42D6" w:rsidRDefault="00895A1D" w:rsidP="00895A1D">
            <w:pPr>
              <w:jc w:val="right"/>
              <w:rPr>
                <w:sz w:val="16"/>
                <w:szCs w:val="16"/>
              </w:rPr>
            </w:pPr>
            <w:r w:rsidRPr="006B42D6">
              <w:rPr>
                <w:sz w:val="16"/>
                <w:szCs w:val="16"/>
              </w:rPr>
              <w:t>2,802</w:t>
            </w:r>
          </w:p>
        </w:tc>
        <w:tc>
          <w:tcPr>
            <w:tcW w:w="1400" w:type="dxa"/>
            <w:tcBorders>
              <w:top w:val="nil"/>
              <w:left w:val="nil"/>
              <w:bottom w:val="nil"/>
              <w:right w:val="nil"/>
            </w:tcBorders>
            <w:shd w:val="clear" w:color="auto" w:fill="auto"/>
            <w:noWrap/>
            <w:vAlign w:val="bottom"/>
            <w:hideMark/>
          </w:tcPr>
          <w:p w14:paraId="0F25BEB7" w14:textId="508485ED" w:rsidR="00895A1D" w:rsidRPr="006B42D6" w:rsidRDefault="00895A1D" w:rsidP="00895A1D">
            <w:pPr>
              <w:jc w:val="right"/>
              <w:rPr>
                <w:sz w:val="16"/>
                <w:szCs w:val="16"/>
              </w:rPr>
            </w:pPr>
            <w:r w:rsidRPr="006B42D6">
              <w:rPr>
                <w:sz w:val="16"/>
                <w:szCs w:val="16"/>
              </w:rPr>
              <w:t>8</w:t>
            </w:r>
          </w:p>
        </w:tc>
        <w:tc>
          <w:tcPr>
            <w:tcW w:w="1296" w:type="dxa"/>
            <w:tcBorders>
              <w:top w:val="nil"/>
              <w:left w:val="nil"/>
              <w:bottom w:val="nil"/>
              <w:right w:val="nil"/>
            </w:tcBorders>
            <w:shd w:val="clear" w:color="auto" w:fill="auto"/>
            <w:noWrap/>
            <w:vAlign w:val="bottom"/>
            <w:hideMark/>
          </w:tcPr>
          <w:p w14:paraId="36122043" w14:textId="7107D34A" w:rsidR="00895A1D" w:rsidRPr="006B42D6" w:rsidRDefault="00895A1D" w:rsidP="00895A1D">
            <w:pPr>
              <w:jc w:val="right"/>
              <w:rPr>
                <w:sz w:val="16"/>
                <w:szCs w:val="16"/>
              </w:rPr>
            </w:pPr>
            <w:r w:rsidRPr="006B42D6">
              <w:rPr>
                <w:sz w:val="16"/>
                <w:szCs w:val="16"/>
              </w:rPr>
              <w:t>155</w:t>
            </w:r>
          </w:p>
        </w:tc>
        <w:tc>
          <w:tcPr>
            <w:tcW w:w="951" w:type="dxa"/>
            <w:tcBorders>
              <w:top w:val="nil"/>
              <w:left w:val="nil"/>
              <w:bottom w:val="nil"/>
              <w:right w:val="nil"/>
            </w:tcBorders>
            <w:shd w:val="clear" w:color="auto" w:fill="auto"/>
            <w:noWrap/>
            <w:vAlign w:val="bottom"/>
            <w:hideMark/>
          </w:tcPr>
          <w:p w14:paraId="706C8380" w14:textId="78ECA653" w:rsidR="00895A1D" w:rsidRPr="006B42D6" w:rsidRDefault="00895A1D" w:rsidP="00895A1D">
            <w:pPr>
              <w:jc w:val="right"/>
              <w:rPr>
                <w:sz w:val="16"/>
                <w:szCs w:val="16"/>
              </w:rPr>
            </w:pPr>
            <w:r w:rsidRPr="006B42D6">
              <w:rPr>
                <w:sz w:val="16"/>
                <w:szCs w:val="16"/>
              </w:rPr>
              <w:t>40</w:t>
            </w:r>
          </w:p>
        </w:tc>
        <w:tc>
          <w:tcPr>
            <w:tcW w:w="954" w:type="dxa"/>
            <w:tcBorders>
              <w:top w:val="nil"/>
              <w:left w:val="nil"/>
              <w:bottom w:val="nil"/>
              <w:right w:val="nil"/>
            </w:tcBorders>
            <w:shd w:val="clear" w:color="auto" w:fill="auto"/>
            <w:noWrap/>
            <w:vAlign w:val="bottom"/>
            <w:hideMark/>
          </w:tcPr>
          <w:p w14:paraId="0DFDCB8D" w14:textId="38694804" w:rsidR="00895A1D" w:rsidRPr="006B42D6" w:rsidRDefault="00895A1D" w:rsidP="00895A1D">
            <w:pPr>
              <w:jc w:val="right"/>
              <w:rPr>
                <w:sz w:val="16"/>
                <w:szCs w:val="16"/>
              </w:rPr>
            </w:pPr>
            <w:r w:rsidRPr="006B42D6">
              <w:rPr>
                <w:sz w:val="16"/>
                <w:szCs w:val="16"/>
              </w:rPr>
              <w:t>79</w:t>
            </w:r>
          </w:p>
        </w:tc>
      </w:tr>
      <w:tr w:rsidR="006B42D6" w:rsidRPr="006B42D6" w14:paraId="20C4289F" w14:textId="77777777" w:rsidTr="00216F13">
        <w:trPr>
          <w:trHeight w:val="312"/>
        </w:trPr>
        <w:tc>
          <w:tcPr>
            <w:tcW w:w="1711" w:type="dxa"/>
            <w:tcBorders>
              <w:top w:val="nil"/>
              <w:left w:val="nil"/>
              <w:bottom w:val="nil"/>
            </w:tcBorders>
            <w:shd w:val="clear" w:color="auto" w:fill="auto"/>
            <w:noWrap/>
            <w:vAlign w:val="bottom"/>
            <w:hideMark/>
          </w:tcPr>
          <w:p w14:paraId="4BCDCE8B" w14:textId="0F990D53" w:rsidR="00895A1D" w:rsidRPr="006B42D6" w:rsidRDefault="00895A1D" w:rsidP="00BE0494">
            <w:pPr>
              <w:jc w:val="left"/>
              <w:rPr>
                <w:sz w:val="16"/>
                <w:szCs w:val="16"/>
              </w:rPr>
            </w:pPr>
            <w:r w:rsidRPr="006B42D6">
              <w:rPr>
                <w:sz w:val="16"/>
                <w:szCs w:val="16"/>
              </w:rPr>
              <w:t>Rukwa</w:t>
            </w:r>
          </w:p>
        </w:tc>
        <w:tc>
          <w:tcPr>
            <w:tcW w:w="1054" w:type="dxa"/>
            <w:tcBorders>
              <w:top w:val="nil"/>
              <w:bottom w:val="nil"/>
              <w:right w:val="nil"/>
            </w:tcBorders>
            <w:shd w:val="clear" w:color="auto" w:fill="auto"/>
            <w:noWrap/>
            <w:vAlign w:val="bottom"/>
            <w:hideMark/>
          </w:tcPr>
          <w:p w14:paraId="317991D3" w14:textId="29F58865" w:rsidR="00895A1D" w:rsidRPr="006B42D6" w:rsidRDefault="00895A1D" w:rsidP="00895A1D">
            <w:pPr>
              <w:jc w:val="right"/>
              <w:rPr>
                <w:sz w:val="16"/>
                <w:szCs w:val="16"/>
              </w:rPr>
            </w:pPr>
            <w:r w:rsidRPr="006B42D6">
              <w:rPr>
                <w:sz w:val="16"/>
                <w:szCs w:val="16"/>
              </w:rPr>
              <w:t>243</w:t>
            </w:r>
          </w:p>
        </w:tc>
        <w:tc>
          <w:tcPr>
            <w:tcW w:w="1020" w:type="dxa"/>
            <w:tcBorders>
              <w:top w:val="nil"/>
              <w:left w:val="nil"/>
              <w:bottom w:val="nil"/>
              <w:right w:val="nil"/>
            </w:tcBorders>
            <w:shd w:val="clear" w:color="auto" w:fill="auto"/>
            <w:noWrap/>
            <w:vAlign w:val="bottom"/>
            <w:hideMark/>
          </w:tcPr>
          <w:p w14:paraId="1FDC11A3" w14:textId="491A7BA4" w:rsidR="00895A1D" w:rsidRPr="006B42D6" w:rsidRDefault="00895A1D" w:rsidP="00895A1D">
            <w:pPr>
              <w:jc w:val="right"/>
              <w:rPr>
                <w:sz w:val="16"/>
                <w:szCs w:val="16"/>
              </w:rPr>
            </w:pPr>
            <w:r w:rsidRPr="006B42D6">
              <w:rPr>
                <w:sz w:val="16"/>
                <w:szCs w:val="16"/>
              </w:rPr>
              <w:t>0</w:t>
            </w:r>
          </w:p>
        </w:tc>
        <w:tc>
          <w:tcPr>
            <w:tcW w:w="1054" w:type="dxa"/>
            <w:tcBorders>
              <w:top w:val="nil"/>
              <w:left w:val="nil"/>
              <w:bottom w:val="nil"/>
              <w:right w:val="nil"/>
            </w:tcBorders>
            <w:shd w:val="clear" w:color="auto" w:fill="auto"/>
            <w:noWrap/>
            <w:vAlign w:val="bottom"/>
            <w:hideMark/>
          </w:tcPr>
          <w:p w14:paraId="589D66B7" w14:textId="3DE1A204" w:rsidR="00895A1D" w:rsidRPr="006B42D6" w:rsidRDefault="00895A1D" w:rsidP="00895A1D">
            <w:pPr>
              <w:jc w:val="right"/>
              <w:rPr>
                <w:sz w:val="16"/>
                <w:szCs w:val="16"/>
              </w:rPr>
            </w:pPr>
            <w:r w:rsidRPr="006B42D6">
              <w:rPr>
                <w:sz w:val="16"/>
                <w:szCs w:val="16"/>
              </w:rPr>
              <w:t>-</w:t>
            </w:r>
          </w:p>
        </w:tc>
        <w:tc>
          <w:tcPr>
            <w:tcW w:w="1400" w:type="dxa"/>
            <w:tcBorders>
              <w:top w:val="nil"/>
              <w:left w:val="nil"/>
              <w:bottom w:val="nil"/>
              <w:right w:val="nil"/>
            </w:tcBorders>
            <w:shd w:val="clear" w:color="auto" w:fill="auto"/>
            <w:noWrap/>
            <w:vAlign w:val="bottom"/>
            <w:hideMark/>
          </w:tcPr>
          <w:p w14:paraId="297A65C8" w14:textId="781F58C9" w:rsidR="00895A1D" w:rsidRPr="006B42D6" w:rsidRDefault="00895A1D" w:rsidP="00895A1D">
            <w:pPr>
              <w:jc w:val="right"/>
              <w:rPr>
                <w:sz w:val="16"/>
                <w:szCs w:val="16"/>
              </w:rPr>
            </w:pPr>
            <w:r w:rsidRPr="006B42D6">
              <w:rPr>
                <w:sz w:val="16"/>
                <w:szCs w:val="16"/>
              </w:rPr>
              <w:t>-</w:t>
            </w:r>
          </w:p>
        </w:tc>
        <w:tc>
          <w:tcPr>
            <w:tcW w:w="1296" w:type="dxa"/>
            <w:tcBorders>
              <w:top w:val="nil"/>
              <w:left w:val="nil"/>
              <w:bottom w:val="nil"/>
              <w:right w:val="nil"/>
            </w:tcBorders>
            <w:shd w:val="clear" w:color="auto" w:fill="auto"/>
            <w:noWrap/>
            <w:vAlign w:val="bottom"/>
            <w:hideMark/>
          </w:tcPr>
          <w:p w14:paraId="579F6154" w14:textId="7997FDEF" w:rsidR="00895A1D" w:rsidRPr="006B42D6" w:rsidRDefault="00895A1D" w:rsidP="00895A1D">
            <w:pPr>
              <w:jc w:val="right"/>
              <w:rPr>
                <w:sz w:val="16"/>
                <w:szCs w:val="16"/>
              </w:rPr>
            </w:pPr>
            <w:r w:rsidRPr="006B42D6">
              <w:rPr>
                <w:sz w:val="16"/>
                <w:szCs w:val="16"/>
              </w:rPr>
              <w:t>0</w:t>
            </w:r>
          </w:p>
        </w:tc>
        <w:tc>
          <w:tcPr>
            <w:tcW w:w="951" w:type="dxa"/>
            <w:tcBorders>
              <w:top w:val="nil"/>
              <w:left w:val="nil"/>
              <w:bottom w:val="nil"/>
              <w:right w:val="nil"/>
            </w:tcBorders>
            <w:shd w:val="clear" w:color="auto" w:fill="auto"/>
            <w:noWrap/>
            <w:vAlign w:val="bottom"/>
            <w:hideMark/>
          </w:tcPr>
          <w:p w14:paraId="1865ABC9" w14:textId="2D66FF6D" w:rsidR="00895A1D" w:rsidRPr="006B42D6" w:rsidRDefault="00895A1D" w:rsidP="00895A1D">
            <w:pPr>
              <w:jc w:val="right"/>
              <w:rPr>
                <w:sz w:val="16"/>
                <w:szCs w:val="16"/>
              </w:rPr>
            </w:pPr>
            <w:r w:rsidRPr="006B42D6">
              <w:rPr>
                <w:sz w:val="16"/>
                <w:szCs w:val="16"/>
              </w:rPr>
              <w:t>-</w:t>
            </w:r>
          </w:p>
        </w:tc>
        <w:tc>
          <w:tcPr>
            <w:tcW w:w="954" w:type="dxa"/>
            <w:tcBorders>
              <w:top w:val="nil"/>
              <w:left w:val="nil"/>
              <w:bottom w:val="nil"/>
              <w:right w:val="nil"/>
            </w:tcBorders>
            <w:shd w:val="clear" w:color="auto" w:fill="auto"/>
            <w:noWrap/>
            <w:vAlign w:val="bottom"/>
            <w:hideMark/>
          </w:tcPr>
          <w:p w14:paraId="0F7BF073" w14:textId="36AE3415" w:rsidR="00895A1D" w:rsidRPr="006B42D6" w:rsidRDefault="00895A1D" w:rsidP="00895A1D">
            <w:pPr>
              <w:jc w:val="right"/>
              <w:rPr>
                <w:sz w:val="16"/>
                <w:szCs w:val="16"/>
              </w:rPr>
            </w:pPr>
            <w:r w:rsidRPr="006B42D6">
              <w:rPr>
                <w:sz w:val="16"/>
                <w:szCs w:val="16"/>
              </w:rPr>
              <w:t>-</w:t>
            </w:r>
          </w:p>
        </w:tc>
      </w:tr>
      <w:tr w:rsidR="006B42D6" w:rsidRPr="006B42D6" w14:paraId="644E06D7" w14:textId="77777777" w:rsidTr="00216F13">
        <w:trPr>
          <w:trHeight w:val="312"/>
        </w:trPr>
        <w:tc>
          <w:tcPr>
            <w:tcW w:w="1711" w:type="dxa"/>
            <w:tcBorders>
              <w:top w:val="nil"/>
              <w:left w:val="nil"/>
              <w:bottom w:val="nil"/>
            </w:tcBorders>
            <w:shd w:val="clear" w:color="auto" w:fill="auto"/>
            <w:noWrap/>
            <w:vAlign w:val="bottom"/>
            <w:hideMark/>
          </w:tcPr>
          <w:p w14:paraId="2057221F" w14:textId="22843866" w:rsidR="00895A1D" w:rsidRPr="006B42D6" w:rsidRDefault="00895A1D" w:rsidP="00BE0494">
            <w:pPr>
              <w:jc w:val="left"/>
              <w:rPr>
                <w:sz w:val="16"/>
                <w:szCs w:val="16"/>
              </w:rPr>
            </w:pPr>
            <w:r w:rsidRPr="006B42D6">
              <w:rPr>
                <w:sz w:val="16"/>
                <w:szCs w:val="16"/>
              </w:rPr>
              <w:t>Kigoma</w:t>
            </w:r>
          </w:p>
        </w:tc>
        <w:tc>
          <w:tcPr>
            <w:tcW w:w="1054" w:type="dxa"/>
            <w:tcBorders>
              <w:top w:val="nil"/>
              <w:bottom w:val="nil"/>
              <w:right w:val="nil"/>
            </w:tcBorders>
            <w:shd w:val="clear" w:color="auto" w:fill="auto"/>
            <w:noWrap/>
            <w:vAlign w:val="bottom"/>
            <w:hideMark/>
          </w:tcPr>
          <w:p w14:paraId="49C4C83E" w14:textId="24CE3CF8" w:rsidR="00895A1D" w:rsidRPr="006B42D6" w:rsidRDefault="00895A1D" w:rsidP="00895A1D">
            <w:pPr>
              <w:jc w:val="right"/>
              <w:rPr>
                <w:sz w:val="16"/>
                <w:szCs w:val="16"/>
              </w:rPr>
            </w:pPr>
            <w:r w:rsidRPr="006B42D6">
              <w:rPr>
                <w:sz w:val="16"/>
                <w:szCs w:val="16"/>
              </w:rPr>
              <w:t>903</w:t>
            </w:r>
          </w:p>
        </w:tc>
        <w:tc>
          <w:tcPr>
            <w:tcW w:w="1020" w:type="dxa"/>
            <w:tcBorders>
              <w:top w:val="nil"/>
              <w:left w:val="nil"/>
              <w:bottom w:val="nil"/>
              <w:right w:val="nil"/>
            </w:tcBorders>
            <w:shd w:val="clear" w:color="auto" w:fill="auto"/>
            <w:noWrap/>
            <w:vAlign w:val="bottom"/>
            <w:hideMark/>
          </w:tcPr>
          <w:p w14:paraId="1D42C938" w14:textId="522F9637" w:rsidR="00895A1D" w:rsidRPr="006B42D6" w:rsidRDefault="00895A1D" w:rsidP="00895A1D">
            <w:pPr>
              <w:jc w:val="right"/>
              <w:rPr>
                <w:sz w:val="16"/>
                <w:szCs w:val="16"/>
              </w:rPr>
            </w:pPr>
            <w:r w:rsidRPr="006B42D6">
              <w:rPr>
                <w:sz w:val="16"/>
                <w:szCs w:val="16"/>
              </w:rPr>
              <w:t>1</w:t>
            </w:r>
          </w:p>
        </w:tc>
        <w:tc>
          <w:tcPr>
            <w:tcW w:w="1054" w:type="dxa"/>
            <w:tcBorders>
              <w:top w:val="nil"/>
              <w:left w:val="nil"/>
              <w:bottom w:val="nil"/>
              <w:right w:val="nil"/>
            </w:tcBorders>
            <w:shd w:val="clear" w:color="auto" w:fill="auto"/>
            <w:noWrap/>
            <w:vAlign w:val="bottom"/>
            <w:hideMark/>
          </w:tcPr>
          <w:p w14:paraId="262E22E4" w14:textId="274EBFF8" w:rsidR="00895A1D" w:rsidRPr="006B42D6" w:rsidRDefault="00895A1D" w:rsidP="00895A1D">
            <w:pPr>
              <w:jc w:val="right"/>
              <w:rPr>
                <w:sz w:val="16"/>
                <w:szCs w:val="16"/>
              </w:rPr>
            </w:pPr>
            <w:r w:rsidRPr="006B42D6">
              <w:rPr>
                <w:sz w:val="16"/>
                <w:szCs w:val="16"/>
              </w:rPr>
              <w:t>9,118</w:t>
            </w:r>
          </w:p>
        </w:tc>
        <w:tc>
          <w:tcPr>
            <w:tcW w:w="1400" w:type="dxa"/>
            <w:tcBorders>
              <w:top w:val="nil"/>
              <w:left w:val="nil"/>
              <w:bottom w:val="nil"/>
              <w:right w:val="nil"/>
            </w:tcBorders>
            <w:shd w:val="clear" w:color="auto" w:fill="auto"/>
            <w:noWrap/>
            <w:vAlign w:val="bottom"/>
            <w:hideMark/>
          </w:tcPr>
          <w:p w14:paraId="52FD4B7C" w14:textId="68D2D9EF" w:rsidR="00895A1D" w:rsidRPr="006B42D6" w:rsidRDefault="00895A1D" w:rsidP="00895A1D">
            <w:pPr>
              <w:jc w:val="right"/>
              <w:rPr>
                <w:sz w:val="16"/>
                <w:szCs w:val="16"/>
              </w:rPr>
            </w:pPr>
            <w:r w:rsidRPr="006B42D6">
              <w:rPr>
                <w:sz w:val="16"/>
                <w:szCs w:val="16"/>
              </w:rPr>
              <w:t>389</w:t>
            </w:r>
          </w:p>
        </w:tc>
        <w:tc>
          <w:tcPr>
            <w:tcW w:w="1296" w:type="dxa"/>
            <w:tcBorders>
              <w:top w:val="nil"/>
              <w:left w:val="nil"/>
              <w:bottom w:val="nil"/>
              <w:right w:val="nil"/>
            </w:tcBorders>
            <w:shd w:val="clear" w:color="auto" w:fill="auto"/>
            <w:noWrap/>
            <w:vAlign w:val="bottom"/>
            <w:hideMark/>
          </w:tcPr>
          <w:p w14:paraId="5A45B8E6" w14:textId="18971778" w:rsidR="00895A1D" w:rsidRPr="006B42D6" w:rsidRDefault="00895A1D" w:rsidP="00895A1D">
            <w:pPr>
              <w:jc w:val="right"/>
              <w:rPr>
                <w:sz w:val="16"/>
                <w:szCs w:val="16"/>
              </w:rPr>
            </w:pPr>
            <w:r w:rsidRPr="006B42D6">
              <w:rPr>
                <w:sz w:val="16"/>
                <w:szCs w:val="16"/>
              </w:rPr>
              <w:t>390</w:t>
            </w:r>
          </w:p>
        </w:tc>
        <w:tc>
          <w:tcPr>
            <w:tcW w:w="951" w:type="dxa"/>
            <w:tcBorders>
              <w:top w:val="nil"/>
              <w:left w:val="nil"/>
              <w:bottom w:val="nil"/>
              <w:right w:val="nil"/>
            </w:tcBorders>
            <w:shd w:val="clear" w:color="auto" w:fill="auto"/>
            <w:noWrap/>
            <w:vAlign w:val="bottom"/>
            <w:hideMark/>
          </w:tcPr>
          <w:p w14:paraId="3FD33C20" w14:textId="08B98FF8" w:rsidR="00895A1D" w:rsidRPr="006B42D6" w:rsidRDefault="00895A1D" w:rsidP="00895A1D">
            <w:pPr>
              <w:jc w:val="right"/>
              <w:rPr>
                <w:sz w:val="16"/>
                <w:szCs w:val="16"/>
              </w:rPr>
            </w:pPr>
            <w:r w:rsidRPr="006B42D6">
              <w:rPr>
                <w:sz w:val="16"/>
                <w:szCs w:val="16"/>
              </w:rPr>
              <w:t>3</w:t>
            </w:r>
          </w:p>
        </w:tc>
        <w:tc>
          <w:tcPr>
            <w:tcW w:w="954" w:type="dxa"/>
            <w:tcBorders>
              <w:top w:val="nil"/>
              <w:left w:val="nil"/>
              <w:bottom w:val="nil"/>
              <w:right w:val="nil"/>
            </w:tcBorders>
            <w:shd w:val="clear" w:color="auto" w:fill="auto"/>
            <w:noWrap/>
            <w:vAlign w:val="bottom"/>
            <w:hideMark/>
          </w:tcPr>
          <w:p w14:paraId="25B67909" w14:textId="6F492091" w:rsidR="00895A1D" w:rsidRPr="006B42D6" w:rsidRDefault="00895A1D" w:rsidP="00895A1D">
            <w:pPr>
              <w:jc w:val="right"/>
              <w:rPr>
                <w:sz w:val="16"/>
                <w:szCs w:val="16"/>
              </w:rPr>
            </w:pPr>
            <w:r w:rsidRPr="006B42D6">
              <w:rPr>
                <w:sz w:val="16"/>
                <w:szCs w:val="16"/>
              </w:rPr>
              <w:t>77</w:t>
            </w:r>
          </w:p>
        </w:tc>
      </w:tr>
      <w:tr w:rsidR="006B42D6" w:rsidRPr="006B42D6" w14:paraId="2526111B" w14:textId="77777777" w:rsidTr="00216F13">
        <w:trPr>
          <w:trHeight w:val="312"/>
        </w:trPr>
        <w:tc>
          <w:tcPr>
            <w:tcW w:w="1711" w:type="dxa"/>
            <w:tcBorders>
              <w:top w:val="nil"/>
              <w:left w:val="nil"/>
              <w:bottom w:val="nil"/>
            </w:tcBorders>
            <w:shd w:val="clear" w:color="auto" w:fill="auto"/>
            <w:noWrap/>
            <w:vAlign w:val="bottom"/>
            <w:hideMark/>
          </w:tcPr>
          <w:p w14:paraId="20694544" w14:textId="1E738DB2" w:rsidR="00895A1D" w:rsidRPr="006B42D6" w:rsidRDefault="00895A1D" w:rsidP="00BE0494">
            <w:pPr>
              <w:jc w:val="left"/>
              <w:rPr>
                <w:sz w:val="16"/>
                <w:szCs w:val="16"/>
              </w:rPr>
            </w:pPr>
            <w:r w:rsidRPr="006B42D6">
              <w:rPr>
                <w:sz w:val="16"/>
                <w:szCs w:val="16"/>
              </w:rPr>
              <w:t>Shinyanga</w:t>
            </w:r>
          </w:p>
        </w:tc>
        <w:tc>
          <w:tcPr>
            <w:tcW w:w="1054" w:type="dxa"/>
            <w:tcBorders>
              <w:top w:val="nil"/>
              <w:bottom w:val="nil"/>
              <w:right w:val="nil"/>
            </w:tcBorders>
            <w:shd w:val="clear" w:color="auto" w:fill="auto"/>
            <w:noWrap/>
            <w:vAlign w:val="bottom"/>
            <w:hideMark/>
          </w:tcPr>
          <w:p w14:paraId="01930F68" w14:textId="5950140E" w:rsidR="00895A1D" w:rsidRPr="006B42D6" w:rsidRDefault="00895A1D" w:rsidP="00895A1D">
            <w:pPr>
              <w:jc w:val="right"/>
              <w:rPr>
                <w:sz w:val="16"/>
                <w:szCs w:val="16"/>
              </w:rPr>
            </w:pPr>
            <w:r w:rsidRPr="006B42D6">
              <w:rPr>
                <w:sz w:val="16"/>
                <w:szCs w:val="16"/>
              </w:rPr>
              <w:t>2,629</w:t>
            </w:r>
          </w:p>
        </w:tc>
        <w:tc>
          <w:tcPr>
            <w:tcW w:w="1020" w:type="dxa"/>
            <w:tcBorders>
              <w:top w:val="nil"/>
              <w:left w:val="nil"/>
              <w:bottom w:val="nil"/>
              <w:right w:val="nil"/>
            </w:tcBorders>
            <w:shd w:val="clear" w:color="auto" w:fill="auto"/>
            <w:noWrap/>
            <w:vAlign w:val="bottom"/>
            <w:hideMark/>
          </w:tcPr>
          <w:p w14:paraId="01C2CA1F" w14:textId="5583AD5C" w:rsidR="00895A1D" w:rsidRPr="006B42D6" w:rsidRDefault="00895A1D" w:rsidP="00895A1D">
            <w:pPr>
              <w:jc w:val="right"/>
              <w:rPr>
                <w:sz w:val="16"/>
                <w:szCs w:val="16"/>
              </w:rPr>
            </w:pPr>
            <w:r w:rsidRPr="006B42D6">
              <w:rPr>
                <w:sz w:val="16"/>
                <w:szCs w:val="16"/>
              </w:rPr>
              <w:t>165</w:t>
            </w:r>
          </w:p>
        </w:tc>
        <w:tc>
          <w:tcPr>
            <w:tcW w:w="1054" w:type="dxa"/>
            <w:tcBorders>
              <w:top w:val="nil"/>
              <w:left w:val="nil"/>
              <w:bottom w:val="nil"/>
              <w:right w:val="nil"/>
            </w:tcBorders>
            <w:shd w:val="clear" w:color="auto" w:fill="auto"/>
            <w:noWrap/>
            <w:vAlign w:val="bottom"/>
            <w:hideMark/>
          </w:tcPr>
          <w:p w14:paraId="28D0C9BA" w14:textId="56906252" w:rsidR="00895A1D" w:rsidRPr="006B42D6" w:rsidRDefault="00895A1D" w:rsidP="00895A1D">
            <w:pPr>
              <w:jc w:val="right"/>
              <w:rPr>
                <w:sz w:val="16"/>
                <w:szCs w:val="16"/>
              </w:rPr>
            </w:pPr>
            <w:r w:rsidRPr="006B42D6">
              <w:rPr>
                <w:sz w:val="16"/>
                <w:szCs w:val="16"/>
              </w:rPr>
              <w:t>469</w:t>
            </w:r>
          </w:p>
        </w:tc>
        <w:tc>
          <w:tcPr>
            <w:tcW w:w="1400" w:type="dxa"/>
            <w:tcBorders>
              <w:top w:val="nil"/>
              <w:left w:val="nil"/>
              <w:bottom w:val="nil"/>
              <w:right w:val="nil"/>
            </w:tcBorders>
            <w:shd w:val="clear" w:color="auto" w:fill="auto"/>
            <w:noWrap/>
            <w:vAlign w:val="bottom"/>
            <w:hideMark/>
          </w:tcPr>
          <w:p w14:paraId="6CD7A7F7" w14:textId="5DB0C9D4" w:rsidR="00895A1D" w:rsidRPr="006B42D6" w:rsidRDefault="00895A1D" w:rsidP="00895A1D">
            <w:pPr>
              <w:jc w:val="right"/>
              <w:rPr>
                <w:sz w:val="16"/>
                <w:szCs w:val="16"/>
              </w:rPr>
            </w:pPr>
            <w:r w:rsidRPr="006B42D6">
              <w:rPr>
                <w:sz w:val="16"/>
                <w:szCs w:val="16"/>
              </w:rPr>
              <w:t>0</w:t>
            </w:r>
          </w:p>
        </w:tc>
        <w:tc>
          <w:tcPr>
            <w:tcW w:w="1296" w:type="dxa"/>
            <w:tcBorders>
              <w:top w:val="nil"/>
              <w:left w:val="nil"/>
              <w:bottom w:val="nil"/>
              <w:right w:val="nil"/>
            </w:tcBorders>
            <w:shd w:val="clear" w:color="auto" w:fill="auto"/>
            <w:noWrap/>
            <w:vAlign w:val="bottom"/>
            <w:hideMark/>
          </w:tcPr>
          <w:p w14:paraId="2853938C" w14:textId="2873B2EB" w:rsidR="00895A1D" w:rsidRPr="006B42D6" w:rsidRDefault="00895A1D" w:rsidP="00895A1D">
            <w:pPr>
              <w:jc w:val="right"/>
              <w:rPr>
                <w:sz w:val="16"/>
                <w:szCs w:val="16"/>
              </w:rPr>
            </w:pPr>
            <w:r w:rsidRPr="006B42D6">
              <w:rPr>
                <w:sz w:val="16"/>
                <w:szCs w:val="16"/>
              </w:rPr>
              <w:t>165</w:t>
            </w:r>
          </w:p>
        </w:tc>
        <w:tc>
          <w:tcPr>
            <w:tcW w:w="951" w:type="dxa"/>
            <w:tcBorders>
              <w:top w:val="nil"/>
              <w:left w:val="nil"/>
              <w:bottom w:val="nil"/>
              <w:right w:val="nil"/>
            </w:tcBorders>
            <w:shd w:val="clear" w:color="auto" w:fill="auto"/>
            <w:noWrap/>
            <w:vAlign w:val="bottom"/>
            <w:hideMark/>
          </w:tcPr>
          <w:p w14:paraId="295037CE" w14:textId="157AC485" w:rsidR="00895A1D" w:rsidRPr="006B42D6" w:rsidRDefault="00895A1D" w:rsidP="00895A1D">
            <w:pPr>
              <w:jc w:val="right"/>
              <w:rPr>
                <w:sz w:val="16"/>
                <w:szCs w:val="16"/>
              </w:rPr>
            </w:pPr>
            <w:r w:rsidRPr="006B42D6">
              <w:rPr>
                <w:sz w:val="16"/>
                <w:szCs w:val="16"/>
              </w:rPr>
              <w:t>0</w:t>
            </w:r>
          </w:p>
        </w:tc>
        <w:tc>
          <w:tcPr>
            <w:tcW w:w="954" w:type="dxa"/>
            <w:tcBorders>
              <w:top w:val="nil"/>
              <w:left w:val="nil"/>
              <w:bottom w:val="nil"/>
              <w:right w:val="nil"/>
            </w:tcBorders>
            <w:shd w:val="clear" w:color="auto" w:fill="auto"/>
            <w:noWrap/>
            <w:vAlign w:val="bottom"/>
            <w:hideMark/>
          </w:tcPr>
          <w:p w14:paraId="05799A6E" w14:textId="0E30EE50" w:rsidR="00895A1D" w:rsidRPr="006B42D6" w:rsidRDefault="00895A1D" w:rsidP="00895A1D">
            <w:pPr>
              <w:jc w:val="right"/>
              <w:rPr>
                <w:sz w:val="16"/>
                <w:szCs w:val="16"/>
              </w:rPr>
            </w:pPr>
            <w:r w:rsidRPr="006B42D6">
              <w:rPr>
                <w:sz w:val="16"/>
                <w:szCs w:val="16"/>
              </w:rPr>
              <w:t>20</w:t>
            </w:r>
          </w:p>
        </w:tc>
      </w:tr>
      <w:tr w:rsidR="006B42D6" w:rsidRPr="006B42D6" w14:paraId="603B08B9" w14:textId="77777777" w:rsidTr="00216F13">
        <w:trPr>
          <w:trHeight w:val="312"/>
        </w:trPr>
        <w:tc>
          <w:tcPr>
            <w:tcW w:w="1711" w:type="dxa"/>
            <w:tcBorders>
              <w:top w:val="nil"/>
              <w:left w:val="nil"/>
              <w:bottom w:val="nil"/>
            </w:tcBorders>
            <w:shd w:val="clear" w:color="auto" w:fill="auto"/>
            <w:noWrap/>
            <w:vAlign w:val="bottom"/>
            <w:hideMark/>
          </w:tcPr>
          <w:p w14:paraId="406AF38D" w14:textId="3EF96324" w:rsidR="00895A1D" w:rsidRPr="006B42D6" w:rsidRDefault="00895A1D" w:rsidP="00BE0494">
            <w:pPr>
              <w:jc w:val="left"/>
              <w:rPr>
                <w:sz w:val="16"/>
                <w:szCs w:val="16"/>
              </w:rPr>
            </w:pPr>
            <w:r w:rsidRPr="006B42D6">
              <w:rPr>
                <w:sz w:val="16"/>
                <w:szCs w:val="16"/>
              </w:rPr>
              <w:t>Kagera</w:t>
            </w:r>
          </w:p>
        </w:tc>
        <w:tc>
          <w:tcPr>
            <w:tcW w:w="1054" w:type="dxa"/>
            <w:tcBorders>
              <w:top w:val="nil"/>
              <w:bottom w:val="nil"/>
              <w:right w:val="nil"/>
            </w:tcBorders>
            <w:shd w:val="clear" w:color="auto" w:fill="auto"/>
            <w:noWrap/>
            <w:vAlign w:val="bottom"/>
            <w:hideMark/>
          </w:tcPr>
          <w:p w14:paraId="620E51A5" w14:textId="73828BFE" w:rsidR="00895A1D" w:rsidRPr="006B42D6" w:rsidRDefault="00895A1D" w:rsidP="00895A1D">
            <w:pPr>
              <w:jc w:val="right"/>
              <w:rPr>
                <w:sz w:val="16"/>
                <w:szCs w:val="16"/>
              </w:rPr>
            </w:pPr>
            <w:r w:rsidRPr="006B42D6">
              <w:rPr>
                <w:sz w:val="16"/>
                <w:szCs w:val="16"/>
              </w:rPr>
              <w:t>3,085</w:t>
            </w:r>
          </w:p>
        </w:tc>
        <w:tc>
          <w:tcPr>
            <w:tcW w:w="1020" w:type="dxa"/>
            <w:tcBorders>
              <w:top w:val="nil"/>
              <w:left w:val="nil"/>
              <w:bottom w:val="nil"/>
              <w:right w:val="nil"/>
            </w:tcBorders>
            <w:shd w:val="clear" w:color="auto" w:fill="auto"/>
            <w:noWrap/>
            <w:vAlign w:val="bottom"/>
            <w:hideMark/>
          </w:tcPr>
          <w:p w14:paraId="5A5F1695" w14:textId="55332F35" w:rsidR="00895A1D" w:rsidRPr="006B42D6" w:rsidRDefault="00895A1D" w:rsidP="00895A1D">
            <w:pPr>
              <w:jc w:val="right"/>
              <w:rPr>
                <w:sz w:val="16"/>
                <w:szCs w:val="16"/>
              </w:rPr>
            </w:pPr>
            <w:r w:rsidRPr="006B42D6">
              <w:rPr>
                <w:sz w:val="16"/>
                <w:szCs w:val="16"/>
              </w:rPr>
              <w:t>38</w:t>
            </w:r>
          </w:p>
        </w:tc>
        <w:tc>
          <w:tcPr>
            <w:tcW w:w="1054" w:type="dxa"/>
            <w:tcBorders>
              <w:top w:val="nil"/>
              <w:left w:val="nil"/>
              <w:bottom w:val="nil"/>
              <w:right w:val="nil"/>
            </w:tcBorders>
            <w:shd w:val="clear" w:color="auto" w:fill="auto"/>
            <w:noWrap/>
            <w:vAlign w:val="bottom"/>
            <w:hideMark/>
          </w:tcPr>
          <w:p w14:paraId="0CF244B3" w14:textId="4AB0ED37" w:rsidR="00895A1D" w:rsidRPr="006B42D6" w:rsidRDefault="00895A1D" w:rsidP="00895A1D">
            <w:pPr>
              <w:jc w:val="right"/>
              <w:rPr>
                <w:sz w:val="16"/>
                <w:szCs w:val="16"/>
              </w:rPr>
            </w:pPr>
            <w:r w:rsidRPr="006B42D6">
              <w:rPr>
                <w:sz w:val="16"/>
                <w:szCs w:val="16"/>
              </w:rPr>
              <w:t>8,579</w:t>
            </w:r>
          </w:p>
        </w:tc>
        <w:tc>
          <w:tcPr>
            <w:tcW w:w="1400" w:type="dxa"/>
            <w:tcBorders>
              <w:top w:val="nil"/>
              <w:left w:val="nil"/>
              <w:bottom w:val="nil"/>
              <w:right w:val="nil"/>
            </w:tcBorders>
            <w:shd w:val="clear" w:color="auto" w:fill="auto"/>
            <w:noWrap/>
            <w:vAlign w:val="bottom"/>
            <w:hideMark/>
          </w:tcPr>
          <w:p w14:paraId="45423017" w14:textId="28CF8939" w:rsidR="00895A1D" w:rsidRPr="006B42D6" w:rsidRDefault="00895A1D" w:rsidP="00895A1D">
            <w:pPr>
              <w:jc w:val="right"/>
              <w:rPr>
                <w:sz w:val="16"/>
                <w:szCs w:val="16"/>
              </w:rPr>
            </w:pPr>
            <w:r w:rsidRPr="006B42D6">
              <w:rPr>
                <w:sz w:val="16"/>
                <w:szCs w:val="16"/>
              </w:rPr>
              <w:t>6</w:t>
            </w:r>
          </w:p>
        </w:tc>
        <w:tc>
          <w:tcPr>
            <w:tcW w:w="1296" w:type="dxa"/>
            <w:tcBorders>
              <w:top w:val="nil"/>
              <w:left w:val="nil"/>
              <w:bottom w:val="nil"/>
              <w:right w:val="nil"/>
            </w:tcBorders>
            <w:shd w:val="clear" w:color="auto" w:fill="auto"/>
            <w:noWrap/>
            <w:vAlign w:val="bottom"/>
            <w:hideMark/>
          </w:tcPr>
          <w:p w14:paraId="173BAA84" w14:textId="16E85348" w:rsidR="00895A1D" w:rsidRPr="006B42D6" w:rsidRDefault="00895A1D" w:rsidP="00895A1D">
            <w:pPr>
              <w:jc w:val="right"/>
              <w:rPr>
                <w:sz w:val="16"/>
                <w:szCs w:val="16"/>
              </w:rPr>
            </w:pPr>
            <w:r w:rsidRPr="006B42D6">
              <w:rPr>
                <w:sz w:val="16"/>
                <w:szCs w:val="16"/>
              </w:rPr>
              <w:t>45</w:t>
            </w:r>
          </w:p>
        </w:tc>
        <w:tc>
          <w:tcPr>
            <w:tcW w:w="951" w:type="dxa"/>
            <w:tcBorders>
              <w:top w:val="nil"/>
              <w:left w:val="nil"/>
              <w:bottom w:val="nil"/>
              <w:right w:val="nil"/>
            </w:tcBorders>
            <w:shd w:val="clear" w:color="auto" w:fill="auto"/>
            <w:noWrap/>
            <w:vAlign w:val="bottom"/>
            <w:hideMark/>
          </w:tcPr>
          <w:p w14:paraId="67093A5B" w14:textId="5D0896BD" w:rsidR="00895A1D" w:rsidRPr="006B42D6" w:rsidRDefault="00895A1D" w:rsidP="00895A1D">
            <w:pPr>
              <w:jc w:val="right"/>
              <w:rPr>
                <w:sz w:val="16"/>
                <w:szCs w:val="16"/>
              </w:rPr>
            </w:pPr>
            <w:r w:rsidRPr="006B42D6">
              <w:rPr>
                <w:sz w:val="16"/>
                <w:szCs w:val="16"/>
              </w:rPr>
              <w:t>1</w:t>
            </w:r>
          </w:p>
        </w:tc>
        <w:tc>
          <w:tcPr>
            <w:tcW w:w="954" w:type="dxa"/>
            <w:tcBorders>
              <w:top w:val="nil"/>
              <w:left w:val="nil"/>
              <w:bottom w:val="nil"/>
              <w:right w:val="nil"/>
            </w:tcBorders>
            <w:shd w:val="clear" w:color="auto" w:fill="auto"/>
            <w:noWrap/>
            <w:vAlign w:val="bottom"/>
            <w:hideMark/>
          </w:tcPr>
          <w:p w14:paraId="68109BEF" w14:textId="64D342BE" w:rsidR="00895A1D" w:rsidRPr="006B42D6" w:rsidRDefault="00895A1D" w:rsidP="00895A1D">
            <w:pPr>
              <w:jc w:val="right"/>
              <w:rPr>
                <w:sz w:val="16"/>
                <w:szCs w:val="16"/>
              </w:rPr>
            </w:pPr>
            <w:r w:rsidRPr="006B42D6">
              <w:rPr>
                <w:sz w:val="16"/>
                <w:szCs w:val="16"/>
              </w:rPr>
              <w:t>46</w:t>
            </w:r>
          </w:p>
        </w:tc>
      </w:tr>
      <w:tr w:rsidR="006B42D6" w:rsidRPr="006B42D6" w14:paraId="07158C2D" w14:textId="77777777" w:rsidTr="00216F13">
        <w:trPr>
          <w:trHeight w:val="312"/>
        </w:trPr>
        <w:tc>
          <w:tcPr>
            <w:tcW w:w="1711" w:type="dxa"/>
            <w:tcBorders>
              <w:top w:val="nil"/>
              <w:left w:val="nil"/>
              <w:bottom w:val="nil"/>
            </w:tcBorders>
            <w:shd w:val="clear" w:color="auto" w:fill="auto"/>
            <w:noWrap/>
            <w:vAlign w:val="bottom"/>
            <w:hideMark/>
          </w:tcPr>
          <w:p w14:paraId="53CA866F" w14:textId="1465B8FA" w:rsidR="00895A1D" w:rsidRPr="006B42D6" w:rsidRDefault="00895A1D" w:rsidP="00BE0494">
            <w:pPr>
              <w:jc w:val="left"/>
              <w:rPr>
                <w:sz w:val="16"/>
                <w:szCs w:val="16"/>
              </w:rPr>
            </w:pPr>
            <w:r w:rsidRPr="006B42D6">
              <w:rPr>
                <w:sz w:val="16"/>
                <w:szCs w:val="16"/>
              </w:rPr>
              <w:t>Mwanza</w:t>
            </w:r>
          </w:p>
        </w:tc>
        <w:tc>
          <w:tcPr>
            <w:tcW w:w="1054" w:type="dxa"/>
            <w:tcBorders>
              <w:top w:val="nil"/>
              <w:bottom w:val="nil"/>
              <w:right w:val="nil"/>
            </w:tcBorders>
            <w:shd w:val="clear" w:color="auto" w:fill="auto"/>
            <w:noWrap/>
            <w:vAlign w:val="bottom"/>
            <w:hideMark/>
          </w:tcPr>
          <w:p w14:paraId="1B943960" w14:textId="000BB160" w:rsidR="00895A1D" w:rsidRPr="006B42D6" w:rsidRDefault="00895A1D" w:rsidP="00895A1D">
            <w:pPr>
              <w:jc w:val="right"/>
              <w:rPr>
                <w:sz w:val="16"/>
                <w:szCs w:val="16"/>
              </w:rPr>
            </w:pPr>
            <w:r w:rsidRPr="006B42D6">
              <w:rPr>
                <w:sz w:val="16"/>
                <w:szCs w:val="16"/>
              </w:rPr>
              <w:t>24,917</w:t>
            </w:r>
          </w:p>
        </w:tc>
        <w:tc>
          <w:tcPr>
            <w:tcW w:w="1020" w:type="dxa"/>
            <w:tcBorders>
              <w:top w:val="nil"/>
              <w:left w:val="nil"/>
              <w:bottom w:val="nil"/>
              <w:right w:val="nil"/>
            </w:tcBorders>
            <w:shd w:val="clear" w:color="auto" w:fill="auto"/>
            <w:noWrap/>
            <w:vAlign w:val="bottom"/>
            <w:hideMark/>
          </w:tcPr>
          <w:p w14:paraId="2069E4AE" w14:textId="34F04FC6" w:rsidR="00895A1D" w:rsidRPr="006B42D6" w:rsidRDefault="00895A1D" w:rsidP="00895A1D">
            <w:pPr>
              <w:jc w:val="right"/>
              <w:rPr>
                <w:sz w:val="16"/>
                <w:szCs w:val="16"/>
              </w:rPr>
            </w:pPr>
            <w:r w:rsidRPr="006B42D6">
              <w:rPr>
                <w:sz w:val="16"/>
                <w:szCs w:val="16"/>
              </w:rPr>
              <w:t>1,030</w:t>
            </w:r>
          </w:p>
        </w:tc>
        <w:tc>
          <w:tcPr>
            <w:tcW w:w="1054" w:type="dxa"/>
            <w:tcBorders>
              <w:top w:val="nil"/>
              <w:left w:val="nil"/>
              <w:bottom w:val="nil"/>
              <w:right w:val="nil"/>
            </w:tcBorders>
            <w:shd w:val="clear" w:color="auto" w:fill="auto"/>
            <w:noWrap/>
            <w:vAlign w:val="bottom"/>
            <w:hideMark/>
          </w:tcPr>
          <w:p w14:paraId="1976A1A8" w14:textId="31EEF6AF" w:rsidR="00895A1D" w:rsidRPr="006B42D6" w:rsidRDefault="00895A1D" w:rsidP="00895A1D">
            <w:pPr>
              <w:jc w:val="right"/>
              <w:rPr>
                <w:sz w:val="16"/>
                <w:szCs w:val="16"/>
              </w:rPr>
            </w:pPr>
            <w:r w:rsidRPr="006B42D6">
              <w:rPr>
                <w:sz w:val="16"/>
                <w:szCs w:val="16"/>
              </w:rPr>
              <w:t>10,885</w:t>
            </w:r>
          </w:p>
        </w:tc>
        <w:tc>
          <w:tcPr>
            <w:tcW w:w="1400" w:type="dxa"/>
            <w:tcBorders>
              <w:top w:val="nil"/>
              <w:left w:val="nil"/>
              <w:bottom w:val="nil"/>
              <w:right w:val="nil"/>
            </w:tcBorders>
            <w:shd w:val="clear" w:color="auto" w:fill="auto"/>
            <w:noWrap/>
            <w:vAlign w:val="bottom"/>
            <w:hideMark/>
          </w:tcPr>
          <w:p w14:paraId="77247794" w14:textId="6DF0C89B" w:rsidR="00895A1D" w:rsidRPr="006B42D6" w:rsidRDefault="00895A1D" w:rsidP="00895A1D">
            <w:pPr>
              <w:jc w:val="right"/>
              <w:rPr>
                <w:sz w:val="16"/>
                <w:szCs w:val="16"/>
              </w:rPr>
            </w:pPr>
            <w:r w:rsidRPr="006B42D6">
              <w:rPr>
                <w:sz w:val="16"/>
                <w:szCs w:val="16"/>
              </w:rPr>
              <w:t>130</w:t>
            </w:r>
          </w:p>
        </w:tc>
        <w:tc>
          <w:tcPr>
            <w:tcW w:w="1296" w:type="dxa"/>
            <w:tcBorders>
              <w:top w:val="nil"/>
              <w:left w:val="nil"/>
              <w:bottom w:val="nil"/>
              <w:right w:val="nil"/>
            </w:tcBorders>
            <w:shd w:val="clear" w:color="auto" w:fill="auto"/>
            <w:noWrap/>
            <w:vAlign w:val="bottom"/>
            <w:hideMark/>
          </w:tcPr>
          <w:p w14:paraId="4D0C68E4" w14:textId="221F756E" w:rsidR="00895A1D" w:rsidRPr="006B42D6" w:rsidRDefault="00895A1D" w:rsidP="00895A1D">
            <w:pPr>
              <w:jc w:val="right"/>
              <w:rPr>
                <w:sz w:val="16"/>
                <w:szCs w:val="16"/>
              </w:rPr>
            </w:pPr>
            <w:r w:rsidRPr="006B42D6">
              <w:rPr>
                <w:sz w:val="16"/>
                <w:szCs w:val="16"/>
              </w:rPr>
              <w:t>1,159</w:t>
            </w:r>
          </w:p>
        </w:tc>
        <w:tc>
          <w:tcPr>
            <w:tcW w:w="951" w:type="dxa"/>
            <w:tcBorders>
              <w:top w:val="nil"/>
              <w:left w:val="nil"/>
              <w:bottom w:val="nil"/>
              <w:right w:val="nil"/>
            </w:tcBorders>
            <w:shd w:val="clear" w:color="auto" w:fill="auto"/>
            <w:noWrap/>
            <w:vAlign w:val="bottom"/>
            <w:hideMark/>
          </w:tcPr>
          <w:p w14:paraId="7020E40B" w14:textId="1B7A4B32" w:rsidR="00895A1D" w:rsidRPr="006B42D6" w:rsidRDefault="00895A1D" w:rsidP="00895A1D">
            <w:pPr>
              <w:jc w:val="right"/>
              <w:rPr>
                <w:sz w:val="16"/>
                <w:szCs w:val="16"/>
              </w:rPr>
            </w:pPr>
            <w:r w:rsidRPr="006B42D6">
              <w:rPr>
                <w:sz w:val="16"/>
                <w:szCs w:val="16"/>
              </w:rPr>
              <w:t>489</w:t>
            </w:r>
          </w:p>
        </w:tc>
        <w:tc>
          <w:tcPr>
            <w:tcW w:w="954" w:type="dxa"/>
            <w:tcBorders>
              <w:top w:val="nil"/>
              <w:left w:val="nil"/>
              <w:bottom w:val="nil"/>
              <w:right w:val="nil"/>
            </w:tcBorders>
            <w:shd w:val="clear" w:color="auto" w:fill="auto"/>
            <w:noWrap/>
            <w:vAlign w:val="bottom"/>
            <w:hideMark/>
          </w:tcPr>
          <w:p w14:paraId="38D96572" w14:textId="42B7AEA8" w:rsidR="00895A1D" w:rsidRPr="006B42D6" w:rsidRDefault="00895A1D" w:rsidP="00895A1D">
            <w:pPr>
              <w:jc w:val="right"/>
              <w:rPr>
                <w:sz w:val="16"/>
                <w:szCs w:val="16"/>
              </w:rPr>
            </w:pPr>
            <w:r w:rsidRPr="006B42D6">
              <w:rPr>
                <w:sz w:val="16"/>
                <w:szCs w:val="16"/>
              </w:rPr>
              <w:t>2,436</w:t>
            </w:r>
          </w:p>
        </w:tc>
      </w:tr>
      <w:tr w:rsidR="006B42D6" w:rsidRPr="006B42D6" w14:paraId="7224274C" w14:textId="77777777" w:rsidTr="00216F13">
        <w:trPr>
          <w:trHeight w:val="312"/>
        </w:trPr>
        <w:tc>
          <w:tcPr>
            <w:tcW w:w="1711" w:type="dxa"/>
            <w:tcBorders>
              <w:top w:val="nil"/>
              <w:left w:val="nil"/>
              <w:bottom w:val="nil"/>
            </w:tcBorders>
            <w:shd w:val="clear" w:color="auto" w:fill="auto"/>
            <w:noWrap/>
            <w:vAlign w:val="bottom"/>
            <w:hideMark/>
          </w:tcPr>
          <w:p w14:paraId="60AF51F1" w14:textId="52294A52" w:rsidR="00895A1D" w:rsidRPr="006B42D6" w:rsidRDefault="00895A1D" w:rsidP="00BE0494">
            <w:pPr>
              <w:jc w:val="left"/>
              <w:rPr>
                <w:sz w:val="16"/>
                <w:szCs w:val="16"/>
              </w:rPr>
            </w:pPr>
            <w:r w:rsidRPr="006B42D6">
              <w:rPr>
                <w:sz w:val="16"/>
                <w:szCs w:val="16"/>
              </w:rPr>
              <w:t>Mara</w:t>
            </w:r>
          </w:p>
        </w:tc>
        <w:tc>
          <w:tcPr>
            <w:tcW w:w="1054" w:type="dxa"/>
            <w:tcBorders>
              <w:top w:val="nil"/>
              <w:bottom w:val="nil"/>
              <w:right w:val="nil"/>
            </w:tcBorders>
            <w:shd w:val="clear" w:color="auto" w:fill="auto"/>
            <w:noWrap/>
            <w:vAlign w:val="bottom"/>
            <w:hideMark/>
          </w:tcPr>
          <w:p w14:paraId="40E78236" w14:textId="69BE8924" w:rsidR="00895A1D" w:rsidRPr="006B42D6" w:rsidRDefault="00895A1D" w:rsidP="00895A1D">
            <w:pPr>
              <w:jc w:val="right"/>
              <w:rPr>
                <w:sz w:val="16"/>
                <w:szCs w:val="16"/>
              </w:rPr>
            </w:pPr>
            <w:r w:rsidRPr="006B42D6">
              <w:rPr>
                <w:sz w:val="16"/>
                <w:szCs w:val="16"/>
              </w:rPr>
              <w:t>375</w:t>
            </w:r>
          </w:p>
        </w:tc>
        <w:tc>
          <w:tcPr>
            <w:tcW w:w="1020" w:type="dxa"/>
            <w:tcBorders>
              <w:top w:val="nil"/>
              <w:left w:val="nil"/>
              <w:bottom w:val="nil"/>
              <w:right w:val="nil"/>
            </w:tcBorders>
            <w:shd w:val="clear" w:color="auto" w:fill="auto"/>
            <w:noWrap/>
            <w:vAlign w:val="bottom"/>
            <w:hideMark/>
          </w:tcPr>
          <w:p w14:paraId="0C7B2E88" w14:textId="143B0110" w:rsidR="00895A1D" w:rsidRPr="006B42D6" w:rsidRDefault="00895A1D" w:rsidP="00895A1D">
            <w:pPr>
              <w:jc w:val="right"/>
              <w:rPr>
                <w:sz w:val="16"/>
                <w:szCs w:val="16"/>
              </w:rPr>
            </w:pPr>
            <w:r w:rsidRPr="006B42D6">
              <w:rPr>
                <w:sz w:val="16"/>
                <w:szCs w:val="16"/>
              </w:rPr>
              <w:t>49</w:t>
            </w:r>
          </w:p>
        </w:tc>
        <w:tc>
          <w:tcPr>
            <w:tcW w:w="1054" w:type="dxa"/>
            <w:tcBorders>
              <w:top w:val="nil"/>
              <w:left w:val="nil"/>
              <w:bottom w:val="nil"/>
              <w:right w:val="nil"/>
            </w:tcBorders>
            <w:shd w:val="clear" w:color="auto" w:fill="auto"/>
            <w:noWrap/>
            <w:vAlign w:val="bottom"/>
            <w:hideMark/>
          </w:tcPr>
          <w:p w14:paraId="6CB4D3DF" w14:textId="623A79EF" w:rsidR="00895A1D" w:rsidRPr="006B42D6" w:rsidRDefault="00895A1D" w:rsidP="00895A1D">
            <w:pPr>
              <w:jc w:val="right"/>
              <w:rPr>
                <w:sz w:val="16"/>
                <w:szCs w:val="16"/>
              </w:rPr>
            </w:pPr>
            <w:r w:rsidRPr="006B42D6">
              <w:rPr>
                <w:sz w:val="16"/>
                <w:szCs w:val="16"/>
              </w:rPr>
              <w:t>1,120</w:t>
            </w:r>
          </w:p>
        </w:tc>
        <w:tc>
          <w:tcPr>
            <w:tcW w:w="1400" w:type="dxa"/>
            <w:tcBorders>
              <w:top w:val="nil"/>
              <w:left w:val="nil"/>
              <w:bottom w:val="nil"/>
              <w:right w:val="nil"/>
            </w:tcBorders>
            <w:shd w:val="clear" w:color="auto" w:fill="auto"/>
            <w:noWrap/>
            <w:vAlign w:val="bottom"/>
            <w:hideMark/>
          </w:tcPr>
          <w:p w14:paraId="70310240" w14:textId="4CA37100" w:rsidR="00895A1D" w:rsidRPr="006B42D6" w:rsidRDefault="00895A1D" w:rsidP="00895A1D">
            <w:pPr>
              <w:jc w:val="right"/>
              <w:rPr>
                <w:sz w:val="16"/>
                <w:szCs w:val="16"/>
              </w:rPr>
            </w:pPr>
            <w:r w:rsidRPr="006B42D6">
              <w:rPr>
                <w:sz w:val="16"/>
                <w:szCs w:val="16"/>
              </w:rPr>
              <w:t>95</w:t>
            </w:r>
          </w:p>
        </w:tc>
        <w:tc>
          <w:tcPr>
            <w:tcW w:w="1296" w:type="dxa"/>
            <w:tcBorders>
              <w:top w:val="nil"/>
              <w:left w:val="nil"/>
              <w:bottom w:val="nil"/>
              <w:right w:val="nil"/>
            </w:tcBorders>
            <w:shd w:val="clear" w:color="auto" w:fill="auto"/>
            <w:noWrap/>
            <w:vAlign w:val="bottom"/>
            <w:hideMark/>
          </w:tcPr>
          <w:p w14:paraId="2330555A" w14:textId="7C9ADA1A" w:rsidR="00895A1D" w:rsidRPr="006B42D6" w:rsidRDefault="00895A1D" w:rsidP="00895A1D">
            <w:pPr>
              <w:jc w:val="right"/>
              <w:rPr>
                <w:sz w:val="16"/>
                <w:szCs w:val="16"/>
              </w:rPr>
            </w:pPr>
            <w:r w:rsidRPr="006B42D6">
              <w:rPr>
                <w:sz w:val="16"/>
                <w:szCs w:val="16"/>
              </w:rPr>
              <w:t>144</w:t>
            </w:r>
          </w:p>
        </w:tc>
        <w:tc>
          <w:tcPr>
            <w:tcW w:w="951" w:type="dxa"/>
            <w:tcBorders>
              <w:top w:val="nil"/>
              <w:left w:val="nil"/>
              <w:bottom w:val="nil"/>
              <w:right w:val="nil"/>
            </w:tcBorders>
            <w:shd w:val="clear" w:color="auto" w:fill="auto"/>
            <w:noWrap/>
            <w:vAlign w:val="bottom"/>
            <w:hideMark/>
          </w:tcPr>
          <w:p w14:paraId="10471A2A" w14:textId="405B123A" w:rsidR="00895A1D" w:rsidRPr="006B42D6" w:rsidRDefault="00895A1D" w:rsidP="00895A1D">
            <w:pPr>
              <w:jc w:val="right"/>
              <w:rPr>
                <w:sz w:val="16"/>
                <w:szCs w:val="16"/>
              </w:rPr>
            </w:pPr>
            <w:r w:rsidRPr="006B42D6">
              <w:rPr>
                <w:sz w:val="16"/>
                <w:szCs w:val="16"/>
              </w:rPr>
              <w:t>74</w:t>
            </w:r>
          </w:p>
        </w:tc>
        <w:tc>
          <w:tcPr>
            <w:tcW w:w="954" w:type="dxa"/>
            <w:tcBorders>
              <w:top w:val="nil"/>
              <w:left w:val="nil"/>
              <w:bottom w:val="nil"/>
              <w:right w:val="nil"/>
            </w:tcBorders>
            <w:shd w:val="clear" w:color="auto" w:fill="auto"/>
            <w:noWrap/>
            <w:vAlign w:val="bottom"/>
            <w:hideMark/>
          </w:tcPr>
          <w:p w14:paraId="12C38724" w14:textId="5339439F" w:rsidR="00895A1D" w:rsidRPr="006B42D6" w:rsidRDefault="00895A1D" w:rsidP="00895A1D">
            <w:pPr>
              <w:jc w:val="right"/>
              <w:rPr>
                <w:sz w:val="16"/>
                <w:szCs w:val="16"/>
              </w:rPr>
            </w:pPr>
            <w:r w:rsidRPr="006B42D6">
              <w:rPr>
                <w:sz w:val="16"/>
                <w:szCs w:val="16"/>
              </w:rPr>
              <w:t>408</w:t>
            </w:r>
          </w:p>
        </w:tc>
      </w:tr>
      <w:tr w:rsidR="006B42D6" w:rsidRPr="006B42D6" w14:paraId="72E2F3D7" w14:textId="77777777" w:rsidTr="00216F13">
        <w:trPr>
          <w:trHeight w:val="312"/>
        </w:trPr>
        <w:tc>
          <w:tcPr>
            <w:tcW w:w="1711" w:type="dxa"/>
            <w:tcBorders>
              <w:top w:val="nil"/>
              <w:left w:val="nil"/>
              <w:bottom w:val="nil"/>
            </w:tcBorders>
            <w:shd w:val="clear" w:color="auto" w:fill="auto"/>
            <w:noWrap/>
            <w:vAlign w:val="bottom"/>
            <w:hideMark/>
          </w:tcPr>
          <w:p w14:paraId="700489CA" w14:textId="65F27BB7" w:rsidR="00895A1D" w:rsidRPr="006B42D6" w:rsidRDefault="00895A1D" w:rsidP="00BE0494">
            <w:pPr>
              <w:jc w:val="left"/>
              <w:rPr>
                <w:sz w:val="16"/>
                <w:szCs w:val="16"/>
              </w:rPr>
            </w:pPr>
            <w:r w:rsidRPr="006B42D6">
              <w:rPr>
                <w:sz w:val="16"/>
                <w:szCs w:val="16"/>
              </w:rPr>
              <w:t>Manyara</w:t>
            </w:r>
          </w:p>
        </w:tc>
        <w:tc>
          <w:tcPr>
            <w:tcW w:w="1054" w:type="dxa"/>
            <w:tcBorders>
              <w:top w:val="nil"/>
              <w:bottom w:val="nil"/>
              <w:right w:val="nil"/>
            </w:tcBorders>
            <w:shd w:val="clear" w:color="auto" w:fill="auto"/>
            <w:noWrap/>
            <w:vAlign w:val="bottom"/>
            <w:hideMark/>
          </w:tcPr>
          <w:p w14:paraId="7926FBE5" w14:textId="06603043" w:rsidR="00895A1D" w:rsidRPr="006B42D6" w:rsidRDefault="00895A1D" w:rsidP="00895A1D">
            <w:pPr>
              <w:jc w:val="right"/>
              <w:rPr>
                <w:sz w:val="16"/>
                <w:szCs w:val="16"/>
              </w:rPr>
            </w:pPr>
            <w:r w:rsidRPr="006B42D6">
              <w:rPr>
                <w:sz w:val="16"/>
                <w:szCs w:val="16"/>
              </w:rPr>
              <w:t>93</w:t>
            </w:r>
          </w:p>
        </w:tc>
        <w:tc>
          <w:tcPr>
            <w:tcW w:w="1020" w:type="dxa"/>
            <w:tcBorders>
              <w:top w:val="nil"/>
              <w:left w:val="nil"/>
              <w:bottom w:val="nil"/>
              <w:right w:val="nil"/>
            </w:tcBorders>
            <w:shd w:val="clear" w:color="auto" w:fill="auto"/>
            <w:noWrap/>
            <w:vAlign w:val="bottom"/>
            <w:hideMark/>
          </w:tcPr>
          <w:p w14:paraId="679A8796" w14:textId="2A3B5C87" w:rsidR="00895A1D" w:rsidRPr="006B42D6" w:rsidRDefault="00895A1D" w:rsidP="00895A1D">
            <w:pPr>
              <w:jc w:val="right"/>
              <w:rPr>
                <w:sz w:val="16"/>
                <w:szCs w:val="16"/>
              </w:rPr>
            </w:pPr>
            <w:r w:rsidRPr="006B42D6">
              <w:rPr>
                <w:sz w:val="16"/>
                <w:szCs w:val="16"/>
              </w:rPr>
              <w:t>4</w:t>
            </w:r>
          </w:p>
        </w:tc>
        <w:tc>
          <w:tcPr>
            <w:tcW w:w="1054" w:type="dxa"/>
            <w:tcBorders>
              <w:top w:val="nil"/>
              <w:left w:val="nil"/>
              <w:bottom w:val="nil"/>
              <w:right w:val="nil"/>
            </w:tcBorders>
            <w:shd w:val="clear" w:color="auto" w:fill="auto"/>
            <w:noWrap/>
            <w:vAlign w:val="bottom"/>
            <w:hideMark/>
          </w:tcPr>
          <w:p w14:paraId="2E506806" w14:textId="7AF21AF7" w:rsidR="00895A1D" w:rsidRPr="006B42D6" w:rsidRDefault="00895A1D" w:rsidP="00895A1D">
            <w:pPr>
              <w:jc w:val="right"/>
              <w:rPr>
                <w:sz w:val="16"/>
                <w:szCs w:val="16"/>
              </w:rPr>
            </w:pPr>
            <w:r w:rsidRPr="006B42D6">
              <w:rPr>
                <w:sz w:val="16"/>
                <w:szCs w:val="16"/>
              </w:rPr>
              <w:t>164</w:t>
            </w:r>
          </w:p>
        </w:tc>
        <w:tc>
          <w:tcPr>
            <w:tcW w:w="1400" w:type="dxa"/>
            <w:tcBorders>
              <w:top w:val="nil"/>
              <w:left w:val="nil"/>
              <w:bottom w:val="nil"/>
              <w:right w:val="nil"/>
            </w:tcBorders>
            <w:shd w:val="clear" w:color="auto" w:fill="auto"/>
            <w:noWrap/>
            <w:vAlign w:val="bottom"/>
            <w:hideMark/>
          </w:tcPr>
          <w:p w14:paraId="5DB3828C" w14:textId="1352AC5E" w:rsidR="00895A1D" w:rsidRPr="006B42D6" w:rsidRDefault="00895A1D" w:rsidP="00895A1D">
            <w:pPr>
              <w:jc w:val="right"/>
              <w:rPr>
                <w:sz w:val="16"/>
                <w:szCs w:val="16"/>
              </w:rPr>
            </w:pPr>
            <w:r w:rsidRPr="006B42D6">
              <w:rPr>
                <w:sz w:val="16"/>
                <w:szCs w:val="16"/>
              </w:rPr>
              <w:t>3</w:t>
            </w:r>
          </w:p>
        </w:tc>
        <w:tc>
          <w:tcPr>
            <w:tcW w:w="1296" w:type="dxa"/>
            <w:tcBorders>
              <w:top w:val="nil"/>
              <w:left w:val="nil"/>
              <w:bottom w:val="nil"/>
              <w:right w:val="nil"/>
            </w:tcBorders>
            <w:shd w:val="clear" w:color="auto" w:fill="auto"/>
            <w:noWrap/>
            <w:vAlign w:val="bottom"/>
            <w:hideMark/>
          </w:tcPr>
          <w:p w14:paraId="4AA422EE" w14:textId="79555D5E" w:rsidR="00895A1D" w:rsidRPr="006B42D6" w:rsidRDefault="00895A1D" w:rsidP="00895A1D">
            <w:pPr>
              <w:jc w:val="right"/>
              <w:rPr>
                <w:sz w:val="16"/>
                <w:szCs w:val="16"/>
              </w:rPr>
            </w:pPr>
            <w:r w:rsidRPr="006B42D6">
              <w:rPr>
                <w:sz w:val="16"/>
                <w:szCs w:val="16"/>
              </w:rPr>
              <w:t>7</w:t>
            </w:r>
          </w:p>
        </w:tc>
        <w:tc>
          <w:tcPr>
            <w:tcW w:w="951" w:type="dxa"/>
            <w:tcBorders>
              <w:top w:val="nil"/>
              <w:left w:val="nil"/>
              <w:bottom w:val="nil"/>
              <w:right w:val="nil"/>
            </w:tcBorders>
            <w:shd w:val="clear" w:color="auto" w:fill="auto"/>
            <w:noWrap/>
            <w:vAlign w:val="bottom"/>
            <w:hideMark/>
          </w:tcPr>
          <w:p w14:paraId="15DCD7C9" w14:textId="253AB900" w:rsidR="00895A1D" w:rsidRPr="006B42D6" w:rsidRDefault="00895A1D" w:rsidP="00895A1D">
            <w:pPr>
              <w:jc w:val="right"/>
              <w:rPr>
                <w:sz w:val="16"/>
                <w:szCs w:val="16"/>
              </w:rPr>
            </w:pPr>
            <w:r w:rsidRPr="006B42D6">
              <w:rPr>
                <w:sz w:val="16"/>
                <w:szCs w:val="16"/>
              </w:rPr>
              <w:t>4</w:t>
            </w:r>
          </w:p>
        </w:tc>
        <w:tc>
          <w:tcPr>
            <w:tcW w:w="954" w:type="dxa"/>
            <w:tcBorders>
              <w:top w:val="nil"/>
              <w:left w:val="nil"/>
              <w:bottom w:val="nil"/>
              <w:right w:val="nil"/>
            </w:tcBorders>
            <w:shd w:val="clear" w:color="auto" w:fill="auto"/>
            <w:noWrap/>
            <w:vAlign w:val="bottom"/>
            <w:hideMark/>
          </w:tcPr>
          <w:p w14:paraId="544EECE5" w14:textId="6FDE6C64" w:rsidR="00895A1D" w:rsidRPr="006B42D6" w:rsidRDefault="00895A1D" w:rsidP="00895A1D">
            <w:pPr>
              <w:jc w:val="right"/>
              <w:rPr>
                <w:sz w:val="16"/>
                <w:szCs w:val="16"/>
              </w:rPr>
            </w:pPr>
            <w:r w:rsidRPr="006B42D6">
              <w:rPr>
                <w:sz w:val="16"/>
                <w:szCs w:val="16"/>
              </w:rPr>
              <w:t>4</w:t>
            </w:r>
          </w:p>
        </w:tc>
      </w:tr>
      <w:tr w:rsidR="006B42D6" w:rsidRPr="006B42D6" w14:paraId="3A4F25CD" w14:textId="77777777" w:rsidTr="00216F13">
        <w:trPr>
          <w:trHeight w:val="312"/>
        </w:trPr>
        <w:tc>
          <w:tcPr>
            <w:tcW w:w="1711" w:type="dxa"/>
            <w:tcBorders>
              <w:top w:val="nil"/>
              <w:left w:val="nil"/>
              <w:bottom w:val="nil"/>
            </w:tcBorders>
            <w:shd w:val="clear" w:color="auto" w:fill="auto"/>
            <w:noWrap/>
            <w:vAlign w:val="bottom"/>
            <w:hideMark/>
          </w:tcPr>
          <w:p w14:paraId="07B17978" w14:textId="499AAD97" w:rsidR="00895A1D" w:rsidRPr="006B42D6" w:rsidRDefault="00895A1D" w:rsidP="00BE0494">
            <w:pPr>
              <w:jc w:val="left"/>
              <w:rPr>
                <w:sz w:val="16"/>
                <w:szCs w:val="16"/>
              </w:rPr>
            </w:pPr>
            <w:r w:rsidRPr="006B42D6">
              <w:rPr>
                <w:sz w:val="16"/>
                <w:szCs w:val="16"/>
              </w:rPr>
              <w:t>Njombe</w:t>
            </w:r>
          </w:p>
        </w:tc>
        <w:tc>
          <w:tcPr>
            <w:tcW w:w="1054" w:type="dxa"/>
            <w:tcBorders>
              <w:top w:val="nil"/>
              <w:bottom w:val="nil"/>
              <w:right w:val="nil"/>
            </w:tcBorders>
            <w:shd w:val="clear" w:color="auto" w:fill="auto"/>
            <w:noWrap/>
            <w:vAlign w:val="bottom"/>
            <w:hideMark/>
          </w:tcPr>
          <w:p w14:paraId="3E8D9589" w14:textId="3B5A67D8" w:rsidR="00895A1D" w:rsidRPr="006B42D6" w:rsidRDefault="00895A1D" w:rsidP="00895A1D">
            <w:pPr>
              <w:jc w:val="right"/>
              <w:rPr>
                <w:sz w:val="16"/>
                <w:szCs w:val="16"/>
              </w:rPr>
            </w:pPr>
            <w:r w:rsidRPr="006B42D6">
              <w:rPr>
                <w:sz w:val="16"/>
                <w:szCs w:val="16"/>
              </w:rPr>
              <w:t>287</w:t>
            </w:r>
          </w:p>
        </w:tc>
        <w:tc>
          <w:tcPr>
            <w:tcW w:w="1020" w:type="dxa"/>
            <w:tcBorders>
              <w:top w:val="nil"/>
              <w:left w:val="nil"/>
              <w:bottom w:val="nil"/>
              <w:right w:val="nil"/>
            </w:tcBorders>
            <w:shd w:val="clear" w:color="auto" w:fill="auto"/>
            <w:noWrap/>
            <w:vAlign w:val="bottom"/>
            <w:hideMark/>
          </w:tcPr>
          <w:p w14:paraId="58AE714D" w14:textId="63996B53" w:rsidR="00895A1D" w:rsidRPr="006B42D6" w:rsidRDefault="00895A1D" w:rsidP="00895A1D">
            <w:pPr>
              <w:jc w:val="right"/>
              <w:rPr>
                <w:sz w:val="16"/>
                <w:szCs w:val="16"/>
              </w:rPr>
            </w:pPr>
            <w:r w:rsidRPr="006B42D6">
              <w:rPr>
                <w:sz w:val="16"/>
                <w:szCs w:val="16"/>
              </w:rPr>
              <w:t>2</w:t>
            </w:r>
          </w:p>
        </w:tc>
        <w:tc>
          <w:tcPr>
            <w:tcW w:w="1054" w:type="dxa"/>
            <w:tcBorders>
              <w:top w:val="nil"/>
              <w:left w:val="nil"/>
              <w:bottom w:val="nil"/>
              <w:right w:val="nil"/>
            </w:tcBorders>
            <w:shd w:val="clear" w:color="auto" w:fill="auto"/>
            <w:noWrap/>
            <w:vAlign w:val="bottom"/>
            <w:hideMark/>
          </w:tcPr>
          <w:p w14:paraId="373D6A38" w14:textId="029DB393" w:rsidR="00895A1D" w:rsidRPr="006B42D6" w:rsidRDefault="00895A1D" w:rsidP="00895A1D">
            <w:pPr>
              <w:jc w:val="right"/>
              <w:rPr>
                <w:sz w:val="16"/>
                <w:szCs w:val="16"/>
              </w:rPr>
            </w:pPr>
            <w:r w:rsidRPr="006B42D6">
              <w:rPr>
                <w:sz w:val="16"/>
                <w:szCs w:val="16"/>
              </w:rPr>
              <w:t>495</w:t>
            </w:r>
          </w:p>
        </w:tc>
        <w:tc>
          <w:tcPr>
            <w:tcW w:w="1400" w:type="dxa"/>
            <w:tcBorders>
              <w:top w:val="nil"/>
              <w:left w:val="nil"/>
              <w:bottom w:val="nil"/>
              <w:right w:val="nil"/>
            </w:tcBorders>
            <w:shd w:val="clear" w:color="auto" w:fill="auto"/>
            <w:noWrap/>
            <w:vAlign w:val="bottom"/>
            <w:hideMark/>
          </w:tcPr>
          <w:p w14:paraId="4A20B89D" w14:textId="28B3ABA5" w:rsidR="00895A1D" w:rsidRPr="006B42D6" w:rsidRDefault="00895A1D" w:rsidP="00895A1D">
            <w:pPr>
              <w:jc w:val="right"/>
              <w:rPr>
                <w:sz w:val="16"/>
                <w:szCs w:val="16"/>
              </w:rPr>
            </w:pPr>
            <w:r w:rsidRPr="006B42D6">
              <w:rPr>
                <w:sz w:val="16"/>
                <w:szCs w:val="16"/>
              </w:rPr>
              <w:t>23</w:t>
            </w:r>
          </w:p>
        </w:tc>
        <w:tc>
          <w:tcPr>
            <w:tcW w:w="1296" w:type="dxa"/>
            <w:tcBorders>
              <w:top w:val="nil"/>
              <w:left w:val="nil"/>
              <w:bottom w:val="nil"/>
              <w:right w:val="nil"/>
            </w:tcBorders>
            <w:shd w:val="clear" w:color="auto" w:fill="auto"/>
            <w:noWrap/>
            <w:vAlign w:val="bottom"/>
            <w:hideMark/>
          </w:tcPr>
          <w:p w14:paraId="645749CE" w14:textId="37391F44" w:rsidR="00895A1D" w:rsidRPr="006B42D6" w:rsidRDefault="00895A1D" w:rsidP="00895A1D">
            <w:pPr>
              <w:jc w:val="right"/>
              <w:rPr>
                <w:sz w:val="16"/>
                <w:szCs w:val="16"/>
              </w:rPr>
            </w:pPr>
            <w:r w:rsidRPr="006B42D6">
              <w:rPr>
                <w:sz w:val="16"/>
                <w:szCs w:val="16"/>
              </w:rPr>
              <w:t>25</w:t>
            </w:r>
          </w:p>
        </w:tc>
        <w:tc>
          <w:tcPr>
            <w:tcW w:w="951" w:type="dxa"/>
            <w:tcBorders>
              <w:top w:val="nil"/>
              <w:left w:val="nil"/>
              <w:bottom w:val="nil"/>
              <w:right w:val="nil"/>
            </w:tcBorders>
            <w:shd w:val="clear" w:color="auto" w:fill="auto"/>
            <w:noWrap/>
            <w:vAlign w:val="bottom"/>
            <w:hideMark/>
          </w:tcPr>
          <w:p w14:paraId="03B75DD3" w14:textId="04B8F631" w:rsidR="00895A1D" w:rsidRPr="006B42D6" w:rsidRDefault="00895A1D" w:rsidP="00895A1D">
            <w:pPr>
              <w:jc w:val="right"/>
              <w:rPr>
                <w:sz w:val="16"/>
                <w:szCs w:val="16"/>
              </w:rPr>
            </w:pPr>
            <w:r w:rsidRPr="006B42D6">
              <w:rPr>
                <w:sz w:val="16"/>
                <w:szCs w:val="16"/>
              </w:rPr>
              <w:t>2</w:t>
            </w:r>
          </w:p>
        </w:tc>
        <w:tc>
          <w:tcPr>
            <w:tcW w:w="954" w:type="dxa"/>
            <w:tcBorders>
              <w:top w:val="nil"/>
              <w:left w:val="nil"/>
              <w:bottom w:val="nil"/>
              <w:right w:val="nil"/>
            </w:tcBorders>
            <w:shd w:val="clear" w:color="auto" w:fill="auto"/>
            <w:noWrap/>
            <w:vAlign w:val="bottom"/>
            <w:hideMark/>
          </w:tcPr>
          <w:p w14:paraId="2C97100A" w14:textId="38799339" w:rsidR="00895A1D" w:rsidRPr="006B42D6" w:rsidRDefault="00895A1D" w:rsidP="00895A1D">
            <w:pPr>
              <w:jc w:val="right"/>
              <w:rPr>
                <w:sz w:val="16"/>
                <w:szCs w:val="16"/>
              </w:rPr>
            </w:pPr>
            <w:r w:rsidRPr="006B42D6">
              <w:rPr>
                <w:sz w:val="16"/>
                <w:szCs w:val="16"/>
              </w:rPr>
              <w:t>99</w:t>
            </w:r>
          </w:p>
        </w:tc>
      </w:tr>
      <w:tr w:rsidR="006B42D6" w:rsidRPr="006B42D6" w14:paraId="1E464977" w14:textId="77777777" w:rsidTr="00216F13">
        <w:trPr>
          <w:trHeight w:val="312"/>
        </w:trPr>
        <w:tc>
          <w:tcPr>
            <w:tcW w:w="1711" w:type="dxa"/>
            <w:tcBorders>
              <w:top w:val="nil"/>
              <w:left w:val="nil"/>
              <w:bottom w:val="nil"/>
            </w:tcBorders>
            <w:shd w:val="clear" w:color="auto" w:fill="auto"/>
            <w:noWrap/>
            <w:vAlign w:val="bottom"/>
            <w:hideMark/>
          </w:tcPr>
          <w:p w14:paraId="0969FEF8" w14:textId="48381D85" w:rsidR="00895A1D" w:rsidRPr="006B42D6" w:rsidRDefault="00895A1D" w:rsidP="00BE0494">
            <w:pPr>
              <w:jc w:val="left"/>
              <w:rPr>
                <w:sz w:val="16"/>
                <w:szCs w:val="16"/>
              </w:rPr>
            </w:pPr>
            <w:r w:rsidRPr="006B42D6">
              <w:rPr>
                <w:sz w:val="16"/>
                <w:szCs w:val="16"/>
              </w:rPr>
              <w:t>Katavi</w:t>
            </w:r>
          </w:p>
        </w:tc>
        <w:tc>
          <w:tcPr>
            <w:tcW w:w="1054" w:type="dxa"/>
            <w:tcBorders>
              <w:top w:val="nil"/>
              <w:bottom w:val="nil"/>
              <w:right w:val="nil"/>
            </w:tcBorders>
            <w:shd w:val="clear" w:color="auto" w:fill="auto"/>
            <w:noWrap/>
            <w:vAlign w:val="bottom"/>
            <w:hideMark/>
          </w:tcPr>
          <w:p w14:paraId="42672D3C" w14:textId="64924D57" w:rsidR="00895A1D" w:rsidRPr="006B42D6" w:rsidRDefault="00895A1D" w:rsidP="00895A1D">
            <w:pPr>
              <w:jc w:val="right"/>
              <w:rPr>
                <w:sz w:val="16"/>
                <w:szCs w:val="16"/>
              </w:rPr>
            </w:pPr>
            <w:r w:rsidRPr="006B42D6">
              <w:rPr>
                <w:sz w:val="16"/>
                <w:szCs w:val="16"/>
              </w:rPr>
              <w:t>121</w:t>
            </w:r>
          </w:p>
        </w:tc>
        <w:tc>
          <w:tcPr>
            <w:tcW w:w="1020" w:type="dxa"/>
            <w:tcBorders>
              <w:top w:val="nil"/>
              <w:left w:val="nil"/>
              <w:bottom w:val="nil"/>
              <w:right w:val="nil"/>
            </w:tcBorders>
            <w:shd w:val="clear" w:color="auto" w:fill="auto"/>
            <w:noWrap/>
            <w:vAlign w:val="bottom"/>
            <w:hideMark/>
          </w:tcPr>
          <w:p w14:paraId="0B3F3908" w14:textId="3AC3327F" w:rsidR="00895A1D" w:rsidRPr="006B42D6" w:rsidRDefault="00895A1D" w:rsidP="00895A1D">
            <w:pPr>
              <w:jc w:val="right"/>
              <w:rPr>
                <w:sz w:val="16"/>
                <w:szCs w:val="16"/>
              </w:rPr>
            </w:pPr>
            <w:r w:rsidRPr="006B42D6">
              <w:rPr>
                <w:sz w:val="16"/>
                <w:szCs w:val="16"/>
              </w:rPr>
              <w:t>12</w:t>
            </w:r>
          </w:p>
        </w:tc>
        <w:tc>
          <w:tcPr>
            <w:tcW w:w="1054" w:type="dxa"/>
            <w:tcBorders>
              <w:top w:val="nil"/>
              <w:left w:val="nil"/>
              <w:bottom w:val="nil"/>
              <w:right w:val="nil"/>
            </w:tcBorders>
            <w:shd w:val="clear" w:color="auto" w:fill="auto"/>
            <w:noWrap/>
            <w:vAlign w:val="bottom"/>
            <w:hideMark/>
          </w:tcPr>
          <w:p w14:paraId="137BA068" w14:textId="3DE08CED" w:rsidR="00895A1D" w:rsidRPr="006B42D6" w:rsidRDefault="00895A1D" w:rsidP="00895A1D">
            <w:pPr>
              <w:jc w:val="right"/>
              <w:rPr>
                <w:sz w:val="16"/>
                <w:szCs w:val="16"/>
              </w:rPr>
            </w:pPr>
            <w:r w:rsidRPr="006B42D6">
              <w:rPr>
                <w:sz w:val="16"/>
                <w:szCs w:val="16"/>
              </w:rPr>
              <w:t>-</w:t>
            </w:r>
          </w:p>
        </w:tc>
        <w:tc>
          <w:tcPr>
            <w:tcW w:w="1400" w:type="dxa"/>
            <w:tcBorders>
              <w:top w:val="nil"/>
              <w:left w:val="nil"/>
              <w:bottom w:val="nil"/>
              <w:right w:val="nil"/>
            </w:tcBorders>
            <w:shd w:val="clear" w:color="auto" w:fill="auto"/>
            <w:noWrap/>
            <w:vAlign w:val="bottom"/>
            <w:hideMark/>
          </w:tcPr>
          <w:p w14:paraId="08C5679D" w14:textId="775A9EF7" w:rsidR="00895A1D" w:rsidRPr="006B42D6" w:rsidRDefault="00895A1D" w:rsidP="00895A1D">
            <w:pPr>
              <w:jc w:val="right"/>
              <w:rPr>
                <w:sz w:val="16"/>
                <w:szCs w:val="16"/>
              </w:rPr>
            </w:pPr>
            <w:r w:rsidRPr="006B42D6">
              <w:rPr>
                <w:sz w:val="16"/>
                <w:szCs w:val="16"/>
              </w:rPr>
              <w:t>-</w:t>
            </w:r>
          </w:p>
        </w:tc>
        <w:tc>
          <w:tcPr>
            <w:tcW w:w="1296" w:type="dxa"/>
            <w:tcBorders>
              <w:top w:val="nil"/>
              <w:left w:val="nil"/>
              <w:bottom w:val="nil"/>
              <w:right w:val="nil"/>
            </w:tcBorders>
            <w:shd w:val="clear" w:color="auto" w:fill="auto"/>
            <w:noWrap/>
            <w:vAlign w:val="bottom"/>
            <w:hideMark/>
          </w:tcPr>
          <w:p w14:paraId="18249D7F" w14:textId="64A8A974" w:rsidR="00895A1D" w:rsidRPr="006B42D6" w:rsidRDefault="00895A1D" w:rsidP="00895A1D">
            <w:pPr>
              <w:jc w:val="right"/>
              <w:rPr>
                <w:sz w:val="16"/>
                <w:szCs w:val="16"/>
              </w:rPr>
            </w:pPr>
            <w:r w:rsidRPr="006B42D6">
              <w:rPr>
                <w:sz w:val="16"/>
                <w:szCs w:val="16"/>
              </w:rPr>
              <w:t>12</w:t>
            </w:r>
          </w:p>
        </w:tc>
        <w:tc>
          <w:tcPr>
            <w:tcW w:w="951" w:type="dxa"/>
            <w:tcBorders>
              <w:top w:val="nil"/>
              <w:left w:val="nil"/>
              <w:bottom w:val="nil"/>
              <w:right w:val="nil"/>
            </w:tcBorders>
            <w:shd w:val="clear" w:color="auto" w:fill="auto"/>
            <w:noWrap/>
            <w:vAlign w:val="bottom"/>
            <w:hideMark/>
          </w:tcPr>
          <w:p w14:paraId="4FBAD219" w14:textId="17F05A09" w:rsidR="00895A1D" w:rsidRPr="006B42D6" w:rsidRDefault="00895A1D" w:rsidP="00895A1D">
            <w:pPr>
              <w:jc w:val="right"/>
              <w:rPr>
                <w:sz w:val="16"/>
                <w:szCs w:val="16"/>
              </w:rPr>
            </w:pPr>
            <w:r w:rsidRPr="006B42D6">
              <w:rPr>
                <w:sz w:val="16"/>
                <w:szCs w:val="16"/>
              </w:rPr>
              <w:t>-</w:t>
            </w:r>
          </w:p>
        </w:tc>
        <w:tc>
          <w:tcPr>
            <w:tcW w:w="954" w:type="dxa"/>
            <w:tcBorders>
              <w:top w:val="nil"/>
              <w:left w:val="nil"/>
              <w:bottom w:val="nil"/>
              <w:right w:val="nil"/>
            </w:tcBorders>
            <w:shd w:val="clear" w:color="auto" w:fill="auto"/>
            <w:noWrap/>
            <w:vAlign w:val="bottom"/>
            <w:hideMark/>
          </w:tcPr>
          <w:p w14:paraId="4D1AF56E" w14:textId="6D30E925" w:rsidR="00895A1D" w:rsidRPr="006B42D6" w:rsidRDefault="00895A1D" w:rsidP="00895A1D">
            <w:pPr>
              <w:jc w:val="right"/>
              <w:rPr>
                <w:sz w:val="16"/>
                <w:szCs w:val="16"/>
              </w:rPr>
            </w:pPr>
            <w:r w:rsidRPr="006B42D6">
              <w:rPr>
                <w:sz w:val="16"/>
                <w:szCs w:val="16"/>
              </w:rPr>
              <w:t>-</w:t>
            </w:r>
          </w:p>
        </w:tc>
      </w:tr>
      <w:tr w:rsidR="006B42D6" w:rsidRPr="006B42D6" w14:paraId="2CD08B6C" w14:textId="77777777" w:rsidTr="00216F13">
        <w:trPr>
          <w:trHeight w:val="312"/>
        </w:trPr>
        <w:tc>
          <w:tcPr>
            <w:tcW w:w="1711" w:type="dxa"/>
            <w:tcBorders>
              <w:top w:val="nil"/>
              <w:left w:val="nil"/>
              <w:bottom w:val="nil"/>
            </w:tcBorders>
            <w:shd w:val="clear" w:color="auto" w:fill="auto"/>
            <w:noWrap/>
            <w:vAlign w:val="bottom"/>
            <w:hideMark/>
          </w:tcPr>
          <w:p w14:paraId="097D1F2B" w14:textId="1893582A" w:rsidR="00895A1D" w:rsidRPr="006B42D6" w:rsidRDefault="00895A1D" w:rsidP="00BE0494">
            <w:pPr>
              <w:jc w:val="left"/>
              <w:rPr>
                <w:sz w:val="16"/>
                <w:szCs w:val="16"/>
              </w:rPr>
            </w:pPr>
            <w:r w:rsidRPr="006B42D6">
              <w:rPr>
                <w:sz w:val="16"/>
                <w:szCs w:val="16"/>
              </w:rPr>
              <w:t>Simiyu</w:t>
            </w:r>
          </w:p>
        </w:tc>
        <w:tc>
          <w:tcPr>
            <w:tcW w:w="1054" w:type="dxa"/>
            <w:tcBorders>
              <w:top w:val="nil"/>
              <w:bottom w:val="nil"/>
              <w:right w:val="nil"/>
            </w:tcBorders>
            <w:shd w:val="clear" w:color="auto" w:fill="auto"/>
            <w:noWrap/>
            <w:vAlign w:val="bottom"/>
            <w:hideMark/>
          </w:tcPr>
          <w:p w14:paraId="20216C4C" w14:textId="5F1B4542" w:rsidR="00895A1D" w:rsidRPr="006B42D6" w:rsidRDefault="00895A1D" w:rsidP="00895A1D">
            <w:pPr>
              <w:jc w:val="right"/>
              <w:rPr>
                <w:sz w:val="16"/>
                <w:szCs w:val="16"/>
              </w:rPr>
            </w:pPr>
            <w:r w:rsidRPr="006B42D6">
              <w:rPr>
                <w:sz w:val="16"/>
                <w:szCs w:val="16"/>
              </w:rPr>
              <w:t>40</w:t>
            </w:r>
          </w:p>
        </w:tc>
        <w:tc>
          <w:tcPr>
            <w:tcW w:w="1020" w:type="dxa"/>
            <w:tcBorders>
              <w:top w:val="nil"/>
              <w:left w:val="nil"/>
              <w:bottom w:val="nil"/>
              <w:right w:val="nil"/>
            </w:tcBorders>
            <w:shd w:val="clear" w:color="auto" w:fill="auto"/>
            <w:noWrap/>
            <w:vAlign w:val="bottom"/>
            <w:hideMark/>
          </w:tcPr>
          <w:p w14:paraId="3D445183" w14:textId="1C8651B6" w:rsidR="00895A1D" w:rsidRPr="006B42D6" w:rsidRDefault="00895A1D" w:rsidP="00895A1D">
            <w:pPr>
              <w:jc w:val="right"/>
              <w:rPr>
                <w:sz w:val="16"/>
                <w:szCs w:val="16"/>
              </w:rPr>
            </w:pPr>
            <w:r w:rsidRPr="006B42D6">
              <w:rPr>
                <w:sz w:val="16"/>
                <w:szCs w:val="16"/>
              </w:rPr>
              <w:t>-</w:t>
            </w:r>
          </w:p>
        </w:tc>
        <w:tc>
          <w:tcPr>
            <w:tcW w:w="1054" w:type="dxa"/>
            <w:tcBorders>
              <w:top w:val="nil"/>
              <w:left w:val="nil"/>
              <w:bottom w:val="nil"/>
              <w:right w:val="nil"/>
            </w:tcBorders>
            <w:shd w:val="clear" w:color="auto" w:fill="auto"/>
            <w:noWrap/>
            <w:vAlign w:val="bottom"/>
            <w:hideMark/>
          </w:tcPr>
          <w:p w14:paraId="00F7E762" w14:textId="6862AA0C" w:rsidR="00895A1D" w:rsidRPr="006B42D6" w:rsidRDefault="00895A1D" w:rsidP="00895A1D">
            <w:pPr>
              <w:jc w:val="right"/>
              <w:rPr>
                <w:sz w:val="16"/>
                <w:szCs w:val="16"/>
              </w:rPr>
            </w:pPr>
            <w:r w:rsidRPr="006B42D6">
              <w:rPr>
                <w:sz w:val="16"/>
                <w:szCs w:val="16"/>
              </w:rPr>
              <w:t>-</w:t>
            </w:r>
          </w:p>
        </w:tc>
        <w:tc>
          <w:tcPr>
            <w:tcW w:w="1400" w:type="dxa"/>
            <w:tcBorders>
              <w:top w:val="nil"/>
              <w:left w:val="nil"/>
              <w:bottom w:val="nil"/>
              <w:right w:val="nil"/>
            </w:tcBorders>
            <w:shd w:val="clear" w:color="auto" w:fill="auto"/>
            <w:noWrap/>
            <w:vAlign w:val="bottom"/>
            <w:hideMark/>
          </w:tcPr>
          <w:p w14:paraId="41745772" w14:textId="44F4D9C9" w:rsidR="00895A1D" w:rsidRPr="006B42D6" w:rsidRDefault="00895A1D" w:rsidP="00895A1D">
            <w:pPr>
              <w:jc w:val="right"/>
              <w:rPr>
                <w:sz w:val="16"/>
                <w:szCs w:val="16"/>
              </w:rPr>
            </w:pPr>
            <w:r w:rsidRPr="006B42D6">
              <w:rPr>
                <w:sz w:val="16"/>
                <w:szCs w:val="16"/>
              </w:rPr>
              <w:t>-</w:t>
            </w:r>
          </w:p>
        </w:tc>
        <w:tc>
          <w:tcPr>
            <w:tcW w:w="1296" w:type="dxa"/>
            <w:tcBorders>
              <w:top w:val="nil"/>
              <w:left w:val="nil"/>
              <w:bottom w:val="nil"/>
              <w:right w:val="nil"/>
            </w:tcBorders>
            <w:shd w:val="clear" w:color="auto" w:fill="auto"/>
            <w:noWrap/>
            <w:vAlign w:val="bottom"/>
            <w:hideMark/>
          </w:tcPr>
          <w:p w14:paraId="274B76C6" w14:textId="2AFBD7DC" w:rsidR="00895A1D" w:rsidRPr="006B42D6" w:rsidRDefault="00895A1D" w:rsidP="00895A1D">
            <w:pPr>
              <w:jc w:val="right"/>
              <w:rPr>
                <w:sz w:val="16"/>
                <w:szCs w:val="16"/>
              </w:rPr>
            </w:pPr>
            <w:r w:rsidRPr="006B42D6">
              <w:rPr>
                <w:sz w:val="16"/>
                <w:szCs w:val="16"/>
              </w:rPr>
              <w:t>-</w:t>
            </w:r>
          </w:p>
        </w:tc>
        <w:tc>
          <w:tcPr>
            <w:tcW w:w="951" w:type="dxa"/>
            <w:tcBorders>
              <w:top w:val="nil"/>
              <w:left w:val="nil"/>
              <w:bottom w:val="nil"/>
              <w:right w:val="nil"/>
            </w:tcBorders>
            <w:shd w:val="clear" w:color="auto" w:fill="auto"/>
            <w:noWrap/>
            <w:vAlign w:val="bottom"/>
            <w:hideMark/>
          </w:tcPr>
          <w:p w14:paraId="15185E60" w14:textId="5EB6301C" w:rsidR="00895A1D" w:rsidRPr="006B42D6" w:rsidRDefault="00895A1D" w:rsidP="00895A1D">
            <w:pPr>
              <w:jc w:val="right"/>
              <w:rPr>
                <w:sz w:val="16"/>
                <w:szCs w:val="16"/>
              </w:rPr>
            </w:pPr>
            <w:r w:rsidRPr="006B42D6">
              <w:rPr>
                <w:sz w:val="16"/>
                <w:szCs w:val="16"/>
              </w:rPr>
              <w:t>-</w:t>
            </w:r>
          </w:p>
        </w:tc>
        <w:tc>
          <w:tcPr>
            <w:tcW w:w="954" w:type="dxa"/>
            <w:tcBorders>
              <w:top w:val="nil"/>
              <w:left w:val="nil"/>
              <w:bottom w:val="nil"/>
              <w:right w:val="nil"/>
            </w:tcBorders>
            <w:shd w:val="clear" w:color="auto" w:fill="auto"/>
            <w:noWrap/>
            <w:vAlign w:val="bottom"/>
            <w:hideMark/>
          </w:tcPr>
          <w:p w14:paraId="62E9578C" w14:textId="2B9E35EC" w:rsidR="00895A1D" w:rsidRPr="006B42D6" w:rsidRDefault="00895A1D" w:rsidP="00895A1D">
            <w:pPr>
              <w:jc w:val="right"/>
              <w:rPr>
                <w:sz w:val="16"/>
                <w:szCs w:val="16"/>
              </w:rPr>
            </w:pPr>
            <w:r w:rsidRPr="006B42D6">
              <w:rPr>
                <w:sz w:val="16"/>
                <w:szCs w:val="16"/>
              </w:rPr>
              <w:t>-</w:t>
            </w:r>
          </w:p>
        </w:tc>
      </w:tr>
      <w:tr w:rsidR="006B42D6" w:rsidRPr="006B42D6" w14:paraId="021EF8BF" w14:textId="77777777" w:rsidTr="00216F13">
        <w:trPr>
          <w:trHeight w:val="312"/>
        </w:trPr>
        <w:tc>
          <w:tcPr>
            <w:tcW w:w="1711" w:type="dxa"/>
            <w:tcBorders>
              <w:top w:val="nil"/>
              <w:left w:val="nil"/>
              <w:bottom w:val="nil"/>
            </w:tcBorders>
            <w:shd w:val="clear" w:color="auto" w:fill="auto"/>
            <w:noWrap/>
            <w:vAlign w:val="bottom"/>
            <w:hideMark/>
          </w:tcPr>
          <w:p w14:paraId="578187D9" w14:textId="7D434949" w:rsidR="00895A1D" w:rsidRPr="006B42D6" w:rsidRDefault="00895A1D" w:rsidP="00BE0494">
            <w:pPr>
              <w:jc w:val="left"/>
              <w:rPr>
                <w:sz w:val="16"/>
                <w:szCs w:val="16"/>
              </w:rPr>
            </w:pPr>
            <w:r w:rsidRPr="006B42D6">
              <w:rPr>
                <w:sz w:val="16"/>
                <w:szCs w:val="16"/>
              </w:rPr>
              <w:t>Geita</w:t>
            </w:r>
          </w:p>
        </w:tc>
        <w:tc>
          <w:tcPr>
            <w:tcW w:w="1054" w:type="dxa"/>
            <w:tcBorders>
              <w:top w:val="nil"/>
              <w:bottom w:val="nil"/>
              <w:right w:val="nil"/>
            </w:tcBorders>
            <w:shd w:val="clear" w:color="auto" w:fill="auto"/>
            <w:noWrap/>
            <w:vAlign w:val="bottom"/>
            <w:hideMark/>
          </w:tcPr>
          <w:p w14:paraId="1F4572F7" w14:textId="360D8BEB" w:rsidR="00895A1D" w:rsidRPr="006B42D6" w:rsidRDefault="00895A1D" w:rsidP="00895A1D">
            <w:pPr>
              <w:jc w:val="right"/>
              <w:rPr>
                <w:sz w:val="16"/>
                <w:szCs w:val="16"/>
              </w:rPr>
            </w:pPr>
            <w:r w:rsidRPr="006B42D6">
              <w:rPr>
                <w:sz w:val="16"/>
                <w:szCs w:val="16"/>
              </w:rPr>
              <w:t>2,888</w:t>
            </w:r>
          </w:p>
        </w:tc>
        <w:tc>
          <w:tcPr>
            <w:tcW w:w="1020" w:type="dxa"/>
            <w:tcBorders>
              <w:top w:val="nil"/>
              <w:left w:val="nil"/>
              <w:bottom w:val="nil"/>
              <w:right w:val="nil"/>
            </w:tcBorders>
            <w:shd w:val="clear" w:color="auto" w:fill="auto"/>
            <w:noWrap/>
            <w:vAlign w:val="bottom"/>
            <w:hideMark/>
          </w:tcPr>
          <w:p w14:paraId="46582D1F" w14:textId="428EC215" w:rsidR="00895A1D" w:rsidRPr="006B42D6" w:rsidRDefault="00895A1D" w:rsidP="00895A1D">
            <w:pPr>
              <w:jc w:val="right"/>
              <w:rPr>
                <w:sz w:val="16"/>
                <w:szCs w:val="16"/>
              </w:rPr>
            </w:pPr>
            <w:r w:rsidRPr="006B42D6">
              <w:rPr>
                <w:sz w:val="16"/>
                <w:szCs w:val="16"/>
              </w:rPr>
              <w:t>1,168</w:t>
            </w:r>
          </w:p>
        </w:tc>
        <w:tc>
          <w:tcPr>
            <w:tcW w:w="1054" w:type="dxa"/>
            <w:tcBorders>
              <w:top w:val="nil"/>
              <w:left w:val="nil"/>
              <w:bottom w:val="nil"/>
              <w:right w:val="nil"/>
            </w:tcBorders>
            <w:shd w:val="clear" w:color="auto" w:fill="auto"/>
            <w:noWrap/>
            <w:vAlign w:val="bottom"/>
            <w:hideMark/>
          </w:tcPr>
          <w:p w14:paraId="3FC7CB5D" w14:textId="36C7EEDE" w:rsidR="00895A1D" w:rsidRPr="006B42D6" w:rsidRDefault="00895A1D" w:rsidP="00895A1D">
            <w:pPr>
              <w:jc w:val="right"/>
              <w:rPr>
                <w:sz w:val="16"/>
                <w:szCs w:val="16"/>
              </w:rPr>
            </w:pPr>
            <w:r w:rsidRPr="006B42D6">
              <w:rPr>
                <w:sz w:val="16"/>
                <w:szCs w:val="16"/>
              </w:rPr>
              <w:t>5,709</w:t>
            </w:r>
          </w:p>
        </w:tc>
        <w:tc>
          <w:tcPr>
            <w:tcW w:w="1400" w:type="dxa"/>
            <w:tcBorders>
              <w:top w:val="nil"/>
              <w:left w:val="nil"/>
              <w:bottom w:val="nil"/>
              <w:right w:val="nil"/>
            </w:tcBorders>
            <w:shd w:val="clear" w:color="auto" w:fill="auto"/>
            <w:noWrap/>
            <w:vAlign w:val="bottom"/>
            <w:hideMark/>
          </w:tcPr>
          <w:p w14:paraId="6ED1851A" w14:textId="024C595D" w:rsidR="00895A1D" w:rsidRPr="006B42D6" w:rsidRDefault="00895A1D" w:rsidP="00895A1D">
            <w:pPr>
              <w:jc w:val="right"/>
              <w:rPr>
                <w:sz w:val="16"/>
                <w:szCs w:val="16"/>
              </w:rPr>
            </w:pPr>
            <w:r w:rsidRPr="006B42D6">
              <w:rPr>
                <w:sz w:val="16"/>
                <w:szCs w:val="16"/>
              </w:rPr>
              <w:t>38</w:t>
            </w:r>
          </w:p>
        </w:tc>
        <w:tc>
          <w:tcPr>
            <w:tcW w:w="1296" w:type="dxa"/>
            <w:tcBorders>
              <w:top w:val="nil"/>
              <w:left w:val="nil"/>
              <w:bottom w:val="nil"/>
              <w:right w:val="nil"/>
            </w:tcBorders>
            <w:shd w:val="clear" w:color="auto" w:fill="auto"/>
            <w:noWrap/>
            <w:vAlign w:val="bottom"/>
            <w:hideMark/>
          </w:tcPr>
          <w:p w14:paraId="76EC19DF" w14:textId="79D3BD10" w:rsidR="00895A1D" w:rsidRPr="006B42D6" w:rsidRDefault="00895A1D" w:rsidP="00895A1D">
            <w:pPr>
              <w:jc w:val="right"/>
              <w:rPr>
                <w:sz w:val="16"/>
                <w:szCs w:val="16"/>
              </w:rPr>
            </w:pPr>
            <w:r w:rsidRPr="006B42D6">
              <w:rPr>
                <w:sz w:val="16"/>
                <w:szCs w:val="16"/>
              </w:rPr>
              <w:t>1,205</w:t>
            </w:r>
          </w:p>
        </w:tc>
        <w:tc>
          <w:tcPr>
            <w:tcW w:w="951" w:type="dxa"/>
            <w:tcBorders>
              <w:top w:val="nil"/>
              <w:left w:val="nil"/>
              <w:bottom w:val="nil"/>
              <w:right w:val="nil"/>
            </w:tcBorders>
            <w:shd w:val="clear" w:color="auto" w:fill="auto"/>
            <w:noWrap/>
            <w:vAlign w:val="bottom"/>
            <w:hideMark/>
          </w:tcPr>
          <w:p w14:paraId="5AA981B6" w14:textId="362FF72A" w:rsidR="00895A1D" w:rsidRPr="006B42D6" w:rsidRDefault="00895A1D" w:rsidP="00895A1D">
            <w:pPr>
              <w:jc w:val="right"/>
              <w:rPr>
                <w:sz w:val="16"/>
                <w:szCs w:val="16"/>
              </w:rPr>
            </w:pPr>
            <w:r w:rsidRPr="006B42D6">
              <w:rPr>
                <w:sz w:val="16"/>
                <w:szCs w:val="16"/>
              </w:rPr>
              <w:t>35</w:t>
            </w:r>
          </w:p>
        </w:tc>
        <w:tc>
          <w:tcPr>
            <w:tcW w:w="954" w:type="dxa"/>
            <w:tcBorders>
              <w:top w:val="nil"/>
              <w:left w:val="nil"/>
              <w:bottom w:val="nil"/>
              <w:right w:val="nil"/>
            </w:tcBorders>
            <w:shd w:val="clear" w:color="auto" w:fill="auto"/>
            <w:noWrap/>
            <w:vAlign w:val="bottom"/>
            <w:hideMark/>
          </w:tcPr>
          <w:p w14:paraId="33E20D24" w14:textId="0353B59E" w:rsidR="00895A1D" w:rsidRPr="006B42D6" w:rsidRDefault="00895A1D" w:rsidP="00895A1D">
            <w:pPr>
              <w:jc w:val="right"/>
              <w:rPr>
                <w:sz w:val="16"/>
                <w:szCs w:val="16"/>
              </w:rPr>
            </w:pPr>
            <w:r w:rsidRPr="006B42D6">
              <w:rPr>
                <w:sz w:val="16"/>
                <w:szCs w:val="16"/>
              </w:rPr>
              <w:t>123</w:t>
            </w:r>
          </w:p>
        </w:tc>
      </w:tr>
      <w:tr w:rsidR="006B42D6" w:rsidRPr="006B42D6" w14:paraId="2432E33A" w14:textId="77777777" w:rsidTr="00216F13">
        <w:trPr>
          <w:trHeight w:val="312"/>
        </w:trPr>
        <w:tc>
          <w:tcPr>
            <w:tcW w:w="1711" w:type="dxa"/>
            <w:tcBorders>
              <w:top w:val="nil"/>
              <w:left w:val="nil"/>
              <w:bottom w:val="nil"/>
            </w:tcBorders>
            <w:shd w:val="clear" w:color="auto" w:fill="auto"/>
            <w:noWrap/>
            <w:vAlign w:val="bottom"/>
            <w:hideMark/>
          </w:tcPr>
          <w:p w14:paraId="7939629E" w14:textId="7E81A889" w:rsidR="00895A1D" w:rsidRPr="006B42D6" w:rsidRDefault="00895A1D" w:rsidP="00BE0494">
            <w:pPr>
              <w:jc w:val="left"/>
              <w:rPr>
                <w:sz w:val="16"/>
                <w:szCs w:val="16"/>
              </w:rPr>
            </w:pPr>
            <w:r w:rsidRPr="006B42D6">
              <w:rPr>
                <w:sz w:val="16"/>
                <w:szCs w:val="16"/>
              </w:rPr>
              <w:t>Songwe</w:t>
            </w:r>
          </w:p>
        </w:tc>
        <w:tc>
          <w:tcPr>
            <w:tcW w:w="1054" w:type="dxa"/>
            <w:tcBorders>
              <w:top w:val="nil"/>
              <w:bottom w:val="nil"/>
              <w:right w:val="nil"/>
            </w:tcBorders>
            <w:shd w:val="clear" w:color="auto" w:fill="auto"/>
            <w:noWrap/>
            <w:vAlign w:val="bottom"/>
            <w:hideMark/>
          </w:tcPr>
          <w:p w14:paraId="29894030" w14:textId="4FB7DA4D" w:rsidR="00895A1D" w:rsidRPr="006B42D6" w:rsidRDefault="00895A1D" w:rsidP="00895A1D">
            <w:pPr>
              <w:jc w:val="right"/>
              <w:rPr>
                <w:sz w:val="16"/>
                <w:szCs w:val="16"/>
              </w:rPr>
            </w:pPr>
            <w:r w:rsidRPr="006B42D6">
              <w:rPr>
                <w:sz w:val="16"/>
                <w:szCs w:val="16"/>
              </w:rPr>
              <w:t>1,060</w:t>
            </w:r>
          </w:p>
        </w:tc>
        <w:tc>
          <w:tcPr>
            <w:tcW w:w="1020" w:type="dxa"/>
            <w:tcBorders>
              <w:top w:val="nil"/>
              <w:left w:val="nil"/>
              <w:bottom w:val="nil"/>
              <w:right w:val="nil"/>
            </w:tcBorders>
            <w:shd w:val="clear" w:color="auto" w:fill="auto"/>
            <w:noWrap/>
            <w:vAlign w:val="bottom"/>
            <w:hideMark/>
          </w:tcPr>
          <w:p w14:paraId="11703480" w14:textId="0D4AC41D" w:rsidR="00895A1D" w:rsidRPr="006B42D6" w:rsidRDefault="00895A1D" w:rsidP="00895A1D">
            <w:pPr>
              <w:jc w:val="right"/>
              <w:rPr>
                <w:sz w:val="16"/>
                <w:szCs w:val="16"/>
              </w:rPr>
            </w:pPr>
            <w:r w:rsidRPr="006B42D6">
              <w:rPr>
                <w:sz w:val="16"/>
                <w:szCs w:val="16"/>
              </w:rPr>
              <w:t>1</w:t>
            </w:r>
          </w:p>
        </w:tc>
        <w:tc>
          <w:tcPr>
            <w:tcW w:w="1054" w:type="dxa"/>
            <w:tcBorders>
              <w:top w:val="nil"/>
              <w:left w:val="nil"/>
              <w:bottom w:val="nil"/>
              <w:right w:val="nil"/>
            </w:tcBorders>
            <w:shd w:val="clear" w:color="auto" w:fill="auto"/>
            <w:noWrap/>
            <w:vAlign w:val="bottom"/>
            <w:hideMark/>
          </w:tcPr>
          <w:p w14:paraId="189ADBC8" w14:textId="5817F19F" w:rsidR="00895A1D" w:rsidRPr="006B42D6" w:rsidRDefault="00895A1D" w:rsidP="00895A1D">
            <w:pPr>
              <w:jc w:val="right"/>
              <w:rPr>
                <w:sz w:val="16"/>
                <w:szCs w:val="16"/>
              </w:rPr>
            </w:pPr>
            <w:r w:rsidRPr="006B42D6">
              <w:rPr>
                <w:sz w:val="16"/>
                <w:szCs w:val="16"/>
              </w:rPr>
              <w:t>-</w:t>
            </w:r>
          </w:p>
        </w:tc>
        <w:tc>
          <w:tcPr>
            <w:tcW w:w="1400" w:type="dxa"/>
            <w:tcBorders>
              <w:top w:val="nil"/>
              <w:left w:val="nil"/>
              <w:bottom w:val="nil"/>
              <w:right w:val="nil"/>
            </w:tcBorders>
            <w:shd w:val="clear" w:color="auto" w:fill="auto"/>
            <w:noWrap/>
            <w:vAlign w:val="bottom"/>
            <w:hideMark/>
          </w:tcPr>
          <w:p w14:paraId="07EE53DD" w14:textId="106231AC" w:rsidR="00895A1D" w:rsidRPr="006B42D6" w:rsidRDefault="00895A1D" w:rsidP="00895A1D">
            <w:pPr>
              <w:jc w:val="right"/>
              <w:rPr>
                <w:sz w:val="16"/>
                <w:szCs w:val="16"/>
              </w:rPr>
            </w:pPr>
            <w:r w:rsidRPr="006B42D6">
              <w:rPr>
                <w:sz w:val="16"/>
                <w:szCs w:val="16"/>
              </w:rPr>
              <w:t>-</w:t>
            </w:r>
          </w:p>
        </w:tc>
        <w:tc>
          <w:tcPr>
            <w:tcW w:w="1296" w:type="dxa"/>
            <w:tcBorders>
              <w:top w:val="nil"/>
              <w:left w:val="nil"/>
              <w:bottom w:val="nil"/>
              <w:right w:val="nil"/>
            </w:tcBorders>
            <w:shd w:val="clear" w:color="auto" w:fill="auto"/>
            <w:noWrap/>
            <w:vAlign w:val="bottom"/>
            <w:hideMark/>
          </w:tcPr>
          <w:p w14:paraId="5D13EE58" w14:textId="18AC19F0" w:rsidR="00895A1D" w:rsidRPr="006B42D6" w:rsidRDefault="00895A1D" w:rsidP="00895A1D">
            <w:pPr>
              <w:jc w:val="right"/>
              <w:rPr>
                <w:sz w:val="16"/>
                <w:szCs w:val="16"/>
              </w:rPr>
            </w:pPr>
            <w:r w:rsidRPr="006B42D6">
              <w:rPr>
                <w:sz w:val="16"/>
                <w:szCs w:val="16"/>
              </w:rPr>
              <w:t>1</w:t>
            </w:r>
          </w:p>
        </w:tc>
        <w:tc>
          <w:tcPr>
            <w:tcW w:w="951" w:type="dxa"/>
            <w:tcBorders>
              <w:top w:val="nil"/>
              <w:left w:val="nil"/>
              <w:bottom w:val="nil"/>
              <w:right w:val="nil"/>
            </w:tcBorders>
            <w:shd w:val="clear" w:color="auto" w:fill="auto"/>
            <w:noWrap/>
            <w:vAlign w:val="bottom"/>
            <w:hideMark/>
          </w:tcPr>
          <w:p w14:paraId="60AB947C" w14:textId="4C005345" w:rsidR="00895A1D" w:rsidRPr="006B42D6" w:rsidRDefault="00895A1D" w:rsidP="00895A1D">
            <w:pPr>
              <w:jc w:val="right"/>
              <w:rPr>
                <w:sz w:val="16"/>
                <w:szCs w:val="16"/>
              </w:rPr>
            </w:pPr>
            <w:r w:rsidRPr="006B42D6">
              <w:rPr>
                <w:sz w:val="16"/>
                <w:szCs w:val="16"/>
              </w:rPr>
              <w:t>-</w:t>
            </w:r>
          </w:p>
        </w:tc>
        <w:tc>
          <w:tcPr>
            <w:tcW w:w="954" w:type="dxa"/>
            <w:tcBorders>
              <w:top w:val="nil"/>
              <w:left w:val="nil"/>
              <w:bottom w:val="nil"/>
              <w:right w:val="nil"/>
            </w:tcBorders>
            <w:shd w:val="clear" w:color="auto" w:fill="auto"/>
            <w:noWrap/>
            <w:vAlign w:val="bottom"/>
            <w:hideMark/>
          </w:tcPr>
          <w:p w14:paraId="316C562E" w14:textId="3CBC9480" w:rsidR="00895A1D" w:rsidRPr="006B42D6" w:rsidRDefault="00895A1D" w:rsidP="00895A1D">
            <w:pPr>
              <w:jc w:val="right"/>
              <w:rPr>
                <w:sz w:val="16"/>
                <w:szCs w:val="16"/>
              </w:rPr>
            </w:pPr>
            <w:r w:rsidRPr="006B42D6">
              <w:rPr>
                <w:sz w:val="16"/>
                <w:szCs w:val="16"/>
              </w:rPr>
              <w:t>-</w:t>
            </w:r>
          </w:p>
        </w:tc>
      </w:tr>
      <w:tr w:rsidR="006B42D6" w:rsidRPr="006B42D6" w14:paraId="219768E7" w14:textId="77777777" w:rsidTr="00216F13">
        <w:trPr>
          <w:trHeight w:val="312"/>
        </w:trPr>
        <w:tc>
          <w:tcPr>
            <w:tcW w:w="1711" w:type="dxa"/>
            <w:tcBorders>
              <w:top w:val="single" w:sz="4" w:space="0" w:color="auto"/>
              <w:left w:val="nil"/>
              <w:bottom w:val="single" w:sz="4" w:space="0" w:color="auto"/>
            </w:tcBorders>
            <w:shd w:val="clear" w:color="auto" w:fill="E2EFD9" w:themeFill="accent6" w:themeFillTint="33"/>
            <w:noWrap/>
            <w:vAlign w:val="bottom"/>
            <w:hideMark/>
          </w:tcPr>
          <w:p w14:paraId="4F43EA9B" w14:textId="5217599E" w:rsidR="00895A1D" w:rsidRPr="006B42D6" w:rsidRDefault="00EA1552" w:rsidP="00BE0494">
            <w:pPr>
              <w:jc w:val="left"/>
              <w:rPr>
                <w:b/>
                <w:bCs/>
                <w:sz w:val="16"/>
                <w:szCs w:val="16"/>
              </w:rPr>
            </w:pPr>
            <w:r>
              <w:rPr>
                <w:b/>
                <w:bCs/>
                <w:sz w:val="16"/>
                <w:szCs w:val="16"/>
              </w:rPr>
              <w:t>Mainland Tanzania</w:t>
            </w:r>
          </w:p>
        </w:tc>
        <w:tc>
          <w:tcPr>
            <w:tcW w:w="1054" w:type="dxa"/>
            <w:tcBorders>
              <w:top w:val="single" w:sz="4" w:space="0" w:color="auto"/>
              <w:bottom w:val="single" w:sz="4" w:space="0" w:color="auto"/>
              <w:right w:val="nil"/>
            </w:tcBorders>
            <w:shd w:val="clear" w:color="auto" w:fill="E2EFD9" w:themeFill="accent6" w:themeFillTint="33"/>
            <w:noWrap/>
            <w:vAlign w:val="bottom"/>
            <w:hideMark/>
          </w:tcPr>
          <w:p w14:paraId="7B8C2189" w14:textId="0E4C1FBE" w:rsidR="00895A1D" w:rsidRPr="006B42D6" w:rsidRDefault="00895A1D" w:rsidP="00895A1D">
            <w:pPr>
              <w:jc w:val="right"/>
              <w:rPr>
                <w:b/>
                <w:bCs/>
                <w:sz w:val="16"/>
                <w:szCs w:val="16"/>
              </w:rPr>
            </w:pPr>
            <w:r w:rsidRPr="006B42D6">
              <w:rPr>
                <w:b/>
                <w:bCs/>
                <w:sz w:val="16"/>
                <w:szCs w:val="16"/>
              </w:rPr>
              <w:t>85,336</w:t>
            </w:r>
          </w:p>
        </w:tc>
        <w:tc>
          <w:tcPr>
            <w:tcW w:w="1020" w:type="dxa"/>
            <w:tcBorders>
              <w:top w:val="single" w:sz="4" w:space="0" w:color="auto"/>
              <w:left w:val="nil"/>
              <w:bottom w:val="single" w:sz="4" w:space="0" w:color="auto"/>
              <w:right w:val="nil"/>
            </w:tcBorders>
            <w:shd w:val="clear" w:color="auto" w:fill="E2EFD9" w:themeFill="accent6" w:themeFillTint="33"/>
            <w:noWrap/>
            <w:vAlign w:val="bottom"/>
            <w:hideMark/>
          </w:tcPr>
          <w:p w14:paraId="49EF6DD2" w14:textId="25C83634" w:rsidR="00895A1D" w:rsidRPr="006B42D6" w:rsidRDefault="00895A1D" w:rsidP="00895A1D">
            <w:pPr>
              <w:jc w:val="right"/>
              <w:rPr>
                <w:b/>
                <w:bCs/>
                <w:sz w:val="16"/>
                <w:szCs w:val="16"/>
              </w:rPr>
            </w:pPr>
            <w:r w:rsidRPr="006B42D6">
              <w:rPr>
                <w:b/>
                <w:bCs/>
                <w:sz w:val="16"/>
                <w:szCs w:val="16"/>
              </w:rPr>
              <w:t>22,046</w:t>
            </w:r>
          </w:p>
        </w:tc>
        <w:tc>
          <w:tcPr>
            <w:tcW w:w="1054" w:type="dxa"/>
            <w:tcBorders>
              <w:top w:val="single" w:sz="4" w:space="0" w:color="auto"/>
              <w:left w:val="nil"/>
              <w:bottom w:val="single" w:sz="4" w:space="0" w:color="auto"/>
              <w:right w:val="nil"/>
            </w:tcBorders>
            <w:shd w:val="clear" w:color="auto" w:fill="E2EFD9" w:themeFill="accent6" w:themeFillTint="33"/>
            <w:noWrap/>
            <w:vAlign w:val="bottom"/>
            <w:hideMark/>
          </w:tcPr>
          <w:p w14:paraId="0154DE3F" w14:textId="45A39685" w:rsidR="00895A1D" w:rsidRPr="006B42D6" w:rsidRDefault="00895A1D" w:rsidP="00895A1D">
            <w:pPr>
              <w:jc w:val="right"/>
              <w:rPr>
                <w:b/>
                <w:bCs/>
                <w:sz w:val="16"/>
                <w:szCs w:val="16"/>
              </w:rPr>
            </w:pPr>
            <w:r w:rsidRPr="006B42D6">
              <w:rPr>
                <w:b/>
                <w:bCs/>
                <w:sz w:val="16"/>
                <w:szCs w:val="16"/>
              </w:rPr>
              <w:t>143,070</w:t>
            </w:r>
          </w:p>
        </w:tc>
        <w:tc>
          <w:tcPr>
            <w:tcW w:w="1400" w:type="dxa"/>
            <w:tcBorders>
              <w:top w:val="single" w:sz="4" w:space="0" w:color="auto"/>
              <w:left w:val="nil"/>
              <w:bottom w:val="single" w:sz="4" w:space="0" w:color="auto"/>
              <w:right w:val="nil"/>
            </w:tcBorders>
            <w:shd w:val="clear" w:color="auto" w:fill="E2EFD9" w:themeFill="accent6" w:themeFillTint="33"/>
            <w:noWrap/>
            <w:vAlign w:val="bottom"/>
            <w:hideMark/>
          </w:tcPr>
          <w:p w14:paraId="2FDEB8E8" w14:textId="3141B98C" w:rsidR="00895A1D" w:rsidRPr="006B42D6" w:rsidRDefault="00895A1D" w:rsidP="00895A1D">
            <w:pPr>
              <w:jc w:val="right"/>
              <w:rPr>
                <w:b/>
                <w:bCs/>
                <w:sz w:val="16"/>
                <w:szCs w:val="16"/>
              </w:rPr>
            </w:pPr>
            <w:r w:rsidRPr="006B42D6">
              <w:rPr>
                <w:b/>
                <w:bCs/>
                <w:sz w:val="16"/>
                <w:szCs w:val="16"/>
              </w:rPr>
              <w:t>24,408</w:t>
            </w:r>
          </w:p>
        </w:tc>
        <w:tc>
          <w:tcPr>
            <w:tcW w:w="1296" w:type="dxa"/>
            <w:tcBorders>
              <w:top w:val="single" w:sz="4" w:space="0" w:color="auto"/>
              <w:left w:val="nil"/>
              <w:bottom w:val="single" w:sz="4" w:space="0" w:color="auto"/>
              <w:right w:val="nil"/>
            </w:tcBorders>
            <w:shd w:val="clear" w:color="auto" w:fill="E2EFD9" w:themeFill="accent6" w:themeFillTint="33"/>
            <w:noWrap/>
            <w:vAlign w:val="bottom"/>
            <w:hideMark/>
          </w:tcPr>
          <w:p w14:paraId="0E686198" w14:textId="35CB21AF" w:rsidR="00895A1D" w:rsidRPr="006B42D6" w:rsidRDefault="00895A1D" w:rsidP="00895A1D">
            <w:pPr>
              <w:jc w:val="right"/>
              <w:rPr>
                <w:b/>
                <w:bCs/>
                <w:sz w:val="16"/>
                <w:szCs w:val="16"/>
              </w:rPr>
            </w:pPr>
            <w:r w:rsidRPr="006B42D6">
              <w:rPr>
                <w:b/>
                <w:bCs/>
                <w:sz w:val="16"/>
                <w:szCs w:val="16"/>
              </w:rPr>
              <w:t>46,454</w:t>
            </w:r>
          </w:p>
        </w:tc>
        <w:tc>
          <w:tcPr>
            <w:tcW w:w="951" w:type="dxa"/>
            <w:tcBorders>
              <w:top w:val="single" w:sz="4" w:space="0" w:color="auto"/>
              <w:left w:val="nil"/>
              <w:bottom w:val="single" w:sz="4" w:space="0" w:color="auto"/>
              <w:right w:val="nil"/>
            </w:tcBorders>
            <w:shd w:val="clear" w:color="auto" w:fill="E2EFD9" w:themeFill="accent6" w:themeFillTint="33"/>
            <w:noWrap/>
            <w:vAlign w:val="bottom"/>
            <w:hideMark/>
          </w:tcPr>
          <w:p w14:paraId="5574C3DF" w14:textId="141DB0AC" w:rsidR="00895A1D" w:rsidRPr="006B42D6" w:rsidRDefault="00895A1D" w:rsidP="00895A1D">
            <w:pPr>
              <w:jc w:val="right"/>
              <w:rPr>
                <w:b/>
                <w:bCs/>
                <w:sz w:val="16"/>
                <w:szCs w:val="16"/>
              </w:rPr>
            </w:pPr>
            <w:r w:rsidRPr="006B42D6">
              <w:rPr>
                <w:b/>
                <w:bCs/>
                <w:sz w:val="16"/>
                <w:szCs w:val="16"/>
              </w:rPr>
              <w:t>24,627</w:t>
            </w:r>
          </w:p>
        </w:tc>
        <w:tc>
          <w:tcPr>
            <w:tcW w:w="954" w:type="dxa"/>
            <w:tcBorders>
              <w:top w:val="single" w:sz="4" w:space="0" w:color="auto"/>
              <w:left w:val="nil"/>
              <w:bottom w:val="single" w:sz="4" w:space="0" w:color="auto"/>
              <w:right w:val="nil"/>
            </w:tcBorders>
            <w:shd w:val="clear" w:color="auto" w:fill="E2EFD9" w:themeFill="accent6" w:themeFillTint="33"/>
            <w:noWrap/>
            <w:vAlign w:val="bottom"/>
            <w:hideMark/>
          </w:tcPr>
          <w:p w14:paraId="7B8B1451" w14:textId="340A97EB" w:rsidR="00895A1D" w:rsidRPr="006B42D6" w:rsidRDefault="00895A1D" w:rsidP="00895A1D">
            <w:pPr>
              <w:jc w:val="right"/>
              <w:rPr>
                <w:b/>
                <w:bCs/>
                <w:sz w:val="16"/>
                <w:szCs w:val="16"/>
              </w:rPr>
            </w:pPr>
            <w:r w:rsidRPr="006B42D6">
              <w:rPr>
                <w:b/>
                <w:bCs/>
                <w:sz w:val="16"/>
                <w:szCs w:val="16"/>
              </w:rPr>
              <w:t>151,769</w:t>
            </w:r>
          </w:p>
        </w:tc>
      </w:tr>
      <w:tr w:rsidR="006B42D6" w:rsidRPr="006B42D6" w14:paraId="61D71A5F" w14:textId="77777777" w:rsidTr="00216F13">
        <w:trPr>
          <w:trHeight w:val="312"/>
        </w:trPr>
        <w:tc>
          <w:tcPr>
            <w:tcW w:w="1711" w:type="dxa"/>
            <w:tcBorders>
              <w:top w:val="nil"/>
              <w:left w:val="nil"/>
              <w:bottom w:val="nil"/>
            </w:tcBorders>
            <w:shd w:val="clear" w:color="auto" w:fill="auto"/>
            <w:noWrap/>
            <w:vAlign w:val="bottom"/>
            <w:hideMark/>
          </w:tcPr>
          <w:p w14:paraId="48A03AF6" w14:textId="7E855E44" w:rsidR="00895A1D" w:rsidRPr="006B42D6" w:rsidRDefault="00895A1D" w:rsidP="00BE0494">
            <w:pPr>
              <w:jc w:val="left"/>
              <w:rPr>
                <w:sz w:val="16"/>
                <w:szCs w:val="16"/>
              </w:rPr>
            </w:pPr>
            <w:r w:rsidRPr="006B42D6">
              <w:rPr>
                <w:sz w:val="16"/>
                <w:szCs w:val="16"/>
              </w:rPr>
              <w:t>Kaskazini Unguja</w:t>
            </w:r>
          </w:p>
        </w:tc>
        <w:tc>
          <w:tcPr>
            <w:tcW w:w="1054" w:type="dxa"/>
            <w:tcBorders>
              <w:top w:val="nil"/>
              <w:bottom w:val="nil"/>
              <w:right w:val="nil"/>
            </w:tcBorders>
            <w:shd w:val="clear" w:color="auto" w:fill="auto"/>
            <w:noWrap/>
            <w:vAlign w:val="bottom"/>
            <w:hideMark/>
          </w:tcPr>
          <w:p w14:paraId="4602CF6D" w14:textId="76131752" w:rsidR="00895A1D" w:rsidRPr="006B42D6" w:rsidRDefault="00895A1D" w:rsidP="00895A1D">
            <w:pPr>
              <w:jc w:val="right"/>
              <w:rPr>
                <w:sz w:val="16"/>
                <w:szCs w:val="16"/>
              </w:rPr>
            </w:pPr>
            <w:r w:rsidRPr="006B42D6">
              <w:rPr>
                <w:sz w:val="16"/>
                <w:szCs w:val="16"/>
              </w:rPr>
              <w:t>539</w:t>
            </w:r>
          </w:p>
        </w:tc>
        <w:tc>
          <w:tcPr>
            <w:tcW w:w="1020" w:type="dxa"/>
            <w:tcBorders>
              <w:top w:val="nil"/>
              <w:left w:val="nil"/>
              <w:bottom w:val="nil"/>
              <w:right w:val="nil"/>
            </w:tcBorders>
            <w:shd w:val="clear" w:color="auto" w:fill="auto"/>
            <w:noWrap/>
            <w:vAlign w:val="bottom"/>
            <w:hideMark/>
          </w:tcPr>
          <w:p w14:paraId="74DC5D30" w14:textId="26A9DEA1" w:rsidR="00895A1D" w:rsidRPr="006B42D6" w:rsidRDefault="00895A1D" w:rsidP="00895A1D">
            <w:pPr>
              <w:jc w:val="right"/>
              <w:rPr>
                <w:sz w:val="16"/>
                <w:szCs w:val="16"/>
              </w:rPr>
            </w:pPr>
            <w:r w:rsidRPr="006B42D6">
              <w:rPr>
                <w:sz w:val="16"/>
                <w:szCs w:val="16"/>
              </w:rPr>
              <w:t>91</w:t>
            </w:r>
          </w:p>
        </w:tc>
        <w:tc>
          <w:tcPr>
            <w:tcW w:w="1054" w:type="dxa"/>
            <w:tcBorders>
              <w:top w:val="nil"/>
              <w:left w:val="nil"/>
              <w:bottom w:val="nil"/>
              <w:right w:val="nil"/>
            </w:tcBorders>
            <w:shd w:val="clear" w:color="auto" w:fill="auto"/>
            <w:noWrap/>
            <w:vAlign w:val="bottom"/>
            <w:hideMark/>
          </w:tcPr>
          <w:p w14:paraId="44EFFD6A" w14:textId="5A56EEC8" w:rsidR="00895A1D" w:rsidRPr="006B42D6" w:rsidRDefault="00895A1D" w:rsidP="00895A1D">
            <w:pPr>
              <w:jc w:val="right"/>
              <w:rPr>
                <w:sz w:val="16"/>
                <w:szCs w:val="16"/>
              </w:rPr>
            </w:pPr>
            <w:r w:rsidRPr="006B42D6">
              <w:rPr>
                <w:sz w:val="16"/>
                <w:szCs w:val="16"/>
              </w:rPr>
              <w:t>1,271</w:t>
            </w:r>
          </w:p>
        </w:tc>
        <w:tc>
          <w:tcPr>
            <w:tcW w:w="1400" w:type="dxa"/>
            <w:tcBorders>
              <w:top w:val="nil"/>
              <w:left w:val="nil"/>
              <w:bottom w:val="nil"/>
              <w:right w:val="nil"/>
            </w:tcBorders>
            <w:shd w:val="clear" w:color="auto" w:fill="auto"/>
            <w:noWrap/>
            <w:vAlign w:val="bottom"/>
            <w:hideMark/>
          </w:tcPr>
          <w:p w14:paraId="45D99277" w14:textId="058002E7" w:rsidR="00895A1D" w:rsidRPr="006B42D6" w:rsidRDefault="00895A1D" w:rsidP="00895A1D">
            <w:pPr>
              <w:jc w:val="right"/>
              <w:rPr>
                <w:sz w:val="16"/>
                <w:szCs w:val="16"/>
              </w:rPr>
            </w:pPr>
            <w:r w:rsidRPr="006B42D6">
              <w:rPr>
                <w:sz w:val="16"/>
                <w:szCs w:val="16"/>
              </w:rPr>
              <w:t>58</w:t>
            </w:r>
          </w:p>
        </w:tc>
        <w:tc>
          <w:tcPr>
            <w:tcW w:w="1296" w:type="dxa"/>
            <w:tcBorders>
              <w:top w:val="nil"/>
              <w:left w:val="nil"/>
              <w:bottom w:val="nil"/>
              <w:right w:val="nil"/>
            </w:tcBorders>
            <w:shd w:val="clear" w:color="auto" w:fill="auto"/>
            <w:noWrap/>
            <w:vAlign w:val="bottom"/>
            <w:hideMark/>
          </w:tcPr>
          <w:p w14:paraId="46D4B998" w14:textId="541CBE8A" w:rsidR="00895A1D" w:rsidRPr="006B42D6" w:rsidRDefault="00895A1D" w:rsidP="00895A1D">
            <w:pPr>
              <w:jc w:val="right"/>
              <w:rPr>
                <w:sz w:val="16"/>
                <w:szCs w:val="16"/>
              </w:rPr>
            </w:pPr>
            <w:r w:rsidRPr="006B42D6">
              <w:rPr>
                <w:sz w:val="16"/>
                <w:szCs w:val="16"/>
              </w:rPr>
              <w:t>149</w:t>
            </w:r>
          </w:p>
        </w:tc>
        <w:tc>
          <w:tcPr>
            <w:tcW w:w="951" w:type="dxa"/>
            <w:tcBorders>
              <w:top w:val="nil"/>
              <w:left w:val="nil"/>
              <w:bottom w:val="nil"/>
              <w:right w:val="nil"/>
            </w:tcBorders>
            <w:shd w:val="clear" w:color="auto" w:fill="auto"/>
            <w:noWrap/>
            <w:vAlign w:val="bottom"/>
            <w:hideMark/>
          </w:tcPr>
          <w:p w14:paraId="69E0D84E" w14:textId="793DCD37" w:rsidR="00895A1D" w:rsidRPr="006B42D6" w:rsidRDefault="00895A1D" w:rsidP="00895A1D">
            <w:pPr>
              <w:jc w:val="right"/>
              <w:rPr>
                <w:sz w:val="16"/>
                <w:szCs w:val="16"/>
              </w:rPr>
            </w:pPr>
            <w:r w:rsidRPr="006B42D6">
              <w:rPr>
                <w:sz w:val="16"/>
                <w:szCs w:val="16"/>
              </w:rPr>
              <w:t>63</w:t>
            </w:r>
          </w:p>
        </w:tc>
        <w:tc>
          <w:tcPr>
            <w:tcW w:w="954" w:type="dxa"/>
            <w:tcBorders>
              <w:top w:val="nil"/>
              <w:left w:val="nil"/>
              <w:bottom w:val="nil"/>
              <w:right w:val="nil"/>
            </w:tcBorders>
            <w:shd w:val="clear" w:color="auto" w:fill="auto"/>
            <w:noWrap/>
            <w:vAlign w:val="bottom"/>
            <w:hideMark/>
          </w:tcPr>
          <w:p w14:paraId="71D70B3D" w14:textId="5D09A164" w:rsidR="00895A1D" w:rsidRPr="006B42D6" w:rsidRDefault="00895A1D" w:rsidP="00895A1D">
            <w:pPr>
              <w:jc w:val="right"/>
              <w:rPr>
                <w:sz w:val="16"/>
                <w:szCs w:val="16"/>
              </w:rPr>
            </w:pPr>
            <w:r w:rsidRPr="006B42D6">
              <w:rPr>
                <w:sz w:val="16"/>
                <w:szCs w:val="16"/>
              </w:rPr>
              <w:t>639</w:t>
            </w:r>
          </w:p>
        </w:tc>
      </w:tr>
      <w:tr w:rsidR="006B42D6" w:rsidRPr="006B42D6" w14:paraId="02A420BF" w14:textId="77777777" w:rsidTr="00216F13">
        <w:trPr>
          <w:trHeight w:val="312"/>
        </w:trPr>
        <w:tc>
          <w:tcPr>
            <w:tcW w:w="1711" w:type="dxa"/>
            <w:tcBorders>
              <w:top w:val="nil"/>
              <w:left w:val="nil"/>
              <w:bottom w:val="nil"/>
            </w:tcBorders>
            <w:shd w:val="clear" w:color="auto" w:fill="auto"/>
            <w:noWrap/>
            <w:vAlign w:val="bottom"/>
            <w:hideMark/>
          </w:tcPr>
          <w:p w14:paraId="141B880E" w14:textId="4FAB588D" w:rsidR="00895A1D" w:rsidRPr="006B42D6" w:rsidRDefault="00895A1D" w:rsidP="00BE0494">
            <w:pPr>
              <w:jc w:val="left"/>
              <w:rPr>
                <w:sz w:val="16"/>
                <w:szCs w:val="16"/>
              </w:rPr>
            </w:pPr>
            <w:r w:rsidRPr="006B42D6">
              <w:rPr>
                <w:sz w:val="16"/>
                <w:szCs w:val="16"/>
              </w:rPr>
              <w:t>Kusini Unguja</w:t>
            </w:r>
          </w:p>
        </w:tc>
        <w:tc>
          <w:tcPr>
            <w:tcW w:w="1054" w:type="dxa"/>
            <w:tcBorders>
              <w:top w:val="nil"/>
              <w:bottom w:val="nil"/>
              <w:right w:val="nil"/>
            </w:tcBorders>
            <w:shd w:val="clear" w:color="auto" w:fill="auto"/>
            <w:noWrap/>
            <w:vAlign w:val="bottom"/>
            <w:hideMark/>
          </w:tcPr>
          <w:p w14:paraId="7F3F36E2" w14:textId="5E0FC267" w:rsidR="00895A1D" w:rsidRPr="006B42D6" w:rsidRDefault="00895A1D" w:rsidP="00895A1D">
            <w:pPr>
              <w:jc w:val="right"/>
              <w:rPr>
                <w:sz w:val="16"/>
                <w:szCs w:val="16"/>
              </w:rPr>
            </w:pPr>
            <w:r w:rsidRPr="006B42D6">
              <w:rPr>
                <w:sz w:val="16"/>
                <w:szCs w:val="16"/>
              </w:rPr>
              <w:t>560</w:t>
            </w:r>
          </w:p>
        </w:tc>
        <w:tc>
          <w:tcPr>
            <w:tcW w:w="1020" w:type="dxa"/>
            <w:tcBorders>
              <w:top w:val="nil"/>
              <w:left w:val="nil"/>
              <w:bottom w:val="nil"/>
              <w:right w:val="nil"/>
            </w:tcBorders>
            <w:shd w:val="clear" w:color="auto" w:fill="auto"/>
            <w:noWrap/>
            <w:vAlign w:val="bottom"/>
            <w:hideMark/>
          </w:tcPr>
          <w:p w14:paraId="372965FA" w14:textId="644D8FCF" w:rsidR="00895A1D" w:rsidRPr="006B42D6" w:rsidRDefault="00895A1D" w:rsidP="00895A1D">
            <w:pPr>
              <w:jc w:val="right"/>
              <w:rPr>
                <w:sz w:val="16"/>
                <w:szCs w:val="16"/>
              </w:rPr>
            </w:pPr>
            <w:r w:rsidRPr="006B42D6">
              <w:rPr>
                <w:sz w:val="16"/>
                <w:szCs w:val="16"/>
              </w:rPr>
              <w:t>66</w:t>
            </w:r>
          </w:p>
        </w:tc>
        <w:tc>
          <w:tcPr>
            <w:tcW w:w="1054" w:type="dxa"/>
            <w:tcBorders>
              <w:top w:val="nil"/>
              <w:left w:val="nil"/>
              <w:bottom w:val="nil"/>
              <w:right w:val="nil"/>
            </w:tcBorders>
            <w:shd w:val="clear" w:color="auto" w:fill="auto"/>
            <w:noWrap/>
            <w:vAlign w:val="bottom"/>
            <w:hideMark/>
          </w:tcPr>
          <w:p w14:paraId="4A39F49F" w14:textId="31C1791B" w:rsidR="00895A1D" w:rsidRPr="006B42D6" w:rsidRDefault="00895A1D" w:rsidP="00895A1D">
            <w:pPr>
              <w:jc w:val="right"/>
              <w:rPr>
                <w:sz w:val="16"/>
                <w:szCs w:val="16"/>
              </w:rPr>
            </w:pPr>
            <w:r w:rsidRPr="006B42D6">
              <w:rPr>
                <w:sz w:val="16"/>
                <w:szCs w:val="16"/>
              </w:rPr>
              <w:t>2,280</w:t>
            </w:r>
          </w:p>
        </w:tc>
        <w:tc>
          <w:tcPr>
            <w:tcW w:w="1400" w:type="dxa"/>
            <w:tcBorders>
              <w:top w:val="nil"/>
              <w:left w:val="nil"/>
              <w:bottom w:val="nil"/>
              <w:right w:val="nil"/>
            </w:tcBorders>
            <w:shd w:val="clear" w:color="auto" w:fill="auto"/>
            <w:noWrap/>
            <w:vAlign w:val="bottom"/>
            <w:hideMark/>
          </w:tcPr>
          <w:p w14:paraId="2C6A5892" w14:textId="2172793F" w:rsidR="00895A1D" w:rsidRPr="006B42D6" w:rsidRDefault="00895A1D" w:rsidP="00895A1D">
            <w:pPr>
              <w:jc w:val="right"/>
              <w:rPr>
                <w:sz w:val="16"/>
                <w:szCs w:val="16"/>
              </w:rPr>
            </w:pPr>
            <w:r w:rsidRPr="006B42D6">
              <w:rPr>
                <w:sz w:val="16"/>
                <w:szCs w:val="16"/>
              </w:rPr>
              <w:t>318</w:t>
            </w:r>
          </w:p>
        </w:tc>
        <w:tc>
          <w:tcPr>
            <w:tcW w:w="1296" w:type="dxa"/>
            <w:tcBorders>
              <w:top w:val="nil"/>
              <w:left w:val="nil"/>
              <w:bottom w:val="nil"/>
              <w:right w:val="nil"/>
            </w:tcBorders>
            <w:shd w:val="clear" w:color="auto" w:fill="auto"/>
            <w:noWrap/>
            <w:vAlign w:val="bottom"/>
            <w:hideMark/>
          </w:tcPr>
          <w:p w14:paraId="06D4A698" w14:textId="491E31AC" w:rsidR="00895A1D" w:rsidRPr="006B42D6" w:rsidRDefault="00895A1D" w:rsidP="00895A1D">
            <w:pPr>
              <w:jc w:val="right"/>
              <w:rPr>
                <w:sz w:val="16"/>
                <w:szCs w:val="16"/>
              </w:rPr>
            </w:pPr>
            <w:r w:rsidRPr="006B42D6">
              <w:rPr>
                <w:sz w:val="16"/>
                <w:szCs w:val="16"/>
              </w:rPr>
              <w:t>384</w:t>
            </w:r>
          </w:p>
        </w:tc>
        <w:tc>
          <w:tcPr>
            <w:tcW w:w="951" w:type="dxa"/>
            <w:tcBorders>
              <w:top w:val="nil"/>
              <w:left w:val="nil"/>
              <w:bottom w:val="nil"/>
              <w:right w:val="nil"/>
            </w:tcBorders>
            <w:shd w:val="clear" w:color="auto" w:fill="auto"/>
            <w:noWrap/>
            <w:vAlign w:val="bottom"/>
            <w:hideMark/>
          </w:tcPr>
          <w:p w14:paraId="2707C89F" w14:textId="75D6F9EA" w:rsidR="00895A1D" w:rsidRPr="006B42D6" w:rsidRDefault="00895A1D" w:rsidP="00895A1D">
            <w:pPr>
              <w:jc w:val="right"/>
              <w:rPr>
                <w:sz w:val="16"/>
                <w:szCs w:val="16"/>
              </w:rPr>
            </w:pPr>
            <w:r w:rsidRPr="006B42D6">
              <w:rPr>
                <w:sz w:val="16"/>
                <w:szCs w:val="16"/>
              </w:rPr>
              <w:t>260</w:t>
            </w:r>
          </w:p>
        </w:tc>
        <w:tc>
          <w:tcPr>
            <w:tcW w:w="954" w:type="dxa"/>
            <w:tcBorders>
              <w:top w:val="nil"/>
              <w:left w:val="nil"/>
              <w:bottom w:val="nil"/>
              <w:right w:val="nil"/>
            </w:tcBorders>
            <w:shd w:val="clear" w:color="auto" w:fill="auto"/>
            <w:noWrap/>
            <w:vAlign w:val="bottom"/>
            <w:hideMark/>
          </w:tcPr>
          <w:p w14:paraId="70A84676" w14:textId="220B67A5" w:rsidR="00895A1D" w:rsidRPr="006B42D6" w:rsidRDefault="00895A1D" w:rsidP="00895A1D">
            <w:pPr>
              <w:jc w:val="right"/>
              <w:rPr>
                <w:sz w:val="16"/>
                <w:szCs w:val="16"/>
              </w:rPr>
            </w:pPr>
            <w:r w:rsidRPr="006B42D6">
              <w:rPr>
                <w:sz w:val="16"/>
                <w:szCs w:val="16"/>
              </w:rPr>
              <w:t>2,799</w:t>
            </w:r>
          </w:p>
        </w:tc>
      </w:tr>
      <w:tr w:rsidR="006B42D6" w:rsidRPr="006B42D6" w14:paraId="6E1ED99C" w14:textId="77777777" w:rsidTr="00216F13">
        <w:trPr>
          <w:trHeight w:val="312"/>
        </w:trPr>
        <w:tc>
          <w:tcPr>
            <w:tcW w:w="1711" w:type="dxa"/>
            <w:tcBorders>
              <w:top w:val="nil"/>
              <w:left w:val="nil"/>
              <w:bottom w:val="nil"/>
            </w:tcBorders>
            <w:shd w:val="clear" w:color="auto" w:fill="auto"/>
            <w:noWrap/>
            <w:vAlign w:val="bottom"/>
            <w:hideMark/>
          </w:tcPr>
          <w:p w14:paraId="6D88E6DF" w14:textId="396584C0" w:rsidR="00895A1D" w:rsidRPr="006B42D6" w:rsidRDefault="00895A1D" w:rsidP="00BE0494">
            <w:pPr>
              <w:jc w:val="left"/>
              <w:rPr>
                <w:sz w:val="16"/>
                <w:szCs w:val="16"/>
              </w:rPr>
            </w:pPr>
            <w:r w:rsidRPr="006B42D6">
              <w:rPr>
                <w:sz w:val="16"/>
                <w:szCs w:val="16"/>
              </w:rPr>
              <w:t>Mjini Magharibi</w:t>
            </w:r>
          </w:p>
        </w:tc>
        <w:tc>
          <w:tcPr>
            <w:tcW w:w="1054" w:type="dxa"/>
            <w:tcBorders>
              <w:top w:val="nil"/>
              <w:bottom w:val="nil"/>
              <w:right w:val="nil"/>
            </w:tcBorders>
            <w:shd w:val="clear" w:color="auto" w:fill="auto"/>
            <w:noWrap/>
            <w:vAlign w:val="bottom"/>
            <w:hideMark/>
          </w:tcPr>
          <w:p w14:paraId="380DEEA7" w14:textId="04D3F332" w:rsidR="00895A1D" w:rsidRPr="006B42D6" w:rsidRDefault="00895A1D" w:rsidP="00895A1D">
            <w:pPr>
              <w:jc w:val="right"/>
              <w:rPr>
                <w:sz w:val="16"/>
                <w:szCs w:val="16"/>
              </w:rPr>
            </w:pPr>
            <w:r w:rsidRPr="006B42D6">
              <w:rPr>
                <w:sz w:val="16"/>
                <w:szCs w:val="16"/>
              </w:rPr>
              <w:t>-</w:t>
            </w:r>
          </w:p>
        </w:tc>
        <w:tc>
          <w:tcPr>
            <w:tcW w:w="1020" w:type="dxa"/>
            <w:tcBorders>
              <w:top w:val="nil"/>
              <w:left w:val="nil"/>
              <w:bottom w:val="nil"/>
              <w:right w:val="nil"/>
            </w:tcBorders>
            <w:shd w:val="clear" w:color="auto" w:fill="auto"/>
            <w:noWrap/>
            <w:vAlign w:val="bottom"/>
            <w:hideMark/>
          </w:tcPr>
          <w:p w14:paraId="09894DF8" w14:textId="7FD77CAC" w:rsidR="00895A1D" w:rsidRPr="006B42D6" w:rsidRDefault="00895A1D" w:rsidP="00895A1D">
            <w:pPr>
              <w:jc w:val="right"/>
              <w:rPr>
                <w:sz w:val="16"/>
                <w:szCs w:val="16"/>
              </w:rPr>
            </w:pPr>
            <w:r w:rsidRPr="006B42D6">
              <w:rPr>
                <w:sz w:val="16"/>
                <w:szCs w:val="16"/>
              </w:rPr>
              <w:t>-</w:t>
            </w:r>
          </w:p>
        </w:tc>
        <w:tc>
          <w:tcPr>
            <w:tcW w:w="1054" w:type="dxa"/>
            <w:tcBorders>
              <w:top w:val="nil"/>
              <w:left w:val="nil"/>
              <w:bottom w:val="nil"/>
              <w:right w:val="nil"/>
            </w:tcBorders>
            <w:shd w:val="clear" w:color="auto" w:fill="auto"/>
            <w:noWrap/>
            <w:vAlign w:val="bottom"/>
            <w:hideMark/>
          </w:tcPr>
          <w:p w14:paraId="7380D9A4" w14:textId="34E495AF" w:rsidR="00895A1D" w:rsidRPr="006B42D6" w:rsidRDefault="00895A1D" w:rsidP="00895A1D">
            <w:pPr>
              <w:jc w:val="right"/>
              <w:rPr>
                <w:sz w:val="16"/>
                <w:szCs w:val="16"/>
              </w:rPr>
            </w:pPr>
            <w:r w:rsidRPr="006B42D6">
              <w:rPr>
                <w:sz w:val="16"/>
                <w:szCs w:val="16"/>
              </w:rPr>
              <w:t>4,446</w:t>
            </w:r>
          </w:p>
        </w:tc>
        <w:tc>
          <w:tcPr>
            <w:tcW w:w="1400" w:type="dxa"/>
            <w:tcBorders>
              <w:top w:val="nil"/>
              <w:left w:val="nil"/>
              <w:bottom w:val="nil"/>
              <w:right w:val="nil"/>
            </w:tcBorders>
            <w:shd w:val="clear" w:color="auto" w:fill="auto"/>
            <w:noWrap/>
            <w:vAlign w:val="bottom"/>
            <w:hideMark/>
          </w:tcPr>
          <w:p w14:paraId="312A4B69" w14:textId="3598665A" w:rsidR="00895A1D" w:rsidRPr="006B42D6" w:rsidRDefault="00895A1D" w:rsidP="00895A1D">
            <w:pPr>
              <w:jc w:val="right"/>
              <w:rPr>
                <w:sz w:val="16"/>
                <w:szCs w:val="16"/>
              </w:rPr>
            </w:pPr>
            <w:r w:rsidRPr="006B42D6">
              <w:rPr>
                <w:sz w:val="16"/>
                <w:szCs w:val="16"/>
              </w:rPr>
              <w:t>406</w:t>
            </w:r>
          </w:p>
        </w:tc>
        <w:tc>
          <w:tcPr>
            <w:tcW w:w="1296" w:type="dxa"/>
            <w:tcBorders>
              <w:top w:val="nil"/>
              <w:left w:val="nil"/>
              <w:bottom w:val="nil"/>
              <w:right w:val="nil"/>
            </w:tcBorders>
            <w:shd w:val="clear" w:color="auto" w:fill="auto"/>
            <w:noWrap/>
            <w:vAlign w:val="bottom"/>
            <w:hideMark/>
          </w:tcPr>
          <w:p w14:paraId="3E9BC519" w14:textId="0A9E3949" w:rsidR="00895A1D" w:rsidRPr="006B42D6" w:rsidRDefault="00895A1D" w:rsidP="00895A1D">
            <w:pPr>
              <w:jc w:val="right"/>
              <w:rPr>
                <w:sz w:val="16"/>
                <w:szCs w:val="16"/>
              </w:rPr>
            </w:pPr>
            <w:r w:rsidRPr="006B42D6">
              <w:rPr>
                <w:sz w:val="16"/>
                <w:szCs w:val="16"/>
              </w:rPr>
              <w:t>406</w:t>
            </w:r>
          </w:p>
        </w:tc>
        <w:tc>
          <w:tcPr>
            <w:tcW w:w="951" w:type="dxa"/>
            <w:tcBorders>
              <w:top w:val="nil"/>
              <w:left w:val="nil"/>
              <w:bottom w:val="nil"/>
              <w:right w:val="nil"/>
            </w:tcBorders>
            <w:shd w:val="clear" w:color="auto" w:fill="auto"/>
            <w:noWrap/>
            <w:vAlign w:val="bottom"/>
            <w:hideMark/>
          </w:tcPr>
          <w:p w14:paraId="78E534A2" w14:textId="249E058A" w:rsidR="00895A1D" w:rsidRPr="006B42D6" w:rsidRDefault="00895A1D" w:rsidP="00895A1D">
            <w:pPr>
              <w:jc w:val="right"/>
              <w:rPr>
                <w:sz w:val="16"/>
                <w:szCs w:val="16"/>
              </w:rPr>
            </w:pPr>
            <w:r w:rsidRPr="006B42D6">
              <w:rPr>
                <w:sz w:val="16"/>
                <w:szCs w:val="16"/>
              </w:rPr>
              <w:t>355</w:t>
            </w:r>
          </w:p>
        </w:tc>
        <w:tc>
          <w:tcPr>
            <w:tcW w:w="954" w:type="dxa"/>
            <w:tcBorders>
              <w:top w:val="nil"/>
              <w:left w:val="nil"/>
              <w:bottom w:val="nil"/>
              <w:right w:val="nil"/>
            </w:tcBorders>
            <w:shd w:val="clear" w:color="auto" w:fill="auto"/>
            <w:noWrap/>
            <w:vAlign w:val="bottom"/>
            <w:hideMark/>
          </w:tcPr>
          <w:p w14:paraId="0C2121EB" w14:textId="13C2EA6D" w:rsidR="00895A1D" w:rsidRPr="006B42D6" w:rsidRDefault="00895A1D" w:rsidP="00895A1D">
            <w:pPr>
              <w:jc w:val="right"/>
              <w:rPr>
                <w:sz w:val="16"/>
                <w:szCs w:val="16"/>
              </w:rPr>
            </w:pPr>
            <w:r w:rsidRPr="006B42D6">
              <w:rPr>
                <w:sz w:val="16"/>
                <w:szCs w:val="16"/>
              </w:rPr>
              <w:t>3,614</w:t>
            </w:r>
          </w:p>
        </w:tc>
      </w:tr>
      <w:tr w:rsidR="006B42D6" w:rsidRPr="006B42D6" w14:paraId="4DCCB023" w14:textId="77777777" w:rsidTr="00216F13">
        <w:trPr>
          <w:trHeight w:val="312"/>
        </w:trPr>
        <w:tc>
          <w:tcPr>
            <w:tcW w:w="1711" w:type="dxa"/>
            <w:tcBorders>
              <w:top w:val="nil"/>
              <w:left w:val="nil"/>
              <w:bottom w:val="nil"/>
            </w:tcBorders>
            <w:shd w:val="clear" w:color="auto" w:fill="auto"/>
            <w:noWrap/>
            <w:vAlign w:val="bottom"/>
            <w:hideMark/>
          </w:tcPr>
          <w:p w14:paraId="308F1A14" w14:textId="23CBB323" w:rsidR="00895A1D" w:rsidRPr="006B42D6" w:rsidRDefault="00895A1D" w:rsidP="00BE0494">
            <w:pPr>
              <w:jc w:val="left"/>
              <w:rPr>
                <w:sz w:val="16"/>
                <w:szCs w:val="16"/>
              </w:rPr>
            </w:pPr>
            <w:r w:rsidRPr="006B42D6">
              <w:rPr>
                <w:sz w:val="16"/>
                <w:szCs w:val="16"/>
              </w:rPr>
              <w:t>Kaskazini Pemba</w:t>
            </w:r>
          </w:p>
        </w:tc>
        <w:tc>
          <w:tcPr>
            <w:tcW w:w="1054" w:type="dxa"/>
            <w:tcBorders>
              <w:top w:val="nil"/>
              <w:bottom w:val="nil"/>
              <w:right w:val="nil"/>
            </w:tcBorders>
            <w:shd w:val="clear" w:color="auto" w:fill="auto"/>
            <w:noWrap/>
            <w:vAlign w:val="bottom"/>
            <w:hideMark/>
          </w:tcPr>
          <w:p w14:paraId="7CE83406" w14:textId="47C006EA" w:rsidR="00895A1D" w:rsidRPr="006B42D6" w:rsidRDefault="00895A1D" w:rsidP="00895A1D">
            <w:pPr>
              <w:jc w:val="right"/>
              <w:rPr>
                <w:sz w:val="16"/>
                <w:szCs w:val="16"/>
              </w:rPr>
            </w:pPr>
            <w:r w:rsidRPr="006B42D6">
              <w:rPr>
                <w:sz w:val="16"/>
                <w:szCs w:val="16"/>
              </w:rPr>
              <w:t>-</w:t>
            </w:r>
          </w:p>
        </w:tc>
        <w:tc>
          <w:tcPr>
            <w:tcW w:w="1020" w:type="dxa"/>
            <w:tcBorders>
              <w:top w:val="nil"/>
              <w:left w:val="nil"/>
              <w:bottom w:val="nil"/>
              <w:right w:val="nil"/>
            </w:tcBorders>
            <w:shd w:val="clear" w:color="auto" w:fill="auto"/>
            <w:noWrap/>
            <w:vAlign w:val="bottom"/>
            <w:hideMark/>
          </w:tcPr>
          <w:p w14:paraId="7320C44F" w14:textId="2DA94150" w:rsidR="00895A1D" w:rsidRPr="006B42D6" w:rsidRDefault="00895A1D" w:rsidP="00895A1D">
            <w:pPr>
              <w:jc w:val="right"/>
              <w:rPr>
                <w:sz w:val="16"/>
                <w:szCs w:val="16"/>
              </w:rPr>
            </w:pPr>
            <w:r w:rsidRPr="006B42D6">
              <w:rPr>
                <w:sz w:val="16"/>
                <w:szCs w:val="16"/>
              </w:rPr>
              <w:t>-</w:t>
            </w:r>
          </w:p>
        </w:tc>
        <w:tc>
          <w:tcPr>
            <w:tcW w:w="1054" w:type="dxa"/>
            <w:tcBorders>
              <w:top w:val="nil"/>
              <w:left w:val="nil"/>
              <w:bottom w:val="nil"/>
              <w:right w:val="nil"/>
            </w:tcBorders>
            <w:shd w:val="clear" w:color="auto" w:fill="auto"/>
            <w:noWrap/>
            <w:vAlign w:val="bottom"/>
            <w:hideMark/>
          </w:tcPr>
          <w:p w14:paraId="4B180DE6" w14:textId="71083485" w:rsidR="00895A1D" w:rsidRPr="006B42D6" w:rsidRDefault="00895A1D" w:rsidP="00895A1D">
            <w:pPr>
              <w:jc w:val="right"/>
              <w:rPr>
                <w:sz w:val="16"/>
                <w:szCs w:val="16"/>
              </w:rPr>
            </w:pPr>
            <w:r w:rsidRPr="006B42D6">
              <w:rPr>
                <w:sz w:val="16"/>
                <w:szCs w:val="16"/>
              </w:rPr>
              <w:t>78</w:t>
            </w:r>
          </w:p>
        </w:tc>
        <w:tc>
          <w:tcPr>
            <w:tcW w:w="1400" w:type="dxa"/>
            <w:tcBorders>
              <w:top w:val="nil"/>
              <w:left w:val="nil"/>
              <w:bottom w:val="nil"/>
              <w:right w:val="nil"/>
            </w:tcBorders>
            <w:shd w:val="clear" w:color="auto" w:fill="auto"/>
            <w:noWrap/>
            <w:vAlign w:val="bottom"/>
            <w:hideMark/>
          </w:tcPr>
          <w:p w14:paraId="74DA0C7D" w14:textId="6F0CFA6E" w:rsidR="00895A1D" w:rsidRPr="006B42D6" w:rsidRDefault="00895A1D" w:rsidP="00895A1D">
            <w:pPr>
              <w:jc w:val="right"/>
              <w:rPr>
                <w:sz w:val="16"/>
                <w:szCs w:val="16"/>
              </w:rPr>
            </w:pPr>
            <w:r w:rsidRPr="006B42D6">
              <w:rPr>
                <w:sz w:val="16"/>
                <w:szCs w:val="16"/>
              </w:rPr>
              <w:t>3</w:t>
            </w:r>
          </w:p>
        </w:tc>
        <w:tc>
          <w:tcPr>
            <w:tcW w:w="1296" w:type="dxa"/>
            <w:tcBorders>
              <w:top w:val="nil"/>
              <w:left w:val="nil"/>
              <w:bottom w:val="nil"/>
              <w:right w:val="nil"/>
            </w:tcBorders>
            <w:shd w:val="clear" w:color="auto" w:fill="auto"/>
            <w:noWrap/>
            <w:vAlign w:val="bottom"/>
            <w:hideMark/>
          </w:tcPr>
          <w:p w14:paraId="6C1E12BD" w14:textId="1D307E42" w:rsidR="00895A1D" w:rsidRPr="006B42D6" w:rsidRDefault="00895A1D" w:rsidP="00895A1D">
            <w:pPr>
              <w:jc w:val="right"/>
              <w:rPr>
                <w:sz w:val="16"/>
                <w:szCs w:val="16"/>
              </w:rPr>
            </w:pPr>
            <w:r w:rsidRPr="006B42D6">
              <w:rPr>
                <w:sz w:val="16"/>
                <w:szCs w:val="16"/>
              </w:rPr>
              <w:t>3</w:t>
            </w:r>
          </w:p>
        </w:tc>
        <w:tc>
          <w:tcPr>
            <w:tcW w:w="951" w:type="dxa"/>
            <w:tcBorders>
              <w:top w:val="nil"/>
              <w:left w:val="nil"/>
              <w:bottom w:val="nil"/>
              <w:right w:val="nil"/>
            </w:tcBorders>
            <w:shd w:val="clear" w:color="auto" w:fill="auto"/>
            <w:noWrap/>
            <w:vAlign w:val="bottom"/>
            <w:hideMark/>
          </w:tcPr>
          <w:p w14:paraId="58C1DC43" w14:textId="06B09E7F" w:rsidR="00895A1D" w:rsidRPr="006B42D6" w:rsidRDefault="00895A1D" w:rsidP="00895A1D">
            <w:pPr>
              <w:jc w:val="right"/>
              <w:rPr>
                <w:sz w:val="16"/>
                <w:szCs w:val="16"/>
              </w:rPr>
            </w:pPr>
            <w:r w:rsidRPr="006B42D6">
              <w:rPr>
                <w:sz w:val="16"/>
                <w:szCs w:val="16"/>
              </w:rPr>
              <w:t>-</w:t>
            </w:r>
          </w:p>
        </w:tc>
        <w:tc>
          <w:tcPr>
            <w:tcW w:w="954" w:type="dxa"/>
            <w:tcBorders>
              <w:top w:val="nil"/>
              <w:left w:val="nil"/>
              <w:bottom w:val="nil"/>
              <w:right w:val="nil"/>
            </w:tcBorders>
            <w:shd w:val="clear" w:color="auto" w:fill="auto"/>
            <w:noWrap/>
            <w:vAlign w:val="bottom"/>
            <w:hideMark/>
          </w:tcPr>
          <w:p w14:paraId="202BDD12" w14:textId="34F59C3B" w:rsidR="00895A1D" w:rsidRPr="006B42D6" w:rsidRDefault="00895A1D" w:rsidP="00895A1D">
            <w:pPr>
              <w:jc w:val="right"/>
              <w:rPr>
                <w:sz w:val="16"/>
                <w:szCs w:val="16"/>
              </w:rPr>
            </w:pPr>
            <w:r w:rsidRPr="006B42D6">
              <w:rPr>
                <w:sz w:val="16"/>
                <w:szCs w:val="16"/>
              </w:rPr>
              <w:t>-</w:t>
            </w:r>
          </w:p>
        </w:tc>
      </w:tr>
      <w:tr w:rsidR="006B42D6" w:rsidRPr="006B42D6" w14:paraId="790724E8" w14:textId="77777777" w:rsidTr="00216F13">
        <w:trPr>
          <w:trHeight w:val="312"/>
        </w:trPr>
        <w:tc>
          <w:tcPr>
            <w:tcW w:w="1711" w:type="dxa"/>
            <w:tcBorders>
              <w:top w:val="nil"/>
              <w:left w:val="nil"/>
              <w:bottom w:val="nil"/>
            </w:tcBorders>
            <w:shd w:val="clear" w:color="auto" w:fill="auto"/>
            <w:noWrap/>
            <w:vAlign w:val="bottom"/>
            <w:hideMark/>
          </w:tcPr>
          <w:p w14:paraId="408E1C2F" w14:textId="27170D67" w:rsidR="00895A1D" w:rsidRPr="006B42D6" w:rsidRDefault="00895A1D" w:rsidP="00BE0494">
            <w:pPr>
              <w:jc w:val="left"/>
              <w:rPr>
                <w:sz w:val="16"/>
                <w:szCs w:val="16"/>
              </w:rPr>
            </w:pPr>
            <w:r w:rsidRPr="006B42D6">
              <w:rPr>
                <w:sz w:val="16"/>
                <w:szCs w:val="16"/>
              </w:rPr>
              <w:t>Kusini Pemba</w:t>
            </w:r>
          </w:p>
        </w:tc>
        <w:tc>
          <w:tcPr>
            <w:tcW w:w="1054" w:type="dxa"/>
            <w:tcBorders>
              <w:top w:val="nil"/>
              <w:bottom w:val="nil"/>
              <w:right w:val="nil"/>
            </w:tcBorders>
            <w:shd w:val="clear" w:color="auto" w:fill="auto"/>
            <w:noWrap/>
            <w:vAlign w:val="bottom"/>
            <w:hideMark/>
          </w:tcPr>
          <w:p w14:paraId="26DC1F60" w14:textId="7642439C" w:rsidR="00895A1D" w:rsidRPr="006B42D6" w:rsidRDefault="00895A1D" w:rsidP="00895A1D">
            <w:pPr>
              <w:jc w:val="right"/>
              <w:rPr>
                <w:sz w:val="16"/>
                <w:szCs w:val="16"/>
              </w:rPr>
            </w:pPr>
            <w:r w:rsidRPr="006B42D6">
              <w:rPr>
                <w:sz w:val="16"/>
                <w:szCs w:val="16"/>
              </w:rPr>
              <w:t>-</w:t>
            </w:r>
          </w:p>
        </w:tc>
        <w:tc>
          <w:tcPr>
            <w:tcW w:w="1020" w:type="dxa"/>
            <w:tcBorders>
              <w:top w:val="nil"/>
              <w:left w:val="nil"/>
              <w:bottom w:val="nil"/>
              <w:right w:val="nil"/>
            </w:tcBorders>
            <w:shd w:val="clear" w:color="auto" w:fill="auto"/>
            <w:noWrap/>
            <w:vAlign w:val="bottom"/>
            <w:hideMark/>
          </w:tcPr>
          <w:p w14:paraId="65AC79B8" w14:textId="1D8ADBEC" w:rsidR="00895A1D" w:rsidRPr="006B42D6" w:rsidRDefault="00895A1D" w:rsidP="00895A1D">
            <w:pPr>
              <w:jc w:val="right"/>
              <w:rPr>
                <w:sz w:val="16"/>
                <w:szCs w:val="16"/>
              </w:rPr>
            </w:pPr>
            <w:r w:rsidRPr="006B42D6">
              <w:rPr>
                <w:sz w:val="16"/>
                <w:szCs w:val="16"/>
              </w:rPr>
              <w:t>-</w:t>
            </w:r>
          </w:p>
        </w:tc>
        <w:tc>
          <w:tcPr>
            <w:tcW w:w="1054" w:type="dxa"/>
            <w:tcBorders>
              <w:top w:val="nil"/>
              <w:left w:val="nil"/>
              <w:bottom w:val="nil"/>
              <w:right w:val="nil"/>
            </w:tcBorders>
            <w:shd w:val="clear" w:color="auto" w:fill="auto"/>
            <w:noWrap/>
            <w:vAlign w:val="bottom"/>
            <w:hideMark/>
          </w:tcPr>
          <w:p w14:paraId="24C66B80" w14:textId="3D637423" w:rsidR="00895A1D" w:rsidRPr="006B42D6" w:rsidRDefault="00895A1D" w:rsidP="00895A1D">
            <w:pPr>
              <w:jc w:val="right"/>
              <w:rPr>
                <w:sz w:val="16"/>
                <w:szCs w:val="16"/>
              </w:rPr>
            </w:pPr>
            <w:r w:rsidRPr="006B42D6">
              <w:rPr>
                <w:sz w:val="16"/>
                <w:szCs w:val="16"/>
              </w:rPr>
              <w:t>3,625</w:t>
            </w:r>
          </w:p>
        </w:tc>
        <w:tc>
          <w:tcPr>
            <w:tcW w:w="1400" w:type="dxa"/>
            <w:tcBorders>
              <w:top w:val="nil"/>
              <w:left w:val="nil"/>
              <w:bottom w:val="nil"/>
              <w:right w:val="nil"/>
            </w:tcBorders>
            <w:shd w:val="clear" w:color="auto" w:fill="auto"/>
            <w:noWrap/>
            <w:vAlign w:val="bottom"/>
            <w:hideMark/>
          </w:tcPr>
          <w:p w14:paraId="6B16D74D" w14:textId="4B132FDD" w:rsidR="00895A1D" w:rsidRPr="006B42D6" w:rsidRDefault="00895A1D" w:rsidP="00895A1D">
            <w:pPr>
              <w:jc w:val="right"/>
              <w:rPr>
                <w:sz w:val="16"/>
                <w:szCs w:val="16"/>
              </w:rPr>
            </w:pPr>
            <w:r w:rsidRPr="006B42D6">
              <w:rPr>
                <w:sz w:val="16"/>
                <w:szCs w:val="16"/>
              </w:rPr>
              <w:t>411</w:t>
            </w:r>
          </w:p>
        </w:tc>
        <w:tc>
          <w:tcPr>
            <w:tcW w:w="1296" w:type="dxa"/>
            <w:tcBorders>
              <w:top w:val="nil"/>
              <w:left w:val="nil"/>
              <w:bottom w:val="nil"/>
              <w:right w:val="nil"/>
            </w:tcBorders>
            <w:shd w:val="clear" w:color="auto" w:fill="auto"/>
            <w:noWrap/>
            <w:vAlign w:val="bottom"/>
            <w:hideMark/>
          </w:tcPr>
          <w:p w14:paraId="664EA1F3" w14:textId="792CA9BE" w:rsidR="00895A1D" w:rsidRPr="006B42D6" w:rsidRDefault="00895A1D" w:rsidP="00895A1D">
            <w:pPr>
              <w:jc w:val="right"/>
              <w:rPr>
                <w:sz w:val="16"/>
                <w:szCs w:val="16"/>
              </w:rPr>
            </w:pPr>
            <w:r w:rsidRPr="006B42D6">
              <w:rPr>
                <w:sz w:val="16"/>
                <w:szCs w:val="16"/>
              </w:rPr>
              <w:t>411</w:t>
            </w:r>
          </w:p>
        </w:tc>
        <w:tc>
          <w:tcPr>
            <w:tcW w:w="951" w:type="dxa"/>
            <w:tcBorders>
              <w:top w:val="nil"/>
              <w:left w:val="nil"/>
              <w:bottom w:val="nil"/>
              <w:right w:val="nil"/>
            </w:tcBorders>
            <w:shd w:val="clear" w:color="auto" w:fill="auto"/>
            <w:noWrap/>
            <w:vAlign w:val="bottom"/>
            <w:hideMark/>
          </w:tcPr>
          <w:p w14:paraId="71A7E694" w14:textId="55DDDE36" w:rsidR="00895A1D" w:rsidRPr="006B42D6" w:rsidRDefault="00895A1D" w:rsidP="00895A1D">
            <w:pPr>
              <w:jc w:val="right"/>
              <w:rPr>
                <w:sz w:val="16"/>
                <w:szCs w:val="16"/>
              </w:rPr>
            </w:pPr>
            <w:r w:rsidRPr="006B42D6">
              <w:rPr>
                <w:sz w:val="16"/>
                <w:szCs w:val="16"/>
              </w:rPr>
              <w:t>92</w:t>
            </w:r>
          </w:p>
        </w:tc>
        <w:tc>
          <w:tcPr>
            <w:tcW w:w="954" w:type="dxa"/>
            <w:tcBorders>
              <w:top w:val="nil"/>
              <w:left w:val="nil"/>
              <w:bottom w:val="nil"/>
              <w:right w:val="nil"/>
            </w:tcBorders>
            <w:shd w:val="clear" w:color="auto" w:fill="auto"/>
            <w:noWrap/>
            <w:vAlign w:val="bottom"/>
            <w:hideMark/>
          </w:tcPr>
          <w:p w14:paraId="5145ACE8" w14:textId="69ACFD40" w:rsidR="00895A1D" w:rsidRPr="006B42D6" w:rsidRDefault="00895A1D" w:rsidP="00895A1D">
            <w:pPr>
              <w:jc w:val="right"/>
              <w:rPr>
                <w:sz w:val="16"/>
                <w:szCs w:val="16"/>
              </w:rPr>
            </w:pPr>
            <w:r w:rsidRPr="006B42D6">
              <w:rPr>
                <w:sz w:val="16"/>
                <w:szCs w:val="16"/>
              </w:rPr>
              <w:t>907</w:t>
            </w:r>
          </w:p>
        </w:tc>
      </w:tr>
      <w:tr w:rsidR="006B42D6" w:rsidRPr="006B42D6" w14:paraId="5F97C349" w14:textId="77777777" w:rsidTr="00216F13">
        <w:trPr>
          <w:trHeight w:val="312"/>
        </w:trPr>
        <w:tc>
          <w:tcPr>
            <w:tcW w:w="1711" w:type="dxa"/>
            <w:tcBorders>
              <w:top w:val="single" w:sz="4" w:space="0" w:color="auto"/>
              <w:left w:val="nil"/>
              <w:bottom w:val="single" w:sz="4" w:space="0" w:color="auto"/>
            </w:tcBorders>
            <w:shd w:val="clear" w:color="auto" w:fill="E2EFD9" w:themeFill="accent6" w:themeFillTint="33"/>
            <w:noWrap/>
            <w:vAlign w:val="bottom"/>
            <w:hideMark/>
          </w:tcPr>
          <w:p w14:paraId="221FD650" w14:textId="0ECBBC53" w:rsidR="00895A1D" w:rsidRPr="006B42D6" w:rsidRDefault="00895A1D" w:rsidP="00BE0494">
            <w:pPr>
              <w:jc w:val="left"/>
              <w:rPr>
                <w:b/>
                <w:bCs/>
                <w:sz w:val="16"/>
                <w:szCs w:val="16"/>
              </w:rPr>
            </w:pPr>
            <w:r w:rsidRPr="006B42D6">
              <w:rPr>
                <w:b/>
                <w:bCs/>
                <w:sz w:val="16"/>
                <w:szCs w:val="16"/>
              </w:rPr>
              <w:t>Tanzania Zanzibar</w:t>
            </w:r>
          </w:p>
        </w:tc>
        <w:tc>
          <w:tcPr>
            <w:tcW w:w="1054" w:type="dxa"/>
            <w:tcBorders>
              <w:top w:val="single" w:sz="4" w:space="0" w:color="auto"/>
              <w:bottom w:val="single" w:sz="4" w:space="0" w:color="auto"/>
              <w:right w:val="nil"/>
            </w:tcBorders>
            <w:shd w:val="clear" w:color="auto" w:fill="E2EFD9" w:themeFill="accent6" w:themeFillTint="33"/>
            <w:noWrap/>
            <w:vAlign w:val="bottom"/>
            <w:hideMark/>
          </w:tcPr>
          <w:p w14:paraId="3A6D829F" w14:textId="3A428E66" w:rsidR="00895A1D" w:rsidRPr="006B42D6" w:rsidRDefault="00895A1D" w:rsidP="00895A1D">
            <w:pPr>
              <w:jc w:val="right"/>
              <w:rPr>
                <w:b/>
                <w:bCs/>
                <w:sz w:val="16"/>
                <w:szCs w:val="16"/>
              </w:rPr>
            </w:pPr>
            <w:r w:rsidRPr="006B42D6">
              <w:rPr>
                <w:b/>
                <w:bCs/>
                <w:sz w:val="16"/>
                <w:szCs w:val="16"/>
              </w:rPr>
              <w:t>1,099</w:t>
            </w:r>
          </w:p>
        </w:tc>
        <w:tc>
          <w:tcPr>
            <w:tcW w:w="1020" w:type="dxa"/>
            <w:tcBorders>
              <w:top w:val="single" w:sz="4" w:space="0" w:color="auto"/>
              <w:left w:val="nil"/>
              <w:bottom w:val="single" w:sz="4" w:space="0" w:color="auto"/>
              <w:right w:val="nil"/>
            </w:tcBorders>
            <w:shd w:val="clear" w:color="auto" w:fill="E2EFD9" w:themeFill="accent6" w:themeFillTint="33"/>
            <w:noWrap/>
            <w:vAlign w:val="bottom"/>
            <w:hideMark/>
          </w:tcPr>
          <w:p w14:paraId="1638D326" w14:textId="72887203" w:rsidR="00895A1D" w:rsidRPr="006B42D6" w:rsidRDefault="00895A1D" w:rsidP="00895A1D">
            <w:pPr>
              <w:jc w:val="right"/>
              <w:rPr>
                <w:b/>
                <w:bCs/>
                <w:sz w:val="16"/>
                <w:szCs w:val="16"/>
              </w:rPr>
            </w:pPr>
            <w:r w:rsidRPr="006B42D6">
              <w:rPr>
                <w:b/>
                <w:bCs/>
                <w:sz w:val="16"/>
                <w:szCs w:val="16"/>
              </w:rPr>
              <w:t>156</w:t>
            </w:r>
          </w:p>
        </w:tc>
        <w:tc>
          <w:tcPr>
            <w:tcW w:w="1054" w:type="dxa"/>
            <w:tcBorders>
              <w:top w:val="single" w:sz="4" w:space="0" w:color="auto"/>
              <w:left w:val="nil"/>
              <w:bottom w:val="single" w:sz="4" w:space="0" w:color="auto"/>
              <w:right w:val="nil"/>
            </w:tcBorders>
            <w:shd w:val="clear" w:color="auto" w:fill="E2EFD9" w:themeFill="accent6" w:themeFillTint="33"/>
            <w:noWrap/>
            <w:vAlign w:val="bottom"/>
            <w:hideMark/>
          </w:tcPr>
          <w:p w14:paraId="1D0913ED" w14:textId="20D7ABEE" w:rsidR="00895A1D" w:rsidRPr="006B42D6" w:rsidRDefault="00895A1D" w:rsidP="00895A1D">
            <w:pPr>
              <w:jc w:val="right"/>
              <w:rPr>
                <w:b/>
                <w:bCs/>
                <w:sz w:val="16"/>
                <w:szCs w:val="16"/>
              </w:rPr>
            </w:pPr>
            <w:r w:rsidRPr="006B42D6">
              <w:rPr>
                <w:b/>
                <w:bCs/>
                <w:sz w:val="16"/>
                <w:szCs w:val="16"/>
              </w:rPr>
              <w:t>11,700</w:t>
            </w:r>
          </w:p>
        </w:tc>
        <w:tc>
          <w:tcPr>
            <w:tcW w:w="1400" w:type="dxa"/>
            <w:tcBorders>
              <w:top w:val="single" w:sz="4" w:space="0" w:color="auto"/>
              <w:left w:val="nil"/>
              <w:bottom w:val="single" w:sz="4" w:space="0" w:color="auto"/>
              <w:right w:val="nil"/>
            </w:tcBorders>
            <w:shd w:val="clear" w:color="auto" w:fill="E2EFD9" w:themeFill="accent6" w:themeFillTint="33"/>
            <w:noWrap/>
            <w:vAlign w:val="bottom"/>
            <w:hideMark/>
          </w:tcPr>
          <w:p w14:paraId="004E2AA4" w14:textId="439D3868" w:rsidR="00895A1D" w:rsidRPr="006B42D6" w:rsidRDefault="00895A1D" w:rsidP="00895A1D">
            <w:pPr>
              <w:jc w:val="right"/>
              <w:rPr>
                <w:b/>
                <w:bCs/>
                <w:sz w:val="16"/>
                <w:szCs w:val="16"/>
              </w:rPr>
            </w:pPr>
            <w:r w:rsidRPr="006B42D6">
              <w:rPr>
                <w:b/>
                <w:bCs/>
                <w:sz w:val="16"/>
                <w:szCs w:val="16"/>
              </w:rPr>
              <w:t>1,197</w:t>
            </w:r>
          </w:p>
        </w:tc>
        <w:tc>
          <w:tcPr>
            <w:tcW w:w="1296" w:type="dxa"/>
            <w:tcBorders>
              <w:top w:val="single" w:sz="4" w:space="0" w:color="auto"/>
              <w:left w:val="nil"/>
              <w:bottom w:val="single" w:sz="4" w:space="0" w:color="auto"/>
              <w:right w:val="nil"/>
            </w:tcBorders>
            <w:shd w:val="clear" w:color="auto" w:fill="E2EFD9" w:themeFill="accent6" w:themeFillTint="33"/>
            <w:noWrap/>
            <w:vAlign w:val="bottom"/>
            <w:hideMark/>
          </w:tcPr>
          <w:p w14:paraId="51C68A41" w14:textId="1FC718E6" w:rsidR="00895A1D" w:rsidRPr="006B42D6" w:rsidRDefault="00895A1D" w:rsidP="00895A1D">
            <w:pPr>
              <w:jc w:val="right"/>
              <w:rPr>
                <w:b/>
                <w:bCs/>
                <w:sz w:val="16"/>
                <w:szCs w:val="16"/>
              </w:rPr>
            </w:pPr>
            <w:r w:rsidRPr="006B42D6">
              <w:rPr>
                <w:b/>
                <w:bCs/>
                <w:sz w:val="16"/>
                <w:szCs w:val="16"/>
              </w:rPr>
              <w:t>1,353</w:t>
            </w:r>
          </w:p>
        </w:tc>
        <w:tc>
          <w:tcPr>
            <w:tcW w:w="951" w:type="dxa"/>
            <w:tcBorders>
              <w:top w:val="single" w:sz="4" w:space="0" w:color="auto"/>
              <w:left w:val="nil"/>
              <w:bottom w:val="single" w:sz="4" w:space="0" w:color="auto"/>
              <w:right w:val="nil"/>
            </w:tcBorders>
            <w:shd w:val="clear" w:color="auto" w:fill="E2EFD9" w:themeFill="accent6" w:themeFillTint="33"/>
            <w:noWrap/>
            <w:vAlign w:val="bottom"/>
            <w:hideMark/>
          </w:tcPr>
          <w:p w14:paraId="48B2ADB1" w14:textId="56206A1C" w:rsidR="00895A1D" w:rsidRPr="006B42D6" w:rsidRDefault="00895A1D" w:rsidP="00895A1D">
            <w:pPr>
              <w:jc w:val="right"/>
              <w:rPr>
                <w:b/>
                <w:bCs/>
                <w:sz w:val="16"/>
                <w:szCs w:val="16"/>
              </w:rPr>
            </w:pPr>
            <w:r w:rsidRPr="006B42D6">
              <w:rPr>
                <w:b/>
                <w:bCs/>
                <w:sz w:val="16"/>
                <w:szCs w:val="16"/>
              </w:rPr>
              <w:t>770</w:t>
            </w:r>
          </w:p>
        </w:tc>
        <w:tc>
          <w:tcPr>
            <w:tcW w:w="954" w:type="dxa"/>
            <w:tcBorders>
              <w:top w:val="single" w:sz="4" w:space="0" w:color="auto"/>
              <w:left w:val="nil"/>
              <w:bottom w:val="single" w:sz="4" w:space="0" w:color="auto"/>
              <w:right w:val="nil"/>
            </w:tcBorders>
            <w:shd w:val="clear" w:color="auto" w:fill="E2EFD9" w:themeFill="accent6" w:themeFillTint="33"/>
            <w:noWrap/>
            <w:vAlign w:val="bottom"/>
            <w:hideMark/>
          </w:tcPr>
          <w:p w14:paraId="09BE2B82" w14:textId="1D80966F" w:rsidR="00895A1D" w:rsidRPr="006B42D6" w:rsidRDefault="00895A1D" w:rsidP="00895A1D">
            <w:pPr>
              <w:jc w:val="right"/>
              <w:rPr>
                <w:b/>
                <w:bCs/>
                <w:sz w:val="16"/>
                <w:szCs w:val="16"/>
              </w:rPr>
            </w:pPr>
            <w:r w:rsidRPr="006B42D6">
              <w:rPr>
                <w:b/>
                <w:bCs/>
                <w:sz w:val="16"/>
                <w:szCs w:val="16"/>
              </w:rPr>
              <w:t>7,958</w:t>
            </w:r>
          </w:p>
        </w:tc>
      </w:tr>
      <w:tr w:rsidR="006B42D6" w:rsidRPr="006B42D6" w14:paraId="36C49F7C" w14:textId="77777777" w:rsidTr="00216F13">
        <w:trPr>
          <w:trHeight w:val="312"/>
        </w:trPr>
        <w:tc>
          <w:tcPr>
            <w:tcW w:w="1711" w:type="dxa"/>
            <w:tcBorders>
              <w:top w:val="nil"/>
              <w:left w:val="nil"/>
              <w:bottom w:val="single" w:sz="4" w:space="0" w:color="auto"/>
            </w:tcBorders>
            <w:shd w:val="clear" w:color="auto" w:fill="E2EFD9" w:themeFill="accent6" w:themeFillTint="33"/>
            <w:noWrap/>
            <w:vAlign w:val="bottom"/>
            <w:hideMark/>
          </w:tcPr>
          <w:p w14:paraId="5C2BB60A" w14:textId="7D322304" w:rsidR="00895A1D" w:rsidRPr="006B42D6" w:rsidRDefault="00895A1D" w:rsidP="00BE0494">
            <w:pPr>
              <w:jc w:val="left"/>
              <w:rPr>
                <w:b/>
                <w:bCs/>
                <w:sz w:val="16"/>
                <w:szCs w:val="16"/>
              </w:rPr>
            </w:pPr>
            <w:r w:rsidRPr="006B42D6">
              <w:rPr>
                <w:b/>
                <w:bCs/>
                <w:sz w:val="16"/>
                <w:szCs w:val="16"/>
              </w:rPr>
              <w:t>Tanzania</w:t>
            </w:r>
          </w:p>
        </w:tc>
        <w:tc>
          <w:tcPr>
            <w:tcW w:w="1054" w:type="dxa"/>
            <w:tcBorders>
              <w:top w:val="nil"/>
              <w:bottom w:val="single" w:sz="4" w:space="0" w:color="auto"/>
              <w:right w:val="nil"/>
            </w:tcBorders>
            <w:shd w:val="clear" w:color="auto" w:fill="E2EFD9" w:themeFill="accent6" w:themeFillTint="33"/>
            <w:noWrap/>
            <w:vAlign w:val="bottom"/>
            <w:hideMark/>
          </w:tcPr>
          <w:p w14:paraId="13F37467" w14:textId="5310E68A" w:rsidR="00895A1D" w:rsidRPr="006B42D6" w:rsidRDefault="00895A1D" w:rsidP="00895A1D">
            <w:pPr>
              <w:jc w:val="right"/>
              <w:rPr>
                <w:b/>
                <w:bCs/>
                <w:sz w:val="16"/>
                <w:szCs w:val="16"/>
              </w:rPr>
            </w:pPr>
            <w:r w:rsidRPr="006B42D6">
              <w:rPr>
                <w:b/>
                <w:bCs/>
                <w:sz w:val="16"/>
                <w:szCs w:val="16"/>
              </w:rPr>
              <w:t>86,435</w:t>
            </w:r>
          </w:p>
        </w:tc>
        <w:tc>
          <w:tcPr>
            <w:tcW w:w="1020" w:type="dxa"/>
            <w:tcBorders>
              <w:top w:val="nil"/>
              <w:left w:val="nil"/>
              <w:bottom w:val="single" w:sz="4" w:space="0" w:color="auto"/>
              <w:right w:val="nil"/>
            </w:tcBorders>
            <w:shd w:val="clear" w:color="auto" w:fill="E2EFD9" w:themeFill="accent6" w:themeFillTint="33"/>
            <w:noWrap/>
            <w:vAlign w:val="bottom"/>
            <w:hideMark/>
          </w:tcPr>
          <w:p w14:paraId="7DC553EE" w14:textId="3D85373B" w:rsidR="00895A1D" w:rsidRPr="006B42D6" w:rsidRDefault="00895A1D" w:rsidP="00895A1D">
            <w:pPr>
              <w:jc w:val="right"/>
              <w:rPr>
                <w:b/>
                <w:bCs/>
                <w:sz w:val="16"/>
                <w:szCs w:val="16"/>
              </w:rPr>
            </w:pPr>
            <w:r w:rsidRPr="006B42D6">
              <w:rPr>
                <w:b/>
                <w:bCs/>
                <w:sz w:val="16"/>
                <w:szCs w:val="16"/>
              </w:rPr>
              <w:t>22,202</w:t>
            </w:r>
          </w:p>
        </w:tc>
        <w:tc>
          <w:tcPr>
            <w:tcW w:w="1054" w:type="dxa"/>
            <w:tcBorders>
              <w:top w:val="nil"/>
              <w:left w:val="nil"/>
              <w:bottom w:val="single" w:sz="4" w:space="0" w:color="auto"/>
              <w:right w:val="nil"/>
            </w:tcBorders>
            <w:shd w:val="clear" w:color="auto" w:fill="E2EFD9" w:themeFill="accent6" w:themeFillTint="33"/>
            <w:noWrap/>
            <w:vAlign w:val="bottom"/>
            <w:hideMark/>
          </w:tcPr>
          <w:p w14:paraId="1631BA5D" w14:textId="5B0D041E" w:rsidR="00895A1D" w:rsidRPr="006B42D6" w:rsidRDefault="00895A1D" w:rsidP="00895A1D">
            <w:pPr>
              <w:jc w:val="right"/>
              <w:rPr>
                <w:b/>
                <w:bCs/>
                <w:sz w:val="16"/>
                <w:szCs w:val="16"/>
              </w:rPr>
            </w:pPr>
            <w:r w:rsidRPr="006B42D6">
              <w:rPr>
                <w:b/>
                <w:bCs/>
                <w:sz w:val="16"/>
                <w:szCs w:val="16"/>
              </w:rPr>
              <w:t>154,770</w:t>
            </w:r>
          </w:p>
        </w:tc>
        <w:tc>
          <w:tcPr>
            <w:tcW w:w="1400" w:type="dxa"/>
            <w:tcBorders>
              <w:top w:val="nil"/>
              <w:left w:val="nil"/>
              <w:bottom w:val="single" w:sz="4" w:space="0" w:color="auto"/>
              <w:right w:val="nil"/>
            </w:tcBorders>
            <w:shd w:val="clear" w:color="auto" w:fill="E2EFD9" w:themeFill="accent6" w:themeFillTint="33"/>
            <w:noWrap/>
            <w:vAlign w:val="bottom"/>
            <w:hideMark/>
          </w:tcPr>
          <w:p w14:paraId="0CC740A7" w14:textId="19C633EB" w:rsidR="00895A1D" w:rsidRPr="006B42D6" w:rsidRDefault="00895A1D" w:rsidP="00895A1D">
            <w:pPr>
              <w:jc w:val="right"/>
              <w:rPr>
                <w:b/>
                <w:bCs/>
                <w:sz w:val="16"/>
                <w:szCs w:val="16"/>
              </w:rPr>
            </w:pPr>
            <w:r w:rsidRPr="006B42D6">
              <w:rPr>
                <w:b/>
                <w:bCs/>
                <w:sz w:val="16"/>
                <w:szCs w:val="16"/>
              </w:rPr>
              <w:t>25,605</w:t>
            </w:r>
          </w:p>
        </w:tc>
        <w:tc>
          <w:tcPr>
            <w:tcW w:w="1296" w:type="dxa"/>
            <w:tcBorders>
              <w:top w:val="nil"/>
              <w:left w:val="nil"/>
              <w:bottom w:val="single" w:sz="4" w:space="0" w:color="auto"/>
              <w:right w:val="nil"/>
            </w:tcBorders>
            <w:shd w:val="clear" w:color="auto" w:fill="E2EFD9" w:themeFill="accent6" w:themeFillTint="33"/>
            <w:noWrap/>
            <w:vAlign w:val="bottom"/>
            <w:hideMark/>
          </w:tcPr>
          <w:p w14:paraId="5308095A" w14:textId="3978F6C2" w:rsidR="00895A1D" w:rsidRPr="006B42D6" w:rsidRDefault="00895A1D" w:rsidP="00895A1D">
            <w:pPr>
              <w:jc w:val="right"/>
              <w:rPr>
                <w:b/>
                <w:bCs/>
                <w:sz w:val="16"/>
                <w:szCs w:val="16"/>
              </w:rPr>
            </w:pPr>
            <w:r w:rsidRPr="006B42D6">
              <w:rPr>
                <w:b/>
                <w:bCs/>
                <w:sz w:val="16"/>
                <w:szCs w:val="16"/>
              </w:rPr>
              <w:t>47,808</w:t>
            </w:r>
          </w:p>
        </w:tc>
        <w:tc>
          <w:tcPr>
            <w:tcW w:w="951" w:type="dxa"/>
            <w:tcBorders>
              <w:top w:val="nil"/>
              <w:left w:val="nil"/>
              <w:bottom w:val="single" w:sz="4" w:space="0" w:color="auto"/>
              <w:right w:val="nil"/>
            </w:tcBorders>
            <w:shd w:val="clear" w:color="auto" w:fill="E2EFD9" w:themeFill="accent6" w:themeFillTint="33"/>
            <w:noWrap/>
            <w:vAlign w:val="bottom"/>
            <w:hideMark/>
          </w:tcPr>
          <w:p w14:paraId="765BB4DB" w14:textId="28EA62FF" w:rsidR="00895A1D" w:rsidRPr="006B42D6" w:rsidRDefault="00895A1D" w:rsidP="00895A1D">
            <w:pPr>
              <w:jc w:val="right"/>
              <w:rPr>
                <w:b/>
                <w:bCs/>
                <w:sz w:val="16"/>
                <w:szCs w:val="16"/>
              </w:rPr>
            </w:pPr>
            <w:r w:rsidRPr="006B42D6">
              <w:rPr>
                <w:b/>
                <w:bCs/>
                <w:sz w:val="16"/>
                <w:szCs w:val="16"/>
              </w:rPr>
              <w:t>25,397</w:t>
            </w:r>
          </w:p>
        </w:tc>
        <w:tc>
          <w:tcPr>
            <w:tcW w:w="954" w:type="dxa"/>
            <w:tcBorders>
              <w:top w:val="nil"/>
              <w:left w:val="nil"/>
              <w:bottom w:val="single" w:sz="4" w:space="0" w:color="auto"/>
              <w:right w:val="nil"/>
            </w:tcBorders>
            <w:shd w:val="clear" w:color="auto" w:fill="E2EFD9" w:themeFill="accent6" w:themeFillTint="33"/>
            <w:noWrap/>
            <w:vAlign w:val="bottom"/>
            <w:hideMark/>
          </w:tcPr>
          <w:p w14:paraId="37363CBB" w14:textId="58B4E445" w:rsidR="00895A1D" w:rsidRPr="006B42D6" w:rsidRDefault="00895A1D" w:rsidP="00895A1D">
            <w:pPr>
              <w:jc w:val="right"/>
              <w:rPr>
                <w:b/>
                <w:bCs/>
                <w:sz w:val="16"/>
                <w:szCs w:val="16"/>
              </w:rPr>
            </w:pPr>
            <w:r w:rsidRPr="006B42D6">
              <w:rPr>
                <w:b/>
                <w:bCs/>
                <w:sz w:val="16"/>
                <w:szCs w:val="16"/>
              </w:rPr>
              <w:t>159,728</w:t>
            </w:r>
          </w:p>
        </w:tc>
      </w:tr>
    </w:tbl>
    <w:p w14:paraId="536E550E" w14:textId="77777777" w:rsidR="009C0DC0" w:rsidRDefault="009C0DC0">
      <w:pPr>
        <w:spacing w:line="240" w:lineRule="auto"/>
        <w:contextualSpacing w:val="0"/>
        <w:jc w:val="left"/>
      </w:pPr>
      <w:r>
        <w:br w:type="page"/>
      </w:r>
    </w:p>
    <w:p w14:paraId="07B83CA9" w14:textId="5D0C5BB8" w:rsidR="0023528E" w:rsidRPr="006B42D6" w:rsidRDefault="0023528E" w:rsidP="005C2EFC">
      <w:pPr>
        <w:pStyle w:val="Heading4"/>
      </w:pPr>
      <w:bookmarkStart w:id="222" w:name="_Toc82385674"/>
      <w:r w:rsidRPr="006B42D6">
        <w:lastRenderedPageBreak/>
        <w:t>3.1.</w:t>
      </w:r>
      <w:r w:rsidR="00193728">
        <w:t>5</w:t>
      </w:r>
      <w:r w:rsidRPr="006B42D6">
        <w:t>.</w:t>
      </w:r>
      <w:r w:rsidR="00557CDD">
        <w:t>9</w:t>
      </w:r>
      <w:r w:rsidR="000807B0" w:rsidRPr="006B42D6">
        <w:tab/>
      </w:r>
      <w:r w:rsidRPr="006B42D6">
        <w:t>Pineapple</w:t>
      </w:r>
      <w:bookmarkEnd w:id="222"/>
    </w:p>
    <w:p w14:paraId="433728DA" w14:textId="4AC1DA5E" w:rsidR="00014F69" w:rsidRDefault="0023528E" w:rsidP="005C2EFC">
      <w:pPr>
        <w:pStyle w:val="Default"/>
        <w:spacing w:line="360" w:lineRule="auto"/>
        <w:jc w:val="both"/>
        <w:rPr>
          <w:color w:val="auto"/>
        </w:rPr>
      </w:pPr>
      <w:r w:rsidRPr="006B42D6">
        <w:rPr>
          <w:bCs/>
          <w:color w:val="auto"/>
        </w:rPr>
        <w:t>Pineapple</w:t>
      </w:r>
      <w:r w:rsidRPr="006B42D6">
        <w:rPr>
          <w:color w:val="auto"/>
        </w:rPr>
        <w:t xml:space="preserve"> production in Tanzania involved 53,939 household</w:t>
      </w:r>
      <w:r w:rsidR="008138C0" w:rsidRPr="006B42D6">
        <w:rPr>
          <w:color w:val="auto"/>
        </w:rPr>
        <w:t xml:space="preserve">s out </w:t>
      </w:r>
      <w:r w:rsidRPr="006B42D6">
        <w:rPr>
          <w:color w:val="auto"/>
        </w:rPr>
        <w:t xml:space="preserve">of which 46,463 </w:t>
      </w:r>
      <w:r w:rsidR="008138C0" w:rsidRPr="006B42D6">
        <w:rPr>
          <w:color w:val="auto"/>
        </w:rPr>
        <w:t xml:space="preserve">households </w:t>
      </w:r>
      <w:r w:rsidRPr="006B42D6">
        <w:rPr>
          <w:color w:val="auto"/>
        </w:rPr>
        <w:t xml:space="preserve">were in </w:t>
      </w:r>
      <w:r w:rsidR="00EA1552">
        <w:rPr>
          <w:color w:val="auto"/>
        </w:rPr>
        <w:t>Mainland Tanzania</w:t>
      </w:r>
      <w:r w:rsidRPr="006B42D6">
        <w:rPr>
          <w:color w:val="auto"/>
        </w:rPr>
        <w:t xml:space="preserve"> and 7,476 in </w:t>
      </w:r>
      <w:r w:rsidR="00014F69" w:rsidRPr="006B42D6">
        <w:rPr>
          <w:color w:val="auto"/>
        </w:rPr>
        <w:t xml:space="preserve">Tanzania </w:t>
      </w:r>
      <w:r w:rsidRPr="006B42D6">
        <w:rPr>
          <w:color w:val="auto"/>
        </w:rPr>
        <w:t xml:space="preserve">Zanzibar. </w:t>
      </w:r>
      <w:r w:rsidR="00014F69" w:rsidRPr="006B42D6">
        <w:rPr>
          <w:color w:val="auto"/>
        </w:rPr>
        <w:t>The total planted area with pineapple was 24,</w:t>
      </w:r>
      <w:r w:rsidR="00545BB2" w:rsidRPr="006B42D6">
        <w:rPr>
          <w:color w:val="auto"/>
        </w:rPr>
        <w:t>601</w:t>
      </w:r>
      <w:r w:rsidR="00014F69" w:rsidRPr="006B42D6">
        <w:rPr>
          <w:color w:val="auto"/>
        </w:rPr>
        <w:t xml:space="preserve"> ha, of which 24,03</w:t>
      </w:r>
      <w:r w:rsidR="00545BB2" w:rsidRPr="006B42D6">
        <w:rPr>
          <w:color w:val="auto"/>
        </w:rPr>
        <w:t>3</w:t>
      </w:r>
      <w:r w:rsidR="00014F69" w:rsidRPr="006B42D6">
        <w:rPr>
          <w:color w:val="auto"/>
        </w:rPr>
        <w:t xml:space="preserve"> ha were from smallholder farmers and </w:t>
      </w:r>
      <w:r w:rsidR="00545BB2" w:rsidRPr="006B42D6">
        <w:rPr>
          <w:color w:val="auto"/>
        </w:rPr>
        <w:t>568</w:t>
      </w:r>
      <w:r w:rsidR="00014F69" w:rsidRPr="006B42D6">
        <w:rPr>
          <w:color w:val="auto"/>
        </w:rPr>
        <w:t xml:space="preserve"> ha from large scale farms. Out of the total planted area by smallholder farmers, </w:t>
      </w:r>
      <w:r w:rsidRPr="006B42D6">
        <w:rPr>
          <w:color w:val="auto"/>
        </w:rPr>
        <w:t xml:space="preserve">22,976 ha were in </w:t>
      </w:r>
      <w:r w:rsidR="00EA1552">
        <w:rPr>
          <w:color w:val="auto"/>
        </w:rPr>
        <w:t>Mainland Tanzania</w:t>
      </w:r>
      <w:r w:rsidRPr="006B42D6">
        <w:rPr>
          <w:color w:val="auto"/>
        </w:rPr>
        <w:t xml:space="preserve"> and 1,057 ha in </w:t>
      </w:r>
      <w:r w:rsidR="00014F69" w:rsidRPr="006B42D6">
        <w:rPr>
          <w:color w:val="auto"/>
        </w:rPr>
        <w:t xml:space="preserve">Tanzania </w:t>
      </w:r>
      <w:r w:rsidRPr="006B42D6">
        <w:rPr>
          <w:color w:val="auto"/>
        </w:rPr>
        <w:t xml:space="preserve">Zanzibar. </w:t>
      </w:r>
    </w:p>
    <w:p w14:paraId="09E331A7" w14:textId="77777777" w:rsidR="009C0DC0" w:rsidRPr="006B42D6" w:rsidRDefault="009C0DC0" w:rsidP="009C0DC0">
      <w:pPr>
        <w:pStyle w:val="Default"/>
        <w:jc w:val="both"/>
        <w:rPr>
          <w:color w:val="auto"/>
        </w:rPr>
      </w:pPr>
    </w:p>
    <w:p w14:paraId="41FBC9F4" w14:textId="0450086A" w:rsidR="0023528E" w:rsidRPr="006B42D6" w:rsidRDefault="0023528E" w:rsidP="005C2EFC">
      <w:pPr>
        <w:pStyle w:val="Default"/>
        <w:spacing w:line="360" w:lineRule="auto"/>
        <w:jc w:val="both"/>
        <w:rPr>
          <w:color w:val="auto"/>
        </w:rPr>
      </w:pPr>
      <w:r w:rsidRPr="006B42D6">
        <w:rPr>
          <w:color w:val="auto"/>
        </w:rPr>
        <w:t xml:space="preserve">In </w:t>
      </w:r>
      <w:r w:rsidR="00EA1552">
        <w:rPr>
          <w:color w:val="auto"/>
        </w:rPr>
        <w:t>Mainland Tanzania</w:t>
      </w:r>
      <w:r w:rsidRPr="006B42D6">
        <w:rPr>
          <w:color w:val="auto"/>
        </w:rPr>
        <w:t xml:space="preserve">, Pwani </w:t>
      </w:r>
      <w:r w:rsidR="00014F69" w:rsidRPr="006B42D6">
        <w:rPr>
          <w:color w:val="auto"/>
        </w:rPr>
        <w:t>r</w:t>
      </w:r>
      <w:r w:rsidRPr="006B42D6">
        <w:rPr>
          <w:color w:val="auto"/>
        </w:rPr>
        <w:t xml:space="preserve">egion </w:t>
      </w:r>
      <w:r w:rsidR="00014F69" w:rsidRPr="006B42D6">
        <w:rPr>
          <w:color w:val="auto"/>
        </w:rPr>
        <w:t xml:space="preserve">had the largest planted area with </w:t>
      </w:r>
      <w:r w:rsidR="00014F69" w:rsidRPr="006B42D6">
        <w:rPr>
          <w:bCs/>
          <w:color w:val="auto"/>
        </w:rPr>
        <w:t>pineapple</w:t>
      </w:r>
      <w:r w:rsidR="00014F69" w:rsidRPr="006B42D6">
        <w:rPr>
          <w:color w:val="auto"/>
        </w:rPr>
        <w:t xml:space="preserve"> </w:t>
      </w:r>
      <w:r w:rsidRPr="006B42D6">
        <w:rPr>
          <w:color w:val="auto"/>
        </w:rPr>
        <w:t>(13,103 ha; 57.0 percent), followed by Dar es Salaam (4,553 ha; 19.8 percent) and Kagera (1,087 ha; 4.7 percent). On the other hand, Iringa region had the least planted area of 0.4 ha</w:t>
      </w:r>
      <w:r w:rsidR="00014F69" w:rsidRPr="006B42D6">
        <w:rPr>
          <w:color w:val="auto"/>
        </w:rPr>
        <w:t xml:space="preserve"> (0.002 percent)</w:t>
      </w:r>
      <w:r w:rsidRPr="006B42D6">
        <w:rPr>
          <w:color w:val="auto"/>
        </w:rPr>
        <w:t xml:space="preserve">. In </w:t>
      </w:r>
      <w:r w:rsidR="00014F69" w:rsidRPr="006B42D6">
        <w:rPr>
          <w:color w:val="auto"/>
        </w:rPr>
        <w:t xml:space="preserve">Tanzania </w:t>
      </w:r>
      <w:r w:rsidRPr="006B42D6">
        <w:rPr>
          <w:color w:val="auto"/>
        </w:rPr>
        <w:t>Zanzibar, Kusini Pemba led with the planted area of 338 ha (3</w:t>
      </w:r>
      <w:r w:rsidR="00014F69" w:rsidRPr="006B42D6">
        <w:rPr>
          <w:color w:val="auto"/>
        </w:rPr>
        <w:t>2</w:t>
      </w:r>
      <w:r w:rsidRPr="006B42D6">
        <w:rPr>
          <w:color w:val="auto"/>
        </w:rPr>
        <w:t>.</w:t>
      </w:r>
      <w:r w:rsidR="00014F69" w:rsidRPr="006B42D6">
        <w:rPr>
          <w:color w:val="auto"/>
        </w:rPr>
        <w:t>0</w:t>
      </w:r>
      <w:r w:rsidRPr="006B42D6">
        <w:rPr>
          <w:color w:val="auto"/>
        </w:rPr>
        <w:t xml:space="preserve"> percent), followed by Kaskazini Unguja </w:t>
      </w:r>
      <w:r w:rsidR="00014F69" w:rsidRPr="006B42D6">
        <w:rPr>
          <w:color w:val="auto"/>
        </w:rPr>
        <w:t>(</w:t>
      </w:r>
      <w:r w:rsidRPr="006B42D6">
        <w:rPr>
          <w:color w:val="auto"/>
        </w:rPr>
        <w:t>274 ha</w:t>
      </w:r>
      <w:r w:rsidR="00014F69" w:rsidRPr="006B42D6">
        <w:rPr>
          <w:color w:val="auto"/>
        </w:rPr>
        <w:t xml:space="preserve">; </w:t>
      </w:r>
      <w:r w:rsidRPr="006B42D6">
        <w:rPr>
          <w:color w:val="auto"/>
        </w:rPr>
        <w:t>25.9 percent)</w:t>
      </w:r>
      <w:r w:rsidR="00014F69" w:rsidRPr="006B42D6">
        <w:rPr>
          <w:color w:val="auto"/>
        </w:rPr>
        <w:t>, while Kusini Unguja had the least planted area with pineapple (70 ha; 6.6 percent).</w:t>
      </w:r>
      <w:r w:rsidRPr="006B42D6">
        <w:rPr>
          <w:color w:val="auto"/>
        </w:rPr>
        <w:t xml:space="preserve"> </w:t>
      </w:r>
    </w:p>
    <w:p w14:paraId="737F7612" w14:textId="31EB31CC" w:rsidR="0023528E" w:rsidRPr="006B42D6" w:rsidRDefault="0023528E" w:rsidP="000A6832">
      <w:pPr>
        <w:pStyle w:val="Default"/>
        <w:jc w:val="both"/>
        <w:rPr>
          <w:color w:val="auto"/>
        </w:rPr>
      </w:pPr>
    </w:p>
    <w:p w14:paraId="66EBEB1F" w14:textId="1D8178AB" w:rsidR="00014F69" w:rsidRPr="009C0DC0" w:rsidRDefault="00545BB2" w:rsidP="009C0DC0">
      <w:pPr>
        <w:pStyle w:val="Default"/>
        <w:spacing w:line="360" w:lineRule="auto"/>
        <w:jc w:val="both"/>
        <w:rPr>
          <w:color w:val="auto"/>
        </w:rPr>
      </w:pPr>
      <w:r w:rsidRPr="006B42D6">
        <w:rPr>
          <w:color w:val="auto"/>
        </w:rPr>
        <w:t xml:space="preserve">The total harvested area with pinneapple was 11,631 ha, of which 11,223 ha were from smallholder farmers and 408 ha from large scale farms. Out of the total harvested area by smallholder farmers, 10,751 ha were in </w:t>
      </w:r>
      <w:r w:rsidR="00EA1552">
        <w:rPr>
          <w:color w:val="auto"/>
        </w:rPr>
        <w:t>Mainland Tanzania</w:t>
      </w:r>
      <w:r w:rsidRPr="006B42D6">
        <w:rPr>
          <w:color w:val="auto"/>
        </w:rPr>
        <w:t xml:space="preserve"> and 472 ha in Tanzania Zanzibar.</w:t>
      </w:r>
      <w:r w:rsidR="009C0DC0">
        <w:rPr>
          <w:color w:val="auto"/>
        </w:rPr>
        <w:t xml:space="preserve"> </w:t>
      </w:r>
      <w:r w:rsidR="00014F69" w:rsidRPr="006B42D6">
        <w:t xml:space="preserve">In </w:t>
      </w:r>
      <w:r w:rsidR="00EA1552">
        <w:t>Mainland Tanzania</w:t>
      </w:r>
      <w:r w:rsidR="00014F69" w:rsidRPr="006B42D6">
        <w:t xml:space="preserve">, Pwani region reported the largest harvested area (8,211 ha; 76.4 percent), followed by Dar es Salaam (1,432 ha; 13.3 percent) and Tanga (212 ha; 2.0 percent), while the least harvested area was in Iringa (0.4 ha; 0.04 percent). In Tanzania Zanzibar, Mjini Magharibi had the largest harvested area (189 ha; 39.9 percent), followed by Kusini Pemba (126 ha; 26.6 percent), while the least harvested area was Kaskazini Pemba (18 ha; 3.9 percent). </w:t>
      </w:r>
    </w:p>
    <w:p w14:paraId="09569009" w14:textId="58E06416" w:rsidR="00014F69" w:rsidRPr="006B42D6" w:rsidRDefault="00014F69" w:rsidP="000A6832">
      <w:pPr>
        <w:pStyle w:val="Default"/>
        <w:jc w:val="both"/>
        <w:rPr>
          <w:color w:val="auto"/>
        </w:rPr>
      </w:pPr>
    </w:p>
    <w:p w14:paraId="7BE187F9" w14:textId="0E3D58EC" w:rsidR="0023528E" w:rsidRPr="006B42D6" w:rsidRDefault="00014F69" w:rsidP="005C2EFC">
      <w:pPr>
        <w:pStyle w:val="Default"/>
        <w:spacing w:line="360" w:lineRule="auto"/>
        <w:jc w:val="both"/>
        <w:rPr>
          <w:color w:val="auto"/>
        </w:rPr>
      </w:pPr>
      <w:r w:rsidRPr="006B42D6">
        <w:rPr>
          <w:bCs/>
          <w:color w:val="auto"/>
        </w:rPr>
        <w:t>Pineapple</w:t>
      </w:r>
      <w:r w:rsidRPr="006B42D6">
        <w:rPr>
          <w:color w:val="auto"/>
        </w:rPr>
        <w:t xml:space="preserve"> production in Tanzania was </w:t>
      </w:r>
      <w:r w:rsidR="00545BB2" w:rsidRPr="006B42D6">
        <w:rPr>
          <w:bCs/>
          <w:color w:val="auto"/>
        </w:rPr>
        <w:t>114,263</w:t>
      </w:r>
      <w:r w:rsidRPr="006B42D6">
        <w:rPr>
          <w:bCs/>
          <w:color w:val="auto"/>
        </w:rPr>
        <w:t xml:space="preserve"> tons, out </w:t>
      </w:r>
      <w:r w:rsidRPr="006B42D6">
        <w:rPr>
          <w:color w:val="auto"/>
        </w:rPr>
        <w:t xml:space="preserve">of which </w:t>
      </w:r>
      <w:r w:rsidRPr="006B42D6">
        <w:rPr>
          <w:bCs/>
          <w:color w:val="auto"/>
        </w:rPr>
        <w:t>111,299 tons</w:t>
      </w:r>
      <w:r w:rsidRPr="006B42D6">
        <w:rPr>
          <w:color w:val="auto"/>
        </w:rPr>
        <w:t xml:space="preserve"> was produced by smallholder farmers and</w:t>
      </w:r>
      <w:r w:rsidRPr="006B42D6">
        <w:rPr>
          <w:bCs/>
          <w:color w:val="auto"/>
        </w:rPr>
        <w:t xml:space="preserve"> </w:t>
      </w:r>
      <w:r w:rsidR="00545BB2" w:rsidRPr="006B42D6">
        <w:rPr>
          <w:bCs/>
          <w:color w:val="auto"/>
        </w:rPr>
        <w:t xml:space="preserve">2,964 </w:t>
      </w:r>
      <w:r w:rsidRPr="006B42D6">
        <w:rPr>
          <w:color w:val="auto"/>
        </w:rPr>
        <w:t>tons was produced by large scale farms. Out of the total production by smallholder farmers,</w:t>
      </w:r>
      <w:r w:rsidR="00C00936" w:rsidRPr="006B42D6">
        <w:rPr>
          <w:color w:val="auto"/>
        </w:rPr>
        <w:t xml:space="preserve"> 95</w:t>
      </w:r>
      <w:r w:rsidR="0023528E" w:rsidRPr="006B42D6">
        <w:rPr>
          <w:color w:val="auto"/>
        </w:rPr>
        <w:t>,</w:t>
      </w:r>
      <w:r w:rsidR="00C00936" w:rsidRPr="006B42D6">
        <w:rPr>
          <w:color w:val="auto"/>
        </w:rPr>
        <w:t>710</w:t>
      </w:r>
      <w:r w:rsidR="0023528E" w:rsidRPr="006B42D6">
        <w:rPr>
          <w:color w:val="auto"/>
        </w:rPr>
        <w:t xml:space="preserve"> tons were in </w:t>
      </w:r>
      <w:r w:rsidR="00EA1552">
        <w:rPr>
          <w:color w:val="auto"/>
        </w:rPr>
        <w:t>Mainland Tanzania</w:t>
      </w:r>
      <w:r w:rsidR="0023528E" w:rsidRPr="006B42D6">
        <w:rPr>
          <w:color w:val="auto"/>
        </w:rPr>
        <w:t xml:space="preserve"> and 15,</w:t>
      </w:r>
      <w:r w:rsidR="00C00936" w:rsidRPr="006B42D6">
        <w:rPr>
          <w:color w:val="auto"/>
        </w:rPr>
        <w:t>589</w:t>
      </w:r>
      <w:r w:rsidR="0023528E" w:rsidRPr="006B42D6">
        <w:rPr>
          <w:color w:val="auto"/>
        </w:rPr>
        <w:t xml:space="preserve"> tons in </w:t>
      </w:r>
      <w:r w:rsidR="00C00936" w:rsidRPr="006B42D6">
        <w:rPr>
          <w:color w:val="auto"/>
        </w:rPr>
        <w:t xml:space="preserve">Tanzania </w:t>
      </w:r>
      <w:r w:rsidR="0023528E" w:rsidRPr="006B42D6">
        <w:rPr>
          <w:color w:val="auto"/>
        </w:rPr>
        <w:t xml:space="preserve">Zanzibar. In </w:t>
      </w:r>
      <w:r w:rsidR="00EA1552">
        <w:rPr>
          <w:color w:val="auto"/>
        </w:rPr>
        <w:t>Mainland Tanzania</w:t>
      </w:r>
      <w:r w:rsidR="0023528E" w:rsidRPr="006B42D6">
        <w:rPr>
          <w:color w:val="auto"/>
        </w:rPr>
        <w:t xml:space="preserve">, Pwani </w:t>
      </w:r>
      <w:r w:rsidR="00C00936" w:rsidRPr="006B42D6">
        <w:rPr>
          <w:color w:val="auto"/>
        </w:rPr>
        <w:t>r</w:t>
      </w:r>
      <w:r w:rsidR="0023528E" w:rsidRPr="006B42D6">
        <w:rPr>
          <w:color w:val="auto"/>
        </w:rPr>
        <w:t>egion had the highest production</w:t>
      </w:r>
      <w:r w:rsidR="00C00936" w:rsidRPr="006B42D6">
        <w:rPr>
          <w:color w:val="auto"/>
        </w:rPr>
        <w:t xml:space="preserve"> (90,687 tons; 94.8 percent)</w:t>
      </w:r>
      <w:r w:rsidR="0023528E" w:rsidRPr="006B42D6">
        <w:rPr>
          <w:color w:val="auto"/>
        </w:rPr>
        <w:t xml:space="preserve">, followed by Dar </w:t>
      </w:r>
      <w:r w:rsidR="00C00936" w:rsidRPr="006B42D6">
        <w:rPr>
          <w:color w:val="auto"/>
        </w:rPr>
        <w:t>e</w:t>
      </w:r>
      <w:r w:rsidR="0023528E" w:rsidRPr="006B42D6">
        <w:rPr>
          <w:color w:val="auto"/>
        </w:rPr>
        <w:t xml:space="preserve">s Salaam (2,831 tons; </w:t>
      </w:r>
      <w:r w:rsidR="00C00936" w:rsidRPr="006B42D6">
        <w:rPr>
          <w:color w:val="auto"/>
        </w:rPr>
        <w:t>3.0</w:t>
      </w:r>
      <w:r w:rsidR="0023528E" w:rsidRPr="006B42D6">
        <w:rPr>
          <w:color w:val="auto"/>
        </w:rPr>
        <w:t xml:space="preserve"> percent) and Geita (568 tons; 0.6 percent). On the other hand, Iringa region had a least production </w:t>
      </w:r>
      <w:r w:rsidR="00C00936" w:rsidRPr="006B42D6">
        <w:rPr>
          <w:color w:val="auto"/>
        </w:rPr>
        <w:t>(</w:t>
      </w:r>
      <w:r w:rsidR="0023528E" w:rsidRPr="006B42D6">
        <w:rPr>
          <w:color w:val="auto"/>
        </w:rPr>
        <w:t>4 tons</w:t>
      </w:r>
      <w:r w:rsidR="00C00936" w:rsidRPr="006B42D6">
        <w:rPr>
          <w:color w:val="auto"/>
        </w:rPr>
        <w:t>; 0.004 percent)</w:t>
      </w:r>
      <w:r w:rsidR="0023528E" w:rsidRPr="006B42D6">
        <w:rPr>
          <w:color w:val="auto"/>
        </w:rPr>
        <w:t xml:space="preserve">. In </w:t>
      </w:r>
      <w:r w:rsidR="00C00936" w:rsidRPr="006B42D6">
        <w:rPr>
          <w:color w:val="auto"/>
        </w:rPr>
        <w:t xml:space="preserve">Tanzania </w:t>
      </w:r>
      <w:r w:rsidR="0023528E" w:rsidRPr="006B42D6">
        <w:rPr>
          <w:color w:val="auto"/>
        </w:rPr>
        <w:t>Zanzibar, Mjini Magharibi led with the production of 6,</w:t>
      </w:r>
      <w:r w:rsidR="00C00936" w:rsidRPr="006B42D6">
        <w:rPr>
          <w:color w:val="auto"/>
        </w:rPr>
        <w:t>177</w:t>
      </w:r>
      <w:r w:rsidR="0023528E" w:rsidRPr="006B42D6">
        <w:rPr>
          <w:color w:val="auto"/>
        </w:rPr>
        <w:t xml:space="preserve"> tons (</w:t>
      </w:r>
      <w:r w:rsidR="00C00936" w:rsidRPr="006B42D6">
        <w:rPr>
          <w:color w:val="auto"/>
        </w:rPr>
        <w:t>39.6</w:t>
      </w:r>
      <w:r w:rsidR="0023528E" w:rsidRPr="006B42D6">
        <w:rPr>
          <w:color w:val="auto"/>
        </w:rPr>
        <w:t xml:space="preserve"> percent), followed by Kaskazini Unguja </w:t>
      </w:r>
      <w:r w:rsidR="00C00936" w:rsidRPr="006B42D6">
        <w:rPr>
          <w:color w:val="auto"/>
        </w:rPr>
        <w:t>(3,827</w:t>
      </w:r>
      <w:r w:rsidR="0023528E" w:rsidRPr="006B42D6">
        <w:rPr>
          <w:color w:val="auto"/>
        </w:rPr>
        <w:t xml:space="preserve"> tons</w:t>
      </w:r>
      <w:r w:rsidR="00C00936" w:rsidRPr="006B42D6">
        <w:rPr>
          <w:color w:val="auto"/>
        </w:rPr>
        <w:t xml:space="preserve">; </w:t>
      </w:r>
      <w:r w:rsidR="0023528E" w:rsidRPr="006B42D6">
        <w:rPr>
          <w:color w:val="auto"/>
        </w:rPr>
        <w:t>2</w:t>
      </w:r>
      <w:r w:rsidR="00C00936" w:rsidRPr="006B42D6">
        <w:rPr>
          <w:color w:val="auto"/>
        </w:rPr>
        <w:t>4</w:t>
      </w:r>
      <w:r w:rsidR="0023528E" w:rsidRPr="006B42D6">
        <w:rPr>
          <w:color w:val="auto"/>
        </w:rPr>
        <w:t>.</w:t>
      </w:r>
      <w:r w:rsidR="00C00936" w:rsidRPr="006B42D6">
        <w:rPr>
          <w:color w:val="auto"/>
        </w:rPr>
        <w:t>6</w:t>
      </w:r>
      <w:r w:rsidR="0023528E" w:rsidRPr="006B42D6">
        <w:rPr>
          <w:color w:val="auto"/>
        </w:rPr>
        <w:t xml:space="preserve"> percent)</w:t>
      </w:r>
      <w:r w:rsidR="00C00936" w:rsidRPr="006B42D6">
        <w:rPr>
          <w:color w:val="auto"/>
        </w:rPr>
        <w:t>,</w:t>
      </w:r>
      <w:r w:rsidR="0023528E" w:rsidRPr="006B42D6">
        <w:rPr>
          <w:color w:val="auto"/>
        </w:rPr>
        <w:t xml:space="preserve"> while </w:t>
      </w:r>
      <w:r w:rsidR="00C00936" w:rsidRPr="006B42D6">
        <w:rPr>
          <w:color w:val="auto"/>
        </w:rPr>
        <w:t>Kusini Unguja</w:t>
      </w:r>
      <w:r w:rsidR="0023528E" w:rsidRPr="006B42D6">
        <w:rPr>
          <w:color w:val="auto"/>
        </w:rPr>
        <w:t xml:space="preserve"> had </w:t>
      </w:r>
      <w:r w:rsidR="008138C0" w:rsidRPr="006B42D6">
        <w:rPr>
          <w:color w:val="auto"/>
        </w:rPr>
        <w:t xml:space="preserve">the </w:t>
      </w:r>
      <w:r w:rsidR="0023528E" w:rsidRPr="006B42D6">
        <w:rPr>
          <w:color w:val="auto"/>
        </w:rPr>
        <w:t xml:space="preserve">least production </w:t>
      </w:r>
      <w:r w:rsidR="00C00936" w:rsidRPr="006B42D6">
        <w:rPr>
          <w:color w:val="auto"/>
        </w:rPr>
        <w:t>(</w:t>
      </w:r>
      <w:r w:rsidR="0023528E" w:rsidRPr="006B42D6">
        <w:rPr>
          <w:color w:val="auto"/>
        </w:rPr>
        <w:t>7</w:t>
      </w:r>
      <w:r w:rsidR="00C00936" w:rsidRPr="006B42D6">
        <w:rPr>
          <w:color w:val="auto"/>
        </w:rPr>
        <w:t>80</w:t>
      </w:r>
      <w:r w:rsidR="0023528E" w:rsidRPr="006B42D6">
        <w:rPr>
          <w:color w:val="auto"/>
        </w:rPr>
        <w:t xml:space="preserve"> tons</w:t>
      </w:r>
      <w:r w:rsidR="00C00936" w:rsidRPr="006B42D6">
        <w:rPr>
          <w:color w:val="auto"/>
        </w:rPr>
        <w:t>; 5.0 percent)</w:t>
      </w:r>
      <w:r w:rsidR="0023528E" w:rsidRPr="006B42D6">
        <w:rPr>
          <w:color w:val="auto"/>
        </w:rPr>
        <w:t xml:space="preserve"> (Table 3.</w:t>
      </w:r>
      <w:r w:rsidR="00A9608F" w:rsidRPr="006B42D6">
        <w:rPr>
          <w:color w:val="auto"/>
        </w:rPr>
        <w:t>1</w:t>
      </w:r>
      <w:r w:rsidR="001E3B1A" w:rsidRPr="006B42D6">
        <w:rPr>
          <w:color w:val="auto"/>
        </w:rPr>
        <w:t>2</w:t>
      </w:r>
      <w:r w:rsidR="0023528E" w:rsidRPr="006B42D6">
        <w:rPr>
          <w:color w:val="auto"/>
        </w:rPr>
        <w:t>).</w:t>
      </w:r>
    </w:p>
    <w:p w14:paraId="162A49FB" w14:textId="4AC04473" w:rsidR="00DC1806" w:rsidRPr="006B42D6" w:rsidRDefault="00DC1806" w:rsidP="005C2EFC">
      <w:pPr>
        <w:rPr>
          <w:rFonts w:eastAsia="Calibri"/>
        </w:rPr>
      </w:pPr>
      <w:r w:rsidRPr="006B42D6">
        <w:br w:type="page"/>
      </w:r>
    </w:p>
    <w:p w14:paraId="6F64D2A9" w14:textId="070091B5" w:rsidR="0023528E" w:rsidRPr="009C0DC0" w:rsidRDefault="0023528E" w:rsidP="009C0DC0">
      <w:pPr>
        <w:pStyle w:val="Heading7"/>
        <w:tabs>
          <w:tab w:val="left" w:pos="1134"/>
          <w:tab w:val="left" w:pos="1276"/>
        </w:tabs>
      </w:pPr>
      <w:bookmarkStart w:id="223" w:name="_Toc82386194"/>
      <w:r w:rsidRPr="009C0DC0">
        <w:lastRenderedPageBreak/>
        <w:t>Table 3.</w:t>
      </w:r>
      <w:r w:rsidR="00A9608F" w:rsidRPr="009C0DC0">
        <w:t>1</w:t>
      </w:r>
      <w:r w:rsidR="001E3B1A" w:rsidRPr="009C0DC0">
        <w:t>2</w:t>
      </w:r>
      <w:r w:rsidR="009C0DC0" w:rsidRPr="009C0DC0">
        <w:t>:</w:t>
      </w:r>
      <w:r w:rsidR="009C0DC0">
        <w:tab/>
      </w:r>
      <w:r w:rsidRPr="009C0DC0">
        <w:t xml:space="preserve">Agricultural Households, Planted </w:t>
      </w:r>
      <w:r w:rsidR="00C00936" w:rsidRPr="009C0DC0">
        <w:t>and</w:t>
      </w:r>
      <w:r w:rsidRPr="009C0DC0">
        <w:t xml:space="preserve"> Harvested Area, Quantity Harvested </w:t>
      </w:r>
      <w:r w:rsidR="001E3B1A" w:rsidRPr="009C0DC0">
        <w:t xml:space="preserve">of Pinneapple </w:t>
      </w:r>
      <w:r w:rsidRPr="009C0DC0">
        <w:t xml:space="preserve">by Region </w:t>
      </w:r>
      <w:r w:rsidR="00CA7C20" w:rsidRPr="009C0DC0">
        <w:t>D</w:t>
      </w:r>
      <w:r w:rsidRPr="009C0DC0">
        <w:t xml:space="preserve">uring 2019/20 </w:t>
      </w:r>
      <w:r w:rsidR="00CA7C20" w:rsidRPr="009C0DC0">
        <w:t>A</w:t>
      </w:r>
      <w:r w:rsidRPr="009C0DC0">
        <w:t>gricultural Year</w:t>
      </w:r>
      <w:r w:rsidR="00CA7C20" w:rsidRPr="009C0DC0">
        <w:t>,</w:t>
      </w:r>
      <w:r w:rsidRPr="009C0DC0">
        <w:t xml:space="preserve"> </w:t>
      </w:r>
      <w:r w:rsidR="00CA7C20" w:rsidRPr="009C0DC0">
        <w:t>Tanzania</w:t>
      </w:r>
      <w:bookmarkEnd w:id="223"/>
    </w:p>
    <w:tbl>
      <w:tblPr>
        <w:tblW w:w="9422" w:type="dxa"/>
        <w:tblLook w:val="04A0" w:firstRow="1" w:lastRow="0" w:firstColumn="1" w:lastColumn="0" w:noHBand="0" w:noVBand="1"/>
      </w:tblPr>
      <w:tblGrid>
        <w:gridCol w:w="1708"/>
        <w:gridCol w:w="1052"/>
        <w:gridCol w:w="1018"/>
        <w:gridCol w:w="1052"/>
        <w:gridCol w:w="1397"/>
        <w:gridCol w:w="1294"/>
        <w:gridCol w:w="949"/>
        <w:gridCol w:w="952"/>
      </w:tblGrid>
      <w:tr w:rsidR="006B42D6" w:rsidRPr="006B42D6" w14:paraId="067203C6" w14:textId="77777777" w:rsidTr="00216F13">
        <w:trPr>
          <w:trHeight w:val="868"/>
        </w:trPr>
        <w:tc>
          <w:tcPr>
            <w:tcW w:w="1708" w:type="dxa"/>
            <w:tcBorders>
              <w:top w:val="single" w:sz="4" w:space="0" w:color="auto"/>
              <w:left w:val="nil"/>
              <w:bottom w:val="single" w:sz="4" w:space="0" w:color="000000"/>
            </w:tcBorders>
            <w:shd w:val="clear" w:color="auto" w:fill="E2EFD9" w:themeFill="accent6" w:themeFillTint="33"/>
            <w:vAlign w:val="center"/>
            <w:hideMark/>
          </w:tcPr>
          <w:p w14:paraId="0B923151" w14:textId="69420A38" w:rsidR="00895A1D" w:rsidRPr="006B42D6" w:rsidRDefault="001E3B1A" w:rsidP="00216F13">
            <w:pPr>
              <w:spacing w:line="276" w:lineRule="auto"/>
              <w:rPr>
                <w:bCs/>
                <w:sz w:val="16"/>
                <w:szCs w:val="16"/>
              </w:rPr>
            </w:pPr>
            <w:r w:rsidRPr="006B42D6">
              <w:rPr>
                <w:bCs/>
                <w:sz w:val="16"/>
                <w:szCs w:val="16"/>
              </w:rPr>
              <w:t>Region</w:t>
            </w:r>
          </w:p>
        </w:tc>
        <w:tc>
          <w:tcPr>
            <w:tcW w:w="1052" w:type="dxa"/>
            <w:tcBorders>
              <w:top w:val="single" w:sz="4" w:space="0" w:color="auto"/>
              <w:bottom w:val="single" w:sz="4" w:space="0" w:color="auto"/>
              <w:right w:val="nil"/>
            </w:tcBorders>
            <w:shd w:val="clear" w:color="auto" w:fill="E2EFD9" w:themeFill="accent6" w:themeFillTint="33"/>
            <w:vAlign w:val="center"/>
            <w:hideMark/>
          </w:tcPr>
          <w:p w14:paraId="027AB67D" w14:textId="77777777" w:rsidR="00895A1D" w:rsidRPr="006B42D6" w:rsidRDefault="00895A1D" w:rsidP="00216F13">
            <w:pPr>
              <w:spacing w:line="276" w:lineRule="auto"/>
              <w:jc w:val="center"/>
              <w:rPr>
                <w:bCs/>
                <w:sz w:val="16"/>
                <w:szCs w:val="16"/>
              </w:rPr>
            </w:pPr>
            <w:r w:rsidRPr="006B42D6">
              <w:rPr>
                <w:bCs/>
                <w:sz w:val="16"/>
                <w:szCs w:val="16"/>
              </w:rPr>
              <w:t xml:space="preserve"> Number of Households </w:t>
            </w:r>
          </w:p>
        </w:tc>
        <w:tc>
          <w:tcPr>
            <w:tcW w:w="1018" w:type="dxa"/>
            <w:tcBorders>
              <w:top w:val="single" w:sz="4" w:space="0" w:color="auto"/>
              <w:left w:val="nil"/>
              <w:bottom w:val="single" w:sz="4" w:space="0" w:color="auto"/>
              <w:right w:val="nil"/>
            </w:tcBorders>
            <w:shd w:val="clear" w:color="auto" w:fill="E2EFD9" w:themeFill="accent6" w:themeFillTint="33"/>
            <w:vAlign w:val="center"/>
            <w:hideMark/>
          </w:tcPr>
          <w:p w14:paraId="38B78685" w14:textId="37059C1F" w:rsidR="00895A1D" w:rsidRPr="006B42D6" w:rsidRDefault="00895A1D" w:rsidP="00216F13">
            <w:pPr>
              <w:spacing w:line="276" w:lineRule="auto"/>
              <w:jc w:val="center"/>
              <w:rPr>
                <w:bCs/>
                <w:sz w:val="16"/>
                <w:szCs w:val="16"/>
              </w:rPr>
            </w:pPr>
            <w:r w:rsidRPr="006B42D6">
              <w:rPr>
                <w:bCs/>
                <w:sz w:val="16"/>
                <w:szCs w:val="16"/>
              </w:rPr>
              <w:t xml:space="preserve"> Planted Area with </w:t>
            </w:r>
            <w:r w:rsidR="001E3B1A" w:rsidRPr="006B42D6">
              <w:rPr>
                <w:bCs/>
                <w:sz w:val="16"/>
                <w:szCs w:val="16"/>
              </w:rPr>
              <w:t xml:space="preserve">Mono Crop </w:t>
            </w:r>
            <w:r w:rsidRPr="006B42D6">
              <w:rPr>
                <w:bCs/>
                <w:sz w:val="16"/>
                <w:szCs w:val="16"/>
              </w:rPr>
              <w:t xml:space="preserve">(ha) </w:t>
            </w:r>
          </w:p>
        </w:tc>
        <w:tc>
          <w:tcPr>
            <w:tcW w:w="1052" w:type="dxa"/>
            <w:tcBorders>
              <w:top w:val="single" w:sz="4" w:space="0" w:color="auto"/>
              <w:left w:val="nil"/>
              <w:bottom w:val="single" w:sz="4" w:space="0" w:color="auto"/>
              <w:right w:val="nil"/>
            </w:tcBorders>
            <w:shd w:val="clear" w:color="auto" w:fill="E2EFD9" w:themeFill="accent6" w:themeFillTint="33"/>
            <w:vAlign w:val="center"/>
            <w:hideMark/>
          </w:tcPr>
          <w:p w14:paraId="73B05D21" w14:textId="77777777" w:rsidR="00895A1D" w:rsidRPr="006B42D6" w:rsidRDefault="00895A1D" w:rsidP="00216F13">
            <w:pPr>
              <w:spacing w:line="276" w:lineRule="auto"/>
              <w:jc w:val="center"/>
              <w:rPr>
                <w:bCs/>
                <w:sz w:val="16"/>
                <w:szCs w:val="16"/>
              </w:rPr>
            </w:pPr>
            <w:r w:rsidRPr="006B42D6">
              <w:rPr>
                <w:bCs/>
                <w:sz w:val="16"/>
                <w:szCs w:val="16"/>
              </w:rPr>
              <w:t xml:space="preserve"> Number of Households </w:t>
            </w:r>
          </w:p>
        </w:tc>
        <w:tc>
          <w:tcPr>
            <w:tcW w:w="1397" w:type="dxa"/>
            <w:tcBorders>
              <w:top w:val="single" w:sz="4" w:space="0" w:color="auto"/>
              <w:left w:val="nil"/>
              <w:bottom w:val="single" w:sz="4" w:space="0" w:color="auto"/>
              <w:right w:val="nil"/>
            </w:tcBorders>
            <w:shd w:val="clear" w:color="auto" w:fill="E2EFD9" w:themeFill="accent6" w:themeFillTint="33"/>
            <w:vAlign w:val="center"/>
            <w:hideMark/>
          </w:tcPr>
          <w:p w14:paraId="4FF1B066" w14:textId="06404024" w:rsidR="00895A1D" w:rsidRPr="006B42D6" w:rsidRDefault="00895A1D" w:rsidP="00216F13">
            <w:pPr>
              <w:spacing w:line="276" w:lineRule="auto"/>
              <w:jc w:val="center"/>
              <w:rPr>
                <w:bCs/>
                <w:sz w:val="16"/>
                <w:szCs w:val="16"/>
              </w:rPr>
            </w:pPr>
            <w:r w:rsidRPr="006B42D6">
              <w:rPr>
                <w:bCs/>
                <w:sz w:val="16"/>
                <w:szCs w:val="16"/>
              </w:rPr>
              <w:t xml:space="preserve"> Area covered by permanent crop in </w:t>
            </w:r>
            <w:r w:rsidR="001E3B1A" w:rsidRPr="006B42D6">
              <w:rPr>
                <w:bCs/>
                <w:sz w:val="16"/>
                <w:szCs w:val="16"/>
              </w:rPr>
              <w:t xml:space="preserve">Mixed Crop </w:t>
            </w:r>
            <w:r w:rsidRPr="006B42D6">
              <w:rPr>
                <w:bCs/>
                <w:sz w:val="16"/>
                <w:szCs w:val="16"/>
              </w:rPr>
              <w:t xml:space="preserve">(ha) </w:t>
            </w:r>
          </w:p>
        </w:tc>
        <w:tc>
          <w:tcPr>
            <w:tcW w:w="1294" w:type="dxa"/>
            <w:tcBorders>
              <w:top w:val="single" w:sz="4" w:space="0" w:color="auto"/>
              <w:left w:val="nil"/>
              <w:bottom w:val="single" w:sz="4" w:space="0" w:color="auto"/>
              <w:right w:val="nil"/>
            </w:tcBorders>
            <w:shd w:val="clear" w:color="auto" w:fill="E2EFD9" w:themeFill="accent6" w:themeFillTint="33"/>
            <w:vAlign w:val="center"/>
            <w:hideMark/>
          </w:tcPr>
          <w:p w14:paraId="06092B2D" w14:textId="3993BA76" w:rsidR="00895A1D" w:rsidRPr="006B42D6" w:rsidRDefault="00895A1D" w:rsidP="00216F13">
            <w:pPr>
              <w:spacing w:line="276" w:lineRule="auto"/>
              <w:jc w:val="center"/>
              <w:rPr>
                <w:bCs/>
                <w:sz w:val="16"/>
                <w:szCs w:val="16"/>
              </w:rPr>
            </w:pPr>
            <w:r w:rsidRPr="006B42D6">
              <w:rPr>
                <w:bCs/>
                <w:sz w:val="16"/>
                <w:szCs w:val="16"/>
              </w:rPr>
              <w:t xml:space="preserve"> Total Planted Area (</w:t>
            </w:r>
            <w:r w:rsidR="001E3B1A" w:rsidRPr="006B42D6">
              <w:rPr>
                <w:bCs/>
                <w:sz w:val="16"/>
                <w:szCs w:val="16"/>
              </w:rPr>
              <w:t>Mono + Mixed Crops</w:t>
            </w:r>
            <w:r w:rsidRPr="006B42D6">
              <w:rPr>
                <w:bCs/>
                <w:sz w:val="16"/>
                <w:szCs w:val="16"/>
              </w:rPr>
              <w:t xml:space="preserve">) (ha) </w:t>
            </w:r>
          </w:p>
        </w:tc>
        <w:tc>
          <w:tcPr>
            <w:tcW w:w="949" w:type="dxa"/>
            <w:tcBorders>
              <w:top w:val="single" w:sz="4" w:space="0" w:color="auto"/>
              <w:left w:val="nil"/>
              <w:bottom w:val="single" w:sz="4" w:space="0" w:color="auto"/>
              <w:right w:val="nil"/>
            </w:tcBorders>
            <w:shd w:val="clear" w:color="auto" w:fill="E2EFD9" w:themeFill="accent6" w:themeFillTint="33"/>
            <w:vAlign w:val="center"/>
            <w:hideMark/>
          </w:tcPr>
          <w:p w14:paraId="28CA02F7" w14:textId="77777777" w:rsidR="00895A1D" w:rsidRPr="006B42D6" w:rsidRDefault="00895A1D" w:rsidP="00216F13">
            <w:pPr>
              <w:spacing w:line="276" w:lineRule="auto"/>
              <w:jc w:val="center"/>
              <w:rPr>
                <w:bCs/>
                <w:sz w:val="16"/>
                <w:szCs w:val="16"/>
              </w:rPr>
            </w:pPr>
            <w:r w:rsidRPr="006B42D6">
              <w:rPr>
                <w:bCs/>
                <w:sz w:val="16"/>
                <w:szCs w:val="16"/>
              </w:rPr>
              <w:t xml:space="preserve"> Area Harvested (ha) </w:t>
            </w:r>
          </w:p>
        </w:tc>
        <w:tc>
          <w:tcPr>
            <w:tcW w:w="952" w:type="dxa"/>
            <w:tcBorders>
              <w:top w:val="single" w:sz="4" w:space="0" w:color="auto"/>
              <w:left w:val="nil"/>
              <w:bottom w:val="single" w:sz="4" w:space="0" w:color="auto"/>
              <w:right w:val="nil"/>
            </w:tcBorders>
            <w:shd w:val="clear" w:color="auto" w:fill="E2EFD9" w:themeFill="accent6" w:themeFillTint="33"/>
            <w:vAlign w:val="center"/>
            <w:hideMark/>
          </w:tcPr>
          <w:p w14:paraId="68E0783F" w14:textId="77777777" w:rsidR="00895A1D" w:rsidRPr="006B42D6" w:rsidRDefault="00895A1D" w:rsidP="00216F13">
            <w:pPr>
              <w:spacing w:line="276" w:lineRule="auto"/>
              <w:jc w:val="center"/>
              <w:rPr>
                <w:bCs/>
                <w:sz w:val="16"/>
                <w:szCs w:val="16"/>
              </w:rPr>
            </w:pPr>
            <w:r w:rsidRPr="006B42D6">
              <w:rPr>
                <w:bCs/>
                <w:sz w:val="16"/>
                <w:szCs w:val="16"/>
              </w:rPr>
              <w:t xml:space="preserve"> Quantity harvested (tons) </w:t>
            </w:r>
          </w:p>
        </w:tc>
      </w:tr>
      <w:tr w:rsidR="006B42D6" w:rsidRPr="006B42D6" w14:paraId="6B79B726" w14:textId="77777777" w:rsidTr="00843062">
        <w:trPr>
          <w:trHeight w:val="312"/>
        </w:trPr>
        <w:tc>
          <w:tcPr>
            <w:tcW w:w="1708" w:type="dxa"/>
            <w:tcBorders>
              <w:top w:val="nil"/>
              <w:left w:val="nil"/>
              <w:bottom w:val="nil"/>
            </w:tcBorders>
            <w:shd w:val="clear" w:color="auto" w:fill="auto"/>
            <w:noWrap/>
            <w:vAlign w:val="bottom"/>
            <w:hideMark/>
          </w:tcPr>
          <w:p w14:paraId="5F077235" w14:textId="7DD94BDF" w:rsidR="00895A1D" w:rsidRPr="006B42D6" w:rsidRDefault="00895A1D" w:rsidP="00970387">
            <w:pPr>
              <w:jc w:val="left"/>
              <w:rPr>
                <w:sz w:val="16"/>
                <w:szCs w:val="16"/>
              </w:rPr>
            </w:pPr>
            <w:r w:rsidRPr="006B42D6">
              <w:rPr>
                <w:sz w:val="16"/>
                <w:szCs w:val="16"/>
              </w:rPr>
              <w:t>Dodoma</w:t>
            </w:r>
          </w:p>
        </w:tc>
        <w:tc>
          <w:tcPr>
            <w:tcW w:w="1052" w:type="dxa"/>
            <w:tcBorders>
              <w:top w:val="nil"/>
              <w:bottom w:val="nil"/>
              <w:right w:val="nil"/>
            </w:tcBorders>
            <w:shd w:val="clear" w:color="auto" w:fill="auto"/>
            <w:noWrap/>
            <w:vAlign w:val="bottom"/>
            <w:hideMark/>
          </w:tcPr>
          <w:p w14:paraId="3BB54CB2" w14:textId="7C2DF7FA" w:rsidR="00895A1D" w:rsidRPr="006B42D6" w:rsidRDefault="00895A1D" w:rsidP="00895A1D">
            <w:pPr>
              <w:jc w:val="right"/>
              <w:rPr>
                <w:sz w:val="16"/>
                <w:szCs w:val="16"/>
              </w:rPr>
            </w:pPr>
            <w:r w:rsidRPr="006B42D6">
              <w:rPr>
                <w:sz w:val="16"/>
                <w:szCs w:val="16"/>
              </w:rPr>
              <w:t>210</w:t>
            </w:r>
          </w:p>
        </w:tc>
        <w:tc>
          <w:tcPr>
            <w:tcW w:w="1018" w:type="dxa"/>
            <w:tcBorders>
              <w:top w:val="nil"/>
              <w:left w:val="nil"/>
              <w:bottom w:val="nil"/>
              <w:right w:val="nil"/>
            </w:tcBorders>
            <w:shd w:val="clear" w:color="auto" w:fill="auto"/>
            <w:noWrap/>
            <w:vAlign w:val="bottom"/>
            <w:hideMark/>
          </w:tcPr>
          <w:p w14:paraId="354C22A7" w14:textId="33E07218" w:rsidR="00895A1D" w:rsidRPr="006B42D6" w:rsidRDefault="00895A1D" w:rsidP="00895A1D">
            <w:pPr>
              <w:jc w:val="right"/>
              <w:rPr>
                <w:sz w:val="16"/>
                <w:szCs w:val="16"/>
              </w:rPr>
            </w:pPr>
            <w:r w:rsidRPr="006B42D6">
              <w:rPr>
                <w:sz w:val="16"/>
                <w:szCs w:val="16"/>
              </w:rPr>
              <w:t>21</w:t>
            </w:r>
          </w:p>
        </w:tc>
        <w:tc>
          <w:tcPr>
            <w:tcW w:w="1052" w:type="dxa"/>
            <w:tcBorders>
              <w:top w:val="nil"/>
              <w:left w:val="nil"/>
              <w:bottom w:val="nil"/>
              <w:right w:val="nil"/>
            </w:tcBorders>
            <w:shd w:val="clear" w:color="auto" w:fill="auto"/>
            <w:noWrap/>
            <w:vAlign w:val="bottom"/>
            <w:hideMark/>
          </w:tcPr>
          <w:p w14:paraId="44DA4047" w14:textId="5F374270" w:rsidR="00895A1D" w:rsidRPr="006B42D6" w:rsidRDefault="00895A1D" w:rsidP="00895A1D">
            <w:pPr>
              <w:jc w:val="right"/>
              <w:rPr>
                <w:sz w:val="16"/>
                <w:szCs w:val="16"/>
              </w:rPr>
            </w:pPr>
            <w:r w:rsidRPr="006B42D6">
              <w:rPr>
                <w:sz w:val="16"/>
                <w:szCs w:val="16"/>
              </w:rPr>
              <w:t>-</w:t>
            </w:r>
          </w:p>
        </w:tc>
        <w:tc>
          <w:tcPr>
            <w:tcW w:w="1397" w:type="dxa"/>
            <w:tcBorders>
              <w:top w:val="nil"/>
              <w:left w:val="nil"/>
              <w:bottom w:val="nil"/>
              <w:right w:val="nil"/>
            </w:tcBorders>
            <w:shd w:val="clear" w:color="auto" w:fill="auto"/>
            <w:noWrap/>
            <w:vAlign w:val="bottom"/>
            <w:hideMark/>
          </w:tcPr>
          <w:p w14:paraId="03E0B4F2" w14:textId="292180CB" w:rsidR="00895A1D" w:rsidRPr="006B42D6" w:rsidRDefault="00895A1D" w:rsidP="00895A1D">
            <w:pPr>
              <w:jc w:val="right"/>
              <w:rPr>
                <w:sz w:val="16"/>
                <w:szCs w:val="16"/>
              </w:rPr>
            </w:pPr>
            <w:r w:rsidRPr="006B42D6">
              <w:rPr>
                <w:sz w:val="16"/>
                <w:szCs w:val="16"/>
              </w:rPr>
              <w:t>-</w:t>
            </w:r>
          </w:p>
        </w:tc>
        <w:tc>
          <w:tcPr>
            <w:tcW w:w="1294" w:type="dxa"/>
            <w:tcBorders>
              <w:top w:val="nil"/>
              <w:left w:val="nil"/>
              <w:bottom w:val="nil"/>
              <w:right w:val="nil"/>
            </w:tcBorders>
            <w:shd w:val="clear" w:color="auto" w:fill="auto"/>
            <w:noWrap/>
            <w:vAlign w:val="bottom"/>
            <w:hideMark/>
          </w:tcPr>
          <w:p w14:paraId="5E8A5086" w14:textId="67D0B7BF" w:rsidR="00895A1D" w:rsidRPr="006B42D6" w:rsidRDefault="00895A1D" w:rsidP="00895A1D">
            <w:pPr>
              <w:jc w:val="right"/>
              <w:rPr>
                <w:sz w:val="16"/>
                <w:szCs w:val="16"/>
              </w:rPr>
            </w:pPr>
            <w:r w:rsidRPr="006B42D6">
              <w:rPr>
                <w:sz w:val="16"/>
                <w:szCs w:val="16"/>
              </w:rPr>
              <w:t>21</w:t>
            </w:r>
          </w:p>
        </w:tc>
        <w:tc>
          <w:tcPr>
            <w:tcW w:w="949" w:type="dxa"/>
            <w:tcBorders>
              <w:top w:val="nil"/>
              <w:left w:val="nil"/>
              <w:bottom w:val="nil"/>
              <w:right w:val="nil"/>
            </w:tcBorders>
            <w:shd w:val="clear" w:color="auto" w:fill="auto"/>
            <w:noWrap/>
            <w:vAlign w:val="bottom"/>
            <w:hideMark/>
          </w:tcPr>
          <w:p w14:paraId="7B400FC0" w14:textId="47D45BAD" w:rsidR="00895A1D" w:rsidRPr="006B42D6" w:rsidRDefault="00895A1D" w:rsidP="00895A1D">
            <w:pPr>
              <w:jc w:val="right"/>
              <w:rPr>
                <w:sz w:val="16"/>
                <w:szCs w:val="16"/>
              </w:rPr>
            </w:pPr>
            <w:r w:rsidRPr="006B42D6">
              <w:rPr>
                <w:sz w:val="16"/>
                <w:szCs w:val="16"/>
              </w:rPr>
              <w:t>-</w:t>
            </w:r>
          </w:p>
        </w:tc>
        <w:tc>
          <w:tcPr>
            <w:tcW w:w="952" w:type="dxa"/>
            <w:tcBorders>
              <w:top w:val="nil"/>
              <w:left w:val="nil"/>
              <w:bottom w:val="nil"/>
              <w:right w:val="nil"/>
            </w:tcBorders>
            <w:shd w:val="clear" w:color="auto" w:fill="auto"/>
            <w:noWrap/>
            <w:vAlign w:val="bottom"/>
            <w:hideMark/>
          </w:tcPr>
          <w:p w14:paraId="63A9283E" w14:textId="4CCAA441" w:rsidR="00895A1D" w:rsidRPr="006B42D6" w:rsidRDefault="00895A1D" w:rsidP="00895A1D">
            <w:pPr>
              <w:jc w:val="right"/>
              <w:rPr>
                <w:sz w:val="16"/>
                <w:szCs w:val="16"/>
              </w:rPr>
            </w:pPr>
            <w:r w:rsidRPr="006B42D6">
              <w:rPr>
                <w:sz w:val="16"/>
                <w:szCs w:val="16"/>
              </w:rPr>
              <w:t>-</w:t>
            </w:r>
          </w:p>
        </w:tc>
      </w:tr>
      <w:tr w:rsidR="006B42D6" w:rsidRPr="006B42D6" w14:paraId="1C2C9A35" w14:textId="77777777" w:rsidTr="00843062">
        <w:trPr>
          <w:trHeight w:val="312"/>
        </w:trPr>
        <w:tc>
          <w:tcPr>
            <w:tcW w:w="1708" w:type="dxa"/>
            <w:tcBorders>
              <w:top w:val="nil"/>
              <w:left w:val="nil"/>
              <w:bottom w:val="nil"/>
            </w:tcBorders>
            <w:shd w:val="clear" w:color="auto" w:fill="auto"/>
            <w:noWrap/>
            <w:vAlign w:val="bottom"/>
            <w:hideMark/>
          </w:tcPr>
          <w:p w14:paraId="37742AD6" w14:textId="0DACAA4D" w:rsidR="00895A1D" w:rsidRPr="006B42D6" w:rsidRDefault="00895A1D" w:rsidP="00970387">
            <w:pPr>
              <w:jc w:val="left"/>
              <w:rPr>
                <w:sz w:val="16"/>
                <w:szCs w:val="16"/>
              </w:rPr>
            </w:pPr>
            <w:r w:rsidRPr="006B42D6">
              <w:rPr>
                <w:sz w:val="16"/>
                <w:szCs w:val="16"/>
              </w:rPr>
              <w:t>Arusha</w:t>
            </w:r>
          </w:p>
        </w:tc>
        <w:tc>
          <w:tcPr>
            <w:tcW w:w="1052" w:type="dxa"/>
            <w:tcBorders>
              <w:top w:val="nil"/>
              <w:bottom w:val="nil"/>
              <w:right w:val="nil"/>
            </w:tcBorders>
            <w:shd w:val="clear" w:color="auto" w:fill="auto"/>
            <w:noWrap/>
            <w:vAlign w:val="bottom"/>
            <w:hideMark/>
          </w:tcPr>
          <w:p w14:paraId="7E9C1B4C" w14:textId="0F4AAE8C" w:rsidR="00895A1D" w:rsidRPr="006B42D6" w:rsidRDefault="00895A1D" w:rsidP="00895A1D">
            <w:pPr>
              <w:jc w:val="right"/>
              <w:rPr>
                <w:sz w:val="16"/>
                <w:szCs w:val="16"/>
              </w:rPr>
            </w:pPr>
            <w:r w:rsidRPr="006B42D6">
              <w:rPr>
                <w:sz w:val="16"/>
                <w:szCs w:val="16"/>
              </w:rPr>
              <w:t>-</w:t>
            </w:r>
          </w:p>
        </w:tc>
        <w:tc>
          <w:tcPr>
            <w:tcW w:w="1018" w:type="dxa"/>
            <w:tcBorders>
              <w:top w:val="nil"/>
              <w:left w:val="nil"/>
              <w:bottom w:val="nil"/>
              <w:right w:val="nil"/>
            </w:tcBorders>
            <w:shd w:val="clear" w:color="auto" w:fill="auto"/>
            <w:noWrap/>
            <w:vAlign w:val="bottom"/>
            <w:hideMark/>
          </w:tcPr>
          <w:p w14:paraId="45D01E5B" w14:textId="6ECF0B8E" w:rsidR="00895A1D" w:rsidRPr="006B42D6" w:rsidRDefault="00895A1D" w:rsidP="00895A1D">
            <w:pPr>
              <w:jc w:val="right"/>
              <w:rPr>
                <w:sz w:val="16"/>
                <w:szCs w:val="16"/>
              </w:rPr>
            </w:pPr>
            <w:r w:rsidRPr="006B42D6">
              <w:rPr>
                <w:sz w:val="16"/>
                <w:szCs w:val="16"/>
              </w:rPr>
              <w:t>-</w:t>
            </w:r>
          </w:p>
        </w:tc>
        <w:tc>
          <w:tcPr>
            <w:tcW w:w="1052" w:type="dxa"/>
            <w:tcBorders>
              <w:top w:val="nil"/>
              <w:left w:val="nil"/>
              <w:bottom w:val="nil"/>
              <w:right w:val="nil"/>
            </w:tcBorders>
            <w:shd w:val="clear" w:color="auto" w:fill="auto"/>
            <w:noWrap/>
            <w:vAlign w:val="bottom"/>
            <w:hideMark/>
          </w:tcPr>
          <w:p w14:paraId="5C296AB0" w14:textId="1B8FFF4F" w:rsidR="00895A1D" w:rsidRPr="006B42D6" w:rsidRDefault="00895A1D" w:rsidP="00895A1D">
            <w:pPr>
              <w:jc w:val="right"/>
              <w:rPr>
                <w:sz w:val="16"/>
                <w:szCs w:val="16"/>
              </w:rPr>
            </w:pPr>
            <w:r w:rsidRPr="006B42D6">
              <w:rPr>
                <w:sz w:val="16"/>
                <w:szCs w:val="16"/>
              </w:rPr>
              <w:t>-</w:t>
            </w:r>
          </w:p>
        </w:tc>
        <w:tc>
          <w:tcPr>
            <w:tcW w:w="1397" w:type="dxa"/>
            <w:tcBorders>
              <w:top w:val="nil"/>
              <w:left w:val="nil"/>
              <w:bottom w:val="nil"/>
              <w:right w:val="nil"/>
            </w:tcBorders>
            <w:shd w:val="clear" w:color="auto" w:fill="auto"/>
            <w:noWrap/>
            <w:vAlign w:val="bottom"/>
            <w:hideMark/>
          </w:tcPr>
          <w:p w14:paraId="3BEED5C7" w14:textId="505DD462" w:rsidR="00895A1D" w:rsidRPr="006B42D6" w:rsidRDefault="00895A1D" w:rsidP="00895A1D">
            <w:pPr>
              <w:jc w:val="right"/>
              <w:rPr>
                <w:sz w:val="16"/>
                <w:szCs w:val="16"/>
              </w:rPr>
            </w:pPr>
            <w:r w:rsidRPr="006B42D6">
              <w:rPr>
                <w:sz w:val="16"/>
                <w:szCs w:val="16"/>
              </w:rPr>
              <w:t>-</w:t>
            </w:r>
          </w:p>
        </w:tc>
        <w:tc>
          <w:tcPr>
            <w:tcW w:w="1294" w:type="dxa"/>
            <w:tcBorders>
              <w:top w:val="nil"/>
              <w:left w:val="nil"/>
              <w:bottom w:val="nil"/>
              <w:right w:val="nil"/>
            </w:tcBorders>
            <w:shd w:val="clear" w:color="auto" w:fill="auto"/>
            <w:noWrap/>
            <w:vAlign w:val="bottom"/>
            <w:hideMark/>
          </w:tcPr>
          <w:p w14:paraId="548C0616" w14:textId="1730A7E1" w:rsidR="00895A1D" w:rsidRPr="006B42D6" w:rsidRDefault="00895A1D" w:rsidP="00895A1D">
            <w:pPr>
              <w:jc w:val="right"/>
              <w:rPr>
                <w:sz w:val="16"/>
                <w:szCs w:val="16"/>
              </w:rPr>
            </w:pPr>
            <w:r w:rsidRPr="006B42D6">
              <w:rPr>
                <w:sz w:val="16"/>
                <w:szCs w:val="16"/>
              </w:rPr>
              <w:t>-</w:t>
            </w:r>
          </w:p>
        </w:tc>
        <w:tc>
          <w:tcPr>
            <w:tcW w:w="949" w:type="dxa"/>
            <w:tcBorders>
              <w:top w:val="nil"/>
              <w:left w:val="nil"/>
              <w:bottom w:val="nil"/>
              <w:right w:val="nil"/>
            </w:tcBorders>
            <w:shd w:val="clear" w:color="auto" w:fill="auto"/>
            <w:noWrap/>
            <w:vAlign w:val="bottom"/>
            <w:hideMark/>
          </w:tcPr>
          <w:p w14:paraId="1AD26F2F" w14:textId="194382CB" w:rsidR="00895A1D" w:rsidRPr="006B42D6" w:rsidRDefault="00895A1D" w:rsidP="00895A1D">
            <w:pPr>
              <w:jc w:val="right"/>
              <w:rPr>
                <w:sz w:val="16"/>
                <w:szCs w:val="16"/>
              </w:rPr>
            </w:pPr>
            <w:r w:rsidRPr="006B42D6">
              <w:rPr>
                <w:sz w:val="16"/>
                <w:szCs w:val="16"/>
              </w:rPr>
              <w:t>-</w:t>
            </w:r>
          </w:p>
        </w:tc>
        <w:tc>
          <w:tcPr>
            <w:tcW w:w="952" w:type="dxa"/>
            <w:tcBorders>
              <w:top w:val="nil"/>
              <w:left w:val="nil"/>
              <w:bottom w:val="nil"/>
              <w:right w:val="nil"/>
            </w:tcBorders>
            <w:shd w:val="clear" w:color="auto" w:fill="auto"/>
            <w:noWrap/>
            <w:vAlign w:val="bottom"/>
            <w:hideMark/>
          </w:tcPr>
          <w:p w14:paraId="160014DA" w14:textId="0B20F3B6" w:rsidR="00895A1D" w:rsidRPr="006B42D6" w:rsidRDefault="00895A1D" w:rsidP="00895A1D">
            <w:pPr>
              <w:jc w:val="right"/>
              <w:rPr>
                <w:sz w:val="16"/>
                <w:szCs w:val="16"/>
              </w:rPr>
            </w:pPr>
            <w:r w:rsidRPr="006B42D6">
              <w:rPr>
                <w:sz w:val="16"/>
                <w:szCs w:val="16"/>
              </w:rPr>
              <w:t>-</w:t>
            </w:r>
          </w:p>
        </w:tc>
      </w:tr>
      <w:tr w:rsidR="006B42D6" w:rsidRPr="006B42D6" w14:paraId="3CA483B7" w14:textId="77777777" w:rsidTr="00843062">
        <w:trPr>
          <w:trHeight w:val="312"/>
        </w:trPr>
        <w:tc>
          <w:tcPr>
            <w:tcW w:w="1708" w:type="dxa"/>
            <w:tcBorders>
              <w:top w:val="nil"/>
              <w:left w:val="nil"/>
              <w:bottom w:val="nil"/>
            </w:tcBorders>
            <w:shd w:val="clear" w:color="auto" w:fill="auto"/>
            <w:noWrap/>
            <w:vAlign w:val="bottom"/>
            <w:hideMark/>
          </w:tcPr>
          <w:p w14:paraId="7624A0C4" w14:textId="1B636A0B" w:rsidR="00895A1D" w:rsidRPr="006B42D6" w:rsidRDefault="00895A1D" w:rsidP="00970387">
            <w:pPr>
              <w:jc w:val="left"/>
              <w:rPr>
                <w:sz w:val="16"/>
                <w:szCs w:val="16"/>
              </w:rPr>
            </w:pPr>
            <w:r w:rsidRPr="006B42D6">
              <w:rPr>
                <w:sz w:val="16"/>
                <w:szCs w:val="16"/>
              </w:rPr>
              <w:t>Kilimanjaro</w:t>
            </w:r>
          </w:p>
        </w:tc>
        <w:tc>
          <w:tcPr>
            <w:tcW w:w="1052" w:type="dxa"/>
            <w:tcBorders>
              <w:top w:val="nil"/>
              <w:bottom w:val="nil"/>
              <w:right w:val="nil"/>
            </w:tcBorders>
            <w:shd w:val="clear" w:color="auto" w:fill="auto"/>
            <w:noWrap/>
            <w:vAlign w:val="bottom"/>
            <w:hideMark/>
          </w:tcPr>
          <w:p w14:paraId="76388446" w14:textId="4471DE10" w:rsidR="00895A1D" w:rsidRPr="006B42D6" w:rsidRDefault="00895A1D" w:rsidP="00895A1D">
            <w:pPr>
              <w:jc w:val="right"/>
              <w:rPr>
                <w:sz w:val="16"/>
                <w:szCs w:val="16"/>
              </w:rPr>
            </w:pPr>
            <w:r w:rsidRPr="006B42D6">
              <w:rPr>
                <w:sz w:val="16"/>
                <w:szCs w:val="16"/>
              </w:rPr>
              <w:t>-</w:t>
            </w:r>
          </w:p>
        </w:tc>
        <w:tc>
          <w:tcPr>
            <w:tcW w:w="1018" w:type="dxa"/>
            <w:tcBorders>
              <w:top w:val="nil"/>
              <w:left w:val="nil"/>
              <w:bottom w:val="nil"/>
              <w:right w:val="nil"/>
            </w:tcBorders>
            <w:shd w:val="clear" w:color="auto" w:fill="auto"/>
            <w:noWrap/>
            <w:vAlign w:val="bottom"/>
            <w:hideMark/>
          </w:tcPr>
          <w:p w14:paraId="7137620B" w14:textId="24FAB676" w:rsidR="00895A1D" w:rsidRPr="006B42D6" w:rsidRDefault="00895A1D" w:rsidP="00895A1D">
            <w:pPr>
              <w:jc w:val="right"/>
              <w:rPr>
                <w:sz w:val="16"/>
                <w:szCs w:val="16"/>
              </w:rPr>
            </w:pPr>
            <w:r w:rsidRPr="006B42D6">
              <w:rPr>
                <w:sz w:val="16"/>
                <w:szCs w:val="16"/>
              </w:rPr>
              <w:t>-</w:t>
            </w:r>
          </w:p>
        </w:tc>
        <w:tc>
          <w:tcPr>
            <w:tcW w:w="1052" w:type="dxa"/>
            <w:tcBorders>
              <w:top w:val="nil"/>
              <w:left w:val="nil"/>
              <w:bottom w:val="nil"/>
              <w:right w:val="nil"/>
            </w:tcBorders>
            <w:shd w:val="clear" w:color="auto" w:fill="auto"/>
            <w:noWrap/>
            <w:vAlign w:val="bottom"/>
            <w:hideMark/>
          </w:tcPr>
          <w:p w14:paraId="74B9407F" w14:textId="64A6ED77" w:rsidR="00895A1D" w:rsidRPr="006B42D6" w:rsidRDefault="00895A1D" w:rsidP="00895A1D">
            <w:pPr>
              <w:jc w:val="right"/>
              <w:rPr>
                <w:sz w:val="16"/>
                <w:szCs w:val="16"/>
              </w:rPr>
            </w:pPr>
            <w:r w:rsidRPr="006B42D6">
              <w:rPr>
                <w:sz w:val="16"/>
                <w:szCs w:val="16"/>
              </w:rPr>
              <w:t>-</w:t>
            </w:r>
          </w:p>
        </w:tc>
        <w:tc>
          <w:tcPr>
            <w:tcW w:w="1397" w:type="dxa"/>
            <w:tcBorders>
              <w:top w:val="nil"/>
              <w:left w:val="nil"/>
              <w:bottom w:val="nil"/>
              <w:right w:val="nil"/>
            </w:tcBorders>
            <w:shd w:val="clear" w:color="auto" w:fill="auto"/>
            <w:noWrap/>
            <w:vAlign w:val="bottom"/>
            <w:hideMark/>
          </w:tcPr>
          <w:p w14:paraId="01EC35C3" w14:textId="1B8B5CF4" w:rsidR="00895A1D" w:rsidRPr="006B42D6" w:rsidRDefault="00895A1D" w:rsidP="00895A1D">
            <w:pPr>
              <w:jc w:val="right"/>
              <w:rPr>
                <w:sz w:val="16"/>
                <w:szCs w:val="16"/>
              </w:rPr>
            </w:pPr>
            <w:r w:rsidRPr="006B42D6">
              <w:rPr>
                <w:sz w:val="16"/>
                <w:szCs w:val="16"/>
              </w:rPr>
              <w:t>-</w:t>
            </w:r>
          </w:p>
        </w:tc>
        <w:tc>
          <w:tcPr>
            <w:tcW w:w="1294" w:type="dxa"/>
            <w:tcBorders>
              <w:top w:val="nil"/>
              <w:left w:val="nil"/>
              <w:bottom w:val="nil"/>
              <w:right w:val="nil"/>
            </w:tcBorders>
            <w:shd w:val="clear" w:color="auto" w:fill="auto"/>
            <w:noWrap/>
            <w:vAlign w:val="bottom"/>
            <w:hideMark/>
          </w:tcPr>
          <w:p w14:paraId="5DD7236C" w14:textId="75322BE0" w:rsidR="00895A1D" w:rsidRPr="006B42D6" w:rsidRDefault="00895A1D" w:rsidP="00895A1D">
            <w:pPr>
              <w:jc w:val="right"/>
              <w:rPr>
                <w:sz w:val="16"/>
                <w:szCs w:val="16"/>
              </w:rPr>
            </w:pPr>
            <w:r w:rsidRPr="006B42D6">
              <w:rPr>
                <w:sz w:val="16"/>
                <w:szCs w:val="16"/>
              </w:rPr>
              <w:t>-</w:t>
            </w:r>
          </w:p>
        </w:tc>
        <w:tc>
          <w:tcPr>
            <w:tcW w:w="949" w:type="dxa"/>
            <w:tcBorders>
              <w:top w:val="nil"/>
              <w:left w:val="nil"/>
              <w:bottom w:val="nil"/>
              <w:right w:val="nil"/>
            </w:tcBorders>
            <w:shd w:val="clear" w:color="auto" w:fill="auto"/>
            <w:noWrap/>
            <w:vAlign w:val="bottom"/>
            <w:hideMark/>
          </w:tcPr>
          <w:p w14:paraId="2176DF2C" w14:textId="06913CB5" w:rsidR="00895A1D" w:rsidRPr="006B42D6" w:rsidRDefault="00895A1D" w:rsidP="00895A1D">
            <w:pPr>
              <w:jc w:val="right"/>
              <w:rPr>
                <w:sz w:val="16"/>
                <w:szCs w:val="16"/>
              </w:rPr>
            </w:pPr>
            <w:r w:rsidRPr="006B42D6">
              <w:rPr>
                <w:sz w:val="16"/>
                <w:szCs w:val="16"/>
              </w:rPr>
              <w:t>-</w:t>
            </w:r>
          </w:p>
        </w:tc>
        <w:tc>
          <w:tcPr>
            <w:tcW w:w="952" w:type="dxa"/>
            <w:tcBorders>
              <w:top w:val="nil"/>
              <w:left w:val="nil"/>
              <w:bottom w:val="nil"/>
              <w:right w:val="nil"/>
            </w:tcBorders>
            <w:shd w:val="clear" w:color="auto" w:fill="auto"/>
            <w:noWrap/>
            <w:vAlign w:val="bottom"/>
            <w:hideMark/>
          </w:tcPr>
          <w:p w14:paraId="685C6BE8" w14:textId="07EE43B4" w:rsidR="00895A1D" w:rsidRPr="006B42D6" w:rsidRDefault="00895A1D" w:rsidP="00895A1D">
            <w:pPr>
              <w:jc w:val="right"/>
              <w:rPr>
                <w:sz w:val="16"/>
                <w:szCs w:val="16"/>
              </w:rPr>
            </w:pPr>
            <w:r w:rsidRPr="006B42D6">
              <w:rPr>
                <w:sz w:val="16"/>
                <w:szCs w:val="16"/>
              </w:rPr>
              <w:t>-</w:t>
            </w:r>
          </w:p>
        </w:tc>
      </w:tr>
      <w:tr w:rsidR="006B42D6" w:rsidRPr="006B42D6" w14:paraId="66DD1EA6" w14:textId="77777777" w:rsidTr="00843062">
        <w:trPr>
          <w:trHeight w:val="312"/>
        </w:trPr>
        <w:tc>
          <w:tcPr>
            <w:tcW w:w="1708" w:type="dxa"/>
            <w:tcBorders>
              <w:top w:val="nil"/>
              <w:left w:val="nil"/>
              <w:bottom w:val="nil"/>
            </w:tcBorders>
            <w:shd w:val="clear" w:color="auto" w:fill="auto"/>
            <w:noWrap/>
            <w:vAlign w:val="bottom"/>
            <w:hideMark/>
          </w:tcPr>
          <w:p w14:paraId="0E5DD48E" w14:textId="0D571D12" w:rsidR="00895A1D" w:rsidRPr="006B42D6" w:rsidRDefault="00895A1D" w:rsidP="00970387">
            <w:pPr>
              <w:jc w:val="left"/>
              <w:rPr>
                <w:sz w:val="16"/>
                <w:szCs w:val="16"/>
              </w:rPr>
            </w:pPr>
            <w:r w:rsidRPr="006B42D6">
              <w:rPr>
                <w:sz w:val="16"/>
                <w:szCs w:val="16"/>
              </w:rPr>
              <w:t>Tanga</w:t>
            </w:r>
          </w:p>
        </w:tc>
        <w:tc>
          <w:tcPr>
            <w:tcW w:w="1052" w:type="dxa"/>
            <w:tcBorders>
              <w:top w:val="nil"/>
              <w:bottom w:val="nil"/>
              <w:right w:val="nil"/>
            </w:tcBorders>
            <w:shd w:val="clear" w:color="auto" w:fill="auto"/>
            <w:noWrap/>
            <w:vAlign w:val="bottom"/>
            <w:hideMark/>
          </w:tcPr>
          <w:p w14:paraId="40B01398" w14:textId="7AB1CCEE" w:rsidR="00895A1D" w:rsidRPr="006B42D6" w:rsidRDefault="00895A1D" w:rsidP="00895A1D">
            <w:pPr>
              <w:jc w:val="right"/>
              <w:rPr>
                <w:sz w:val="16"/>
                <w:szCs w:val="16"/>
              </w:rPr>
            </w:pPr>
            <w:r w:rsidRPr="006B42D6">
              <w:rPr>
                <w:sz w:val="16"/>
                <w:szCs w:val="16"/>
              </w:rPr>
              <w:t>-</w:t>
            </w:r>
          </w:p>
        </w:tc>
        <w:tc>
          <w:tcPr>
            <w:tcW w:w="1018" w:type="dxa"/>
            <w:tcBorders>
              <w:top w:val="nil"/>
              <w:left w:val="nil"/>
              <w:bottom w:val="nil"/>
              <w:right w:val="nil"/>
            </w:tcBorders>
            <w:shd w:val="clear" w:color="auto" w:fill="auto"/>
            <w:noWrap/>
            <w:vAlign w:val="bottom"/>
            <w:hideMark/>
          </w:tcPr>
          <w:p w14:paraId="3DEC770D" w14:textId="0059AF8C" w:rsidR="00895A1D" w:rsidRPr="006B42D6" w:rsidRDefault="00895A1D" w:rsidP="00895A1D">
            <w:pPr>
              <w:jc w:val="right"/>
              <w:rPr>
                <w:sz w:val="16"/>
                <w:szCs w:val="16"/>
              </w:rPr>
            </w:pPr>
            <w:r w:rsidRPr="006B42D6">
              <w:rPr>
                <w:sz w:val="16"/>
                <w:szCs w:val="16"/>
              </w:rPr>
              <w:t>-</w:t>
            </w:r>
          </w:p>
        </w:tc>
        <w:tc>
          <w:tcPr>
            <w:tcW w:w="1052" w:type="dxa"/>
            <w:tcBorders>
              <w:top w:val="nil"/>
              <w:left w:val="nil"/>
              <w:bottom w:val="nil"/>
              <w:right w:val="nil"/>
            </w:tcBorders>
            <w:shd w:val="clear" w:color="auto" w:fill="auto"/>
            <w:noWrap/>
            <w:vAlign w:val="bottom"/>
            <w:hideMark/>
          </w:tcPr>
          <w:p w14:paraId="339FF67B" w14:textId="05D55A41" w:rsidR="00895A1D" w:rsidRPr="006B42D6" w:rsidRDefault="00895A1D" w:rsidP="00895A1D">
            <w:pPr>
              <w:jc w:val="right"/>
              <w:rPr>
                <w:sz w:val="16"/>
                <w:szCs w:val="16"/>
              </w:rPr>
            </w:pPr>
            <w:r w:rsidRPr="006B42D6">
              <w:rPr>
                <w:sz w:val="16"/>
                <w:szCs w:val="16"/>
              </w:rPr>
              <w:t>1,639</w:t>
            </w:r>
          </w:p>
        </w:tc>
        <w:tc>
          <w:tcPr>
            <w:tcW w:w="1397" w:type="dxa"/>
            <w:tcBorders>
              <w:top w:val="nil"/>
              <w:left w:val="nil"/>
              <w:bottom w:val="nil"/>
              <w:right w:val="nil"/>
            </w:tcBorders>
            <w:shd w:val="clear" w:color="auto" w:fill="auto"/>
            <w:noWrap/>
            <w:vAlign w:val="bottom"/>
            <w:hideMark/>
          </w:tcPr>
          <w:p w14:paraId="1ABF8E79" w14:textId="03409293" w:rsidR="00895A1D" w:rsidRPr="006B42D6" w:rsidRDefault="00895A1D" w:rsidP="00895A1D">
            <w:pPr>
              <w:jc w:val="right"/>
              <w:rPr>
                <w:sz w:val="16"/>
                <w:szCs w:val="16"/>
              </w:rPr>
            </w:pPr>
            <w:r w:rsidRPr="006B42D6">
              <w:rPr>
                <w:sz w:val="16"/>
                <w:szCs w:val="16"/>
              </w:rPr>
              <w:t>346</w:t>
            </w:r>
          </w:p>
        </w:tc>
        <w:tc>
          <w:tcPr>
            <w:tcW w:w="1294" w:type="dxa"/>
            <w:tcBorders>
              <w:top w:val="nil"/>
              <w:left w:val="nil"/>
              <w:bottom w:val="nil"/>
              <w:right w:val="nil"/>
            </w:tcBorders>
            <w:shd w:val="clear" w:color="auto" w:fill="auto"/>
            <w:noWrap/>
            <w:vAlign w:val="bottom"/>
            <w:hideMark/>
          </w:tcPr>
          <w:p w14:paraId="41C97DDE" w14:textId="47E46664" w:rsidR="00895A1D" w:rsidRPr="006B42D6" w:rsidRDefault="00895A1D" w:rsidP="00895A1D">
            <w:pPr>
              <w:jc w:val="right"/>
              <w:rPr>
                <w:sz w:val="16"/>
                <w:szCs w:val="16"/>
              </w:rPr>
            </w:pPr>
            <w:r w:rsidRPr="006B42D6">
              <w:rPr>
                <w:sz w:val="16"/>
                <w:szCs w:val="16"/>
              </w:rPr>
              <w:t>346</w:t>
            </w:r>
          </w:p>
        </w:tc>
        <w:tc>
          <w:tcPr>
            <w:tcW w:w="949" w:type="dxa"/>
            <w:tcBorders>
              <w:top w:val="nil"/>
              <w:left w:val="nil"/>
              <w:bottom w:val="nil"/>
              <w:right w:val="nil"/>
            </w:tcBorders>
            <w:shd w:val="clear" w:color="auto" w:fill="auto"/>
            <w:noWrap/>
            <w:vAlign w:val="bottom"/>
            <w:hideMark/>
          </w:tcPr>
          <w:p w14:paraId="69EE732E" w14:textId="44451862" w:rsidR="00895A1D" w:rsidRPr="006B42D6" w:rsidRDefault="00895A1D" w:rsidP="00895A1D">
            <w:pPr>
              <w:jc w:val="right"/>
              <w:rPr>
                <w:sz w:val="16"/>
                <w:szCs w:val="16"/>
              </w:rPr>
            </w:pPr>
            <w:r w:rsidRPr="006B42D6">
              <w:rPr>
                <w:sz w:val="16"/>
                <w:szCs w:val="16"/>
              </w:rPr>
              <w:t>212</w:t>
            </w:r>
          </w:p>
        </w:tc>
        <w:tc>
          <w:tcPr>
            <w:tcW w:w="952" w:type="dxa"/>
            <w:tcBorders>
              <w:top w:val="nil"/>
              <w:left w:val="nil"/>
              <w:bottom w:val="nil"/>
              <w:right w:val="nil"/>
            </w:tcBorders>
            <w:shd w:val="clear" w:color="auto" w:fill="auto"/>
            <w:noWrap/>
            <w:vAlign w:val="bottom"/>
            <w:hideMark/>
          </w:tcPr>
          <w:p w14:paraId="7BC59B20" w14:textId="113B28E8" w:rsidR="00895A1D" w:rsidRPr="006B42D6" w:rsidRDefault="00895A1D" w:rsidP="00895A1D">
            <w:pPr>
              <w:jc w:val="right"/>
              <w:rPr>
                <w:sz w:val="16"/>
                <w:szCs w:val="16"/>
              </w:rPr>
            </w:pPr>
            <w:r w:rsidRPr="006B42D6">
              <w:rPr>
                <w:sz w:val="16"/>
                <w:szCs w:val="16"/>
              </w:rPr>
              <w:t>246</w:t>
            </w:r>
          </w:p>
        </w:tc>
      </w:tr>
      <w:tr w:rsidR="006B42D6" w:rsidRPr="006B42D6" w14:paraId="49BFE527" w14:textId="77777777" w:rsidTr="00843062">
        <w:trPr>
          <w:trHeight w:val="312"/>
        </w:trPr>
        <w:tc>
          <w:tcPr>
            <w:tcW w:w="1708" w:type="dxa"/>
            <w:tcBorders>
              <w:top w:val="nil"/>
              <w:left w:val="nil"/>
              <w:bottom w:val="nil"/>
            </w:tcBorders>
            <w:shd w:val="clear" w:color="auto" w:fill="auto"/>
            <w:noWrap/>
            <w:vAlign w:val="bottom"/>
            <w:hideMark/>
          </w:tcPr>
          <w:p w14:paraId="4BEDA23E" w14:textId="27B785AF" w:rsidR="00895A1D" w:rsidRPr="006B42D6" w:rsidRDefault="00895A1D" w:rsidP="00970387">
            <w:pPr>
              <w:jc w:val="left"/>
              <w:rPr>
                <w:sz w:val="16"/>
                <w:szCs w:val="16"/>
              </w:rPr>
            </w:pPr>
            <w:r w:rsidRPr="006B42D6">
              <w:rPr>
                <w:sz w:val="16"/>
                <w:szCs w:val="16"/>
              </w:rPr>
              <w:t>Morogoro</w:t>
            </w:r>
          </w:p>
        </w:tc>
        <w:tc>
          <w:tcPr>
            <w:tcW w:w="1052" w:type="dxa"/>
            <w:tcBorders>
              <w:top w:val="nil"/>
              <w:bottom w:val="nil"/>
              <w:right w:val="nil"/>
            </w:tcBorders>
            <w:shd w:val="clear" w:color="auto" w:fill="auto"/>
            <w:noWrap/>
            <w:vAlign w:val="bottom"/>
            <w:hideMark/>
          </w:tcPr>
          <w:p w14:paraId="7675F97D" w14:textId="11493B75" w:rsidR="00895A1D" w:rsidRPr="006B42D6" w:rsidRDefault="00895A1D" w:rsidP="00895A1D">
            <w:pPr>
              <w:jc w:val="right"/>
              <w:rPr>
                <w:sz w:val="16"/>
                <w:szCs w:val="16"/>
              </w:rPr>
            </w:pPr>
            <w:r w:rsidRPr="006B42D6">
              <w:rPr>
                <w:sz w:val="16"/>
                <w:szCs w:val="16"/>
              </w:rPr>
              <w:t>964</w:t>
            </w:r>
          </w:p>
        </w:tc>
        <w:tc>
          <w:tcPr>
            <w:tcW w:w="1018" w:type="dxa"/>
            <w:tcBorders>
              <w:top w:val="nil"/>
              <w:left w:val="nil"/>
              <w:bottom w:val="nil"/>
              <w:right w:val="nil"/>
            </w:tcBorders>
            <w:shd w:val="clear" w:color="auto" w:fill="auto"/>
            <w:noWrap/>
            <w:vAlign w:val="bottom"/>
            <w:hideMark/>
          </w:tcPr>
          <w:p w14:paraId="26F12FDD" w14:textId="19269A8F" w:rsidR="00895A1D" w:rsidRPr="006B42D6" w:rsidRDefault="00895A1D" w:rsidP="00895A1D">
            <w:pPr>
              <w:jc w:val="right"/>
              <w:rPr>
                <w:sz w:val="16"/>
                <w:szCs w:val="16"/>
              </w:rPr>
            </w:pPr>
            <w:r w:rsidRPr="006B42D6">
              <w:rPr>
                <w:sz w:val="16"/>
                <w:szCs w:val="16"/>
              </w:rPr>
              <w:t>385</w:t>
            </w:r>
          </w:p>
        </w:tc>
        <w:tc>
          <w:tcPr>
            <w:tcW w:w="1052" w:type="dxa"/>
            <w:tcBorders>
              <w:top w:val="nil"/>
              <w:left w:val="nil"/>
              <w:bottom w:val="nil"/>
              <w:right w:val="nil"/>
            </w:tcBorders>
            <w:shd w:val="clear" w:color="auto" w:fill="auto"/>
            <w:noWrap/>
            <w:vAlign w:val="bottom"/>
            <w:hideMark/>
          </w:tcPr>
          <w:p w14:paraId="0DC60A14" w14:textId="2CAC2B4C" w:rsidR="00895A1D" w:rsidRPr="006B42D6" w:rsidRDefault="00895A1D" w:rsidP="00895A1D">
            <w:pPr>
              <w:jc w:val="right"/>
              <w:rPr>
                <w:sz w:val="16"/>
                <w:szCs w:val="16"/>
              </w:rPr>
            </w:pPr>
            <w:r w:rsidRPr="006B42D6">
              <w:rPr>
                <w:sz w:val="16"/>
                <w:szCs w:val="16"/>
              </w:rPr>
              <w:t>1,581</w:t>
            </w:r>
          </w:p>
        </w:tc>
        <w:tc>
          <w:tcPr>
            <w:tcW w:w="1397" w:type="dxa"/>
            <w:tcBorders>
              <w:top w:val="nil"/>
              <w:left w:val="nil"/>
              <w:bottom w:val="nil"/>
              <w:right w:val="nil"/>
            </w:tcBorders>
            <w:shd w:val="clear" w:color="auto" w:fill="auto"/>
            <w:noWrap/>
            <w:vAlign w:val="bottom"/>
            <w:hideMark/>
          </w:tcPr>
          <w:p w14:paraId="017D5E1D" w14:textId="4D23D943" w:rsidR="00895A1D" w:rsidRPr="006B42D6" w:rsidRDefault="00895A1D" w:rsidP="00895A1D">
            <w:pPr>
              <w:jc w:val="right"/>
              <w:rPr>
                <w:sz w:val="16"/>
                <w:szCs w:val="16"/>
              </w:rPr>
            </w:pPr>
            <w:r w:rsidRPr="006B42D6">
              <w:rPr>
                <w:sz w:val="16"/>
                <w:szCs w:val="16"/>
              </w:rPr>
              <w:t>199</w:t>
            </w:r>
          </w:p>
        </w:tc>
        <w:tc>
          <w:tcPr>
            <w:tcW w:w="1294" w:type="dxa"/>
            <w:tcBorders>
              <w:top w:val="nil"/>
              <w:left w:val="nil"/>
              <w:bottom w:val="nil"/>
              <w:right w:val="nil"/>
            </w:tcBorders>
            <w:shd w:val="clear" w:color="auto" w:fill="auto"/>
            <w:noWrap/>
            <w:vAlign w:val="bottom"/>
            <w:hideMark/>
          </w:tcPr>
          <w:p w14:paraId="41901E88" w14:textId="49F84FF7" w:rsidR="00895A1D" w:rsidRPr="006B42D6" w:rsidRDefault="00895A1D" w:rsidP="00895A1D">
            <w:pPr>
              <w:jc w:val="right"/>
              <w:rPr>
                <w:sz w:val="16"/>
                <w:szCs w:val="16"/>
              </w:rPr>
            </w:pPr>
            <w:r w:rsidRPr="006B42D6">
              <w:rPr>
                <w:sz w:val="16"/>
                <w:szCs w:val="16"/>
              </w:rPr>
              <w:t>584</w:t>
            </w:r>
          </w:p>
        </w:tc>
        <w:tc>
          <w:tcPr>
            <w:tcW w:w="949" w:type="dxa"/>
            <w:tcBorders>
              <w:top w:val="nil"/>
              <w:left w:val="nil"/>
              <w:bottom w:val="nil"/>
              <w:right w:val="nil"/>
            </w:tcBorders>
            <w:shd w:val="clear" w:color="auto" w:fill="auto"/>
            <w:noWrap/>
            <w:vAlign w:val="bottom"/>
            <w:hideMark/>
          </w:tcPr>
          <w:p w14:paraId="50F01063" w14:textId="3B98F43A" w:rsidR="00895A1D" w:rsidRPr="006B42D6" w:rsidRDefault="00895A1D" w:rsidP="00895A1D">
            <w:pPr>
              <w:jc w:val="right"/>
              <w:rPr>
                <w:sz w:val="16"/>
                <w:szCs w:val="16"/>
              </w:rPr>
            </w:pPr>
            <w:r w:rsidRPr="006B42D6">
              <w:rPr>
                <w:sz w:val="16"/>
                <w:szCs w:val="16"/>
              </w:rPr>
              <w:t>138</w:t>
            </w:r>
          </w:p>
        </w:tc>
        <w:tc>
          <w:tcPr>
            <w:tcW w:w="952" w:type="dxa"/>
            <w:tcBorders>
              <w:top w:val="nil"/>
              <w:left w:val="nil"/>
              <w:bottom w:val="nil"/>
              <w:right w:val="nil"/>
            </w:tcBorders>
            <w:shd w:val="clear" w:color="auto" w:fill="auto"/>
            <w:noWrap/>
            <w:vAlign w:val="bottom"/>
            <w:hideMark/>
          </w:tcPr>
          <w:p w14:paraId="24B1881F" w14:textId="677B3529" w:rsidR="00895A1D" w:rsidRPr="006B42D6" w:rsidRDefault="00895A1D" w:rsidP="00895A1D">
            <w:pPr>
              <w:jc w:val="right"/>
              <w:rPr>
                <w:sz w:val="16"/>
                <w:szCs w:val="16"/>
              </w:rPr>
            </w:pPr>
            <w:r w:rsidRPr="006B42D6">
              <w:rPr>
                <w:sz w:val="16"/>
                <w:szCs w:val="16"/>
              </w:rPr>
              <w:t>114</w:t>
            </w:r>
          </w:p>
        </w:tc>
      </w:tr>
      <w:tr w:rsidR="006B42D6" w:rsidRPr="006B42D6" w14:paraId="0954D804" w14:textId="77777777" w:rsidTr="00843062">
        <w:trPr>
          <w:trHeight w:val="312"/>
        </w:trPr>
        <w:tc>
          <w:tcPr>
            <w:tcW w:w="1708" w:type="dxa"/>
            <w:tcBorders>
              <w:top w:val="nil"/>
              <w:left w:val="nil"/>
              <w:bottom w:val="nil"/>
            </w:tcBorders>
            <w:shd w:val="clear" w:color="auto" w:fill="auto"/>
            <w:noWrap/>
            <w:vAlign w:val="bottom"/>
            <w:hideMark/>
          </w:tcPr>
          <w:p w14:paraId="61C6E57A" w14:textId="2A9A3D01" w:rsidR="00895A1D" w:rsidRPr="006B42D6" w:rsidRDefault="00895A1D" w:rsidP="00970387">
            <w:pPr>
              <w:jc w:val="left"/>
              <w:rPr>
                <w:sz w:val="16"/>
                <w:szCs w:val="16"/>
              </w:rPr>
            </w:pPr>
            <w:r w:rsidRPr="006B42D6">
              <w:rPr>
                <w:sz w:val="16"/>
                <w:szCs w:val="16"/>
              </w:rPr>
              <w:t>Pwani</w:t>
            </w:r>
          </w:p>
        </w:tc>
        <w:tc>
          <w:tcPr>
            <w:tcW w:w="1052" w:type="dxa"/>
            <w:tcBorders>
              <w:top w:val="nil"/>
              <w:bottom w:val="nil"/>
              <w:right w:val="nil"/>
            </w:tcBorders>
            <w:shd w:val="clear" w:color="auto" w:fill="auto"/>
            <w:noWrap/>
            <w:vAlign w:val="bottom"/>
            <w:hideMark/>
          </w:tcPr>
          <w:p w14:paraId="265E7122" w14:textId="05A649B2" w:rsidR="00895A1D" w:rsidRPr="006B42D6" w:rsidRDefault="00895A1D" w:rsidP="00895A1D">
            <w:pPr>
              <w:jc w:val="right"/>
              <w:rPr>
                <w:sz w:val="16"/>
                <w:szCs w:val="16"/>
              </w:rPr>
            </w:pPr>
            <w:r w:rsidRPr="006B42D6">
              <w:rPr>
                <w:sz w:val="16"/>
                <w:szCs w:val="16"/>
              </w:rPr>
              <w:t>5,813</w:t>
            </w:r>
          </w:p>
        </w:tc>
        <w:tc>
          <w:tcPr>
            <w:tcW w:w="1018" w:type="dxa"/>
            <w:tcBorders>
              <w:top w:val="nil"/>
              <w:left w:val="nil"/>
              <w:bottom w:val="nil"/>
              <w:right w:val="nil"/>
            </w:tcBorders>
            <w:shd w:val="clear" w:color="auto" w:fill="auto"/>
            <w:noWrap/>
            <w:vAlign w:val="bottom"/>
            <w:hideMark/>
          </w:tcPr>
          <w:p w14:paraId="1026E9D7" w14:textId="791A7E82" w:rsidR="00895A1D" w:rsidRPr="006B42D6" w:rsidRDefault="00895A1D" w:rsidP="00895A1D">
            <w:pPr>
              <w:jc w:val="right"/>
              <w:rPr>
                <w:sz w:val="16"/>
                <w:szCs w:val="16"/>
              </w:rPr>
            </w:pPr>
            <w:r w:rsidRPr="006B42D6">
              <w:rPr>
                <w:sz w:val="16"/>
                <w:szCs w:val="16"/>
              </w:rPr>
              <w:t>2,972</w:t>
            </w:r>
          </w:p>
        </w:tc>
        <w:tc>
          <w:tcPr>
            <w:tcW w:w="1052" w:type="dxa"/>
            <w:tcBorders>
              <w:top w:val="nil"/>
              <w:left w:val="nil"/>
              <w:bottom w:val="nil"/>
              <w:right w:val="nil"/>
            </w:tcBorders>
            <w:shd w:val="clear" w:color="auto" w:fill="auto"/>
            <w:noWrap/>
            <w:vAlign w:val="bottom"/>
            <w:hideMark/>
          </w:tcPr>
          <w:p w14:paraId="3FE59155" w14:textId="6E63B1B0" w:rsidR="00895A1D" w:rsidRPr="006B42D6" w:rsidRDefault="00895A1D" w:rsidP="00895A1D">
            <w:pPr>
              <w:jc w:val="right"/>
              <w:rPr>
                <w:sz w:val="16"/>
                <w:szCs w:val="16"/>
              </w:rPr>
            </w:pPr>
            <w:r w:rsidRPr="006B42D6">
              <w:rPr>
                <w:sz w:val="16"/>
                <w:szCs w:val="16"/>
              </w:rPr>
              <w:t>13,270</w:t>
            </w:r>
          </w:p>
        </w:tc>
        <w:tc>
          <w:tcPr>
            <w:tcW w:w="1397" w:type="dxa"/>
            <w:tcBorders>
              <w:top w:val="nil"/>
              <w:left w:val="nil"/>
              <w:bottom w:val="nil"/>
              <w:right w:val="nil"/>
            </w:tcBorders>
            <w:shd w:val="clear" w:color="auto" w:fill="auto"/>
            <w:noWrap/>
            <w:vAlign w:val="bottom"/>
            <w:hideMark/>
          </w:tcPr>
          <w:p w14:paraId="65053481" w14:textId="2567F1B1" w:rsidR="00895A1D" w:rsidRPr="006B42D6" w:rsidRDefault="00895A1D" w:rsidP="00895A1D">
            <w:pPr>
              <w:jc w:val="right"/>
              <w:rPr>
                <w:sz w:val="16"/>
                <w:szCs w:val="16"/>
              </w:rPr>
            </w:pPr>
            <w:r w:rsidRPr="006B42D6">
              <w:rPr>
                <w:sz w:val="16"/>
                <w:szCs w:val="16"/>
              </w:rPr>
              <w:t>10,131</w:t>
            </w:r>
          </w:p>
        </w:tc>
        <w:tc>
          <w:tcPr>
            <w:tcW w:w="1294" w:type="dxa"/>
            <w:tcBorders>
              <w:top w:val="nil"/>
              <w:left w:val="nil"/>
              <w:bottom w:val="nil"/>
              <w:right w:val="nil"/>
            </w:tcBorders>
            <w:shd w:val="clear" w:color="auto" w:fill="auto"/>
            <w:noWrap/>
            <w:vAlign w:val="bottom"/>
            <w:hideMark/>
          </w:tcPr>
          <w:p w14:paraId="13BC35C6" w14:textId="38DC15C4" w:rsidR="00895A1D" w:rsidRPr="006B42D6" w:rsidRDefault="00895A1D" w:rsidP="00895A1D">
            <w:pPr>
              <w:jc w:val="right"/>
              <w:rPr>
                <w:sz w:val="16"/>
                <w:szCs w:val="16"/>
              </w:rPr>
            </w:pPr>
            <w:r w:rsidRPr="006B42D6">
              <w:rPr>
                <w:sz w:val="16"/>
                <w:szCs w:val="16"/>
              </w:rPr>
              <w:t>13,103</w:t>
            </w:r>
          </w:p>
        </w:tc>
        <w:tc>
          <w:tcPr>
            <w:tcW w:w="949" w:type="dxa"/>
            <w:tcBorders>
              <w:top w:val="nil"/>
              <w:left w:val="nil"/>
              <w:bottom w:val="nil"/>
              <w:right w:val="nil"/>
            </w:tcBorders>
            <w:shd w:val="clear" w:color="auto" w:fill="auto"/>
            <w:noWrap/>
            <w:vAlign w:val="bottom"/>
            <w:hideMark/>
          </w:tcPr>
          <w:p w14:paraId="3667988A" w14:textId="05A941EB" w:rsidR="00895A1D" w:rsidRPr="006B42D6" w:rsidRDefault="00895A1D" w:rsidP="00895A1D">
            <w:pPr>
              <w:jc w:val="right"/>
              <w:rPr>
                <w:sz w:val="16"/>
                <w:szCs w:val="16"/>
              </w:rPr>
            </w:pPr>
            <w:r w:rsidRPr="006B42D6">
              <w:rPr>
                <w:sz w:val="16"/>
                <w:szCs w:val="16"/>
              </w:rPr>
              <w:t>8,211</w:t>
            </w:r>
          </w:p>
        </w:tc>
        <w:tc>
          <w:tcPr>
            <w:tcW w:w="952" w:type="dxa"/>
            <w:tcBorders>
              <w:top w:val="nil"/>
              <w:left w:val="nil"/>
              <w:bottom w:val="nil"/>
              <w:right w:val="nil"/>
            </w:tcBorders>
            <w:shd w:val="clear" w:color="auto" w:fill="auto"/>
            <w:noWrap/>
            <w:vAlign w:val="bottom"/>
            <w:hideMark/>
          </w:tcPr>
          <w:p w14:paraId="3F53B508" w14:textId="004349B6" w:rsidR="00895A1D" w:rsidRPr="006B42D6" w:rsidRDefault="00895A1D" w:rsidP="00895A1D">
            <w:pPr>
              <w:jc w:val="right"/>
              <w:rPr>
                <w:sz w:val="16"/>
                <w:szCs w:val="16"/>
              </w:rPr>
            </w:pPr>
            <w:r w:rsidRPr="006B42D6">
              <w:rPr>
                <w:sz w:val="16"/>
                <w:szCs w:val="16"/>
              </w:rPr>
              <w:t>90,687</w:t>
            </w:r>
          </w:p>
        </w:tc>
      </w:tr>
      <w:tr w:rsidR="006B42D6" w:rsidRPr="006B42D6" w14:paraId="74C88003" w14:textId="77777777" w:rsidTr="00843062">
        <w:trPr>
          <w:trHeight w:val="312"/>
        </w:trPr>
        <w:tc>
          <w:tcPr>
            <w:tcW w:w="1708" w:type="dxa"/>
            <w:tcBorders>
              <w:top w:val="nil"/>
              <w:left w:val="nil"/>
              <w:bottom w:val="nil"/>
            </w:tcBorders>
            <w:shd w:val="clear" w:color="auto" w:fill="auto"/>
            <w:noWrap/>
            <w:vAlign w:val="bottom"/>
            <w:hideMark/>
          </w:tcPr>
          <w:p w14:paraId="16EFB858" w14:textId="2DD19107" w:rsidR="00895A1D" w:rsidRPr="006B42D6" w:rsidRDefault="00895A1D" w:rsidP="00970387">
            <w:pPr>
              <w:jc w:val="left"/>
              <w:rPr>
                <w:sz w:val="16"/>
                <w:szCs w:val="16"/>
              </w:rPr>
            </w:pPr>
            <w:r w:rsidRPr="006B42D6">
              <w:rPr>
                <w:sz w:val="16"/>
                <w:szCs w:val="16"/>
              </w:rPr>
              <w:t>Dar Es Salaam</w:t>
            </w:r>
          </w:p>
        </w:tc>
        <w:tc>
          <w:tcPr>
            <w:tcW w:w="1052" w:type="dxa"/>
            <w:tcBorders>
              <w:top w:val="nil"/>
              <w:bottom w:val="nil"/>
              <w:right w:val="nil"/>
            </w:tcBorders>
            <w:shd w:val="clear" w:color="auto" w:fill="auto"/>
            <w:noWrap/>
            <w:vAlign w:val="bottom"/>
            <w:hideMark/>
          </w:tcPr>
          <w:p w14:paraId="057FC5DD" w14:textId="41A01026" w:rsidR="00895A1D" w:rsidRPr="006B42D6" w:rsidRDefault="00895A1D" w:rsidP="00895A1D">
            <w:pPr>
              <w:jc w:val="right"/>
              <w:rPr>
                <w:sz w:val="16"/>
                <w:szCs w:val="16"/>
              </w:rPr>
            </w:pPr>
            <w:r w:rsidRPr="006B42D6">
              <w:rPr>
                <w:sz w:val="16"/>
                <w:szCs w:val="16"/>
              </w:rPr>
              <w:t>2,895</w:t>
            </w:r>
          </w:p>
        </w:tc>
        <w:tc>
          <w:tcPr>
            <w:tcW w:w="1018" w:type="dxa"/>
            <w:tcBorders>
              <w:top w:val="nil"/>
              <w:left w:val="nil"/>
              <w:bottom w:val="nil"/>
              <w:right w:val="nil"/>
            </w:tcBorders>
            <w:shd w:val="clear" w:color="auto" w:fill="auto"/>
            <w:noWrap/>
            <w:vAlign w:val="bottom"/>
            <w:hideMark/>
          </w:tcPr>
          <w:p w14:paraId="11D6641D" w14:textId="54AD12DA" w:rsidR="00895A1D" w:rsidRPr="006B42D6" w:rsidRDefault="00895A1D" w:rsidP="00895A1D">
            <w:pPr>
              <w:jc w:val="right"/>
              <w:rPr>
                <w:sz w:val="16"/>
                <w:szCs w:val="16"/>
              </w:rPr>
            </w:pPr>
            <w:r w:rsidRPr="006B42D6">
              <w:rPr>
                <w:sz w:val="16"/>
                <w:szCs w:val="16"/>
              </w:rPr>
              <w:t>3,121</w:t>
            </w:r>
          </w:p>
        </w:tc>
        <w:tc>
          <w:tcPr>
            <w:tcW w:w="1052" w:type="dxa"/>
            <w:tcBorders>
              <w:top w:val="nil"/>
              <w:left w:val="nil"/>
              <w:bottom w:val="nil"/>
              <w:right w:val="nil"/>
            </w:tcBorders>
            <w:shd w:val="clear" w:color="auto" w:fill="auto"/>
            <w:noWrap/>
            <w:vAlign w:val="bottom"/>
            <w:hideMark/>
          </w:tcPr>
          <w:p w14:paraId="68CB622F" w14:textId="6FA1B9FC" w:rsidR="00895A1D" w:rsidRPr="006B42D6" w:rsidRDefault="00895A1D" w:rsidP="00895A1D">
            <w:pPr>
              <w:jc w:val="right"/>
              <w:rPr>
                <w:sz w:val="16"/>
                <w:szCs w:val="16"/>
              </w:rPr>
            </w:pPr>
            <w:r w:rsidRPr="006B42D6">
              <w:rPr>
                <w:sz w:val="16"/>
                <w:szCs w:val="16"/>
              </w:rPr>
              <w:t>708</w:t>
            </w:r>
          </w:p>
        </w:tc>
        <w:tc>
          <w:tcPr>
            <w:tcW w:w="1397" w:type="dxa"/>
            <w:tcBorders>
              <w:top w:val="nil"/>
              <w:left w:val="nil"/>
              <w:bottom w:val="nil"/>
              <w:right w:val="nil"/>
            </w:tcBorders>
            <w:shd w:val="clear" w:color="auto" w:fill="auto"/>
            <w:noWrap/>
            <w:vAlign w:val="bottom"/>
            <w:hideMark/>
          </w:tcPr>
          <w:p w14:paraId="5D828102" w14:textId="18D3A739" w:rsidR="00895A1D" w:rsidRPr="006B42D6" w:rsidRDefault="00895A1D" w:rsidP="00895A1D">
            <w:pPr>
              <w:jc w:val="right"/>
              <w:rPr>
                <w:sz w:val="16"/>
                <w:szCs w:val="16"/>
              </w:rPr>
            </w:pPr>
            <w:r w:rsidRPr="006B42D6">
              <w:rPr>
                <w:sz w:val="16"/>
                <w:szCs w:val="16"/>
              </w:rPr>
              <w:t>1,432</w:t>
            </w:r>
          </w:p>
        </w:tc>
        <w:tc>
          <w:tcPr>
            <w:tcW w:w="1294" w:type="dxa"/>
            <w:tcBorders>
              <w:top w:val="nil"/>
              <w:left w:val="nil"/>
              <w:bottom w:val="nil"/>
              <w:right w:val="nil"/>
            </w:tcBorders>
            <w:shd w:val="clear" w:color="auto" w:fill="auto"/>
            <w:noWrap/>
            <w:vAlign w:val="bottom"/>
            <w:hideMark/>
          </w:tcPr>
          <w:p w14:paraId="729C250E" w14:textId="742A8E37" w:rsidR="00895A1D" w:rsidRPr="006B42D6" w:rsidRDefault="00895A1D" w:rsidP="00895A1D">
            <w:pPr>
              <w:jc w:val="right"/>
              <w:rPr>
                <w:sz w:val="16"/>
                <w:szCs w:val="16"/>
              </w:rPr>
            </w:pPr>
            <w:r w:rsidRPr="006B42D6">
              <w:rPr>
                <w:sz w:val="16"/>
                <w:szCs w:val="16"/>
              </w:rPr>
              <w:t>4,553</w:t>
            </w:r>
          </w:p>
        </w:tc>
        <w:tc>
          <w:tcPr>
            <w:tcW w:w="949" w:type="dxa"/>
            <w:tcBorders>
              <w:top w:val="nil"/>
              <w:left w:val="nil"/>
              <w:bottom w:val="nil"/>
              <w:right w:val="nil"/>
            </w:tcBorders>
            <w:shd w:val="clear" w:color="auto" w:fill="auto"/>
            <w:noWrap/>
            <w:vAlign w:val="bottom"/>
            <w:hideMark/>
          </w:tcPr>
          <w:p w14:paraId="6B468989" w14:textId="29E8D023" w:rsidR="00895A1D" w:rsidRPr="006B42D6" w:rsidRDefault="00895A1D" w:rsidP="00895A1D">
            <w:pPr>
              <w:jc w:val="right"/>
              <w:rPr>
                <w:sz w:val="16"/>
                <w:szCs w:val="16"/>
              </w:rPr>
            </w:pPr>
            <w:r w:rsidRPr="006B42D6">
              <w:rPr>
                <w:sz w:val="16"/>
                <w:szCs w:val="16"/>
              </w:rPr>
              <w:t>1,432</w:t>
            </w:r>
          </w:p>
        </w:tc>
        <w:tc>
          <w:tcPr>
            <w:tcW w:w="952" w:type="dxa"/>
            <w:tcBorders>
              <w:top w:val="nil"/>
              <w:left w:val="nil"/>
              <w:bottom w:val="nil"/>
              <w:right w:val="nil"/>
            </w:tcBorders>
            <w:shd w:val="clear" w:color="auto" w:fill="auto"/>
            <w:noWrap/>
            <w:vAlign w:val="bottom"/>
            <w:hideMark/>
          </w:tcPr>
          <w:p w14:paraId="0C174BED" w14:textId="184FD064" w:rsidR="00895A1D" w:rsidRPr="006B42D6" w:rsidRDefault="00895A1D" w:rsidP="00895A1D">
            <w:pPr>
              <w:jc w:val="right"/>
              <w:rPr>
                <w:sz w:val="16"/>
                <w:szCs w:val="16"/>
              </w:rPr>
            </w:pPr>
            <w:r w:rsidRPr="006B42D6">
              <w:rPr>
                <w:sz w:val="16"/>
                <w:szCs w:val="16"/>
              </w:rPr>
              <w:t>2,831</w:t>
            </w:r>
          </w:p>
        </w:tc>
      </w:tr>
      <w:tr w:rsidR="006B42D6" w:rsidRPr="006B42D6" w14:paraId="28C7FDE0" w14:textId="77777777" w:rsidTr="00843062">
        <w:trPr>
          <w:trHeight w:val="312"/>
        </w:trPr>
        <w:tc>
          <w:tcPr>
            <w:tcW w:w="1708" w:type="dxa"/>
            <w:tcBorders>
              <w:top w:val="nil"/>
              <w:left w:val="nil"/>
              <w:bottom w:val="nil"/>
            </w:tcBorders>
            <w:shd w:val="clear" w:color="auto" w:fill="auto"/>
            <w:noWrap/>
            <w:vAlign w:val="bottom"/>
            <w:hideMark/>
          </w:tcPr>
          <w:p w14:paraId="4AE3E6C7" w14:textId="5C858F12" w:rsidR="00895A1D" w:rsidRPr="006B42D6" w:rsidRDefault="00895A1D" w:rsidP="00970387">
            <w:pPr>
              <w:jc w:val="left"/>
              <w:rPr>
                <w:sz w:val="16"/>
                <w:szCs w:val="16"/>
              </w:rPr>
            </w:pPr>
            <w:r w:rsidRPr="006B42D6">
              <w:rPr>
                <w:sz w:val="16"/>
                <w:szCs w:val="16"/>
              </w:rPr>
              <w:t>Lindi</w:t>
            </w:r>
          </w:p>
        </w:tc>
        <w:tc>
          <w:tcPr>
            <w:tcW w:w="1052" w:type="dxa"/>
            <w:tcBorders>
              <w:top w:val="nil"/>
              <w:bottom w:val="nil"/>
              <w:right w:val="nil"/>
            </w:tcBorders>
            <w:shd w:val="clear" w:color="auto" w:fill="auto"/>
            <w:noWrap/>
            <w:vAlign w:val="bottom"/>
            <w:hideMark/>
          </w:tcPr>
          <w:p w14:paraId="24194B84" w14:textId="46A1CEA6" w:rsidR="00895A1D" w:rsidRPr="006B42D6" w:rsidRDefault="00895A1D" w:rsidP="00895A1D">
            <w:pPr>
              <w:jc w:val="right"/>
              <w:rPr>
                <w:sz w:val="16"/>
                <w:szCs w:val="16"/>
              </w:rPr>
            </w:pPr>
            <w:r w:rsidRPr="006B42D6">
              <w:rPr>
                <w:sz w:val="16"/>
                <w:szCs w:val="16"/>
              </w:rPr>
              <w:t>786</w:t>
            </w:r>
          </w:p>
        </w:tc>
        <w:tc>
          <w:tcPr>
            <w:tcW w:w="1018" w:type="dxa"/>
            <w:tcBorders>
              <w:top w:val="nil"/>
              <w:left w:val="nil"/>
              <w:bottom w:val="nil"/>
              <w:right w:val="nil"/>
            </w:tcBorders>
            <w:shd w:val="clear" w:color="auto" w:fill="auto"/>
            <w:noWrap/>
            <w:vAlign w:val="bottom"/>
            <w:hideMark/>
          </w:tcPr>
          <w:p w14:paraId="7972DE04" w14:textId="2FA8B46A" w:rsidR="00895A1D" w:rsidRPr="006B42D6" w:rsidRDefault="00895A1D" w:rsidP="00895A1D">
            <w:pPr>
              <w:jc w:val="right"/>
              <w:rPr>
                <w:sz w:val="16"/>
                <w:szCs w:val="16"/>
              </w:rPr>
            </w:pPr>
            <w:r w:rsidRPr="006B42D6">
              <w:rPr>
                <w:sz w:val="16"/>
                <w:szCs w:val="16"/>
              </w:rPr>
              <w:t>968</w:t>
            </w:r>
          </w:p>
        </w:tc>
        <w:tc>
          <w:tcPr>
            <w:tcW w:w="1052" w:type="dxa"/>
            <w:tcBorders>
              <w:top w:val="nil"/>
              <w:left w:val="nil"/>
              <w:bottom w:val="nil"/>
              <w:right w:val="nil"/>
            </w:tcBorders>
            <w:shd w:val="clear" w:color="auto" w:fill="auto"/>
            <w:noWrap/>
            <w:vAlign w:val="bottom"/>
            <w:hideMark/>
          </w:tcPr>
          <w:p w14:paraId="46BC4234" w14:textId="79C0CB0C" w:rsidR="00895A1D" w:rsidRPr="006B42D6" w:rsidRDefault="00895A1D" w:rsidP="00895A1D">
            <w:pPr>
              <w:jc w:val="right"/>
              <w:rPr>
                <w:sz w:val="16"/>
                <w:szCs w:val="16"/>
              </w:rPr>
            </w:pPr>
            <w:r w:rsidRPr="006B42D6">
              <w:rPr>
                <w:sz w:val="16"/>
                <w:szCs w:val="16"/>
              </w:rPr>
              <w:t>-</w:t>
            </w:r>
          </w:p>
        </w:tc>
        <w:tc>
          <w:tcPr>
            <w:tcW w:w="1397" w:type="dxa"/>
            <w:tcBorders>
              <w:top w:val="nil"/>
              <w:left w:val="nil"/>
              <w:bottom w:val="nil"/>
              <w:right w:val="nil"/>
            </w:tcBorders>
            <w:shd w:val="clear" w:color="auto" w:fill="auto"/>
            <w:noWrap/>
            <w:vAlign w:val="bottom"/>
            <w:hideMark/>
          </w:tcPr>
          <w:p w14:paraId="3F449D62" w14:textId="059E5E57" w:rsidR="00895A1D" w:rsidRPr="006B42D6" w:rsidRDefault="00895A1D" w:rsidP="00895A1D">
            <w:pPr>
              <w:jc w:val="right"/>
              <w:rPr>
                <w:sz w:val="16"/>
                <w:szCs w:val="16"/>
              </w:rPr>
            </w:pPr>
            <w:r w:rsidRPr="006B42D6">
              <w:rPr>
                <w:sz w:val="16"/>
                <w:szCs w:val="16"/>
              </w:rPr>
              <w:t>-</w:t>
            </w:r>
          </w:p>
        </w:tc>
        <w:tc>
          <w:tcPr>
            <w:tcW w:w="1294" w:type="dxa"/>
            <w:tcBorders>
              <w:top w:val="nil"/>
              <w:left w:val="nil"/>
              <w:bottom w:val="nil"/>
              <w:right w:val="nil"/>
            </w:tcBorders>
            <w:shd w:val="clear" w:color="auto" w:fill="auto"/>
            <w:noWrap/>
            <w:vAlign w:val="bottom"/>
            <w:hideMark/>
          </w:tcPr>
          <w:p w14:paraId="46567FEF" w14:textId="39D409B8" w:rsidR="00895A1D" w:rsidRPr="006B42D6" w:rsidRDefault="00895A1D" w:rsidP="00895A1D">
            <w:pPr>
              <w:jc w:val="right"/>
              <w:rPr>
                <w:sz w:val="16"/>
                <w:szCs w:val="16"/>
              </w:rPr>
            </w:pPr>
            <w:r w:rsidRPr="006B42D6">
              <w:rPr>
                <w:sz w:val="16"/>
                <w:szCs w:val="16"/>
              </w:rPr>
              <w:t>968</w:t>
            </w:r>
          </w:p>
        </w:tc>
        <w:tc>
          <w:tcPr>
            <w:tcW w:w="949" w:type="dxa"/>
            <w:tcBorders>
              <w:top w:val="nil"/>
              <w:left w:val="nil"/>
              <w:bottom w:val="nil"/>
              <w:right w:val="nil"/>
            </w:tcBorders>
            <w:shd w:val="clear" w:color="auto" w:fill="auto"/>
            <w:noWrap/>
            <w:vAlign w:val="bottom"/>
            <w:hideMark/>
          </w:tcPr>
          <w:p w14:paraId="7F76CAAA" w14:textId="209FA807" w:rsidR="00895A1D" w:rsidRPr="006B42D6" w:rsidRDefault="00895A1D" w:rsidP="00895A1D">
            <w:pPr>
              <w:jc w:val="right"/>
              <w:rPr>
                <w:sz w:val="16"/>
                <w:szCs w:val="16"/>
              </w:rPr>
            </w:pPr>
            <w:r w:rsidRPr="006B42D6">
              <w:rPr>
                <w:sz w:val="16"/>
                <w:szCs w:val="16"/>
              </w:rPr>
              <w:t>35</w:t>
            </w:r>
          </w:p>
        </w:tc>
        <w:tc>
          <w:tcPr>
            <w:tcW w:w="952" w:type="dxa"/>
            <w:tcBorders>
              <w:top w:val="nil"/>
              <w:left w:val="nil"/>
              <w:bottom w:val="nil"/>
              <w:right w:val="nil"/>
            </w:tcBorders>
            <w:shd w:val="clear" w:color="auto" w:fill="auto"/>
            <w:noWrap/>
            <w:vAlign w:val="bottom"/>
            <w:hideMark/>
          </w:tcPr>
          <w:p w14:paraId="0B49C99B" w14:textId="4E793348" w:rsidR="00895A1D" w:rsidRPr="006B42D6" w:rsidRDefault="00895A1D" w:rsidP="00895A1D">
            <w:pPr>
              <w:jc w:val="right"/>
              <w:rPr>
                <w:sz w:val="16"/>
                <w:szCs w:val="16"/>
              </w:rPr>
            </w:pPr>
            <w:r w:rsidRPr="006B42D6">
              <w:rPr>
                <w:sz w:val="16"/>
                <w:szCs w:val="16"/>
              </w:rPr>
              <w:t>35</w:t>
            </w:r>
          </w:p>
        </w:tc>
      </w:tr>
      <w:tr w:rsidR="006B42D6" w:rsidRPr="006B42D6" w14:paraId="515C6F2E" w14:textId="77777777" w:rsidTr="00843062">
        <w:trPr>
          <w:trHeight w:val="312"/>
        </w:trPr>
        <w:tc>
          <w:tcPr>
            <w:tcW w:w="1708" w:type="dxa"/>
            <w:tcBorders>
              <w:top w:val="nil"/>
              <w:left w:val="nil"/>
              <w:bottom w:val="nil"/>
            </w:tcBorders>
            <w:shd w:val="clear" w:color="auto" w:fill="auto"/>
            <w:noWrap/>
            <w:vAlign w:val="bottom"/>
            <w:hideMark/>
          </w:tcPr>
          <w:p w14:paraId="1B63478E" w14:textId="3035AFB0" w:rsidR="00895A1D" w:rsidRPr="006B42D6" w:rsidRDefault="00895A1D" w:rsidP="00970387">
            <w:pPr>
              <w:jc w:val="left"/>
              <w:rPr>
                <w:sz w:val="16"/>
                <w:szCs w:val="16"/>
              </w:rPr>
            </w:pPr>
            <w:r w:rsidRPr="006B42D6">
              <w:rPr>
                <w:sz w:val="16"/>
                <w:szCs w:val="16"/>
              </w:rPr>
              <w:t>Mtwara</w:t>
            </w:r>
          </w:p>
        </w:tc>
        <w:tc>
          <w:tcPr>
            <w:tcW w:w="1052" w:type="dxa"/>
            <w:tcBorders>
              <w:top w:val="nil"/>
              <w:bottom w:val="nil"/>
              <w:right w:val="nil"/>
            </w:tcBorders>
            <w:shd w:val="clear" w:color="auto" w:fill="auto"/>
            <w:noWrap/>
            <w:vAlign w:val="bottom"/>
            <w:hideMark/>
          </w:tcPr>
          <w:p w14:paraId="4ABCC982" w14:textId="18D4156F" w:rsidR="00895A1D" w:rsidRPr="006B42D6" w:rsidRDefault="00895A1D" w:rsidP="00895A1D">
            <w:pPr>
              <w:jc w:val="right"/>
              <w:rPr>
                <w:sz w:val="16"/>
                <w:szCs w:val="16"/>
              </w:rPr>
            </w:pPr>
            <w:r w:rsidRPr="006B42D6">
              <w:rPr>
                <w:sz w:val="16"/>
                <w:szCs w:val="16"/>
              </w:rPr>
              <w:t>853</w:t>
            </w:r>
          </w:p>
        </w:tc>
        <w:tc>
          <w:tcPr>
            <w:tcW w:w="1018" w:type="dxa"/>
            <w:tcBorders>
              <w:top w:val="nil"/>
              <w:left w:val="nil"/>
              <w:bottom w:val="nil"/>
              <w:right w:val="nil"/>
            </w:tcBorders>
            <w:shd w:val="clear" w:color="auto" w:fill="auto"/>
            <w:noWrap/>
            <w:vAlign w:val="bottom"/>
            <w:hideMark/>
          </w:tcPr>
          <w:p w14:paraId="478B5F89" w14:textId="0DC45925" w:rsidR="00895A1D" w:rsidRPr="006B42D6" w:rsidRDefault="00895A1D" w:rsidP="00895A1D">
            <w:pPr>
              <w:jc w:val="right"/>
              <w:rPr>
                <w:sz w:val="16"/>
                <w:szCs w:val="16"/>
              </w:rPr>
            </w:pPr>
            <w:r w:rsidRPr="006B42D6">
              <w:rPr>
                <w:sz w:val="16"/>
                <w:szCs w:val="16"/>
              </w:rPr>
              <w:t>172</w:t>
            </w:r>
          </w:p>
        </w:tc>
        <w:tc>
          <w:tcPr>
            <w:tcW w:w="1052" w:type="dxa"/>
            <w:tcBorders>
              <w:top w:val="nil"/>
              <w:left w:val="nil"/>
              <w:bottom w:val="nil"/>
              <w:right w:val="nil"/>
            </w:tcBorders>
            <w:shd w:val="clear" w:color="auto" w:fill="auto"/>
            <w:noWrap/>
            <w:vAlign w:val="bottom"/>
            <w:hideMark/>
          </w:tcPr>
          <w:p w14:paraId="48DCE668" w14:textId="54EB8D20" w:rsidR="00895A1D" w:rsidRPr="006B42D6" w:rsidRDefault="00895A1D" w:rsidP="00895A1D">
            <w:pPr>
              <w:jc w:val="right"/>
              <w:rPr>
                <w:sz w:val="16"/>
                <w:szCs w:val="16"/>
              </w:rPr>
            </w:pPr>
            <w:r w:rsidRPr="006B42D6">
              <w:rPr>
                <w:sz w:val="16"/>
                <w:szCs w:val="16"/>
              </w:rPr>
              <w:t>1,324</w:t>
            </w:r>
          </w:p>
        </w:tc>
        <w:tc>
          <w:tcPr>
            <w:tcW w:w="1397" w:type="dxa"/>
            <w:tcBorders>
              <w:top w:val="nil"/>
              <w:left w:val="nil"/>
              <w:bottom w:val="nil"/>
              <w:right w:val="nil"/>
            </w:tcBorders>
            <w:shd w:val="clear" w:color="auto" w:fill="auto"/>
            <w:noWrap/>
            <w:vAlign w:val="bottom"/>
            <w:hideMark/>
          </w:tcPr>
          <w:p w14:paraId="5D80033D" w14:textId="55F94DF0" w:rsidR="00895A1D" w:rsidRPr="006B42D6" w:rsidRDefault="00895A1D" w:rsidP="00895A1D">
            <w:pPr>
              <w:jc w:val="right"/>
              <w:rPr>
                <w:sz w:val="16"/>
                <w:szCs w:val="16"/>
              </w:rPr>
            </w:pPr>
            <w:r w:rsidRPr="006B42D6">
              <w:rPr>
                <w:sz w:val="16"/>
                <w:szCs w:val="16"/>
              </w:rPr>
              <w:t>229</w:t>
            </w:r>
          </w:p>
        </w:tc>
        <w:tc>
          <w:tcPr>
            <w:tcW w:w="1294" w:type="dxa"/>
            <w:tcBorders>
              <w:top w:val="nil"/>
              <w:left w:val="nil"/>
              <w:bottom w:val="nil"/>
              <w:right w:val="nil"/>
            </w:tcBorders>
            <w:shd w:val="clear" w:color="auto" w:fill="auto"/>
            <w:noWrap/>
            <w:vAlign w:val="bottom"/>
            <w:hideMark/>
          </w:tcPr>
          <w:p w14:paraId="130924BD" w14:textId="3B8BCA0B" w:rsidR="00895A1D" w:rsidRPr="006B42D6" w:rsidRDefault="00895A1D" w:rsidP="00895A1D">
            <w:pPr>
              <w:jc w:val="right"/>
              <w:rPr>
                <w:sz w:val="16"/>
                <w:szCs w:val="16"/>
              </w:rPr>
            </w:pPr>
            <w:r w:rsidRPr="006B42D6">
              <w:rPr>
                <w:sz w:val="16"/>
                <w:szCs w:val="16"/>
              </w:rPr>
              <w:t>401</w:t>
            </w:r>
          </w:p>
        </w:tc>
        <w:tc>
          <w:tcPr>
            <w:tcW w:w="949" w:type="dxa"/>
            <w:tcBorders>
              <w:top w:val="nil"/>
              <w:left w:val="nil"/>
              <w:bottom w:val="nil"/>
              <w:right w:val="nil"/>
            </w:tcBorders>
            <w:shd w:val="clear" w:color="auto" w:fill="auto"/>
            <w:noWrap/>
            <w:vAlign w:val="bottom"/>
            <w:hideMark/>
          </w:tcPr>
          <w:p w14:paraId="60D31783" w14:textId="420ED654" w:rsidR="00895A1D" w:rsidRPr="006B42D6" w:rsidRDefault="00895A1D" w:rsidP="00895A1D">
            <w:pPr>
              <w:jc w:val="right"/>
              <w:rPr>
                <w:sz w:val="16"/>
                <w:szCs w:val="16"/>
              </w:rPr>
            </w:pPr>
            <w:r w:rsidRPr="006B42D6">
              <w:rPr>
                <w:sz w:val="16"/>
                <w:szCs w:val="16"/>
              </w:rPr>
              <w:t>210</w:t>
            </w:r>
          </w:p>
        </w:tc>
        <w:tc>
          <w:tcPr>
            <w:tcW w:w="952" w:type="dxa"/>
            <w:tcBorders>
              <w:top w:val="nil"/>
              <w:left w:val="nil"/>
              <w:bottom w:val="nil"/>
              <w:right w:val="nil"/>
            </w:tcBorders>
            <w:shd w:val="clear" w:color="auto" w:fill="auto"/>
            <w:noWrap/>
            <w:vAlign w:val="bottom"/>
            <w:hideMark/>
          </w:tcPr>
          <w:p w14:paraId="1D39E6EA" w14:textId="335D4499" w:rsidR="00895A1D" w:rsidRPr="006B42D6" w:rsidRDefault="00895A1D" w:rsidP="00895A1D">
            <w:pPr>
              <w:jc w:val="right"/>
              <w:rPr>
                <w:sz w:val="16"/>
                <w:szCs w:val="16"/>
              </w:rPr>
            </w:pPr>
            <w:r w:rsidRPr="006B42D6">
              <w:rPr>
                <w:sz w:val="16"/>
                <w:szCs w:val="16"/>
              </w:rPr>
              <w:t>271</w:t>
            </w:r>
          </w:p>
        </w:tc>
      </w:tr>
      <w:tr w:rsidR="006B42D6" w:rsidRPr="006B42D6" w14:paraId="635A052C" w14:textId="77777777" w:rsidTr="00843062">
        <w:trPr>
          <w:trHeight w:val="312"/>
        </w:trPr>
        <w:tc>
          <w:tcPr>
            <w:tcW w:w="1708" w:type="dxa"/>
            <w:tcBorders>
              <w:top w:val="nil"/>
              <w:left w:val="nil"/>
              <w:bottom w:val="nil"/>
            </w:tcBorders>
            <w:shd w:val="clear" w:color="auto" w:fill="auto"/>
            <w:noWrap/>
            <w:vAlign w:val="bottom"/>
            <w:hideMark/>
          </w:tcPr>
          <w:p w14:paraId="62221F2F" w14:textId="5376F6CC" w:rsidR="00895A1D" w:rsidRPr="006B42D6" w:rsidRDefault="00895A1D" w:rsidP="00970387">
            <w:pPr>
              <w:jc w:val="left"/>
              <w:rPr>
                <w:sz w:val="16"/>
                <w:szCs w:val="16"/>
              </w:rPr>
            </w:pPr>
            <w:r w:rsidRPr="006B42D6">
              <w:rPr>
                <w:sz w:val="16"/>
                <w:szCs w:val="16"/>
              </w:rPr>
              <w:t>Ruvuma</w:t>
            </w:r>
          </w:p>
        </w:tc>
        <w:tc>
          <w:tcPr>
            <w:tcW w:w="1052" w:type="dxa"/>
            <w:tcBorders>
              <w:top w:val="nil"/>
              <w:bottom w:val="nil"/>
              <w:right w:val="nil"/>
            </w:tcBorders>
            <w:shd w:val="clear" w:color="auto" w:fill="auto"/>
            <w:noWrap/>
            <w:vAlign w:val="bottom"/>
            <w:hideMark/>
          </w:tcPr>
          <w:p w14:paraId="5213485B" w14:textId="2F0C92D3" w:rsidR="00895A1D" w:rsidRPr="006B42D6" w:rsidRDefault="00895A1D" w:rsidP="00895A1D">
            <w:pPr>
              <w:jc w:val="right"/>
              <w:rPr>
                <w:sz w:val="16"/>
                <w:szCs w:val="16"/>
              </w:rPr>
            </w:pPr>
            <w:r w:rsidRPr="006B42D6">
              <w:rPr>
                <w:sz w:val="16"/>
                <w:szCs w:val="16"/>
              </w:rPr>
              <w:t>515</w:t>
            </w:r>
          </w:p>
        </w:tc>
        <w:tc>
          <w:tcPr>
            <w:tcW w:w="1018" w:type="dxa"/>
            <w:tcBorders>
              <w:top w:val="nil"/>
              <w:left w:val="nil"/>
              <w:bottom w:val="nil"/>
              <w:right w:val="nil"/>
            </w:tcBorders>
            <w:shd w:val="clear" w:color="auto" w:fill="auto"/>
            <w:noWrap/>
            <w:vAlign w:val="bottom"/>
            <w:hideMark/>
          </w:tcPr>
          <w:p w14:paraId="48CBB5AE" w14:textId="3AB46DF7" w:rsidR="00895A1D" w:rsidRPr="006B42D6" w:rsidRDefault="00895A1D" w:rsidP="00895A1D">
            <w:pPr>
              <w:jc w:val="right"/>
              <w:rPr>
                <w:sz w:val="16"/>
                <w:szCs w:val="16"/>
              </w:rPr>
            </w:pPr>
            <w:r w:rsidRPr="006B42D6">
              <w:rPr>
                <w:sz w:val="16"/>
                <w:szCs w:val="16"/>
              </w:rPr>
              <w:t>333</w:t>
            </w:r>
          </w:p>
        </w:tc>
        <w:tc>
          <w:tcPr>
            <w:tcW w:w="1052" w:type="dxa"/>
            <w:tcBorders>
              <w:top w:val="nil"/>
              <w:left w:val="nil"/>
              <w:bottom w:val="nil"/>
              <w:right w:val="nil"/>
            </w:tcBorders>
            <w:shd w:val="clear" w:color="auto" w:fill="auto"/>
            <w:noWrap/>
            <w:vAlign w:val="bottom"/>
            <w:hideMark/>
          </w:tcPr>
          <w:p w14:paraId="4A05C042" w14:textId="7ED7F73F" w:rsidR="00895A1D" w:rsidRPr="006B42D6" w:rsidRDefault="00895A1D" w:rsidP="00895A1D">
            <w:pPr>
              <w:jc w:val="right"/>
              <w:rPr>
                <w:sz w:val="16"/>
                <w:szCs w:val="16"/>
              </w:rPr>
            </w:pPr>
            <w:r w:rsidRPr="006B42D6">
              <w:rPr>
                <w:sz w:val="16"/>
                <w:szCs w:val="16"/>
              </w:rPr>
              <w:t>802</w:t>
            </w:r>
          </w:p>
        </w:tc>
        <w:tc>
          <w:tcPr>
            <w:tcW w:w="1397" w:type="dxa"/>
            <w:tcBorders>
              <w:top w:val="nil"/>
              <w:left w:val="nil"/>
              <w:bottom w:val="nil"/>
              <w:right w:val="nil"/>
            </w:tcBorders>
            <w:shd w:val="clear" w:color="auto" w:fill="auto"/>
            <w:noWrap/>
            <w:vAlign w:val="bottom"/>
            <w:hideMark/>
          </w:tcPr>
          <w:p w14:paraId="59AD7AF8" w14:textId="18E9401B" w:rsidR="00895A1D" w:rsidRPr="006B42D6" w:rsidRDefault="00895A1D" w:rsidP="00895A1D">
            <w:pPr>
              <w:jc w:val="right"/>
              <w:rPr>
                <w:sz w:val="16"/>
                <w:szCs w:val="16"/>
              </w:rPr>
            </w:pPr>
            <w:r w:rsidRPr="006B42D6">
              <w:rPr>
                <w:sz w:val="16"/>
                <w:szCs w:val="16"/>
              </w:rPr>
              <w:t>74</w:t>
            </w:r>
          </w:p>
        </w:tc>
        <w:tc>
          <w:tcPr>
            <w:tcW w:w="1294" w:type="dxa"/>
            <w:tcBorders>
              <w:top w:val="nil"/>
              <w:left w:val="nil"/>
              <w:bottom w:val="nil"/>
              <w:right w:val="nil"/>
            </w:tcBorders>
            <w:shd w:val="clear" w:color="auto" w:fill="auto"/>
            <w:noWrap/>
            <w:vAlign w:val="bottom"/>
            <w:hideMark/>
          </w:tcPr>
          <w:p w14:paraId="6F535182" w14:textId="70E479F0" w:rsidR="00895A1D" w:rsidRPr="006B42D6" w:rsidRDefault="00895A1D" w:rsidP="00895A1D">
            <w:pPr>
              <w:jc w:val="right"/>
              <w:rPr>
                <w:sz w:val="16"/>
                <w:szCs w:val="16"/>
              </w:rPr>
            </w:pPr>
            <w:r w:rsidRPr="006B42D6">
              <w:rPr>
                <w:sz w:val="16"/>
                <w:szCs w:val="16"/>
              </w:rPr>
              <w:t>407</w:t>
            </w:r>
          </w:p>
        </w:tc>
        <w:tc>
          <w:tcPr>
            <w:tcW w:w="949" w:type="dxa"/>
            <w:tcBorders>
              <w:top w:val="nil"/>
              <w:left w:val="nil"/>
              <w:bottom w:val="nil"/>
              <w:right w:val="nil"/>
            </w:tcBorders>
            <w:shd w:val="clear" w:color="auto" w:fill="auto"/>
            <w:noWrap/>
            <w:vAlign w:val="bottom"/>
            <w:hideMark/>
          </w:tcPr>
          <w:p w14:paraId="6A6AEB20" w14:textId="563981AA" w:rsidR="00895A1D" w:rsidRPr="006B42D6" w:rsidRDefault="00895A1D" w:rsidP="00895A1D">
            <w:pPr>
              <w:jc w:val="right"/>
              <w:rPr>
                <w:sz w:val="16"/>
                <w:szCs w:val="16"/>
              </w:rPr>
            </w:pPr>
            <w:r w:rsidRPr="006B42D6">
              <w:rPr>
                <w:sz w:val="16"/>
                <w:szCs w:val="16"/>
              </w:rPr>
              <w:t>27</w:t>
            </w:r>
          </w:p>
        </w:tc>
        <w:tc>
          <w:tcPr>
            <w:tcW w:w="952" w:type="dxa"/>
            <w:tcBorders>
              <w:top w:val="nil"/>
              <w:left w:val="nil"/>
              <w:bottom w:val="nil"/>
              <w:right w:val="nil"/>
            </w:tcBorders>
            <w:shd w:val="clear" w:color="auto" w:fill="auto"/>
            <w:noWrap/>
            <w:vAlign w:val="bottom"/>
            <w:hideMark/>
          </w:tcPr>
          <w:p w14:paraId="22CB110E" w14:textId="127CA473" w:rsidR="00895A1D" w:rsidRPr="006B42D6" w:rsidRDefault="00895A1D" w:rsidP="00895A1D">
            <w:pPr>
              <w:jc w:val="right"/>
              <w:rPr>
                <w:sz w:val="16"/>
                <w:szCs w:val="16"/>
              </w:rPr>
            </w:pPr>
            <w:r w:rsidRPr="006B42D6">
              <w:rPr>
                <w:sz w:val="16"/>
                <w:szCs w:val="16"/>
              </w:rPr>
              <w:t>88</w:t>
            </w:r>
          </w:p>
        </w:tc>
      </w:tr>
      <w:tr w:rsidR="006B42D6" w:rsidRPr="006B42D6" w14:paraId="2B4A15D2" w14:textId="77777777" w:rsidTr="00843062">
        <w:trPr>
          <w:trHeight w:val="312"/>
        </w:trPr>
        <w:tc>
          <w:tcPr>
            <w:tcW w:w="1708" w:type="dxa"/>
            <w:tcBorders>
              <w:top w:val="nil"/>
              <w:left w:val="nil"/>
              <w:bottom w:val="nil"/>
            </w:tcBorders>
            <w:shd w:val="clear" w:color="auto" w:fill="auto"/>
            <w:noWrap/>
            <w:vAlign w:val="bottom"/>
            <w:hideMark/>
          </w:tcPr>
          <w:p w14:paraId="0F8566F1" w14:textId="54F1DD83" w:rsidR="00895A1D" w:rsidRPr="006B42D6" w:rsidRDefault="00895A1D" w:rsidP="00970387">
            <w:pPr>
              <w:jc w:val="left"/>
              <w:rPr>
                <w:sz w:val="16"/>
                <w:szCs w:val="16"/>
              </w:rPr>
            </w:pPr>
            <w:r w:rsidRPr="006B42D6">
              <w:rPr>
                <w:sz w:val="16"/>
                <w:szCs w:val="16"/>
              </w:rPr>
              <w:t>Iringa</w:t>
            </w:r>
          </w:p>
        </w:tc>
        <w:tc>
          <w:tcPr>
            <w:tcW w:w="1052" w:type="dxa"/>
            <w:tcBorders>
              <w:top w:val="nil"/>
              <w:bottom w:val="nil"/>
              <w:right w:val="nil"/>
            </w:tcBorders>
            <w:shd w:val="clear" w:color="auto" w:fill="auto"/>
            <w:noWrap/>
            <w:vAlign w:val="bottom"/>
            <w:hideMark/>
          </w:tcPr>
          <w:p w14:paraId="0BCAEBFE" w14:textId="4DDF4993" w:rsidR="00895A1D" w:rsidRPr="006B42D6" w:rsidRDefault="00895A1D" w:rsidP="00895A1D">
            <w:pPr>
              <w:jc w:val="right"/>
              <w:rPr>
                <w:sz w:val="16"/>
                <w:szCs w:val="16"/>
              </w:rPr>
            </w:pPr>
            <w:r w:rsidRPr="006B42D6">
              <w:rPr>
                <w:sz w:val="16"/>
                <w:szCs w:val="16"/>
              </w:rPr>
              <w:t>-</w:t>
            </w:r>
          </w:p>
        </w:tc>
        <w:tc>
          <w:tcPr>
            <w:tcW w:w="1018" w:type="dxa"/>
            <w:tcBorders>
              <w:top w:val="nil"/>
              <w:left w:val="nil"/>
              <w:bottom w:val="nil"/>
              <w:right w:val="nil"/>
            </w:tcBorders>
            <w:shd w:val="clear" w:color="auto" w:fill="auto"/>
            <w:noWrap/>
            <w:vAlign w:val="bottom"/>
            <w:hideMark/>
          </w:tcPr>
          <w:p w14:paraId="02CC2AD8" w14:textId="192C20E3" w:rsidR="00895A1D" w:rsidRPr="006B42D6" w:rsidRDefault="00895A1D" w:rsidP="00895A1D">
            <w:pPr>
              <w:jc w:val="right"/>
              <w:rPr>
                <w:sz w:val="16"/>
                <w:szCs w:val="16"/>
              </w:rPr>
            </w:pPr>
            <w:r w:rsidRPr="006B42D6">
              <w:rPr>
                <w:sz w:val="16"/>
                <w:szCs w:val="16"/>
              </w:rPr>
              <w:t>-</w:t>
            </w:r>
          </w:p>
        </w:tc>
        <w:tc>
          <w:tcPr>
            <w:tcW w:w="1052" w:type="dxa"/>
            <w:tcBorders>
              <w:top w:val="nil"/>
              <w:left w:val="nil"/>
              <w:bottom w:val="nil"/>
              <w:right w:val="nil"/>
            </w:tcBorders>
            <w:shd w:val="clear" w:color="auto" w:fill="auto"/>
            <w:noWrap/>
            <w:vAlign w:val="bottom"/>
            <w:hideMark/>
          </w:tcPr>
          <w:p w14:paraId="6D946374" w14:textId="230E396A" w:rsidR="00895A1D" w:rsidRPr="006B42D6" w:rsidRDefault="00895A1D" w:rsidP="00895A1D">
            <w:pPr>
              <w:jc w:val="right"/>
              <w:rPr>
                <w:sz w:val="16"/>
                <w:szCs w:val="16"/>
              </w:rPr>
            </w:pPr>
            <w:r w:rsidRPr="006B42D6">
              <w:rPr>
                <w:sz w:val="16"/>
                <w:szCs w:val="16"/>
              </w:rPr>
              <w:t>472</w:t>
            </w:r>
          </w:p>
        </w:tc>
        <w:tc>
          <w:tcPr>
            <w:tcW w:w="1397" w:type="dxa"/>
            <w:tcBorders>
              <w:top w:val="nil"/>
              <w:left w:val="nil"/>
              <w:bottom w:val="nil"/>
              <w:right w:val="nil"/>
            </w:tcBorders>
            <w:shd w:val="clear" w:color="auto" w:fill="auto"/>
            <w:noWrap/>
            <w:vAlign w:val="bottom"/>
            <w:hideMark/>
          </w:tcPr>
          <w:p w14:paraId="70B841D1" w14:textId="4014F5AB" w:rsidR="00895A1D" w:rsidRPr="006B42D6" w:rsidRDefault="00895A1D" w:rsidP="00895A1D">
            <w:pPr>
              <w:jc w:val="right"/>
              <w:rPr>
                <w:sz w:val="16"/>
                <w:szCs w:val="16"/>
              </w:rPr>
            </w:pPr>
            <w:r w:rsidRPr="006B42D6">
              <w:rPr>
                <w:sz w:val="16"/>
                <w:szCs w:val="16"/>
              </w:rPr>
              <w:t>0</w:t>
            </w:r>
          </w:p>
        </w:tc>
        <w:tc>
          <w:tcPr>
            <w:tcW w:w="1294" w:type="dxa"/>
            <w:tcBorders>
              <w:top w:val="nil"/>
              <w:left w:val="nil"/>
              <w:bottom w:val="nil"/>
              <w:right w:val="nil"/>
            </w:tcBorders>
            <w:shd w:val="clear" w:color="auto" w:fill="auto"/>
            <w:noWrap/>
            <w:vAlign w:val="bottom"/>
            <w:hideMark/>
          </w:tcPr>
          <w:p w14:paraId="67C1D640" w14:textId="40C214B2" w:rsidR="00895A1D" w:rsidRPr="006B42D6" w:rsidRDefault="00895A1D" w:rsidP="00895A1D">
            <w:pPr>
              <w:jc w:val="right"/>
              <w:rPr>
                <w:sz w:val="16"/>
                <w:szCs w:val="16"/>
              </w:rPr>
            </w:pPr>
            <w:r w:rsidRPr="006B42D6">
              <w:rPr>
                <w:sz w:val="16"/>
                <w:szCs w:val="16"/>
              </w:rPr>
              <w:t>0</w:t>
            </w:r>
          </w:p>
        </w:tc>
        <w:tc>
          <w:tcPr>
            <w:tcW w:w="949" w:type="dxa"/>
            <w:tcBorders>
              <w:top w:val="nil"/>
              <w:left w:val="nil"/>
              <w:bottom w:val="nil"/>
              <w:right w:val="nil"/>
            </w:tcBorders>
            <w:shd w:val="clear" w:color="auto" w:fill="auto"/>
            <w:noWrap/>
            <w:vAlign w:val="bottom"/>
            <w:hideMark/>
          </w:tcPr>
          <w:p w14:paraId="124541AD" w14:textId="655CF353" w:rsidR="00895A1D" w:rsidRPr="006B42D6" w:rsidRDefault="00895A1D" w:rsidP="00895A1D">
            <w:pPr>
              <w:jc w:val="right"/>
              <w:rPr>
                <w:sz w:val="16"/>
                <w:szCs w:val="16"/>
              </w:rPr>
            </w:pPr>
            <w:r w:rsidRPr="006B42D6">
              <w:rPr>
                <w:sz w:val="16"/>
                <w:szCs w:val="16"/>
              </w:rPr>
              <w:t>0</w:t>
            </w:r>
          </w:p>
        </w:tc>
        <w:tc>
          <w:tcPr>
            <w:tcW w:w="952" w:type="dxa"/>
            <w:tcBorders>
              <w:top w:val="nil"/>
              <w:left w:val="nil"/>
              <w:bottom w:val="nil"/>
              <w:right w:val="nil"/>
            </w:tcBorders>
            <w:shd w:val="clear" w:color="auto" w:fill="auto"/>
            <w:noWrap/>
            <w:vAlign w:val="bottom"/>
            <w:hideMark/>
          </w:tcPr>
          <w:p w14:paraId="05F536F5" w14:textId="38C2191E" w:rsidR="00895A1D" w:rsidRPr="006B42D6" w:rsidRDefault="00895A1D" w:rsidP="00895A1D">
            <w:pPr>
              <w:jc w:val="right"/>
              <w:rPr>
                <w:sz w:val="16"/>
                <w:szCs w:val="16"/>
              </w:rPr>
            </w:pPr>
            <w:r w:rsidRPr="006B42D6">
              <w:rPr>
                <w:sz w:val="16"/>
                <w:szCs w:val="16"/>
              </w:rPr>
              <w:t>4</w:t>
            </w:r>
          </w:p>
        </w:tc>
      </w:tr>
      <w:tr w:rsidR="006B42D6" w:rsidRPr="006B42D6" w14:paraId="51AAAD5B" w14:textId="77777777" w:rsidTr="00843062">
        <w:trPr>
          <w:trHeight w:val="312"/>
        </w:trPr>
        <w:tc>
          <w:tcPr>
            <w:tcW w:w="1708" w:type="dxa"/>
            <w:tcBorders>
              <w:top w:val="nil"/>
              <w:left w:val="nil"/>
              <w:bottom w:val="nil"/>
            </w:tcBorders>
            <w:shd w:val="clear" w:color="auto" w:fill="auto"/>
            <w:noWrap/>
            <w:vAlign w:val="bottom"/>
            <w:hideMark/>
          </w:tcPr>
          <w:p w14:paraId="5433D156" w14:textId="706BDCE7" w:rsidR="00895A1D" w:rsidRPr="006B42D6" w:rsidRDefault="00895A1D" w:rsidP="00970387">
            <w:pPr>
              <w:jc w:val="left"/>
              <w:rPr>
                <w:sz w:val="16"/>
                <w:szCs w:val="16"/>
              </w:rPr>
            </w:pPr>
            <w:r w:rsidRPr="006B42D6">
              <w:rPr>
                <w:sz w:val="16"/>
                <w:szCs w:val="16"/>
              </w:rPr>
              <w:t>Mbeya</w:t>
            </w:r>
          </w:p>
        </w:tc>
        <w:tc>
          <w:tcPr>
            <w:tcW w:w="1052" w:type="dxa"/>
            <w:tcBorders>
              <w:top w:val="nil"/>
              <w:bottom w:val="nil"/>
              <w:right w:val="nil"/>
            </w:tcBorders>
            <w:shd w:val="clear" w:color="auto" w:fill="auto"/>
            <w:noWrap/>
            <w:vAlign w:val="bottom"/>
            <w:hideMark/>
          </w:tcPr>
          <w:p w14:paraId="62F2A4FC" w14:textId="03B7A77F" w:rsidR="00895A1D" w:rsidRPr="006B42D6" w:rsidRDefault="00895A1D" w:rsidP="00895A1D">
            <w:pPr>
              <w:jc w:val="right"/>
              <w:rPr>
                <w:sz w:val="16"/>
                <w:szCs w:val="16"/>
              </w:rPr>
            </w:pPr>
            <w:r w:rsidRPr="006B42D6">
              <w:rPr>
                <w:sz w:val="16"/>
                <w:szCs w:val="16"/>
              </w:rPr>
              <w:t>253</w:t>
            </w:r>
          </w:p>
        </w:tc>
        <w:tc>
          <w:tcPr>
            <w:tcW w:w="1018" w:type="dxa"/>
            <w:tcBorders>
              <w:top w:val="nil"/>
              <w:left w:val="nil"/>
              <w:bottom w:val="nil"/>
              <w:right w:val="nil"/>
            </w:tcBorders>
            <w:shd w:val="clear" w:color="auto" w:fill="auto"/>
            <w:noWrap/>
            <w:vAlign w:val="bottom"/>
            <w:hideMark/>
          </w:tcPr>
          <w:p w14:paraId="11B04219" w14:textId="45F5E631" w:rsidR="00895A1D" w:rsidRPr="006B42D6" w:rsidRDefault="00895A1D" w:rsidP="00895A1D">
            <w:pPr>
              <w:jc w:val="right"/>
              <w:rPr>
                <w:sz w:val="16"/>
                <w:szCs w:val="16"/>
              </w:rPr>
            </w:pPr>
            <w:r w:rsidRPr="006B42D6">
              <w:rPr>
                <w:sz w:val="16"/>
                <w:szCs w:val="16"/>
              </w:rPr>
              <w:t>2</w:t>
            </w:r>
          </w:p>
        </w:tc>
        <w:tc>
          <w:tcPr>
            <w:tcW w:w="1052" w:type="dxa"/>
            <w:tcBorders>
              <w:top w:val="nil"/>
              <w:left w:val="nil"/>
              <w:bottom w:val="nil"/>
              <w:right w:val="nil"/>
            </w:tcBorders>
            <w:shd w:val="clear" w:color="auto" w:fill="auto"/>
            <w:noWrap/>
            <w:vAlign w:val="bottom"/>
            <w:hideMark/>
          </w:tcPr>
          <w:p w14:paraId="31E477CC" w14:textId="0117257B" w:rsidR="00895A1D" w:rsidRPr="006B42D6" w:rsidRDefault="00895A1D" w:rsidP="00895A1D">
            <w:pPr>
              <w:jc w:val="right"/>
              <w:rPr>
                <w:sz w:val="16"/>
                <w:szCs w:val="16"/>
              </w:rPr>
            </w:pPr>
            <w:r w:rsidRPr="006B42D6">
              <w:rPr>
                <w:sz w:val="16"/>
                <w:szCs w:val="16"/>
              </w:rPr>
              <w:t>253</w:t>
            </w:r>
          </w:p>
        </w:tc>
        <w:tc>
          <w:tcPr>
            <w:tcW w:w="1397" w:type="dxa"/>
            <w:tcBorders>
              <w:top w:val="nil"/>
              <w:left w:val="nil"/>
              <w:bottom w:val="nil"/>
              <w:right w:val="nil"/>
            </w:tcBorders>
            <w:shd w:val="clear" w:color="auto" w:fill="auto"/>
            <w:noWrap/>
            <w:vAlign w:val="bottom"/>
            <w:hideMark/>
          </w:tcPr>
          <w:p w14:paraId="24D4A839" w14:textId="22724BFB" w:rsidR="00895A1D" w:rsidRPr="006B42D6" w:rsidRDefault="00895A1D" w:rsidP="00895A1D">
            <w:pPr>
              <w:jc w:val="right"/>
              <w:rPr>
                <w:sz w:val="16"/>
                <w:szCs w:val="16"/>
              </w:rPr>
            </w:pPr>
            <w:r w:rsidRPr="006B42D6">
              <w:rPr>
                <w:sz w:val="16"/>
                <w:szCs w:val="16"/>
              </w:rPr>
              <w:t>2</w:t>
            </w:r>
          </w:p>
        </w:tc>
        <w:tc>
          <w:tcPr>
            <w:tcW w:w="1294" w:type="dxa"/>
            <w:tcBorders>
              <w:top w:val="nil"/>
              <w:left w:val="nil"/>
              <w:bottom w:val="nil"/>
              <w:right w:val="nil"/>
            </w:tcBorders>
            <w:shd w:val="clear" w:color="auto" w:fill="auto"/>
            <w:noWrap/>
            <w:vAlign w:val="bottom"/>
            <w:hideMark/>
          </w:tcPr>
          <w:p w14:paraId="0D4667C1" w14:textId="5A516B0F" w:rsidR="00895A1D" w:rsidRPr="006B42D6" w:rsidRDefault="00895A1D" w:rsidP="00895A1D">
            <w:pPr>
              <w:jc w:val="right"/>
              <w:rPr>
                <w:sz w:val="16"/>
                <w:szCs w:val="16"/>
              </w:rPr>
            </w:pPr>
            <w:r w:rsidRPr="006B42D6">
              <w:rPr>
                <w:sz w:val="16"/>
                <w:szCs w:val="16"/>
              </w:rPr>
              <w:t>3</w:t>
            </w:r>
          </w:p>
        </w:tc>
        <w:tc>
          <w:tcPr>
            <w:tcW w:w="949" w:type="dxa"/>
            <w:tcBorders>
              <w:top w:val="nil"/>
              <w:left w:val="nil"/>
              <w:bottom w:val="nil"/>
              <w:right w:val="nil"/>
            </w:tcBorders>
            <w:shd w:val="clear" w:color="auto" w:fill="auto"/>
            <w:noWrap/>
            <w:vAlign w:val="bottom"/>
            <w:hideMark/>
          </w:tcPr>
          <w:p w14:paraId="610710CE" w14:textId="0BB11878" w:rsidR="00895A1D" w:rsidRPr="006B42D6" w:rsidRDefault="00895A1D" w:rsidP="00895A1D">
            <w:pPr>
              <w:jc w:val="right"/>
              <w:rPr>
                <w:sz w:val="16"/>
                <w:szCs w:val="16"/>
              </w:rPr>
            </w:pPr>
            <w:r w:rsidRPr="006B42D6">
              <w:rPr>
                <w:sz w:val="16"/>
                <w:szCs w:val="16"/>
              </w:rPr>
              <w:t>-</w:t>
            </w:r>
          </w:p>
        </w:tc>
        <w:tc>
          <w:tcPr>
            <w:tcW w:w="952" w:type="dxa"/>
            <w:tcBorders>
              <w:top w:val="nil"/>
              <w:left w:val="nil"/>
              <w:bottom w:val="nil"/>
              <w:right w:val="nil"/>
            </w:tcBorders>
            <w:shd w:val="clear" w:color="auto" w:fill="auto"/>
            <w:noWrap/>
            <w:vAlign w:val="bottom"/>
            <w:hideMark/>
          </w:tcPr>
          <w:p w14:paraId="671CA9CB" w14:textId="56270F67" w:rsidR="00895A1D" w:rsidRPr="006B42D6" w:rsidRDefault="00895A1D" w:rsidP="00895A1D">
            <w:pPr>
              <w:jc w:val="right"/>
              <w:rPr>
                <w:sz w:val="16"/>
                <w:szCs w:val="16"/>
              </w:rPr>
            </w:pPr>
            <w:r w:rsidRPr="006B42D6">
              <w:rPr>
                <w:sz w:val="16"/>
                <w:szCs w:val="16"/>
              </w:rPr>
              <w:t>-</w:t>
            </w:r>
          </w:p>
        </w:tc>
      </w:tr>
      <w:tr w:rsidR="006B42D6" w:rsidRPr="006B42D6" w14:paraId="3D733D82" w14:textId="77777777" w:rsidTr="00843062">
        <w:trPr>
          <w:trHeight w:val="312"/>
        </w:trPr>
        <w:tc>
          <w:tcPr>
            <w:tcW w:w="1708" w:type="dxa"/>
            <w:tcBorders>
              <w:top w:val="nil"/>
              <w:left w:val="nil"/>
              <w:bottom w:val="nil"/>
            </w:tcBorders>
            <w:shd w:val="clear" w:color="auto" w:fill="auto"/>
            <w:noWrap/>
            <w:vAlign w:val="bottom"/>
            <w:hideMark/>
          </w:tcPr>
          <w:p w14:paraId="1BC96962" w14:textId="13F0FB6A" w:rsidR="00895A1D" w:rsidRPr="006B42D6" w:rsidRDefault="00895A1D" w:rsidP="00970387">
            <w:pPr>
              <w:jc w:val="left"/>
              <w:rPr>
                <w:sz w:val="16"/>
                <w:szCs w:val="16"/>
              </w:rPr>
            </w:pPr>
            <w:r w:rsidRPr="006B42D6">
              <w:rPr>
                <w:sz w:val="16"/>
                <w:szCs w:val="16"/>
              </w:rPr>
              <w:t>Singida</w:t>
            </w:r>
          </w:p>
        </w:tc>
        <w:tc>
          <w:tcPr>
            <w:tcW w:w="1052" w:type="dxa"/>
            <w:tcBorders>
              <w:top w:val="nil"/>
              <w:bottom w:val="nil"/>
              <w:right w:val="nil"/>
            </w:tcBorders>
            <w:shd w:val="clear" w:color="auto" w:fill="auto"/>
            <w:noWrap/>
            <w:vAlign w:val="bottom"/>
            <w:hideMark/>
          </w:tcPr>
          <w:p w14:paraId="18DC889B" w14:textId="5625ACC3" w:rsidR="00895A1D" w:rsidRPr="006B42D6" w:rsidRDefault="00895A1D" w:rsidP="00895A1D">
            <w:pPr>
              <w:jc w:val="right"/>
              <w:rPr>
                <w:sz w:val="16"/>
                <w:szCs w:val="16"/>
              </w:rPr>
            </w:pPr>
            <w:r w:rsidRPr="006B42D6">
              <w:rPr>
                <w:sz w:val="16"/>
                <w:szCs w:val="16"/>
              </w:rPr>
              <w:t>-</w:t>
            </w:r>
          </w:p>
        </w:tc>
        <w:tc>
          <w:tcPr>
            <w:tcW w:w="1018" w:type="dxa"/>
            <w:tcBorders>
              <w:top w:val="nil"/>
              <w:left w:val="nil"/>
              <w:bottom w:val="nil"/>
              <w:right w:val="nil"/>
            </w:tcBorders>
            <w:shd w:val="clear" w:color="auto" w:fill="auto"/>
            <w:noWrap/>
            <w:vAlign w:val="bottom"/>
            <w:hideMark/>
          </w:tcPr>
          <w:p w14:paraId="5F715808" w14:textId="02071FBA" w:rsidR="00895A1D" w:rsidRPr="006B42D6" w:rsidRDefault="00895A1D" w:rsidP="00895A1D">
            <w:pPr>
              <w:jc w:val="right"/>
              <w:rPr>
                <w:sz w:val="16"/>
                <w:szCs w:val="16"/>
              </w:rPr>
            </w:pPr>
            <w:r w:rsidRPr="006B42D6">
              <w:rPr>
                <w:sz w:val="16"/>
                <w:szCs w:val="16"/>
              </w:rPr>
              <w:t>-</w:t>
            </w:r>
          </w:p>
        </w:tc>
        <w:tc>
          <w:tcPr>
            <w:tcW w:w="1052" w:type="dxa"/>
            <w:tcBorders>
              <w:top w:val="nil"/>
              <w:left w:val="nil"/>
              <w:bottom w:val="nil"/>
              <w:right w:val="nil"/>
            </w:tcBorders>
            <w:shd w:val="clear" w:color="auto" w:fill="auto"/>
            <w:noWrap/>
            <w:vAlign w:val="bottom"/>
            <w:hideMark/>
          </w:tcPr>
          <w:p w14:paraId="1A4B0DD0" w14:textId="7B90BF94" w:rsidR="00895A1D" w:rsidRPr="006B42D6" w:rsidRDefault="00895A1D" w:rsidP="00895A1D">
            <w:pPr>
              <w:jc w:val="right"/>
              <w:rPr>
                <w:sz w:val="16"/>
                <w:szCs w:val="16"/>
              </w:rPr>
            </w:pPr>
            <w:r w:rsidRPr="006B42D6">
              <w:rPr>
                <w:sz w:val="16"/>
                <w:szCs w:val="16"/>
              </w:rPr>
              <w:t>-</w:t>
            </w:r>
          </w:p>
        </w:tc>
        <w:tc>
          <w:tcPr>
            <w:tcW w:w="1397" w:type="dxa"/>
            <w:tcBorders>
              <w:top w:val="nil"/>
              <w:left w:val="nil"/>
              <w:bottom w:val="nil"/>
              <w:right w:val="nil"/>
            </w:tcBorders>
            <w:shd w:val="clear" w:color="auto" w:fill="auto"/>
            <w:noWrap/>
            <w:vAlign w:val="bottom"/>
            <w:hideMark/>
          </w:tcPr>
          <w:p w14:paraId="4C5DB569" w14:textId="120E2EBE" w:rsidR="00895A1D" w:rsidRPr="006B42D6" w:rsidRDefault="00895A1D" w:rsidP="00895A1D">
            <w:pPr>
              <w:jc w:val="right"/>
              <w:rPr>
                <w:sz w:val="16"/>
                <w:szCs w:val="16"/>
              </w:rPr>
            </w:pPr>
            <w:r w:rsidRPr="006B42D6">
              <w:rPr>
                <w:sz w:val="16"/>
                <w:szCs w:val="16"/>
              </w:rPr>
              <w:t>-</w:t>
            </w:r>
          </w:p>
        </w:tc>
        <w:tc>
          <w:tcPr>
            <w:tcW w:w="1294" w:type="dxa"/>
            <w:tcBorders>
              <w:top w:val="nil"/>
              <w:left w:val="nil"/>
              <w:bottom w:val="nil"/>
              <w:right w:val="nil"/>
            </w:tcBorders>
            <w:shd w:val="clear" w:color="auto" w:fill="auto"/>
            <w:noWrap/>
            <w:vAlign w:val="bottom"/>
            <w:hideMark/>
          </w:tcPr>
          <w:p w14:paraId="4205569C" w14:textId="0F5B7BA7" w:rsidR="00895A1D" w:rsidRPr="006B42D6" w:rsidRDefault="00895A1D" w:rsidP="00895A1D">
            <w:pPr>
              <w:jc w:val="right"/>
              <w:rPr>
                <w:sz w:val="16"/>
                <w:szCs w:val="16"/>
              </w:rPr>
            </w:pPr>
            <w:r w:rsidRPr="006B42D6">
              <w:rPr>
                <w:sz w:val="16"/>
                <w:szCs w:val="16"/>
              </w:rPr>
              <w:t>-</w:t>
            </w:r>
          </w:p>
        </w:tc>
        <w:tc>
          <w:tcPr>
            <w:tcW w:w="949" w:type="dxa"/>
            <w:tcBorders>
              <w:top w:val="nil"/>
              <w:left w:val="nil"/>
              <w:bottom w:val="nil"/>
              <w:right w:val="nil"/>
            </w:tcBorders>
            <w:shd w:val="clear" w:color="auto" w:fill="auto"/>
            <w:noWrap/>
            <w:vAlign w:val="bottom"/>
            <w:hideMark/>
          </w:tcPr>
          <w:p w14:paraId="61D873DD" w14:textId="72AE97F3" w:rsidR="00895A1D" w:rsidRPr="006B42D6" w:rsidRDefault="00895A1D" w:rsidP="00895A1D">
            <w:pPr>
              <w:jc w:val="right"/>
              <w:rPr>
                <w:sz w:val="16"/>
                <w:szCs w:val="16"/>
              </w:rPr>
            </w:pPr>
            <w:r w:rsidRPr="006B42D6">
              <w:rPr>
                <w:sz w:val="16"/>
                <w:szCs w:val="16"/>
              </w:rPr>
              <w:t>-</w:t>
            </w:r>
          </w:p>
        </w:tc>
        <w:tc>
          <w:tcPr>
            <w:tcW w:w="952" w:type="dxa"/>
            <w:tcBorders>
              <w:top w:val="nil"/>
              <w:left w:val="nil"/>
              <w:bottom w:val="nil"/>
              <w:right w:val="nil"/>
            </w:tcBorders>
            <w:shd w:val="clear" w:color="auto" w:fill="auto"/>
            <w:noWrap/>
            <w:vAlign w:val="bottom"/>
            <w:hideMark/>
          </w:tcPr>
          <w:p w14:paraId="47E1D348" w14:textId="6B30537F" w:rsidR="00895A1D" w:rsidRPr="006B42D6" w:rsidRDefault="00895A1D" w:rsidP="00895A1D">
            <w:pPr>
              <w:jc w:val="right"/>
              <w:rPr>
                <w:sz w:val="16"/>
                <w:szCs w:val="16"/>
              </w:rPr>
            </w:pPr>
            <w:r w:rsidRPr="006B42D6">
              <w:rPr>
                <w:sz w:val="16"/>
                <w:szCs w:val="16"/>
              </w:rPr>
              <w:t>-</w:t>
            </w:r>
          </w:p>
        </w:tc>
      </w:tr>
      <w:tr w:rsidR="006B42D6" w:rsidRPr="006B42D6" w14:paraId="2C9A959D" w14:textId="77777777" w:rsidTr="00843062">
        <w:trPr>
          <w:trHeight w:val="312"/>
        </w:trPr>
        <w:tc>
          <w:tcPr>
            <w:tcW w:w="1708" w:type="dxa"/>
            <w:tcBorders>
              <w:top w:val="nil"/>
              <w:left w:val="nil"/>
              <w:bottom w:val="nil"/>
            </w:tcBorders>
            <w:shd w:val="clear" w:color="auto" w:fill="auto"/>
            <w:noWrap/>
            <w:vAlign w:val="bottom"/>
            <w:hideMark/>
          </w:tcPr>
          <w:p w14:paraId="090B8197" w14:textId="07C11A09" w:rsidR="00895A1D" w:rsidRPr="006B42D6" w:rsidRDefault="00895A1D" w:rsidP="00970387">
            <w:pPr>
              <w:jc w:val="left"/>
              <w:rPr>
                <w:sz w:val="16"/>
                <w:szCs w:val="16"/>
              </w:rPr>
            </w:pPr>
            <w:r w:rsidRPr="006B42D6">
              <w:rPr>
                <w:sz w:val="16"/>
                <w:szCs w:val="16"/>
              </w:rPr>
              <w:t>Tabora</w:t>
            </w:r>
          </w:p>
        </w:tc>
        <w:tc>
          <w:tcPr>
            <w:tcW w:w="1052" w:type="dxa"/>
            <w:tcBorders>
              <w:top w:val="nil"/>
              <w:bottom w:val="nil"/>
              <w:right w:val="nil"/>
            </w:tcBorders>
            <w:shd w:val="clear" w:color="auto" w:fill="auto"/>
            <w:noWrap/>
            <w:vAlign w:val="bottom"/>
            <w:hideMark/>
          </w:tcPr>
          <w:p w14:paraId="19773DC6" w14:textId="798115CC" w:rsidR="00895A1D" w:rsidRPr="006B42D6" w:rsidRDefault="00895A1D" w:rsidP="00895A1D">
            <w:pPr>
              <w:jc w:val="right"/>
              <w:rPr>
                <w:sz w:val="16"/>
                <w:szCs w:val="16"/>
              </w:rPr>
            </w:pPr>
            <w:r w:rsidRPr="006B42D6">
              <w:rPr>
                <w:sz w:val="16"/>
                <w:szCs w:val="16"/>
              </w:rPr>
              <w:t>-</w:t>
            </w:r>
          </w:p>
        </w:tc>
        <w:tc>
          <w:tcPr>
            <w:tcW w:w="1018" w:type="dxa"/>
            <w:tcBorders>
              <w:top w:val="nil"/>
              <w:left w:val="nil"/>
              <w:bottom w:val="nil"/>
              <w:right w:val="nil"/>
            </w:tcBorders>
            <w:shd w:val="clear" w:color="auto" w:fill="auto"/>
            <w:noWrap/>
            <w:vAlign w:val="bottom"/>
            <w:hideMark/>
          </w:tcPr>
          <w:p w14:paraId="0E898616" w14:textId="4C6E18AC" w:rsidR="00895A1D" w:rsidRPr="006B42D6" w:rsidRDefault="00895A1D" w:rsidP="00895A1D">
            <w:pPr>
              <w:jc w:val="right"/>
              <w:rPr>
                <w:sz w:val="16"/>
                <w:szCs w:val="16"/>
              </w:rPr>
            </w:pPr>
            <w:r w:rsidRPr="006B42D6">
              <w:rPr>
                <w:sz w:val="16"/>
                <w:szCs w:val="16"/>
              </w:rPr>
              <w:t>-</w:t>
            </w:r>
          </w:p>
        </w:tc>
        <w:tc>
          <w:tcPr>
            <w:tcW w:w="1052" w:type="dxa"/>
            <w:tcBorders>
              <w:top w:val="nil"/>
              <w:left w:val="nil"/>
              <w:bottom w:val="nil"/>
              <w:right w:val="nil"/>
            </w:tcBorders>
            <w:shd w:val="clear" w:color="auto" w:fill="auto"/>
            <w:noWrap/>
            <w:vAlign w:val="bottom"/>
            <w:hideMark/>
          </w:tcPr>
          <w:p w14:paraId="4CE9B376" w14:textId="67774966" w:rsidR="00895A1D" w:rsidRPr="006B42D6" w:rsidRDefault="00895A1D" w:rsidP="00895A1D">
            <w:pPr>
              <w:jc w:val="right"/>
              <w:rPr>
                <w:sz w:val="16"/>
                <w:szCs w:val="16"/>
              </w:rPr>
            </w:pPr>
            <w:r w:rsidRPr="006B42D6">
              <w:rPr>
                <w:sz w:val="16"/>
                <w:szCs w:val="16"/>
              </w:rPr>
              <w:t>-</w:t>
            </w:r>
          </w:p>
        </w:tc>
        <w:tc>
          <w:tcPr>
            <w:tcW w:w="1397" w:type="dxa"/>
            <w:tcBorders>
              <w:top w:val="nil"/>
              <w:left w:val="nil"/>
              <w:bottom w:val="nil"/>
              <w:right w:val="nil"/>
            </w:tcBorders>
            <w:shd w:val="clear" w:color="auto" w:fill="auto"/>
            <w:noWrap/>
            <w:vAlign w:val="bottom"/>
            <w:hideMark/>
          </w:tcPr>
          <w:p w14:paraId="3C969BEC" w14:textId="67FD96F8" w:rsidR="00895A1D" w:rsidRPr="006B42D6" w:rsidRDefault="00895A1D" w:rsidP="00895A1D">
            <w:pPr>
              <w:jc w:val="right"/>
              <w:rPr>
                <w:sz w:val="16"/>
                <w:szCs w:val="16"/>
              </w:rPr>
            </w:pPr>
            <w:r w:rsidRPr="006B42D6">
              <w:rPr>
                <w:sz w:val="16"/>
                <w:szCs w:val="16"/>
              </w:rPr>
              <w:t>-</w:t>
            </w:r>
          </w:p>
        </w:tc>
        <w:tc>
          <w:tcPr>
            <w:tcW w:w="1294" w:type="dxa"/>
            <w:tcBorders>
              <w:top w:val="nil"/>
              <w:left w:val="nil"/>
              <w:bottom w:val="nil"/>
              <w:right w:val="nil"/>
            </w:tcBorders>
            <w:shd w:val="clear" w:color="auto" w:fill="auto"/>
            <w:noWrap/>
            <w:vAlign w:val="bottom"/>
            <w:hideMark/>
          </w:tcPr>
          <w:p w14:paraId="78E86F58" w14:textId="3640DEF7" w:rsidR="00895A1D" w:rsidRPr="006B42D6" w:rsidRDefault="00895A1D" w:rsidP="00895A1D">
            <w:pPr>
              <w:jc w:val="right"/>
              <w:rPr>
                <w:sz w:val="16"/>
                <w:szCs w:val="16"/>
              </w:rPr>
            </w:pPr>
            <w:r w:rsidRPr="006B42D6">
              <w:rPr>
                <w:sz w:val="16"/>
                <w:szCs w:val="16"/>
              </w:rPr>
              <w:t>-</w:t>
            </w:r>
          </w:p>
        </w:tc>
        <w:tc>
          <w:tcPr>
            <w:tcW w:w="949" w:type="dxa"/>
            <w:tcBorders>
              <w:top w:val="nil"/>
              <w:left w:val="nil"/>
              <w:bottom w:val="nil"/>
              <w:right w:val="nil"/>
            </w:tcBorders>
            <w:shd w:val="clear" w:color="auto" w:fill="auto"/>
            <w:noWrap/>
            <w:vAlign w:val="bottom"/>
            <w:hideMark/>
          </w:tcPr>
          <w:p w14:paraId="08046F2B" w14:textId="7E58D272" w:rsidR="00895A1D" w:rsidRPr="006B42D6" w:rsidRDefault="00895A1D" w:rsidP="00895A1D">
            <w:pPr>
              <w:jc w:val="right"/>
              <w:rPr>
                <w:sz w:val="16"/>
                <w:szCs w:val="16"/>
              </w:rPr>
            </w:pPr>
            <w:r w:rsidRPr="006B42D6">
              <w:rPr>
                <w:sz w:val="16"/>
                <w:szCs w:val="16"/>
              </w:rPr>
              <w:t>-</w:t>
            </w:r>
          </w:p>
        </w:tc>
        <w:tc>
          <w:tcPr>
            <w:tcW w:w="952" w:type="dxa"/>
            <w:tcBorders>
              <w:top w:val="nil"/>
              <w:left w:val="nil"/>
              <w:bottom w:val="nil"/>
              <w:right w:val="nil"/>
            </w:tcBorders>
            <w:shd w:val="clear" w:color="auto" w:fill="auto"/>
            <w:noWrap/>
            <w:vAlign w:val="bottom"/>
            <w:hideMark/>
          </w:tcPr>
          <w:p w14:paraId="2D298330" w14:textId="5FFA0D86" w:rsidR="00895A1D" w:rsidRPr="006B42D6" w:rsidRDefault="00895A1D" w:rsidP="00895A1D">
            <w:pPr>
              <w:jc w:val="right"/>
              <w:rPr>
                <w:sz w:val="16"/>
                <w:szCs w:val="16"/>
              </w:rPr>
            </w:pPr>
            <w:r w:rsidRPr="006B42D6">
              <w:rPr>
                <w:sz w:val="16"/>
                <w:szCs w:val="16"/>
              </w:rPr>
              <w:t>-</w:t>
            </w:r>
          </w:p>
        </w:tc>
      </w:tr>
      <w:tr w:rsidR="006B42D6" w:rsidRPr="006B42D6" w14:paraId="27BABBF1" w14:textId="77777777" w:rsidTr="00843062">
        <w:trPr>
          <w:trHeight w:val="312"/>
        </w:trPr>
        <w:tc>
          <w:tcPr>
            <w:tcW w:w="1708" w:type="dxa"/>
            <w:tcBorders>
              <w:top w:val="nil"/>
              <w:left w:val="nil"/>
              <w:bottom w:val="nil"/>
            </w:tcBorders>
            <w:shd w:val="clear" w:color="auto" w:fill="auto"/>
            <w:noWrap/>
            <w:vAlign w:val="bottom"/>
            <w:hideMark/>
          </w:tcPr>
          <w:p w14:paraId="416A8552" w14:textId="11963A2A" w:rsidR="00895A1D" w:rsidRPr="006B42D6" w:rsidRDefault="00895A1D" w:rsidP="00970387">
            <w:pPr>
              <w:jc w:val="left"/>
              <w:rPr>
                <w:sz w:val="16"/>
                <w:szCs w:val="16"/>
              </w:rPr>
            </w:pPr>
            <w:r w:rsidRPr="006B42D6">
              <w:rPr>
                <w:sz w:val="16"/>
                <w:szCs w:val="16"/>
              </w:rPr>
              <w:t>Rukwa</w:t>
            </w:r>
          </w:p>
        </w:tc>
        <w:tc>
          <w:tcPr>
            <w:tcW w:w="1052" w:type="dxa"/>
            <w:tcBorders>
              <w:top w:val="nil"/>
              <w:bottom w:val="nil"/>
              <w:right w:val="nil"/>
            </w:tcBorders>
            <w:shd w:val="clear" w:color="auto" w:fill="auto"/>
            <w:noWrap/>
            <w:vAlign w:val="bottom"/>
            <w:hideMark/>
          </w:tcPr>
          <w:p w14:paraId="2E897A19" w14:textId="06ED61BD" w:rsidR="00895A1D" w:rsidRPr="006B42D6" w:rsidRDefault="00895A1D" w:rsidP="00895A1D">
            <w:pPr>
              <w:jc w:val="right"/>
              <w:rPr>
                <w:sz w:val="16"/>
                <w:szCs w:val="16"/>
              </w:rPr>
            </w:pPr>
            <w:r w:rsidRPr="006B42D6">
              <w:rPr>
                <w:sz w:val="16"/>
                <w:szCs w:val="16"/>
              </w:rPr>
              <w:t>-</w:t>
            </w:r>
          </w:p>
        </w:tc>
        <w:tc>
          <w:tcPr>
            <w:tcW w:w="1018" w:type="dxa"/>
            <w:tcBorders>
              <w:top w:val="nil"/>
              <w:left w:val="nil"/>
              <w:bottom w:val="nil"/>
              <w:right w:val="nil"/>
            </w:tcBorders>
            <w:shd w:val="clear" w:color="auto" w:fill="auto"/>
            <w:noWrap/>
            <w:vAlign w:val="bottom"/>
            <w:hideMark/>
          </w:tcPr>
          <w:p w14:paraId="6B1DECB8" w14:textId="1E4059E2" w:rsidR="00895A1D" w:rsidRPr="006B42D6" w:rsidRDefault="00895A1D" w:rsidP="00895A1D">
            <w:pPr>
              <w:jc w:val="right"/>
              <w:rPr>
                <w:sz w:val="16"/>
                <w:szCs w:val="16"/>
              </w:rPr>
            </w:pPr>
            <w:r w:rsidRPr="006B42D6">
              <w:rPr>
                <w:sz w:val="16"/>
                <w:szCs w:val="16"/>
              </w:rPr>
              <w:t>-</w:t>
            </w:r>
          </w:p>
        </w:tc>
        <w:tc>
          <w:tcPr>
            <w:tcW w:w="1052" w:type="dxa"/>
            <w:tcBorders>
              <w:top w:val="nil"/>
              <w:left w:val="nil"/>
              <w:bottom w:val="nil"/>
              <w:right w:val="nil"/>
            </w:tcBorders>
            <w:shd w:val="clear" w:color="auto" w:fill="auto"/>
            <w:noWrap/>
            <w:vAlign w:val="bottom"/>
            <w:hideMark/>
          </w:tcPr>
          <w:p w14:paraId="760F2E4D" w14:textId="0FD1164B" w:rsidR="00895A1D" w:rsidRPr="006B42D6" w:rsidRDefault="00895A1D" w:rsidP="00895A1D">
            <w:pPr>
              <w:jc w:val="right"/>
              <w:rPr>
                <w:sz w:val="16"/>
                <w:szCs w:val="16"/>
              </w:rPr>
            </w:pPr>
            <w:r w:rsidRPr="006B42D6">
              <w:rPr>
                <w:sz w:val="16"/>
                <w:szCs w:val="16"/>
              </w:rPr>
              <w:t>-</w:t>
            </w:r>
          </w:p>
        </w:tc>
        <w:tc>
          <w:tcPr>
            <w:tcW w:w="1397" w:type="dxa"/>
            <w:tcBorders>
              <w:top w:val="nil"/>
              <w:left w:val="nil"/>
              <w:bottom w:val="nil"/>
              <w:right w:val="nil"/>
            </w:tcBorders>
            <w:shd w:val="clear" w:color="auto" w:fill="auto"/>
            <w:noWrap/>
            <w:vAlign w:val="bottom"/>
            <w:hideMark/>
          </w:tcPr>
          <w:p w14:paraId="3F7029B2" w14:textId="318170CA" w:rsidR="00895A1D" w:rsidRPr="006B42D6" w:rsidRDefault="00895A1D" w:rsidP="00895A1D">
            <w:pPr>
              <w:jc w:val="right"/>
              <w:rPr>
                <w:sz w:val="16"/>
                <w:szCs w:val="16"/>
              </w:rPr>
            </w:pPr>
            <w:r w:rsidRPr="006B42D6">
              <w:rPr>
                <w:sz w:val="16"/>
                <w:szCs w:val="16"/>
              </w:rPr>
              <w:t>-</w:t>
            </w:r>
          </w:p>
        </w:tc>
        <w:tc>
          <w:tcPr>
            <w:tcW w:w="1294" w:type="dxa"/>
            <w:tcBorders>
              <w:top w:val="nil"/>
              <w:left w:val="nil"/>
              <w:bottom w:val="nil"/>
              <w:right w:val="nil"/>
            </w:tcBorders>
            <w:shd w:val="clear" w:color="auto" w:fill="auto"/>
            <w:noWrap/>
            <w:vAlign w:val="bottom"/>
            <w:hideMark/>
          </w:tcPr>
          <w:p w14:paraId="4CFC76E4" w14:textId="5A12E446" w:rsidR="00895A1D" w:rsidRPr="006B42D6" w:rsidRDefault="00895A1D" w:rsidP="00895A1D">
            <w:pPr>
              <w:jc w:val="right"/>
              <w:rPr>
                <w:sz w:val="16"/>
                <w:szCs w:val="16"/>
              </w:rPr>
            </w:pPr>
            <w:r w:rsidRPr="006B42D6">
              <w:rPr>
                <w:sz w:val="16"/>
                <w:szCs w:val="16"/>
              </w:rPr>
              <w:t>-</w:t>
            </w:r>
          </w:p>
        </w:tc>
        <w:tc>
          <w:tcPr>
            <w:tcW w:w="949" w:type="dxa"/>
            <w:tcBorders>
              <w:top w:val="nil"/>
              <w:left w:val="nil"/>
              <w:bottom w:val="nil"/>
              <w:right w:val="nil"/>
            </w:tcBorders>
            <w:shd w:val="clear" w:color="auto" w:fill="auto"/>
            <w:noWrap/>
            <w:vAlign w:val="bottom"/>
            <w:hideMark/>
          </w:tcPr>
          <w:p w14:paraId="0C69F1E2" w14:textId="3034ACC9" w:rsidR="00895A1D" w:rsidRPr="006B42D6" w:rsidRDefault="00895A1D" w:rsidP="00895A1D">
            <w:pPr>
              <w:jc w:val="right"/>
              <w:rPr>
                <w:sz w:val="16"/>
                <w:szCs w:val="16"/>
              </w:rPr>
            </w:pPr>
            <w:r w:rsidRPr="006B42D6">
              <w:rPr>
                <w:sz w:val="16"/>
                <w:szCs w:val="16"/>
              </w:rPr>
              <w:t>-</w:t>
            </w:r>
          </w:p>
        </w:tc>
        <w:tc>
          <w:tcPr>
            <w:tcW w:w="952" w:type="dxa"/>
            <w:tcBorders>
              <w:top w:val="nil"/>
              <w:left w:val="nil"/>
              <w:bottom w:val="nil"/>
              <w:right w:val="nil"/>
            </w:tcBorders>
            <w:shd w:val="clear" w:color="auto" w:fill="auto"/>
            <w:noWrap/>
            <w:vAlign w:val="bottom"/>
            <w:hideMark/>
          </w:tcPr>
          <w:p w14:paraId="5771118A" w14:textId="6636C40A" w:rsidR="00895A1D" w:rsidRPr="006B42D6" w:rsidRDefault="00895A1D" w:rsidP="00895A1D">
            <w:pPr>
              <w:jc w:val="right"/>
              <w:rPr>
                <w:sz w:val="16"/>
                <w:szCs w:val="16"/>
              </w:rPr>
            </w:pPr>
            <w:r w:rsidRPr="006B42D6">
              <w:rPr>
                <w:sz w:val="16"/>
                <w:szCs w:val="16"/>
              </w:rPr>
              <w:t>-</w:t>
            </w:r>
          </w:p>
        </w:tc>
      </w:tr>
      <w:tr w:rsidR="006B42D6" w:rsidRPr="006B42D6" w14:paraId="63C90EFC" w14:textId="77777777" w:rsidTr="00843062">
        <w:trPr>
          <w:trHeight w:val="312"/>
        </w:trPr>
        <w:tc>
          <w:tcPr>
            <w:tcW w:w="1708" w:type="dxa"/>
            <w:tcBorders>
              <w:top w:val="nil"/>
              <w:left w:val="nil"/>
              <w:bottom w:val="nil"/>
            </w:tcBorders>
            <w:shd w:val="clear" w:color="auto" w:fill="auto"/>
            <w:noWrap/>
            <w:vAlign w:val="bottom"/>
            <w:hideMark/>
          </w:tcPr>
          <w:p w14:paraId="41C8DA1A" w14:textId="43CA6877" w:rsidR="00895A1D" w:rsidRPr="006B42D6" w:rsidRDefault="00895A1D" w:rsidP="00970387">
            <w:pPr>
              <w:jc w:val="left"/>
              <w:rPr>
                <w:sz w:val="16"/>
                <w:szCs w:val="16"/>
              </w:rPr>
            </w:pPr>
            <w:r w:rsidRPr="006B42D6">
              <w:rPr>
                <w:sz w:val="16"/>
                <w:szCs w:val="16"/>
              </w:rPr>
              <w:t>Kigoma</w:t>
            </w:r>
          </w:p>
        </w:tc>
        <w:tc>
          <w:tcPr>
            <w:tcW w:w="1052" w:type="dxa"/>
            <w:tcBorders>
              <w:top w:val="nil"/>
              <w:bottom w:val="nil"/>
              <w:right w:val="nil"/>
            </w:tcBorders>
            <w:shd w:val="clear" w:color="auto" w:fill="auto"/>
            <w:noWrap/>
            <w:vAlign w:val="bottom"/>
            <w:hideMark/>
          </w:tcPr>
          <w:p w14:paraId="5163F135" w14:textId="7D7B5E66" w:rsidR="00895A1D" w:rsidRPr="006B42D6" w:rsidRDefault="00895A1D" w:rsidP="00895A1D">
            <w:pPr>
              <w:jc w:val="right"/>
              <w:rPr>
                <w:sz w:val="16"/>
                <w:szCs w:val="16"/>
              </w:rPr>
            </w:pPr>
            <w:r w:rsidRPr="006B42D6">
              <w:rPr>
                <w:sz w:val="16"/>
                <w:szCs w:val="16"/>
              </w:rPr>
              <w:t>-</w:t>
            </w:r>
          </w:p>
        </w:tc>
        <w:tc>
          <w:tcPr>
            <w:tcW w:w="1018" w:type="dxa"/>
            <w:tcBorders>
              <w:top w:val="nil"/>
              <w:left w:val="nil"/>
              <w:bottom w:val="nil"/>
              <w:right w:val="nil"/>
            </w:tcBorders>
            <w:shd w:val="clear" w:color="auto" w:fill="auto"/>
            <w:noWrap/>
            <w:vAlign w:val="bottom"/>
            <w:hideMark/>
          </w:tcPr>
          <w:p w14:paraId="02296F53" w14:textId="6472FD57" w:rsidR="00895A1D" w:rsidRPr="006B42D6" w:rsidRDefault="00895A1D" w:rsidP="00895A1D">
            <w:pPr>
              <w:jc w:val="right"/>
              <w:rPr>
                <w:sz w:val="16"/>
                <w:szCs w:val="16"/>
              </w:rPr>
            </w:pPr>
            <w:r w:rsidRPr="006B42D6">
              <w:rPr>
                <w:sz w:val="16"/>
                <w:szCs w:val="16"/>
              </w:rPr>
              <w:t>-</w:t>
            </w:r>
          </w:p>
        </w:tc>
        <w:tc>
          <w:tcPr>
            <w:tcW w:w="1052" w:type="dxa"/>
            <w:tcBorders>
              <w:top w:val="nil"/>
              <w:left w:val="nil"/>
              <w:bottom w:val="nil"/>
              <w:right w:val="nil"/>
            </w:tcBorders>
            <w:shd w:val="clear" w:color="auto" w:fill="auto"/>
            <w:noWrap/>
            <w:vAlign w:val="bottom"/>
            <w:hideMark/>
          </w:tcPr>
          <w:p w14:paraId="0AA07A4E" w14:textId="5567FF16" w:rsidR="00895A1D" w:rsidRPr="006B42D6" w:rsidRDefault="00895A1D" w:rsidP="00895A1D">
            <w:pPr>
              <w:jc w:val="right"/>
              <w:rPr>
                <w:sz w:val="16"/>
                <w:szCs w:val="16"/>
              </w:rPr>
            </w:pPr>
            <w:r w:rsidRPr="006B42D6">
              <w:rPr>
                <w:sz w:val="16"/>
                <w:szCs w:val="16"/>
              </w:rPr>
              <w:t>2,884</w:t>
            </w:r>
          </w:p>
        </w:tc>
        <w:tc>
          <w:tcPr>
            <w:tcW w:w="1397" w:type="dxa"/>
            <w:tcBorders>
              <w:top w:val="nil"/>
              <w:left w:val="nil"/>
              <w:bottom w:val="nil"/>
              <w:right w:val="nil"/>
            </w:tcBorders>
            <w:shd w:val="clear" w:color="auto" w:fill="auto"/>
            <w:noWrap/>
            <w:vAlign w:val="bottom"/>
            <w:hideMark/>
          </w:tcPr>
          <w:p w14:paraId="4980A9D3" w14:textId="6E7D8D83" w:rsidR="00895A1D" w:rsidRPr="006B42D6" w:rsidRDefault="00895A1D" w:rsidP="00895A1D">
            <w:pPr>
              <w:jc w:val="right"/>
              <w:rPr>
                <w:sz w:val="16"/>
                <w:szCs w:val="16"/>
              </w:rPr>
            </w:pPr>
            <w:r w:rsidRPr="006B42D6">
              <w:rPr>
                <w:sz w:val="16"/>
                <w:szCs w:val="16"/>
              </w:rPr>
              <w:t>37</w:t>
            </w:r>
          </w:p>
        </w:tc>
        <w:tc>
          <w:tcPr>
            <w:tcW w:w="1294" w:type="dxa"/>
            <w:tcBorders>
              <w:top w:val="nil"/>
              <w:left w:val="nil"/>
              <w:bottom w:val="nil"/>
              <w:right w:val="nil"/>
            </w:tcBorders>
            <w:shd w:val="clear" w:color="auto" w:fill="auto"/>
            <w:noWrap/>
            <w:vAlign w:val="bottom"/>
            <w:hideMark/>
          </w:tcPr>
          <w:p w14:paraId="67FFE9EB" w14:textId="6F5C94BC" w:rsidR="00895A1D" w:rsidRPr="006B42D6" w:rsidRDefault="00895A1D" w:rsidP="00895A1D">
            <w:pPr>
              <w:jc w:val="right"/>
              <w:rPr>
                <w:sz w:val="16"/>
                <w:szCs w:val="16"/>
              </w:rPr>
            </w:pPr>
            <w:r w:rsidRPr="006B42D6">
              <w:rPr>
                <w:sz w:val="16"/>
                <w:szCs w:val="16"/>
              </w:rPr>
              <w:t>37</w:t>
            </w:r>
          </w:p>
        </w:tc>
        <w:tc>
          <w:tcPr>
            <w:tcW w:w="949" w:type="dxa"/>
            <w:tcBorders>
              <w:top w:val="nil"/>
              <w:left w:val="nil"/>
              <w:bottom w:val="nil"/>
              <w:right w:val="nil"/>
            </w:tcBorders>
            <w:shd w:val="clear" w:color="auto" w:fill="auto"/>
            <w:noWrap/>
            <w:vAlign w:val="bottom"/>
            <w:hideMark/>
          </w:tcPr>
          <w:p w14:paraId="5FBDCAF7" w14:textId="4B2F4935" w:rsidR="00895A1D" w:rsidRPr="006B42D6" w:rsidRDefault="00895A1D" w:rsidP="00895A1D">
            <w:pPr>
              <w:jc w:val="right"/>
              <w:rPr>
                <w:sz w:val="16"/>
                <w:szCs w:val="16"/>
              </w:rPr>
            </w:pPr>
            <w:r w:rsidRPr="006B42D6">
              <w:rPr>
                <w:sz w:val="16"/>
                <w:szCs w:val="16"/>
              </w:rPr>
              <w:t>2</w:t>
            </w:r>
          </w:p>
        </w:tc>
        <w:tc>
          <w:tcPr>
            <w:tcW w:w="952" w:type="dxa"/>
            <w:tcBorders>
              <w:top w:val="nil"/>
              <w:left w:val="nil"/>
              <w:bottom w:val="nil"/>
              <w:right w:val="nil"/>
            </w:tcBorders>
            <w:shd w:val="clear" w:color="auto" w:fill="auto"/>
            <w:noWrap/>
            <w:vAlign w:val="bottom"/>
            <w:hideMark/>
          </w:tcPr>
          <w:p w14:paraId="0F204378" w14:textId="7251FD08" w:rsidR="00895A1D" w:rsidRPr="006B42D6" w:rsidRDefault="00895A1D" w:rsidP="00895A1D">
            <w:pPr>
              <w:jc w:val="right"/>
              <w:rPr>
                <w:sz w:val="16"/>
                <w:szCs w:val="16"/>
              </w:rPr>
            </w:pPr>
            <w:r w:rsidRPr="006B42D6">
              <w:rPr>
                <w:sz w:val="16"/>
                <w:szCs w:val="16"/>
              </w:rPr>
              <w:t>119</w:t>
            </w:r>
          </w:p>
        </w:tc>
      </w:tr>
      <w:tr w:rsidR="006B42D6" w:rsidRPr="006B42D6" w14:paraId="4055E7E9" w14:textId="77777777" w:rsidTr="00843062">
        <w:trPr>
          <w:trHeight w:val="312"/>
        </w:trPr>
        <w:tc>
          <w:tcPr>
            <w:tcW w:w="1708" w:type="dxa"/>
            <w:tcBorders>
              <w:top w:val="nil"/>
              <w:left w:val="nil"/>
              <w:bottom w:val="nil"/>
            </w:tcBorders>
            <w:shd w:val="clear" w:color="auto" w:fill="auto"/>
            <w:noWrap/>
            <w:vAlign w:val="bottom"/>
            <w:hideMark/>
          </w:tcPr>
          <w:p w14:paraId="3350C2D2" w14:textId="42F14A13" w:rsidR="00895A1D" w:rsidRPr="006B42D6" w:rsidRDefault="00895A1D" w:rsidP="00970387">
            <w:pPr>
              <w:jc w:val="left"/>
              <w:rPr>
                <w:sz w:val="16"/>
                <w:szCs w:val="16"/>
              </w:rPr>
            </w:pPr>
            <w:r w:rsidRPr="006B42D6">
              <w:rPr>
                <w:sz w:val="16"/>
                <w:szCs w:val="16"/>
              </w:rPr>
              <w:t>Shinyanga</w:t>
            </w:r>
          </w:p>
        </w:tc>
        <w:tc>
          <w:tcPr>
            <w:tcW w:w="1052" w:type="dxa"/>
            <w:tcBorders>
              <w:top w:val="nil"/>
              <w:bottom w:val="nil"/>
              <w:right w:val="nil"/>
            </w:tcBorders>
            <w:shd w:val="clear" w:color="auto" w:fill="auto"/>
            <w:noWrap/>
            <w:vAlign w:val="bottom"/>
            <w:hideMark/>
          </w:tcPr>
          <w:p w14:paraId="3C4ED3FF" w14:textId="15AF8A0C" w:rsidR="00895A1D" w:rsidRPr="006B42D6" w:rsidRDefault="00895A1D" w:rsidP="00895A1D">
            <w:pPr>
              <w:jc w:val="right"/>
              <w:rPr>
                <w:sz w:val="16"/>
                <w:szCs w:val="16"/>
              </w:rPr>
            </w:pPr>
            <w:r w:rsidRPr="006B42D6">
              <w:rPr>
                <w:sz w:val="16"/>
                <w:szCs w:val="16"/>
              </w:rPr>
              <w:t>-</w:t>
            </w:r>
          </w:p>
        </w:tc>
        <w:tc>
          <w:tcPr>
            <w:tcW w:w="1018" w:type="dxa"/>
            <w:tcBorders>
              <w:top w:val="nil"/>
              <w:left w:val="nil"/>
              <w:bottom w:val="nil"/>
              <w:right w:val="nil"/>
            </w:tcBorders>
            <w:shd w:val="clear" w:color="auto" w:fill="auto"/>
            <w:noWrap/>
            <w:vAlign w:val="bottom"/>
            <w:hideMark/>
          </w:tcPr>
          <w:p w14:paraId="3727B215" w14:textId="2B3FC915" w:rsidR="00895A1D" w:rsidRPr="006B42D6" w:rsidRDefault="00895A1D" w:rsidP="00895A1D">
            <w:pPr>
              <w:jc w:val="right"/>
              <w:rPr>
                <w:sz w:val="16"/>
                <w:szCs w:val="16"/>
              </w:rPr>
            </w:pPr>
            <w:r w:rsidRPr="006B42D6">
              <w:rPr>
                <w:sz w:val="16"/>
                <w:szCs w:val="16"/>
              </w:rPr>
              <w:t>-</w:t>
            </w:r>
          </w:p>
        </w:tc>
        <w:tc>
          <w:tcPr>
            <w:tcW w:w="1052" w:type="dxa"/>
            <w:tcBorders>
              <w:top w:val="nil"/>
              <w:left w:val="nil"/>
              <w:bottom w:val="nil"/>
              <w:right w:val="nil"/>
            </w:tcBorders>
            <w:shd w:val="clear" w:color="auto" w:fill="auto"/>
            <w:noWrap/>
            <w:vAlign w:val="bottom"/>
            <w:hideMark/>
          </w:tcPr>
          <w:p w14:paraId="08E79E4F" w14:textId="4E939732" w:rsidR="00895A1D" w:rsidRPr="006B42D6" w:rsidRDefault="00895A1D" w:rsidP="00895A1D">
            <w:pPr>
              <w:jc w:val="right"/>
              <w:rPr>
                <w:sz w:val="16"/>
                <w:szCs w:val="16"/>
              </w:rPr>
            </w:pPr>
            <w:r w:rsidRPr="006B42D6">
              <w:rPr>
                <w:sz w:val="16"/>
                <w:szCs w:val="16"/>
              </w:rPr>
              <w:t>-</w:t>
            </w:r>
          </w:p>
        </w:tc>
        <w:tc>
          <w:tcPr>
            <w:tcW w:w="1397" w:type="dxa"/>
            <w:tcBorders>
              <w:top w:val="nil"/>
              <w:left w:val="nil"/>
              <w:bottom w:val="nil"/>
              <w:right w:val="nil"/>
            </w:tcBorders>
            <w:shd w:val="clear" w:color="auto" w:fill="auto"/>
            <w:noWrap/>
            <w:vAlign w:val="bottom"/>
            <w:hideMark/>
          </w:tcPr>
          <w:p w14:paraId="38B0E589" w14:textId="469E6D64" w:rsidR="00895A1D" w:rsidRPr="006B42D6" w:rsidRDefault="00895A1D" w:rsidP="00895A1D">
            <w:pPr>
              <w:jc w:val="right"/>
              <w:rPr>
                <w:sz w:val="16"/>
                <w:szCs w:val="16"/>
              </w:rPr>
            </w:pPr>
            <w:r w:rsidRPr="006B42D6">
              <w:rPr>
                <w:sz w:val="16"/>
                <w:szCs w:val="16"/>
              </w:rPr>
              <w:t>-</w:t>
            </w:r>
          </w:p>
        </w:tc>
        <w:tc>
          <w:tcPr>
            <w:tcW w:w="1294" w:type="dxa"/>
            <w:tcBorders>
              <w:top w:val="nil"/>
              <w:left w:val="nil"/>
              <w:bottom w:val="nil"/>
              <w:right w:val="nil"/>
            </w:tcBorders>
            <w:shd w:val="clear" w:color="auto" w:fill="auto"/>
            <w:noWrap/>
            <w:vAlign w:val="bottom"/>
            <w:hideMark/>
          </w:tcPr>
          <w:p w14:paraId="75629261" w14:textId="514F3C1D" w:rsidR="00895A1D" w:rsidRPr="006B42D6" w:rsidRDefault="00895A1D" w:rsidP="00895A1D">
            <w:pPr>
              <w:jc w:val="right"/>
              <w:rPr>
                <w:sz w:val="16"/>
                <w:szCs w:val="16"/>
              </w:rPr>
            </w:pPr>
            <w:r w:rsidRPr="006B42D6">
              <w:rPr>
                <w:sz w:val="16"/>
                <w:szCs w:val="16"/>
              </w:rPr>
              <w:t>-</w:t>
            </w:r>
          </w:p>
        </w:tc>
        <w:tc>
          <w:tcPr>
            <w:tcW w:w="949" w:type="dxa"/>
            <w:tcBorders>
              <w:top w:val="nil"/>
              <w:left w:val="nil"/>
              <w:bottom w:val="nil"/>
              <w:right w:val="nil"/>
            </w:tcBorders>
            <w:shd w:val="clear" w:color="auto" w:fill="auto"/>
            <w:noWrap/>
            <w:vAlign w:val="bottom"/>
            <w:hideMark/>
          </w:tcPr>
          <w:p w14:paraId="61969CBB" w14:textId="1742E651" w:rsidR="00895A1D" w:rsidRPr="006B42D6" w:rsidRDefault="00895A1D" w:rsidP="00895A1D">
            <w:pPr>
              <w:jc w:val="right"/>
              <w:rPr>
                <w:sz w:val="16"/>
                <w:szCs w:val="16"/>
              </w:rPr>
            </w:pPr>
            <w:r w:rsidRPr="006B42D6">
              <w:rPr>
                <w:sz w:val="16"/>
                <w:szCs w:val="16"/>
              </w:rPr>
              <w:t>-</w:t>
            </w:r>
          </w:p>
        </w:tc>
        <w:tc>
          <w:tcPr>
            <w:tcW w:w="952" w:type="dxa"/>
            <w:tcBorders>
              <w:top w:val="nil"/>
              <w:left w:val="nil"/>
              <w:bottom w:val="nil"/>
              <w:right w:val="nil"/>
            </w:tcBorders>
            <w:shd w:val="clear" w:color="auto" w:fill="auto"/>
            <w:noWrap/>
            <w:vAlign w:val="bottom"/>
            <w:hideMark/>
          </w:tcPr>
          <w:p w14:paraId="6A0797C2" w14:textId="68B1B105" w:rsidR="00895A1D" w:rsidRPr="006B42D6" w:rsidRDefault="00895A1D" w:rsidP="00895A1D">
            <w:pPr>
              <w:jc w:val="right"/>
              <w:rPr>
                <w:sz w:val="16"/>
                <w:szCs w:val="16"/>
              </w:rPr>
            </w:pPr>
            <w:r w:rsidRPr="006B42D6">
              <w:rPr>
                <w:sz w:val="16"/>
                <w:szCs w:val="16"/>
              </w:rPr>
              <w:t>-</w:t>
            </w:r>
          </w:p>
        </w:tc>
      </w:tr>
      <w:tr w:rsidR="006B42D6" w:rsidRPr="006B42D6" w14:paraId="0B103209" w14:textId="77777777" w:rsidTr="00843062">
        <w:trPr>
          <w:trHeight w:val="312"/>
        </w:trPr>
        <w:tc>
          <w:tcPr>
            <w:tcW w:w="1708" w:type="dxa"/>
            <w:tcBorders>
              <w:top w:val="nil"/>
              <w:left w:val="nil"/>
              <w:bottom w:val="nil"/>
            </w:tcBorders>
            <w:shd w:val="clear" w:color="auto" w:fill="auto"/>
            <w:noWrap/>
            <w:vAlign w:val="bottom"/>
            <w:hideMark/>
          </w:tcPr>
          <w:p w14:paraId="3AAEA7D7" w14:textId="2D6F4DEC" w:rsidR="00895A1D" w:rsidRPr="006B42D6" w:rsidRDefault="00895A1D" w:rsidP="00970387">
            <w:pPr>
              <w:jc w:val="left"/>
              <w:rPr>
                <w:sz w:val="16"/>
                <w:szCs w:val="16"/>
              </w:rPr>
            </w:pPr>
            <w:r w:rsidRPr="006B42D6">
              <w:rPr>
                <w:sz w:val="16"/>
                <w:szCs w:val="16"/>
              </w:rPr>
              <w:t>Kagera</w:t>
            </w:r>
          </w:p>
        </w:tc>
        <w:tc>
          <w:tcPr>
            <w:tcW w:w="1052" w:type="dxa"/>
            <w:tcBorders>
              <w:top w:val="nil"/>
              <w:bottom w:val="nil"/>
              <w:right w:val="nil"/>
            </w:tcBorders>
            <w:shd w:val="clear" w:color="auto" w:fill="auto"/>
            <w:noWrap/>
            <w:vAlign w:val="bottom"/>
            <w:hideMark/>
          </w:tcPr>
          <w:p w14:paraId="5969C6E9" w14:textId="6BAC0B43" w:rsidR="00895A1D" w:rsidRPr="006B42D6" w:rsidRDefault="00895A1D" w:rsidP="00895A1D">
            <w:pPr>
              <w:jc w:val="right"/>
              <w:rPr>
                <w:sz w:val="16"/>
                <w:szCs w:val="16"/>
              </w:rPr>
            </w:pPr>
            <w:r w:rsidRPr="006B42D6">
              <w:rPr>
                <w:sz w:val="16"/>
                <w:szCs w:val="16"/>
              </w:rPr>
              <w:t>2,594</w:t>
            </w:r>
          </w:p>
        </w:tc>
        <w:tc>
          <w:tcPr>
            <w:tcW w:w="1018" w:type="dxa"/>
            <w:tcBorders>
              <w:top w:val="nil"/>
              <w:left w:val="nil"/>
              <w:bottom w:val="nil"/>
              <w:right w:val="nil"/>
            </w:tcBorders>
            <w:shd w:val="clear" w:color="auto" w:fill="auto"/>
            <w:noWrap/>
            <w:vAlign w:val="bottom"/>
            <w:hideMark/>
          </w:tcPr>
          <w:p w14:paraId="4A00B063" w14:textId="1F13838F" w:rsidR="00895A1D" w:rsidRPr="006B42D6" w:rsidRDefault="00895A1D" w:rsidP="00895A1D">
            <w:pPr>
              <w:jc w:val="right"/>
              <w:rPr>
                <w:sz w:val="16"/>
                <w:szCs w:val="16"/>
              </w:rPr>
            </w:pPr>
            <w:r w:rsidRPr="006B42D6">
              <w:rPr>
                <w:sz w:val="16"/>
                <w:szCs w:val="16"/>
              </w:rPr>
              <w:t>964</w:t>
            </w:r>
          </w:p>
        </w:tc>
        <w:tc>
          <w:tcPr>
            <w:tcW w:w="1052" w:type="dxa"/>
            <w:tcBorders>
              <w:top w:val="nil"/>
              <w:left w:val="nil"/>
              <w:bottom w:val="nil"/>
              <w:right w:val="nil"/>
            </w:tcBorders>
            <w:shd w:val="clear" w:color="auto" w:fill="auto"/>
            <w:noWrap/>
            <w:vAlign w:val="bottom"/>
            <w:hideMark/>
          </w:tcPr>
          <w:p w14:paraId="177B9458" w14:textId="148B8717" w:rsidR="00895A1D" w:rsidRPr="006B42D6" w:rsidRDefault="00895A1D" w:rsidP="00895A1D">
            <w:pPr>
              <w:jc w:val="right"/>
              <w:rPr>
                <w:sz w:val="16"/>
                <w:szCs w:val="16"/>
              </w:rPr>
            </w:pPr>
            <w:r w:rsidRPr="006B42D6">
              <w:rPr>
                <w:sz w:val="16"/>
                <w:szCs w:val="16"/>
              </w:rPr>
              <w:t>5,249</w:t>
            </w:r>
          </w:p>
        </w:tc>
        <w:tc>
          <w:tcPr>
            <w:tcW w:w="1397" w:type="dxa"/>
            <w:tcBorders>
              <w:top w:val="nil"/>
              <w:left w:val="nil"/>
              <w:bottom w:val="nil"/>
              <w:right w:val="nil"/>
            </w:tcBorders>
            <w:shd w:val="clear" w:color="auto" w:fill="auto"/>
            <w:noWrap/>
            <w:vAlign w:val="bottom"/>
            <w:hideMark/>
          </w:tcPr>
          <w:p w14:paraId="7AF6A74B" w14:textId="322D93A6" w:rsidR="00895A1D" w:rsidRPr="006B42D6" w:rsidRDefault="00895A1D" w:rsidP="00895A1D">
            <w:pPr>
              <w:jc w:val="right"/>
              <w:rPr>
                <w:sz w:val="16"/>
                <w:szCs w:val="16"/>
              </w:rPr>
            </w:pPr>
            <w:r w:rsidRPr="006B42D6">
              <w:rPr>
                <w:sz w:val="16"/>
                <w:szCs w:val="16"/>
              </w:rPr>
              <w:t>124</w:t>
            </w:r>
          </w:p>
        </w:tc>
        <w:tc>
          <w:tcPr>
            <w:tcW w:w="1294" w:type="dxa"/>
            <w:tcBorders>
              <w:top w:val="nil"/>
              <w:left w:val="nil"/>
              <w:bottom w:val="nil"/>
              <w:right w:val="nil"/>
            </w:tcBorders>
            <w:shd w:val="clear" w:color="auto" w:fill="auto"/>
            <w:noWrap/>
            <w:vAlign w:val="bottom"/>
            <w:hideMark/>
          </w:tcPr>
          <w:p w14:paraId="637CD258" w14:textId="46A19D6B" w:rsidR="00895A1D" w:rsidRPr="006B42D6" w:rsidRDefault="00895A1D" w:rsidP="00895A1D">
            <w:pPr>
              <w:jc w:val="right"/>
              <w:rPr>
                <w:sz w:val="16"/>
                <w:szCs w:val="16"/>
              </w:rPr>
            </w:pPr>
            <w:r w:rsidRPr="006B42D6">
              <w:rPr>
                <w:sz w:val="16"/>
                <w:szCs w:val="16"/>
              </w:rPr>
              <w:t>1,087</w:t>
            </w:r>
          </w:p>
        </w:tc>
        <w:tc>
          <w:tcPr>
            <w:tcW w:w="949" w:type="dxa"/>
            <w:tcBorders>
              <w:top w:val="nil"/>
              <w:left w:val="nil"/>
              <w:bottom w:val="nil"/>
              <w:right w:val="nil"/>
            </w:tcBorders>
            <w:shd w:val="clear" w:color="auto" w:fill="auto"/>
            <w:noWrap/>
            <w:vAlign w:val="bottom"/>
            <w:hideMark/>
          </w:tcPr>
          <w:p w14:paraId="469E5B9A" w14:textId="28CE41F8" w:rsidR="00895A1D" w:rsidRPr="006B42D6" w:rsidRDefault="00895A1D" w:rsidP="00895A1D">
            <w:pPr>
              <w:jc w:val="right"/>
              <w:rPr>
                <w:sz w:val="16"/>
                <w:szCs w:val="16"/>
              </w:rPr>
            </w:pPr>
            <w:r w:rsidRPr="006B42D6">
              <w:rPr>
                <w:sz w:val="16"/>
                <w:szCs w:val="16"/>
              </w:rPr>
              <w:t>113</w:t>
            </w:r>
          </w:p>
        </w:tc>
        <w:tc>
          <w:tcPr>
            <w:tcW w:w="952" w:type="dxa"/>
            <w:tcBorders>
              <w:top w:val="nil"/>
              <w:left w:val="nil"/>
              <w:bottom w:val="nil"/>
              <w:right w:val="nil"/>
            </w:tcBorders>
            <w:shd w:val="clear" w:color="auto" w:fill="auto"/>
            <w:noWrap/>
            <w:vAlign w:val="bottom"/>
            <w:hideMark/>
          </w:tcPr>
          <w:p w14:paraId="442CF06C" w14:textId="35F876CD" w:rsidR="00895A1D" w:rsidRPr="006B42D6" w:rsidRDefault="00895A1D" w:rsidP="00895A1D">
            <w:pPr>
              <w:jc w:val="right"/>
              <w:rPr>
                <w:sz w:val="16"/>
                <w:szCs w:val="16"/>
              </w:rPr>
            </w:pPr>
            <w:r w:rsidRPr="006B42D6">
              <w:rPr>
                <w:sz w:val="16"/>
                <w:szCs w:val="16"/>
              </w:rPr>
              <w:t>283</w:t>
            </w:r>
          </w:p>
        </w:tc>
      </w:tr>
      <w:tr w:rsidR="006B42D6" w:rsidRPr="006B42D6" w14:paraId="20B6C373" w14:textId="77777777" w:rsidTr="00843062">
        <w:trPr>
          <w:trHeight w:val="312"/>
        </w:trPr>
        <w:tc>
          <w:tcPr>
            <w:tcW w:w="1708" w:type="dxa"/>
            <w:tcBorders>
              <w:top w:val="nil"/>
              <w:left w:val="nil"/>
              <w:bottom w:val="nil"/>
            </w:tcBorders>
            <w:shd w:val="clear" w:color="auto" w:fill="auto"/>
            <w:noWrap/>
            <w:vAlign w:val="bottom"/>
            <w:hideMark/>
          </w:tcPr>
          <w:p w14:paraId="075C2BBC" w14:textId="6B477486" w:rsidR="00895A1D" w:rsidRPr="006B42D6" w:rsidRDefault="00895A1D" w:rsidP="00970387">
            <w:pPr>
              <w:jc w:val="left"/>
              <w:rPr>
                <w:sz w:val="16"/>
                <w:szCs w:val="16"/>
              </w:rPr>
            </w:pPr>
            <w:r w:rsidRPr="006B42D6">
              <w:rPr>
                <w:sz w:val="16"/>
                <w:szCs w:val="16"/>
              </w:rPr>
              <w:t>Mwanza</w:t>
            </w:r>
          </w:p>
        </w:tc>
        <w:tc>
          <w:tcPr>
            <w:tcW w:w="1052" w:type="dxa"/>
            <w:tcBorders>
              <w:top w:val="nil"/>
              <w:bottom w:val="nil"/>
              <w:right w:val="nil"/>
            </w:tcBorders>
            <w:shd w:val="clear" w:color="auto" w:fill="auto"/>
            <w:noWrap/>
            <w:vAlign w:val="bottom"/>
            <w:hideMark/>
          </w:tcPr>
          <w:p w14:paraId="76068211" w14:textId="49F3E86F" w:rsidR="00895A1D" w:rsidRPr="006B42D6" w:rsidRDefault="00895A1D" w:rsidP="00895A1D">
            <w:pPr>
              <w:jc w:val="right"/>
              <w:rPr>
                <w:sz w:val="16"/>
                <w:szCs w:val="16"/>
              </w:rPr>
            </w:pPr>
            <w:r w:rsidRPr="006B42D6">
              <w:rPr>
                <w:sz w:val="16"/>
                <w:szCs w:val="16"/>
              </w:rPr>
              <w:t>1,621</w:t>
            </w:r>
          </w:p>
        </w:tc>
        <w:tc>
          <w:tcPr>
            <w:tcW w:w="1018" w:type="dxa"/>
            <w:tcBorders>
              <w:top w:val="nil"/>
              <w:left w:val="nil"/>
              <w:bottom w:val="nil"/>
              <w:right w:val="nil"/>
            </w:tcBorders>
            <w:shd w:val="clear" w:color="auto" w:fill="auto"/>
            <w:noWrap/>
            <w:vAlign w:val="bottom"/>
            <w:hideMark/>
          </w:tcPr>
          <w:p w14:paraId="72B8BDE9" w14:textId="103C6DF5" w:rsidR="00895A1D" w:rsidRPr="006B42D6" w:rsidRDefault="00895A1D" w:rsidP="00895A1D">
            <w:pPr>
              <w:jc w:val="right"/>
              <w:rPr>
                <w:sz w:val="16"/>
                <w:szCs w:val="16"/>
              </w:rPr>
            </w:pPr>
            <w:r w:rsidRPr="006B42D6">
              <w:rPr>
                <w:sz w:val="16"/>
                <w:szCs w:val="16"/>
              </w:rPr>
              <w:t>633</w:t>
            </w:r>
          </w:p>
        </w:tc>
        <w:tc>
          <w:tcPr>
            <w:tcW w:w="1052" w:type="dxa"/>
            <w:tcBorders>
              <w:top w:val="nil"/>
              <w:left w:val="nil"/>
              <w:bottom w:val="nil"/>
              <w:right w:val="nil"/>
            </w:tcBorders>
            <w:shd w:val="clear" w:color="auto" w:fill="auto"/>
            <w:noWrap/>
            <w:vAlign w:val="bottom"/>
            <w:hideMark/>
          </w:tcPr>
          <w:p w14:paraId="345A77AD" w14:textId="03B31517" w:rsidR="00895A1D" w:rsidRPr="006B42D6" w:rsidRDefault="00895A1D" w:rsidP="00895A1D">
            <w:pPr>
              <w:jc w:val="right"/>
              <w:rPr>
                <w:sz w:val="16"/>
                <w:szCs w:val="16"/>
              </w:rPr>
            </w:pPr>
            <w:r w:rsidRPr="006B42D6">
              <w:rPr>
                <w:sz w:val="16"/>
                <w:szCs w:val="16"/>
              </w:rPr>
              <w:t>-</w:t>
            </w:r>
          </w:p>
        </w:tc>
        <w:tc>
          <w:tcPr>
            <w:tcW w:w="1397" w:type="dxa"/>
            <w:tcBorders>
              <w:top w:val="nil"/>
              <w:left w:val="nil"/>
              <w:bottom w:val="nil"/>
              <w:right w:val="nil"/>
            </w:tcBorders>
            <w:shd w:val="clear" w:color="auto" w:fill="auto"/>
            <w:noWrap/>
            <w:vAlign w:val="bottom"/>
            <w:hideMark/>
          </w:tcPr>
          <w:p w14:paraId="0DADEE35" w14:textId="1BE74A9C" w:rsidR="00895A1D" w:rsidRPr="006B42D6" w:rsidRDefault="00895A1D" w:rsidP="00895A1D">
            <w:pPr>
              <w:jc w:val="right"/>
              <w:rPr>
                <w:sz w:val="16"/>
                <w:szCs w:val="16"/>
              </w:rPr>
            </w:pPr>
            <w:r w:rsidRPr="006B42D6">
              <w:rPr>
                <w:sz w:val="16"/>
                <w:szCs w:val="16"/>
              </w:rPr>
              <w:t>-</w:t>
            </w:r>
          </w:p>
        </w:tc>
        <w:tc>
          <w:tcPr>
            <w:tcW w:w="1294" w:type="dxa"/>
            <w:tcBorders>
              <w:top w:val="nil"/>
              <w:left w:val="nil"/>
              <w:bottom w:val="nil"/>
              <w:right w:val="nil"/>
            </w:tcBorders>
            <w:shd w:val="clear" w:color="auto" w:fill="auto"/>
            <w:noWrap/>
            <w:vAlign w:val="bottom"/>
            <w:hideMark/>
          </w:tcPr>
          <w:p w14:paraId="6498303B" w14:textId="33861449" w:rsidR="00895A1D" w:rsidRPr="006B42D6" w:rsidRDefault="00895A1D" w:rsidP="00895A1D">
            <w:pPr>
              <w:jc w:val="right"/>
              <w:rPr>
                <w:sz w:val="16"/>
                <w:szCs w:val="16"/>
              </w:rPr>
            </w:pPr>
            <w:r w:rsidRPr="006B42D6">
              <w:rPr>
                <w:sz w:val="16"/>
                <w:szCs w:val="16"/>
              </w:rPr>
              <w:t>633</w:t>
            </w:r>
          </w:p>
        </w:tc>
        <w:tc>
          <w:tcPr>
            <w:tcW w:w="949" w:type="dxa"/>
            <w:tcBorders>
              <w:top w:val="nil"/>
              <w:left w:val="nil"/>
              <w:bottom w:val="nil"/>
              <w:right w:val="nil"/>
            </w:tcBorders>
            <w:shd w:val="clear" w:color="auto" w:fill="auto"/>
            <w:noWrap/>
            <w:vAlign w:val="bottom"/>
            <w:hideMark/>
          </w:tcPr>
          <w:p w14:paraId="3D7F447D" w14:textId="57F2AF06" w:rsidR="00895A1D" w:rsidRPr="006B42D6" w:rsidRDefault="00895A1D" w:rsidP="00895A1D">
            <w:pPr>
              <w:jc w:val="right"/>
              <w:rPr>
                <w:sz w:val="16"/>
                <w:szCs w:val="16"/>
              </w:rPr>
            </w:pPr>
            <w:r w:rsidRPr="006B42D6">
              <w:rPr>
                <w:sz w:val="16"/>
                <w:szCs w:val="16"/>
              </w:rPr>
              <w:t>94</w:t>
            </w:r>
          </w:p>
        </w:tc>
        <w:tc>
          <w:tcPr>
            <w:tcW w:w="952" w:type="dxa"/>
            <w:tcBorders>
              <w:top w:val="nil"/>
              <w:left w:val="nil"/>
              <w:bottom w:val="nil"/>
              <w:right w:val="nil"/>
            </w:tcBorders>
            <w:shd w:val="clear" w:color="auto" w:fill="auto"/>
            <w:noWrap/>
            <w:vAlign w:val="bottom"/>
            <w:hideMark/>
          </w:tcPr>
          <w:p w14:paraId="56734F51" w14:textId="44D766A4" w:rsidR="00895A1D" w:rsidRPr="006B42D6" w:rsidRDefault="00895A1D" w:rsidP="00895A1D">
            <w:pPr>
              <w:jc w:val="right"/>
              <w:rPr>
                <w:sz w:val="16"/>
                <w:szCs w:val="16"/>
              </w:rPr>
            </w:pPr>
            <w:r w:rsidRPr="006B42D6">
              <w:rPr>
                <w:sz w:val="16"/>
                <w:szCs w:val="16"/>
              </w:rPr>
              <w:t>465</w:t>
            </w:r>
          </w:p>
        </w:tc>
      </w:tr>
      <w:tr w:rsidR="006B42D6" w:rsidRPr="006B42D6" w14:paraId="1706824D" w14:textId="77777777" w:rsidTr="00843062">
        <w:trPr>
          <w:trHeight w:val="312"/>
        </w:trPr>
        <w:tc>
          <w:tcPr>
            <w:tcW w:w="1708" w:type="dxa"/>
            <w:tcBorders>
              <w:top w:val="nil"/>
              <w:left w:val="nil"/>
              <w:bottom w:val="nil"/>
            </w:tcBorders>
            <w:shd w:val="clear" w:color="auto" w:fill="auto"/>
            <w:noWrap/>
            <w:vAlign w:val="bottom"/>
            <w:hideMark/>
          </w:tcPr>
          <w:p w14:paraId="1E74D145" w14:textId="6761C26A" w:rsidR="00895A1D" w:rsidRPr="006B42D6" w:rsidRDefault="00895A1D" w:rsidP="00970387">
            <w:pPr>
              <w:jc w:val="left"/>
              <w:rPr>
                <w:sz w:val="16"/>
                <w:szCs w:val="16"/>
              </w:rPr>
            </w:pPr>
            <w:r w:rsidRPr="006B42D6">
              <w:rPr>
                <w:sz w:val="16"/>
                <w:szCs w:val="16"/>
              </w:rPr>
              <w:t>Mara</w:t>
            </w:r>
          </w:p>
        </w:tc>
        <w:tc>
          <w:tcPr>
            <w:tcW w:w="1052" w:type="dxa"/>
            <w:tcBorders>
              <w:top w:val="nil"/>
              <w:bottom w:val="nil"/>
              <w:right w:val="nil"/>
            </w:tcBorders>
            <w:shd w:val="clear" w:color="auto" w:fill="auto"/>
            <w:noWrap/>
            <w:vAlign w:val="bottom"/>
            <w:hideMark/>
          </w:tcPr>
          <w:p w14:paraId="028D0A47" w14:textId="3441FEAE" w:rsidR="00895A1D" w:rsidRPr="006B42D6" w:rsidRDefault="00895A1D" w:rsidP="00895A1D">
            <w:pPr>
              <w:jc w:val="right"/>
              <w:rPr>
                <w:sz w:val="16"/>
                <w:szCs w:val="16"/>
              </w:rPr>
            </w:pPr>
            <w:r w:rsidRPr="006B42D6">
              <w:rPr>
                <w:sz w:val="16"/>
                <w:szCs w:val="16"/>
              </w:rPr>
              <w:t>-</w:t>
            </w:r>
          </w:p>
        </w:tc>
        <w:tc>
          <w:tcPr>
            <w:tcW w:w="1018" w:type="dxa"/>
            <w:tcBorders>
              <w:top w:val="nil"/>
              <w:left w:val="nil"/>
              <w:bottom w:val="nil"/>
              <w:right w:val="nil"/>
            </w:tcBorders>
            <w:shd w:val="clear" w:color="auto" w:fill="auto"/>
            <w:noWrap/>
            <w:vAlign w:val="bottom"/>
            <w:hideMark/>
          </w:tcPr>
          <w:p w14:paraId="77D000D5" w14:textId="01838DBA" w:rsidR="00895A1D" w:rsidRPr="006B42D6" w:rsidRDefault="00895A1D" w:rsidP="00895A1D">
            <w:pPr>
              <w:jc w:val="right"/>
              <w:rPr>
                <w:sz w:val="16"/>
                <w:szCs w:val="16"/>
              </w:rPr>
            </w:pPr>
            <w:r w:rsidRPr="006B42D6">
              <w:rPr>
                <w:sz w:val="16"/>
                <w:szCs w:val="16"/>
              </w:rPr>
              <w:t>-</w:t>
            </w:r>
          </w:p>
        </w:tc>
        <w:tc>
          <w:tcPr>
            <w:tcW w:w="1052" w:type="dxa"/>
            <w:tcBorders>
              <w:top w:val="nil"/>
              <w:left w:val="nil"/>
              <w:bottom w:val="nil"/>
              <w:right w:val="nil"/>
            </w:tcBorders>
            <w:shd w:val="clear" w:color="auto" w:fill="auto"/>
            <w:noWrap/>
            <w:vAlign w:val="bottom"/>
            <w:hideMark/>
          </w:tcPr>
          <w:p w14:paraId="01BCF0AF" w14:textId="008DBF36" w:rsidR="00895A1D" w:rsidRPr="006B42D6" w:rsidRDefault="00895A1D" w:rsidP="00895A1D">
            <w:pPr>
              <w:jc w:val="right"/>
              <w:rPr>
                <w:sz w:val="16"/>
                <w:szCs w:val="16"/>
              </w:rPr>
            </w:pPr>
            <w:r w:rsidRPr="006B42D6">
              <w:rPr>
                <w:sz w:val="16"/>
                <w:szCs w:val="16"/>
              </w:rPr>
              <w:t>-</w:t>
            </w:r>
          </w:p>
        </w:tc>
        <w:tc>
          <w:tcPr>
            <w:tcW w:w="1397" w:type="dxa"/>
            <w:tcBorders>
              <w:top w:val="nil"/>
              <w:left w:val="nil"/>
              <w:bottom w:val="nil"/>
              <w:right w:val="nil"/>
            </w:tcBorders>
            <w:shd w:val="clear" w:color="auto" w:fill="auto"/>
            <w:noWrap/>
            <w:vAlign w:val="bottom"/>
            <w:hideMark/>
          </w:tcPr>
          <w:p w14:paraId="486A1302" w14:textId="1BAB4BE0" w:rsidR="00895A1D" w:rsidRPr="006B42D6" w:rsidRDefault="00895A1D" w:rsidP="00895A1D">
            <w:pPr>
              <w:jc w:val="right"/>
              <w:rPr>
                <w:sz w:val="16"/>
                <w:szCs w:val="16"/>
              </w:rPr>
            </w:pPr>
            <w:r w:rsidRPr="006B42D6">
              <w:rPr>
                <w:sz w:val="16"/>
                <w:szCs w:val="16"/>
              </w:rPr>
              <w:t>-</w:t>
            </w:r>
          </w:p>
        </w:tc>
        <w:tc>
          <w:tcPr>
            <w:tcW w:w="1294" w:type="dxa"/>
            <w:tcBorders>
              <w:top w:val="nil"/>
              <w:left w:val="nil"/>
              <w:bottom w:val="nil"/>
              <w:right w:val="nil"/>
            </w:tcBorders>
            <w:shd w:val="clear" w:color="auto" w:fill="auto"/>
            <w:noWrap/>
            <w:vAlign w:val="bottom"/>
            <w:hideMark/>
          </w:tcPr>
          <w:p w14:paraId="28681EBA" w14:textId="017A8B22" w:rsidR="00895A1D" w:rsidRPr="006B42D6" w:rsidRDefault="00895A1D" w:rsidP="00895A1D">
            <w:pPr>
              <w:jc w:val="right"/>
              <w:rPr>
                <w:sz w:val="16"/>
                <w:szCs w:val="16"/>
              </w:rPr>
            </w:pPr>
            <w:r w:rsidRPr="006B42D6">
              <w:rPr>
                <w:sz w:val="16"/>
                <w:szCs w:val="16"/>
              </w:rPr>
              <w:t>-</w:t>
            </w:r>
          </w:p>
        </w:tc>
        <w:tc>
          <w:tcPr>
            <w:tcW w:w="949" w:type="dxa"/>
            <w:tcBorders>
              <w:top w:val="nil"/>
              <w:left w:val="nil"/>
              <w:bottom w:val="nil"/>
              <w:right w:val="nil"/>
            </w:tcBorders>
            <w:shd w:val="clear" w:color="auto" w:fill="auto"/>
            <w:noWrap/>
            <w:vAlign w:val="bottom"/>
            <w:hideMark/>
          </w:tcPr>
          <w:p w14:paraId="3D6F9EBC" w14:textId="6C78CEBA" w:rsidR="00895A1D" w:rsidRPr="006B42D6" w:rsidRDefault="00895A1D" w:rsidP="00895A1D">
            <w:pPr>
              <w:jc w:val="right"/>
              <w:rPr>
                <w:sz w:val="16"/>
                <w:szCs w:val="16"/>
              </w:rPr>
            </w:pPr>
            <w:r w:rsidRPr="006B42D6">
              <w:rPr>
                <w:sz w:val="16"/>
                <w:szCs w:val="16"/>
              </w:rPr>
              <w:t>-</w:t>
            </w:r>
          </w:p>
        </w:tc>
        <w:tc>
          <w:tcPr>
            <w:tcW w:w="952" w:type="dxa"/>
            <w:tcBorders>
              <w:top w:val="nil"/>
              <w:left w:val="nil"/>
              <w:bottom w:val="nil"/>
              <w:right w:val="nil"/>
            </w:tcBorders>
            <w:shd w:val="clear" w:color="auto" w:fill="auto"/>
            <w:noWrap/>
            <w:vAlign w:val="bottom"/>
            <w:hideMark/>
          </w:tcPr>
          <w:p w14:paraId="7E2971FA" w14:textId="17243DA5" w:rsidR="00895A1D" w:rsidRPr="006B42D6" w:rsidRDefault="00895A1D" w:rsidP="00895A1D">
            <w:pPr>
              <w:jc w:val="right"/>
              <w:rPr>
                <w:sz w:val="16"/>
                <w:szCs w:val="16"/>
              </w:rPr>
            </w:pPr>
            <w:r w:rsidRPr="006B42D6">
              <w:rPr>
                <w:sz w:val="16"/>
                <w:szCs w:val="16"/>
              </w:rPr>
              <w:t>-</w:t>
            </w:r>
          </w:p>
        </w:tc>
      </w:tr>
      <w:tr w:rsidR="006B42D6" w:rsidRPr="006B42D6" w14:paraId="5742BFE3" w14:textId="77777777" w:rsidTr="00843062">
        <w:trPr>
          <w:trHeight w:val="312"/>
        </w:trPr>
        <w:tc>
          <w:tcPr>
            <w:tcW w:w="1708" w:type="dxa"/>
            <w:tcBorders>
              <w:top w:val="nil"/>
              <w:left w:val="nil"/>
              <w:bottom w:val="nil"/>
            </w:tcBorders>
            <w:shd w:val="clear" w:color="auto" w:fill="auto"/>
            <w:noWrap/>
            <w:vAlign w:val="bottom"/>
            <w:hideMark/>
          </w:tcPr>
          <w:p w14:paraId="6FC18ED3" w14:textId="52367A6C" w:rsidR="00895A1D" w:rsidRPr="006B42D6" w:rsidRDefault="00895A1D" w:rsidP="00970387">
            <w:pPr>
              <w:jc w:val="left"/>
              <w:rPr>
                <w:sz w:val="16"/>
                <w:szCs w:val="16"/>
              </w:rPr>
            </w:pPr>
            <w:r w:rsidRPr="006B42D6">
              <w:rPr>
                <w:sz w:val="16"/>
                <w:szCs w:val="16"/>
              </w:rPr>
              <w:t>Manyara</w:t>
            </w:r>
          </w:p>
        </w:tc>
        <w:tc>
          <w:tcPr>
            <w:tcW w:w="1052" w:type="dxa"/>
            <w:tcBorders>
              <w:top w:val="nil"/>
              <w:bottom w:val="nil"/>
              <w:right w:val="nil"/>
            </w:tcBorders>
            <w:shd w:val="clear" w:color="auto" w:fill="auto"/>
            <w:noWrap/>
            <w:vAlign w:val="bottom"/>
            <w:hideMark/>
          </w:tcPr>
          <w:p w14:paraId="6F912019" w14:textId="772C43D9" w:rsidR="00895A1D" w:rsidRPr="006B42D6" w:rsidRDefault="00895A1D" w:rsidP="00895A1D">
            <w:pPr>
              <w:jc w:val="right"/>
              <w:rPr>
                <w:sz w:val="16"/>
                <w:szCs w:val="16"/>
              </w:rPr>
            </w:pPr>
            <w:r w:rsidRPr="006B42D6">
              <w:rPr>
                <w:sz w:val="16"/>
                <w:szCs w:val="16"/>
              </w:rPr>
              <w:t>-</w:t>
            </w:r>
          </w:p>
        </w:tc>
        <w:tc>
          <w:tcPr>
            <w:tcW w:w="1018" w:type="dxa"/>
            <w:tcBorders>
              <w:top w:val="nil"/>
              <w:left w:val="nil"/>
              <w:bottom w:val="nil"/>
              <w:right w:val="nil"/>
            </w:tcBorders>
            <w:shd w:val="clear" w:color="auto" w:fill="auto"/>
            <w:noWrap/>
            <w:vAlign w:val="bottom"/>
            <w:hideMark/>
          </w:tcPr>
          <w:p w14:paraId="2D894B34" w14:textId="7767E434" w:rsidR="00895A1D" w:rsidRPr="006B42D6" w:rsidRDefault="00895A1D" w:rsidP="00895A1D">
            <w:pPr>
              <w:jc w:val="right"/>
              <w:rPr>
                <w:sz w:val="16"/>
                <w:szCs w:val="16"/>
              </w:rPr>
            </w:pPr>
            <w:r w:rsidRPr="006B42D6">
              <w:rPr>
                <w:sz w:val="16"/>
                <w:szCs w:val="16"/>
              </w:rPr>
              <w:t>-</w:t>
            </w:r>
          </w:p>
        </w:tc>
        <w:tc>
          <w:tcPr>
            <w:tcW w:w="1052" w:type="dxa"/>
            <w:tcBorders>
              <w:top w:val="nil"/>
              <w:left w:val="nil"/>
              <w:bottom w:val="nil"/>
              <w:right w:val="nil"/>
            </w:tcBorders>
            <w:shd w:val="clear" w:color="auto" w:fill="auto"/>
            <w:noWrap/>
            <w:vAlign w:val="bottom"/>
            <w:hideMark/>
          </w:tcPr>
          <w:p w14:paraId="0716E7EE" w14:textId="1863E4EF" w:rsidR="00895A1D" w:rsidRPr="006B42D6" w:rsidRDefault="00895A1D" w:rsidP="00895A1D">
            <w:pPr>
              <w:jc w:val="right"/>
              <w:rPr>
                <w:sz w:val="16"/>
                <w:szCs w:val="16"/>
              </w:rPr>
            </w:pPr>
            <w:r w:rsidRPr="006B42D6">
              <w:rPr>
                <w:sz w:val="16"/>
                <w:szCs w:val="16"/>
              </w:rPr>
              <w:t>-</w:t>
            </w:r>
          </w:p>
        </w:tc>
        <w:tc>
          <w:tcPr>
            <w:tcW w:w="1397" w:type="dxa"/>
            <w:tcBorders>
              <w:top w:val="nil"/>
              <w:left w:val="nil"/>
              <w:bottom w:val="nil"/>
              <w:right w:val="nil"/>
            </w:tcBorders>
            <w:shd w:val="clear" w:color="auto" w:fill="auto"/>
            <w:noWrap/>
            <w:vAlign w:val="bottom"/>
            <w:hideMark/>
          </w:tcPr>
          <w:p w14:paraId="14CC475E" w14:textId="31882E58" w:rsidR="00895A1D" w:rsidRPr="006B42D6" w:rsidRDefault="00895A1D" w:rsidP="00895A1D">
            <w:pPr>
              <w:jc w:val="right"/>
              <w:rPr>
                <w:sz w:val="16"/>
                <w:szCs w:val="16"/>
              </w:rPr>
            </w:pPr>
            <w:r w:rsidRPr="006B42D6">
              <w:rPr>
                <w:sz w:val="16"/>
                <w:szCs w:val="16"/>
              </w:rPr>
              <w:t>-</w:t>
            </w:r>
          </w:p>
        </w:tc>
        <w:tc>
          <w:tcPr>
            <w:tcW w:w="1294" w:type="dxa"/>
            <w:tcBorders>
              <w:top w:val="nil"/>
              <w:left w:val="nil"/>
              <w:bottom w:val="nil"/>
              <w:right w:val="nil"/>
            </w:tcBorders>
            <w:shd w:val="clear" w:color="auto" w:fill="auto"/>
            <w:noWrap/>
            <w:vAlign w:val="bottom"/>
            <w:hideMark/>
          </w:tcPr>
          <w:p w14:paraId="7BDA9392" w14:textId="0E74F56C" w:rsidR="00895A1D" w:rsidRPr="006B42D6" w:rsidRDefault="00895A1D" w:rsidP="00895A1D">
            <w:pPr>
              <w:jc w:val="right"/>
              <w:rPr>
                <w:sz w:val="16"/>
                <w:szCs w:val="16"/>
              </w:rPr>
            </w:pPr>
            <w:r w:rsidRPr="006B42D6">
              <w:rPr>
                <w:sz w:val="16"/>
                <w:szCs w:val="16"/>
              </w:rPr>
              <w:t>-</w:t>
            </w:r>
          </w:p>
        </w:tc>
        <w:tc>
          <w:tcPr>
            <w:tcW w:w="949" w:type="dxa"/>
            <w:tcBorders>
              <w:top w:val="nil"/>
              <w:left w:val="nil"/>
              <w:bottom w:val="nil"/>
              <w:right w:val="nil"/>
            </w:tcBorders>
            <w:shd w:val="clear" w:color="auto" w:fill="auto"/>
            <w:noWrap/>
            <w:vAlign w:val="bottom"/>
            <w:hideMark/>
          </w:tcPr>
          <w:p w14:paraId="0B5C519C" w14:textId="3B26F774" w:rsidR="00895A1D" w:rsidRPr="006B42D6" w:rsidRDefault="00895A1D" w:rsidP="00895A1D">
            <w:pPr>
              <w:jc w:val="right"/>
              <w:rPr>
                <w:sz w:val="16"/>
                <w:szCs w:val="16"/>
              </w:rPr>
            </w:pPr>
            <w:r w:rsidRPr="006B42D6">
              <w:rPr>
                <w:sz w:val="16"/>
                <w:szCs w:val="16"/>
              </w:rPr>
              <w:t>-</w:t>
            </w:r>
          </w:p>
        </w:tc>
        <w:tc>
          <w:tcPr>
            <w:tcW w:w="952" w:type="dxa"/>
            <w:tcBorders>
              <w:top w:val="nil"/>
              <w:left w:val="nil"/>
              <w:bottom w:val="nil"/>
              <w:right w:val="nil"/>
            </w:tcBorders>
            <w:shd w:val="clear" w:color="auto" w:fill="auto"/>
            <w:noWrap/>
            <w:vAlign w:val="bottom"/>
            <w:hideMark/>
          </w:tcPr>
          <w:p w14:paraId="6FB39407" w14:textId="71F3E091" w:rsidR="00895A1D" w:rsidRPr="006B42D6" w:rsidRDefault="00895A1D" w:rsidP="00895A1D">
            <w:pPr>
              <w:jc w:val="right"/>
              <w:rPr>
                <w:sz w:val="16"/>
                <w:szCs w:val="16"/>
              </w:rPr>
            </w:pPr>
            <w:r w:rsidRPr="006B42D6">
              <w:rPr>
                <w:sz w:val="16"/>
                <w:szCs w:val="16"/>
              </w:rPr>
              <w:t>-</w:t>
            </w:r>
          </w:p>
        </w:tc>
      </w:tr>
      <w:tr w:rsidR="006B42D6" w:rsidRPr="006B42D6" w14:paraId="30AFBE91" w14:textId="77777777" w:rsidTr="00843062">
        <w:trPr>
          <w:trHeight w:val="312"/>
        </w:trPr>
        <w:tc>
          <w:tcPr>
            <w:tcW w:w="1708" w:type="dxa"/>
            <w:tcBorders>
              <w:top w:val="nil"/>
              <w:left w:val="nil"/>
              <w:bottom w:val="nil"/>
            </w:tcBorders>
            <w:shd w:val="clear" w:color="auto" w:fill="auto"/>
            <w:noWrap/>
            <w:vAlign w:val="bottom"/>
            <w:hideMark/>
          </w:tcPr>
          <w:p w14:paraId="36C83E4F" w14:textId="0D9067AD" w:rsidR="00895A1D" w:rsidRPr="006B42D6" w:rsidRDefault="00895A1D" w:rsidP="00970387">
            <w:pPr>
              <w:jc w:val="left"/>
              <w:rPr>
                <w:sz w:val="16"/>
                <w:szCs w:val="16"/>
              </w:rPr>
            </w:pPr>
            <w:r w:rsidRPr="006B42D6">
              <w:rPr>
                <w:sz w:val="16"/>
                <w:szCs w:val="16"/>
              </w:rPr>
              <w:t>Njombe</w:t>
            </w:r>
          </w:p>
        </w:tc>
        <w:tc>
          <w:tcPr>
            <w:tcW w:w="1052" w:type="dxa"/>
            <w:tcBorders>
              <w:top w:val="nil"/>
              <w:bottom w:val="nil"/>
              <w:right w:val="nil"/>
            </w:tcBorders>
            <w:shd w:val="clear" w:color="auto" w:fill="auto"/>
            <w:noWrap/>
            <w:vAlign w:val="bottom"/>
            <w:hideMark/>
          </w:tcPr>
          <w:p w14:paraId="3B0B242E" w14:textId="4203E9C4" w:rsidR="00895A1D" w:rsidRPr="006B42D6" w:rsidRDefault="00895A1D" w:rsidP="00895A1D">
            <w:pPr>
              <w:jc w:val="right"/>
              <w:rPr>
                <w:sz w:val="16"/>
                <w:szCs w:val="16"/>
              </w:rPr>
            </w:pPr>
            <w:r w:rsidRPr="006B42D6">
              <w:rPr>
                <w:sz w:val="16"/>
                <w:szCs w:val="16"/>
              </w:rPr>
              <w:t>407</w:t>
            </w:r>
          </w:p>
        </w:tc>
        <w:tc>
          <w:tcPr>
            <w:tcW w:w="1018" w:type="dxa"/>
            <w:tcBorders>
              <w:top w:val="nil"/>
              <w:left w:val="nil"/>
              <w:bottom w:val="nil"/>
              <w:right w:val="nil"/>
            </w:tcBorders>
            <w:shd w:val="clear" w:color="auto" w:fill="auto"/>
            <w:noWrap/>
            <w:vAlign w:val="bottom"/>
            <w:hideMark/>
          </w:tcPr>
          <w:p w14:paraId="3577DD7E" w14:textId="4C70C37D" w:rsidR="00895A1D" w:rsidRPr="006B42D6" w:rsidRDefault="00895A1D" w:rsidP="00895A1D">
            <w:pPr>
              <w:jc w:val="right"/>
              <w:rPr>
                <w:sz w:val="16"/>
                <w:szCs w:val="16"/>
              </w:rPr>
            </w:pPr>
            <w:r w:rsidRPr="006B42D6">
              <w:rPr>
                <w:sz w:val="16"/>
                <w:szCs w:val="16"/>
              </w:rPr>
              <w:t>41</w:t>
            </w:r>
          </w:p>
        </w:tc>
        <w:tc>
          <w:tcPr>
            <w:tcW w:w="1052" w:type="dxa"/>
            <w:tcBorders>
              <w:top w:val="nil"/>
              <w:left w:val="nil"/>
              <w:bottom w:val="nil"/>
              <w:right w:val="nil"/>
            </w:tcBorders>
            <w:shd w:val="clear" w:color="auto" w:fill="auto"/>
            <w:noWrap/>
            <w:vAlign w:val="bottom"/>
            <w:hideMark/>
          </w:tcPr>
          <w:p w14:paraId="5278EA03" w14:textId="662810B0" w:rsidR="00895A1D" w:rsidRPr="006B42D6" w:rsidRDefault="00895A1D" w:rsidP="00895A1D">
            <w:pPr>
              <w:jc w:val="right"/>
              <w:rPr>
                <w:sz w:val="16"/>
                <w:szCs w:val="16"/>
              </w:rPr>
            </w:pPr>
            <w:r w:rsidRPr="006B42D6">
              <w:rPr>
                <w:sz w:val="16"/>
                <w:szCs w:val="16"/>
              </w:rPr>
              <w:t>-</w:t>
            </w:r>
          </w:p>
        </w:tc>
        <w:tc>
          <w:tcPr>
            <w:tcW w:w="1397" w:type="dxa"/>
            <w:tcBorders>
              <w:top w:val="nil"/>
              <w:left w:val="nil"/>
              <w:bottom w:val="nil"/>
              <w:right w:val="nil"/>
            </w:tcBorders>
            <w:shd w:val="clear" w:color="auto" w:fill="auto"/>
            <w:noWrap/>
            <w:vAlign w:val="bottom"/>
            <w:hideMark/>
          </w:tcPr>
          <w:p w14:paraId="03B65A9F" w14:textId="0888D667" w:rsidR="00895A1D" w:rsidRPr="006B42D6" w:rsidRDefault="00895A1D" w:rsidP="00895A1D">
            <w:pPr>
              <w:jc w:val="right"/>
              <w:rPr>
                <w:sz w:val="16"/>
                <w:szCs w:val="16"/>
              </w:rPr>
            </w:pPr>
            <w:r w:rsidRPr="006B42D6">
              <w:rPr>
                <w:sz w:val="16"/>
                <w:szCs w:val="16"/>
              </w:rPr>
              <w:t>-</w:t>
            </w:r>
          </w:p>
        </w:tc>
        <w:tc>
          <w:tcPr>
            <w:tcW w:w="1294" w:type="dxa"/>
            <w:tcBorders>
              <w:top w:val="nil"/>
              <w:left w:val="nil"/>
              <w:bottom w:val="nil"/>
              <w:right w:val="nil"/>
            </w:tcBorders>
            <w:shd w:val="clear" w:color="auto" w:fill="auto"/>
            <w:noWrap/>
            <w:vAlign w:val="bottom"/>
            <w:hideMark/>
          </w:tcPr>
          <w:p w14:paraId="05BF3DF6" w14:textId="04CD63C6" w:rsidR="00895A1D" w:rsidRPr="006B42D6" w:rsidRDefault="00895A1D" w:rsidP="00895A1D">
            <w:pPr>
              <w:jc w:val="right"/>
              <w:rPr>
                <w:sz w:val="16"/>
                <w:szCs w:val="16"/>
              </w:rPr>
            </w:pPr>
            <w:r w:rsidRPr="006B42D6">
              <w:rPr>
                <w:sz w:val="16"/>
                <w:szCs w:val="16"/>
              </w:rPr>
              <w:t>41</w:t>
            </w:r>
          </w:p>
        </w:tc>
        <w:tc>
          <w:tcPr>
            <w:tcW w:w="949" w:type="dxa"/>
            <w:tcBorders>
              <w:top w:val="nil"/>
              <w:left w:val="nil"/>
              <w:bottom w:val="nil"/>
              <w:right w:val="nil"/>
            </w:tcBorders>
            <w:shd w:val="clear" w:color="auto" w:fill="auto"/>
            <w:noWrap/>
            <w:vAlign w:val="bottom"/>
            <w:hideMark/>
          </w:tcPr>
          <w:p w14:paraId="14B8C2B0" w14:textId="067656A8" w:rsidR="00895A1D" w:rsidRPr="006B42D6" w:rsidRDefault="00895A1D" w:rsidP="00895A1D">
            <w:pPr>
              <w:jc w:val="right"/>
              <w:rPr>
                <w:sz w:val="16"/>
                <w:szCs w:val="16"/>
              </w:rPr>
            </w:pPr>
            <w:r w:rsidRPr="006B42D6">
              <w:rPr>
                <w:sz w:val="16"/>
                <w:szCs w:val="16"/>
              </w:rPr>
              <w:t>-</w:t>
            </w:r>
          </w:p>
        </w:tc>
        <w:tc>
          <w:tcPr>
            <w:tcW w:w="952" w:type="dxa"/>
            <w:tcBorders>
              <w:top w:val="nil"/>
              <w:left w:val="nil"/>
              <w:bottom w:val="nil"/>
              <w:right w:val="nil"/>
            </w:tcBorders>
            <w:shd w:val="clear" w:color="auto" w:fill="auto"/>
            <w:noWrap/>
            <w:vAlign w:val="bottom"/>
            <w:hideMark/>
          </w:tcPr>
          <w:p w14:paraId="0F1195E2" w14:textId="331F80AA" w:rsidR="00895A1D" w:rsidRPr="006B42D6" w:rsidRDefault="00895A1D" w:rsidP="00895A1D">
            <w:pPr>
              <w:jc w:val="right"/>
              <w:rPr>
                <w:sz w:val="16"/>
                <w:szCs w:val="16"/>
              </w:rPr>
            </w:pPr>
            <w:r w:rsidRPr="006B42D6">
              <w:rPr>
                <w:sz w:val="16"/>
                <w:szCs w:val="16"/>
              </w:rPr>
              <w:t>-</w:t>
            </w:r>
          </w:p>
        </w:tc>
      </w:tr>
      <w:tr w:rsidR="006B42D6" w:rsidRPr="006B42D6" w14:paraId="3EAC3315" w14:textId="77777777" w:rsidTr="00843062">
        <w:trPr>
          <w:trHeight w:val="312"/>
        </w:trPr>
        <w:tc>
          <w:tcPr>
            <w:tcW w:w="1708" w:type="dxa"/>
            <w:tcBorders>
              <w:top w:val="nil"/>
              <w:left w:val="nil"/>
              <w:bottom w:val="nil"/>
            </w:tcBorders>
            <w:shd w:val="clear" w:color="auto" w:fill="auto"/>
            <w:noWrap/>
            <w:vAlign w:val="bottom"/>
            <w:hideMark/>
          </w:tcPr>
          <w:p w14:paraId="612E94BE" w14:textId="4D8FB4DF" w:rsidR="00895A1D" w:rsidRPr="006B42D6" w:rsidRDefault="00895A1D" w:rsidP="00970387">
            <w:pPr>
              <w:jc w:val="left"/>
              <w:rPr>
                <w:sz w:val="16"/>
                <w:szCs w:val="16"/>
              </w:rPr>
            </w:pPr>
            <w:r w:rsidRPr="006B42D6">
              <w:rPr>
                <w:sz w:val="16"/>
                <w:szCs w:val="16"/>
              </w:rPr>
              <w:t>Katavi</w:t>
            </w:r>
          </w:p>
        </w:tc>
        <w:tc>
          <w:tcPr>
            <w:tcW w:w="1052" w:type="dxa"/>
            <w:tcBorders>
              <w:top w:val="nil"/>
              <w:bottom w:val="nil"/>
              <w:right w:val="nil"/>
            </w:tcBorders>
            <w:shd w:val="clear" w:color="auto" w:fill="auto"/>
            <w:noWrap/>
            <w:vAlign w:val="bottom"/>
            <w:hideMark/>
          </w:tcPr>
          <w:p w14:paraId="530D3595" w14:textId="0CB490BC" w:rsidR="00895A1D" w:rsidRPr="006B42D6" w:rsidRDefault="00895A1D" w:rsidP="00895A1D">
            <w:pPr>
              <w:jc w:val="right"/>
              <w:rPr>
                <w:sz w:val="16"/>
                <w:szCs w:val="16"/>
              </w:rPr>
            </w:pPr>
            <w:r w:rsidRPr="006B42D6">
              <w:rPr>
                <w:sz w:val="16"/>
                <w:szCs w:val="16"/>
              </w:rPr>
              <w:t>-</w:t>
            </w:r>
          </w:p>
        </w:tc>
        <w:tc>
          <w:tcPr>
            <w:tcW w:w="1018" w:type="dxa"/>
            <w:tcBorders>
              <w:top w:val="nil"/>
              <w:left w:val="nil"/>
              <w:bottom w:val="nil"/>
              <w:right w:val="nil"/>
            </w:tcBorders>
            <w:shd w:val="clear" w:color="auto" w:fill="auto"/>
            <w:noWrap/>
            <w:vAlign w:val="bottom"/>
            <w:hideMark/>
          </w:tcPr>
          <w:p w14:paraId="3CCD78EF" w14:textId="4069852A" w:rsidR="00895A1D" w:rsidRPr="006B42D6" w:rsidRDefault="00895A1D" w:rsidP="00895A1D">
            <w:pPr>
              <w:jc w:val="right"/>
              <w:rPr>
                <w:sz w:val="16"/>
                <w:szCs w:val="16"/>
              </w:rPr>
            </w:pPr>
            <w:r w:rsidRPr="006B42D6">
              <w:rPr>
                <w:sz w:val="16"/>
                <w:szCs w:val="16"/>
              </w:rPr>
              <w:t>-</w:t>
            </w:r>
          </w:p>
        </w:tc>
        <w:tc>
          <w:tcPr>
            <w:tcW w:w="1052" w:type="dxa"/>
            <w:tcBorders>
              <w:top w:val="nil"/>
              <w:left w:val="nil"/>
              <w:bottom w:val="nil"/>
              <w:right w:val="nil"/>
            </w:tcBorders>
            <w:shd w:val="clear" w:color="auto" w:fill="auto"/>
            <w:noWrap/>
            <w:vAlign w:val="bottom"/>
            <w:hideMark/>
          </w:tcPr>
          <w:p w14:paraId="31A54091" w14:textId="7DF20A39" w:rsidR="00895A1D" w:rsidRPr="006B42D6" w:rsidRDefault="00895A1D" w:rsidP="00895A1D">
            <w:pPr>
              <w:jc w:val="right"/>
              <w:rPr>
                <w:sz w:val="16"/>
                <w:szCs w:val="16"/>
              </w:rPr>
            </w:pPr>
            <w:r w:rsidRPr="006B42D6">
              <w:rPr>
                <w:sz w:val="16"/>
                <w:szCs w:val="16"/>
              </w:rPr>
              <w:t>-</w:t>
            </w:r>
          </w:p>
        </w:tc>
        <w:tc>
          <w:tcPr>
            <w:tcW w:w="1397" w:type="dxa"/>
            <w:tcBorders>
              <w:top w:val="nil"/>
              <w:left w:val="nil"/>
              <w:bottom w:val="nil"/>
              <w:right w:val="nil"/>
            </w:tcBorders>
            <w:shd w:val="clear" w:color="auto" w:fill="auto"/>
            <w:noWrap/>
            <w:vAlign w:val="bottom"/>
            <w:hideMark/>
          </w:tcPr>
          <w:p w14:paraId="2BAAC90D" w14:textId="303B0930" w:rsidR="00895A1D" w:rsidRPr="006B42D6" w:rsidRDefault="00895A1D" w:rsidP="00895A1D">
            <w:pPr>
              <w:jc w:val="right"/>
              <w:rPr>
                <w:sz w:val="16"/>
                <w:szCs w:val="16"/>
              </w:rPr>
            </w:pPr>
            <w:r w:rsidRPr="006B42D6">
              <w:rPr>
                <w:sz w:val="16"/>
                <w:szCs w:val="16"/>
              </w:rPr>
              <w:t>-</w:t>
            </w:r>
          </w:p>
        </w:tc>
        <w:tc>
          <w:tcPr>
            <w:tcW w:w="1294" w:type="dxa"/>
            <w:tcBorders>
              <w:top w:val="nil"/>
              <w:left w:val="nil"/>
              <w:bottom w:val="nil"/>
              <w:right w:val="nil"/>
            </w:tcBorders>
            <w:shd w:val="clear" w:color="auto" w:fill="auto"/>
            <w:noWrap/>
            <w:vAlign w:val="bottom"/>
            <w:hideMark/>
          </w:tcPr>
          <w:p w14:paraId="51EFD169" w14:textId="12AACBE1" w:rsidR="00895A1D" w:rsidRPr="006B42D6" w:rsidRDefault="00895A1D" w:rsidP="00895A1D">
            <w:pPr>
              <w:jc w:val="right"/>
              <w:rPr>
                <w:sz w:val="16"/>
                <w:szCs w:val="16"/>
              </w:rPr>
            </w:pPr>
            <w:r w:rsidRPr="006B42D6">
              <w:rPr>
                <w:sz w:val="16"/>
                <w:szCs w:val="16"/>
              </w:rPr>
              <w:t>-</w:t>
            </w:r>
          </w:p>
        </w:tc>
        <w:tc>
          <w:tcPr>
            <w:tcW w:w="949" w:type="dxa"/>
            <w:tcBorders>
              <w:top w:val="nil"/>
              <w:left w:val="nil"/>
              <w:bottom w:val="nil"/>
              <w:right w:val="nil"/>
            </w:tcBorders>
            <w:shd w:val="clear" w:color="auto" w:fill="auto"/>
            <w:noWrap/>
            <w:vAlign w:val="bottom"/>
            <w:hideMark/>
          </w:tcPr>
          <w:p w14:paraId="7841933D" w14:textId="132E38C5" w:rsidR="00895A1D" w:rsidRPr="006B42D6" w:rsidRDefault="00895A1D" w:rsidP="00895A1D">
            <w:pPr>
              <w:jc w:val="right"/>
              <w:rPr>
                <w:sz w:val="16"/>
                <w:szCs w:val="16"/>
              </w:rPr>
            </w:pPr>
            <w:r w:rsidRPr="006B42D6">
              <w:rPr>
                <w:sz w:val="16"/>
                <w:szCs w:val="16"/>
              </w:rPr>
              <w:t>-</w:t>
            </w:r>
          </w:p>
        </w:tc>
        <w:tc>
          <w:tcPr>
            <w:tcW w:w="952" w:type="dxa"/>
            <w:tcBorders>
              <w:top w:val="nil"/>
              <w:left w:val="nil"/>
              <w:bottom w:val="nil"/>
              <w:right w:val="nil"/>
            </w:tcBorders>
            <w:shd w:val="clear" w:color="auto" w:fill="auto"/>
            <w:noWrap/>
            <w:vAlign w:val="bottom"/>
            <w:hideMark/>
          </w:tcPr>
          <w:p w14:paraId="06BA9329" w14:textId="33E4CB86" w:rsidR="00895A1D" w:rsidRPr="006B42D6" w:rsidRDefault="00895A1D" w:rsidP="00895A1D">
            <w:pPr>
              <w:jc w:val="right"/>
              <w:rPr>
                <w:sz w:val="16"/>
                <w:szCs w:val="16"/>
              </w:rPr>
            </w:pPr>
            <w:r w:rsidRPr="006B42D6">
              <w:rPr>
                <w:sz w:val="16"/>
                <w:szCs w:val="16"/>
              </w:rPr>
              <w:t>-</w:t>
            </w:r>
          </w:p>
        </w:tc>
      </w:tr>
      <w:tr w:rsidR="006B42D6" w:rsidRPr="006B42D6" w14:paraId="7774703F" w14:textId="77777777" w:rsidTr="00843062">
        <w:trPr>
          <w:trHeight w:val="312"/>
        </w:trPr>
        <w:tc>
          <w:tcPr>
            <w:tcW w:w="1708" w:type="dxa"/>
            <w:tcBorders>
              <w:top w:val="nil"/>
              <w:left w:val="nil"/>
              <w:bottom w:val="nil"/>
            </w:tcBorders>
            <w:shd w:val="clear" w:color="auto" w:fill="auto"/>
            <w:noWrap/>
            <w:vAlign w:val="bottom"/>
            <w:hideMark/>
          </w:tcPr>
          <w:p w14:paraId="6F308664" w14:textId="20BB9CAA" w:rsidR="00895A1D" w:rsidRPr="006B42D6" w:rsidRDefault="00895A1D" w:rsidP="00970387">
            <w:pPr>
              <w:jc w:val="left"/>
              <w:rPr>
                <w:sz w:val="16"/>
                <w:szCs w:val="16"/>
              </w:rPr>
            </w:pPr>
            <w:r w:rsidRPr="006B42D6">
              <w:rPr>
                <w:sz w:val="16"/>
                <w:szCs w:val="16"/>
              </w:rPr>
              <w:t>Simiyu</w:t>
            </w:r>
          </w:p>
        </w:tc>
        <w:tc>
          <w:tcPr>
            <w:tcW w:w="1052" w:type="dxa"/>
            <w:tcBorders>
              <w:top w:val="nil"/>
              <w:bottom w:val="nil"/>
              <w:right w:val="nil"/>
            </w:tcBorders>
            <w:shd w:val="clear" w:color="auto" w:fill="auto"/>
            <w:noWrap/>
            <w:vAlign w:val="bottom"/>
            <w:hideMark/>
          </w:tcPr>
          <w:p w14:paraId="33A09B65" w14:textId="751BEDF0" w:rsidR="00895A1D" w:rsidRPr="006B42D6" w:rsidRDefault="00895A1D" w:rsidP="00895A1D">
            <w:pPr>
              <w:jc w:val="right"/>
              <w:rPr>
                <w:sz w:val="16"/>
                <w:szCs w:val="16"/>
              </w:rPr>
            </w:pPr>
            <w:r w:rsidRPr="006B42D6">
              <w:rPr>
                <w:sz w:val="16"/>
                <w:szCs w:val="16"/>
              </w:rPr>
              <w:t>-</w:t>
            </w:r>
          </w:p>
        </w:tc>
        <w:tc>
          <w:tcPr>
            <w:tcW w:w="1018" w:type="dxa"/>
            <w:tcBorders>
              <w:top w:val="nil"/>
              <w:left w:val="nil"/>
              <w:bottom w:val="nil"/>
              <w:right w:val="nil"/>
            </w:tcBorders>
            <w:shd w:val="clear" w:color="auto" w:fill="auto"/>
            <w:noWrap/>
            <w:vAlign w:val="bottom"/>
            <w:hideMark/>
          </w:tcPr>
          <w:p w14:paraId="33764F47" w14:textId="20F4C66D" w:rsidR="00895A1D" w:rsidRPr="006B42D6" w:rsidRDefault="00895A1D" w:rsidP="00895A1D">
            <w:pPr>
              <w:jc w:val="right"/>
              <w:rPr>
                <w:sz w:val="16"/>
                <w:szCs w:val="16"/>
              </w:rPr>
            </w:pPr>
            <w:r w:rsidRPr="006B42D6">
              <w:rPr>
                <w:sz w:val="16"/>
                <w:szCs w:val="16"/>
              </w:rPr>
              <w:t>-</w:t>
            </w:r>
          </w:p>
        </w:tc>
        <w:tc>
          <w:tcPr>
            <w:tcW w:w="1052" w:type="dxa"/>
            <w:tcBorders>
              <w:top w:val="nil"/>
              <w:left w:val="nil"/>
              <w:bottom w:val="nil"/>
              <w:right w:val="nil"/>
            </w:tcBorders>
            <w:shd w:val="clear" w:color="auto" w:fill="auto"/>
            <w:noWrap/>
            <w:vAlign w:val="bottom"/>
            <w:hideMark/>
          </w:tcPr>
          <w:p w14:paraId="5CCC2B9C" w14:textId="1840582F" w:rsidR="00895A1D" w:rsidRPr="006B42D6" w:rsidRDefault="00895A1D" w:rsidP="00895A1D">
            <w:pPr>
              <w:jc w:val="right"/>
              <w:rPr>
                <w:sz w:val="16"/>
                <w:szCs w:val="16"/>
              </w:rPr>
            </w:pPr>
            <w:r w:rsidRPr="006B42D6">
              <w:rPr>
                <w:sz w:val="16"/>
                <w:szCs w:val="16"/>
              </w:rPr>
              <w:t>-</w:t>
            </w:r>
          </w:p>
        </w:tc>
        <w:tc>
          <w:tcPr>
            <w:tcW w:w="1397" w:type="dxa"/>
            <w:tcBorders>
              <w:top w:val="nil"/>
              <w:left w:val="nil"/>
              <w:bottom w:val="nil"/>
              <w:right w:val="nil"/>
            </w:tcBorders>
            <w:shd w:val="clear" w:color="auto" w:fill="auto"/>
            <w:noWrap/>
            <w:vAlign w:val="bottom"/>
            <w:hideMark/>
          </w:tcPr>
          <w:p w14:paraId="1FB1F131" w14:textId="149FDE25" w:rsidR="00895A1D" w:rsidRPr="006B42D6" w:rsidRDefault="00895A1D" w:rsidP="00895A1D">
            <w:pPr>
              <w:jc w:val="right"/>
              <w:rPr>
                <w:sz w:val="16"/>
                <w:szCs w:val="16"/>
              </w:rPr>
            </w:pPr>
            <w:r w:rsidRPr="006B42D6">
              <w:rPr>
                <w:sz w:val="16"/>
                <w:szCs w:val="16"/>
              </w:rPr>
              <w:t>-</w:t>
            </w:r>
          </w:p>
        </w:tc>
        <w:tc>
          <w:tcPr>
            <w:tcW w:w="1294" w:type="dxa"/>
            <w:tcBorders>
              <w:top w:val="nil"/>
              <w:left w:val="nil"/>
              <w:bottom w:val="nil"/>
              <w:right w:val="nil"/>
            </w:tcBorders>
            <w:shd w:val="clear" w:color="auto" w:fill="auto"/>
            <w:noWrap/>
            <w:vAlign w:val="bottom"/>
            <w:hideMark/>
          </w:tcPr>
          <w:p w14:paraId="087E9F66" w14:textId="02D141A1" w:rsidR="00895A1D" w:rsidRPr="006B42D6" w:rsidRDefault="00895A1D" w:rsidP="00895A1D">
            <w:pPr>
              <w:jc w:val="right"/>
              <w:rPr>
                <w:sz w:val="16"/>
                <w:szCs w:val="16"/>
              </w:rPr>
            </w:pPr>
            <w:r w:rsidRPr="006B42D6">
              <w:rPr>
                <w:sz w:val="16"/>
                <w:szCs w:val="16"/>
              </w:rPr>
              <w:t>-</w:t>
            </w:r>
          </w:p>
        </w:tc>
        <w:tc>
          <w:tcPr>
            <w:tcW w:w="949" w:type="dxa"/>
            <w:tcBorders>
              <w:top w:val="nil"/>
              <w:left w:val="nil"/>
              <w:bottom w:val="nil"/>
              <w:right w:val="nil"/>
            </w:tcBorders>
            <w:shd w:val="clear" w:color="auto" w:fill="auto"/>
            <w:noWrap/>
            <w:vAlign w:val="bottom"/>
            <w:hideMark/>
          </w:tcPr>
          <w:p w14:paraId="7CB5C12D" w14:textId="2269B72E" w:rsidR="00895A1D" w:rsidRPr="006B42D6" w:rsidRDefault="00895A1D" w:rsidP="00895A1D">
            <w:pPr>
              <w:jc w:val="right"/>
              <w:rPr>
                <w:sz w:val="16"/>
                <w:szCs w:val="16"/>
              </w:rPr>
            </w:pPr>
            <w:r w:rsidRPr="006B42D6">
              <w:rPr>
                <w:sz w:val="16"/>
                <w:szCs w:val="16"/>
              </w:rPr>
              <w:t>-</w:t>
            </w:r>
          </w:p>
        </w:tc>
        <w:tc>
          <w:tcPr>
            <w:tcW w:w="952" w:type="dxa"/>
            <w:tcBorders>
              <w:top w:val="nil"/>
              <w:left w:val="nil"/>
              <w:bottom w:val="nil"/>
              <w:right w:val="nil"/>
            </w:tcBorders>
            <w:shd w:val="clear" w:color="auto" w:fill="auto"/>
            <w:noWrap/>
            <w:vAlign w:val="bottom"/>
            <w:hideMark/>
          </w:tcPr>
          <w:p w14:paraId="63C0D33B" w14:textId="784D5706" w:rsidR="00895A1D" w:rsidRPr="006B42D6" w:rsidRDefault="00895A1D" w:rsidP="00895A1D">
            <w:pPr>
              <w:jc w:val="right"/>
              <w:rPr>
                <w:sz w:val="16"/>
                <w:szCs w:val="16"/>
              </w:rPr>
            </w:pPr>
            <w:r w:rsidRPr="006B42D6">
              <w:rPr>
                <w:sz w:val="16"/>
                <w:szCs w:val="16"/>
              </w:rPr>
              <w:t>-</w:t>
            </w:r>
          </w:p>
        </w:tc>
      </w:tr>
      <w:tr w:rsidR="006B42D6" w:rsidRPr="006B42D6" w14:paraId="14B7F0D6" w14:textId="77777777" w:rsidTr="00843062">
        <w:trPr>
          <w:trHeight w:val="312"/>
        </w:trPr>
        <w:tc>
          <w:tcPr>
            <w:tcW w:w="1708" w:type="dxa"/>
            <w:tcBorders>
              <w:top w:val="nil"/>
              <w:left w:val="nil"/>
              <w:bottom w:val="nil"/>
            </w:tcBorders>
            <w:shd w:val="clear" w:color="auto" w:fill="auto"/>
            <w:noWrap/>
            <w:vAlign w:val="bottom"/>
            <w:hideMark/>
          </w:tcPr>
          <w:p w14:paraId="49031DB8" w14:textId="4071328D" w:rsidR="00895A1D" w:rsidRPr="006B42D6" w:rsidRDefault="00895A1D" w:rsidP="00970387">
            <w:pPr>
              <w:jc w:val="left"/>
              <w:rPr>
                <w:sz w:val="16"/>
                <w:szCs w:val="16"/>
              </w:rPr>
            </w:pPr>
            <w:r w:rsidRPr="006B42D6">
              <w:rPr>
                <w:sz w:val="16"/>
                <w:szCs w:val="16"/>
              </w:rPr>
              <w:t>Geita</w:t>
            </w:r>
          </w:p>
        </w:tc>
        <w:tc>
          <w:tcPr>
            <w:tcW w:w="1052" w:type="dxa"/>
            <w:tcBorders>
              <w:top w:val="nil"/>
              <w:bottom w:val="nil"/>
              <w:right w:val="nil"/>
            </w:tcBorders>
            <w:shd w:val="clear" w:color="auto" w:fill="auto"/>
            <w:noWrap/>
            <w:vAlign w:val="bottom"/>
            <w:hideMark/>
          </w:tcPr>
          <w:p w14:paraId="1797E700" w14:textId="73B3DBA1" w:rsidR="00895A1D" w:rsidRPr="006B42D6" w:rsidRDefault="00895A1D" w:rsidP="00895A1D">
            <w:pPr>
              <w:jc w:val="right"/>
              <w:rPr>
                <w:sz w:val="16"/>
                <w:szCs w:val="16"/>
              </w:rPr>
            </w:pPr>
            <w:r w:rsidRPr="006B42D6">
              <w:rPr>
                <w:sz w:val="16"/>
                <w:szCs w:val="16"/>
              </w:rPr>
              <w:t>1,143</w:t>
            </w:r>
          </w:p>
        </w:tc>
        <w:tc>
          <w:tcPr>
            <w:tcW w:w="1018" w:type="dxa"/>
            <w:tcBorders>
              <w:top w:val="nil"/>
              <w:left w:val="nil"/>
              <w:bottom w:val="nil"/>
              <w:right w:val="nil"/>
            </w:tcBorders>
            <w:shd w:val="clear" w:color="auto" w:fill="auto"/>
            <w:noWrap/>
            <w:vAlign w:val="bottom"/>
            <w:hideMark/>
          </w:tcPr>
          <w:p w14:paraId="3985A598" w14:textId="7CAF34A2" w:rsidR="00895A1D" w:rsidRPr="006B42D6" w:rsidRDefault="00895A1D" w:rsidP="00895A1D">
            <w:pPr>
              <w:jc w:val="right"/>
              <w:rPr>
                <w:sz w:val="16"/>
                <w:szCs w:val="16"/>
              </w:rPr>
            </w:pPr>
            <w:r w:rsidRPr="006B42D6">
              <w:rPr>
                <w:sz w:val="16"/>
                <w:szCs w:val="16"/>
              </w:rPr>
              <w:t>699</w:t>
            </w:r>
          </w:p>
        </w:tc>
        <w:tc>
          <w:tcPr>
            <w:tcW w:w="1052" w:type="dxa"/>
            <w:tcBorders>
              <w:top w:val="nil"/>
              <w:left w:val="nil"/>
              <w:bottom w:val="nil"/>
              <w:right w:val="nil"/>
            </w:tcBorders>
            <w:shd w:val="clear" w:color="auto" w:fill="auto"/>
            <w:noWrap/>
            <w:vAlign w:val="bottom"/>
            <w:hideMark/>
          </w:tcPr>
          <w:p w14:paraId="572E93B5" w14:textId="0A2334E7" w:rsidR="00895A1D" w:rsidRPr="006B42D6" w:rsidRDefault="00895A1D" w:rsidP="00895A1D">
            <w:pPr>
              <w:jc w:val="right"/>
              <w:rPr>
                <w:sz w:val="16"/>
                <w:szCs w:val="16"/>
              </w:rPr>
            </w:pPr>
            <w:r w:rsidRPr="006B42D6">
              <w:rPr>
                <w:sz w:val="16"/>
                <w:szCs w:val="16"/>
              </w:rPr>
              <w:t>227</w:t>
            </w:r>
          </w:p>
        </w:tc>
        <w:tc>
          <w:tcPr>
            <w:tcW w:w="1397" w:type="dxa"/>
            <w:tcBorders>
              <w:top w:val="nil"/>
              <w:left w:val="nil"/>
              <w:bottom w:val="nil"/>
              <w:right w:val="nil"/>
            </w:tcBorders>
            <w:shd w:val="clear" w:color="auto" w:fill="auto"/>
            <w:noWrap/>
            <w:vAlign w:val="bottom"/>
            <w:hideMark/>
          </w:tcPr>
          <w:p w14:paraId="30E55847" w14:textId="4320356B" w:rsidR="00895A1D" w:rsidRPr="006B42D6" w:rsidRDefault="00895A1D" w:rsidP="00895A1D">
            <w:pPr>
              <w:jc w:val="right"/>
              <w:rPr>
                <w:sz w:val="16"/>
                <w:szCs w:val="16"/>
              </w:rPr>
            </w:pPr>
            <w:r w:rsidRPr="006B42D6">
              <w:rPr>
                <w:sz w:val="16"/>
                <w:szCs w:val="16"/>
              </w:rPr>
              <w:t>92</w:t>
            </w:r>
          </w:p>
        </w:tc>
        <w:tc>
          <w:tcPr>
            <w:tcW w:w="1294" w:type="dxa"/>
            <w:tcBorders>
              <w:top w:val="nil"/>
              <w:left w:val="nil"/>
              <w:bottom w:val="nil"/>
              <w:right w:val="nil"/>
            </w:tcBorders>
            <w:shd w:val="clear" w:color="auto" w:fill="auto"/>
            <w:noWrap/>
            <w:vAlign w:val="bottom"/>
            <w:hideMark/>
          </w:tcPr>
          <w:p w14:paraId="6978673E" w14:textId="473A90A8" w:rsidR="00895A1D" w:rsidRPr="006B42D6" w:rsidRDefault="00895A1D" w:rsidP="00895A1D">
            <w:pPr>
              <w:jc w:val="right"/>
              <w:rPr>
                <w:sz w:val="16"/>
                <w:szCs w:val="16"/>
              </w:rPr>
            </w:pPr>
            <w:r w:rsidRPr="006B42D6">
              <w:rPr>
                <w:sz w:val="16"/>
                <w:szCs w:val="16"/>
              </w:rPr>
              <w:t>790</w:t>
            </w:r>
          </w:p>
        </w:tc>
        <w:tc>
          <w:tcPr>
            <w:tcW w:w="949" w:type="dxa"/>
            <w:tcBorders>
              <w:top w:val="nil"/>
              <w:left w:val="nil"/>
              <w:bottom w:val="nil"/>
              <w:right w:val="nil"/>
            </w:tcBorders>
            <w:shd w:val="clear" w:color="auto" w:fill="auto"/>
            <w:noWrap/>
            <w:vAlign w:val="bottom"/>
            <w:hideMark/>
          </w:tcPr>
          <w:p w14:paraId="4B1DB25B" w14:textId="35F11D66" w:rsidR="00895A1D" w:rsidRPr="006B42D6" w:rsidRDefault="00895A1D" w:rsidP="00895A1D">
            <w:pPr>
              <w:jc w:val="right"/>
              <w:rPr>
                <w:sz w:val="16"/>
                <w:szCs w:val="16"/>
              </w:rPr>
            </w:pPr>
            <w:r w:rsidRPr="006B42D6">
              <w:rPr>
                <w:sz w:val="16"/>
                <w:szCs w:val="16"/>
              </w:rPr>
              <w:t>276</w:t>
            </w:r>
          </w:p>
        </w:tc>
        <w:tc>
          <w:tcPr>
            <w:tcW w:w="952" w:type="dxa"/>
            <w:tcBorders>
              <w:top w:val="nil"/>
              <w:left w:val="nil"/>
              <w:bottom w:val="nil"/>
              <w:right w:val="nil"/>
            </w:tcBorders>
            <w:shd w:val="clear" w:color="auto" w:fill="auto"/>
            <w:noWrap/>
            <w:vAlign w:val="bottom"/>
            <w:hideMark/>
          </w:tcPr>
          <w:p w14:paraId="4D501810" w14:textId="229391B3" w:rsidR="00895A1D" w:rsidRPr="006B42D6" w:rsidRDefault="00895A1D" w:rsidP="00895A1D">
            <w:pPr>
              <w:jc w:val="right"/>
              <w:rPr>
                <w:sz w:val="16"/>
                <w:szCs w:val="16"/>
              </w:rPr>
            </w:pPr>
            <w:r w:rsidRPr="006B42D6">
              <w:rPr>
                <w:sz w:val="16"/>
                <w:szCs w:val="16"/>
              </w:rPr>
              <w:t>568</w:t>
            </w:r>
          </w:p>
        </w:tc>
      </w:tr>
      <w:tr w:rsidR="006B42D6" w:rsidRPr="006B42D6" w14:paraId="509A216F" w14:textId="77777777" w:rsidTr="00843062">
        <w:trPr>
          <w:trHeight w:val="312"/>
        </w:trPr>
        <w:tc>
          <w:tcPr>
            <w:tcW w:w="1708" w:type="dxa"/>
            <w:tcBorders>
              <w:top w:val="nil"/>
              <w:left w:val="nil"/>
              <w:bottom w:val="nil"/>
            </w:tcBorders>
            <w:shd w:val="clear" w:color="auto" w:fill="auto"/>
            <w:noWrap/>
            <w:vAlign w:val="bottom"/>
            <w:hideMark/>
          </w:tcPr>
          <w:p w14:paraId="6F9EFF1B" w14:textId="77B64809" w:rsidR="00895A1D" w:rsidRPr="006B42D6" w:rsidRDefault="00895A1D" w:rsidP="00970387">
            <w:pPr>
              <w:jc w:val="left"/>
              <w:rPr>
                <w:sz w:val="16"/>
                <w:szCs w:val="16"/>
              </w:rPr>
            </w:pPr>
            <w:r w:rsidRPr="006B42D6">
              <w:rPr>
                <w:sz w:val="16"/>
                <w:szCs w:val="16"/>
              </w:rPr>
              <w:t>Songwe</w:t>
            </w:r>
          </w:p>
        </w:tc>
        <w:tc>
          <w:tcPr>
            <w:tcW w:w="1052" w:type="dxa"/>
            <w:tcBorders>
              <w:top w:val="nil"/>
              <w:bottom w:val="nil"/>
              <w:right w:val="nil"/>
            </w:tcBorders>
            <w:shd w:val="clear" w:color="auto" w:fill="auto"/>
            <w:noWrap/>
            <w:vAlign w:val="bottom"/>
            <w:hideMark/>
          </w:tcPr>
          <w:p w14:paraId="41ADA5F2" w14:textId="2085884B" w:rsidR="00895A1D" w:rsidRPr="006B42D6" w:rsidRDefault="00895A1D" w:rsidP="00895A1D">
            <w:pPr>
              <w:jc w:val="right"/>
              <w:rPr>
                <w:sz w:val="16"/>
                <w:szCs w:val="16"/>
              </w:rPr>
            </w:pPr>
            <w:r w:rsidRPr="006B42D6">
              <w:rPr>
                <w:sz w:val="16"/>
                <w:szCs w:val="16"/>
              </w:rPr>
              <w:t>-</w:t>
            </w:r>
          </w:p>
        </w:tc>
        <w:tc>
          <w:tcPr>
            <w:tcW w:w="1018" w:type="dxa"/>
            <w:tcBorders>
              <w:top w:val="nil"/>
              <w:left w:val="nil"/>
              <w:bottom w:val="nil"/>
              <w:right w:val="nil"/>
            </w:tcBorders>
            <w:shd w:val="clear" w:color="auto" w:fill="auto"/>
            <w:noWrap/>
            <w:vAlign w:val="bottom"/>
            <w:hideMark/>
          </w:tcPr>
          <w:p w14:paraId="3DC4078F" w14:textId="17053F85" w:rsidR="00895A1D" w:rsidRPr="006B42D6" w:rsidRDefault="00895A1D" w:rsidP="00895A1D">
            <w:pPr>
              <w:jc w:val="right"/>
              <w:rPr>
                <w:sz w:val="16"/>
                <w:szCs w:val="16"/>
              </w:rPr>
            </w:pPr>
            <w:r w:rsidRPr="006B42D6">
              <w:rPr>
                <w:sz w:val="16"/>
                <w:szCs w:val="16"/>
              </w:rPr>
              <w:t>-</w:t>
            </w:r>
          </w:p>
        </w:tc>
        <w:tc>
          <w:tcPr>
            <w:tcW w:w="1052" w:type="dxa"/>
            <w:tcBorders>
              <w:top w:val="nil"/>
              <w:left w:val="nil"/>
              <w:bottom w:val="nil"/>
              <w:right w:val="nil"/>
            </w:tcBorders>
            <w:shd w:val="clear" w:color="auto" w:fill="auto"/>
            <w:noWrap/>
            <w:vAlign w:val="bottom"/>
            <w:hideMark/>
          </w:tcPr>
          <w:p w14:paraId="2462E034" w14:textId="42ACA47C" w:rsidR="00895A1D" w:rsidRPr="006B42D6" w:rsidRDefault="00895A1D" w:rsidP="00895A1D">
            <w:pPr>
              <w:jc w:val="right"/>
              <w:rPr>
                <w:sz w:val="16"/>
                <w:szCs w:val="16"/>
              </w:rPr>
            </w:pPr>
            <w:r w:rsidRPr="006B42D6">
              <w:rPr>
                <w:sz w:val="16"/>
                <w:szCs w:val="16"/>
              </w:rPr>
              <w:t>-</w:t>
            </w:r>
          </w:p>
        </w:tc>
        <w:tc>
          <w:tcPr>
            <w:tcW w:w="1397" w:type="dxa"/>
            <w:tcBorders>
              <w:top w:val="nil"/>
              <w:left w:val="nil"/>
              <w:bottom w:val="nil"/>
              <w:right w:val="nil"/>
            </w:tcBorders>
            <w:shd w:val="clear" w:color="auto" w:fill="auto"/>
            <w:noWrap/>
            <w:vAlign w:val="bottom"/>
            <w:hideMark/>
          </w:tcPr>
          <w:p w14:paraId="003FE9E9" w14:textId="4BF8BFD7" w:rsidR="00895A1D" w:rsidRPr="006B42D6" w:rsidRDefault="00895A1D" w:rsidP="00895A1D">
            <w:pPr>
              <w:jc w:val="right"/>
              <w:rPr>
                <w:sz w:val="16"/>
                <w:szCs w:val="16"/>
              </w:rPr>
            </w:pPr>
            <w:r w:rsidRPr="006B42D6">
              <w:rPr>
                <w:sz w:val="16"/>
                <w:szCs w:val="16"/>
              </w:rPr>
              <w:t>-</w:t>
            </w:r>
          </w:p>
        </w:tc>
        <w:tc>
          <w:tcPr>
            <w:tcW w:w="1294" w:type="dxa"/>
            <w:tcBorders>
              <w:top w:val="nil"/>
              <w:left w:val="nil"/>
              <w:bottom w:val="nil"/>
              <w:right w:val="nil"/>
            </w:tcBorders>
            <w:shd w:val="clear" w:color="auto" w:fill="auto"/>
            <w:noWrap/>
            <w:vAlign w:val="bottom"/>
            <w:hideMark/>
          </w:tcPr>
          <w:p w14:paraId="2EFD39E8" w14:textId="7A021B94" w:rsidR="00895A1D" w:rsidRPr="006B42D6" w:rsidRDefault="00895A1D" w:rsidP="00895A1D">
            <w:pPr>
              <w:jc w:val="right"/>
              <w:rPr>
                <w:sz w:val="16"/>
                <w:szCs w:val="16"/>
              </w:rPr>
            </w:pPr>
            <w:r w:rsidRPr="006B42D6">
              <w:rPr>
                <w:sz w:val="16"/>
                <w:szCs w:val="16"/>
              </w:rPr>
              <w:t>-</w:t>
            </w:r>
          </w:p>
        </w:tc>
        <w:tc>
          <w:tcPr>
            <w:tcW w:w="949" w:type="dxa"/>
            <w:tcBorders>
              <w:top w:val="nil"/>
              <w:left w:val="nil"/>
              <w:bottom w:val="nil"/>
              <w:right w:val="nil"/>
            </w:tcBorders>
            <w:shd w:val="clear" w:color="auto" w:fill="auto"/>
            <w:noWrap/>
            <w:vAlign w:val="bottom"/>
            <w:hideMark/>
          </w:tcPr>
          <w:p w14:paraId="43A33DD8" w14:textId="2E9F4372" w:rsidR="00895A1D" w:rsidRPr="006B42D6" w:rsidRDefault="00895A1D" w:rsidP="00895A1D">
            <w:pPr>
              <w:jc w:val="right"/>
              <w:rPr>
                <w:sz w:val="16"/>
                <w:szCs w:val="16"/>
              </w:rPr>
            </w:pPr>
            <w:r w:rsidRPr="006B42D6">
              <w:rPr>
                <w:sz w:val="16"/>
                <w:szCs w:val="16"/>
              </w:rPr>
              <w:t>-</w:t>
            </w:r>
          </w:p>
        </w:tc>
        <w:tc>
          <w:tcPr>
            <w:tcW w:w="952" w:type="dxa"/>
            <w:tcBorders>
              <w:top w:val="nil"/>
              <w:left w:val="nil"/>
              <w:bottom w:val="nil"/>
              <w:right w:val="nil"/>
            </w:tcBorders>
            <w:shd w:val="clear" w:color="auto" w:fill="auto"/>
            <w:noWrap/>
            <w:vAlign w:val="bottom"/>
            <w:hideMark/>
          </w:tcPr>
          <w:p w14:paraId="6888510C" w14:textId="102CFD3B" w:rsidR="00895A1D" w:rsidRPr="006B42D6" w:rsidRDefault="00895A1D" w:rsidP="00895A1D">
            <w:pPr>
              <w:jc w:val="right"/>
              <w:rPr>
                <w:sz w:val="16"/>
                <w:szCs w:val="16"/>
              </w:rPr>
            </w:pPr>
            <w:r w:rsidRPr="006B42D6">
              <w:rPr>
                <w:sz w:val="16"/>
                <w:szCs w:val="16"/>
              </w:rPr>
              <w:t>-</w:t>
            </w:r>
          </w:p>
        </w:tc>
      </w:tr>
      <w:tr w:rsidR="006B42D6" w:rsidRPr="006B42D6" w14:paraId="3CF3966D" w14:textId="77777777" w:rsidTr="00843062">
        <w:trPr>
          <w:trHeight w:val="312"/>
        </w:trPr>
        <w:tc>
          <w:tcPr>
            <w:tcW w:w="1708" w:type="dxa"/>
            <w:tcBorders>
              <w:top w:val="single" w:sz="4" w:space="0" w:color="auto"/>
              <w:left w:val="nil"/>
              <w:bottom w:val="single" w:sz="4" w:space="0" w:color="auto"/>
            </w:tcBorders>
            <w:shd w:val="clear" w:color="auto" w:fill="E2EFD9" w:themeFill="accent6" w:themeFillTint="33"/>
            <w:noWrap/>
            <w:vAlign w:val="bottom"/>
            <w:hideMark/>
          </w:tcPr>
          <w:p w14:paraId="440184A1" w14:textId="5AF70383" w:rsidR="00895A1D" w:rsidRPr="006B42D6" w:rsidRDefault="00EA1552" w:rsidP="00970387">
            <w:pPr>
              <w:jc w:val="left"/>
              <w:rPr>
                <w:b/>
                <w:bCs/>
                <w:sz w:val="16"/>
                <w:szCs w:val="16"/>
              </w:rPr>
            </w:pPr>
            <w:r>
              <w:rPr>
                <w:b/>
                <w:bCs/>
                <w:sz w:val="16"/>
                <w:szCs w:val="16"/>
              </w:rPr>
              <w:t>Mainland Tanzania</w:t>
            </w:r>
          </w:p>
        </w:tc>
        <w:tc>
          <w:tcPr>
            <w:tcW w:w="1052" w:type="dxa"/>
            <w:tcBorders>
              <w:top w:val="single" w:sz="4" w:space="0" w:color="auto"/>
              <w:bottom w:val="single" w:sz="4" w:space="0" w:color="auto"/>
              <w:right w:val="nil"/>
            </w:tcBorders>
            <w:shd w:val="clear" w:color="auto" w:fill="E2EFD9" w:themeFill="accent6" w:themeFillTint="33"/>
            <w:noWrap/>
            <w:vAlign w:val="bottom"/>
            <w:hideMark/>
          </w:tcPr>
          <w:p w14:paraId="0949DE25" w14:textId="549A00C9" w:rsidR="00895A1D" w:rsidRPr="006B42D6" w:rsidRDefault="00895A1D" w:rsidP="00895A1D">
            <w:pPr>
              <w:jc w:val="right"/>
              <w:rPr>
                <w:b/>
                <w:bCs/>
                <w:sz w:val="16"/>
                <w:szCs w:val="16"/>
              </w:rPr>
            </w:pPr>
            <w:r w:rsidRPr="006B42D6">
              <w:rPr>
                <w:b/>
                <w:bCs/>
                <w:sz w:val="16"/>
                <w:szCs w:val="16"/>
              </w:rPr>
              <w:t>18,054</w:t>
            </w:r>
          </w:p>
        </w:tc>
        <w:tc>
          <w:tcPr>
            <w:tcW w:w="1018" w:type="dxa"/>
            <w:tcBorders>
              <w:top w:val="single" w:sz="4" w:space="0" w:color="auto"/>
              <w:left w:val="nil"/>
              <w:bottom w:val="single" w:sz="4" w:space="0" w:color="auto"/>
              <w:right w:val="nil"/>
            </w:tcBorders>
            <w:shd w:val="clear" w:color="auto" w:fill="E2EFD9" w:themeFill="accent6" w:themeFillTint="33"/>
            <w:noWrap/>
            <w:vAlign w:val="bottom"/>
            <w:hideMark/>
          </w:tcPr>
          <w:p w14:paraId="71DBFA1E" w14:textId="7B472D49" w:rsidR="00895A1D" w:rsidRPr="006B42D6" w:rsidRDefault="00895A1D" w:rsidP="00895A1D">
            <w:pPr>
              <w:jc w:val="right"/>
              <w:rPr>
                <w:b/>
                <w:bCs/>
                <w:sz w:val="16"/>
                <w:szCs w:val="16"/>
              </w:rPr>
            </w:pPr>
            <w:r w:rsidRPr="006B42D6">
              <w:rPr>
                <w:b/>
                <w:bCs/>
                <w:sz w:val="16"/>
                <w:szCs w:val="16"/>
              </w:rPr>
              <w:t>10,310</w:t>
            </w:r>
          </w:p>
        </w:tc>
        <w:tc>
          <w:tcPr>
            <w:tcW w:w="1052" w:type="dxa"/>
            <w:tcBorders>
              <w:top w:val="single" w:sz="4" w:space="0" w:color="auto"/>
              <w:left w:val="nil"/>
              <w:bottom w:val="single" w:sz="4" w:space="0" w:color="auto"/>
              <w:right w:val="nil"/>
            </w:tcBorders>
            <w:shd w:val="clear" w:color="auto" w:fill="E2EFD9" w:themeFill="accent6" w:themeFillTint="33"/>
            <w:noWrap/>
            <w:vAlign w:val="bottom"/>
            <w:hideMark/>
          </w:tcPr>
          <w:p w14:paraId="1F175872" w14:textId="6B4B27E1" w:rsidR="00895A1D" w:rsidRPr="006B42D6" w:rsidRDefault="00895A1D" w:rsidP="00895A1D">
            <w:pPr>
              <w:jc w:val="right"/>
              <w:rPr>
                <w:b/>
                <w:bCs/>
                <w:sz w:val="16"/>
                <w:szCs w:val="16"/>
              </w:rPr>
            </w:pPr>
            <w:r w:rsidRPr="006B42D6">
              <w:rPr>
                <w:b/>
                <w:bCs/>
                <w:sz w:val="16"/>
                <w:szCs w:val="16"/>
              </w:rPr>
              <w:t>28,409</w:t>
            </w:r>
          </w:p>
        </w:tc>
        <w:tc>
          <w:tcPr>
            <w:tcW w:w="1397" w:type="dxa"/>
            <w:tcBorders>
              <w:top w:val="single" w:sz="4" w:space="0" w:color="auto"/>
              <w:left w:val="nil"/>
              <w:bottom w:val="single" w:sz="4" w:space="0" w:color="auto"/>
              <w:right w:val="nil"/>
            </w:tcBorders>
            <w:shd w:val="clear" w:color="auto" w:fill="E2EFD9" w:themeFill="accent6" w:themeFillTint="33"/>
            <w:noWrap/>
            <w:vAlign w:val="bottom"/>
            <w:hideMark/>
          </w:tcPr>
          <w:p w14:paraId="5DA8D784" w14:textId="3ABEA4B7" w:rsidR="00895A1D" w:rsidRPr="006B42D6" w:rsidRDefault="00895A1D" w:rsidP="00895A1D">
            <w:pPr>
              <w:jc w:val="right"/>
              <w:rPr>
                <w:b/>
                <w:bCs/>
                <w:sz w:val="16"/>
                <w:szCs w:val="16"/>
              </w:rPr>
            </w:pPr>
            <w:r w:rsidRPr="006B42D6">
              <w:rPr>
                <w:b/>
                <w:bCs/>
                <w:sz w:val="16"/>
                <w:szCs w:val="16"/>
              </w:rPr>
              <w:t>12,666</w:t>
            </w:r>
          </w:p>
        </w:tc>
        <w:tc>
          <w:tcPr>
            <w:tcW w:w="1294" w:type="dxa"/>
            <w:tcBorders>
              <w:top w:val="single" w:sz="4" w:space="0" w:color="auto"/>
              <w:left w:val="nil"/>
              <w:bottom w:val="single" w:sz="4" w:space="0" w:color="auto"/>
              <w:right w:val="nil"/>
            </w:tcBorders>
            <w:shd w:val="clear" w:color="auto" w:fill="E2EFD9" w:themeFill="accent6" w:themeFillTint="33"/>
            <w:noWrap/>
            <w:vAlign w:val="bottom"/>
            <w:hideMark/>
          </w:tcPr>
          <w:p w14:paraId="3160D572" w14:textId="2D8DF136" w:rsidR="00895A1D" w:rsidRPr="006B42D6" w:rsidRDefault="00895A1D" w:rsidP="00895A1D">
            <w:pPr>
              <w:jc w:val="right"/>
              <w:rPr>
                <w:b/>
                <w:bCs/>
                <w:sz w:val="16"/>
                <w:szCs w:val="16"/>
              </w:rPr>
            </w:pPr>
            <w:r w:rsidRPr="006B42D6">
              <w:rPr>
                <w:b/>
                <w:bCs/>
                <w:sz w:val="16"/>
                <w:szCs w:val="16"/>
              </w:rPr>
              <w:t>22,976</w:t>
            </w:r>
          </w:p>
        </w:tc>
        <w:tc>
          <w:tcPr>
            <w:tcW w:w="949" w:type="dxa"/>
            <w:tcBorders>
              <w:top w:val="single" w:sz="4" w:space="0" w:color="auto"/>
              <w:left w:val="nil"/>
              <w:bottom w:val="single" w:sz="4" w:space="0" w:color="auto"/>
              <w:right w:val="nil"/>
            </w:tcBorders>
            <w:shd w:val="clear" w:color="auto" w:fill="E2EFD9" w:themeFill="accent6" w:themeFillTint="33"/>
            <w:noWrap/>
            <w:vAlign w:val="bottom"/>
            <w:hideMark/>
          </w:tcPr>
          <w:p w14:paraId="6AE93EDE" w14:textId="6C777952" w:rsidR="00895A1D" w:rsidRPr="006B42D6" w:rsidRDefault="00895A1D" w:rsidP="00895A1D">
            <w:pPr>
              <w:jc w:val="right"/>
              <w:rPr>
                <w:b/>
                <w:bCs/>
                <w:sz w:val="16"/>
                <w:szCs w:val="16"/>
              </w:rPr>
            </w:pPr>
            <w:r w:rsidRPr="006B42D6">
              <w:rPr>
                <w:b/>
                <w:bCs/>
                <w:sz w:val="16"/>
                <w:szCs w:val="16"/>
              </w:rPr>
              <w:t>10,751</w:t>
            </w:r>
          </w:p>
        </w:tc>
        <w:tc>
          <w:tcPr>
            <w:tcW w:w="952" w:type="dxa"/>
            <w:tcBorders>
              <w:top w:val="single" w:sz="4" w:space="0" w:color="auto"/>
              <w:left w:val="nil"/>
              <w:bottom w:val="single" w:sz="4" w:space="0" w:color="auto"/>
              <w:right w:val="nil"/>
            </w:tcBorders>
            <w:shd w:val="clear" w:color="auto" w:fill="E2EFD9" w:themeFill="accent6" w:themeFillTint="33"/>
            <w:noWrap/>
            <w:vAlign w:val="bottom"/>
            <w:hideMark/>
          </w:tcPr>
          <w:p w14:paraId="111DBD4B" w14:textId="554DB6C8" w:rsidR="00895A1D" w:rsidRPr="006B42D6" w:rsidRDefault="00895A1D" w:rsidP="00895A1D">
            <w:pPr>
              <w:jc w:val="right"/>
              <w:rPr>
                <w:b/>
                <w:bCs/>
                <w:sz w:val="16"/>
                <w:szCs w:val="16"/>
              </w:rPr>
            </w:pPr>
            <w:r w:rsidRPr="006B42D6">
              <w:rPr>
                <w:b/>
                <w:bCs/>
                <w:sz w:val="16"/>
                <w:szCs w:val="16"/>
              </w:rPr>
              <w:t>95,710</w:t>
            </w:r>
          </w:p>
        </w:tc>
      </w:tr>
      <w:tr w:rsidR="006B42D6" w:rsidRPr="006B42D6" w14:paraId="01421718" w14:textId="77777777" w:rsidTr="00843062">
        <w:trPr>
          <w:trHeight w:val="312"/>
        </w:trPr>
        <w:tc>
          <w:tcPr>
            <w:tcW w:w="1708" w:type="dxa"/>
            <w:tcBorders>
              <w:top w:val="nil"/>
              <w:left w:val="nil"/>
              <w:bottom w:val="nil"/>
            </w:tcBorders>
            <w:shd w:val="clear" w:color="auto" w:fill="auto"/>
            <w:noWrap/>
            <w:vAlign w:val="bottom"/>
            <w:hideMark/>
          </w:tcPr>
          <w:p w14:paraId="67DEA591" w14:textId="4F8DA989" w:rsidR="00895A1D" w:rsidRPr="006B42D6" w:rsidRDefault="00895A1D" w:rsidP="00970387">
            <w:pPr>
              <w:jc w:val="left"/>
              <w:rPr>
                <w:sz w:val="16"/>
                <w:szCs w:val="16"/>
              </w:rPr>
            </w:pPr>
            <w:r w:rsidRPr="006B42D6">
              <w:rPr>
                <w:sz w:val="16"/>
                <w:szCs w:val="16"/>
              </w:rPr>
              <w:t>Kaskazini Unguja</w:t>
            </w:r>
          </w:p>
        </w:tc>
        <w:tc>
          <w:tcPr>
            <w:tcW w:w="1052" w:type="dxa"/>
            <w:tcBorders>
              <w:top w:val="nil"/>
              <w:bottom w:val="nil"/>
              <w:right w:val="nil"/>
            </w:tcBorders>
            <w:shd w:val="clear" w:color="auto" w:fill="auto"/>
            <w:noWrap/>
            <w:vAlign w:val="bottom"/>
            <w:hideMark/>
          </w:tcPr>
          <w:p w14:paraId="6382A0F0" w14:textId="78FCA124" w:rsidR="00895A1D" w:rsidRPr="006B42D6" w:rsidRDefault="00895A1D" w:rsidP="00895A1D">
            <w:pPr>
              <w:jc w:val="right"/>
              <w:rPr>
                <w:sz w:val="16"/>
                <w:szCs w:val="16"/>
              </w:rPr>
            </w:pPr>
            <w:r w:rsidRPr="006B42D6">
              <w:rPr>
                <w:sz w:val="16"/>
                <w:szCs w:val="16"/>
              </w:rPr>
              <w:t>747</w:t>
            </w:r>
          </w:p>
        </w:tc>
        <w:tc>
          <w:tcPr>
            <w:tcW w:w="1018" w:type="dxa"/>
            <w:tcBorders>
              <w:top w:val="nil"/>
              <w:left w:val="nil"/>
              <w:bottom w:val="nil"/>
              <w:right w:val="nil"/>
            </w:tcBorders>
            <w:shd w:val="clear" w:color="auto" w:fill="auto"/>
            <w:noWrap/>
            <w:vAlign w:val="bottom"/>
            <w:hideMark/>
          </w:tcPr>
          <w:p w14:paraId="2564FB4B" w14:textId="4AC823AA" w:rsidR="00895A1D" w:rsidRPr="006B42D6" w:rsidRDefault="00895A1D" w:rsidP="00895A1D">
            <w:pPr>
              <w:jc w:val="right"/>
              <w:rPr>
                <w:sz w:val="16"/>
                <w:szCs w:val="16"/>
              </w:rPr>
            </w:pPr>
            <w:r w:rsidRPr="006B42D6">
              <w:rPr>
                <w:sz w:val="16"/>
                <w:szCs w:val="16"/>
              </w:rPr>
              <w:t>134</w:t>
            </w:r>
          </w:p>
        </w:tc>
        <w:tc>
          <w:tcPr>
            <w:tcW w:w="1052" w:type="dxa"/>
            <w:tcBorders>
              <w:top w:val="nil"/>
              <w:left w:val="nil"/>
              <w:bottom w:val="nil"/>
              <w:right w:val="nil"/>
            </w:tcBorders>
            <w:shd w:val="clear" w:color="auto" w:fill="auto"/>
            <w:noWrap/>
            <w:vAlign w:val="bottom"/>
            <w:hideMark/>
          </w:tcPr>
          <w:p w14:paraId="2E093980" w14:textId="41226150" w:rsidR="00895A1D" w:rsidRPr="006B42D6" w:rsidRDefault="00895A1D" w:rsidP="00895A1D">
            <w:pPr>
              <w:jc w:val="right"/>
              <w:rPr>
                <w:sz w:val="16"/>
                <w:szCs w:val="16"/>
              </w:rPr>
            </w:pPr>
            <w:r w:rsidRPr="006B42D6">
              <w:rPr>
                <w:sz w:val="16"/>
                <w:szCs w:val="16"/>
              </w:rPr>
              <w:t>565</w:t>
            </w:r>
          </w:p>
        </w:tc>
        <w:tc>
          <w:tcPr>
            <w:tcW w:w="1397" w:type="dxa"/>
            <w:tcBorders>
              <w:top w:val="nil"/>
              <w:left w:val="nil"/>
              <w:bottom w:val="nil"/>
              <w:right w:val="nil"/>
            </w:tcBorders>
            <w:shd w:val="clear" w:color="auto" w:fill="auto"/>
            <w:noWrap/>
            <w:vAlign w:val="bottom"/>
            <w:hideMark/>
          </w:tcPr>
          <w:p w14:paraId="32EFA164" w14:textId="04753A8C" w:rsidR="00895A1D" w:rsidRPr="006B42D6" w:rsidRDefault="00895A1D" w:rsidP="00895A1D">
            <w:pPr>
              <w:jc w:val="right"/>
              <w:rPr>
                <w:sz w:val="16"/>
                <w:szCs w:val="16"/>
              </w:rPr>
            </w:pPr>
            <w:r w:rsidRPr="006B42D6">
              <w:rPr>
                <w:sz w:val="16"/>
                <w:szCs w:val="16"/>
              </w:rPr>
              <w:t>140</w:t>
            </w:r>
          </w:p>
        </w:tc>
        <w:tc>
          <w:tcPr>
            <w:tcW w:w="1294" w:type="dxa"/>
            <w:tcBorders>
              <w:top w:val="nil"/>
              <w:left w:val="nil"/>
              <w:bottom w:val="nil"/>
              <w:right w:val="nil"/>
            </w:tcBorders>
            <w:shd w:val="clear" w:color="auto" w:fill="auto"/>
            <w:noWrap/>
            <w:vAlign w:val="bottom"/>
            <w:hideMark/>
          </w:tcPr>
          <w:p w14:paraId="2E0F5484" w14:textId="472BFEBE" w:rsidR="00895A1D" w:rsidRPr="006B42D6" w:rsidRDefault="00895A1D" w:rsidP="00895A1D">
            <w:pPr>
              <w:jc w:val="right"/>
              <w:rPr>
                <w:sz w:val="16"/>
                <w:szCs w:val="16"/>
              </w:rPr>
            </w:pPr>
            <w:r w:rsidRPr="006B42D6">
              <w:rPr>
                <w:sz w:val="16"/>
                <w:szCs w:val="16"/>
              </w:rPr>
              <w:t>274</w:t>
            </w:r>
          </w:p>
        </w:tc>
        <w:tc>
          <w:tcPr>
            <w:tcW w:w="949" w:type="dxa"/>
            <w:tcBorders>
              <w:top w:val="nil"/>
              <w:left w:val="nil"/>
              <w:bottom w:val="nil"/>
              <w:right w:val="nil"/>
            </w:tcBorders>
            <w:shd w:val="clear" w:color="auto" w:fill="auto"/>
            <w:noWrap/>
            <w:vAlign w:val="bottom"/>
            <w:hideMark/>
          </w:tcPr>
          <w:p w14:paraId="1D2A27F8" w14:textId="7A4D5DDE" w:rsidR="00895A1D" w:rsidRPr="006B42D6" w:rsidRDefault="00895A1D" w:rsidP="00895A1D">
            <w:pPr>
              <w:jc w:val="right"/>
              <w:rPr>
                <w:sz w:val="16"/>
                <w:szCs w:val="16"/>
              </w:rPr>
            </w:pPr>
            <w:r w:rsidRPr="006B42D6">
              <w:rPr>
                <w:sz w:val="16"/>
                <w:szCs w:val="16"/>
              </w:rPr>
              <w:t>115</w:t>
            </w:r>
          </w:p>
        </w:tc>
        <w:tc>
          <w:tcPr>
            <w:tcW w:w="952" w:type="dxa"/>
            <w:tcBorders>
              <w:top w:val="nil"/>
              <w:left w:val="nil"/>
              <w:bottom w:val="nil"/>
              <w:right w:val="nil"/>
            </w:tcBorders>
            <w:shd w:val="clear" w:color="auto" w:fill="auto"/>
            <w:noWrap/>
            <w:vAlign w:val="bottom"/>
            <w:hideMark/>
          </w:tcPr>
          <w:p w14:paraId="754C0AAA" w14:textId="5E3C4FCE" w:rsidR="00895A1D" w:rsidRPr="006B42D6" w:rsidRDefault="00895A1D" w:rsidP="00895A1D">
            <w:pPr>
              <w:jc w:val="right"/>
              <w:rPr>
                <w:sz w:val="16"/>
                <w:szCs w:val="16"/>
              </w:rPr>
            </w:pPr>
            <w:r w:rsidRPr="006B42D6">
              <w:rPr>
                <w:sz w:val="16"/>
                <w:szCs w:val="16"/>
              </w:rPr>
              <w:t>3,827</w:t>
            </w:r>
          </w:p>
        </w:tc>
      </w:tr>
      <w:tr w:rsidR="006B42D6" w:rsidRPr="006B42D6" w14:paraId="2363C41F" w14:textId="77777777" w:rsidTr="00843062">
        <w:trPr>
          <w:trHeight w:val="312"/>
        </w:trPr>
        <w:tc>
          <w:tcPr>
            <w:tcW w:w="1708" w:type="dxa"/>
            <w:tcBorders>
              <w:top w:val="nil"/>
              <w:left w:val="nil"/>
              <w:bottom w:val="nil"/>
            </w:tcBorders>
            <w:shd w:val="clear" w:color="auto" w:fill="auto"/>
            <w:noWrap/>
            <w:vAlign w:val="bottom"/>
            <w:hideMark/>
          </w:tcPr>
          <w:p w14:paraId="5F7CA698" w14:textId="0F442DDA" w:rsidR="00895A1D" w:rsidRPr="006B42D6" w:rsidRDefault="00895A1D" w:rsidP="00970387">
            <w:pPr>
              <w:jc w:val="left"/>
              <w:rPr>
                <w:sz w:val="16"/>
                <w:szCs w:val="16"/>
              </w:rPr>
            </w:pPr>
            <w:r w:rsidRPr="006B42D6">
              <w:rPr>
                <w:sz w:val="16"/>
                <w:szCs w:val="16"/>
              </w:rPr>
              <w:t>Kusini Unguja</w:t>
            </w:r>
          </w:p>
        </w:tc>
        <w:tc>
          <w:tcPr>
            <w:tcW w:w="1052" w:type="dxa"/>
            <w:tcBorders>
              <w:top w:val="nil"/>
              <w:bottom w:val="nil"/>
              <w:right w:val="nil"/>
            </w:tcBorders>
            <w:shd w:val="clear" w:color="auto" w:fill="auto"/>
            <w:noWrap/>
            <w:vAlign w:val="bottom"/>
            <w:hideMark/>
          </w:tcPr>
          <w:p w14:paraId="4C0FFBDF" w14:textId="6FC89231" w:rsidR="00895A1D" w:rsidRPr="006B42D6" w:rsidRDefault="00895A1D" w:rsidP="00895A1D">
            <w:pPr>
              <w:jc w:val="right"/>
              <w:rPr>
                <w:sz w:val="16"/>
                <w:szCs w:val="16"/>
              </w:rPr>
            </w:pPr>
            <w:r w:rsidRPr="006B42D6">
              <w:rPr>
                <w:sz w:val="16"/>
                <w:szCs w:val="16"/>
              </w:rPr>
              <w:t>125</w:t>
            </w:r>
          </w:p>
        </w:tc>
        <w:tc>
          <w:tcPr>
            <w:tcW w:w="1018" w:type="dxa"/>
            <w:tcBorders>
              <w:top w:val="nil"/>
              <w:left w:val="nil"/>
              <w:bottom w:val="nil"/>
              <w:right w:val="nil"/>
            </w:tcBorders>
            <w:shd w:val="clear" w:color="auto" w:fill="auto"/>
            <w:noWrap/>
            <w:vAlign w:val="bottom"/>
            <w:hideMark/>
          </w:tcPr>
          <w:p w14:paraId="1C3E7979" w14:textId="3CC871E8" w:rsidR="00895A1D" w:rsidRPr="006B42D6" w:rsidRDefault="00895A1D" w:rsidP="00895A1D">
            <w:pPr>
              <w:jc w:val="right"/>
              <w:rPr>
                <w:sz w:val="16"/>
                <w:szCs w:val="16"/>
              </w:rPr>
            </w:pPr>
            <w:r w:rsidRPr="006B42D6">
              <w:rPr>
                <w:sz w:val="16"/>
                <w:szCs w:val="16"/>
              </w:rPr>
              <w:t>20</w:t>
            </w:r>
          </w:p>
        </w:tc>
        <w:tc>
          <w:tcPr>
            <w:tcW w:w="1052" w:type="dxa"/>
            <w:tcBorders>
              <w:top w:val="nil"/>
              <w:left w:val="nil"/>
              <w:bottom w:val="nil"/>
              <w:right w:val="nil"/>
            </w:tcBorders>
            <w:shd w:val="clear" w:color="auto" w:fill="auto"/>
            <w:noWrap/>
            <w:vAlign w:val="bottom"/>
            <w:hideMark/>
          </w:tcPr>
          <w:p w14:paraId="23C6DA2B" w14:textId="0FF31DB2" w:rsidR="00895A1D" w:rsidRPr="006B42D6" w:rsidRDefault="00895A1D" w:rsidP="00895A1D">
            <w:pPr>
              <w:jc w:val="right"/>
              <w:rPr>
                <w:sz w:val="16"/>
                <w:szCs w:val="16"/>
              </w:rPr>
            </w:pPr>
            <w:r w:rsidRPr="006B42D6">
              <w:rPr>
                <w:sz w:val="16"/>
                <w:szCs w:val="16"/>
              </w:rPr>
              <w:t>434</w:t>
            </w:r>
          </w:p>
        </w:tc>
        <w:tc>
          <w:tcPr>
            <w:tcW w:w="1397" w:type="dxa"/>
            <w:tcBorders>
              <w:top w:val="nil"/>
              <w:left w:val="nil"/>
              <w:bottom w:val="nil"/>
              <w:right w:val="nil"/>
            </w:tcBorders>
            <w:shd w:val="clear" w:color="auto" w:fill="auto"/>
            <w:noWrap/>
            <w:vAlign w:val="bottom"/>
            <w:hideMark/>
          </w:tcPr>
          <w:p w14:paraId="1EAC7AD7" w14:textId="786EBEC7" w:rsidR="00895A1D" w:rsidRPr="006B42D6" w:rsidRDefault="00895A1D" w:rsidP="00895A1D">
            <w:pPr>
              <w:jc w:val="right"/>
              <w:rPr>
                <w:sz w:val="16"/>
                <w:szCs w:val="16"/>
              </w:rPr>
            </w:pPr>
            <w:r w:rsidRPr="006B42D6">
              <w:rPr>
                <w:sz w:val="16"/>
                <w:szCs w:val="16"/>
              </w:rPr>
              <w:t>50</w:t>
            </w:r>
          </w:p>
        </w:tc>
        <w:tc>
          <w:tcPr>
            <w:tcW w:w="1294" w:type="dxa"/>
            <w:tcBorders>
              <w:top w:val="nil"/>
              <w:left w:val="nil"/>
              <w:bottom w:val="nil"/>
              <w:right w:val="nil"/>
            </w:tcBorders>
            <w:shd w:val="clear" w:color="auto" w:fill="auto"/>
            <w:noWrap/>
            <w:vAlign w:val="bottom"/>
            <w:hideMark/>
          </w:tcPr>
          <w:p w14:paraId="59F14E10" w14:textId="67ABD68A" w:rsidR="00895A1D" w:rsidRPr="006B42D6" w:rsidRDefault="00895A1D" w:rsidP="00895A1D">
            <w:pPr>
              <w:jc w:val="right"/>
              <w:rPr>
                <w:sz w:val="16"/>
                <w:szCs w:val="16"/>
              </w:rPr>
            </w:pPr>
            <w:r w:rsidRPr="006B42D6">
              <w:rPr>
                <w:sz w:val="16"/>
                <w:szCs w:val="16"/>
              </w:rPr>
              <w:t>70</w:t>
            </w:r>
          </w:p>
        </w:tc>
        <w:tc>
          <w:tcPr>
            <w:tcW w:w="949" w:type="dxa"/>
            <w:tcBorders>
              <w:top w:val="nil"/>
              <w:left w:val="nil"/>
              <w:bottom w:val="nil"/>
              <w:right w:val="nil"/>
            </w:tcBorders>
            <w:shd w:val="clear" w:color="auto" w:fill="auto"/>
            <w:noWrap/>
            <w:vAlign w:val="bottom"/>
            <w:hideMark/>
          </w:tcPr>
          <w:p w14:paraId="194CB25A" w14:textId="5D89D0AC" w:rsidR="00895A1D" w:rsidRPr="006B42D6" w:rsidRDefault="00895A1D" w:rsidP="00895A1D">
            <w:pPr>
              <w:jc w:val="right"/>
              <w:rPr>
                <w:sz w:val="16"/>
                <w:szCs w:val="16"/>
              </w:rPr>
            </w:pPr>
            <w:r w:rsidRPr="006B42D6">
              <w:rPr>
                <w:sz w:val="16"/>
                <w:szCs w:val="16"/>
              </w:rPr>
              <w:t>25</w:t>
            </w:r>
          </w:p>
        </w:tc>
        <w:tc>
          <w:tcPr>
            <w:tcW w:w="952" w:type="dxa"/>
            <w:tcBorders>
              <w:top w:val="nil"/>
              <w:left w:val="nil"/>
              <w:bottom w:val="nil"/>
              <w:right w:val="nil"/>
            </w:tcBorders>
            <w:shd w:val="clear" w:color="auto" w:fill="auto"/>
            <w:noWrap/>
            <w:vAlign w:val="bottom"/>
            <w:hideMark/>
          </w:tcPr>
          <w:p w14:paraId="2E62E7CF" w14:textId="13581552" w:rsidR="00895A1D" w:rsidRPr="006B42D6" w:rsidRDefault="00895A1D" w:rsidP="00895A1D">
            <w:pPr>
              <w:jc w:val="right"/>
              <w:rPr>
                <w:sz w:val="16"/>
                <w:szCs w:val="16"/>
              </w:rPr>
            </w:pPr>
            <w:r w:rsidRPr="006B42D6">
              <w:rPr>
                <w:sz w:val="16"/>
                <w:szCs w:val="16"/>
              </w:rPr>
              <w:t>780</w:t>
            </w:r>
          </w:p>
        </w:tc>
      </w:tr>
      <w:tr w:rsidR="006B42D6" w:rsidRPr="006B42D6" w14:paraId="7174A5C8" w14:textId="77777777" w:rsidTr="00843062">
        <w:trPr>
          <w:trHeight w:val="312"/>
        </w:trPr>
        <w:tc>
          <w:tcPr>
            <w:tcW w:w="1708" w:type="dxa"/>
            <w:tcBorders>
              <w:top w:val="nil"/>
              <w:left w:val="nil"/>
              <w:bottom w:val="nil"/>
            </w:tcBorders>
            <w:shd w:val="clear" w:color="auto" w:fill="auto"/>
            <w:noWrap/>
            <w:vAlign w:val="bottom"/>
            <w:hideMark/>
          </w:tcPr>
          <w:p w14:paraId="45679D85" w14:textId="1EF0C9A5" w:rsidR="00895A1D" w:rsidRPr="006B42D6" w:rsidRDefault="00895A1D" w:rsidP="00970387">
            <w:pPr>
              <w:jc w:val="left"/>
              <w:rPr>
                <w:sz w:val="16"/>
                <w:szCs w:val="16"/>
              </w:rPr>
            </w:pPr>
            <w:r w:rsidRPr="006B42D6">
              <w:rPr>
                <w:sz w:val="16"/>
                <w:szCs w:val="16"/>
              </w:rPr>
              <w:t>Mjini Magharibi</w:t>
            </w:r>
          </w:p>
        </w:tc>
        <w:tc>
          <w:tcPr>
            <w:tcW w:w="1052" w:type="dxa"/>
            <w:tcBorders>
              <w:top w:val="nil"/>
              <w:bottom w:val="nil"/>
              <w:right w:val="nil"/>
            </w:tcBorders>
            <w:shd w:val="clear" w:color="auto" w:fill="auto"/>
            <w:noWrap/>
            <w:vAlign w:val="bottom"/>
            <w:hideMark/>
          </w:tcPr>
          <w:p w14:paraId="3312E35D" w14:textId="0ABE8FC0" w:rsidR="00895A1D" w:rsidRPr="006B42D6" w:rsidRDefault="00895A1D" w:rsidP="00895A1D">
            <w:pPr>
              <w:jc w:val="right"/>
              <w:rPr>
                <w:sz w:val="16"/>
                <w:szCs w:val="16"/>
              </w:rPr>
            </w:pPr>
            <w:r w:rsidRPr="006B42D6">
              <w:rPr>
                <w:sz w:val="16"/>
                <w:szCs w:val="16"/>
              </w:rPr>
              <w:t>-</w:t>
            </w:r>
          </w:p>
        </w:tc>
        <w:tc>
          <w:tcPr>
            <w:tcW w:w="1018" w:type="dxa"/>
            <w:tcBorders>
              <w:top w:val="nil"/>
              <w:left w:val="nil"/>
              <w:bottom w:val="nil"/>
              <w:right w:val="nil"/>
            </w:tcBorders>
            <w:shd w:val="clear" w:color="auto" w:fill="auto"/>
            <w:noWrap/>
            <w:vAlign w:val="bottom"/>
            <w:hideMark/>
          </w:tcPr>
          <w:p w14:paraId="76A93DC6" w14:textId="71F1975E" w:rsidR="00895A1D" w:rsidRPr="006B42D6" w:rsidRDefault="00895A1D" w:rsidP="00895A1D">
            <w:pPr>
              <w:jc w:val="right"/>
              <w:rPr>
                <w:sz w:val="16"/>
                <w:szCs w:val="16"/>
              </w:rPr>
            </w:pPr>
            <w:r w:rsidRPr="006B42D6">
              <w:rPr>
                <w:sz w:val="16"/>
                <w:szCs w:val="16"/>
              </w:rPr>
              <w:t>-</w:t>
            </w:r>
          </w:p>
        </w:tc>
        <w:tc>
          <w:tcPr>
            <w:tcW w:w="1052" w:type="dxa"/>
            <w:tcBorders>
              <w:top w:val="nil"/>
              <w:left w:val="nil"/>
              <w:bottom w:val="nil"/>
              <w:right w:val="nil"/>
            </w:tcBorders>
            <w:shd w:val="clear" w:color="auto" w:fill="auto"/>
            <w:noWrap/>
            <w:vAlign w:val="bottom"/>
            <w:hideMark/>
          </w:tcPr>
          <w:p w14:paraId="55B3D0B6" w14:textId="74998470" w:rsidR="00895A1D" w:rsidRPr="006B42D6" w:rsidRDefault="00895A1D" w:rsidP="00895A1D">
            <w:pPr>
              <w:jc w:val="right"/>
              <w:rPr>
                <w:sz w:val="16"/>
                <w:szCs w:val="16"/>
              </w:rPr>
            </w:pPr>
            <w:r w:rsidRPr="006B42D6">
              <w:rPr>
                <w:sz w:val="16"/>
                <w:szCs w:val="16"/>
              </w:rPr>
              <w:t>2,292</w:t>
            </w:r>
          </w:p>
        </w:tc>
        <w:tc>
          <w:tcPr>
            <w:tcW w:w="1397" w:type="dxa"/>
            <w:tcBorders>
              <w:top w:val="nil"/>
              <w:left w:val="nil"/>
              <w:bottom w:val="nil"/>
              <w:right w:val="nil"/>
            </w:tcBorders>
            <w:shd w:val="clear" w:color="auto" w:fill="auto"/>
            <w:noWrap/>
            <w:vAlign w:val="bottom"/>
            <w:hideMark/>
          </w:tcPr>
          <w:p w14:paraId="6E5AB2A7" w14:textId="3E51784C" w:rsidR="00895A1D" w:rsidRPr="006B42D6" w:rsidRDefault="00895A1D" w:rsidP="00895A1D">
            <w:pPr>
              <w:jc w:val="right"/>
              <w:rPr>
                <w:sz w:val="16"/>
                <w:szCs w:val="16"/>
              </w:rPr>
            </w:pPr>
            <w:r w:rsidRPr="006B42D6">
              <w:rPr>
                <w:sz w:val="16"/>
                <w:szCs w:val="16"/>
              </w:rPr>
              <w:t>226</w:t>
            </w:r>
          </w:p>
        </w:tc>
        <w:tc>
          <w:tcPr>
            <w:tcW w:w="1294" w:type="dxa"/>
            <w:tcBorders>
              <w:top w:val="nil"/>
              <w:left w:val="nil"/>
              <w:bottom w:val="nil"/>
              <w:right w:val="nil"/>
            </w:tcBorders>
            <w:shd w:val="clear" w:color="auto" w:fill="auto"/>
            <w:noWrap/>
            <w:vAlign w:val="bottom"/>
            <w:hideMark/>
          </w:tcPr>
          <w:p w14:paraId="28849706" w14:textId="298BF74D" w:rsidR="00895A1D" w:rsidRPr="006B42D6" w:rsidRDefault="00895A1D" w:rsidP="00895A1D">
            <w:pPr>
              <w:jc w:val="right"/>
              <w:rPr>
                <w:sz w:val="16"/>
                <w:szCs w:val="16"/>
              </w:rPr>
            </w:pPr>
            <w:r w:rsidRPr="006B42D6">
              <w:rPr>
                <w:sz w:val="16"/>
                <w:szCs w:val="16"/>
              </w:rPr>
              <w:t>226</w:t>
            </w:r>
          </w:p>
        </w:tc>
        <w:tc>
          <w:tcPr>
            <w:tcW w:w="949" w:type="dxa"/>
            <w:tcBorders>
              <w:top w:val="nil"/>
              <w:left w:val="nil"/>
              <w:bottom w:val="nil"/>
              <w:right w:val="nil"/>
            </w:tcBorders>
            <w:shd w:val="clear" w:color="auto" w:fill="auto"/>
            <w:noWrap/>
            <w:vAlign w:val="bottom"/>
            <w:hideMark/>
          </w:tcPr>
          <w:p w14:paraId="01A27974" w14:textId="4D985324" w:rsidR="00895A1D" w:rsidRPr="006B42D6" w:rsidRDefault="00895A1D" w:rsidP="00895A1D">
            <w:pPr>
              <w:jc w:val="right"/>
              <w:rPr>
                <w:sz w:val="16"/>
                <w:szCs w:val="16"/>
              </w:rPr>
            </w:pPr>
            <w:r w:rsidRPr="006B42D6">
              <w:rPr>
                <w:sz w:val="16"/>
                <w:szCs w:val="16"/>
              </w:rPr>
              <w:t>189</w:t>
            </w:r>
          </w:p>
        </w:tc>
        <w:tc>
          <w:tcPr>
            <w:tcW w:w="952" w:type="dxa"/>
            <w:tcBorders>
              <w:top w:val="nil"/>
              <w:left w:val="nil"/>
              <w:bottom w:val="nil"/>
              <w:right w:val="nil"/>
            </w:tcBorders>
            <w:shd w:val="clear" w:color="auto" w:fill="auto"/>
            <w:noWrap/>
            <w:vAlign w:val="bottom"/>
            <w:hideMark/>
          </w:tcPr>
          <w:p w14:paraId="511A1A6D" w14:textId="760FAC97" w:rsidR="00895A1D" w:rsidRPr="006B42D6" w:rsidRDefault="00895A1D" w:rsidP="00895A1D">
            <w:pPr>
              <w:jc w:val="right"/>
              <w:rPr>
                <w:sz w:val="16"/>
                <w:szCs w:val="16"/>
              </w:rPr>
            </w:pPr>
            <w:r w:rsidRPr="006B42D6">
              <w:rPr>
                <w:sz w:val="16"/>
                <w:szCs w:val="16"/>
              </w:rPr>
              <w:t>6,177</w:t>
            </w:r>
          </w:p>
        </w:tc>
      </w:tr>
      <w:tr w:rsidR="006B42D6" w:rsidRPr="006B42D6" w14:paraId="48B5A055" w14:textId="77777777" w:rsidTr="00843062">
        <w:trPr>
          <w:trHeight w:val="312"/>
        </w:trPr>
        <w:tc>
          <w:tcPr>
            <w:tcW w:w="1708" w:type="dxa"/>
            <w:tcBorders>
              <w:top w:val="nil"/>
              <w:left w:val="nil"/>
              <w:bottom w:val="nil"/>
            </w:tcBorders>
            <w:shd w:val="clear" w:color="auto" w:fill="auto"/>
            <w:noWrap/>
            <w:vAlign w:val="bottom"/>
            <w:hideMark/>
          </w:tcPr>
          <w:p w14:paraId="2308DB53" w14:textId="0F3EC30D" w:rsidR="00895A1D" w:rsidRPr="006B42D6" w:rsidRDefault="00895A1D" w:rsidP="00970387">
            <w:pPr>
              <w:jc w:val="left"/>
              <w:rPr>
                <w:sz w:val="16"/>
                <w:szCs w:val="16"/>
              </w:rPr>
            </w:pPr>
            <w:r w:rsidRPr="006B42D6">
              <w:rPr>
                <w:sz w:val="16"/>
                <w:szCs w:val="16"/>
              </w:rPr>
              <w:t>Kaskazini Pemba</w:t>
            </w:r>
          </w:p>
        </w:tc>
        <w:tc>
          <w:tcPr>
            <w:tcW w:w="1052" w:type="dxa"/>
            <w:tcBorders>
              <w:top w:val="nil"/>
              <w:bottom w:val="nil"/>
              <w:right w:val="nil"/>
            </w:tcBorders>
            <w:shd w:val="clear" w:color="auto" w:fill="auto"/>
            <w:noWrap/>
            <w:vAlign w:val="bottom"/>
            <w:hideMark/>
          </w:tcPr>
          <w:p w14:paraId="25D2C7C3" w14:textId="5822665A" w:rsidR="00895A1D" w:rsidRPr="006B42D6" w:rsidRDefault="00895A1D" w:rsidP="00895A1D">
            <w:pPr>
              <w:jc w:val="right"/>
              <w:rPr>
                <w:sz w:val="16"/>
                <w:szCs w:val="16"/>
              </w:rPr>
            </w:pPr>
            <w:r w:rsidRPr="006B42D6">
              <w:rPr>
                <w:sz w:val="16"/>
                <w:szCs w:val="16"/>
              </w:rPr>
              <w:t>272</w:t>
            </w:r>
          </w:p>
        </w:tc>
        <w:tc>
          <w:tcPr>
            <w:tcW w:w="1018" w:type="dxa"/>
            <w:tcBorders>
              <w:top w:val="nil"/>
              <w:left w:val="nil"/>
              <w:bottom w:val="nil"/>
              <w:right w:val="nil"/>
            </w:tcBorders>
            <w:shd w:val="clear" w:color="auto" w:fill="auto"/>
            <w:noWrap/>
            <w:vAlign w:val="bottom"/>
            <w:hideMark/>
          </w:tcPr>
          <w:p w14:paraId="224637B1" w14:textId="10507BBA" w:rsidR="00895A1D" w:rsidRPr="006B42D6" w:rsidRDefault="00895A1D" w:rsidP="00895A1D">
            <w:pPr>
              <w:jc w:val="right"/>
              <w:rPr>
                <w:sz w:val="16"/>
                <w:szCs w:val="16"/>
              </w:rPr>
            </w:pPr>
            <w:r w:rsidRPr="006B42D6">
              <w:rPr>
                <w:sz w:val="16"/>
                <w:szCs w:val="16"/>
              </w:rPr>
              <w:t>110</w:t>
            </w:r>
          </w:p>
        </w:tc>
        <w:tc>
          <w:tcPr>
            <w:tcW w:w="1052" w:type="dxa"/>
            <w:tcBorders>
              <w:top w:val="nil"/>
              <w:left w:val="nil"/>
              <w:bottom w:val="nil"/>
              <w:right w:val="nil"/>
            </w:tcBorders>
            <w:shd w:val="clear" w:color="auto" w:fill="auto"/>
            <w:noWrap/>
            <w:vAlign w:val="bottom"/>
            <w:hideMark/>
          </w:tcPr>
          <w:p w14:paraId="7AD34F73" w14:textId="7F2D260D" w:rsidR="00895A1D" w:rsidRPr="006B42D6" w:rsidRDefault="00895A1D" w:rsidP="00895A1D">
            <w:pPr>
              <w:jc w:val="right"/>
              <w:rPr>
                <w:sz w:val="16"/>
                <w:szCs w:val="16"/>
              </w:rPr>
            </w:pPr>
            <w:r w:rsidRPr="006B42D6">
              <w:rPr>
                <w:sz w:val="16"/>
                <w:szCs w:val="16"/>
              </w:rPr>
              <w:t>179</w:t>
            </w:r>
          </w:p>
        </w:tc>
        <w:tc>
          <w:tcPr>
            <w:tcW w:w="1397" w:type="dxa"/>
            <w:tcBorders>
              <w:top w:val="nil"/>
              <w:left w:val="nil"/>
              <w:bottom w:val="nil"/>
              <w:right w:val="nil"/>
            </w:tcBorders>
            <w:shd w:val="clear" w:color="auto" w:fill="auto"/>
            <w:noWrap/>
            <w:vAlign w:val="bottom"/>
            <w:hideMark/>
          </w:tcPr>
          <w:p w14:paraId="179BD9ED" w14:textId="316151F7" w:rsidR="00895A1D" w:rsidRPr="006B42D6" w:rsidRDefault="00895A1D" w:rsidP="00895A1D">
            <w:pPr>
              <w:jc w:val="right"/>
              <w:rPr>
                <w:sz w:val="16"/>
                <w:szCs w:val="16"/>
              </w:rPr>
            </w:pPr>
            <w:r w:rsidRPr="006B42D6">
              <w:rPr>
                <w:sz w:val="16"/>
                <w:szCs w:val="16"/>
              </w:rPr>
              <w:t>40</w:t>
            </w:r>
          </w:p>
        </w:tc>
        <w:tc>
          <w:tcPr>
            <w:tcW w:w="1294" w:type="dxa"/>
            <w:tcBorders>
              <w:top w:val="nil"/>
              <w:left w:val="nil"/>
              <w:bottom w:val="nil"/>
              <w:right w:val="nil"/>
            </w:tcBorders>
            <w:shd w:val="clear" w:color="auto" w:fill="auto"/>
            <w:noWrap/>
            <w:vAlign w:val="bottom"/>
            <w:hideMark/>
          </w:tcPr>
          <w:p w14:paraId="51042958" w14:textId="6FF60F34" w:rsidR="00895A1D" w:rsidRPr="006B42D6" w:rsidRDefault="00895A1D" w:rsidP="00895A1D">
            <w:pPr>
              <w:jc w:val="right"/>
              <w:rPr>
                <w:sz w:val="16"/>
                <w:szCs w:val="16"/>
              </w:rPr>
            </w:pPr>
            <w:r w:rsidRPr="006B42D6">
              <w:rPr>
                <w:sz w:val="16"/>
                <w:szCs w:val="16"/>
              </w:rPr>
              <w:t>150</w:t>
            </w:r>
          </w:p>
        </w:tc>
        <w:tc>
          <w:tcPr>
            <w:tcW w:w="949" w:type="dxa"/>
            <w:tcBorders>
              <w:top w:val="nil"/>
              <w:left w:val="nil"/>
              <w:bottom w:val="nil"/>
              <w:right w:val="nil"/>
            </w:tcBorders>
            <w:shd w:val="clear" w:color="auto" w:fill="auto"/>
            <w:noWrap/>
            <w:vAlign w:val="bottom"/>
            <w:hideMark/>
          </w:tcPr>
          <w:p w14:paraId="27B3036A" w14:textId="480B073A" w:rsidR="00895A1D" w:rsidRPr="006B42D6" w:rsidRDefault="00895A1D" w:rsidP="00895A1D">
            <w:pPr>
              <w:jc w:val="right"/>
              <w:rPr>
                <w:sz w:val="16"/>
                <w:szCs w:val="16"/>
              </w:rPr>
            </w:pPr>
            <w:r w:rsidRPr="006B42D6">
              <w:rPr>
                <w:sz w:val="16"/>
                <w:szCs w:val="16"/>
              </w:rPr>
              <w:t>18</w:t>
            </w:r>
          </w:p>
        </w:tc>
        <w:tc>
          <w:tcPr>
            <w:tcW w:w="952" w:type="dxa"/>
            <w:tcBorders>
              <w:top w:val="nil"/>
              <w:left w:val="nil"/>
              <w:bottom w:val="nil"/>
              <w:right w:val="nil"/>
            </w:tcBorders>
            <w:shd w:val="clear" w:color="auto" w:fill="auto"/>
            <w:noWrap/>
            <w:vAlign w:val="bottom"/>
            <w:hideMark/>
          </w:tcPr>
          <w:p w14:paraId="1996C94F" w14:textId="12C27847" w:rsidR="00895A1D" w:rsidRPr="006B42D6" w:rsidRDefault="00895A1D" w:rsidP="00895A1D">
            <w:pPr>
              <w:jc w:val="right"/>
              <w:rPr>
                <w:sz w:val="16"/>
                <w:szCs w:val="16"/>
              </w:rPr>
            </w:pPr>
            <w:r w:rsidRPr="006B42D6">
              <w:rPr>
                <w:sz w:val="16"/>
                <w:szCs w:val="16"/>
              </w:rPr>
              <w:t>1,157</w:t>
            </w:r>
          </w:p>
        </w:tc>
      </w:tr>
      <w:tr w:rsidR="006B42D6" w:rsidRPr="006B42D6" w14:paraId="133E5ED4" w14:textId="77777777" w:rsidTr="00843062">
        <w:trPr>
          <w:trHeight w:val="312"/>
        </w:trPr>
        <w:tc>
          <w:tcPr>
            <w:tcW w:w="1708" w:type="dxa"/>
            <w:tcBorders>
              <w:top w:val="nil"/>
              <w:left w:val="nil"/>
              <w:bottom w:val="nil"/>
            </w:tcBorders>
            <w:shd w:val="clear" w:color="auto" w:fill="auto"/>
            <w:noWrap/>
            <w:vAlign w:val="bottom"/>
            <w:hideMark/>
          </w:tcPr>
          <w:p w14:paraId="7AD4C567" w14:textId="683D3434" w:rsidR="00895A1D" w:rsidRPr="006B42D6" w:rsidRDefault="00895A1D" w:rsidP="00970387">
            <w:pPr>
              <w:jc w:val="left"/>
              <w:rPr>
                <w:sz w:val="16"/>
                <w:szCs w:val="16"/>
              </w:rPr>
            </w:pPr>
            <w:r w:rsidRPr="006B42D6">
              <w:rPr>
                <w:sz w:val="16"/>
                <w:szCs w:val="16"/>
              </w:rPr>
              <w:t>Kusini Pemba</w:t>
            </w:r>
          </w:p>
        </w:tc>
        <w:tc>
          <w:tcPr>
            <w:tcW w:w="1052" w:type="dxa"/>
            <w:tcBorders>
              <w:top w:val="nil"/>
              <w:bottom w:val="nil"/>
              <w:right w:val="nil"/>
            </w:tcBorders>
            <w:shd w:val="clear" w:color="auto" w:fill="auto"/>
            <w:noWrap/>
            <w:vAlign w:val="bottom"/>
            <w:hideMark/>
          </w:tcPr>
          <w:p w14:paraId="4FA5E92B" w14:textId="3D9BE90F" w:rsidR="00895A1D" w:rsidRPr="006B42D6" w:rsidRDefault="00895A1D" w:rsidP="00895A1D">
            <w:pPr>
              <w:jc w:val="right"/>
              <w:rPr>
                <w:sz w:val="16"/>
                <w:szCs w:val="16"/>
              </w:rPr>
            </w:pPr>
            <w:r w:rsidRPr="006B42D6">
              <w:rPr>
                <w:sz w:val="16"/>
                <w:szCs w:val="16"/>
              </w:rPr>
              <w:t>302</w:t>
            </w:r>
          </w:p>
        </w:tc>
        <w:tc>
          <w:tcPr>
            <w:tcW w:w="1018" w:type="dxa"/>
            <w:tcBorders>
              <w:top w:val="nil"/>
              <w:left w:val="nil"/>
              <w:bottom w:val="nil"/>
              <w:right w:val="nil"/>
            </w:tcBorders>
            <w:shd w:val="clear" w:color="auto" w:fill="auto"/>
            <w:noWrap/>
            <w:vAlign w:val="bottom"/>
            <w:hideMark/>
          </w:tcPr>
          <w:p w14:paraId="2AEEEE10" w14:textId="7F068B0F" w:rsidR="00895A1D" w:rsidRPr="006B42D6" w:rsidRDefault="00895A1D" w:rsidP="00895A1D">
            <w:pPr>
              <w:jc w:val="right"/>
              <w:rPr>
                <w:sz w:val="16"/>
                <w:szCs w:val="16"/>
              </w:rPr>
            </w:pPr>
            <w:r w:rsidRPr="006B42D6">
              <w:rPr>
                <w:sz w:val="16"/>
                <w:szCs w:val="16"/>
              </w:rPr>
              <w:t>29</w:t>
            </w:r>
          </w:p>
        </w:tc>
        <w:tc>
          <w:tcPr>
            <w:tcW w:w="1052" w:type="dxa"/>
            <w:tcBorders>
              <w:top w:val="nil"/>
              <w:left w:val="nil"/>
              <w:bottom w:val="nil"/>
              <w:right w:val="nil"/>
            </w:tcBorders>
            <w:shd w:val="clear" w:color="auto" w:fill="auto"/>
            <w:noWrap/>
            <w:vAlign w:val="bottom"/>
            <w:hideMark/>
          </w:tcPr>
          <w:p w14:paraId="2B2FB4AE" w14:textId="794D3884" w:rsidR="00895A1D" w:rsidRPr="006B42D6" w:rsidRDefault="00895A1D" w:rsidP="00895A1D">
            <w:pPr>
              <w:jc w:val="right"/>
              <w:rPr>
                <w:sz w:val="16"/>
                <w:szCs w:val="16"/>
              </w:rPr>
            </w:pPr>
            <w:r w:rsidRPr="006B42D6">
              <w:rPr>
                <w:sz w:val="16"/>
                <w:szCs w:val="16"/>
              </w:rPr>
              <w:t>2,560</w:t>
            </w:r>
          </w:p>
        </w:tc>
        <w:tc>
          <w:tcPr>
            <w:tcW w:w="1397" w:type="dxa"/>
            <w:tcBorders>
              <w:top w:val="nil"/>
              <w:left w:val="nil"/>
              <w:bottom w:val="nil"/>
              <w:right w:val="nil"/>
            </w:tcBorders>
            <w:shd w:val="clear" w:color="auto" w:fill="auto"/>
            <w:noWrap/>
            <w:vAlign w:val="bottom"/>
            <w:hideMark/>
          </w:tcPr>
          <w:p w14:paraId="60333B05" w14:textId="5C878623" w:rsidR="00895A1D" w:rsidRPr="006B42D6" w:rsidRDefault="00895A1D" w:rsidP="00895A1D">
            <w:pPr>
              <w:jc w:val="right"/>
              <w:rPr>
                <w:sz w:val="16"/>
                <w:szCs w:val="16"/>
              </w:rPr>
            </w:pPr>
            <w:r w:rsidRPr="006B42D6">
              <w:rPr>
                <w:sz w:val="16"/>
                <w:szCs w:val="16"/>
              </w:rPr>
              <w:t>310</w:t>
            </w:r>
          </w:p>
        </w:tc>
        <w:tc>
          <w:tcPr>
            <w:tcW w:w="1294" w:type="dxa"/>
            <w:tcBorders>
              <w:top w:val="nil"/>
              <w:left w:val="nil"/>
              <w:bottom w:val="nil"/>
              <w:right w:val="nil"/>
            </w:tcBorders>
            <w:shd w:val="clear" w:color="auto" w:fill="auto"/>
            <w:noWrap/>
            <w:vAlign w:val="bottom"/>
            <w:hideMark/>
          </w:tcPr>
          <w:p w14:paraId="286C176B" w14:textId="4DD4B02E" w:rsidR="00895A1D" w:rsidRPr="006B42D6" w:rsidRDefault="00895A1D" w:rsidP="00895A1D">
            <w:pPr>
              <w:jc w:val="right"/>
              <w:rPr>
                <w:sz w:val="16"/>
                <w:szCs w:val="16"/>
              </w:rPr>
            </w:pPr>
            <w:r w:rsidRPr="006B42D6">
              <w:rPr>
                <w:sz w:val="16"/>
                <w:szCs w:val="16"/>
              </w:rPr>
              <w:t>338</w:t>
            </w:r>
          </w:p>
        </w:tc>
        <w:tc>
          <w:tcPr>
            <w:tcW w:w="949" w:type="dxa"/>
            <w:tcBorders>
              <w:top w:val="nil"/>
              <w:left w:val="nil"/>
              <w:bottom w:val="nil"/>
              <w:right w:val="nil"/>
            </w:tcBorders>
            <w:shd w:val="clear" w:color="auto" w:fill="auto"/>
            <w:noWrap/>
            <w:vAlign w:val="bottom"/>
            <w:hideMark/>
          </w:tcPr>
          <w:p w14:paraId="55CB2D3A" w14:textId="53BD6E62" w:rsidR="00895A1D" w:rsidRPr="006B42D6" w:rsidRDefault="00895A1D" w:rsidP="00895A1D">
            <w:pPr>
              <w:jc w:val="right"/>
              <w:rPr>
                <w:sz w:val="16"/>
                <w:szCs w:val="16"/>
              </w:rPr>
            </w:pPr>
            <w:r w:rsidRPr="006B42D6">
              <w:rPr>
                <w:sz w:val="16"/>
                <w:szCs w:val="16"/>
              </w:rPr>
              <w:t>126</w:t>
            </w:r>
          </w:p>
        </w:tc>
        <w:tc>
          <w:tcPr>
            <w:tcW w:w="952" w:type="dxa"/>
            <w:tcBorders>
              <w:top w:val="nil"/>
              <w:left w:val="nil"/>
              <w:bottom w:val="nil"/>
              <w:right w:val="nil"/>
            </w:tcBorders>
            <w:shd w:val="clear" w:color="auto" w:fill="auto"/>
            <w:noWrap/>
            <w:vAlign w:val="bottom"/>
            <w:hideMark/>
          </w:tcPr>
          <w:p w14:paraId="6E92DD3D" w14:textId="3637E5CB" w:rsidR="00895A1D" w:rsidRPr="006B42D6" w:rsidRDefault="00895A1D" w:rsidP="00895A1D">
            <w:pPr>
              <w:jc w:val="right"/>
              <w:rPr>
                <w:sz w:val="16"/>
                <w:szCs w:val="16"/>
              </w:rPr>
            </w:pPr>
            <w:r w:rsidRPr="006B42D6">
              <w:rPr>
                <w:sz w:val="16"/>
                <w:szCs w:val="16"/>
              </w:rPr>
              <w:t>3,648</w:t>
            </w:r>
          </w:p>
        </w:tc>
      </w:tr>
      <w:tr w:rsidR="006B42D6" w:rsidRPr="006B42D6" w14:paraId="7E13E4A7" w14:textId="77777777" w:rsidTr="00843062">
        <w:trPr>
          <w:trHeight w:val="312"/>
        </w:trPr>
        <w:tc>
          <w:tcPr>
            <w:tcW w:w="1708" w:type="dxa"/>
            <w:tcBorders>
              <w:top w:val="single" w:sz="4" w:space="0" w:color="auto"/>
              <w:left w:val="nil"/>
              <w:bottom w:val="single" w:sz="4" w:space="0" w:color="auto"/>
            </w:tcBorders>
            <w:shd w:val="clear" w:color="auto" w:fill="E2EFD9" w:themeFill="accent6" w:themeFillTint="33"/>
            <w:noWrap/>
            <w:vAlign w:val="bottom"/>
            <w:hideMark/>
          </w:tcPr>
          <w:p w14:paraId="5AC8B39F" w14:textId="5A6306B3" w:rsidR="00895A1D" w:rsidRPr="006B42D6" w:rsidRDefault="00895A1D" w:rsidP="00970387">
            <w:pPr>
              <w:jc w:val="left"/>
              <w:rPr>
                <w:b/>
                <w:bCs/>
                <w:sz w:val="16"/>
                <w:szCs w:val="16"/>
              </w:rPr>
            </w:pPr>
            <w:r w:rsidRPr="006B42D6">
              <w:rPr>
                <w:b/>
                <w:bCs/>
                <w:sz w:val="16"/>
                <w:szCs w:val="16"/>
              </w:rPr>
              <w:t>Tanzania Zanzibar</w:t>
            </w:r>
          </w:p>
        </w:tc>
        <w:tc>
          <w:tcPr>
            <w:tcW w:w="1052" w:type="dxa"/>
            <w:tcBorders>
              <w:top w:val="single" w:sz="4" w:space="0" w:color="auto"/>
              <w:bottom w:val="single" w:sz="4" w:space="0" w:color="auto"/>
              <w:right w:val="nil"/>
            </w:tcBorders>
            <w:shd w:val="clear" w:color="auto" w:fill="E2EFD9" w:themeFill="accent6" w:themeFillTint="33"/>
            <w:noWrap/>
            <w:vAlign w:val="bottom"/>
            <w:hideMark/>
          </w:tcPr>
          <w:p w14:paraId="609FB4F9" w14:textId="155DFD91" w:rsidR="00895A1D" w:rsidRPr="006B42D6" w:rsidRDefault="00895A1D" w:rsidP="00895A1D">
            <w:pPr>
              <w:jc w:val="right"/>
              <w:rPr>
                <w:b/>
                <w:bCs/>
                <w:sz w:val="16"/>
                <w:szCs w:val="16"/>
              </w:rPr>
            </w:pPr>
            <w:r w:rsidRPr="006B42D6">
              <w:rPr>
                <w:b/>
                <w:bCs/>
                <w:sz w:val="16"/>
                <w:szCs w:val="16"/>
              </w:rPr>
              <w:t>1,446</w:t>
            </w:r>
          </w:p>
        </w:tc>
        <w:tc>
          <w:tcPr>
            <w:tcW w:w="1018" w:type="dxa"/>
            <w:tcBorders>
              <w:top w:val="single" w:sz="4" w:space="0" w:color="auto"/>
              <w:left w:val="nil"/>
              <w:bottom w:val="single" w:sz="4" w:space="0" w:color="auto"/>
              <w:right w:val="nil"/>
            </w:tcBorders>
            <w:shd w:val="clear" w:color="auto" w:fill="E2EFD9" w:themeFill="accent6" w:themeFillTint="33"/>
            <w:noWrap/>
            <w:vAlign w:val="bottom"/>
            <w:hideMark/>
          </w:tcPr>
          <w:p w14:paraId="69EEA8F8" w14:textId="0112BE1E" w:rsidR="00895A1D" w:rsidRPr="006B42D6" w:rsidRDefault="00895A1D" w:rsidP="00895A1D">
            <w:pPr>
              <w:jc w:val="right"/>
              <w:rPr>
                <w:b/>
                <w:bCs/>
                <w:sz w:val="16"/>
                <w:szCs w:val="16"/>
              </w:rPr>
            </w:pPr>
            <w:r w:rsidRPr="006B42D6">
              <w:rPr>
                <w:b/>
                <w:bCs/>
                <w:sz w:val="16"/>
                <w:szCs w:val="16"/>
              </w:rPr>
              <w:t>293</w:t>
            </w:r>
          </w:p>
        </w:tc>
        <w:tc>
          <w:tcPr>
            <w:tcW w:w="1052" w:type="dxa"/>
            <w:tcBorders>
              <w:top w:val="single" w:sz="4" w:space="0" w:color="auto"/>
              <w:left w:val="nil"/>
              <w:bottom w:val="single" w:sz="4" w:space="0" w:color="auto"/>
              <w:right w:val="nil"/>
            </w:tcBorders>
            <w:shd w:val="clear" w:color="auto" w:fill="E2EFD9" w:themeFill="accent6" w:themeFillTint="33"/>
            <w:noWrap/>
            <w:vAlign w:val="bottom"/>
            <w:hideMark/>
          </w:tcPr>
          <w:p w14:paraId="03D51D3F" w14:textId="7013B1E7" w:rsidR="00895A1D" w:rsidRPr="006B42D6" w:rsidRDefault="00895A1D" w:rsidP="00895A1D">
            <w:pPr>
              <w:jc w:val="right"/>
              <w:rPr>
                <w:b/>
                <w:bCs/>
                <w:sz w:val="16"/>
                <w:szCs w:val="16"/>
              </w:rPr>
            </w:pPr>
            <w:r w:rsidRPr="006B42D6">
              <w:rPr>
                <w:b/>
                <w:bCs/>
                <w:sz w:val="16"/>
                <w:szCs w:val="16"/>
              </w:rPr>
              <w:t>6,030</w:t>
            </w:r>
          </w:p>
        </w:tc>
        <w:tc>
          <w:tcPr>
            <w:tcW w:w="1397" w:type="dxa"/>
            <w:tcBorders>
              <w:top w:val="single" w:sz="4" w:space="0" w:color="auto"/>
              <w:left w:val="nil"/>
              <w:bottom w:val="single" w:sz="4" w:space="0" w:color="auto"/>
              <w:right w:val="nil"/>
            </w:tcBorders>
            <w:shd w:val="clear" w:color="auto" w:fill="E2EFD9" w:themeFill="accent6" w:themeFillTint="33"/>
            <w:noWrap/>
            <w:vAlign w:val="bottom"/>
            <w:hideMark/>
          </w:tcPr>
          <w:p w14:paraId="21CFA3A0" w14:textId="25DDAB76" w:rsidR="00895A1D" w:rsidRPr="006B42D6" w:rsidRDefault="00895A1D" w:rsidP="00895A1D">
            <w:pPr>
              <w:jc w:val="right"/>
              <w:rPr>
                <w:b/>
                <w:bCs/>
                <w:sz w:val="16"/>
                <w:szCs w:val="16"/>
              </w:rPr>
            </w:pPr>
            <w:r w:rsidRPr="006B42D6">
              <w:rPr>
                <w:b/>
                <w:bCs/>
                <w:sz w:val="16"/>
                <w:szCs w:val="16"/>
              </w:rPr>
              <w:t>765</w:t>
            </w:r>
          </w:p>
        </w:tc>
        <w:tc>
          <w:tcPr>
            <w:tcW w:w="1294" w:type="dxa"/>
            <w:tcBorders>
              <w:top w:val="single" w:sz="4" w:space="0" w:color="auto"/>
              <w:left w:val="nil"/>
              <w:bottom w:val="single" w:sz="4" w:space="0" w:color="auto"/>
              <w:right w:val="nil"/>
            </w:tcBorders>
            <w:shd w:val="clear" w:color="auto" w:fill="E2EFD9" w:themeFill="accent6" w:themeFillTint="33"/>
            <w:noWrap/>
            <w:vAlign w:val="bottom"/>
            <w:hideMark/>
          </w:tcPr>
          <w:p w14:paraId="35C4EB45" w14:textId="70A06BA1" w:rsidR="00895A1D" w:rsidRPr="006B42D6" w:rsidRDefault="00895A1D" w:rsidP="00895A1D">
            <w:pPr>
              <w:jc w:val="right"/>
              <w:rPr>
                <w:b/>
                <w:bCs/>
                <w:sz w:val="16"/>
                <w:szCs w:val="16"/>
              </w:rPr>
            </w:pPr>
            <w:r w:rsidRPr="006B42D6">
              <w:rPr>
                <w:b/>
                <w:bCs/>
                <w:sz w:val="16"/>
                <w:szCs w:val="16"/>
              </w:rPr>
              <w:t>1,057</w:t>
            </w:r>
          </w:p>
        </w:tc>
        <w:tc>
          <w:tcPr>
            <w:tcW w:w="949" w:type="dxa"/>
            <w:tcBorders>
              <w:top w:val="single" w:sz="4" w:space="0" w:color="auto"/>
              <w:left w:val="nil"/>
              <w:bottom w:val="single" w:sz="4" w:space="0" w:color="auto"/>
              <w:right w:val="nil"/>
            </w:tcBorders>
            <w:shd w:val="clear" w:color="auto" w:fill="E2EFD9" w:themeFill="accent6" w:themeFillTint="33"/>
            <w:noWrap/>
            <w:vAlign w:val="bottom"/>
            <w:hideMark/>
          </w:tcPr>
          <w:p w14:paraId="5E828E1B" w14:textId="27B99021" w:rsidR="00895A1D" w:rsidRPr="006B42D6" w:rsidRDefault="00895A1D" w:rsidP="00895A1D">
            <w:pPr>
              <w:jc w:val="right"/>
              <w:rPr>
                <w:b/>
                <w:bCs/>
                <w:sz w:val="16"/>
                <w:szCs w:val="16"/>
              </w:rPr>
            </w:pPr>
            <w:r w:rsidRPr="006B42D6">
              <w:rPr>
                <w:b/>
                <w:bCs/>
                <w:sz w:val="16"/>
                <w:szCs w:val="16"/>
              </w:rPr>
              <w:t>472</w:t>
            </w:r>
          </w:p>
        </w:tc>
        <w:tc>
          <w:tcPr>
            <w:tcW w:w="952" w:type="dxa"/>
            <w:tcBorders>
              <w:top w:val="single" w:sz="4" w:space="0" w:color="auto"/>
              <w:left w:val="nil"/>
              <w:bottom w:val="single" w:sz="4" w:space="0" w:color="auto"/>
              <w:right w:val="nil"/>
            </w:tcBorders>
            <w:shd w:val="clear" w:color="auto" w:fill="E2EFD9" w:themeFill="accent6" w:themeFillTint="33"/>
            <w:noWrap/>
            <w:vAlign w:val="bottom"/>
            <w:hideMark/>
          </w:tcPr>
          <w:p w14:paraId="51928C0E" w14:textId="2FD3BEB9" w:rsidR="00895A1D" w:rsidRPr="006B42D6" w:rsidRDefault="00895A1D" w:rsidP="00895A1D">
            <w:pPr>
              <w:jc w:val="right"/>
              <w:rPr>
                <w:b/>
                <w:bCs/>
                <w:sz w:val="16"/>
                <w:szCs w:val="16"/>
              </w:rPr>
            </w:pPr>
            <w:r w:rsidRPr="006B42D6">
              <w:rPr>
                <w:b/>
                <w:bCs/>
                <w:sz w:val="16"/>
                <w:szCs w:val="16"/>
              </w:rPr>
              <w:t>15,589</w:t>
            </w:r>
          </w:p>
        </w:tc>
      </w:tr>
      <w:tr w:rsidR="00895A1D" w:rsidRPr="006B42D6" w14:paraId="68DA2228" w14:textId="77777777" w:rsidTr="00843062">
        <w:trPr>
          <w:trHeight w:val="312"/>
        </w:trPr>
        <w:tc>
          <w:tcPr>
            <w:tcW w:w="1708" w:type="dxa"/>
            <w:tcBorders>
              <w:top w:val="nil"/>
              <w:left w:val="nil"/>
              <w:bottom w:val="single" w:sz="4" w:space="0" w:color="auto"/>
            </w:tcBorders>
            <w:shd w:val="clear" w:color="auto" w:fill="E2EFD9" w:themeFill="accent6" w:themeFillTint="33"/>
            <w:noWrap/>
            <w:vAlign w:val="bottom"/>
            <w:hideMark/>
          </w:tcPr>
          <w:p w14:paraId="5C37C643" w14:textId="6D74D878" w:rsidR="00895A1D" w:rsidRPr="006B42D6" w:rsidRDefault="00895A1D" w:rsidP="00970387">
            <w:pPr>
              <w:jc w:val="left"/>
              <w:rPr>
                <w:b/>
                <w:bCs/>
                <w:sz w:val="16"/>
                <w:szCs w:val="16"/>
              </w:rPr>
            </w:pPr>
            <w:r w:rsidRPr="006B42D6">
              <w:rPr>
                <w:b/>
                <w:bCs/>
                <w:sz w:val="16"/>
                <w:szCs w:val="16"/>
              </w:rPr>
              <w:t>Tanzania</w:t>
            </w:r>
          </w:p>
        </w:tc>
        <w:tc>
          <w:tcPr>
            <w:tcW w:w="1052" w:type="dxa"/>
            <w:tcBorders>
              <w:top w:val="nil"/>
              <w:bottom w:val="single" w:sz="4" w:space="0" w:color="auto"/>
              <w:right w:val="nil"/>
            </w:tcBorders>
            <w:shd w:val="clear" w:color="auto" w:fill="E2EFD9" w:themeFill="accent6" w:themeFillTint="33"/>
            <w:noWrap/>
            <w:vAlign w:val="bottom"/>
            <w:hideMark/>
          </w:tcPr>
          <w:p w14:paraId="62BDF23F" w14:textId="1D783D53" w:rsidR="00895A1D" w:rsidRPr="006B42D6" w:rsidRDefault="00895A1D" w:rsidP="00895A1D">
            <w:pPr>
              <w:jc w:val="right"/>
              <w:rPr>
                <w:b/>
                <w:bCs/>
                <w:sz w:val="16"/>
                <w:szCs w:val="16"/>
              </w:rPr>
            </w:pPr>
            <w:r w:rsidRPr="006B42D6">
              <w:rPr>
                <w:b/>
                <w:bCs/>
                <w:sz w:val="16"/>
                <w:szCs w:val="16"/>
              </w:rPr>
              <w:t>19,500</w:t>
            </w:r>
          </w:p>
        </w:tc>
        <w:tc>
          <w:tcPr>
            <w:tcW w:w="1018" w:type="dxa"/>
            <w:tcBorders>
              <w:top w:val="nil"/>
              <w:left w:val="nil"/>
              <w:bottom w:val="single" w:sz="4" w:space="0" w:color="auto"/>
              <w:right w:val="nil"/>
            </w:tcBorders>
            <w:shd w:val="clear" w:color="auto" w:fill="E2EFD9" w:themeFill="accent6" w:themeFillTint="33"/>
            <w:noWrap/>
            <w:vAlign w:val="bottom"/>
            <w:hideMark/>
          </w:tcPr>
          <w:p w14:paraId="2C034908" w14:textId="1A932688" w:rsidR="00895A1D" w:rsidRPr="006B42D6" w:rsidRDefault="00895A1D" w:rsidP="00895A1D">
            <w:pPr>
              <w:jc w:val="right"/>
              <w:rPr>
                <w:b/>
                <w:bCs/>
                <w:sz w:val="16"/>
                <w:szCs w:val="16"/>
              </w:rPr>
            </w:pPr>
            <w:r w:rsidRPr="006B42D6">
              <w:rPr>
                <w:b/>
                <w:bCs/>
                <w:sz w:val="16"/>
                <w:szCs w:val="16"/>
              </w:rPr>
              <w:t>10,603</w:t>
            </w:r>
          </w:p>
        </w:tc>
        <w:tc>
          <w:tcPr>
            <w:tcW w:w="1052" w:type="dxa"/>
            <w:tcBorders>
              <w:top w:val="nil"/>
              <w:left w:val="nil"/>
              <w:bottom w:val="single" w:sz="4" w:space="0" w:color="auto"/>
              <w:right w:val="nil"/>
            </w:tcBorders>
            <w:shd w:val="clear" w:color="auto" w:fill="E2EFD9" w:themeFill="accent6" w:themeFillTint="33"/>
            <w:noWrap/>
            <w:vAlign w:val="bottom"/>
            <w:hideMark/>
          </w:tcPr>
          <w:p w14:paraId="15159233" w14:textId="3D7EFEB5" w:rsidR="00895A1D" w:rsidRPr="006B42D6" w:rsidRDefault="00895A1D" w:rsidP="00895A1D">
            <w:pPr>
              <w:jc w:val="right"/>
              <w:rPr>
                <w:b/>
                <w:bCs/>
                <w:sz w:val="16"/>
                <w:szCs w:val="16"/>
              </w:rPr>
            </w:pPr>
            <w:r w:rsidRPr="006B42D6">
              <w:rPr>
                <w:b/>
                <w:bCs/>
                <w:sz w:val="16"/>
                <w:szCs w:val="16"/>
              </w:rPr>
              <w:t>34,439</w:t>
            </w:r>
          </w:p>
        </w:tc>
        <w:tc>
          <w:tcPr>
            <w:tcW w:w="1397" w:type="dxa"/>
            <w:tcBorders>
              <w:top w:val="nil"/>
              <w:left w:val="nil"/>
              <w:bottom w:val="single" w:sz="4" w:space="0" w:color="auto"/>
              <w:right w:val="nil"/>
            </w:tcBorders>
            <w:shd w:val="clear" w:color="auto" w:fill="E2EFD9" w:themeFill="accent6" w:themeFillTint="33"/>
            <w:noWrap/>
            <w:vAlign w:val="bottom"/>
            <w:hideMark/>
          </w:tcPr>
          <w:p w14:paraId="77965D48" w14:textId="75198D88" w:rsidR="00895A1D" w:rsidRPr="006B42D6" w:rsidRDefault="00895A1D" w:rsidP="00895A1D">
            <w:pPr>
              <w:jc w:val="right"/>
              <w:rPr>
                <w:b/>
                <w:bCs/>
                <w:sz w:val="16"/>
                <w:szCs w:val="16"/>
              </w:rPr>
            </w:pPr>
            <w:r w:rsidRPr="006B42D6">
              <w:rPr>
                <w:b/>
                <w:bCs/>
                <w:sz w:val="16"/>
                <w:szCs w:val="16"/>
              </w:rPr>
              <w:t>13,431</w:t>
            </w:r>
          </w:p>
        </w:tc>
        <w:tc>
          <w:tcPr>
            <w:tcW w:w="1294" w:type="dxa"/>
            <w:tcBorders>
              <w:top w:val="nil"/>
              <w:left w:val="nil"/>
              <w:bottom w:val="single" w:sz="4" w:space="0" w:color="auto"/>
              <w:right w:val="nil"/>
            </w:tcBorders>
            <w:shd w:val="clear" w:color="auto" w:fill="E2EFD9" w:themeFill="accent6" w:themeFillTint="33"/>
            <w:noWrap/>
            <w:vAlign w:val="bottom"/>
            <w:hideMark/>
          </w:tcPr>
          <w:p w14:paraId="5E857A2E" w14:textId="6C320013" w:rsidR="00895A1D" w:rsidRPr="006B42D6" w:rsidRDefault="00895A1D" w:rsidP="00895A1D">
            <w:pPr>
              <w:jc w:val="right"/>
              <w:rPr>
                <w:b/>
                <w:bCs/>
                <w:sz w:val="16"/>
                <w:szCs w:val="16"/>
              </w:rPr>
            </w:pPr>
            <w:r w:rsidRPr="006B42D6">
              <w:rPr>
                <w:b/>
                <w:bCs/>
                <w:sz w:val="16"/>
                <w:szCs w:val="16"/>
              </w:rPr>
              <w:t>24,034</w:t>
            </w:r>
          </w:p>
        </w:tc>
        <w:tc>
          <w:tcPr>
            <w:tcW w:w="949" w:type="dxa"/>
            <w:tcBorders>
              <w:top w:val="nil"/>
              <w:left w:val="nil"/>
              <w:bottom w:val="single" w:sz="4" w:space="0" w:color="auto"/>
              <w:right w:val="nil"/>
            </w:tcBorders>
            <w:shd w:val="clear" w:color="auto" w:fill="E2EFD9" w:themeFill="accent6" w:themeFillTint="33"/>
            <w:noWrap/>
            <w:vAlign w:val="bottom"/>
            <w:hideMark/>
          </w:tcPr>
          <w:p w14:paraId="41AD2D9F" w14:textId="241A5749" w:rsidR="00895A1D" w:rsidRPr="006B42D6" w:rsidRDefault="00895A1D" w:rsidP="00895A1D">
            <w:pPr>
              <w:jc w:val="right"/>
              <w:rPr>
                <w:b/>
                <w:bCs/>
                <w:sz w:val="16"/>
                <w:szCs w:val="16"/>
              </w:rPr>
            </w:pPr>
            <w:r w:rsidRPr="006B42D6">
              <w:rPr>
                <w:b/>
                <w:bCs/>
                <w:sz w:val="16"/>
                <w:szCs w:val="16"/>
              </w:rPr>
              <w:t>11,223</w:t>
            </w:r>
          </w:p>
        </w:tc>
        <w:tc>
          <w:tcPr>
            <w:tcW w:w="952" w:type="dxa"/>
            <w:tcBorders>
              <w:top w:val="nil"/>
              <w:left w:val="nil"/>
              <w:bottom w:val="single" w:sz="4" w:space="0" w:color="auto"/>
              <w:right w:val="nil"/>
            </w:tcBorders>
            <w:shd w:val="clear" w:color="auto" w:fill="E2EFD9" w:themeFill="accent6" w:themeFillTint="33"/>
            <w:noWrap/>
            <w:vAlign w:val="bottom"/>
            <w:hideMark/>
          </w:tcPr>
          <w:p w14:paraId="2BBC10B8" w14:textId="2CCA016F" w:rsidR="00895A1D" w:rsidRPr="006B42D6" w:rsidRDefault="00895A1D" w:rsidP="00895A1D">
            <w:pPr>
              <w:jc w:val="right"/>
              <w:rPr>
                <w:b/>
                <w:bCs/>
                <w:sz w:val="16"/>
                <w:szCs w:val="16"/>
              </w:rPr>
            </w:pPr>
            <w:r w:rsidRPr="006B42D6">
              <w:rPr>
                <w:b/>
                <w:bCs/>
                <w:sz w:val="16"/>
                <w:szCs w:val="16"/>
              </w:rPr>
              <w:t>111,299</w:t>
            </w:r>
          </w:p>
        </w:tc>
      </w:tr>
    </w:tbl>
    <w:p w14:paraId="6688DD08" w14:textId="217BEBD3" w:rsidR="000A6832" w:rsidRDefault="000A6832" w:rsidP="000A6832"/>
    <w:p w14:paraId="2A12BE2B" w14:textId="77777777" w:rsidR="000A6832" w:rsidRDefault="000A6832">
      <w:pPr>
        <w:spacing w:line="240" w:lineRule="auto"/>
        <w:contextualSpacing w:val="0"/>
        <w:jc w:val="left"/>
      </w:pPr>
      <w:r>
        <w:br w:type="page"/>
      </w:r>
    </w:p>
    <w:p w14:paraId="6ACBBFF4" w14:textId="447244E2" w:rsidR="00E16412" w:rsidRPr="006B42D6" w:rsidRDefault="00D2623E" w:rsidP="005C2EFC">
      <w:pPr>
        <w:pStyle w:val="Heading3"/>
      </w:pPr>
      <w:bookmarkStart w:id="224" w:name="_Toc82385675"/>
      <w:r w:rsidRPr="006B42D6">
        <w:lastRenderedPageBreak/>
        <w:t>3.1.</w:t>
      </w:r>
      <w:r w:rsidR="00193728">
        <w:t>6</w:t>
      </w:r>
      <w:r w:rsidR="000807B0" w:rsidRPr="006B42D6">
        <w:tab/>
      </w:r>
      <w:r w:rsidRPr="006B42D6">
        <w:t>Cash Crops</w:t>
      </w:r>
      <w:bookmarkEnd w:id="224"/>
    </w:p>
    <w:p w14:paraId="2E396F59" w14:textId="4DE2A24F" w:rsidR="0082649A" w:rsidRPr="006B42D6" w:rsidRDefault="0082649A" w:rsidP="0082649A">
      <w:r w:rsidRPr="006B42D6">
        <w:t xml:space="preserve">This section presents the results of major annual and permanent cash crops. Annual cash crops were cotton and tobacco while </w:t>
      </w:r>
      <w:r w:rsidRPr="00BE0494">
        <w:t>permanent were coffee, cashewnuts, coconuts, sisal, tea, clove and sugarcane. Moreover, cash crops results presented hereunder are number of agricultural households, planted area, harvested area, quantity harvested, yield and holding size.</w:t>
      </w:r>
      <w:r w:rsidRPr="006B42D6">
        <w:t xml:space="preserve"> </w:t>
      </w:r>
    </w:p>
    <w:p w14:paraId="66E2DE0C" w14:textId="77777777" w:rsidR="00E16412" w:rsidRPr="006B42D6" w:rsidRDefault="00E16412" w:rsidP="00843062">
      <w:pPr>
        <w:spacing w:line="240" w:lineRule="auto"/>
      </w:pPr>
    </w:p>
    <w:p w14:paraId="286D5AE3" w14:textId="3F9535DA" w:rsidR="00E16412" w:rsidRPr="006B42D6" w:rsidRDefault="00E16412" w:rsidP="005C2EFC">
      <w:pPr>
        <w:pStyle w:val="Heading4"/>
      </w:pPr>
      <w:bookmarkStart w:id="225" w:name="_Toc82385676"/>
      <w:r w:rsidRPr="006B42D6">
        <w:t>3.1.</w:t>
      </w:r>
      <w:r w:rsidR="00193728">
        <w:t>6</w:t>
      </w:r>
      <w:r w:rsidRPr="006B42D6">
        <w:t>.1</w:t>
      </w:r>
      <w:r w:rsidR="000807B0" w:rsidRPr="006B42D6">
        <w:tab/>
      </w:r>
      <w:r w:rsidRPr="006B42D6">
        <w:t>Cotton</w:t>
      </w:r>
      <w:bookmarkEnd w:id="225"/>
      <w:r w:rsidRPr="006B42D6">
        <w:t xml:space="preserve"> </w:t>
      </w:r>
    </w:p>
    <w:p w14:paraId="4500AAE8" w14:textId="7111F7B7" w:rsidR="0082649A" w:rsidRPr="006B42D6" w:rsidRDefault="00DD78AA" w:rsidP="0082649A">
      <w:pPr>
        <w:spacing w:after="240"/>
      </w:pPr>
      <w:r w:rsidRPr="006B42D6">
        <w:rPr>
          <w:noProof/>
        </w:rPr>
        <mc:AlternateContent>
          <mc:Choice Requires="wps">
            <w:drawing>
              <wp:anchor distT="0" distB="0" distL="114300" distR="114300" simplePos="0" relativeHeight="251549696" behindDoc="1" locked="0" layoutInCell="1" allowOverlap="1" wp14:anchorId="29D5C8EB" wp14:editId="466A2929">
                <wp:simplePos x="0" y="0"/>
                <wp:positionH relativeFrom="column">
                  <wp:posOffset>2674620</wp:posOffset>
                </wp:positionH>
                <wp:positionV relativeFrom="paragraph">
                  <wp:posOffset>107950</wp:posOffset>
                </wp:positionV>
                <wp:extent cx="3284855" cy="476885"/>
                <wp:effectExtent l="0" t="0" r="4445" b="5715"/>
                <wp:wrapTight wrapText="bothSides">
                  <wp:wrapPolygon edited="0">
                    <wp:start x="0" y="0"/>
                    <wp:lineTo x="0" y="21284"/>
                    <wp:lineTo x="21546" y="21284"/>
                    <wp:lineTo x="21546" y="0"/>
                    <wp:lineTo x="0" y="0"/>
                  </wp:wrapPolygon>
                </wp:wrapTight>
                <wp:docPr id="347"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84855" cy="476885"/>
                        </a:xfrm>
                        <a:prstGeom prst="rect">
                          <a:avLst/>
                        </a:prstGeom>
                        <a:solidFill>
                          <a:prstClr val="white"/>
                        </a:solidFill>
                        <a:ln>
                          <a:noFill/>
                        </a:ln>
                        <a:effectLst/>
                      </wps:spPr>
                      <wps:txbx>
                        <w:txbxContent>
                          <w:p w14:paraId="5BFBC793" w14:textId="537300C0" w:rsidR="00933456" w:rsidRPr="00A9608F" w:rsidRDefault="00933456" w:rsidP="00E16412">
                            <w:pPr>
                              <w:pStyle w:val="Caption"/>
                              <w:rPr>
                                <w:noProof/>
                                <w:szCs w:val="20"/>
                              </w:rPr>
                            </w:pPr>
                            <w:bookmarkStart w:id="226" w:name="_Toc80120221"/>
                            <w:bookmarkStart w:id="227" w:name="_Toc80884096"/>
                            <w:bookmarkStart w:id="228" w:name="_Toc80884467"/>
                            <w:bookmarkStart w:id="229" w:name="_Toc82386320"/>
                            <w:r w:rsidRPr="00707EF5">
                              <w:t>Figure 3.43:</w:t>
                            </w:r>
                            <w:r>
                              <w:tab/>
                            </w:r>
                            <w:r w:rsidRPr="00707EF5">
                              <w:t xml:space="preserve">Productivity of Cotton by Major Producing Region During 2019/20 Agricultural Year, </w:t>
                            </w:r>
                            <w:r>
                              <w:t>Mainland Tanzania</w:t>
                            </w:r>
                            <w:bookmarkEnd w:id="226"/>
                            <w:bookmarkEnd w:id="227"/>
                            <w:bookmarkEnd w:id="228"/>
                            <w:bookmarkEnd w:id="22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D5C8EB" id="Text Box 11" o:spid="_x0000_s1046" type="#_x0000_t202" style="position:absolute;left:0;text-align:left;margin-left:210.6pt;margin-top:8.5pt;width:258.65pt;height:37.5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" stroked="f">
                <v:textbox inset="0,0,0,0">
                  <w:txbxContent>
                    <w:p w14:paraId="5BFBC793" w14:textId="537300C0" w:rsidR="00933456" w:rsidRPr="00A9608F" w:rsidRDefault="00933456" w:rsidP="00E16412">
                      <w:pPr>
                        <w:pStyle w:val="Caption"/>
                        <w:rPr>
                          <w:noProof/>
                          <w:szCs w:val="20"/>
                        </w:rPr>
                      </w:pPr>
                      <w:bookmarkStart w:id="290" w:name="_Toc80120221"/>
                      <w:bookmarkStart w:id="291" w:name="_Toc80884096"/>
                      <w:bookmarkStart w:id="292" w:name="_Toc80884467"/>
                      <w:bookmarkStart w:id="293" w:name="_Toc82386320"/>
                      <w:r w:rsidRPr="00707EF5">
                        <w:t>Figure 3.43:</w:t>
                      </w:r>
                      <w:r>
                        <w:tab/>
                      </w:r>
                      <w:r w:rsidRPr="00707EF5">
                        <w:t xml:space="preserve">Productivity of Cotton by Major Producing Region During 2019/20 Agricultural Year, </w:t>
                      </w:r>
                      <w:r>
                        <w:t>Mainland Tanzania</w:t>
                      </w:r>
                      <w:bookmarkEnd w:id="290"/>
                      <w:bookmarkEnd w:id="291"/>
                      <w:bookmarkEnd w:id="292"/>
                      <w:bookmarkEnd w:id="293"/>
                    </w:p>
                  </w:txbxContent>
                </v:textbox>
                <w10:wrap type="tight"/>
              </v:shape>
            </w:pict>
          </mc:Fallback>
        </mc:AlternateContent>
      </w:r>
      <w:r w:rsidRPr="006B42D6">
        <w:rPr>
          <w:noProof/>
        </w:rPr>
        <w:drawing>
          <wp:anchor distT="6096" distB="3048" distL="120396" distR="121412" simplePos="0" relativeHeight="251665408" behindDoc="1" locked="0" layoutInCell="1" allowOverlap="1" wp14:anchorId="36EFF43F" wp14:editId="71B9EC0C">
            <wp:simplePos x="0" y="0"/>
            <wp:positionH relativeFrom="column">
              <wp:posOffset>2677380</wp:posOffset>
            </wp:positionH>
            <wp:positionV relativeFrom="paragraph">
              <wp:posOffset>661670</wp:posOffset>
            </wp:positionV>
            <wp:extent cx="3327400" cy="2361565"/>
            <wp:effectExtent l="0" t="0" r="12700" b="13335"/>
            <wp:wrapTight wrapText="bothSides">
              <wp:wrapPolygon edited="0">
                <wp:start x="0" y="0"/>
                <wp:lineTo x="0" y="21606"/>
                <wp:lineTo x="21600" y="21606"/>
                <wp:lineTo x="21600" y="0"/>
                <wp:lineTo x="0" y="0"/>
              </wp:wrapPolygon>
            </wp:wrapTight>
            <wp:docPr id="216" name="Chart 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5"/>
              </a:graphicData>
            </a:graphic>
            <wp14:sizeRelH relativeFrom="page">
              <wp14:pctWidth>0</wp14:pctWidth>
            </wp14:sizeRelH>
            <wp14:sizeRelV relativeFrom="page">
              <wp14:pctHeight>0</wp14:pctHeight>
            </wp14:sizeRelV>
          </wp:anchor>
        </w:drawing>
      </w:r>
      <w:r w:rsidR="0082649A" w:rsidRPr="006B42D6">
        <w:t xml:space="preserve">Cotton is amongst the most popular and major cash crops in Tanzania and it was grown in </w:t>
      </w:r>
      <w:r w:rsidR="00EA1552">
        <w:t>Mainland Tanzania</w:t>
      </w:r>
      <w:r w:rsidR="0082649A" w:rsidRPr="006B42D6">
        <w:t xml:space="preserve"> only. A total of 120,918 households were engaged in growing cotton in Tanzania during short rainy season and 152,190 households during long rainy season. The total area planted with cotton was 314,601 ha out of which, 313,370 ha was from smallholder farmers and 1,231 ha from large scale farms. Furthermore, 119,310 ha were planted during the short rainy season (37.9 percent) and 195,291 ha in the long rainy season (62.1 percent). From smallholder farmers, Simiyu region had the largest planted area with cotton (152,979 ha; 48.8 percent), followed by Shinyanga (43,601 ha; 13.9 percent) and Geita (32,185 ha; 10.3 percent). Kigoma region had the least planted area (1,711 ha; 0.5 percent).</w:t>
      </w:r>
    </w:p>
    <w:p w14:paraId="1546FD5C" w14:textId="77777777" w:rsidR="00970387" w:rsidRDefault="00970387" w:rsidP="00514271">
      <w:pPr>
        <w:spacing w:line="240" w:lineRule="auto"/>
      </w:pPr>
    </w:p>
    <w:p w14:paraId="3C4DF857" w14:textId="42D8B8EF" w:rsidR="00E16412" w:rsidRDefault="00E16412" w:rsidP="005C2EFC">
      <w:r w:rsidRPr="006B42D6">
        <w:t>A total of 246,</w:t>
      </w:r>
      <w:r w:rsidR="00750A64" w:rsidRPr="006B42D6">
        <w:t>534</w:t>
      </w:r>
      <w:r w:rsidRPr="006B42D6">
        <w:t xml:space="preserve"> ha (78.</w:t>
      </w:r>
      <w:r w:rsidR="00750A64" w:rsidRPr="006B42D6">
        <w:t>7</w:t>
      </w:r>
      <w:r w:rsidRPr="006B42D6">
        <w:t xml:space="preserve"> percent of the total planted area with cotton) was harvested. Simiyu Region with 126,518 ha (51.3 percent) had the largest area of cotton harvested, followed by Shinyanga (31,</w:t>
      </w:r>
      <w:r w:rsidR="00750A64" w:rsidRPr="006B42D6">
        <w:t>856</w:t>
      </w:r>
      <w:r w:rsidRPr="006B42D6">
        <w:t xml:space="preserve"> ha; 12.9 percent) and Tabora (26,391 ha; 10.7 percent)</w:t>
      </w:r>
      <w:r w:rsidR="00750A64" w:rsidRPr="006B42D6">
        <w:t xml:space="preserve">, while the least harvested area (1,473 ha; 0.6 percent) was in Kigoma region. </w:t>
      </w:r>
    </w:p>
    <w:p w14:paraId="0F3B7F5F" w14:textId="77777777" w:rsidR="00970387" w:rsidRPr="006B42D6" w:rsidRDefault="00970387" w:rsidP="00514271">
      <w:pPr>
        <w:spacing w:line="240" w:lineRule="auto"/>
      </w:pPr>
    </w:p>
    <w:p w14:paraId="7398F00A" w14:textId="74D2D5A5" w:rsidR="00750A64" w:rsidRPr="006B42D6" w:rsidRDefault="00E16412" w:rsidP="005C2EFC">
      <w:r w:rsidRPr="006B42D6">
        <w:t xml:space="preserve">The total production for cotton was </w:t>
      </w:r>
      <w:r w:rsidR="00750A64" w:rsidRPr="006B42D6">
        <w:t>331</w:t>
      </w:r>
      <w:r w:rsidRPr="006B42D6">
        <w:t>,</w:t>
      </w:r>
      <w:r w:rsidR="00750A64" w:rsidRPr="006B42D6">
        <w:t>524</w:t>
      </w:r>
      <w:r w:rsidRPr="006B42D6">
        <w:t xml:space="preserve"> tons (</w:t>
      </w:r>
      <w:r w:rsidR="00750A64" w:rsidRPr="006B42D6">
        <w:t>330</w:t>
      </w:r>
      <w:r w:rsidRPr="006B42D6">
        <w:t>,</w:t>
      </w:r>
      <w:r w:rsidR="00750A64" w:rsidRPr="006B42D6">
        <w:t>845</w:t>
      </w:r>
      <w:r w:rsidRPr="006B42D6">
        <w:t xml:space="preserve"> tons from smallholder farmers and 679 tons from large scale farms). Simiyu region had the highest production (</w:t>
      </w:r>
      <w:r w:rsidR="00750A64" w:rsidRPr="006B42D6">
        <w:t>163</w:t>
      </w:r>
      <w:r w:rsidRPr="006B42D6">
        <w:t>,</w:t>
      </w:r>
      <w:r w:rsidR="00750A64" w:rsidRPr="006B42D6">
        <w:t>729</w:t>
      </w:r>
      <w:r w:rsidRPr="006B42D6">
        <w:t xml:space="preserve"> tons; 49.5 percent) of cotton, followed by Shinyanga (</w:t>
      </w:r>
      <w:r w:rsidR="00750A64" w:rsidRPr="006B42D6">
        <w:t>43</w:t>
      </w:r>
      <w:r w:rsidRPr="006B42D6">
        <w:t>,</w:t>
      </w:r>
      <w:r w:rsidR="00750A64" w:rsidRPr="006B42D6">
        <w:t>914</w:t>
      </w:r>
      <w:r w:rsidRPr="006B42D6">
        <w:t xml:space="preserve"> tons; 13.</w:t>
      </w:r>
      <w:r w:rsidR="00750A64" w:rsidRPr="006B42D6">
        <w:t>3</w:t>
      </w:r>
      <w:r w:rsidRPr="006B42D6">
        <w:t xml:space="preserve"> percent) and Tabora </w:t>
      </w:r>
      <w:r w:rsidRPr="006B42D6">
        <w:lastRenderedPageBreak/>
        <w:t>(37,</w:t>
      </w:r>
      <w:r w:rsidR="00750A64" w:rsidRPr="006B42D6">
        <w:t>993</w:t>
      </w:r>
      <w:r w:rsidRPr="006B42D6">
        <w:t xml:space="preserve"> tons; 11.</w:t>
      </w:r>
      <w:r w:rsidR="00750A64" w:rsidRPr="006B42D6">
        <w:t>5</w:t>
      </w:r>
      <w:r w:rsidRPr="006B42D6">
        <w:t xml:space="preserve"> percent)</w:t>
      </w:r>
      <w:r w:rsidR="008138C0" w:rsidRPr="006B42D6">
        <w:t>. T</w:t>
      </w:r>
      <w:r w:rsidRPr="006B42D6">
        <w:t xml:space="preserve">he lowest production was recorded in </w:t>
      </w:r>
      <w:r w:rsidR="00750A64" w:rsidRPr="006B42D6">
        <w:t>Kigoma</w:t>
      </w:r>
      <w:r w:rsidRPr="006B42D6">
        <w:t xml:space="preserve"> (2,</w:t>
      </w:r>
      <w:r w:rsidR="00750A64" w:rsidRPr="006B42D6">
        <w:t>263</w:t>
      </w:r>
      <w:r w:rsidRPr="006B42D6">
        <w:t xml:space="preserve">; 0.7 </w:t>
      </w:r>
      <w:r w:rsidR="00843062">
        <w:t>p</w:t>
      </w:r>
      <w:r w:rsidRPr="006B42D6">
        <w:t xml:space="preserve">ercent). </w:t>
      </w:r>
    </w:p>
    <w:p w14:paraId="14FFA417" w14:textId="77777777" w:rsidR="00750A64" w:rsidRPr="006B42D6" w:rsidRDefault="00750A64" w:rsidP="00843062">
      <w:pPr>
        <w:spacing w:line="240" w:lineRule="auto"/>
      </w:pPr>
    </w:p>
    <w:p w14:paraId="59FA43B3" w14:textId="0A89746F" w:rsidR="0082649A" w:rsidRPr="006B42D6" w:rsidRDefault="00750A64" w:rsidP="005C2EFC">
      <w:r w:rsidRPr="006B42D6">
        <w:t>Moreover, results show that, the average productivity of cotton in Tanzania was 1.3 tons/ha. The highest productivity was in Kagera region (1.6 tons/ha), followed by Kigoma (1.5 tons/ha). On the other hand, the lowest productivity was in Singida and Katavi regions (1.1 tons/ha each)</w:t>
      </w:r>
      <w:r w:rsidR="00A9608F" w:rsidRPr="006B42D6">
        <w:t xml:space="preserve"> </w:t>
      </w:r>
      <w:r w:rsidR="00E16412" w:rsidRPr="006B42D6">
        <w:t>(Figure 3</w:t>
      </w:r>
      <w:r w:rsidR="00A9608F" w:rsidRPr="006B42D6">
        <w:t>.</w:t>
      </w:r>
      <w:r w:rsidR="00551206" w:rsidRPr="006B42D6">
        <w:t>4</w:t>
      </w:r>
      <w:r w:rsidR="00707EF5" w:rsidRPr="006B42D6">
        <w:t>3</w:t>
      </w:r>
      <w:r w:rsidR="00E16412" w:rsidRPr="006B42D6">
        <w:t>).</w:t>
      </w:r>
    </w:p>
    <w:p w14:paraId="259F7998" w14:textId="77777777" w:rsidR="00E16412" w:rsidRPr="006B42D6" w:rsidRDefault="00E16412" w:rsidP="009C0DC0">
      <w:pPr>
        <w:spacing w:line="240" w:lineRule="auto"/>
      </w:pPr>
    </w:p>
    <w:p w14:paraId="21EB8F85" w14:textId="5D800337" w:rsidR="00E16412" w:rsidRPr="006B42D6" w:rsidRDefault="00E16412" w:rsidP="005C2EFC">
      <w:pPr>
        <w:pStyle w:val="Heading4"/>
      </w:pPr>
      <w:bookmarkStart w:id="230" w:name="_Toc82385677"/>
      <w:r w:rsidRPr="006B42D6">
        <w:t>3.1.</w:t>
      </w:r>
      <w:r w:rsidR="00193728">
        <w:t>6</w:t>
      </w:r>
      <w:r w:rsidRPr="006B42D6">
        <w:t>.2</w:t>
      </w:r>
      <w:r w:rsidR="000807B0" w:rsidRPr="006B42D6">
        <w:tab/>
      </w:r>
      <w:r w:rsidRPr="006B42D6">
        <w:t>Tobacco</w:t>
      </w:r>
      <w:bookmarkEnd w:id="230"/>
    </w:p>
    <w:p w14:paraId="64EDA8DF" w14:textId="575B16F2" w:rsidR="00E16412" w:rsidRPr="006B42D6" w:rsidRDefault="00E16412" w:rsidP="005C2EFC">
      <w:r w:rsidRPr="006B42D6">
        <w:t xml:space="preserve">Tobacco was </w:t>
      </w:r>
      <w:r w:rsidRPr="00970387">
        <w:t xml:space="preserve">planted only in 17 regions of </w:t>
      </w:r>
      <w:r w:rsidR="001170F9" w:rsidRPr="00970387">
        <w:t>Mainland</w:t>
      </w:r>
      <w:r w:rsidRPr="00970387">
        <w:t xml:space="preserve"> in both </w:t>
      </w:r>
      <w:r w:rsidR="00707EF5" w:rsidRPr="00970387">
        <w:t xml:space="preserve">short and long </w:t>
      </w:r>
      <w:r w:rsidRPr="00970387">
        <w:t xml:space="preserve">rainy seasons. The total area planted with tobacco was </w:t>
      </w:r>
      <w:r w:rsidR="00AF5C10" w:rsidRPr="00970387">
        <w:t>54</w:t>
      </w:r>
      <w:r w:rsidRPr="00970387">
        <w:t>,</w:t>
      </w:r>
      <w:r w:rsidR="00AF5C10" w:rsidRPr="00970387">
        <w:t>685</w:t>
      </w:r>
      <w:r w:rsidRPr="00970387">
        <w:t xml:space="preserve"> ha</w:t>
      </w:r>
      <w:r w:rsidR="00AF5C10" w:rsidRPr="00970387">
        <w:t xml:space="preserve"> (54,524 ha were from smallholder farmers and 161 ha from large scale farms).</w:t>
      </w:r>
      <w:r w:rsidRPr="00970387">
        <w:t xml:space="preserve"> </w:t>
      </w:r>
      <w:r w:rsidR="00AF5C10" w:rsidRPr="00970387">
        <w:t>Out of the total planted area by smallholder farmers,</w:t>
      </w:r>
      <w:r w:rsidRPr="00970387">
        <w:t xml:space="preserve"> </w:t>
      </w:r>
      <w:r w:rsidR="00AF5C10" w:rsidRPr="00970387">
        <w:t>5,958</w:t>
      </w:r>
      <w:r w:rsidRPr="00970387">
        <w:t xml:space="preserve"> ha were planted during the short rainy season and 48,</w:t>
      </w:r>
      <w:r w:rsidR="00AF5C10" w:rsidRPr="00970387">
        <w:t>566</w:t>
      </w:r>
      <w:r w:rsidRPr="00970387">
        <w:t xml:space="preserve"> ha in the long rainy season. From smallholder farmers, Tabora </w:t>
      </w:r>
      <w:r w:rsidR="00AF5C10" w:rsidRPr="00970387">
        <w:t>r</w:t>
      </w:r>
      <w:r w:rsidRPr="00970387">
        <w:t>egion (24,371 ha; 4</w:t>
      </w:r>
      <w:r w:rsidR="00AF5C10" w:rsidRPr="00970387">
        <w:t>4</w:t>
      </w:r>
      <w:r w:rsidRPr="00970387">
        <w:t>.</w:t>
      </w:r>
      <w:r w:rsidR="00AF5C10" w:rsidRPr="00970387">
        <w:t>7</w:t>
      </w:r>
      <w:r w:rsidRPr="00970387">
        <w:t xml:space="preserve"> percent) had the largest area planted with tobacco, followed by Mbeya (12,828 ha; 2</w:t>
      </w:r>
      <w:r w:rsidR="00B4493E" w:rsidRPr="00970387">
        <w:t>3</w:t>
      </w:r>
      <w:r w:rsidRPr="00970387">
        <w:t>.</w:t>
      </w:r>
      <w:r w:rsidR="00B4493E" w:rsidRPr="00970387">
        <w:t>5</w:t>
      </w:r>
      <w:r w:rsidRPr="00970387">
        <w:t xml:space="preserve"> percent) and Shinyanga (4,527 ha; 8.</w:t>
      </w:r>
      <w:r w:rsidR="00B4493E" w:rsidRPr="00970387">
        <w:t>3</w:t>
      </w:r>
      <w:r w:rsidRPr="00970387">
        <w:t xml:space="preserve"> percent)</w:t>
      </w:r>
      <w:r w:rsidR="00B4493E" w:rsidRPr="00970387">
        <w:t>, while Rukwa region had the least planted area (5 ha; 0.01 percent).</w:t>
      </w:r>
    </w:p>
    <w:p w14:paraId="3D49CAE3" w14:textId="42CDB810" w:rsidR="00B4493E" w:rsidRPr="006B42D6" w:rsidRDefault="00D75EDC" w:rsidP="005C2EFC">
      <w:r w:rsidRPr="006B42D6">
        <w:rPr>
          <w:noProof/>
        </w:rPr>
        <mc:AlternateContent>
          <mc:Choice Requires="wps">
            <w:drawing>
              <wp:anchor distT="0" distB="0" distL="114300" distR="114300" simplePos="0" relativeHeight="251550720" behindDoc="1" locked="0" layoutInCell="1" allowOverlap="1" wp14:anchorId="7BF78D0C" wp14:editId="04A1869E">
                <wp:simplePos x="0" y="0"/>
                <wp:positionH relativeFrom="column">
                  <wp:posOffset>2205990</wp:posOffset>
                </wp:positionH>
                <wp:positionV relativeFrom="paragraph">
                  <wp:posOffset>179705</wp:posOffset>
                </wp:positionV>
                <wp:extent cx="3681095" cy="471170"/>
                <wp:effectExtent l="0" t="0" r="1905" b="0"/>
                <wp:wrapTight wrapText="bothSides">
                  <wp:wrapPolygon edited="0">
                    <wp:start x="0" y="0"/>
                    <wp:lineTo x="0" y="20960"/>
                    <wp:lineTo x="21537" y="20960"/>
                    <wp:lineTo x="21537" y="0"/>
                    <wp:lineTo x="0" y="0"/>
                  </wp:wrapPolygon>
                </wp:wrapTight>
                <wp:docPr id="3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81095" cy="471170"/>
                        </a:xfrm>
                        <a:prstGeom prst="rect">
                          <a:avLst/>
                        </a:prstGeom>
                        <a:solidFill>
                          <a:prstClr val="white"/>
                        </a:solidFill>
                        <a:ln>
                          <a:noFill/>
                        </a:ln>
                        <a:effectLst/>
                      </wps:spPr>
                      <wps:txbx>
                        <w:txbxContent>
                          <w:p w14:paraId="370460BB" w14:textId="08CAC8F9" w:rsidR="00933456" w:rsidRPr="00A9608F" w:rsidRDefault="00933456" w:rsidP="00E16412">
                            <w:pPr>
                              <w:pStyle w:val="Caption"/>
                              <w:rPr>
                                <w:b w:val="0"/>
                                <w:i/>
                                <w:noProof/>
                                <w:szCs w:val="20"/>
                              </w:rPr>
                            </w:pPr>
                            <w:bookmarkStart w:id="231" w:name="_Toc80120222"/>
                            <w:bookmarkStart w:id="232" w:name="_Toc80884097"/>
                            <w:bookmarkStart w:id="233" w:name="_Toc80884468"/>
                            <w:bookmarkStart w:id="234" w:name="_Toc82386321"/>
                            <w:r w:rsidRPr="00707EF5">
                              <w:t>Figure 3.44:</w:t>
                            </w:r>
                            <w:r>
                              <w:tab/>
                            </w:r>
                            <w:r w:rsidRPr="00707EF5">
                              <w:t>Productivity of Tobacco by Major Producing Regions</w:t>
                            </w:r>
                            <w:r>
                              <w:t xml:space="preserve"> During</w:t>
                            </w:r>
                            <w:r w:rsidRPr="00707EF5">
                              <w:t xml:space="preserve"> 2019/20 Agricultural Year, </w:t>
                            </w:r>
                            <w:r>
                              <w:t>Mainland Tanzania</w:t>
                            </w:r>
                            <w:bookmarkEnd w:id="231"/>
                            <w:bookmarkEnd w:id="232"/>
                            <w:bookmarkEnd w:id="233"/>
                            <w:bookmarkEnd w:id="23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F78D0C" id="Text Box 2" o:spid="_x0000_s1047" type="#_x0000_t202" style="position:absolute;left:0;text-align:left;margin-left:173.7pt;margin-top:14.15pt;width:289.85pt;height:37.1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" stroked="f">
                <v:textbox inset="0,0,0,0">
                  <w:txbxContent>
                    <w:p w14:paraId="370460BB" w14:textId="08CAC8F9" w:rsidR="00933456" w:rsidRPr="00A9608F" w:rsidRDefault="00933456" w:rsidP="00E16412">
                      <w:pPr>
                        <w:pStyle w:val="Caption"/>
                        <w:rPr>
                          <w:b w:val="0"/>
                          <w:i/>
                          <w:noProof/>
                          <w:szCs w:val="20"/>
                        </w:rPr>
                      </w:pPr>
                      <w:bookmarkStart w:id="299" w:name="_Toc80120222"/>
                      <w:bookmarkStart w:id="300" w:name="_Toc80884097"/>
                      <w:bookmarkStart w:id="301" w:name="_Toc80884468"/>
                      <w:bookmarkStart w:id="302" w:name="_Toc82386321"/>
                      <w:r w:rsidRPr="00707EF5">
                        <w:t>Figure 3.44:</w:t>
                      </w:r>
                      <w:r>
                        <w:tab/>
                      </w:r>
                      <w:r w:rsidRPr="00707EF5">
                        <w:t>Productivity of Tobacco by Major Producing Regions</w:t>
                      </w:r>
                      <w:r>
                        <w:t xml:space="preserve"> During</w:t>
                      </w:r>
                      <w:r w:rsidRPr="00707EF5">
                        <w:t xml:space="preserve"> 2019/20 Agricultural Year, </w:t>
                      </w:r>
                      <w:r>
                        <w:t>Mainland Tanzania</w:t>
                      </w:r>
                      <w:bookmarkEnd w:id="299"/>
                      <w:bookmarkEnd w:id="300"/>
                      <w:bookmarkEnd w:id="301"/>
                      <w:bookmarkEnd w:id="302"/>
                    </w:p>
                  </w:txbxContent>
                </v:textbox>
                <w10:wrap type="tight"/>
              </v:shape>
            </w:pict>
          </mc:Fallback>
        </mc:AlternateContent>
      </w:r>
    </w:p>
    <w:p w14:paraId="0C745EC3" w14:textId="0D1D9444" w:rsidR="00E16412" w:rsidRPr="006B42D6" w:rsidRDefault="00B107E4" w:rsidP="005C2EFC">
      <w:r w:rsidRPr="006B42D6">
        <w:rPr>
          <w:noProof/>
        </w:rPr>
        <w:drawing>
          <wp:anchor distT="12192" distB="8128" distL="126492" distR="123571" simplePos="0" relativeHeight="251666432" behindDoc="1" locked="0" layoutInCell="1" allowOverlap="1" wp14:anchorId="2428FD99" wp14:editId="43B6116C">
            <wp:simplePos x="0" y="0"/>
            <wp:positionH relativeFrom="column">
              <wp:posOffset>2206625</wp:posOffset>
            </wp:positionH>
            <wp:positionV relativeFrom="paragraph">
              <wp:posOffset>434340</wp:posOffset>
            </wp:positionV>
            <wp:extent cx="3639820" cy="2726690"/>
            <wp:effectExtent l="0" t="0" r="17780" b="16510"/>
            <wp:wrapTight wrapText="bothSides">
              <wp:wrapPolygon edited="0">
                <wp:start x="0" y="0"/>
                <wp:lineTo x="0" y="21630"/>
                <wp:lineTo x="21630" y="21630"/>
                <wp:lineTo x="21630" y="0"/>
                <wp:lineTo x="0" y="0"/>
              </wp:wrapPolygon>
            </wp:wrapTight>
            <wp:docPr id="214" name="Chart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6"/>
              </a:graphicData>
            </a:graphic>
            <wp14:sizeRelH relativeFrom="page">
              <wp14:pctWidth>0</wp14:pctWidth>
            </wp14:sizeRelH>
            <wp14:sizeRelV relativeFrom="margin">
              <wp14:pctHeight>0</wp14:pctHeight>
            </wp14:sizeRelV>
          </wp:anchor>
        </w:drawing>
      </w:r>
      <w:r w:rsidR="00E16412" w:rsidRPr="006B42D6">
        <w:t xml:space="preserve">A total of </w:t>
      </w:r>
      <w:r w:rsidR="00B4493E" w:rsidRPr="006B42D6">
        <w:t>52</w:t>
      </w:r>
      <w:r w:rsidR="00E16412" w:rsidRPr="006B42D6">
        <w:t>,</w:t>
      </w:r>
      <w:r w:rsidR="00B4493E" w:rsidRPr="006B42D6">
        <w:t>794</w:t>
      </w:r>
      <w:r w:rsidR="00E16412" w:rsidRPr="006B42D6">
        <w:t xml:space="preserve"> ha which accounted for 96.</w:t>
      </w:r>
      <w:r w:rsidR="00B4493E" w:rsidRPr="006B42D6">
        <w:t>8</w:t>
      </w:r>
      <w:r w:rsidR="00E16412" w:rsidRPr="006B42D6">
        <w:t xml:space="preserve"> percent of the total planted area with tobacco was harvested. Tabora region with 23,697 ha (4</w:t>
      </w:r>
      <w:r w:rsidR="00B4493E" w:rsidRPr="006B42D6">
        <w:t>4</w:t>
      </w:r>
      <w:r w:rsidR="00E16412" w:rsidRPr="006B42D6">
        <w:t>.</w:t>
      </w:r>
      <w:r w:rsidR="00B4493E" w:rsidRPr="006B42D6">
        <w:t>9</w:t>
      </w:r>
      <w:r w:rsidR="00E16412" w:rsidRPr="006B42D6">
        <w:t xml:space="preserve"> percent) had the largest area of tobacco harvested, followed by Mbeya (12,8</w:t>
      </w:r>
      <w:r w:rsidR="00B4493E" w:rsidRPr="006B42D6">
        <w:t>2</w:t>
      </w:r>
      <w:r w:rsidR="00E16412" w:rsidRPr="006B42D6">
        <w:t>8 ha; 2</w:t>
      </w:r>
      <w:r w:rsidR="00B4493E" w:rsidRPr="006B42D6">
        <w:t>4</w:t>
      </w:r>
      <w:r w:rsidR="00E16412" w:rsidRPr="006B42D6">
        <w:t>.</w:t>
      </w:r>
      <w:r w:rsidR="00B4493E" w:rsidRPr="006B42D6">
        <w:t>3</w:t>
      </w:r>
      <w:r w:rsidR="00E16412" w:rsidRPr="006B42D6">
        <w:t xml:space="preserve"> percent) and Shinyanga (4,486 ha; </w:t>
      </w:r>
      <w:r w:rsidR="00B4493E" w:rsidRPr="006B42D6">
        <w:t>8</w:t>
      </w:r>
      <w:r w:rsidR="00E16412" w:rsidRPr="006B42D6">
        <w:t>.</w:t>
      </w:r>
      <w:r w:rsidR="00B4493E" w:rsidRPr="006B42D6">
        <w:t>5</w:t>
      </w:r>
      <w:r w:rsidR="00E16412" w:rsidRPr="006B42D6">
        <w:t xml:space="preserve"> percent)</w:t>
      </w:r>
      <w:r w:rsidR="00B4493E" w:rsidRPr="006B42D6">
        <w:t>, whereas Rukwa region had the least harvested area (5 ha; 0.01 percent).</w:t>
      </w:r>
      <w:r w:rsidR="00E16412" w:rsidRPr="006B42D6">
        <w:t xml:space="preserve"> </w:t>
      </w:r>
    </w:p>
    <w:p w14:paraId="430B51AE" w14:textId="77777777" w:rsidR="00B4493E" w:rsidRPr="006B42D6" w:rsidRDefault="00B4493E" w:rsidP="009C0DC0">
      <w:pPr>
        <w:spacing w:line="240" w:lineRule="auto"/>
      </w:pPr>
    </w:p>
    <w:p w14:paraId="3266C08F" w14:textId="2D9BF59A" w:rsidR="00B4493E" w:rsidRPr="006B42D6" w:rsidRDefault="00E16412" w:rsidP="005C2EFC">
      <w:r w:rsidRPr="006B42D6">
        <w:t xml:space="preserve">The total production for tobacco was </w:t>
      </w:r>
      <w:r w:rsidR="00B4493E" w:rsidRPr="006B42D6">
        <w:t>58</w:t>
      </w:r>
      <w:r w:rsidRPr="006B42D6">
        <w:t>,</w:t>
      </w:r>
      <w:r w:rsidR="00B4493E" w:rsidRPr="006B42D6">
        <w:t>257</w:t>
      </w:r>
      <w:r w:rsidRPr="006B42D6">
        <w:t xml:space="preserve"> tons (</w:t>
      </w:r>
      <w:r w:rsidR="00B4493E" w:rsidRPr="006B42D6">
        <w:t>58</w:t>
      </w:r>
      <w:r w:rsidRPr="006B42D6">
        <w:t>,</w:t>
      </w:r>
      <w:r w:rsidR="00B4493E" w:rsidRPr="006B42D6">
        <w:t>104</w:t>
      </w:r>
      <w:r w:rsidRPr="006B42D6">
        <w:t xml:space="preserve"> tons from smallho</w:t>
      </w:r>
      <w:r w:rsidR="00707EF5" w:rsidRPr="006B42D6">
        <w:t>l</w:t>
      </w:r>
      <w:r w:rsidRPr="006B42D6">
        <w:t xml:space="preserve">der farmers and </w:t>
      </w:r>
      <w:r w:rsidR="00B4493E" w:rsidRPr="006B42D6">
        <w:t>153</w:t>
      </w:r>
      <w:r w:rsidRPr="006B42D6">
        <w:t xml:space="preserve"> tons from large scale farms). </w:t>
      </w:r>
      <w:r w:rsidR="00B4493E" w:rsidRPr="006B42D6">
        <w:t xml:space="preserve">From the total production by smallholder farmers, </w:t>
      </w:r>
      <w:r w:rsidRPr="006B42D6">
        <w:t>Tabora Region had the highest production (22,</w:t>
      </w:r>
      <w:r w:rsidR="00B4493E" w:rsidRPr="006B42D6">
        <w:t>403</w:t>
      </w:r>
      <w:r w:rsidRPr="006B42D6">
        <w:t xml:space="preserve"> tons; </w:t>
      </w:r>
      <w:r w:rsidR="00B4493E" w:rsidRPr="006B42D6">
        <w:t>38</w:t>
      </w:r>
      <w:r w:rsidRPr="006B42D6">
        <w:t>.</w:t>
      </w:r>
      <w:r w:rsidR="00B4493E" w:rsidRPr="006B42D6">
        <w:t>6</w:t>
      </w:r>
      <w:r w:rsidRPr="006B42D6">
        <w:t xml:space="preserve"> percent) of tobacco, followed by </w:t>
      </w:r>
      <w:r w:rsidRPr="006B42D6">
        <w:lastRenderedPageBreak/>
        <w:t>Mbeya (</w:t>
      </w:r>
      <w:r w:rsidR="00B4493E" w:rsidRPr="006B42D6">
        <w:t>16</w:t>
      </w:r>
      <w:r w:rsidRPr="006B42D6">
        <w:t>,</w:t>
      </w:r>
      <w:r w:rsidR="00B4493E" w:rsidRPr="006B42D6">
        <w:t>635</w:t>
      </w:r>
      <w:r w:rsidRPr="006B42D6">
        <w:t xml:space="preserve"> tons; </w:t>
      </w:r>
      <w:r w:rsidR="00B4493E" w:rsidRPr="006B42D6">
        <w:t>28</w:t>
      </w:r>
      <w:r w:rsidRPr="006B42D6">
        <w:t>.</w:t>
      </w:r>
      <w:r w:rsidR="00B4493E" w:rsidRPr="006B42D6">
        <w:t>6</w:t>
      </w:r>
      <w:r w:rsidRPr="006B42D6">
        <w:t xml:space="preserve"> percent) and Shinyanga (5,60</w:t>
      </w:r>
      <w:r w:rsidR="00B4493E" w:rsidRPr="006B42D6">
        <w:t>3</w:t>
      </w:r>
      <w:r w:rsidRPr="006B42D6">
        <w:t xml:space="preserve"> tons; </w:t>
      </w:r>
      <w:r w:rsidR="00B4493E" w:rsidRPr="006B42D6">
        <w:t>9</w:t>
      </w:r>
      <w:r w:rsidRPr="006B42D6">
        <w:t>.</w:t>
      </w:r>
      <w:r w:rsidR="00B4493E" w:rsidRPr="006B42D6">
        <w:t>6</w:t>
      </w:r>
      <w:r w:rsidRPr="006B42D6">
        <w:t xml:space="preserve"> percent)</w:t>
      </w:r>
      <w:r w:rsidR="00B4493E" w:rsidRPr="006B42D6">
        <w:t>,</w:t>
      </w:r>
      <w:r w:rsidRPr="006B42D6">
        <w:t xml:space="preserve"> while the lowest production was recorded in Rukwa (</w:t>
      </w:r>
      <w:r w:rsidR="00B4493E" w:rsidRPr="006B42D6">
        <w:t>3</w:t>
      </w:r>
      <w:r w:rsidRPr="006B42D6">
        <w:t xml:space="preserve"> tons; 0.01 Percent).</w:t>
      </w:r>
    </w:p>
    <w:p w14:paraId="37E10CBC" w14:textId="77777777" w:rsidR="00B4493E" w:rsidRPr="006B42D6" w:rsidRDefault="00B4493E" w:rsidP="00843062">
      <w:pPr>
        <w:spacing w:line="240" w:lineRule="auto"/>
      </w:pPr>
    </w:p>
    <w:p w14:paraId="676419F5" w14:textId="7467D971" w:rsidR="00E16412" w:rsidRPr="006B42D6" w:rsidRDefault="00E16412" w:rsidP="005C2EFC">
      <w:r w:rsidRPr="006B42D6">
        <w:t xml:space="preserve">Further results reveal that, </w:t>
      </w:r>
      <w:r w:rsidR="00B4493E" w:rsidRPr="006B42D6">
        <w:t xml:space="preserve">the average yield of tobacco in Tanzania was 1.1 tons/ha. </w:t>
      </w:r>
      <w:r w:rsidRPr="006B42D6">
        <w:t xml:space="preserve">Simiyu region had the largest yield (1.7 tons/ha), followed by </w:t>
      </w:r>
      <w:r w:rsidR="00B4493E" w:rsidRPr="006B42D6">
        <w:t>Mara and Kigoma</w:t>
      </w:r>
      <w:r w:rsidRPr="006B42D6">
        <w:t xml:space="preserve"> (1.5 tons/ha</w:t>
      </w:r>
      <w:r w:rsidR="00B4493E" w:rsidRPr="006B42D6">
        <w:t xml:space="preserve"> each</w:t>
      </w:r>
      <w:r w:rsidRPr="006B42D6">
        <w:t>)</w:t>
      </w:r>
      <w:r w:rsidR="00B4493E" w:rsidRPr="006B42D6">
        <w:t xml:space="preserve">, while the least yield was in Iringa region </w:t>
      </w:r>
      <w:r w:rsidRPr="006B42D6">
        <w:t>(</w:t>
      </w:r>
      <w:r w:rsidR="00B4493E" w:rsidRPr="006B42D6">
        <w:t>0</w:t>
      </w:r>
      <w:r w:rsidRPr="006B42D6">
        <w:t>.3 tons/ha) (Figure 3.</w:t>
      </w:r>
      <w:r w:rsidR="00707EF5" w:rsidRPr="006B42D6">
        <w:t>44</w:t>
      </w:r>
      <w:r w:rsidRPr="006B42D6">
        <w:t>).</w:t>
      </w:r>
    </w:p>
    <w:p w14:paraId="0644B1E9" w14:textId="77777777" w:rsidR="00E16412" w:rsidRPr="006B42D6" w:rsidRDefault="00E16412" w:rsidP="00843062">
      <w:pPr>
        <w:spacing w:line="240" w:lineRule="auto"/>
      </w:pPr>
    </w:p>
    <w:p w14:paraId="3E9BD3DD" w14:textId="3BA2C3D7" w:rsidR="00E16412" w:rsidRPr="006B42D6" w:rsidRDefault="00E16412" w:rsidP="005C2EFC">
      <w:pPr>
        <w:pStyle w:val="Heading4"/>
      </w:pPr>
      <w:bookmarkStart w:id="235" w:name="_Toc82385678"/>
      <w:r w:rsidRPr="006B42D6">
        <w:t>3.1.</w:t>
      </w:r>
      <w:r w:rsidR="00193728">
        <w:t>6</w:t>
      </w:r>
      <w:r w:rsidRPr="006B42D6">
        <w:t>.3</w:t>
      </w:r>
      <w:r w:rsidR="000807B0" w:rsidRPr="006B42D6">
        <w:tab/>
      </w:r>
      <w:r w:rsidRPr="006B42D6">
        <w:t>Coffee</w:t>
      </w:r>
      <w:bookmarkEnd w:id="235"/>
    </w:p>
    <w:p w14:paraId="7B1BA976" w14:textId="5EE289C7" w:rsidR="00E16412" w:rsidRPr="006B42D6" w:rsidRDefault="00E16412" w:rsidP="005C2EFC">
      <w:r w:rsidRPr="006B42D6">
        <w:t xml:space="preserve">Coffee is one of the major cash crops grown in Tanzania and was grown in 15 regions of </w:t>
      </w:r>
      <w:r w:rsidR="00EA1552">
        <w:t>Mainland Tanzania</w:t>
      </w:r>
      <w:r w:rsidRPr="006B42D6">
        <w:t>. There were 465,21</w:t>
      </w:r>
      <w:r w:rsidR="00B4493E" w:rsidRPr="006B42D6">
        <w:t>6</w:t>
      </w:r>
      <w:r w:rsidRPr="006B42D6">
        <w:t xml:space="preserve"> </w:t>
      </w:r>
      <w:r w:rsidR="00B4493E" w:rsidRPr="006B42D6">
        <w:t xml:space="preserve">smallholder </w:t>
      </w:r>
      <w:r w:rsidRPr="006B42D6">
        <w:t xml:space="preserve">households </w:t>
      </w:r>
      <w:r w:rsidR="00B4493E" w:rsidRPr="006B42D6">
        <w:t xml:space="preserve">and 42 large scale farms </w:t>
      </w:r>
      <w:r w:rsidRPr="006B42D6">
        <w:t>involved in production of coffee. The total area planted with coffee was 15</w:t>
      </w:r>
      <w:r w:rsidR="00383AA6" w:rsidRPr="006B42D6">
        <w:t>9</w:t>
      </w:r>
      <w:r w:rsidRPr="006B42D6">
        <w:t>,</w:t>
      </w:r>
      <w:r w:rsidR="00383AA6" w:rsidRPr="006B42D6">
        <w:t>280</w:t>
      </w:r>
      <w:r w:rsidRPr="006B42D6">
        <w:t xml:space="preserve"> ha (151,408 ha from smallholder farmers and </w:t>
      </w:r>
      <w:r w:rsidR="00383AA6" w:rsidRPr="006B42D6">
        <w:t>7,872</w:t>
      </w:r>
      <w:r w:rsidRPr="006B42D6">
        <w:t xml:space="preserve"> ha from large scale farms) whereby </w:t>
      </w:r>
      <w:r w:rsidR="00383AA6" w:rsidRPr="006B42D6">
        <w:t>125,289</w:t>
      </w:r>
      <w:r w:rsidRPr="006B42D6">
        <w:t xml:space="preserve"> ha </w:t>
      </w:r>
      <w:r w:rsidR="00383AA6" w:rsidRPr="006B42D6">
        <w:t xml:space="preserve">were harvested (117,535 ha from smallholder farmers and 7,754 ha from large scale farms). The </w:t>
      </w:r>
      <w:r w:rsidRPr="006B42D6">
        <w:t xml:space="preserve">total production of </w:t>
      </w:r>
      <w:r w:rsidR="00383AA6" w:rsidRPr="006B42D6">
        <w:t xml:space="preserve">coffee was </w:t>
      </w:r>
      <w:r w:rsidR="000921C7" w:rsidRPr="006B42D6">
        <w:t>116,568</w:t>
      </w:r>
      <w:r w:rsidRPr="006B42D6">
        <w:t xml:space="preserve"> tons</w:t>
      </w:r>
      <w:r w:rsidR="00383AA6" w:rsidRPr="006B42D6">
        <w:t>, of which 75,323</w:t>
      </w:r>
      <w:r w:rsidRPr="006B42D6">
        <w:t xml:space="preserve"> tons from smallholder farmers and </w:t>
      </w:r>
      <w:r w:rsidR="000921C7" w:rsidRPr="006B42D6">
        <w:t>41,245</w:t>
      </w:r>
      <w:r w:rsidRPr="006B42D6">
        <w:t xml:space="preserve"> tons from large scale farms. </w:t>
      </w:r>
    </w:p>
    <w:p w14:paraId="3AA9D87D" w14:textId="77777777" w:rsidR="00410398" w:rsidRPr="006B42D6" w:rsidRDefault="00410398" w:rsidP="009C0DC0">
      <w:pPr>
        <w:spacing w:line="240" w:lineRule="auto"/>
      </w:pPr>
    </w:p>
    <w:p w14:paraId="6F410E73" w14:textId="1F1DE3CF" w:rsidR="00E16412" w:rsidRPr="006B42D6" w:rsidRDefault="00E16412" w:rsidP="005C2EFC">
      <w:r w:rsidRPr="006B42D6">
        <w:t xml:space="preserve">The Census results further reveal that, </w:t>
      </w:r>
      <w:r w:rsidR="00410398" w:rsidRPr="006B42D6">
        <w:t>f</w:t>
      </w:r>
      <w:r w:rsidRPr="006B42D6">
        <w:t xml:space="preserve">rom smallholder farmers, Kagera </w:t>
      </w:r>
      <w:r w:rsidR="00707EF5" w:rsidRPr="006B42D6">
        <w:t xml:space="preserve">region </w:t>
      </w:r>
      <w:r w:rsidRPr="006B42D6">
        <w:t>had the largest area (78,307 ha; 51.7 percent) planted with coffee with production of 44,9</w:t>
      </w:r>
      <w:r w:rsidR="00410398" w:rsidRPr="006B42D6">
        <w:t>15</w:t>
      </w:r>
      <w:r w:rsidRPr="006B42D6">
        <w:t xml:space="preserve"> tons (</w:t>
      </w:r>
      <w:r w:rsidR="00410398" w:rsidRPr="006B42D6">
        <w:t>59.6</w:t>
      </w:r>
      <w:r w:rsidRPr="006B42D6">
        <w:t xml:space="preserve"> percent of the small</w:t>
      </w:r>
      <w:r w:rsidR="000921C7" w:rsidRPr="006B42D6">
        <w:t xml:space="preserve">holder farmers </w:t>
      </w:r>
      <w:r w:rsidRPr="006B42D6">
        <w:t xml:space="preserve">production) from 64,473 ha harvested, followed by Ruvuma with planted area of 35,893 ha (23.7 percent) and produced 11,355 tons (15.5 percent), and Songwe with planted 13,110 ha (8.7 percent) and production of </w:t>
      </w:r>
      <w:r w:rsidR="00383AA6" w:rsidRPr="006B42D6">
        <w:t>7,176</w:t>
      </w:r>
      <w:r w:rsidRPr="006B42D6">
        <w:t xml:space="preserve"> tons (9.5 percent)</w:t>
      </w:r>
      <w:r w:rsidR="000921C7" w:rsidRPr="006B42D6">
        <w:t xml:space="preserve"> </w:t>
      </w:r>
      <w:r w:rsidR="00A9608F" w:rsidRPr="006B42D6">
        <w:t>(Table 3.1</w:t>
      </w:r>
      <w:r w:rsidR="002B0643">
        <w:t>3</w:t>
      </w:r>
      <w:r w:rsidR="00A9608F" w:rsidRPr="006B42D6">
        <w:t>)</w:t>
      </w:r>
      <w:r w:rsidRPr="006B42D6">
        <w:t xml:space="preserve">.   </w:t>
      </w:r>
    </w:p>
    <w:p w14:paraId="2DD431E9" w14:textId="1ED876F1" w:rsidR="00843062" w:rsidRDefault="00843062">
      <w:pPr>
        <w:spacing w:line="240" w:lineRule="auto"/>
        <w:contextualSpacing w:val="0"/>
        <w:jc w:val="left"/>
      </w:pPr>
      <w:r>
        <w:br w:type="page"/>
      </w:r>
    </w:p>
    <w:p w14:paraId="408B9348" w14:textId="47EAD44F" w:rsidR="00E16412" w:rsidRPr="009C0DC0" w:rsidRDefault="00E16412" w:rsidP="009C0DC0">
      <w:pPr>
        <w:pStyle w:val="Heading7"/>
      </w:pPr>
      <w:bookmarkStart w:id="236" w:name="_Toc82386195"/>
      <w:r w:rsidRPr="009C0DC0">
        <w:lastRenderedPageBreak/>
        <w:t>Table 3.</w:t>
      </w:r>
      <w:r w:rsidR="00A9608F" w:rsidRPr="009C0DC0">
        <w:t>1</w:t>
      </w:r>
      <w:r w:rsidR="002B0643">
        <w:t>3</w:t>
      </w:r>
      <w:r w:rsidR="009C0DC0" w:rsidRPr="009C0DC0">
        <w:t>:</w:t>
      </w:r>
      <w:r w:rsidR="009C0DC0">
        <w:tab/>
      </w:r>
      <w:r w:rsidRPr="009C0DC0">
        <w:t>Number of Households, Area Planted, Area Harvested, Production and Yield of Coffee</w:t>
      </w:r>
      <w:r w:rsidR="000921C7" w:rsidRPr="009C0DC0">
        <w:t xml:space="preserve"> from Smallholder Farmers</w:t>
      </w:r>
      <w:r w:rsidRPr="009C0DC0">
        <w:t xml:space="preserve"> by Region, 2019/20 A</w:t>
      </w:r>
      <w:r w:rsidR="00383AA6" w:rsidRPr="009C0DC0">
        <w:t>gricultural Year</w:t>
      </w:r>
      <w:r w:rsidR="000921C7" w:rsidRPr="009C0DC0">
        <w:t>, Tanzania</w:t>
      </w:r>
      <w:bookmarkEnd w:id="236"/>
    </w:p>
    <w:tbl>
      <w:tblPr>
        <w:tblW w:w="5000" w:type="pct"/>
        <w:tblLook w:val="04A0" w:firstRow="1" w:lastRow="0" w:firstColumn="1" w:lastColumn="0" w:noHBand="0" w:noVBand="1"/>
      </w:tblPr>
      <w:tblGrid>
        <w:gridCol w:w="1827"/>
        <w:gridCol w:w="1956"/>
        <w:gridCol w:w="1572"/>
        <w:gridCol w:w="1727"/>
        <w:gridCol w:w="2154"/>
      </w:tblGrid>
      <w:tr w:rsidR="00B107E4" w:rsidRPr="00B107E4" w14:paraId="2BE7AA4B" w14:textId="77777777" w:rsidTr="00843062">
        <w:trPr>
          <w:trHeight w:val="312"/>
        </w:trPr>
        <w:tc>
          <w:tcPr>
            <w:tcW w:w="989" w:type="pct"/>
            <w:tcBorders>
              <w:top w:val="single" w:sz="4" w:space="0" w:color="auto"/>
              <w:left w:val="nil"/>
              <w:bottom w:val="single" w:sz="4" w:space="0" w:color="auto"/>
              <w:right w:val="nil"/>
            </w:tcBorders>
            <w:shd w:val="clear" w:color="auto" w:fill="E2EFD9" w:themeFill="accent6" w:themeFillTint="33"/>
            <w:vAlign w:val="center"/>
            <w:hideMark/>
          </w:tcPr>
          <w:p w14:paraId="5DC33767" w14:textId="77777777" w:rsidR="00B107E4" w:rsidRPr="00B107E4" w:rsidRDefault="00B107E4" w:rsidP="00707EF5">
            <w:pPr>
              <w:rPr>
                <w:sz w:val="16"/>
                <w:szCs w:val="16"/>
              </w:rPr>
            </w:pPr>
            <w:r w:rsidRPr="00B107E4">
              <w:rPr>
                <w:sz w:val="16"/>
                <w:szCs w:val="16"/>
              </w:rPr>
              <w:t>Region</w:t>
            </w:r>
          </w:p>
        </w:tc>
        <w:tc>
          <w:tcPr>
            <w:tcW w:w="1059" w:type="pct"/>
            <w:tcBorders>
              <w:top w:val="single" w:sz="4" w:space="0" w:color="auto"/>
              <w:left w:val="nil"/>
              <w:bottom w:val="single" w:sz="4" w:space="0" w:color="auto"/>
              <w:right w:val="nil"/>
            </w:tcBorders>
            <w:shd w:val="clear" w:color="auto" w:fill="E2EFD9" w:themeFill="accent6" w:themeFillTint="33"/>
            <w:vAlign w:val="center"/>
            <w:hideMark/>
          </w:tcPr>
          <w:p w14:paraId="253155A4" w14:textId="77777777" w:rsidR="00B107E4" w:rsidRPr="00B107E4" w:rsidRDefault="00B107E4" w:rsidP="00B107E4">
            <w:pPr>
              <w:jc w:val="left"/>
              <w:rPr>
                <w:sz w:val="16"/>
                <w:szCs w:val="16"/>
              </w:rPr>
            </w:pPr>
            <w:r w:rsidRPr="00B107E4">
              <w:rPr>
                <w:sz w:val="16"/>
                <w:szCs w:val="16"/>
              </w:rPr>
              <w:t>Number of households</w:t>
            </w:r>
          </w:p>
        </w:tc>
        <w:tc>
          <w:tcPr>
            <w:tcW w:w="851" w:type="pct"/>
            <w:tcBorders>
              <w:top w:val="single" w:sz="4" w:space="0" w:color="auto"/>
              <w:left w:val="nil"/>
              <w:bottom w:val="single" w:sz="4" w:space="0" w:color="auto"/>
              <w:right w:val="nil"/>
            </w:tcBorders>
            <w:shd w:val="clear" w:color="auto" w:fill="E2EFD9" w:themeFill="accent6" w:themeFillTint="33"/>
            <w:vAlign w:val="center"/>
            <w:hideMark/>
          </w:tcPr>
          <w:p w14:paraId="70AF4BA4" w14:textId="77777777" w:rsidR="00B107E4" w:rsidRPr="00B107E4" w:rsidRDefault="00B107E4" w:rsidP="00B107E4">
            <w:pPr>
              <w:jc w:val="left"/>
              <w:rPr>
                <w:sz w:val="16"/>
                <w:szCs w:val="16"/>
              </w:rPr>
            </w:pPr>
            <w:r w:rsidRPr="00B107E4">
              <w:rPr>
                <w:sz w:val="16"/>
                <w:szCs w:val="16"/>
              </w:rPr>
              <w:t>Area Planted (ha)</w:t>
            </w:r>
          </w:p>
        </w:tc>
        <w:tc>
          <w:tcPr>
            <w:tcW w:w="935" w:type="pct"/>
            <w:tcBorders>
              <w:top w:val="single" w:sz="4" w:space="0" w:color="auto"/>
              <w:left w:val="nil"/>
              <w:bottom w:val="single" w:sz="4" w:space="0" w:color="auto"/>
              <w:right w:val="nil"/>
            </w:tcBorders>
            <w:shd w:val="clear" w:color="auto" w:fill="E2EFD9" w:themeFill="accent6" w:themeFillTint="33"/>
            <w:vAlign w:val="center"/>
            <w:hideMark/>
          </w:tcPr>
          <w:p w14:paraId="0FF5D555" w14:textId="77777777" w:rsidR="00B107E4" w:rsidRPr="00B107E4" w:rsidRDefault="00B107E4" w:rsidP="00B107E4">
            <w:pPr>
              <w:jc w:val="left"/>
              <w:rPr>
                <w:sz w:val="16"/>
                <w:szCs w:val="16"/>
              </w:rPr>
            </w:pPr>
            <w:r w:rsidRPr="00B107E4">
              <w:rPr>
                <w:sz w:val="16"/>
                <w:szCs w:val="16"/>
              </w:rPr>
              <w:t>Area harvested (ha)</w:t>
            </w:r>
          </w:p>
        </w:tc>
        <w:tc>
          <w:tcPr>
            <w:tcW w:w="1166" w:type="pct"/>
            <w:tcBorders>
              <w:top w:val="single" w:sz="4" w:space="0" w:color="auto"/>
              <w:left w:val="nil"/>
              <w:bottom w:val="single" w:sz="4" w:space="0" w:color="auto"/>
              <w:right w:val="nil"/>
            </w:tcBorders>
            <w:shd w:val="clear" w:color="auto" w:fill="E2EFD9" w:themeFill="accent6" w:themeFillTint="33"/>
            <w:vAlign w:val="center"/>
            <w:hideMark/>
          </w:tcPr>
          <w:p w14:paraId="6505D001" w14:textId="77777777" w:rsidR="00B107E4" w:rsidRPr="00B107E4" w:rsidRDefault="00B107E4" w:rsidP="00B107E4">
            <w:pPr>
              <w:jc w:val="left"/>
              <w:rPr>
                <w:sz w:val="16"/>
                <w:szCs w:val="16"/>
              </w:rPr>
            </w:pPr>
            <w:r w:rsidRPr="00B107E4">
              <w:rPr>
                <w:sz w:val="16"/>
                <w:szCs w:val="16"/>
              </w:rPr>
              <w:t>Quantity harvested (tons)</w:t>
            </w:r>
          </w:p>
        </w:tc>
      </w:tr>
      <w:tr w:rsidR="00B107E4" w:rsidRPr="006B42D6" w14:paraId="3D990CEC" w14:textId="77777777" w:rsidTr="00843062">
        <w:trPr>
          <w:trHeight w:val="312"/>
        </w:trPr>
        <w:tc>
          <w:tcPr>
            <w:tcW w:w="989" w:type="pct"/>
            <w:tcBorders>
              <w:top w:val="nil"/>
              <w:left w:val="nil"/>
              <w:bottom w:val="nil"/>
              <w:right w:val="nil"/>
            </w:tcBorders>
            <w:shd w:val="clear" w:color="auto" w:fill="auto"/>
            <w:noWrap/>
            <w:vAlign w:val="bottom"/>
            <w:hideMark/>
          </w:tcPr>
          <w:p w14:paraId="717CC6BA" w14:textId="77777777" w:rsidR="00B107E4" w:rsidRPr="00717D76" w:rsidRDefault="00B107E4" w:rsidP="00634172">
            <w:pPr>
              <w:rPr>
                <w:sz w:val="16"/>
                <w:szCs w:val="16"/>
              </w:rPr>
            </w:pPr>
            <w:r w:rsidRPr="00717D76">
              <w:rPr>
                <w:sz w:val="16"/>
                <w:szCs w:val="16"/>
              </w:rPr>
              <w:t>Arusha</w:t>
            </w:r>
          </w:p>
        </w:tc>
        <w:tc>
          <w:tcPr>
            <w:tcW w:w="1059" w:type="pct"/>
            <w:tcBorders>
              <w:top w:val="nil"/>
              <w:left w:val="nil"/>
              <w:bottom w:val="nil"/>
              <w:right w:val="nil"/>
            </w:tcBorders>
            <w:shd w:val="clear" w:color="auto" w:fill="auto"/>
            <w:noWrap/>
            <w:vAlign w:val="bottom"/>
            <w:hideMark/>
          </w:tcPr>
          <w:p w14:paraId="5AE0B259" w14:textId="7C1B0624" w:rsidR="00B107E4" w:rsidRPr="00717D76" w:rsidRDefault="00B107E4" w:rsidP="005901E9">
            <w:pPr>
              <w:jc w:val="right"/>
              <w:rPr>
                <w:sz w:val="16"/>
                <w:szCs w:val="16"/>
              </w:rPr>
            </w:pPr>
            <w:r w:rsidRPr="00717D76">
              <w:rPr>
                <w:sz w:val="16"/>
                <w:szCs w:val="16"/>
              </w:rPr>
              <w:t>3,399</w:t>
            </w:r>
          </w:p>
        </w:tc>
        <w:tc>
          <w:tcPr>
            <w:tcW w:w="851" w:type="pct"/>
            <w:tcBorders>
              <w:top w:val="nil"/>
              <w:left w:val="nil"/>
              <w:bottom w:val="nil"/>
              <w:right w:val="nil"/>
            </w:tcBorders>
            <w:shd w:val="clear" w:color="auto" w:fill="auto"/>
            <w:noWrap/>
            <w:vAlign w:val="bottom"/>
            <w:hideMark/>
          </w:tcPr>
          <w:p w14:paraId="7926E602" w14:textId="084D9B38" w:rsidR="00B107E4" w:rsidRPr="00717D76" w:rsidRDefault="00B107E4" w:rsidP="005901E9">
            <w:pPr>
              <w:jc w:val="right"/>
              <w:rPr>
                <w:sz w:val="16"/>
                <w:szCs w:val="16"/>
              </w:rPr>
            </w:pPr>
            <w:r w:rsidRPr="00717D76">
              <w:rPr>
                <w:sz w:val="16"/>
                <w:szCs w:val="16"/>
              </w:rPr>
              <w:t>839</w:t>
            </w:r>
          </w:p>
        </w:tc>
        <w:tc>
          <w:tcPr>
            <w:tcW w:w="935" w:type="pct"/>
            <w:tcBorders>
              <w:top w:val="nil"/>
              <w:left w:val="nil"/>
              <w:bottom w:val="nil"/>
              <w:right w:val="nil"/>
            </w:tcBorders>
            <w:shd w:val="clear" w:color="auto" w:fill="auto"/>
            <w:noWrap/>
            <w:vAlign w:val="bottom"/>
            <w:hideMark/>
          </w:tcPr>
          <w:p w14:paraId="6452C739" w14:textId="0AB6DFC8" w:rsidR="00B107E4" w:rsidRPr="00717D76" w:rsidRDefault="00B107E4" w:rsidP="005901E9">
            <w:pPr>
              <w:jc w:val="right"/>
              <w:rPr>
                <w:sz w:val="16"/>
                <w:szCs w:val="16"/>
              </w:rPr>
            </w:pPr>
            <w:r w:rsidRPr="00717D76">
              <w:rPr>
                <w:sz w:val="16"/>
                <w:szCs w:val="16"/>
              </w:rPr>
              <w:t>274</w:t>
            </w:r>
          </w:p>
        </w:tc>
        <w:tc>
          <w:tcPr>
            <w:tcW w:w="1166" w:type="pct"/>
            <w:tcBorders>
              <w:top w:val="nil"/>
              <w:left w:val="nil"/>
              <w:bottom w:val="nil"/>
              <w:right w:val="nil"/>
            </w:tcBorders>
            <w:shd w:val="clear" w:color="auto" w:fill="auto"/>
            <w:noWrap/>
            <w:vAlign w:val="bottom"/>
            <w:hideMark/>
          </w:tcPr>
          <w:p w14:paraId="56B1B025" w14:textId="1BBFE39F" w:rsidR="00B107E4" w:rsidRPr="00717D76" w:rsidRDefault="00B107E4" w:rsidP="005901E9">
            <w:pPr>
              <w:jc w:val="right"/>
              <w:rPr>
                <w:sz w:val="16"/>
                <w:szCs w:val="16"/>
              </w:rPr>
            </w:pPr>
            <w:r w:rsidRPr="00717D76">
              <w:rPr>
                <w:sz w:val="16"/>
                <w:szCs w:val="16"/>
              </w:rPr>
              <w:t>85</w:t>
            </w:r>
          </w:p>
        </w:tc>
      </w:tr>
      <w:tr w:rsidR="00B107E4" w:rsidRPr="006B42D6" w14:paraId="005FA033" w14:textId="77777777" w:rsidTr="00843062">
        <w:trPr>
          <w:trHeight w:val="312"/>
        </w:trPr>
        <w:tc>
          <w:tcPr>
            <w:tcW w:w="989" w:type="pct"/>
            <w:tcBorders>
              <w:top w:val="nil"/>
              <w:left w:val="nil"/>
              <w:bottom w:val="nil"/>
              <w:right w:val="nil"/>
            </w:tcBorders>
            <w:shd w:val="clear" w:color="auto" w:fill="auto"/>
            <w:noWrap/>
            <w:vAlign w:val="bottom"/>
            <w:hideMark/>
          </w:tcPr>
          <w:p w14:paraId="33918B08" w14:textId="77777777" w:rsidR="00B107E4" w:rsidRPr="00717D76" w:rsidRDefault="00B107E4" w:rsidP="00634172">
            <w:pPr>
              <w:rPr>
                <w:sz w:val="16"/>
                <w:szCs w:val="16"/>
              </w:rPr>
            </w:pPr>
            <w:r w:rsidRPr="00717D76">
              <w:rPr>
                <w:sz w:val="16"/>
                <w:szCs w:val="16"/>
              </w:rPr>
              <w:t>Kilimanjaro</w:t>
            </w:r>
          </w:p>
        </w:tc>
        <w:tc>
          <w:tcPr>
            <w:tcW w:w="1059" w:type="pct"/>
            <w:tcBorders>
              <w:top w:val="nil"/>
              <w:left w:val="nil"/>
              <w:bottom w:val="nil"/>
              <w:right w:val="nil"/>
            </w:tcBorders>
            <w:shd w:val="clear" w:color="auto" w:fill="auto"/>
            <w:noWrap/>
            <w:vAlign w:val="bottom"/>
            <w:hideMark/>
          </w:tcPr>
          <w:p w14:paraId="718F8ED1" w14:textId="37543CED" w:rsidR="00B107E4" w:rsidRPr="00717D76" w:rsidRDefault="00B107E4" w:rsidP="005901E9">
            <w:pPr>
              <w:jc w:val="right"/>
              <w:rPr>
                <w:sz w:val="16"/>
                <w:szCs w:val="16"/>
              </w:rPr>
            </w:pPr>
            <w:r w:rsidRPr="00717D76">
              <w:rPr>
                <w:sz w:val="16"/>
                <w:szCs w:val="16"/>
              </w:rPr>
              <w:t>35,253</w:t>
            </w:r>
          </w:p>
        </w:tc>
        <w:tc>
          <w:tcPr>
            <w:tcW w:w="851" w:type="pct"/>
            <w:tcBorders>
              <w:top w:val="nil"/>
              <w:left w:val="nil"/>
              <w:bottom w:val="nil"/>
              <w:right w:val="nil"/>
            </w:tcBorders>
            <w:shd w:val="clear" w:color="auto" w:fill="auto"/>
            <w:noWrap/>
            <w:vAlign w:val="bottom"/>
            <w:hideMark/>
          </w:tcPr>
          <w:p w14:paraId="2B66CAC2" w14:textId="0B0EBB42" w:rsidR="00B107E4" w:rsidRPr="00717D76" w:rsidRDefault="00B107E4" w:rsidP="005901E9">
            <w:pPr>
              <w:jc w:val="right"/>
              <w:rPr>
                <w:sz w:val="16"/>
                <w:szCs w:val="16"/>
              </w:rPr>
            </w:pPr>
            <w:r w:rsidRPr="00717D76">
              <w:rPr>
                <w:sz w:val="16"/>
                <w:szCs w:val="16"/>
              </w:rPr>
              <w:t>5,673</w:t>
            </w:r>
          </w:p>
        </w:tc>
        <w:tc>
          <w:tcPr>
            <w:tcW w:w="935" w:type="pct"/>
            <w:tcBorders>
              <w:top w:val="nil"/>
              <w:left w:val="nil"/>
              <w:bottom w:val="nil"/>
              <w:right w:val="nil"/>
            </w:tcBorders>
            <w:shd w:val="clear" w:color="auto" w:fill="auto"/>
            <w:noWrap/>
            <w:vAlign w:val="bottom"/>
            <w:hideMark/>
          </w:tcPr>
          <w:p w14:paraId="217D3E6F" w14:textId="5E99961D" w:rsidR="00B107E4" w:rsidRPr="00717D76" w:rsidRDefault="00B107E4" w:rsidP="005901E9">
            <w:pPr>
              <w:jc w:val="right"/>
              <w:rPr>
                <w:sz w:val="16"/>
                <w:szCs w:val="16"/>
              </w:rPr>
            </w:pPr>
            <w:r w:rsidRPr="00717D76">
              <w:rPr>
                <w:sz w:val="16"/>
                <w:szCs w:val="16"/>
              </w:rPr>
              <w:t>3,103</w:t>
            </w:r>
          </w:p>
        </w:tc>
        <w:tc>
          <w:tcPr>
            <w:tcW w:w="1166" w:type="pct"/>
            <w:tcBorders>
              <w:top w:val="nil"/>
              <w:left w:val="nil"/>
              <w:bottom w:val="nil"/>
              <w:right w:val="nil"/>
            </w:tcBorders>
            <w:shd w:val="clear" w:color="auto" w:fill="auto"/>
            <w:noWrap/>
            <w:vAlign w:val="bottom"/>
            <w:hideMark/>
          </w:tcPr>
          <w:p w14:paraId="5CD0E683" w14:textId="17034C09" w:rsidR="00B107E4" w:rsidRPr="00717D76" w:rsidRDefault="00B107E4" w:rsidP="005901E9">
            <w:pPr>
              <w:jc w:val="right"/>
              <w:rPr>
                <w:sz w:val="16"/>
                <w:szCs w:val="16"/>
              </w:rPr>
            </w:pPr>
            <w:r w:rsidRPr="00717D76">
              <w:rPr>
                <w:sz w:val="16"/>
                <w:szCs w:val="16"/>
              </w:rPr>
              <w:t>1,003</w:t>
            </w:r>
          </w:p>
        </w:tc>
      </w:tr>
      <w:tr w:rsidR="00B107E4" w:rsidRPr="006B42D6" w14:paraId="73931E9A" w14:textId="77777777" w:rsidTr="00843062">
        <w:trPr>
          <w:trHeight w:val="312"/>
        </w:trPr>
        <w:tc>
          <w:tcPr>
            <w:tcW w:w="989" w:type="pct"/>
            <w:tcBorders>
              <w:top w:val="nil"/>
              <w:left w:val="nil"/>
              <w:bottom w:val="nil"/>
              <w:right w:val="nil"/>
            </w:tcBorders>
            <w:shd w:val="clear" w:color="auto" w:fill="auto"/>
            <w:noWrap/>
            <w:vAlign w:val="bottom"/>
            <w:hideMark/>
          </w:tcPr>
          <w:p w14:paraId="6F917B99" w14:textId="77777777" w:rsidR="00B107E4" w:rsidRPr="00717D76" w:rsidRDefault="00B107E4" w:rsidP="00634172">
            <w:pPr>
              <w:rPr>
                <w:sz w:val="16"/>
                <w:szCs w:val="16"/>
              </w:rPr>
            </w:pPr>
            <w:r w:rsidRPr="00717D76">
              <w:rPr>
                <w:sz w:val="16"/>
                <w:szCs w:val="16"/>
              </w:rPr>
              <w:t>Tanga</w:t>
            </w:r>
          </w:p>
        </w:tc>
        <w:tc>
          <w:tcPr>
            <w:tcW w:w="1059" w:type="pct"/>
            <w:tcBorders>
              <w:top w:val="nil"/>
              <w:left w:val="nil"/>
              <w:bottom w:val="nil"/>
              <w:right w:val="nil"/>
            </w:tcBorders>
            <w:shd w:val="clear" w:color="auto" w:fill="auto"/>
            <w:noWrap/>
            <w:vAlign w:val="bottom"/>
            <w:hideMark/>
          </w:tcPr>
          <w:p w14:paraId="3B3F89D4" w14:textId="3A009616" w:rsidR="00B107E4" w:rsidRPr="00717D76" w:rsidRDefault="00B107E4" w:rsidP="005901E9">
            <w:pPr>
              <w:jc w:val="right"/>
              <w:rPr>
                <w:sz w:val="16"/>
                <w:szCs w:val="16"/>
              </w:rPr>
            </w:pPr>
            <w:r w:rsidRPr="00717D76">
              <w:rPr>
                <w:sz w:val="16"/>
                <w:szCs w:val="16"/>
              </w:rPr>
              <w:t>8,630</w:t>
            </w:r>
          </w:p>
        </w:tc>
        <w:tc>
          <w:tcPr>
            <w:tcW w:w="851" w:type="pct"/>
            <w:tcBorders>
              <w:top w:val="nil"/>
              <w:left w:val="nil"/>
              <w:bottom w:val="nil"/>
              <w:right w:val="nil"/>
            </w:tcBorders>
            <w:shd w:val="clear" w:color="auto" w:fill="auto"/>
            <w:noWrap/>
            <w:vAlign w:val="bottom"/>
            <w:hideMark/>
          </w:tcPr>
          <w:p w14:paraId="0F976BCD" w14:textId="35F8D3DE" w:rsidR="00B107E4" w:rsidRPr="00717D76" w:rsidRDefault="00B107E4" w:rsidP="005901E9">
            <w:pPr>
              <w:jc w:val="right"/>
              <w:rPr>
                <w:sz w:val="16"/>
                <w:szCs w:val="16"/>
              </w:rPr>
            </w:pPr>
            <w:r w:rsidRPr="00717D76">
              <w:rPr>
                <w:sz w:val="16"/>
                <w:szCs w:val="16"/>
              </w:rPr>
              <w:t>2,312</w:t>
            </w:r>
          </w:p>
        </w:tc>
        <w:tc>
          <w:tcPr>
            <w:tcW w:w="935" w:type="pct"/>
            <w:tcBorders>
              <w:top w:val="nil"/>
              <w:left w:val="nil"/>
              <w:bottom w:val="nil"/>
              <w:right w:val="nil"/>
            </w:tcBorders>
            <w:shd w:val="clear" w:color="auto" w:fill="auto"/>
            <w:noWrap/>
            <w:vAlign w:val="bottom"/>
            <w:hideMark/>
          </w:tcPr>
          <w:p w14:paraId="3F0F4C86" w14:textId="511AC4E1" w:rsidR="00B107E4" w:rsidRPr="00717D76" w:rsidRDefault="00B107E4" w:rsidP="005901E9">
            <w:pPr>
              <w:jc w:val="right"/>
              <w:rPr>
                <w:sz w:val="16"/>
                <w:szCs w:val="16"/>
              </w:rPr>
            </w:pPr>
            <w:r w:rsidRPr="00717D76">
              <w:rPr>
                <w:sz w:val="16"/>
                <w:szCs w:val="16"/>
              </w:rPr>
              <w:t>2,029</w:t>
            </w:r>
          </w:p>
        </w:tc>
        <w:tc>
          <w:tcPr>
            <w:tcW w:w="1166" w:type="pct"/>
            <w:tcBorders>
              <w:top w:val="nil"/>
              <w:left w:val="nil"/>
              <w:bottom w:val="nil"/>
              <w:right w:val="nil"/>
            </w:tcBorders>
            <w:shd w:val="clear" w:color="auto" w:fill="auto"/>
            <w:noWrap/>
            <w:vAlign w:val="bottom"/>
            <w:hideMark/>
          </w:tcPr>
          <w:p w14:paraId="48F77B3C" w14:textId="1287C237" w:rsidR="00B107E4" w:rsidRPr="00717D76" w:rsidRDefault="00B107E4" w:rsidP="005901E9">
            <w:pPr>
              <w:jc w:val="right"/>
              <w:rPr>
                <w:sz w:val="16"/>
                <w:szCs w:val="16"/>
              </w:rPr>
            </w:pPr>
            <w:r w:rsidRPr="00717D76">
              <w:rPr>
                <w:sz w:val="16"/>
                <w:szCs w:val="16"/>
              </w:rPr>
              <w:t>680</w:t>
            </w:r>
          </w:p>
        </w:tc>
      </w:tr>
      <w:tr w:rsidR="00B107E4" w:rsidRPr="006B42D6" w14:paraId="0DB9A9CA" w14:textId="77777777" w:rsidTr="00843062">
        <w:trPr>
          <w:trHeight w:val="312"/>
        </w:trPr>
        <w:tc>
          <w:tcPr>
            <w:tcW w:w="989" w:type="pct"/>
            <w:tcBorders>
              <w:top w:val="nil"/>
              <w:left w:val="nil"/>
              <w:bottom w:val="nil"/>
              <w:right w:val="nil"/>
            </w:tcBorders>
            <w:shd w:val="clear" w:color="auto" w:fill="auto"/>
            <w:noWrap/>
            <w:vAlign w:val="bottom"/>
            <w:hideMark/>
          </w:tcPr>
          <w:p w14:paraId="6E09EED5" w14:textId="77777777" w:rsidR="00B107E4" w:rsidRPr="00717D76" w:rsidRDefault="00B107E4" w:rsidP="00634172">
            <w:pPr>
              <w:rPr>
                <w:sz w:val="16"/>
                <w:szCs w:val="16"/>
              </w:rPr>
            </w:pPr>
            <w:r w:rsidRPr="00717D76">
              <w:rPr>
                <w:sz w:val="16"/>
                <w:szCs w:val="16"/>
              </w:rPr>
              <w:t>Morogoro</w:t>
            </w:r>
          </w:p>
        </w:tc>
        <w:tc>
          <w:tcPr>
            <w:tcW w:w="1059" w:type="pct"/>
            <w:tcBorders>
              <w:top w:val="nil"/>
              <w:left w:val="nil"/>
              <w:bottom w:val="nil"/>
              <w:right w:val="nil"/>
            </w:tcBorders>
            <w:shd w:val="clear" w:color="auto" w:fill="auto"/>
            <w:noWrap/>
            <w:vAlign w:val="bottom"/>
            <w:hideMark/>
          </w:tcPr>
          <w:p w14:paraId="0E1C4902" w14:textId="134E2DCC" w:rsidR="00B107E4" w:rsidRPr="00717D76" w:rsidRDefault="00B107E4" w:rsidP="005901E9">
            <w:pPr>
              <w:jc w:val="right"/>
              <w:rPr>
                <w:sz w:val="16"/>
                <w:szCs w:val="16"/>
              </w:rPr>
            </w:pPr>
            <w:r w:rsidRPr="00717D76">
              <w:rPr>
                <w:sz w:val="16"/>
                <w:szCs w:val="16"/>
              </w:rPr>
              <w:t>2,618</w:t>
            </w:r>
          </w:p>
        </w:tc>
        <w:tc>
          <w:tcPr>
            <w:tcW w:w="851" w:type="pct"/>
            <w:tcBorders>
              <w:top w:val="nil"/>
              <w:left w:val="nil"/>
              <w:bottom w:val="nil"/>
              <w:right w:val="nil"/>
            </w:tcBorders>
            <w:shd w:val="clear" w:color="auto" w:fill="auto"/>
            <w:noWrap/>
            <w:vAlign w:val="bottom"/>
            <w:hideMark/>
          </w:tcPr>
          <w:p w14:paraId="6E298D4B" w14:textId="5BCD0E78" w:rsidR="00B107E4" w:rsidRPr="00717D76" w:rsidRDefault="00B107E4" w:rsidP="005901E9">
            <w:pPr>
              <w:jc w:val="right"/>
              <w:rPr>
                <w:sz w:val="16"/>
                <w:szCs w:val="16"/>
              </w:rPr>
            </w:pPr>
            <w:r w:rsidRPr="00717D76">
              <w:rPr>
                <w:sz w:val="16"/>
                <w:szCs w:val="16"/>
              </w:rPr>
              <w:t>1,244</w:t>
            </w:r>
          </w:p>
        </w:tc>
        <w:tc>
          <w:tcPr>
            <w:tcW w:w="935" w:type="pct"/>
            <w:tcBorders>
              <w:top w:val="nil"/>
              <w:left w:val="nil"/>
              <w:bottom w:val="nil"/>
              <w:right w:val="nil"/>
            </w:tcBorders>
            <w:shd w:val="clear" w:color="auto" w:fill="auto"/>
            <w:noWrap/>
            <w:vAlign w:val="bottom"/>
            <w:hideMark/>
          </w:tcPr>
          <w:p w14:paraId="4B1E5F98" w14:textId="7438FC7E" w:rsidR="00B107E4" w:rsidRPr="00717D76" w:rsidRDefault="00B107E4" w:rsidP="005901E9">
            <w:pPr>
              <w:jc w:val="right"/>
              <w:rPr>
                <w:sz w:val="16"/>
                <w:szCs w:val="16"/>
              </w:rPr>
            </w:pPr>
            <w:r w:rsidRPr="00717D76">
              <w:rPr>
                <w:sz w:val="16"/>
                <w:szCs w:val="16"/>
              </w:rPr>
              <w:t>469</w:t>
            </w:r>
          </w:p>
        </w:tc>
        <w:tc>
          <w:tcPr>
            <w:tcW w:w="1166" w:type="pct"/>
            <w:tcBorders>
              <w:top w:val="nil"/>
              <w:left w:val="nil"/>
              <w:bottom w:val="nil"/>
              <w:right w:val="nil"/>
            </w:tcBorders>
            <w:shd w:val="clear" w:color="auto" w:fill="auto"/>
            <w:noWrap/>
            <w:vAlign w:val="bottom"/>
            <w:hideMark/>
          </w:tcPr>
          <w:p w14:paraId="6746330B" w14:textId="03EC1021" w:rsidR="00B107E4" w:rsidRPr="00717D76" w:rsidRDefault="00B107E4" w:rsidP="005901E9">
            <w:pPr>
              <w:jc w:val="right"/>
              <w:rPr>
                <w:sz w:val="16"/>
                <w:szCs w:val="16"/>
              </w:rPr>
            </w:pPr>
            <w:r w:rsidRPr="00717D76">
              <w:rPr>
                <w:sz w:val="16"/>
                <w:szCs w:val="16"/>
              </w:rPr>
              <w:t>47</w:t>
            </w:r>
          </w:p>
        </w:tc>
      </w:tr>
      <w:tr w:rsidR="00B107E4" w:rsidRPr="006B42D6" w14:paraId="33639715" w14:textId="77777777" w:rsidTr="00843062">
        <w:trPr>
          <w:trHeight w:val="312"/>
        </w:trPr>
        <w:tc>
          <w:tcPr>
            <w:tcW w:w="989" w:type="pct"/>
            <w:tcBorders>
              <w:top w:val="nil"/>
              <w:left w:val="nil"/>
              <w:bottom w:val="nil"/>
              <w:right w:val="nil"/>
            </w:tcBorders>
            <w:shd w:val="clear" w:color="auto" w:fill="auto"/>
            <w:noWrap/>
            <w:vAlign w:val="bottom"/>
            <w:hideMark/>
          </w:tcPr>
          <w:p w14:paraId="26B35073" w14:textId="77777777" w:rsidR="00B107E4" w:rsidRPr="00717D76" w:rsidRDefault="00B107E4" w:rsidP="00634172">
            <w:pPr>
              <w:rPr>
                <w:sz w:val="16"/>
                <w:szCs w:val="16"/>
              </w:rPr>
            </w:pPr>
            <w:r w:rsidRPr="00717D76">
              <w:rPr>
                <w:sz w:val="16"/>
                <w:szCs w:val="16"/>
              </w:rPr>
              <w:t>Dar Es Salaam</w:t>
            </w:r>
          </w:p>
        </w:tc>
        <w:tc>
          <w:tcPr>
            <w:tcW w:w="1059" w:type="pct"/>
            <w:tcBorders>
              <w:top w:val="nil"/>
              <w:left w:val="nil"/>
              <w:bottom w:val="nil"/>
              <w:right w:val="nil"/>
            </w:tcBorders>
            <w:shd w:val="clear" w:color="auto" w:fill="auto"/>
            <w:noWrap/>
            <w:vAlign w:val="bottom"/>
            <w:hideMark/>
          </w:tcPr>
          <w:p w14:paraId="482209BE" w14:textId="5A455260" w:rsidR="00B107E4" w:rsidRPr="00717D76" w:rsidRDefault="00B107E4" w:rsidP="005901E9">
            <w:pPr>
              <w:jc w:val="right"/>
              <w:rPr>
                <w:sz w:val="16"/>
                <w:szCs w:val="16"/>
              </w:rPr>
            </w:pPr>
            <w:r w:rsidRPr="00717D76">
              <w:rPr>
                <w:sz w:val="16"/>
                <w:szCs w:val="16"/>
              </w:rPr>
              <w:t>6,342</w:t>
            </w:r>
          </w:p>
        </w:tc>
        <w:tc>
          <w:tcPr>
            <w:tcW w:w="851" w:type="pct"/>
            <w:tcBorders>
              <w:top w:val="nil"/>
              <w:left w:val="nil"/>
              <w:bottom w:val="nil"/>
              <w:right w:val="nil"/>
            </w:tcBorders>
            <w:shd w:val="clear" w:color="auto" w:fill="auto"/>
            <w:noWrap/>
            <w:vAlign w:val="bottom"/>
            <w:hideMark/>
          </w:tcPr>
          <w:p w14:paraId="5CDCA02E" w14:textId="3EE31E80" w:rsidR="00B107E4" w:rsidRPr="00717D76" w:rsidRDefault="00B107E4" w:rsidP="005901E9">
            <w:pPr>
              <w:jc w:val="right"/>
              <w:rPr>
                <w:sz w:val="16"/>
                <w:szCs w:val="16"/>
              </w:rPr>
            </w:pPr>
            <w:r w:rsidRPr="00717D76">
              <w:rPr>
                <w:sz w:val="16"/>
                <w:szCs w:val="16"/>
              </w:rPr>
              <w:t>1,412</w:t>
            </w:r>
          </w:p>
        </w:tc>
        <w:tc>
          <w:tcPr>
            <w:tcW w:w="935" w:type="pct"/>
            <w:tcBorders>
              <w:top w:val="nil"/>
              <w:left w:val="nil"/>
              <w:bottom w:val="nil"/>
              <w:right w:val="nil"/>
            </w:tcBorders>
            <w:shd w:val="clear" w:color="auto" w:fill="auto"/>
            <w:noWrap/>
            <w:vAlign w:val="bottom"/>
            <w:hideMark/>
          </w:tcPr>
          <w:p w14:paraId="16F9DC9B" w14:textId="26C9ECC1" w:rsidR="00B107E4" w:rsidRPr="00717D76" w:rsidRDefault="00B107E4" w:rsidP="005901E9">
            <w:pPr>
              <w:jc w:val="right"/>
              <w:rPr>
                <w:sz w:val="16"/>
                <w:szCs w:val="16"/>
              </w:rPr>
            </w:pPr>
            <w:r w:rsidRPr="00717D76">
              <w:rPr>
                <w:sz w:val="16"/>
                <w:szCs w:val="16"/>
              </w:rPr>
              <w:t>969</w:t>
            </w:r>
          </w:p>
        </w:tc>
        <w:tc>
          <w:tcPr>
            <w:tcW w:w="1166" w:type="pct"/>
            <w:tcBorders>
              <w:top w:val="nil"/>
              <w:left w:val="nil"/>
              <w:bottom w:val="nil"/>
              <w:right w:val="nil"/>
            </w:tcBorders>
            <w:shd w:val="clear" w:color="auto" w:fill="auto"/>
            <w:noWrap/>
            <w:vAlign w:val="bottom"/>
            <w:hideMark/>
          </w:tcPr>
          <w:p w14:paraId="0A90DC43" w14:textId="43F2D265" w:rsidR="00B107E4" w:rsidRPr="00717D76" w:rsidRDefault="00B107E4" w:rsidP="005901E9">
            <w:pPr>
              <w:jc w:val="right"/>
              <w:rPr>
                <w:sz w:val="16"/>
                <w:szCs w:val="16"/>
              </w:rPr>
            </w:pPr>
            <w:r w:rsidRPr="00717D76">
              <w:rPr>
                <w:sz w:val="16"/>
                <w:szCs w:val="16"/>
              </w:rPr>
              <w:t>1,192</w:t>
            </w:r>
          </w:p>
        </w:tc>
      </w:tr>
      <w:tr w:rsidR="00B107E4" w:rsidRPr="006B42D6" w14:paraId="6109DFD1" w14:textId="77777777" w:rsidTr="00843062">
        <w:trPr>
          <w:trHeight w:val="312"/>
        </w:trPr>
        <w:tc>
          <w:tcPr>
            <w:tcW w:w="989" w:type="pct"/>
            <w:tcBorders>
              <w:top w:val="nil"/>
              <w:left w:val="nil"/>
              <w:bottom w:val="nil"/>
              <w:right w:val="nil"/>
            </w:tcBorders>
            <w:shd w:val="clear" w:color="auto" w:fill="auto"/>
            <w:noWrap/>
            <w:vAlign w:val="bottom"/>
            <w:hideMark/>
          </w:tcPr>
          <w:p w14:paraId="0EA7DB5F" w14:textId="77777777" w:rsidR="00B107E4" w:rsidRPr="00717D76" w:rsidRDefault="00B107E4" w:rsidP="00634172">
            <w:pPr>
              <w:rPr>
                <w:sz w:val="16"/>
                <w:szCs w:val="16"/>
              </w:rPr>
            </w:pPr>
            <w:r w:rsidRPr="00717D76">
              <w:rPr>
                <w:sz w:val="16"/>
                <w:szCs w:val="16"/>
              </w:rPr>
              <w:t>Ruvuma</w:t>
            </w:r>
          </w:p>
        </w:tc>
        <w:tc>
          <w:tcPr>
            <w:tcW w:w="1059" w:type="pct"/>
            <w:tcBorders>
              <w:top w:val="nil"/>
              <w:left w:val="nil"/>
              <w:bottom w:val="nil"/>
              <w:right w:val="nil"/>
            </w:tcBorders>
            <w:shd w:val="clear" w:color="auto" w:fill="auto"/>
            <w:noWrap/>
            <w:vAlign w:val="bottom"/>
            <w:hideMark/>
          </w:tcPr>
          <w:p w14:paraId="58977DB6" w14:textId="6ACEA545" w:rsidR="00B107E4" w:rsidRPr="00717D76" w:rsidRDefault="00B107E4" w:rsidP="005901E9">
            <w:pPr>
              <w:jc w:val="right"/>
              <w:rPr>
                <w:sz w:val="16"/>
                <w:szCs w:val="16"/>
              </w:rPr>
            </w:pPr>
            <w:r w:rsidRPr="00717D76">
              <w:rPr>
                <w:sz w:val="16"/>
                <w:szCs w:val="16"/>
              </w:rPr>
              <w:t>61,953</w:t>
            </w:r>
          </w:p>
        </w:tc>
        <w:tc>
          <w:tcPr>
            <w:tcW w:w="851" w:type="pct"/>
            <w:tcBorders>
              <w:top w:val="nil"/>
              <w:left w:val="nil"/>
              <w:bottom w:val="nil"/>
              <w:right w:val="nil"/>
            </w:tcBorders>
            <w:shd w:val="clear" w:color="auto" w:fill="auto"/>
            <w:noWrap/>
            <w:vAlign w:val="bottom"/>
            <w:hideMark/>
          </w:tcPr>
          <w:p w14:paraId="46BEA3C8" w14:textId="6FEE37D9" w:rsidR="00B107E4" w:rsidRPr="00717D76" w:rsidRDefault="00B107E4" w:rsidP="005901E9">
            <w:pPr>
              <w:jc w:val="right"/>
              <w:rPr>
                <w:sz w:val="16"/>
                <w:szCs w:val="16"/>
              </w:rPr>
            </w:pPr>
            <w:r w:rsidRPr="00717D76">
              <w:rPr>
                <w:sz w:val="16"/>
                <w:szCs w:val="16"/>
              </w:rPr>
              <w:t>35,893</w:t>
            </w:r>
          </w:p>
        </w:tc>
        <w:tc>
          <w:tcPr>
            <w:tcW w:w="935" w:type="pct"/>
            <w:tcBorders>
              <w:top w:val="nil"/>
              <w:left w:val="nil"/>
              <w:bottom w:val="nil"/>
              <w:right w:val="nil"/>
            </w:tcBorders>
            <w:shd w:val="clear" w:color="auto" w:fill="auto"/>
            <w:noWrap/>
            <w:vAlign w:val="bottom"/>
            <w:hideMark/>
          </w:tcPr>
          <w:p w14:paraId="1A9E0261" w14:textId="056151F3" w:rsidR="00B107E4" w:rsidRPr="00717D76" w:rsidRDefault="00B107E4" w:rsidP="005901E9">
            <w:pPr>
              <w:jc w:val="right"/>
              <w:rPr>
                <w:sz w:val="16"/>
                <w:szCs w:val="16"/>
              </w:rPr>
            </w:pPr>
            <w:r w:rsidRPr="00717D76">
              <w:rPr>
                <w:sz w:val="16"/>
                <w:szCs w:val="16"/>
              </w:rPr>
              <w:t>28,025</w:t>
            </w:r>
          </w:p>
        </w:tc>
        <w:tc>
          <w:tcPr>
            <w:tcW w:w="1166" w:type="pct"/>
            <w:tcBorders>
              <w:top w:val="nil"/>
              <w:left w:val="nil"/>
              <w:bottom w:val="nil"/>
              <w:right w:val="nil"/>
            </w:tcBorders>
            <w:shd w:val="clear" w:color="auto" w:fill="auto"/>
            <w:noWrap/>
            <w:vAlign w:val="bottom"/>
            <w:hideMark/>
          </w:tcPr>
          <w:p w14:paraId="3ACE0B18" w14:textId="47C6FCCF" w:rsidR="00B107E4" w:rsidRPr="00717D76" w:rsidRDefault="00B107E4" w:rsidP="005901E9">
            <w:pPr>
              <w:jc w:val="right"/>
              <w:rPr>
                <w:sz w:val="16"/>
                <w:szCs w:val="16"/>
              </w:rPr>
            </w:pPr>
            <w:r w:rsidRPr="00717D76">
              <w:rPr>
                <w:sz w:val="16"/>
                <w:szCs w:val="16"/>
              </w:rPr>
              <w:t>11,421</w:t>
            </w:r>
          </w:p>
        </w:tc>
      </w:tr>
      <w:tr w:rsidR="00B107E4" w:rsidRPr="006B42D6" w14:paraId="2AD2B558" w14:textId="77777777" w:rsidTr="00843062">
        <w:trPr>
          <w:trHeight w:val="312"/>
        </w:trPr>
        <w:tc>
          <w:tcPr>
            <w:tcW w:w="989" w:type="pct"/>
            <w:tcBorders>
              <w:top w:val="nil"/>
              <w:left w:val="nil"/>
              <w:bottom w:val="nil"/>
              <w:right w:val="nil"/>
            </w:tcBorders>
            <w:shd w:val="clear" w:color="auto" w:fill="auto"/>
            <w:noWrap/>
            <w:vAlign w:val="bottom"/>
            <w:hideMark/>
          </w:tcPr>
          <w:p w14:paraId="52DC3C53" w14:textId="77777777" w:rsidR="00B107E4" w:rsidRPr="00717D76" w:rsidRDefault="00B107E4" w:rsidP="00634172">
            <w:pPr>
              <w:rPr>
                <w:sz w:val="16"/>
                <w:szCs w:val="16"/>
              </w:rPr>
            </w:pPr>
            <w:r w:rsidRPr="00717D76">
              <w:rPr>
                <w:sz w:val="16"/>
                <w:szCs w:val="16"/>
              </w:rPr>
              <w:t>Iringa</w:t>
            </w:r>
          </w:p>
        </w:tc>
        <w:tc>
          <w:tcPr>
            <w:tcW w:w="1059" w:type="pct"/>
            <w:tcBorders>
              <w:top w:val="nil"/>
              <w:left w:val="nil"/>
              <w:bottom w:val="nil"/>
              <w:right w:val="nil"/>
            </w:tcBorders>
            <w:shd w:val="clear" w:color="auto" w:fill="auto"/>
            <w:noWrap/>
            <w:vAlign w:val="bottom"/>
            <w:hideMark/>
          </w:tcPr>
          <w:p w14:paraId="66032F77" w14:textId="4759F97F" w:rsidR="00B107E4" w:rsidRPr="00717D76" w:rsidRDefault="00B107E4" w:rsidP="005901E9">
            <w:pPr>
              <w:jc w:val="right"/>
              <w:rPr>
                <w:sz w:val="16"/>
                <w:szCs w:val="16"/>
              </w:rPr>
            </w:pPr>
            <w:r w:rsidRPr="00717D76">
              <w:rPr>
                <w:sz w:val="16"/>
                <w:szCs w:val="16"/>
              </w:rPr>
              <w:t>915</w:t>
            </w:r>
          </w:p>
        </w:tc>
        <w:tc>
          <w:tcPr>
            <w:tcW w:w="851" w:type="pct"/>
            <w:tcBorders>
              <w:top w:val="nil"/>
              <w:left w:val="nil"/>
              <w:bottom w:val="nil"/>
              <w:right w:val="nil"/>
            </w:tcBorders>
            <w:shd w:val="clear" w:color="auto" w:fill="auto"/>
            <w:noWrap/>
            <w:vAlign w:val="bottom"/>
            <w:hideMark/>
          </w:tcPr>
          <w:p w14:paraId="2340D6FA" w14:textId="6C7271CC" w:rsidR="00B107E4" w:rsidRPr="00717D76" w:rsidRDefault="00B107E4" w:rsidP="005901E9">
            <w:pPr>
              <w:jc w:val="right"/>
              <w:rPr>
                <w:sz w:val="16"/>
                <w:szCs w:val="16"/>
              </w:rPr>
            </w:pPr>
            <w:r w:rsidRPr="00717D76">
              <w:rPr>
                <w:sz w:val="16"/>
                <w:szCs w:val="16"/>
              </w:rPr>
              <w:t>5</w:t>
            </w:r>
          </w:p>
        </w:tc>
        <w:tc>
          <w:tcPr>
            <w:tcW w:w="935" w:type="pct"/>
            <w:tcBorders>
              <w:top w:val="nil"/>
              <w:left w:val="nil"/>
              <w:bottom w:val="nil"/>
              <w:right w:val="nil"/>
            </w:tcBorders>
            <w:shd w:val="clear" w:color="auto" w:fill="auto"/>
            <w:noWrap/>
            <w:vAlign w:val="bottom"/>
            <w:hideMark/>
          </w:tcPr>
          <w:p w14:paraId="0983FA22" w14:textId="62BB5F00" w:rsidR="00B107E4" w:rsidRPr="00717D76" w:rsidRDefault="00B107E4" w:rsidP="005901E9">
            <w:pPr>
              <w:jc w:val="right"/>
              <w:rPr>
                <w:sz w:val="16"/>
                <w:szCs w:val="16"/>
              </w:rPr>
            </w:pPr>
            <w:r w:rsidRPr="00717D76">
              <w:rPr>
                <w:sz w:val="16"/>
                <w:szCs w:val="16"/>
              </w:rPr>
              <w:t>-</w:t>
            </w:r>
          </w:p>
        </w:tc>
        <w:tc>
          <w:tcPr>
            <w:tcW w:w="1166" w:type="pct"/>
            <w:tcBorders>
              <w:top w:val="nil"/>
              <w:left w:val="nil"/>
              <w:bottom w:val="nil"/>
              <w:right w:val="nil"/>
            </w:tcBorders>
            <w:shd w:val="clear" w:color="auto" w:fill="auto"/>
            <w:noWrap/>
            <w:vAlign w:val="bottom"/>
            <w:hideMark/>
          </w:tcPr>
          <w:p w14:paraId="271F9E81" w14:textId="130C2D3F" w:rsidR="00B107E4" w:rsidRPr="00717D76" w:rsidRDefault="00B107E4" w:rsidP="005901E9">
            <w:pPr>
              <w:jc w:val="right"/>
              <w:rPr>
                <w:sz w:val="16"/>
                <w:szCs w:val="16"/>
              </w:rPr>
            </w:pPr>
            <w:r w:rsidRPr="00717D76">
              <w:rPr>
                <w:sz w:val="16"/>
                <w:szCs w:val="16"/>
              </w:rPr>
              <w:t>-</w:t>
            </w:r>
          </w:p>
        </w:tc>
      </w:tr>
      <w:tr w:rsidR="00B107E4" w:rsidRPr="006B42D6" w14:paraId="61EA5CE5" w14:textId="77777777" w:rsidTr="00843062">
        <w:trPr>
          <w:trHeight w:val="312"/>
        </w:trPr>
        <w:tc>
          <w:tcPr>
            <w:tcW w:w="989" w:type="pct"/>
            <w:tcBorders>
              <w:top w:val="nil"/>
              <w:left w:val="nil"/>
              <w:bottom w:val="nil"/>
              <w:right w:val="nil"/>
            </w:tcBorders>
            <w:shd w:val="clear" w:color="auto" w:fill="auto"/>
            <w:noWrap/>
            <w:vAlign w:val="bottom"/>
            <w:hideMark/>
          </w:tcPr>
          <w:p w14:paraId="7083C291" w14:textId="77777777" w:rsidR="00B107E4" w:rsidRPr="00717D76" w:rsidRDefault="00B107E4" w:rsidP="00634172">
            <w:pPr>
              <w:rPr>
                <w:sz w:val="16"/>
                <w:szCs w:val="16"/>
              </w:rPr>
            </w:pPr>
            <w:r w:rsidRPr="00717D76">
              <w:rPr>
                <w:sz w:val="16"/>
                <w:szCs w:val="16"/>
              </w:rPr>
              <w:t>Mbeya</w:t>
            </w:r>
          </w:p>
        </w:tc>
        <w:tc>
          <w:tcPr>
            <w:tcW w:w="1059" w:type="pct"/>
            <w:tcBorders>
              <w:top w:val="nil"/>
              <w:left w:val="nil"/>
              <w:bottom w:val="nil"/>
              <w:right w:val="nil"/>
            </w:tcBorders>
            <w:shd w:val="clear" w:color="auto" w:fill="auto"/>
            <w:noWrap/>
            <w:vAlign w:val="bottom"/>
            <w:hideMark/>
          </w:tcPr>
          <w:p w14:paraId="09CC1E1B" w14:textId="3FB0B12F" w:rsidR="00B107E4" w:rsidRPr="00717D76" w:rsidRDefault="00B107E4" w:rsidP="005901E9">
            <w:pPr>
              <w:jc w:val="right"/>
              <w:rPr>
                <w:sz w:val="16"/>
                <w:szCs w:val="16"/>
              </w:rPr>
            </w:pPr>
            <w:r w:rsidRPr="00717D76">
              <w:rPr>
                <w:sz w:val="16"/>
                <w:szCs w:val="16"/>
              </w:rPr>
              <w:t>22,164</w:t>
            </w:r>
          </w:p>
        </w:tc>
        <w:tc>
          <w:tcPr>
            <w:tcW w:w="851" w:type="pct"/>
            <w:tcBorders>
              <w:top w:val="nil"/>
              <w:left w:val="nil"/>
              <w:bottom w:val="nil"/>
              <w:right w:val="nil"/>
            </w:tcBorders>
            <w:shd w:val="clear" w:color="auto" w:fill="auto"/>
            <w:noWrap/>
            <w:vAlign w:val="bottom"/>
            <w:hideMark/>
          </w:tcPr>
          <w:p w14:paraId="76AB94CC" w14:textId="66370BDF" w:rsidR="00B107E4" w:rsidRPr="00717D76" w:rsidRDefault="00B107E4" w:rsidP="005901E9">
            <w:pPr>
              <w:jc w:val="right"/>
              <w:rPr>
                <w:sz w:val="16"/>
                <w:szCs w:val="16"/>
              </w:rPr>
            </w:pPr>
            <w:r w:rsidRPr="00717D76">
              <w:rPr>
                <w:sz w:val="16"/>
                <w:szCs w:val="16"/>
              </w:rPr>
              <w:t>7,671</w:t>
            </w:r>
          </w:p>
        </w:tc>
        <w:tc>
          <w:tcPr>
            <w:tcW w:w="935" w:type="pct"/>
            <w:tcBorders>
              <w:top w:val="nil"/>
              <w:left w:val="nil"/>
              <w:bottom w:val="nil"/>
              <w:right w:val="nil"/>
            </w:tcBorders>
            <w:shd w:val="clear" w:color="auto" w:fill="auto"/>
            <w:noWrap/>
            <w:vAlign w:val="bottom"/>
            <w:hideMark/>
          </w:tcPr>
          <w:p w14:paraId="2F784FA5" w14:textId="74C0B8F7" w:rsidR="00B107E4" w:rsidRPr="00717D76" w:rsidRDefault="00B107E4" w:rsidP="005901E9">
            <w:pPr>
              <w:jc w:val="right"/>
              <w:rPr>
                <w:sz w:val="16"/>
                <w:szCs w:val="16"/>
              </w:rPr>
            </w:pPr>
            <w:r w:rsidRPr="00717D76">
              <w:rPr>
                <w:sz w:val="16"/>
                <w:szCs w:val="16"/>
              </w:rPr>
              <w:t>5,598</w:t>
            </w:r>
          </w:p>
        </w:tc>
        <w:tc>
          <w:tcPr>
            <w:tcW w:w="1166" w:type="pct"/>
            <w:tcBorders>
              <w:top w:val="nil"/>
              <w:left w:val="nil"/>
              <w:bottom w:val="nil"/>
              <w:right w:val="nil"/>
            </w:tcBorders>
            <w:shd w:val="clear" w:color="auto" w:fill="auto"/>
            <w:noWrap/>
            <w:vAlign w:val="bottom"/>
            <w:hideMark/>
          </w:tcPr>
          <w:p w14:paraId="35943865" w14:textId="21EB091C" w:rsidR="00B107E4" w:rsidRPr="00717D76" w:rsidRDefault="00B107E4" w:rsidP="005901E9">
            <w:pPr>
              <w:jc w:val="right"/>
              <w:rPr>
                <w:sz w:val="16"/>
                <w:szCs w:val="16"/>
              </w:rPr>
            </w:pPr>
            <w:r w:rsidRPr="00717D76">
              <w:rPr>
                <w:sz w:val="16"/>
                <w:szCs w:val="16"/>
              </w:rPr>
              <w:t>6,995</w:t>
            </w:r>
          </w:p>
        </w:tc>
      </w:tr>
      <w:tr w:rsidR="00B107E4" w:rsidRPr="006B42D6" w14:paraId="0877F435" w14:textId="77777777" w:rsidTr="00843062">
        <w:trPr>
          <w:trHeight w:val="312"/>
        </w:trPr>
        <w:tc>
          <w:tcPr>
            <w:tcW w:w="989" w:type="pct"/>
            <w:tcBorders>
              <w:top w:val="nil"/>
              <w:left w:val="nil"/>
              <w:bottom w:val="nil"/>
              <w:right w:val="nil"/>
            </w:tcBorders>
            <w:shd w:val="clear" w:color="auto" w:fill="auto"/>
            <w:noWrap/>
            <w:vAlign w:val="bottom"/>
            <w:hideMark/>
          </w:tcPr>
          <w:p w14:paraId="76FAB692" w14:textId="77777777" w:rsidR="00B107E4" w:rsidRPr="00717D76" w:rsidRDefault="00B107E4" w:rsidP="00634172">
            <w:pPr>
              <w:rPr>
                <w:sz w:val="16"/>
                <w:szCs w:val="16"/>
              </w:rPr>
            </w:pPr>
            <w:r w:rsidRPr="00717D76">
              <w:rPr>
                <w:sz w:val="16"/>
                <w:szCs w:val="16"/>
              </w:rPr>
              <w:t>Kigoma</w:t>
            </w:r>
          </w:p>
        </w:tc>
        <w:tc>
          <w:tcPr>
            <w:tcW w:w="1059" w:type="pct"/>
            <w:tcBorders>
              <w:top w:val="nil"/>
              <w:left w:val="nil"/>
              <w:bottom w:val="nil"/>
              <w:right w:val="nil"/>
            </w:tcBorders>
            <w:shd w:val="clear" w:color="auto" w:fill="auto"/>
            <w:noWrap/>
            <w:vAlign w:val="bottom"/>
            <w:hideMark/>
          </w:tcPr>
          <w:p w14:paraId="0B3B0923" w14:textId="549AA441" w:rsidR="00B107E4" w:rsidRPr="00717D76" w:rsidRDefault="00B107E4" w:rsidP="005901E9">
            <w:pPr>
              <w:jc w:val="right"/>
              <w:rPr>
                <w:sz w:val="16"/>
                <w:szCs w:val="16"/>
              </w:rPr>
            </w:pPr>
            <w:r w:rsidRPr="00717D76">
              <w:rPr>
                <w:sz w:val="16"/>
                <w:szCs w:val="16"/>
              </w:rPr>
              <w:t>20,195</w:t>
            </w:r>
          </w:p>
        </w:tc>
        <w:tc>
          <w:tcPr>
            <w:tcW w:w="851" w:type="pct"/>
            <w:tcBorders>
              <w:top w:val="nil"/>
              <w:left w:val="nil"/>
              <w:bottom w:val="nil"/>
              <w:right w:val="nil"/>
            </w:tcBorders>
            <w:shd w:val="clear" w:color="auto" w:fill="auto"/>
            <w:noWrap/>
            <w:vAlign w:val="bottom"/>
            <w:hideMark/>
          </w:tcPr>
          <w:p w14:paraId="72DA2E32" w14:textId="433E5BAA" w:rsidR="00B107E4" w:rsidRPr="00717D76" w:rsidRDefault="00B107E4" w:rsidP="005901E9">
            <w:pPr>
              <w:jc w:val="right"/>
              <w:rPr>
                <w:sz w:val="16"/>
                <w:szCs w:val="16"/>
              </w:rPr>
            </w:pPr>
            <w:r w:rsidRPr="00717D76">
              <w:rPr>
                <w:sz w:val="16"/>
                <w:szCs w:val="16"/>
              </w:rPr>
              <w:t>3,010</w:t>
            </w:r>
          </w:p>
        </w:tc>
        <w:tc>
          <w:tcPr>
            <w:tcW w:w="935" w:type="pct"/>
            <w:tcBorders>
              <w:top w:val="nil"/>
              <w:left w:val="nil"/>
              <w:bottom w:val="nil"/>
              <w:right w:val="nil"/>
            </w:tcBorders>
            <w:shd w:val="clear" w:color="auto" w:fill="auto"/>
            <w:noWrap/>
            <w:vAlign w:val="bottom"/>
            <w:hideMark/>
          </w:tcPr>
          <w:p w14:paraId="372B33FE" w14:textId="6124C929" w:rsidR="00B107E4" w:rsidRPr="00717D76" w:rsidRDefault="00B107E4" w:rsidP="005901E9">
            <w:pPr>
              <w:jc w:val="right"/>
              <w:rPr>
                <w:sz w:val="16"/>
                <w:szCs w:val="16"/>
              </w:rPr>
            </w:pPr>
            <w:r w:rsidRPr="00717D76">
              <w:rPr>
                <w:sz w:val="16"/>
                <w:szCs w:val="16"/>
              </w:rPr>
              <w:t>1,927</w:t>
            </w:r>
          </w:p>
        </w:tc>
        <w:tc>
          <w:tcPr>
            <w:tcW w:w="1166" w:type="pct"/>
            <w:tcBorders>
              <w:top w:val="nil"/>
              <w:left w:val="nil"/>
              <w:bottom w:val="nil"/>
              <w:right w:val="nil"/>
            </w:tcBorders>
            <w:shd w:val="clear" w:color="auto" w:fill="auto"/>
            <w:noWrap/>
            <w:vAlign w:val="bottom"/>
            <w:hideMark/>
          </w:tcPr>
          <w:p w14:paraId="0F766C9F" w14:textId="293227A6" w:rsidR="00B107E4" w:rsidRPr="00717D76" w:rsidRDefault="00B107E4" w:rsidP="005901E9">
            <w:pPr>
              <w:jc w:val="right"/>
              <w:rPr>
                <w:sz w:val="16"/>
                <w:szCs w:val="16"/>
              </w:rPr>
            </w:pPr>
            <w:r w:rsidRPr="00717D76">
              <w:rPr>
                <w:sz w:val="16"/>
                <w:szCs w:val="16"/>
              </w:rPr>
              <w:t>1,306</w:t>
            </w:r>
          </w:p>
        </w:tc>
      </w:tr>
      <w:tr w:rsidR="00B107E4" w:rsidRPr="006B42D6" w14:paraId="30C86655" w14:textId="77777777" w:rsidTr="00843062">
        <w:trPr>
          <w:trHeight w:val="312"/>
        </w:trPr>
        <w:tc>
          <w:tcPr>
            <w:tcW w:w="989" w:type="pct"/>
            <w:tcBorders>
              <w:top w:val="nil"/>
              <w:left w:val="nil"/>
              <w:bottom w:val="nil"/>
              <w:right w:val="nil"/>
            </w:tcBorders>
            <w:shd w:val="clear" w:color="auto" w:fill="auto"/>
            <w:noWrap/>
            <w:vAlign w:val="bottom"/>
            <w:hideMark/>
          </w:tcPr>
          <w:p w14:paraId="7CE04CFF" w14:textId="77777777" w:rsidR="00B107E4" w:rsidRPr="00717D76" w:rsidRDefault="00B107E4" w:rsidP="00634172">
            <w:pPr>
              <w:rPr>
                <w:sz w:val="16"/>
                <w:szCs w:val="16"/>
              </w:rPr>
            </w:pPr>
            <w:r w:rsidRPr="00717D76">
              <w:rPr>
                <w:sz w:val="16"/>
                <w:szCs w:val="16"/>
              </w:rPr>
              <w:t>Kagera</w:t>
            </w:r>
          </w:p>
        </w:tc>
        <w:tc>
          <w:tcPr>
            <w:tcW w:w="1059" w:type="pct"/>
            <w:tcBorders>
              <w:top w:val="nil"/>
              <w:left w:val="nil"/>
              <w:bottom w:val="nil"/>
              <w:right w:val="nil"/>
            </w:tcBorders>
            <w:shd w:val="clear" w:color="auto" w:fill="auto"/>
            <w:noWrap/>
            <w:vAlign w:val="bottom"/>
            <w:hideMark/>
          </w:tcPr>
          <w:p w14:paraId="43F6D83C" w14:textId="091E7329" w:rsidR="00B107E4" w:rsidRPr="00717D76" w:rsidRDefault="00B107E4" w:rsidP="005901E9">
            <w:pPr>
              <w:jc w:val="right"/>
              <w:rPr>
                <w:sz w:val="16"/>
                <w:szCs w:val="16"/>
              </w:rPr>
            </w:pPr>
            <w:r w:rsidRPr="00717D76">
              <w:rPr>
                <w:sz w:val="16"/>
                <w:szCs w:val="16"/>
              </w:rPr>
              <w:t>273,252</w:t>
            </w:r>
          </w:p>
        </w:tc>
        <w:tc>
          <w:tcPr>
            <w:tcW w:w="851" w:type="pct"/>
            <w:tcBorders>
              <w:top w:val="nil"/>
              <w:left w:val="nil"/>
              <w:bottom w:val="nil"/>
              <w:right w:val="nil"/>
            </w:tcBorders>
            <w:shd w:val="clear" w:color="auto" w:fill="auto"/>
            <w:noWrap/>
            <w:vAlign w:val="bottom"/>
            <w:hideMark/>
          </w:tcPr>
          <w:p w14:paraId="6FD24A8A" w14:textId="2ED8656B" w:rsidR="00B107E4" w:rsidRPr="00717D76" w:rsidRDefault="00B107E4" w:rsidP="005901E9">
            <w:pPr>
              <w:jc w:val="right"/>
              <w:rPr>
                <w:sz w:val="16"/>
                <w:szCs w:val="16"/>
              </w:rPr>
            </w:pPr>
            <w:r w:rsidRPr="00717D76">
              <w:rPr>
                <w:sz w:val="16"/>
                <w:szCs w:val="16"/>
              </w:rPr>
              <w:t>78,307</w:t>
            </w:r>
          </w:p>
        </w:tc>
        <w:tc>
          <w:tcPr>
            <w:tcW w:w="935" w:type="pct"/>
            <w:tcBorders>
              <w:top w:val="nil"/>
              <w:left w:val="nil"/>
              <w:bottom w:val="nil"/>
              <w:right w:val="nil"/>
            </w:tcBorders>
            <w:shd w:val="clear" w:color="auto" w:fill="auto"/>
            <w:noWrap/>
            <w:vAlign w:val="bottom"/>
            <w:hideMark/>
          </w:tcPr>
          <w:p w14:paraId="71827AAE" w14:textId="1F26F2C8" w:rsidR="00B107E4" w:rsidRPr="00717D76" w:rsidRDefault="00B107E4" w:rsidP="005901E9">
            <w:pPr>
              <w:jc w:val="right"/>
              <w:rPr>
                <w:sz w:val="16"/>
                <w:szCs w:val="16"/>
              </w:rPr>
            </w:pPr>
            <w:r w:rsidRPr="00717D76">
              <w:rPr>
                <w:sz w:val="16"/>
                <w:szCs w:val="16"/>
              </w:rPr>
              <w:t>64,465</w:t>
            </w:r>
          </w:p>
        </w:tc>
        <w:tc>
          <w:tcPr>
            <w:tcW w:w="1166" w:type="pct"/>
            <w:tcBorders>
              <w:top w:val="nil"/>
              <w:left w:val="nil"/>
              <w:bottom w:val="nil"/>
              <w:right w:val="nil"/>
            </w:tcBorders>
            <w:shd w:val="clear" w:color="auto" w:fill="auto"/>
            <w:noWrap/>
            <w:vAlign w:val="bottom"/>
            <w:hideMark/>
          </w:tcPr>
          <w:p w14:paraId="35A94A71" w14:textId="14555CA5" w:rsidR="00B107E4" w:rsidRPr="00717D76" w:rsidRDefault="00B107E4" w:rsidP="005901E9">
            <w:pPr>
              <w:jc w:val="right"/>
              <w:rPr>
                <w:sz w:val="16"/>
                <w:szCs w:val="16"/>
              </w:rPr>
            </w:pPr>
            <w:r w:rsidRPr="00717D76">
              <w:rPr>
                <w:sz w:val="16"/>
                <w:szCs w:val="16"/>
              </w:rPr>
              <w:t>44,915</w:t>
            </w:r>
          </w:p>
        </w:tc>
      </w:tr>
      <w:tr w:rsidR="00B107E4" w:rsidRPr="006B42D6" w14:paraId="2816F04C" w14:textId="77777777" w:rsidTr="00843062">
        <w:trPr>
          <w:trHeight w:val="312"/>
        </w:trPr>
        <w:tc>
          <w:tcPr>
            <w:tcW w:w="989" w:type="pct"/>
            <w:tcBorders>
              <w:top w:val="nil"/>
              <w:left w:val="nil"/>
              <w:bottom w:val="nil"/>
              <w:right w:val="nil"/>
            </w:tcBorders>
            <w:shd w:val="clear" w:color="auto" w:fill="auto"/>
            <w:noWrap/>
            <w:vAlign w:val="bottom"/>
            <w:hideMark/>
          </w:tcPr>
          <w:p w14:paraId="130AA791" w14:textId="77777777" w:rsidR="00B107E4" w:rsidRPr="00717D76" w:rsidRDefault="00B107E4" w:rsidP="00634172">
            <w:pPr>
              <w:rPr>
                <w:sz w:val="16"/>
                <w:szCs w:val="16"/>
              </w:rPr>
            </w:pPr>
            <w:r w:rsidRPr="00717D76">
              <w:rPr>
                <w:sz w:val="16"/>
                <w:szCs w:val="16"/>
              </w:rPr>
              <w:t>Mwanza</w:t>
            </w:r>
          </w:p>
        </w:tc>
        <w:tc>
          <w:tcPr>
            <w:tcW w:w="1059" w:type="pct"/>
            <w:tcBorders>
              <w:top w:val="nil"/>
              <w:left w:val="nil"/>
              <w:bottom w:val="nil"/>
              <w:right w:val="nil"/>
            </w:tcBorders>
            <w:shd w:val="clear" w:color="auto" w:fill="auto"/>
            <w:noWrap/>
            <w:vAlign w:val="bottom"/>
            <w:hideMark/>
          </w:tcPr>
          <w:p w14:paraId="1ACB339B" w14:textId="28E84C1C" w:rsidR="00B107E4" w:rsidRPr="00717D76" w:rsidRDefault="00B107E4" w:rsidP="005901E9">
            <w:pPr>
              <w:jc w:val="right"/>
              <w:rPr>
                <w:sz w:val="16"/>
                <w:szCs w:val="16"/>
              </w:rPr>
            </w:pPr>
            <w:r w:rsidRPr="00717D76">
              <w:rPr>
                <w:sz w:val="16"/>
                <w:szCs w:val="16"/>
              </w:rPr>
              <w:t>416</w:t>
            </w:r>
          </w:p>
        </w:tc>
        <w:tc>
          <w:tcPr>
            <w:tcW w:w="851" w:type="pct"/>
            <w:tcBorders>
              <w:top w:val="nil"/>
              <w:left w:val="nil"/>
              <w:bottom w:val="nil"/>
              <w:right w:val="nil"/>
            </w:tcBorders>
            <w:shd w:val="clear" w:color="auto" w:fill="auto"/>
            <w:noWrap/>
            <w:vAlign w:val="bottom"/>
            <w:hideMark/>
          </w:tcPr>
          <w:p w14:paraId="00877131" w14:textId="47F6EA3F" w:rsidR="00B107E4" w:rsidRPr="00717D76" w:rsidRDefault="00B107E4" w:rsidP="005901E9">
            <w:pPr>
              <w:jc w:val="right"/>
              <w:rPr>
                <w:sz w:val="16"/>
                <w:szCs w:val="16"/>
              </w:rPr>
            </w:pPr>
            <w:r w:rsidRPr="00717D76">
              <w:rPr>
                <w:sz w:val="16"/>
                <w:szCs w:val="16"/>
              </w:rPr>
              <w:t>321</w:t>
            </w:r>
          </w:p>
        </w:tc>
        <w:tc>
          <w:tcPr>
            <w:tcW w:w="935" w:type="pct"/>
            <w:tcBorders>
              <w:top w:val="nil"/>
              <w:left w:val="nil"/>
              <w:bottom w:val="nil"/>
              <w:right w:val="nil"/>
            </w:tcBorders>
            <w:shd w:val="clear" w:color="auto" w:fill="auto"/>
            <w:noWrap/>
            <w:vAlign w:val="bottom"/>
            <w:hideMark/>
          </w:tcPr>
          <w:p w14:paraId="670E1AE6" w14:textId="25A62D2C" w:rsidR="00B107E4" w:rsidRPr="00717D76" w:rsidRDefault="00B107E4" w:rsidP="005901E9">
            <w:pPr>
              <w:jc w:val="right"/>
              <w:rPr>
                <w:sz w:val="16"/>
                <w:szCs w:val="16"/>
              </w:rPr>
            </w:pPr>
            <w:r w:rsidRPr="00717D76">
              <w:rPr>
                <w:sz w:val="16"/>
                <w:szCs w:val="16"/>
              </w:rPr>
              <w:t>52</w:t>
            </w:r>
          </w:p>
        </w:tc>
        <w:tc>
          <w:tcPr>
            <w:tcW w:w="1166" w:type="pct"/>
            <w:tcBorders>
              <w:top w:val="nil"/>
              <w:left w:val="nil"/>
              <w:bottom w:val="nil"/>
              <w:right w:val="nil"/>
            </w:tcBorders>
            <w:shd w:val="clear" w:color="auto" w:fill="auto"/>
            <w:noWrap/>
            <w:vAlign w:val="bottom"/>
            <w:hideMark/>
          </w:tcPr>
          <w:p w14:paraId="232AC8F1" w14:textId="21F4BD85" w:rsidR="00B107E4" w:rsidRPr="00717D76" w:rsidRDefault="00B107E4" w:rsidP="005901E9">
            <w:pPr>
              <w:jc w:val="right"/>
              <w:rPr>
                <w:sz w:val="16"/>
                <w:szCs w:val="16"/>
              </w:rPr>
            </w:pPr>
            <w:r w:rsidRPr="00717D76">
              <w:rPr>
                <w:sz w:val="16"/>
                <w:szCs w:val="16"/>
              </w:rPr>
              <w:t>26</w:t>
            </w:r>
          </w:p>
        </w:tc>
      </w:tr>
      <w:tr w:rsidR="00B107E4" w:rsidRPr="006B42D6" w14:paraId="1929273E" w14:textId="77777777" w:rsidTr="00843062">
        <w:trPr>
          <w:trHeight w:val="312"/>
        </w:trPr>
        <w:tc>
          <w:tcPr>
            <w:tcW w:w="989" w:type="pct"/>
            <w:tcBorders>
              <w:top w:val="nil"/>
              <w:left w:val="nil"/>
              <w:bottom w:val="nil"/>
              <w:right w:val="nil"/>
            </w:tcBorders>
            <w:shd w:val="clear" w:color="auto" w:fill="auto"/>
            <w:noWrap/>
            <w:vAlign w:val="bottom"/>
            <w:hideMark/>
          </w:tcPr>
          <w:p w14:paraId="130D6CDA" w14:textId="77777777" w:rsidR="00B107E4" w:rsidRPr="00717D76" w:rsidRDefault="00B107E4" w:rsidP="00634172">
            <w:pPr>
              <w:rPr>
                <w:sz w:val="16"/>
                <w:szCs w:val="16"/>
              </w:rPr>
            </w:pPr>
            <w:r w:rsidRPr="00717D76">
              <w:rPr>
                <w:sz w:val="16"/>
                <w:szCs w:val="16"/>
              </w:rPr>
              <w:t>Mara</w:t>
            </w:r>
          </w:p>
        </w:tc>
        <w:tc>
          <w:tcPr>
            <w:tcW w:w="1059" w:type="pct"/>
            <w:tcBorders>
              <w:top w:val="nil"/>
              <w:left w:val="nil"/>
              <w:bottom w:val="nil"/>
              <w:right w:val="nil"/>
            </w:tcBorders>
            <w:shd w:val="clear" w:color="auto" w:fill="auto"/>
            <w:noWrap/>
            <w:vAlign w:val="bottom"/>
            <w:hideMark/>
          </w:tcPr>
          <w:p w14:paraId="0515A77D" w14:textId="2E996600" w:rsidR="00B107E4" w:rsidRPr="00717D76" w:rsidRDefault="00B107E4" w:rsidP="005901E9">
            <w:pPr>
              <w:jc w:val="right"/>
              <w:rPr>
                <w:sz w:val="16"/>
                <w:szCs w:val="16"/>
              </w:rPr>
            </w:pPr>
            <w:r w:rsidRPr="00717D76">
              <w:rPr>
                <w:sz w:val="16"/>
                <w:szCs w:val="16"/>
              </w:rPr>
              <w:t>2,790</w:t>
            </w:r>
          </w:p>
        </w:tc>
        <w:tc>
          <w:tcPr>
            <w:tcW w:w="851" w:type="pct"/>
            <w:tcBorders>
              <w:top w:val="nil"/>
              <w:left w:val="nil"/>
              <w:bottom w:val="nil"/>
              <w:right w:val="nil"/>
            </w:tcBorders>
            <w:shd w:val="clear" w:color="auto" w:fill="auto"/>
            <w:noWrap/>
            <w:vAlign w:val="bottom"/>
            <w:hideMark/>
          </w:tcPr>
          <w:p w14:paraId="2AC7140B" w14:textId="43BC6398" w:rsidR="00B107E4" w:rsidRPr="00717D76" w:rsidRDefault="00B107E4" w:rsidP="005901E9">
            <w:pPr>
              <w:jc w:val="right"/>
              <w:rPr>
                <w:sz w:val="16"/>
                <w:szCs w:val="16"/>
              </w:rPr>
            </w:pPr>
            <w:r w:rsidRPr="00717D76">
              <w:rPr>
                <w:sz w:val="16"/>
                <w:szCs w:val="16"/>
              </w:rPr>
              <w:t>969</w:t>
            </w:r>
          </w:p>
        </w:tc>
        <w:tc>
          <w:tcPr>
            <w:tcW w:w="935" w:type="pct"/>
            <w:tcBorders>
              <w:top w:val="nil"/>
              <w:left w:val="nil"/>
              <w:bottom w:val="nil"/>
              <w:right w:val="nil"/>
            </w:tcBorders>
            <w:shd w:val="clear" w:color="auto" w:fill="auto"/>
            <w:noWrap/>
            <w:vAlign w:val="bottom"/>
            <w:hideMark/>
          </w:tcPr>
          <w:p w14:paraId="3258B53A" w14:textId="612F5165" w:rsidR="00B107E4" w:rsidRPr="00717D76" w:rsidRDefault="00B107E4" w:rsidP="005901E9">
            <w:pPr>
              <w:jc w:val="right"/>
              <w:rPr>
                <w:sz w:val="16"/>
                <w:szCs w:val="16"/>
              </w:rPr>
            </w:pPr>
            <w:r w:rsidRPr="00717D76">
              <w:rPr>
                <w:sz w:val="16"/>
                <w:szCs w:val="16"/>
              </w:rPr>
              <w:t>353</w:t>
            </w:r>
          </w:p>
        </w:tc>
        <w:tc>
          <w:tcPr>
            <w:tcW w:w="1166" w:type="pct"/>
            <w:tcBorders>
              <w:top w:val="nil"/>
              <w:left w:val="nil"/>
              <w:bottom w:val="nil"/>
              <w:right w:val="nil"/>
            </w:tcBorders>
            <w:shd w:val="clear" w:color="auto" w:fill="auto"/>
            <w:noWrap/>
            <w:vAlign w:val="bottom"/>
            <w:hideMark/>
          </w:tcPr>
          <w:p w14:paraId="102D33A3" w14:textId="4C9DDEEA" w:rsidR="00B107E4" w:rsidRPr="00717D76" w:rsidRDefault="00B107E4" w:rsidP="005901E9">
            <w:pPr>
              <w:jc w:val="right"/>
              <w:rPr>
                <w:sz w:val="16"/>
                <w:szCs w:val="16"/>
              </w:rPr>
            </w:pPr>
            <w:r w:rsidRPr="00717D76">
              <w:rPr>
                <w:sz w:val="16"/>
                <w:szCs w:val="16"/>
              </w:rPr>
              <w:t>252</w:t>
            </w:r>
          </w:p>
        </w:tc>
      </w:tr>
      <w:tr w:rsidR="00B107E4" w:rsidRPr="006B42D6" w14:paraId="307B93E5" w14:textId="77777777" w:rsidTr="00843062">
        <w:trPr>
          <w:trHeight w:val="312"/>
        </w:trPr>
        <w:tc>
          <w:tcPr>
            <w:tcW w:w="989" w:type="pct"/>
            <w:tcBorders>
              <w:top w:val="nil"/>
              <w:left w:val="nil"/>
              <w:bottom w:val="nil"/>
              <w:right w:val="nil"/>
            </w:tcBorders>
            <w:shd w:val="clear" w:color="auto" w:fill="auto"/>
            <w:noWrap/>
            <w:vAlign w:val="bottom"/>
            <w:hideMark/>
          </w:tcPr>
          <w:p w14:paraId="5AD33D74" w14:textId="77777777" w:rsidR="00B107E4" w:rsidRPr="00717D76" w:rsidRDefault="00B107E4" w:rsidP="00634172">
            <w:pPr>
              <w:rPr>
                <w:sz w:val="16"/>
                <w:szCs w:val="16"/>
              </w:rPr>
            </w:pPr>
            <w:r w:rsidRPr="00717D76">
              <w:rPr>
                <w:sz w:val="16"/>
                <w:szCs w:val="16"/>
              </w:rPr>
              <w:t>Manyara</w:t>
            </w:r>
          </w:p>
        </w:tc>
        <w:tc>
          <w:tcPr>
            <w:tcW w:w="1059" w:type="pct"/>
            <w:tcBorders>
              <w:top w:val="nil"/>
              <w:left w:val="nil"/>
              <w:bottom w:val="nil"/>
              <w:right w:val="nil"/>
            </w:tcBorders>
            <w:shd w:val="clear" w:color="auto" w:fill="auto"/>
            <w:noWrap/>
            <w:vAlign w:val="bottom"/>
            <w:hideMark/>
          </w:tcPr>
          <w:p w14:paraId="74E9735D" w14:textId="721604E0" w:rsidR="00B107E4" w:rsidRPr="00717D76" w:rsidRDefault="00B107E4" w:rsidP="005901E9">
            <w:pPr>
              <w:jc w:val="right"/>
              <w:rPr>
                <w:sz w:val="16"/>
                <w:szCs w:val="16"/>
              </w:rPr>
            </w:pPr>
            <w:r w:rsidRPr="00717D76">
              <w:rPr>
                <w:sz w:val="16"/>
                <w:szCs w:val="16"/>
              </w:rPr>
              <w:t>93</w:t>
            </w:r>
          </w:p>
        </w:tc>
        <w:tc>
          <w:tcPr>
            <w:tcW w:w="851" w:type="pct"/>
            <w:tcBorders>
              <w:top w:val="nil"/>
              <w:left w:val="nil"/>
              <w:bottom w:val="nil"/>
              <w:right w:val="nil"/>
            </w:tcBorders>
            <w:shd w:val="clear" w:color="auto" w:fill="auto"/>
            <w:noWrap/>
            <w:vAlign w:val="bottom"/>
            <w:hideMark/>
          </w:tcPr>
          <w:p w14:paraId="3AFBAA07" w14:textId="35270CA2" w:rsidR="00B107E4" w:rsidRPr="00717D76" w:rsidRDefault="00B107E4" w:rsidP="005901E9">
            <w:pPr>
              <w:jc w:val="right"/>
              <w:rPr>
                <w:sz w:val="16"/>
                <w:szCs w:val="16"/>
              </w:rPr>
            </w:pPr>
            <w:r w:rsidRPr="00717D76">
              <w:rPr>
                <w:sz w:val="16"/>
                <w:szCs w:val="16"/>
              </w:rPr>
              <w:t>38</w:t>
            </w:r>
          </w:p>
        </w:tc>
        <w:tc>
          <w:tcPr>
            <w:tcW w:w="935" w:type="pct"/>
            <w:tcBorders>
              <w:top w:val="nil"/>
              <w:left w:val="nil"/>
              <w:bottom w:val="nil"/>
              <w:right w:val="nil"/>
            </w:tcBorders>
            <w:shd w:val="clear" w:color="auto" w:fill="auto"/>
            <w:noWrap/>
            <w:vAlign w:val="bottom"/>
            <w:hideMark/>
          </w:tcPr>
          <w:p w14:paraId="63B6901A" w14:textId="7D9AC776" w:rsidR="00B107E4" w:rsidRPr="00717D76" w:rsidRDefault="00B107E4" w:rsidP="005901E9">
            <w:pPr>
              <w:jc w:val="right"/>
              <w:rPr>
                <w:sz w:val="16"/>
                <w:szCs w:val="16"/>
              </w:rPr>
            </w:pPr>
            <w:r w:rsidRPr="00717D76">
              <w:rPr>
                <w:sz w:val="16"/>
                <w:szCs w:val="16"/>
              </w:rPr>
              <w:t>38</w:t>
            </w:r>
          </w:p>
        </w:tc>
        <w:tc>
          <w:tcPr>
            <w:tcW w:w="1166" w:type="pct"/>
            <w:tcBorders>
              <w:top w:val="nil"/>
              <w:left w:val="nil"/>
              <w:bottom w:val="nil"/>
              <w:right w:val="nil"/>
            </w:tcBorders>
            <w:shd w:val="clear" w:color="auto" w:fill="auto"/>
            <w:noWrap/>
            <w:vAlign w:val="bottom"/>
            <w:hideMark/>
          </w:tcPr>
          <w:p w14:paraId="6DC3332C" w14:textId="5EFC7DBB" w:rsidR="00B107E4" w:rsidRPr="00717D76" w:rsidRDefault="00B107E4" w:rsidP="005901E9">
            <w:pPr>
              <w:jc w:val="right"/>
              <w:rPr>
                <w:sz w:val="16"/>
                <w:szCs w:val="16"/>
              </w:rPr>
            </w:pPr>
            <w:r w:rsidRPr="00717D76">
              <w:rPr>
                <w:sz w:val="16"/>
                <w:szCs w:val="16"/>
              </w:rPr>
              <w:t>9</w:t>
            </w:r>
          </w:p>
        </w:tc>
      </w:tr>
      <w:tr w:rsidR="00B107E4" w:rsidRPr="006B42D6" w14:paraId="59077852" w14:textId="77777777" w:rsidTr="00843062">
        <w:trPr>
          <w:trHeight w:val="312"/>
        </w:trPr>
        <w:tc>
          <w:tcPr>
            <w:tcW w:w="989" w:type="pct"/>
            <w:tcBorders>
              <w:top w:val="nil"/>
              <w:left w:val="nil"/>
              <w:bottom w:val="nil"/>
              <w:right w:val="nil"/>
            </w:tcBorders>
            <w:shd w:val="clear" w:color="auto" w:fill="auto"/>
            <w:noWrap/>
            <w:vAlign w:val="bottom"/>
            <w:hideMark/>
          </w:tcPr>
          <w:p w14:paraId="0FE5811A" w14:textId="77777777" w:rsidR="00B107E4" w:rsidRPr="00717D76" w:rsidRDefault="00B107E4" w:rsidP="00634172">
            <w:pPr>
              <w:rPr>
                <w:sz w:val="16"/>
                <w:szCs w:val="16"/>
              </w:rPr>
            </w:pPr>
            <w:r w:rsidRPr="00717D76">
              <w:rPr>
                <w:sz w:val="16"/>
                <w:szCs w:val="16"/>
              </w:rPr>
              <w:t>Njombe</w:t>
            </w:r>
          </w:p>
        </w:tc>
        <w:tc>
          <w:tcPr>
            <w:tcW w:w="1059" w:type="pct"/>
            <w:tcBorders>
              <w:top w:val="nil"/>
              <w:left w:val="nil"/>
              <w:bottom w:val="nil"/>
              <w:right w:val="nil"/>
            </w:tcBorders>
            <w:shd w:val="clear" w:color="auto" w:fill="auto"/>
            <w:noWrap/>
            <w:vAlign w:val="bottom"/>
            <w:hideMark/>
          </w:tcPr>
          <w:p w14:paraId="72966BCE" w14:textId="4C5F262D" w:rsidR="00B107E4" w:rsidRPr="00717D76" w:rsidRDefault="00B107E4" w:rsidP="005901E9">
            <w:pPr>
              <w:jc w:val="right"/>
              <w:rPr>
                <w:sz w:val="16"/>
                <w:szCs w:val="16"/>
              </w:rPr>
            </w:pPr>
            <w:r w:rsidRPr="00717D76">
              <w:rPr>
                <w:sz w:val="16"/>
                <w:szCs w:val="16"/>
              </w:rPr>
              <w:t>1,190</w:t>
            </w:r>
          </w:p>
        </w:tc>
        <w:tc>
          <w:tcPr>
            <w:tcW w:w="851" w:type="pct"/>
            <w:tcBorders>
              <w:top w:val="nil"/>
              <w:left w:val="nil"/>
              <w:bottom w:val="nil"/>
              <w:right w:val="nil"/>
            </w:tcBorders>
            <w:shd w:val="clear" w:color="auto" w:fill="auto"/>
            <w:noWrap/>
            <w:vAlign w:val="bottom"/>
            <w:hideMark/>
          </w:tcPr>
          <w:p w14:paraId="0FB2A1DE" w14:textId="68DB78BD" w:rsidR="00B107E4" w:rsidRPr="00717D76" w:rsidRDefault="00B107E4" w:rsidP="005901E9">
            <w:pPr>
              <w:jc w:val="right"/>
              <w:rPr>
                <w:sz w:val="16"/>
                <w:szCs w:val="16"/>
              </w:rPr>
            </w:pPr>
            <w:r w:rsidRPr="00717D76">
              <w:rPr>
                <w:sz w:val="16"/>
                <w:szCs w:val="16"/>
              </w:rPr>
              <w:t>461</w:t>
            </w:r>
          </w:p>
        </w:tc>
        <w:tc>
          <w:tcPr>
            <w:tcW w:w="935" w:type="pct"/>
            <w:tcBorders>
              <w:top w:val="nil"/>
              <w:left w:val="nil"/>
              <w:bottom w:val="nil"/>
              <w:right w:val="nil"/>
            </w:tcBorders>
            <w:shd w:val="clear" w:color="auto" w:fill="auto"/>
            <w:noWrap/>
            <w:vAlign w:val="bottom"/>
            <w:hideMark/>
          </w:tcPr>
          <w:p w14:paraId="52F88801" w14:textId="7B691E71" w:rsidR="00B107E4" w:rsidRPr="00717D76" w:rsidRDefault="00B107E4" w:rsidP="005901E9">
            <w:pPr>
              <w:jc w:val="right"/>
              <w:rPr>
                <w:sz w:val="16"/>
                <w:szCs w:val="16"/>
              </w:rPr>
            </w:pPr>
            <w:r w:rsidRPr="00717D76">
              <w:rPr>
                <w:sz w:val="16"/>
                <w:szCs w:val="16"/>
              </w:rPr>
              <w:t>387</w:t>
            </w:r>
          </w:p>
        </w:tc>
        <w:tc>
          <w:tcPr>
            <w:tcW w:w="1166" w:type="pct"/>
            <w:tcBorders>
              <w:top w:val="nil"/>
              <w:left w:val="nil"/>
              <w:bottom w:val="nil"/>
              <w:right w:val="nil"/>
            </w:tcBorders>
            <w:shd w:val="clear" w:color="auto" w:fill="auto"/>
            <w:noWrap/>
            <w:vAlign w:val="bottom"/>
            <w:hideMark/>
          </w:tcPr>
          <w:p w14:paraId="23867DB5" w14:textId="48C8B43D" w:rsidR="00B107E4" w:rsidRPr="00717D76" w:rsidRDefault="00B107E4" w:rsidP="005901E9">
            <w:pPr>
              <w:jc w:val="right"/>
              <w:rPr>
                <w:sz w:val="16"/>
                <w:szCs w:val="16"/>
              </w:rPr>
            </w:pPr>
            <w:r w:rsidRPr="00717D76">
              <w:rPr>
                <w:sz w:val="16"/>
                <w:szCs w:val="16"/>
              </w:rPr>
              <w:t>195</w:t>
            </w:r>
          </w:p>
        </w:tc>
      </w:tr>
      <w:tr w:rsidR="00B107E4" w:rsidRPr="006B42D6" w14:paraId="3D445282" w14:textId="77777777" w:rsidTr="00843062">
        <w:trPr>
          <w:trHeight w:val="312"/>
        </w:trPr>
        <w:tc>
          <w:tcPr>
            <w:tcW w:w="989" w:type="pct"/>
            <w:tcBorders>
              <w:top w:val="nil"/>
              <w:left w:val="nil"/>
              <w:bottom w:val="nil"/>
              <w:right w:val="nil"/>
            </w:tcBorders>
            <w:shd w:val="clear" w:color="auto" w:fill="auto"/>
            <w:noWrap/>
            <w:vAlign w:val="bottom"/>
            <w:hideMark/>
          </w:tcPr>
          <w:p w14:paraId="0E9FCED0" w14:textId="77777777" w:rsidR="00B107E4" w:rsidRPr="00717D76" w:rsidRDefault="00B107E4" w:rsidP="00634172">
            <w:pPr>
              <w:rPr>
                <w:sz w:val="16"/>
                <w:szCs w:val="16"/>
              </w:rPr>
            </w:pPr>
            <w:r w:rsidRPr="00717D76">
              <w:rPr>
                <w:sz w:val="16"/>
                <w:szCs w:val="16"/>
              </w:rPr>
              <w:t>Katavi</w:t>
            </w:r>
          </w:p>
        </w:tc>
        <w:tc>
          <w:tcPr>
            <w:tcW w:w="1059" w:type="pct"/>
            <w:tcBorders>
              <w:top w:val="nil"/>
              <w:left w:val="nil"/>
              <w:bottom w:val="nil"/>
              <w:right w:val="nil"/>
            </w:tcBorders>
            <w:shd w:val="clear" w:color="auto" w:fill="auto"/>
            <w:noWrap/>
            <w:vAlign w:val="bottom"/>
            <w:hideMark/>
          </w:tcPr>
          <w:p w14:paraId="23CDC00E" w14:textId="567931AD" w:rsidR="00B107E4" w:rsidRPr="00717D76" w:rsidRDefault="00B107E4" w:rsidP="005901E9">
            <w:pPr>
              <w:jc w:val="right"/>
              <w:rPr>
                <w:sz w:val="16"/>
                <w:szCs w:val="16"/>
              </w:rPr>
            </w:pPr>
            <w:r w:rsidRPr="00717D76">
              <w:rPr>
                <w:sz w:val="16"/>
                <w:szCs w:val="16"/>
              </w:rPr>
              <w:t>281</w:t>
            </w:r>
          </w:p>
        </w:tc>
        <w:tc>
          <w:tcPr>
            <w:tcW w:w="851" w:type="pct"/>
            <w:tcBorders>
              <w:top w:val="nil"/>
              <w:left w:val="nil"/>
              <w:bottom w:val="nil"/>
              <w:right w:val="nil"/>
            </w:tcBorders>
            <w:shd w:val="clear" w:color="auto" w:fill="auto"/>
            <w:noWrap/>
            <w:vAlign w:val="bottom"/>
            <w:hideMark/>
          </w:tcPr>
          <w:p w14:paraId="274D9F4C" w14:textId="293D1E5C" w:rsidR="00B107E4" w:rsidRPr="00717D76" w:rsidRDefault="00B107E4" w:rsidP="005901E9">
            <w:pPr>
              <w:jc w:val="right"/>
              <w:rPr>
                <w:sz w:val="16"/>
                <w:szCs w:val="16"/>
              </w:rPr>
            </w:pPr>
            <w:r w:rsidRPr="00717D76">
              <w:rPr>
                <w:sz w:val="16"/>
                <w:szCs w:val="16"/>
              </w:rPr>
              <w:t>143</w:t>
            </w:r>
          </w:p>
        </w:tc>
        <w:tc>
          <w:tcPr>
            <w:tcW w:w="935" w:type="pct"/>
            <w:tcBorders>
              <w:top w:val="nil"/>
              <w:left w:val="nil"/>
              <w:bottom w:val="nil"/>
              <w:right w:val="nil"/>
            </w:tcBorders>
            <w:shd w:val="clear" w:color="auto" w:fill="auto"/>
            <w:noWrap/>
            <w:vAlign w:val="bottom"/>
            <w:hideMark/>
          </w:tcPr>
          <w:p w14:paraId="67E4E1A7" w14:textId="45644E34" w:rsidR="00B107E4" w:rsidRPr="00717D76" w:rsidRDefault="00B107E4" w:rsidP="005901E9">
            <w:pPr>
              <w:jc w:val="right"/>
              <w:rPr>
                <w:sz w:val="16"/>
                <w:szCs w:val="16"/>
              </w:rPr>
            </w:pPr>
            <w:r w:rsidRPr="00717D76">
              <w:rPr>
                <w:sz w:val="16"/>
                <w:szCs w:val="16"/>
              </w:rPr>
              <w:t>107</w:t>
            </w:r>
          </w:p>
        </w:tc>
        <w:tc>
          <w:tcPr>
            <w:tcW w:w="1166" w:type="pct"/>
            <w:tcBorders>
              <w:top w:val="nil"/>
              <w:left w:val="nil"/>
              <w:bottom w:val="nil"/>
              <w:right w:val="nil"/>
            </w:tcBorders>
            <w:shd w:val="clear" w:color="auto" w:fill="auto"/>
            <w:noWrap/>
            <w:vAlign w:val="bottom"/>
            <w:hideMark/>
          </w:tcPr>
          <w:p w14:paraId="52B1A29A" w14:textId="3BF8F962" w:rsidR="00B107E4" w:rsidRPr="00717D76" w:rsidRDefault="00B107E4" w:rsidP="005901E9">
            <w:pPr>
              <w:jc w:val="right"/>
              <w:rPr>
                <w:sz w:val="16"/>
                <w:szCs w:val="16"/>
              </w:rPr>
            </w:pPr>
            <w:r w:rsidRPr="00717D76">
              <w:rPr>
                <w:sz w:val="16"/>
                <w:szCs w:val="16"/>
              </w:rPr>
              <w:t>21</w:t>
            </w:r>
          </w:p>
        </w:tc>
      </w:tr>
      <w:tr w:rsidR="00B107E4" w:rsidRPr="006B42D6" w14:paraId="5EBDFCC8" w14:textId="77777777" w:rsidTr="00843062">
        <w:trPr>
          <w:trHeight w:val="312"/>
        </w:trPr>
        <w:tc>
          <w:tcPr>
            <w:tcW w:w="989" w:type="pct"/>
            <w:tcBorders>
              <w:top w:val="nil"/>
              <w:left w:val="nil"/>
              <w:bottom w:val="single" w:sz="4" w:space="0" w:color="auto"/>
              <w:right w:val="nil"/>
            </w:tcBorders>
            <w:shd w:val="clear" w:color="auto" w:fill="auto"/>
            <w:noWrap/>
            <w:vAlign w:val="bottom"/>
            <w:hideMark/>
          </w:tcPr>
          <w:p w14:paraId="011E2CEE" w14:textId="77777777" w:rsidR="00B107E4" w:rsidRPr="00717D76" w:rsidRDefault="00B107E4" w:rsidP="00634172">
            <w:pPr>
              <w:rPr>
                <w:sz w:val="16"/>
                <w:szCs w:val="16"/>
              </w:rPr>
            </w:pPr>
            <w:r w:rsidRPr="00717D76">
              <w:rPr>
                <w:sz w:val="16"/>
                <w:szCs w:val="16"/>
              </w:rPr>
              <w:t>Songwe</w:t>
            </w:r>
          </w:p>
        </w:tc>
        <w:tc>
          <w:tcPr>
            <w:tcW w:w="1059" w:type="pct"/>
            <w:tcBorders>
              <w:top w:val="nil"/>
              <w:left w:val="nil"/>
              <w:bottom w:val="single" w:sz="4" w:space="0" w:color="auto"/>
              <w:right w:val="nil"/>
            </w:tcBorders>
            <w:shd w:val="clear" w:color="auto" w:fill="auto"/>
            <w:noWrap/>
            <w:vAlign w:val="bottom"/>
            <w:hideMark/>
          </w:tcPr>
          <w:p w14:paraId="7DAE68EB" w14:textId="384F0084" w:rsidR="00B107E4" w:rsidRPr="00717D76" w:rsidRDefault="00B107E4" w:rsidP="005901E9">
            <w:pPr>
              <w:jc w:val="right"/>
              <w:rPr>
                <w:sz w:val="16"/>
                <w:szCs w:val="16"/>
              </w:rPr>
            </w:pPr>
            <w:r w:rsidRPr="00717D76">
              <w:rPr>
                <w:sz w:val="16"/>
                <w:szCs w:val="16"/>
              </w:rPr>
              <w:t>25,583</w:t>
            </w:r>
          </w:p>
        </w:tc>
        <w:tc>
          <w:tcPr>
            <w:tcW w:w="851" w:type="pct"/>
            <w:tcBorders>
              <w:top w:val="nil"/>
              <w:left w:val="nil"/>
              <w:bottom w:val="single" w:sz="4" w:space="0" w:color="auto"/>
              <w:right w:val="nil"/>
            </w:tcBorders>
            <w:shd w:val="clear" w:color="auto" w:fill="auto"/>
            <w:noWrap/>
            <w:vAlign w:val="bottom"/>
            <w:hideMark/>
          </w:tcPr>
          <w:p w14:paraId="26FC03FF" w14:textId="55FB858A" w:rsidR="00B107E4" w:rsidRPr="00717D76" w:rsidRDefault="00B107E4" w:rsidP="005901E9">
            <w:pPr>
              <w:jc w:val="right"/>
              <w:rPr>
                <w:sz w:val="16"/>
                <w:szCs w:val="16"/>
              </w:rPr>
            </w:pPr>
            <w:r w:rsidRPr="00717D76">
              <w:rPr>
                <w:sz w:val="16"/>
                <w:szCs w:val="16"/>
              </w:rPr>
              <w:t>13,110</w:t>
            </w:r>
          </w:p>
        </w:tc>
        <w:tc>
          <w:tcPr>
            <w:tcW w:w="935" w:type="pct"/>
            <w:tcBorders>
              <w:top w:val="nil"/>
              <w:left w:val="nil"/>
              <w:bottom w:val="single" w:sz="4" w:space="0" w:color="auto"/>
              <w:right w:val="nil"/>
            </w:tcBorders>
            <w:shd w:val="clear" w:color="auto" w:fill="auto"/>
            <w:noWrap/>
            <w:vAlign w:val="bottom"/>
            <w:hideMark/>
          </w:tcPr>
          <w:p w14:paraId="2D321FFC" w14:textId="60640B20" w:rsidR="00B107E4" w:rsidRPr="00717D76" w:rsidRDefault="00B107E4" w:rsidP="005901E9">
            <w:pPr>
              <w:jc w:val="right"/>
              <w:rPr>
                <w:sz w:val="16"/>
                <w:szCs w:val="16"/>
              </w:rPr>
            </w:pPr>
            <w:r w:rsidRPr="00717D76">
              <w:rPr>
                <w:sz w:val="16"/>
                <w:szCs w:val="16"/>
              </w:rPr>
              <w:t>9,738</w:t>
            </w:r>
          </w:p>
        </w:tc>
        <w:tc>
          <w:tcPr>
            <w:tcW w:w="1166" w:type="pct"/>
            <w:tcBorders>
              <w:top w:val="nil"/>
              <w:left w:val="nil"/>
              <w:bottom w:val="single" w:sz="4" w:space="0" w:color="auto"/>
              <w:right w:val="nil"/>
            </w:tcBorders>
            <w:shd w:val="clear" w:color="auto" w:fill="auto"/>
            <w:noWrap/>
            <w:vAlign w:val="bottom"/>
            <w:hideMark/>
          </w:tcPr>
          <w:p w14:paraId="7701D1EC" w14:textId="51B957FC" w:rsidR="00B107E4" w:rsidRPr="00717D76" w:rsidRDefault="00B107E4" w:rsidP="005901E9">
            <w:pPr>
              <w:jc w:val="right"/>
              <w:rPr>
                <w:sz w:val="16"/>
                <w:szCs w:val="16"/>
              </w:rPr>
            </w:pPr>
            <w:r w:rsidRPr="00717D76">
              <w:rPr>
                <w:sz w:val="16"/>
                <w:szCs w:val="16"/>
              </w:rPr>
              <w:t>7,176</w:t>
            </w:r>
          </w:p>
        </w:tc>
      </w:tr>
      <w:tr w:rsidR="00B107E4" w:rsidRPr="006B42D6" w14:paraId="17FE3CA2" w14:textId="77777777" w:rsidTr="00843062">
        <w:trPr>
          <w:trHeight w:val="312"/>
        </w:trPr>
        <w:tc>
          <w:tcPr>
            <w:tcW w:w="989" w:type="pct"/>
            <w:tcBorders>
              <w:top w:val="single" w:sz="4" w:space="0" w:color="auto"/>
              <w:left w:val="nil"/>
              <w:bottom w:val="single" w:sz="4" w:space="0" w:color="auto"/>
              <w:right w:val="nil"/>
            </w:tcBorders>
            <w:shd w:val="clear" w:color="auto" w:fill="E2EFD9" w:themeFill="accent6" w:themeFillTint="33"/>
            <w:noWrap/>
            <w:vAlign w:val="bottom"/>
            <w:hideMark/>
          </w:tcPr>
          <w:p w14:paraId="39975E45" w14:textId="49D160D6" w:rsidR="00B107E4" w:rsidRPr="00717D76" w:rsidRDefault="00B107E4" w:rsidP="00634172">
            <w:pPr>
              <w:rPr>
                <w:b/>
                <w:bCs/>
                <w:sz w:val="16"/>
                <w:szCs w:val="16"/>
              </w:rPr>
            </w:pPr>
            <w:r w:rsidRPr="00717D76">
              <w:rPr>
                <w:b/>
                <w:bCs/>
                <w:sz w:val="16"/>
                <w:szCs w:val="16"/>
              </w:rPr>
              <w:t>Mainland Tanzania</w:t>
            </w:r>
          </w:p>
        </w:tc>
        <w:tc>
          <w:tcPr>
            <w:tcW w:w="1059" w:type="pct"/>
            <w:tcBorders>
              <w:top w:val="single" w:sz="4" w:space="0" w:color="auto"/>
              <w:left w:val="nil"/>
              <w:bottom w:val="single" w:sz="4" w:space="0" w:color="auto"/>
              <w:right w:val="nil"/>
            </w:tcBorders>
            <w:shd w:val="clear" w:color="auto" w:fill="E2EFD9" w:themeFill="accent6" w:themeFillTint="33"/>
            <w:noWrap/>
            <w:vAlign w:val="bottom"/>
            <w:hideMark/>
          </w:tcPr>
          <w:p w14:paraId="7F086031" w14:textId="687600AB" w:rsidR="00B107E4" w:rsidRPr="00717D76" w:rsidRDefault="00B107E4" w:rsidP="005901E9">
            <w:pPr>
              <w:jc w:val="right"/>
              <w:rPr>
                <w:b/>
                <w:bCs/>
                <w:sz w:val="16"/>
                <w:szCs w:val="16"/>
              </w:rPr>
            </w:pPr>
            <w:r w:rsidRPr="00717D76">
              <w:rPr>
                <w:b/>
                <w:bCs/>
                <w:sz w:val="16"/>
                <w:szCs w:val="16"/>
              </w:rPr>
              <w:t>465,074</w:t>
            </w:r>
          </w:p>
        </w:tc>
        <w:tc>
          <w:tcPr>
            <w:tcW w:w="851" w:type="pct"/>
            <w:tcBorders>
              <w:top w:val="single" w:sz="4" w:space="0" w:color="auto"/>
              <w:left w:val="nil"/>
              <w:bottom w:val="single" w:sz="4" w:space="0" w:color="auto"/>
              <w:right w:val="nil"/>
            </w:tcBorders>
            <w:shd w:val="clear" w:color="auto" w:fill="E2EFD9" w:themeFill="accent6" w:themeFillTint="33"/>
            <w:noWrap/>
            <w:vAlign w:val="bottom"/>
            <w:hideMark/>
          </w:tcPr>
          <w:p w14:paraId="7F5F43EA" w14:textId="55A72BE9" w:rsidR="00B107E4" w:rsidRPr="00717D76" w:rsidRDefault="00B107E4" w:rsidP="005901E9">
            <w:pPr>
              <w:jc w:val="right"/>
              <w:rPr>
                <w:b/>
                <w:bCs/>
                <w:sz w:val="16"/>
                <w:szCs w:val="16"/>
              </w:rPr>
            </w:pPr>
            <w:r w:rsidRPr="00717D76">
              <w:rPr>
                <w:b/>
                <w:bCs/>
                <w:sz w:val="16"/>
                <w:szCs w:val="16"/>
              </w:rPr>
              <w:t>151,408</w:t>
            </w:r>
          </w:p>
        </w:tc>
        <w:tc>
          <w:tcPr>
            <w:tcW w:w="935" w:type="pct"/>
            <w:tcBorders>
              <w:top w:val="single" w:sz="4" w:space="0" w:color="auto"/>
              <w:left w:val="nil"/>
              <w:bottom w:val="single" w:sz="4" w:space="0" w:color="auto"/>
              <w:right w:val="nil"/>
            </w:tcBorders>
            <w:shd w:val="clear" w:color="auto" w:fill="E2EFD9" w:themeFill="accent6" w:themeFillTint="33"/>
            <w:noWrap/>
            <w:vAlign w:val="bottom"/>
            <w:hideMark/>
          </w:tcPr>
          <w:p w14:paraId="04BD5BA0" w14:textId="54ADC568" w:rsidR="00B107E4" w:rsidRPr="00717D76" w:rsidRDefault="00B107E4" w:rsidP="005901E9">
            <w:pPr>
              <w:jc w:val="right"/>
              <w:rPr>
                <w:b/>
                <w:bCs/>
                <w:sz w:val="16"/>
                <w:szCs w:val="16"/>
              </w:rPr>
            </w:pPr>
            <w:r w:rsidRPr="00717D76">
              <w:rPr>
                <w:b/>
                <w:bCs/>
                <w:sz w:val="16"/>
                <w:szCs w:val="16"/>
              </w:rPr>
              <w:t>117,534</w:t>
            </w:r>
          </w:p>
        </w:tc>
        <w:tc>
          <w:tcPr>
            <w:tcW w:w="1166" w:type="pct"/>
            <w:tcBorders>
              <w:top w:val="single" w:sz="4" w:space="0" w:color="auto"/>
              <w:left w:val="nil"/>
              <w:bottom w:val="single" w:sz="4" w:space="0" w:color="auto"/>
              <w:right w:val="nil"/>
            </w:tcBorders>
            <w:shd w:val="clear" w:color="auto" w:fill="E2EFD9" w:themeFill="accent6" w:themeFillTint="33"/>
            <w:noWrap/>
            <w:vAlign w:val="bottom"/>
            <w:hideMark/>
          </w:tcPr>
          <w:p w14:paraId="6F70C717" w14:textId="6DA2F324" w:rsidR="00B107E4" w:rsidRPr="00717D76" w:rsidRDefault="00B107E4" w:rsidP="005901E9">
            <w:pPr>
              <w:jc w:val="right"/>
              <w:rPr>
                <w:b/>
                <w:bCs/>
                <w:sz w:val="16"/>
                <w:szCs w:val="16"/>
              </w:rPr>
            </w:pPr>
            <w:r w:rsidRPr="00717D76">
              <w:rPr>
                <w:b/>
                <w:bCs/>
                <w:sz w:val="16"/>
                <w:szCs w:val="16"/>
              </w:rPr>
              <w:t>75,323</w:t>
            </w:r>
          </w:p>
        </w:tc>
      </w:tr>
    </w:tbl>
    <w:p w14:paraId="0E7B62C5" w14:textId="48BBC1CD" w:rsidR="00B107E4" w:rsidRDefault="00B107E4" w:rsidP="00B107E4"/>
    <w:bookmarkStart w:id="237" w:name="_Toc82385679"/>
    <w:p w14:paraId="6EED11BF" w14:textId="4256646E" w:rsidR="00E16412" w:rsidRPr="006B42D6" w:rsidRDefault="00843062" w:rsidP="005C2EFC">
      <w:pPr>
        <w:pStyle w:val="Heading4"/>
      </w:pPr>
      <w:r w:rsidRPr="006B42D6">
        <w:rPr>
          <w:noProof/>
        </w:rPr>
        <mc:AlternateContent>
          <mc:Choice Requires="wps">
            <w:drawing>
              <wp:anchor distT="0" distB="0" distL="114300" distR="114300" simplePos="0" relativeHeight="251740160" behindDoc="0" locked="0" layoutInCell="1" allowOverlap="1" wp14:anchorId="0E972BBF" wp14:editId="3AC734A7">
                <wp:simplePos x="0" y="0"/>
                <wp:positionH relativeFrom="column">
                  <wp:posOffset>2914650</wp:posOffset>
                </wp:positionH>
                <wp:positionV relativeFrom="paragraph">
                  <wp:posOffset>261815</wp:posOffset>
                </wp:positionV>
                <wp:extent cx="3162300" cy="601980"/>
                <wp:effectExtent l="0" t="0" r="0" b="0"/>
                <wp:wrapSquare wrapText="bothSides"/>
                <wp:docPr id="153" name="Text Box 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62300" cy="601980"/>
                        </a:xfrm>
                        <a:prstGeom prst="rect">
                          <a:avLst/>
                        </a:prstGeom>
                        <a:solidFill>
                          <a:prstClr val="white"/>
                        </a:solidFill>
                        <a:ln>
                          <a:noFill/>
                        </a:ln>
                      </wps:spPr>
                      <wps:txbx>
                        <w:txbxContent>
                          <w:p w14:paraId="52270377" w14:textId="77777777" w:rsidR="00933456" w:rsidRPr="00D35A2C" w:rsidRDefault="00933456" w:rsidP="00925645">
                            <w:pPr>
                              <w:pStyle w:val="Caption"/>
                              <w:rPr>
                                <w:rFonts w:eastAsia="Calibri"/>
                              </w:rPr>
                            </w:pPr>
                            <w:bookmarkStart w:id="238" w:name="_Toc80120224"/>
                            <w:bookmarkStart w:id="239" w:name="_Toc80884098"/>
                            <w:bookmarkStart w:id="240" w:name="_Toc80884469"/>
                            <w:bookmarkStart w:id="241" w:name="_Toc82386322"/>
                            <w:r w:rsidRPr="003004DB">
                              <w:t>Figure 3.45:</w:t>
                            </w:r>
                            <w:r>
                              <w:tab/>
                            </w:r>
                            <w:r w:rsidRPr="003004DB">
                              <w:t xml:space="preserve">Average Planted Area with Sugarcane per Household by Region </w:t>
                            </w:r>
                            <w:r>
                              <w:t>D</w:t>
                            </w:r>
                            <w:r w:rsidRPr="003004DB">
                              <w:t>uring 2019/20 Agricultural Year</w:t>
                            </w:r>
                            <w:r>
                              <w:t>,</w:t>
                            </w:r>
                            <w:r w:rsidRPr="003004DB">
                              <w:t xml:space="preserve"> </w:t>
                            </w:r>
                            <w:r>
                              <w:t>Mainland Tanzania</w:t>
                            </w:r>
                            <w:bookmarkEnd w:id="238"/>
                            <w:bookmarkEnd w:id="239"/>
                            <w:bookmarkEnd w:id="240"/>
                            <w:bookmarkEnd w:id="241"/>
                            <w:r w:rsidRPr="00D35A2C">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972BBF" id="Text Box 551" o:spid="_x0000_s1048" type="#_x0000_t202" style="position:absolute;left:0;text-align:left;margin-left:229.5pt;margin-top:20.6pt;width:249pt;height:47.4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" stroked="f">
                <v:textbox inset="0,0,0,0">
                  <w:txbxContent>
                    <w:p w14:paraId="52270377" w14:textId="77777777" w:rsidR="00933456" w:rsidRPr="00D35A2C" w:rsidRDefault="00933456" w:rsidP="00925645">
                      <w:pPr>
                        <w:pStyle w:val="Caption"/>
                        <w:rPr>
                          <w:rFonts w:eastAsia="Calibri"/>
                        </w:rPr>
                      </w:pPr>
                      <w:bookmarkStart w:id="310" w:name="_Toc80120224"/>
                      <w:bookmarkStart w:id="311" w:name="_Toc80884098"/>
                      <w:bookmarkStart w:id="312" w:name="_Toc80884469"/>
                      <w:bookmarkStart w:id="313" w:name="_Toc82386322"/>
                      <w:r w:rsidRPr="003004DB">
                        <w:t>Figure 3.45:</w:t>
                      </w:r>
                      <w:r>
                        <w:tab/>
                      </w:r>
                      <w:r w:rsidRPr="003004DB">
                        <w:t xml:space="preserve">Average Planted Area with Sugarcane per Household by Region </w:t>
                      </w:r>
                      <w:r>
                        <w:t>D</w:t>
                      </w:r>
                      <w:r w:rsidRPr="003004DB">
                        <w:t>uring 2019/20 Agricultural Year</w:t>
                      </w:r>
                      <w:r>
                        <w:t>,</w:t>
                      </w:r>
                      <w:r w:rsidRPr="003004DB">
                        <w:t xml:space="preserve"> </w:t>
                      </w:r>
                      <w:r>
                        <w:t>Mainland Tanzania</w:t>
                      </w:r>
                      <w:bookmarkEnd w:id="310"/>
                      <w:bookmarkEnd w:id="311"/>
                      <w:bookmarkEnd w:id="312"/>
                      <w:bookmarkEnd w:id="313"/>
                      <w:r w:rsidRPr="00D35A2C">
                        <w:t xml:space="preserve"> </w:t>
                      </w:r>
                    </w:p>
                  </w:txbxContent>
                </v:textbox>
                <w10:wrap type="square"/>
              </v:shape>
            </w:pict>
          </mc:Fallback>
        </mc:AlternateContent>
      </w:r>
      <w:r w:rsidR="00E16412" w:rsidRPr="006B42D6">
        <w:t>3.1.</w:t>
      </w:r>
      <w:r w:rsidR="00193728">
        <w:t>6</w:t>
      </w:r>
      <w:r w:rsidR="00E16412" w:rsidRPr="006B42D6">
        <w:t>.4</w:t>
      </w:r>
      <w:r w:rsidR="000807B0" w:rsidRPr="006B42D6">
        <w:tab/>
      </w:r>
      <w:r w:rsidR="00E16412" w:rsidRPr="006B42D6">
        <w:t>Sugarcane</w:t>
      </w:r>
      <w:bookmarkEnd w:id="237"/>
    </w:p>
    <w:p w14:paraId="57D7FCA7" w14:textId="2131B9D9" w:rsidR="00F70994" w:rsidRPr="006B42D6" w:rsidRDefault="009F18D5" w:rsidP="00F70994">
      <w:r>
        <w:rPr>
          <w:noProof/>
        </w:rPr>
        <w:drawing>
          <wp:anchor distT="0" distB="0" distL="114300" distR="114300" simplePos="0" relativeHeight="251552768" behindDoc="0" locked="0" layoutInCell="1" allowOverlap="1" wp14:anchorId="0307CD70" wp14:editId="073BAB09">
            <wp:simplePos x="0" y="0"/>
            <wp:positionH relativeFrom="column">
              <wp:posOffset>2914650</wp:posOffset>
            </wp:positionH>
            <wp:positionV relativeFrom="paragraph">
              <wp:posOffset>360045</wp:posOffset>
            </wp:positionV>
            <wp:extent cx="3162300" cy="3391535"/>
            <wp:effectExtent l="0" t="0" r="12700" b="12065"/>
            <wp:wrapSquare wrapText="bothSides"/>
            <wp:docPr id="35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14:sizeRelV relativeFrom="margin">
              <wp14:pctHeight>0</wp14:pctHeight>
            </wp14:sizeRelV>
          </wp:anchor>
        </w:drawing>
      </w:r>
      <w:r w:rsidR="00E16412" w:rsidRPr="006B42D6">
        <w:t>Census results show that, there were 125,903</w:t>
      </w:r>
      <w:r w:rsidR="00925645" w:rsidRPr="006B42D6">
        <w:t xml:space="preserve"> </w:t>
      </w:r>
      <w:r w:rsidR="00E16412" w:rsidRPr="006B42D6">
        <w:t xml:space="preserve">households engaged in growing </w:t>
      </w:r>
      <w:r w:rsidR="00CF1FE6">
        <w:t>s</w:t>
      </w:r>
      <w:r w:rsidR="00E16412" w:rsidRPr="006B42D6">
        <w:t xml:space="preserve">ugarcane in the country whereby </w:t>
      </w:r>
      <w:r w:rsidR="00EA1552">
        <w:t>Mainland Tanzania</w:t>
      </w:r>
      <w:r w:rsidR="00E16412" w:rsidRPr="006B42D6">
        <w:t xml:space="preserve"> had 123,146 </w:t>
      </w:r>
      <w:r w:rsidR="00CF1FE6">
        <w:t xml:space="preserve">households </w:t>
      </w:r>
      <w:r w:rsidR="00E16412" w:rsidRPr="006B42D6">
        <w:t xml:space="preserve">and </w:t>
      </w:r>
      <w:r w:rsidR="00CF1FE6" w:rsidRPr="006B42D6">
        <w:t>2,757</w:t>
      </w:r>
      <w:r w:rsidR="00CF1FE6">
        <w:t xml:space="preserve"> households in </w:t>
      </w:r>
      <w:r w:rsidR="00C26421" w:rsidRPr="006B42D6">
        <w:t xml:space="preserve">Tanzania </w:t>
      </w:r>
      <w:r w:rsidR="00E16412" w:rsidRPr="006B42D6">
        <w:t xml:space="preserve">Zanzibar. The total area planted with </w:t>
      </w:r>
      <w:r w:rsidR="003004DB" w:rsidRPr="006B42D6">
        <w:t>s</w:t>
      </w:r>
      <w:r w:rsidR="00E16412" w:rsidRPr="006B42D6">
        <w:t>ugarcane was 29,804 ha</w:t>
      </w:r>
      <w:r w:rsidR="00F70994" w:rsidRPr="006B42D6">
        <w:t>,</w:t>
      </w:r>
      <w:r w:rsidR="00E16412" w:rsidRPr="006B42D6">
        <w:t xml:space="preserve"> </w:t>
      </w:r>
      <w:r w:rsidR="008138C0" w:rsidRPr="006B42D6">
        <w:t xml:space="preserve">out </w:t>
      </w:r>
      <w:r w:rsidR="00E16412" w:rsidRPr="006B42D6">
        <w:t xml:space="preserve">of which </w:t>
      </w:r>
      <w:r w:rsidR="00EA1552">
        <w:t>Mainland Tanzania</w:t>
      </w:r>
      <w:r w:rsidR="00E16412" w:rsidRPr="006B42D6">
        <w:t xml:space="preserve"> had </w:t>
      </w:r>
      <w:r w:rsidR="00F55DA6" w:rsidRPr="006B42D6">
        <w:t>2</w:t>
      </w:r>
      <w:r w:rsidR="00F70994" w:rsidRPr="006B42D6">
        <w:t xml:space="preserve">7,167 </w:t>
      </w:r>
      <w:r w:rsidR="00E16412" w:rsidRPr="006B42D6">
        <w:t>ha (</w:t>
      </w:r>
      <w:r w:rsidR="00F70994" w:rsidRPr="006B42D6">
        <w:t>23,829</w:t>
      </w:r>
      <w:r w:rsidR="00F55DA6" w:rsidRPr="006B42D6">
        <w:t xml:space="preserve"> </w:t>
      </w:r>
      <w:r w:rsidR="00E16412" w:rsidRPr="006B42D6">
        <w:t xml:space="preserve">ha from smallholder farmers and </w:t>
      </w:r>
      <w:r w:rsidR="00F70994" w:rsidRPr="006B42D6">
        <w:t>3,338</w:t>
      </w:r>
      <w:r w:rsidR="00E16412" w:rsidRPr="006B42D6">
        <w:t xml:space="preserve"> ha from large scale farms)</w:t>
      </w:r>
      <w:r w:rsidR="00CF1FE6">
        <w:t xml:space="preserve"> and</w:t>
      </w:r>
      <w:r w:rsidR="00E16412" w:rsidRPr="006B42D6">
        <w:t xml:space="preserve"> </w:t>
      </w:r>
      <w:r w:rsidR="00C26421" w:rsidRPr="006B42D6">
        <w:t xml:space="preserve">Tanzania </w:t>
      </w:r>
      <w:r w:rsidR="00E16412" w:rsidRPr="006B42D6">
        <w:t xml:space="preserve">Zanzibar had 2,637 ha (1,008 ha from smallholder farmers and 1,629 ha from large scale farms). </w:t>
      </w:r>
      <w:r w:rsidR="00F70994" w:rsidRPr="006B42D6">
        <w:t>The total area harvested was 6,938 ha, out of which 4,361 ha were from smallholder farmers and 2,577 ha from large scale farms.</w:t>
      </w:r>
    </w:p>
    <w:p w14:paraId="582EC258" w14:textId="62058545" w:rsidR="00F55DA6" w:rsidRPr="006B42D6" w:rsidRDefault="00D8325C" w:rsidP="005C2EFC">
      <w:r>
        <w:rPr>
          <w:noProof/>
        </w:rPr>
        <w:lastRenderedPageBreak/>
        <w:drawing>
          <wp:anchor distT="0" distB="0" distL="114300" distR="114300" simplePos="0" relativeHeight="251551744" behindDoc="0" locked="0" layoutInCell="1" allowOverlap="1" wp14:anchorId="4EF3A111" wp14:editId="171D2CDF">
            <wp:simplePos x="0" y="0"/>
            <wp:positionH relativeFrom="column">
              <wp:posOffset>2705735</wp:posOffset>
            </wp:positionH>
            <wp:positionV relativeFrom="paragraph">
              <wp:posOffset>660849</wp:posOffset>
            </wp:positionV>
            <wp:extent cx="2965450" cy="2244725"/>
            <wp:effectExtent l="0" t="0" r="6350" b="15875"/>
            <wp:wrapSquare wrapText="bothSides"/>
            <wp:docPr id="350"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14:sizeRelH relativeFrom="margin">
              <wp14:pctWidth>0</wp14:pctWidth>
            </wp14:sizeRelH>
            <wp14:sizeRelV relativeFrom="margin">
              <wp14:pctHeight>0</wp14:pctHeight>
            </wp14:sizeRelV>
          </wp:anchor>
        </w:drawing>
      </w:r>
      <w:r w:rsidRPr="006B42D6">
        <w:rPr>
          <w:noProof/>
        </w:rPr>
        <mc:AlternateContent>
          <mc:Choice Requires="wps">
            <w:drawing>
              <wp:anchor distT="0" distB="0" distL="114300" distR="114300" simplePos="0" relativeHeight="251813888" behindDoc="0" locked="0" layoutInCell="1" allowOverlap="1" wp14:anchorId="61FB3DB3" wp14:editId="554F2E1E">
                <wp:simplePos x="0" y="0"/>
                <wp:positionH relativeFrom="column">
                  <wp:posOffset>2765209</wp:posOffset>
                </wp:positionH>
                <wp:positionV relativeFrom="paragraph">
                  <wp:posOffset>6644</wp:posOffset>
                </wp:positionV>
                <wp:extent cx="3028315" cy="579755"/>
                <wp:effectExtent l="0" t="0" r="0" b="4445"/>
                <wp:wrapSquare wrapText="bothSides"/>
                <wp:docPr id="154" name="Text Box 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8315" cy="579755"/>
                        </a:xfrm>
                        <a:prstGeom prst="rect">
                          <a:avLst/>
                        </a:prstGeom>
                        <a:solidFill>
                          <a:prstClr val="white"/>
                        </a:solidFill>
                        <a:ln>
                          <a:noFill/>
                        </a:ln>
                      </wps:spPr>
                      <wps:txbx>
                        <w:txbxContent>
                          <w:p w14:paraId="2A1206D5" w14:textId="77777777" w:rsidR="00933456" w:rsidRPr="00D35A2C" w:rsidRDefault="00933456" w:rsidP="00843062">
                            <w:pPr>
                              <w:pStyle w:val="Caption"/>
                              <w:rPr>
                                <w:rFonts w:eastAsia="Calibri"/>
                              </w:rPr>
                            </w:pPr>
                            <w:bookmarkStart w:id="242" w:name="_Toc80120223"/>
                            <w:bookmarkStart w:id="243" w:name="_Toc80884099"/>
                            <w:bookmarkStart w:id="244" w:name="_Toc80884470"/>
                            <w:bookmarkStart w:id="245" w:name="_Toc82386323"/>
                            <w:r w:rsidRPr="003004DB">
                              <w:t>Figure 3.46:</w:t>
                            </w:r>
                            <w:r>
                              <w:tab/>
                            </w:r>
                            <w:r w:rsidRPr="003004DB">
                              <w:t>Average Planted Area with Sugarcane per Household by Region During 2019/20 Agricultural Year</w:t>
                            </w:r>
                            <w:r>
                              <w:t xml:space="preserve">, </w:t>
                            </w:r>
                            <w:r w:rsidRPr="003004DB">
                              <w:t>Tanzania Zanzibar</w:t>
                            </w:r>
                            <w:bookmarkEnd w:id="242"/>
                            <w:bookmarkEnd w:id="243"/>
                            <w:bookmarkEnd w:id="244"/>
                            <w:bookmarkEnd w:id="245"/>
                          </w:p>
                          <w:p w14:paraId="109CD10E" w14:textId="77777777" w:rsidR="00933456" w:rsidRPr="00A03347" w:rsidRDefault="00933456" w:rsidP="00843062">
                            <w:pPr>
                              <w:pStyle w:val="Caption"/>
                              <w:rPr>
                                <w:rFonts w:eastAsia="Calibri"/>
                                <w:b w:val="0"/>
                                <w:i/>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FB3DB3" id="Text Box 555" o:spid="_x0000_s1049" type="#_x0000_t202" style="position:absolute;left:0;text-align:left;margin-left:217.75pt;margin-top:.5pt;width:238.45pt;height:45.6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" stroked="f">
                <v:textbox inset="0,0,0,0">
                  <w:txbxContent>
                    <w:p w14:paraId="2A1206D5" w14:textId="77777777" w:rsidR="00933456" w:rsidRPr="00D35A2C" w:rsidRDefault="00933456" w:rsidP="00843062">
                      <w:pPr>
                        <w:pStyle w:val="Caption"/>
                        <w:rPr>
                          <w:rFonts w:eastAsia="Calibri"/>
                        </w:rPr>
                      </w:pPr>
                      <w:bookmarkStart w:id="318" w:name="_Toc80120223"/>
                      <w:bookmarkStart w:id="319" w:name="_Toc80884099"/>
                      <w:bookmarkStart w:id="320" w:name="_Toc80884470"/>
                      <w:bookmarkStart w:id="321" w:name="_Toc82386323"/>
                      <w:r w:rsidRPr="003004DB">
                        <w:t>Figure 3.46:</w:t>
                      </w:r>
                      <w:r>
                        <w:tab/>
                      </w:r>
                      <w:r w:rsidRPr="003004DB">
                        <w:t>Average Planted Area with Sugarcane per Household by Region During 2019/20 Agricultural Year</w:t>
                      </w:r>
                      <w:r>
                        <w:t xml:space="preserve">, </w:t>
                      </w:r>
                      <w:r w:rsidRPr="003004DB">
                        <w:t>Tanzania Zanzibar</w:t>
                      </w:r>
                      <w:bookmarkEnd w:id="318"/>
                      <w:bookmarkEnd w:id="319"/>
                      <w:bookmarkEnd w:id="320"/>
                      <w:bookmarkEnd w:id="321"/>
                    </w:p>
                    <w:p w14:paraId="109CD10E" w14:textId="77777777" w:rsidR="00933456" w:rsidRPr="00A03347" w:rsidRDefault="00933456" w:rsidP="00843062">
                      <w:pPr>
                        <w:pStyle w:val="Caption"/>
                        <w:rPr>
                          <w:rFonts w:eastAsia="Calibri"/>
                          <w:b w:val="0"/>
                          <w:i/>
                          <w:noProof/>
                          <w:sz w:val="22"/>
                          <w:szCs w:val="22"/>
                        </w:rPr>
                      </w:pPr>
                    </w:p>
                  </w:txbxContent>
                </v:textbox>
                <w10:wrap type="square"/>
              </v:shape>
            </w:pict>
          </mc:Fallback>
        </mc:AlternateContent>
      </w:r>
      <w:r w:rsidR="00E16412" w:rsidRPr="006B42D6">
        <w:t xml:space="preserve">The total </w:t>
      </w:r>
      <w:r w:rsidR="003004DB" w:rsidRPr="006B42D6">
        <w:t>s</w:t>
      </w:r>
      <w:r w:rsidR="00E16412" w:rsidRPr="006B42D6">
        <w:t>ugarcane production in Tanzania was 2</w:t>
      </w:r>
      <w:r w:rsidR="00F059AF" w:rsidRPr="006B42D6">
        <w:t>65</w:t>
      </w:r>
      <w:r w:rsidR="00E16412" w:rsidRPr="006B42D6">
        <w:t>,4</w:t>
      </w:r>
      <w:r w:rsidR="00F059AF" w:rsidRPr="006B42D6">
        <w:t>82</w:t>
      </w:r>
      <w:r w:rsidR="00E16412" w:rsidRPr="006B42D6">
        <w:t xml:space="preserve"> tons with </w:t>
      </w:r>
      <w:r w:rsidR="00E02FCA" w:rsidRPr="006B42D6">
        <w:t>193,763</w:t>
      </w:r>
      <w:r w:rsidR="00E16412" w:rsidRPr="006B42D6">
        <w:t xml:space="preserve"> tons from </w:t>
      </w:r>
      <w:r w:rsidR="00EA1552">
        <w:t>Mainland Tanzania</w:t>
      </w:r>
      <w:r w:rsidR="00E16412" w:rsidRPr="006B42D6">
        <w:t xml:space="preserve"> (</w:t>
      </w:r>
      <w:r w:rsidR="00E02FCA" w:rsidRPr="006B42D6">
        <w:t>98,840</w:t>
      </w:r>
      <w:r w:rsidR="00E16412" w:rsidRPr="006B42D6">
        <w:t xml:space="preserve"> tons from smallholder farmers; </w:t>
      </w:r>
      <w:r w:rsidR="00E02FCA" w:rsidRPr="006B42D6">
        <w:t>94,923</w:t>
      </w:r>
      <w:r w:rsidR="00E16412" w:rsidRPr="006B42D6">
        <w:t xml:space="preserve"> from large scale farms) and </w:t>
      </w:r>
      <w:r w:rsidR="00F059AF" w:rsidRPr="006B42D6">
        <w:t xml:space="preserve">71,719 </w:t>
      </w:r>
      <w:r w:rsidR="00E16412" w:rsidRPr="006B42D6">
        <w:t xml:space="preserve">tons from </w:t>
      </w:r>
      <w:r w:rsidR="00C26421" w:rsidRPr="006B42D6">
        <w:t xml:space="preserve">Tanzania </w:t>
      </w:r>
      <w:r w:rsidR="00E16412" w:rsidRPr="006B42D6">
        <w:t>Zanzibar</w:t>
      </w:r>
      <w:r>
        <w:t xml:space="preserve"> (</w:t>
      </w:r>
      <w:r w:rsidR="00E02FCA" w:rsidRPr="006B42D6">
        <w:t>12,31</w:t>
      </w:r>
      <w:r w:rsidR="00F059AF" w:rsidRPr="006B42D6">
        <w:t>3</w:t>
      </w:r>
      <w:r w:rsidR="00E16412" w:rsidRPr="006B42D6">
        <w:t xml:space="preserve"> tons were from smallholder farmers and </w:t>
      </w:r>
      <w:r w:rsidR="00E02FCA" w:rsidRPr="006B42D6">
        <w:t>59,406 tons</w:t>
      </w:r>
      <w:r w:rsidR="00E16412" w:rsidRPr="006B42D6">
        <w:t xml:space="preserve"> from large scale farms</w:t>
      </w:r>
      <w:r>
        <w:t>)</w:t>
      </w:r>
      <w:r w:rsidR="00E16412" w:rsidRPr="006B42D6">
        <w:t xml:space="preserve">. </w:t>
      </w:r>
    </w:p>
    <w:p w14:paraId="0A673605" w14:textId="387E4652" w:rsidR="00F70994" w:rsidRPr="006B42D6" w:rsidRDefault="00F70994" w:rsidP="00925645">
      <w:pPr>
        <w:spacing w:line="240" w:lineRule="auto"/>
      </w:pPr>
    </w:p>
    <w:p w14:paraId="3CBD2162" w14:textId="5456507D" w:rsidR="00E16412" w:rsidRPr="006B42D6" w:rsidRDefault="00A3583E" w:rsidP="005C2EFC">
      <w:r w:rsidRPr="006B42D6">
        <w:t>From smallholder farmers, t</w:t>
      </w:r>
      <w:r w:rsidR="00E16412" w:rsidRPr="006B42D6">
        <w:t>he largest average planted area per household (0.6 ha) was in Morogoro region, followed by Katavi (0.5 ha)</w:t>
      </w:r>
      <w:r w:rsidR="00CF1FE6">
        <w:t xml:space="preserve">. </w:t>
      </w:r>
      <w:r w:rsidR="00E16412" w:rsidRPr="006B42D6">
        <w:t xml:space="preserve">Furthermore, </w:t>
      </w:r>
      <w:r w:rsidRPr="006B42D6">
        <w:t>i</w:t>
      </w:r>
      <w:r w:rsidR="00E16412" w:rsidRPr="006B42D6">
        <w:t xml:space="preserve">n </w:t>
      </w:r>
      <w:r w:rsidR="00EA1552">
        <w:t>Mainland Tanzania</w:t>
      </w:r>
      <w:r w:rsidR="00E16412" w:rsidRPr="006B42D6">
        <w:t xml:space="preserve">, Morogoro </w:t>
      </w:r>
      <w:r w:rsidR="00F059AF" w:rsidRPr="006B42D6">
        <w:t>r</w:t>
      </w:r>
      <w:r w:rsidR="00E16412" w:rsidRPr="006B42D6">
        <w:t xml:space="preserve">egion </w:t>
      </w:r>
      <w:r w:rsidR="00F059AF" w:rsidRPr="006B42D6">
        <w:t xml:space="preserve">had the largest </w:t>
      </w:r>
      <w:r w:rsidR="00D8325C">
        <w:t>s</w:t>
      </w:r>
      <w:r w:rsidR="00F059AF" w:rsidRPr="006B42D6">
        <w:t xml:space="preserve">ugarcane planted area </w:t>
      </w:r>
      <w:r w:rsidR="00E16412" w:rsidRPr="006B42D6">
        <w:t xml:space="preserve">(8,069 ha; </w:t>
      </w:r>
      <w:r w:rsidR="00F059AF" w:rsidRPr="006B42D6">
        <w:t>33</w:t>
      </w:r>
      <w:r w:rsidR="00E16412" w:rsidRPr="006B42D6">
        <w:t>.</w:t>
      </w:r>
      <w:r w:rsidR="00F059AF" w:rsidRPr="006B42D6">
        <w:t>9</w:t>
      </w:r>
      <w:r w:rsidR="00E16412" w:rsidRPr="006B42D6">
        <w:t xml:space="preserve"> percent) with a production of </w:t>
      </w:r>
      <w:r w:rsidR="00F059AF" w:rsidRPr="006B42D6">
        <w:t>19,986</w:t>
      </w:r>
      <w:r w:rsidR="00E16412" w:rsidRPr="006B42D6">
        <w:t xml:space="preserve"> tons (</w:t>
      </w:r>
      <w:r w:rsidRPr="006B42D6">
        <w:t>20.2</w:t>
      </w:r>
      <w:r w:rsidR="00E16412" w:rsidRPr="006B42D6">
        <w:t xml:space="preserve"> percent) from 681 ha harvested. Focusing on production, </w:t>
      </w:r>
      <w:r w:rsidR="008138C0" w:rsidRPr="006B42D6">
        <w:t>i</w:t>
      </w:r>
      <w:r w:rsidR="00E16412" w:rsidRPr="006B42D6">
        <w:t>t was followed by Mwanza with a planted area of 463 ha (1.</w:t>
      </w:r>
      <w:r w:rsidRPr="006B42D6">
        <w:t>9</w:t>
      </w:r>
      <w:r w:rsidR="00E16412" w:rsidRPr="006B42D6">
        <w:t xml:space="preserve"> percent) and produced 14,4</w:t>
      </w:r>
      <w:r w:rsidRPr="006B42D6">
        <w:t>40</w:t>
      </w:r>
      <w:r w:rsidR="00E16412" w:rsidRPr="006B42D6">
        <w:t xml:space="preserve"> tons (</w:t>
      </w:r>
      <w:r w:rsidRPr="006B42D6">
        <w:t>14</w:t>
      </w:r>
      <w:r w:rsidR="00E16412" w:rsidRPr="006B42D6">
        <w:t>.6 percent) from 252 ha harvested</w:t>
      </w:r>
      <w:r w:rsidR="003004DB" w:rsidRPr="006B42D6">
        <w:t>,</w:t>
      </w:r>
      <w:r w:rsidR="00E16412" w:rsidRPr="006B42D6">
        <w:t xml:space="preserve"> and Tanga </w:t>
      </w:r>
      <w:r w:rsidR="003004DB" w:rsidRPr="006B42D6">
        <w:t>r</w:t>
      </w:r>
      <w:r w:rsidR="00E16412" w:rsidRPr="006B42D6">
        <w:t>egion with a planted area of 2,738 ha (</w:t>
      </w:r>
      <w:r w:rsidR="00B07C10" w:rsidRPr="006B42D6">
        <w:t xml:space="preserve">11.5 </w:t>
      </w:r>
      <w:r w:rsidR="00E16412" w:rsidRPr="006B42D6">
        <w:t>percent) and produced 1</w:t>
      </w:r>
      <w:r w:rsidRPr="006B42D6">
        <w:t>3</w:t>
      </w:r>
      <w:r w:rsidR="00E16412" w:rsidRPr="006B42D6">
        <w:t>,</w:t>
      </w:r>
      <w:r w:rsidRPr="006B42D6">
        <w:t>957</w:t>
      </w:r>
      <w:r w:rsidR="00E16412" w:rsidRPr="006B42D6">
        <w:t xml:space="preserve"> tons (</w:t>
      </w:r>
      <w:r w:rsidR="00B07C10" w:rsidRPr="006B42D6">
        <w:t>14.1</w:t>
      </w:r>
      <w:r w:rsidR="00E16412" w:rsidRPr="006B42D6">
        <w:t xml:space="preserve"> percent) from a harvested area of 714 ha. In </w:t>
      </w:r>
      <w:r w:rsidR="00C26421" w:rsidRPr="006B42D6">
        <w:t xml:space="preserve">Tanzania </w:t>
      </w:r>
      <w:r w:rsidR="00E16412" w:rsidRPr="006B42D6">
        <w:t>Zanzibar,</w:t>
      </w:r>
      <w:r w:rsidR="00B07C10" w:rsidRPr="006B42D6">
        <w:t xml:space="preserve"> Kaskazini Unguja region had the largest </w:t>
      </w:r>
      <w:r w:rsidR="00D8325C">
        <w:t>s</w:t>
      </w:r>
      <w:r w:rsidR="00B07C10" w:rsidRPr="006B42D6">
        <w:t xml:space="preserve">ugarcane planted area (381 ha; 37.8 percent) with a production of 1,963 tons (15.9 percent) from 104 ha harvested. Focusing on production, it was followed by Mjini Magharibi with a planted area of 248 ha (24.6 percent) and produced 4,812 tons (39.1 percent) from 244 ha harvested and Kusini Unguja </w:t>
      </w:r>
      <w:r w:rsidR="003004DB" w:rsidRPr="006B42D6">
        <w:t>r</w:t>
      </w:r>
      <w:r w:rsidR="00B07C10" w:rsidRPr="006B42D6">
        <w:t>egion with a planted area of 279 ha (27.7 percent) and produced 4,569 tons (37.1 percent) from a harvested area of 243 ha</w:t>
      </w:r>
      <w:r w:rsidR="00E16412" w:rsidRPr="006B42D6">
        <w:t xml:space="preserve"> </w:t>
      </w:r>
      <w:r w:rsidR="0056082B" w:rsidRPr="006B42D6">
        <w:t>(Figure 3.</w:t>
      </w:r>
      <w:r w:rsidR="003004DB" w:rsidRPr="006B42D6">
        <w:t>4</w:t>
      </w:r>
      <w:r w:rsidR="0056082B" w:rsidRPr="006B42D6">
        <w:t>5 &amp; 3.</w:t>
      </w:r>
      <w:r w:rsidR="003004DB" w:rsidRPr="006B42D6">
        <w:t>4</w:t>
      </w:r>
      <w:r w:rsidR="0056082B" w:rsidRPr="006B42D6">
        <w:t>6)</w:t>
      </w:r>
      <w:r w:rsidR="00E16412" w:rsidRPr="006B42D6">
        <w:t xml:space="preserve">.  </w:t>
      </w:r>
    </w:p>
    <w:p w14:paraId="6B2F1719" w14:textId="0036DDBE" w:rsidR="0083291D" w:rsidRDefault="0083291D" w:rsidP="00925645"/>
    <w:p w14:paraId="5ABA2A4C" w14:textId="31A921A0" w:rsidR="00E16412" w:rsidRPr="006B42D6" w:rsidRDefault="00E16412" w:rsidP="003004DB">
      <w:pPr>
        <w:pStyle w:val="Heading4"/>
      </w:pPr>
      <w:bookmarkStart w:id="246" w:name="_Toc82385680"/>
      <w:r w:rsidRPr="006B42D6">
        <w:t>3.1.</w:t>
      </w:r>
      <w:r w:rsidR="00193728">
        <w:t>6</w:t>
      </w:r>
      <w:r w:rsidRPr="006B42D6">
        <w:t>.5</w:t>
      </w:r>
      <w:r w:rsidR="000807B0" w:rsidRPr="006B42D6">
        <w:tab/>
      </w:r>
      <w:r w:rsidRPr="006B42D6">
        <w:t>Cashewnuts</w:t>
      </w:r>
      <w:bookmarkEnd w:id="246"/>
    </w:p>
    <w:p w14:paraId="115A971B" w14:textId="0095D79F" w:rsidR="00E16412" w:rsidRPr="006B42D6" w:rsidRDefault="00E16412" w:rsidP="005C2EFC">
      <w:r w:rsidRPr="006B42D6">
        <w:t xml:space="preserve">The 2019/20 Census results show that, there were 667,437 households engaged in growing </w:t>
      </w:r>
      <w:r w:rsidR="003004DB" w:rsidRPr="006B42D6">
        <w:t>c</w:t>
      </w:r>
      <w:r w:rsidRPr="006B42D6">
        <w:t xml:space="preserve">ashewnuts in the country whereby </w:t>
      </w:r>
      <w:r w:rsidR="00EA1552">
        <w:t>Mainland Tanzania</w:t>
      </w:r>
      <w:r w:rsidRPr="006B42D6">
        <w:t xml:space="preserve"> had 666,938</w:t>
      </w:r>
      <w:r w:rsidR="008138C0" w:rsidRPr="006B42D6">
        <w:t xml:space="preserve"> households</w:t>
      </w:r>
      <w:r w:rsidRPr="006B42D6">
        <w:t xml:space="preserve"> and </w:t>
      </w:r>
      <w:r w:rsidR="00C26421" w:rsidRPr="006B42D6">
        <w:t xml:space="preserve">Tanzania </w:t>
      </w:r>
      <w:r w:rsidRPr="006B42D6">
        <w:t>Zanzibar had 499</w:t>
      </w:r>
      <w:r w:rsidR="008138C0" w:rsidRPr="006B42D6">
        <w:t xml:space="preserve"> households</w:t>
      </w:r>
      <w:r w:rsidRPr="006B42D6">
        <w:t xml:space="preserve">. The total area planted with </w:t>
      </w:r>
      <w:r w:rsidR="00A63DF5" w:rsidRPr="006B42D6">
        <w:t>c</w:t>
      </w:r>
      <w:r w:rsidRPr="006B42D6">
        <w:t xml:space="preserve">ashewnuts was 811,733 ha </w:t>
      </w:r>
      <w:r w:rsidR="008138C0" w:rsidRPr="006B42D6">
        <w:t xml:space="preserve">out </w:t>
      </w:r>
      <w:r w:rsidRPr="006B42D6">
        <w:t xml:space="preserve">of which </w:t>
      </w:r>
      <w:r w:rsidR="00EA1552">
        <w:t>Mainland Tanzania</w:t>
      </w:r>
      <w:r w:rsidRPr="006B42D6">
        <w:t xml:space="preserve"> had 811,673 ha (808,083 ha from smallholder farmers and 3,590</w:t>
      </w:r>
      <w:r w:rsidR="00A63DF5" w:rsidRPr="006B42D6">
        <w:t xml:space="preserve"> </w:t>
      </w:r>
      <w:r w:rsidRPr="006B42D6">
        <w:t xml:space="preserve">ha from large scale farms) and </w:t>
      </w:r>
      <w:r w:rsidR="00C26421" w:rsidRPr="006B42D6">
        <w:t xml:space="preserve">Tanzania </w:t>
      </w:r>
      <w:r w:rsidRPr="006B42D6">
        <w:t xml:space="preserve">Zanzibar had </w:t>
      </w:r>
      <w:r w:rsidR="00A63DF5" w:rsidRPr="006B42D6">
        <w:t>59</w:t>
      </w:r>
      <w:r w:rsidRPr="006B42D6">
        <w:t xml:space="preserve"> ha from smallholder farmers and none came from large scale farms.</w:t>
      </w:r>
    </w:p>
    <w:p w14:paraId="64DAEB15" w14:textId="77777777" w:rsidR="0056082B" w:rsidRPr="006B42D6" w:rsidRDefault="0056082B" w:rsidP="00925645">
      <w:pPr>
        <w:spacing w:line="240" w:lineRule="auto"/>
      </w:pPr>
    </w:p>
    <w:p w14:paraId="78124642" w14:textId="760BD3D7" w:rsidR="0056082B" w:rsidRDefault="00E16412" w:rsidP="005C2EFC">
      <w:r w:rsidRPr="006B42D6">
        <w:lastRenderedPageBreak/>
        <w:t xml:space="preserve">The total </w:t>
      </w:r>
      <w:r w:rsidR="00A63DF5" w:rsidRPr="006B42D6">
        <w:t>c</w:t>
      </w:r>
      <w:r w:rsidRPr="006B42D6">
        <w:t>ashewnuts production in Tanzania was 39</w:t>
      </w:r>
      <w:r w:rsidR="00A63DF5" w:rsidRPr="006B42D6">
        <w:t>1</w:t>
      </w:r>
      <w:r w:rsidRPr="006B42D6">
        <w:t>,</w:t>
      </w:r>
      <w:r w:rsidR="00A63DF5" w:rsidRPr="006B42D6">
        <w:t>119</w:t>
      </w:r>
      <w:r w:rsidRPr="006B42D6">
        <w:t xml:space="preserve"> tons </w:t>
      </w:r>
      <w:r w:rsidR="008138C0" w:rsidRPr="006B42D6">
        <w:t xml:space="preserve">out </w:t>
      </w:r>
      <w:r w:rsidRPr="006B42D6">
        <w:t xml:space="preserve">of which </w:t>
      </w:r>
      <w:r w:rsidR="00EA1552">
        <w:t>Mainland Tanzania</w:t>
      </w:r>
      <w:r w:rsidRPr="006B42D6">
        <w:t xml:space="preserve"> had </w:t>
      </w:r>
      <w:r w:rsidR="00A63DF5" w:rsidRPr="006B42D6">
        <w:t>391,110</w:t>
      </w:r>
      <w:r w:rsidRPr="006B42D6">
        <w:t xml:space="preserve"> tons (39</w:t>
      </w:r>
      <w:r w:rsidR="00A63DF5" w:rsidRPr="006B42D6">
        <w:t>0</w:t>
      </w:r>
      <w:r w:rsidRPr="006B42D6">
        <w:t>,</w:t>
      </w:r>
      <w:r w:rsidR="00A63DF5" w:rsidRPr="006B42D6">
        <w:t xml:space="preserve">403 </w:t>
      </w:r>
      <w:r w:rsidRPr="006B42D6">
        <w:t xml:space="preserve">tons from smallholder farmers; 707 tons from large scale farms) and </w:t>
      </w:r>
      <w:r w:rsidR="00C26421" w:rsidRPr="006B42D6">
        <w:t xml:space="preserve">Tanzania </w:t>
      </w:r>
      <w:r w:rsidRPr="006B42D6">
        <w:t>Zanzibar had 9 tons from smallholder farmers and none came from large scale farms. The total area harvested from smallholder farmers was 560,7</w:t>
      </w:r>
      <w:r w:rsidR="00A63DF5" w:rsidRPr="006B42D6">
        <w:t>28</w:t>
      </w:r>
      <w:r w:rsidRPr="006B42D6">
        <w:t xml:space="preserve"> ha </w:t>
      </w:r>
      <w:r w:rsidR="008138C0" w:rsidRPr="006B42D6">
        <w:t xml:space="preserve">out </w:t>
      </w:r>
      <w:r w:rsidRPr="006B42D6">
        <w:t>of which, 560,7</w:t>
      </w:r>
      <w:r w:rsidR="00A63DF5" w:rsidRPr="006B42D6">
        <w:t>02</w:t>
      </w:r>
      <w:r w:rsidRPr="006B42D6">
        <w:t xml:space="preserve"> ha was in </w:t>
      </w:r>
      <w:r w:rsidR="00EA1552">
        <w:t>Mainland Tanzania</w:t>
      </w:r>
      <w:r w:rsidRPr="006B42D6">
        <w:t xml:space="preserve"> and 26 ha in </w:t>
      </w:r>
      <w:r w:rsidR="00C26421" w:rsidRPr="006B42D6">
        <w:t xml:space="preserve">Tanzania </w:t>
      </w:r>
      <w:r w:rsidRPr="006B42D6">
        <w:t xml:space="preserve">Zanzibar. </w:t>
      </w:r>
    </w:p>
    <w:p w14:paraId="31CD1167" w14:textId="77777777" w:rsidR="00EB35E7" w:rsidRPr="006B42D6" w:rsidRDefault="00EB35E7" w:rsidP="00925645">
      <w:pPr>
        <w:spacing w:line="240" w:lineRule="auto"/>
      </w:pPr>
    </w:p>
    <w:p w14:paraId="0C3B4C9E" w14:textId="29B7E60A" w:rsidR="00C26421" w:rsidRDefault="00E16412" w:rsidP="00B107E4">
      <w:r w:rsidRPr="006B42D6">
        <w:t xml:space="preserve">In </w:t>
      </w:r>
      <w:r w:rsidR="00EA1552">
        <w:t>Mainland Tanzania</w:t>
      </w:r>
      <w:r w:rsidRPr="006B42D6">
        <w:t xml:space="preserve">, from smallholder farmers, Mtwara </w:t>
      </w:r>
      <w:r w:rsidR="00921EEB">
        <w:t>r</w:t>
      </w:r>
      <w:r w:rsidRPr="006B42D6">
        <w:t>egion had the largest cashewnuts planted area (349,170 ha; 43.2 percent) and produced 20</w:t>
      </w:r>
      <w:r w:rsidR="00A63DF5" w:rsidRPr="006B42D6">
        <w:t>1</w:t>
      </w:r>
      <w:r w:rsidRPr="006B42D6">
        <w:t>,41</w:t>
      </w:r>
      <w:r w:rsidR="00A63DF5" w:rsidRPr="006B42D6">
        <w:t>1</w:t>
      </w:r>
      <w:r w:rsidRPr="006B42D6">
        <w:t xml:space="preserve"> tons (51.</w:t>
      </w:r>
      <w:r w:rsidR="00A63DF5" w:rsidRPr="006B42D6">
        <w:t>6</w:t>
      </w:r>
      <w:r w:rsidRPr="006B42D6">
        <w:t xml:space="preserve"> percent) from 2</w:t>
      </w:r>
      <w:r w:rsidR="00A63DF5" w:rsidRPr="006B42D6">
        <w:t>94</w:t>
      </w:r>
      <w:r w:rsidRPr="006B42D6">
        <w:t>,</w:t>
      </w:r>
      <w:r w:rsidR="00A63DF5" w:rsidRPr="006B42D6">
        <w:t>919</w:t>
      </w:r>
      <w:r w:rsidRPr="006B42D6">
        <w:t xml:space="preserve"> ha harvested. It was followed by Lindi with a planted area of 243,609 ha (30.1 percent) and produced 10</w:t>
      </w:r>
      <w:r w:rsidR="00A63DF5" w:rsidRPr="006B42D6">
        <w:t>6</w:t>
      </w:r>
      <w:r w:rsidRPr="006B42D6">
        <w:t>,</w:t>
      </w:r>
      <w:r w:rsidR="00A63DF5" w:rsidRPr="006B42D6">
        <w:t>686</w:t>
      </w:r>
      <w:r w:rsidRPr="006B42D6">
        <w:t xml:space="preserve"> tons (27.</w:t>
      </w:r>
      <w:r w:rsidR="00A63DF5" w:rsidRPr="006B42D6">
        <w:t>3</w:t>
      </w:r>
      <w:r w:rsidRPr="006B42D6">
        <w:t xml:space="preserve"> percent) from 1</w:t>
      </w:r>
      <w:r w:rsidR="00A63DF5" w:rsidRPr="006B42D6">
        <w:t>50</w:t>
      </w:r>
      <w:r w:rsidRPr="006B42D6">
        <w:t>,</w:t>
      </w:r>
      <w:r w:rsidR="00A63DF5" w:rsidRPr="006B42D6">
        <w:t>018</w:t>
      </w:r>
      <w:r w:rsidRPr="006B42D6">
        <w:t xml:space="preserve"> ha harvested and Ruvuma </w:t>
      </w:r>
      <w:r w:rsidR="00A63DF5" w:rsidRPr="006B42D6">
        <w:t>r</w:t>
      </w:r>
      <w:r w:rsidRPr="006B42D6">
        <w:t xml:space="preserve">egion with a planted area of 98,497 ha (12.2 percent) and produced </w:t>
      </w:r>
      <w:r w:rsidR="008E7A27" w:rsidRPr="006B42D6">
        <w:t>38,877</w:t>
      </w:r>
      <w:r w:rsidRPr="006B42D6">
        <w:t xml:space="preserve"> tons (1</w:t>
      </w:r>
      <w:r w:rsidR="008E7A27" w:rsidRPr="006B42D6">
        <w:t>0.0</w:t>
      </w:r>
      <w:r w:rsidRPr="006B42D6">
        <w:t xml:space="preserve"> percent) from a harvested area of 61,101 ha (10.9 percent). The results presented</w:t>
      </w:r>
      <w:r w:rsidR="008E7A27" w:rsidRPr="006B42D6">
        <w:t xml:space="preserve"> </w:t>
      </w:r>
      <w:r w:rsidRPr="006B42D6">
        <w:t>exclude regions</w:t>
      </w:r>
      <w:r w:rsidR="008E7A27" w:rsidRPr="006B42D6">
        <w:t xml:space="preserve"> that did not plant cashewnut (Table 3.1</w:t>
      </w:r>
      <w:r w:rsidR="00CD75FC">
        <w:t>4</w:t>
      </w:r>
      <w:r w:rsidR="008E7A27" w:rsidRPr="006B42D6">
        <w:t>)</w:t>
      </w:r>
      <w:r w:rsidR="00A63DF5" w:rsidRPr="006B42D6">
        <w:t>.</w:t>
      </w:r>
    </w:p>
    <w:p w14:paraId="0F00DDBC" w14:textId="77777777" w:rsidR="00921EEB" w:rsidRDefault="00921EEB" w:rsidP="00B107E4"/>
    <w:p w14:paraId="15B0A023" w14:textId="0904F91B" w:rsidR="00E16412" w:rsidRPr="006B42D6" w:rsidRDefault="00E16412" w:rsidP="00921EEB">
      <w:pPr>
        <w:pStyle w:val="Heading7"/>
        <w:ind w:right="397"/>
        <w:rPr>
          <w:i/>
        </w:rPr>
      </w:pPr>
      <w:bookmarkStart w:id="247" w:name="_Toc82386196"/>
      <w:r w:rsidRPr="006B42D6">
        <w:t>Table 3.1</w:t>
      </w:r>
      <w:r w:rsidR="00CD75FC">
        <w:t>4</w:t>
      </w:r>
      <w:r w:rsidR="000E00D3">
        <w:t>:</w:t>
      </w:r>
      <w:r w:rsidR="00B107E4">
        <w:tab/>
      </w:r>
      <w:r w:rsidRPr="006B42D6">
        <w:t>Number of Households, Area Planted</w:t>
      </w:r>
      <w:r w:rsidR="008E7A27" w:rsidRPr="006B42D6">
        <w:t xml:space="preserve"> and </w:t>
      </w:r>
      <w:r w:rsidRPr="006B42D6">
        <w:t>Harvested</w:t>
      </w:r>
      <w:r w:rsidR="008E7A27" w:rsidRPr="006B42D6">
        <w:t xml:space="preserve"> and</w:t>
      </w:r>
      <w:r w:rsidRPr="006B42D6">
        <w:t xml:space="preserve"> Production of Cashewnuts by Region,</w:t>
      </w:r>
      <w:r w:rsidR="0056082B" w:rsidRPr="006B42D6">
        <w:t xml:space="preserve"> </w:t>
      </w:r>
      <w:r w:rsidRPr="006B42D6">
        <w:t>2019/20</w:t>
      </w:r>
      <w:r w:rsidR="008E7A27" w:rsidRPr="006B42D6">
        <w:t xml:space="preserve"> Agricultural Year</w:t>
      </w:r>
      <w:r w:rsidR="003004DB" w:rsidRPr="006B42D6">
        <w:t>, Tanzania</w:t>
      </w:r>
      <w:bookmarkEnd w:id="247"/>
    </w:p>
    <w:tbl>
      <w:tblPr>
        <w:tblW w:w="8931" w:type="dxa"/>
        <w:tblLayout w:type="fixed"/>
        <w:tblLook w:val="04A0" w:firstRow="1" w:lastRow="0" w:firstColumn="1" w:lastColumn="0" w:noHBand="0" w:noVBand="1"/>
      </w:tblPr>
      <w:tblGrid>
        <w:gridCol w:w="1843"/>
        <w:gridCol w:w="1756"/>
        <w:gridCol w:w="1792"/>
        <w:gridCol w:w="1539"/>
        <w:gridCol w:w="2001"/>
      </w:tblGrid>
      <w:tr w:rsidR="00B107E4" w:rsidRPr="00921EEB" w14:paraId="0DEA02D1" w14:textId="77777777" w:rsidTr="00D75EDC">
        <w:trPr>
          <w:trHeight w:val="424"/>
        </w:trPr>
        <w:tc>
          <w:tcPr>
            <w:tcW w:w="1843" w:type="dxa"/>
            <w:tcBorders>
              <w:top w:val="single" w:sz="4" w:space="0" w:color="auto"/>
              <w:left w:val="nil"/>
              <w:bottom w:val="single" w:sz="4" w:space="0" w:color="auto"/>
              <w:right w:val="nil"/>
            </w:tcBorders>
            <w:shd w:val="clear" w:color="auto" w:fill="E2EFD9" w:themeFill="accent6" w:themeFillTint="33"/>
            <w:noWrap/>
            <w:vAlign w:val="center"/>
            <w:hideMark/>
          </w:tcPr>
          <w:p w14:paraId="0A295150" w14:textId="454118D5" w:rsidR="005901E9" w:rsidRPr="00921EEB" w:rsidRDefault="005901E9" w:rsidP="00921EEB">
            <w:pPr>
              <w:spacing w:line="276" w:lineRule="auto"/>
              <w:jc w:val="left"/>
              <w:rPr>
                <w:sz w:val="17"/>
                <w:szCs w:val="17"/>
              </w:rPr>
            </w:pPr>
            <w:r w:rsidRPr="00921EEB">
              <w:rPr>
                <w:sz w:val="17"/>
                <w:szCs w:val="17"/>
              </w:rPr>
              <w:t>Region</w:t>
            </w:r>
          </w:p>
        </w:tc>
        <w:tc>
          <w:tcPr>
            <w:tcW w:w="1756" w:type="dxa"/>
            <w:tcBorders>
              <w:top w:val="single" w:sz="4" w:space="0" w:color="auto"/>
              <w:left w:val="nil"/>
              <w:bottom w:val="single" w:sz="4" w:space="0" w:color="auto"/>
              <w:right w:val="nil"/>
            </w:tcBorders>
            <w:shd w:val="clear" w:color="auto" w:fill="E2EFD9" w:themeFill="accent6" w:themeFillTint="33"/>
            <w:vAlign w:val="center"/>
            <w:hideMark/>
          </w:tcPr>
          <w:p w14:paraId="6E212148" w14:textId="77777777" w:rsidR="005901E9" w:rsidRPr="00921EEB" w:rsidRDefault="005901E9" w:rsidP="00921EEB">
            <w:pPr>
              <w:spacing w:line="276" w:lineRule="auto"/>
              <w:jc w:val="left"/>
              <w:rPr>
                <w:sz w:val="17"/>
                <w:szCs w:val="17"/>
              </w:rPr>
            </w:pPr>
            <w:r w:rsidRPr="00921EEB">
              <w:rPr>
                <w:sz w:val="17"/>
                <w:szCs w:val="17"/>
              </w:rPr>
              <w:t>Number of households</w:t>
            </w:r>
          </w:p>
        </w:tc>
        <w:tc>
          <w:tcPr>
            <w:tcW w:w="1792" w:type="dxa"/>
            <w:tcBorders>
              <w:top w:val="single" w:sz="4" w:space="0" w:color="auto"/>
              <w:left w:val="nil"/>
              <w:bottom w:val="single" w:sz="4" w:space="0" w:color="auto"/>
              <w:right w:val="nil"/>
            </w:tcBorders>
            <w:shd w:val="clear" w:color="auto" w:fill="E2EFD9" w:themeFill="accent6" w:themeFillTint="33"/>
            <w:vAlign w:val="center"/>
            <w:hideMark/>
          </w:tcPr>
          <w:p w14:paraId="5BFBB154" w14:textId="77777777" w:rsidR="00921EEB" w:rsidRDefault="005901E9" w:rsidP="00921EEB">
            <w:pPr>
              <w:spacing w:line="276" w:lineRule="auto"/>
              <w:jc w:val="left"/>
              <w:rPr>
                <w:sz w:val="17"/>
                <w:szCs w:val="17"/>
              </w:rPr>
            </w:pPr>
            <w:r w:rsidRPr="00921EEB">
              <w:rPr>
                <w:sz w:val="17"/>
                <w:szCs w:val="17"/>
              </w:rPr>
              <w:t>Area Planted</w:t>
            </w:r>
            <w:r w:rsidR="00921EEB">
              <w:rPr>
                <w:sz w:val="17"/>
                <w:szCs w:val="17"/>
              </w:rPr>
              <w:t xml:space="preserve"> </w:t>
            </w:r>
          </w:p>
          <w:p w14:paraId="0806C258" w14:textId="0C4F5EFC" w:rsidR="005901E9" w:rsidRPr="00921EEB" w:rsidRDefault="005901E9" w:rsidP="00921EEB">
            <w:pPr>
              <w:spacing w:line="276" w:lineRule="auto"/>
              <w:jc w:val="left"/>
              <w:rPr>
                <w:sz w:val="17"/>
                <w:szCs w:val="17"/>
              </w:rPr>
            </w:pPr>
            <w:r w:rsidRPr="00921EEB">
              <w:rPr>
                <w:sz w:val="17"/>
                <w:szCs w:val="17"/>
              </w:rPr>
              <w:t>(ha)</w:t>
            </w:r>
          </w:p>
        </w:tc>
        <w:tc>
          <w:tcPr>
            <w:tcW w:w="1539" w:type="dxa"/>
            <w:tcBorders>
              <w:top w:val="single" w:sz="4" w:space="0" w:color="auto"/>
              <w:left w:val="nil"/>
              <w:bottom w:val="single" w:sz="4" w:space="0" w:color="auto"/>
              <w:right w:val="nil"/>
            </w:tcBorders>
            <w:shd w:val="clear" w:color="auto" w:fill="E2EFD9" w:themeFill="accent6" w:themeFillTint="33"/>
            <w:vAlign w:val="center"/>
            <w:hideMark/>
          </w:tcPr>
          <w:p w14:paraId="065A4EC3" w14:textId="77777777" w:rsidR="005901E9" w:rsidRPr="00921EEB" w:rsidRDefault="005901E9" w:rsidP="00921EEB">
            <w:pPr>
              <w:spacing w:line="276" w:lineRule="auto"/>
              <w:jc w:val="left"/>
              <w:rPr>
                <w:sz w:val="17"/>
                <w:szCs w:val="17"/>
              </w:rPr>
            </w:pPr>
            <w:r w:rsidRPr="00921EEB">
              <w:rPr>
                <w:sz w:val="17"/>
                <w:szCs w:val="17"/>
              </w:rPr>
              <w:t>Area harvested (ha)</w:t>
            </w:r>
          </w:p>
        </w:tc>
        <w:tc>
          <w:tcPr>
            <w:tcW w:w="2001" w:type="dxa"/>
            <w:tcBorders>
              <w:top w:val="single" w:sz="4" w:space="0" w:color="auto"/>
              <w:left w:val="nil"/>
              <w:bottom w:val="single" w:sz="4" w:space="0" w:color="auto"/>
              <w:right w:val="nil"/>
            </w:tcBorders>
            <w:shd w:val="clear" w:color="auto" w:fill="E2EFD9" w:themeFill="accent6" w:themeFillTint="33"/>
            <w:vAlign w:val="center"/>
            <w:hideMark/>
          </w:tcPr>
          <w:p w14:paraId="53545CF4" w14:textId="77777777" w:rsidR="00921EEB" w:rsidRDefault="005901E9" w:rsidP="00921EEB">
            <w:pPr>
              <w:spacing w:line="276" w:lineRule="auto"/>
              <w:jc w:val="left"/>
              <w:rPr>
                <w:sz w:val="17"/>
                <w:szCs w:val="17"/>
              </w:rPr>
            </w:pPr>
            <w:r w:rsidRPr="00921EEB">
              <w:rPr>
                <w:sz w:val="17"/>
                <w:szCs w:val="17"/>
              </w:rPr>
              <w:t xml:space="preserve"> Quantity harvested </w:t>
            </w:r>
          </w:p>
          <w:p w14:paraId="518C496F" w14:textId="61CEBDCD" w:rsidR="005901E9" w:rsidRPr="00921EEB" w:rsidRDefault="005901E9" w:rsidP="00921EEB">
            <w:pPr>
              <w:spacing w:line="276" w:lineRule="auto"/>
              <w:jc w:val="left"/>
              <w:rPr>
                <w:sz w:val="17"/>
                <w:szCs w:val="17"/>
              </w:rPr>
            </w:pPr>
            <w:r w:rsidRPr="00921EEB">
              <w:rPr>
                <w:sz w:val="17"/>
                <w:szCs w:val="17"/>
              </w:rPr>
              <w:t xml:space="preserve">(tons) </w:t>
            </w:r>
          </w:p>
        </w:tc>
      </w:tr>
      <w:tr w:rsidR="00B107E4" w:rsidRPr="00921EEB" w14:paraId="4F39C8BF" w14:textId="77777777" w:rsidTr="00B107E4">
        <w:trPr>
          <w:trHeight w:val="329"/>
        </w:trPr>
        <w:tc>
          <w:tcPr>
            <w:tcW w:w="1843" w:type="dxa"/>
            <w:tcBorders>
              <w:top w:val="nil"/>
              <w:left w:val="nil"/>
              <w:bottom w:val="nil"/>
              <w:right w:val="nil"/>
            </w:tcBorders>
            <w:shd w:val="clear" w:color="auto" w:fill="auto"/>
            <w:noWrap/>
            <w:vAlign w:val="bottom"/>
            <w:hideMark/>
          </w:tcPr>
          <w:p w14:paraId="657AB715" w14:textId="77777777" w:rsidR="005901E9" w:rsidRPr="00921EEB" w:rsidRDefault="005901E9" w:rsidP="00634172">
            <w:pPr>
              <w:rPr>
                <w:sz w:val="17"/>
                <w:szCs w:val="17"/>
              </w:rPr>
            </w:pPr>
            <w:r w:rsidRPr="00921EEB">
              <w:rPr>
                <w:sz w:val="17"/>
                <w:szCs w:val="17"/>
              </w:rPr>
              <w:t>Dodoma</w:t>
            </w:r>
          </w:p>
        </w:tc>
        <w:tc>
          <w:tcPr>
            <w:tcW w:w="1756" w:type="dxa"/>
            <w:tcBorders>
              <w:top w:val="nil"/>
              <w:left w:val="nil"/>
              <w:bottom w:val="nil"/>
              <w:right w:val="nil"/>
            </w:tcBorders>
            <w:shd w:val="clear" w:color="auto" w:fill="auto"/>
            <w:noWrap/>
            <w:vAlign w:val="bottom"/>
            <w:hideMark/>
          </w:tcPr>
          <w:p w14:paraId="2FCE9272" w14:textId="3B23B9B1" w:rsidR="005901E9" w:rsidRPr="00921EEB" w:rsidRDefault="005901E9" w:rsidP="005901E9">
            <w:pPr>
              <w:jc w:val="right"/>
              <w:rPr>
                <w:sz w:val="17"/>
                <w:szCs w:val="17"/>
              </w:rPr>
            </w:pPr>
            <w:r w:rsidRPr="00921EEB">
              <w:rPr>
                <w:sz w:val="17"/>
                <w:szCs w:val="17"/>
              </w:rPr>
              <w:t>7,181</w:t>
            </w:r>
          </w:p>
        </w:tc>
        <w:tc>
          <w:tcPr>
            <w:tcW w:w="1792" w:type="dxa"/>
            <w:tcBorders>
              <w:top w:val="nil"/>
              <w:left w:val="nil"/>
              <w:bottom w:val="nil"/>
              <w:right w:val="nil"/>
            </w:tcBorders>
            <w:shd w:val="clear" w:color="auto" w:fill="auto"/>
            <w:noWrap/>
            <w:vAlign w:val="bottom"/>
            <w:hideMark/>
          </w:tcPr>
          <w:p w14:paraId="22D4F5E2" w14:textId="25896007" w:rsidR="005901E9" w:rsidRPr="00921EEB" w:rsidRDefault="005901E9" w:rsidP="005901E9">
            <w:pPr>
              <w:jc w:val="right"/>
              <w:rPr>
                <w:sz w:val="17"/>
                <w:szCs w:val="17"/>
              </w:rPr>
            </w:pPr>
            <w:r w:rsidRPr="00921EEB">
              <w:rPr>
                <w:sz w:val="17"/>
                <w:szCs w:val="17"/>
              </w:rPr>
              <w:t>8,174</w:t>
            </w:r>
          </w:p>
        </w:tc>
        <w:tc>
          <w:tcPr>
            <w:tcW w:w="1539" w:type="dxa"/>
            <w:tcBorders>
              <w:top w:val="nil"/>
              <w:left w:val="nil"/>
              <w:bottom w:val="nil"/>
              <w:right w:val="nil"/>
            </w:tcBorders>
            <w:shd w:val="clear" w:color="auto" w:fill="auto"/>
            <w:noWrap/>
            <w:vAlign w:val="bottom"/>
            <w:hideMark/>
          </w:tcPr>
          <w:p w14:paraId="5EE9AA1A" w14:textId="033F3855" w:rsidR="005901E9" w:rsidRPr="00921EEB" w:rsidRDefault="005901E9" w:rsidP="005901E9">
            <w:pPr>
              <w:jc w:val="right"/>
              <w:rPr>
                <w:sz w:val="17"/>
                <w:szCs w:val="17"/>
              </w:rPr>
            </w:pPr>
            <w:r w:rsidRPr="00921EEB">
              <w:rPr>
                <w:sz w:val="17"/>
                <w:szCs w:val="17"/>
              </w:rPr>
              <w:t>-</w:t>
            </w:r>
          </w:p>
        </w:tc>
        <w:tc>
          <w:tcPr>
            <w:tcW w:w="2001" w:type="dxa"/>
            <w:tcBorders>
              <w:top w:val="nil"/>
              <w:left w:val="nil"/>
              <w:bottom w:val="nil"/>
              <w:right w:val="nil"/>
            </w:tcBorders>
            <w:shd w:val="clear" w:color="auto" w:fill="auto"/>
            <w:noWrap/>
            <w:vAlign w:val="bottom"/>
            <w:hideMark/>
          </w:tcPr>
          <w:p w14:paraId="452FA0D4" w14:textId="381EBD53" w:rsidR="005901E9" w:rsidRPr="00921EEB" w:rsidRDefault="005901E9" w:rsidP="005901E9">
            <w:pPr>
              <w:jc w:val="right"/>
              <w:rPr>
                <w:sz w:val="17"/>
                <w:szCs w:val="17"/>
              </w:rPr>
            </w:pPr>
            <w:r w:rsidRPr="00921EEB">
              <w:rPr>
                <w:sz w:val="17"/>
                <w:szCs w:val="17"/>
              </w:rPr>
              <w:t>-</w:t>
            </w:r>
          </w:p>
        </w:tc>
      </w:tr>
      <w:tr w:rsidR="00B107E4" w:rsidRPr="00921EEB" w14:paraId="794F0038" w14:textId="77777777" w:rsidTr="00B107E4">
        <w:trPr>
          <w:trHeight w:val="276"/>
        </w:trPr>
        <w:tc>
          <w:tcPr>
            <w:tcW w:w="1843" w:type="dxa"/>
            <w:tcBorders>
              <w:top w:val="nil"/>
              <w:left w:val="nil"/>
              <w:bottom w:val="nil"/>
              <w:right w:val="nil"/>
            </w:tcBorders>
            <w:shd w:val="clear" w:color="auto" w:fill="auto"/>
            <w:noWrap/>
            <w:vAlign w:val="bottom"/>
            <w:hideMark/>
          </w:tcPr>
          <w:p w14:paraId="76D71828" w14:textId="77777777" w:rsidR="005901E9" w:rsidRPr="00921EEB" w:rsidRDefault="005901E9" w:rsidP="00634172">
            <w:pPr>
              <w:rPr>
                <w:sz w:val="17"/>
                <w:szCs w:val="17"/>
              </w:rPr>
            </w:pPr>
            <w:r w:rsidRPr="00921EEB">
              <w:rPr>
                <w:sz w:val="17"/>
                <w:szCs w:val="17"/>
              </w:rPr>
              <w:t>Tanga</w:t>
            </w:r>
          </w:p>
        </w:tc>
        <w:tc>
          <w:tcPr>
            <w:tcW w:w="1756" w:type="dxa"/>
            <w:tcBorders>
              <w:top w:val="nil"/>
              <w:left w:val="nil"/>
              <w:bottom w:val="nil"/>
              <w:right w:val="nil"/>
            </w:tcBorders>
            <w:shd w:val="clear" w:color="auto" w:fill="auto"/>
            <w:noWrap/>
            <w:vAlign w:val="bottom"/>
            <w:hideMark/>
          </w:tcPr>
          <w:p w14:paraId="34C6AF64" w14:textId="76ECC293" w:rsidR="005901E9" w:rsidRPr="00921EEB" w:rsidRDefault="005901E9" w:rsidP="005901E9">
            <w:pPr>
              <w:jc w:val="right"/>
              <w:rPr>
                <w:sz w:val="17"/>
                <w:szCs w:val="17"/>
              </w:rPr>
            </w:pPr>
            <w:r w:rsidRPr="00921EEB">
              <w:rPr>
                <w:sz w:val="17"/>
                <w:szCs w:val="17"/>
              </w:rPr>
              <w:t>21,152</w:t>
            </w:r>
          </w:p>
        </w:tc>
        <w:tc>
          <w:tcPr>
            <w:tcW w:w="1792" w:type="dxa"/>
            <w:tcBorders>
              <w:top w:val="nil"/>
              <w:left w:val="nil"/>
              <w:bottom w:val="nil"/>
              <w:right w:val="nil"/>
            </w:tcBorders>
            <w:shd w:val="clear" w:color="auto" w:fill="auto"/>
            <w:noWrap/>
            <w:vAlign w:val="bottom"/>
            <w:hideMark/>
          </w:tcPr>
          <w:p w14:paraId="454368B8" w14:textId="11CC973B" w:rsidR="005901E9" w:rsidRPr="00921EEB" w:rsidRDefault="005901E9" w:rsidP="005901E9">
            <w:pPr>
              <w:jc w:val="right"/>
              <w:rPr>
                <w:sz w:val="17"/>
                <w:szCs w:val="17"/>
              </w:rPr>
            </w:pPr>
            <w:r w:rsidRPr="00921EEB">
              <w:rPr>
                <w:sz w:val="17"/>
                <w:szCs w:val="17"/>
              </w:rPr>
              <w:t>14,311</w:t>
            </w:r>
          </w:p>
        </w:tc>
        <w:tc>
          <w:tcPr>
            <w:tcW w:w="1539" w:type="dxa"/>
            <w:tcBorders>
              <w:top w:val="nil"/>
              <w:left w:val="nil"/>
              <w:bottom w:val="nil"/>
              <w:right w:val="nil"/>
            </w:tcBorders>
            <w:shd w:val="clear" w:color="auto" w:fill="auto"/>
            <w:noWrap/>
            <w:vAlign w:val="bottom"/>
            <w:hideMark/>
          </w:tcPr>
          <w:p w14:paraId="46152912" w14:textId="52F8692D" w:rsidR="005901E9" w:rsidRPr="00921EEB" w:rsidRDefault="005901E9" w:rsidP="005901E9">
            <w:pPr>
              <w:jc w:val="right"/>
              <w:rPr>
                <w:sz w:val="17"/>
                <w:szCs w:val="17"/>
              </w:rPr>
            </w:pPr>
            <w:r w:rsidRPr="00921EEB">
              <w:rPr>
                <w:sz w:val="17"/>
                <w:szCs w:val="17"/>
              </w:rPr>
              <w:t>3,654</w:t>
            </w:r>
          </w:p>
        </w:tc>
        <w:tc>
          <w:tcPr>
            <w:tcW w:w="2001" w:type="dxa"/>
            <w:tcBorders>
              <w:top w:val="nil"/>
              <w:left w:val="nil"/>
              <w:bottom w:val="nil"/>
              <w:right w:val="nil"/>
            </w:tcBorders>
            <w:shd w:val="clear" w:color="auto" w:fill="auto"/>
            <w:noWrap/>
            <w:vAlign w:val="bottom"/>
            <w:hideMark/>
          </w:tcPr>
          <w:p w14:paraId="34D5634B" w14:textId="3E820762" w:rsidR="005901E9" w:rsidRPr="00921EEB" w:rsidRDefault="005901E9" w:rsidP="005901E9">
            <w:pPr>
              <w:jc w:val="right"/>
              <w:rPr>
                <w:sz w:val="17"/>
                <w:szCs w:val="17"/>
              </w:rPr>
            </w:pPr>
            <w:r w:rsidRPr="00921EEB">
              <w:rPr>
                <w:sz w:val="17"/>
                <w:szCs w:val="17"/>
              </w:rPr>
              <w:t>3,157</w:t>
            </w:r>
          </w:p>
        </w:tc>
      </w:tr>
      <w:tr w:rsidR="00B107E4" w:rsidRPr="00921EEB" w14:paraId="2E0D4357" w14:textId="77777777" w:rsidTr="00B107E4">
        <w:trPr>
          <w:trHeight w:val="276"/>
        </w:trPr>
        <w:tc>
          <w:tcPr>
            <w:tcW w:w="1843" w:type="dxa"/>
            <w:tcBorders>
              <w:top w:val="nil"/>
              <w:left w:val="nil"/>
              <w:bottom w:val="nil"/>
              <w:right w:val="nil"/>
            </w:tcBorders>
            <w:shd w:val="clear" w:color="auto" w:fill="auto"/>
            <w:noWrap/>
            <w:vAlign w:val="bottom"/>
            <w:hideMark/>
          </w:tcPr>
          <w:p w14:paraId="66C86B96" w14:textId="77777777" w:rsidR="005901E9" w:rsidRPr="00921EEB" w:rsidRDefault="005901E9" w:rsidP="00634172">
            <w:pPr>
              <w:rPr>
                <w:sz w:val="17"/>
                <w:szCs w:val="17"/>
              </w:rPr>
            </w:pPr>
            <w:r w:rsidRPr="00921EEB">
              <w:rPr>
                <w:sz w:val="17"/>
                <w:szCs w:val="17"/>
              </w:rPr>
              <w:t>Morogoro</w:t>
            </w:r>
          </w:p>
        </w:tc>
        <w:tc>
          <w:tcPr>
            <w:tcW w:w="1756" w:type="dxa"/>
            <w:tcBorders>
              <w:top w:val="nil"/>
              <w:left w:val="nil"/>
              <w:bottom w:val="nil"/>
              <w:right w:val="nil"/>
            </w:tcBorders>
            <w:shd w:val="clear" w:color="auto" w:fill="auto"/>
            <w:noWrap/>
            <w:vAlign w:val="bottom"/>
            <w:hideMark/>
          </w:tcPr>
          <w:p w14:paraId="31D45473" w14:textId="53BA671F" w:rsidR="005901E9" w:rsidRPr="00921EEB" w:rsidRDefault="005901E9" w:rsidP="005901E9">
            <w:pPr>
              <w:jc w:val="right"/>
              <w:rPr>
                <w:sz w:val="17"/>
                <w:szCs w:val="17"/>
              </w:rPr>
            </w:pPr>
            <w:r w:rsidRPr="00921EEB">
              <w:rPr>
                <w:sz w:val="17"/>
                <w:szCs w:val="17"/>
              </w:rPr>
              <w:t>2,454</w:t>
            </w:r>
          </w:p>
        </w:tc>
        <w:tc>
          <w:tcPr>
            <w:tcW w:w="1792" w:type="dxa"/>
            <w:tcBorders>
              <w:top w:val="nil"/>
              <w:left w:val="nil"/>
              <w:bottom w:val="nil"/>
              <w:right w:val="nil"/>
            </w:tcBorders>
            <w:shd w:val="clear" w:color="auto" w:fill="auto"/>
            <w:noWrap/>
            <w:vAlign w:val="bottom"/>
            <w:hideMark/>
          </w:tcPr>
          <w:p w14:paraId="39B89C64" w14:textId="40E793DF" w:rsidR="005901E9" w:rsidRPr="00921EEB" w:rsidRDefault="005901E9" w:rsidP="005901E9">
            <w:pPr>
              <w:jc w:val="right"/>
              <w:rPr>
                <w:sz w:val="17"/>
                <w:szCs w:val="17"/>
              </w:rPr>
            </w:pPr>
            <w:r w:rsidRPr="00921EEB">
              <w:rPr>
                <w:sz w:val="17"/>
                <w:szCs w:val="17"/>
              </w:rPr>
              <w:t>754</w:t>
            </w:r>
          </w:p>
        </w:tc>
        <w:tc>
          <w:tcPr>
            <w:tcW w:w="1539" w:type="dxa"/>
            <w:tcBorders>
              <w:top w:val="nil"/>
              <w:left w:val="nil"/>
              <w:bottom w:val="nil"/>
              <w:right w:val="nil"/>
            </w:tcBorders>
            <w:shd w:val="clear" w:color="auto" w:fill="auto"/>
            <w:noWrap/>
            <w:vAlign w:val="bottom"/>
            <w:hideMark/>
          </w:tcPr>
          <w:p w14:paraId="7A546F48" w14:textId="73B85880" w:rsidR="005901E9" w:rsidRPr="00921EEB" w:rsidRDefault="005901E9" w:rsidP="005901E9">
            <w:pPr>
              <w:jc w:val="right"/>
              <w:rPr>
                <w:sz w:val="17"/>
                <w:szCs w:val="17"/>
              </w:rPr>
            </w:pPr>
            <w:r w:rsidRPr="00921EEB">
              <w:rPr>
                <w:sz w:val="17"/>
                <w:szCs w:val="17"/>
              </w:rPr>
              <w:t>-</w:t>
            </w:r>
          </w:p>
        </w:tc>
        <w:tc>
          <w:tcPr>
            <w:tcW w:w="2001" w:type="dxa"/>
            <w:tcBorders>
              <w:top w:val="nil"/>
              <w:left w:val="nil"/>
              <w:bottom w:val="nil"/>
              <w:right w:val="nil"/>
            </w:tcBorders>
            <w:shd w:val="clear" w:color="auto" w:fill="auto"/>
            <w:noWrap/>
            <w:vAlign w:val="bottom"/>
            <w:hideMark/>
          </w:tcPr>
          <w:p w14:paraId="143E1DE3" w14:textId="5A810C34" w:rsidR="005901E9" w:rsidRPr="00921EEB" w:rsidRDefault="005901E9" w:rsidP="005901E9">
            <w:pPr>
              <w:jc w:val="right"/>
              <w:rPr>
                <w:sz w:val="17"/>
                <w:szCs w:val="17"/>
              </w:rPr>
            </w:pPr>
            <w:r w:rsidRPr="00921EEB">
              <w:rPr>
                <w:sz w:val="17"/>
                <w:szCs w:val="17"/>
              </w:rPr>
              <w:t>-</w:t>
            </w:r>
          </w:p>
        </w:tc>
      </w:tr>
      <w:tr w:rsidR="00B107E4" w:rsidRPr="00921EEB" w14:paraId="1BAF34BA" w14:textId="77777777" w:rsidTr="00B107E4">
        <w:trPr>
          <w:trHeight w:val="276"/>
        </w:trPr>
        <w:tc>
          <w:tcPr>
            <w:tcW w:w="1843" w:type="dxa"/>
            <w:tcBorders>
              <w:top w:val="nil"/>
              <w:left w:val="nil"/>
              <w:bottom w:val="nil"/>
              <w:right w:val="nil"/>
            </w:tcBorders>
            <w:shd w:val="clear" w:color="auto" w:fill="auto"/>
            <w:noWrap/>
            <w:vAlign w:val="bottom"/>
            <w:hideMark/>
          </w:tcPr>
          <w:p w14:paraId="4DDD2B15" w14:textId="77777777" w:rsidR="005901E9" w:rsidRPr="00921EEB" w:rsidRDefault="005901E9" w:rsidP="00634172">
            <w:pPr>
              <w:rPr>
                <w:sz w:val="17"/>
                <w:szCs w:val="17"/>
              </w:rPr>
            </w:pPr>
            <w:r w:rsidRPr="00921EEB">
              <w:rPr>
                <w:sz w:val="17"/>
                <w:szCs w:val="17"/>
              </w:rPr>
              <w:t>Pwani</w:t>
            </w:r>
          </w:p>
        </w:tc>
        <w:tc>
          <w:tcPr>
            <w:tcW w:w="1756" w:type="dxa"/>
            <w:tcBorders>
              <w:top w:val="nil"/>
              <w:left w:val="nil"/>
              <w:bottom w:val="nil"/>
              <w:right w:val="nil"/>
            </w:tcBorders>
            <w:shd w:val="clear" w:color="auto" w:fill="auto"/>
            <w:noWrap/>
            <w:vAlign w:val="bottom"/>
            <w:hideMark/>
          </w:tcPr>
          <w:p w14:paraId="38CAB399" w14:textId="4DA47249" w:rsidR="005901E9" w:rsidRPr="00921EEB" w:rsidRDefault="005901E9" w:rsidP="005901E9">
            <w:pPr>
              <w:jc w:val="right"/>
              <w:rPr>
                <w:sz w:val="17"/>
                <w:szCs w:val="17"/>
              </w:rPr>
            </w:pPr>
            <w:r w:rsidRPr="00921EEB">
              <w:rPr>
                <w:sz w:val="17"/>
                <w:szCs w:val="17"/>
              </w:rPr>
              <w:t>70,697</w:t>
            </w:r>
          </w:p>
        </w:tc>
        <w:tc>
          <w:tcPr>
            <w:tcW w:w="1792" w:type="dxa"/>
            <w:tcBorders>
              <w:top w:val="nil"/>
              <w:left w:val="nil"/>
              <w:bottom w:val="nil"/>
              <w:right w:val="nil"/>
            </w:tcBorders>
            <w:shd w:val="clear" w:color="auto" w:fill="auto"/>
            <w:noWrap/>
            <w:vAlign w:val="bottom"/>
            <w:hideMark/>
          </w:tcPr>
          <w:p w14:paraId="5358CECB" w14:textId="684FF017" w:rsidR="005901E9" w:rsidRPr="00921EEB" w:rsidRDefault="005901E9" w:rsidP="005901E9">
            <w:pPr>
              <w:jc w:val="right"/>
              <w:rPr>
                <w:sz w:val="17"/>
                <w:szCs w:val="17"/>
              </w:rPr>
            </w:pPr>
            <w:r w:rsidRPr="00921EEB">
              <w:rPr>
                <w:sz w:val="17"/>
                <w:szCs w:val="17"/>
              </w:rPr>
              <w:t>61,815</w:t>
            </w:r>
          </w:p>
        </w:tc>
        <w:tc>
          <w:tcPr>
            <w:tcW w:w="1539" w:type="dxa"/>
            <w:tcBorders>
              <w:top w:val="nil"/>
              <w:left w:val="nil"/>
              <w:bottom w:val="nil"/>
              <w:right w:val="nil"/>
            </w:tcBorders>
            <w:shd w:val="clear" w:color="auto" w:fill="auto"/>
            <w:noWrap/>
            <w:vAlign w:val="bottom"/>
            <w:hideMark/>
          </w:tcPr>
          <w:p w14:paraId="11023643" w14:textId="594378EB" w:rsidR="005901E9" w:rsidRPr="00921EEB" w:rsidRDefault="005901E9" w:rsidP="005901E9">
            <w:pPr>
              <w:jc w:val="right"/>
              <w:rPr>
                <w:sz w:val="17"/>
                <w:szCs w:val="17"/>
              </w:rPr>
            </w:pPr>
            <w:r w:rsidRPr="00921EEB">
              <w:rPr>
                <w:sz w:val="17"/>
                <w:szCs w:val="17"/>
              </w:rPr>
              <w:t>39,074</w:t>
            </w:r>
          </w:p>
        </w:tc>
        <w:tc>
          <w:tcPr>
            <w:tcW w:w="2001" w:type="dxa"/>
            <w:tcBorders>
              <w:top w:val="nil"/>
              <w:left w:val="nil"/>
              <w:bottom w:val="nil"/>
              <w:right w:val="nil"/>
            </w:tcBorders>
            <w:shd w:val="clear" w:color="auto" w:fill="auto"/>
            <w:noWrap/>
            <w:vAlign w:val="bottom"/>
            <w:hideMark/>
          </w:tcPr>
          <w:p w14:paraId="1CE86D20" w14:textId="0B8B4F54" w:rsidR="005901E9" w:rsidRPr="00921EEB" w:rsidRDefault="005901E9" w:rsidP="005901E9">
            <w:pPr>
              <w:jc w:val="right"/>
              <w:rPr>
                <w:sz w:val="17"/>
                <w:szCs w:val="17"/>
              </w:rPr>
            </w:pPr>
            <w:r w:rsidRPr="00921EEB">
              <w:rPr>
                <w:sz w:val="17"/>
                <w:szCs w:val="17"/>
              </w:rPr>
              <w:t>30,171</w:t>
            </w:r>
          </w:p>
        </w:tc>
      </w:tr>
      <w:tr w:rsidR="00B107E4" w:rsidRPr="00921EEB" w14:paraId="09FA3DCA" w14:textId="77777777" w:rsidTr="00B107E4">
        <w:trPr>
          <w:trHeight w:val="276"/>
        </w:trPr>
        <w:tc>
          <w:tcPr>
            <w:tcW w:w="1843" w:type="dxa"/>
            <w:tcBorders>
              <w:top w:val="nil"/>
              <w:left w:val="nil"/>
              <w:bottom w:val="nil"/>
              <w:right w:val="nil"/>
            </w:tcBorders>
            <w:shd w:val="clear" w:color="auto" w:fill="auto"/>
            <w:noWrap/>
            <w:vAlign w:val="bottom"/>
            <w:hideMark/>
          </w:tcPr>
          <w:p w14:paraId="2B867DB7" w14:textId="77777777" w:rsidR="005901E9" w:rsidRPr="00921EEB" w:rsidRDefault="005901E9" w:rsidP="00634172">
            <w:pPr>
              <w:rPr>
                <w:sz w:val="17"/>
                <w:szCs w:val="17"/>
              </w:rPr>
            </w:pPr>
            <w:r w:rsidRPr="00921EEB">
              <w:rPr>
                <w:sz w:val="17"/>
                <w:szCs w:val="17"/>
              </w:rPr>
              <w:t>Dar Es Salaam</w:t>
            </w:r>
          </w:p>
        </w:tc>
        <w:tc>
          <w:tcPr>
            <w:tcW w:w="1756" w:type="dxa"/>
            <w:tcBorders>
              <w:top w:val="nil"/>
              <w:left w:val="nil"/>
              <w:bottom w:val="nil"/>
              <w:right w:val="nil"/>
            </w:tcBorders>
            <w:shd w:val="clear" w:color="auto" w:fill="auto"/>
            <w:noWrap/>
            <w:vAlign w:val="bottom"/>
            <w:hideMark/>
          </w:tcPr>
          <w:p w14:paraId="6191AD85" w14:textId="0E0C3809" w:rsidR="005901E9" w:rsidRPr="00921EEB" w:rsidRDefault="005901E9" w:rsidP="005901E9">
            <w:pPr>
              <w:jc w:val="right"/>
              <w:rPr>
                <w:sz w:val="17"/>
                <w:szCs w:val="17"/>
              </w:rPr>
            </w:pPr>
            <w:r w:rsidRPr="00921EEB">
              <w:rPr>
                <w:sz w:val="17"/>
                <w:szCs w:val="17"/>
              </w:rPr>
              <w:t>32,459</w:t>
            </w:r>
          </w:p>
        </w:tc>
        <w:tc>
          <w:tcPr>
            <w:tcW w:w="1792" w:type="dxa"/>
            <w:tcBorders>
              <w:top w:val="nil"/>
              <w:left w:val="nil"/>
              <w:bottom w:val="nil"/>
              <w:right w:val="nil"/>
            </w:tcBorders>
            <w:shd w:val="clear" w:color="auto" w:fill="auto"/>
            <w:noWrap/>
            <w:vAlign w:val="bottom"/>
            <w:hideMark/>
          </w:tcPr>
          <w:p w14:paraId="2CBAB191" w14:textId="5C182CBE" w:rsidR="005901E9" w:rsidRPr="00921EEB" w:rsidRDefault="005901E9" w:rsidP="005901E9">
            <w:pPr>
              <w:jc w:val="right"/>
              <w:rPr>
                <w:sz w:val="17"/>
                <w:szCs w:val="17"/>
              </w:rPr>
            </w:pPr>
            <w:r w:rsidRPr="00921EEB">
              <w:rPr>
                <w:sz w:val="17"/>
                <w:szCs w:val="17"/>
              </w:rPr>
              <w:t>18,658</w:t>
            </w:r>
          </w:p>
        </w:tc>
        <w:tc>
          <w:tcPr>
            <w:tcW w:w="1539" w:type="dxa"/>
            <w:tcBorders>
              <w:top w:val="nil"/>
              <w:left w:val="nil"/>
              <w:bottom w:val="nil"/>
              <w:right w:val="nil"/>
            </w:tcBorders>
            <w:shd w:val="clear" w:color="auto" w:fill="auto"/>
            <w:noWrap/>
            <w:vAlign w:val="bottom"/>
            <w:hideMark/>
          </w:tcPr>
          <w:p w14:paraId="113AD0E2" w14:textId="1B625174" w:rsidR="005901E9" w:rsidRPr="00921EEB" w:rsidRDefault="005901E9" w:rsidP="005901E9">
            <w:pPr>
              <w:jc w:val="right"/>
              <w:rPr>
                <w:sz w:val="17"/>
                <w:szCs w:val="17"/>
              </w:rPr>
            </w:pPr>
            <w:r w:rsidRPr="00921EEB">
              <w:rPr>
                <w:sz w:val="17"/>
                <w:szCs w:val="17"/>
              </w:rPr>
              <w:t>11,526</w:t>
            </w:r>
          </w:p>
        </w:tc>
        <w:tc>
          <w:tcPr>
            <w:tcW w:w="2001" w:type="dxa"/>
            <w:tcBorders>
              <w:top w:val="nil"/>
              <w:left w:val="nil"/>
              <w:bottom w:val="nil"/>
              <w:right w:val="nil"/>
            </w:tcBorders>
            <w:shd w:val="clear" w:color="auto" w:fill="auto"/>
            <w:noWrap/>
            <w:vAlign w:val="bottom"/>
            <w:hideMark/>
          </w:tcPr>
          <w:p w14:paraId="186C3357" w14:textId="7356A03D" w:rsidR="005901E9" w:rsidRPr="00921EEB" w:rsidRDefault="005901E9" w:rsidP="005901E9">
            <w:pPr>
              <w:jc w:val="right"/>
              <w:rPr>
                <w:sz w:val="17"/>
                <w:szCs w:val="17"/>
              </w:rPr>
            </w:pPr>
            <w:r w:rsidRPr="00921EEB">
              <w:rPr>
                <w:sz w:val="17"/>
                <w:szCs w:val="17"/>
              </w:rPr>
              <w:t>9,858</w:t>
            </w:r>
          </w:p>
        </w:tc>
      </w:tr>
      <w:tr w:rsidR="00B107E4" w:rsidRPr="00921EEB" w14:paraId="34AEB153" w14:textId="77777777" w:rsidTr="00B107E4">
        <w:trPr>
          <w:trHeight w:val="276"/>
        </w:trPr>
        <w:tc>
          <w:tcPr>
            <w:tcW w:w="1843" w:type="dxa"/>
            <w:tcBorders>
              <w:top w:val="nil"/>
              <w:left w:val="nil"/>
              <w:bottom w:val="nil"/>
              <w:right w:val="nil"/>
            </w:tcBorders>
            <w:shd w:val="clear" w:color="auto" w:fill="auto"/>
            <w:noWrap/>
            <w:vAlign w:val="bottom"/>
            <w:hideMark/>
          </w:tcPr>
          <w:p w14:paraId="6021362A" w14:textId="77777777" w:rsidR="005901E9" w:rsidRPr="00921EEB" w:rsidRDefault="005901E9" w:rsidP="00634172">
            <w:pPr>
              <w:rPr>
                <w:sz w:val="17"/>
                <w:szCs w:val="17"/>
              </w:rPr>
            </w:pPr>
            <w:r w:rsidRPr="00921EEB">
              <w:rPr>
                <w:sz w:val="17"/>
                <w:szCs w:val="17"/>
              </w:rPr>
              <w:t>Lindi</w:t>
            </w:r>
          </w:p>
        </w:tc>
        <w:tc>
          <w:tcPr>
            <w:tcW w:w="1756" w:type="dxa"/>
            <w:tcBorders>
              <w:top w:val="nil"/>
              <w:left w:val="nil"/>
              <w:bottom w:val="nil"/>
              <w:right w:val="nil"/>
            </w:tcBorders>
            <w:shd w:val="clear" w:color="auto" w:fill="auto"/>
            <w:noWrap/>
            <w:vAlign w:val="bottom"/>
            <w:hideMark/>
          </w:tcPr>
          <w:p w14:paraId="7527C38B" w14:textId="1AF85FB2" w:rsidR="005901E9" w:rsidRPr="00921EEB" w:rsidRDefault="005901E9" w:rsidP="005901E9">
            <w:pPr>
              <w:jc w:val="right"/>
              <w:rPr>
                <w:sz w:val="17"/>
                <w:szCs w:val="17"/>
              </w:rPr>
            </w:pPr>
            <w:r w:rsidRPr="00921EEB">
              <w:rPr>
                <w:sz w:val="17"/>
                <w:szCs w:val="17"/>
              </w:rPr>
              <w:t>168,877</w:t>
            </w:r>
          </w:p>
        </w:tc>
        <w:tc>
          <w:tcPr>
            <w:tcW w:w="1792" w:type="dxa"/>
            <w:tcBorders>
              <w:top w:val="nil"/>
              <w:left w:val="nil"/>
              <w:bottom w:val="nil"/>
              <w:right w:val="nil"/>
            </w:tcBorders>
            <w:shd w:val="clear" w:color="auto" w:fill="auto"/>
            <w:noWrap/>
            <w:vAlign w:val="bottom"/>
            <w:hideMark/>
          </w:tcPr>
          <w:p w14:paraId="1185A6FB" w14:textId="3DDC8135" w:rsidR="005901E9" w:rsidRPr="00921EEB" w:rsidRDefault="005901E9" w:rsidP="005901E9">
            <w:pPr>
              <w:jc w:val="right"/>
              <w:rPr>
                <w:sz w:val="17"/>
                <w:szCs w:val="17"/>
              </w:rPr>
            </w:pPr>
            <w:r w:rsidRPr="00921EEB">
              <w:rPr>
                <w:sz w:val="17"/>
                <w:szCs w:val="17"/>
              </w:rPr>
              <w:t>243,609</w:t>
            </w:r>
          </w:p>
        </w:tc>
        <w:tc>
          <w:tcPr>
            <w:tcW w:w="1539" w:type="dxa"/>
            <w:tcBorders>
              <w:top w:val="nil"/>
              <w:left w:val="nil"/>
              <w:bottom w:val="nil"/>
              <w:right w:val="nil"/>
            </w:tcBorders>
            <w:shd w:val="clear" w:color="auto" w:fill="auto"/>
            <w:noWrap/>
            <w:vAlign w:val="bottom"/>
            <w:hideMark/>
          </w:tcPr>
          <w:p w14:paraId="4F63ABD9" w14:textId="21A32EF9" w:rsidR="005901E9" w:rsidRPr="00921EEB" w:rsidRDefault="005901E9" w:rsidP="005901E9">
            <w:pPr>
              <w:jc w:val="right"/>
              <w:rPr>
                <w:sz w:val="17"/>
                <w:szCs w:val="17"/>
              </w:rPr>
            </w:pPr>
            <w:r w:rsidRPr="00921EEB">
              <w:rPr>
                <w:sz w:val="17"/>
                <w:szCs w:val="17"/>
              </w:rPr>
              <w:t>150,018</w:t>
            </w:r>
          </w:p>
        </w:tc>
        <w:tc>
          <w:tcPr>
            <w:tcW w:w="2001" w:type="dxa"/>
            <w:tcBorders>
              <w:top w:val="nil"/>
              <w:left w:val="nil"/>
              <w:bottom w:val="nil"/>
              <w:right w:val="nil"/>
            </w:tcBorders>
            <w:shd w:val="clear" w:color="auto" w:fill="auto"/>
            <w:noWrap/>
            <w:vAlign w:val="bottom"/>
            <w:hideMark/>
          </w:tcPr>
          <w:p w14:paraId="3DC4744E" w14:textId="21130742" w:rsidR="005901E9" w:rsidRPr="00921EEB" w:rsidRDefault="005901E9" w:rsidP="005901E9">
            <w:pPr>
              <w:jc w:val="right"/>
              <w:rPr>
                <w:sz w:val="17"/>
                <w:szCs w:val="17"/>
              </w:rPr>
            </w:pPr>
            <w:r w:rsidRPr="00921EEB">
              <w:rPr>
                <w:sz w:val="17"/>
                <w:szCs w:val="17"/>
              </w:rPr>
              <w:t>106,686</w:t>
            </w:r>
          </w:p>
        </w:tc>
      </w:tr>
      <w:tr w:rsidR="00B107E4" w:rsidRPr="00921EEB" w14:paraId="492F2121" w14:textId="77777777" w:rsidTr="00B107E4">
        <w:trPr>
          <w:trHeight w:val="276"/>
        </w:trPr>
        <w:tc>
          <w:tcPr>
            <w:tcW w:w="1843" w:type="dxa"/>
            <w:tcBorders>
              <w:top w:val="nil"/>
              <w:left w:val="nil"/>
              <w:bottom w:val="nil"/>
              <w:right w:val="nil"/>
            </w:tcBorders>
            <w:shd w:val="clear" w:color="auto" w:fill="auto"/>
            <w:noWrap/>
            <w:vAlign w:val="bottom"/>
            <w:hideMark/>
          </w:tcPr>
          <w:p w14:paraId="2CD58097" w14:textId="77777777" w:rsidR="005901E9" w:rsidRPr="00921EEB" w:rsidRDefault="005901E9" w:rsidP="00634172">
            <w:pPr>
              <w:rPr>
                <w:sz w:val="17"/>
                <w:szCs w:val="17"/>
              </w:rPr>
            </w:pPr>
            <w:r w:rsidRPr="00921EEB">
              <w:rPr>
                <w:sz w:val="17"/>
                <w:szCs w:val="17"/>
              </w:rPr>
              <w:t>Mtwara</w:t>
            </w:r>
          </w:p>
        </w:tc>
        <w:tc>
          <w:tcPr>
            <w:tcW w:w="1756" w:type="dxa"/>
            <w:tcBorders>
              <w:top w:val="nil"/>
              <w:left w:val="nil"/>
              <w:bottom w:val="nil"/>
              <w:right w:val="nil"/>
            </w:tcBorders>
            <w:shd w:val="clear" w:color="auto" w:fill="auto"/>
            <w:noWrap/>
            <w:vAlign w:val="bottom"/>
            <w:hideMark/>
          </w:tcPr>
          <w:p w14:paraId="15B2E69E" w14:textId="0F2270E7" w:rsidR="005901E9" w:rsidRPr="00921EEB" w:rsidRDefault="005901E9" w:rsidP="005901E9">
            <w:pPr>
              <w:jc w:val="right"/>
              <w:rPr>
                <w:sz w:val="17"/>
                <w:szCs w:val="17"/>
              </w:rPr>
            </w:pPr>
            <w:r w:rsidRPr="00921EEB">
              <w:rPr>
                <w:sz w:val="17"/>
                <w:szCs w:val="17"/>
              </w:rPr>
              <w:t>302,870</w:t>
            </w:r>
          </w:p>
        </w:tc>
        <w:tc>
          <w:tcPr>
            <w:tcW w:w="1792" w:type="dxa"/>
            <w:tcBorders>
              <w:top w:val="nil"/>
              <w:left w:val="nil"/>
              <w:bottom w:val="nil"/>
              <w:right w:val="nil"/>
            </w:tcBorders>
            <w:shd w:val="clear" w:color="auto" w:fill="auto"/>
            <w:noWrap/>
            <w:vAlign w:val="bottom"/>
            <w:hideMark/>
          </w:tcPr>
          <w:p w14:paraId="0B45F300" w14:textId="6250F73D" w:rsidR="005901E9" w:rsidRPr="00921EEB" w:rsidRDefault="005901E9" w:rsidP="005901E9">
            <w:pPr>
              <w:jc w:val="right"/>
              <w:rPr>
                <w:sz w:val="17"/>
                <w:szCs w:val="17"/>
              </w:rPr>
            </w:pPr>
            <w:r w:rsidRPr="00921EEB">
              <w:rPr>
                <w:sz w:val="17"/>
                <w:szCs w:val="17"/>
              </w:rPr>
              <w:t>349,170</w:t>
            </w:r>
          </w:p>
        </w:tc>
        <w:tc>
          <w:tcPr>
            <w:tcW w:w="1539" w:type="dxa"/>
            <w:tcBorders>
              <w:top w:val="nil"/>
              <w:left w:val="nil"/>
              <w:bottom w:val="nil"/>
              <w:right w:val="nil"/>
            </w:tcBorders>
            <w:shd w:val="clear" w:color="auto" w:fill="auto"/>
            <w:noWrap/>
            <w:vAlign w:val="bottom"/>
            <w:hideMark/>
          </w:tcPr>
          <w:p w14:paraId="1587F1F0" w14:textId="78547387" w:rsidR="005901E9" w:rsidRPr="00921EEB" w:rsidRDefault="005901E9" w:rsidP="005901E9">
            <w:pPr>
              <w:jc w:val="right"/>
              <w:rPr>
                <w:sz w:val="17"/>
                <w:szCs w:val="17"/>
              </w:rPr>
            </w:pPr>
            <w:r w:rsidRPr="00921EEB">
              <w:rPr>
                <w:sz w:val="17"/>
                <w:szCs w:val="17"/>
              </w:rPr>
              <w:t>294,919</w:t>
            </w:r>
          </w:p>
        </w:tc>
        <w:tc>
          <w:tcPr>
            <w:tcW w:w="2001" w:type="dxa"/>
            <w:tcBorders>
              <w:top w:val="nil"/>
              <w:left w:val="nil"/>
              <w:bottom w:val="nil"/>
              <w:right w:val="nil"/>
            </w:tcBorders>
            <w:shd w:val="clear" w:color="auto" w:fill="auto"/>
            <w:noWrap/>
            <w:vAlign w:val="bottom"/>
            <w:hideMark/>
          </w:tcPr>
          <w:p w14:paraId="1B593ABD" w14:textId="05A436B0" w:rsidR="005901E9" w:rsidRPr="00921EEB" w:rsidRDefault="005901E9" w:rsidP="005901E9">
            <w:pPr>
              <w:jc w:val="right"/>
              <w:rPr>
                <w:sz w:val="17"/>
                <w:szCs w:val="17"/>
              </w:rPr>
            </w:pPr>
            <w:r w:rsidRPr="00921EEB">
              <w:rPr>
                <w:sz w:val="17"/>
                <w:szCs w:val="17"/>
              </w:rPr>
              <w:t>201,411</w:t>
            </w:r>
          </w:p>
        </w:tc>
      </w:tr>
      <w:tr w:rsidR="00B107E4" w:rsidRPr="00921EEB" w14:paraId="34F1E633" w14:textId="77777777" w:rsidTr="00B107E4">
        <w:trPr>
          <w:trHeight w:val="276"/>
        </w:trPr>
        <w:tc>
          <w:tcPr>
            <w:tcW w:w="1843" w:type="dxa"/>
            <w:tcBorders>
              <w:top w:val="nil"/>
              <w:left w:val="nil"/>
              <w:bottom w:val="nil"/>
              <w:right w:val="nil"/>
            </w:tcBorders>
            <w:shd w:val="clear" w:color="auto" w:fill="auto"/>
            <w:noWrap/>
            <w:vAlign w:val="bottom"/>
            <w:hideMark/>
          </w:tcPr>
          <w:p w14:paraId="3016B8DE" w14:textId="77777777" w:rsidR="005901E9" w:rsidRPr="00921EEB" w:rsidRDefault="005901E9" w:rsidP="00634172">
            <w:pPr>
              <w:rPr>
                <w:sz w:val="17"/>
                <w:szCs w:val="17"/>
              </w:rPr>
            </w:pPr>
            <w:r w:rsidRPr="00921EEB">
              <w:rPr>
                <w:sz w:val="17"/>
                <w:szCs w:val="17"/>
              </w:rPr>
              <w:t>Ruvuma</w:t>
            </w:r>
          </w:p>
        </w:tc>
        <w:tc>
          <w:tcPr>
            <w:tcW w:w="1756" w:type="dxa"/>
            <w:tcBorders>
              <w:top w:val="nil"/>
              <w:left w:val="nil"/>
              <w:bottom w:val="nil"/>
              <w:right w:val="nil"/>
            </w:tcBorders>
            <w:shd w:val="clear" w:color="auto" w:fill="auto"/>
            <w:noWrap/>
            <w:vAlign w:val="bottom"/>
            <w:hideMark/>
          </w:tcPr>
          <w:p w14:paraId="72BEFA3B" w14:textId="3A3D520D" w:rsidR="005901E9" w:rsidRPr="00921EEB" w:rsidRDefault="005901E9" w:rsidP="005901E9">
            <w:pPr>
              <w:jc w:val="right"/>
              <w:rPr>
                <w:sz w:val="17"/>
                <w:szCs w:val="17"/>
              </w:rPr>
            </w:pPr>
            <w:r w:rsidRPr="00921EEB">
              <w:rPr>
                <w:sz w:val="17"/>
                <w:szCs w:val="17"/>
              </w:rPr>
              <w:t>48,328</w:t>
            </w:r>
          </w:p>
        </w:tc>
        <w:tc>
          <w:tcPr>
            <w:tcW w:w="1792" w:type="dxa"/>
            <w:tcBorders>
              <w:top w:val="nil"/>
              <w:left w:val="nil"/>
              <w:bottom w:val="nil"/>
              <w:right w:val="nil"/>
            </w:tcBorders>
            <w:shd w:val="clear" w:color="auto" w:fill="auto"/>
            <w:noWrap/>
            <w:vAlign w:val="bottom"/>
            <w:hideMark/>
          </w:tcPr>
          <w:p w14:paraId="2392A49E" w14:textId="4C242A65" w:rsidR="005901E9" w:rsidRPr="00921EEB" w:rsidRDefault="005901E9" w:rsidP="005901E9">
            <w:pPr>
              <w:jc w:val="right"/>
              <w:rPr>
                <w:sz w:val="17"/>
                <w:szCs w:val="17"/>
              </w:rPr>
            </w:pPr>
            <w:r w:rsidRPr="00921EEB">
              <w:rPr>
                <w:sz w:val="17"/>
                <w:szCs w:val="17"/>
              </w:rPr>
              <w:t>98,497</w:t>
            </w:r>
          </w:p>
        </w:tc>
        <w:tc>
          <w:tcPr>
            <w:tcW w:w="1539" w:type="dxa"/>
            <w:tcBorders>
              <w:top w:val="nil"/>
              <w:left w:val="nil"/>
              <w:bottom w:val="nil"/>
              <w:right w:val="nil"/>
            </w:tcBorders>
            <w:shd w:val="clear" w:color="auto" w:fill="auto"/>
            <w:noWrap/>
            <w:vAlign w:val="bottom"/>
            <w:hideMark/>
          </w:tcPr>
          <w:p w14:paraId="4BC20C8D" w14:textId="6C7CA030" w:rsidR="005901E9" w:rsidRPr="00921EEB" w:rsidRDefault="005901E9" w:rsidP="005901E9">
            <w:pPr>
              <w:jc w:val="right"/>
              <w:rPr>
                <w:sz w:val="17"/>
                <w:szCs w:val="17"/>
              </w:rPr>
            </w:pPr>
            <w:r w:rsidRPr="00921EEB">
              <w:rPr>
                <w:sz w:val="17"/>
                <w:szCs w:val="17"/>
              </w:rPr>
              <w:t>61,101</w:t>
            </w:r>
          </w:p>
        </w:tc>
        <w:tc>
          <w:tcPr>
            <w:tcW w:w="2001" w:type="dxa"/>
            <w:tcBorders>
              <w:top w:val="nil"/>
              <w:left w:val="nil"/>
              <w:bottom w:val="nil"/>
              <w:right w:val="nil"/>
            </w:tcBorders>
            <w:shd w:val="clear" w:color="auto" w:fill="auto"/>
            <w:noWrap/>
            <w:vAlign w:val="bottom"/>
            <w:hideMark/>
          </w:tcPr>
          <w:p w14:paraId="6E685E2D" w14:textId="00227942" w:rsidR="005901E9" w:rsidRPr="00921EEB" w:rsidRDefault="005901E9" w:rsidP="005901E9">
            <w:pPr>
              <w:jc w:val="right"/>
              <w:rPr>
                <w:sz w:val="17"/>
                <w:szCs w:val="17"/>
              </w:rPr>
            </w:pPr>
            <w:r w:rsidRPr="00921EEB">
              <w:rPr>
                <w:sz w:val="17"/>
                <w:szCs w:val="17"/>
              </w:rPr>
              <w:t>38,877</w:t>
            </w:r>
          </w:p>
        </w:tc>
      </w:tr>
      <w:tr w:rsidR="00B107E4" w:rsidRPr="00921EEB" w14:paraId="5694B052" w14:textId="77777777" w:rsidTr="00B107E4">
        <w:trPr>
          <w:trHeight w:val="276"/>
        </w:trPr>
        <w:tc>
          <w:tcPr>
            <w:tcW w:w="1843" w:type="dxa"/>
            <w:tcBorders>
              <w:top w:val="nil"/>
              <w:left w:val="nil"/>
              <w:bottom w:val="nil"/>
              <w:right w:val="nil"/>
            </w:tcBorders>
            <w:shd w:val="clear" w:color="auto" w:fill="auto"/>
            <w:noWrap/>
            <w:vAlign w:val="bottom"/>
            <w:hideMark/>
          </w:tcPr>
          <w:p w14:paraId="3F190420" w14:textId="77777777" w:rsidR="005901E9" w:rsidRPr="00921EEB" w:rsidRDefault="005901E9" w:rsidP="00634172">
            <w:pPr>
              <w:rPr>
                <w:sz w:val="17"/>
                <w:szCs w:val="17"/>
              </w:rPr>
            </w:pPr>
            <w:r w:rsidRPr="00921EEB">
              <w:rPr>
                <w:sz w:val="17"/>
                <w:szCs w:val="17"/>
              </w:rPr>
              <w:t>Iringa</w:t>
            </w:r>
          </w:p>
        </w:tc>
        <w:tc>
          <w:tcPr>
            <w:tcW w:w="1756" w:type="dxa"/>
            <w:tcBorders>
              <w:top w:val="nil"/>
              <w:left w:val="nil"/>
              <w:bottom w:val="nil"/>
              <w:right w:val="nil"/>
            </w:tcBorders>
            <w:shd w:val="clear" w:color="auto" w:fill="auto"/>
            <w:noWrap/>
            <w:vAlign w:val="bottom"/>
            <w:hideMark/>
          </w:tcPr>
          <w:p w14:paraId="3DC0120C" w14:textId="22652CD7" w:rsidR="005901E9" w:rsidRPr="00921EEB" w:rsidRDefault="005901E9" w:rsidP="005901E9">
            <w:pPr>
              <w:jc w:val="right"/>
              <w:rPr>
                <w:sz w:val="17"/>
                <w:szCs w:val="17"/>
              </w:rPr>
            </w:pPr>
            <w:r w:rsidRPr="00921EEB">
              <w:rPr>
                <w:sz w:val="17"/>
                <w:szCs w:val="17"/>
              </w:rPr>
              <w:t>204</w:t>
            </w:r>
          </w:p>
        </w:tc>
        <w:tc>
          <w:tcPr>
            <w:tcW w:w="1792" w:type="dxa"/>
            <w:tcBorders>
              <w:top w:val="nil"/>
              <w:left w:val="nil"/>
              <w:bottom w:val="nil"/>
              <w:right w:val="nil"/>
            </w:tcBorders>
            <w:shd w:val="clear" w:color="auto" w:fill="auto"/>
            <w:noWrap/>
            <w:vAlign w:val="bottom"/>
            <w:hideMark/>
          </w:tcPr>
          <w:p w14:paraId="0C8128B6" w14:textId="3163B5B3" w:rsidR="005901E9" w:rsidRPr="00921EEB" w:rsidRDefault="005901E9" w:rsidP="005901E9">
            <w:pPr>
              <w:jc w:val="right"/>
              <w:rPr>
                <w:sz w:val="17"/>
                <w:szCs w:val="17"/>
              </w:rPr>
            </w:pPr>
            <w:r w:rsidRPr="00921EEB">
              <w:rPr>
                <w:sz w:val="17"/>
                <w:szCs w:val="17"/>
              </w:rPr>
              <w:t>356</w:t>
            </w:r>
          </w:p>
        </w:tc>
        <w:tc>
          <w:tcPr>
            <w:tcW w:w="1539" w:type="dxa"/>
            <w:tcBorders>
              <w:top w:val="nil"/>
              <w:left w:val="nil"/>
              <w:bottom w:val="nil"/>
              <w:right w:val="nil"/>
            </w:tcBorders>
            <w:shd w:val="clear" w:color="auto" w:fill="auto"/>
            <w:noWrap/>
            <w:vAlign w:val="bottom"/>
            <w:hideMark/>
          </w:tcPr>
          <w:p w14:paraId="52037322" w14:textId="4A71562D" w:rsidR="005901E9" w:rsidRPr="00921EEB" w:rsidRDefault="005901E9" w:rsidP="005901E9">
            <w:pPr>
              <w:jc w:val="right"/>
              <w:rPr>
                <w:sz w:val="17"/>
                <w:szCs w:val="17"/>
              </w:rPr>
            </w:pPr>
            <w:r w:rsidRPr="00921EEB">
              <w:rPr>
                <w:sz w:val="17"/>
                <w:szCs w:val="17"/>
              </w:rPr>
              <w:t>286</w:t>
            </w:r>
          </w:p>
        </w:tc>
        <w:tc>
          <w:tcPr>
            <w:tcW w:w="2001" w:type="dxa"/>
            <w:tcBorders>
              <w:top w:val="nil"/>
              <w:left w:val="nil"/>
              <w:bottom w:val="nil"/>
              <w:right w:val="nil"/>
            </w:tcBorders>
            <w:shd w:val="clear" w:color="auto" w:fill="auto"/>
            <w:noWrap/>
            <w:vAlign w:val="bottom"/>
            <w:hideMark/>
          </w:tcPr>
          <w:p w14:paraId="6964AED9" w14:textId="21683631" w:rsidR="005901E9" w:rsidRPr="00921EEB" w:rsidRDefault="005901E9" w:rsidP="005901E9">
            <w:pPr>
              <w:jc w:val="right"/>
              <w:rPr>
                <w:sz w:val="17"/>
                <w:szCs w:val="17"/>
              </w:rPr>
            </w:pPr>
            <w:r w:rsidRPr="00921EEB">
              <w:rPr>
                <w:sz w:val="17"/>
                <w:szCs w:val="17"/>
              </w:rPr>
              <w:t>207</w:t>
            </w:r>
          </w:p>
        </w:tc>
      </w:tr>
      <w:tr w:rsidR="00B107E4" w:rsidRPr="00921EEB" w14:paraId="0F66460A" w14:textId="77777777" w:rsidTr="00B107E4">
        <w:trPr>
          <w:trHeight w:val="276"/>
        </w:trPr>
        <w:tc>
          <w:tcPr>
            <w:tcW w:w="1843" w:type="dxa"/>
            <w:tcBorders>
              <w:top w:val="nil"/>
              <w:left w:val="nil"/>
              <w:bottom w:val="nil"/>
              <w:right w:val="nil"/>
            </w:tcBorders>
            <w:shd w:val="clear" w:color="auto" w:fill="auto"/>
            <w:noWrap/>
            <w:vAlign w:val="bottom"/>
            <w:hideMark/>
          </w:tcPr>
          <w:p w14:paraId="213D0C70" w14:textId="77777777" w:rsidR="005901E9" w:rsidRPr="00921EEB" w:rsidRDefault="005901E9" w:rsidP="00634172">
            <w:pPr>
              <w:rPr>
                <w:sz w:val="17"/>
                <w:szCs w:val="17"/>
              </w:rPr>
            </w:pPr>
            <w:r w:rsidRPr="00921EEB">
              <w:rPr>
                <w:sz w:val="17"/>
                <w:szCs w:val="17"/>
              </w:rPr>
              <w:t>Mbeya</w:t>
            </w:r>
          </w:p>
        </w:tc>
        <w:tc>
          <w:tcPr>
            <w:tcW w:w="1756" w:type="dxa"/>
            <w:tcBorders>
              <w:top w:val="nil"/>
              <w:left w:val="nil"/>
              <w:bottom w:val="nil"/>
              <w:right w:val="nil"/>
            </w:tcBorders>
            <w:shd w:val="clear" w:color="auto" w:fill="auto"/>
            <w:noWrap/>
            <w:vAlign w:val="bottom"/>
            <w:hideMark/>
          </w:tcPr>
          <w:p w14:paraId="3E12E593" w14:textId="6291B95B" w:rsidR="005901E9" w:rsidRPr="00921EEB" w:rsidRDefault="005901E9" w:rsidP="005901E9">
            <w:pPr>
              <w:jc w:val="right"/>
              <w:rPr>
                <w:sz w:val="17"/>
                <w:szCs w:val="17"/>
              </w:rPr>
            </w:pPr>
            <w:r w:rsidRPr="00921EEB">
              <w:rPr>
                <w:sz w:val="17"/>
                <w:szCs w:val="17"/>
              </w:rPr>
              <w:t>1,725</w:t>
            </w:r>
          </w:p>
        </w:tc>
        <w:tc>
          <w:tcPr>
            <w:tcW w:w="1792" w:type="dxa"/>
            <w:tcBorders>
              <w:top w:val="nil"/>
              <w:left w:val="nil"/>
              <w:bottom w:val="nil"/>
              <w:right w:val="nil"/>
            </w:tcBorders>
            <w:shd w:val="clear" w:color="auto" w:fill="auto"/>
            <w:noWrap/>
            <w:vAlign w:val="bottom"/>
            <w:hideMark/>
          </w:tcPr>
          <w:p w14:paraId="75FE1DC7" w14:textId="660435E5" w:rsidR="005901E9" w:rsidRPr="00921EEB" w:rsidRDefault="005901E9" w:rsidP="005901E9">
            <w:pPr>
              <w:jc w:val="right"/>
              <w:rPr>
                <w:sz w:val="17"/>
                <w:szCs w:val="17"/>
              </w:rPr>
            </w:pPr>
            <w:r w:rsidRPr="00921EEB">
              <w:rPr>
                <w:sz w:val="17"/>
                <w:szCs w:val="17"/>
              </w:rPr>
              <w:t>1,119</w:t>
            </w:r>
          </w:p>
        </w:tc>
        <w:tc>
          <w:tcPr>
            <w:tcW w:w="1539" w:type="dxa"/>
            <w:tcBorders>
              <w:top w:val="nil"/>
              <w:left w:val="nil"/>
              <w:bottom w:val="nil"/>
              <w:right w:val="nil"/>
            </w:tcBorders>
            <w:shd w:val="clear" w:color="auto" w:fill="auto"/>
            <w:noWrap/>
            <w:vAlign w:val="bottom"/>
            <w:hideMark/>
          </w:tcPr>
          <w:p w14:paraId="30C95248" w14:textId="3BC4B7C9" w:rsidR="005901E9" w:rsidRPr="00921EEB" w:rsidRDefault="005901E9" w:rsidP="005901E9">
            <w:pPr>
              <w:jc w:val="right"/>
              <w:rPr>
                <w:sz w:val="17"/>
                <w:szCs w:val="17"/>
              </w:rPr>
            </w:pPr>
            <w:r w:rsidRPr="00921EEB">
              <w:rPr>
                <w:sz w:val="17"/>
                <w:szCs w:val="17"/>
              </w:rPr>
              <w:t>-</w:t>
            </w:r>
          </w:p>
        </w:tc>
        <w:tc>
          <w:tcPr>
            <w:tcW w:w="2001" w:type="dxa"/>
            <w:tcBorders>
              <w:top w:val="nil"/>
              <w:left w:val="nil"/>
              <w:bottom w:val="nil"/>
              <w:right w:val="nil"/>
            </w:tcBorders>
            <w:shd w:val="clear" w:color="auto" w:fill="auto"/>
            <w:noWrap/>
            <w:vAlign w:val="bottom"/>
            <w:hideMark/>
          </w:tcPr>
          <w:p w14:paraId="366658B7" w14:textId="0A56E58C" w:rsidR="005901E9" w:rsidRPr="00921EEB" w:rsidRDefault="005901E9" w:rsidP="005901E9">
            <w:pPr>
              <w:jc w:val="right"/>
              <w:rPr>
                <w:sz w:val="17"/>
                <w:szCs w:val="17"/>
              </w:rPr>
            </w:pPr>
            <w:r w:rsidRPr="00921EEB">
              <w:rPr>
                <w:sz w:val="17"/>
                <w:szCs w:val="17"/>
              </w:rPr>
              <w:t>-</w:t>
            </w:r>
          </w:p>
        </w:tc>
      </w:tr>
      <w:tr w:rsidR="00B107E4" w:rsidRPr="00921EEB" w14:paraId="7D650E29" w14:textId="77777777" w:rsidTr="00B107E4">
        <w:trPr>
          <w:trHeight w:val="276"/>
        </w:trPr>
        <w:tc>
          <w:tcPr>
            <w:tcW w:w="1843" w:type="dxa"/>
            <w:tcBorders>
              <w:top w:val="nil"/>
              <w:left w:val="nil"/>
              <w:bottom w:val="nil"/>
              <w:right w:val="nil"/>
            </w:tcBorders>
            <w:shd w:val="clear" w:color="auto" w:fill="auto"/>
            <w:noWrap/>
            <w:vAlign w:val="bottom"/>
            <w:hideMark/>
          </w:tcPr>
          <w:p w14:paraId="6199B423" w14:textId="77777777" w:rsidR="005901E9" w:rsidRPr="00921EEB" w:rsidRDefault="005901E9" w:rsidP="00634172">
            <w:pPr>
              <w:rPr>
                <w:sz w:val="17"/>
                <w:szCs w:val="17"/>
              </w:rPr>
            </w:pPr>
            <w:r w:rsidRPr="00921EEB">
              <w:rPr>
                <w:sz w:val="17"/>
                <w:szCs w:val="17"/>
              </w:rPr>
              <w:t>Singida</w:t>
            </w:r>
          </w:p>
        </w:tc>
        <w:tc>
          <w:tcPr>
            <w:tcW w:w="1756" w:type="dxa"/>
            <w:tcBorders>
              <w:top w:val="nil"/>
              <w:left w:val="nil"/>
              <w:bottom w:val="nil"/>
              <w:right w:val="nil"/>
            </w:tcBorders>
            <w:shd w:val="clear" w:color="auto" w:fill="auto"/>
            <w:noWrap/>
            <w:vAlign w:val="bottom"/>
            <w:hideMark/>
          </w:tcPr>
          <w:p w14:paraId="60A09FFE" w14:textId="18B39E0D" w:rsidR="005901E9" w:rsidRPr="00921EEB" w:rsidRDefault="005901E9" w:rsidP="005901E9">
            <w:pPr>
              <w:jc w:val="right"/>
              <w:rPr>
                <w:sz w:val="17"/>
                <w:szCs w:val="17"/>
              </w:rPr>
            </w:pPr>
            <w:r w:rsidRPr="00921EEB">
              <w:rPr>
                <w:sz w:val="17"/>
                <w:szCs w:val="17"/>
              </w:rPr>
              <w:t>5,133</w:t>
            </w:r>
          </w:p>
        </w:tc>
        <w:tc>
          <w:tcPr>
            <w:tcW w:w="1792" w:type="dxa"/>
            <w:tcBorders>
              <w:top w:val="nil"/>
              <w:left w:val="nil"/>
              <w:bottom w:val="nil"/>
              <w:right w:val="nil"/>
            </w:tcBorders>
            <w:shd w:val="clear" w:color="auto" w:fill="auto"/>
            <w:noWrap/>
            <w:vAlign w:val="bottom"/>
            <w:hideMark/>
          </w:tcPr>
          <w:p w14:paraId="0D26C817" w14:textId="019D70D6" w:rsidR="005901E9" w:rsidRPr="00921EEB" w:rsidRDefault="005901E9" w:rsidP="005901E9">
            <w:pPr>
              <w:jc w:val="right"/>
              <w:rPr>
                <w:sz w:val="17"/>
                <w:szCs w:val="17"/>
              </w:rPr>
            </w:pPr>
            <w:r w:rsidRPr="00921EEB">
              <w:rPr>
                <w:sz w:val="17"/>
                <w:szCs w:val="17"/>
              </w:rPr>
              <w:t>4,826</w:t>
            </w:r>
          </w:p>
        </w:tc>
        <w:tc>
          <w:tcPr>
            <w:tcW w:w="1539" w:type="dxa"/>
            <w:tcBorders>
              <w:top w:val="nil"/>
              <w:left w:val="nil"/>
              <w:bottom w:val="nil"/>
              <w:right w:val="nil"/>
            </w:tcBorders>
            <w:shd w:val="clear" w:color="auto" w:fill="auto"/>
            <w:noWrap/>
            <w:vAlign w:val="bottom"/>
            <w:hideMark/>
          </w:tcPr>
          <w:p w14:paraId="23D6D4A7" w14:textId="317624EA" w:rsidR="005901E9" w:rsidRPr="00921EEB" w:rsidRDefault="005901E9" w:rsidP="005901E9">
            <w:pPr>
              <w:jc w:val="right"/>
              <w:rPr>
                <w:sz w:val="17"/>
                <w:szCs w:val="17"/>
              </w:rPr>
            </w:pPr>
            <w:r w:rsidRPr="00921EEB">
              <w:rPr>
                <w:sz w:val="17"/>
                <w:szCs w:val="17"/>
              </w:rPr>
              <w:t>-</w:t>
            </w:r>
          </w:p>
        </w:tc>
        <w:tc>
          <w:tcPr>
            <w:tcW w:w="2001" w:type="dxa"/>
            <w:tcBorders>
              <w:top w:val="nil"/>
              <w:left w:val="nil"/>
              <w:bottom w:val="nil"/>
              <w:right w:val="nil"/>
            </w:tcBorders>
            <w:shd w:val="clear" w:color="auto" w:fill="auto"/>
            <w:noWrap/>
            <w:vAlign w:val="bottom"/>
            <w:hideMark/>
          </w:tcPr>
          <w:p w14:paraId="03A8CA49" w14:textId="7E565E3A" w:rsidR="005901E9" w:rsidRPr="00921EEB" w:rsidRDefault="005901E9" w:rsidP="005901E9">
            <w:pPr>
              <w:jc w:val="right"/>
              <w:rPr>
                <w:sz w:val="17"/>
                <w:szCs w:val="17"/>
              </w:rPr>
            </w:pPr>
            <w:r w:rsidRPr="00921EEB">
              <w:rPr>
                <w:sz w:val="17"/>
                <w:szCs w:val="17"/>
              </w:rPr>
              <w:t>-</w:t>
            </w:r>
          </w:p>
        </w:tc>
      </w:tr>
      <w:tr w:rsidR="00B107E4" w:rsidRPr="00921EEB" w14:paraId="3F818D5B" w14:textId="77777777" w:rsidTr="00B107E4">
        <w:trPr>
          <w:trHeight w:val="276"/>
        </w:trPr>
        <w:tc>
          <w:tcPr>
            <w:tcW w:w="1843" w:type="dxa"/>
            <w:tcBorders>
              <w:top w:val="nil"/>
              <w:left w:val="nil"/>
              <w:bottom w:val="nil"/>
              <w:right w:val="nil"/>
            </w:tcBorders>
            <w:shd w:val="clear" w:color="auto" w:fill="auto"/>
            <w:noWrap/>
            <w:vAlign w:val="bottom"/>
            <w:hideMark/>
          </w:tcPr>
          <w:p w14:paraId="28DD2B37" w14:textId="77777777" w:rsidR="005901E9" w:rsidRPr="00921EEB" w:rsidRDefault="005901E9" w:rsidP="00634172">
            <w:pPr>
              <w:rPr>
                <w:sz w:val="17"/>
                <w:szCs w:val="17"/>
              </w:rPr>
            </w:pPr>
            <w:r w:rsidRPr="00921EEB">
              <w:rPr>
                <w:sz w:val="17"/>
                <w:szCs w:val="17"/>
              </w:rPr>
              <w:t>Tabora</w:t>
            </w:r>
          </w:p>
        </w:tc>
        <w:tc>
          <w:tcPr>
            <w:tcW w:w="1756" w:type="dxa"/>
            <w:tcBorders>
              <w:top w:val="nil"/>
              <w:left w:val="nil"/>
              <w:bottom w:val="nil"/>
              <w:right w:val="nil"/>
            </w:tcBorders>
            <w:shd w:val="clear" w:color="auto" w:fill="auto"/>
            <w:noWrap/>
            <w:vAlign w:val="bottom"/>
            <w:hideMark/>
          </w:tcPr>
          <w:p w14:paraId="47CF9B3F" w14:textId="404247FD" w:rsidR="005901E9" w:rsidRPr="00921EEB" w:rsidRDefault="005901E9" w:rsidP="005901E9">
            <w:pPr>
              <w:jc w:val="right"/>
              <w:rPr>
                <w:sz w:val="17"/>
                <w:szCs w:val="17"/>
              </w:rPr>
            </w:pPr>
            <w:r w:rsidRPr="00921EEB">
              <w:rPr>
                <w:sz w:val="17"/>
                <w:szCs w:val="17"/>
              </w:rPr>
              <w:t>169</w:t>
            </w:r>
          </w:p>
        </w:tc>
        <w:tc>
          <w:tcPr>
            <w:tcW w:w="1792" w:type="dxa"/>
            <w:tcBorders>
              <w:top w:val="nil"/>
              <w:left w:val="nil"/>
              <w:bottom w:val="nil"/>
              <w:right w:val="nil"/>
            </w:tcBorders>
            <w:shd w:val="clear" w:color="auto" w:fill="auto"/>
            <w:noWrap/>
            <w:vAlign w:val="bottom"/>
            <w:hideMark/>
          </w:tcPr>
          <w:p w14:paraId="0283978F" w14:textId="5F496135" w:rsidR="005901E9" w:rsidRPr="00921EEB" w:rsidRDefault="005901E9" w:rsidP="005901E9">
            <w:pPr>
              <w:jc w:val="right"/>
              <w:rPr>
                <w:sz w:val="17"/>
                <w:szCs w:val="17"/>
              </w:rPr>
            </w:pPr>
            <w:r w:rsidRPr="00921EEB">
              <w:rPr>
                <w:sz w:val="17"/>
                <w:szCs w:val="17"/>
              </w:rPr>
              <w:t>17</w:t>
            </w:r>
          </w:p>
        </w:tc>
        <w:tc>
          <w:tcPr>
            <w:tcW w:w="1539" w:type="dxa"/>
            <w:tcBorders>
              <w:top w:val="nil"/>
              <w:left w:val="nil"/>
              <w:bottom w:val="nil"/>
              <w:right w:val="nil"/>
            </w:tcBorders>
            <w:shd w:val="clear" w:color="auto" w:fill="auto"/>
            <w:noWrap/>
            <w:vAlign w:val="bottom"/>
            <w:hideMark/>
          </w:tcPr>
          <w:p w14:paraId="0D59E9FF" w14:textId="666A1653" w:rsidR="005901E9" w:rsidRPr="00921EEB" w:rsidRDefault="005901E9" w:rsidP="005901E9">
            <w:pPr>
              <w:jc w:val="right"/>
              <w:rPr>
                <w:sz w:val="17"/>
                <w:szCs w:val="17"/>
              </w:rPr>
            </w:pPr>
            <w:r w:rsidRPr="00921EEB">
              <w:rPr>
                <w:sz w:val="17"/>
                <w:szCs w:val="17"/>
              </w:rPr>
              <w:t>-</w:t>
            </w:r>
          </w:p>
        </w:tc>
        <w:tc>
          <w:tcPr>
            <w:tcW w:w="2001" w:type="dxa"/>
            <w:tcBorders>
              <w:top w:val="nil"/>
              <w:left w:val="nil"/>
              <w:bottom w:val="nil"/>
              <w:right w:val="nil"/>
            </w:tcBorders>
            <w:shd w:val="clear" w:color="auto" w:fill="auto"/>
            <w:noWrap/>
            <w:vAlign w:val="bottom"/>
            <w:hideMark/>
          </w:tcPr>
          <w:p w14:paraId="4D729316" w14:textId="5DA72011" w:rsidR="005901E9" w:rsidRPr="00921EEB" w:rsidRDefault="005901E9" w:rsidP="005901E9">
            <w:pPr>
              <w:jc w:val="right"/>
              <w:rPr>
                <w:sz w:val="17"/>
                <w:szCs w:val="17"/>
              </w:rPr>
            </w:pPr>
            <w:r w:rsidRPr="00921EEB">
              <w:rPr>
                <w:sz w:val="17"/>
                <w:szCs w:val="17"/>
              </w:rPr>
              <w:t>-</w:t>
            </w:r>
          </w:p>
        </w:tc>
      </w:tr>
      <w:tr w:rsidR="00B107E4" w:rsidRPr="00921EEB" w14:paraId="6626D9DE" w14:textId="77777777" w:rsidTr="00B107E4">
        <w:trPr>
          <w:trHeight w:val="276"/>
        </w:trPr>
        <w:tc>
          <w:tcPr>
            <w:tcW w:w="1843" w:type="dxa"/>
            <w:tcBorders>
              <w:top w:val="nil"/>
              <w:left w:val="nil"/>
              <w:bottom w:val="nil"/>
              <w:right w:val="nil"/>
            </w:tcBorders>
            <w:shd w:val="clear" w:color="auto" w:fill="auto"/>
            <w:noWrap/>
            <w:vAlign w:val="bottom"/>
            <w:hideMark/>
          </w:tcPr>
          <w:p w14:paraId="6818B825" w14:textId="77777777" w:rsidR="005901E9" w:rsidRPr="00921EEB" w:rsidRDefault="005901E9" w:rsidP="00634172">
            <w:pPr>
              <w:rPr>
                <w:sz w:val="17"/>
                <w:szCs w:val="17"/>
              </w:rPr>
            </w:pPr>
            <w:r w:rsidRPr="00921EEB">
              <w:rPr>
                <w:sz w:val="17"/>
                <w:szCs w:val="17"/>
              </w:rPr>
              <w:t>Kigoma</w:t>
            </w:r>
          </w:p>
        </w:tc>
        <w:tc>
          <w:tcPr>
            <w:tcW w:w="1756" w:type="dxa"/>
            <w:tcBorders>
              <w:top w:val="nil"/>
              <w:left w:val="nil"/>
              <w:bottom w:val="nil"/>
              <w:right w:val="nil"/>
            </w:tcBorders>
            <w:shd w:val="clear" w:color="auto" w:fill="auto"/>
            <w:noWrap/>
            <w:vAlign w:val="bottom"/>
            <w:hideMark/>
          </w:tcPr>
          <w:p w14:paraId="175D4659" w14:textId="07BAC9ED" w:rsidR="005901E9" w:rsidRPr="00921EEB" w:rsidRDefault="005901E9" w:rsidP="005901E9">
            <w:pPr>
              <w:jc w:val="right"/>
              <w:rPr>
                <w:sz w:val="17"/>
                <w:szCs w:val="17"/>
              </w:rPr>
            </w:pPr>
            <w:r w:rsidRPr="00921EEB">
              <w:rPr>
                <w:sz w:val="17"/>
                <w:szCs w:val="17"/>
              </w:rPr>
              <w:t>1,947</w:t>
            </w:r>
          </w:p>
        </w:tc>
        <w:tc>
          <w:tcPr>
            <w:tcW w:w="1792" w:type="dxa"/>
            <w:tcBorders>
              <w:top w:val="nil"/>
              <w:left w:val="nil"/>
              <w:bottom w:val="nil"/>
              <w:right w:val="nil"/>
            </w:tcBorders>
            <w:shd w:val="clear" w:color="auto" w:fill="auto"/>
            <w:noWrap/>
            <w:vAlign w:val="bottom"/>
            <w:hideMark/>
          </w:tcPr>
          <w:p w14:paraId="7060952D" w14:textId="119BB390" w:rsidR="005901E9" w:rsidRPr="00921EEB" w:rsidRDefault="005901E9" w:rsidP="005901E9">
            <w:pPr>
              <w:jc w:val="right"/>
              <w:rPr>
                <w:sz w:val="17"/>
                <w:szCs w:val="17"/>
              </w:rPr>
            </w:pPr>
            <w:r w:rsidRPr="00921EEB">
              <w:rPr>
                <w:sz w:val="17"/>
                <w:szCs w:val="17"/>
              </w:rPr>
              <w:t>2,779</w:t>
            </w:r>
          </w:p>
        </w:tc>
        <w:tc>
          <w:tcPr>
            <w:tcW w:w="1539" w:type="dxa"/>
            <w:tcBorders>
              <w:top w:val="nil"/>
              <w:left w:val="nil"/>
              <w:bottom w:val="nil"/>
              <w:right w:val="nil"/>
            </w:tcBorders>
            <w:shd w:val="clear" w:color="auto" w:fill="auto"/>
            <w:noWrap/>
            <w:vAlign w:val="bottom"/>
            <w:hideMark/>
          </w:tcPr>
          <w:p w14:paraId="4447DF2D" w14:textId="60AC2BC2" w:rsidR="005901E9" w:rsidRPr="00921EEB" w:rsidRDefault="005901E9" w:rsidP="005901E9">
            <w:pPr>
              <w:jc w:val="right"/>
              <w:rPr>
                <w:sz w:val="17"/>
                <w:szCs w:val="17"/>
              </w:rPr>
            </w:pPr>
            <w:r w:rsidRPr="00921EEB">
              <w:rPr>
                <w:sz w:val="17"/>
                <w:szCs w:val="17"/>
              </w:rPr>
              <w:t>-</w:t>
            </w:r>
          </w:p>
        </w:tc>
        <w:tc>
          <w:tcPr>
            <w:tcW w:w="2001" w:type="dxa"/>
            <w:tcBorders>
              <w:top w:val="nil"/>
              <w:left w:val="nil"/>
              <w:bottom w:val="nil"/>
              <w:right w:val="nil"/>
            </w:tcBorders>
            <w:shd w:val="clear" w:color="auto" w:fill="auto"/>
            <w:noWrap/>
            <w:vAlign w:val="bottom"/>
            <w:hideMark/>
          </w:tcPr>
          <w:p w14:paraId="144996B2" w14:textId="4F89B793" w:rsidR="005901E9" w:rsidRPr="00921EEB" w:rsidRDefault="005901E9" w:rsidP="005901E9">
            <w:pPr>
              <w:jc w:val="right"/>
              <w:rPr>
                <w:sz w:val="17"/>
                <w:szCs w:val="17"/>
              </w:rPr>
            </w:pPr>
            <w:r w:rsidRPr="00921EEB">
              <w:rPr>
                <w:sz w:val="17"/>
                <w:szCs w:val="17"/>
              </w:rPr>
              <w:t>-</w:t>
            </w:r>
          </w:p>
        </w:tc>
      </w:tr>
      <w:tr w:rsidR="00B107E4" w:rsidRPr="00921EEB" w14:paraId="6B3130F4" w14:textId="77777777" w:rsidTr="00B107E4">
        <w:trPr>
          <w:trHeight w:val="276"/>
        </w:trPr>
        <w:tc>
          <w:tcPr>
            <w:tcW w:w="1843" w:type="dxa"/>
            <w:tcBorders>
              <w:top w:val="nil"/>
              <w:left w:val="nil"/>
              <w:bottom w:val="nil"/>
              <w:right w:val="nil"/>
            </w:tcBorders>
            <w:shd w:val="clear" w:color="auto" w:fill="auto"/>
            <w:noWrap/>
            <w:vAlign w:val="bottom"/>
            <w:hideMark/>
          </w:tcPr>
          <w:p w14:paraId="7B81041E" w14:textId="77777777" w:rsidR="005901E9" w:rsidRPr="00921EEB" w:rsidRDefault="005901E9" w:rsidP="00634172">
            <w:pPr>
              <w:rPr>
                <w:sz w:val="17"/>
                <w:szCs w:val="17"/>
              </w:rPr>
            </w:pPr>
            <w:r w:rsidRPr="00921EEB">
              <w:rPr>
                <w:sz w:val="17"/>
                <w:szCs w:val="17"/>
              </w:rPr>
              <w:t>Mwanza</w:t>
            </w:r>
          </w:p>
        </w:tc>
        <w:tc>
          <w:tcPr>
            <w:tcW w:w="1756" w:type="dxa"/>
            <w:tcBorders>
              <w:top w:val="nil"/>
              <w:left w:val="nil"/>
              <w:bottom w:val="nil"/>
              <w:right w:val="nil"/>
            </w:tcBorders>
            <w:shd w:val="clear" w:color="auto" w:fill="auto"/>
            <w:noWrap/>
            <w:vAlign w:val="bottom"/>
            <w:hideMark/>
          </w:tcPr>
          <w:p w14:paraId="1F87F760" w14:textId="4ABFDB14" w:rsidR="005901E9" w:rsidRPr="00921EEB" w:rsidRDefault="005901E9" w:rsidP="005901E9">
            <w:pPr>
              <w:jc w:val="right"/>
              <w:rPr>
                <w:sz w:val="17"/>
                <w:szCs w:val="17"/>
              </w:rPr>
            </w:pPr>
            <w:r w:rsidRPr="00921EEB">
              <w:rPr>
                <w:sz w:val="17"/>
                <w:szCs w:val="17"/>
              </w:rPr>
              <w:t>395</w:t>
            </w:r>
          </w:p>
        </w:tc>
        <w:tc>
          <w:tcPr>
            <w:tcW w:w="1792" w:type="dxa"/>
            <w:tcBorders>
              <w:top w:val="nil"/>
              <w:left w:val="nil"/>
              <w:bottom w:val="nil"/>
              <w:right w:val="nil"/>
            </w:tcBorders>
            <w:shd w:val="clear" w:color="auto" w:fill="auto"/>
            <w:noWrap/>
            <w:vAlign w:val="bottom"/>
            <w:hideMark/>
          </w:tcPr>
          <w:p w14:paraId="3E29D6BF" w14:textId="0277BB36" w:rsidR="005901E9" w:rsidRPr="00921EEB" w:rsidRDefault="005901E9" w:rsidP="005901E9">
            <w:pPr>
              <w:jc w:val="right"/>
              <w:rPr>
                <w:sz w:val="17"/>
                <w:szCs w:val="17"/>
              </w:rPr>
            </w:pPr>
            <w:r w:rsidRPr="00921EEB">
              <w:rPr>
                <w:sz w:val="17"/>
                <w:szCs w:val="17"/>
              </w:rPr>
              <w:t>2</w:t>
            </w:r>
          </w:p>
        </w:tc>
        <w:tc>
          <w:tcPr>
            <w:tcW w:w="1539" w:type="dxa"/>
            <w:tcBorders>
              <w:top w:val="nil"/>
              <w:left w:val="nil"/>
              <w:bottom w:val="nil"/>
              <w:right w:val="nil"/>
            </w:tcBorders>
            <w:shd w:val="clear" w:color="auto" w:fill="auto"/>
            <w:noWrap/>
            <w:vAlign w:val="bottom"/>
            <w:hideMark/>
          </w:tcPr>
          <w:p w14:paraId="6620320E" w14:textId="6204BA10" w:rsidR="005901E9" w:rsidRPr="00921EEB" w:rsidRDefault="005901E9" w:rsidP="005901E9">
            <w:pPr>
              <w:jc w:val="right"/>
              <w:rPr>
                <w:sz w:val="17"/>
                <w:szCs w:val="17"/>
              </w:rPr>
            </w:pPr>
            <w:r w:rsidRPr="00921EEB">
              <w:rPr>
                <w:sz w:val="17"/>
                <w:szCs w:val="17"/>
              </w:rPr>
              <w:t>-</w:t>
            </w:r>
          </w:p>
        </w:tc>
        <w:tc>
          <w:tcPr>
            <w:tcW w:w="2001" w:type="dxa"/>
            <w:tcBorders>
              <w:top w:val="nil"/>
              <w:left w:val="nil"/>
              <w:bottom w:val="nil"/>
              <w:right w:val="nil"/>
            </w:tcBorders>
            <w:shd w:val="clear" w:color="auto" w:fill="auto"/>
            <w:noWrap/>
            <w:vAlign w:val="bottom"/>
            <w:hideMark/>
          </w:tcPr>
          <w:p w14:paraId="7C2D26AA" w14:textId="6FD4BA03" w:rsidR="005901E9" w:rsidRPr="00921EEB" w:rsidRDefault="005901E9" w:rsidP="005901E9">
            <w:pPr>
              <w:jc w:val="right"/>
              <w:rPr>
                <w:sz w:val="17"/>
                <w:szCs w:val="17"/>
              </w:rPr>
            </w:pPr>
            <w:r w:rsidRPr="00921EEB">
              <w:rPr>
                <w:sz w:val="17"/>
                <w:szCs w:val="17"/>
              </w:rPr>
              <w:t>-</w:t>
            </w:r>
          </w:p>
        </w:tc>
      </w:tr>
      <w:tr w:rsidR="00B107E4" w:rsidRPr="00921EEB" w14:paraId="05A75739" w14:textId="77777777" w:rsidTr="00B107E4">
        <w:trPr>
          <w:trHeight w:val="276"/>
        </w:trPr>
        <w:tc>
          <w:tcPr>
            <w:tcW w:w="1843" w:type="dxa"/>
            <w:tcBorders>
              <w:top w:val="nil"/>
              <w:left w:val="nil"/>
              <w:bottom w:val="nil"/>
              <w:right w:val="nil"/>
            </w:tcBorders>
            <w:shd w:val="clear" w:color="auto" w:fill="auto"/>
            <w:noWrap/>
            <w:vAlign w:val="bottom"/>
            <w:hideMark/>
          </w:tcPr>
          <w:p w14:paraId="593001BE" w14:textId="77777777" w:rsidR="005901E9" w:rsidRPr="00921EEB" w:rsidRDefault="005901E9" w:rsidP="00634172">
            <w:pPr>
              <w:rPr>
                <w:sz w:val="17"/>
                <w:szCs w:val="17"/>
              </w:rPr>
            </w:pPr>
            <w:r w:rsidRPr="00921EEB">
              <w:rPr>
                <w:sz w:val="17"/>
                <w:szCs w:val="17"/>
              </w:rPr>
              <w:t>Njombe</w:t>
            </w:r>
          </w:p>
        </w:tc>
        <w:tc>
          <w:tcPr>
            <w:tcW w:w="1756" w:type="dxa"/>
            <w:tcBorders>
              <w:top w:val="nil"/>
              <w:left w:val="nil"/>
              <w:bottom w:val="nil"/>
              <w:right w:val="nil"/>
            </w:tcBorders>
            <w:shd w:val="clear" w:color="auto" w:fill="auto"/>
            <w:noWrap/>
            <w:vAlign w:val="bottom"/>
            <w:hideMark/>
          </w:tcPr>
          <w:p w14:paraId="21BFAEAA" w14:textId="0F67BFCB" w:rsidR="005901E9" w:rsidRPr="00921EEB" w:rsidRDefault="005901E9" w:rsidP="005901E9">
            <w:pPr>
              <w:jc w:val="right"/>
              <w:rPr>
                <w:sz w:val="17"/>
                <w:szCs w:val="17"/>
              </w:rPr>
            </w:pPr>
            <w:r w:rsidRPr="00921EEB">
              <w:rPr>
                <w:sz w:val="17"/>
                <w:szCs w:val="17"/>
              </w:rPr>
              <w:t>1,863</w:t>
            </w:r>
          </w:p>
        </w:tc>
        <w:tc>
          <w:tcPr>
            <w:tcW w:w="1792" w:type="dxa"/>
            <w:tcBorders>
              <w:top w:val="nil"/>
              <w:left w:val="nil"/>
              <w:bottom w:val="nil"/>
              <w:right w:val="nil"/>
            </w:tcBorders>
            <w:shd w:val="clear" w:color="auto" w:fill="auto"/>
            <w:noWrap/>
            <w:vAlign w:val="bottom"/>
            <w:hideMark/>
          </w:tcPr>
          <w:p w14:paraId="519C8507" w14:textId="11223E45" w:rsidR="005901E9" w:rsidRPr="00921EEB" w:rsidRDefault="005901E9" w:rsidP="005901E9">
            <w:pPr>
              <w:jc w:val="right"/>
              <w:rPr>
                <w:sz w:val="17"/>
                <w:szCs w:val="17"/>
              </w:rPr>
            </w:pPr>
            <w:r w:rsidRPr="00921EEB">
              <w:rPr>
                <w:sz w:val="17"/>
                <w:szCs w:val="17"/>
              </w:rPr>
              <w:t>2,193</w:t>
            </w:r>
          </w:p>
        </w:tc>
        <w:tc>
          <w:tcPr>
            <w:tcW w:w="1539" w:type="dxa"/>
            <w:tcBorders>
              <w:top w:val="nil"/>
              <w:left w:val="nil"/>
              <w:bottom w:val="nil"/>
              <w:right w:val="nil"/>
            </w:tcBorders>
            <w:shd w:val="clear" w:color="auto" w:fill="auto"/>
            <w:noWrap/>
            <w:vAlign w:val="bottom"/>
            <w:hideMark/>
          </w:tcPr>
          <w:p w14:paraId="7CA82C24" w14:textId="5EC13258" w:rsidR="005901E9" w:rsidRPr="00921EEB" w:rsidRDefault="005901E9" w:rsidP="005901E9">
            <w:pPr>
              <w:jc w:val="right"/>
              <w:rPr>
                <w:sz w:val="17"/>
                <w:szCs w:val="17"/>
              </w:rPr>
            </w:pPr>
            <w:r w:rsidRPr="00921EEB">
              <w:rPr>
                <w:sz w:val="17"/>
                <w:szCs w:val="17"/>
              </w:rPr>
              <w:t>124</w:t>
            </w:r>
          </w:p>
        </w:tc>
        <w:tc>
          <w:tcPr>
            <w:tcW w:w="2001" w:type="dxa"/>
            <w:tcBorders>
              <w:top w:val="nil"/>
              <w:left w:val="nil"/>
              <w:bottom w:val="nil"/>
              <w:right w:val="nil"/>
            </w:tcBorders>
            <w:shd w:val="clear" w:color="auto" w:fill="auto"/>
            <w:noWrap/>
            <w:vAlign w:val="bottom"/>
            <w:hideMark/>
          </w:tcPr>
          <w:p w14:paraId="5AB24FAC" w14:textId="27E76E7C" w:rsidR="005901E9" w:rsidRPr="00921EEB" w:rsidRDefault="005901E9" w:rsidP="005901E9">
            <w:pPr>
              <w:jc w:val="right"/>
              <w:rPr>
                <w:sz w:val="17"/>
                <w:szCs w:val="17"/>
              </w:rPr>
            </w:pPr>
            <w:r w:rsidRPr="00921EEB">
              <w:rPr>
                <w:sz w:val="17"/>
                <w:szCs w:val="17"/>
              </w:rPr>
              <w:t>37</w:t>
            </w:r>
          </w:p>
        </w:tc>
      </w:tr>
      <w:tr w:rsidR="00B107E4" w:rsidRPr="00921EEB" w14:paraId="0CC65D7B" w14:textId="77777777" w:rsidTr="00B107E4">
        <w:trPr>
          <w:trHeight w:val="276"/>
        </w:trPr>
        <w:tc>
          <w:tcPr>
            <w:tcW w:w="1843" w:type="dxa"/>
            <w:tcBorders>
              <w:top w:val="nil"/>
              <w:left w:val="nil"/>
              <w:bottom w:val="nil"/>
              <w:right w:val="nil"/>
            </w:tcBorders>
            <w:shd w:val="clear" w:color="auto" w:fill="auto"/>
            <w:noWrap/>
            <w:vAlign w:val="bottom"/>
            <w:hideMark/>
          </w:tcPr>
          <w:p w14:paraId="7FC9E218" w14:textId="77777777" w:rsidR="005901E9" w:rsidRPr="00921EEB" w:rsidRDefault="005901E9" w:rsidP="00634172">
            <w:pPr>
              <w:rPr>
                <w:sz w:val="17"/>
                <w:szCs w:val="17"/>
              </w:rPr>
            </w:pPr>
            <w:r w:rsidRPr="00921EEB">
              <w:rPr>
                <w:sz w:val="17"/>
                <w:szCs w:val="17"/>
              </w:rPr>
              <w:t>Katavi</w:t>
            </w:r>
          </w:p>
        </w:tc>
        <w:tc>
          <w:tcPr>
            <w:tcW w:w="1756" w:type="dxa"/>
            <w:tcBorders>
              <w:top w:val="nil"/>
              <w:left w:val="nil"/>
              <w:bottom w:val="nil"/>
              <w:right w:val="nil"/>
            </w:tcBorders>
            <w:shd w:val="clear" w:color="auto" w:fill="auto"/>
            <w:noWrap/>
            <w:vAlign w:val="bottom"/>
            <w:hideMark/>
          </w:tcPr>
          <w:p w14:paraId="7EF3C25A" w14:textId="5E473EC5" w:rsidR="005901E9" w:rsidRPr="00921EEB" w:rsidRDefault="005901E9" w:rsidP="005901E9">
            <w:pPr>
              <w:jc w:val="right"/>
              <w:rPr>
                <w:sz w:val="17"/>
                <w:szCs w:val="17"/>
              </w:rPr>
            </w:pPr>
            <w:r w:rsidRPr="00921EEB">
              <w:rPr>
                <w:sz w:val="17"/>
                <w:szCs w:val="17"/>
              </w:rPr>
              <w:t>924</w:t>
            </w:r>
          </w:p>
        </w:tc>
        <w:tc>
          <w:tcPr>
            <w:tcW w:w="1792" w:type="dxa"/>
            <w:tcBorders>
              <w:top w:val="nil"/>
              <w:left w:val="nil"/>
              <w:bottom w:val="nil"/>
              <w:right w:val="nil"/>
            </w:tcBorders>
            <w:shd w:val="clear" w:color="auto" w:fill="auto"/>
            <w:noWrap/>
            <w:vAlign w:val="bottom"/>
            <w:hideMark/>
          </w:tcPr>
          <w:p w14:paraId="6873FED6" w14:textId="2866E961" w:rsidR="005901E9" w:rsidRPr="00921EEB" w:rsidRDefault="005901E9" w:rsidP="005901E9">
            <w:pPr>
              <w:jc w:val="right"/>
              <w:rPr>
                <w:sz w:val="17"/>
                <w:szCs w:val="17"/>
              </w:rPr>
            </w:pPr>
            <w:r w:rsidRPr="00921EEB">
              <w:rPr>
                <w:sz w:val="17"/>
                <w:szCs w:val="17"/>
              </w:rPr>
              <w:t>897</w:t>
            </w:r>
          </w:p>
        </w:tc>
        <w:tc>
          <w:tcPr>
            <w:tcW w:w="1539" w:type="dxa"/>
            <w:tcBorders>
              <w:top w:val="nil"/>
              <w:left w:val="nil"/>
              <w:bottom w:val="nil"/>
              <w:right w:val="nil"/>
            </w:tcBorders>
            <w:shd w:val="clear" w:color="auto" w:fill="auto"/>
            <w:noWrap/>
            <w:vAlign w:val="bottom"/>
            <w:hideMark/>
          </w:tcPr>
          <w:p w14:paraId="45045998" w14:textId="0DE5C02F" w:rsidR="005901E9" w:rsidRPr="00921EEB" w:rsidRDefault="005901E9" w:rsidP="005901E9">
            <w:pPr>
              <w:jc w:val="right"/>
              <w:rPr>
                <w:sz w:val="17"/>
                <w:szCs w:val="17"/>
              </w:rPr>
            </w:pPr>
            <w:r w:rsidRPr="00921EEB">
              <w:rPr>
                <w:sz w:val="17"/>
                <w:szCs w:val="17"/>
              </w:rPr>
              <w:t>-</w:t>
            </w:r>
          </w:p>
        </w:tc>
        <w:tc>
          <w:tcPr>
            <w:tcW w:w="2001" w:type="dxa"/>
            <w:tcBorders>
              <w:top w:val="nil"/>
              <w:left w:val="nil"/>
              <w:bottom w:val="nil"/>
              <w:right w:val="nil"/>
            </w:tcBorders>
            <w:shd w:val="clear" w:color="auto" w:fill="auto"/>
            <w:noWrap/>
            <w:vAlign w:val="bottom"/>
            <w:hideMark/>
          </w:tcPr>
          <w:p w14:paraId="52EDEDBD" w14:textId="27AB78A3" w:rsidR="005901E9" w:rsidRPr="00921EEB" w:rsidRDefault="005901E9" w:rsidP="005901E9">
            <w:pPr>
              <w:jc w:val="right"/>
              <w:rPr>
                <w:sz w:val="17"/>
                <w:szCs w:val="17"/>
              </w:rPr>
            </w:pPr>
            <w:r w:rsidRPr="00921EEB">
              <w:rPr>
                <w:sz w:val="17"/>
                <w:szCs w:val="17"/>
              </w:rPr>
              <w:t>-</w:t>
            </w:r>
          </w:p>
        </w:tc>
      </w:tr>
      <w:tr w:rsidR="00B107E4" w:rsidRPr="00921EEB" w14:paraId="7918032B" w14:textId="77777777" w:rsidTr="00B107E4">
        <w:trPr>
          <w:trHeight w:val="276"/>
        </w:trPr>
        <w:tc>
          <w:tcPr>
            <w:tcW w:w="1843" w:type="dxa"/>
            <w:tcBorders>
              <w:top w:val="nil"/>
              <w:left w:val="nil"/>
              <w:bottom w:val="nil"/>
              <w:right w:val="nil"/>
            </w:tcBorders>
            <w:shd w:val="clear" w:color="auto" w:fill="auto"/>
            <w:noWrap/>
            <w:vAlign w:val="bottom"/>
            <w:hideMark/>
          </w:tcPr>
          <w:p w14:paraId="30FCE7CA" w14:textId="77777777" w:rsidR="005901E9" w:rsidRPr="00921EEB" w:rsidRDefault="005901E9" w:rsidP="00634172">
            <w:pPr>
              <w:rPr>
                <w:sz w:val="17"/>
                <w:szCs w:val="17"/>
              </w:rPr>
            </w:pPr>
            <w:r w:rsidRPr="00921EEB">
              <w:rPr>
                <w:sz w:val="17"/>
                <w:szCs w:val="17"/>
              </w:rPr>
              <w:t>Geita</w:t>
            </w:r>
          </w:p>
        </w:tc>
        <w:tc>
          <w:tcPr>
            <w:tcW w:w="1756" w:type="dxa"/>
            <w:tcBorders>
              <w:top w:val="nil"/>
              <w:left w:val="nil"/>
              <w:bottom w:val="nil"/>
              <w:right w:val="nil"/>
            </w:tcBorders>
            <w:shd w:val="clear" w:color="auto" w:fill="auto"/>
            <w:noWrap/>
            <w:vAlign w:val="bottom"/>
            <w:hideMark/>
          </w:tcPr>
          <w:p w14:paraId="7154FB62" w14:textId="440F7CC2" w:rsidR="005901E9" w:rsidRPr="00921EEB" w:rsidRDefault="005901E9" w:rsidP="005901E9">
            <w:pPr>
              <w:jc w:val="right"/>
              <w:rPr>
                <w:sz w:val="17"/>
                <w:szCs w:val="17"/>
              </w:rPr>
            </w:pPr>
            <w:r w:rsidRPr="00921EEB">
              <w:rPr>
                <w:sz w:val="17"/>
                <w:szCs w:val="17"/>
              </w:rPr>
              <w:t>279</w:t>
            </w:r>
          </w:p>
        </w:tc>
        <w:tc>
          <w:tcPr>
            <w:tcW w:w="1792" w:type="dxa"/>
            <w:tcBorders>
              <w:top w:val="nil"/>
              <w:left w:val="nil"/>
              <w:bottom w:val="nil"/>
              <w:right w:val="nil"/>
            </w:tcBorders>
            <w:shd w:val="clear" w:color="auto" w:fill="auto"/>
            <w:noWrap/>
            <w:vAlign w:val="bottom"/>
            <w:hideMark/>
          </w:tcPr>
          <w:p w14:paraId="643CD7FC" w14:textId="17AAEF19" w:rsidR="005901E9" w:rsidRPr="00921EEB" w:rsidRDefault="005901E9" w:rsidP="005901E9">
            <w:pPr>
              <w:jc w:val="right"/>
              <w:rPr>
                <w:sz w:val="17"/>
                <w:szCs w:val="17"/>
              </w:rPr>
            </w:pPr>
            <w:r w:rsidRPr="00921EEB">
              <w:rPr>
                <w:sz w:val="17"/>
                <w:szCs w:val="17"/>
              </w:rPr>
              <w:t>338</w:t>
            </w:r>
          </w:p>
        </w:tc>
        <w:tc>
          <w:tcPr>
            <w:tcW w:w="1539" w:type="dxa"/>
            <w:tcBorders>
              <w:top w:val="nil"/>
              <w:left w:val="nil"/>
              <w:bottom w:val="nil"/>
              <w:right w:val="nil"/>
            </w:tcBorders>
            <w:shd w:val="clear" w:color="auto" w:fill="auto"/>
            <w:noWrap/>
            <w:vAlign w:val="bottom"/>
            <w:hideMark/>
          </w:tcPr>
          <w:p w14:paraId="0D36C248" w14:textId="7A120C39" w:rsidR="005901E9" w:rsidRPr="00921EEB" w:rsidRDefault="005901E9" w:rsidP="005901E9">
            <w:pPr>
              <w:jc w:val="right"/>
              <w:rPr>
                <w:sz w:val="17"/>
                <w:szCs w:val="17"/>
              </w:rPr>
            </w:pPr>
            <w:r w:rsidRPr="00921EEB">
              <w:rPr>
                <w:sz w:val="17"/>
                <w:szCs w:val="17"/>
              </w:rPr>
              <w:t>-</w:t>
            </w:r>
          </w:p>
        </w:tc>
        <w:tc>
          <w:tcPr>
            <w:tcW w:w="2001" w:type="dxa"/>
            <w:tcBorders>
              <w:top w:val="nil"/>
              <w:left w:val="nil"/>
              <w:bottom w:val="nil"/>
              <w:right w:val="nil"/>
            </w:tcBorders>
            <w:shd w:val="clear" w:color="auto" w:fill="auto"/>
            <w:noWrap/>
            <w:vAlign w:val="bottom"/>
            <w:hideMark/>
          </w:tcPr>
          <w:p w14:paraId="08C7EE92" w14:textId="3FB4F65D" w:rsidR="005901E9" w:rsidRPr="00921EEB" w:rsidRDefault="005901E9" w:rsidP="005901E9">
            <w:pPr>
              <w:jc w:val="right"/>
              <w:rPr>
                <w:sz w:val="17"/>
                <w:szCs w:val="17"/>
              </w:rPr>
            </w:pPr>
            <w:r w:rsidRPr="00921EEB">
              <w:rPr>
                <w:sz w:val="17"/>
                <w:szCs w:val="17"/>
              </w:rPr>
              <w:t>-</w:t>
            </w:r>
          </w:p>
        </w:tc>
      </w:tr>
      <w:tr w:rsidR="00B107E4" w:rsidRPr="00921EEB" w14:paraId="1059C001" w14:textId="77777777" w:rsidTr="00B107E4">
        <w:trPr>
          <w:trHeight w:val="276"/>
        </w:trPr>
        <w:tc>
          <w:tcPr>
            <w:tcW w:w="1843" w:type="dxa"/>
            <w:tcBorders>
              <w:top w:val="nil"/>
              <w:left w:val="nil"/>
              <w:bottom w:val="nil"/>
              <w:right w:val="nil"/>
            </w:tcBorders>
            <w:shd w:val="clear" w:color="auto" w:fill="auto"/>
            <w:noWrap/>
            <w:vAlign w:val="bottom"/>
            <w:hideMark/>
          </w:tcPr>
          <w:p w14:paraId="293E884D" w14:textId="77777777" w:rsidR="005901E9" w:rsidRPr="00921EEB" w:rsidRDefault="005901E9" w:rsidP="00634172">
            <w:pPr>
              <w:rPr>
                <w:sz w:val="17"/>
                <w:szCs w:val="17"/>
              </w:rPr>
            </w:pPr>
            <w:r w:rsidRPr="00921EEB">
              <w:rPr>
                <w:sz w:val="17"/>
                <w:szCs w:val="17"/>
              </w:rPr>
              <w:t>Songwe</w:t>
            </w:r>
          </w:p>
        </w:tc>
        <w:tc>
          <w:tcPr>
            <w:tcW w:w="1756" w:type="dxa"/>
            <w:tcBorders>
              <w:top w:val="nil"/>
              <w:left w:val="nil"/>
              <w:bottom w:val="nil"/>
              <w:right w:val="nil"/>
            </w:tcBorders>
            <w:shd w:val="clear" w:color="auto" w:fill="auto"/>
            <w:noWrap/>
            <w:vAlign w:val="bottom"/>
            <w:hideMark/>
          </w:tcPr>
          <w:p w14:paraId="5EFFB93A" w14:textId="14A5AB1B" w:rsidR="005901E9" w:rsidRPr="00921EEB" w:rsidRDefault="005901E9" w:rsidP="005901E9">
            <w:pPr>
              <w:jc w:val="right"/>
              <w:rPr>
                <w:sz w:val="17"/>
                <w:szCs w:val="17"/>
              </w:rPr>
            </w:pPr>
            <w:r w:rsidRPr="00921EEB">
              <w:rPr>
                <w:sz w:val="17"/>
                <w:szCs w:val="17"/>
              </w:rPr>
              <w:t>281</w:t>
            </w:r>
          </w:p>
        </w:tc>
        <w:tc>
          <w:tcPr>
            <w:tcW w:w="1792" w:type="dxa"/>
            <w:tcBorders>
              <w:top w:val="nil"/>
              <w:left w:val="nil"/>
              <w:bottom w:val="nil"/>
              <w:right w:val="nil"/>
            </w:tcBorders>
            <w:shd w:val="clear" w:color="auto" w:fill="auto"/>
            <w:noWrap/>
            <w:vAlign w:val="bottom"/>
            <w:hideMark/>
          </w:tcPr>
          <w:p w14:paraId="1371DC4F" w14:textId="0601D1E5" w:rsidR="005901E9" w:rsidRPr="00921EEB" w:rsidRDefault="005901E9" w:rsidP="005901E9">
            <w:pPr>
              <w:jc w:val="right"/>
              <w:rPr>
                <w:sz w:val="17"/>
                <w:szCs w:val="17"/>
              </w:rPr>
            </w:pPr>
            <w:r w:rsidRPr="00921EEB">
              <w:rPr>
                <w:sz w:val="17"/>
                <w:szCs w:val="17"/>
              </w:rPr>
              <w:t>569</w:t>
            </w:r>
          </w:p>
        </w:tc>
        <w:tc>
          <w:tcPr>
            <w:tcW w:w="1539" w:type="dxa"/>
            <w:tcBorders>
              <w:top w:val="nil"/>
              <w:left w:val="nil"/>
              <w:bottom w:val="nil"/>
              <w:right w:val="nil"/>
            </w:tcBorders>
            <w:shd w:val="clear" w:color="auto" w:fill="auto"/>
            <w:noWrap/>
            <w:vAlign w:val="bottom"/>
            <w:hideMark/>
          </w:tcPr>
          <w:p w14:paraId="121D8E4E" w14:textId="73CF1BD1" w:rsidR="005901E9" w:rsidRPr="00921EEB" w:rsidRDefault="005901E9" w:rsidP="005901E9">
            <w:pPr>
              <w:jc w:val="right"/>
              <w:rPr>
                <w:sz w:val="17"/>
                <w:szCs w:val="17"/>
              </w:rPr>
            </w:pPr>
            <w:r w:rsidRPr="00921EEB">
              <w:rPr>
                <w:sz w:val="17"/>
                <w:szCs w:val="17"/>
              </w:rPr>
              <w:t>-</w:t>
            </w:r>
          </w:p>
        </w:tc>
        <w:tc>
          <w:tcPr>
            <w:tcW w:w="2001" w:type="dxa"/>
            <w:tcBorders>
              <w:top w:val="nil"/>
              <w:left w:val="nil"/>
              <w:bottom w:val="nil"/>
              <w:right w:val="nil"/>
            </w:tcBorders>
            <w:shd w:val="clear" w:color="auto" w:fill="auto"/>
            <w:noWrap/>
            <w:vAlign w:val="bottom"/>
            <w:hideMark/>
          </w:tcPr>
          <w:p w14:paraId="12E90461" w14:textId="051CC09C" w:rsidR="005901E9" w:rsidRPr="00921EEB" w:rsidRDefault="005901E9" w:rsidP="005901E9">
            <w:pPr>
              <w:jc w:val="right"/>
              <w:rPr>
                <w:sz w:val="17"/>
                <w:szCs w:val="17"/>
              </w:rPr>
            </w:pPr>
            <w:r w:rsidRPr="00921EEB">
              <w:rPr>
                <w:sz w:val="17"/>
                <w:szCs w:val="17"/>
              </w:rPr>
              <w:t>-</w:t>
            </w:r>
          </w:p>
        </w:tc>
      </w:tr>
      <w:tr w:rsidR="00B107E4" w:rsidRPr="00921EEB" w14:paraId="5BC619C6" w14:textId="77777777" w:rsidTr="009C0DC0">
        <w:trPr>
          <w:trHeight w:val="276"/>
        </w:trPr>
        <w:tc>
          <w:tcPr>
            <w:tcW w:w="1843" w:type="dxa"/>
            <w:tcBorders>
              <w:top w:val="single" w:sz="4" w:space="0" w:color="auto"/>
              <w:left w:val="nil"/>
              <w:bottom w:val="single" w:sz="4" w:space="0" w:color="auto"/>
              <w:right w:val="nil"/>
            </w:tcBorders>
            <w:shd w:val="clear" w:color="auto" w:fill="E2EFD9" w:themeFill="accent6" w:themeFillTint="33"/>
            <w:noWrap/>
            <w:vAlign w:val="bottom"/>
            <w:hideMark/>
          </w:tcPr>
          <w:p w14:paraId="5E2793C5" w14:textId="333721B4" w:rsidR="005901E9" w:rsidRPr="00921EEB" w:rsidRDefault="00EA1552" w:rsidP="00634172">
            <w:pPr>
              <w:rPr>
                <w:b/>
                <w:bCs/>
                <w:sz w:val="17"/>
                <w:szCs w:val="17"/>
              </w:rPr>
            </w:pPr>
            <w:r w:rsidRPr="00921EEB">
              <w:rPr>
                <w:b/>
                <w:bCs/>
                <w:sz w:val="17"/>
                <w:szCs w:val="17"/>
              </w:rPr>
              <w:t>Mainland Tanzania</w:t>
            </w:r>
          </w:p>
        </w:tc>
        <w:tc>
          <w:tcPr>
            <w:tcW w:w="1756" w:type="dxa"/>
            <w:tcBorders>
              <w:top w:val="single" w:sz="4" w:space="0" w:color="auto"/>
              <w:left w:val="nil"/>
              <w:bottom w:val="single" w:sz="4" w:space="0" w:color="auto"/>
              <w:right w:val="nil"/>
            </w:tcBorders>
            <w:shd w:val="clear" w:color="auto" w:fill="E2EFD9" w:themeFill="accent6" w:themeFillTint="33"/>
            <w:noWrap/>
            <w:vAlign w:val="bottom"/>
            <w:hideMark/>
          </w:tcPr>
          <w:p w14:paraId="2F5CC941" w14:textId="4CBB2708" w:rsidR="005901E9" w:rsidRPr="00921EEB" w:rsidRDefault="005901E9" w:rsidP="005901E9">
            <w:pPr>
              <w:jc w:val="right"/>
              <w:rPr>
                <w:b/>
                <w:bCs/>
                <w:sz w:val="17"/>
                <w:szCs w:val="17"/>
              </w:rPr>
            </w:pPr>
            <w:r w:rsidRPr="00921EEB">
              <w:rPr>
                <w:b/>
                <w:bCs/>
                <w:sz w:val="17"/>
                <w:szCs w:val="17"/>
              </w:rPr>
              <w:t>666,938</w:t>
            </w:r>
          </w:p>
        </w:tc>
        <w:tc>
          <w:tcPr>
            <w:tcW w:w="1792" w:type="dxa"/>
            <w:tcBorders>
              <w:top w:val="single" w:sz="4" w:space="0" w:color="auto"/>
              <w:left w:val="nil"/>
              <w:bottom w:val="single" w:sz="4" w:space="0" w:color="auto"/>
              <w:right w:val="nil"/>
            </w:tcBorders>
            <w:shd w:val="clear" w:color="auto" w:fill="E2EFD9" w:themeFill="accent6" w:themeFillTint="33"/>
            <w:noWrap/>
            <w:vAlign w:val="bottom"/>
            <w:hideMark/>
          </w:tcPr>
          <w:p w14:paraId="15A1908B" w14:textId="09ED9EDF" w:rsidR="005901E9" w:rsidRPr="00921EEB" w:rsidRDefault="005901E9" w:rsidP="005901E9">
            <w:pPr>
              <w:jc w:val="right"/>
              <w:rPr>
                <w:b/>
                <w:bCs/>
                <w:sz w:val="17"/>
                <w:szCs w:val="17"/>
              </w:rPr>
            </w:pPr>
            <w:r w:rsidRPr="00921EEB">
              <w:rPr>
                <w:b/>
                <w:bCs/>
                <w:sz w:val="17"/>
                <w:szCs w:val="17"/>
              </w:rPr>
              <w:t>808,083</w:t>
            </w:r>
          </w:p>
        </w:tc>
        <w:tc>
          <w:tcPr>
            <w:tcW w:w="1539" w:type="dxa"/>
            <w:tcBorders>
              <w:top w:val="single" w:sz="4" w:space="0" w:color="auto"/>
              <w:left w:val="nil"/>
              <w:bottom w:val="single" w:sz="4" w:space="0" w:color="auto"/>
              <w:right w:val="nil"/>
            </w:tcBorders>
            <w:shd w:val="clear" w:color="auto" w:fill="E2EFD9" w:themeFill="accent6" w:themeFillTint="33"/>
            <w:noWrap/>
            <w:vAlign w:val="bottom"/>
            <w:hideMark/>
          </w:tcPr>
          <w:p w14:paraId="7232D45F" w14:textId="6EB97F03" w:rsidR="005901E9" w:rsidRPr="00921EEB" w:rsidRDefault="005901E9" w:rsidP="005901E9">
            <w:pPr>
              <w:jc w:val="right"/>
              <w:rPr>
                <w:b/>
                <w:bCs/>
                <w:sz w:val="17"/>
                <w:szCs w:val="17"/>
              </w:rPr>
            </w:pPr>
            <w:r w:rsidRPr="00921EEB">
              <w:rPr>
                <w:b/>
                <w:bCs/>
                <w:sz w:val="17"/>
                <w:szCs w:val="17"/>
              </w:rPr>
              <w:t>560,702</w:t>
            </w:r>
          </w:p>
        </w:tc>
        <w:tc>
          <w:tcPr>
            <w:tcW w:w="2001" w:type="dxa"/>
            <w:tcBorders>
              <w:top w:val="single" w:sz="4" w:space="0" w:color="auto"/>
              <w:left w:val="nil"/>
              <w:bottom w:val="single" w:sz="4" w:space="0" w:color="auto"/>
              <w:right w:val="nil"/>
            </w:tcBorders>
            <w:shd w:val="clear" w:color="auto" w:fill="E2EFD9" w:themeFill="accent6" w:themeFillTint="33"/>
            <w:noWrap/>
            <w:vAlign w:val="bottom"/>
            <w:hideMark/>
          </w:tcPr>
          <w:p w14:paraId="230A4357" w14:textId="0D473D1B" w:rsidR="005901E9" w:rsidRPr="00921EEB" w:rsidRDefault="005901E9" w:rsidP="005901E9">
            <w:pPr>
              <w:jc w:val="right"/>
              <w:rPr>
                <w:b/>
                <w:bCs/>
                <w:sz w:val="17"/>
                <w:szCs w:val="17"/>
              </w:rPr>
            </w:pPr>
            <w:r w:rsidRPr="00921EEB">
              <w:rPr>
                <w:b/>
                <w:bCs/>
                <w:sz w:val="17"/>
                <w:szCs w:val="17"/>
              </w:rPr>
              <w:t>390,404</w:t>
            </w:r>
          </w:p>
        </w:tc>
      </w:tr>
      <w:tr w:rsidR="00B107E4" w:rsidRPr="00921EEB" w14:paraId="478E1A09" w14:textId="77777777" w:rsidTr="00B107E4">
        <w:trPr>
          <w:trHeight w:val="276"/>
        </w:trPr>
        <w:tc>
          <w:tcPr>
            <w:tcW w:w="1843" w:type="dxa"/>
            <w:tcBorders>
              <w:top w:val="nil"/>
              <w:left w:val="nil"/>
              <w:bottom w:val="nil"/>
              <w:right w:val="nil"/>
            </w:tcBorders>
            <w:shd w:val="clear" w:color="auto" w:fill="auto"/>
            <w:noWrap/>
            <w:vAlign w:val="bottom"/>
            <w:hideMark/>
          </w:tcPr>
          <w:p w14:paraId="59D7B179" w14:textId="77777777" w:rsidR="005901E9" w:rsidRPr="00921EEB" w:rsidRDefault="005901E9" w:rsidP="00634172">
            <w:pPr>
              <w:rPr>
                <w:sz w:val="17"/>
                <w:szCs w:val="17"/>
              </w:rPr>
            </w:pPr>
            <w:r w:rsidRPr="00921EEB">
              <w:rPr>
                <w:sz w:val="17"/>
                <w:szCs w:val="17"/>
              </w:rPr>
              <w:t>Kaskazini Unguja</w:t>
            </w:r>
          </w:p>
        </w:tc>
        <w:tc>
          <w:tcPr>
            <w:tcW w:w="1756" w:type="dxa"/>
            <w:tcBorders>
              <w:top w:val="nil"/>
              <w:left w:val="nil"/>
              <w:bottom w:val="nil"/>
              <w:right w:val="nil"/>
            </w:tcBorders>
            <w:shd w:val="clear" w:color="auto" w:fill="auto"/>
            <w:noWrap/>
            <w:vAlign w:val="bottom"/>
            <w:hideMark/>
          </w:tcPr>
          <w:p w14:paraId="42C0420D" w14:textId="753FA186" w:rsidR="005901E9" w:rsidRPr="00921EEB" w:rsidRDefault="005901E9" w:rsidP="005901E9">
            <w:pPr>
              <w:jc w:val="right"/>
              <w:rPr>
                <w:sz w:val="17"/>
                <w:szCs w:val="17"/>
              </w:rPr>
            </w:pPr>
            <w:r w:rsidRPr="00921EEB">
              <w:rPr>
                <w:sz w:val="17"/>
                <w:szCs w:val="17"/>
              </w:rPr>
              <w:t>108</w:t>
            </w:r>
          </w:p>
        </w:tc>
        <w:tc>
          <w:tcPr>
            <w:tcW w:w="1792" w:type="dxa"/>
            <w:tcBorders>
              <w:top w:val="nil"/>
              <w:left w:val="nil"/>
              <w:bottom w:val="nil"/>
              <w:right w:val="nil"/>
            </w:tcBorders>
            <w:shd w:val="clear" w:color="auto" w:fill="auto"/>
            <w:noWrap/>
            <w:vAlign w:val="bottom"/>
            <w:hideMark/>
          </w:tcPr>
          <w:p w14:paraId="64B2D76B" w14:textId="05C9D627" w:rsidR="005901E9" w:rsidRPr="00921EEB" w:rsidRDefault="005901E9" w:rsidP="005901E9">
            <w:pPr>
              <w:jc w:val="right"/>
              <w:rPr>
                <w:sz w:val="17"/>
                <w:szCs w:val="17"/>
              </w:rPr>
            </w:pPr>
            <w:r w:rsidRPr="00921EEB">
              <w:rPr>
                <w:sz w:val="17"/>
                <w:szCs w:val="17"/>
              </w:rPr>
              <w:t>-</w:t>
            </w:r>
          </w:p>
        </w:tc>
        <w:tc>
          <w:tcPr>
            <w:tcW w:w="1539" w:type="dxa"/>
            <w:tcBorders>
              <w:top w:val="nil"/>
              <w:left w:val="nil"/>
              <w:bottom w:val="nil"/>
              <w:right w:val="nil"/>
            </w:tcBorders>
            <w:shd w:val="clear" w:color="auto" w:fill="auto"/>
            <w:noWrap/>
            <w:vAlign w:val="bottom"/>
            <w:hideMark/>
          </w:tcPr>
          <w:p w14:paraId="3BFF16E3" w14:textId="6C98D27A" w:rsidR="005901E9" w:rsidRPr="00921EEB" w:rsidRDefault="005901E9" w:rsidP="005901E9">
            <w:pPr>
              <w:jc w:val="right"/>
              <w:rPr>
                <w:sz w:val="17"/>
                <w:szCs w:val="17"/>
              </w:rPr>
            </w:pPr>
            <w:r w:rsidRPr="00921EEB">
              <w:rPr>
                <w:sz w:val="17"/>
                <w:szCs w:val="17"/>
              </w:rPr>
              <w:t>-</w:t>
            </w:r>
          </w:p>
        </w:tc>
        <w:tc>
          <w:tcPr>
            <w:tcW w:w="2001" w:type="dxa"/>
            <w:tcBorders>
              <w:top w:val="nil"/>
              <w:left w:val="nil"/>
              <w:bottom w:val="nil"/>
              <w:right w:val="nil"/>
            </w:tcBorders>
            <w:shd w:val="clear" w:color="auto" w:fill="auto"/>
            <w:noWrap/>
            <w:vAlign w:val="bottom"/>
            <w:hideMark/>
          </w:tcPr>
          <w:p w14:paraId="441DD556" w14:textId="5EF89337" w:rsidR="005901E9" w:rsidRPr="00921EEB" w:rsidRDefault="005901E9" w:rsidP="005901E9">
            <w:pPr>
              <w:jc w:val="right"/>
              <w:rPr>
                <w:sz w:val="17"/>
                <w:szCs w:val="17"/>
              </w:rPr>
            </w:pPr>
            <w:r w:rsidRPr="00921EEB">
              <w:rPr>
                <w:sz w:val="17"/>
                <w:szCs w:val="17"/>
              </w:rPr>
              <w:t>-</w:t>
            </w:r>
          </w:p>
        </w:tc>
      </w:tr>
      <w:tr w:rsidR="00B107E4" w:rsidRPr="00921EEB" w14:paraId="07AD7FF6" w14:textId="77777777" w:rsidTr="00B107E4">
        <w:trPr>
          <w:trHeight w:val="276"/>
        </w:trPr>
        <w:tc>
          <w:tcPr>
            <w:tcW w:w="1843" w:type="dxa"/>
            <w:tcBorders>
              <w:top w:val="nil"/>
              <w:left w:val="nil"/>
              <w:bottom w:val="nil"/>
              <w:right w:val="nil"/>
            </w:tcBorders>
            <w:shd w:val="clear" w:color="auto" w:fill="auto"/>
            <w:noWrap/>
            <w:vAlign w:val="bottom"/>
            <w:hideMark/>
          </w:tcPr>
          <w:p w14:paraId="3189A449" w14:textId="61E90F2E" w:rsidR="005901E9" w:rsidRPr="00921EEB" w:rsidRDefault="005901E9" w:rsidP="00634172">
            <w:pPr>
              <w:rPr>
                <w:sz w:val="17"/>
                <w:szCs w:val="17"/>
              </w:rPr>
            </w:pPr>
            <w:r w:rsidRPr="00921EEB">
              <w:rPr>
                <w:sz w:val="17"/>
                <w:szCs w:val="17"/>
              </w:rPr>
              <w:t>Kusini Pemba</w:t>
            </w:r>
          </w:p>
        </w:tc>
        <w:tc>
          <w:tcPr>
            <w:tcW w:w="1756" w:type="dxa"/>
            <w:tcBorders>
              <w:top w:val="nil"/>
              <w:left w:val="nil"/>
              <w:bottom w:val="nil"/>
              <w:right w:val="nil"/>
            </w:tcBorders>
            <w:shd w:val="clear" w:color="auto" w:fill="auto"/>
            <w:noWrap/>
            <w:vAlign w:val="bottom"/>
            <w:hideMark/>
          </w:tcPr>
          <w:p w14:paraId="08705645" w14:textId="597007BD" w:rsidR="005901E9" w:rsidRPr="00921EEB" w:rsidRDefault="005901E9" w:rsidP="005901E9">
            <w:pPr>
              <w:jc w:val="right"/>
              <w:rPr>
                <w:sz w:val="17"/>
                <w:szCs w:val="17"/>
              </w:rPr>
            </w:pPr>
            <w:r w:rsidRPr="00921EEB">
              <w:rPr>
                <w:sz w:val="17"/>
                <w:szCs w:val="17"/>
              </w:rPr>
              <w:t>391</w:t>
            </w:r>
          </w:p>
        </w:tc>
        <w:tc>
          <w:tcPr>
            <w:tcW w:w="1792" w:type="dxa"/>
            <w:tcBorders>
              <w:top w:val="nil"/>
              <w:left w:val="nil"/>
              <w:bottom w:val="nil"/>
              <w:right w:val="nil"/>
            </w:tcBorders>
            <w:shd w:val="clear" w:color="auto" w:fill="auto"/>
            <w:noWrap/>
            <w:vAlign w:val="bottom"/>
            <w:hideMark/>
          </w:tcPr>
          <w:p w14:paraId="58AA4F0F" w14:textId="4013403A" w:rsidR="005901E9" w:rsidRPr="00921EEB" w:rsidRDefault="005901E9" w:rsidP="005901E9">
            <w:pPr>
              <w:jc w:val="right"/>
              <w:rPr>
                <w:sz w:val="17"/>
                <w:szCs w:val="17"/>
              </w:rPr>
            </w:pPr>
            <w:r w:rsidRPr="00921EEB">
              <w:rPr>
                <w:sz w:val="17"/>
                <w:szCs w:val="17"/>
              </w:rPr>
              <w:t>59</w:t>
            </w:r>
          </w:p>
        </w:tc>
        <w:tc>
          <w:tcPr>
            <w:tcW w:w="1539" w:type="dxa"/>
            <w:tcBorders>
              <w:top w:val="nil"/>
              <w:left w:val="nil"/>
              <w:bottom w:val="nil"/>
              <w:right w:val="nil"/>
            </w:tcBorders>
            <w:shd w:val="clear" w:color="auto" w:fill="auto"/>
            <w:noWrap/>
            <w:vAlign w:val="bottom"/>
            <w:hideMark/>
          </w:tcPr>
          <w:p w14:paraId="18A7E2EB" w14:textId="69242697" w:rsidR="005901E9" w:rsidRPr="00921EEB" w:rsidRDefault="005901E9" w:rsidP="005901E9">
            <w:pPr>
              <w:jc w:val="right"/>
              <w:rPr>
                <w:sz w:val="17"/>
                <w:szCs w:val="17"/>
              </w:rPr>
            </w:pPr>
            <w:r w:rsidRPr="00921EEB">
              <w:rPr>
                <w:sz w:val="17"/>
                <w:szCs w:val="17"/>
              </w:rPr>
              <w:t>26</w:t>
            </w:r>
          </w:p>
        </w:tc>
        <w:tc>
          <w:tcPr>
            <w:tcW w:w="2001" w:type="dxa"/>
            <w:tcBorders>
              <w:top w:val="nil"/>
              <w:left w:val="nil"/>
              <w:bottom w:val="nil"/>
              <w:right w:val="nil"/>
            </w:tcBorders>
            <w:shd w:val="clear" w:color="auto" w:fill="auto"/>
            <w:noWrap/>
            <w:vAlign w:val="bottom"/>
            <w:hideMark/>
          </w:tcPr>
          <w:p w14:paraId="7BB91D7F" w14:textId="578D2D2C" w:rsidR="005901E9" w:rsidRPr="00921EEB" w:rsidRDefault="005901E9" w:rsidP="005901E9">
            <w:pPr>
              <w:jc w:val="right"/>
              <w:rPr>
                <w:sz w:val="17"/>
                <w:szCs w:val="17"/>
              </w:rPr>
            </w:pPr>
            <w:r w:rsidRPr="00921EEB">
              <w:rPr>
                <w:sz w:val="17"/>
                <w:szCs w:val="17"/>
              </w:rPr>
              <w:t>9</w:t>
            </w:r>
          </w:p>
        </w:tc>
      </w:tr>
      <w:tr w:rsidR="00B107E4" w:rsidRPr="00921EEB" w14:paraId="05A808D1" w14:textId="77777777" w:rsidTr="009C0DC0">
        <w:trPr>
          <w:trHeight w:val="276"/>
        </w:trPr>
        <w:tc>
          <w:tcPr>
            <w:tcW w:w="1843" w:type="dxa"/>
            <w:tcBorders>
              <w:top w:val="single" w:sz="4" w:space="0" w:color="auto"/>
              <w:left w:val="nil"/>
              <w:bottom w:val="single" w:sz="4" w:space="0" w:color="auto"/>
              <w:right w:val="nil"/>
            </w:tcBorders>
            <w:shd w:val="clear" w:color="auto" w:fill="E2EFD9" w:themeFill="accent6" w:themeFillTint="33"/>
            <w:noWrap/>
            <w:vAlign w:val="bottom"/>
            <w:hideMark/>
          </w:tcPr>
          <w:p w14:paraId="2612A65C" w14:textId="77777777" w:rsidR="005901E9" w:rsidRPr="00921EEB" w:rsidRDefault="005901E9" w:rsidP="00634172">
            <w:pPr>
              <w:rPr>
                <w:b/>
                <w:bCs/>
                <w:sz w:val="17"/>
                <w:szCs w:val="17"/>
              </w:rPr>
            </w:pPr>
            <w:r w:rsidRPr="00921EEB">
              <w:rPr>
                <w:b/>
                <w:bCs/>
                <w:sz w:val="17"/>
                <w:szCs w:val="17"/>
              </w:rPr>
              <w:t>Tanzania Zanzibar</w:t>
            </w:r>
          </w:p>
        </w:tc>
        <w:tc>
          <w:tcPr>
            <w:tcW w:w="1756" w:type="dxa"/>
            <w:tcBorders>
              <w:top w:val="single" w:sz="4" w:space="0" w:color="auto"/>
              <w:left w:val="nil"/>
              <w:bottom w:val="single" w:sz="4" w:space="0" w:color="auto"/>
              <w:right w:val="nil"/>
            </w:tcBorders>
            <w:shd w:val="clear" w:color="auto" w:fill="E2EFD9" w:themeFill="accent6" w:themeFillTint="33"/>
            <w:noWrap/>
            <w:vAlign w:val="bottom"/>
            <w:hideMark/>
          </w:tcPr>
          <w:p w14:paraId="3484CE6C" w14:textId="61FF30B3" w:rsidR="005901E9" w:rsidRPr="00921EEB" w:rsidRDefault="005901E9" w:rsidP="005901E9">
            <w:pPr>
              <w:jc w:val="right"/>
              <w:rPr>
                <w:b/>
                <w:bCs/>
                <w:sz w:val="17"/>
                <w:szCs w:val="17"/>
              </w:rPr>
            </w:pPr>
            <w:r w:rsidRPr="00921EEB">
              <w:rPr>
                <w:b/>
                <w:bCs/>
                <w:sz w:val="17"/>
                <w:szCs w:val="17"/>
              </w:rPr>
              <w:t>499</w:t>
            </w:r>
          </w:p>
        </w:tc>
        <w:tc>
          <w:tcPr>
            <w:tcW w:w="1792" w:type="dxa"/>
            <w:tcBorders>
              <w:top w:val="single" w:sz="4" w:space="0" w:color="auto"/>
              <w:left w:val="nil"/>
              <w:bottom w:val="single" w:sz="4" w:space="0" w:color="auto"/>
              <w:right w:val="nil"/>
            </w:tcBorders>
            <w:shd w:val="clear" w:color="auto" w:fill="E2EFD9" w:themeFill="accent6" w:themeFillTint="33"/>
            <w:noWrap/>
            <w:vAlign w:val="bottom"/>
            <w:hideMark/>
          </w:tcPr>
          <w:p w14:paraId="65EFC525" w14:textId="04427E72" w:rsidR="005901E9" w:rsidRPr="00921EEB" w:rsidRDefault="005901E9" w:rsidP="005901E9">
            <w:pPr>
              <w:jc w:val="right"/>
              <w:rPr>
                <w:b/>
                <w:bCs/>
                <w:sz w:val="17"/>
                <w:szCs w:val="17"/>
              </w:rPr>
            </w:pPr>
            <w:r w:rsidRPr="00921EEB">
              <w:rPr>
                <w:b/>
                <w:bCs/>
                <w:sz w:val="17"/>
                <w:szCs w:val="17"/>
              </w:rPr>
              <w:t>59</w:t>
            </w:r>
          </w:p>
        </w:tc>
        <w:tc>
          <w:tcPr>
            <w:tcW w:w="1539" w:type="dxa"/>
            <w:tcBorders>
              <w:top w:val="single" w:sz="4" w:space="0" w:color="auto"/>
              <w:left w:val="nil"/>
              <w:bottom w:val="single" w:sz="4" w:space="0" w:color="auto"/>
              <w:right w:val="nil"/>
            </w:tcBorders>
            <w:shd w:val="clear" w:color="auto" w:fill="E2EFD9" w:themeFill="accent6" w:themeFillTint="33"/>
            <w:noWrap/>
            <w:vAlign w:val="bottom"/>
            <w:hideMark/>
          </w:tcPr>
          <w:p w14:paraId="3A6B1A52" w14:textId="5092A205" w:rsidR="005901E9" w:rsidRPr="00921EEB" w:rsidRDefault="005901E9" w:rsidP="005901E9">
            <w:pPr>
              <w:jc w:val="right"/>
              <w:rPr>
                <w:b/>
                <w:bCs/>
                <w:sz w:val="17"/>
                <w:szCs w:val="17"/>
              </w:rPr>
            </w:pPr>
            <w:r w:rsidRPr="00921EEB">
              <w:rPr>
                <w:b/>
                <w:bCs/>
                <w:sz w:val="17"/>
                <w:szCs w:val="17"/>
              </w:rPr>
              <w:t>26</w:t>
            </w:r>
          </w:p>
        </w:tc>
        <w:tc>
          <w:tcPr>
            <w:tcW w:w="2001" w:type="dxa"/>
            <w:tcBorders>
              <w:top w:val="single" w:sz="4" w:space="0" w:color="auto"/>
              <w:left w:val="nil"/>
              <w:bottom w:val="single" w:sz="4" w:space="0" w:color="auto"/>
              <w:right w:val="nil"/>
            </w:tcBorders>
            <w:shd w:val="clear" w:color="auto" w:fill="E2EFD9" w:themeFill="accent6" w:themeFillTint="33"/>
            <w:noWrap/>
            <w:vAlign w:val="bottom"/>
            <w:hideMark/>
          </w:tcPr>
          <w:p w14:paraId="39DD9BA0" w14:textId="55D58DB8" w:rsidR="005901E9" w:rsidRPr="00921EEB" w:rsidRDefault="005901E9" w:rsidP="005901E9">
            <w:pPr>
              <w:jc w:val="right"/>
              <w:rPr>
                <w:b/>
                <w:bCs/>
                <w:sz w:val="17"/>
                <w:szCs w:val="17"/>
              </w:rPr>
            </w:pPr>
            <w:r w:rsidRPr="00921EEB">
              <w:rPr>
                <w:b/>
                <w:bCs/>
                <w:sz w:val="17"/>
                <w:szCs w:val="17"/>
              </w:rPr>
              <w:t>9</w:t>
            </w:r>
          </w:p>
        </w:tc>
      </w:tr>
      <w:tr w:rsidR="00B107E4" w:rsidRPr="00921EEB" w14:paraId="76F69659" w14:textId="77777777" w:rsidTr="00D75EDC">
        <w:trPr>
          <w:trHeight w:val="276"/>
        </w:trPr>
        <w:tc>
          <w:tcPr>
            <w:tcW w:w="1843" w:type="dxa"/>
            <w:tcBorders>
              <w:top w:val="nil"/>
              <w:left w:val="nil"/>
              <w:bottom w:val="single" w:sz="4" w:space="0" w:color="auto"/>
              <w:right w:val="nil"/>
            </w:tcBorders>
            <w:shd w:val="clear" w:color="auto" w:fill="E2EFD9" w:themeFill="accent6" w:themeFillTint="33"/>
            <w:noWrap/>
            <w:vAlign w:val="bottom"/>
            <w:hideMark/>
          </w:tcPr>
          <w:p w14:paraId="1A66FC8A" w14:textId="77777777" w:rsidR="005901E9" w:rsidRPr="00921EEB" w:rsidRDefault="005901E9" w:rsidP="00634172">
            <w:pPr>
              <w:rPr>
                <w:b/>
                <w:bCs/>
                <w:sz w:val="17"/>
                <w:szCs w:val="17"/>
              </w:rPr>
            </w:pPr>
            <w:r w:rsidRPr="00921EEB">
              <w:rPr>
                <w:b/>
                <w:bCs/>
                <w:sz w:val="17"/>
                <w:szCs w:val="17"/>
              </w:rPr>
              <w:t>Tanzania</w:t>
            </w:r>
          </w:p>
        </w:tc>
        <w:tc>
          <w:tcPr>
            <w:tcW w:w="1756" w:type="dxa"/>
            <w:tcBorders>
              <w:top w:val="nil"/>
              <w:left w:val="nil"/>
              <w:bottom w:val="single" w:sz="4" w:space="0" w:color="auto"/>
              <w:right w:val="nil"/>
            </w:tcBorders>
            <w:shd w:val="clear" w:color="auto" w:fill="E2EFD9" w:themeFill="accent6" w:themeFillTint="33"/>
            <w:noWrap/>
            <w:vAlign w:val="bottom"/>
            <w:hideMark/>
          </w:tcPr>
          <w:p w14:paraId="7BF2FFF6" w14:textId="3D5D514F" w:rsidR="005901E9" w:rsidRPr="00921EEB" w:rsidRDefault="005901E9" w:rsidP="005901E9">
            <w:pPr>
              <w:jc w:val="right"/>
              <w:rPr>
                <w:b/>
                <w:bCs/>
                <w:sz w:val="17"/>
                <w:szCs w:val="17"/>
              </w:rPr>
            </w:pPr>
            <w:r w:rsidRPr="00921EEB">
              <w:rPr>
                <w:b/>
                <w:bCs/>
                <w:sz w:val="17"/>
                <w:szCs w:val="17"/>
              </w:rPr>
              <w:t>667,437</w:t>
            </w:r>
          </w:p>
        </w:tc>
        <w:tc>
          <w:tcPr>
            <w:tcW w:w="1792" w:type="dxa"/>
            <w:tcBorders>
              <w:top w:val="nil"/>
              <w:left w:val="nil"/>
              <w:bottom w:val="single" w:sz="4" w:space="0" w:color="auto"/>
              <w:right w:val="nil"/>
            </w:tcBorders>
            <w:shd w:val="clear" w:color="auto" w:fill="E2EFD9" w:themeFill="accent6" w:themeFillTint="33"/>
            <w:noWrap/>
            <w:vAlign w:val="bottom"/>
            <w:hideMark/>
          </w:tcPr>
          <w:p w14:paraId="34528BA9" w14:textId="212DF315" w:rsidR="005901E9" w:rsidRPr="00921EEB" w:rsidRDefault="005901E9" w:rsidP="005901E9">
            <w:pPr>
              <w:jc w:val="right"/>
              <w:rPr>
                <w:b/>
                <w:bCs/>
                <w:sz w:val="17"/>
                <w:szCs w:val="17"/>
              </w:rPr>
            </w:pPr>
            <w:r w:rsidRPr="00921EEB">
              <w:rPr>
                <w:b/>
                <w:bCs/>
                <w:sz w:val="17"/>
                <w:szCs w:val="17"/>
              </w:rPr>
              <w:t>808,143</w:t>
            </w:r>
          </w:p>
        </w:tc>
        <w:tc>
          <w:tcPr>
            <w:tcW w:w="1539" w:type="dxa"/>
            <w:tcBorders>
              <w:top w:val="nil"/>
              <w:left w:val="nil"/>
              <w:bottom w:val="single" w:sz="4" w:space="0" w:color="auto"/>
              <w:right w:val="nil"/>
            </w:tcBorders>
            <w:shd w:val="clear" w:color="auto" w:fill="E2EFD9" w:themeFill="accent6" w:themeFillTint="33"/>
            <w:noWrap/>
            <w:vAlign w:val="bottom"/>
            <w:hideMark/>
          </w:tcPr>
          <w:p w14:paraId="5DC49FA5" w14:textId="102D415D" w:rsidR="005901E9" w:rsidRPr="00921EEB" w:rsidRDefault="005901E9" w:rsidP="005901E9">
            <w:pPr>
              <w:jc w:val="right"/>
              <w:rPr>
                <w:b/>
                <w:bCs/>
                <w:sz w:val="17"/>
                <w:szCs w:val="17"/>
              </w:rPr>
            </w:pPr>
            <w:r w:rsidRPr="00921EEB">
              <w:rPr>
                <w:b/>
                <w:bCs/>
                <w:sz w:val="17"/>
                <w:szCs w:val="17"/>
              </w:rPr>
              <w:t>560,728</w:t>
            </w:r>
          </w:p>
        </w:tc>
        <w:tc>
          <w:tcPr>
            <w:tcW w:w="2001" w:type="dxa"/>
            <w:tcBorders>
              <w:top w:val="nil"/>
              <w:left w:val="nil"/>
              <w:bottom w:val="single" w:sz="4" w:space="0" w:color="auto"/>
              <w:right w:val="nil"/>
            </w:tcBorders>
            <w:shd w:val="clear" w:color="auto" w:fill="E2EFD9" w:themeFill="accent6" w:themeFillTint="33"/>
            <w:noWrap/>
            <w:vAlign w:val="bottom"/>
            <w:hideMark/>
          </w:tcPr>
          <w:p w14:paraId="5B2D6132" w14:textId="04B18E0C" w:rsidR="005901E9" w:rsidRPr="00921EEB" w:rsidRDefault="005901E9" w:rsidP="005901E9">
            <w:pPr>
              <w:jc w:val="right"/>
              <w:rPr>
                <w:b/>
                <w:bCs/>
                <w:sz w:val="17"/>
                <w:szCs w:val="17"/>
              </w:rPr>
            </w:pPr>
            <w:r w:rsidRPr="00921EEB">
              <w:rPr>
                <w:b/>
                <w:bCs/>
                <w:sz w:val="17"/>
                <w:szCs w:val="17"/>
              </w:rPr>
              <w:t>390,413</w:t>
            </w:r>
          </w:p>
        </w:tc>
      </w:tr>
    </w:tbl>
    <w:p w14:paraId="3E0FA7B1" w14:textId="77777777" w:rsidR="00921EEB" w:rsidRDefault="00921EEB">
      <w:pPr>
        <w:spacing w:line="240" w:lineRule="auto"/>
        <w:contextualSpacing w:val="0"/>
        <w:jc w:val="left"/>
      </w:pPr>
      <w:r>
        <w:br w:type="page"/>
      </w:r>
    </w:p>
    <w:bookmarkStart w:id="248" w:name="_Toc82385681"/>
    <w:p w14:paraId="13955D84" w14:textId="5DDCFC95" w:rsidR="00E16412" w:rsidRPr="006B42D6" w:rsidRDefault="00925645" w:rsidP="005C2EFC">
      <w:pPr>
        <w:pStyle w:val="Heading4"/>
      </w:pPr>
      <w:r w:rsidRPr="006B42D6">
        <w:rPr>
          <w:noProof/>
        </w:rPr>
        <w:lastRenderedPageBreak/>
        <mc:AlternateContent>
          <mc:Choice Requires="wps">
            <w:drawing>
              <wp:anchor distT="0" distB="0" distL="114300" distR="114300" simplePos="0" relativeHeight="251627520" behindDoc="1" locked="0" layoutInCell="1" allowOverlap="1" wp14:anchorId="3D93D25F" wp14:editId="59A91D33">
                <wp:simplePos x="0" y="0"/>
                <wp:positionH relativeFrom="column">
                  <wp:posOffset>2981960</wp:posOffset>
                </wp:positionH>
                <wp:positionV relativeFrom="paragraph">
                  <wp:posOffset>146050</wp:posOffset>
                </wp:positionV>
                <wp:extent cx="3049270" cy="467995"/>
                <wp:effectExtent l="0" t="0" r="0" b="1905"/>
                <wp:wrapTight wrapText="bothSides">
                  <wp:wrapPolygon edited="0">
                    <wp:start x="0" y="0"/>
                    <wp:lineTo x="0" y="21102"/>
                    <wp:lineTo x="21501" y="21102"/>
                    <wp:lineTo x="21501" y="0"/>
                    <wp:lineTo x="0" y="0"/>
                  </wp:wrapPolygon>
                </wp:wrapTight>
                <wp:docPr id="510" name="Text Box 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49270" cy="467995"/>
                        </a:xfrm>
                        <a:prstGeom prst="rect">
                          <a:avLst/>
                        </a:prstGeom>
                        <a:solidFill>
                          <a:prstClr val="white"/>
                        </a:solidFill>
                        <a:ln>
                          <a:noFill/>
                        </a:ln>
                      </wps:spPr>
                      <wps:txbx>
                        <w:txbxContent>
                          <w:p w14:paraId="2C235659" w14:textId="0CF19DCA" w:rsidR="00933456" w:rsidRPr="00D35A2C" w:rsidRDefault="00933456" w:rsidP="00D35A2C">
                            <w:pPr>
                              <w:pStyle w:val="Caption"/>
                            </w:pPr>
                            <w:bookmarkStart w:id="249" w:name="_Toc80120226"/>
                            <w:bookmarkStart w:id="250" w:name="_Toc80884100"/>
                            <w:bookmarkStart w:id="251" w:name="_Toc80884471"/>
                            <w:bookmarkStart w:id="252" w:name="_Toc82386324"/>
                            <w:r w:rsidRPr="00D35A2C">
                              <w:t>Figure 3.</w:t>
                            </w:r>
                            <w:r>
                              <w:t>4</w:t>
                            </w:r>
                            <w:r w:rsidRPr="00D35A2C">
                              <w:t>7:</w:t>
                            </w:r>
                            <w:r>
                              <w:tab/>
                            </w:r>
                            <w:r w:rsidRPr="00D35A2C">
                              <w:t>Production of Coconut by Region</w:t>
                            </w:r>
                            <w:r>
                              <w:t xml:space="preserve"> During</w:t>
                            </w:r>
                            <w:r w:rsidRPr="00D35A2C">
                              <w:t xml:space="preserve"> 2019/20 Agricultural Year, </w:t>
                            </w:r>
                            <w:r>
                              <w:t>Mainland Tanzania</w:t>
                            </w:r>
                            <w:bookmarkEnd w:id="249"/>
                            <w:bookmarkEnd w:id="250"/>
                            <w:bookmarkEnd w:id="251"/>
                            <w:bookmarkEnd w:id="25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93D25F" id="Text Box 556" o:spid="_x0000_s1050" type="#_x0000_t202" style="position:absolute;left:0;text-align:left;margin-left:234.8pt;margin-top:11.5pt;width:240.1pt;height:36.8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" stroked="f">
                <v:textbox inset="0,0,0,0">
                  <w:txbxContent>
                    <w:p w14:paraId="2C235659" w14:textId="0CF19DCA" w:rsidR="00933456" w:rsidRPr="00D35A2C" w:rsidRDefault="00933456" w:rsidP="00D35A2C">
                      <w:pPr>
                        <w:pStyle w:val="Caption"/>
                      </w:pPr>
                      <w:bookmarkStart w:id="329" w:name="_Toc80120226"/>
                      <w:bookmarkStart w:id="330" w:name="_Toc80884100"/>
                      <w:bookmarkStart w:id="331" w:name="_Toc80884471"/>
                      <w:bookmarkStart w:id="332" w:name="_Toc82386324"/>
                      <w:r w:rsidRPr="00D35A2C">
                        <w:t>Figure 3.</w:t>
                      </w:r>
                      <w:r>
                        <w:t>4</w:t>
                      </w:r>
                      <w:r w:rsidRPr="00D35A2C">
                        <w:t>7:</w:t>
                      </w:r>
                      <w:r>
                        <w:tab/>
                      </w:r>
                      <w:r w:rsidRPr="00D35A2C">
                        <w:t>Production of Coconut by Region</w:t>
                      </w:r>
                      <w:r>
                        <w:t xml:space="preserve"> During</w:t>
                      </w:r>
                      <w:r w:rsidRPr="00D35A2C">
                        <w:t xml:space="preserve"> 2019/20 Agricultural Year, </w:t>
                      </w:r>
                      <w:r>
                        <w:t>Mainland Tanzania</w:t>
                      </w:r>
                      <w:bookmarkEnd w:id="329"/>
                      <w:bookmarkEnd w:id="330"/>
                      <w:bookmarkEnd w:id="331"/>
                      <w:bookmarkEnd w:id="332"/>
                    </w:p>
                  </w:txbxContent>
                </v:textbox>
                <w10:wrap type="tight"/>
              </v:shape>
            </w:pict>
          </mc:Fallback>
        </mc:AlternateContent>
      </w:r>
      <w:r w:rsidR="00E16412" w:rsidRPr="006B42D6">
        <w:t>3.1.</w:t>
      </w:r>
      <w:r w:rsidR="00193728">
        <w:t>6</w:t>
      </w:r>
      <w:r w:rsidR="00E16412" w:rsidRPr="006B42D6">
        <w:t>.6</w:t>
      </w:r>
      <w:r w:rsidR="000807B0" w:rsidRPr="006B42D6">
        <w:tab/>
      </w:r>
      <w:r w:rsidR="00E16412" w:rsidRPr="006B42D6">
        <w:t>Coconut</w:t>
      </w:r>
      <w:bookmarkEnd w:id="248"/>
    </w:p>
    <w:p w14:paraId="057C4E64" w14:textId="2F32D869" w:rsidR="00B90CD7" w:rsidRDefault="00925645" w:rsidP="005C2EFC">
      <w:r>
        <w:rPr>
          <w:noProof/>
        </w:rPr>
        <w:drawing>
          <wp:anchor distT="0" distB="0" distL="114300" distR="114300" simplePos="0" relativeHeight="251742208" behindDoc="0" locked="0" layoutInCell="1" allowOverlap="1" wp14:anchorId="77383C46" wp14:editId="47D2015F">
            <wp:simplePos x="0" y="0"/>
            <wp:positionH relativeFrom="column">
              <wp:posOffset>2981490</wp:posOffset>
            </wp:positionH>
            <wp:positionV relativeFrom="paragraph">
              <wp:posOffset>356511</wp:posOffset>
            </wp:positionV>
            <wp:extent cx="3049270" cy="2510155"/>
            <wp:effectExtent l="0" t="0" r="11430" b="17145"/>
            <wp:wrapTight wrapText="bothSides">
              <wp:wrapPolygon edited="0">
                <wp:start x="0" y="0"/>
                <wp:lineTo x="0" y="21638"/>
                <wp:lineTo x="21591" y="21638"/>
                <wp:lineTo x="21591" y="0"/>
                <wp:lineTo x="0" y="0"/>
              </wp:wrapPolygon>
            </wp:wrapTight>
            <wp:docPr id="15" name="Chart 15">
              <a:extLst xmlns:a="http://schemas.openxmlformats.org/drawingml/2006/main">
                <a:ext uri="{FF2B5EF4-FFF2-40B4-BE49-F238E27FC236}">
                  <a16:creationId xmlns:a16="http://schemas.microsoft.com/office/drawing/2014/main" id="{28FFDC65-8590-F64E-9A99-434BABB996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anchor>
        </w:drawing>
      </w:r>
      <w:r w:rsidR="00E16412" w:rsidRPr="006B42D6">
        <w:t xml:space="preserve">Coconut is one of the popular oily cash crops grown in </w:t>
      </w:r>
      <w:r w:rsidR="00EA1552">
        <w:t>Mainland Tanzania</w:t>
      </w:r>
      <w:r w:rsidR="00E16412" w:rsidRPr="006B42D6">
        <w:t xml:space="preserve"> and </w:t>
      </w:r>
      <w:r w:rsidR="008E7A27" w:rsidRPr="006B42D6">
        <w:t xml:space="preserve">Tanzania </w:t>
      </w:r>
      <w:r w:rsidR="00E16412" w:rsidRPr="006B42D6">
        <w:t>Zanzibar. There were 261,03</w:t>
      </w:r>
      <w:r w:rsidR="008E7A27" w:rsidRPr="006B42D6">
        <w:t>3</w:t>
      </w:r>
      <w:r w:rsidR="00E16412" w:rsidRPr="006B42D6">
        <w:t xml:space="preserve"> households (220,</w:t>
      </w:r>
      <w:r w:rsidR="00B93A9E" w:rsidRPr="006B42D6">
        <w:t>398</w:t>
      </w:r>
      <w:r w:rsidR="00E16412" w:rsidRPr="006B42D6">
        <w:t xml:space="preserve"> households in </w:t>
      </w:r>
      <w:r w:rsidR="00EA1552">
        <w:t>Mainland Tanzania</w:t>
      </w:r>
      <w:r w:rsidR="00E16412" w:rsidRPr="006B42D6">
        <w:t xml:space="preserve"> and 40,635 in </w:t>
      </w:r>
      <w:r w:rsidR="00C26421" w:rsidRPr="006B42D6">
        <w:t xml:space="preserve">Tanzania </w:t>
      </w:r>
      <w:r w:rsidR="00E16412" w:rsidRPr="006B42D6">
        <w:t>Zanzibar) engaged in production of coconut. The total area planted with coconut was 83,40</w:t>
      </w:r>
      <w:r w:rsidR="002D1051" w:rsidRPr="006B42D6">
        <w:t>9</w:t>
      </w:r>
      <w:r w:rsidR="00E16412" w:rsidRPr="006B42D6">
        <w:t xml:space="preserve"> ha</w:t>
      </w:r>
      <w:r w:rsidR="008E7A27" w:rsidRPr="006B42D6">
        <w:t>,</w:t>
      </w:r>
      <w:r w:rsidR="00E16412" w:rsidRPr="006B42D6">
        <w:t xml:space="preserve"> of which </w:t>
      </w:r>
      <w:r w:rsidR="00EA1552">
        <w:t>Mainland Tanzania</w:t>
      </w:r>
      <w:r w:rsidR="00E16412" w:rsidRPr="006B42D6">
        <w:t xml:space="preserve"> had 75,</w:t>
      </w:r>
      <w:r w:rsidR="002D1051" w:rsidRPr="006B42D6">
        <w:t>730</w:t>
      </w:r>
      <w:r w:rsidR="00E16412" w:rsidRPr="006B42D6">
        <w:t xml:space="preserve"> ha (72,6</w:t>
      </w:r>
      <w:r w:rsidR="002D1051" w:rsidRPr="006B42D6">
        <w:t>26</w:t>
      </w:r>
      <w:r w:rsidR="00E16412" w:rsidRPr="006B42D6">
        <w:t xml:space="preserve"> ha from smallholder farmers and 3,104 ha from large scale farms) and </w:t>
      </w:r>
      <w:r w:rsidR="00C26421" w:rsidRPr="006B42D6">
        <w:t xml:space="preserve">Tanzania </w:t>
      </w:r>
      <w:r w:rsidR="00E16412" w:rsidRPr="006B42D6">
        <w:t>Zanzibar had 7,679 ha (7,607 ha from smallholder farmers and 72 ha from large scale farms).</w:t>
      </w:r>
    </w:p>
    <w:p w14:paraId="4CA50597" w14:textId="3236D2B0" w:rsidR="00921EEB" w:rsidRPr="006B42D6" w:rsidRDefault="00921EEB" w:rsidP="005C2EFC">
      <w:r w:rsidRPr="006B42D6">
        <w:rPr>
          <w:noProof/>
        </w:rPr>
        <mc:AlternateContent>
          <mc:Choice Requires="wps">
            <w:drawing>
              <wp:anchor distT="0" distB="0" distL="114300" distR="114300" simplePos="0" relativeHeight="251628544" behindDoc="1" locked="0" layoutInCell="1" allowOverlap="1" wp14:anchorId="2CE21A90" wp14:editId="5E8B7D2A">
                <wp:simplePos x="0" y="0"/>
                <wp:positionH relativeFrom="column">
                  <wp:posOffset>2900045</wp:posOffset>
                </wp:positionH>
                <wp:positionV relativeFrom="paragraph">
                  <wp:posOffset>308610</wp:posOffset>
                </wp:positionV>
                <wp:extent cx="3032125" cy="460375"/>
                <wp:effectExtent l="0" t="0" r="3175" b="0"/>
                <wp:wrapTight wrapText="bothSides">
                  <wp:wrapPolygon edited="0">
                    <wp:start x="0" y="0"/>
                    <wp:lineTo x="0" y="20855"/>
                    <wp:lineTo x="21532" y="20855"/>
                    <wp:lineTo x="21532" y="0"/>
                    <wp:lineTo x="0" y="0"/>
                  </wp:wrapPolygon>
                </wp:wrapTight>
                <wp:docPr id="511" name="Text Box 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32125" cy="460375"/>
                        </a:xfrm>
                        <a:prstGeom prst="rect">
                          <a:avLst/>
                        </a:prstGeom>
                        <a:solidFill>
                          <a:prstClr val="white"/>
                        </a:solidFill>
                        <a:ln>
                          <a:noFill/>
                        </a:ln>
                      </wps:spPr>
                      <wps:txbx>
                        <w:txbxContent>
                          <w:p w14:paraId="39B8C051" w14:textId="08B880C7" w:rsidR="00933456" w:rsidRPr="00D35A2C" w:rsidRDefault="00933456" w:rsidP="00D35A2C">
                            <w:pPr>
                              <w:pStyle w:val="Caption"/>
                            </w:pPr>
                            <w:bookmarkStart w:id="253" w:name="_Toc80120225"/>
                            <w:bookmarkStart w:id="254" w:name="_Toc80884101"/>
                            <w:bookmarkStart w:id="255" w:name="_Toc80884472"/>
                            <w:bookmarkStart w:id="256" w:name="_Toc82386325"/>
                            <w:r w:rsidRPr="00D35A2C">
                              <w:t>Figure 3.</w:t>
                            </w:r>
                            <w:r>
                              <w:t>4</w:t>
                            </w:r>
                            <w:r w:rsidRPr="00D35A2C">
                              <w:t>8:</w:t>
                            </w:r>
                            <w:r>
                              <w:tab/>
                            </w:r>
                            <w:r w:rsidRPr="00D35A2C">
                              <w:t>Production of Coconut by Region</w:t>
                            </w:r>
                            <w:r>
                              <w:t xml:space="preserve"> During</w:t>
                            </w:r>
                            <w:r w:rsidRPr="00D35A2C">
                              <w:t xml:space="preserve"> 2019/20 Agricultural Year, Tanzania Zanzibar</w:t>
                            </w:r>
                            <w:bookmarkEnd w:id="253"/>
                            <w:bookmarkEnd w:id="254"/>
                            <w:bookmarkEnd w:id="255"/>
                            <w:bookmarkEnd w:id="25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E21A90" id="Text Box 557" o:spid="_x0000_s1051" type="#_x0000_t202" style="position:absolute;left:0;text-align:left;margin-left:228.35pt;margin-top:24.3pt;width:238.75pt;height:36.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" stroked="f">
                <v:textbox inset="0,0,0,0">
                  <w:txbxContent>
                    <w:p w14:paraId="39B8C051" w14:textId="08B880C7" w:rsidR="00933456" w:rsidRPr="00D35A2C" w:rsidRDefault="00933456" w:rsidP="00D35A2C">
                      <w:pPr>
                        <w:pStyle w:val="Caption"/>
                      </w:pPr>
                      <w:bookmarkStart w:id="337" w:name="_Toc80120225"/>
                      <w:bookmarkStart w:id="338" w:name="_Toc80884101"/>
                      <w:bookmarkStart w:id="339" w:name="_Toc80884472"/>
                      <w:bookmarkStart w:id="340" w:name="_Toc82386325"/>
                      <w:r w:rsidRPr="00D35A2C">
                        <w:t>Figure 3.</w:t>
                      </w:r>
                      <w:r>
                        <w:t>4</w:t>
                      </w:r>
                      <w:r w:rsidRPr="00D35A2C">
                        <w:t>8:</w:t>
                      </w:r>
                      <w:r>
                        <w:tab/>
                      </w:r>
                      <w:r w:rsidRPr="00D35A2C">
                        <w:t>Production of Coconut by Region</w:t>
                      </w:r>
                      <w:r>
                        <w:t xml:space="preserve"> During</w:t>
                      </w:r>
                      <w:r w:rsidRPr="00D35A2C">
                        <w:t xml:space="preserve"> 2019/20 Agricultural Year, Tanzania Zanzibar</w:t>
                      </w:r>
                      <w:bookmarkEnd w:id="337"/>
                      <w:bookmarkEnd w:id="338"/>
                      <w:bookmarkEnd w:id="339"/>
                      <w:bookmarkEnd w:id="340"/>
                    </w:p>
                  </w:txbxContent>
                </v:textbox>
                <w10:wrap type="tight"/>
              </v:shape>
            </w:pict>
          </mc:Fallback>
        </mc:AlternateContent>
      </w:r>
    </w:p>
    <w:p w14:paraId="68ECA3A8" w14:textId="52917B5F" w:rsidR="00E16412" w:rsidRPr="006B42D6" w:rsidRDefault="008B0802" w:rsidP="005C2EFC">
      <w:r>
        <w:rPr>
          <w:noProof/>
        </w:rPr>
        <w:drawing>
          <wp:anchor distT="0" distB="0" distL="114300" distR="114300" simplePos="0" relativeHeight="251743232" behindDoc="0" locked="0" layoutInCell="1" allowOverlap="1" wp14:anchorId="6572FCE3" wp14:editId="284DA46D">
            <wp:simplePos x="0" y="0"/>
            <wp:positionH relativeFrom="column">
              <wp:posOffset>2854325</wp:posOffset>
            </wp:positionH>
            <wp:positionV relativeFrom="paragraph">
              <wp:posOffset>583876</wp:posOffset>
            </wp:positionV>
            <wp:extent cx="3072130" cy="2510155"/>
            <wp:effectExtent l="0" t="0" r="13970" b="17145"/>
            <wp:wrapTight wrapText="bothSides">
              <wp:wrapPolygon edited="0">
                <wp:start x="0" y="0"/>
                <wp:lineTo x="0" y="21638"/>
                <wp:lineTo x="21609" y="21638"/>
                <wp:lineTo x="21609" y="0"/>
                <wp:lineTo x="0" y="0"/>
              </wp:wrapPolygon>
            </wp:wrapTight>
            <wp:docPr id="509"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anchor>
        </w:drawing>
      </w:r>
      <w:r w:rsidR="00E16412" w:rsidRPr="006B42D6">
        <w:t xml:space="preserve">A total production of </w:t>
      </w:r>
      <w:r w:rsidR="002D1051" w:rsidRPr="006B42D6">
        <w:t>91,339</w:t>
      </w:r>
      <w:r w:rsidR="00E16412" w:rsidRPr="006B42D6">
        <w:t xml:space="preserve"> tons </w:t>
      </w:r>
      <w:r w:rsidR="00B90CD7" w:rsidRPr="006B42D6">
        <w:t>was</w:t>
      </w:r>
      <w:r w:rsidR="00E16412" w:rsidRPr="006B42D6">
        <w:t xml:space="preserve"> harvested </w:t>
      </w:r>
      <w:r w:rsidR="00B90CD7" w:rsidRPr="006B42D6">
        <w:t xml:space="preserve">out </w:t>
      </w:r>
      <w:r w:rsidR="00E16412" w:rsidRPr="006B42D6">
        <w:t>of which</w:t>
      </w:r>
      <w:r w:rsidR="00C26421" w:rsidRPr="006B42D6">
        <w:t xml:space="preserve">, </w:t>
      </w:r>
      <w:r w:rsidR="00EA1552">
        <w:t>Mainland Tanzania</w:t>
      </w:r>
      <w:r w:rsidR="00E16412" w:rsidRPr="006B42D6">
        <w:t xml:space="preserve"> had </w:t>
      </w:r>
      <w:r w:rsidR="002D1051" w:rsidRPr="006B42D6">
        <w:t>78,063</w:t>
      </w:r>
      <w:r w:rsidR="00E16412" w:rsidRPr="006B42D6">
        <w:t xml:space="preserve"> tons (</w:t>
      </w:r>
      <w:r w:rsidR="002D1051" w:rsidRPr="006B42D6">
        <w:t>77,926</w:t>
      </w:r>
      <w:r w:rsidR="00E16412" w:rsidRPr="006B42D6">
        <w:t xml:space="preserve"> tons from smallholder farmers; 137 tons from large scale farms) and </w:t>
      </w:r>
      <w:r w:rsidR="00C26421" w:rsidRPr="006B42D6">
        <w:t xml:space="preserve">Tanzania </w:t>
      </w:r>
      <w:r w:rsidR="00E16412" w:rsidRPr="006B42D6">
        <w:t xml:space="preserve">Zanzibar had </w:t>
      </w:r>
      <w:r w:rsidR="002D1051" w:rsidRPr="006B42D6">
        <w:t>13,276</w:t>
      </w:r>
      <w:r w:rsidR="00E16412" w:rsidRPr="006B42D6">
        <w:t xml:space="preserve"> tons (</w:t>
      </w:r>
      <w:r w:rsidR="002D1051" w:rsidRPr="006B42D6">
        <w:t>13,233</w:t>
      </w:r>
      <w:r w:rsidR="00E16412" w:rsidRPr="006B42D6">
        <w:t xml:space="preserve"> tons from smallholder farmers; 43 tons from large scale farms). However, from smallholder farmers a total of 49,221 ha </w:t>
      </w:r>
      <w:r w:rsidR="00B90CD7" w:rsidRPr="006B42D6">
        <w:t>was</w:t>
      </w:r>
      <w:r w:rsidR="00E16412" w:rsidRPr="006B42D6">
        <w:t xml:space="preserve"> harvested which accounted for 61.3 percent of the planted area. </w:t>
      </w:r>
    </w:p>
    <w:p w14:paraId="5838D09D" w14:textId="08610C1B" w:rsidR="00C26421" w:rsidRPr="006B42D6" w:rsidRDefault="00C26421" w:rsidP="008B0802">
      <w:pPr>
        <w:spacing w:line="240" w:lineRule="auto"/>
      </w:pPr>
    </w:p>
    <w:p w14:paraId="7FDC3C97" w14:textId="1B738F94" w:rsidR="0083291D" w:rsidRPr="00DD78AA" w:rsidRDefault="00E16412" w:rsidP="0083291D">
      <w:r w:rsidRPr="006B42D6">
        <w:t>The Census results further show that,</w:t>
      </w:r>
      <w:r w:rsidR="00627ECB" w:rsidRPr="006B42D6">
        <w:t xml:space="preserve"> from smallholder farmers,</w:t>
      </w:r>
      <w:r w:rsidRPr="006B42D6">
        <w:t xml:space="preserve"> Tanga region had the largest area planted with coconut (21,085 ha; 2</w:t>
      </w:r>
      <w:r w:rsidR="002D1051" w:rsidRPr="006B42D6">
        <w:t>9</w:t>
      </w:r>
      <w:r w:rsidRPr="006B42D6">
        <w:t>.</w:t>
      </w:r>
      <w:r w:rsidR="002D1051" w:rsidRPr="006B42D6">
        <w:t>0</w:t>
      </w:r>
      <w:r w:rsidRPr="006B42D6">
        <w:t xml:space="preserve"> percent) with a production of </w:t>
      </w:r>
      <w:r w:rsidR="002D1051" w:rsidRPr="006B42D6">
        <w:t>24,528</w:t>
      </w:r>
      <w:r w:rsidRPr="006B42D6">
        <w:t xml:space="preserve"> tons (</w:t>
      </w:r>
      <w:r w:rsidR="00627ECB" w:rsidRPr="006B42D6">
        <w:t>31.5</w:t>
      </w:r>
      <w:r w:rsidRPr="006B42D6">
        <w:t xml:space="preserve"> percent</w:t>
      </w:r>
      <w:r w:rsidR="00627ECB" w:rsidRPr="006B42D6">
        <w:t xml:space="preserve">) </w:t>
      </w:r>
      <w:r w:rsidRPr="006B42D6">
        <w:t xml:space="preserve">from 15,329 ha harvested, followed by Pwani with planted area of 18,885 ha (23.5 percent) and produced </w:t>
      </w:r>
      <w:r w:rsidR="00627ECB" w:rsidRPr="006B42D6">
        <w:t>25,357</w:t>
      </w:r>
      <w:r w:rsidRPr="006B42D6">
        <w:t xml:space="preserve"> tons (</w:t>
      </w:r>
      <w:r w:rsidR="00627ECB" w:rsidRPr="006B42D6">
        <w:t>3</w:t>
      </w:r>
      <w:r w:rsidRPr="006B42D6">
        <w:t>2.</w:t>
      </w:r>
      <w:r w:rsidR="00627ECB" w:rsidRPr="006B42D6">
        <w:t>5</w:t>
      </w:r>
      <w:r w:rsidRPr="006B42D6">
        <w:t xml:space="preserve"> percent), and Lindi region with planted area of 15,150 ha (18.9 percent) and production of 10,</w:t>
      </w:r>
      <w:r w:rsidR="00627ECB" w:rsidRPr="006B42D6">
        <w:t>223</w:t>
      </w:r>
      <w:r w:rsidRPr="006B42D6">
        <w:t xml:space="preserve"> tons (1</w:t>
      </w:r>
      <w:r w:rsidR="00627ECB" w:rsidRPr="006B42D6">
        <w:t>3</w:t>
      </w:r>
      <w:r w:rsidRPr="006B42D6">
        <w:t>.</w:t>
      </w:r>
      <w:r w:rsidR="00627ECB" w:rsidRPr="006B42D6">
        <w:t>1</w:t>
      </w:r>
      <w:r w:rsidRPr="006B42D6">
        <w:t xml:space="preserve"> percent). </w:t>
      </w:r>
      <w:r w:rsidR="00627ECB" w:rsidRPr="006B42D6">
        <w:t>I</w:t>
      </w:r>
      <w:r w:rsidRPr="006B42D6">
        <w:t xml:space="preserve">n </w:t>
      </w:r>
      <w:r w:rsidR="00C26421" w:rsidRPr="006B42D6">
        <w:t xml:space="preserve">Tanzania </w:t>
      </w:r>
      <w:r w:rsidRPr="006B42D6">
        <w:t xml:space="preserve">Zanzibar, </w:t>
      </w:r>
      <w:r w:rsidR="00627ECB" w:rsidRPr="006B42D6">
        <w:t xml:space="preserve">Mjini Magharibi region had the largest coconut planted area (2,385 ha; 31.4 percent) with a production of 5,368 tons (40.6 percent) from 2,209 ha harvested. Focusing on production, it </w:t>
      </w:r>
      <w:r w:rsidR="00627ECB" w:rsidRPr="006B42D6">
        <w:lastRenderedPageBreak/>
        <w:t xml:space="preserve">was followed by Kusini Unguja with a planted area of 1,236 ha (16.3 percent) and produced 3,040 tons (23.0 percent) from </w:t>
      </w:r>
      <w:r w:rsidR="00E42A19" w:rsidRPr="006B42D6">
        <w:t>714</w:t>
      </w:r>
      <w:r w:rsidR="00627ECB" w:rsidRPr="006B42D6">
        <w:t xml:space="preserve"> ha harvested</w:t>
      </w:r>
      <w:r w:rsidR="00E42A19" w:rsidRPr="006B42D6">
        <w:t xml:space="preserve"> </w:t>
      </w:r>
      <w:r w:rsidR="00A70AD6" w:rsidRPr="006B42D6">
        <w:t>(Figure 3.</w:t>
      </w:r>
      <w:r w:rsidR="00CA6D23" w:rsidRPr="006B42D6">
        <w:t>4</w:t>
      </w:r>
      <w:r w:rsidR="00A70AD6" w:rsidRPr="006B42D6">
        <w:t>7 &amp; 3.</w:t>
      </w:r>
      <w:r w:rsidR="00CA6D23" w:rsidRPr="006B42D6">
        <w:t>4</w:t>
      </w:r>
      <w:r w:rsidR="00A70AD6" w:rsidRPr="006B42D6">
        <w:t>8)</w:t>
      </w:r>
      <w:r w:rsidRPr="006B42D6">
        <w:t xml:space="preserve">. </w:t>
      </w:r>
    </w:p>
    <w:p w14:paraId="01F8205F" w14:textId="77777777" w:rsidR="0083291D" w:rsidRPr="0083291D" w:rsidRDefault="0083291D" w:rsidP="000E00D3">
      <w:pPr>
        <w:spacing w:line="240" w:lineRule="auto"/>
      </w:pPr>
    </w:p>
    <w:p w14:paraId="083E4BD3" w14:textId="147A70C5" w:rsidR="00E16412" w:rsidRPr="006B42D6" w:rsidRDefault="00E16412" w:rsidP="005C2EFC">
      <w:pPr>
        <w:pStyle w:val="Heading4"/>
      </w:pPr>
      <w:bookmarkStart w:id="257" w:name="_Toc82385682"/>
      <w:r w:rsidRPr="006B42D6">
        <w:t>3.1.</w:t>
      </w:r>
      <w:r w:rsidR="00193728">
        <w:t>6</w:t>
      </w:r>
      <w:r w:rsidRPr="006B42D6">
        <w:t>.7</w:t>
      </w:r>
      <w:r w:rsidR="000807B0" w:rsidRPr="006B42D6">
        <w:tab/>
      </w:r>
      <w:r w:rsidRPr="006B42D6">
        <w:t>Sisal</w:t>
      </w:r>
      <w:bookmarkEnd w:id="257"/>
    </w:p>
    <w:p w14:paraId="5ED533D6" w14:textId="7508F0D3" w:rsidR="00517589" w:rsidRDefault="00E16412" w:rsidP="00DD78AA">
      <w:r w:rsidRPr="006B42D6">
        <w:t xml:space="preserve">Sisal was grown in only six regions of </w:t>
      </w:r>
      <w:r w:rsidR="00EA1552">
        <w:t>Mainland Tanzania</w:t>
      </w:r>
      <w:r w:rsidRPr="006B42D6">
        <w:t xml:space="preserve"> and none was grown in </w:t>
      </w:r>
      <w:r w:rsidR="008E7A27" w:rsidRPr="006B42D6">
        <w:t xml:space="preserve">Tanzania </w:t>
      </w:r>
      <w:r w:rsidRPr="006B42D6">
        <w:t>Zanzibar. A total of 10,30</w:t>
      </w:r>
      <w:r w:rsidR="00E15AFE" w:rsidRPr="006B42D6">
        <w:t>2</w:t>
      </w:r>
      <w:r w:rsidRPr="006B42D6">
        <w:t xml:space="preserve"> households were engaged in growing sisal</w:t>
      </w:r>
      <w:r w:rsidR="00463123" w:rsidRPr="006B42D6">
        <w:t>.</w:t>
      </w:r>
      <w:r w:rsidRPr="006B42D6">
        <w:t xml:space="preserve"> </w:t>
      </w:r>
      <w:r w:rsidR="00463123" w:rsidRPr="006B42D6">
        <w:t>The</w:t>
      </w:r>
      <w:r w:rsidRPr="006B42D6">
        <w:t xml:space="preserve"> total area of </w:t>
      </w:r>
      <w:r w:rsidR="00463123" w:rsidRPr="006B42D6">
        <w:t xml:space="preserve">72,176 ha was planted with sisal, out of which 8,958 ha were from smallholder farmers and 63,218 ha from large scale farms. </w:t>
      </w:r>
      <w:r w:rsidRPr="006B42D6">
        <w:t xml:space="preserve">A total </w:t>
      </w:r>
      <w:r w:rsidR="00463123" w:rsidRPr="006B42D6">
        <w:t xml:space="preserve">area </w:t>
      </w:r>
      <w:r w:rsidRPr="006B42D6">
        <w:t xml:space="preserve">of </w:t>
      </w:r>
      <w:r w:rsidR="00463123" w:rsidRPr="006B42D6">
        <w:t>44,517</w:t>
      </w:r>
      <w:r w:rsidRPr="006B42D6">
        <w:t xml:space="preserve"> ha </w:t>
      </w:r>
      <w:r w:rsidR="00463123" w:rsidRPr="006B42D6">
        <w:t>was harvested, out of which 6,561 ha from smallholder farmers and 37,956 ha from large scale farms</w:t>
      </w:r>
      <w:r w:rsidR="00B131FA" w:rsidRPr="006B42D6">
        <w:t xml:space="preserve">, resulted to </w:t>
      </w:r>
      <w:r w:rsidRPr="006B42D6">
        <w:t>a</w:t>
      </w:r>
      <w:r w:rsidR="00B131FA" w:rsidRPr="006B42D6">
        <w:t xml:space="preserve"> total</w:t>
      </w:r>
      <w:r w:rsidRPr="006B42D6">
        <w:t xml:space="preserve"> production of </w:t>
      </w:r>
      <w:r w:rsidR="00B131FA" w:rsidRPr="006B42D6">
        <w:t>613,457</w:t>
      </w:r>
      <w:r w:rsidRPr="006B42D6">
        <w:t xml:space="preserve"> tons </w:t>
      </w:r>
      <w:r w:rsidR="00B131FA" w:rsidRPr="006B42D6">
        <w:t xml:space="preserve">(33,223 tons </w:t>
      </w:r>
      <w:r w:rsidRPr="006B42D6">
        <w:t xml:space="preserve">smallholder farmers and </w:t>
      </w:r>
      <w:r w:rsidR="00B131FA" w:rsidRPr="006B42D6">
        <w:t xml:space="preserve">580,234 tons </w:t>
      </w:r>
      <w:r w:rsidRPr="006B42D6">
        <w:t>from large scale farms</w:t>
      </w:r>
      <w:r w:rsidR="00B131FA" w:rsidRPr="006B42D6">
        <w:t>).</w:t>
      </w:r>
      <w:r w:rsidRPr="006B42D6">
        <w:t xml:space="preserve"> Further results show that, </w:t>
      </w:r>
      <w:r w:rsidR="00B131FA" w:rsidRPr="006B42D6">
        <w:t xml:space="preserve">from smallholder farmers, </w:t>
      </w:r>
      <w:r w:rsidRPr="006B42D6">
        <w:t xml:space="preserve">Tanga </w:t>
      </w:r>
      <w:r w:rsidR="00B131FA" w:rsidRPr="006B42D6">
        <w:t>r</w:t>
      </w:r>
      <w:r w:rsidRPr="006B42D6">
        <w:t xml:space="preserve">egion </w:t>
      </w:r>
      <w:r w:rsidR="00B131FA" w:rsidRPr="006B42D6">
        <w:t xml:space="preserve">had the highest production of sisal </w:t>
      </w:r>
      <w:r w:rsidRPr="006B42D6">
        <w:t>(</w:t>
      </w:r>
      <w:r w:rsidR="00B131FA" w:rsidRPr="006B42D6">
        <w:t>33,165</w:t>
      </w:r>
      <w:r w:rsidRPr="006B42D6">
        <w:t xml:space="preserve"> tons; 99.8 percent)</w:t>
      </w:r>
      <w:r w:rsidR="00B131FA" w:rsidRPr="006B42D6">
        <w:t xml:space="preserve"> </w:t>
      </w:r>
      <w:r w:rsidRPr="006B42D6">
        <w:t>(Table 3.1</w:t>
      </w:r>
      <w:r w:rsidR="00CD75FC">
        <w:t>5</w:t>
      </w:r>
      <w:r w:rsidRPr="006B42D6">
        <w:t>).</w:t>
      </w:r>
    </w:p>
    <w:p w14:paraId="1D612F8E" w14:textId="77777777" w:rsidR="00921EEB" w:rsidRDefault="00921EEB" w:rsidP="00921EEB"/>
    <w:p w14:paraId="7EEF00F0" w14:textId="6202B832" w:rsidR="00E16412" w:rsidRPr="006B42D6" w:rsidRDefault="00E16412" w:rsidP="0056599D">
      <w:pPr>
        <w:pStyle w:val="Heading7"/>
        <w:ind w:right="397"/>
        <w:rPr>
          <w:i/>
        </w:rPr>
      </w:pPr>
      <w:bookmarkStart w:id="258" w:name="_Toc82386197"/>
      <w:r w:rsidRPr="006B42D6">
        <w:t>Table 3.1</w:t>
      </w:r>
      <w:r w:rsidR="00CD75FC">
        <w:t>5</w:t>
      </w:r>
      <w:r w:rsidR="009C0DC0">
        <w:t>:</w:t>
      </w:r>
      <w:r w:rsidR="009C0DC0">
        <w:tab/>
      </w:r>
      <w:r w:rsidRPr="006B42D6">
        <w:t xml:space="preserve">Number of Households, Area Planted </w:t>
      </w:r>
      <w:r w:rsidR="008E7A27" w:rsidRPr="006B42D6">
        <w:t>and</w:t>
      </w:r>
      <w:r w:rsidRPr="006B42D6">
        <w:t xml:space="preserve"> Harvested </w:t>
      </w:r>
      <w:r w:rsidR="008E7A27" w:rsidRPr="006B42D6">
        <w:t xml:space="preserve">and </w:t>
      </w:r>
      <w:r w:rsidRPr="006B42D6">
        <w:t xml:space="preserve">Production of Sisal by Region, 2019/20 </w:t>
      </w:r>
      <w:r w:rsidR="008E7A27" w:rsidRPr="006B42D6">
        <w:t>Agricultural Year</w:t>
      </w:r>
      <w:r w:rsidR="00B131FA" w:rsidRPr="006B42D6">
        <w:t>, Tanzania</w:t>
      </w:r>
      <w:bookmarkEnd w:id="258"/>
    </w:p>
    <w:tbl>
      <w:tblPr>
        <w:tblW w:w="8895" w:type="dxa"/>
        <w:tblLayout w:type="fixed"/>
        <w:tblLook w:val="04A0" w:firstRow="1" w:lastRow="0" w:firstColumn="1" w:lastColumn="0" w:noHBand="0" w:noVBand="1"/>
      </w:tblPr>
      <w:tblGrid>
        <w:gridCol w:w="1985"/>
        <w:gridCol w:w="1510"/>
        <w:gridCol w:w="1520"/>
        <w:gridCol w:w="1700"/>
        <w:gridCol w:w="2180"/>
      </w:tblGrid>
      <w:tr w:rsidR="006B42D6" w:rsidRPr="006B42D6" w14:paraId="275D2BAD" w14:textId="77777777" w:rsidTr="009F18D5">
        <w:trPr>
          <w:trHeight w:val="345"/>
        </w:trPr>
        <w:tc>
          <w:tcPr>
            <w:tcW w:w="1985" w:type="dxa"/>
            <w:vMerge w:val="restart"/>
            <w:tcBorders>
              <w:top w:val="single" w:sz="4" w:space="0" w:color="auto"/>
              <w:left w:val="nil"/>
              <w:bottom w:val="single" w:sz="4" w:space="0" w:color="000000"/>
              <w:right w:val="nil"/>
            </w:tcBorders>
            <w:shd w:val="clear" w:color="auto" w:fill="E2EFD9" w:themeFill="accent6" w:themeFillTint="33"/>
            <w:noWrap/>
            <w:vAlign w:val="center"/>
            <w:hideMark/>
          </w:tcPr>
          <w:p w14:paraId="0932A296" w14:textId="77777777" w:rsidR="005901E9" w:rsidRPr="006B42D6" w:rsidRDefault="005901E9" w:rsidP="00634172">
            <w:pPr>
              <w:rPr>
                <w:sz w:val="20"/>
                <w:szCs w:val="20"/>
              </w:rPr>
            </w:pPr>
            <w:r w:rsidRPr="006B42D6">
              <w:rPr>
                <w:sz w:val="20"/>
                <w:szCs w:val="20"/>
              </w:rPr>
              <w:t>Region</w:t>
            </w:r>
          </w:p>
        </w:tc>
        <w:tc>
          <w:tcPr>
            <w:tcW w:w="1510" w:type="dxa"/>
            <w:vMerge w:val="restart"/>
            <w:tcBorders>
              <w:top w:val="single" w:sz="4" w:space="0" w:color="auto"/>
              <w:left w:val="nil"/>
              <w:bottom w:val="single" w:sz="4" w:space="0" w:color="000000"/>
              <w:right w:val="nil"/>
            </w:tcBorders>
            <w:shd w:val="clear" w:color="auto" w:fill="E2EFD9" w:themeFill="accent6" w:themeFillTint="33"/>
            <w:vAlign w:val="center"/>
            <w:hideMark/>
          </w:tcPr>
          <w:p w14:paraId="76941AC6" w14:textId="77777777" w:rsidR="005901E9" w:rsidRPr="006B42D6" w:rsidRDefault="005901E9" w:rsidP="00634172">
            <w:pPr>
              <w:jc w:val="right"/>
              <w:rPr>
                <w:sz w:val="20"/>
                <w:szCs w:val="20"/>
              </w:rPr>
            </w:pPr>
            <w:r w:rsidRPr="006B42D6">
              <w:rPr>
                <w:sz w:val="20"/>
                <w:szCs w:val="20"/>
              </w:rPr>
              <w:t>Number of households</w:t>
            </w:r>
          </w:p>
        </w:tc>
        <w:tc>
          <w:tcPr>
            <w:tcW w:w="1520" w:type="dxa"/>
            <w:vMerge w:val="restart"/>
            <w:tcBorders>
              <w:top w:val="single" w:sz="4" w:space="0" w:color="auto"/>
              <w:left w:val="nil"/>
              <w:bottom w:val="single" w:sz="4" w:space="0" w:color="000000"/>
              <w:right w:val="nil"/>
            </w:tcBorders>
            <w:shd w:val="clear" w:color="auto" w:fill="E2EFD9" w:themeFill="accent6" w:themeFillTint="33"/>
            <w:vAlign w:val="center"/>
            <w:hideMark/>
          </w:tcPr>
          <w:p w14:paraId="2AD4064E" w14:textId="77777777" w:rsidR="005901E9" w:rsidRPr="006B42D6" w:rsidRDefault="005901E9" w:rsidP="00634172">
            <w:pPr>
              <w:jc w:val="right"/>
              <w:rPr>
                <w:sz w:val="20"/>
                <w:szCs w:val="20"/>
              </w:rPr>
            </w:pPr>
            <w:r w:rsidRPr="006B42D6">
              <w:rPr>
                <w:sz w:val="20"/>
                <w:szCs w:val="20"/>
              </w:rPr>
              <w:t>Area Planted (ha)</w:t>
            </w:r>
          </w:p>
        </w:tc>
        <w:tc>
          <w:tcPr>
            <w:tcW w:w="1700" w:type="dxa"/>
            <w:vMerge w:val="restart"/>
            <w:tcBorders>
              <w:top w:val="single" w:sz="4" w:space="0" w:color="auto"/>
              <w:left w:val="nil"/>
              <w:bottom w:val="single" w:sz="4" w:space="0" w:color="000000"/>
              <w:right w:val="nil"/>
            </w:tcBorders>
            <w:shd w:val="clear" w:color="auto" w:fill="E2EFD9" w:themeFill="accent6" w:themeFillTint="33"/>
            <w:vAlign w:val="center"/>
            <w:hideMark/>
          </w:tcPr>
          <w:p w14:paraId="2302B93A" w14:textId="77777777" w:rsidR="005901E9" w:rsidRPr="006B42D6" w:rsidRDefault="005901E9" w:rsidP="00634172">
            <w:pPr>
              <w:jc w:val="right"/>
              <w:rPr>
                <w:sz w:val="20"/>
                <w:szCs w:val="20"/>
              </w:rPr>
            </w:pPr>
            <w:r w:rsidRPr="006B42D6">
              <w:rPr>
                <w:sz w:val="20"/>
                <w:szCs w:val="20"/>
              </w:rPr>
              <w:t>Area harvested (ha)</w:t>
            </w:r>
          </w:p>
        </w:tc>
        <w:tc>
          <w:tcPr>
            <w:tcW w:w="2180" w:type="dxa"/>
            <w:vMerge w:val="restart"/>
            <w:tcBorders>
              <w:top w:val="single" w:sz="4" w:space="0" w:color="auto"/>
              <w:left w:val="nil"/>
              <w:bottom w:val="single" w:sz="4" w:space="0" w:color="000000"/>
              <w:right w:val="nil"/>
            </w:tcBorders>
            <w:shd w:val="clear" w:color="auto" w:fill="E2EFD9" w:themeFill="accent6" w:themeFillTint="33"/>
            <w:vAlign w:val="center"/>
            <w:hideMark/>
          </w:tcPr>
          <w:p w14:paraId="3A88A636" w14:textId="77777777" w:rsidR="005901E9" w:rsidRPr="006B42D6" w:rsidRDefault="005901E9" w:rsidP="00634172">
            <w:pPr>
              <w:jc w:val="right"/>
              <w:rPr>
                <w:sz w:val="20"/>
                <w:szCs w:val="20"/>
              </w:rPr>
            </w:pPr>
            <w:r w:rsidRPr="006B42D6">
              <w:rPr>
                <w:sz w:val="20"/>
                <w:szCs w:val="20"/>
              </w:rPr>
              <w:t>Quantity harvested (tons)</w:t>
            </w:r>
          </w:p>
        </w:tc>
      </w:tr>
      <w:tr w:rsidR="006B42D6" w:rsidRPr="006B42D6" w14:paraId="0DE021E6" w14:textId="77777777" w:rsidTr="009F18D5">
        <w:trPr>
          <w:trHeight w:val="345"/>
        </w:trPr>
        <w:tc>
          <w:tcPr>
            <w:tcW w:w="1985" w:type="dxa"/>
            <w:vMerge/>
            <w:tcBorders>
              <w:top w:val="single" w:sz="4" w:space="0" w:color="auto"/>
              <w:left w:val="nil"/>
              <w:bottom w:val="single" w:sz="4" w:space="0" w:color="000000"/>
              <w:right w:val="nil"/>
            </w:tcBorders>
            <w:shd w:val="clear" w:color="auto" w:fill="E2EFD9" w:themeFill="accent6" w:themeFillTint="33"/>
            <w:vAlign w:val="center"/>
            <w:hideMark/>
          </w:tcPr>
          <w:p w14:paraId="3C615F51" w14:textId="77777777" w:rsidR="005901E9" w:rsidRPr="006B42D6" w:rsidRDefault="005901E9" w:rsidP="00634172">
            <w:pPr>
              <w:rPr>
                <w:sz w:val="20"/>
                <w:szCs w:val="20"/>
              </w:rPr>
            </w:pPr>
          </w:p>
        </w:tc>
        <w:tc>
          <w:tcPr>
            <w:tcW w:w="1510" w:type="dxa"/>
            <w:vMerge/>
            <w:tcBorders>
              <w:top w:val="single" w:sz="4" w:space="0" w:color="auto"/>
              <w:left w:val="nil"/>
              <w:bottom w:val="single" w:sz="4" w:space="0" w:color="000000"/>
              <w:right w:val="nil"/>
            </w:tcBorders>
            <w:shd w:val="clear" w:color="auto" w:fill="E2EFD9" w:themeFill="accent6" w:themeFillTint="33"/>
            <w:vAlign w:val="center"/>
            <w:hideMark/>
          </w:tcPr>
          <w:p w14:paraId="7E928D99" w14:textId="77777777" w:rsidR="005901E9" w:rsidRPr="006B42D6" w:rsidRDefault="005901E9" w:rsidP="00634172">
            <w:pPr>
              <w:rPr>
                <w:sz w:val="20"/>
                <w:szCs w:val="20"/>
              </w:rPr>
            </w:pPr>
          </w:p>
        </w:tc>
        <w:tc>
          <w:tcPr>
            <w:tcW w:w="1520" w:type="dxa"/>
            <w:vMerge/>
            <w:tcBorders>
              <w:top w:val="single" w:sz="4" w:space="0" w:color="auto"/>
              <w:left w:val="nil"/>
              <w:bottom w:val="single" w:sz="4" w:space="0" w:color="000000"/>
              <w:right w:val="nil"/>
            </w:tcBorders>
            <w:shd w:val="clear" w:color="auto" w:fill="E2EFD9" w:themeFill="accent6" w:themeFillTint="33"/>
            <w:vAlign w:val="center"/>
            <w:hideMark/>
          </w:tcPr>
          <w:p w14:paraId="574F2B5B" w14:textId="77777777" w:rsidR="005901E9" w:rsidRPr="006B42D6" w:rsidRDefault="005901E9" w:rsidP="00634172">
            <w:pPr>
              <w:rPr>
                <w:sz w:val="20"/>
                <w:szCs w:val="20"/>
              </w:rPr>
            </w:pPr>
          </w:p>
        </w:tc>
        <w:tc>
          <w:tcPr>
            <w:tcW w:w="1700" w:type="dxa"/>
            <w:vMerge/>
            <w:tcBorders>
              <w:top w:val="single" w:sz="4" w:space="0" w:color="auto"/>
              <w:left w:val="nil"/>
              <w:bottom w:val="single" w:sz="4" w:space="0" w:color="000000"/>
              <w:right w:val="nil"/>
            </w:tcBorders>
            <w:shd w:val="clear" w:color="auto" w:fill="E2EFD9" w:themeFill="accent6" w:themeFillTint="33"/>
            <w:vAlign w:val="center"/>
            <w:hideMark/>
          </w:tcPr>
          <w:p w14:paraId="133F16CE" w14:textId="77777777" w:rsidR="005901E9" w:rsidRPr="006B42D6" w:rsidRDefault="005901E9" w:rsidP="00634172">
            <w:pPr>
              <w:rPr>
                <w:sz w:val="20"/>
                <w:szCs w:val="20"/>
              </w:rPr>
            </w:pPr>
          </w:p>
        </w:tc>
        <w:tc>
          <w:tcPr>
            <w:tcW w:w="2180" w:type="dxa"/>
            <w:vMerge/>
            <w:tcBorders>
              <w:top w:val="single" w:sz="4" w:space="0" w:color="auto"/>
              <w:left w:val="nil"/>
              <w:bottom w:val="single" w:sz="4" w:space="0" w:color="000000"/>
              <w:right w:val="nil"/>
            </w:tcBorders>
            <w:shd w:val="clear" w:color="auto" w:fill="E2EFD9" w:themeFill="accent6" w:themeFillTint="33"/>
            <w:vAlign w:val="center"/>
            <w:hideMark/>
          </w:tcPr>
          <w:p w14:paraId="765AA105" w14:textId="77777777" w:rsidR="005901E9" w:rsidRPr="006B42D6" w:rsidRDefault="005901E9" w:rsidP="00634172">
            <w:pPr>
              <w:rPr>
                <w:sz w:val="20"/>
                <w:szCs w:val="20"/>
              </w:rPr>
            </w:pPr>
          </w:p>
        </w:tc>
      </w:tr>
      <w:tr w:rsidR="006B42D6" w:rsidRPr="006B42D6" w14:paraId="133B02C5" w14:textId="77777777" w:rsidTr="009F18D5">
        <w:trPr>
          <w:trHeight w:val="312"/>
        </w:trPr>
        <w:tc>
          <w:tcPr>
            <w:tcW w:w="1985" w:type="dxa"/>
            <w:tcBorders>
              <w:top w:val="nil"/>
              <w:left w:val="nil"/>
              <w:bottom w:val="nil"/>
              <w:right w:val="nil"/>
            </w:tcBorders>
            <w:shd w:val="clear" w:color="auto" w:fill="auto"/>
            <w:noWrap/>
            <w:vAlign w:val="center"/>
            <w:hideMark/>
          </w:tcPr>
          <w:p w14:paraId="6A812960" w14:textId="77777777" w:rsidR="005901E9" w:rsidRPr="006B42D6" w:rsidRDefault="005901E9" w:rsidP="00634172">
            <w:pPr>
              <w:rPr>
                <w:sz w:val="20"/>
                <w:szCs w:val="20"/>
              </w:rPr>
            </w:pPr>
            <w:r w:rsidRPr="006B42D6">
              <w:rPr>
                <w:sz w:val="20"/>
                <w:szCs w:val="20"/>
              </w:rPr>
              <w:t>Arusha</w:t>
            </w:r>
          </w:p>
        </w:tc>
        <w:tc>
          <w:tcPr>
            <w:tcW w:w="1510" w:type="dxa"/>
            <w:tcBorders>
              <w:top w:val="nil"/>
              <w:left w:val="nil"/>
              <w:bottom w:val="nil"/>
              <w:right w:val="nil"/>
            </w:tcBorders>
            <w:shd w:val="clear" w:color="auto" w:fill="auto"/>
            <w:noWrap/>
            <w:vAlign w:val="center"/>
            <w:hideMark/>
          </w:tcPr>
          <w:p w14:paraId="781D4A3F" w14:textId="77777777" w:rsidR="005901E9" w:rsidRPr="006B42D6" w:rsidRDefault="005901E9" w:rsidP="00634172">
            <w:pPr>
              <w:jc w:val="right"/>
              <w:rPr>
                <w:sz w:val="20"/>
                <w:szCs w:val="20"/>
              </w:rPr>
            </w:pPr>
            <w:r w:rsidRPr="006B42D6">
              <w:rPr>
                <w:sz w:val="20"/>
                <w:szCs w:val="20"/>
              </w:rPr>
              <w:t>1,174</w:t>
            </w:r>
          </w:p>
        </w:tc>
        <w:tc>
          <w:tcPr>
            <w:tcW w:w="1520" w:type="dxa"/>
            <w:tcBorders>
              <w:top w:val="nil"/>
              <w:left w:val="nil"/>
              <w:bottom w:val="nil"/>
              <w:right w:val="nil"/>
            </w:tcBorders>
            <w:shd w:val="clear" w:color="auto" w:fill="auto"/>
            <w:noWrap/>
            <w:vAlign w:val="center"/>
            <w:hideMark/>
          </w:tcPr>
          <w:p w14:paraId="16B65531" w14:textId="77777777" w:rsidR="005901E9" w:rsidRPr="006B42D6" w:rsidRDefault="005901E9" w:rsidP="00634172">
            <w:pPr>
              <w:jc w:val="right"/>
              <w:rPr>
                <w:sz w:val="20"/>
                <w:szCs w:val="20"/>
              </w:rPr>
            </w:pPr>
            <w:r w:rsidRPr="006B42D6">
              <w:rPr>
                <w:sz w:val="20"/>
                <w:szCs w:val="20"/>
              </w:rPr>
              <w:t>163</w:t>
            </w:r>
          </w:p>
        </w:tc>
        <w:tc>
          <w:tcPr>
            <w:tcW w:w="1700" w:type="dxa"/>
            <w:tcBorders>
              <w:top w:val="nil"/>
              <w:left w:val="nil"/>
              <w:bottom w:val="nil"/>
              <w:right w:val="nil"/>
            </w:tcBorders>
            <w:shd w:val="clear" w:color="auto" w:fill="auto"/>
            <w:noWrap/>
            <w:vAlign w:val="center"/>
            <w:hideMark/>
          </w:tcPr>
          <w:p w14:paraId="6BEEE77B" w14:textId="77777777" w:rsidR="005901E9" w:rsidRPr="006B42D6" w:rsidRDefault="005901E9" w:rsidP="00634172">
            <w:pPr>
              <w:jc w:val="right"/>
              <w:rPr>
                <w:sz w:val="20"/>
                <w:szCs w:val="20"/>
              </w:rPr>
            </w:pPr>
            <w:r w:rsidRPr="006B42D6">
              <w:rPr>
                <w:sz w:val="20"/>
                <w:szCs w:val="20"/>
              </w:rPr>
              <w:t>5</w:t>
            </w:r>
          </w:p>
        </w:tc>
        <w:tc>
          <w:tcPr>
            <w:tcW w:w="2180" w:type="dxa"/>
            <w:tcBorders>
              <w:top w:val="nil"/>
              <w:left w:val="nil"/>
              <w:bottom w:val="nil"/>
              <w:right w:val="nil"/>
            </w:tcBorders>
            <w:shd w:val="clear" w:color="auto" w:fill="auto"/>
            <w:noWrap/>
            <w:vAlign w:val="center"/>
            <w:hideMark/>
          </w:tcPr>
          <w:p w14:paraId="473339BE" w14:textId="77777777" w:rsidR="005901E9" w:rsidRPr="006B42D6" w:rsidRDefault="005901E9" w:rsidP="00634172">
            <w:pPr>
              <w:jc w:val="right"/>
              <w:rPr>
                <w:sz w:val="20"/>
                <w:szCs w:val="20"/>
              </w:rPr>
            </w:pPr>
            <w:r w:rsidRPr="006B42D6">
              <w:rPr>
                <w:sz w:val="20"/>
                <w:szCs w:val="20"/>
              </w:rPr>
              <w:t>3</w:t>
            </w:r>
          </w:p>
        </w:tc>
      </w:tr>
      <w:tr w:rsidR="006B42D6" w:rsidRPr="006B42D6" w14:paraId="0348527A" w14:textId="77777777" w:rsidTr="009F18D5">
        <w:trPr>
          <w:trHeight w:val="312"/>
        </w:trPr>
        <w:tc>
          <w:tcPr>
            <w:tcW w:w="1985" w:type="dxa"/>
            <w:tcBorders>
              <w:top w:val="nil"/>
              <w:left w:val="nil"/>
              <w:bottom w:val="nil"/>
              <w:right w:val="nil"/>
            </w:tcBorders>
            <w:shd w:val="clear" w:color="auto" w:fill="auto"/>
            <w:noWrap/>
            <w:vAlign w:val="center"/>
            <w:hideMark/>
          </w:tcPr>
          <w:p w14:paraId="59E603C0" w14:textId="77777777" w:rsidR="005901E9" w:rsidRPr="006B42D6" w:rsidRDefault="005901E9" w:rsidP="00634172">
            <w:pPr>
              <w:rPr>
                <w:sz w:val="20"/>
                <w:szCs w:val="20"/>
              </w:rPr>
            </w:pPr>
            <w:r w:rsidRPr="006B42D6">
              <w:rPr>
                <w:sz w:val="20"/>
                <w:szCs w:val="20"/>
              </w:rPr>
              <w:t>Tanga</w:t>
            </w:r>
          </w:p>
        </w:tc>
        <w:tc>
          <w:tcPr>
            <w:tcW w:w="1510" w:type="dxa"/>
            <w:tcBorders>
              <w:top w:val="nil"/>
              <w:left w:val="nil"/>
              <w:bottom w:val="nil"/>
              <w:right w:val="nil"/>
            </w:tcBorders>
            <w:shd w:val="clear" w:color="auto" w:fill="auto"/>
            <w:noWrap/>
            <w:vAlign w:val="center"/>
            <w:hideMark/>
          </w:tcPr>
          <w:p w14:paraId="682AC1D3" w14:textId="77777777" w:rsidR="005901E9" w:rsidRPr="006B42D6" w:rsidRDefault="005901E9" w:rsidP="00634172">
            <w:pPr>
              <w:jc w:val="right"/>
              <w:rPr>
                <w:sz w:val="20"/>
                <w:szCs w:val="20"/>
              </w:rPr>
            </w:pPr>
            <w:r w:rsidRPr="006B42D6">
              <w:rPr>
                <w:sz w:val="20"/>
                <w:szCs w:val="20"/>
              </w:rPr>
              <w:t>3,658</w:t>
            </w:r>
          </w:p>
        </w:tc>
        <w:tc>
          <w:tcPr>
            <w:tcW w:w="1520" w:type="dxa"/>
            <w:tcBorders>
              <w:top w:val="nil"/>
              <w:left w:val="nil"/>
              <w:bottom w:val="nil"/>
              <w:right w:val="nil"/>
            </w:tcBorders>
            <w:shd w:val="clear" w:color="auto" w:fill="auto"/>
            <w:noWrap/>
            <w:vAlign w:val="center"/>
            <w:hideMark/>
          </w:tcPr>
          <w:p w14:paraId="4B5ABD21" w14:textId="77777777" w:rsidR="005901E9" w:rsidRPr="006B42D6" w:rsidRDefault="005901E9" w:rsidP="00634172">
            <w:pPr>
              <w:jc w:val="right"/>
              <w:rPr>
                <w:sz w:val="20"/>
                <w:szCs w:val="20"/>
              </w:rPr>
            </w:pPr>
            <w:r w:rsidRPr="006B42D6">
              <w:rPr>
                <w:sz w:val="20"/>
                <w:szCs w:val="20"/>
              </w:rPr>
              <w:t>8,308</w:t>
            </w:r>
          </w:p>
        </w:tc>
        <w:tc>
          <w:tcPr>
            <w:tcW w:w="1700" w:type="dxa"/>
            <w:tcBorders>
              <w:top w:val="nil"/>
              <w:left w:val="nil"/>
              <w:bottom w:val="nil"/>
              <w:right w:val="nil"/>
            </w:tcBorders>
            <w:shd w:val="clear" w:color="auto" w:fill="auto"/>
            <w:noWrap/>
            <w:vAlign w:val="center"/>
            <w:hideMark/>
          </w:tcPr>
          <w:p w14:paraId="73167007" w14:textId="77777777" w:rsidR="005901E9" w:rsidRPr="006B42D6" w:rsidRDefault="005901E9" w:rsidP="00634172">
            <w:pPr>
              <w:jc w:val="right"/>
              <w:rPr>
                <w:sz w:val="20"/>
                <w:szCs w:val="20"/>
              </w:rPr>
            </w:pPr>
            <w:r w:rsidRPr="006B42D6">
              <w:rPr>
                <w:sz w:val="20"/>
                <w:szCs w:val="20"/>
              </w:rPr>
              <w:t>6,517</w:t>
            </w:r>
          </w:p>
        </w:tc>
        <w:tc>
          <w:tcPr>
            <w:tcW w:w="2180" w:type="dxa"/>
            <w:tcBorders>
              <w:top w:val="nil"/>
              <w:left w:val="nil"/>
              <w:bottom w:val="nil"/>
              <w:right w:val="nil"/>
            </w:tcBorders>
            <w:shd w:val="clear" w:color="auto" w:fill="auto"/>
            <w:noWrap/>
            <w:vAlign w:val="center"/>
            <w:hideMark/>
          </w:tcPr>
          <w:p w14:paraId="3ED4C2F7" w14:textId="77777777" w:rsidR="005901E9" w:rsidRPr="006B42D6" w:rsidRDefault="005901E9" w:rsidP="00634172">
            <w:pPr>
              <w:jc w:val="right"/>
              <w:rPr>
                <w:sz w:val="20"/>
                <w:szCs w:val="20"/>
              </w:rPr>
            </w:pPr>
            <w:r w:rsidRPr="006B42D6">
              <w:rPr>
                <w:sz w:val="20"/>
                <w:szCs w:val="20"/>
              </w:rPr>
              <w:t>33,165</w:t>
            </w:r>
          </w:p>
        </w:tc>
      </w:tr>
      <w:tr w:rsidR="006B42D6" w:rsidRPr="006B42D6" w14:paraId="65216783" w14:textId="77777777" w:rsidTr="009F18D5">
        <w:trPr>
          <w:trHeight w:val="312"/>
        </w:trPr>
        <w:tc>
          <w:tcPr>
            <w:tcW w:w="1985" w:type="dxa"/>
            <w:tcBorders>
              <w:top w:val="nil"/>
              <w:left w:val="nil"/>
              <w:bottom w:val="nil"/>
              <w:right w:val="nil"/>
            </w:tcBorders>
            <w:shd w:val="clear" w:color="auto" w:fill="auto"/>
            <w:noWrap/>
            <w:vAlign w:val="bottom"/>
            <w:hideMark/>
          </w:tcPr>
          <w:p w14:paraId="0890D682" w14:textId="77777777" w:rsidR="005901E9" w:rsidRPr="006B42D6" w:rsidRDefault="005901E9" w:rsidP="00634172">
            <w:pPr>
              <w:rPr>
                <w:sz w:val="20"/>
                <w:szCs w:val="20"/>
              </w:rPr>
            </w:pPr>
            <w:r w:rsidRPr="006B42D6">
              <w:rPr>
                <w:sz w:val="20"/>
                <w:szCs w:val="20"/>
              </w:rPr>
              <w:t>Morogoro</w:t>
            </w:r>
          </w:p>
        </w:tc>
        <w:tc>
          <w:tcPr>
            <w:tcW w:w="1510" w:type="dxa"/>
            <w:tcBorders>
              <w:top w:val="nil"/>
              <w:left w:val="nil"/>
              <w:bottom w:val="nil"/>
              <w:right w:val="nil"/>
            </w:tcBorders>
            <w:shd w:val="clear" w:color="auto" w:fill="auto"/>
            <w:noWrap/>
            <w:vAlign w:val="bottom"/>
            <w:hideMark/>
          </w:tcPr>
          <w:p w14:paraId="3781F7F2" w14:textId="77777777" w:rsidR="005901E9" w:rsidRPr="006B42D6" w:rsidRDefault="005901E9" w:rsidP="00634172">
            <w:pPr>
              <w:jc w:val="right"/>
              <w:rPr>
                <w:sz w:val="20"/>
                <w:szCs w:val="20"/>
              </w:rPr>
            </w:pPr>
            <w:r w:rsidRPr="006B42D6">
              <w:rPr>
                <w:sz w:val="20"/>
                <w:szCs w:val="20"/>
              </w:rPr>
              <w:t>188</w:t>
            </w:r>
          </w:p>
        </w:tc>
        <w:tc>
          <w:tcPr>
            <w:tcW w:w="1520" w:type="dxa"/>
            <w:tcBorders>
              <w:top w:val="nil"/>
              <w:left w:val="nil"/>
              <w:bottom w:val="nil"/>
              <w:right w:val="nil"/>
            </w:tcBorders>
            <w:shd w:val="clear" w:color="auto" w:fill="auto"/>
            <w:noWrap/>
            <w:vAlign w:val="bottom"/>
            <w:hideMark/>
          </w:tcPr>
          <w:p w14:paraId="1011CAA9" w14:textId="77777777" w:rsidR="005901E9" w:rsidRPr="006B42D6" w:rsidRDefault="005901E9" w:rsidP="00634172">
            <w:pPr>
              <w:jc w:val="right"/>
              <w:rPr>
                <w:sz w:val="20"/>
                <w:szCs w:val="20"/>
              </w:rPr>
            </w:pPr>
            <w:r w:rsidRPr="006B42D6">
              <w:rPr>
                <w:sz w:val="20"/>
                <w:szCs w:val="20"/>
              </w:rPr>
              <w:t>76</w:t>
            </w:r>
          </w:p>
        </w:tc>
        <w:tc>
          <w:tcPr>
            <w:tcW w:w="1700" w:type="dxa"/>
            <w:tcBorders>
              <w:top w:val="nil"/>
              <w:left w:val="nil"/>
              <w:bottom w:val="nil"/>
              <w:right w:val="nil"/>
            </w:tcBorders>
            <w:shd w:val="clear" w:color="auto" w:fill="auto"/>
            <w:noWrap/>
            <w:vAlign w:val="bottom"/>
            <w:hideMark/>
          </w:tcPr>
          <w:p w14:paraId="15987217" w14:textId="77777777" w:rsidR="005901E9" w:rsidRPr="006B42D6" w:rsidRDefault="005901E9" w:rsidP="00634172">
            <w:pPr>
              <w:jc w:val="right"/>
              <w:rPr>
                <w:sz w:val="20"/>
                <w:szCs w:val="20"/>
              </w:rPr>
            </w:pPr>
            <w:r w:rsidRPr="006B42D6">
              <w:rPr>
                <w:sz w:val="20"/>
                <w:szCs w:val="20"/>
              </w:rPr>
              <w:t>-</w:t>
            </w:r>
          </w:p>
        </w:tc>
        <w:tc>
          <w:tcPr>
            <w:tcW w:w="2180" w:type="dxa"/>
            <w:tcBorders>
              <w:top w:val="nil"/>
              <w:left w:val="nil"/>
              <w:bottom w:val="nil"/>
              <w:right w:val="nil"/>
            </w:tcBorders>
            <w:shd w:val="clear" w:color="auto" w:fill="auto"/>
            <w:noWrap/>
            <w:vAlign w:val="bottom"/>
            <w:hideMark/>
          </w:tcPr>
          <w:p w14:paraId="145D94C8" w14:textId="77777777" w:rsidR="005901E9" w:rsidRPr="006B42D6" w:rsidRDefault="005901E9" w:rsidP="00634172">
            <w:pPr>
              <w:jc w:val="right"/>
              <w:rPr>
                <w:sz w:val="20"/>
                <w:szCs w:val="20"/>
              </w:rPr>
            </w:pPr>
            <w:r w:rsidRPr="006B42D6">
              <w:rPr>
                <w:sz w:val="20"/>
                <w:szCs w:val="20"/>
              </w:rPr>
              <w:t>-</w:t>
            </w:r>
          </w:p>
        </w:tc>
      </w:tr>
      <w:tr w:rsidR="006B42D6" w:rsidRPr="006B42D6" w14:paraId="468A49E1" w14:textId="77777777" w:rsidTr="009F18D5">
        <w:trPr>
          <w:trHeight w:val="312"/>
        </w:trPr>
        <w:tc>
          <w:tcPr>
            <w:tcW w:w="1985" w:type="dxa"/>
            <w:tcBorders>
              <w:top w:val="nil"/>
              <w:left w:val="nil"/>
              <w:bottom w:val="nil"/>
              <w:right w:val="nil"/>
            </w:tcBorders>
            <w:shd w:val="clear" w:color="auto" w:fill="auto"/>
            <w:noWrap/>
            <w:vAlign w:val="bottom"/>
            <w:hideMark/>
          </w:tcPr>
          <w:p w14:paraId="4D8D08E5" w14:textId="77777777" w:rsidR="005901E9" w:rsidRPr="006B42D6" w:rsidRDefault="005901E9" w:rsidP="00634172">
            <w:pPr>
              <w:rPr>
                <w:sz w:val="20"/>
                <w:szCs w:val="20"/>
              </w:rPr>
            </w:pPr>
            <w:r w:rsidRPr="006B42D6">
              <w:rPr>
                <w:sz w:val="20"/>
                <w:szCs w:val="20"/>
              </w:rPr>
              <w:t>Singida</w:t>
            </w:r>
          </w:p>
        </w:tc>
        <w:tc>
          <w:tcPr>
            <w:tcW w:w="1510" w:type="dxa"/>
            <w:tcBorders>
              <w:top w:val="nil"/>
              <w:left w:val="nil"/>
              <w:bottom w:val="nil"/>
              <w:right w:val="nil"/>
            </w:tcBorders>
            <w:shd w:val="clear" w:color="auto" w:fill="auto"/>
            <w:noWrap/>
            <w:vAlign w:val="bottom"/>
            <w:hideMark/>
          </w:tcPr>
          <w:p w14:paraId="369B2025" w14:textId="77777777" w:rsidR="005901E9" w:rsidRPr="006B42D6" w:rsidRDefault="005901E9" w:rsidP="00634172">
            <w:pPr>
              <w:jc w:val="right"/>
              <w:rPr>
                <w:sz w:val="20"/>
                <w:szCs w:val="20"/>
              </w:rPr>
            </w:pPr>
            <w:r w:rsidRPr="006B42D6">
              <w:rPr>
                <w:sz w:val="20"/>
                <w:szCs w:val="20"/>
              </w:rPr>
              <w:t>294</w:t>
            </w:r>
          </w:p>
        </w:tc>
        <w:tc>
          <w:tcPr>
            <w:tcW w:w="1520" w:type="dxa"/>
            <w:tcBorders>
              <w:top w:val="nil"/>
              <w:left w:val="nil"/>
              <w:bottom w:val="nil"/>
              <w:right w:val="nil"/>
            </w:tcBorders>
            <w:shd w:val="clear" w:color="auto" w:fill="auto"/>
            <w:noWrap/>
            <w:vAlign w:val="bottom"/>
            <w:hideMark/>
          </w:tcPr>
          <w:p w14:paraId="782CF4F1" w14:textId="77777777" w:rsidR="005901E9" w:rsidRPr="006B42D6" w:rsidRDefault="005901E9" w:rsidP="00634172">
            <w:pPr>
              <w:jc w:val="right"/>
              <w:rPr>
                <w:sz w:val="20"/>
                <w:szCs w:val="20"/>
              </w:rPr>
            </w:pPr>
            <w:r w:rsidRPr="006B42D6">
              <w:rPr>
                <w:sz w:val="20"/>
                <w:szCs w:val="20"/>
              </w:rPr>
              <w:t>30</w:t>
            </w:r>
          </w:p>
        </w:tc>
        <w:tc>
          <w:tcPr>
            <w:tcW w:w="1700" w:type="dxa"/>
            <w:tcBorders>
              <w:top w:val="nil"/>
              <w:left w:val="nil"/>
              <w:bottom w:val="nil"/>
              <w:right w:val="nil"/>
            </w:tcBorders>
            <w:shd w:val="clear" w:color="auto" w:fill="auto"/>
            <w:noWrap/>
            <w:vAlign w:val="bottom"/>
            <w:hideMark/>
          </w:tcPr>
          <w:p w14:paraId="6FBDC905" w14:textId="77777777" w:rsidR="005901E9" w:rsidRPr="006B42D6" w:rsidRDefault="005901E9" w:rsidP="00634172">
            <w:pPr>
              <w:jc w:val="right"/>
              <w:rPr>
                <w:sz w:val="20"/>
                <w:szCs w:val="20"/>
              </w:rPr>
            </w:pPr>
            <w:r w:rsidRPr="006B42D6">
              <w:rPr>
                <w:sz w:val="20"/>
                <w:szCs w:val="20"/>
              </w:rPr>
              <w:t>-</w:t>
            </w:r>
          </w:p>
        </w:tc>
        <w:tc>
          <w:tcPr>
            <w:tcW w:w="2180" w:type="dxa"/>
            <w:tcBorders>
              <w:top w:val="nil"/>
              <w:left w:val="nil"/>
              <w:bottom w:val="nil"/>
              <w:right w:val="nil"/>
            </w:tcBorders>
            <w:shd w:val="clear" w:color="auto" w:fill="auto"/>
            <w:noWrap/>
            <w:vAlign w:val="bottom"/>
            <w:hideMark/>
          </w:tcPr>
          <w:p w14:paraId="5ED5AE3D" w14:textId="77777777" w:rsidR="005901E9" w:rsidRPr="006B42D6" w:rsidRDefault="005901E9" w:rsidP="00634172">
            <w:pPr>
              <w:jc w:val="right"/>
              <w:rPr>
                <w:sz w:val="20"/>
                <w:szCs w:val="20"/>
              </w:rPr>
            </w:pPr>
            <w:r w:rsidRPr="006B42D6">
              <w:rPr>
                <w:sz w:val="20"/>
                <w:szCs w:val="20"/>
              </w:rPr>
              <w:t>-</w:t>
            </w:r>
          </w:p>
        </w:tc>
      </w:tr>
      <w:tr w:rsidR="006B42D6" w:rsidRPr="006B42D6" w14:paraId="413D4959" w14:textId="77777777" w:rsidTr="009F18D5">
        <w:trPr>
          <w:trHeight w:val="312"/>
        </w:trPr>
        <w:tc>
          <w:tcPr>
            <w:tcW w:w="1985" w:type="dxa"/>
            <w:tcBorders>
              <w:top w:val="nil"/>
              <w:left w:val="nil"/>
              <w:bottom w:val="nil"/>
              <w:right w:val="nil"/>
            </w:tcBorders>
            <w:shd w:val="clear" w:color="auto" w:fill="auto"/>
            <w:noWrap/>
            <w:vAlign w:val="center"/>
            <w:hideMark/>
          </w:tcPr>
          <w:p w14:paraId="42410FE9" w14:textId="77777777" w:rsidR="005901E9" w:rsidRPr="006B42D6" w:rsidRDefault="005901E9" w:rsidP="00634172">
            <w:pPr>
              <w:rPr>
                <w:sz w:val="20"/>
                <w:szCs w:val="20"/>
              </w:rPr>
            </w:pPr>
            <w:r w:rsidRPr="006B42D6">
              <w:rPr>
                <w:sz w:val="20"/>
                <w:szCs w:val="20"/>
              </w:rPr>
              <w:t>Kigoma</w:t>
            </w:r>
          </w:p>
        </w:tc>
        <w:tc>
          <w:tcPr>
            <w:tcW w:w="1510" w:type="dxa"/>
            <w:tcBorders>
              <w:top w:val="nil"/>
              <w:left w:val="nil"/>
              <w:bottom w:val="nil"/>
              <w:right w:val="nil"/>
            </w:tcBorders>
            <w:shd w:val="clear" w:color="auto" w:fill="auto"/>
            <w:noWrap/>
            <w:vAlign w:val="center"/>
            <w:hideMark/>
          </w:tcPr>
          <w:p w14:paraId="550C28F2" w14:textId="77777777" w:rsidR="005901E9" w:rsidRPr="006B42D6" w:rsidRDefault="005901E9" w:rsidP="00634172">
            <w:pPr>
              <w:jc w:val="right"/>
              <w:rPr>
                <w:sz w:val="20"/>
                <w:szCs w:val="20"/>
              </w:rPr>
            </w:pPr>
            <w:r w:rsidRPr="006B42D6">
              <w:rPr>
                <w:sz w:val="20"/>
                <w:szCs w:val="20"/>
              </w:rPr>
              <w:t>522</w:t>
            </w:r>
          </w:p>
        </w:tc>
        <w:tc>
          <w:tcPr>
            <w:tcW w:w="1520" w:type="dxa"/>
            <w:tcBorders>
              <w:top w:val="nil"/>
              <w:left w:val="nil"/>
              <w:bottom w:val="nil"/>
              <w:right w:val="nil"/>
            </w:tcBorders>
            <w:shd w:val="clear" w:color="auto" w:fill="auto"/>
            <w:noWrap/>
            <w:vAlign w:val="center"/>
            <w:hideMark/>
          </w:tcPr>
          <w:p w14:paraId="4E8BBACF" w14:textId="77777777" w:rsidR="005901E9" w:rsidRPr="006B42D6" w:rsidRDefault="005901E9" w:rsidP="00634172">
            <w:pPr>
              <w:jc w:val="right"/>
              <w:rPr>
                <w:sz w:val="20"/>
                <w:szCs w:val="20"/>
              </w:rPr>
            </w:pPr>
            <w:r w:rsidRPr="006B42D6">
              <w:rPr>
                <w:sz w:val="20"/>
                <w:szCs w:val="20"/>
              </w:rPr>
              <w:t>157</w:t>
            </w:r>
          </w:p>
        </w:tc>
        <w:tc>
          <w:tcPr>
            <w:tcW w:w="1700" w:type="dxa"/>
            <w:tcBorders>
              <w:top w:val="nil"/>
              <w:left w:val="nil"/>
              <w:bottom w:val="nil"/>
              <w:right w:val="nil"/>
            </w:tcBorders>
            <w:shd w:val="clear" w:color="auto" w:fill="auto"/>
            <w:noWrap/>
            <w:vAlign w:val="center"/>
            <w:hideMark/>
          </w:tcPr>
          <w:p w14:paraId="618A6A71" w14:textId="77777777" w:rsidR="005901E9" w:rsidRPr="006B42D6" w:rsidRDefault="005901E9" w:rsidP="00634172">
            <w:pPr>
              <w:jc w:val="right"/>
              <w:rPr>
                <w:sz w:val="20"/>
                <w:szCs w:val="20"/>
              </w:rPr>
            </w:pPr>
            <w:r w:rsidRPr="006B42D6">
              <w:rPr>
                <w:sz w:val="20"/>
                <w:szCs w:val="20"/>
              </w:rPr>
              <w:t>-</w:t>
            </w:r>
          </w:p>
        </w:tc>
        <w:tc>
          <w:tcPr>
            <w:tcW w:w="2180" w:type="dxa"/>
            <w:tcBorders>
              <w:top w:val="nil"/>
              <w:left w:val="nil"/>
              <w:bottom w:val="nil"/>
              <w:right w:val="nil"/>
            </w:tcBorders>
            <w:shd w:val="clear" w:color="auto" w:fill="auto"/>
            <w:noWrap/>
            <w:vAlign w:val="center"/>
            <w:hideMark/>
          </w:tcPr>
          <w:p w14:paraId="162269B0" w14:textId="77777777" w:rsidR="005901E9" w:rsidRPr="006B42D6" w:rsidRDefault="005901E9" w:rsidP="00634172">
            <w:pPr>
              <w:jc w:val="right"/>
              <w:rPr>
                <w:sz w:val="20"/>
                <w:szCs w:val="20"/>
              </w:rPr>
            </w:pPr>
            <w:r w:rsidRPr="006B42D6">
              <w:rPr>
                <w:sz w:val="20"/>
                <w:szCs w:val="20"/>
              </w:rPr>
              <w:t>-</w:t>
            </w:r>
          </w:p>
        </w:tc>
      </w:tr>
      <w:tr w:rsidR="006B42D6" w:rsidRPr="006B42D6" w14:paraId="38074D81" w14:textId="77777777" w:rsidTr="009F18D5">
        <w:trPr>
          <w:trHeight w:val="312"/>
        </w:trPr>
        <w:tc>
          <w:tcPr>
            <w:tcW w:w="1985" w:type="dxa"/>
            <w:tcBorders>
              <w:top w:val="nil"/>
              <w:left w:val="nil"/>
              <w:bottom w:val="nil"/>
              <w:right w:val="nil"/>
            </w:tcBorders>
            <w:shd w:val="clear" w:color="auto" w:fill="auto"/>
            <w:noWrap/>
            <w:vAlign w:val="center"/>
            <w:hideMark/>
          </w:tcPr>
          <w:p w14:paraId="6733AEF3" w14:textId="77777777" w:rsidR="005901E9" w:rsidRPr="006B42D6" w:rsidRDefault="005901E9" w:rsidP="00634172">
            <w:pPr>
              <w:rPr>
                <w:sz w:val="20"/>
                <w:szCs w:val="20"/>
              </w:rPr>
            </w:pPr>
            <w:r w:rsidRPr="006B42D6">
              <w:rPr>
                <w:sz w:val="20"/>
                <w:szCs w:val="20"/>
              </w:rPr>
              <w:t>Kagera</w:t>
            </w:r>
          </w:p>
        </w:tc>
        <w:tc>
          <w:tcPr>
            <w:tcW w:w="1510" w:type="dxa"/>
            <w:tcBorders>
              <w:top w:val="nil"/>
              <w:left w:val="nil"/>
              <w:bottom w:val="nil"/>
              <w:right w:val="nil"/>
            </w:tcBorders>
            <w:shd w:val="clear" w:color="auto" w:fill="auto"/>
            <w:noWrap/>
            <w:vAlign w:val="center"/>
            <w:hideMark/>
          </w:tcPr>
          <w:p w14:paraId="44CB9564" w14:textId="77777777" w:rsidR="005901E9" w:rsidRPr="006B42D6" w:rsidRDefault="005901E9" w:rsidP="00634172">
            <w:pPr>
              <w:jc w:val="right"/>
              <w:rPr>
                <w:sz w:val="20"/>
                <w:szCs w:val="20"/>
              </w:rPr>
            </w:pPr>
            <w:r w:rsidRPr="006B42D6">
              <w:rPr>
                <w:sz w:val="20"/>
                <w:szCs w:val="20"/>
              </w:rPr>
              <w:t>3,255</w:t>
            </w:r>
          </w:p>
        </w:tc>
        <w:tc>
          <w:tcPr>
            <w:tcW w:w="1520" w:type="dxa"/>
            <w:tcBorders>
              <w:top w:val="nil"/>
              <w:left w:val="nil"/>
              <w:bottom w:val="nil"/>
              <w:right w:val="nil"/>
            </w:tcBorders>
            <w:shd w:val="clear" w:color="auto" w:fill="auto"/>
            <w:noWrap/>
            <w:vAlign w:val="center"/>
            <w:hideMark/>
          </w:tcPr>
          <w:p w14:paraId="512EF37F" w14:textId="77777777" w:rsidR="005901E9" w:rsidRPr="006B42D6" w:rsidRDefault="005901E9" w:rsidP="00634172">
            <w:pPr>
              <w:jc w:val="right"/>
              <w:rPr>
                <w:sz w:val="20"/>
                <w:szCs w:val="20"/>
              </w:rPr>
            </w:pPr>
            <w:r w:rsidRPr="006B42D6">
              <w:rPr>
                <w:sz w:val="20"/>
                <w:szCs w:val="20"/>
              </w:rPr>
              <w:t>104</w:t>
            </w:r>
          </w:p>
        </w:tc>
        <w:tc>
          <w:tcPr>
            <w:tcW w:w="1700" w:type="dxa"/>
            <w:tcBorders>
              <w:top w:val="nil"/>
              <w:left w:val="nil"/>
              <w:bottom w:val="nil"/>
              <w:right w:val="nil"/>
            </w:tcBorders>
            <w:shd w:val="clear" w:color="auto" w:fill="auto"/>
            <w:noWrap/>
            <w:vAlign w:val="center"/>
            <w:hideMark/>
          </w:tcPr>
          <w:p w14:paraId="114024A2" w14:textId="77777777" w:rsidR="005901E9" w:rsidRPr="006B42D6" w:rsidRDefault="005901E9" w:rsidP="00634172">
            <w:pPr>
              <w:jc w:val="right"/>
              <w:rPr>
                <w:sz w:val="20"/>
                <w:szCs w:val="20"/>
              </w:rPr>
            </w:pPr>
            <w:r w:rsidRPr="006B42D6">
              <w:rPr>
                <w:sz w:val="20"/>
                <w:szCs w:val="20"/>
              </w:rPr>
              <w:t>39</w:t>
            </w:r>
          </w:p>
        </w:tc>
        <w:tc>
          <w:tcPr>
            <w:tcW w:w="2180" w:type="dxa"/>
            <w:tcBorders>
              <w:top w:val="nil"/>
              <w:left w:val="nil"/>
              <w:bottom w:val="nil"/>
              <w:right w:val="nil"/>
            </w:tcBorders>
            <w:shd w:val="clear" w:color="auto" w:fill="auto"/>
            <w:noWrap/>
            <w:vAlign w:val="center"/>
            <w:hideMark/>
          </w:tcPr>
          <w:p w14:paraId="64CA17FE" w14:textId="77777777" w:rsidR="005901E9" w:rsidRPr="006B42D6" w:rsidRDefault="005901E9" w:rsidP="00634172">
            <w:pPr>
              <w:jc w:val="right"/>
              <w:rPr>
                <w:sz w:val="20"/>
                <w:szCs w:val="20"/>
              </w:rPr>
            </w:pPr>
            <w:r w:rsidRPr="006B42D6">
              <w:rPr>
                <w:sz w:val="20"/>
                <w:szCs w:val="20"/>
              </w:rPr>
              <w:t>51</w:t>
            </w:r>
          </w:p>
        </w:tc>
      </w:tr>
      <w:tr w:rsidR="006B42D6" w:rsidRPr="006B42D6" w14:paraId="69D56960" w14:textId="77777777" w:rsidTr="009F18D5">
        <w:trPr>
          <w:trHeight w:val="312"/>
        </w:trPr>
        <w:tc>
          <w:tcPr>
            <w:tcW w:w="1985" w:type="dxa"/>
            <w:tcBorders>
              <w:top w:val="nil"/>
              <w:left w:val="nil"/>
              <w:bottom w:val="nil"/>
              <w:right w:val="nil"/>
            </w:tcBorders>
            <w:shd w:val="clear" w:color="auto" w:fill="auto"/>
            <w:noWrap/>
            <w:vAlign w:val="center"/>
            <w:hideMark/>
          </w:tcPr>
          <w:p w14:paraId="0B352CBA" w14:textId="77777777" w:rsidR="005901E9" w:rsidRPr="006B42D6" w:rsidRDefault="005901E9" w:rsidP="00634172">
            <w:pPr>
              <w:rPr>
                <w:sz w:val="20"/>
                <w:szCs w:val="20"/>
              </w:rPr>
            </w:pPr>
            <w:r w:rsidRPr="006B42D6">
              <w:rPr>
                <w:sz w:val="20"/>
                <w:szCs w:val="20"/>
              </w:rPr>
              <w:t>Simiyu</w:t>
            </w:r>
          </w:p>
        </w:tc>
        <w:tc>
          <w:tcPr>
            <w:tcW w:w="1510" w:type="dxa"/>
            <w:tcBorders>
              <w:top w:val="nil"/>
              <w:left w:val="nil"/>
              <w:bottom w:val="nil"/>
              <w:right w:val="nil"/>
            </w:tcBorders>
            <w:shd w:val="clear" w:color="auto" w:fill="auto"/>
            <w:noWrap/>
            <w:vAlign w:val="center"/>
            <w:hideMark/>
          </w:tcPr>
          <w:p w14:paraId="12018D67" w14:textId="77777777" w:rsidR="005901E9" w:rsidRPr="006B42D6" w:rsidRDefault="005901E9" w:rsidP="00634172">
            <w:pPr>
              <w:jc w:val="right"/>
              <w:rPr>
                <w:sz w:val="20"/>
                <w:szCs w:val="20"/>
              </w:rPr>
            </w:pPr>
            <w:r w:rsidRPr="006B42D6">
              <w:rPr>
                <w:sz w:val="20"/>
                <w:szCs w:val="20"/>
              </w:rPr>
              <w:t>253</w:t>
            </w:r>
          </w:p>
        </w:tc>
        <w:tc>
          <w:tcPr>
            <w:tcW w:w="1520" w:type="dxa"/>
            <w:tcBorders>
              <w:top w:val="nil"/>
              <w:left w:val="nil"/>
              <w:bottom w:val="nil"/>
              <w:right w:val="nil"/>
            </w:tcBorders>
            <w:shd w:val="clear" w:color="auto" w:fill="auto"/>
            <w:noWrap/>
            <w:vAlign w:val="center"/>
            <w:hideMark/>
          </w:tcPr>
          <w:p w14:paraId="609A53E0" w14:textId="77777777" w:rsidR="005901E9" w:rsidRPr="006B42D6" w:rsidRDefault="005901E9" w:rsidP="00634172">
            <w:pPr>
              <w:jc w:val="right"/>
              <w:rPr>
                <w:sz w:val="20"/>
                <w:szCs w:val="20"/>
              </w:rPr>
            </w:pPr>
            <w:r w:rsidRPr="006B42D6">
              <w:rPr>
                <w:sz w:val="20"/>
                <w:szCs w:val="20"/>
              </w:rPr>
              <w:t>102</w:t>
            </w:r>
          </w:p>
        </w:tc>
        <w:tc>
          <w:tcPr>
            <w:tcW w:w="1700" w:type="dxa"/>
            <w:tcBorders>
              <w:top w:val="nil"/>
              <w:left w:val="nil"/>
              <w:bottom w:val="nil"/>
              <w:right w:val="nil"/>
            </w:tcBorders>
            <w:shd w:val="clear" w:color="auto" w:fill="auto"/>
            <w:noWrap/>
            <w:vAlign w:val="center"/>
            <w:hideMark/>
          </w:tcPr>
          <w:p w14:paraId="1B909FB4" w14:textId="77777777" w:rsidR="005901E9" w:rsidRPr="006B42D6" w:rsidRDefault="005901E9" w:rsidP="00634172">
            <w:pPr>
              <w:jc w:val="right"/>
              <w:rPr>
                <w:sz w:val="20"/>
                <w:szCs w:val="20"/>
              </w:rPr>
            </w:pPr>
            <w:r w:rsidRPr="006B42D6">
              <w:rPr>
                <w:sz w:val="20"/>
                <w:szCs w:val="20"/>
              </w:rPr>
              <w:t>-</w:t>
            </w:r>
          </w:p>
        </w:tc>
        <w:tc>
          <w:tcPr>
            <w:tcW w:w="2180" w:type="dxa"/>
            <w:tcBorders>
              <w:top w:val="nil"/>
              <w:left w:val="nil"/>
              <w:bottom w:val="nil"/>
              <w:right w:val="nil"/>
            </w:tcBorders>
            <w:shd w:val="clear" w:color="auto" w:fill="auto"/>
            <w:noWrap/>
            <w:vAlign w:val="center"/>
            <w:hideMark/>
          </w:tcPr>
          <w:p w14:paraId="164B8260" w14:textId="77777777" w:rsidR="005901E9" w:rsidRPr="006B42D6" w:rsidRDefault="005901E9" w:rsidP="00634172">
            <w:pPr>
              <w:jc w:val="right"/>
              <w:rPr>
                <w:sz w:val="20"/>
                <w:szCs w:val="20"/>
              </w:rPr>
            </w:pPr>
            <w:r w:rsidRPr="006B42D6">
              <w:rPr>
                <w:sz w:val="20"/>
                <w:szCs w:val="20"/>
              </w:rPr>
              <w:t>-</w:t>
            </w:r>
          </w:p>
        </w:tc>
      </w:tr>
      <w:tr w:rsidR="006B42D6" w:rsidRPr="006B42D6" w14:paraId="3B528868" w14:textId="77777777" w:rsidTr="009F18D5">
        <w:trPr>
          <w:trHeight w:val="312"/>
        </w:trPr>
        <w:tc>
          <w:tcPr>
            <w:tcW w:w="1985" w:type="dxa"/>
            <w:tcBorders>
              <w:top w:val="nil"/>
              <w:left w:val="nil"/>
              <w:bottom w:val="nil"/>
              <w:right w:val="nil"/>
            </w:tcBorders>
            <w:shd w:val="clear" w:color="auto" w:fill="auto"/>
            <w:noWrap/>
            <w:vAlign w:val="center"/>
            <w:hideMark/>
          </w:tcPr>
          <w:p w14:paraId="3B38732C" w14:textId="77777777" w:rsidR="005901E9" w:rsidRPr="006B42D6" w:rsidRDefault="005901E9" w:rsidP="00634172">
            <w:pPr>
              <w:rPr>
                <w:sz w:val="20"/>
                <w:szCs w:val="20"/>
              </w:rPr>
            </w:pPr>
            <w:r w:rsidRPr="006B42D6">
              <w:rPr>
                <w:sz w:val="20"/>
                <w:szCs w:val="20"/>
              </w:rPr>
              <w:t>Geita</w:t>
            </w:r>
          </w:p>
        </w:tc>
        <w:tc>
          <w:tcPr>
            <w:tcW w:w="1510" w:type="dxa"/>
            <w:tcBorders>
              <w:top w:val="nil"/>
              <w:left w:val="nil"/>
              <w:bottom w:val="nil"/>
              <w:right w:val="nil"/>
            </w:tcBorders>
            <w:shd w:val="clear" w:color="auto" w:fill="auto"/>
            <w:noWrap/>
            <w:vAlign w:val="center"/>
            <w:hideMark/>
          </w:tcPr>
          <w:p w14:paraId="7FA73D04" w14:textId="77777777" w:rsidR="005901E9" w:rsidRPr="006B42D6" w:rsidRDefault="005901E9" w:rsidP="00634172">
            <w:pPr>
              <w:jc w:val="right"/>
              <w:rPr>
                <w:sz w:val="20"/>
                <w:szCs w:val="20"/>
              </w:rPr>
            </w:pPr>
            <w:r w:rsidRPr="006B42D6">
              <w:rPr>
                <w:sz w:val="20"/>
                <w:szCs w:val="20"/>
              </w:rPr>
              <w:t>958</w:t>
            </w:r>
          </w:p>
        </w:tc>
        <w:tc>
          <w:tcPr>
            <w:tcW w:w="1520" w:type="dxa"/>
            <w:tcBorders>
              <w:top w:val="nil"/>
              <w:left w:val="nil"/>
              <w:bottom w:val="nil"/>
              <w:right w:val="nil"/>
            </w:tcBorders>
            <w:shd w:val="clear" w:color="auto" w:fill="auto"/>
            <w:noWrap/>
            <w:vAlign w:val="center"/>
            <w:hideMark/>
          </w:tcPr>
          <w:p w14:paraId="4DDCC115" w14:textId="77777777" w:rsidR="005901E9" w:rsidRPr="006B42D6" w:rsidRDefault="005901E9" w:rsidP="00634172">
            <w:pPr>
              <w:jc w:val="right"/>
              <w:rPr>
                <w:sz w:val="20"/>
                <w:szCs w:val="20"/>
              </w:rPr>
            </w:pPr>
            <w:r w:rsidRPr="006B42D6">
              <w:rPr>
                <w:sz w:val="20"/>
                <w:szCs w:val="20"/>
              </w:rPr>
              <w:t>18</w:t>
            </w:r>
          </w:p>
        </w:tc>
        <w:tc>
          <w:tcPr>
            <w:tcW w:w="1700" w:type="dxa"/>
            <w:tcBorders>
              <w:top w:val="nil"/>
              <w:left w:val="nil"/>
              <w:bottom w:val="nil"/>
              <w:right w:val="nil"/>
            </w:tcBorders>
            <w:shd w:val="clear" w:color="auto" w:fill="auto"/>
            <w:noWrap/>
            <w:vAlign w:val="center"/>
            <w:hideMark/>
          </w:tcPr>
          <w:p w14:paraId="28E81B92" w14:textId="77777777" w:rsidR="005901E9" w:rsidRPr="006B42D6" w:rsidRDefault="005901E9" w:rsidP="00634172">
            <w:pPr>
              <w:jc w:val="right"/>
              <w:rPr>
                <w:sz w:val="20"/>
                <w:szCs w:val="20"/>
              </w:rPr>
            </w:pPr>
            <w:r w:rsidRPr="006B42D6">
              <w:rPr>
                <w:sz w:val="20"/>
                <w:szCs w:val="20"/>
              </w:rPr>
              <w:t>-</w:t>
            </w:r>
          </w:p>
        </w:tc>
        <w:tc>
          <w:tcPr>
            <w:tcW w:w="2180" w:type="dxa"/>
            <w:tcBorders>
              <w:top w:val="nil"/>
              <w:left w:val="nil"/>
              <w:bottom w:val="nil"/>
              <w:right w:val="nil"/>
            </w:tcBorders>
            <w:shd w:val="clear" w:color="auto" w:fill="auto"/>
            <w:noWrap/>
            <w:vAlign w:val="center"/>
            <w:hideMark/>
          </w:tcPr>
          <w:p w14:paraId="6B767AD1" w14:textId="77777777" w:rsidR="005901E9" w:rsidRPr="006B42D6" w:rsidRDefault="005901E9" w:rsidP="00634172">
            <w:pPr>
              <w:jc w:val="right"/>
              <w:rPr>
                <w:sz w:val="20"/>
                <w:szCs w:val="20"/>
              </w:rPr>
            </w:pPr>
            <w:r w:rsidRPr="006B42D6">
              <w:rPr>
                <w:sz w:val="20"/>
                <w:szCs w:val="20"/>
              </w:rPr>
              <w:t>3</w:t>
            </w:r>
          </w:p>
        </w:tc>
      </w:tr>
      <w:tr w:rsidR="006B42D6" w:rsidRPr="006B42D6" w14:paraId="11CD693B" w14:textId="77777777" w:rsidTr="009F18D5">
        <w:trPr>
          <w:trHeight w:val="312"/>
        </w:trPr>
        <w:tc>
          <w:tcPr>
            <w:tcW w:w="1985" w:type="dxa"/>
            <w:tcBorders>
              <w:top w:val="single" w:sz="4" w:space="0" w:color="auto"/>
              <w:left w:val="nil"/>
              <w:bottom w:val="single" w:sz="4" w:space="0" w:color="auto"/>
              <w:right w:val="nil"/>
            </w:tcBorders>
            <w:shd w:val="clear" w:color="auto" w:fill="E2EFD9" w:themeFill="accent6" w:themeFillTint="33"/>
            <w:noWrap/>
            <w:hideMark/>
          </w:tcPr>
          <w:p w14:paraId="6847C795" w14:textId="2980263A" w:rsidR="005901E9" w:rsidRPr="006B42D6" w:rsidRDefault="00EA1552" w:rsidP="00634172">
            <w:pPr>
              <w:rPr>
                <w:b/>
                <w:bCs/>
                <w:sz w:val="20"/>
                <w:szCs w:val="20"/>
              </w:rPr>
            </w:pPr>
            <w:r>
              <w:rPr>
                <w:b/>
                <w:bCs/>
                <w:sz w:val="20"/>
                <w:szCs w:val="20"/>
              </w:rPr>
              <w:t>Mainland Tanzania</w:t>
            </w:r>
          </w:p>
        </w:tc>
        <w:tc>
          <w:tcPr>
            <w:tcW w:w="1510" w:type="dxa"/>
            <w:tcBorders>
              <w:top w:val="single" w:sz="4" w:space="0" w:color="auto"/>
              <w:left w:val="nil"/>
              <w:bottom w:val="single" w:sz="4" w:space="0" w:color="auto"/>
              <w:right w:val="nil"/>
            </w:tcBorders>
            <w:shd w:val="clear" w:color="auto" w:fill="E2EFD9" w:themeFill="accent6" w:themeFillTint="33"/>
            <w:noWrap/>
            <w:hideMark/>
          </w:tcPr>
          <w:p w14:paraId="24C09C1C" w14:textId="77777777" w:rsidR="005901E9" w:rsidRPr="006B42D6" w:rsidRDefault="005901E9" w:rsidP="00634172">
            <w:pPr>
              <w:jc w:val="right"/>
              <w:rPr>
                <w:b/>
                <w:bCs/>
                <w:sz w:val="20"/>
                <w:szCs w:val="20"/>
              </w:rPr>
            </w:pPr>
            <w:r w:rsidRPr="006B42D6">
              <w:rPr>
                <w:b/>
                <w:bCs/>
                <w:sz w:val="20"/>
                <w:szCs w:val="20"/>
              </w:rPr>
              <w:t>10,302</w:t>
            </w:r>
          </w:p>
        </w:tc>
        <w:tc>
          <w:tcPr>
            <w:tcW w:w="1520" w:type="dxa"/>
            <w:tcBorders>
              <w:top w:val="single" w:sz="4" w:space="0" w:color="auto"/>
              <w:left w:val="nil"/>
              <w:bottom w:val="single" w:sz="4" w:space="0" w:color="auto"/>
              <w:right w:val="nil"/>
            </w:tcBorders>
            <w:shd w:val="clear" w:color="auto" w:fill="E2EFD9" w:themeFill="accent6" w:themeFillTint="33"/>
            <w:noWrap/>
            <w:hideMark/>
          </w:tcPr>
          <w:p w14:paraId="0C31B71E" w14:textId="77777777" w:rsidR="005901E9" w:rsidRPr="006B42D6" w:rsidRDefault="005901E9" w:rsidP="00634172">
            <w:pPr>
              <w:jc w:val="right"/>
              <w:rPr>
                <w:b/>
                <w:bCs/>
                <w:sz w:val="20"/>
                <w:szCs w:val="20"/>
              </w:rPr>
            </w:pPr>
            <w:r w:rsidRPr="006B42D6">
              <w:rPr>
                <w:b/>
                <w:bCs/>
                <w:sz w:val="20"/>
                <w:szCs w:val="20"/>
              </w:rPr>
              <w:t>8,958</w:t>
            </w:r>
          </w:p>
        </w:tc>
        <w:tc>
          <w:tcPr>
            <w:tcW w:w="1700" w:type="dxa"/>
            <w:tcBorders>
              <w:top w:val="single" w:sz="4" w:space="0" w:color="auto"/>
              <w:left w:val="nil"/>
              <w:bottom w:val="single" w:sz="4" w:space="0" w:color="auto"/>
              <w:right w:val="nil"/>
            </w:tcBorders>
            <w:shd w:val="clear" w:color="auto" w:fill="E2EFD9" w:themeFill="accent6" w:themeFillTint="33"/>
            <w:noWrap/>
            <w:hideMark/>
          </w:tcPr>
          <w:p w14:paraId="6A4A9E50" w14:textId="77777777" w:rsidR="005901E9" w:rsidRPr="006B42D6" w:rsidRDefault="005901E9" w:rsidP="00634172">
            <w:pPr>
              <w:jc w:val="right"/>
              <w:rPr>
                <w:b/>
                <w:bCs/>
                <w:sz w:val="20"/>
                <w:szCs w:val="20"/>
              </w:rPr>
            </w:pPr>
            <w:r w:rsidRPr="006B42D6">
              <w:rPr>
                <w:b/>
                <w:bCs/>
                <w:sz w:val="20"/>
                <w:szCs w:val="20"/>
              </w:rPr>
              <w:t>6,561</w:t>
            </w:r>
          </w:p>
        </w:tc>
        <w:tc>
          <w:tcPr>
            <w:tcW w:w="2180" w:type="dxa"/>
            <w:tcBorders>
              <w:top w:val="single" w:sz="4" w:space="0" w:color="auto"/>
              <w:left w:val="nil"/>
              <w:bottom w:val="single" w:sz="4" w:space="0" w:color="auto"/>
              <w:right w:val="nil"/>
            </w:tcBorders>
            <w:shd w:val="clear" w:color="auto" w:fill="E2EFD9" w:themeFill="accent6" w:themeFillTint="33"/>
            <w:noWrap/>
            <w:hideMark/>
          </w:tcPr>
          <w:p w14:paraId="4BA8478A" w14:textId="77777777" w:rsidR="005901E9" w:rsidRPr="006B42D6" w:rsidRDefault="005901E9" w:rsidP="00634172">
            <w:pPr>
              <w:jc w:val="right"/>
              <w:rPr>
                <w:b/>
                <w:bCs/>
                <w:sz w:val="20"/>
                <w:szCs w:val="20"/>
              </w:rPr>
            </w:pPr>
            <w:r w:rsidRPr="006B42D6">
              <w:rPr>
                <w:b/>
                <w:bCs/>
                <w:sz w:val="20"/>
                <w:szCs w:val="20"/>
              </w:rPr>
              <w:t>33,222</w:t>
            </w:r>
          </w:p>
        </w:tc>
      </w:tr>
      <w:tr w:rsidR="006B42D6" w:rsidRPr="006B42D6" w14:paraId="0EBA6070" w14:textId="77777777" w:rsidTr="009F18D5">
        <w:trPr>
          <w:trHeight w:val="312"/>
        </w:trPr>
        <w:tc>
          <w:tcPr>
            <w:tcW w:w="1985" w:type="dxa"/>
            <w:tcBorders>
              <w:top w:val="nil"/>
              <w:left w:val="nil"/>
              <w:bottom w:val="single" w:sz="4" w:space="0" w:color="auto"/>
              <w:right w:val="nil"/>
            </w:tcBorders>
            <w:shd w:val="clear" w:color="auto" w:fill="E2EFD9" w:themeFill="accent6" w:themeFillTint="33"/>
            <w:noWrap/>
            <w:vAlign w:val="center"/>
            <w:hideMark/>
          </w:tcPr>
          <w:p w14:paraId="104AA5B9" w14:textId="77777777" w:rsidR="005901E9" w:rsidRPr="006B42D6" w:rsidRDefault="005901E9" w:rsidP="00634172">
            <w:pPr>
              <w:rPr>
                <w:b/>
                <w:bCs/>
                <w:sz w:val="20"/>
                <w:szCs w:val="20"/>
              </w:rPr>
            </w:pPr>
            <w:r w:rsidRPr="006B42D6">
              <w:rPr>
                <w:b/>
                <w:bCs/>
                <w:sz w:val="20"/>
                <w:szCs w:val="20"/>
              </w:rPr>
              <w:t>Tanzania Zanzibar</w:t>
            </w:r>
          </w:p>
        </w:tc>
        <w:tc>
          <w:tcPr>
            <w:tcW w:w="1510" w:type="dxa"/>
            <w:tcBorders>
              <w:top w:val="nil"/>
              <w:left w:val="nil"/>
              <w:bottom w:val="single" w:sz="4" w:space="0" w:color="auto"/>
              <w:right w:val="nil"/>
            </w:tcBorders>
            <w:shd w:val="clear" w:color="auto" w:fill="E2EFD9" w:themeFill="accent6" w:themeFillTint="33"/>
            <w:noWrap/>
            <w:vAlign w:val="center"/>
            <w:hideMark/>
          </w:tcPr>
          <w:p w14:paraId="1AC460E8" w14:textId="77777777" w:rsidR="005901E9" w:rsidRPr="006B42D6" w:rsidRDefault="005901E9" w:rsidP="00634172">
            <w:pPr>
              <w:jc w:val="right"/>
              <w:rPr>
                <w:sz w:val="20"/>
                <w:szCs w:val="20"/>
              </w:rPr>
            </w:pPr>
            <w:r w:rsidRPr="006B42D6">
              <w:rPr>
                <w:sz w:val="20"/>
                <w:szCs w:val="20"/>
              </w:rPr>
              <w:t>-</w:t>
            </w:r>
          </w:p>
        </w:tc>
        <w:tc>
          <w:tcPr>
            <w:tcW w:w="1520" w:type="dxa"/>
            <w:tcBorders>
              <w:top w:val="nil"/>
              <w:left w:val="nil"/>
              <w:bottom w:val="single" w:sz="4" w:space="0" w:color="auto"/>
              <w:right w:val="nil"/>
            </w:tcBorders>
            <w:shd w:val="clear" w:color="auto" w:fill="E2EFD9" w:themeFill="accent6" w:themeFillTint="33"/>
            <w:noWrap/>
            <w:vAlign w:val="center"/>
            <w:hideMark/>
          </w:tcPr>
          <w:p w14:paraId="7AC66EAF" w14:textId="77777777" w:rsidR="005901E9" w:rsidRPr="006B42D6" w:rsidRDefault="005901E9" w:rsidP="00634172">
            <w:pPr>
              <w:jc w:val="right"/>
              <w:rPr>
                <w:sz w:val="20"/>
                <w:szCs w:val="20"/>
              </w:rPr>
            </w:pPr>
            <w:r w:rsidRPr="006B42D6">
              <w:rPr>
                <w:sz w:val="20"/>
                <w:szCs w:val="20"/>
              </w:rPr>
              <w:t>-</w:t>
            </w:r>
          </w:p>
        </w:tc>
        <w:tc>
          <w:tcPr>
            <w:tcW w:w="1700" w:type="dxa"/>
            <w:tcBorders>
              <w:top w:val="nil"/>
              <w:left w:val="nil"/>
              <w:bottom w:val="single" w:sz="4" w:space="0" w:color="auto"/>
              <w:right w:val="nil"/>
            </w:tcBorders>
            <w:shd w:val="clear" w:color="auto" w:fill="E2EFD9" w:themeFill="accent6" w:themeFillTint="33"/>
            <w:noWrap/>
            <w:vAlign w:val="center"/>
            <w:hideMark/>
          </w:tcPr>
          <w:p w14:paraId="29911794" w14:textId="77777777" w:rsidR="005901E9" w:rsidRPr="006B42D6" w:rsidRDefault="005901E9" w:rsidP="00634172">
            <w:pPr>
              <w:jc w:val="right"/>
              <w:rPr>
                <w:sz w:val="20"/>
                <w:szCs w:val="20"/>
              </w:rPr>
            </w:pPr>
            <w:r w:rsidRPr="006B42D6">
              <w:rPr>
                <w:sz w:val="20"/>
                <w:szCs w:val="20"/>
              </w:rPr>
              <w:t>-</w:t>
            </w:r>
          </w:p>
        </w:tc>
        <w:tc>
          <w:tcPr>
            <w:tcW w:w="2180" w:type="dxa"/>
            <w:tcBorders>
              <w:top w:val="nil"/>
              <w:left w:val="nil"/>
              <w:bottom w:val="single" w:sz="4" w:space="0" w:color="auto"/>
              <w:right w:val="nil"/>
            </w:tcBorders>
            <w:shd w:val="clear" w:color="auto" w:fill="E2EFD9" w:themeFill="accent6" w:themeFillTint="33"/>
            <w:noWrap/>
            <w:vAlign w:val="center"/>
            <w:hideMark/>
          </w:tcPr>
          <w:p w14:paraId="3E4240BD" w14:textId="77777777" w:rsidR="005901E9" w:rsidRPr="006B42D6" w:rsidRDefault="005901E9" w:rsidP="00634172">
            <w:pPr>
              <w:jc w:val="right"/>
              <w:rPr>
                <w:sz w:val="20"/>
                <w:szCs w:val="20"/>
              </w:rPr>
            </w:pPr>
            <w:r w:rsidRPr="006B42D6">
              <w:rPr>
                <w:sz w:val="20"/>
                <w:szCs w:val="20"/>
              </w:rPr>
              <w:t>-</w:t>
            </w:r>
          </w:p>
        </w:tc>
      </w:tr>
      <w:tr w:rsidR="005901E9" w:rsidRPr="006B42D6" w14:paraId="0AA2C7E2" w14:textId="77777777" w:rsidTr="009F18D5">
        <w:trPr>
          <w:trHeight w:val="312"/>
        </w:trPr>
        <w:tc>
          <w:tcPr>
            <w:tcW w:w="1985" w:type="dxa"/>
            <w:tcBorders>
              <w:top w:val="nil"/>
              <w:left w:val="nil"/>
              <w:bottom w:val="single" w:sz="4" w:space="0" w:color="auto"/>
              <w:right w:val="nil"/>
            </w:tcBorders>
            <w:shd w:val="clear" w:color="auto" w:fill="E2EFD9" w:themeFill="accent6" w:themeFillTint="33"/>
            <w:noWrap/>
            <w:vAlign w:val="center"/>
            <w:hideMark/>
          </w:tcPr>
          <w:p w14:paraId="1F1270FF" w14:textId="77777777" w:rsidR="005901E9" w:rsidRPr="006B42D6" w:rsidRDefault="005901E9" w:rsidP="00634172">
            <w:pPr>
              <w:rPr>
                <w:b/>
                <w:bCs/>
                <w:sz w:val="20"/>
                <w:szCs w:val="20"/>
              </w:rPr>
            </w:pPr>
            <w:r w:rsidRPr="006B42D6">
              <w:rPr>
                <w:b/>
                <w:bCs/>
                <w:sz w:val="20"/>
                <w:szCs w:val="20"/>
              </w:rPr>
              <w:t>Tanzania</w:t>
            </w:r>
          </w:p>
        </w:tc>
        <w:tc>
          <w:tcPr>
            <w:tcW w:w="1510" w:type="dxa"/>
            <w:tcBorders>
              <w:top w:val="nil"/>
              <w:left w:val="nil"/>
              <w:bottom w:val="single" w:sz="4" w:space="0" w:color="auto"/>
              <w:right w:val="nil"/>
            </w:tcBorders>
            <w:shd w:val="clear" w:color="auto" w:fill="E2EFD9" w:themeFill="accent6" w:themeFillTint="33"/>
            <w:noWrap/>
            <w:vAlign w:val="center"/>
            <w:hideMark/>
          </w:tcPr>
          <w:p w14:paraId="2185A4FB" w14:textId="77777777" w:rsidR="005901E9" w:rsidRPr="006B42D6" w:rsidRDefault="005901E9" w:rsidP="00634172">
            <w:pPr>
              <w:jc w:val="right"/>
              <w:rPr>
                <w:b/>
                <w:bCs/>
                <w:sz w:val="20"/>
                <w:szCs w:val="20"/>
              </w:rPr>
            </w:pPr>
            <w:r w:rsidRPr="006B42D6">
              <w:rPr>
                <w:b/>
                <w:bCs/>
                <w:sz w:val="20"/>
                <w:szCs w:val="20"/>
              </w:rPr>
              <w:t>10,302</w:t>
            </w:r>
          </w:p>
        </w:tc>
        <w:tc>
          <w:tcPr>
            <w:tcW w:w="1520" w:type="dxa"/>
            <w:tcBorders>
              <w:top w:val="nil"/>
              <w:left w:val="nil"/>
              <w:bottom w:val="single" w:sz="4" w:space="0" w:color="auto"/>
              <w:right w:val="nil"/>
            </w:tcBorders>
            <w:shd w:val="clear" w:color="auto" w:fill="E2EFD9" w:themeFill="accent6" w:themeFillTint="33"/>
            <w:noWrap/>
            <w:vAlign w:val="center"/>
            <w:hideMark/>
          </w:tcPr>
          <w:p w14:paraId="1F16E975" w14:textId="77777777" w:rsidR="005901E9" w:rsidRPr="006B42D6" w:rsidRDefault="005901E9" w:rsidP="00634172">
            <w:pPr>
              <w:jc w:val="right"/>
              <w:rPr>
                <w:b/>
                <w:bCs/>
                <w:sz w:val="20"/>
                <w:szCs w:val="20"/>
              </w:rPr>
            </w:pPr>
            <w:r w:rsidRPr="006B42D6">
              <w:rPr>
                <w:b/>
                <w:bCs/>
                <w:sz w:val="20"/>
                <w:szCs w:val="20"/>
              </w:rPr>
              <w:t>8,958</w:t>
            </w:r>
          </w:p>
        </w:tc>
        <w:tc>
          <w:tcPr>
            <w:tcW w:w="1700" w:type="dxa"/>
            <w:tcBorders>
              <w:top w:val="nil"/>
              <w:left w:val="nil"/>
              <w:bottom w:val="single" w:sz="4" w:space="0" w:color="auto"/>
              <w:right w:val="nil"/>
            </w:tcBorders>
            <w:shd w:val="clear" w:color="auto" w:fill="E2EFD9" w:themeFill="accent6" w:themeFillTint="33"/>
            <w:noWrap/>
            <w:vAlign w:val="center"/>
            <w:hideMark/>
          </w:tcPr>
          <w:p w14:paraId="4D06F0CA" w14:textId="77777777" w:rsidR="005901E9" w:rsidRPr="006B42D6" w:rsidRDefault="005901E9" w:rsidP="00634172">
            <w:pPr>
              <w:jc w:val="right"/>
              <w:rPr>
                <w:b/>
                <w:bCs/>
                <w:sz w:val="20"/>
                <w:szCs w:val="20"/>
              </w:rPr>
            </w:pPr>
            <w:r w:rsidRPr="006B42D6">
              <w:rPr>
                <w:b/>
                <w:bCs/>
                <w:sz w:val="20"/>
                <w:szCs w:val="20"/>
              </w:rPr>
              <w:t>6,561</w:t>
            </w:r>
          </w:p>
        </w:tc>
        <w:tc>
          <w:tcPr>
            <w:tcW w:w="2180" w:type="dxa"/>
            <w:tcBorders>
              <w:top w:val="nil"/>
              <w:left w:val="nil"/>
              <w:bottom w:val="single" w:sz="4" w:space="0" w:color="auto"/>
              <w:right w:val="nil"/>
            </w:tcBorders>
            <w:shd w:val="clear" w:color="auto" w:fill="E2EFD9" w:themeFill="accent6" w:themeFillTint="33"/>
            <w:noWrap/>
            <w:vAlign w:val="center"/>
            <w:hideMark/>
          </w:tcPr>
          <w:p w14:paraId="1E505392" w14:textId="77777777" w:rsidR="005901E9" w:rsidRPr="006B42D6" w:rsidRDefault="005901E9" w:rsidP="00634172">
            <w:pPr>
              <w:jc w:val="right"/>
              <w:rPr>
                <w:b/>
                <w:bCs/>
                <w:sz w:val="20"/>
                <w:szCs w:val="20"/>
              </w:rPr>
            </w:pPr>
            <w:r w:rsidRPr="006B42D6">
              <w:rPr>
                <w:b/>
                <w:bCs/>
                <w:sz w:val="20"/>
                <w:szCs w:val="20"/>
              </w:rPr>
              <w:t>33,222</w:t>
            </w:r>
          </w:p>
        </w:tc>
      </w:tr>
    </w:tbl>
    <w:p w14:paraId="0EEF4E33" w14:textId="77777777" w:rsidR="0083291D" w:rsidRPr="0083291D" w:rsidRDefault="0083291D" w:rsidP="00517589"/>
    <w:p w14:paraId="50A1EECA" w14:textId="46626008" w:rsidR="00E16412" w:rsidRPr="006B42D6" w:rsidRDefault="00E16412" w:rsidP="005C2EFC">
      <w:pPr>
        <w:pStyle w:val="Heading4"/>
      </w:pPr>
      <w:bookmarkStart w:id="259" w:name="_Toc82385683"/>
      <w:r w:rsidRPr="006B42D6">
        <w:t>3.1.</w:t>
      </w:r>
      <w:r w:rsidR="00193728">
        <w:t>6</w:t>
      </w:r>
      <w:r w:rsidRPr="006B42D6">
        <w:t>.8</w:t>
      </w:r>
      <w:r w:rsidR="000807B0" w:rsidRPr="006B42D6">
        <w:tab/>
      </w:r>
      <w:r w:rsidRPr="006B42D6">
        <w:t>Tea</w:t>
      </w:r>
      <w:bookmarkEnd w:id="259"/>
    </w:p>
    <w:p w14:paraId="2A23B546" w14:textId="15A1E49D" w:rsidR="00E16412" w:rsidRPr="006B42D6" w:rsidRDefault="00E16412" w:rsidP="00B131FA">
      <w:r w:rsidRPr="006B42D6">
        <w:t>Census results reveal that, there were 18,66</w:t>
      </w:r>
      <w:r w:rsidR="00592D44" w:rsidRPr="006B42D6">
        <w:t>1</w:t>
      </w:r>
      <w:r w:rsidRPr="006B42D6">
        <w:t xml:space="preserve"> households engaged in growing Tea in the country </w:t>
      </w:r>
      <w:r w:rsidR="00645447" w:rsidRPr="006B42D6">
        <w:t>and</w:t>
      </w:r>
      <w:r w:rsidRPr="006B42D6">
        <w:t xml:space="preserve"> all households were from </w:t>
      </w:r>
      <w:r w:rsidR="00EA1552">
        <w:t>Mainland Tanzania</w:t>
      </w:r>
      <w:r w:rsidR="00645447" w:rsidRPr="006B42D6">
        <w:t xml:space="preserve">, </w:t>
      </w:r>
      <w:r w:rsidRPr="006B42D6">
        <w:t xml:space="preserve">none from </w:t>
      </w:r>
      <w:r w:rsidR="00B93A9E" w:rsidRPr="006B42D6">
        <w:t xml:space="preserve">Tanzania </w:t>
      </w:r>
      <w:r w:rsidRPr="006B42D6">
        <w:t>Zanzibar.</w:t>
      </w:r>
      <w:r w:rsidR="00EB35E7">
        <w:t xml:space="preserve"> </w:t>
      </w:r>
      <w:r w:rsidRPr="006B42D6">
        <w:t xml:space="preserve">Tea was grown in only 6 regions of </w:t>
      </w:r>
      <w:r w:rsidR="00EA1552">
        <w:t>Mainland Tanzania</w:t>
      </w:r>
      <w:r w:rsidRPr="006B42D6">
        <w:t>. The total area planted with tea was 15,119 ha of which, 7,24</w:t>
      </w:r>
      <w:r w:rsidR="00592D44" w:rsidRPr="006B42D6">
        <w:t>6</w:t>
      </w:r>
      <w:r w:rsidRPr="006B42D6">
        <w:t xml:space="preserve"> ha was from smallholder farmers and 7,87</w:t>
      </w:r>
      <w:r w:rsidR="00592D44" w:rsidRPr="006B42D6">
        <w:t>3</w:t>
      </w:r>
      <w:r w:rsidRPr="006B42D6">
        <w:t xml:space="preserve"> from large scale farms. From smallholder farmers, Tanga </w:t>
      </w:r>
      <w:r w:rsidR="00645447" w:rsidRPr="006B42D6">
        <w:t>r</w:t>
      </w:r>
      <w:r w:rsidRPr="006B42D6">
        <w:t xml:space="preserve">egion had the largest area planted (3,274 ha; 45.2 percent) with </w:t>
      </w:r>
      <w:r w:rsidR="00645447" w:rsidRPr="006B42D6">
        <w:t>t</w:t>
      </w:r>
      <w:r w:rsidRPr="006B42D6">
        <w:t xml:space="preserve">ea, followed by Mbeya (1,809 ha; 25.0 percent) and Iringa (913 ha; 12.6 </w:t>
      </w:r>
      <w:r w:rsidRPr="006B42D6">
        <w:lastRenderedPageBreak/>
        <w:t>percent).</w:t>
      </w:r>
      <w:r w:rsidRPr="006B42D6">
        <w:rPr>
          <w:noProof/>
        </w:rPr>
        <w:t xml:space="preserve"> </w:t>
      </w:r>
      <w:r w:rsidR="00266CBC" w:rsidRPr="006B42D6">
        <w:t xml:space="preserve">The total area harvested with tea was 13,375 ha of which, 5,621 ha was from smallholder farmers and 7,754 from large scale farms. </w:t>
      </w:r>
      <w:r w:rsidRPr="006B42D6">
        <w:t xml:space="preserve">A total of 5,621 ha </w:t>
      </w:r>
      <w:r w:rsidR="00266CBC" w:rsidRPr="006B42D6">
        <w:t xml:space="preserve">harvested from smallholder farmers </w:t>
      </w:r>
      <w:r w:rsidRPr="006B42D6">
        <w:t xml:space="preserve">accounted for 77.6 percent of the total planted area with tea. Tanga region </w:t>
      </w:r>
      <w:r w:rsidR="00266CBC" w:rsidRPr="006B42D6">
        <w:t xml:space="preserve">had the largest area of tea harvested </w:t>
      </w:r>
      <w:r w:rsidRPr="006B42D6">
        <w:t xml:space="preserve">2,269 ha (40.4 percent), followed by Mbeya (1,682 ha; 29.9 percent) and Iringa (862 ha; 15.3 percent). </w:t>
      </w:r>
    </w:p>
    <w:p w14:paraId="0F4ED2BB" w14:textId="77777777" w:rsidR="001B7C87" w:rsidRPr="006B42D6" w:rsidRDefault="001B7C87" w:rsidP="00517589">
      <w:pPr>
        <w:spacing w:line="240" w:lineRule="auto"/>
      </w:pPr>
    </w:p>
    <w:p w14:paraId="36EDFCFF" w14:textId="669DFEF8" w:rsidR="00E16412" w:rsidRPr="006B42D6" w:rsidRDefault="00E16412" w:rsidP="005C2EFC">
      <w:pPr>
        <w:rPr>
          <w:b/>
        </w:rPr>
      </w:pPr>
      <w:r w:rsidRPr="006B42D6">
        <w:t xml:space="preserve">The total production for tea was </w:t>
      </w:r>
      <w:r w:rsidR="00A131DB" w:rsidRPr="006B42D6">
        <w:t>66,540</w:t>
      </w:r>
      <w:r w:rsidRPr="006B42D6">
        <w:t xml:space="preserve"> tons</w:t>
      </w:r>
      <w:r w:rsidR="00921EEB">
        <w:t>,</w:t>
      </w:r>
      <w:r w:rsidRPr="006B42D6">
        <w:t xml:space="preserve"> </w:t>
      </w:r>
      <w:r w:rsidR="00B90CD7" w:rsidRPr="006B42D6">
        <w:t xml:space="preserve">out </w:t>
      </w:r>
      <w:r w:rsidRPr="006B42D6">
        <w:t xml:space="preserve">of which </w:t>
      </w:r>
      <w:r w:rsidR="00266CBC" w:rsidRPr="006B42D6">
        <w:t>25,295</w:t>
      </w:r>
      <w:r w:rsidRPr="006B42D6">
        <w:t xml:space="preserve"> tons were from smallho</w:t>
      </w:r>
      <w:r w:rsidR="00645447" w:rsidRPr="006B42D6">
        <w:t>l</w:t>
      </w:r>
      <w:r w:rsidRPr="006B42D6">
        <w:t xml:space="preserve">der farmers and 41,245 tons from large scale farms. </w:t>
      </w:r>
      <w:r w:rsidR="00A131DB" w:rsidRPr="006B42D6">
        <w:t xml:space="preserve">From smallholder farmers, </w:t>
      </w:r>
      <w:r w:rsidRPr="006B42D6">
        <w:t xml:space="preserve">Mbeya </w:t>
      </w:r>
      <w:r w:rsidR="00A131DB" w:rsidRPr="006B42D6">
        <w:t>r</w:t>
      </w:r>
      <w:r w:rsidRPr="006B42D6">
        <w:t xml:space="preserve">egion </w:t>
      </w:r>
      <w:r w:rsidR="00A131DB" w:rsidRPr="006B42D6">
        <w:t xml:space="preserve">had the highest production of tea </w:t>
      </w:r>
      <w:r w:rsidRPr="006B42D6">
        <w:t>(</w:t>
      </w:r>
      <w:r w:rsidR="00A131DB" w:rsidRPr="006B42D6">
        <w:t>9,876</w:t>
      </w:r>
      <w:r w:rsidRPr="006B42D6">
        <w:t xml:space="preserve"> tons; </w:t>
      </w:r>
      <w:r w:rsidR="00A131DB" w:rsidRPr="006B42D6">
        <w:t>39.0</w:t>
      </w:r>
      <w:r w:rsidRPr="006B42D6">
        <w:t xml:space="preserve"> percent), followed by Tanga (9,474 tons; 3</w:t>
      </w:r>
      <w:r w:rsidR="00A131DB" w:rsidRPr="006B42D6">
        <w:t>7</w:t>
      </w:r>
      <w:r w:rsidRPr="006B42D6">
        <w:t>.</w:t>
      </w:r>
      <w:r w:rsidR="00A131DB" w:rsidRPr="006B42D6">
        <w:t>5</w:t>
      </w:r>
      <w:r w:rsidRPr="006B42D6">
        <w:t xml:space="preserve"> percent) and Iringa (3,014 tons; 11.</w:t>
      </w:r>
      <w:r w:rsidR="00A131DB" w:rsidRPr="006B42D6">
        <w:t>9</w:t>
      </w:r>
      <w:r w:rsidRPr="006B42D6">
        <w:t xml:space="preserve"> percent) while the lowest production was recorded in Morogoro (1 ton; 0.01 </w:t>
      </w:r>
      <w:r w:rsidR="00A131DB" w:rsidRPr="006B42D6">
        <w:t>p</w:t>
      </w:r>
      <w:r w:rsidRPr="006B42D6">
        <w:t>ercent) (Table 3.1</w:t>
      </w:r>
      <w:r w:rsidR="00CD75FC">
        <w:t>6</w:t>
      </w:r>
      <w:r w:rsidRPr="006B42D6">
        <w:t>).</w:t>
      </w:r>
    </w:p>
    <w:p w14:paraId="455C0EDE" w14:textId="77777777" w:rsidR="00B07C10" w:rsidRPr="006B42D6" w:rsidRDefault="00B07C10" w:rsidP="005C2EFC">
      <w:pPr>
        <w:rPr>
          <w:b/>
        </w:rPr>
      </w:pPr>
    </w:p>
    <w:p w14:paraId="670CFBD9" w14:textId="22CFCA23" w:rsidR="00E16412" w:rsidRPr="006B42D6" w:rsidRDefault="00E16412" w:rsidP="0056599D">
      <w:pPr>
        <w:pStyle w:val="Heading7"/>
        <w:ind w:right="1418"/>
      </w:pPr>
      <w:bookmarkStart w:id="260" w:name="_Toc82386198"/>
      <w:r w:rsidRPr="006B42D6">
        <w:t>Table 3.1</w:t>
      </w:r>
      <w:r w:rsidR="00CD75FC">
        <w:t>6</w:t>
      </w:r>
      <w:r w:rsidR="009C0DC0">
        <w:t>:</w:t>
      </w:r>
      <w:r w:rsidR="009C0DC0">
        <w:tab/>
      </w:r>
      <w:r w:rsidRPr="006B42D6">
        <w:t>Number of Households, Area Planted</w:t>
      </w:r>
      <w:r w:rsidR="00A131DB" w:rsidRPr="006B42D6">
        <w:t xml:space="preserve"> and</w:t>
      </w:r>
      <w:r w:rsidRPr="006B42D6">
        <w:t xml:space="preserve"> Harvested, Production and Yield of Tea by Region</w:t>
      </w:r>
      <w:r w:rsidR="006842C5" w:rsidRPr="006B42D6">
        <w:t xml:space="preserve"> During</w:t>
      </w:r>
      <w:r w:rsidRPr="006B42D6">
        <w:t xml:space="preserve"> 2019/20 </w:t>
      </w:r>
      <w:r w:rsidR="00B93A9E" w:rsidRPr="006B42D6">
        <w:t>Agricultural Year</w:t>
      </w:r>
      <w:r w:rsidR="006842C5" w:rsidRPr="006B42D6">
        <w:t xml:space="preserve">, </w:t>
      </w:r>
      <w:r w:rsidR="00EA1552">
        <w:t>Mainland Tanzania</w:t>
      </w:r>
      <w:bookmarkEnd w:id="260"/>
    </w:p>
    <w:tbl>
      <w:tblPr>
        <w:tblW w:w="7675" w:type="dxa"/>
        <w:tblLook w:val="04A0" w:firstRow="1" w:lastRow="0" w:firstColumn="1" w:lastColumn="0" w:noHBand="0" w:noVBand="1"/>
      </w:tblPr>
      <w:tblGrid>
        <w:gridCol w:w="2160"/>
        <w:gridCol w:w="450"/>
        <w:gridCol w:w="666"/>
        <w:gridCol w:w="1368"/>
        <w:gridCol w:w="1553"/>
        <w:gridCol w:w="1478"/>
      </w:tblGrid>
      <w:tr w:rsidR="00921EEB" w:rsidRPr="009C0DC0" w14:paraId="4DA800DA" w14:textId="77777777" w:rsidTr="00921EEB">
        <w:trPr>
          <w:trHeight w:val="499"/>
        </w:trPr>
        <w:tc>
          <w:tcPr>
            <w:tcW w:w="2160" w:type="dxa"/>
            <w:tcBorders>
              <w:top w:val="single" w:sz="4" w:space="0" w:color="auto"/>
              <w:left w:val="nil"/>
              <w:bottom w:val="single" w:sz="4" w:space="0" w:color="auto"/>
              <w:right w:val="nil"/>
            </w:tcBorders>
            <w:shd w:val="clear" w:color="auto" w:fill="E2EFD9" w:themeFill="accent6" w:themeFillTint="33"/>
            <w:noWrap/>
            <w:vAlign w:val="center"/>
            <w:hideMark/>
          </w:tcPr>
          <w:p w14:paraId="1DE2FC54" w14:textId="77777777" w:rsidR="00921EEB" w:rsidRPr="009C0DC0" w:rsidRDefault="00921EEB" w:rsidP="005901E9">
            <w:pPr>
              <w:rPr>
                <w:sz w:val="15"/>
                <w:szCs w:val="15"/>
              </w:rPr>
            </w:pPr>
            <w:r w:rsidRPr="009C0DC0">
              <w:rPr>
                <w:sz w:val="15"/>
                <w:szCs w:val="15"/>
              </w:rPr>
              <w:t>Region</w:t>
            </w:r>
          </w:p>
        </w:tc>
        <w:tc>
          <w:tcPr>
            <w:tcW w:w="1116" w:type="dxa"/>
            <w:gridSpan w:val="2"/>
            <w:tcBorders>
              <w:top w:val="single" w:sz="4" w:space="0" w:color="auto"/>
              <w:left w:val="nil"/>
              <w:bottom w:val="single" w:sz="4" w:space="0" w:color="auto"/>
              <w:right w:val="nil"/>
            </w:tcBorders>
            <w:shd w:val="clear" w:color="auto" w:fill="E2EFD9" w:themeFill="accent6" w:themeFillTint="33"/>
            <w:vAlign w:val="center"/>
            <w:hideMark/>
          </w:tcPr>
          <w:p w14:paraId="27F6F311" w14:textId="77777777" w:rsidR="00921EEB" w:rsidRPr="009C0DC0" w:rsidRDefault="00921EEB" w:rsidP="009C0DC0">
            <w:pPr>
              <w:jc w:val="left"/>
              <w:rPr>
                <w:sz w:val="15"/>
                <w:szCs w:val="15"/>
              </w:rPr>
            </w:pPr>
            <w:r w:rsidRPr="009C0DC0">
              <w:rPr>
                <w:sz w:val="15"/>
                <w:szCs w:val="15"/>
              </w:rPr>
              <w:t>Number of households</w:t>
            </w:r>
          </w:p>
        </w:tc>
        <w:tc>
          <w:tcPr>
            <w:tcW w:w="1368" w:type="dxa"/>
            <w:tcBorders>
              <w:top w:val="single" w:sz="4" w:space="0" w:color="auto"/>
              <w:left w:val="nil"/>
              <w:bottom w:val="single" w:sz="4" w:space="0" w:color="auto"/>
              <w:right w:val="nil"/>
            </w:tcBorders>
            <w:shd w:val="clear" w:color="auto" w:fill="E2EFD9" w:themeFill="accent6" w:themeFillTint="33"/>
            <w:vAlign w:val="center"/>
            <w:hideMark/>
          </w:tcPr>
          <w:p w14:paraId="23CD0B90" w14:textId="77777777" w:rsidR="00921EEB" w:rsidRDefault="00921EEB" w:rsidP="009C0DC0">
            <w:pPr>
              <w:jc w:val="left"/>
              <w:rPr>
                <w:sz w:val="15"/>
                <w:szCs w:val="15"/>
              </w:rPr>
            </w:pPr>
            <w:r w:rsidRPr="009C0DC0">
              <w:rPr>
                <w:sz w:val="15"/>
                <w:szCs w:val="15"/>
              </w:rPr>
              <w:t xml:space="preserve">Area Planted </w:t>
            </w:r>
          </w:p>
          <w:p w14:paraId="47D790C4" w14:textId="564B5A1E" w:rsidR="00921EEB" w:rsidRPr="009C0DC0" w:rsidRDefault="00921EEB" w:rsidP="009C0DC0">
            <w:pPr>
              <w:jc w:val="left"/>
              <w:rPr>
                <w:sz w:val="15"/>
                <w:szCs w:val="15"/>
              </w:rPr>
            </w:pPr>
            <w:r w:rsidRPr="009C0DC0">
              <w:rPr>
                <w:sz w:val="15"/>
                <w:szCs w:val="15"/>
              </w:rPr>
              <w:t>(ha)</w:t>
            </w:r>
          </w:p>
        </w:tc>
        <w:tc>
          <w:tcPr>
            <w:tcW w:w="1553" w:type="dxa"/>
            <w:tcBorders>
              <w:top w:val="single" w:sz="4" w:space="0" w:color="auto"/>
              <w:left w:val="nil"/>
              <w:bottom w:val="single" w:sz="4" w:space="0" w:color="auto"/>
              <w:right w:val="nil"/>
            </w:tcBorders>
            <w:shd w:val="clear" w:color="auto" w:fill="E2EFD9" w:themeFill="accent6" w:themeFillTint="33"/>
            <w:vAlign w:val="center"/>
            <w:hideMark/>
          </w:tcPr>
          <w:p w14:paraId="43C91111" w14:textId="77777777" w:rsidR="00921EEB" w:rsidRDefault="00921EEB" w:rsidP="009C0DC0">
            <w:pPr>
              <w:jc w:val="left"/>
              <w:rPr>
                <w:sz w:val="15"/>
                <w:szCs w:val="15"/>
              </w:rPr>
            </w:pPr>
            <w:r w:rsidRPr="009C0DC0">
              <w:rPr>
                <w:sz w:val="15"/>
                <w:szCs w:val="15"/>
              </w:rPr>
              <w:t xml:space="preserve">Area harvested </w:t>
            </w:r>
          </w:p>
          <w:p w14:paraId="33D994E2" w14:textId="0C4164EA" w:rsidR="00921EEB" w:rsidRPr="009C0DC0" w:rsidRDefault="00921EEB" w:rsidP="009C0DC0">
            <w:pPr>
              <w:jc w:val="left"/>
              <w:rPr>
                <w:sz w:val="15"/>
                <w:szCs w:val="15"/>
              </w:rPr>
            </w:pPr>
            <w:r w:rsidRPr="009C0DC0">
              <w:rPr>
                <w:sz w:val="15"/>
                <w:szCs w:val="15"/>
              </w:rPr>
              <w:t>(ha)</w:t>
            </w:r>
          </w:p>
        </w:tc>
        <w:tc>
          <w:tcPr>
            <w:tcW w:w="1478" w:type="dxa"/>
            <w:tcBorders>
              <w:top w:val="single" w:sz="4" w:space="0" w:color="auto"/>
              <w:left w:val="nil"/>
              <w:bottom w:val="single" w:sz="4" w:space="0" w:color="auto"/>
              <w:right w:val="nil"/>
            </w:tcBorders>
            <w:shd w:val="clear" w:color="auto" w:fill="E2EFD9" w:themeFill="accent6" w:themeFillTint="33"/>
            <w:vAlign w:val="center"/>
            <w:hideMark/>
          </w:tcPr>
          <w:p w14:paraId="11155F10" w14:textId="77777777" w:rsidR="00921EEB" w:rsidRDefault="00921EEB" w:rsidP="009C0DC0">
            <w:pPr>
              <w:jc w:val="left"/>
              <w:rPr>
                <w:sz w:val="15"/>
                <w:szCs w:val="15"/>
              </w:rPr>
            </w:pPr>
            <w:r w:rsidRPr="009C0DC0">
              <w:rPr>
                <w:sz w:val="15"/>
                <w:szCs w:val="15"/>
              </w:rPr>
              <w:t xml:space="preserve">Quantity harvested </w:t>
            </w:r>
          </w:p>
          <w:p w14:paraId="3D31683C" w14:textId="13A08B86" w:rsidR="00921EEB" w:rsidRPr="009C0DC0" w:rsidRDefault="00921EEB" w:rsidP="009C0DC0">
            <w:pPr>
              <w:jc w:val="left"/>
              <w:rPr>
                <w:sz w:val="15"/>
                <w:szCs w:val="15"/>
              </w:rPr>
            </w:pPr>
            <w:r w:rsidRPr="009C0DC0">
              <w:rPr>
                <w:sz w:val="15"/>
                <w:szCs w:val="15"/>
              </w:rPr>
              <w:t>(tons)</w:t>
            </w:r>
          </w:p>
        </w:tc>
      </w:tr>
      <w:tr w:rsidR="00921EEB" w:rsidRPr="009C0DC0" w14:paraId="0B2AE052" w14:textId="77777777" w:rsidTr="00921EEB">
        <w:trPr>
          <w:trHeight w:val="269"/>
        </w:trPr>
        <w:tc>
          <w:tcPr>
            <w:tcW w:w="2610" w:type="dxa"/>
            <w:gridSpan w:val="2"/>
            <w:tcBorders>
              <w:top w:val="nil"/>
              <w:left w:val="nil"/>
              <w:bottom w:val="nil"/>
              <w:right w:val="nil"/>
            </w:tcBorders>
            <w:shd w:val="clear" w:color="auto" w:fill="auto"/>
            <w:noWrap/>
            <w:vAlign w:val="bottom"/>
            <w:hideMark/>
          </w:tcPr>
          <w:p w14:paraId="413589FB" w14:textId="77777777" w:rsidR="00921EEB" w:rsidRPr="009C0DC0" w:rsidRDefault="00921EEB" w:rsidP="00634172">
            <w:pPr>
              <w:rPr>
                <w:sz w:val="15"/>
                <w:szCs w:val="15"/>
              </w:rPr>
            </w:pPr>
            <w:r w:rsidRPr="009C0DC0">
              <w:rPr>
                <w:sz w:val="15"/>
                <w:szCs w:val="15"/>
              </w:rPr>
              <w:t>Tanga</w:t>
            </w:r>
          </w:p>
        </w:tc>
        <w:tc>
          <w:tcPr>
            <w:tcW w:w="666" w:type="dxa"/>
            <w:tcBorders>
              <w:top w:val="nil"/>
              <w:left w:val="nil"/>
              <w:bottom w:val="nil"/>
              <w:right w:val="nil"/>
            </w:tcBorders>
            <w:shd w:val="clear" w:color="auto" w:fill="auto"/>
            <w:noWrap/>
            <w:vAlign w:val="bottom"/>
            <w:hideMark/>
          </w:tcPr>
          <w:p w14:paraId="3DFB3368" w14:textId="77777777" w:rsidR="00921EEB" w:rsidRPr="009C0DC0" w:rsidRDefault="00921EEB" w:rsidP="00634172">
            <w:pPr>
              <w:jc w:val="right"/>
              <w:rPr>
                <w:sz w:val="15"/>
                <w:szCs w:val="15"/>
              </w:rPr>
            </w:pPr>
            <w:r w:rsidRPr="009C0DC0">
              <w:rPr>
                <w:sz w:val="15"/>
                <w:szCs w:val="15"/>
              </w:rPr>
              <w:t>8,496</w:t>
            </w:r>
          </w:p>
        </w:tc>
        <w:tc>
          <w:tcPr>
            <w:tcW w:w="1368" w:type="dxa"/>
            <w:tcBorders>
              <w:top w:val="nil"/>
              <w:left w:val="nil"/>
              <w:bottom w:val="nil"/>
              <w:right w:val="nil"/>
            </w:tcBorders>
            <w:shd w:val="clear" w:color="auto" w:fill="auto"/>
            <w:noWrap/>
            <w:vAlign w:val="bottom"/>
            <w:hideMark/>
          </w:tcPr>
          <w:p w14:paraId="68EFF2B9" w14:textId="77777777" w:rsidR="00921EEB" w:rsidRPr="009C0DC0" w:rsidRDefault="00921EEB" w:rsidP="00634172">
            <w:pPr>
              <w:jc w:val="right"/>
              <w:rPr>
                <w:sz w:val="15"/>
                <w:szCs w:val="15"/>
              </w:rPr>
            </w:pPr>
            <w:r w:rsidRPr="009C0DC0">
              <w:rPr>
                <w:sz w:val="15"/>
                <w:szCs w:val="15"/>
              </w:rPr>
              <w:t>3,274</w:t>
            </w:r>
          </w:p>
        </w:tc>
        <w:tc>
          <w:tcPr>
            <w:tcW w:w="1553" w:type="dxa"/>
            <w:tcBorders>
              <w:top w:val="nil"/>
              <w:left w:val="nil"/>
              <w:bottom w:val="nil"/>
              <w:right w:val="nil"/>
            </w:tcBorders>
            <w:shd w:val="clear" w:color="auto" w:fill="auto"/>
            <w:noWrap/>
            <w:vAlign w:val="bottom"/>
            <w:hideMark/>
          </w:tcPr>
          <w:p w14:paraId="583F8A28" w14:textId="77777777" w:rsidR="00921EEB" w:rsidRPr="009C0DC0" w:rsidRDefault="00921EEB" w:rsidP="00634172">
            <w:pPr>
              <w:jc w:val="right"/>
              <w:rPr>
                <w:sz w:val="15"/>
                <w:szCs w:val="15"/>
              </w:rPr>
            </w:pPr>
            <w:r w:rsidRPr="009C0DC0">
              <w:rPr>
                <w:sz w:val="15"/>
                <w:szCs w:val="15"/>
              </w:rPr>
              <w:t>2,269</w:t>
            </w:r>
          </w:p>
        </w:tc>
        <w:tc>
          <w:tcPr>
            <w:tcW w:w="1478" w:type="dxa"/>
            <w:tcBorders>
              <w:top w:val="nil"/>
              <w:left w:val="nil"/>
              <w:bottom w:val="nil"/>
              <w:right w:val="nil"/>
            </w:tcBorders>
            <w:shd w:val="clear" w:color="auto" w:fill="auto"/>
            <w:noWrap/>
            <w:vAlign w:val="bottom"/>
            <w:hideMark/>
          </w:tcPr>
          <w:p w14:paraId="18A41067" w14:textId="77777777" w:rsidR="00921EEB" w:rsidRPr="009C0DC0" w:rsidRDefault="00921EEB" w:rsidP="00634172">
            <w:pPr>
              <w:jc w:val="right"/>
              <w:rPr>
                <w:sz w:val="15"/>
                <w:szCs w:val="15"/>
              </w:rPr>
            </w:pPr>
            <w:r w:rsidRPr="009C0DC0">
              <w:rPr>
                <w:sz w:val="15"/>
                <w:szCs w:val="15"/>
              </w:rPr>
              <w:t>9,474</w:t>
            </w:r>
          </w:p>
        </w:tc>
      </w:tr>
      <w:tr w:rsidR="00921EEB" w:rsidRPr="009C0DC0" w14:paraId="719F9092" w14:textId="77777777" w:rsidTr="00921EEB">
        <w:trPr>
          <w:trHeight w:val="289"/>
        </w:trPr>
        <w:tc>
          <w:tcPr>
            <w:tcW w:w="2610" w:type="dxa"/>
            <w:gridSpan w:val="2"/>
            <w:tcBorders>
              <w:top w:val="nil"/>
              <w:left w:val="nil"/>
              <w:bottom w:val="nil"/>
              <w:right w:val="nil"/>
            </w:tcBorders>
            <w:shd w:val="clear" w:color="auto" w:fill="auto"/>
            <w:noWrap/>
            <w:vAlign w:val="bottom"/>
            <w:hideMark/>
          </w:tcPr>
          <w:p w14:paraId="06EC7313" w14:textId="77777777" w:rsidR="00921EEB" w:rsidRPr="009C0DC0" w:rsidRDefault="00921EEB" w:rsidP="00634172">
            <w:pPr>
              <w:rPr>
                <w:sz w:val="15"/>
                <w:szCs w:val="15"/>
              </w:rPr>
            </w:pPr>
            <w:r w:rsidRPr="009C0DC0">
              <w:rPr>
                <w:sz w:val="15"/>
                <w:szCs w:val="15"/>
              </w:rPr>
              <w:t>Morogoro</w:t>
            </w:r>
          </w:p>
        </w:tc>
        <w:tc>
          <w:tcPr>
            <w:tcW w:w="666" w:type="dxa"/>
            <w:tcBorders>
              <w:top w:val="nil"/>
              <w:left w:val="nil"/>
              <w:bottom w:val="nil"/>
              <w:right w:val="nil"/>
            </w:tcBorders>
            <w:shd w:val="clear" w:color="auto" w:fill="auto"/>
            <w:noWrap/>
            <w:vAlign w:val="bottom"/>
            <w:hideMark/>
          </w:tcPr>
          <w:p w14:paraId="380745BE" w14:textId="77777777" w:rsidR="00921EEB" w:rsidRPr="009C0DC0" w:rsidRDefault="00921EEB" w:rsidP="00634172">
            <w:pPr>
              <w:jc w:val="right"/>
              <w:rPr>
                <w:sz w:val="15"/>
                <w:szCs w:val="15"/>
              </w:rPr>
            </w:pPr>
            <w:r w:rsidRPr="009C0DC0">
              <w:rPr>
                <w:sz w:val="15"/>
                <w:szCs w:val="15"/>
              </w:rPr>
              <w:t>245</w:t>
            </w:r>
          </w:p>
        </w:tc>
        <w:tc>
          <w:tcPr>
            <w:tcW w:w="1368" w:type="dxa"/>
            <w:tcBorders>
              <w:top w:val="nil"/>
              <w:left w:val="nil"/>
              <w:bottom w:val="nil"/>
              <w:right w:val="nil"/>
            </w:tcBorders>
            <w:shd w:val="clear" w:color="auto" w:fill="auto"/>
            <w:noWrap/>
            <w:vAlign w:val="bottom"/>
            <w:hideMark/>
          </w:tcPr>
          <w:p w14:paraId="0A0B5973" w14:textId="77777777" w:rsidR="00921EEB" w:rsidRPr="009C0DC0" w:rsidRDefault="00921EEB" w:rsidP="00634172">
            <w:pPr>
              <w:jc w:val="right"/>
              <w:rPr>
                <w:sz w:val="15"/>
                <w:szCs w:val="15"/>
              </w:rPr>
            </w:pPr>
            <w:r w:rsidRPr="009C0DC0">
              <w:rPr>
                <w:sz w:val="15"/>
                <w:szCs w:val="15"/>
              </w:rPr>
              <w:t>198</w:t>
            </w:r>
          </w:p>
        </w:tc>
        <w:tc>
          <w:tcPr>
            <w:tcW w:w="1553" w:type="dxa"/>
            <w:tcBorders>
              <w:top w:val="nil"/>
              <w:left w:val="nil"/>
              <w:bottom w:val="nil"/>
              <w:right w:val="nil"/>
            </w:tcBorders>
            <w:shd w:val="clear" w:color="auto" w:fill="auto"/>
            <w:noWrap/>
            <w:vAlign w:val="bottom"/>
            <w:hideMark/>
          </w:tcPr>
          <w:p w14:paraId="707358EE" w14:textId="77777777" w:rsidR="00921EEB" w:rsidRPr="009C0DC0" w:rsidRDefault="00921EEB" w:rsidP="00634172">
            <w:pPr>
              <w:jc w:val="right"/>
              <w:rPr>
                <w:sz w:val="15"/>
                <w:szCs w:val="15"/>
              </w:rPr>
            </w:pPr>
            <w:r w:rsidRPr="009C0DC0">
              <w:rPr>
                <w:sz w:val="15"/>
                <w:szCs w:val="15"/>
              </w:rPr>
              <w:t>198</w:t>
            </w:r>
          </w:p>
        </w:tc>
        <w:tc>
          <w:tcPr>
            <w:tcW w:w="1478" w:type="dxa"/>
            <w:tcBorders>
              <w:top w:val="nil"/>
              <w:left w:val="nil"/>
              <w:bottom w:val="nil"/>
              <w:right w:val="nil"/>
            </w:tcBorders>
            <w:shd w:val="clear" w:color="auto" w:fill="auto"/>
            <w:noWrap/>
            <w:vAlign w:val="bottom"/>
            <w:hideMark/>
          </w:tcPr>
          <w:p w14:paraId="14279F98" w14:textId="77777777" w:rsidR="00921EEB" w:rsidRPr="009C0DC0" w:rsidRDefault="00921EEB" w:rsidP="00634172">
            <w:pPr>
              <w:jc w:val="right"/>
              <w:rPr>
                <w:sz w:val="15"/>
                <w:szCs w:val="15"/>
              </w:rPr>
            </w:pPr>
            <w:r w:rsidRPr="009C0DC0">
              <w:rPr>
                <w:sz w:val="15"/>
                <w:szCs w:val="15"/>
              </w:rPr>
              <w:t>1</w:t>
            </w:r>
          </w:p>
        </w:tc>
      </w:tr>
      <w:tr w:rsidR="00921EEB" w:rsidRPr="009C0DC0" w14:paraId="1FC800B2" w14:textId="77777777" w:rsidTr="00921EEB">
        <w:trPr>
          <w:trHeight w:val="289"/>
        </w:trPr>
        <w:tc>
          <w:tcPr>
            <w:tcW w:w="2610" w:type="dxa"/>
            <w:gridSpan w:val="2"/>
            <w:tcBorders>
              <w:top w:val="nil"/>
              <w:left w:val="nil"/>
              <w:bottom w:val="nil"/>
              <w:right w:val="nil"/>
            </w:tcBorders>
            <w:shd w:val="clear" w:color="auto" w:fill="auto"/>
            <w:noWrap/>
            <w:vAlign w:val="bottom"/>
            <w:hideMark/>
          </w:tcPr>
          <w:p w14:paraId="117A3464" w14:textId="77777777" w:rsidR="00921EEB" w:rsidRPr="009C0DC0" w:rsidRDefault="00921EEB" w:rsidP="00634172">
            <w:pPr>
              <w:rPr>
                <w:sz w:val="15"/>
                <w:szCs w:val="15"/>
              </w:rPr>
            </w:pPr>
            <w:r w:rsidRPr="009C0DC0">
              <w:rPr>
                <w:sz w:val="15"/>
                <w:szCs w:val="15"/>
              </w:rPr>
              <w:t>Iringa</w:t>
            </w:r>
          </w:p>
        </w:tc>
        <w:tc>
          <w:tcPr>
            <w:tcW w:w="666" w:type="dxa"/>
            <w:tcBorders>
              <w:top w:val="nil"/>
              <w:left w:val="nil"/>
              <w:bottom w:val="nil"/>
              <w:right w:val="nil"/>
            </w:tcBorders>
            <w:shd w:val="clear" w:color="auto" w:fill="auto"/>
            <w:noWrap/>
            <w:vAlign w:val="bottom"/>
            <w:hideMark/>
          </w:tcPr>
          <w:p w14:paraId="1838A3D7" w14:textId="77777777" w:rsidR="00921EEB" w:rsidRPr="009C0DC0" w:rsidRDefault="00921EEB" w:rsidP="00634172">
            <w:pPr>
              <w:jc w:val="right"/>
              <w:rPr>
                <w:sz w:val="15"/>
                <w:szCs w:val="15"/>
              </w:rPr>
            </w:pPr>
            <w:r w:rsidRPr="009C0DC0">
              <w:rPr>
                <w:sz w:val="15"/>
                <w:szCs w:val="15"/>
              </w:rPr>
              <w:t>749</w:t>
            </w:r>
          </w:p>
        </w:tc>
        <w:tc>
          <w:tcPr>
            <w:tcW w:w="1368" w:type="dxa"/>
            <w:tcBorders>
              <w:top w:val="nil"/>
              <w:left w:val="nil"/>
              <w:bottom w:val="nil"/>
              <w:right w:val="nil"/>
            </w:tcBorders>
            <w:shd w:val="clear" w:color="auto" w:fill="auto"/>
            <w:noWrap/>
            <w:vAlign w:val="bottom"/>
            <w:hideMark/>
          </w:tcPr>
          <w:p w14:paraId="4FF23BD5" w14:textId="77777777" w:rsidR="00921EEB" w:rsidRPr="009C0DC0" w:rsidRDefault="00921EEB" w:rsidP="00634172">
            <w:pPr>
              <w:jc w:val="right"/>
              <w:rPr>
                <w:sz w:val="15"/>
                <w:szCs w:val="15"/>
              </w:rPr>
            </w:pPr>
            <w:r w:rsidRPr="009C0DC0">
              <w:rPr>
                <w:sz w:val="15"/>
                <w:szCs w:val="15"/>
              </w:rPr>
              <w:t>913</w:t>
            </w:r>
          </w:p>
        </w:tc>
        <w:tc>
          <w:tcPr>
            <w:tcW w:w="1553" w:type="dxa"/>
            <w:tcBorders>
              <w:top w:val="nil"/>
              <w:left w:val="nil"/>
              <w:bottom w:val="nil"/>
              <w:right w:val="nil"/>
            </w:tcBorders>
            <w:shd w:val="clear" w:color="auto" w:fill="auto"/>
            <w:noWrap/>
            <w:vAlign w:val="bottom"/>
            <w:hideMark/>
          </w:tcPr>
          <w:p w14:paraId="1AEE3438" w14:textId="77777777" w:rsidR="00921EEB" w:rsidRPr="009C0DC0" w:rsidRDefault="00921EEB" w:rsidP="00634172">
            <w:pPr>
              <w:jc w:val="right"/>
              <w:rPr>
                <w:sz w:val="15"/>
                <w:szCs w:val="15"/>
              </w:rPr>
            </w:pPr>
            <w:r w:rsidRPr="009C0DC0">
              <w:rPr>
                <w:sz w:val="15"/>
                <w:szCs w:val="15"/>
              </w:rPr>
              <w:t>862</w:t>
            </w:r>
          </w:p>
        </w:tc>
        <w:tc>
          <w:tcPr>
            <w:tcW w:w="1478" w:type="dxa"/>
            <w:tcBorders>
              <w:top w:val="nil"/>
              <w:left w:val="nil"/>
              <w:bottom w:val="nil"/>
              <w:right w:val="nil"/>
            </w:tcBorders>
            <w:shd w:val="clear" w:color="auto" w:fill="auto"/>
            <w:noWrap/>
            <w:vAlign w:val="bottom"/>
            <w:hideMark/>
          </w:tcPr>
          <w:p w14:paraId="3F561A04" w14:textId="77777777" w:rsidR="00921EEB" w:rsidRPr="009C0DC0" w:rsidRDefault="00921EEB" w:rsidP="00634172">
            <w:pPr>
              <w:jc w:val="right"/>
              <w:rPr>
                <w:sz w:val="15"/>
                <w:szCs w:val="15"/>
              </w:rPr>
            </w:pPr>
            <w:r w:rsidRPr="009C0DC0">
              <w:rPr>
                <w:sz w:val="15"/>
                <w:szCs w:val="15"/>
              </w:rPr>
              <w:t>3,014</w:t>
            </w:r>
          </w:p>
        </w:tc>
      </w:tr>
      <w:tr w:rsidR="00921EEB" w:rsidRPr="009C0DC0" w14:paraId="10742E03" w14:textId="77777777" w:rsidTr="00921EEB">
        <w:trPr>
          <w:trHeight w:val="289"/>
        </w:trPr>
        <w:tc>
          <w:tcPr>
            <w:tcW w:w="2610" w:type="dxa"/>
            <w:gridSpan w:val="2"/>
            <w:tcBorders>
              <w:top w:val="nil"/>
              <w:left w:val="nil"/>
              <w:bottom w:val="nil"/>
              <w:right w:val="nil"/>
            </w:tcBorders>
            <w:shd w:val="clear" w:color="auto" w:fill="auto"/>
            <w:noWrap/>
            <w:vAlign w:val="bottom"/>
            <w:hideMark/>
          </w:tcPr>
          <w:p w14:paraId="56CF786A" w14:textId="77777777" w:rsidR="00921EEB" w:rsidRPr="009C0DC0" w:rsidRDefault="00921EEB" w:rsidP="00634172">
            <w:pPr>
              <w:rPr>
                <w:sz w:val="15"/>
                <w:szCs w:val="15"/>
              </w:rPr>
            </w:pPr>
            <w:r w:rsidRPr="009C0DC0">
              <w:rPr>
                <w:sz w:val="15"/>
                <w:szCs w:val="15"/>
              </w:rPr>
              <w:t>Mbeya</w:t>
            </w:r>
          </w:p>
        </w:tc>
        <w:tc>
          <w:tcPr>
            <w:tcW w:w="666" w:type="dxa"/>
            <w:tcBorders>
              <w:top w:val="nil"/>
              <w:left w:val="nil"/>
              <w:bottom w:val="nil"/>
              <w:right w:val="nil"/>
            </w:tcBorders>
            <w:shd w:val="clear" w:color="auto" w:fill="auto"/>
            <w:noWrap/>
            <w:vAlign w:val="bottom"/>
            <w:hideMark/>
          </w:tcPr>
          <w:p w14:paraId="704B6CD9" w14:textId="77777777" w:rsidR="00921EEB" w:rsidRPr="009C0DC0" w:rsidRDefault="00921EEB" w:rsidP="00634172">
            <w:pPr>
              <w:jc w:val="right"/>
              <w:rPr>
                <w:sz w:val="15"/>
                <w:szCs w:val="15"/>
              </w:rPr>
            </w:pPr>
            <w:r w:rsidRPr="009C0DC0">
              <w:rPr>
                <w:sz w:val="15"/>
                <w:szCs w:val="15"/>
              </w:rPr>
              <w:t>6,796</w:t>
            </w:r>
          </w:p>
        </w:tc>
        <w:tc>
          <w:tcPr>
            <w:tcW w:w="1368" w:type="dxa"/>
            <w:tcBorders>
              <w:top w:val="nil"/>
              <w:left w:val="nil"/>
              <w:bottom w:val="nil"/>
              <w:right w:val="nil"/>
            </w:tcBorders>
            <w:shd w:val="clear" w:color="auto" w:fill="auto"/>
            <w:noWrap/>
            <w:vAlign w:val="bottom"/>
            <w:hideMark/>
          </w:tcPr>
          <w:p w14:paraId="189BA1B8" w14:textId="77777777" w:rsidR="00921EEB" w:rsidRPr="009C0DC0" w:rsidRDefault="00921EEB" w:rsidP="00634172">
            <w:pPr>
              <w:jc w:val="right"/>
              <w:rPr>
                <w:sz w:val="15"/>
                <w:szCs w:val="15"/>
              </w:rPr>
            </w:pPr>
            <w:r w:rsidRPr="009C0DC0">
              <w:rPr>
                <w:sz w:val="15"/>
                <w:szCs w:val="15"/>
              </w:rPr>
              <w:t>1,809</w:t>
            </w:r>
          </w:p>
        </w:tc>
        <w:tc>
          <w:tcPr>
            <w:tcW w:w="1553" w:type="dxa"/>
            <w:tcBorders>
              <w:top w:val="nil"/>
              <w:left w:val="nil"/>
              <w:bottom w:val="nil"/>
              <w:right w:val="nil"/>
            </w:tcBorders>
            <w:shd w:val="clear" w:color="auto" w:fill="auto"/>
            <w:noWrap/>
            <w:vAlign w:val="bottom"/>
            <w:hideMark/>
          </w:tcPr>
          <w:p w14:paraId="2597BE14" w14:textId="77777777" w:rsidR="00921EEB" w:rsidRPr="009C0DC0" w:rsidRDefault="00921EEB" w:rsidP="00634172">
            <w:pPr>
              <w:jc w:val="right"/>
              <w:rPr>
                <w:sz w:val="15"/>
                <w:szCs w:val="15"/>
              </w:rPr>
            </w:pPr>
            <w:r w:rsidRPr="009C0DC0">
              <w:rPr>
                <w:sz w:val="15"/>
                <w:szCs w:val="15"/>
              </w:rPr>
              <w:t>1,682</w:t>
            </w:r>
          </w:p>
        </w:tc>
        <w:tc>
          <w:tcPr>
            <w:tcW w:w="1478" w:type="dxa"/>
            <w:tcBorders>
              <w:top w:val="nil"/>
              <w:left w:val="nil"/>
              <w:bottom w:val="nil"/>
              <w:right w:val="nil"/>
            </w:tcBorders>
            <w:shd w:val="clear" w:color="auto" w:fill="auto"/>
            <w:noWrap/>
            <w:vAlign w:val="bottom"/>
            <w:hideMark/>
          </w:tcPr>
          <w:p w14:paraId="4963BB83" w14:textId="77777777" w:rsidR="00921EEB" w:rsidRPr="009C0DC0" w:rsidRDefault="00921EEB" w:rsidP="00634172">
            <w:pPr>
              <w:jc w:val="right"/>
              <w:rPr>
                <w:sz w:val="15"/>
                <w:szCs w:val="15"/>
              </w:rPr>
            </w:pPr>
            <w:r w:rsidRPr="009C0DC0">
              <w:rPr>
                <w:sz w:val="15"/>
                <w:szCs w:val="15"/>
              </w:rPr>
              <w:t>9,876</w:t>
            </w:r>
          </w:p>
        </w:tc>
      </w:tr>
      <w:tr w:rsidR="00921EEB" w:rsidRPr="009C0DC0" w14:paraId="34EEE70A" w14:textId="77777777" w:rsidTr="00921EEB">
        <w:trPr>
          <w:trHeight w:val="289"/>
        </w:trPr>
        <w:tc>
          <w:tcPr>
            <w:tcW w:w="2610" w:type="dxa"/>
            <w:gridSpan w:val="2"/>
            <w:tcBorders>
              <w:top w:val="nil"/>
              <w:left w:val="nil"/>
              <w:bottom w:val="nil"/>
              <w:right w:val="nil"/>
            </w:tcBorders>
            <w:shd w:val="clear" w:color="auto" w:fill="auto"/>
            <w:noWrap/>
            <w:vAlign w:val="bottom"/>
            <w:hideMark/>
          </w:tcPr>
          <w:p w14:paraId="5415DED0" w14:textId="77777777" w:rsidR="00921EEB" w:rsidRPr="009C0DC0" w:rsidRDefault="00921EEB" w:rsidP="00634172">
            <w:pPr>
              <w:rPr>
                <w:sz w:val="15"/>
                <w:szCs w:val="15"/>
              </w:rPr>
            </w:pPr>
            <w:r w:rsidRPr="009C0DC0">
              <w:rPr>
                <w:sz w:val="15"/>
                <w:szCs w:val="15"/>
              </w:rPr>
              <w:t>Kagera</w:t>
            </w:r>
          </w:p>
        </w:tc>
        <w:tc>
          <w:tcPr>
            <w:tcW w:w="666" w:type="dxa"/>
            <w:tcBorders>
              <w:top w:val="nil"/>
              <w:left w:val="nil"/>
              <w:bottom w:val="nil"/>
              <w:right w:val="nil"/>
            </w:tcBorders>
            <w:shd w:val="clear" w:color="auto" w:fill="auto"/>
            <w:noWrap/>
            <w:vAlign w:val="bottom"/>
            <w:hideMark/>
          </w:tcPr>
          <w:p w14:paraId="6611B477" w14:textId="77777777" w:rsidR="00921EEB" w:rsidRPr="009C0DC0" w:rsidRDefault="00921EEB" w:rsidP="00634172">
            <w:pPr>
              <w:jc w:val="right"/>
              <w:rPr>
                <w:sz w:val="15"/>
                <w:szCs w:val="15"/>
              </w:rPr>
            </w:pPr>
            <w:r w:rsidRPr="009C0DC0">
              <w:rPr>
                <w:sz w:val="15"/>
                <w:szCs w:val="15"/>
              </w:rPr>
              <w:t>338</w:t>
            </w:r>
          </w:p>
        </w:tc>
        <w:tc>
          <w:tcPr>
            <w:tcW w:w="1368" w:type="dxa"/>
            <w:tcBorders>
              <w:top w:val="nil"/>
              <w:left w:val="nil"/>
              <w:bottom w:val="nil"/>
              <w:right w:val="nil"/>
            </w:tcBorders>
            <w:shd w:val="clear" w:color="auto" w:fill="auto"/>
            <w:noWrap/>
            <w:vAlign w:val="bottom"/>
            <w:hideMark/>
          </w:tcPr>
          <w:p w14:paraId="50453071" w14:textId="77777777" w:rsidR="00921EEB" w:rsidRPr="009C0DC0" w:rsidRDefault="00921EEB" w:rsidP="00634172">
            <w:pPr>
              <w:jc w:val="right"/>
              <w:rPr>
                <w:sz w:val="15"/>
                <w:szCs w:val="15"/>
              </w:rPr>
            </w:pPr>
            <w:r w:rsidRPr="009C0DC0">
              <w:rPr>
                <w:sz w:val="15"/>
                <w:szCs w:val="15"/>
              </w:rPr>
              <w:t>17</w:t>
            </w:r>
          </w:p>
        </w:tc>
        <w:tc>
          <w:tcPr>
            <w:tcW w:w="1553" w:type="dxa"/>
            <w:tcBorders>
              <w:top w:val="nil"/>
              <w:left w:val="nil"/>
              <w:bottom w:val="nil"/>
              <w:right w:val="nil"/>
            </w:tcBorders>
            <w:shd w:val="clear" w:color="auto" w:fill="auto"/>
            <w:noWrap/>
            <w:vAlign w:val="bottom"/>
            <w:hideMark/>
          </w:tcPr>
          <w:p w14:paraId="09603885" w14:textId="77777777" w:rsidR="00921EEB" w:rsidRPr="009C0DC0" w:rsidRDefault="00921EEB" w:rsidP="00634172">
            <w:pPr>
              <w:jc w:val="right"/>
              <w:rPr>
                <w:sz w:val="15"/>
                <w:szCs w:val="15"/>
              </w:rPr>
            </w:pPr>
            <w:r w:rsidRPr="009C0DC0">
              <w:rPr>
                <w:sz w:val="15"/>
                <w:szCs w:val="15"/>
              </w:rPr>
              <w:t>17</w:t>
            </w:r>
          </w:p>
        </w:tc>
        <w:tc>
          <w:tcPr>
            <w:tcW w:w="1478" w:type="dxa"/>
            <w:tcBorders>
              <w:top w:val="nil"/>
              <w:left w:val="nil"/>
              <w:bottom w:val="nil"/>
              <w:right w:val="nil"/>
            </w:tcBorders>
            <w:shd w:val="clear" w:color="auto" w:fill="auto"/>
            <w:noWrap/>
            <w:vAlign w:val="bottom"/>
            <w:hideMark/>
          </w:tcPr>
          <w:p w14:paraId="4B64F525" w14:textId="77777777" w:rsidR="00921EEB" w:rsidRPr="009C0DC0" w:rsidRDefault="00921EEB" w:rsidP="00634172">
            <w:pPr>
              <w:jc w:val="right"/>
              <w:rPr>
                <w:sz w:val="15"/>
                <w:szCs w:val="15"/>
              </w:rPr>
            </w:pPr>
            <w:r w:rsidRPr="009C0DC0">
              <w:rPr>
                <w:sz w:val="15"/>
                <w:szCs w:val="15"/>
              </w:rPr>
              <w:t>30</w:t>
            </w:r>
          </w:p>
        </w:tc>
      </w:tr>
      <w:tr w:rsidR="00921EEB" w:rsidRPr="009C0DC0" w14:paraId="058F0FA1" w14:textId="77777777" w:rsidTr="00921EEB">
        <w:trPr>
          <w:trHeight w:val="289"/>
        </w:trPr>
        <w:tc>
          <w:tcPr>
            <w:tcW w:w="2610" w:type="dxa"/>
            <w:gridSpan w:val="2"/>
            <w:tcBorders>
              <w:top w:val="nil"/>
              <w:left w:val="nil"/>
              <w:bottom w:val="nil"/>
              <w:right w:val="nil"/>
            </w:tcBorders>
            <w:shd w:val="clear" w:color="auto" w:fill="auto"/>
            <w:noWrap/>
            <w:vAlign w:val="bottom"/>
            <w:hideMark/>
          </w:tcPr>
          <w:p w14:paraId="4C224811" w14:textId="77777777" w:rsidR="00921EEB" w:rsidRPr="009C0DC0" w:rsidRDefault="00921EEB" w:rsidP="00634172">
            <w:pPr>
              <w:rPr>
                <w:sz w:val="15"/>
                <w:szCs w:val="15"/>
              </w:rPr>
            </w:pPr>
            <w:r w:rsidRPr="009C0DC0">
              <w:rPr>
                <w:sz w:val="15"/>
                <w:szCs w:val="15"/>
              </w:rPr>
              <w:t>Njombe</w:t>
            </w:r>
          </w:p>
        </w:tc>
        <w:tc>
          <w:tcPr>
            <w:tcW w:w="666" w:type="dxa"/>
            <w:tcBorders>
              <w:top w:val="nil"/>
              <w:left w:val="nil"/>
              <w:bottom w:val="nil"/>
              <w:right w:val="nil"/>
            </w:tcBorders>
            <w:shd w:val="clear" w:color="auto" w:fill="auto"/>
            <w:noWrap/>
            <w:vAlign w:val="bottom"/>
            <w:hideMark/>
          </w:tcPr>
          <w:p w14:paraId="5A33A16C" w14:textId="77777777" w:rsidR="00921EEB" w:rsidRPr="009C0DC0" w:rsidRDefault="00921EEB" w:rsidP="00634172">
            <w:pPr>
              <w:jc w:val="right"/>
              <w:rPr>
                <w:sz w:val="15"/>
                <w:szCs w:val="15"/>
              </w:rPr>
            </w:pPr>
            <w:r w:rsidRPr="009C0DC0">
              <w:rPr>
                <w:sz w:val="15"/>
                <w:szCs w:val="15"/>
              </w:rPr>
              <w:t>2,037</w:t>
            </w:r>
          </w:p>
        </w:tc>
        <w:tc>
          <w:tcPr>
            <w:tcW w:w="1368" w:type="dxa"/>
            <w:tcBorders>
              <w:top w:val="nil"/>
              <w:left w:val="nil"/>
              <w:bottom w:val="nil"/>
              <w:right w:val="nil"/>
            </w:tcBorders>
            <w:shd w:val="clear" w:color="auto" w:fill="auto"/>
            <w:noWrap/>
            <w:vAlign w:val="bottom"/>
            <w:hideMark/>
          </w:tcPr>
          <w:p w14:paraId="09C47FA2" w14:textId="77777777" w:rsidR="00921EEB" w:rsidRPr="009C0DC0" w:rsidRDefault="00921EEB" w:rsidP="00634172">
            <w:pPr>
              <w:jc w:val="right"/>
              <w:rPr>
                <w:sz w:val="15"/>
                <w:szCs w:val="15"/>
              </w:rPr>
            </w:pPr>
            <w:r w:rsidRPr="009C0DC0">
              <w:rPr>
                <w:sz w:val="15"/>
                <w:szCs w:val="15"/>
              </w:rPr>
              <w:t>1,036</w:t>
            </w:r>
          </w:p>
        </w:tc>
        <w:tc>
          <w:tcPr>
            <w:tcW w:w="1553" w:type="dxa"/>
            <w:tcBorders>
              <w:top w:val="nil"/>
              <w:left w:val="nil"/>
              <w:bottom w:val="nil"/>
              <w:right w:val="nil"/>
            </w:tcBorders>
            <w:shd w:val="clear" w:color="auto" w:fill="auto"/>
            <w:noWrap/>
            <w:vAlign w:val="bottom"/>
            <w:hideMark/>
          </w:tcPr>
          <w:p w14:paraId="526123B2" w14:textId="77777777" w:rsidR="00921EEB" w:rsidRPr="009C0DC0" w:rsidRDefault="00921EEB" w:rsidP="00634172">
            <w:pPr>
              <w:jc w:val="right"/>
              <w:rPr>
                <w:sz w:val="15"/>
                <w:szCs w:val="15"/>
              </w:rPr>
            </w:pPr>
            <w:r w:rsidRPr="009C0DC0">
              <w:rPr>
                <w:sz w:val="15"/>
                <w:szCs w:val="15"/>
              </w:rPr>
              <w:t>593</w:t>
            </w:r>
          </w:p>
        </w:tc>
        <w:tc>
          <w:tcPr>
            <w:tcW w:w="1478" w:type="dxa"/>
            <w:tcBorders>
              <w:top w:val="nil"/>
              <w:left w:val="nil"/>
              <w:bottom w:val="nil"/>
              <w:right w:val="nil"/>
            </w:tcBorders>
            <w:shd w:val="clear" w:color="auto" w:fill="auto"/>
            <w:noWrap/>
            <w:vAlign w:val="bottom"/>
            <w:hideMark/>
          </w:tcPr>
          <w:p w14:paraId="73A34631" w14:textId="77777777" w:rsidR="00921EEB" w:rsidRPr="009C0DC0" w:rsidRDefault="00921EEB" w:rsidP="00634172">
            <w:pPr>
              <w:jc w:val="right"/>
              <w:rPr>
                <w:sz w:val="15"/>
                <w:szCs w:val="15"/>
              </w:rPr>
            </w:pPr>
            <w:r w:rsidRPr="009C0DC0">
              <w:rPr>
                <w:sz w:val="15"/>
                <w:szCs w:val="15"/>
              </w:rPr>
              <w:t>2,900</w:t>
            </w:r>
          </w:p>
        </w:tc>
      </w:tr>
      <w:tr w:rsidR="00921EEB" w:rsidRPr="009C0DC0" w14:paraId="655AF5A8" w14:textId="77777777" w:rsidTr="00921EEB">
        <w:trPr>
          <w:trHeight w:val="289"/>
        </w:trPr>
        <w:tc>
          <w:tcPr>
            <w:tcW w:w="2160" w:type="dxa"/>
            <w:tcBorders>
              <w:top w:val="single" w:sz="4" w:space="0" w:color="auto"/>
              <w:left w:val="nil"/>
              <w:bottom w:val="single" w:sz="4" w:space="0" w:color="auto"/>
              <w:right w:val="nil"/>
            </w:tcBorders>
            <w:shd w:val="clear" w:color="auto" w:fill="E2EFD9" w:themeFill="accent6" w:themeFillTint="33"/>
            <w:noWrap/>
            <w:vAlign w:val="bottom"/>
            <w:hideMark/>
          </w:tcPr>
          <w:p w14:paraId="5C574E61" w14:textId="67B19C0C" w:rsidR="00921EEB" w:rsidRPr="009C0DC0" w:rsidRDefault="00921EEB" w:rsidP="00634172">
            <w:pPr>
              <w:rPr>
                <w:b/>
                <w:bCs/>
                <w:sz w:val="15"/>
                <w:szCs w:val="15"/>
              </w:rPr>
            </w:pPr>
            <w:r w:rsidRPr="009C0DC0">
              <w:rPr>
                <w:b/>
                <w:bCs/>
                <w:sz w:val="15"/>
                <w:szCs w:val="15"/>
              </w:rPr>
              <w:t>Mainland Tanzania</w:t>
            </w:r>
          </w:p>
        </w:tc>
        <w:tc>
          <w:tcPr>
            <w:tcW w:w="1116" w:type="dxa"/>
            <w:gridSpan w:val="2"/>
            <w:tcBorders>
              <w:top w:val="single" w:sz="4" w:space="0" w:color="auto"/>
              <w:left w:val="nil"/>
              <w:bottom w:val="single" w:sz="4" w:space="0" w:color="auto"/>
              <w:right w:val="nil"/>
            </w:tcBorders>
            <w:shd w:val="clear" w:color="auto" w:fill="E2EFD9" w:themeFill="accent6" w:themeFillTint="33"/>
            <w:noWrap/>
            <w:vAlign w:val="bottom"/>
            <w:hideMark/>
          </w:tcPr>
          <w:p w14:paraId="1C66D69A" w14:textId="77777777" w:rsidR="00921EEB" w:rsidRPr="009C0DC0" w:rsidRDefault="00921EEB" w:rsidP="00634172">
            <w:pPr>
              <w:jc w:val="right"/>
              <w:rPr>
                <w:b/>
                <w:bCs/>
                <w:sz w:val="15"/>
                <w:szCs w:val="15"/>
              </w:rPr>
            </w:pPr>
            <w:r w:rsidRPr="009C0DC0">
              <w:rPr>
                <w:b/>
                <w:bCs/>
                <w:sz w:val="15"/>
                <w:szCs w:val="15"/>
              </w:rPr>
              <w:t>18,661</w:t>
            </w:r>
          </w:p>
        </w:tc>
        <w:tc>
          <w:tcPr>
            <w:tcW w:w="1368" w:type="dxa"/>
            <w:tcBorders>
              <w:top w:val="single" w:sz="4" w:space="0" w:color="auto"/>
              <w:left w:val="nil"/>
              <w:bottom w:val="single" w:sz="4" w:space="0" w:color="auto"/>
              <w:right w:val="nil"/>
            </w:tcBorders>
            <w:shd w:val="clear" w:color="auto" w:fill="E2EFD9" w:themeFill="accent6" w:themeFillTint="33"/>
            <w:noWrap/>
            <w:vAlign w:val="bottom"/>
            <w:hideMark/>
          </w:tcPr>
          <w:p w14:paraId="304392FC" w14:textId="77777777" w:rsidR="00921EEB" w:rsidRPr="009C0DC0" w:rsidRDefault="00921EEB" w:rsidP="00634172">
            <w:pPr>
              <w:jc w:val="right"/>
              <w:rPr>
                <w:b/>
                <w:bCs/>
                <w:sz w:val="15"/>
                <w:szCs w:val="15"/>
              </w:rPr>
            </w:pPr>
            <w:r w:rsidRPr="009C0DC0">
              <w:rPr>
                <w:b/>
                <w:bCs/>
                <w:sz w:val="15"/>
                <w:szCs w:val="15"/>
              </w:rPr>
              <w:t>7,246</w:t>
            </w:r>
          </w:p>
        </w:tc>
        <w:tc>
          <w:tcPr>
            <w:tcW w:w="1553" w:type="dxa"/>
            <w:tcBorders>
              <w:top w:val="single" w:sz="4" w:space="0" w:color="auto"/>
              <w:left w:val="nil"/>
              <w:bottom w:val="single" w:sz="4" w:space="0" w:color="auto"/>
              <w:right w:val="nil"/>
            </w:tcBorders>
            <w:shd w:val="clear" w:color="auto" w:fill="E2EFD9" w:themeFill="accent6" w:themeFillTint="33"/>
            <w:noWrap/>
            <w:vAlign w:val="bottom"/>
            <w:hideMark/>
          </w:tcPr>
          <w:p w14:paraId="2B6A9A80" w14:textId="77777777" w:rsidR="00921EEB" w:rsidRPr="009C0DC0" w:rsidRDefault="00921EEB" w:rsidP="00634172">
            <w:pPr>
              <w:jc w:val="right"/>
              <w:rPr>
                <w:b/>
                <w:bCs/>
                <w:sz w:val="15"/>
                <w:szCs w:val="15"/>
              </w:rPr>
            </w:pPr>
            <w:r w:rsidRPr="009C0DC0">
              <w:rPr>
                <w:b/>
                <w:bCs/>
                <w:sz w:val="15"/>
                <w:szCs w:val="15"/>
              </w:rPr>
              <w:t>5,621</w:t>
            </w:r>
          </w:p>
        </w:tc>
        <w:tc>
          <w:tcPr>
            <w:tcW w:w="1478" w:type="dxa"/>
            <w:tcBorders>
              <w:top w:val="single" w:sz="4" w:space="0" w:color="auto"/>
              <w:left w:val="nil"/>
              <w:bottom w:val="single" w:sz="4" w:space="0" w:color="auto"/>
              <w:right w:val="nil"/>
            </w:tcBorders>
            <w:shd w:val="clear" w:color="auto" w:fill="E2EFD9" w:themeFill="accent6" w:themeFillTint="33"/>
            <w:noWrap/>
            <w:vAlign w:val="bottom"/>
            <w:hideMark/>
          </w:tcPr>
          <w:p w14:paraId="33B5E8E2" w14:textId="77777777" w:rsidR="00921EEB" w:rsidRPr="009C0DC0" w:rsidRDefault="00921EEB" w:rsidP="00634172">
            <w:pPr>
              <w:jc w:val="right"/>
              <w:rPr>
                <w:b/>
                <w:bCs/>
                <w:sz w:val="15"/>
                <w:szCs w:val="15"/>
              </w:rPr>
            </w:pPr>
            <w:r w:rsidRPr="009C0DC0">
              <w:rPr>
                <w:b/>
                <w:bCs/>
                <w:sz w:val="15"/>
                <w:szCs w:val="15"/>
              </w:rPr>
              <w:t>25,295</w:t>
            </w:r>
          </w:p>
        </w:tc>
      </w:tr>
    </w:tbl>
    <w:p w14:paraId="10821C73" w14:textId="77777777" w:rsidR="0083291D" w:rsidRPr="0083291D" w:rsidRDefault="0083291D" w:rsidP="004C6B00"/>
    <w:p w14:paraId="54137A27" w14:textId="07E73B8C" w:rsidR="00E16412" w:rsidRPr="006B42D6" w:rsidRDefault="00E16412" w:rsidP="005C2EFC">
      <w:pPr>
        <w:pStyle w:val="Heading4"/>
      </w:pPr>
      <w:bookmarkStart w:id="261" w:name="_Toc82385684"/>
      <w:r w:rsidRPr="006B42D6">
        <w:t>3.1.</w:t>
      </w:r>
      <w:r w:rsidR="00193728">
        <w:t>6</w:t>
      </w:r>
      <w:r w:rsidRPr="006B42D6">
        <w:t>.9</w:t>
      </w:r>
      <w:r w:rsidR="000807B0" w:rsidRPr="006B42D6">
        <w:tab/>
      </w:r>
      <w:r w:rsidRPr="006B42D6">
        <w:t>Clove</w:t>
      </w:r>
      <w:bookmarkEnd w:id="261"/>
    </w:p>
    <w:p w14:paraId="218C734E" w14:textId="34327A86" w:rsidR="00E16412" w:rsidRDefault="00E16412" w:rsidP="005C2EFC">
      <w:r w:rsidRPr="006B42D6">
        <w:t xml:space="preserve">Clove was grown in only two regions of </w:t>
      </w:r>
      <w:r w:rsidR="00EA1552">
        <w:t>Mainland Tanzania</w:t>
      </w:r>
      <w:r w:rsidRPr="006B42D6">
        <w:t xml:space="preserve"> and in all five regions of </w:t>
      </w:r>
      <w:r w:rsidR="00B93A9E" w:rsidRPr="006B42D6">
        <w:t xml:space="preserve">Tanzania </w:t>
      </w:r>
      <w:r w:rsidRPr="006B42D6">
        <w:t>Zanzibar. A total of 36,4</w:t>
      </w:r>
      <w:r w:rsidR="00A131DB" w:rsidRPr="006B42D6">
        <w:t xml:space="preserve">80 </w:t>
      </w:r>
      <w:r w:rsidRPr="006B42D6">
        <w:t>households, were engaged in the production of clove</w:t>
      </w:r>
      <w:r w:rsidR="00B90CD7" w:rsidRPr="006B42D6">
        <w:t xml:space="preserve"> out </w:t>
      </w:r>
      <w:r w:rsidRPr="006B42D6">
        <w:t xml:space="preserve">of which, 11,383 households were in </w:t>
      </w:r>
      <w:r w:rsidR="00EA1552">
        <w:t>Mainland Tanzania</w:t>
      </w:r>
      <w:r w:rsidRPr="006B42D6">
        <w:t xml:space="preserve"> and 25,097 households in </w:t>
      </w:r>
      <w:r w:rsidR="00B93A9E" w:rsidRPr="006B42D6">
        <w:t xml:space="preserve">Tanzania </w:t>
      </w:r>
      <w:r w:rsidRPr="006B42D6">
        <w:t xml:space="preserve">Zanzibar. </w:t>
      </w:r>
    </w:p>
    <w:p w14:paraId="0F934218" w14:textId="77777777" w:rsidR="00517589" w:rsidRPr="006B42D6" w:rsidRDefault="00517589" w:rsidP="00517589">
      <w:pPr>
        <w:spacing w:line="240" w:lineRule="auto"/>
      </w:pPr>
    </w:p>
    <w:p w14:paraId="6B28AE38" w14:textId="45B3241C" w:rsidR="00E16412" w:rsidRPr="006B42D6" w:rsidRDefault="00E16412" w:rsidP="005C2EFC">
      <w:r w:rsidRPr="006B42D6">
        <w:t>The total area planted with clove was 12,26</w:t>
      </w:r>
      <w:r w:rsidR="007F31FB" w:rsidRPr="006B42D6">
        <w:t>3</w:t>
      </w:r>
      <w:r w:rsidRPr="006B42D6">
        <w:t xml:space="preserve"> ha </w:t>
      </w:r>
      <w:r w:rsidR="00B90CD7" w:rsidRPr="006B42D6">
        <w:t xml:space="preserve">out </w:t>
      </w:r>
      <w:r w:rsidRPr="006B42D6">
        <w:t>of which, 11,58</w:t>
      </w:r>
      <w:r w:rsidR="00A131DB" w:rsidRPr="006B42D6">
        <w:t>3</w:t>
      </w:r>
      <w:r w:rsidRPr="006B42D6">
        <w:t xml:space="preserve"> ha was from smallholder farmers (94.5 percent) and 680 ha from large scale farms (5.5 percent). From smallholder farmers, Morogoro Region </w:t>
      </w:r>
      <w:r w:rsidR="007F31FB" w:rsidRPr="006B42D6">
        <w:t xml:space="preserve">had the largest area planted with clove </w:t>
      </w:r>
      <w:r w:rsidRPr="006B42D6">
        <w:t>(1,513 ha; 55.0 percent) compared to Tanga (1,240 ha; 45.0 percent).</w:t>
      </w:r>
      <w:r w:rsidR="00A131DB" w:rsidRPr="006B42D6">
        <w:t xml:space="preserve"> </w:t>
      </w:r>
      <w:r w:rsidRPr="006B42D6">
        <w:t>A total of 3,52</w:t>
      </w:r>
      <w:r w:rsidR="007F31FB" w:rsidRPr="006B42D6">
        <w:t>6</w:t>
      </w:r>
      <w:r w:rsidRPr="006B42D6">
        <w:t xml:space="preserve"> ha (30.4 percent of the total planted area with clove) was harvested</w:t>
      </w:r>
      <w:r w:rsidR="007F31FB" w:rsidRPr="006B42D6">
        <w:t>,</w:t>
      </w:r>
      <w:r w:rsidR="00B90CD7" w:rsidRPr="006B42D6">
        <w:t xml:space="preserve"> out of which </w:t>
      </w:r>
      <w:r w:rsidRPr="006B42D6">
        <w:t xml:space="preserve">1,217 ha were in </w:t>
      </w:r>
      <w:r w:rsidR="00EA1552">
        <w:t>Mainland Tanzania</w:t>
      </w:r>
      <w:r w:rsidRPr="006B42D6">
        <w:t xml:space="preserve"> and 2,308 ha in Zanzibar. Morogoro </w:t>
      </w:r>
      <w:r w:rsidR="007F31FB" w:rsidRPr="006B42D6">
        <w:t>r</w:t>
      </w:r>
      <w:r w:rsidRPr="006B42D6">
        <w:t xml:space="preserve">egion </w:t>
      </w:r>
      <w:r w:rsidR="007F31FB" w:rsidRPr="006B42D6">
        <w:t xml:space="preserve">had the largest harvested area of clove </w:t>
      </w:r>
      <w:r w:rsidRPr="006B42D6">
        <w:t>with 641 ha (52.7 percent) compared to Tanga (575 ha; 47.3 percent).</w:t>
      </w:r>
      <w:r w:rsidR="007F31FB" w:rsidRPr="006B42D6">
        <w:t xml:space="preserve"> In Tanzania Zanzibar, </w:t>
      </w:r>
      <w:r w:rsidR="001B7C87" w:rsidRPr="006B42D6">
        <w:lastRenderedPageBreak/>
        <w:t>Kusini Pemba region had the largest harvested area of clove with 1,607 ha (69.6 percent), followed by Kaskazini Pemba (295 ha; 12.8 percent), while Kusini Unguja had the least harvested area (28 ha; 1.2 percent)</w:t>
      </w:r>
      <w:r w:rsidR="009F18D5">
        <w:t>.</w:t>
      </w:r>
    </w:p>
    <w:p w14:paraId="60778712" w14:textId="77777777" w:rsidR="001B7C87" w:rsidRPr="006B42D6" w:rsidRDefault="001B7C87" w:rsidP="00517589">
      <w:pPr>
        <w:spacing w:line="240" w:lineRule="auto"/>
      </w:pPr>
    </w:p>
    <w:p w14:paraId="1EFFCB5D" w14:textId="23B7D594" w:rsidR="00F3282A" w:rsidRPr="006B42D6" w:rsidRDefault="00E16412" w:rsidP="005C2EFC">
      <w:r w:rsidRPr="006B42D6">
        <w:t>The total production for clove was 3,</w:t>
      </w:r>
      <w:r w:rsidR="001B7C87" w:rsidRPr="006B42D6">
        <w:t>364</w:t>
      </w:r>
      <w:r w:rsidRPr="006B42D6">
        <w:t xml:space="preserve"> tons </w:t>
      </w:r>
      <w:r w:rsidR="00E308B5" w:rsidRPr="006B42D6">
        <w:t xml:space="preserve">out </w:t>
      </w:r>
      <w:r w:rsidRPr="006B42D6">
        <w:t xml:space="preserve">of which, </w:t>
      </w:r>
      <w:r w:rsidR="001B7C87" w:rsidRPr="006B42D6">
        <w:t>3,281</w:t>
      </w:r>
      <w:r w:rsidRPr="006B42D6">
        <w:t xml:space="preserve"> tons were from smallholder farmers and 83 tons from large scale farms. </w:t>
      </w:r>
      <w:r w:rsidR="001B7C87" w:rsidRPr="006B42D6">
        <w:t xml:space="preserve">In </w:t>
      </w:r>
      <w:r w:rsidR="00EA1552">
        <w:t>Mainland Tanzania</w:t>
      </w:r>
      <w:r w:rsidR="001B7C87" w:rsidRPr="006B42D6">
        <w:t xml:space="preserve">, </w:t>
      </w:r>
      <w:r w:rsidRPr="006B42D6">
        <w:t xml:space="preserve">Morogoro region (575 tons; 62.1 percent) had the highest production of clove, followed by Tanga (351 tons; 37.9 percent). In </w:t>
      </w:r>
      <w:r w:rsidR="00B93A9E" w:rsidRPr="006B42D6">
        <w:t xml:space="preserve">Tanzania </w:t>
      </w:r>
      <w:r w:rsidRPr="006B42D6">
        <w:t>Zanzibar, Kusini Pemba region had the largest production of clove (1,</w:t>
      </w:r>
      <w:r w:rsidR="001B7C87" w:rsidRPr="006B42D6">
        <w:t>086</w:t>
      </w:r>
      <w:r w:rsidRPr="006B42D6">
        <w:t xml:space="preserve"> tons; 46.</w:t>
      </w:r>
      <w:r w:rsidR="001B7C87" w:rsidRPr="006B42D6">
        <w:t>1</w:t>
      </w:r>
      <w:r w:rsidRPr="006B42D6">
        <w:t xml:space="preserve"> percent), followed by Kaskazini Pemba (6</w:t>
      </w:r>
      <w:r w:rsidR="001B7C87" w:rsidRPr="006B42D6">
        <w:t>53</w:t>
      </w:r>
      <w:r w:rsidRPr="006B42D6">
        <w:t xml:space="preserve"> tons; 27.</w:t>
      </w:r>
      <w:r w:rsidR="001B7C87" w:rsidRPr="006B42D6">
        <w:t>8</w:t>
      </w:r>
      <w:r w:rsidRPr="006B42D6">
        <w:t xml:space="preserve"> percent)</w:t>
      </w:r>
      <w:r w:rsidR="001B7C87" w:rsidRPr="006B42D6">
        <w:t>, while</w:t>
      </w:r>
      <w:r w:rsidRPr="006B42D6">
        <w:t xml:space="preserve"> </w:t>
      </w:r>
      <w:r w:rsidR="00717D76">
        <w:t xml:space="preserve">the least production was in </w:t>
      </w:r>
      <w:r w:rsidR="001B7C87" w:rsidRPr="006B42D6">
        <w:t>Kaskazini</w:t>
      </w:r>
      <w:r w:rsidRPr="006B42D6">
        <w:t xml:space="preserve"> </w:t>
      </w:r>
      <w:r w:rsidR="001B7C87" w:rsidRPr="006B42D6">
        <w:t>Unguja</w:t>
      </w:r>
      <w:r w:rsidRPr="006B42D6">
        <w:t xml:space="preserve"> (</w:t>
      </w:r>
      <w:r w:rsidR="001B7C87" w:rsidRPr="006B42D6">
        <w:t>114</w:t>
      </w:r>
      <w:r w:rsidRPr="006B42D6">
        <w:t xml:space="preserve"> tons; </w:t>
      </w:r>
      <w:r w:rsidR="001B7C87" w:rsidRPr="006B42D6">
        <w:t>4</w:t>
      </w:r>
      <w:r w:rsidRPr="006B42D6">
        <w:t>.</w:t>
      </w:r>
      <w:r w:rsidR="001B7C87" w:rsidRPr="006B42D6">
        <w:t>8</w:t>
      </w:r>
      <w:r w:rsidRPr="006B42D6">
        <w:t xml:space="preserve"> percent) (Table 3.1</w:t>
      </w:r>
      <w:r w:rsidR="00CD75FC">
        <w:t>7</w:t>
      </w:r>
      <w:r w:rsidRPr="006B42D6">
        <w:t>).</w:t>
      </w:r>
    </w:p>
    <w:p w14:paraId="3BB6D624" w14:textId="77777777" w:rsidR="00E16412" w:rsidRPr="006B42D6" w:rsidRDefault="00E16412" w:rsidP="005C2EFC">
      <w:pPr>
        <w:rPr>
          <w:b/>
        </w:rPr>
      </w:pPr>
    </w:p>
    <w:p w14:paraId="5629651B" w14:textId="3102C0F7" w:rsidR="00E16412" w:rsidRPr="006B42D6" w:rsidRDefault="00E16412" w:rsidP="007200F6">
      <w:pPr>
        <w:pStyle w:val="Heading7"/>
      </w:pPr>
      <w:bookmarkStart w:id="262" w:name="_Toc82386199"/>
      <w:r w:rsidRPr="006B42D6">
        <w:t>Table 3.1</w:t>
      </w:r>
      <w:r w:rsidR="00CD75FC">
        <w:t>7</w:t>
      </w:r>
      <w:r w:rsidR="004C6B00">
        <w:t>:</w:t>
      </w:r>
      <w:r w:rsidR="004C6B00">
        <w:tab/>
      </w:r>
      <w:r w:rsidRPr="006B42D6">
        <w:t>Number of Households, Planted</w:t>
      </w:r>
      <w:r w:rsidR="001B7C87" w:rsidRPr="006B42D6">
        <w:t xml:space="preserve"> and</w:t>
      </w:r>
      <w:r w:rsidRPr="006B42D6">
        <w:t xml:space="preserve"> Harvested</w:t>
      </w:r>
      <w:r w:rsidR="00285CCC" w:rsidRPr="006B42D6">
        <w:t xml:space="preserve"> Area,</w:t>
      </w:r>
      <w:r w:rsidRPr="006B42D6">
        <w:t xml:space="preserve"> </w:t>
      </w:r>
      <w:r w:rsidR="006842C5" w:rsidRPr="006B42D6">
        <w:t>Quantity Harvested</w:t>
      </w:r>
      <w:r w:rsidRPr="006B42D6">
        <w:t xml:space="preserve"> of Clove</w:t>
      </w:r>
      <w:r w:rsidR="006842C5" w:rsidRPr="006B42D6">
        <w:t>s</w:t>
      </w:r>
      <w:r w:rsidRPr="006B42D6">
        <w:t xml:space="preserve"> by Region</w:t>
      </w:r>
      <w:r w:rsidR="001B7C87" w:rsidRPr="006B42D6">
        <w:t xml:space="preserve"> During </w:t>
      </w:r>
      <w:r w:rsidRPr="006B42D6">
        <w:t xml:space="preserve">2019/20 </w:t>
      </w:r>
      <w:r w:rsidR="00285CCC" w:rsidRPr="006B42D6">
        <w:t>Agricultural Year, Tanzania</w:t>
      </w:r>
      <w:bookmarkEnd w:id="262"/>
    </w:p>
    <w:tbl>
      <w:tblPr>
        <w:tblW w:w="4946" w:type="pct"/>
        <w:tblLook w:val="04A0" w:firstRow="1" w:lastRow="0" w:firstColumn="1" w:lastColumn="0" w:noHBand="0" w:noVBand="1"/>
      </w:tblPr>
      <w:tblGrid>
        <w:gridCol w:w="1632"/>
        <w:gridCol w:w="1902"/>
        <w:gridCol w:w="1836"/>
        <w:gridCol w:w="1902"/>
        <w:gridCol w:w="1864"/>
      </w:tblGrid>
      <w:tr w:rsidR="004C6B00" w:rsidRPr="004C6B00" w14:paraId="22D142EB" w14:textId="77777777" w:rsidTr="004C6B00">
        <w:trPr>
          <w:trHeight w:val="283"/>
        </w:trPr>
        <w:tc>
          <w:tcPr>
            <w:tcW w:w="893" w:type="pct"/>
            <w:tcBorders>
              <w:top w:val="single" w:sz="4" w:space="0" w:color="auto"/>
              <w:left w:val="nil"/>
              <w:bottom w:val="single" w:sz="4" w:space="0" w:color="auto"/>
              <w:right w:val="nil"/>
            </w:tcBorders>
            <w:shd w:val="clear" w:color="auto" w:fill="E2EFD9" w:themeFill="accent6" w:themeFillTint="33"/>
            <w:noWrap/>
            <w:vAlign w:val="center"/>
            <w:hideMark/>
          </w:tcPr>
          <w:p w14:paraId="3D5E6161" w14:textId="77777777" w:rsidR="00717D76" w:rsidRPr="004C6B00" w:rsidRDefault="00717D76" w:rsidP="005901E9">
            <w:pPr>
              <w:rPr>
                <w:sz w:val="15"/>
                <w:szCs w:val="15"/>
              </w:rPr>
            </w:pPr>
            <w:r w:rsidRPr="004C6B00">
              <w:rPr>
                <w:sz w:val="15"/>
                <w:szCs w:val="15"/>
              </w:rPr>
              <w:t>Region</w:t>
            </w:r>
          </w:p>
        </w:tc>
        <w:tc>
          <w:tcPr>
            <w:tcW w:w="1041" w:type="pct"/>
            <w:tcBorders>
              <w:top w:val="single" w:sz="4" w:space="0" w:color="auto"/>
              <w:left w:val="nil"/>
              <w:bottom w:val="single" w:sz="4" w:space="0" w:color="auto"/>
              <w:right w:val="nil"/>
            </w:tcBorders>
            <w:shd w:val="clear" w:color="auto" w:fill="E2EFD9" w:themeFill="accent6" w:themeFillTint="33"/>
            <w:vAlign w:val="center"/>
            <w:hideMark/>
          </w:tcPr>
          <w:p w14:paraId="68CAAB17" w14:textId="77777777" w:rsidR="00717D76" w:rsidRPr="004C6B00" w:rsidRDefault="00717D76" w:rsidP="005901E9">
            <w:pPr>
              <w:rPr>
                <w:sz w:val="15"/>
                <w:szCs w:val="15"/>
              </w:rPr>
            </w:pPr>
            <w:r w:rsidRPr="004C6B00">
              <w:rPr>
                <w:sz w:val="15"/>
                <w:szCs w:val="15"/>
              </w:rPr>
              <w:t>Number of households</w:t>
            </w:r>
          </w:p>
        </w:tc>
        <w:tc>
          <w:tcPr>
            <w:tcW w:w="1005" w:type="pct"/>
            <w:tcBorders>
              <w:top w:val="single" w:sz="4" w:space="0" w:color="auto"/>
              <w:left w:val="nil"/>
              <w:bottom w:val="single" w:sz="4" w:space="0" w:color="auto"/>
              <w:right w:val="nil"/>
            </w:tcBorders>
            <w:shd w:val="clear" w:color="auto" w:fill="E2EFD9" w:themeFill="accent6" w:themeFillTint="33"/>
            <w:vAlign w:val="center"/>
            <w:hideMark/>
          </w:tcPr>
          <w:p w14:paraId="42127DED" w14:textId="16EBDD4A" w:rsidR="00717D76" w:rsidRPr="004C6B00" w:rsidRDefault="00717D76" w:rsidP="005901E9">
            <w:pPr>
              <w:rPr>
                <w:sz w:val="15"/>
                <w:szCs w:val="15"/>
              </w:rPr>
            </w:pPr>
            <w:r w:rsidRPr="004C6B00">
              <w:rPr>
                <w:sz w:val="15"/>
                <w:szCs w:val="15"/>
              </w:rPr>
              <w:t>Area Planted</w:t>
            </w:r>
            <w:r w:rsidR="00B107E4" w:rsidRPr="004C6B00">
              <w:rPr>
                <w:sz w:val="15"/>
                <w:szCs w:val="15"/>
              </w:rPr>
              <w:t xml:space="preserve"> (ha)</w:t>
            </w:r>
          </w:p>
        </w:tc>
        <w:tc>
          <w:tcPr>
            <w:tcW w:w="1041" w:type="pct"/>
            <w:tcBorders>
              <w:top w:val="single" w:sz="4" w:space="0" w:color="auto"/>
              <w:left w:val="nil"/>
              <w:bottom w:val="single" w:sz="4" w:space="0" w:color="auto"/>
              <w:right w:val="nil"/>
            </w:tcBorders>
            <w:shd w:val="clear" w:color="auto" w:fill="E2EFD9" w:themeFill="accent6" w:themeFillTint="33"/>
            <w:vAlign w:val="center"/>
            <w:hideMark/>
          </w:tcPr>
          <w:p w14:paraId="5A75CE81" w14:textId="77777777" w:rsidR="00717D76" w:rsidRPr="004C6B00" w:rsidRDefault="00717D76" w:rsidP="005901E9">
            <w:pPr>
              <w:rPr>
                <w:sz w:val="15"/>
                <w:szCs w:val="15"/>
              </w:rPr>
            </w:pPr>
            <w:r w:rsidRPr="004C6B00">
              <w:rPr>
                <w:sz w:val="15"/>
                <w:szCs w:val="15"/>
              </w:rPr>
              <w:t>Area harvested (ha)</w:t>
            </w:r>
          </w:p>
        </w:tc>
        <w:tc>
          <w:tcPr>
            <w:tcW w:w="1020" w:type="pct"/>
            <w:tcBorders>
              <w:top w:val="single" w:sz="4" w:space="0" w:color="auto"/>
              <w:left w:val="nil"/>
              <w:bottom w:val="single" w:sz="4" w:space="0" w:color="auto"/>
              <w:right w:val="nil"/>
            </w:tcBorders>
            <w:shd w:val="clear" w:color="auto" w:fill="E2EFD9" w:themeFill="accent6" w:themeFillTint="33"/>
            <w:vAlign w:val="center"/>
            <w:hideMark/>
          </w:tcPr>
          <w:p w14:paraId="748009CB" w14:textId="77777777" w:rsidR="00717D76" w:rsidRPr="004C6B00" w:rsidRDefault="00717D76" w:rsidP="005901E9">
            <w:pPr>
              <w:rPr>
                <w:sz w:val="15"/>
                <w:szCs w:val="15"/>
              </w:rPr>
            </w:pPr>
            <w:r w:rsidRPr="004C6B00">
              <w:rPr>
                <w:sz w:val="15"/>
                <w:szCs w:val="15"/>
              </w:rPr>
              <w:t>Quantity harvested (tons)</w:t>
            </w:r>
          </w:p>
        </w:tc>
      </w:tr>
      <w:tr w:rsidR="004C6B00" w:rsidRPr="004C6B00" w14:paraId="79BDEAE4" w14:textId="77777777" w:rsidTr="004C6B00">
        <w:trPr>
          <w:trHeight w:val="297"/>
        </w:trPr>
        <w:tc>
          <w:tcPr>
            <w:tcW w:w="893" w:type="pct"/>
            <w:tcBorders>
              <w:top w:val="nil"/>
              <w:left w:val="nil"/>
              <w:bottom w:val="nil"/>
              <w:right w:val="nil"/>
            </w:tcBorders>
            <w:shd w:val="clear" w:color="auto" w:fill="auto"/>
            <w:noWrap/>
            <w:vAlign w:val="bottom"/>
            <w:hideMark/>
          </w:tcPr>
          <w:p w14:paraId="510100B8" w14:textId="77777777" w:rsidR="00717D76" w:rsidRPr="004C6B00" w:rsidRDefault="00717D76" w:rsidP="00634172">
            <w:pPr>
              <w:rPr>
                <w:sz w:val="15"/>
                <w:szCs w:val="15"/>
              </w:rPr>
            </w:pPr>
            <w:r w:rsidRPr="004C6B00">
              <w:rPr>
                <w:sz w:val="15"/>
                <w:szCs w:val="15"/>
              </w:rPr>
              <w:t>Tanga</w:t>
            </w:r>
          </w:p>
        </w:tc>
        <w:tc>
          <w:tcPr>
            <w:tcW w:w="1041" w:type="pct"/>
            <w:tcBorders>
              <w:top w:val="nil"/>
              <w:left w:val="nil"/>
              <w:bottom w:val="nil"/>
              <w:right w:val="nil"/>
            </w:tcBorders>
            <w:shd w:val="clear" w:color="auto" w:fill="auto"/>
            <w:noWrap/>
            <w:vAlign w:val="bottom"/>
            <w:hideMark/>
          </w:tcPr>
          <w:p w14:paraId="2E857A65" w14:textId="77777777" w:rsidR="00717D76" w:rsidRPr="004C6B00" w:rsidRDefault="00717D76" w:rsidP="00634172">
            <w:pPr>
              <w:jc w:val="right"/>
              <w:rPr>
                <w:sz w:val="15"/>
                <w:szCs w:val="15"/>
              </w:rPr>
            </w:pPr>
            <w:r w:rsidRPr="004C6B00">
              <w:rPr>
                <w:sz w:val="15"/>
                <w:szCs w:val="15"/>
              </w:rPr>
              <w:t>6,261</w:t>
            </w:r>
          </w:p>
        </w:tc>
        <w:tc>
          <w:tcPr>
            <w:tcW w:w="1005" w:type="pct"/>
            <w:tcBorders>
              <w:top w:val="nil"/>
              <w:left w:val="nil"/>
              <w:bottom w:val="nil"/>
              <w:right w:val="nil"/>
            </w:tcBorders>
            <w:shd w:val="clear" w:color="auto" w:fill="auto"/>
            <w:noWrap/>
            <w:vAlign w:val="bottom"/>
            <w:hideMark/>
          </w:tcPr>
          <w:p w14:paraId="51B54F94" w14:textId="77777777" w:rsidR="00717D76" w:rsidRPr="004C6B00" w:rsidRDefault="00717D76" w:rsidP="00634172">
            <w:pPr>
              <w:jc w:val="right"/>
              <w:rPr>
                <w:sz w:val="15"/>
                <w:szCs w:val="15"/>
              </w:rPr>
            </w:pPr>
            <w:r w:rsidRPr="004C6B00">
              <w:rPr>
                <w:sz w:val="15"/>
                <w:szCs w:val="15"/>
              </w:rPr>
              <w:t>1,240</w:t>
            </w:r>
          </w:p>
        </w:tc>
        <w:tc>
          <w:tcPr>
            <w:tcW w:w="1041" w:type="pct"/>
            <w:tcBorders>
              <w:top w:val="nil"/>
              <w:left w:val="nil"/>
              <w:bottom w:val="nil"/>
              <w:right w:val="nil"/>
            </w:tcBorders>
            <w:shd w:val="clear" w:color="auto" w:fill="auto"/>
            <w:noWrap/>
            <w:vAlign w:val="bottom"/>
            <w:hideMark/>
          </w:tcPr>
          <w:p w14:paraId="33BAC745" w14:textId="77777777" w:rsidR="00717D76" w:rsidRPr="004C6B00" w:rsidRDefault="00717D76" w:rsidP="00634172">
            <w:pPr>
              <w:jc w:val="right"/>
              <w:rPr>
                <w:sz w:val="15"/>
                <w:szCs w:val="15"/>
              </w:rPr>
            </w:pPr>
            <w:r w:rsidRPr="004C6B00">
              <w:rPr>
                <w:sz w:val="15"/>
                <w:szCs w:val="15"/>
              </w:rPr>
              <w:t>575</w:t>
            </w:r>
          </w:p>
        </w:tc>
        <w:tc>
          <w:tcPr>
            <w:tcW w:w="1020" w:type="pct"/>
            <w:tcBorders>
              <w:top w:val="nil"/>
              <w:left w:val="nil"/>
              <w:bottom w:val="nil"/>
              <w:right w:val="nil"/>
            </w:tcBorders>
            <w:shd w:val="clear" w:color="auto" w:fill="auto"/>
            <w:noWrap/>
            <w:vAlign w:val="bottom"/>
            <w:hideMark/>
          </w:tcPr>
          <w:p w14:paraId="1F7B6820" w14:textId="77777777" w:rsidR="00717D76" w:rsidRPr="004C6B00" w:rsidRDefault="00717D76" w:rsidP="00634172">
            <w:pPr>
              <w:jc w:val="right"/>
              <w:rPr>
                <w:sz w:val="15"/>
                <w:szCs w:val="15"/>
              </w:rPr>
            </w:pPr>
            <w:r w:rsidRPr="004C6B00">
              <w:rPr>
                <w:sz w:val="15"/>
                <w:szCs w:val="15"/>
              </w:rPr>
              <w:t>351</w:t>
            </w:r>
          </w:p>
        </w:tc>
      </w:tr>
      <w:tr w:rsidR="004C6B00" w:rsidRPr="004C6B00" w14:paraId="4D48B773" w14:textId="77777777" w:rsidTr="004C6B00">
        <w:trPr>
          <w:trHeight w:val="297"/>
        </w:trPr>
        <w:tc>
          <w:tcPr>
            <w:tcW w:w="893" w:type="pct"/>
            <w:tcBorders>
              <w:top w:val="nil"/>
              <w:left w:val="nil"/>
              <w:bottom w:val="nil"/>
              <w:right w:val="nil"/>
            </w:tcBorders>
            <w:shd w:val="clear" w:color="auto" w:fill="auto"/>
            <w:noWrap/>
            <w:vAlign w:val="bottom"/>
            <w:hideMark/>
          </w:tcPr>
          <w:p w14:paraId="05E9319B" w14:textId="77777777" w:rsidR="00717D76" w:rsidRPr="004C6B00" w:rsidRDefault="00717D76" w:rsidP="00634172">
            <w:pPr>
              <w:rPr>
                <w:sz w:val="15"/>
                <w:szCs w:val="15"/>
              </w:rPr>
            </w:pPr>
            <w:r w:rsidRPr="004C6B00">
              <w:rPr>
                <w:sz w:val="15"/>
                <w:szCs w:val="15"/>
              </w:rPr>
              <w:t>Morogoro</w:t>
            </w:r>
          </w:p>
        </w:tc>
        <w:tc>
          <w:tcPr>
            <w:tcW w:w="1041" w:type="pct"/>
            <w:tcBorders>
              <w:top w:val="nil"/>
              <w:left w:val="nil"/>
              <w:bottom w:val="nil"/>
              <w:right w:val="nil"/>
            </w:tcBorders>
            <w:shd w:val="clear" w:color="auto" w:fill="auto"/>
            <w:noWrap/>
            <w:vAlign w:val="bottom"/>
            <w:hideMark/>
          </w:tcPr>
          <w:p w14:paraId="5E20B5B0" w14:textId="77777777" w:rsidR="00717D76" w:rsidRPr="004C6B00" w:rsidRDefault="00717D76" w:rsidP="00634172">
            <w:pPr>
              <w:jc w:val="right"/>
              <w:rPr>
                <w:sz w:val="15"/>
                <w:szCs w:val="15"/>
              </w:rPr>
            </w:pPr>
            <w:r w:rsidRPr="004C6B00">
              <w:rPr>
                <w:sz w:val="15"/>
                <w:szCs w:val="15"/>
              </w:rPr>
              <w:t>5,122</w:t>
            </w:r>
          </w:p>
        </w:tc>
        <w:tc>
          <w:tcPr>
            <w:tcW w:w="1005" w:type="pct"/>
            <w:tcBorders>
              <w:top w:val="nil"/>
              <w:left w:val="nil"/>
              <w:bottom w:val="nil"/>
              <w:right w:val="nil"/>
            </w:tcBorders>
            <w:shd w:val="clear" w:color="auto" w:fill="auto"/>
            <w:noWrap/>
            <w:vAlign w:val="bottom"/>
            <w:hideMark/>
          </w:tcPr>
          <w:p w14:paraId="27E70B7D" w14:textId="77777777" w:rsidR="00717D76" w:rsidRPr="004C6B00" w:rsidRDefault="00717D76" w:rsidP="00634172">
            <w:pPr>
              <w:jc w:val="right"/>
              <w:rPr>
                <w:sz w:val="15"/>
                <w:szCs w:val="15"/>
              </w:rPr>
            </w:pPr>
            <w:r w:rsidRPr="004C6B00">
              <w:rPr>
                <w:sz w:val="15"/>
                <w:szCs w:val="15"/>
              </w:rPr>
              <w:t>1,513</w:t>
            </w:r>
          </w:p>
        </w:tc>
        <w:tc>
          <w:tcPr>
            <w:tcW w:w="1041" w:type="pct"/>
            <w:tcBorders>
              <w:top w:val="nil"/>
              <w:left w:val="nil"/>
              <w:bottom w:val="nil"/>
              <w:right w:val="nil"/>
            </w:tcBorders>
            <w:shd w:val="clear" w:color="auto" w:fill="auto"/>
            <w:noWrap/>
            <w:vAlign w:val="bottom"/>
            <w:hideMark/>
          </w:tcPr>
          <w:p w14:paraId="65B07920" w14:textId="77777777" w:rsidR="00717D76" w:rsidRPr="004C6B00" w:rsidRDefault="00717D76" w:rsidP="00634172">
            <w:pPr>
              <w:jc w:val="right"/>
              <w:rPr>
                <w:sz w:val="15"/>
                <w:szCs w:val="15"/>
              </w:rPr>
            </w:pPr>
            <w:r w:rsidRPr="004C6B00">
              <w:rPr>
                <w:sz w:val="15"/>
                <w:szCs w:val="15"/>
              </w:rPr>
              <w:t>641</w:t>
            </w:r>
          </w:p>
        </w:tc>
        <w:tc>
          <w:tcPr>
            <w:tcW w:w="1020" w:type="pct"/>
            <w:tcBorders>
              <w:top w:val="nil"/>
              <w:left w:val="nil"/>
              <w:bottom w:val="nil"/>
              <w:right w:val="nil"/>
            </w:tcBorders>
            <w:shd w:val="clear" w:color="auto" w:fill="auto"/>
            <w:noWrap/>
            <w:vAlign w:val="bottom"/>
            <w:hideMark/>
          </w:tcPr>
          <w:p w14:paraId="3E239BBD" w14:textId="77777777" w:rsidR="00717D76" w:rsidRPr="004C6B00" w:rsidRDefault="00717D76" w:rsidP="00634172">
            <w:pPr>
              <w:jc w:val="right"/>
              <w:rPr>
                <w:sz w:val="15"/>
                <w:szCs w:val="15"/>
              </w:rPr>
            </w:pPr>
            <w:r w:rsidRPr="004C6B00">
              <w:rPr>
                <w:sz w:val="15"/>
                <w:szCs w:val="15"/>
              </w:rPr>
              <w:t>575</w:t>
            </w:r>
          </w:p>
        </w:tc>
      </w:tr>
      <w:tr w:rsidR="004C6B00" w:rsidRPr="004C6B00" w14:paraId="099B0BC9" w14:textId="77777777" w:rsidTr="004C6B00">
        <w:trPr>
          <w:trHeight w:val="297"/>
        </w:trPr>
        <w:tc>
          <w:tcPr>
            <w:tcW w:w="893" w:type="pct"/>
            <w:tcBorders>
              <w:top w:val="single" w:sz="4" w:space="0" w:color="auto"/>
              <w:left w:val="nil"/>
              <w:bottom w:val="single" w:sz="4" w:space="0" w:color="auto"/>
              <w:right w:val="nil"/>
            </w:tcBorders>
            <w:shd w:val="clear" w:color="auto" w:fill="E2EFD9" w:themeFill="accent6" w:themeFillTint="33"/>
            <w:noWrap/>
            <w:vAlign w:val="bottom"/>
            <w:hideMark/>
          </w:tcPr>
          <w:p w14:paraId="79B28B85" w14:textId="6C78C3A1" w:rsidR="00717D76" w:rsidRPr="004C6B00" w:rsidRDefault="00717D76" w:rsidP="00634172">
            <w:pPr>
              <w:rPr>
                <w:b/>
                <w:bCs/>
                <w:sz w:val="15"/>
                <w:szCs w:val="15"/>
              </w:rPr>
            </w:pPr>
            <w:r w:rsidRPr="004C6B00">
              <w:rPr>
                <w:b/>
                <w:bCs/>
                <w:sz w:val="15"/>
                <w:szCs w:val="15"/>
              </w:rPr>
              <w:t>Mainland Tanzania</w:t>
            </w:r>
          </w:p>
        </w:tc>
        <w:tc>
          <w:tcPr>
            <w:tcW w:w="1041" w:type="pct"/>
            <w:tcBorders>
              <w:top w:val="single" w:sz="4" w:space="0" w:color="auto"/>
              <w:left w:val="nil"/>
              <w:bottom w:val="single" w:sz="4" w:space="0" w:color="auto"/>
              <w:right w:val="nil"/>
            </w:tcBorders>
            <w:shd w:val="clear" w:color="auto" w:fill="E2EFD9" w:themeFill="accent6" w:themeFillTint="33"/>
            <w:noWrap/>
            <w:vAlign w:val="bottom"/>
            <w:hideMark/>
          </w:tcPr>
          <w:p w14:paraId="519F57DD" w14:textId="77777777" w:rsidR="00717D76" w:rsidRPr="004C6B00" w:rsidRDefault="00717D76" w:rsidP="00634172">
            <w:pPr>
              <w:jc w:val="right"/>
              <w:rPr>
                <w:b/>
                <w:bCs/>
                <w:sz w:val="15"/>
                <w:szCs w:val="15"/>
              </w:rPr>
            </w:pPr>
            <w:r w:rsidRPr="004C6B00">
              <w:rPr>
                <w:b/>
                <w:bCs/>
                <w:sz w:val="15"/>
                <w:szCs w:val="15"/>
              </w:rPr>
              <w:t>11,383</w:t>
            </w:r>
          </w:p>
        </w:tc>
        <w:tc>
          <w:tcPr>
            <w:tcW w:w="1005" w:type="pct"/>
            <w:tcBorders>
              <w:top w:val="single" w:sz="4" w:space="0" w:color="auto"/>
              <w:left w:val="nil"/>
              <w:bottom w:val="single" w:sz="4" w:space="0" w:color="auto"/>
              <w:right w:val="nil"/>
            </w:tcBorders>
            <w:shd w:val="clear" w:color="auto" w:fill="E2EFD9" w:themeFill="accent6" w:themeFillTint="33"/>
            <w:noWrap/>
            <w:vAlign w:val="bottom"/>
            <w:hideMark/>
          </w:tcPr>
          <w:p w14:paraId="68FA9E83" w14:textId="77777777" w:rsidR="00717D76" w:rsidRPr="004C6B00" w:rsidRDefault="00717D76" w:rsidP="00634172">
            <w:pPr>
              <w:jc w:val="right"/>
              <w:rPr>
                <w:b/>
                <w:bCs/>
                <w:sz w:val="15"/>
                <w:szCs w:val="15"/>
              </w:rPr>
            </w:pPr>
            <w:r w:rsidRPr="004C6B00">
              <w:rPr>
                <w:b/>
                <w:bCs/>
                <w:sz w:val="15"/>
                <w:szCs w:val="15"/>
              </w:rPr>
              <w:t>2,753</w:t>
            </w:r>
          </w:p>
        </w:tc>
        <w:tc>
          <w:tcPr>
            <w:tcW w:w="1041" w:type="pct"/>
            <w:tcBorders>
              <w:top w:val="single" w:sz="4" w:space="0" w:color="auto"/>
              <w:left w:val="nil"/>
              <w:bottom w:val="single" w:sz="4" w:space="0" w:color="auto"/>
              <w:right w:val="nil"/>
            </w:tcBorders>
            <w:shd w:val="clear" w:color="auto" w:fill="E2EFD9" w:themeFill="accent6" w:themeFillTint="33"/>
            <w:noWrap/>
            <w:vAlign w:val="bottom"/>
            <w:hideMark/>
          </w:tcPr>
          <w:p w14:paraId="719FF0A3" w14:textId="77777777" w:rsidR="00717D76" w:rsidRPr="004C6B00" w:rsidRDefault="00717D76" w:rsidP="00634172">
            <w:pPr>
              <w:jc w:val="right"/>
              <w:rPr>
                <w:b/>
                <w:bCs/>
                <w:sz w:val="15"/>
                <w:szCs w:val="15"/>
              </w:rPr>
            </w:pPr>
            <w:r w:rsidRPr="004C6B00">
              <w:rPr>
                <w:b/>
                <w:bCs/>
                <w:sz w:val="15"/>
                <w:szCs w:val="15"/>
              </w:rPr>
              <w:t>1,216</w:t>
            </w:r>
          </w:p>
        </w:tc>
        <w:tc>
          <w:tcPr>
            <w:tcW w:w="1020" w:type="pct"/>
            <w:tcBorders>
              <w:top w:val="single" w:sz="4" w:space="0" w:color="auto"/>
              <w:left w:val="nil"/>
              <w:bottom w:val="single" w:sz="4" w:space="0" w:color="auto"/>
              <w:right w:val="nil"/>
            </w:tcBorders>
            <w:shd w:val="clear" w:color="auto" w:fill="E2EFD9" w:themeFill="accent6" w:themeFillTint="33"/>
            <w:noWrap/>
            <w:vAlign w:val="bottom"/>
            <w:hideMark/>
          </w:tcPr>
          <w:p w14:paraId="1FDF9062" w14:textId="77777777" w:rsidR="00717D76" w:rsidRPr="004C6B00" w:rsidRDefault="00717D76" w:rsidP="00634172">
            <w:pPr>
              <w:jc w:val="right"/>
              <w:rPr>
                <w:b/>
                <w:bCs/>
                <w:sz w:val="15"/>
                <w:szCs w:val="15"/>
              </w:rPr>
            </w:pPr>
            <w:r w:rsidRPr="004C6B00">
              <w:rPr>
                <w:b/>
                <w:bCs/>
                <w:sz w:val="15"/>
                <w:szCs w:val="15"/>
              </w:rPr>
              <w:t>926</w:t>
            </w:r>
          </w:p>
        </w:tc>
      </w:tr>
      <w:tr w:rsidR="004C6B00" w:rsidRPr="004C6B00" w14:paraId="6396A4FF" w14:textId="77777777" w:rsidTr="004C6B00">
        <w:trPr>
          <w:trHeight w:val="297"/>
        </w:trPr>
        <w:tc>
          <w:tcPr>
            <w:tcW w:w="893" w:type="pct"/>
            <w:tcBorders>
              <w:top w:val="nil"/>
              <w:left w:val="nil"/>
              <w:bottom w:val="nil"/>
              <w:right w:val="nil"/>
            </w:tcBorders>
            <w:shd w:val="clear" w:color="auto" w:fill="auto"/>
            <w:noWrap/>
            <w:vAlign w:val="bottom"/>
            <w:hideMark/>
          </w:tcPr>
          <w:p w14:paraId="1C1FCD4D" w14:textId="77777777" w:rsidR="00717D76" w:rsidRPr="004C6B00" w:rsidRDefault="00717D76" w:rsidP="00634172">
            <w:pPr>
              <w:rPr>
                <w:sz w:val="15"/>
                <w:szCs w:val="15"/>
              </w:rPr>
            </w:pPr>
            <w:r w:rsidRPr="004C6B00">
              <w:rPr>
                <w:sz w:val="15"/>
                <w:szCs w:val="15"/>
              </w:rPr>
              <w:t>Kaskazini Unguja</w:t>
            </w:r>
          </w:p>
        </w:tc>
        <w:tc>
          <w:tcPr>
            <w:tcW w:w="1041" w:type="pct"/>
            <w:tcBorders>
              <w:top w:val="nil"/>
              <w:left w:val="nil"/>
              <w:bottom w:val="nil"/>
              <w:right w:val="nil"/>
            </w:tcBorders>
            <w:shd w:val="clear" w:color="auto" w:fill="auto"/>
            <w:noWrap/>
            <w:vAlign w:val="bottom"/>
            <w:hideMark/>
          </w:tcPr>
          <w:p w14:paraId="0B13CE0E" w14:textId="77777777" w:rsidR="00717D76" w:rsidRPr="004C6B00" w:rsidRDefault="00717D76" w:rsidP="00634172">
            <w:pPr>
              <w:jc w:val="right"/>
              <w:rPr>
                <w:sz w:val="15"/>
                <w:szCs w:val="15"/>
              </w:rPr>
            </w:pPr>
            <w:r w:rsidRPr="004C6B00">
              <w:rPr>
                <w:sz w:val="15"/>
                <w:szCs w:val="15"/>
              </w:rPr>
              <w:t>2,041</w:t>
            </w:r>
          </w:p>
        </w:tc>
        <w:tc>
          <w:tcPr>
            <w:tcW w:w="1005" w:type="pct"/>
            <w:tcBorders>
              <w:top w:val="nil"/>
              <w:left w:val="nil"/>
              <w:bottom w:val="nil"/>
              <w:right w:val="nil"/>
            </w:tcBorders>
            <w:shd w:val="clear" w:color="auto" w:fill="auto"/>
            <w:noWrap/>
            <w:vAlign w:val="bottom"/>
            <w:hideMark/>
          </w:tcPr>
          <w:p w14:paraId="11D4A2B7" w14:textId="77777777" w:rsidR="00717D76" w:rsidRPr="004C6B00" w:rsidRDefault="00717D76" w:rsidP="00634172">
            <w:pPr>
              <w:jc w:val="right"/>
              <w:rPr>
                <w:sz w:val="15"/>
                <w:szCs w:val="15"/>
              </w:rPr>
            </w:pPr>
            <w:r w:rsidRPr="004C6B00">
              <w:rPr>
                <w:sz w:val="15"/>
                <w:szCs w:val="15"/>
              </w:rPr>
              <w:t>509</w:t>
            </w:r>
          </w:p>
        </w:tc>
        <w:tc>
          <w:tcPr>
            <w:tcW w:w="1041" w:type="pct"/>
            <w:tcBorders>
              <w:top w:val="nil"/>
              <w:left w:val="nil"/>
              <w:bottom w:val="nil"/>
              <w:right w:val="nil"/>
            </w:tcBorders>
            <w:shd w:val="clear" w:color="auto" w:fill="auto"/>
            <w:noWrap/>
            <w:vAlign w:val="bottom"/>
            <w:hideMark/>
          </w:tcPr>
          <w:p w14:paraId="2572FFBA" w14:textId="77777777" w:rsidR="00717D76" w:rsidRPr="004C6B00" w:rsidRDefault="00717D76" w:rsidP="00634172">
            <w:pPr>
              <w:jc w:val="right"/>
              <w:rPr>
                <w:sz w:val="15"/>
                <w:szCs w:val="15"/>
              </w:rPr>
            </w:pPr>
            <w:r w:rsidRPr="004C6B00">
              <w:rPr>
                <w:sz w:val="15"/>
                <w:szCs w:val="15"/>
              </w:rPr>
              <w:t>176</w:t>
            </w:r>
          </w:p>
        </w:tc>
        <w:tc>
          <w:tcPr>
            <w:tcW w:w="1020" w:type="pct"/>
            <w:tcBorders>
              <w:top w:val="nil"/>
              <w:left w:val="nil"/>
              <w:bottom w:val="nil"/>
              <w:right w:val="nil"/>
            </w:tcBorders>
            <w:shd w:val="clear" w:color="auto" w:fill="auto"/>
            <w:noWrap/>
            <w:vAlign w:val="bottom"/>
            <w:hideMark/>
          </w:tcPr>
          <w:p w14:paraId="47C953B8" w14:textId="60ADB913" w:rsidR="00717D76" w:rsidRPr="004C6B00" w:rsidRDefault="00717D76" w:rsidP="00634172">
            <w:pPr>
              <w:jc w:val="right"/>
              <w:rPr>
                <w:sz w:val="15"/>
                <w:szCs w:val="15"/>
              </w:rPr>
            </w:pPr>
            <w:r w:rsidRPr="004C6B00">
              <w:rPr>
                <w:sz w:val="15"/>
                <w:szCs w:val="15"/>
              </w:rPr>
              <w:t>114</w:t>
            </w:r>
          </w:p>
        </w:tc>
      </w:tr>
      <w:tr w:rsidR="004C6B00" w:rsidRPr="004C6B00" w14:paraId="32F924CD" w14:textId="77777777" w:rsidTr="004C6B00">
        <w:trPr>
          <w:trHeight w:val="297"/>
        </w:trPr>
        <w:tc>
          <w:tcPr>
            <w:tcW w:w="893" w:type="pct"/>
            <w:tcBorders>
              <w:top w:val="nil"/>
              <w:left w:val="nil"/>
              <w:bottom w:val="nil"/>
              <w:right w:val="nil"/>
            </w:tcBorders>
            <w:shd w:val="clear" w:color="auto" w:fill="auto"/>
            <w:noWrap/>
            <w:vAlign w:val="bottom"/>
            <w:hideMark/>
          </w:tcPr>
          <w:p w14:paraId="2544BA22" w14:textId="77777777" w:rsidR="00717D76" w:rsidRPr="004C6B00" w:rsidRDefault="00717D76" w:rsidP="00634172">
            <w:pPr>
              <w:rPr>
                <w:sz w:val="15"/>
                <w:szCs w:val="15"/>
              </w:rPr>
            </w:pPr>
            <w:r w:rsidRPr="004C6B00">
              <w:rPr>
                <w:sz w:val="15"/>
                <w:szCs w:val="15"/>
              </w:rPr>
              <w:t>Kusini Unguja</w:t>
            </w:r>
          </w:p>
        </w:tc>
        <w:tc>
          <w:tcPr>
            <w:tcW w:w="1041" w:type="pct"/>
            <w:tcBorders>
              <w:top w:val="nil"/>
              <w:left w:val="nil"/>
              <w:bottom w:val="nil"/>
              <w:right w:val="nil"/>
            </w:tcBorders>
            <w:shd w:val="clear" w:color="auto" w:fill="auto"/>
            <w:noWrap/>
            <w:vAlign w:val="bottom"/>
            <w:hideMark/>
          </w:tcPr>
          <w:p w14:paraId="58A5689E" w14:textId="77777777" w:rsidR="00717D76" w:rsidRPr="004C6B00" w:rsidRDefault="00717D76" w:rsidP="00634172">
            <w:pPr>
              <w:jc w:val="right"/>
              <w:rPr>
                <w:sz w:val="15"/>
                <w:szCs w:val="15"/>
              </w:rPr>
            </w:pPr>
            <w:r w:rsidRPr="004C6B00">
              <w:rPr>
                <w:sz w:val="15"/>
                <w:szCs w:val="15"/>
              </w:rPr>
              <w:t>642</w:t>
            </w:r>
          </w:p>
        </w:tc>
        <w:tc>
          <w:tcPr>
            <w:tcW w:w="1005" w:type="pct"/>
            <w:tcBorders>
              <w:top w:val="nil"/>
              <w:left w:val="nil"/>
              <w:bottom w:val="nil"/>
              <w:right w:val="nil"/>
            </w:tcBorders>
            <w:shd w:val="clear" w:color="auto" w:fill="auto"/>
            <w:noWrap/>
            <w:vAlign w:val="bottom"/>
            <w:hideMark/>
          </w:tcPr>
          <w:p w14:paraId="5CAB4D10" w14:textId="77777777" w:rsidR="00717D76" w:rsidRPr="004C6B00" w:rsidRDefault="00717D76" w:rsidP="00634172">
            <w:pPr>
              <w:jc w:val="right"/>
              <w:rPr>
                <w:sz w:val="15"/>
                <w:szCs w:val="15"/>
              </w:rPr>
            </w:pPr>
            <w:r w:rsidRPr="004C6B00">
              <w:rPr>
                <w:sz w:val="15"/>
                <w:szCs w:val="15"/>
              </w:rPr>
              <w:t>87</w:t>
            </w:r>
          </w:p>
        </w:tc>
        <w:tc>
          <w:tcPr>
            <w:tcW w:w="1041" w:type="pct"/>
            <w:tcBorders>
              <w:top w:val="nil"/>
              <w:left w:val="nil"/>
              <w:bottom w:val="nil"/>
              <w:right w:val="nil"/>
            </w:tcBorders>
            <w:shd w:val="clear" w:color="auto" w:fill="auto"/>
            <w:noWrap/>
            <w:vAlign w:val="bottom"/>
            <w:hideMark/>
          </w:tcPr>
          <w:p w14:paraId="32B84C95" w14:textId="77777777" w:rsidR="00717D76" w:rsidRPr="004C6B00" w:rsidRDefault="00717D76" w:rsidP="00634172">
            <w:pPr>
              <w:jc w:val="right"/>
              <w:rPr>
                <w:sz w:val="15"/>
                <w:szCs w:val="15"/>
              </w:rPr>
            </w:pPr>
            <w:r w:rsidRPr="004C6B00">
              <w:rPr>
                <w:sz w:val="15"/>
                <w:szCs w:val="15"/>
              </w:rPr>
              <w:t>28</w:t>
            </w:r>
          </w:p>
        </w:tc>
        <w:tc>
          <w:tcPr>
            <w:tcW w:w="1020" w:type="pct"/>
            <w:tcBorders>
              <w:top w:val="nil"/>
              <w:left w:val="nil"/>
              <w:bottom w:val="nil"/>
              <w:right w:val="nil"/>
            </w:tcBorders>
            <w:shd w:val="clear" w:color="auto" w:fill="auto"/>
            <w:noWrap/>
            <w:vAlign w:val="bottom"/>
            <w:hideMark/>
          </w:tcPr>
          <w:p w14:paraId="635ECDF0" w14:textId="7818951A" w:rsidR="00717D76" w:rsidRPr="004C6B00" w:rsidRDefault="00717D76" w:rsidP="00634172">
            <w:pPr>
              <w:jc w:val="right"/>
              <w:rPr>
                <w:sz w:val="15"/>
                <w:szCs w:val="15"/>
              </w:rPr>
            </w:pPr>
            <w:r w:rsidRPr="004C6B00">
              <w:rPr>
                <w:sz w:val="15"/>
                <w:szCs w:val="15"/>
              </w:rPr>
              <w:t>116</w:t>
            </w:r>
          </w:p>
        </w:tc>
      </w:tr>
      <w:tr w:rsidR="004C6B00" w:rsidRPr="004C6B00" w14:paraId="477E67E9" w14:textId="77777777" w:rsidTr="004C6B00">
        <w:trPr>
          <w:trHeight w:val="297"/>
        </w:trPr>
        <w:tc>
          <w:tcPr>
            <w:tcW w:w="893" w:type="pct"/>
            <w:tcBorders>
              <w:top w:val="nil"/>
              <w:left w:val="nil"/>
              <w:bottom w:val="nil"/>
              <w:right w:val="nil"/>
            </w:tcBorders>
            <w:shd w:val="clear" w:color="auto" w:fill="auto"/>
            <w:noWrap/>
            <w:vAlign w:val="bottom"/>
            <w:hideMark/>
          </w:tcPr>
          <w:p w14:paraId="1B058831" w14:textId="77777777" w:rsidR="00717D76" w:rsidRPr="004C6B00" w:rsidRDefault="00717D76" w:rsidP="00634172">
            <w:pPr>
              <w:rPr>
                <w:sz w:val="15"/>
                <w:szCs w:val="15"/>
              </w:rPr>
            </w:pPr>
            <w:r w:rsidRPr="004C6B00">
              <w:rPr>
                <w:sz w:val="15"/>
                <w:szCs w:val="15"/>
              </w:rPr>
              <w:t>Mjini Magharibi</w:t>
            </w:r>
          </w:p>
        </w:tc>
        <w:tc>
          <w:tcPr>
            <w:tcW w:w="1041" w:type="pct"/>
            <w:tcBorders>
              <w:top w:val="nil"/>
              <w:left w:val="nil"/>
              <w:bottom w:val="nil"/>
              <w:right w:val="nil"/>
            </w:tcBorders>
            <w:shd w:val="clear" w:color="auto" w:fill="auto"/>
            <w:noWrap/>
            <w:vAlign w:val="bottom"/>
            <w:hideMark/>
          </w:tcPr>
          <w:p w14:paraId="3E4690B9" w14:textId="77777777" w:rsidR="00717D76" w:rsidRPr="004C6B00" w:rsidRDefault="00717D76" w:rsidP="00634172">
            <w:pPr>
              <w:jc w:val="right"/>
              <w:rPr>
                <w:sz w:val="15"/>
                <w:szCs w:val="15"/>
              </w:rPr>
            </w:pPr>
            <w:r w:rsidRPr="004C6B00">
              <w:rPr>
                <w:sz w:val="15"/>
                <w:szCs w:val="15"/>
              </w:rPr>
              <w:t>3,321</w:t>
            </w:r>
          </w:p>
        </w:tc>
        <w:tc>
          <w:tcPr>
            <w:tcW w:w="1005" w:type="pct"/>
            <w:tcBorders>
              <w:top w:val="nil"/>
              <w:left w:val="nil"/>
              <w:bottom w:val="nil"/>
              <w:right w:val="nil"/>
            </w:tcBorders>
            <w:shd w:val="clear" w:color="auto" w:fill="auto"/>
            <w:noWrap/>
            <w:vAlign w:val="bottom"/>
            <w:hideMark/>
          </w:tcPr>
          <w:p w14:paraId="342AE9A4" w14:textId="77777777" w:rsidR="00717D76" w:rsidRPr="004C6B00" w:rsidRDefault="00717D76" w:rsidP="00634172">
            <w:pPr>
              <w:jc w:val="right"/>
              <w:rPr>
                <w:sz w:val="15"/>
                <w:szCs w:val="15"/>
              </w:rPr>
            </w:pPr>
            <w:r w:rsidRPr="004C6B00">
              <w:rPr>
                <w:sz w:val="15"/>
                <w:szCs w:val="15"/>
              </w:rPr>
              <w:t>778</w:t>
            </w:r>
          </w:p>
        </w:tc>
        <w:tc>
          <w:tcPr>
            <w:tcW w:w="1041" w:type="pct"/>
            <w:tcBorders>
              <w:top w:val="nil"/>
              <w:left w:val="nil"/>
              <w:bottom w:val="nil"/>
              <w:right w:val="nil"/>
            </w:tcBorders>
            <w:shd w:val="clear" w:color="auto" w:fill="auto"/>
            <w:noWrap/>
            <w:vAlign w:val="bottom"/>
            <w:hideMark/>
          </w:tcPr>
          <w:p w14:paraId="6D5209A6" w14:textId="77777777" w:rsidR="00717D76" w:rsidRPr="004C6B00" w:rsidRDefault="00717D76" w:rsidP="00634172">
            <w:pPr>
              <w:jc w:val="right"/>
              <w:rPr>
                <w:sz w:val="15"/>
                <w:szCs w:val="15"/>
              </w:rPr>
            </w:pPr>
            <w:r w:rsidRPr="004C6B00">
              <w:rPr>
                <w:sz w:val="15"/>
                <w:szCs w:val="15"/>
              </w:rPr>
              <w:t>204</w:t>
            </w:r>
          </w:p>
        </w:tc>
        <w:tc>
          <w:tcPr>
            <w:tcW w:w="1020" w:type="pct"/>
            <w:tcBorders>
              <w:top w:val="nil"/>
              <w:left w:val="nil"/>
              <w:bottom w:val="nil"/>
              <w:right w:val="nil"/>
            </w:tcBorders>
            <w:shd w:val="clear" w:color="auto" w:fill="auto"/>
            <w:noWrap/>
            <w:vAlign w:val="bottom"/>
            <w:hideMark/>
          </w:tcPr>
          <w:p w14:paraId="7F4913AC" w14:textId="14834E38" w:rsidR="00717D76" w:rsidRPr="004C6B00" w:rsidRDefault="00717D76" w:rsidP="00634172">
            <w:pPr>
              <w:jc w:val="right"/>
              <w:rPr>
                <w:sz w:val="15"/>
                <w:szCs w:val="15"/>
              </w:rPr>
            </w:pPr>
            <w:r w:rsidRPr="004C6B00">
              <w:rPr>
                <w:sz w:val="15"/>
                <w:szCs w:val="15"/>
              </w:rPr>
              <w:t>385</w:t>
            </w:r>
          </w:p>
        </w:tc>
      </w:tr>
      <w:tr w:rsidR="004C6B00" w:rsidRPr="004C6B00" w14:paraId="00454ECE" w14:textId="77777777" w:rsidTr="004C6B00">
        <w:trPr>
          <w:trHeight w:val="297"/>
        </w:trPr>
        <w:tc>
          <w:tcPr>
            <w:tcW w:w="893" w:type="pct"/>
            <w:tcBorders>
              <w:top w:val="nil"/>
              <w:left w:val="nil"/>
              <w:bottom w:val="nil"/>
              <w:right w:val="nil"/>
            </w:tcBorders>
            <w:shd w:val="clear" w:color="auto" w:fill="auto"/>
            <w:noWrap/>
            <w:vAlign w:val="bottom"/>
            <w:hideMark/>
          </w:tcPr>
          <w:p w14:paraId="576540A4" w14:textId="77777777" w:rsidR="00717D76" w:rsidRPr="004C6B00" w:rsidRDefault="00717D76" w:rsidP="00634172">
            <w:pPr>
              <w:rPr>
                <w:sz w:val="15"/>
                <w:szCs w:val="15"/>
              </w:rPr>
            </w:pPr>
            <w:r w:rsidRPr="004C6B00">
              <w:rPr>
                <w:sz w:val="15"/>
                <w:szCs w:val="15"/>
              </w:rPr>
              <w:t>Kaskazini Pemba</w:t>
            </w:r>
          </w:p>
        </w:tc>
        <w:tc>
          <w:tcPr>
            <w:tcW w:w="1041" w:type="pct"/>
            <w:tcBorders>
              <w:top w:val="nil"/>
              <w:left w:val="nil"/>
              <w:bottom w:val="nil"/>
              <w:right w:val="nil"/>
            </w:tcBorders>
            <w:shd w:val="clear" w:color="auto" w:fill="auto"/>
            <w:noWrap/>
            <w:vAlign w:val="bottom"/>
            <w:hideMark/>
          </w:tcPr>
          <w:p w14:paraId="626DBC1A" w14:textId="77777777" w:rsidR="00717D76" w:rsidRPr="004C6B00" w:rsidRDefault="00717D76" w:rsidP="00634172">
            <w:pPr>
              <w:jc w:val="right"/>
              <w:rPr>
                <w:sz w:val="15"/>
                <w:szCs w:val="15"/>
              </w:rPr>
            </w:pPr>
            <w:r w:rsidRPr="004C6B00">
              <w:rPr>
                <w:sz w:val="15"/>
                <w:szCs w:val="15"/>
              </w:rPr>
              <w:t>1,451</w:t>
            </w:r>
          </w:p>
        </w:tc>
        <w:tc>
          <w:tcPr>
            <w:tcW w:w="1005" w:type="pct"/>
            <w:tcBorders>
              <w:top w:val="nil"/>
              <w:left w:val="nil"/>
              <w:bottom w:val="nil"/>
              <w:right w:val="nil"/>
            </w:tcBorders>
            <w:shd w:val="clear" w:color="auto" w:fill="auto"/>
            <w:noWrap/>
            <w:vAlign w:val="bottom"/>
            <w:hideMark/>
          </w:tcPr>
          <w:p w14:paraId="26D61A32" w14:textId="77777777" w:rsidR="00717D76" w:rsidRPr="004C6B00" w:rsidRDefault="00717D76" w:rsidP="00634172">
            <w:pPr>
              <w:jc w:val="right"/>
              <w:rPr>
                <w:sz w:val="15"/>
                <w:szCs w:val="15"/>
              </w:rPr>
            </w:pPr>
            <w:r w:rsidRPr="004C6B00">
              <w:rPr>
                <w:sz w:val="15"/>
                <w:szCs w:val="15"/>
              </w:rPr>
              <w:t>676</w:t>
            </w:r>
          </w:p>
        </w:tc>
        <w:tc>
          <w:tcPr>
            <w:tcW w:w="1041" w:type="pct"/>
            <w:tcBorders>
              <w:top w:val="nil"/>
              <w:left w:val="nil"/>
              <w:bottom w:val="nil"/>
              <w:right w:val="nil"/>
            </w:tcBorders>
            <w:shd w:val="clear" w:color="auto" w:fill="auto"/>
            <w:noWrap/>
            <w:vAlign w:val="bottom"/>
            <w:hideMark/>
          </w:tcPr>
          <w:p w14:paraId="7EB7C774" w14:textId="77777777" w:rsidR="00717D76" w:rsidRPr="004C6B00" w:rsidRDefault="00717D76" w:rsidP="00634172">
            <w:pPr>
              <w:jc w:val="right"/>
              <w:rPr>
                <w:sz w:val="15"/>
                <w:szCs w:val="15"/>
              </w:rPr>
            </w:pPr>
            <w:r w:rsidRPr="004C6B00">
              <w:rPr>
                <w:sz w:val="15"/>
                <w:szCs w:val="15"/>
              </w:rPr>
              <w:t>295</w:t>
            </w:r>
          </w:p>
        </w:tc>
        <w:tc>
          <w:tcPr>
            <w:tcW w:w="1020" w:type="pct"/>
            <w:tcBorders>
              <w:top w:val="nil"/>
              <w:left w:val="nil"/>
              <w:bottom w:val="nil"/>
              <w:right w:val="nil"/>
            </w:tcBorders>
            <w:shd w:val="clear" w:color="auto" w:fill="auto"/>
            <w:noWrap/>
            <w:vAlign w:val="bottom"/>
            <w:hideMark/>
          </w:tcPr>
          <w:p w14:paraId="6B6B9E6E" w14:textId="6EE15468" w:rsidR="00717D76" w:rsidRPr="004C6B00" w:rsidRDefault="00717D76" w:rsidP="00634172">
            <w:pPr>
              <w:jc w:val="right"/>
              <w:rPr>
                <w:sz w:val="15"/>
                <w:szCs w:val="15"/>
              </w:rPr>
            </w:pPr>
            <w:r w:rsidRPr="004C6B00">
              <w:rPr>
                <w:sz w:val="15"/>
                <w:szCs w:val="15"/>
              </w:rPr>
              <w:t>653</w:t>
            </w:r>
          </w:p>
        </w:tc>
      </w:tr>
      <w:tr w:rsidR="004C6B00" w:rsidRPr="004C6B00" w14:paraId="07DC512E" w14:textId="77777777" w:rsidTr="004C6B00">
        <w:trPr>
          <w:trHeight w:val="297"/>
        </w:trPr>
        <w:tc>
          <w:tcPr>
            <w:tcW w:w="893" w:type="pct"/>
            <w:tcBorders>
              <w:top w:val="nil"/>
              <w:left w:val="nil"/>
              <w:bottom w:val="single" w:sz="4" w:space="0" w:color="auto"/>
              <w:right w:val="nil"/>
            </w:tcBorders>
            <w:shd w:val="clear" w:color="auto" w:fill="auto"/>
            <w:noWrap/>
            <w:vAlign w:val="bottom"/>
            <w:hideMark/>
          </w:tcPr>
          <w:p w14:paraId="7DECE5D6" w14:textId="09374F29" w:rsidR="00717D76" w:rsidRPr="004C6B00" w:rsidRDefault="00717D76" w:rsidP="00634172">
            <w:pPr>
              <w:rPr>
                <w:sz w:val="15"/>
                <w:szCs w:val="15"/>
              </w:rPr>
            </w:pPr>
            <w:r w:rsidRPr="004C6B00">
              <w:rPr>
                <w:sz w:val="15"/>
                <w:szCs w:val="15"/>
              </w:rPr>
              <w:t>Kusini Pemba</w:t>
            </w:r>
          </w:p>
        </w:tc>
        <w:tc>
          <w:tcPr>
            <w:tcW w:w="1041" w:type="pct"/>
            <w:tcBorders>
              <w:top w:val="nil"/>
              <w:left w:val="nil"/>
              <w:bottom w:val="single" w:sz="4" w:space="0" w:color="auto"/>
              <w:right w:val="nil"/>
            </w:tcBorders>
            <w:shd w:val="clear" w:color="auto" w:fill="auto"/>
            <w:noWrap/>
            <w:vAlign w:val="bottom"/>
            <w:hideMark/>
          </w:tcPr>
          <w:p w14:paraId="043A3B02" w14:textId="77777777" w:rsidR="00717D76" w:rsidRPr="004C6B00" w:rsidRDefault="00717D76" w:rsidP="00634172">
            <w:pPr>
              <w:jc w:val="right"/>
              <w:rPr>
                <w:sz w:val="15"/>
                <w:szCs w:val="15"/>
              </w:rPr>
            </w:pPr>
            <w:r w:rsidRPr="004C6B00">
              <w:rPr>
                <w:sz w:val="15"/>
                <w:szCs w:val="15"/>
              </w:rPr>
              <w:t>17,642</w:t>
            </w:r>
          </w:p>
        </w:tc>
        <w:tc>
          <w:tcPr>
            <w:tcW w:w="1005" w:type="pct"/>
            <w:tcBorders>
              <w:top w:val="nil"/>
              <w:left w:val="nil"/>
              <w:bottom w:val="single" w:sz="4" w:space="0" w:color="auto"/>
              <w:right w:val="nil"/>
            </w:tcBorders>
            <w:shd w:val="clear" w:color="auto" w:fill="auto"/>
            <w:noWrap/>
            <w:vAlign w:val="bottom"/>
            <w:hideMark/>
          </w:tcPr>
          <w:p w14:paraId="48F66BC1" w14:textId="77777777" w:rsidR="00717D76" w:rsidRPr="004C6B00" w:rsidRDefault="00717D76" w:rsidP="00634172">
            <w:pPr>
              <w:jc w:val="right"/>
              <w:rPr>
                <w:sz w:val="15"/>
                <w:szCs w:val="15"/>
              </w:rPr>
            </w:pPr>
            <w:r w:rsidRPr="004C6B00">
              <w:rPr>
                <w:sz w:val="15"/>
                <w:szCs w:val="15"/>
              </w:rPr>
              <w:t>6,778</w:t>
            </w:r>
          </w:p>
        </w:tc>
        <w:tc>
          <w:tcPr>
            <w:tcW w:w="1041" w:type="pct"/>
            <w:tcBorders>
              <w:top w:val="nil"/>
              <w:left w:val="nil"/>
              <w:bottom w:val="single" w:sz="4" w:space="0" w:color="auto"/>
              <w:right w:val="nil"/>
            </w:tcBorders>
            <w:shd w:val="clear" w:color="auto" w:fill="auto"/>
            <w:noWrap/>
            <w:vAlign w:val="bottom"/>
            <w:hideMark/>
          </w:tcPr>
          <w:p w14:paraId="3090B583" w14:textId="77777777" w:rsidR="00717D76" w:rsidRPr="004C6B00" w:rsidRDefault="00717D76" w:rsidP="00634172">
            <w:pPr>
              <w:jc w:val="right"/>
              <w:rPr>
                <w:sz w:val="15"/>
                <w:szCs w:val="15"/>
              </w:rPr>
            </w:pPr>
            <w:r w:rsidRPr="004C6B00">
              <w:rPr>
                <w:sz w:val="15"/>
                <w:szCs w:val="15"/>
              </w:rPr>
              <w:t>1,607</w:t>
            </w:r>
          </w:p>
        </w:tc>
        <w:tc>
          <w:tcPr>
            <w:tcW w:w="1020" w:type="pct"/>
            <w:tcBorders>
              <w:top w:val="nil"/>
              <w:left w:val="nil"/>
              <w:bottom w:val="single" w:sz="4" w:space="0" w:color="auto"/>
              <w:right w:val="nil"/>
            </w:tcBorders>
            <w:shd w:val="clear" w:color="auto" w:fill="auto"/>
            <w:noWrap/>
            <w:vAlign w:val="bottom"/>
            <w:hideMark/>
          </w:tcPr>
          <w:p w14:paraId="3A9039BB" w14:textId="0F9310CF" w:rsidR="00717D76" w:rsidRPr="004C6B00" w:rsidRDefault="00717D76" w:rsidP="00634172">
            <w:pPr>
              <w:jc w:val="right"/>
              <w:rPr>
                <w:sz w:val="15"/>
                <w:szCs w:val="15"/>
              </w:rPr>
            </w:pPr>
            <w:r w:rsidRPr="004C6B00">
              <w:rPr>
                <w:sz w:val="15"/>
                <w:szCs w:val="15"/>
              </w:rPr>
              <w:t>1,086</w:t>
            </w:r>
          </w:p>
        </w:tc>
      </w:tr>
      <w:tr w:rsidR="004C6B00" w:rsidRPr="004C6B00" w14:paraId="48BE6559" w14:textId="77777777" w:rsidTr="004C6B00">
        <w:trPr>
          <w:trHeight w:val="297"/>
        </w:trPr>
        <w:tc>
          <w:tcPr>
            <w:tcW w:w="893" w:type="pct"/>
            <w:tcBorders>
              <w:top w:val="single" w:sz="4" w:space="0" w:color="auto"/>
              <w:left w:val="nil"/>
              <w:bottom w:val="single" w:sz="4" w:space="0" w:color="auto"/>
              <w:right w:val="nil"/>
            </w:tcBorders>
            <w:shd w:val="clear" w:color="auto" w:fill="E2EFD9" w:themeFill="accent6" w:themeFillTint="33"/>
            <w:noWrap/>
            <w:vAlign w:val="bottom"/>
            <w:hideMark/>
          </w:tcPr>
          <w:p w14:paraId="2A231273" w14:textId="77777777" w:rsidR="00717D76" w:rsidRPr="004C6B00" w:rsidRDefault="00717D76" w:rsidP="00634172">
            <w:pPr>
              <w:rPr>
                <w:b/>
                <w:bCs/>
                <w:sz w:val="15"/>
                <w:szCs w:val="15"/>
              </w:rPr>
            </w:pPr>
            <w:r w:rsidRPr="004C6B00">
              <w:rPr>
                <w:b/>
                <w:bCs/>
                <w:sz w:val="15"/>
                <w:szCs w:val="15"/>
              </w:rPr>
              <w:t>Tanzania Zanzibar</w:t>
            </w:r>
          </w:p>
        </w:tc>
        <w:tc>
          <w:tcPr>
            <w:tcW w:w="1041" w:type="pct"/>
            <w:tcBorders>
              <w:top w:val="single" w:sz="4" w:space="0" w:color="auto"/>
              <w:left w:val="nil"/>
              <w:bottom w:val="single" w:sz="4" w:space="0" w:color="auto"/>
              <w:right w:val="nil"/>
            </w:tcBorders>
            <w:shd w:val="clear" w:color="auto" w:fill="E2EFD9" w:themeFill="accent6" w:themeFillTint="33"/>
            <w:noWrap/>
            <w:vAlign w:val="bottom"/>
            <w:hideMark/>
          </w:tcPr>
          <w:p w14:paraId="1E879D39" w14:textId="77777777" w:rsidR="00717D76" w:rsidRPr="004C6B00" w:rsidRDefault="00717D76" w:rsidP="00634172">
            <w:pPr>
              <w:jc w:val="right"/>
              <w:rPr>
                <w:b/>
                <w:bCs/>
                <w:sz w:val="15"/>
                <w:szCs w:val="15"/>
              </w:rPr>
            </w:pPr>
            <w:r w:rsidRPr="004C6B00">
              <w:rPr>
                <w:b/>
                <w:bCs/>
                <w:sz w:val="15"/>
                <w:szCs w:val="15"/>
              </w:rPr>
              <w:t>25,097</w:t>
            </w:r>
          </w:p>
        </w:tc>
        <w:tc>
          <w:tcPr>
            <w:tcW w:w="1005" w:type="pct"/>
            <w:tcBorders>
              <w:top w:val="single" w:sz="4" w:space="0" w:color="auto"/>
              <w:left w:val="nil"/>
              <w:bottom w:val="single" w:sz="4" w:space="0" w:color="auto"/>
              <w:right w:val="nil"/>
            </w:tcBorders>
            <w:shd w:val="clear" w:color="auto" w:fill="E2EFD9" w:themeFill="accent6" w:themeFillTint="33"/>
            <w:noWrap/>
            <w:vAlign w:val="bottom"/>
            <w:hideMark/>
          </w:tcPr>
          <w:p w14:paraId="53A74635" w14:textId="77777777" w:rsidR="00717D76" w:rsidRPr="004C6B00" w:rsidRDefault="00717D76" w:rsidP="00634172">
            <w:pPr>
              <w:jc w:val="right"/>
              <w:rPr>
                <w:b/>
                <w:bCs/>
                <w:sz w:val="15"/>
                <w:szCs w:val="15"/>
              </w:rPr>
            </w:pPr>
            <w:r w:rsidRPr="004C6B00">
              <w:rPr>
                <w:b/>
                <w:bCs/>
                <w:sz w:val="15"/>
                <w:szCs w:val="15"/>
              </w:rPr>
              <w:t>8,830</w:t>
            </w:r>
          </w:p>
        </w:tc>
        <w:tc>
          <w:tcPr>
            <w:tcW w:w="1041" w:type="pct"/>
            <w:tcBorders>
              <w:top w:val="single" w:sz="4" w:space="0" w:color="auto"/>
              <w:left w:val="nil"/>
              <w:bottom w:val="single" w:sz="4" w:space="0" w:color="auto"/>
              <w:right w:val="nil"/>
            </w:tcBorders>
            <w:shd w:val="clear" w:color="auto" w:fill="E2EFD9" w:themeFill="accent6" w:themeFillTint="33"/>
            <w:noWrap/>
            <w:vAlign w:val="bottom"/>
            <w:hideMark/>
          </w:tcPr>
          <w:p w14:paraId="533D496D" w14:textId="77777777" w:rsidR="00717D76" w:rsidRPr="004C6B00" w:rsidRDefault="00717D76" w:rsidP="00634172">
            <w:pPr>
              <w:jc w:val="right"/>
              <w:rPr>
                <w:b/>
                <w:bCs/>
                <w:sz w:val="15"/>
                <w:szCs w:val="15"/>
              </w:rPr>
            </w:pPr>
            <w:r w:rsidRPr="004C6B00">
              <w:rPr>
                <w:b/>
                <w:bCs/>
                <w:sz w:val="15"/>
                <w:szCs w:val="15"/>
              </w:rPr>
              <w:t>2,310</w:t>
            </w:r>
          </w:p>
        </w:tc>
        <w:tc>
          <w:tcPr>
            <w:tcW w:w="1020" w:type="pct"/>
            <w:tcBorders>
              <w:top w:val="single" w:sz="4" w:space="0" w:color="auto"/>
              <w:left w:val="nil"/>
              <w:bottom w:val="single" w:sz="4" w:space="0" w:color="auto"/>
              <w:right w:val="nil"/>
            </w:tcBorders>
            <w:shd w:val="clear" w:color="auto" w:fill="E2EFD9" w:themeFill="accent6" w:themeFillTint="33"/>
            <w:noWrap/>
            <w:vAlign w:val="bottom"/>
            <w:hideMark/>
          </w:tcPr>
          <w:p w14:paraId="7136C332" w14:textId="09609A7E" w:rsidR="00717D76" w:rsidRPr="004C6B00" w:rsidRDefault="00717D76" w:rsidP="00634172">
            <w:pPr>
              <w:jc w:val="right"/>
              <w:rPr>
                <w:b/>
                <w:bCs/>
                <w:sz w:val="15"/>
                <w:szCs w:val="15"/>
              </w:rPr>
            </w:pPr>
            <w:r w:rsidRPr="004C6B00">
              <w:rPr>
                <w:b/>
                <w:bCs/>
                <w:sz w:val="15"/>
                <w:szCs w:val="15"/>
              </w:rPr>
              <w:t>2,355</w:t>
            </w:r>
          </w:p>
        </w:tc>
      </w:tr>
      <w:tr w:rsidR="004C6B00" w:rsidRPr="004C6B00" w14:paraId="58FAF5F1" w14:textId="77777777" w:rsidTr="004C6B00">
        <w:trPr>
          <w:trHeight w:val="297"/>
        </w:trPr>
        <w:tc>
          <w:tcPr>
            <w:tcW w:w="893" w:type="pct"/>
            <w:tcBorders>
              <w:top w:val="single" w:sz="4" w:space="0" w:color="auto"/>
              <w:left w:val="nil"/>
              <w:bottom w:val="single" w:sz="4" w:space="0" w:color="auto"/>
              <w:right w:val="nil"/>
            </w:tcBorders>
            <w:shd w:val="clear" w:color="auto" w:fill="E2EFD9" w:themeFill="accent6" w:themeFillTint="33"/>
            <w:noWrap/>
            <w:vAlign w:val="bottom"/>
            <w:hideMark/>
          </w:tcPr>
          <w:p w14:paraId="4B42D99A" w14:textId="77777777" w:rsidR="00717D76" w:rsidRPr="004C6B00" w:rsidRDefault="00717D76" w:rsidP="00634172">
            <w:pPr>
              <w:rPr>
                <w:b/>
                <w:bCs/>
                <w:sz w:val="15"/>
                <w:szCs w:val="15"/>
              </w:rPr>
            </w:pPr>
            <w:r w:rsidRPr="004C6B00">
              <w:rPr>
                <w:b/>
                <w:bCs/>
                <w:sz w:val="15"/>
                <w:szCs w:val="15"/>
              </w:rPr>
              <w:t>Tanzania</w:t>
            </w:r>
          </w:p>
        </w:tc>
        <w:tc>
          <w:tcPr>
            <w:tcW w:w="1041" w:type="pct"/>
            <w:tcBorders>
              <w:top w:val="single" w:sz="4" w:space="0" w:color="auto"/>
              <w:left w:val="nil"/>
              <w:bottom w:val="single" w:sz="4" w:space="0" w:color="auto"/>
              <w:right w:val="nil"/>
            </w:tcBorders>
            <w:shd w:val="clear" w:color="auto" w:fill="E2EFD9" w:themeFill="accent6" w:themeFillTint="33"/>
            <w:noWrap/>
            <w:vAlign w:val="bottom"/>
            <w:hideMark/>
          </w:tcPr>
          <w:p w14:paraId="5EA2D3B7" w14:textId="77777777" w:rsidR="00717D76" w:rsidRPr="004C6B00" w:rsidRDefault="00717D76" w:rsidP="00634172">
            <w:pPr>
              <w:jc w:val="right"/>
              <w:rPr>
                <w:b/>
                <w:bCs/>
                <w:sz w:val="15"/>
                <w:szCs w:val="15"/>
              </w:rPr>
            </w:pPr>
            <w:r w:rsidRPr="004C6B00">
              <w:rPr>
                <w:b/>
                <w:bCs/>
                <w:sz w:val="15"/>
                <w:szCs w:val="15"/>
              </w:rPr>
              <w:t>36,480</w:t>
            </w:r>
          </w:p>
        </w:tc>
        <w:tc>
          <w:tcPr>
            <w:tcW w:w="1005" w:type="pct"/>
            <w:tcBorders>
              <w:top w:val="single" w:sz="4" w:space="0" w:color="auto"/>
              <w:left w:val="nil"/>
              <w:bottom w:val="single" w:sz="4" w:space="0" w:color="auto"/>
              <w:right w:val="nil"/>
            </w:tcBorders>
            <w:shd w:val="clear" w:color="auto" w:fill="E2EFD9" w:themeFill="accent6" w:themeFillTint="33"/>
            <w:noWrap/>
            <w:vAlign w:val="bottom"/>
            <w:hideMark/>
          </w:tcPr>
          <w:p w14:paraId="27A10D77" w14:textId="77777777" w:rsidR="00717D76" w:rsidRPr="004C6B00" w:rsidRDefault="00717D76" w:rsidP="00634172">
            <w:pPr>
              <w:jc w:val="right"/>
              <w:rPr>
                <w:b/>
                <w:bCs/>
                <w:sz w:val="15"/>
                <w:szCs w:val="15"/>
              </w:rPr>
            </w:pPr>
            <w:r w:rsidRPr="004C6B00">
              <w:rPr>
                <w:b/>
                <w:bCs/>
                <w:sz w:val="15"/>
                <w:szCs w:val="15"/>
              </w:rPr>
              <w:t>11,583</w:t>
            </w:r>
          </w:p>
        </w:tc>
        <w:tc>
          <w:tcPr>
            <w:tcW w:w="1041" w:type="pct"/>
            <w:tcBorders>
              <w:top w:val="single" w:sz="4" w:space="0" w:color="auto"/>
              <w:left w:val="nil"/>
              <w:bottom w:val="single" w:sz="4" w:space="0" w:color="auto"/>
              <w:right w:val="nil"/>
            </w:tcBorders>
            <w:shd w:val="clear" w:color="auto" w:fill="E2EFD9" w:themeFill="accent6" w:themeFillTint="33"/>
            <w:noWrap/>
            <w:vAlign w:val="bottom"/>
            <w:hideMark/>
          </w:tcPr>
          <w:p w14:paraId="688E5CFA" w14:textId="77777777" w:rsidR="00717D76" w:rsidRPr="004C6B00" w:rsidRDefault="00717D76" w:rsidP="00634172">
            <w:pPr>
              <w:jc w:val="right"/>
              <w:rPr>
                <w:b/>
                <w:bCs/>
                <w:sz w:val="15"/>
                <w:szCs w:val="15"/>
              </w:rPr>
            </w:pPr>
            <w:r w:rsidRPr="004C6B00">
              <w:rPr>
                <w:b/>
                <w:bCs/>
                <w:sz w:val="15"/>
                <w:szCs w:val="15"/>
              </w:rPr>
              <w:t>3,526</w:t>
            </w:r>
          </w:p>
        </w:tc>
        <w:tc>
          <w:tcPr>
            <w:tcW w:w="1020" w:type="pct"/>
            <w:tcBorders>
              <w:top w:val="single" w:sz="4" w:space="0" w:color="auto"/>
              <w:left w:val="nil"/>
              <w:bottom w:val="single" w:sz="4" w:space="0" w:color="auto"/>
              <w:right w:val="nil"/>
            </w:tcBorders>
            <w:shd w:val="clear" w:color="auto" w:fill="E2EFD9" w:themeFill="accent6" w:themeFillTint="33"/>
            <w:noWrap/>
            <w:vAlign w:val="bottom"/>
            <w:hideMark/>
          </w:tcPr>
          <w:p w14:paraId="3891DF5A" w14:textId="5ABCB8EB" w:rsidR="00717D76" w:rsidRPr="004C6B00" w:rsidRDefault="00717D76" w:rsidP="00634172">
            <w:pPr>
              <w:jc w:val="right"/>
              <w:rPr>
                <w:b/>
                <w:bCs/>
                <w:sz w:val="15"/>
                <w:szCs w:val="15"/>
              </w:rPr>
            </w:pPr>
            <w:r w:rsidRPr="004C6B00">
              <w:rPr>
                <w:b/>
                <w:bCs/>
                <w:sz w:val="15"/>
                <w:szCs w:val="15"/>
              </w:rPr>
              <w:t>3,281</w:t>
            </w:r>
          </w:p>
        </w:tc>
      </w:tr>
    </w:tbl>
    <w:p w14:paraId="51720532" w14:textId="77777777" w:rsidR="0083291D" w:rsidRPr="0083291D" w:rsidRDefault="0083291D" w:rsidP="004C6B00"/>
    <w:p w14:paraId="777105F0" w14:textId="6662FC9E" w:rsidR="00E16412" w:rsidRPr="006B42D6" w:rsidRDefault="00F3282A" w:rsidP="005C2EFC">
      <w:pPr>
        <w:pStyle w:val="Heading2"/>
      </w:pPr>
      <w:bookmarkStart w:id="263" w:name="_Toc82385685"/>
      <w:r w:rsidRPr="006B42D6">
        <w:t>3.</w:t>
      </w:r>
      <w:r w:rsidR="00193728">
        <w:t>2</w:t>
      </w:r>
      <w:r w:rsidR="000807B0" w:rsidRPr="006B42D6">
        <w:tab/>
      </w:r>
      <w:r w:rsidRPr="006B42D6">
        <w:t>Agro-Processing</w:t>
      </w:r>
      <w:bookmarkEnd w:id="263"/>
      <w:r w:rsidRPr="006B42D6">
        <w:t xml:space="preserve"> </w:t>
      </w:r>
    </w:p>
    <w:p w14:paraId="3B73A052" w14:textId="20B70B46" w:rsidR="008053B2" w:rsidRPr="006B42D6" w:rsidRDefault="006842C5" w:rsidP="008053B2">
      <w:r w:rsidRPr="006B42D6">
        <w:t xml:space="preserve">This section presents the number of agricultural households by their main products and where did they </w:t>
      </w:r>
      <w:r w:rsidR="00717D76">
        <w:t>sell</w:t>
      </w:r>
      <w:r w:rsidRPr="006B42D6">
        <w:t xml:space="preserve"> their products across different regions of Tanzania during the 2019/20 agricultural year. </w:t>
      </w:r>
      <w:r w:rsidR="00E16412" w:rsidRPr="006B42D6">
        <w:t>The Agro-processing of agricultural crops discussed in this section referred to the crops harvested on the farm and converted into consumable forms by households so as to increase their values for market.</w:t>
      </w:r>
      <w:r w:rsidR="008053B2" w:rsidRPr="006B42D6">
        <w:t xml:space="preserve"> During the 2019/20 agricultural year, the main crop products produced </w:t>
      </w:r>
      <w:r w:rsidR="005E1B02" w:rsidRPr="006B42D6">
        <w:t xml:space="preserve">from agro-processing </w:t>
      </w:r>
      <w:r w:rsidR="008053B2" w:rsidRPr="006B42D6">
        <w:t xml:space="preserve">by the smallholders were </w:t>
      </w:r>
      <w:r w:rsidRPr="006B42D6">
        <w:t>flour/meal, grain, oil, juice, fiber, pulp and others. major places which were used by households to sell their products were neighbours, local market/trade store, secondary market, cooperatives, farmers association, large scale farms, at farm and other places. however, some of the smallholders did not sell their prod</w:t>
      </w:r>
      <w:r w:rsidR="008053B2" w:rsidRPr="006B42D6">
        <w:t xml:space="preserve">ucts. </w:t>
      </w:r>
    </w:p>
    <w:p w14:paraId="1C6643B6" w14:textId="5DDA4114" w:rsidR="00642BA9" w:rsidRPr="006B42D6" w:rsidRDefault="00642BA9" w:rsidP="004C6B00">
      <w:pPr>
        <w:spacing w:line="240" w:lineRule="auto"/>
      </w:pPr>
    </w:p>
    <w:p w14:paraId="231AAF4E" w14:textId="646A204E" w:rsidR="008053B2" w:rsidRPr="006B42D6" w:rsidRDefault="008053B2" w:rsidP="008053B2">
      <w:pPr>
        <w:pStyle w:val="Heading3"/>
      </w:pPr>
      <w:bookmarkStart w:id="264" w:name="_Toc82385686"/>
      <w:r w:rsidRPr="006B42D6">
        <w:lastRenderedPageBreak/>
        <w:t>3.</w:t>
      </w:r>
      <w:r w:rsidR="00193728">
        <w:t>2</w:t>
      </w:r>
      <w:r w:rsidRPr="006B42D6">
        <w:t>.1</w:t>
      </w:r>
      <w:r w:rsidRPr="006B42D6">
        <w:tab/>
        <w:t>Households Involved in Agro-processing</w:t>
      </w:r>
      <w:bookmarkEnd w:id="264"/>
    </w:p>
    <w:p w14:paraId="29354C9D" w14:textId="346A28D0" w:rsidR="00A70AD6" w:rsidRDefault="00E16412" w:rsidP="001F1C73">
      <w:r w:rsidRPr="006B42D6">
        <w:t>A total number of agricultural households reported to process their crops was 1,029,125</w:t>
      </w:r>
      <w:r w:rsidR="00E308B5" w:rsidRPr="006B42D6">
        <w:t xml:space="preserve"> out of </w:t>
      </w:r>
      <w:r w:rsidRPr="006B42D6">
        <w:t xml:space="preserve">which 1,008,130 were in </w:t>
      </w:r>
      <w:r w:rsidR="00EA1552">
        <w:t>Mainland Tanzania</w:t>
      </w:r>
      <w:r w:rsidRPr="006B42D6">
        <w:t xml:space="preserve"> and 20,995 in </w:t>
      </w:r>
      <w:r w:rsidR="00B93A9E" w:rsidRPr="006B42D6">
        <w:t xml:space="preserve">Tanzania </w:t>
      </w:r>
      <w:r w:rsidRPr="006B42D6">
        <w:t xml:space="preserve">Zanzibar. In </w:t>
      </w:r>
      <w:r w:rsidR="00EA1552">
        <w:t>Mainland Tanzania</w:t>
      </w:r>
      <w:r w:rsidRPr="006B42D6">
        <w:t xml:space="preserve">, Kigoma region had the largest number of </w:t>
      </w:r>
      <w:r w:rsidR="006842C5" w:rsidRPr="006B42D6">
        <w:t>a</w:t>
      </w:r>
      <w:r w:rsidRPr="006B42D6">
        <w:t>gricultural households (181,410;</w:t>
      </w:r>
      <w:r w:rsidR="00642BA9" w:rsidRPr="006B42D6">
        <w:t xml:space="preserve"> </w:t>
      </w:r>
      <w:r w:rsidRPr="006B42D6">
        <w:t>18.0 percent) which processed different crops, followed by Dodoma (163,535; 16.2 percent) and Iringa region (129,209; 12.8 percent)</w:t>
      </w:r>
      <w:r w:rsidR="001F1C73" w:rsidRPr="006B42D6">
        <w:t xml:space="preserve">. </w:t>
      </w:r>
    </w:p>
    <w:p w14:paraId="67AC7F50" w14:textId="77777777" w:rsidR="00921EEB" w:rsidRDefault="00921EEB" w:rsidP="00921EEB">
      <w:pPr>
        <w:spacing w:line="240" w:lineRule="auto"/>
        <w:rPr>
          <w:iCs/>
        </w:rPr>
      </w:pPr>
    </w:p>
    <w:p w14:paraId="7CD0D0CC" w14:textId="77777777" w:rsidR="006D1F4E" w:rsidRPr="00D35A2C" w:rsidRDefault="006D1F4E" w:rsidP="006D1F4E">
      <w:pPr>
        <w:pStyle w:val="Caption"/>
        <w:ind w:left="1140" w:right="1077" w:hanging="1140"/>
        <w:rPr>
          <w:rFonts w:eastAsia="Calibri"/>
        </w:rPr>
      </w:pPr>
      <w:bookmarkStart w:id="265" w:name="_Toc80120228"/>
      <w:bookmarkStart w:id="266" w:name="_Toc80884103"/>
      <w:bookmarkStart w:id="267" w:name="_Toc80884474"/>
      <w:bookmarkStart w:id="268" w:name="_Toc82386326"/>
      <w:r w:rsidRPr="006842C5">
        <w:t>Figure 3.</w:t>
      </w:r>
      <w:r>
        <w:t>4</w:t>
      </w:r>
      <w:r w:rsidRPr="006842C5">
        <w:t>9:</w:t>
      </w:r>
      <w:r>
        <w:tab/>
      </w:r>
      <w:r w:rsidRPr="006842C5">
        <w:t xml:space="preserve">Percentage of Agricultural Households Reported to Process Different Crops by Region During 2019/20 Agricultural Year, </w:t>
      </w:r>
      <w:r>
        <w:t>Mainland Tanzania</w:t>
      </w:r>
      <w:bookmarkEnd w:id="265"/>
      <w:bookmarkEnd w:id="266"/>
      <w:bookmarkEnd w:id="267"/>
      <w:bookmarkEnd w:id="268"/>
    </w:p>
    <w:p w14:paraId="1D8BA095" w14:textId="5426B7B7" w:rsidR="00A03347" w:rsidRPr="006B42D6" w:rsidRDefault="006D1F4E" w:rsidP="005C2EFC">
      <w:r>
        <w:rPr>
          <w:noProof/>
        </w:rPr>
        <w:drawing>
          <wp:inline distT="0" distB="0" distL="0" distR="0" wp14:anchorId="6295DB00" wp14:editId="45A9C037">
            <wp:extent cx="5426710" cy="2542478"/>
            <wp:effectExtent l="0" t="0" r="8890" b="10795"/>
            <wp:docPr id="357" name="Chart 357"/>
            <wp:cNvGraphicFramePr/>
            <a:graphic xmlns:a="http://schemas.openxmlformats.org/drawingml/2006/main">
              <a:graphicData uri="http://schemas.openxmlformats.org/drawingml/2006/chart">
                <c:chart xmlns:c="http://schemas.openxmlformats.org/drawingml/2006/chart" xmlns:r="http://schemas.openxmlformats.org/officeDocument/2006/relationships" r:id="rId201"/>
              </a:graphicData>
            </a:graphic>
          </wp:inline>
        </w:drawing>
      </w:r>
    </w:p>
    <w:p w14:paraId="2B14E1CD" w14:textId="5B215489" w:rsidR="007E1D7E" w:rsidRDefault="007E1D7E" w:rsidP="00921EEB">
      <w:pPr>
        <w:spacing w:line="240" w:lineRule="auto"/>
      </w:pPr>
    </w:p>
    <w:p w14:paraId="28B4E550" w14:textId="05F94A08" w:rsidR="006D1F4E" w:rsidRDefault="006D1F4E" w:rsidP="00D75EDC">
      <w:pPr>
        <w:rPr>
          <w:iCs/>
        </w:rPr>
      </w:pPr>
      <w:r w:rsidRPr="006B42D6">
        <w:rPr>
          <w:iCs/>
        </w:rPr>
        <w:t xml:space="preserve">In Tanzania Zanzibar, Kusini Pemba region had the largest number of </w:t>
      </w:r>
      <w:r>
        <w:rPr>
          <w:iCs/>
        </w:rPr>
        <w:t>a</w:t>
      </w:r>
      <w:r w:rsidRPr="006B42D6">
        <w:rPr>
          <w:iCs/>
        </w:rPr>
        <w:t>gricultural households (15,801; 75.3 percent) that processed crops, followed by Mjini Magharibi (2,972; 14.2 percent) and Kaskazini Unguja (1,072; 5.1 percent) (Figure 3.49 &amp; 3.50).</w:t>
      </w:r>
    </w:p>
    <w:p w14:paraId="4799D5B8" w14:textId="77777777" w:rsidR="006D1F4E" w:rsidRDefault="006D1F4E" w:rsidP="00921EEB">
      <w:pPr>
        <w:spacing w:line="240" w:lineRule="auto"/>
      </w:pPr>
    </w:p>
    <w:p w14:paraId="18DB7CF9" w14:textId="77777777" w:rsidR="006D1F4E" w:rsidRPr="008B3581" w:rsidRDefault="006D1F4E" w:rsidP="006D1F4E">
      <w:pPr>
        <w:pStyle w:val="Caption"/>
        <w:ind w:left="1140" w:right="3345" w:hanging="1140"/>
        <w:rPr>
          <w:rFonts w:eastAsia="Calibri"/>
          <w:b w:val="0"/>
          <w:i/>
          <w:noProof/>
          <w:szCs w:val="16"/>
        </w:rPr>
      </w:pPr>
      <w:bookmarkStart w:id="269" w:name="_Toc80120227"/>
      <w:bookmarkStart w:id="270" w:name="_Toc80884102"/>
      <w:bookmarkStart w:id="271" w:name="_Toc80884473"/>
      <w:bookmarkStart w:id="272" w:name="_Toc82386327"/>
      <w:r w:rsidRPr="006842C5">
        <w:t>Figure 3.50:</w:t>
      </w:r>
      <w:r>
        <w:tab/>
      </w:r>
      <w:r w:rsidRPr="006842C5">
        <w:t>Percentage of Agricultural Households Reported to Process Different Crops by Region During 2019/20 Agricultural Year, Tanzania</w:t>
      </w:r>
      <w:r w:rsidRPr="006842C5">
        <w:rPr>
          <w:szCs w:val="16"/>
        </w:rPr>
        <w:t xml:space="preserve"> Zanzibar</w:t>
      </w:r>
      <w:bookmarkEnd w:id="269"/>
      <w:bookmarkEnd w:id="270"/>
      <w:bookmarkEnd w:id="271"/>
      <w:bookmarkEnd w:id="272"/>
    </w:p>
    <w:p w14:paraId="4DC813BB" w14:textId="1049C1CE" w:rsidR="006D1F4E" w:rsidRDefault="006D1F4E" w:rsidP="00D75EDC">
      <w:r>
        <w:rPr>
          <w:noProof/>
        </w:rPr>
        <w:drawing>
          <wp:inline distT="0" distB="0" distL="0" distR="0" wp14:anchorId="789CBF6B" wp14:editId="1C3FD6EC">
            <wp:extent cx="3754244" cy="2140585"/>
            <wp:effectExtent l="0" t="0" r="17780" b="18415"/>
            <wp:docPr id="358" name="Chart 35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2"/>
              </a:graphicData>
            </a:graphic>
          </wp:inline>
        </w:drawing>
      </w:r>
    </w:p>
    <w:p w14:paraId="02A5444A" w14:textId="6F165402" w:rsidR="00921EEB" w:rsidRDefault="00921EEB">
      <w:pPr>
        <w:spacing w:line="240" w:lineRule="auto"/>
        <w:contextualSpacing w:val="0"/>
        <w:jc w:val="left"/>
      </w:pPr>
      <w:r>
        <w:br w:type="page"/>
      </w:r>
    </w:p>
    <w:p w14:paraId="7CEDB8D4" w14:textId="2C8EA26E" w:rsidR="00642BA9" w:rsidRPr="006B42D6" w:rsidRDefault="00642BA9" w:rsidP="00642BA9">
      <w:pPr>
        <w:pStyle w:val="Heading3"/>
      </w:pPr>
      <w:bookmarkStart w:id="273" w:name="_Toc82385687"/>
      <w:r w:rsidRPr="006B42D6">
        <w:lastRenderedPageBreak/>
        <w:t>3.</w:t>
      </w:r>
      <w:r w:rsidR="00193728">
        <w:t>2</w:t>
      </w:r>
      <w:r w:rsidRPr="006B42D6">
        <w:t>.2</w:t>
      </w:r>
      <w:r w:rsidR="007D45B0">
        <w:tab/>
      </w:r>
      <w:r w:rsidRPr="006B42D6">
        <w:t>Quantity of Major Crop Products</w:t>
      </w:r>
      <w:bookmarkEnd w:id="273"/>
    </w:p>
    <w:p w14:paraId="7F8739EA" w14:textId="09C5C2F5" w:rsidR="00642BA9" w:rsidRDefault="008053B2" w:rsidP="00642BA9">
      <w:r w:rsidRPr="006B42D6">
        <w:t xml:space="preserve">The </w:t>
      </w:r>
      <w:r w:rsidR="00642BA9" w:rsidRPr="006B42D6">
        <w:t>Census results show that, a total of 93,646 tons of flour/meal were produced</w:t>
      </w:r>
      <w:r w:rsidRPr="006B42D6">
        <w:t>,</w:t>
      </w:r>
      <w:r w:rsidR="00642BA9" w:rsidRPr="006B42D6">
        <w:t xml:space="preserve"> out of which, 93,627 tons (99.98 percent) were in </w:t>
      </w:r>
      <w:r w:rsidR="00EA1552">
        <w:t>Mainland Tanzania</w:t>
      </w:r>
      <w:r w:rsidR="00642BA9" w:rsidRPr="006B42D6">
        <w:t xml:space="preserve"> and 20 tons (0.02) in </w:t>
      </w:r>
      <w:r w:rsidRPr="006B42D6">
        <w:t xml:space="preserve">Tanzania </w:t>
      </w:r>
      <w:r w:rsidR="00642BA9" w:rsidRPr="006B42D6">
        <w:t>Zanzibar. Flour/meal was produced from maize, sorghum, bulrush millet, finger-millet, cassava, cowpeas and coffee. Moreover, a total of 50,164 tons of grain were produced</w:t>
      </w:r>
      <w:r w:rsidRPr="006B42D6">
        <w:t>,</w:t>
      </w:r>
      <w:r w:rsidR="00642BA9" w:rsidRPr="006B42D6">
        <w:t xml:space="preserve"> out of which 49,097 tons (97. 9 percent) were in </w:t>
      </w:r>
      <w:r w:rsidR="00EA1552">
        <w:t>Mainland Tanzania</w:t>
      </w:r>
      <w:r w:rsidR="00642BA9" w:rsidRPr="006B42D6">
        <w:t xml:space="preserve"> and 1,067 tons (2.1 percent) in </w:t>
      </w:r>
      <w:r w:rsidRPr="006B42D6">
        <w:t xml:space="preserve">Tanzania </w:t>
      </w:r>
      <w:r w:rsidR="00642BA9" w:rsidRPr="006B42D6">
        <w:t>Zanzibar. Grain was produced from paddy, bambaranuts, cashewnuts and coffee</w:t>
      </w:r>
      <w:r w:rsidR="00DD78AA">
        <w:t>.</w:t>
      </w:r>
    </w:p>
    <w:p w14:paraId="748FCA0D" w14:textId="77777777" w:rsidR="00DD78AA" w:rsidRPr="006B42D6" w:rsidRDefault="00DD78AA" w:rsidP="00060B34">
      <w:pPr>
        <w:spacing w:line="240" w:lineRule="auto"/>
      </w:pPr>
    </w:p>
    <w:p w14:paraId="01C5C158" w14:textId="4E0A0E7C" w:rsidR="00642BA9" w:rsidRDefault="00642BA9" w:rsidP="00642BA9">
      <w:r w:rsidRPr="006B42D6">
        <w:t xml:space="preserve">Further results show that, a total of 7,583,897 litres of oil were produced, whereas, 7,472,305 litres (98.5 percent) were from </w:t>
      </w:r>
      <w:r w:rsidR="00EA1552">
        <w:t>Mainland Tanzania</w:t>
      </w:r>
      <w:r w:rsidRPr="006B42D6">
        <w:t xml:space="preserve"> and 111,592 litres (1.5 percent) in </w:t>
      </w:r>
      <w:r w:rsidR="005E1B02" w:rsidRPr="006B42D6">
        <w:t xml:space="preserve">Tanzania </w:t>
      </w:r>
      <w:r w:rsidRPr="006B42D6">
        <w:t xml:space="preserve">Zanzibar. Oil was produced from sunflower, sesame, groundnuts, coconut and soyabeans. </w:t>
      </w:r>
      <w:r w:rsidR="005E1B02" w:rsidRPr="006B42D6">
        <w:t>Furthermore</w:t>
      </w:r>
      <w:r w:rsidRPr="006B42D6">
        <w:t xml:space="preserve">, juice was </w:t>
      </w:r>
      <w:r w:rsidR="009241C6" w:rsidRPr="006B42D6">
        <w:t xml:space="preserve">only </w:t>
      </w:r>
      <w:r w:rsidRPr="006B42D6">
        <w:t xml:space="preserve">produced in </w:t>
      </w:r>
      <w:r w:rsidR="005E1B02" w:rsidRPr="006B42D6">
        <w:t xml:space="preserve">Tanzania </w:t>
      </w:r>
      <w:r w:rsidRPr="006B42D6">
        <w:t>Zanzibar with 1,002 litres from lime</w:t>
      </w:r>
      <w:r w:rsidR="005E1B02" w:rsidRPr="006B42D6">
        <w:t>,</w:t>
      </w:r>
      <w:r w:rsidRPr="006B42D6">
        <w:t xml:space="preserve"> while fiber was </w:t>
      </w:r>
      <w:r w:rsidR="009241C6" w:rsidRPr="006B42D6">
        <w:t xml:space="preserve">only </w:t>
      </w:r>
      <w:r w:rsidRPr="006B42D6">
        <w:t xml:space="preserve">produced in </w:t>
      </w:r>
      <w:r w:rsidR="00EA1552">
        <w:t>Mainland Tanzania</w:t>
      </w:r>
      <w:r w:rsidRPr="006B42D6">
        <w:t xml:space="preserve"> with 6,441 tons from sisal (Table 3.1</w:t>
      </w:r>
      <w:r w:rsidR="00CD75FC">
        <w:t>8</w:t>
      </w:r>
      <w:r w:rsidRPr="006B42D6">
        <w:t>).</w:t>
      </w:r>
    </w:p>
    <w:p w14:paraId="451048C9" w14:textId="77777777" w:rsidR="00B107E4" w:rsidRPr="006B42D6" w:rsidRDefault="00B107E4" w:rsidP="00642BA9"/>
    <w:p w14:paraId="2DE1E820" w14:textId="37442EE9" w:rsidR="00642BA9" w:rsidRPr="006B42D6" w:rsidRDefault="00642BA9" w:rsidP="007200F6">
      <w:pPr>
        <w:pStyle w:val="Heading7"/>
      </w:pPr>
      <w:bookmarkStart w:id="274" w:name="_Toc82386200"/>
      <w:r w:rsidRPr="006B42D6">
        <w:t>Table 3.1</w:t>
      </w:r>
      <w:r w:rsidR="00CD75FC">
        <w:t>8</w:t>
      </w:r>
      <w:r w:rsidR="004C6B00">
        <w:t>:</w:t>
      </w:r>
      <w:r w:rsidR="004C6B00">
        <w:tab/>
      </w:r>
      <w:r w:rsidRPr="006B42D6">
        <w:t>Quantity of Major Crops Products</w:t>
      </w:r>
      <w:r w:rsidR="006842C5" w:rsidRPr="006B42D6">
        <w:t xml:space="preserve"> During 2019/20 Agricultural Year, </w:t>
      </w:r>
      <w:r w:rsidR="009241C6" w:rsidRPr="006B42D6">
        <w:t>Tanzania</w:t>
      </w:r>
      <w:bookmarkEnd w:id="274"/>
      <w:r w:rsidR="006842C5" w:rsidRPr="006B42D6">
        <w:t xml:space="preserve"> </w:t>
      </w:r>
    </w:p>
    <w:tbl>
      <w:tblPr>
        <w:tblW w:w="4499" w:type="pct"/>
        <w:tblLook w:val="04A0" w:firstRow="1" w:lastRow="0" w:firstColumn="1" w:lastColumn="0" w:noHBand="0" w:noVBand="1"/>
      </w:tblPr>
      <w:tblGrid>
        <w:gridCol w:w="1093"/>
        <w:gridCol w:w="1434"/>
        <w:gridCol w:w="1001"/>
        <w:gridCol w:w="1326"/>
        <w:gridCol w:w="1125"/>
        <w:gridCol w:w="1182"/>
        <w:gridCol w:w="1150"/>
      </w:tblGrid>
      <w:tr w:rsidR="00D75EDC" w:rsidRPr="006B42D6" w14:paraId="044131F8" w14:textId="77777777" w:rsidTr="008B0802">
        <w:trPr>
          <w:trHeight w:val="329"/>
        </w:trPr>
        <w:tc>
          <w:tcPr>
            <w:tcW w:w="657" w:type="pct"/>
            <w:tcBorders>
              <w:top w:val="single" w:sz="4" w:space="0" w:color="auto"/>
              <w:left w:val="nil"/>
              <w:bottom w:val="single" w:sz="4" w:space="0" w:color="auto"/>
              <w:right w:val="nil"/>
            </w:tcBorders>
            <w:shd w:val="clear" w:color="auto" w:fill="E2EFD9" w:themeFill="accent6" w:themeFillTint="33"/>
            <w:vAlign w:val="bottom"/>
            <w:hideMark/>
          </w:tcPr>
          <w:p w14:paraId="4E92D842" w14:textId="77777777" w:rsidR="009241C6" w:rsidRPr="006B42D6" w:rsidRDefault="009241C6" w:rsidP="0082649A">
            <w:pPr>
              <w:rPr>
                <w:sz w:val="16"/>
                <w:szCs w:val="16"/>
              </w:rPr>
            </w:pPr>
            <w:r w:rsidRPr="006B42D6">
              <w:rPr>
                <w:sz w:val="16"/>
                <w:szCs w:val="16"/>
              </w:rPr>
              <w:t> </w:t>
            </w:r>
          </w:p>
        </w:tc>
        <w:tc>
          <w:tcPr>
            <w:tcW w:w="863" w:type="pct"/>
            <w:tcBorders>
              <w:top w:val="single" w:sz="4" w:space="0" w:color="auto"/>
              <w:left w:val="nil"/>
              <w:bottom w:val="single" w:sz="4" w:space="0" w:color="auto"/>
              <w:right w:val="nil"/>
            </w:tcBorders>
            <w:shd w:val="clear" w:color="auto" w:fill="E2EFD9" w:themeFill="accent6" w:themeFillTint="33"/>
            <w:vAlign w:val="center"/>
            <w:hideMark/>
          </w:tcPr>
          <w:p w14:paraId="727F4480" w14:textId="77777777" w:rsidR="009241C6" w:rsidRPr="006B42D6" w:rsidRDefault="009241C6" w:rsidP="008B0802">
            <w:pPr>
              <w:jc w:val="center"/>
              <w:rPr>
                <w:sz w:val="16"/>
                <w:szCs w:val="16"/>
              </w:rPr>
            </w:pPr>
            <w:r w:rsidRPr="006B42D6">
              <w:rPr>
                <w:sz w:val="16"/>
                <w:szCs w:val="16"/>
              </w:rPr>
              <w:t>Flour/meal (tons)</w:t>
            </w:r>
          </w:p>
        </w:tc>
        <w:tc>
          <w:tcPr>
            <w:tcW w:w="602" w:type="pct"/>
            <w:tcBorders>
              <w:top w:val="single" w:sz="4" w:space="0" w:color="auto"/>
              <w:left w:val="nil"/>
              <w:bottom w:val="single" w:sz="4" w:space="0" w:color="auto"/>
              <w:right w:val="nil"/>
            </w:tcBorders>
            <w:shd w:val="clear" w:color="auto" w:fill="E2EFD9" w:themeFill="accent6" w:themeFillTint="33"/>
            <w:vAlign w:val="center"/>
            <w:hideMark/>
          </w:tcPr>
          <w:p w14:paraId="50492DB1" w14:textId="77777777" w:rsidR="009241C6" w:rsidRPr="006B42D6" w:rsidRDefault="009241C6" w:rsidP="008B0802">
            <w:pPr>
              <w:jc w:val="center"/>
              <w:rPr>
                <w:sz w:val="16"/>
                <w:szCs w:val="16"/>
              </w:rPr>
            </w:pPr>
            <w:r w:rsidRPr="006B42D6">
              <w:rPr>
                <w:sz w:val="16"/>
                <w:szCs w:val="16"/>
              </w:rPr>
              <w:t>Grain (tons)</w:t>
            </w:r>
          </w:p>
        </w:tc>
        <w:tc>
          <w:tcPr>
            <w:tcW w:w="798" w:type="pct"/>
            <w:tcBorders>
              <w:top w:val="single" w:sz="4" w:space="0" w:color="auto"/>
              <w:left w:val="nil"/>
              <w:bottom w:val="single" w:sz="4" w:space="0" w:color="auto"/>
              <w:right w:val="nil"/>
            </w:tcBorders>
            <w:shd w:val="clear" w:color="auto" w:fill="E2EFD9" w:themeFill="accent6" w:themeFillTint="33"/>
            <w:vAlign w:val="center"/>
            <w:hideMark/>
          </w:tcPr>
          <w:p w14:paraId="73280D6E" w14:textId="77777777" w:rsidR="009241C6" w:rsidRPr="006B42D6" w:rsidRDefault="009241C6" w:rsidP="008B0802">
            <w:pPr>
              <w:jc w:val="center"/>
              <w:rPr>
                <w:sz w:val="16"/>
                <w:szCs w:val="16"/>
              </w:rPr>
            </w:pPr>
            <w:r w:rsidRPr="006B42D6">
              <w:rPr>
                <w:sz w:val="16"/>
                <w:szCs w:val="16"/>
              </w:rPr>
              <w:t>Oil (litres)</w:t>
            </w:r>
          </w:p>
        </w:tc>
        <w:tc>
          <w:tcPr>
            <w:tcW w:w="677" w:type="pct"/>
            <w:tcBorders>
              <w:top w:val="single" w:sz="4" w:space="0" w:color="auto"/>
              <w:left w:val="nil"/>
              <w:bottom w:val="single" w:sz="4" w:space="0" w:color="auto"/>
              <w:right w:val="nil"/>
            </w:tcBorders>
            <w:shd w:val="clear" w:color="auto" w:fill="E2EFD9" w:themeFill="accent6" w:themeFillTint="33"/>
            <w:vAlign w:val="center"/>
            <w:hideMark/>
          </w:tcPr>
          <w:p w14:paraId="00B2E6AC" w14:textId="77777777" w:rsidR="009241C6" w:rsidRPr="006B42D6" w:rsidRDefault="009241C6" w:rsidP="008B0802">
            <w:pPr>
              <w:jc w:val="center"/>
              <w:rPr>
                <w:sz w:val="16"/>
                <w:szCs w:val="16"/>
              </w:rPr>
            </w:pPr>
            <w:r w:rsidRPr="006B42D6">
              <w:rPr>
                <w:sz w:val="16"/>
                <w:szCs w:val="16"/>
              </w:rPr>
              <w:t>Juice (litres)</w:t>
            </w:r>
          </w:p>
        </w:tc>
        <w:tc>
          <w:tcPr>
            <w:tcW w:w="711" w:type="pct"/>
            <w:tcBorders>
              <w:top w:val="single" w:sz="4" w:space="0" w:color="auto"/>
              <w:left w:val="nil"/>
              <w:bottom w:val="single" w:sz="4" w:space="0" w:color="auto"/>
              <w:right w:val="nil"/>
            </w:tcBorders>
            <w:shd w:val="clear" w:color="auto" w:fill="E2EFD9" w:themeFill="accent6" w:themeFillTint="33"/>
            <w:vAlign w:val="center"/>
            <w:hideMark/>
          </w:tcPr>
          <w:p w14:paraId="6766658C" w14:textId="77777777" w:rsidR="009241C6" w:rsidRPr="006B42D6" w:rsidRDefault="009241C6" w:rsidP="008B0802">
            <w:pPr>
              <w:jc w:val="center"/>
              <w:rPr>
                <w:sz w:val="16"/>
                <w:szCs w:val="16"/>
              </w:rPr>
            </w:pPr>
            <w:r w:rsidRPr="006B42D6">
              <w:rPr>
                <w:sz w:val="16"/>
                <w:szCs w:val="16"/>
              </w:rPr>
              <w:t>Fiber (tons)</w:t>
            </w:r>
          </w:p>
        </w:tc>
        <w:tc>
          <w:tcPr>
            <w:tcW w:w="692" w:type="pct"/>
            <w:tcBorders>
              <w:top w:val="single" w:sz="4" w:space="0" w:color="auto"/>
              <w:left w:val="nil"/>
              <w:bottom w:val="single" w:sz="4" w:space="0" w:color="auto"/>
              <w:right w:val="nil"/>
            </w:tcBorders>
            <w:shd w:val="clear" w:color="auto" w:fill="E2EFD9" w:themeFill="accent6" w:themeFillTint="33"/>
            <w:vAlign w:val="center"/>
            <w:hideMark/>
          </w:tcPr>
          <w:p w14:paraId="23BF7D93" w14:textId="77777777" w:rsidR="009241C6" w:rsidRPr="006B42D6" w:rsidRDefault="009241C6" w:rsidP="008B0802">
            <w:pPr>
              <w:jc w:val="center"/>
              <w:rPr>
                <w:sz w:val="16"/>
                <w:szCs w:val="16"/>
              </w:rPr>
            </w:pPr>
            <w:r w:rsidRPr="006B42D6">
              <w:rPr>
                <w:sz w:val="16"/>
                <w:szCs w:val="16"/>
              </w:rPr>
              <w:t>Other (tons)</w:t>
            </w:r>
          </w:p>
        </w:tc>
      </w:tr>
      <w:tr w:rsidR="00D75EDC" w:rsidRPr="006B42D6" w14:paraId="6E65ADD4" w14:textId="77777777" w:rsidTr="00D75EDC">
        <w:trPr>
          <w:trHeight w:val="416"/>
        </w:trPr>
        <w:tc>
          <w:tcPr>
            <w:tcW w:w="657" w:type="pct"/>
            <w:tcBorders>
              <w:top w:val="nil"/>
              <w:left w:val="nil"/>
              <w:bottom w:val="nil"/>
              <w:right w:val="nil"/>
            </w:tcBorders>
            <w:shd w:val="clear" w:color="auto" w:fill="auto"/>
            <w:noWrap/>
            <w:vAlign w:val="center"/>
            <w:hideMark/>
          </w:tcPr>
          <w:p w14:paraId="5426A819" w14:textId="77777777" w:rsidR="009241C6" w:rsidRPr="00B107E4" w:rsidRDefault="009241C6" w:rsidP="0082649A">
            <w:pPr>
              <w:rPr>
                <w:bCs/>
                <w:sz w:val="16"/>
                <w:szCs w:val="16"/>
              </w:rPr>
            </w:pPr>
            <w:r w:rsidRPr="00B107E4">
              <w:rPr>
                <w:bCs/>
                <w:sz w:val="16"/>
                <w:szCs w:val="16"/>
              </w:rPr>
              <w:t>Tanzania</w:t>
            </w:r>
          </w:p>
        </w:tc>
        <w:tc>
          <w:tcPr>
            <w:tcW w:w="863" w:type="pct"/>
            <w:tcBorders>
              <w:top w:val="nil"/>
              <w:left w:val="nil"/>
              <w:bottom w:val="nil"/>
              <w:right w:val="nil"/>
            </w:tcBorders>
            <w:shd w:val="clear" w:color="auto" w:fill="auto"/>
            <w:noWrap/>
            <w:vAlign w:val="center"/>
            <w:hideMark/>
          </w:tcPr>
          <w:p w14:paraId="6A0B98FA" w14:textId="77777777" w:rsidR="009241C6" w:rsidRPr="00B107E4" w:rsidRDefault="009241C6" w:rsidP="008B0802">
            <w:pPr>
              <w:jc w:val="center"/>
              <w:rPr>
                <w:sz w:val="16"/>
                <w:szCs w:val="16"/>
              </w:rPr>
            </w:pPr>
            <w:r w:rsidRPr="00B107E4">
              <w:rPr>
                <w:sz w:val="16"/>
                <w:szCs w:val="16"/>
              </w:rPr>
              <w:t>93,646</w:t>
            </w:r>
          </w:p>
        </w:tc>
        <w:tc>
          <w:tcPr>
            <w:tcW w:w="602" w:type="pct"/>
            <w:tcBorders>
              <w:top w:val="nil"/>
              <w:left w:val="nil"/>
              <w:bottom w:val="nil"/>
              <w:right w:val="nil"/>
            </w:tcBorders>
            <w:shd w:val="clear" w:color="auto" w:fill="auto"/>
            <w:noWrap/>
            <w:vAlign w:val="center"/>
            <w:hideMark/>
          </w:tcPr>
          <w:p w14:paraId="31B049C3" w14:textId="77777777" w:rsidR="009241C6" w:rsidRPr="00B107E4" w:rsidRDefault="009241C6" w:rsidP="008B0802">
            <w:pPr>
              <w:jc w:val="center"/>
              <w:rPr>
                <w:sz w:val="16"/>
                <w:szCs w:val="16"/>
              </w:rPr>
            </w:pPr>
            <w:r w:rsidRPr="00B107E4">
              <w:rPr>
                <w:sz w:val="16"/>
                <w:szCs w:val="16"/>
              </w:rPr>
              <w:t>50,164</w:t>
            </w:r>
          </w:p>
        </w:tc>
        <w:tc>
          <w:tcPr>
            <w:tcW w:w="798" w:type="pct"/>
            <w:tcBorders>
              <w:top w:val="nil"/>
              <w:left w:val="nil"/>
              <w:bottom w:val="nil"/>
              <w:right w:val="nil"/>
            </w:tcBorders>
            <w:shd w:val="clear" w:color="auto" w:fill="auto"/>
            <w:noWrap/>
            <w:vAlign w:val="center"/>
            <w:hideMark/>
          </w:tcPr>
          <w:p w14:paraId="56787641" w14:textId="77777777" w:rsidR="009241C6" w:rsidRPr="00B107E4" w:rsidRDefault="009241C6" w:rsidP="008B0802">
            <w:pPr>
              <w:jc w:val="center"/>
              <w:rPr>
                <w:sz w:val="16"/>
                <w:szCs w:val="16"/>
              </w:rPr>
            </w:pPr>
            <w:r w:rsidRPr="00B107E4">
              <w:rPr>
                <w:sz w:val="16"/>
                <w:szCs w:val="16"/>
              </w:rPr>
              <w:t>7,583,897</w:t>
            </w:r>
          </w:p>
        </w:tc>
        <w:tc>
          <w:tcPr>
            <w:tcW w:w="677" w:type="pct"/>
            <w:tcBorders>
              <w:top w:val="nil"/>
              <w:left w:val="nil"/>
              <w:bottom w:val="nil"/>
              <w:right w:val="nil"/>
            </w:tcBorders>
            <w:shd w:val="clear" w:color="auto" w:fill="auto"/>
            <w:noWrap/>
            <w:vAlign w:val="center"/>
            <w:hideMark/>
          </w:tcPr>
          <w:p w14:paraId="2DB9EEEC" w14:textId="77777777" w:rsidR="009241C6" w:rsidRPr="00B107E4" w:rsidRDefault="009241C6" w:rsidP="008B0802">
            <w:pPr>
              <w:jc w:val="center"/>
              <w:rPr>
                <w:sz w:val="16"/>
                <w:szCs w:val="16"/>
              </w:rPr>
            </w:pPr>
            <w:r w:rsidRPr="00B107E4">
              <w:rPr>
                <w:sz w:val="16"/>
                <w:szCs w:val="16"/>
              </w:rPr>
              <w:t>1,002</w:t>
            </w:r>
          </w:p>
        </w:tc>
        <w:tc>
          <w:tcPr>
            <w:tcW w:w="711" w:type="pct"/>
            <w:tcBorders>
              <w:top w:val="nil"/>
              <w:left w:val="nil"/>
              <w:bottom w:val="nil"/>
              <w:right w:val="nil"/>
            </w:tcBorders>
            <w:shd w:val="clear" w:color="auto" w:fill="auto"/>
            <w:noWrap/>
            <w:vAlign w:val="center"/>
            <w:hideMark/>
          </w:tcPr>
          <w:p w14:paraId="5EB6F246" w14:textId="77777777" w:rsidR="009241C6" w:rsidRPr="00B107E4" w:rsidRDefault="009241C6" w:rsidP="008B0802">
            <w:pPr>
              <w:jc w:val="center"/>
              <w:rPr>
                <w:sz w:val="16"/>
                <w:szCs w:val="16"/>
              </w:rPr>
            </w:pPr>
            <w:r w:rsidRPr="00B107E4">
              <w:rPr>
                <w:sz w:val="16"/>
                <w:szCs w:val="16"/>
              </w:rPr>
              <w:t>6,441</w:t>
            </w:r>
          </w:p>
        </w:tc>
        <w:tc>
          <w:tcPr>
            <w:tcW w:w="692" w:type="pct"/>
            <w:tcBorders>
              <w:top w:val="nil"/>
              <w:left w:val="nil"/>
              <w:bottom w:val="nil"/>
              <w:right w:val="nil"/>
            </w:tcBorders>
            <w:shd w:val="clear" w:color="auto" w:fill="auto"/>
            <w:noWrap/>
            <w:vAlign w:val="center"/>
            <w:hideMark/>
          </w:tcPr>
          <w:p w14:paraId="6A0574FB" w14:textId="77777777" w:rsidR="009241C6" w:rsidRPr="00B107E4" w:rsidRDefault="009241C6" w:rsidP="008B0802">
            <w:pPr>
              <w:jc w:val="center"/>
              <w:rPr>
                <w:sz w:val="16"/>
                <w:szCs w:val="16"/>
              </w:rPr>
            </w:pPr>
            <w:r w:rsidRPr="00B107E4">
              <w:rPr>
                <w:sz w:val="16"/>
                <w:szCs w:val="16"/>
              </w:rPr>
              <w:t>8,308</w:t>
            </w:r>
          </w:p>
        </w:tc>
      </w:tr>
      <w:tr w:rsidR="00D75EDC" w:rsidRPr="006B42D6" w14:paraId="29386102" w14:textId="77777777" w:rsidTr="00D75EDC">
        <w:trPr>
          <w:trHeight w:val="416"/>
        </w:trPr>
        <w:tc>
          <w:tcPr>
            <w:tcW w:w="657" w:type="pct"/>
            <w:tcBorders>
              <w:top w:val="nil"/>
              <w:left w:val="nil"/>
              <w:bottom w:val="nil"/>
              <w:right w:val="nil"/>
            </w:tcBorders>
            <w:shd w:val="clear" w:color="auto" w:fill="auto"/>
            <w:noWrap/>
            <w:vAlign w:val="center"/>
            <w:hideMark/>
          </w:tcPr>
          <w:p w14:paraId="4DCA8664" w14:textId="77777777" w:rsidR="009241C6" w:rsidRPr="00B107E4" w:rsidRDefault="009241C6" w:rsidP="0082649A">
            <w:pPr>
              <w:rPr>
                <w:bCs/>
                <w:sz w:val="16"/>
                <w:szCs w:val="16"/>
              </w:rPr>
            </w:pPr>
            <w:r w:rsidRPr="00B107E4">
              <w:rPr>
                <w:bCs/>
                <w:sz w:val="16"/>
                <w:szCs w:val="16"/>
              </w:rPr>
              <w:t>Mainland</w:t>
            </w:r>
          </w:p>
        </w:tc>
        <w:tc>
          <w:tcPr>
            <w:tcW w:w="863" w:type="pct"/>
            <w:tcBorders>
              <w:top w:val="nil"/>
              <w:left w:val="nil"/>
              <w:bottom w:val="nil"/>
              <w:right w:val="nil"/>
            </w:tcBorders>
            <w:shd w:val="clear" w:color="auto" w:fill="auto"/>
            <w:noWrap/>
            <w:vAlign w:val="center"/>
            <w:hideMark/>
          </w:tcPr>
          <w:p w14:paraId="6D928537" w14:textId="77777777" w:rsidR="009241C6" w:rsidRPr="00B107E4" w:rsidRDefault="009241C6" w:rsidP="008B0802">
            <w:pPr>
              <w:jc w:val="center"/>
              <w:rPr>
                <w:sz w:val="16"/>
                <w:szCs w:val="16"/>
              </w:rPr>
            </w:pPr>
            <w:r w:rsidRPr="00B107E4">
              <w:rPr>
                <w:sz w:val="16"/>
                <w:szCs w:val="16"/>
              </w:rPr>
              <w:t>93,627</w:t>
            </w:r>
          </w:p>
        </w:tc>
        <w:tc>
          <w:tcPr>
            <w:tcW w:w="602" w:type="pct"/>
            <w:tcBorders>
              <w:top w:val="nil"/>
              <w:left w:val="nil"/>
              <w:bottom w:val="nil"/>
              <w:right w:val="nil"/>
            </w:tcBorders>
            <w:shd w:val="clear" w:color="auto" w:fill="auto"/>
            <w:noWrap/>
            <w:vAlign w:val="center"/>
            <w:hideMark/>
          </w:tcPr>
          <w:p w14:paraId="0460DC1C" w14:textId="77777777" w:rsidR="009241C6" w:rsidRPr="00B107E4" w:rsidRDefault="009241C6" w:rsidP="008B0802">
            <w:pPr>
              <w:jc w:val="center"/>
              <w:rPr>
                <w:sz w:val="16"/>
                <w:szCs w:val="16"/>
              </w:rPr>
            </w:pPr>
            <w:r w:rsidRPr="00B107E4">
              <w:rPr>
                <w:sz w:val="16"/>
                <w:szCs w:val="16"/>
              </w:rPr>
              <w:t>49,097</w:t>
            </w:r>
          </w:p>
        </w:tc>
        <w:tc>
          <w:tcPr>
            <w:tcW w:w="798" w:type="pct"/>
            <w:tcBorders>
              <w:top w:val="nil"/>
              <w:left w:val="nil"/>
              <w:bottom w:val="nil"/>
              <w:right w:val="nil"/>
            </w:tcBorders>
            <w:shd w:val="clear" w:color="auto" w:fill="auto"/>
            <w:noWrap/>
            <w:vAlign w:val="center"/>
            <w:hideMark/>
          </w:tcPr>
          <w:p w14:paraId="07CB49F9" w14:textId="77777777" w:rsidR="009241C6" w:rsidRPr="00B107E4" w:rsidRDefault="009241C6" w:rsidP="008B0802">
            <w:pPr>
              <w:jc w:val="center"/>
              <w:rPr>
                <w:sz w:val="16"/>
                <w:szCs w:val="16"/>
              </w:rPr>
            </w:pPr>
            <w:r w:rsidRPr="00B107E4">
              <w:rPr>
                <w:sz w:val="16"/>
                <w:szCs w:val="16"/>
              </w:rPr>
              <w:t>7,472,305</w:t>
            </w:r>
          </w:p>
        </w:tc>
        <w:tc>
          <w:tcPr>
            <w:tcW w:w="677" w:type="pct"/>
            <w:tcBorders>
              <w:top w:val="nil"/>
              <w:left w:val="nil"/>
              <w:bottom w:val="nil"/>
              <w:right w:val="nil"/>
            </w:tcBorders>
            <w:shd w:val="clear" w:color="auto" w:fill="auto"/>
            <w:noWrap/>
            <w:vAlign w:val="center"/>
            <w:hideMark/>
          </w:tcPr>
          <w:p w14:paraId="13FE629C" w14:textId="77777777" w:rsidR="009241C6" w:rsidRPr="00B107E4" w:rsidRDefault="009241C6" w:rsidP="008B0802">
            <w:pPr>
              <w:jc w:val="center"/>
              <w:rPr>
                <w:sz w:val="16"/>
                <w:szCs w:val="16"/>
              </w:rPr>
            </w:pPr>
            <w:r w:rsidRPr="00B107E4">
              <w:rPr>
                <w:sz w:val="16"/>
                <w:szCs w:val="16"/>
              </w:rPr>
              <w:t>0</w:t>
            </w:r>
          </w:p>
        </w:tc>
        <w:tc>
          <w:tcPr>
            <w:tcW w:w="711" w:type="pct"/>
            <w:tcBorders>
              <w:top w:val="nil"/>
              <w:left w:val="nil"/>
              <w:bottom w:val="nil"/>
              <w:right w:val="nil"/>
            </w:tcBorders>
            <w:shd w:val="clear" w:color="auto" w:fill="auto"/>
            <w:noWrap/>
            <w:vAlign w:val="center"/>
            <w:hideMark/>
          </w:tcPr>
          <w:p w14:paraId="73BBBCA2" w14:textId="77777777" w:rsidR="009241C6" w:rsidRPr="00B107E4" w:rsidRDefault="009241C6" w:rsidP="008B0802">
            <w:pPr>
              <w:jc w:val="center"/>
              <w:rPr>
                <w:sz w:val="16"/>
                <w:szCs w:val="16"/>
              </w:rPr>
            </w:pPr>
            <w:r w:rsidRPr="00B107E4">
              <w:rPr>
                <w:sz w:val="16"/>
                <w:szCs w:val="16"/>
              </w:rPr>
              <w:t>6,441</w:t>
            </w:r>
          </w:p>
        </w:tc>
        <w:tc>
          <w:tcPr>
            <w:tcW w:w="692" w:type="pct"/>
            <w:tcBorders>
              <w:top w:val="nil"/>
              <w:left w:val="nil"/>
              <w:bottom w:val="nil"/>
              <w:right w:val="nil"/>
            </w:tcBorders>
            <w:shd w:val="clear" w:color="auto" w:fill="auto"/>
            <w:noWrap/>
            <w:vAlign w:val="center"/>
            <w:hideMark/>
          </w:tcPr>
          <w:p w14:paraId="3C872F8F" w14:textId="77777777" w:rsidR="009241C6" w:rsidRPr="00B107E4" w:rsidRDefault="009241C6" w:rsidP="008B0802">
            <w:pPr>
              <w:jc w:val="center"/>
              <w:rPr>
                <w:sz w:val="16"/>
                <w:szCs w:val="16"/>
              </w:rPr>
            </w:pPr>
            <w:r w:rsidRPr="00B107E4">
              <w:rPr>
                <w:sz w:val="16"/>
                <w:szCs w:val="16"/>
              </w:rPr>
              <w:t>8,058</w:t>
            </w:r>
          </w:p>
        </w:tc>
      </w:tr>
      <w:tr w:rsidR="00D75EDC" w:rsidRPr="006B42D6" w14:paraId="1C335B5D" w14:textId="77777777" w:rsidTr="00D75EDC">
        <w:trPr>
          <w:trHeight w:val="416"/>
        </w:trPr>
        <w:tc>
          <w:tcPr>
            <w:tcW w:w="657" w:type="pct"/>
            <w:tcBorders>
              <w:top w:val="nil"/>
              <w:left w:val="nil"/>
              <w:bottom w:val="single" w:sz="4" w:space="0" w:color="auto"/>
              <w:right w:val="nil"/>
            </w:tcBorders>
            <w:shd w:val="clear" w:color="auto" w:fill="auto"/>
            <w:noWrap/>
            <w:vAlign w:val="center"/>
            <w:hideMark/>
          </w:tcPr>
          <w:p w14:paraId="72EE5E51" w14:textId="77777777" w:rsidR="009241C6" w:rsidRPr="00B107E4" w:rsidRDefault="009241C6" w:rsidP="0082649A">
            <w:pPr>
              <w:rPr>
                <w:bCs/>
                <w:sz w:val="16"/>
                <w:szCs w:val="16"/>
              </w:rPr>
            </w:pPr>
            <w:r w:rsidRPr="00B107E4">
              <w:rPr>
                <w:bCs/>
                <w:sz w:val="16"/>
                <w:szCs w:val="16"/>
              </w:rPr>
              <w:t>Zanzibar</w:t>
            </w:r>
          </w:p>
        </w:tc>
        <w:tc>
          <w:tcPr>
            <w:tcW w:w="863" w:type="pct"/>
            <w:tcBorders>
              <w:top w:val="nil"/>
              <w:left w:val="nil"/>
              <w:bottom w:val="single" w:sz="4" w:space="0" w:color="auto"/>
              <w:right w:val="nil"/>
            </w:tcBorders>
            <w:shd w:val="clear" w:color="auto" w:fill="auto"/>
            <w:noWrap/>
            <w:vAlign w:val="center"/>
            <w:hideMark/>
          </w:tcPr>
          <w:p w14:paraId="3DA54C67" w14:textId="77777777" w:rsidR="009241C6" w:rsidRPr="00B107E4" w:rsidRDefault="009241C6" w:rsidP="008B0802">
            <w:pPr>
              <w:jc w:val="center"/>
              <w:rPr>
                <w:sz w:val="16"/>
                <w:szCs w:val="16"/>
              </w:rPr>
            </w:pPr>
            <w:r w:rsidRPr="00B107E4">
              <w:rPr>
                <w:sz w:val="16"/>
                <w:szCs w:val="16"/>
              </w:rPr>
              <w:t>20</w:t>
            </w:r>
          </w:p>
        </w:tc>
        <w:tc>
          <w:tcPr>
            <w:tcW w:w="602" w:type="pct"/>
            <w:tcBorders>
              <w:top w:val="nil"/>
              <w:left w:val="nil"/>
              <w:bottom w:val="single" w:sz="4" w:space="0" w:color="auto"/>
              <w:right w:val="nil"/>
            </w:tcBorders>
            <w:shd w:val="clear" w:color="auto" w:fill="auto"/>
            <w:noWrap/>
            <w:vAlign w:val="center"/>
            <w:hideMark/>
          </w:tcPr>
          <w:p w14:paraId="4843873D" w14:textId="77777777" w:rsidR="009241C6" w:rsidRPr="00B107E4" w:rsidRDefault="009241C6" w:rsidP="008B0802">
            <w:pPr>
              <w:jc w:val="center"/>
              <w:rPr>
                <w:sz w:val="16"/>
                <w:szCs w:val="16"/>
              </w:rPr>
            </w:pPr>
            <w:r w:rsidRPr="00B107E4">
              <w:rPr>
                <w:sz w:val="16"/>
                <w:szCs w:val="16"/>
              </w:rPr>
              <w:t>1,067</w:t>
            </w:r>
          </w:p>
        </w:tc>
        <w:tc>
          <w:tcPr>
            <w:tcW w:w="798" w:type="pct"/>
            <w:tcBorders>
              <w:top w:val="nil"/>
              <w:left w:val="nil"/>
              <w:bottom w:val="single" w:sz="4" w:space="0" w:color="auto"/>
              <w:right w:val="nil"/>
            </w:tcBorders>
            <w:shd w:val="clear" w:color="auto" w:fill="auto"/>
            <w:noWrap/>
            <w:vAlign w:val="center"/>
            <w:hideMark/>
          </w:tcPr>
          <w:p w14:paraId="06C452CC" w14:textId="77777777" w:rsidR="009241C6" w:rsidRPr="00B107E4" w:rsidRDefault="009241C6" w:rsidP="008B0802">
            <w:pPr>
              <w:jc w:val="center"/>
              <w:rPr>
                <w:sz w:val="16"/>
                <w:szCs w:val="16"/>
              </w:rPr>
            </w:pPr>
            <w:r w:rsidRPr="00B107E4">
              <w:rPr>
                <w:sz w:val="16"/>
                <w:szCs w:val="16"/>
              </w:rPr>
              <w:t>111,592</w:t>
            </w:r>
          </w:p>
        </w:tc>
        <w:tc>
          <w:tcPr>
            <w:tcW w:w="677" w:type="pct"/>
            <w:tcBorders>
              <w:top w:val="nil"/>
              <w:left w:val="nil"/>
              <w:bottom w:val="single" w:sz="4" w:space="0" w:color="auto"/>
              <w:right w:val="nil"/>
            </w:tcBorders>
            <w:shd w:val="clear" w:color="auto" w:fill="auto"/>
            <w:noWrap/>
            <w:vAlign w:val="center"/>
            <w:hideMark/>
          </w:tcPr>
          <w:p w14:paraId="536ECEAF" w14:textId="77777777" w:rsidR="009241C6" w:rsidRPr="00B107E4" w:rsidRDefault="009241C6" w:rsidP="008B0802">
            <w:pPr>
              <w:jc w:val="center"/>
              <w:rPr>
                <w:sz w:val="16"/>
                <w:szCs w:val="16"/>
              </w:rPr>
            </w:pPr>
            <w:r w:rsidRPr="00B107E4">
              <w:rPr>
                <w:sz w:val="16"/>
                <w:szCs w:val="16"/>
              </w:rPr>
              <w:t>1,002</w:t>
            </w:r>
          </w:p>
        </w:tc>
        <w:tc>
          <w:tcPr>
            <w:tcW w:w="711" w:type="pct"/>
            <w:tcBorders>
              <w:top w:val="nil"/>
              <w:left w:val="nil"/>
              <w:bottom w:val="single" w:sz="4" w:space="0" w:color="auto"/>
              <w:right w:val="nil"/>
            </w:tcBorders>
            <w:shd w:val="clear" w:color="auto" w:fill="auto"/>
            <w:noWrap/>
            <w:vAlign w:val="center"/>
            <w:hideMark/>
          </w:tcPr>
          <w:p w14:paraId="46842133" w14:textId="77777777" w:rsidR="009241C6" w:rsidRPr="00B107E4" w:rsidRDefault="009241C6" w:rsidP="008B0802">
            <w:pPr>
              <w:jc w:val="center"/>
              <w:rPr>
                <w:sz w:val="16"/>
                <w:szCs w:val="16"/>
              </w:rPr>
            </w:pPr>
            <w:r w:rsidRPr="00B107E4">
              <w:rPr>
                <w:sz w:val="16"/>
                <w:szCs w:val="16"/>
              </w:rPr>
              <w:t>0</w:t>
            </w:r>
          </w:p>
        </w:tc>
        <w:tc>
          <w:tcPr>
            <w:tcW w:w="692" w:type="pct"/>
            <w:tcBorders>
              <w:top w:val="nil"/>
              <w:left w:val="nil"/>
              <w:bottom w:val="single" w:sz="4" w:space="0" w:color="auto"/>
              <w:right w:val="nil"/>
            </w:tcBorders>
            <w:shd w:val="clear" w:color="auto" w:fill="auto"/>
            <w:noWrap/>
            <w:vAlign w:val="center"/>
            <w:hideMark/>
          </w:tcPr>
          <w:p w14:paraId="03562E1A" w14:textId="77777777" w:rsidR="009241C6" w:rsidRPr="00B107E4" w:rsidRDefault="009241C6" w:rsidP="008B0802">
            <w:pPr>
              <w:jc w:val="center"/>
              <w:rPr>
                <w:sz w:val="16"/>
                <w:szCs w:val="16"/>
              </w:rPr>
            </w:pPr>
            <w:r w:rsidRPr="00B107E4">
              <w:rPr>
                <w:sz w:val="16"/>
                <w:szCs w:val="16"/>
              </w:rPr>
              <w:t>250</w:t>
            </w:r>
          </w:p>
        </w:tc>
      </w:tr>
    </w:tbl>
    <w:p w14:paraId="4294E41E" w14:textId="77777777" w:rsidR="00B107E4" w:rsidRPr="00B107E4" w:rsidRDefault="00B107E4" w:rsidP="008B0802"/>
    <w:p w14:paraId="2F9ED28A" w14:textId="73E98118" w:rsidR="005E1B02" w:rsidRPr="006B42D6" w:rsidRDefault="005E1B02" w:rsidP="005E1B02">
      <w:pPr>
        <w:pStyle w:val="Heading3"/>
        <w:rPr>
          <w:b w:val="0"/>
        </w:rPr>
      </w:pPr>
      <w:bookmarkStart w:id="275" w:name="_Toc82385688"/>
      <w:r w:rsidRPr="006B42D6">
        <w:t>3.</w:t>
      </w:r>
      <w:r w:rsidR="00193728">
        <w:t>2</w:t>
      </w:r>
      <w:r w:rsidRPr="006B42D6">
        <w:t>.3</w:t>
      </w:r>
      <w:r w:rsidRPr="006B42D6">
        <w:tab/>
        <w:t>Major Outlets for Selling Agro-processed Products</w:t>
      </w:r>
      <w:bookmarkEnd w:id="275"/>
    </w:p>
    <w:p w14:paraId="7CEAE2FE" w14:textId="0B803A50" w:rsidR="00E16412" w:rsidRPr="006B42D6" w:rsidRDefault="00E16412" w:rsidP="005C2EFC">
      <w:pPr>
        <w:pStyle w:val="Heading4"/>
      </w:pPr>
      <w:bookmarkStart w:id="276" w:name="_Toc82385689"/>
      <w:r w:rsidRPr="006B42D6">
        <w:t>3.</w:t>
      </w:r>
      <w:r w:rsidR="00193728">
        <w:t>2</w:t>
      </w:r>
      <w:r w:rsidRPr="006B42D6">
        <w:t>.</w:t>
      </w:r>
      <w:r w:rsidR="005E1B02" w:rsidRPr="006B42D6">
        <w:t>3</w:t>
      </w:r>
      <w:r w:rsidRPr="006B42D6">
        <w:t>.1</w:t>
      </w:r>
      <w:r w:rsidR="000807B0" w:rsidRPr="006B42D6">
        <w:tab/>
      </w:r>
      <w:r w:rsidRPr="006B42D6">
        <w:t>Flour/Meal</w:t>
      </w:r>
      <w:bookmarkEnd w:id="276"/>
    </w:p>
    <w:p w14:paraId="5A132C59" w14:textId="15D31113" w:rsidR="00E16412" w:rsidRPr="006B42D6" w:rsidRDefault="00E16412" w:rsidP="005C2EFC">
      <w:r w:rsidRPr="006B42D6">
        <w:t xml:space="preserve">A total of </w:t>
      </w:r>
      <w:r w:rsidR="001A031E" w:rsidRPr="006B42D6">
        <w:t>20</w:t>
      </w:r>
      <w:r w:rsidRPr="006B42D6">
        <w:t>,</w:t>
      </w:r>
      <w:r w:rsidR="001A031E" w:rsidRPr="006B42D6">
        <w:t>429</w:t>
      </w:r>
      <w:r w:rsidRPr="006B42D6">
        <w:t xml:space="preserve"> households</w:t>
      </w:r>
      <w:r w:rsidR="00003215">
        <w:t xml:space="preserve"> (20.2 percent)</w:t>
      </w:r>
      <w:r w:rsidRPr="006B42D6">
        <w:t xml:space="preserve"> </w:t>
      </w:r>
      <w:r w:rsidR="005E1B02" w:rsidRPr="006B42D6">
        <w:t>reported to sell</w:t>
      </w:r>
      <w:r w:rsidRPr="006B42D6">
        <w:t xml:space="preserve"> </w:t>
      </w:r>
      <w:r w:rsidR="006842C5" w:rsidRPr="006B42D6">
        <w:t>f</w:t>
      </w:r>
      <w:r w:rsidRPr="006B42D6">
        <w:t xml:space="preserve">lour/meal to several places of which, </w:t>
      </w:r>
      <w:r w:rsidR="001A031E" w:rsidRPr="006B42D6">
        <w:t>20</w:t>
      </w:r>
      <w:r w:rsidRPr="006B42D6">
        <w:t>,</w:t>
      </w:r>
      <w:r w:rsidR="001A031E" w:rsidRPr="006B42D6">
        <w:t>374</w:t>
      </w:r>
      <w:r w:rsidRPr="006B42D6">
        <w:t xml:space="preserve"> households were in </w:t>
      </w:r>
      <w:r w:rsidR="00EA1552">
        <w:t>Mainland Tanzania</w:t>
      </w:r>
      <w:r w:rsidRPr="006B42D6">
        <w:t xml:space="preserve"> and 55 households in </w:t>
      </w:r>
      <w:r w:rsidR="00B93A9E" w:rsidRPr="006B42D6">
        <w:t xml:space="preserve">Tanzania </w:t>
      </w:r>
      <w:r w:rsidRPr="006B42D6">
        <w:t xml:space="preserve">Zanzibar. Agricultural households </w:t>
      </w:r>
      <w:r w:rsidR="001A031E" w:rsidRPr="006B42D6">
        <w:t xml:space="preserve">reported to sell </w:t>
      </w:r>
      <w:r w:rsidR="006842C5" w:rsidRPr="006B42D6">
        <w:t>flour/meal to the local market/trade store were the highest (9,053; 44.3 percent), followed by households that sold their flour/meal to the n</w:t>
      </w:r>
      <w:r w:rsidRPr="006B42D6">
        <w:t>eighbours (</w:t>
      </w:r>
      <w:r w:rsidR="001A031E" w:rsidRPr="006B42D6">
        <w:t>8</w:t>
      </w:r>
      <w:r w:rsidRPr="006B42D6">
        <w:t>;</w:t>
      </w:r>
      <w:r w:rsidR="001A031E" w:rsidRPr="006B42D6">
        <w:t>771;</w:t>
      </w:r>
      <w:r w:rsidRPr="006B42D6">
        <w:t xml:space="preserve"> </w:t>
      </w:r>
      <w:r w:rsidR="001A031E" w:rsidRPr="006B42D6">
        <w:t>42</w:t>
      </w:r>
      <w:r w:rsidRPr="006B42D6">
        <w:t>.</w:t>
      </w:r>
      <w:r w:rsidR="001A031E" w:rsidRPr="006B42D6">
        <w:t>9</w:t>
      </w:r>
      <w:r w:rsidRPr="006B42D6">
        <w:t xml:space="preserve"> percent) and to the </w:t>
      </w:r>
      <w:r w:rsidR="006842C5" w:rsidRPr="006B42D6">
        <w:t xml:space="preserve">secondary market </w:t>
      </w:r>
      <w:r w:rsidRPr="006B42D6">
        <w:t xml:space="preserve">(602; </w:t>
      </w:r>
      <w:r w:rsidR="001A031E" w:rsidRPr="006B42D6">
        <w:t>2.9</w:t>
      </w:r>
      <w:r w:rsidRPr="006B42D6">
        <w:t xml:space="preserve"> percent). However, </w:t>
      </w:r>
      <w:r w:rsidR="001A031E" w:rsidRPr="006B42D6">
        <w:t>2,485</w:t>
      </w:r>
      <w:r w:rsidRPr="006B42D6">
        <w:t xml:space="preserve"> households (1</w:t>
      </w:r>
      <w:r w:rsidR="00C17A5C" w:rsidRPr="006B42D6">
        <w:t>0</w:t>
      </w:r>
      <w:r w:rsidRPr="006B42D6">
        <w:t>.</w:t>
      </w:r>
      <w:r w:rsidR="00C17A5C" w:rsidRPr="006B42D6">
        <w:t>8</w:t>
      </w:r>
      <w:r w:rsidRPr="006B42D6">
        <w:t xml:space="preserve"> percent) did not sell their Flour/meal.</w:t>
      </w:r>
    </w:p>
    <w:p w14:paraId="5BE076DE" w14:textId="77777777" w:rsidR="001A031E" w:rsidRPr="006B42D6" w:rsidRDefault="001A031E" w:rsidP="00060B34">
      <w:pPr>
        <w:spacing w:line="240" w:lineRule="auto"/>
      </w:pPr>
    </w:p>
    <w:p w14:paraId="1EBE350E" w14:textId="17A483B1" w:rsidR="00E16412" w:rsidRPr="006B42D6" w:rsidRDefault="00E16412" w:rsidP="005C2EFC">
      <w:pPr>
        <w:pStyle w:val="Heading4"/>
      </w:pPr>
      <w:bookmarkStart w:id="277" w:name="_Toc82385690"/>
      <w:r w:rsidRPr="006B42D6">
        <w:t>3.</w:t>
      </w:r>
      <w:r w:rsidR="00193728">
        <w:t>2</w:t>
      </w:r>
      <w:r w:rsidRPr="006B42D6">
        <w:t>.1.2</w:t>
      </w:r>
      <w:r w:rsidR="000807B0" w:rsidRPr="006B42D6">
        <w:tab/>
      </w:r>
      <w:r w:rsidRPr="006B42D6">
        <w:t>Grain</w:t>
      </w:r>
      <w:bookmarkEnd w:id="277"/>
    </w:p>
    <w:p w14:paraId="02061A87" w14:textId="5B1B9BE0" w:rsidR="00E16412" w:rsidRDefault="00E16412" w:rsidP="005C2EFC">
      <w:r w:rsidRPr="006B42D6">
        <w:t xml:space="preserve">A total of </w:t>
      </w:r>
      <w:r w:rsidR="003D7F86" w:rsidRPr="006B42D6">
        <w:t>42,100</w:t>
      </w:r>
      <w:r w:rsidRPr="006B42D6">
        <w:t xml:space="preserve"> households</w:t>
      </w:r>
      <w:r w:rsidR="00003215">
        <w:t xml:space="preserve"> (41.6 percent)</w:t>
      </w:r>
      <w:r w:rsidR="001A031E" w:rsidRPr="006B42D6">
        <w:t xml:space="preserve"> from</w:t>
      </w:r>
      <w:r w:rsidRPr="006B42D6">
        <w:t xml:space="preserve"> </w:t>
      </w:r>
      <w:r w:rsidR="00EA1552">
        <w:t>Mainland Tanzania</w:t>
      </w:r>
      <w:r w:rsidR="001A031E" w:rsidRPr="006B42D6">
        <w:t xml:space="preserve"> reported to sell g</w:t>
      </w:r>
      <w:r w:rsidRPr="006B42D6">
        <w:t>rain to various places</w:t>
      </w:r>
      <w:r w:rsidR="001A031E" w:rsidRPr="006B42D6">
        <w:t>,</w:t>
      </w:r>
      <w:r w:rsidRPr="006B42D6">
        <w:t xml:space="preserve"> </w:t>
      </w:r>
      <w:r w:rsidR="001A031E" w:rsidRPr="006B42D6">
        <w:t>and none reported to sell grain in</w:t>
      </w:r>
      <w:r w:rsidRPr="006B42D6">
        <w:t xml:space="preserve"> </w:t>
      </w:r>
      <w:r w:rsidR="00B93A9E" w:rsidRPr="006B42D6">
        <w:t xml:space="preserve">Tanzania </w:t>
      </w:r>
      <w:r w:rsidRPr="006B42D6">
        <w:t xml:space="preserve">Zanzibar. Agricultural households </w:t>
      </w:r>
      <w:r w:rsidR="001A031E" w:rsidRPr="006B42D6">
        <w:lastRenderedPageBreak/>
        <w:t>reported to sell g</w:t>
      </w:r>
      <w:r w:rsidRPr="006B42D6">
        <w:t xml:space="preserve">rain to the </w:t>
      </w:r>
      <w:r w:rsidR="00104447" w:rsidRPr="006B42D6">
        <w:t>l</w:t>
      </w:r>
      <w:r w:rsidRPr="006B42D6">
        <w:t>ocal market/trade store were the highest (</w:t>
      </w:r>
      <w:r w:rsidR="003D7F86" w:rsidRPr="006B42D6">
        <w:t>19,138</w:t>
      </w:r>
      <w:r w:rsidRPr="006B42D6">
        <w:t>; 4</w:t>
      </w:r>
      <w:r w:rsidR="003D7F86" w:rsidRPr="006B42D6">
        <w:t>5</w:t>
      </w:r>
      <w:r w:rsidRPr="006B42D6">
        <w:t>.</w:t>
      </w:r>
      <w:r w:rsidR="003D7F86" w:rsidRPr="006B42D6">
        <w:t>5</w:t>
      </w:r>
      <w:r w:rsidRPr="006B42D6">
        <w:t xml:space="preserve"> percent)</w:t>
      </w:r>
      <w:r w:rsidR="001A031E" w:rsidRPr="006B42D6">
        <w:t>,</w:t>
      </w:r>
      <w:r w:rsidRPr="006B42D6">
        <w:t xml:space="preserve"> followed by households that sold </w:t>
      </w:r>
      <w:r w:rsidR="001A031E" w:rsidRPr="006B42D6">
        <w:t>g</w:t>
      </w:r>
      <w:r w:rsidRPr="006B42D6">
        <w:t xml:space="preserve">rain to the </w:t>
      </w:r>
      <w:r w:rsidR="00104447" w:rsidRPr="006B42D6">
        <w:t>n</w:t>
      </w:r>
      <w:r w:rsidRPr="006B42D6">
        <w:t>eighbours (11,</w:t>
      </w:r>
      <w:r w:rsidR="003D7F86" w:rsidRPr="006B42D6">
        <w:t>122</w:t>
      </w:r>
      <w:r w:rsidRPr="006B42D6">
        <w:t xml:space="preserve">; </w:t>
      </w:r>
      <w:r w:rsidR="003D7F86" w:rsidRPr="006B42D6">
        <w:t>26</w:t>
      </w:r>
      <w:r w:rsidRPr="006B42D6">
        <w:t>.</w:t>
      </w:r>
      <w:r w:rsidR="003D7F86" w:rsidRPr="006B42D6">
        <w:t>4</w:t>
      </w:r>
      <w:r w:rsidRPr="006B42D6">
        <w:t xml:space="preserve"> percent) and to the </w:t>
      </w:r>
      <w:r w:rsidR="00104447" w:rsidRPr="006B42D6">
        <w:t>m</w:t>
      </w:r>
      <w:r w:rsidR="003D7F86" w:rsidRPr="006B42D6">
        <w:t xml:space="preserve">arketing </w:t>
      </w:r>
      <w:r w:rsidR="00104447" w:rsidRPr="006B42D6">
        <w:t>co</w:t>
      </w:r>
      <w:r w:rsidR="003D7F86" w:rsidRPr="006B42D6">
        <w:t>operatives</w:t>
      </w:r>
      <w:r w:rsidRPr="006B42D6">
        <w:t xml:space="preserve"> at farm (</w:t>
      </w:r>
      <w:r w:rsidR="003D7F86" w:rsidRPr="006B42D6">
        <w:t>3,891</w:t>
      </w:r>
      <w:r w:rsidRPr="006B42D6">
        <w:t>; 9.</w:t>
      </w:r>
      <w:r w:rsidR="003D7F86" w:rsidRPr="006B42D6">
        <w:t>2</w:t>
      </w:r>
      <w:r w:rsidRPr="006B42D6">
        <w:t xml:space="preserve"> percent). Nevertheless, </w:t>
      </w:r>
      <w:r w:rsidR="003D7F86" w:rsidRPr="006B42D6">
        <w:t>390</w:t>
      </w:r>
      <w:r w:rsidRPr="006B42D6">
        <w:t xml:space="preserve"> households (</w:t>
      </w:r>
      <w:r w:rsidR="003D7F86" w:rsidRPr="006B42D6">
        <w:t>0</w:t>
      </w:r>
      <w:r w:rsidRPr="006B42D6">
        <w:t>.</w:t>
      </w:r>
      <w:r w:rsidR="003D7F86" w:rsidRPr="006B42D6">
        <w:t>9</w:t>
      </w:r>
      <w:r w:rsidRPr="006B42D6">
        <w:t xml:space="preserve"> percent) did not sell their </w:t>
      </w:r>
      <w:r w:rsidR="00104447" w:rsidRPr="006B42D6">
        <w:t>g</w:t>
      </w:r>
      <w:r w:rsidRPr="006B42D6">
        <w:t xml:space="preserve">rain.  </w:t>
      </w:r>
    </w:p>
    <w:p w14:paraId="4D37B51E" w14:textId="77777777" w:rsidR="0056599D" w:rsidRPr="006B42D6" w:rsidRDefault="0056599D" w:rsidP="0056599D">
      <w:pPr>
        <w:spacing w:line="240" w:lineRule="auto"/>
      </w:pPr>
    </w:p>
    <w:p w14:paraId="4326497F" w14:textId="10516AF9" w:rsidR="00E16412" w:rsidRPr="006B42D6" w:rsidRDefault="00E16412" w:rsidP="005C2EFC">
      <w:pPr>
        <w:pStyle w:val="Heading4"/>
      </w:pPr>
      <w:bookmarkStart w:id="278" w:name="_Toc82385691"/>
      <w:r w:rsidRPr="006B42D6">
        <w:t>3.</w:t>
      </w:r>
      <w:r w:rsidR="00193728">
        <w:t>2</w:t>
      </w:r>
      <w:r w:rsidRPr="006B42D6">
        <w:t>.1.3</w:t>
      </w:r>
      <w:r w:rsidR="000807B0" w:rsidRPr="006B42D6">
        <w:tab/>
      </w:r>
      <w:r w:rsidRPr="006B42D6">
        <w:t>Oil</w:t>
      </w:r>
      <w:bookmarkEnd w:id="278"/>
    </w:p>
    <w:p w14:paraId="2EDE5465" w14:textId="61C0A955" w:rsidR="00E16412" w:rsidRPr="006B42D6" w:rsidRDefault="00E16412" w:rsidP="005C2EFC">
      <w:r w:rsidRPr="006B42D6">
        <w:t xml:space="preserve">A total of </w:t>
      </w:r>
      <w:r w:rsidR="003D7F86" w:rsidRPr="006B42D6">
        <w:t>29,391</w:t>
      </w:r>
      <w:r w:rsidRPr="006B42D6">
        <w:t xml:space="preserve"> households</w:t>
      </w:r>
      <w:r w:rsidR="00003215">
        <w:t xml:space="preserve"> (29.1 percent)</w:t>
      </w:r>
      <w:r w:rsidR="001A031E" w:rsidRPr="006B42D6">
        <w:t xml:space="preserve"> from</w:t>
      </w:r>
      <w:r w:rsidRPr="006B42D6">
        <w:t xml:space="preserve"> </w:t>
      </w:r>
      <w:r w:rsidR="00EA1552">
        <w:t>Mainland Tanzania</w:t>
      </w:r>
      <w:r w:rsidR="001A031E" w:rsidRPr="006B42D6">
        <w:t xml:space="preserve"> reported to sell </w:t>
      </w:r>
      <w:r w:rsidRPr="006B42D6">
        <w:t>oil to various places and none</w:t>
      </w:r>
      <w:r w:rsidR="001A031E" w:rsidRPr="006B42D6">
        <w:t xml:space="preserve"> of the households reported to sell their oil</w:t>
      </w:r>
      <w:r w:rsidRPr="006B42D6">
        <w:t xml:space="preserve"> in </w:t>
      </w:r>
      <w:r w:rsidR="00B93A9E" w:rsidRPr="006B42D6">
        <w:t xml:space="preserve">Tanzania </w:t>
      </w:r>
      <w:r w:rsidRPr="006B42D6">
        <w:t xml:space="preserve">Zanzibar. Agricultural households that sold </w:t>
      </w:r>
      <w:r w:rsidR="00104447" w:rsidRPr="006B42D6">
        <w:t xml:space="preserve">oil to the local </w:t>
      </w:r>
      <w:r w:rsidRPr="006B42D6">
        <w:t>market/trade store were the highest (</w:t>
      </w:r>
      <w:r w:rsidR="003D7F86" w:rsidRPr="006B42D6">
        <w:t>17,739</w:t>
      </w:r>
      <w:r w:rsidRPr="006B42D6">
        <w:t xml:space="preserve">; </w:t>
      </w:r>
      <w:r w:rsidR="003D7F86" w:rsidRPr="006B42D6">
        <w:t>60</w:t>
      </w:r>
      <w:r w:rsidRPr="006B42D6">
        <w:t>.</w:t>
      </w:r>
      <w:r w:rsidR="003D7F86" w:rsidRPr="006B42D6">
        <w:t>4</w:t>
      </w:r>
      <w:r w:rsidRPr="006B42D6">
        <w:t xml:space="preserve"> percent) followed by households that sold </w:t>
      </w:r>
      <w:r w:rsidR="00104447" w:rsidRPr="006B42D6">
        <w:t xml:space="preserve">oil to the neighbours </w:t>
      </w:r>
      <w:r w:rsidRPr="006B42D6">
        <w:t>(5,</w:t>
      </w:r>
      <w:r w:rsidR="003D7F86" w:rsidRPr="006B42D6">
        <w:t>533</w:t>
      </w:r>
      <w:r w:rsidRPr="006B42D6">
        <w:t xml:space="preserve">; </w:t>
      </w:r>
      <w:r w:rsidR="003D7F86" w:rsidRPr="006B42D6">
        <w:t>18</w:t>
      </w:r>
      <w:r w:rsidRPr="006B42D6">
        <w:t>.</w:t>
      </w:r>
      <w:r w:rsidR="003D7F86" w:rsidRPr="006B42D6">
        <w:t>8</w:t>
      </w:r>
      <w:r w:rsidRPr="006B42D6">
        <w:t xml:space="preserve"> percent) and to the</w:t>
      </w:r>
      <w:r w:rsidR="00104447" w:rsidRPr="006B42D6">
        <w:t xml:space="preserve"> trader at </w:t>
      </w:r>
      <w:r w:rsidRPr="006B42D6">
        <w:t>farm (</w:t>
      </w:r>
      <w:r w:rsidR="003D7F86" w:rsidRPr="006B42D6">
        <w:t>2,235</w:t>
      </w:r>
      <w:r w:rsidRPr="006B42D6">
        <w:t xml:space="preserve">; </w:t>
      </w:r>
      <w:r w:rsidR="003D7F86" w:rsidRPr="006B42D6">
        <w:t>7</w:t>
      </w:r>
      <w:r w:rsidRPr="006B42D6">
        <w:t>.</w:t>
      </w:r>
      <w:r w:rsidR="003D7F86" w:rsidRPr="006B42D6">
        <w:t>6</w:t>
      </w:r>
      <w:r w:rsidRPr="006B42D6">
        <w:t xml:space="preserve"> percent). Nevertheless, </w:t>
      </w:r>
      <w:r w:rsidR="003D7F86" w:rsidRPr="006B42D6">
        <w:t>734</w:t>
      </w:r>
      <w:r w:rsidRPr="006B42D6">
        <w:t xml:space="preserve"> households (</w:t>
      </w:r>
      <w:r w:rsidR="003D7F86" w:rsidRPr="006B42D6">
        <w:t>2</w:t>
      </w:r>
      <w:r w:rsidRPr="006B42D6">
        <w:t xml:space="preserve">.4 percent) did not sell their </w:t>
      </w:r>
      <w:r w:rsidR="00104447" w:rsidRPr="006B42D6">
        <w:t>o</w:t>
      </w:r>
      <w:r w:rsidRPr="006B42D6">
        <w:t xml:space="preserve">il. </w:t>
      </w:r>
    </w:p>
    <w:p w14:paraId="194589E1" w14:textId="77777777" w:rsidR="00E16412" w:rsidRPr="006B42D6" w:rsidRDefault="00E16412" w:rsidP="00060B34">
      <w:pPr>
        <w:spacing w:line="240" w:lineRule="auto"/>
      </w:pPr>
    </w:p>
    <w:p w14:paraId="3FC4534A" w14:textId="59BB209B" w:rsidR="00E16412" w:rsidRPr="006B42D6" w:rsidRDefault="00E16412" w:rsidP="005C2EFC">
      <w:pPr>
        <w:pStyle w:val="Heading4"/>
      </w:pPr>
      <w:bookmarkStart w:id="279" w:name="_Toc82385692"/>
      <w:r w:rsidRPr="006B42D6">
        <w:t>3.</w:t>
      </w:r>
      <w:r w:rsidR="00193728">
        <w:t>2</w:t>
      </w:r>
      <w:r w:rsidRPr="006B42D6">
        <w:t>.1.</w:t>
      </w:r>
      <w:r w:rsidR="003D7F86" w:rsidRPr="006B42D6">
        <w:t>4</w:t>
      </w:r>
      <w:r w:rsidR="000807B0" w:rsidRPr="006B42D6">
        <w:tab/>
      </w:r>
      <w:r w:rsidRPr="006B42D6">
        <w:t>Fiber</w:t>
      </w:r>
      <w:bookmarkEnd w:id="279"/>
    </w:p>
    <w:p w14:paraId="396FF280" w14:textId="1CFDFB59" w:rsidR="00F3282A" w:rsidRPr="006B42D6" w:rsidRDefault="003D7F86" w:rsidP="005C2EFC">
      <w:r w:rsidRPr="006B42D6">
        <w:t>A total of 1,415 households</w:t>
      </w:r>
      <w:r w:rsidR="00003215">
        <w:t xml:space="preserve"> (1.4 percent)</w:t>
      </w:r>
      <w:r w:rsidRPr="006B42D6">
        <w:t xml:space="preserve"> from </w:t>
      </w:r>
      <w:r w:rsidR="00EA1552">
        <w:t>Mainland Tanzania</w:t>
      </w:r>
      <w:r w:rsidRPr="006B42D6">
        <w:t xml:space="preserve"> reported to sell fiber to various places, and none from Tanzania Zanzibar. Agricultural househo</w:t>
      </w:r>
      <w:r w:rsidR="00104447" w:rsidRPr="006B42D6">
        <w:t xml:space="preserve">lds reported to sell fiber to the local secondary market were the highest (723; 51.1 percent), followed by households that sold fiber to the local market (176; 12.4 percent) and to the marketing cooperatives </w:t>
      </w:r>
      <w:r w:rsidRPr="006B42D6">
        <w:t>at farm (175; 12.4 percent)</w:t>
      </w:r>
      <w:r w:rsidR="00593724" w:rsidRPr="006B42D6">
        <w:t xml:space="preserve"> </w:t>
      </w:r>
      <w:r w:rsidR="008B3581" w:rsidRPr="006B42D6">
        <w:t>(Figure 3.</w:t>
      </w:r>
      <w:r w:rsidR="00104447" w:rsidRPr="006B42D6">
        <w:t>5</w:t>
      </w:r>
      <w:r w:rsidR="008B3581" w:rsidRPr="006B42D6">
        <w:t>1)</w:t>
      </w:r>
      <w:r w:rsidR="00E16412" w:rsidRPr="006B42D6">
        <w:t>.</w:t>
      </w:r>
    </w:p>
    <w:p w14:paraId="69BC11A7" w14:textId="1A047E5A" w:rsidR="00E16412" w:rsidRPr="006B42D6" w:rsidRDefault="00E16412" w:rsidP="005C2EFC">
      <w:r w:rsidRPr="006B42D6">
        <w:t xml:space="preserve"> </w:t>
      </w:r>
    </w:p>
    <w:p w14:paraId="6EFE105A" w14:textId="795626EB" w:rsidR="00E16412" w:rsidRPr="006B42D6" w:rsidRDefault="00E16412" w:rsidP="006D1F4E">
      <w:pPr>
        <w:pStyle w:val="Caption"/>
        <w:ind w:left="1140" w:right="2381" w:hanging="1140"/>
        <w:rPr>
          <w:i/>
        </w:rPr>
      </w:pPr>
      <w:bookmarkStart w:id="280" w:name="_Toc82386328"/>
      <w:r w:rsidRPr="006B42D6">
        <w:t>Figure 3.</w:t>
      </w:r>
      <w:r w:rsidR="00104447" w:rsidRPr="006B42D6">
        <w:t>5</w:t>
      </w:r>
      <w:r w:rsidRPr="006B42D6">
        <w:t>1</w:t>
      </w:r>
      <w:r w:rsidR="007D1F16">
        <w:t>:</w:t>
      </w:r>
      <w:r w:rsidR="00B107E4">
        <w:tab/>
      </w:r>
      <w:r w:rsidRPr="006B42D6">
        <w:t xml:space="preserve">Percentage of Households </w:t>
      </w:r>
      <w:r w:rsidR="003D7F86" w:rsidRPr="006B42D6">
        <w:t>Reported to Sell</w:t>
      </w:r>
      <w:r w:rsidRPr="006B42D6">
        <w:t xml:space="preserve"> Major Crop Products</w:t>
      </w:r>
      <w:r w:rsidR="003D7F86" w:rsidRPr="006B42D6">
        <w:t xml:space="preserve"> During 2019/20 Agricultural Year, Tanzania</w:t>
      </w:r>
      <w:bookmarkEnd w:id="280"/>
    </w:p>
    <w:p w14:paraId="23C640FC" w14:textId="7062EA67" w:rsidR="00E16412" w:rsidRPr="006B42D6" w:rsidRDefault="001B26AC" w:rsidP="007D1F16">
      <w:r w:rsidRPr="006B42D6">
        <w:rPr>
          <w:noProof/>
        </w:rPr>
        <w:drawing>
          <wp:inline distT="0" distB="0" distL="0" distR="0" wp14:anchorId="3C4AF329" wp14:editId="5824E683">
            <wp:extent cx="4326673" cy="2202180"/>
            <wp:effectExtent l="0" t="0" r="17145" b="7620"/>
            <wp:docPr id="107" name="Chart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3"/>
              </a:graphicData>
            </a:graphic>
          </wp:inline>
        </w:drawing>
      </w:r>
    </w:p>
    <w:p w14:paraId="1969EF5D" w14:textId="2F9155D6" w:rsidR="0056599D" w:rsidRDefault="0056599D">
      <w:pPr>
        <w:spacing w:line="240" w:lineRule="auto"/>
        <w:contextualSpacing w:val="0"/>
        <w:jc w:val="left"/>
        <w:rPr>
          <w:b/>
        </w:rPr>
      </w:pPr>
      <w:r>
        <w:rPr>
          <w:b/>
        </w:rPr>
        <w:br w:type="page"/>
      </w:r>
    </w:p>
    <w:p w14:paraId="07AA416A" w14:textId="4A7E3A94" w:rsidR="00E16412" w:rsidRPr="006B42D6" w:rsidRDefault="00CB59A8" w:rsidP="005C2EFC">
      <w:pPr>
        <w:pStyle w:val="Heading3"/>
      </w:pPr>
      <w:bookmarkStart w:id="281" w:name="_Toc82385693"/>
      <w:r w:rsidRPr="006B42D6">
        <w:lastRenderedPageBreak/>
        <w:t>3.</w:t>
      </w:r>
      <w:r w:rsidR="00193728">
        <w:t>2</w:t>
      </w:r>
      <w:r w:rsidRPr="006B42D6">
        <w:t>.</w:t>
      </w:r>
      <w:r w:rsidR="0089457E" w:rsidRPr="006B42D6">
        <w:t>3</w:t>
      </w:r>
      <w:r w:rsidRPr="006B42D6">
        <w:tab/>
      </w:r>
      <w:r w:rsidR="00E16412" w:rsidRPr="006B42D6">
        <w:t xml:space="preserve">Main Type </w:t>
      </w:r>
      <w:r w:rsidRPr="006B42D6">
        <w:t>o</w:t>
      </w:r>
      <w:r w:rsidR="00E16412" w:rsidRPr="006B42D6">
        <w:t>f Packaging</w:t>
      </w:r>
      <w:r w:rsidR="00307099" w:rsidRPr="006B42D6">
        <w:t xml:space="preserve"> Material</w:t>
      </w:r>
      <w:bookmarkEnd w:id="281"/>
    </w:p>
    <w:p w14:paraId="6B3C9E1C" w14:textId="1ED22014" w:rsidR="00E16412" w:rsidRPr="006B42D6" w:rsidRDefault="00E16412" w:rsidP="005C2EFC">
      <w:r w:rsidRPr="006B42D6">
        <w:t xml:space="preserve">This Census captured </w:t>
      </w:r>
      <w:r w:rsidR="00307099" w:rsidRPr="006B42D6">
        <w:t>information on different types of packaging materials for major products (flour/meal, grain, oil, juice and fiber) used by a</w:t>
      </w:r>
      <w:r w:rsidRPr="006B42D6">
        <w:t>gricultural households</w:t>
      </w:r>
      <w:r w:rsidR="00307099" w:rsidRPr="006B42D6">
        <w:t xml:space="preserve"> during 2019/20 agricultural year. </w:t>
      </w:r>
      <w:r w:rsidRPr="006B42D6">
        <w:t xml:space="preserve">Packages used for these products were </w:t>
      </w:r>
      <w:r w:rsidR="00AE0110" w:rsidRPr="006B42D6">
        <w:t xml:space="preserve">leno bags, sacks, box, hermetic bags, plastic containers and bottles. </w:t>
      </w:r>
    </w:p>
    <w:p w14:paraId="1EA41B46" w14:textId="77777777" w:rsidR="0068781A" w:rsidRPr="006B42D6" w:rsidRDefault="0068781A" w:rsidP="007D1F16">
      <w:pPr>
        <w:spacing w:line="240" w:lineRule="auto"/>
      </w:pPr>
    </w:p>
    <w:p w14:paraId="0F8A84BF" w14:textId="1BE3D75B" w:rsidR="00E16412" w:rsidRPr="006B42D6" w:rsidRDefault="00E16412" w:rsidP="005C2EFC">
      <w:pPr>
        <w:pStyle w:val="Heading4"/>
      </w:pPr>
      <w:bookmarkStart w:id="282" w:name="_Toc82385694"/>
      <w:r w:rsidRPr="006B42D6">
        <w:t>3.</w:t>
      </w:r>
      <w:r w:rsidR="00193728">
        <w:t>2</w:t>
      </w:r>
      <w:r w:rsidRPr="006B42D6">
        <w:t>.3.1</w:t>
      </w:r>
      <w:r w:rsidR="000807B0" w:rsidRPr="006B42D6">
        <w:tab/>
      </w:r>
      <w:r w:rsidRPr="006B42D6">
        <w:t>Flour/Meal</w:t>
      </w:r>
      <w:bookmarkEnd w:id="282"/>
    </w:p>
    <w:p w14:paraId="701D4255" w14:textId="0C3D51D3" w:rsidR="00E308B5" w:rsidRPr="006B42D6" w:rsidRDefault="00E16412" w:rsidP="00307099">
      <w:r w:rsidRPr="006B42D6">
        <w:t xml:space="preserve">A total of </w:t>
      </w:r>
      <w:r w:rsidR="00307099" w:rsidRPr="006B42D6">
        <w:t>817</w:t>
      </w:r>
      <w:r w:rsidRPr="006B42D6">
        <w:t>,</w:t>
      </w:r>
      <w:r w:rsidR="00307099" w:rsidRPr="006B42D6">
        <w:t>189</w:t>
      </w:r>
      <w:r w:rsidRPr="006B42D6">
        <w:t xml:space="preserve"> </w:t>
      </w:r>
      <w:r w:rsidR="00AE0110" w:rsidRPr="006B42D6">
        <w:t>a</w:t>
      </w:r>
      <w:r w:rsidRPr="006B42D6">
        <w:t xml:space="preserve">gricultural households used different types of packaging for </w:t>
      </w:r>
      <w:r w:rsidR="00AE0110" w:rsidRPr="006B42D6">
        <w:t>f</w:t>
      </w:r>
      <w:r w:rsidRPr="006B42D6">
        <w:t>lour/meal</w:t>
      </w:r>
      <w:r w:rsidR="00F834B1">
        <w:t>,</w:t>
      </w:r>
      <w:r w:rsidR="00E308B5" w:rsidRPr="006B42D6">
        <w:t xml:space="preserve"> out </w:t>
      </w:r>
      <w:r w:rsidRPr="006B42D6">
        <w:t xml:space="preserve">of which, </w:t>
      </w:r>
      <w:r w:rsidR="00307099" w:rsidRPr="006B42D6">
        <w:t>815</w:t>
      </w:r>
      <w:r w:rsidRPr="006B42D6">
        <w:t>,</w:t>
      </w:r>
      <w:r w:rsidR="00307099" w:rsidRPr="006B42D6">
        <w:t>618</w:t>
      </w:r>
      <w:r w:rsidRPr="006B42D6">
        <w:t xml:space="preserve"> households were in </w:t>
      </w:r>
      <w:r w:rsidR="00EA1552">
        <w:t>Mainland Tanzania</w:t>
      </w:r>
      <w:r w:rsidRPr="006B42D6">
        <w:t xml:space="preserve"> and </w:t>
      </w:r>
      <w:r w:rsidR="00307099" w:rsidRPr="006B42D6">
        <w:t>1,571</w:t>
      </w:r>
      <w:r w:rsidRPr="006B42D6">
        <w:t xml:space="preserve"> households in </w:t>
      </w:r>
      <w:r w:rsidR="00307099" w:rsidRPr="006B42D6">
        <w:t xml:space="preserve">Tanzania </w:t>
      </w:r>
      <w:r w:rsidRPr="006B42D6">
        <w:t>Zanzibar.</w:t>
      </w:r>
      <w:r w:rsidR="004C6B00">
        <w:t xml:space="preserve"> </w:t>
      </w:r>
      <w:r w:rsidRPr="006B42D6">
        <w:t xml:space="preserve">In </w:t>
      </w:r>
      <w:r w:rsidR="00EA1552">
        <w:t>Mainland Tanzania</w:t>
      </w:r>
      <w:r w:rsidRPr="006B42D6">
        <w:t xml:space="preserve">, most </w:t>
      </w:r>
      <w:r w:rsidR="00F834B1">
        <w:t>a</w:t>
      </w:r>
      <w:r w:rsidRPr="006B42D6">
        <w:t xml:space="preserve">gricultural households used </w:t>
      </w:r>
      <w:r w:rsidR="00AE0110" w:rsidRPr="006B42D6">
        <w:t xml:space="preserve">leno bags </w:t>
      </w:r>
      <w:r w:rsidR="00F834B1">
        <w:t xml:space="preserve">for packaging </w:t>
      </w:r>
      <w:r w:rsidR="00AE0110" w:rsidRPr="006B42D6">
        <w:t xml:space="preserve">(425,646; 52.2 percent), </w:t>
      </w:r>
      <w:r w:rsidR="00F834B1">
        <w:t xml:space="preserve">followed by </w:t>
      </w:r>
      <w:r w:rsidR="00AE0110" w:rsidRPr="006B42D6">
        <w:t xml:space="preserve">plastic containers (194,170; 23.8 percent), sacks (138,728; 17.0 percent), and hermetic bags </w:t>
      </w:r>
      <w:r w:rsidRPr="006B42D6">
        <w:t>(30,</w:t>
      </w:r>
      <w:r w:rsidR="00307099" w:rsidRPr="006B42D6">
        <w:t>297</w:t>
      </w:r>
      <w:r w:rsidRPr="006B42D6">
        <w:t>; 3.</w:t>
      </w:r>
      <w:r w:rsidR="00307099" w:rsidRPr="006B42D6">
        <w:t>7</w:t>
      </w:r>
      <w:r w:rsidRPr="006B42D6">
        <w:t xml:space="preserve"> percent). In </w:t>
      </w:r>
      <w:r w:rsidR="00307099" w:rsidRPr="006B42D6">
        <w:t xml:space="preserve">Tanzania </w:t>
      </w:r>
      <w:r w:rsidRPr="006B42D6">
        <w:t xml:space="preserve">Zanzibar, majority of the </w:t>
      </w:r>
      <w:r w:rsidR="00F834B1">
        <w:t>a</w:t>
      </w:r>
      <w:r w:rsidRPr="006B42D6">
        <w:t xml:space="preserve">gricultural households used </w:t>
      </w:r>
      <w:r w:rsidR="00717D76">
        <w:t>l</w:t>
      </w:r>
      <w:r w:rsidRPr="006B42D6">
        <w:t xml:space="preserve">eno bags </w:t>
      </w:r>
      <w:r w:rsidR="00F834B1">
        <w:t xml:space="preserve">for packaging </w:t>
      </w:r>
      <w:r w:rsidRPr="006B42D6">
        <w:t>(1,</w:t>
      </w:r>
      <w:r w:rsidR="00307099" w:rsidRPr="006B42D6">
        <w:t>181</w:t>
      </w:r>
      <w:r w:rsidRPr="006B42D6">
        <w:t>; 7</w:t>
      </w:r>
      <w:r w:rsidR="00307099" w:rsidRPr="006B42D6">
        <w:t>5</w:t>
      </w:r>
      <w:r w:rsidRPr="006B42D6">
        <w:t>.</w:t>
      </w:r>
      <w:r w:rsidR="00307099" w:rsidRPr="006B42D6">
        <w:t>2</w:t>
      </w:r>
      <w:r w:rsidRPr="006B42D6">
        <w:t xml:space="preserve"> percent)</w:t>
      </w:r>
      <w:r w:rsidR="00307099" w:rsidRPr="006B42D6">
        <w:t xml:space="preserve">, followed by </w:t>
      </w:r>
      <w:r w:rsidR="00717D76">
        <w:t>s</w:t>
      </w:r>
      <w:r w:rsidR="00307099" w:rsidRPr="006B42D6">
        <w:t xml:space="preserve">acks (209; 13.3 percent) and </w:t>
      </w:r>
      <w:r w:rsidR="00717D76">
        <w:t>p</w:t>
      </w:r>
      <w:r w:rsidR="00307099" w:rsidRPr="006B42D6">
        <w:t>lastic container</w:t>
      </w:r>
      <w:r w:rsidR="00F834B1">
        <w:t>s</w:t>
      </w:r>
      <w:r w:rsidR="00307099" w:rsidRPr="006B42D6">
        <w:t xml:space="preserve"> (181; 11.5 percent)</w:t>
      </w:r>
      <w:r w:rsidRPr="006B42D6">
        <w:t>.</w:t>
      </w:r>
    </w:p>
    <w:p w14:paraId="341ED6A3" w14:textId="77777777" w:rsidR="00307099" w:rsidRPr="006B42D6" w:rsidRDefault="00307099" w:rsidP="007D1F16">
      <w:pPr>
        <w:spacing w:line="240" w:lineRule="auto"/>
      </w:pPr>
    </w:p>
    <w:p w14:paraId="10398A3F" w14:textId="645FA08C" w:rsidR="00E16412" w:rsidRPr="006B42D6" w:rsidRDefault="00E16412" w:rsidP="005C2EFC">
      <w:pPr>
        <w:pStyle w:val="Heading4"/>
      </w:pPr>
      <w:bookmarkStart w:id="283" w:name="_Toc82385695"/>
      <w:r w:rsidRPr="006B42D6">
        <w:t>3.</w:t>
      </w:r>
      <w:r w:rsidR="00193728">
        <w:t>2</w:t>
      </w:r>
      <w:r w:rsidRPr="006B42D6">
        <w:t>.3.2</w:t>
      </w:r>
      <w:r w:rsidR="000807B0" w:rsidRPr="006B42D6">
        <w:tab/>
      </w:r>
      <w:r w:rsidRPr="006B42D6">
        <w:t>Grain</w:t>
      </w:r>
      <w:bookmarkEnd w:id="283"/>
      <w:r w:rsidRPr="006B42D6">
        <w:t xml:space="preserve"> </w:t>
      </w:r>
    </w:p>
    <w:p w14:paraId="67C9E3C2" w14:textId="6831F278" w:rsidR="00E16412" w:rsidRDefault="00E16412" w:rsidP="005C2EFC">
      <w:r w:rsidRPr="006B42D6">
        <w:t xml:space="preserve">A total of </w:t>
      </w:r>
      <w:r w:rsidR="00307099" w:rsidRPr="006B42D6">
        <w:t>203,580</w:t>
      </w:r>
      <w:r w:rsidRPr="006B42D6">
        <w:t xml:space="preserve"> </w:t>
      </w:r>
      <w:r w:rsidR="00AE0110" w:rsidRPr="006B42D6">
        <w:t>a</w:t>
      </w:r>
      <w:r w:rsidRPr="006B42D6">
        <w:t xml:space="preserve">gricultural households used different types of packaging for </w:t>
      </w:r>
      <w:r w:rsidR="00AE0110" w:rsidRPr="006B42D6">
        <w:t>g</w:t>
      </w:r>
      <w:r w:rsidRPr="006B42D6">
        <w:t>rain</w:t>
      </w:r>
      <w:r w:rsidR="00307099" w:rsidRPr="006B42D6">
        <w:t>,</w:t>
      </w:r>
      <w:r w:rsidR="00E308B5" w:rsidRPr="006B42D6">
        <w:t xml:space="preserve"> out </w:t>
      </w:r>
      <w:r w:rsidRPr="006B42D6">
        <w:t xml:space="preserve">of which, </w:t>
      </w:r>
      <w:r w:rsidR="00307099" w:rsidRPr="006B42D6">
        <w:t>184</w:t>
      </w:r>
      <w:r w:rsidRPr="006B42D6">
        <w:t>,</w:t>
      </w:r>
      <w:r w:rsidR="00307099" w:rsidRPr="006B42D6">
        <w:t>401</w:t>
      </w:r>
      <w:r w:rsidRPr="006B42D6">
        <w:t xml:space="preserve"> households were in </w:t>
      </w:r>
      <w:r w:rsidR="00EA1552">
        <w:t>Mainland Tanzania</w:t>
      </w:r>
      <w:r w:rsidRPr="006B42D6">
        <w:t xml:space="preserve"> and </w:t>
      </w:r>
      <w:r w:rsidR="00307099" w:rsidRPr="006B42D6">
        <w:t>19</w:t>
      </w:r>
      <w:r w:rsidRPr="006B42D6">
        <w:t>,</w:t>
      </w:r>
      <w:r w:rsidR="00307099" w:rsidRPr="006B42D6">
        <w:t>179</w:t>
      </w:r>
      <w:r w:rsidRPr="006B42D6">
        <w:t xml:space="preserve"> households in </w:t>
      </w:r>
      <w:r w:rsidR="00307099" w:rsidRPr="006B42D6">
        <w:t xml:space="preserve">Tanzania </w:t>
      </w:r>
      <w:r w:rsidRPr="006B42D6">
        <w:t>Zanzibar.</w:t>
      </w:r>
      <w:r w:rsidR="00307099" w:rsidRPr="006B42D6">
        <w:t xml:space="preserve"> </w:t>
      </w:r>
      <w:r w:rsidRPr="006B42D6">
        <w:t xml:space="preserve">In </w:t>
      </w:r>
      <w:r w:rsidR="00EA1552">
        <w:t>Mainland Tanzania</w:t>
      </w:r>
      <w:r w:rsidRPr="006B42D6">
        <w:t xml:space="preserve">, most </w:t>
      </w:r>
      <w:r w:rsidR="00AE0110" w:rsidRPr="006B42D6">
        <w:t>a</w:t>
      </w:r>
      <w:r w:rsidRPr="006B42D6">
        <w:t xml:space="preserve">gricultural households used </w:t>
      </w:r>
      <w:r w:rsidR="00AE0110" w:rsidRPr="006B42D6">
        <w:t>leno bags</w:t>
      </w:r>
      <w:r w:rsidR="00F834B1">
        <w:t xml:space="preserve"> for packaging</w:t>
      </w:r>
      <w:r w:rsidR="00AE0110" w:rsidRPr="006B42D6">
        <w:t xml:space="preserve"> (99,371; 53.9 percent)</w:t>
      </w:r>
      <w:r w:rsidR="00F834B1">
        <w:t>,</w:t>
      </w:r>
      <w:r w:rsidR="00AE0110" w:rsidRPr="006B42D6">
        <w:t xml:space="preserve"> followed by sacks (51,356; 27.9 percent) and h</w:t>
      </w:r>
      <w:r w:rsidRPr="006B42D6">
        <w:t>ermetic bags (18,</w:t>
      </w:r>
      <w:r w:rsidR="00307099" w:rsidRPr="006B42D6">
        <w:t>568</w:t>
      </w:r>
      <w:r w:rsidRPr="006B42D6">
        <w:t xml:space="preserve">; </w:t>
      </w:r>
      <w:r w:rsidR="00307099" w:rsidRPr="006B42D6">
        <w:t>10</w:t>
      </w:r>
      <w:r w:rsidRPr="006B42D6">
        <w:t>.</w:t>
      </w:r>
      <w:r w:rsidR="00307099" w:rsidRPr="006B42D6">
        <w:t>1</w:t>
      </w:r>
      <w:r w:rsidRPr="006B42D6">
        <w:t xml:space="preserve"> percent). In </w:t>
      </w:r>
      <w:r w:rsidR="00125930" w:rsidRPr="006B42D6">
        <w:t xml:space="preserve">Tanzania </w:t>
      </w:r>
      <w:r w:rsidRPr="006B42D6">
        <w:t xml:space="preserve">Zanzibar, all </w:t>
      </w:r>
      <w:r w:rsidR="00125930" w:rsidRPr="006B42D6">
        <w:t>a</w:t>
      </w:r>
      <w:r w:rsidRPr="006B42D6">
        <w:t xml:space="preserve">gricultural households reported to use only two packaging </w:t>
      </w:r>
      <w:r w:rsidR="00125930" w:rsidRPr="006B42D6">
        <w:t xml:space="preserve">material, </w:t>
      </w:r>
      <w:r w:rsidR="00AE0110" w:rsidRPr="006B42D6">
        <w:t xml:space="preserve">namely leno bags (18,489; 96.4 percent) and sacks </w:t>
      </w:r>
      <w:r w:rsidRPr="006B42D6">
        <w:t>(690, 3.</w:t>
      </w:r>
      <w:r w:rsidR="00125930" w:rsidRPr="006B42D6">
        <w:t>6</w:t>
      </w:r>
      <w:r w:rsidRPr="006B42D6">
        <w:t>).</w:t>
      </w:r>
    </w:p>
    <w:p w14:paraId="5F2FE040" w14:textId="77777777" w:rsidR="006D1F4E" w:rsidRPr="006B42D6" w:rsidRDefault="006D1F4E" w:rsidP="006D1F4E">
      <w:pPr>
        <w:spacing w:line="240" w:lineRule="auto"/>
      </w:pPr>
    </w:p>
    <w:p w14:paraId="4733840F" w14:textId="471246B0" w:rsidR="00E16412" w:rsidRPr="006B42D6" w:rsidRDefault="00E16412" w:rsidP="005C2EFC">
      <w:pPr>
        <w:pStyle w:val="Heading4"/>
      </w:pPr>
      <w:bookmarkStart w:id="284" w:name="_Toc82385696"/>
      <w:r w:rsidRPr="006B42D6">
        <w:t>3.</w:t>
      </w:r>
      <w:r w:rsidR="00193728">
        <w:t>2</w:t>
      </w:r>
      <w:r w:rsidRPr="006B42D6">
        <w:t>.3.3</w:t>
      </w:r>
      <w:r w:rsidR="000807B0" w:rsidRPr="006B42D6">
        <w:tab/>
      </w:r>
      <w:r w:rsidRPr="006B42D6">
        <w:t>Oil</w:t>
      </w:r>
      <w:bookmarkEnd w:id="284"/>
    </w:p>
    <w:p w14:paraId="1E5E1396" w14:textId="70B9ED8F" w:rsidR="00E16412" w:rsidRPr="006B42D6" w:rsidRDefault="00E16412" w:rsidP="005C2EFC">
      <w:r w:rsidRPr="006B42D6">
        <w:t xml:space="preserve">A total of </w:t>
      </w:r>
      <w:r w:rsidR="00125930" w:rsidRPr="006B42D6">
        <w:t>128,505</w:t>
      </w:r>
      <w:r w:rsidRPr="006B42D6">
        <w:t xml:space="preserve"> </w:t>
      </w:r>
      <w:r w:rsidR="00125930" w:rsidRPr="006B42D6">
        <w:t>a</w:t>
      </w:r>
      <w:r w:rsidRPr="006B42D6">
        <w:t xml:space="preserve">gricultural households used different types of packaging for </w:t>
      </w:r>
      <w:r w:rsidR="00AE0110" w:rsidRPr="006B42D6">
        <w:t>o</w:t>
      </w:r>
      <w:r w:rsidRPr="006B42D6">
        <w:t xml:space="preserve">il, of which, </w:t>
      </w:r>
      <w:r w:rsidR="00125930" w:rsidRPr="006B42D6">
        <w:t>128,036</w:t>
      </w:r>
      <w:r w:rsidRPr="006B42D6">
        <w:t xml:space="preserve"> </w:t>
      </w:r>
      <w:r w:rsidR="00125930" w:rsidRPr="006B42D6">
        <w:t>were</w:t>
      </w:r>
      <w:r w:rsidRPr="006B42D6">
        <w:t xml:space="preserve"> in </w:t>
      </w:r>
      <w:r w:rsidR="00EA1552">
        <w:t>Mainland Tanzania</w:t>
      </w:r>
      <w:r w:rsidR="00125930" w:rsidRPr="006B42D6">
        <w:t xml:space="preserve"> and 469 in Tanzania Zanzibar</w:t>
      </w:r>
      <w:r w:rsidRPr="006B42D6">
        <w:t xml:space="preserve">. In </w:t>
      </w:r>
      <w:r w:rsidR="00EA1552">
        <w:t>Mainland Tanzania</w:t>
      </w:r>
      <w:r w:rsidRPr="006B42D6">
        <w:t xml:space="preserve">, </w:t>
      </w:r>
      <w:r w:rsidR="00125930" w:rsidRPr="006B42D6">
        <w:t>m</w:t>
      </w:r>
      <w:r w:rsidRPr="006B42D6">
        <w:t xml:space="preserve">ajority of the </w:t>
      </w:r>
      <w:r w:rsidR="00125930" w:rsidRPr="006B42D6">
        <w:t>a</w:t>
      </w:r>
      <w:r w:rsidRPr="006B42D6">
        <w:t xml:space="preserve">gricultural households used </w:t>
      </w:r>
      <w:r w:rsidR="00125930" w:rsidRPr="006B42D6">
        <w:t>plastic container</w:t>
      </w:r>
      <w:r w:rsidR="00CA65AC">
        <w:t>s for packaging</w:t>
      </w:r>
      <w:r w:rsidR="00125930" w:rsidRPr="006B42D6">
        <w:t xml:space="preserve"> </w:t>
      </w:r>
      <w:r w:rsidRPr="006B42D6">
        <w:t>(</w:t>
      </w:r>
      <w:r w:rsidR="00125930" w:rsidRPr="006B42D6">
        <w:t>65</w:t>
      </w:r>
      <w:r w:rsidRPr="006B42D6">
        <w:t>,</w:t>
      </w:r>
      <w:r w:rsidR="00125930" w:rsidRPr="006B42D6">
        <w:t>169</w:t>
      </w:r>
      <w:r w:rsidRPr="006B42D6">
        <w:t>; 5</w:t>
      </w:r>
      <w:r w:rsidR="00125930" w:rsidRPr="006B42D6">
        <w:t>0</w:t>
      </w:r>
      <w:r w:rsidRPr="006B42D6">
        <w:t>.</w:t>
      </w:r>
      <w:r w:rsidR="00125930" w:rsidRPr="006B42D6">
        <w:t>9</w:t>
      </w:r>
      <w:r w:rsidRPr="006B42D6">
        <w:t xml:space="preserve"> percent)</w:t>
      </w:r>
      <w:r w:rsidR="00125930" w:rsidRPr="006B42D6">
        <w:t>,</w:t>
      </w:r>
      <w:r w:rsidRPr="006B42D6">
        <w:t xml:space="preserve"> followed by </w:t>
      </w:r>
      <w:r w:rsidR="00AE0110" w:rsidRPr="006B42D6">
        <w:t>b</w:t>
      </w:r>
      <w:r w:rsidRPr="006B42D6">
        <w:t xml:space="preserve">ottles (36,193; </w:t>
      </w:r>
      <w:r w:rsidR="00125930" w:rsidRPr="006B42D6">
        <w:t>28.3</w:t>
      </w:r>
      <w:r w:rsidRPr="006B42D6">
        <w:t xml:space="preserve"> percent).</w:t>
      </w:r>
      <w:r w:rsidR="00125930" w:rsidRPr="006B42D6">
        <w:t xml:space="preserve"> </w:t>
      </w:r>
    </w:p>
    <w:p w14:paraId="23AEE530" w14:textId="77777777" w:rsidR="0070447D" w:rsidRPr="006B42D6" w:rsidRDefault="0070447D" w:rsidP="004C6B00">
      <w:pPr>
        <w:spacing w:line="240" w:lineRule="auto"/>
        <w:rPr>
          <w:b/>
        </w:rPr>
      </w:pPr>
    </w:p>
    <w:p w14:paraId="079B3A2F" w14:textId="4E63406C" w:rsidR="0070447D" w:rsidRPr="006B42D6" w:rsidRDefault="0070447D" w:rsidP="0070447D">
      <w:pPr>
        <w:pStyle w:val="Heading2"/>
      </w:pPr>
      <w:bookmarkStart w:id="285" w:name="_Toc82385697"/>
      <w:r w:rsidRPr="006B42D6">
        <w:t>3.</w:t>
      </w:r>
      <w:r w:rsidR="00193728">
        <w:t>3</w:t>
      </w:r>
      <w:r w:rsidRPr="006B42D6">
        <w:tab/>
        <w:t>Irrigation</w:t>
      </w:r>
      <w:bookmarkEnd w:id="285"/>
      <w:r w:rsidRPr="006B42D6">
        <w:t xml:space="preserve"> </w:t>
      </w:r>
    </w:p>
    <w:p w14:paraId="6913C515" w14:textId="1C046A33" w:rsidR="0070447D" w:rsidRPr="006B42D6" w:rsidRDefault="0070447D" w:rsidP="0070447D">
      <w:r w:rsidRPr="006B42D6">
        <w:t xml:space="preserve">Irrigation is the application of a specific amount of water at a particular location in order to meet the requirements of a crop growing at that location in amount that are appropriate to the crop’s stage of growth. It can also mean the application of water in amounts necessary to </w:t>
      </w:r>
      <w:r w:rsidRPr="006B42D6">
        <w:lastRenderedPageBreak/>
        <w:t>bring soil to the desired moisture level prior to crop planting. This section presents information on area under irrigation and main crop irrigated</w:t>
      </w:r>
      <w:r w:rsidR="00943DA1" w:rsidRPr="006B42D6">
        <w:t xml:space="preserve"> by smallholder farmers</w:t>
      </w:r>
      <w:r w:rsidRPr="006B42D6">
        <w:t>.</w:t>
      </w:r>
    </w:p>
    <w:p w14:paraId="367CB6AF" w14:textId="77777777" w:rsidR="0070447D" w:rsidRPr="006B42D6" w:rsidRDefault="0070447D" w:rsidP="004C6B00">
      <w:pPr>
        <w:spacing w:line="240" w:lineRule="auto"/>
      </w:pPr>
    </w:p>
    <w:p w14:paraId="69791B4F" w14:textId="58F0AF1D" w:rsidR="0070447D" w:rsidRPr="006B42D6" w:rsidRDefault="0070447D" w:rsidP="0070447D">
      <w:pPr>
        <w:pStyle w:val="Heading3"/>
      </w:pPr>
      <w:bookmarkStart w:id="286" w:name="_Toc82385698"/>
      <w:r w:rsidRPr="006B42D6">
        <w:t>3.</w:t>
      </w:r>
      <w:r w:rsidR="00193728">
        <w:t>3</w:t>
      </w:r>
      <w:r w:rsidRPr="006B42D6">
        <w:t>.1</w:t>
      </w:r>
      <w:r w:rsidRPr="006B42D6">
        <w:tab/>
        <w:t>Area Planted under Irrigation</w:t>
      </w:r>
      <w:bookmarkEnd w:id="286"/>
    </w:p>
    <w:p w14:paraId="7C69955A" w14:textId="60B42301" w:rsidR="0070447D" w:rsidRPr="00AB5DCE" w:rsidRDefault="0070447D" w:rsidP="00943DA1">
      <w:r w:rsidRPr="006B42D6">
        <w:t>Census results show that, irrigated crop production was carried out during short and long rain</w:t>
      </w:r>
      <w:r w:rsidR="00125930" w:rsidRPr="006B42D6">
        <w:t>y</w:t>
      </w:r>
      <w:r w:rsidRPr="006B42D6">
        <w:t xml:space="preserve"> seasons in both </w:t>
      </w:r>
      <w:r w:rsidR="00EA1552">
        <w:t>Mainland Tanzania</w:t>
      </w:r>
      <w:r w:rsidRPr="006B42D6">
        <w:t xml:space="preserve"> and Tanzania Zanzibar. The total area under irrigation</w:t>
      </w:r>
      <w:r w:rsidR="00943DA1" w:rsidRPr="006B42D6">
        <w:t xml:space="preserve"> for annual crops</w:t>
      </w:r>
      <w:r w:rsidRPr="006B42D6">
        <w:t xml:space="preserve"> was </w:t>
      </w:r>
      <w:r w:rsidRPr="006B42D6">
        <w:rPr>
          <w:w w:val="95"/>
        </w:rPr>
        <w:t xml:space="preserve">289,381 </w:t>
      </w:r>
      <w:r w:rsidRPr="006B42D6">
        <w:t>ha (</w:t>
      </w:r>
      <w:r w:rsidRPr="006B42D6">
        <w:rPr>
          <w:w w:val="95"/>
        </w:rPr>
        <w:t xml:space="preserve">272,897 </w:t>
      </w:r>
      <w:r w:rsidRPr="006B42D6">
        <w:t xml:space="preserve">ha in </w:t>
      </w:r>
      <w:r w:rsidR="00EA1552">
        <w:t>Mainland Tanzania</w:t>
      </w:r>
      <w:r w:rsidRPr="006B42D6">
        <w:t xml:space="preserve"> and </w:t>
      </w:r>
      <w:r w:rsidRPr="006B42D6">
        <w:rPr>
          <w:w w:val="96"/>
        </w:rPr>
        <w:t xml:space="preserve">16,484 </w:t>
      </w:r>
      <w:r w:rsidRPr="006B42D6">
        <w:t xml:space="preserve">ha in Tanzania Zanzibar) </w:t>
      </w:r>
      <w:r w:rsidR="00943DA1" w:rsidRPr="006B42D6">
        <w:t>accounting for</w:t>
      </w:r>
      <w:r w:rsidRPr="006B42D6">
        <w:t xml:space="preserve"> 2.5 percent of the total planted area. </w:t>
      </w:r>
      <w:r w:rsidR="00943DA1" w:rsidRPr="006B42D6">
        <w:t xml:space="preserve">Similarly, the total area under irrigation for permanent crops was </w:t>
      </w:r>
      <w:r w:rsidR="00943DA1" w:rsidRPr="006B42D6">
        <w:rPr>
          <w:w w:val="95"/>
        </w:rPr>
        <w:t xml:space="preserve">26,567 </w:t>
      </w:r>
      <w:r w:rsidR="00943DA1" w:rsidRPr="006B42D6">
        <w:t>ha (</w:t>
      </w:r>
      <w:r w:rsidR="00943DA1" w:rsidRPr="006B42D6">
        <w:rPr>
          <w:w w:val="95"/>
        </w:rPr>
        <w:t xml:space="preserve">24,622 </w:t>
      </w:r>
      <w:r w:rsidR="00943DA1" w:rsidRPr="006B42D6">
        <w:t xml:space="preserve">ha in </w:t>
      </w:r>
      <w:r w:rsidR="00EA1552">
        <w:t>Mainland Tanzania</w:t>
      </w:r>
      <w:r w:rsidR="00943DA1" w:rsidRPr="006B42D6">
        <w:t xml:space="preserve"> and </w:t>
      </w:r>
      <w:r w:rsidR="00943DA1" w:rsidRPr="006B42D6">
        <w:rPr>
          <w:w w:val="96"/>
        </w:rPr>
        <w:t xml:space="preserve">1,945 </w:t>
      </w:r>
      <w:r w:rsidR="00943DA1" w:rsidRPr="006B42D6">
        <w:t>ha in Tanzania Zanzibar) accounting for 1.3 percent of the total planted area.</w:t>
      </w:r>
      <w:r w:rsidRPr="006B42D6">
        <w:t xml:space="preserve"> Area under irrigation in </w:t>
      </w:r>
      <w:r w:rsidR="00EA1552">
        <w:t>Mainland Tanzania</w:t>
      </w:r>
      <w:r w:rsidR="00943DA1" w:rsidRPr="006B42D6">
        <w:t xml:space="preserve"> for annual crops</w:t>
      </w:r>
      <w:r w:rsidRPr="006B42D6">
        <w:t xml:space="preserve"> was 272,897 equivalent to 2.</w:t>
      </w:r>
      <w:r w:rsidR="00943DA1" w:rsidRPr="006B42D6">
        <w:t>4</w:t>
      </w:r>
      <w:r w:rsidRPr="006B42D6">
        <w:t xml:space="preserve"> percent of the total planted area</w:t>
      </w:r>
      <w:r w:rsidR="00943DA1" w:rsidRPr="006B42D6">
        <w:t>,</w:t>
      </w:r>
      <w:r w:rsidRPr="006B42D6">
        <w:t xml:space="preserve"> while in Tanzania Zanzibar, the area under irrigation was </w:t>
      </w:r>
      <w:r w:rsidRPr="006B42D6">
        <w:rPr>
          <w:w w:val="96"/>
        </w:rPr>
        <w:t>16,48</w:t>
      </w:r>
      <w:r w:rsidR="00943DA1" w:rsidRPr="006B42D6">
        <w:rPr>
          <w:w w:val="96"/>
        </w:rPr>
        <w:t>9</w:t>
      </w:r>
      <w:r w:rsidRPr="006B42D6">
        <w:t xml:space="preserve"> ha equivalent to </w:t>
      </w:r>
      <w:r w:rsidRPr="006B42D6">
        <w:rPr>
          <w:spacing w:val="1"/>
        </w:rPr>
        <w:t>1</w:t>
      </w:r>
      <w:r w:rsidR="00943DA1" w:rsidRPr="006B42D6">
        <w:rPr>
          <w:spacing w:val="1"/>
        </w:rPr>
        <w:t>5</w:t>
      </w:r>
      <w:r w:rsidRPr="006B42D6">
        <w:rPr>
          <w:spacing w:val="1"/>
        </w:rPr>
        <w:t xml:space="preserve">.1 </w:t>
      </w:r>
      <w:r w:rsidRPr="006B42D6">
        <w:t xml:space="preserve">percent of the total planted area. Both </w:t>
      </w:r>
      <w:r w:rsidR="00EA1552">
        <w:t>Mainland Tanzania</w:t>
      </w:r>
      <w:r w:rsidRPr="006B42D6">
        <w:t xml:space="preserve"> and Tanzania Zanzibar, irrigated crop production was carried out mostly during short rain</w:t>
      </w:r>
      <w:r w:rsidR="00943DA1" w:rsidRPr="006B42D6">
        <w:t>y</w:t>
      </w:r>
      <w:r w:rsidRPr="006B42D6">
        <w:t xml:space="preserve"> season</w:t>
      </w:r>
      <w:r w:rsidR="00AB5DCE">
        <w:t xml:space="preserve">. </w:t>
      </w:r>
      <w:r w:rsidR="00AB5DCE" w:rsidRPr="006B42D6">
        <w:t>Considering the small proportion of area under irrigation, crop production remains largely dependent on rainfed</w:t>
      </w:r>
      <w:r w:rsidR="00AB5DCE">
        <w:t xml:space="preserve"> </w:t>
      </w:r>
      <w:r w:rsidRPr="006B42D6">
        <w:t>(Table 3.</w:t>
      </w:r>
      <w:r w:rsidR="00CD75FC">
        <w:t>19</w:t>
      </w:r>
      <w:r w:rsidRPr="006B42D6">
        <w:t>).</w:t>
      </w:r>
    </w:p>
    <w:p w14:paraId="3A17CDD5" w14:textId="3E4043FD" w:rsidR="00DD78AA" w:rsidRDefault="00DD78AA" w:rsidP="0075251B"/>
    <w:p w14:paraId="2E0F1E76" w14:textId="59C35237" w:rsidR="0070447D" w:rsidRPr="006B42D6" w:rsidRDefault="0070447D" w:rsidP="006D1F4E">
      <w:pPr>
        <w:pStyle w:val="Heading7"/>
        <w:ind w:right="454"/>
      </w:pPr>
      <w:bookmarkStart w:id="287" w:name="_Toc82386201"/>
      <w:r w:rsidRPr="006B42D6">
        <w:t>Table 3.</w:t>
      </w:r>
      <w:r w:rsidR="00CD75FC">
        <w:t>19</w:t>
      </w:r>
      <w:r w:rsidR="004C6B00">
        <w:t>:</w:t>
      </w:r>
      <w:r w:rsidR="004C6B00">
        <w:tab/>
      </w:r>
      <w:r w:rsidRPr="006B42D6">
        <w:t xml:space="preserve">Area under Irrigation </w:t>
      </w:r>
      <w:r w:rsidR="00AE0110" w:rsidRPr="006B42D6">
        <w:t>D</w:t>
      </w:r>
      <w:r w:rsidRPr="006B42D6">
        <w:t>uring Short and Long Rain</w:t>
      </w:r>
      <w:r w:rsidR="00943DA1" w:rsidRPr="006B42D6">
        <w:t>y Seasons During 2019/20 Agricultural Year, Tanzania</w:t>
      </w:r>
      <w:bookmarkEnd w:id="287"/>
      <w:r w:rsidRPr="006B42D6">
        <w:t xml:space="preserve"> </w:t>
      </w:r>
    </w:p>
    <w:tbl>
      <w:tblPr>
        <w:tblW w:w="8993" w:type="dxa"/>
        <w:jc w:val="center"/>
        <w:tblLayout w:type="fixed"/>
        <w:tblLook w:val="04A0" w:firstRow="1" w:lastRow="0" w:firstColumn="1" w:lastColumn="0" w:noHBand="0" w:noVBand="1"/>
      </w:tblPr>
      <w:tblGrid>
        <w:gridCol w:w="1614"/>
        <w:gridCol w:w="938"/>
        <w:gridCol w:w="868"/>
        <w:gridCol w:w="712"/>
        <w:gridCol w:w="829"/>
        <w:gridCol w:w="772"/>
        <w:gridCol w:w="709"/>
        <w:gridCol w:w="992"/>
        <w:gridCol w:w="851"/>
        <w:gridCol w:w="708"/>
      </w:tblGrid>
      <w:tr w:rsidR="006B42D6" w:rsidRPr="006B42D6" w14:paraId="696EDF76" w14:textId="77777777" w:rsidTr="002C051F">
        <w:trPr>
          <w:trHeight w:val="204"/>
          <w:jc w:val="center"/>
        </w:trPr>
        <w:tc>
          <w:tcPr>
            <w:tcW w:w="1614" w:type="dxa"/>
            <w:vMerge w:val="restart"/>
            <w:tcBorders>
              <w:top w:val="single" w:sz="4" w:space="0" w:color="auto"/>
              <w:right w:val="single" w:sz="4" w:space="0" w:color="auto"/>
            </w:tcBorders>
            <w:shd w:val="clear" w:color="auto" w:fill="E2EFD9" w:themeFill="accent6" w:themeFillTint="33"/>
            <w:vAlign w:val="center"/>
            <w:hideMark/>
          </w:tcPr>
          <w:p w14:paraId="151052B0" w14:textId="77777777" w:rsidR="0070447D" w:rsidRPr="004D6462" w:rsidRDefault="0070447D" w:rsidP="00383AA6">
            <w:pPr>
              <w:rPr>
                <w:sz w:val="15"/>
                <w:szCs w:val="15"/>
              </w:rPr>
            </w:pPr>
            <w:r w:rsidRPr="004D6462">
              <w:rPr>
                <w:sz w:val="15"/>
                <w:szCs w:val="15"/>
              </w:rPr>
              <w:t>Planting Season</w:t>
            </w:r>
          </w:p>
        </w:tc>
        <w:tc>
          <w:tcPr>
            <w:tcW w:w="2518"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noWrap/>
            <w:hideMark/>
          </w:tcPr>
          <w:p w14:paraId="2E40D7CC" w14:textId="60C696C2" w:rsidR="0070447D" w:rsidRPr="004D6462" w:rsidRDefault="00EA1552" w:rsidP="00383AA6">
            <w:pPr>
              <w:jc w:val="center"/>
              <w:rPr>
                <w:sz w:val="15"/>
                <w:szCs w:val="15"/>
              </w:rPr>
            </w:pPr>
            <w:r w:rsidRPr="004D6462">
              <w:rPr>
                <w:sz w:val="15"/>
                <w:szCs w:val="15"/>
              </w:rPr>
              <w:t>Mainland Tanzania</w:t>
            </w:r>
          </w:p>
        </w:tc>
        <w:tc>
          <w:tcPr>
            <w:tcW w:w="2310"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noWrap/>
            <w:hideMark/>
          </w:tcPr>
          <w:p w14:paraId="08A366E2" w14:textId="09D6F7C9" w:rsidR="0070447D" w:rsidRPr="004D6462" w:rsidRDefault="00943DA1" w:rsidP="00383AA6">
            <w:pPr>
              <w:jc w:val="center"/>
              <w:rPr>
                <w:sz w:val="15"/>
                <w:szCs w:val="15"/>
              </w:rPr>
            </w:pPr>
            <w:r w:rsidRPr="004D6462">
              <w:rPr>
                <w:sz w:val="15"/>
                <w:szCs w:val="15"/>
              </w:rPr>
              <w:t xml:space="preserve">Tanzania </w:t>
            </w:r>
            <w:r w:rsidR="0070447D" w:rsidRPr="004D6462">
              <w:rPr>
                <w:sz w:val="15"/>
                <w:szCs w:val="15"/>
              </w:rPr>
              <w:t>Zanzibar</w:t>
            </w:r>
          </w:p>
        </w:tc>
        <w:tc>
          <w:tcPr>
            <w:tcW w:w="2551" w:type="dxa"/>
            <w:gridSpan w:val="3"/>
            <w:tcBorders>
              <w:top w:val="single" w:sz="4" w:space="0" w:color="auto"/>
              <w:left w:val="single" w:sz="4" w:space="0" w:color="auto"/>
              <w:bottom w:val="single" w:sz="4" w:space="0" w:color="auto"/>
            </w:tcBorders>
            <w:shd w:val="clear" w:color="auto" w:fill="E2EFD9" w:themeFill="accent6" w:themeFillTint="33"/>
            <w:hideMark/>
          </w:tcPr>
          <w:p w14:paraId="7FAEA14C" w14:textId="3E02EE9C" w:rsidR="0070447D" w:rsidRPr="004D6462" w:rsidRDefault="00943DA1" w:rsidP="00383AA6">
            <w:pPr>
              <w:jc w:val="center"/>
              <w:rPr>
                <w:sz w:val="15"/>
                <w:szCs w:val="15"/>
              </w:rPr>
            </w:pPr>
            <w:r w:rsidRPr="004D6462">
              <w:rPr>
                <w:sz w:val="15"/>
                <w:szCs w:val="15"/>
              </w:rPr>
              <w:t>Tanzania</w:t>
            </w:r>
          </w:p>
        </w:tc>
      </w:tr>
      <w:tr w:rsidR="0075251B" w:rsidRPr="006B42D6" w14:paraId="374D2BCD" w14:textId="77777777" w:rsidTr="002C051F">
        <w:trPr>
          <w:trHeight w:val="339"/>
          <w:jc w:val="center"/>
        </w:trPr>
        <w:tc>
          <w:tcPr>
            <w:tcW w:w="1614" w:type="dxa"/>
            <w:vMerge/>
            <w:tcBorders>
              <w:right w:val="single" w:sz="4" w:space="0" w:color="auto"/>
            </w:tcBorders>
            <w:shd w:val="clear" w:color="auto" w:fill="E2EFD9" w:themeFill="accent6" w:themeFillTint="33"/>
            <w:hideMark/>
          </w:tcPr>
          <w:p w14:paraId="5D7F9FA3" w14:textId="77777777" w:rsidR="0075251B" w:rsidRPr="004D6462" w:rsidRDefault="0075251B" w:rsidP="00383AA6">
            <w:pPr>
              <w:rPr>
                <w:sz w:val="15"/>
                <w:szCs w:val="15"/>
              </w:rPr>
            </w:pPr>
          </w:p>
        </w:tc>
        <w:tc>
          <w:tcPr>
            <w:tcW w:w="938" w:type="dxa"/>
            <w:vMerge w:val="restart"/>
            <w:tcBorders>
              <w:top w:val="single" w:sz="4" w:space="0" w:color="auto"/>
              <w:left w:val="single" w:sz="4" w:space="0" w:color="auto"/>
            </w:tcBorders>
            <w:shd w:val="clear" w:color="auto" w:fill="E2EFD9" w:themeFill="accent6" w:themeFillTint="33"/>
            <w:vAlign w:val="center"/>
            <w:hideMark/>
          </w:tcPr>
          <w:p w14:paraId="041C0E07" w14:textId="77777777" w:rsidR="0075251B" w:rsidRPr="004D6462" w:rsidRDefault="0075251B" w:rsidP="00383AA6">
            <w:pPr>
              <w:ind w:left="-108" w:firstLine="108"/>
              <w:jc w:val="center"/>
              <w:rPr>
                <w:bCs/>
                <w:sz w:val="15"/>
                <w:szCs w:val="15"/>
              </w:rPr>
            </w:pPr>
            <w:r w:rsidRPr="004D6462">
              <w:rPr>
                <w:bCs/>
                <w:sz w:val="15"/>
                <w:szCs w:val="15"/>
              </w:rPr>
              <w:t>Planted Area (ha)</w:t>
            </w:r>
          </w:p>
        </w:tc>
        <w:tc>
          <w:tcPr>
            <w:tcW w:w="1580" w:type="dxa"/>
            <w:gridSpan w:val="2"/>
            <w:tcBorders>
              <w:top w:val="single" w:sz="4" w:space="0" w:color="auto"/>
              <w:right w:val="single" w:sz="4" w:space="0" w:color="auto"/>
            </w:tcBorders>
            <w:shd w:val="clear" w:color="auto" w:fill="E2EFD9" w:themeFill="accent6" w:themeFillTint="33"/>
            <w:vAlign w:val="center"/>
            <w:hideMark/>
          </w:tcPr>
          <w:p w14:paraId="4352E5E7" w14:textId="77777777" w:rsidR="0075251B" w:rsidRPr="004D6462" w:rsidRDefault="0075251B" w:rsidP="0075251B">
            <w:pPr>
              <w:jc w:val="center"/>
              <w:rPr>
                <w:bCs/>
                <w:sz w:val="15"/>
                <w:szCs w:val="15"/>
              </w:rPr>
            </w:pPr>
            <w:r w:rsidRPr="004D6462">
              <w:rPr>
                <w:bCs/>
                <w:sz w:val="15"/>
                <w:szCs w:val="15"/>
              </w:rPr>
              <w:t>Irrigated (ha)</w:t>
            </w:r>
          </w:p>
        </w:tc>
        <w:tc>
          <w:tcPr>
            <w:tcW w:w="829" w:type="dxa"/>
            <w:vMerge w:val="restart"/>
            <w:tcBorders>
              <w:top w:val="single" w:sz="4" w:space="0" w:color="auto"/>
              <w:left w:val="single" w:sz="4" w:space="0" w:color="auto"/>
            </w:tcBorders>
            <w:shd w:val="clear" w:color="auto" w:fill="E2EFD9" w:themeFill="accent6" w:themeFillTint="33"/>
            <w:vAlign w:val="center"/>
            <w:hideMark/>
          </w:tcPr>
          <w:p w14:paraId="5E4AB412" w14:textId="242F42DF" w:rsidR="0075251B" w:rsidRPr="004D6462" w:rsidRDefault="0075251B" w:rsidP="0075251B">
            <w:pPr>
              <w:jc w:val="center"/>
              <w:rPr>
                <w:bCs/>
                <w:sz w:val="15"/>
                <w:szCs w:val="15"/>
              </w:rPr>
            </w:pPr>
            <w:r w:rsidRPr="004D6462">
              <w:rPr>
                <w:bCs/>
                <w:sz w:val="15"/>
                <w:szCs w:val="15"/>
              </w:rPr>
              <w:t>Planted Area (ha)</w:t>
            </w:r>
          </w:p>
        </w:tc>
        <w:tc>
          <w:tcPr>
            <w:tcW w:w="1481" w:type="dxa"/>
            <w:gridSpan w:val="2"/>
            <w:tcBorders>
              <w:top w:val="single" w:sz="4" w:space="0" w:color="auto"/>
              <w:right w:val="single" w:sz="4" w:space="0" w:color="auto"/>
            </w:tcBorders>
            <w:shd w:val="clear" w:color="auto" w:fill="E2EFD9" w:themeFill="accent6" w:themeFillTint="33"/>
            <w:vAlign w:val="center"/>
            <w:hideMark/>
          </w:tcPr>
          <w:p w14:paraId="72EAF89E" w14:textId="77777777" w:rsidR="0075251B" w:rsidRPr="004D6462" w:rsidRDefault="0075251B" w:rsidP="0075251B">
            <w:pPr>
              <w:jc w:val="center"/>
              <w:rPr>
                <w:bCs/>
                <w:sz w:val="15"/>
                <w:szCs w:val="15"/>
              </w:rPr>
            </w:pPr>
            <w:r w:rsidRPr="004D6462">
              <w:rPr>
                <w:bCs/>
                <w:sz w:val="15"/>
                <w:szCs w:val="15"/>
              </w:rPr>
              <w:t>Irrigated (ha)</w:t>
            </w:r>
          </w:p>
        </w:tc>
        <w:tc>
          <w:tcPr>
            <w:tcW w:w="992" w:type="dxa"/>
            <w:vMerge w:val="restart"/>
            <w:tcBorders>
              <w:top w:val="single" w:sz="4" w:space="0" w:color="auto"/>
              <w:left w:val="single" w:sz="4" w:space="0" w:color="auto"/>
            </w:tcBorders>
            <w:shd w:val="clear" w:color="auto" w:fill="E2EFD9" w:themeFill="accent6" w:themeFillTint="33"/>
            <w:vAlign w:val="center"/>
          </w:tcPr>
          <w:p w14:paraId="3B50BCAF" w14:textId="10E53A57" w:rsidR="0075251B" w:rsidRPr="004D6462" w:rsidRDefault="0075251B" w:rsidP="0075251B">
            <w:pPr>
              <w:jc w:val="center"/>
              <w:rPr>
                <w:bCs/>
                <w:sz w:val="15"/>
                <w:szCs w:val="15"/>
              </w:rPr>
            </w:pPr>
            <w:r w:rsidRPr="004D6462">
              <w:rPr>
                <w:bCs/>
                <w:sz w:val="15"/>
                <w:szCs w:val="15"/>
              </w:rPr>
              <w:t>Planted Area (ha)</w:t>
            </w:r>
          </w:p>
        </w:tc>
        <w:tc>
          <w:tcPr>
            <w:tcW w:w="1559" w:type="dxa"/>
            <w:gridSpan w:val="2"/>
            <w:tcBorders>
              <w:top w:val="single" w:sz="4" w:space="0" w:color="auto"/>
            </w:tcBorders>
            <w:shd w:val="clear" w:color="auto" w:fill="E2EFD9" w:themeFill="accent6" w:themeFillTint="33"/>
            <w:vAlign w:val="center"/>
            <w:hideMark/>
          </w:tcPr>
          <w:p w14:paraId="23636602" w14:textId="77777777" w:rsidR="0075251B" w:rsidRPr="004D6462" w:rsidRDefault="0075251B" w:rsidP="0075251B">
            <w:pPr>
              <w:jc w:val="center"/>
              <w:rPr>
                <w:bCs/>
                <w:sz w:val="15"/>
                <w:szCs w:val="15"/>
              </w:rPr>
            </w:pPr>
            <w:r w:rsidRPr="004D6462">
              <w:rPr>
                <w:bCs/>
                <w:sz w:val="15"/>
                <w:szCs w:val="15"/>
              </w:rPr>
              <w:t>Irrigated (ha)</w:t>
            </w:r>
          </w:p>
        </w:tc>
      </w:tr>
      <w:tr w:rsidR="0075251B" w:rsidRPr="006B42D6" w14:paraId="46CFB530" w14:textId="77777777" w:rsidTr="002C051F">
        <w:trPr>
          <w:trHeight w:val="164"/>
          <w:jc w:val="center"/>
        </w:trPr>
        <w:tc>
          <w:tcPr>
            <w:tcW w:w="1614" w:type="dxa"/>
            <w:vMerge/>
            <w:tcBorders>
              <w:bottom w:val="single" w:sz="4" w:space="0" w:color="auto"/>
              <w:right w:val="single" w:sz="4" w:space="0" w:color="auto"/>
            </w:tcBorders>
            <w:shd w:val="clear" w:color="auto" w:fill="E2EFD9" w:themeFill="accent6" w:themeFillTint="33"/>
            <w:hideMark/>
          </w:tcPr>
          <w:p w14:paraId="26961F7B" w14:textId="77777777" w:rsidR="0075251B" w:rsidRPr="004D6462" w:rsidRDefault="0075251B" w:rsidP="00593724">
            <w:pPr>
              <w:rPr>
                <w:sz w:val="15"/>
                <w:szCs w:val="15"/>
              </w:rPr>
            </w:pPr>
          </w:p>
        </w:tc>
        <w:tc>
          <w:tcPr>
            <w:tcW w:w="938" w:type="dxa"/>
            <w:vMerge/>
            <w:tcBorders>
              <w:left w:val="single" w:sz="4" w:space="0" w:color="auto"/>
              <w:bottom w:val="single" w:sz="4" w:space="0" w:color="auto"/>
            </w:tcBorders>
            <w:shd w:val="clear" w:color="auto" w:fill="E2EFD9" w:themeFill="accent6" w:themeFillTint="33"/>
            <w:vAlign w:val="center"/>
            <w:hideMark/>
          </w:tcPr>
          <w:p w14:paraId="68427A83" w14:textId="77777777" w:rsidR="0075251B" w:rsidRPr="004D6462" w:rsidRDefault="0075251B" w:rsidP="00593724">
            <w:pPr>
              <w:jc w:val="center"/>
              <w:rPr>
                <w:bCs/>
                <w:sz w:val="15"/>
                <w:szCs w:val="15"/>
              </w:rPr>
            </w:pPr>
          </w:p>
        </w:tc>
        <w:tc>
          <w:tcPr>
            <w:tcW w:w="868" w:type="dxa"/>
            <w:tcBorders>
              <w:bottom w:val="single" w:sz="4" w:space="0" w:color="auto"/>
            </w:tcBorders>
            <w:shd w:val="clear" w:color="auto" w:fill="E2EFD9" w:themeFill="accent6" w:themeFillTint="33"/>
            <w:vAlign w:val="center"/>
            <w:hideMark/>
          </w:tcPr>
          <w:p w14:paraId="5962E2B5" w14:textId="77777777" w:rsidR="0075251B" w:rsidRPr="004D6462" w:rsidRDefault="0075251B" w:rsidP="0075251B">
            <w:pPr>
              <w:jc w:val="center"/>
              <w:rPr>
                <w:bCs/>
                <w:sz w:val="15"/>
                <w:szCs w:val="15"/>
              </w:rPr>
            </w:pPr>
            <w:r w:rsidRPr="004D6462">
              <w:rPr>
                <w:bCs/>
                <w:sz w:val="15"/>
                <w:szCs w:val="15"/>
              </w:rPr>
              <w:t>Number</w:t>
            </w:r>
          </w:p>
        </w:tc>
        <w:tc>
          <w:tcPr>
            <w:tcW w:w="712" w:type="dxa"/>
            <w:tcBorders>
              <w:bottom w:val="single" w:sz="4" w:space="0" w:color="auto"/>
              <w:right w:val="single" w:sz="4" w:space="0" w:color="auto"/>
            </w:tcBorders>
            <w:shd w:val="clear" w:color="auto" w:fill="E2EFD9" w:themeFill="accent6" w:themeFillTint="33"/>
            <w:vAlign w:val="center"/>
            <w:hideMark/>
          </w:tcPr>
          <w:p w14:paraId="41A021E8" w14:textId="77777777" w:rsidR="0075251B" w:rsidRPr="004D6462" w:rsidRDefault="0075251B" w:rsidP="0075251B">
            <w:pPr>
              <w:jc w:val="center"/>
              <w:rPr>
                <w:bCs/>
                <w:sz w:val="15"/>
                <w:szCs w:val="15"/>
              </w:rPr>
            </w:pPr>
            <w:r w:rsidRPr="004D6462">
              <w:rPr>
                <w:bCs/>
                <w:sz w:val="15"/>
                <w:szCs w:val="15"/>
              </w:rPr>
              <w:t>Percent</w:t>
            </w:r>
          </w:p>
        </w:tc>
        <w:tc>
          <w:tcPr>
            <w:tcW w:w="829" w:type="dxa"/>
            <w:vMerge/>
            <w:tcBorders>
              <w:left w:val="single" w:sz="4" w:space="0" w:color="auto"/>
              <w:bottom w:val="single" w:sz="4" w:space="0" w:color="auto"/>
            </w:tcBorders>
            <w:shd w:val="clear" w:color="auto" w:fill="E2EFD9" w:themeFill="accent6" w:themeFillTint="33"/>
            <w:vAlign w:val="center"/>
            <w:hideMark/>
          </w:tcPr>
          <w:p w14:paraId="37418731" w14:textId="77777777" w:rsidR="0075251B" w:rsidRPr="004D6462" w:rsidRDefault="0075251B" w:rsidP="0075251B">
            <w:pPr>
              <w:jc w:val="center"/>
              <w:rPr>
                <w:bCs/>
                <w:sz w:val="15"/>
                <w:szCs w:val="15"/>
              </w:rPr>
            </w:pPr>
          </w:p>
        </w:tc>
        <w:tc>
          <w:tcPr>
            <w:tcW w:w="772" w:type="dxa"/>
            <w:tcBorders>
              <w:bottom w:val="single" w:sz="4" w:space="0" w:color="auto"/>
            </w:tcBorders>
            <w:shd w:val="clear" w:color="auto" w:fill="E2EFD9" w:themeFill="accent6" w:themeFillTint="33"/>
            <w:vAlign w:val="center"/>
            <w:hideMark/>
          </w:tcPr>
          <w:p w14:paraId="67EC2855" w14:textId="77777777" w:rsidR="0075251B" w:rsidRPr="004D6462" w:rsidRDefault="0075251B" w:rsidP="0075251B">
            <w:pPr>
              <w:jc w:val="center"/>
              <w:rPr>
                <w:bCs/>
                <w:sz w:val="15"/>
                <w:szCs w:val="15"/>
              </w:rPr>
            </w:pPr>
            <w:r w:rsidRPr="004D6462">
              <w:rPr>
                <w:bCs/>
                <w:sz w:val="15"/>
                <w:szCs w:val="15"/>
              </w:rPr>
              <w:t>Number</w:t>
            </w:r>
          </w:p>
        </w:tc>
        <w:tc>
          <w:tcPr>
            <w:tcW w:w="709" w:type="dxa"/>
            <w:tcBorders>
              <w:bottom w:val="single" w:sz="4" w:space="0" w:color="auto"/>
              <w:right w:val="single" w:sz="4" w:space="0" w:color="auto"/>
            </w:tcBorders>
            <w:shd w:val="clear" w:color="auto" w:fill="E2EFD9" w:themeFill="accent6" w:themeFillTint="33"/>
            <w:vAlign w:val="center"/>
            <w:hideMark/>
          </w:tcPr>
          <w:p w14:paraId="69D4344C" w14:textId="77777777" w:rsidR="0075251B" w:rsidRPr="004D6462" w:rsidRDefault="0075251B" w:rsidP="0075251B">
            <w:pPr>
              <w:jc w:val="center"/>
              <w:rPr>
                <w:bCs/>
                <w:sz w:val="15"/>
                <w:szCs w:val="15"/>
              </w:rPr>
            </w:pPr>
            <w:r w:rsidRPr="004D6462">
              <w:rPr>
                <w:bCs/>
                <w:sz w:val="15"/>
                <w:szCs w:val="15"/>
              </w:rPr>
              <w:t>Percent</w:t>
            </w:r>
          </w:p>
        </w:tc>
        <w:tc>
          <w:tcPr>
            <w:tcW w:w="992" w:type="dxa"/>
            <w:vMerge/>
            <w:tcBorders>
              <w:left w:val="single" w:sz="4" w:space="0" w:color="auto"/>
              <w:bottom w:val="single" w:sz="4" w:space="0" w:color="auto"/>
            </w:tcBorders>
            <w:shd w:val="clear" w:color="auto" w:fill="E2EFD9" w:themeFill="accent6" w:themeFillTint="33"/>
            <w:vAlign w:val="center"/>
            <w:hideMark/>
          </w:tcPr>
          <w:p w14:paraId="0CE72546" w14:textId="2921CDE9" w:rsidR="0075251B" w:rsidRPr="004D6462" w:rsidRDefault="0075251B" w:rsidP="0075251B">
            <w:pPr>
              <w:jc w:val="center"/>
              <w:rPr>
                <w:bCs/>
                <w:sz w:val="15"/>
                <w:szCs w:val="15"/>
              </w:rPr>
            </w:pPr>
          </w:p>
        </w:tc>
        <w:tc>
          <w:tcPr>
            <w:tcW w:w="851" w:type="dxa"/>
            <w:tcBorders>
              <w:bottom w:val="single" w:sz="4" w:space="0" w:color="auto"/>
            </w:tcBorders>
            <w:shd w:val="clear" w:color="auto" w:fill="E2EFD9" w:themeFill="accent6" w:themeFillTint="33"/>
            <w:vAlign w:val="center"/>
            <w:hideMark/>
          </w:tcPr>
          <w:p w14:paraId="1A8DA3DB" w14:textId="77777777" w:rsidR="0075251B" w:rsidRPr="004D6462" w:rsidRDefault="0075251B" w:rsidP="0075251B">
            <w:pPr>
              <w:jc w:val="center"/>
              <w:rPr>
                <w:bCs/>
                <w:sz w:val="15"/>
                <w:szCs w:val="15"/>
              </w:rPr>
            </w:pPr>
            <w:r w:rsidRPr="004D6462">
              <w:rPr>
                <w:bCs/>
                <w:sz w:val="15"/>
                <w:szCs w:val="15"/>
              </w:rPr>
              <w:t>Number</w:t>
            </w:r>
          </w:p>
        </w:tc>
        <w:tc>
          <w:tcPr>
            <w:tcW w:w="708" w:type="dxa"/>
            <w:tcBorders>
              <w:bottom w:val="single" w:sz="4" w:space="0" w:color="auto"/>
            </w:tcBorders>
            <w:shd w:val="clear" w:color="auto" w:fill="E2EFD9" w:themeFill="accent6" w:themeFillTint="33"/>
            <w:vAlign w:val="center"/>
            <w:hideMark/>
          </w:tcPr>
          <w:p w14:paraId="46D3CF97" w14:textId="77777777" w:rsidR="0075251B" w:rsidRPr="004D6462" w:rsidRDefault="0075251B" w:rsidP="0075251B">
            <w:pPr>
              <w:jc w:val="center"/>
              <w:rPr>
                <w:bCs/>
                <w:sz w:val="15"/>
                <w:szCs w:val="15"/>
              </w:rPr>
            </w:pPr>
            <w:r w:rsidRPr="004D6462">
              <w:rPr>
                <w:bCs/>
                <w:sz w:val="15"/>
                <w:szCs w:val="15"/>
              </w:rPr>
              <w:t>Percent</w:t>
            </w:r>
          </w:p>
        </w:tc>
      </w:tr>
      <w:tr w:rsidR="006B42D6" w:rsidRPr="006B42D6" w14:paraId="1B0C5945" w14:textId="77777777" w:rsidTr="0075251B">
        <w:trPr>
          <w:trHeight w:val="340"/>
          <w:jc w:val="center"/>
        </w:trPr>
        <w:tc>
          <w:tcPr>
            <w:tcW w:w="1614" w:type="dxa"/>
            <w:tcBorders>
              <w:top w:val="single" w:sz="4" w:space="0" w:color="auto"/>
              <w:right w:val="single" w:sz="4" w:space="0" w:color="auto"/>
            </w:tcBorders>
            <w:shd w:val="clear" w:color="auto" w:fill="auto"/>
            <w:noWrap/>
            <w:hideMark/>
          </w:tcPr>
          <w:p w14:paraId="2966CA68" w14:textId="77777777" w:rsidR="00593724" w:rsidRPr="006B42D6" w:rsidRDefault="00593724" w:rsidP="00593724">
            <w:pPr>
              <w:rPr>
                <w:sz w:val="15"/>
                <w:szCs w:val="15"/>
              </w:rPr>
            </w:pPr>
            <w:r w:rsidRPr="006B42D6">
              <w:rPr>
                <w:sz w:val="15"/>
                <w:szCs w:val="15"/>
              </w:rPr>
              <w:t>Short Rainy Season</w:t>
            </w:r>
          </w:p>
        </w:tc>
        <w:tc>
          <w:tcPr>
            <w:tcW w:w="938" w:type="dxa"/>
            <w:tcBorders>
              <w:top w:val="single" w:sz="4" w:space="0" w:color="auto"/>
              <w:left w:val="single" w:sz="4" w:space="0" w:color="auto"/>
            </w:tcBorders>
            <w:shd w:val="clear" w:color="auto" w:fill="auto"/>
            <w:hideMark/>
          </w:tcPr>
          <w:p w14:paraId="676FB4B2" w14:textId="77777777" w:rsidR="00593724" w:rsidRPr="006B42D6" w:rsidRDefault="00593724" w:rsidP="00593724">
            <w:pPr>
              <w:jc w:val="right"/>
              <w:rPr>
                <w:sz w:val="15"/>
                <w:szCs w:val="15"/>
              </w:rPr>
            </w:pPr>
            <w:r w:rsidRPr="006B42D6">
              <w:rPr>
                <w:sz w:val="15"/>
                <w:szCs w:val="15"/>
              </w:rPr>
              <w:t>3,269,062</w:t>
            </w:r>
          </w:p>
        </w:tc>
        <w:tc>
          <w:tcPr>
            <w:tcW w:w="868" w:type="dxa"/>
            <w:tcBorders>
              <w:top w:val="single" w:sz="4" w:space="0" w:color="auto"/>
            </w:tcBorders>
            <w:shd w:val="clear" w:color="auto" w:fill="auto"/>
            <w:hideMark/>
          </w:tcPr>
          <w:p w14:paraId="4374045A" w14:textId="06A48FA8" w:rsidR="00593724" w:rsidRPr="006B42D6" w:rsidRDefault="00593724" w:rsidP="00593724">
            <w:pPr>
              <w:jc w:val="right"/>
              <w:rPr>
                <w:sz w:val="15"/>
                <w:szCs w:val="15"/>
              </w:rPr>
            </w:pPr>
            <w:r w:rsidRPr="006B42D6">
              <w:rPr>
                <w:sz w:val="15"/>
                <w:szCs w:val="15"/>
              </w:rPr>
              <w:t>135,716</w:t>
            </w:r>
          </w:p>
        </w:tc>
        <w:tc>
          <w:tcPr>
            <w:tcW w:w="712" w:type="dxa"/>
            <w:tcBorders>
              <w:top w:val="single" w:sz="4" w:space="0" w:color="auto"/>
              <w:right w:val="single" w:sz="4" w:space="0" w:color="auto"/>
            </w:tcBorders>
            <w:shd w:val="clear" w:color="auto" w:fill="auto"/>
            <w:noWrap/>
            <w:hideMark/>
          </w:tcPr>
          <w:p w14:paraId="54D7DBEB" w14:textId="77777777" w:rsidR="00593724" w:rsidRPr="006B42D6" w:rsidRDefault="00593724" w:rsidP="00593724">
            <w:pPr>
              <w:jc w:val="right"/>
              <w:rPr>
                <w:bCs/>
                <w:sz w:val="15"/>
                <w:szCs w:val="15"/>
              </w:rPr>
            </w:pPr>
            <w:r w:rsidRPr="006B42D6">
              <w:rPr>
                <w:bCs/>
                <w:sz w:val="15"/>
                <w:szCs w:val="15"/>
              </w:rPr>
              <w:t>4.2</w:t>
            </w:r>
          </w:p>
        </w:tc>
        <w:tc>
          <w:tcPr>
            <w:tcW w:w="829" w:type="dxa"/>
            <w:tcBorders>
              <w:top w:val="single" w:sz="4" w:space="0" w:color="auto"/>
              <w:left w:val="single" w:sz="4" w:space="0" w:color="auto"/>
            </w:tcBorders>
            <w:shd w:val="clear" w:color="auto" w:fill="auto"/>
            <w:hideMark/>
          </w:tcPr>
          <w:p w14:paraId="781C9D6F" w14:textId="79C8119F" w:rsidR="00593724" w:rsidRPr="006B42D6" w:rsidRDefault="00593724" w:rsidP="00593724">
            <w:pPr>
              <w:jc w:val="right"/>
              <w:rPr>
                <w:sz w:val="15"/>
                <w:szCs w:val="15"/>
              </w:rPr>
            </w:pPr>
            <w:r w:rsidRPr="006B42D6">
              <w:rPr>
                <w:sz w:val="15"/>
                <w:szCs w:val="15"/>
              </w:rPr>
              <w:t>66,658</w:t>
            </w:r>
          </w:p>
        </w:tc>
        <w:tc>
          <w:tcPr>
            <w:tcW w:w="772" w:type="dxa"/>
            <w:tcBorders>
              <w:top w:val="single" w:sz="4" w:space="0" w:color="auto"/>
            </w:tcBorders>
            <w:shd w:val="clear" w:color="auto" w:fill="auto"/>
            <w:hideMark/>
          </w:tcPr>
          <w:p w14:paraId="7CD0AE12" w14:textId="70085B2A" w:rsidR="00593724" w:rsidRPr="006B42D6" w:rsidRDefault="00593724" w:rsidP="00593724">
            <w:pPr>
              <w:jc w:val="right"/>
              <w:rPr>
                <w:sz w:val="15"/>
                <w:szCs w:val="15"/>
              </w:rPr>
            </w:pPr>
            <w:r w:rsidRPr="006B42D6">
              <w:rPr>
                <w:sz w:val="15"/>
                <w:szCs w:val="15"/>
              </w:rPr>
              <w:t>9,068</w:t>
            </w:r>
          </w:p>
        </w:tc>
        <w:tc>
          <w:tcPr>
            <w:tcW w:w="709" w:type="dxa"/>
            <w:tcBorders>
              <w:top w:val="single" w:sz="4" w:space="0" w:color="auto"/>
              <w:right w:val="single" w:sz="4" w:space="0" w:color="auto"/>
            </w:tcBorders>
            <w:shd w:val="clear" w:color="auto" w:fill="auto"/>
            <w:noWrap/>
            <w:hideMark/>
          </w:tcPr>
          <w:p w14:paraId="6CB2E764" w14:textId="77777777" w:rsidR="00593724" w:rsidRPr="006B42D6" w:rsidRDefault="00593724" w:rsidP="00593724">
            <w:pPr>
              <w:jc w:val="right"/>
              <w:rPr>
                <w:bCs/>
                <w:sz w:val="15"/>
                <w:szCs w:val="15"/>
              </w:rPr>
            </w:pPr>
            <w:r w:rsidRPr="006B42D6">
              <w:rPr>
                <w:bCs/>
                <w:sz w:val="15"/>
                <w:szCs w:val="15"/>
              </w:rPr>
              <w:t>13.6</w:t>
            </w:r>
          </w:p>
        </w:tc>
        <w:tc>
          <w:tcPr>
            <w:tcW w:w="992" w:type="dxa"/>
            <w:tcBorders>
              <w:top w:val="single" w:sz="4" w:space="0" w:color="auto"/>
              <w:left w:val="single" w:sz="4" w:space="0" w:color="auto"/>
            </w:tcBorders>
            <w:shd w:val="clear" w:color="auto" w:fill="auto"/>
            <w:noWrap/>
            <w:hideMark/>
          </w:tcPr>
          <w:p w14:paraId="2663D51A" w14:textId="6AD196A7" w:rsidR="00593724" w:rsidRPr="006B42D6" w:rsidRDefault="00593724" w:rsidP="00593724">
            <w:pPr>
              <w:jc w:val="right"/>
              <w:rPr>
                <w:bCs/>
                <w:sz w:val="15"/>
                <w:szCs w:val="15"/>
              </w:rPr>
            </w:pPr>
            <w:r w:rsidRPr="006B42D6">
              <w:rPr>
                <w:bCs/>
                <w:sz w:val="15"/>
                <w:szCs w:val="15"/>
              </w:rPr>
              <w:t>3,335,720</w:t>
            </w:r>
          </w:p>
        </w:tc>
        <w:tc>
          <w:tcPr>
            <w:tcW w:w="851" w:type="dxa"/>
            <w:tcBorders>
              <w:top w:val="single" w:sz="4" w:space="0" w:color="auto"/>
            </w:tcBorders>
            <w:shd w:val="clear" w:color="auto" w:fill="auto"/>
            <w:noWrap/>
            <w:hideMark/>
          </w:tcPr>
          <w:p w14:paraId="5EF2FDF7" w14:textId="44DB8F29" w:rsidR="00593724" w:rsidRPr="006B42D6" w:rsidRDefault="00593724" w:rsidP="00593724">
            <w:pPr>
              <w:jc w:val="right"/>
              <w:rPr>
                <w:sz w:val="15"/>
                <w:szCs w:val="15"/>
              </w:rPr>
            </w:pPr>
            <w:r w:rsidRPr="006B42D6">
              <w:rPr>
                <w:sz w:val="15"/>
                <w:szCs w:val="15"/>
              </w:rPr>
              <w:t>144,783</w:t>
            </w:r>
          </w:p>
        </w:tc>
        <w:tc>
          <w:tcPr>
            <w:tcW w:w="708" w:type="dxa"/>
            <w:tcBorders>
              <w:top w:val="single" w:sz="4" w:space="0" w:color="auto"/>
            </w:tcBorders>
            <w:shd w:val="clear" w:color="auto" w:fill="auto"/>
            <w:noWrap/>
            <w:hideMark/>
          </w:tcPr>
          <w:p w14:paraId="2B05DD6D" w14:textId="77777777" w:rsidR="00593724" w:rsidRPr="006B42D6" w:rsidRDefault="00593724" w:rsidP="00593724">
            <w:pPr>
              <w:jc w:val="right"/>
              <w:rPr>
                <w:sz w:val="15"/>
                <w:szCs w:val="15"/>
              </w:rPr>
            </w:pPr>
            <w:r w:rsidRPr="006B42D6">
              <w:rPr>
                <w:sz w:val="15"/>
                <w:szCs w:val="15"/>
              </w:rPr>
              <w:t>4.3</w:t>
            </w:r>
          </w:p>
        </w:tc>
      </w:tr>
      <w:tr w:rsidR="006B42D6" w:rsidRPr="006B42D6" w14:paraId="038567A2" w14:textId="77777777" w:rsidTr="000E00D3">
        <w:trPr>
          <w:trHeight w:val="340"/>
          <w:jc w:val="center"/>
        </w:trPr>
        <w:tc>
          <w:tcPr>
            <w:tcW w:w="1614" w:type="dxa"/>
            <w:tcBorders>
              <w:right w:val="single" w:sz="4" w:space="0" w:color="auto"/>
            </w:tcBorders>
            <w:shd w:val="clear" w:color="auto" w:fill="auto"/>
            <w:noWrap/>
            <w:hideMark/>
          </w:tcPr>
          <w:p w14:paraId="43C96829" w14:textId="77777777" w:rsidR="00593724" w:rsidRPr="006B42D6" w:rsidRDefault="00593724" w:rsidP="00593724">
            <w:pPr>
              <w:rPr>
                <w:sz w:val="15"/>
                <w:szCs w:val="15"/>
              </w:rPr>
            </w:pPr>
            <w:r w:rsidRPr="006B42D6">
              <w:rPr>
                <w:sz w:val="15"/>
                <w:szCs w:val="15"/>
              </w:rPr>
              <w:t>Long Rainy Season</w:t>
            </w:r>
          </w:p>
        </w:tc>
        <w:tc>
          <w:tcPr>
            <w:tcW w:w="938" w:type="dxa"/>
            <w:tcBorders>
              <w:left w:val="single" w:sz="4" w:space="0" w:color="auto"/>
            </w:tcBorders>
            <w:shd w:val="clear" w:color="auto" w:fill="auto"/>
            <w:hideMark/>
          </w:tcPr>
          <w:p w14:paraId="20ADBA4C" w14:textId="77777777" w:rsidR="00593724" w:rsidRPr="006B42D6" w:rsidRDefault="00593724" w:rsidP="00593724">
            <w:pPr>
              <w:jc w:val="right"/>
              <w:rPr>
                <w:sz w:val="15"/>
                <w:szCs w:val="15"/>
              </w:rPr>
            </w:pPr>
            <w:r w:rsidRPr="006B42D6">
              <w:rPr>
                <w:sz w:val="15"/>
                <w:szCs w:val="15"/>
              </w:rPr>
              <w:t>8,370,002</w:t>
            </w:r>
          </w:p>
        </w:tc>
        <w:tc>
          <w:tcPr>
            <w:tcW w:w="868" w:type="dxa"/>
            <w:shd w:val="clear" w:color="auto" w:fill="auto"/>
            <w:hideMark/>
          </w:tcPr>
          <w:p w14:paraId="43D0C170" w14:textId="7BDBC00D" w:rsidR="00593724" w:rsidRPr="006B42D6" w:rsidRDefault="00593724" w:rsidP="00593724">
            <w:pPr>
              <w:jc w:val="right"/>
              <w:rPr>
                <w:sz w:val="15"/>
                <w:szCs w:val="15"/>
              </w:rPr>
            </w:pPr>
            <w:r w:rsidRPr="006B42D6">
              <w:rPr>
                <w:sz w:val="15"/>
                <w:szCs w:val="15"/>
              </w:rPr>
              <w:t>137,183</w:t>
            </w:r>
          </w:p>
        </w:tc>
        <w:tc>
          <w:tcPr>
            <w:tcW w:w="712" w:type="dxa"/>
            <w:tcBorders>
              <w:right w:val="single" w:sz="4" w:space="0" w:color="auto"/>
            </w:tcBorders>
            <w:shd w:val="clear" w:color="auto" w:fill="auto"/>
            <w:noWrap/>
            <w:hideMark/>
          </w:tcPr>
          <w:p w14:paraId="3A99B8A2" w14:textId="77777777" w:rsidR="00593724" w:rsidRPr="006B42D6" w:rsidRDefault="00593724" w:rsidP="00593724">
            <w:pPr>
              <w:jc w:val="right"/>
              <w:rPr>
                <w:bCs/>
                <w:sz w:val="15"/>
                <w:szCs w:val="15"/>
              </w:rPr>
            </w:pPr>
            <w:r w:rsidRPr="006B42D6">
              <w:rPr>
                <w:bCs/>
                <w:sz w:val="15"/>
                <w:szCs w:val="15"/>
              </w:rPr>
              <w:t>1.6</w:t>
            </w:r>
          </w:p>
        </w:tc>
        <w:tc>
          <w:tcPr>
            <w:tcW w:w="829" w:type="dxa"/>
            <w:tcBorders>
              <w:left w:val="single" w:sz="4" w:space="0" w:color="auto"/>
            </w:tcBorders>
            <w:shd w:val="clear" w:color="auto" w:fill="auto"/>
            <w:hideMark/>
          </w:tcPr>
          <w:p w14:paraId="364CFB9D" w14:textId="5468D98B" w:rsidR="00593724" w:rsidRPr="006B42D6" w:rsidRDefault="00593724" w:rsidP="00593724">
            <w:pPr>
              <w:jc w:val="right"/>
              <w:rPr>
                <w:sz w:val="15"/>
                <w:szCs w:val="15"/>
              </w:rPr>
            </w:pPr>
            <w:r w:rsidRPr="006B42D6">
              <w:rPr>
                <w:sz w:val="15"/>
                <w:szCs w:val="15"/>
              </w:rPr>
              <w:t>59,355</w:t>
            </w:r>
          </w:p>
        </w:tc>
        <w:tc>
          <w:tcPr>
            <w:tcW w:w="772" w:type="dxa"/>
            <w:shd w:val="clear" w:color="auto" w:fill="auto"/>
            <w:hideMark/>
          </w:tcPr>
          <w:p w14:paraId="425D8AEE" w14:textId="77777777" w:rsidR="00593724" w:rsidRPr="006B42D6" w:rsidRDefault="00593724" w:rsidP="00593724">
            <w:pPr>
              <w:jc w:val="right"/>
              <w:rPr>
                <w:sz w:val="15"/>
                <w:szCs w:val="15"/>
              </w:rPr>
            </w:pPr>
            <w:r w:rsidRPr="006B42D6">
              <w:rPr>
                <w:sz w:val="15"/>
                <w:szCs w:val="15"/>
              </w:rPr>
              <w:t>7,421</w:t>
            </w:r>
          </w:p>
        </w:tc>
        <w:tc>
          <w:tcPr>
            <w:tcW w:w="709" w:type="dxa"/>
            <w:tcBorders>
              <w:right w:val="single" w:sz="4" w:space="0" w:color="auto"/>
            </w:tcBorders>
            <w:shd w:val="clear" w:color="auto" w:fill="auto"/>
            <w:noWrap/>
            <w:hideMark/>
          </w:tcPr>
          <w:p w14:paraId="19A79E96" w14:textId="77777777" w:rsidR="00593724" w:rsidRPr="006B42D6" w:rsidRDefault="00593724" w:rsidP="00593724">
            <w:pPr>
              <w:jc w:val="right"/>
              <w:rPr>
                <w:bCs/>
                <w:sz w:val="15"/>
                <w:szCs w:val="15"/>
              </w:rPr>
            </w:pPr>
            <w:r w:rsidRPr="006B42D6">
              <w:rPr>
                <w:bCs/>
                <w:sz w:val="15"/>
                <w:szCs w:val="15"/>
              </w:rPr>
              <w:t>12.5</w:t>
            </w:r>
          </w:p>
        </w:tc>
        <w:tc>
          <w:tcPr>
            <w:tcW w:w="992" w:type="dxa"/>
            <w:tcBorders>
              <w:left w:val="single" w:sz="4" w:space="0" w:color="auto"/>
            </w:tcBorders>
            <w:shd w:val="clear" w:color="auto" w:fill="auto"/>
            <w:noWrap/>
            <w:hideMark/>
          </w:tcPr>
          <w:p w14:paraId="4E7B96F7" w14:textId="77777777" w:rsidR="00593724" w:rsidRPr="006B42D6" w:rsidRDefault="00593724" w:rsidP="00593724">
            <w:pPr>
              <w:jc w:val="right"/>
              <w:rPr>
                <w:bCs/>
                <w:sz w:val="15"/>
                <w:szCs w:val="15"/>
              </w:rPr>
            </w:pPr>
            <w:r w:rsidRPr="006B42D6">
              <w:rPr>
                <w:bCs/>
                <w:sz w:val="15"/>
                <w:szCs w:val="15"/>
              </w:rPr>
              <w:t>8,429,358</w:t>
            </w:r>
          </w:p>
        </w:tc>
        <w:tc>
          <w:tcPr>
            <w:tcW w:w="851" w:type="dxa"/>
            <w:shd w:val="clear" w:color="auto" w:fill="auto"/>
            <w:noWrap/>
            <w:hideMark/>
          </w:tcPr>
          <w:p w14:paraId="765B5D97" w14:textId="1E4BF8DE" w:rsidR="00593724" w:rsidRPr="006B42D6" w:rsidRDefault="00593724" w:rsidP="00593724">
            <w:pPr>
              <w:jc w:val="right"/>
              <w:rPr>
                <w:sz w:val="15"/>
                <w:szCs w:val="15"/>
              </w:rPr>
            </w:pPr>
            <w:r w:rsidRPr="006B42D6">
              <w:rPr>
                <w:sz w:val="15"/>
                <w:szCs w:val="15"/>
              </w:rPr>
              <w:t>144,603</w:t>
            </w:r>
          </w:p>
        </w:tc>
        <w:tc>
          <w:tcPr>
            <w:tcW w:w="708" w:type="dxa"/>
            <w:shd w:val="clear" w:color="auto" w:fill="auto"/>
            <w:noWrap/>
            <w:hideMark/>
          </w:tcPr>
          <w:p w14:paraId="2A225E39" w14:textId="77777777" w:rsidR="00593724" w:rsidRPr="006B42D6" w:rsidRDefault="00593724" w:rsidP="00593724">
            <w:pPr>
              <w:jc w:val="right"/>
              <w:rPr>
                <w:sz w:val="15"/>
                <w:szCs w:val="15"/>
              </w:rPr>
            </w:pPr>
            <w:r w:rsidRPr="006B42D6">
              <w:rPr>
                <w:sz w:val="15"/>
                <w:szCs w:val="15"/>
              </w:rPr>
              <w:t>1.7</w:t>
            </w:r>
          </w:p>
        </w:tc>
      </w:tr>
      <w:tr w:rsidR="00593724" w:rsidRPr="006B42D6" w14:paraId="1F81B7E5" w14:textId="77777777" w:rsidTr="000E00D3">
        <w:trPr>
          <w:trHeight w:val="340"/>
          <w:jc w:val="center"/>
        </w:trPr>
        <w:tc>
          <w:tcPr>
            <w:tcW w:w="1614" w:type="dxa"/>
            <w:tcBorders>
              <w:bottom w:val="single" w:sz="4" w:space="0" w:color="auto"/>
              <w:right w:val="single" w:sz="4" w:space="0" w:color="auto"/>
            </w:tcBorders>
            <w:shd w:val="clear" w:color="auto" w:fill="auto"/>
            <w:noWrap/>
            <w:hideMark/>
          </w:tcPr>
          <w:p w14:paraId="2FE56ACC" w14:textId="77777777" w:rsidR="00593724" w:rsidRPr="006B42D6" w:rsidRDefault="00593724" w:rsidP="00593724">
            <w:pPr>
              <w:rPr>
                <w:sz w:val="15"/>
                <w:szCs w:val="15"/>
              </w:rPr>
            </w:pPr>
            <w:r w:rsidRPr="006B42D6">
              <w:rPr>
                <w:sz w:val="15"/>
                <w:szCs w:val="15"/>
              </w:rPr>
              <w:t>Short and Long Rainy Season</w:t>
            </w:r>
          </w:p>
        </w:tc>
        <w:tc>
          <w:tcPr>
            <w:tcW w:w="938" w:type="dxa"/>
            <w:tcBorders>
              <w:left w:val="single" w:sz="4" w:space="0" w:color="auto"/>
              <w:bottom w:val="single" w:sz="4" w:space="0" w:color="auto"/>
            </w:tcBorders>
            <w:shd w:val="clear" w:color="auto" w:fill="auto"/>
            <w:vAlign w:val="center"/>
            <w:hideMark/>
          </w:tcPr>
          <w:p w14:paraId="0F3EEFC0" w14:textId="77777777" w:rsidR="00593724" w:rsidRPr="006B42D6" w:rsidRDefault="00593724" w:rsidP="0075251B">
            <w:pPr>
              <w:jc w:val="right"/>
              <w:rPr>
                <w:sz w:val="15"/>
                <w:szCs w:val="15"/>
              </w:rPr>
            </w:pPr>
            <w:r w:rsidRPr="006B42D6">
              <w:rPr>
                <w:sz w:val="15"/>
                <w:szCs w:val="15"/>
              </w:rPr>
              <w:t>11,639,064</w:t>
            </w:r>
          </w:p>
        </w:tc>
        <w:tc>
          <w:tcPr>
            <w:tcW w:w="868" w:type="dxa"/>
            <w:tcBorders>
              <w:bottom w:val="single" w:sz="4" w:space="0" w:color="auto"/>
            </w:tcBorders>
            <w:shd w:val="clear" w:color="auto" w:fill="auto"/>
            <w:vAlign w:val="center"/>
            <w:hideMark/>
          </w:tcPr>
          <w:p w14:paraId="7C8051D8" w14:textId="64527A27" w:rsidR="00593724" w:rsidRPr="006B42D6" w:rsidRDefault="00593724" w:rsidP="0075251B">
            <w:pPr>
              <w:jc w:val="right"/>
              <w:rPr>
                <w:sz w:val="15"/>
                <w:szCs w:val="15"/>
              </w:rPr>
            </w:pPr>
            <w:r w:rsidRPr="006B42D6">
              <w:rPr>
                <w:sz w:val="15"/>
                <w:szCs w:val="15"/>
              </w:rPr>
              <w:t>272,899</w:t>
            </w:r>
          </w:p>
        </w:tc>
        <w:tc>
          <w:tcPr>
            <w:tcW w:w="712" w:type="dxa"/>
            <w:tcBorders>
              <w:bottom w:val="single" w:sz="4" w:space="0" w:color="auto"/>
              <w:right w:val="single" w:sz="4" w:space="0" w:color="auto"/>
            </w:tcBorders>
            <w:shd w:val="clear" w:color="auto" w:fill="auto"/>
            <w:noWrap/>
            <w:vAlign w:val="center"/>
            <w:hideMark/>
          </w:tcPr>
          <w:p w14:paraId="61D0B50A" w14:textId="77777777" w:rsidR="00593724" w:rsidRPr="006B42D6" w:rsidRDefault="00593724" w:rsidP="0075251B">
            <w:pPr>
              <w:jc w:val="right"/>
              <w:rPr>
                <w:bCs/>
                <w:sz w:val="15"/>
                <w:szCs w:val="15"/>
              </w:rPr>
            </w:pPr>
            <w:r w:rsidRPr="006B42D6">
              <w:rPr>
                <w:bCs/>
                <w:sz w:val="15"/>
                <w:szCs w:val="15"/>
              </w:rPr>
              <w:t>2.3</w:t>
            </w:r>
          </w:p>
        </w:tc>
        <w:tc>
          <w:tcPr>
            <w:tcW w:w="829" w:type="dxa"/>
            <w:tcBorders>
              <w:left w:val="single" w:sz="4" w:space="0" w:color="auto"/>
              <w:bottom w:val="single" w:sz="4" w:space="0" w:color="auto"/>
            </w:tcBorders>
            <w:shd w:val="clear" w:color="auto" w:fill="auto"/>
            <w:vAlign w:val="center"/>
            <w:hideMark/>
          </w:tcPr>
          <w:p w14:paraId="1EBE3E4A" w14:textId="0BF368F1" w:rsidR="00593724" w:rsidRPr="006B42D6" w:rsidRDefault="00593724" w:rsidP="0075251B">
            <w:pPr>
              <w:jc w:val="right"/>
              <w:rPr>
                <w:sz w:val="15"/>
                <w:szCs w:val="15"/>
              </w:rPr>
            </w:pPr>
            <w:r w:rsidRPr="006B42D6">
              <w:rPr>
                <w:sz w:val="15"/>
                <w:szCs w:val="15"/>
              </w:rPr>
              <w:t>126,013</w:t>
            </w:r>
          </w:p>
        </w:tc>
        <w:tc>
          <w:tcPr>
            <w:tcW w:w="772" w:type="dxa"/>
            <w:tcBorders>
              <w:bottom w:val="single" w:sz="4" w:space="0" w:color="auto"/>
            </w:tcBorders>
            <w:shd w:val="clear" w:color="auto" w:fill="auto"/>
            <w:vAlign w:val="center"/>
            <w:hideMark/>
          </w:tcPr>
          <w:p w14:paraId="036867D1" w14:textId="6BAE30F1" w:rsidR="00593724" w:rsidRPr="006B42D6" w:rsidRDefault="00593724" w:rsidP="0075251B">
            <w:pPr>
              <w:jc w:val="right"/>
              <w:rPr>
                <w:sz w:val="15"/>
                <w:szCs w:val="15"/>
              </w:rPr>
            </w:pPr>
            <w:r w:rsidRPr="006B42D6">
              <w:rPr>
                <w:sz w:val="15"/>
                <w:szCs w:val="15"/>
              </w:rPr>
              <w:t>16,489</w:t>
            </w:r>
          </w:p>
        </w:tc>
        <w:tc>
          <w:tcPr>
            <w:tcW w:w="709" w:type="dxa"/>
            <w:tcBorders>
              <w:bottom w:val="single" w:sz="4" w:space="0" w:color="auto"/>
              <w:right w:val="single" w:sz="4" w:space="0" w:color="auto"/>
            </w:tcBorders>
            <w:shd w:val="clear" w:color="auto" w:fill="auto"/>
            <w:noWrap/>
            <w:vAlign w:val="center"/>
            <w:hideMark/>
          </w:tcPr>
          <w:p w14:paraId="5763629D" w14:textId="77777777" w:rsidR="00593724" w:rsidRPr="006B42D6" w:rsidRDefault="00593724" w:rsidP="0075251B">
            <w:pPr>
              <w:jc w:val="right"/>
              <w:rPr>
                <w:bCs/>
                <w:sz w:val="15"/>
                <w:szCs w:val="15"/>
              </w:rPr>
            </w:pPr>
            <w:r w:rsidRPr="006B42D6">
              <w:rPr>
                <w:bCs/>
                <w:sz w:val="15"/>
                <w:szCs w:val="15"/>
              </w:rPr>
              <w:t>13.1</w:t>
            </w:r>
          </w:p>
        </w:tc>
        <w:tc>
          <w:tcPr>
            <w:tcW w:w="992" w:type="dxa"/>
            <w:tcBorders>
              <w:left w:val="single" w:sz="4" w:space="0" w:color="auto"/>
              <w:bottom w:val="single" w:sz="4" w:space="0" w:color="auto"/>
            </w:tcBorders>
            <w:shd w:val="clear" w:color="auto" w:fill="auto"/>
            <w:noWrap/>
            <w:vAlign w:val="center"/>
            <w:hideMark/>
          </w:tcPr>
          <w:p w14:paraId="1ACB08E3" w14:textId="031114D8" w:rsidR="00593724" w:rsidRPr="006B42D6" w:rsidRDefault="00593724" w:rsidP="0075251B">
            <w:pPr>
              <w:jc w:val="right"/>
              <w:rPr>
                <w:bCs/>
                <w:sz w:val="15"/>
                <w:szCs w:val="15"/>
              </w:rPr>
            </w:pPr>
            <w:r w:rsidRPr="006B42D6">
              <w:rPr>
                <w:bCs/>
                <w:sz w:val="15"/>
                <w:szCs w:val="15"/>
              </w:rPr>
              <w:t>11,765,079</w:t>
            </w:r>
          </w:p>
        </w:tc>
        <w:tc>
          <w:tcPr>
            <w:tcW w:w="851" w:type="dxa"/>
            <w:tcBorders>
              <w:bottom w:val="single" w:sz="4" w:space="0" w:color="auto"/>
            </w:tcBorders>
            <w:shd w:val="clear" w:color="auto" w:fill="auto"/>
            <w:noWrap/>
            <w:vAlign w:val="center"/>
            <w:hideMark/>
          </w:tcPr>
          <w:p w14:paraId="7A20BCDC" w14:textId="1DCF793C" w:rsidR="00593724" w:rsidRPr="006B42D6" w:rsidRDefault="00593724" w:rsidP="0075251B">
            <w:pPr>
              <w:jc w:val="right"/>
              <w:rPr>
                <w:sz w:val="15"/>
                <w:szCs w:val="15"/>
              </w:rPr>
            </w:pPr>
            <w:r w:rsidRPr="006B42D6">
              <w:rPr>
                <w:sz w:val="15"/>
                <w:szCs w:val="15"/>
              </w:rPr>
              <w:t>289,385</w:t>
            </w:r>
          </w:p>
        </w:tc>
        <w:tc>
          <w:tcPr>
            <w:tcW w:w="708" w:type="dxa"/>
            <w:tcBorders>
              <w:bottom w:val="single" w:sz="4" w:space="0" w:color="auto"/>
            </w:tcBorders>
            <w:shd w:val="clear" w:color="auto" w:fill="auto"/>
            <w:noWrap/>
            <w:vAlign w:val="center"/>
            <w:hideMark/>
          </w:tcPr>
          <w:p w14:paraId="54FA404D" w14:textId="77777777" w:rsidR="00593724" w:rsidRPr="006B42D6" w:rsidRDefault="00593724" w:rsidP="0075251B">
            <w:pPr>
              <w:jc w:val="right"/>
              <w:rPr>
                <w:sz w:val="15"/>
                <w:szCs w:val="15"/>
              </w:rPr>
            </w:pPr>
            <w:r w:rsidRPr="006B42D6">
              <w:rPr>
                <w:sz w:val="15"/>
                <w:szCs w:val="15"/>
              </w:rPr>
              <w:t>2.5</w:t>
            </w:r>
          </w:p>
        </w:tc>
      </w:tr>
    </w:tbl>
    <w:p w14:paraId="7403E500" w14:textId="77777777" w:rsidR="0070447D" w:rsidRPr="0075251B" w:rsidRDefault="0070447D" w:rsidP="002C051F"/>
    <w:p w14:paraId="54753267" w14:textId="151823DE" w:rsidR="0070447D" w:rsidRPr="006B42D6" w:rsidRDefault="0070447D" w:rsidP="0070447D">
      <w:pPr>
        <w:pStyle w:val="Heading3"/>
      </w:pPr>
      <w:bookmarkStart w:id="288" w:name="_Toc82385699"/>
      <w:r w:rsidRPr="006B42D6">
        <w:rPr>
          <w:bCs/>
        </w:rPr>
        <w:t>3.</w:t>
      </w:r>
      <w:r w:rsidR="00193728">
        <w:rPr>
          <w:bCs/>
        </w:rPr>
        <w:t>3</w:t>
      </w:r>
      <w:r w:rsidRPr="006B42D6">
        <w:rPr>
          <w:bCs/>
        </w:rPr>
        <w:t>.2</w:t>
      </w:r>
      <w:r w:rsidRPr="006B42D6">
        <w:rPr>
          <w:bCs/>
        </w:rPr>
        <w:tab/>
      </w:r>
      <w:r w:rsidRPr="006B42D6">
        <w:t xml:space="preserve">Main </w:t>
      </w:r>
      <w:r w:rsidR="00593724" w:rsidRPr="006B42D6">
        <w:t>C</w:t>
      </w:r>
      <w:r w:rsidRPr="006B42D6">
        <w:t xml:space="preserve">rops </w:t>
      </w:r>
      <w:r w:rsidR="00593724" w:rsidRPr="006B42D6">
        <w:t>I</w:t>
      </w:r>
      <w:r w:rsidRPr="006B42D6">
        <w:t>rrigated</w:t>
      </w:r>
      <w:bookmarkEnd w:id="288"/>
    </w:p>
    <w:p w14:paraId="2FC86689" w14:textId="0D12ACFC" w:rsidR="00943DA1" w:rsidRPr="00717D76" w:rsidRDefault="0070447D" w:rsidP="0075251B">
      <w:r w:rsidRPr="006B42D6">
        <w:t xml:space="preserve">Census results show that </w:t>
      </w:r>
      <w:r w:rsidR="002C5576" w:rsidRPr="006B42D6">
        <w:t>during short rainy season, total area irrigated for annual crops was 144,783 ha and 144,603 ha during long rainy season. Among crop types, c</w:t>
      </w:r>
      <w:r w:rsidRPr="006B42D6">
        <w:t xml:space="preserve">ereals </w:t>
      </w:r>
      <w:r w:rsidR="002C5576" w:rsidRPr="006B42D6">
        <w:t xml:space="preserve">occupied large area under irrigation </w:t>
      </w:r>
      <w:r w:rsidRPr="006B42D6">
        <w:t>(48.7 percent) during short rainy season</w:t>
      </w:r>
      <w:r w:rsidR="002C5576" w:rsidRPr="006B42D6">
        <w:t>,</w:t>
      </w:r>
      <w:r w:rsidRPr="006B42D6">
        <w:t xml:space="preserve"> followed by fruits and vegetables (34.7 percent), and pulses (14.7 percent). Similar pattern was observed during long rainy season were cereals occupied large area under irrigation </w:t>
      </w:r>
      <w:r w:rsidR="002C5576" w:rsidRPr="006B42D6">
        <w:t xml:space="preserve">(49.6 percent), </w:t>
      </w:r>
      <w:r w:rsidRPr="006B42D6">
        <w:t>followed by fruits and vegetables (38.6 percent), and pulses (7.0 percent). Irrigation in oil seeds and nuts, and root</w:t>
      </w:r>
      <w:r w:rsidR="00717D76">
        <w:t>s</w:t>
      </w:r>
      <w:r w:rsidRPr="006B42D6">
        <w:t xml:space="preserve"> and tubers </w:t>
      </w:r>
      <w:r w:rsidR="00717D76" w:rsidRPr="006B42D6">
        <w:t>were</w:t>
      </w:r>
      <w:r w:rsidRPr="006B42D6">
        <w:t xml:space="preserve"> too small during both short and long rainy seasons (Figure 3.</w:t>
      </w:r>
      <w:r w:rsidR="00AE0110" w:rsidRPr="006B42D6">
        <w:t>5</w:t>
      </w:r>
      <w:r w:rsidRPr="006B42D6">
        <w:t>2).</w:t>
      </w:r>
    </w:p>
    <w:p w14:paraId="39DF0A4E" w14:textId="68C2FC8E" w:rsidR="0070447D" w:rsidRPr="006B42D6" w:rsidRDefault="0056599D" w:rsidP="00593724">
      <w:pPr>
        <w:pStyle w:val="Caption"/>
      </w:pPr>
      <w:bookmarkStart w:id="289" w:name="_Toc82386329"/>
      <w:r w:rsidRPr="006B42D6">
        <w:rPr>
          <w:noProof/>
        </w:rPr>
        <w:lastRenderedPageBreak/>
        <w:drawing>
          <wp:anchor distT="0" distB="0" distL="114300" distR="114300" simplePos="0" relativeHeight="251776000" behindDoc="1" locked="0" layoutInCell="1" allowOverlap="1" wp14:anchorId="13289E0B" wp14:editId="1AAC1412">
            <wp:simplePos x="0" y="0"/>
            <wp:positionH relativeFrom="column">
              <wp:posOffset>0</wp:posOffset>
            </wp:positionH>
            <wp:positionV relativeFrom="paragraph">
              <wp:posOffset>423545</wp:posOffset>
            </wp:positionV>
            <wp:extent cx="5661025" cy="2199640"/>
            <wp:effectExtent l="0" t="0" r="15875" b="10160"/>
            <wp:wrapTight wrapText="bothSides">
              <wp:wrapPolygon edited="0">
                <wp:start x="0" y="0"/>
                <wp:lineTo x="0" y="21575"/>
                <wp:lineTo x="21612" y="21575"/>
                <wp:lineTo x="21612" y="0"/>
                <wp:lineTo x="0" y="0"/>
              </wp:wrapPolygon>
            </wp:wrapTight>
            <wp:docPr id="106" name="Chart 6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4"/>
              </a:graphicData>
            </a:graphic>
            <wp14:sizeRelV relativeFrom="margin">
              <wp14:pctHeight>0</wp14:pctHeight>
            </wp14:sizeRelV>
          </wp:anchor>
        </w:drawing>
      </w:r>
      <w:r w:rsidR="0070447D" w:rsidRPr="006B42D6">
        <w:t>Figure 3.</w:t>
      </w:r>
      <w:r w:rsidR="00AE0110" w:rsidRPr="006B42D6">
        <w:t>5</w:t>
      </w:r>
      <w:r w:rsidR="0070447D" w:rsidRPr="006B42D6">
        <w:t>2</w:t>
      </w:r>
      <w:r w:rsidR="00EF0C26">
        <w:t>:</w:t>
      </w:r>
      <w:r w:rsidR="0075251B">
        <w:tab/>
      </w:r>
      <w:r w:rsidR="0070447D" w:rsidRPr="006B42D6">
        <w:t>Percentage of Planted Area under Irrigation by Main Crop</w:t>
      </w:r>
      <w:r w:rsidR="002E1F80" w:rsidRPr="006B42D6">
        <w:t xml:space="preserve"> During 2019/20 Agricultural Year</w:t>
      </w:r>
      <w:r w:rsidR="0070447D" w:rsidRPr="006B42D6">
        <w:t>, Tanzania</w:t>
      </w:r>
      <w:bookmarkEnd w:id="289"/>
      <w:r w:rsidR="0070447D" w:rsidRPr="006B42D6">
        <w:t xml:space="preserve"> </w:t>
      </w:r>
    </w:p>
    <w:p w14:paraId="6F172ADE" w14:textId="50CC4BF2" w:rsidR="006D1F4E" w:rsidRPr="0056599D" w:rsidRDefault="006D1F4E" w:rsidP="0056599D">
      <w:pPr>
        <w:pStyle w:val="NoSpacing"/>
        <w:spacing w:line="360" w:lineRule="auto"/>
        <w:jc w:val="both"/>
        <w:rPr>
          <w:rFonts w:ascii="Times New Roman" w:hAnsi="Times New Roman"/>
          <w:b/>
          <w:bCs/>
          <w:sz w:val="24"/>
          <w:szCs w:val="24"/>
        </w:rPr>
      </w:pPr>
    </w:p>
    <w:p w14:paraId="6489F2B0" w14:textId="4FC6291C" w:rsidR="0070447D" w:rsidRPr="006B42D6" w:rsidRDefault="0070447D" w:rsidP="0070447D">
      <w:pPr>
        <w:pStyle w:val="Heading4"/>
      </w:pPr>
      <w:bookmarkStart w:id="290" w:name="_Toc82385700"/>
      <w:r w:rsidRPr="006B42D6">
        <w:t>3.</w:t>
      </w:r>
      <w:r w:rsidR="00193728">
        <w:t>3</w:t>
      </w:r>
      <w:r w:rsidRPr="006B42D6">
        <w:t>.2.1</w:t>
      </w:r>
      <w:r w:rsidRPr="006B42D6">
        <w:tab/>
        <w:t>Cereals</w:t>
      </w:r>
      <w:bookmarkEnd w:id="290"/>
      <w:r w:rsidRPr="006B42D6">
        <w:t xml:space="preserve"> </w:t>
      </w:r>
    </w:p>
    <w:p w14:paraId="06A8983C" w14:textId="73E8849A" w:rsidR="00910B94" w:rsidRDefault="0070447D" w:rsidP="00910B94">
      <w:r w:rsidRPr="006B42D6">
        <w:t>Census results show that, among cereal crops</w:t>
      </w:r>
      <w:r w:rsidR="002E1F80" w:rsidRPr="006B42D6">
        <w:t>,</w:t>
      </w:r>
      <w:r w:rsidRPr="006B42D6">
        <w:t xml:space="preserve"> only paddy and maize were reported to be irrigated in </w:t>
      </w:r>
      <w:r w:rsidR="00EA1552">
        <w:t>Mainland Tanzania</w:t>
      </w:r>
      <w:r w:rsidRPr="006B42D6">
        <w:t xml:space="preserve"> and Tanzania Zanzibar. In </w:t>
      </w:r>
      <w:r w:rsidR="00EA1552">
        <w:t>Mainland Tanzania</w:t>
      </w:r>
      <w:r w:rsidRPr="006B42D6">
        <w:t xml:space="preserve">, </w:t>
      </w:r>
      <w:r w:rsidR="00827B87">
        <w:t xml:space="preserve">out of the total irrigated area under cereal crops, </w:t>
      </w:r>
      <w:r w:rsidR="002C5576" w:rsidRPr="006B42D6">
        <w:t>maize</w:t>
      </w:r>
      <w:r w:rsidRPr="006B42D6">
        <w:t xml:space="preserve"> occupied large</w:t>
      </w:r>
      <w:r w:rsidR="00A80A53" w:rsidRPr="006B42D6">
        <w:t>r</w:t>
      </w:r>
      <w:r w:rsidRPr="006B42D6">
        <w:t xml:space="preserve"> area under irrigation </w:t>
      </w:r>
      <w:r w:rsidR="00A80A53" w:rsidRPr="006B42D6">
        <w:t>(36,471 ha; 53.8 percent)</w:t>
      </w:r>
      <w:r w:rsidR="00827B87">
        <w:t>, followed by</w:t>
      </w:r>
      <w:r w:rsidR="00A80A53" w:rsidRPr="006B42D6">
        <w:t xml:space="preserve"> paddy (31,291 ha; 46.2 percent) </w:t>
      </w:r>
      <w:r w:rsidRPr="006B42D6">
        <w:t xml:space="preserve">during short rainy season. </w:t>
      </w:r>
      <w:r w:rsidR="00A80A53" w:rsidRPr="006B42D6">
        <w:t>On the contrary, paddy</w:t>
      </w:r>
      <w:r w:rsidRPr="006B42D6">
        <w:t xml:space="preserve"> </w:t>
      </w:r>
      <w:r w:rsidR="00A80A53" w:rsidRPr="006B42D6">
        <w:t xml:space="preserve">occupied larger area under irrigation (49,079 ha; 73.4 percent) </w:t>
      </w:r>
      <w:r w:rsidRPr="006B42D6">
        <w:t>during long rainy season</w:t>
      </w:r>
      <w:r w:rsidR="00827B87">
        <w:t>, followed by</w:t>
      </w:r>
      <w:r w:rsidR="00A80A53" w:rsidRPr="006B42D6">
        <w:t xml:space="preserve"> maize (17,803 ha; 26.6 percent). </w:t>
      </w:r>
      <w:r w:rsidRPr="006B42D6">
        <w:t>In Tanzania Zanzibar</w:t>
      </w:r>
      <w:r w:rsidR="00A80A53" w:rsidRPr="006B42D6">
        <w:t>,</w:t>
      </w:r>
      <w:r w:rsidRPr="006B42D6">
        <w:t xml:space="preserve"> </w:t>
      </w:r>
      <w:r w:rsidR="003E1515">
        <w:t>out of the total irrigated area under cereal crops,</w:t>
      </w:r>
      <w:r w:rsidR="003E1515" w:rsidRPr="006B42D6">
        <w:t xml:space="preserve"> </w:t>
      </w:r>
      <w:r w:rsidR="00A80A53" w:rsidRPr="006B42D6">
        <w:t>paddy</w:t>
      </w:r>
      <w:r w:rsidRPr="006B42D6">
        <w:t xml:space="preserve"> </w:t>
      </w:r>
      <w:r w:rsidR="00A80A53" w:rsidRPr="006B42D6">
        <w:t xml:space="preserve">was more irrigated during </w:t>
      </w:r>
      <w:r w:rsidR="003E1515">
        <w:t>long</w:t>
      </w:r>
      <w:r w:rsidR="00A80A53" w:rsidRPr="006B42D6">
        <w:t xml:space="preserve"> rainy seasons</w:t>
      </w:r>
      <w:r w:rsidR="003E1515">
        <w:t xml:space="preserve"> (</w:t>
      </w:r>
      <w:r w:rsidR="003E1515" w:rsidRPr="006B42D6">
        <w:t>4,698 ha; 98.2 percent</w:t>
      </w:r>
      <w:r w:rsidR="003E1515">
        <w:t>)</w:t>
      </w:r>
      <w:r w:rsidR="00A80A53" w:rsidRPr="006B42D6">
        <w:t xml:space="preserve"> </w:t>
      </w:r>
      <w:r w:rsidR="003E1515">
        <w:t xml:space="preserve">compared to </w:t>
      </w:r>
      <w:r w:rsidR="003E1515" w:rsidRPr="006B42D6">
        <w:t xml:space="preserve">short rainy season </w:t>
      </w:r>
      <w:r w:rsidRPr="006B42D6">
        <w:t>(</w:t>
      </w:r>
      <w:r w:rsidR="00A80A53" w:rsidRPr="006B42D6">
        <w:t>2,074 ha; 77</w:t>
      </w:r>
      <w:r w:rsidRPr="006B42D6">
        <w:t>.</w:t>
      </w:r>
      <w:r w:rsidR="00A80A53" w:rsidRPr="006B42D6">
        <w:t>2</w:t>
      </w:r>
      <w:r w:rsidRPr="006B42D6">
        <w:t xml:space="preserve"> percent</w:t>
      </w:r>
      <w:r w:rsidR="003E1515">
        <w:t>)</w:t>
      </w:r>
      <w:r w:rsidRPr="006B42D6">
        <w:t xml:space="preserve"> (Figure 3.</w:t>
      </w:r>
      <w:r w:rsidR="00AE0110" w:rsidRPr="006B42D6">
        <w:t>5</w:t>
      </w:r>
      <w:r w:rsidRPr="006B42D6">
        <w:t>3 &amp; 3.</w:t>
      </w:r>
      <w:r w:rsidR="00AE0110" w:rsidRPr="006B42D6">
        <w:t>5</w:t>
      </w:r>
      <w:r w:rsidRPr="006B42D6">
        <w:t xml:space="preserve">4). </w:t>
      </w:r>
    </w:p>
    <w:bookmarkStart w:id="291" w:name="_Toc80120231"/>
    <w:bookmarkStart w:id="292" w:name="_Toc80884106"/>
    <w:bookmarkStart w:id="293" w:name="_Toc80884477"/>
    <w:p w14:paraId="77201FE9" w14:textId="3BEF4FB3" w:rsidR="007E5CCB" w:rsidRDefault="00910B94" w:rsidP="0075251B">
      <w:r>
        <w:rPr>
          <w:noProof/>
        </w:rPr>
        <mc:AlternateContent>
          <mc:Choice Requires="wps">
            <w:drawing>
              <wp:anchor distT="0" distB="0" distL="114300" distR="114300" simplePos="0" relativeHeight="251786240" behindDoc="1" locked="0" layoutInCell="1" allowOverlap="1" wp14:anchorId="1CEEE41D" wp14:editId="568AC044">
                <wp:simplePos x="0" y="0"/>
                <wp:positionH relativeFrom="column">
                  <wp:posOffset>-140970</wp:posOffset>
                </wp:positionH>
                <wp:positionV relativeFrom="paragraph">
                  <wp:posOffset>207010</wp:posOffset>
                </wp:positionV>
                <wp:extent cx="2872740" cy="647700"/>
                <wp:effectExtent l="0" t="0" r="0" b="0"/>
                <wp:wrapTight wrapText="bothSides">
                  <wp:wrapPolygon edited="0">
                    <wp:start x="0" y="0"/>
                    <wp:lineTo x="0" y="21176"/>
                    <wp:lineTo x="21485" y="21176"/>
                    <wp:lineTo x="21485" y="0"/>
                    <wp:lineTo x="0" y="0"/>
                  </wp:wrapPolygon>
                </wp:wrapTight>
                <wp:docPr id="530" name="Text Box 530"/>
                <wp:cNvGraphicFramePr/>
                <a:graphic xmlns:a="http://schemas.openxmlformats.org/drawingml/2006/main">
                  <a:graphicData uri="http://schemas.microsoft.com/office/word/2010/wordprocessingShape">
                    <wps:wsp>
                      <wps:cNvSpPr txBox="1"/>
                      <wps:spPr>
                        <a:xfrm>
                          <a:off x="0" y="0"/>
                          <a:ext cx="2872740" cy="647700"/>
                        </a:xfrm>
                        <a:prstGeom prst="rect">
                          <a:avLst/>
                        </a:prstGeom>
                        <a:solidFill>
                          <a:prstClr val="white"/>
                        </a:solidFill>
                        <a:ln>
                          <a:noFill/>
                        </a:ln>
                      </wps:spPr>
                      <wps:txbx>
                        <w:txbxContent>
                          <w:p w14:paraId="404B6FC7" w14:textId="77777777" w:rsidR="00933456" w:rsidRDefault="00933456" w:rsidP="0059274E">
                            <w:pPr>
                              <w:pStyle w:val="Caption"/>
                            </w:pPr>
                            <w:bookmarkStart w:id="294" w:name="_Toc80120232"/>
                            <w:bookmarkStart w:id="295" w:name="_Toc80884107"/>
                            <w:bookmarkStart w:id="296" w:name="_Toc80884478"/>
                            <w:bookmarkStart w:id="297" w:name="_Toc82386330"/>
                            <w:r w:rsidRPr="008A453C">
                              <w:t>Figure 3.53</w:t>
                            </w:r>
                            <w:r>
                              <w:t>:</w:t>
                            </w:r>
                            <w:r>
                              <w:tab/>
                            </w:r>
                            <w:r w:rsidRPr="008A453C">
                              <w:t xml:space="preserve">Percent of Irrigated Area Planted with Cereals by Planting Season During 2019/20 Agricultural Year, </w:t>
                            </w:r>
                            <w:r>
                              <w:t>Mainland Tanzania</w:t>
                            </w:r>
                            <w:bookmarkEnd w:id="294"/>
                            <w:bookmarkEnd w:id="295"/>
                            <w:bookmarkEnd w:id="296"/>
                            <w:bookmarkEnd w:id="297"/>
                            <w:r w:rsidRPr="008A453C">
                              <w:t xml:space="preserve"> </w:t>
                            </w:r>
                          </w:p>
                          <w:p w14:paraId="60B00B2E" w14:textId="77777777" w:rsidR="00933456" w:rsidRDefault="00933456"/>
                          <w:p w14:paraId="3CAA6E96" w14:textId="77777777" w:rsidR="00933456" w:rsidRDefault="00933456">
                            <w:r w:rsidRPr="003403BE">
                              <w:t>Figure 3.</w:t>
                            </w:r>
                            <w:r>
                              <w:t>56:</w:t>
                            </w:r>
                            <w:r>
                              <w:tab/>
                              <w:t xml:space="preserve">Percentage of </w:t>
                            </w:r>
                            <w:r w:rsidRPr="003403BE">
                              <w:t xml:space="preserve">Area </w:t>
                            </w:r>
                            <w:r>
                              <w:t xml:space="preserve">planted with </w:t>
                            </w:r>
                            <w:r w:rsidRPr="003403BE">
                              <w:t>Roots and Tubers under Irrigation</w:t>
                            </w:r>
                            <w:r>
                              <w:t xml:space="preserve"> During 2019/20 Agricultural Year, Tanzania </w:t>
                            </w:r>
                            <w:r w:rsidRPr="003403BE">
                              <w:t>Zanzibar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EEE41D" id="Text Box 530" o:spid="_x0000_s1052" type="#_x0000_t202" style="position:absolute;left:0;text-align:left;margin-left:-11.1pt;margin-top:16.3pt;width:226.2pt;height:51pt;z-index:-25153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" stroked="f">
                <v:textbox inset="0,0,0,0">
                  <w:txbxContent>
                    <w:p w14:paraId="404B6FC7" w14:textId="77777777" w:rsidR="00933456" w:rsidRDefault="00933456" w:rsidP="0059274E">
                      <w:pPr>
                        <w:pStyle w:val="Caption"/>
                      </w:pPr>
                      <w:bookmarkStart w:id="382" w:name="_Toc80120232"/>
                      <w:bookmarkStart w:id="383" w:name="_Toc80884107"/>
                      <w:bookmarkStart w:id="384" w:name="_Toc80884478"/>
                      <w:bookmarkStart w:id="385" w:name="_Toc82386330"/>
                      <w:r w:rsidRPr="008A453C">
                        <w:t>Figure 3.53</w:t>
                      </w:r>
                      <w:r>
                        <w:t>:</w:t>
                      </w:r>
                      <w:r>
                        <w:tab/>
                      </w:r>
                      <w:r w:rsidRPr="008A453C">
                        <w:t xml:space="preserve">Percent of Irrigated Area Planted with Cereals by Planting Season During 2019/20 Agricultural Year, </w:t>
                      </w:r>
                      <w:r>
                        <w:t>Mainland Tanzania</w:t>
                      </w:r>
                      <w:bookmarkEnd w:id="382"/>
                      <w:bookmarkEnd w:id="383"/>
                      <w:bookmarkEnd w:id="384"/>
                      <w:bookmarkEnd w:id="385"/>
                      <w:r w:rsidRPr="008A453C">
                        <w:t xml:space="preserve"> </w:t>
                      </w:r>
                    </w:p>
                    <w:p w14:paraId="60B00B2E" w14:textId="77777777" w:rsidR="00933456" w:rsidRDefault="00933456"/>
                    <w:p w14:paraId="3CAA6E96" w14:textId="77777777" w:rsidR="00933456" w:rsidRDefault="00933456">
                      <w:r w:rsidRPr="003403BE">
                        <w:t>Figure 3.</w:t>
                      </w:r>
                      <w:r>
                        <w:t>56:</w:t>
                      </w:r>
                      <w:r>
                        <w:tab/>
                        <w:t xml:space="preserve">Percentage of </w:t>
                      </w:r>
                      <w:r w:rsidRPr="003403BE">
                        <w:t xml:space="preserve">Area </w:t>
                      </w:r>
                      <w:r>
                        <w:t xml:space="preserve">planted with </w:t>
                      </w:r>
                      <w:r w:rsidRPr="003403BE">
                        <w:t>Roots and Tubers under Irrigation</w:t>
                      </w:r>
                      <w:r>
                        <w:t xml:space="preserve"> During 2019/20 Agricultural Year, Tanzania </w:t>
                      </w:r>
                      <w:r w:rsidRPr="003403BE">
                        <w:t>Zanzibar</w:t>
                      </w:r>
                    </w:p>
                  </w:txbxContent>
                </v:textbox>
                <w10:wrap type="tight"/>
              </v:shape>
            </w:pict>
          </mc:Fallback>
        </mc:AlternateContent>
      </w:r>
      <w:r>
        <w:rPr>
          <w:noProof/>
        </w:rPr>
        <mc:AlternateContent>
          <mc:Choice Requires="wps">
            <w:drawing>
              <wp:anchor distT="0" distB="0" distL="114300" distR="114300" simplePos="0" relativeHeight="251788288" behindDoc="1" locked="0" layoutInCell="1" allowOverlap="1" wp14:anchorId="4100CCB7" wp14:editId="23FEE6B8">
                <wp:simplePos x="0" y="0"/>
                <wp:positionH relativeFrom="column">
                  <wp:posOffset>2846070</wp:posOffset>
                </wp:positionH>
                <wp:positionV relativeFrom="paragraph">
                  <wp:posOffset>260350</wp:posOffset>
                </wp:positionV>
                <wp:extent cx="2974975" cy="644525"/>
                <wp:effectExtent l="0" t="0" r="0" b="3175"/>
                <wp:wrapTight wrapText="bothSides">
                  <wp:wrapPolygon edited="0">
                    <wp:start x="0" y="0"/>
                    <wp:lineTo x="0" y="21281"/>
                    <wp:lineTo x="21485" y="21281"/>
                    <wp:lineTo x="21485" y="0"/>
                    <wp:lineTo x="0" y="0"/>
                  </wp:wrapPolygon>
                </wp:wrapTight>
                <wp:docPr id="531" name="Text Box 531"/>
                <wp:cNvGraphicFramePr/>
                <a:graphic xmlns:a="http://schemas.openxmlformats.org/drawingml/2006/main">
                  <a:graphicData uri="http://schemas.microsoft.com/office/word/2010/wordprocessingShape">
                    <wps:wsp>
                      <wps:cNvSpPr txBox="1"/>
                      <wps:spPr>
                        <a:xfrm>
                          <a:off x="0" y="0"/>
                          <a:ext cx="2974975" cy="644525"/>
                        </a:xfrm>
                        <a:prstGeom prst="rect">
                          <a:avLst/>
                        </a:prstGeom>
                        <a:solidFill>
                          <a:prstClr val="white"/>
                        </a:solidFill>
                        <a:ln>
                          <a:noFill/>
                        </a:ln>
                      </wps:spPr>
                      <wps:txbx>
                        <w:txbxContent>
                          <w:p w14:paraId="7094D7F9" w14:textId="5E2D340C" w:rsidR="00933456" w:rsidRPr="008A453C" w:rsidRDefault="00933456" w:rsidP="0059274E">
                            <w:pPr>
                              <w:pStyle w:val="Caption"/>
                            </w:pPr>
                            <w:bookmarkStart w:id="298" w:name="_Toc82386331"/>
                            <w:r>
                              <w:t>Figu</w:t>
                            </w:r>
                            <w:r w:rsidRPr="008A453C">
                              <w:t>re 3.54</w:t>
                            </w:r>
                            <w:r>
                              <w:t>:</w:t>
                            </w:r>
                            <w:r>
                              <w:tab/>
                            </w:r>
                            <w:r w:rsidRPr="008A453C">
                              <w:t>Percent of Irrigated Area Planted with Cereals by Planting Season During 2019/20 Agricultural Year, Tanzania Zanzibar</w:t>
                            </w:r>
                            <w:bookmarkEnd w:id="298"/>
                            <w:r w:rsidRPr="008A453C">
                              <w:t xml:space="preserve"> </w:t>
                            </w:r>
                          </w:p>
                          <w:p w14:paraId="2ECADAB1" w14:textId="77777777" w:rsidR="00933456" w:rsidRDefault="00933456"/>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00CCB7" id="Text Box 531" o:spid="_x0000_s1053" type="#_x0000_t202" style="position:absolute;left:0;text-align:left;margin-left:224.1pt;margin-top:20.5pt;width:234.25pt;height:50.75pt;z-index:-25152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" stroked="f">
                <v:textbox inset="0,0,0,0">
                  <w:txbxContent>
                    <w:p w14:paraId="7094D7F9" w14:textId="5E2D340C" w:rsidR="00933456" w:rsidRPr="008A453C" w:rsidRDefault="00933456" w:rsidP="0059274E">
                      <w:pPr>
                        <w:pStyle w:val="Caption"/>
                      </w:pPr>
                      <w:bookmarkStart w:id="387" w:name="_Toc82386331"/>
                      <w:r>
                        <w:t>Figu</w:t>
                      </w:r>
                      <w:r w:rsidRPr="008A453C">
                        <w:t>re 3.54</w:t>
                      </w:r>
                      <w:r>
                        <w:t>:</w:t>
                      </w:r>
                      <w:r>
                        <w:tab/>
                      </w:r>
                      <w:r w:rsidRPr="008A453C">
                        <w:t>Percent of Irrigated Area Planted with Cereals by Planting Season During 2019/20 Agricultural Year, Tanzania Zanzibar</w:t>
                      </w:r>
                      <w:bookmarkEnd w:id="387"/>
                      <w:r w:rsidRPr="008A453C">
                        <w:t xml:space="preserve"> </w:t>
                      </w:r>
                    </w:p>
                    <w:p w14:paraId="2ECADAB1" w14:textId="77777777" w:rsidR="00933456" w:rsidRDefault="00933456"/>
                  </w:txbxContent>
                </v:textbox>
                <w10:wrap type="tight"/>
              </v:shape>
            </w:pict>
          </mc:Fallback>
        </mc:AlternateContent>
      </w:r>
      <w:r>
        <w:rPr>
          <w:noProof/>
        </w:rPr>
        <w:drawing>
          <wp:anchor distT="0" distB="0" distL="114300" distR="114300" simplePos="0" relativeHeight="251671552" behindDoc="0" locked="0" layoutInCell="1" allowOverlap="1" wp14:anchorId="2FB50480" wp14:editId="04E5D78C">
            <wp:simplePos x="0" y="0"/>
            <wp:positionH relativeFrom="column">
              <wp:posOffset>-140970</wp:posOffset>
            </wp:positionH>
            <wp:positionV relativeFrom="paragraph">
              <wp:posOffset>976630</wp:posOffset>
            </wp:positionV>
            <wp:extent cx="2872740" cy="2237105"/>
            <wp:effectExtent l="0" t="0" r="10160" b="10795"/>
            <wp:wrapTight wrapText="bothSides">
              <wp:wrapPolygon edited="0">
                <wp:start x="0" y="0"/>
                <wp:lineTo x="0" y="21582"/>
                <wp:lineTo x="21581" y="21582"/>
                <wp:lineTo x="21581" y="0"/>
                <wp:lineTo x="0" y="0"/>
              </wp:wrapPolygon>
            </wp:wrapTight>
            <wp:docPr id="502"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5"/>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2576" behindDoc="0" locked="0" layoutInCell="1" allowOverlap="1" wp14:anchorId="6B5EE3BC" wp14:editId="008AB9E7">
            <wp:simplePos x="0" y="0"/>
            <wp:positionH relativeFrom="column">
              <wp:posOffset>2777490</wp:posOffset>
            </wp:positionH>
            <wp:positionV relativeFrom="paragraph">
              <wp:posOffset>984250</wp:posOffset>
            </wp:positionV>
            <wp:extent cx="3043555" cy="2237105"/>
            <wp:effectExtent l="0" t="0" r="17145" b="10795"/>
            <wp:wrapTight wrapText="bothSides">
              <wp:wrapPolygon edited="0">
                <wp:start x="0" y="0"/>
                <wp:lineTo x="0" y="21582"/>
                <wp:lineTo x="21632" y="21582"/>
                <wp:lineTo x="21632" y="0"/>
                <wp:lineTo x="0" y="0"/>
              </wp:wrapPolygon>
            </wp:wrapTight>
            <wp:docPr id="503"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06"/>
              </a:graphicData>
            </a:graphic>
            <wp14:sizeRelH relativeFrom="margin">
              <wp14:pctWidth>0</wp14:pctWidth>
            </wp14:sizeRelH>
            <wp14:sizeRelV relativeFrom="margin">
              <wp14:pctHeight>0</wp14:pctHeight>
            </wp14:sizeRelV>
          </wp:anchor>
        </w:drawing>
      </w:r>
      <w:bookmarkEnd w:id="291"/>
      <w:bookmarkEnd w:id="292"/>
      <w:bookmarkEnd w:id="293"/>
    </w:p>
    <w:p w14:paraId="7F4B7BDF" w14:textId="2EF86EB8" w:rsidR="0070447D" w:rsidRPr="006B42D6" w:rsidRDefault="0070447D" w:rsidP="0070447D">
      <w:pPr>
        <w:pStyle w:val="Heading4"/>
      </w:pPr>
      <w:bookmarkStart w:id="299" w:name="_Toc82385701"/>
      <w:r w:rsidRPr="006B42D6">
        <w:rPr>
          <w:bCs/>
        </w:rPr>
        <w:lastRenderedPageBreak/>
        <w:t>3.</w:t>
      </w:r>
      <w:r w:rsidR="00193728">
        <w:rPr>
          <w:bCs/>
        </w:rPr>
        <w:t>3</w:t>
      </w:r>
      <w:r w:rsidRPr="006B42D6">
        <w:rPr>
          <w:bCs/>
        </w:rPr>
        <w:t>.2.2</w:t>
      </w:r>
      <w:r w:rsidRPr="006B42D6">
        <w:rPr>
          <w:bCs/>
        </w:rPr>
        <w:tab/>
      </w:r>
      <w:r w:rsidRPr="006B42D6">
        <w:t>Root and Tuber</w:t>
      </w:r>
      <w:r w:rsidR="00D90DA5" w:rsidRPr="006B42D6">
        <w:t xml:space="preserve"> Crops</w:t>
      </w:r>
      <w:bookmarkEnd w:id="299"/>
      <w:r w:rsidR="00D90DA5" w:rsidRPr="006B42D6">
        <w:t xml:space="preserve"> </w:t>
      </w:r>
    </w:p>
    <w:p w14:paraId="537CAF69" w14:textId="5FF4F906" w:rsidR="00C26999" w:rsidRPr="006B42D6" w:rsidRDefault="00D90DA5" w:rsidP="0075251B">
      <w:r w:rsidRPr="006B42D6">
        <w:t xml:space="preserve">Census results show that, cassava, sweet potato, irish potato, yams and coco yams were reported to be irrigated in Tanzania. In </w:t>
      </w:r>
      <w:r w:rsidR="00EA1552">
        <w:t>Mainland Tanzania</w:t>
      </w:r>
      <w:r w:rsidRPr="006B42D6">
        <w:t xml:space="preserve">, </w:t>
      </w:r>
      <w:r w:rsidR="00440D52">
        <w:t xml:space="preserve">the total irrigated area under root and tuber crops was 2,087 ha during short rainy season, of which </w:t>
      </w:r>
      <w:r w:rsidR="00D75EDC">
        <w:t>i</w:t>
      </w:r>
      <w:r w:rsidR="00C26999" w:rsidRPr="006B42D6">
        <w:t xml:space="preserve">rish potatoes </w:t>
      </w:r>
      <w:r w:rsidRPr="006B42D6">
        <w:t xml:space="preserve">occupied </w:t>
      </w:r>
      <w:r w:rsidR="00C26999" w:rsidRPr="006B42D6">
        <w:t>the largest area</w:t>
      </w:r>
      <w:r w:rsidRPr="006B42D6">
        <w:t xml:space="preserve"> under irrigation (</w:t>
      </w:r>
      <w:r w:rsidR="00C26999" w:rsidRPr="006B42D6">
        <w:t>1,410</w:t>
      </w:r>
      <w:r w:rsidRPr="006B42D6">
        <w:t xml:space="preserve"> ha; </w:t>
      </w:r>
      <w:r w:rsidR="00C26999" w:rsidRPr="006B42D6">
        <w:t>67</w:t>
      </w:r>
      <w:r w:rsidRPr="006B42D6">
        <w:t>.</w:t>
      </w:r>
      <w:r w:rsidR="00C26999" w:rsidRPr="006B42D6">
        <w:t>6</w:t>
      </w:r>
      <w:r w:rsidRPr="006B42D6">
        <w:t xml:space="preserve"> percent)</w:t>
      </w:r>
      <w:r w:rsidR="00C26999" w:rsidRPr="006B42D6">
        <w:t>, followed by sweet potato</w:t>
      </w:r>
      <w:r w:rsidRPr="006B42D6">
        <w:t xml:space="preserve"> (</w:t>
      </w:r>
      <w:r w:rsidR="00C26999" w:rsidRPr="006B42D6">
        <w:t>279</w:t>
      </w:r>
      <w:r w:rsidRPr="006B42D6">
        <w:t xml:space="preserve"> ha; </w:t>
      </w:r>
      <w:r w:rsidR="00C26999" w:rsidRPr="006B42D6">
        <w:t>13.4</w:t>
      </w:r>
      <w:r w:rsidRPr="006B42D6">
        <w:t xml:space="preserve"> percent)</w:t>
      </w:r>
      <w:r w:rsidR="00C26999" w:rsidRPr="006B42D6">
        <w:t>, while the least irrigated area was occupied by coco yams (132 ha; 6.3 percent)</w:t>
      </w:r>
      <w:r w:rsidRPr="006B42D6">
        <w:t xml:space="preserve"> during short rainy season. </w:t>
      </w:r>
      <w:r w:rsidR="00C26999" w:rsidRPr="006B42D6">
        <w:t>Similarly, during long rainy season</w:t>
      </w:r>
      <w:r w:rsidRPr="006B42D6">
        <w:t xml:space="preserve">, </w:t>
      </w:r>
      <w:r w:rsidR="00440D52">
        <w:t>a total of</w:t>
      </w:r>
      <w:r w:rsidR="00440D52" w:rsidRPr="00440D52">
        <w:t xml:space="preserve"> 4,395 ha of root and tuber crops were irrigated of which </w:t>
      </w:r>
      <w:r w:rsidR="00D75EDC">
        <w:t>i</w:t>
      </w:r>
      <w:r w:rsidR="00C26999" w:rsidRPr="006B42D6">
        <w:t xml:space="preserve">rish potatoes occupied the largest area under irrigation (3,085 ha; 70.2 percent), followed by sweet potato (990 ha; 22.5 percent), whereas the least irrigated area was occupied by cocoyams </w:t>
      </w:r>
      <w:r w:rsidRPr="006B42D6">
        <w:t>(</w:t>
      </w:r>
      <w:r w:rsidR="00C26999" w:rsidRPr="006B42D6">
        <w:t>28</w:t>
      </w:r>
      <w:r w:rsidRPr="006B42D6">
        <w:t xml:space="preserve"> ha; </w:t>
      </w:r>
      <w:r w:rsidR="00C26999" w:rsidRPr="006B42D6">
        <w:t>0</w:t>
      </w:r>
      <w:r w:rsidRPr="006B42D6">
        <w:t xml:space="preserve">.6 percent). </w:t>
      </w:r>
    </w:p>
    <w:p w14:paraId="2A0270CE" w14:textId="046F0DA5" w:rsidR="00C26999" w:rsidRPr="006B42D6" w:rsidRDefault="00C26999" w:rsidP="002C051F">
      <w:pPr>
        <w:spacing w:line="240" w:lineRule="auto"/>
      </w:pPr>
    </w:p>
    <w:p w14:paraId="514531F3" w14:textId="08D8EF74" w:rsidR="0070447D" w:rsidRDefault="00C26999" w:rsidP="0075251B">
      <w:r w:rsidRPr="006B42D6">
        <w:t xml:space="preserve">In Tanzania Zanzibar, </w:t>
      </w:r>
      <w:r w:rsidR="00440D52">
        <w:t xml:space="preserve">out of the total irrigated area under root and tuber crops (257 ha) </w:t>
      </w:r>
      <w:r w:rsidR="00440D52" w:rsidRPr="006B42D6">
        <w:t>during short rainy season</w:t>
      </w:r>
      <w:r w:rsidR="00440D52">
        <w:t xml:space="preserve">, </w:t>
      </w:r>
      <w:r w:rsidRPr="006B42D6">
        <w:t>cassava occupied the largest area under irrigation (173 ha; 67.4 percent), followed by sweet potato (49 ha; 19.2 percent), while the least irrigated area was occupied by coco</w:t>
      </w:r>
      <w:r w:rsidR="00440D52">
        <w:t xml:space="preserve"> </w:t>
      </w:r>
      <w:r w:rsidRPr="006B42D6">
        <w:t>yams (15 ha; 5.7 percent). Similarly, during long rainy season,</w:t>
      </w:r>
      <w:r w:rsidR="00440D52">
        <w:t xml:space="preserve"> a total of</w:t>
      </w:r>
      <w:r w:rsidR="00440D52" w:rsidRPr="00440D52">
        <w:t xml:space="preserve"> </w:t>
      </w:r>
      <w:r w:rsidR="00440D52">
        <w:t xml:space="preserve">227 </w:t>
      </w:r>
      <w:r w:rsidR="00440D52" w:rsidRPr="00440D52">
        <w:t>ha of root and tuber crops were irrigated of which</w:t>
      </w:r>
      <w:r w:rsidRPr="006B42D6">
        <w:t xml:space="preserve"> cassava occupied the largest area under irrigation (115 ha; 50.6 percent), followed by sweet potato (82 ha; 36.0 percent), whereas the least irrigated area was occupied by yams (6 ha; 2.9 percent)</w:t>
      </w:r>
      <w:r w:rsidR="0070447D" w:rsidRPr="006B42D6">
        <w:t xml:space="preserve"> (Figure 3.</w:t>
      </w:r>
      <w:r w:rsidR="00AE0110" w:rsidRPr="006B42D6">
        <w:t>5</w:t>
      </w:r>
      <w:r w:rsidR="0070447D" w:rsidRPr="006B42D6">
        <w:t>5 &amp; 3.</w:t>
      </w:r>
      <w:r w:rsidR="00AE0110" w:rsidRPr="006B42D6">
        <w:t>5</w:t>
      </w:r>
      <w:r w:rsidR="0070447D" w:rsidRPr="006B42D6">
        <w:t xml:space="preserve">6). </w:t>
      </w:r>
    </w:p>
    <w:bookmarkStart w:id="300" w:name="_Toc80120234"/>
    <w:bookmarkStart w:id="301" w:name="_Toc80884109"/>
    <w:bookmarkStart w:id="302" w:name="_Toc80884480"/>
    <w:p w14:paraId="04592909" w14:textId="46DF7E93" w:rsidR="00041853" w:rsidRPr="003403BE" w:rsidRDefault="00C2468C" w:rsidP="00041853">
      <w:r>
        <w:rPr>
          <w:noProof/>
        </w:rPr>
        <mc:AlternateContent>
          <mc:Choice Requires="wps">
            <w:drawing>
              <wp:anchor distT="0" distB="0" distL="114300" distR="114300" simplePos="0" relativeHeight="251782144" behindDoc="1" locked="0" layoutInCell="1" allowOverlap="1" wp14:anchorId="0036C4AD" wp14:editId="650A948E">
                <wp:simplePos x="0" y="0"/>
                <wp:positionH relativeFrom="column">
                  <wp:posOffset>63500</wp:posOffset>
                </wp:positionH>
                <wp:positionV relativeFrom="paragraph">
                  <wp:posOffset>242570</wp:posOffset>
                </wp:positionV>
                <wp:extent cx="2895600" cy="585470"/>
                <wp:effectExtent l="0" t="0" r="0" b="0"/>
                <wp:wrapTight wrapText="bothSides">
                  <wp:wrapPolygon edited="0">
                    <wp:start x="0" y="0"/>
                    <wp:lineTo x="0" y="21085"/>
                    <wp:lineTo x="21505" y="21085"/>
                    <wp:lineTo x="21505" y="0"/>
                    <wp:lineTo x="0" y="0"/>
                  </wp:wrapPolygon>
                </wp:wrapTight>
                <wp:docPr id="498" name="Text Box 498"/>
                <wp:cNvGraphicFramePr/>
                <a:graphic xmlns:a="http://schemas.openxmlformats.org/drawingml/2006/main">
                  <a:graphicData uri="http://schemas.microsoft.com/office/word/2010/wordprocessingShape">
                    <wps:wsp>
                      <wps:cNvSpPr txBox="1"/>
                      <wps:spPr>
                        <a:xfrm>
                          <a:off x="0" y="0"/>
                          <a:ext cx="2895600" cy="585470"/>
                        </a:xfrm>
                        <a:prstGeom prst="rect">
                          <a:avLst/>
                        </a:prstGeom>
                        <a:solidFill>
                          <a:prstClr val="white"/>
                        </a:solidFill>
                        <a:ln>
                          <a:noFill/>
                        </a:ln>
                      </wps:spPr>
                      <wps:txbx>
                        <w:txbxContent>
                          <w:p w14:paraId="3BEE74FD" w14:textId="2C7D7602" w:rsidR="00933456" w:rsidRPr="003403BE" w:rsidRDefault="00933456" w:rsidP="00041853">
                            <w:pPr>
                              <w:pStyle w:val="Caption"/>
                            </w:pPr>
                            <w:bookmarkStart w:id="303" w:name="_Toc82386332"/>
                            <w:r>
                              <w:t>F</w:t>
                            </w:r>
                            <w:r w:rsidRPr="003403BE">
                              <w:t>igure 3.</w:t>
                            </w:r>
                            <w:r>
                              <w:t>55:</w:t>
                            </w:r>
                            <w:r>
                              <w:tab/>
                              <w:t xml:space="preserve">Percentage of </w:t>
                            </w:r>
                            <w:r w:rsidRPr="003403BE">
                              <w:t xml:space="preserve">Area </w:t>
                            </w:r>
                            <w:r>
                              <w:t xml:space="preserve">planted with </w:t>
                            </w:r>
                            <w:r w:rsidRPr="003403BE">
                              <w:t>Roots and Tubers under Irrigation</w:t>
                            </w:r>
                            <w:r>
                              <w:t xml:space="preserve"> During 2019/20 Agricultural Year, Mainland Tanzania</w:t>
                            </w:r>
                            <w:bookmarkEnd w:id="303"/>
                            <w:r w:rsidRPr="003403BE">
                              <w:t xml:space="preserve"> </w:t>
                            </w:r>
                          </w:p>
                          <w:p w14:paraId="6414BAB2" w14:textId="11D538BD" w:rsidR="00933456" w:rsidRPr="00F22798" w:rsidRDefault="00933456" w:rsidP="00041853">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36C4AD" id="Text Box 498" o:spid="_x0000_s1054" type="#_x0000_t202" style="position:absolute;left:0;text-align:left;margin-left:5pt;margin-top:19.1pt;width:228pt;height:46.1pt;z-index:-25153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" stroked="f">
                <v:textbox inset="0,0,0,0">
                  <w:txbxContent>
                    <w:p w14:paraId="3BEE74FD" w14:textId="2C7D7602" w:rsidR="00933456" w:rsidRPr="003403BE" w:rsidRDefault="00933456" w:rsidP="00041853">
                      <w:pPr>
                        <w:pStyle w:val="Caption"/>
                      </w:pPr>
                      <w:bookmarkStart w:id="393" w:name="_Toc82386332"/>
                      <w:r>
                        <w:t>F</w:t>
                      </w:r>
                      <w:r w:rsidRPr="003403BE">
                        <w:t>igure 3.</w:t>
                      </w:r>
                      <w:r>
                        <w:t>55:</w:t>
                      </w:r>
                      <w:r>
                        <w:tab/>
                        <w:t xml:space="preserve">Percentage of </w:t>
                      </w:r>
                      <w:r w:rsidRPr="003403BE">
                        <w:t xml:space="preserve">Area </w:t>
                      </w:r>
                      <w:r>
                        <w:t xml:space="preserve">planted with </w:t>
                      </w:r>
                      <w:r w:rsidRPr="003403BE">
                        <w:t>Roots and Tubers under Irrigation</w:t>
                      </w:r>
                      <w:r>
                        <w:t xml:space="preserve"> During 2019/20 Agricultural Year, Mainland Tanzania</w:t>
                      </w:r>
                      <w:bookmarkEnd w:id="393"/>
                      <w:r w:rsidRPr="003403BE">
                        <w:t xml:space="preserve"> </w:t>
                      </w:r>
                    </w:p>
                    <w:p w14:paraId="6414BAB2" w14:textId="11D538BD" w:rsidR="00933456" w:rsidRPr="00F22798" w:rsidRDefault="00933456" w:rsidP="00041853">
                      <w:pPr>
                        <w:pStyle w:val="Caption"/>
                        <w:rPr>
                          <w:noProof/>
                        </w:rPr>
                      </w:pPr>
                    </w:p>
                  </w:txbxContent>
                </v:textbox>
                <w10:wrap type="tight"/>
              </v:shape>
            </w:pict>
          </mc:Fallback>
        </mc:AlternateContent>
      </w:r>
      <w:r>
        <w:rPr>
          <w:noProof/>
        </w:rPr>
        <mc:AlternateContent>
          <mc:Choice Requires="wps">
            <w:drawing>
              <wp:anchor distT="0" distB="0" distL="114300" distR="114300" simplePos="0" relativeHeight="251784192" behindDoc="1" locked="0" layoutInCell="1" allowOverlap="1" wp14:anchorId="7CA4620E" wp14:editId="61F1E9EC">
                <wp:simplePos x="0" y="0"/>
                <wp:positionH relativeFrom="column">
                  <wp:posOffset>3022600</wp:posOffset>
                </wp:positionH>
                <wp:positionV relativeFrom="paragraph">
                  <wp:posOffset>242570</wp:posOffset>
                </wp:positionV>
                <wp:extent cx="2996565" cy="585470"/>
                <wp:effectExtent l="0" t="0" r="635" b="0"/>
                <wp:wrapTight wrapText="bothSides">
                  <wp:wrapPolygon edited="0">
                    <wp:start x="0" y="0"/>
                    <wp:lineTo x="0" y="21085"/>
                    <wp:lineTo x="21513" y="21085"/>
                    <wp:lineTo x="21513" y="0"/>
                    <wp:lineTo x="0" y="0"/>
                  </wp:wrapPolygon>
                </wp:wrapTight>
                <wp:docPr id="501" name="Text Box 501"/>
                <wp:cNvGraphicFramePr/>
                <a:graphic xmlns:a="http://schemas.openxmlformats.org/drawingml/2006/main">
                  <a:graphicData uri="http://schemas.microsoft.com/office/word/2010/wordprocessingShape">
                    <wps:wsp>
                      <wps:cNvSpPr txBox="1"/>
                      <wps:spPr>
                        <a:xfrm>
                          <a:off x="0" y="0"/>
                          <a:ext cx="2996565" cy="585470"/>
                        </a:xfrm>
                        <a:prstGeom prst="rect">
                          <a:avLst/>
                        </a:prstGeom>
                        <a:solidFill>
                          <a:prstClr val="white"/>
                        </a:solidFill>
                        <a:ln>
                          <a:noFill/>
                        </a:ln>
                      </wps:spPr>
                      <wps:txbx>
                        <w:txbxContent>
                          <w:p w14:paraId="5F1062CF" w14:textId="77777777" w:rsidR="00933456" w:rsidRPr="003403BE" w:rsidRDefault="00933456" w:rsidP="00041853">
                            <w:pPr>
                              <w:pStyle w:val="Caption"/>
                            </w:pPr>
                            <w:bookmarkStart w:id="304" w:name="_Toc80120233"/>
                            <w:bookmarkStart w:id="305" w:name="_Toc80884108"/>
                            <w:bookmarkStart w:id="306" w:name="_Toc80884479"/>
                            <w:bookmarkStart w:id="307" w:name="_Toc82386333"/>
                            <w:r w:rsidRPr="003403BE">
                              <w:t>Figure 3.</w:t>
                            </w:r>
                            <w:r>
                              <w:t>56:</w:t>
                            </w:r>
                            <w:r>
                              <w:tab/>
                              <w:t xml:space="preserve">Percentage of </w:t>
                            </w:r>
                            <w:r w:rsidRPr="003403BE">
                              <w:t xml:space="preserve">Area </w:t>
                            </w:r>
                            <w:r>
                              <w:t xml:space="preserve">planted with </w:t>
                            </w:r>
                            <w:r w:rsidRPr="003403BE">
                              <w:t>Roots and Tubers under Irrigation</w:t>
                            </w:r>
                            <w:r>
                              <w:t xml:space="preserve"> During 2019/20 Agricultural Year, Tanzania </w:t>
                            </w:r>
                            <w:r w:rsidRPr="003403BE">
                              <w:t>Zanzibar</w:t>
                            </w:r>
                            <w:bookmarkEnd w:id="304"/>
                            <w:bookmarkEnd w:id="305"/>
                            <w:bookmarkEnd w:id="306"/>
                            <w:bookmarkEnd w:id="307"/>
                            <w:r w:rsidRPr="003403BE">
                              <w:t xml:space="preserve"> </w:t>
                            </w:r>
                          </w:p>
                          <w:p w14:paraId="4608BE40" w14:textId="431D88A8" w:rsidR="00933456" w:rsidRPr="0052595B" w:rsidRDefault="00933456" w:rsidP="00041853">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A4620E" id="Text Box 501" o:spid="_x0000_s1055" type="#_x0000_t202" style="position:absolute;left:0;text-align:left;margin-left:238pt;margin-top:19.1pt;width:235.95pt;height:46.1pt;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" stroked="f">
                <v:textbox inset="0,0,0,0">
                  <w:txbxContent>
                    <w:p w14:paraId="5F1062CF" w14:textId="77777777" w:rsidR="00933456" w:rsidRPr="003403BE" w:rsidRDefault="00933456" w:rsidP="00041853">
                      <w:pPr>
                        <w:pStyle w:val="Caption"/>
                      </w:pPr>
                      <w:bookmarkStart w:id="398" w:name="_Toc80120233"/>
                      <w:bookmarkStart w:id="399" w:name="_Toc80884108"/>
                      <w:bookmarkStart w:id="400" w:name="_Toc80884479"/>
                      <w:bookmarkStart w:id="401" w:name="_Toc82386333"/>
                      <w:r w:rsidRPr="003403BE">
                        <w:t>Figure 3.</w:t>
                      </w:r>
                      <w:r>
                        <w:t>56:</w:t>
                      </w:r>
                      <w:r>
                        <w:tab/>
                        <w:t xml:space="preserve">Percentage of </w:t>
                      </w:r>
                      <w:r w:rsidRPr="003403BE">
                        <w:t xml:space="preserve">Area </w:t>
                      </w:r>
                      <w:r>
                        <w:t xml:space="preserve">planted with </w:t>
                      </w:r>
                      <w:r w:rsidRPr="003403BE">
                        <w:t>Roots and Tubers under Irrigation</w:t>
                      </w:r>
                      <w:r>
                        <w:t xml:space="preserve"> During 2019/20 Agricultural Year, Tanzania </w:t>
                      </w:r>
                      <w:r w:rsidRPr="003403BE">
                        <w:t>Zanzibar</w:t>
                      </w:r>
                      <w:bookmarkEnd w:id="398"/>
                      <w:bookmarkEnd w:id="399"/>
                      <w:bookmarkEnd w:id="400"/>
                      <w:bookmarkEnd w:id="401"/>
                      <w:r w:rsidRPr="003403BE">
                        <w:t xml:space="preserve"> </w:t>
                      </w:r>
                    </w:p>
                    <w:p w14:paraId="4608BE40" w14:textId="431D88A8" w:rsidR="00933456" w:rsidRPr="0052595B" w:rsidRDefault="00933456" w:rsidP="00041853">
                      <w:pPr>
                        <w:pStyle w:val="Caption"/>
                        <w:rPr>
                          <w:noProof/>
                        </w:rPr>
                      </w:pPr>
                    </w:p>
                  </w:txbxContent>
                </v:textbox>
                <w10:wrap type="tight"/>
              </v:shape>
            </w:pict>
          </mc:Fallback>
        </mc:AlternateContent>
      </w:r>
      <w:r>
        <w:rPr>
          <w:noProof/>
        </w:rPr>
        <w:drawing>
          <wp:anchor distT="0" distB="0" distL="114300" distR="114300" simplePos="0" relativeHeight="251771904" behindDoc="0" locked="0" layoutInCell="1" allowOverlap="1" wp14:anchorId="26911C3F" wp14:editId="18A7DBFA">
            <wp:simplePos x="0" y="0"/>
            <wp:positionH relativeFrom="column">
              <wp:posOffset>63681</wp:posOffset>
            </wp:positionH>
            <wp:positionV relativeFrom="paragraph">
              <wp:posOffset>913122</wp:posOffset>
            </wp:positionV>
            <wp:extent cx="2896133" cy="2293620"/>
            <wp:effectExtent l="0" t="0" r="12700" b="17780"/>
            <wp:wrapTight wrapText="bothSides">
              <wp:wrapPolygon edited="0">
                <wp:start x="0" y="0"/>
                <wp:lineTo x="0" y="21648"/>
                <wp:lineTo x="21600" y="21648"/>
                <wp:lineTo x="21600" y="0"/>
                <wp:lineTo x="0" y="0"/>
              </wp:wrapPolygon>
            </wp:wrapTight>
            <wp:docPr id="497"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7"/>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2928" behindDoc="1" locked="0" layoutInCell="1" allowOverlap="1" wp14:anchorId="1A91581F" wp14:editId="7AAEC61B">
            <wp:simplePos x="0" y="0"/>
            <wp:positionH relativeFrom="column">
              <wp:posOffset>3022703</wp:posOffset>
            </wp:positionH>
            <wp:positionV relativeFrom="paragraph">
              <wp:posOffset>896084</wp:posOffset>
            </wp:positionV>
            <wp:extent cx="2999917" cy="2311293"/>
            <wp:effectExtent l="0" t="0" r="10160" b="13335"/>
            <wp:wrapTight wrapText="bothSides">
              <wp:wrapPolygon edited="0">
                <wp:start x="0" y="0"/>
                <wp:lineTo x="0" y="21606"/>
                <wp:lineTo x="21582" y="21606"/>
                <wp:lineTo x="21582" y="0"/>
                <wp:lineTo x="0" y="0"/>
              </wp:wrapPolygon>
            </wp:wrapTight>
            <wp:docPr id="505" name="Chart 505">
              <a:extLst xmlns:a="http://schemas.openxmlformats.org/drawingml/2006/main">
                <a:ext uri="{FF2B5EF4-FFF2-40B4-BE49-F238E27FC236}">
                  <a16:creationId xmlns:a16="http://schemas.microsoft.com/office/drawing/2014/main" id="{00000000-0008-0000-03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8"/>
              </a:graphicData>
            </a:graphic>
            <wp14:sizeRelH relativeFrom="page">
              <wp14:pctWidth>0</wp14:pctWidth>
            </wp14:sizeRelH>
            <wp14:sizeRelV relativeFrom="page">
              <wp14:pctHeight>0</wp14:pctHeight>
            </wp14:sizeRelV>
          </wp:anchor>
        </w:drawing>
      </w:r>
      <w:bookmarkEnd w:id="300"/>
      <w:bookmarkEnd w:id="301"/>
      <w:bookmarkEnd w:id="302"/>
    </w:p>
    <w:p w14:paraId="04F1E2E5" w14:textId="1208B4B6" w:rsidR="00003215" w:rsidRDefault="00003215" w:rsidP="00003215"/>
    <w:p w14:paraId="251F57E1" w14:textId="61907FD2" w:rsidR="0070447D" w:rsidRPr="006B42D6" w:rsidRDefault="0070447D" w:rsidP="0070447D">
      <w:pPr>
        <w:pStyle w:val="Heading4"/>
      </w:pPr>
      <w:bookmarkStart w:id="308" w:name="_Toc82385702"/>
      <w:r w:rsidRPr="006B42D6">
        <w:lastRenderedPageBreak/>
        <w:t>3.</w:t>
      </w:r>
      <w:r w:rsidR="00193728">
        <w:t>3</w:t>
      </w:r>
      <w:r w:rsidRPr="006B42D6">
        <w:t>.2.3</w:t>
      </w:r>
      <w:r w:rsidRPr="006B42D6">
        <w:tab/>
        <w:t>Pulses</w:t>
      </w:r>
      <w:bookmarkEnd w:id="308"/>
      <w:r w:rsidRPr="006B42D6">
        <w:t xml:space="preserve"> </w:t>
      </w:r>
    </w:p>
    <w:p w14:paraId="592E0B2D" w14:textId="77A01275" w:rsidR="002F27F0" w:rsidRDefault="00BF3F99" w:rsidP="0075251B">
      <w:r w:rsidRPr="006B42D6">
        <w:t>Census result show</w:t>
      </w:r>
      <w:r w:rsidR="00C0630F">
        <w:t>s</w:t>
      </w:r>
      <w:r w:rsidRPr="006B42D6">
        <w:t xml:space="preserve"> that, beans, cow peas, green gram, pigeon peas, chick peas, bambaranuts, field peas, and fiwi were reported to be irrigated in Tanzania. In </w:t>
      </w:r>
      <w:r w:rsidR="00EA1552">
        <w:t>Mainland Tanzania</w:t>
      </w:r>
      <w:r w:rsidRPr="006B42D6">
        <w:t xml:space="preserve">, </w:t>
      </w:r>
      <w:r w:rsidR="00C0630F">
        <w:t xml:space="preserve">the total irrigated area under pulses was 21,120 ha during short rainy season, of which </w:t>
      </w:r>
      <w:r w:rsidRPr="006B42D6">
        <w:t xml:space="preserve">beans occupied the largest area under irrigation (20,540 ha; 97.3 percent), followed by cowpeas (432 ha; 2.0 percent), while the least irrigated area was occupied by green gram (65 ha; 0.3 percent). Similarly, </w:t>
      </w:r>
      <w:r w:rsidR="00C0630F">
        <w:t xml:space="preserve">out of the total irrigated area under pulses (10,019 ha) </w:t>
      </w:r>
      <w:r w:rsidRPr="006B42D6">
        <w:t>during long rainy season, beans occupied the largest area under irrigation (8,898 ha; 88.8 percent), followed by field peas (439 ha; 4.4 percent), whereas the least irrigated area was occupied by fiwi</w:t>
      </w:r>
      <w:r w:rsidR="00C0630F">
        <w:t xml:space="preserve"> (77 ha; 0.8 percent)</w:t>
      </w:r>
      <w:r w:rsidRPr="006B42D6">
        <w:t xml:space="preserve">. </w:t>
      </w:r>
    </w:p>
    <w:p w14:paraId="12EDD3C4" w14:textId="77777777" w:rsidR="002F27F0" w:rsidRPr="002F27F0" w:rsidRDefault="002F27F0" w:rsidP="002F27F0">
      <w:pPr>
        <w:spacing w:line="240" w:lineRule="auto"/>
        <w:rPr>
          <w:sz w:val="20"/>
          <w:szCs w:val="20"/>
        </w:rPr>
      </w:pPr>
    </w:p>
    <w:p w14:paraId="3E7B1D5E" w14:textId="71A1AB49" w:rsidR="0070447D" w:rsidRPr="006B42D6" w:rsidRDefault="00BF3F99" w:rsidP="0075251B">
      <w:r w:rsidRPr="006B42D6">
        <w:t xml:space="preserve">In Tanzania Zanzibar, </w:t>
      </w:r>
      <w:r w:rsidR="002F27F0">
        <w:t xml:space="preserve">out of the total irrigated area under pulses (182 ha) </w:t>
      </w:r>
      <w:r w:rsidR="002F27F0" w:rsidRPr="006B42D6">
        <w:t>during short rainy season</w:t>
      </w:r>
      <w:r w:rsidR="002F27F0">
        <w:t xml:space="preserve">, </w:t>
      </w:r>
      <w:r w:rsidRPr="006B42D6">
        <w:t>cowpeas occupied the largest area under irrigation (114 ha; 62.4 percent), followed by bambaranut (65 ha; 35.8 percent), while the least irrigated area was occupied by pigeon peas (3 ha; 1.8 percent). Similarly, during long rainy season, cowpeas was the only pulse crop irrigated</w:t>
      </w:r>
      <w:r w:rsidR="00C61EB9" w:rsidRPr="006B42D6">
        <w:t>,</w:t>
      </w:r>
      <w:r w:rsidRPr="006B42D6">
        <w:t xml:space="preserve"> occupying an area of 35 ha</w:t>
      </w:r>
      <w:r w:rsidR="002F27F0">
        <w:t xml:space="preserve"> (100.0 percent)</w:t>
      </w:r>
      <w:r w:rsidRPr="006B42D6">
        <w:t xml:space="preserve"> </w:t>
      </w:r>
      <w:r w:rsidR="0070447D" w:rsidRPr="006B42D6">
        <w:t>(Figure 3.</w:t>
      </w:r>
      <w:r w:rsidR="00AE0110" w:rsidRPr="006B42D6">
        <w:t>5</w:t>
      </w:r>
      <w:r w:rsidR="0070447D" w:rsidRPr="006B42D6">
        <w:t>7 &amp; 3.</w:t>
      </w:r>
      <w:r w:rsidR="00AE0110" w:rsidRPr="006B42D6">
        <w:t>5</w:t>
      </w:r>
      <w:r w:rsidR="0070447D" w:rsidRPr="006B42D6">
        <w:t>8).</w:t>
      </w:r>
    </w:p>
    <w:p w14:paraId="5C51B979" w14:textId="78803F1C" w:rsidR="00717D76" w:rsidRDefault="00717D76" w:rsidP="0056599D">
      <w:pPr>
        <w:spacing w:line="240" w:lineRule="auto"/>
      </w:pPr>
    </w:p>
    <w:p w14:paraId="4EB6039B" w14:textId="22156BB6" w:rsidR="006D1F4E" w:rsidRDefault="00910B94" w:rsidP="00EF0C26">
      <w:r w:rsidRPr="006B42D6">
        <w:rPr>
          <w:noProof/>
        </w:rPr>
        <w:drawing>
          <wp:anchor distT="0" distB="0" distL="114300" distR="114300" simplePos="0" relativeHeight="251677696" behindDoc="0" locked="0" layoutInCell="1" allowOverlap="1" wp14:anchorId="53351322" wp14:editId="0CFE3E96">
            <wp:simplePos x="0" y="0"/>
            <wp:positionH relativeFrom="column">
              <wp:posOffset>3059430</wp:posOffset>
            </wp:positionH>
            <wp:positionV relativeFrom="paragraph">
              <wp:posOffset>826770</wp:posOffset>
            </wp:positionV>
            <wp:extent cx="2901315" cy="1987550"/>
            <wp:effectExtent l="0" t="0" r="6985" b="6350"/>
            <wp:wrapTight wrapText="bothSides">
              <wp:wrapPolygon edited="0">
                <wp:start x="0" y="0"/>
                <wp:lineTo x="0" y="21531"/>
                <wp:lineTo x="21557" y="21531"/>
                <wp:lineTo x="21557" y="0"/>
                <wp:lineTo x="0" y="0"/>
              </wp:wrapPolygon>
            </wp:wrapTight>
            <wp:docPr id="493" name="Chart 15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9"/>
              </a:graphicData>
            </a:graphic>
            <wp14:sizeRelH relativeFrom="margin">
              <wp14:pctWidth>0</wp14:pctWidth>
            </wp14:sizeRelH>
            <wp14:sizeRelV relativeFrom="margin">
              <wp14:pctHeight>0</wp14:pctHeight>
            </wp14:sizeRelV>
          </wp:anchor>
        </w:drawing>
      </w:r>
      <w:r w:rsidR="006D1F4E" w:rsidRPr="006B42D6">
        <w:rPr>
          <w:noProof/>
        </w:rPr>
        <mc:AlternateContent>
          <mc:Choice Requires="wps">
            <w:drawing>
              <wp:anchor distT="0" distB="0" distL="114300" distR="114300" simplePos="0" relativeHeight="251657216" behindDoc="0" locked="0" layoutInCell="1" allowOverlap="1" wp14:anchorId="40C67ABA" wp14:editId="0C8DE0ED">
                <wp:simplePos x="0" y="0"/>
                <wp:positionH relativeFrom="column">
                  <wp:posOffset>635</wp:posOffset>
                </wp:positionH>
                <wp:positionV relativeFrom="paragraph">
                  <wp:posOffset>127000</wp:posOffset>
                </wp:positionV>
                <wp:extent cx="2992755" cy="594360"/>
                <wp:effectExtent l="0" t="0" r="4445" b="2540"/>
                <wp:wrapSquare wrapText="bothSides"/>
                <wp:docPr id="489"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2755" cy="594360"/>
                        </a:xfrm>
                        <a:prstGeom prst="rect">
                          <a:avLst/>
                        </a:prstGeom>
                        <a:solidFill>
                          <a:prstClr val="white"/>
                        </a:solidFill>
                        <a:ln>
                          <a:noFill/>
                        </a:ln>
                        <a:effectLst/>
                      </wps:spPr>
                      <wps:txbx>
                        <w:txbxContent>
                          <w:p w14:paraId="3EBD1E02" w14:textId="52C73717" w:rsidR="00933456" w:rsidRPr="003403BE" w:rsidRDefault="00933456" w:rsidP="00AE0110">
                            <w:pPr>
                              <w:pStyle w:val="Caption"/>
                            </w:pPr>
                            <w:bookmarkStart w:id="309" w:name="_Toc80120236"/>
                            <w:bookmarkStart w:id="310" w:name="_Toc80884111"/>
                            <w:bookmarkStart w:id="311" w:name="_Toc80884482"/>
                            <w:bookmarkStart w:id="312" w:name="_Toc82386334"/>
                            <w:r w:rsidRPr="003403BE">
                              <w:t>Figure 3.</w:t>
                            </w:r>
                            <w:r>
                              <w:t>57:</w:t>
                            </w:r>
                            <w:r>
                              <w:tab/>
                            </w:r>
                            <w:r w:rsidRPr="003403BE">
                              <w:t xml:space="preserve">Percent of Planted Area </w:t>
                            </w:r>
                            <w:r>
                              <w:t>with</w:t>
                            </w:r>
                            <w:r w:rsidRPr="003403BE">
                              <w:t xml:space="preserve"> </w:t>
                            </w:r>
                            <w:r>
                              <w:t>Pulses</w:t>
                            </w:r>
                            <w:r w:rsidRPr="003403BE">
                              <w:t xml:space="preserve"> under Irrigation</w:t>
                            </w:r>
                            <w:r>
                              <w:t xml:space="preserve"> During 2019/20 Agricultural Year, Mainland Tanzania</w:t>
                            </w:r>
                            <w:bookmarkEnd w:id="309"/>
                            <w:bookmarkEnd w:id="310"/>
                            <w:bookmarkEnd w:id="311"/>
                            <w:bookmarkEnd w:id="312"/>
                            <w:r w:rsidRPr="003403BE">
                              <w:t xml:space="preserve"> </w:t>
                            </w:r>
                          </w:p>
                          <w:p w14:paraId="7834FBDA" w14:textId="77777777" w:rsidR="00933456" w:rsidRPr="00800469" w:rsidRDefault="00933456" w:rsidP="00AE0110">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C67ABA" id="Text Box 30" o:spid="_x0000_s1056" type="#_x0000_t202" style="position:absolute;left:0;text-align:left;margin-left:.05pt;margin-top:10pt;width:235.65pt;height:46.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" stroked="f">
                <v:textbox inset="0,0,0,0">
                  <w:txbxContent>
                    <w:p w14:paraId="3EBD1E02" w14:textId="52C73717" w:rsidR="00933456" w:rsidRPr="003403BE" w:rsidRDefault="00933456" w:rsidP="00AE0110">
                      <w:pPr>
                        <w:pStyle w:val="Caption"/>
                      </w:pPr>
                      <w:bookmarkStart w:id="407" w:name="_Toc80120236"/>
                      <w:bookmarkStart w:id="408" w:name="_Toc80884111"/>
                      <w:bookmarkStart w:id="409" w:name="_Toc80884482"/>
                      <w:bookmarkStart w:id="410" w:name="_Toc82386334"/>
                      <w:r w:rsidRPr="003403BE">
                        <w:t>Figure 3.</w:t>
                      </w:r>
                      <w:r>
                        <w:t>57:</w:t>
                      </w:r>
                      <w:r>
                        <w:tab/>
                      </w:r>
                      <w:r w:rsidRPr="003403BE">
                        <w:t xml:space="preserve">Percent of Planted Area </w:t>
                      </w:r>
                      <w:r>
                        <w:t>with</w:t>
                      </w:r>
                      <w:r w:rsidRPr="003403BE">
                        <w:t xml:space="preserve"> </w:t>
                      </w:r>
                      <w:r>
                        <w:t>Pulses</w:t>
                      </w:r>
                      <w:r w:rsidRPr="003403BE">
                        <w:t xml:space="preserve"> under Irrigation</w:t>
                      </w:r>
                      <w:r>
                        <w:t xml:space="preserve"> During 2019/20 Agricultural Year, Mainland Tanzania</w:t>
                      </w:r>
                      <w:bookmarkEnd w:id="407"/>
                      <w:bookmarkEnd w:id="408"/>
                      <w:bookmarkEnd w:id="409"/>
                      <w:bookmarkEnd w:id="410"/>
                      <w:r w:rsidRPr="003403BE">
                        <w:t xml:space="preserve"> </w:t>
                      </w:r>
                    </w:p>
                    <w:p w14:paraId="7834FBDA" w14:textId="77777777" w:rsidR="00933456" w:rsidRPr="00800469" w:rsidRDefault="00933456" w:rsidP="00AE0110">
                      <w:pPr>
                        <w:pStyle w:val="Caption"/>
                        <w:rPr>
                          <w:noProof/>
                        </w:rPr>
                      </w:pPr>
                    </w:p>
                  </w:txbxContent>
                </v:textbox>
                <w10:wrap type="square"/>
              </v:shape>
            </w:pict>
          </mc:Fallback>
        </mc:AlternateContent>
      </w:r>
      <w:r w:rsidR="006D1F4E" w:rsidRPr="006B42D6">
        <w:rPr>
          <w:noProof/>
        </w:rPr>
        <w:drawing>
          <wp:anchor distT="0" distB="0" distL="114300" distR="114300" simplePos="0" relativeHeight="251676672" behindDoc="0" locked="0" layoutInCell="1" allowOverlap="1" wp14:anchorId="68641707" wp14:editId="10B3B1A6">
            <wp:simplePos x="0" y="0"/>
            <wp:positionH relativeFrom="column">
              <wp:posOffset>-68178</wp:posOffset>
            </wp:positionH>
            <wp:positionV relativeFrom="paragraph">
              <wp:posOffset>827715</wp:posOffset>
            </wp:positionV>
            <wp:extent cx="3060065" cy="1985645"/>
            <wp:effectExtent l="0" t="0" r="13335" b="8255"/>
            <wp:wrapTight wrapText="bothSides">
              <wp:wrapPolygon edited="0">
                <wp:start x="0" y="0"/>
                <wp:lineTo x="0" y="21552"/>
                <wp:lineTo x="21604" y="21552"/>
                <wp:lineTo x="21604" y="0"/>
                <wp:lineTo x="0" y="0"/>
              </wp:wrapPolygon>
            </wp:wrapTight>
            <wp:docPr id="492" name="Chart 15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0"/>
              </a:graphicData>
            </a:graphic>
            <wp14:sizeRelV relativeFrom="margin">
              <wp14:pctHeight>0</wp14:pctHeight>
            </wp14:sizeRelV>
          </wp:anchor>
        </w:drawing>
      </w:r>
      <w:r w:rsidR="006D1F4E" w:rsidRPr="006B42D6">
        <w:rPr>
          <w:noProof/>
        </w:rPr>
        <mc:AlternateContent>
          <mc:Choice Requires="wps">
            <w:drawing>
              <wp:anchor distT="0" distB="0" distL="114300" distR="114300" simplePos="0" relativeHeight="251656192" behindDoc="0" locked="0" layoutInCell="1" allowOverlap="1" wp14:anchorId="736EEAD1" wp14:editId="60BD6FBB">
                <wp:simplePos x="0" y="0"/>
                <wp:positionH relativeFrom="column">
                  <wp:posOffset>3122930</wp:posOffset>
                </wp:positionH>
                <wp:positionV relativeFrom="paragraph">
                  <wp:posOffset>141265</wp:posOffset>
                </wp:positionV>
                <wp:extent cx="2901315" cy="594360"/>
                <wp:effectExtent l="0" t="0" r="0" b="2540"/>
                <wp:wrapSquare wrapText="bothSides"/>
                <wp:docPr id="490"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1315" cy="594360"/>
                        </a:xfrm>
                        <a:prstGeom prst="rect">
                          <a:avLst/>
                        </a:prstGeom>
                        <a:solidFill>
                          <a:prstClr val="white"/>
                        </a:solidFill>
                        <a:ln>
                          <a:noFill/>
                        </a:ln>
                        <a:effectLst/>
                      </wps:spPr>
                      <wps:txbx>
                        <w:txbxContent>
                          <w:p w14:paraId="2CBA5DAA" w14:textId="77FB37C1" w:rsidR="00933456" w:rsidRPr="003403BE" w:rsidRDefault="00933456" w:rsidP="00AE0110">
                            <w:pPr>
                              <w:pStyle w:val="Caption"/>
                            </w:pPr>
                            <w:bookmarkStart w:id="313" w:name="_Toc80120235"/>
                            <w:bookmarkStart w:id="314" w:name="_Toc80884110"/>
                            <w:bookmarkStart w:id="315" w:name="_Toc80884481"/>
                            <w:bookmarkStart w:id="316" w:name="_Toc82386335"/>
                            <w:r w:rsidRPr="003403BE">
                              <w:t>Figure 3.</w:t>
                            </w:r>
                            <w:r>
                              <w:t>58:</w:t>
                            </w:r>
                            <w:r>
                              <w:tab/>
                            </w:r>
                            <w:r w:rsidRPr="003403BE">
                              <w:t xml:space="preserve">Percent of Planted Area </w:t>
                            </w:r>
                            <w:r>
                              <w:t>with</w:t>
                            </w:r>
                            <w:r w:rsidRPr="003403BE">
                              <w:t xml:space="preserve"> </w:t>
                            </w:r>
                            <w:r>
                              <w:t>Pulses</w:t>
                            </w:r>
                            <w:r w:rsidRPr="003403BE">
                              <w:t xml:space="preserve"> under Irrigation</w:t>
                            </w:r>
                            <w:r>
                              <w:t xml:space="preserve"> During 2019/20 Agricultural Year, Tanzania </w:t>
                            </w:r>
                            <w:r w:rsidRPr="003403BE">
                              <w:t>Zanzibar</w:t>
                            </w:r>
                            <w:bookmarkEnd w:id="313"/>
                            <w:bookmarkEnd w:id="314"/>
                            <w:bookmarkEnd w:id="315"/>
                            <w:bookmarkEnd w:id="316"/>
                            <w:r w:rsidRPr="003403BE">
                              <w:t xml:space="preserve"> </w:t>
                            </w:r>
                          </w:p>
                          <w:p w14:paraId="04A811BC" w14:textId="77777777" w:rsidR="00933456" w:rsidRPr="00CF653C" w:rsidRDefault="00933456" w:rsidP="00AE0110">
                            <w:pPr>
                              <w:pStyle w:val="Caption"/>
                              <w:rPr>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EEAD1" id="_x0000_s1057" type="#_x0000_t202" style="position:absolute;left:0;text-align:left;margin-left:245.9pt;margin-top:11.1pt;width:228.45pt;height:46.8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" stroked="f">
                <v:textbox inset="0,0,0,0">
                  <w:txbxContent>
                    <w:p w14:paraId="2CBA5DAA" w14:textId="77FB37C1" w:rsidR="00933456" w:rsidRPr="003403BE" w:rsidRDefault="00933456" w:rsidP="00AE0110">
                      <w:pPr>
                        <w:pStyle w:val="Caption"/>
                      </w:pPr>
                      <w:bookmarkStart w:id="415" w:name="_Toc80120235"/>
                      <w:bookmarkStart w:id="416" w:name="_Toc80884110"/>
                      <w:bookmarkStart w:id="417" w:name="_Toc80884481"/>
                      <w:bookmarkStart w:id="418" w:name="_Toc82386335"/>
                      <w:r w:rsidRPr="003403BE">
                        <w:t>Figure 3.</w:t>
                      </w:r>
                      <w:r>
                        <w:t>58:</w:t>
                      </w:r>
                      <w:r>
                        <w:tab/>
                      </w:r>
                      <w:r w:rsidRPr="003403BE">
                        <w:t xml:space="preserve">Percent of Planted Area </w:t>
                      </w:r>
                      <w:r>
                        <w:t>with</w:t>
                      </w:r>
                      <w:r w:rsidRPr="003403BE">
                        <w:t xml:space="preserve"> </w:t>
                      </w:r>
                      <w:r>
                        <w:t>Pulses</w:t>
                      </w:r>
                      <w:r w:rsidRPr="003403BE">
                        <w:t xml:space="preserve"> under Irrigation</w:t>
                      </w:r>
                      <w:r>
                        <w:t xml:space="preserve"> During 2019/20 Agricultural Year, Tanzania </w:t>
                      </w:r>
                      <w:r w:rsidRPr="003403BE">
                        <w:t>Zanzibar</w:t>
                      </w:r>
                      <w:bookmarkEnd w:id="415"/>
                      <w:bookmarkEnd w:id="416"/>
                      <w:bookmarkEnd w:id="417"/>
                      <w:bookmarkEnd w:id="418"/>
                      <w:r w:rsidRPr="003403BE">
                        <w:t xml:space="preserve"> </w:t>
                      </w:r>
                    </w:p>
                    <w:p w14:paraId="04A811BC" w14:textId="77777777" w:rsidR="00933456" w:rsidRPr="00CF653C" w:rsidRDefault="00933456" w:rsidP="00AE0110">
                      <w:pPr>
                        <w:pStyle w:val="Caption"/>
                        <w:rPr>
                          <w:noProof/>
                          <w:sz w:val="24"/>
                          <w:szCs w:val="24"/>
                        </w:rPr>
                      </w:pPr>
                    </w:p>
                  </w:txbxContent>
                </v:textbox>
                <w10:wrap type="square"/>
              </v:shape>
            </w:pict>
          </mc:Fallback>
        </mc:AlternateContent>
      </w:r>
    </w:p>
    <w:p w14:paraId="59E12154" w14:textId="6DC4BABD" w:rsidR="0070447D" w:rsidRPr="006B42D6" w:rsidRDefault="0070447D" w:rsidP="0070447D">
      <w:pPr>
        <w:pStyle w:val="Heading4"/>
      </w:pPr>
      <w:bookmarkStart w:id="317" w:name="_Toc82385703"/>
      <w:r w:rsidRPr="006B42D6">
        <w:rPr>
          <w:bCs/>
        </w:rPr>
        <w:t>3.</w:t>
      </w:r>
      <w:r w:rsidR="00193728">
        <w:rPr>
          <w:bCs/>
        </w:rPr>
        <w:t>3</w:t>
      </w:r>
      <w:r w:rsidRPr="006B42D6">
        <w:rPr>
          <w:bCs/>
        </w:rPr>
        <w:t>.2.4</w:t>
      </w:r>
      <w:r w:rsidRPr="006B42D6">
        <w:rPr>
          <w:bCs/>
        </w:rPr>
        <w:tab/>
      </w:r>
      <w:r w:rsidRPr="006B42D6">
        <w:t>Fruits and Vegetables</w:t>
      </w:r>
      <w:bookmarkEnd w:id="317"/>
      <w:r w:rsidRPr="006B42D6">
        <w:t xml:space="preserve"> </w:t>
      </w:r>
    </w:p>
    <w:p w14:paraId="34AE9D2C" w14:textId="1488DCE4" w:rsidR="00615875" w:rsidRPr="006B42D6" w:rsidRDefault="00262A5B" w:rsidP="0075251B">
      <w:r w:rsidRPr="006B42D6">
        <w:t xml:space="preserve">Census results show that, fruits and vegetables were </w:t>
      </w:r>
      <w:r w:rsidR="00615875" w:rsidRPr="006B42D6">
        <w:t xml:space="preserve">among crops </w:t>
      </w:r>
      <w:r w:rsidRPr="006B42D6">
        <w:t>reported to be irrigated in Tanzania</w:t>
      </w:r>
      <w:r w:rsidR="00615875" w:rsidRPr="006B42D6">
        <w:t xml:space="preserve"> by smallholder farmers</w:t>
      </w:r>
      <w:r w:rsidRPr="006B42D6">
        <w:t xml:space="preserve">. </w:t>
      </w:r>
      <w:r w:rsidR="00615875" w:rsidRPr="006B42D6">
        <w:t xml:space="preserve">In </w:t>
      </w:r>
      <w:r w:rsidR="00EA1552">
        <w:t>Mainland Tanzania</w:t>
      </w:r>
      <w:r w:rsidR="00615875" w:rsidRPr="006B42D6">
        <w:t>, a total of 44,408 ha was irrigated during short rainy season and 53,441 ha in long rainy season. Tanzania Zanzibar, a total of 5,851 ha was irrigated during short rainy season and 2,314 ha in long rainy season.</w:t>
      </w:r>
    </w:p>
    <w:p w14:paraId="3EA53C7B" w14:textId="77777777" w:rsidR="00323277" w:rsidRDefault="00615875" w:rsidP="0075251B">
      <w:r w:rsidRPr="006B42D6">
        <w:lastRenderedPageBreak/>
        <w:t xml:space="preserve">In </w:t>
      </w:r>
      <w:r w:rsidR="00EA1552">
        <w:t>Mainland Tanzania</w:t>
      </w:r>
      <w:r w:rsidR="00262A5B" w:rsidRPr="006B42D6">
        <w:t xml:space="preserve">, </w:t>
      </w:r>
      <w:r w:rsidR="00266A20">
        <w:t>out of the total irrigated area under fruits and vegetable (</w:t>
      </w:r>
      <w:r w:rsidR="00323277">
        <w:t xml:space="preserve">44,408 ha) </w:t>
      </w:r>
      <w:r w:rsidR="00323277" w:rsidRPr="006B42D6">
        <w:t>during short rainy season</w:t>
      </w:r>
      <w:r w:rsidR="00323277">
        <w:t xml:space="preserve">, </w:t>
      </w:r>
      <w:r w:rsidRPr="006B42D6">
        <w:t>tomato</w:t>
      </w:r>
      <w:r w:rsidR="00262A5B" w:rsidRPr="006B42D6">
        <w:t xml:space="preserve"> occupied the largest area under irrigation (</w:t>
      </w:r>
      <w:r w:rsidRPr="006B42D6">
        <w:t>14,592</w:t>
      </w:r>
      <w:r w:rsidR="00262A5B" w:rsidRPr="006B42D6">
        <w:t xml:space="preserve"> ha; </w:t>
      </w:r>
      <w:r w:rsidRPr="006B42D6">
        <w:t>32</w:t>
      </w:r>
      <w:r w:rsidR="00262A5B" w:rsidRPr="006B42D6">
        <w:t>.</w:t>
      </w:r>
      <w:r w:rsidRPr="006B42D6">
        <w:t>9</w:t>
      </w:r>
      <w:r w:rsidR="00262A5B" w:rsidRPr="006B42D6">
        <w:t xml:space="preserve"> percent), followed by </w:t>
      </w:r>
      <w:r w:rsidRPr="006B42D6">
        <w:t>onion</w:t>
      </w:r>
      <w:r w:rsidR="00262A5B" w:rsidRPr="006B42D6">
        <w:t xml:space="preserve"> (</w:t>
      </w:r>
      <w:r w:rsidRPr="006B42D6">
        <w:t>7,110</w:t>
      </w:r>
      <w:r w:rsidR="00262A5B" w:rsidRPr="006B42D6">
        <w:t xml:space="preserve"> ha; 1</w:t>
      </w:r>
      <w:r w:rsidRPr="006B42D6">
        <w:t>6</w:t>
      </w:r>
      <w:r w:rsidR="00262A5B" w:rsidRPr="006B42D6">
        <w:t>.</w:t>
      </w:r>
      <w:r w:rsidRPr="006B42D6">
        <w:t>0</w:t>
      </w:r>
      <w:r w:rsidR="00262A5B" w:rsidRPr="006B42D6">
        <w:t xml:space="preserve"> percent),</w:t>
      </w:r>
      <w:r w:rsidRPr="006B42D6">
        <w:t xml:space="preserve"> and watermelon (7,081 ha; 15.9 percent),</w:t>
      </w:r>
      <w:r w:rsidR="00262A5B" w:rsidRPr="006B42D6">
        <w:t xml:space="preserve"> while the least irrigated areas was occupied by </w:t>
      </w:r>
      <w:r w:rsidRPr="006B42D6">
        <w:t>strawberry</w:t>
      </w:r>
      <w:r w:rsidR="00262A5B" w:rsidRPr="006B42D6">
        <w:t xml:space="preserve"> (13 ha; </w:t>
      </w:r>
      <w:r w:rsidRPr="006B42D6">
        <w:t>0.03</w:t>
      </w:r>
      <w:r w:rsidR="00262A5B" w:rsidRPr="006B42D6">
        <w:t xml:space="preserve"> percent). Similarly, </w:t>
      </w:r>
      <w:r w:rsidR="00323277">
        <w:t xml:space="preserve">a total of 53,441 ha of fruits and vegetable were irrigated </w:t>
      </w:r>
      <w:r w:rsidR="00262A5B" w:rsidRPr="006B42D6">
        <w:t>during long rainy season</w:t>
      </w:r>
      <w:r w:rsidR="00323277">
        <w:t xml:space="preserve">, of which </w:t>
      </w:r>
      <w:r w:rsidRPr="006B42D6">
        <w:t>tomato</w:t>
      </w:r>
      <w:r w:rsidR="00262A5B" w:rsidRPr="006B42D6">
        <w:t xml:space="preserve"> occupied the largest area under irrigation (</w:t>
      </w:r>
      <w:r w:rsidRPr="006B42D6">
        <w:t>19,730</w:t>
      </w:r>
      <w:r w:rsidR="00262A5B" w:rsidRPr="006B42D6">
        <w:t xml:space="preserve"> ha; </w:t>
      </w:r>
      <w:r w:rsidRPr="006B42D6">
        <w:t>36</w:t>
      </w:r>
      <w:r w:rsidR="00262A5B" w:rsidRPr="006B42D6">
        <w:t>.</w:t>
      </w:r>
      <w:r w:rsidRPr="006B42D6">
        <w:t>9</w:t>
      </w:r>
      <w:r w:rsidR="00262A5B" w:rsidRPr="006B42D6">
        <w:t xml:space="preserve"> percent), followed by </w:t>
      </w:r>
      <w:r w:rsidRPr="006B42D6">
        <w:t>onion</w:t>
      </w:r>
      <w:r w:rsidR="00262A5B" w:rsidRPr="006B42D6">
        <w:t xml:space="preserve"> (</w:t>
      </w:r>
      <w:r w:rsidRPr="006B42D6">
        <w:t>11,297</w:t>
      </w:r>
      <w:r w:rsidR="00262A5B" w:rsidRPr="006B42D6">
        <w:t xml:space="preserve"> ha; 2</w:t>
      </w:r>
      <w:r w:rsidRPr="006B42D6">
        <w:t>1</w:t>
      </w:r>
      <w:r w:rsidR="00262A5B" w:rsidRPr="006B42D6">
        <w:t>.</w:t>
      </w:r>
      <w:r w:rsidRPr="006B42D6">
        <w:t>1</w:t>
      </w:r>
      <w:r w:rsidR="00262A5B" w:rsidRPr="006B42D6">
        <w:t xml:space="preserve"> percent)</w:t>
      </w:r>
      <w:r w:rsidRPr="006B42D6">
        <w:t xml:space="preserve"> and watermelon (5,565 ha; 10.4 percent)</w:t>
      </w:r>
      <w:r w:rsidR="00262A5B" w:rsidRPr="006B42D6">
        <w:t xml:space="preserve">, </w:t>
      </w:r>
      <w:r w:rsidRPr="006B42D6">
        <w:t>while</w:t>
      </w:r>
      <w:r w:rsidR="00262A5B" w:rsidRPr="006B42D6">
        <w:t xml:space="preserve"> the least irrigated area was occupied by </w:t>
      </w:r>
      <w:r w:rsidRPr="006B42D6">
        <w:t>squash (6 ha; 0.01 percent)</w:t>
      </w:r>
      <w:r w:rsidR="00871C42" w:rsidRPr="006B42D6">
        <w:t>.</w:t>
      </w:r>
      <w:r w:rsidRPr="006B42D6">
        <w:t xml:space="preserve"> </w:t>
      </w:r>
    </w:p>
    <w:p w14:paraId="090E4330" w14:textId="65337340" w:rsidR="00323277" w:rsidRDefault="00323277" w:rsidP="00041C5B">
      <w:pPr>
        <w:spacing w:line="240" w:lineRule="auto"/>
      </w:pPr>
    </w:p>
    <w:p w14:paraId="770EC202" w14:textId="735327DB" w:rsidR="00615875" w:rsidRPr="006B42D6" w:rsidRDefault="00615875" w:rsidP="0075251B">
      <w:r w:rsidRPr="006B42D6">
        <w:t xml:space="preserve">In Tanzania Zanzibar, </w:t>
      </w:r>
      <w:r w:rsidR="00323277">
        <w:t xml:space="preserve">out of the total irrigated area under fruits and vegetable (5,851 ha) </w:t>
      </w:r>
      <w:r w:rsidR="00323277" w:rsidRPr="006B42D6">
        <w:t>during short rainy season</w:t>
      </w:r>
      <w:r w:rsidR="00323277">
        <w:t xml:space="preserve">, </w:t>
      </w:r>
      <w:r w:rsidRPr="006B42D6">
        <w:t>watermelon occupied the largest area under irrigation (1,468 ha; 25.1 percent), followed by tomato (1,097 ha; 18.7 percent) and okra (935 ha; 16.0 percent), whilst the least irrigated area was occupied by cabbage (2 ha; 0.03 percent). On the other</w:t>
      </w:r>
      <w:r w:rsidR="00323277">
        <w:t xml:space="preserve"> hand</w:t>
      </w:r>
      <w:r w:rsidRPr="006B42D6">
        <w:t>, during long rainy season, tomato occupied the largest area under irrigation (462 ha; 20.0 percent), followed by amaranth (398 ha; 17.2 percent), whereas the least irrigated area was occupied by sweet/bell pepper (4 ha; 0.2 percent) (</w:t>
      </w:r>
      <w:r w:rsidR="00871C42" w:rsidRPr="006B42D6">
        <w:t>Table</w:t>
      </w:r>
      <w:r w:rsidRPr="006B42D6">
        <w:t xml:space="preserve"> 3.</w:t>
      </w:r>
      <w:r w:rsidR="00C61EB9" w:rsidRPr="006B42D6">
        <w:t>2</w:t>
      </w:r>
      <w:r w:rsidR="00CD75FC">
        <w:t>0</w:t>
      </w:r>
      <w:r w:rsidRPr="006B42D6">
        <w:t xml:space="preserve">). </w:t>
      </w:r>
    </w:p>
    <w:p w14:paraId="5BC57467" w14:textId="77777777" w:rsidR="0075251B" w:rsidRDefault="0075251B">
      <w:pPr>
        <w:spacing w:line="240" w:lineRule="auto"/>
        <w:contextualSpacing w:val="0"/>
        <w:jc w:val="left"/>
        <w:rPr>
          <w:b/>
          <w:iCs/>
          <w:sz w:val="20"/>
          <w:szCs w:val="20"/>
        </w:rPr>
      </w:pPr>
      <w:r>
        <w:br w:type="page"/>
      </w:r>
    </w:p>
    <w:p w14:paraId="59824358" w14:textId="6A2A3CFA" w:rsidR="0070447D" w:rsidRPr="006B42D6" w:rsidRDefault="00871C42" w:rsidP="007200F6">
      <w:pPr>
        <w:pStyle w:val="Heading7"/>
        <w:rPr>
          <w:szCs w:val="18"/>
        </w:rPr>
      </w:pPr>
      <w:bookmarkStart w:id="318" w:name="_Toc82386202"/>
      <w:r w:rsidRPr="006B42D6">
        <w:lastRenderedPageBreak/>
        <w:t>Table 3.</w:t>
      </w:r>
      <w:r w:rsidR="00C61EB9" w:rsidRPr="006B42D6">
        <w:t>2</w:t>
      </w:r>
      <w:r w:rsidR="00CD75FC">
        <w:t>0</w:t>
      </w:r>
      <w:r w:rsidR="009E2AFC">
        <w:t>:</w:t>
      </w:r>
      <w:r w:rsidR="009E2AFC">
        <w:tab/>
      </w:r>
      <w:r w:rsidR="0070447D" w:rsidRPr="006B42D6">
        <w:t>Percent</w:t>
      </w:r>
      <w:r w:rsidRPr="006B42D6">
        <w:t>age</w:t>
      </w:r>
      <w:r w:rsidR="0070447D" w:rsidRPr="006B42D6">
        <w:t xml:space="preserve"> of Area planted with Fruits and Vegetables </w:t>
      </w:r>
      <w:r w:rsidR="00C61EB9" w:rsidRPr="006B42D6">
        <w:t>U</w:t>
      </w:r>
      <w:r w:rsidR="0070447D" w:rsidRPr="006B42D6">
        <w:t xml:space="preserve">nder Irrigation </w:t>
      </w:r>
      <w:r w:rsidRPr="006B42D6">
        <w:t>by</w:t>
      </w:r>
      <w:r w:rsidR="00EF42FD" w:rsidRPr="006B42D6">
        <w:t xml:space="preserve"> </w:t>
      </w:r>
      <w:r w:rsidR="00EF42FD" w:rsidRPr="006B42D6">
        <w:rPr>
          <w:szCs w:val="18"/>
        </w:rPr>
        <w:t>Seasons</w:t>
      </w:r>
      <w:r w:rsidRPr="006B42D6">
        <w:rPr>
          <w:szCs w:val="18"/>
        </w:rPr>
        <w:t xml:space="preserve"> During 2019/20 Agricultural Year</w:t>
      </w:r>
      <w:r w:rsidR="0070447D" w:rsidRPr="006B42D6">
        <w:rPr>
          <w:szCs w:val="18"/>
        </w:rPr>
        <w:t>, Tanzania</w:t>
      </w:r>
      <w:bookmarkEnd w:id="318"/>
      <w:r w:rsidR="0070447D" w:rsidRPr="006B42D6">
        <w:rPr>
          <w:szCs w:val="18"/>
        </w:rPr>
        <w:t xml:space="preserve"> </w:t>
      </w:r>
    </w:p>
    <w:tbl>
      <w:tblPr>
        <w:tblW w:w="5000" w:type="pct"/>
        <w:tblLook w:val="04A0" w:firstRow="1" w:lastRow="0" w:firstColumn="1" w:lastColumn="0" w:noHBand="0" w:noVBand="1"/>
      </w:tblPr>
      <w:tblGrid>
        <w:gridCol w:w="2290"/>
        <w:gridCol w:w="1736"/>
        <w:gridCol w:w="1738"/>
        <w:gridCol w:w="1736"/>
        <w:gridCol w:w="1736"/>
      </w:tblGrid>
      <w:tr w:rsidR="006B42D6" w:rsidRPr="006B42D6" w14:paraId="1BF123A4" w14:textId="77777777" w:rsidTr="002C051F">
        <w:trPr>
          <w:trHeight w:val="227"/>
        </w:trPr>
        <w:tc>
          <w:tcPr>
            <w:tcW w:w="1239" w:type="pct"/>
            <w:vMerge w:val="restart"/>
            <w:tcBorders>
              <w:top w:val="single" w:sz="4" w:space="0" w:color="auto"/>
              <w:left w:val="nil"/>
              <w:bottom w:val="single" w:sz="4" w:space="0" w:color="000000"/>
              <w:right w:val="nil"/>
            </w:tcBorders>
            <w:shd w:val="clear" w:color="auto" w:fill="E2EFD9" w:themeFill="accent6" w:themeFillTint="33"/>
            <w:vAlign w:val="center"/>
            <w:hideMark/>
          </w:tcPr>
          <w:p w14:paraId="06B62BE2" w14:textId="77777777" w:rsidR="00871C42" w:rsidRPr="006B42D6" w:rsidRDefault="00871C42" w:rsidP="00871C42">
            <w:pPr>
              <w:rPr>
                <w:sz w:val="18"/>
                <w:szCs w:val="18"/>
              </w:rPr>
            </w:pPr>
            <w:r w:rsidRPr="006B42D6">
              <w:rPr>
                <w:sz w:val="18"/>
                <w:szCs w:val="18"/>
              </w:rPr>
              <w:t xml:space="preserve">Crop </w:t>
            </w:r>
          </w:p>
        </w:tc>
        <w:tc>
          <w:tcPr>
            <w:tcW w:w="1881" w:type="pct"/>
            <w:gridSpan w:val="2"/>
            <w:tcBorders>
              <w:top w:val="single" w:sz="4" w:space="0" w:color="auto"/>
              <w:left w:val="nil"/>
              <w:bottom w:val="single" w:sz="4" w:space="0" w:color="auto"/>
              <w:right w:val="single" w:sz="4" w:space="0" w:color="000000"/>
            </w:tcBorders>
            <w:shd w:val="clear" w:color="auto" w:fill="E2EFD9" w:themeFill="accent6" w:themeFillTint="33"/>
            <w:noWrap/>
            <w:vAlign w:val="bottom"/>
            <w:hideMark/>
          </w:tcPr>
          <w:p w14:paraId="15BE2C16" w14:textId="6A2C8204" w:rsidR="00871C42" w:rsidRPr="006B42D6" w:rsidRDefault="00EA1552" w:rsidP="00871C42">
            <w:pPr>
              <w:jc w:val="center"/>
              <w:rPr>
                <w:sz w:val="18"/>
                <w:szCs w:val="18"/>
              </w:rPr>
            </w:pPr>
            <w:r>
              <w:rPr>
                <w:sz w:val="18"/>
                <w:szCs w:val="18"/>
              </w:rPr>
              <w:t>Mainland Tanzania</w:t>
            </w:r>
          </w:p>
        </w:tc>
        <w:tc>
          <w:tcPr>
            <w:tcW w:w="1880" w:type="pct"/>
            <w:gridSpan w:val="2"/>
            <w:tcBorders>
              <w:top w:val="single" w:sz="4" w:space="0" w:color="auto"/>
              <w:left w:val="nil"/>
              <w:bottom w:val="single" w:sz="4" w:space="0" w:color="auto"/>
              <w:right w:val="nil"/>
            </w:tcBorders>
            <w:shd w:val="clear" w:color="auto" w:fill="E2EFD9" w:themeFill="accent6" w:themeFillTint="33"/>
            <w:noWrap/>
            <w:vAlign w:val="bottom"/>
            <w:hideMark/>
          </w:tcPr>
          <w:p w14:paraId="3BADF733" w14:textId="77777777" w:rsidR="00871C42" w:rsidRPr="006B42D6" w:rsidRDefault="00871C42" w:rsidP="00871C42">
            <w:pPr>
              <w:jc w:val="center"/>
              <w:rPr>
                <w:sz w:val="18"/>
                <w:szCs w:val="18"/>
              </w:rPr>
            </w:pPr>
            <w:r w:rsidRPr="006B42D6">
              <w:rPr>
                <w:sz w:val="18"/>
                <w:szCs w:val="18"/>
              </w:rPr>
              <w:t>Tanzania Zanzibar</w:t>
            </w:r>
          </w:p>
        </w:tc>
      </w:tr>
      <w:tr w:rsidR="006B42D6" w:rsidRPr="006B42D6" w14:paraId="2D5255A2" w14:textId="77777777" w:rsidTr="002C051F">
        <w:trPr>
          <w:trHeight w:val="227"/>
        </w:trPr>
        <w:tc>
          <w:tcPr>
            <w:tcW w:w="1239" w:type="pct"/>
            <w:vMerge/>
            <w:tcBorders>
              <w:top w:val="single" w:sz="4" w:space="0" w:color="auto"/>
              <w:left w:val="nil"/>
              <w:bottom w:val="single" w:sz="4" w:space="0" w:color="000000"/>
              <w:right w:val="nil"/>
            </w:tcBorders>
            <w:shd w:val="clear" w:color="auto" w:fill="E2EFD9" w:themeFill="accent6" w:themeFillTint="33"/>
            <w:vAlign w:val="center"/>
            <w:hideMark/>
          </w:tcPr>
          <w:p w14:paraId="0CF10254" w14:textId="77777777" w:rsidR="00871C42" w:rsidRPr="006B42D6" w:rsidRDefault="00871C42" w:rsidP="00871C42">
            <w:pPr>
              <w:rPr>
                <w:sz w:val="18"/>
                <w:szCs w:val="18"/>
              </w:rPr>
            </w:pPr>
          </w:p>
        </w:tc>
        <w:tc>
          <w:tcPr>
            <w:tcW w:w="940" w:type="pct"/>
            <w:tcBorders>
              <w:top w:val="nil"/>
              <w:left w:val="nil"/>
              <w:bottom w:val="single" w:sz="4" w:space="0" w:color="auto"/>
              <w:right w:val="nil"/>
            </w:tcBorders>
            <w:shd w:val="clear" w:color="auto" w:fill="E2EFD9" w:themeFill="accent6" w:themeFillTint="33"/>
            <w:noWrap/>
            <w:hideMark/>
          </w:tcPr>
          <w:p w14:paraId="14F30964" w14:textId="77777777" w:rsidR="00871C42" w:rsidRPr="006B42D6" w:rsidRDefault="00871C42" w:rsidP="00871C42">
            <w:pPr>
              <w:rPr>
                <w:sz w:val="18"/>
                <w:szCs w:val="18"/>
              </w:rPr>
            </w:pPr>
            <w:r w:rsidRPr="006B42D6">
              <w:rPr>
                <w:sz w:val="18"/>
                <w:szCs w:val="18"/>
              </w:rPr>
              <w:t>Short Rainy</w:t>
            </w:r>
          </w:p>
        </w:tc>
        <w:tc>
          <w:tcPr>
            <w:tcW w:w="941" w:type="pct"/>
            <w:tcBorders>
              <w:top w:val="nil"/>
              <w:left w:val="nil"/>
              <w:bottom w:val="single" w:sz="4" w:space="0" w:color="auto"/>
              <w:right w:val="single" w:sz="4" w:space="0" w:color="auto"/>
            </w:tcBorders>
            <w:shd w:val="clear" w:color="auto" w:fill="E2EFD9" w:themeFill="accent6" w:themeFillTint="33"/>
            <w:noWrap/>
            <w:hideMark/>
          </w:tcPr>
          <w:p w14:paraId="4ABBEFA2" w14:textId="77777777" w:rsidR="00871C42" w:rsidRPr="006B42D6" w:rsidRDefault="00871C42" w:rsidP="00871C42">
            <w:pPr>
              <w:rPr>
                <w:sz w:val="18"/>
                <w:szCs w:val="18"/>
              </w:rPr>
            </w:pPr>
            <w:r w:rsidRPr="006B42D6">
              <w:rPr>
                <w:sz w:val="18"/>
                <w:szCs w:val="18"/>
              </w:rPr>
              <w:t>Long Rainy</w:t>
            </w:r>
          </w:p>
        </w:tc>
        <w:tc>
          <w:tcPr>
            <w:tcW w:w="940" w:type="pct"/>
            <w:tcBorders>
              <w:top w:val="nil"/>
              <w:left w:val="nil"/>
              <w:bottom w:val="single" w:sz="4" w:space="0" w:color="auto"/>
              <w:right w:val="nil"/>
            </w:tcBorders>
            <w:shd w:val="clear" w:color="auto" w:fill="E2EFD9" w:themeFill="accent6" w:themeFillTint="33"/>
            <w:noWrap/>
            <w:hideMark/>
          </w:tcPr>
          <w:p w14:paraId="26E4FD6F" w14:textId="77777777" w:rsidR="00871C42" w:rsidRPr="006B42D6" w:rsidRDefault="00871C42" w:rsidP="00871C42">
            <w:pPr>
              <w:rPr>
                <w:sz w:val="18"/>
                <w:szCs w:val="18"/>
              </w:rPr>
            </w:pPr>
            <w:r w:rsidRPr="006B42D6">
              <w:rPr>
                <w:sz w:val="18"/>
                <w:szCs w:val="18"/>
              </w:rPr>
              <w:t>Short Rainy</w:t>
            </w:r>
          </w:p>
        </w:tc>
        <w:tc>
          <w:tcPr>
            <w:tcW w:w="940" w:type="pct"/>
            <w:tcBorders>
              <w:top w:val="nil"/>
              <w:left w:val="nil"/>
              <w:bottom w:val="single" w:sz="4" w:space="0" w:color="auto"/>
              <w:right w:val="nil"/>
            </w:tcBorders>
            <w:shd w:val="clear" w:color="auto" w:fill="E2EFD9" w:themeFill="accent6" w:themeFillTint="33"/>
            <w:noWrap/>
            <w:hideMark/>
          </w:tcPr>
          <w:p w14:paraId="39DB4E29" w14:textId="77777777" w:rsidR="00871C42" w:rsidRPr="006B42D6" w:rsidRDefault="00871C42" w:rsidP="00871C42">
            <w:pPr>
              <w:rPr>
                <w:sz w:val="18"/>
                <w:szCs w:val="18"/>
              </w:rPr>
            </w:pPr>
            <w:r w:rsidRPr="006B42D6">
              <w:rPr>
                <w:sz w:val="18"/>
                <w:szCs w:val="18"/>
              </w:rPr>
              <w:t>Long Rainy</w:t>
            </w:r>
          </w:p>
        </w:tc>
      </w:tr>
      <w:tr w:rsidR="006B42D6" w:rsidRPr="006B42D6" w14:paraId="185B1076" w14:textId="77777777" w:rsidTr="002C051F">
        <w:trPr>
          <w:trHeight w:val="283"/>
        </w:trPr>
        <w:tc>
          <w:tcPr>
            <w:tcW w:w="1239" w:type="pct"/>
            <w:tcBorders>
              <w:top w:val="nil"/>
              <w:left w:val="nil"/>
              <w:bottom w:val="nil"/>
              <w:right w:val="nil"/>
            </w:tcBorders>
            <w:shd w:val="clear" w:color="auto" w:fill="auto"/>
            <w:noWrap/>
            <w:vAlign w:val="bottom"/>
            <w:hideMark/>
          </w:tcPr>
          <w:p w14:paraId="4AAC006B" w14:textId="77777777" w:rsidR="00871C42" w:rsidRPr="006B42D6" w:rsidRDefault="00871C42" w:rsidP="00871C42">
            <w:pPr>
              <w:rPr>
                <w:sz w:val="18"/>
                <w:szCs w:val="18"/>
              </w:rPr>
            </w:pPr>
            <w:r w:rsidRPr="006B42D6">
              <w:rPr>
                <w:sz w:val="18"/>
                <w:szCs w:val="18"/>
              </w:rPr>
              <w:t>Onion</w:t>
            </w:r>
          </w:p>
        </w:tc>
        <w:tc>
          <w:tcPr>
            <w:tcW w:w="940" w:type="pct"/>
            <w:tcBorders>
              <w:top w:val="nil"/>
              <w:left w:val="nil"/>
              <w:bottom w:val="nil"/>
              <w:right w:val="nil"/>
            </w:tcBorders>
            <w:shd w:val="clear" w:color="auto" w:fill="auto"/>
            <w:noWrap/>
            <w:vAlign w:val="bottom"/>
            <w:hideMark/>
          </w:tcPr>
          <w:p w14:paraId="4398D72C" w14:textId="5E20491D" w:rsidR="00871C42" w:rsidRPr="006B42D6" w:rsidRDefault="00871C42" w:rsidP="00871C42">
            <w:pPr>
              <w:jc w:val="right"/>
              <w:rPr>
                <w:sz w:val="18"/>
                <w:szCs w:val="18"/>
              </w:rPr>
            </w:pPr>
            <w:r w:rsidRPr="006B42D6">
              <w:rPr>
                <w:sz w:val="18"/>
                <w:szCs w:val="18"/>
              </w:rPr>
              <w:t>16.0</w:t>
            </w:r>
          </w:p>
        </w:tc>
        <w:tc>
          <w:tcPr>
            <w:tcW w:w="941" w:type="pct"/>
            <w:tcBorders>
              <w:top w:val="nil"/>
              <w:left w:val="nil"/>
              <w:bottom w:val="nil"/>
              <w:right w:val="single" w:sz="4" w:space="0" w:color="auto"/>
            </w:tcBorders>
            <w:shd w:val="clear" w:color="auto" w:fill="auto"/>
            <w:noWrap/>
            <w:vAlign w:val="bottom"/>
            <w:hideMark/>
          </w:tcPr>
          <w:p w14:paraId="598385B4" w14:textId="325AEBAB" w:rsidR="00871C42" w:rsidRPr="006B42D6" w:rsidRDefault="00871C42" w:rsidP="00871C42">
            <w:pPr>
              <w:jc w:val="right"/>
              <w:rPr>
                <w:sz w:val="18"/>
                <w:szCs w:val="18"/>
              </w:rPr>
            </w:pPr>
            <w:r w:rsidRPr="006B42D6">
              <w:rPr>
                <w:sz w:val="18"/>
                <w:szCs w:val="18"/>
              </w:rPr>
              <w:t>21.1</w:t>
            </w:r>
          </w:p>
        </w:tc>
        <w:tc>
          <w:tcPr>
            <w:tcW w:w="940" w:type="pct"/>
            <w:tcBorders>
              <w:top w:val="nil"/>
              <w:left w:val="nil"/>
              <w:bottom w:val="nil"/>
              <w:right w:val="nil"/>
            </w:tcBorders>
            <w:shd w:val="clear" w:color="auto" w:fill="auto"/>
            <w:noWrap/>
            <w:vAlign w:val="bottom"/>
            <w:hideMark/>
          </w:tcPr>
          <w:p w14:paraId="25AD389D" w14:textId="2AAA368F" w:rsidR="00871C42" w:rsidRPr="006B42D6" w:rsidRDefault="00871C42" w:rsidP="00871C42">
            <w:pPr>
              <w:jc w:val="right"/>
              <w:rPr>
                <w:sz w:val="18"/>
                <w:szCs w:val="18"/>
              </w:rPr>
            </w:pPr>
            <w:r w:rsidRPr="006B42D6">
              <w:rPr>
                <w:sz w:val="18"/>
                <w:szCs w:val="18"/>
              </w:rPr>
              <w:t>0.2</w:t>
            </w:r>
          </w:p>
        </w:tc>
        <w:tc>
          <w:tcPr>
            <w:tcW w:w="940" w:type="pct"/>
            <w:tcBorders>
              <w:top w:val="nil"/>
              <w:left w:val="nil"/>
              <w:bottom w:val="nil"/>
              <w:right w:val="nil"/>
            </w:tcBorders>
            <w:shd w:val="clear" w:color="auto" w:fill="auto"/>
            <w:noWrap/>
            <w:vAlign w:val="bottom"/>
            <w:hideMark/>
          </w:tcPr>
          <w:p w14:paraId="016199EF" w14:textId="7FF91012" w:rsidR="00871C42" w:rsidRPr="006B42D6" w:rsidRDefault="00871C42" w:rsidP="00871C42">
            <w:pPr>
              <w:jc w:val="right"/>
              <w:rPr>
                <w:sz w:val="18"/>
                <w:szCs w:val="18"/>
              </w:rPr>
            </w:pPr>
            <w:r w:rsidRPr="006B42D6">
              <w:rPr>
                <w:sz w:val="18"/>
                <w:szCs w:val="18"/>
              </w:rPr>
              <w:t>-</w:t>
            </w:r>
          </w:p>
        </w:tc>
      </w:tr>
      <w:tr w:rsidR="002C051F" w:rsidRPr="006B42D6" w14:paraId="1520D9BA" w14:textId="77777777" w:rsidTr="002C051F">
        <w:trPr>
          <w:trHeight w:val="283"/>
        </w:trPr>
        <w:tc>
          <w:tcPr>
            <w:tcW w:w="1239" w:type="pct"/>
            <w:tcBorders>
              <w:top w:val="nil"/>
              <w:left w:val="nil"/>
              <w:bottom w:val="nil"/>
              <w:right w:val="nil"/>
            </w:tcBorders>
            <w:shd w:val="clear" w:color="auto" w:fill="auto"/>
            <w:noWrap/>
            <w:vAlign w:val="bottom"/>
            <w:hideMark/>
          </w:tcPr>
          <w:p w14:paraId="78933FE7" w14:textId="77777777" w:rsidR="002C051F" w:rsidRPr="006B42D6" w:rsidRDefault="002C051F" w:rsidP="002C051F">
            <w:pPr>
              <w:rPr>
                <w:sz w:val="18"/>
                <w:szCs w:val="18"/>
              </w:rPr>
            </w:pPr>
            <w:r w:rsidRPr="006B42D6">
              <w:rPr>
                <w:sz w:val="18"/>
                <w:szCs w:val="18"/>
              </w:rPr>
              <w:t>Ginger</w:t>
            </w:r>
          </w:p>
        </w:tc>
        <w:tc>
          <w:tcPr>
            <w:tcW w:w="940" w:type="pct"/>
            <w:tcBorders>
              <w:top w:val="nil"/>
              <w:left w:val="nil"/>
              <w:bottom w:val="nil"/>
              <w:right w:val="nil"/>
            </w:tcBorders>
            <w:shd w:val="clear" w:color="auto" w:fill="auto"/>
            <w:noWrap/>
            <w:vAlign w:val="bottom"/>
            <w:hideMark/>
          </w:tcPr>
          <w:p w14:paraId="44077FBC" w14:textId="0DA11C0D" w:rsidR="002C051F" w:rsidRPr="006B42D6" w:rsidRDefault="002C051F" w:rsidP="002C051F">
            <w:pPr>
              <w:jc w:val="right"/>
              <w:rPr>
                <w:sz w:val="18"/>
                <w:szCs w:val="18"/>
              </w:rPr>
            </w:pPr>
            <w:r w:rsidRPr="006B42D6">
              <w:rPr>
                <w:sz w:val="18"/>
                <w:szCs w:val="18"/>
              </w:rPr>
              <w:t>4.8</w:t>
            </w:r>
          </w:p>
        </w:tc>
        <w:tc>
          <w:tcPr>
            <w:tcW w:w="941" w:type="pct"/>
            <w:tcBorders>
              <w:top w:val="nil"/>
              <w:left w:val="nil"/>
              <w:bottom w:val="nil"/>
              <w:right w:val="single" w:sz="4" w:space="0" w:color="auto"/>
            </w:tcBorders>
            <w:shd w:val="clear" w:color="auto" w:fill="auto"/>
            <w:noWrap/>
            <w:vAlign w:val="bottom"/>
            <w:hideMark/>
          </w:tcPr>
          <w:p w14:paraId="6EBC2670" w14:textId="281E3EB5" w:rsidR="002C051F" w:rsidRPr="006B42D6" w:rsidRDefault="002C051F" w:rsidP="002C051F">
            <w:pPr>
              <w:jc w:val="right"/>
              <w:rPr>
                <w:sz w:val="18"/>
                <w:szCs w:val="18"/>
              </w:rPr>
            </w:pPr>
            <w:r w:rsidRPr="006B42D6">
              <w:rPr>
                <w:sz w:val="18"/>
                <w:szCs w:val="18"/>
              </w:rPr>
              <w:t>0.9</w:t>
            </w:r>
          </w:p>
        </w:tc>
        <w:tc>
          <w:tcPr>
            <w:tcW w:w="940" w:type="pct"/>
            <w:tcBorders>
              <w:top w:val="nil"/>
              <w:left w:val="nil"/>
              <w:bottom w:val="nil"/>
              <w:right w:val="nil"/>
            </w:tcBorders>
            <w:shd w:val="clear" w:color="auto" w:fill="auto"/>
            <w:noWrap/>
            <w:vAlign w:val="bottom"/>
            <w:hideMark/>
          </w:tcPr>
          <w:p w14:paraId="431B7A0B" w14:textId="7C30819B" w:rsidR="002C051F" w:rsidRPr="006B42D6" w:rsidRDefault="002C051F" w:rsidP="002C051F">
            <w:pPr>
              <w:jc w:val="right"/>
              <w:rPr>
                <w:sz w:val="18"/>
                <w:szCs w:val="18"/>
              </w:rPr>
            </w:pPr>
            <w:r w:rsidRPr="006B42D6">
              <w:rPr>
                <w:sz w:val="18"/>
                <w:szCs w:val="18"/>
              </w:rPr>
              <w:t>-</w:t>
            </w:r>
          </w:p>
        </w:tc>
        <w:tc>
          <w:tcPr>
            <w:tcW w:w="940" w:type="pct"/>
            <w:tcBorders>
              <w:top w:val="nil"/>
              <w:left w:val="nil"/>
              <w:bottom w:val="nil"/>
              <w:right w:val="nil"/>
            </w:tcBorders>
            <w:shd w:val="clear" w:color="auto" w:fill="auto"/>
            <w:noWrap/>
            <w:vAlign w:val="bottom"/>
            <w:hideMark/>
          </w:tcPr>
          <w:p w14:paraId="1025CC72" w14:textId="0E06C185" w:rsidR="002C051F" w:rsidRPr="006B42D6" w:rsidRDefault="002C051F" w:rsidP="002C051F">
            <w:pPr>
              <w:jc w:val="right"/>
              <w:rPr>
                <w:sz w:val="18"/>
                <w:szCs w:val="18"/>
              </w:rPr>
            </w:pPr>
            <w:r w:rsidRPr="006B42D6">
              <w:rPr>
                <w:sz w:val="18"/>
                <w:szCs w:val="18"/>
              </w:rPr>
              <w:t>-</w:t>
            </w:r>
          </w:p>
        </w:tc>
      </w:tr>
      <w:tr w:rsidR="002C051F" w:rsidRPr="006B42D6" w14:paraId="6D62CB7F" w14:textId="77777777" w:rsidTr="002C051F">
        <w:trPr>
          <w:trHeight w:val="283"/>
        </w:trPr>
        <w:tc>
          <w:tcPr>
            <w:tcW w:w="1239" w:type="pct"/>
            <w:tcBorders>
              <w:top w:val="nil"/>
              <w:left w:val="nil"/>
              <w:bottom w:val="nil"/>
              <w:right w:val="nil"/>
            </w:tcBorders>
            <w:shd w:val="clear" w:color="auto" w:fill="auto"/>
            <w:noWrap/>
            <w:vAlign w:val="bottom"/>
            <w:hideMark/>
          </w:tcPr>
          <w:p w14:paraId="284D83C5" w14:textId="77777777" w:rsidR="002C051F" w:rsidRPr="006B42D6" w:rsidRDefault="002C051F" w:rsidP="002C051F">
            <w:pPr>
              <w:rPr>
                <w:sz w:val="18"/>
                <w:szCs w:val="18"/>
              </w:rPr>
            </w:pPr>
            <w:r w:rsidRPr="006B42D6">
              <w:rPr>
                <w:sz w:val="18"/>
                <w:szCs w:val="18"/>
              </w:rPr>
              <w:t>Garlic</w:t>
            </w:r>
          </w:p>
        </w:tc>
        <w:tc>
          <w:tcPr>
            <w:tcW w:w="940" w:type="pct"/>
            <w:tcBorders>
              <w:top w:val="nil"/>
              <w:left w:val="nil"/>
              <w:bottom w:val="nil"/>
              <w:right w:val="nil"/>
            </w:tcBorders>
            <w:shd w:val="clear" w:color="auto" w:fill="auto"/>
            <w:noWrap/>
            <w:vAlign w:val="bottom"/>
            <w:hideMark/>
          </w:tcPr>
          <w:p w14:paraId="40C4F62E" w14:textId="785B32FB" w:rsidR="002C051F" w:rsidRPr="006B42D6" w:rsidRDefault="002C051F" w:rsidP="002C051F">
            <w:pPr>
              <w:jc w:val="right"/>
              <w:rPr>
                <w:sz w:val="18"/>
                <w:szCs w:val="18"/>
              </w:rPr>
            </w:pPr>
            <w:r w:rsidRPr="006B42D6">
              <w:rPr>
                <w:sz w:val="18"/>
                <w:szCs w:val="18"/>
              </w:rPr>
              <w:t>0.2</w:t>
            </w:r>
          </w:p>
        </w:tc>
        <w:tc>
          <w:tcPr>
            <w:tcW w:w="941" w:type="pct"/>
            <w:tcBorders>
              <w:top w:val="nil"/>
              <w:left w:val="nil"/>
              <w:bottom w:val="nil"/>
              <w:right w:val="single" w:sz="4" w:space="0" w:color="auto"/>
            </w:tcBorders>
            <w:shd w:val="clear" w:color="auto" w:fill="auto"/>
            <w:noWrap/>
            <w:vAlign w:val="bottom"/>
            <w:hideMark/>
          </w:tcPr>
          <w:p w14:paraId="5F2525D7" w14:textId="1FE10345" w:rsidR="002C051F" w:rsidRPr="006B42D6" w:rsidRDefault="002C051F" w:rsidP="002C051F">
            <w:pPr>
              <w:jc w:val="right"/>
              <w:rPr>
                <w:sz w:val="18"/>
                <w:szCs w:val="18"/>
              </w:rPr>
            </w:pPr>
            <w:r w:rsidRPr="006B42D6">
              <w:rPr>
                <w:sz w:val="18"/>
                <w:szCs w:val="18"/>
              </w:rPr>
              <w:t>0.7</w:t>
            </w:r>
          </w:p>
        </w:tc>
        <w:tc>
          <w:tcPr>
            <w:tcW w:w="940" w:type="pct"/>
            <w:tcBorders>
              <w:top w:val="nil"/>
              <w:left w:val="nil"/>
              <w:bottom w:val="nil"/>
              <w:right w:val="nil"/>
            </w:tcBorders>
            <w:shd w:val="clear" w:color="auto" w:fill="auto"/>
            <w:noWrap/>
            <w:vAlign w:val="bottom"/>
            <w:hideMark/>
          </w:tcPr>
          <w:p w14:paraId="2F298EDC" w14:textId="0541D062" w:rsidR="002C051F" w:rsidRPr="006B42D6" w:rsidRDefault="002C051F" w:rsidP="002C051F">
            <w:pPr>
              <w:jc w:val="right"/>
              <w:rPr>
                <w:sz w:val="18"/>
                <w:szCs w:val="18"/>
              </w:rPr>
            </w:pPr>
            <w:r w:rsidRPr="006B42D6">
              <w:rPr>
                <w:sz w:val="18"/>
                <w:szCs w:val="18"/>
              </w:rPr>
              <w:t>-</w:t>
            </w:r>
          </w:p>
        </w:tc>
        <w:tc>
          <w:tcPr>
            <w:tcW w:w="940" w:type="pct"/>
            <w:tcBorders>
              <w:top w:val="nil"/>
              <w:left w:val="nil"/>
              <w:bottom w:val="nil"/>
              <w:right w:val="nil"/>
            </w:tcBorders>
            <w:shd w:val="clear" w:color="auto" w:fill="auto"/>
            <w:noWrap/>
            <w:vAlign w:val="bottom"/>
            <w:hideMark/>
          </w:tcPr>
          <w:p w14:paraId="685A5B05" w14:textId="2CD1ACD5" w:rsidR="002C051F" w:rsidRPr="006B42D6" w:rsidRDefault="002C051F" w:rsidP="002C051F">
            <w:pPr>
              <w:jc w:val="right"/>
              <w:rPr>
                <w:sz w:val="18"/>
                <w:szCs w:val="18"/>
              </w:rPr>
            </w:pPr>
            <w:r w:rsidRPr="006B42D6">
              <w:rPr>
                <w:sz w:val="18"/>
                <w:szCs w:val="18"/>
              </w:rPr>
              <w:t>-</w:t>
            </w:r>
          </w:p>
        </w:tc>
      </w:tr>
      <w:tr w:rsidR="002C051F" w:rsidRPr="006B42D6" w14:paraId="46D2260A" w14:textId="77777777" w:rsidTr="002C051F">
        <w:trPr>
          <w:trHeight w:val="283"/>
        </w:trPr>
        <w:tc>
          <w:tcPr>
            <w:tcW w:w="1239" w:type="pct"/>
            <w:tcBorders>
              <w:top w:val="nil"/>
              <w:left w:val="nil"/>
              <w:bottom w:val="nil"/>
              <w:right w:val="nil"/>
            </w:tcBorders>
            <w:shd w:val="clear" w:color="auto" w:fill="auto"/>
            <w:noWrap/>
            <w:vAlign w:val="bottom"/>
            <w:hideMark/>
          </w:tcPr>
          <w:p w14:paraId="0225AA92" w14:textId="77777777" w:rsidR="002C051F" w:rsidRPr="006B42D6" w:rsidRDefault="002C051F" w:rsidP="002C051F">
            <w:pPr>
              <w:rPr>
                <w:sz w:val="18"/>
                <w:szCs w:val="18"/>
              </w:rPr>
            </w:pPr>
            <w:r w:rsidRPr="006B42D6">
              <w:rPr>
                <w:sz w:val="18"/>
                <w:szCs w:val="18"/>
              </w:rPr>
              <w:t>Strawberry</w:t>
            </w:r>
          </w:p>
        </w:tc>
        <w:tc>
          <w:tcPr>
            <w:tcW w:w="940" w:type="pct"/>
            <w:tcBorders>
              <w:top w:val="nil"/>
              <w:left w:val="nil"/>
              <w:bottom w:val="nil"/>
              <w:right w:val="nil"/>
            </w:tcBorders>
            <w:shd w:val="clear" w:color="auto" w:fill="auto"/>
            <w:noWrap/>
            <w:vAlign w:val="bottom"/>
            <w:hideMark/>
          </w:tcPr>
          <w:p w14:paraId="7A0D5803" w14:textId="4168C878" w:rsidR="002C051F" w:rsidRPr="006B42D6" w:rsidRDefault="002C051F" w:rsidP="002C051F">
            <w:pPr>
              <w:jc w:val="right"/>
              <w:rPr>
                <w:sz w:val="18"/>
                <w:szCs w:val="18"/>
              </w:rPr>
            </w:pPr>
            <w:r w:rsidRPr="006B42D6">
              <w:rPr>
                <w:sz w:val="18"/>
                <w:szCs w:val="18"/>
              </w:rPr>
              <w:t>0.03</w:t>
            </w:r>
          </w:p>
        </w:tc>
        <w:tc>
          <w:tcPr>
            <w:tcW w:w="941" w:type="pct"/>
            <w:tcBorders>
              <w:top w:val="nil"/>
              <w:left w:val="nil"/>
              <w:bottom w:val="nil"/>
              <w:right w:val="single" w:sz="4" w:space="0" w:color="auto"/>
            </w:tcBorders>
            <w:shd w:val="clear" w:color="auto" w:fill="auto"/>
            <w:noWrap/>
            <w:vAlign w:val="bottom"/>
            <w:hideMark/>
          </w:tcPr>
          <w:p w14:paraId="6CF6550A" w14:textId="7A1DA300" w:rsidR="002C051F" w:rsidRPr="006B42D6" w:rsidRDefault="002C051F" w:rsidP="002C051F">
            <w:pPr>
              <w:jc w:val="right"/>
              <w:rPr>
                <w:sz w:val="18"/>
                <w:szCs w:val="18"/>
              </w:rPr>
            </w:pPr>
            <w:r w:rsidRPr="006B42D6">
              <w:rPr>
                <w:sz w:val="18"/>
                <w:szCs w:val="18"/>
              </w:rPr>
              <w:t>-</w:t>
            </w:r>
          </w:p>
        </w:tc>
        <w:tc>
          <w:tcPr>
            <w:tcW w:w="940" w:type="pct"/>
            <w:tcBorders>
              <w:top w:val="nil"/>
              <w:left w:val="nil"/>
              <w:bottom w:val="nil"/>
              <w:right w:val="nil"/>
            </w:tcBorders>
            <w:shd w:val="clear" w:color="auto" w:fill="auto"/>
            <w:noWrap/>
            <w:vAlign w:val="bottom"/>
            <w:hideMark/>
          </w:tcPr>
          <w:p w14:paraId="41294B68" w14:textId="3B26ACDF" w:rsidR="002C051F" w:rsidRPr="006B42D6" w:rsidRDefault="002C051F" w:rsidP="002C051F">
            <w:pPr>
              <w:jc w:val="right"/>
              <w:rPr>
                <w:sz w:val="18"/>
                <w:szCs w:val="18"/>
              </w:rPr>
            </w:pPr>
            <w:r w:rsidRPr="006B42D6">
              <w:rPr>
                <w:sz w:val="18"/>
                <w:szCs w:val="18"/>
              </w:rPr>
              <w:t>-</w:t>
            </w:r>
          </w:p>
        </w:tc>
        <w:tc>
          <w:tcPr>
            <w:tcW w:w="940" w:type="pct"/>
            <w:tcBorders>
              <w:top w:val="nil"/>
              <w:left w:val="nil"/>
              <w:bottom w:val="nil"/>
              <w:right w:val="nil"/>
            </w:tcBorders>
            <w:shd w:val="clear" w:color="auto" w:fill="auto"/>
            <w:noWrap/>
            <w:vAlign w:val="bottom"/>
            <w:hideMark/>
          </w:tcPr>
          <w:p w14:paraId="683EA879" w14:textId="6E4A2900" w:rsidR="002C051F" w:rsidRPr="006B42D6" w:rsidRDefault="002C051F" w:rsidP="002C051F">
            <w:pPr>
              <w:jc w:val="right"/>
              <w:rPr>
                <w:sz w:val="18"/>
                <w:szCs w:val="18"/>
              </w:rPr>
            </w:pPr>
            <w:r w:rsidRPr="006B42D6">
              <w:rPr>
                <w:sz w:val="18"/>
                <w:szCs w:val="18"/>
              </w:rPr>
              <w:t>-</w:t>
            </w:r>
          </w:p>
        </w:tc>
      </w:tr>
      <w:tr w:rsidR="002C051F" w:rsidRPr="006B42D6" w14:paraId="7A722DC0" w14:textId="77777777" w:rsidTr="002C051F">
        <w:trPr>
          <w:trHeight w:val="283"/>
        </w:trPr>
        <w:tc>
          <w:tcPr>
            <w:tcW w:w="1239" w:type="pct"/>
            <w:tcBorders>
              <w:top w:val="nil"/>
              <w:left w:val="nil"/>
              <w:bottom w:val="nil"/>
              <w:right w:val="nil"/>
            </w:tcBorders>
            <w:shd w:val="clear" w:color="auto" w:fill="auto"/>
            <w:noWrap/>
            <w:vAlign w:val="bottom"/>
            <w:hideMark/>
          </w:tcPr>
          <w:p w14:paraId="070A1FAF" w14:textId="77777777" w:rsidR="002C051F" w:rsidRPr="006B42D6" w:rsidRDefault="002C051F" w:rsidP="002C051F">
            <w:pPr>
              <w:rPr>
                <w:sz w:val="18"/>
                <w:szCs w:val="18"/>
              </w:rPr>
            </w:pPr>
            <w:r w:rsidRPr="006B42D6">
              <w:rPr>
                <w:sz w:val="18"/>
                <w:szCs w:val="18"/>
              </w:rPr>
              <w:t>Cabbage</w:t>
            </w:r>
          </w:p>
        </w:tc>
        <w:tc>
          <w:tcPr>
            <w:tcW w:w="940" w:type="pct"/>
            <w:tcBorders>
              <w:top w:val="nil"/>
              <w:left w:val="nil"/>
              <w:bottom w:val="nil"/>
              <w:right w:val="nil"/>
            </w:tcBorders>
            <w:shd w:val="clear" w:color="auto" w:fill="auto"/>
            <w:noWrap/>
            <w:vAlign w:val="bottom"/>
            <w:hideMark/>
          </w:tcPr>
          <w:p w14:paraId="2A6E2C15" w14:textId="38F43F78" w:rsidR="002C051F" w:rsidRPr="006B42D6" w:rsidRDefault="002C051F" w:rsidP="002C051F">
            <w:pPr>
              <w:jc w:val="right"/>
              <w:rPr>
                <w:sz w:val="18"/>
                <w:szCs w:val="18"/>
              </w:rPr>
            </w:pPr>
            <w:r w:rsidRPr="006B42D6">
              <w:rPr>
                <w:sz w:val="18"/>
                <w:szCs w:val="18"/>
              </w:rPr>
              <w:t>2.6</w:t>
            </w:r>
          </w:p>
        </w:tc>
        <w:tc>
          <w:tcPr>
            <w:tcW w:w="941" w:type="pct"/>
            <w:tcBorders>
              <w:top w:val="nil"/>
              <w:left w:val="nil"/>
              <w:bottom w:val="nil"/>
              <w:right w:val="single" w:sz="4" w:space="0" w:color="auto"/>
            </w:tcBorders>
            <w:shd w:val="clear" w:color="auto" w:fill="auto"/>
            <w:noWrap/>
            <w:vAlign w:val="bottom"/>
            <w:hideMark/>
          </w:tcPr>
          <w:p w14:paraId="5F9DDB3F" w14:textId="15AFDB0F" w:rsidR="002C051F" w:rsidRPr="006B42D6" w:rsidRDefault="002C051F" w:rsidP="002C051F">
            <w:pPr>
              <w:jc w:val="right"/>
              <w:rPr>
                <w:sz w:val="18"/>
                <w:szCs w:val="18"/>
              </w:rPr>
            </w:pPr>
            <w:r w:rsidRPr="006B42D6">
              <w:rPr>
                <w:sz w:val="18"/>
                <w:szCs w:val="18"/>
              </w:rPr>
              <w:t>4.1</w:t>
            </w:r>
          </w:p>
        </w:tc>
        <w:tc>
          <w:tcPr>
            <w:tcW w:w="940" w:type="pct"/>
            <w:tcBorders>
              <w:top w:val="nil"/>
              <w:left w:val="nil"/>
              <w:bottom w:val="nil"/>
              <w:right w:val="nil"/>
            </w:tcBorders>
            <w:shd w:val="clear" w:color="auto" w:fill="auto"/>
            <w:noWrap/>
            <w:vAlign w:val="bottom"/>
            <w:hideMark/>
          </w:tcPr>
          <w:p w14:paraId="45F0F3E0" w14:textId="67D09854" w:rsidR="002C051F" w:rsidRPr="006B42D6" w:rsidRDefault="002C051F" w:rsidP="002C051F">
            <w:pPr>
              <w:jc w:val="right"/>
              <w:rPr>
                <w:sz w:val="18"/>
                <w:szCs w:val="18"/>
              </w:rPr>
            </w:pPr>
            <w:r w:rsidRPr="006B42D6">
              <w:rPr>
                <w:sz w:val="18"/>
                <w:szCs w:val="18"/>
              </w:rPr>
              <w:t>0.0</w:t>
            </w:r>
          </w:p>
        </w:tc>
        <w:tc>
          <w:tcPr>
            <w:tcW w:w="940" w:type="pct"/>
            <w:tcBorders>
              <w:top w:val="nil"/>
              <w:left w:val="nil"/>
              <w:bottom w:val="nil"/>
              <w:right w:val="nil"/>
            </w:tcBorders>
            <w:shd w:val="clear" w:color="auto" w:fill="auto"/>
            <w:noWrap/>
            <w:vAlign w:val="bottom"/>
            <w:hideMark/>
          </w:tcPr>
          <w:p w14:paraId="47C8B91B" w14:textId="28757483" w:rsidR="002C051F" w:rsidRPr="006B42D6" w:rsidRDefault="002C051F" w:rsidP="002C051F">
            <w:pPr>
              <w:jc w:val="right"/>
              <w:rPr>
                <w:sz w:val="18"/>
                <w:szCs w:val="18"/>
              </w:rPr>
            </w:pPr>
            <w:r w:rsidRPr="006B42D6">
              <w:rPr>
                <w:sz w:val="18"/>
                <w:szCs w:val="18"/>
              </w:rPr>
              <w:t>-</w:t>
            </w:r>
          </w:p>
        </w:tc>
      </w:tr>
      <w:tr w:rsidR="002C051F" w:rsidRPr="006B42D6" w14:paraId="1728C137" w14:textId="77777777" w:rsidTr="002C051F">
        <w:trPr>
          <w:trHeight w:val="283"/>
        </w:trPr>
        <w:tc>
          <w:tcPr>
            <w:tcW w:w="1239" w:type="pct"/>
            <w:tcBorders>
              <w:top w:val="nil"/>
              <w:left w:val="nil"/>
              <w:bottom w:val="nil"/>
              <w:right w:val="nil"/>
            </w:tcBorders>
            <w:shd w:val="clear" w:color="auto" w:fill="auto"/>
            <w:noWrap/>
            <w:vAlign w:val="bottom"/>
            <w:hideMark/>
          </w:tcPr>
          <w:p w14:paraId="09522301" w14:textId="77777777" w:rsidR="002C051F" w:rsidRPr="006B42D6" w:rsidRDefault="002C051F" w:rsidP="002C051F">
            <w:pPr>
              <w:rPr>
                <w:sz w:val="18"/>
                <w:szCs w:val="18"/>
              </w:rPr>
            </w:pPr>
            <w:r w:rsidRPr="006B42D6">
              <w:rPr>
                <w:sz w:val="18"/>
                <w:szCs w:val="18"/>
              </w:rPr>
              <w:t>Spinach</w:t>
            </w:r>
          </w:p>
        </w:tc>
        <w:tc>
          <w:tcPr>
            <w:tcW w:w="940" w:type="pct"/>
            <w:tcBorders>
              <w:top w:val="nil"/>
              <w:left w:val="nil"/>
              <w:bottom w:val="nil"/>
              <w:right w:val="nil"/>
            </w:tcBorders>
            <w:shd w:val="clear" w:color="auto" w:fill="auto"/>
            <w:noWrap/>
            <w:vAlign w:val="bottom"/>
            <w:hideMark/>
          </w:tcPr>
          <w:p w14:paraId="2F158168" w14:textId="4C9E0C70" w:rsidR="002C051F" w:rsidRPr="006B42D6" w:rsidRDefault="002C051F" w:rsidP="002C051F">
            <w:pPr>
              <w:jc w:val="right"/>
              <w:rPr>
                <w:sz w:val="18"/>
                <w:szCs w:val="18"/>
              </w:rPr>
            </w:pPr>
            <w:r w:rsidRPr="006B42D6">
              <w:rPr>
                <w:sz w:val="18"/>
                <w:szCs w:val="18"/>
              </w:rPr>
              <w:t>4.0</w:t>
            </w:r>
          </w:p>
        </w:tc>
        <w:tc>
          <w:tcPr>
            <w:tcW w:w="941" w:type="pct"/>
            <w:tcBorders>
              <w:top w:val="nil"/>
              <w:left w:val="nil"/>
              <w:bottom w:val="nil"/>
              <w:right w:val="single" w:sz="4" w:space="0" w:color="auto"/>
            </w:tcBorders>
            <w:shd w:val="clear" w:color="auto" w:fill="auto"/>
            <w:noWrap/>
            <w:vAlign w:val="bottom"/>
            <w:hideMark/>
          </w:tcPr>
          <w:p w14:paraId="6712346B" w14:textId="265FED28" w:rsidR="002C051F" w:rsidRPr="006B42D6" w:rsidRDefault="002C051F" w:rsidP="002C051F">
            <w:pPr>
              <w:jc w:val="right"/>
              <w:rPr>
                <w:sz w:val="18"/>
                <w:szCs w:val="18"/>
              </w:rPr>
            </w:pPr>
            <w:r w:rsidRPr="006B42D6">
              <w:rPr>
                <w:sz w:val="18"/>
                <w:szCs w:val="18"/>
              </w:rPr>
              <w:t>4.4</w:t>
            </w:r>
          </w:p>
        </w:tc>
        <w:tc>
          <w:tcPr>
            <w:tcW w:w="940" w:type="pct"/>
            <w:tcBorders>
              <w:top w:val="nil"/>
              <w:left w:val="nil"/>
              <w:bottom w:val="nil"/>
              <w:right w:val="nil"/>
            </w:tcBorders>
            <w:shd w:val="clear" w:color="auto" w:fill="auto"/>
            <w:noWrap/>
            <w:vAlign w:val="bottom"/>
            <w:hideMark/>
          </w:tcPr>
          <w:p w14:paraId="4071CB35" w14:textId="7FAD24F4" w:rsidR="002C051F" w:rsidRPr="006B42D6" w:rsidRDefault="002C051F" w:rsidP="002C051F">
            <w:pPr>
              <w:jc w:val="right"/>
              <w:rPr>
                <w:sz w:val="18"/>
                <w:szCs w:val="18"/>
              </w:rPr>
            </w:pPr>
            <w:r w:rsidRPr="006B42D6">
              <w:rPr>
                <w:sz w:val="18"/>
                <w:szCs w:val="18"/>
              </w:rPr>
              <w:t>0.4</w:t>
            </w:r>
          </w:p>
        </w:tc>
        <w:tc>
          <w:tcPr>
            <w:tcW w:w="940" w:type="pct"/>
            <w:tcBorders>
              <w:top w:val="nil"/>
              <w:left w:val="nil"/>
              <w:bottom w:val="nil"/>
              <w:right w:val="nil"/>
            </w:tcBorders>
            <w:shd w:val="clear" w:color="auto" w:fill="auto"/>
            <w:noWrap/>
            <w:vAlign w:val="bottom"/>
            <w:hideMark/>
          </w:tcPr>
          <w:p w14:paraId="688D7E07" w14:textId="4444F91D" w:rsidR="002C051F" w:rsidRPr="006B42D6" w:rsidRDefault="002C051F" w:rsidP="002C051F">
            <w:pPr>
              <w:jc w:val="right"/>
              <w:rPr>
                <w:sz w:val="18"/>
                <w:szCs w:val="18"/>
              </w:rPr>
            </w:pPr>
            <w:r w:rsidRPr="006B42D6">
              <w:rPr>
                <w:sz w:val="18"/>
                <w:szCs w:val="18"/>
              </w:rPr>
              <w:t>0.5</w:t>
            </w:r>
          </w:p>
        </w:tc>
      </w:tr>
      <w:tr w:rsidR="002C051F" w:rsidRPr="006B42D6" w14:paraId="4A4E28C1" w14:textId="77777777" w:rsidTr="002C051F">
        <w:trPr>
          <w:trHeight w:val="283"/>
        </w:trPr>
        <w:tc>
          <w:tcPr>
            <w:tcW w:w="1239" w:type="pct"/>
            <w:tcBorders>
              <w:top w:val="nil"/>
              <w:left w:val="nil"/>
              <w:bottom w:val="nil"/>
              <w:right w:val="nil"/>
            </w:tcBorders>
            <w:shd w:val="clear" w:color="auto" w:fill="auto"/>
            <w:noWrap/>
            <w:vAlign w:val="bottom"/>
            <w:hideMark/>
          </w:tcPr>
          <w:p w14:paraId="11891953" w14:textId="77777777" w:rsidR="002C051F" w:rsidRPr="006B42D6" w:rsidRDefault="002C051F" w:rsidP="002C051F">
            <w:pPr>
              <w:rPr>
                <w:sz w:val="18"/>
                <w:szCs w:val="18"/>
              </w:rPr>
            </w:pPr>
            <w:r w:rsidRPr="006B42D6">
              <w:rPr>
                <w:sz w:val="18"/>
                <w:szCs w:val="18"/>
              </w:rPr>
              <w:t>Carrot</w:t>
            </w:r>
          </w:p>
        </w:tc>
        <w:tc>
          <w:tcPr>
            <w:tcW w:w="940" w:type="pct"/>
            <w:tcBorders>
              <w:top w:val="nil"/>
              <w:left w:val="nil"/>
              <w:bottom w:val="nil"/>
              <w:right w:val="nil"/>
            </w:tcBorders>
            <w:shd w:val="clear" w:color="auto" w:fill="auto"/>
            <w:noWrap/>
            <w:vAlign w:val="bottom"/>
            <w:hideMark/>
          </w:tcPr>
          <w:p w14:paraId="539D3D6C" w14:textId="48BA96F4" w:rsidR="002C051F" w:rsidRPr="006B42D6" w:rsidRDefault="002C051F" w:rsidP="002C051F">
            <w:pPr>
              <w:jc w:val="right"/>
              <w:rPr>
                <w:sz w:val="18"/>
                <w:szCs w:val="18"/>
              </w:rPr>
            </w:pPr>
            <w:r w:rsidRPr="006B42D6">
              <w:rPr>
                <w:sz w:val="18"/>
                <w:szCs w:val="18"/>
              </w:rPr>
              <w:t>0.2</w:t>
            </w:r>
          </w:p>
        </w:tc>
        <w:tc>
          <w:tcPr>
            <w:tcW w:w="941" w:type="pct"/>
            <w:tcBorders>
              <w:top w:val="nil"/>
              <w:left w:val="nil"/>
              <w:bottom w:val="nil"/>
              <w:right w:val="single" w:sz="4" w:space="0" w:color="auto"/>
            </w:tcBorders>
            <w:shd w:val="clear" w:color="auto" w:fill="auto"/>
            <w:noWrap/>
            <w:vAlign w:val="bottom"/>
            <w:hideMark/>
          </w:tcPr>
          <w:p w14:paraId="524A41E2" w14:textId="1987CBC7" w:rsidR="002C051F" w:rsidRPr="006B42D6" w:rsidRDefault="002C051F" w:rsidP="002C051F">
            <w:pPr>
              <w:jc w:val="right"/>
              <w:rPr>
                <w:sz w:val="18"/>
                <w:szCs w:val="18"/>
              </w:rPr>
            </w:pPr>
            <w:r w:rsidRPr="006B42D6">
              <w:rPr>
                <w:sz w:val="18"/>
                <w:szCs w:val="18"/>
              </w:rPr>
              <w:t>0.3</w:t>
            </w:r>
          </w:p>
        </w:tc>
        <w:tc>
          <w:tcPr>
            <w:tcW w:w="940" w:type="pct"/>
            <w:tcBorders>
              <w:top w:val="nil"/>
              <w:left w:val="nil"/>
              <w:bottom w:val="nil"/>
              <w:right w:val="nil"/>
            </w:tcBorders>
            <w:shd w:val="clear" w:color="auto" w:fill="auto"/>
            <w:noWrap/>
            <w:vAlign w:val="bottom"/>
            <w:hideMark/>
          </w:tcPr>
          <w:p w14:paraId="05CE594A" w14:textId="0C451AD1" w:rsidR="002C051F" w:rsidRPr="006B42D6" w:rsidRDefault="002C051F" w:rsidP="002C051F">
            <w:pPr>
              <w:jc w:val="right"/>
              <w:rPr>
                <w:sz w:val="18"/>
                <w:szCs w:val="18"/>
              </w:rPr>
            </w:pPr>
            <w:r w:rsidRPr="006B42D6">
              <w:rPr>
                <w:sz w:val="18"/>
                <w:szCs w:val="18"/>
              </w:rPr>
              <w:t>0.1</w:t>
            </w:r>
          </w:p>
        </w:tc>
        <w:tc>
          <w:tcPr>
            <w:tcW w:w="940" w:type="pct"/>
            <w:tcBorders>
              <w:top w:val="nil"/>
              <w:left w:val="nil"/>
              <w:bottom w:val="nil"/>
              <w:right w:val="nil"/>
            </w:tcBorders>
            <w:shd w:val="clear" w:color="auto" w:fill="auto"/>
            <w:noWrap/>
            <w:vAlign w:val="bottom"/>
            <w:hideMark/>
          </w:tcPr>
          <w:p w14:paraId="58442BB8" w14:textId="11484534" w:rsidR="002C051F" w:rsidRPr="006B42D6" w:rsidRDefault="002C051F" w:rsidP="002C051F">
            <w:pPr>
              <w:jc w:val="right"/>
              <w:rPr>
                <w:sz w:val="18"/>
                <w:szCs w:val="18"/>
              </w:rPr>
            </w:pPr>
            <w:r w:rsidRPr="006B42D6">
              <w:rPr>
                <w:sz w:val="18"/>
                <w:szCs w:val="18"/>
              </w:rPr>
              <w:t>0.3</w:t>
            </w:r>
          </w:p>
        </w:tc>
      </w:tr>
      <w:tr w:rsidR="002C051F" w:rsidRPr="006B42D6" w14:paraId="684E986A" w14:textId="77777777" w:rsidTr="002C051F">
        <w:trPr>
          <w:trHeight w:val="283"/>
        </w:trPr>
        <w:tc>
          <w:tcPr>
            <w:tcW w:w="1239" w:type="pct"/>
            <w:tcBorders>
              <w:top w:val="nil"/>
              <w:left w:val="nil"/>
              <w:bottom w:val="nil"/>
              <w:right w:val="nil"/>
            </w:tcBorders>
            <w:shd w:val="clear" w:color="auto" w:fill="auto"/>
            <w:noWrap/>
            <w:vAlign w:val="bottom"/>
            <w:hideMark/>
          </w:tcPr>
          <w:p w14:paraId="337E5812" w14:textId="77777777" w:rsidR="002C051F" w:rsidRPr="006B42D6" w:rsidRDefault="002C051F" w:rsidP="002C051F">
            <w:pPr>
              <w:rPr>
                <w:sz w:val="18"/>
                <w:szCs w:val="18"/>
              </w:rPr>
            </w:pPr>
            <w:r w:rsidRPr="006B42D6">
              <w:rPr>
                <w:sz w:val="18"/>
                <w:szCs w:val="18"/>
              </w:rPr>
              <w:t>Chilies</w:t>
            </w:r>
          </w:p>
        </w:tc>
        <w:tc>
          <w:tcPr>
            <w:tcW w:w="940" w:type="pct"/>
            <w:tcBorders>
              <w:top w:val="nil"/>
              <w:left w:val="nil"/>
              <w:bottom w:val="nil"/>
              <w:right w:val="nil"/>
            </w:tcBorders>
            <w:shd w:val="clear" w:color="auto" w:fill="auto"/>
            <w:noWrap/>
            <w:vAlign w:val="bottom"/>
            <w:hideMark/>
          </w:tcPr>
          <w:p w14:paraId="110569DB" w14:textId="63CA7C80" w:rsidR="002C051F" w:rsidRPr="006B42D6" w:rsidRDefault="002C051F" w:rsidP="002C051F">
            <w:pPr>
              <w:jc w:val="right"/>
              <w:rPr>
                <w:sz w:val="18"/>
                <w:szCs w:val="18"/>
              </w:rPr>
            </w:pPr>
            <w:r w:rsidRPr="006B42D6">
              <w:rPr>
                <w:sz w:val="18"/>
                <w:szCs w:val="18"/>
              </w:rPr>
              <w:t>2.3</w:t>
            </w:r>
          </w:p>
        </w:tc>
        <w:tc>
          <w:tcPr>
            <w:tcW w:w="941" w:type="pct"/>
            <w:tcBorders>
              <w:top w:val="nil"/>
              <w:left w:val="nil"/>
              <w:bottom w:val="nil"/>
              <w:right w:val="single" w:sz="4" w:space="0" w:color="auto"/>
            </w:tcBorders>
            <w:shd w:val="clear" w:color="auto" w:fill="auto"/>
            <w:noWrap/>
            <w:vAlign w:val="bottom"/>
            <w:hideMark/>
          </w:tcPr>
          <w:p w14:paraId="17BABCB2" w14:textId="14AA65CE" w:rsidR="002C051F" w:rsidRPr="006B42D6" w:rsidRDefault="002C051F" w:rsidP="002C051F">
            <w:pPr>
              <w:jc w:val="right"/>
              <w:rPr>
                <w:sz w:val="18"/>
                <w:szCs w:val="18"/>
              </w:rPr>
            </w:pPr>
            <w:r w:rsidRPr="006B42D6">
              <w:rPr>
                <w:sz w:val="18"/>
                <w:szCs w:val="18"/>
              </w:rPr>
              <w:t>1.6</w:t>
            </w:r>
          </w:p>
        </w:tc>
        <w:tc>
          <w:tcPr>
            <w:tcW w:w="940" w:type="pct"/>
            <w:tcBorders>
              <w:top w:val="nil"/>
              <w:left w:val="nil"/>
              <w:bottom w:val="nil"/>
              <w:right w:val="nil"/>
            </w:tcBorders>
            <w:shd w:val="clear" w:color="auto" w:fill="auto"/>
            <w:noWrap/>
            <w:vAlign w:val="bottom"/>
            <w:hideMark/>
          </w:tcPr>
          <w:p w14:paraId="71E5ACBD" w14:textId="51F3513E" w:rsidR="002C051F" w:rsidRPr="006B42D6" w:rsidRDefault="002C051F" w:rsidP="002C051F">
            <w:pPr>
              <w:jc w:val="right"/>
              <w:rPr>
                <w:sz w:val="18"/>
                <w:szCs w:val="18"/>
              </w:rPr>
            </w:pPr>
            <w:r w:rsidRPr="006B42D6">
              <w:rPr>
                <w:sz w:val="18"/>
                <w:szCs w:val="18"/>
              </w:rPr>
              <w:t>1.9</w:t>
            </w:r>
          </w:p>
        </w:tc>
        <w:tc>
          <w:tcPr>
            <w:tcW w:w="940" w:type="pct"/>
            <w:tcBorders>
              <w:top w:val="nil"/>
              <w:left w:val="nil"/>
              <w:bottom w:val="nil"/>
              <w:right w:val="nil"/>
            </w:tcBorders>
            <w:shd w:val="clear" w:color="auto" w:fill="auto"/>
            <w:noWrap/>
            <w:vAlign w:val="bottom"/>
            <w:hideMark/>
          </w:tcPr>
          <w:p w14:paraId="1320B1B8" w14:textId="287D2A1E" w:rsidR="002C051F" w:rsidRPr="006B42D6" w:rsidRDefault="002C051F" w:rsidP="002C051F">
            <w:pPr>
              <w:jc w:val="right"/>
              <w:rPr>
                <w:sz w:val="18"/>
                <w:szCs w:val="18"/>
              </w:rPr>
            </w:pPr>
            <w:r w:rsidRPr="006B42D6">
              <w:rPr>
                <w:sz w:val="18"/>
                <w:szCs w:val="18"/>
              </w:rPr>
              <w:t>10.2</w:t>
            </w:r>
          </w:p>
        </w:tc>
      </w:tr>
      <w:tr w:rsidR="002C051F" w:rsidRPr="006B42D6" w14:paraId="464F15E8" w14:textId="77777777" w:rsidTr="002C051F">
        <w:trPr>
          <w:trHeight w:val="283"/>
        </w:trPr>
        <w:tc>
          <w:tcPr>
            <w:tcW w:w="1239" w:type="pct"/>
            <w:tcBorders>
              <w:top w:val="nil"/>
              <w:left w:val="nil"/>
              <w:bottom w:val="nil"/>
              <w:right w:val="nil"/>
            </w:tcBorders>
            <w:shd w:val="clear" w:color="auto" w:fill="auto"/>
            <w:noWrap/>
            <w:vAlign w:val="bottom"/>
            <w:hideMark/>
          </w:tcPr>
          <w:p w14:paraId="2A39F9AB" w14:textId="77777777" w:rsidR="002C051F" w:rsidRPr="006B42D6" w:rsidRDefault="002C051F" w:rsidP="002C051F">
            <w:pPr>
              <w:rPr>
                <w:sz w:val="18"/>
                <w:szCs w:val="18"/>
              </w:rPr>
            </w:pPr>
            <w:r w:rsidRPr="006B42D6">
              <w:rPr>
                <w:sz w:val="18"/>
                <w:szCs w:val="18"/>
              </w:rPr>
              <w:t>Amaranths</w:t>
            </w:r>
          </w:p>
        </w:tc>
        <w:tc>
          <w:tcPr>
            <w:tcW w:w="940" w:type="pct"/>
            <w:tcBorders>
              <w:top w:val="nil"/>
              <w:left w:val="nil"/>
              <w:bottom w:val="nil"/>
              <w:right w:val="nil"/>
            </w:tcBorders>
            <w:shd w:val="clear" w:color="auto" w:fill="auto"/>
            <w:noWrap/>
            <w:vAlign w:val="bottom"/>
            <w:hideMark/>
          </w:tcPr>
          <w:p w14:paraId="0D2BE2D3" w14:textId="0AAEA345" w:rsidR="002C051F" w:rsidRPr="006B42D6" w:rsidRDefault="002C051F" w:rsidP="002C051F">
            <w:pPr>
              <w:jc w:val="right"/>
              <w:rPr>
                <w:sz w:val="18"/>
                <w:szCs w:val="18"/>
              </w:rPr>
            </w:pPr>
            <w:r w:rsidRPr="006B42D6">
              <w:rPr>
                <w:sz w:val="18"/>
                <w:szCs w:val="18"/>
              </w:rPr>
              <w:t>6.0</w:t>
            </w:r>
          </w:p>
        </w:tc>
        <w:tc>
          <w:tcPr>
            <w:tcW w:w="941" w:type="pct"/>
            <w:tcBorders>
              <w:top w:val="nil"/>
              <w:left w:val="nil"/>
              <w:bottom w:val="nil"/>
              <w:right w:val="single" w:sz="4" w:space="0" w:color="auto"/>
            </w:tcBorders>
            <w:shd w:val="clear" w:color="auto" w:fill="auto"/>
            <w:noWrap/>
            <w:vAlign w:val="bottom"/>
            <w:hideMark/>
          </w:tcPr>
          <w:p w14:paraId="67A979FD" w14:textId="4AE49504" w:rsidR="002C051F" w:rsidRPr="006B42D6" w:rsidRDefault="002C051F" w:rsidP="002C051F">
            <w:pPr>
              <w:jc w:val="right"/>
              <w:rPr>
                <w:sz w:val="18"/>
                <w:szCs w:val="18"/>
              </w:rPr>
            </w:pPr>
            <w:r w:rsidRPr="006B42D6">
              <w:rPr>
                <w:sz w:val="18"/>
                <w:szCs w:val="18"/>
              </w:rPr>
              <w:t>4.2</w:t>
            </w:r>
          </w:p>
        </w:tc>
        <w:tc>
          <w:tcPr>
            <w:tcW w:w="940" w:type="pct"/>
            <w:tcBorders>
              <w:top w:val="nil"/>
              <w:left w:val="nil"/>
              <w:bottom w:val="nil"/>
              <w:right w:val="nil"/>
            </w:tcBorders>
            <w:shd w:val="clear" w:color="auto" w:fill="auto"/>
            <w:noWrap/>
            <w:vAlign w:val="bottom"/>
            <w:hideMark/>
          </w:tcPr>
          <w:p w14:paraId="6BB9C7BC" w14:textId="2772DF56" w:rsidR="002C051F" w:rsidRPr="006B42D6" w:rsidRDefault="002C051F" w:rsidP="002C051F">
            <w:pPr>
              <w:jc w:val="right"/>
              <w:rPr>
                <w:sz w:val="18"/>
                <w:szCs w:val="18"/>
              </w:rPr>
            </w:pPr>
            <w:r w:rsidRPr="006B42D6">
              <w:rPr>
                <w:sz w:val="18"/>
                <w:szCs w:val="18"/>
              </w:rPr>
              <w:t>12.2</w:t>
            </w:r>
          </w:p>
        </w:tc>
        <w:tc>
          <w:tcPr>
            <w:tcW w:w="940" w:type="pct"/>
            <w:tcBorders>
              <w:top w:val="nil"/>
              <w:left w:val="nil"/>
              <w:bottom w:val="nil"/>
              <w:right w:val="nil"/>
            </w:tcBorders>
            <w:shd w:val="clear" w:color="auto" w:fill="auto"/>
            <w:noWrap/>
            <w:vAlign w:val="bottom"/>
            <w:hideMark/>
          </w:tcPr>
          <w:p w14:paraId="5130558E" w14:textId="6A46A599" w:rsidR="002C051F" w:rsidRPr="006B42D6" w:rsidRDefault="002C051F" w:rsidP="002C051F">
            <w:pPr>
              <w:jc w:val="right"/>
              <w:rPr>
                <w:sz w:val="18"/>
                <w:szCs w:val="18"/>
              </w:rPr>
            </w:pPr>
            <w:r w:rsidRPr="006B42D6">
              <w:rPr>
                <w:sz w:val="18"/>
                <w:szCs w:val="18"/>
              </w:rPr>
              <w:t>17.2</w:t>
            </w:r>
          </w:p>
        </w:tc>
      </w:tr>
      <w:tr w:rsidR="002C051F" w:rsidRPr="006B42D6" w14:paraId="5B36FD0C" w14:textId="77777777" w:rsidTr="002C051F">
        <w:trPr>
          <w:trHeight w:val="283"/>
        </w:trPr>
        <w:tc>
          <w:tcPr>
            <w:tcW w:w="1239" w:type="pct"/>
            <w:tcBorders>
              <w:top w:val="nil"/>
              <w:left w:val="nil"/>
              <w:bottom w:val="nil"/>
              <w:right w:val="nil"/>
            </w:tcBorders>
            <w:shd w:val="clear" w:color="auto" w:fill="auto"/>
            <w:noWrap/>
            <w:vAlign w:val="bottom"/>
            <w:hideMark/>
          </w:tcPr>
          <w:p w14:paraId="63083FA5" w14:textId="77777777" w:rsidR="002C051F" w:rsidRPr="006B42D6" w:rsidRDefault="002C051F" w:rsidP="002C051F">
            <w:pPr>
              <w:rPr>
                <w:sz w:val="18"/>
                <w:szCs w:val="18"/>
              </w:rPr>
            </w:pPr>
            <w:r w:rsidRPr="006B42D6">
              <w:rPr>
                <w:sz w:val="18"/>
                <w:szCs w:val="18"/>
              </w:rPr>
              <w:t>Pumpkins</w:t>
            </w:r>
          </w:p>
        </w:tc>
        <w:tc>
          <w:tcPr>
            <w:tcW w:w="940" w:type="pct"/>
            <w:tcBorders>
              <w:top w:val="nil"/>
              <w:left w:val="nil"/>
              <w:bottom w:val="nil"/>
              <w:right w:val="nil"/>
            </w:tcBorders>
            <w:shd w:val="clear" w:color="auto" w:fill="auto"/>
            <w:noWrap/>
            <w:vAlign w:val="bottom"/>
            <w:hideMark/>
          </w:tcPr>
          <w:p w14:paraId="4E7E7907" w14:textId="7D7E3B6B" w:rsidR="002C051F" w:rsidRPr="006B42D6" w:rsidRDefault="002C051F" w:rsidP="002C051F">
            <w:pPr>
              <w:jc w:val="right"/>
              <w:rPr>
                <w:sz w:val="18"/>
                <w:szCs w:val="18"/>
              </w:rPr>
            </w:pPr>
            <w:r w:rsidRPr="006B42D6">
              <w:rPr>
                <w:sz w:val="18"/>
                <w:szCs w:val="18"/>
              </w:rPr>
              <w:t>0.8</w:t>
            </w:r>
          </w:p>
        </w:tc>
        <w:tc>
          <w:tcPr>
            <w:tcW w:w="941" w:type="pct"/>
            <w:tcBorders>
              <w:top w:val="nil"/>
              <w:left w:val="nil"/>
              <w:bottom w:val="nil"/>
              <w:right w:val="single" w:sz="4" w:space="0" w:color="auto"/>
            </w:tcBorders>
            <w:shd w:val="clear" w:color="auto" w:fill="auto"/>
            <w:noWrap/>
            <w:vAlign w:val="bottom"/>
            <w:hideMark/>
          </w:tcPr>
          <w:p w14:paraId="64F5E472" w14:textId="7FB7A403" w:rsidR="002C051F" w:rsidRPr="006B42D6" w:rsidRDefault="002C051F" w:rsidP="002C051F">
            <w:pPr>
              <w:jc w:val="right"/>
              <w:rPr>
                <w:sz w:val="18"/>
                <w:szCs w:val="18"/>
              </w:rPr>
            </w:pPr>
            <w:r w:rsidRPr="006B42D6">
              <w:rPr>
                <w:sz w:val="18"/>
                <w:szCs w:val="18"/>
              </w:rPr>
              <w:t>0.4</w:t>
            </w:r>
          </w:p>
        </w:tc>
        <w:tc>
          <w:tcPr>
            <w:tcW w:w="940" w:type="pct"/>
            <w:tcBorders>
              <w:top w:val="nil"/>
              <w:left w:val="nil"/>
              <w:bottom w:val="nil"/>
              <w:right w:val="nil"/>
            </w:tcBorders>
            <w:shd w:val="clear" w:color="auto" w:fill="auto"/>
            <w:noWrap/>
            <w:vAlign w:val="bottom"/>
            <w:hideMark/>
          </w:tcPr>
          <w:p w14:paraId="4849E0A0" w14:textId="24A9E17F" w:rsidR="002C051F" w:rsidRPr="006B42D6" w:rsidRDefault="002C051F" w:rsidP="002C051F">
            <w:pPr>
              <w:jc w:val="right"/>
              <w:rPr>
                <w:sz w:val="18"/>
                <w:szCs w:val="18"/>
              </w:rPr>
            </w:pPr>
            <w:r w:rsidRPr="006B42D6">
              <w:rPr>
                <w:sz w:val="18"/>
                <w:szCs w:val="18"/>
              </w:rPr>
              <w:t>2.9</w:t>
            </w:r>
          </w:p>
        </w:tc>
        <w:tc>
          <w:tcPr>
            <w:tcW w:w="940" w:type="pct"/>
            <w:tcBorders>
              <w:top w:val="nil"/>
              <w:left w:val="nil"/>
              <w:bottom w:val="nil"/>
              <w:right w:val="nil"/>
            </w:tcBorders>
            <w:shd w:val="clear" w:color="auto" w:fill="auto"/>
            <w:noWrap/>
            <w:vAlign w:val="bottom"/>
            <w:hideMark/>
          </w:tcPr>
          <w:p w14:paraId="553B3397" w14:textId="41393632" w:rsidR="002C051F" w:rsidRPr="006B42D6" w:rsidRDefault="002C051F" w:rsidP="002C051F">
            <w:pPr>
              <w:jc w:val="right"/>
              <w:rPr>
                <w:sz w:val="18"/>
                <w:szCs w:val="18"/>
              </w:rPr>
            </w:pPr>
            <w:r w:rsidRPr="006B42D6">
              <w:rPr>
                <w:sz w:val="18"/>
                <w:szCs w:val="18"/>
              </w:rPr>
              <w:t>1.7</w:t>
            </w:r>
          </w:p>
        </w:tc>
      </w:tr>
      <w:tr w:rsidR="002C051F" w:rsidRPr="006B42D6" w14:paraId="3006490E" w14:textId="77777777" w:rsidTr="002C051F">
        <w:trPr>
          <w:trHeight w:val="283"/>
        </w:trPr>
        <w:tc>
          <w:tcPr>
            <w:tcW w:w="1239" w:type="pct"/>
            <w:tcBorders>
              <w:top w:val="nil"/>
              <w:left w:val="nil"/>
              <w:bottom w:val="nil"/>
              <w:right w:val="nil"/>
            </w:tcBorders>
            <w:shd w:val="clear" w:color="auto" w:fill="auto"/>
            <w:noWrap/>
            <w:vAlign w:val="bottom"/>
            <w:hideMark/>
          </w:tcPr>
          <w:p w14:paraId="6796A35A" w14:textId="77777777" w:rsidR="002C051F" w:rsidRPr="006B42D6" w:rsidRDefault="002C051F" w:rsidP="002C051F">
            <w:pPr>
              <w:rPr>
                <w:sz w:val="18"/>
                <w:szCs w:val="18"/>
              </w:rPr>
            </w:pPr>
            <w:r w:rsidRPr="006B42D6">
              <w:rPr>
                <w:sz w:val="18"/>
                <w:szCs w:val="18"/>
              </w:rPr>
              <w:t>Cucumber</w:t>
            </w:r>
          </w:p>
        </w:tc>
        <w:tc>
          <w:tcPr>
            <w:tcW w:w="940" w:type="pct"/>
            <w:tcBorders>
              <w:top w:val="nil"/>
              <w:left w:val="nil"/>
              <w:bottom w:val="nil"/>
              <w:right w:val="nil"/>
            </w:tcBorders>
            <w:shd w:val="clear" w:color="auto" w:fill="auto"/>
            <w:noWrap/>
            <w:vAlign w:val="bottom"/>
            <w:hideMark/>
          </w:tcPr>
          <w:p w14:paraId="1905A66A" w14:textId="3319783C" w:rsidR="002C051F" w:rsidRPr="006B42D6" w:rsidRDefault="002C051F" w:rsidP="002C051F">
            <w:pPr>
              <w:jc w:val="right"/>
              <w:rPr>
                <w:sz w:val="18"/>
                <w:szCs w:val="18"/>
              </w:rPr>
            </w:pPr>
            <w:r w:rsidRPr="006B42D6">
              <w:rPr>
                <w:sz w:val="18"/>
                <w:szCs w:val="18"/>
              </w:rPr>
              <w:t>0.8</w:t>
            </w:r>
          </w:p>
        </w:tc>
        <w:tc>
          <w:tcPr>
            <w:tcW w:w="941" w:type="pct"/>
            <w:tcBorders>
              <w:top w:val="nil"/>
              <w:left w:val="nil"/>
              <w:bottom w:val="nil"/>
              <w:right w:val="single" w:sz="4" w:space="0" w:color="auto"/>
            </w:tcBorders>
            <w:shd w:val="clear" w:color="auto" w:fill="auto"/>
            <w:noWrap/>
            <w:vAlign w:val="bottom"/>
            <w:hideMark/>
          </w:tcPr>
          <w:p w14:paraId="08CDE782" w14:textId="23847E2D" w:rsidR="002C051F" w:rsidRPr="006B42D6" w:rsidRDefault="002C051F" w:rsidP="002C051F">
            <w:pPr>
              <w:jc w:val="right"/>
              <w:rPr>
                <w:sz w:val="18"/>
                <w:szCs w:val="18"/>
              </w:rPr>
            </w:pPr>
            <w:r w:rsidRPr="006B42D6">
              <w:rPr>
                <w:sz w:val="18"/>
                <w:szCs w:val="18"/>
              </w:rPr>
              <w:t>1.2</w:t>
            </w:r>
          </w:p>
        </w:tc>
        <w:tc>
          <w:tcPr>
            <w:tcW w:w="940" w:type="pct"/>
            <w:tcBorders>
              <w:top w:val="nil"/>
              <w:left w:val="nil"/>
              <w:bottom w:val="nil"/>
              <w:right w:val="nil"/>
            </w:tcBorders>
            <w:shd w:val="clear" w:color="auto" w:fill="auto"/>
            <w:noWrap/>
            <w:vAlign w:val="bottom"/>
            <w:hideMark/>
          </w:tcPr>
          <w:p w14:paraId="5E372624" w14:textId="0B2EDE65" w:rsidR="002C051F" w:rsidRPr="006B42D6" w:rsidRDefault="002C051F" w:rsidP="002C051F">
            <w:pPr>
              <w:jc w:val="right"/>
              <w:rPr>
                <w:sz w:val="18"/>
                <w:szCs w:val="18"/>
              </w:rPr>
            </w:pPr>
            <w:r w:rsidRPr="006B42D6">
              <w:rPr>
                <w:sz w:val="18"/>
                <w:szCs w:val="18"/>
              </w:rPr>
              <w:t>9.0</w:t>
            </w:r>
          </w:p>
        </w:tc>
        <w:tc>
          <w:tcPr>
            <w:tcW w:w="940" w:type="pct"/>
            <w:tcBorders>
              <w:top w:val="nil"/>
              <w:left w:val="nil"/>
              <w:bottom w:val="nil"/>
              <w:right w:val="nil"/>
            </w:tcBorders>
            <w:shd w:val="clear" w:color="auto" w:fill="auto"/>
            <w:noWrap/>
            <w:vAlign w:val="bottom"/>
            <w:hideMark/>
          </w:tcPr>
          <w:p w14:paraId="04BF0A99" w14:textId="1B107F00" w:rsidR="002C051F" w:rsidRPr="006B42D6" w:rsidRDefault="002C051F" w:rsidP="002C051F">
            <w:pPr>
              <w:jc w:val="right"/>
              <w:rPr>
                <w:sz w:val="18"/>
                <w:szCs w:val="18"/>
              </w:rPr>
            </w:pPr>
            <w:r w:rsidRPr="006B42D6">
              <w:rPr>
                <w:sz w:val="18"/>
                <w:szCs w:val="18"/>
              </w:rPr>
              <w:t>8.4</w:t>
            </w:r>
          </w:p>
        </w:tc>
      </w:tr>
      <w:tr w:rsidR="002C051F" w:rsidRPr="006B42D6" w14:paraId="25C58B2A" w14:textId="77777777" w:rsidTr="002C051F">
        <w:trPr>
          <w:trHeight w:val="283"/>
        </w:trPr>
        <w:tc>
          <w:tcPr>
            <w:tcW w:w="1239" w:type="pct"/>
            <w:tcBorders>
              <w:top w:val="nil"/>
              <w:left w:val="nil"/>
              <w:bottom w:val="nil"/>
              <w:right w:val="nil"/>
            </w:tcBorders>
            <w:shd w:val="clear" w:color="auto" w:fill="auto"/>
            <w:noWrap/>
            <w:vAlign w:val="bottom"/>
            <w:hideMark/>
          </w:tcPr>
          <w:p w14:paraId="7C2D5DC6" w14:textId="77777777" w:rsidR="002C051F" w:rsidRPr="006B42D6" w:rsidRDefault="002C051F" w:rsidP="002C051F">
            <w:pPr>
              <w:rPr>
                <w:sz w:val="18"/>
                <w:szCs w:val="18"/>
              </w:rPr>
            </w:pPr>
            <w:r w:rsidRPr="006B42D6">
              <w:rPr>
                <w:sz w:val="18"/>
                <w:szCs w:val="18"/>
              </w:rPr>
              <w:t>Egg Plant</w:t>
            </w:r>
          </w:p>
        </w:tc>
        <w:tc>
          <w:tcPr>
            <w:tcW w:w="940" w:type="pct"/>
            <w:tcBorders>
              <w:top w:val="nil"/>
              <w:left w:val="nil"/>
              <w:bottom w:val="nil"/>
              <w:right w:val="nil"/>
            </w:tcBorders>
            <w:shd w:val="clear" w:color="auto" w:fill="auto"/>
            <w:noWrap/>
            <w:vAlign w:val="bottom"/>
            <w:hideMark/>
          </w:tcPr>
          <w:p w14:paraId="73735DE7" w14:textId="029FB9FE" w:rsidR="002C051F" w:rsidRPr="006B42D6" w:rsidRDefault="002C051F" w:rsidP="002C051F">
            <w:pPr>
              <w:jc w:val="right"/>
              <w:rPr>
                <w:sz w:val="18"/>
                <w:szCs w:val="18"/>
              </w:rPr>
            </w:pPr>
            <w:r w:rsidRPr="006B42D6">
              <w:rPr>
                <w:sz w:val="18"/>
                <w:szCs w:val="18"/>
              </w:rPr>
              <w:t>0.4</w:t>
            </w:r>
          </w:p>
        </w:tc>
        <w:tc>
          <w:tcPr>
            <w:tcW w:w="941" w:type="pct"/>
            <w:tcBorders>
              <w:top w:val="nil"/>
              <w:left w:val="nil"/>
              <w:bottom w:val="nil"/>
              <w:right w:val="single" w:sz="4" w:space="0" w:color="auto"/>
            </w:tcBorders>
            <w:shd w:val="clear" w:color="auto" w:fill="auto"/>
            <w:noWrap/>
            <w:vAlign w:val="bottom"/>
            <w:hideMark/>
          </w:tcPr>
          <w:p w14:paraId="2BE65331" w14:textId="07EB6B08" w:rsidR="002C051F" w:rsidRPr="006B42D6" w:rsidRDefault="002C051F" w:rsidP="002C051F">
            <w:pPr>
              <w:jc w:val="right"/>
              <w:rPr>
                <w:sz w:val="18"/>
                <w:szCs w:val="18"/>
              </w:rPr>
            </w:pPr>
            <w:r w:rsidRPr="006B42D6">
              <w:rPr>
                <w:sz w:val="18"/>
                <w:szCs w:val="18"/>
              </w:rPr>
              <w:t>1.0</w:t>
            </w:r>
          </w:p>
        </w:tc>
        <w:tc>
          <w:tcPr>
            <w:tcW w:w="940" w:type="pct"/>
            <w:tcBorders>
              <w:top w:val="nil"/>
              <w:left w:val="nil"/>
              <w:bottom w:val="nil"/>
              <w:right w:val="nil"/>
            </w:tcBorders>
            <w:shd w:val="clear" w:color="auto" w:fill="auto"/>
            <w:noWrap/>
            <w:vAlign w:val="bottom"/>
            <w:hideMark/>
          </w:tcPr>
          <w:p w14:paraId="3E124469" w14:textId="59C3368A" w:rsidR="002C051F" w:rsidRPr="006B42D6" w:rsidRDefault="002C051F" w:rsidP="002C051F">
            <w:pPr>
              <w:jc w:val="right"/>
              <w:rPr>
                <w:sz w:val="18"/>
                <w:szCs w:val="18"/>
              </w:rPr>
            </w:pPr>
            <w:r w:rsidRPr="006B42D6">
              <w:rPr>
                <w:sz w:val="18"/>
                <w:szCs w:val="18"/>
              </w:rPr>
              <w:t>7.9</w:t>
            </w:r>
          </w:p>
        </w:tc>
        <w:tc>
          <w:tcPr>
            <w:tcW w:w="940" w:type="pct"/>
            <w:tcBorders>
              <w:top w:val="nil"/>
              <w:left w:val="nil"/>
              <w:bottom w:val="nil"/>
              <w:right w:val="nil"/>
            </w:tcBorders>
            <w:shd w:val="clear" w:color="auto" w:fill="auto"/>
            <w:noWrap/>
            <w:vAlign w:val="bottom"/>
            <w:hideMark/>
          </w:tcPr>
          <w:p w14:paraId="5DD7402B" w14:textId="56A12FB1" w:rsidR="002C051F" w:rsidRPr="006B42D6" w:rsidRDefault="002C051F" w:rsidP="002C051F">
            <w:pPr>
              <w:jc w:val="right"/>
              <w:rPr>
                <w:sz w:val="18"/>
                <w:szCs w:val="18"/>
              </w:rPr>
            </w:pPr>
            <w:r w:rsidRPr="006B42D6">
              <w:rPr>
                <w:sz w:val="18"/>
                <w:szCs w:val="18"/>
              </w:rPr>
              <w:t>11.1</w:t>
            </w:r>
          </w:p>
        </w:tc>
      </w:tr>
      <w:tr w:rsidR="002C051F" w:rsidRPr="006B42D6" w14:paraId="6D688626" w14:textId="77777777" w:rsidTr="002C051F">
        <w:trPr>
          <w:trHeight w:val="283"/>
        </w:trPr>
        <w:tc>
          <w:tcPr>
            <w:tcW w:w="1239" w:type="pct"/>
            <w:tcBorders>
              <w:top w:val="nil"/>
              <w:left w:val="nil"/>
              <w:bottom w:val="nil"/>
              <w:right w:val="nil"/>
            </w:tcBorders>
            <w:shd w:val="clear" w:color="auto" w:fill="auto"/>
            <w:noWrap/>
            <w:vAlign w:val="bottom"/>
            <w:hideMark/>
          </w:tcPr>
          <w:p w14:paraId="2678800F" w14:textId="7D08BC72" w:rsidR="002C051F" w:rsidRPr="006B42D6" w:rsidRDefault="002C051F" w:rsidP="002C051F">
            <w:pPr>
              <w:rPr>
                <w:sz w:val="18"/>
                <w:szCs w:val="18"/>
              </w:rPr>
            </w:pPr>
            <w:r w:rsidRPr="006B42D6">
              <w:rPr>
                <w:sz w:val="18"/>
                <w:szCs w:val="18"/>
              </w:rPr>
              <w:t>Watermelon</w:t>
            </w:r>
          </w:p>
        </w:tc>
        <w:tc>
          <w:tcPr>
            <w:tcW w:w="940" w:type="pct"/>
            <w:tcBorders>
              <w:top w:val="nil"/>
              <w:left w:val="nil"/>
              <w:bottom w:val="nil"/>
              <w:right w:val="nil"/>
            </w:tcBorders>
            <w:shd w:val="clear" w:color="auto" w:fill="auto"/>
            <w:noWrap/>
            <w:vAlign w:val="bottom"/>
            <w:hideMark/>
          </w:tcPr>
          <w:p w14:paraId="77D582F5" w14:textId="69115905" w:rsidR="002C051F" w:rsidRPr="006B42D6" w:rsidRDefault="002C051F" w:rsidP="002C051F">
            <w:pPr>
              <w:jc w:val="right"/>
              <w:rPr>
                <w:sz w:val="18"/>
                <w:szCs w:val="18"/>
              </w:rPr>
            </w:pPr>
            <w:r w:rsidRPr="006B42D6">
              <w:rPr>
                <w:sz w:val="18"/>
                <w:szCs w:val="18"/>
              </w:rPr>
              <w:t>15.9</w:t>
            </w:r>
          </w:p>
        </w:tc>
        <w:tc>
          <w:tcPr>
            <w:tcW w:w="941" w:type="pct"/>
            <w:tcBorders>
              <w:top w:val="nil"/>
              <w:left w:val="nil"/>
              <w:bottom w:val="nil"/>
              <w:right w:val="single" w:sz="4" w:space="0" w:color="auto"/>
            </w:tcBorders>
            <w:shd w:val="clear" w:color="auto" w:fill="auto"/>
            <w:noWrap/>
            <w:vAlign w:val="bottom"/>
            <w:hideMark/>
          </w:tcPr>
          <w:p w14:paraId="550DE418" w14:textId="2AE3A05B" w:rsidR="002C051F" w:rsidRPr="006B42D6" w:rsidRDefault="002C051F" w:rsidP="002C051F">
            <w:pPr>
              <w:jc w:val="right"/>
              <w:rPr>
                <w:sz w:val="18"/>
                <w:szCs w:val="18"/>
              </w:rPr>
            </w:pPr>
            <w:r w:rsidRPr="006B42D6">
              <w:rPr>
                <w:sz w:val="18"/>
                <w:szCs w:val="18"/>
              </w:rPr>
              <w:t>10.4</w:t>
            </w:r>
          </w:p>
        </w:tc>
        <w:tc>
          <w:tcPr>
            <w:tcW w:w="940" w:type="pct"/>
            <w:tcBorders>
              <w:top w:val="nil"/>
              <w:left w:val="nil"/>
              <w:bottom w:val="nil"/>
              <w:right w:val="nil"/>
            </w:tcBorders>
            <w:shd w:val="clear" w:color="auto" w:fill="auto"/>
            <w:noWrap/>
            <w:vAlign w:val="bottom"/>
            <w:hideMark/>
          </w:tcPr>
          <w:p w14:paraId="10F44690" w14:textId="78578008" w:rsidR="002C051F" w:rsidRPr="006B42D6" w:rsidRDefault="002C051F" w:rsidP="002C051F">
            <w:pPr>
              <w:jc w:val="right"/>
              <w:rPr>
                <w:sz w:val="18"/>
                <w:szCs w:val="18"/>
              </w:rPr>
            </w:pPr>
            <w:r w:rsidRPr="006B42D6">
              <w:rPr>
                <w:sz w:val="18"/>
                <w:szCs w:val="18"/>
              </w:rPr>
              <w:t>25.1</w:t>
            </w:r>
          </w:p>
        </w:tc>
        <w:tc>
          <w:tcPr>
            <w:tcW w:w="940" w:type="pct"/>
            <w:tcBorders>
              <w:top w:val="nil"/>
              <w:left w:val="nil"/>
              <w:bottom w:val="nil"/>
              <w:right w:val="nil"/>
            </w:tcBorders>
            <w:shd w:val="clear" w:color="auto" w:fill="auto"/>
            <w:noWrap/>
            <w:vAlign w:val="bottom"/>
            <w:hideMark/>
          </w:tcPr>
          <w:p w14:paraId="0643ADA0" w14:textId="1E6428ED" w:rsidR="002C051F" w:rsidRPr="006B42D6" w:rsidRDefault="002C051F" w:rsidP="002C051F">
            <w:pPr>
              <w:jc w:val="right"/>
              <w:rPr>
                <w:sz w:val="18"/>
                <w:szCs w:val="18"/>
              </w:rPr>
            </w:pPr>
            <w:r w:rsidRPr="006B42D6">
              <w:rPr>
                <w:sz w:val="18"/>
                <w:szCs w:val="18"/>
              </w:rPr>
              <w:t>17.1</w:t>
            </w:r>
          </w:p>
        </w:tc>
      </w:tr>
      <w:tr w:rsidR="002C051F" w:rsidRPr="006B42D6" w14:paraId="0BEACC5D" w14:textId="77777777" w:rsidTr="002C051F">
        <w:trPr>
          <w:trHeight w:val="283"/>
        </w:trPr>
        <w:tc>
          <w:tcPr>
            <w:tcW w:w="1239" w:type="pct"/>
            <w:tcBorders>
              <w:top w:val="nil"/>
              <w:left w:val="nil"/>
              <w:bottom w:val="nil"/>
              <w:right w:val="nil"/>
            </w:tcBorders>
            <w:shd w:val="clear" w:color="auto" w:fill="auto"/>
            <w:noWrap/>
            <w:vAlign w:val="bottom"/>
            <w:hideMark/>
          </w:tcPr>
          <w:p w14:paraId="5DEF5464" w14:textId="77777777" w:rsidR="002C051F" w:rsidRPr="006B42D6" w:rsidRDefault="002C051F" w:rsidP="002C051F">
            <w:pPr>
              <w:rPr>
                <w:sz w:val="18"/>
                <w:szCs w:val="18"/>
              </w:rPr>
            </w:pPr>
            <w:r w:rsidRPr="006B42D6">
              <w:rPr>
                <w:sz w:val="18"/>
                <w:szCs w:val="18"/>
              </w:rPr>
              <w:t>Cauliflower</w:t>
            </w:r>
          </w:p>
        </w:tc>
        <w:tc>
          <w:tcPr>
            <w:tcW w:w="940" w:type="pct"/>
            <w:tcBorders>
              <w:top w:val="nil"/>
              <w:left w:val="nil"/>
              <w:bottom w:val="nil"/>
              <w:right w:val="nil"/>
            </w:tcBorders>
            <w:shd w:val="clear" w:color="auto" w:fill="auto"/>
            <w:noWrap/>
            <w:vAlign w:val="bottom"/>
            <w:hideMark/>
          </w:tcPr>
          <w:p w14:paraId="41857272" w14:textId="4A8355FF" w:rsidR="002C051F" w:rsidRPr="006B42D6" w:rsidRDefault="002C051F" w:rsidP="002C051F">
            <w:pPr>
              <w:jc w:val="right"/>
              <w:rPr>
                <w:sz w:val="18"/>
                <w:szCs w:val="18"/>
              </w:rPr>
            </w:pPr>
            <w:r w:rsidRPr="006B42D6">
              <w:rPr>
                <w:sz w:val="18"/>
                <w:szCs w:val="18"/>
              </w:rPr>
              <w:t>0.1</w:t>
            </w:r>
          </w:p>
        </w:tc>
        <w:tc>
          <w:tcPr>
            <w:tcW w:w="941" w:type="pct"/>
            <w:tcBorders>
              <w:top w:val="nil"/>
              <w:left w:val="nil"/>
              <w:bottom w:val="nil"/>
              <w:right w:val="single" w:sz="4" w:space="0" w:color="auto"/>
            </w:tcBorders>
            <w:shd w:val="clear" w:color="auto" w:fill="auto"/>
            <w:noWrap/>
            <w:vAlign w:val="bottom"/>
            <w:hideMark/>
          </w:tcPr>
          <w:p w14:paraId="37844B64" w14:textId="72918B00" w:rsidR="002C051F" w:rsidRPr="006B42D6" w:rsidRDefault="002C051F" w:rsidP="002C051F">
            <w:pPr>
              <w:jc w:val="right"/>
              <w:rPr>
                <w:sz w:val="18"/>
                <w:szCs w:val="18"/>
              </w:rPr>
            </w:pPr>
            <w:r w:rsidRPr="006B42D6">
              <w:rPr>
                <w:sz w:val="18"/>
                <w:szCs w:val="18"/>
              </w:rPr>
              <w:t>0.1</w:t>
            </w:r>
          </w:p>
        </w:tc>
        <w:tc>
          <w:tcPr>
            <w:tcW w:w="940" w:type="pct"/>
            <w:tcBorders>
              <w:top w:val="nil"/>
              <w:left w:val="nil"/>
              <w:bottom w:val="nil"/>
              <w:right w:val="nil"/>
            </w:tcBorders>
            <w:shd w:val="clear" w:color="auto" w:fill="auto"/>
            <w:noWrap/>
            <w:vAlign w:val="bottom"/>
            <w:hideMark/>
          </w:tcPr>
          <w:p w14:paraId="694D1C35" w14:textId="1238E78D" w:rsidR="002C051F" w:rsidRPr="006B42D6" w:rsidRDefault="002C051F" w:rsidP="002C051F">
            <w:pPr>
              <w:jc w:val="right"/>
              <w:rPr>
                <w:sz w:val="18"/>
                <w:szCs w:val="18"/>
              </w:rPr>
            </w:pPr>
            <w:r w:rsidRPr="006B42D6">
              <w:rPr>
                <w:sz w:val="18"/>
                <w:szCs w:val="18"/>
              </w:rPr>
              <w:t>-</w:t>
            </w:r>
          </w:p>
        </w:tc>
        <w:tc>
          <w:tcPr>
            <w:tcW w:w="940" w:type="pct"/>
            <w:tcBorders>
              <w:top w:val="nil"/>
              <w:left w:val="nil"/>
              <w:bottom w:val="nil"/>
              <w:right w:val="nil"/>
            </w:tcBorders>
            <w:shd w:val="clear" w:color="auto" w:fill="auto"/>
            <w:noWrap/>
            <w:vAlign w:val="bottom"/>
            <w:hideMark/>
          </w:tcPr>
          <w:p w14:paraId="4E401823" w14:textId="33D781F8" w:rsidR="002C051F" w:rsidRPr="006B42D6" w:rsidRDefault="002C051F" w:rsidP="002C051F">
            <w:pPr>
              <w:jc w:val="right"/>
              <w:rPr>
                <w:sz w:val="18"/>
                <w:szCs w:val="18"/>
              </w:rPr>
            </w:pPr>
            <w:r w:rsidRPr="006B42D6">
              <w:rPr>
                <w:sz w:val="18"/>
                <w:szCs w:val="18"/>
              </w:rPr>
              <w:t>-</w:t>
            </w:r>
          </w:p>
        </w:tc>
      </w:tr>
      <w:tr w:rsidR="002C051F" w:rsidRPr="006B42D6" w14:paraId="3470BD77" w14:textId="77777777" w:rsidTr="002C051F">
        <w:trPr>
          <w:trHeight w:val="283"/>
        </w:trPr>
        <w:tc>
          <w:tcPr>
            <w:tcW w:w="1239" w:type="pct"/>
            <w:tcBorders>
              <w:top w:val="nil"/>
              <w:left w:val="nil"/>
              <w:bottom w:val="nil"/>
              <w:right w:val="nil"/>
            </w:tcBorders>
            <w:shd w:val="clear" w:color="auto" w:fill="auto"/>
            <w:noWrap/>
            <w:vAlign w:val="bottom"/>
            <w:hideMark/>
          </w:tcPr>
          <w:p w14:paraId="49AEB080" w14:textId="77777777" w:rsidR="002C051F" w:rsidRPr="006B42D6" w:rsidRDefault="002C051F" w:rsidP="002C051F">
            <w:pPr>
              <w:rPr>
                <w:sz w:val="18"/>
                <w:szCs w:val="18"/>
              </w:rPr>
            </w:pPr>
            <w:r w:rsidRPr="006B42D6">
              <w:rPr>
                <w:sz w:val="18"/>
                <w:szCs w:val="18"/>
              </w:rPr>
              <w:t>Okra</w:t>
            </w:r>
          </w:p>
        </w:tc>
        <w:tc>
          <w:tcPr>
            <w:tcW w:w="940" w:type="pct"/>
            <w:tcBorders>
              <w:top w:val="nil"/>
              <w:left w:val="nil"/>
              <w:bottom w:val="nil"/>
              <w:right w:val="nil"/>
            </w:tcBorders>
            <w:shd w:val="clear" w:color="auto" w:fill="auto"/>
            <w:noWrap/>
            <w:vAlign w:val="bottom"/>
            <w:hideMark/>
          </w:tcPr>
          <w:p w14:paraId="4DB5F87D" w14:textId="75C78CD8" w:rsidR="002C051F" w:rsidRPr="006B42D6" w:rsidRDefault="002C051F" w:rsidP="002C051F">
            <w:pPr>
              <w:jc w:val="right"/>
              <w:rPr>
                <w:sz w:val="18"/>
                <w:szCs w:val="18"/>
              </w:rPr>
            </w:pPr>
            <w:r w:rsidRPr="006B42D6">
              <w:rPr>
                <w:sz w:val="18"/>
                <w:szCs w:val="18"/>
              </w:rPr>
              <w:t>4.5</w:t>
            </w:r>
          </w:p>
        </w:tc>
        <w:tc>
          <w:tcPr>
            <w:tcW w:w="941" w:type="pct"/>
            <w:tcBorders>
              <w:top w:val="nil"/>
              <w:left w:val="nil"/>
              <w:bottom w:val="nil"/>
              <w:right w:val="single" w:sz="4" w:space="0" w:color="auto"/>
            </w:tcBorders>
            <w:shd w:val="clear" w:color="auto" w:fill="auto"/>
            <w:noWrap/>
            <w:vAlign w:val="bottom"/>
            <w:hideMark/>
          </w:tcPr>
          <w:p w14:paraId="590AB304" w14:textId="75B5D4C7" w:rsidR="002C051F" w:rsidRPr="006B42D6" w:rsidRDefault="002C051F" w:rsidP="002C051F">
            <w:pPr>
              <w:jc w:val="right"/>
              <w:rPr>
                <w:sz w:val="18"/>
                <w:szCs w:val="18"/>
              </w:rPr>
            </w:pPr>
            <w:r w:rsidRPr="006B42D6">
              <w:rPr>
                <w:sz w:val="18"/>
                <w:szCs w:val="18"/>
              </w:rPr>
              <w:t>2.9</w:t>
            </w:r>
          </w:p>
        </w:tc>
        <w:tc>
          <w:tcPr>
            <w:tcW w:w="940" w:type="pct"/>
            <w:tcBorders>
              <w:top w:val="nil"/>
              <w:left w:val="nil"/>
              <w:bottom w:val="nil"/>
              <w:right w:val="nil"/>
            </w:tcBorders>
            <w:shd w:val="clear" w:color="auto" w:fill="auto"/>
            <w:noWrap/>
            <w:vAlign w:val="bottom"/>
            <w:hideMark/>
          </w:tcPr>
          <w:p w14:paraId="0A8297F8" w14:textId="2A6F3478" w:rsidR="002C051F" w:rsidRPr="006B42D6" w:rsidRDefault="002C051F" w:rsidP="002C051F">
            <w:pPr>
              <w:jc w:val="right"/>
              <w:rPr>
                <w:sz w:val="18"/>
                <w:szCs w:val="18"/>
              </w:rPr>
            </w:pPr>
            <w:r w:rsidRPr="006B42D6">
              <w:rPr>
                <w:sz w:val="18"/>
                <w:szCs w:val="18"/>
              </w:rPr>
              <w:t>16.0</w:t>
            </w:r>
          </w:p>
        </w:tc>
        <w:tc>
          <w:tcPr>
            <w:tcW w:w="940" w:type="pct"/>
            <w:tcBorders>
              <w:top w:val="nil"/>
              <w:left w:val="nil"/>
              <w:bottom w:val="nil"/>
              <w:right w:val="nil"/>
            </w:tcBorders>
            <w:shd w:val="clear" w:color="auto" w:fill="auto"/>
            <w:noWrap/>
            <w:vAlign w:val="bottom"/>
            <w:hideMark/>
          </w:tcPr>
          <w:p w14:paraId="4F0CADB4" w14:textId="3C7AED56" w:rsidR="002C051F" w:rsidRPr="006B42D6" w:rsidRDefault="002C051F" w:rsidP="002C051F">
            <w:pPr>
              <w:jc w:val="right"/>
              <w:rPr>
                <w:sz w:val="18"/>
                <w:szCs w:val="18"/>
              </w:rPr>
            </w:pPr>
            <w:r w:rsidRPr="006B42D6">
              <w:rPr>
                <w:sz w:val="18"/>
                <w:szCs w:val="18"/>
              </w:rPr>
              <w:t>8.2</w:t>
            </w:r>
          </w:p>
        </w:tc>
      </w:tr>
      <w:tr w:rsidR="002C051F" w:rsidRPr="006B42D6" w14:paraId="469C4150" w14:textId="77777777" w:rsidTr="002C051F">
        <w:trPr>
          <w:trHeight w:val="283"/>
        </w:trPr>
        <w:tc>
          <w:tcPr>
            <w:tcW w:w="1239" w:type="pct"/>
            <w:tcBorders>
              <w:top w:val="nil"/>
              <w:left w:val="nil"/>
              <w:bottom w:val="nil"/>
              <w:right w:val="nil"/>
            </w:tcBorders>
            <w:shd w:val="clear" w:color="auto" w:fill="auto"/>
            <w:noWrap/>
            <w:vAlign w:val="bottom"/>
            <w:hideMark/>
          </w:tcPr>
          <w:p w14:paraId="6421475C" w14:textId="77777777" w:rsidR="002C051F" w:rsidRPr="006B42D6" w:rsidRDefault="002C051F" w:rsidP="002C051F">
            <w:pPr>
              <w:rPr>
                <w:sz w:val="18"/>
                <w:szCs w:val="18"/>
              </w:rPr>
            </w:pPr>
            <w:r w:rsidRPr="006B42D6">
              <w:rPr>
                <w:sz w:val="18"/>
                <w:szCs w:val="18"/>
              </w:rPr>
              <w:t>Tomatoes</w:t>
            </w:r>
          </w:p>
        </w:tc>
        <w:tc>
          <w:tcPr>
            <w:tcW w:w="940" w:type="pct"/>
            <w:tcBorders>
              <w:top w:val="nil"/>
              <w:left w:val="nil"/>
              <w:bottom w:val="nil"/>
              <w:right w:val="nil"/>
            </w:tcBorders>
            <w:shd w:val="clear" w:color="auto" w:fill="auto"/>
            <w:noWrap/>
            <w:vAlign w:val="bottom"/>
            <w:hideMark/>
          </w:tcPr>
          <w:p w14:paraId="6BBB790C" w14:textId="56F489CA" w:rsidR="002C051F" w:rsidRPr="006B42D6" w:rsidRDefault="002C051F" w:rsidP="002C051F">
            <w:pPr>
              <w:jc w:val="right"/>
              <w:rPr>
                <w:sz w:val="18"/>
                <w:szCs w:val="18"/>
              </w:rPr>
            </w:pPr>
            <w:r w:rsidRPr="006B42D6">
              <w:rPr>
                <w:sz w:val="18"/>
                <w:szCs w:val="18"/>
              </w:rPr>
              <w:t>32.9</w:t>
            </w:r>
          </w:p>
        </w:tc>
        <w:tc>
          <w:tcPr>
            <w:tcW w:w="941" w:type="pct"/>
            <w:tcBorders>
              <w:top w:val="nil"/>
              <w:left w:val="nil"/>
              <w:bottom w:val="nil"/>
              <w:right w:val="single" w:sz="4" w:space="0" w:color="auto"/>
            </w:tcBorders>
            <w:shd w:val="clear" w:color="auto" w:fill="auto"/>
            <w:noWrap/>
            <w:vAlign w:val="bottom"/>
            <w:hideMark/>
          </w:tcPr>
          <w:p w14:paraId="121FBF64" w14:textId="68F3B40E" w:rsidR="002C051F" w:rsidRPr="006B42D6" w:rsidRDefault="002C051F" w:rsidP="002C051F">
            <w:pPr>
              <w:jc w:val="right"/>
              <w:rPr>
                <w:sz w:val="18"/>
                <w:szCs w:val="18"/>
              </w:rPr>
            </w:pPr>
            <w:r w:rsidRPr="006B42D6">
              <w:rPr>
                <w:sz w:val="18"/>
                <w:szCs w:val="18"/>
              </w:rPr>
              <w:t>36.9</w:t>
            </w:r>
          </w:p>
        </w:tc>
        <w:tc>
          <w:tcPr>
            <w:tcW w:w="940" w:type="pct"/>
            <w:tcBorders>
              <w:top w:val="nil"/>
              <w:left w:val="nil"/>
              <w:bottom w:val="nil"/>
              <w:right w:val="nil"/>
            </w:tcBorders>
            <w:shd w:val="clear" w:color="auto" w:fill="auto"/>
            <w:noWrap/>
            <w:vAlign w:val="bottom"/>
            <w:hideMark/>
          </w:tcPr>
          <w:p w14:paraId="66FE26E2" w14:textId="4972B4FD" w:rsidR="002C051F" w:rsidRPr="006B42D6" w:rsidRDefault="002C051F" w:rsidP="002C051F">
            <w:pPr>
              <w:jc w:val="right"/>
              <w:rPr>
                <w:sz w:val="18"/>
                <w:szCs w:val="18"/>
              </w:rPr>
            </w:pPr>
            <w:r w:rsidRPr="006B42D6">
              <w:rPr>
                <w:sz w:val="18"/>
                <w:szCs w:val="18"/>
              </w:rPr>
              <w:t>18.7</w:t>
            </w:r>
          </w:p>
        </w:tc>
        <w:tc>
          <w:tcPr>
            <w:tcW w:w="940" w:type="pct"/>
            <w:tcBorders>
              <w:top w:val="nil"/>
              <w:left w:val="nil"/>
              <w:bottom w:val="nil"/>
              <w:right w:val="nil"/>
            </w:tcBorders>
            <w:shd w:val="clear" w:color="auto" w:fill="auto"/>
            <w:noWrap/>
            <w:vAlign w:val="bottom"/>
            <w:hideMark/>
          </w:tcPr>
          <w:p w14:paraId="3F2697D9" w14:textId="2DECA67D" w:rsidR="002C051F" w:rsidRPr="006B42D6" w:rsidRDefault="002C051F" w:rsidP="002C051F">
            <w:pPr>
              <w:jc w:val="right"/>
              <w:rPr>
                <w:sz w:val="18"/>
                <w:szCs w:val="18"/>
              </w:rPr>
            </w:pPr>
            <w:r w:rsidRPr="006B42D6">
              <w:rPr>
                <w:sz w:val="18"/>
                <w:szCs w:val="18"/>
              </w:rPr>
              <w:t>20.0</w:t>
            </w:r>
          </w:p>
        </w:tc>
      </w:tr>
      <w:tr w:rsidR="002C051F" w:rsidRPr="006B42D6" w14:paraId="0223B40B" w14:textId="77777777" w:rsidTr="002C051F">
        <w:trPr>
          <w:trHeight w:val="283"/>
        </w:trPr>
        <w:tc>
          <w:tcPr>
            <w:tcW w:w="1239" w:type="pct"/>
            <w:tcBorders>
              <w:top w:val="nil"/>
              <w:left w:val="nil"/>
              <w:bottom w:val="nil"/>
              <w:right w:val="nil"/>
            </w:tcBorders>
            <w:shd w:val="clear" w:color="auto" w:fill="auto"/>
            <w:noWrap/>
            <w:vAlign w:val="bottom"/>
            <w:hideMark/>
          </w:tcPr>
          <w:p w14:paraId="73827FF6" w14:textId="77777777" w:rsidR="002C051F" w:rsidRPr="006B42D6" w:rsidRDefault="002C051F" w:rsidP="002C051F">
            <w:pPr>
              <w:rPr>
                <w:sz w:val="18"/>
                <w:szCs w:val="18"/>
              </w:rPr>
            </w:pPr>
            <w:r w:rsidRPr="006B42D6">
              <w:rPr>
                <w:sz w:val="18"/>
                <w:szCs w:val="18"/>
              </w:rPr>
              <w:t>Bitter tomato</w:t>
            </w:r>
          </w:p>
        </w:tc>
        <w:tc>
          <w:tcPr>
            <w:tcW w:w="940" w:type="pct"/>
            <w:tcBorders>
              <w:top w:val="nil"/>
              <w:left w:val="nil"/>
              <w:bottom w:val="nil"/>
              <w:right w:val="nil"/>
            </w:tcBorders>
            <w:shd w:val="clear" w:color="auto" w:fill="auto"/>
            <w:noWrap/>
            <w:vAlign w:val="bottom"/>
            <w:hideMark/>
          </w:tcPr>
          <w:p w14:paraId="707401C4" w14:textId="43CDAE26" w:rsidR="002C051F" w:rsidRPr="006B42D6" w:rsidRDefault="002C051F" w:rsidP="002C051F">
            <w:pPr>
              <w:jc w:val="right"/>
              <w:rPr>
                <w:sz w:val="18"/>
                <w:szCs w:val="18"/>
              </w:rPr>
            </w:pPr>
            <w:r w:rsidRPr="006B42D6">
              <w:rPr>
                <w:sz w:val="18"/>
                <w:szCs w:val="18"/>
              </w:rPr>
              <w:t>2.2</w:t>
            </w:r>
          </w:p>
        </w:tc>
        <w:tc>
          <w:tcPr>
            <w:tcW w:w="941" w:type="pct"/>
            <w:tcBorders>
              <w:top w:val="nil"/>
              <w:left w:val="nil"/>
              <w:bottom w:val="nil"/>
              <w:right w:val="single" w:sz="4" w:space="0" w:color="auto"/>
            </w:tcBorders>
            <w:shd w:val="clear" w:color="auto" w:fill="auto"/>
            <w:noWrap/>
            <w:vAlign w:val="bottom"/>
            <w:hideMark/>
          </w:tcPr>
          <w:p w14:paraId="2D74B0B8" w14:textId="1858358C" w:rsidR="002C051F" w:rsidRPr="006B42D6" w:rsidRDefault="002C051F" w:rsidP="002C051F">
            <w:pPr>
              <w:jc w:val="right"/>
              <w:rPr>
                <w:sz w:val="18"/>
                <w:szCs w:val="18"/>
              </w:rPr>
            </w:pPr>
            <w:r w:rsidRPr="006B42D6">
              <w:rPr>
                <w:sz w:val="18"/>
                <w:szCs w:val="18"/>
              </w:rPr>
              <w:t>5.6</w:t>
            </w:r>
          </w:p>
        </w:tc>
        <w:tc>
          <w:tcPr>
            <w:tcW w:w="940" w:type="pct"/>
            <w:tcBorders>
              <w:top w:val="nil"/>
              <w:left w:val="nil"/>
              <w:bottom w:val="nil"/>
              <w:right w:val="nil"/>
            </w:tcBorders>
            <w:shd w:val="clear" w:color="auto" w:fill="auto"/>
            <w:noWrap/>
            <w:vAlign w:val="bottom"/>
            <w:hideMark/>
          </w:tcPr>
          <w:p w14:paraId="70AC47B3" w14:textId="41BF978C" w:rsidR="002C051F" w:rsidRPr="006B42D6" w:rsidRDefault="002C051F" w:rsidP="002C051F">
            <w:pPr>
              <w:jc w:val="right"/>
              <w:rPr>
                <w:sz w:val="18"/>
                <w:szCs w:val="18"/>
              </w:rPr>
            </w:pPr>
            <w:r w:rsidRPr="006B42D6">
              <w:rPr>
                <w:sz w:val="18"/>
                <w:szCs w:val="18"/>
              </w:rPr>
              <w:t>2.6</w:t>
            </w:r>
          </w:p>
        </w:tc>
        <w:tc>
          <w:tcPr>
            <w:tcW w:w="940" w:type="pct"/>
            <w:tcBorders>
              <w:top w:val="nil"/>
              <w:left w:val="nil"/>
              <w:bottom w:val="nil"/>
              <w:right w:val="nil"/>
            </w:tcBorders>
            <w:shd w:val="clear" w:color="auto" w:fill="auto"/>
            <w:noWrap/>
            <w:vAlign w:val="bottom"/>
            <w:hideMark/>
          </w:tcPr>
          <w:p w14:paraId="1C479B76" w14:textId="35BE441E" w:rsidR="002C051F" w:rsidRPr="006B42D6" w:rsidRDefault="002C051F" w:rsidP="002C051F">
            <w:pPr>
              <w:jc w:val="right"/>
              <w:rPr>
                <w:sz w:val="18"/>
                <w:szCs w:val="18"/>
              </w:rPr>
            </w:pPr>
            <w:r w:rsidRPr="006B42D6">
              <w:rPr>
                <w:sz w:val="18"/>
                <w:szCs w:val="18"/>
              </w:rPr>
              <w:t>4.4</w:t>
            </w:r>
          </w:p>
        </w:tc>
      </w:tr>
      <w:tr w:rsidR="002C051F" w:rsidRPr="006B42D6" w14:paraId="678E0DA6" w14:textId="77777777" w:rsidTr="002C051F">
        <w:trPr>
          <w:trHeight w:val="283"/>
        </w:trPr>
        <w:tc>
          <w:tcPr>
            <w:tcW w:w="1239" w:type="pct"/>
            <w:tcBorders>
              <w:top w:val="nil"/>
              <w:left w:val="nil"/>
              <w:bottom w:val="nil"/>
              <w:right w:val="nil"/>
            </w:tcBorders>
            <w:shd w:val="clear" w:color="auto" w:fill="auto"/>
            <w:noWrap/>
            <w:vAlign w:val="bottom"/>
            <w:hideMark/>
          </w:tcPr>
          <w:p w14:paraId="2EBEC9FC" w14:textId="77777777" w:rsidR="002C051F" w:rsidRPr="006B42D6" w:rsidRDefault="002C051F" w:rsidP="002C051F">
            <w:pPr>
              <w:rPr>
                <w:sz w:val="18"/>
                <w:szCs w:val="18"/>
              </w:rPr>
            </w:pPr>
            <w:r w:rsidRPr="006B42D6">
              <w:rPr>
                <w:sz w:val="18"/>
                <w:szCs w:val="18"/>
              </w:rPr>
              <w:t>Sweet/bell pepper</w:t>
            </w:r>
          </w:p>
        </w:tc>
        <w:tc>
          <w:tcPr>
            <w:tcW w:w="940" w:type="pct"/>
            <w:tcBorders>
              <w:top w:val="nil"/>
              <w:left w:val="nil"/>
              <w:bottom w:val="nil"/>
              <w:right w:val="nil"/>
            </w:tcBorders>
            <w:shd w:val="clear" w:color="auto" w:fill="auto"/>
            <w:noWrap/>
            <w:vAlign w:val="bottom"/>
            <w:hideMark/>
          </w:tcPr>
          <w:p w14:paraId="6857A708" w14:textId="661E2E5F" w:rsidR="002C051F" w:rsidRPr="006B42D6" w:rsidRDefault="002C051F" w:rsidP="002C051F">
            <w:pPr>
              <w:jc w:val="right"/>
              <w:rPr>
                <w:sz w:val="18"/>
                <w:szCs w:val="18"/>
              </w:rPr>
            </w:pPr>
            <w:r w:rsidRPr="006B42D6">
              <w:rPr>
                <w:sz w:val="18"/>
                <w:szCs w:val="18"/>
              </w:rPr>
              <w:t>0.9</w:t>
            </w:r>
          </w:p>
        </w:tc>
        <w:tc>
          <w:tcPr>
            <w:tcW w:w="941" w:type="pct"/>
            <w:tcBorders>
              <w:top w:val="nil"/>
              <w:left w:val="nil"/>
              <w:bottom w:val="nil"/>
              <w:right w:val="single" w:sz="4" w:space="0" w:color="auto"/>
            </w:tcBorders>
            <w:shd w:val="clear" w:color="auto" w:fill="auto"/>
            <w:noWrap/>
            <w:vAlign w:val="bottom"/>
            <w:hideMark/>
          </w:tcPr>
          <w:p w14:paraId="05AFD0A0" w14:textId="42309B1B" w:rsidR="002C051F" w:rsidRPr="006B42D6" w:rsidRDefault="002C051F" w:rsidP="002C051F">
            <w:pPr>
              <w:jc w:val="right"/>
              <w:rPr>
                <w:sz w:val="18"/>
                <w:szCs w:val="18"/>
              </w:rPr>
            </w:pPr>
            <w:r w:rsidRPr="006B42D6">
              <w:rPr>
                <w:sz w:val="18"/>
                <w:szCs w:val="18"/>
              </w:rPr>
              <w:t>1.8</w:t>
            </w:r>
          </w:p>
        </w:tc>
        <w:tc>
          <w:tcPr>
            <w:tcW w:w="940" w:type="pct"/>
            <w:tcBorders>
              <w:top w:val="nil"/>
              <w:left w:val="nil"/>
              <w:bottom w:val="nil"/>
              <w:right w:val="nil"/>
            </w:tcBorders>
            <w:shd w:val="clear" w:color="auto" w:fill="auto"/>
            <w:noWrap/>
            <w:vAlign w:val="bottom"/>
            <w:hideMark/>
          </w:tcPr>
          <w:p w14:paraId="44E3411F" w14:textId="73AB8148" w:rsidR="002C051F" w:rsidRPr="006B42D6" w:rsidRDefault="002C051F" w:rsidP="002C051F">
            <w:pPr>
              <w:jc w:val="right"/>
              <w:rPr>
                <w:sz w:val="18"/>
                <w:szCs w:val="18"/>
              </w:rPr>
            </w:pPr>
            <w:r w:rsidRPr="006B42D6">
              <w:rPr>
                <w:sz w:val="18"/>
                <w:szCs w:val="18"/>
              </w:rPr>
              <w:t>0.2</w:t>
            </w:r>
          </w:p>
        </w:tc>
        <w:tc>
          <w:tcPr>
            <w:tcW w:w="940" w:type="pct"/>
            <w:tcBorders>
              <w:top w:val="nil"/>
              <w:left w:val="nil"/>
              <w:bottom w:val="nil"/>
              <w:right w:val="nil"/>
            </w:tcBorders>
            <w:shd w:val="clear" w:color="auto" w:fill="auto"/>
            <w:noWrap/>
            <w:vAlign w:val="bottom"/>
            <w:hideMark/>
          </w:tcPr>
          <w:p w14:paraId="5D46288A" w14:textId="287B135D" w:rsidR="002C051F" w:rsidRPr="006B42D6" w:rsidRDefault="002C051F" w:rsidP="002C051F">
            <w:pPr>
              <w:jc w:val="right"/>
              <w:rPr>
                <w:sz w:val="18"/>
                <w:szCs w:val="18"/>
              </w:rPr>
            </w:pPr>
            <w:r w:rsidRPr="006B42D6">
              <w:rPr>
                <w:sz w:val="18"/>
                <w:szCs w:val="18"/>
              </w:rPr>
              <w:t>0.2</w:t>
            </w:r>
          </w:p>
        </w:tc>
      </w:tr>
      <w:tr w:rsidR="002C051F" w:rsidRPr="006B42D6" w14:paraId="74CD0CA9" w14:textId="77777777" w:rsidTr="002C051F">
        <w:trPr>
          <w:trHeight w:val="283"/>
        </w:trPr>
        <w:tc>
          <w:tcPr>
            <w:tcW w:w="1239" w:type="pct"/>
            <w:tcBorders>
              <w:top w:val="nil"/>
              <w:left w:val="nil"/>
              <w:bottom w:val="nil"/>
              <w:right w:val="nil"/>
            </w:tcBorders>
            <w:shd w:val="clear" w:color="auto" w:fill="auto"/>
            <w:noWrap/>
            <w:vAlign w:val="bottom"/>
            <w:hideMark/>
          </w:tcPr>
          <w:p w14:paraId="4FAE7923" w14:textId="77777777" w:rsidR="002C051F" w:rsidRPr="006B42D6" w:rsidRDefault="002C051F" w:rsidP="002C051F">
            <w:pPr>
              <w:rPr>
                <w:sz w:val="18"/>
                <w:szCs w:val="18"/>
              </w:rPr>
            </w:pPr>
            <w:r w:rsidRPr="006B42D6">
              <w:rPr>
                <w:sz w:val="18"/>
                <w:szCs w:val="18"/>
              </w:rPr>
              <w:t>Squash</w:t>
            </w:r>
          </w:p>
        </w:tc>
        <w:tc>
          <w:tcPr>
            <w:tcW w:w="940" w:type="pct"/>
            <w:tcBorders>
              <w:top w:val="nil"/>
              <w:left w:val="nil"/>
              <w:bottom w:val="nil"/>
              <w:right w:val="nil"/>
            </w:tcBorders>
            <w:shd w:val="clear" w:color="auto" w:fill="auto"/>
            <w:noWrap/>
            <w:vAlign w:val="bottom"/>
            <w:hideMark/>
          </w:tcPr>
          <w:p w14:paraId="736A19C4" w14:textId="3B59D59B" w:rsidR="002C051F" w:rsidRPr="006B42D6" w:rsidRDefault="002C051F" w:rsidP="002C051F">
            <w:pPr>
              <w:jc w:val="right"/>
              <w:rPr>
                <w:sz w:val="18"/>
                <w:szCs w:val="18"/>
              </w:rPr>
            </w:pPr>
            <w:r w:rsidRPr="006B42D6">
              <w:rPr>
                <w:sz w:val="18"/>
                <w:szCs w:val="18"/>
              </w:rPr>
              <w:t>-</w:t>
            </w:r>
          </w:p>
        </w:tc>
        <w:tc>
          <w:tcPr>
            <w:tcW w:w="941" w:type="pct"/>
            <w:tcBorders>
              <w:top w:val="nil"/>
              <w:left w:val="nil"/>
              <w:bottom w:val="nil"/>
              <w:right w:val="single" w:sz="4" w:space="0" w:color="auto"/>
            </w:tcBorders>
            <w:shd w:val="clear" w:color="auto" w:fill="auto"/>
            <w:noWrap/>
            <w:vAlign w:val="bottom"/>
            <w:hideMark/>
          </w:tcPr>
          <w:p w14:paraId="486B5D2D" w14:textId="28F7A417" w:rsidR="002C051F" w:rsidRPr="006B42D6" w:rsidRDefault="002C051F" w:rsidP="002C051F">
            <w:pPr>
              <w:jc w:val="right"/>
              <w:rPr>
                <w:sz w:val="18"/>
                <w:szCs w:val="18"/>
              </w:rPr>
            </w:pPr>
            <w:r w:rsidRPr="006B42D6">
              <w:rPr>
                <w:sz w:val="18"/>
                <w:szCs w:val="18"/>
              </w:rPr>
              <w:t>0.01</w:t>
            </w:r>
          </w:p>
        </w:tc>
        <w:tc>
          <w:tcPr>
            <w:tcW w:w="940" w:type="pct"/>
            <w:tcBorders>
              <w:top w:val="nil"/>
              <w:left w:val="nil"/>
              <w:bottom w:val="nil"/>
              <w:right w:val="nil"/>
            </w:tcBorders>
            <w:shd w:val="clear" w:color="auto" w:fill="auto"/>
            <w:noWrap/>
            <w:vAlign w:val="bottom"/>
            <w:hideMark/>
          </w:tcPr>
          <w:p w14:paraId="59E2739E" w14:textId="5993DAA3" w:rsidR="002C051F" w:rsidRPr="006B42D6" w:rsidRDefault="002C051F" w:rsidP="002C051F">
            <w:pPr>
              <w:jc w:val="right"/>
              <w:rPr>
                <w:sz w:val="18"/>
                <w:szCs w:val="18"/>
              </w:rPr>
            </w:pPr>
            <w:r w:rsidRPr="006B42D6">
              <w:rPr>
                <w:sz w:val="18"/>
                <w:szCs w:val="18"/>
              </w:rPr>
              <w:t>-</w:t>
            </w:r>
          </w:p>
        </w:tc>
        <w:tc>
          <w:tcPr>
            <w:tcW w:w="940" w:type="pct"/>
            <w:tcBorders>
              <w:top w:val="nil"/>
              <w:left w:val="nil"/>
              <w:bottom w:val="nil"/>
              <w:right w:val="nil"/>
            </w:tcBorders>
            <w:shd w:val="clear" w:color="auto" w:fill="auto"/>
            <w:noWrap/>
            <w:vAlign w:val="bottom"/>
            <w:hideMark/>
          </w:tcPr>
          <w:p w14:paraId="5F7A604B" w14:textId="5212D37E" w:rsidR="002C051F" w:rsidRPr="006B42D6" w:rsidRDefault="002C051F" w:rsidP="002C051F">
            <w:pPr>
              <w:jc w:val="right"/>
              <w:rPr>
                <w:sz w:val="18"/>
                <w:szCs w:val="18"/>
              </w:rPr>
            </w:pPr>
            <w:r w:rsidRPr="006B42D6">
              <w:rPr>
                <w:sz w:val="18"/>
                <w:szCs w:val="18"/>
              </w:rPr>
              <w:t>-</w:t>
            </w:r>
          </w:p>
        </w:tc>
      </w:tr>
      <w:tr w:rsidR="002C051F" w:rsidRPr="006B42D6" w14:paraId="0AED34D2" w14:textId="77777777" w:rsidTr="002C051F">
        <w:trPr>
          <w:trHeight w:val="283"/>
        </w:trPr>
        <w:tc>
          <w:tcPr>
            <w:tcW w:w="1239" w:type="pct"/>
            <w:tcBorders>
              <w:top w:val="nil"/>
              <w:left w:val="nil"/>
              <w:bottom w:val="nil"/>
              <w:right w:val="nil"/>
            </w:tcBorders>
            <w:shd w:val="clear" w:color="auto" w:fill="auto"/>
            <w:noWrap/>
            <w:vAlign w:val="bottom"/>
            <w:hideMark/>
          </w:tcPr>
          <w:p w14:paraId="796BB36A" w14:textId="77777777" w:rsidR="002C051F" w:rsidRPr="006B42D6" w:rsidRDefault="002C051F" w:rsidP="002C051F">
            <w:pPr>
              <w:rPr>
                <w:sz w:val="18"/>
                <w:szCs w:val="18"/>
              </w:rPr>
            </w:pPr>
            <w:r w:rsidRPr="006B42D6">
              <w:rPr>
                <w:sz w:val="18"/>
                <w:szCs w:val="18"/>
              </w:rPr>
              <w:t>Sweet potato leaves</w:t>
            </w:r>
          </w:p>
        </w:tc>
        <w:tc>
          <w:tcPr>
            <w:tcW w:w="940" w:type="pct"/>
            <w:tcBorders>
              <w:top w:val="nil"/>
              <w:left w:val="nil"/>
              <w:bottom w:val="nil"/>
              <w:right w:val="nil"/>
            </w:tcBorders>
            <w:shd w:val="clear" w:color="auto" w:fill="auto"/>
            <w:noWrap/>
            <w:vAlign w:val="bottom"/>
            <w:hideMark/>
          </w:tcPr>
          <w:p w14:paraId="33CEEBCF" w14:textId="33E03457" w:rsidR="002C051F" w:rsidRPr="006B42D6" w:rsidRDefault="002C051F" w:rsidP="002C051F">
            <w:pPr>
              <w:jc w:val="right"/>
              <w:rPr>
                <w:sz w:val="18"/>
                <w:szCs w:val="18"/>
              </w:rPr>
            </w:pPr>
            <w:r w:rsidRPr="006B42D6">
              <w:rPr>
                <w:sz w:val="18"/>
                <w:szCs w:val="18"/>
              </w:rPr>
              <w:t>3.7</w:t>
            </w:r>
          </w:p>
        </w:tc>
        <w:tc>
          <w:tcPr>
            <w:tcW w:w="941" w:type="pct"/>
            <w:tcBorders>
              <w:top w:val="nil"/>
              <w:left w:val="nil"/>
              <w:bottom w:val="nil"/>
              <w:right w:val="single" w:sz="4" w:space="0" w:color="auto"/>
            </w:tcBorders>
            <w:shd w:val="clear" w:color="auto" w:fill="auto"/>
            <w:noWrap/>
            <w:vAlign w:val="bottom"/>
            <w:hideMark/>
          </w:tcPr>
          <w:p w14:paraId="2439393F" w14:textId="543A84E9" w:rsidR="002C051F" w:rsidRPr="006B42D6" w:rsidRDefault="002C051F" w:rsidP="002C051F">
            <w:pPr>
              <w:jc w:val="right"/>
              <w:rPr>
                <w:sz w:val="18"/>
                <w:szCs w:val="18"/>
              </w:rPr>
            </w:pPr>
            <w:r w:rsidRPr="006B42D6">
              <w:rPr>
                <w:sz w:val="18"/>
                <w:szCs w:val="18"/>
              </w:rPr>
              <w:t>1.1</w:t>
            </w:r>
          </w:p>
        </w:tc>
        <w:tc>
          <w:tcPr>
            <w:tcW w:w="940" w:type="pct"/>
            <w:tcBorders>
              <w:top w:val="nil"/>
              <w:left w:val="nil"/>
              <w:bottom w:val="nil"/>
              <w:right w:val="nil"/>
            </w:tcBorders>
            <w:shd w:val="clear" w:color="auto" w:fill="auto"/>
            <w:noWrap/>
            <w:vAlign w:val="bottom"/>
            <w:hideMark/>
          </w:tcPr>
          <w:p w14:paraId="4255DF95" w14:textId="65251123" w:rsidR="002C051F" w:rsidRPr="006B42D6" w:rsidRDefault="002C051F" w:rsidP="002C051F">
            <w:pPr>
              <w:jc w:val="right"/>
              <w:rPr>
                <w:sz w:val="18"/>
                <w:szCs w:val="18"/>
              </w:rPr>
            </w:pPr>
            <w:r w:rsidRPr="006B42D6">
              <w:rPr>
                <w:sz w:val="18"/>
                <w:szCs w:val="18"/>
              </w:rPr>
              <w:t>2.6</w:t>
            </w:r>
          </w:p>
        </w:tc>
        <w:tc>
          <w:tcPr>
            <w:tcW w:w="940" w:type="pct"/>
            <w:tcBorders>
              <w:top w:val="nil"/>
              <w:left w:val="nil"/>
              <w:bottom w:val="nil"/>
              <w:right w:val="nil"/>
            </w:tcBorders>
            <w:shd w:val="clear" w:color="auto" w:fill="auto"/>
            <w:noWrap/>
            <w:vAlign w:val="bottom"/>
            <w:hideMark/>
          </w:tcPr>
          <w:p w14:paraId="736F2BB8" w14:textId="1AFF9B51" w:rsidR="002C051F" w:rsidRPr="006B42D6" w:rsidRDefault="002C051F" w:rsidP="002C051F">
            <w:pPr>
              <w:jc w:val="right"/>
              <w:rPr>
                <w:sz w:val="18"/>
                <w:szCs w:val="18"/>
              </w:rPr>
            </w:pPr>
            <w:r w:rsidRPr="006B42D6">
              <w:rPr>
                <w:sz w:val="18"/>
                <w:szCs w:val="18"/>
              </w:rPr>
              <w:t>0.7</w:t>
            </w:r>
          </w:p>
        </w:tc>
      </w:tr>
      <w:tr w:rsidR="002C051F" w:rsidRPr="006B42D6" w14:paraId="4FE27122" w14:textId="77777777" w:rsidTr="002C051F">
        <w:trPr>
          <w:trHeight w:val="283"/>
        </w:trPr>
        <w:tc>
          <w:tcPr>
            <w:tcW w:w="1239" w:type="pct"/>
            <w:tcBorders>
              <w:top w:val="nil"/>
              <w:left w:val="nil"/>
              <w:bottom w:val="nil"/>
              <w:right w:val="nil"/>
            </w:tcBorders>
            <w:shd w:val="clear" w:color="auto" w:fill="auto"/>
            <w:noWrap/>
            <w:vAlign w:val="bottom"/>
            <w:hideMark/>
          </w:tcPr>
          <w:p w14:paraId="4910233F" w14:textId="77777777" w:rsidR="002C051F" w:rsidRPr="006B42D6" w:rsidRDefault="002C051F" w:rsidP="002C051F">
            <w:pPr>
              <w:rPr>
                <w:sz w:val="18"/>
                <w:szCs w:val="18"/>
              </w:rPr>
            </w:pPr>
            <w:r w:rsidRPr="006B42D6">
              <w:rPr>
                <w:sz w:val="18"/>
                <w:szCs w:val="18"/>
              </w:rPr>
              <w:t>Mnavu/Mnafu</w:t>
            </w:r>
          </w:p>
        </w:tc>
        <w:tc>
          <w:tcPr>
            <w:tcW w:w="940" w:type="pct"/>
            <w:tcBorders>
              <w:top w:val="nil"/>
              <w:left w:val="nil"/>
              <w:bottom w:val="nil"/>
              <w:right w:val="nil"/>
            </w:tcBorders>
            <w:shd w:val="clear" w:color="auto" w:fill="auto"/>
            <w:noWrap/>
            <w:vAlign w:val="bottom"/>
            <w:hideMark/>
          </w:tcPr>
          <w:p w14:paraId="0B250241" w14:textId="301040FB" w:rsidR="002C051F" w:rsidRPr="006B42D6" w:rsidRDefault="002C051F" w:rsidP="002C051F">
            <w:pPr>
              <w:jc w:val="right"/>
              <w:rPr>
                <w:sz w:val="18"/>
                <w:szCs w:val="18"/>
              </w:rPr>
            </w:pPr>
            <w:r w:rsidRPr="006B42D6">
              <w:rPr>
                <w:sz w:val="18"/>
                <w:szCs w:val="18"/>
              </w:rPr>
              <w:t>0.4</w:t>
            </w:r>
          </w:p>
        </w:tc>
        <w:tc>
          <w:tcPr>
            <w:tcW w:w="941" w:type="pct"/>
            <w:tcBorders>
              <w:top w:val="nil"/>
              <w:left w:val="nil"/>
              <w:bottom w:val="nil"/>
              <w:right w:val="single" w:sz="4" w:space="0" w:color="auto"/>
            </w:tcBorders>
            <w:shd w:val="clear" w:color="auto" w:fill="auto"/>
            <w:noWrap/>
            <w:vAlign w:val="bottom"/>
            <w:hideMark/>
          </w:tcPr>
          <w:p w14:paraId="25D42D57" w14:textId="72188080" w:rsidR="002C051F" w:rsidRPr="006B42D6" w:rsidRDefault="002C051F" w:rsidP="002C051F">
            <w:pPr>
              <w:jc w:val="right"/>
              <w:rPr>
                <w:sz w:val="18"/>
                <w:szCs w:val="18"/>
              </w:rPr>
            </w:pPr>
            <w:r w:rsidRPr="006B42D6">
              <w:rPr>
                <w:sz w:val="18"/>
                <w:szCs w:val="18"/>
              </w:rPr>
              <w:t>0.3</w:t>
            </w:r>
          </w:p>
        </w:tc>
        <w:tc>
          <w:tcPr>
            <w:tcW w:w="940" w:type="pct"/>
            <w:tcBorders>
              <w:top w:val="nil"/>
              <w:left w:val="nil"/>
              <w:bottom w:val="nil"/>
              <w:right w:val="nil"/>
            </w:tcBorders>
            <w:shd w:val="clear" w:color="auto" w:fill="auto"/>
            <w:noWrap/>
            <w:vAlign w:val="bottom"/>
            <w:hideMark/>
          </w:tcPr>
          <w:p w14:paraId="57DC1F25" w14:textId="6AC8387F" w:rsidR="002C051F" w:rsidRPr="006B42D6" w:rsidRDefault="002C051F" w:rsidP="002C051F">
            <w:pPr>
              <w:jc w:val="right"/>
              <w:rPr>
                <w:sz w:val="18"/>
                <w:szCs w:val="18"/>
              </w:rPr>
            </w:pPr>
            <w:r w:rsidRPr="006B42D6">
              <w:rPr>
                <w:sz w:val="18"/>
                <w:szCs w:val="18"/>
              </w:rPr>
              <w:t>-</w:t>
            </w:r>
          </w:p>
        </w:tc>
        <w:tc>
          <w:tcPr>
            <w:tcW w:w="940" w:type="pct"/>
            <w:tcBorders>
              <w:top w:val="nil"/>
              <w:left w:val="nil"/>
              <w:bottom w:val="nil"/>
              <w:right w:val="nil"/>
            </w:tcBorders>
            <w:shd w:val="clear" w:color="auto" w:fill="auto"/>
            <w:noWrap/>
            <w:vAlign w:val="bottom"/>
            <w:hideMark/>
          </w:tcPr>
          <w:p w14:paraId="32A3C5A7" w14:textId="726E2E84" w:rsidR="002C051F" w:rsidRPr="006B42D6" w:rsidRDefault="002C051F" w:rsidP="002C051F">
            <w:pPr>
              <w:jc w:val="right"/>
              <w:rPr>
                <w:sz w:val="18"/>
                <w:szCs w:val="18"/>
              </w:rPr>
            </w:pPr>
            <w:r w:rsidRPr="006B42D6">
              <w:rPr>
                <w:sz w:val="18"/>
                <w:szCs w:val="18"/>
              </w:rPr>
              <w:t>-</w:t>
            </w:r>
          </w:p>
        </w:tc>
      </w:tr>
      <w:tr w:rsidR="002C051F" w:rsidRPr="006B42D6" w14:paraId="1E4BFD3F" w14:textId="77777777" w:rsidTr="002C051F">
        <w:trPr>
          <w:trHeight w:val="283"/>
        </w:trPr>
        <w:tc>
          <w:tcPr>
            <w:tcW w:w="1239" w:type="pct"/>
            <w:tcBorders>
              <w:top w:val="nil"/>
              <w:left w:val="nil"/>
              <w:bottom w:val="nil"/>
              <w:right w:val="nil"/>
            </w:tcBorders>
            <w:shd w:val="clear" w:color="auto" w:fill="auto"/>
            <w:noWrap/>
            <w:vAlign w:val="bottom"/>
            <w:hideMark/>
          </w:tcPr>
          <w:p w14:paraId="3D1AFA8C" w14:textId="77777777" w:rsidR="002C051F" w:rsidRPr="006B42D6" w:rsidRDefault="002C051F" w:rsidP="002C051F">
            <w:pPr>
              <w:rPr>
                <w:sz w:val="18"/>
                <w:szCs w:val="18"/>
              </w:rPr>
            </w:pPr>
            <w:r w:rsidRPr="006B42D6">
              <w:rPr>
                <w:sz w:val="18"/>
                <w:szCs w:val="18"/>
              </w:rPr>
              <w:t>Figiri sukuma wiki</w:t>
            </w:r>
          </w:p>
        </w:tc>
        <w:tc>
          <w:tcPr>
            <w:tcW w:w="940" w:type="pct"/>
            <w:tcBorders>
              <w:top w:val="nil"/>
              <w:left w:val="nil"/>
              <w:bottom w:val="nil"/>
              <w:right w:val="nil"/>
            </w:tcBorders>
            <w:shd w:val="clear" w:color="auto" w:fill="auto"/>
            <w:noWrap/>
            <w:vAlign w:val="bottom"/>
            <w:hideMark/>
          </w:tcPr>
          <w:p w14:paraId="4F0A947D" w14:textId="67E4C716" w:rsidR="002C051F" w:rsidRPr="006B42D6" w:rsidRDefault="002C051F" w:rsidP="002C051F">
            <w:pPr>
              <w:jc w:val="right"/>
              <w:rPr>
                <w:sz w:val="18"/>
                <w:szCs w:val="18"/>
              </w:rPr>
            </w:pPr>
            <w:r w:rsidRPr="006B42D6">
              <w:rPr>
                <w:sz w:val="18"/>
                <w:szCs w:val="18"/>
              </w:rPr>
              <w:t>0.5</w:t>
            </w:r>
          </w:p>
        </w:tc>
        <w:tc>
          <w:tcPr>
            <w:tcW w:w="941" w:type="pct"/>
            <w:tcBorders>
              <w:top w:val="nil"/>
              <w:left w:val="nil"/>
              <w:bottom w:val="nil"/>
              <w:right w:val="single" w:sz="4" w:space="0" w:color="auto"/>
            </w:tcBorders>
            <w:shd w:val="clear" w:color="auto" w:fill="auto"/>
            <w:noWrap/>
            <w:vAlign w:val="bottom"/>
            <w:hideMark/>
          </w:tcPr>
          <w:p w14:paraId="63EF7220" w14:textId="48B745AE" w:rsidR="002C051F" w:rsidRPr="006B42D6" w:rsidRDefault="002C051F" w:rsidP="002C051F">
            <w:pPr>
              <w:jc w:val="right"/>
              <w:rPr>
                <w:sz w:val="18"/>
                <w:szCs w:val="18"/>
              </w:rPr>
            </w:pPr>
            <w:r w:rsidRPr="006B42D6">
              <w:rPr>
                <w:sz w:val="18"/>
                <w:szCs w:val="18"/>
              </w:rPr>
              <w:t>0.5</w:t>
            </w:r>
          </w:p>
        </w:tc>
        <w:tc>
          <w:tcPr>
            <w:tcW w:w="940" w:type="pct"/>
            <w:tcBorders>
              <w:top w:val="nil"/>
              <w:left w:val="nil"/>
              <w:bottom w:val="nil"/>
              <w:right w:val="nil"/>
            </w:tcBorders>
            <w:shd w:val="clear" w:color="auto" w:fill="auto"/>
            <w:noWrap/>
            <w:vAlign w:val="bottom"/>
            <w:hideMark/>
          </w:tcPr>
          <w:p w14:paraId="73FA12FC" w14:textId="7BD8ACB9" w:rsidR="002C051F" w:rsidRPr="006B42D6" w:rsidRDefault="002C051F" w:rsidP="002C051F">
            <w:pPr>
              <w:jc w:val="right"/>
              <w:rPr>
                <w:sz w:val="18"/>
                <w:szCs w:val="18"/>
              </w:rPr>
            </w:pPr>
            <w:r w:rsidRPr="006B42D6">
              <w:rPr>
                <w:sz w:val="18"/>
                <w:szCs w:val="18"/>
              </w:rPr>
              <w:t>-</w:t>
            </w:r>
          </w:p>
        </w:tc>
        <w:tc>
          <w:tcPr>
            <w:tcW w:w="940" w:type="pct"/>
            <w:tcBorders>
              <w:top w:val="nil"/>
              <w:left w:val="nil"/>
              <w:bottom w:val="nil"/>
              <w:right w:val="nil"/>
            </w:tcBorders>
            <w:shd w:val="clear" w:color="auto" w:fill="auto"/>
            <w:noWrap/>
            <w:vAlign w:val="bottom"/>
            <w:hideMark/>
          </w:tcPr>
          <w:p w14:paraId="5BB733D3" w14:textId="520A658E" w:rsidR="002C051F" w:rsidRPr="006B42D6" w:rsidRDefault="002C051F" w:rsidP="002C051F">
            <w:pPr>
              <w:jc w:val="right"/>
              <w:rPr>
                <w:sz w:val="18"/>
                <w:szCs w:val="18"/>
              </w:rPr>
            </w:pPr>
            <w:r w:rsidRPr="006B42D6">
              <w:rPr>
                <w:sz w:val="18"/>
                <w:szCs w:val="18"/>
              </w:rPr>
              <w:t>-</w:t>
            </w:r>
          </w:p>
        </w:tc>
      </w:tr>
      <w:tr w:rsidR="002C051F" w:rsidRPr="006B42D6" w14:paraId="18DCD6EB" w14:textId="77777777" w:rsidTr="00DC6EBD">
        <w:trPr>
          <w:trHeight w:val="283"/>
        </w:trPr>
        <w:tc>
          <w:tcPr>
            <w:tcW w:w="1239" w:type="pct"/>
            <w:tcBorders>
              <w:top w:val="nil"/>
              <w:left w:val="nil"/>
              <w:right w:val="nil"/>
            </w:tcBorders>
            <w:shd w:val="clear" w:color="auto" w:fill="auto"/>
            <w:noWrap/>
            <w:vAlign w:val="bottom"/>
            <w:hideMark/>
          </w:tcPr>
          <w:p w14:paraId="643F1A53" w14:textId="77777777" w:rsidR="002C051F" w:rsidRPr="006B42D6" w:rsidRDefault="002C051F" w:rsidP="002C051F">
            <w:pPr>
              <w:rPr>
                <w:sz w:val="18"/>
                <w:szCs w:val="18"/>
              </w:rPr>
            </w:pPr>
            <w:r w:rsidRPr="006B42D6">
              <w:rPr>
                <w:sz w:val="18"/>
                <w:szCs w:val="18"/>
              </w:rPr>
              <w:t>Brocol</w:t>
            </w:r>
          </w:p>
        </w:tc>
        <w:tc>
          <w:tcPr>
            <w:tcW w:w="940" w:type="pct"/>
            <w:tcBorders>
              <w:top w:val="nil"/>
              <w:left w:val="nil"/>
              <w:right w:val="nil"/>
            </w:tcBorders>
            <w:shd w:val="clear" w:color="auto" w:fill="auto"/>
            <w:noWrap/>
            <w:vAlign w:val="bottom"/>
            <w:hideMark/>
          </w:tcPr>
          <w:p w14:paraId="63E1C415" w14:textId="1F70B352" w:rsidR="002C051F" w:rsidRPr="006B42D6" w:rsidRDefault="002C051F" w:rsidP="002C051F">
            <w:pPr>
              <w:jc w:val="right"/>
              <w:rPr>
                <w:sz w:val="18"/>
                <w:szCs w:val="18"/>
              </w:rPr>
            </w:pPr>
            <w:r w:rsidRPr="006B42D6">
              <w:rPr>
                <w:sz w:val="18"/>
                <w:szCs w:val="18"/>
              </w:rPr>
              <w:t>0.2</w:t>
            </w:r>
          </w:p>
        </w:tc>
        <w:tc>
          <w:tcPr>
            <w:tcW w:w="941" w:type="pct"/>
            <w:tcBorders>
              <w:top w:val="nil"/>
              <w:left w:val="nil"/>
              <w:right w:val="single" w:sz="4" w:space="0" w:color="auto"/>
            </w:tcBorders>
            <w:shd w:val="clear" w:color="auto" w:fill="auto"/>
            <w:noWrap/>
            <w:vAlign w:val="bottom"/>
            <w:hideMark/>
          </w:tcPr>
          <w:p w14:paraId="672C42FA" w14:textId="1BA9BBDE" w:rsidR="002C051F" w:rsidRPr="006B42D6" w:rsidRDefault="002C051F" w:rsidP="002C051F">
            <w:pPr>
              <w:jc w:val="right"/>
              <w:rPr>
                <w:sz w:val="18"/>
                <w:szCs w:val="18"/>
              </w:rPr>
            </w:pPr>
            <w:r w:rsidRPr="006B42D6">
              <w:rPr>
                <w:sz w:val="18"/>
                <w:szCs w:val="18"/>
              </w:rPr>
              <w:t>0.1</w:t>
            </w:r>
          </w:p>
        </w:tc>
        <w:tc>
          <w:tcPr>
            <w:tcW w:w="940" w:type="pct"/>
            <w:tcBorders>
              <w:top w:val="nil"/>
              <w:left w:val="nil"/>
              <w:right w:val="nil"/>
            </w:tcBorders>
            <w:shd w:val="clear" w:color="auto" w:fill="auto"/>
            <w:noWrap/>
            <w:vAlign w:val="bottom"/>
            <w:hideMark/>
          </w:tcPr>
          <w:p w14:paraId="2812597F" w14:textId="0DE01EA7" w:rsidR="002C051F" w:rsidRPr="006B42D6" w:rsidRDefault="002C051F" w:rsidP="002C051F">
            <w:pPr>
              <w:jc w:val="right"/>
              <w:rPr>
                <w:sz w:val="18"/>
                <w:szCs w:val="18"/>
              </w:rPr>
            </w:pPr>
            <w:r w:rsidRPr="006B42D6">
              <w:rPr>
                <w:sz w:val="18"/>
                <w:szCs w:val="18"/>
              </w:rPr>
              <w:t>-</w:t>
            </w:r>
          </w:p>
        </w:tc>
        <w:tc>
          <w:tcPr>
            <w:tcW w:w="940" w:type="pct"/>
            <w:tcBorders>
              <w:top w:val="nil"/>
              <w:left w:val="nil"/>
              <w:right w:val="nil"/>
            </w:tcBorders>
            <w:shd w:val="clear" w:color="auto" w:fill="auto"/>
            <w:noWrap/>
            <w:vAlign w:val="bottom"/>
            <w:hideMark/>
          </w:tcPr>
          <w:p w14:paraId="63002D75" w14:textId="7C5C6C26" w:rsidR="002C051F" w:rsidRPr="006B42D6" w:rsidRDefault="002C051F" w:rsidP="002C051F">
            <w:pPr>
              <w:jc w:val="right"/>
              <w:rPr>
                <w:sz w:val="18"/>
                <w:szCs w:val="18"/>
              </w:rPr>
            </w:pPr>
            <w:r w:rsidRPr="006B42D6">
              <w:rPr>
                <w:sz w:val="18"/>
                <w:szCs w:val="18"/>
              </w:rPr>
              <w:t>-</w:t>
            </w:r>
          </w:p>
        </w:tc>
      </w:tr>
      <w:tr w:rsidR="002C051F" w:rsidRPr="006B42D6" w14:paraId="57715CE2" w14:textId="77777777" w:rsidTr="00DC6EBD">
        <w:trPr>
          <w:trHeight w:val="283"/>
        </w:trPr>
        <w:tc>
          <w:tcPr>
            <w:tcW w:w="1239" w:type="pct"/>
            <w:tcBorders>
              <w:top w:val="nil"/>
              <w:left w:val="nil"/>
              <w:bottom w:val="single" w:sz="4" w:space="0" w:color="auto"/>
              <w:right w:val="nil"/>
            </w:tcBorders>
            <w:shd w:val="clear" w:color="auto" w:fill="auto"/>
            <w:noWrap/>
            <w:vAlign w:val="bottom"/>
            <w:hideMark/>
          </w:tcPr>
          <w:p w14:paraId="6B2DC10C" w14:textId="77777777" w:rsidR="002C051F" w:rsidRPr="006B42D6" w:rsidRDefault="002C051F" w:rsidP="002C051F">
            <w:pPr>
              <w:rPr>
                <w:sz w:val="18"/>
                <w:szCs w:val="18"/>
              </w:rPr>
            </w:pPr>
            <w:r w:rsidRPr="006B42D6">
              <w:rPr>
                <w:sz w:val="18"/>
                <w:szCs w:val="18"/>
              </w:rPr>
              <w:t>Pumpkin leaves</w:t>
            </w:r>
          </w:p>
        </w:tc>
        <w:tc>
          <w:tcPr>
            <w:tcW w:w="940" w:type="pct"/>
            <w:tcBorders>
              <w:top w:val="nil"/>
              <w:left w:val="nil"/>
              <w:bottom w:val="single" w:sz="4" w:space="0" w:color="auto"/>
              <w:right w:val="nil"/>
            </w:tcBorders>
            <w:shd w:val="clear" w:color="auto" w:fill="auto"/>
            <w:noWrap/>
            <w:vAlign w:val="bottom"/>
            <w:hideMark/>
          </w:tcPr>
          <w:p w14:paraId="5553D4BB" w14:textId="59B6AA7E" w:rsidR="002C051F" w:rsidRPr="006B42D6" w:rsidRDefault="002C051F" w:rsidP="002C051F">
            <w:pPr>
              <w:jc w:val="right"/>
              <w:rPr>
                <w:sz w:val="18"/>
                <w:szCs w:val="18"/>
              </w:rPr>
            </w:pPr>
            <w:r w:rsidRPr="006B42D6">
              <w:rPr>
                <w:sz w:val="18"/>
                <w:szCs w:val="18"/>
              </w:rPr>
              <w:t>0.4</w:t>
            </w:r>
          </w:p>
        </w:tc>
        <w:tc>
          <w:tcPr>
            <w:tcW w:w="941" w:type="pct"/>
            <w:tcBorders>
              <w:top w:val="nil"/>
              <w:left w:val="nil"/>
              <w:bottom w:val="single" w:sz="4" w:space="0" w:color="auto"/>
              <w:right w:val="single" w:sz="4" w:space="0" w:color="auto"/>
            </w:tcBorders>
            <w:shd w:val="clear" w:color="auto" w:fill="auto"/>
            <w:noWrap/>
            <w:vAlign w:val="bottom"/>
            <w:hideMark/>
          </w:tcPr>
          <w:p w14:paraId="0C14EF04" w14:textId="52096BC7" w:rsidR="002C051F" w:rsidRPr="006B42D6" w:rsidRDefault="002C051F" w:rsidP="002C051F">
            <w:pPr>
              <w:jc w:val="right"/>
              <w:rPr>
                <w:sz w:val="18"/>
                <w:szCs w:val="18"/>
              </w:rPr>
            </w:pPr>
            <w:r w:rsidRPr="006B42D6">
              <w:rPr>
                <w:sz w:val="18"/>
                <w:szCs w:val="18"/>
              </w:rPr>
              <w:t>0.2</w:t>
            </w:r>
          </w:p>
        </w:tc>
        <w:tc>
          <w:tcPr>
            <w:tcW w:w="940" w:type="pct"/>
            <w:tcBorders>
              <w:top w:val="nil"/>
              <w:left w:val="nil"/>
              <w:bottom w:val="single" w:sz="4" w:space="0" w:color="auto"/>
              <w:right w:val="nil"/>
            </w:tcBorders>
            <w:shd w:val="clear" w:color="auto" w:fill="auto"/>
            <w:noWrap/>
            <w:vAlign w:val="bottom"/>
            <w:hideMark/>
          </w:tcPr>
          <w:p w14:paraId="1A222135" w14:textId="51B977FF" w:rsidR="002C051F" w:rsidRPr="006B42D6" w:rsidRDefault="002C051F" w:rsidP="002C051F">
            <w:pPr>
              <w:jc w:val="right"/>
              <w:rPr>
                <w:sz w:val="18"/>
                <w:szCs w:val="18"/>
              </w:rPr>
            </w:pPr>
            <w:r w:rsidRPr="006B42D6">
              <w:rPr>
                <w:sz w:val="18"/>
                <w:szCs w:val="18"/>
              </w:rPr>
              <w:t>-</w:t>
            </w:r>
          </w:p>
        </w:tc>
        <w:tc>
          <w:tcPr>
            <w:tcW w:w="940" w:type="pct"/>
            <w:tcBorders>
              <w:top w:val="nil"/>
              <w:left w:val="nil"/>
              <w:bottom w:val="single" w:sz="4" w:space="0" w:color="auto"/>
              <w:right w:val="nil"/>
            </w:tcBorders>
            <w:shd w:val="clear" w:color="auto" w:fill="auto"/>
            <w:noWrap/>
            <w:vAlign w:val="bottom"/>
            <w:hideMark/>
          </w:tcPr>
          <w:p w14:paraId="2A609CF0" w14:textId="2C7C49DF" w:rsidR="002C051F" w:rsidRPr="006B42D6" w:rsidRDefault="002C051F" w:rsidP="002C051F">
            <w:pPr>
              <w:jc w:val="right"/>
              <w:rPr>
                <w:sz w:val="18"/>
                <w:szCs w:val="18"/>
              </w:rPr>
            </w:pPr>
            <w:r w:rsidRPr="006B42D6">
              <w:rPr>
                <w:sz w:val="18"/>
                <w:szCs w:val="18"/>
              </w:rPr>
              <w:t>-</w:t>
            </w:r>
          </w:p>
        </w:tc>
      </w:tr>
    </w:tbl>
    <w:p w14:paraId="552AAB60" w14:textId="77777777" w:rsidR="0075251B" w:rsidRPr="0075251B" w:rsidRDefault="0075251B" w:rsidP="009E2AFC"/>
    <w:p w14:paraId="47B64CF5" w14:textId="20EEAB8B" w:rsidR="0070447D" w:rsidRPr="006B42D6" w:rsidRDefault="0070447D" w:rsidP="0070447D">
      <w:pPr>
        <w:pStyle w:val="Heading2"/>
      </w:pPr>
      <w:bookmarkStart w:id="319" w:name="_Toc82385704"/>
      <w:r w:rsidRPr="006B42D6">
        <w:t>3.</w:t>
      </w:r>
      <w:r w:rsidR="00193728">
        <w:t>4</w:t>
      </w:r>
      <w:r w:rsidRPr="006B42D6">
        <w:tab/>
        <w:t>Input Use</w:t>
      </w:r>
      <w:bookmarkEnd w:id="319"/>
    </w:p>
    <w:p w14:paraId="37B32F3E" w14:textId="77777777" w:rsidR="0070447D" w:rsidRPr="006B42D6" w:rsidRDefault="0070447D" w:rsidP="0075251B">
      <w:r w:rsidRPr="006B42D6">
        <w:t>This section presents results on the use of improved seeds, organic and inorganic fertilizers and pesticides which includes h</w:t>
      </w:r>
      <w:r w:rsidRPr="006B42D6">
        <w:rPr>
          <w:bCs/>
        </w:rPr>
        <w:t>erbicides, f</w:t>
      </w:r>
      <w:r w:rsidRPr="006B42D6">
        <w:t>ungicides and insecticides. The results presented in this section are based on the use and area of application and not on the quantity applied.</w:t>
      </w:r>
    </w:p>
    <w:p w14:paraId="70282800" w14:textId="77777777" w:rsidR="0070447D" w:rsidRPr="006B42D6" w:rsidRDefault="0070447D" w:rsidP="009E2AFC">
      <w:pPr>
        <w:spacing w:line="240" w:lineRule="auto"/>
        <w:rPr>
          <w:b/>
        </w:rPr>
      </w:pPr>
    </w:p>
    <w:p w14:paraId="4F9376F8" w14:textId="175D957E" w:rsidR="0070447D" w:rsidRPr="006B42D6" w:rsidRDefault="0070447D" w:rsidP="0070447D">
      <w:pPr>
        <w:pStyle w:val="Heading3"/>
      </w:pPr>
      <w:bookmarkStart w:id="320" w:name="_Toc82385705"/>
      <w:r w:rsidRPr="006B42D6">
        <w:t>3.</w:t>
      </w:r>
      <w:r w:rsidR="00193728">
        <w:t>4</w:t>
      </w:r>
      <w:r w:rsidRPr="006B42D6">
        <w:t>.1</w:t>
      </w:r>
      <w:r w:rsidRPr="006B42D6">
        <w:tab/>
        <w:t>Use of Improved Seeds</w:t>
      </w:r>
      <w:bookmarkEnd w:id="320"/>
    </w:p>
    <w:p w14:paraId="6747E261" w14:textId="1E9F2227" w:rsidR="0070447D" w:rsidRPr="006B42D6" w:rsidRDefault="0070447D" w:rsidP="0075251B">
      <w:r w:rsidRPr="006B42D6">
        <w:t xml:space="preserve">Census results show that in Tanzania, the total area planted with improved seeds during 2019/20 agricultural year was 2,593,526 ha, which accounts for 22.0 percent of the total cultivated area. On the other hand, the area planted with local seeds was 8,906,314 ha representing 75.7 percent of the total cultivated area, while the area planted with </w:t>
      </w:r>
      <w:r w:rsidR="00697794" w:rsidRPr="006B42D6">
        <w:t xml:space="preserve">both </w:t>
      </w:r>
      <w:r w:rsidRPr="006B42D6">
        <w:t>local and improved seeds was 250,884 ha which is equivalent to 2.1 percent of the total planted area (Table 3.</w:t>
      </w:r>
      <w:r w:rsidR="00C61EB9" w:rsidRPr="006B42D6">
        <w:t>2</w:t>
      </w:r>
      <w:r w:rsidR="00CD75FC">
        <w:t>1</w:t>
      </w:r>
      <w:r w:rsidRPr="006B42D6">
        <w:t>).</w:t>
      </w:r>
    </w:p>
    <w:p w14:paraId="5109DFDF" w14:textId="38EEA618" w:rsidR="0070447D" w:rsidRPr="006B42D6" w:rsidRDefault="0070447D" w:rsidP="007200F6">
      <w:pPr>
        <w:pStyle w:val="Heading7"/>
        <w:rPr>
          <w:i/>
        </w:rPr>
      </w:pPr>
      <w:bookmarkStart w:id="321" w:name="_Toc57543913"/>
      <w:bookmarkStart w:id="322" w:name="_Toc57544313"/>
      <w:bookmarkStart w:id="323" w:name="_Toc57544662"/>
      <w:bookmarkStart w:id="324" w:name="_Toc59096844"/>
      <w:bookmarkStart w:id="325" w:name="_Toc59096871"/>
      <w:bookmarkStart w:id="326" w:name="_Toc59892685"/>
      <w:bookmarkStart w:id="327" w:name="_Toc82386203"/>
      <w:r w:rsidRPr="006B42D6">
        <w:lastRenderedPageBreak/>
        <w:t>Table 3.</w:t>
      </w:r>
      <w:r w:rsidR="00C61EB9" w:rsidRPr="006B42D6">
        <w:t>2</w:t>
      </w:r>
      <w:r w:rsidR="00CD75FC">
        <w:t>1</w:t>
      </w:r>
      <w:r w:rsidR="009E2AFC">
        <w:t>:</w:t>
      </w:r>
      <w:r w:rsidR="009E2AFC">
        <w:tab/>
      </w:r>
      <w:r w:rsidR="004D6462">
        <w:t xml:space="preserve">Cultivated </w:t>
      </w:r>
      <w:r w:rsidRPr="006B42D6">
        <w:t xml:space="preserve">Area </w:t>
      </w:r>
      <w:r w:rsidR="004D6462">
        <w:t xml:space="preserve">and Area </w:t>
      </w:r>
      <w:r w:rsidRPr="006B42D6">
        <w:t xml:space="preserve">Planted by Type of Seed Used </w:t>
      </w:r>
      <w:r w:rsidR="004B4FE7" w:rsidRPr="006B42D6">
        <w:t>D</w:t>
      </w:r>
      <w:r w:rsidRPr="006B42D6">
        <w:t>uring 2019/20 Agricultural Year</w:t>
      </w:r>
      <w:bookmarkEnd w:id="321"/>
      <w:bookmarkEnd w:id="322"/>
      <w:bookmarkEnd w:id="323"/>
      <w:bookmarkEnd w:id="324"/>
      <w:bookmarkEnd w:id="325"/>
      <w:bookmarkEnd w:id="326"/>
      <w:r w:rsidRPr="006B42D6">
        <w:t>, Tanzania</w:t>
      </w:r>
      <w:bookmarkEnd w:id="327"/>
    </w:p>
    <w:tbl>
      <w:tblPr>
        <w:tblW w:w="9180" w:type="dxa"/>
        <w:tblLook w:val="04A0" w:firstRow="1" w:lastRow="0" w:firstColumn="1" w:lastColumn="0" w:noHBand="0" w:noVBand="1"/>
      </w:tblPr>
      <w:tblGrid>
        <w:gridCol w:w="4399"/>
        <w:gridCol w:w="1096"/>
        <w:gridCol w:w="1915"/>
        <w:gridCol w:w="1770"/>
      </w:tblGrid>
      <w:tr w:rsidR="006B42D6" w:rsidRPr="006B42D6" w14:paraId="05DEFCDA" w14:textId="77777777" w:rsidTr="004D6462">
        <w:trPr>
          <w:trHeight w:val="375"/>
        </w:trPr>
        <w:tc>
          <w:tcPr>
            <w:tcW w:w="0" w:type="auto"/>
            <w:tcBorders>
              <w:top w:val="single" w:sz="4" w:space="0" w:color="auto"/>
              <w:left w:val="nil"/>
              <w:bottom w:val="single" w:sz="4" w:space="0" w:color="auto"/>
              <w:right w:val="nil"/>
            </w:tcBorders>
            <w:shd w:val="clear" w:color="auto" w:fill="E2EFD9" w:themeFill="accent6" w:themeFillTint="33"/>
            <w:noWrap/>
            <w:vAlign w:val="center"/>
            <w:hideMark/>
          </w:tcPr>
          <w:p w14:paraId="02DE3E7D" w14:textId="77777777" w:rsidR="0070447D" w:rsidRPr="006B42D6" w:rsidRDefault="0070447D" w:rsidP="00383AA6">
            <w:pPr>
              <w:rPr>
                <w:b/>
                <w:bCs/>
                <w:sz w:val="18"/>
                <w:szCs w:val="18"/>
              </w:rPr>
            </w:pPr>
            <w:r w:rsidRPr="006B42D6">
              <w:rPr>
                <w:b/>
                <w:bCs/>
                <w:sz w:val="18"/>
                <w:szCs w:val="18"/>
              </w:rPr>
              <w:t>Selected Characteristic</w:t>
            </w:r>
          </w:p>
        </w:tc>
        <w:tc>
          <w:tcPr>
            <w:tcW w:w="1096" w:type="dxa"/>
            <w:tcBorders>
              <w:top w:val="single" w:sz="4" w:space="0" w:color="auto"/>
              <w:left w:val="nil"/>
              <w:bottom w:val="single" w:sz="4" w:space="0" w:color="auto"/>
              <w:right w:val="nil"/>
            </w:tcBorders>
            <w:shd w:val="clear" w:color="auto" w:fill="E2EFD9" w:themeFill="accent6" w:themeFillTint="33"/>
            <w:vAlign w:val="center"/>
            <w:hideMark/>
          </w:tcPr>
          <w:p w14:paraId="230FF809" w14:textId="77777777" w:rsidR="0070447D" w:rsidRPr="006B42D6" w:rsidRDefault="0070447D" w:rsidP="00383AA6">
            <w:pPr>
              <w:rPr>
                <w:b/>
                <w:bCs/>
                <w:sz w:val="18"/>
                <w:szCs w:val="18"/>
              </w:rPr>
            </w:pPr>
            <w:r w:rsidRPr="006B42D6">
              <w:rPr>
                <w:b/>
                <w:bCs/>
                <w:sz w:val="18"/>
                <w:szCs w:val="18"/>
              </w:rPr>
              <w:t>Tanzania</w:t>
            </w:r>
          </w:p>
        </w:tc>
        <w:tc>
          <w:tcPr>
            <w:tcW w:w="1915" w:type="dxa"/>
            <w:tcBorders>
              <w:top w:val="single" w:sz="4" w:space="0" w:color="auto"/>
              <w:left w:val="nil"/>
              <w:bottom w:val="single" w:sz="4" w:space="0" w:color="auto"/>
              <w:right w:val="nil"/>
            </w:tcBorders>
            <w:shd w:val="clear" w:color="auto" w:fill="E2EFD9" w:themeFill="accent6" w:themeFillTint="33"/>
            <w:vAlign w:val="center"/>
            <w:hideMark/>
          </w:tcPr>
          <w:p w14:paraId="36AB34B5" w14:textId="2571A27D" w:rsidR="0070447D" w:rsidRPr="006B42D6" w:rsidRDefault="00EA1552" w:rsidP="00383AA6">
            <w:pPr>
              <w:rPr>
                <w:b/>
                <w:bCs/>
                <w:sz w:val="18"/>
                <w:szCs w:val="18"/>
              </w:rPr>
            </w:pPr>
            <w:r>
              <w:rPr>
                <w:b/>
                <w:bCs/>
                <w:sz w:val="18"/>
                <w:szCs w:val="18"/>
              </w:rPr>
              <w:t>Mainland Tanzania</w:t>
            </w:r>
          </w:p>
        </w:tc>
        <w:tc>
          <w:tcPr>
            <w:tcW w:w="1770" w:type="dxa"/>
            <w:tcBorders>
              <w:top w:val="single" w:sz="4" w:space="0" w:color="auto"/>
              <w:left w:val="nil"/>
              <w:bottom w:val="single" w:sz="4" w:space="0" w:color="auto"/>
              <w:right w:val="nil"/>
            </w:tcBorders>
            <w:shd w:val="clear" w:color="auto" w:fill="E2EFD9" w:themeFill="accent6" w:themeFillTint="33"/>
            <w:vAlign w:val="center"/>
            <w:hideMark/>
          </w:tcPr>
          <w:p w14:paraId="6111E083" w14:textId="77777777" w:rsidR="0070447D" w:rsidRPr="006B42D6" w:rsidRDefault="0070447D" w:rsidP="00383AA6">
            <w:pPr>
              <w:rPr>
                <w:b/>
                <w:bCs/>
                <w:sz w:val="18"/>
                <w:szCs w:val="18"/>
              </w:rPr>
            </w:pPr>
            <w:r w:rsidRPr="006B42D6">
              <w:rPr>
                <w:b/>
                <w:bCs/>
                <w:sz w:val="18"/>
                <w:szCs w:val="18"/>
              </w:rPr>
              <w:t>Tanzania Zanzibar</w:t>
            </w:r>
          </w:p>
        </w:tc>
      </w:tr>
      <w:tr w:rsidR="006B42D6" w:rsidRPr="006B42D6" w14:paraId="2AC431DB" w14:textId="77777777" w:rsidTr="004D6462">
        <w:trPr>
          <w:trHeight w:val="375"/>
        </w:trPr>
        <w:tc>
          <w:tcPr>
            <w:tcW w:w="0" w:type="auto"/>
            <w:tcBorders>
              <w:top w:val="single" w:sz="4" w:space="0" w:color="auto"/>
              <w:left w:val="nil"/>
              <w:bottom w:val="nil"/>
              <w:right w:val="nil"/>
            </w:tcBorders>
            <w:shd w:val="clear" w:color="auto" w:fill="auto"/>
            <w:noWrap/>
            <w:vAlign w:val="center"/>
            <w:hideMark/>
          </w:tcPr>
          <w:p w14:paraId="5696E2F4" w14:textId="77777777" w:rsidR="0070447D" w:rsidRPr="006B42D6" w:rsidRDefault="0070447D" w:rsidP="00383AA6">
            <w:pPr>
              <w:rPr>
                <w:sz w:val="18"/>
                <w:szCs w:val="18"/>
              </w:rPr>
            </w:pPr>
            <w:r w:rsidRPr="006B42D6">
              <w:rPr>
                <w:sz w:val="18"/>
                <w:szCs w:val="18"/>
              </w:rPr>
              <w:t>Cultivated Area (ha)</w:t>
            </w:r>
          </w:p>
        </w:tc>
        <w:tc>
          <w:tcPr>
            <w:tcW w:w="1096" w:type="dxa"/>
            <w:tcBorders>
              <w:top w:val="single" w:sz="4" w:space="0" w:color="auto"/>
              <w:left w:val="nil"/>
              <w:bottom w:val="nil"/>
              <w:right w:val="nil"/>
            </w:tcBorders>
            <w:shd w:val="clear" w:color="auto" w:fill="auto"/>
            <w:noWrap/>
            <w:vAlign w:val="center"/>
            <w:hideMark/>
          </w:tcPr>
          <w:p w14:paraId="758D8779" w14:textId="77777777" w:rsidR="0070447D" w:rsidRPr="006B42D6" w:rsidRDefault="0070447D" w:rsidP="00383AA6">
            <w:pPr>
              <w:jc w:val="right"/>
              <w:rPr>
                <w:sz w:val="18"/>
                <w:szCs w:val="18"/>
              </w:rPr>
            </w:pPr>
            <w:r w:rsidRPr="006B42D6">
              <w:rPr>
                <w:sz w:val="18"/>
                <w:szCs w:val="18"/>
              </w:rPr>
              <w:t>11,765,077</w:t>
            </w:r>
          </w:p>
        </w:tc>
        <w:tc>
          <w:tcPr>
            <w:tcW w:w="1915" w:type="dxa"/>
            <w:tcBorders>
              <w:top w:val="single" w:sz="4" w:space="0" w:color="auto"/>
              <w:left w:val="nil"/>
              <w:bottom w:val="nil"/>
              <w:right w:val="nil"/>
            </w:tcBorders>
            <w:shd w:val="clear" w:color="auto" w:fill="auto"/>
            <w:noWrap/>
            <w:vAlign w:val="center"/>
            <w:hideMark/>
          </w:tcPr>
          <w:p w14:paraId="51932F2F" w14:textId="77777777" w:rsidR="0070447D" w:rsidRPr="006B42D6" w:rsidRDefault="0070447D" w:rsidP="00383AA6">
            <w:pPr>
              <w:jc w:val="right"/>
              <w:rPr>
                <w:sz w:val="18"/>
                <w:szCs w:val="18"/>
              </w:rPr>
            </w:pPr>
            <w:r w:rsidRPr="006B42D6">
              <w:rPr>
                <w:sz w:val="18"/>
                <w:szCs w:val="18"/>
              </w:rPr>
              <w:t>11,639,063</w:t>
            </w:r>
          </w:p>
        </w:tc>
        <w:tc>
          <w:tcPr>
            <w:tcW w:w="1770" w:type="dxa"/>
            <w:tcBorders>
              <w:top w:val="single" w:sz="4" w:space="0" w:color="auto"/>
              <w:left w:val="nil"/>
              <w:bottom w:val="nil"/>
              <w:right w:val="nil"/>
            </w:tcBorders>
            <w:shd w:val="clear" w:color="auto" w:fill="auto"/>
            <w:noWrap/>
            <w:vAlign w:val="center"/>
            <w:hideMark/>
          </w:tcPr>
          <w:p w14:paraId="1685EC3A" w14:textId="77777777" w:rsidR="0070447D" w:rsidRPr="006B42D6" w:rsidRDefault="0070447D" w:rsidP="00383AA6">
            <w:pPr>
              <w:jc w:val="right"/>
              <w:rPr>
                <w:sz w:val="18"/>
                <w:szCs w:val="18"/>
              </w:rPr>
            </w:pPr>
            <w:r w:rsidRPr="006B42D6">
              <w:rPr>
                <w:sz w:val="18"/>
                <w:szCs w:val="18"/>
              </w:rPr>
              <w:t>126,014</w:t>
            </w:r>
          </w:p>
        </w:tc>
      </w:tr>
      <w:tr w:rsidR="006B42D6" w:rsidRPr="006B42D6" w14:paraId="7C434600" w14:textId="77777777" w:rsidTr="004D6462">
        <w:trPr>
          <w:trHeight w:val="375"/>
        </w:trPr>
        <w:tc>
          <w:tcPr>
            <w:tcW w:w="0" w:type="auto"/>
            <w:tcBorders>
              <w:top w:val="nil"/>
              <w:left w:val="nil"/>
              <w:bottom w:val="nil"/>
              <w:right w:val="nil"/>
            </w:tcBorders>
            <w:shd w:val="clear" w:color="auto" w:fill="auto"/>
            <w:noWrap/>
            <w:vAlign w:val="center"/>
            <w:hideMark/>
          </w:tcPr>
          <w:p w14:paraId="43B96EA8" w14:textId="77777777" w:rsidR="0070447D" w:rsidRPr="006B42D6" w:rsidRDefault="0070447D" w:rsidP="00383AA6">
            <w:pPr>
              <w:rPr>
                <w:sz w:val="18"/>
                <w:szCs w:val="18"/>
              </w:rPr>
            </w:pPr>
            <w:r w:rsidRPr="006B42D6">
              <w:rPr>
                <w:sz w:val="18"/>
                <w:szCs w:val="18"/>
              </w:rPr>
              <w:t>Area Planted with Local seeds (ha)</w:t>
            </w:r>
          </w:p>
        </w:tc>
        <w:tc>
          <w:tcPr>
            <w:tcW w:w="1096" w:type="dxa"/>
            <w:tcBorders>
              <w:top w:val="nil"/>
              <w:left w:val="nil"/>
              <w:bottom w:val="nil"/>
              <w:right w:val="nil"/>
            </w:tcBorders>
            <w:shd w:val="clear" w:color="auto" w:fill="auto"/>
            <w:noWrap/>
            <w:vAlign w:val="center"/>
            <w:hideMark/>
          </w:tcPr>
          <w:p w14:paraId="3BD7038A" w14:textId="77777777" w:rsidR="0070447D" w:rsidRPr="006B42D6" w:rsidRDefault="0070447D" w:rsidP="00383AA6">
            <w:pPr>
              <w:jc w:val="right"/>
              <w:rPr>
                <w:sz w:val="18"/>
                <w:szCs w:val="18"/>
              </w:rPr>
            </w:pPr>
            <w:r w:rsidRPr="006B42D6">
              <w:rPr>
                <w:sz w:val="18"/>
                <w:szCs w:val="18"/>
              </w:rPr>
              <w:t>8,906,314</w:t>
            </w:r>
          </w:p>
        </w:tc>
        <w:tc>
          <w:tcPr>
            <w:tcW w:w="1915" w:type="dxa"/>
            <w:tcBorders>
              <w:top w:val="nil"/>
              <w:left w:val="nil"/>
              <w:bottom w:val="nil"/>
              <w:right w:val="nil"/>
            </w:tcBorders>
            <w:shd w:val="clear" w:color="auto" w:fill="auto"/>
            <w:noWrap/>
            <w:vAlign w:val="center"/>
            <w:hideMark/>
          </w:tcPr>
          <w:p w14:paraId="42AF9D2C" w14:textId="77777777" w:rsidR="0070447D" w:rsidRPr="006B42D6" w:rsidRDefault="0070447D" w:rsidP="00383AA6">
            <w:pPr>
              <w:jc w:val="right"/>
              <w:rPr>
                <w:sz w:val="18"/>
                <w:szCs w:val="18"/>
              </w:rPr>
            </w:pPr>
            <w:r w:rsidRPr="006B42D6">
              <w:rPr>
                <w:sz w:val="18"/>
                <w:szCs w:val="18"/>
              </w:rPr>
              <w:t>8,823,340</w:t>
            </w:r>
          </w:p>
        </w:tc>
        <w:tc>
          <w:tcPr>
            <w:tcW w:w="1770" w:type="dxa"/>
            <w:tcBorders>
              <w:top w:val="nil"/>
              <w:left w:val="nil"/>
              <w:bottom w:val="nil"/>
              <w:right w:val="nil"/>
            </w:tcBorders>
            <w:shd w:val="clear" w:color="auto" w:fill="auto"/>
            <w:noWrap/>
            <w:vAlign w:val="center"/>
            <w:hideMark/>
          </w:tcPr>
          <w:p w14:paraId="662D8B3B" w14:textId="77777777" w:rsidR="0070447D" w:rsidRPr="006B42D6" w:rsidRDefault="0070447D" w:rsidP="00383AA6">
            <w:pPr>
              <w:jc w:val="right"/>
              <w:rPr>
                <w:sz w:val="18"/>
                <w:szCs w:val="18"/>
              </w:rPr>
            </w:pPr>
            <w:r w:rsidRPr="006B42D6">
              <w:rPr>
                <w:sz w:val="18"/>
                <w:szCs w:val="18"/>
              </w:rPr>
              <w:t>82,975</w:t>
            </w:r>
          </w:p>
        </w:tc>
      </w:tr>
      <w:tr w:rsidR="006B42D6" w:rsidRPr="006B42D6" w14:paraId="586ED8AD" w14:textId="77777777" w:rsidTr="004D6462">
        <w:trPr>
          <w:trHeight w:val="375"/>
        </w:trPr>
        <w:tc>
          <w:tcPr>
            <w:tcW w:w="0" w:type="auto"/>
            <w:tcBorders>
              <w:top w:val="nil"/>
              <w:left w:val="nil"/>
              <w:right w:val="nil"/>
            </w:tcBorders>
            <w:shd w:val="clear" w:color="auto" w:fill="auto"/>
            <w:noWrap/>
            <w:vAlign w:val="center"/>
            <w:hideMark/>
          </w:tcPr>
          <w:p w14:paraId="3BE15999" w14:textId="77777777" w:rsidR="0070447D" w:rsidRPr="006B42D6" w:rsidRDefault="0070447D" w:rsidP="00383AA6">
            <w:pPr>
              <w:rPr>
                <w:sz w:val="18"/>
                <w:szCs w:val="18"/>
              </w:rPr>
            </w:pPr>
            <w:r w:rsidRPr="006B42D6">
              <w:rPr>
                <w:sz w:val="18"/>
                <w:szCs w:val="18"/>
              </w:rPr>
              <w:t>Area planted with Improved Seeds (ha)</w:t>
            </w:r>
          </w:p>
        </w:tc>
        <w:tc>
          <w:tcPr>
            <w:tcW w:w="1096" w:type="dxa"/>
            <w:tcBorders>
              <w:top w:val="nil"/>
              <w:left w:val="nil"/>
              <w:right w:val="nil"/>
            </w:tcBorders>
            <w:shd w:val="clear" w:color="auto" w:fill="auto"/>
            <w:noWrap/>
            <w:vAlign w:val="center"/>
            <w:hideMark/>
          </w:tcPr>
          <w:p w14:paraId="4F371620" w14:textId="77777777" w:rsidR="0070447D" w:rsidRPr="006B42D6" w:rsidRDefault="0070447D" w:rsidP="00383AA6">
            <w:pPr>
              <w:jc w:val="right"/>
              <w:rPr>
                <w:sz w:val="18"/>
                <w:szCs w:val="18"/>
              </w:rPr>
            </w:pPr>
            <w:r w:rsidRPr="006B42D6">
              <w:rPr>
                <w:sz w:val="18"/>
                <w:szCs w:val="18"/>
              </w:rPr>
              <w:t>2,593,526</w:t>
            </w:r>
          </w:p>
        </w:tc>
        <w:tc>
          <w:tcPr>
            <w:tcW w:w="1915" w:type="dxa"/>
            <w:tcBorders>
              <w:top w:val="nil"/>
              <w:left w:val="nil"/>
              <w:right w:val="nil"/>
            </w:tcBorders>
            <w:shd w:val="clear" w:color="auto" w:fill="auto"/>
            <w:noWrap/>
            <w:vAlign w:val="center"/>
            <w:hideMark/>
          </w:tcPr>
          <w:p w14:paraId="0F58B7C6" w14:textId="77777777" w:rsidR="0070447D" w:rsidRPr="006B42D6" w:rsidRDefault="0070447D" w:rsidP="00383AA6">
            <w:pPr>
              <w:jc w:val="right"/>
              <w:rPr>
                <w:sz w:val="18"/>
                <w:szCs w:val="18"/>
              </w:rPr>
            </w:pPr>
            <w:r w:rsidRPr="006B42D6">
              <w:rPr>
                <w:sz w:val="18"/>
                <w:szCs w:val="18"/>
              </w:rPr>
              <w:t>2,564,212</w:t>
            </w:r>
          </w:p>
        </w:tc>
        <w:tc>
          <w:tcPr>
            <w:tcW w:w="1770" w:type="dxa"/>
            <w:tcBorders>
              <w:top w:val="nil"/>
              <w:left w:val="nil"/>
              <w:right w:val="nil"/>
            </w:tcBorders>
            <w:shd w:val="clear" w:color="auto" w:fill="auto"/>
            <w:noWrap/>
            <w:vAlign w:val="center"/>
            <w:hideMark/>
          </w:tcPr>
          <w:p w14:paraId="598EDADB" w14:textId="77777777" w:rsidR="0070447D" w:rsidRPr="006B42D6" w:rsidRDefault="0070447D" w:rsidP="00383AA6">
            <w:pPr>
              <w:jc w:val="right"/>
              <w:rPr>
                <w:sz w:val="18"/>
                <w:szCs w:val="18"/>
              </w:rPr>
            </w:pPr>
            <w:r w:rsidRPr="006B42D6">
              <w:rPr>
                <w:sz w:val="18"/>
                <w:szCs w:val="18"/>
              </w:rPr>
              <w:t>29,314</w:t>
            </w:r>
          </w:p>
        </w:tc>
      </w:tr>
      <w:tr w:rsidR="006B42D6" w:rsidRPr="006B42D6" w14:paraId="36BF5D54" w14:textId="77777777" w:rsidTr="004D6462">
        <w:trPr>
          <w:trHeight w:val="375"/>
        </w:trPr>
        <w:tc>
          <w:tcPr>
            <w:tcW w:w="0" w:type="auto"/>
            <w:tcBorders>
              <w:top w:val="nil"/>
              <w:left w:val="nil"/>
              <w:bottom w:val="single" w:sz="4" w:space="0" w:color="auto"/>
              <w:right w:val="nil"/>
            </w:tcBorders>
            <w:shd w:val="clear" w:color="auto" w:fill="auto"/>
            <w:noWrap/>
            <w:vAlign w:val="center"/>
            <w:hideMark/>
          </w:tcPr>
          <w:p w14:paraId="2F7B4BE0" w14:textId="77777777" w:rsidR="0070447D" w:rsidRPr="006B42D6" w:rsidRDefault="0070447D" w:rsidP="00383AA6">
            <w:pPr>
              <w:rPr>
                <w:sz w:val="18"/>
                <w:szCs w:val="18"/>
              </w:rPr>
            </w:pPr>
            <w:r w:rsidRPr="006B42D6">
              <w:rPr>
                <w:sz w:val="18"/>
                <w:szCs w:val="18"/>
              </w:rPr>
              <w:t>Area Planted with Local and Improved Seeds (ha)</w:t>
            </w:r>
          </w:p>
        </w:tc>
        <w:tc>
          <w:tcPr>
            <w:tcW w:w="1096" w:type="dxa"/>
            <w:tcBorders>
              <w:top w:val="nil"/>
              <w:left w:val="nil"/>
              <w:bottom w:val="single" w:sz="4" w:space="0" w:color="auto"/>
              <w:right w:val="nil"/>
            </w:tcBorders>
            <w:shd w:val="clear" w:color="auto" w:fill="auto"/>
            <w:noWrap/>
            <w:vAlign w:val="center"/>
            <w:hideMark/>
          </w:tcPr>
          <w:p w14:paraId="281AA0DA" w14:textId="77777777" w:rsidR="0070447D" w:rsidRPr="006B42D6" w:rsidRDefault="0070447D" w:rsidP="00383AA6">
            <w:pPr>
              <w:jc w:val="right"/>
              <w:rPr>
                <w:sz w:val="18"/>
                <w:szCs w:val="18"/>
              </w:rPr>
            </w:pPr>
            <w:r w:rsidRPr="006B42D6">
              <w:rPr>
                <w:sz w:val="18"/>
                <w:szCs w:val="18"/>
              </w:rPr>
              <w:t>250,884</w:t>
            </w:r>
          </w:p>
        </w:tc>
        <w:tc>
          <w:tcPr>
            <w:tcW w:w="1915" w:type="dxa"/>
            <w:tcBorders>
              <w:top w:val="nil"/>
              <w:left w:val="nil"/>
              <w:bottom w:val="single" w:sz="4" w:space="0" w:color="auto"/>
              <w:right w:val="nil"/>
            </w:tcBorders>
            <w:shd w:val="clear" w:color="auto" w:fill="auto"/>
            <w:noWrap/>
            <w:vAlign w:val="center"/>
            <w:hideMark/>
          </w:tcPr>
          <w:p w14:paraId="209981D2" w14:textId="77777777" w:rsidR="0070447D" w:rsidRPr="006B42D6" w:rsidRDefault="0070447D" w:rsidP="00383AA6">
            <w:pPr>
              <w:jc w:val="right"/>
              <w:rPr>
                <w:sz w:val="18"/>
                <w:szCs w:val="18"/>
              </w:rPr>
            </w:pPr>
            <w:r w:rsidRPr="006B42D6">
              <w:rPr>
                <w:sz w:val="18"/>
                <w:szCs w:val="18"/>
              </w:rPr>
              <w:t>237,444</w:t>
            </w:r>
          </w:p>
        </w:tc>
        <w:tc>
          <w:tcPr>
            <w:tcW w:w="1770" w:type="dxa"/>
            <w:tcBorders>
              <w:top w:val="nil"/>
              <w:left w:val="nil"/>
              <w:bottom w:val="single" w:sz="4" w:space="0" w:color="auto"/>
              <w:right w:val="nil"/>
            </w:tcBorders>
            <w:shd w:val="clear" w:color="auto" w:fill="auto"/>
            <w:noWrap/>
            <w:vAlign w:val="center"/>
            <w:hideMark/>
          </w:tcPr>
          <w:p w14:paraId="3C1618BA" w14:textId="77777777" w:rsidR="0070447D" w:rsidRPr="006B42D6" w:rsidRDefault="0070447D" w:rsidP="00383AA6">
            <w:pPr>
              <w:jc w:val="right"/>
              <w:rPr>
                <w:sz w:val="18"/>
                <w:szCs w:val="18"/>
              </w:rPr>
            </w:pPr>
            <w:r w:rsidRPr="006B42D6">
              <w:rPr>
                <w:sz w:val="18"/>
                <w:szCs w:val="18"/>
              </w:rPr>
              <w:t>13,439</w:t>
            </w:r>
          </w:p>
        </w:tc>
      </w:tr>
    </w:tbl>
    <w:p w14:paraId="666C3D79" w14:textId="1E2B057D" w:rsidR="0070447D" w:rsidRPr="009E2AFC" w:rsidRDefault="0070447D" w:rsidP="0070447D">
      <w:pPr>
        <w:pStyle w:val="NoSpacing"/>
        <w:spacing w:line="360" w:lineRule="auto"/>
        <w:jc w:val="both"/>
        <w:rPr>
          <w:rFonts w:ascii="Times New Roman" w:hAnsi="Times New Roman"/>
          <w:b/>
          <w:i/>
          <w:sz w:val="18"/>
          <w:szCs w:val="18"/>
        </w:rPr>
      </w:pPr>
      <w:r w:rsidRPr="009E2AFC">
        <w:rPr>
          <w:rFonts w:ascii="Times New Roman" w:hAnsi="Times New Roman"/>
          <w:b/>
          <w:i/>
          <w:sz w:val="18"/>
          <w:szCs w:val="18"/>
        </w:rPr>
        <w:t>Note</w:t>
      </w:r>
      <w:r w:rsidR="009E2AFC" w:rsidRPr="009E2AFC">
        <w:rPr>
          <w:rFonts w:ascii="Times New Roman" w:hAnsi="Times New Roman"/>
          <w:b/>
          <w:i/>
          <w:sz w:val="18"/>
          <w:szCs w:val="18"/>
        </w:rPr>
        <w:t>:</w:t>
      </w:r>
      <w:r w:rsidRPr="009E2AFC">
        <w:rPr>
          <w:rFonts w:ascii="Times New Roman" w:hAnsi="Times New Roman"/>
          <w:b/>
          <w:i/>
          <w:sz w:val="18"/>
          <w:szCs w:val="18"/>
        </w:rPr>
        <w:t xml:space="preserve"> The size of cultivated area is not </w:t>
      </w:r>
      <w:r w:rsidR="004D6462">
        <w:rPr>
          <w:rFonts w:ascii="Times New Roman" w:hAnsi="Times New Roman"/>
          <w:b/>
          <w:i/>
          <w:sz w:val="18"/>
          <w:szCs w:val="18"/>
        </w:rPr>
        <w:t xml:space="preserve">necessarily </w:t>
      </w:r>
      <w:r w:rsidRPr="009E2AFC">
        <w:rPr>
          <w:rFonts w:ascii="Times New Roman" w:hAnsi="Times New Roman"/>
          <w:b/>
          <w:i/>
          <w:sz w:val="18"/>
          <w:szCs w:val="18"/>
        </w:rPr>
        <w:t>equal to planted area. Planted area may be less or equal to cultivated area.</w:t>
      </w:r>
    </w:p>
    <w:p w14:paraId="617F429E" w14:textId="77777777" w:rsidR="0070447D" w:rsidRPr="006B42D6" w:rsidRDefault="0070447D" w:rsidP="00C3008B">
      <w:pPr>
        <w:spacing w:line="240" w:lineRule="auto"/>
      </w:pPr>
    </w:p>
    <w:p w14:paraId="6A2B844F" w14:textId="4B7D5E95" w:rsidR="0070447D" w:rsidRPr="006B42D6" w:rsidRDefault="0070447D" w:rsidP="00B4501D">
      <w:r w:rsidRPr="006B42D6">
        <w:t xml:space="preserve">Area planted with improved seeds was </w:t>
      </w:r>
      <w:r w:rsidR="004B4FE7" w:rsidRPr="006B42D6">
        <w:t>larger</w:t>
      </w:r>
      <w:r w:rsidRPr="006B42D6">
        <w:t xml:space="preserve"> in short rainy season </w:t>
      </w:r>
      <w:r w:rsidR="004B4FE7" w:rsidRPr="006B42D6">
        <w:t xml:space="preserve">as </w:t>
      </w:r>
      <w:r w:rsidRPr="006B42D6">
        <w:t xml:space="preserve">compared </w:t>
      </w:r>
      <w:r w:rsidR="004B4FE7" w:rsidRPr="006B42D6">
        <w:t>to that of</w:t>
      </w:r>
      <w:r w:rsidRPr="006B42D6">
        <w:t xml:space="preserve"> long rainy season in most of the regions, except for Kilimanjaro, Dar es Salaam, Rukwa, Kigoma, Kagera, Mara, Manyara, Njombe, and Simiyu regions </w:t>
      </w:r>
      <w:r w:rsidR="00697794" w:rsidRPr="006B42D6">
        <w:t>in</w:t>
      </w:r>
      <w:r w:rsidRPr="006B42D6">
        <w:t xml:space="preserve"> </w:t>
      </w:r>
      <w:r w:rsidR="00EA1552">
        <w:t>Mainland Tanzania</w:t>
      </w:r>
      <w:r w:rsidRPr="006B42D6">
        <w:t xml:space="preserve"> (Figure 3.10). Similar pattern is observed in Tanzania Zanzibar with exception of Kaskazini Unguja and Kaskazini Pemba (Figure 3.5</w:t>
      </w:r>
      <w:r w:rsidR="00C61EB9" w:rsidRPr="006B42D6">
        <w:t>9</w:t>
      </w:r>
      <w:r w:rsidRPr="006B42D6">
        <w:t xml:space="preserve"> &amp; 3.</w:t>
      </w:r>
      <w:r w:rsidR="00C61EB9" w:rsidRPr="006B42D6">
        <w:t>60</w:t>
      </w:r>
      <w:r w:rsidRPr="006B42D6">
        <w:t>).</w:t>
      </w:r>
    </w:p>
    <w:p w14:paraId="028F5696" w14:textId="77777777" w:rsidR="00B4501D" w:rsidRDefault="00B4501D" w:rsidP="00B4501D"/>
    <w:p w14:paraId="4E7E421B" w14:textId="62BBF12D" w:rsidR="0070447D" w:rsidRPr="00B4501D" w:rsidRDefault="0070447D" w:rsidP="00B4501D">
      <w:pPr>
        <w:pStyle w:val="Caption"/>
      </w:pPr>
      <w:bookmarkStart w:id="328" w:name="_Toc82386336"/>
      <w:r w:rsidRPr="006B42D6">
        <w:t>Figure 3.5</w:t>
      </w:r>
      <w:r w:rsidR="00C61EB9" w:rsidRPr="006B42D6">
        <w:t>9</w:t>
      </w:r>
      <w:r w:rsidR="00AC1456">
        <w:t>:</w:t>
      </w:r>
      <w:r w:rsidR="00B4501D">
        <w:tab/>
      </w:r>
      <w:r w:rsidRPr="006B42D6">
        <w:t xml:space="preserve">Percentage of Planted Area with Improved Seeds by Region During 2019/20 Agricultural Year, </w:t>
      </w:r>
      <w:r w:rsidR="00EA1552">
        <w:t>Mainland Tanzania</w:t>
      </w:r>
      <w:bookmarkEnd w:id="328"/>
      <w:r w:rsidRPr="006B42D6">
        <w:t xml:space="preserve"> </w:t>
      </w:r>
    </w:p>
    <w:p w14:paraId="07621DA5" w14:textId="6790897A" w:rsidR="0070447D" w:rsidRPr="006B42D6" w:rsidRDefault="001B26AC" w:rsidP="0070447D">
      <w:pPr>
        <w:adjustRightInd w:val="0"/>
      </w:pPr>
      <w:r w:rsidRPr="006B42D6">
        <w:rPr>
          <w:noProof/>
        </w:rPr>
        <w:drawing>
          <wp:inline distT="0" distB="0" distL="0" distR="0" wp14:anchorId="2B6A7A99" wp14:editId="5E745191">
            <wp:extent cx="5687122" cy="2834005"/>
            <wp:effectExtent l="0" t="0" r="15240" b="10795"/>
            <wp:docPr id="105" name="Chart 4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1"/>
              </a:graphicData>
            </a:graphic>
          </wp:inline>
        </w:drawing>
      </w:r>
    </w:p>
    <w:p w14:paraId="5A17FD89" w14:textId="77777777" w:rsidR="0070447D" w:rsidRPr="006B42D6" w:rsidRDefault="0070447D" w:rsidP="00B4501D"/>
    <w:p w14:paraId="668DB86B" w14:textId="77777777" w:rsidR="00C3008B" w:rsidRDefault="00C3008B">
      <w:pPr>
        <w:spacing w:line="240" w:lineRule="auto"/>
        <w:contextualSpacing w:val="0"/>
        <w:jc w:val="left"/>
        <w:rPr>
          <w:b/>
          <w:iCs/>
          <w:color w:val="000000" w:themeColor="text1"/>
          <w:sz w:val="20"/>
          <w:szCs w:val="18"/>
        </w:rPr>
      </w:pPr>
      <w:r>
        <w:br w:type="page"/>
      </w:r>
    </w:p>
    <w:p w14:paraId="20885180" w14:textId="75555AEA" w:rsidR="0070447D" w:rsidRPr="00B4501D" w:rsidRDefault="0070447D" w:rsidP="006D1F4E">
      <w:pPr>
        <w:pStyle w:val="Caption"/>
        <w:ind w:left="1140" w:right="1077" w:hanging="1140"/>
      </w:pPr>
      <w:bookmarkStart w:id="329" w:name="_Toc82386337"/>
      <w:r w:rsidRPr="006B42D6">
        <w:lastRenderedPageBreak/>
        <w:t>Figure 3.</w:t>
      </w:r>
      <w:r w:rsidR="00C61EB9" w:rsidRPr="006B42D6">
        <w:t>60</w:t>
      </w:r>
      <w:r w:rsidR="00AC1456">
        <w:t>:</w:t>
      </w:r>
      <w:r w:rsidR="00B4501D">
        <w:tab/>
      </w:r>
      <w:r w:rsidRPr="006B42D6">
        <w:t>Percentage of Planted Area with Improved Seeds by Region During 2019/20 Agricultural Year, Tanzania Zanzibar</w:t>
      </w:r>
      <w:bookmarkEnd w:id="329"/>
    </w:p>
    <w:p w14:paraId="28AB66F4" w14:textId="204A933B" w:rsidR="0070447D" w:rsidRDefault="001B26AC" w:rsidP="0070447D">
      <w:pPr>
        <w:adjustRightInd w:val="0"/>
        <w:rPr>
          <w:b/>
        </w:rPr>
      </w:pPr>
      <w:r w:rsidRPr="006B42D6">
        <w:rPr>
          <w:noProof/>
        </w:rPr>
        <w:drawing>
          <wp:inline distT="0" distB="0" distL="0" distR="0" wp14:anchorId="5495E17E" wp14:editId="2F6A1273">
            <wp:extent cx="5373370" cy="2334322"/>
            <wp:effectExtent l="0" t="0" r="11430" b="15240"/>
            <wp:docPr id="104" name="Chart 4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2"/>
              </a:graphicData>
            </a:graphic>
          </wp:inline>
        </w:drawing>
      </w:r>
    </w:p>
    <w:p w14:paraId="4D1E1595" w14:textId="77777777" w:rsidR="00B4501D" w:rsidRPr="007138F1" w:rsidRDefault="00B4501D" w:rsidP="004D68B9">
      <w:pPr>
        <w:spacing w:line="240" w:lineRule="auto"/>
        <w:rPr>
          <w:sz w:val="20"/>
          <w:szCs w:val="20"/>
        </w:rPr>
      </w:pPr>
    </w:p>
    <w:p w14:paraId="642E7E2C" w14:textId="3F59903C" w:rsidR="0070447D" w:rsidRPr="006B42D6" w:rsidRDefault="0070447D" w:rsidP="0070447D">
      <w:pPr>
        <w:pStyle w:val="Heading3"/>
      </w:pPr>
      <w:bookmarkStart w:id="330" w:name="_Toc82385706"/>
      <w:r w:rsidRPr="006B42D6">
        <w:rPr>
          <w:bCs/>
        </w:rPr>
        <w:t>3.</w:t>
      </w:r>
      <w:r w:rsidR="00193728">
        <w:rPr>
          <w:bCs/>
        </w:rPr>
        <w:t>4</w:t>
      </w:r>
      <w:r w:rsidRPr="006B42D6">
        <w:t>.2</w:t>
      </w:r>
      <w:r w:rsidRPr="006B42D6">
        <w:tab/>
        <w:t xml:space="preserve">Fertilizer </w:t>
      </w:r>
      <w:r w:rsidR="00783891" w:rsidRPr="006B42D6">
        <w:t>U</w:t>
      </w:r>
      <w:r w:rsidRPr="006B42D6">
        <w:t>se</w:t>
      </w:r>
      <w:bookmarkEnd w:id="330"/>
    </w:p>
    <w:p w14:paraId="66AB575E" w14:textId="37EFE907" w:rsidR="0070447D" w:rsidRPr="006B42D6" w:rsidRDefault="0070447D" w:rsidP="00B4501D">
      <w:r w:rsidRPr="006B42D6">
        <w:t>The census results on fertilizer use show that, 2.5 million hectares, which is equivalent to 21.4 percent of total planted area, were applied with fertilizers</w:t>
      </w:r>
      <w:r w:rsidR="00697794" w:rsidRPr="006B42D6">
        <w:t xml:space="preserve">, </w:t>
      </w:r>
      <w:r w:rsidRPr="006B42D6">
        <w:t xml:space="preserve">out which 2.4 million hectares were in </w:t>
      </w:r>
      <w:r w:rsidR="00EA1552">
        <w:t>Mainland Tanzania</w:t>
      </w:r>
      <w:r w:rsidRPr="006B42D6">
        <w:t xml:space="preserve"> and 31,612 hectares in Tanzania Zanzibar. Out of the total planted area, 13.3 percent was applied with organic fertilizers and 8.0 percent with inorganic fertilizers (Table 3.</w:t>
      </w:r>
      <w:r w:rsidR="00C61EB9" w:rsidRPr="006B42D6">
        <w:t>2</w:t>
      </w:r>
      <w:r w:rsidR="00CD75FC">
        <w:t>2</w:t>
      </w:r>
      <w:r w:rsidRPr="006B42D6">
        <w:t xml:space="preserve">). </w:t>
      </w:r>
    </w:p>
    <w:p w14:paraId="564394E1" w14:textId="77777777" w:rsidR="0070447D" w:rsidRPr="006B42D6" w:rsidRDefault="0070447D" w:rsidP="00AC1456">
      <w:pPr>
        <w:spacing w:line="240" w:lineRule="auto"/>
      </w:pPr>
    </w:p>
    <w:p w14:paraId="79B34C82" w14:textId="4D3B34E9" w:rsidR="0070447D" w:rsidRPr="006B42D6" w:rsidRDefault="0070447D" w:rsidP="00B4501D">
      <w:r w:rsidRPr="006B42D6">
        <w:t xml:space="preserve">The result further shows that, the proportion of area planted with fertilizer is higher in Tanzania Zanzibar (25.1 percent) as compared to </w:t>
      </w:r>
      <w:r w:rsidR="00EA1552">
        <w:t>Mainland Tanzania</w:t>
      </w:r>
      <w:r w:rsidRPr="006B42D6">
        <w:t xml:space="preserve"> (21.3 percent). However, in general these results indicate that fertilizer is only used </w:t>
      </w:r>
      <w:r w:rsidR="00697794" w:rsidRPr="006B42D6">
        <w:t>in</w:t>
      </w:r>
      <w:r w:rsidRPr="006B42D6">
        <w:t xml:space="preserve"> low proportion on the area under cultivation (Table 3.2</w:t>
      </w:r>
      <w:r w:rsidR="00CD75FC">
        <w:t>2</w:t>
      </w:r>
      <w:r w:rsidRPr="006B42D6">
        <w:t>).</w:t>
      </w:r>
    </w:p>
    <w:p w14:paraId="6E8B1015" w14:textId="77777777" w:rsidR="0070447D" w:rsidRPr="007138F1" w:rsidRDefault="0070447D" w:rsidP="0056599D">
      <w:pPr>
        <w:spacing w:line="240" w:lineRule="auto"/>
        <w:rPr>
          <w:sz w:val="20"/>
          <w:szCs w:val="20"/>
        </w:rPr>
      </w:pPr>
    </w:p>
    <w:p w14:paraId="67F4F561" w14:textId="17BAAF2B" w:rsidR="0070447D" w:rsidRPr="006B42D6" w:rsidRDefault="0070447D" w:rsidP="007200F6">
      <w:pPr>
        <w:pStyle w:val="Heading7"/>
      </w:pPr>
      <w:bookmarkStart w:id="331" w:name="_Toc82386204"/>
      <w:r w:rsidRPr="006B42D6">
        <w:t>Table 3.2</w:t>
      </w:r>
      <w:r w:rsidR="00CD75FC">
        <w:t>2</w:t>
      </w:r>
      <w:r w:rsidR="00AC1456">
        <w:t>:</w:t>
      </w:r>
      <w:r w:rsidR="00B4501D">
        <w:tab/>
      </w:r>
      <w:r w:rsidRPr="006B42D6">
        <w:t>Area Planted with Fertilizer and Type of Fertilizer</w:t>
      </w:r>
      <w:r w:rsidR="004B4FE7" w:rsidRPr="006B42D6">
        <w:t>s</w:t>
      </w:r>
      <w:r w:rsidRPr="006B42D6">
        <w:t xml:space="preserve"> </w:t>
      </w:r>
      <w:r w:rsidR="004B4FE7" w:rsidRPr="006B42D6">
        <w:t>D</w:t>
      </w:r>
      <w:r w:rsidRPr="006B42D6">
        <w:t>uring 2019/20 Agricultural Year, Tanzania</w:t>
      </w:r>
      <w:bookmarkEnd w:id="331"/>
    </w:p>
    <w:tbl>
      <w:tblPr>
        <w:tblW w:w="9180" w:type="dxa"/>
        <w:tblLayout w:type="fixed"/>
        <w:tblLook w:val="04A0" w:firstRow="1" w:lastRow="0" w:firstColumn="1" w:lastColumn="0" w:noHBand="0" w:noVBand="1"/>
      </w:tblPr>
      <w:tblGrid>
        <w:gridCol w:w="1668"/>
        <w:gridCol w:w="1276"/>
        <w:gridCol w:w="1116"/>
        <w:gridCol w:w="1016"/>
        <w:gridCol w:w="702"/>
        <w:gridCol w:w="976"/>
        <w:gridCol w:w="725"/>
        <w:gridCol w:w="992"/>
        <w:gridCol w:w="709"/>
      </w:tblGrid>
      <w:tr w:rsidR="007138F1" w:rsidRPr="0056599D" w14:paraId="340EDC07" w14:textId="77777777" w:rsidTr="009743EA">
        <w:trPr>
          <w:trHeight w:val="345"/>
        </w:trPr>
        <w:tc>
          <w:tcPr>
            <w:tcW w:w="1668" w:type="dxa"/>
            <w:vMerge w:val="restart"/>
            <w:tcBorders>
              <w:top w:val="single" w:sz="4" w:space="0" w:color="auto"/>
            </w:tcBorders>
            <w:shd w:val="clear" w:color="auto" w:fill="E2EFD9" w:themeFill="accent6" w:themeFillTint="33"/>
            <w:noWrap/>
            <w:vAlign w:val="center"/>
            <w:hideMark/>
          </w:tcPr>
          <w:p w14:paraId="3B767EE7" w14:textId="77777777" w:rsidR="007138F1" w:rsidRPr="0056599D" w:rsidRDefault="007138F1" w:rsidP="0056599D">
            <w:pPr>
              <w:pStyle w:val="NoSpacing"/>
              <w:jc w:val="both"/>
              <w:rPr>
                <w:rFonts w:ascii="Times New Roman" w:hAnsi="Times New Roman"/>
                <w:b/>
                <w:sz w:val="16"/>
                <w:szCs w:val="16"/>
              </w:rPr>
            </w:pPr>
            <w:r w:rsidRPr="0056599D">
              <w:rPr>
                <w:rFonts w:ascii="Times New Roman" w:hAnsi="Times New Roman"/>
                <w:sz w:val="16"/>
                <w:szCs w:val="16"/>
              </w:rPr>
              <w:t>Coverage</w:t>
            </w:r>
          </w:p>
        </w:tc>
        <w:tc>
          <w:tcPr>
            <w:tcW w:w="1276" w:type="dxa"/>
            <w:vMerge w:val="restart"/>
            <w:tcBorders>
              <w:top w:val="single" w:sz="4" w:space="0" w:color="auto"/>
              <w:right w:val="single" w:sz="4" w:space="0" w:color="auto"/>
            </w:tcBorders>
            <w:shd w:val="clear" w:color="auto" w:fill="E2EFD9" w:themeFill="accent6" w:themeFillTint="33"/>
            <w:noWrap/>
            <w:vAlign w:val="center"/>
            <w:hideMark/>
          </w:tcPr>
          <w:p w14:paraId="4BEF36A3" w14:textId="77777777" w:rsidR="007138F1" w:rsidRPr="0056599D" w:rsidRDefault="007138F1" w:rsidP="0056599D">
            <w:pPr>
              <w:pStyle w:val="NoSpacing"/>
              <w:jc w:val="both"/>
              <w:rPr>
                <w:rFonts w:ascii="Times New Roman" w:hAnsi="Times New Roman"/>
                <w:b/>
                <w:sz w:val="16"/>
                <w:szCs w:val="16"/>
              </w:rPr>
            </w:pPr>
            <w:r w:rsidRPr="0056599D">
              <w:rPr>
                <w:rFonts w:ascii="Times New Roman" w:hAnsi="Times New Roman"/>
                <w:sz w:val="16"/>
                <w:szCs w:val="16"/>
              </w:rPr>
              <w:t>Planting Season</w:t>
            </w:r>
          </w:p>
        </w:tc>
        <w:tc>
          <w:tcPr>
            <w:tcW w:w="1116" w:type="dxa"/>
            <w:vMerge w:val="restart"/>
            <w:tcBorders>
              <w:top w:val="single" w:sz="4" w:space="0" w:color="auto"/>
              <w:left w:val="single" w:sz="4" w:space="0" w:color="auto"/>
              <w:right w:val="single" w:sz="4" w:space="0" w:color="auto"/>
            </w:tcBorders>
            <w:shd w:val="clear" w:color="auto" w:fill="E2EFD9" w:themeFill="accent6" w:themeFillTint="33"/>
            <w:vAlign w:val="center"/>
            <w:hideMark/>
          </w:tcPr>
          <w:p w14:paraId="330FF96F" w14:textId="77777777" w:rsidR="007138F1" w:rsidRPr="0056599D" w:rsidRDefault="007138F1" w:rsidP="0056599D">
            <w:pPr>
              <w:pStyle w:val="NoSpacing"/>
              <w:jc w:val="both"/>
              <w:rPr>
                <w:rFonts w:ascii="Times New Roman" w:hAnsi="Times New Roman"/>
                <w:b/>
                <w:sz w:val="16"/>
                <w:szCs w:val="16"/>
              </w:rPr>
            </w:pPr>
            <w:r w:rsidRPr="0056599D">
              <w:rPr>
                <w:rFonts w:ascii="Times New Roman" w:hAnsi="Times New Roman"/>
                <w:sz w:val="16"/>
                <w:szCs w:val="16"/>
              </w:rPr>
              <w:t>Total Planted Area (ha)</w:t>
            </w:r>
          </w:p>
        </w:tc>
        <w:tc>
          <w:tcPr>
            <w:tcW w:w="5120" w:type="dxa"/>
            <w:gridSpan w:val="6"/>
            <w:tcBorders>
              <w:top w:val="single" w:sz="4" w:space="0" w:color="auto"/>
              <w:left w:val="single" w:sz="4" w:space="0" w:color="auto"/>
              <w:bottom w:val="single" w:sz="4" w:space="0" w:color="auto"/>
            </w:tcBorders>
            <w:shd w:val="clear" w:color="auto" w:fill="E2EFD9" w:themeFill="accent6" w:themeFillTint="33"/>
            <w:vAlign w:val="center"/>
            <w:hideMark/>
          </w:tcPr>
          <w:p w14:paraId="7FAD3D1F" w14:textId="06952B99" w:rsidR="007138F1" w:rsidRPr="0056599D" w:rsidRDefault="007138F1" w:rsidP="007138F1">
            <w:pPr>
              <w:pStyle w:val="NoSpacing"/>
              <w:jc w:val="center"/>
              <w:rPr>
                <w:rFonts w:ascii="Times New Roman" w:hAnsi="Times New Roman"/>
                <w:b/>
                <w:sz w:val="16"/>
                <w:szCs w:val="16"/>
              </w:rPr>
            </w:pPr>
            <w:r w:rsidRPr="0056599D">
              <w:rPr>
                <w:rFonts w:ascii="Times New Roman" w:hAnsi="Times New Roman"/>
                <w:sz w:val="16"/>
                <w:szCs w:val="16"/>
              </w:rPr>
              <w:t>Area Applied with Fertilizer</w:t>
            </w:r>
          </w:p>
        </w:tc>
      </w:tr>
      <w:tr w:rsidR="004D6462" w:rsidRPr="0056599D" w14:paraId="127A158A" w14:textId="77777777" w:rsidTr="007138F1">
        <w:trPr>
          <w:trHeight w:val="317"/>
        </w:trPr>
        <w:tc>
          <w:tcPr>
            <w:tcW w:w="1668" w:type="dxa"/>
            <w:vMerge/>
            <w:shd w:val="clear" w:color="auto" w:fill="E2EFD9" w:themeFill="accent6" w:themeFillTint="33"/>
            <w:hideMark/>
          </w:tcPr>
          <w:p w14:paraId="391BC57F" w14:textId="77777777" w:rsidR="004D6462" w:rsidRPr="0056599D" w:rsidRDefault="004D6462" w:rsidP="0056599D">
            <w:pPr>
              <w:pStyle w:val="NoSpacing"/>
              <w:jc w:val="both"/>
              <w:rPr>
                <w:rFonts w:ascii="Times New Roman" w:hAnsi="Times New Roman"/>
                <w:b/>
                <w:sz w:val="16"/>
                <w:szCs w:val="16"/>
              </w:rPr>
            </w:pPr>
          </w:p>
        </w:tc>
        <w:tc>
          <w:tcPr>
            <w:tcW w:w="1276" w:type="dxa"/>
            <w:vMerge/>
            <w:tcBorders>
              <w:right w:val="single" w:sz="4" w:space="0" w:color="auto"/>
            </w:tcBorders>
            <w:shd w:val="clear" w:color="auto" w:fill="E2EFD9" w:themeFill="accent6" w:themeFillTint="33"/>
            <w:hideMark/>
          </w:tcPr>
          <w:p w14:paraId="79746184" w14:textId="77777777" w:rsidR="004D6462" w:rsidRPr="0056599D" w:rsidRDefault="004D6462" w:rsidP="0056599D">
            <w:pPr>
              <w:pStyle w:val="NoSpacing"/>
              <w:jc w:val="both"/>
              <w:rPr>
                <w:rFonts w:ascii="Times New Roman" w:hAnsi="Times New Roman"/>
                <w:b/>
                <w:sz w:val="16"/>
                <w:szCs w:val="16"/>
              </w:rPr>
            </w:pPr>
          </w:p>
        </w:tc>
        <w:tc>
          <w:tcPr>
            <w:tcW w:w="1116" w:type="dxa"/>
            <w:vMerge/>
            <w:tcBorders>
              <w:left w:val="single" w:sz="4" w:space="0" w:color="auto"/>
              <w:right w:val="single" w:sz="4" w:space="0" w:color="auto"/>
            </w:tcBorders>
            <w:shd w:val="clear" w:color="auto" w:fill="E2EFD9" w:themeFill="accent6" w:themeFillTint="33"/>
            <w:hideMark/>
          </w:tcPr>
          <w:p w14:paraId="00CDF0A1" w14:textId="77777777" w:rsidR="004D6462" w:rsidRPr="0056599D" w:rsidRDefault="004D6462" w:rsidP="0056599D">
            <w:pPr>
              <w:pStyle w:val="NoSpacing"/>
              <w:jc w:val="both"/>
              <w:rPr>
                <w:rFonts w:ascii="Times New Roman" w:hAnsi="Times New Roman"/>
                <w:b/>
                <w:sz w:val="16"/>
                <w:szCs w:val="16"/>
              </w:rPr>
            </w:pPr>
          </w:p>
        </w:tc>
        <w:tc>
          <w:tcPr>
            <w:tcW w:w="1718" w:type="dxa"/>
            <w:gridSpan w:val="2"/>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779504B6" w14:textId="77777777" w:rsidR="004D6462" w:rsidRPr="0056599D" w:rsidRDefault="004D6462" w:rsidP="0056599D">
            <w:pPr>
              <w:pStyle w:val="NoSpacing"/>
              <w:jc w:val="center"/>
              <w:rPr>
                <w:rFonts w:ascii="Times New Roman" w:hAnsi="Times New Roman"/>
                <w:bCs/>
                <w:sz w:val="16"/>
                <w:szCs w:val="16"/>
              </w:rPr>
            </w:pPr>
            <w:r w:rsidRPr="0056599D">
              <w:rPr>
                <w:rFonts w:ascii="Times New Roman" w:hAnsi="Times New Roman"/>
                <w:bCs/>
                <w:sz w:val="16"/>
                <w:szCs w:val="16"/>
              </w:rPr>
              <w:t>Organic Fertilizer</w:t>
            </w:r>
          </w:p>
        </w:tc>
        <w:tc>
          <w:tcPr>
            <w:tcW w:w="1701" w:type="dxa"/>
            <w:gridSpan w:val="2"/>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2AE2AB1D" w14:textId="77777777" w:rsidR="004D6462" w:rsidRPr="0056599D" w:rsidRDefault="004D6462" w:rsidP="0056599D">
            <w:pPr>
              <w:pStyle w:val="NoSpacing"/>
              <w:jc w:val="center"/>
              <w:rPr>
                <w:rFonts w:ascii="Times New Roman" w:hAnsi="Times New Roman"/>
                <w:bCs/>
                <w:sz w:val="16"/>
                <w:szCs w:val="16"/>
              </w:rPr>
            </w:pPr>
            <w:r w:rsidRPr="0056599D">
              <w:rPr>
                <w:rFonts w:ascii="Times New Roman" w:hAnsi="Times New Roman"/>
                <w:bCs/>
                <w:sz w:val="16"/>
                <w:szCs w:val="16"/>
              </w:rPr>
              <w:t>Inorganic Fertilizer</w:t>
            </w:r>
          </w:p>
        </w:tc>
        <w:tc>
          <w:tcPr>
            <w:tcW w:w="1701" w:type="dxa"/>
            <w:gridSpan w:val="2"/>
            <w:tcBorders>
              <w:left w:val="single" w:sz="4" w:space="0" w:color="auto"/>
              <w:bottom w:val="single" w:sz="4" w:space="0" w:color="auto"/>
            </w:tcBorders>
            <w:shd w:val="clear" w:color="auto" w:fill="E2EFD9" w:themeFill="accent6" w:themeFillTint="33"/>
            <w:vAlign w:val="center"/>
            <w:hideMark/>
          </w:tcPr>
          <w:p w14:paraId="54CB3341" w14:textId="5E942AFD" w:rsidR="004D6462" w:rsidRPr="0056599D" w:rsidRDefault="007138F1" w:rsidP="007138F1">
            <w:pPr>
              <w:pStyle w:val="NoSpacing"/>
              <w:jc w:val="center"/>
              <w:rPr>
                <w:rFonts w:ascii="Times New Roman" w:hAnsi="Times New Roman"/>
                <w:bCs/>
                <w:sz w:val="16"/>
                <w:szCs w:val="16"/>
              </w:rPr>
            </w:pPr>
            <w:r w:rsidRPr="0056599D">
              <w:rPr>
                <w:rFonts w:ascii="Times New Roman" w:hAnsi="Times New Roman"/>
                <w:sz w:val="16"/>
                <w:szCs w:val="16"/>
              </w:rPr>
              <w:t xml:space="preserve">Total </w:t>
            </w:r>
            <w:r>
              <w:rPr>
                <w:rFonts w:ascii="Times New Roman" w:hAnsi="Times New Roman"/>
                <w:sz w:val="16"/>
                <w:szCs w:val="16"/>
              </w:rPr>
              <w:t>(Ha)</w:t>
            </w:r>
          </w:p>
        </w:tc>
      </w:tr>
      <w:tr w:rsidR="007138F1" w:rsidRPr="0056599D" w14:paraId="7833DAF6" w14:textId="77777777" w:rsidTr="007138F1">
        <w:trPr>
          <w:trHeight w:val="330"/>
        </w:trPr>
        <w:tc>
          <w:tcPr>
            <w:tcW w:w="1668" w:type="dxa"/>
            <w:vMerge/>
            <w:tcBorders>
              <w:bottom w:val="single" w:sz="4" w:space="0" w:color="auto"/>
            </w:tcBorders>
            <w:shd w:val="clear" w:color="auto" w:fill="E2EFD9" w:themeFill="accent6" w:themeFillTint="33"/>
            <w:hideMark/>
          </w:tcPr>
          <w:p w14:paraId="70990933" w14:textId="77777777" w:rsidR="0070447D" w:rsidRPr="0056599D" w:rsidRDefault="0070447D" w:rsidP="0056599D">
            <w:pPr>
              <w:pStyle w:val="NoSpacing"/>
              <w:jc w:val="both"/>
              <w:rPr>
                <w:rFonts w:ascii="Times New Roman" w:hAnsi="Times New Roman"/>
                <w:b/>
                <w:sz w:val="16"/>
                <w:szCs w:val="16"/>
              </w:rPr>
            </w:pPr>
          </w:p>
        </w:tc>
        <w:tc>
          <w:tcPr>
            <w:tcW w:w="1276" w:type="dxa"/>
            <w:vMerge/>
            <w:tcBorders>
              <w:bottom w:val="single" w:sz="4" w:space="0" w:color="auto"/>
              <w:right w:val="single" w:sz="4" w:space="0" w:color="auto"/>
            </w:tcBorders>
            <w:shd w:val="clear" w:color="auto" w:fill="E2EFD9" w:themeFill="accent6" w:themeFillTint="33"/>
            <w:hideMark/>
          </w:tcPr>
          <w:p w14:paraId="3A02E0F7" w14:textId="77777777" w:rsidR="0070447D" w:rsidRPr="0056599D" w:rsidRDefault="0070447D" w:rsidP="0056599D">
            <w:pPr>
              <w:pStyle w:val="NoSpacing"/>
              <w:jc w:val="both"/>
              <w:rPr>
                <w:rFonts w:ascii="Times New Roman" w:hAnsi="Times New Roman"/>
                <w:b/>
                <w:sz w:val="16"/>
                <w:szCs w:val="16"/>
              </w:rPr>
            </w:pPr>
          </w:p>
        </w:tc>
        <w:tc>
          <w:tcPr>
            <w:tcW w:w="1116" w:type="dxa"/>
            <w:vMerge/>
            <w:tcBorders>
              <w:left w:val="single" w:sz="4" w:space="0" w:color="auto"/>
              <w:bottom w:val="single" w:sz="4" w:space="0" w:color="auto"/>
              <w:right w:val="single" w:sz="4" w:space="0" w:color="auto"/>
            </w:tcBorders>
            <w:shd w:val="clear" w:color="auto" w:fill="E2EFD9" w:themeFill="accent6" w:themeFillTint="33"/>
            <w:hideMark/>
          </w:tcPr>
          <w:p w14:paraId="1B7D2BE4" w14:textId="77777777" w:rsidR="0070447D" w:rsidRPr="0056599D" w:rsidRDefault="0070447D" w:rsidP="0056599D">
            <w:pPr>
              <w:pStyle w:val="NoSpacing"/>
              <w:jc w:val="both"/>
              <w:rPr>
                <w:rFonts w:ascii="Times New Roman" w:hAnsi="Times New Roman"/>
                <w:b/>
                <w:sz w:val="16"/>
                <w:szCs w:val="16"/>
              </w:rPr>
            </w:pPr>
          </w:p>
        </w:tc>
        <w:tc>
          <w:tcPr>
            <w:tcW w:w="1016" w:type="dxa"/>
            <w:tcBorders>
              <w:top w:val="single" w:sz="4" w:space="0" w:color="auto"/>
              <w:left w:val="single" w:sz="4" w:space="0" w:color="auto"/>
              <w:bottom w:val="single" w:sz="4" w:space="0" w:color="auto"/>
            </w:tcBorders>
            <w:shd w:val="clear" w:color="auto" w:fill="E2EFD9" w:themeFill="accent6" w:themeFillTint="33"/>
            <w:vAlign w:val="center"/>
            <w:hideMark/>
          </w:tcPr>
          <w:p w14:paraId="2C097A3C" w14:textId="0FEFEE40" w:rsidR="0070447D" w:rsidRPr="0056599D" w:rsidRDefault="007138F1" w:rsidP="0056599D">
            <w:pPr>
              <w:pStyle w:val="NoSpacing"/>
              <w:jc w:val="center"/>
              <w:rPr>
                <w:rFonts w:ascii="Times New Roman" w:hAnsi="Times New Roman"/>
                <w:bCs/>
                <w:sz w:val="16"/>
                <w:szCs w:val="16"/>
              </w:rPr>
            </w:pPr>
            <w:r>
              <w:rPr>
                <w:rFonts w:ascii="Times New Roman" w:hAnsi="Times New Roman"/>
                <w:bCs/>
                <w:sz w:val="16"/>
                <w:szCs w:val="16"/>
              </w:rPr>
              <w:t>Area (Ha)</w:t>
            </w:r>
          </w:p>
        </w:tc>
        <w:tc>
          <w:tcPr>
            <w:tcW w:w="702" w:type="dxa"/>
            <w:tcBorders>
              <w:top w:val="single" w:sz="4" w:space="0" w:color="auto"/>
              <w:bottom w:val="single" w:sz="4" w:space="0" w:color="auto"/>
              <w:right w:val="single" w:sz="4" w:space="0" w:color="auto"/>
            </w:tcBorders>
            <w:shd w:val="clear" w:color="auto" w:fill="E2EFD9" w:themeFill="accent6" w:themeFillTint="33"/>
            <w:noWrap/>
            <w:vAlign w:val="center"/>
            <w:hideMark/>
          </w:tcPr>
          <w:p w14:paraId="02A31050" w14:textId="77777777" w:rsidR="0070447D" w:rsidRPr="0056599D" w:rsidRDefault="0070447D" w:rsidP="0056599D">
            <w:pPr>
              <w:pStyle w:val="NoSpacing"/>
              <w:jc w:val="center"/>
              <w:rPr>
                <w:rFonts w:ascii="Times New Roman" w:hAnsi="Times New Roman"/>
                <w:bCs/>
                <w:sz w:val="16"/>
                <w:szCs w:val="16"/>
              </w:rPr>
            </w:pPr>
            <w:r w:rsidRPr="0056599D">
              <w:rPr>
                <w:rFonts w:ascii="Times New Roman" w:hAnsi="Times New Roman"/>
                <w:bCs/>
                <w:sz w:val="16"/>
                <w:szCs w:val="16"/>
              </w:rPr>
              <w:t>Percent</w:t>
            </w:r>
          </w:p>
        </w:tc>
        <w:tc>
          <w:tcPr>
            <w:tcW w:w="976" w:type="dxa"/>
            <w:tcBorders>
              <w:top w:val="single" w:sz="4" w:space="0" w:color="auto"/>
              <w:left w:val="single" w:sz="4" w:space="0" w:color="auto"/>
              <w:bottom w:val="single" w:sz="4" w:space="0" w:color="auto"/>
            </w:tcBorders>
            <w:shd w:val="clear" w:color="auto" w:fill="E2EFD9" w:themeFill="accent6" w:themeFillTint="33"/>
            <w:vAlign w:val="center"/>
            <w:hideMark/>
          </w:tcPr>
          <w:p w14:paraId="44B58F99" w14:textId="51A664A6" w:rsidR="0070447D" w:rsidRPr="0056599D" w:rsidRDefault="007138F1" w:rsidP="0056599D">
            <w:pPr>
              <w:pStyle w:val="NoSpacing"/>
              <w:ind w:left="-103" w:firstLine="103"/>
              <w:jc w:val="center"/>
              <w:rPr>
                <w:rFonts w:ascii="Times New Roman" w:hAnsi="Times New Roman"/>
                <w:bCs/>
                <w:sz w:val="16"/>
                <w:szCs w:val="16"/>
              </w:rPr>
            </w:pPr>
            <w:r>
              <w:rPr>
                <w:rFonts w:ascii="Times New Roman" w:hAnsi="Times New Roman"/>
                <w:bCs/>
                <w:sz w:val="16"/>
                <w:szCs w:val="16"/>
              </w:rPr>
              <w:t>Area (Ha)</w:t>
            </w:r>
          </w:p>
        </w:tc>
        <w:tc>
          <w:tcPr>
            <w:tcW w:w="725" w:type="dxa"/>
            <w:tcBorders>
              <w:top w:val="single" w:sz="4" w:space="0" w:color="auto"/>
              <w:bottom w:val="single" w:sz="4" w:space="0" w:color="auto"/>
              <w:right w:val="single" w:sz="4" w:space="0" w:color="auto"/>
            </w:tcBorders>
            <w:shd w:val="clear" w:color="auto" w:fill="E2EFD9" w:themeFill="accent6" w:themeFillTint="33"/>
            <w:noWrap/>
            <w:vAlign w:val="center"/>
            <w:hideMark/>
          </w:tcPr>
          <w:p w14:paraId="0452C5D1" w14:textId="77777777" w:rsidR="0070447D" w:rsidRPr="0056599D" w:rsidRDefault="0070447D" w:rsidP="0056599D">
            <w:pPr>
              <w:pStyle w:val="NoSpacing"/>
              <w:jc w:val="center"/>
              <w:rPr>
                <w:rFonts w:ascii="Times New Roman" w:hAnsi="Times New Roman"/>
                <w:bCs/>
                <w:sz w:val="16"/>
                <w:szCs w:val="16"/>
              </w:rPr>
            </w:pPr>
            <w:r w:rsidRPr="0056599D">
              <w:rPr>
                <w:rFonts w:ascii="Times New Roman" w:hAnsi="Times New Roman"/>
                <w:bCs/>
                <w:sz w:val="16"/>
                <w:szCs w:val="16"/>
              </w:rPr>
              <w:t>Percent</w:t>
            </w:r>
          </w:p>
        </w:tc>
        <w:tc>
          <w:tcPr>
            <w:tcW w:w="992" w:type="dxa"/>
            <w:tcBorders>
              <w:top w:val="single" w:sz="4" w:space="0" w:color="auto"/>
              <w:left w:val="single" w:sz="4" w:space="0" w:color="auto"/>
              <w:bottom w:val="single" w:sz="4" w:space="0" w:color="auto"/>
            </w:tcBorders>
            <w:shd w:val="clear" w:color="auto" w:fill="E2EFD9" w:themeFill="accent6" w:themeFillTint="33"/>
            <w:vAlign w:val="center"/>
            <w:hideMark/>
          </w:tcPr>
          <w:p w14:paraId="767B9640" w14:textId="24790979" w:rsidR="0070447D" w:rsidRPr="0056599D" w:rsidRDefault="007138F1" w:rsidP="0056599D">
            <w:pPr>
              <w:pStyle w:val="NoSpacing"/>
              <w:rPr>
                <w:rFonts w:ascii="Times New Roman" w:hAnsi="Times New Roman"/>
                <w:bCs/>
                <w:sz w:val="16"/>
                <w:szCs w:val="16"/>
              </w:rPr>
            </w:pPr>
            <w:r>
              <w:rPr>
                <w:rFonts w:ascii="Times New Roman" w:hAnsi="Times New Roman"/>
                <w:bCs/>
                <w:sz w:val="16"/>
                <w:szCs w:val="16"/>
              </w:rPr>
              <w:t>Area (Ha)</w:t>
            </w:r>
          </w:p>
        </w:tc>
        <w:tc>
          <w:tcPr>
            <w:tcW w:w="709" w:type="dxa"/>
            <w:tcBorders>
              <w:top w:val="single" w:sz="4" w:space="0" w:color="auto"/>
              <w:bottom w:val="single" w:sz="4" w:space="0" w:color="auto"/>
            </w:tcBorders>
            <w:shd w:val="clear" w:color="auto" w:fill="E2EFD9" w:themeFill="accent6" w:themeFillTint="33"/>
            <w:noWrap/>
            <w:vAlign w:val="center"/>
            <w:hideMark/>
          </w:tcPr>
          <w:p w14:paraId="7E3FFF58" w14:textId="77777777" w:rsidR="0070447D" w:rsidRPr="0056599D" w:rsidRDefault="0070447D" w:rsidP="0056599D">
            <w:pPr>
              <w:pStyle w:val="NoSpacing"/>
              <w:rPr>
                <w:rFonts w:ascii="Times New Roman" w:hAnsi="Times New Roman"/>
                <w:bCs/>
                <w:sz w:val="16"/>
                <w:szCs w:val="16"/>
              </w:rPr>
            </w:pPr>
            <w:r w:rsidRPr="0056599D">
              <w:rPr>
                <w:rFonts w:ascii="Times New Roman" w:hAnsi="Times New Roman"/>
                <w:bCs/>
                <w:sz w:val="16"/>
                <w:szCs w:val="16"/>
              </w:rPr>
              <w:t>Percent</w:t>
            </w:r>
          </w:p>
        </w:tc>
      </w:tr>
      <w:tr w:rsidR="007138F1" w:rsidRPr="0056599D" w14:paraId="259C33CC" w14:textId="77777777" w:rsidTr="007138F1">
        <w:trPr>
          <w:trHeight w:val="255"/>
        </w:trPr>
        <w:tc>
          <w:tcPr>
            <w:tcW w:w="1668" w:type="dxa"/>
            <w:vMerge w:val="restart"/>
            <w:tcBorders>
              <w:top w:val="single" w:sz="4" w:space="0" w:color="auto"/>
            </w:tcBorders>
            <w:shd w:val="clear" w:color="auto" w:fill="auto"/>
            <w:noWrap/>
            <w:vAlign w:val="center"/>
            <w:hideMark/>
          </w:tcPr>
          <w:p w14:paraId="78640347" w14:textId="252F9785" w:rsidR="00B4501D" w:rsidRPr="007F55EB" w:rsidRDefault="00B4501D" w:rsidP="0056599D">
            <w:pPr>
              <w:pStyle w:val="NoSpacing"/>
              <w:rPr>
                <w:rFonts w:ascii="Times New Roman" w:hAnsi="Times New Roman"/>
                <w:sz w:val="16"/>
                <w:szCs w:val="16"/>
              </w:rPr>
            </w:pPr>
            <w:r w:rsidRPr="007F55EB">
              <w:rPr>
                <w:rFonts w:ascii="Times New Roman" w:hAnsi="Times New Roman"/>
                <w:sz w:val="16"/>
                <w:szCs w:val="16"/>
              </w:rPr>
              <w:t>Mainland Tanzania</w:t>
            </w:r>
          </w:p>
        </w:tc>
        <w:tc>
          <w:tcPr>
            <w:tcW w:w="1276" w:type="dxa"/>
            <w:tcBorders>
              <w:top w:val="single" w:sz="4" w:space="0" w:color="auto"/>
              <w:right w:val="single" w:sz="4" w:space="0" w:color="auto"/>
            </w:tcBorders>
            <w:shd w:val="clear" w:color="auto" w:fill="auto"/>
            <w:noWrap/>
            <w:vAlign w:val="center"/>
            <w:hideMark/>
          </w:tcPr>
          <w:p w14:paraId="2FDEBAFF" w14:textId="766F4C50" w:rsidR="00B4501D" w:rsidRPr="0056599D" w:rsidRDefault="00B4501D" w:rsidP="0056599D">
            <w:pPr>
              <w:pStyle w:val="NoSpacing"/>
              <w:jc w:val="right"/>
              <w:rPr>
                <w:rFonts w:ascii="Times New Roman" w:hAnsi="Times New Roman"/>
                <w:sz w:val="16"/>
                <w:szCs w:val="16"/>
              </w:rPr>
            </w:pPr>
            <w:r w:rsidRPr="0056599D">
              <w:rPr>
                <w:rFonts w:ascii="Times New Roman" w:hAnsi="Times New Roman"/>
                <w:sz w:val="16"/>
                <w:szCs w:val="16"/>
              </w:rPr>
              <w:t>Short Rainy</w:t>
            </w:r>
          </w:p>
        </w:tc>
        <w:tc>
          <w:tcPr>
            <w:tcW w:w="1116" w:type="dxa"/>
            <w:tcBorders>
              <w:top w:val="single" w:sz="4" w:space="0" w:color="auto"/>
              <w:left w:val="single" w:sz="4" w:space="0" w:color="auto"/>
              <w:right w:val="single" w:sz="4" w:space="0" w:color="auto"/>
            </w:tcBorders>
            <w:shd w:val="clear" w:color="auto" w:fill="auto"/>
            <w:noWrap/>
            <w:vAlign w:val="center"/>
            <w:hideMark/>
          </w:tcPr>
          <w:p w14:paraId="0EB89A63" w14:textId="0449021D" w:rsidR="00B4501D" w:rsidRPr="0056599D" w:rsidRDefault="00B4501D" w:rsidP="0056599D">
            <w:pPr>
              <w:pStyle w:val="NoSpacing"/>
              <w:jc w:val="right"/>
              <w:rPr>
                <w:rFonts w:ascii="Times New Roman" w:hAnsi="Times New Roman"/>
                <w:sz w:val="16"/>
                <w:szCs w:val="16"/>
              </w:rPr>
            </w:pPr>
            <w:r w:rsidRPr="0056599D">
              <w:rPr>
                <w:rFonts w:ascii="Times New Roman" w:hAnsi="Times New Roman"/>
                <w:sz w:val="16"/>
                <w:szCs w:val="16"/>
              </w:rPr>
              <w:t>3,269,062</w:t>
            </w:r>
          </w:p>
        </w:tc>
        <w:tc>
          <w:tcPr>
            <w:tcW w:w="1016" w:type="dxa"/>
            <w:tcBorders>
              <w:top w:val="single" w:sz="4" w:space="0" w:color="auto"/>
              <w:left w:val="single" w:sz="4" w:space="0" w:color="auto"/>
            </w:tcBorders>
            <w:shd w:val="clear" w:color="auto" w:fill="auto"/>
            <w:noWrap/>
            <w:vAlign w:val="center"/>
            <w:hideMark/>
          </w:tcPr>
          <w:p w14:paraId="5B0781F5" w14:textId="39465919" w:rsidR="00B4501D" w:rsidRPr="0056599D" w:rsidRDefault="00B4501D" w:rsidP="0056599D">
            <w:pPr>
              <w:pStyle w:val="NoSpacing"/>
              <w:jc w:val="right"/>
              <w:rPr>
                <w:rFonts w:ascii="Times New Roman" w:hAnsi="Times New Roman"/>
                <w:sz w:val="16"/>
                <w:szCs w:val="16"/>
              </w:rPr>
            </w:pPr>
            <w:r w:rsidRPr="0056599D">
              <w:rPr>
                <w:rFonts w:ascii="Times New Roman" w:hAnsi="Times New Roman"/>
                <w:sz w:val="16"/>
                <w:szCs w:val="16"/>
              </w:rPr>
              <w:t>317,413</w:t>
            </w:r>
          </w:p>
        </w:tc>
        <w:tc>
          <w:tcPr>
            <w:tcW w:w="702" w:type="dxa"/>
            <w:tcBorders>
              <w:top w:val="single" w:sz="4" w:space="0" w:color="auto"/>
              <w:right w:val="single" w:sz="4" w:space="0" w:color="auto"/>
            </w:tcBorders>
            <w:shd w:val="clear" w:color="auto" w:fill="auto"/>
            <w:noWrap/>
            <w:vAlign w:val="center"/>
            <w:hideMark/>
          </w:tcPr>
          <w:p w14:paraId="4A118479" w14:textId="372DF798" w:rsidR="00B4501D" w:rsidRPr="0056599D" w:rsidRDefault="00B4501D" w:rsidP="0056599D">
            <w:pPr>
              <w:pStyle w:val="NoSpacing"/>
              <w:jc w:val="right"/>
              <w:rPr>
                <w:rFonts w:ascii="Times New Roman" w:hAnsi="Times New Roman"/>
                <w:sz w:val="16"/>
                <w:szCs w:val="16"/>
              </w:rPr>
            </w:pPr>
            <w:r w:rsidRPr="0056599D">
              <w:rPr>
                <w:rFonts w:ascii="Times New Roman" w:hAnsi="Times New Roman"/>
                <w:sz w:val="16"/>
                <w:szCs w:val="16"/>
              </w:rPr>
              <w:t>9.7</w:t>
            </w:r>
          </w:p>
        </w:tc>
        <w:tc>
          <w:tcPr>
            <w:tcW w:w="976" w:type="dxa"/>
            <w:tcBorders>
              <w:top w:val="single" w:sz="4" w:space="0" w:color="auto"/>
              <w:left w:val="single" w:sz="4" w:space="0" w:color="auto"/>
            </w:tcBorders>
            <w:shd w:val="clear" w:color="auto" w:fill="auto"/>
            <w:noWrap/>
            <w:vAlign w:val="center"/>
            <w:hideMark/>
          </w:tcPr>
          <w:p w14:paraId="1D13E216" w14:textId="6E2DE64D" w:rsidR="00B4501D" w:rsidRPr="0056599D" w:rsidRDefault="00B4501D" w:rsidP="0056599D">
            <w:pPr>
              <w:pStyle w:val="NoSpacing"/>
              <w:jc w:val="right"/>
              <w:rPr>
                <w:rFonts w:ascii="Times New Roman" w:hAnsi="Times New Roman"/>
                <w:sz w:val="16"/>
                <w:szCs w:val="16"/>
              </w:rPr>
            </w:pPr>
            <w:r w:rsidRPr="0056599D">
              <w:rPr>
                <w:rFonts w:ascii="Times New Roman" w:hAnsi="Times New Roman"/>
                <w:sz w:val="16"/>
                <w:szCs w:val="16"/>
              </w:rPr>
              <w:t>349,849</w:t>
            </w:r>
          </w:p>
        </w:tc>
        <w:tc>
          <w:tcPr>
            <w:tcW w:w="725" w:type="dxa"/>
            <w:tcBorders>
              <w:top w:val="single" w:sz="4" w:space="0" w:color="auto"/>
              <w:right w:val="single" w:sz="4" w:space="0" w:color="auto"/>
            </w:tcBorders>
            <w:shd w:val="clear" w:color="auto" w:fill="auto"/>
            <w:noWrap/>
            <w:vAlign w:val="center"/>
            <w:hideMark/>
          </w:tcPr>
          <w:p w14:paraId="1ED52E73" w14:textId="122C97E5" w:rsidR="00B4501D" w:rsidRPr="0056599D" w:rsidRDefault="00B4501D" w:rsidP="0056599D">
            <w:pPr>
              <w:pStyle w:val="NoSpacing"/>
              <w:jc w:val="right"/>
              <w:rPr>
                <w:rFonts w:ascii="Times New Roman" w:hAnsi="Times New Roman"/>
                <w:sz w:val="16"/>
                <w:szCs w:val="16"/>
              </w:rPr>
            </w:pPr>
            <w:r w:rsidRPr="0056599D">
              <w:rPr>
                <w:rFonts w:ascii="Times New Roman" w:hAnsi="Times New Roman"/>
                <w:sz w:val="16"/>
                <w:szCs w:val="16"/>
              </w:rPr>
              <w:t>10.7</w:t>
            </w:r>
          </w:p>
        </w:tc>
        <w:tc>
          <w:tcPr>
            <w:tcW w:w="992" w:type="dxa"/>
            <w:tcBorders>
              <w:top w:val="single" w:sz="4" w:space="0" w:color="auto"/>
              <w:left w:val="single" w:sz="4" w:space="0" w:color="auto"/>
            </w:tcBorders>
            <w:shd w:val="clear" w:color="auto" w:fill="auto"/>
            <w:noWrap/>
            <w:vAlign w:val="center"/>
            <w:hideMark/>
          </w:tcPr>
          <w:p w14:paraId="7363BE0D" w14:textId="4F44F54F" w:rsidR="00B4501D" w:rsidRPr="0056599D" w:rsidRDefault="00B4501D" w:rsidP="0056599D">
            <w:pPr>
              <w:pStyle w:val="NoSpacing"/>
              <w:jc w:val="right"/>
              <w:rPr>
                <w:rFonts w:ascii="Times New Roman" w:hAnsi="Times New Roman"/>
                <w:sz w:val="16"/>
                <w:szCs w:val="16"/>
              </w:rPr>
            </w:pPr>
            <w:r w:rsidRPr="0056599D">
              <w:rPr>
                <w:rFonts w:ascii="Times New Roman" w:hAnsi="Times New Roman"/>
                <w:sz w:val="16"/>
                <w:szCs w:val="16"/>
              </w:rPr>
              <w:t>667,263</w:t>
            </w:r>
          </w:p>
        </w:tc>
        <w:tc>
          <w:tcPr>
            <w:tcW w:w="709" w:type="dxa"/>
            <w:tcBorders>
              <w:top w:val="single" w:sz="4" w:space="0" w:color="auto"/>
            </w:tcBorders>
            <w:shd w:val="clear" w:color="auto" w:fill="auto"/>
            <w:noWrap/>
            <w:vAlign w:val="center"/>
            <w:hideMark/>
          </w:tcPr>
          <w:p w14:paraId="547EF57A" w14:textId="10A5F122" w:rsidR="00B4501D" w:rsidRPr="0056599D" w:rsidRDefault="00B4501D" w:rsidP="0056599D">
            <w:pPr>
              <w:pStyle w:val="NoSpacing"/>
              <w:jc w:val="right"/>
              <w:rPr>
                <w:rFonts w:ascii="Times New Roman" w:hAnsi="Times New Roman"/>
                <w:sz w:val="16"/>
                <w:szCs w:val="16"/>
              </w:rPr>
            </w:pPr>
            <w:r w:rsidRPr="0056599D">
              <w:rPr>
                <w:rFonts w:ascii="Times New Roman" w:hAnsi="Times New Roman"/>
                <w:sz w:val="16"/>
                <w:szCs w:val="16"/>
              </w:rPr>
              <w:t>20.4</w:t>
            </w:r>
          </w:p>
        </w:tc>
      </w:tr>
      <w:tr w:rsidR="007138F1" w:rsidRPr="0056599D" w14:paraId="77FC7E03" w14:textId="77777777" w:rsidTr="007138F1">
        <w:trPr>
          <w:trHeight w:val="255"/>
        </w:trPr>
        <w:tc>
          <w:tcPr>
            <w:tcW w:w="1668" w:type="dxa"/>
            <w:vMerge/>
            <w:shd w:val="clear" w:color="auto" w:fill="auto"/>
            <w:noWrap/>
            <w:vAlign w:val="center"/>
            <w:hideMark/>
          </w:tcPr>
          <w:p w14:paraId="747BD0DA" w14:textId="77777777" w:rsidR="00B4501D" w:rsidRPr="007F55EB" w:rsidRDefault="00B4501D" w:rsidP="0056599D">
            <w:pPr>
              <w:pStyle w:val="NoSpacing"/>
              <w:rPr>
                <w:rFonts w:ascii="Times New Roman" w:hAnsi="Times New Roman"/>
                <w:sz w:val="16"/>
                <w:szCs w:val="16"/>
              </w:rPr>
            </w:pPr>
          </w:p>
        </w:tc>
        <w:tc>
          <w:tcPr>
            <w:tcW w:w="1276" w:type="dxa"/>
            <w:tcBorders>
              <w:right w:val="single" w:sz="4" w:space="0" w:color="auto"/>
            </w:tcBorders>
            <w:shd w:val="clear" w:color="auto" w:fill="auto"/>
            <w:noWrap/>
            <w:vAlign w:val="center"/>
            <w:hideMark/>
          </w:tcPr>
          <w:p w14:paraId="4D0840CB" w14:textId="77777777" w:rsidR="00B4501D" w:rsidRPr="0056599D" w:rsidRDefault="00B4501D" w:rsidP="0056599D">
            <w:pPr>
              <w:pStyle w:val="NoSpacing"/>
              <w:jc w:val="right"/>
              <w:rPr>
                <w:rFonts w:ascii="Times New Roman" w:hAnsi="Times New Roman"/>
                <w:sz w:val="16"/>
                <w:szCs w:val="16"/>
              </w:rPr>
            </w:pPr>
            <w:r w:rsidRPr="0056599D">
              <w:rPr>
                <w:rFonts w:ascii="Times New Roman" w:hAnsi="Times New Roman"/>
                <w:sz w:val="16"/>
                <w:szCs w:val="16"/>
              </w:rPr>
              <w:t>Long Rainy</w:t>
            </w:r>
          </w:p>
        </w:tc>
        <w:tc>
          <w:tcPr>
            <w:tcW w:w="1116" w:type="dxa"/>
            <w:tcBorders>
              <w:left w:val="single" w:sz="4" w:space="0" w:color="auto"/>
              <w:right w:val="single" w:sz="4" w:space="0" w:color="auto"/>
            </w:tcBorders>
            <w:shd w:val="clear" w:color="auto" w:fill="auto"/>
            <w:noWrap/>
            <w:vAlign w:val="center"/>
            <w:hideMark/>
          </w:tcPr>
          <w:p w14:paraId="50AA807D" w14:textId="77777777" w:rsidR="00B4501D" w:rsidRPr="0056599D" w:rsidRDefault="00B4501D" w:rsidP="0056599D">
            <w:pPr>
              <w:pStyle w:val="NoSpacing"/>
              <w:jc w:val="right"/>
              <w:rPr>
                <w:rFonts w:ascii="Times New Roman" w:hAnsi="Times New Roman"/>
                <w:sz w:val="16"/>
                <w:szCs w:val="16"/>
              </w:rPr>
            </w:pPr>
            <w:r w:rsidRPr="0056599D">
              <w:rPr>
                <w:rFonts w:ascii="Times New Roman" w:hAnsi="Times New Roman"/>
                <w:sz w:val="16"/>
                <w:szCs w:val="16"/>
              </w:rPr>
              <w:t>8,370,000</w:t>
            </w:r>
          </w:p>
        </w:tc>
        <w:tc>
          <w:tcPr>
            <w:tcW w:w="1016" w:type="dxa"/>
            <w:tcBorders>
              <w:left w:val="single" w:sz="4" w:space="0" w:color="auto"/>
            </w:tcBorders>
            <w:shd w:val="clear" w:color="auto" w:fill="auto"/>
            <w:noWrap/>
            <w:vAlign w:val="center"/>
            <w:hideMark/>
          </w:tcPr>
          <w:p w14:paraId="381025F6" w14:textId="77777777" w:rsidR="00B4501D" w:rsidRPr="0056599D" w:rsidRDefault="00B4501D" w:rsidP="0056599D">
            <w:pPr>
              <w:pStyle w:val="NoSpacing"/>
              <w:jc w:val="right"/>
              <w:rPr>
                <w:rFonts w:ascii="Times New Roman" w:hAnsi="Times New Roman"/>
                <w:sz w:val="16"/>
                <w:szCs w:val="16"/>
              </w:rPr>
            </w:pPr>
            <w:r w:rsidRPr="0056599D">
              <w:rPr>
                <w:rFonts w:ascii="Times New Roman" w:hAnsi="Times New Roman"/>
                <w:sz w:val="16"/>
                <w:szCs w:val="16"/>
              </w:rPr>
              <w:t>1,232,444</w:t>
            </w:r>
          </w:p>
        </w:tc>
        <w:tc>
          <w:tcPr>
            <w:tcW w:w="702" w:type="dxa"/>
            <w:tcBorders>
              <w:right w:val="single" w:sz="4" w:space="0" w:color="auto"/>
            </w:tcBorders>
            <w:shd w:val="clear" w:color="auto" w:fill="auto"/>
            <w:noWrap/>
            <w:vAlign w:val="center"/>
            <w:hideMark/>
          </w:tcPr>
          <w:p w14:paraId="5E8D0D15" w14:textId="77777777" w:rsidR="00B4501D" w:rsidRPr="0056599D" w:rsidRDefault="00B4501D" w:rsidP="0056599D">
            <w:pPr>
              <w:pStyle w:val="NoSpacing"/>
              <w:jc w:val="right"/>
              <w:rPr>
                <w:rFonts w:ascii="Times New Roman" w:hAnsi="Times New Roman"/>
                <w:sz w:val="16"/>
                <w:szCs w:val="16"/>
              </w:rPr>
            </w:pPr>
            <w:r w:rsidRPr="0056599D">
              <w:rPr>
                <w:rFonts w:ascii="Times New Roman" w:hAnsi="Times New Roman"/>
                <w:sz w:val="16"/>
                <w:szCs w:val="16"/>
              </w:rPr>
              <w:t>14.7</w:t>
            </w:r>
          </w:p>
        </w:tc>
        <w:tc>
          <w:tcPr>
            <w:tcW w:w="976" w:type="dxa"/>
            <w:tcBorders>
              <w:left w:val="single" w:sz="4" w:space="0" w:color="auto"/>
            </w:tcBorders>
            <w:shd w:val="clear" w:color="auto" w:fill="auto"/>
            <w:noWrap/>
            <w:vAlign w:val="center"/>
            <w:hideMark/>
          </w:tcPr>
          <w:p w14:paraId="643BB9BD" w14:textId="77777777" w:rsidR="00B4501D" w:rsidRPr="0056599D" w:rsidRDefault="00B4501D" w:rsidP="0056599D">
            <w:pPr>
              <w:pStyle w:val="NoSpacing"/>
              <w:jc w:val="right"/>
              <w:rPr>
                <w:rFonts w:ascii="Times New Roman" w:hAnsi="Times New Roman"/>
                <w:sz w:val="16"/>
                <w:szCs w:val="16"/>
              </w:rPr>
            </w:pPr>
            <w:r w:rsidRPr="0056599D">
              <w:rPr>
                <w:rFonts w:ascii="Times New Roman" w:hAnsi="Times New Roman"/>
                <w:sz w:val="16"/>
                <w:szCs w:val="16"/>
              </w:rPr>
              <w:t>582,498</w:t>
            </w:r>
          </w:p>
        </w:tc>
        <w:tc>
          <w:tcPr>
            <w:tcW w:w="725" w:type="dxa"/>
            <w:tcBorders>
              <w:right w:val="single" w:sz="4" w:space="0" w:color="auto"/>
            </w:tcBorders>
            <w:shd w:val="clear" w:color="auto" w:fill="auto"/>
            <w:noWrap/>
            <w:vAlign w:val="center"/>
            <w:hideMark/>
          </w:tcPr>
          <w:p w14:paraId="62518311" w14:textId="77777777" w:rsidR="00B4501D" w:rsidRPr="0056599D" w:rsidRDefault="00B4501D" w:rsidP="0056599D">
            <w:pPr>
              <w:pStyle w:val="NoSpacing"/>
              <w:jc w:val="right"/>
              <w:rPr>
                <w:rFonts w:ascii="Times New Roman" w:hAnsi="Times New Roman"/>
                <w:sz w:val="16"/>
                <w:szCs w:val="16"/>
              </w:rPr>
            </w:pPr>
            <w:r w:rsidRPr="0056599D">
              <w:rPr>
                <w:rFonts w:ascii="Times New Roman" w:hAnsi="Times New Roman"/>
                <w:sz w:val="16"/>
                <w:szCs w:val="16"/>
              </w:rPr>
              <w:t>7.0</w:t>
            </w:r>
          </w:p>
        </w:tc>
        <w:tc>
          <w:tcPr>
            <w:tcW w:w="992" w:type="dxa"/>
            <w:tcBorders>
              <w:left w:val="single" w:sz="4" w:space="0" w:color="auto"/>
            </w:tcBorders>
            <w:shd w:val="clear" w:color="auto" w:fill="auto"/>
            <w:noWrap/>
            <w:vAlign w:val="center"/>
            <w:hideMark/>
          </w:tcPr>
          <w:p w14:paraId="6C1E033B" w14:textId="77777777" w:rsidR="00B4501D" w:rsidRPr="0056599D" w:rsidRDefault="00B4501D" w:rsidP="0056599D">
            <w:pPr>
              <w:pStyle w:val="NoSpacing"/>
              <w:jc w:val="right"/>
              <w:rPr>
                <w:rFonts w:ascii="Times New Roman" w:hAnsi="Times New Roman"/>
                <w:sz w:val="16"/>
                <w:szCs w:val="16"/>
              </w:rPr>
            </w:pPr>
            <w:r w:rsidRPr="0056599D">
              <w:rPr>
                <w:rFonts w:ascii="Times New Roman" w:hAnsi="Times New Roman"/>
                <w:sz w:val="16"/>
                <w:szCs w:val="16"/>
              </w:rPr>
              <w:t>1,814,942</w:t>
            </w:r>
          </w:p>
        </w:tc>
        <w:tc>
          <w:tcPr>
            <w:tcW w:w="709" w:type="dxa"/>
            <w:shd w:val="clear" w:color="auto" w:fill="auto"/>
            <w:noWrap/>
            <w:vAlign w:val="center"/>
            <w:hideMark/>
          </w:tcPr>
          <w:p w14:paraId="566EE964" w14:textId="77777777" w:rsidR="00B4501D" w:rsidRPr="0056599D" w:rsidRDefault="00B4501D" w:rsidP="0056599D">
            <w:pPr>
              <w:pStyle w:val="NoSpacing"/>
              <w:jc w:val="right"/>
              <w:rPr>
                <w:rFonts w:ascii="Times New Roman" w:hAnsi="Times New Roman"/>
                <w:sz w:val="16"/>
                <w:szCs w:val="16"/>
              </w:rPr>
            </w:pPr>
            <w:r w:rsidRPr="0056599D">
              <w:rPr>
                <w:rFonts w:ascii="Times New Roman" w:hAnsi="Times New Roman"/>
                <w:sz w:val="16"/>
                <w:szCs w:val="16"/>
              </w:rPr>
              <w:t>21.7</w:t>
            </w:r>
          </w:p>
        </w:tc>
      </w:tr>
      <w:tr w:rsidR="007138F1" w:rsidRPr="0056599D" w14:paraId="34A9199D" w14:textId="77777777" w:rsidTr="007138F1">
        <w:trPr>
          <w:trHeight w:val="255"/>
        </w:trPr>
        <w:tc>
          <w:tcPr>
            <w:tcW w:w="1668" w:type="dxa"/>
            <w:vMerge/>
            <w:shd w:val="clear" w:color="auto" w:fill="auto"/>
            <w:noWrap/>
            <w:vAlign w:val="center"/>
            <w:hideMark/>
          </w:tcPr>
          <w:p w14:paraId="2C7B2D61" w14:textId="77777777" w:rsidR="00B4501D" w:rsidRPr="007F55EB" w:rsidRDefault="00B4501D" w:rsidP="0056599D">
            <w:pPr>
              <w:pStyle w:val="NoSpacing"/>
              <w:rPr>
                <w:rFonts w:ascii="Times New Roman" w:hAnsi="Times New Roman"/>
                <w:sz w:val="16"/>
                <w:szCs w:val="16"/>
              </w:rPr>
            </w:pPr>
          </w:p>
        </w:tc>
        <w:tc>
          <w:tcPr>
            <w:tcW w:w="1276" w:type="dxa"/>
            <w:tcBorders>
              <w:right w:val="single" w:sz="4" w:space="0" w:color="auto"/>
            </w:tcBorders>
            <w:shd w:val="clear" w:color="auto" w:fill="auto"/>
            <w:noWrap/>
            <w:vAlign w:val="center"/>
            <w:hideMark/>
          </w:tcPr>
          <w:p w14:paraId="0C88B87C" w14:textId="77777777" w:rsidR="00B4501D" w:rsidRPr="0056599D" w:rsidRDefault="00B4501D" w:rsidP="0056599D">
            <w:pPr>
              <w:pStyle w:val="NoSpacing"/>
              <w:jc w:val="right"/>
              <w:rPr>
                <w:rFonts w:ascii="Times New Roman" w:hAnsi="Times New Roman"/>
                <w:b/>
                <w:sz w:val="16"/>
                <w:szCs w:val="16"/>
              </w:rPr>
            </w:pPr>
            <w:r w:rsidRPr="0056599D">
              <w:rPr>
                <w:rFonts w:ascii="Times New Roman" w:hAnsi="Times New Roman"/>
                <w:b/>
                <w:sz w:val="16"/>
                <w:szCs w:val="16"/>
              </w:rPr>
              <w:t>Sub-Total</w:t>
            </w:r>
          </w:p>
        </w:tc>
        <w:tc>
          <w:tcPr>
            <w:tcW w:w="1116" w:type="dxa"/>
            <w:tcBorders>
              <w:left w:val="single" w:sz="4" w:space="0" w:color="auto"/>
              <w:right w:val="single" w:sz="4" w:space="0" w:color="auto"/>
            </w:tcBorders>
            <w:shd w:val="clear" w:color="auto" w:fill="auto"/>
            <w:noWrap/>
            <w:vAlign w:val="center"/>
            <w:hideMark/>
          </w:tcPr>
          <w:p w14:paraId="741A2324" w14:textId="77777777" w:rsidR="00B4501D" w:rsidRPr="0056599D" w:rsidRDefault="00B4501D" w:rsidP="0056599D">
            <w:pPr>
              <w:pStyle w:val="NoSpacing"/>
              <w:jc w:val="right"/>
              <w:rPr>
                <w:rFonts w:ascii="Times New Roman" w:hAnsi="Times New Roman"/>
                <w:b/>
                <w:sz w:val="16"/>
                <w:szCs w:val="16"/>
              </w:rPr>
            </w:pPr>
            <w:r w:rsidRPr="0056599D">
              <w:rPr>
                <w:rFonts w:ascii="Times New Roman" w:hAnsi="Times New Roman"/>
                <w:b/>
                <w:sz w:val="16"/>
                <w:szCs w:val="16"/>
              </w:rPr>
              <w:t>11,639,063</w:t>
            </w:r>
          </w:p>
        </w:tc>
        <w:tc>
          <w:tcPr>
            <w:tcW w:w="1016" w:type="dxa"/>
            <w:tcBorders>
              <w:left w:val="single" w:sz="4" w:space="0" w:color="auto"/>
            </w:tcBorders>
            <w:shd w:val="clear" w:color="auto" w:fill="auto"/>
            <w:noWrap/>
            <w:vAlign w:val="center"/>
            <w:hideMark/>
          </w:tcPr>
          <w:p w14:paraId="29C321D4" w14:textId="77777777" w:rsidR="00B4501D" w:rsidRPr="0056599D" w:rsidRDefault="00B4501D" w:rsidP="0056599D">
            <w:pPr>
              <w:pStyle w:val="NoSpacing"/>
              <w:jc w:val="right"/>
              <w:rPr>
                <w:rFonts w:ascii="Times New Roman" w:hAnsi="Times New Roman"/>
                <w:b/>
                <w:sz w:val="16"/>
                <w:szCs w:val="16"/>
              </w:rPr>
            </w:pPr>
            <w:r w:rsidRPr="0056599D">
              <w:rPr>
                <w:rFonts w:ascii="Times New Roman" w:hAnsi="Times New Roman"/>
                <w:b/>
                <w:sz w:val="16"/>
                <w:szCs w:val="16"/>
              </w:rPr>
              <w:t>1,549,857</w:t>
            </w:r>
          </w:p>
        </w:tc>
        <w:tc>
          <w:tcPr>
            <w:tcW w:w="702" w:type="dxa"/>
            <w:tcBorders>
              <w:right w:val="single" w:sz="4" w:space="0" w:color="auto"/>
            </w:tcBorders>
            <w:shd w:val="clear" w:color="auto" w:fill="auto"/>
            <w:noWrap/>
            <w:vAlign w:val="center"/>
            <w:hideMark/>
          </w:tcPr>
          <w:p w14:paraId="3DF57E55" w14:textId="77777777" w:rsidR="00B4501D" w:rsidRPr="0056599D" w:rsidRDefault="00B4501D" w:rsidP="0056599D">
            <w:pPr>
              <w:pStyle w:val="NoSpacing"/>
              <w:jc w:val="right"/>
              <w:rPr>
                <w:rFonts w:ascii="Times New Roman" w:hAnsi="Times New Roman"/>
                <w:b/>
                <w:sz w:val="16"/>
                <w:szCs w:val="16"/>
              </w:rPr>
            </w:pPr>
            <w:r w:rsidRPr="0056599D">
              <w:rPr>
                <w:rFonts w:ascii="Times New Roman" w:hAnsi="Times New Roman"/>
                <w:b/>
                <w:sz w:val="16"/>
                <w:szCs w:val="16"/>
              </w:rPr>
              <w:t>13.3</w:t>
            </w:r>
          </w:p>
        </w:tc>
        <w:tc>
          <w:tcPr>
            <w:tcW w:w="976" w:type="dxa"/>
            <w:tcBorders>
              <w:left w:val="single" w:sz="4" w:space="0" w:color="auto"/>
            </w:tcBorders>
            <w:shd w:val="clear" w:color="auto" w:fill="auto"/>
            <w:noWrap/>
            <w:vAlign w:val="center"/>
            <w:hideMark/>
          </w:tcPr>
          <w:p w14:paraId="0DFC6530" w14:textId="77777777" w:rsidR="00B4501D" w:rsidRPr="0056599D" w:rsidRDefault="00B4501D" w:rsidP="0056599D">
            <w:pPr>
              <w:pStyle w:val="NoSpacing"/>
              <w:jc w:val="right"/>
              <w:rPr>
                <w:rFonts w:ascii="Times New Roman" w:hAnsi="Times New Roman"/>
                <w:b/>
                <w:sz w:val="16"/>
                <w:szCs w:val="16"/>
              </w:rPr>
            </w:pPr>
            <w:r w:rsidRPr="0056599D">
              <w:rPr>
                <w:rFonts w:ascii="Times New Roman" w:hAnsi="Times New Roman"/>
                <w:b/>
                <w:sz w:val="16"/>
                <w:szCs w:val="16"/>
              </w:rPr>
              <w:t>932,348</w:t>
            </w:r>
          </w:p>
        </w:tc>
        <w:tc>
          <w:tcPr>
            <w:tcW w:w="725" w:type="dxa"/>
            <w:tcBorders>
              <w:right w:val="single" w:sz="4" w:space="0" w:color="auto"/>
            </w:tcBorders>
            <w:shd w:val="clear" w:color="auto" w:fill="auto"/>
            <w:noWrap/>
            <w:vAlign w:val="center"/>
            <w:hideMark/>
          </w:tcPr>
          <w:p w14:paraId="26C2A1E7" w14:textId="77777777" w:rsidR="00B4501D" w:rsidRPr="0056599D" w:rsidRDefault="00B4501D" w:rsidP="0056599D">
            <w:pPr>
              <w:pStyle w:val="NoSpacing"/>
              <w:jc w:val="right"/>
              <w:rPr>
                <w:rFonts w:ascii="Times New Roman" w:hAnsi="Times New Roman"/>
                <w:b/>
                <w:sz w:val="16"/>
                <w:szCs w:val="16"/>
              </w:rPr>
            </w:pPr>
            <w:r w:rsidRPr="0056599D">
              <w:rPr>
                <w:rFonts w:ascii="Times New Roman" w:hAnsi="Times New Roman"/>
                <w:b/>
                <w:sz w:val="16"/>
                <w:szCs w:val="16"/>
              </w:rPr>
              <w:t>8.0</w:t>
            </w:r>
          </w:p>
        </w:tc>
        <w:tc>
          <w:tcPr>
            <w:tcW w:w="992" w:type="dxa"/>
            <w:tcBorders>
              <w:left w:val="single" w:sz="4" w:space="0" w:color="auto"/>
            </w:tcBorders>
            <w:shd w:val="clear" w:color="auto" w:fill="auto"/>
            <w:noWrap/>
            <w:vAlign w:val="center"/>
            <w:hideMark/>
          </w:tcPr>
          <w:p w14:paraId="13C9EEFE" w14:textId="77777777" w:rsidR="00B4501D" w:rsidRPr="0056599D" w:rsidRDefault="00B4501D" w:rsidP="0056599D">
            <w:pPr>
              <w:pStyle w:val="NoSpacing"/>
              <w:jc w:val="right"/>
              <w:rPr>
                <w:rFonts w:ascii="Times New Roman" w:hAnsi="Times New Roman"/>
                <w:b/>
                <w:sz w:val="16"/>
                <w:szCs w:val="16"/>
              </w:rPr>
            </w:pPr>
            <w:r w:rsidRPr="0056599D">
              <w:rPr>
                <w:rFonts w:ascii="Times New Roman" w:hAnsi="Times New Roman"/>
                <w:b/>
                <w:sz w:val="16"/>
                <w:szCs w:val="16"/>
              </w:rPr>
              <w:t>2,482,205</w:t>
            </w:r>
          </w:p>
        </w:tc>
        <w:tc>
          <w:tcPr>
            <w:tcW w:w="709" w:type="dxa"/>
            <w:shd w:val="clear" w:color="auto" w:fill="auto"/>
            <w:noWrap/>
            <w:vAlign w:val="center"/>
            <w:hideMark/>
          </w:tcPr>
          <w:p w14:paraId="44E2321B" w14:textId="77777777" w:rsidR="00B4501D" w:rsidRPr="0056599D" w:rsidRDefault="00B4501D" w:rsidP="0056599D">
            <w:pPr>
              <w:pStyle w:val="NoSpacing"/>
              <w:jc w:val="right"/>
              <w:rPr>
                <w:rFonts w:ascii="Times New Roman" w:hAnsi="Times New Roman"/>
                <w:b/>
                <w:sz w:val="16"/>
                <w:szCs w:val="16"/>
              </w:rPr>
            </w:pPr>
            <w:r w:rsidRPr="0056599D">
              <w:rPr>
                <w:rFonts w:ascii="Times New Roman" w:hAnsi="Times New Roman"/>
                <w:b/>
                <w:sz w:val="16"/>
                <w:szCs w:val="16"/>
              </w:rPr>
              <w:t>21.3</w:t>
            </w:r>
          </w:p>
        </w:tc>
      </w:tr>
      <w:tr w:rsidR="007138F1" w:rsidRPr="0056599D" w14:paraId="48B35D1C" w14:textId="77777777" w:rsidTr="007138F1">
        <w:trPr>
          <w:trHeight w:val="255"/>
        </w:trPr>
        <w:tc>
          <w:tcPr>
            <w:tcW w:w="1668" w:type="dxa"/>
            <w:shd w:val="clear" w:color="auto" w:fill="auto"/>
            <w:noWrap/>
            <w:vAlign w:val="center"/>
            <w:hideMark/>
          </w:tcPr>
          <w:p w14:paraId="564873C6" w14:textId="77777777" w:rsidR="0070447D" w:rsidRPr="007F55EB" w:rsidRDefault="0070447D" w:rsidP="0056599D">
            <w:pPr>
              <w:pStyle w:val="NoSpacing"/>
              <w:rPr>
                <w:rFonts w:ascii="Times New Roman" w:hAnsi="Times New Roman"/>
                <w:sz w:val="16"/>
                <w:szCs w:val="16"/>
              </w:rPr>
            </w:pPr>
          </w:p>
        </w:tc>
        <w:tc>
          <w:tcPr>
            <w:tcW w:w="1276" w:type="dxa"/>
            <w:tcBorders>
              <w:right w:val="single" w:sz="4" w:space="0" w:color="auto"/>
            </w:tcBorders>
            <w:shd w:val="clear" w:color="auto" w:fill="auto"/>
            <w:noWrap/>
            <w:vAlign w:val="center"/>
            <w:hideMark/>
          </w:tcPr>
          <w:p w14:paraId="348E67AB" w14:textId="77777777" w:rsidR="0070447D" w:rsidRPr="0056599D" w:rsidRDefault="0070447D" w:rsidP="0056599D">
            <w:pPr>
              <w:pStyle w:val="NoSpacing"/>
              <w:jc w:val="right"/>
              <w:rPr>
                <w:rFonts w:ascii="Times New Roman" w:hAnsi="Times New Roman"/>
                <w:sz w:val="16"/>
                <w:szCs w:val="16"/>
              </w:rPr>
            </w:pPr>
          </w:p>
        </w:tc>
        <w:tc>
          <w:tcPr>
            <w:tcW w:w="1116" w:type="dxa"/>
            <w:tcBorders>
              <w:left w:val="single" w:sz="4" w:space="0" w:color="auto"/>
              <w:right w:val="single" w:sz="4" w:space="0" w:color="auto"/>
            </w:tcBorders>
            <w:shd w:val="clear" w:color="auto" w:fill="auto"/>
            <w:noWrap/>
            <w:vAlign w:val="center"/>
            <w:hideMark/>
          </w:tcPr>
          <w:p w14:paraId="562BE4CF" w14:textId="77777777" w:rsidR="0070447D" w:rsidRPr="0056599D" w:rsidRDefault="0070447D" w:rsidP="0056599D">
            <w:pPr>
              <w:pStyle w:val="NoSpacing"/>
              <w:jc w:val="right"/>
              <w:rPr>
                <w:rFonts w:ascii="Times New Roman" w:hAnsi="Times New Roman"/>
                <w:sz w:val="16"/>
                <w:szCs w:val="16"/>
              </w:rPr>
            </w:pPr>
          </w:p>
        </w:tc>
        <w:tc>
          <w:tcPr>
            <w:tcW w:w="1016" w:type="dxa"/>
            <w:tcBorders>
              <w:left w:val="single" w:sz="4" w:space="0" w:color="auto"/>
            </w:tcBorders>
            <w:shd w:val="clear" w:color="auto" w:fill="auto"/>
            <w:noWrap/>
            <w:vAlign w:val="center"/>
            <w:hideMark/>
          </w:tcPr>
          <w:p w14:paraId="6CF5C34C" w14:textId="77777777" w:rsidR="0070447D" w:rsidRPr="0056599D" w:rsidRDefault="0070447D" w:rsidP="0056599D">
            <w:pPr>
              <w:pStyle w:val="NoSpacing"/>
              <w:jc w:val="right"/>
              <w:rPr>
                <w:rFonts w:ascii="Times New Roman" w:hAnsi="Times New Roman"/>
                <w:sz w:val="16"/>
                <w:szCs w:val="16"/>
              </w:rPr>
            </w:pPr>
          </w:p>
        </w:tc>
        <w:tc>
          <w:tcPr>
            <w:tcW w:w="702" w:type="dxa"/>
            <w:tcBorders>
              <w:right w:val="single" w:sz="4" w:space="0" w:color="auto"/>
            </w:tcBorders>
            <w:shd w:val="clear" w:color="auto" w:fill="auto"/>
            <w:noWrap/>
            <w:vAlign w:val="center"/>
            <w:hideMark/>
          </w:tcPr>
          <w:p w14:paraId="2B521C3E" w14:textId="77777777" w:rsidR="0070447D" w:rsidRPr="0056599D" w:rsidRDefault="0070447D" w:rsidP="0056599D">
            <w:pPr>
              <w:pStyle w:val="NoSpacing"/>
              <w:jc w:val="right"/>
              <w:rPr>
                <w:rFonts w:ascii="Times New Roman" w:hAnsi="Times New Roman"/>
                <w:sz w:val="16"/>
                <w:szCs w:val="16"/>
              </w:rPr>
            </w:pPr>
          </w:p>
        </w:tc>
        <w:tc>
          <w:tcPr>
            <w:tcW w:w="976" w:type="dxa"/>
            <w:tcBorders>
              <w:left w:val="single" w:sz="4" w:space="0" w:color="auto"/>
            </w:tcBorders>
            <w:shd w:val="clear" w:color="auto" w:fill="auto"/>
            <w:noWrap/>
            <w:vAlign w:val="center"/>
            <w:hideMark/>
          </w:tcPr>
          <w:p w14:paraId="08124414" w14:textId="77777777" w:rsidR="0070447D" w:rsidRPr="0056599D" w:rsidRDefault="0070447D" w:rsidP="0056599D">
            <w:pPr>
              <w:pStyle w:val="NoSpacing"/>
              <w:jc w:val="right"/>
              <w:rPr>
                <w:rFonts w:ascii="Times New Roman" w:hAnsi="Times New Roman"/>
                <w:sz w:val="16"/>
                <w:szCs w:val="16"/>
              </w:rPr>
            </w:pPr>
          </w:p>
        </w:tc>
        <w:tc>
          <w:tcPr>
            <w:tcW w:w="725" w:type="dxa"/>
            <w:tcBorders>
              <w:right w:val="single" w:sz="4" w:space="0" w:color="auto"/>
            </w:tcBorders>
            <w:shd w:val="clear" w:color="auto" w:fill="auto"/>
            <w:noWrap/>
            <w:vAlign w:val="center"/>
            <w:hideMark/>
          </w:tcPr>
          <w:p w14:paraId="3FCA66AB" w14:textId="77777777" w:rsidR="0070447D" w:rsidRPr="0056599D" w:rsidRDefault="0070447D" w:rsidP="0056599D">
            <w:pPr>
              <w:pStyle w:val="NoSpacing"/>
              <w:jc w:val="right"/>
              <w:rPr>
                <w:rFonts w:ascii="Times New Roman" w:hAnsi="Times New Roman"/>
                <w:sz w:val="16"/>
                <w:szCs w:val="16"/>
              </w:rPr>
            </w:pPr>
          </w:p>
        </w:tc>
        <w:tc>
          <w:tcPr>
            <w:tcW w:w="992" w:type="dxa"/>
            <w:tcBorders>
              <w:left w:val="single" w:sz="4" w:space="0" w:color="auto"/>
            </w:tcBorders>
            <w:shd w:val="clear" w:color="auto" w:fill="auto"/>
            <w:noWrap/>
            <w:vAlign w:val="center"/>
            <w:hideMark/>
          </w:tcPr>
          <w:p w14:paraId="52D178D3" w14:textId="77777777" w:rsidR="0070447D" w:rsidRPr="0056599D" w:rsidRDefault="0070447D" w:rsidP="0056599D">
            <w:pPr>
              <w:pStyle w:val="NoSpacing"/>
              <w:jc w:val="right"/>
              <w:rPr>
                <w:rFonts w:ascii="Times New Roman" w:hAnsi="Times New Roman"/>
                <w:sz w:val="16"/>
                <w:szCs w:val="16"/>
              </w:rPr>
            </w:pPr>
          </w:p>
        </w:tc>
        <w:tc>
          <w:tcPr>
            <w:tcW w:w="709" w:type="dxa"/>
            <w:shd w:val="clear" w:color="auto" w:fill="auto"/>
            <w:noWrap/>
            <w:vAlign w:val="center"/>
            <w:hideMark/>
          </w:tcPr>
          <w:p w14:paraId="4915142A" w14:textId="77777777" w:rsidR="0070447D" w:rsidRPr="0056599D" w:rsidRDefault="0070447D" w:rsidP="0056599D">
            <w:pPr>
              <w:pStyle w:val="NoSpacing"/>
              <w:jc w:val="right"/>
              <w:rPr>
                <w:rFonts w:ascii="Times New Roman" w:hAnsi="Times New Roman"/>
                <w:sz w:val="16"/>
                <w:szCs w:val="16"/>
              </w:rPr>
            </w:pPr>
          </w:p>
        </w:tc>
      </w:tr>
      <w:tr w:rsidR="007138F1" w:rsidRPr="0056599D" w14:paraId="4408D050" w14:textId="77777777" w:rsidTr="007138F1">
        <w:trPr>
          <w:trHeight w:val="255"/>
        </w:trPr>
        <w:tc>
          <w:tcPr>
            <w:tcW w:w="1668" w:type="dxa"/>
            <w:vMerge w:val="restart"/>
            <w:shd w:val="clear" w:color="auto" w:fill="auto"/>
            <w:noWrap/>
            <w:vAlign w:val="center"/>
            <w:hideMark/>
          </w:tcPr>
          <w:p w14:paraId="2407CA73" w14:textId="0DF50131" w:rsidR="00B4501D" w:rsidRPr="007F55EB" w:rsidRDefault="00B4501D" w:rsidP="0056599D">
            <w:pPr>
              <w:pStyle w:val="NoSpacing"/>
              <w:rPr>
                <w:rFonts w:ascii="Times New Roman" w:hAnsi="Times New Roman"/>
                <w:sz w:val="16"/>
                <w:szCs w:val="16"/>
              </w:rPr>
            </w:pPr>
            <w:r w:rsidRPr="007F55EB">
              <w:rPr>
                <w:rFonts w:ascii="Times New Roman" w:hAnsi="Times New Roman"/>
                <w:sz w:val="16"/>
                <w:szCs w:val="16"/>
              </w:rPr>
              <w:t>Tanzania Zanzibar</w:t>
            </w:r>
          </w:p>
        </w:tc>
        <w:tc>
          <w:tcPr>
            <w:tcW w:w="1276" w:type="dxa"/>
            <w:tcBorders>
              <w:right w:val="single" w:sz="4" w:space="0" w:color="auto"/>
            </w:tcBorders>
            <w:shd w:val="clear" w:color="auto" w:fill="auto"/>
            <w:noWrap/>
            <w:vAlign w:val="center"/>
            <w:hideMark/>
          </w:tcPr>
          <w:p w14:paraId="59EE57FF" w14:textId="236148E1" w:rsidR="00B4501D" w:rsidRPr="0056599D" w:rsidRDefault="00B4501D" w:rsidP="0056599D">
            <w:pPr>
              <w:pStyle w:val="NoSpacing"/>
              <w:jc w:val="right"/>
              <w:rPr>
                <w:rFonts w:ascii="Times New Roman" w:hAnsi="Times New Roman"/>
                <w:sz w:val="16"/>
                <w:szCs w:val="16"/>
              </w:rPr>
            </w:pPr>
            <w:r w:rsidRPr="0056599D">
              <w:rPr>
                <w:rFonts w:ascii="Times New Roman" w:hAnsi="Times New Roman"/>
                <w:sz w:val="16"/>
                <w:szCs w:val="16"/>
              </w:rPr>
              <w:t>Short Rainy</w:t>
            </w:r>
          </w:p>
        </w:tc>
        <w:tc>
          <w:tcPr>
            <w:tcW w:w="1116" w:type="dxa"/>
            <w:tcBorders>
              <w:left w:val="single" w:sz="4" w:space="0" w:color="auto"/>
              <w:right w:val="single" w:sz="4" w:space="0" w:color="auto"/>
            </w:tcBorders>
            <w:shd w:val="clear" w:color="auto" w:fill="auto"/>
            <w:noWrap/>
            <w:vAlign w:val="center"/>
            <w:hideMark/>
          </w:tcPr>
          <w:p w14:paraId="27B2B0A6" w14:textId="32D8BA13" w:rsidR="00B4501D" w:rsidRPr="0056599D" w:rsidRDefault="00B4501D" w:rsidP="0056599D">
            <w:pPr>
              <w:pStyle w:val="NoSpacing"/>
              <w:jc w:val="right"/>
              <w:rPr>
                <w:rFonts w:ascii="Times New Roman" w:hAnsi="Times New Roman"/>
                <w:sz w:val="16"/>
                <w:szCs w:val="16"/>
              </w:rPr>
            </w:pPr>
            <w:r w:rsidRPr="0056599D">
              <w:rPr>
                <w:rFonts w:ascii="Times New Roman" w:hAnsi="Times New Roman"/>
                <w:sz w:val="16"/>
                <w:szCs w:val="16"/>
              </w:rPr>
              <w:t>66,658</w:t>
            </w:r>
          </w:p>
        </w:tc>
        <w:tc>
          <w:tcPr>
            <w:tcW w:w="1016" w:type="dxa"/>
            <w:tcBorders>
              <w:left w:val="single" w:sz="4" w:space="0" w:color="auto"/>
            </w:tcBorders>
            <w:shd w:val="clear" w:color="auto" w:fill="auto"/>
            <w:noWrap/>
            <w:vAlign w:val="center"/>
            <w:hideMark/>
          </w:tcPr>
          <w:p w14:paraId="0D2F9012" w14:textId="7372507C" w:rsidR="00B4501D" w:rsidRPr="0056599D" w:rsidRDefault="00B4501D" w:rsidP="0056599D">
            <w:pPr>
              <w:pStyle w:val="NoSpacing"/>
              <w:jc w:val="right"/>
              <w:rPr>
                <w:rFonts w:ascii="Times New Roman" w:hAnsi="Times New Roman"/>
                <w:sz w:val="16"/>
                <w:szCs w:val="16"/>
              </w:rPr>
            </w:pPr>
            <w:r w:rsidRPr="0056599D">
              <w:rPr>
                <w:rFonts w:ascii="Times New Roman" w:hAnsi="Times New Roman"/>
                <w:sz w:val="16"/>
                <w:szCs w:val="16"/>
              </w:rPr>
              <w:t>5,913</w:t>
            </w:r>
          </w:p>
        </w:tc>
        <w:tc>
          <w:tcPr>
            <w:tcW w:w="702" w:type="dxa"/>
            <w:tcBorders>
              <w:right w:val="single" w:sz="4" w:space="0" w:color="auto"/>
            </w:tcBorders>
            <w:shd w:val="clear" w:color="auto" w:fill="auto"/>
            <w:noWrap/>
            <w:vAlign w:val="center"/>
            <w:hideMark/>
          </w:tcPr>
          <w:p w14:paraId="74B6CC1E" w14:textId="5BBB653F" w:rsidR="00B4501D" w:rsidRPr="0056599D" w:rsidRDefault="00B4501D" w:rsidP="0056599D">
            <w:pPr>
              <w:pStyle w:val="NoSpacing"/>
              <w:jc w:val="right"/>
              <w:rPr>
                <w:rFonts w:ascii="Times New Roman" w:hAnsi="Times New Roman"/>
                <w:sz w:val="16"/>
                <w:szCs w:val="16"/>
              </w:rPr>
            </w:pPr>
            <w:r w:rsidRPr="0056599D">
              <w:rPr>
                <w:rFonts w:ascii="Times New Roman" w:hAnsi="Times New Roman"/>
                <w:sz w:val="16"/>
                <w:szCs w:val="16"/>
              </w:rPr>
              <w:t>8.9</w:t>
            </w:r>
          </w:p>
        </w:tc>
        <w:tc>
          <w:tcPr>
            <w:tcW w:w="976" w:type="dxa"/>
            <w:tcBorders>
              <w:left w:val="single" w:sz="4" w:space="0" w:color="auto"/>
            </w:tcBorders>
            <w:shd w:val="clear" w:color="auto" w:fill="auto"/>
            <w:noWrap/>
            <w:vAlign w:val="center"/>
            <w:hideMark/>
          </w:tcPr>
          <w:p w14:paraId="23C182FA" w14:textId="7BCB81EC" w:rsidR="00B4501D" w:rsidRPr="0056599D" w:rsidRDefault="00B4501D" w:rsidP="0056599D">
            <w:pPr>
              <w:pStyle w:val="NoSpacing"/>
              <w:jc w:val="right"/>
              <w:rPr>
                <w:rFonts w:ascii="Times New Roman" w:hAnsi="Times New Roman"/>
                <w:sz w:val="16"/>
                <w:szCs w:val="16"/>
              </w:rPr>
            </w:pPr>
            <w:r w:rsidRPr="0056599D">
              <w:rPr>
                <w:rFonts w:ascii="Times New Roman" w:hAnsi="Times New Roman"/>
                <w:sz w:val="16"/>
                <w:szCs w:val="16"/>
              </w:rPr>
              <w:t>8,766</w:t>
            </w:r>
          </w:p>
        </w:tc>
        <w:tc>
          <w:tcPr>
            <w:tcW w:w="725" w:type="dxa"/>
            <w:tcBorders>
              <w:right w:val="single" w:sz="4" w:space="0" w:color="auto"/>
            </w:tcBorders>
            <w:shd w:val="clear" w:color="auto" w:fill="auto"/>
            <w:noWrap/>
            <w:vAlign w:val="center"/>
            <w:hideMark/>
          </w:tcPr>
          <w:p w14:paraId="51CA6FD6" w14:textId="560C6399" w:rsidR="00B4501D" w:rsidRPr="0056599D" w:rsidRDefault="00B4501D" w:rsidP="0056599D">
            <w:pPr>
              <w:pStyle w:val="NoSpacing"/>
              <w:jc w:val="right"/>
              <w:rPr>
                <w:rFonts w:ascii="Times New Roman" w:hAnsi="Times New Roman"/>
                <w:sz w:val="16"/>
                <w:szCs w:val="16"/>
              </w:rPr>
            </w:pPr>
            <w:r w:rsidRPr="0056599D">
              <w:rPr>
                <w:rFonts w:ascii="Times New Roman" w:hAnsi="Times New Roman"/>
                <w:sz w:val="16"/>
                <w:szCs w:val="16"/>
              </w:rPr>
              <w:t>13.2</w:t>
            </w:r>
          </w:p>
        </w:tc>
        <w:tc>
          <w:tcPr>
            <w:tcW w:w="992" w:type="dxa"/>
            <w:tcBorders>
              <w:left w:val="single" w:sz="4" w:space="0" w:color="auto"/>
            </w:tcBorders>
            <w:shd w:val="clear" w:color="auto" w:fill="auto"/>
            <w:noWrap/>
            <w:vAlign w:val="center"/>
            <w:hideMark/>
          </w:tcPr>
          <w:p w14:paraId="5E31355D" w14:textId="5777326A" w:rsidR="00B4501D" w:rsidRPr="0056599D" w:rsidRDefault="00B4501D" w:rsidP="0056599D">
            <w:pPr>
              <w:pStyle w:val="NoSpacing"/>
              <w:jc w:val="right"/>
              <w:rPr>
                <w:rFonts w:ascii="Times New Roman" w:hAnsi="Times New Roman"/>
                <w:sz w:val="16"/>
                <w:szCs w:val="16"/>
              </w:rPr>
            </w:pPr>
            <w:r w:rsidRPr="0056599D">
              <w:rPr>
                <w:rFonts w:ascii="Times New Roman" w:hAnsi="Times New Roman"/>
                <w:sz w:val="16"/>
                <w:szCs w:val="16"/>
              </w:rPr>
              <w:t>14,679</w:t>
            </w:r>
          </w:p>
        </w:tc>
        <w:tc>
          <w:tcPr>
            <w:tcW w:w="709" w:type="dxa"/>
            <w:shd w:val="clear" w:color="auto" w:fill="auto"/>
            <w:noWrap/>
            <w:vAlign w:val="center"/>
            <w:hideMark/>
          </w:tcPr>
          <w:p w14:paraId="20D91BB6" w14:textId="361A71AA" w:rsidR="00B4501D" w:rsidRPr="0056599D" w:rsidRDefault="00B4501D" w:rsidP="0056599D">
            <w:pPr>
              <w:pStyle w:val="NoSpacing"/>
              <w:jc w:val="right"/>
              <w:rPr>
                <w:rFonts w:ascii="Times New Roman" w:hAnsi="Times New Roman"/>
                <w:sz w:val="16"/>
                <w:szCs w:val="16"/>
              </w:rPr>
            </w:pPr>
            <w:r w:rsidRPr="0056599D">
              <w:rPr>
                <w:rFonts w:ascii="Times New Roman" w:hAnsi="Times New Roman"/>
                <w:sz w:val="16"/>
                <w:szCs w:val="16"/>
              </w:rPr>
              <w:t>22.0</w:t>
            </w:r>
          </w:p>
        </w:tc>
      </w:tr>
      <w:tr w:rsidR="007138F1" w:rsidRPr="0056599D" w14:paraId="2932600E" w14:textId="77777777" w:rsidTr="007138F1">
        <w:trPr>
          <w:trHeight w:val="255"/>
        </w:trPr>
        <w:tc>
          <w:tcPr>
            <w:tcW w:w="1668" w:type="dxa"/>
            <w:vMerge/>
            <w:shd w:val="clear" w:color="auto" w:fill="auto"/>
            <w:noWrap/>
            <w:vAlign w:val="center"/>
            <w:hideMark/>
          </w:tcPr>
          <w:p w14:paraId="212C5392" w14:textId="77777777" w:rsidR="00B4501D" w:rsidRPr="007F55EB" w:rsidRDefault="00B4501D" w:rsidP="0056599D">
            <w:pPr>
              <w:pStyle w:val="NoSpacing"/>
              <w:rPr>
                <w:rFonts w:ascii="Times New Roman" w:hAnsi="Times New Roman"/>
                <w:sz w:val="16"/>
                <w:szCs w:val="16"/>
              </w:rPr>
            </w:pPr>
          </w:p>
        </w:tc>
        <w:tc>
          <w:tcPr>
            <w:tcW w:w="1276" w:type="dxa"/>
            <w:tcBorders>
              <w:right w:val="single" w:sz="4" w:space="0" w:color="auto"/>
            </w:tcBorders>
            <w:shd w:val="clear" w:color="auto" w:fill="auto"/>
            <w:noWrap/>
            <w:vAlign w:val="center"/>
            <w:hideMark/>
          </w:tcPr>
          <w:p w14:paraId="3C8EDEF5" w14:textId="77777777" w:rsidR="00B4501D" w:rsidRPr="0056599D" w:rsidRDefault="00B4501D" w:rsidP="0056599D">
            <w:pPr>
              <w:pStyle w:val="NoSpacing"/>
              <w:jc w:val="right"/>
              <w:rPr>
                <w:rFonts w:ascii="Times New Roman" w:hAnsi="Times New Roman"/>
                <w:sz w:val="16"/>
                <w:szCs w:val="16"/>
              </w:rPr>
            </w:pPr>
            <w:r w:rsidRPr="0056599D">
              <w:rPr>
                <w:rFonts w:ascii="Times New Roman" w:hAnsi="Times New Roman"/>
                <w:sz w:val="16"/>
                <w:szCs w:val="16"/>
              </w:rPr>
              <w:t>Long Rainy</w:t>
            </w:r>
          </w:p>
        </w:tc>
        <w:tc>
          <w:tcPr>
            <w:tcW w:w="1116" w:type="dxa"/>
            <w:tcBorders>
              <w:left w:val="single" w:sz="4" w:space="0" w:color="auto"/>
              <w:right w:val="single" w:sz="4" w:space="0" w:color="auto"/>
            </w:tcBorders>
            <w:shd w:val="clear" w:color="auto" w:fill="auto"/>
            <w:noWrap/>
            <w:vAlign w:val="center"/>
            <w:hideMark/>
          </w:tcPr>
          <w:p w14:paraId="500C2B74" w14:textId="77777777" w:rsidR="00B4501D" w:rsidRPr="0056599D" w:rsidRDefault="00B4501D" w:rsidP="0056599D">
            <w:pPr>
              <w:pStyle w:val="NoSpacing"/>
              <w:jc w:val="right"/>
              <w:rPr>
                <w:rFonts w:ascii="Times New Roman" w:hAnsi="Times New Roman"/>
                <w:sz w:val="16"/>
                <w:szCs w:val="16"/>
              </w:rPr>
            </w:pPr>
            <w:r w:rsidRPr="0056599D">
              <w:rPr>
                <w:rFonts w:ascii="Times New Roman" w:hAnsi="Times New Roman"/>
                <w:sz w:val="16"/>
                <w:szCs w:val="16"/>
              </w:rPr>
              <w:t>59,356</w:t>
            </w:r>
          </w:p>
        </w:tc>
        <w:tc>
          <w:tcPr>
            <w:tcW w:w="1016" w:type="dxa"/>
            <w:tcBorders>
              <w:left w:val="single" w:sz="4" w:space="0" w:color="auto"/>
            </w:tcBorders>
            <w:shd w:val="clear" w:color="auto" w:fill="auto"/>
            <w:noWrap/>
            <w:vAlign w:val="center"/>
            <w:hideMark/>
          </w:tcPr>
          <w:p w14:paraId="7DEBE1CB" w14:textId="77777777" w:rsidR="00B4501D" w:rsidRPr="0056599D" w:rsidRDefault="00B4501D" w:rsidP="0056599D">
            <w:pPr>
              <w:pStyle w:val="NoSpacing"/>
              <w:jc w:val="right"/>
              <w:rPr>
                <w:rFonts w:ascii="Times New Roman" w:hAnsi="Times New Roman"/>
                <w:sz w:val="16"/>
                <w:szCs w:val="16"/>
              </w:rPr>
            </w:pPr>
            <w:r w:rsidRPr="0056599D">
              <w:rPr>
                <w:rFonts w:ascii="Times New Roman" w:hAnsi="Times New Roman"/>
                <w:sz w:val="16"/>
                <w:szCs w:val="16"/>
              </w:rPr>
              <w:t>11,511</w:t>
            </w:r>
          </w:p>
        </w:tc>
        <w:tc>
          <w:tcPr>
            <w:tcW w:w="702" w:type="dxa"/>
            <w:tcBorders>
              <w:right w:val="single" w:sz="4" w:space="0" w:color="auto"/>
            </w:tcBorders>
            <w:shd w:val="clear" w:color="auto" w:fill="auto"/>
            <w:noWrap/>
            <w:vAlign w:val="center"/>
            <w:hideMark/>
          </w:tcPr>
          <w:p w14:paraId="5D423516" w14:textId="77777777" w:rsidR="00B4501D" w:rsidRPr="0056599D" w:rsidRDefault="00B4501D" w:rsidP="0056599D">
            <w:pPr>
              <w:pStyle w:val="NoSpacing"/>
              <w:jc w:val="right"/>
              <w:rPr>
                <w:rFonts w:ascii="Times New Roman" w:hAnsi="Times New Roman"/>
                <w:sz w:val="16"/>
                <w:szCs w:val="16"/>
              </w:rPr>
            </w:pPr>
            <w:r w:rsidRPr="0056599D">
              <w:rPr>
                <w:rFonts w:ascii="Times New Roman" w:hAnsi="Times New Roman"/>
                <w:sz w:val="16"/>
                <w:szCs w:val="16"/>
              </w:rPr>
              <w:t>19.4</w:t>
            </w:r>
          </w:p>
        </w:tc>
        <w:tc>
          <w:tcPr>
            <w:tcW w:w="976" w:type="dxa"/>
            <w:tcBorders>
              <w:left w:val="single" w:sz="4" w:space="0" w:color="auto"/>
            </w:tcBorders>
            <w:shd w:val="clear" w:color="auto" w:fill="auto"/>
            <w:noWrap/>
            <w:vAlign w:val="center"/>
            <w:hideMark/>
          </w:tcPr>
          <w:p w14:paraId="4FFB6F13" w14:textId="77777777" w:rsidR="00B4501D" w:rsidRPr="0056599D" w:rsidRDefault="00B4501D" w:rsidP="0056599D">
            <w:pPr>
              <w:pStyle w:val="NoSpacing"/>
              <w:jc w:val="right"/>
              <w:rPr>
                <w:rFonts w:ascii="Times New Roman" w:hAnsi="Times New Roman"/>
                <w:sz w:val="16"/>
                <w:szCs w:val="16"/>
              </w:rPr>
            </w:pPr>
            <w:r w:rsidRPr="0056599D">
              <w:rPr>
                <w:rFonts w:ascii="Times New Roman" w:hAnsi="Times New Roman"/>
                <w:sz w:val="16"/>
                <w:szCs w:val="16"/>
              </w:rPr>
              <w:t>5,422</w:t>
            </w:r>
          </w:p>
        </w:tc>
        <w:tc>
          <w:tcPr>
            <w:tcW w:w="725" w:type="dxa"/>
            <w:tcBorders>
              <w:right w:val="single" w:sz="4" w:space="0" w:color="auto"/>
            </w:tcBorders>
            <w:shd w:val="clear" w:color="auto" w:fill="auto"/>
            <w:noWrap/>
            <w:vAlign w:val="center"/>
            <w:hideMark/>
          </w:tcPr>
          <w:p w14:paraId="7BE0FCD2" w14:textId="77777777" w:rsidR="00B4501D" w:rsidRPr="0056599D" w:rsidRDefault="00B4501D" w:rsidP="0056599D">
            <w:pPr>
              <w:pStyle w:val="NoSpacing"/>
              <w:jc w:val="right"/>
              <w:rPr>
                <w:rFonts w:ascii="Times New Roman" w:hAnsi="Times New Roman"/>
                <w:sz w:val="16"/>
                <w:szCs w:val="16"/>
              </w:rPr>
            </w:pPr>
            <w:r w:rsidRPr="0056599D">
              <w:rPr>
                <w:rFonts w:ascii="Times New Roman" w:hAnsi="Times New Roman"/>
                <w:sz w:val="16"/>
                <w:szCs w:val="16"/>
              </w:rPr>
              <w:t>9.1</w:t>
            </w:r>
          </w:p>
        </w:tc>
        <w:tc>
          <w:tcPr>
            <w:tcW w:w="992" w:type="dxa"/>
            <w:tcBorders>
              <w:left w:val="single" w:sz="4" w:space="0" w:color="auto"/>
            </w:tcBorders>
            <w:shd w:val="clear" w:color="auto" w:fill="auto"/>
            <w:noWrap/>
            <w:vAlign w:val="center"/>
            <w:hideMark/>
          </w:tcPr>
          <w:p w14:paraId="01500B17" w14:textId="77777777" w:rsidR="00B4501D" w:rsidRPr="0056599D" w:rsidRDefault="00B4501D" w:rsidP="0056599D">
            <w:pPr>
              <w:pStyle w:val="NoSpacing"/>
              <w:jc w:val="right"/>
              <w:rPr>
                <w:rFonts w:ascii="Times New Roman" w:hAnsi="Times New Roman"/>
                <w:sz w:val="16"/>
                <w:szCs w:val="16"/>
              </w:rPr>
            </w:pPr>
            <w:r w:rsidRPr="0056599D">
              <w:rPr>
                <w:rFonts w:ascii="Times New Roman" w:hAnsi="Times New Roman"/>
                <w:sz w:val="16"/>
                <w:szCs w:val="16"/>
              </w:rPr>
              <w:t>16,933</w:t>
            </w:r>
          </w:p>
        </w:tc>
        <w:tc>
          <w:tcPr>
            <w:tcW w:w="709" w:type="dxa"/>
            <w:shd w:val="clear" w:color="auto" w:fill="auto"/>
            <w:noWrap/>
            <w:vAlign w:val="center"/>
            <w:hideMark/>
          </w:tcPr>
          <w:p w14:paraId="76C61C23" w14:textId="77777777" w:rsidR="00B4501D" w:rsidRPr="0056599D" w:rsidRDefault="00B4501D" w:rsidP="0056599D">
            <w:pPr>
              <w:pStyle w:val="NoSpacing"/>
              <w:jc w:val="right"/>
              <w:rPr>
                <w:rFonts w:ascii="Times New Roman" w:hAnsi="Times New Roman"/>
                <w:sz w:val="16"/>
                <w:szCs w:val="16"/>
              </w:rPr>
            </w:pPr>
            <w:r w:rsidRPr="0056599D">
              <w:rPr>
                <w:rFonts w:ascii="Times New Roman" w:hAnsi="Times New Roman"/>
                <w:sz w:val="16"/>
                <w:szCs w:val="16"/>
              </w:rPr>
              <w:t>28.5</w:t>
            </w:r>
          </w:p>
        </w:tc>
      </w:tr>
      <w:tr w:rsidR="007138F1" w:rsidRPr="0056599D" w14:paraId="7479CD8B" w14:textId="77777777" w:rsidTr="007138F1">
        <w:trPr>
          <w:trHeight w:val="255"/>
        </w:trPr>
        <w:tc>
          <w:tcPr>
            <w:tcW w:w="1668" w:type="dxa"/>
            <w:vMerge/>
            <w:shd w:val="clear" w:color="auto" w:fill="auto"/>
            <w:noWrap/>
            <w:vAlign w:val="center"/>
            <w:hideMark/>
          </w:tcPr>
          <w:p w14:paraId="0C9BC956" w14:textId="77777777" w:rsidR="00B4501D" w:rsidRPr="007F55EB" w:rsidRDefault="00B4501D" w:rsidP="0056599D">
            <w:pPr>
              <w:pStyle w:val="NoSpacing"/>
              <w:rPr>
                <w:rFonts w:ascii="Times New Roman" w:hAnsi="Times New Roman"/>
                <w:sz w:val="16"/>
                <w:szCs w:val="16"/>
              </w:rPr>
            </w:pPr>
          </w:p>
        </w:tc>
        <w:tc>
          <w:tcPr>
            <w:tcW w:w="1276" w:type="dxa"/>
            <w:tcBorders>
              <w:right w:val="single" w:sz="4" w:space="0" w:color="auto"/>
            </w:tcBorders>
            <w:shd w:val="clear" w:color="auto" w:fill="auto"/>
            <w:noWrap/>
            <w:vAlign w:val="center"/>
            <w:hideMark/>
          </w:tcPr>
          <w:p w14:paraId="4F87B053" w14:textId="77777777" w:rsidR="00B4501D" w:rsidRPr="0056599D" w:rsidRDefault="00B4501D" w:rsidP="0056599D">
            <w:pPr>
              <w:pStyle w:val="NoSpacing"/>
              <w:jc w:val="right"/>
              <w:rPr>
                <w:rFonts w:ascii="Times New Roman" w:hAnsi="Times New Roman"/>
                <w:b/>
                <w:sz w:val="16"/>
                <w:szCs w:val="16"/>
              </w:rPr>
            </w:pPr>
            <w:r w:rsidRPr="0056599D">
              <w:rPr>
                <w:rFonts w:ascii="Times New Roman" w:hAnsi="Times New Roman"/>
                <w:b/>
                <w:sz w:val="16"/>
                <w:szCs w:val="16"/>
              </w:rPr>
              <w:t>Sub-Total</w:t>
            </w:r>
          </w:p>
        </w:tc>
        <w:tc>
          <w:tcPr>
            <w:tcW w:w="1116" w:type="dxa"/>
            <w:tcBorders>
              <w:left w:val="single" w:sz="4" w:space="0" w:color="auto"/>
              <w:right w:val="single" w:sz="4" w:space="0" w:color="auto"/>
            </w:tcBorders>
            <w:shd w:val="clear" w:color="auto" w:fill="auto"/>
            <w:noWrap/>
            <w:vAlign w:val="center"/>
            <w:hideMark/>
          </w:tcPr>
          <w:p w14:paraId="23842FF4" w14:textId="77777777" w:rsidR="00B4501D" w:rsidRPr="0056599D" w:rsidRDefault="00B4501D" w:rsidP="0056599D">
            <w:pPr>
              <w:pStyle w:val="NoSpacing"/>
              <w:jc w:val="right"/>
              <w:rPr>
                <w:rFonts w:ascii="Times New Roman" w:hAnsi="Times New Roman"/>
                <w:b/>
                <w:sz w:val="16"/>
                <w:szCs w:val="16"/>
              </w:rPr>
            </w:pPr>
            <w:r w:rsidRPr="0056599D">
              <w:rPr>
                <w:rFonts w:ascii="Times New Roman" w:hAnsi="Times New Roman"/>
                <w:b/>
                <w:sz w:val="16"/>
                <w:szCs w:val="16"/>
              </w:rPr>
              <w:t>126,014</w:t>
            </w:r>
          </w:p>
        </w:tc>
        <w:tc>
          <w:tcPr>
            <w:tcW w:w="1016" w:type="dxa"/>
            <w:tcBorders>
              <w:left w:val="single" w:sz="4" w:space="0" w:color="auto"/>
            </w:tcBorders>
            <w:shd w:val="clear" w:color="auto" w:fill="auto"/>
            <w:noWrap/>
            <w:vAlign w:val="center"/>
            <w:hideMark/>
          </w:tcPr>
          <w:p w14:paraId="21306847" w14:textId="77777777" w:rsidR="00B4501D" w:rsidRPr="0056599D" w:rsidRDefault="00B4501D" w:rsidP="0056599D">
            <w:pPr>
              <w:pStyle w:val="NoSpacing"/>
              <w:jc w:val="right"/>
              <w:rPr>
                <w:rFonts w:ascii="Times New Roman" w:hAnsi="Times New Roman"/>
                <w:b/>
                <w:sz w:val="16"/>
                <w:szCs w:val="16"/>
              </w:rPr>
            </w:pPr>
            <w:r w:rsidRPr="0056599D">
              <w:rPr>
                <w:rFonts w:ascii="Times New Roman" w:hAnsi="Times New Roman"/>
                <w:b/>
                <w:sz w:val="16"/>
                <w:szCs w:val="16"/>
              </w:rPr>
              <w:t>17,424</w:t>
            </w:r>
          </w:p>
        </w:tc>
        <w:tc>
          <w:tcPr>
            <w:tcW w:w="702" w:type="dxa"/>
            <w:tcBorders>
              <w:right w:val="single" w:sz="4" w:space="0" w:color="auto"/>
            </w:tcBorders>
            <w:shd w:val="clear" w:color="auto" w:fill="auto"/>
            <w:noWrap/>
            <w:vAlign w:val="center"/>
            <w:hideMark/>
          </w:tcPr>
          <w:p w14:paraId="591D2DF4" w14:textId="77777777" w:rsidR="00B4501D" w:rsidRPr="0056599D" w:rsidRDefault="00B4501D" w:rsidP="0056599D">
            <w:pPr>
              <w:pStyle w:val="NoSpacing"/>
              <w:jc w:val="right"/>
              <w:rPr>
                <w:rFonts w:ascii="Times New Roman" w:hAnsi="Times New Roman"/>
                <w:b/>
                <w:sz w:val="16"/>
                <w:szCs w:val="16"/>
              </w:rPr>
            </w:pPr>
            <w:r w:rsidRPr="0056599D">
              <w:rPr>
                <w:rFonts w:ascii="Times New Roman" w:hAnsi="Times New Roman"/>
                <w:b/>
                <w:sz w:val="16"/>
                <w:szCs w:val="16"/>
              </w:rPr>
              <w:t>13.8</w:t>
            </w:r>
          </w:p>
        </w:tc>
        <w:tc>
          <w:tcPr>
            <w:tcW w:w="976" w:type="dxa"/>
            <w:tcBorders>
              <w:left w:val="single" w:sz="4" w:space="0" w:color="auto"/>
            </w:tcBorders>
            <w:shd w:val="clear" w:color="auto" w:fill="auto"/>
            <w:noWrap/>
            <w:vAlign w:val="center"/>
            <w:hideMark/>
          </w:tcPr>
          <w:p w14:paraId="4F78D264" w14:textId="77777777" w:rsidR="00B4501D" w:rsidRPr="0056599D" w:rsidRDefault="00B4501D" w:rsidP="0056599D">
            <w:pPr>
              <w:pStyle w:val="NoSpacing"/>
              <w:jc w:val="right"/>
              <w:rPr>
                <w:rFonts w:ascii="Times New Roman" w:hAnsi="Times New Roman"/>
                <w:b/>
                <w:sz w:val="16"/>
                <w:szCs w:val="16"/>
              </w:rPr>
            </w:pPr>
            <w:r w:rsidRPr="0056599D">
              <w:rPr>
                <w:rFonts w:ascii="Times New Roman" w:hAnsi="Times New Roman"/>
                <w:b/>
                <w:sz w:val="16"/>
                <w:szCs w:val="16"/>
              </w:rPr>
              <w:t>14,188</w:t>
            </w:r>
          </w:p>
        </w:tc>
        <w:tc>
          <w:tcPr>
            <w:tcW w:w="725" w:type="dxa"/>
            <w:tcBorders>
              <w:right w:val="single" w:sz="4" w:space="0" w:color="auto"/>
            </w:tcBorders>
            <w:shd w:val="clear" w:color="auto" w:fill="auto"/>
            <w:noWrap/>
            <w:vAlign w:val="center"/>
            <w:hideMark/>
          </w:tcPr>
          <w:p w14:paraId="692C1D9E" w14:textId="77777777" w:rsidR="00B4501D" w:rsidRPr="0056599D" w:rsidRDefault="00B4501D" w:rsidP="0056599D">
            <w:pPr>
              <w:pStyle w:val="NoSpacing"/>
              <w:jc w:val="right"/>
              <w:rPr>
                <w:rFonts w:ascii="Times New Roman" w:hAnsi="Times New Roman"/>
                <w:b/>
                <w:sz w:val="16"/>
                <w:szCs w:val="16"/>
              </w:rPr>
            </w:pPr>
            <w:r w:rsidRPr="0056599D">
              <w:rPr>
                <w:rFonts w:ascii="Times New Roman" w:hAnsi="Times New Roman"/>
                <w:b/>
                <w:sz w:val="16"/>
                <w:szCs w:val="16"/>
              </w:rPr>
              <w:t>11.3</w:t>
            </w:r>
          </w:p>
        </w:tc>
        <w:tc>
          <w:tcPr>
            <w:tcW w:w="992" w:type="dxa"/>
            <w:tcBorders>
              <w:left w:val="single" w:sz="4" w:space="0" w:color="auto"/>
            </w:tcBorders>
            <w:shd w:val="clear" w:color="auto" w:fill="auto"/>
            <w:noWrap/>
            <w:vAlign w:val="center"/>
            <w:hideMark/>
          </w:tcPr>
          <w:p w14:paraId="5C7927B0" w14:textId="77777777" w:rsidR="00B4501D" w:rsidRPr="0056599D" w:rsidRDefault="00B4501D" w:rsidP="0056599D">
            <w:pPr>
              <w:pStyle w:val="NoSpacing"/>
              <w:jc w:val="right"/>
              <w:rPr>
                <w:rFonts w:ascii="Times New Roman" w:hAnsi="Times New Roman"/>
                <w:b/>
                <w:sz w:val="16"/>
                <w:szCs w:val="16"/>
              </w:rPr>
            </w:pPr>
            <w:r w:rsidRPr="0056599D">
              <w:rPr>
                <w:rFonts w:ascii="Times New Roman" w:hAnsi="Times New Roman"/>
                <w:b/>
                <w:sz w:val="16"/>
                <w:szCs w:val="16"/>
              </w:rPr>
              <w:t>31,612</w:t>
            </w:r>
          </w:p>
        </w:tc>
        <w:tc>
          <w:tcPr>
            <w:tcW w:w="709" w:type="dxa"/>
            <w:shd w:val="clear" w:color="auto" w:fill="auto"/>
            <w:noWrap/>
            <w:vAlign w:val="center"/>
            <w:hideMark/>
          </w:tcPr>
          <w:p w14:paraId="2EF47D5B" w14:textId="77777777" w:rsidR="00B4501D" w:rsidRPr="0056599D" w:rsidRDefault="00B4501D" w:rsidP="0056599D">
            <w:pPr>
              <w:pStyle w:val="NoSpacing"/>
              <w:jc w:val="right"/>
              <w:rPr>
                <w:rFonts w:ascii="Times New Roman" w:hAnsi="Times New Roman"/>
                <w:b/>
                <w:sz w:val="16"/>
                <w:szCs w:val="16"/>
              </w:rPr>
            </w:pPr>
            <w:r w:rsidRPr="0056599D">
              <w:rPr>
                <w:rFonts w:ascii="Times New Roman" w:hAnsi="Times New Roman"/>
                <w:b/>
                <w:sz w:val="16"/>
                <w:szCs w:val="16"/>
              </w:rPr>
              <w:t>25.1</w:t>
            </w:r>
          </w:p>
        </w:tc>
      </w:tr>
      <w:tr w:rsidR="007138F1" w:rsidRPr="0056599D" w14:paraId="61A87BE5" w14:textId="77777777" w:rsidTr="007138F1">
        <w:trPr>
          <w:trHeight w:val="255"/>
        </w:trPr>
        <w:tc>
          <w:tcPr>
            <w:tcW w:w="1668" w:type="dxa"/>
            <w:shd w:val="clear" w:color="auto" w:fill="auto"/>
            <w:noWrap/>
            <w:vAlign w:val="center"/>
            <w:hideMark/>
          </w:tcPr>
          <w:p w14:paraId="7FCF4441" w14:textId="77777777" w:rsidR="0070447D" w:rsidRPr="007F55EB" w:rsidRDefault="0070447D" w:rsidP="0056599D">
            <w:pPr>
              <w:pStyle w:val="NoSpacing"/>
              <w:rPr>
                <w:rFonts w:ascii="Times New Roman" w:hAnsi="Times New Roman"/>
                <w:sz w:val="16"/>
                <w:szCs w:val="16"/>
              </w:rPr>
            </w:pPr>
          </w:p>
        </w:tc>
        <w:tc>
          <w:tcPr>
            <w:tcW w:w="1276" w:type="dxa"/>
            <w:tcBorders>
              <w:right w:val="single" w:sz="4" w:space="0" w:color="auto"/>
            </w:tcBorders>
            <w:shd w:val="clear" w:color="auto" w:fill="auto"/>
            <w:noWrap/>
            <w:vAlign w:val="center"/>
            <w:hideMark/>
          </w:tcPr>
          <w:p w14:paraId="4D7A6E12" w14:textId="77777777" w:rsidR="0070447D" w:rsidRPr="0056599D" w:rsidRDefault="0070447D" w:rsidP="0056599D">
            <w:pPr>
              <w:pStyle w:val="NoSpacing"/>
              <w:jc w:val="right"/>
              <w:rPr>
                <w:rFonts w:ascii="Times New Roman" w:hAnsi="Times New Roman"/>
                <w:sz w:val="16"/>
                <w:szCs w:val="16"/>
              </w:rPr>
            </w:pPr>
          </w:p>
        </w:tc>
        <w:tc>
          <w:tcPr>
            <w:tcW w:w="1116" w:type="dxa"/>
            <w:tcBorders>
              <w:left w:val="single" w:sz="4" w:space="0" w:color="auto"/>
              <w:right w:val="single" w:sz="4" w:space="0" w:color="auto"/>
            </w:tcBorders>
            <w:shd w:val="clear" w:color="auto" w:fill="auto"/>
            <w:noWrap/>
            <w:vAlign w:val="center"/>
            <w:hideMark/>
          </w:tcPr>
          <w:p w14:paraId="6CDD7723" w14:textId="77777777" w:rsidR="0070447D" w:rsidRPr="0056599D" w:rsidRDefault="0070447D" w:rsidP="0056599D">
            <w:pPr>
              <w:pStyle w:val="NoSpacing"/>
              <w:jc w:val="right"/>
              <w:rPr>
                <w:rFonts w:ascii="Times New Roman" w:hAnsi="Times New Roman"/>
                <w:sz w:val="16"/>
                <w:szCs w:val="16"/>
              </w:rPr>
            </w:pPr>
          </w:p>
        </w:tc>
        <w:tc>
          <w:tcPr>
            <w:tcW w:w="1016" w:type="dxa"/>
            <w:tcBorders>
              <w:left w:val="single" w:sz="4" w:space="0" w:color="auto"/>
            </w:tcBorders>
            <w:shd w:val="clear" w:color="auto" w:fill="auto"/>
            <w:noWrap/>
            <w:vAlign w:val="center"/>
            <w:hideMark/>
          </w:tcPr>
          <w:p w14:paraId="07306850" w14:textId="77777777" w:rsidR="0070447D" w:rsidRPr="0056599D" w:rsidRDefault="0070447D" w:rsidP="0056599D">
            <w:pPr>
              <w:pStyle w:val="NoSpacing"/>
              <w:jc w:val="right"/>
              <w:rPr>
                <w:rFonts w:ascii="Times New Roman" w:hAnsi="Times New Roman"/>
                <w:sz w:val="16"/>
                <w:szCs w:val="16"/>
              </w:rPr>
            </w:pPr>
          </w:p>
        </w:tc>
        <w:tc>
          <w:tcPr>
            <w:tcW w:w="702" w:type="dxa"/>
            <w:tcBorders>
              <w:right w:val="single" w:sz="4" w:space="0" w:color="auto"/>
            </w:tcBorders>
            <w:shd w:val="clear" w:color="auto" w:fill="auto"/>
            <w:noWrap/>
            <w:vAlign w:val="center"/>
            <w:hideMark/>
          </w:tcPr>
          <w:p w14:paraId="671E7C6F" w14:textId="77777777" w:rsidR="0070447D" w:rsidRPr="0056599D" w:rsidRDefault="0070447D" w:rsidP="0056599D">
            <w:pPr>
              <w:pStyle w:val="NoSpacing"/>
              <w:jc w:val="right"/>
              <w:rPr>
                <w:rFonts w:ascii="Times New Roman" w:hAnsi="Times New Roman"/>
                <w:sz w:val="16"/>
                <w:szCs w:val="16"/>
              </w:rPr>
            </w:pPr>
          </w:p>
        </w:tc>
        <w:tc>
          <w:tcPr>
            <w:tcW w:w="976" w:type="dxa"/>
            <w:tcBorders>
              <w:left w:val="single" w:sz="4" w:space="0" w:color="auto"/>
            </w:tcBorders>
            <w:shd w:val="clear" w:color="auto" w:fill="auto"/>
            <w:noWrap/>
            <w:vAlign w:val="center"/>
            <w:hideMark/>
          </w:tcPr>
          <w:p w14:paraId="17989115" w14:textId="77777777" w:rsidR="0070447D" w:rsidRPr="0056599D" w:rsidRDefault="0070447D" w:rsidP="0056599D">
            <w:pPr>
              <w:pStyle w:val="NoSpacing"/>
              <w:jc w:val="right"/>
              <w:rPr>
                <w:rFonts w:ascii="Times New Roman" w:hAnsi="Times New Roman"/>
                <w:sz w:val="16"/>
                <w:szCs w:val="16"/>
              </w:rPr>
            </w:pPr>
          </w:p>
        </w:tc>
        <w:tc>
          <w:tcPr>
            <w:tcW w:w="725" w:type="dxa"/>
            <w:tcBorders>
              <w:right w:val="single" w:sz="4" w:space="0" w:color="auto"/>
            </w:tcBorders>
            <w:shd w:val="clear" w:color="auto" w:fill="auto"/>
            <w:noWrap/>
            <w:vAlign w:val="center"/>
            <w:hideMark/>
          </w:tcPr>
          <w:p w14:paraId="5302958A" w14:textId="77777777" w:rsidR="0070447D" w:rsidRPr="0056599D" w:rsidRDefault="0070447D" w:rsidP="0056599D">
            <w:pPr>
              <w:pStyle w:val="NoSpacing"/>
              <w:jc w:val="right"/>
              <w:rPr>
                <w:rFonts w:ascii="Times New Roman" w:hAnsi="Times New Roman"/>
                <w:sz w:val="16"/>
                <w:szCs w:val="16"/>
              </w:rPr>
            </w:pPr>
          </w:p>
        </w:tc>
        <w:tc>
          <w:tcPr>
            <w:tcW w:w="992" w:type="dxa"/>
            <w:tcBorders>
              <w:left w:val="single" w:sz="4" w:space="0" w:color="auto"/>
            </w:tcBorders>
            <w:shd w:val="clear" w:color="auto" w:fill="auto"/>
            <w:noWrap/>
            <w:vAlign w:val="center"/>
            <w:hideMark/>
          </w:tcPr>
          <w:p w14:paraId="252FB0D7" w14:textId="77777777" w:rsidR="0070447D" w:rsidRPr="0056599D" w:rsidRDefault="0070447D" w:rsidP="0056599D">
            <w:pPr>
              <w:pStyle w:val="NoSpacing"/>
              <w:jc w:val="right"/>
              <w:rPr>
                <w:rFonts w:ascii="Times New Roman" w:hAnsi="Times New Roman"/>
                <w:sz w:val="16"/>
                <w:szCs w:val="16"/>
              </w:rPr>
            </w:pPr>
          </w:p>
        </w:tc>
        <w:tc>
          <w:tcPr>
            <w:tcW w:w="709" w:type="dxa"/>
            <w:shd w:val="clear" w:color="auto" w:fill="auto"/>
            <w:noWrap/>
            <w:vAlign w:val="center"/>
            <w:hideMark/>
          </w:tcPr>
          <w:p w14:paraId="319FFC8D" w14:textId="77777777" w:rsidR="0070447D" w:rsidRPr="0056599D" w:rsidRDefault="0070447D" w:rsidP="0056599D">
            <w:pPr>
              <w:pStyle w:val="NoSpacing"/>
              <w:jc w:val="right"/>
              <w:rPr>
                <w:rFonts w:ascii="Times New Roman" w:hAnsi="Times New Roman"/>
                <w:sz w:val="16"/>
                <w:szCs w:val="16"/>
              </w:rPr>
            </w:pPr>
          </w:p>
        </w:tc>
      </w:tr>
      <w:tr w:rsidR="007138F1" w:rsidRPr="0056599D" w14:paraId="21DA7C60" w14:textId="77777777" w:rsidTr="007138F1">
        <w:trPr>
          <w:trHeight w:val="255"/>
        </w:trPr>
        <w:tc>
          <w:tcPr>
            <w:tcW w:w="1668" w:type="dxa"/>
            <w:vMerge w:val="restart"/>
            <w:shd w:val="clear" w:color="auto" w:fill="auto"/>
            <w:noWrap/>
            <w:vAlign w:val="center"/>
            <w:hideMark/>
          </w:tcPr>
          <w:p w14:paraId="17A5F5C2" w14:textId="77777777" w:rsidR="00B4501D" w:rsidRPr="007F55EB" w:rsidRDefault="00B4501D" w:rsidP="0056599D">
            <w:pPr>
              <w:pStyle w:val="NoSpacing"/>
              <w:rPr>
                <w:rFonts w:ascii="Times New Roman" w:hAnsi="Times New Roman"/>
                <w:sz w:val="16"/>
                <w:szCs w:val="16"/>
              </w:rPr>
            </w:pPr>
            <w:r w:rsidRPr="007F55EB">
              <w:rPr>
                <w:rFonts w:ascii="Times New Roman" w:hAnsi="Times New Roman"/>
                <w:sz w:val="16"/>
                <w:szCs w:val="16"/>
              </w:rPr>
              <w:t>Tanzania</w:t>
            </w:r>
          </w:p>
        </w:tc>
        <w:tc>
          <w:tcPr>
            <w:tcW w:w="1276" w:type="dxa"/>
            <w:tcBorders>
              <w:right w:val="single" w:sz="4" w:space="0" w:color="auto"/>
            </w:tcBorders>
            <w:shd w:val="clear" w:color="auto" w:fill="auto"/>
            <w:noWrap/>
            <w:vAlign w:val="center"/>
            <w:hideMark/>
          </w:tcPr>
          <w:p w14:paraId="54D1C6BA" w14:textId="77777777" w:rsidR="00B4501D" w:rsidRPr="0056599D" w:rsidRDefault="00B4501D" w:rsidP="0056599D">
            <w:pPr>
              <w:pStyle w:val="NoSpacing"/>
              <w:jc w:val="right"/>
              <w:rPr>
                <w:rFonts w:ascii="Times New Roman" w:hAnsi="Times New Roman"/>
                <w:sz w:val="16"/>
                <w:szCs w:val="16"/>
              </w:rPr>
            </w:pPr>
            <w:r w:rsidRPr="0056599D">
              <w:rPr>
                <w:rFonts w:ascii="Times New Roman" w:hAnsi="Times New Roman"/>
                <w:sz w:val="16"/>
                <w:szCs w:val="16"/>
              </w:rPr>
              <w:t>Short Rainy</w:t>
            </w:r>
          </w:p>
        </w:tc>
        <w:tc>
          <w:tcPr>
            <w:tcW w:w="1116" w:type="dxa"/>
            <w:tcBorders>
              <w:left w:val="single" w:sz="4" w:space="0" w:color="auto"/>
              <w:right w:val="single" w:sz="4" w:space="0" w:color="auto"/>
            </w:tcBorders>
            <w:shd w:val="clear" w:color="auto" w:fill="auto"/>
            <w:noWrap/>
            <w:vAlign w:val="center"/>
            <w:hideMark/>
          </w:tcPr>
          <w:p w14:paraId="0EC1B0B4" w14:textId="77777777" w:rsidR="00B4501D" w:rsidRPr="0056599D" w:rsidRDefault="00B4501D" w:rsidP="0056599D">
            <w:pPr>
              <w:pStyle w:val="NoSpacing"/>
              <w:jc w:val="right"/>
              <w:rPr>
                <w:rFonts w:ascii="Times New Roman" w:hAnsi="Times New Roman"/>
                <w:sz w:val="16"/>
                <w:szCs w:val="16"/>
              </w:rPr>
            </w:pPr>
            <w:r w:rsidRPr="0056599D">
              <w:rPr>
                <w:rFonts w:ascii="Times New Roman" w:hAnsi="Times New Roman"/>
                <w:sz w:val="16"/>
                <w:szCs w:val="16"/>
              </w:rPr>
              <w:t>3,335,720</w:t>
            </w:r>
          </w:p>
        </w:tc>
        <w:tc>
          <w:tcPr>
            <w:tcW w:w="1016" w:type="dxa"/>
            <w:tcBorders>
              <w:left w:val="single" w:sz="4" w:space="0" w:color="auto"/>
            </w:tcBorders>
            <w:shd w:val="clear" w:color="auto" w:fill="auto"/>
            <w:noWrap/>
            <w:vAlign w:val="center"/>
            <w:hideMark/>
          </w:tcPr>
          <w:p w14:paraId="37A4A8C8" w14:textId="77777777" w:rsidR="00B4501D" w:rsidRPr="0056599D" w:rsidRDefault="00B4501D" w:rsidP="0056599D">
            <w:pPr>
              <w:pStyle w:val="NoSpacing"/>
              <w:jc w:val="right"/>
              <w:rPr>
                <w:rFonts w:ascii="Times New Roman" w:hAnsi="Times New Roman"/>
                <w:sz w:val="16"/>
                <w:szCs w:val="16"/>
              </w:rPr>
            </w:pPr>
            <w:r w:rsidRPr="0056599D">
              <w:rPr>
                <w:rFonts w:ascii="Times New Roman" w:hAnsi="Times New Roman"/>
                <w:sz w:val="16"/>
                <w:szCs w:val="16"/>
              </w:rPr>
              <w:t>323,326</w:t>
            </w:r>
          </w:p>
        </w:tc>
        <w:tc>
          <w:tcPr>
            <w:tcW w:w="702" w:type="dxa"/>
            <w:tcBorders>
              <w:right w:val="single" w:sz="4" w:space="0" w:color="auto"/>
            </w:tcBorders>
            <w:shd w:val="clear" w:color="auto" w:fill="auto"/>
            <w:noWrap/>
            <w:vAlign w:val="center"/>
            <w:hideMark/>
          </w:tcPr>
          <w:p w14:paraId="42EBCDC2" w14:textId="77777777" w:rsidR="00B4501D" w:rsidRPr="0056599D" w:rsidRDefault="00B4501D" w:rsidP="0056599D">
            <w:pPr>
              <w:pStyle w:val="NoSpacing"/>
              <w:jc w:val="right"/>
              <w:rPr>
                <w:rFonts w:ascii="Times New Roman" w:hAnsi="Times New Roman"/>
                <w:sz w:val="16"/>
                <w:szCs w:val="16"/>
              </w:rPr>
            </w:pPr>
            <w:r w:rsidRPr="0056599D">
              <w:rPr>
                <w:rFonts w:ascii="Times New Roman" w:hAnsi="Times New Roman"/>
                <w:sz w:val="16"/>
                <w:szCs w:val="16"/>
              </w:rPr>
              <w:t>9.7</w:t>
            </w:r>
          </w:p>
        </w:tc>
        <w:tc>
          <w:tcPr>
            <w:tcW w:w="976" w:type="dxa"/>
            <w:tcBorders>
              <w:left w:val="single" w:sz="4" w:space="0" w:color="auto"/>
            </w:tcBorders>
            <w:shd w:val="clear" w:color="auto" w:fill="auto"/>
            <w:noWrap/>
            <w:vAlign w:val="center"/>
            <w:hideMark/>
          </w:tcPr>
          <w:p w14:paraId="6B4161CB" w14:textId="77777777" w:rsidR="00B4501D" w:rsidRPr="0056599D" w:rsidRDefault="00B4501D" w:rsidP="0056599D">
            <w:pPr>
              <w:pStyle w:val="NoSpacing"/>
              <w:jc w:val="right"/>
              <w:rPr>
                <w:rFonts w:ascii="Times New Roman" w:hAnsi="Times New Roman"/>
                <w:sz w:val="16"/>
                <w:szCs w:val="16"/>
              </w:rPr>
            </w:pPr>
            <w:r w:rsidRPr="0056599D">
              <w:rPr>
                <w:rFonts w:ascii="Times New Roman" w:hAnsi="Times New Roman"/>
                <w:sz w:val="16"/>
                <w:szCs w:val="16"/>
              </w:rPr>
              <w:t>358,615</w:t>
            </w:r>
          </w:p>
        </w:tc>
        <w:tc>
          <w:tcPr>
            <w:tcW w:w="725" w:type="dxa"/>
            <w:tcBorders>
              <w:right w:val="single" w:sz="4" w:space="0" w:color="auto"/>
            </w:tcBorders>
            <w:shd w:val="clear" w:color="auto" w:fill="auto"/>
            <w:noWrap/>
            <w:vAlign w:val="center"/>
            <w:hideMark/>
          </w:tcPr>
          <w:p w14:paraId="46518C2D" w14:textId="77777777" w:rsidR="00B4501D" w:rsidRPr="0056599D" w:rsidRDefault="00B4501D" w:rsidP="0056599D">
            <w:pPr>
              <w:pStyle w:val="NoSpacing"/>
              <w:jc w:val="right"/>
              <w:rPr>
                <w:rFonts w:ascii="Times New Roman" w:hAnsi="Times New Roman"/>
                <w:sz w:val="16"/>
                <w:szCs w:val="16"/>
              </w:rPr>
            </w:pPr>
            <w:r w:rsidRPr="0056599D">
              <w:rPr>
                <w:rFonts w:ascii="Times New Roman" w:hAnsi="Times New Roman"/>
                <w:sz w:val="16"/>
                <w:szCs w:val="16"/>
              </w:rPr>
              <w:t>10.8</w:t>
            </w:r>
          </w:p>
        </w:tc>
        <w:tc>
          <w:tcPr>
            <w:tcW w:w="992" w:type="dxa"/>
            <w:tcBorders>
              <w:left w:val="single" w:sz="4" w:space="0" w:color="auto"/>
            </w:tcBorders>
            <w:shd w:val="clear" w:color="auto" w:fill="auto"/>
            <w:noWrap/>
            <w:vAlign w:val="center"/>
            <w:hideMark/>
          </w:tcPr>
          <w:p w14:paraId="417B75AF" w14:textId="77777777" w:rsidR="00B4501D" w:rsidRPr="0056599D" w:rsidRDefault="00B4501D" w:rsidP="0056599D">
            <w:pPr>
              <w:pStyle w:val="NoSpacing"/>
              <w:jc w:val="right"/>
              <w:rPr>
                <w:rFonts w:ascii="Times New Roman" w:hAnsi="Times New Roman"/>
                <w:sz w:val="16"/>
                <w:szCs w:val="16"/>
              </w:rPr>
            </w:pPr>
            <w:r w:rsidRPr="0056599D">
              <w:rPr>
                <w:rFonts w:ascii="Times New Roman" w:hAnsi="Times New Roman"/>
                <w:sz w:val="16"/>
                <w:szCs w:val="16"/>
              </w:rPr>
              <w:t>681,941</w:t>
            </w:r>
          </w:p>
        </w:tc>
        <w:tc>
          <w:tcPr>
            <w:tcW w:w="709" w:type="dxa"/>
            <w:shd w:val="clear" w:color="auto" w:fill="auto"/>
            <w:noWrap/>
            <w:vAlign w:val="center"/>
            <w:hideMark/>
          </w:tcPr>
          <w:p w14:paraId="385EA486" w14:textId="77777777" w:rsidR="00B4501D" w:rsidRPr="0056599D" w:rsidRDefault="00B4501D" w:rsidP="0056599D">
            <w:pPr>
              <w:pStyle w:val="NoSpacing"/>
              <w:jc w:val="right"/>
              <w:rPr>
                <w:rFonts w:ascii="Times New Roman" w:hAnsi="Times New Roman"/>
                <w:sz w:val="16"/>
                <w:szCs w:val="16"/>
              </w:rPr>
            </w:pPr>
            <w:r w:rsidRPr="0056599D">
              <w:rPr>
                <w:rFonts w:ascii="Times New Roman" w:hAnsi="Times New Roman"/>
                <w:sz w:val="16"/>
                <w:szCs w:val="16"/>
              </w:rPr>
              <w:t>20.4</w:t>
            </w:r>
          </w:p>
        </w:tc>
      </w:tr>
      <w:tr w:rsidR="007138F1" w:rsidRPr="0056599D" w14:paraId="7512E9CA" w14:textId="77777777" w:rsidTr="007138F1">
        <w:trPr>
          <w:trHeight w:val="255"/>
        </w:trPr>
        <w:tc>
          <w:tcPr>
            <w:tcW w:w="1668" w:type="dxa"/>
            <w:vMerge/>
            <w:shd w:val="clear" w:color="auto" w:fill="auto"/>
            <w:noWrap/>
            <w:vAlign w:val="center"/>
            <w:hideMark/>
          </w:tcPr>
          <w:p w14:paraId="55E24498" w14:textId="77777777" w:rsidR="00B4501D" w:rsidRPr="0056599D" w:rsidRDefault="00B4501D" w:rsidP="0056599D">
            <w:pPr>
              <w:pStyle w:val="NoSpacing"/>
              <w:jc w:val="right"/>
              <w:rPr>
                <w:rFonts w:ascii="Times New Roman" w:hAnsi="Times New Roman"/>
                <w:sz w:val="16"/>
                <w:szCs w:val="16"/>
              </w:rPr>
            </w:pPr>
          </w:p>
        </w:tc>
        <w:tc>
          <w:tcPr>
            <w:tcW w:w="1276" w:type="dxa"/>
            <w:tcBorders>
              <w:right w:val="single" w:sz="4" w:space="0" w:color="auto"/>
            </w:tcBorders>
            <w:shd w:val="clear" w:color="auto" w:fill="auto"/>
            <w:noWrap/>
            <w:vAlign w:val="center"/>
            <w:hideMark/>
          </w:tcPr>
          <w:p w14:paraId="646E4D43" w14:textId="77777777" w:rsidR="00B4501D" w:rsidRPr="0056599D" w:rsidRDefault="00B4501D" w:rsidP="0056599D">
            <w:pPr>
              <w:pStyle w:val="NoSpacing"/>
              <w:jc w:val="right"/>
              <w:rPr>
                <w:rFonts w:ascii="Times New Roman" w:hAnsi="Times New Roman"/>
                <w:sz w:val="16"/>
                <w:szCs w:val="16"/>
              </w:rPr>
            </w:pPr>
            <w:r w:rsidRPr="0056599D">
              <w:rPr>
                <w:rFonts w:ascii="Times New Roman" w:hAnsi="Times New Roman"/>
                <w:sz w:val="16"/>
                <w:szCs w:val="16"/>
              </w:rPr>
              <w:t>Long Rainy</w:t>
            </w:r>
          </w:p>
        </w:tc>
        <w:tc>
          <w:tcPr>
            <w:tcW w:w="1116" w:type="dxa"/>
            <w:tcBorders>
              <w:left w:val="single" w:sz="4" w:space="0" w:color="auto"/>
              <w:right w:val="single" w:sz="4" w:space="0" w:color="auto"/>
            </w:tcBorders>
            <w:shd w:val="clear" w:color="auto" w:fill="auto"/>
            <w:noWrap/>
            <w:vAlign w:val="center"/>
            <w:hideMark/>
          </w:tcPr>
          <w:p w14:paraId="7696FF91" w14:textId="77777777" w:rsidR="00B4501D" w:rsidRPr="0056599D" w:rsidRDefault="00B4501D" w:rsidP="0056599D">
            <w:pPr>
              <w:pStyle w:val="NoSpacing"/>
              <w:jc w:val="right"/>
              <w:rPr>
                <w:rFonts w:ascii="Times New Roman" w:hAnsi="Times New Roman"/>
                <w:sz w:val="16"/>
                <w:szCs w:val="16"/>
              </w:rPr>
            </w:pPr>
            <w:r w:rsidRPr="0056599D">
              <w:rPr>
                <w:rFonts w:ascii="Times New Roman" w:hAnsi="Times New Roman"/>
                <w:sz w:val="16"/>
                <w:szCs w:val="16"/>
              </w:rPr>
              <w:t>8,429,356</w:t>
            </w:r>
          </w:p>
        </w:tc>
        <w:tc>
          <w:tcPr>
            <w:tcW w:w="1016" w:type="dxa"/>
            <w:tcBorders>
              <w:left w:val="single" w:sz="4" w:space="0" w:color="auto"/>
            </w:tcBorders>
            <w:shd w:val="clear" w:color="auto" w:fill="auto"/>
            <w:noWrap/>
            <w:vAlign w:val="center"/>
            <w:hideMark/>
          </w:tcPr>
          <w:p w14:paraId="19D76406" w14:textId="77777777" w:rsidR="00B4501D" w:rsidRPr="0056599D" w:rsidRDefault="00B4501D" w:rsidP="0056599D">
            <w:pPr>
              <w:pStyle w:val="NoSpacing"/>
              <w:jc w:val="right"/>
              <w:rPr>
                <w:rFonts w:ascii="Times New Roman" w:hAnsi="Times New Roman"/>
                <w:sz w:val="16"/>
                <w:szCs w:val="16"/>
              </w:rPr>
            </w:pPr>
            <w:r w:rsidRPr="0056599D">
              <w:rPr>
                <w:rFonts w:ascii="Times New Roman" w:hAnsi="Times New Roman"/>
                <w:sz w:val="16"/>
                <w:szCs w:val="16"/>
              </w:rPr>
              <w:t>1,243,955</w:t>
            </w:r>
          </w:p>
        </w:tc>
        <w:tc>
          <w:tcPr>
            <w:tcW w:w="702" w:type="dxa"/>
            <w:tcBorders>
              <w:right w:val="single" w:sz="4" w:space="0" w:color="auto"/>
            </w:tcBorders>
            <w:shd w:val="clear" w:color="auto" w:fill="auto"/>
            <w:noWrap/>
            <w:vAlign w:val="center"/>
            <w:hideMark/>
          </w:tcPr>
          <w:p w14:paraId="772507E1" w14:textId="77777777" w:rsidR="00B4501D" w:rsidRPr="0056599D" w:rsidRDefault="00B4501D" w:rsidP="0056599D">
            <w:pPr>
              <w:pStyle w:val="NoSpacing"/>
              <w:jc w:val="right"/>
              <w:rPr>
                <w:rFonts w:ascii="Times New Roman" w:hAnsi="Times New Roman"/>
                <w:sz w:val="16"/>
                <w:szCs w:val="16"/>
              </w:rPr>
            </w:pPr>
            <w:r w:rsidRPr="0056599D">
              <w:rPr>
                <w:rFonts w:ascii="Times New Roman" w:hAnsi="Times New Roman"/>
                <w:sz w:val="16"/>
                <w:szCs w:val="16"/>
              </w:rPr>
              <w:t>14.8</w:t>
            </w:r>
          </w:p>
        </w:tc>
        <w:tc>
          <w:tcPr>
            <w:tcW w:w="976" w:type="dxa"/>
            <w:tcBorders>
              <w:left w:val="single" w:sz="4" w:space="0" w:color="auto"/>
            </w:tcBorders>
            <w:shd w:val="clear" w:color="auto" w:fill="auto"/>
            <w:noWrap/>
            <w:vAlign w:val="center"/>
            <w:hideMark/>
          </w:tcPr>
          <w:p w14:paraId="62AC2A70" w14:textId="77777777" w:rsidR="00B4501D" w:rsidRPr="0056599D" w:rsidRDefault="00B4501D" w:rsidP="0056599D">
            <w:pPr>
              <w:pStyle w:val="NoSpacing"/>
              <w:jc w:val="right"/>
              <w:rPr>
                <w:rFonts w:ascii="Times New Roman" w:hAnsi="Times New Roman"/>
                <w:sz w:val="16"/>
                <w:szCs w:val="16"/>
              </w:rPr>
            </w:pPr>
            <w:r w:rsidRPr="0056599D">
              <w:rPr>
                <w:rFonts w:ascii="Times New Roman" w:hAnsi="Times New Roman"/>
                <w:sz w:val="16"/>
                <w:szCs w:val="16"/>
              </w:rPr>
              <w:t>587,920</w:t>
            </w:r>
          </w:p>
        </w:tc>
        <w:tc>
          <w:tcPr>
            <w:tcW w:w="725" w:type="dxa"/>
            <w:tcBorders>
              <w:right w:val="single" w:sz="4" w:space="0" w:color="auto"/>
            </w:tcBorders>
            <w:shd w:val="clear" w:color="auto" w:fill="auto"/>
            <w:noWrap/>
            <w:vAlign w:val="center"/>
            <w:hideMark/>
          </w:tcPr>
          <w:p w14:paraId="01E4F384" w14:textId="77777777" w:rsidR="00B4501D" w:rsidRPr="0056599D" w:rsidRDefault="00B4501D" w:rsidP="0056599D">
            <w:pPr>
              <w:pStyle w:val="NoSpacing"/>
              <w:jc w:val="right"/>
              <w:rPr>
                <w:rFonts w:ascii="Times New Roman" w:hAnsi="Times New Roman"/>
                <w:sz w:val="16"/>
                <w:szCs w:val="16"/>
              </w:rPr>
            </w:pPr>
            <w:r w:rsidRPr="0056599D">
              <w:rPr>
                <w:rFonts w:ascii="Times New Roman" w:hAnsi="Times New Roman"/>
                <w:sz w:val="16"/>
                <w:szCs w:val="16"/>
              </w:rPr>
              <w:t>7.0</w:t>
            </w:r>
          </w:p>
        </w:tc>
        <w:tc>
          <w:tcPr>
            <w:tcW w:w="992" w:type="dxa"/>
            <w:tcBorders>
              <w:left w:val="single" w:sz="4" w:space="0" w:color="auto"/>
            </w:tcBorders>
            <w:shd w:val="clear" w:color="auto" w:fill="auto"/>
            <w:noWrap/>
            <w:vAlign w:val="center"/>
            <w:hideMark/>
          </w:tcPr>
          <w:p w14:paraId="475EC6D9" w14:textId="77777777" w:rsidR="00B4501D" w:rsidRPr="0056599D" w:rsidRDefault="00B4501D" w:rsidP="0056599D">
            <w:pPr>
              <w:pStyle w:val="NoSpacing"/>
              <w:jc w:val="right"/>
              <w:rPr>
                <w:rFonts w:ascii="Times New Roman" w:hAnsi="Times New Roman"/>
                <w:sz w:val="16"/>
                <w:szCs w:val="16"/>
              </w:rPr>
            </w:pPr>
            <w:r w:rsidRPr="0056599D">
              <w:rPr>
                <w:rFonts w:ascii="Times New Roman" w:hAnsi="Times New Roman"/>
                <w:sz w:val="16"/>
                <w:szCs w:val="16"/>
              </w:rPr>
              <w:t>1,831,875</w:t>
            </w:r>
          </w:p>
        </w:tc>
        <w:tc>
          <w:tcPr>
            <w:tcW w:w="709" w:type="dxa"/>
            <w:shd w:val="clear" w:color="auto" w:fill="auto"/>
            <w:noWrap/>
            <w:vAlign w:val="center"/>
            <w:hideMark/>
          </w:tcPr>
          <w:p w14:paraId="19FF6002" w14:textId="77777777" w:rsidR="00B4501D" w:rsidRPr="0056599D" w:rsidRDefault="00B4501D" w:rsidP="0056599D">
            <w:pPr>
              <w:pStyle w:val="NoSpacing"/>
              <w:jc w:val="right"/>
              <w:rPr>
                <w:rFonts w:ascii="Times New Roman" w:hAnsi="Times New Roman"/>
                <w:sz w:val="16"/>
                <w:szCs w:val="16"/>
              </w:rPr>
            </w:pPr>
            <w:r w:rsidRPr="0056599D">
              <w:rPr>
                <w:rFonts w:ascii="Times New Roman" w:hAnsi="Times New Roman"/>
                <w:sz w:val="16"/>
                <w:szCs w:val="16"/>
              </w:rPr>
              <w:t>21.7</w:t>
            </w:r>
          </w:p>
        </w:tc>
      </w:tr>
      <w:tr w:rsidR="007138F1" w:rsidRPr="0056599D" w14:paraId="33296CD7" w14:textId="77777777" w:rsidTr="007138F1">
        <w:trPr>
          <w:trHeight w:val="255"/>
        </w:trPr>
        <w:tc>
          <w:tcPr>
            <w:tcW w:w="1668" w:type="dxa"/>
            <w:vMerge/>
            <w:tcBorders>
              <w:bottom w:val="single" w:sz="4" w:space="0" w:color="auto"/>
            </w:tcBorders>
            <w:shd w:val="clear" w:color="auto" w:fill="auto"/>
            <w:noWrap/>
            <w:vAlign w:val="center"/>
            <w:hideMark/>
          </w:tcPr>
          <w:p w14:paraId="719FEC02" w14:textId="77777777" w:rsidR="00B4501D" w:rsidRPr="0056599D" w:rsidRDefault="00B4501D" w:rsidP="0056599D">
            <w:pPr>
              <w:pStyle w:val="NoSpacing"/>
              <w:jc w:val="right"/>
              <w:rPr>
                <w:rFonts w:ascii="Times New Roman" w:hAnsi="Times New Roman"/>
                <w:sz w:val="16"/>
                <w:szCs w:val="16"/>
              </w:rPr>
            </w:pPr>
          </w:p>
        </w:tc>
        <w:tc>
          <w:tcPr>
            <w:tcW w:w="1276" w:type="dxa"/>
            <w:tcBorders>
              <w:bottom w:val="single" w:sz="4" w:space="0" w:color="auto"/>
              <w:right w:val="single" w:sz="4" w:space="0" w:color="auto"/>
            </w:tcBorders>
            <w:shd w:val="clear" w:color="auto" w:fill="auto"/>
            <w:noWrap/>
            <w:vAlign w:val="center"/>
            <w:hideMark/>
          </w:tcPr>
          <w:p w14:paraId="1F2DEBDC" w14:textId="77777777" w:rsidR="00B4501D" w:rsidRPr="0056599D" w:rsidRDefault="00B4501D" w:rsidP="0056599D">
            <w:pPr>
              <w:pStyle w:val="NoSpacing"/>
              <w:jc w:val="right"/>
              <w:rPr>
                <w:rFonts w:ascii="Times New Roman" w:hAnsi="Times New Roman"/>
                <w:b/>
                <w:sz w:val="16"/>
                <w:szCs w:val="16"/>
              </w:rPr>
            </w:pPr>
            <w:r w:rsidRPr="0056599D">
              <w:rPr>
                <w:rFonts w:ascii="Times New Roman" w:hAnsi="Times New Roman"/>
                <w:b/>
                <w:sz w:val="16"/>
                <w:szCs w:val="16"/>
              </w:rPr>
              <w:t>Total</w:t>
            </w:r>
          </w:p>
        </w:tc>
        <w:tc>
          <w:tcPr>
            <w:tcW w:w="1116" w:type="dxa"/>
            <w:tcBorders>
              <w:left w:val="single" w:sz="4" w:space="0" w:color="auto"/>
              <w:bottom w:val="single" w:sz="4" w:space="0" w:color="auto"/>
              <w:right w:val="single" w:sz="4" w:space="0" w:color="auto"/>
            </w:tcBorders>
            <w:shd w:val="clear" w:color="auto" w:fill="auto"/>
            <w:noWrap/>
            <w:vAlign w:val="center"/>
            <w:hideMark/>
          </w:tcPr>
          <w:p w14:paraId="3FBE1663" w14:textId="77777777" w:rsidR="00B4501D" w:rsidRPr="0056599D" w:rsidRDefault="00B4501D" w:rsidP="0056599D">
            <w:pPr>
              <w:pStyle w:val="NoSpacing"/>
              <w:jc w:val="right"/>
              <w:rPr>
                <w:rFonts w:ascii="Times New Roman" w:hAnsi="Times New Roman"/>
                <w:b/>
                <w:sz w:val="16"/>
                <w:szCs w:val="16"/>
              </w:rPr>
            </w:pPr>
            <w:r w:rsidRPr="0056599D">
              <w:rPr>
                <w:rFonts w:ascii="Times New Roman" w:hAnsi="Times New Roman"/>
                <w:b/>
                <w:sz w:val="16"/>
                <w:szCs w:val="16"/>
              </w:rPr>
              <w:t>11,765,076</w:t>
            </w:r>
          </w:p>
        </w:tc>
        <w:tc>
          <w:tcPr>
            <w:tcW w:w="1016" w:type="dxa"/>
            <w:tcBorders>
              <w:left w:val="single" w:sz="4" w:space="0" w:color="auto"/>
              <w:bottom w:val="single" w:sz="4" w:space="0" w:color="auto"/>
            </w:tcBorders>
            <w:shd w:val="clear" w:color="auto" w:fill="auto"/>
            <w:noWrap/>
            <w:vAlign w:val="center"/>
            <w:hideMark/>
          </w:tcPr>
          <w:p w14:paraId="7A6DA808" w14:textId="77777777" w:rsidR="00B4501D" w:rsidRPr="0056599D" w:rsidRDefault="00B4501D" w:rsidP="0056599D">
            <w:pPr>
              <w:pStyle w:val="NoSpacing"/>
              <w:jc w:val="right"/>
              <w:rPr>
                <w:rFonts w:ascii="Times New Roman" w:hAnsi="Times New Roman"/>
                <w:b/>
                <w:sz w:val="16"/>
                <w:szCs w:val="16"/>
              </w:rPr>
            </w:pPr>
            <w:r w:rsidRPr="0056599D">
              <w:rPr>
                <w:rFonts w:ascii="Times New Roman" w:hAnsi="Times New Roman"/>
                <w:b/>
                <w:sz w:val="16"/>
                <w:szCs w:val="16"/>
              </w:rPr>
              <w:t>1,567,281</w:t>
            </w:r>
          </w:p>
        </w:tc>
        <w:tc>
          <w:tcPr>
            <w:tcW w:w="702" w:type="dxa"/>
            <w:tcBorders>
              <w:bottom w:val="single" w:sz="4" w:space="0" w:color="auto"/>
              <w:right w:val="single" w:sz="4" w:space="0" w:color="auto"/>
            </w:tcBorders>
            <w:shd w:val="clear" w:color="auto" w:fill="auto"/>
            <w:noWrap/>
            <w:vAlign w:val="center"/>
            <w:hideMark/>
          </w:tcPr>
          <w:p w14:paraId="5BD43377" w14:textId="77777777" w:rsidR="00B4501D" w:rsidRPr="0056599D" w:rsidRDefault="00B4501D" w:rsidP="0056599D">
            <w:pPr>
              <w:pStyle w:val="NoSpacing"/>
              <w:jc w:val="right"/>
              <w:rPr>
                <w:rFonts w:ascii="Times New Roman" w:hAnsi="Times New Roman"/>
                <w:b/>
                <w:sz w:val="16"/>
                <w:szCs w:val="16"/>
              </w:rPr>
            </w:pPr>
            <w:r w:rsidRPr="0056599D">
              <w:rPr>
                <w:rFonts w:ascii="Times New Roman" w:hAnsi="Times New Roman"/>
                <w:b/>
                <w:sz w:val="16"/>
                <w:szCs w:val="16"/>
              </w:rPr>
              <w:t>13.3</w:t>
            </w:r>
          </w:p>
        </w:tc>
        <w:tc>
          <w:tcPr>
            <w:tcW w:w="976" w:type="dxa"/>
            <w:tcBorders>
              <w:left w:val="single" w:sz="4" w:space="0" w:color="auto"/>
              <w:bottom w:val="single" w:sz="4" w:space="0" w:color="auto"/>
            </w:tcBorders>
            <w:shd w:val="clear" w:color="auto" w:fill="auto"/>
            <w:noWrap/>
            <w:vAlign w:val="center"/>
            <w:hideMark/>
          </w:tcPr>
          <w:p w14:paraId="76C7401B" w14:textId="77777777" w:rsidR="00B4501D" w:rsidRPr="0056599D" w:rsidRDefault="00B4501D" w:rsidP="0056599D">
            <w:pPr>
              <w:pStyle w:val="NoSpacing"/>
              <w:jc w:val="right"/>
              <w:rPr>
                <w:rFonts w:ascii="Times New Roman" w:hAnsi="Times New Roman"/>
                <w:b/>
                <w:sz w:val="16"/>
                <w:szCs w:val="16"/>
              </w:rPr>
            </w:pPr>
            <w:r w:rsidRPr="0056599D">
              <w:rPr>
                <w:rFonts w:ascii="Times New Roman" w:hAnsi="Times New Roman"/>
                <w:b/>
                <w:sz w:val="16"/>
                <w:szCs w:val="16"/>
              </w:rPr>
              <w:t>946,535</w:t>
            </w:r>
          </w:p>
        </w:tc>
        <w:tc>
          <w:tcPr>
            <w:tcW w:w="725" w:type="dxa"/>
            <w:tcBorders>
              <w:bottom w:val="single" w:sz="4" w:space="0" w:color="auto"/>
              <w:right w:val="single" w:sz="4" w:space="0" w:color="auto"/>
            </w:tcBorders>
            <w:shd w:val="clear" w:color="auto" w:fill="auto"/>
            <w:noWrap/>
            <w:vAlign w:val="center"/>
            <w:hideMark/>
          </w:tcPr>
          <w:p w14:paraId="54F350E1" w14:textId="77777777" w:rsidR="00B4501D" w:rsidRPr="0056599D" w:rsidRDefault="00B4501D" w:rsidP="0056599D">
            <w:pPr>
              <w:pStyle w:val="NoSpacing"/>
              <w:jc w:val="right"/>
              <w:rPr>
                <w:rFonts w:ascii="Times New Roman" w:hAnsi="Times New Roman"/>
                <w:b/>
                <w:sz w:val="16"/>
                <w:szCs w:val="16"/>
              </w:rPr>
            </w:pPr>
            <w:r w:rsidRPr="0056599D">
              <w:rPr>
                <w:rFonts w:ascii="Times New Roman" w:hAnsi="Times New Roman"/>
                <w:b/>
                <w:sz w:val="16"/>
                <w:szCs w:val="16"/>
              </w:rPr>
              <w:t>8.0</w:t>
            </w:r>
          </w:p>
        </w:tc>
        <w:tc>
          <w:tcPr>
            <w:tcW w:w="992" w:type="dxa"/>
            <w:tcBorders>
              <w:left w:val="single" w:sz="4" w:space="0" w:color="auto"/>
              <w:bottom w:val="single" w:sz="4" w:space="0" w:color="auto"/>
            </w:tcBorders>
            <w:shd w:val="clear" w:color="auto" w:fill="auto"/>
            <w:noWrap/>
            <w:vAlign w:val="center"/>
            <w:hideMark/>
          </w:tcPr>
          <w:p w14:paraId="1572B85C" w14:textId="77777777" w:rsidR="00B4501D" w:rsidRPr="0056599D" w:rsidRDefault="00B4501D" w:rsidP="0056599D">
            <w:pPr>
              <w:pStyle w:val="NoSpacing"/>
              <w:jc w:val="right"/>
              <w:rPr>
                <w:rFonts w:ascii="Times New Roman" w:hAnsi="Times New Roman"/>
                <w:b/>
                <w:sz w:val="16"/>
                <w:szCs w:val="16"/>
              </w:rPr>
            </w:pPr>
            <w:r w:rsidRPr="0056599D">
              <w:rPr>
                <w:rFonts w:ascii="Times New Roman" w:hAnsi="Times New Roman"/>
                <w:b/>
                <w:sz w:val="16"/>
                <w:szCs w:val="16"/>
              </w:rPr>
              <w:t>2,513,817</w:t>
            </w:r>
          </w:p>
        </w:tc>
        <w:tc>
          <w:tcPr>
            <w:tcW w:w="709" w:type="dxa"/>
            <w:tcBorders>
              <w:bottom w:val="single" w:sz="4" w:space="0" w:color="auto"/>
            </w:tcBorders>
            <w:shd w:val="clear" w:color="auto" w:fill="auto"/>
            <w:noWrap/>
            <w:vAlign w:val="center"/>
            <w:hideMark/>
          </w:tcPr>
          <w:p w14:paraId="6D17551F" w14:textId="77777777" w:rsidR="00B4501D" w:rsidRPr="0056599D" w:rsidRDefault="00B4501D" w:rsidP="0056599D">
            <w:pPr>
              <w:pStyle w:val="NoSpacing"/>
              <w:jc w:val="right"/>
              <w:rPr>
                <w:rFonts w:ascii="Times New Roman" w:hAnsi="Times New Roman"/>
                <w:b/>
                <w:sz w:val="16"/>
                <w:szCs w:val="16"/>
              </w:rPr>
            </w:pPr>
            <w:r w:rsidRPr="0056599D">
              <w:rPr>
                <w:rFonts w:ascii="Times New Roman" w:hAnsi="Times New Roman"/>
                <w:b/>
                <w:sz w:val="16"/>
                <w:szCs w:val="16"/>
              </w:rPr>
              <w:t>21.4</w:t>
            </w:r>
          </w:p>
        </w:tc>
      </w:tr>
    </w:tbl>
    <w:p w14:paraId="595ECBF1" w14:textId="4C094650" w:rsidR="00C0338D" w:rsidRPr="006B42D6" w:rsidRDefault="00AA7CAE" w:rsidP="00B4501D">
      <w:r w:rsidRPr="006B42D6">
        <w:lastRenderedPageBreak/>
        <w:t>The census results reveal that area applied with fertilizer</w:t>
      </w:r>
      <w:r w:rsidR="0070447D" w:rsidRPr="006B42D6">
        <w:t xml:space="preserve"> varies across regions. </w:t>
      </w:r>
      <w:r w:rsidR="00697794" w:rsidRPr="006B42D6">
        <w:t xml:space="preserve">In </w:t>
      </w:r>
      <w:r w:rsidR="00EA1552">
        <w:t>Mainland Tanzania</w:t>
      </w:r>
      <w:r w:rsidR="00697794" w:rsidRPr="006B42D6">
        <w:t xml:space="preserve">, </w:t>
      </w:r>
      <w:r w:rsidRPr="006B42D6">
        <w:t>Ruvuma</w:t>
      </w:r>
      <w:r w:rsidR="0070447D" w:rsidRPr="006B42D6">
        <w:t xml:space="preserve"> region</w:t>
      </w:r>
      <w:r w:rsidRPr="006B42D6">
        <w:t xml:space="preserve"> had the largest area applied with organic fertilizer (18</w:t>
      </w:r>
      <w:r w:rsidR="0070447D" w:rsidRPr="006B42D6">
        <w:t>.</w:t>
      </w:r>
      <w:r w:rsidRPr="006B42D6">
        <w:t>0</w:t>
      </w:r>
      <w:r w:rsidR="0070447D" w:rsidRPr="006B42D6">
        <w:t xml:space="preserve"> percent)</w:t>
      </w:r>
      <w:r w:rsidRPr="006B42D6">
        <w:t>,</w:t>
      </w:r>
      <w:r w:rsidR="0070447D" w:rsidRPr="006B42D6">
        <w:t xml:space="preserve"> followed by </w:t>
      </w:r>
      <w:r w:rsidRPr="006B42D6">
        <w:t xml:space="preserve">Mbeya </w:t>
      </w:r>
      <w:r w:rsidR="0070447D" w:rsidRPr="006B42D6">
        <w:t>(</w:t>
      </w:r>
      <w:r w:rsidRPr="006B42D6">
        <w:t>13</w:t>
      </w:r>
      <w:r w:rsidR="0070447D" w:rsidRPr="006B42D6">
        <w:t>.</w:t>
      </w:r>
      <w:r w:rsidRPr="006B42D6">
        <w:t>2</w:t>
      </w:r>
      <w:r w:rsidR="0070447D" w:rsidRPr="006B42D6">
        <w:t xml:space="preserve"> percent), and </w:t>
      </w:r>
      <w:r w:rsidRPr="006B42D6">
        <w:t>Tabora</w:t>
      </w:r>
      <w:r w:rsidR="0070447D" w:rsidRPr="006B42D6">
        <w:t xml:space="preserve"> (</w:t>
      </w:r>
      <w:r w:rsidRPr="006B42D6">
        <w:t>8</w:t>
      </w:r>
      <w:r w:rsidR="0070447D" w:rsidRPr="006B42D6">
        <w:t>.</w:t>
      </w:r>
      <w:r w:rsidRPr="006B42D6">
        <w:t>9</w:t>
      </w:r>
      <w:r w:rsidR="0070447D" w:rsidRPr="006B42D6">
        <w:t xml:space="preserve"> percent)</w:t>
      </w:r>
      <w:r w:rsidRPr="006B42D6">
        <w:t>, while Lindi region had the least (0.3 percent)</w:t>
      </w:r>
      <w:r w:rsidR="0070447D" w:rsidRPr="006B42D6">
        <w:t>.</w:t>
      </w:r>
      <w:r w:rsidR="00C0338D" w:rsidRPr="006B42D6">
        <w:t xml:space="preserve"> In Tanzania Zanzibar, Kusini Pemba region had the largest area applied with organic fertilizer (38.1 percent), followed by Kaskazini Unguja (21.6 percent), while Kusini Unguja region had the least (5.1 percent) (Figures 3.</w:t>
      </w:r>
      <w:r w:rsidR="00C61EB9" w:rsidRPr="006B42D6">
        <w:t>61</w:t>
      </w:r>
      <w:r w:rsidR="00C0338D" w:rsidRPr="006B42D6">
        <w:t xml:space="preserve"> &amp; 3.</w:t>
      </w:r>
      <w:r w:rsidR="00C61EB9" w:rsidRPr="006B42D6">
        <w:t>62</w:t>
      </w:r>
      <w:r w:rsidR="00C0338D" w:rsidRPr="006B42D6">
        <w:t xml:space="preserve">). </w:t>
      </w:r>
    </w:p>
    <w:p w14:paraId="4B95A972" w14:textId="24C2B0B2" w:rsidR="00BD6419" w:rsidRPr="006B42D6" w:rsidRDefault="00BD6419" w:rsidP="00AC1456">
      <w:pPr>
        <w:spacing w:line="240" w:lineRule="auto"/>
      </w:pPr>
    </w:p>
    <w:p w14:paraId="3863B46A" w14:textId="6B4AC86E" w:rsidR="00BD6419" w:rsidRPr="006B42D6" w:rsidRDefault="0070447D" w:rsidP="00B4501D">
      <w:r w:rsidRPr="006B42D6">
        <w:t xml:space="preserve">On the other hand, </w:t>
      </w:r>
      <w:r w:rsidR="00C0338D" w:rsidRPr="006B42D6">
        <w:t xml:space="preserve">in </w:t>
      </w:r>
      <w:r w:rsidR="00EA1552">
        <w:t>Mainland Tanzania</w:t>
      </w:r>
      <w:r w:rsidR="00C0338D" w:rsidRPr="006B42D6">
        <w:t xml:space="preserve"> </w:t>
      </w:r>
      <w:r w:rsidR="00AA7CAE" w:rsidRPr="006B42D6">
        <w:t>Dodoma</w:t>
      </w:r>
      <w:r w:rsidRPr="006B42D6">
        <w:t xml:space="preserve"> region </w:t>
      </w:r>
      <w:r w:rsidR="00BD6419" w:rsidRPr="006B42D6">
        <w:t xml:space="preserve">had the largest area applied with </w:t>
      </w:r>
      <w:r w:rsidRPr="006B42D6">
        <w:t>inorganic fertilizer (</w:t>
      </w:r>
      <w:r w:rsidR="00AA7CAE" w:rsidRPr="006B42D6">
        <w:t>11.1</w:t>
      </w:r>
      <w:r w:rsidR="00C61EB9" w:rsidRPr="006B42D6">
        <w:t xml:space="preserve"> </w:t>
      </w:r>
      <w:r w:rsidRPr="006B42D6">
        <w:t>percent)</w:t>
      </w:r>
      <w:r w:rsidR="00AA7CAE" w:rsidRPr="006B42D6">
        <w:t>,</w:t>
      </w:r>
      <w:r w:rsidRPr="006B42D6">
        <w:t xml:space="preserve"> followed by </w:t>
      </w:r>
      <w:r w:rsidR="00AA7CAE" w:rsidRPr="006B42D6">
        <w:t>Manyara</w:t>
      </w:r>
      <w:r w:rsidRPr="006B42D6">
        <w:t xml:space="preserve"> (</w:t>
      </w:r>
      <w:r w:rsidR="00AA7CAE" w:rsidRPr="006B42D6">
        <w:t>9.6</w:t>
      </w:r>
      <w:r w:rsidRPr="006B42D6">
        <w:t xml:space="preserve"> percent)</w:t>
      </w:r>
      <w:r w:rsidR="00AA7CAE" w:rsidRPr="006B42D6">
        <w:t xml:space="preserve"> and Tabora</w:t>
      </w:r>
      <w:r w:rsidRPr="006B42D6">
        <w:t xml:space="preserve"> (</w:t>
      </w:r>
      <w:r w:rsidR="00AA7CAE" w:rsidRPr="006B42D6">
        <w:t>8</w:t>
      </w:r>
      <w:r w:rsidRPr="006B42D6">
        <w:t>.</w:t>
      </w:r>
      <w:r w:rsidR="00AA7CAE" w:rsidRPr="006B42D6">
        <w:t>6</w:t>
      </w:r>
      <w:r w:rsidRPr="006B42D6">
        <w:t xml:space="preserve"> percent),</w:t>
      </w:r>
      <w:r w:rsidR="00BD6419" w:rsidRPr="006B42D6">
        <w:t xml:space="preserve"> whereas</w:t>
      </w:r>
      <w:r w:rsidRPr="006B42D6">
        <w:t xml:space="preserve"> Lindi region recorded the least area applied with inorganic fertilizer (0.</w:t>
      </w:r>
      <w:r w:rsidR="00AA7CAE" w:rsidRPr="006B42D6">
        <w:t>1</w:t>
      </w:r>
      <w:r w:rsidRPr="006B42D6">
        <w:t xml:space="preserve"> percent) </w:t>
      </w:r>
      <w:r w:rsidR="00C0338D" w:rsidRPr="006B42D6">
        <w:t>In Tanzania Zanzibar,</w:t>
      </w:r>
      <w:r w:rsidR="00BD6419" w:rsidRPr="006B42D6">
        <w:t xml:space="preserve"> Mjini Magharibi region had the largest area applied with inorganic fertilizer (38.3) percent), followed by Kaskazini Unguja (27.4 percent), whilst Kusini Pemba region recorded the least area applied with inorganic fertilizer (8.3 percent)</w:t>
      </w:r>
      <w:r w:rsidR="00783891" w:rsidRPr="006B42D6">
        <w:t>.</w:t>
      </w:r>
      <w:r w:rsidR="00BD6419" w:rsidRPr="006B42D6">
        <w:t xml:space="preserve"> </w:t>
      </w:r>
    </w:p>
    <w:p w14:paraId="78F0A48B" w14:textId="77777777" w:rsidR="00FC1F0A" w:rsidRPr="006B42D6" w:rsidRDefault="00FC1F0A" w:rsidP="00AC1456">
      <w:pPr>
        <w:spacing w:line="240" w:lineRule="auto"/>
      </w:pPr>
    </w:p>
    <w:p w14:paraId="223F177E" w14:textId="33DC84D4" w:rsidR="00FC1F0A" w:rsidRPr="006B42D6" w:rsidRDefault="00FC1F0A" w:rsidP="00B4501D">
      <w:r w:rsidRPr="006B42D6">
        <w:rPr>
          <w:bCs/>
        </w:rPr>
        <w:t xml:space="preserve">Despite the average planted area applied with organic fertilizer being higher than that with inorganic fertilizer, some regions indicated to have more planted area applied with inorganic fertilizer than organic fertilizer </w:t>
      </w:r>
      <w:r w:rsidRPr="006B42D6">
        <w:t>(Figures 3.</w:t>
      </w:r>
      <w:r w:rsidR="00C61EB9" w:rsidRPr="006B42D6">
        <w:t>61</w:t>
      </w:r>
      <w:r w:rsidRPr="006B42D6">
        <w:t xml:space="preserve"> &amp; 3.</w:t>
      </w:r>
      <w:r w:rsidR="00C61EB9" w:rsidRPr="006B42D6">
        <w:t>62</w:t>
      </w:r>
      <w:r w:rsidRPr="006B42D6">
        <w:t>).</w:t>
      </w:r>
    </w:p>
    <w:p w14:paraId="249AB21B" w14:textId="5DAF8AB3" w:rsidR="00C0338D" w:rsidRPr="006B42D6" w:rsidRDefault="00C0338D" w:rsidP="00B4501D"/>
    <w:p w14:paraId="15D08219" w14:textId="22BE1A82" w:rsidR="00FC1F0A" w:rsidRPr="006B42D6" w:rsidRDefault="00FC1F0A" w:rsidP="00C61EB9">
      <w:pPr>
        <w:pStyle w:val="Caption"/>
      </w:pPr>
      <w:bookmarkStart w:id="332" w:name="_Toc82386338"/>
      <w:r w:rsidRPr="006B42D6">
        <w:t>Figure 3.</w:t>
      </w:r>
      <w:r w:rsidR="00C61EB9" w:rsidRPr="006B42D6">
        <w:t>61</w:t>
      </w:r>
      <w:r w:rsidR="00AC1456">
        <w:t>:</w:t>
      </w:r>
      <w:r w:rsidR="00B4501D">
        <w:tab/>
      </w:r>
      <w:r w:rsidRPr="006B42D6">
        <w:t xml:space="preserve">Percentage of Area Applied with Fertilizer by Type of Fertilizer and Region During 2019/20 Agricultural Year, </w:t>
      </w:r>
      <w:r w:rsidR="00EA1552">
        <w:t>Mainland Tanzania</w:t>
      </w:r>
      <w:bookmarkEnd w:id="332"/>
    </w:p>
    <w:p w14:paraId="38E4B236" w14:textId="21290186" w:rsidR="00C0338D" w:rsidRDefault="001B26AC" w:rsidP="00403801">
      <w:pPr>
        <w:pStyle w:val="Default"/>
        <w:spacing w:line="360" w:lineRule="auto"/>
        <w:jc w:val="both"/>
        <w:rPr>
          <w:color w:val="auto"/>
        </w:rPr>
      </w:pPr>
      <w:r w:rsidRPr="006B42D6">
        <w:rPr>
          <w:noProof/>
          <w:color w:val="auto"/>
        </w:rPr>
        <w:drawing>
          <wp:inline distT="0" distB="0" distL="0" distR="0" wp14:anchorId="535E66F6" wp14:editId="13529966">
            <wp:extent cx="5687122" cy="2613660"/>
            <wp:effectExtent l="0" t="0" r="15240" b="15240"/>
            <wp:docPr id="103" name="Chart 1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3"/>
              </a:graphicData>
            </a:graphic>
          </wp:inline>
        </w:drawing>
      </w:r>
    </w:p>
    <w:p w14:paraId="3D2C2455" w14:textId="77777777" w:rsidR="00403801" w:rsidRPr="00403801" w:rsidRDefault="00403801" w:rsidP="00403801">
      <w:pPr>
        <w:pStyle w:val="Default"/>
        <w:spacing w:line="360" w:lineRule="auto"/>
        <w:jc w:val="both"/>
        <w:rPr>
          <w:color w:val="auto"/>
          <w:sz w:val="18"/>
          <w:szCs w:val="18"/>
        </w:rPr>
      </w:pPr>
    </w:p>
    <w:p w14:paraId="62AD411C" w14:textId="720BAC50" w:rsidR="00FC1F0A" w:rsidRPr="006B42D6" w:rsidRDefault="00FC1F0A" w:rsidP="00FC1F0A">
      <w:pPr>
        <w:pStyle w:val="Caption"/>
        <w:keepNext/>
      </w:pPr>
      <w:bookmarkStart w:id="333" w:name="_Toc82386339"/>
      <w:r w:rsidRPr="006B42D6">
        <w:lastRenderedPageBreak/>
        <w:t>Figure 3.</w:t>
      </w:r>
      <w:r w:rsidR="00C61EB9" w:rsidRPr="006B42D6">
        <w:t>62</w:t>
      </w:r>
      <w:r w:rsidR="00AC1456">
        <w:t>:</w:t>
      </w:r>
      <w:r w:rsidR="00B4501D">
        <w:tab/>
      </w:r>
      <w:r w:rsidRPr="006B42D6">
        <w:t>Percentage of Area Applied with Fertilizer by Type of Fertilizer and Region During 2019/20 Agricultural Year, Tanzania Zanzibar</w:t>
      </w:r>
      <w:bookmarkEnd w:id="333"/>
    </w:p>
    <w:p w14:paraId="4721A12A" w14:textId="7366FB2E" w:rsidR="00403801" w:rsidRDefault="001B26AC" w:rsidP="00403801">
      <w:r w:rsidRPr="006B42D6">
        <w:rPr>
          <w:noProof/>
        </w:rPr>
        <w:drawing>
          <wp:inline distT="0" distB="0" distL="0" distR="0" wp14:anchorId="33BF48EA" wp14:editId="62D3ACCD">
            <wp:extent cx="5604641" cy="2398395"/>
            <wp:effectExtent l="0" t="0" r="8890" b="14605"/>
            <wp:docPr id="102" name="Chart 14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4"/>
              </a:graphicData>
            </a:graphic>
          </wp:inline>
        </w:drawing>
      </w:r>
    </w:p>
    <w:p w14:paraId="50BEF86A" w14:textId="494CD924" w:rsidR="00B4501D" w:rsidRDefault="00B4501D" w:rsidP="00403801"/>
    <w:p w14:paraId="4D74B8F1" w14:textId="4193817E" w:rsidR="0070447D" w:rsidRPr="006B42D6" w:rsidRDefault="0070447D" w:rsidP="0070447D">
      <w:pPr>
        <w:pStyle w:val="Heading3"/>
      </w:pPr>
      <w:bookmarkStart w:id="334" w:name="_Toc82385707"/>
      <w:r w:rsidRPr="006B42D6">
        <w:t>3.</w:t>
      </w:r>
      <w:r w:rsidR="00193728">
        <w:t>4</w:t>
      </w:r>
      <w:r w:rsidRPr="006B42D6">
        <w:t>.3</w:t>
      </w:r>
      <w:r w:rsidRPr="006B42D6">
        <w:tab/>
        <w:t>Use of Pesticides</w:t>
      </w:r>
      <w:bookmarkEnd w:id="334"/>
      <w:r w:rsidRPr="006B42D6">
        <w:t xml:space="preserve"> </w:t>
      </w:r>
    </w:p>
    <w:p w14:paraId="11E7E0C7" w14:textId="5461723F" w:rsidR="0070447D" w:rsidRPr="006B42D6" w:rsidRDefault="004D6462" w:rsidP="0070447D">
      <w:pPr>
        <w:adjustRightInd w:val="0"/>
      </w:pPr>
      <w:r w:rsidRPr="006B42D6">
        <w:rPr>
          <w:noProof/>
        </w:rPr>
        <mc:AlternateContent>
          <mc:Choice Requires="wps">
            <w:drawing>
              <wp:anchor distT="0" distB="0" distL="114300" distR="114300" simplePos="0" relativeHeight="251682816" behindDoc="1" locked="0" layoutInCell="1" allowOverlap="1" wp14:anchorId="666D39B9" wp14:editId="6D993100">
                <wp:simplePos x="0" y="0"/>
                <wp:positionH relativeFrom="column">
                  <wp:posOffset>2453005</wp:posOffset>
                </wp:positionH>
                <wp:positionV relativeFrom="paragraph">
                  <wp:posOffset>29845</wp:posOffset>
                </wp:positionV>
                <wp:extent cx="3508375" cy="467995"/>
                <wp:effectExtent l="0" t="0" r="0" b="1905"/>
                <wp:wrapTight wrapText="bothSides">
                  <wp:wrapPolygon edited="0">
                    <wp:start x="0" y="0"/>
                    <wp:lineTo x="0" y="21102"/>
                    <wp:lineTo x="21502" y="21102"/>
                    <wp:lineTo x="21502" y="0"/>
                    <wp:lineTo x="0" y="0"/>
                  </wp:wrapPolygon>
                </wp:wrapTight>
                <wp:docPr id="488"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08375" cy="467995"/>
                        </a:xfrm>
                        <a:prstGeom prst="rect">
                          <a:avLst/>
                        </a:prstGeom>
                        <a:solidFill>
                          <a:prstClr val="white"/>
                        </a:solidFill>
                        <a:ln>
                          <a:noFill/>
                        </a:ln>
                      </wps:spPr>
                      <wps:txbx>
                        <w:txbxContent>
                          <w:p w14:paraId="0FF8D91F" w14:textId="0C8F7545" w:rsidR="00933456" w:rsidRPr="00403801" w:rsidRDefault="00933456" w:rsidP="00403801">
                            <w:pPr>
                              <w:pStyle w:val="Caption"/>
                            </w:pPr>
                            <w:bookmarkStart w:id="335" w:name="_Toc80120239"/>
                            <w:bookmarkStart w:id="336" w:name="_Toc80884116"/>
                            <w:bookmarkStart w:id="337" w:name="_Toc80884487"/>
                            <w:bookmarkStart w:id="338" w:name="_Toc82386340"/>
                            <w:r w:rsidRPr="00403801">
                              <w:t>Figure 3.63:</w:t>
                            </w:r>
                            <w:r w:rsidRPr="00403801">
                              <w:tab/>
                              <w:t>Percentage Distribution of Area Applied with Pesticides During 2019/20 Agricultural Year, Tanzania</w:t>
                            </w:r>
                            <w:bookmarkEnd w:id="335"/>
                            <w:bookmarkEnd w:id="336"/>
                            <w:bookmarkEnd w:id="337"/>
                            <w:bookmarkEnd w:id="338"/>
                          </w:p>
                          <w:p w14:paraId="7692846C" w14:textId="77777777" w:rsidR="00933456" w:rsidRPr="00403801" w:rsidRDefault="00933456" w:rsidP="00403801"/>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66D39B9" id="Text Box 37" o:spid="_x0000_s1058" type="#_x0000_t202" style="position:absolute;left:0;text-align:left;margin-left:193.15pt;margin-top:2.35pt;width:276.25pt;height:36.8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" stroked="f">
                <v:textbox inset="0,0,0,0">
                  <w:txbxContent>
                    <w:p w14:paraId="0FF8D91F" w14:textId="0C8F7545" w:rsidR="00933456" w:rsidRPr="00403801" w:rsidRDefault="00933456" w:rsidP="00403801">
                      <w:pPr>
                        <w:pStyle w:val="Caption"/>
                      </w:pPr>
                      <w:bookmarkStart w:id="441" w:name="_Toc80120239"/>
                      <w:bookmarkStart w:id="442" w:name="_Toc80884116"/>
                      <w:bookmarkStart w:id="443" w:name="_Toc80884487"/>
                      <w:bookmarkStart w:id="444" w:name="_Toc82386340"/>
                      <w:r w:rsidRPr="00403801">
                        <w:t>Figure 3.63:</w:t>
                      </w:r>
                      <w:r w:rsidRPr="00403801">
                        <w:tab/>
                        <w:t>Percentage Distribution of Area Applied with Pesticides During 2019/20 Agricultural Year, Tanzania</w:t>
                      </w:r>
                      <w:bookmarkEnd w:id="441"/>
                      <w:bookmarkEnd w:id="442"/>
                      <w:bookmarkEnd w:id="443"/>
                      <w:bookmarkEnd w:id="444"/>
                    </w:p>
                    <w:p w14:paraId="7692846C" w14:textId="77777777" w:rsidR="00933456" w:rsidRPr="00403801" w:rsidRDefault="00933456" w:rsidP="00403801"/>
                  </w:txbxContent>
                </v:textbox>
                <w10:wrap type="tight"/>
              </v:shape>
            </w:pict>
          </mc:Fallback>
        </mc:AlternateContent>
      </w:r>
      <w:r w:rsidR="0056599D" w:rsidRPr="006B42D6">
        <w:rPr>
          <w:noProof/>
        </w:rPr>
        <w:drawing>
          <wp:anchor distT="6096" distB="4826" distL="120396" distR="117475" simplePos="0" relativeHeight="251681792" behindDoc="1" locked="0" layoutInCell="1" allowOverlap="1" wp14:anchorId="77EEBC05" wp14:editId="28F9C8DC">
            <wp:simplePos x="0" y="0"/>
            <wp:positionH relativeFrom="margin">
              <wp:posOffset>2454198</wp:posOffset>
            </wp:positionH>
            <wp:positionV relativeFrom="paragraph">
              <wp:posOffset>564515</wp:posOffset>
            </wp:positionV>
            <wp:extent cx="3313430" cy="2134235"/>
            <wp:effectExtent l="0" t="0" r="13970" b="12065"/>
            <wp:wrapTight wrapText="bothSides">
              <wp:wrapPolygon edited="0">
                <wp:start x="0" y="0"/>
                <wp:lineTo x="0" y="21594"/>
                <wp:lineTo x="21608" y="21594"/>
                <wp:lineTo x="21608" y="0"/>
                <wp:lineTo x="0" y="0"/>
              </wp:wrapPolygon>
            </wp:wrapTight>
            <wp:docPr id="182" name="Chart 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5"/>
              </a:graphicData>
            </a:graphic>
            <wp14:sizeRelH relativeFrom="page">
              <wp14:pctWidth>0</wp14:pctWidth>
            </wp14:sizeRelH>
            <wp14:sizeRelV relativeFrom="page">
              <wp14:pctHeight>0</wp14:pctHeight>
            </wp14:sizeRelV>
          </wp:anchor>
        </w:drawing>
      </w:r>
      <w:r w:rsidR="0070447D" w:rsidRPr="006B42D6">
        <w:rPr>
          <w:bCs/>
        </w:rPr>
        <w:t xml:space="preserve">Pesticides are chemicals </w:t>
      </w:r>
      <w:r w:rsidR="00FC1F0A" w:rsidRPr="006B42D6">
        <w:rPr>
          <w:bCs/>
        </w:rPr>
        <w:t>intended</w:t>
      </w:r>
      <w:r w:rsidR="0070447D" w:rsidRPr="006B42D6">
        <w:rPr>
          <w:bCs/>
        </w:rPr>
        <w:t xml:space="preserve"> to kill or control pests which includes insects, weeds, fungi etc.</w:t>
      </w:r>
      <w:r w:rsidR="0070447D" w:rsidRPr="006B42D6">
        <w:t xml:space="preserve"> This section analyses the use of these chemicals by smallholder farmers during short and long rainy seasons in Tanzania.</w:t>
      </w:r>
      <w:r w:rsidR="000D2ACC" w:rsidRPr="006B42D6">
        <w:t xml:space="preserve"> </w:t>
      </w:r>
      <w:r w:rsidR="0070447D" w:rsidRPr="006B42D6">
        <w:t xml:space="preserve">The results show that, </w:t>
      </w:r>
      <w:r w:rsidR="000D2ACC" w:rsidRPr="006B42D6">
        <w:t>a total area of 3,159,513 ha was applied with pesticides, equivalent to 26.9 percent of the total planted area with crops. I</w:t>
      </w:r>
      <w:r w:rsidR="0070447D" w:rsidRPr="006B42D6">
        <w:t xml:space="preserve">nsecticides </w:t>
      </w:r>
      <w:r w:rsidR="000D2ACC" w:rsidRPr="006B42D6">
        <w:t>was</w:t>
      </w:r>
      <w:r w:rsidR="0070447D" w:rsidRPr="006B42D6">
        <w:t xml:space="preserve"> the most common pesticides used in the country accounting for </w:t>
      </w:r>
      <w:r w:rsidR="000D2ACC" w:rsidRPr="006B42D6">
        <w:t>58</w:t>
      </w:r>
      <w:r w:rsidR="0070447D" w:rsidRPr="006B42D6">
        <w:t>.</w:t>
      </w:r>
      <w:r w:rsidR="000D2ACC" w:rsidRPr="006B42D6">
        <w:t>4</w:t>
      </w:r>
      <w:r w:rsidR="0070447D" w:rsidRPr="006B42D6">
        <w:t xml:space="preserve"> percent of the total area </w:t>
      </w:r>
      <w:r w:rsidR="000D2ACC" w:rsidRPr="006B42D6">
        <w:t xml:space="preserve">applied with pesticides, </w:t>
      </w:r>
      <w:r w:rsidR="0070447D" w:rsidRPr="006B42D6">
        <w:t>followed by herbicides (</w:t>
      </w:r>
      <w:r w:rsidR="000D2ACC" w:rsidRPr="006B42D6">
        <w:t>33</w:t>
      </w:r>
      <w:r w:rsidR="0070447D" w:rsidRPr="006B42D6">
        <w:t>.</w:t>
      </w:r>
      <w:r w:rsidR="000D2ACC" w:rsidRPr="006B42D6">
        <w:t>2</w:t>
      </w:r>
      <w:r w:rsidR="0070447D" w:rsidRPr="006B42D6">
        <w:t xml:space="preserve"> percent) and fungicides (</w:t>
      </w:r>
      <w:r w:rsidR="000D2ACC" w:rsidRPr="006B42D6">
        <w:t>8</w:t>
      </w:r>
      <w:r w:rsidR="0070447D" w:rsidRPr="006B42D6">
        <w:t>.</w:t>
      </w:r>
      <w:r w:rsidR="000D2ACC" w:rsidRPr="006B42D6">
        <w:t>4</w:t>
      </w:r>
      <w:r w:rsidR="0070447D" w:rsidRPr="006B42D6">
        <w:t xml:space="preserve"> percent) (</w:t>
      </w:r>
      <w:r w:rsidR="003E7BC5" w:rsidRPr="006B42D6">
        <w:t>Figure 3.</w:t>
      </w:r>
      <w:r w:rsidR="00E173AB" w:rsidRPr="006B42D6">
        <w:t>63</w:t>
      </w:r>
      <w:r w:rsidR="003E7BC5" w:rsidRPr="006B42D6">
        <w:t xml:space="preserve"> &amp; </w:t>
      </w:r>
      <w:r w:rsidR="0070447D" w:rsidRPr="006B42D6">
        <w:t>Table 3.2</w:t>
      </w:r>
      <w:r w:rsidR="00E173AB" w:rsidRPr="006B42D6">
        <w:t>4</w:t>
      </w:r>
      <w:r w:rsidR="0070447D" w:rsidRPr="006B42D6">
        <w:t>).</w:t>
      </w:r>
    </w:p>
    <w:p w14:paraId="07A6E300" w14:textId="01E7C976" w:rsidR="0070447D" w:rsidRPr="006B42D6" w:rsidRDefault="0070447D" w:rsidP="00FC398A">
      <w:pPr>
        <w:spacing w:line="240" w:lineRule="auto"/>
      </w:pPr>
    </w:p>
    <w:p w14:paraId="285F2D06" w14:textId="40BD7D79" w:rsidR="0070447D" w:rsidRPr="006B42D6" w:rsidRDefault="0070447D" w:rsidP="0070447D">
      <w:pPr>
        <w:pStyle w:val="Heading4"/>
      </w:pPr>
      <w:bookmarkStart w:id="339" w:name="_Toc82385708"/>
      <w:r w:rsidRPr="006B42D6">
        <w:t>3.</w:t>
      </w:r>
      <w:r w:rsidR="00193728">
        <w:t>4</w:t>
      </w:r>
      <w:r w:rsidRPr="006B42D6">
        <w:t>.3.1</w:t>
      </w:r>
      <w:r w:rsidRPr="006B42D6">
        <w:tab/>
        <w:t>Herbicides</w:t>
      </w:r>
      <w:bookmarkEnd w:id="339"/>
      <w:r w:rsidRPr="006B42D6">
        <w:t xml:space="preserve">  </w:t>
      </w:r>
    </w:p>
    <w:p w14:paraId="664F1798" w14:textId="0F1FAF42" w:rsidR="0070447D" w:rsidRPr="006B42D6" w:rsidRDefault="0070447D" w:rsidP="00B4501D">
      <w:r w:rsidRPr="006B42D6">
        <w:t xml:space="preserve">At national level, the total area applied with </w:t>
      </w:r>
      <w:r w:rsidRPr="006B42D6">
        <w:rPr>
          <w:bCs/>
        </w:rPr>
        <w:t>herbicides</w:t>
      </w:r>
      <w:r w:rsidRPr="006B42D6">
        <w:t xml:space="preserve"> was 1,049,499 ha which is equivalent to 8.9 percent of the total planted area</w:t>
      </w:r>
      <w:r w:rsidR="003A0E6D" w:rsidRPr="006B42D6">
        <w:t>,</w:t>
      </w:r>
      <w:r w:rsidRPr="006B42D6">
        <w:t xml:space="preserve"> </w:t>
      </w:r>
      <w:r w:rsidR="008148D8" w:rsidRPr="006B42D6">
        <w:t>(</w:t>
      </w:r>
      <w:r w:rsidRPr="006B42D6">
        <w:t xml:space="preserve">1,039,709 ha were from </w:t>
      </w:r>
      <w:r w:rsidR="00EA1552">
        <w:t>Mainland Tanzania</w:t>
      </w:r>
      <w:r w:rsidRPr="006B42D6">
        <w:t xml:space="preserve"> and 9,790 ha from Tanzania Zanzibar</w:t>
      </w:r>
      <w:r w:rsidR="008148D8" w:rsidRPr="006B42D6">
        <w:t>)</w:t>
      </w:r>
      <w:r w:rsidRPr="006B42D6">
        <w:t>.</w:t>
      </w:r>
      <w:r w:rsidR="008148D8" w:rsidRPr="006B42D6">
        <w:t xml:space="preserve"> Large part of the planted area was applied with </w:t>
      </w:r>
      <w:r w:rsidR="008148D8" w:rsidRPr="006B42D6">
        <w:rPr>
          <w:bCs/>
        </w:rPr>
        <w:t>herbicides</w:t>
      </w:r>
      <w:r w:rsidR="008148D8" w:rsidRPr="006B42D6">
        <w:t xml:space="preserve"> during long rainy </w:t>
      </w:r>
      <w:r w:rsidR="00EC6E69" w:rsidRPr="006B42D6">
        <w:t>season (817,878 ha) than</w:t>
      </w:r>
      <w:r w:rsidR="008148D8" w:rsidRPr="006B42D6">
        <w:t xml:space="preserve"> in the short rainy season (231,622 ha).</w:t>
      </w:r>
    </w:p>
    <w:p w14:paraId="034908F3" w14:textId="77777777" w:rsidR="0070447D" w:rsidRPr="006B42D6" w:rsidRDefault="0070447D" w:rsidP="00C9369C">
      <w:pPr>
        <w:spacing w:line="240" w:lineRule="auto"/>
      </w:pPr>
    </w:p>
    <w:p w14:paraId="56700872" w14:textId="60C4F672" w:rsidR="00EC6E69" w:rsidRPr="006B42D6" w:rsidRDefault="008148D8" w:rsidP="00B4501D">
      <w:r w:rsidRPr="006B42D6">
        <w:lastRenderedPageBreak/>
        <w:t xml:space="preserve">In </w:t>
      </w:r>
      <w:r w:rsidR="00EA1552">
        <w:t>Mainland Tanzania</w:t>
      </w:r>
      <w:r w:rsidRPr="006B42D6">
        <w:t xml:space="preserve">, </w:t>
      </w:r>
      <w:r w:rsidR="00EC6E69" w:rsidRPr="006B42D6">
        <w:t>cereal crops had the largest area applied with</w:t>
      </w:r>
      <w:r w:rsidRPr="006B42D6">
        <w:t xml:space="preserve"> herbicides </w:t>
      </w:r>
      <w:r w:rsidR="00EC6E69" w:rsidRPr="006B42D6">
        <w:t>(815,975 ha, 78.5 percent)</w:t>
      </w:r>
      <w:r w:rsidRPr="006B42D6">
        <w:t>, followed by oil seeds and nuts (98,386</w:t>
      </w:r>
      <w:r w:rsidR="009743EA">
        <w:t xml:space="preserve"> </w:t>
      </w:r>
      <w:r w:rsidRPr="006B42D6">
        <w:t>ha; 9.5 percent)</w:t>
      </w:r>
      <w:r w:rsidR="00EC6E69" w:rsidRPr="006B42D6">
        <w:t xml:space="preserve"> and</w:t>
      </w:r>
      <w:r w:rsidRPr="006B42D6">
        <w:t xml:space="preserve"> pulses (65,348 ha, 6.3 percent)</w:t>
      </w:r>
      <w:r w:rsidR="00EC6E69" w:rsidRPr="006B42D6">
        <w:t xml:space="preserve">, while other crops had the least area applied with herbicides </w:t>
      </w:r>
      <w:r w:rsidRPr="006B42D6">
        <w:t>(57 ha; 0.01 percent)</w:t>
      </w:r>
      <w:r w:rsidR="00EC6E69" w:rsidRPr="006B42D6">
        <w:t>. On the other hand, in Tanzania Zanzibar, cereal crops had the largest area applied with herbicides (7,861 ha, 80.3 percent), followed by fruits and vegetables (1,859,386</w:t>
      </w:r>
      <w:r w:rsidR="009743EA">
        <w:t xml:space="preserve"> </w:t>
      </w:r>
      <w:r w:rsidR="00EC6E69" w:rsidRPr="006B42D6">
        <w:t>ha; 9.5 percent) and pulses (65,348 ha, 6.3 percent), whereas roots and tubers had the least area applied with herbicides (69 ha, 0.7 percent)</w:t>
      </w:r>
      <w:r w:rsidR="003E7BC5" w:rsidRPr="006B42D6">
        <w:t xml:space="preserve"> (Table 3.2</w:t>
      </w:r>
      <w:r w:rsidR="0034351C" w:rsidRPr="006B42D6">
        <w:t>4</w:t>
      </w:r>
      <w:r w:rsidR="003E7BC5" w:rsidRPr="006B42D6">
        <w:t>).</w:t>
      </w:r>
    </w:p>
    <w:p w14:paraId="3D0C94DA" w14:textId="7E85B920" w:rsidR="008148D8" w:rsidRPr="009743EA" w:rsidRDefault="008148D8" w:rsidP="00C9369C">
      <w:pPr>
        <w:spacing w:line="240" w:lineRule="auto"/>
        <w:rPr>
          <w:sz w:val="20"/>
          <w:szCs w:val="20"/>
        </w:rPr>
      </w:pPr>
    </w:p>
    <w:p w14:paraId="1728D9C6" w14:textId="09D32DE6" w:rsidR="0070447D" w:rsidRPr="006B42D6" w:rsidRDefault="0070447D" w:rsidP="0070447D">
      <w:pPr>
        <w:pStyle w:val="Heading4"/>
      </w:pPr>
      <w:bookmarkStart w:id="340" w:name="_Toc82385709"/>
      <w:r w:rsidRPr="006B42D6">
        <w:rPr>
          <w:bCs/>
        </w:rPr>
        <w:t>3.</w:t>
      </w:r>
      <w:r w:rsidR="00193728">
        <w:rPr>
          <w:bCs/>
        </w:rPr>
        <w:t>4</w:t>
      </w:r>
      <w:r w:rsidRPr="006B42D6">
        <w:rPr>
          <w:bCs/>
        </w:rPr>
        <w:t>.3.2</w:t>
      </w:r>
      <w:r w:rsidRPr="006B42D6">
        <w:rPr>
          <w:bCs/>
        </w:rPr>
        <w:tab/>
      </w:r>
      <w:r w:rsidRPr="006B42D6">
        <w:t>Fungicides</w:t>
      </w:r>
      <w:bookmarkEnd w:id="340"/>
    </w:p>
    <w:p w14:paraId="5EFC5177" w14:textId="04359C67" w:rsidR="00EC6E69" w:rsidRPr="006B42D6" w:rsidRDefault="0070447D" w:rsidP="00B4501D">
      <w:r w:rsidRPr="006B42D6">
        <w:t xml:space="preserve">The application of fungicides occupied 263,921 ha which is equivalent to 2.2 percent of the total planted area at national level (258,767 ha from </w:t>
      </w:r>
      <w:r w:rsidR="00EA1552">
        <w:t>Mainland Tanzania</w:t>
      </w:r>
      <w:r w:rsidRPr="006B42D6">
        <w:t xml:space="preserve"> and 5,153 ha from Tanzania Zanzibar). </w:t>
      </w:r>
      <w:r w:rsidR="00EC6E69" w:rsidRPr="006B42D6">
        <w:t xml:space="preserve">Large part of the planted area was applied with </w:t>
      </w:r>
      <w:r w:rsidR="00EC6E69" w:rsidRPr="006B42D6">
        <w:rPr>
          <w:bCs/>
        </w:rPr>
        <w:t>fungicides</w:t>
      </w:r>
      <w:r w:rsidR="00EC6E69" w:rsidRPr="006B42D6">
        <w:t xml:space="preserve"> during long rainy season (179,141 ha) than in the short rainy season (84,779 ha)</w:t>
      </w:r>
      <w:r w:rsidR="003E7BC5" w:rsidRPr="006B42D6">
        <w:t>.</w:t>
      </w:r>
    </w:p>
    <w:p w14:paraId="4FE0BBA6" w14:textId="77777777" w:rsidR="00EC6E69" w:rsidRPr="009743EA" w:rsidRDefault="00EC6E69" w:rsidP="00C9369C">
      <w:pPr>
        <w:spacing w:line="240" w:lineRule="auto"/>
        <w:rPr>
          <w:sz w:val="20"/>
          <w:szCs w:val="20"/>
        </w:rPr>
      </w:pPr>
    </w:p>
    <w:p w14:paraId="7B8BA59E" w14:textId="6A465B60" w:rsidR="00EC6E69" w:rsidRPr="006B42D6" w:rsidRDefault="00EC6E69" w:rsidP="00B4501D">
      <w:r w:rsidRPr="006B42D6">
        <w:t xml:space="preserve">In </w:t>
      </w:r>
      <w:r w:rsidR="00EA1552">
        <w:t>Mainland Tanzania</w:t>
      </w:r>
      <w:r w:rsidRPr="006B42D6">
        <w:t xml:space="preserve">, </w:t>
      </w:r>
      <w:r w:rsidR="00BC6A14" w:rsidRPr="006B42D6">
        <w:t>pulses</w:t>
      </w:r>
      <w:r w:rsidRPr="006B42D6">
        <w:t xml:space="preserve"> had the largest area applied with fungicides (</w:t>
      </w:r>
      <w:r w:rsidR="00BC6A14" w:rsidRPr="006B42D6">
        <w:t>82,481</w:t>
      </w:r>
      <w:r w:rsidRPr="006B42D6">
        <w:t xml:space="preserve"> ha, </w:t>
      </w:r>
      <w:r w:rsidR="00BC6A14" w:rsidRPr="006B42D6">
        <w:t>31</w:t>
      </w:r>
      <w:r w:rsidRPr="006B42D6">
        <w:t>.</w:t>
      </w:r>
      <w:r w:rsidR="00BC6A14" w:rsidRPr="006B42D6">
        <w:t>9</w:t>
      </w:r>
      <w:r w:rsidRPr="006B42D6">
        <w:t xml:space="preserve"> percent), followed by </w:t>
      </w:r>
      <w:r w:rsidR="00BC6A14" w:rsidRPr="006B42D6">
        <w:t>fruits and vegetables</w:t>
      </w:r>
      <w:r w:rsidRPr="006B42D6">
        <w:t xml:space="preserve"> (</w:t>
      </w:r>
      <w:r w:rsidR="00BC6A14" w:rsidRPr="006B42D6">
        <w:t>71</w:t>
      </w:r>
      <w:r w:rsidRPr="006B42D6">
        <w:t>,</w:t>
      </w:r>
      <w:r w:rsidR="00BC6A14" w:rsidRPr="006B42D6">
        <w:t>909 ha</w:t>
      </w:r>
      <w:r w:rsidRPr="006B42D6">
        <w:t xml:space="preserve">; </w:t>
      </w:r>
      <w:r w:rsidR="00BC6A14" w:rsidRPr="006B42D6">
        <w:t>27.8</w:t>
      </w:r>
      <w:r w:rsidRPr="006B42D6">
        <w:t xml:space="preserve"> percent) and </w:t>
      </w:r>
      <w:r w:rsidR="00BC6A14" w:rsidRPr="006B42D6">
        <w:t>cereal crops</w:t>
      </w:r>
      <w:r w:rsidRPr="006B42D6">
        <w:t xml:space="preserve"> (</w:t>
      </w:r>
      <w:r w:rsidR="00BC6A14" w:rsidRPr="006B42D6">
        <w:t>46</w:t>
      </w:r>
      <w:r w:rsidRPr="006B42D6">
        <w:t>,</w:t>
      </w:r>
      <w:r w:rsidR="00BC6A14" w:rsidRPr="006B42D6">
        <w:t>093</w:t>
      </w:r>
      <w:r w:rsidRPr="006B42D6">
        <w:t xml:space="preserve"> ha, </w:t>
      </w:r>
      <w:r w:rsidR="00BC6A14" w:rsidRPr="006B42D6">
        <w:t>17.8</w:t>
      </w:r>
      <w:r w:rsidRPr="006B42D6">
        <w:t xml:space="preserve"> percent), while other crops had the least area applied with </w:t>
      </w:r>
      <w:r w:rsidR="00BC6A14" w:rsidRPr="006B42D6">
        <w:t>fungicides</w:t>
      </w:r>
      <w:r w:rsidRPr="006B42D6">
        <w:t xml:space="preserve"> (57 ha; 0.0</w:t>
      </w:r>
      <w:r w:rsidR="00BC6A14" w:rsidRPr="006B42D6">
        <w:t>2</w:t>
      </w:r>
      <w:r w:rsidRPr="006B42D6">
        <w:t xml:space="preserve"> percent). On the other hand, in Tanzania Zanzibar, </w:t>
      </w:r>
      <w:r w:rsidR="00BC6A14" w:rsidRPr="006B42D6">
        <w:t>fruits and vegetables</w:t>
      </w:r>
      <w:r w:rsidRPr="006B42D6">
        <w:t xml:space="preserve"> had the largest area applied with </w:t>
      </w:r>
      <w:r w:rsidR="00BC6A14" w:rsidRPr="006B42D6">
        <w:t>fungicides</w:t>
      </w:r>
      <w:r w:rsidRPr="006B42D6">
        <w:t xml:space="preserve"> (</w:t>
      </w:r>
      <w:r w:rsidR="00BC6A14" w:rsidRPr="006B42D6">
        <w:t>4,581</w:t>
      </w:r>
      <w:r w:rsidRPr="006B42D6">
        <w:t xml:space="preserve"> ha, </w:t>
      </w:r>
      <w:r w:rsidR="00BC6A14" w:rsidRPr="006B42D6">
        <w:t>88</w:t>
      </w:r>
      <w:r w:rsidRPr="006B42D6">
        <w:t>.</w:t>
      </w:r>
      <w:r w:rsidR="00BC6A14" w:rsidRPr="006B42D6">
        <w:t>9</w:t>
      </w:r>
      <w:r w:rsidRPr="006B42D6">
        <w:t xml:space="preserve"> percent), followed by </w:t>
      </w:r>
      <w:r w:rsidR="00BC6A14" w:rsidRPr="006B42D6">
        <w:t>cereal crops</w:t>
      </w:r>
      <w:r w:rsidRPr="006B42D6">
        <w:t xml:space="preserve"> (</w:t>
      </w:r>
      <w:r w:rsidR="00BC6A14" w:rsidRPr="006B42D6">
        <w:t xml:space="preserve">550 </w:t>
      </w:r>
      <w:r w:rsidRPr="006B42D6">
        <w:t xml:space="preserve">ha; </w:t>
      </w:r>
      <w:r w:rsidR="00BC6A14" w:rsidRPr="006B42D6">
        <w:t>10</w:t>
      </w:r>
      <w:r w:rsidRPr="006B42D6">
        <w:t>.</w:t>
      </w:r>
      <w:r w:rsidR="00BC6A14" w:rsidRPr="006B42D6">
        <w:t>7</w:t>
      </w:r>
      <w:r w:rsidRPr="006B42D6">
        <w:t xml:space="preserve"> percent)</w:t>
      </w:r>
      <w:r w:rsidR="00BC6A14" w:rsidRPr="006B42D6">
        <w:t>,</w:t>
      </w:r>
      <w:r w:rsidRPr="006B42D6">
        <w:t xml:space="preserve"> </w:t>
      </w:r>
      <w:r w:rsidR="00BC6A14" w:rsidRPr="006B42D6">
        <w:t>while</w:t>
      </w:r>
      <w:r w:rsidRPr="006B42D6">
        <w:t xml:space="preserve"> </w:t>
      </w:r>
      <w:r w:rsidR="00BC6A14" w:rsidRPr="006B42D6">
        <w:t>roots and tubers</w:t>
      </w:r>
      <w:r w:rsidRPr="006B42D6">
        <w:t xml:space="preserve"> had the least area applied with </w:t>
      </w:r>
      <w:r w:rsidR="00BC6A14" w:rsidRPr="006B42D6">
        <w:t>fungicides</w:t>
      </w:r>
      <w:r w:rsidRPr="006B42D6">
        <w:t xml:space="preserve"> </w:t>
      </w:r>
      <w:r w:rsidR="00BC6A14" w:rsidRPr="006B42D6">
        <w:t xml:space="preserve">(2 ha, 0.04 percent) </w:t>
      </w:r>
      <w:r w:rsidR="003E7BC5" w:rsidRPr="006B42D6">
        <w:t>(Table 3.2</w:t>
      </w:r>
      <w:r w:rsidR="0034351C" w:rsidRPr="006B42D6">
        <w:t>4</w:t>
      </w:r>
      <w:r w:rsidR="003E7BC5" w:rsidRPr="006B42D6">
        <w:t>).</w:t>
      </w:r>
    </w:p>
    <w:p w14:paraId="59001E86" w14:textId="10CE27FC" w:rsidR="0070447D" w:rsidRPr="009743EA" w:rsidRDefault="0070447D" w:rsidP="00C9369C">
      <w:pPr>
        <w:spacing w:line="240" w:lineRule="auto"/>
        <w:rPr>
          <w:sz w:val="20"/>
          <w:szCs w:val="20"/>
        </w:rPr>
      </w:pPr>
      <w:r w:rsidRPr="006B42D6">
        <w:t xml:space="preserve"> </w:t>
      </w:r>
    </w:p>
    <w:p w14:paraId="390ED62E" w14:textId="2FA800EA" w:rsidR="0070447D" w:rsidRPr="006B42D6" w:rsidRDefault="0070447D" w:rsidP="0070447D">
      <w:pPr>
        <w:pStyle w:val="Heading4"/>
      </w:pPr>
      <w:bookmarkStart w:id="341" w:name="_Toc82385710"/>
      <w:r w:rsidRPr="006B42D6">
        <w:rPr>
          <w:bCs/>
        </w:rPr>
        <w:t>3.</w:t>
      </w:r>
      <w:r w:rsidR="00193728">
        <w:rPr>
          <w:bCs/>
        </w:rPr>
        <w:t>4</w:t>
      </w:r>
      <w:r w:rsidRPr="006B42D6">
        <w:rPr>
          <w:bCs/>
        </w:rPr>
        <w:t>.3.3</w:t>
      </w:r>
      <w:r w:rsidRPr="006B42D6">
        <w:rPr>
          <w:bCs/>
        </w:rPr>
        <w:tab/>
      </w:r>
      <w:r w:rsidRPr="006B42D6">
        <w:t>Insecticides</w:t>
      </w:r>
      <w:bookmarkEnd w:id="341"/>
    </w:p>
    <w:p w14:paraId="07A2C872" w14:textId="493B9C4E" w:rsidR="00BC6A14" w:rsidRPr="006B42D6" w:rsidRDefault="00BC6A14" w:rsidP="00BC6A14">
      <w:pPr>
        <w:adjustRightInd w:val="0"/>
      </w:pPr>
      <w:r w:rsidRPr="006B42D6">
        <w:t>In Tanzania</w:t>
      </w:r>
      <w:r w:rsidR="0070447D" w:rsidRPr="006B42D6">
        <w:t>, the total area applied with insecticides was 1,846,09</w:t>
      </w:r>
      <w:r w:rsidRPr="006B42D6">
        <w:t>4</w:t>
      </w:r>
      <w:r w:rsidR="0070447D" w:rsidRPr="006B42D6">
        <w:t xml:space="preserve"> ha equivalent to 15.7 percent of the total planted area (1,834,0</w:t>
      </w:r>
      <w:r w:rsidRPr="006B42D6">
        <w:t>30</w:t>
      </w:r>
      <w:r w:rsidR="0070447D" w:rsidRPr="006B42D6">
        <w:t xml:space="preserve"> ha from </w:t>
      </w:r>
      <w:r w:rsidR="00EA1552">
        <w:t>Mainland Tanzania</w:t>
      </w:r>
      <w:r w:rsidR="0070447D" w:rsidRPr="006B42D6">
        <w:t xml:space="preserve"> and 12,064 ha from Tanzania Zanzibar). </w:t>
      </w:r>
      <w:r w:rsidRPr="006B42D6">
        <w:t xml:space="preserve">Large part of the planted area was applied with </w:t>
      </w:r>
      <w:r w:rsidRPr="006B42D6">
        <w:rPr>
          <w:bCs/>
        </w:rPr>
        <w:t>insecticides</w:t>
      </w:r>
      <w:r w:rsidRPr="006B42D6">
        <w:t xml:space="preserve"> during long rainy season (1,307,013 ha) than in the short rainy season (539,081 ha)</w:t>
      </w:r>
      <w:r w:rsidR="0070447D" w:rsidRPr="006B42D6">
        <w:t>.</w:t>
      </w:r>
    </w:p>
    <w:p w14:paraId="4424F824" w14:textId="77777777" w:rsidR="00BC6A14" w:rsidRPr="009743EA" w:rsidRDefault="00BC6A14" w:rsidP="00C9369C">
      <w:pPr>
        <w:adjustRightInd w:val="0"/>
        <w:spacing w:line="240" w:lineRule="auto"/>
        <w:rPr>
          <w:sz w:val="20"/>
          <w:szCs w:val="20"/>
        </w:rPr>
      </w:pPr>
    </w:p>
    <w:p w14:paraId="1828BC86" w14:textId="63E05D3E" w:rsidR="00C9369C" w:rsidRDefault="00BC6A14" w:rsidP="007138F1">
      <w:pPr>
        <w:adjustRightInd w:val="0"/>
      </w:pPr>
      <w:r w:rsidRPr="006B42D6">
        <w:t xml:space="preserve">In </w:t>
      </w:r>
      <w:r w:rsidR="00EA1552">
        <w:t>Mainland Tanzania</w:t>
      </w:r>
      <w:r w:rsidRPr="006B42D6">
        <w:t xml:space="preserve">, </w:t>
      </w:r>
      <w:r w:rsidR="001D008A" w:rsidRPr="006B42D6">
        <w:t>cereal crops</w:t>
      </w:r>
      <w:r w:rsidRPr="006B42D6">
        <w:t xml:space="preserve"> had the largest area applied with insecticides (1,040,520 ha, 56.7 percent), followed by </w:t>
      </w:r>
      <w:r w:rsidR="001D008A" w:rsidRPr="006B42D6">
        <w:t>cash crops</w:t>
      </w:r>
      <w:r w:rsidRPr="006B42D6">
        <w:t xml:space="preserve"> (</w:t>
      </w:r>
      <w:r w:rsidR="001D008A" w:rsidRPr="006B42D6">
        <w:t>246,898</w:t>
      </w:r>
      <w:r w:rsidRPr="006B42D6">
        <w:t xml:space="preserve"> ha; </w:t>
      </w:r>
      <w:r w:rsidR="001D008A" w:rsidRPr="006B42D6">
        <w:t>13</w:t>
      </w:r>
      <w:r w:rsidRPr="006B42D6">
        <w:t>.</w:t>
      </w:r>
      <w:r w:rsidR="001D008A" w:rsidRPr="006B42D6">
        <w:t>5</w:t>
      </w:r>
      <w:r w:rsidRPr="006B42D6">
        <w:t xml:space="preserve"> percent) and </w:t>
      </w:r>
      <w:r w:rsidR="001D008A" w:rsidRPr="006B42D6">
        <w:t>pulses</w:t>
      </w:r>
      <w:r w:rsidRPr="006B42D6">
        <w:t xml:space="preserve"> (</w:t>
      </w:r>
      <w:r w:rsidR="001D008A" w:rsidRPr="006B42D6">
        <w:t>240</w:t>
      </w:r>
      <w:r w:rsidRPr="006B42D6">
        <w:t>,</w:t>
      </w:r>
      <w:r w:rsidR="001D008A" w:rsidRPr="006B42D6">
        <w:t>838</w:t>
      </w:r>
      <w:r w:rsidRPr="006B42D6">
        <w:t xml:space="preserve"> ha, </w:t>
      </w:r>
      <w:r w:rsidR="001D008A" w:rsidRPr="006B42D6">
        <w:t>13</w:t>
      </w:r>
      <w:r w:rsidRPr="006B42D6">
        <w:t>.</w:t>
      </w:r>
      <w:r w:rsidR="001D008A" w:rsidRPr="006B42D6">
        <w:t xml:space="preserve">1 </w:t>
      </w:r>
      <w:r w:rsidRPr="006B42D6">
        <w:t xml:space="preserve">percent), while other crops had the least area applied with </w:t>
      </w:r>
      <w:r w:rsidR="001D008A" w:rsidRPr="006B42D6">
        <w:t xml:space="preserve">insecticides </w:t>
      </w:r>
      <w:r w:rsidRPr="006B42D6">
        <w:t>(</w:t>
      </w:r>
      <w:r w:rsidR="001D008A" w:rsidRPr="006B42D6">
        <w:t>513</w:t>
      </w:r>
      <w:r w:rsidRPr="006B42D6">
        <w:t xml:space="preserve"> ha; 0.0</w:t>
      </w:r>
      <w:r w:rsidR="001D008A" w:rsidRPr="006B42D6">
        <w:t>3</w:t>
      </w:r>
      <w:r w:rsidRPr="006B42D6">
        <w:t xml:space="preserve"> percent). On the other hand, in Tanzania Zanzibar, fruits and vegetables had the largest area applied with fungicides (</w:t>
      </w:r>
      <w:r w:rsidR="001D008A" w:rsidRPr="006B42D6">
        <w:t>6,542</w:t>
      </w:r>
      <w:r w:rsidRPr="006B42D6">
        <w:t xml:space="preserve"> ha, </w:t>
      </w:r>
      <w:r w:rsidR="001D008A" w:rsidRPr="006B42D6">
        <w:t>54</w:t>
      </w:r>
      <w:r w:rsidRPr="006B42D6">
        <w:t>.</w:t>
      </w:r>
      <w:r w:rsidR="001D008A" w:rsidRPr="006B42D6">
        <w:t>2</w:t>
      </w:r>
      <w:r w:rsidRPr="006B42D6">
        <w:t xml:space="preserve"> percent), followed by cereal crops (</w:t>
      </w:r>
      <w:r w:rsidR="001D008A" w:rsidRPr="006B42D6">
        <w:t>4,298</w:t>
      </w:r>
      <w:r w:rsidRPr="006B42D6">
        <w:t xml:space="preserve"> ha; </w:t>
      </w:r>
      <w:r w:rsidR="001D008A" w:rsidRPr="006B42D6">
        <w:t>35</w:t>
      </w:r>
      <w:r w:rsidRPr="006B42D6">
        <w:t>.</w:t>
      </w:r>
      <w:r w:rsidR="001D008A" w:rsidRPr="006B42D6">
        <w:t>6</w:t>
      </w:r>
      <w:r w:rsidRPr="006B42D6">
        <w:t xml:space="preserve"> percent), while </w:t>
      </w:r>
      <w:r w:rsidR="001D008A" w:rsidRPr="006B42D6">
        <w:t>other crops</w:t>
      </w:r>
      <w:r w:rsidRPr="006B42D6">
        <w:t xml:space="preserve"> had the least area applied with fungicides (</w:t>
      </w:r>
      <w:r w:rsidR="001D008A" w:rsidRPr="006B42D6">
        <w:t>11</w:t>
      </w:r>
      <w:r w:rsidRPr="006B42D6">
        <w:t xml:space="preserve"> ha, 0.</w:t>
      </w:r>
      <w:r w:rsidR="001D008A" w:rsidRPr="006B42D6">
        <w:t>1</w:t>
      </w:r>
      <w:r w:rsidRPr="006B42D6">
        <w:t xml:space="preserve"> percent) </w:t>
      </w:r>
      <w:r w:rsidR="003E7BC5" w:rsidRPr="006B42D6">
        <w:t>(Table 3.2</w:t>
      </w:r>
      <w:r w:rsidR="00CD75FC">
        <w:t>3</w:t>
      </w:r>
      <w:r w:rsidR="003E7BC5" w:rsidRPr="006B42D6">
        <w:t>).</w:t>
      </w:r>
      <w:r w:rsidR="00C9369C">
        <w:br w:type="page"/>
      </w:r>
    </w:p>
    <w:p w14:paraId="6F083A4A" w14:textId="6235EEAF" w:rsidR="0070447D" w:rsidRPr="006B42D6" w:rsidRDefault="0070447D" w:rsidP="007200F6">
      <w:pPr>
        <w:pStyle w:val="Heading7"/>
      </w:pPr>
      <w:bookmarkStart w:id="342" w:name="_Toc82386205"/>
      <w:r w:rsidRPr="006B42D6">
        <w:rPr>
          <w:bCs/>
        </w:rPr>
        <w:lastRenderedPageBreak/>
        <w:t>Table 3.2</w:t>
      </w:r>
      <w:r w:rsidR="00CD75FC">
        <w:rPr>
          <w:bCs/>
        </w:rPr>
        <w:t>3</w:t>
      </w:r>
      <w:r w:rsidR="00C9369C">
        <w:rPr>
          <w:bCs/>
        </w:rPr>
        <w:t>:</w:t>
      </w:r>
      <w:r w:rsidR="00B4501D">
        <w:rPr>
          <w:bCs/>
        </w:rPr>
        <w:tab/>
      </w:r>
      <w:r w:rsidRPr="006B42D6">
        <w:rPr>
          <w:bCs/>
        </w:rPr>
        <w:t xml:space="preserve">Area Applied with </w:t>
      </w:r>
      <w:r w:rsidRPr="006B42D6">
        <w:t>Pesticides by Type of Pesticides and Planting Season, Tanzania</w:t>
      </w:r>
      <w:bookmarkEnd w:id="342"/>
      <w:r w:rsidRPr="006B42D6">
        <w:t xml:space="preserve"> </w:t>
      </w:r>
    </w:p>
    <w:tbl>
      <w:tblPr>
        <w:tblW w:w="4998" w:type="pct"/>
        <w:shd w:val="clear" w:color="auto" w:fill="FFFFFF"/>
        <w:tblLook w:val="04A0" w:firstRow="1" w:lastRow="0" w:firstColumn="1" w:lastColumn="0" w:noHBand="0" w:noVBand="1"/>
      </w:tblPr>
      <w:tblGrid>
        <w:gridCol w:w="1224"/>
        <w:gridCol w:w="1051"/>
        <w:gridCol w:w="961"/>
        <w:gridCol w:w="832"/>
        <w:gridCol w:w="606"/>
        <w:gridCol w:w="787"/>
        <w:gridCol w:w="606"/>
        <w:gridCol w:w="1049"/>
        <w:gridCol w:w="606"/>
        <w:gridCol w:w="903"/>
        <w:gridCol w:w="607"/>
      </w:tblGrid>
      <w:tr w:rsidR="007138F1" w:rsidRPr="006B42D6" w14:paraId="32017B30" w14:textId="77777777" w:rsidTr="007138F1">
        <w:trPr>
          <w:trHeight w:val="283"/>
        </w:trPr>
        <w:tc>
          <w:tcPr>
            <w:tcW w:w="663" w:type="pct"/>
            <w:vMerge w:val="restart"/>
            <w:tcBorders>
              <w:top w:val="single" w:sz="4" w:space="0" w:color="auto"/>
            </w:tcBorders>
            <w:shd w:val="clear" w:color="auto" w:fill="E2EFD9" w:themeFill="accent6" w:themeFillTint="33"/>
            <w:noWrap/>
            <w:vAlign w:val="center"/>
            <w:hideMark/>
          </w:tcPr>
          <w:p w14:paraId="29B121D2" w14:textId="77777777" w:rsidR="007138F1" w:rsidRPr="006B42D6" w:rsidRDefault="007138F1" w:rsidP="0034351C">
            <w:pPr>
              <w:pStyle w:val="NoSpacing"/>
              <w:spacing w:line="360" w:lineRule="auto"/>
              <w:rPr>
                <w:rFonts w:ascii="Times New Roman" w:hAnsi="Times New Roman"/>
                <w:sz w:val="13"/>
                <w:szCs w:val="13"/>
              </w:rPr>
            </w:pPr>
            <w:r w:rsidRPr="006B42D6">
              <w:rPr>
                <w:rFonts w:ascii="Times New Roman" w:hAnsi="Times New Roman"/>
                <w:sz w:val="13"/>
                <w:szCs w:val="13"/>
              </w:rPr>
              <w:t>Coverage</w:t>
            </w:r>
          </w:p>
        </w:tc>
        <w:tc>
          <w:tcPr>
            <w:tcW w:w="569" w:type="pct"/>
            <w:vMerge w:val="restart"/>
            <w:tcBorders>
              <w:top w:val="single" w:sz="4" w:space="0" w:color="auto"/>
              <w:right w:val="single" w:sz="4" w:space="0" w:color="auto"/>
            </w:tcBorders>
            <w:shd w:val="clear" w:color="auto" w:fill="E2EFD9" w:themeFill="accent6" w:themeFillTint="33"/>
            <w:noWrap/>
            <w:vAlign w:val="center"/>
            <w:hideMark/>
          </w:tcPr>
          <w:p w14:paraId="0B6B2F5D" w14:textId="77777777" w:rsidR="007138F1" w:rsidRPr="006B42D6" w:rsidRDefault="007138F1" w:rsidP="0034351C">
            <w:pPr>
              <w:pStyle w:val="NoSpacing"/>
              <w:spacing w:line="360" w:lineRule="auto"/>
              <w:rPr>
                <w:rFonts w:ascii="Times New Roman" w:hAnsi="Times New Roman"/>
                <w:sz w:val="13"/>
                <w:szCs w:val="13"/>
              </w:rPr>
            </w:pPr>
            <w:r w:rsidRPr="006B42D6">
              <w:rPr>
                <w:rFonts w:ascii="Times New Roman" w:hAnsi="Times New Roman"/>
                <w:sz w:val="13"/>
                <w:szCs w:val="13"/>
              </w:rPr>
              <w:t>Planting Season</w:t>
            </w:r>
          </w:p>
        </w:tc>
        <w:tc>
          <w:tcPr>
            <w:tcW w:w="521" w:type="pct"/>
            <w:vMerge w:val="restart"/>
            <w:tcBorders>
              <w:top w:val="single" w:sz="4" w:space="0" w:color="auto"/>
              <w:left w:val="single" w:sz="4" w:space="0" w:color="auto"/>
              <w:right w:val="single" w:sz="4" w:space="0" w:color="auto"/>
            </w:tcBorders>
            <w:shd w:val="clear" w:color="auto" w:fill="E2EFD9" w:themeFill="accent6" w:themeFillTint="33"/>
            <w:vAlign w:val="center"/>
            <w:hideMark/>
          </w:tcPr>
          <w:p w14:paraId="2A04AD7F" w14:textId="77777777" w:rsidR="007138F1" w:rsidRPr="006B42D6" w:rsidRDefault="007138F1" w:rsidP="0034351C">
            <w:pPr>
              <w:pStyle w:val="NoSpacing"/>
              <w:spacing w:line="360" w:lineRule="auto"/>
              <w:jc w:val="center"/>
              <w:rPr>
                <w:rFonts w:ascii="Times New Roman" w:hAnsi="Times New Roman"/>
                <w:sz w:val="13"/>
                <w:szCs w:val="13"/>
              </w:rPr>
            </w:pPr>
            <w:r w:rsidRPr="006B42D6">
              <w:rPr>
                <w:rFonts w:ascii="Times New Roman" w:hAnsi="Times New Roman"/>
                <w:sz w:val="13"/>
                <w:szCs w:val="13"/>
              </w:rPr>
              <w:t>Total Planted Area (ha)</w:t>
            </w:r>
          </w:p>
        </w:tc>
        <w:tc>
          <w:tcPr>
            <w:tcW w:w="3247" w:type="pct"/>
            <w:gridSpan w:val="8"/>
            <w:tcBorders>
              <w:top w:val="single" w:sz="4" w:space="0" w:color="auto"/>
              <w:left w:val="single" w:sz="4" w:space="0" w:color="auto"/>
              <w:bottom w:val="single" w:sz="4" w:space="0" w:color="auto"/>
            </w:tcBorders>
            <w:shd w:val="clear" w:color="auto" w:fill="E2EFD9" w:themeFill="accent6" w:themeFillTint="33"/>
            <w:vAlign w:val="center"/>
            <w:hideMark/>
          </w:tcPr>
          <w:p w14:paraId="32E5B946" w14:textId="5A89338B" w:rsidR="007138F1" w:rsidRPr="006B42D6" w:rsidRDefault="007138F1" w:rsidP="0034351C">
            <w:pPr>
              <w:pStyle w:val="NoSpacing"/>
              <w:spacing w:line="360" w:lineRule="auto"/>
              <w:jc w:val="center"/>
              <w:rPr>
                <w:rFonts w:ascii="Times New Roman" w:hAnsi="Times New Roman"/>
                <w:sz w:val="13"/>
                <w:szCs w:val="13"/>
              </w:rPr>
            </w:pPr>
            <w:r w:rsidRPr="006B42D6">
              <w:rPr>
                <w:rFonts w:ascii="Times New Roman" w:hAnsi="Times New Roman"/>
                <w:sz w:val="13"/>
                <w:szCs w:val="13"/>
              </w:rPr>
              <w:t>Area Applied with Pesticides</w:t>
            </w:r>
          </w:p>
        </w:tc>
      </w:tr>
      <w:tr w:rsidR="006B42D6" w:rsidRPr="006B42D6" w14:paraId="6404CCD2" w14:textId="77777777" w:rsidTr="007138F1">
        <w:trPr>
          <w:trHeight w:val="283"/>
        </w:trPr>
        <w:tc>
          <w:tcPr>
            <w:tcW w:w="663" w:type="pct"/>
            <w:vMerge/>
            <w:shd w:val="clear" w:color="auto" w:fill="E2EFD9" w:themeFill="accent6" w:themeFillTint="33"/>
            <w:vAlign w:val="center"/>
            <w:hideMark/>
          </w:tcPr>
          <w:p w14:paraId="7DDFA239" w14:textId="77777777" w:rsidR="0070447D" w:rsidRPr="006B42D6" w:rsidRDefault="0070447D" w:rsidP="0034351C">
            <w:pPr>
              <w:pStyle w:val="NoSpacing"/>
              <w:spacing w:line="360" w:lineRule="auto"/>
              <w:rPr>
                <w:rFonts w:ascii="Times New Roman" w:hAnsi="Times New Roman"/>
                <w:sz w:val="13"/>
                <w:szCs w:val="13"/>
              </w:rPr>
            </w:pPr>
          </w:p>
        </w:tc>
        <w:tc>
          <w:tcPr>
            <w:tcW w:w="569" w:type="pct"/>
            <w:vMerge/>
            <w:tcBorders>
              <w:right w:val="single" w:sz="4" w:space="0" w:color="auto"/>
            </w:tcBorders>
            <w:shd w:val="clear" w:color="auto" w:fill="E2EFD9" w:themeFill="accent6" w:themeFillTint="33"/>
            <w:vAlign w:val="center"/>
            <w:hideMark/>
          </w:tcPr>
          <w:p w14:paraId="075F50FB" w14:textId="77777777" w:rsidR="0070447D" w:rsidRPr="006B42D6" w:rsidRDefault="0070447D" w:rsidP="0034351C">
            <w:pPr>
              <w:pStyle w:val="NoSpacing"/>
              <w:spacing w:line="360" w:lineRule="auto"/>
              <w:rPr>
                <w:rFonts w:ascii="Times New Roman" w:hAnsi="Times New Roman"/>
                <w:sz w:val="13"/>
                <w:szCs w:val="13"/>
              </w:rPr>
            </w:pPr>
          </w:p>
        </w:tc>
        <w:tc>
          <w:tcPr>
            <w:tcW w:w="521" w:type="pct"/>
            <w:vMerge/>
            <w:tcBorders>
              <w:left w:val="single" w:sz="4" w:space="0" w:color="auto"/>
              <w:right w:val="single" w:sz="4" w:space="0" w:color="auto"/>
            </w:tcBorders>
            <w:shd w:val="clear" w:color="auto" w:fill="E2EFD9" w:themeFill="accent6" w:themeFillTint="33"/>
            <w:vAlign w:val="center"/>
            <w:hideMark/>
          </w:tcPr>
          <w:p w14:paraId="6EB272CA" w14:textId="77777777" w:rsidR="0070447D" w:rsidRPr="006B42D6" w:rsidRDefault="0070447D" w:rsidP="0034351C">
            <w:pPr>
              <w:pStyle w:val="NoSpacing"/>
              <w:spacing w:line="360" w:lineRule="auto"/>
              <w:jc w:val="center"/>
              <w:rPr>
                <w:rFonts w:ascii="Times New Roman" w:hAnsi="Times New Roman"/>
                <w:sz w:val="13"/>
                <w:szCs w:val="13"/>
              </w:rPr>
            </w:pPr>
          </w:p>
        </w:tc>
        <w:tc>
          <w:tcPr>
            <w:tcW w:w="779" w:type="pct"/>
            <w:gridSpan w:val="2"/>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4EEAA5C5" w14:textId="77777777" w:rsidR="0070447D" w:rsidRPr="006B42D6" w:rsidRDefault="0070447D" w:rsidP="004E595E">
            <w:pPr>
              <w:pStyle w:val="NoSpacing"/>
              <w:spacing w:line="360" w:lineRule="auto"/>
              <w:jc w:val="center"/>
              <w:rPr>
                <w:rFonts w:ascii="Times New Roman" w:hAnsi="Times New Roman"/>
                <w:bCs/>
                <w:sz w:val="13"/>
                <w:szCs w:val="13"/>
              </w:rPr>
            </w:pPr>
            <w:r w:rsidRPr="006B42D6">
              <w:rPr>
                <w:rFonts w:ascii="Times New Roman" w:hAnsi="Times New Roman"/>
                <w:bCs/>
                <w:sz w:val="13"/>
                <w:szCs w:val="13"/>
              </w:rPr>
              <w:t>Herbicides</w:t>
            </w:r>
          </w:p>
        </w:tc>
        <w:tc>
          <w:tcPr>
            <w:tcW w:w="754" w:type="pct"/>
            <w:gridSpan w:val="2"/>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1AE6501C" w14:textId="77777777" w:rsidR="0070447D" w:rsidRPr="006B42D6" w:rsidRDefault="0070447D" w:rsidP="004E595E">
            <w:pPr>
              <w:pStyle w:val="NoSpacing"/>
              <w:spacing w:line="360" w:lineRule="auto"/>
              <w:jc w:val="center"/>
              <w:rPr>
                <w:rFonts w:ascii="Times New Roman" w:hAnsi="Times New Roman"/>
                <w:bCs/>
                <w:sz w:val="13"/>
                <w:szCs w:val="13"/>
              </w:rPr>
            </w:pPr>
            <w:r w:rsidRPr="006B42D6">
              <w:rPr>
                <w:rFonts w:ascii="Times New Roman" w:hAnsi="Times New Roman"/>
                <w:bCs/>
                <w:sz w:val="13"/>
                <w:szCs w:val="13"/>
              </w:rPr>
              <w:t>Fungicides</w:t>
            </w:r>
          </w:p>
        </w:tc>
        <w:tc>
          <w:tcPr>
            <w:tcW w:w="896" w:type="pct"/>
            <w:gridSpan w:val="2"/>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109BF7F9" w14:textId="77777777" w:rsidR="0070447D" w:rsidRPr="006B42D6" w:rsidRDefault="0070447D" w:rsidP="004E595E">
            <w:pPr>
              <w:pStyle w:val="NoSpacing"/>
              <w:spacing w:line="360" w:lineRule="auto"/>
              <w:jc w:val="center"/>
              <w:rPr>
                <w:rFonts w:ascii="Times New Roman" w:hAnsi="Times New Roman"/>
                <w:bCs/>
                <w:sz w:val="13"/>
                <w:szCs w:val="13"/>
              </w:rPr>
            </w:pPr>
            <w:r w:rsidRPr="006B42D6">
              <w:rPr>
                <w:rFonts w:ascii="Times New Roman" w:hAnsi="Times New Roman"/>
                <w:bCs/>
                <w:sz w:val="13"/>
                <w:szCs w:val="13"/>
              </w:rPr>
              <w:t>Insecticides</w:t>
            </w:r>
          </w:p>
        </w:tc>
        <w:tc>
          <w:tcPr>
            <w:tcW w:w="817" w:type="pct"/>
            <w:gridSpan w:val="2"/>
            <w:tcBorders>
              <w:left w:val="single" w:sz="4" w:space="0" w:color="auto"/>
              <w:bottom w:val="single" w:sz="4" w:space="0" w:color="auto"/>
            </w:tcBorders>
            <w:shd w:val="clear" w:color="auto" w:fill="E2EFD9" w:themeFill="accent6" w:themeFillTint="33"/>
            <w:vAlign w:val="center"/>
            <w:hideMark/>
          </w:tcPr>
          <w:p w14:paraId="4A84CEF8" w14:textId="054AF173" w:rsidR="0070447D" w:rsidRPr="006B42D6" w:rsidRDefault="007138F1" w:rsidP="0034351C">
            <w:pPr>
              <w:pStyle w:val="NoSpacing"/>
              <w:spacing w:line="360" w:lineRule="auto"/>
              <w:jc w:val="center"/>
              <w:rPr>
                <w:rFonts w:ascii="Times New Roman" w:hAnsi="Times New Roman"/>
                <w:sz w:val="13"/>
                <w:szCs w:val="13"/>
              </w:rPr>
            </w:pPr>
            <w:r w:rsidRPr="006B42D6">
              <w:rPr>
                <w:rFonts w:ascii="Times New Roman" w:hAnsi="Times New Roman"/>
                <w:sz w:val="13"/>
                <w:szCs w:val="13"/>
              </w:rPr>
              <w:t>Total</w:t>
            </w:r>
          </w:p>
        </w:tc>
      </w:tr>
      <w:tr w:rsidR="006B42D6" w:rsidRPr="006B42D6" w14:paraId="7234B294" w14:textId="77777777" w:rsidTr="007138F1">
        <w:trPr>
          <w:trHeight w:val="283"/>
        </w:trPr>
        <w:tc>
          <w:tcPr>
            <w:tcW w:w="663" w:type="pct"/>
            <w:vMerge/>
            <w:tcBorders>
              <w:bottom w:val="single" w:sz="4" w:space="0" w:color="auto"/>
            </w:tcBorders>
            <w:shd w:val="clear" w:color="auto" w:fill="E2EFD9" w:themeFill="accent6" w:themeFillTint="33"/>
            <w:vAlign w:val="center"/>
            <w:hideMark/>
          </w:tcPr>
          <w:p w14:paraId="27326E21" w14:textId="77777777" w:rsidR="0070447D" w:rsidRPr="006B42D6" w:rsidRDefault="0070447D" w:rsidP="0034351C">
            <w:pPr>
              <w:pStyle w:val="NoSpacing"/>
              <w:spacing w:line="360" w:lineRule="auto"/>
              <w:rPr>
                <w:rFonts w:ascii="Times New Roman" w:hAnsi="Times New Roman"/>
                <w:sz w:val="13"/>
                <w:szCs w:val="13"/>
              </w:rPr>
            </w:pPr>
          </w:p>
        </w:tc>
        <w:tc>
          <w:tcPr>
            <w:tcW w:w="569" w:type="pct"/>
            <w:vMerge/>
            <w:tcBorders>
              <w:bottom w:val="single" w:sz="4" w:space="0" w:color="auto"/>
              <w:right w:val="single" w:sz="4" w:space="0" w:color="auto"/>
            </w:tcBorders>
            <w:shd w:val="clear" w:color="auto" w:fill="E2EFD9" w:themeFill="accent6" w:themeFillTint="33"/>
            <w:vAlign w:val="center"/>
            <w:hideMark/>
          </w:tcPr>
          <w:p w14:paraId="54B7B9A9" w14:textId="77777777" w:rsidR="0070447D" w:rsidRPr="006B42D6" w:rsidRDefault="0070447D" w:rsidP="0034351C">
            <w:pPr>
              <w:pStyle w:val="NoSpacing"/>
              <w:spacing w:line="360" w:lineRule="auto"/>
              <w:rPr>
                <w:rFonts w:ascii="Times New Roman" w:hAnsi="Times New Roman"/>
                <w:sz w:val="13"/>
                <w:szCs w:val="13"/>
              </w:rPr>
            </w:pPr>
          </w:p>
        </w:tc>
        <w:tc>
          <w:tcPr>
            <w:tcW w:w="521" w:type="pct"/>
            <w:vMerge/>
            <w:tcBorders>
              <w:left w:val="single" w:sz="4" w:space="0" w:color="auto"/>
              <w:bottom w:val="single" w:sz="4" w:space="0" w:color="auto"/>
              <w:right w:val="single" w:sz="4" w:space="0" w:color="auto"/>
            </w:tcBorders>
            <w:shd w:val="clear" w:color="auto" w:fill="E2EFD9" w:themeFill="accent6" w:themeFillTint="33"/>
            <w:vAlign w:val="center"/>
            <w:hideMark/>
          </w:tcPr>
          <w:p w14:paraId="275A61C9" w14:textId="77777777" w:rsidR="0070447D" w:rsidRPr="006B42D6" w:rsidRDefault="0070447D" w:rsidP="0034351C">
            <w:pPr>
              <w:pStyle w:val="NoSpacing"/>
              <w:spacing w:line="360" w:lineRule="auto"/>
              <w:jc w:val="center"/>
              <w:rPr>
                <w:rFonts w:ascii="Times New Roman" w:hAnsi="Times New Roman"/>
                <w:sz w:val="13"/>
                <w:szCs w:val="13"/>
              </w:rPr>
            </w:pPr>
          </w:p>
        </w:tc>
        <w:tc>
          <w:tcPr>
            <w:tcW w:w="451" w:type="pct"/>
            <w:tcBorders>
              <w:top w:val="single" w:sz="4" w:space="0" w:color="auto"/>
              <w:left w:val="single" w:sz="4" w:space="0" w:color="auto"/>
              <w:bottom w:val="single" w:sz="4" w:space="0" w:color="auto"/>
            </w:tcBorders>
            <w:shd w:val="clear" w:color="auto" w:fill="E2EFD9" w:themeFill="accent6" w:themeFillTint="33"/>
            <w:vAlign w:val="center"/>
            <w:hideMark/>
          </w:tcPr>
          <w:p w14:paraId="51662A3E" w14:textId="7802282A" w:rsidR="0070447D" w:rsidRPr="006B42D6" w:rsidRDefault="003A0E6D" w:rsidP="0034351C">
            <w:pPr>
              <w:pStyle w:val="NoSpacing"/>
              <w:spacing w:line="360" w:lineRule="auto"/>
              <w:jc w:val="center"/>
              <w:rPr>
                <w:rFonts w:ascii="Times New Roman" w:hAnsi="Times New Roman"/>
                <w:bCs/>
                <w:sz w:val="13"/>
                <w:szCs w:val="13"/>
              </w:rPr>
            </w:pPr>
            <w:r w:rsidRPr="006B42D6">
              <w:rPr>
                <w:rFonts w:ascii="Times New Roman" w:hAnsi="Times New Roman"/>
                <w:bCs/>
                <w:sz w:val="13"/>
                <w:szCs w:val="13"/>
              </w:rPr>
              <w:t xml:space="preserve">Area </w:t>
            </w:r>
            <w:r w:rsidRPr="006B42D6">
              <w:rPr>
                <w:rFonts w:ascii="Times New Roman" w:hAnsi="Times New Roman"/>
                <w:sz w:val="13"/>
                <w:szCs w:val="13"/>
              </w:rPr>
              <w:t>(ha)</w:t>
            </w:r>
          </w:p>
        </w:tc>
        <w:tc>
          <w:tcPr>
            <w:tcW w:w="328" w:type="pct"/>
            <w:tcBorders>
              <w:top w:val="single" w:sz="4" w:space="0" w:color="auto"/>
              <w:bottom w:val="single" w:sz="4" w:space="0" w:color="auto"/>
              <w:right w:val="single" w:sz="4" w:space="0" w:color="auto"/>
            </w:tcBorders>
            <w:shd w:val="clear" w:color="auto" w:fill="E2EFD9" w:themeFill="accent6" w:themeFillTint="33"/>
            <w:noWrap/>
            <w:vAlign w:val="center"/>
            <w:hideMark/>
          </w:tcPr>
          <w:p w14:paraId="576F7EA3" w14:textId="36DC22F6" w:rsidR="0070447D" w:rsidRPr="006B42D6" w:rsidRDefault="00E173AB" w:rsidP="0034351C">
            <w:pPr>
              <w:pStyle w:val="NoSpacing"/>
              <w:spacing w:line="360" w:lineRule="auto"/>
              <w:jc w:val="center"/>
              <w:rPr>
                <w:rFonts w:ascii="Times New Roman" w:hAnsi="Times New Roman"/>
                <w:bCs/>
                <w:sz w:val="13"/>
                <w:szCs w:val="13"/>
              </w:rPr>
            </w:pPr>
            <w:r w:rsidRPr="006B42D6">
              <w:rPr>
                <w:rFonts w:ascii="Times New Roman" w:hAnsi="Times New Roman"/>
                <w:bCs/>
                <w:sz w:val="13"/>
                <w:szCs w:val="13"/>
              </w:rPr>
              <w:t>Percent</w:t>
            </w:r>
          </w:p>
        </w:tc>
        <w:tc>
          <w:tcPr>
            <w:tcW w:w="426" w:type="pct"/>
            <w:tcBorders>
              <w:top w:val="single" w:sz="4" w:space="0" w:color="auto"/>
              <w:left w:val="single" w:sz="4" w:space="0" w:color="auto"/>
              <w:bottom w:val="single" w:sz="4" w:space="0" w:color="auto"/>
            </w:tcBorders>
            <w:shd w:val="clear" w:color="auto" w:fill="E2EFD9" w:themeFill="accent6" w:themeFillTint="33"/>
            <w:vAlign w:val="center"/>
            <w:hideMark/>
          </w:tcPr>
          <w:p w14:paraId="6B5A258E" w14:textId="77EC42A4" w:rsidR="0070447D" w:rsidRPr="006B42D6" w:rsidRDefault="003A0E6D" w:rsidP="0034351C">
            <w:pPr>
              <w:pStyle w:val="NoSpacing"/>
              <w:spacing w:line="360" w:lineRule="auto"/>
              <w:jc w:val="center"/>
              <w:rPr>
                <w:rFonts w:ascii="Times New Roman" w:hAnsi="Times New Roman"/>
                <w:bCs/>
                <w:sz w:val="13"/>
                <w:szCs w:val="13"/>
              </w:rPr>
            </w:pPr>
            <w:r w:rsidRPr="006B42D6">
              <w:rPr>
                <w:rFonts w:ascii="Times New Roman" w:hAnsi="Times New Roman"/>
                <w:bCs/>
                <w:sz w:val="13"/>
                <w:szCs w:val="13"/>
              </w:rPr>
              <w:t xml:space="preserve">Area </w:t>
            </w:r>
            <w:r w:rsidRPr="006B42D6">
              <w:rPr>
                <w:rFonts w:ascii="Times New Roman" w:hAnsi="Times New Roman"/>
                <w:sz w:val="13"/>
                <w:szCs w:val="13"/>
              </w:rPr>
              <w:t>(ha)</w:t>
            </w:r>
          </w:p>
        </w:tc>
        <w:tc>
          <w:tcPr>
            <w:tcW w:w="328" w:type="pct"/>
            <w:tcBorders>
              <w:top w:val="single" w:sz="4" w:space="0" w:color="auto"/>
              <w:bottom w:val="single" w:sz="4" w:space="0" w:color="auto"/>
              <w:right w:val="single" w:sz="4" w:space="0" w:color="auto"/>
            </w:tcBorders>
            <w:shd w:val="clear" w:color="auto" w:fill="E2EFD9" w:themeFill="accent6" w:themeFillTint="33"/>
            <w:noWrap/>
            <w:vAlign w:val="center"/>
            <w:hideMark/>
          </w:tcPr>
          <w:p w14:paraId="7C5F9977" w14:textId="5173BA69" w:rsidR="0070447D" w:rsidRPr="006B42D6" w:rsidRDefault="00E173AB" w:rsidP="0034351C">
            <w:pPr>
              <w:pStyle w:val="NoSpacing"/>
              <w:spacing w:line="360" w:lineRule="auto"/>
              <w:jc w:val="center"/>
              <w:rPr>
                <w:rFonts w:ascii="Times New Roman" w:hAnsi="Times New Roman"/>
                <w:bCs/>
                <w:sz w:val="13"/>
                <w:szCs w:val="13"/>
              </w:rPr>
            </w:pPr>
            <w:r w:rsidRPr="006B42D6">
              <w:rPr>
                <w:rFonts w:ascii="Times New Roman" w:hAnsi="Times New Roman"/>
                <w:bCs/>
                <w:sz w:val="13"/>
                <w:szCs w:val="13"/>
              </w:rPr>
              <w:t>Percent</w:t>
            </w:r>
          </w:p>
        </w:tc>
        <w:tc>
          <w:tcPr>
            <w:tcW w:w="568" w:type="pct"/>
            <w:tcBorders>
              <w:top w:val="single" w:sz="4" w:space="0" w:color="auto"/>
              <w:left w:val="single" w:sz="4" w:space="0" w:color="auto"/>
              <w:bottom w:val="single" w:sz="4" w:space="0" w:color="auto"/>
            </w:tcBorders>
            <w:shd w:val="clear" w:color="auto" w:fill="E2EFD9" w:themeFill="accent6" w:themeFillTint="33"/>
            <w:vAlign w:val="center"/>
            <w:hideMark/>
          </w:tcPr>
          <w:p w14:paraId="7A8F652F" w14:textId="5FCB98BE" w:rsidR="0070447D" w:rsidRPr="006B42D6" w:rsidRDefault="003A0E6D" w:rsidP="0034351C">
            <w:pPr>
              <w:pStyle w:val="NoSpacing"/>
              <w:spacing w:line="360" w:lineRule="auto"/>
              <w:jc w:val="center"/>
              <w:rPr>
                <w:rFonts w:ascii="Times New Roman" w:hAnsi="Times New Roman"/>
                <w:bCs/>
                <w:sz w:val="13"/>
                <w:szCs w:val="13"/>
              </w:rPr>
            </w:pPr>
            <w:r w:rsidRPr="006B42D6">
              <w:rPr>
                <w:rFonts w:ascii="Times New Roman" w:hAnsi="Times New Roman"/>
                <w:bCs/>
                <w:sz w:val="13"/>
                <w:szCs w:val="13"/>
              </w:rPr>
              <w:t xml:space="preserve">Area </w:t>
            </w:r>
            <w:r w:rsidRPr="006B42D6">
              <w:rPr>
                <w:rFonts w:ascii="Times New Roman" w:hAnsi="Times New Roman"/>
                <w:sz w:val="13"/>
                <w:szCs w:val="13"/>
              </w:rPr>
              <w:t>(ha)</w:t>
            </w:r>
          </w:p>
        </w:tc>
        <w:tc>
          <w:tcPr>
            <w:tcW w:w="328" w:type="pct"/>
            <w:tcBorders>
              <w:top w:val="single" w:sz="4" w:space="0" w:color="auto"/>
              <w:bottom w:val="single" w:sz="4" w:space="0" w:color="auto"/>
              <w:right w:val="single" w:sz="4" w:space="0" w:color="auto"/>
            </w:tcBorders>
            <w:shd w:val="clear" w:color="auto" w:fill="E2EFD9" w:themeFill="accent6" w:themeFillTint="33"/>
            <w:noWrap/>
            <w:vAlign w:val="center"/>
            <w:hideMark/>
          </w:tcPr>
          <w:p w14:paraId="6A29BF1F" w14:textId="5B8E8F7A" w:rsidR="0070447D" w:rsidRPr="006B42D6" w:rsidRDefault="00E173AB" w:rsidP="0034351C">
            <w:pPr>
              <w:pStyle w:val="NoSpacing"/>
              <w:spacing w:line="360" w:lineRule="auto"/>
              <w:jc w:val="center"/>
              <w:rPr>
                <w:rFonts w:ascii="Times New Roman" w:hAnsi="Times New Roman"/>
                <w:bCs/>
                <w:sz w:val="13"/>
                <w:szCs w:val="13"/>
              </w:rPr>
            </w:pPr>
            <w:r w:rsidRPr="006B42D6">
              <w:rPr>
                <w:rFonts w:ascii="Times New Roman" w:hAnsi="Times New Roman"/>
                <w:bCs/>
                <w:sz w:val="13"/>
                <w:szCs w:val="13"/>
              </w:rPr>
              <w:t>Percent</w:t>
            </w:r>
          </w:p>
        </w:tc>
        <w:tc>
          <w:tcPr>
            <w:tcW w:w="489" w:type="pct"/>
            <w:tcBorders>
              <w:top w:val="single" w:sz="4" w:space="0" w:color="auto"/>
              <w:left w:val="single" w:sz="4" w:space="0" w:color="auto"/>
              <w:bottom w:val="single" w:sz="4" w:space="0" w:color="auto"/>
            </w:tcBorders>
            <w:shd w:val="clear" w:color="auto" w:fill="E2EFD9" w:themeFill="accent6" w:themeFillTint="33"/>
            <w:vAlign w:val="center"/>
            <w:hideMark/>
          </w:tcPr>
          <w:p w14:paraId="5E95FCA0" w14:textId="38BF3369" w:rsidR="0070447D" w:rsidRPr="006B42D6" w:rsidRDefault="003A0E6D" w:rsidP="0034351C">
            <w:pPr>
              <w:pStyle w:val="NoSpacing"/>
              <w:spacing w:line="360" w:lineRule="auto"/>
              <w:jc w:val="center"/>
              <w:rPr>
                <w:rFonts w:ascii="Times New Roman" w:hAnsi="Times New Roman"/>
                <w:sz w:val="13"/>
                <w:szCs w:val="13"/>
              </w:rPr>
            </w:pPr>
            <w:r w:rsidRPr="006B42D6">
              <w:rPr>
                <w:rFonts w:ascii="Times New Roman" w:hAnsi="Times New Roman"/>
                <w:bCs/>
                <w:sz w:val="13"/>
                <w:szCs w:val="13"/>
              </w:rPr>
              <w:t xml:space="preserve">Area </w:t>
            </w:r>
            <w:r w:rsidRPr="006B42D6">
              <w:rPr>
                <w:rFonts w:ascii="Times New Roman" w:hAnsi="Times New Roman"/>
                <w:sz w:val="13"/>
                <w:szCs w:val="13"/>
              </w:rPr>
              <w:t>(ha)</w:t>
            </w:r>
          </w:p>
        </w:tc>
        <w:tc>
          <w:tcPr>
            <w:tcW w:w="328" w:type="pct"/>
            <w:tcBorders>
              <w:top w:val="single" w:sz="4" w:space="0" w:color="auto"/>
              <w:bottom w:val="single" w:sz="4" w:space="0" w:color="auto"/>
            </w:tcBorders>
            <w:shd w:val="clear" w:color="auto" w:fill="E2EFD9" w:themeFill="accent6" w:themeFillTint="33"/>
            <w:noWrap/>
            <w:vAlign w:val="center"/>
            <w:hideMark/>
          </w:tcPr>
          <w:p w14:paraId="3B096356" w14:textId="6BC0EB98" w:rsidR="0070447D" w:rsidRPr="006B42D6" w:rsidRDefault="00E173AB" w:rsidP="0034351C">
            <w:pPr>
              <w:pStyle w:val="NoSpacing"/>
              <w:spacing w:line="360" w:lineRule="auto"/>
              <w:jc w:val="center"/>
              <w:rPr>
                <w:rFonts w:ascii="Times New Roman" w:hAnsi="Times New Roman"/>
                <w:bCs/>
                <w:sz w:val="13"/>
                <w:szCs w:val="13"/>
              </w:rPr>
            </w:pPr>
            <w:r w:rsidRPr="006B42D6">
              <w:rPr>
                <w:rFonts w:ascii="Times New Roman" w:hAnsi="Times New Roman"/>
                <w:bCs/>
                <w:sz w:val="13"/>
                <w:szCs w:val="13"/>
              </w:rPr>
              <w:t>Percent</w:t>
            </w:r>
          </w:p>
        </w:tc>
      </w:tr>
      <w:tr w:rsidR="006B42D6" w:rsidRPr="006B42D6" w14:paraId="472CFAD3" w14:textId="77777777" w:rsidTr="007138F1">
        <w:trPr>
          <w:trHeight w:val="283"/>
        </w:trPr>
        <w:tc>
          <w:tcPr>
            <w:tcW w:w="663" w:type="pct"/>
            <w:vMerge w:val="restart"/>
            <w:tcBorders>
              <w:top w:val="single" w:sz="4" w:space="0" w:color="auto"/>
            </w:tcBorders>
            <w:shd w:val="clear" w:color="auto" w:fill="FFFFFF"/>
            <w:noWrap/>
            <w:vAlign w:val="center"/>
            <w:hideMark/>
          </w:tcPr>
          <w:p w14:paraId="6543A3B2" w14:textId="7CDF0628" w:rsidR="0070447D" w:rsidRPr="006B42D6" w:rsidRDefault="00EA1552" w:rsidP="0034351C">
            <w:pPr>
              <w:pStyle w:val="NoSpacing"/>
              <w:spacing w:line="360" w:lineRule="auto"/>
              <w:rPr>
                <w:rFonts w:ascii="Times New Roman" w:hAnsi="Times New Roman"/>
                <w:sz w:val="13"/>
                <w:szCs w:val="13"/>
              </w:rPr>
            </w:pPr>
            <w:r>
              <w:rPr>
                <w:rFonts w:ascii="Times New Roman" w:hAnsi="Times New Roman"/>
                <w:sz w:val="13"/>
                <w:szCs w:val="13"/>
              </w:rPr>
              <w:t>Mainland Tanzania</w:t>
            </w:r>
          </w:p>
        </w:tc>
        <w:tc>
          <w:tcPr>
            <w:tcW w:w="569" w:type="pct"/>
            <w:tcBorders>
              <w:top w:val="single" w:sz="4" w:space="0" w:color="auto"/>
              <w:right w:val="single" w:sz="4" w:space="0" w:color="auto"/>
            </w:tcBorders>
            <w:shd w:val="clear" w:color="auto" w:fill="FFFFFF"/>
            <w:noWrap/>
            <w:vAlign w:val="center"/>
            <w:hideMark/>
          </w:tcPr>
          <w:p w14:paraId="6EEBC73E" w14:textId="6142E33D" w:rsidR="0070447D" w:rsidRPr="006B42D6" w:rsidRDefault="0070447D" w:rsidP="00B4501D">
            <w:pPr>
              <w:pStyle w:val="NoSpacing"/>
              <w:spacing w:line="360" w:lineRule="auto"/>
              <w:rPr>
                <w:rFonts w:ascii="Times New Roman" w:hAnsi="Times New Roman"/>
                <w:sz w:val="13"/>
                <w:szCs w:val="13"/>
              </w:rPr>
            </w:pPr>
            <w:r w:rsidRPr="006B42D6">
              <w:rPr>
                <w:rFonts w:ascii="Times New Roman" w:hAnsi="Times New Roman"/>
                <w:sz w:val="13"/>
                <w:szCs w:val="13"/>
              </w:rPr>
              <w:t xml:space="preserve">Short </w:t>
            </w:r>
            <w:r w:rsidR="004865C0">
              <w:rPr>
                <w:rFonts w:ascii="Times New Roman" w:hAnsi="Times New Roman"/>
                <w:sz w:val="13"/>
                <w:szCs w:val="13"/>
              </w:rPr>
              <w:t>Rainy</w:t>
            </w:r>
          </w:p>
        </w:tc>
        <w:tc>
          <w:tcPr>
            <w:tcW w:w="521" w:type="pct"/>
            <w:tcBorders>
              <w:top w:val="single" w:sz="4" w:space="0" w:color="auto"/>
              <w:left w:val="single" w:sz="4" w:space="0" w:color="auto"/>
              <w:right w:val="single" w:sz="4" w:space="0" w:color="auto"/>
            </w:tcBorders>
            <w:shd w:val="clear" w:color="auto" w:fill="FFFFFF"/>
            <w:noWrap/>
            <w:vAlign w:val="center"/>
            <w:hideMark/>
          </w:tcPr>
          <w:p w14:paraId="66477EB9" w14:textId="77777777" w:rsidR="0070447D" w:rsidRPr="006B42D6" w:rsidRDefault="0070447D" w:rsidP="00B4501D">
            <w:pPr>
              <w:pStyle w:val="NoSpacing"/>
              <w:spacing w:line="360" w:lineRule="auto"/>
              <w:jc w:val="right"/>
              <w:rPr>
                <w:rFonts w:ascii="Times New Roman" w:hAnsi="Times New Roman"/>
                <w:sz w:val="13"/>
                <w:szCs w:val="13"/>
              </w:rPr>
            </w:pPr>
            <w:r w:rsidRPr="006B42D6">
              <w:rPr>
                <w:rFonts w:ascii="Times New Roman" w:hAnsi="Times New Roman"/>
                <w:sz w:val="13"/>
                <w:szCs w:val="13"/>
              </w:rPr>
              <w:t>3,269,062</w:t>
            </w:r>
          </w:p>
        </w:tc>
        <w:tc>
          <w:tcPr>
            <w:tcW w:w="451" w:type="pct"/>
            <w:tcBorders>
              <w:top w:val="single" w:sz="4" w:space="0" w:color="auto"/>
              <w:left w:val="single" w:sz="4" w:space="0" w:color="auto"/>
            </w:tcBorders>
            <w:shd w:val="clear" w:color="auto" w:fill="FFFFFF"/>
            <w:noWrap/>
            <w:vAlign w:val="center"/>
            <w:hideMark/>
          </w:tcPr>
          <w:p w14:paraId="5FD559F2" w14:textId="77777777" w:rsidR="0070447D" w:rsidRPr="006B42D6" w:rsidRDefault="0070447D" w:rsidP="00B4501D">
            <w:pPr>
              <w:pStyle w:val="NoSpacing"/>
              <w:spacing w:line="360" w:lineRule="auto"/>
              <w:ind w:hanging="249"/>
              <w:jc w:val="right"/>
              <w:rPr>
                <w:rFonts w:ascii="Times New Roman" w:hAnsi="Times New Roman"/>
                <w:sz w:val="13"/>
                <w:szCs w:val="13"/>
              </w:rPr>
            </w:pPr>
            <w:r w:rsidRPr="006B42D6">
              <w:rPr>
                <w:rFonts w:ascii="Times New Roman" w:hAnsi="Times New Roman"/>
                <w:sz w:val="13"/>
                <w:szCs w:val="13"/>
              </w:rPr>
              <w:t>227,925</w:t>
            </w:r>
          </w:p>
        </w:tc>
        <w:tc>
          <w:tcPr>
            <w:tcW w:w="328" w:type="pct"/>
            <w:tcBorders>
              <w:top w:val="single" w:sz="4" w:space="0" w:color="auto"/>
              <w:right w:val="single" w:sz="4" w:space="0" w:color="auto"/>
            </w:tcBorders>
            <w:shd w:val="clear" w:color="auto" w:fill="FFFFFF"/>
            <w:noWrap/>
            <w:vAlign w:val="center"/>
            <w:hideMark/>
          </w:tcPr>
          <w:p w14:paraId="16E8717B" w14:textId="77777777" w:rsidR="0070447D" w:rsidRPr="006B42D6" w:rsidRDefault="0070447D" w:rsidP="00B4501D">
            <w:pPr>
              <w:pStyle w:val="NoSpacing"/>
              <w:spacing w:line="360" w:lineRule="auto"/>
              <w:ind w:hanging="43"/>
              <w:jc w:val="right"/>
              <w:rPr>
                <w:rFonts w:ascii="Times New Roman" w:hAnsi="Times New Roman"/>
                <w:sz w:val="13"/>
                <w:szCs w:val="13"/>
              </w:rPr>
            </w:pPr>
            <w:r w:rsidRPr="006B42D6">
              <w:rPr>
                <w:rFonts w:ascii="Times New Roman" w:hAnsi="Times New Roman"/>
                <w:sz w:val="13"/>
                <w:szCs w:val="13"/>
              </w:rPr>
              <w:t>7.0</w:t>
            </w:r>
          </w:p>
        </w:tc>
        <w:tc>
          <w:tcPr>
            <w:tcW w:w="426" w:type="pct"/>
            <w:tcBorders>
              <w:top w:val="single" w:sz="4" w:space="0" w:color="auto"/>
              <w:left w:val="single" w:sz="4" w:space="0" w:color="auto"/>
            </w:tcBorders>
            <w:shd w:val="clear" w:color="auto" w:fill="FFFFFF"/>
            <w:noWrap/>
            <w:vAlign w:val="center"/>
            <w:hideMark/>
          </w:tcPr>
          <w:p w14:paraId="6E5649FB" w14:textId="77777777" w:rsidR="0070447D" w:rsidRPr="006B42D6" w:rsidRDefault="0070447D" w:rsidP="00B4501D">
            <w:pPr>
              <w:pStyle w:val="NoSpacing"/>
              <w:spacing w:line="360" w:lineRule="auto"/>
              <w:jc w:val="right"/>
              <w:rPr>
                <w:rFonts w:ascii="Times New Roman" w:hAnsi="Times New Roman"/>
                <w:sz w:val="13"/>
                <w:szCs w:val="13"/>
              </w:rPr>
            </w:pPr>
            <w:r w:rsidRPr="006B42D6">
              <w:rPr>
                <w:rFonts w:ascii="Times New Roman" w:hAnsi="Times New Roman"/>
                <w:sz w:val="13"/>
                <w:szCs w:val="13"/>
              </w:rPr>
              <w:t>81,154</w:t>
            </w:r>
          </w:p>
        </w:tc>
        <w:tc>
          <w:tcPr>
            <w:tcW w:w="328" w:type="pct"/>
            <w:tcBorders>
              <w:top w:val="single" w:sz="4" w:space="0" w:color="auto"/>
              <w:right w:val="single" w:sz="4" w:space="0" w:color="auto"/>
            </w:tcBorders>
            <w:shd w:val="clear" w:color="auto" w:fill="FFFFFF"/>
            <w:noWrap/>
            <w:vAlign w:val="center"/>
            <w:hideMark/>
          </w:tcPr>
          <w:p w14:paraId="7F611B44" w14:textId="77777777" w:rsidR="0070447D" w:rsidRPr="006B42D6" w:rsidRDefault="0070447D" w:rsidP="00B4501D">
            <w:pPr>
              <w:pStyle w:val="NoSpacing"/>
              <w:spacing w:line="360" w:lineRule="auto"/>
              <w:jc w:val="right"/>
              <w:rPr>
                <w:rFonts w:ascii="Times New Roman" w:hAnsi="Times New Roman"/>
                <w:sz w:val="13"/>
                <w:szCs w:val="13"/>
              </w:rPr>
            </w:pPr>
            <w:r w:rsidRPr="006B42D6">
              <w:rPr>
                <w:rFonts w:ascii="Times New Roman" w:hAnsi="Times New Roman"/>
                <w:sz w:val="13"/>
                <w:szCs w:val="13"/>
              </w:rPr>
              <w:t>2.5</w:t>
            </w:r>
          </w:p>
        </w:tc>
        <w:tc>
          <w:tcPr>
            <w:tcW w:w="568" w:type="pct"/>
            <w:tcBorders>
              <w:top w:val="single" w:sz="4" w:space="0" w:color="auto"/>
              <w:left w:val="single" w:sz="4" w:space="0" w:color="auto"/>
            </w:tcBorders>
            <w:shd w:val="clear" w:color="auto" w:fill="FFFFFF"/>
            <w:noWrap/>
            <w:vAlign w:val="center"/>
            <w:hideMark/>
          </w:tcPr>
          <w:p w14:paraId="4B5FEDEC" w14:textId="77777777" w:rsidR="0070447D" w:rsidRPr="006B42D6" w:rsidRDefault="0070447D" w:rsidP="00B4501D">
            <w:pPr>
              <w:pStyle w:val="NoSpacing"/>
              <w:spacing w:line="360" w:lineRule="auto"/>
              <w:jc w:val="right"/>
              <w:rPr>
                <w:rFonts w:ascii="Times New Roman" w:hAnsi="Times New Roman"/>
                <w:sz w:val="13"/>
                <w:szCs w:val="13"/>
              </w:rPr>
            </w:pPr>
            <w:r w:rsidRPr="006B42D6">
              <w:rPr>
                <w:rFonts w:ascii="Times New Roman" w:hAnsi="Times New Roman"/>
                <w:sz w:val="13"/>
                <w:szCs w:val="13"/>
              </w:rPr>
              <w:t>530,877</w:t>
            </w:r>
          </w:p>
        </w:tc>
        <w:tc>
          <w:tcPr>
            <w:tcW w:w="328" w:type="pct"/>
            <w:tcBorders>
              <w:top w:val="single" w:sz="4" w:space="0" w:color="auto"/>
              <w:right w:val="single" w:sz="4" w:space="0" w:color="auto"/>
            </w:tcBorders>
            <w:shd w:val="clear" w:color="auto" w:fill="FFFFFF"/>
            <w:noWrap/>
            <w:vAlign w:val="center"/>
            <w:hideMark/>
          </w:tcPr>
          <w:p w14:paraId="3A375811" w14:textId="77777777" w:rsidR="0070447D" w:rsidRPr="006B42D6" w:rsidRDefault="0070447D" w:rsidP="00B4501D">
            <w:pPr>
              <w:pStyle w:val="NoSpacing"/>
              <w:spacing w:line="360" w:lineRule="auto"/>
              <w:jc w:val="right"/>
              <w:rPr>
                <w:rFonts w:ascii="Times New Roman" w:hAnsi="Times New Roman"/>
                <w:sz w:val="13"/>
                <w:szCs w:val="13"/>
              </w:rPr>
            </w:pPr>
            <w:r w:rsidRPr="006B42D6">
              <w:rPr>
                <w:rFonts w:ascii="Times New Roman" w:hAnsi="Times New Roman"/>
                <w:sz w:val="13"/>
                <w:szCs w:val="13"/>
              </w:rPr>
              <w:t>16.2</w:t>
            </w:r>
          </w:p>
        </w:tc>
        <w:tc>
          <w:tcPr>
            <w:tcW w:w="489" w:type="pct"/>
            <w:tcBorders>
              <w:top w:val="single" w:sz="4" w:space="0" w:color="auto"/>
              <w:left w:val="single" w:sz="4" w:space="0" w:color="auto"/>
            </w:tcBorders>
            <w:shd w:val="clear" w:color="auto" w:fill="FFFFFF"/>
            <w:noWrap/>
            <w:vAlign w:val="center"/>
            <w:hideMark/>
          </w:tcPr>
          <w:p w14:paraId="783A5C23" w14:textId="77777777" w:rsidR="0070447D" w:rsidRPr="006B42D6" w:rsidRDefault="0070447D" w:rsidP="00B4501D">
            <w:pPr>
              <w:pStyle w:val="NoSpacing"/>
              <w:spacing w:line="360" w:lineRule="auto"/>
              <w:jc w:val="right"/>
              <w:rPr>
                <w:rFonts w:ascii="Times New Roman" w:hAnsi="Times New Roman"/>
                <w:sz w:val="13"/>
                <w:szCs w:val="13"/>
              </w:rPr>
            </w:pPr>
            <w:r w:rsidRPr="006B42D6">
              <w:rPr>
                <w:rFonts w:ascii="Times New Roman" w:hAnsi="Times New Roman"/>
                <w:sz w:val="13"/>
                <w:szCs w:val="13"/>
              </w:rPr>
              <w:t>839,956</w:t>
            </w:r>
          </w:p>
        </w:tc>
        <w:tc>
          <w:tcPr>
            <w:tcW w:w="328" w:type="pct"/>
            <w:tcBorders>
              <w:top w:val="single" w:sz="4" w:space="0" w:color="auto"/>
            </w:tcBorders>
            <w:shd w:val="clear" w:color="auto" w:fill="FFFFFF"/>
            <w:noWrap/>
            <w:vAlign w:val="center"/>
            <w:hideMark/>
          </w:tcPr>
          <w:p w14:paraId="71EDB45B" w14:textId="77777777" w:rsidR="0070447D" w:rsidRPr="006B42D6" w:rsidRDefault="0070447D" w:rsidP="00B4501D">
            <w:pPr>
              <w:pStyle w:val="NoSpacing"/>
              <w:spacing w:line="360" w:lineRule="auto"/>
              <w:jc w:val="right"/>
              <w:rPr>
                <w:rFonts w:ascii="Times New Roman" w:hAnsi="Times New Roman"/>
                <w:sz w:val="13"/>
                <w:szCs w:val="13"/>
              </w:rPr>
            </w:pPr>
            <w:r w:rsidRPr="006B42D6">
              <w:rPr>
                <w:rFonts w:ascii="Times New Roman" w:hAnsi="Times New Roman"/>
                <w:sz w:val="13"/>
                <w:szCs w:val="13"/>
              </w:rPr>
              <w:t>25.7</w:t>
            </w:r>
          </w:p>
        </w:tc>
      </w:tr>
      <w:tr w:rsidR="006B42D6" w:rsidRPr="006B42D6" w14:paraId="0A007C8E" w14:textId="77777777" w:rsidTr="007138F1">
        <w:trPr>
          <w:trHeight w:val="283"/>
        </w:trPr>
        <w:tc>
          <w:tcPr>
            <w:tcW w:w="663" w:type="pct"/>
            <w:vMerge/>
            <w:shd w:val="clear" w:color="auto" w:fill="FFFFFF"/>
            <w:noWrap/>
            <w:vAlign w:val="center"/>
            <w:hideMark/>
          </w:tcPr>
          <w:p w14:paraId="239F3C8F" w14:textId="77777777" w:rsidR="0070447D" w:rsidRPr="006B42D6" w:rsidRDefault="0070447D" w:rsidP="0034351C">
            <w:pPr>
              <w:pStyle w:val="NoSpacing"/>
              <w:spacing w:line="360" w:lineRule="auto"/>
              <w:rPr>
                <w:rFonts w:ascii="Times New Roman" w:hAnsi="Times New Roman"/>
                <w:sz w:val="13"/>
                <w:szCs w:val="13"/>
              </w:rPr>
            </w:pPr>
          </w:p>
        </w:tc>
        <w:tc>
          <w:tcPr>
            <w:tcW w:w="569" w:type="pct"/>
            <w:tcBorders>
              <w:right w:val="single" w:sz="4" w:space="0" w:color="auto"/>
            </w:tcBorders>
            <w:shd w:val="clear" w:color="auto" w:fill="FFFFFF"/>
            <w:noWrap/>
            <w:vAlign w:val="center"/>
            <w:hideMark/>
          </w:tcPr>
          <w:p w14:paraId="2EE2ED80" w14:textId="16E21163" w:rsidR="0070447D" w:rsidRPr="006B42D6" w:rsidRDefault="0070447D" w:rsidP="00B4501D">
            <w:pPr>
              <w:pStyle w:val="NoSpacing"/>
              <w:spacing w:line="360" w:lineRule="auto"/>
              <w:rPr>
                <w:rFonts w:ascii="Times New Roman" w:hAnsi="Times New Roman"/>
                <w:sz w:val="13"/>
                <w:szCs w:val="13"/>
              </w:rPr>
            </w:pPr>
            <w:r w:rsidRPr="006B42D6">
              <w:rPr>
                <w:rFonts w:ascii="Times New Roman" w:hAnsi="Times New Roman"/>
                <w:sz w:val="13"/>
                <w:szCs w:val="13"/>
              </w:rPr>
              <w:t xml:space="preserve">Long </w:t>
            </w:r>
            <w:r w:rsidR="004865C0">
              <w:rPr>
                <w:rFonts w:ascii="Times New Roman" w:hAnsi="Times New Roman"/>
                <w:sz w:val="13"/>
                <w:szCs w:val="13"/>
              </w:rPr>
              <w:t>Rainy</w:t>
            </w:r>
          </w:p>
        </w:tc>
        <w:tc>
          <w:tcPr>
            <w:tcW w:w="521" w:type="pct"/>
            <w:tcBorders>
              <w:left w:val="single" w:sz="4" w:space="0" w:color="auto"/>
              <w:right w:val="single" w:sz="4" w:space="0" w:color="auto"/>
            </w:tcBorders>
            <w:shd w:val="clear" w:color="auto" w:fill="FFFFFF"/>
            <w:noWrap/>
            <w:vAlign w:val="center"/>
            <w:hideMark/>
          </w:tcPr>
          <w:p w14:paraId="52BE2024" w14:textId="77777777" w:rsidR="0070447D" w:rsidRPr="006B42D6" w:rsidRDefault="0070447D" w:rsidP="00B4501D">
            <w:pPr>
              <w:pStyle w:val="NoSpacing"/>
              <w:spacing w:line="360" w:lineRule="auto"/>
              <w:jc w:val="right"/>
              <w:rPr>
                <w:rFonts w:ascii="Times New Roman" w:hAnsi="Times New Roman"/>
                <w:sz w:val="13"/>
                <w:szCs w:val="13"/>
              </w:rPr>
            </w:pPr>
            <w:r w:rsidRPr="006B42D6">
              <w:rPr>
                <w:rFonts w:ascii="Times New Roman" w:hAnsi="Times New Roman"/>
                <w:sz w:val="13"/>
                <w:szCs w:val="13"/>
              </w:rPr>
              <w:t>8,370,000</w:t>
            </w:r>
          </w:p>
        </w:tc>
        <w:tc>
          <w:tcPr>
            <w:tcW w:w="451" w:type="pct"/>
            <w:tcBorders>
              <w:left w:val="single" w:sz="4" w:space="0" w:color="auto"/>
            </w:tcBorders>
            <w:shd w:val="clear" w:color="auto" w:fill="FFFFFF"/>
            <w:noWrap/>
            <w:vAlign w:val="center"/>
            <w:hideMark/>
          </w:tcPr>
          <w:p w14:paraId="62E3DA58" w14:textId="77777777" w:rsidR="0070447D" w:rsidRPr="006B42D6" w:rsidRDefault="0070447D" w:rsidP="00B4501D">
            <w:pPr>
              <w:pStyle w:val="NoSpacing"/>
              <w:spacing w:line="360" w:lineRule="auto"/>
              <w:ind w:hanging="249"/>
              <w:jc w:val="right"/>
              <w:rPr>
                <w:rFonts w:ascii="Times New Roman" w:hAnsi="Times New Roman"/>
                <w:sz w:val="13"/>
                <w:szCs w:val="13"/>
              </w:rPr>
            </w:pPr>
            <w:r w:rsidRPr="006B42D6">
              <w:rPr>
                <w:rFonts w:ascii="Times New Roman" w:hAnsi="Times New Roman"/>
                <w:sz w:val="13"/>
                <w:szCs w:val="13"/>
              </w:rPr>
              <w:t>811,784</w:t>
            </w:r>
          </w:p>
        </w:tc>
        <w:tc>
          <w:tcPr>
            <w:tcW w:w="328" w:type="pct"/>
            <w:tcBorders>
              <w:right w:val="single" w:sz="4" w:space="0" w:color="auto"/>
            </w:tcBorders>
            <w:shd w:val="clear" w:color="auto" w:fill="FFFFFF"/>
            <w:noWrap/>
            <w:vAlign w:val="center"/>
            <w:hideMark/>
          </w:tcPr>
          <w:p w14:paraId="5A3C56EE" w14:textId="77777777" w:rsidR="0070447D" w:rsidRPr="006B42D6" w:rsidRDefault="0070447D" w:rsidP="00B4501D">
            <w:pPr>
              <w:pStyle w:val="NoSpacing"/>
              <w:spacing w:line="360" w:lineRule="auto"/>
              <w:ind w:hanging="43"/>
              <w:jc w:val="right"/>
              <w:rPr>
                <w:rFonts w:ascii="Times New Roman" w:hAnsi="Times New Roman"/>
                <w:sz w:val="13"/>
                <w:szCs w:val="13"/>
              </w:rPr>
            </w:pPr>
            <w:r w:rsidRPr="006B42D6">
              <w:rPr>
                <w:rFonts w:ascii="Times New Roman" w:hAnsi="Times New Roman"/>
                <w:sz w:val="13"/>
                <w:szCs w:val="13"/>
              </w:rPr>
              <w:t>9.7</w:t>
            </w:r>
          </w:p>
        </w:tc>
        <w:tc>
          <w:tcPr>
            <w:tcW w:w="426" w:type="pct"/>
            <w:tcBorders>
              <w:left w:val="single" w:sz="4" w:space="0" w:color="auto"/>
            </w:tcBorders>
            <w:shd w:val="clear" w:color="auto" w:fill="FFFFFF"/>
            <w:noWrap/>
            <w:vAlign w:val="center"/>
            <w:hideMark/>
          </w:tcPr>
          <w:p w14:paraId="57DFD70E" w14:textId="77777777" w:rsidR="0070447D" w:rsidRPr="006B42D6" w:rsidRDefault="0070447D" w:rsidP="00B4501D">
            <w:pPr>
              <w:pStyle w:val="NoSpacing"/>
              <w:spacing w:line="360" w:lineRule="auto"/>
              <w:jc w:val="right"/>
              <w:rPr>
                <w:rFonts w:ascii="Times New Roman" w:hAnsi="Times New Roman"/>
                <w:sz w:val="13"/>
                <w:szCs w:val="13"/>
              </w:rPr>
            </w:pPr>
            <w:r w:rsidRPr="006B42D6">
              <w:rPr>
                <w:rFonts w:ascii="Times New Roman" w:hAnsi="Times New Roman"/>
                <w:sz w:val="13"/>
                <w:szCs w:val="13"/>
              </w:rPr>
              <w:t>177,613</w:t>
            </w:r>
          </w:p>
        </w:tc>
        <w:tc>
          <w:tcPr>
            <w:tcW w:w="328" w:type="pct"/>
            <w:tcBorders>
              <w:right w:val="single" w:sz="4" w:space="0" w:color="auto"/>
            </w:tcBorders>
            <w:shd w:val="clear" w:color="auto" w:fill="FFFFFF"/>
            <w:noWrap/>
            <w:vAlign w:val="center"/>
            <w:hideMark/>
          </w:tcPr>
          <w:p w14:paraId="414A11D2" w14:textId="77777777" w:rsidR="0070447D" w:rsidRPr="006B42D6" w:rsidRDefault="0070447D" w:rsidP="00B4501D">
            <w:pPr>
              <w:pStyle w:val="NoSpacing"/>
              <w:spacing w:line="360" w:lineRule="auto"/>
              <w:jc w:val="right"/>
              <w:rPr>
                <w:rFonts w:ascii="Times New Roman" w:hAnsi="Times New Roman"/>
                <w:sz w:val="13"/>
                <w:szCs w:val="13"/>
              </w:rPr>
            </w:pPr>
            <w:r w:rsidRPr="006B42D6">
              <w:rPr>
                <w:rFonts w:ascii="Times New Roman" w:hAnsi="Times New Roman"/>
                <w:sz w:val="13"/>
                <w:szCs w:val="13"/>
              </w:rPr>
              <w:t>2.1</w:t>
            </w:r>
          </w:p>
        </w:tc>
        <w:tc>
          <w:tcPr>
            <w:tcW w:w="568" w:type="pct"/>
            <w:tcBorders>
              <w:left w:val="single" w:sz="4" w:space="0" w:color="auto"/>
            </w:tcBorders>
            <w:shd w:val="clear" w:color="auto" w:fill="FFFFFF"/>
            <w:noWrap/>
            <w:vAlign w:val="center"/>
            <w:hideMark/>
          </w:tcPr>
          <w:p w14:paraId="519A880B" w14:textId="77777777" w:rsidR="0070447D" w:rsidRPr="006B42D6" w:rsidRDefault="0070447D" w:rsidP="00B4501D">
            <w:pPr>
              <w:pStyle w:val="NoSpacing"/>
              <w:spacing w:line="360" w:lineRule="auto"/>
              <w:jc w:val="right"/>
              <w:rPr>
                <w:rFonts w:ascii="Times New Roman" w:hAnsi="Times New Roman"/>
                <w:sz w:val="13"/>
                <w:szCs w:val="13"/>
              </w:rPr>
            </w:pPr>
            <w:r w:rsidRPr="006B42D6">
              <w:rPr>
                <w:rFonts w:ascii="Times New Roman" w:hAnsi="Times New Roman"/>
                <w:sz w:val="13"/>
                <w:szCs w:val="13"/>
              </w:rPr>
              <w:t>1,303,152</w:t>
            </w:r>
          </w:p>
        </w:tc>
        <w:tc>
          <w:tcPr>
            <w:tcW w:w="328" w:type="pct"/>
            <w:tcBorders>
              <w:right w:val="single" w:sz="4" w:space="0" w:color="auto"/>
            </w:tcBorders>
            <w:shd w:val="clear" w:color="auto" w:fill="FFFFFF"/>
            <w:noWrap/>
            <w:vAlign w:val="center"/>
            <w:hideMark/>
          </w:tcPr>
          <w:p w14:paraId="3061F746" w14:textId="77777777" w:rsidR="0070447D" w:rsidRPr="006B42D6" w:rsidRDefault="0070447D" w:rsidP="00B4501D">
            <w:pPr>
              <w:pStyle w:val="NoSpacing"/>
              <w:spacing w:line="360" w:lineRule="auto"/>
              <w:jc w:val="right"/>
              <w:rPr>
                <w:rFonts w:ascii="Times New Roman" w:hAnsi="Times New Roman"/>
                <w:sz w:val="13"/>
                <w:szCs w:val="13"/>
              </w:rPr>
            </w:pPr>
            <w:r w:rsidRPr="006B42D6">
              <w:rPr>
                <w:rFonts w:ascii="Times New Roman" w:hAnsi="Times New Roman"/>
                <w:sz w:val="13"/>
                <w:szCs w:val="13"/>
              </w:rPr>
              <w:t>15.6</w:t>
            </w:r>
          </w:p>
        </w:tc>
        <w:tc>
          <w:tcPr>
            <w:tcW w:w="489" w:type="pct"/>
            <w:tcBorders>
              <w:left w:val="single" w:sz="4" w:space="0" w:color="auto"/>
            </w:tcBorders>
            <w:shd w:val="clear" w:color="auto" w:fill="FFFFFF"/>
            <w:noWrap/>
            <w:vAlign w:val="center"/>
            <w:hideMark/>
          </w:tcPr>
          <w:p w14:paraId="3957F3C6" w14:textId="77777777" w:rsidR="0070447D" w:rsidRPr="006B42D6" w:rsidRDefault="0070447D" w:rsidP="00B4501D">
            <w:pPr>
              <w:pStyle w:val="NoSpacing"/>
              <w:spacing w:line="360" w:lineRule="auto"/>
              <w:jc w:val="right"/>
              <w:rPr>
                <w:rFonts w:ascii="Times New Roman" w:hAnsi="Times New Roman"/>
                <w:sz w:val="13"/>
                <w:szCs w:val="13"/>
              </w:rPr>
            </w:pPr>
            <w:r w:rsidRPr="006B42D6">
              <w:rPr>
                <w:rFonts w:ascii="Times New Roman" w:hAnsi="Times New Roman"/>
                <w:sz w:val="13"/>
                <w:szCs w:val="13"/>
              </w:rPr>
              <w:t>2,292,549</w:t>
            </w:r>
          </w:p>
        </w:tc>
        <w:tc>
          <w:tcPr>
            <w:tcW w:w="328" w:type="pct"/>
            <w:shd w:val="clear" w:color="auto" w:fill="FFFFFF"/>
            <w:noWrap/>
            <w:vAlign w:val="center"/>
            <w:hideMark/>
          </w:tcPr>
          <w:p w14:paraId="7E2FC75F" w14:textId="77777777" w:rsidR="0070447D" w:rsidRPr="006B42D6" w:rsidRDefault="0070447D" w:rsidP="00B4501D">
            <w:pPr>
              <w:pStyle w:val="NoSpacing"/>
              <w:spacing w:line="360" w:lineRule="auto"/>
              <w:jc w:val="right"/>
              <w:rPr>
                <w:rFonts w:ascii="Times New Roman" w:hAnsi="Times New Roman"/>
                <w:sz w:val="13"/>
                <w:szCs w:val="13"/>
              </w:rPr>
            </w:pPr>
            <w:r w:rsidRPr="006B42D6">
              <w:rPr>
                <w:rFonts w:ascii="Times New Roman" w:hAnsi="Times New Roman"/>
                <w:sz w:val="13"/>
                <w:szCs w:val="13"/>
              </w:rPr>
              <w:t>27.4</w:t>
            </w:r>
          </w:p>
        </w:tc>
      </w:tr>
      <w:tr w:rsidR="006B42D6" w:rsidRPr="006B42D6" w14:paraId="29F8903F" w14:textId="77777777" w:rsidTr="007138F1">
        <w:trPr>
          <w:trHeight w:val="283"/>
        </w:trPr>
        <w:tc>
          <w:tcPr>
            <w:tcW w:w="663" w:type="pct"/>
            <w:vMerge/>
            <w:shd w:val="clear" w:color="auto" w:fill="FFFFFF"/>
            <w:noWrap/>
            <w:vAlign w:val="center"/>
            <w:hideMark/>
          </w:tcPr>
          <w:p w14:paraId="4FB6FC92" w14:textId="77777777" w:rsidR="0070447D" w:rsidRPr="006B42D6" w:rsidRDefault="0070447D" w:rsidP="00C9369C">
            <w:pPr>
              <w:pStyle w:val="NoSpacing"/>
              <w:spacing w:line="360" w:lineRule="auto"/>
              <w:jc w:val="right"/>
              <w:rPr>
                <w:rFonts w:ascii="Times New Roman" w:hAnsi="Times New Roman"/>
                <w:sz w:val="13"/>
                <w:szCs w:val="13"/>
              </w:rPr>
            </w:pPr>
          </w:p>
        </w:tc>
        <w:tc>
          <w:tcPr>
            <w:tcW w:w="569" w:type="pct"/>
            <w:tcBorders>
              <w:right w:val="single" w:sz="4" w:space="0" w:color="auto"/>
            </w:tcBorders>
            <w:shd w:val="clear" w:color="auto" w:fill="FFFFFF"/>
            <w:noWrap/>
            <w:vAlign w:val="center"/>
            <w:hideMark/>
          </w:tcPr>
          <w:p w14:paraId="3A045497" w14:textId="77777777" w:rsidR="0070447D" w:rsidRPr="006B42D6" w:rsidRDefault="0070447D" w:rsidP="00C9369C">
            <w:pPr>
              <w:pStyle w:val="NoSpacing"/>
              <w:spacing w:line="360" w:lineRule="auto"/>
              <w:rPr>
                <w:rFonts w:ascii="Times New Roman" w:hAnsi="Times New Roman"/>
                <w:b/>
                <w:sz w:val="13"/>
                <w:szCs w:val="13"/>
              </w:rPr>
            </w:pPr>
            <w:r w:rsidRPr="006B42D6">
              <w:rPr>
                <w:rFonts w:ascii="Times New Roman" w:hAnsi="Times New Roman"/>
                <w:b/>
                <w:sz w:val="13"/>
                <w:szCs w:val="13"/>
              </w:rPr>
              <w:t>Sub-total</w:t>
            </w:r>
          </w:p>
        </w:tc>
        <w:tc>
          <w:tcPr>
            <w:tcW w:w="521" w:type="pct"/>
            <w:tcBorders>
              <w:left w:val="single" w:sz="4" w:space="0" w:color="auto"/>
              <w:right w:val="single" w:sz="4" w:space="0" w:color="auto"/>
            </w:tcBorders>
            <w:shd w:val="clear" w:color="auto" w:fill="FFFFFF"/>
            <w:noWrap/>
            <w:vAlign w:val="center"/>
            <w:hideMark/>
          </w:tcPr>
          <w:p w14:paraId="532DFFBE" w14:textId="77777777" w:rsidR="0070447D" w:rsidRPr="006B42D6" w:rsidRDefault="0070447D" w:rsidP="00C9369C">
            <w:pPr>
              <w:pStyle w:val="NoSpacing"/>
              <w:spacing w:line="360" w:lineRule="auto"/>
              <w:jc w:val="right"/>
              <w:rPr>
                <w:rFonts w:ascii="Times New Roman" w:hAnsi="Times New Roman"/>
                <w:b/>
                <w:sz w:val="13"/>
                <w:szCs w:val="13"/>
              </w:rPr>
            </w:pPr>
            <w:r w:rsidRPr="006B42D6">
              <w:rPr>
                <w:rFonts w:ascii="Times New Roman" w:hAnsi="Times New Roman"/>
                <w:b/>
                <w:sz w:val="13"/>
                <w:szCs w:val="13"/>
              </w:rPr>
              <w:t>11,639,063</w:t>
            </w:r>
          </w:p>
        </w:tc>
        <w:tc>
          <w:tcPr>
            <w:tcW w:w="451" w:type="pct"/>
            <w:tcBorders>
              <w:left w:val="single" w:sz="4" w:space="0" w:color="auto"/>
            </w:tcBorders>
            <w:shd w:val="clear" w:color="auto" w:fill="FFFFFF"/>
            <w:noWrap/>
            <w:vAlign w:val="center"/>
            <w:hideMark/>
          </w:tcPr>
          <w:p w14:paraId="26B90287" w14:textId="77777777" w:rsidR="0070447D" w:rsidRPr="006B42D6" w:rsidRDefault="0070447D" w:rsidP="00C9369C">
            <w:pPr>
              <w:pStyle w:val="NoSpacing"/>
              <w:spacing w:line="360" w:lineRule="auto"/>
              <w:ind w:hanging="249"/>
              <w:jc w:val="right"/>
              <w:rPr>
                <w:rFonts w:ascii="Times New Roman" w:hAnsi="Times New Roman"/>
                <w:b/>
                <w:sz w:val="13"/>
                <w:szCs w:val="13"/>
              </w:rPr>
            </w:pPr>
            <w:r w:rsidRPr="006B42D6">
              <w:rPr>
                <w:rFonts w:ascii="Times New Roman" w:hAnsi="Times New Roman"/>
                <w:b/>
                <w:sz w:val="13"/>
                <w:szCs w:val="13"/>
              </w:rPr>
              <w:t>1,039,709</w:t>
            </w:r>
          </w:p>
        </w:tc>
        <w:tc>
          <w:tcPr>
            <w:tcW w:w="328" w:type="pct"/>
            <w:tcBorders>
              <w:right w:val="single" w:sz="4" w:space="0" w:color="auto"/>
            </w:tcBorders>
            <w:shd w:val="clear" w:color="auto" w:fill="FFFFFF"/>
            <w:noWrap/>
            <w:vAlign w:val="center"/>
            <w:hideMark/>
          </w:tcPr>
          <w:p w14:paraId="22A2BB1A" w14:textId="77777777" w:rsidR="0070447D" w:rsidRPr="006B42D6" w:rsidRDefault="0070447D" w:rsidP="00C9369C">
            <w:pPr>
              <w:pStyle w:val="NoSpacing"/>
              <w:spacing w:line="360" w:lineRule="auto"/>
              <w:ind w:hanging="43"/>
              <w:jc w:val="right"/>
              <w:rPr>
                <w:rFonts w:ascii="Times New Roman" w:hAnsi="Times New Roman"/>
                <w:b/>
                <w:sz w:val="13"/>
                <w:szCs w:val="13"/>
              </w:rPr>
            </w:pPr>
            <w:r w:rsidRPr="006B42D6">
              <w:rPr>
                <w:rFonts w:ascii="Times New Roman" w:hAnsi="Times New Roman"/>
                <w:b/>
                <w:sz w:val="13"/>
                <w:szCs w:val="13"/>
              </w:rPr>
              <w:t>8.9</w:t>
            </w:r>
          </w:p>
        </w:tc>
        <w:tc>
          <w:tcPr>
            <w:tcW w:w="426" w:type="pct"/>
            <w:tcBorders>
              <w:left w:val="single" w:sz="4" w:space="0" w:color="auto"/>
            </w:tcBorders>
            <w:shd w:val="clear" w:color="auto" w:fill="FFFFFF"/>
            <w:noWrap/>
            <w:vAlign w:val="center"/>
            <w:hideMark/>
          </w:tcPr>
          <w:p w14:paraId="57F0A7EA" w14:textId="77777777" w:rsidR="0070447D" w:rsidRPr="006B42D6" w:rsidRDefault="0070447D" w:rsidP="00C9369C">
            <w:pPr>
              <w:pStyle w:val="NoSpacing"/>
              <w:spacing w:line="360" w:lineRule="auto"/>
              <w:jc w:val="right"/>
              <w:rPr>
                <w:rFonts w:ascii="Times New Roman" w:hAnsi="Times New Roman"/>
                <w:b/>
                <w:sz w:val="13"/>
                <w:szCs w:val="13"/>
              </w:rPr>
            </w:pPr>
            <w:r w:rsidRPr="006B42D6">
              <w:rPr>
                <w:rFonts w:ascii="Times New Roman" w:hAnsi="Times New Roman"/>
                <w:b/>
                <w:sz w:val="13"/>
                <w:szCs w:val="13"/>
              </w:rPr>
              <w:t>258,767</w:t>
            </w:r>
          </w:p>
        </w:tc>
        <w:tc>
          <w:tcPr>
            <w:tcW w:w="328" w:type="pct"/>
            <w:tcBorders>
              <w:right w:val="single" w:sz="4" w:space="0" w:color="auto"/>
            </w:tcBorders>
            <w:shd w:val="clear" w:color="auto" w:fill="FFFFFF"/>
            <w:noWrap/>
            <w:vAlign w:val="center"/>
            <w:hideMark/>
          </w:tcPr>
          <w:p w14:paraId="4666A32F" w14:textId="77777777" w:rsidR="0070447D" w:rsidRPr="006B42D6" w:rsidRDefault="0070447D" w:rsidP="00C9369C">
            <w:pPr>
              <w:pStyle w:val="NoSpacing"/>
              <w:spacing w:line="360" w:lineRule="auto"/>
              <w:jc w:val="right"/>
              <w:rPr>
                <w:rFonts w:ascii="Times New Roman" w:hAnsi="Times New Roman"/>
                <w:b/>
                <w:sz w:val="13"/>
                <w:szCs w:val="13"/>
              </w:rPr>
            </w:pPr>
            <w:r w:rsidRPr="006B42D6">
              <w:rPr>
                <w:rFonts w:ascii="Times New Roman" w:hAnsi="Times New Roman"/>
                <w:b/>
                <w:sz w:val="13"/>
                <w:szCs w:val="13"/>
              </w:rPr>
              <w:t>2.2</w:t>
            </w:r>
          </w:p>
        </w:tc>
        <w:tc>
          <w:tcPr>
            <w:tcW w:w="568" w:type="pct"/>
            <w:tcBorders>
              <w:left w:val="single" w:sz="4" w:space="0" w:color="auto"/>
            </w:tcBorders>
            <w:shd w:val="clear" w:color="auto" w:fill="FFFFFF"/>
            <w:noWrap/>
            <w:vAlign w:val="center"/>
            <w:hideMark/>
          </w:tcPr>
          <w:p w14:paraId="6A8F207B" w14:textId="77777777" w:rsidR="0070447D" w:rsidRPr="006B42D6" w:rsidRDefault="0070447D" w:rsidP="00C9369C">
            <w:pPr>
              <w:pStyle w:val="NoSpacing"/>
              <w:spacing w:line="360" w:lineRule="auto"/>
              <w:jc w:val="right"/>
              <w:rPr>
                <w:rFonts w:ascii="Times New Roman" w:hAnsi="Times New Roman"/>
                <w:b/>
                <w:sz w:val="13"/>
                <w:szCs w:val="13"/>
              </w:rPr>
            </w:pPr>
            <w:r w:rsidRPr="006B42D6">
              <w:rPr>
                <w:rFonts w:ascii="Times New Roman" w:hAnsi="Times New Roman"/>
                <w:b/>
                <w:sz w:val="13"/>
                <w:szCs w:val="13"/>
              </w:rPr>
              <w:t>1,834,029</w:t>
            </w:r>
          </w:p>
        </w:tc>
        <w:tc>
          <w:tcPr>
            <w:tcW w:w="328" w:type="pct"/>
            <w:tcBorders>
              <w:right w:val="single" w:sz="4" w:space="0" w:color="auto"/>
            </w:tcBorders>
            <w:shd w:val="clear" w:color="auto" w:fill="FFFFFF"/>
            <w:noWrap/>
            <w:vAlign w:val="center"/>
            <w:hideMark/>
          </w:tcPr>
          <w:p w14:paraId="0FDE09CB" w14:textId="77777777" w:rsidR="0070447D" w:rsidRPr="006B42D6" w:rsidRDefault="0070447D" w:rsidP="00C9369C">
            <w:pPr>
              <w:pStyle w:val="NoSpacing"/>
              <w:spacing w:line="360" w:lineRule="auto"/>
              <w:jc w:val="right"/>
              <w:rPr>
                <w:rFonts w:ascii="Times New Roman" w:hAnsi="Times New Roman"/>
                <w:b/>
                <w:sz w:val="13"/>
                <w:szCs w:val="13"/>
              </w:rPr>
            </w:pPr>
            <w:r w:rsidRPr="006B42D6">
              <w:rPr>
                <w:rFonts w:ascii="Times New Roman" w:hAnsi="Times New Roman"/>
                <w:b/>
                <w:sz w:val="13"/>
                <w:szCs w:val="13"/>
              </w:rPr>
              <w:t>15.8</w:t>
            </w:r>
          </w:p>
        </w:tc>
        <w:tc>
          <w:tcPr>
            <w:tcW w:w="489" w:type="pct"/>
            <w:tcBorders>
              <w:left w:val="single" w:sz="4" w:space="0" w:color="auto"/>
            </w:tcBorders>
            <w:shd w:val="clear" w:color="auto" w:fill="FFFFFF"/>
            <w:noWrap/>
            <w:vAlign w:val="center"/>
            <w:hideMark/>
          </w:tcPr>
          <w:p w14:paraId="542A74EE" w14:textId="77777777" w:rsidR="0070447D" w:rsidRPr="006B42D6" w:rsidRDefault="0070447D" w:rsidP="00C9369C">
            <w:pPr>
              <w:pStyle w:val="NoSpacing"/>
              <w:spacing w:line="360" w:lineRule="auto"/>
              <w:jc w:val="right"/>
              <w:rPr>
                <w:rFonts w:ascii="Times New Roman" w:hAnsi="Times New Roman"/>
                <w:b/>
                <w:sz w:val="13"/>
                <w:szCs w:val="13"/>
              </w:rPr>
            </w:pPr>
            <w:r w:rsidRPr="006B42D6">
              <w:rPr>
                <w:rFonts w:ascii="Times New Roman" w:hAnsi="Times New Roman"/>
                <w:b/>
                <w:sz w:val="13"/>
                <w:szCs w:val="13"/>
              </w:rPr>
              <w:t>3,132,505</w:t>
            </w:r>
          </w:p>
        </w:tc>
        <w:tc>
          <w:tcPr>
            <w:tcW w:w="328" w:type="pct"/>
            <w:shd w:val="clear" w:color="auto" w:fill="FFFFFF"/>
            <w:noWrap/>
            <w:vAlign w:val="center"/>
            <w:hideMark/>
          </w:tcPr>
          <w:p w14:paraId="7BD4B389" w14:textId="77777777" w:rsidR="0070447D" w:rsidRPr="006B42D6" w:rsidRDefault="0070447D" w:rsidP="00C9369C">
            <w:pPr>
              <w:pStyle w:val="NoSpacing"/>
              <w:spacing w:line="360" w:lineRule="auto"/>
              <w:jc w:val="right"/>
              <w:rPr>
                <w:rFonts w:ascii="Times New Roman" w:hAnsi="Times New Roman"/>
                <w:b/>
                <w:sz w:val="13"/>
                <w:szCs w:val="13"/>
              </w:rPr>
            </w:pPr>
            <w:r w:rsidRPr="006B42D6">
              <w:rPr>
                <w:rFonts w:ascii="Times New Roman" w:hAnsi="Times New Roman"/>
                <w:b/>
                <w:sz w:val="13"/>
                <w:szCs w:val="13"/>
              </w:rPr>
              <w:t>26.9</w:t>
            </w:r>
          </w:p>
        </w:tc>
      </w:tr>
      <w:tr w:rsidR="006B42D6" w:rsidRPr="006B42D6" w14:paraId="2F8951C5" w14:textId="77777777" w:rsidTr="007138F1">
        <w:trPr>
          <w:trHeight w:val="283"/>
        </w:trPr>
        <w:tc>
          <w:tcPr>
            <w:tcW w:w="663" w:type="pct"/>
            <w:vMerge w:val="restart"/>
            <w:shd w:val="clear" w:color="auto" w:fill="FFFFFF"/>
            <w:noWrap/>
            <w:vAlign w:val="center"/>
            <w:hideMark/>
          </w:tcPr>
          <w:p w14:paraId="1306E1EA" w14:textId="712464D5" w:rsidR="0070447D" w:rsidRPr="006B42D6" w:rsidRDefault="003A0E6D" w:rsidP="0034351C">
            <w:pPr>
              <w:pStyle w:val="NoSpacing"/>
              <w:spacing w:line="360" w:lineRule="auto"/>
              <w:rPr>
                <w:rFonts w:ascii="Times New Roman" w:hAnsi="Times New Roman"/>
                <w:sz w:val="13"/>
                <w:szCs w:val="13"/>
              </w:rPr>
            </w:pPr>
            <w:r w:rsidRPr="006B42D6">
              <w:rPr>
                <w:rFonts w:ascii="Times New Roman" w:hAnsi="Times New Roman"/>
                <w:sz w:val="13"/>
                <w:szCs w:val="13"/>
              </w:rPr>
              <w:t>Tanzania</w:t>
            </w:r>
            <w:r w:rsidR="0034351C" w:rsidRPr="006B42D6">
              <w:rPr>
                <w:rFonts w:ascii="Times New Roman" w:hAnsi="Times New Roman"/>
                <w:sz w:val="13"/>
                <w:szCs w:val="13"/>
              </w:rPr>
              <w:t xml:space="preserve"> </w:t>
            </w:r>
            <w:r w:rsidRPr="006B42D6">
              <w:rPr>
                <w:rFonts w:ascii="Times New Roman" w:hAnsi="Times New Roman"/>
                <w:sz w:val="13"/>
                <w:szCs w:val="13"/>
              </w:rPr>
              <w:t>Zanzibar</w:t>
            </w:r>
          </w:p>
        </w:tc>
        <w:tc>
          <w:tcPr>
            <w:tcW w:w="569" w:type="pct"/>
            <w:tcBorders>
              <w:right w:val="single" w:sz="4" w:space="0" w:color="auto"/>
            </w:tcBorders>
            <w:shd w:val="clear" w:color="auto" w:fill="FFFFFF"/>
            <w:noWrap/>
            <w:vAlign w:val="center"/>
            <w:hideMark/>
          </w:tcPr>
          <w:p w14:paraId="0A158442" w14:textId="5BB2D11F" w:rsidR="0070447D" w:rsidRPr="006B42D6" w:rsidRDefault="0070447D" w:rsidP="00B4501D">
            <w:pPr>
              <w:pStyle w:val="NoSpacing"/>
              <w:spacing w:line="360" w:lineRule="auto"/>
              <w:rPr>
                <w:rFonts w:ascii="Times New Roman" w:hAnsi="Times New Roman"/>
                <w:sz w:val="13"/>
                <w:szCs w:val="13"/>
              </w:rPr>
            </w:pPr>
            <w:r w:rsidRPr="006B42D6">
              <w:rPr>
                <w:rFonts w:ascii="Times New Roman" w:hAnsi="Times New Roman"/>
                <w:sz w:val="13"/>
                <w:szCs w:val="13"/>
              </w:rPr>
              <w:t>Short</w:t>
            </w:r>
            <w:r w:rsidR="004865C0">
              <w:rPr>
                <w:rFonts w:ascii="Times New Roman" w:hAnsi="Times New Roman"/>
                <w:sz w:val="13"/>
                <w:szCs w:val="13"/>
              </w:rPr>
              <w:t xml:space="preserve"> Rainy</w:t>
            </w:r>
            <w:r w:rsidRPr="006B42D6">
              <w:rPr>
                <w:rFonts w:ascii="Times New Roman" w:hAnsi="Times New Roman"/>
                <w:sz w:val="13"/>
                <w:szCs w:val="13"/>
              </w:rPr>
              <w:t xml:space="preserve"> </w:t>
            </w:r>
          </w:p>
        </w:tc>
        <w:tc>
          <w:tcPr>
            <w:tcW w:w="521" w:type="pct"/>
            <w:tcBorders>
              <w:left w:val="single" w:sz="4" w:space="0" w:color="auto"/>
              <w:right w:val="single" w:sz="4" w:space="0" w:color="auto"/>
            </w:tcBorders>
            <w:shd w:val="clear" w:color="auto" w:fill="FFFFFF"/>
            <w:noWrap/>
            <w:vAlign w:val="center"/>
            <w:hideMark/>
          </w:tcPr>
          <w:p w14:paraId="767F9EEE" w14:textId="77777777" w:rsidR="0070447D" w:rsidRPr="006B42D6" w:rsidRDefault="0070447D" w:rsidP="00B4501D">
            <w:pPr>
              <w:pStyle w:val="NoSpacing"/>
              <w:spacing w:line="360" w:lineRule="auto"/>
              <w:jc w:val="right"/>
              <w:rPr>
                <w:rFonts w:ascii="Times New Roman" w:hAnsi="Times New Roman"/>
                <w:sz w:val="13"/>
                <w:szCs w:val="13"/>
              </w:rPr>
            </w:pPr>
            <w:r w:rsidRPr="006B42D6">
              <w:rPr>
                <w:rFonts w:ascii="Times New Roman" w:hAnsi="Times New Roman"/>
                <w:sz w:val="13"/>
                <w:szCs w:val="13"/>
              </w:rPr>
              <w:t>66,658</w:t>
            </w:r>
          </w:p>
        </w:tc>
        <w:tc>
          <w:tcPr>
            <w:tcW w:w="451" w:type="pct"/>
            <w:tcBorders>
              <w:left w:val="single" w:sz="4" w:space="0" w:color="auto"/>
            </w:tcBorders>
            <w:shd w:val="clear" w:color="auto" w:fill="FFFFFF"/>
            <w:noWrap/>
            <w:vAlign w:val="center"/>
            <w:hideMark/>
          </w:tcPr>
          <w:p w14:paraId="19011131" w14:textId="77777777" w:rsidR="0070447D" w:rsidRPr="006B42D6" w:rsidRDefault="0070447D" w:rsidP="00B4501D">
            <w:pPr>
              <w:pStyle w:val="NoSpacing"/>
              <w:spacing w:line="360" w:lineRule="auto"/>
              <w:ind w:hanging="249"/>
              <w:jc w:val="right"/>
              <w:rPr>
                <w:rFonts w:ascii="Times New Roman" w:hAnsi="Times New Roman"/>
                <w:sz w:val="13"/>
                <w:szCs w:val="13"/>
              </w:rPr>
            </w:pPr>
            <w:r w:rsidRPr="006B42D6">
              <w:rPr>
                <w:rFonts w:ascii="Times New Roman" w:hAnsi="Times New Roman"/>
                <w:sz w:val="13"/>
                <w:szCs w:val="13"/>
              </w:rPr>
              <w:t>3,696</w:t>
            </w:r>
          </w:p>
        </w:tc>
        <w:tc>
          <w:tcPr>
            <w:tcW w:w="328" w:type="pct"/>
            <w:tcBorders>
              <w:right w:val="single" w:sz="4" w:space="0" w:color="auto"/>
            </w:tcBorders>
            <w:shd w:val="clear" w:color="auto" w:fill="FFFFFF"/>
            <w:noWrap/>
            <w:vAlign w:val="center"/>
            <w:hideMark/>
          </w:tcPr>
          <w:p w14:paraId="58FD3AAC" w14:textId="77777777" w:rsidR="0070447D" w:rsidRPr="006B42D6" w:rsidRDefault="0070447D" w:rsidP="00B4501D">
            <w:pPr>
              <w:pStyle w:val="NoSpacing"/>
              <w:spacing w:line="360" w:lineRule="auto"/>
              <w:ind w:hanging="43"/>
              <w:jc w:val="right"/>
              <w:rPr>
                <w:rFonts w:ascii="Times New Roman" w:hAnsi="Times New Roman"/>
                <w:sz w:val="13"/>
                <w:szCs w:val="13"/>
              </w:rPr>
            </w:pPr>
            <w:r w:rsidRPr="006B42D6">
              <w:rPr>
                <w:rFonts w:ascii="Times New Roman" w:hAnsi="Times New Roman"/>
                <w:sz w:val="13"/>
                <w:szCs w:val="13"/>
              </w:rPr>
              <w:t>5.5</w:t>
            </w:r>
          </w:p>
        </w:tc>
        <w:tc>
          <w:tcPr>
            <w:tcW w:w="426" w:type="pct"/>
            <w:tcBorders>
              <w:left w:val="single" w:sz="4" w:space="0" w:color="auto"/>
            </w:tcBorders>
            <w:shd w:val="clear" w:color="auto" w:fill="FFFFFF"/>
            <w:noWrap/>
            <w:vAlign w:val="center"/>
            <w:hideMark/>
          </w:tcPr>
          <w:p w14:paraId="05C0C955" w14:textId="77777777" w:rsidR="0070447D" w:rsidRPr="006B42D6" w:rsidRDefault="0070447D" w:rsidP="00B4501D">
            <w:pPr>
              <w:pStyle w:val="NoSpacing"/>
              <w:spacing w:line="360" w:lineRule="auto"/>
              <w:jc w:val="right"/>
              <w:rPr>
                <w:rFonts w:ascii="Times New Roman" w:hAnsi="Times New Roman"/>
                <w:sz w:val="13"/>
                <w:szCs w:val="13"/>
              </w:rPr>
            </w:pPr>
            <w:r w:rsidRPr="006B42D6">
              <w:rPr>
                <w:rFonts w:ascii="Times New Roman" w:hAnsi="Times New Roman"/>
                <w:sz w:val="13"/>
                <w:szCs w:val="13"/>
              </w:rPr>
              <w:t>3,626</w:t>
            </w:r>
          </w:p>
        </w:tc>
        <w:tc>
          <w:tcPr>
            <w:tcW w:w="328" w:type="pct"/>
            <w:tcBorders>
              <w:right w:val="single" w:sz="4" w:space="0" w:color="auto"/>
            </w:tcBorders>
            <w:shd w:val="clear" w:color="auto" w:fill="FFFFFF"/>
            <w:noWrap/>
            <w:vAlign w:val="center"/>
            <w:hideMark/>
          </w:tcPr>
          <w:p w14:paraId="4FF8641F" w14:textId="77777777" w:rsidR="0070447D" w:rsidRPr="006B42D6" w:rsidRDefault="0070447D" w:rsidP="00B4501D">
            <w:pPr>
              <w:pStyle w:val="NoSpacing"/>
              <w:spacing w:line="360" w:lineRule="auto"/>
              <w:jc w:val="right"/>
              <w:rPr>
                <w:rFonts w:ascii="Times New Roman" w:hAnsi="Times New Roman"/>
                <w:sz w:val="13"/>
                <w:szCs w:val="13"/>
              </w:rPr>
            </w:pPr>
            <w:r w:rsidRPr="006B42D6">
              <w:rPr>
                <w:rFonts w:ascii="Times New Roman" w:hAnsi="Times New Roman"/>
                <w:sz w:val="13"/>
                <w:szCs w:val="13"/>
              </w:rPr>
              <w:t>5.4</w:t>
            </w:r>
          </w:p>
        </w:tc>
        <w:tc>
          <w:tcPr>
            <w:tcW w:w="568" w:type="pct"/>
            <w:tcBorders>
              <w:left w:val="single" w:sz="4" w:space="0" w:color="auto"/>
            </w:tcBorders>
            <w:shd w:val="clear" w:color="auto" w:fill="FFFFFF"/>
            <w:noWrap/>
            <w:vAlign w:val="center"/>
            <w:hideMark/>
          </w:tcPr>
          <w:p w14:paraId="0725D37B" w14:textId="77777777" w:rsidR="0070447D" w:rsidRPr="006B42D6" w:rsidRDefault="0070447D" w:rsidP="00B4501D">
            <w:pPr>
              <w:pStyle w:val="NoSpacing"/>
              <w:spacing w:line="360" w:lineRule="auto"/>
              <w:jc w:val="right"/>
              <w:rPr>
                <w:rFonts w:ascii="Times New Roman" w:hAnsi="Times New Roman"/>
                <w:sz w:val="13"/>
                <w:szCs w:val="13"/>
              </w:rPr>
            </w:pPr>
            <w:r w:rsidRPr="006B42D6">
              <w:rPr>
                <w:rFonts w:ascii="Times New Roman" w:hAnsi="Times New Roman"/>
                <w:sz w:val="13"/>
                <w:szCs w:val="13"/>
              </w:rPr>
              <w:t>8,205</w:t>
            </w:r>
          </w:p>
        </w:tc>
        <w:tc>
          <w:tcPr>
            <w:tcW w:w="328" w:type="pct"/>
            <w:tcBorders>
              <w:right w:val="single" w:sz="4" w:space="0" w:color="auto"/>
            </w:tcBorders>
            <w:shd w:val="clear" w:color="auto" w:fill="FFFFFF"/>
            <w:noWrap/>
            <w:vAlign w:val="center"/>
            <w:hideMark/>
          </w:tcPr>
          <w:p w14:paraId="512EBD78" w14:textId="77777777" w:rsidR="0070447D" w:rsidRPr="006B42D6" w:rsidRDefault="0070447D" w:rsidP="00B4501D">
            <w:pPr>
              <w:pStyle w:val="NoSpacing"/>
              <w:spacing w:line="360" w:lineRule="auto"/>
              <w:jc w:val="right"/>
              <w:rPr>
                <w:rFonts w:ascii="Times New Roman" w:hAnsi="Times New Roman"/>
                <w:sz w:val="13"/>
                <w:szCs w:val="13"/>
              </w:rPr>
            </w:pPr>
            <w:r w:rsidRPr="006B42D6">
              <w:rPr>
                <w:rFonts w:ascii="Times New Roman" w:hAnsi="Times New Roman"/>
                <w:sz w:val="13"/>
                <w:szCs w:val="13"/>
              </w:rPr>
              <w:t>12.3</w:t>
            </w:r>
          </w:p>
        </w:tc>
        <w:tc>
          <w:tcPr>
            <w:tcW w:w="489" w:type="pct"/>
            <w:tcBorders>
              <w:left w:val="single" w:sz="4" w:space="0" w:color="auto"/>
            </w:tcBorders>
            <w:shd w:val="clear" w:color="auto" w:fill="FFFFFF"/>
            <w:noWrap/>
            <w:vAlign w:val="center"/>
            <w:hideMark/>
          </w:tcPr>
          <w:p w14:paraId="09278FBF" w14:textId="77777777" w:rsidR="0070447D" w:rsidRPr="006B42D6" w:rsidRDefault="0070447D" w:rsidP="00B4501D">
            <w:pPr>
              <w:pStyle w:val="NoSpacing"/>
              <w:spacing w:line="360" w:lineRule="auto"/>
              <w:jc w:val="right"/>
              <w:rPr>
                <w:rFonts w:ascii="Times New Roman" w:hAnsi="Times New Roman"/>
                <w:sz w:val="13"/>
                <w:szCs w:val="13"/>
              </w:rPr>
            </w:pPr>
            <w:r w:rsidRPr="006B42D6">
              <w:rPr>
                <w:rFonts w:ascii="Times New Roman" w:hAnsi="Times New Roman"/>
                <w:sz w:val="13"/>
                <w:szCs w:val="13"/>
              </w:rPr>
              <w:t>15,527</w:t>
            </w:r>
          </w:p>
        </w:tc>
        <w:tc>
          <w:tcPr>
            <w:tcW w:w="328" w:type="pct"/>
            <w:shd w:val="clear" w:color="auto" w:fill="FFFFFF"/>
            <w:noWrap/>
            <w:vAlign w:val="center"/>
            <w:hideMark/>
          </w:tcPr>
          <w:p w14:paraId="4DC23C1F" w14:textId="77777777" w:rsidR="0070447D" w:rsidRPr="006B42D6" w:rsidRDefault="0070447D" w:rsidP="00B4501D">
            <w:pPr>
              <w:pStyle w:val="NoSpacing"/>
              <w:spacing w:line="360" w:lineRule="auto"/>
              <w:jc w:val="right"/>
              <w:rPr>
                <w:rFonts w:ascii="Times New Roman" w:hAnsi="Times New Roman"/>
                <w:sz w:val="13"/>
                <w:szCs w:val="13"/>
              </w:rPr>
            </w:pPr>
            <w:r w:rsidRPr="006B42D6">
              <w:rPr>
                <w:rFonts w:ascii="Times New Roman" w:hAnsi="Times New Roman"/>
                <w:sz w:val="13"/>
                <w:szCs w:val="13"/>
              </w:rPr>
              <w:t>23.3</w:t>
            </w:r>
          </w:p>
        </w:tc>
      </w:tr>
      <w:tr w:rsidR="006B42D6" w:rsidRPr="006B42D6" w14:paraId="2021F6D8" w14:textId="77777777" w:rsidTr="007138F1">
        <w:trPr>
          <w:trHeight w:val="283"/>
        </w:trPr>
        <w:tc>
          <w:tcPr>
            <w:tcW w:w="663" w:type="pct"/>
            <w:vMerge/>
            <w:shd w:val="clear" w:color="auto" w:fill="FFFFFF"/>
            <w:noWrap/>
            <w:vAlign w:val="center"/>
            <w:hideMark/>
          </w:tcPr>
          <w:p w14:paraId="4212CA9B" w14:textId="77777777" w:rsidR="0070447D" w:rsidRPr="006B42D6" w:rsidRDefault="0070447D" w:rsidP="0034351C">
            <w:pPr>
              <w:pStyle w:val="NoSpacing"/>
              <w:spacing w:line="360" w:lineRule="auto"/>
              <w:rPr>
                <w:rFonts w:ascii="Times New Roman" w:hAnsi="Times New Roman"/>
                <w:sz w:val="13"/>
                <w:szCs w:val="13"/>
              </w:rPr>
            </w:pPr>
          </w:p>
        </w:tc>
        <w:tc>
          <w:tcPr>
            <w:tcW w:w="569" w:type="pct"/>
            <w:tcBorders>
              <w:right w:val="single" w:sz="4" w:space="0" w:color="auto"/>
            </w:tcBorders>
            <w:shd w:val="clear" w:color="auto" w:fill="FFFFFF"/>
            <w:noWrap/>
            <w:vAlign w:val="center"/>
            <w:hideMark/>
          </w:tcPr>
          <w:p w14:paraId="65F3868E" w14:textId="79C1B204" w:rsidR="0070447D" w:rsidRPr="006B42D6" w:rsidRDefault="0070447D" w:rsidP="00B4501D">
            <w:pPr>
              <w:pStyle w:val="NoSpacing"/>
              <w:spacing w:line="360" w:lineRule="auto"/>
              <w:rPr>
                <w:rFonts w:ascii="Times New Roman" w:hAnsi="Times New Roman"/>
                <w:sz w:val="13"/>
                <w:szCs w:val="13"/>
              </w:rPr>
            </w:pPr>
            <w:r w:rsidRPr="006B42D6">
              <w:rPr>
                <w:rFonts w:ascii="Times New Roman" w:hAnsi="Times New Roman"/>
                <w:sz w:val="13"/>
                <w:szCs w:val="13"/>
              </w:rPr>
              <w:t xml:space="preserve">Long </w:t>
            </w:r>
            <w:r w:rsidR="004865C0">
              <w:rPr>
                <w:rFonts w:ascii="Times New Roman" w:hAnsi="Times New Roman"/>
                <w:sz w:val="13"/>
                <w:szCs w:val="13"/>
              </w:rPr>
              <w:t>Rainy</w:t>
            </w:r>
          </w:p>
        </w:tc>
        <w:tc>
          <w:tcPr>
            <w:tcW w:w="521" w:type="pct"/>
            <w:tcBorders>
              <w:left w:val="single" w:sz="4" w:space="0" w:color="auto"/>
              <w:right w:val="single" w:sz="4" w:space="0" w:color="auto"/>
            </w:tcBorders>
            <w:shd w:val="clear" w:color="auto" w:fill="FFFFFF"/>
            <w:noWrap/>
            <w:vAlign w:val="center"/>
            <w:hideMark/>
          </w:tcPr>
          <w:p w14:paraId="4A7DE527" w14:textId="77777777" w:rsidR="0070447D" w:rsidRPr="006B42D6" w:rsidRDefault="0070447D" w:rsidP="00B4501D">
            <w:pPr>
              <w:pStyle w:val="NoSpacing"/>
              <w:spacing w:line="360" w:lineRule="auto"/>
              <w:jc w:val="right"/>
              <w:rPr>
                <w:rFonts w:ascii="Times New Roman" w:hAnsi="Times New Roman"/>
                <w:sz w:val="13"/>
                <w:szCs w:val="13"/>
              </w:rPr>
            </w:pPr>
            <w:r w:rsidRPr="006B42D6">
              <w:rPr>
                <w:rFonts w:ascii="Times New Roman" w:hAnsi="Times New Roman"/>
                <w:sz w:val="13"/>
                <w:szCs w:val="13"/>
              </w:rPr>
              <w:t>59,356</w:t>
            </w:r>
          </w:p>
        </w:tc>
        <w:tc>
          <w:tcPr>
            <w:tcW w:w="451" w:type="pct"/>
            <w:tcBorders>
              <w:left w:val="single" w:sz="4" w:space="0" w:color="auto"/>
            </w:tcBorders>
            <w:shd w:val="clear" w:color="auto" w:fill="FFFFFF"/>
            <w:noWrap/>
            <w:vAlign w:val="center"/>
            <w:hideMark/>
          </w:tcPr>
          <w:p w14:paraId="5ACCF4C4" w14:textId="77777777" w:rsidR="0070447D" w:rsidRPr="006B42D6" w:rsidRDefault="0070447D" w:rsidP="00B4501D">
            <w:pPr>
              <w:pStyle w:val="NoSpacing"/>
              <w:spacing w:line="360" w:lineRule="auto"/>
              <w:ind w:hanging="249"/>
              <w:jc w:val="right"/>
              <w:rPr>
                <w:rFonts w:ascii="Times New Roman" w:hAnsi="Times New Roman"/>
                <w:sz w:val="13"/>
                <w:szCs w:val="13"/>
              </w:rPr>
            </w:pPr>
            <w:r w:rsidRPr="006B42D6">
              <w:rPr>
                <w:rFonts w:ascii="Times New Roman" w:hAnsi="Times New Roman"/>
                <w:sz w:val="13"/>
                <w:szCs w:val="13"/>
              </w:rPr>
              <w:t>6,093</w:t>
            </w:r>
          </w:p>
        </w:tc>
        <w:tc>
          <w:tcPr>
            <w:tcW w:w="328" w:type="pct"/>
            <w:tcBorders>
              <w:right w:val="single" w:sz="4" w:space="0" w:color="auto"/>
            </w:tcBorders>
            <w:shd w:val="clear" w:color="auto" w:fill="FFFFFF"/>
            <w:noWrap/>
            <w:vAlign w:val="center"/>
            <w:hideMark/>
          </w:tcPr>
          <w:p w14:paraId="03D6D6C1" w14:textId="77777777" w:rsidR="0070447D" w:rsidRPr="006B42D6" w:rsidRDefault="0070447D" w:rsidP="00B4501D">
            <w:pPr>
              <w:pStyle w:val="NoSpacing"/>
              <w:spacing w:line="360" w:lineRule="auto"/>
              <w:ind w:hanging="43"/>
              <w:jc w:val="right"/>
              <w:rPr>
                <w:rFonts w:ascii="Times New Roman" w:hAnsi="Times New Roman"/>
                <w:sz w:val="13"/>
                <w:szCs w:val="13"/>
              </w:rPr>
            </w:pPr>
            <w:r w:rsidRPr="006B42D6">
              <w:rPr>
                <w:rFonts w:ascii="Times New Roman" w:hAnsi="Times New Roman"/>
                <w:sz w:val="13"/>
                <w:szCs w:val="13"/>
              </w:rPr>
              <w:t>10.3</w:t>
            </w:r>
          </w:p>
        </w:tc>
        <w:tc>
          <w:tcPr>
            <w:tcW w:w="426" w:type="pct"/>
            <w:tcBorders>
              <w:left w:val="single" w:sz="4" w:space="0" w:color="auto"/>
            </w:tcBorders>
            <w:shd w:val="clear" w:color="auto" w:fill="FFFFFF"/>
            <w:noWrap/>
            <w:vAlign w:val="center"/>
            <w:hideMark/>
          </w:tcPr>
          <w:p w14:paraId="63F94B88" w14:textId="77777777" w:rsidR="0070447D" w:rsidRPr="006B42D6" w:rsidRDefault="0070447D" w:rsidP="00B4501D">
            <w:pPr>
              <w:pStyle w:val="NoSpacing"/>
              <w:spacing w:line="360" w:lineRule="auto"/>
              <w:jc w:val="right"/>
              <w:rPr>
                <w:rFonts w:ascii="Times New Roman" w:hAnsi="Times New Roman"/>
                <w:sz w:val="13"/>
                <w:szCs w:val="13"/>
              </w:rPr>
            </w:pPr>
            <w:r w:rsidRPr="006B42D6">
              <w:rPr>
                <w:rFonts w:ascii="Times New Roman" w:hAnsi="Times New Roman"/>
                <w:sz w:val="13"/>
                <w:szCs w:val="13"/>
              </w:rPr>
              <w:t>1,528</w:t>
            </w:r>
          </w:p>
        </w:tc>
        <w:tc>
          <w:tcPr>
            <w:tcW w:w="328" w:type="pct"/>
            <w:tcBorders>
              <w:right w:val="single" w:sz="4" w:space="0" w:color="auto"/>
            </w:tcBorders>
            <w:shd w:val="clear" w:color="auto" w:fill="FFFFFF"/>
            <w:noWrap/>
            <w:vAlign w:val="center"/>
            <w:hideMark/>
          </w:tcPr>
          <w:p w14:paraId="6DD37AB1" w14:textId="77777777" w:rsidR="0070447D" w:rsidRPr="006B42D6" w:rsidRDefault="0070447D" w:rsidP="00B4501D">
            <w:pPr>
              <w:pStyle w:val="NoSpacing"/>
              <w:spacing w:line="360" w:lineRule="auto"/>
              <w:jc w:val="right"/>
              <w:rPr>
                <w:rFonts w:ascii="Times New Roman" w:hAnsi="Times New Roman"/>
                <w:sz w:val="13"/>
                <w:szCs w:val="13"/>
              </w:rPr>
            </w:pPr>
            <w:r w:rsidRPr="006B42D6">
              <w:rPr>
                <w:rFonts w:ascii="Times New Roman" w:hAnsi="Times New Roman"/>
                <w:sz w:val="13"/>
                <w:szCs w:val="13"/>
              </w:rPr>
              <w:t>2.6</w:t>
            </w:r>
          </w:p>
        </w:tc>
        <w:tc>
          <w:tcPr>
            <w:tcW w:w="568" w:type="pct"/>
            <w:tcBorders>
              <w:left w:val="single" w:sz="4" w:space="0" w:color="auto"/>
            </w:tcBorders>
            <w:shd w:val="clear" w:color="auto" w:fill="FFFFFF"/>
            <w:noWrap/>
            <w:vAlign w:val="center"/>
            <w:hideMark/>
          </w:tcPr>
          <w:p w14:paraId="6516D3C8" w14:textId="77777777" w:rsidR="0070447D" w:rsidRPr="006B42D6" w:rsidRDefault="0070447D" w:rsidP="00B4501D">
            <w:pPr>
              <w:pStyle w:val="NoSpacing"/>
              <w:spacing w:line="360" w:lineRule="auto"/>
              <w:jc w:val="right"/>
              <w:rPr>
                <w:rFonts w:ascii="Times New Roman" w:hAnsi="Times New Roman"/>
                <w:sz w:val="13"/>
                <w:szCs w:val="13"/>
              </w:rPr>
            </w:pPr>
            <w:r w:rsidRPr="006B42D6">
              <w:rPr>
                <w:rFonts w:ascii="Times New Roman" w:hAnsi="Times New Roman"/>
                <w:sz w:val="13"/>
                <w:szCs w:val="13"/>
              </w:rPr>
              <w:t>3,859</w:t>
            </w:r>
          </w:p>
        </w:tc>
        <w:tc>
          <w:tcPr>
            <w:tcW w:w="328" w:type="pct"/>
            <w:tcBorders>
              <w:right w:val="single" w:sz="4" w:space="0" w:color="auto"/>
            </w:tcBorders>
            <w:shd w:val="clear" w:color="auto" w:fill="FFFFFF"/>
            <w:noWrap/>
            <w:vAlign w:val="center"/>
            <w:hideMark/>
          </w:tcPr>
          <w:p w14:paraId="37C786AF" w14:textId="77777777" w:rsidR="0070447D" w:rsidRPr="006B42D6" w:rsidRDefault="0070447D" w:rsidP="00B4501D">
            <w:pPr>
              <w:pStyle w:val="NoSpacing"/>
              <w:spacing w:line="360" w:lineRule="auto"/>
              <w:jc w:val="right"/>
              <w:rPr>
                <w:rFonts w:ascii="Times New Roman" w:hAnsi="Times New Roman"/>
                <w:sz w:val="13"/>
                <w:szCs w:val="13"/>
              </w:rPr>
            </w:pPr>
            <w:r w:rsidRPr="006B42D6">
              <w:rPr>
                <w:rFonts w:ascii="Times New Roman" w:hAnsi="Times New Roman"/>
                <w:sz w:val="13"/>
                <w:szCs w:val="13"/>
              </w:rPr>
              <w:t>6.5</w:t>
            </w:r>
          </w:p>
        </w:tc>
        <w:tc>
          <w:tcPr>
            <w:tcW w:w="489" w:type="pct"/>
            <w:tcBorders>
              <w:left w:val="single" w:sz="4" w:space="0" w:color="auto"/>
            </w:tcBorders>
            <w:shd w:val="clear" w:color="auto" w:fill="FFFFFF"/>
            <w:noWrap/>
            <w:vAlign w:val="center"/>
            <w:hideMark/>
          </w:tcPr>
          <w:p w14:paraId="7C86B80B" w14:textId="77777777" w:rsidR="0070447D" w:rsidRPr="006B42D6" w:rsidRDefault="0070447D" w:rsidP="00B4501D">
            <w:pPr>
              <w:pStyle w:val="NoSpacing"/>
              <w:spacing w:line="360" w:lineRule="auto"/>
              <w:jc w:val="right"/>
              <w:rPr>
                <w:rFonts w:ascii="Times New Roman" w:hAnsi="Times New Roman"/>
                <w:sz w:val="13"/>
                <w:szCs w:val="13"/>
              </w:rPr>
            </w:pPr>
            <w:r w:rsidRPr="006B42D6">
              <w:rPr>
                <w:rFonts w:ascii="Times New Roman" w:hAnsi="Times New Roman"/>
                <w:sz w:val="13"/>
                <w:szCs w:val="13"/>
              </w:rPr>
              <w:t>11,480</w:t>
            </w:r>
          </w:p>
        </w:tc>
        <w:tc>
          <w:tcPr>
            <w:tcW w:w="328" w:type="pct"/>
            <w:shd w:val="clear" w:color="auto" w:fill="FFFFFF"/>
            <w:noWrap/>
            <w:vAlign w:val="center"/>
            <w:hideMark/>
          </w:tcPr>
          <w:p w14:paraId="574F8158" w14:textId="77777777" w:rsidR="0070447D" w:rsidRPr="006B42D6" w:rsidRDefault="0070447D" w:rsidP="00B4501D">
            <w:pPr>
              <w:pStyle w:val="NoSpacing"/>
              <w:spacing w:line="360" w:lineRule="auto"/>
              <w:jc w:val="right"/>
              <w:rPr>
                <w:rFonts w:ascii="Times New Roman" w:hAnsi="Times New Roman"/>
                <w:sz w:val="13"/>
                <w:szCs w:val="13"/>
              </w:rPr>
            </w:pPr>
            <w:r w:rsidRPr="006B42D6">
              <w:rPr>
                <w:rFonts w:ascii="Times New Roman" w:hAnsi="Times New Roman"/>
                <w:sz w:val="13"/>
                <w:szCs w:val="13"/>
              </w:rPr>
              <w:t>19.3</w:t>
            </w:r>
          </w:p>
        </w:tc>
      </w:tr>
      <w:tr w:rsidR="006B42D6" w:rsidRPr="006B42D6" w14:paraId="3B346627" w14:textId="77777777" w:rsidTr="007138F1">
        <w:trPr>
          <w:trHeight w:val="283"/>
        </w:trPr>
        <w:tc>
          <w:tcPr>
            <w:tcW w:w="663" w:type="pct"/>
            <w:vMerge/>
            <w:shd w:val="clear" w:color="auto" w:fill="FFFFFF"/>
            <w:noWrap/>
            <w:vAlign w:val="center"/>
            <w:hideMark/>
          </w:tcPr>
          <w:p w14:paraId="52078932" w14:textId="77777777" w:rsidR="0070447D" w:rsidRPr="006B42D6" w:rsidRDefault="0070447D" w:rsidP="0034351C">
            <w:pPr>
              <w:pStyle w:val="NoSpacing"/>
              <w:spacing w:line="360" w:lineRule="auto"/>
              <w:rPr>
                <w:rFonts w:ascii="Times New Roman" w:hAnsi="Times New Roman"/>
                <w:sz w:val="13"/>
                <w:szCs w:val="13"/>
              </w:rPr>
            </w:pPr>
          </w:p>
        </w:tc>
        <w:tc>
          <w:tcPr>
            <w:tcW w:w="569" w:type="pct"/>
            <w:tcBorders>
              <w:right w:val="single" w:sz="4" w:space="0" w:color="auto"/>
            </w:tcBorders>
            <w:shd w:val="clear" w:color="auto" w:fill="FFFFFF"/>
            <w:noWrap/>
            <w:vAlign w:val="center"/>
            <w:hideMark/>
          </w:tcPr>
          <w:p w14:paraId="06271D02" w14:textId="77777777" w:rsidR="0070447D" w:rsidRPr="006B42D6" w:rsidRDefault="0070447D" w:rsidP="0034351C">
            <w:pPr>
              <w:pStyle w:val="NoSpacing"/>
              <w:spacing w:line="360" w:lineRule="auto"/>
              <w:rPr>
                <w:rFonts w:ascii="Times New Roman" w:hAnsi="Times New Roman"/>
                <w:b/>
                <w:sz w:val="13"/>
                <w:szCs w:val="13"/>
              </w:rPr>
            </w:pPr>
            <w:r w:rsidRPr="006B42D6">
              <w:rPr>
                <w:rFonts w:ascii="Times New Roman" w:hAnsi="Times New Roman"/>
                <w:b/>
                <w:sz w:val="13"/>
                <w:szCs w:val="13"/>
              </w:rPr>
              <w:t xml:space="preserve">Sub-total </w:t>
            </w:r>
          </w:p>
        </w:tc>
        <w:tc>
          <w:tcPr>
            <w:tcW w:w="521" w:type="pct"/>
            <w:tcBorders>
              <w:left w:val="single" w:sz="4" w:space="0" w:color="auto"/>
              <w:right w:val="single" w:sz="4" w:space="0" w:color="auto"/>
            </w:tcBorders>
            <w:shd w:val="clear" w:color="auto" w:fill="FFFFFF"/>
            <w:noWrap/>
            <w:vAlign w:val="center"/>
            <w:hideMark/>
          </w:tcPr>
          <w:p w14:paraId="25908109" w14:textId="77777777" w:rsidR="0070447D" w:rsidRPr="006B42D6" w:rsidRDefault="0070447D" w:rsidP="00C9369C">
            <w:pPr>
              <w:pStyle w:val="NoSpacing"/>
              <w:spacing w:line="360" w:lineRule="auto"/>
              <w:jc w:val="right"/>
              <w:rPr>
                <w:rFonts w:ascii="Times New Roman" w:hAnsi="Times New Roman"/>
                <w:b/>
                <w:sz w:val="13"/>
                <w:szCs w:val="13"/>
              </w:rPr>
            </w:pPr>
            <w:r w:rsidRPr="006B42D6">
              <w:rPr>
                <w:rFonts w:ascii="Times New Roman" w:hAnsi="Times New Roman"/>
                <w:b/>
                <w:sz w:val="13"/>
                <w:szCs w:val="13"/>
              </w:rPr>
              <w:t>126,014</w:t>
            </w:r>
          </w:p>
        </w:tc>
        <w:tc>
          <w:tcPr>
            <w:tcW w:w="451" w:type="pct"/>
            <w:tcBorders>
              <w:left w:val="single" w:sz="4" w:space="0" w:color="auto"/>
            </w:tcBorders>
            <w:shd w:val="clear" w:color="auto" w:fill="FFFFFF"/>
            <w:noWrap/>
            <w:vAlign w:val="center"/>
            <w:hideMark/>
          </w:tcPr>
          <w:p w14:paraId="33B30FA9" w14:textId="77777777" w:rsidR="0070447D" w:rsidRPr="006B42D6" w:rsidRDefault="0070447D" w:rsidP="00C9369C">
            <w:pPr>
              <w:pStyle w:val="NoSpacing"/>
              <w:spacing w:line="360" w:lineRule="auto"/>
              <w:ind w:hanging="249"/>
              <w:jc w:val="right"/>
              <w:rPr>
                <w:rFonts w:ascii="Times New Roman" w:hAnsi="Times New Roman"/>
                <w:b/>
                <w:sz w:val="13"/>
                <w:szCs w:val="13"/>
              </w:rPr>
            </w:pPr>
            <w:r w:rsidRPr="006B42D6">
              <w:rPr>
                <w:rFonts w:ascii="Times New Roman" w:hAnsi="Times New Roman"/>
                <w:b/>
                <w:sz w:val="13"/>
                <w:szCs w:val="13"/>
              </w:rPr>
              <w:t>9,790</w:t>
            </w:r>
          </w:p>
        </w:tc>
        <w:tc>
          <w:tcPr>
            <w:tcW w:w="328" w:type="pct"/>
            <w:tcBorders>
              <w:right w:val="single" w:sz="4" w:space="0" w:color="auto"/>
            </w:tcBorders>
            <w:shd w:val="clear" w:color="auto" w:fill="FFFFFF"/>
            <w:noWrap/>
            <w:vAlign w:val="center"/>
            <w:hideMark/>
          </w:tcPr>
          <w:p w14:paraId="776C949E" w14:textId="77777777" w:rsidR="0070447D" w:rsidRPr="006B42D6" w:rsidRDefault="0070447D" w:rsidP="00C9369C">
            <w:pPr>
              <w:pStyle w:val="NoSpacing"/>
              <w:spacing w:line="360" w:lineRule="auto"/>
              <w:ind w:hanging="43"/>
              <w:jc w:val="right"/>
              <w:rPr>
                <w:rFonts w:ascii="Times New Roman" w:hAnsi="Times New Roman"/>
                <w:b/>
                <w:sz w:val="13"/>
                <w:szCs w:val="13"/>
              </w:rPr>
            </w:pPr>
            <w:r w:rsidRPr="006B42D6">
              <w:rPr>
                <w:rFonts w:ascii="Times New Roman" w:hAnsi="Times New Roman"/>
                <w:b/>
                <w:sz w:val="13"/>
                <w:szCs w:val="13"/>
              </w:rPr>
              <w:t>7.8</w:t>
            </w:r>
          </w:p>
        </w:tc>
        <w:tc>
          <w:tcPr>
            <w:tcW w:w="426" w:type="pct"/>
            <w:tcBorders>
              <w:left w:val="single" w:sz="4" w:space="0" w:color="auto"/>
            </w:tcBorders>
            <w:shd w:val="clear" w:color="auto" w:fill="FFFFFF"/>
            <w:noWrap/>
            <w:vAlign w:val="center"/>
            <w:hideMark/>
          </w:tcPr>
          <w:p w14:paraId="1B8E6384" w14:textId="77777777" w:rsidR="0070447D" w:rsidRPr="006B42D6" w:rsidRDefault="0070447D" w:rsidP="00C9369C">
            <w:pPr>
              <w:pStyle w:val="NoSpacing"/>
              <w:spacing w:line="360" w:lineRule="auto"/>
              <w:jc w:val="right"/>
              <w:rPr>
                <w:rFonts w:ascii="Times New Roman" w:hAnsi="Times New Roman"/>
                <w:b/>
                <w:sz w:val="13"/>
                <w:szCs w:val="13"/>
              </w:rPr>
            </w:pPr>
            <w:r w:rsidRPr="006B42D6">
              <w:rPr>
                <w:rFonts w:ascii="Times New Roman" w:hAnsi="Times New Roman"/>
                <w:b/>
                <w:sz w:val="13"/>
                <w:szCs w:val="13"/>
              </w:rPr>
              <w:t>5,153</w:t>
            </w:r>
          </w:p>
        </w:tc>
        <w:tc>
          <w:tcPr>
            <w:tcW w:w="328" w:type="pct"/>
            <w:tcBorders>
              <w:right w:val="single" w:sz="4" w:space="0" w:color="auto"/>
            </w:tcBorders>
            <w:shd w:val="clear" w:color="auto" w:fill="FFFFFF"/>
            <w:noWrap/>
            <w:vAlign w:val="center"/>
            <w:hideMark/>
          </w:tcPr>
          <w:p w14:paraId="408C8B01" w14:textId="77777777" w:rsidR="0070447D" w:rsidRPr="006B42D6" w:rsidRDefault="0070447D" w:rsidP="00C9369C">
            <w:pPr>
              <w:pStyle w:val="NoSpacing"/>
              <w:spacing w:line="360" w:lineRule="auto"/>
              <w:jc w:val="right"/>
              <w:rPr>
                <w:rFonts w:ascii="Times New Roman" w:hAnsi="Times New Roman"/>
                <w:b/>
                <w:sz w:val="13"/>
                <w:szCs w:val="13"/>
              </w:rPr>
            </w:pPr>
            <w:r w:rsidRPr="006B42D6">
              <w:rPr>
                <w:rFonts w:ascii="Times New Roman" w:hAnsi="Times New Roman"/>
                <w:b/>
                <w:sz w:val="13"/>
                <w:szCs w:val="13"/>
              </w:rPr>
              <w:t>4.1</w:t>
            </w:r>
          </w:p>
        </w:tc>
        <w:tc>
          <w:tcPr>
            <w:tcW w:w="568" w:type="pct"/>
            <w:tcBorders>
              <w:left w:val="single" w:sz="4" w:space="0" w:color="auto"/>
            </w:tcBorders>
            <w:shd w:val="clear" w:color="auto" w:fill="FFFFFF"/>
            <w:noWrap/>
            <w:vAlign w:val="center"/>
            <w:hideMark/>
          </w:tcPr>
          <w:p w14:paraId="6ABD8D36" w14:textId="77777777" w:rsidR="0070447D" w:rsidRPr="006B42D6" w:rsidRDefault="0070447D" w:rsidP="00C9369C">
            <w:pPr>
              <w:pStyle w:val="NoSpacing"/>
              <w:spacing w:line="360" w:lineRule="auto"/>
              <w:jc w:val="right"/>
              <w:rPr>
                <w:rFonts w:ascii="Times New Roman" w:hAnsi="Times New Roman"/>
                <w:b/>
                <w:sz w:val="13"/>
                <w:szCs w:val="13"/>
              </w:rPr>
            </w:pPr>
            <w:r w:rsidRPr="006B42D6">
              <w:rPr>
                <w:rFonts w:ascii="Times New Roman" w:hAnsi="Times New Roman"/>
                <w:b/>
                <w:sz w:val="13"/>
                <w:szCs w:val="13"/>
              </w:rPr>
              <w:t>12,064</w:t>
            </w:r>
          </w:p>
        </w:tc>
        <w:tc>
          <w:tcPr>
            <w:tcW w:w="328" w:type="pct"/>
            <w:tcBorders>
              <w:right w:val="single" w:sz="4" w:space="0" w:color="auto"/>
            </w:tcBorders>
            <w:shd w:val="clear" w:color="auto" w:fill="FFFFFF"/>
            <w:noWrap/>
            <w:vAlign w:val="center"/>
            <w:hideMark/>
          </w:tcPr>
          <w:p w14:paraId="04DF4762" w14:textId="77777777" w:rsidR="0070447D" w:rsidRPr="006B42D6" w:rsidRDefault="0070447D" w:rsidP="00C9369C">
            <w:pPr>
              <w:pStyle w:val="NoSpacing"/>
              <w:spacing w:line="360" w:lineRule="auto"/>
              <w:jc w:val="right"/>
              <w:rPr>
                <w:rFonts w:ascii="Times New Roman" w:hAnsi="Times New Roman"/>
                <w:b/>
                <w:sz w:val="13"/>
                <w:szCs w:val="13"/>
              </w:rPr>
            </w:pPr>
            <w:r w:rsidRPr="006B42D6">
              <w:rPr>
                <w:rFonts w:ascii="Times New Roman" w:hAnsi="Times New Roman"/>
                <w:b/>
                <w:sz w:val="13"/>
                <w:szCs w:val="13"/>
              </w:rPr>
              <w:t>9.6</w:t>
            </w:r>
          </w:p>
        </w:tc>
        <w:tc>
          <w:tcPr>
            <w:tcW w:w="489" w:type="pct"/>
            <w:tcBorders>
              <w:left w:val="single" w:sz="4" w:space="0" w:color="auto"/>
            </w:tcBorders>
            <w:shd w:val="clear" w:color="auto" w:fill="FFFFFF"/>
            <w:noWrap/>
            <w:vAlign w:val="center"/>
            <w:hideMark/>
          </w:tcPr>
          <w:p w14:paraId="04C22A43" w14:textId="77777777" w:rsidR="0070447D" w:rsidRPr="006B42D6" w:rsidRDefault="0070447D" w:rsidP="00C9369C">
            <w:pPr>
              <w:pStyle w:val="NoSpacing"/>
              <w:spacing w:line="360" w:lineRule="auto"/>
              <w:jc w:val="right"/>
              <w:rPr>
                <w:rFonts w:ascii="Times New Roman" w:hAnsi="Times New Roman"/>
                <w:b/>
                <w:sz w:val="13"/>
                <w:szCs w:val="13"/>
              </w:rPr>
            </w:pPr>
            <w:r w:rsidRPr="006B42D6">
              <w:rPr>
                <w:rFonts w:ascii="Times New Roman" w:hAnsi="Times New Roman"/>
                <w:b/>
                <w:sz w:val="13"/>
                <w:szCs w:val="13"/>
              </w:rPr>
              <w:t>27,008</w:t>
            </w:r>
          </w:p>
        </w:tc>
        <w:tc>
          <w:tcPr>
            <w:tcW w:w="328" w:type="pct"/>
            <w:shd w:val="clear" w:color="auto" w:fill="FFFFFF"/>
            <w:noWrap/>
            <w:vAlign w:val="center"/>
            <w:hideMark/>
          </w:tcPr>
          <w:p w14:paraId="27DBED89" w14:textId="77777777" w:rsidR="0070447D" w:rsidRPr="006B42D6" w:rsidRDefault="0070447D" w:rsidP="00C9369C">
            <w:pPr>
              <w:pStyle w:val="NoSpacing"/>
              <w:spacing w:line="360" w:lineRule="auto"/>
              <w:jc w:val="right"/>
              <w:rPr>
                <w:rFonts w:ascii="Times New Roman" w:hAnsi="Times New Roman"/>
                <w:b/>
                <w:sz w:val="13"/>
                <w:szCs w:val="13"/>
              </w:rPr>
            </w:pPr>
            <w:r w:rsidRPr="006B42D6">
              <w:rPr>
                <w:rFonts w:ascii="Times New Roman" w:hAnsi="Times New Roman"/>
                <w:b/>
                <w:sz w:val="13"/>
                <w:szCs w:val="13"/>
              </w:rPr>
              <w:t>21.4</w:t>
            </w:r>
          </w:p>
        </w:tc>
      </w:tr>
      <w:tr w:rsidR="006B42D6" w:rsidRPr="006B42D6" w14:paraId="7EC9C7C8" w14:textId="77777777" w:rsidTr="007138F1">
        <w:trPr>
          <w:trHeight w:val="283"/>
        </w:trPr>
        <w:tc>
          <w:tcPr>
            <w:tcW w:w="663" w:type="pct"/>
            <w:vMerge w:val="restart"/>
            <w:shd w:val="clear" w:color="auto" w:fill="FFFFFF"/>
            <w:noWrap/>
            <w:vAlign w:val="center"/>
            <w:hideMark/>
          </w:tcPr>
          <w:p w14:paraId="582FF94A" w14:textId="0A23F703" w:rsidR="0070447D" w:rsidRPr="006B42D6" w:rsidRDefault="0070447D" w:rsidP="0034351C">
            <w:pPr>
              <w:pStyle w:val="NoSpacing"/>
              <w:spacing w:line="360" w:lineRule="auto"/>
              <w:rPr>
                <w:rFonts w:ascii="Times New Roman" w:hAnsi="Times New Roman"/>
                <w:sz w:val="13"/>
                <w:szCs w:val="13"/>
              </w:rPr>
            </w:pPr>
            <w:r w:rsidRPr="006B42D6">
              <w:rPr>
                <w:rFonts w:ascii="Times New Roman" w:hAnsi="Times New Roman"/>
                <w:sz w:val="13"/>
                <w:szCs w:val="13"/>
              </w:rPr>
              <w:t>Tanzania</w:t>
            </w:r>
          </w:p>
        </w:tc>
        <w:tc>
          <w:tcPr>
            <w:tcW w:w="569" w:type="pct"/>
            <w:tcBorders>
              <w:right w:val="single" w:sz="4" w:space="0" w:color="auto"/>
            </w:tcBorders>
            <w:shd w:val="clear" w:color="auto" w:fill="FFFFFF"/>
            <w:noWrap/>
            <w:vAlign w:val="center"/>
            <w:hideMark/>
          </w:tcPr>
          <w:p w14:paraId="437B8065" w14:textId="760D77B6" w:rsidR="0070447D" w:rsidRPr="006B42D6" w:rsidRDefault="0070447D" w:rsidP="00B4501D">
            <w:pPr>
              <w:pStyle w:val="NoSpacing"/>
              <w:spacing w:line="360" w:lineRule="auto"/>
              <w:rPr>
                <w:rFonts w:ascii="Times New Roman" w:hAnsi="Times New Roman"/>
                <w:sz w:val="13"/>
                <w:szCs w:val="13"/>
              </w:rPr>
            </w:pPr>
            <w:r w:rsidRPr="006B42D6">
              <w:rPr>
                <w:rFonts w:ascii="Times New Roman" w:hAnsi="Times New Roman"/>
                <w:sz w:val="13"/>
                <w:szCs w:val="13"/>
              </w:rPr>
              <w:t xml:space="preserve">Short </w:t>
            </w:r>
            <w:r w:rsidR="004865C0">
              <w:rPr>
                <w:rFonts w:ascii="Times New Roman" w:hAnsi="Times New Roman"/>
                <w:sz w:val="13"/>
                <w:szCs w:val="13"/>
              </w:rPr>
              <w:t>Rainy</w:t>
            </w:r>
          </w:p>
        </w:tc>
        <w:tc>
          <w:tcPr>
            <w:tcW w:w="521" w:type="pct"/>
            <w:tcBorders>
              <w:left w:val="single" w:sz="4" w:space="0" w:color="auto"/>
              <w:right w:val="single" w:sz="4" w:space="0" w:color="auto"/>
            </w:tcBorders>
            <w:shd w:val="clear" w:color="auto" w:fill="FFFFFF"/>
            <w:noWrap/>
            <w:vAlign w:val="center"/>
            <w:hideMark/>
          </w:tcPr>
          <w:p w14:paraId="73F98DD6" w14:textId="77777777" w:rsidR="0070447D" w:rsidRPr="006B42D6" w:rsidRDefault="0070447D" w:rsidP="00B4501D">
            <w:pPr>
              <w:pStyle w:val="NoSpacing"/>
              <w:spacing w:line="360" w:lineRule="auto"/>
              <w:jc w:val="right"/>
              <w:rPr>
                <w:rFonts w:ascii="Times New Roman" w:hAnsi="Times New Roman"/>
                <w:sz w:val="13"/>
                <w:szCs w:val="13"/>
              </w:rPr>
            </w:pPr>
            <w:r w:rsidRPr="006B42D6">
              <w:rPr>
                <w:rFonts w:ascii="Times New Roman" w:hAnsi="Times New Roman"/>
                <w:sz w:val="13"/>
                <w:szCs w:val="13"/>
              </w:rPr>
              <w:t>3,335,720</w:t>
            </w:r>
          </w:p>
        </w:tc>
        <w:tc>
          <w:tcPr>
            <w:tcW w:w="451" w:type="pct"/>
            <w:tcBorders>
              <w:left w:val="single" w:sz="4" w:space="0" w:color="auto"/>
            </w:tcBorders>
            <w:shd w:val="clear" w:color="auto" w:fill="FFFFFF"/>
            <w:noWrap/>
            <w:vAlign w:val="center"/>
            <w:hideMark/>
          </w:tcPr>
          <w:p w14:paraId="47C34134" w14:textId="77777777" w:rsidR="0070447D" w:rsidRPr="006B42D6" w:rsidRDefault="0070447D" w:rsidP="00B4501D">
            <w:pPr>
              <w:pStyle w:val="NoSpacing"/>
              <w:spacing w:line="360" w:lineRule="auto"/>
              <w:ind w:hanging="249"/>
              <w:jc w:val="right"/>
              <w:rPr>
                <w:rFonts w:ascii="Times New Roman" w:hAnsi="Times New Roman"/>
                <w:sz w:val="13"/>
                <w:szCs w:val="13"/>
              </w:rPr>
            </w:pPr>
            <w:r w:rsidRPr="006B42D6">
              <w:rPr>
                <w:rFonts w:ascii="Times New Roman" w:hAnsi="Times New Roman"/>
                <w:sz w:val="13"/>
                <w:szCs w:val="13"/>
              </w:rPr>
              <w:t>231,621</w:t>
            </w:r>
          </w:p>
        </w:tc>
        <w:tc>
          <w:tcPr>
            <w:tcW w:w="328" w:type="pct"/>
            <w:tcBorders>
              <w:right w:val="single" w:sz="4" w:space="0" w:color="auto"/>
            </w:tcBorders>
            <w:shd w:val="clear" w:color="auto" w:fill="FFFFFF"/>
            <w:noWrap/>
            <w:vAlign w:val="center"/>
            <w:hideMark/>
          </w:tcPr>
          <w:p w14:paraId="28A9487A" w14:textId="77777777" w:rsidR="0070447D" w:rsidRPr="006B42D6" w:rsidRDefault="0070447D" w:rsidP="00B4501D">
            <w:pPr>
              <w:pStyle w:val="NoSpacing"/>
              <w:spacing w:line="360" w:lineRule="auto"/>
              <w:ind w:hanging="43"/>
              <w:jc w:val="right"/>
              <w:rPr>
                <w:rFonts w:ascii="Times New Roman" w:hAnsi="Times New Roman"/>
                <w:sz w:val="13"/>
                <w:szCs w:val="13"/>
              </w:rPr>
            </w:pPr>
            <w:r w:rsidRPr="006B42D6">
              <w:rPr>
                <w:rFonts w:ascii="Times New Roman" w:hAnsi="Times New Roman"/>
                <w:sz w:val="13"/>
                <w:szCs w:val="13"/>
              </w:rPr>
              <w:t>6.9</w:t>
            </w:r>
          </w:p>
        </w:tc>
        <w:tc>
          <w:tcPr>
            <w:tcW w:w="426" w:type="pct"/>
            <w:tcBorders>
              <w:left w:val="single" w:sz="4" w:space="0" w:color="auto"/>
            </w:tcBorders>
            <w:shd w:val="clear" w:color="auto" w:fill="FFFFFF"/>
            <w:noWrap/>
            <w:vAlign w:val="center"/>
            <w:hideMark/>
          </w:tcPr>
          <w:p w14:paraId="014E28F8" w14:textId="77777777" w:rsidR="0070447D" w:rsidRPr="006B42D6" w:rsidRDefault="0070447D" w:rsidP="00B4501D">
            <w:pPr>
              <w:pStyle w:val="NoSpacing"/>
              <w:spacing w:line="360" w:lineRule="auto"/>
              <w:jc w:val="right"/>
              <w:rPr>
                <w:rFonts w:ascii="Times New Roman" w:hAnsi="Times New Roman"/>
                <w:sz w:val="13"/>
                <w:szCs w:val="13"/>
              </w:rPr>
            </w:pPr>
            <w:r w:rsidRPr="006B42D6">
              <w:rPr>
                <w:rFonts w:ascii="Times New Roman" w:hAnsi="Times New Roman"/>
                <w:sz w:val="13"/>
                <w:szCs w:val="13"/>
              </w:rPr>
              <w:t>84,780</w:t>
            </w:r>
          </w:p>
        </w:tc>
        <w:tc>
          <w:tcPr>
            <w:tcW w:w="328" w:type="pct"/>
            <w:tcBorders>
              <w:right w:val="single" w:sz="4" w:space="0" w:color="auto"/>
            </w:tcBorders>
            <w:shd w:val="clear" w:color="auto" w:fill="FFFFFF"/>
            <w:noWrap/>
            <w:vAlign w:val="center"/>
            <w:hideMark/>
          </w:tcPr>
          <w:p w14:paraId="2E8671DC" w14:textId="77777777" w:rsidR="0070447D" w:rsidRPr="006B42D6" w:rsidRDefault="0070447D" w:rsidP="00B4501D">
            <w:pPr>
              <w:pStyle w:val="NoSpacing"/>
              <w:spacing w:line="360" w:lineRule="auto"/>
              <w:jc w:val="right"/>
              <w:rPr>
                <w:rFonts w:ascii="Times New Roman" w:hAnsi="Times New Roman"/>
                <w:sz w:val="13"/>
                <w:szCs w:val="13"/>
              </w:rPr>
            </w:pPr>
            <w:r w:rsidRPr="006B42D6">
              <w:rPr>
                <w:rFonts w:ascii="Times New Roman" w:hAnsi="Times New Roman"/>
                <w:sz w:val="13"/>
                <w:szCs w:val="13"/>
              </w:rPr>
              <w:t>2.5</w:t>
            </w:r>
          </w:p>
        </w:tc>
        <w:tc>
          <w:tcPr>
            <w:tcW w:w="568" w:type="pct"/>
            <w:tcBorders>
              <w:left w:val="single" w:sz="4" w:space="0" w:color="auto"/>
            </w:tcBorders>
            <w:shd w:val="clear" w:color="auto" w:fill="FFFFFF"/>
            <w:noWrap/>
            <w:vAlign w:val="center"/>
            <w:hideMark/>
          </w:tcPr>
          <w:p w14:paraId="76CACE80" w14:textId="77777777" w:rsidR="0070447D" w:rsidRPr="006B42D6" w:rsidRDefault="0070447D" w:rsidP="00B4501D">
            <w:pPr>
              <w:pStyle w:val="NoSpacing"/>
              <w:spacing w:line="360" w:lineRule="auto"/>
              <w:jc w:val="right"/>
              <w:rPr>
                <w:rFonts w:ascii="Times New Roman" w:hAnsi="Times New Roman"/>
                <w:sz w:val="13"/>
                <w:szCs w:val="13"/>
              </w:rPr>
            </w:pPr>
            <w:r w:rsidRPr="006B42D6">
              <w:rPr>
                <w:rFonts w:ascii="Times New Roman" w:hAnsi="Times New Roman"/>
                <w:sz w:val="13"/>
                <w:szCs w:val="13"/>
              </w:rPr>
              <w:t>539,082</w:t>
            </w:r>
          </w:p>
        </w:tc>
        <w:tc>
          <w:tcPr>
            <w:tcW w:w="328" w:type="pct"/>
            <w:tcBorders>
              <w:right w:val="single" w:sz="4" w:space="0" w:color="auto"/>
            </w:tcBorders>
            <w:shd w:val="clear" w:color="auto" w:fill="FFFFFF"/>
            <w:noWrap/>
            <w:vAlign w:val="center"/>
            <w:hideMark/>
          </w:tcPr>
          <w:p w14:paraId="5D60F813" w14:textId="77777777" w:rsidR="0070447D" w:rsidRPr="006B42D6" w:rsidRDefault="0070447D" w:rsidP="00B4501D">
            <w:pPr>
              <w:pStyle w:val="NoSpacing"/>
              <w:spacing w:line="360" w:lineRule="auto"/>
              <w:jc w:val="right"/>
              <w:rPr>
                <w:rFonts w:ascii="Times New Roman" w:hAnsi="Times New Roman"/>
                <w:sz w:val="13"/>
                <w:szCs w:val="13"/>
              </w:rPr>
            </w:pPr>
            <w:r w:rsidRPr="006B42D6">
              <w:rPr>
                <w:rFonts w:ascii="Times New Roman" w:hAnsi="Times New Roman"/>
                <w:sz w:val="13"/>
                <w:szCs w:val="13"/>
              </w:rPr>
              <w:t>16.2</w:t>
            </w:r>
          </w:p>
        </w:tc>
        <w:tc>
          <w:tcPr>
            <w:tcW w:w="489" w:type="pct"/>
            <w:tcBorders>
              <w:left w:val="single" w:sz="4" w:space="0" w:color="auto"/>
            </w:tcBorders>
            <w:shd w:val="clear" w:color="auto" w:fill="FFFFFF"/>
            <w:noWrap/>
            <w:vAlign w:val="center"/>
            <w:hideMark/>
          </w:tcPr>
          <w:p w14:paraId="6C19E4F7" w14:textId="77777777" w:rsidR="0070447D" w:rsidRPr="006B42D6" w:rsidRDefault="0070447D" w:rsidP="00B4501D">
            <w:pPr>
              <w:pStyle w:val="NoSpacing"/>
              <w:spacing w:line="360" w:lineRule="auto"/>
              <w:jc w:val="right"/>
              <w:rPr>
                <w:rFonts w:ascii="Times New Roman" w:hAnsi="Times New Roman"/>
                <w:sz w:val="13"/>
                <w:szCs w:val="13"/>
              </w:rPr>
            </w:pPr>
            <w:r w:rsidRPr="006B42D6">
              <w:rPr>
                <w:rFonts w:ascii="Times New Roman" w:hAnsi="Times New Roman"/>
                <w:sz w:val="13"/>
                <w:szCs w:val="13"/>
              </w:rPr>
              <w:t>855,483</w:t>
            </w:r>
          </w:p>
        </w:tc>
        <w:tc>
          <w:tcPr>
            <w:tcW w:w="328" w:type="pct"/>
            <w:shd w:val="clear" w:color="auto" w:fill="FFFFFF"/>
            <w:noWrap/>
            <w:vAlign w:val="center"/>
            <w:hideMark/>
          </w:tcPr>
          <w:p w14:paraId="3871BF6F" w14:textId="77777777" w:rsidR="0070447D" w:rsidRPr="006B42D6" w:rsidRDefault="0070447D" w:rsidP="00B4501D">
            <w:pPr>
              <w:pStyle w:val="NoSpacing"/>
              <w:spacing w:line="360" w:lineRule="auto"/>
              <w:jc w:val="right"/>
              <w:rPr>
                <w:rFonts w:ascii="Times New Roman" w:hAnsi="Times New Roman"/>
                <w:sz w:val="13"/>
                <w:szCs w:val="13"/>
              </w:rPr>
            </w:pPr>
            <w:r w:rsidRPr="006B42D6">
              <w:rPr>
                <w:rFonts w:ascii="Times New Roman" w:hAnsi="Times New Roman"/>
                <w:sz w:val="13"/>
                <w:szCs w:val="13"/>
              </w:rPr>
              <w:t>25.6</w:t>
            </w:r>
          </w:p>
        </w:tc>
      </w:tr>
      <w:tr w:rsidR="006B42D6" w:rsidRPr="006B42D6" w14:paraId="5A9C1FF9" w14:textId="77777777" w:rsidTr="007138F1">
        <w:trPr>
          <w:trHeight w:val="283"/>
        </w:trPr>
        <w:tc>
          <w:tcPr>
            <w:tcW w:w="663" w:type="pct"/>
            <w:vMerge/>
            <w:shd w:val="clear" w:color="auto" w:fill="FFFFFF"/>
            <w:noWrap/>
            <w:hideMark/>
          </w:tcPr>
          <w:p w14:paraId="1E024848" w14:textId="77777777" w:rsidR="0070447D" w:rsidRPr="006B42D6" w:rsidRDefault="0070447D" w:rsidP="00E173AB">
            <w:pPr>
              <w:pStyle w:val="NoSpacing"/>
              <w:spacing w:line="360" w:lineRule="auto"/>
              <w:jc w:val="right"/>
              <w:rPr>
                <w:rFonts w:ascii="Times New Roman" w:hAnsi="Times New Roman"/>
                <w:sz w:val="13"/>
                <w:szCs w:val="13"/>
              </w:rPr>
            </w:pPr>
          </w:p>
        </w:tc>
        <w:tc>
          <w:tcPr>
            <w:tcW w:w="569" w:type="pct"/>
            <w:tcBorders>
              <w:right w:val="single" w:sz="4" w:space="0" w:color="auto"/>
            </w:tcBorders>
            <w:shd w:val="clear" w:color="auto" w:fill="FFFFFF"/>
            <w:noWrap/>
            <w:vAlign w:val="center"/>
            <w:hideMark/>
          </w:tcPr>
          <w:p w14:paraId="589BB91D" w14:textId="7F2F5A83" w:rsidR="0070447D" w:rsidRPr="006B42D6" w:rsidRDefault="0070447D" w:rsidP="00B4501D">
            <w:pPr>
              <w:pStyle w:val="NoSpacing"/>
              <w:spacing w:line="360" w:lineRule="auto"/>
              <w:rPr>
                <w:rFonts w:ascii="Times New Roman" w:hAnsi="Times New Roman"/>
                <w:sz w:val="13"/>
                <w:szCs w:val="13"/>
              </w:rPr>
            </w:pPr>
            <w:r w:rsidRPr="006B42D6">
              <w:rPr>
                <w:rFonts w:ascii="Times New Roman" w:hAnsi="Times New Roman"/>
                <w:sz w:val="13"/>
                <w:szCs w:val="13"/>
              </w:rPr>
              <w:t xml:space="preserve">Long </w:t>
            </w:r>
            <w:r w:rsidR="004865C0">
              <w:rPr>
                <w:rFonts w:ascii="Times New Roman" w:hAnsi="Times New Roman"/>
                <w:sz w:val="13"/>
                <w:szCs w:val="13"/>
              </w:rPr>
              <w:t>Rainy</w:t>
            </w:r>
          </w:p>
        </w:tc>
        <w:tc>
          <w:tcPr>
            <w:tcW w:w="521" w:type="pct"/>
            <w:tcBorders>
              <w:left w:val="single" w:sz="4" w:space="0" w:color="auto"/>
              <w:right w:val="single" w:sz="4" w:space="0" w:color="auto"/>
            </w:tcBorders>
            <w:shd w:val="clear" w:color="auto" w:fill="FFFFFF"/>
            <w:noWrap/>
            <w:vAlign w:val="center"/>
            <w:hideMark/>
          </w:tcPr>
          <w:p w14:paraId="691967E6" w14:textId="77777777" w:rsidR="0070447D" w:rsidRPr="006B42D6" w:rsidRDefault="0070447D" w:rsidP="00B4501D">
            <w:pPr>
              <w:pStyle w:val="NoSpacing"/>
              <w:spacing w:line="360" w:lineRule="auto"/>
              <w:jc w:val="right"/>
              <w:rPr>
                <w:rFonts w:ascii="Times New Roman" w:hAnsi="Times New Roman"/>
                <w:sz w:val="13"/>
                <w:szCs w:val="13"/>
              </w:rPr>
            </w:pPr>
            <w:r w:rsidRPr="006B42D6">
              <w:rPr>
                <w:rFonts w:ascii="Times New Roman" w:hAnsi="Times New Roman"/>
                <w:sz w:val="13"/>
                <w:szCs w:val="13"/>
              </w:rPr>
              <w:t>8,429,356</w:t>
            </w:r>
          </w:p>
        </w:tc>
        <w:tc>
          <w:tcPr>
            <w:tcW w:w="451" w:type="pct"/>
            <w:tcBorders>
              <w:left w:val="single" w:sz="4" w:space="0" w:color="auto"/>
            </w:tcBorders>
            <w:shd w:val="clear" w:color="auto" w:fill="FFFFFF"/>
            <w:noWrap/>
            <w:vAlign w:val="center"/>
            <w:hideMark/>
          </w:tcPr>
          <w:p w14:paraId="0EB3BEA5" w14:textId="77777777" w:rsidR="0070447D" w:rsidRPr="006B42D6" w:rsidRDefault="0070447D" w:rsidP="00B4501D">
            <w:pPr>
              <w:pStyle w:val="NoSpacing"/>
              <w:spacing w:line="360" w:lineRule="auto"/>
              <w:ind w:hanging="249"/>
              <w:jc w:val="right"/>
              <w:rPr>
                <w:rFonts w:ascii="Times New Roman" w:hAnsi="Times New Roman"/>
                <w:sz w:val="13"/>
                <w:szCs w:val="13"/>
              </w:rPr>
            </w:pPr>
            <w:r w:rsidRPr="006B42D6">
              <w:rPr>
                <w:rFonts w:ascii="Times New Roman" w:hAnsi="Times New Roman"/>
                <w:sz w:val="13"/>
                <w:szCs w:val="13"/>
              </w:rPr>
              <w:t>817,877</w:t>
            </w:r>
          </w:p>
        </w:tc>
        <w:tc>
          <w:tcPr>
            <w:tcW w:w="328" w:type="pct"/>
            <w:tcBorders>
              <w:right w:val="single" w:sz="4" w:space="0" w:color="auto"/>
            </w:tcBorders>
            <w:shd w:val="clear" w:color="auto" w:fill="FFFFFF"/>
            <w:noWrap/>
            <w:vAlign w:val="center"/>
            <w:hideMark/>
          </w:tcPr>
          <w:p w14:paraId="20A57C7C" w14:textId="77777777" w:rsidR="0070447D" w:rsidRPr="006B42D6" w:rsidRDefault="0070447D" w:rsidP="00B4501D">
            <w:pPr>
              <w:pStyle w:val="NoSpacing"/>
              <w:spacing w:line="360" w:lineRule="auto"/>
              <w:ind w:hanging="43"/>
              <w:jc w:val="right"/>
              <w:rPr>
                <w:rFonts w:ascii="Times New Roman" w:hAnsi="Times New Roman"/>
                <w:sz w:val="13"/>
                <w:szCs w:val="13"/>
              </w:rPr>
            </w:pPr>
            <w:r w:rsidRPr="006B42D6">
              <w:rPr>
                <w:rFonts w:ascii="Times New Roman" w:hAnsi="Times New Roman"/>
                <w:sz w:val="13"/>
                <w:szCs w:val="13"/>
              </w:rPr>
              <w:t>9.7</w:t>
            </w:r>
          </w:p>
        </w:tc>
        <w:tc>
          <w:tcPr>
            <w:tcW w:w="426" w:type="pct"/>
            <w:tcBorders>
              <w:left w:val="single" w:sz="4" w:space="0" w:color="auto"/>
            </w:tcBorders>
            <w:shd w:val="clear" w:color="auto" w:fill="FFFFFF"/>
            <w:noWrap/>
            <w:vAlign w:val="center"/>
            <w:hideMark/>
          </w:tcPr>
          <w:p w14:paraId="07A571E6" w14:textId="77777777" w:rsidR="0070447D" w:rsidRPr="006B42D6" w:rsidRDefault="0070447D" w:rsidP="00B4501D">
            <w:pPr>
              <w:pStyle w:val="NoSpacing"/>
              <w:spacing w:line="360" w:lineRule="auto"/>
              <w:jc w:val="right"/>
              <w:rPr>
                <w:rFonts w:ascii="Times New Roman" w:hAnsi="Times New Roman"/>
                <w:sz w:val="13"/>
                <w:szCs w:val="13"/>
              </w:rPr>
            </w:pPr>
            <w:r w:rsidRPr="006B42D6">
              <w:rPr>
                <w:rFonts w:ascii="Times New Roman" w:hAnsi="Times New Roman"/>
                <w:sz w:val="13"/>
                <w:szCs w:val="13"/>
              </w:rPr>
              <w:t>179,141</w:t>
            </w:r>
          </w:p>
        </w:tc>
        <w:tc>
          <w:tcPr>
            <w:tcW w:w="328" w:type="pct"/>
            <w:tcBorders>
              <w:right w:val="single" w:sz="4" w:space="0" w:color="auto"/>
            </w:tcBorders>
            <w:shd w:val="clear" w:color="auto" w:fill="FFFFFF"/>
            <w:noWrap/>
            <w:vAlign w:val="center"/>
            <w:hideMark/>
          </w:tcPr>
          <w:p w14:paraId="710F37A7" w14:textId="77777777" w:rsidR="0070447D" w:rsidRPr="006B42D6" w:rsidRDefault="0070447D" w:rsidP="00B4501D">
            <w:pPr>
              <w:pStyle w:val="NoSpacing"/>
              <w:spacing w:line="360" w:lineRule="auto"/>
              <w:jc w:val="right"/>
              <w:rPr>
                <w:rFonts w:ascii="Times New Roman" w:hAnsi="Times New Roman"/>
                <w:sz w:val="13"/>
                <w:szCs w:val="13"/>
              </w:rPr>
            </w:pPr>
            <w:r w:rsidRPr="006B42D6">
              <w:rPr>
                <w:rFonts w:ascii="Times New Roman" w:hAnsi="Times New Roman"/>
                <w:sz w:val="13"/>
                <w:szCs w:val="13"/>
              </w:rPr>
              <w:t>2.1</w:t>
            </w:r>
          </w:p>
        </w:tc>
        <w:tc>
          <w:tcPr>
            <w:tcW w:w="568" w:type="pct"/>
            <w:tcBorders>
              <w:left w:val="single" w:sz="4" w:space="0" w:color="auto"/>
            </w:tcBorders>
            <w:shd w:val="clear" w:color="auto" w:fill="FFFFFF"/>
            <w:noWrap/>
            <w:vAlign w:val="center"/>
            <w:hideMark/>
          </w:tcPr>
          <w:p w14:paraId="6FD6FD39" w14:textId="77777777" w:rsidR="0070447D" w:rsidRPr="006B42D6" w:rsidRDefault="0070447D" w:rsidP="00B4501D">
            <w:pPr>
              <w:pStyle w:val="NoSpacing"/>
              <w:spacing w:line="360" w:lineRule="auto"/>
              <w:jc w:val="right"/>
              <w:rPr>
                <w:rFonts w:ascii="Times New Roman" w:hAnsi="Times New Roman"/>
                <w:sz w:val="13"/>
                <w:szCs w:val="13"/>
              </w:rPr>
            </w:pPr>
            <w:r w:rsidRPr="006B42D6">
              <w:rPr>
                <w:rFonts w:ascii="Times New Roman" w:hAnsi="Times New Roman"/>
                <w:sz w:val="13"/>
                <w:szCs w:val="13"/>
              </w:rPr>
              <w:t>1,307,011</w:t>
            </w:r>
          </w:p>
        </w:tc>
        <w:tc>
          <w:tcPr>
            <w:tcW w:w="328" w:type="pct"/>
            <w:tcBorders>
              <w:right w:val="single" w:sz="4" w:space="0" w:color="auto"/>
            </w:tcBorders>
            <w:shd w:val="clear" w:color="auto" w:fill="FFFFFF"/>
            <w:noWrap/>
            <w:vAlign w:val="center"/>
            <w:hideMark/>
          </w:tcPr>
          <w:p w14:paraId="25BD61C7" w14:textId="77777777" w:rsidR="0070447D" w:rsidRPr="006B42D6" w:rsidRDefault="0070447D" w:rsidP="00B4501D">
            <w:pPr>
              <w:pStyle w:val="NoSpacing"/>
              <w:spacing w:line="360" w:lineRule="auto"/>
              <w:jc w:val="right"/>
              <w:rPr>
                <w:rFonts w:ascii="Times New Roman" w:hAnsi="Times New Roman"/>
                <w:sz w:val="13"/>
                <w:szCs w:val="13"/>
              </w:rPr>
            </w:pPr>
            <w:r w:rsidRPr="006B42D6">
              <w:rPr>
                <w:rFonts w:ascii="Times New Roman" w:hAnsi="Times New Roman"/>
                <w:sz w:val="13"/>
                <w:szCs w:val="13"/>
              </w:rPr>
              <w:t>15.5</w:t>
            </w:r>
          </w:p>
        </w:tc>
        <w:tc>
          <w:tcPr>
            <w:tcW w:w="489" w:type="pct"/>
            <w:tcBorders>
              <w:left w:val="single" w:sz="4" w:space="0" w:color="auto"/>
            </w:tcBorders>
            <w:shd w:val="clear" w:color="auto" w:fill="FFFFFF"/>
            <w:noWrap/>
            <w:vAlign w:val="center"/>
            <w:hideMark/>
          </w:tcPr>
          <w:p w14:paraId="6D5CE2B0" w14:textId="77777777" w:rsidR="0070447D" w:rsidRPr="006B42D6" w:rsidRDefault="0070447D" w:rsidP="00B4501D">
            <w:pPr>
              <w:pStyle w:val="NoSpacing"/>
              <w:spacing w:line="360" w:lineRule="auto"/>
              <w:jc w:val="right"/>
              <w:rPr>
                <w:rFonts w:ascii="Times New Roman" w:hAnsi="Times New Roman"/>
                <w:sz w:val="13"/>
                <w:szCs w:val="13"/>
              </w:rPr>
            </w:pPr>
            <w:r w:rsidRPr="006B42D6">
              <w:rPr>
                <w:rFonts w:ascii="Times New Roman" w:hAnsi="Times New Roman"/>
                <w:sz w:val="13"/>
                <w:szCs w:val="13"/>
              </w:rPr>
              <w:t>2,304,030</w:t>
            </w:r>
          </w:p>
        </w:tc>
        <w:tc>
          <w:tcPr>
            <w:tcW w:w="328" w:type="pct"/>
            <w:shd w:val="clear" w:color="auto" w:fill="FFFFFF"/>
            <w:noWrap/>
            <w:vAlign w:val="center"/>
            <w:hideMark/>
          </w:tcPr>
          <w:p w14:paraId="1F715A26" w14:textId="77777777" w:rsidR="0070447D" w:rsidRPr="006B42D6" w:rsidRDefault="0070447D" w:rsidP="00B4501D">
            <w:pPr>
              <w:pStyle w:val="NoSpacing"/>
              <w:spacing w:line="360" w:lineRule="auto"/>
              <w:jc w:val="right"/>
              <w:rPr>
                <w:rFonts w:ascii="Times New Roman" w:hAnsi="Times New Roman"/>
                <w:sz w:val="13"/>
                <w:szCs w:val="13"/>
              </w:rPr>
            </w:pPr>
            <w:r w:rsidRPr="006B42D6">
              <w:rPr>
                <w:rFonts w:ascii="Times New Roman" w:hAnsi="Times New Roman"/>
                <w:sz w:val="13"/>
                <w:szCs w:val="13"/>
              </w:rPr>
              <w:t>27.3</w:t>
            </w:r>
          </w:p>
        </w:tc>
      </w:tr>
      <w:tr w:rsidR="006B42D6" w:rsidRPr="006B42D6" w14:paraId="7EF7E6F4" w14:textId="77777777" w:rsidTr="007138F1">
        <w:trPr>
          <w:trHeight w:val="283"/>
        </w:trPr>
        <w:tc>
          <w:tcPr>
            <w:tcW w:w="663" w:type="pct"/>
            <w:vMerge/>
            <w:tcBorders>
              <w:bottom w:val="single" w:sz="4" w:space="0" w:color="auto"/>
            </w:tcBorders>
            <w:shd w:val="clear" w:color="auto" w:fill="FFFFFF"/>
            <w:noWrap/>
            <w:vAlign w:val="center"/>
            <w:hideMark/>
          </w:tcPr>
          <w:p w14:paraId="328367D4" w14:textId="77777777" w:rsidR="0070447D" w:rsidRPr="006B42D6" w:rsidRDefault="0070447D" w:rsidP="00C9369C">
            <w:pPr>
              <w:pStyle w:val="NoSpacing"/>
              <w:spacing w:line="360" w:lineRule="auto"/>
              <w:jc w:val="right"/>
              <w:rPr>
                <w:rFonts w:ascii="Times New Roman" w:hAnsi="Times New Roman"/>
                <w:sz w:val="13"/>
                <w:szCs w:val="13"/>
              </w:rPr>
            </w:pPr>
          </w:p>
        </w:tc>
        <w:tc>
          <w:tcPr>
            <w:tcW w:w="569" w:type="pct"/>
            <w:tcBorders>
              <w:bottom w:val="single" w:sz="4" w:space="0" w:color="auto"/>
              <w:right w:val="single" w:sz="4" w:space="0" w:color="auto"/>
            </w:tcBorders>
            <w:shd w:val="clear" w:color="auto" w:fill="FFFFFF"/>
            <w:noWrap/>
            <w:vAlign w:val="center"/>
            <w:hideMark/>
          </w:tcPr>
          <w:p w14:paraId="7632F7B8" w14:textId="77777777" w:rsidR="0070447D" w:rsidRPr="006B42D6" w:rsidRDefault="0070447D" w:rsidP="00C9369C">
            <w:pPr>
              <w:pStyle w:val="NoSpacing"/>
              <w:spacing w:line="360" w:lineRule="auto"/>
              <w:rPr>
                <w:rFonts w:ascii="Times New Roman" w:hAnsi="Times New Roman"/>
                <w:b/>
                <w:sz w:val="13"/>
                <w:szCs w:val="13"/>
              </w:rPr>
            </w:pPr>
            <w:r w:rsidRPr="006B42D6">
              <w:rPr>
                <w:rFonts w:ascii="Times New Roman" w:hAnsi="Times New Roman"/>
                <w:b/>
                <w:sz w:val="13"/>
                <w:szCs w:val="13"/>
              </w:rPr>
              <w:t>Total</w:t>
            </w:r>
          </w:p>
        </w:tc>
        <w:tc>
          <w:tcPr>
            <w:tcW w:w="521" w:type="pct"/>
            <w:tcBorders>
              <w:left w:val="single" w:sz="4" w:space="0" w:color="auto"/>
              <w:bottom w:val="single" w:sz="4" w:space="0" w:color="auto"/>
              <w:right w:val="single" w:sz="4" w:space="0" w:color="auto"/>
            </w:tcBorders>
            <w:shd w:val="clear" w:color="auto" w:fill="FFFFFF"/>
            <w:noWrap/>
            <w:vAlign w:val="center"/>
            <w:hideMark/>
          </w:tcPr>
          <w:p w14:paraId="1C564788" w14:textId="77777777" w:rsidR="0070447D" w:rsidRPr="006B42D6" w:rsidRDefault="0070447D" w:rsidP="00C9369C">
            <w:pPr>
              <w:pStyle w:val="NoSpacing"/>
              <w:spacing w:line="360" w:lineRule="auto"/>
              <w:jc w:val="right"/>
              <w:rPr>
                <w:rFonts w:ascii="Times New Roman" w:hAnsi="Times New Roman"/>
                <w:b/>
                <w:sz w:val="13"/>
                <w:szCs w:val="13"/>
              </w:rPr>
            </w:pPr>
            <w:r w:rsidRPr="006B42D6">
              <w:rPr>
                <w:rFonts w:ascii="Times New Roman" w:hAnsi="Times New Roman"/>
                <w:b/>
                <w:sz w:val="13"/>
                <w:szCs w:val="13"/>
              </w:rPr>
              <w:t>11,765,076</w:t>
            </w:r>
          </w:p>
        </w:tc>
        <w:tc>
          <w:tcPr>
            <w:tcW w:w="451" w:type="pct"/>
            <w:tcBorders>
              <w:left w:val="single" w:sz="4" w:space="0" w:color="auto"/>
              <w:bottom w:val="single" w:sz="4" w:space="0" w:color="auto"/>
            </w:tcBorders>
            <w:shd w:val="clear" w:color="auto" w:fill="FFFFFF"/>
            <w:noWrap/>
            <w:vAlign w:val="center"/>
            <w:hideMark/>
          </w:tcPr>
          <w:p w14:paraId="3502DF49" w14:textId="77777777" w:rsidR="0070447D" w:rsidRPr="006B42D6" w:rsidRDefault="0070447D" w:rsidP="00C9369C">
            <w:pPr>
              <w:pStyle w:val="NoSpacing"/>
              <w:spacing w:line="360" w:lineRule="auto"/>
              <w:ind w:hanging="249"/>
              <w:jc w:val="right"/>
              <w:rPr>
                <w:rFonts w:ascii="Times New Roman" w:hAnsi="Times New Roman"/>
                <w:b/>
                <w:sz w:val="13"/>
                <w:szCs w:val="13"/>
              </w:rPr>
            </w:pPr>
            <w:r w:rsidRPr="006B42D6">
              <w:rPr>
                <w:rFonts w:ascii="Times New Roman" w:hAnsi="Times New Roman"/>
                <w:b/>
                <w:sz w:val="13"/>
                <w:szCs w:val="13"/>
              </w:rPr>
              <w:t>1,049,499</w:t>
            </w:r>
          </w:p>
        </w:tc>
        <w:tc>
          <w:tcPr>
            <w:tcW w:w="328" w:type="pct"/>
            <w:tcBorders>
              <w:bottom w:val="single" w:sz="4" w:space="0" w:color="auto"/>
              <w:right w:val="single" w:sz="4" w:space="0" w:color="auto"/>
            </w:tcBorders>
            <w:shd w:val="clear" w:color="auto" w:fill="FFFFFF"/>
            <w:noWrap/>
            <w:vAlign w:val="center"/>
            <w:hideMark/>
          </w:tcPr>
          <w:p w14:paraId="4A3CB3CF" w14:textId="77777777" w:rsidR="0070447D" w:rsidRPr="006B42D6" w:rsidRDefault="0070447D" w:rsidP="00C9369C">
            <w:pPr>
              <w:pStyle w:val="NoSpacing"/>
              <w:spacing w:line="360" w:lineRule="auto"/>
              <w:ind w:hanging="43"/>
              <w:jc w:val="right"/>
              <w:rPr>
                <w:rFonts w:ascii="Times New Roman" w:hAnsi="Times New Roman"/>
                <w:b/>
                <w:sz w:val="13"/>
                <w:szCs w:val="13"/>
              </w:rPr>
            </w:pPr>
            <w:r w:rsidRPr="006B42D6">
              <w:rPr>
                <w:rFonts w:ascii="Times New Roman" w:hAnsi="Times New Roman"/>
                <w:b/>
                <w:sz w:val="13"/>
                <w:szCs w:val="13"/>
              </w:rPr>
              <w:t>8.9</w:t>
            </w:r>
          </w:p>
        </w:tc>
        <w:tc>
          <w:tcPr>
            <w:tcW w:w="426" w:type="pct"/>
            <w:tcBorders>
              <w:left w:val="single" w:sz="4" w:space="0" w:color="auto"/>
              <w:bottom w:val="single" w:sz="4" w:space="0" w:color="auto"/>
            </w:tcBorders>
            <w:shd w:val="clear" w:color="auto" w:fill="FFFFFF"/>
            <w:noWrap/>
            <w:vAlign w:val="center"/>
            <w:hideMark/>
          </w:tcPr>
          <w:p w14:paraId="15CAE032" w14:textId="77777777" w:rsidR="0070447D" w:rsidRPr="006B42D6" w:rsidRDefault="0070447D" w:rsidP="00C9369C">
            <w:pPr>
              <w:pStyle w:val="NoSpacing"/>
              <w:spacing w:line="360" w:lineRule="auto"/>
              <w:jc w:val="right"/>
              <w:rPr>
                <w:rFonts w:ascii="Times New Roman" w:hAnsi="Times New Roman"/>
                <w:b/>
                <w:sz w:val="13"/>
                <w:szCs w:val="13"/>
              </w:rPr>
            </w:pPr>
            <w:r w:rsidRPr="006B42D6">
              <w:rPr>
                <w:rFonts w:ascii="Times New Roman" w:hAnsi="Times New Roman"/>
                <w:b/>
                <w:sz w:val="13"/>
                <w:szCs w:val="13"/>
              </w:rPr>
              <w:t>263,921</w:t>
            </w:r>
          </w:p>
        </w:tc>
        <w:tc>
          <w:tcPr>
            <w:tcW w:w="328" w:type="pct"/>
            <w:tcBorders>
              <w:bottom w:val="single" w:sz="4" w:space="0" w:color="auto"/>
              <w:right w:val="single" w:sz="4" w:space="0" w:color="auto"/>
            </w:tcBorders>
            <w:shd w:val="clear" w:color="auto" w:fill="FFFFFF"/>
            <w:noWrap/>
            <w:vAlign w:val="center"/>
            <w:hideMark/>
          </w:tcPr>
          <w:p w14:paraId="2307A965" w14:textId="77777777" w:rsidR="0070447D" w:rsidRPr="006B42D6" w:rsidRDefault="0070447D" w:rsidP="00C9369C">
            <w:pPr>
              <w:pStyle w:val="NoSpacing"/>
              <w:spacing w:line="360" w:lineRule="auto"/>
              <w:jc w:val="right"/>
              <w:rPr>
                <w:rFonts w:ascii="Times New Roman" w:hAnsi="Times New Roman"/>
                <w:b/>
                <w:sz w:val="13"/>
                <w:szCs w:val="13"/>
              </w:rPr>
            </w:pPr>
            <w:r w:rsidRPr="006B42D6">
              <w:rPr>
                <w:rFonts w:ascii="Times New Roman" w:hAnsi="Times New Roman"/>
                <w:b/>
                <w:sz w:val="13"/>
                <w:szCs w:val="13"/>
              </w:rPr>
              <w:t>2.2</w:t>
            </w:r>
          </w:p>
        </w:tc>
        <w:tc>
          <w:tcPr>
            <w:tcW w:w="568" w:type="pct"/>
            <w:tcBorders>
              <w:left w:val="single" w:sz="4" w:space="0" w:color="auto"/>
              <w:bottom w:val="single" w:sz="4" w:space="0" w:color="auto"/>
            </w:tcBorders>
            <w:shd w:val="clear" w:color="auto" w:fill="FFFFFF"/>
            <w:noWrap/>
            <w:vAlign w:val="center"/>
            <w:hideMark/>
          </w:tcPr>
          <w:p w14:paraId="77FA4940" w14:textId="77777777" w:rsidR="0070447D" w:rsidRPr="006B42D6" w:rsidRDefault="0070447D" w:rsidP="00C9369C">
            <w:pPr>
              <w:pStyle w:val="NoSpacing"/>
              <w:spacing w:line="360" w:lineRule="auto"/>
              <w:jc w:val="right"/>
              <w:rPr>
                <w:rFonts w:ascii="Times New Roman" w:hAnsi="Times New Roman"/>
                <w:b/>
                <w:sz w:val="13"/>
                <w:szCs w:val="13"/>
              </w:rPr>
            </w:pPr>
            <w:r w:rsidRPr="006B42D6">
              <w:rPr>
                <w:rFonts w:ascii="Times New Roman" w:hAnsi="Times New Roman"/>
                <w:b/>
                <w:sz w:val="13"/>
                <w:szCs w:val="13"/>
              </w:rPr>
              <w:t>1,846,093</w:t>
            </w:r>
          </w:p>
        </w:tc>
        <w:tc>
          <w:tcPr>
            <w:tcW w:w="328" w:type="pct"/>
            <w:tcBorders>
              <w:bottom w:val="single" w:sz="4" w:space="0" w:color="auto"/>
              <w:right w:val="single" w:sz="4" w:space="0" w:color="auto"/>
            </w:tcBorders>
            <w:shd w:val="clear" w:color="auto" w:fill="FFFFFF"/>
            <w:noWrap/>
            <w:vAlign w:val="center"/>
            <w:hideMark/>
          </w:tcPr>
          <w:p w14:paraId="57D919FB" w14:textId="77777777" w:rsidR="0070447D" w:rsidRPr="006B42D6" w:rsidRDefault="0070447D" w:rsidP="00C9369C">
            <w:pPr>
              <w:pStyle w:val="NoSpacing"/>
              <w:spacing w:line="360" w:lineRule="auto"/>
              <w:jc w:val="right"/>
              <w:rPr>
                <w:rFonts w:ascii="Times New Roman" w:hAnsi="Times New Roman"/>
                <w:b/>
                <w:sz w:val="13"/>
                <w:szCs w:val="13"/>
              </w:rPr>
            </w:pPr>
            <w:r w:rsidRPr="006B42D6">
              <w:rPr>
                <w:rFonts w:ascii="Times New Roman" w:hAnsi="Times New Roman"/>
                <w:b/>
                <w:sz w:val="13"/>
                <w:szCs w:val="13"/>
              </w:rPr>
              <w:t>15.7</w:t>
            </w:r>
          </w:p>
        </w:tc>
        <w:tc>
          <w:tcPr>
            <w:tcW w:w="489" w:type="pct"/>
            <w:tcBorders>
              <w:left w:val="single" w:sz="4" w:space="0" w:color="auto"/>
              <w:bottom w:val="single" w:sz="4" w:space="0" w:color="auto"/>
            </w:tcBorders>
            <w:shd w:val="clear" w:color="auto" w:fill="FFFFFF"/>
            <w:noWrap/>
            <w:vAlign w:val="center"/>
            <w:hideMark/>
          </w:tcPr>
          <w:p w14:paraId="3EC6843B" w14:textId="77777777" w:rsidR="0070447D" w:rsidRPr="006B42D6" w:rsidRDefault="0070447D" w:rsidP="00C9369C">
            <w:pPr>
              <w:pStyle w:val="NoSpacing"/>
              <w:spacing w:line="360" w:lineRule="auto"/>
              <w:jc w:val="right"/>
              <w:rPr>
                <w:rFonts w:ascii="Times New Roman" w:hAnsi="Times New Roman"/>
                <w:b/>
                <w:sz w:val="13"/>
                <w:szCs w:val="13"/>
              </w:rPr>
            </w:pPr>
            <w:r w:rsidRPr="006B42D6">
              <w:rPr>
                <w:rFonts w:ascii="Times New Roman" w:hAnsi="Times New Roman"/>
                <w:b/>
                <w:sz w:val="13"/>
                <w:szCs w:val="13"/>
              </w:rPr>
              <w:t>3,159,513</w:t>
            </w:r>
          </w:p>
        </w:tc>
        <w:tc>
          <w:tcPr>
            <w:tcW w:w="328" w:type="pct"/>
            <w:tcBorders>
              <w:bottom w:val="single" w:sz="4" w:space="0" w:color="auto"/>
            </w:tcBorders>
            <w:shd w:val="clear" w:color="auto" w:fill="FFFFFF"/>
            <w:noWrap/>
            <w:vAlign w:val="center"/>
            <w:hideMark/>
          </w:tcPr>
          <w:p w14:paraId="60CBA14D" w14:textId="77777777" w:rsidR="0070447D" w:rsidRPr="006B42D6" w:rsidRDefault="0070447D" w:rsidP="00C9369C">
            <w:pPr>
              <w:pStyle w:val="NoSpacing"/>
              <w:spacing w:line="360" w:lineRule="auto"/>
              <w:jc w:val="right"/>
              <w:rPr>
                <w:rFonts w:ascii="Times New Roman" w:hAnsi="Times New Roman"/>
                <w:b/>
                <w:sz w:val="13"/>
                <w:szCs w:val="13"/>
              </w:rPr>
            </w:pPr>
            <w:r w:rsidRPr="006B42D6">
              <w:rPr>
                <w:rFonts w:ascii="Times New Roman" w:hAnsi="Times New Roman"/>
                <w:b/>
                <w:sz w:val="13"/>
                <w:szCs w:val="13"/>
              </w:rPr>
              <w:t>26.9</w:t>
            </w:r>
          </w:p>
        </w:tc>
      </w:tr>
    </w:tbl>
    <w:p w14:paraId="076412A2" w14:textId="798A619E" w:rsidR="0070447D" w:rsidRDefault="0070447D" w:rsidP="00850E7D"/>
    <w:p w14:paraId="5636A67B" w14:textId="075F64DE" w:rsidR="00BA275B" w:rsidRPr="006B42D6" w:rsidRDefault="0070447D" w:rsidP="00BA275B">
      <w:pPr>
        <w:pStyle w:val="Heading2"/>
      </w:pPr>
      <w:bookmarkStart w:id="343" w:name="_Toc82385711"/>
      <w:r w:rsidRPr="006B42D6">
        <w:t>3.</w:t>
      </w:r>
      <w:r w:rsidR="00193728">
        <w:t>5</w:t>
      </w:r>
      <w:r w:rsidR="00BA275B" w:rsidRPr="006B42D6">
        <w:tab/>
        <w:t>Access to Farm Inputs</w:t>
      </w:r>
      <w:bookmarkEnd w:id="343"/>
    </w:p>
    <w:p w14:paraId="3300DD64" w14:textId="77777777" w:rsidR="00C229F8" w:rsidRPr="006B42D6" w:rsidRDefault="00BA275B" w:rsidP="00D50236">
      <w:r w:rsidRPr="006B42D6">
        <w:t xml:space="preserve">This section reports on the number of crops growing households, their access and use of farm inputs, availability and its sources. Type of farm inputs under discussion are inorganic fertilizer, farmyard manure, compost manure, insecticide/fungicide, herbicides and improved seeds. </w:t>
      </w:r>
    </w:p>
    <w:p w14:paraId="2765EAD2" w14:textId="77777777" w:rsidR="00C229F8" w:rsidRPr="006B42D6" w:rsidRDefault="00C229F8" w:rsidP="00C9369C">
      <w:pPr>
        <w:spacing w:line="240" w:lineRule="auto"/>
      </w:pPr>
    </w:p>
    <w:p w14:paraId="099D9374" w14:textId="6343D8C6" w:rsidR="00BA275B" w:rsidRPr="006B42D6" w:rsidRDefault="00BA275B" w:rsidP="00D50236">
      <w:r w:rsidRPr="006B42D6">
        <w:t xml:space="preserve">There were 7,677,291 crop growing households in Tanzania (7,499,219 households in </w:t>
      </w:r>
      <w:r w:rsidR="00EA1552">
        <w:t>Mainland Tanzania</w:t>
      </w:r>
      <w:r w:rsidRPr="006B42D6">
        <w:t xml:space="preserve"> and 178,072 in Tanzania Zanzibar). The 2019/20 results reveal that, 2,8</w:t>
      </w:r>
      <w:r w:rsidR="00027EDC" w:rsidRPr="006B42D6">
        <w:t>63</w:t>
      </w:r>
      <w:r w:rsidRPr="006B42D6">
        <w:t>,638 households reported using improved seeds accounting for 3</w:t>
      </w:r>
      <w:r w:rsidR="00027EDC" w:rsidRPr="006B42D6">
        <w:t>7.3</w:t>
      </w:r>
      <w:r w:rsidRPr="006B42D6">
        <w:t xml:space="preserve"> percent of the crop growing households in Tanzania. Also, inorganic fertilizer was used by 1,727,796 households equivalent to 22.</w:t>
      </w:r>
      <w:r w:rsidR="00027EDC" w:rsidRPr="006B42D6">
        <w:t>5</w:t>
      </w:r>
      <w:r w:rsidRPr="006B42D6">
        <w:t xml:space="preserve"> percent of crop growing households, whilst compost manure was reported by 348,740 (4.5 percent)</w:t>
      </w:r>
      <w:r w:rsidR="00027EDC" w:rsidRPr="006B42D6">
        <w:t>.</w:t>
      </w:r>
      <w:r w:rsidR="00C229F8" w:rsidRPr="006B42D6">
        <w:t xml:space="preserve"> </w:t>
      </w:r>
    </w:p>
    <w:p w14:paraId="7D2E89A7" w14:textId="77777777" w:rsidR="00BA275B" w:rsidRPr="006B42D6" w:rsidRDefault="00BA275B" w:rsidP="00C9369C">
      <w:pPr>
        <w:spacing w:line="240" w:lineRule="auto"/>
      </w:pPr>
    </w:p>
    <w:p w14:paraId="745D55E1" w14:textId="3AF9B810" w:rsidR="00BA275B" w:rsidRPr="006B42D6" w:rsidRDefault="00BA275B" w:rsidP="00D50236">
      <w:r w:rsidRPr="006B42D6">
        <w:t xml:space="preserve">In </w:t>
      </w:r>
      <w:r w:rsidR="00EA1552">
        <w:t>Mainland Tanzania</w:t>
      </w:r>
      <w:r w:rsidRPr="006B42D6">
        <w:t>, the use of improved seeds was reported by 2,775,767 households (37.0 percent of the crop growing households). Insecticides/fungicides use was reported by 2,102,717 households (28.0 percent), whereas, compost manure was reported by 335,036 households (22.0 percent).</w:t>
      </w:r>
      <w:r w:rsidR="00C229F8" w:rsidRPr="006B42D6">
        <w:t xml:space="preserve"> </w:t>
      </w:r>
      <w:r w:rsidRPr="006B42D6">
        <w:t>Similar case was observed in Tanzania Zanzibar, whereby improved seeds use was reported by 87,703 households (48.8 percent), whilst 51,771 households (28.9 percent) reported to use farm yard manure. Compost manure was reported by 14,832 households (8.2 percent) (Table 3.2</w:t>
      </w:r>
      <w:r w:rsidR="00CD75FC">
        <w:t>4</w:t>
      </w:r>
      <w:r w:rsidRPr="006B42D6">
        <w:t xml:space="preserve">). </w:t>
      </w:r>
    </w:p>
    <w:p w14:paraId="3BB48396" w14:textId="389146EB" w:rsidR="00BA275B" w:rsidRPr="006B42D6" w:rsidRDefault="00BA275B" w:rsidP="00D50236">
      <w:pPr>
        <w:rPr>
          <w:sz w:val="16"/>
          <w:szCs w:val="16"/>
        </w:rPr>
      </w:pPr>
    </w:p>
    <w:p w14:paraId="385A7CE3" w14:textId="07DCB145" w:rsidR="00783891" w:rsidRPr="006B42D6" w:rsidRDefault="00783891">
      <w:pPr>
        <w:rPr>
          <w:sz w:val="16"/>
          <w:szCs w:val="16"/>
        </w:rPr>
      </w:pPr>
      <w:r w:rsidRPr="006B42D6">
        <w:rPr>
          <w:sz w:val="16"/>
          <w:szCs w:val="16"/>
        </w:rPr>
        <w:br w:type="page"/>
      </w:r>
    </w:p>
    <w:p w14:paraId="1728EC3C" w14:textId="7E178201" w:rsidR="00BA275B" w:rsidRPr="006B42D6" w:rsidRDefault="00BA275B" w:rsidP="007200F6">
      <w:pPr>
        <w:pStyle w:val="Heading7"/>
      </w:pPr>
      <w:bookmarkStart w:id="344" w:name="_Toc82386206"/>
      <w:r w:rsidRPr="006B42D6">
        <w:lastRenderedPageBreak/>
        <w:t>Table 3.2</w:t>
      </w:r>
      <w:r w:rsidR="00CD75FC">
        <w:t>4</w:t>
      </w:r>
      <w:r w:rsidR="00C9369C">
        <w:t>:</w:t>
      </w:r>
      <w:r w:rsidR="00D50236">
        <w:tab/>
      </w:r>
      <w:r w:rsidRPr="006B42D6">
        <w:t xml:space="preserve">Number and Percentage of Agricultural Households Reporting the Use of Farm Inputs </w:t>
      </w:r>
      <w:r w:rsidR="00027EDC" w:rsidRPr="006B42D6">
        <w:t>D</w:t>
      </w:r>
      <w:r w:rsidRPr="006B42D6">
        <w:t>uring 2019/20 Agricultural Year, Tanzania</w:t>
      </w:r>
      <w:bookmarkEnd w:id="344"/>
    </w:p>
    <w:tbl>
      <w:tblPr>
        <w:tblW w:w="5000" w:type="pct"/>
        <w:tblLook w:val="04A0" w:firstRow="1" w:lastRow="0" w:firstColumn="1" w:lastColumn="0" w:noHBand="0" w:noVBand="1"/>
      </w:tblPr>
      <w:tblGrid>
        <w:gridCol w:w="2148"/>
        <w:gridCol w:w="1212"/>
        <w:gridCol w:w="1151"/>
        <w:gridCol w:w="1212"/>
        <w:gridCol w:w="1151"/>
        <w:gridCol w:w="1195"/>
        <w:gridCol w:w="1167"/>
      </w:tblGrid>
      <w:tr w:rsidR="006B42D6" w:rsidRPr="006B42D6" w14:paraId="48A16193" w14:textId="77777777" w:rsidTr="00C9369C">
        <w:trPr>
          <w:trHeight w:val="297"/>
        </w:trPr>
        <w:tc>
          <w:tcPr>
            <w:tcW w:w="1163" w:type="pct"/>
            <w:vMerge w:val="restart"/>
            <w:tcBorders>
              <w:top w:val="single" w:sz="4" w:space="0" w:color="auto"/>
              <w:left w:val="nil"/>
              <w:bottom w:val="single" w:sz="4" w:space="0" w:color="auto"/>
              <w:right w:val="nil"/>
            </w:tcBorders>
            <w:shd w:val="clear" w:color="auto" w:fill="E2EFD9" w:themeFill="accent6" w:themeFillTint="33"/>
            <w:noWrap/>
            <w:vAlign w:val="center"/>
            <w:hideMark/>
          </w:tcPr>
          <w:p w14:paraId="17FB6C00" w14:textId="77777777" w:rsidR="00BA275B" w:rsidRPr="006B42D6" w:rsidRDefault="00BA275B" w:rsidP="00383AA6">
            <w:pPr>
              <w:spacing w:line="276" w:lineRule="auto"/>
              <w:rPr>
                <w:sz w:val="18"/>
                <w:szCs w:val="18"/>
              </w:rPr>
            </w:pPr>
            <w:r w:rsidRPr="006B42D6">
              <w:rPr>
                <w:sz w:val="18"/>
                <w:szCs w:val="18"/>
              </w:rPr>
              <w:t>Type of Input</w:t>
            </w:r>
          </w:p>
        </w:tc>
        <w:tc>
          <w:tcPr>
            <w:tcW w:w="1279" w:type="pct"/>
            <w:gridSpan w:val="2"/>
            <w:tcBorders>
              <w:top w:val="single" w:sz="4" w:space="0" w:color="auto"/>
              <w:left w:val="nil"/>
              <w:bottom w:val="single" w:sz="4" w:space="0" w:color="auto"/>
              <w:right w:val="nil"/>
            </w:tcBorders>
            <w:shd w:val="clear" w:color="auto" w:fill="E2EFD9" w:themeFill="accent6" w:themeFillTint="33"/>
            <w:noWrap/>
            <w:vAlign w:val="center"/>
            <w:hideMark/>
          </w:tcPr>
          <w:p w14:paraId="236B0A4D" w14:textId="77777777" w:rsidR="00BA275B" w:rsidRPr="006B42D6" w:rsidRDefault="00BA275B" w:rsidP="00383AA6">
            <w:pPr>
              <w:spacing w:line="276" w:lineRule="auto"/>
              <w:jc w:val="center"/>
              <w:rPr>
                <w:sz w:val="18"/>
                <w:szCs w:val="18"/>
              </w:rPr>
            </w:pPr>
            <w:r w:rsidRPr="006B42D6">
              <w:rPr>
                <w:sz w:val="18"/>
                <w:szCs w:val="18"/>
              </w:rPr>
              <w:t>Tanzania</w:t>
            </w:r>
          </w:p>
        </w:tc>
        <w:tc>
          <w:tcPr>
            <w:tcW w:w="1279" w:type="pct"/>
            <w:gridSpan w:val="2"/>
            <w:tcBorders>
              <w:top w:val="single" w:sz="4" w:space="0" w:color="auto"/>
              <w:left w:val="single" w:sz="4" w:space="0" w:color="auto"/>
              <w:bottom w:val="single" w:sz="4" w:space="0" w:color="auto"/>
              <w:right w:val="single" w:sz="4" w:space="0" w:color="000000"/>
            </w:tcBorders>
            <w:shd w:val="clear" w:color="auto" w:fill="E2EFD9" w:themeFill="accent6" w:themeFillTint="33"/>
            <w:noWrap/>
            <w:vAlign w:val="center"/>
            <w:hideMark/>
          </w:tcPr>
          <w:p w14:paraId="5C76FEB1" w14:textId="00EDD88B" w:rsidR="00BA275B" w:rsidRPr="006B42D6" w:rsidRDefault="00EA1552" w:rsidP="00383AA6">
            <w:pPr>
              <w:spacing w:line="276" w:lineRule="auto"/>
              <w:jc w:val="center"/>
              <w:rPr>
                <w:sz w:val="18"/>
                <w:szCs w:val="18"/>
              </w:rPr>
            </w:pPr>
            <w:r>
              <w:rPr>
                <w:sz w:val="18"/>
                <w:szCs w:val="18"/>
              </w:rPr>
              <w:t>Mainland Tanzania</w:t>
            </w:r>
          </w:p>
        </w:tc>
        <w:tc>
          <w:tcPr>
            <w:tcW w:w="1279" w:type="pct"/>
            <w:gridSpan w:val="2"/>
            <w:tcBorders>
              <w:top w:val="single" w:sz="4" w:space="0" w:color="auto"/>
              <w:left w:val="nil"/>
              <w:bottom w:val="single" w:sz="4" w:space="0" w:color="auto"/>
              <w:right w:val="nil"/>
            </w:tcBorders>
            <w:shd w:val="clear" w:color="auto" w:fill="E2EFD9" w:themeFill="accent6" w:themeFillTint="33"/>
            <w:noWrap/>
            <w:vAlign w:val="center"/>
            <w:hideMark/>
          </w:tcPr>
          <w:p w14:paraId="5C15BA85" w14:textId="77777777" w:rsidR="00BA275B" w:rsidRPr="006B42D6" w:rsidRDefault="00BA275B" w:rsidP="00383AA6">
            <w:pPr>
              <w:spacing w:line="276" w:lineRule="auto"/>
              <w:jc w:val="center"/>
              <w:rPr>
                <w:sz w:val="18"/>
                <w:szCs w:val="18"/>
              </w:rPr>
            </w:pPr>
            <w:r w:rsidRPr="006B42D6">
              <w:rPr>
                <w:sz w:val="18"/>
                <w:szCs w:val="18"/>
              </w:rPr>
              <w:t>Tanzania Zanzibar</w:t>
            </w:r>
          </w:p>
        </w:tc>
      </w:tr>
      <w:tr w:rsidR="006B42D6" w:rsidRPr="006B42D6" w14:paraId="5D2451B6" w14:textId="77777777" w:rsidTr="00C9369C">
        <w:trPr>
          <w:trHeight w:val="297"/>
        </w:trPr>
        <w:tc>
          <w:tcPr>
            <w:tcW w:w="1163" w:type="pct"/>
            <w:vMerge/>
            <w:tcBorders>
              <w:top w:val="single" w:sz="4" w:space="0" w:color="auto"/>
              <w:left w:val="nil"/>
              <w:bottom w:val="single" w:sz="4" w:space="0" w:color="auto"/>
              <w:right w:val="nil"/>
            </w:tcBorders>
            <w:shd w:val="clear" w:color="auto" w:fill="E2EFD9" w:themeFill="accent6" w:themeFillTint="33"/>
            <w:vAlign w:val="center"/>
            <w:hideMark/>
          </w:tcPr>
          <w:p w14:paraId="72291566" w14:textId="77777777" w:rsidR="00BA275B" w:rsidRPr="006B42D6" w:rsidRDefault="00BA275B" w:rsidP="00383AA6">
            <w:pPr>
              <w:spacing w:line="276" w:lineRule="auto"/>
              <w:rPr>
                <w:sz w:val="18"/>
                <w:szCs w:val="18"/>
              </w:rPr>
            </w:pPr>
          </w:p>
        </w:tc>
        <w:tc>
          <w:tcPr>
            <w:tcW w:w="656" w:type="pct"/>
            <w:tcBorders>
              <w:top w:val="nil"/>
              <w:left w:val="nil"/>
              <w:bottom w:val="single" w:sz="4" w:space="0" w:color="auto"/>
              <w:right w:val="nil"/>
            </w:tcBorders>
            <w:shd w:val="clear" w:color="auto" w:fill="E2EFD9" w:themeFill="accent6" w:themeFillTint="33"/>
            <w:noWrap/>
            <w:vAlign w:val="center"/>
            <w:hideMark/>
          </w:tcPr>
          <w:p w14:paraId="2D26D175" w14:textId="77777777" w:rsidR="00BA275B" w:rsidRPr="006B42D6" w:rsidRDefault="00BA275B" w:rsidP="00383AA6">
            <w:pPr>
              <w:spacing w:line="276" w:lineRule="auto"/>
              <w:rPr>
                <w:sz w:val="18"/>
                <w:szCs w:val="18"/>
              </w:rPr>
            </w:pPr>
            <w:r w:rsidRPr="006B42D6">
              <w:rPr>
                <w:sz w:val="18"/>
                <w:szCs w:val="18"/>
              </w:rPr>
              <w:t>Number</w:t>
            </w:r>
          </w:p>
        </w:tc>
        <w:tc>
          <w:tcPr>
            <w:tcW w:w="623" w:type="pct"/>
            <w:tcBorders>
              <w:top w:val="nil"/>
              <w:left w:val="nil"/>
              <w:bottom w:val="single" w:sz="4" w:space="0" w:color="auto"/>
              <w:right w:val="nil"/>
            </w:tcBorders>
            <w:shd w:val="clear" w:color="auto" w:fill="E2EFD9" w:themeFill="accent6" w:themeFillTint="33"/>
            <w:noWrap/>
            <w:vAlign w:val="center"/>
            <w:hideMark/>
          </w:tcPr>
          <w:p w14:paraId="453E4275" w14:textId="77777777" w:rsidR="00BA275B" w:rsidRPr="006B42D6" w:rsidRDefault="00BA275B" w:rsidP="00383AA6">
            <w:pPr>
              <w:spacing w:line="276" w:lineRule="auto"/>
              <w:rPr>
                <w:sz w:val="18"/>
                <w:szCs w:val="18"/>
              </w:rPr>
            </w:pPr>
            <w:r w:rsidRPr="006B42D6">
              <w:rPr>
                <w:sz w:val="18"/>
                <w:szCs w:val="18"/>
              </w:rPr>
              <w:t>Percent</w:t>
            </w:r>
          </w:p>
        </w:tc>
        <w:tc>
          <w:tcPr>
            <w:tcW w:w="656" w:type="pct"/>
            <w:tcBorders>
              <w:top w:val="nil"/>
              <w:left w:val="single" w:sz="4" w:space="0" w:color="auto"/>
              <w:bottom w:val="single" w:sz="4" w:space="0" w:color="auto"/>
              <w:right w:val="nil"/>
            </w:tcBorders>
            <w:shd w:val="clear" w:color="auto" w:fill="E2EFD9" w:themeFill="accent6" w:themeFillTint="33"/>
            <w:noWrap/>
            <w:vAlign w:val="center"/>
            <w:hideMark/>
          </w:tcPr>
          <w:p w14:paraId="00884AE4" w14:textId="77777777" w:rsidR="00BA275B" w:rsidRPr="006B42D6" w:rsidRDefault="00BA275B" w:rsidP="00383AA6">
            <w:pPr>
              <w:spacing w:line="276" w:lineRule="auto"/>
              <w:rPr>
                <w:sz w:val="18"/>
                <w:szCs w:val="18"/>
              </w:rPr>
            </w:pPr>
            <w:r w:rsidRPr="006B42D6">
              <w:rPr>
                <w:sz w:val="18"/>
                <w:szCs w:val="18"/>
              </w:rPr>
              <w:t>Number</w:t>
            </w:r>
          </w:p>
        </w:tc>
        <w:tc>
          <w:tcPr>
            <w:tcW w:w="623" w:type="pct"/>
            <w:tcBorders>
              <w:top w:val="nil"/>
              <w:left w:val="nil"/>
              <w:bottom w:val="single" w:sz="4" w:space="0" w:color="auto"/>
              <w:right w:val="single" w:sz="4" w:space="0" w:color="auto"/>
            </w:tcBorders>
            <w:shd w:val="clear" w:color="auto" w:fill="E2EFD9" w:themeFill="accent6" w:themeFillTint="33"/>
            <w:noWrap/>
            <w:vAlign w:val="center"/>
            <w:hideMark/>
          </w:tcPr>
          <w:p w14:paraId="07ADABC7" w14:textId="77777777" w:rsidR="00BA275B" w:rsidRPr="006B42D6" w:rsidRDefault="00BA275B" w:rsidP="00383AA6">
            <w:pPr>
              <w:spacing w:line="276" w:lineRule="auto"/>
              <w:rPr>
                <w:sz w:val="18"/>
                <w:szCs w:val="18"/>
              </w:rPr>
            </w:pPr>
            <w:r w:rsidRPr="006B42D6">
              <w:rPr>
                <w:sz w:val="18"/>
                <w:szCs w:val="18"/>
              </w:rPr>
              <w:t>Percent</w:t>
            </w:r>
          </w:p>
        </w:tc>
        <w:tc>
          <w:tcPr>
            <w:tcW w:w="647" w:type="pct"/>
            <w:tcBorders>
              <w:top w:val="nil"/>
              <w:left w:val="nil"/>
              <w:bottom w:val="single" w:sz="4" w:space="0" w:color="auto"/>
              <w:right w:val="nil"/>
            </w:tcBorders>
            <w:shd w:val="clear" w:color="auto" w:fill="E2EFD9" w:themeFill="accent6" w:themeFillTint="33"/>
            <w:noWrap/>
            <w:vAlign w:val="center"/>
            <w:hideMark/>
          </w:tcPr>
          <w:p w14:paraId="2CA3A572" w14:textId="77777777" w:rsidR="00BA275B" w:rsidRPr="006B42D6" w:rsidRDefault="00BA275B" w:rsidP="00383AA6">
            <w:pPr>
              <w:spacing w:line="276" w:lineRule="auto"/>
              <w:rPr>
                <w:sz w:val="18"/>
                <w:szCs w:val="18"/>
              </w:rPr>
            </w:pPr>
            <w:r w:rsidRPr="006B42D6">
              <w:rPr>
                <w:sz w:val="18"/>
                <w:szCs w:val="18"/>
              </w:rPr>
              <w:t>Number</w:t>
            </w:r>
          </w:p>
        </w:tc>
        <w:tc>
          <w:tcPr>
            <w:tcW w:w="633" w:type="pct"/>
            <w:tcBorders>
              <w:top w:val="nil"/>
              <w:left w:val="nil"/>
              <w:bottom w:val="single" w:sz="4" w:space="0" w:color="auto"/>
              <w:right w:val="nil"/>
            </w:tcBorders>
            <w:shd w:val="clear" w:color="auto" w:fill="E2EFD9" w:themeFill="accent6" w:themeFillTint="33"/>
            <w:noWrap/>
            <w:vAlign w:val="center"/>
            <w:hideMark/>
          </w:tcPr>
          <w:p w14:paraId="1D0ED594" w14:textId="77777777" w:rsidR="00BA275B" w:rsidRPr="006B42D6" w:rsidRDefault="00BA275B" w:rsidP="00383AA6">
            <w:pPr>
              <w:spacing w:line="276" w:lineRule="auto"/>
              <w:rPr>
                <w:sz w:val="18"/>
                <w:szCs w:val="18"/>
              </w:rPr>
            </w:pPr>
            <w:r w:rsidRPr="006B42D6">
              <w:rPr>
                <w:sz w:val="18"/>
                <w:szCs w:val="18"/>
              </w:rPr>
              <w:t>Percent</w:t>
            </w:r>
          </w:p>
        </w:tc>
      </w:tr>
      <w:tr w:rsidR="006B42D6" w:rsidRPr="006B42D6" w14:paraId="07C47AC0" w14:textId="77777777" w:rsidTr="00D50236">
        <w:trPr>
          <w:trHeight w:val="315"/>
        </w:trPr>
        <w:tc>
          <w:tcPr>
            <w:tcW w:w="1163" w:type="pct"/>
            <w:tcBorders>
              <w:top w:val="single" w:sz="4" w:space="0" w:color="auto"/>
              <w:left w:val="nil"/>
              <w:bottom w:val="nil"/>
              <w:right w:val="nil"/>
            </w:tcBorders>
            <w:shd w:val="clear" w:color="auto" w:fill="auto"/>
            <w:noWrap/>
            <w:vAlign w:val="bottom"/>
            <w:hideMark/>
          </w:tcPr>
          <w:p w14:paraId="555FAB7D" w14:textId="77777777" w:rsidR="00BA275B" w:rsidRPr="006B42D6" w:rsidRDefault="00BA275B" w:rsidP="00383AA6">
            <w:pPr>
              <w:spacing w:line="276" w:lineRule="auto"/>
              <w:rPr>
                <w:sz w:val="18"/>
                <w:szCs w:val="18"/>
              </w:rPr>
            </w:pPr>
            <w:r w:rsidRPr="006B42D6">
              <w:rPr>
                <w:sz w:val="18"/>
                <w:szCs w:val="18"/>
              </w:rPr>
              <w:t>Inorganic Fertilizer</w:t>
            </w:r>
          </w:p>
        </w:tc>
        <w:tc>
          <w:tcPr>
            <w:tcW w:w="656" w:type="pct"/>
            <w:tcBorders>
              <w:top w:val="nil"/>
              <w:left w:val="nil"/>
              <w:bottom w:val="nil"/>
              <w:right w:val="nil"/>
            </w:tcBorders>
            <w:shd w:val="clear" w:color="auto" w:fill="auto"/>
            <w:noWrap/>
            <w:vAlign w:val="bottom"/>
            <w:hideMark/>
          </w:tcPr>
          <w:p w14:paraId="5242C003" w14:textId="77777777" w:rsidR="00BA275B" w:rsidRPr="006B42D6" w:rsidRDefault="00BA275B" w:rsidP="00383AA6">
            <w:pPr>
              <w:spacing w:line="276" w:lineRule="auto"/>
              <w:jc w:val="right"/>
              <w:rPr>
                <w:sz w:val="18"/>
                <w:szCs w:val="18"/>
              </w:rPr>
            </w:pPr>
            <w:r w:rsidRPr="006B42D6">
              <w:rPr>
                <w:sz w:val="18"/>
                <w:szCs w:val="18"/>
              </w:rPr>
              <w:t>1,727,796</w:t>
            </w:r>
          </w:p>
        </w:tc>
        <w:tc>
          <w:tcPr>
            <w:tcW w:w="623" w:type="pct"/>
            <w:tcBorders>
              <w:top w:val="nil"/>
              <w:left w:val="nil"/>
              <w:bottom w:val="nil"/>
              <w:right w:val="nil"/>
            </w:tcBorders>
            <w:shd w:val="clear" w:color="auto" w:fill="auto"/>
            <w:noWrap/>
            <w:vAlign w:val="bottom"/>
            <w:hideMark/>
          </w:tcPr>
          <w:p w14:paraId="65CD189E" w14:textId="77777777" w:rsidR="00BA275B" w:rsidRPr="006B42D6" w:rsidRDefault="00BA275B" w:rsidP="00383AA6">
            <w:pPr>
              <w:spacing w:line="276" w:lineRule="auto"/>
              <w:jc w:val="right"/>
              <w:rPr>
                <w:sz w:val="18"/>
                <w:szCs w:val="18"/>
              </w:rPr>
            </w:pPr>
            <w:r w:rsidRPr="006B42D6">
              <w:rPr>
                <w:sz w:val="18"/>
                <w:szCs w:val="18"/>
              </w:rPr>
              <w:t>22.5</w:t>
            </w:r>
          </w:p>
        </w:tc>
        <w:tc>
          <w:tcPr>
            <w:tcW w:w="656" w:type="pct"/>
            <w:tcBorders>
              <w:top w:val="nil"/>
              <w:left w:val="single" w:sz="4" w:space="0" w:color="auto"/>
              <w:bottom w:val="nil"/>
              <w:right w:val="nil"/>
            </w:tcBorders>
            <w:shd w:val="clear" w:color="auto" w:fill="auto"/>
            <w:noWrap/>
            <w:vAlign w:val="bottom"/>
            <w:hideMark/>
          </w:tcPr>
          <w:p w14:paraId="083643F6" w14:textId="77777777" w:rsidR="00BA275B" w:rsidRPr="006B42D6" w:rsidRDefault="00BA275B" w:rsidP="00383AA6">
            <w:pPr>
              <w:spacing w:line="276" w:lineRule="auto"/>
              <w:jc w:val="right"/>
              <w:rPr>
                <w:sz w:val="18"/>
                <w:szCs w:val="18"/>
              </w:rPr>
            </w:pPr>
            <w:r w:rsidRPr="006B42D6">
              <w:rPr>
                <w:sz w:val="18"/>
                <w:szCs w:val="18"/>
              </w:rPr>
              <w:t>1,685,682</w:t>
            </w:r>
          </w:p>
        </w:tc>
        <w:tc>
          <w:tcPr>
            <w:tcW w:w="623" w:type="pct"/>
            <w:tcBorders>
              <w:top w:val="nil"/>
              <w:left w:val="nil"/>
              <w:bottom w:val="nil"/>
              <w:right w:val="single" w:sz="4" w:space="0" w:color="auto"/>
            </w:tcBorders>
            <w:shd w:val="clear" w:color="auto" w:fill="auto"/>
            <w:noWrap/>
            <w:vAlign w:val="bottom"/>
            <w:hideMark/>
          </w:tcPr>
          <w:p w14:paraId="24D9F0B0" w14:textId="77777777" w:rsidR="00BA275B" w:rsidRPr="006B42D6" w:rsidRDefault="00BA275B" w:rsidP="00383AA6">
            <w:pPr>
              <w:spacing w:line="276" w:lineRule="auto"/>
              <w:jc w:val="right"/>
              <w:rPr>
                <w:sz w:val="18"/>
                <w:szCs w:val="18"/>
              </w:rPr>
            </w:pPr>
            <w:r w:rsidRPr="006B42D6">
              <w:rPr>
                <w:sz w:val="18"/>
                <w:szCs w:val="18"/>
              </w:rPr>
              <w:t>22.5</w:t>
            </w:r>
          </w:p>
        </w:tc>
        <w:tc>
          <w:tcPr>
            <w:tcW w:w="647" w:type="pct"/>
            <w:tcBorders>
              <w:top w:val="nil"/>
              <w:left w:val="nil"/>
              <w:bottom w:val="nil"/>
              <w:right w:val="nil"/>
            </w:tcBorders>
            <w:shd w:val="clear" w:color="auto" w:fill="auto"/>
            <w:noWrap/>
            <w:vAlign w:val="bottom"/>
            <w:hideMark/>
          </w:tcPr>
          <w:p w14:paraId="57F34BE1" w14:textId="77777777" w:rsidR="00BA275B" w:rsidRPr="006B42D6" w:rsidRDefault="00BA275B" w:rsidP="00383AA6">
            <w:pPr>
              <w:spacing w:line="276" w:lineRule="auto"/>
              <w:jc w:val="right"/>
              <w:rPr>
                <w:sz w:val="18"/>
                <w:szCs w:val="18"/>
              </w:rPr>
            </w:pPr>
            <w:r w:rsidRPr="006B42D6">
              <w:rPr>
                <w:sz w:val="18"/>
                <w:szCs w:val="18"/>
              </w:rPr>
              <w:t>42,114</w:t>
            </w:r>
          </w:p>
        </w:tc>
        <w:tc>
          <w:tcPr>
            <w:tcW w:w="633" w:type="pct"/>
            <w:tcBorders>
              <w:top w:val="nil"/>
              <w:left w:val="nil"/>
              <w:bottom w:val="nil"/>
              <w:right w:val="nil"/>
            </w:tcBorders>
            <w:shd w:val="clear" w:color="auto" w:fill="auto"/>
            <w:noWrap/>
            <w:vAlign w:val="bottom"/>
            <w:hideMark/>
          </w:tcPr>
          <w:p w14:paraId="2BB2DC91" w14:textId="77777777" w:rsidR="00BA275B" w:rsidRPr="006B42D6" w:rsidRDefault="00BA275B" w:rsidP="00383AA6">
            <w:pPr>
              <w:spacing w:line="276" w:lineRule="auto"/>
              <w:jc w:val="right"/>
              <w:rPr>
                <w:sz w:val="18"/>
                <w:szCs w:val="18"/>
              </w:rPr>
            </w:pPr>
            <w:r w:rsidRPr="006B42D6">
              <w:rPr>
                <w:sz w:val="18"/>
                <w:szCs w:val="18"/>
              </w:rPr>
              <w:t>23.6</w:t>
            </w:r>
          </w:p>
        </w:tc>
      </w:tr>
      <w:tr w:rsidR="006B42D6" w:rsidRPr="006B42D6" w14:paraId="7301D901" w14:textId="77777777" w:rsidTr="00D50236">
        <w:trPr>
          <w:trHeight w:val="297"/>
        </w:trPr>
        <w:tc>
          <w:tcPr>
            <w:tcW w:w="1163" w:type="pct"/>
            <w:tcBorders>
              <w:top w:val="nil"/>
              <w:left w:val="nil"/>
              <w:bottom w:val="nil"/>
              <w:right w:val="nil"/>
            </w:tcBorders>
            <w:shd w:val="clear" w:color="auto" w:fill="auto"/>
            <w:noWrap/>
            <w:vAlign w:val="bottom"/>
            <w:hideMark/>
          </w:tcPr>
          <w:p w14:paraId="17A5C396" w14:textId="77777777" w:rsidR="00BA275B" w:rsidRPr="006B42D6" w:rsidRDefault="00BA275B" w:rsidP="00383AA6">
            <w:pPr>
              <w:spacing w:line="276" w:lineRule="auto"/>
              <w:rPr>
                <w:sz w:val="18"/>
                <w:szCs w:val="18"/>
              </w:rPr>
            </w:pPr>
            <w:r w:rsidRPr="006B42D6">
              <w:rPr>
                <w:sz w:val="18"/>
                <w:szCs w:val="18"/>
              </w:rPr>
              <w:t>Farm Yard Manure</w:t>
            </w:r>
          </w:p>
        </w:tc>
        <w:tc>
          <w:tcPr>
            <w:tcW w:w="656" w:type="pct"/>
            <w:tcBorders>
              <w:top w:val="nil"/>
              <w:left w:val="nil"/>
              <w:bottom w:val="nil"/>
              <w:right w:val="nil"/>
            </w:tcBorders>
            <w:shd w:val="clear" w:color="auto" w:fill="auto"/>
            <w:noWrap/>
            <w:vAlign w:val="bottom"/>
            <w:hideMark/>
          </w:tcPr>
          <w:p w14:paraId="4D4D0EEF" w14:textId="77777777" w:rsidR="00BA275B" w:rsidRPr="006B42D6" w:rsidRDefault="00BA275B" w:rsidP="00383AA6">
            <w:pPr>
              <w:spacing w:line="276" w:lineRule="auto"/>
              <w:jc w:val="right"/>
              <w:rPr>
                <w:sz w:val="18"/>
                <w:szCs w:val="18"/>
              </w:rPr>
            </w:pPr>
            <w:r w:rsidRPr="006B42D6">
              <w:rPr>
                <w:sz w:val="18"/>
                <w:szCs w:val="18"/>
              </w:rPr>
              <w:t>1,497,283</w:t>
            </w:r>
          </w:p>
        </w:tc>
        <w:tc>
          <w:tcPr>
            <w:tcW w:w="623" w:type="pct"/>
            <w:tcBorders>
              <w:top w:val="nil"/>
              <w:left w:val="nil"/>
              <w:bottom w:val="nil"/>
              <w:right w:val="nil"/>
            </w:tcBorders>
            <w:shd w:val="clear" w:color="auto" w:fill="auto"/>
            <w:noWrap/>
            <w:vAlign w:val="bottom"/>
            <w:hideMark/>
          </w:tcPr>
          <w:p w14:paraId="2042BE91" w14:textId="77777777" w:rsidR="00BA275B" w:rsidRPr="006B42D6" w:rsidRDefault="00BA275B" w:rsidP="00383AA6">
            <w:pPr>
              <w:spacing w:line="276" w:lineRule="auto"/>
              <w:jc w:val="right"/>
              <w:rPr>
                <w:sz w:val="18"/>
                <w:szCs w:val="18"/>
              </w:rPr>
            </w:pPr>
            <w:r w:rsidRPr="006B42D6">
              <w:rPr>
                <w:sz w:val="18"/>
                <w:szCs w:val="18"/>
              </w:rPr>
              <w:t>19.5</w:t>
            </w:r>
          </w:p>
        </w:tc>
        <w:tc>
          <w:tcPr>
            <w:tcW w:w="656" w:type="pct"/>
            <w:tcBorders>
              <w:top w:val="nil"/>
              <w:left w:val="single" w:sz="4" w:space="0" w:color="auto"/>
              <w:bottom w:val="nil"/>
              <w:right w:val="nil"/>
            </w:tcBorders>
            <w:shd w:val="clear" w:color="auto" w:fill="auto"/>
            <w:noWrap/>
            <w:vAlign w:val="bottom"/>
            <w:hideMark/>
          </w:tcPr>
          <w:p w14:paraId="3B958F0D" w14:textId="77777777" w:rsidR="00BA275B" w:rsidRPr="006B42D6" w:rsidRDefault="00BA275B" w:rsidP="00383AA6">
            <w:pPr>
              <w:spacing w:line="276" w:lineRule="auto"/>
              <w:jc w:val="right"/>
              <w:rPr>
                <w:sz w:val="18"/>
                <w:szCs w:val="18"/>
              </w:rPr>
            </w:pPr>
            <w:r w:rsidRPr="006B42D6">
              <w:rPr>
                <w:sz w:val="18"/>
                <w:szCs w:val="18"/>
              </w:rPr>
              <w:t>1,445,512</w:t>
            </w:r>
          </w:p>
        </w:tc>
        <w:tc>
          <w:tcPr>
            <w:tcW w:w="623" w:type="pct"/>
            <w:tcBorders>
              <w:top w:val="nil"/>
              <w:left w:val="nil"/>
              <w:bottom w:val="nil"/>
              <w:right w:val="single" w:sz="4" w:space="0" w:color="auto"/>
            </w:tcBorders>
            <w:shd w:val="clear" w:color="auto" w:fill="auto"/>
            <w:noWrap/>
            <w:vAlign w:val="bottom"/>
            <w:hideMark/>
          </w:tcPr>
          <w:p w14:paraId="739DBF69" w14:textId="77777777" w:rsidR="00BA275B" w:rsidRPr="006B42D6" w:rsidRDefault="00BA275B" w:rsidP="00383AA6">
            <w:pPr>
              <w:spacing w:line="276" w:lineRule="auto"/>
              <w:jc w:val="right"/>
              <w:rPr>
                <w:sz w:val="18"/>
                <w:szCs w:val="18"/>
              </w:rPr>
            </w:pPr>
            <w:r w:rsidRPr="006B42D6">
              <w:rPr>
                <w:sz w:val="18"/>
                <w:szCs w:val="18"/>
              </w:rPr>
              <w:t>19.3</w:t>
            </w:r>
          </w:p>
        </w:tc>
        <w:tc>
          <w:tcPr>
            <w:tcW w:w="647" w:type="pct"/>
            <w:tcBorders>
              <w:top w:val="nil"/>
              <w:left w:val="nil"/>
              <w:bottom w:val="nil"/>
              <w:right w:val="nil"/>
            </w:tcBorders>
            <w:shd w:val="clear" w:color="auto" w:fill="auto"/>
            <w:noWrap/>
            <w:vAlign w:val="bottom"/>
            <w:hideMark/>
          </w:tcPr>
          <w:p w14:paraId="05C5093F" w14:textId="77777777" w:rsidR="00BA275B" w:rsidRPr="006B42D6" w:rsidRDefault="00BA275B" w:rsidP="00383AA6">
            <w:pPr>
              <w:spacing w:line="276" w:lineRule="auto"/>
              <w:jc w:val="right"/>
              <w:rPr>
                <w:sz w:val="18"/>
                <w:szCs w:val="18"/>
              </w:rPr>
            </w:pPr>
            <w:r w:rsidRPr="006B42D6">
              <w:rPr>
                <w:sz w:val="18"/>
                <w:szCs w:val="18"/>
              </w:rPr>
              <w:t>51,771</w:t>
            </w:r>
          </w:p>
        </w:tc>
        <w:tc>
          <w:tcPr>
            <w:tcW w:w="633" w:type="pct"/>
            <w:tcBorders>
              <w:top w:val="nil"/>
              <w:left w:val="nil"/>
              <w:bottom w:val="nil"/>
              <w:right w:val="nil"/>
            </w:tcBorders>
            <w:shd w:val="clear" w:color="auto" w:fill="auto"/>
            <w:noWrap/>
            <w:vAlign w:val="bottom"/>
            <w:hideMark/>
          </w:tcPr>
          <w:p w14:paraId="73007127" w14:textId="77777777" w:rsidR="00BA275B" w:rsidRPr="006B42D6" w:rsidRDefault="00BA275B" w:rsidP="00383AA6">
            <w:pPr>
              <w:spacing w:line="276" w:lineRule="auto"/>
              <w:jc w:val="right"/>
              <w:rPr>
                <w:sz w:val="18"/>
                <w:szCs w:val="18"/>
              </w:rPr>
            </w:pPr>
            <w:r w:rsidRPr="006B42D6">
              <w:rPr>
                <w:sz w:val="18"/>
                <w:szCs w:val="18"/>
              </w:rPr>
              <w:t>29.1</w:t>
            </w:r>
          </w:p>
        </w:tc>
      </w:tr>
      <w:tr w:rsidR="006B42D6" w:rsidRPr="006B42D6" w14:paraId="0560D945" w14:textId="77777777" w:rsidTr="00D50236">
        <w:trPr>
          <w:trHeight w:val="297"/>
        </w:trPr>
        <w:tc>
          <w:tcPr>
            <w:tcW w:w="1163" w:type="pct"/>
            <w:tcBorders>
              <w:top w:val="nil"/>
              <w:left w:val="nil"/>
              <w:bottom w:val="nil"/>
              <w:right w:val="nil"/>
            </w:tcBorders>
            <w:shd w:val="clear" w:color="auto" w:fill="auto"/>
            <w:noWrap/>
            <w:vAlign w:val="bottom"/>
            <w:hideMark/>
          </w:tcPr>
          <w:p w14:paraId="28EEF4AD" w14:textId="77777777" w:rsidR="00BA275B" w:rsidRPr="006B42D6" w:rsidRDefault="00BA275B" w:rsidP="00383AA6">
            <w:pPr>
              <w:spacing w:line="276" w:lineRule="auto"/>
              <w:rPr>
                <w:sz w:val="18"/>
                <w:szCs w:val="18"/>
              </w:rPr>
            </w:pPr>
            <w:r w:rsidRPr="006B42D6">
              <w:rPr>
                <w:sz w:val="18"/>
                <w:szCs w:val="18"/>
              </w:rPr>
              <w:t>Compost Manure</w:t>
            </w:r>
          </w:p>
        </w:tc>
        <w:tc>
          <w:tcPr>
            <w:tcW w:w="656" w:type="pct"/>
            <w:tcBorders>
              <w:top w:val="nil"/>
              <w:left w:val="nil"/>
              <w:bottom w:val="nil"/>
              <w:right w:val="nil"/>
            </w:tcBorders>
            <w:shd w:val="clear" w:color="auto" w:fill="auto"/>
            <w:noWrap/>
            <w:vAlign w:val="bottom"/>
            <w:hideMark/>
          </w:tcPr>
          <w:p w14:paraId="722D4751" w14:textId="77777777" w:rsidR="00BA275B" w:rsidRPr="006B42D6" w:rsidRDefault="00BA275B" w:rsidP="00383AA6">
            <w:pPr>
              <w:spacing w:line="276" w:lineRule="auto"/>
              <w:jc w:val="right"/>
              <w:rPr>
                <w:sz w:val="18"/>
                <w:szCs w:val="18"/>
              </w:rPr>
            </w:pPr>
            <w:r w:rsidRPr="006B42D6">
              <w:rPr>
                <w:sz w:val="18"/>
                <w:szCs w:val="18"/>
              </w:rPr>
              <w:t>348,740</w:t>
            </w:r>
          </w:p>
        </w:tc>
        <w:tc>
          <w:tcPr>
            <w:tcW w:w="623" w:type="pct"/>
            <w:tcBorders>
              <w:top w:val="nil"/>
              <w:left w:val="nil"/>
              <w:bottom w:val="nil"/>
              <w:right w:val="nil"/>
            </w:tcBorders>
            <w:shd w:val="clear" w:color="auto" w:fill="auto"/>
            <w:noWrap/>
            <w:vAlign w:val="bottom"/>
            <w:hideMark/>
          </w:tcPr>
          <w:p w14:paraId="4E15F0A7" w14:textId="77777777" w:rsidR="00BA275B" w:rsidRPr="006B42D6" w:rsidRDefault="00BA275B" w:rsidP="00383AA6">
            <w:pPr>
              <w:spacing w:line="276" w:lineRule="auto"/>
              <w:jc w:val="right"/>
              <w:rPr>
                <w:sz w:val="18"/>
                <w:szCs w:val="18"/>
              </w:rPr>
            </w:pPr>
            <w:r w:rsidRPr="006B42D6">
              <w:rPr>
                <w:sz w:val="18"/>
                <w:szCs w:val="18"/>
              </w:rPr>
              <w:t>4.5</w:t>
            </w:r>
          </w:p>
        </w:tc>
        <w:tc>
          <w:tcPr>
            <w:tcW w:w="656" w:type="pct"/>
            <w:tcBorders>
              <w:top w:val="nil"/>
              <w:left w:val="single" w:sz="4" w:space="0" w:color="auto"/>
              <w:bottom w:val="nil"/>
              <w:right w:val="nil"/>
            </w:tcBorders>
            <w:shd w:val="clear" w:color="auto" w:fill="auto"/>
            <w:noWrap/>
            <w:vAlign w:val="bottom"/>
            <w:hideMark/>
          </w:tcPr>
          <w:p w14:paraId="3ABE04D2" w14:textId="159B882D" w:rsidR="00BA275B" w:rsidRPr="006B42D6" w:rsidRDefault="00BA275B" w:rsidP="00383AA6">
            <w:pPr>
              <w:spacing w:line="276" w:lineRule="auto"/>
              <w:jc w:val="right"/>
              <w:rPr>
                <w:sz w:val="18"/>
                <w:szCs w:val="18"/>
              </w:rPr>
            </w:pPr>
            <w:r w:rsidRPr="006B42D6">
              <w:rPr>
                <w:sz w:val="18"/>
                <w:szCs w:val="18"/>
              </w:rPr>
              <w:t>33</w:t>
            </w:r>
            <w:r w:rsidR="00027EDC" w:rsidRPr="006B42D6">
              <w:rPr>
                <w:sz w:val="18"/>
                <w:szCs w:val="18"/>
              </w:rPr>
              <w:t>3</w:t>
            </w:r>
            <w:r w:rsidRPr="006B42D6">
              <w:rPr>
                <w:sz w:val="18"/>
                <w:szCs w:val="18"/>
              </w:rPr>
              <w:t>,</w:t>
            </w:r>
            <w:r w:rsidR="00027EDC" w:rsidRPr="006B42D6">
              <w:rPr>
                <w:sz w:val="18"/>
                <w:szCs w:val="18"/>
              </w:rPr>
              <w:t>908</w:t>
            </w:r>
          </w:p>
        </w:tc>
        <w:tc>
          <w:tcPr>
            <w:tcW w:w="623" w:type="pct"/>
            <w:tcBorders>
              <w:top w:val="nil"/>
              <w:left w:val="nil"/>
              <w:bottom w:val="nil"/>
              <w:right w:val="single" w:sz="4" w:space="0" w:color="auto"/>
            </w:tcBorders>
            <w:shd w:val="clear" w:color="auto" w:fill="auto"/>
            <w:noWrap/>
            <w:vAlign w:val="bottom"/>
            <w:hideMark/>
          </w:tcPr>
          <w:p w14:paraId="26CBB113" w14:textId="77777777" w:rsidR="00BA275B" w:rsidRPr="006B42D6" w:rsidRDefault="00BA275B" w:rsidP="00383AA6">
            <w:pPr>
              <w:spacing w:line="276" w:lineRule="auto"/>
              <w:jc w:val="right"/>
              <w:rPr>
                <w:sz w:val="18"/>
                <w:szCs w:val="18"/>
              </w:rPr>
            </w:pPr>
            <w:r w:rsidRPr="006B42D6">
              <w:rPr>
                <w:sz w:val="18"/>
                <w:szCs w:val="18"/>
              </w:rPr>
              <w:t>4.5</w:t>
            </w:r>
          </w:p>
        </w:tc>
        <w:tc>
          <w:tcPr>
            <w:tcW w:w="647" w:type="pct"/>
            <w:tcBorders>
              <w:top w:val="nil"/>
              <w:left w:val="nil"/>
              <w:bottom w:val="nil"/>
              <w:right w:val="nil"/>
            </w:tcBorders>
            <w:shd w:val="clear" w:color="auto" w:fill="auto"/>
            <w:noWrap/>
            <w:vAlign w:val="bottom"/>
            <w:hideMark/>
          </w:tcPr>
          <w:p w14:paraId="6F54F600" w14:textId="77777777" w:rsidR="00BA275B" w:rsidRPr="006B42D6" w:rsidRDefault="00BA275B" w:rsidP="00383AA6">
            <w:pPr>
              <w:spacing w:line="276" w:lineRule="auto"/>
              <w:jc w:val="right"/>
              <w:rPr>
                <w:sz w:val="18"/>
                <w:szCs w:val="18"/>
              </w:rPr>
            </w:pPr>
            <w:r w:rsidRPr="006B42D6">
              <w:rPr>
                <w:sz w:val="18"/>
                <w:szCs w:val="18"/>
              </w:rPr>
              <w:t>14,832</w:t>
            </w:r>
          </w:p>
        </w:tc>
        <w:tc>
          <w:tcPr>
            <w:tcW w:w="633" w:type="pct"/>
            <w:tcBorders>
              <w:top w:val="nil"/>
              <w:left w:val="nil"/>
              <w:bottom w:val="nil"/>
              <w:right w:val="nil"/>
            </w:tcBorders>
            <w:shd w:val="clear" w:color="auto" w:fill="auto"/>
            <w:noWrap/>
            <w:vAlign w:val="bottom"/>
            <w:hideMark/>
          </w:tcPr>
          <w:p w14:paraId="296E3E82" w14:textId="77777777" w:rsidR="00BA275B" w:rsidRPr="006B42D6" w:rsidRDefault="00BA275B" w:rsidP="00383AA6">
            <w:pPr>
              <w:spacing w:line="276" w:lineRule="auto"/>
              <w:jc w:val="right"/>
              <w:rPr>
                <w:sz w:val="18"/>
                <w:szCs w:val="18"/>
              </w:rPr>
            </w:pPr>
            <w:r w:rsidRPr="006B42D6">
              <w:rPr>
                <w:sz w:val="18"/>
                <w:szCs w:val="18"/>
              </w:rPr>
              <w:t>8.3</w:t>
            </w:r>
          </w:p>
        </w:tc>
      </w:tr>
      <w:tr w:rsidR="006B42D6" w:rsidRPr="006B42D6" w14:paraId="31C9E5F2" w14:textId="77777777" w:rsidTr="00D50236">
        <w:trPr>
          <w:trHeight w:val="297"/>
        </w:trPr>
        <w:tc>
          <w:tcPr>
            <w:tcW w:w="1163" w:type="pct"/>
            <w:tcBorders>
              <w:top w:val="nil"/>
              <w:left w:val="nil"/>
              <w:bottom w:val="nil"/>
              <w:right w:val="nil"/>
            </w:tcBorders>
            <w:shd w:val="clear" w:color="auto" w:fill="auto"/>
            <w:noWrap/>
            <w:vAlign w:val="bottom"/>
            <w:hideMark/>
          </w:tcPr>
          <w:p w14:paraId="6F7BEFF3" w14:textId="77777777" w:rsidR="00BA275B" w:rsidRPr="006B42D6" w:rsidRDefault="00BA275B" w:rsidP="00383AA6">
            <w:pPr>
              <w:spacing w:line="276" w:lineRule="auto"/>
              <w:rPr>
                <w:sz w:val="18"/>
                <w:szCs w:val="18"/>
              </w:rPr>
            </w:pPr>
            <w:r w:rsidRPr="006B42D6">
              <w:rPr>
                <w:sz w:val="18"/>
                <w:szCs w:val="18"/>
              </w:rPr>
              <w:t>Insecticide/fungicide</w:t>
            </w:r>
          </w:p>
        </w:tc>
        <w:tc>
          <w:tcPr>
            <w:tcW w:w="656" w:type="pct"/>
            <w:tcBorders>
              <w:top w:val="nil"/>
              <w:left w:val="nil"/>
              <w:bottom w:val="nil"/>
              <w:right w:val="nil"/>
            </w:tcBorders>
            <w:shd w:val="clear" w:color="auto" w:fill="auto"/>
            <w:noWrap/>
            <w:vAlign w:val="bottom"/>
            <w:hideMark/>
          </w:tcPr>
          <w:p w14:paraId="00B12CDA" w14:textId="77777777" w:rsidR="00BA275B" w:rsidRPr="006B42D6" w:rsidRDefault="00BA275B" w:rsidP="00383AA6">
            <w:pPr>
              <w:spacing w:line="276" w:lineRule="auto"/>
              <w:jc w:val="right"/>
              <w:rPr>
                <w:sz w:val="18"/>
                <w:szCs w:val="18"/>
              </w:rPr>
            </w:pPr>
            <w:r w:rsidRPr="006B42D6">
              <w:rPr>
                <w:sz w:val="18"/>
                <w:szCs w:val="18"/>
              </w:rPr>
              <w:t>2,131,808</w:t>
            </w:r>
          </w:p>
        </w:tc>
        <w:tc>
          <w:tcPr>
            <w:tcW w:w="623" w:type="pct"/>
            <w:tcBorders>
              <w:top w:val="nil"/>
              <w:left w:val="nil"/>
              <w:bottom w:val="nil"/>
              <w:right w:val="nil"/>
            </w:tcBorders>
            <w:shd w:val="clear" w:color="auto" w:fill="auto"/>
            <w:noWrap/>
            <w:vAlign w:val="bottom"/>
            <w:hideMark/>
          </w:tcPr>
          <w:p w14:paraId="28124624" w14:textId="77777777" w:rsidR="00BA275B" w:rsidRPr="006B42D6" w:rsidRDefault="00BA275B" w:rsidP="00383AA6">
            <w:pPr>
              <w:spacing w:line="276" w:lineRule="auto"/>
              <w:jc w:val="right"/>
              <w:rPr>
                <w:sz w:val="18"/>
                <w:szCs w:val="18"/>
              </w:rPr>
            </w:pPr>
            <w:r w:rsidRPr="006B42D6">
              <w:rPr>
                <w:sz w:val="18"/>
                <w:szCs w:val="18"/>
              </w:rPr>
              <w:t>27.8</w:t>
            </w:r>
          </w:p>
        </w:tc>
        <w:tc>
          <w:tcPr>
            <w:tcW w:w="656" w:type="pct"/>
            <w:tcBorders>
              <w:top w:val="nil"/>
              <w:left w:val="single" w:sz="4" w:space="0" w:color="auto"/>
              <w:bottom w:val="nil"/>
              <w:right w:val="nil"/>
            </w:tcBorders>
            <w:shd w:val="clear" w:color="auto" w:fill="auto"/>
            <w:noWrap/>
            <w:vAlign w:val="bottom"/>
            <w:hideMark/>
          </w:tcPr>
          <w:p w14:paraId="6019AD97" w14:textId="77777777" w:rsidR="00BA275B" w:rsidRPr="006B42D6" w:rsidRDefault="00BA275B" w:rsidP="00383AA6">
            <w:pPr>
              <w:spacing w:line="276" w:lineRule="auto"/>
              <w:jc w:val="right"/>
              <w:rPr>
                <w:sz w:val="18"/>
                <w:szCs w:val="18"/>
              </w:rPr>
            </w:pPr>
            <w:r w:rsidRPr="006B42D6">
              <w:rPr>
                <w:sz w:val="18"/>
                <w:szCs w:val="18"/>
              </w:rPr>
              <w:t>2,102,717</w:t>
            </w:r>
          </w:p>
        </w:tc>
        <w:tc>
          <w:tcPr>
            <w:tcW w:w="623" w:type="pct"/>
            <w:tcBorders>
              <w:top w:val="nil"/>
              <w:left w:val="nil"/>
              <w:bottom w:val="nil"/>
              <w:right w:val="single" w:sz="4" w:space="0" w:color="auto"/>
            </w:tcBorders>
            <w:shd w:val="clear" w:color="auto" w:fill="auto"/>
            <w:noWrap/>
            <w:vAlign w:val="bottom"/>
            <w:hideMark/>
          </w:tcPr>
          <w:p w14:paraId="54256F61" w14:textId="77777777" w:rsidR="00BA275B" w:rsidRPr="006B42D6" w:rsidRDefault="00BA275B" w:rsidP="00383AA6">
            <w:pPr>
              <w:spacing w:line="276" w:lineRule="auto"/>
              <w:jc w:val="right"/>
              <w:rPr>
                <w:sz w:val="18"/>
                <w:szCs w:val="18"/>
              </w:rPr>
            </w:pPr>
            <w:r w:rsidRPr="006B42D6">
              <w:rPr>
                <w:sz w:val="18"/>
                <w:szCs w:val="18"/>
              </w:rPr>
              <w:t>28.0</w:t>
            </w:r>
          </w:p>
        </w:tc>
        <w:tc>
          <w:tcPr>
            <w:tcW w:w="647" w:type="pct"/>
            <w:tcBorders>
              <w:top w:val="nil"/>
              <w:left w:val="nil"/>
              <w:bottom w:val="nil"/>
              <w:right w:val="nil"/>
            </w:tcBorders>
            <w:shd w:val="clear" w:color="auto" w:fill="auto"/>
            <w:noWrap/>
            <w:vAlign w:val="bottom"/>
            <w:hideMark/>
          </w:tcPr>
          <w:p w14:paraId="3B2EC597" w14:textId="77777777" w:rsidR="00BA275B" w:rsidRPr="006B42D6" w:rsidRDefault="00BA275B" w:rsidP="00383AA6">
            <w:pPr>
              <w:spacing w:line="276" w:lineRule="auto"/>
              <w:jc w:val="right"/>
              <w:rPr>
                <w:sz w:val="18"/>
                <w:szCs w:val="18"/>
              </w:rPr>
            </w:pPr>
            <w:r w:rsidRPr="006B42D6">
              <w:rPr>
                <w:sz w:val="18"/>
                <w:szCs w:val="18"/>
              </w:rPr>
              <w:t>29,091</w:t>
            </w:r>
          </w:p>
        </w:tc>
        <w:tc>
          <w:tcPr>
            <w:tcW w:w="633" w:type="pct"/>
            <w:tcBorders>
              <w:top w:val="nil"/>
              <w:left w:val="nil"/>
              <w:bottom w:val="nil"/>
              <w:right w:val="nil"/>
            </w:tcBorders>
            <w:shd w:val="clear" w:color="auto" w:fill="auto"/>
            <w:noWrap/>
            <w:vAlign w:val="bottom"/>
            <w:hideMark/>
          </w:tcPr>
          <w:p w14:paraId="0C5EF42C" w14:textId="77777777" w:rsidR="00BA275B" w:rsidRPr="006B42D6" w:rsidRDefault="00BA275B" w:rsidP="00383AA6">
            <w:pPr>
              <w:spacing w:line="276" w:lineRule="auto"/>
              <w:jc w:val="right"/>
              <w:rPr>
                <w:sz w:val="18"/>
                <w:szCs w:val="18"/>
              </w:rPr>
            </w:pPr>
            <w:r w:rsidRPr="006B42D6">
              <w:rPr>
                <w:sz w:val="18"/>
                <w:szCs w:val="18"/>
              </w:rPr>
              <w:t>16.3</w:t>
            </w:r>
          </w:p>
        </w:tc>
      </w:tr>
      <w:tr w:rsidR="006B42D6" w:rsidRPr="006B42D6" w14:paraId="024C575B" w14:textId="77777777" w:rsidTr="00D50236">
        <w:trPr>
          <w:trHeight w:val="297"/>
        </w:trPr>
        <w:tc>
          <w:tcPr>
            <w:tcW w:w="1163" w:type="pct"/>
            <w:tcBorders>
              <w:top w:val="nil"/>
              <w:left w:val="nil"/>
              <w:bottom w:val="nil"/>
              <w:right w:val="nil"/>
            </w:tcBorders>
            <w:shd w:val="clear" w:color="auto" w:fill="auto"/>
            <w:noWrap/>
            <w:vAlign w:val="bottom"/>
            <w:hideMark/>
          </w:tcPr>
          <w:p w14:paraId="298743F7" w14:textId="77777777" w:rsidR="00BA275B" w:rsidRPr="006B42D6" w:rsidRDefault="00BA275B" w:rsidP="00383AA6">
            <w:pPr>
              <w:spacing w:line="276" w:lineRule="auto"/>
              <w:rPr>
                <w:sz w:val="18"/>
                <w:szCs w:val="18"/>
              </w:rPr>
            </w:pPr>
            <w:r w:rsidRPr="006B42D6">
              <w:rPr>
                <w:sz w:val="18"/>
                <w:szCs w:val="18"/>
              </w:rPr>
              <w:t>Herbicide</w:t>
            </w:r>
          </w:p>
        </w:tc>
        <w:tc>
          <w:tcPr>
            <w:tcW w:w="656" w:type="pct"/>
            <w:tcBorders>
              <w:top w:val="nil"/>
              <w:left w:val="nil"/>
              <w:bottom w:val="nil"/>
              <w:right w:val="nil"/>
            </w:tcBorders>
            <w:shd w:val="clear" w:color="auto" w:fill="auto"/>
            <w:noWrap/>
            <w:vAlign w:val="bottom"/>
            <w:hideMark/>
          </w:tcPr>
          <w:p w14:paraId="45472668" w14:textId="77777777" w:rsidR="00BA275B" w:rsidRPr="006B42D6" w:rsidRDefault="00BA275B" w:rsidP="00383AA6">
            <w:pPr>
              <w:spacing w:line="276" w:lineRule="auto"/>
              <w:jc w:val="right"/>
              <w:rPr>
                <w:sz w:val="18"/>
                <w:szCs w:val="18"/>
              </w:rPr>
            </w:pPr>
            <w:r w:rsidRPr="006B42D6">
              <w:rPr>
                <w:sz w:val="18"/>
                <w:szCs w:val="18"/>
              </w:rPr>
              <w:t>876,880</w:t>
            </w:r>
          </w:p>
        </w:tc>
        <w:tc>
          <w:tcPr>
            <w:tcW w:w="623" w:type="pct"/>
            <w:tcBorders>
              <w:top w:val="nil"/>
              <w:left w:val="nil"/>
              <w:bottom w:val="nil"/>
              <w:right w:val="nil"/>
            </w:tcBorders>
            <w:shd w:val="clear" w:color="auto" w:fill="auto"/>
            <w:noWrap/>
            <w:vAlign w:val="bottom"/>
            <w:hideMark/>
          </w:tcPr>
          <w:p w14:paraId="55994F27" w14:textId="77777777" w:rsidR="00BA275B" w:rsidRPr="006B42D6" w:rsidRDefault="00BA275B" w:rsidP="00383AA6">
            <w:pPr>
              <w:spacing w:line="276" w:lineRule="auto"/>
              <w:jc w:val="right"/>
              <w:rPr>
                <w:sz w:val="18"/>
                <w:szCs w:val="18"/>
              </w:rPr>
            </w:pPr>
            <w:r w:rsidRPr="006B42D6">
              <w:rPr>
                <w:sz w:val="18"/>
                <w:szCs w:val="18"/>
              </w:rPr>
              <w:t>11.4</w:t>
            </w:r>
          </w:p>
        </w:tc>
        <w:tc>
          <w:tcPr>
            <w:tcW w:w="656" w:type="pct"/>
            <w:tcBorders>
              <w:top w:val="nil"/>
              <w:left w:val="single" w:sz="4" w:space="0" w:color="auto"/>
              <w:bottom w:val="nil"/>
              <w:right w:val="nil"/>
            </w:tcBorders>
            <w:shd w:val="clear" w:color="auto" w:fill="auto"/>
            <w:noWrap/>
            <w:vAlign w:val="bottom"/>
            <w:hideMark/>
          </w:tcPr>
          <w:p w14:paraId="757E702B" w14:textId="77777777" w:rsidR="00BA275B" w:rsidRPr="006B42D6" w:rsidRDefault="00BA275B" w:rsidP="00383AA6">
            <w:pPr>
              <w:spacing w:line="276" w:lineRule="auto"/>
              <w:jc w:val="right"/>
              <w:rPr>
                <w:sz w:val="18"/>
                <w:szCs w:val="18"/>
              </w:rPr>
            </w:pPr>
            <w:r w:rsidRPr="006B42D6">
              <w:rPr>
                <w:sz w:val="18"/>
                <w:szCs w:val="18"/>
              </w:rPr>
              <w:t>854,788</w:t>
            </w:r>
          </w:p>
        </w:tc>
        <w:tc>
          <w:tcPr>
            <w:tcW w:w="623" w:type="pct"/>
            <w:tcBorders>
              <w:top w:val="nil"/>
              <w:left w:val="nil"/>
              <w:bottom w:val="nil"/>
              <w:right w:val="single" w:sz="4" w:space="0" w:color="auto"/>
            </w:tcBorders>
            <w:shd w:val="clear" w:color="auto" w:fill="auto"/>
            <w:noWrap/>
            <w:vAlign w:val="bottom"/>
            <w:hideMark/>
          </w:tcPr>
          <w:p w14:paraId="0EA21C22" w14:textId="77777777" w:rsidR="00BA275B" w:rsidRPr="006B42D6" w:rsidRDefault="00BA275B" w:rsidP="00383AA6">
            <w:pPr>
              <w:spacing w:line="276" w:lineRule="auto"/>
              <w:jc w:val="right"/>
              <w:rPr>
                <w:sz w:val="18"/>
                <w:szCs w:val="18"/>
              </w:rPr>
            </w:pPr>
            <w:r w:rsidRPr="006B42D6">
              <w:rPr>
                <w:sz w:val="18"/>
                <w:szCs w:val="18"/>
              </w:rPr>
              <w:t>11.4</w:t>
            </w:r>
          </w:p>
        </w:tc>
        <w:tc>
          <w:tcPr>
            <w:tcW w:w="647" w:type="pct"/>
            <w:tcBorders>
              <w:top w:val="nil"/>
              <w:left w:val="nil"/>
              <w:bottom w:val="nil"/>
              <w:right w:val="nil"/>
            </w:tcBorders>
            <w:shd w:val="clear" w:color="auto" w:fill="auto"/>
            <w:noWrap/>
            <w:vAlign w:val="bottom"/>
            <w:hideMark/>
          </w:tcPr>
          <w:p w14:paraId="7C1DF739" w14:textId="77777777" w:rsidR="00BA275B" w:rsidRPr="006B42D6" w:rsidRDefault="00BA275B" w:rsidP="00383AA6">
            <w:pPr>
              <w:spacing w:line="276" w:lineRule="auto"/>
              <w:jc w:val="right"/>
              <w:rPr>
                <w:sz w:val="18"/>
                <w:szCs w:val="18"/>
              </w:rPr>
            </w:pPr>
            <w:r w:rsidRPr="006B42D6">
              <w:rPr>
                <w:sz w:val="18"/>
                <w:szCs w:val="18"/>
              </w:rPr>
              <w:t>22,092</w:t>
            </w:r>
          </w:p>
        </w:tc>
        <w:tc>
          <w:tcPr>
            <w:tcW w:w="633" w:type="pct"/>
            <w:tcBorders>
              <w:top w:val="nil"/>
              <w:left w:val="nil"/>
              <w:bottom w:val="nil"/>
              <w:right w:val="nil"/>
            </w:tcBorders>
            <w:shd w:val="clear" w:color="auto" w:fill="auto"/>
            <w:noWrap/>
            <w:vAlign w:val="bottom"/>
            <w:hideMark/>
          </w:tcPr>
          <w:p w14:paraId="24A252B9" w14:textId="77777777" w:rsidR="00BA275B" w:rsidRPr="006B42D6" w:rsidRDefault="00BA275B" w:rsidP="00383AA6">
            <w:pPr>
              <w:spacing w:line="276" w:lineRule="auto"/>
              <w:jc w:val="right"/>
              <w:rPr>
                <w:sz w:val="18"/>
                <w:szCs w:val="18"/>
              </w:rPr>
            </w:pPr>
            <w:r w:rsidRPr="006B42D6">
              <w:rPr>
                <w:sz w:val="18"/>
                <w:szCs w:val="18"/>
              </w:rPr>
              <w:t>12.4</w:t>
            </w:r>
          </w:p>
        </w:tc>
      </w:tr>
      <w:tr w:rsidR="00BA275B" w:rsidRPr="006B42D6" w14:paraId="396E43FC" w14:textId="77777777" w:rsidTr="00D50236">
        <w:trPr>
          <w:trHeight w:val="297"/>
        </w:trPr>
        <w:tc>
          <w:tcPr>
            <w:tcW w:w="1163" w:type="pct"/>
            <w:tcBorders>
              <w:top w:val="nil"/>
              <w:left w:val="nil"/>
              <w:bottom w:val="single" w:sz="4" w:space="0" w:color="auto"/>
              <w:right w:val="nil"/>
            </w:tcBorders>
            <w:shd w:val="clear" w:color="auto" w:fill="auto"/>
            <w:noWrap/>
            <w:vAlign w:val="bottom"/>
            <w:hideMark/>
          </w:tcPr>
          <w:p w14:paraId="45BFF0DC" w14:textId="77777777" w:rsidR="00BA275B" w:rsidRPr="006B42D6" w:rsidRDefault="00BA275B" w:rsidP="00383AA6">
            <w:pPr>
              <w:spacing w:line="276" w:lineRule="auto"/>
              <w:rPr>
                <w:sz w:val="18"/>
                <w:szCs w:val="18"/>
              </w:rPr>
            </w:pPr>
            <w:r w:rsidRPr="006B42D6">
              <w:rPr>
                <w:sz w:val="18"/>
                <w:szCs w:val="18"/>
              </w:rPr>
              <w:t>Improved Seeds</w:t>
            </w:r>
          </w:p>
        </w:tc>
        <w:tc>
          <w:tcPr>
            <w:tcW w:w="656" w:type="pct"/>
            <w:tcBorders>
              <w:top w:val="nil"/>
              <w:left w:val="nil"/>
              <w:bottom w:val="single" w:sz="4" w:space="0" w:color="auto"/>
              <w:right w:val="nil"/>
            </w:tcBorders>
            <w:shd w:val="clear" w:color="auto" w:fill="auto"/>
            <w:noWrap/>
            <w:vAlign w:val="bottom"/>
            <w:hideMark/>
          </w:tcPr>
          <w:p w14:paraId="6F88079B" w14:textId="77777777" w:rsidR="00BA275B" w:rsidRPr="006B42D6" w:rsidRDefault="00BA275B" w:rsidP="00383AA6">
            <w:pPr>
              <w:spacing w:line="276" w:lineRule="auto"/>
              <w:jc w:val="right"/>
              <w:rPr>
                <w:sz w:val="18"/>
                <w:szCs w:val="18"/>
              </w:rPr>
            </w:pPr>
            <w:r w:rsidRPr="006B42D6">
              <w:rPr>
                <w:sz w:val="18"/>
                <w:szCs w:val="18"/>
              </w:rPr>
              <w:t>2,863,470</w:t>
            </w:r>
          </w:p>
        </w:tc>
        <w:tc>
          <w:tcPr>
            <w:tcW w:w="623" w:type="pct"/>
            <w:tcBorders>
              <w:top w:val="nil"/>
              <w:left w:val="nil"/>
              <w:bottom w:val="single" w:sz="4" w:space="0" w:color="auto"/>
              <w:right w:val="nil"/>
            </w:tcBorders>
            <w:shd w:val="clear" w:color="auto" w:fill="auto"/>
            <w:noWrap/>
            <w:vAlign w:val="bottom"/>
            <w:hideMark/>
          </w:tcPr>
          <w:p w14:paraId="5098B46D" w14:textId="77777777" w:rsidR="00BA275B" w:rsidRPr="006B42D6" w:rsidRDefault="00BA275B" w:rsidP="00383AA6">
            <w:pPr>
              <w:spacing w:line="276" w:lineRule="auto"/>
              <w:jc w:val="right"/>
              <w:rPr>
                <w:sz w:val="18"/>
                <w:szCs w:val="18"/>
              </w:rPr>
            </w:pPr>
            <w:r w:rsidRPr="006B42D6">
              <w:rPr>
                <w:sz w:val="18"/>
                <w:szCs w:val="18"/>
              </w:rPr>
              <w:t>37.3</w:t>
            </w:r>
          </w:p>
        </w:tc>
        <w:tc>
          <w:tcPr>
            <w:tcW w:w="656" w:type="pct"/>
            <w:tcBorders>
              <w:top w:val="nil"/>
              <w:left w:val="single" w:sz="4" w:space="0" w:color="auto"/>
              <w:bottom w:val="single" w:sz="4" w:space="0" w:color="auto"/>
              <w:right w:val="nil"/>
            </w:tcBorders>
            <w:shd w:val="clear" w:color="auto" w:fill="auto"/>
            <w:noWrap/>
            <w:vAlign w:val="bottom"/>
            <w:hideMark/>
          </w:tcPr>
          <w:p w14:paraId="0D4EA1D4" w14:textId="77777777" w:rsidR="00BA275B" w:rsidRPr="006B42D6" w:rsidRDefault="00BA275B" w:rsidP="00383AA6">
            <w:pPr>
              <w:spacing w:line="276" w:lineRule="auto"/>
              <w:jc w:val="right"/>
              <w:rPr>
                <w:sz w:val="18"/>
                <w:szCs w:val="18"/>
              </w:rPr>
            </w:pPr>
            <w:r w:rsidRPr="006B42D6">
              <w:rPr>
                <w:sz w:val="18"/>
                <w:szCs w:val="18"/>
              </w:rPr>
              <w:t>2,775,767</w:t>
            </w:r>
          </w:p>
        </w:tc>
        <w:tc>
          <w:tcPr>
            <w:tcW w:w="623" w:type="pct"/>
            <w:tcBorders>
              <w:top w:val="nil"/>
              <w:left w:val="nil"/>
              <w:bottom w:val="single" w:sz="4" w:space="0" w:color="auto"/>
              <w:right w:val="single" w:sz="4" w:space="0" w:color="auto"/>
            </w:tcBorders>
            <w:shd w:val="clear" w:color="auto" w:fill="auto"/>
            <w:noWrap/>
            <w:vAlign w:val="bottom"/>
            <w:hideMark/>
          </w:tcPr>
          <w:p w14:paraId="1CA2E888" w14:textId="77777777" w:rsidR="00BA275B" w:rsidRPr="006B42D6" w:rsidRDefault="00BA275B" w:rsidP="00383AA6">
            <w:pPr>
              <w:spacing w:line="276" w:lineRule="auto"/>
              <w:jc w:val="right"/>
              <w:rPr>
                <w:sz w:val="18"/>
                <w:szCs w:val="18"/>
              </w:rPr>
            </w:pPr>
            <w:r w:rsidRPr="006B42D6">
              <w:rPr>
                <w:sz w:val="18"/>
                <w:szCs w:val="18"/>
              </w:rPr>
              <w:t>37.0</w:t>
            </w:r>
          </w:p>
        </w:tc>
        <w:tc>
          <w:tcPr>
            <w:tcW w:w="647" w:type="pct"/>
            <w:tcBorders>
              <w:top w:val="nil"/>
              <w:left w:val="nil"/>
              <w:bottom w:val="single" w:sz="4" w:space="0" w:color="auto"/>
              <w:right w:val="nil"/>
            </w:tcBorders>
            <w:shd w:val="clear" w:color="auto" w:fill="auto"/>
            <w:noWrap/>
            <w:vAlign w:val="bottom"/>
            <w:hideMark/>
          </w:tcPr>
          <w:p w14:paraId="30BF6AD2" w14:textId="77777777" w:rsidR="00BA275B" w:rsidRPr="006B42D6" w:rsidRDefault="00BA275B" w:rsidP="00383AA6">
            <w:pPr>
              <w:spacing w:line="276" w:lineRule="auto"/>
              <w:jc w:val="right"/>
              <w:rPr>
                <w:sz w:val="18"/>
                <w:szCs w:val="18"/>
              </w:rPr>
            </w:pPr>
            <w:r w:rsidRPr="006B42D6">
              <w:rPr>
                <w:sz w:val="18"/>
                <w:szCs w:val="18"/>
              </w:rPr>
              <w:t>87,703</w:t>
            </w:r>
          </w:p>
        </w:tc>
        <w:tc>
          <w:tcPr>
            <w:tcW w:w="633" w:type="pct"/>
            <w:tcBorders>
              <w:top w:val="nil"/>
              <w:left w:val="nil"/>
              <w:bottom w:val="single" w:sz="4" w:space="0" w:color="auto"/>
              <w:right w:val="nil"/>
            </w:tcBorders>
            <w:shd w:val="clear" w:color="auto" w:fill="auto"/>
            <w:noWrap/>
            <w:vAlign w:val="bottom"/>
            <w:hideMark/>
          </w:tcPr>
          <w:p w14:paraId="3A71C3B8" w14:textId="77777777" w:rsidR="00BA275B" w:rsidRPr="006B42D6" w:rsidRDefault="00BA275B" w:rsidP="00383AA6">
            <w:pPr>
              <w:spacing w:line="276" w:lineRule="auto"/>
              <w:jc w:val="right"/>
              <w:rPr>
                <w:sz w:val="18"/>
                <w:szCs w:val="18"/>
              </w:rPr>
            </w:pPr>
            <w:r w:rsidRPr="006B42D6">
              <w:rPr>
                <w:sz w:val="18"/>
                <w:szCs w:val="18"/>
              </w:rPr>
              <w:t>49.3</w:t>
            </w:r>
          </w:p>
        </w:tc>
      </w:tr>
    </w:tbl>
    <w:p w14:paraId="1BE57262" w14:textId="77777777" w:rsidR="00783891" w:rsidRPr="00D50236" w:rsidRDefault="00783891" w:rsidP="00C9369C"/>
    <w:p w14:paraId="24A386D5" w14:textId="334FEB72" w:rsidR="00BA275B" w:rsidRPr="006B42D6" w:rsidRDefault="00BA275B" w:rsidP="00E648CB">
      <w:pPr>
        <w:pStyle w:val="Heading3"/>
      </w:pPr>
      <w:bookmarkStart w:id="345" w:name="_Toc82385712"/>
      <w:r w:rsidRPr="006B42D6">
        <w:t>3.</w:t>
      </w:r>
      <w:r w:rsidR="00193728">
        <w:t>5</w:t>
      </w:r>
      <w:r w:rsidRPr="006B42D6">
        <w:t>.1</w:t>
      </w:r>
      <w:r w:rsidRPr="006B42D6">
        <w:tab/>
        <w:t>Compost Manure</w:t>
      </w:r>
      <w:bookmarkEnd w:id="345"/>
    </w:p>
    <w:p w14:paraId="37A36EAC" w14:textId="46E77E7A" w:rsidR="00D50236" w:rsidRDefault="00BA275B" w:rsidP="00D50236">
      <w:r w:rsidRPr="006B42D6">
        <w:t>The Census results show that, 348,740 households reported to use compost manure (33</w:t>
      </w:r>
      <w:r w:rsidR="00027EDC" w:rsidRPr="006B42D6">
        <w:t>3</w:t>
      </w:r>
      <w:r w:rsidRPr="006B42D6">
        <w:t>,</w:t>
      </w:r>
      <w:r w:rsidR="00027EDC" w:rsidRPr="006B42D6">
        <w:t>908</w:t>
      </w:r>
      <w:r w:rsidRPr="006B42D6">
        <w:t xml:space="preserve"> were in </w:t>
      </w:r>
      <w:r w:rsidR="00EA1552">
        <w:t>Mainland Tanzania</w:t>
      </w:r>
      <w:r w:rsidRPr="006B42D6">
        <w:t xml:space="preserve"> and 14,832 in Tanzania Zanzibar). </w:t>
      </w:r>
      <w:r w:rsidR="00E648CB" w:rsidRPr="006B42D6">
        <w:t xml:space="preserve">When comparing regions within </w:t>
      </w:r>
      <w:r w:rsidR="00EA1552">
        <w:t>Mainland Tanzania</w:t>
      </w:r>
      <w:r w:rsidR="00E648CB" w:rsidRPr="006B42D6">
        <w:t xml:space="preserve">, the largest number of smallholder farmers using compost manure was reported in Kagera region (24.3 percent), followed by Kilimanjaro </w:t>
      </w:r>
      <w:r w:rsidR="001C5B86" w:rsidRPr="006B42D6">
        <w:t xml:space="preserve">and Ruvuma </w:t>
      </w:r>
      <w:r w:rsidR="00E648CB" w:rsidRPr="006B42D6">
        <w:t>(6.2 percent</w:t>
      </w:r>
      <w:r w:rsidR="001C5B86" w:rsidRPr="006B42D6">
        <w:t xml:space="preserve"> each</w:t>
      </w:r>
      <w:r w:rsidR="00E648CB" w:rsidRPr="006B42D6">
        <w:t>)</w:t>
      </w:r>
      <w:r w:rsidR="001C5B86" w:rsidRPr="006B42D6">
        <w:t>.</w:t>
      </w:r>
      <w:r w:rsidR="00E648CB" w:rsidRPr="006B42D6">
        <w:t xml:space="preserve"> The lowest number of households reported to use compost manure was reported in </w:t>
      </w:r>
      <w:r w:rsidR="001C5B86" w:rsidRPr="006B42D6">
        <w:t>Katavi</w:t>
      </w:r>
      <w:r w:rsidR="00E648CB" w:rsidRPr="006B42D6">
        <w:t xml:space="preserve"> region with 0.3 percent (Figure 3.</w:t>
      </w:r>
      <w:r w:rsidR="00273161" w:rsidRPr="006B42D6">
        <w:t>64</w:t>
      </w:r>
      <w:r w:rsidR="00E648CB" w:rsidRPr="006B42D6">
        <w:t xml:space="preserve">). </w:t>
      </w:r>
    </w:p>
    <w:p w14:paraId="39EBE217" w14:textId="77777777" w:rsidR="004255F8" w:rsidRDefault="004255F8" w:rsidP="004255F8">
      <w:pPr>
        <w:spacing w:line="240" w:lineRule="auto"/>
      </w:pPr>
    </w:p>
    <w:p w14:paraId="1D39A123" w14:textId="66ADC5EF" w:rsidR="004255F8" w:rsidRPr="00403801" w:rsidRDefault="004255F8" w:rsidP="00CD6222">
      <w:pPr>
        <w:pStyle w:val="Caption"/>
        <w:ind w:left="1140" w:right="510" w:hanging="1140"/>
      </w:pPr>
      <w:bookmarkStart w:id="346" w:name="_Toc80120241"/>
      <w:bookmarkStart w:id="347" w:name="_Toc80884118"/>
      <w:bookmarkStart w:id="348" w:name="_Toc80884489"/>
      <w:bookmarkStart w:id="349" w:name="_Toc82386341"/>
      <w:r w:rsidRPr="00403801">
        <w:t>Figure 3.64:</w:t>
      </w:r>
      <w:r>
        <w:tab/>
      </w:r>
      <w:r w:rsidRPr="00403801">
        <w:t xml:space="preserve">Percentage of Households </w:t>
      </w:r>
      <w:r w:rsidR="008756C0">
        <w:t>Using</w:t>
      </w:r>
      <w:r w:rsidRPr="00403801">
        <w:t xml:space="preserve"> Compost Manure During 2019/20 Agricultural Year, Mainland Tanzania</w:t>
      </w:r>
      <w:bookmarkEnd w:id="346"/>
      <w:bookmarkEnd w:id="347"/>
      <w:bookmarkEnd w:id="348"/>
      <w:bookmarkEnd w:id="349"/>
    </w:p>
    <w:p w14:paraId="2E61B118" w14:textId="69501ECF" w:rsidR="004255F8" w:rsidRDefault="004255F8" w:rsidP="00D50236">
      <w:r>
        <w:rPr>
          <w:noProof/>
        </w:rPr>
        <w:drawing>
          <wp:inline distT="0" distB="0" distL="0" distR="0" wp14:anchorId="41BACB68" wp14:editId="119B5D24">
            <wp:extent cx="5399632" cy="2703830"/>
            <wp:effectExtent l="0" t="0" r="10795" b="13970"/>
            <wp:docPr id="180" name="Chart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6"/>
              </a:graphicData>
            </a:graphic>
          </wp:inline>
        </w:drawing>
      </w:r>
    </w:p>
    <w:p w14:paraId="77E79F75" w14:textId="0BDD499D" w:rsidR="004255F8" w:rsidRDefault="004255F8" w:rsidP="00D50236"/>
    <w:p w14:paraId="435DB41F" w14:textId="7CD3E9EA" w:rsidR="004255F8" w:rsidRDefault="004255F8" w:rsidP="00D50236"/>
    <w:p w14:paraId="68C1C259" w14:textId="6C49B269" w:rsidR="004255F8" w:rsidRDefault="004255F8" w:rsidP="00D50236"/>
    <w:p w14:paraId="624E5D6E" w14:textId="73632564" w:rsidR="004255F8" w:rsidRDefault="004255F8" w:rsidP="00D50236"/>
    <w:p w14:paraId="3D9E64C4" w14:textId="6E10C8D2" w:rsidR="00CD6222" w:rsidRDefault="00CD6222">
      <w:pPr>
        <w:spacing w:line="240" w:lineRule="auto"/>
        <w:contextualSpacing w:val="0"/>
        <w:jc w:val="left"/>
      </w:pPr>
      <w:r>
        <w:br w:type="page"/>
      </w:r>
    </w:p>
    <w:p w14:paraId="33CD5BC9" w14:textId="5C3ACD33" w:rsidR="00D50236" w:rsidRPr="006B42D6" w:rsidRDefault="00CD6222" w:rsidP="00E648CB">
      <w:r>
        <w:rPr>
          <w:noProof/>
        </w:rPr>
        <w:lastRenderedPageBreak/>
        <w:drawing>
          <wp:anchor distT="0" distB="0" distL="114300" distR="114300" simplePos="0" relativeHeight="251660288" behindDoc="0" locked="0" layoutInCell="1" allowOverlap="1" wp14:anchorId="19F77521" wp14:editId="1050F0EB">
            <wp:simplePos x="0" y="0"/>
            <wp:positionH relativeFrom="column">
              <wp:posOffset>2909570</wp:posOffset>
            </wp:positionH>
            <wp:positionV relativeFrom="paragraph">
              <wp:posOffset>573405</wp:posOffset>
            </wp:positionV>
            <wp:extent cx="3110230" cy="1986280"/>
            <wp:effectExtent l="0" t="0" r="13970" b="7620"/>
            <wp:wrapTight wrapText="bothSides">
              <wp:wrapPolygon edited="0">
                <wp:start x="0" y="0"/>
                <wp:lineTo x="0" y="21545"/>
                <wp:lineTo x="21609" y="21545"/>
                <wp:lineTo x="21609" y="0"/>
                <wp:lineTo x="0" y="0"/>
              </wp:wrapPolygon>
            </wp:wrapTight>
            <wp:docPr id="179"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7"/>
              </a:graphicData>
            </a:graphic>
            <wp14:sizeRelH relativeFrom="margin">
              <wp14:pctWidth>0</wp14:pctWidth>
            </wp14:sizeRelH>
            <wp14:sizeRelV relativeFrom="margin">
              <wp14:pctHeight>0</wp14:pctHeight>
            </wp14:sizeRelV>
          </wp:anchor>
        </w:drawing>
      </w:r>
      <w:r w:rsidR="004255F8" w:rsidRPr="006B42D6">
        <w:rPr>
          <w:noProof/>
        </w:rPr>
        <mc:AlternateContent>
          <mc:Choice Requires="wps">
            <w:drawing>
              <wp:anchor distT="0" distB="0" distL="114300" distR="114300" simplePos="0" relativeHeight="251790336" behindDoc="1" locked="0" layoutInCell="1" allowOverlap="1" wp14:anchorId="3C859E1A" wp14:editId="0C371BC0">
                <wp:simplePos x="0" y="0"/>
                <wp:positionH relativeFrom="column">
                  <wp:posOffset>2910840</wp:posOffset>
                </wp:positionH>
                <wp:positionV relativeFrom="paragraph">
                  <wp:posOffset>0</wp:posOffset>
                </wp:positionV>
                <wp:extent cx="3177540" cy="488315"/>
                <wp:effectExtent l="0" t="0" r="0" b="0"/>
                <wp:wrapTight wrapText="bothSides">
                  <wp:wrapPolygon edited="0">
                    <wp:start x="0" y="0"/>
                    <wp:lineTo x="0" y="20785"/>
                    <wp:lineTo x="21496" y="20785"/>
                    <wp:lineTo x="21496" y="0"/>
                    <wp:lineTo x="0" y="0"/>
                  </wp:wrapPolygon>
                </wp:wrapTight>
                <wp:docPr id="487" name="Text Box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7540" cy="488315"/>
                        </a:xfrm>
                        <a:prstGeom prst="rect">
                          <a:avLst/>
                        </a:prstGeom>
                        <a:solidFill>
                          <a:prstClr val="white"/>
                        </a:solidFill>
                        <a:ln>
                          <a:noFill/>
                        </a:ln>
                      </wps:spPr>
                      <wps:txbx>
                        <w:txbxContent>
                          <w:p w14:paraId="424B190B" w14:textId="70EC410B" w:rsidR="00933456" w:rsidRPr="00783891" w:rsidRDefault="00933456" w:rsidP="004255F8">
                            <w:pPr>
                              <w:pStyle w:val="Caption"/>
                              <w:rPr>
                                <w:b w:val="0"/>
                                <w:i/>
                                <w:noProof/>
                              </w:rPr>
                            </w:pPr>
                            <w:bookmarkStart w:id="350" w:name="_Toc80120240"/>
                            <w:bookmarkStart w:id="351" w:name="_Toc80884117"/>
                            <w:bookmarkStart w:id="352" w:name="_Toc80884488"/>
                            <w:bookmarkStart w:id="353" w:name="_Toc82386342"/>
                            <w:r w:rsidRPr="00783891">
                              <w:t>Figure 3.65:</w:t>
                            </w:r>
                            <w:r>
                              <w:tab/>
                            </w:r>
                            <w:r w:rsidRPr="00783891">
                              <w:t xml:space="preserve">Percentage of Households </w:t>
                            </w:r>
                            <w:r>
                              <w:t>Using</w:t>
                            </w:r>
                            <w:r w:rsidRPr="00783891">
                              <w:t xml:space="preserve"> Compost Manure During 2019/20 Agricultural Year, Tanzania Zanzibar</w:t>
                            </w:r>
                            <w:bookmarkEnd w:id="350"/>
                            <w:bookmarkEnd w:id="351"/>
                            <w:bookmarkEnd w:id="352"/>
                            <w:bookmarkEnd w:id="35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C859E1A" id="Text Box 466" o:spid="_x0000_s1059" type="#_x0000_t202" style="position:absolute;left:0;text-align:left;margin-left:229.2pt;margin-top:0;width:250.2pt;height:38.45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" stroked="f">
                <v:textbox inset="0,0,0,0">
                  <w:txbxContent>
                    <w:p w14:paraId="424B190B" w14:textId="70EC410B" w:rsidR="00933456" w:rsidRPr="00783891" w:rsidRDefault="00933456" w:rsidP="004255F8">
                      <w:pPr>
                        <w:pStyle w:val="Caption"/>
                        <w:rPr>
                          <w:b w:val="0"/>
                          <w:i/>
                          <w:noProof/>
                        </w:rPr>
                      </w:pPr>
                      <w:bookmarkStart w:id="460" w:name="_Toc80120240"/>
                      <w:bookmarkStart w:id="461" w:name="_Toc80884117"/>
                      <w:bookmarkStart w:id="462" w:name="_Toc80884488"/>
                      <w:bookmarkStart w:id="463" w:name="_Toc82386342"/>
                      <w:r w:rsidRPr="00783891">
                        <w:t>Figure 3.65:</w:t>
                      </w:r>
                      <w:r>
                        <w:tab/>
                      </w:r>
                      <w:r w:rsidRPr="00783891">
                        <w:t xml:space="preserve">Percentage of Households </w:t>
                      </w:r>
                      <w:r>
                        <w:t>Using</w:t>
                      </w:r>
                      <w:r w:rsidRPr="00783891">
                        <w:t xml:space="preserve"> Compost Manure During 2019/20 Agricultural Year, Tanzania Zanzibar</w:t>
                      </w:r>
                      <w:bookmarkEnd w:id="460"/>
                      <w:bookmarkEnd w:id="461"/>
                      <w:bookmarkEnd w:id="462"/>
                      <w:bookmarkEnd w:id="463"/>
                    </w:p>
                  </w:txbxContent>
                </v:textbox>
                <w10:wrap type="tight"/>
              </v:shape>
            </w:pict>
          </mc:Fallback>
        </mc:AlternateContent>
      </w:r>
      <w:r w:rsidR="00E648CB" w:rsidRPr="006B42D6">
        <w:t>In Tanzania Zanzibar, the largest number of households using compost manure was reported in Mjini Magharibi region (42.5 percent)</w:t>
      </w:r>
      <w:r w:rsidR="001C5B86" w:rsidRPr="006B42D6">
        <w:t>, followed by</w:t>
      </w:r>
      <w:r w:rsidR="00E648CB" w:rsidRPr="006B42D6">
        <w:t xml:space="preserve"> Kusini Pemba (27.5 percent). The least number of households </w:t>
      </w:r>
      <w:r w:rsidR="001C5B86" w:rsidRPr="006B42D6">
        <w:t xml:space="preserve">reported </w:t>
      </w:r>
      <w:r w:rsidR="00E648CB" w:rsidRPr="006B42D6">
        <w:t>to use compost manure was in Kaskazini Pemba (3.0 percent) (Figure 3.6</w:t>
      </w:r>
      <w:r w:rsidR="00273161" w:rsidRPr="006B42D6">
        <w:t>5</w:t>
      </w:r>
      <w:r w:rsidR="00E648CB" w:rsidRPr="006B42D6">
        <w:t>).</w:t>
      </w:r>
    </w:p>
    <w:p w14:paraId="5D356650" w14:textId="506BBD26" w:rsidR="00E648CB" w:rsidRPr="006B42D6" w:rsidRDefault="00E648CB" w:rsidP="00E648CB"/>
    <w:p w14:paraId="63597B06" w14:textId="35475DA4" w:rsidR="00BA275B" w:rsidRPr="006B42D6" w:rsidRDefault="00BA275B" w:rsidP="00D50236"/>
    <w:p w14:paraId="7AD18EA3" w14:textId="7BBD5210" w:rsidR="00BA275B" w:rsidRPr="006B42D6" w:rsidRDefault="00BA275B" w:rsidP="00D50236"/>
    <w:p w14:paraId="102A798A" w14:textId="1DBB5FD1" w:rsidR="001C5B86" w:rsidRPr="006B42D6" w:rsidRDefault="00CD6222" w:rsidP="001C5B86">
      <w:r w:rsidRPr="006B42D6">
        <w:rPr>
          <w:noProof/>
        </w:rPr>
        <w:drawing>
          <wp:anchor distT="6096" distB="5334" distL="120396" distR="120904" simplePos="0" relativeHeight="251684864" behindDoc="1" locked="0" layoutInCell="1" allowOverlap="1" wp14:anchorId="6A67DACD" wp14:editId="393046F4">
            <wp:simplePos x="0" y="0"/>
            <wp:positionH relativeFrom="column">
              <wp:posOffset>2749550</wp:posOffset>
            </wp:positionH>
            <wp:positionV relativeFrom="paragraph">
              <wp:posOffset>554355</wp:posOffset>
            </wp:positionV>
            <wp:extent cx="3259455" cy="2148840"/>
            <wp:effectExtent l="0" t="0" r="17145" b="10160"/>
            <wp:wrapTight wrapText="bothSides">
              <wp:wrapPolygon edited="0">
                <wp:start x="0" y="0"/>
                <wp:lineTo x="0" y="21574"/>
                <wp:lineTo x="21629" y="21574"/>
                <wp:lineTo x="21629" y="0"/>
                <wp:lineTo x="0" y="0"/>
              </wp:wrapPolygon>
            </wp:wrapTight>
            <wp:docPr id="177" name="Chart 49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8"/>
              </a:graphicData>
            </a:graphic>
            <wp14:sizeRelH relativeFrom="page">
              <wp14:pctWidth>0</wp14:pctWidth>
            </wp14:sizeRelH>
            <wp14:sizeRelV relativeFrom="page">
              <wp14:pctHeight>0</wp14:pctHeight>
            </wp14:sizeRelV>
          </wp:anchor>
        </w:drawing>
      </w:r>
      <w:r w:rsidRPr="006B42D6">
        <w:rPr>
          <w:noProof/>
        </w:rPr>
        <mc:AlternateContent>
          <mc:Choice Requires="wps">
            <w:drawing>
              <wp:anchor distT="0" distB="0" distL="114300" distR="114300" simplePos="0" relativeHeight="251683840" behindDoc="1" locked="0" layoutInCell="1" allowOverlap="1" wp14:anchorId="7DA59536" wp14:editId="0C1ECCF2">
                <wp:simplePos x="0" y="0"/>
                <wp:positionH relativeFrom="column">
                  <wp:posOffset>2758440</wp:posOffset>
                </wp:positionH>
                <wp:positionV relativeFrom="paragraph">
                  <wp:posOffset>171505</wp:posOffset>
                </wp:positionV>
                <wp:extent cx="3263900" cy="327660"/>
                <wp:effectExtent l="0" t="0" r="0" b="2540"/>
                <wp:wrapTight wrapText="bothSides">
                  <wp:wrapPolygon edited="0">
                    <wp:start x="0" y="0"/>
                    <wp:lineTo x="0" y="20930"/>
                    <wp:lineTo x="21516" y="20930"/>
                    <wp:lineTo x="21516" y="0"/>
                    <wp:lineTo x="0" y="0"/>
                  </wp:wrapPolygon>
                </wp:wrapTight>
                <wp:docPr id="486" name="Text Box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63900" cy="327660"/>
                        </a:xfrm>
                        <a:prstGeom prst="rect">
                          <a:avLst/>
                        </a:prstGeom>
                        <a:solidFill>
                          <a:prstClr val="white"/>
                        </a:solidFill>
                        <a:ln>
                          <a:noFill/>
                        </a:ln>
                      </wps:spPr>
                      <wps:txbx>
                        <w:txbxContent>
                          <w:p w14:paraId="7CBA3FB2" w14:textId="004FC624" w:rsidR="00933456" w:rsidRPr="00783891" w:rsidRDefault="00933456" w:rsidP="001C5B86">
                            <w:pPr>
                              <w:pStyle w:val="Caption"/>
                              <w:rPr>
                                <w:b w:val="0"/>
                                <w:i/>
                                <w:noProof/>
                              </w:rPr>
                            </w:pPr>
                            <w:bookmarkStart w:id="354" w:name="_Toc80120242"/>
                            <w:bookmarkStart w:id="355" w:name="_Toc80884119"/>
                            <w:bookmarkStart w:id="356" w:name="_Toc80884490"/>
                            <w:bookmarkStart w:id="357" w:name="_Toc82386343"/>
                            <w:r w:rsidRPr="00783891">
                              <w:t>Figure 3.66:</w:t>
                            </w:r>
                            <w:r>
                              <w:tab/>
                            </w:r>
                            <w:r w:rsidRPr="00783891">
                              <w:t>Percentage Distribution of Households by Source of Compost Manure, Tanzania</w:t>
                            </w:r>
                            <w:bookmarkEnd w:id="354"/>
                            <w:bookmarkEnd w:id="355"/>
                            <w:bookmarkEnd w:id="356"/>
                            <w:bookmarkEnd w:id="357"/>
                            <w:r w:rsidRPr="00783891">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DA59536" id="Text Box 465" o:spid="_x0000_s1060" type="#_x0000_t202" style="position:absolute;left:0;text-align:left;margin-left:217.2pt;margin-top:13.5pt;width:257pt;height:25.8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" stroked="f">
                <v:textbox inset="0,0,0,0">
                  <w:txbxContent>
                    <w:p w14:paraId="7CBA3FB2" w14:textId="004FC624" w:rsidR="00933456" w:rsidRPr="00783891" w:rsidRDefault="00933456" w:rsidP="001C5B86">
                      <w:pPr>
                        <w:pStyle w:val="Caption"/>
                        <w:rPr>
                          <w:b w:val="0"/>
                          <w:i/>
                          <w:noProof/>
                        </w:rPr>
                      </w:pPr>
                      <w:bookmarkStart w:id="468" w:name="_Toc80120242"/>
                      <w:bookmarkStart w:id="469" w:name="_Toc80884119"/>
                      <w:bookmarkStart w:id="470" w:name="_Toc80884490"/>
                      <w:bookmarkStart w:id="471" w:name="_Toc82386343"/>
                      <w:r w:rsidRPr="00783891">
                        <w:t>Figure 3.66:</w:t>
                      </w:r>
                      <w:r>
                        <w:tab/>
                      </w:r>
                      <w:r w:rsidRPr="00783891">
                        <w:t>Percentage Distribution of Households by Source of Compost Manure, Tanzania</w:t>
                      </w:r>
                      <w:bookmarkEnd w:id="468"/>
                      <w:bookmarkEnd w:id="469"/>
                      <w:bookmarkEnd w:id="470"/>
                      <w:bookmarkEnd w:id="471"/>
                      <w:r w:rsidRPr="00783891">
                        <w:t xml:space="preserve"> </w:t>
                      </w:r>
                    </w:p>
                  </w:txbxContent>
                </v:textbox>
                <w10:wrap type="tight"/>
              </v:shape>
            </w:pict>
          </mc:Fallback>
        </mc:AlternateContent>
      </w:r>
      <w:r w:rsidR="001C5B86" w:rsidRPr="006B42D6">
        <w:t>Out of the households reported to use compost manure in Tanzania, 92.9 percent reported to use compost manure that was locally produced by their own households, followed by those purchasing from local market/trade store (2.3 percent). Few households obtained compost manure from cooperatives (0.01 percent) (Figure 3.</w:t>
      </w:r>
      <w:r w:rsidR="00273161" w:rsidRPr="006B42D6">
        <w:t>66</w:t>
      </w:r>
      <w:r w:rsidR="001C5B86" w:rsidRPr="006B42D6">
        <w:t xml:space="preserve">). </w:t>
      </w:r>
    </w:p>
    <w:p w14:paraId="1046871E" w14:textId="7C09C432" w:rsidR="001C5B86" w:rsidRDefault="001C5B86" w:rsidP="00BA275B"/>
    <w:p w14:paraId="664D1620" w14:textId="77777777" w:rsidR="00D50236" w:rsidRPr="006B42D6" w:rsidRDefault="00D50236" w:rsidP="00BA275B"/>
    <w:p w14:paraId="1908F6AA" w14:textId="1814F6DD" w:rsidR="00BA275B" w:rsidRPr="006B42D6" w:rsidRDefault="00BA275B" w:rsidP="001C5B86">
      <w:pPr>
        <w:pStyle w:val="Heading3"/>
      </w:pPr>
      <w:bookmarkStart w:id="358" w:name="_Toc82385713"/>
      <w:r w:rsidRPr="006B42D6">
        <w:t>3.</w:t>
      </w:r>
      <w:r w:rsidR="00193728">
        <w:t>5</w:t>
      </w:r>
      <w:r w:rsidRPr="006B42D6">
        <w:t>.2</w:t>
      </w:r>
      <w:r w:rsidRPr="006B42D6">
        <w:tab/>
        <w:t>Farm</w:t>
      </w:r>
      <w:r w:rsidR="00C229F8" w:rsidRPr="006B42D6">
        <w:t>y</w:t>
      </w:r>
      <w:r w:rsidRPr="006B42D6">
        <w:t>ard Manure</w:t>
      </w:r>
      <w:bookmarkEnd w:id="358"/>
    </w:p>
    <w:p w14:paraId="471359D5" w14:textId="6A2B525A" w:rsidR="00C229F8" w:rsidRDefault="00BA275B" w:rsidP="00D50236">
      <w:r w:rsidRPr="006B42D6">
        <w:t>During 2019/20 agricultural year, farmyard manure was reported to be used by 1,497,28</w:t>
      </w:r>
      <w:r w:rsidR="00027EDC" w:rsidRPr="006B42D6">
        <w:t>6</w:t>
      </w:r>
      <w:r w:rsidRPr="006B42D6">
        <w:t xml:space="preserve"> households</w:t>
      </w:r>
      <w:r w:rsidR="001C5B86" w:rsidRPr="006B42D6">
        <w:t>,</w:t>
      </w:r>
      <w:r w:rsidRPr="006B42D6">
        <w:t xml:space="preserve"> of which 1,445,51</w:t>
      </w:r>
      <w:r w:rsidR="001C5B86" w:rsidRPr="006B42D6">
        <w:t>5</w:t>
      </w:r>
      <w:r w:rsidRPr="006B42D6">
        <w:t xml:space="preserve"> were in </w:t>
      </w:r>
      <w:r w:rsidR="00EA1552">
        <w:t>Mainland Tanzania</w:t>
      </w:r>
      <w:r w:rsidRPr="006B42D6">
        <w:t xml:space="preserve"> and 51,771 in Tanzania Zanzibar.</w:t>
      </w:r>
      <w:r w:rsidR="001C5B86" w:rsidRPr="006B42D6">
        <w:t xml:space="preserve"> In </w:t>
      </w:r>
      <w:r w:rsidR="00EA1552">
        <w:t>Mainland Tanzania</w:t>
      </w:r>
      <w:r w:rsidR="001C5B86" w:rsidRPr="006B42D6">
        <w:t xml:space="preserve">, farmyard manure was mostly used in Kilimanjaro region (10.4 percent of the crop growing households), followed by Mwanza (8.8 percent) and Dar es Salaam (8.3 percent), while the least number of households </w:t>
      </w:r>
      <w:r w:rsidR="008756C0">
        <w:t>was</w:t>
      </w:r>
      <w:r w:rsidR="001C5B86" w:rsidRPr="006B42D6">
        <w:t xml:space="preserve"> reported in Lindi region (0.2 percent). When comparing regions within Tanzania Zanzibar, the largest number of households reported to use farmyard manure was </w:t>
      </w:r>
      <w:r w:rsidR="00CD6222">
        <w:t xml:space="preserve">in </w:t>
      </w:r>
      <w:r w:rsidR="001C5B86" w:rsidRPr="006B42D6">
        <w:t>Mjini Magharibi (31.4 percent) and Kaskazini Unguja (19.5 percent), whilst the least number of households was reported in Kusini Unguja (14.6 percent) (Figure 3.6</w:t>
      </w:r>
      <w:r w:rsidR="00273161" w:rsidRPr="006B42D6">
        <w:t>7</w:t>
      </w:r>
      <w:r w:rsidR="001C5B86" w:rsidRPr="006B42D6">
        <w:t xml:space="preserve"> &amp; 3.6</w:t>
      </w:r>
      <w:r w:rsidR="00273161" w:rsidRPr="006B42D6">
        <w:t>8</w:t>
      </w:r>
      <w:r w:rsidR="001C5B86" w:rsidRPr="006B42D6">
        <w:t xml:space="preserve">). </w:t>
      </w:r>
    </w:p>
    <w:p w14:paraId="2616846F" w14:textId="30C8102C" w:rsidR="00DA1999" w:rsidRDefault="00DA1999">
      <w:pPr>
        <w:spacing w:line="240" w:lineRule="auto"/>
        <w:contextualSpacing w:val="0"/>
        <w:jc w:val="left"/>
      </w:pPr>
      <w:r>
        <w:br w:type="page"/>
      </w:r>
    </w:p>
    <w:p w14:paraId="30DCFCA2" w14:textId="62888BD5" w:rsidR="00BA275B" w:rsidRPr="006B42D6" w:rsidRDefault="00BA275B" w:rsidP="005C4B7F">
      <w:pPr>
        <w:pStyle w:val="Caption"/>
      </w:pPr>
      <w:bookmarkStart w:id="359" w:name="_Toc82386344"/>
      <w:r w:rsidRPr="006B42D6">
        <w:lastRenderedPageBreak/>
        <w:t>Figure 3.6</w:t>
      </w:r>
      <w:r w:rsidR="00273161" w:rsidRPr="006B42D6">
        <w:t>7</w:t>
      </w:r>
      <w:r w:rsidR="00BE2B39">
        <w:t>:</w:t>
      </w:r>
      <w:r w:rsidR="00D50236">
        <w:tab/>
      </w:r>
      <w:r w:rsidRPr="006B42D6">
        <w:t xml:space="preserve">Percentage of Households </w:t>
      </w:r>
      <w:r w:rsidR="008756C0">
        <w:t>Using</w:t>
      </w:r>
      <w:r w:rsidRPr="006B42D6">
        <w:t xml:space="preserve"> Farm</w:t>
      </w:r>
      <w:r w:rsidR="00C229F8" w:rsidRPr="006B42D6">
        <w:t>y</w:t>
      </w:r>
      <w:r w:rsidRPr="006B42D6">
        <w:t xml:space="preserve">ard Manure During 2019/20 Agricultural Year, </w:t>
      </w:r>
      <w:r w:rsidR="00EA1552">
        <w:t>Mainland Tanzania</w:t>
      </w:r>
      <w:bookmarkEnd w:id="359"/>
    </w:p>
    <w:p w14:paraId="28D49BAF" w14:textId="4EA768C9" w:rsidR="00BA275B" w:rsidRDefault="001B26AC" w:rsidP="00BA275B">
      <w:pPr>
        <w:spacing w:line="276" w:lineRule="auto"/>
      </w:pPr>
      <w:r w:rsidRPr="006B42D6">
        <w:rPr>
          <w:noProof/>
        </w:rPr>
        <w:drawing>
          <wp:inline distT="0" distB="0" distL="0" distR="0" wp14:anchorId="425C7E4C" wp14:editId="14A90C46">
            <wp:extent cx="5533121" cy="2719070"/>
            <wp:effectExtent l="0" t="0" r="17145" b="11430"/>
            <wp:docPr id="99" name="Chart 47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9"/>
              </a:graphicData>
            </a:graphic>
          </wp:inline>
        </w:drawing>
      </w:r>
    </w:p>
    <w:p w14:paraId="076BBA32" w14:textId="77777777" w:rsidR="00DA1999" w:rsidRPr="006B42D6" w:rsidRDefault="00DA1999" w:rsidP="00BA275B">
      <w:pPr>
        <w:spacing w:line="276" w:lineRule="auto"/>
      </w:pPr>
    </w:p>
    <w:p w14:paraId="0A583CA4" w14:textId="0B94E30E" w:rsidR="00BA275B" w:rsidRPr="006B42D6" w:rsidRDefault="00BA275B" w:rsidP="008E55EB">
      <w:pPr>
        <w:pStyle w:val="Caption"/>
        <w:ind w:left="1140" w:right="794" w:hanging="1140"/>
      </w:pPr>
      <w:bookmarkStart w:id="360" w:name="_Toc82386345"/>
      <w:r w:rsidRPr="006B42D6">
        <w:t>Figure 3.6</w:t>
      </w:r>
      <w:r w:rsidR="00273161" w:rsidRPr="006B42D6">
        <w:t>8</w:t>
      </w:r>
      <w:r w:rsidR="00EE1371">
        <w:t>:</w:t>
      </w:r>
      <w:r w:rsidR="0013569B">
        <w:tab/>
      </w:r>
      <w:r w:rsidRPr="006B42D6">
        <w:t xml:space="preserve">Percentage of Households </w:t>
      </w:r>
      <w:r w:rsidR="008E55EB">
        <w:t>Using</w:t>
      </w:r>
      <w:r w:rsidRPr="006B42D6">
        <w:t xml:space="preserve"> Farm</w:t>
      </w:r>
      <w:r w:rsidR="00C229F8" w:rsidRPr="006B42D6">
        <w:t>y</w:t>
      </w:r>
      <w:r w:rsidRPr="006B42D6">
        <w:t>ard Manure During 2019/20 Agricultural Year, Tanzania Zanzibar</w:t>
      </w:r>
      <w:bookmarkEnd w:id="360"/>
    </w:p>
    <w:p w14:paraId="761B0A36" w14:textId="740C585D" w:rsidR="00BA275B" w:rsidRDefault="001B26AC" w:rsidP="00BA275B">
      <w:pPr>
        <w:spacing w:line="276" w:lineRule="auto"/>
      </w:pPr>
      <w:r w:rsidRPr="006B42D6">
        <w:rPr>
          <w:noProof/>
        </w:rPr>
        <w:drawing>
          <wp:inline distT="0" distB="0" distL="0" distR="0" wp14:anchorId="7DF6340A" wp14:editId="3448A149">
            <wp:extent cx="5493074" cy="2106295"/>
            <wp:effectExtent l="0" t="0" r="6350" b="14605"/>
            <wp:docPr id="98" name="Chart 47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0"/>
              </a:graphicData>
            </a:graphic>
          </wp:inline>
        </w:drawing>
      </w:r>
    </w:p>
    <w:p w14:paraId="18A6EF7C" w14:textId="18F3AE85" w:rsidR="00403801" w:rsidRPr="006B42D6" w:rsidRDefault="00403801" w:rsidP="00BA275B">
      <w:pPr>
        <w:spacing w:line="276" w:lineRule="auto"/>
      </w:pPr>
    </w:p>
    <w:p w14:paraId="0663A106" w14:textId="3C0C2BDB" w:rsidR="00BA275B" w:rsidRPr="006B42D6" w:rsidRDefault="00DA1999" w:rsidP="00BA275B">
      <w:pPr>
        <w:spacing w:line="276" w:lineRule="auto"/>
        <w:rPr>
          <w:b/>
        </w:rPr>
      </w:pPr>
      <w:r w:rsidRPr="006B42D6">
        <w:rPr>
          <w:noProof/>
        </w:rPr>
        <mc:AlternateContent>
          <mc:Choice Requires="wps">
            <w:drawing>
              <wp:anchor distT="0" distB="0" distL="114300" distR="114300" simplePos="0" relativeHeight="251686912" behindDoc="1" locked="0" layoutInCell="1" allowOverlap="1" wp14:anchorId="4F84029A" wp14:editId="61604EC6">
                <wp:simplePos x="0" y="0"/>
                <wp:positionH relativeFrom="margin">
                  <wp:posOffset>2912434</wp:posOffset>
                </wp:positionH>
                <wp:positionV relativeFrom="paragraph">
                  <wp:posOffset>6985</wp:posOffset>
                </wp:positionV>
                <wp:extent cx="3167380" cy="495300"/>
                <wp:effectExtent l="0" t="0" r="0" b="0"/>
                <wp:wrapTight wrapText="bothSides">
                  <wp:wrapPolygon edited="0">
                    <wp:start x="0" y="0"/>
                    <wp:lineTo x="0" y="21046"/>
                    <wp:lineTo x="21479" y="21046"/>
                    <wp:lineTo x="21479" y="0"/>
                    <wp:lineTo x="0" y="0"/>
                  </wp:wrapPolygon>
                </wp:wrapTight>
                <wp:docPr id="484" name="Text Box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67380" cy="495300"/>
                        </a:xfrm>
                        <a:prstGeom prst="rect">
                          <a:avLst/>
                        </a:prstGeom>
                        <a:solidFill>
                          <a:prstClr val="white"/>
                        </a:solidFill>
                        <a:ln>
                          <a:noFill/>
                        </a:ln>
                      </wps:spPr>
                      <wps:txbx>
                        <w:txbxContent>
                          <w:p w14:paraId="15F81548" w14:textId="78E72ADB" w:rsidR="00933456" w:rsidRPr="005C4B7F" w:rsidRDefault="00933456" w:rsidP="005C4B7F">
                            <w:pPr>
                              <w:pStyle w:val="Caption"/>
                            </w:pPr>
                            <w:bookmarkStart w:id="361" w:name="_Toc80120245"/>
                            <w:bookmarkStart w:id="362" w:name="_Toc80884122"/>
                            <w:bookmarkStart w:id="363" w:name="_Toc80884493"/>
                            <w:bookmarkStart w:id="364" w:name="_Toc82386346"/>
                            <w:r w:rsidRPr="005C4B7F">
                              <w:t>Figure 3.69:</w:t>
                            </w:r>
                            <w:r>
                              <w:tab/>
                            </w:r>
                            <w:r w:rsidRPr="005C4B7F">
                              <w:t>Percentage Distribution of Households by Source of Farmyard Manure During 2019/20 Agricultural Year, Tanzania</w:t>
                            </w:r>
                            <w:bookmarkEnd w:id="361"/>
                            <w:bookmarkEnd w:id="362"/>
                            <w:bookmarkEnd w:id="363"/>
                            <w:bookmarkEnd w:id="36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84029A" id="Text Box 467" o:spid="_x0000_s1061" type="#_x0000_t202" style="position:absolute;left:0;text-align:left;margin-left:229.35pt;margin-top:.55pt;width:249.4pt;height:39pt;z-index:-251629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" stroked="f">
                <v:textbox inset="0,0,0,0">
                  <w:txbxContent>
                    <w:p w14:paraId="15F81548" w14:textId="78E72ADB" w:rsidR="00933456" w:rsidRPr="005C4B7F" w:rsidRDefault="00933456" w:rsidP="005C4B7F">
                      <w:pPr>
                        <w:pStyle w:val="Caption"/>
                      </w:pPr>
                      <w:bookmarkStart w:id="479" w:name="_Toc80120245"/>
                      <w:bookmarkStart w:id="480" w:name="_Toc80884122"/>
                      <w:bookmarkStart w:id="481" w:name="_Toc80884493"/>
                      <w:bookmarkStart w:id="482" w:name="_Toc82386346"/>
                      <w:r w:rsidRPr="005C4B7F">
                        <w:t>Figure 3.69:</w:t>
                      </w:r>
                      <w:r>
                        <w:tab/>
                      </w:r>
                      <w:r w:rsidRPr="005C4B7F">
                        <w:t>Percentage Distribution of Households by Source of Farmyard Manure During 2019/20 Agricultural Year, Tanzania</w:t>
                      </w:r>
                      <w:bookmarkEnd w:id="479"/>
                      <w:bookmarkEnd w:id="480"/>
                      <w:bookmarkEnd w:id="481"/>
                      <w:bookmarkEnd w:id="482"/>
                    </w:p>
                  </w:txbxContent>
                </v:textbox>
                <w10:wrap type="tight" anchorx="margin"/>
              </v:shape>
            </w:pict>
          </mc:Fallback>
        </mc:AlternateContent>
      </w:r>
    </w:p>
    <w:p w14:paraId="310FBB0F" w14:textId="2FF09836" w:rsidR="001C5B86" w:rsidRPr="006B42D6" w:rsidRDefault="001B26AC" w:rsidP="001C5B86">
      <w:r w:rsidRPr="006B42D6">
        <w:rPr>
          <w:noProof/>
        </w:rPr>
        <w:drawing>
          <wp:anchor distT="6096" distB="6604" distL="120396" distR="121666" simplePos="0" relativeHeight="251685888" behindDoc="1" locked="0" layoutInCell="1" allowOverlap="1" wp14:anchorId="56DA817C" wp14:editId="46BAF94A">
            <wp:simplePos x="0" y="0"/>
            <wp:positionH relativeFrom="margin">
              <wp:posOffset>2976315</wp:posOffset>
            </wp:positionH>
            <wp:positionV relativeFrom="paragraph">
              <wp:posOffset>348615</wp:posOffset>
            </wp:positionV>
            <wp:extent cx="2842895" cy="2075180"/>
            <wp:effectExtent l="0" t="0" r="14605" b="7620"/>
            <wp:wrapTight wrapText="bothSides">
              <wp:wrapPolygon edited="0">
                <wp:start x="0" y="0"/>
                <wp:lineTo x="0" y="21547"/>
                <wp:lineTo x="21614" y="21547"/>
                <wp:lineTo x="21614" y="0"/>
                <wp:lineTo x="0" y="0"/>
              </wp:wrapPolygon>
            </wp:wrapTight>
            <wp:docPr id="485" name="Chart 49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1"/>
              </a:graphicData>
            </a:graphic>
            <wp14:sizeRelH relativeFrom="page">
              <wp14:pctWidth>0</wp14:pctWidth>
            </wp14:sizeRelH>
            <wp14:sizeRelV relativeFrom="page">
              <wp14:pctHeight>0</wp14:pctHeight>
            </wp14:sizeRelV>
          </wp:anchor>
        </w:drawing>
      </w:r>
      <w:r w:rsidR="001C5B86" w:rsidRPr="006B42D6">
        <w:t>Farmyard manure as reported during 2019/20 agricultural year was mainly produced locally by households (847,914 households; 56.6 percent), followed by farmyard manure obtained from neighbors (415,867 households; 27.8 percent). A small number of households (17,147 households, 1.1 percent) obtained farm yard manure from other sources (Figure 3.6</w:t>
      </w:r>
      <w:r w:rsidR="00273161" w:rsidRPr="006B42D6">
        <w:t>9</w:t>
      </w:r>
      <w:r w:rsidR="001C5B86" w:rsidRPr="006B42D6">
        <w:t>).</w:t>
      </w:r>
    </w:p>
    <w:p w14:paraId="372509C5" w14:textId="119F2D24" w:rsidR="008756C0" w:rsidRDefault="008756C0">
      <w:pPr>
        <w:spacing w:line="240" w:lineRule="auto"/>
        <w:contextualSpacing w:val="0"/>
        <w:jc w:val="left"/>
        <w:rPr>
          <w:b/>
        </w:rPr>
      </w:pPr>
      <w:r>
        <w:rPr>
          <w:b/>
        </w:rPr>
        <w:br w:type="page"/>
      </w:r>
    </w:p>
    <w:p w14:paraId="22F492F3" w14:textId="33DCE437" w:rsidR="00BA275B" w:rsidRPr="006B42D6" w:rsidRDefault="00BA275B" w:rsidP="001C5B86">
      <w:pPr>
        <w:pStyle w:val="Heading3"/>
      </w:pPr>
      <w:bookmarkStart w:id="365" w:name="_Toc82385714"/>
      <w:r w:rsidRPr="006B42D6">
        <w:lastRenderedPageBreak/>
        <w:t>3.</w:t>
      </w:r>
      <w:r w:rsidR="00193728">
        <w:t>5</w:t>
      </w:r>
      <w:r w:rsidRPr="006B42D6">
        <w:t>.3</w:t>
      </w:r>
      <w:r w:rsidRPr="006B42D6">
        <w:tab/>
        <w:t xml:space="preserve">Inorganic </w:t>
      </w:r>
      <w:r w:rsidR="001C5B86" w:rsidRPr="006B42D6">
        <w:t>F</w:t>
      </w:r>
      <w:r w:rsidRPr="006B42D6">
        <w:t>ertilizer</w:t>
      </w:r>
      <w:bookmarkEnd w:id="365"/>
    </w:p>
    <w:p w14:paraId="04848618" w14:textId="69EA72C3" w:rsidR="00492082" w:rsidRPr="006B42D6" w:rsidRDefault="00BA275B" w:rsidP="00492082">
      <w:r w:rsidRPr="006B42D6">
        <w:rPr>
          <w:noProof/>
        </w:rPr>
        <w:t>Out of 1,727,796 households reported to use inorganic</w:t>
      </w:r>
      <w:r w:rsidRPr="006B42D6">
        <w:t xml:space="preserve"> fertilizer in Tanzania, </w:t>
      </w:r>
      <w:r w:rsidRPr="006B42D6">
        <w:rPr>
          <w:noProof/>
        </w:rPr>
        <w:t xml:space="preserve">1,685,682 households were found in </w:t>
      </w:r>
      <w:r w:rsidR="00EA1552">
        <w:rPr>
          <w:noProof/>
        </w:rPr>
        <w:t>Mainland Tanzania</w:t>
      </w:r>
      <w:r w:rsidRPr="006B42D6">
        <w:rPr>
          <w:noProof/>
        </w:rPr>
        <w:t xml:space="preserve"> and 42,114 households in Tanzania Zanzibar.</w:t>
      </w:r>
      <w:r w:rsidRPr="006B42D6">
        <w:t xml:space="preserve"> </w:t>
      </w:r>
      <w:r w:rsidR="00492082" w:rsidRPr="006B42D6">
        <w:t xml:space="preserve">In </w:t>
      </w:r>
      <w:r w:rsidR="00EA1552">
        <w:t>Mainland Tanzania</w:t>
      </w:r>
      <w:r w:rsidR="00492082" w:rsidRPr="006B42D6">
        <w:t>, Ruvuma region was leading with 15.2 percent of the crops growing households using inorganic fertilizers, followed by Mbeya (12.5 percent), and Kigoma (7.7 percent), whilst the least number of households reported to use inorganic fertilizer was in Simiyu region (0.3</w:t>
      </w:r>
      <w:r w:rsidR="008756C0">
        <w:t xml:space="preserve"> </w:t>
      </w:r>
      <w:r w:rsidR="00492082" w:rsidRPr="006B42D6">
        <w:t>percent). In Tanzania Zanzibar, the highest chemical fertilizer use was reported by households in Kusini Pemba (36.5 percent), followed by Mjini Magharibi (21.6 percent). The least number of households using inorganic fertilizer was in Kusini Unguja (6.4 percent) (Figures 3.</w:t>
      </w:r>
      <w:r w:rsidR="00273161" w:rsidRPr="006B42D6">
        <w:t>70</w:t>
      </w:r>
      <w:r w:rsidR="00492082" w:rsidRPr="006B42D6">
        <w:t xml:space="preserve"> &amp; 3.</w:t>
      </w:r>
      <w:r w:rsidR="00273161" w:rsidRPr="006B42D6">
        <w:t>71</w:t>
      </w:r>
      <w:r w:rsidR="00492082" w:rsidRPr="006B42D6">
        <w:t>).</w:t>
      </w:r>
    </w:p>
    <w:p w14:paraId="3E947B0E" w14:textId="79B1B075" w:rsidR="00492082" w:rsidRPr="006B42D6" w:rsidRDefault="00492082" w:rsidP="00BA275B">
      <w:pPr>
        <w:spacing w:line="276" w:lineRule="auto"/>
      </w:pPr>
    </w:p>
    <w:p w14:paraId="2431A416" w14:textId="22ED7B03" w:rsidR="00BA275B" w:rsidRPr="006B42D6" w:rsidRDefault="00BA275B" w:rsidP="005C4B7F">
      <w:pPr>
        <w:pStyle w:val="Caption"/>
      </w:pPr>
      <w:bookmarkStart w:id="366" w:name="_Toc82386347"/>
      <w:r w:rsidRPr="006B42D6">
        <w:t>Figure 3.</w:t>
      </w:r>
      <w:r w:rsidR="00273161" w:rsidRPr="006B42D6">
        <w:t>70</w:t>
      </w:r>
      <w:r w:rsidR="00EE1371">
        <w:t>:</w:t>
      </w:r>
      <w:r w:rsidR="00403801">
        <w:tab/>
      </w:r>
      <w:r w:rsidRPr="006B42D6">
        <w:t xml:space="preserve">Percentage of Households </w:t>
      </w:r>
      <w:r w:rsidR="008E55EB">
        <w:t>Using</w:t>
      </w:r>
      <w:r w:rsidRPr="006B42D6">
        <w:t xml:space="preserve"> Inorganic Fertilizer During 2019/20 Agricultural Year, </w:t>
      </w:r>
      <w:r w:rsidR="00EA1552">
        <w:t>Mainland Tanzania</w:t>
      </w:r>
      <w:bookmarkEnd w:id="366"/>
    </w:p>
    <w:p w14:paraId="41795EDB" w14:textId="225D81ED" w:rsidR="00BA275B" w:rsidRPr="006B42D6" w:rsidRDefault="005C4B7F" w:rsidP="00BA275B">
      <w:pPr>
        <w:rPr>
          <w:noProof/>
        </w:rPr>
      </w:pPr>
      <w:r w:rsidRPr="006B42D6">
        <w:rPr>
          <w:noProof/>
        </w:rPr>
        <w:drawing>
          <wp:inline distT="0" distB="0" distL="0" distR="0" wp14:anchorId="6B5D2F69" wp14:editId="0DFA734A">
            <wp:extent cx="5646420" cy="4678791"/>
            <wp:effectExtent l="0" t="0" r="17780" b="7620"/>
            <wp:docPr id="97" name="Chart 48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2"/>
              </a:graphicData>
            </a:graphic>
          </wp:inline>
        </w:drawing>
      </w:r>
    </w:p>
    <w:p w14:paraId="7BFCE937" w14:textId="7E973769" w:rsidR="00DA1999" w:rsidRDefault="00DA1999">
      <w:pPr>
        <w:spacing w:line="240" w:lineRule="auto"/>
        <w:contextualSpacing w:val="0"/>
        <w:jc w:val="left"/>
      </w:pPr>
      <w:r>
        <w:br w:type="page"/>
      </w:r>
    </w:p>
    <w:p w14:paraId="330D6F10" w14:textId="45D0AF14" w:rsidR="00BA275B" w:rsidRPr="006B42D6" w:rsidRDefault="00BA275B" w:rsidP="00850E7D">
      <w:pPr>
        <w:pStyle w:val="Caption"/>
        <w:ind w:left="1140" w:right="1814" w:hanging="1140"/>
      </w:pPr>
      <w:bookmarkStart w:id="367" w:name="_Toc82386348"/>
      <w:r w:rsidRPr="006B42D6">
        <w:lastRenderedPageBreak/>
        <w:t>Figure 3.</w:t>
      </w:r>
      <w:r w:rsidR="00273161" w:rsidRPr="006B42D6">
        <w:t>71</w:t>
      </w:r>
      <w:r w:rsidR="00EE1371">
        <w:t>:</w:t>
      </w:r>
      <w:r w:rsidR="00403801">
        <w:tab/>
      </w:r>
      <w:r w:rsidRPr="006B42D6">
        <w:t xml:space="preserve">Percentage of Households </w:t>
      </w:r>
      <w:r w:rsidR="008E55EB">
        <w:t>Using</w:t>
      </w:r>
      <w:r w:rsidRPr="006B42D6">
        <w:t xml:space="preserve"> Chemical Fertilizer During 2019/20 Agricultural Year, Tanzania Zanzibar</w:t>
      </w:r>
      <w:bookmarkEnd w:id="367"/>
    </w:p>
    <w:p w14:paraId="256A8B76" w14:textId="26093237" w:rsidR="00BA275B" w:rsidRPr="006B42D6" w:rsidRDefault="001B26AC" w:rsidP="00BA275B">
      <w:pPr>
        <w:spacing w:line="276" w:lineRule="auto"/>
      </w:pPr>
      <w:r w:rsidRPr="006B42D6">
        <w:rPr>
          <w:noProof/>
        </w:rPr>
        <w:drawing>
          <wp:inline distT="0" distB="0" distL="0" distR="0" wp14:anchorId="3251BF2C" wp14:editId="5C258478">
            <wp:extent cx="4742986" cy="2386965"/>
            <wp:effectExtent l="0" t="0" r="6985" b="13335"/>
            <wp:docPr id="96" name="Chart 48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3"/>
              </a:graphicData>
            </a:graphic>
          </wp:inline>
        </w:drawing>
      </w:r>
    </w:p>
    <w:p w14:paraId="47F735A8" w14:textId="77777777" w:rsidR="00DA1999" w:rsidRDefault="00DA1999" w:rsidP="00492082"/>
    <w:p w14:paraId="28FFFB24" w14:textId="78A73387" w:rsidR="00492082" w:rsidRPr="006B42D6" w:rsidRDefault="008E55EB" w:rsidP="00492082">
      <w:r w:rsidRPr="006B42D6">
        <w:rPr>
          <w:noProof/>
        </w:rPr>
        <w:drawing>
          <wp:anchor distT="6096" distB="7239" distL="120396" distR="119253" simplePos="0" relativeHeight="251687936" behindDoc="1" locked="0" layoutInCell="1" allowOverlap="1" wp14:anchorId="0F4A954F" wp14:editId="2657DE57">
            <wp:simplePos x="0" y="0"/>
            <wp:positionH relativeFrom="margin">
              <wp:posOffset>2656205</wp:posOffset>
            </wp:positionH>
            <wp:positionV relativeFrom="paragraph">
              <wp:posOffset>593090</wp:posOffset>
            </wp:positionV>
            <wp:extent cx="3280410" cy="2095500"/>
            <wp:effectExtent l="0" t="0" r="8890" b="12700"/>
            <wp:wrapTight wrapText="bothSides">
              <wp:wrapPolygon edited="0">
                <wp:start x="0" y="0"/>
                <wp:lineTo x="0" y="21600"/>
                <wp:lineTo x="21575" y="21600"/>
                <wp:lineTo x="21575" y="0"/>
                <wp:lineTo x="0" y="0"/>
              </wp:wrapPolygon>
            </wp:wrapTight>
            <wp:docPr id="174" name="Chart 50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4"/>
              </a:graphicData>
            </a:graphic>
            <wp14:sizeRelH relativeFrom="page">
              <wp14:pctWidth>0</wp14:pctWidth>
            </wp14:sizeRelH>
            <wp14:sizeRelV relativeFrom="page">
              <wp14:pctHeight>0</wp14:pctHeight>
            </wp14:sizeRelV>
          </wp:anchor>
        </w:drawing>
      </w:r>
      <w:r w:rsidRPr="006B42D6">
        <w:rPr>
          <w:noProof/>
        </w:rPr>
        <mc:AlternateContent>
          <mc:Choice Requires="wps">
            <w:drawing>
              <wp:anchor distT="0" distB="0" distL="114300" distR="114300" simplePos="0" relativeHeight="251688960" behindDoc="1" locked="0" layoutInCell="1" allowOverlap="1" wp14:anchorId="1636A519" wp14:editId="13F974EB">
                <wp:simplePos x="0" y="0"/>
                <wp:positionH relativeFrom="column">
                  <wp:posOffset>2656205</wp:posOffset>
                </wp:positionH>
                <wp:positionV relativeFrom="paragraph">
                  <wp:posOffset>12700</wp:posOffset>
                </wp:positionV>
                <wp:extent cx="3443605" cy="478790"/>
                <wp:effectExtent l="0" t="0" r="0" b="3810"/>
                <wp:wrapTight wrapText="bothSides">
                  <wp:wrapPolygon edited="0">
                    <wp:start x="0" y="0"/>
                    <wp:lineTo x="0" y="21199"/>
                    <wp:lineTo x="21508" y="21199"/>
                    <wp:lineTo x="21508" y="0"/>
                    <wp:lineTo x="0" y="0"/>
                  </wp:wrapPolygon>
                </wp:wrapTight>
                <wp:docPr id="483" name="Text Box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3605" cy="478790"/>
                        </a:xfrm>
                        <a:prstGeom prst="rect">
                          <a:avLst/>
                        </a:prstGeom>
                        <a:solidFill>
                          <a:prstClr val="white"/>
                        </a:solidFill>
                        <a:ln>
                          <a:noFill/>
                        </a:ln>
                      </wps:spPr>
                      <wps:txbx>
                        <w:txbxContent>
                          <w:p w14:paraId="3F684234" w14:textId="35F74357" w:rsidR="00933456" w:rsidRPr="005C4B7F" w:rsidRDefault="00933456" w:rsidP="00492082">
                            <w:pPr>
                              <w:pStyle w:val="Caption"/>
                              <w:rPr>
                                <w:b w:val="0"/>
                                <w:i/>
                                <w:noProof/>
                              </w:rPr>
                            </w:pPr>
                            <w:bookmarkStart w:id="368" w:name="_Toc80120248"/>
                            <w:bookmarkStart w:id="369" w:name="_Toc80884125"/>
                            <w:bookmarkStart w:id="370" w:name="_Toc80884496"/>
                            <w:bookmarkStart w:id="371" w:name="_Toc82386349"/>
                            <w:r w:rsidRPr="005C4B7F">
                              <w:t>Figure 3.72:</w:t>
                            </w:r>
                            <w:r>
                              <w:tab/>
                            </w:r>
                            <w:r w:rsidRPr="005C4B7F">
                              <w:t>Percentage Distribution of Households by Source of Inorganiac Fertilizer During Agricultural Year 2019/20, Tanzania</w:t>
                            </w:r>
                            <w:bookmarkEnd w:id="368"/>
                            <w:bookmarkEnd w:id="369"/>
                            <w:bookmarkEnd w:id="370"/>
                            <w:bookmarkEnd w:id="37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36A519" id="Text Box 468" o:spid="_x0000_s1062" type="#_x0000_t202" style="position:absolute;left:0;text-align:left;margin-left:209.15pt;margin-top:1pt;width:271.15pt;height:37.7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" stroked="f">
                <v:textbox inset="0,0,0,0">
                  <w:txbxContent>
                    <w:p w14:paraId="3F684234" w14:textId="35F74357" w:rsidR="00933456" w:rsidRPr="005C4B7F" w:rsidRDefault="00933456" w:rsidP="00492082">
                      <w:pPr>
                        <w:pStyle w:val="Caption"/>
                        <w:rPr>
                          <w:b w:val="0"/>
                          <w:i/>
                          <w:noProof/>
                        </w:rPr>
                      </w:pPr>
                      <w:bookmarkStart w:id="490" w:name="_Toc80120248"/>
                      <w:bookmarkStart w:id="491" w:name="_Toc80884125"/>
                      <w:bookmarkStart w:id="492" w:name="_Toc80884496"/>
                      <w:bookmarkStart w:id="493" w:name="_Toc82386349"/>
                      <w:r w:rsidRPr="005C4B7F">
                        <w:t>Figure 3.72:</w:t>
                      </w:r>
                      <w:r>
                        <w:tab/>
                      </w:r>
                      <w:r w:rsidRPr="005C4B7F">
                        <w:t>Percentage Distribution of Households by Source of Inorganiac Fertilizer During Agricultural Year 2019/20, Tanzania</w:t>
                      </w:r>
                      <w:bookmarkEnd w:id="490"/>
                      <w:bookmarkEnd w:id="491"/>
                      <w:bookmarkEnd w:id="492"/>
                      <w:bookmarkEnd w:id="493"/>
                    </w:p>
                  </w:txbxContent>
                </v:textbox>
                <w10:wrap type="tight"/>
              </v:shape>
            </w:pict>
          </mc:Fallback>
        </mc:AlternateContent>
      </w:r>
      <w:r w:rsidR="00492082" w:rsidRPr="006B42D6">
        <w:t xml:space="preserve">Inorganic fertilizer used by smallholder farmers was mostly purchased from local market/trade store (1,540,804, 89.2 percent), followed by Government (46,993, 2.7 percent), and Cooperatives (32,268; 1.9 percent). </w:t>
      </w:r>
      <w:r w:rsidR="009D4253" w:rsidRPr="006B42D6">
        <w:t xml:space="preserve">Fewer households reported to use other sources such as large scale farms </w:t>
      </w:r>
      <w:r w:rsidRPr="006B42D6">
        <w:t xml:space="preserve">(0.4 percent) </w:t>
      </w:r>
      <w:r w:rsidR="009D4253" w:rsidRPr="006B42D6">
        <w:t xml:space="preserve">and locally produced by </w:t>
      </w:r>
      <w:r>
        <w:t>h</w:t>
      </w:r>
      <w:r w:rsidR="009D4253" w:rsidRPr="006B42D6">
        <w:t xml:space="preserve">ousehold (0.4 percent) </w:t>
      </w:r>
      <w:r w:rsidR="00492082" w:rsidRPr="006B42D6">
        <w:t>(Figure 3.</w:t>
      </w:r>
      <w:r w:rsidR="00273161" w:rsidRPr="006B42D6">
        <w:t>72</w:t>
      </w:r>
      <w:r w:rsidR="00492082" w:rsidRPr="006B42D6">
        <w:t>).</w:t>
      </w:r>
    </w:p>
    <w:p w14:paraId="613E9EF3" w14:textId="3A64BF06" w:rsidR="00492082" w:rsidRPr="006B42D6" w:rsidRDefault="00492082" w:rsidP="00BA275B"/>
    <w:p w14:paraId="37F8477E" w14:textId="2B569F9C" w:rsidR="00BA275B" w:rsidRPr="006B42D6" w:rsidRDefault="00BA275B" w:rsidP="00BA275B">
      <w:pPr>
        <w:rPr>
          <w:strike/>
        </w:rPr>
      </w:pPr>
      <w:r w:rsidRPr="006B42D6">
        <w:t xml:space="preserve">A total number of </w:t>
      </w:r>
      <w:r w:rsidR="009D4253" w:rsidRPr="006B42D6">
        <w:t>917</w:t>
      </w:r>
      <w:r w:rsidRPr="006B42D6">
        <w:t>,</w:t>
      </w:r>
      <w:r w:rsidR="009D4253" w:rsidRPr="006B42D6">
        <w:t>5</w:t>
      </w:r>
      <w:r w:rsidRPr="006B42D6">
        <w:t>7</w:t>
      </w:r>
      <w:r w:rsidR="009D4253" w:rsidRPr="006B42D6">
        <w:t>8</w:t>
      </w:r>
      <w:r w:rsidRPr="006B42D6">
        <w:t xml:space="preserve"> agricultural households in Tanzania (53.</w:t>
      </w:r>
      <w:r w:rsidR="00596627" w:rsidRPr="006B42D6">
        <w:t>1</w:t>
      </w:r>
      <w:r w:rsidRPr="006B42D6">
        <w:t xml:space="preserve"> percent) accessed inorganic fertilizers within a distance of 3 kilometers from their homestead</w:t>
      </w:r>
      <w:r w:rsidR="009D4253" w:rsidRPr="006B42D6">
        <w:t>,</w:t>
      </w:r>
      <w:r w:rsidRPr="006B42D6">
        <w:t xml:space="preserve"> whilst </w:t>
      </w:r>
      <w:r w:rsidR="009D4253" w:rsidRPr="006B42D6">
        <w:t>322,321 households (</w:t>
      </w:r>
      <w:r w:rsidRPr="006B42D6">
        <w:t>18.7 percent</w:t>
      </w:r>
      <w:r w:rsidR="009D4253" w:rsidRPr="006B42D6">
        <w:t xml:space="preserve">) </w:t>
      </w:r>
      <w:r w:rsidRPr="006B42D6">
        <w:t>accessed inorganic fertilizer within a distance of 3 to 10 kilometers (Figure 3.</w:t>
      </w:r>
      <w:r w:rsidR="00273161" w:rsidRPr="006B42D6">
        <w:t>73</w:t>
      </w:r>
      <w:r w:rsidRPr="006B42D6">
        <w:t>).</w:t>
      </w:r>
    </w:p>
    <w:p w14:paraId="4ADB7D65" w14:textId="71D24E29" w:rsidR="00DA1999" w:rsidRDefault="00DA1999">
      <w:pPr>
        <w:spacing w:line="240" w:lineRule="auto"/>
        <w:contextualSpacing w:val="0"/>
        <w:jc w:val="left"/>
      </w:pPr>
      <w:r>
        <w:br w:type="page"/>
      </w:r>
    </w:p>
    <w:p w14:paraId="6166769D" w14:textId="20673CBA" w:rsidR="00BA275B" w:rsidRPr="006B42D6" w:rsidRDefault="00EE1371" w:rsidP="005C4B7F">
      <w:pPr>
        <w:pStyle w:val="Caption"/>
      </w:pPr>
      <w:bookmarkStart w:id="372" w:name="_Toc82386350"/>
      <w:r>
        <w:lastRenderedPageBreak/>
        <w:t>Figure</w:t>
      </w:r>
      <w:r w:rsidR="00BA275B" w:rsidRPr="006B42D6">
        <w:t xml:space="preserve"> 3.</w:t>
      </w:r>
      <w:r w:rsidR="00273161" w:rsidRPr="006B42D6">
        <w:t>73</w:t>
      </w:r>
      <w:r>
        <w:t>:</w:t>
      </w:r>
      <w:r w:rsidR="00403801">
        <w:tab/>
      </w:r>
      <w:r w:rsidR="00BA275B" w:rsidRPr="006B42D6">
        <w:t xml:space="preserve">Percentage of Agricultural Households Reporting Distance to </w:t>
      </w:r>
      <w:r w:rsidR="00AD1BA3">
        <w:t xml:space="preserve">Source of </w:t>
      </w:r>
      <w:r w:rsidR="00BA275B" w:rsidRPr="006B42D6">
        <w:t xml:space="preserve">Chemical Fertilizer </w:t>
      </w:r>
      <w:r w:rsidR="00C229F8" w:rsidRPr="006B42D6">
        <w:t>D</w:t>
      </w:r>
      <w:r w:rsidR="00BA275B" w:rsidRPr="006B42D6">
        <w:t>uring 2019/20 Agricultural Year, Tanzania</w:t>
      </w:r>
      <w:bookmarkEnd w:id="372"/>
      <w:r w:rsidR="00BA275B" w:rsidRPr="006B42D6">
        <w:t xml:space="preserve"> </w:t>
      </w:r>
    </w:p>
    <w:p w14:paraId="075DFBBB" w14:textId="57F41758" w:rsidR="00BA275B" w:rsidRPr="006B42D6" w:rsidRDefault="001B26AC" w:rsidP="00BA275B">
      <w:pPr>
        <w:spacing w:line="276" w:lineRule="auto"/>
      </w:pPr>
      <w:r w:rsidRPr="006B42D6">
        <w:rPr>
          <w:noProof/>
        </w:rPr>
        <w:drawing>
          <wp:inline distT="0" distB="0" distL="0" distR="0" wp14:anchorId="64A316AC" wp14:editId="64070F85">
            <wp:extent cx="5675586" cy="2937510"/>
            <wp:effectExtent l="0" t="0" r="14605" b="8890"/>
            <wp:docPr id="95" name="Chart 3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5"/>
              </a:graphicData>
            </a:graphic>
          </wp:inline>
        </w:drawing>
      </w:r>
    </w:p>
    <w:p w14:paraId="5609ED3D" w14:textId="77777777" w:rsidR="0013569B" w:rsidRDefault="0013569B" w:rsidP="00EE1371"/>
    <w:p w14:paraId="3B8EE57D" w14:textId="55A6C8BF" w:rsidR="00BA275B" w:rsidRPr="006B42D6" w:rsidRDefault="00BA275B" w:rsidP="005C4B7F">
      <w:pPr>
        <w:pStyle w:val="Heading3"/>
      </w:pPr>
      <w:bookmarkStart w:id="373" w:name="_Toc82385715"/>
      <w:r w:rsidRPr="006B42D6">
        <w:t>3.</w:t>
      </w:r>
      <w:r w:rsidR="00193728">
        <w:t>5</w:t>
      </w:r>
      <w:r w:rsidRPr="006B42D6">
        <w:t>.4</w:t>
      </w:r>
      <w:r w:rsidRPr="006B42D6">
        <w:tab/>
        <w:t xml:space="preserve">Improved </w:t>
      </w:r>
      <w:r w:rsidR="004B5E70">
        <w:t>S</w:t>
      </w:r>
      <w:r w:rsidRPr="006B42D6">
        <w:t>eeds</w:t>
      </w:r>
      <w:bookmarkEnd w:id="373"/>
    </w:p>
    <w:p w14:paraId="4C797BBB" w14:textId="1160C005" w:rsidR="00596627" w:rsidRPr="006B42D6" w:rsidRDefault="00BA275B" w:rsidP="00BA275B">
      <w:r w:rsidRPr="006B42D6">
        <w:t xml:space="preserve">The 2019/20 NSCA findings show that, a total number of 2,863,470 crop growing households reported using improved seeds in </w:t>
      </w:r>
      <w:r w:rsidR="00596627" w:rsidRPr="006B42D6">
        <w:t xml:space="preserve">Tanzania, equivalent to 37.3 percent of the total number of crops growing households. Of the total households using improved seeds, </w:t>
      </w:r>
      <w:r w:rsidRPr="006B42D6">
        <w:t xml:space="preserve">2,775,767 households were in </w:t>
      </w:r>
      <w:r w:rsidR="00EA1552">
        <w:t>Mainland Tanzania</w:t>
      </w:r>
      <w:r w:rsidRPr="006B42D6">
        <w:t xml:space="preserve"> and 87,703 in Tanzania Zanzibar. </w:t>
      </w:r>
    </w:p>
    <w:p w14:paraId="08290C4E" w14:textId="77777777" w:rsidR="00596627" w:rsidRPr="006B42D6" w:rsidRDefault="00596627" w:rsidP="00DA1999">
      <w:pPr>
        <w:spacing w:line="240" w:lineRule="auto"/>
      </w:pPr>
    </w:p>
    <w:p w14:paraId="48761CB0" w14:textId="0A8887F3" w:rsidR="00596627" w:rsidRPr="006B42D6" w:rsidRDefault="00596627" w:rsidP="00596627">
      <w:r w:rsidRPr="006B42D6">
        <w:t>T</w:t>
      </w:r>
      <w:r w:rsidR="0013569B">
        <w:t>abora</w:t>
      </w:r>
      <w:r w:rsidRPr="006B42D6">
        <w:t xml:space="preserve"> region reported the largest number of households </w:t>
      </w:r>
      <w:r w:rsidR="00AD1BA3">
        <w:t>using</w:t>
      </w:r>
      <w:r w:rsidRPr="006B42D6">
        <w:t xml:space="preserve"> improved seeds in </w:t>
      </w:r>
      <w:r w:rsidR="00EA1552">
        <w:t>Mainland Tanzania</w:t>
      </w:r>
      <w:r w:rsidRPr="006B42D6">
        <w:t xml:space="preserve"> (190,331; 6.9 percent), followed by Kilimanjaro (184,369; 6.6 percent) and Mbeya (179,914; 6.5 percent), whereas the region with the least number of households was Katavi (31,780; 1.1 percent)</w:t>
      </w:r>
      <w:r w:rsidR="004622F0" w:rsidRPr="006B42D6">
        <w:t>.</w:t>
      </w:r>
      <w:r w:rsidRPr="006B42D6">
        <w:t xml:space="preserve"> For the case of Tanzania Zanzibar, Mjini Magharibi was leading with 25,836 households (29.5 percent of households using improved seeds), followed by Kusini Pemba (21,764 households; 24.8 percent)</w:t>
      </w:r>
      <w:r w:rsidR="00C229F8" w:rsidRPr="006B42D6">
        <w:t>.</w:t>
      </w:r>
      <w:r w:rsidRPr="006B42D6">
        <w:t xml:space="preserve"> </w:t>
      </w:r>
      <w:r w:rsidR="00C229F8" w:rsidRPr="006B42D6">
        <w:t>The region with the</w:t>
      </w:r>
      <w:r w:rsidRPr="006B42D6">
        <w:t xml:space="preserve"> least number of agricultural households using improved seeds was Kusini Unguja (7,698; 8.8 percent) </w:t>
      </w:r>
      <w:r w:rsidR="004622F0" w:rsidRPr="006B42D6">
        <w:t>(Figures 3.</w:t>
      </w:r>
      <w:r w:rsidR="00273161" w:rsidRPr="006B42D6">
        <w:t>74</w:t>
      </w:r>
      <w:r w:rsidR="004622F0" w:rsidRPr="006B42D6">
        <w:t xml:space="preserve"> &amp; </w:t>
      </w:r>
      <w:r w:rsidRPr="006B42D6">
        <w:t>3.7</w:t>
      </w:r>
      <w:r w:rsidR="00273161" w:rsidRPr="006B42D6">
        <w:t>5</w:t>
      </w:r>
      <w:r w:rsidRPr="006B42D6">
        <w:t>).</w:t>
      </w:r>
    </w:p>
    <w:p w14:paraId="06CF6B96" w14:textId="1C7A5CEF" w:rsidR="00DA1999" w:rsidRDefault="00DA1999">
      <w:pPr>
        <w:spacing w:line="240" w:lineRule="auto"/>
        <w:contextualSpacing w:val="0"/>
        <w:jc w:val="left"/>
      </w:pPr>
      <w:r>
        <w:br w:type="page"/>
      </w:r>
    </w:p>
    <w:p w14:paraId="68ACDCA4" w14:textId="2EF8B442" w:rsidR="00BA275B" w:rsidRPr="006B42D6" w:rsidRDefault="00BA275B" w:rsidP="005C4B7F">
      <w:pPr>
        <w:pStyle w:val="Caption"/>
      </w:pPr>
      <w:bookmarkStart w:id="374" w:name="_Toc82386351"/>
      <w:r w:rsidRPr="006B42D6">
        <w:lastRenderedPageBreak/>
        <w:t>Figure 3.</w:t>
      </w:r>
      <w:r w:rsidR="00273161" w:rsidRPr="006B42D6">
        <w:t>74</w:t>
      </w:r>
      <w:r w:rsidR="00EE1371">
        <w:t>:</w:t>
      </w:r>
      <w:r w:rsidR="00403801">
        <w:tab/>
      </w:r>
      <w:r w:rsidRPr="006B42D6">
        <w:t xml:space="preserve">Percentage of Households </w:t>
      </w:r>
      <w:r w:rsidR="00AD1BA3">
        <w:t>Using</w:t>
      </w:r>
      <w:r w:rsidRPr="006B42D6">
        <w:t xml:space="preserve"> Improved Seeds During 2019/20 Agricultural Year, </w:t>
      </w:r>
      <w:r w:rsidR="00EA1552">
        <w:t>Mainland Tanzania</w:t>
      </w:r>
      <w:bookmarkEnd w:id="374"/>
    </w:p>
    <w:p w14:paraId="4A9964E1" w14:textId="77B17F94" w:rsidR="00BA275B" w:rsidRPr="006B42D6" w:rsidRDefault="001B26AC" w:rsidP="00BA275B">
      <w:pPr>
        <w:spacing w:line="276" w:lineRule="auto"/>
      </w:pPr>
      <w:r w:rsidRPr="006B42D6">
        <w:rPr>
          <w:noProof/>
        </w:rPr>
        <w:drawing>
          <wp:inline distT="0" distB="0" distL="0" distR="0" wp14:anchorId="427FD7F8" wp14:editId="7DEB4B56">
            <wp:extent cx="5453028" cy="2369185"/>
            <wp:effectExtent l="0" t="0" r="8255" b="18415"/>
            <wp:docPr id="94" name="Chart 4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6"/>
              </a:graphicData>
            </a:graphic>
          </wp:inline>
        </w:drawing>
      </w:r>
    </w:p>
    <w:p w14:paraId="5D8EF4A5" w14:textId="77777777" w:rsidR="0013569B" w:rsidRPr="00DA1999" w:rsidRDefault="0013569B" w:rsidP="00DA1999">
      <w:pPr>
        <w:pStyle w:val="Caption"/>
        <w:ind w:left="0" w:firstLine="0"/>
        <w:rPr>
          <w:sz w:val="24"/>
          <w:szCs w:val="24"/>
        </w:rPr>
      </w:pPr>
    </w:p>
    <w:p w14:paraId="1E632188" w14:textId="65A8D006" w:rsidR="00BA275B" w:rsidRPr="006B42D6" w:rsidRDefault="00BA275B" w:rsidP="00063A9B">
      <w:pPr>
        <w:pStyle w:val="Caption"/>
        <w:ind w:left="1140" w:right="397" w:hanging="1140"/>
      </w:pPr>
      <w:bookmarkStart w:id="375" w:name="_Toc82386352"/>
      <w:r w:rsidRPr="006B42D6">
        <w:t>Figure 3.7</w:t>
      </w:r>
      <w:r w:rsidR="00273161" w:rsidRPr="006B42D6">
        <w:t>5</w:t>
      </w:r>
      <w:r w:rsidR="006A62FF">
        <w:t>:</w:t>
      </w:r>
      <w:r w:rsidR="00403801">
        <w:tab/>
      </w:r>
      <w:r w:rsidRPr="006B42D6">
        <w:t xml:space="preserve">Percentage of Households Reporting Source of Improved Seeds During 2019/20 Agricultural Year, </w:t>
      </w:r>
      <w:r w:rsidR="00DA1999">
        <w:t xml:space="preserve">Tanzania </w:t>
      </w:r>
      <w:r w:rsidRPr="006B42D6">
        <w:t>Zanzibar</w:t>
      </w:r>
      <w:bookmarkEnd w:id="375"/>
    </w:p>
    <w:p w14:paraId="5C0A2BBB" w14:textId="58CAF54C" w:rsidR="00BA275B" w:rsidRPr="006B42D6" w:rsidRDefault="001B26AC" w:rsidP="00BA275B">
      <w:pPr>
        <w:spacing w:line="276" w:lineRule="auto"/>
      </w:pPr>
      <w:r w:rsidRPr="006B42D6">
        <w:rPr>
          <w:noProof/>
        </w:rPr>
        <w:drawing>
          <wp:inline distT="0" distB="0" distL="0" distR="0" wp14:anchorId="404AB892" wp14:editId="46B62345">
            <wp:extent cx="5486400" cy="2329180"/>
            <wp:effectExtent l="0" t="0" r="12700" b="7620"/>
            <wp:docPr id="93" name="Chart 48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7"/>
              </a:graphicData>
            </a:graphic>
          </wp:inline>
        </w:drawing>
      </w:r>
    </w:p>
    <w:p w14:paraId="0D3C9029" w14:textId="00CA1699" w:rsidR="00BA275B" w:rsidRPr="006B42D6" w:rsidRDefault="00063A9B" w:rsidP="00BA275B">
      <w:pPr>
        <w:spacing w:line="276" w:lineRule="auto"/>
      </w:pPr>
      <w:r w:rsidRPr="006B42D6">
        <w:rPr>
          <w:noProof/>
        </w:rPr>
        <mc:AlternateContent>
          <mc:Choice Requires="wps">
            <w:drawing>
              <wp:anchor distT="0" distB="0" distL="114300" distR="114300" simplePos="0" relativeHeight="251691008" behindDoc="1" locked="0" layoutInCell="1" allowOverlap="1" wp14:anchorId="1730BE62" wp14:editId="5473DFD0">
                <wp:simplePos x="0" y="0"/>
                <wp:positionH relativeFrom="margin">
                  <wp:posOffset>2496074</wp:posOffset>
                </wp:positionH>
                <wp:positionV relativeFrom="paragraph">
                  <wp:posOffset>164465</wp:posOffset>
                </wp:positionV>
                <wp:extent cx="3389630" cy="490220"/>
                <wp:effectExtent l="0" t="0" r="1270" b="5080"/>
                <wp:wrapTight wrapText="bothSides">
                  <wp:wrapPolygon edited="0">
                    <wp:start x="0" y="0"/>
                    <wp:lineTo x="0" y="21264"/>
                    <wp:lineTo x="21527" y="21264"/>
                    <wp:lineTo x="21527" y="0"/>
                    <wp:lineTo x="0" y="0"/>
                  </wp:wrapPolygon>
                </wp:wrapTight>
                <wp:docPr id="482" name="Text 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89630" cy="490220"/>
                        </a:xfrm>
                        <a:prstGeom prst="rect">
                          <a:avLst/>
                        </a:prstGeom>
                        <a:solidFill>
                          <a:prstClr val="white"/>
                        </a:solidFill>
                        <a:ln>
                          <a:noFill/>
                        </a:ln>
                      </wps:spPr>
                      <wps:txbx>
                        <w:txbxContent>
                          <w:p w14:paraId="3295ECC6" w14:textId="4EB07FDD" w:rsidR="00933456" w:rsidRPr="005C4B7F" w:rsidRDefault="00933456" w:rsidP="005C4B7F">
                            <w:pPr>
                              <w:pStyle w:val="Caption"/>
                            </w:pPr>
                            <w:bookmarkStart w:id="376" w:name="_Toc80120252"/>
                            <w:bookmarkStart w:id="377" w:name="_Toc80884129"/>
                            <w:bookmarkStart w:id="378" w:name="_Toc80884500"/>
                            <w:bookmarkStart w:id="379" w:name="_Toc82386353"/>
                            <w:r w:rsidRPr="005C4B7F">
                              <w:t>Figure 3.76:</w:t>
                            </w:r>
                            <w:bookmarkStart w:id="380" w:name="OLE_LINK1"/>
                            <w:r>
                              <w:tab/>
                            </w:r>
                            <w:r w:rsidRPr="005C4B7F">
                              <w:t>Percentage Distribution of Households by Source of Improved Seeds</w:t>
                            </w:r>
                            <w:bookmarkEnd w:id="380"/>
                            <w:r w:rsidRPr="005C4B7F">
                              <w:t xml:space="preserve"> During 2019/20 Agricultural Year, Tanzania</w:t>
                            </w:r>
                            <w:bookmarkEnd w:id="376"/>
                            <w:bookmarkEnd w:id="377"/>
                            <w:bookmarkEnd w:id="378"/>
                            <w:bookmarkEnd w:id="37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30BE62" id="Text Box 469" o:spid="_x0000_s1063" type="#_x0000_t202" style="position:absolute;left:0;text-align:left;margin-left:196.55pt;margin-top:12.95pt;width:266.9pt;height:38.6pt;z-index:-251625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" stroked="f">
                <v:textbox inset="0,0,0,0">
                  <w:txbxContent>
                    <w:p w14:paraId="3295ECC6" w14:textId="4EB07FDD" w:rsidR="00933456" w:rsidRPr="005C4B7F" w:rsidRDefault="00933456" w:rsidP="005C4B7F">
                      <w:pPr>
                        <w:pStyle w:val="Caption"/>
                      </w:pPr>
                      <w:bookmarkStart w:id="503" w:name="_Toc80120252"/>
                      <w:bookmarkStart w:id="504" w:name="_Toc80884129"/>
                      <w:bookmarkStart w:id="505" w:name="_Toc80884500"/>
                      <w:bookmarkStart w:id="506" w:name="_Toc82386353"/>
                      <w:r w:rsidRPr="005C4B7F">
                        <w:t>Figure 3.76:</w:t>
                      </w:r>
                      <w:bookmarkStart w:id="507" w:name="OLE_LINK1"/>
                      <w:r>
                        <w:tab/>
                      </w:r>
                      <w:r w:rsidRPr="005C4B7F">
                        <w:t>Percentage Distribution of Households by Source of Improved Seeds</w:t>
                      </w:r>
                      <w:bookmarkEnd w:id="507"/>
                      <w:r w:rsidRPr="005C4B7F">
                        <w:t xml:space="preserve"> During 2019/20 Agricultural Year, Tanzania</w:t>
                      </w:r>
                      <w:bookmarkEnd w:id="503"/>
                      <w:bookmarkEnd w:id="504"/>
                      <w:bookmarkEnd w:id="505"/>
                      <w:bookmarkEnd w:id="506"/>
                    </w:p>
                  </w:txbxContent>
                </v:textbox>
                <w10:wrap type="tight" anchorx="margin"/>
              </v:shape>
            </w:pict>
          </mc:Fallback>
        </mc:AlternateContent>
      </w:r>
    </w:p>
    <w:p w14:paraId="7F46F758" w14:textId="608BEB65" w:rsidR="00063A9B" w:rsidRDefault="00850E7D" w:rsidP="00063A9B">
      <w:r w:rsidRPr="006B42D6">
        <w:rPr>
          <w:noProof/>
        </w:rPr>
        <w:drawing>
          <wp:anchor distT="6096" distB="7747" distL="120396" distR="121412" simplePos="0" relativeHeight="251689984" behindDoc="1" locked="0" layoutInCell="1" allowOverlap="1" wp14:anchorId="0B616942" wp14:editId="7C5E0EEB">
            <wp:simplePos x="0" y="0"/>
            <wp:positionH relativeFrom="margin">
              <wp:posOffset>2496185</wp:posOffset>
            </wp:positionH>
            <wp:positionV relativeFrom="paragraph">
              <wp:posOffset>494030</wp:posOffset>
            </wp:positionV>
            <wp:extent cx="3049905" cy="2055495"/>
            <wp:effectExtent l="0" t="0" r="10795" b="14605"/>
            <wp:wrapTight wrapText="bothSides">
              <wp:wrapPolygon edited="0">
                <wp:start x="0" y="0"/>
                <wp:lineTo x="0" y="21620"/>
                <wp:lineTo x="21587" y="21620"/>
                <wp:lineTo x="21587" y="0"/>
                <wp:lineTo x="0" y="0"/>
              </wp:wrapPolygon>
            </wp:wrapTight>
            <wp:docPr id="172" name="Chart 5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8"/>
              </a:graphicData>
            </a:graphic>
            <wp14:sizeRelH relativeFrom="page">
              <wp14:pctWidth>0</wp14:pctWidth>
            </wp14:sizeRelH>
            <wp14:sizeRelV relativeFrom="page">
              <wp14:pctHeight>0</wp14:pctHeight>
            </wp14:sizeRelV>
          </wp:anchor>
        </w:drawing>
      </w:r>
      <w:r w:rsidR="004622F0" w:rsidRPr="006B42D6">
        <w:t>Most of the households obtained improved seeds from Local market/Trade store (2,059,903; 71.9 percent). Other sources of improved seeds were Neighbour</w:t>
      </w:r>
      <w:r w:rsidR="003D3715" w:rsidRPr="006B42D6">
        <w:t xml:space="preserve"> (55,462 households; 2.6 percent) and</w:t>
      </w:r>
      <w:r w:rsidR="004622F0" w:rsidRPr="006B42D6">
        <w:t xml:space="preserve"> </w:t>
      </w:r>
      <w:r w:rsidR="003D3715" w:rsidRPr="006B42D6">
        <w:t>G</w:t>
      </w:r>
      <w:r w:rsidR="004622F0" w:rsidRPr="006B42D6">
        <w:t>overnment (4.6 percent), followed by locally produced by the households (3.6 percent) and cooperatives (2.8 percent) (Figure 3.</w:t>
      </w:r>
      <w:r w:rsidR="00273161" w:rsidRPr="006B42D6">
        <w:t>76</w:t>
      </w:r>
      <w:r w:rsidR="004622F0" w:rsidRPr="006B42D6">
        <w:t xml:space="preserve">). </w:t>
      </w:r>
      <w:r w:rsidR="00063A9B">
        <w:br w:type="page"/>
      </w:r>
    </w:p>
    <w:p w14:paraId="67732599" w14:textId="4DF22942" w:rsidR="00BA275B" w:rsidRPr="006B42D6" w:rsidRDefault="00BA275B" w:rsidP="00BA275B">
      <w:r w:rsidRPr="006B42D6">
        <w:lastRenderedPageBreak/>
        <w:t xml:space="preserve">A total number of </w:t>
      </w:r>
      <w:r w:rsidR="004622F0" w:rsidRPr="006B42D6">
        <w:t>1,415</w:t>
      </w:r>
      <w:r w:rsidRPr="006B42D6">
        <w:t>,</w:t>
      </w:r>
      <w:r w:rsidR="004622F0" w:rsidRPr="006B42D6">
        <w:t>401</w:t>
      </w:r>
      <w:r w:rsidRPr="006B42D6">
        <w:t xml:space="preserve"> households in Tanzania (49.4 percent of total crop farming households</w:t>
      </w:r>
      <w:r w:rsidR="004622F0" w:rsidRPr="006B42D6">
        <w:t xml:space="preserve"> reported to use improved seeds</w:t>
      </w:r>
      <w:r w:rsidRPr="006B42D6">
        <w:t>) accessed improved seeds within a distance of 3 kilometers from their homestead</w:t>
      </w:r>
      <w:r w:rsidR="004622F0" w:rsidRPr="006B42D6">
        <w:t>,</w:t>
      </w:r>
      <w:r w:rsidRPr="006B42D6">
        <w:t xml:space="preserve"> whilst </w:t>
      </w:r>
      <w:r w:rsidR="004622F0" w:rsidRPr="006B42D6">
        <w:t>641,182 households (</w:t>
      </w:r>
      <w:r w:rsidRPr="006B42D6">
        <w:t>22.4 percent</w:t>
      </w:r>
      <w:r w:rsidR="004622F0" w:rsidRPr="006B42D6">
        <w:t>)</w:t>
      </w:r>
      <w:r w:rsidRPr="006B42D6">
        <w:t xml:space="preserve"> accessed the same within a distance of 3 to 10 kilometers (Figure 3.7</w:t>
      </w:r>
      <w:r w:rsidR="00273161" w:rsidRPr="006B42D6">
        <w:t>7</w:t>
      </w:r>
      <w:r w:rsidRPr="006B42D6">
        <w:t xml:space="preserve">). </w:t>
      </w:r>
    </w:p>
    <w:p w14:paraId="18C68E82" w14:textId="77777777" w:rsidR="0013569B" w:rsidRPr="0013569B" w:rsidRDefault="0013569B" w:rsidP="00EE1371"/>
    <w:p w14:paraId="1DC11483" w14:textId="396B99C0" w:rsidR="00BA275B" w:rsidRPr="006B42D6" w:rsidRDefault="006A62FF" w:rsidP="005C4B7F">
      <w:pPr>
        <w:pStyle w:val="Caption"/>
      </w:pPr>
      <w:bookmarkStart w:id="381" w:name="_Toc82386354"/>
      <w:r>
        <w:t>Figure</w:t>
      </w:r>
      <w:r w:rsidR="00BA275B" w:rsidRPr="006B42D6">
        <w:t xml:space="preserve"> 3.</w:t>
      </w:r>
      <w:r w:rsidR="00273161" w:rsidRPr="006B42D6">
        <w:t>77</w:t>
      </w:r>
      <w:r>
        <w:t>:</w:t>
      </w:r>
      <w:r w:rsidR="00403801">
        <w:tab/>
      </w:r>
      <w:r w:rsidR="00BA275B" w:rsidRPr="006B42D6">
        <w:t>Percentage of Agricultural Households Reporting Distance to</w:t>
      </w:r>
      <w:r w:rsidR="00DC09C1">
        <w:t xml:space="preserve"> Source of</w:t>
      </w:r>
      <w:r w:rsidR="00BA275B" w:rsidRPr="006B42D6">
        <w:t xml:space="preserve"> Improved Seeds </w:t>
      </w:r>
      <w:r w:rsidR="004622F0" w:rsidRPr="006B42D6">
        <w:t>D</w:t>
      </w:r>
      <w:r w:rsidR="00BA275B" w:rsidRPr="006B42D6">
        <w:t>uring 2019/20 Agricultural Year, Tanzania</w:t>
      </w:r>
      <w:bookmarkEnd w:id="381"/>
      <w:r w:rsidR="00BA275B" w:rsidRPr="006B42D6">
        <w:t xml:space="preserve"> </w:t>
      </w:r>
    </w:p>
    <w:p w14:paraId="133CA5F5" w14:textId="4C2BD346" w:rsidR="00BA275B" w:rsidRDefault="001B26AC" w:rsidP="00BA275B">
      <w:pPr>
        <w:rPr>
          <w:sz w:val="20"/>
          <w:szCs w:val="20"/>
        </w:rPr>
      </w:pPr>
      <w:r w:rsidRPr="006B42D6">
        <w:rPr>
          <w:noProof/>
        </w:rPr>
        <w:drawing>
          <wp:inline distT="0" distB="0" distL="0" distR="0" wp14:anchorId="2DF22984" wp14:editId="3F6F3DD7">
            <wp:extent cx="5433004" cy="2667635"/>
            <wp:effectExtent l="0" t="0" r="15875" b="12065"/>
            <wp:docPr id="92" name="Chart 14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9"/>
              </a:graphicData>
            </a:graphic>
          </wp:inline>
        </w:drawing>
      </w:r>
    </w:p>
    <w:p w14:paraId="4854F98C" w14:textId="77777777" w:rsidR="000E00D3" w:rsidRPr="006B42D6" w:rsidRDefault="000E00D3" w:rsidP="00BA275B">
      <w:pPr>
        <w:rPr>
          <w:sz w:val="20"/>
          <w:szCs w:val="20"/>
        </w:rPr>
      </w:pPr>
    </w:p>
    <w:p w14:paraId="18B75C9B" w14:textId="56444973" w:rsidR="00BA275B" w:rsidRPr="006B42D6" w:rsidRDefault="00BA275B" w:rsidP="00944CFE">
      <w:pPr>
        <w:pStyle w:val="Heading3"/>
      </w:pPr>
      <w:bookmarkStart w:id="382" w:name="_Toc82385716"/>
      <w:r w:rsidRPr="006B42D6">
        <w:t>3.</w:t>
      </w:r>
      <w:r w:rsidR="00193728">
        <w:t>5</w:t>
      </w:r>
      <w:r w:rsidR="00273161" w:rsidRPr="006B42D6">
        <w:t>.5</w:t>
      </w:r>
      <w:r w:rsidRPr="006B42D6">
        <w:tab/>
        <w:t>Insecticide/ Fungicides</w:t>
      </w:r>
      <w:bookmarkEnd w:id="382"/>
      <w:r w:rsidRPr="006B42D6">
        <w:t xml:space="preserve"> </w:t>
      </w:r>
    </w:p>
    <w:p w14:paraId="49819C85" w14:textId="47B340EE" w:rsidR="004622F0" w:rsidRDefault="00BA275B" w:rsidP="004622F0">
      <w:r w:rsidRPr="006B42D6">
        <w:t>Insecticide</w:t>
      </w:r>
      <w:r w:rsidR="00BD077A" w:rsidRPr="006B42D6">
        <w:t>/fungicides</w:t>
      </w:r>
      <w:r w:rsidRPr="006B42D6">
        <w:t xml:space="preserve"> use was reported by 2,131,808 households in </w:t>
      </w:r>
      <w:r w:rsidR="004622F0" w:rsidRPr="006B42D6">
        <w:t>Tanzania, equivalent to 27.8 percent of the total number of crops growing households.</w:t>
      </w:r>
      <w:r w:rsidRPr="006B42D6">
        <w:t xml:space="preserve"> </w:t>
      </w:r>
      <w:r w:rsidR="004622F0" w:rsidRPr="006B42D6">
        <w:t>From the total number of households reported to use insecticides/fungicides,</w:t>
      </w:r>
      <w:r w:rsidRPr="006B42D6">
        <w:t xml:space="preserve"> 2,102,717 households were in </w:t>
      </w:r>
      <w:r w:rsidR="00EA1552">
        <w:t>Mainland Tanzania</w:t>
      </w:r>
      <w:r w:rsidRPr="006B42D6">
        <w:t xml:space="preserve"> and 29,091 in Tanzania Zanzibar.</w:t>
      </w:r>
      <w:r w:rsidR="00BD077A">
        <w:t xml:space="preserve"> </w:t>
      </w:r>
      <w:r w:rsidR="004622F0" w:rsidRPr="006B42D6">
        <w:t xml:space="preserve">In </w:t>
      </w:r>
      <w:r w:rsidR="00EA1552">
        <w:t>Mainland Tanzania</w:t>
      </w:r>
      <w:r w:rsidR="004622F0" w:rsidRPr="006B42D6">
        <w:t xml:space="preserve">, Mtwara region was leading with </w:t>
      </w:r>
      <w:r w:rsidR="003A1927" w:rsidRPr="006B42D6">
        <w:t>192,446 households (9.2</w:t>
      </w:r>
      <w:r w:rsidR="004622F0" w:rsidRPr="006B42D6">
        <w:t xml:space="preserve"> percent of the households using insecticides</w:t>
      </w:r>
      <w:r w:rsidR="00BD077A">
        <w:t>/fungicides</w:t>
      </w:r>
      <w:r w:rsidR="003A1927" w:rsidRPr="006B42D6">
        <w:t>)</w:t>
      </w:r>
      <w:r w:rsidR="004622F0" w:rsidRPr="006B42D6">
        <w:t xml:space="preserve">, followed by </w:t>
      </w:r>
      <w:r w:rsidR="003A1927" w:rsidRPr="006B42D6">
        <w:t xml:space="preserve">Kilimanjaro (176,380 households; 8.4 percent) and </w:t>
      </w:r>
      <w:r w:rsidR="004622F0" w:rsidRPr="006B42D6">
        <w:t>Lindi (</w:t>
      </w:r>
      <w:r w:rsidR="003A1927" w:rsidRPr="006B42D6">
        <w:t xml:space="preserve">141,419 households; </w:t>
      </w:r>
      <w:r w:rsidR="004622F0" w:rsidRPr="006B42D6">
        <w:t>6</w:t>
      </w:r>
      <w:r w:rsidR="003A1927" w:rsidRPr="006B42D6">
        <w:t>.0</w:t>
      </w:r>
      <w:r w:rsidR="004622F0" w:rsidRPr="006B42D6">
        <w:t xml:space="preserve"> percent)</w:t>
      </w:r>
      <w:r w:rsidR="003A1927" w:rsidRPr="006B42D6">
        <w:t>, while the</w:t>
      </w:r>
      <w:r w:rsidR="004622F0" w:rsidRPr="006B42D6">
        <w:t xml:space="preserve"> least number of households was reported in </w:t>
      </w:r>
      <w:r w:rsidR="003A1927" w:rsidRPr="006B42D6">
        <w:t>Katavi</w:t>
      </w:r>
      <w:r w:rsidR="004622F0" w:rsidRPr="006B42D6">
        <w:t xml:space="preserve"> region (</w:t>
      </w:r>
      <w:r w:rsidR="003A1927" w:rsidRPr="006B42D6">
        <w:t>11,919 households; 0</w:t>
      </w:r>
      <w:r w:rsidR="004622F0" w:rsidRPr="006B42D6">
        <w:t>.</w:t>
      </w:r>
      <w:r w:rsidR="003A1927" w:rsidRPr="006B42D6">
        <w:t>6</w:t>
      </w:r>
      <w:r w:rsidR="004622F0" w:rsidRPr="006B42D6">
        <w:t xml:space="preserve"> percent). For the case of Tanzania Zanzibar, </w:t>
      </w:r>
      <w:r w:rsidR="003A1927" w:rsidRPr="006B42D6">
        <w:t xml:space="preserve">Mjini Magharibi region </w:t>
      </w:r>
      <w:r w:rsidR="00BD077A">
        <w:t xml:space="preserve">reported the largest number of households </w:t>
      </w:r>
      <w:r w:rsidR="00BD077A" w:rsidRPr="006B42D6">
        <w:t>(7</w:t>
      </w:r>
      <w:r w:rsidR="00BD077A">
        <w:t>,</w:t>
      </w:r>
      <w:r w:rsidR="00BD077A" w:rsidRPr="006B42D6">
        <w:t>737; 26.6 percent</w:t>
      </w:r>
      <w:r w:rsidR="00BD077A">
        <w:t xml:space="preserve">) using insecticides/fungicides, </w:t>
      </w:r>
      <w:r w:rsidR="003A1927" w:rsidRPr="006B42D6">
        <w:t xml:space="preserve">followed by </w:t>
      </w:r>
      <w:r w:rsidR="004622F0" w:rsidRPr="006B42D6">
        <w:t xml:space="preserve">Kusini </w:t>
      </w:r>
      <w:r w:rsidR="003A1927" w:rsidRPr="006B42D6">
        <w:t>Pemba (7,094 households; 24.4</w:t>
      </w:r>
      <w:r w:rsidR="004622F0" w:rsidRPr="006B42D6">
        <w:t xml:space="preserve"> percent</w:t>
      </w:r>
      <w:r w:rsidR="003A1927" w:rsidRPr="006B42D6">
        <w:t>), whereas th</w:t>
      </w:r>
      <w:r w:rsidR="004622F0" w:rsidRPr="006B42D6">
        <w:t xml:space="preserve">e least </w:t>
      </w:r>
      <w:r w:rsidR="00BD077A">
        <w:t>number of households</w:t>
      </w:r>
      <w:r w:rsidR="004622F0" w:rsidRPr="006B42D6">
        <w:t xml:space="preserve"> was</w:t>
      </w:r>
      <w:r w:rsidR="00BD077A">
        <w:t xml:space="preserve"> reported</w:t>
      </w:r>
      <w:r w:rsidR="004622F0" w:rsidRPr="006B42D6">
        <w:t xml:space="preserve"> in </w:t>
      </w:r>
      <w:r w:rsidR="003A1927" w:rsidRPr="006B42D6">
        <w:t>Kaskazini</w:t>
      </w:r>
      <w:r w:rsidR="004622F0" w:rsidRPr="006B42D6">
        <w:t xml:space="preserve"> Pemba (</w:t>
      </w:r>
      <w:r w:rsidR="003A1927" w:rsidRPr="006B42D6">
        <w:t xml:space="preserve">2,977; 10.2 </w:t>
      </w:r>
      <w:r w:rsidR="004622F0" w:rsidRPr="006B42D6">
        <w:t>percent) (Figure 3.</w:t>
      </w:r>
      <w:r w:rsidR="00273161" w:rsidRPr="006B42D6">
        <w:t>78</w:t>
      </w:r>
      <w:r w:rsidR="004622F0" w:rsidRPr="006B42D6">
        <w:t xml:space="preserve"> &amp; 3.</w:t>
      </w:r>
      <w:r w:rsidR="00273161" w:rsidRPr="006B42D6">
        <w:t>79</w:t>
      </w:r>
      <w:r w:rsidR="004622F0" w:rsidRPr="006B42D6">
        <w:t xml:space="preserve">). </w:t>
      </w:r>
    </w:p>
    <w:p w14:paraId="42CEBE61" w14:textId="106A79DD" w:rsidR="00BD077A" w:rsidRDefault="00BD077A">
      <w:pPr>
        <w:spacing w:line="240" w:lineRule="auto"/>
        <w:contextualSpacing w:val="0"/>
        <w:jc w:val="left"/>
      </w:pPr>
      <w:r>
        <w:br w:type="page"/>
      </w:r>
    </w:p>
    <w:p w14:paraId="7AFE65C1" w14:textId="77139499" w:rsidR="0005231C" w:rsidRDefault="00DC09C1" w:rsidP="006A62FF">
      <w:r w:rsidRPr="006B42D6">
        <w:rPr>
          <w:noProof/>
        </w:rPr>
        <w:lastRenderedPageBreak/>
        <w:drawing>
          <wp:anchor distT="6096" distB="6731" distL="120396" distR="123063" simplePos="0" relativeHeight="251662336" behindDoc="1" locked="0" layoutInCell="1" allowOverlap="1" wp14:anchorId="4BBA8DE7" wp14:editId="29A42D4F">
            <wp:simplePos x="0" y="0"/>
            <wp:positionH relativeFrom="column">
              <wp:posOffset>2857504</wp:posOffset>
            </wp:positionH>
            <wp:positionV relativeFrom="paragraph">
              <wp:posOffset>632066</wp:posOffset>
            </wp:positionV>
            <wp:extent cx="3015615" cy="2741930"/>
            <wp:effectExtent l="0" t="0" r="6985" b="13970"/>
            <wp:wrapTight wrapText="bothSides">
              <wp:wrapPolygon edited="0">
                <wp:start x="0" y="0"/>
                <wp:lineTo x="0" y="21610"/>
                <wp:lineTo x="21559" y="21610"/>
                <wp:lineTo x="21559" y="0"/>
                <wp:lineTo x="0" y="0"/>
              </wp:wrapPolygon>
            </wp:wrapTight>
            <wp:docPr id="167" name="Chart 57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0"/>
              </a:graphicData>
            </a:graphic>
            <wp14:sizeRelH relativeFrom="page">
              <wp14:pctWidth>0</wp14:pctWidth>
            </wp14:sizeRelH>
            <wp14:sizeRelV relativeFrom="page">
              <wp14:pctHeight>0</wp14:pctHeight>
            </wp14:sizeRelV>
          </wp:anchor>
        </w:drawing>
      </w:r>
      <w:r w:rsidRPr="006B42D6">
        <w:rPr>
          <w:noProof/>
        </w:rPr>
        <w:drawing>
          <wp:anchor distT="6096" distB="6096" distL="120396" distR="117602" simplePos="0" relativeHeight="251661312" behindDoc="1" locked="0" layoutInCell="1" allowOverlap="1" wp14:anchorId="4CE3DE44" wp14:editId="1A6AFF20">
            <wp:simplePos x="0" y="0"/>
            <wp:positionH relativeFrom="column">
              <wp:posOffset>-187325</wp:posOffset>
            </wp:positionH>
            <wp:positionV relativeFrom="paragraph">
              <wp:posOffset>633971</wp:posOffset>
            </wp:positionV>
            <wp:extent cx="3042285" cy="2742565"/>
            <wp:effectExtent l="0" t="0" r="18415" b="13335"/>
            <wp:wrapTight wrapText="bothSides">
              <wp:wrapPolygon edited="0">
                <wp:start x="0" y="0"/>
                <wp:lineTo x="0" y="21605"/>
                <wp:lineTo x="21641" y="21605"/>
                <wp:lineTo x="21641" y="0"/>
                <wp:lineTo x="0" y="0"/>
              </wp:wrapPolygon>
            </wp:wrapTight>
            <wp:docPr id="168" name="Chart 57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1"/>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94432" behindDoc="1" locked="0" layoutInCell="1" allowOverlap="1" wp14:anchorId="5EAB20F1" wp14:editId="15CA36C9">
                <wp:simplePos x="0" y="0"/>
                <wp:positionH relativeFrom="column">
                  <wp:posOffset>2929890</wp:posOffset>
                </wp:positionH>
                <wp:positionV relativeFrom="paragraph">
                  <wp:posOffset>6350</wp:posOffset>
                </wp:positionV>
                <wp:extent cx="3150235" cy="527050"/>
                <wp:effectExtent l="0" t="0" r="0" b="6350"/>
                <wp:wrapTight wrapText="bothSides">
                  <wp:wrapPolygon edited="0">
                    <wp:start x="0" y="0"/>
                    <wp:lineTo x="0" y="21340"/>
                    <wp:lineTo x="21509" y="21340"/>
                    <wp:lineTo x="21509" y="0"/>
                    <wp:lineTo x="0" y="0"/>
                  </wp:wrapPolygon>
                </wp:wrapTight>
                <wp:docPr id="541" name="Text Box 541"/>
                <wp:cNvGraphicFramePr/>
                <a:graphic xmlns:a="http://schemas.openxmlformats.org/drawingml/2006/main">
                  <a:graphicData uri="http://schemas.microsoft.com/office/word/2010/wordprocessingShape">
                    <wps:wsp>
                      <wps:cNvSpPr txBox="1"/>
                      <wps:spPr>
                        <a:xfrm>
                          <a:off x="0" y="0"/>
                          <a:ext cx="3150235" cy="527050"/>
                        </a:xfrm>
                        <a:prstGeom prst="rect">
                          <a:avLst/>
                        </a:prstGeom>
                        <a:solidFill>
                          <a:prstClr val="white"/>
                        </a:solidFill>
                        <a:ln>
                          <a:noFill/>
                        </a:ln>
                      </wps:spPr>
                      <wps:txbx>
                        <w:txbxContent>
                          <w:p w14:paraId="2A74DC0A" w14:textId="7F66F25E" w:rsidR="00933456" w:rsidRPr="00944CFE" w:rsidRDefault="00933456" w:rsidP="0005231C">
                            <w:pPr>
                              <w:pStyle w:val="Caption"/>
                              <w:rPr>
                                <w:b w:val="0"/>
                                <w:i/>
                                <w:noProof/>
                                <w:szCs w:val="16"/>
                              </w:rPr>
                            </w:pPr>
                            <w:bookmarkStart w:id="383" w:name="_Toc80120254"/>
                            <w:bookmarkStart w:id="384" w:name="_Toc80884131"/>
                            <w:bookmarkStart w:id="385" w:name="_Toc80884502"/>
                            <w:bookmarkStart w:id="386" w:name="_Toc82386355"/>
                            <w:r w:rsidRPr="00944CFE">
                              <w:rPr>
                                <w:szCs w:val="16"/>
                              </w:rPr>
                              <w:t>Figure 3.79:</w:t>
                            </w:r>
                            <w:r>
                              <w:rPr>
                                <w:szCs w:val="16"/>
                              </w:rPr>
                              <w:tab/>
                            </w:r>
                            <w:r w:rsidRPr="00944CFE">
                              <w:rPr>
                                <w:szCs w:val="16"/>
                              </w:rPr>
                              <w:t xml:space="preserve">Percentage of Households </w:t>
                            </w:r>
                            <w:r>
                              <w:rPr>
                                <w:szCs w:val="16"/>
                              </w:rPr>
                              <w:t>Using</w:t>
                            </w:r>
                            <w:r w:rsidRPr="00944CFE">
                              <w:rPr>
                                <w:szCs w:val="16"/>
                              </w:rPr>
                              <w:t xml:space="preserve"> Improved Seeds During 2019/20 Agricultural Year, Tanzania Zanzibar</w:t>
                            </w:r>
                            <w:bookmarkEnd w:id="383"/>
                            <w:bookmarkEnd w:id="384"/>
                            <w:bookmarkEnd w:id="385"/>
                            <w:bookmarkEnd w:id="386"/>
                          </w:p>
                          <w:p w14:paraId="286BF5AA" w14:textId="68AC0626" w:rsidR="00933456" w:rsidRPr="002F3ABA" w:rsidRDefault="00933456" w:rsidP="0005231C">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AB20F1" id="Text Box 541" o:spid="_x0000_s1064" type="#_x0000_t202" style="position:absolute;left:0;text-align:left;margin-left:230.7pt;margin-top:.5pt;width:248.05pt;height:41.5pt;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" stroked="f">
                <v:textbox inset="0,0,0,0">
                  <w:txbxContent>
                    <w:p w14:paraId="2A74DC0A" w14:textId="7F66F25E" w:rsidR="00933456" w:rsidRPr="00944CFE" w:rsidRDefault="00933456" w:rsidP="0005231C">
                      <w:pPr>
                        <w:pStyle w:val="Caption"/>
                        <w:rPr>
                          <w:b w:val="0"/>
                          <w:i/>
                          <w:noProof/>
                          <w:szCs w:val="16"/>
                        </w:rPr>
                      </w:pPr>
                      <w:bookmarkStart w:id="514" w:name="_Toc80120254"/>
                      <w:bookmarkStart w:id="515" w:name="_Toc80884131"/>
                      <w:bookmarkStart w:id="516" w:name="_Toc80884502"/>
                      <w:bookmarkStart w:id="517" w:name="_Toc82386355"/>
                      <w:r w:rsidRPr="00944CFE">
                        <w:rPr>
                          <w:szCs w:val="16"/>
                        </w:rPr>
                        <w:t>Figure 3.79:</w:t>
                      </w:r>
                      <w:r>
                        <w:rPr>
                          <w:szCs w:val="16"/>
                        </w:rPr>
                        <w:tab/>
                      </w:r>
                      <w:r w:rsidRPr="00944CFE">
                        <w:rPr>
                          <w:szCs w:val="16"/>
                        </w:rPr>
                        <w:t xml:space="preserve">Percentage of Households </w:t>
                      </w:r>
                      <w:r>
                        <w:rPr>
                          <w:szCs w:val="16"/>
                        </w:rPr>
                        <w:t>Using</w:t>
                      </w:r>
                      <w:r w:rsidRPr="00944CFE">
                        <w:rPr>
                          <w:szCs w:val="16"/>
                        </w:rPr>
                        <w:t xml:space="preserve"> Improved Seeds During 2019/20 Agricultural Year, Tanzania Zanzibar</w:t>
                      </w:r>
                      <w:bookmarkEnd w:id="514"/>
                      <w:bookmarkEnd w:id="515"/>
                      <w:bookmarkEnd w:id="516"/>
                      <w:bookmarkEnd w:id="517"/>
                    </w:p>
                    <w:p w14:paraId="286BF5AA" w14:textId="68AC0626" w:rsidR="00933456" w:rsidRPr="002F3ABA" w:rsidRDefault="00933456" w:rsidP="0005231C">
                      <w:pPr>
                        <w:pStyle w:val="Caption"/>
                        <w:rPr>
                          <w:noProof/>
                        </w:rPr>
                      </w:pPr>
                    </w:p>
                  </w:txbxContent>
                </v:textbox>
                <w10:wrap type="tight"/>
              </v:shape>
            </w:pict>
          </mc:Fallback>
        </mc:AlternateContent>
      </w:r>
      <w:r>
        <w:rPr>
          <w:noProof/>
        </w:rPr>
        <mc:AlternateContent>
          <mc:Choice Requires="wps">
            <w:drawing>
              <wp:anchor distT="0" distB="0" distL="114300" distR="114300" simplePos="0" relativeHeight="251792384" behindDoc="1" locked="0" layoutInCell="1" allowOverlap="1" wp14:anchorId="18AC95A9" wp14:editId="09A46D6D">
                <wp:simplePos x="0" y="0"/>
                <wp:positionH relativeFrom="column">
                  <wp:posOffset>-153670</wp:posOffset>
                </wp:positionH>
                <wp:positionV relativeFrom="paragraph">
                  <wp:posOffset>13335</wp:posOffset>
                </wp:positionV>
                <wp:extent cx="3203575" cy="560070"/>
                <wp:effectExtent l="0" t="0" r="0" b="0"/>
                <wp:wrapTight wrapText="bothSides">
                  <wp:wrapPolygon edited="0">
                    <wp:start x="0" y="0"/>
                    <wp:lineTo x="0" y="21061"/>
                    <wp:lineTo x="21493" y="21061"/>
                    <wp:lineTo x="21493" y="0"/>
                    <wp:lineTo x="0" y="0"/>
                  </wp:wrapPolygon>
                </wp:wrapTight>
                <wp:docPr id="540" name="Text Box 540"/>
                <wp:cNvGraphicFramePr/>
                <a:graphic xmlns:a="http://schemas.openxmlformats.org/drawingml/2006/main">
                  <a:graphicData uri="http://schemas.microsoft.com/office/word/2010/wordprocessingShape">
                    <wps:wsp>
                      <wps:cNvSpPr txBox="1"/>
                      <wps:spPr>
                        <a:xfrm>
                          <a:off x="0" y="0"/>
                          <a:ext cx="3203575" cy="560070"/>
                        </a:xfrm>
                        <a:prstGeom prst="rect">
                          <a:avLst/>
                        </a:prstGeom>
                        <a:solidFill>
                          <a:prstClr val="white"/>
                        </a:solidFill>
                        <a:ln>
                          <a:noFill/>
                        </a:ln>
                      </wps:spPr>
                      <wps:txbx>
                        <w:txbxContent>
                          <w:p w14:paraId="537DEED3" w14:textId="656B3D48" w:rsidR="00933456" w:rsidRPr="00944CFE" w:rsidRDefault="00933456" w:rsidP="0005231C">
                            <w:pPr>
                              <w:pStyle w:val="Caption"/>
                              <w:rPr>
                                <w:b w:val="0"/>
                                <w:i/>
                                <w:noProof/>
                                <w:szCs w:val="16"/>
                              </w:rPr>
                            </w:pPr>
                            <w:bookmarkStart w:id="387" w:name="_Toc80120255"/>
                            <w:bookmarkStart w:id="388" w:name="_Toc80884132"/>
                            <w:bookmarkStart w:id="389" w:name="_Toc80884503"/>
                            <w:bookmarkStart w:id="390" w:name="_Toc82386356"/>
                            <w:r w:rsidRPr="00944CFE">
                              <w:rPr>
                                <w:szCs w:val="16"/>
                              </w:rPr>
                              <w:t>Figure 3.78:</w:t>
                            </w:r>
                            <w:r>
                              <w:rPr>
                                <w:szCs w:val="16"/>
                              </w:rPr>
                              <w:tab/>
                            </w:r>
                            <w:r w:rsidRPr="00944CFE">
                              <w:rPr>
                                <w:szCs w:val="16"/>
                              </w:rPr>
                              <w:t xml:space="preserve">Percentage of Households </w:t>
                            </w:r>
                            <w:r>
                              <w:rPr>
                                <w:szCs w:val="16"/>
                              </w:rPr>
                              <w:t>Using</w:t>
                            </w:r>
                            <w:r w:rsidRPr="00944CFE">
                              <w:rPr>
                                <w:szCs w:val="16"/>
                              </w:rPr>
                              <w:t xml:space="preserve"> Improved Seeds During 2019/20 Agricultural Year, </w:t>
                            </w:r>
                            <w:r>
                              <w:rPr>
                                <w:szCs w:val="16"/>
                              </w:rPr>
                              <w:t>Mainland Tanzania</w:t>
                            </w:r>
                            <w:bookmarkEnd w:id="387"/>
                            <w:bookmarkEnd w:id="388"/>
                            <w:bookmarkEnd w:id="389"/>
                            <w:bookmarkEnd w:id="390"/>
                          </w:p>
                          <w:p w14:paraId="69587A4B" w14:textId="0DB42862" w:rsidR="00933456" w:rsidRPr="00B1297B" w:rsidRDefault="00933456" w:rsidP="0005231C">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AC95A9" id="Text Box 540" o:spid="_x0000_s1065" type="#_x0000_t202" style="position:absolute;left:0;text-align:left;margin-left:-12.1pt;margin-top:1.05pt;width:252.25pt;height:44.1pt;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" stroked="f">
                <v:textbox inset="0,0,0,0">
                  <w:txbxContent>
                    <w:p w14:paraId="537DEED3" w14:textId="656B3D48" w:rsidR="00933456" w:rsidRPr="00944CFE" w:rsidRDefault="00933456" w:rsidP="0005231C">
                      <w:pPr>
                        <w:pStyle w:val="Caption"/>
                        <w:rPr>
                          <w:b w:val="0"/>
                          <w:i/>
                          <w:noProof/>
                          <w:szCs w:val="16"/>
                        </w:rPr>
                      </w:pPr>
                      <w:bookmarkStart w:id="522" w:name="_Toc80120255"/>
                      <w:bookmarkStart w:id="523" w:name="_Toc80884132"/>
                      <w:bookmarkStart w:id="524" w:name="_Toc80884503"/>
                      <w:bookmarkStart w:id="525" w:name="_Toc82386356"/>
                      <w:r w:rsidRPr="00944CFE">
                        <w:rPr>
                          <w:szCs w:val="16"/>
                        </w:rPr>
                        <w:t>Figure 3.78:</w:t>
                      </w:r>
                      <w:r>
                        <w:rPr>
                          <w:szCs w:val="16"/>
                        </w:rPr>
                        <w:tab/>
                      </w:r>
                      <w:r w:rsidRPr="00944CFE">
                        <w:rPr>
                          <w:szCs w:val="16"/>
                        </w:rPr>
                        <w:t xml:space="preserve">Percentage of Households </w:t>
                      </w:r>
                      <w:r>
                        <w:rPr>
                          <w:szCs w:val="16"/>
                        </w:rPr>
                        <w:t>Using</w:t>
                      </w:r>
                      <w:r w:rsidRPr="00944CFE">
                        <w:rPr>
                          <w:szCs w:val="16"/>
                        </w:rPr>
                        <w:t xml:space="preserve"> Improved Seeds During 2019/20 Agricultural Year, </w:t>
                      </w:r>
                      <w:r>
                        <w:rPr>
                          <w:szCs w:val="16"/>
                        </w:rPr>
                        <w:t>Mainland Tanzania</w:t>
                      </w:r>
                      <w:bookmarkEnd w:id="522"/>
                      <w:bookmarkEnd w:id="523"/>
                      <w:bookmarkEnd w:id="524"/>
                      <w:bookmarkEnd w:id="525"/>
                    </w:p>
                    <w:p w14:paraId="69587A4B" w14:textId="0DB42862" w:rsidR="00933456" w:rsidRPr="00B1297B" w:rsidRDefault="00933456" w:rsidP="0005231C">
                      <w:pPr>
                        <w:pStyle w:val="Caption"/>
                        <w:rPr>
                          <w:noProof/>
                        </w:rPr>
                      </w:pPr>
                    </w:p>
                  </w:txbxContent>
                </v:textbox>
                <w10:wrap type="tight"/>
              </v:shape>
            </w:pict>
          </mc:Fallback>
        </mc:AlternateContent>
      </w:r>
    </w:p>
    <w:p w14:paraId="399B4EE8" w14:textId="6CB50077" w:rsidR="003A1927" w:rsidRPr="006B42D6" w:rsidRDefault="00DD687D" w:rsidP="006A62FF">
      <w:r w:rsidRPr="006B42D6">
        <w:rPr>
          <w:noProof/>
        </w:rPr>
        <mc:AlternateContent>
          <mc:Choice Requires="wps">
            <w:drawing>
              <wp:anchor distT="0" distB="0" distL="114300" distR="114300" simplePos="0" relativeHeight="251693056" behindDoc="1" locked="0" layoutInCell="1" allowOverlap="1" wp14:anchorId="56B0371E" wp14:editId="0406AF1D">
                <wp:simplePos x="0" y="0"/>
                <wp:positionH relativeFrom="margin">
                  <wp:posOffset>2270579</wp:posOffset>
                </wp:positionH>
                <wp:positionV relativeFrom="paragraph">
                  <wp:posOffset>151779</wp:posOffset>
                </wp:positionV>
                <wp:extent cx="3562350" cy="445770"/>
                <wp:effectExtent l="0" t="0" r="6350" b="0"/>
                <wp:wrapTight wrapText="bothSides">
                  <wp:wrapPolygon edited="0">
                    <wp:start x="0" y="0"/>
                    <wp:lineTo x="0" y="20923"/>
                    <wp:lineTo x="21561" y="20923"/>
                    <wp:lineTo x="21561" y="0"/>
                    <wp:lineTo x="0" y="0"/>
                  </wp:wrapPolygon>
                </wp:wrapTight>
                <wp:docPr id="479" name="Text 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62350" cy="445770"/>
                        </a:xfrm>
                        <a:prstGeom prst="rect">
                          <a:avLst/>
                        </a:prstGeom>
                        <a:solidFill>
                          <a:prstClr val="white"/>
                        </a:solidFill>
                        <a:ln>
                          <a:noFill/>
                        </a:ln>
                      </wps:spPr>
                      <wps:txbx>
                        <w:txbxContent>
                          <w:p w14:paraId="14045CFE" w14:textId="6A2516EC" w:rsidR="00933456" w:rsidRPr="00A77075" w:rsidRDefault="00933456" w:rsidP="003D3715">
                            <w:pPr>
                              <w:pStyle w:val="Caption"/>
                              <w:rPr>
                                <w:b w:val="0"/>
                                <w:i/>
                                <w:noProof/>
                              </w:rPr>
                            </w:pPr>
                            <w:bookmarkStart w:id="391" w:name="_Toc80120256"/>
                            <w:bookmarkStart w:id="392" w:name="_Toc80884133"/>
                            <w:bookmarkStart w:id="393" w:name="_Toc80884504"/>
                            <w:bookmarkStart w:id="394" w:name="_Toc82386357"/>
                            <w:r w:rsidRPr="00944CFE">
                              <w:t>Figure 3.80:</w:t>
                            </w:r>
                            <w:r>
                              <w:tab/>
                            </w:r>
                            <w:r w:rsidRPr="00944CFE">
                              <w:t>Percentage</w:t>
                            </w:r>
                            <w:r w:rsidRPr="00A77075">
                              <w:t xml:space="preserve"> Distribution of Households by Source of Insecticide/ Fungicides</w:t>
                            </w:r>
                            <w:r>
                              <w:t xml:space="preserve"> During 2019/20 Agricultural Year, </w:t>
                            </w:r>
                            <w:r w:rsidRPr="00A77075">
                              <w:t>Tanzania</w:t>
                            </w:r>
                            <w:bookmarkEnd w:id="391"/>
                            <w:bookmarkEnd w:id="392"/>
                            <w:bookmarkEnd w:id="393"/>
                            <w:bookmarkEnd w:id="39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B0371E" id="Text Box 470" o:spid="_x0000_s1066" type="#_x0000_t202" style="position:absolute;left:0;text-align:left;margin-left:178.8pt;margin-top:11.95pt;width:280.5pt;height:35.1pt;z-index:-251623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" stroked="f">
                <v:textbox inset="0,0,0,0">
                  <w:txbxContent>
                    <w:p w14:paraId="14045CFE" w14:textId="6A2516EC" w:rsidR="00933456" w:rsidRPr="00A77075" w:rsidRDefault="00933456" w:rsidP="003D3715">
                      <w:pPr>
                        <w:pStyle w:val="Caption"/>
                        <w:rPr>
                          <w:b w:val="0"/>
                          <w:i/>
                          <w:noProof/>
                        </w:rPr>
                      </w:pPr>
                      <w:bookmarkStart w:id="530" w:name="_Toc80120256"/>
                      <w:bookmarkStart w:id="531" w:name="_Toc80884133"/>
                      <w:bookmarkStart w:id="532" w:name="_Toc80884504"/>
                      <w:bookmarkStart w:id="533" w:name="_Toc82386357"/>
                      <w:r w:rsidRPr="00944CFE">
                        <w:t>Figure 3.80:</w:t>
                      </w:r>
                      <w:r>
                        <w:tab/>
                      </w:r>
                      <w:r w:rsidRPr="00944CFE">
                        <w:t>Percentage</w:t>
                      </w:r>
                      <w:r w:rsidRPr="00A77075">
                        <w:t xml:space="preserve"> Distribution of Households by Source of Insecticide/ Fungicides</w:t>
                      </w:r>
                      <w:r>
                        <w:t xml:space="preserve"> During 2019/20 Agricultural Year, </w:t>
                      </w:r>
                      <w:r w:rsidRPr="00A77075">
                        <w:t>Tanzania</w:t>
                      </w:r>
                      <w:bookmarkEnd w:id="530"/>
                      <w:bookmarkEnd w:id="531"/>
                      <w:bookmarkEnd w:id="532"/>
                      <w:bookmarkEnd w:id="533"/>
                    </w:p>
                  </w:txbxContent>
                </v:textbox>
                <w10:wrap type="tight" anchorx="margin"/>
              </v:shape>
            </w:pict>
          </mc:Fallback>
        </mc:AlternateContent>
      </w:r>
    </w:p>
    <w:p w14:paraId="797B1350" w14:textId="09A03A95" w:rsidR="003A1927" w:rsidRPr="006B42D6" w:rsidRDefault="00063A9B" w:rsidP="003A1927">
      <w:r w:rsidRPr="006B42D6">
        <w:rPr>
          <w:noProof/>
        </w:rPr>
        <w:drawing>
          <wp:anchor distT="6096" distB="7239" distL="120396" distR="120777" simplePos="0" relativeHeight="251692032" behindDoc="1" locked="0" layoutInCell="1" allowOverlap="1" wp14:anchorId="572922DD" wp14:editId="0F78AE13">
            <wp:simplePos x="0" y="0"/>
            <wp:positionH relativeFrom="margin">
              <wp:posOffset>2268855</wp:posOffset>
            </wp:positionH>
            <wp:positionV relativeFrom="paragraph">
              <wp:posOffset>441325</wp:posOffset>
            </wp:positionV>
            <wp:extent cx="3456940" cy="2433955"/>
            <wp:effectExtent l="0" t="0" r="10160" b="17145"/>
            <wp:wrapTight wrapText="bothSides">
              <wp:wrapPolygon edited="0">
                <wp:start x="0" y="0"/>
                <wp:lineTo x="0" y="21639"/>
                <wp:lineTo x="21584" y="21639"/>
                <wp:lineTo x="21584" y="0"/>
                <wp:lineTo x="0" y="0"/>
              </wp:wrapPolygon>
            </wp:wrapTight>
            <wp:docPr id="478" name="Chart 35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2"/>
              </a:graphicData>
            </a:graphic>
            <wp14:sizeRelH relativeFrom="page">
              <wp14:pctWidth>0</wp14:pctWidth>
            </wp14:sizeRelH>
            <wp14:sizeRelV relativeFrom="page">
              <wp14:pctHeight>0</wp14:pctHeight>
            </wp14:sizeRelV>
          </wp:anchor>
        </w:drawing>
      </w:r>
      <w:r w:rsidR="004736C3">
        <w:t>O</w:t>
      </w:r>
      <w:r w:rsidR="003A1927" w:rsidRPr="006B42D6">
        <w:t xml:space="preserve">f the insecticides applied by smallholder farmers were obtained from </w:t>
      </w:r>
      <w:r w:rsidR="00354B6A">
        <w:t>l</w:t>
      </w:r>
      <w:r w:rsidR="003A1927" w:rsidRPr="006B42D6">
        <w:t>ocal market/</w:t>
      </w:r>
      <w:r w:rsidR="00354B6A">
        <w:t>t</w:t>
      </w:r>
      <w:r w:rsidR="003A1927" w:rsidRPr="006B42D6">
        <w:t>rade store (</w:t>
      </w:r>
      <w:r w:rsidR="003D3715" w:rsidRPr="006B42D6">
        <w:t>1,599,407;</w:t>
      </w:r>
      <w:r w:rsidR="004736C3">
        <w:t xml:space="preserve"> </w:t>
      </w:r>
      <w:r w:rsidR="003A1927" w:rsidRPr="006B42D6">
        <w:t>75.0 percent of the crops growing households)</w:t>
      </w:r>
      <w:r w:rsidR="003D3715" w:rsidRPr="006B42D6">
        <w:t>, followed by</w:t>
      </w:r>
      <w:r w:rsidR="003A1927" w:rsidRPr="006B42D6">
        <w:t xml:space="preserve"> </w:t>
      </w:r>
      <w:r w:rsidR="003D3715" w:rsidRPr="006B42D6">
        <w:t xml:space="preserve">Government (80,433 households; 3.8 percent) and Cooperatives (79,614 households; 3.7 percent) </w:t>
      </w:r>
      <w:r w:rsidR="003A1927" w:rsidRPr="006B42D6">
        <w:t>(Figure 3.</w:t>
      </w:r>
      <w:r w:rsidR="00273161" w:rsidRPr="006B42D6">
        <w:t>80</w:t>
      </w:r>
      <w:r w:rsidR="003A1927" w:rsidRPr="006B42D6">
        <w:t xml:space="preserve">). </w:t>
      </w:r>
    </w:p>
    <w:p w14:paraId="2260D18D" w14:textId="7F43EB0A" w:rsidR="003A1927" w:rsidRPr="006B42D6" w:rsidRDefault="003A1927" w:rsidP="00BA275B"/>
    <w:p w14:paraId="65B3253F" w14:textId="107D7917" w:rsidR="003A1927" w:rsidRDefault="003A1927" w:rsidP="00BA275B"/>
    <w:p w14:paraId="389B1669" w14:textId="77777777" w:rsidR="00BD077A" w:rsidRPr="006B42D6" w:rsidRDefault="00BD077A" w:rsidP="00BA275B"/>
    <w:p w14:paraId="70AE6C90" w14:textId="090DA5B2" w:rsidR="00163E8A" w:rsidRPr="006B42D6" w:rsidRDefault="005C3DFA" w:rsidP="00163E8A">
      <w:r w:rsidRPr="006B42D6">
        <w:t>A total number of 1,035,510 households in Tanzania (</w:t>
      </w:r>
      <w:r w:rsidR="00163E8A" w:rsidRPr="006B42D6">
        <w:t>48.6</w:t>
      </w:r>
      <w:r w:rsidRPr="006B42D6">
        <w:t xml:space="preserve"> percent) accessed </w:t>
      </w:r>
      <w:r w:rsidR="00163E8A" w:rsidRPr="006B42D6">
        <w:t xml:space="preserve">insecticides/fungicides </w:t>
      </w:r>
      <w:r w:rsidRPr="006B42D6">
        <w:t xml:space="preserve">within a distance of 3 kilometers from their homestead, whilst </w:t>
      </w:r>
      <w:r w:rsidR="00163E8A" w:rsidRPr="006B42D6">
        <w:t>446,528</w:t>
      </w:r>
      <w:r w:rsidRPr="006B42D6">
        <w:t xml:space="preserve"> households (2</w:t>
      </w:r>
      <w:r w:rsidR="00163E8A" w:rsidRPr="006B42D6">
        <w:t>0</w:t>
      </w:r>
      <w:r w:rsidRPr="006B42D6">
        <w:t>.</w:t>
      </w:r>
      <w:r w:rsidR="00163E8A" w:rsidRPr="006B42D6">
        <w:t>9</w:t>
      </w:r>
      <w:r w:rsidRPr="006B42D6">
        <w:t xml:space="preserve"> percent) accessed the same within a distance of 3 to 10 kilometers</w:t>
      </w:r>
      <w:r w:rsidR="00163E8A" w:rsidRPr="006B42D6">
        <w:t xml:space="preserve"> (Figure 3.</w:t>
      </w:r>
      <w:r w:rsidR="00273161" w:rsidRPr="006B42D6">
        <w:t>81</w:t>
      </w:r>
      <w:r w:rsidR="00163E8A" w:rsidRPr="006B42D6">
        <w:t>).</w:t>
      </w:r>
    </w:p>
    <w:p w14:paraId="5E4C6CD0" w14:textId="1E06B2D4" w:rsidR="00163E8A" w:rsidRDefault="00163E8A" w:rsidP="004D68B9">
      <w:pPr>
        <w:spacing w:line="240" w:lineRule="auto"/>
      </w:pPr>
    </w:p>
    <w:p w14:paraId="01C93B9C" w14:textId="20008240" w:rsidR="00063A9B" w:rsidRDefault="00063A9B" w:rsidP="004D68B9">
      <w:pPr>
        <w:spacing w:line="240" w:lineRule="auto"/>
      </w:pPr>
    </w:p>
    <w:p w14:paraId="4E919C08" w14:textId="37B2528F" w:rsidR="00063A9B" w:rsidRDefault="00063A9B" w:rsidP="004D68B9">
      <w:pPr>
        <w:spacing w:line="240" w:lineRule="auto"/>
      </w:pPr>
    </w:p>
    <w:p w14:paraId="1049105E" w14:textId="5E554A89" w:rsidR="00BA275B" w:rsidRPr="006B42D6" w:rsidRDefault="006A62FF" w:rsidP="00124FC4">
      <w:pPr>
        <w:pStyle w:val="Caption"/>
      </w:pPr>
      <w:bookmarkStart w:id="395" w:name="_Toc82386358"/>
      <w:r>
        <w:lastRenderedPageBreak/>
        <w:t>Figure</w:t>
      </w:r>
      <w:r w:rsidR="00BA275B" w:rsidRPr="006B42D6">
        <w:t xml:space="preserve"> 3.</w:t>
      </w:r>
      <w:r w:rsidR="00273161" w:rsidRPr="006B42D6">
        <w:t>81</w:t>
      </w:r>
      <w:r>
        <w:t>:</w:t>
      </w:r>
      <w:r w:rsidR="00354B6A">
        <w:tab/>
      </w:r>
      <w:r w:rsidR="00BA275B" w:rsidRPr="006B42D6">
        <w:t>Percentage Distribution of Agricultural Households Reporting Distance to</w:t>
      </w:r>
      <w:r w:rsidR="004B5E70">
        <w:t xml:space="preserve"> Source of</w:t>
      </w:r>
      <w:r w:rsidR="00BA275B" w:rsidRPr="006B42D6">
        <w:t xml:space="preserve"> Insecticides/ Fungicides </w:t>
      </w:r>
      <w:r w:rsidR="00491413" w:rsidRPr="006B42D6">
        <w:t>D</w:t>
      </w:r>
      <w:r w:rsidR="00BA275B" w:rsidRPr="006B42D6">
        <w:t>uring 2019/20 Agricultural Year, Tanzania</w:t>
      </w:r>
      <w:bookmarkEnd w:id="395"/>
      <w:r w:rsidR="00BA275B" w:rsidRPr="006B42D6">
        <w:t xml:space="preserve"> </w:t>
      </w:r>
    </w:p>
    <w:p w14:paraId="5E05ADDA" w14:textId="2DE81250" w:rsidR="00BA275B" w:rsidRPr="006B42D6" w:rsidRDefault="001B26AC" w:rsidP="00BA275B">
      <w:pPr>
        <w:spacing w:line="276" w:lineRule="auto"/>
      </w:pPr>
      <w:r w:rsidRPr="006B42D6">
        <w:rPr>
          <w:noProof/>
        </w:rPr>
        <w:drawing>
          <wp:inline distT="0" distB="0" distL="0" distR="0" wp14:anchorId="05FF2B9F" wp14:editId="23BACDC5">
            <wp:extent cx="5526447" cy="2379980"/>
            <wp:effectExtent l="0" t="0" r="10795" b="7620"/>
            <wp:docPr id="91" name="Chart 14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3"/>
              </a:graphicData>
            </a:graphic>
          </wp:inline>
        </w:drawing>
      </w:r>
    </w:p>
    <w:p w14:paraId="080E890D" w14:textId="77777777" w:rsidR="003D0B02" w:rsidRPr="003D0B02" w:rsidRDefault="003D0B02" w:rsidP="00EA717C"/>
    <w:p w14:paraId="1AEB7DE2" w14:textId="0CED31BB" w:rsidR="00BA275B" w:rsidRPr="006B42D6" w:rsidRDefault="00BA275B" w:rsidP="00CC2F6F">
      <w:pPr>
        <w:pStyle w:val="Heading3"/>
      </w:pPr>
      <w:bookmarkStart w:id="396" w:name="_Toc82385717"/>
      <w:r w:rsidRPr="006B42D6">
        <w:t>3.</w:t>
      </w:r>
      <w:r w:rsidR="00193728">
        <w:t>5</w:t>
      </w:r>
      <w:r w:rsidR="00273161" w:rsidRPr="006B42D6">
        <w:t>.6</w:t>
      </w:r>
      <w:r w:rsidRPr="006B42D6">
        <w:tab/>
        <w:t>Herbicide</w:t>
      </w:r>
      <w:r w:rsidR="004B5E70">
        <w:t>s</w:t>
      </w:r>
      <w:bookmarkEnd w:id="396"/>
    </w:p>
    <w:p w14:paraId="54A79EAD" w14:textId="60EB4297" w:rsidR="00163E8A" w:rsidRDefault="00BA275B" w:rsidP="00BA275B">
      <w:r w:rsidRPr="006B42D6">
        <w:t xml:space="preserve">Herbicide use was </w:t>
      </w:r>
      <w:r w:rsidR="00163E8A" w:rsidRPr="006B42D6">
        <w:t>reported</w:t>
      </w:r>
      <w:r w:rsidRPr="006B42D6">
        <w:t xml:space="preserve"> by 876,880 (11.</w:t>
      </w:r>
      <w:r w:rsidR="00163E8A" w:rsidRPr="006B42D6">
        <w:t>4</w:t>
      </w:r>
      <w:r w:rsidRPr="006B42D6">
        <w:t xml:space="preserve"> percent of the crop growing households) in Tanzania, out of which 854,788 households were in </w:t>
      </w:r>
      <w:r w:rsidR="00EA1552">
        <w:t>Mainland Tanzania</w:t>
      </w:r>
      <w:r w:rsidRPr="006B42D6">
        <w:t xml:space="preserve"> and 22,092 in Tanzania Zanzibar. </w:t>
      </w:r>
      <w:r w:rsidR="00163E8A" w:rsidRPr="006B42D6">
        <w:t xml:space="preserve">In </w:t>
      </w:r>
      <w:r w:rsidR="00EA1552">
        <w:t>Mainland Tanzania</w:t>
      </w:r>
      <w:r w:rsidR="00163E8A" w:rsidRPr="006B42D6">
        <w:t xml:space="preserve">, Morogoro </w:t>
      </w:r>
      <w:r w:rsidR="004B5E70">
        <w:t xml:space="preserve">region </w:t>
      </w:r>
      <w:r w:rsidR="00163E8A" w:rsidRPr="006B42D6">
        <w:t xml:space="preserve">was leading with 143,833 </w:t>
      </w:r>
      <w:r w:rsidR="004B5E70">
        <w:t xml:space="preserve">households </w:t>
      </w:r>
      <w:r w:rsidR="00163E8A" w:rsidRPr="006B42D6">
        <w:t xml:space="preserve">(16.8 percent) using herbicides, followed by Mbeya (125,683; 14.7 percent) and Lindi (84,240; 9.9 percent). Region with the least use of herbicides was observed in Simiyu (2,965; 0.3 percent). </w:t>
      </w:r>
      <w:r w:rsidR="00354B6A">
        <w:t>In</w:t>
      </w:r>
      <w:r w:rsidR="00163E8A" w:rsidRPr="006B42D6">
        <w:t xml:space="preserve"> Tanzania Zanzibar, Kusini Pemba region was leading with 9,116 </w:t>
      </w:r>
      <w:r w:rsidR="004B5E70" w:rsidRPr="006B42D6">
        <w:t xml:space="preserve">households </w:t>
      </w:r>
      <w:r w:rsidR="00163E8A" w:rsidRPr="006B42D6">
        <w:t>(41.3 percent) using herbicides, followed by Kaskazini Unguja (4,897; 22.2 percent), whilst, the least percentage was in Kaskazini Pemba (2,134; 9.7 percent) (Figure 3.</w:t>
      </w:r>
      <w:r w:rsidR="00273161" w:rsidRPr="006B42D6">
        <w:t>82</w:t>
      </w:r>
      <w:r w:rsidR="00163E8A" w:rsidRPr="006B42D6">
        <w:t xml:space="preserve"> &amp; 3.</w:t>
      </w:r>
      <w:r w:rsidR="00273161" w:rsidRPr="006B42D6">
        <w:t>83</w:t>
      </w:r>
      <w:r w:rsidR="00163E8A" w:rsidRPr="006B42D6">
        <w:t>).</w:t>
      </w:r>
    </w:p>
    <w:p w14:paraId="45FA9869" w14:textId="5E300F17" w:rsidR="004736C3" w:rsidRDefault="004736C3" w:rsidP="004736C3">
      <w:pPr>
        <w:spacing w:line="240" w:lineRule="auto"/>
      </w:pPr>
    </w:p>
    <w:p w14:paraId="7C58A459" w14:textId="47299B95" w:rsidR="004736C3" w:rsidRPr="00A77075" w:rsidRDefault="004736C3" w:rsidP="004736C3">
      <w:pPr>
        <w:pStyle w:val="Caption"/>
        <w:rPr>
          <w:b w:val="0"/>
          <w:i/>
          <w:noProof/>
        </w:rPr>
      </w:pPr>
      <w:bookmarkStart w:id="397" w:name="_Toc80884136"/>
      <w:bookmarkStart w:id="398" w:name="_Toc80884507"/>
      <w:bookmarkStart w:id="399" w:name="_Toc82386359"/>
      <w:r w:rsidRPr="00944CFE">
        <w:t>Figure 3.8</w:t>
      </w:r>
      <w:r>
        <w:t>2</w:t>
      </w:r>
      <w:r w:rsidRPr="00944CFE">
        <w:t>:</w:t>
      </w:r>
      <w:r>
        <w:tab/>
      </w:r>
      <w:r w:rsidRPr="00124FC4">
        <w:t xml:space="preserve">Percentage Distribution of Households </w:t>
      </w:r>
      <w:r>
        <w:t>Using H</w:t>
      </w:r>
      <w:r w:rsidRPr="00124FC4">
        <w:t>erbicide</w:t>
      </w:r>
      <w:r w:rsidR="004B5E70">
        <w:t>s</w:t>
      </w:r>
      <w:r w:rsidRPr="00124FC4">
        <w:t xml:space="preserve"> During 2019/20 Agricultural Year, </w:t>
      </w:r>
      <w:r>
        <w:t>Mainland Tanzania</w:t>
      </w:r>
      <w:bookmarkEnd w:id="397"/>
      <w:bookmarkEnd w:id="398"/>
      <w:bookmarkEnd w:id="399"/>
    </w:p>
    <w:p w14:paraId="13D77A08" w14:textId="3CF2BC2B" w:rsidR="004B5E70" w:rsidRDefault="004736C3" w:rsidP="004B5E70">
      <w:r>
        <w:rPr>
          <w:noProof/>
        </w:rPr>
        <w:drawing>
          <wp:inline distT="0" distB="0" distL="0" distR="0" wp14:anchorId="2BD22DA1" wp14:editId="5074C140">
            <wp:extent cx="5459702" cy="2332990"/>
            <wp:effectExtent l="0" t="0" r="14605" b="16510"/>
            <wp:docPr id="474" name="Chart 47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4"/>
              </a:graphicData>
            </a:graphic>
          </wp:inline>
        </w:drawing>
      </w:r>
      <w:r w:rsidR="004B5E70">
        <w:br w:type="page"/>
      </w:r>
    </w:p>
    <w:p w14:paraId="2CE435C4" w14:textId="36F43543" w:rsidR="004736C3" w:rsidRPr="000E00D3" w:rsidRDefault="004736C3" w:rsidP="004736C3">
      <w:pPr>
        <w:pStyle w:val="Caption"/>
        <w:ind w:left="1140" w:right="2041" w:hanging="1140"/>
      </w:pPr>
      <w:bookmarkStart w:id="400" w:name="_Toc80884135"/>
      <w:bookmarkStart w:id="401" w:name="_Toc80884506"/>
      <w:bookmarkStart w:id="402" w:name="_Toc82386360"/>
      <w:r w:rsidRPr="00944CFE">
        <w:lastRenderedPageBreak/>
        <w:t>Figure 3.8</w:t>
      </w:r>
      <w:r>
        <w:t>3</w:t>
      </w:r>
      <w:r w:rsidRPr="00944CFE">
        <w:t>:</w:t>
      </w:r>
      <w:r>
        <w:tab/>
      </w:r>
      <w:r w:rsidRPr="00354B6A">
        <w:t xml:space="preserve">Percentage of Households </w:t>
      </w:r>
      <w:r w:rsidR="004B5E70">
        <w:t>Using</w:t>
      </w:r>
      <w:r w:rsidRPr="00354B6A">
        <w:t xml:space="preserve"> Herbicide</w:t>
      </w:r>
      <w:r w:rsidR="004B5E70">
        <w:t>s</w:t>
      </w:r>
      <w:r w:rsidRPr="00354B6A">
        <w:t xml:space="preserve"> During 2019/20 Agricultural Year, Tanzania Zanzibar</w:t>
      </w:r>
      <w:bookmarkEnd w:id="400"/>
      <w:bookmarkEnd w:id="401"/>
      <w:bookmarkEnd w:id="402"/>
    </w:p>
    <w:p w14:paraId="17056635" w14:textId="0EBB62B2" w:rsidR="004736C3" w:rsidRDefault="004736C3" w:rsidP="003D0B02">
      <w:r>
        <w:rPr>
          <w:noProof/>
        </w:rPr>
        <w:drawing>
          <wp:inline distT="0" distB="0" distL="0" distR="0" wp14:anchorId="45C5EE00" wp14:editId="2A26A76B">
            <wp:extent cx="4438511" cy="2332355"/>
            <wp:effectExtent l="0" t="0" r="6985" b="17145"/>
            <wp:docPr id="475" name="Chart 47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5"/>
              </a:graphicData>
            </a:graphic>
          </wp:inline>
        </w:drawing>
      </w:r>
    </w:p>
    <w:p w14:paraId="17556E7B" w14:textId="4C13561B" w:rsidR="004736C3" w:rsidRDefault="004736C3" w:rsidP="003D0B02"/>
    <w:p w14:paraId="69656FDC" w14:textId="0B3BFCC2" w:rsidR="00163E8A" w:rsidRPr="006B42D6" w:rsidRDefault="004736C3" w:rsidP="003D0B02">
      <w:r w:rsidRPr="006B42D6">
        <w:rPr>
          <w:noProof/>
        </w:rPr>
        <w:drawing>
          <wp:anchor distT="6096" distB="5715" distL="120396" distR="120523" simplePos="0" relativeHeight="251694080" behindDoc="1" locked="0" layoutInCell="1" allowOverlap="1" wp14:anchorId="2D4EC03D" wp14:editId="27F16E51">
            <wp:simplePos x="0" y="0"/>
            <wp:positionH relativeFrom="column">
              <wp:posOffset>2817495</wp:posOffset>
            </wp:positionH>
            <wp:positionV relativeFrom="paragraph">
              <wp:posOffset>566040</wp:posOffset>
            </wp:positionV>
            <wp:extent cx="3120390" cy="2249805"/>
            <wp:effectExtent l="0" t="0" r="16510" b="10795"/>
            <wp:wrapTight wrapText="bothSides">
              <wp:wrapPolygon edited="0">
                <wp:start x="0" y="0"/>
                <wp:lineTo x="0" y="21582"/>
                <wp:lineTo x="21626" y="21582"/>
                <wp:lineTo x="21626" y="0"/>
                <wp:lineTo x="0" y="0"/>
              </wp:wrapPolygon>
            </wp:wrapTight>
            <wp:docPr id="158" name="Chart 36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6"/>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27872" behindDoc="1" locked="0" layoutInCell="1" allowOverlap="1" wp14:anchorId="3A53639D" wp14:editId="7421E6F9">
                <wp:simplePos x="0" y="0"/>
                <wp:positionH relativeFrom="column">
                  <wp:posOffset>2876550</wp:posOffset>
                </wp:positionH>
                <wp:positionV relativeFrom="paragraph">
                  <wp:posOffset>13335</wp:posOffset>
                </wp:positionV>
                <wp:extent cx="3120390" cy="460375"/>
                <wp:effectExtent l="0" t="0" r="3810" b="0"/>
                <wp:wrapTight wrapText="bothSides">
                  <wp:wrapPolygon edited="0">
                    <wp:start x="0" y="0"/>
                    <wp:lineTo x="0" y="20855"/>
                    <wp:lineTo x="21538" y="20855"/>
                    <wp:lineTo x="21538" y="0"/>
                    <wp:lineTo x="0" y="0"/>
                  </wp:wrapPolygon>
                </wp:wrapTight>
                <wp:docPr id="157" name="Text Box 157"/>
                <wp:cNvGraphicFramePr/>
                <a:graphic xmlns:a="http://schemas.openxmlformats.org/drawingml/2006/main">
                  <a:graphicData uri="http://schemas.microsoft.com/office/word/2010/wordprocessingShape">
                    <wps:wsp>
                      <wps:cNvSpPr txBox="1"/>
                      <wps:spPr>
                        <a:xfrm>
                          <a:off x="0" y="0"/>
                          <a:ext cx="3120390" cy="460375"/>
                        </a:xfrm>
                        <a:prstGeom prst="rect">
                          <a:avLst/>
                        </a:prstGeom>
                        <a:solidFill>
                          <a:prstClr val="white"/>
                        </a:solidFill>
                        <a:ln>
                          <a:noFill/>
                        </a:ln>
                      </wps:spPr>
                      <wps:txbx>
                        <w:txbxContent>
                          <w:p w14:paraId="3498864B" w14:textId="7296E7AD" w:rsidR="00933456" w:rsidRPr="008E7BB5" w:rsidRDefault="00933456" w:rsidP="001959ED">
                            <w:pPr>
                              <w:pStyle w:val="Caption"/>
                            </w:pPr>
                            <w:bookmarkStart w:id="403" w:name="_Toc80120261"/>
                            <w:bookmarkStart w:id="404" w:name="_Toc80884137"/>
                            <w:bookmarkStart w:id="405" w:name="_Toc80884508"/>
                            <w:bookmarkStart w:id="406" w:name="_Toc82386361"/>
                            <w:r w:rsidRPr="008E7BB5">
                              <w:t>Figure 3.84:</w:t>
                            </w:r>
                            <w:r>
                              <w:tab/>
                            </w:r>
                            <w:r w:rsidRPr="008E7BB5">
                              <w:t>Percentage Distribution of Households by Source of Herbicides During 2019/20 Agricultural Year, Tanzania</w:t>
                            </w:r>
                            <w:bookmarkEnd w:id="403"/>
                            <w:bookmarkEnd w:id="404"/>
                            <w:bookmarkEnd w:id="405"/>
                            <w:bookmarkEnd w:id="406"/>
                          </w:p>
                          <w:p w14:paraId="03C64F31" w14:textId="39EC2D74" w:rsidR="00933456" w:rsidRPr="00F06A57" w:rsidRDefault="00933456" w:rsidP="001959ED">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53639D" id="Text Box 157" o:spid="_x0000_s1067" type="#_x0000_t202" style="position:absolute;left:0;text-align:left;margin-left:226.5pt;margin-top:1.05pt;width:245.7pt;height:36.25pt;z-index:-251588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" stroked="f">
                <v:textbox inset="0,0,0,0">
                  <w:txbxContent>
                    <w:p w14:paraId="3498864B" w14:textId="7296E7AD" w:rsidR="00933456" w:rsidRPr="008E7BB5" w:rsidRDefault="00933456" w:rsidP="001959ED">
                      <w:pPr>
                        <w:pStyle w:val="Caption"/>
                      </w:pPr>
                      <w:bookmarkStart w:id="546" w:name="_Toc80120261"/>
                      <w:bookmarkStart w:id="547" w:name="_Toc80884137"/>
                      <w:bookmarkStart w:id="548" w:name="_Toc80884508"/>
                      <w:bookmarkStart w:id="549" w:name="_Toc82386361"/>
                      <w:r w:rsidRPr="008E7BB5">
                        <w:t>Figure 3.84:</w:t>
                      </w:r>
                      <w:r>
                        <w:tab/>
                      </w:r>
                      <w:r w:rsidRPr="008E7BB5">
                        <w:t>Percentage Distribution of Households by Source of Herbicides During 2019/20 Agricultural Year, Tanzania</w:t>
                      </w:r>
                      <w:bookmarkEnd w:id="546"/>
                      <w:bookmarkEnd w:id="547"/>
                      <w:bookmarkEnd w:id="548"/>
                      <w:bookmarkEnd w:id="549"/>
                    </w:p>
                    <w:p w14:paraId="03C64F31" w14:textId="39EC2D74" w:rsidR="00933456" w:rsidRPr="00F06A57" w:rsidRDefault="00933456" w:rsidP="001959ED">
                      <w:pPr>
                        <w:pStyle w:val="Caption"/>
                        <w:rPr>
                          <w:noProof/>
                        </w:rPr>
                      </w:pPr>
                    </w:p>
                  </w:txbxContent>
                </v:textbox>
                <w10:wrap type="tight"/>
              </v:shape>
            </w:pict>
          </mc:Fallback>
        </mc:AlternateContent>
      </w:r>
      <w:r w:rsidR="00163E8A" w:rsidRPr="006B42D6">
        <w:t xml:space="preserve">As for other inorganic inputs, herbicide was mostly obtained </w:t>
      </w:r>
      <w:r w:rsidR="008E7BB5" w:rsidRPr="006B42D6">
        <w:t xml:space="preserve">by households through purchasing from local market/trade </w:t>
      </w:r>
      <w:r w:rsidR="00163E8A" w:rsidRPr="006B42D6">
        <w:t xml:space="preserve">store (678,745; 77.4 percent). </w:t>
      </w:r>
      <w:r w:rsidR="003D0B02">
        <w:t>O</w:t>
      </w:r>
      <w:r w:rsidR="00163E8A" w:rsidRPr="006B42D6">
        <w:t xml:space="preserve">ther sources such as </w:t>
      </w:r>
      <w:r w:rsidR="00354B6A">
        <w:t>g</w:t>
      </w:r>
      <w:r w:rsidR="00163E8A" w:rsidRPr="006B42D6">
        <w:t xml:space="preserve">overnment (36,554; 4.2 percent) and </w:t>
      </w:r>
      <w:r w:rsidR="00354B6A">
        <w:t>l</w:t>
      </w:r>
      <w:r w:rsidR="00163E8A" w:rsidRPr="006B42D6">
        <w:t>ocal farmers group (26,079; 3.0 percent) were reported by few households (Figure 3.</w:t>
      </w:r>
      <w:r w:rsidR="00273161" w:rsidRPr="006B42D6">
        <w:t>84</w:t>
      </w:r>
      <w:r w:rsidR="00163E8A" w:rsidRPr="006B42D6">
        <w:t>).</w:t>
      </w:r>
    </w:p>
    <w:p w14:paraId="03CD5D4E" w14:textId="77777777" w:rsidR="003D0B02" w:rsidRDefault="003D0B02" w:rsidP="00EA717C">
      <w:pPr>
        <w:spacing w:line="240" w:lineRule="auto"/>
      </w:pPr>
    </w:p>
    <w:p w14:paraId="7F7D0984" w14:textId="77777777" w:rsidR="000E00D3" w:rsidRDefault="000E00D3" w:rsidP="000E00D3">
      <w:pPr>
        <w:spacing w:line="480" w:lineRule="auto"/>
        <w:contextualSpacing w:val="0"/>
        <w:jc w:val="left"/>
      </w:pPr>
    </w:p>
    <w:p w14:paraId="0F3E114B" w14:textId="77777777" w:rsidR="000E00D3" w:rsidRDefault="000E00D3">
      <w:pPr>
        <w:spacing w:line="240" w:lineRule="auto"/>
        <w:contextualSpacing w:val="0"/>
        <w:jc w:val="left"/>
        <w:rPr>
          <w:b/>
          <w:bCs/>
          <w:szCs w:val="22"/>
        </w:rPr>
      </w:pPr>
      <w:r>
        <w:br w:type="page"/>
      </w:r>
    </w:p>
    <w:p w14:paraId="0733B294" w14:textId="4CE884DE" w:rsidR="00BA275B" w:rsidRPr="006B42D6" w:rsidRDefault="00BA275B" w:rsidP="00BA275B">
      <w:pPr>
        <w:pStyle w:val="Heading2"/>
      </w:pPr>
      <w:bookmarkStart w:id="407" w:name="_Toc82385718"/>
      <w:r w:rsidRPr="006B42D6">
        <w:lastRenderedPageBreak/>
        <w:t>3.</w:t>
      </w:r>
      <w:r w:rsidR="00193728">
        <w:t>6</w:t>
      </w:r>
      <w:r w:rsidRPr="006B42D6">
        <w:tab/>
        <w:t>Crop Extension Service</w:t>
      </w:r>
      <w:r w:rsidR="001959ED">
        <w:t>s</w:t>
      </w:r>
      <w:bookmarkEnd w:id="407"/>
    </w:p>
    <w:p w14:paraId="4C149A81" w14:textId="4455D31E" w:rsidR="00214AFA" w:rsidRDefault="00214AFA" w:rsidP="00EA717C">
      <w:r w:rsidRPr="006B42D6">
        <w:t>This section presents information on various extension services received</w:t>
      </w:r>
      <w:r w:rsidR="00A32971" w:rsidRPr="006B42D6">
        <w:t>, sources and practices by crop growing households during 2019/20 agricultural year. The extension services discussed in this section include spacing, use of agr</w:t>
      </w:r>
      <w:r w:rsidR="001959ED">
        <w:t>o</w:t>
      </w:r>
      <w:r w:rsidR="00A32971" w:rsidRPr="006B42D6">
        <w:t>chemicals, erosion control, fertilizer and seed use, and marketing to mention the few.</w:t>
      </w:r>
    </w:p>
    <w:p w14:paraId="2B910B47" w14:textId="77777777" w:rsidR="0006368A" w:rsidRPr="0006368A" w:rsidRDefault="0006368A" w:rsidP="00EA717C">
      <w:pPr>
        <w:rPr>
          <w:sz w:val="6"/>
          <w:szCs w:val="6"/>
        </w:rPr>
      </w:pPr>
    </w:p>
    <w:bookmarkStart w:id="408" w:name="_Toc82385719"/>
    <w:p w14:paraId="655688D7" w14:textId="3AB320B6" w:rsidR="00BA275B" w:rsidRPr="006B42D6" w:rsidRDefault="00850E7D" w:rsidP="00BA275B">
      <w:pPr>
        <w:pStyle w:val="Heading3"/>
      </w:pPr>
      <w:r>
        <w:rPr>
          <w:noProof/>
        </w:rPr>
        <mc:AlternateContent>
          <mc:Choice Requires="wps">
            <w:drawing>
              <wp:anchor distT="0" distB="0" distL="114300" distR="114300" simplePos="0" relativeHeight="251751424" behindDoc="1" locked="0" layoutInCell="1" allowOverlap="1" wp14:anchorId="3DF9B4A2" wp14:editId="53A6DE95">
                <wp:simplePos x="0" y="0"/>
                <wp:positionH relativeFrom="column">
                  <wp:posOffset>2853342</wp:posOffset>
                </wp:positionH>
                <wp:positionV relativeFrom="paragraph">
                  <wp:posOffset>203835</wp:posOffset>
                </wp:positionV>
                <wp:extent cx="3136900" cy="627380"/>
                <wp:effectExtent l="0" t="0" r="0" b="0"/>
                <wp:wrapTight wrapText="bothSides">
                  <wp:wrapPolygon edited="0">
                    <wp:start x="0" y="0"/>
                    <wp:lineTo x="0" y="20988"/>
                    <wp:lineTo x="21513" y="20988"/>
                    <wp:lineTo x="21513" y="0"/>
                    <wp:lineTo x="0" y="0"/>
                  </wp:wrapPolygon>
                </wp:wrapTight>
                <wp:docPr id="21" name="Text Box 21"/>
                <wp:cNvGraphicFramePr/>
                <a:graphic xmlns:a="http://schemas.openxmlformats.org/drawingml/2006/main">
                  <a:graphicData uri="http://schemas.microsoft.com/office/word/2010/wordprocessingShape">
                    <wps:wsp>
                      <wps:cNvSpPr txBox="1"/>
                      <wps:spPr>
                        <a:xfrm>
                          <a:off x="0" y="0"/>
                          <a:ext cx="3136900" cy="627380"/>
                        </a:xfrm>
                        <a:prstGeom prst="rect">
                          <a:avLst/>
                        </a:prstGeom>
                        <a:solidFill>
                          <a:prstClr val="white"/>
                        </a:solidFill>
                        <a:ln>
                          <a:noFill/>
                        </a:ln>
                      </wps:spPr>
                      <wps:txbx>
                        <w:txbxContent>
                          <w:p w14:paraId="186845F2" w14:textId="1EACFDFB" w:rsidR="00933456" w:rsidRPr="008E7BB5" w:rsidRDefault="00933456" w:rsidP="00EA717C">
                            <w:pPr>
                              <w:pStyle w:val="Caption"/>
                            </w:pPr>
                            <w:bookmarkStart w:id="409" w:name="_Toc80884138"/>
                            <w:bookmarkStart w:id="410" w:name="_Toc80884509"/>
                            <w:bookmarkStart w:id="411" w:name="_Toc82386362"/>
                            <w:r w:rsidRPr="008E7BB5">
                              <w:t>Figure 3.8</w:t>
                            </w:r>
                            <w:r>
                              <w:t>5</w:t>
                            </w:r>
                            <w:r w:rsidRPr="008E7BB5">
                              <w:t>:</w:t>
                            </w:r>
                            <w:r>
                              <w:tab/>
                            </w:r>
                            <w:r w:rsidRPr="006B42D6">
                              <w:t>Percentage Distribution of Agricultural Households Receiving Crop Extension Advices During 2019/20 Agricultural Year, Tanzania</w:t>
                            </w:r>
                            <w:bookmarkEnd w:id="409"/>
                            <w:bookmarkEnd w:id="410"/>
                            <w:bookmarkEnd w:id="411"/>
                          </w:p>
                          <w:p w14:paraId="7350259C" w14:textId="77777777" w:rsidR="00933456" w:rsidRPr="00F06A57" w:rsidRDefault="00933456" w:rsidP="00EA717C">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F9B4A2" id="Text Box 21" o:spid="_x0000_s1068" type="#_x0000_t202" style="position:absolute;left:0;text-align:left;margin-left:224.65pt;margin-top:16.05pt;width:247pt;height:49.4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" stroked="f">
                <v:textbox inset="0,0,0,0">
                  <w:txbxContent>
                    <w:p w14:paraId="186845F2" w14:textId="1EACFDFB" w:rsidR="00933456" w:rsidRPr="008E7BB5" w:rsidRDefault="00933456" w:rsidP="00EA717C">
                      <w:pPr>
                        <w:pStyle w:val="Caption"/>
                      </w:pPr>
                      <w:bookmarkStart w:id="555" w:name="_Toc80884138"/>
                      <w:bookmarkStart w:id="556" w:name="_Toc80884509"/>
                      <w:bookmarkStart w:id="557" w:name="_Toc82386362"/>
                      <w:r w:rsidRPr="008E7BB5">
                        <w:t>Figure 3.8</w:t>
                      </w:r>
                      <w:r>
                        <w:t>5</w:t>
                      </w:r>
                      <w:r w:rsidRPr="008E7BB5">
                        <w:t>:</w:t>
                      </w:r>
                      <w:r>
                        <w:tab/>
                      </w:r>
                      <w:r w:rsidRPr="006B42D6">
                        <w:t>Percentage Distribution of Agricultural Households Receiving Crop Extension Advices During 2019/20 Agricultural Year, Tanzania</w:t>
                      </w:r>
                      <w:bookmarkEnd w:id="555"/>
                      <w:bookmarkEnd w:id="556"/>
                      <w:bookmarkEnd w:id="557"/>
                    </w:p>
                    <w:p w14:paraId="7350259C" w14:textId="77777777" w:rsidR="00933456" w:rsidRPr="00F06A57" w:rsidRDefault="00933456" w:rsidP="00EA717C">
                      <w:pPr>
                        <w:pStyle w:val="Caption"/>
                        <w:rPr>
                          <w:noProof/>
                        </w:rPr>
                      </w:pPr>
                    </w:p>
                  </w:txbxContent>
                </v:textbox>
                <w10:wrap type="tight"/>
              </v:shape>
            </w:pict>
          </mc:Fallback>
        </mc:AlternateContent>
      </w:r>
      <w:r w:rsidR="00BA275B" w:rsidRPr="006B42D6">
        <w:t>3.</w:t>
      </w:r>
      <w:r w:rsidR="00193728">
        <w:t>6</w:t>
      </w:r>
      <w:r w:rsidR="00BA275B" w:rsidRPr="006B42D6">
        <w:t>.1</w:t>
      </w:r>
      <w:r w:rsidR="00BA275B" w:rsidRPr="006B42D6">
        <w:tab/>
        <w:t>Access to Crop Extension</w:t>
      </w:r>
      <w:r w:rsidR="001959ED">
        <w:t xml:space="preserve"> Services</w:t>
      </w:r>
      <w:bookmarkEnd w:id="408"/>
    </w:p>
    <w:p w14:paraId="43CC9F55" w14:textId="75477969" w:rsidR="00BA275B" w:rsidRPr="006B42D6" w:rsidRDefault="00EA717C" w:rsidP="003D0B02">
      <w:r w:rsidRPr="006B42D6">
        <w:rPr>
          <w:noProof/>
        </w:rPr>
        <w:drawing>
          <wp:anchor distT="0" distB="0" distL="114300" distR="114300" simplePos="0" relativeHeight="251750400" behindDoc="1" locked="0" layoutInCell="1" allowOverlap="1" wp14:anchorId="5F26098D" wp14:editId="43B5EB58">
            <wp:simplePos x="0" y="0"/>
            <wp:positionH relativeFrom="column">
              <wp:posOffset>2809639</wp:posOffset>
            </wp:positionH>
            <wp:positionV relativeFrom="paragraph">
              <wp:posOffset>385445</wp:posOffset>
            </wp:positionV>
            <wp:extent cx="2903220" cy="1715135"/>
            <wp:effectExtent l="0" t="0" r="17780" b="12065"/>
            <wp:wrapTight wrapText="bothSides">
              <wp:wrapPolygon edited="0">
                <wp:start x="0" y="0"/>
                <wp:lineTo x="0" y="21592"/>
                <wp:lineTo x="21638" y="21592"/>
                <wp:lineTo x="21638" y="0"/>
                <wp:lineTo x="0" y="0"/>
              </wp:wrapPolygon>
            </wp:wrapTight>
            <wp:docPr id="90" name="Chart 49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7"/>
              </a:graphicData>
            </a:graphic>
            <wp14:sizeRelH relativeFrom="page">
              <wp14:pctWidth>0</wp14:pctWidth>
            </wp14:sizeRelH>
            <wp14:sizeRelV relativeFrom="page">
              <wp14:pctHeight>0</wp14:pctHeight>
            </wp14:sizeRelV>
          </wp:anchor>
        </w:drawing>
      </w:r>
      <w:r w:rsidR="00BA275B" w:rsidRPr="006B42D6">
        <w:t>Out of 7,677,291 crop growing households in Tanzania, 53</w:t>
      </w:r>
      <w:r w:rsidR="003F5757" w:rsidRPr="006B42D6">
        <w:t>7</w:t>
      </w:r>
      <w:r w:rsidR="00BA275B" w:rsidRPr="006B42D6">
        <w:t>,</w:t>
      </w:r>
      <w:r w:rsidR="003F5757" w:rsidRPr="006B42D6">
        <w:t>701</w:t>
      </w:r>
      <w:r w:rsidR="00BA275B" w:rsidRPr="006B42D6">
        <w:t xml:space="preserve"> households (</w:t>
      </w:r>
      <w:r w:rsidR="006E7AE9">
        <w:t>6.9</w:t>
      </w:r>
      <w:r w:rsidR="00BA275B" w:rsidRPr="006B42D6">
        <w:t xml:space="preserve"> percent) received crop extension </w:t>
      </w:r>
      <w:r w:rsidR="00C455F8">
        <w:t>advices</w:t>
      </w:r>
      <w:r w:rsidR="00BA275B" w:rsidRPr="006B42D6">
        <w:t xml:space="preserve"> during 2019/20 agricultural year. </w:t>
      </w:r>
      <w:r w:rsidR="003F5757" w:rsidRPr="006B42D6">
        <w:t xml:space="preserve">Out of the total households received </w:t>
      </w:r>
      <w:r w:rsidR="00275016">
        <w:t xml:space="preserve">crop </w:t>
      </w:r>
      <w:r w:rsidR="003F5757" w:rsidRPr="006B42D6">
        <w:t xml:space="preserve">extension </w:t>
      </w:r>
      <w:r w:rsidR="00275016">
        <w:t>advices</w:t>
      </w:r>
      <w:r w:rsidR="003F5757" w:rsidRPr="006B42D6">
        <w:t xml:space="preserve"> in Tanzania, </w:t>
      </w:r>
      <w:r w:rsidR="00BA275B" w:rsidRPr="006B42D6">
        <w:t>5</w:t>
      </w:r>
      <w:r w:rsidR="003F5757" w:rsidRPr="006B42D6">
        <w:t>19</w:t>
      </w:r>
      <w:r w:rsidR="00BA275B" w:rsidRPr="006B42D6">
        <w:t>,</w:t>
      </w:r>
      <w:r w:rsidR="003F5757" w:rsidRPr="006B42D6">
        <w:t xml:space="preserve">802 </w:t>
      </w:r>
      <w:r w:rsidR="00275016">
        <w:t xml:space="preserve">households </w:t>
      </w:r>
      <w:r w:rsidR="003F5757" w:rsidRPr="006B42D6">
        <w:t xml:space="preserve">were from </w:t>
      </w:r>
      <w:r w:rsidR="00EA1552">
        <w:t>Mainland Tanzania</w:t>
      </w:r>
      <w:r w:rsidR="003F5757" w:rsidRPr="006B42D6">
        <w:t xml:space="preserve"> and 17,899 </w:t>
      </w:r>
      <w:r w:rsidR="00275016">
        <w:t>in</w:t>
      </w:r>
      <w:r w:rsidR="003F5757" w:rsidRPr="006B42D6">
        <w:t xml:space="preserve"> Tanzania Zanzibar </w:t>
      </w:r>
      <w:r w:rsidR="00BA275B" w:rsidRPr="006B42D6">
        <w:t>(Figure 3.</w:t>
      </w:r>
      <w:r w:rsidR="00273161" w:rsidRPr="006B42D6">
        <w:t>85</w:t>
      </w:r>
      <w:r w:rsidR="00BA275B" w:rsidRPr="006B42D6">
        <w:t>).</w:t>
      </w:r>
    </w:p>
    <w:p w14:paraId="07252F05" w14:textId="77777777" w:rsidR="00EA717C" w:rsidRPr="006B42D6" w:rsidRDefault="00EA717C" w:rsidP="00EA717C">
      <w:pPr>
        <w:spacing w:line="240" w:lineRule="auto"/>
        <w:rPr>
          <w:b/>
        </w:rPr>
      </w:pPr>
    </w:p>
    <w:p w14:paraId="3F06FC5C" w14:textId="037AA812" w:rsidR="00BA275B" w:rsidRPr="006B42D6" w:rsidRDefault="003F5757" w:rsidP="00BA275B">
      <w:pPr>
        <w:spacing w:before="100" w:beforeAutospacing="1" w:after="100" w:afterAutospacing="1"/>
      </w:pPr>
      <w:r w:rsidRPr="006B42D6">
        <w:t>In</w:t>
      </w:r>
      <w:r w:rsidR="00BA275B" w:rsidRPr="006B42D6">
        <w:t xml:space="preserve"> </w:t>
      </w:r>
      <w:r w:rsidR="00EA1552">
        <w:t>Mainland Tanzania</w:t>
      </w:r>
      <w:r w:rsidR="00BA275B" w:rsidRPr="006B42D6">
        <w:t xml:space="preserve">, </w:t>
      </w:r>
      <w:r w:rsidRPr="006B42D6">
        <w:t xml:space="preserve">from the total number of households reported to receive extension </w:t>
      </w:r>
      <w:r w:rsidR="00275016">
        <w:t>advices</w:t>
      </w:r>
      <w:r w:rsidRPr="006B42D6">
        <w:t>, Tabora</w:t>
      </w:r>
      <w:r w:rsidR="00BA275B" w:rsidRPr="006B42D6">
        <w:t xml:space="preserve"> region had largest </w:t>
      </w:r>
      <w:r w:rsidRPr="006B42D6">
        <w:t xml:space="preserve">number of </w:t>
      </w:r>
      <w:r w:rsidR="00BA275B" w:rsidRPr="006B42D6">
        <w:t xml:space="preserve">households </w:t>
      </w:r>
      <w:r w:rsidRPr="006B42D6">
        <w:t>(39,697; 7.6</w:t>
      </w:r>
      <w:r w:rsidR="00BA275B" w:rsidRPr="006B42D6">
        <w:t xml:space="preserve"> percent), followed by </w:t>
      </w:r>
      <w:r w:rsidRPr="006B42D6">
        <w:t>Mbeya</w:t>
      </w:r>
      <w:r w:rsidR="00BA275B" w:rsidRPr="006B42D6">
        <w:t xml:space="preserve"> (</w:t>
      </w:r>
      <w:r w:rsidRPr="006B42D6">
        <w:t>35,796; 6</w:t>
      </w:r>
      <w:r w:rsidR="00BA275B" w:rsidRPr="006B42D6">
        <w:t>.</w:t>
      </w:r>
      <w:r w:rsidRPr="006B42D6">
        <w:t>9</w:t>
      </w:r>
      <w:r w:rsidR="00BA275B" w:rsidRPr="006B42D6">
        <w:t xml:space="preserve"> percent) and </w:t>
      </w:r>
      <w:r w:rsidRPr="006B42D6">
        <w:t>Ruvuma</w:t>
      </w:r>
      <w:r w:rsidR="00BA275B" w:rsidRPr="006B42D6">
        <w:t xml:space="preserve"> (</w:t>
      </w:r>
      <w:r w:rsidRPr="006B42D6">
        <w:t>32,104; 6.2</w:t>
      </w:r>
      <w:r w:rsidR="00BA275B" w:rsidRPr="006B42D6">
        <w:t xml:space="preserve"> percent). On the other hand, </w:t>
      </w:r>
      <w:r w:rsidRPr="006B42D6">
        <w:t>Katavi region reported</w:t>
      </w:r>
      <w:r w:rsidR="00BA275B" w:rsidRPr="006B42D6">
        <w:t xml:space="preserve"> the least </w:t>
      </w:r>
      <w:r w:rsidRPr="006B42D6">
        <w:t xml:space="preserve">number </w:t>
      </w:r>
      <w:r w:rsidR="00BA275B" w:rsidRPr="006B42D6">
        <w:t>of households received extension</w:t>
      </w:r>
      <w:r w:rsidR="00275016">
        <w:t xml:space="preserve"> advices</w:t>
      </w:r>
      <w:r w:rsidR="00BA275B" w:rsidRPr="006B42D6">
        <w:t xml:space="preserve"> (</w:t>
      </w:r>
      <w:r w:rsidRPr="006B42D6">
        <w:t>5,994; 1.2</w:t>
      </w:r>
      <w:r w:rsidR="00BA275B" w:rsidRPr="006B42D6">
        <w:t xml:space="preserve"> percent)</w:t>
      </w:r>
      <w:r w:rsidRPr="006B42D6">
        <w:t xml:space="preserve"> </w:t>
      </w:r>
      <w:r w:rsidR="00BA275B" w:rsidRPr="006B42D6">
        <w:t>(Figure 3.</w:t>
      </w:r>
      <w:r w:rsidR="00273161" w:rsidRPr="006B42D6">
        <w:t>86</w:t>
      </w:r>
      <w:r w:rsidR="00BA275B" w:rsidRPr="006B42D6">
        <w:t>).</w:t>
      </w:r>
      <w:r w:rsidRPr="006B42D6">
        <w:t xml:space="preserve"> </w:t>
      </w:r>
    </w:p>
    <w:p w14:paraId="48BD92BC" w14:textId="01F56198" w:rsidR="00BA275B" w:rsidRDefault="006B1F84" w:rsidP="008E7BB5">
      <w:pPr>
        <w:pStyle w:val="Caption"/>
      </w:pPr>
      <w:bookmarkStart w:id="412" w:name="_Toc82386363"/>
      <w:r w:rsidRPr="006B42D6">
        <w:rPr>
          <w:noProof/>
        </w:rPr>
        <w:drawing>
          <wp:anchor distT="0" distB="0" distL="114300" distR="114300" simplePos="0" relativeHeight="251752448" behindDoc="1" locked="0" layoutInCell="1" allowOverlap="1" wp14:anchorId="1244820A" wp14:editId="35127A6B">
            <wp:simplePos x="0" y="0"/>
            <wp:positionH relativeFrom="column">
              <wp:posOffset>0</wp:posOffset>
            </wp:positionH>
            <wp:positionV relativeFrom="paragraph">
              <wp:posOffset>375285</wp:posOffset>
            </wp:positionV>
            <wp:extent cx="5759450" cy="2421255"/>
            <wp:effectExtent l="0" t="0" r="6350" b="17145"/>
            <wp:wrapTight wrapText="bothSides">
              <wp:wrapPolygon edited="0">
                <wp:start x="0" y="0"/>
                <wp:lineTo x="0" y="21640"/>
                <wp:lineTo x="21576" y="21640"/>
                <wp:lineTo x="21576" y="0"/>
                <wp:lineTo x="0" y="0"/>
              </wp:wrapPolygon>
            </wp:wrapTight>
            <wp:docPr id="89" name="Chart 14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8"/>
              </a:graphicData>
            </a:graphic>
            <wp14:sizeRelH relativeFrom="page">
              <wp14:pctWidth>0</wp14:pctWidth>
            </wp14:sizeRelH>
            <wp14:sizeRelV relativeFrom="page">
              <wp14:pctHeight>0</wp14:pctHeight>
            </wp14:sizeRelV>
          </wp:anchor>
        </w:drawing>
      </w:r>
      <w:r w:rsidR="00BA275B" w:rsidRPr="006B42D6">
        <w:t>Figure 3.</w:t>
      </w:r>
      <w:r w:rsidR="00273161" w:rsidRPr="006B42D6">
        <w:t>86</w:t>
      </w:r>
      <w:r w:rsidR="00EA717C">
        <w:t>:</w:t>
      </w:r>
      <w:r w:rsidR="001959ED">
        <w:tab/>
      </w:r>
      <w:r w:rsidR="00BA275B" w:rsidRPr="006B42D6">
        <w:t xml:space="preserve">Percentage Distribution of Agricultural Households </w:t>
      </w:r>
      <w:r w:rsidR="007E5050" w:rsidRPr="006B42D6">
        <w:t>Reported to Receive</w:t>
      </w:r>
      <w:r w:rsidR="00BA275B" w:rsidRPr="006B42D6">
        <w:t xml:space="preserve"> Crop Extension </w:t>
      </w:r>
      <w:r w:rsidR="00275016">
        <w:t>Advices</w:t>
      </w:r>
      <w:r w:rsidR="00BA275B" w:rsidRPr="006B42D6">
        <w:t xml:space="preserve"> by Region During </w:t>
      </w:r>
      <w:r w:rsidR="007E5050" w:rsidRPr="006B42D6">
        <w:t>2019/20</w:t>
      </w:r>
      <w:r w:rsidR="00BA275B" w:rsidRPr="006B42D6">
        <w:t xml:space="preserve"> Agricultural Year, </w:t>
      </w:r>
      <w:r w:rsidR="00EA1552">
        <w:t>Mainland Tanzania</w:t>
      </w:r>
      <w:bookmarkEnd w:id="412"/>
    </w:p>
    <w:p w14:paraId="2BB32112" w14:textId="138E7DE7" w:rsidR="00275016" w:rsidRDefault="00275016">
      <w:pPr>
        <w:spacing w:line="240" w:lineRule="auto"/>
        <w:contextualSpacing w:val="0"/>
        <w:jc w:val="left"/>
      </w:pPr>
      <w:r>
        <w:br w:type="page"/>
      </w:r>
    </w:p>
    <w:p w14:paraId="1208832A" w14:textId="6A7EC85E" w:rsidR="00BA275B" w:rsidRDefault="00BA275B" w:rsidP="00BA275B">
      <w:pPr>
        <w:spacing w:before="100" w:beforeAutospacing="1" w:after="100" w:afterAutospacing="1"/>
      </w:pPr>
      <w:r w:rsidRPr="006B42D6">
        <w:lastRenderedPageBreak/>
        <w:t xml:space="preserve">In Tanzania Zanzibar, Mjini Magharibi had the highest </w:t>
      </w:r>
      <w:r w:rsidR="007E5050" w:rsidRPr="006B42D6">
        <w:t xml:space="preserve">number </w:t>
      </w:r>
      <w:r w:rsidRPr="006B42D6">
        <w:t xml:space="preserve">of the households that received crop extension </w:t>
      </w:r>
      <w:r w:rsidR="00275016">
        <w:t>advices</w:t>
      </w:r>
      <w:r w:rsidRPr="006B42D6">
        <w:t xml:space="preserve"> (</w:t>
      </w:r>
      <w:r w:rsidR="007E5050" w:rsidRPr="006B42D6">
        <w:t xml:space="preserve">5,099; </w:t>
      </w:r>
      <w:r w:rsidRPr="006B42D6">
        <w:t>28.5 percent), followed by Kusini Pemba (</w:t>
      </w:r>
      <w:r w:rsidR="007E5050" w:rsidRPr="006B42D6">
        <w:t xml:space="preserve">4,672; </w:t>
      </w:r>
      <w:r w:rsidRPr="006B42D6">
        <w:t>26.1 percent) and the least proportion of households was in Kusini Unguja (</w:t>
      </w:r>
      <w:r w:rsidR="007E5050" w:rsidRPr="006B42D6">
        <w:t xml:space="preserve">2,616; </w:t>
      </w:r>
      <w:r w:rsidRPr="006B42D6">
        <w:t>14.6 percent) (Figure 3.</w:t>
      </w:r>
      <w:r w:rsidR="00273161" w:rsidRPr="006B42D6">
        <w:t>87</w:t>
      </w:r>
      <w:r w:rsidRPr="006B42D6">
        <w:t>).</w:t>
      </w:r>
    </w:p>
    <w:p w14:paraId="2E3F4655" w14:textId="77777777" w:rsidR="006B1F84" w:rsidRPr="006B42D6" w:rsidRDefault="006B1F84" w:rsidP="006B1F84">
      <w:pPr>
        <w:spacing w:before="100" w:beforeAutospacing="1" w:after="100" w:afterAutospacing="1" w:line="240" w:lineRule="auto"/>
      </w:pPr>
    </w:p>
    <w:p w14:paraId="6B9C8AA4" w14:textId="03C15F18" w:rsidR="00BA275B" w:rsidRPr="006B42D6" w:rsidRDefault="00BA275B" w:rsidP="00850E7D">
      <w:pPr>
        <w:pStyle w:val="Caption"/>
        <w:ind w:left="1140" w:right="1814" w:hanging="1140"/>
      </w:pPr>
      <w:bookmarkStart w:id="413" w:name="_Toc82386364"/>
      <w:r w:rsidRPr="006B42D6">
        <w:t>Figure 3.</w:t>
      </w:r>
      <w:r w:rsidR="00273161" w:rsidRPr="006B42D6">
        <w:t>87</w:t>
      </w:r>
      <w:r w:rsidR="00385D10">
        <w:t>:</w:t>
      </w:r>
      <w:r w:rsidR="001959ED">
        <w:tab/>
      </w:r>
      <w:r w:rsidRPr="006B42D6">
        <w:t>Percentage Distribution of Agricultural Households Receiving Crop Extension Advices by Region During 2019/20 Agricultural Year, Tanzania Zanzibar</w:t>
      </w:r>
      <w:bookmarkEnd w:id="413"/>
    </w:p>
    <w:p w14:paraId="6F7FB21B" w14:textId="75BC5325" w:rsidR="00BA275B" w:rsidRDefault="001B26AC" w:rsidP="00BA275B">
      <w:pPr>
        <w:spacing w:before="100" w:beforeAutospacing="1" w:after="100" w:afterAutospacing="1" w:line="276" w:lineRule="auto"/>
      </w:pPr>
      <w:r w:rsidRPr="006B42D6">
        <w:rPr>
          <w:noProof/>
        </w:rPr>
        <w:drawing>
          <wp:inline distT="0" distB="0" distL="0" distR="0" wp14:anchorId="48015274" wp14:editId="20EF207B">
            <wp:extent cx="4636770" cy="2270234"/>
            <wp:effectExtent l="0" t="0" r="11430" b="15875"/>
            <wp:docPr id="88" name="Chart 49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9"/>
              </a:graphicData>
            </a:graphic>
          </wp:inline>
        </w:drawing>
      </w:r>
    </w:p>
    <w:p w14:paraId="54CEA096" w14:textId="77777777" w:rsidR="001959ED" w:rsidRPr="006B42D6" w:rsidRDefault="001959ED" w:rsidP="00385D10">
      <w:pPr>
        <w:spacing w:line="240" w:lineRule="auto"/>
      </w:pPr>
    </w:p>
    <w:p w14:paraId="10E0B1D1" w14:textId="24B50AB5" w:rsidR="00BA275B" w:rsidRPr="006B42D6" w:rsidRDefault="00BA275B" w:rsidP="003D0B02">
      <w:r w:rsidRPr="006B42D6">
        <w:t>As compared to the 2007/08 Agriculture Census, the proportion of crops growing households that received crop extension service has decreased significantly from 67</w:t>
      </w:r>
      <w:r w:rsidR="007E5050" w:rsidRPr="006B42D6">
        <w:t>.0</w:t>
      </w:r>
      <w:r w:rsidRPr="006B42D6">
        <w:t xml:space="preserve"> percent in 2007/08 to </w:t>
      </w:r>
      <w:r w:rsidR="00275016">
        <w:t>6.9</w:t>
      </w:r>
      <w:r w:rsidR="007E5050" w:rsidRPr="006B42D6">
        <w:t xml:space="preserve"> percent </w:t>
      </w:r>
      <w:r w:rsidRPr="006B42D6">
        <w:t>in 2019/20 agricultural year. This might be as a result of an increased number of farming households accompanied with the limited number of extension officers in the country.</w:t>
      </w:r>
    </w:p>
    <w:p w14:paraId="75C49856" w14:textId="77777777" w:rsidR="00722FD5" w:rsidRPr="00722FD5" w:rsidRDefault="00722FD5" w:rsidP="001B3065"/>
    <w:p w14:paraId="17126A15" w14:textId="3A01A6FE" w:rsidR="00BA275B" w:rsidRPr="00193728" w:rsidRDefault="00BA275B" w:rsidP="00193728">
      <w:pPr>
        <w:pStyle w:val="Heading3"/>
      </w:pPr>
      <w:bookmarkStart w:id="414" w:name="_Toc82385720"/>
      <w:r w:rsidRPr="00193728">
        <w:t>3.</w:t>
      </w:r>
      <w:r w:rsidR="00193728" w:rsidRPr="00193728">
        <w:t>6</w:t>
      </w:r>
      <w:r w:rsidRPr="00193728">
        <w:t>.2</w:t>
      </w:r>
      <w:r w:rsidRPr="00193728">
        <w:tab/>
        <w:t>Source of Extension Services</w:t>
      </w:r>
      <w:bookmarkEnd w:id="414"/>
      <w:r w:rsidRPr="00193728">
        <w:t xml:space="preserve">  </w:t>
      </w:r>
    </w:p>
    <w:p w14:paraId="16D10033" w14:textId="64C27083" w:rsidR="00BA275B" w:rsidRPr="006B42D6" w:rsidRDefault="00BA275B" w:rsidP="00193728">
      <w:r w:rsidRPr="006B42D6">
        <w:t xml:space="preserve">The government provided most of the extension advice </w:t>
      </w:r>
      <w:r w:rsidR="007E5050" w:rsidRPr="006B42D6">
        <w:t>which accounted for more than</w:t>
      </w:r>
      <w:r w:rsidRPr="006B42D6">
        <w:t xml:space="preserve"> </w:t>
      </w:r>
      <w:r w:rsidR="007E5050" w:rsidRPr="006B42D6">
        <w:t>70</w:t>
      </w:r>
      <w:r w:rsidRPr="006B42D6">
        <w:t xml:space="preserve"> percent of majority of the crop growing households while providing different kinds of extension services such as integrated </w:t>
      </w:r>
      <w:r w:rsidR="00A32971" w:rsidRPr="006B42D6">
        <w:t>pest management</w:t>
      </w:r>
      <w:r w:rsidRPr="006B42D6">
        <w:t>, rice intensification, irrigation technology and organic fertilizer use. NGOs</w:t>
      </w:r>
      <w:r w:rsidR="007E5050" w:rsidRPr="006B42D6">
        <w:t>/Development projects</w:t>
      </w:r>
      <w:r w:rsidRPr="006B42D6">
        <w:t xml:space="preserve"> were reported to provide extension services by proportional of 6 to 10 percent of households among all the services reached by smallholders. Other extension service sources reported were cooperatives, large scale farmers and registered private agro dealers (Figure 3.</w:t>
      </w:r>
      <w:r w:rsidR="00273161" w:rsidRPr="006B42D6">
        <w:t>88</w:t>
      </w:r>
      <w:r w:rsidRPr="006B42D6">
        <w:t xml:space="preserve">). </w:t>
      </w:r>
    </w:p>
    <w:p w14:paraId="12633ADE" w14:textId="03D611FF" w:rsidR="008E7BB5" w:rsidRPr="006B42D6" w:rsidRDefault="008E7BB5">
      <w:r w:rsidRPr="006B42D6">
        <w:br w:type="page"/>
      </w:r>
    </w:p>
    <w:p w14:paraId="6B014FAF" w14:textId="04602D81" w:rsidR="00BA275B" w:rsidRPr="006B42D6" w:rsidRDefault="00BA275B" w:rsidP="008E7BB5">
      <w:pPr>
        <w:pStyle w:val="Caption"/>
      </w:pPr>
      <w:bookmarkStart w:id="415" w:name="_Toc82386365"/>
      <w:r w:rsidRPr="006B42D6">
        <w:lastRenderedPageBreak/>
        <w:t>Figure 3.</w:t>
      </w:r>
      <w:r w:rsidR="00273161" w:rsidRPr="006B42D6">
        <w:t>88</w:t>
      </w:r>
      <w:r w:rsidR="00A566BA">
        <w:t>:</w:t>
      </w:r>
      <w:r w:rsidR="001959ED">
        <w:tab/>
      </w:r>
      <w:r w:rsidRPr="006B42D6">
        <w:t xml:space="preserve">Percentage of Agricultural Households Receiving Extension </w:t>
      </w:r>
      <w:r w:rsidR="00675747">
        <w:t xml:space="preserve">Advices </w:t>
      </w:r>
      <w:r w:rsidRPr="006B42D6">
        <w:t xml:space="preserve">by Type of Extension Service Provider </w:t>
      </w:r>
      <w:r w:rsidR="00273161" w:rsidRPr="006B42D6">
        <w:t>D</w:t>
      </w:r>
      <w:r w:rsidRPr="006B42D6">
        <w:t>uring 2019/20 Agricultural Year, Tanzania</w:t>
      </w:r>
      <w:bookmarkEnd w:id="415"/>
    </w:p>
    <w:p w14:paraId="2C5ADE64" w14:textId="218374B6" w:rsidR="00BA275B" w:rsidRPr="006B42D6" w:rsidRDefault="001B26AC" w:rsidP="00BA275B">
      <w:pPr>
        <w:spacing w:before="100" w:beforeAutospacing="1" w:after="100" w:afterAutospacing="1" w:line="276" w:lineRule="auto"/>
      </w:pPr>
      <w:r w:rsidRPr="006B42D6">
        <w:rPr>
          <w:noProof/>
        </w:rPr>
        <w:drawing>
          <wp:inline distT="0" distB="0" distL="0" distR="0" wp14:anchorId="3CD2F32A" wp14:editId="10BDDEB6">
            <wp:extent cx="5671671" cy="3347085"/>
            <wp:effectExtent l="0" t="0" r="18415" b="18415"/>
            <wp:docPr id="87" name="Chart 14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0"/>
              </a:graphicData>
            </a:graphic>
          </wp:inline>
        </w:drawing>
      </w:r>
    </w:p>
    <w:p w14:paraId="4DA445CE" w14:textId="77777777" w:rsidR="008E7BB5" w:rsidRPr="00722FD5" w:rsidRDefault="008E7BB5" w:rsidP="001B3065"/>
    <w:p w14:paraId="20B3D4FC" w14:textId="23B58CF6" w:rsidR="00BA275B" w:rsidRPr="006B42D6" w:rsidRDefault="00BA275B" w:rsidP="00BA275B">
      <w:pPr>
        <w:pStyle w:val="Heading3"/>
      </w:pPr>
      <w:bookmarkStart w:id="416" w:name="_Toc82385721"/>
      <w:r w:rsidRPr="006B42D6">
        <w:t>3.</w:t>
      </w:r>
      <w:r w:rsidR="00193728">
        <w:t>6</w:t>
      </w:r>
      <w:r w:rsidRPr="006B42D6">
        <w:t>.</w:t>
      </w:r>
      <w:r w:rsidR="00DC169C">
        <w:t>3</w:t>
      </w:r>
      <w:r w:rsidRPr="006B42D6">
        <w:tab/>
        <w:t>Extension Message Practices</w:t>
      </w:r>
      <w:bookmarkEnd w:id="416"/>
      <w:r w:rsidRPr="006B42D6">
        <w:t xml:space="preserve"> </w:t>
      </w:r>
    </w:p>
    <w:p w14:paraId="2DFE9673" w14:textId="7D065671" w:rsidR="00BA275B" w:rsidRPr="006B42D6" w:rsidRDefault="00BA275B" w:rsidP="00BA275B">
      <w:r w:rsidRPr="006B42D6">
        <w:t xml:space="preserve">Smallholder farmers that received extension services were asked on whether they have practiced different extension messages advice received during 2019/20 agricultural year. The results show that, among selected extension message received, spacing had the highest proportion </w:t>
      </w:r>
      <w:r w:rsidR="001959ED">
        <w:t>(</w:t>
      </w:r>
      <w:r w:rsidRPr="006B42D6">
        <w:t>82.8 percent</w:t>
      </w:r>
      <w:r w:rsidR="001959ED">
        <w:t>)</w:t>
      </w:r>
      <w:r w:rsidRPr="006B42D6">
        <w:t xml:space="preserve"> of the agricultural households </w:t>
      </w:r>
      <w:r w:rsidR="001959ED">
        <w:t>reported to practice</w:t>
      </w:r>
      <w:r w:rsidRPr="006B42D6">
        <w:t xml:space="preserve"> the advice. Apart from that, use of improved seeds was practiced by 69.8 percent of the agricultural households</w:t>
      </w:r>
      <w:r w:rsidR="00790094" w:rsidRPr="006B42D6">
        <w:t>, and use of agro-chemicals was practiced by 61.6 percent of the agricultural households</w:t>
      </w:r>
      <w:r w:rsidRPr="006B42D6">
        <w:t>. On the other hand, the least proportional of the households practiced System of Rice Intensification (SRI) (4.4 percent) (Figure 3.</w:t>
      </w:r>
      <w:r w:rsidR="00273161" w:rsidRPr="006B42D6">
        <w:t>89</w:t>
      </w:r>
      <w:r w:rsidRPr="006B42D6">
        <w:t xml:space="preserve">). </w:t>
      </w:r>
    </w:p>
    <w:p w14:paraId="1ADE7785" w14:textId="3216D5AA" w:rsidR="008E7BB5" w:rsidRPr="006B42D6" w:rsidRDefault="008E7BB5">
      <w:pPr>
        <w:rPr>
          <w:b/>
        </w:rPr>
      </w:pPr>
      <w:r w:rsidRPr="006B42D6">
        <w:rPr>
          <w:b/>
        </w:rPr>
        <w:br w:type="page"/>
      </w:r>
    </w:p>
    <w:p w14:paraId="714EFCED" w14:textId="6A9ED3BF" w:rsidR="00BA275B" w:rsidRPr="00D30496" w:rsidRDefault="00BA275B" w:rsidP="00850E7D">
      <w:pPr>
        <w:pStyle w:val="Caption"/>
        <w:ind w:left="1140" w:right="1588" w:hanging="1140"/>
      </w:pPr>
      <w:bookmarkStart w:id="417" w:name="_Toc82386366"/>
      <w:r w:rsidRPr="006B42D6">
        <w:lastRenderedPageBreak/>
        <w:t>Figure 3.</w:t>
      </w:r>
      <w:r w:rsidR="00273161" w:rsidRPr="006B42D6">
        <w:t>89</w:t>
      </w:r>
      <w:r w:rsidR="001B3065">
        <w:t>:</w:t>
      </w:r>
      <w:r w:rsidR="001959ED">
        <w:tab/>
      </w:r>
      <w:r w:rsidRPr="006B42D6">
        <w:t>Percentage of Agricultural Households Received Extension Message by Type of Extension Advices Practiced During 2019/20 Agricultural Year, Tanzania</w:t>
      </w:r>
      <w:bookmarkEnd w:id="417"/>
      <w:r w:rsidRPr="006B42D6">
        <w:t xml:space="preserve"> </w:t>
      </w:r>
    </w:p>
    <w:p w14:paraId="7A93E963" w14:textId="772F3ABD" w:rsidR="00BA275B" w:rsidRPr="006B42D6" w:rsidRDefault="001B26AC" w:rsidP="00BA275B">
      <w:pPr>
        <w:spacing w:line="276" w:lineRule="auto"/>
        <w:rPr>
          <w:b/>
        </w:rPr>
      </w:pPr>
      <w:r w:rsidRPr="006B42D6">
        <w:rPr>
          <w:noProof/>
        </w:rPr>
        <w:drawing>
          <wp:inline distT="0" distB="0" distL="0" distR="0" wp14:anchorId="26A5BF02" wp14:editId="5F159F4B">
            <wp:extent cx="5045075" cy="3366770"/>
            <wp:effectExtent l="0" t="0" r="9525" b="11430"/>
            <wp:docPr id="86" name="Chart 49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1"/>
              </a:graphicData>
            </a:graphic>
          </wp:inline>
        </w:drawing>
      </w:r>
    </w:p>
    <w:p w14:paraId="0E78C0DA" w14:textId="77777777" w:rsidR="00722FD5" w:rsidRPr="00722FD5" w:rsidRDefault="00722FD5" w:rsidP="00AA4D1D"/>
    <w:p w14:paraId="5F79A297" w14:textId="4FE5DD62" w:rsidR="00BA275B" w:rsidRPr="006B42D6" w:rsidRDefault="00BA275B" w:rsidP="00BA275B">
      <w:pPr>
        <w:pStyle w:val="Heading2"/>
      </w:pPr>
      <w:bookmarkStart w:id="418" w:name="_Toc82385722"/>
      <w:r w:rsidRPr="006B42D6">
        <w:t>3.</w:t>
      </w:r>
      <w:r w:rsidR="00193728">
        <w:t>7</w:t>
      </w:r>
      <w:r w:rsidRPr="006B42D6">
        <w:tab/>
        <w:t>Agriculture Mechanization</w:t>
      </w:r>
      <w:bookmarkEnd w:id="418"/>
    </w:p>
    <w:p w14:paraId="5C9FDE11" w14:textId="78BE599E" w:rsidR="00BA275B" w:rsidRPr="00675747" w:rsidRDefault="00BA275B" w:rsidP="00BA275B">
      <w:pPr>
        <w:rPr>
          <w:rFonts w:eastAsia="Calibri"/>
        </w:rPr>
      </w:pPr>
      <w:r w:rsidRPr="006B42D6">
        <w:rPr>
          <w:rFonts w:eastAsia="Calibri"/>
        </w:rPr>
        <w:t xml:space="preserve">Agriculture mechanization involves application of appropriate tools, implements and machines to mechanize the work of agriculture, </w:t>
      </w:r>
      <w:r w:rsidRPr="006B42D6">
        <w:rPr>
          <w:rFonts w:eastAsia="Calibri"/>
          <w:bCs/>
          <w:lang w:val="en-GB"/>
        </w:rPr>
        <w:t>from simple and basic hand tools to more sophisticated and motorized equipment.</w:t>
      </w:r>
      <w:r w:rsidRPr="006B42D6">
        <w:rPr>
          <w:rFonts w:eastAsia="Calibri"/>
          <w:lang w:val="en-GB"/>
        </w:rPr>
        <w:t xml:space="preserve"> It simplifies work and reduces labour while improving productivity.</w:t>
      </w:r>
    </w:p>
    <w:p w14:paraId="7C171D05" w14:textId="77777777" w:rsidR="00BA275B" w:rsidRPr="006B42D6" w:rsidRDefault="00BA275B" w:rsidP="00BA275B">
      <w:pPr>
        <w:rPr>
          <w:rFonts w:eastAsia="Calibri"/>
          <w:bCs/>
          <w:lang w:val="en-GB"/>
        </w:rPr>
      </w:pPr>
      <w:r w:rsidRPr="006B42D6">
        <w:rPr>
          <w:rFonts w:eastAsia="Calibri"/>
          <w:bCs/>
          <w:lang w:val="en-GB"/>
        </w:rPr>
        <w:t> </w:t>
      </w:r>
    </w:p>
    <w:p w14:paraId="1DC149C5" w14:textId="5D90C54A" w:rsidR="00BA275B" w:rsidRPr="006B42D6" w:rsidRDefault="00BA275B" w:rsidP="00BA275B">
      <w:pPr>
        <w:pStyle w:val="Heading3"/>
      </w:pPr>
      <w:bookmarkStart w:id="419" w:name="_Toc82385723"/>
      <w:r w:rsidRPr="006B42D6">
        <w:t>3.</w:t>
      </w:r>
      <w:r w:rsidR="00193728">
        <w:t>7</w:t>
      </w:r>
      <w:r w:rsidRPr="006B42D6">
        <w:t>.1</w:t>
      </w:r>
      <w:r w:rsidRPr="006B42D6">
        <w:tab/>
        <w:t>On Farm Investments</w:t>
      </w:r>
      <w:bookmarkEnd w:id="419"/>
    </w:p>
    <w:p w14:paraId="35073031" w14:textId="77777777" w:rsidR="00AA4D1D" w:rsidRDefault="00BA275B" w:rsidP="00AA4D1D">
      <w:r w:rsidRPr="006B42D6">
        <w:t>Majority of the households in Tanzania (7,477,152; 95.4 percent) reported to use hand hoe and sword (6,982,450, 89.1 percent) for their farming activities.</w:t>
      </w:r>
      <w:r w:rsidR="00A32971" w:rsidRPr="006B42D6">
        <w:t xml:space="preserve"> I</w:t>
      </w:r>
      <w:r w:rsidRPr="006B42D6">
        <w:t xml:space="preserve">n </w:t>
      </w:r>
      <w:r w:rsidR="00EA1552">
        <w:t>Mainland Tanzania</w:t>
      </w:r>
      <w:r w:rsidRPr="006B42D6">
        <w:t xml:space="preserve">, 7,309,858 households reported to use hand hoe equivalent to 95.5 percent and sword (6,808,056, 88.9 percent). In Tanzania Zanzibar, the majority </w:t>
      </w:r>
      <w:r w:rsidR="00A32971" w:rsidRPr="006B42D6">
        <w:t xml:space="preserve">of </w:t>
      </w:r>
      <w:r w:rsidRPr="006B42D6">
        <w:t xml:space="preserve">the agricultural households used sword and hand hoe (174,394; 96.8 percent and 167,294; 92.8 percent respectively). </w:t>
      </w:r>
    </w:p>
    <w:p w14:paraId="2E7D48CA" w14:textId="77777777" w:rsidR="00AA4D1D" w:rsidRDefault="00AA4D1D" w:rsidP="00AA4D1D">
      <w:pPr>
        <w:spacing w:line="240" w:lineRule="auto"/>
      </w:pPr>
    </w:p>
    <w:p w14:paraId="47FD9594" w14:textId="6FD08B4F" w:rsidR="00BA275B" w:rsidRPr="006B42D6" w:rsidRDefault="00BA275B" w:rsidP="00AA4D1D">
      <w:r w:rsidRPr="006B42D6">
        <w:t>Other farming implements used by smallholder farmers reported were oxen (27.8 percent), ox plough (26.5 percent), hand sprayer (17.9 percent) and tractors (10.2 percent). In addition to that, less than 10 percent of households used other farming implements (Figure 3.</w:t>
      </w:r>
      <w:r w:rsidR="00273161" w:rsidRPr="006B42D6">
        <w:t>90</w:t>
      </w:r>
      <w:r w:rsidRPr="006B42D6">
        <w:t>).</w:t>
      </w:r>
    </w:p>
    <w:p w14:paraId="0377746D" w14:textId="18BA2AFA" w:rsidR="008E7BB5" w:rsidRPr="006B42D6" w:rsidRDefault="008E7BB5">
      <w:r w:rsidRPr="006B42D6">
        <w:br w:type="page"/>
      </w:r>
    </w:p>
    <w:p w14:paraId="1036A8AD" w14:textId="6A2E3FEB" w:rsidR="00BA275B" w:rsidRPr="006B42D6" w:rsidRDefault="00BA275B" w:rsidP="00850E7D">
      <w:pPr>
        <w:pStyle w:val="Caption"/>
        <w:ind w:left="1140" w:right="1361" w:hanging="1140"/>
      </w:pPr>
      <w:bookmarkStart w:id="420" w:name="_Toc82386367"/>
      <w:r w:rsidRPr="006B42D6">
        <w:lastRenderedPageBreak/>
        <w:t>Figure 3.</w:t>
      </w:r>
      <w:r w:rsidR="00273161" w:rsidRPr="006B42D6">
        <w:t>90</w:t>
      </w:r>
      <w:r w:rsidR="00D30496">
        <w:t>:</w:t>
      </w:r>
      <w:r w:rsidR="001959ED">
        <w:tab/>
      </w:r>
      <w:r w:rsidRPr="006B42D6">
        <w:t xml:space="preserve">Percentage of Agricultural </w:t>
      </w:r>
      <w:r w:rsidR="00273161" w:rsidRPr="006B42D6">
        <w:t>H</w:t>
      </w:r>
      <w:r w:rsidRPr="006B42D6">
        <w:t xml:space="preserve">ouseholds that Reported Using Farm Implements/Assets </w:t>
      </w:r>
      <w:r w:rsidR="00273161" w:rsidRPr="006B42D6">
        <w:t>D</w:t>
      </w:r>
      <w:r w:rsidRPr="006B42D6">
        <w:t>uring 2019/20 Agricultural Year, Tanzania</w:t>
      </w:r>
      <w:bookmarkEnd w:id="420"/>
    </w:p>
    <w:p w14:paraId="1BF1AF12" w14:textId="2BBC0B7B" w:rsidR="00BA275B" w:rsidRPr="006B42D6" w:rsidRDefault="001B26AC" w:rsidP="00BA275B">
      <w:pPr>
        <w:spacing w:line="276" w:lineRule="auto"/>
      </w:pPr>
      <w:r w:rsidRPr="006B42D6">
        <w:rPr>
          <w:noProof/>
        </w:rPr>
        <w:drawing>
          <wp:inline distT="0" distB="0" distL="0" distR="0" wp14:anchorId="4DF306D7" wp14:editId="5B8CDC68">
            <wp:extent cx="5203903" cy="3083560"/>
            <wp:effectExtent l="0" t="0" r="15875" b="15240"/>
            <wp:docPr id="85" name="Chart 49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2"/>
              </a:graphicData>
            </a:graphic>
          </wp:inline>
        </w:drawing>
      </w:r>
    </w:p>
    <w:p w14:paraId="21D5FE30" w14:textId="77777777" w:rsidR="00BA275B" w:rsidRPr="006B42D6" w:rsidRDefault="00BA275B" w:rsidP="00722FD5"/>
    <w:p w14:paraId="230F4380" w14:textId="687AE2AF" w:rsidR="00BA275B" w:rsidRPr="006B42D6" w:rsidRDefault="00BA275B" w:rsidP="00BA275B">
      <w:r w:rsidRPr="006B42D6">
        <w:t xml:space="preserve">All regions in </w:t>
      </w:r>
      <w:r w:rsidR="00EA1552">
        <w:t>Mainland Tanzania</w:t>
      </w:r>
      <w:r w:rsidRPr="006B42D6">
        <w:t xml:space="preserve"> have reported the use of hand hoe for over 90 percent of their households in cultivating land, except Dar es Salaam 87.6 percent and Arusha 79.0 percent. Likewise, for the households that used sword for over 90 percent were in Lindi, Mtwara, Kigoma, Tanga, Ruvuma, Shinyanga, Kagera, Kilimanjaro, Iringa, Njombe and Dodoma regions. For the rest of the regions, the use of sword ranged from 81.1 to 89.9 percent</w:t>
      </w:r>
      <w:r w:rsidR="00675747">
        <w:t xml:space="preserve">. </w:t>
      </w:r>
      <w:r w:rsidR="00A32971" w:rsidRPr="006B42D6">
        <w:t>Similarly</w:t>
      </w:r>
      <w:r w:rsidRPr="006B42D6">
        <w:t>, in Tanzania Zanzibar, hand hoe was used by over 90 percent of the households in Kusini Pemba, Kaskazini Pemba and Mjini Magharibi regions. In addition, sword was used by more than 95 percent of the households in Zanzibar (Table 3.2</w:t>
      </w:r>
      <w:r w:rsidR="00CD75FC">
        <w:t>5</w:t>
      </w:r>
      <w:r w:rsidRPr="006B42D6">
        <w:t>).</w:t>
      </w:r>
    </w:p>
    <w:p w14:paraId="1B9D5633" w14:textId="77777777" w:rsidR="00BA275B" w:rsidRPr="006B42D6" w:rsidRDefault="00BA275B" w:rsidP="00BA275B">
      <w:r w:rsidRPr="006B42D6">
        <w:br w:type="page"/>
      </w:r>
    </w:p>
    <w:p w14:paraId="7E00AE0D" w14:textId="25049E13" w:rsidR="00BA275B" w:rsidRPr="006B42D6" w:rsidRDefault="00BA275B" w:rsidP="007200F6">
      <w:pPr>
        <w:pStyle w:val="Heading7"/>
      </w:pPr>
      <w:bookmarkStart w:id="421" w:name="_Toc82386207"/>
      <w:r w:rsidRPr="006B42D6">
        <w:lastRenderedPageBreak/>
        <w:t>Table 3.2</w:t>
      </w:r>
      <w:r w:rsidR="00CD75FC">
        <w:t>5</w:t>
      </w:r>
      <w:r w:rsidR="00D30496">
        <w:t>:</w:t>
      </w:r>
      <w:r w:rsidR="00B652A8">
        <w:tab/>
      </w:r>
      <w:r w:rsidRPr="006B42D6">
        <w:t>Number</w:t>
      </w:r>
      <w:r w:rsidR="0024261A" w:rsidRPr="006B42D6">
        <w:t xml:space="preserve"> and Percentage</w:t>
      </w:r>
      <w:r w:rsidRPr="006B42D6">
        <w:t xml:space="preserve"> of Agricultural </w:t>
      </w:r>
      <w:r w:rsidR="0024261A" w:rsidRPr="006B42D6">
        <w:t>H</w:t>
      </w:r>
      <w:r w:rsidRPr="006B42D6">
        <w:t>ouseholds Report</w:t>
      </w:r>
      <w:r w:rsidR="0024261A" w:rsidRPr="006B42D6">
        <w:t>ed</w:t>
      </w:r>
      <w:r w:rsidRPr="006B42D6">
        <w:t xml:space="preserve"> to Use Farm Implements/Assets by Region </w:t>
      </w:r>
      <w:r w:rsidR="0024261A" w:rsidRPr="006B42D6">
        <w:t>D</w:t>
      </w:r>
      <w:r w:rsidRPr="006B42D6">
        <w:t>uring 2019/20 Agricultural Year, Tanzania</w:t>
      </w:r>
      <w:bookmarkEnd w:id="421"/>
    </w:p>
    <w:tbl>
      <w:tblPr>
        <w:tblW w:w="9263" w:type="dxa"/>
        <w:tblLook w:val="04A0" w:firstRow="1" w:lastRow="0" w:firstColumn="1" w:lastColumn="0" w:noHBand="0" w:noVBand="1"/>
      </w:tblPr>
      <w:tblGrid>
        <w:gridCol w:w="1378"/>
        <w:gridCol w:w="583"/>
        <w:gridCol w:w="562"/>
        <w:gridCol w:w="541"/>
        <w:gridCol w:w="658"/>
        <w:gridCol w:w="682"/>
        <w:gridCol w:w="495"/>
        <w:gridCol w:w="658"/>
        <w:gridCol w:w="693"/>
        <w:gridCol w:w="711"/>
        <w:gridCol w:w="628"/>
        <w:gridCol w:w="642"/>
        <w:gridCol w:w="1032"/>
      </w:tblGrid>
      <w:tr w:rsidR="006B42D6" w:rsidRPr="00D30496" w14:paraId="51C083B9" w14:textId="77777777" w:rsidTr="00D30496">
        <w:trPr>
          <w:trHeight w:val="307"/>
        </w:trPr>
        <w:tc>
          <w:tcPr>
            <w:tcW w:w="0" w:type="auto"/>
            <w:vMerge w:val="restart"/>
            <w:tcBorders>
              <w:top w:val="single" w:sz="4" w:space="0" w:color="auto"/>
              <w:left w:val="nil"/>
              <w:bottom w:val="single" w:sz="4" w:space="0" w:color="000000"/>
              <w:right w:val="nil"/>
            </w:tcBorders>
            <w:shd w:val="clear" w:color="auto" w:fill="E2EFD9" w:themeFill="accent6" w:themeFillTint="33"/>
            <w:noWrap/>
            <w:vAlign w:val="center"/>
            <w:hideMark/>
          </w:tcPr>
          <w:p w14:paraId="7B222C85" w14:textId="77777777" w:rsidR="00BA275B" w:rsidRPr="00D30496" w:rsidRDefault="00BA275B" w:rsidP="00383AA6">
            <w:pPr>
              <w:rPr>
                <w:sz w:val="15"/>
                <w:szCs w:val="15"/>
              </w:rPr>
            </w:pPr>
            <w:r w:rsidRPr="00D30496">
              <w:rPr>
                <w:sz w:val="15"/>
                <w:szCs w:val="15"/>
              </w:rPr>
              <w:t xml:space="preserve">Region </w:t>
            </w:r>
          </w:p>
        </w:tc>
        <w:tc>
          <w:tcPr>
            <w:tcW w:w="0" w:type="auto"/>
            <w:gridSpan w:val="11"/>
            <w:tcBorders>
              <w:top w:val="single" w:sz="4" w:space="0" w:color="auto"/>
              <w:left w:val="nil"/>
              <w:bottom w:val="single" w:sz="4" w:space="0" w:color="auto"/>
              <w:right w:val="nil"/>
            </w:tcBorders>
            <w:shd w:val="clear" w:color="auto" w:fill="E2EFD9" w:themeFill="accent6" w:themeFillTint="33"/>
            <w:noWrap/>
            <w:vAlign w:val="center"/>
            <w:hideMark/>
          </w:tcPr>
          <w:p w14:paraId="6912D7A2" w14:textId="77777777" w:rsidR="00BA275B" w:rsidRPr="00D30496" w:rsidRDefault="00BA275B" w:rsidP="00D30496">
            <w:pPr>
              <w:spacing w:line="276" w:lineRule="auto"/>
              <w:jc w:val="center"/>
              <w:rPr>
                <w:sz w:val="15"/>
                <w:szCs w:val="15"/>
              </w:rPr>
            </w:pPr>
            <w:r w:rsidRPr="00D30496">
              <w:rPr>
                <w:sz w:val="15"/>
                <w:szCs w:val="15"/>
              </w:rPr>
              <w:t>Equipment/Asset</w:t>
            </w:r>
          </w:p>
        </w:tc>
        <w:tc>
          <w:tcPr>
            <w:tcW w:w="0" w:type="auto"/>
            <w:vMerge w:val="restart"/>
            <w:tcBorders>
              <w:top w:val="single" w:sz="4" w:space="0" w:color="auto"/>
              <w:left w:val="nil"/>
              <w:bottom w:val="single" w:sz="4" w:space="0" w:color="000000"/>
              <w:right w:val="nil"/>
            </w:tcBorders>
            <w:shd w:val="clear" w:color="auto" w:fill="E2EFD9" w:themeFill="accent6" w:themeFillTint="33"/>
            <w:vAlign w:val="center"/>
            <w:hideMark/>
          </w:tcPr>
          <w:p w14:paraId="12E762A8" w14:textId="77777777" w:rsidR="00BA275B" w:rsidRPr="00D30496" w:rsidRDefault="00BA275B" w:rsidP="00D30496">
            <w:pPr>
              <w:spacing w:line="276" w:lineRule="auto"/>
              <w:rPr>
                <w:sz w:val="15"/>
                <w:szCs w:val="15"/>
              </w:rPr>
            </w:pPr>
            <w:r w:rsidRPr="00D30496">
              <w:rPr>
                <w:sz w:val="15"/>
                <w:szCs w:val="15"/>
              </w:rPr>
              <w:t>Total Agricultural Households</w:t>
            </w:r>
          </w:p>
        </w:tc>
      </w:tr>
      <w:tr w:rsidR="006B42D6" w:rsidRPr="00D30496" w14:paraId="20DA82D8" w14:textId="77777777" w:rsidTr="00D30496">
        <w:trPr>
          <w:trHeight w:val="712"/>
        </w:trPr>
        <w:tc>
          <w:tcPr>
            <w:tcW w:w="0" w:type="auto"/>
            <w:vMerge/>
            <w:tcBorders>
              <w:top w:val="single" w:sz="4" w:space="0" w:color="auto"/>
              <w:left w:val="nil"/>
              <w:bottom w:val="single" w:sz="4" w:space="0" w:color="000000"/>
              <w:right w:val="nil"/>
            </w:tcBorders>
            <w:vAlign w:val="center"/>
            <w:hideMark/>
          </w:tcPr>
          <w:p w14:paraId="618A2EFD" w14:textId="77777777" w:rsidR="00BA275B" w:rsidRPr="00D30496" w:rsidRDefault="00BA275B" w:rsidP="00383AA6">
            <w:pPr>
              <w:rPr>
                <w:sz w:val="15"/>
                <w:szCs w:val="15"/>
              </w:rPr>
            </w:pPr>
          </w:p>
        </w:tc>
        <w:tc>
          <w:tcPr>
            <w:tcW w:w="0" w:type="auto"/>
            <w:tcBorders>
              <w:top w:val="nil"/>
              <w:left w:val="nil"/>
              <w:bottom w:val="single" w:sz="4" w:space="0" w:color="auto"/>
              <w:right w:val="nil"/>
            </w:tcBorders>
            <w:shd w:val="clear" w:color="auto" w:fill="E2EFD9" w:themeFill="accent6" w:themeFillTint="33"/>
            <w:vAlign w:val="center"/>
            <w:hideMark/>
          </w:tcPr>
          <w:p w14:paraId="0D399780" w14:textId="77777777" w:rsidR="00BA275B" w:rsidRPr="00D30496" w:rsidRDefault="00BA275B" w:rsidP="00D30496">
            <w:pPr>
              <w:spacing w:line="276" w:lineRule="auto"/>
              <w:rPr>
                <w:sz w:val="15"/>
                <w:szCs w:val="15"/>
              </w:rPr>
            </w:pPr>
            <w:r w:rsidRPr="00D30496">
              <w:rPr>
                <w:sz w:val="15"/>
                <w:szCs w:val="15"/>
              </w:rPr>
              <w:t>Panga</w:t>
            </w:r>
          </w:p>
        </w:tc>
        <w:tc>
          <w:tcPr>
            <w:tcW w:w="0" w:type="auto"/>
            <w:tcBorders>
              <w:top w:val="nil"/>
              <w:left w:val="nil"/>
              <w:bottom w:val="single" w:sz="4" w:space="0" w:color="auto"/>
              <w:right w:val="nil"/>
            </w:tcBorders>
            <w:shd w:val="clear" w:color="auto" w:fill="E2EFD9" w:themeFill="accent6" w:themeFillTint="33"/>
            <w:vAlign w:val="center"/>
            <w:hideMark/>
          </w:tcPr>
          <w:p w14:paraId="7575B914" w14:textId="77777777" w:rsidR="00BA275B" w:rsidRPr="00D30496" w:rsidRDefault="00BA275B" w:rsidP="00D30496">
            <w:pPr>
              <w:spacing w:line="276" w:lineRule="auto"/>
              <w:rPr>
                <w:sz w:val="15"/>
                <w:szCs w:val="15"/>
              </w:rPr>
            </w:pPr>
            <w:r w:rsidRPr="00D30496">
              <w:rPr>
                <w:sz w:val="15"/>
                <w:szCs w:val="15"/>
              </w:rPr>
              <w:t>Hand Hoe</w:t>
            </w:r>
          </w:p>
        </w:tc>
        <w:tc>
          <w:tcPr>
            <w:tcW w:w="0" w:type="auto"/>
            <w:tcBorders>
              <w:top w:val="nil"/>
              <w:left w:val="nil"/>
              <w:bottom w:val="single" w:sz="4" w:space="0" w:color="auto"/>
              <w:right w:val="nil"/>
            </w:tcBorders>
            <w:shd w:val="clear" w:color="auto" w:fill="E2EFD9" w:themeFill="accent6" w:themeFillTint="33"/>
            <w:vAlign w:val="center"/>
            <w:hideMark/>
          </w:tcPr>
          <w:p w14:paraId="404A1B38" w14:textId="77777777" w:rsidR="00BA275B" w:rsidRPr="00D30496" w:rsidRDefault="00BA275B" w:rsidP="00D30496">
            <w:pPr>
              <w:spacing w:line="276" w:lineRule="auto"/>
              <w:rPr>
                <w:sz w:val="15"/>
                <w:szCs w:val="15"/>
              </w:rPr>
            </w:pPr>
            <w:r w:rsidRPr="00D30496">
              <w:rPr>
                <w:sz w:val="15"/>
                <w:szCs w:val="15"/>
              </w:rPr>
              <w:t>Oxen</w:t>
            </w:r>
          </w:p>
        </w:tc>
        <w:tc>
          <w:tcPr>
            <w:tcW w:w="0" w:type="auto"/>
            <w:tcBorders>
              <w:top w:val="nil"/>
              <w:left w:val="nil"/>
              <w:bottom w:val="single" w:sz="4" w:space="0" w:color="auto"/>
              <w:right w:val="nil"/>
            </w:tcBorders>
            <w:shd w:val="clear" w:color="auto" w:fill="E2EFD9" w:themeFill="accent6" w:themeFillTint="33"/>
            <w:vAlign w:val="center"/>
            <w:hideMark/>
          </w:tcPr>
          <w:p w14:paraId="7602FCFF" w14:textId="77777777" w:rsidR="00BA275B" w:rsidRPr="00D30496" w:rsidRDefault="00BA275B" w:rsidP="00D30496">
            <w:pPr>
              <w:spacing w:line="276" w:lineRule="auto"/>
              <w:rPr>
                <w:sz w:val="15"/>
                <w:szCs w:val="15"/>
              </w:rPr>
            </w:pPr>
            <w:r w:rsidRPr="00D30496">
              <w:rPr>
                <w:sz w:val="15"/>
                <w:szCs w:val="15"/>
              </w:rPr>
              <w:t>Ox Plough</w:t>
            </w:r>
          </w:p>
        </w:tc>
        <w:tc>
          <w:tcPr>
            <w:tcW w:w="0" w:type="auto"/>
            <w:tcBorders>
              <w:top w:val="nil"/>
              <w:left w:val="nil"/>
              <w:bottom w:val="single" w:sz="4" w:space="0" w:color="auto"/>
              <w:right w:val="nil"/>
            </w:tcBorders>
            <w:shd w:val="clear" w:color="auto" w:fill="E2EFD9" w:themeFill="accent6" w:themeFillTint="33"/>
            <w:vAlign w:val="center"/>
            <w:hideMark/>
          </w:tcPr>
          <w:p w14:paraId="6BB0B1AE" w14:textId="77777777" w:rsidR="00BA275B" w:rsidRPr="00D30496" w:rsidRDefault="00BA275B" w:rsidP="00D30496">
            <w:pPr>
              <w:spacing w:line="276" w:lineRule="auto"/>
              <w:rPr>
                <w:sz w:val="15"/>
                <w:szCs w:val="15"/>
              </w:rPr>
            </w:pPr>
            <w:r w:rsidRPr="00D30496">
              <w:rPr>
                <w:sz w:val="15"/>
                <w:szCs w:val="15"/>
              </w:rPr>
              <w:t>Ox Seed Planter</w:t>
            </w:r>
          </w:p>
        </w:tc>
        <w:tc>
          <w:tcPr>
            <w:tcW w:w="0" w:type="auto"/>
            <w:tcBorders>
              <w:top w:val="nil"/>
              <w:left w:val="nil"/>
              <w:bottom w:val="single" w:sz="4" w:space="0" w:color="auto"/>
              <w:right w:val="nil"/>
            </w:tcBorders>
            <w:shd w:val="clear" w:color="auto" w:fill="E2EFD9" w:themeFill="accent6" w:themeFillTint="33"/>
            <w:vAlign w:val="center"/>
            <w:hideMark/>
          </w:tcPr>
          <w:p w14:paraId="749D418A" w14:textId="77777777" w:rsidR="00BA275B" w:rsidRPr="00D30496" w:rsidRDefault="00BA275B" w:rsidP="00D30496">
            <w:pPr>
              <w:spacing w:line="276" w:lineRule="auto"/>
              <w:rPr>
                <w:sz w:val="15"/>
                <w:szCs w:val="15"/>
              </w:rPr>
            </w:pPr>
            <w:r w:rsidRPr="00D30496">
              <w:rPr>
                <w:sz w:val="15"/>
                <w:szCs w:val="15"/>
              </w:rPr>
              <w:t>Ox Cart</w:t>
            </w:r>
          </w:p>
        </w:tc>
        <w:tc>
          <w:tcPr>
            <w:tcW w:w="0" w:type="auto"/>
            <w:tcBorders>
              <w:top w:val="nil"/>
              <w:left w:val="nil"/>
              <w:bottom w:val="single" w:sz="4" w:space="0" w:color="auto"/>
              <w:right w:val="nil"/>
            </w:tcBorders>
            <w:shd w:val="clear" w:color="auto" w:fill="E2EFD9" w:themeFill="accent6" w:themeFillTint="33"/>
            <w:vAlign w:val="center"/>
            <w:hideMark/>
          </w:tcPr>
          <w:p w14:paraId="4FE84989" w14:textId="77777777" w:rsidR="00BA275B" w:rsidRPr="00D30496" w:rsidRDefault="00BA275B" w:rsidP="00D30496">
            <w:pPr>
              <w:spacing w:line="276" w:lineRule="auto"/>
              <w:rPr>
                <w:sz w:val="15"/>
                <w:szCs w:val="15"/>
              </w:rPr>
            </w:pPr>
            <w:r w:rsidRPr="00D30496">
              <w:rPr>
                <w:sz w:val="15"/>
                <w:szCs w:val="15"/>
              </w:rPr>
              <w:t>Tractor</w:t>
            </w:r>
          </w:p>
        </w:tc>
        <w:tc>
          <w:tcPr>
            <w:tcW w:w="0" w:type="auto"/>
            <w:tcBorders>
              <w:top w:val="nil"/>
              <w:left w:val="nil"/>
              <w:bottom w:val="single" w:sz="4" w:space="0" w:color="auto"/>
              <w:right w:val="nil"/>
            </w:tcBorders>
            <w:shd w:val="clear" w:color="auto" w:fill="E2EFD9" w:themeFill="accent6" w:themeFillTint="33"/>
            <w:vAlign w:val="center"/>
            <w:hideMark/>
          </w:tcPr>
          <w:p w14:paraId="1D59F718" w14:textId="77777777" w:rsidR="00BA275B" w:rsidRPr="00D30496" w:rsidRDefault="00BA275B" w:rsidP="00D30496">
            <w:pPr>
              <w:spacing w:line="276" w:lineRule="auto"/>
              <w:rPr>
                <w:sz w:val="15"/>
                <w:szCs w:val="15"/>
              </w:rPr>
            </w:pPr>
            <w:r w:rsidRPr="00D30496">
              <w:rPr>
                <w:sz w:val="15"/>
                <w:szCs w:val="15"/>
              </w:rPr>
              <w:t>Tractor Plough</w:t>
            </w:r>
          </w:p>
        </w:tc>
        <w:tc>
          <w:tcPr>
            <w:tcW w:w="0" w:type="auto"/>
            <w:tcBorders>
              <w:top w:val="nil"/>
              <w:left w:val="nil"/>
              <w:bottom w:val="single" w:sz="4" w:space="0" w:color="auto"/>
              <w:right w:val="nil"/>
            </w:tcBorders>
            <w:shd w:val="clear" w:color="auto" w:fill="E2EFD9" w:themeFill="accent6" w:themeFillTint="33"/>
            <w:vAlign w:val="center"/>
            <w:hideMark/>
          </w:tcPr>
          <w:p w14:paraId="1F6923E5" w14:textId="77777777" w:rsidR="00BA275B" w:rsidRPr="00D30496" w:rsidRDefault="00BA275B" w:rsidP="00D30496">
            <w:pPr>
              <w:spacing w:line="276" w:lineRule="auto"/>
              <w:rPr>
                <w:sz w:val="15"/>
                <w:szCs w:val="15"/>
              </w:rPr>
            </w:pPr>
            <w:r w:rsidRPr="00D30496">
              <w:rPr>
                <w:sz w:val="15"/>
                <w:szCs w:val="15"/>
              </w:rPr>
              <w:t>Tractor Harrow</w:t>
            </w:r>
          </w:p>
        </w:tc>
        <w:tc>
          <w:tcPr>
            <w:tcW w:w="0" w:type="auto"/>
            <w:tcBorders>
              <w:top w:val="nil"/>
              <w:left w:val="nil"/>
              <w:bottom w:val="single" w:sz="4" w:space="0" w:color="auto"/>
              <w:right w:val="nil"/>
            </w:tcBorders>
            <w:shd w:val="clear" w:color="auto" w:fill="E2EFD9" w:themeFill="accent6" w:themeFillTint="33"/>
            <w:vAlign w:val="center"/>
            <w:hideMark/>
          </w:tcPr>
          <w:p w14:paraId="1F92C94E" w14:textId="77777777" w:rsidR="00BA275B" w:rsidRPr="00D30496" w:rsidRDefault="00BA275B" w:rsidP="00D30496">
            <w:pPr>
              <w:spacing w:line="276" w:lineRule="auto"/>
              <w:rPr>
                <w:sz w:val="15"/>
                <w:szCs w:val="15"/>
              </w:rPr>
            </w:pPr>
            <w:r w:rsidRPr="00D30496">
              <w:rPr>
                <w:sz w:val="15"/>
                <w:szCs w:val="15"/>
              </w:rPr>
              <w:t>Power Tiller</w:t>
            </w:r>
          </w:p>
        </w:tc>
        <w:tc>
          <w:tcPr>
            <w:tcW w:w="0" w:type="auto"/>
            <w:tcBorders>
              <w:top w:val="nil"/>
              <w:left w:val="nil"/>
              <w:bottom w:val="single" w:sz="4" w:space="0" w:color="auto"/>
              <w:right w:val="nil"/>
            </w:tcBorders>
            <w:shd w:val="clear" w:color="auto" w:fill="E2EFD9" w:themeFill="accent6" w:themeFillTint="33"/>
            <w:vAlign w:val="center"/>
            <w:hideMark/>
          </w:tcPr>
          <w:p w14:paraId="5D418941" w14:textId="77777777" w:rsidR="00BA275B" w:rsidRPr="00D30496" w:rsidRDefault="00BA275B" w:rsidP="00D30496">
            <w:pPr>
              <w:spacing w:line="276" w:lineRule="auto"/>
              <w:rPr>
                <w:sz w:val="15"/>
                <w:szCs w:val="15"/>
              </w:rPr>
            </w:pPr>
            <w:r w:rsidRPr="00D30496">
              <w:rPr>
                <w:sz w:val="15"/>
                <w:szCs w:val="15"/>
              </w:rPr>
              <w:t>Ox Ridger</w:t>
            </w:r>
          </w:p>
        </w:tc>
        <w:tc>
          <w:tcPr>
            <w:tcW w:w="0" w:type="auto"/>
            <w:vMerge/>
            <w:tcBorders>
              <w:top w:val="single" w:sz="4" w:space="0" w:color="auto"/>
              <w:left w:val="nil"/>
              <w:bottom w:val="single" w:sz="4" w:space="0" w:color="000000"/>
              <w:right w:val="nil"/>
            </w:tcBorders>
            <w:vAlign w:val="center"/>
            <w:hideMark/>
          </w:tcPr>
          <w:p w14:paraId="363B6D3D" w14:textId="77777777" w:rsidR="00BA275B" w:rsidRPr="00D30496" w:rsidRDefault="00BA275B" w:rsidP="00D30496">
            <w:pPr>
              <w:spacing w:line="276" w:lineRule="auto"/>
              <w:rPr>
                <w:sz w:val="15"/>
                <w:szCs w:val="15"/>
              </w:rPr>
            </w:pPr>
          </w:p>
        </w:tc>
      </w:tr>
      <w:tr w:rsidR="006B42D6" w:rsidRPr="00D30496" w14:paraId="634A5470" w14:textId="77777777" w:rsidTr="00D30496">
        <w:trPr>
          <w:trHeight w:val="272"/>
        </w:trPr>
        <w:tc>
          <w:tcPr>
            <w:tcW w:w="0" w:type="auto"/>
            <w:tcBorders>
              <w:top w:val="nil"/>
              <w:left w:val="nil"/>
              <w:bottom w:val="nil"/>
              <w:right w:val="nil"/>
            </w:tcBorders>
            <w:shd w:val="clear" w:color="auto" w:fill="auto"/>
            <w:noWrap/>
            <w:vAlign w:val="center"/>
            <w:hideMark/>
          </w:tcPr>
          <w:p w14:paraId="79DA6F75" w14:textId="77777777" w:rsidR="00BA275B" w:rsidRPr="00D30496" w:rsidRDefault="00BA275B" w:rsidP="00383AA6">
            <w:pPr>
              <w:rPr>
                <w:sz w:val="15"/>
                <w:szCs w:val="15"/>
              </w:rPr>
            </w:pPr>
            <w:r w:rsidRPr="00D30496">
              <w:rPr>
                <w:sz w:val="15"/>
                <w:szCs w:val="15"/>
              </w:rPr>
              <w:t>Dodoma</w:t>
            </w:r>
          </w:p>
        </w:tc>
        <w:tc>
          <w:tcPr>
            <w:tcW w:w="0" w:type="auto"/>
            <w:tcBorders>
              <w:top w:val="nil"/>
              <w:left w:val="nil"/>
              <w:bottom w:val="nil"/>
              <w:right w:val="nil"/>
            </w:tcBorders>
            <w:shd w:val="clear" w:color="auto" w:fill="auto"/>
            <w:noWrap/>
            <w:vAlign w:val="center"/>
            <w:hideMark/>
          </w:tcPr>
          <w:p w14:paraId="4BF2D749" w14:textId="77777777" w:rsidR="00BA275B" w:rsidRPr="00D30496" w:rsidRDefault="00BA275B" w:rsidP="00D30496">
            <w:pPr>
              <w:jc w:val="right"/>
              <w:rPr>
                <w:sz w:val="15"/>
                <w:szCs w:val="15"/>
              </w:rPr>
            </w:pPr>
            <w:r w:rsidRPr="00D30496">
              <w:rPr>
                <w:sz w:val="15"/>
                <w:szCs w:val="15"/>
              </w:rPr>
              <w:t>91.2</w:t>
            </w:r>
          </w:p>
        </w:tc>
        <w:tc>
          <w:tcPr>
            <w:tcW w:w="0" w:type="auto"/>
            <w:tcBorders>
              <w:top w:val="nil"/>
              <w:left w:val="nil"/>
              <w:bottom w:val="nil"/>
              <w:right w:val="nil"/>
            </w:tcBorders>
            <w:shd w:val="clear" w:color="auto" w:fill="auto"/>
            <w:noWrap/>
            <w:vAlign w:val="center"/>
            <w:hideMark/>
          </w:tcPr>
          <w:p w14:paraId="3E39E80E" w14:textId="77777777" w:rsidR="00BA275B" w:rsidRPr="00D30496" w:rsidRDefault="00BA275B" w:rsidP="00D30496">
            <w:pPr>
              <w:jc w:val="right"/>
              <w:rPr>
                <w:sz w:val="15"/>
                <w:szCs w:val="15"/>
              </w:rPr>
            </w:pPr>
            <w:r w:rsidRPr="00D30496">
              <w:rPr>
                <w:sz w:val="15"/>
                <w:szCs w:val="15"/>
              </w:rPr>
              <w:t>97.7</w:t>
            </w:r>
          </w:p>
        </w:tc>
        <w:tc>
          <w:tcPr>
            <w:tcW w:w="0" w:type="auto"/>
            <w:tcBorders>
              <w:top w:val="nil"/>
              <w:left w:val="nil"/>
              <w:bottom w:val="nil"/>
              <w:right w:val="nil"/>
            </w:tcBorders>
            <w:shd w:val="clear" w:color="auto" w:fill="auto"/>
            <w:noWrap/>
            <w:vAlign w:val="center"/>
            <w:hideMark/>
          </w:tcPr>
          <w:p w14:paraId="4E884770" w14:textId="77777777" w:rsidR="00BA275B" w:rsidRPr="00D30496" w:rsidRDefault="00BA275B" w:rsidP="00D30496">
            <w:pPr>
              <w:jc w:val="right"/>
              <w:rPr>
                <w:sz w:val="15"/>
                <w:szCs w:val="15"/>
              </w:rPr>
            </w:pPr>
            <w:r w:rsidRPr="00D30496">
              <w:rPr>
                <w:sz w:val="15"/>
                <w:szCs w:val="15"/>
              </w:rPr>
              <w:t>57.9</w:t>
            </w:r>
          </w:p>
        </w:tc>
        <w:tc>
          <w:tcPr>
            <w:tcW w:w="0" w:type="auto"/>
            <w:tcBorders>
              <w:top w:val="nil"/>
              <w:left w:val="nil"/>
              <w:bottom w:val="nil"/>
              <w:right w:val="nil"/>
            </w:tcBorders>
            <w:shd w:val="clear" w:color="auto" w:fill="auto"/>
            <w:noWrap/>
            <w:vAlign w:val="center"/>
            <w:hideMark/>
          </w:tcPr>
          <w:p w14:paraId="5D29722C" w14:textId="77777777" w:rsidR="00BA275B" w:rsidRPr="00D30496" w:rsidRDefault="00BA275B" w:rsidP="00D30496">
            <w:pPr>
              <w:jc w:val="right"/>
              <w:rPr>
                <w:sz w:val="15"/>
                <w:szCs w:val="15"/>
              </w:rPr>
            </w:pPr>
            <w:r w:rsidRPr="00D30496">
              <w:rPr>
                <w:sz w:val="15"/>
                <w:szCs w:val="15"/>
              </w:rPr>
              <w:t>54.9</w:t>
            </w:r>
          </w:p>
        </w:tc>
        <w:tc>
          <w:tcPr>
            <w:tcW w:w="0" w:type="auto"/>
            <w:tcBorders>
              <w:top w:val="nil"/>
              <w:left w:val="nil"/>
              <w:bottom w:val="nil"/>
              <w:right w:val="nil"/>
            </w:tcBorders>
            <w:shd w:val="clear" w:color="auto" w:fill="auto"/>
            <w:noWrap/>
            <w:vAlign w:val="center"/>
            <w:hideMark/>
          </w:tcPr>
          <w:p w14:paraId="1A0DDDB3" w14:textId="77777777" w:rsidR="00BA275B" w:rsidRPr="00D30496" w:rsidRDefault="00BA275B" w:rsidP="00D30496">
            <w:pPr>
              <w:jc w:val="right"/>
              <w:rPr>
                <w:sz w:val="15"/>
                <w:szCs w:val="15"/>
              </w:rPr>
            </w:pPr>
            <w:r w:rsidRPr="00D30496">
              <w:rPr>
                <w:sz w:val="15"/>
                <w:szCs w:val="15"/>
              </w:rPr>
              <w:t>1.0</w:t>
            </w:r>
          </w:p>
        </w:tc>
        <w:tc>
          <w:tcPr>
            <w:tcW w:w="0" w:type="auto"/>
            <w:tcBorders>
              <w:top w:val="nil"/>
              <w:left w:val="nil"/>
              <w:bottom w:val="nil"/>
              <w:right w:val="nil"/>
            </w:tcBorders>
            <w:shd w:val="clear" w:color="auto" w:fill="auto"/>
            <w:noWrap/>
            <w:vAlign w:val="center"/>
            <w:hideMark/>
          </w:tcPr>
          <w:p w14:paraId="20FEDC18" w14:textId="77777777" w:rsidR="00BA275B" w:rsidRPr="00D30496" w:rsidRDefault="00BA275B" w:rsidP="00D30496">
            <w:pPr>
              <w:jc w:val="right"/>
              <w:rPr>
                <w:sz w:val="15"/>
                <w:szCs w:val="15"/>
              </w:rPr>
            </w:pPr>
            <w:r w:rsidRPr="00D30496">
              <w:rPr>
                <w:sz w:val="15"/>
                <w:szCs w:val="15"/>
              </w:rPr>
              <w:t>16.6</w:t>
            </w:r>
          </w:p>
        </w:tc>
        <w:tc>
          <w:tcPr>
            <w:tcW w:w="0" w:type="auto"/>
            <w:tcBorders>
              <w:top w:val="nil"/>
              <w:left w:val="nil"/>
              <w:bottom w:val="nil"/>
              <w:right w:val="nil"/>
            </w:tcBorders>
            <w:shd w:val="clear" w:color="auto" w:fill="auto"/>
            <w:noWrap/>
            <w:vAlign w:val="center"/>
            <w:hideMark/>
          </w:tcPr>
          <w:p w14:paraId="6C4E43CE" w14:textId="77777777" w:rsidR="00BA275B" w:rsidRPr="00D30496" w:rsidRDefault="00BA275B" w:rsidP="00D30496">
            <w:pPr>
              <w:jc w:val="right"/>
              <w:rPr>
                <w:sz w:val="15"/>
                <w:szCs w:val="15"/>
              </w:rPr>
            </w:pPr>
            <w:r w:rsidRPr="00D30496">
              <w:rPr>
                <w:sz w:val="15"/>
                <w:szCs w:val="15"/>
              </w:rPr>
              <w:t>19.6</w:t>
            </w:r>
          </w:p>
        </w:tc>
        <w:tc>
          <w:tcPr>
            <w:tcW w:w="0" w:type="auto"/>
            <w:tcBorders>
              <w:top w:val="nil"/>
              <w:left w:val="nil"/>
              <w:bottom w:val="nil"/>
              <w:right w:val="nil"/>
            </w:tcBorders>
            <w:shd w:val="clear" w:color="auto" w:fill="auto"/>
            <w:noWrap/>
            <w:vAlign w:val="center"/>
            <w:hideMark/>
          </w:tcPr>
          <w:p w14:paraId="118C33CB" w14:textId="77777777" w:rsidR="00BA275B" w:rsidRPr="00D30496" w:rsidRDefault="00BA275B" w:rsidP="00D30496">
            <w:pPr>
              <w:jc w:val="right"/>
              <w:rPr>
                <w:sz w:val="15"/>
                <w:szCs w:val="15"/>
              </w:rPr>
            </w:pPr>
            <w:r w:rsidRPr="00D30496">
              <w:rPr>
                <w:sz w:val="15"/>
                <w:szCs w:val="15"/>
              </w:rPr>
              <w:t>18.1</w:t>
            </w:r>
          </w:p>
        </w:tc>
        <w:tc>
          <w:tcPr>
            <w:tcW w:w="0" w:type="auto"/>
            <w:tcBorders>
              <w:top w:val="nil"/>
              <w:left w:val="nil"/>
              <w:bottom w:val="nil"/>
              <w:right w:val="nil"/>
            </w:tcBorders>
            <w:shd w:val="clear" w:color="auto" w:fill="auto"/>
            <w:noWrap/>
            <w:vAlign w:val="center"/>
            <w:hideMark/>
          </w:tcPr>
          <w:p w14:paraId="4AABB342" w14:textId="77777777" w:rsidR="00BA275B" w:rsidRPr="00D30496" w:rsidRDefault="00BA275B" w:rsidP="00D30496">
            <w:pPr>
              <w:jc w:val="right"/>
              <w:rPr>
                <w:sz w:val="15"/>
                <w:szCs w:val="15"/>
              </w:rPr>
            </w:pPr>
            <w:r w:rsidRPr="00D30496">
              <w:rPr>
                <w:sz w:val="15"/>
                <w:szCs w:val="15"/>
              </w:rPr>
              <w:t>1.5</w:t>
            </w:r>
          </w:p>
        </w:tc>
        <w:tc>
          <w:tcPr>
            <w:tcW w:w="0" w:type="auto"/>
            <w:tcBorders>
              <w:top w:val="nil"/>
              <w:left w:val="nil"/>
              <w:bottom w:val="nil"/>
              <w:right w:val="nil"/>
            </w:tcBorders>
            <w:shd w:val="clear" w:color="auto" w:fill="auto"/>
            <w:noWrap/>
            <w:vAlign w:val="center"/>
            <w:hideMark/>
          </w:tcPr>
          <w:p w14:paraId="3808D3E1" w14:textId="77777777" w:rsidR="00BA275B" w:rsidRPr="00D30496" w:rsidRDefault="00BA275B" w:rsidP="00D30496">
            <w:pPr>
              <w:jc w:val="right"/>
              <w:rPr>
                <w:sz w:val="15"/>
                <w:szCs w:val="15"/>
              </w:rPr>
            </w:pPr>
            <w:r w:rsidRPr="00D30496">
              <w:rPr>
                <w:sz w:val="15"/>
                <w:szCs w:val="15"/>
              </w:rPr>
              <w:t>2.5</w:t>
            </w:r>
          </w:p>
        </w:tc>
        <w:tc>
          <w:tcPr>
            <w:tcW w:w="0" w:type="auto"/>
            <w:tcBorders>
              <w:top w:val="nil"/>
              <w:left w:val="nil"/>
              <w:bottom w:val="nil"/>
              <w:right w:val="nil"/>
            </w:tcBorders>
            <w:shd w:val="clear" w:color="auto" w:fill="auto"/>
            <w:noWrap/>
            <w:vAlign w:val="center"/>
            <w:hideMark/>
          </w:tcPr>
          <w:p w14:paraId="45B51D9A" w14:textId="77777777" w:rsidR="00BA275B" w:rsidRPr="00D30496" w:rsidRDefault="00BA275B" w:rsidP="00D30496">
            <w:pPr>
              <w:jc w:val="right"/>
              <w:rPr>
                <w:sz w:val="15"/>
                <w:szCs w:val="15"/>
              </w:rPr>
            </w:pPr>
            <w:r w:rsidRPr="00D30496">
              <w:rPr>
                <w:sz w:val="15"/>
                <w:szCs w:val="15"/>
              </w:rPr>
              <w:t>1.2</w:t>
            </w:r>
          </w:p>
        </w:tc>
        <w:tc>
          <w:tcPr>
            <w:tcW w:w="0" w:type="auto"/>
            <w:tcBorders>
              <w:top w:val="nil"/>
              <w:left w:val="nil"/>
              <w:bottom w:val="nil"/>
              <w:right w:val="nil"/>
            </w:tcBorders>
            <w:shd w:val="clear" w:color="auto" w:fill="auto"/>
            <w:noWrap/>
            <w:vAlign w:val="center"/>
            <w:hideMark/>
          </w:tcPr>
          <w:p w14:paraId="503D85FE" w14:textId="77777777" w:rsidR="00BA275B" w:rsidRPr="00D30496" w:rsidRDefault="00BA275B" w:rsidP="00D30496">
            <w:pPr>
              <w:jc w:val="right"/>
              <w:rPr>
                <w:sz w:val="15"/>
                <w:szCs w:val="15"/>
              </w:rPr>
            </w:pPr>
            <w:r w:rsidRPr="00D30496">
              <w:rPr>
                <w:sz w:val="15"/>
                <w:szCs w:val="15"/>
              </w:rPr>
              <w:t>510,148</w:t>
            </w:r>
          </w:p>
        </w:tc>
      </w:tr>
      <w:tr w:rsidR="006B42D6" w:rsidRPr="00D30496" w14:paraId="3250C847" w14:textId="77777777" w:rsidTr="00D30496">
        <w:trPr>
          <w:trHeight w:val="272"/>
        </w:trPr>
        <w:tc>
          <w:tcPr>
            <w:tcW w:w="0" w:type="auto"/>
            <w:tcBorders>
              <w:top w:val="nil"/>
              <w:left w:val="nil"/>
              <w:bottom w:val="nil"/>
              <w:right w:val="nil"/>
            </w:tcBorders>
            <w:shd w:val="clear" w:color="auto" w:fill="auto"/>
            <w:noWrap/>
            <w:vAlign w:val="center"/>
            <w:hideMark/>
          </w:tcPr>
          <w:p w14:paraId="35962D7F" w14:textId="77777777" w:rsidR="00BA275B" w:rsidRPr="00D30496" w:rsidRDefault="00BA275B" w:rsidP="00383AA6">
            <w:pPr>
              <w:rPr>
                <w:sz w:val="15"/>
                <w:szCs w:val="15"/>
              </w:rPr>
            </w:pPr>
            <w:r w:rsidRPr="00D30496">
              <w:rPr>
                <w:sz w:val="15"/>
                <w:szCs w:val="15"/>
              </w:rPr>
              <w:t>Arusha</w:t>
            </w:r>
          </w:p>
        </w:tc>
        <w:tc>
          <w:tcPr>
            <w:tcW w:w="0" w:type="auto"/>
            <w:tcBorders>
              <w:top w:val="nil"/>
              <w:left w:val="nil"/>
              <w:bottom w:val="nil"/>
              <w:right w:val="nil"/>
            </w:tcBorders>
            <w:shd w:val="clear" w:color="auto" w:fill="auto"/>
            <w:noWrap/>
            <w:vAlign w:val="center"/>
            <w:hideMark/>
          </w:tcPr>
          <w:p w14:paraId="5D5C2EB0" w14:textId="77777777" w:rsidR="00BA275B" w:rsidRPr="00D30496" w:rsidRDefault="00BA275B" w:rsidP="00D30496">
            <w:pPr>
              <w:jc w:val="right"/>
              <w:rPr>
                <w:sz w:val="15"/>
                <w:szCs w:val="15"/>
              </w:rPr>
            </w:pPr>
            <w:r w:rsidRPr="00D30496">
              <w:rPr>
                <w:sz w:val="15"/>
                <w:szCs w:val="15"/>
              </w:rPr>
              <w:t>75.4</w:t>
            </w:r>
          </w:p>
        </w:tc>
        <w:tc>
          <w:tcPr>
            <w:tcW w:w="0" w:type="auto"/>
            <w:tcBorders>
              <w:top w:val="nil"/>
              <w:left w:val="nil"/>
              <w:bottom w:val="nil"/>
              <w:right w:val="nil"/>
            </w:tcBorders>
            <w:shd w:val="clear" w:color="auto" w:fill="auto"/>
            <w:noWrap/>
            <w:vAlign w:val="center"/>
            <w:hideMark/>
          </w:tcPr>
          <w:p w14:paraId="3477EFB4" w14:textId="77777777" w:rsidR="00BA275B" w:rsidRPr="00D30496" w:rsidRDefault="00BA275B" w:rsidP="00D30496">
            <w:pPr>
              <w:jc w:val="right"/>
              <w:rPr>
                <w:sz w:val="15"/>
                <w:szCs w:val="15"/>
              </w:rPr>
            </w:pPr>
            <w:r w:rsidRPr="00D30496">
              <w:rPr>
                <w:sz w:val="15"/>
                <w:szCs w:val="15"/>
              </w:rPr>
              <w:t>79.0</w:t>
            </w:r>
          </w:p>
        </w:tc>
        <w:tc>
          <w:tcPr>
            <w:tcW w:w="0" w:type="auto"/>
            <w:tcBorders>
              <w:top w:val="nil"/>
              <w:left w:val="nil"/>
              <w:bottom w:val="nil"/>
              <w:right w:val="nil"/>
            </w:tcBorders>
            <w:shd w:val="clear" w:color="auto" w:fill="auto"/>
            <w:noWrap/>
            <w:vAlign w:val="center"/>
            <w:hideMark/>
          </w:tcPr>
          <w:p w14:paraId="78339717" w14:textId="77777777" w:rsidR="00BA275B" w:rsidRPr="00D30496" w:rsidRDefault="00BA275B" w:rsidP="00D30496">
            <w:pPr>
              <w:jc w:val="right"/>
              <w:rPr>
                <w:sz w:val="15"/>
                <w:szCs w:val="15"/>
              </w:rPr>
            </w:pPr>
            <w:r w:rsidRPr="00D30496">
              <w:rPr>
                <w:sz w:val="15"/>
                <w:szCs w:val="15"/>
              </w:rPr>
              <w:t>25.5</w:t>
            </w:r>
          </w:p>
        </w:tc>
        <w:tc>
          <w:tcPr>
            <w:tcW w:w="0" w:type="auto"/>
            <w:tcBorders>
              <w:top w:val="nil"/>
              <w:left w:val="nil"/>
              <w:bottom w:val="nil"/>
              <w:right w:val="nil"/>
            </w:tcBorders>
            <w:shd w:val="clear" w:color="auto" w:fill="auto"/>
            <w:noWrap/>
            <w:vAlign w:val="center"/>
            <w:hideMark/>
          </w:tcPr>
          <w:p w14:paraId="6E38513A" w14:textId="77777777" w:rsidR="00BA275B" w:rsidRPr="00D30496" w:rsidRDefault="00BA275B" w:rsidP="00D30496">
            <w:pPr>
              <w:jc w:val="right"/>
              <w:rPr>
                <w:sz w:val="15"/>
                <w:szCs w:val="15"/>
              </w:rPr>
            </w:pPr>
            <w:r w:rsidRPr="00D30496">
              <w:rPr>
                <w:sz w:val="15"/>
                <w:szCs w:val="15"/>
              </w:rPr>
              <w:t>21.9</w:t>
            </w:r>
          </w:p>
        </w:tc>
        <w:tc>
          <w:tcPr>
            <w:tcW w:w="0" w:type="auto"/>
            <w:tcBorders>
              <w:top w:val="nil"/>
              <w:left w:val="nil"/>
              <w:bottom w:val="nil"/>
              <w:right w:val="nil"/>
            </w:tcBorders>
            <w:shd w:val="clear" w:color="auto" w:fill="auto"/>
            <w:noWrap/>
            <w:vAlign w:val="center"/>
            <w:hideMark/>
          </w:tcPr>
          <w:p w14:paraId="0191124A" w14:textId="77777777" w:rsidR="00BA275B" w:rsidRPr="00D30496" w:rsidRDefault="00BA275B" w:rsidP="00D30496">
            <w:pPr>
              <w:jc w:val="right"/>
              <w:rPr>
                <w:sz w:val="15"/>
                <w:szCs w:val="15"/>
              </w:rPr>
            </w:pPr>
            <w:r w:rsidRPr="00D30496">
              <w:rPr>
                <w:sz w:val="15"/>
                <w:szCs w:val="15"/>
              </w:rPr>
              <w:t>4.0</w:t>
            </w:r>
          </w:p>
        </w:tc>
        <w:tc>
          <w:tcPr>
            <w:tcW w:w="0" w:type="auto"/>
            <w:tcBorders>
              <w:top w:val="nil"/>
              <w:left w:val="nil"/>
              <w:bottom w:val="nil"/>
              <w:right w:val="nil"/>
            </w:tcBorders>
            <w:shd w:val="clear" w:color="auto" w:fill="auto"/>
            <w:noWrap/>
            <w:vAlign w:val="center"/>
            <w:hideMark/>
          </w:tcPr>
          <w:p w14:paraId="357749DF" w14:textId="77777777" w:rsidR="00BA275B" w:rsidRPr="00D30496" w:rsidRDefault="00BA275B" w:rsidP="00D30496">
            <w:pPr>
              <w:jc w:val="right"/>
              <w:rPr>
                <w:sz w:val="15"/>
                <w:szCs w:val="15"/>
              </w:rPr>
            </w:pPr>
            <w:r w:rsidRPr="00D30496">
              <w:rPr>
                <w:sz w:val="15"/>
                <w:szCs w:val="15"/>
              </w:rPr>
              <w:t>6.5</w:t>
            </w:r>
          </w:p>
        </w:tc>
        <w:tc>
          <w:tcPr>
            <w:tcW w:w="0" w:type="auto"/>
            <w:tcBorders>
              <w:top w:val="nil"/>
              <w:left w:val="nil"/>
              <w:bottom w:val="nil"/>
              <w:right w:val="nil"/>
            </w:tcBorders>
            <w:shd w:val="clear" w:color="auto" w:fill="auto"/>
            <w:noWrap/>
            <w:vAlign w:val="center"/>
            <w:hideMark/>
          </w:tcPr>
          <w:p w14:paraId="3C59B133" w14:textId="77777777" w:rsidR="00BA275B" w:rsidRPr="00D30496" w:rsidRDefault="00BA275B" w:rsidP="00D30496">
            <w:pPr>
              <w:jc w:val="right"/>
              <w:rPr>
                <w:sz w:val="15"/>
                <w:szCs w:val="15"/>
              </w:rPr>
            </w:pPr>
            <w:r w:rsidRPr="00D30496">
              <w:rPr>
                <w:sz w:val="15"/>
                <w:szCs w:val="15"/>
              </w:rPr>
              <w:t>38.0</w:t>
            </w:r>
          </w:p>
        </w:tc>
        <w:tc>
          <w:tcPr>
            <w:tcW w:w="0" w:type="auto"/>
            <w:tcBorders>
              <w:top w:val="nil"/>
              <w:left w:val="nil"/>
              <w:bottom w:val="nil"/>
              <w:right w:val="nil"/>
            </w:tcBorders>
            <w:shd w:val="clear" w:color="auto" w:fill="auto"/>
            <w:noWrap/>
            <w:vAlign w:val="center"/>
            <w:hideMark/>
          </w:tcPr>
          <w:p w14:paraId="57EFD7E1" w14:textId="77777777" w:rsidR="00BA275B" w:rsidRPr="00D30496" w:rsidRDefault="00BA275B" w:rsidP="00D30496">
            <w:pPr>
              <w:jc w:val="right"/>
              <w:rPr>
                <w:sz w:val="15"/>
                <w:szCs w:val="15"/>
              </w:rPr>
            </w:pPr>
            <w:r w:rsidRPr="00D30496">
              <w:rPr>
                <w:sz w:val="15"/>
                <w:szCs w:val="15"/>
              </w:rPr>
              <w:t>26.3</w:t>
            </w:r>
          </w:p>
        </w:tc>
        <w:tc>
          <w:tcPr>
            <w:tcW w:w="0" w:type="auto"/>
            <w:tcBorders>
              <w:top w:val="nil"/>
              <w:left w:val="nil"/>
              <w:bottom w:val="nil"/>
              <w:right w:val="nil"/>
            </w:tcBorders>
            <w:shd w:val="clear" w:color="auto" w:fill="auto"/>
            <w:noWrap/>
            <w:vAlign w:val="center"/>
            <w:hideMark/>
          </w:tcPr>
          <w:p w14:paraId="2739B13A" w14:textId="77777777" w:rsidR="00BA275B" w:rsidRPr="00D30496" w:rsidRDefault="00BA275B" w:rsidP="00D30496">
            <w:pPr>
              <w:jc w:val="right"/>
              <w:rPr>
                <w:sz w:val="15"/>
                <w:szCs w:val="15"/>
              </w:rPr>
            </w:pPr>
            <w:r w:rsidRPr="00D30496">
              <w:rPr>
                <w:sz w:val="15"/>
                <w:szCs w:val="15"/>
              </w:rPr>
              <w:t>9.9</w:t>
            </w:r>
          </w:p>
        </w:tc>
        <w:tc>
          <w:tcPr>
            <w:tcW w:w="0" w:type="auto"/>
            <w:tcBorders>
              <w:top w:val="nil"/>
              <w:left w:val="nil"/>
              <w:bottom w:val="nil"/>
              <w:right w:val="nil"/>
            </w:tcBorders>
            <w:shd w:val="clear" w:color="auto" w:fill="auto"/>
            <w:noWrap/>
            <w:vAlign w:val="center"/>
            <w:hideMark/>
          </w:tcPr>
          <w:p w14:paraId="6B50B36B" w14:textId="77777777" w:rsidR="00BA275B" w:rsidRPr="00D30496" w:rsidRDefault="00BA275B" w:rsidP="00D30496">
            <w:pPr>
              <w:jc w:val="right"/>
              <w:rPr>
                <w:sz w:val="15"/>
                <w:szCs w:val="15"/>
              </w:rPr>
            </w:pPr>
            <w:r w:rsidRPr="00D30496">
              <w:rPr>
                <w:sz w:val="15"/>
                <w:szCs w:val="15"/>
              </w:rPr>
              <w:t>0.7</w:t>
            </w:r>
          </w:p>
        </w:tc>
        <w:tc>
          <w:tcPr>
            <w:tcW w:w="0" w:type="auto"/>
            <w:tcBorders>
              <w:top w:val="nil"/>
              <w:left w:val="nil"/>
              <w:bottom w:val="nil"/>
              <w:right w:val="nil"/>
            </w:tcBorders>
            <w:shd w:val="clear" w:color="auto" w:fill="auto"/>
            <w:noWrap/>
            <w:vAlign w:val="center"/>
            <w:hideMark/>
          </w:tcPr>
          <w:p w14:paraId="11FFF64D" w14:textId="77777777" w:rsidR="00BA275B" w:rsidRPr="00D30496" w:rsidRDefault="00BA275B" w:rsidP="00D30496">
            <w:pPr>
              <w:jc w:val="right"/>
              <w:rPr>
                <w:sz w:val="15"/>
                <w:szCs w:val="15"/>
              </w:rPr>
            </w:pPr>
            <w:r w:rsidRPr="00D30496">
              <w:rPr>
                <w:sz w:val="15"/>
                <w:szCs w:val="15"/>
              </w:rPr>
              <w:t>2.3</w:t>
            </w:r>
          </w:p>
        </w:tc>
        <w:tc>
          <w:tcPr>
            <w:tcW w:w="0" w:type="auto"/>
            <w:tcBorders>
              <w:top w:val="nil"/>
              <w:left w:val="nil"/>
              <w:bottom w:val="nil"/>
              <w:right w:val="nil"/>
            </w:tcBorders>
            <w:shd w:val="clear" w:color="auto" w:fill="auto"/>
            <w:noWrap/>
            <w:vAlign w:val="center"/>
            <w:hideMark/>
          </w:tcPr>
          <w:p w14:paraId="2398A724" w14:textId="77777777" w:rsidR="00BA275B" w:rsidRPr="00D30496" w:rsidRDefault="00BA275B" w:rsidP="00D30496">
            <w:pPr>
              <w:jc w:val="right"/>
              <w:rPr>
                <w:sz w:val="15"/>
                <w:szCs w:val="15"/>
              </w:rPr>
            </w:pPr>
            <w:r w:rsidRPr="00D30496">
              <w:rPr>
                <w:sz w:val="15"/>
                <w:szCs w:val="15"/>
              </w:rPr>
              <w:t>221,016</w:t>
            </w:r>
          </w:p>
        </w:tc>
      </w:tr>
      <w:tr w:rsidR="006B42D6" w:rsidRPr="00D30496" w14:paraId="50BEB6EE" w14:textId="77777777" w:rsidTr="00D30496">
        <w:trPr>
          <w:trHeight w:val="272"/>
        </w:trPr>
        <w:tc>
          <w:tcPr>
            <w:tcW w:w="0" w:type="auto"/>
            <w:tcBorders>
              <w:top w:val="nil"/>
              <w:left w:val="nil"/>
              <w:bottom w:val="nil"/>
              <w:right w:val="nil"/>
            </w:tcBorders>
            <w:shd w:val="clear" w:color="auto" w:fill="auto"/>
            <w:noWrap/>
            <w:vAlign w:val="center"/>
            <w:hideMark/>
          </w:tcPr>
          <w:p w14:paraId="6020081C" w14:textId="77777777" w:rsidR="00BA275B" w:rsidRPr="00D30496" w:rsidRDefault="00BA275B" w:rsidP="00383AA6">
            <w:pPr>
              <w:rPr>
                <w:sz w:val="15"/>
                <w:szCs w:val="15"/>
              </w:rPr>
            </w:pPr>
            <w:r w:rsidRPr="00D30496">
              <w:rPr>
                <w:sz w:val="15"/>
                <w:szCs w:val="15"/>
              </w:rPr>
              <w:t>Kilimanjaro</w:t>
            </w:r>
          </w:p>
        </w:tc>
        <w:tc>
          <w:tcPr>
            <w:tcW w:w="0" w:type="auto"/>
            <w:tcBorders>
              <w:top w:val="nil"/>
              <w:left w:val="nil"/>
              <w:bottom w:val="nil"/>
              <w:right w:val="nil"/>
            </w:tcBorders>
            <w:shd w:val="clear" w:color="auto" w:fill="auto"/>
            <w:noWrap/>
            <w:vAlign w:val="center"/>
            <w:hideMark/>
          </w:tcPr>
          <w:p w14:paraId="47E3FC7A" w14:textId="77777777" w:rsidR="00BA275B" w:rsidRPr="00D30496" w:rsidRDefault="00BA275B" w:rsidP="00D30496">
            <w:pPr>
              <w:jc w:val="right"/>
              <w:rPr>
                <w:sz w:val="15"/>
                <w:szCs w:val="15"/>
              </w:rPr>
            </w:pPr>
            <w:r w:rsidRPr="00D30496">
              <w:rPr>
                <w:sz w:val="15"/>
                <w:szCs w:val="15"/>
              </w:rPr>
              <w:t>94.3</w:t>
            </w:r>
          </w:p>
        </w:tc>
        <w:tc>
          <w:tcPr>
            <w:tcW w:w="0" w:type="auto"/>
            <w:tcBorders>
              <w:top w:val="nil"/>
              <w:left w:val="nil"/>
              <w:bottom w:val="nil"/>
              <w:right w:val="nil"/>
            </w:tcBorders>
            <w:shd w:val="clear" w:color="auto" w:fill="auto"/>
            <w:noWrap/>
            <w:vAlign w:val="center"/>
            <w:hideMark/>
          </w:tcPr>
          <w:p w14:paraId="1059BA27" w14:textId="77777777" w:rsidR="00BA275B" w:rsidRPr="00D30496" w:rsidRDefault="00BA275B" w:rsidP="00D30496">
            <w:pPr>
              <w:jc w:val="right"/>
              <w:rPr>
                <w:sz w:val="15"/>
                <w:szCs w:val="15"/>
              </w:rPr>
            </w:pPr>
            <w:r w:rsidRPr="00D30496">
              <w:rPr>
                <w:sz w:val="15"/>
                <w:szCs w:val="15"/>
              </w:rPr>
              <w:t>96.1</w:t>
            </w:r>
          </w:p>
        </w:tc>
        <w:tc>
          <w:tcPr>
            <w:tcW w:w="0" w:type="auto"/>
            <w:tcBorders>
              <w:top w:val="nil"/>
              <w:left w:val="nil"/>
              <w:bottom w:val="nil"/>
              <w:right w:val="nil"/>
            </w:tcBorders>
            <w:shd w:val="clear" w:color="auto" w:fill="auto"/>
            <w:noWrap/>
            <w:vAlign w:val="center"/>
            <w:hideMark/>
          </w:tcPr>
          <w:p w14:paraId="5D4717DF" w14:textId="77777777" w:rsidR="00BA275B" w:rsidRPr="00D30496" w:rsidRDefault="00BA275B" w:rsidP="00D30496">
            <w:pPr>
              <w:jc w:val="right"/>
              <w:rPr>
                <w:sz w:val="15"/>
                <w:szCs w:val="15"/>
              </w:rPr>
            </w:pPr>
            <w:r w:rsidRPr="00D30496">
              <w:rPr>
                <w:sz w:val="15"/>
                <w:szCs w:val="15"/>
              </w:rPr>
              <w:t>6.6</w:t>
            </w:r>
          </w:p>
        </w:tc>
        <w:tc>
          <w:tcPr>
            <w:tcW w:w="0" w:type="auto"/>
            <w:tcBorders>
              <w:top w:val="nil"/>
              <w:left w:val="nil"/>
              <w:bottom w:val="nil"/>
              <w:right w:val="nil"/>
            </w:tcBorders>
            <w:shd w:val="clear" w:color="auto" w:fill="auto"/>
            <w:noWrap/>
            <w:vAlign w:val="center"/>
            <w:hideMark/>
          </w:tcPr>
          <w:p w14:paraId="0B6BBE93" w14:textId="77777777" w:rsidR="00BA275B" w:rsidRPr="00D30496" w:rsidRDefault="00BA275B" w:rsidP="00D30496">
            <w:pPr>
              <w:jc w:val="right"/>
              <w:rPr>
                <w:sz w:val="15"/>
                <w:szCs w:val="15"/>
              </w:rPr>
            </w:pPr>
            <w:r w:rsidRPr="00D30496">
              <w:rPr>
                <w:sz w:val="15"/>
                <w:szCs w:val="15"/>
              </w:rPr>
              <w:t>5.7</w:t>
            </w:r>
          </w:p>
        </w:tc>
        <w:tc>
          <w:tcPr>
            <w:tcW w:w="0" w:type="auto"/>
            <w:tcBorders>
              <w:top w:val="nil"/>
              <w:left w:val="nil"/>
              <w:bottom w:val="nil"/>
              <w:right w:val="nil"/>
            </w:tcBorders>
            <w:shd w:val="clear" w:color="auto" w:fill="auto"/>
            <w:noWrap/>
            <w:vAlign w:val="center"/>
            <w:hideMark/>
          </w:tcPr>
          <w:p w14:paraId="3F7ACAD8" w14:textId="77777777" w:rsidR="00BA275B" w:rsidRPr="00D30496" w:rsidRDefault="00BA275B" w:rsidP="00D30496">
            <w:pPr>
              <w:jc w:val="right"/>
              <w:rPr>
                <w:sz w:val="15"/>
                <w:szCs w:val="15"/>
              </w:rPr>
            </w:pPr>
            <w:r w:rsidRPr="00D30496">
              <w:rPr>
                <w:sz w:val="15"/>
                <w:szCs w:val="15"/>
              </w:rPr>
              <w:t>0.8</w:t>
            </w:r>
          </w:p>
        </w:tc>
        <w:tc>
          <w:tcPr>
            <w:tcW w:w="0" w:type="auto"/>
            <w:tcBorders>
              <w:top w:val="nil"/>
              <w:left w:val="nil"/>
              <w:bottom w:val="nil"/>
              <w:right w:val="nil"/>
            </w:tcBorders>
            <w:shd w:val="clear" w:color="auto" w:fill="auto"/>
            <w:noWrap/>
            <w:vAlign w:val="center"/>
            <w:hideMark/>
          </w:tcPr>
          <w:p w14:paraId="64C49835" w14:textId="77777777" w:rsidR="00BA275B" w:rsidRPr="00D30496" w:rsidRDefault="00BA275B" w:rsidP="00D30496">
            <w:pPr>
              <w:jc w:val="right"/>
              <w:rPr>
                <w:sz w:val="15"/>
                <w:szCs w:val="15"/>
              </w:rPr>
            </w:pPr>
            <w:r w:rsidRPr="00D30496">
              <w:rPr>
                <w:sz w:val="15"/>
                <w:szCs w:val="15"/>
              </w:rPr>
              <w:t>1.1</w:t>
            </w:r>
          </w:p>
        </w:tc>
        <w:tc>
          <w:tcPr>
            <w:tcW w:w="0" w:type="auto"/>
            <w:tcBorders>
              <w:top w:val="nil"/>
              <w:left w:val="nil"/>
              <w:bottom w:val="nil"/>
              <w:right w:val="nil"/>
            </w:tcBorders>
            <w:shd w:val="clear" w:color="auto" w:fill="auto"/>
            <w:noWrap/>
            <w:vAlign w:val="center"/>
            <w:hideMark/>
          </w:tcPr>
          <w:p w14:paraId="65101DFE" w14:textId="77777777" w:rsidR="00BA275B" w:rsidRPr="00D30496" w:rsidRDefault="00BA275B" w:rsidP="00D30496">
            <w:pPr>
              <w:jc w:val="right"/>
              <w:rPr>
                <w:sz w:val="15"/>
                <w:szCs w:val="15"/>
              </w:rPr>
            </w:pPr>
            <w:r w:rsidRPr="00D30496">
              <w:rPr>
                <w:sz w:val="15"/>
                <w:szCs w:val="15"/>
              </w:rPr>
              <w:t>31.5</w:t>
            </w:r>
          </w:p>
        </w:tc>
        <w:tc>
          <w:tcPr>
            <w:tcW w:w="0" w:type="auto"/>
            <w:tcBorders>
              <w:top w:val="nil"/>
              <w:left w:val="nil"/>
              <w:bottom w:val="nil"/>
              <w:right w:val="nil"/>
            </w:tcBorders>
            <w:shd w:val="clear" w:color="auto" w:fill="auto"/>
            <w:noWrap/>
            <w:vAlign w:val="center"/>
            <w:hideMark/>
          </w:tcPr>
          <w:p w14:paraId="365B72F7" w14:textId="77777777" w:rsidR="00BA275B" w:rsidRPr="00D30496" w:rsidRDefault="00BA275B" w:rsidP="00D30496">
            <w:pPr>
              <w:jc w:val="right"/>
              <w:rPr>
                <w:sz w:val="15"/>
                <w:szCs w:val="15"/>
              </w:rPr>
            </w:pPr>
            <w:r w:rsidRPr="00D30496">
              <w:rPr>
                <w:sz w:val="15"/>
                <w:szCs w:val="15"/>
              </w:rPr>
              <w:t>20.2</w:t>
            </w:r>
          </w:p>
        </w:tc>
        <w:tc>
          <w:tcPr>
            <w:tcW w:w="0" w:type="auto"/>
            <w:tcBorders>
              <w:top w:val="nil"/>
              <w:left w:val="nil"/>
              <w:bottom w:val="nil"/>
              <w:right w:val="nil"/>
            </w:tcBorders>
            <w:shd w:val="clear" w:color="auto" w:fill="auto"/>
            <w:noWrap/>
            <w:vAlign w:val="center"/>
            <w:hideMark/>
          </w:tcPr>
          <w:p w14:paraId="6D563177" w14:textId="77777777" w:rsidR="00BA275B" w:rsidRPr="00D30496" w:rsidRDefault="00BA275B" w:rsidP="00D30496">
            <w:pPr>
              <w:jc w:val="right"/>
              <w:rPr>
                <w:sz w:val="15"/>
                <w:szCs w:val="15"/>
              </w:rPr>
            </w:pPr>
            <w:r w:rsidRPr="00D30496">
              <w:rPr>
                <w:sz w:val="15"/>
                <w:szCs w:val="15"/>
              </w:rPr>
              <w:t>8.5</w:t>
            </w:r>
          </w:p>
        </w:tc>
        <w:tc>
          <w:tcPr>
            <w:tcW w:w="0" w:type="auto"/>
            <w:tcBorders>
              <w:top w:val="nil"/>
              <w:left w:val="nil"/>
              <w:bottom w:val="nil"/>
              <w:right w:val="nil"/>
            </w:tcBorders>
            <w:shd w:val="clear" w:color="auto" w:fill="auto"/>
            <w:noWrap/>
            <w:vAlign w:val="center"/>
            <w:hideMark/>
          </w:tcPr>
          <w:p w14:paraId="1EB483DD" w14:textId="77777777" w:rsidR="00BA275B" w:rsidRPr="00D30496" w:rsidRDefault="00BA275B" w:rsidP="00D30496">
            <w:pPr>
              <w:jc w:val="right"/>
              <w:rPr>
                <w:sz w:val="15"/>
                <w:szCs w:val="15"/>
              </w:rPr>
            </w:pPr>
            <w:r w:rsidRPr="00D30496">
              <w:rPr>
                <w:sz w:val="15"/>
                <w:szCs w:val="15"/>
              </w:rPr>
              <w:t>1.3</w:t>
            </w:r>
          </w:p>
        </w:tc>
        <w:tc>
          <w:tcPr>
            <w:tcW w:w="0" w:type="auto"/>
            <w:tcBorders>
              <w:top w:val="nil"/>
              <w:left w:val="nil"/>
              <w:bottom w:val="nil"/>
              <w:right w:val="nil"/>
            </w:tcBorders>
            <w:shd w:val="clear" w:color="auto" w:fill="auto"/>
            <w:noWrap/>
            <w:vAlign w:val="center"/>
            <w:hideMark/>
          </w:tcPr>
          <w:p w14:paraId="0E3382D7" w14:textId="77777777" w:rsidR="00BA275B" w:rsidRPr="00D30496" w:rsidRDefault="00BA275B" w:rsidP="00D30496">
            <w:pPr>
              <w:jc w:val="right"/>
              <w:rPr>
                <w:sz w:val="15"/>
                <w:szCs w:val="15"/>
              </w:rPr>
            </w:pPr>
            <w:r w:rsidRPr="00D30496">
              <w:rPr>
                <w:sz w:val="15"/>
                <w:szCs w:val="15"/>
              </w:rPr>
              <w:t>0.4</w:t>
            </w:r>
          </w:p>
        </w:tc>
        <w:tc>
          <w:tcPr>
            <w:tcW w:w="0" w:type="auto"/>
            <w:tcBorders>
              <w:top w:val="nil"/>
              <w:left w:val="nil"/>
              <w:bottom w:val="nil"/>
              <w:right w:val="nil"/>
            </w:tcBorders>
            <w:shd w:val="clear" w:color="auto" w:fill="auto"/>
            <w:noWrap/>
            <w:vAlign w:val="center"/>
            <w:hideMark/>
          </w:tcPr>
          <w:p w14:paraId="692F2581" w14:textId="77777777" w:rsidR="00BA275B" w:rsidRPr="00D30496" w:rsidRDefault="00BA275B" w:rsidP="00D30496">
            <w:pPr>
              <w:jc w:val="right"/>
              <w:rPr>
                <w:sz w:val="15"/>
                <w:szCs w:val="15"/>
              </w:rPr>
            </w:pPr>
            <w:r w:rsidRPr="00D30496">
              <w:rPr>
                <w:sz w:val="15"/>
                <w:szCs w:val="15"/>
              </w:rPr>
              <w:t>294,311</w:t>
            </w:r>
          </w:p>
        </w:tc>
      </w:tr>
      <w:tr w:rsidR="006B42D6" w:rsidRPr="00D30496" w14:paraId="2D51DAD7" w14:textId="77777777" w:rsidTr="00D30496">
        <w:trPr>
          <w:trHeight w:val="272"/>
        </w:trPr>
        <w:tc>
          <w:tcPr>
            <w:tcW w:w="0" w:type="auto"/>
            <w:tcBorders>
              <w:top w:val="nil"/>
              <w:left w:val="nil"/>
              <w:bottom w:val="nil"/>
              <w:right w:val="nil"/>
            </w:tcBorders>
            <w:shd w:val="clear" w:color="auto" w:fill="auto"/>
            <w:noWrap/>
            <w:vAlign w:val="center"/>
            <w:hideMark/>
          </w:tcPr>
          <w:p w14:paraId="3F7CA5F9" w14:textId="77777777" w:rsidR="00BA275B" w:rsidRPr="00D30496" w:rsidRDefault="00BA275B" w:rsidP="00383AA6">
            <w:pPr>
              <w:rPr>
                <w:sz w:val="15"/>
                <w:szCs w:val="15"/>
              </w:rPr>
            </w:pPr>
            <w:r w:rsidRPr="00D30496">
              <w:rPr>
                <w:sz w:val="15"/>
                <w:szCs w:val="15"/>
              </w:rPr>
              <w:t>Tanga</w:t>
            </w:r>
          </w:p>
        </w:tc>
        <w:tc>
          <w:tcPr>
            <w:tcW w:w="0" w:type="auto"/>
            <w:tcBorders>
              <w:top w:val="nil"/>
              <w:left w:val="nil"/>
              <w:bottom w:val="nil"/>
              <w:right w:val="nil"/>
            </w:tcBorders>
            <w:shd w:val="clear" w:color="auto" w:fill="auto"/>
            <w:noWrap/>
            <w:vAlign w:val="center"/>
            <w:hideMark/>
          </w:tcPr>
          <w:p w14:paraId="2BF80F4F" w14:textId="77777777" w:rsidR="00BA275B" w:rsidRPr="00D30496" w:rsidRDefault="00BA275B" w:rsidP="00D30496">
            <w:pPr>
              <w:jc w:val="right"/>
              <w:rPr>
                <w:sz w:val="15"/>
                <w:szCs w:val="15"/>
              </w:rPr>
            </w:pPr>
            <w:r w:rsidRPr="00D30496">
              <w:rPr>
                <w:sz w:val="15"/>
                <w:szCs w:val="15"/>
              </w:rPr>
              <w:t>95.5</w:t>
            </w:r>
          </w:p>
        </w:tc>
        <w:tc>
          <w:tcPr>
            <w:tcW w:w="0" w:type="auto"/>
            <w:tcBorders>
              <w:top w:val="nil"/>
              <w:left w:val="nil"/>
              <w:bottom w:val="nil"/>
              <w:right w:val="nil"/>
            </w:tcBorders>
            <w:shd w:val="clear" w:color="auto" w:fill="auto"/>
            <w:noWrap/>
            <w:vAlign w:val="center"/>
            <w:hideMark/>
          </w:tcPr>
          <w:p w14:paraId="667018F9" w14:textId="77777777" w:rsidR="00BA275B" w:rsidRPr="00D30496" w:rsidRDefault="00BA275B" w:rsidP="00D30496">
            <w:pPr>
              <w:jc w:val="right"/>
              <w:rPr>
                <w:sz w:val="15"/>
                <w:szCs w:val="15"/>
              </w:rPr>
            </w:pPr>
            <w:r w:rsidRPr="00D30496">
              <w:rPr>
                <w:sz w:val="15"/>
                <w:szCs w:val="15"/>
              </w:rPr>
              <w:t>96.8</w:t>
            </w:r>
          </w:p>
        </w:tc>
        <w:tc>
          <w:tcPr>
            <w:tcW w:w="0" w:type="auto"/>
            <w:tcBorders>
              <w:top w:val="nil"/>
              <w:left w:val="nil"/>
              <w:bottom w:val="nil"/>
              <w:right w:val="nil"/>
            </w:tcBorders>
            <w:shd w:val="clear" w:color="auto" w:fill="auto"/>
            <w:noWrap/>
            <w:vAlign w:val="center"/>
            <w:hideMark/>
          </w:tcPr>
          <w:p w14:paraId="757AE909" w14:textId="77777777" w:rsidR="00BA275B" w:rsidRPr="00D30496" w:rsidRDefault="00BA275B" w:rsidP="00D30496">
            <w:pPr>
              <w:jc w:val="right"/>
              <w:rPr>
                <w:sz w:val="15"/>
                <w:szCs w:val="15"/>
              </w:rPr>
            </w:pPr>
            <w:r w:rsidRPr="00D30496">
              <w:rPr>
                <w:sz w:val="15"/>
                <w:szCs w:val="15"/>
              </w:rPr>
              <w:t>1.4</w:t>
            </w:r>
          </w:p>
        </w:tc>
        <w:tc>
          <w:tcPr>
            <w:tcW w:w="0" w:type="auto"/>
            <w:tcBorders>
              <w:top w:val="nil"/>
              <w:left w:val="nil"/>
              <w:bottom w:val="nil"/>
              <w:right w:val="nil"/>
            </w:tcBorders>
            <w:shd w:val="clear" w:color="auto" w:fill="auto"/>
            <w:noWrap/>
            <w:vAlign w:val="center"/>
            <w:hideMark/>
          </w:tcPr>
          <w:p w14:paraId="074B03A5" w14:textId="77777777" w:rsidR="00BA275B" w:rsidRPr="00D30496" w:rsidRDefault="00BA275B" w:rsidP="00D30496">
            <w:pPr>
              <w:jc w:val="right"/>
              <w:rPr>
                <w:sz w:val="15"/>
                <w:szCs w:val="15"/>
              </w:rPr>
            </w:pPr>
            <w:r w:rsidRPr="00D30496">
              <w:rPr>
                <w:sz w:val="15"/>
                <w:szCs w:val="15"/>
              </w:rPr>
              <w:t>1.7</w:t>
            </w:r>
          </w:p>
        </w:tc>
        <w:tc>
          <w:tcPr>
            <w:tcW w:w="0" w:type="auto"/>
            <w:tcBorders>
              <w:top w:val="nil"/>
              <w:left w:val="nil"/>
              <w:bottom w:val="nil"/>
              <w:right w:val="nil"/>
            </w:tcBorders>
            <w:shd w:val="clear" w:color="auto" w:fill="auto"/>
            <w:noWrap/>
            <w:vAlign w:val="center"/>
            <w:hideMark/>
          </w:tcPr>
          <w:p w14:paraId="63D790B4" w14:textId="77777777" w:rsidR="00BA275B" w:rsidRPr="00D30496" w:rsidRDefault="00BA275B" w:rsidP="00D30496">
            <w:pPr>
              <w:jc w:val="right"/>
              <w:rPr>
                <w:sz w:val="15"/>
                <w:szCs w:val="15"/>
              </w:rPr>
            </w:pPr>
            <w:r w:rsidRPr="00D30496">
              <w:rPr>
                <w:sz w:val="15"/>
                <w:szCs w:val="15"/>
              </w:rPr>
              <w:t>0.3</w:t>
            </w:r>
          </w:p>
        </w:tc>
        <w:tc>
          <w:tcPr>
            <w:tcW w:w="0" w:type="auto"/>
            <w:tcBorders>
              <w:top w:val="nil"/>
              <w:left w:val="nil"/>
              <w:bottom w:val="nil"/>
              <w:right w:val="nil"/>
            </w:tcBorders>
            <w:shd w:val="clear" w:color="auto" w:fill="auto"/>
            <w:noWrap/>
            <w:vAlign w:val="center"/>
            <w:hideMark/>
          </w:tcPr>
          <w:p w14:paraId="5FD73955" w14:textId="77777777" w:rsidR="00BA275B" w:rsidRPr="00D30496" w:rsidRDefault="00BA275B" w:rsidP="00D30496">
            <w:pPr>
              <w:jc w:val="right"/>
              <w:rPr>
                <w:sz w:val="15"/>
                <w:szCs w:val="15"/>
              </w:rPr>
            </w:pPr>
            <w:r w:rsidRPr="00D30496">
              <w:rPr>
                <w:sz w:val="15"/>
                <w:szCs w:val="15"/>
              </w:rPr>
              <w:t>0.7</w:t>
            </w:r>
          </w:p>
        </w:tc>
        <w:tc>
          <w:tcPr>
            <w:tcW w:w="0" w:type="auto"/>
            <w:tcBorders>
              <w:top w:val="nil"/>
              <w:left w:val="nil"/>
              <w:bottom w:val="nil"/>
              <w:right w:val="nil"/>
            </w:tcBorders>
            <w:shd w:val="clear" w:color="auto" w:fill="auto"/>
            <w:noWrap/>
            <w:vAlign w:val="center"/>
            <w:hideMark/>
          </w:tcPr>
          <w:p w14:paraId="5EBF59F4" w14:textId="77777777" w:rsidR="00BA275B" w:rsidRPr="00D30496" w:rsidRDefault="00BA275B" w:rsidP="00D30496">
            <w:pPr>
              <w:jc w:val="right"/>
              <w:rPr>
                <w:sz w:val="15"/>
                <w:szCs w:val="15"/>
              </w:rPr>
            </w:pPr>
            <w:r w:rsidRPr="00D30496">
              <w:rPr>
                <w:sz w:val="15"/>
                <w:szCs w:val="15"/>
              </w:rPr>
              <w:t>11.8</w:t>
            </w:r>
          </w:p>
        </w:tc>
        <w:tc>
          <w:tcPr>
            <w:tcW w:w="0" w:type="auto"/>
            <w:tcBorders>
              <w:top w:val="nil"/>
              <w:left w:val="nil"/>
              <w:bottom w:val="nil"/>
              <w:right w:val="nil"/>
            </w:tcBorders>
            <w:shd w:val="clear" w:color="auto" w:fill="auto"/>
            <w:noWrap/>
            <w:vAlign w:val="center"/>
            <w:hideMark/>
          </w:tcPr>
          <w:p w14:paraId="6DEACAF1" w14:textId="77777777" w:rsidR="00BA275B" w:rsidRPr="00D30496" w:rsidRDefault="00BA275B" w:rsidP="00D30496">
            <w:pPr>
              <w:jc w:val="right"/>
              <w:rPr>
                <w:sz w:val="15"/>
                <w:szCs w:val="15"/>
              </w:rPr>
            </w:pPr>
            <w:r w:rsidRPr="00D30496">
              <w:rPr>
                <w:sz w:val="15"/>
                <w:szCs w:val="15"/>
              </w:rPr>
              <w:t>9.5</w:t>
            </w:r>
          </w:p>
        </w:tc>
        <w:tc>
          <w:tcPr>
            <w:tcW w:w="0" w:type="auto"/>
            <w:tcBorders>
              <w:top w:val="nil"/>
              <w:left w:val="nil"/>
              <w:bottom w:val="nil"/>
              <w:right w:val="nil"/>
            </w:tcBorders>
            <w:shd w:val="clear" w:color="auto" w:fill="auto"/>
            <w:noWrap/>
            <w:vAlign w:val="center"/>
            <w:hideMark/>
          </w:tcPr>
          <w:p w14:paraId="63786F91" w14:textId="77777777" w:rsidR="00BA275B" w:rsidRPr="00D30496" w:rsidRDefault="00BA275B" w:rsidP="00D30496">
            <w:pPr>
              <w:jc w:val="right"/>
              <w:rPr>
                <w:sz w:val="15"/>
                <w:szCs w:val="15"/>
              </w:rPr>
            </w:pPr>
            <w:r w:rsidRPr="00D30496">
              <w:rPr>
                <w:sz w:val="15"/>
                <w:szCs w:val="15"/>
              </w:rPr>
              <w:t>1.6</w:t>
            </w:r>
          </w:p>
        </w:tc>
        <w:tc>
          <w:tcPr>
            <w:tcW w:w="0" w:type="auto"/>
            <w:tcBorders>
              <w:top w:val="nil"/>
              <w:left w:val="nil"/>
              <w:bottom w:val="nil"/>
              <w:right w:val="nil"/>
            </w:tcBorders>
            <w:shd w:val="clear" w:color="auto" w:fill="auto"/>
            <w:noWrap/>
            <w:vAlign w:val="center"/>
            <w:hideMark/>
          </w:tcPr>
          <w:p w14:paraId="1E5CFCCC" w14:textId="77777777" w:rsidR="00BA275B" w:rsidRPr="00D30496" w:rsidRDefault="00BA275B" w:rsidP="00D30496">
            <w:pPr>
              <w:jc w:val="right"/>
              <w:rPr>
                <w:sz w:val="15"/>
                <w:szCs w:val="15"/>
              </w:rPr>
            </w:pPr>
            <w:r w:rsidRPr="00D30496">
              <w:rPr>
                <w:sz w:val="15"/>
                <w:szCs w:val="15"/>
              </w:rPr>
              <w:t>0.7</w:t>
            </w:r>
          </w:p>
        </w:tc>
        <w:tc>
          <w:tcPr>
            <w:tcW w:w="0" w:type="auto"/>
            <w:tcBorders>
              <w:top w:val="nil"/>
              <w:left w:val="nil"/>
              <w:bottom w:val="nil"/>
              <w:right w:val="nil"/>
            </w:tcBorders>
            <w:shd w:val="clear" w:color="auto" w:fill="auto"/>
            <w:noWrap/>
            <w:vAlign w:val="center"/>
            <w:hideMark/>
          </w:tcPr>
          <w:p w14:paraId="705ADFE5" w14:textId="77777777" w:rsidR="00BA275B" w:rsidRPr="00D30496" w:rsidRDefault="00BA275B" w:rsidP="00D30496">
            <w:pPr>
              <w:jc w:val="right"/>
              <w:rPr>
                <w:sz w:val="15"/>
                <w:szCs w:val="15"/>
              </w:rPr>
            </w:pPr>
            <w:r w:rsidRPr="00D30496">
              <w:rPr>
                <w:sz w:val="15"/>
                <w:szCs w:val="15"/>
              </w:rPr>
              <w:t>0.2</w:t>
            </w:r>
          </w:p>
        </w:tc>
        <w:tc>
          <w:tcPr>
            <w:tcW w:w="0" w:type="auto"/>
            <w:tcBorders>
              <w:top w:val="nil"/>
              <w:left w:val="nil"/>
              <w:bottom w:val="nil"/>
              <w:right w:val="nil"/>
            </w:tcBorders>
            <w:shd w:val="clear" w:color="auto" w:fill="auto"/>
            <w:noWrap/>
            <w:vAlign w:val="center"/>
            <w:hideMark/>
          </w:tcPr>
          <w:p w14:paraId="694C4076" w14:textId="77777777" w:rsidR="00BA275B" w:rsidRPr="00D30496" w:rsidRDefault="00BA275B" w:rsidP="00D30496">
            <w:pPr>
              <w:jc w:val="right"/>
              <w:rPr>
                <w:sz w:val="15"/>
                <w:szCs w:val="15"/>
              </w:rPr>
            </w:pPr>
            <w:r w:rsidRPr="00D30496">
              <w:rPr>
                <w:sz w:val="15"/>
                <w:szCs w:val="15"/>
              </w:rPr>
              <w:t>351,412</w:t>
            </w:r>
          </w:p>
        </w:tc>
      </w:tr>
      <w:tr w:rsidR="006B42D6" w:rsidRPr="00D30496" w14:paraId="19DB83B9" w14:textId="77777777" w:rsidTr="00D30496">
        <w:trPr>
          <w:trHeight w:val="272"/>
        </w:trPr>
        <w:tc>
          <w:tcPr>
            <w:tcW w:w="0" w:type="auto"/>
            <w:tcBorders>
              <w:top w:val="nil"/>
              <w:left w:val="nil"/>
              <w:bottom w:val="nil"/>
              <w:right w:val="nil"/>
            </w:tcBorders>
            <w:shd w:val="clear" w:color="auto" w:fill="auto"/>
            <w:noWrap/>
            <w:vAlign w:val="center"/>
            <w:hideMark/>
          </w:tcPr>
          <w:p w14:paraId="38453A21" w14:textId="77777777" w:rsidR="00BA275B" w:rsidRPr="00D30496" w:rsidRDefault="00BA275B" w:rsidP="00383AA6">
            <w:pPr>
              <w:rPr>
                <w:sz w:val="15"/>
                <w:szCs w:val="15"/>
              </w:rPr>
            </w:pPr>
            <w:r w:rsidRPr="00D30496">
              <w:rPr>
                <w:sz w:val="15"/>
                <w:szCs w:val="15"/>
              </w:rPr>
              <w:t>Morogoro</w:t>
            </w:r>
          </w:p>
        </w:tc>
        <w:tc>
          <w:tcPr>
            <w:tcW w:w="0" w:type="auto"/>
            <w:tcBorders>
              <w:top w:val="nil"/>
              <w:left w:val="nil"/>
              <w:bottom w:val="nil"/>
              <w:right w:val="nil"/>
            </w:tcBorders>
            <w:shd w:val="clear" w:color="auto" w:fill="auto"/>
            <w:noWrap/>
            <w:vAlign w:val="center"/>
            <w:hideMark/>
          </w:tcPr>
          <w:p w14:paraId="52D3DD87" w14:textId="77777777" w:rsidR="00BA275B" w:rsidRPr="00D30496" w:rsidRDefault="00BA275B" w:rsidP="00D30496">
            <w:pPr>
              <w:jc w:val="right"/>
              <w:rPr>
                <w:sz w:val="15"/>
                <w:szCs w:val="15"/>
              </w:rPr>
            </w:pPr>
            <w:r w:rsidRPr="00D30496">
              <w:rPr>
                <w:sz w:val="15"/>
                <w:szCs w:val="15"/>
              </w:rPr>
              <w:t>88.7</w:t>
            </w:r>
          </w:p>
        </w:tc>
        <w:tc>
          <w:tcPr>
            <w:tcW w:w="0" w:type="auto"/>
            <w:tcBorders>
              <w:top w:val="nil"/>
              <w:left w:val="nil"/>
              <w:bottom w:val="nil"/>
              <w:right w:val="nil"/>
            </w:tcBorders>
            <w:shd w:val="clear" w:color="auto" w:fill="auto"/>
            <w:noWrap/>
            <w:vAlign w:val="center"/>
            <w:hideMark/>
          </w:tcPr>
          <w:p w14:paraId="24E66035" w14:textId="77777777" w:rsidR="00BA275B" w:rsidRPr="00D30496" w:rsidRDefault="00BA275B" w:rsidP="00D30496">
            <w:pPr>
              <w:jc w:val="right"/>
              <w:rPr>
                <w:sz w:val="15"/>
                <w:szCs w:val="15"/>
              </w:rPr>
            </w:pPr>
            <w:r w:rsidRPr="00D30496">
              <w:rPr>
                <w:sz w:val="15"/>
                <w:szCs w:val="15"/>
              </w:rPr>
              <w:t>94.3</w:t>
            </w:r>
          </w:p>
        </w:tc>
        <w:tc>
          <w:tcPr>
            <w:tcW w:w="0" w:type="auto"/>
            <w:tcBorders>
              <w:top w:val="nil"/>
              <w:left w:val="nil"/>
              <w:bottom w:val="nil"/>
              <w:right w:val="nil"/>
            </w:tcBorders>
            <w:shd w:val="clear" w:color="auto" w:fill="auto"/>
            <w:noWrap/>
            <w:vAlign w:val="center"/>
            <w:hideMark/>
          </w:tcPr>
          <w:p w14:paraId="350594C4" w14:textId="77777777" w:rsidR="00BA275B" w:rsidRPr="00D30496" w:rsidRDefault="00BA275B" w:rsidP="00D30496">
            <w:pPr>
              <w:jc w:val="right"/>
              <w:rPr>
                <w:sz w:val="15"/>
                <w:szCs w:val="15"/>
              </w:rPr>
            </w:pPr>
            <w:r w:rsidRPr="00D30496">
              <w:rPr>
                <w:sz w:val="15"/>
                <w:szCs w:val="15"/>
              </w:rPr>
              <w:t>18.5</w:t>
            </w:r>
          </w:p>
        </w:tc>
        <w:tc>
          <w:tcPr>
            <w:tcW w:w="0" w:type="auto"/>
            <w:tcBorders>
              <w:top w:val="nil"/>
              <w:left w:val="nil"/>
              <w:bottom w:val="nil"/>
              <w:right w:val="nil"/>
            </w:tcBorders>
            <w:shd w:val="clear" w:color="auto" w:fill="auto"/>
            <w:noWrap/>
            <w:vAlign w:val="center"/>
            <w:hideMark/>
          </w:tcPr>
          <w:p w14:paraId="3228EFEE" w14:textId="77777777" w:rsidR="00BA275B" w:rsidRPr="00D30496" w:rsidRDefault="00BA275B" w:rsidP="00D30496">
            <w:pPr>
              <w:jc w:val="right"/>
              <w:rPr>
                <w:sz w:val="15"/>
                <w:szCs w:val="15"/>
              </w:rPr>
            </w:pPr>
            <w:r w:rsidRPr="00D30496">
              <w:rPr>
                <w:sz w:val="15"/>
                <w:szCs w:val="15"/>
              </w:rPr>
              <w:t>18.2</w:t>
            </w:r>
          </w:p>
        </w:tc>
        <w:tc>
          <w:tcPr>
            <w:tcW w:w="0" w:type="auto"/>
            <w:tcBorders>
              <w:top w:val="nil"/>
              <w:left w:val="nil"/>
              <w:bottom w:val="nil"/>
              <w:right w:val="nil"/>
            </w:tcBorders>
            <w:shd w:val="clear" w:color="auto" w:fill="auto"/>
            <w:noWrap/>
            <w:vAlign w:val="center"/>
            <w:hideMark/>
          </w:tcPr>
          <w:p w14:paraId="6789574C" w14:textId="77777777" w:rsidR="00BA275B" w:rsidRPr="00D30496" w:rsidRDefault="00BA275B" w:rsidP="00D30496">
            <w:pPr>
              <w:jc w:val="right"/>
              <w:rPr>
                <w:sz w:val="15"/>
                <w:szCs w:val="15"/>
              </w:rPr>
            </w:pPr>
            <w:r w:rsidRPr="00D30496">
              <w:rPr>
                <w:sz w:val="15"/>
                <w:szCs w:val="15"/>
              </w:rPr>
              <w:t>1.8</w:t>
            </w:r>
          </w:p>
        </w:tc>
        <w:tc>
          <w:tcPr>
            <w:tcW w:w="0" w:type="auto"/>
            <w:tcBorders>
              <w:top w:val="nil"/>
              <w:left w:val="nil"/>
              <w:bottom w:val="nil"/>
              <w:right w:val="nil"/>
            </w:tcBorders>
            <w:shd w:val="clear" w:color="auto" w:fill="auto"/>
            <w:noWrap/>
            <w:vAlign w:val="center"/>
            <w:hideMark/>
          </w:tcPr>
          <w:p w14:paraId="1AE6F6A6" w14:textId="77777777" w:rsidR="00BA275B" w:rsidRPr="00D30496" w:rsidRDefault="00BA275B" w:rsidP="00D30496">
            <w:pPr>
              <w:jc w:val="right"/>
              <w:rPr>
                <w:sz w:val="15"/>
                <w:szCs w:val="15"/>
              </w:rPr>
            </w:pPr>
            <w:r w:rsidRPr="00D30496">
              <w:rPr>
                <w:sz w:val="15"/>
                <w:szCs w:val="15"/>
              </w:rPr>
              <w:t>2.7</w:t>
            </w:r>
          </w:p>
        </w:tc>
        <w:tc>
          <w:tcPr>
            <w:tcW w:w="0" w:type="auto"/>
            <w:tcBorders>
              <w:top w:val="nil"/>
              <w:left w:val="nil"/>
              <w:bottom w:val="nil"/>
              <w:right w:val="nil"/>
            </w:tcBorders>
            <w:shd w:val="clear" w:color="auto" w:fill="auto"/>
            <w:noWrap/>
            <w:vAlign w:val="center"/>
            <w:hideMark/>
          </w:tcPr>
          <w:p w14:paraId="2990F155" w14:textId="77777777" w:rsidR="00BA275B" w:rsidRPr="00D30496" w:rsidRDefault="00BA275B" w:rsidP="00D30496">
            <w:pPr>
              <w:jc w:val="right"/>
              <w:rPr>
                <w:sz w:val="15"/>
                <w:szCs w:val="15"/>
              </w:rPr>
            </w:pPr>
            <w:r w:rsidRPr="00D30496">
              <w:rPr>
                <w:sz w:val="15"/>
                <w:szCs w:val="15"/>
              </w:rPr>
              <w:t>33.7</w:t>
            </w:r>
          </w:p>
        </w:tc>
        <w:tc>
          <w:tcPr>
            <w:tcW w:w="0" w:type="auto"/>
            <w:tcBorders>
              <w:top w:val="nil"/>
              <w:left w:val="nil"/>
              <w:bottom w:val="nil"/>
              <w:right w:val="nil"/>
            </w:tcBorders>
            <w:shd w:val="clear" w:color="auto" w:fill="auto"/>
            <w:noWrap/>
            <w:vAlign w:val="center"/>
            <w:hideMark/>
          </w:tcPr>
          <w:p w14:paraId="3887181B" w14:textId="77777777" w:rsidR="00BA275B" w:rsidRPr="00D30496" w:rsidRDefault="00BA275B" w:rsidP="00D30496">
            <w:pPr>
              <w:jc w:val="right"/>
              <w:rPr>
                <w:sz w:val="15"/>
                <w:szCs w:val="15"/>
              </w:rPr>
            </w:pPr>
            <w:r w:rsidRPr="00D30496">
              <w:rPr>
                <w:sz w:val="15"/>
                <w:szCs w:val="15"/>
              </w:rPr>
              <w:t>26.5</w:t>
            </w:r>
          </w:p>
        </w:tc>
        <w:tc>
          <w:tcPr>
            <w:tcW w:w="0" w:type="auto"/>
            <w:tcBorders>
              <w:top w:val="nil"/>
              <w:left w:val="nil"/>
              <w:bottom w:val="nil"/>
              <w:right w:val="nil"/>
            </w:tcBorders>
            <w:shd w:val="clear" w:color="auto" w:fill="auto"/>
            <w:noWrap/>
            <w:vAlign w:val="center"/>
            <w:hideMark/>
          </w:tcPr>
          <w:p w14:paraId="31B48F90" w14:textId="77777777" w:rsidR="00BA275B" w:rsidRPr="00D30496" w:rsidRDefault="00BA275B" w:rsidP="00D30496">
            <w:pPr>
              <w:jc w:val="right"/>
              <w:rPr>
                <w:sz w:val="15"/>
                <w:szCs w:val="15"/>
              </w:rPr>
            </w:pPr>
            <w:r w:rsidRPr="00D30496">
              <w:rPr>
                <w:sz w:val="15"/>
                <w:szCs w:val="15"/>
              </w:rPr>
              <w:t>9.1</w:t>
            </w:r>
          </w:p>
        </w:tc>
        <w:tc>
          <w:tcPr>
            <w:tcW w:w="0" w:type="auto"/>
            <w:tcBorders>
              <w:top w:val="nil"/>
              <w:left w:val="nil"/>
              <w:bottom w:val="nil"/>
              <w:right w:val="nil"/>
            </w:tcBorders>
            <w:shd w:val="clear" w:color="auto" w:fill="auto"/>
            <w:noWrap/>
            <w:vAlign w:val="center"/>
            <w:hideMark/>
          </w:tcPr>
          <w:p w14:paraId="76F45349" w14:textId="77777777" w:rsidR="00BA275B" w:rsidRPr="00D30496" w:rsidRDefault="00BA275B" w:rsidP="00D30496">
            <w:pPr>
              <w:jc w:val="right"/>
              <w:rPr>
                <w:sz w:val="15"/>
                <w:szCs w:val="15"/>
              </w:rPr>
            </w:pPr>
            <w:r w:rsidRPr="00D30496">
              <w:rPr>
                <w:sz w:val="15"/>
                <w:szCs w:val="15"/>
              </w:rPr>
              <w:t>0.7</w:t>
            </w:r>
          </w:p>
        </w:tc>
        <w:tc>
          <w:tcPr>
            <w:tcW w:w="0" w:type="auto"/>
            <w:tcBorders>
              <w:top w:val="nil"/>
              <w:left w:val="nil"/>
              <w:bottom w:val="nil"/>
              <w:right w:val="nil"/>
            </w:tcBorders>
            <w:shd w:val="clear" w:color="auto" w:fill="auto"/>
            <w:noWrap/>
            <w:vAlign w:val="center"/>
            <w:hideMark/>
          </w:tcPr>
          <w:p w14:paraId="162C1EC5" w14:textId="77777777" w:rsidR="00BA275B" w:rsidRPr="00D30496" w:rsidRDefault="00BA275B" w:rsidP="00D30496">
            <w:pPr>
              <w:jc w:val="right"/>
              <w:rPr>
                <w:sz w:val="15"/>
                <w:szCs w:val="15"/>
              </w:rPr>
            </w:pPr>
            <w:r w:rsidRPr="00D30496">
              <w:rPr>
                <w:sz w:val="15"/>
                <w:szCs w:val="15"/>
              </w:rPr>
              <w:t>0.8</w:t>
            </w:r>
          </w:p>
        </w:tc>
        <w:tc>
          <w:tcPr>
            <w:tcW w:w="0" w:type="auto"/>
            <w:tcBorders>
              <w:top w:val="nil"/>
              <w:left w:val="nil"/>
              <w:bottom w:val="nil"/>
              <w:right w:val="nil"/>
            </w:tcBorders>
            <w:shd w:val="clear" w:color="auto" w:fill="auto"/>
            <w:noWrap/>
            <w:vAlign w:val="center"/>
            <w:hideMark/>
          </w:tcPr>
          <w:p w14:paraId="35A519CC" w14:textId="77777777" w:rsidR="00BA275B" w:rsidRPr="00D30496" w:rsidRDefault="00BA275B" w:rsidP="00D30496">
            <w:pPr>
              <w:jc w:val="right"/>
              <w:rPr>
                <w:sz w:val="15"/>
                <w:szCs w:val="15"/>
              </w:rPr>
            </w:pPr>
            <w:r w:rsidRPr="00D30496">
              <w:rPr>
                <w:sz w:val="15"/>
                <w:szCs w:val="15"/>
              </w:rPr>
              <w:t>413,216</w:t>
            </w:r>
          </w:p>
        </w:tc>
      </w:tr>
      <w:tr w:rsidR="006B42D6" w:rsidRPr="00D30496" w14:paraId="7AC9432F" w14:textId="77777777" w:rsidTr="00D30496">
        <w:trPr>
          <w:trHeight w:val="272"/>
        </w:trPr>
        <w:tc>
          <w:tcPr>
            <w:tcW w:w="0" w:type="auto"/>
            <w:tcBorders>
              <w:top w:val="nil"/>
              <w:left w:val="nil"/>
              <w:bottom w:val="nil"/>
              <w:right w:val="nil"/>
            </w:tcBorders>
            <w:shd w:val="clear" w:color="auto" w:fill="auto"/>
            <w:noWrap/>
            <w:vAlign w:val="center"/>
            <w:hideMark/>
          </w:tcPr>
          <w:p w14:paraId="1559172B" w14:textId="77777777" w:rsidR="00BA275B" w:rsidRPr="00D30496" w:rsidRDefault="00BA275B" w:rsidP="00383AA6">
            <w:pPr>
              <w:rPr>
                <w:sz w:val="15"/>
                <w:szCs w:val="15"/>
              </w:rPr>
            </w:pPr>
            <w:r w:rsidRPr="00D30496">
              <w:rPr>
                <w:sz w:val="15"/>
                <w:szCs w:val="15"/>
              </w:rPr>
              <w:t>Pwani</w:t>
            </w:r>
          </w:p>
        </w:tc>
        <w:tc>
          <w:tcPr>
            <w:tcW w:w="0" w:type="auto"/>
            <w:tcBorders>
              <w:top w:val="nil"/>
              <w:left w:val="nil"/>
              <w:bottom w:val="nil"/>
              <w:right w:val="nil"/>
            </w:tcBorders>
            <w:shd w:val="clear" w:color="auto" w:fill="auto"/>
            <w:noWrap/>
            <w:vAlign w:val="center"/>
            <w:hideMark/>
          </w:tcPr>
          <w:p w14:paraId="15DA80A0" w14:textId="77777777" w:rsidR="00BA275B" w:rsidRPr="00D30496" w:rsidRDefault="00BA275B" w:rsidP="00D30496">
            <w:pPr>
              <w:jc w:val="right"/>
              <w:rPr>
                <w:sz w:val="15"/>
                <w:szCs w:val="15"/>
              </w:rPr>
            </w:pPr>
            <w:r w:rsidRPr="00D30496">
              <w:rPr>
                <w:sz w:val="15"/>
                <w:szCs w:val="15"/>
              </w:rPr>
              <w:t>89.4</w:t>
            </w:r>
          </w:p>
        </w:tc>
        <w:tc>
          <w:tcPr>
            <w:tcW w:w="0" w:type="auto"/>
            <w:tcBorders>
              <w:top w:val="nil"/>
              <w:left w:val="nil"/>
              <w:bottom w:val="nil"/>
              <w:right w:val="nil"/>
            </w:tcBorders>
            <w:shd w:val="clear" w:color="auto" w:fill="auto"/>
            <w:noWrap/>
            <w:vAlign w:val="center"/>
            <w:hideMark/>
          </w:tcPr>
          <w:p w14:paraId="7A852FD8" w14:textId="77777777" w:rsidR="00BA275B" w:rsidRPr="00D30496" w:rsidRDefault="00BA275B" w:rsidP="00D30496">
            <w:pPr>
              <w:jc w:val="right"/>
              <w:rPr>
                <w:sz w:val="15"/>
                <w:szCs w:val="15"/>
              </w:rPr>
            </w:pPr>
            <w:r w:rsidRPr="00D30496">
              <w:rPr>
                <w:sz w:val="15"/>
                <w:szCs w:val="15"/>
              </w:rPr>
              <w:t>91.4</w:t>
            </w:r>
          </w:p>
        </w:tc>
        <w:tc>
          <w:tcPr>
            <w:tcW w:w="0" w:type="auto"/>
            <w:tcBorders>
              <w:top w:val="nil"/>
              <w:left w:val="nil"/>
              <w:bottom w:val="nil"/>
              <w:right w:val="nil"/>
            </w:tcBorders>
            <w:shd w:val="clear" w:color="auto" w:fill="auto"/>
            <w:noWrap/>
            <w:vAlign w:val="center"/>
            <w:hideMark/>
          </w:tcPr>
          <w:p w14:paraId="62897ABC" w14:textId="77777777" w:rsidR="00BA275B" w:rsidRPr="00D30496" w:rsidRDefault="00BA275B" w:rsidP="00D30496">
            <w:pPr>
              <w:jc w:val="right"/>
              <w:rPr>
                <w:sz w:val="15"/>
                <w:szCs w:val="15"/>
              </w:rPr>
            </w:pPr>
            <w:r w:rsidRPr="00D30496">
              <w:rPr>
                <w:sz w:val="15"/>
                <w:szCs w:val="15"/>
              </w:rPr>
              <w:t>1.9</w:t>
            </w:r>
          </w:p>
        </w:tc>
        <w:tc>
          <w:tcPr>
            <w:tcW w:w="0" w:type="auto"/>
            <w:tcBorders>
              <w:top w:val="nil"/>
              <w:left w:val="nil"/>
              <w:bottom w:val="nil"/>
              <w:right w:val="nil"/>
            </w:tcBorders>
            <w:shd w:val="clear" w:color="auto" w:fill="auto"/>
            <w:noWrap/>
            <w:vAlign w:val="center"/>
            <w:hideMark/>
          </w:tcPr>
          <w:p w14:paraId="4F367582" w14:textId="77777777" w:rsidR="00BA275B" w:rsidRPr="00D30496" w:rsidRDefault="00BA275B" w:rsidP="00D30496">
            <w:pPr>
              <w:jc w:val="right"/>
              <w:rPr>
                <w:sz w:val="15"/>
                <w:szCs w:val="15"/>
              </w:rPr>
            </w:pPr>
            <w:r w:rsidRPr="00D30496">
              <w:rPr>
                <w:sz w:val="15"/>
                <w:szCs w:val="15"/>
              </w:rPr>
              <w:t>2.0</w:t>
            </w:r>
          </w:p>
        </w:tc>
        <w:tc>
          <w:tcPr>
            <w:tcW w:w="0" w:type="auto"/>
            <w:tcBorders>
              <w:top w:val="nil"/>
              <w:left w:val="nil"/>
              <w:bottom w:val="nil"/>
              <w:right w:val="nil"/>
            </w:tcBorders>
            <w:shd w:val="clear" w:color="auto" w:fill="auto"/>
            <w:noWrap/>
            <w:vAlign w:val="center"/>
            <w:hideMark/>
          </w:tcPr>
          <w:p w14:paraId="7746D5B0" w14:textId="77777777" w:rsidR="00BA275B" w:rsidRPr="00D30496" w:rsidRDefault="00BA275B" w:rsidP="00D30496">
            <w:pPr>
              <w:jc w:val="right"/>
              <w:rPr>
                <w:sz w:val="15"/>
                <w:szCs w:val="15"/>
              </w:rPr>
            </w:pPr>
            <w:r w:rsidRPr="00D30496">
              <w:rPr>
                <w:sz w:val="15"/>
                <w:szCs w:val="15"/>
              </w:rPr>
              <w:t>0.1</w:t>
            </w:r>
          </w:p>
        </w:tc>
        <w:tc>
          <w:tcPr>
            <w:tcW w:w="0" w:type="auto"/>
            <w:tcBorders>
              <w:top w:val="nil"/>
              <w:left w:val="nil"/>
              <w:bottom w:val="nil"/>
              <w:right w:val="nil"/>
            </w:tcBorders>
            <w:shd w:val="clear" w:color="auto" w:fill="auto"/>
            <w:noWrap/>
            <w:vAlign w:val="center"/>
            <w:hideMark/>
          </w:tcPr>
          <w:p w14:paraId="7380BC7E" w14:textId="77777777" w:rsidR="00BA275B" w:rsidRPr="00D30496" w:rsidRDefault="00BA275B" w:rsidP="00D30496">
            <w:pPr>
              <w:jc w:val="right"/>
              <w:rPr>
                <w:sz w:val="15"/>
                <w:szCs w:val="15"/>
              </w:rPr>
            </w:pPr>
            <w:r w:rsidRPr="00D30496">
              <w:rPr>
                <w:sz w:val="15"/>
                <w:szCs w:val="15"/>
              </w:rPr>
              <w:t>0.4</w:t>
            </w:r>
          </w:p>
        </w:tc>
        <w:tc>
          <w:tcPr>
            <w:tcW w:w="0" w:type="auto"/>
            <w:tcBorders>
              <w:top w:val="nil"/>
              <w:left w:val="nil"/>
              <w:bottom w:val="nil"/>
              <w:right w:val="nil"/>
            </w:tcBorders>
            <w:shd w:val="clear" w:color="auto" w:fill="auto"/>
            <w:noWrap/>
            <w:vAlign w:val="center"/>
            <w:hideMark/>
          </w:tcPr>
          <w:p w14:paraId="2CCC1BD8" w14:textId="77777777" w:rsidR="00BA275B" w:rsidRPr="00D30496" w:rsidRDefault="00BA275B" w:rsidP="00D30496">
            <w:pPr>
              <w:jc w:val="right"/>
              <w:rPr>
                <w:sz w:val="15"/>
                <w:szCs w:val="15"/>
              </w:rPr>
            </w:pPr>
            <w:r w:rsidRPr="00D30496">
              <w:rPr>
                <w:sz w:val="15"/>
                <w:szCs w:val="15"/>
              </w:rPr>
              <w:t>9.0</w:t>
            </w:r>
          </w:p>
        </w:tc>
        <w:tc>
          <w:tcPr>
            <w:tcW w:w="0" w:type="auto"/>
            <w:tcBorders>
              <w:top w:val="nil"/>
              <w:left w:val="nil"/>
              <w:bottom w:val="nil"/>
              <w:right w:val="nil"/>
            </w:tcBorders>
            <w:shd w:val="clear" w:color="auto" w:fill="auto"/>
            <w:noWrap/>
            <w:vAlign w:val="center"/>
            <w:hideMark/>
          </w:tcPr>
          <w:p w14:paraId="2D5500DE" w14:textId="77777777" w:rsidR="00BA275B" w:rsidRPr="00D30496" w:rsidRDefault="00BA275B" w:rsidP="00D30496">
            <w:pPr>
              <w:jc w:val="right"/>
              <w:rPr>
                <w:sz w:val="15"/>
                <w:szCs w:val="15"/>
              </w:rPr>
            </w:pPr>
            <w:r w:rsidRPr="00D30496">
              <w:rPr>
                <w:sz w:val="15"/>
                <w:szCs w:val="15"/>
              </w:rPr>
              <w:t>7.4</w:t>
            </w:r>
          </w:p>
        </w:tc>
        <w:tc>
          <w:tcPr>
            <w:tcW w:w="0" w:type="auto"/>
            <w:tcBorders>
              <w:top w:val="nil"/>
              <w:left w:val="nil"/>
              <w:bottom w:val="nil"/>
              <w:right w:val="nil"/>
            </w:tcBorders>
            <w:shd w:val="clear" w:color="auto" w:fill="auto"/>
            <w:noWrap/>
            <w:vAlign w:val="center"/>
            <w:hideMark/>
          </w:tcPr>
          <w:p w14:paraId="310EFE7F" w14:textId="77777777" w:rsidR="00BA275B" w:rsidRPr="00D30496" w:rsidRDefault="00BA275B" w:rsidP="00D30496">
            <w:pPr>
              <w:jc w:val="right"/>
              <w:rPr>
                <w:sz w:val="15"/>
                <w:szCs w:val="15"/>
              </w:rPr>
            </w:pPr>
            <w:r w:rsidRPr="00D30496">
              <w:rPr>
                <w:sz w:val="15"/>
                <w:szCs w:val="15"/>
              </w:rPr>
              <w:t>2.7</w:t>
            </w:r>
          </w:p>
        </w:tc>
        <w:tc>
          <w:tcPr>
            <w:tcW w:w="0" w:type="auto"/>
            <w:tcBorders>
              <w:top w:val="nil"/>
              <w:left w:val="nil"/>
              <w:bottom w:val="nil"/>
              <w:right w:val="nil"/>
            </w:tcBorders>
            <w:shd w:val="clear" w:color="auto" w:fill="auto"/>
            <w:noWrap/>
            <w:vAlign w:val="center"/>
            <w:hideMark/>
          </w:tcPr>
          <w:p w14:paraId="27460A4E" w14:textId="77777777" w:rsidR="00BA275B" w:rsidRPr="00D30496" w:rsidRDefault="00BA275B" w:rsidP="00D30496">
            <w:pPr>
              <w:jc w:val="right"/>
              <w:rPr>
                <w:sz w:val="15"/>
                <w:szCs w:val="15"/>
              </w:rPr>
            </w:pPr>
            <w:r w:rsidRPr="00D30496">
              <w:rPr>
                <w:sz w:val="15"/>
                <w:szCs w:val="15"/>
              </w:rPr>
              <w:t>0.2</w:t>
            </w:r>
          </w:p>
        </w:tc>
        <w:tc>
          <w:tcPr>
            <w:tcW w:w="0" w:type="auto"/>
            <w:tcBorders>
              <w:top w:val="nil"/>
              <w:left w:val="nil"/>
              <w:bottom w:val="nil"/>
              <w:right w:val="nil"/>
            </w:tcBorders>
            <w:shd w:val="clear" w:color="auto" w:fill="auto"/>
            <w:noWrap/>
            <w:vAlign w:val="center"/>
            <w:hideMark/>
          </w:tcPr>
          <w:p w14:paraId="450626B5" w14:textId="77777777" w:rsidR="00BA275B" w:rsidRPr="00D30496" w:rsidRDefault="00BA275B" w:rsidP="00D30496">
            <w:pPr>
              <w:jc w:val="right"/>
              <w:rPr>
                <w:sz w:val="15"/>
                <w:szCs w:val="15"/>
              </w:rPr>
            </w:pPr>
            <w:r w:rsidRPr="00D30496">
              <w:rPr>
                <w:sz w:val="15"/>
                <w:szCs w:val="15"/>
              </w:rPr>
              <w:t>0.5</w:t>
            </w:r>
          </w:p>
        </w:tc>
        <w:tc>
          <w:tcPr>
            <w:tcW w:w="0" w:type="auto"/>
            <w:tcBorders>
              <w:top w:val="nil"/>
              <w:left w:val="nil"/>
              <w:bottom w:val="nil"/>
              <w:right w:val="nil"/>
            </w:tcBorders>
            <w:shd w:val="clear" w:color="auto" w:fill="auto"/>
            <w:noWrap/>
            <w:vAlign w:val="center"/>
            <w:hideMark/>
          </w:tcPr>
          <w:p w14:paraId="1807B577" w14:textId="77777777" w:rsidR="00BA275B" w:rsidRPr="00D30496" w:rsidRDefault="00BA275B" w:rsidP="00D30496">
            <w:pPr>
              <w:jc w:val="right"/>
              <w:rPr>
                <w:sz w:val="15"/>
                <w:szCs w:val="15"/>
              </w:rPr>
            </w:pPr>
            <w:r w:rsidRPr="00D30496">
              <w:rPr>
                <w:sz w:val="15"/>
                <w:szCs w:val="15"/>
              </w:rPr>
              <w:t>217,921</w:t>
            </w:r>
          </w:p>
        </w:tc>
      </w:tr>
      <w:tr w:rsidR="006B42D6" w:rsidRPr="00D30496" w14:paraId="3740AD99" w14:textId="77777777" w:rsidTr="00D30496">
        <w:trPr>
          <w:trHeight w:val="272"/>
        </w:trPr>
        <w:tc>
          <w:tcPr>
            <w:tcW w:w="0" w:type="auto"/>
            <w:tcBorders>
              <w:top w:val="nil"/>
              <w:left w:val="nil"/>
              <w:bottom w:val="nil"/>
              <w:right w:val="nil"/>
            </w:tcBorders>
            <w:shd w:val="clear" w:color="auto" w:fill="auto"/>
            <w:noWrap/>
            <w:vAlign w:val="center"/>
            <w:hideMark/>
          </w:tcPr>
          <w:p w14:paraId="162361AE" w14:textId="77777777" w:rsidR="00BA275B" w:rsidRPr="00D30496" w:rsidRDefault="00BA275B" w:rsidP="00383AA6">
            <w:pPr>
              <w:rPr>
                <w:sz w:val="15"/>
                <w:szCs w:val="15"/>
              </w:rPr>
            </w:pPr>
            <w:r w:rsidRPr="00D30496">
              <w:rPr>
                <w:sz w:val="15"/>
                <w:szCs w:val="15"/>
              </w:rPr>
              <w:t>Dar Es Salaam</w:t>
            </w:r>
          </w:p>
        </w:tc>
        <w:tc>
          <w:tcPr>
            <w:tcW w:w="0" w:type="auto"/>
            <w:tcBorders>
              <w:top w:val="nil"/>
              <w:left w:val="nil"/>
              <w:bottom w:val="nil"/>
              <w:right w:val="nil"/>
            </w:tcBorders>
            <w:shd w:val="clear" w:color="auto" w:fill="auto"/>
            <w:noWrap/>
            <w:vAlign w:val="center"/>
            <w:hideMark/>
          </w:tcPr>
          <w:p w14:paraId="66671093" w14:textId="77777777" w:rsidR="00BA275B" w:rsidRPr="00D30496" w:rsidRDefault="00BA275B" w:rsidP="00D30496">
            <w:pPr>
              <w:jc w:val="right"/>
              <w:rPr>
                <w:sz w:val="15"/>
                <w:szCs w:val="15"/>
              </w:rPr>
            </w:pPr>
            <w:r w:rsidRPr="00D30496">
              <w:rPr>
                <w:sz w:val="15"/>
                <w:szCs w:val="15"/>
              </w:rPr>
              <w:t>83.4</w:t>
            </w:r>
          </w:p>
        </w:tc>
        <w:tc>
          <w:tcPr>
            <w:tcW w:w="0" w:type="auto"/>
            <w:tcBorders>
              <w:top w:val="nil"/>
              <w:left w:val="nil"/>
              <w:bottom w:val="nil"/>
              <w:right w:val="nil"/>
            </w:tcBorders>
            <w:shd w:val="clear" w:color="auto" w:fill="auto"/>
            <w:noWrap/>
            <w:vAlign w:val="center"/>
            <w:hideMark/>
          </w:tcPr>
          <w:p w14:paraId="1AF3B25E" w14:textId="77777777" w:rsidR="00BA275B" w:rsidRPr="00D30496" w:rsidRDefault="00BA275B" w:rsidP="00D30496">
            <w:pPr>
              <w:jc w:val="right"/>
              <w:rPr>
                <w:sz w:val="15"/>
                <w:szCs w:val="15"/>
              </w:rPr>
            </w:pPr>
            <w:r w:rsidRPr="00D30496">
              <w:rPr>
                <w:sz w:val="15"/>
                <w:szCs w:val="15"/>
              </w:rPr>
              <w:t>87.6</w:t>
            </w:r>
          </w:p>
        </w:tc>
        <w:tc>
          <w:tcPr>
            <w:tcW w:w="0" w:type="auto"/>
            <w:tcBorders>
              <w:top w:val="nil"/>
              <w:left w:val="nil"/>
              <w:bottom w:val="nil"/>
              <w:right w:val="nil"/>
            </w:tcBorders>
            <w:shd w:val="clear" w:color="auto" w:fill="auto"/>
            <w:noWrap/>
            <w:vAlign w:val="center"/>
            <w:hideMark/>
          </w:tcPr>
          <w:p w14:paraId="120E8742" w14:textId="77777777" w:rsidR="00BA275B" w:rsidRPr="00D30496" w:rsidRDefault="00BA275B" w:rsidP="00D30496">
            <w:pPr>
              <w:jc w:val="right"/>
              <w:rPr>
                <w:sz w:val="15"/>
                <w:szCs w:val="15"/>
              </w:rPr>
            </w:pPr>
            <w:r w:rsidRPr="00D30496">
              <w:rPr>
                <w:sz w:val="15"/>
                <w:szCs w:val="15"/>
              </w:rPr>
              <w:t>3.8</w:t>
            </w:r>
          </w:p>
        </w:tc>
        <w:tc>
          <w:tcPr>
            <w:tcW w:w="0" w:type="auto"/>
            <w:tcBorders>
              <w:top w:val="nil"/>
              <w:left w:val="nil"/>
              <w:bottom w:val="nil"/>
              <w:right w:val="nil"/>
            </w:tcBorders>
            <w:shd w:val="clear" w:color="auto" w:fill="auto"/>
            <w:noWrap/>
            <w:vAlign w:val="center"/>
            <w:hideMark/>
          </w:tcPr>
          <w:p w14:paraId="5267B0EA" w14:textId="77777777" w:rsidR="00BA275B" w:rsidRPr="00D30496" w:rsidRDefault="00BA275B" w:rsidP="00D30496">
            <w:pPr>
              <w:jc w:val="right"/>
              <w:rPr>
                <w:sz w:val="15"/>
                <w:szCs w:val="15"/>
              </w:rPr>
            </w:pPr>
            <w:r w:rsidRPr="00D30496">
              <w:rPr>
                <w:sz w:val="15"/>
                <w:szCs w:val="15"/>
              </w:rPr>
              <w:t>5.5</w:t>
            </w:r>
          </w:p>
        </w:tc>
        <w:tc>
          <w:tcPr>
            <w:tcW w:w="0" w:type="auto"/>
            <w:tcBorders>
              <w:top w:val="nil"/>
              <w:left w:val="nil"/>
              <w:bottom w:val="nil"/>
              <w:right w:val="nil"/>
            </w:tcBorders>
            <w:shd w:val="clear" w:color="auto" w:fill="auto"/>
            <w:noWrap/>
            <w:vAlign w:val="center"/>
            <w:hideMark/>
          </w:tcPr>
          <w:p w14:paraId="6EFAD4DA" w14:textId="77777777" w:rsidR="00BA275B" w:rsidRPr="00D30496" w:rsidRDefault="00BA275B" w:rsidP="00D30496">
            <w:pPr>
              <w:jc w:val="right"/>
              <w:rPr>
                <w:sz w:val="15"/>
                <w:szCs w:val="15"/>
              </w:rPr>
            </w:pPr>
            <w:r w:rsidRPr="00D30496">
              <w:rPr>
                <w:sz w:val="15"/>
                <w:szCs w:val="15"/>
              </w:rPr>
              <w:t>1.0</w:t>
            </w:r>
          </w:p>
        </w:tc>
        <w:tc>
          <w:tcPr>
            <w:tcW w:w="0" w:type="auto"/>
            <w:tcBorders>
              <w:top w:val="nil"/>
              <w:left w:val="nil"/>
              <w:bottom w:val="nil"/>
              <w:right w:val="nil"/>
            </w:tcBorders>
            <w:shd w:val="clear" w:color="auto" w:fill="auto"/>
            <w:noWrap/>
            <w:vAlign w:val="center"/>
            <w:hideMark/>
          </w:tcPr>
          <w:p w14:paraId="27C492DA" w14:textId="77777777" w:rsidR="00BA275B" w:rsidRPr="00D30496" w:rsidRDefault="00BA275B" w:rsidP="00D30496">
            <w:pPr>
              <w:jc w:val="right"/>
              <w:rPr>
                <w:sz w:val="15"/>
                <w:szCs w:val="15"/>
              </w:rPr>
            </w:pPr>
            <w:r w:rsidRPr="00D30496">
              <w:rPr>
                <w:sz w:val="15"/>
                <w:szCs w:val="15"/>
              </w:rPr>
              <w:t>1.7</w:t>
            </w:r>
          </w:p>
        </w:tc>
        <w:tc>
          <w:tcPr>
            <w:tcW w:w="0" w:type="auto"/>
            <w:tcBorders>
              <w:top w:val="nil"/>
              <w:left w:val="nil"/>
              <w:bottom w:val="nil"/>
              <w:right w:val="nil"/>
            </w:tcBorders>
            <w:shd w:val="clear" w:color="auto" w:fill="auto"/>
            <w:noWrap/>
            <w:vAlign w:val="center"/>
            <w:hideMark/>
          </w:tcPr>
          <w:p w14:paraId="3B427F26" w14:textId="77777777" w:rsidR="00BA275B" w:rsidRPr="00D30496" w:rsidRDefault="00BA275B" w:rsidP="00D30496">
            <w:pPr>
              <w:jc w:val="right"/>
              <w:rPr>
                <w:sz w:val="15"/>
                <w:szCs w:val="15"/>
              </w:rPr>
            </w:pPr>
            <w:r w:rsidRPr="00D30496">
              <w:rPr>
                <w:sz w:val="15"/>
                <w:szCs w:val="15"/>
              </w:rPr>
              <w:t>10.2</w:t>
            </w:r>
          </w:p>
        </w:tc>
        <w:tc>
          <w:tcPr>
            <w:tcW w:w="0" w:type="auto"/>
            <w:tcBorders>
              <w:top w:val="nil"/>
              <w:left w:val="nil"/>
              <w:bottom w:val="nil"/>
              <w:right w:val="nil"/>
            </w:tcBorders>
            <w:shd w:val="clear" w:color="auto" w:fill="auto"/>
            <w:noWrap/>
            <w:vAlign w:val="center"/>
            <w:hideMark/>
          </w:tcPr>
          <w:p w14:paraId="0114B95D" w14:textId="77777777" w:rsidR="00BA275B" w:rsidRPr="00D30496" w:rsidRDefault="00BA275B" w:rsidP="00D30496">
            <w:pPr>
              <w:jc w:val="right"/>
              <w:rPr>
                <w:sz w:val="15"/>
                <w:szCs w:val="15"/>
              </w:rPr>
            </w:pPr>
            <w:r w:rsidRPr="00D30496">
              <w:rPr>
                <w:sz w:val="15"/>
                <w:szCs w:val="15"/>
              </w:rPr>
              <w:t>9.1</w:t>
            </w:r>
          </w:p>
        </w:tc>
        <w:tc>
          <w:tcPr>
            <w:tcW w:w="0" w:type="auto"/>
            <w:tcBorders>
              <w:top w:val="nil"/>
              <w:left w:val="nil"/>
              <w:bottom w:val="nil"/>
              <w:right w:val="nil"/>
            </w:tcBorders>
            <w:shd w:val="clear" w:color="auto" w:fill="auto"/>
            <w:noWrap/>
            <w:vAlign w:val="center"/>
            <w:hideMark/>
          </w:tcPr>
          <w:p w14:paraId="1317CF1F" w14:textId="77777777" w:rsidR="00BA275B" w:rsidRPr="00D30496" w:rsidRDefault="00BA275B" w:rsidP="00D30496">
            <w:pPr>
              <w:jc w:val="right"/>
              <w:rPr>
                <w:sz w:val="15"/>
                <w:szCs w:val="15"/>
              </w:rPr>
            </w:pPr>
            <w:r w:rsidRPr="00D30496">
              <w:rPr>
                <w:sz w:val="15"/>
                <w:szCs w:val="15"/>
              </w:rPr>
              <w:t>6.8</w:t>
            </w:r>
          </w:p>
        </w:tc>
        <w:tc>
          <w:tcPr>
            <w:tcW w:w="0" w:type="auto"/>
            <w:tcBorders>
              <w:top w:val="nil"/>
              <w:left w:val="nil"/>
              <w:bottom w:val="nil"/>
              <w:right w:val="nil"/>
            </w:tcBorders>
            <w:shd w:val="clear" w:color="auto" w:fill="auto"/>
            <w:noWrap/>
            <w:vAlign w:val="center"/>
            <w:hideMark/>
          </w:tcPr>
          <w:p w14:paraId="1371A3CB" w14:textId="77777777" w:rsidR="00BA275B" w:rsidRPr="00D30496" w:rsidRDefault="00BA275B" w:rsidP="00D30496">
            <w:pPr>
              <w:jc w:val="right"/>
              <w:rPr>
                <w:sz w:val="15"/>
                <w:szCs w:val="15"/>
              </w:rPr>
            </w:pPr>
            <w:r w:rsidRPr="00D30496">
              <w:rPr>
                <w:sz w:val="15"/>
                <w:szCs w:val="15"/>
              </w:rPr>
              <w:t>1.5</w:t>
            </w:r>
          </w:p>
        </w:tc>
        <w:tc>
          <w:tcPr>
            <w:tcW w:w="0" w:type="auto"/>
            <w:tcBorders>
              <w:top w:val="nil"/>
              <w:left w:val="nil"/>
              <w:bottom w:val="nil"/>
              <w:right w:val="nil"/>
            </w:tcBorders>
            <w:shd w:val="clear" w:color="auto" w:fill="auto"/>
            <w:noWrap/>
            <w:vAlign w:val="center"/>
            <w:hideMark/>
          </w:tcPr>
          <w:p w14:paraId="09A56553" w14:textId="77777777" w:rsidR="00BA275B" w:rsidRPr="00D30496" w:rsidRDefault="00BA275B" w:rsidP="00D30496">
            <w:pPr>
              <w:jc w:val="right"/>
              <w:rPr>
                <w:sz w:val="15"/>
                <w:szCs w:val="15"/>
              </w:rPr>
            </w:pPr>
            <w:r w:rsidRPr="00D30496">
              <w:rPr>
                <w:sz w:val="15"/>
                <w:szCs w:val="15"/>
              </w:rPr>
              <w:t>0.7</w:t>
            </w:r>
          </w:p>
        </w:tc>
        <w:tc>
          <w:tcPr>
            <w:tcW w:w="0" w:type="auto"/>
            <w:tcBorders>
              <w:top w:val="nil"/>
              <w:left w:val="nil"/>
              <w:bottom w:val="nil"/>
              <w:right w:val="nil"/>
            </w:tcBorders>
            <w:shd w:val="clear" w:color="auto" w:fill="auto"/>
            <w:noWrap/>
            <w:vAlign w:val="center"/>
            <w:hideMark/>
          </w:tcPr>
          <w:p w14:paraId="292CD052" w14:textId="77777777" w:rsidR="00BA275B" w:rsidRPr="00D30496" w:rsidRDefault="00BA275B" w:rsidP="00D30496">
            <w:pPr>
              <w:jc w:val="right"/>
              <w:rPr>
                <w:sz w:val="15"/>
                <w:szCs w:val="15"/>
              </w:rPr>
            </w:pPr>
            <w:r w:rsidRPr="00D30496">
              <w:rPr>
                <w:sz w:val="15"/>
                <w:szCs w:val="15"/>
              </w:rPr>
              <w:t>414,300</w:t>
            </w:r>
          </w:p>
        </w:tc>
      </w:tr>
      <w:tr w:rsidR="006B42D6" w:rsidRPr="00D30496" w14:paraId="2709C9BF" w14:textId="77777777" w:rsidTr="00D30496">
        <w:trPr>
          <w:trHeight w:val="272"/>
        </w:trPr>
        <w:tc>
          <w:tcPr>
            <w:tcW w:w="0" w:type="auto"/>
            <w:tcBorders>
              <w:top w:val="nil"/>
              <w:left w:val="nil"/>
              <w:bottom w:val="nil"/>
              <w:right w:val="nil"/>
            </w:tcBorders>
            <w:shd w:val="clear" w:color="auto" w:fill="auto"/>
            <w:noWrap/>
            <w:vAlign w:val="center"/>
            <w:hideMark/>
          </w:tcPr>
          <w:p w14:paraId="47509392" w14:textId="77777777" w:rsidR="00BA275B" w:rsidRPr="00D30496" w:rsidRDefault="00BA275B" w:rsidP="00383AA6">
            <w:pPr>
              <w:rPr>
                <w:sz w:val="15"/>
                <w:szCs w:val="15"/>
              </w:rPr>
            </w:pPr>
            <w:r w:rsidRPr="00D30496">
              <w:rPr>
                <w:sz w:val="15"/>
                <w:szCs w:val="15"/>
              </w:rPr>
              <w:t>Lindi</w:t>
            </w:r>
          </w:p>
        </w:tc>
        <w:tc>
          <w:tcPr>
            <w:tcW w:w="0" w:type="auto"/>
            <w:tcBorders>
              <w:top w:val="nil"/>
              <w:left w:val="nil"/>
              <w:bottom w:val="nil"/>
              <w:right w:val="nil"/>
            </w:tcBorders>
            <w:shd w:val="clear" w:color="auto" w:fill="auto"/>
            <w:noWrap/>
            <w:vAlign w:val="center"/>
            <w:hideMark/>
          </w:tcPr>
          <w:p w14:paraId="793A270C" w14:textId="77777777" w:rsidR="00BA275B" w:rsidRPr="00D30496" w:rsidRDefault="00BA275B" w:rsidP="00D30496">
            <w:pPr>
              <w:jc w:val="right"/>
              <w:rPr>
                <w:sz w:val="15"/>
                <w:szCs w:val="15"/>
              </w:rPr>
            </w:pPr>
            <w:r w:rsidRPr="00D30496">
              <w:rPr>
                <w:sz w:val="15"/>
                <w:szCs w:val="15"/>
              </w:rPr>
              <w:t>97.1</w:t>
            </w:r>
          </w:p>
        </w:tc>
        <w:tc>
          <w:tcPr>
            <w:tcW w:w="0" w:type="auto"/>
            <w:tcBorders>
              <w:top w:val="nil"/>
              <w:left w:val="nil"/>
              <w:bottom w:val="nil"/>
              <w:right w:val="nil"/>
            </w:tcBorders>
            <w:shd w:val="clear" w:color="auto" w:fill="auto"/>
            <w:noWrap/>
            <w:vAlign w:val="center"/>
            <w:hideMark/>
          </w:tcPr>
          <w:p w14:paraId="46F8DD7D" w14:textId="77777777" w:rsidR="00BA275B" w:rsidRPr="00D30496" w:rsidRDefault="00BA275B" w:rsidP="00D30496">
            <w:pPr>
              <w:jc w:val="right"/>
              <w:rPr>
                <w:sz w:val="15"/>
                <w:szCs w:val="15"/>
              </w:rPr>
            </w:pPr>
            <w:r w:rsidRPr="00D30496">
              <w:rPr>
                <w:sz w:val="15"/>
                <w:szCs w:val="15"/>
              </w:rPr>
              <w:t>98.1</w:t>
            </w:r>
          </w:p>
        </w:tc>
        <w:tc>
          <w:tcPr>
            <w:tcW w:w="0" w:type="auto"/>
            <w:tcBorders>
              <w:top w:val="nil"/>
              <w:left w:val="nil"/>
              <w:bottom w:val="nil"/>
              <w:right w:val="nil"/>
            </w:tcBorders>
            <w:shd w:val="clear" w:color="auto" w:fill="auto"/>
            <w:noWrap/>
            <w:vAlign w:val="center"/>
            <w:hideMark/>
          </w:tcPr>
          <w:p w14:paraId="5455CE10" w14:textId="77777777" w:rsidR="00BA275B" w:rsidRPr="00D30496" w:rsidRDefault="00BA275B" w:rsidP="00D30496">
            <w:pPr>
              <w:jc w:val="right"/>
              <w:rPr>
                <w:sz w:val="15"/>
                <w:szCs w:val="15"/>
              </w:rPr>
            </w:pPr>
            <w:r w:rsidRPr="00D30496">
              <w:rPr>
                <w:sz w:val="15"/>
                <w:szCs w:val="15"/>
              </w:rPr>
              <w:t>0.1</w:t>
            </w:r>
          </w:p>
        </w:tc>
        <w:tc>
          <w:tcPr>
            <w:tcW w:w="0" w:type="auto"/>
            <w:tcBorders>
              <w:top w:val="nil"/>
              <w:left w:val="nil"/>
              <w:bottom w:val="nil"/>
              <w:right w:val="nil"/>
            </w:tcBorders>
            <w:shd w:val="clear" w:color="auto" w:fill="auto"/>
            <w:noWrap/>
            <w:vAlign w:val="center"/>
            <w:hideMark/>
          </w:tcPr>
          <w:p w14:paraId="7ACF2ADA" w14:textId="77777777" w:rsidR="00BA275B" w:rsidRPr="00D30496" w:rsidRDefault="00BA275B" w:rsidP="00D30496">
            <w:pPr>
              <w:jc w:val="right"/>
              <w:rPr>
                <w:sz w:val="15"/>
                <w:szCs w:val="15"/>
              </w:rPr>
            </w:pPr>
            <w:r w:rsidRPr="00D30496">
              <w:rPr>
                <w:sz w:val="15"/>
                <w:szCs w:val="15"/>
              </w:rPr>
              <w:t>0.2</w:t>
            </w:r>
          </w:p>
        </w:tc>
        <w:tc>
          <w:tcPr>
            <w:tcW w:w="0" w:type="auto"/>
            <w:tcBorders>
              <w:top w:val="nil"/>
              <w:left w:val="nil"/>
              <w:bottom w:val="nil"/>
              <w:right w:val="nil"/>
            </w:tcBorders>
            <w:shd w:val="clear" w:color="auto" w:fill="auto"/>
            <w:noWrap/>
            <w:vAlign w:val="center"/>
            <w:hideMark/>
          </w:tcPr>
          <w:p w14:paraId="78ABF4BD" w14:textId="77777777" w:rsidR="00BA275B" w:rsidRPr="00D30496" w:rsidRDefault="00BA275B" w:rsidP="00D30496">
            <w:pPr>
              <w:jc w:val="right"/>
              <w:rPr>
                <w:sz w:val="15"/>
                <w:szCs w:val="15"/>
              </w:rPr>
            </w:pPr>
            <w:r w:rsidRPr="00D30496">
              <w:rPr>
                <w:sz w:val="15"/>
                <w:szCs w:val="15"/>
              </w:rPr>
              <w:t>0.2</w:t>
            </w:r>
          </w:p>
        </w:tc>
        <w:tc>
          <w:tcPr>
            <w:tcW w:w="0" w:type="auto"/>
            <w:tcBorders>
              <w:top w:val="nil"/>
              <w:left w:val="nil"/>
              <w:bottom w:val="nil"/>
              <w:right w:val="nil"/>
            </w:tcBorders>
            <w:shd w:val="clear" w:color="auto" w:fill="auto"/>
            <w:noWrap/>
            <w:vAlign w:val="center"/>
            <w:hideMark/>
          </w:tcPr>
          <w:p w14:paraId="77D8E720" w14:textId="77777777" w:rsidR="00BA275B" w:rsidRPr="00D30496" w:rsidRDefault="00BA275B" w:rsidP="00D30496">
            <w:pPr>
              <w:jc w:val="right"/>
              <w:rPr>
                <w:sz w:val="15"/>
                <w:szCs w:val="15"/>
              </w:rPr>
            </w:pPr>
            <w:r w:rsidRPr="00D30496">
              <w:rPr>
                <w:sz w:val="15"/>
                <w:szCs w:val="15"/>
              </w:rPr>
              <w:t>0.1</w:t>
            </w:r>
          </w:p>
        </w:tc>
        <w:tc>
          <w:tcPr>
            <w:tcW w:w="0" w:type="auto"/>
            <w:tcBorders>
              <w:top w:val="nil"/>
              <w:left w:val="nil"/>
              <w:bottom w:val="nil"/>
              <w:right w:val="nil"/>
            </w:tcBorders>
            <w:shd w:val="clear" w:color="auto" w:fill="auto"/>
            <w:noWrap/>
            <w:vAlign w:val="center"/>
            <w:hideMark/>
          </w:tcPr>
          <w:p w14:paraId="5727A930" w14:textId="77777777" w:rsidR="00BA275B" w:rsidRPr="00D30496" w:rsidRDefault="00BA275B" w:rsidP="00D30496">
            <w:pPr>
              <w:jc w:val="right"/>
              <w:rPr>
                <w:sz w:val="15"/>
                <w:szCs w:val="15"/>
              </w:rPr>
            </w:pPr>
            <w:r w:rsidRPr="00D30496">
              <w:rPr>
                <w:sz w:val="15"/>
                <w:szCs w:val="15"/>
              </w:rPr>
              <w:t>7.2</w:t>
            </w:r>
          </w:p>
        </w:tc>
        <w:tc>
          <w:tcPr>
            <w:tcW w:w="0" w:type="auto"/>
            <w:tcBorders>
              <w:top w:val="nil"/>
              <w:left w:val="nil"/>
              <w:bottom w:val="nil"/>
              <w:right w:val="nil"/>
            </w:tcBorders>
            <w:shd w:val="clear" w:color="auto" w:fill="auto"/>
            <w:noWrap/>
            <w:vAlign w:val="center"/>
            <w:hideMark/>
          </w:tcPr>
          <w:p w14:paraId="27928C4D" w14:textId="77777777" w:rsidR="00BA275B" w:rsidRPr="00D30496" w:rsidRDefault="00BA275B" w:rsidP="00D30496">
            <w:pPr>
              <w:jc w:val="right"/>
              <w:rPr>
                <w:sz w:val="15"/>
                <w:szCs w:val="15"/>
              </w:rPr>
            </w:pPr>
            <w:r w:rsidRPr="00D30496">
              <w:rPr>
                <w:sz w:val="15"/>
                <w:szCs w:val="15"/>
              </w:rPr>
              <w:t>6.0</w:t>
            </w:r>
          </w:p>
        </w:tc>
        <w:tc>
          <w:tcPr>
            <w:tcW w:w="0" w:type="auto"/>
            <w:tcBorders>
              <w:top w:val="nil"/>
              <w:left w:val="nil"/>
              <w:bottom w:val="nil"/>
              <w:right w:val="nil"/>
            </w:tcBorders>
            <w:shd w:val="clear" w:color="auto" w:fill="auto"/>
            <w:noWrap/>
            <w:vAlign w:val="center"/>
            <w:hideMark/>
          </w:tcPr>
          <w:p w14:paraId="3C1D3519" w14:textId="77777777" w:rsidR="00BA275B" w:rsidRPr="00D30496" w:rsidRDefault="00BA275B" w:rsidP="00D30496">
            <w:pPr>
              <w:jc w:val="right"/>
              <w:rPr>
                <w:sz w:val="15"/>
                <w:szCs w:val="15"/>
              </w:rPr>
            </w:pPr>
            <w:r w:rsidRPr="00D30496">
              <w:rPr>
                <w:sz w:val="15"/>
                <w:szCs w:val="15"/>
              </w:rPr>
              <w:t>0.1</w:t>
            </w:r>
          </w:p>
        </w:tc>
        <w:tc>
          <w:tcPr>
            <w:tcW w:w="0" w:type="auto"/>
            <w:tcBorders>
              <w:top w:val="nil"/>
              <w:left w:val="nil"/>
              <w:bottom w:val="nil"/>
              <w:right w:val="nil"/>
            </w:tcBorders>
            <w:shd w:val="clear" w:color="auto" w:fill="auto"/>
            <w:noWrap/>
            <w:vAlign w:val="center"/>
            <w:hideMark/>
          </w:tcPr>
          <w:p w14:paraId="478AD2BA" w14:textId="77777777" w:rsidR="00BA275B" w:rsidRPr="00D30496" w:rsidRDefault="00BA275B" w:rsidP="00D30496">
            <w:pPr>
              <w:jc w:val="right"/>
              <w:rPr>
                <w:sz w:val="15"/>
                <w:szCs w:val="15"/>
              </w:rPr>
            </w:pPr>
            <w:r w:rsidRPr="00D30496">
              <w:rPr>
                <w:sz w:val="15"/>
                <w:szCs w:val="15"/>
              </w:rPr>
              <w:t>0.2</w:t>
            </w:r>
          </w:p>
        </w:tc>
        <w:tc>
          <w:tcPr>
            <w:tcW w:w="0" w:type="auto"/>
            <w:tcBorders>
              <w:top w:val="nil"/>
              <w:left w:val="nil"/>
              <w:bottom w:val="nil"/>
              <w:right w:val="nil"/>
            </w:tcBorders>
            <w:shd w:val="clear" w:color="auto" w:fill="auto"/>
            <w:noWrap/>
            <w:vAlign w:val="center"/>
            <w:hideMark/>
          </w:tcPr>
          <w:p w14:paraId="33C310D3" w14:textId="77777777" w:rsidR="00BA275B" w:rsidRPr="00D30496" w:rsidRDefault="00BA275B" w:rsidP="00D30496">
            <w:pPr>
              <w:jc w:val="right"/>
              <w:rPr>
                <w:sz w:val="15"/>
                <w:szCs w:val="15"/>
              </w:rPr>
            </w:pPr>
            <w:r w:rsidRPr="00D30496">
              <w:rPr>
                <w:sz w:val="15"/>
                <w:szCs w:val="15"/>
              </w:rPr>
              <w:t>-</w:t>
            </w:r>
          </w:p>
        </w:tc>
        <w:tc>
          <w:tcPr>
            <w:tcW w:w="0" w:type="auto"/>
            <w:tcBorders>
              <w:top w:val="nil"/>
              <w:left w:val="nil"/>
              <w:bottom w:val="nil"/>
              <w:right w:val="nil"/>
            </w:tcBorders>
            <w:shd w:val="clear" w:color="auto" w:fill="auto"/>
            <w:noWrap/>
            <w:vAlign w:val="center"/>
            <w:hideMark/>
          </w:tcPr>
          <w:p w14:paraId="5D692DAA" w14:textId="77777777" w:rsidR="00BA275B" w:rsidRPr="00D30496" w:rsidRDefault="00BA275B" w:rsidP="00D30496">
            <w:pPr>
              <w:jc w:val="right"/>
              <w:rPr>
                <w:sz w:val="15"/>
                <w:szCs w:val="15"/>
              </w:rPr>
            </w:pPr>
            <w:r w:rsidRPr="00D30496">
              <w:rPr>
                <w:sz w:val="15"/>
                <w:szCs w:val="15"/>
              </w:rPr>
              <w:t>229,664</w:t>
            </w:r>
          </w:p>
        </w:tc>
      </w:tr>
      <w:tr w:rsidR="006B42D6" w:rsidRPr="00D30496" w14:paraId="2325F1C5" w14:textId="77777777" w:rsidTr="00D30496">
        <w:trPr>
          <w:trHeight w:val="272"/>
        </w:trPr>
        <w:tc>
          <w:tcPr>
            <w:tcW w:w="0" w:type="auto"/>
            <w:tcBorders>
              <w:top w:val="nil"/>
              <w:left w:val="nil"/>
              <w:bottom w:val="nil"/>
              <w:right w:val="nil"/>
            </w:tcBorders>
            <w:shd w:val="clear" w:color="auto" w:fill="auto"/>
            <w:noWrap/>
            <w:vAlign w:val="center"/>
            <w:hideMark/>
          </w:tcPr>
          <w:p w14:paraId="3D8D68F2" w14:textId="77777777" w:rsidR="00BA275B" w:rsidRPr="00D30496" w:rsidRDefault="00BA275B" w:rsidP="00383AA6">
            <w:pPr>
              <w:rPr>
                <w:sz w:val="15"/>
                <w:szCs w:val="15"/>
              </w:rPr>
            </w:pPr>
            <w:r w:rsidRPr="00D30496">
              <w:rPr>
                <w:sz w:val="15"/>
                <w:szCs w:val="15"/>
              </w:rPr>
              <w:t>Mtwara</w:t>
            </w:r>
          </w:p>
        </w:tc>
        <w:tc>
          <w:tcPr>
            <w:tcW w:w="0" w:type="auto"/>
            <w:tcBorders>
              <w:top w:val="nil"/>
              <w:left w:val="nil"/>
              <w:bottom w:val="nil"/>
              <w:right w:val="nil"/>
            </w:tcBorders>
            <w:shd w:val="clear" w:color="auto" w:fill="auto"/>
            <w:noWrap/>
            <w:vAlign w:val="center"/>
            <w:hideMark/>
          </w:tcPr>
          <w:p w14:paraId="74FFED78" w14:textId="77777777" w:rsidR="00BA275B" w:rsidRPr="00D30496" w:rsidRDefault="00BA275B" w:rsidP="00D30496">
            <w:pPr>
              <w:jc w:val="right"/>
              <w:rPr>
                <w:sz w:val="15"/>
                <w:szCs w:val="15"/>
              </w:rPr>
            </w:pPr>
            <w:r w:rsidRPr="00D30496">
              <w:rPr>
                <w:sz w:val="15"/>
                <w:szCs w:val="15"/>
              </w:rPr>
              <w:t>97.1</w:t>
            </w:r>
          </w:p>
        </w:tc>
        <w:tc>
          <w:tcPr>
            <w:tcW w:w="0" w:type="auto"/>
            <w:tcBorders>
              <w:top w:val="nil"/>
              <w:left w:val="nil"/>
              <w:bottom w:val="nil"/>
              <w:right w:val="nil"/>
            </w:tcBorders>
            <w:shd w:val="clear" w:color="auto" w:fill="auto"/>
            <w:noWrap/>
            <w:vAlign w:val="center"/>
            <w:hideMark/>
          </w:tcPr>
          <w:p w14:paraId="19460178" w14:textId="77777777" w:rsidR="00BA275B" w:rsidRPr="00D30496" w:rsidRDefault="00BA275B" w:rsidP="00D30496">
            <w:pPr>
              <w:jc w:val="right"/>
              <w:rPr>
                <w:sz w:val="15"/>
                <w:szCs w:val="15"/>
              </w:rPr>
            </w:pPr>
            <w:r w:rsidRPr="00D30496">
              <w:rPr>
                <w:sz w:val="15"/>
                <w:szCs w:val="15"/>
              </w:rPr>
              <w:t>98.7</w:t>
            </w:r>
          </w:p>
        </w:tc>
        <w:tc>
          <w:tcPr>
            <w:tcW w:w="0" w:type="auto"/>
            <w:tcBorders>
              <w:top w:val="nil"/>
              <w:left w:val="nil"/>
              <w:bottom w:val="nil"/>
              <w:right w:val="nil"/>
            </w:tcBorders>
            <w:shd w:val="clear" w:color="auto" w:fill="auto"/>
            <w:noWrap/>
            <w:vAlign w:val="center"/>
            <w:hideMark/>
          </w:tcPr>
          <w:p w14:paraId="2DB30939" w14:textId="77777777" w:rsidR="00BA275B" w:rsidRPr="00D30496" w:rsidRDefault="00BA275B" w:rsidP="00D30496">
            <w:pPr>
              <w:jc w:val="right"/>
              <w:rPr>
                <w:sz w:val="15"/>
                <w:szCs w:val="15"/>
              </w:rPr>
            </w:pPr>
            <w:r w:rsidRPr="00D30496">
              <w:rPr>
                <w:sz w:val="15"/>
                <w:szCs w:val="15"/>
              </w:rPr>
              <w:t>0.1</w:t>
            </w:r>
          </w:p>
        </w:tc>
        <w:tc>
          <w:tcPr>
            <w:tcW w:w="0" w:type="auto"/>
            <w:tcBorders>
              <w:top w:val="nil"/>
              <w:left w:val="nil"/>
              <w:bottom w:val="nil"/>
              <w:right w:val="nil"/>
            </w:tcBorders>
            <w:shd w:val="clear" w:color="auto" w:fill="auto"/>
            <w:noWrap/>
            <w:vAlign w:val="center"/>
            <w:hideMark/>
          </w:tcPr>
          <w:p w14:paraId="4875A520" w14:textId="77777777" w:rsidR="00BA275B" w:rsidRPr="00D30496" w:rsidRDefault="00BA275B" w:rsidP="00D30496">
            <w:pPr>
              <w:jc w:val="right"/>
              <w:rPr>
                <w:sz w:val="15"/>
                <w:szCs w:val="15"/>
              </w:rPr>
            </w:pPr>
            <w:r w:rsidRPr="00D30496">
              <w:rPr>
                <w:sz w:val="15"/>
                <w:szCs w:val="15"/>
              </w:rPr>
              <w:t>0.4</w:t>
            </w:r>
          </w:p>
        </w:tc>
        <w:tc>
          <w:tcPr>
            <w:tcW w:w="0" w:type="auto"/>
            <w:tcBorders>
              <w:top w:val="nil"/>
              <w:left w:val="nil"/>
              <w:bottom w:val="nil"/>
              <w:right w:val="nil"/>
            </w:tcBorders>
            <w:shd w:val="clear" w:color="auto" w:fill="auto"/>
            <w:noWrap/>
            <w:vAlign w:val="center"/>
            <w:hideMark/>
          </w:tcPr>
          <w:p w14:paraId="644C9929" w14:textId="77777777" w:rsidR="00BA275B" w:rsidRPr="00D30496" w:rsidRDefault="00BA275B" w:rsidP="00D30496">
            <w:pPr>
              <w:jc w:val="right"/>
              <w:rPr>
                <w:sz w:val="15"/>
                <w:szCs w:val="15"/>
              </w:rPr>
            </w:pPr>
            <w:r w:rsidRPr="00D30496">
              <w:rPr>
                <w:sz w:val="15"/>
                <w:szCs w:val="15"/>
              </w:rPr>
              <w:t>0.1</w:t>
            </w:r>
          </w:p>
        </w:tc>
        <w:tc>
          <w:tcPr>
            <w:tcW w:w="0" w:type="auto"/>
            <w:tcBorders>
              <w:top w:val="nil"/>
              <w:left w:val="nil"/>
              <w:bottom w:val="nil"/>
              <w:right w:val="nil"/>
            </w:tcBorders>
            <w:shd w:val="clear" w:color="auto" w:fill="auto"/>
            <w:noWrap/>
            <w:vAlign w:val="center"/>
            <w:hideMark/>
          </w:tcPr>
          <w:p w14:paraId="699CA03F" w14:textId="77777777" w:rsidR="00BA275B" w:rsidRPr="00D30496" w:rsidRDefault="00BA275B" w:rsidP="00D30496">
            <w:pPr>
              <w:jc w:val="right"/>
              <w:rPr>
                <w:sz w:val="15"/>
                <w:szCs w:val="15"/>
              </w:rPr>
            </w:pPr>
            <w:r w:rsidRPr="00D30496">
              <w:rPr>
                <w:sz w:val="15"/>
                <w:szCs w:val="15"/>
              </w:rPr>
              <w:t>0.1</w:t>
            </w:r>
          </w:p>
        </w:tc>
        <w:tc>
          <w:tcPr>
            <w:tcW w:w="0" w:type="auto"/>
            <w:tcBorders>
              <w:top w:val="nil"/>
              <w:left w:val="nil"/>
              <w:bottom w:val="nil"/>
              <w:right w:val="nil"/>
            </w:tcBorders>
            <w:shd w:val="clear" w:color="auto" w:fill="auto"/>
            <w:noWrap/>
            <w:vAlign w:val="center"/>
            <w:hideMark/>
          </w:tcPr>
          <w:p w14:paraId="38BC6F5F" w14:textId="77777777" w:rsidR="00BA275B" w:rsidRPr="00D30496" w:rsidRDefault="00BA275B" w:rsidP="00D30496">
            <w:pPr>
              <w:jc w:val="right"/>
              <w:rPr>
                <w:sz w:val="15"/>
                <w:szCs w:val="15"/>
              </w:rPr>
            </w:pPr>
            <w:r w:rsidRPr="00D30496">
              <w:rPr>
                <w:sz w:val="15"/>
                <w:szCs w:val="15"/>
              </w:rPr>
              <w:t>4.6</w:t>
            </w:r>
          </w:p>
        </w:tc>
        <w:tc>
          <w:tcPr>
            <w:tcW w:w="0" w:type="auto"/>
            <w:tcBorders>
              <w:top w:val="nil"/>
              <w:left w:val="nil"/>
              <w:bottom w:val="nil"/>
              <w:right w:val="nil"/>
            </w:tcBorders>
            <w:shd w:val="clear" w:color="auto" w:fill="auto"/>
            <w:noWrap/>
            <w:vAlign w:val="center"/>
            <w:hideMark/>
          </w:tcPr>
          <w:p w14:paraId="30096B3A" w14:textId="77777777" w:rsidR="00BA275B" w:rsidRPr="00D30496" w:rsidRDefault="00BA275B" w:rsidP="00D30496">
            <w:pPr>
              <w:jc w:val="right"/>
              <w:rPr>
                <w:sz w:val="15"/>
                <w:szCs w:val="15"/>
              </w:rPr>
            </w:pPr>
            <w:r w:rsidRPr="00D30496">
              <w:rPr>
                <w:sz w:val="15"/>
                <w:szCs w:val="15"/>
              </w:rPr>
              <w:t>3.4</w:t>
            </w:r>
          </w:p>
        </w:tc>
        <w:tc>
          <w:tcPr>
            <w:tcW w:w="0" w:type="auto"/>
            <w:tcBorders>
              <w:top w:val="nil"/>
              <w:left w:val="nil"/>
              <w:bottom w:val="nil"/>
              <w:right w:val="nil"/>
            </w:tcBorders>
            <w:shd w:val="clear" w:color="auto" w:fill="auto"/>
            <w:noWrap/>
            <w:vAlign w:val="center"/>
            <w:hideMark/>
          </w:tcPr>
          <w:p w14:paraId="74635022" w14:textId="77777777" w:rsidR="00BA275B" w:rsidRPr="00D30496" w:rsidRDefault="00BA275B" w:rsidP="00D30496">
            <w:pPr>
              <w:jc w:val="right"/>
              <w:rPr>
                <w:sz w:val="15"/>
                <w:szCs w:val="15"/>
              </w:rPr>
            </w:pPr>
            <w:r w:rsidRPr="00D30496">
              <w:rPr>
                <w:sz w:val="15"/>
                <w:szCs w:val="15"/>
              </w:rPr>
              <w:t>3.8</w:t>
            </w:r>
          </w:p>
        </w:tc>
        <w:tc>
          <w:tcPr>
            <w:tcW w:w="0" w:type="auto"/>
            <w:tcBorders>
              <w:top w:val="nil"/>
              <w:left w:val="nil"/>
              <w:bottom w:val="nil"/>
              <w:right w:val="nil"/>
            </w:tcBorders>
            <w:shd w:val="clear" w:color="auto" w:fill="auto"/>
            <w:noWrap/>
            <w:vAlign w:val="center"/>
            <w:hideMark/>
          </w:tcPr>
          <w:p w14:paraId="21060DCF" w14:textId="77777777" w:rsidR="00BA275B" w:rsidRPr="00D30496" w:rsidRDefault="00BA275B" w:rsidP="00D30496">
            <w:pPr>
              <w:jc w:val="right"/>
              <w:rPr>
                <w:sz w:val="15"/>
                <w:szCs w:val="15"/>
              </w:rPr>
            </w:pPr>
            <w:r w:rsidRPr="00D30496">
              <w:rPr>
                <w:sz w:val="15"/>
                <w:szCs w:val="15"/>
              </w:rPr>
              <w:t>0.3</w:t>
            </w:r>
          </w:p>
        </w:tc>
        <w:tc>
          <w:tcPr>
            <w:tcW w:w="0" w:type="auto"/>
            <w:tcBorders>
              <w:top w:val="nil"/>
              <w:left w:val="nil"/>
              <w:bottom w:val="nil"/>
              <w:right w:val="nil"/>
            </w:tcBorders>
            <w:shd w:val="clear" w:color="auto" w:fill="auto"/>
            <w:noWrap/>
            <w:vAlign w:val="center"/>
            <w:hideMark/>
          </w:tcPr>
          <w:p w14:paraId="004C6F95" w14:textId="77777777" w:rsidR="00BA275B" w:rsidRPr="00D30496" w:rsidRDefault="00BA275B" w:rsidP="00D30496">
            <w:pPr>
              <w:jc w:val="right"/>
              <w:rPr>
                <w:sz w:val="15"/>
                <w:szCs w:val="15"/>
              </w:rPr>
            </w:pPr>
            <w:r w:rsidRPr="00D30496">
              <w:rPr>
                <w:sz w:val="15"/>
                <w:szCs w:val="15"/>
              </w:rPr>
              <w:t>0.1</w:t>
            </w:r>
          </w:p>
        </w:tc>
        <w:tc>
          <w:tcPr>
            <w:tcW w:w="0" w:type="auto"/>
            <w:tcBorders>
              <w:top w:val="nil"/>
              <w:left w:val="nil"/>
              <w:bottom w:val="nil"/>
              <w:right w:val="nil"/>
            </w:tcBorders>
            <w:shd w:val="clear" w:color="auto" w:fill="auto"/>
            <w:noWrap/>
            <w:vAlign w:val="center"/>
            <w:hideMark/>
          </w:tcPr>
          <w:p w14:paraId="0F614F25" w14:textId="77777777" w:rsidR="00BA275B" w:rsidRPr="00D30496" w:rsidRDefault="00BA275B" w:rsidP="00D30496">
            <w:pPr>
              <w:jc w:val="right"/>
              <w:rPr>
                <w:sz w:val="15"/>
                <w:szCs w:val="15"/>
              </w:rPr>
            </w:pPr>
            <w:r w:rsidRPr="00D30496">
              <w:rPr>
                <w:sz w:val="15"/>
                <w:szCs w:val="15"/>
              </w:rPr>
              <w:t>305,034</w:t>
            </w:r>
          </w:p>
        </w:tc>
      </w:tr>
      <w:tr w:rsidR="006B42D6" w:rsidRPr="00D30496" w14:paraId="27824D8D" w14:textId="77777777" w:rsidTr="00D30496">
        <w:trPr>
          <w:trHeight w:val="272"/>
        </w:trPr>
        <w:tc>
          <w:tcPr>
            <w:tcW w:w="0" w:type="auto"/>
            <w:tcBorders>
              <w:top w:val="nil"/>
              <w:left w:val="nil"/>
              <w:bottom w:val="nil"/>
              <w:right w:val="nil"/>
            </w:tcBorders>
            <w:shd w:val="clear" w:color="auto" w:fill="auto"/>
            <w:noWrap/>
            <w:vAlign w:val="center"/>
            <w:hideMark/>
          </w:tcPr>
          <w:p w14:paraId="01B8E4AC" w14:textId="77777777" w:rsidR="00BA275B" w:rsidRPr="00D30496" w:rsidRDefault="00BA275B" w:rsidP="00383AA6">
            <w:pPr>
              <w:rPr>
                <w:sz w:val="15"/>
                <w:szCs w:val="15"/>
              </w:rPr>
            </w:pPr>
            <w:r w:rsidRPr="00D30496">
              <w:rPr>
                <w:sz w:val="15"/>
                <w:szCs w:val="15"/>
              </w:rPr>
              <w:t>Ruvuma</w:t>
            </w:r>
          </w:p>
        </w:tc>
        <w:tc>
          <w:tcPr>
            <w:tcW w:w="0" w:type="auto"/>
            <w:tcBorders>
              <w:top w:val="nil"/>
              <w:left w:val="nil"/>
              <w:bottom w:val="nil"/>
              <w:right w:val="nil"/>
            </w:tcBorders>
            <w:shd w:val="clear" w:color="auto" w:fill="auto"/>
            <w:noWrap/>
            <w:vAlign w:val="center"/>
            <w:hideMark/>
          </w:tcPr>
          <w:p w14:paraId="2D2958D4" w14:textId="77777777" w:rsidR="00BA275B" w:rsidRPr="00D30496" w:rsidRDefault="00BA275B" w:rsidP="00D30496">
            <w:pPr>
              <w:jc w:val="right"/>
              <w:rPr>
                <w:sz w:val="15"/>
                <w:szCs w:val="15"/>
              </w:rPr>
            </w:pPr>
            <w:r w:rsidRPr="00D30496">
              <w:rPr>
                <w:sz w:val="15"/>
                <w:szCs w:val="15"/>
              </w:rPr>
              <w:t>95.4</w:t>
            </w:r>
          </w:p>
        </w:tc>
        <w:tc>
          <w:tcPr>
            <w:tcW w:w="0" w:type="auto"/>
            <w:tcBorders>
              <w:top w:val="nil"/>
              <w:left w:val="nil"/>
              <w:bottom w:val="nil"/>
              <w:right w:val="nil"/>
            </w:tcBorders>
            <w:shd w:val="clear" w:color="auto" w:fill="auto"/>
            <w:noWrap/>
            <w:vAlign w:val="center"/>
            <w:hideMark/>
          </w:tcPr>
          <w:p w14:paraId="2641754A" w14:textId="77777777" w:rsidR="00BA275B" w:rsidRPr="00D30496" w:rsidRDefault="00BA275B" w:rsidP="00D30496">
            <w:pPr>
              <w:jc w:val="right"/>
              <w:rPr>
                <w:sz w:val="15"/>
                <w:szCs w:val="15"/>
              </w:rPr>
            </w:pPr>
            <w:r w:rsidRPr="00D30496">
              <w:rPr>
                <w:sz w:val="15"/>
                <w:szCs w:val="15"/>
              </w:rPr>
              <w:t>99.0</w:t>
            </w:r>
          </w:p>
        </w:tc>
        <w:tc>
          <w:tcPr>
            <w:tcW w:w="0" w:type="auto"/>
            <w:tcBorders>
              <w:top w:val="nil"/>
              <w:left w:val="nil"/>
              <w:bottom w:val="nil"/>
              <w:right w:val="nil"/>
            </w:tcBorders>
            <w:shd w:val="clear" w:color="auto" w:fill="auto"/>
            <w:noWrap/>
            <w:vAlign w:val="center"/>
            <w:hideMark/>
          </w:tcPr>
          <w:p w14:paraId="383D722C" w14:textId="77777777" w:rsidR="00BA275B" w:rsidRPr="00D30496" w:rsidRDefault="00BA275B" w:rsidP="00D30496">
            <w:pPr>
              <w:jc w:val="right"/>
              <w:rPr>
                <w:sz w:val="15"/>
                <w:szCs w:val="15"/>
              </w:rPr>
            </w:pPr>
            <w:r w:rsidRPr="00D30496">
              <w:rPr>
                <w:sz w:val="15"/>
                <w:szCs w:val="15"/>
              </w:rPr>
              <w:t>0.4</w:t>
            </w:r>
          </w:p>
        </w:tc>
        <w:tc>
          <w:tcPr>
            <w:tcW w:w="0" w:type="auto"/>
            <w:tcBorders>
              <w:top w:val="nil"/>
              <w:left w:val="nil"/>
              <w:bottom w:val="nil"/>
              <w:right w:val="nil"/>
            </w:tcBorders>
            <w:shd w:val="clear" w:color="auto" w:fill="auto"/>
            <w:noWrap/>
            <w:vAlign w:val="center"/>
            <w:hideMark/>
          </w:tcPr>
          <w:p w14:paraId="2851D71B" w14:textId="77777777" w:rsidR="00BA275B" w:rsidRPr="00D30496" w:rsidRDefault="00BA275B" w:rsidP="00D30496">
            <w:pPr>
              <w:jc w:val="right"/>
              <w:rPr>
                <w:sz w:val="15"/>
                <w:szCs w:val="15"/>
              </w:rPr>
            </w:pPr>
            <w:r w:rsidRPr="00D30496">
              <w:rPr>
                <w:sz w:val="15"/>
                <w:szCs w:val="15"/>
              </w:rPr>
              <w:t>0.1</w:t>
            </w:r>
          </w:p>
        </w:tc>
        <w:tc>
          <w:tcPr>
            <w:tcW w:w="0" w:type="auto"/>
            <w:tcBorders>
              <w:top w:val="nil"/>
              <w:left w:val="nil"/>
              <w:bottom w:val="nil"/>
              <w:right w:val="nil"/>
            </w:tcBorders>
            <w:shd w:val="clear" w:color="auto" w:fill="auto"/>
            <w:noWrap/>
            <w:vAlign w:val="center"/>
            <w:hideMark/>
          </w:tcPr>
          <w:p w14:paraId="66B5E778" w14:textId="77777777" w:rsidR="00BA275B" w:rsidRPr="00D30496" w:rsidRDefault="00BA275B" w:rsidP="00D30496">
            <w:pPr>
              <w:jc w:val="right"/>
              <w:rPr>
                <w:sz w:val="15"/>
                <w:szCs w:val="15"/>
              </w:rPr>
            </w:pPr>
            <w:r w:rsidRPr="00D30496">
              <w:rPr>
                <w:sz w:val="15"/>
                <w:szCs w:val="15"/>
              </w:rPr>
              <w:t>0.1</w:t>
            </w:r>
          </w:p>
        </w:tc>
        <w:tc>
          <w:tcPr>
            <w:tcW w:w="0" w:type="auto"/>
            <w:tcBorders>
              <w:top w:val="nil"/>
              <w:left w:val="nil"/>
              <w:bottom w:val="nil"/>
              <w:right w:val="nil"/>
            </w:tcBorders>
            <w:shd w:val="clear" w:color="auto" w:fill="auto"/>
            <w:noWrap/>
            <w:vAlign w:val="center"/>
            <w:hideMark/>
          </w:tcPr>
          <w:p w14:paraId="6B7DDD6D" w14:textId="77777777" w:rsidR="00BA275B" w:rsidRPr="00D30496" w:rsidRDefault="00BA275B" w:rsidP="00D30496">
            <w:pPr>
              <w:jc w:val="right"/>
              <w:rPr>
                <w:sz w:val="15"/>
                <w:szCs w:val="15"/>
              </w:rPr>
            </w:pPr>
            <w:r w:rsidRPr="00D30496">
              <w:rPr>
                <w:sz w:val="15"/>
                <w:szCs w:val="15"/>
              </w:rPr>
              <w:t>0.6</w:t>
            </w:r>
          </w:p>
        </w:tc>
        <w:tc>
          <w:tcPr>
            <w:tcW w:w="0" w:type="auto"/>
            <w:tcBorders>
              <w:top w:val="nil"/>
              <w:left w:val="nil"/>
              <w:bottom w:val="nil"/>
              <w:right w:val="nil"/>
            </w:tcBorders>
            <w:shd w:val="clear" w:color="auto" w:fill="auto"/>
            <w:noWrap/>
            <w:vAlign w:val="center"/>
            <w:hideMark/>
          </w:tcPr>
          <w:p w14:paraId="56A4A1F2" w14:textId="77777777" w:rsidR="00BA275B" w:rsidRPr="00D30496" w:rsidRDefault="00BA275B" w:rsidP="00D30496">
            <w:pPr>
              <w:jc w:val="right"/>
              <w:rPr>
                <w:sz w:val="15"/>
                <w:szCs w:val="15"/>
              </w:rPr>
            </w:pPr>
            <w:r w:rsidRPr="00D30496">
              <w:rPr>
                <w:sz w:val="15"/>
                <w:szCs w:val="15"/>
              </w:rPr>
              <w:t>1.9</w:t>
            </w:r>
          </w:p>
        </w:tc>
        <w:tc>
          <w:tcPr>
            <w:tcW w:w="0" w:type="auto"/>
            <w:tcBorders>
              <w:top w:val="nil"/>
              <w:left w:val="nil"/>
              <w:bottom w:val="nil"/>
              <w:right w:val="nil"/>
            </w:tcBorders>
            <w:shd w:val="clear" w:color="auto" w:fill="auto"/>
            <w:noWrap/>
            <w:vAlign w:val="center"/>
            <w:hideMark/>
          </w:tcPr>
          <w:p w14:paraId="04E5AACB" w14:textId="77777777" w:rsidR="00BA275B" w:rsidRPr="00D30496" w:rsidRDefault="00BA275B" w:rsidP="00D30496">
            <w:pPr>
              <w:jc w:val="right"/>
              <w:rPr>
                <w:sz w:val="15"/>
                <w:szCs w:val="15"/>
              </w:rPr>
            </w:pPr>
            <w:r w:rsidRPr="00D30496">
              <w:rPr>
                <w:sz w:val="15"/>
                <w:szCs w:val="15"/>
              </w:rPr>
              <w:t>1.3</w:t>
            </w:r>
          </w:p>
        </w:tc>
        <w:tc>
          <w:tcPr>
            <w:tcW w:w="0" w:type="auto"/>
            <w:tcBorders>
              <w:top w:val="nil"/>
              <w:left w:val="nil"/>
              <w:bottom w:val="nil"/>
              <w:right w:val="nil"/>
            </w:tcBorders>
            <w:shd w:val="clear" w:color="auto" w:fill="auto"/>
            <w:noWrap/>
            <w:vAlign w:val="center"/>
            <w:hideMark/>
          </w:tcPr>
          <w:p w14:paraId="79D5D41B" w14:textId="77777777" w:rsidR="00BA275B" w:rsidRPr="00D30496" w:rsidRDefault="00BA275B" w:rsidP="00D30496">
            <w:pPr>
              <w:jc w:val="right"/>
              <w:rPr>
                <w:sz w:val="15"/>
                <w:szCs w:val="15"/>
              </w:rPr>
            </w:pPr>
            <w:r w:rsidRPr="00D30496">
              <w:rPr>
                <w:sz w:val="15"/>
                <w:szCs w:val="15"/>
              </w:rPr>
              <w:t>0.7</w:t>
            </w:r>
          </w:p>
        </w:tc>
        <w:tc>
          <w:tcPr>
            <w:tcW w:w="0" w:type="auto"/>
            <w:tcBorders>
              <w:top w:val="nil"/>
              <w:left w:val="nil"/>
              <w:bottom w:val="nil"/>
              <w:right w:val="nil"/>
            </w:tcBorders>
            <w:shd w:val="clear" w:color="auto" w:fill="auto"/>
            <w:noWrap/>
            <w:vAlign w:val="center"/>
            <w:hideMark/>
          </w:tcPr>
          <w:p w14:paraId="1B371003" w14:textId="77777777" w:rsidR="00BA275B" w:rsidRPr="00D30496" w:rsidRDefault="00BA275B" w:rsidP="00D30496">
            <w:pPr>
              <w:jc w:val="right"/>
              <w:rPr>
                <w:sz w:val="15"/>
                <w:szCs w:val="15"/>
              </w:rPr>
            </w:pPr>
            <w:r w:rsidRPr="00D30496">
              <w:rPr>
                <w:sz w:val="15"/>
                <w:szCs w:val="15"/>
              </w:rPr>
              <w:t>0.2</w:t>
            </w:r>
          </w:p>
        </w:tc>
        <w:tc>
          <w:tcPr>
            <w:tcW w:w="0" w:type="auto"/>
            <w:tcBorders>
              <w:top w:val="nil"/>
              <w:left w:val="nil"/>
              <w:bottom w:val="nil"/>
              <w:right w:val="nil"/>
            </w:tcBorders>
            <w:shd w:val="clear" w:color="auto" w:fill="auto"/>
            <w:noWrap/>
            <w:vAlign w:val="center"/>
            <w:hideMark/>
          </w:tcPr>
          <w:p w14:paraId="2A6E14D7" w14:textId="77777777" w:rsidR="00BA275B" w:rsidRPr="00D30496" w:rsidRDefault="00BA275B" w:rsidP="00D30496">
            <w:pPr>
              <w:jc w:val="right"/>
              <w:rPr>
                <w:sz w:val="15"/>
                <w:szCs w:val="15"/>
              </w:rPr>
            </w:pPr>
            <w:r w:rsidRPr="00D30496">
              <w:rPr>
                <w:sz w:val="15"/>
                <w:szCs w:val="15"/>
              </w:rPr>
              <w:t>0.2</w:t>
            </w:r>
          </w:p>
        </w:tc>
        <w:tc>
          <w:tcPr>
            <w:tcW w:w="0" w:type="auto"/>
            <w:tcBorders>
              <w:top w:val="nil"/>
              <w:left w:val="nil"/>
              <w:bottom w:val="nil"/>
              <w:right w:val="nil"/>
            </w:tcBorders>
            <w:shd w:val="clear" w:color="auto" w:fill="auto"/>
            <w:noWrap/>
            <w:vAlign w:val="center"/>
            <w:hideMark/>
          </w:tcPr>
          <w:p w14:paraId="5C223619" w14:textId="77777777" w:rsidR="00BA275B" w:rsidRPr="00D30496" w:rsidRDefault="00BA275B" w:rsidP="00D30496">
            <w:pPr>
              <w:jc w:val="right"/>
              <w:rPr>
                <w:sz w:val="15"/>
                <w:szCs w:val="15"/>
              </w:rPr>
            </w:pPr>
            <w:r w:rsidRPr="00D30496">
              <w:rPr>
                <w:sz w:val="15"/>
                <w:szCs w:val="15"/>
              </w:rPr>
              <w:t>332,020</w:t>
            </w:r>
          </w:p>
        </w:tc>
      </w:tr>
      <w:tr w:rsidR="006B42D6" w:rsidRPr="00D30496" w14:paraId="398603C1" w14:textId="77777777" w:rsidTr="00D30496">
        <w:trPr>
          <w:trHeight w:val="272"/>
        </w:trPr>
        <w:tc>
          <w:tcPr>
            <w:tcW w:w="0" w:type="auto"/>
            <w:tcBorders>
              <w:top w:val="nil"/>
              <w:left w:val="nil"/>
              <w:bottom w:val="nil"/>
              <w:right w:val="nil"/>
            </w:tcBorders>
            <w:shd w:val="clear" w:color="auto" w:fill="auto"/>
            <w:noWrap/>
            <w:vAlign w:val="center"/>
            <w:hideMark/>
          </w:tcPr>
          <w:p w14:paraId="4CE5E659" w14:textId="77777777" w:rsidR="00BA275B" w:rsidRPr="00D30496" w:rsidRDefault="00BA275B" w:rsidP="00383AA6">
            <w:pPr>
              <w:rPr>
                <w:sz w:val="15"/>
                <w:szCs w:val="15"/>
              </w:rPr>
            </w:pPr>
            <w:r w:rsidRPr="00D30496">
              <w:rPr>
                <w:sz w:val="15"/>
                <w:szCs w:val="15"/>
              </w:rPr>
              <w:t>Iringa</w:t>
            </w:r>
          </w:p>
        </w:tc>
        <w:tc>
          <w:tcPr>
            <w:tcW w:w="0" w:type="auto"/>
            <w:tcBorders>
              <w:top w:val="nil"/>
              <w:left w:val="nil"/>
              <w:bottom w:val="nil"/>
              <w:right w:val="nil"/>
            </w:tcBorders>
            <w:shd w:val="clear" w:color="auto" w:fill="auto"/>
            <w:noWrap/>
            <w:vAlign w:val="center"/>
            <w:hideMark/>
          </w:tcPr>
          <w:p w14:paraId="2AC2D327" w14:textId="77777777" w:rsidR="00BA275B" w:rsidRPr="00D30496" w:rsidRDefault="00BA275B" w:rsidP="00D30496">
            <w:pPr>
              <w:jc w:val="right"/>
              <w:rPr>
                <w:sz w:val="15"/>
                <w:szCs w:val="15"/>
              </w:rPr>
            </w:pPr>
            <w:r w:rsidRPr="00D30496">
              <w:rPr>
                <w:sz w:val="15"/>
                <w:szCs w:val="15"/>
              </w:rPr>
              <w:t>92.4</w:t>
            </w:r>
          </w:p>
        </w:tc>
        <w:tc>
          <w:tcPr>
            <w:tcW w:w="0" w:type="auto"/>
            <w:tcBorders>
              <w:top w:val="nil"/>
              <w:left w:val="nil"/>
              <w:bottom w:val="nil"/>
              <w:right w:val="nil"/>
            </w:tcBorders>
            <w:shd w:val="clear" w:color="auto" w:fill="auto"/>
            <w:noWrap/>
            <w:vAlign w:val="center"/>
            <w:hideMark/>
          </w:tcPr>
          <w:p w14:paraId="0F2B4B73" w14:textId="77777777" w:rsidR="00BA275B" w:rsidRPr="00D30496" w:rsidRDefault="00BA275B" w:rsidP="00D30496">
            <w:pPr>
              <w:jc w:val="right"/>
              <w:rPr>
                <w:sz w:val="15"/>
                <w:szCs w:val="15"/>
              </w:rPr>
            </w:pPr>
            <w:r w:rsidRPr="00D30496">
              <w:rPr>
                <w:sz w:val="15"/>
                <w:szCs w:val="15"/>
              </w:rPr>
              <w:t>98.9</w:t>
            </w:r>
          </w:p>
        </w:tc>
        <w:tc>
          <w:tcPr>
            <w:tcW w:w="0" w:type="auto"/>
            <w:tcBorders>
              <w:top w:val="nil"/>
              <w:left w:val="nil"/>
              <w:bottom w:val="nil"/>
              <w:right w:val="nil"/>
            </w:tcBorders>
            <w:shd w:val="clear" w:color="auto" w:fill="auto"/>
            <w:noWrap/>
            <w:vAlign w:val="center"/>
            <w:hideMark/>
          </w:tcPr>
          <w:p w14:paraId="0AFA2ACF" w14:textId="77777777" w:rsidR="00BA275B" w:rsidRPr="00D30496" w:rsidRDefault="00BA275B" w:rsidP="00D30496">
            <w:pPr>
              <w:jc w:val="right"/>
              <w:rPr>
                <w:sz w:val="15"/>
                <w:szCs w:val="15"/>
              </w:rPr>
            </w:pPr>
            <w:r w:rsidRPr="00D30496">
              <w:rPr>
                <w:sz w:val="15"/>
                <w:szCs w:val="15"/>
              </w:rPr>
              <w:t>38.0</w:t>
            </w:r>
          </w:p>
        </w:tc>
        <w:tc>
          <w:tcPr>
            <w:tcW w:w="0" w:type="auto"/>
            <w:tcBorders>
              <w:top w:val="nil"/>
              <w:left w:val="nil"/>
              <w:bottom w:val="nil"/>
              <w:right w:val="nil"/>
            </w:tcBorders>
            <w:shd w:val="clear" w:color="auto" w:fill="auto"/>
            <w:noWrap/>
            <w:vAlign w:val="center"/>
            <w:hideMark/>
          </w:tcPr>
          <w:p w14:paraId="3A490B3C" w14:textId="77777777" w:rsidR="00BA275B" w:rsidRPr="00D30496" w:rsidRDefault="00BA275B" w:rsidP="00D30496">
            <w:pPr>
              <w:jc w:val="right"/>
              <w:rPr>
                <w:sz w:val="15"/>
                <w:szCs w:val="15"/>
              </w:rPr>
            </w:pPr>
            <w:r w:rsidRPr="00D30496">
              <w:rPr>
                <w:sz w:val="15"/>
                <w:szCs w:val="15"/>
              </w:rPr>
              <w:t>36.5</w:t>
            </w:r>
          </w:p>
        </w:tc>
        <w:tc>
          <w:tcPr>
            <w:tcW w:w="0" w:type="auto"/>
            <w:tcBorders>
              <w:top w:val="nil"/>
              <w:left w:val="nil"/>
              <w:bottom w:val="nil"/>
              <w:right w:val="nil"/>
            </w:tcBorders>
            <w:shd w:val="clear" w:color="auto" w:fill="auto"/>
            <w:noWrap/>
            <w:vAlign w:val="center"/>
            <w:hideMark/>
          </w:tcPr>
          <w:p w14:paraId="1F40D3F1" w14:textId="77777777" w:rsidR="00BA275B" w:rsidRPr="00D30496" w:rsidRDefault="00BA275B" w:rsidP="00D30496">
            <w:pPr>
              <w:jc w:val="right"/>
              <w:rPr>
                <w:sz w:val="15"/>
                <w:szCs w:val="15"/>
              </w:rPr>
            </w:pPr>
            <w:r w:rsidRPr="00D30496">
              <w:rPr>
                <w:sz w:val="15"/>
                <w:szCs w:val="15"/>
              </w:rPr>
              <w:t>0.7</w:t>
            </w:r>
          </w:p>
        </w:tc>
        <w:tc>
          <w:tcPr>
            <w:tcW w:w="0" w:type="auto"/>
            <w:tcBorders>
              <w:top w:val="nil"/>
              <w:left w:val="nil"/>
              <w:bottom w:val="nil"/>
              <w:right w:val="nil"/>
            </w:tcBorders>
            <w:shd w:val="clear" w:color="auto" w:fill="auto"/>
            <w:noWrap/>
            <w:vAlign w:val="center"/>
            <w:hideMark/>
          </w:tcPr>
          <w:p w14:paraId="150F818C" w14:textId="77777777" w:rsidR="00BA275B" w:rsidRPr="00D30496" w:rsidRDefault="00BA275B" w:rsidP="00D30496">
            <w:pPr>
              <w:jc w:val="right"/>
              <w:rPr>
                <w:sz w:val="15"/>
                <w:szCs w:val="15"/>
              </w:rPr>
            </w:pPr>
            <w:r w:rsidRPr="00D30496">
              <w:rPr>
                <w:sz w:val="15"/>
                <w:szCs w:val="15"/>
              </w:rPr>
              <w:t>5.8</w:t>
            </w:r>
          </w:p>
        </w:tc>
        <w:tc>
          <w:tcPr>
            <w:tcW w:w="0" w:type="auto"/>
            <w:tcBorders>
              <w:top w:val="nil"/>
              <w:left w:val="nil"/>
              <w:bottom w:val="nil"/>
              <w:right w:val="nil"/>
            </w:tcBorders>
            <w:shd w:val="clear" w:color="auto" w:fill="auto"/>
            <w:noWrap/>
            <w:vAlign w:val="center"/>
            <w:hideMark/>
          </w:tcPr>
          <w:p w14:paraId="0EE985CB" w14:textId="77777777" w:rsidR="00BA275B" w:rsidRPr="00D30496" w:rsidRDefault="00BA275B" w:rsidP="00D30496">
            <w:pPr>
              <w:jc w:val="right"/>
              <w:rPr>
                <w:sz w:val="15"/>
                <w:szCs w:val="15"/>
              </w:rPr>
            </w:pPr>
            <w:r w:rsidRPr="00D30496">
              <w:rPr>
                <w:sz w:val="15"/>
                <w:szCs w:val="15"/>
              </w:rPr>
              <w:t>14.0</w:t>
            </w:r>
          </w:p>
        </w:tc>
        <w:tc>
          <w:tcPr>
            <w:tcW w:w="0" w:type="auto"/>
            <w:tcBorders>
              <w:top w:val="nil"/>
              <w:left w:val="nil"/>
              <w:bottom w:val="nil"/>
              <w:right w:val="nil"/>
            </w:tcBorders>
            <w:shd w:val="clear" w:color="auto" w:fill="auto"/>
            <w:noWrap/>
            <w:vAlign w:val="center"/>
            <w:hideMark/>
          </w:tcPr>
          <w:p w14:paraId="2FBE7D7C" w14:textId="77777777" w:rsidR="00BA275B" w:rsidRPr="00D30496" w:rsidRDefault="00BA275B" w:rsidP="00D30496">
            <w:pPr>
              <w:jc w:val="right"/>
              <w:rPr>
                <w:sz w:val="15"/>
                <w:szCs w:val="15"/>
              </w:rPr>
            </w:pPr>
            <w:r w:rsidRPr="00D30496">
              <w:rPr>
                <w:sz w:val="15"/>
                <w:szCs w:val="15"/>
              </w:rPr>
              <w:t>12.9</w:t>
            </w:r>
          </w:p>
        </w:tc>
        <w:tc>
          <w:tcPr>
            <w:tcW w:w="0" w:type="auto"/>
            <w:tcBorders>
              <w:top w:val="nil"/>
              <w:left w:val="nil"/>
              <w:bottom w:val="nil"/>
              <w:right w:val="nil"/>
            </w:tcBorders>
            <w:shd w:val="clear" w:color="auto" w:fill="auto"/>
            <w:noWrap/>
            <w:vAlign w:val="center"/>
            <w:hideMark/>
          </w:tcPr>
          <w:p w14:paraId="39E0D57D" w14:textId="77777777" w:rsidR="00BA275B" w:rsidRPr="00D30496" w:rsidRDefault="00BA275B" w:rsidP="00D30496">
            <w:pPr>
              <w:jc w:val="right"/>
              <w:rPr>
                <w:sz w:val="15"/>
                <w:szCs w:val="15"/>
              </w:rPr>
            </w:pPr>
            <w:r w:rsidRPr="00D30496">
              <w:rPr>
                <w:sz w:val="15"/>
                <w:szCs w:val="15"/>
              </w:rPr>
              <w:t>2.4</w:t>
            </w:r>
          </w:p>
        </w:tc>
        <w:tc>
          <w:tcPr>
            <w:tcW w:w="0" w:type="auto"/>
            <w:tcBorders>
              <w:top w:val="nil"/>
              <w:left w:val="nil"/>
              <w:bottom w:val="nil"/>
              <w:right w:val="nil"/>
            </w:tcBorders>
            <w:shd w:val="clear" w:color="auto" w:fill="auto"/>
            <w:noWrap/>
            <w:vAlign w:val="center"/>
            <w:hideMark/>
          </w:tcPr>
          <w:p w14:paraId="016AF547" w14:textId="77777777" w:rsidR="00BA275B" w:rsidRPr="00D30496" w:rsidRDefault="00BA275B" w:rsidP="00D30496">
            <w:pPr>
              <w:jc w:val="right"/>
              <w:rPr>
                <w:sz w:val="15"/>
                <w:szCs w:val="15"/>
              </w:rPr>
            </w:pPr>
            <w:r w:rsidRPr="00D30496">
              <w:rPr>
                <w:sz w:val="15"/>
                <w:szCs w:val="15"/>
              </w:rPr>
              <w:t>8.1</w:t>
            </w:r>
          </w:p>
        </w:tc>
        <w:tc>
          <w:tcPr>
            <w:tcW w:w="0" w:type="auto"/>
            <w:tcBorders>
              <w:top w:val="nil"/>
              <w:left w:val="nil"/>
              <w:bottom w:val="nil"/>
              <w:right w:val="nil"/>
            </w:tcBorders>
            <w:shd w:val="clear" w:color="auto" w:fill="auto"/>
            <w:noWrap/>
            <w:vAlign w:val="center"/>
            <w:hideMark/>
          </w:tcPr>
          <w:p w14:paraId="7F506899" w14:textId="77777777" w:rsidR="00BA275B" w:rsidRPr="00D30496" w:rsidRDefault="00BA275B" w:rsidP="00D30496">
            <w:pPr>
              <w:jc w:val="right"/>
              <w:rPr>
                <w:sz w:val="15"/>
                <w:szCs w:val="15"/>
              </w:rPr>
            </w:pPr>
            <w:r w:rsidRPr="00D30496">
              <w:rPr>
                <w:sz w:val="15"/>
                <w:szCs w:val="15"/>
              </w:rPr>
              <w:t>0.9</w:t>
            </w:r>
          </w:p>
        </w:tc>
        <w:tc>
          <w:tcPr>
            <w:tcW w:w="0" w:type="auto"/>
            <w:tcBorders>
              <w:top w:val="nil"/>
              <w:left w:val="nil"/>
              <w:bottom w:val="nil"/>
              <w:right w:val="nil"/>
            </w:tcBorders>
            <w:shd w:val="clear" w:color="auto" w:fill="auto"/>
            <w:noWrap/>
            <w:vAlign w:val="center"/>
            <w:hideMark/>
          </w:tcPr>
          <w:p w14:paraId="4AC9C48C" w14:textId="77777777" w:rsidR="00BA275B" w:rsidRPr="00D30496" w:rsidRDefault="00BA275B" w:rsidP="00D30496">
            <w:pPr>
              <w:jc w:val="right"/>
              <w:rPr>
                <w:sz w:val="15"/>
                <w:szCs w:val="15"/>
              </w:rPr>
            </w:pPr>
            <w:r w:rsidRPr="00D30496">
              <w:rPr>
                <w:sz w:val="15"/>
                <w:szCs w:val="15"/>
              </w:rPr>
              <w:t>209,485</w:t>
            </w:r>
          </w:p>
        </w:tc>
      </w:tr>
      <w:tr w:rsidR="006B42D6" w:rsidRPr="00D30496" w14:paraId="4FE43473" w14:textId="77777777" w:rsidTr="00D30496">
        <w:trPr>
          <w:trHeight w:val="272"/>
        </w:trPr>
        <w:tc>
          <w:tcPr>
            <w:tcW w:w="0" w:type="auto"/>
            <w:tcBorders>
              <w:top w:val="nil"/>
              <w:left w:val="nil"/>
              <w:bottom w:val="nil"/>
              <w:right w:val="nil"/>
            </w:tcBorders>
            <w:shd w:val="clear" w:color="auto" w:fill="auto"/>
            <w:noWrap/>
            <w:vAlign w:val="center"/>
            <w:hideMark/>
          </w:tcPr>
          <w:p w14:paraId="654AD53C" w14:textId="77777777" w:rsidR="00BA275B" w:rsidRPr="00D30496" w:rsidRDefault="00BA275B" w:rsidP="00383AA6">
            <w:pPr>
              <w:rPr>
                <w:sz w:val="15"/>
                <w:szCs w:val="15"/>
              </w:rPr>
            </w:pPr>
            <w:r w:rsidRPr="00D30496">
              <w:rPr>
                <w:sz w:val="15"/>
                <w:szCs w:val="15"/>
              </w:rPr>
              <w:t>Mbeya</w:t>
            </w:r>
          </w:p>
        </w:tc>
        <w:tc>
          <w:tcPr>
            <w:tcW w:w="0" w:type="auto"/>
            <w:tcBorders>
              <w:top w:val="nil"/>
              <w:left w:val="nil"/>
              <w:bottom w:val="nil"/>
              <w:right w:val="nil"/>
            </w:tcBorders>
            <w:shd w:val="clear" w:color="auto" w:fill="auto"/>
            <w:noWrap/>
            <w:vAlign w:val="center"/>
            <w:hideMark/>
          </w:tcPr>
          <w:p w14:paraId="02E33BA3" w14:textId="77777777" w:rsidR="00BA275B" w:rsidRPr="00D30496" w:rsidRDefault="00BA275B" w:rsidP="00D30496">
            <w:pPr>
              <w:jc w:val="right"/>
              <w:rPr>
                <w:sz w:val="15"/>
                <w:szCs w:val="15"/>
              </w:rPr>
            </w:pPr>
            <w:r w:rsidRPr="00D30496">
              <w:rPr>
                <w:sz w:val="15"/>
                <w:szCs w:val="15"/>
              </w:rPr>
              <w:t>83.4</w:t>
            </w:r>
          </w:p>
        </w:tc>
        <w:tc>
          <w:tcPr>
            <w:tcW w:w="0" w:type="auto"/>
            <w:tcBorders>
              <w:top w:val="nil"/>
              <w:left w:val="nil"/>
              <w:bottom w:val="nil"/>
              <w:right w:val="nil"/>
            </w:tcBorders>
            <w:shd w:val="clear" w:color="auto" w:fill="auto"/>
            <w:noWrap/>
            <w:vAlign w:val="center"/>
            <w:hideMark/>
          </w:tcPr>
          <w:p w14:paraId="627391B6" w14:textId="77777777" w:rsidR="00BA275B" w:rsidRPr="00D30496" w:rsidRDefault="00BA275B" w:rsidP="00D30496">
            <w:pPr>
              <w:jc w:val="right"/>
              <w:rPr>
                <w:sz w:val="15"/>
                <w:szCs w:val="15"/>
              </w:rPr>
            </w:pPr>
            <w:r w:rsidRPr="00D30496">
              <w:rPr>
                <w:sz w:val="15"/>
                <w:szCs w:val="15"/>
              </w:rPr>
              <w:t>95.6</w:t>
            </w:r>
          </w:p>
        </w:tc>
        <w:tc>
          <w:tcPr>
            <w:tcW w:w="0" w:type="auto"/>
            <w:tcBorders>
              <w:top w:val="nil"/>
              <w:left w:val="nil"/>
              <w:bottom w:val="nil"/>
              <w:right w:val="nil"/>
            </w:tcBorders>
            <w:shd w:val="clear" w:color="auto" w:fill="auto"/>
            <w:noWrap/>
            <w:vAlign w:val="center"/>
            <w:hideMark/>
          </w:tcPr>
          <w:p w14:paraId="06A9E77D" w14:textId="77777777" w:rsidR="00BA275B" w:rsidRPr="00D30496" w:rsidRDefault="00BA275B" w:rsidP="00D30496">
            <w:pPr>
              <w:jc w:val="right"/>
              <w:rPr>
                <w:sz w:val="15"/>
                <w:szCs w:val="15"/>
              </w:rPr>
            </w:pPr>
            <w:r w:rsidRPr="00D30496">
              <w:rPr>
                <w:sz w:val="15"/>
                <w:szCs w:val="15"/>
              </w:rPr>
              <w:t>28.0</w:t>
            </w:r>
          </w:p>
        </w:tc>
        <w:tc>
          <w:tcPr>
            <w:tcW w:w="0" w:type="auto"/>
            <w:tcBorders>
              <w:top w:val="nil"/>
              <w:left w:val="nil"/>
              <w:bottom w:val="nil"/>
              <w:right w:val="nil"/>
            </w:tcBorders>
            <w:shd w:val="clear" w:color="auto" w:fill="auto"/>
            <w:noWrap/>
            <w:vAlign w:val="center"/>
            <w:hideMark/>
          </w:tcPr>
          <w:p w14:paraId="3F224DE6" w14:textId="77777777" w:rsidR="00BA275B" w:rsidRPr="00D30496" w:rsidRDefault="00BA275B" w:rsidP="00D30496">
            <w:pPr>
              <w:jc w:val="right"/>
              <w:rPr>
                <w:sz w:val="15"/>
                <w:szCs w:val="15"/>
              </w:rPr>
            </w:pPr>
            <w:r w:rsidRPr="00D30496">
              <w:rPr>
                <w:sz w:val="15"/>
                <w:szCs w:val="15"/>
              </w:rPr>
              <w:t>26.8</w:t>
            </w:r>
          </w:p>
        </w:tc>
        <w:tc>
          <w:tcPr>
            <w:tcW w:w="0" w:type="auto"/>
            <w:tcBorders>
              <w:top w:val="nil"/>
              <w:left w:val="nil"/>
              <w:bottom w:val="nil"/>
              <w:right w:val="nil"/>
            </w:tcBorders>
            <w:shd w:val="clear" w:color="auto" w:fill="auto"/>
            <w:noWrap/>
            <w:vAlign w:val="center"/>
            <w:hideMark/>
          </w:tcPr>
          <w:p w14:paraId="22133FD5" w14:textId="77777777" w:rsidR="00BA275B" w:rsidRPr="00D30496" w:rsidRDefault="00BA275B" w:rsidP="00D30496">
            <w:pPr>
              <w:jc w:val="right"/>
              <w:rPr>
                <w:sz w:val="15"/>
                <w:szCs w:val="15"/>
              </w:rPr>
            </w:pPr>
            <w:r w:rsidRPr="00D30496">
              <w:rPr>
                <w:sz w:val="15"/>
                <w:szCs w:val="15"/>
              </w:rPr>
              <w:t>1.2</w:t>
            </w:r>
          </w:p>
        </w:tc>
        <w:tc>
          <w:tcPr>
            <w:tcW w:w="0" w:type="auto"/>
            <w:tcBorders>
              <w:top w:val="nil"/>
              <w:left w:val="nil"/>
              <w:bottom w:val="nil"/>
              <w:right w:val="nil"/>
            </w:tcBorders>
            <w:shd w:val="clear" w:color="auto" w:fill="auto"/>
            <w:noWrap/>
            <w:vAlign w:val="center"/>
            <w:hideMark/>
          </w:tcPr>
          <w:p w14:paraId="57848899" w14:textId="77777777" w:rsidR="00BA275B" w:rsidRPr="00D30496" w:rsidRDefault="00BA275B" w:rsidP="00D30496">
            <w:pPr>
              <w:jc w:val="right"/>
              <w:rPr>
                <w:sz w:val="15"/>
                <w:szCs w:val="15"/>
              </w:rPr>
            </w:pPr>
            <w:r w:rsidRPr="00D30496">
              <w:rPr>
                <w:sz w:val="15"/>
                <w:szCs w:val="15"/>
              </w:rPr>
              <w:t>1.2</w:t>
            </w:r>
          </w:p>
        </w:tc>
        <w:tc>
          <w:tcPr>
            <w:tcW w:w="0" w:type="auto"/>
            <w:tcBorders>
              <w:top w:val="nil"/>
              <w:left w:val="nil"/>
              <w:bottom w:val="nil"/>
              <w:right w:val="nil"/>
            </w:tcBorders>
            <w:shd w:val="clear" w:color="auto" w:fill="auto"/>
            <w:noWrap/>
            <w:vAlign w:val="center"/>
            <w:hideMark/>
          </w:tcPr>
          <w:p w14:paraId="12793498" w14:textId="77777777" w:rsidR="00BA275B" w:rsidRPr="00D30496" w:rsidRDefault="00BA275B" w:rsidP="00D30496">
            <w:pPr>
              <w:jc w:val="right"/>
              <w:rPr>
                <w:sz w:val="15"/>
                <w:szCs w:val="15"/>
              </w:rPr>
            </w:pPr>
            <w:r w:rsidRPr="00D30496">
              <w:rPr>
                <w:sz w:val="15"/>
                <w:szCs w:val="15"/>
              </w:rPr>
              <w:t>3.0</w:t>
            </w:r>
          </w:p>
        </w:tc>
        <w:tc>
          <w:tcPr>
            <w:tcW w:w="0" w:type="auto"/>
            <w:tcBorders>
              <w:top w:val="nil"/>
              <w:left w:val="nil"/>
              <w:bottom w:val="nil"/>
              <w:right w:val="nil"/>
            </w:tcBorders>
            <w:shd w:val="clear" w:color="auto" w:fill="auto"/>
            <w:noWrap/>
            <w:vAlign w:val="center"/>
            <w:hideMark/>
          </w:tcPr>
          <w:p w14:paraId="4EE36AFB" w14:textId="77777777" w:rsidR="00BA275B" w:rsidRPr="00D30496" w:rsidRDefault="00BA275B" w:rsidP="00D30496">
            <w:pPr>
              <w:jc w:val="right"/>
              <w:rPr>
                <w:sz w:val="15"/>
                <w:szCs w:val="15"/>
              </w:rPr>
            </w:pPr>
            <w:r w:rsidRPr="00D30496">
              <w:rPr>
                <w:sz w:val="15"/>
                <w:szCs w:val="15"/>
              </w:rPr>
              <w:t>3.1</w:t>
            </w:r>
          </w:p>
        </w:tc>
        <w:tc>
          <w:tcPr>
            <w:tcW w:w="0" w:type="auto"/>
            <w:tcBorders>
              <w:top w:val="nil"/>
              <w:left w:val="nil"/>
              <w:bottom w:val="nil"/>
              <w:right w:val="nil"/>
            </w:tcBorders>
            <w:shd w:val="clear" w:color="auto" w:fill="auto"/>
            <w:noWrap/>
            <w:vAlign w:val="center"/>
            <w:hideMark/>
          </w:tcPr>
          <w:p w14:paraId="058C0F21" w14:textId="77777777" w:rsidR="00BA275B" w:rsidRPr="00D30496" w:rsidRDefault="00BA275B" w:rsidP="00D30496">
            <w:pPr>
              <w:jc w:val="right"/>
              <w:rPr>
                <w:sz w:val="15"/>
                <w:szCs w:val="15"/>
              </w:rPr>
            </w:pPr>
            <w:r w:rsidRPr="00D30496">
              <w:rPr>
                <w:sz w:val="15"/>
                <w:szCs w:val="15"/>
              </w:rPr>
              <w:t>5.2</w:t>
            </w:r>
          </w:p>
        </w:tc>
        <w:tc>
          <w:tcPr>
            <w:tcW w:w="0" w:type="auto"/>
            <w:tcBorders>
              <w:top w:val="nil"/>
              <w:left w:val="nil"/>
              <w:bottom w:val="nil"/>
              <w:right w:val="nil"/>
            </w:tcBorders>
            <w:shd w:val="clear" w:color="auto" w:fill="auto"/>
            <w:noWrap/>
            <w:vAlign w:val="center"/>
            <w:hideMark/>
          </w:tcPr>
          <w:p w14:paraId="692D26B3" w14:textId="77777777" w:rsidR="00BA275B" w:rsidRPr="00D30496" w:rsidRDefault="00BA275B" w:rsidP="00D30496">
            <w:pPr>
              <w:jc w:val="right"/>
              <w:rPr>
                <w:sz w:val="15"/>
                <w:szCs w:val="15"/>
              </w:rPr>
            </w:pPr>
            <w:r w:rsidRPr="00D30496">
              <w:rPr>
                <w:sz w:val="15"/>
                <w:szCs w:val="15"/>
              </w:rPr>
              <w:t>9.7</w:t>
            </w:r>
          </w:p>
        </w:tc>
        <w:tc>
          <w:tcPr>
            <w:tcW w:w="0" w:type="auto"/>
            <w:tcBorders>
              <w:top w:val="nil"/>
              <w:left w:val="nil"/>
              <w:bottom w:val="nil"/>
              <w:right w:val="nil"/>
            </w:tcBorders>
            <w:shd w:val="clear" w:color="auto" w:fill="auto"/>
            <w:noWrap/>
            <w:vAlign w:val="center"/>
            <w:hideMark/>
          </w:tcPr>
          <w:p w14:paraId="04328656" w14:textId="77777777" w:rsidR="00BA275B" w:rsidRPr="00D30496" w:rsidRDefault="00BA275B" w:rsidP="00D30496">
            <w:pPr>
              <w:jc w:val="right"/>
              <w:rPr>
                <w:sz w:val="15"/>
                <w:szCs w:val="15"/>
              </w:rPr>
            </w:pPr>
            <w:r w:rsidRPr="00D30496">
              <w:rPr>
                <w:sz w:val="15"/>
                <w:szCs w:val="15"/>
              </w:rPr>
              <w:t>1.0</w:t>
            </w:r>
          </w:p>
        </w:tc>
        <w:tc>
          <w:tcPr>
            <w:tcW w:w="0" w:type="auto"/>
            <w:tcBorders>
              <w:top w:val="nil"/>
              <w:left w:val="nil"/>
              <w:bottom w:val="nil"/>
              <w:right w:val="nil"/>
            </w:tcBorders>
            <w:shd w:val="clear" w:color="auto" w:fill="auto"/>
            <w:noWrap/>
            <w:vAlign w:val="center"/>
            <w:hideMark/>
          </w:tcPr>
          <w:p w14:paraId="21583489" w14:textId="77777777" w:rsidR="00BA275B" w:rsidRPr="00D30496" w:rsidRDefault="00BA275B" w:rsidP="00D30496">
            <w:pPr>
              <w:jc w:val="right"/>
              <w:rPr>
                <w:sz w:val="15"/>
                <w:szCs w:val="15"/>
              </w:rPr>
            </w:pPr>
            <w:r w:rsidRPr="00D30496">
              <w:rPr>
                <w:sz w:val="15"/>
                <w:szCs w:val="15"/>
              </w:rPr>
              <w:t>380,639</w:t>
            </w:r>
          </w:p>
        </w:tc>
      </w:tr>
      <w:tr w:rsidR="006B42D6" w:rsidRPr="00D30496" w14:paraId="21DD2F59" w14:textId="77777777" w:rsidTr="00D30496">
        <w:trPr>
          <w:trHeight w:val="272"/>
        </w:trPr>
        <w:tc>
          <w:tcPr>
            <w:tcW w:w="0" w:type="auto"/>
            <w:tcBorders>
              <w:top w:val="nil"/>
              <w:left w:val="nil"/>
              <w:bottom w:val="nil"/>
              <w:right w:val="nil"/>
            </w:tcBorders>
            <w:shd w:val="clear" w:color="auto" w:fill="auto"/>
            <w:noWrap/>
            <w:vAlign w:val="center"/>
            <w:hideMark/>
          </w:tcPr>
          <w:p w14:paraId="00BD00F7" w14:textId="77777777" w:rsidR="00BA275B" w:rsidRPr="00D30496" w:rsidRDefault="00BA275B" w:rsidP="00383AA6">
            <w:pPr>
              <w:rPr>
                <w:sz w:val="15"/>
                <w:szCs w:val="15"/>
              </w:rPr>
            </w:pPr>
            <w:r w:rsidRPr="00D30496">
              <w:rPr>
                <w:sz w:val="15"/>
                <w:szCs w:val="15"/>
              </w:rPr>
              <w:t>Singida</w:t>
            </w:r>
          </w:p>
        </w:tc>
        <w:tc>
          <w:tcPr>
            <w:tcW w:w="0" w:type="auto"/>
            <w:tcBorders>
              <w:top w:val="nil"/>
              <w:left w:val="nil"/>
              <w:bottom w:val="nil"/>
              <w:right w:val="nil"/>
            </w:tcBorders>
            <w:shd w:val="clear" w:color="auto" w:fill="auto"/>
            <w:noWrap/>
            <w:vAlign w:val="center"/>
            <w:hideMark/>
          </w:tcPr>
          <w:p w14:paraId="6DDAA765" w14:textId="77777777" w:rsidR="00BA275B" w:rsidRPr="00D30496" w:rsidRDefault="00BA275B" w:rsidP="00D30496">
            <w:pPr>
              <w:jc w:val="right"/>
              <w:rPr>
                <w:sz w:val="15"/>
                <w:szCs w:val="15"/>
              </w:rPr>
            </w:pPr>
            <w:r w:rsidRPr="00D30496">
              <w:rPr>
                <w:sz w:val="15"/>
                <w:szCs w:val="15"/>
              </w:rPr>
              <w:t>89.5</w:t>
            </w:r>
          </w:p>
        </w:tc>
        <w:tc>
          <w:tcPr>
            <w:tcW w:w="0" w:type="auto"/>
            <w:tcBorders>
              <w:top w:val="nil"/>
              <w:left w:val="nil"/>
              <w:bottom w:val="nil"/>
              <w:right w:val="nil"/>
            </w:tcBorders>
            <w:shd w:val="clear" w:color="auto" w:fill="auto"/>
            <w:noWrap/>
            <w:vAlign w:val="center"/>
            <w:hideMark/>
          </w:tcPr>
          <w:p w14:paraId="7854B936" w14:textId="77777777" w:rsidR="00BA275B" w:rsidRPr="00D30496" w:rsidRDefault="00BA275B" w:rsidP="00D30496">
            <w:pPr>
              <w:jc w:val="right"/>
              <w:rPr>
                <w:sz w:val="15"/>
                <w:szCs w:val="15"/>
              </w:rPr>
            </w:pPr>
            <w:r w:rsidRPr="00D30496">
              <w:rPr>
                <w:sz w:val="15"/>
                <w:szCs w:val="15"/>
              </w:rPr>
              <w:t>98.2</w:t>
            </w:r>
          </w:p>
        </w:tc>
        <w:tc>
          <w:tcPr>
            <w:tcW w:w="0" w:type="auto"/>
            <w:tcBorders>
              <w:top w:val="nil"/>
              <w:left w:val="nil"/>
              <w:bottom w:val="nil"/>
              <w:right w:val="nil"/>
            </w:tcBorders>
            <w:shd w:val="clear" w:color="auto" w:fill="auto"/>
            <w:noWrap/>
            <w:vAlign w:val="center"/>
            <w:hideMark/>
          </w:tcPr>
          <w:p w14:paraId="65524B2B" w14:textId="77777777" w:rsidR="00BA275B" w:rsidRPr="00D30496" w:rsidRDefault="00BA275B" w:rsidP="00D30496">
            <w:pPr>
              <w:jc w:val="right"/>
              <w:rPr>
                <w:sz w:val="15"/>
                <w:szCs w:val="15"/>
              </w:rPr>
            </w:pPr>
            <w:r w:rsidRPr="00D30496">
              <w:rPr>
                <w:sz w:val="15"/>
                <w:szCs w:val="15"/>
              </w:rPr>
              <w:t>69.2</w:t>
            </w:r>
          </w:p>
        </w:tc>
        <w:tc>
          <w:tcPr>
            <w:tcW w:w="0" w:type="auto"/>
            <w:tcBorders>
              <w:top w:val="nil"/>
              <w:left w:val="nil"/>
              <w:bottom w:val="nil"/>
              <w:right w:val="nil"/>
            </w:tcBorders>
            <w:shd w:val="clear" w:color="auto" w:fill="auto"/>
            <w:noWrap/>
            <w:vAlign w:val="center"/>
            <w:hideMark/>
          </w:tcPr>
          <w:p w14:paraId="211AA8E2" w14:textId="77777777" w:rsidR="00BA275B" w:rsidRPr="00D30496" w:rsidRDefault="00BA275B" w:rsidP="00D30496">
            <w:pPr>
              <w:jc w:val="right"/>
              <w:rPr>
                <w:sz w:val="15"/>
                <w:szCs w:val="15"/>
              </w:rPr>
            </w:pPr>
            <w:r w:rsidRPr="00D30496">
              <w:rPr>
                <w:sz w:val="15"/>
                <w:szCs w:val="15"/>
              </w:rPr>
              <w:t>62.8</w:t>
            </w:r>
          </w:p>
        </w:tc>
        <w:tc>
          <w:tcPr>
            <w:tcW w:w="0" w:type="auto"/>
            <w:tcBorders>
              <w:top w:val="nil"/>
              <w:left w:val="nil"/>
              <w:bottom w:val="nil"/>
              <w:right w:val="nil"/>
            </w:tcBorders>
            <w:shd w:val="clear" w:color="auto" w:fill="auto"/>
            <w:noWrap/>
            <w:vAlign w:val="center"/>
            <w:hideMark/>
          </w:tcPr>
          <w:p w14:paraId="16CDAE09" w14:textId="77777777" w:rsidR="00BA275B" w:rsidRPr="00D30496" w:rsidRDefault="00BA275B" w:rsidP="00D30496">
            <w:pPr>
              <w:jc w:val="right"/>
              <w:rPr>
                <w:sz w:val="15"/>
                <w:szCs w:val="15"/>
              </w:rPr>
            </w:pPr>
            <w:r w:rsidRPr="00D30496">
              <w:rPr>
                <w:sz w:val="15"/>
                <w:szCs w:val="15"/>
              </w:rPr>
              <w:t>0.1</w:t>
            </w:r>
          </w:p>
        </w:tc>
        <w:tc>
          <w:tcPr>
            <w:tcW w:w="0" w:type="auto"/>
            <w:tcBorders>
              <w:top w:val="nil"/>
              <w:left w:val="nil"/>
              <w:bottom w:val="nil"/>
              <w:right w:val="nil"/>
            </w:tcBorders>
            <w:shd w:val="clear" w:color="auto" w:fill="auto"/>
            <w:noWrap/>
            <w:vAlign w:val="center"/>
            <w:hideMark/>
          </w:tcPr>
          <w:p w14:paraId="6B9A5121" w14:textId="77777777" w:rsidR="00BA275B" w:rsidRPr="00D30496" w:rsidRDefault="00BA275B" w:rsidP="00D30496">
            <w:pPr>
              <w:jc w:val="right"/>
              <w:rPr>
                <w:sz w:val="15"/>
                <w:szCs w:val="15"/>
              </w:rPr>
            </w:pPr>
            <w:r w:rsidRPr="00D30496">
              <w:rPr>
                <w:sz w:val="15"/>
                <w:szCs w:val="15"/>
              </w:rPr>
              <w:t>24.3</w:t>
            </w:r>
          </w:p>
        </w:tc>
        <w:tc>
          <w:tcPr>
            <w:tcW w:w="0" w:type="auto"/>
            <w:tcBorders>
              <w:top w:val="nil"/>
              <w:left w:val="nil"/>
              <w:bottom w:val="nil"/>
              <w:right w:val="nil"/>
            </w:tcBorders>
            <w:shd w:val="clear" w:color="auto" w:fill="auto"/>
            <w:noWrap/>
            <w:vAlign w:val="center"/>
            <w:hideMark/>
          </w:tcPr>
          <w:p w14:paraId="1A27523B" w14:textId="77777777" w:rsidR="00BA275B" w:rsidRPr="00D30496" w:rsidRDefault="00BA275B" w:rsidP="00D30496">
            <w:pPr>
              <w:jc w:val="right"/>
              <w:rPr>
                <w:sz w:val="15"/>
                <w:szCs w:val="15"/>
              </w:rPr>
            </w:pPr>
            <w:r w:rsidRPr="00D30496">
              <w:rPr>
                <w:sz w:val="15"/>
                <w:szCs w:val="15"/>
              </w:rPr>
              <w:t>4.5</w:t>
            </w:r>
          </w:p>
        </w:tc>
        <w:tc>
          <w:tcPr>
            <w:tcW w:w="0" w:type="auto"/>
            <w:tcBorders>
              <w:top w:val="nil"/>
              <w:left w:val="nil"/>
              <w:bottom w:val="nil"/>
              <w:right w:val="nil"/>
            </w:tcBorders>
            <w:shd w:val="clear" w:color="auto" w:fill="auto"/>
            <w:noWrap/>
            <w:vAlign w:val="center"/>
            <w:hideMark/>
          </w:tcPr>
          <w:p w14:paraId="718A62FE" w14:textId="77777777" w:rsidR="00BA275B" w:rsidRPr="00D30496" w:rsidRDefault="00BA275B" w:rsidP="00D30496">
            <w:pPr>
              <w:jc w:val="right"/>
              <w:rPr>
                <w:sz w:val="15"/>
                <w:szCs w:val="15"/>
              </w:rPr>
            </w:pPr>
            <w:r w:rsidRPr="00D30496">
              <w:rPr>
                <w:sz w:val="15"/>
                <w:szCs w:val="15"/>
              </w:rPr>
              <w:t>2.4</w:t>
            </w:r>
          </w:p>
        </w:tc>
        <w:tc>
          <w:tcPr>
            <w:tcW w:w="0" w:type="auto"/>
            <w:tcBorders>
              <w:top w:val="nil"/>
              <w:left w:val="nil"/>
              <w:bottom w:val="nil"/>
              <w:right w:val="nil"/>
            </w:tcBorders>
            <w:shd w:val="clear" w:color="auto" w:fill="auto"/>
            <w:noWrap/>
            <w:vAlign w:val="center"/>
            <w:hideMark/>
          </w:tcPr>
          <w:p w14:paraId="6504A800" w14:textId="77777777" w:rsidR="00BA275B" w:rsidRPr="00D30496" w:rsidRDefault="00BA275B" w:rsidP="00D30496">
            <w:pPr>
              <w:jc w:val="right"/>
              <w:rPr>
                <w:sz w:val="15"/>
                <w:szCs w:val="15"/>
              </w:rPr>
            </w:pPr>
            <w:r w:rsidRPr="00D30496">
              <w:rPr>
                <w:sz w:val="15"/>
                <w:szCs w:val="15"/>
              </w:rPr>
              <w:t>1.0</w:t>
            </w:r>
          </w:p>
        </w:tc>
        <w:tc>
          <w:tcPr>
            <w:tcW w:w="0" w:type="auto"/>
            <w:tcBorders>
              <w:top w:val="nil"/>
              <w:left w:val="nil"/>
              <w:bottom w:val="nil"/>
              <w:right w:val="nil"/>
            </w:tcBorders>
            <w:shd w:val="clear" w:color="auto" w:fill="auto"/>
            <w:noWrap/>
            <w:vAlign w:val="center"/>
            <w:hideMark/>
          </w:tcPr>
          <w:p w14:paraId="7EAE0068" w14:textId="77777777" w:rsidR="00BA275B" w:rsidRPr="00D30496" w:rsidRDefault="00BA275B" w:rsidP="00D30496">
            <w:pPr>
              <w:jc w:val="right"/>
              <w:rPr>
                <w:sz w:val="15"/>
                <w:szCs w:val="15"/>
              </w:rPr>
            </w:pPr>
            <w:r w:rsidRPr="00D30496">
              <w:rPr>
                <w:sz w:val="15"/>
                <w:szCs w:val="15"/>
              </w:rPr>
              <w:t>0.2</w:t>
            </w:r>
          </w:p>
        </w:tc>
        <w:tc>
          <w:tcPr>
            <w:tcW w:w="0" w:type="auto"/>
            <w:tcBorders>
              <w:top w:val="nil"/>
              <w:left w:val="nil"/>
              <w:bottom w:val="nil"/>
              <w:right w:val="nil"/>
            </w:tcBorders>
            <w:shd w:val="clear" w:color="auto" w:fill="auto"/>
            <w:noWrap/>
            <w:vAlign w:val="center"/>
            <w:hideMark/>
          </w:tcPr>
          <w:p w14:paraId="74529202" w14:textId="77777777" w:rsidR="00BA275B" w:rsidRPr="00D30496" w:rsidRDefault="00BA275B" w:rsidP="00D30496">
            <w:pPr>
              <w:jc w:val="right"/>
              <w:rPr>
                <w:sz w:val="15"/>
                <w:szCs w:val="15"/>
              </w:rPr>
            </w:pPr>
            <w:r w:rsidRPr="00D30496">
              <w:rPr>
                <w:sz w:val="15"/>
                <w:szCs w:val="15"/>
              </w:rPr>
              <w:t>1.1</w:t>
            </w:r>
          </w:p>
        </w:tc>
        <w:tc>
          <w:tcPr>
            <w:tcW w:w="0" w:type="auto"/>
            <w:tcBorders>
              <w:top w:val="nil"/>
              <w:left w:val="nil"/>
              <w:bottom w:val="nil"/>
              <w:right w:val="nil"/>
            </w:tcBorders>
            <w:shd w:val="clear" w:color="auto" w:fill="auto"/>
            <w:noWrap/>
            <w:vAlign w:val="center"/>
            <w:hideMark/>
          </w:tcPr>
          <w:p w14:paraId="1EB85D3A" w14:textId="77777777" w:rsidR="00BA275B" w:rsidRPr="00D30496" w:rsidRDefault="00BA275B" w:rsidP="00D30496">
            <w:pPr>
              <w:jc w:val="right"/>
              <w:rPr>
                <w:sz w:val="15"/>
                <w:szCs w:val="15"/>
              </w:rPr>
            </w:pPr>
            <w:r w:rsidRPr="00D30496">
              <w:rPr>
                <w:sz w:val="15"/>
                <w:szCs w:val="15"/>
              </w:rPr>
              <w:t>272,662</w:t>
            </w:r>
          </w:p>
        </w:tc>
      </w:tr>
      <w:tr w:rsidR="006B42D6" w:rsidRPr="00D30496" w14:paraId="0FF9A36B" w14:textId="77777777" w:rsidTr="00D30496">
        <w:trPr>
          <w:trHeight w:val="272"/>
        </w:trPr>
        <w:tc>
          <w:tcPr>
            <w:tcW w:w="0" w:type="auto"/>
            <w:tcBorders>
              <w:top w:val="nil"/>
              <w:left w:val="nil"/>
              <w:bottom w:val="nil"/>
              <w:right w:val="nil"/>
            </w:tcBorders>
            <w:shd w:val="clear" w:color="auto" w:fill="auto"/>
            <w:noWrap/>
            <w:vAlign w:val="center"/>
            <w:hideMark/>
          </w:tcPr>
          <w:p w14:paraId="3D6E226E" w14:textId="77777777" w:rsidR="00BA275B" w:rsidRPr="00D30496" w:rsidRDefault="00BA275B" w:rsidP="00383AA6">
            <w:pPr>
              <w:rPr>
                <w:sz w:val="15"/>
                <w:szCs w:val="15"/>
              </w:rPr>
            </w:pPr>
            <w:r w:rsidRPr="00D30496">
              <w:rPr>
                <w:sz w:val="15"/>
                <w:szCs w:val="15"/>
              </w:rPr>
              <w:t>Tabora</w:t>
            </w:r>
          </w:p>
        </w:tc>
        <w:tc>
          <w:tcPr>
            <w:tcW w:w="0" w:type="auto"/>
            <w:tcBorders>
              <w:top w:val="nil"/>
              <w:left w:val="nil"/>
              <w:bottom w:val="nil"/>
              <w:right w:val="nil"/>
            </w:tcBorders>
            <w:shd w:val="clear" w:color="auto" w:fill="auto"/>
            <w:noWrap/>
            <w:vAlign w:val="center"/>
            <w:hideMark/>
          </w:tcPr>
          <w:p w14:paraId="452B992C" w14:textId="77777777" w:rsidR="00BA275B" w:rsidRPr="00D30496" w:rsidRDefault="00BA275B" w:rsidP="00D30496">
            <w:pPr>
              <w:jc w:val="right"/>
              <w:rPr>
                <w:sz w:val="15"/>
                <w:szCs w:val="15"/>
              </w:rPr>
            </w:pPr>
            <w:r w:rsidRPr="00D30496">
              <w:rPr>
                <w:sz w:val="15"/>
                <w:szCs w:val="15"/>
              </w:rPr>
              <w:t>88.1</w:t>
            </w:r>
          </w:p>
        </w:tc>
        <w:tc>
          <w:tcPr>
            <w:tcW w:w="0" w:type="auto"/>
            <w:tcBorders>
              <w:top w:val="nil"/>
              <w:left w:val="nil"/>
              <w:bottom w:val="nil"/>
              <w:right w:val="nil"/>
            </w:tcBorders>
            <w:shd w:val="clear" w:color="auto" w:fill="auto"/>
            <w:noWrap/>
            <w:vAlign w:val="center"/>
            <w:hideMark/>
          </w:tcPr>
          <w:p w14:paraId="34A00434" w14:textId="77777777" w:rsidR="00BA275B" w:rsidRPr="00D30496" w:rsidRDefault="00BA275B" w:rsidP="00D30496">
            <w:pPr>
              <w:jc w:val="right"/>
              <w:rPr>
                <w:sz w:val="15"/>
                <w:szCs w:val="15"/>
              </w:rPr>
            </w:pPr>
            <w:r w:rsidRPr="00D30496">
              <w:rPr>
                <w:sz w:val="15"/>
                <w:szCs w:val="15"/>
              </w:rPr>
              <w:t>97.6</w:t>
            </w:r>
          </w:p>
        </w:tc>
        <w:tc>
          <w:tcPr>
            <w:tcW w:w="0" w:type="auto"/>
            <w:tcBorders>
              <w:top w:val="nil"/>
              <w:left w:val="nil"/>
              <w:bottom w:val="nil"/>
              <w:right w:val="nil"/>
            </w:tcBorders>
            <w:shd w:val="clear" w:color="auto" w:fill="auto"/>
            <w:noWrap/>
            <w:vAlign w:val="center"/>
            <w:hideMark/>
          </w:tcPr>
          <w:p w14:paraId="79CE02D9" w14:textId="77777777" w:rsidR="00BA275B" w:rsidRPr="00D30496" w:rsidRDefault="00BA275B" w:rsidP="00D30496">
            <w:pPr>
              <w:jc w:val="right"/>
              <w:rPr>
                <w:sz w:val="15"/>
                <w:szCs w:val="15"/>
              </w:rPr>
            </w:pPr>
            <w:r w:rsidRPr="00D30496">
              <w:rPr>
                <w:sz w:val="15"/>
                <w:szCs w:val="15"/>
              </w:rPr>
              <w:t>56.8</w:t>
            </w:r>
          </w:p>
        </w:tc>
        <w:tc>
          <w:tcPr>
            <w:tcW w:w="0" w:type="auto"/>
            <w:tcBorders>
              <w:top w:val="nil"/>
              <w:left w:val="nil"/>
              <w:bottom w:val="nil"/>
              <w:right w:val="nil"/>
            </w:tcBorders>
            <w:shd w:val="clear" w:color="auto" w:fill="auto"/>
            <w:noWrap/>
            <w:vAlign w:val="center"/>
            <w:hideMark/>
          </w:tcPr>
          <w:p w14:paraId="6F50355E" w14:textId="77777777" w:rsidR="00BA275B" w:rsidRPr="00D30496" w:rsidRDefault="00BA275B" w:rsidP="00D30496">
            <w:pPr>
              <w:jc w:val="right"/>
              <w:rPr>
                <w:sz w:val="15"/>
                <w:szCs w:val="15"/>
              </w:rPr>
            </w:pPr>
            <w:r w:rsidRPr="00D30496">
              <w:rPr>
                <w:sz w:val="15"/>
                <w:szCs w:val="15"/>
              </w:rPr>
              <w:t>57.6</w:t>
            </w:r>
          </w:p>
        </w:tc>
        <w:tc>
          <w:tcPr>
            <w:tcW w:w="0" w:type="auto"/>
            <w:tcBorders>
              <w:top w:val="nil"/>
              <w:left w:val="nil"/>
              <w:bottom w:val="nil"/>
              <w:right w:val="nil"/>
            </w:tcBorders>
            <w:shd w:val="clear" w:color="auto" w:fill="auto"/>
            <w:noWrap/>
            <w:vAlign w:val="center"/>
            <w:hideMark/>
          </w:tcPr>
          <w:p w14:paraId="731C3EC5" w14:textId="77777777" w:rsidR="00BA275B" w:rsidRPr="00D30496" w:rsidRDefault="00BA275B" w:rsidP="00D30496">
            <w:pPr>
              <w:jc w:val="right"/>
              <w:rPr>
                <w:sz w:val="15"/>
                <w:szCs w:val="15"/>
              </w:rPr>
            </w:pPr>
            <w:r w:rsidRPr="00D30496">
              <w:rPr>
                <w:sz w:val="15"/>
                <w:szCs w:val="15"/>
              </w:rPr>
              <w:t>0.1</w:t>
            </w:r>
          </w:p>
        </w:tc>
        <w:tc>
          <w:tcPr>
            <w:tcW w:w="0" w:type="auto"/>
            <w:tcBorders>
              <w:top w:val="nil"/>
              <w:left w:val="nil"/>
              <w:bottom w:val="nil"/>
              <w:right w:val="nil"/>
            </w:tcBorders>
            <w:shd w:val="clear" w:color="auto" w:fill="auto"/>
            <w:noWrap/>
            <w:vAlign w:val="center"/>
            <w:hideMark/>
          </w:tcPr>
          <w:p w14:paraId="1DA113DD" w14:textId="77777777" w:rsidR="00BA275B" w:rsidRPr="00D30496" w:rsidRDefault="00BA275B" w:rsidP="00D30496">
            <w:pPr>
              <w:jc w:val="right"/>
              <w:rPr>
                <w:sz w:val="15"/>
                <w:szCs w:val="15"/>
              </w:rPr>
            </w:pPr>
            <w:r w:rsidRPr="00D30496">
              <w:rPr>
                <w:sz w:val="15"/>
                <w:szCs w:val="15"/>
              </w:rPr>
              <w:t>24.8</w:t>
            </w:r>
          </w:p>
        </w:tc>
        <w:tc>
          <w:tcPr>
            <w:tcW w:w="0" w:type="auto"/>
            <w:tcBorders>
              <w:top w:val="nil"/>
              <w:left w:val="nil"/>
              <w:bottom w:val="nil"/>
              <w:right w:val="nil"/>
            </w:tcBorders>
            <w:shd w:val="clear" w:color="auto" w:fill="auto"/>
            <w:noWrap/>
            <w:vAlign w:val="center"/>
            <w:hideMark/>
          </w:tcPr>
          <w:p w14:paraId="4783C859" w14:textId="77777777" w:rsidR="00BA275B" w:rsidRPr="00D30496" w:rsidRDefault="00BA275B" w:rsidP="00D30496">
            <w:pPr>
              <w:jc w:val="right"/>
              <w:rPr>
                <w:sz w:val="15"/>
                <w:szCs w:val="15"/>
              </w:rPr>
            </w:pPr>
            <w:r w:rsidRPr="00D30496">
              <w:rPr>
                <w:sz w:val="15"/>
                <w:szCs w:val="15"/>
              </w:rPr>
              <w:t>2.2</w:t>
            </w:r>
          </w:p>
        </w:tc>
        <w:tc>
          <w:tcPr>
            <w:tcW w:w="0" w:type="auto"/>
            <w:tcBorders>
              <w:top w:val="nil"/>
              <w:left w:val="nil"/>
              <w:bottom w:val="nil"/>
              <w:right w:val="nil"/>
            </w:tcBorders>
            <w:shd w:val="clear" w:color="auto" w:fill="auto"/>
            <w:noWrap/>
            <w:vAlign w:val="center"/>
            <w:hideMark/>
          </w:tcPr>
          <w:p w14:paraId="25A9C79D" w14:textId="77777777" w:rsidR="00BA275B" w:rsidRPr="00D30496" w:rsidRDefault="00BA275B" w:rsidP="00D30496">
            <w:pPr>
              <w:jc w:val="right"/>
              <w:rPr>
                <w:sz w:val="15"/>
                <w:szCs w:val="15"/>
              </w:rPr>
            </w:pPr>
            <w:r w:rsidRPr="00D30496">
              <w:rPr>
                <w:sz w:val="15"/>
                <w:szCs w:val="15"/>
              </w:rPr>
              <w:t>1.5</w:t>
            </w:r>
          </w:p>
        </w:tc>
        <w:tc>
          <w:tcPr>
            <w:tcW w:w="0" w:type="auto"/>
            <w:tcBorders>
              <w:top w:val="nil"/>
              <w:left w:val="nil"/>
              <w:bottom w:val="nil"/>
              <w:right w:val="nil"/>
            </w:tcBorders>
            <w:shd w:val="clear" w:color="auto" w:fill="auto"/>
            <w:noWrap/>
            <w:vAlign w:val="center"/>
            <w:hideMark/>
          </w:tcPr>
          <w:p w14:paraId="7D5B9E3C" w14:textId="77777777" w:rsidR="00BA275B" w:rsidRPr="00D30496" w:rsidRDefault="00BA275B" w:rsidP="00D30496">
            <w:pPr>
              <w:jc w:val="right"/>
              <w:rPr>
                <w:sz w:val="15"/>
                <w:szCs w:val="15"/>
              </w:rPr>
            </w:pPr>
            <w:r w:rsidRPr="00D30496">
              <w:rPr>
                <w:sz w:val="15"/>
                <w:szCs w:val="15"/>
              </w:rPr>
              <w:t>1.3</w:t>
            </w:r>
          </w:p>
        </w:tc>
        <w:tc>
          <w:tcPr>
            <w:tcW w:w="0" w:type="auto"/>
            <w:tcBorders>
              <w:top w:val="nil"/>
              <w:left w:val="nil"/>
              <w:bottom w:val="nil"/>
              <w:right w:val="nil"/>
            </w:tcBorders>
            <w:shd w:val="clear" w:color="auto" w:fill="auto"/>
            <w:noWrap/>
            <w:vAlign w:val="center"/>
            <w:hideMark/>
          </w:tcPr>
          <w:p w14:paraId="3ED25996" w14:textId="77777777" w:rsidR="00BA275B" w:rsidRPr="00D30496" w:rsidRDefault="00BA275B" w:rsidP="00D30496">
            <w:pPr>
              <w:jc w:val="right"/>
              <w:rPr>
                <w:sz w:val="15"/>
                <w:szCs w:val="15"/>
              </w:rPr>
            </w:pPr>
            <w:r w:rsidRPr="00D30496">
              <w:rPr>
                <w:sz w:val="15"/>
                <w:szCs w:val="15"/>
              </w:rPr>
              <w:t>0.4</w:t>
            </w:r>
          </w:p>
        </w:tc>
        <w:tc>
          <w:tcPr>
            <w:tcW w:w="0" w:type="auto"/>
            <w:tcBorders>
              <w:top w:val="nil"/>
              <w:left w:val="nil"/>
              <w:bottom w:val="nil"/>
              <w:right w:val="nil"/>
            </w:tcBorders>
            <w:shd w:val="clear" w:color="auto" w:fill="auto"/>
            <w:noWrap/>
            <w:vAlign w:val="center"/>
            <w:hideMark/>
          </w:tcPr>
          <w:p w14:paraId="26C397A6" w14:textId="77777777" w:rsidR="00BA275B" w:rsidRPr="00D30496" w:rsidRDefault="00BA275B" w:rsidP="00D30496">
            <w:pPr>
              <w:jc w:val="right"/>
              <w:rPr>
                <w:sz w:val="15"/>
                <w:szCs w:val="15"/>
              </w:rPr>
            </w:pPr>
            <w:r w:rsidRPr="00D30496">
              <w:rPr>
                <w:sz w:val="15"/>
                <w:szCs w:val="15"/>
              </w:rPr>
              <w:t>3.0</w:t>
            </w:r>
          </w:p>
        </w:tc>
        <w:tc>
          <w:tcPr>
            <w:tcW w:w="0" w:type="auto"/>
            <w:tcBorders>
              <w:top w:val="nil"/>
              <w:left w:val="nil"/>
              <w:bottom w:val="nil"/>
              <w:right w:val="nil"/>
            </w:tcBorders>
            <w:shd w:val="clear" w:color="auto" w:fill="auto"/>
            <w:noWrap/>
            <w:vAlign w:val="center"/>
            <w:hideMark/>
          </w:tcPr>
          <w:p w14:paraId="389D9213" w14:textId="77777777" w:rsidR="00BA275B" w:rsidRPr="00D30496" w:rsidRDefault="00BA275B" w:rsidP="00D30496">
            <w:pPr>
              <w:jc w:val="right"/>
              <w:rPr>
                <w:sz w:val="15"/>
                <w:szCs w:val="15"/>
              </w:rPr>
            </w:pPr>
            <w:r w:rsidRPr="00D30496">
              <w:rPr>
                <w:sz w:val="15"/>
                <w:szCs w:val="15"/>
              </w:rPr>
              <w:t>369,971</w:t>
            </w:r>
          </w:p>
        </w:tc>
      </w:tr>
      <w:tr w:rsidR="006B42D6" w:rsidRPr="00D30496" w14:paraId="3791A837" w14:textId="77777777" w:rsidTr="00D30496">
        <w:trPr>
          <w:trHeight w:val="272"/>
        </w:trPr>
        <w:tc>
          <w:tcPr>
            <w:tcW w:w="0" w:type="auto"/>
            <w:tcBorders>
              <w:top w:val="nil"/>
              <w:left w:val="nil"/>
              <w:bottom w:val="nil"/>
              <w:right w:val="nil"/>
            </w:tcBorders>
            <w:shd w:val="clear" w:color="auto" w:fill="auto"/>
            <w:noWrap/>
            <w:vAlign w:val="center"/>
            <w:hideMark/>
          </w:tcPr>
          <w:p w14:paraId="76FF0268" w14:textId="77777777" w:rsidR="00BA275B" w:rsidRPr="00D30496" w:rsidRDefault="00BA275B" w:rsidP="00383AA6">
            <w:pPr>
              <w:rPr>
                <w:sz w:val="15"/>
                <w:szCs w:val="15"/>
              </w:rPr>
            </w:pPr>
            <w:r w:rsidRPr="00D30496">
              <w:rPr>
                <w:sz w:val="15"/>
                <w:szCs w:val="15"/>
              </w:rPr>
              <w:t>Rukwa</w:t>
            </w:r>
          </w:p>
        </w:tc>
        <w:tc>
          <w:tcPr>
            <w:tcW w:w="0" w:type="auto"/>
            <w:tcBorders>
              <w:top w:val="nil"/>
              <w:left w:val="nil"/>
              <w:bottom w:val="nil"/>
              <w:right w:val="nil"/>
            </w:tcBorders>
            <w:shd w:val="clear" w:color="auto" w:fill="auto"/>
            <w:noWrap/>
            <w:vAlign w:val="center"/>
            <w:hideMark/>
          </w:tcPr>
          <w:p w14:paraId="300C3503" w14:textId="77777777" w:rsidR="00BA275B" w:rsidRPr="00D30496" w:rsidRDefault="00BA275B" w:rsidP="00D30496">
            <w:pPr>
              <w:jc w:val="right"/>
              <w:rPr>
                <w:sz w:val="15"/>
                <w:szCs w:val="15"/>
              </w:rPr>
            </w:pPr>
            <w:r w:rsidRPr="00D30496">
              <w:rPr>
                <w:sz w:val="15"/>
                <w:szCs w:val="15"/>
              </w:rPr>
              <w:t>85.1</w:t>
            </w:r>
          </w:p>
        </w:tc>
        <w:tc>
          <w:tcPr>
            <w:tcW w:w="0" w:type="auto"/>
            <w:tcBorders>
              <w:top w:val="nil"/>
              <w:left w:val="nil"/>
              <w:bottom w:val="nil"/>
              <w:right w:val="nil"/>
            </w:tcBorders>
            <w:shd w:val="clear" w:color="auto" w:fill="auto"/>
            <w:noWrap/>
            <w:vAlign w:val="center"/>
            <w:hideMark/>
          </w:tcPr>
          <w:p w14:paraId="5F5A76D9" w14:textId="77777777" w:rsidR="00BA275B" w:rsidRPr="00D30496" w:rsidRDefault="00BA275B" w:rsidP="00D30496">
            <w:pPr>
              <w:jc w:val="right"/>
              <w:rPr>
                <w:sz w:val="15"/>
                <w:szCs w:val="15"/>
              </w:rPr>
            </w:pPr>
            <w:r w:rsidRPr="00D30496">
              <w:rPr>
                <w:sz w:val="15"/>
                <w:szCs w:val="15"/>
              </w:rPr>
              <w:t>91.0</w:t>
            </w:r>
          </w:p>
        </w:tc>
        <w:tc>
          <w:tcPr>
            <w:tcW w:w="0" w:type="auto"/>
            <w:tcBorders>
              <w:top w:val="nil"/>
              <w:left w:val="nil"/>
              <w:bottom w:val="nil"/>
              <w:right w:val="nil"/>
            </w:tcBorders>
            <w:shd w:val="clear" w:color="auto" w:fill="auto"/>
            <w:noWrap/>
            <w:vAlign w:val="center"/>
            <w:hideMark/>
          </w:tcPr>
          <w:p w14:paraId="2C8E5CF7" w14:textId="77777777" w:rsidR="00BA275B" w:rsidRPr="00D30496" w:rsidRDefault="00BA275B" w:rsidP="00D30496">
            <w:pPr>
              <w:jc w:val="right"/>
              <w:rPr>
                <w:sz w:val="15"/>
                <w:szCs w:val="15"/>
              </w:rPr>
            </w:pPr>
            <w:r w:rsidRPr="00D30496">
              <w:rPr>
                <w:sz w:val="15"/>
                <w:szCs w:val="15"/>
              </w:rPr>
              <w:t>75.1</w:t>
            </w:r>
          </w:p>
        </w:tc>
        <w:tc>
          <w:tcPr>
            <w:tcW w:w="0" w:type="auto"/>
            <w:tcBorders>
              <w:top w:val="nil"/>
              <w:left w:val="nil"/>
              <w:bottom w:val="nil"/>
              <w:right w:val="nil"/>
            </w:tcBorders>
            <w:shd w:val="clear" w:color="auto" w:fill="auto"/>
            <w:noWrap/>
            <w:vAlign w:val="center"/>
            <w:hideMark/>
          </w:tcPr>
          <w:p w14:paraId="6C914C6A" w14:textId="77777777" w:rsidR="00BA275B" w:rsidRPr="00D30496" w:rsidRDefault="00BA275B" w:rsidP="00D30496">
            <w:pPr>
              <w:jc w:val="right"/>
              <w:rPr>
                <w:sz w:val="15"/>
                <w:szCs w:val="15"/>
              </w:rPr>
            </w:pPr>
            <w:r w:rsidRPr="00D30496">
              <w:rPr>
                <w:sz w:val="15"/>
                <w:szCs w:val="15"/>
              </w:rPr>
              <w:t>73.6</w:t>
            </w:r>
          </w:p>
        </w:tc>
        <w:tc>
          <w:tcPr>
            <w:tcW w:w="0" w:type="auto"/>
            <w:tcBorders>
              <w:top w:val="nil"/>
              <w:left w:val="nil"/>
              <w:bottom w:val="nil"/>
              <w:right w:val="nil"/>
            </w:tcBorders>
            <w:shd w:val="clear" w:color="auto" w:fill="auto"/>
            <w:noWrap/>
            <w:vAlign w:val="center"/>
            <w:hideMark/>
          </w:tcPr>
          <w:p w14:paraId="1D2D72CD" w14:textId="77777777" w:rsidR="00BA275B" w:rsidRPr="00D30496" w:rsidRDefault="00BA275B" w:rsidP="00D30496">
            <w:pPr>
              <w:jc w:val="right"/>
              <w:rPr>
                <w:sz w:val="15"/>
                <w:szCs w:val="15"/>
              </w:rPr>
            </w:pPr>
            <w:r w:rsidRPr="00D30496">
              <w:rPr>
                <w:sz w:val="15"/>
                <w:szCs w:val="15"/>
              </w:rPr>
              <w:t>0.2</w:t>
            </w:r>
          </w:p>
        </w:tc>
        <w:tc>
          <w:tcPr>
            <w:tcW w:w="0" w:type="auto"/>
            <w:tcBorders>
              <w:top w:val="nil"/>
              <w:left w:val="nil"/>
              <w:bottom w:val="nil"/>
              <w:right w:val="nil"/>
            </w:tcBorders>
            <w:shd w:val="clear" w:color="auto" w:fill="auto"/>
            <w:noWrap/>
            <w:vAlign w:val="center"/>
            <w:hideMark/>
          </w:tcPr>
          <w:p w14:paraId="7399D259" w14:textId="77777777" w:rsidR="00BA275B" w:rsidRPr="00D30496" w:rsidRDefault="00BA275B" w:rsidP="00D30496">
            <w:pPr>
              <w:jc w:val="right"/>
              <w:rPr>
                <w:sz w:val="15"/>
                <w:szCs w:val="15"/>
              </w:rPr>
            </w:pPr>
            <w:r w:rsidRPr="00D30496">
              <w:rPr>
                <w:sz w:val="15"/>
                <w:szCs w:val="15"/>
              </w:rPr>
              <w:t>11.1</w:t>
            </w:r>
          </w:p>
        </w:tc>
        <w:tc>
          <w:tcPr>
            <w:tcW w:w="0" w:type="auto"/>
            <w:tcBorders>
              <w:top w:val="nil"/>
              <w:left w:val="nil"/>
              <w:bottom w:val="nil"/>
              <w:right w:val="nil"/>
            </w:tcBorders>
            <w:shd w:val="clear" w:color="auto" w:fill="auto"/>
            <w:noWrap/>
            <w:vAlign w:val="center"/>
            <w:hideMark/>
          </w:tcPr>
          <w:p w14:paraId="6F27A327" w14:textId="77777777" w:rsidR="00BA275B" w:rsidRPr="00D30496" w:rsidRDefault="00BA275B" w:rsidP="00D30496">
            <w:pPr>
              <w:jc w:val="right"/>
              <w:rPr>
                <w:sz w:val="15"/>
                <w:szCs w:val="15"/>
              </w:rPr>
            </w:pPr>
            <w:r w:rsidRPr="00D30496">
              <w:rPr>
                <w:sz w:val="15"/>
                <w:szCs w:val="15"/>
              </w:rPr>
              <w:t>0.7</w:t>
            </w:r>
          </w:p>
        </w:tc>
        <w:tc>
          <w:tcPr>
            <w:tcW w:w="0" w:type="auto"/>
            <w:tcBorders>
              <w:top w:val="nil"/>
              <w:left w:val="nil"/>
              <w:bottom w:val="nil"/>
              <w:right w:val="nil"/>
            </w:tcBorders>
            <w:shd w:val="clear" w:color="auto" w:fill="auto"/>
            <w:noWrap/>
            <w:vAlign w:val="center"/>
            <w:hideMark/>
          </w:tcPr>
          <w:p w14:paraId="5EAB1510" w14:textId="77777777" w:rsidR="00BA275B" w:rsidRPr="00D30496" w:rsidRDefault="00BA275B" w:rsidP="00D30496">
            <w:pPr>
              <w:jc w:val="right"/>
              <w:rPr>
                <w:sz w:val="15"/>
                <w:szCs w:val="15"/>
              </w:rPr>
            </w:pPr>
            <w:r w:rsidRPr="00D30496">
              <w:rPr>
                <w:sz w:val="15"/>
                <w:szCs w:val="15"/>
              </w:rPr>
              <w:t>0.5</w:t>
            </w:r>
          </w:p>
        </w:tc>
        <w:tc>
          <w:tcPr>
            <w:tcW w:w="0" w:type="auto"/>
            <w:tcBorders>
              <w:top w:val="nil"/>
              <w:left w:val="nil"/>
              <w:bottom w:val="nil"/>
              <w:right w:val="nil"/>
            </w:tcBorders>
            <w:shd w:val="clear" w:color="auto" w:fill="auto"/>
            <w:noWrap/>
            <w:vAlign w:val="center"/>
            <w:hideMark/>
          </w:tcPr>
          <w:p w14:paraId="6453F76E" w14:textId="77777777" w:rsidR="00BA275B" w:rsidRPr="00D30496" w:rsidRDefault="00BA275B" w:rsidP="00D30496">
            <w:pPr>
              <w:jc w:val="right"/>
              <w:rPr>
                <w:sz w:val="15"/>
                <w:szCs w:val="15"/>
              </w:rPr>
            </w:pPr>
            <w:r w:rsidRPr="00D30496">
              <w:rPr>
                <w:sz w:val="15"/>
                <w:szCs w:val="15"/>
              </w:rPr>
              <w:t>2.8</w:t>
            </w:r>
          </w:p>
        </w:tc>
        <w:tc>
          <w:tcPr>
            <w:tcW w:w="0" w:type="auto"/>
            <w:tcBorders>
              <w:top w:val="nil"/>
              <w:left w:val="nil"/>
              <w:bottom w:val="nil"/>
              <w:right w:val="nil"/>
            </w:tcBorders>
            <w:shd w:val="clear" w:color="auto" w:fill="auto"/>
            <w:noWrap/>
            <w:vAlign w:val="center"/>
            <w:hideMark/>
          </w:tcPr>
          <w:p w14:paraId="04481107" w14:textId="77777777" w:rsidR="00BA275B" w:rsidRPr="00D30496" w:rsidRDefault="00BA275B" w:rsidP="00D30496">
            <w:pPr>
              <w:jc w:val="right"/>
              <w:rPr>
                <w:sz w:val="15"/>
                <w:szCs w:val="15"/>
              </w:rPr>
            </w:pPr>
            <w:r w:rsidRPr="00D30496">
              <w:rPr>
                <w:sz w:val="15"/>
                <w:szCs w:val="15"/>
              </w:rPr>
              <w:t>2.6</w:t>
            </w:r>
          </w:p>
        </w:tc>
        <w:tc>
          <w:tcPr>
            <w:tcW w:w="0" w:type="auto"/>
            <w:tcBorders>
              <w:top w:val="nil"/>
              <w:left w:val="nil"/>
              <w:bottom w:val="nil"/>
              <w:right w:val="nil"/>
            </w:tcBorders>
            <w:shd w:val="clear" w:color="auto" w:fill="auto"/>
            <w:noWrap/>
            <w:vAlign w:val="center"/>
            <w:hideMark/>
          </w:tcPr>
          <w:p w14:paraId="5BC1F9C1" w14:textId="77777777" w:rsidR="00BA275B" w:rsidRPr="00D30496" w:rsidRDefault="00BA275B" w:rsidP="00D30496">
            <w:pPr>
              <w:jc w:val="right"/>
              <w:rPr>
                <w:sz w:val="15"/>
                <w:szCs w:val="15"/>
              </w:rPr>
            </w:pPr>
            <w:r w:rsidRPr="00D30496">
              <w:rPr>
                <w:sz w:val="15"/>
                <w:szCs w:val="15"/>
              </w:rPr>
              <w:t>2.9</w:t>
            </w:r>
          </w:p>
        </w:tc>
        <w:tc>
          <w:tcPr>
            <w:tcW w:w="0" w:type="auto"/>
            <w:tcBorders>
              <w:top w:val="nil"/>
              <w:left w:val="nil"/>
              <w:bottom w:val="nil"/>
              <w:right w:val="nil"/>
            </w:tcBorders>
            <w:shd w:val="clear" w:color="auto" w:fill="auto"/>
            <w:noWrap/>
            <w:vAlign w:val="center"/>
            <w:hideMark/>
          </w:tcPr>
          <w:p w14:paraId="3B975481" w14:textId="77777777" w:rsidR="00BA275B" w:rsidRPr="00D30496" w:rsidRDefault="00BA275B" w:rsidP="00D30496">
            <w:pPr>
              <w:jc w:val="right"/>
              <w:rPr>
                <w:sz w:val="15"/>
                <w:szCs w:val="15"/>
              </w:rPr>
            </w:pPr>
            <w:r w:rsidRPr="00D30496">
              <w:rPr>
                <w:sz w:val="15"/>
                <w:szCs w:val="15"/>
              </w:rPr>
              <w:t>218,249</w:t>
            </w:r>
          </w:p>
        </w:tc>
      </w:tr>
      <w:tr w:rsidR="006B42D6" w:rsidRPr="00D30496" w14:paraId="293B3F1B" w14:textId="77777777" w:rsidTr="00D30496">
        <w:trPr>
          <w:trHeight w:val="272"/>
        </w:trPr>
        <w:tc>
          <w:tcPr>
            <w:tcW w:w="0" w:type="auto"/>
            <w:tcBorders>
              <w:top w:val="nil"/>
              <w:left w:val="nil"/>
              <w:bottom w:val="nil"/>
              <w:right w:val="nil"/>
            </w:tcBorders>
            <w:shd w:val="clear" w:color="auto" w:fill="auto"/>
            <w:noWrap/>
            <w:vAlign w:val="center"/>
            <w:hideMark/>
          </w:tcPr>
          <w:p w14:paraId="69EF072A" w14:textId="77777777" w:rsidR="00BA275B" w:rsidRPr="00D30496" w:rsidRDefault="00BA275B" w:rsidP="00383AA6">
            <w:pPr>
              <w:rPr>
                <w:sz w:val="15"/>
                <w:szCs w:val="15"/>
              </w:rPr>
            </w:pPr>
            <w:r w:rsidRPr="00D30496">
              <w:rPr>
                <w:sz w:val="15"/>
                <w:szCs w:val="15"/>
              </w:rPr>
              <w:t>Kigoma</w:t>
            </w:r>
          </w:p>
        </w:tc>
        <w:tc>
          <w:tcPr>
            <w:tcW w:w="0" w:type="auto"/>
            <w:tcBorders>
              <w:top w:val="nil"/>
              <w:left w:val="nil"/>
              <w:bottom w:val="nil"/>
              <w:right w:val="nil"/>
            </w:tcBorders>
            <w:shd w:val="clear" w:color="auto" w:fill="auto"/>
            <w:noWrap/>
            <w:vAlign w:val="center"/>
            <w:hideMark/>
          </w:tcPr>
          <w:p w14:paraId="11F2D783" w14:textId="77777777" w:rsidR="00BA275B" w:rsidRPr="00D30496" w:rsidRDefault="00BA275B" w:rsidP="00D30496">
            <w:pPr>
              <w:jc w:val="right"/>
              <w:rPr>
                <w:sz w:val="15"/>
                <w:szCs w:val="15"/>
              </w:rPr>
            </w:pPr>
            <w:r w:rsidRPr="00D30496">
              <w:rPr>
                <w:sz w:val="15"/>
                <w:szCs w:val="15"/>
              </w:rPr>
              <w:t>95.7</w:t>
            </w:r>
          </w:p>
        </w:tc>
        <w:tc>
          <w:tcPr>
            <w:tcW w:w="0" w:type="auto"/>
            <w:tcBorders>
              <w:top w:val="nil"/>
              <w:left w:val="nil"/>
              <w:bottom w:val="nil"/>
              <w:right w:val="nil"/>
            </w:tcBorders>
            <w:shd w:val="clear" w:color="auto" w:fill="auto"/>
            <w:noWrap/>
            <w:vAlign w:val="center"/>
            <w:hideMark/>
          </w:tcPr>
          <w:p w14:paraId="2C427CBB" w14:textId="77777777" w:rsidR="00BA275B" w:rsidRPr="00D30496" w:rsidRDefault="00BA275B" w:rsidP="00D30496">
            <w:pPr>
              <w:jc w:val="right"/>
              <w:rPr>
                <w:sz w:val="15"/>
                <w:szCs w:val="15"/>
              </w:rPr>
            </w:pPr>
            <w:r w:rsidRPr="00D30496">
              <w:rPr>
                <w:sz w:val="15"/>
                <w:szCs w:val="15"/>
              </w:rPr>
              <w:t>99.2</w:t>
            </w:r>
          </w:p>
        </w:tc>
        <w:tc>
          <w:tcPr>
            <w:tcW w:w="0" w:type="auto"/>
            <w:tcBorders>
              <w:top w:val="nil"/>
              <w:left w:val="nil"/>
              <w:bottom w:val="nil"/>
              <w:right w:val="nil"/>
            </w:tcBorders>
            <w:shd w:val="clear" w:color="auto" w:fill="auto"/>
            <w:noWrap/>
            <w:vAlign w:val="center"/>
            <w:hideMark/>
          </w:tcPr>
          <w:p w14:paraId="0DB7D7FF" w14:textId="77777777" w:rsidR="00BA275B" w:rsidRPr="00D30496" w:rsidRDefault="00BA275B" w:rsidP="00D30496">
            <w:pPr>
              <w:jc w:val="right"/>
              <w:rPr>
                <w:sz w:val="15"/>
                <w:szCs w:val="15"/>
              </w:rPr>
            </w:pPr>
            <w:r w:rsidRPr="00D30496">
              <w:rPr>
                <w:sz w:val="15"/>
                <w:szCs w:val="15"/>
              </w:rPr>
              <w:t>0.9</w:t>
            </w:r>
          </w:p>
        </w:tc>
        <w:tc>
          <w:tcPr>
            <w:tcW w:w="0" w:type="auto"/>
            <w:tcBorders>
              <w:top w:val="nil"/>
              <w:left w:val="nil"/>
              <w:bottom w:val="nil"/>
              <w:right w:val="nil"/>
            </w:tcBorders>
            <w:shd w:val="clear" w:color="auto" w:fill="auto"/>
            <w:noWrap/>
            <w:vAlign w:val="center"/>
            <w:hideMark/>
          </w:tcPr>
          <w:p w14:paraId="60E5FEBE" w14:textId="77777777" w:rsidR="00BA275B" w:rsidRPr="00D30496" w:rsidRDefault="00BA275B" w:rsidP="00D30496">
            <w:pPr>
              <w:jc w:val="right"/>
              <w:rPr>
                <w:sz w:val="15"/>
                <w:szCs w:val="15"/>
              </w:rPr>
            </w:pPr>
            <w:r w:rsidRPr="00D30496">
              <w:rPr>
                <w:sz w:val="15"/>
                <w:szCs w:val="15"/>
              </w:rPr>
              <w:t>0.4</w:t>
            </w:r>
          </w:p>
        </w:tc>
        <w:tc>
          <w:tcPr>
            <w:tcW w:w="0" w:type="auto"/>
            <w:tcBorders>
              <w:top w:val="nil"/>
              <w:left w:val="nil"/>
              <w:bottom w:val="nil"/>
              <w:right w:val="nil"/>
            </w:tcBorders>
            <w:shd w:val="clear" w:color="auto" w:fill="auto"/>
            <w:noWrap/>
            <w:vAlign w:val="center"/>
            <w:hideMark/>
          </w:tcPr>
          <w:p w14:paraId="726AA632" w14:textId="77777777" w:rsidR="00BA275B" w:rsidRPr="00D30496" w:rsidRDefault="00BA275B" w:rsidP="00D30496">
            <w:pPr>
              <w:jc w:val="right"/>
              <w:rPr>
                <w:sz w:val="15"/>
                <w:szCs w:val="15"/>
              </w:rPr>
            </w:pPr>
            <w:r w:rsidRPr="00D30496">
              <w:rPr>
                <w:sz w:val="15"/>
                <w:szCs w:val="15"/>
              </w:rPr>
              <w:t>0.2</w:t>
            </w:r>
          </w:p>
        </w:tc>
        <w:tc>
          <w:tcPr>
            <w:tcW w:w="0" w:type="auto"/>
            <w:tcBorders>
              <w:top w:val="nil"/>
              <w:left w:val="nil"/>
              <w:bottom w:val="nil"/>
              <w:right w:val="nil"/>
            </w:tcBorders>
            <w:shd w:val="clear" w:color="auto" w:fill="auto"/>
            <w:noWrap/>
            <w:vAlign w:val="center"/>
            <w:hideMark/>
          </w:tcPr>
          <w:p w14:paraId="0076D0F1" w14:textId="77777777" w:rsidR="00BA275B" w:rsidRPr="00D30496" w:rsidRDefault="00BA275B" w:rsidP="00D30496">
            <w:pPr>
              <w:jc w:val="right"/>
              <w:rPr>
                <w:sz w:val="15"/>
                <w:szCs w:val="15"/>
              </w:rPr>
            </w:pPr>
            <w:r w:rsidRPr="00D30496">
              <w:rPr>
                <w:sz w:val="15"/>
                <w:szCs w:val="15"/>
              </w:rPr>
              <w:t>0.4</w:t>
            </w:r>
          </w:p>
        </w:tc>
        <w:tc>
          <w:tcPr>
            <w:tcW w:w="0" w:type="auto"/>
            <w:tcBorders>
              <w:top w:val="nil"/>
              <w:left w:val="nil"/>
              <w:bottom w:val="nil"/>
              <w:right w:val="nil"/>
            </w:tcBorders>
            <w:shd w:val="clear" w:color="auto" w:fill="auto"/>
            <w:noWrap/>
            <w:vAlign w:val="center"/>
            <w:hideMark/>
          </w:tcPr>
          <w:p w14:paraId="693A5BEE" w14:textId="77777777" w:rsidR="00BA275B" w:rsidRPr="00D30496" w:rsidRDefault="00BA275B" w:rsidP="00D30496">
            <w:pPr>
              <w:jc w:val="right"/>
              <w:rPr>
                <w:sz w:val="15"/>
                <w:szCs w:val="15"/>
              </w:rPr>
            </w:pPr>
            <w:r w:rsidRPr="00D30496">
              <w:rPr>
                <w:sz w:val="15"/>
                <w:szCs w:val="15"/>
              </w:rPr>
              <w:t>-</w:t>
            </w:r>
          </w:p>
        </w:tc>
        <w:tc>
          <w:tcPr>
            <w:tcW w:w="0" w:type="auto"/>
            <w:tcBorders>
              <w:top w:val="nil"/>
              <w:left w:val="nil"/>
              <w:bottom w:val="nil"/>
              <w:right w:val="nil"/>
            </w:tcBorders>
            <w:shd w:val="clear" w:color="auto" w:fill="auto"/>
            <w:noWrap/>
            <w:vAlign w:val="center"/>
            <w:hideMark/>
          </w:tcPr>
          <w:p w14:paraId="7EE5A402" w14:textId="77777777" w:rsidR="00BA275B" w:rsidRPr="00D30496" w:rsidRDefault="00BA275B" w:rsidP="00D30496">
            <w:pPr>
              <w:jc w:val="right"/>
              <w:rPr>
                <w:sz w:val="15"/>
                <w:szCs w:val="15"/>
              </w:rPr>
            </w:pPr>
            <w:r w:rsidRPr="00D30496">
              <w:rPr>
                <w:sz w:val="15"/>
                <w:szCs w:val="15"/>
              </w:rPr>
              <w:t>-</w:t>
            </w:r>
          </w:p>
        </w:tc>
        <w:tc>
          <w:tcPr>
            <w:tcW w:w="0" w:type="auto"/>
            <w:tcBorders>
              <w:top w:val="nil"/>
              <w:left w:val="nil"/>
              <w:bottom w:val="nil"/>
              <w:right w:val="nil"/>
            </w:tcBorders>
            <w:shd w:val="clear" w:color="auto" w:fill="auto"/>
            <w:noWrap/>
            <w:vAlign w:val="center"/>
            <w:hideMark/>
          </w:tcPr>
          <w:p w14:paraId="4AD1D145" w14:textId="77777777" w:rsidR="00BA275B" w:rsidRPr="00D30496" w:rsidRDefault="00BA275B" w:rsidP="00D30496">
            <w:pPr>
              <w:jc w:val="right"/>
              <w:rPr>
                <w:sz w:val="15"/>
                <w:szCs w:val="15"/>
              </w:rPr>
            </w:pPr>
            <w:r w:rsidRPr="00D30496">
              <w:rPr>
                <w:sz w:val="15"/>
                <w:szCs w:val="15"/>
              </w:rPr>
              <w:t>0.3</w:t>
            </w:r>
          </w:p>
        </w:tc>
        <w:tc>
          <w:tcPr>
            <w:tcW w:w="0" w:type="auto"/>
            <w:tcBorders>
              <w:top w:val="nil"/>
              <w:left w:val="nil"/>
              <w:bottom w:val="nil"/>
              <w:right w:val="nil"/>
            </w:tcBorders>
            <w:shd w:val="clear" w:color="auto" w:fill="auto"/>
            <w:noWrap/>
            <w:vAlign w:val="center"/>
            <w:hideMark/>
          </w:tcPr>
          <w:p w14:paraId="6E56174F" w14:textId="77777777" w:rsidR="00BA275B" w:rsidRPr="00D30496" w:rsidRDefault="00BA275B" w:rsidP="00D30496">
            <w:pPr>
              <w:jc w:val="right"/>
              <w:rPr>
                <w:sz w:val="15"/>
                <w:szCs w:val="15"/>
              </w:rPr>
            </w:pPr>
            <w:r w:rsidRPr="00D30496">
              <w:rPr>
                <w:sz w:val="15"/>
                <w:szCs w:val="15"/>
              </w:rPr>
              <w:t>-</w:t>
            </w:r>
          </w:p>
        </w:tc>
        <w:tc>
          <w:tcPr>
            <w:tcW w:w="0" w:type="auto"/>
            <w:tcBorders>
              <w:top w:val="nil"/>
              <w:left w:val="nil"/>
              <w:bottom w:val="nil"/>
              <w:right w:val="nil"/>
            </w:tcBorders>
            <w:shd w:val="clear" w:color="auto" w:fill="auto"/>
            <w:noWrap/>
            <w:vAlign w:val="center"/>
            <w:hideMark/>
          </w:tcPr>
          <w:p w14:paraId="77C92A55" w14:textId="77777777" w:rsidR="00BA275B" w:rsidRPr="00D30496" w:rsidRDefault="00BA275B" w:rsidP="00D30496">
            <w:pPr>
              <w:jc w:val="right"/>
              <w:rPr>
                <w:sz w:val="15"/>
                <w:szCs w:val="15"/>
              </w:rPr>
            </w:pPr>
            <w:r w:rsidRPr="00D30496">
              <w:rPr>
                <w:sz w:val="15"/>
                <w:szCs w:val="15"/>
              </w:rPr>
              <w:t>0.2</w:t>
            </w:r>
          </w:p>
        </w:tc>
        <w:tc>
          <w:tcPr>
            <w:tcW w:w="0" w:type="auto"/>
            <w:tcBorders>
              <w:top w:val="nil"/>
              <w:left w:val="nil"/>
              <w:bottom w:val="nil"/>
              <w:right w:val="nil"/>
            </w:tcBorders>
            <w:shd w:val="clear" w:color="auto" w:fill="auto"/>
            <w:noWrap/>
            <w:vAlign w:val="center"/>
            <w:hideMark/>
          </w:tcPr>
          <w:p w14:paraId="7B69E9CC" w14:textId="77777777" w:rsidR="00BA275B" w:rsidRPr="00D30496" w:rsidRDefault="00BA275B" w:rsidP="00D30496">
            <w:pPr>
              <w:jc w:val="right"/>
              <w:rPr>
                <w:sz w:val="15"/>
                <w:szCs w:val="15"/>
              </w:rPr>
            </w:pPr>
            <w:r w:rsidRPr="00D30496">
              <w:rPr>
                <w:sz w:val="15"/>
                <w:szCs w:val="15"/>
              </w:rPr>
              <w:t>348,378</w:t>
            </w:r>
          </w:p>
        </w:tc>
      </w:tr>
      <w:tr w:rsidR="006B42D6" w:rsidRPr="00D30496" w14:paraId="6A69F5E4" w14:textId="77777777" w:rsidTr="00D30496">
        <w:trPr>
          <w:trHeight w:val="272"/>
        </w:trPr>
        <w:tc>
          <w:tcPr>
            <w:tcW w:w="0" w:type="auto"/>
            <w:tcBorders>
              <w:top w:val="nil"/>
              <w:left w:val="nil"/>
              <w:bottom w:val="nil"/>
              <w:right w:val="nil"/>
            </w:tcBorders>
            <w:shd w:val="clear" w:color="auto" w:fill="auto"/>
            <w:noWrap/>
            <w:vAlign w:val="center"/>
            <w:hideMark/>
          </w:tcPr>
          <w:p w14:paraId="60F0BC5C" w14:textId="77777777" w:rsidR="00BA275B" w:rsidRPr="00D30496" w:rsidRDefault="00BA275B" w:rsidP="00383AA6">
            <w:pPr>
              <w:rPr>
                <w:sz w:val="15"/>
                <w:szCs w:val="15"/>
              </w:rPr>
            </w:pPr>
            <w:r w:rsidRPr="00D30496">
              <w:rPr>
                <w:sz w:val="15"/>
                <w:szCs w:val="15"/>
              </w:rPr>
              <w:t>Shinyanga</w:t>
            </w:r>
          </w:p>
        </w:tc>
        <w:tc>
          <w:tcPr>
            <w:tcW w:w="0" w:type="auto"/>
            <w:tcBorders>
              <w:top w:val="nil"/>
              <w:left w:val="nil"/>
              <w:bottom w:val="nil"/>
              <w:right w:val="nil"/>
            </w:tcBorders>
            <w:shd w:val="clear" w:color="auto" w:fill="auto"/>
            <w:noWrap/>
            <w:vAlign w:val="center"/>
            <w:hideMark/>
          </w:tcPr>
          <w:p w14:paraId="0E76EF30" w14:textId="77777777" w:rsidR="00BA275B" w:rsidRPr="00D30496" w:rsidRDefault="00BA275B" w:rsidP="00D30496">
            <w:pPr>
              <w:jc w:val="right"/>
              <w:rPr>
                <w:sz w:val="15"/>
                <w:szCs w:val="15"/>
              </w:rPr>
            </w:pPr>
            <w:r w:rsidRPr="00D30496">
              <w:rPr>
                <w:sz w:val="15"/>
                <w:szCs w:val="15"/>
              </w:rPr>
              <w:t>95.0</w:t>
            </w:r>
          </w:p>
        </w:tc>
        <w:tc>
          <w:tcPr>
            <w:tcW w:w="0" w:type="auto"/>
            <w:tcBorders>
              <w:top w:val="nil"/>
              <w:left w:val="nil"/>
              <w:bottom w:val="nil"/>
              <w:right w:val="nil"/>
            </w:tcBorders>
            <w:shd w:val="clear" w:color="auto" w:fill="auto"/>
            <w:noWrap/>
            <w:vAlign w:val="center"/>
            <w:hideMark/>
          </w:tcPr>
          <w:p w14:paraId="03C2CF25" w14:textId="77777777" w:rsidR="00BA275B" w:rsidRPr="00D30496" w:rsidRDefault="00BA275B" w:rsidP="00D30496">
            <w:pPr>
              <w:jc w:val="right"/>
              <w:rPr>
                <w:sz w:val="15"/>
                <w:szCs w:val="15"/>
              </w:rPr>
            </w:pPr>
            <w:r w:rsidRPr="00D30496">
              <w:rPr>
                <w:sz w:val="15"/>
                <w:szCs w:val="15"/>
              </w:rPr>
              <w:t>98.7</w:t>
            </w:r>
          </w:p>
        </w:tc>
        <w:tc>
          <w:tcPr>
            <w:tcW w:w="0" w:type="auto"/>
            <w:tcBorders>
              <w:top w:val="nil"/>
              <w:left w:val="nil"/>
              <w:bottom w:val="nil"/>
              <w:right w:val="nil"/>
            </w:tcBorders>
            <w:shd w:val="clear" w:color="auto" w:fill="auto"/>
            <w:noWrap/>
            <w:vAlign w:val="center"/>
            <w:hideMark/>
          </w:tcPr>
          <w:p w14:paraId="63917596" w14:textId="77777777" w:rsidR="00BA275B" w:rsidRPr="00D30496" w:rsidRDefault="00BA275B" w:rsidP="00D30496">
            <w:pPr>
              <w:jc w:val="right"/>
              <w:rPr>
                <w:sz w:val="15"/>
                <w:szCs w:val="15"/>
              </w:rPr>
            </w:pPr>
            <w:r w:rsidRPr="00D30496">
              <w:rPr>
                <w:sz w:val="15"/>
                <w:szCs w:val="15"/>
              </w:rPr>
              <w:t>76.5</w:t>
            </w:r>
          </w:p>
        </w:tc>
        <w:tc>
          <w:tcPr>
            <w:tcW w:w="0" w:type="auto"/>
            <w:tcBorders>
              <w:top w:val="nil"/>
              <w:left w:val="nil"/>
              <w:bottom w:val="nil"/>
              <w:right w:val="nil"/>
            </w:tcBorders>
            <w:shd w:val="clear" w:color="auto" w:fill="auto"/>
            <w:noWrap/>
            <w:vAlign w:val="center"/>
            <w:hideMark/>
          </w:tcPr>
          <w:p w14:paraId="5E58EFB4" w14:textId="77777777" w:rsidR="00BA275B" w:rsidRPr="00D30496" w:rsidRDefault="00BA275B" w:rsidP="00D30496">
            <w:pPr>
              <w:jc w:val="right"/>
              <w:rPr>
                <w:sz w:val="15"/>
                <w:szCs w:val="15"/>
              </w:rPr>
            </w:pPr>
            <w:r w:rsidRPr="00D30496">
              <w:rPr>
                <w:sz w:val="15"/>
                <w:szCs w:val="15"/>
              </w:rPr>
              <w:t>69.6</w:t>
            </w:r>
          </w:p>
        </w:tc>
        <w:tc>
          <w:tcPr>
            <w:tcW w:w="0" w:type="auto"/>
            <w:tcBorders>
              <w:top w:val="nil"/>
              <w:left w:val="nil"/>
              <w:bottom w:val="nil"/>
              <w:right w:val="nil"/>
            </w:tcBorders>
            <w:shd w:val="clear" w:color="auto" w:fill="auto"/>
            <w:noWrap/>
            <w:vAlign w:val="center"/>
            <w:hideMark/>
          </w:tcPr>
          <w:p w14:paraId="14F0C208" w14:textId="77777777" w:rsidR="00BA275B" w:rsidRPr="00D30496" w:rsidRDefault="00BA275B" w:rsidP="00D30496">
            <w:pPr>
              <w:jc w:val="right"/>
              <w:rPr>
                <w:sz w:val="15"/>
                <w:szCs w:val="15"/>
              </w:rPr>
            </w:pPr>
            <w:r w:rsidRPr="00D30496">
              <w:rPr>
                <w:sz w:val="15"/>
                <w:szCs w:val="15"/>
              </w:rPr>
              <w:t>0.5</w:t>
            </w:r>
          </w:p>
        </w:tc>
        <w:tc>
          <w:tcPr>
            <w:tcW w:w="0" w:type="auto"/>
            <w:tcBorders>
              <w:top w:val="nil"/>
              <w:left w:val="nil"/>
              <w:bottom w:val="nil"/>
              <w:right w:val="nil"/>
            </w:tcBorders>
            <w:shd w:val="clear" w:color="auto" w:fill="auto"/>
            <w:noWrap/>
            <w:vAlign w:val="center"/>
            <w:hideMark/>
          </w:tcPr>
          <w:p w14:paraId="7350671F" w14:textId="77777777" w:rsidR="00BA275B" w:rsidRPr="00D30496" w:rsidRDefault="00BA275B" w:rsidP="00D30496">
            <w:pPr>
              <w:jc w:val="right"/>
              <w:rPr>
                <w:sz w:val="15"/>
                <w:szCs w:val="15"/>
              </w:rPr>
            </w:pPr>
            <w:r w:rsidRPr="00D30496">
              <w:rPr>
                <w:sz w:val="15"/>
                <w:szCs w:val="15"/>
              </w:rPr>
              <w:t>20.8</w:t>
            </w:r>
          </w:p>
        </w:tc>
        <w:tc>
          <w:tcPr>
            <w:tcW w:w="0" w:type="auto"/>
            <w:tcBorders>
              <w:top w:val="nil"/>
              <w:left w:val="nil"/>
              <w:bottom w:val="nil"/>
              <w:right w:val="nil"/>
            </w:tcBorders>
            <w:shd w:val="clear" w:color="auto" w:fill="auto"/>
            <w:noWrap/>
            <w:vAlign w:val="center"/>
            <w:hideMark/>
          </w:tcPr>
          <w:p w14:paraId="6E9115A2" w14:textId="77777777" w:rsidR="00BA275B" w:rsidRPr="00D30496" w:rsidRDefault="00BA275B" w:rsidP="00D30496">
            <w:pPr>
              <w:jc w:val="right"/>
              <w:rPr>
                <w:sz w:val="15"/>
                <w:szCs w:val="15"/>
              </w:rPr>
            </w:pPr>
            <w:r w:rsidRPr="00D30496">
              <w:rPr>
                <w:sz w:val="15"/>
                <w:szCs w:val="15"/>
              </w:rPr>
              <w:t>3.4</w:t>
            </w:r>
          </w:p>
        </w:tc>
        <w:tc>
          <w:tcPr>
            <w:tcW w:w="0" w:type="auto"/>
            <w:tcBorders>
              <w:top w:val="nil"/>
              <w:left w:val="nil"/>
              <w:bottom w:val="nil"/>
              <w:right w:val="nil"/>
            </w:tcBorders>
            <w:shd w:val="clear" w:color="auto" w:fill="auto"/>
            <w:noWrap/>
            <w:vAlign w:val="center"/>
            <w:hideMark/>
          </w:tcPr>
          <w:p w14:paraId="4EF7CDFA" w14:textId="77777777" w:rsidR="00BA275B" w:rsidRPr="00D30496" w:rsidRDefault="00BA275B" w:rsidP="00D30496">
            <w:pPr>
              <w:jc w:val="right"/>
              <w:rPr>
                <w:sz w:val="15"/>
                <w:szCs w:val="15"/>
              </w:rPr>
            </w:pPr>
            <w:r w:rsidRPr="00D30496">
              <w:rPr>
                <w:sz w:val="15"/>
                <w:szCs w:val="15"/>
              </w:rPr>
              <w:t>2.7</w:t>
            </w:r>
          </w:p>
        </w:tc>
        <w:tc>
          <w:tcPr>
            <w:tcW w:w="0" w:type="auto"/>
            <w:tcBorders>
              <w:top w:val="nil"/>
              <w:left w:val="nil"/>
              <w:bottom w:val="nil"/>
              <w:right w:val="nil"/>
            </w:tcBorders>
            <w:shd w:val="clear" w:color="auto" w:fill="auto"/>
            <w:noWrap/>
            <w:vAlign w:val="center"/>
            <w:hideMark/>
          </w:tcPr>
          <w:p w14:paraId="13A5DFD7" w14:textId="77777777" w:rsidR="00BA275B" w:rsidRPr="00D30496" w:rsidRDefault="00BA275B" w:rsidP="00D30496">
            <w:pPr>
              <w:jc w:val="right"/>
              <w:rPr>
                <w:sz w:val="15"/>
                <w:szCs w:val="15"/>
              </w:rPr>
            </w:pPr>
            <w:r w:rsidRPr="00D30496">
              <w:rPr>
                <w:sz w:val="15"/>
                <w:szCs w:val="15"/>
              </w:rPr>
              <w:t>0.5</w:t>
            </w:r>
          </w:p>
        </w:tc>
        <w:tc>
          <w:tcPr>
            <w:tcW w:w="0" w:type="auto"/>
            <w:tcBorders>
              <w:top w:val="nil"/>
              <w:left w:val="nil"/>
              <w:bottom w:val="nil"/>
              <w:right w:val="nil"/>
            </w:tcBorders>
            <w:shd w:val="clear" w:color="auto" w:fill="auto"/>
            <w:noWrap/>
            <w:vAlign w:val="center"/>
            <w:hideMark/>
          </w:tcPr>
          <w:p w14:paraId="5D8903C9" w14:textId="77777777" w:rsidR="00BA275B" w:rsidRPr="00D30496" w:rsidRDefault="00BA275B" w:rsidP="00D30496">
            <w:pPr>
              <w:jc w:val="right"/>
              <w:rPr>
                <w:sz w:val="15"/>
                <w:szCs w:val="15"/>
              </w:rPr>
            </w:pPr>
            <w:r w:rsidRPr="00D30496">
              <w:rPr>
                <w:sz w:val="15"/>
                <w:szCs w:val="15"/>
              </w:rPr>
              <w:t>0.1</w:t>
            </w:r>
          </w:p>
        </w:tc>
        <w:tc>
          <w:tcPr>
            <w:tcW w:w="0" w:type="auto"/>
            <w:tcBorders>
              <w:top w:val="nil"/>
              <w:left w:val="nil"/>
              <w:bottom w:val="nil"/>
              <w:right w:val="nil"/>
            </w:tcBorders>
            <w:shd w:val="clear" w:color="auto" w:fill="auto"/>
            <w:noWrap/>
            <w:vAlign w:val="center"/>
            <w:hideMark/>
          </w:tcPr>
          <w:p w14:paraId="6C631733" w14:textId="77777777" w:rsidR="00BA275B" w:rsidRPr="00D30496" w:rsidRDefault="00BA275B" w:rsidP="00D30496">
            <w:pPr>
              <w:jc w:val="right"/>
              <w:rPr>
                <w:sz w:val="15"/>
                <w:szCs w:val="15"/>
              </w:rPr>
            </w:pPr>
            <w:r w:rsidRPr="00D30496">
              <w:rPr>
                <w:sz w:val="15"/>
                <w:szCs w:val="15"/>
              </w:rPr>
              <w:t>1.6</w:t>
            </w:r>
          </w:p>
        </w:tc>
        <w:tc>
          <w:tcPr>
            <w:tcW w:w="0" w:type="auto"/>
            <w:tcBorders>
              <w:top w:val="nil"/>
              <w:left w:val="nil"/>
              <w:bottom w:val="nil"/>
              <w:right w:val="nil"/>
            </w:tcBorders>
            <w:shd w:val="clear" w:color="auto" w:fill="auto"/>
            <w:noWrap/>
            <w:vAlign w:val="center"/>
            <w:hideMark/>
          </w:tcPr>
          <w:p w14:paraId="307DEFEC" w14:textId="77777777" w:rsidR="00BA275B" w:rsidRPr="00D30496" w:rsidRDefault="00BA275B" w:rsidP="00D30496">
            <w:pPr>
              <w:jc w:val="right"/>
              <w:rPr>
                <w:sz w:val="15"/>
                <w:szCs w:val="15"/>
              </w:rPr>
            </w:pPr>
            <w:r w:rsidRPr="00D30496">
              <w:rPr>
                <w:sz w:val="15"/>
                <w:szCs w:val="15"/>
              </w:rPr>
              <w:t>204,926</w:t>
            </w:r>
          </w:p>
        </w:tc>
      </w:tr>
      <w:tr w:rsidR="006B42D6" w:rsidRPr="00D30496" w14:paraId="08676308" w14:textId="77777777" w:rsidTr="00D30496">
        <w:trPr>
          <w:trHeight w:val="272"/>
        </w:trPr>
        <w:tc>
          <w:tcPr>
            <w:tcW w:w="0" w:type="auto"/>
            <w:tcBorders>
              <w:top w:val="nil"/>
              <w:left w:val="nil"/>
              <w:bottom w:val="nil"/>
              <w:right w:val="nil"/>
            </w:tcBorders>
            <w:shd w:val="clear" w:color="auto" w:fill="auto"/>
            <w:noWrap/>
            <w:vAlign w:val="center"/>
            <w:hideMark/>
          </w:tcPr>
          <w:p w14:paraId="7E0B1EC4" w14:textId="77777777" w:rsidR="00BA275B" w:rsidRPr="00D30496" w:rsidRDefault="00BA275B" w:rsidP="00383AA6">
            <w:pPr>
              <w:rPr>
                <w:sz w:val="15"/>
                <w:szCs w:val="15"/>
              </w:rPr>
            </w:pPr>
            <w:r w:rsidRPr="00D30496">
              <w:rPr>
                <w:sz w:val="15"/>
                <w:szCs w:val="15"/>
              </w:rPr>
              <w:t>Kagera</w:t>
            </w:r>
          </w:p>
        </w:tc>
        <w:tc>
          <w:tcPr>
            <w:tcW w:w="0" w:type="auto"/>
            <w:tcBorders>
              <w:top w:val="nil"/>
              <w:left w:val="nil"/>
              <w:bottom w:val="nil"/>
              <w:right w:val="nil"/>
            </w:tcBorders>
            <w:shd w:val="clear" w:color="auto" w:fill="auto"/>
            <w:noWrap/>
            <w:vAlign w:val="center"/>
            <w:hideMark/>
          </w:tcPr>
          <w:p w14:paraId="0BA83779" w14:textId="77777777" w:rsidR="00BA275B" w:rsidRPr="00D30496" w:rsidRDefault="00BA275B" w:rsidP="00D30496">
            <w:pPr>
              <w:jc w:val="right"/>
              <w:rPr>
                <w:sz w:val="15"/>
                <w:szCs w:val="15"/>
              </w:rPr>
            </w:pPr>
            <w:r w:rsidRPr="00D30496">
              <w:rPr>
                <w:sz w:val="15"/>
                <w:szCs w:val="15"/>
              </w:rPr>
              <w:t>94.6</w:t>
            </w:r>
          </w:p>
        </w:tc>
        <w:tc>
          <w:tcPr>
            <w:tcW w:w="0" w:type="auto"/>
            <w:tcBorders>
              <w:top w:val="nil"/>
              <w:left w:val="nil"/>
              <w:bottom w:val="nil"/>
              <w:right w:val="nil"/>
            </w:tcBorders>
            <w:shd w:val="clear" w:color="auto" w:fill="auto"/>
            <w:noWrap/>
            <w:vAlign w:val="center"/>
            <w:hideMark/>
          </w:tcPr>
          <w:p w14:paraId="4F64D095" w14:textId="77777777" w:rsidR="00BA275B" w:rsidRPr="00D30496" w:rsidRDefault="00BA275B" w:rsidP="00D30496">
            <w:pPr>
              <w:jc w:val="right"/>
              <w:rPr>
                <w:sz w:val="15"/>
                <w:szCs w:val="15"/>
              </w:rPr>
            </w:pPr>
            <w:r w:rsidRPr="00D30496">
              <w:rPr>
                <w:sz w:val="15"/>
                <w:szCs w:val="15"/>
              </w:rPr>
              <w:t>98.4</w:t>
            </w:r>
          </w:p>
        </w:tc>
        <w:tc>
          <w:tcPr>
            <w:tcW w:w="0" w:type="auto"/>
            <w:tcBorders>
              <w:top w:val="nil"/>
              <w:left w:val="nil"/>
              <w:bottom w:val="nil"/>
              <w:right w:val="nil"/>
            </w:tcBorders>
            <w:shd w:val="clear" w:color="auto" w:fill="auto"/>
            <w:noWrap/>
            <w:vAlign w:val="center"/>
            <w:hideMark/>
          </w:tcPr>
          <w:p w14:paraId="69A2C3BC" w14:textId="77777777" w:rsidR="00BA275B" w:rsidRPr="00D30496" w:rsidRDefault="00BA275B" w:rsidP="00D30496">
            <w:pPr>
              <w:jc w:val="right"/>
              <w:rPr>
                <w:sz w:val="15"/>
                <w:szCs w:val="15"/>
              </w:rPr>
            </w:pPr>
            <w:r w:rsidRPr="00D30496">
              <w:rPr>
                <w:sz w:val="15"/>
                <w:szCs w:val="15"/>
              </w:rPr>
              <w:t>3.3</w:t>
            </w:r>
          </w:p>
        </w:tc>
        <w:tc>
          <w:tcPr>
            <w:tcW w:w="0" w:type="auto"/>
            <w:tcBorders>
              <w:top w:val="nil"/>
              <w:left w:val="nil"/>
              <w:bottom w:val="nil"/>
              <w:right w:val="nil"/>
            </w:tcBorders>
            <w:shd w:val="clear" w:color="auto" w:fill="auto"/>
            <w:noWrap/>
            <w:vAlign w:val="center"/>
            <w:hideMark/>
          </w:tcPr>
          <w:p w14:paraId="243BFACF" w14:textId="77777777" w:rsidR="00BA275B" w:rsidRPr="00D30496" w:rsidRDefault="00BA275B" w:rsidP="00D30496">
            <w:pPr>
              <w:jc w:val="right"/>
              <w:rPr>
                <w:sz w:val="15"/>
                <w:szCs w:val="15"/>
              </w:rPr>
            </w:pPr>
            <w:r w:rsidRPr="00D30496">
              <w:rPr>
                <w:sz w:val="15"/>
                <w:szCs w:val="15"/>
              </w:rPr>
              <w:t>2.9</w:t>
            </w:r>
          </w:p>
        </w:tc>
        <w:tc>
          <w:tcPr>
            <w:tcW w:w="0" w:type="auto"/>
            <w:tcBorders>
              <w:top w:val="nil"/>
              <w:left w:val="nil"/>
              <w:bottom w:val="nil"/>
              <w:right w:val="nil"/>
            </w:tcBorders>
            <w:shd w:val="clear" w:color="auto" w:fill="auto"/>
            <w:noWrap/>
            <w:vAlign w:val="center"/>
            <w:hideMark/>
          </w:tcPr>
          <w:p w14:paraId="2C11A62D" w14:textId="77777777" w:rsidR="00BA275B" w:rsidRPr="00D30496" w:rsidRDefault="00BA275B" w:rsidP="00D30496">
            <w:pPr>
              <w:jc w:val="right"/>
              <w:rPr>
                <w:sz w:val="15"/>
                <w:szCs w:val="15"/>
              </w:rPr>
            </w:pPr>
            <w:r w:rsidRPr="00D30496">
              <w:rPr>
                <w:sz w:val="15"/>
                <w:szCs w:val="15"/>
              </w:rPr>
              <w:t>0.7</w:t>
            </w:r>
          </w:p>
        </w:tc>
        <w:tc>
          <w:tcPr>
            <w:tcW w:w="0" w:type="auto"/>
            <w:tcBorders>
              <w:top w:val="nil"/>
              <w:left w:val="nil"/>
              <w:bottom w:val="nil"/>
              <w:right w:val="nil"/>
            </w:tcBorders>
            <w:shd w:val="clear" w:color="auto" w:fill="auto"/>
            <w:noWrap/>
            <w:vAlign w:val="center"/>
            <w:hideMark/>
          </w:tcPr>
          <w:p w14:paraId="3C20D10F" w14:textId="77777777" w:rsidR="00BA275B" w:rsidRPr="00D30496" w:rsidRDefault="00BA275B" w:rsidP="00D30496">
            <w:pPr>
              <w:jc w:val="right"/>
              <w:rPr>
                <w:sz w:val="15"/>
                <w:szCs w:val="15"/>
              </w:rPr>
            </w:pPr>
            <w:r w:rsidRPr="00D30496">
              <w:rPr>
                <w:sz w:val="15"/>
                <w:szCs w:val="15"/>
              </w:rPr>
              <w:t>1.8</w:t>
            </w:r>
          </w:p>
        </w:tc>
        <w:tc>
          <w:tcPr>
            <w:tcW w:w="0" w:type="auto"/>
            <w:tcBorders>
              <w:top w:val="nil"/>
              <w:left w:val="nil"/>
              <w:bottom w:val="nil"/>
              <w:right w:val="nil"/>
            </w:tcBorders>
            <w:shd w:val="clear" w:color="auto" w:fill="auto"/>
            <w:noWrap/>
            <w:vAlign w:val="center"/>
            <w:hideMark/>
          </w:tcPr>
          <w:p w14:paraId="5200F594" w14:textId="77777777" w:rsidR="00BA275B" w:rsidRPr="00D30496" w:rsidRDefault="00BA275B" w:rsidP="00D30496">
            <w:pPr>
              <w:jc w:val="right"/>
              <w:rPr>
                <w:sz w:val="15"/>
                <w:szCs w:val="15"/>
              </w:rPr>
            </w:pPr>
            <w:r w:rsidRPr="00D30496">
              <w:rPr>
                <w:sz w:val="15"/>
                <w:szCs w:val="15"/>
              </w:rPr>
              <w:t>0.6</w:t>
            </w:r>
          </w:p>
        </w:tc>
        <w:tc>
          <w:tcPr>
            <w:tcW w:w="0" w:type="auto"/>
            <w:tcBorders>
              <w:top w:val="nil"/>
              <w:left w:val="nil"/>
              <w:bottom w:val="nil"/>
              <w:right w:val="nil"/>
            </w:tcBorders>
            <w:shd w:val="clear" w:color="auto" w:fill="auto"/>
            <w:noWrap/>
            <w:vAlign w:val="center"/>
            <w:hideMark/>
          </w:tcPr>
          <w:p w14:paraId="09DA1366" w14:textId="77777777" w:rsidR="00BA275B" w:rsidRPr="00D30496" w:rsidRDefault="00BA275B" w:rsidP="00D30496">
            <w:pPr>
              <w:jc w:val="right"/>
              <w:rPr>
                <w:sz w:val="15"/>
                <w:szCs w:val="15"/>
              </w:rPr>
            </w:pPr>
            <w:r w:rsidRPr="00D30496">
              <w:rPr>
                <w:sz w:val="15"/>
                <w:szCs w:val="15"/>
              </w:rPr>
              <w:t>0.3</w:t>
            </w:r>
          </w:p>
        </w:tc>
        <w:tc>
          <w:tcPr>
            <w:tcW w:w="0" w:type="auto"/>
            <w:tcBorders>
              <w:top w:val="nil"/>
              <w:left w:val="nil"/>
              <w:bottom w:val="nil"/>
              <w:right w:val="nil"/>
            </w:tcBorders>
            <w:shd w:val="clear" w:color="auto" w:fill="auto"/>
            <w:noWrap/>
            <w:vAlign w:val="center"/>
            <w:hideMark/>
          </w:tcPr>
          <w:p w14:paraId="0E26E15C" w14:textId="77777777" w:rsidR="00BA275B" w:rsidRPr="00D30496" w:rsidRDefault="00BA275B" w:rsidP="00D30496">
            <w:pPr>
              <w:jc w:val="right"/>
              <w:rPr>
                <w:sz w:val="15"/>
                <w:szCs w:val="15"/>
              </w:rPr>
            </w:pPr>
            <w:r w:rsidRPr="00D30496">
              <w:rPr>
                <w:sz w:val="15"/>
                <w:szCs w:val="15"/>
              </w:rPr>
              <w:t>4.3</w:t>
            </w:r>
          </w:p>
        </w:tc>
        <w:tc>
          <w:tcPr>
            <w:tcW w:w="0" w:type="auto"/>
            <w:tcBorders>
              <w:top w:val="nil"/>
              <w:left w:val="nil"/>
              <w:bottom w:val="nil"/>
              <w:right w:val="nil"/>
            </w:tcBorders>
            <w:shd w:val="clear" w:color="auto" w:fill="auto"/>
            <w:noWrap/>
            <w:vAlign w:val="center"/>
            <w:hideMark/>
          </w:tcPr>
          <w:p w14:paraId="04A04DD5" w14:textId="77777777" w:rsidR="00BA275B" w:rsidRPr="00D30496" w:rsidRDefault="00BA275B" w:rsidP="00D30496">
            <w:pPr>
              <w:jc w:val="right"/>
              <w:rPr>
                <w:sz w:val="15"/>
                <w:szCs w:val="15"/>
              </w:rPr>
            </w:pPr>
            <w:r w:rsidRPr="00D30496">
              <w:rPr>
                <w:sz w:val="15"/>
                <w:szCs w:val="15"/>
              </w:rPr>
              <w:t>0.3</w:t>
            </w:r>
          </w:p>
        </w:tc>
        <w:tc>
          <w:tcPr>
            <w:tcW w:w="0" w:type="auto"/>
            <w:tcBorders>
              <w:top w:val="nil"/>
              <w:left w:val="nil"/>
              <w:bottom w:val="nil"/>
              <w:right w:val="nil"/>
            </w:tcBorders>
            <w:shd w:val="clear" w:color="auto" w:fill="auto"/>
            <w:noWrap/>
            <w:vAlign w:val="center"/>
            <w:hideMark/>
          </w:tcPr>
          <w:p w14:paraId="14D69BD4" w14:textId="77777777" w:rsidR="00BA275B" w:rsidRPr="00D30496" w:rsidRDefault="00BA275B" w:rsidP="00D30496">
            <w:pPr>
              <w:jc w:val="right"/>
              <w:rPr>
                <w:sz w:val="15"/>
                <w:szCs w:val="15"/>
              </w:rPr>
            </w:pPr>
            <w:r w:rsidRPr="00D30496">
              <w:rPr>
                <w:sz w:val="15"/>
                <w:szCs w:val="15"/>
              </w:rPr>
              <w:t>0.4</w:t>
            </w:r>
          </w:p>
        </w:tc>
        <w:tc>
          <w:tcPr>
            <w:tcW w:w="0" w:type="auto"/>
            <w:tcBorders>
              <w:top w:val="nil"/>
              <w:left w:val="nil"/>
              <w:bottom w:val="nil"/>
              <w:right w:val="nil"/>
            </w:tcBorders>
            <w:shd w:val="clear" w:color="auto" w:fill="auto"/>
            <w:noWrap/>
            <w:vAlign w:val="center"/>
            <w:hideMark/>
          </w:tcPr>
          <w:p w14:paraId="0824D761" w14:textId="77777777" w:rsidR="00BA275B" w:rsidRPr="00D30496" w:rsidRDefault="00BA275B" w:rsidP="00D30496">
            <w:pPr>
              <w:jc w:val="right"/>
              <w:rPr>
                <w:sz w:val="15"/>
                <w:szCs w:val="15"/>
              </w:rPr>
            </w:pPr>
            <w:r w:rsidRPr="00D30496">
              <w:rPr>
                <w:sz w:val="15"/>
                <w:szCs w:val="15"/>
              </w:rPr>
              <w:t>483,019</w:t>
            </w:r>
          </w:p>
        </w:tc>
      </w:tr>
      <w:tr w:rsidR="006B42D6" w:rsidRPr="00D30496" w14:paraId="12179F2E" w14:textId="77777777" w:rsidTr="00D30496">
        <w:trPr>
          <w:trHeight w:val="272"/>
        </w:trPr>
        <w:tc>
          <w:tcPr>
            <w:tcW w:w="0" w:type="auto"/>
            <w:tcBorders>
              <w:top w:val="nil"/>
              <w:left w:val="nil"/>
              <w:bottom w:val="nil"/>
              <w:right w:val="nil"/>
            </w:tcBorders>
            <w:shd w:val="clear" w:color="auto" w:fill="auto"/>
            <w:noWrap/>
            <w:vAlign w:val="center"/>
            <w:hideMark/>
          </w:tcPr>
          <w:p w14:paraId="014EE5A1" w14:textId="77777777" w:rsidR="00BA275B" w:rsidRPr="00D30496" w:rsidRDefault="00BA275B" w:rsidP="00383AA6">
            <w:pPr>
              <w:rPr>
                <w:sz w:val="15"/>
                <w:szCs w:val="15"/>
              </w:rPr>
            </w:pPr>
            <w:r w:rsidRPr="00D30496">
              <w:rPr>
                <w:sz w:val="15"/>
                <w:szCs w:val="15"/>
              </w:rPr>
              <w:t>Mwanza</w:t>
            </w:r>
          </w:p>
        </w:tc>
        <w:tc>
          <w:tcPr>
            <w:tcW w:w="0" w:type="auto"/>
            <w:tcBorders>
              <w:top w:val="nil"/>
              <w:left w:val="nil"/>
              <w:bottom w:val="nil"/>
              <w:right w:val="nil"/>
            </w:tcBorders>
            <w:shd w:val="clear" w:color="auto" w:fill="auto"/>
            <w:noWrap/>
            <w:vAlign w:val="center"/>
            <w:hideMark/>
          </w:tcPr>
          <w:p w14:paraId="4ACBFC0C" w14:textId="77777777" w:rsidR="00BA275B" w:rsidRPr="00D30496" w:rsidRDefault="00BA275B" w:rsidP="00D30496">
            <w:pPr>
              <w:jc w:val="right"/>
              <w:rPr>
                <w:sz w:val="15"/>
                <w:szCs w:val="15"/>
              </w:rPr>
            </w:pPr>
            <w:r w:rsidRPr="00D30496">
              <w:rPr>
                <w:sz w:val="15"/>
                <w:szCs w:val="15"/>
              </w:rPr>
              <w:t>78.6</w:t>
            </w:r>
          </w:p>
        </w:tc>
        <w:tc>
          <w:tcPr>
            <w:tcW w:w="0" w:type="auto"/>
            <w:tcBorders>
              <w:top w:val="nil"/>
              <w:left w:val="nil"/>
              <w:bottom w:val="nil"/>
              <w:right w:val="nil"/>
            </w:tcBorders>
            <w:shd w:val="clear" w:color="auto" w:fill="auto"/>
            <w:noWrap/>
            <w:vAlign w:val="center"/>
            <w:hideMark/>
          </w:tcPr>
          <w:p w14:paraId="0E9138CC" w14:textId="77777777" w:rsidR="00BA275B" w:rsidRPr="00D30496" w:rsidRDefault="00BA275B" w:rsidP="00D30496">
            <w:pPr>
              <w:jc w:val="right"/>
              <w:rPr>
                <w:sz w:val="15"/>
                <w:szCs w:val="15"/>
              </w:rPr>
            </w:pPr>
            <w:r w:rsidRPr="00D30496">
              <w:rPr>
                <w:sz w:val="15"/>
                <w:szCs w:val="15"/>
              </w:rPr>
              <w:t>94.4</w:t>
            </w:r>
          </w:p>
        </w:tc>
        <w:tc>
          <w:tcPr>
            <w:tcW w:w="0" w:type="auto"/>
            <w:tcBorders>
              <w:top w:val="nil"/>
              <w:left w:val="nil"/>
              <w:bottom w:val="nil"/>
              <w:right w:val="nil"/>
            </w:tcBorders>
            <w:shd w:val="clear" w:color="auto" w:fill="auto"/>
            <w:noWrap/>
            <w:vAlign w:val="center"/>
            <w:hideMark/>
          </w:tcPr>
          <w:p w14:paraId="743CA048" w14:textId="77777777" w:rsidR="00BA275B" w:rsidRPr="00D30496" w:rsidRDefault="00BA275B" w:rsidP="00D30496">
            <w:pPr>
              <w:jc w:val="right"/>
              <w:rPr>
                <w:sz w:val="15"/>
                <w:szCs w:val="15"/>
              </w:rPr>
            </w:pPr>
            <w:r w:rsidRPr="00D30496">
              <w:rPr>
                <w:sz w:val="15"/>
                <w:szCs w:val="15"/>
              </w:rPr>
              <w:t>33.2</w:t>
            </w:r>
          </w:p>
        </w:tc>
        <w:tc>
          <w:tcPr>
            <w:tcW w:w="0" w:type="auto"/>
            <w:tcBorders>
              <w:top w:val="nil"/>
              <w:left w:val="nil"/>
              <w:bottom w:val="nil"/>
              <w:right w:val="nil"/>
            </w:tcBorders>
            <w:shd w:val="clear" w:color="auto" w:fill="auto"/>
            <w:noWrap/>
            <w:vAlign w:val="center"/>
            <w:hideMark/>
          </w:tcPr>
          <w:p w14:paraId="54DDD082" w14:textId="77777777" w:rsidR="00BA275B" w:rsidRPr="00D30496" w:rsidRDefault="00BA275B" w:rsidP="00D30496">
            <w:pPr>
              <w:jc w:val="right"/>
              <w:rPr>
                <w:sz w:val="15"/>
                <w:szCs w:val="15"/>
              </w:rPr>
            </w:pPr>
            <w:r w:rsidRPr="00D30496">
              <w:rPr>
                <w:sz w:val="15"/>
                <w:szCs w:val="15"/>
              </w:rPr>
              <w:t>33.4</w:t>
            </w:r>
          </w:p>
        </w:tc>
        <w:tc>
          <w:tcPr>
            <w:tcW w:w="0" w:type="auto"/>
            <w:tcBorders>
              <w:top w:val="nil"/>
              <w:left w:val="nil"/>
              <w:bottom w:val="nil"/>
              <w:right w:val="nil"/>
            </w:tcBorders>
            <w:shd w:val="clear" w:color="auto" w:fill="auto"/>
            <w:noWrap/>
            <w:vAlign w:val="center"/>
            <w:hideMark/>
          </w:tcPr>
          <w:p w14:paraId="5C94E9DC" w14:textId="77777777" w:rsidR="00BA275B" w:rsidRPr="00D30496" w:rsidRDefault="00BA275B" w:rsidP="00D30496">
            <w:pPr>
              <w:jc w:val="right"/>
              <w:rPr>
                <w:sz w:val="15"/>
                <w:szCs w:val="15"/>
              </w:rPr>
            </w:pPr>
            <w:r w:rsidRPr="00D30496">
              <w:rPr>
                <w:sz w:val="15"/>
                <w:szCs w:val="15"/>
              </w:rPr>
              <w:t>0.3</w:t>
            </w:r>
          </w:p>
        </w:tc>
        <w:tc>
          <w:tcPr>
            <w:tcW w:w="0" w:type="auto"/>
            <w:tcBorders>
              <w:top w:val="nil"/>
              <w:left w:val="nil"/>
              <w:bottom w:val="nil"/>
              <w:right w:val="nil"/>
            </w:tcBorders>
            <w:shd w:val="clear" w:color="auto" w:fill="auto"/>
            <w:noWrap/>
            <w:vAlign w:val="center"/>
            <w:hideMark/>
          </w:tcPr>
          <w:p w14:paraId="57DC8692" w14:textId="77777777" w:rsidR="00BA275B" w:rsidRPr="00D30496" w:rsidRDefault="00BA275B" w:rsidP="00D30496">
            <w:pPr>
              <w:jc w:val="right"/>
              <w:rPr>
                <w:sz w:val="15"/>
                <w:szCs w:val="15"/>
              </w:rPr>
            </w:pPr>
            <w:r w:rsidRPr="00D30496">
              <w:rPr>
                <w:sz w:val="15"/>
                <w:szCs w:val="15"/>
              </w:rPr>
              <w:t>7.3</w:t>
            </w:r>
          </w:p>
        </w:tc>
        <w:tc>
          <w:tcPr>
            <w:tcW w:w="0" w:type="auto"/>
            <w:tcBorders>
              <w:top w:val="nil"/>
              <w:left w:val="nil"/>
              <w:bottom w:val="nil"/>
              <w:right w:val="nil"/>
            </w:tcBorders>
            <w:shd w:val="clear" w:color="auto" w:fill="auto"/>
            <w:noWrap/>
            <w:vAlign w:val="center"/>
            <w:hideMark/>
          </w:tcPr>
          <w:p w14:paraId="42236D39" w14:textId="77777777" w:rsidR="00BA275B" w:rsidRPr="00D30496" w:rsidRDefault="00BA275B" w:rsidP="00D30496">
            <w:pPr>
              <w:jc w:val="right"/>
              <w:rPr>
                <w:sz w:val="15"/>
                <w:szCs w:val="15"/>
              </w:rPr>
            </w:pPr>
            <w:r w:rsidRPr="00D30496">
              <w:rPr>
                <w:sz w:val="15"/>
                <w:szCs w:val="15"/>
              </w:rPr>
              <w:t>1.3</w:t>
            </w:r>
          </w:p>
        </w:tc>
        <w:tc>
          <w:tcPr>
            <w:tcW w:w="0" w:type="auto"/>
            <w:tcBorders>
              <w:top w:val="nil"/>
              <w:left w:val="nil"/>
              <w:bottom w:val="nil"/>
              <w:right w:val="nil"/>
            </w:tcBorders>
            <w:shd w:val="clear" w:color="auto" w:fill="auto"/>
            <w:noWrap/>
            <w:vAlign w:val="center"/>
            <w:hideMark/>
          </w:tcPr>
          <w:p w14:paraId="642209E8" w14:textId="77777777" w:rsidR="00BA275B" w:rsidRPr="00D30496" w:rsidRDefault="00BA275B" w:rsidP="00D30496">
            <w:pPr>
              <w:jc w:val="right"/>
              <w:rPr>
                <w:sz w:val="15"/>
                <w:szCs w:val="15"/>
              </w:rPr>
            </w:pPr>
            <w:r w:rsidRPr="00D30496">
              <w:rPr>
                <w:sz w:val="15"/>
                <w:szCs w:val="15"/>
              </w:rPr>
              <w:t>1.1</w:t>
            </w:r>
          </w:p>
        </w:tc>
        <w:tc>
          <w:tcPr>
            <w:tcW w:w="0" w:type="auto"/>
            <w:tcBorders>
              <w:top w:val="nil"/>
              <w:left w:val="nil"/>
              <w:bottom w:val="nil"/>
              <w:right w:val="nil"/>
            </w:tcBorders>
            <w:shd w:val="clear" w:color="auto" w:fill="auto"/>
            <w:noWrap/>
            <w:vAlign w:val="center"/>
            <w:hideMark/>
          </w:tcPr>
          <w:p w14:paraId="08E30032" w14:textId="77777777" w:rsidR="00BA275B" w:rsidRPr="00D30496" w:rsidRDefault="00BA275B" w:rsidP="00D30496">
            <w:pPr>
              <w:jc w:val="right"/>
              <w:rPr>
                <w:sz w:val="15"/>
                <w:szCs w:val="15"/>
              </w:rPr>
            </w:pPr>
            <w:r w:rsidRPr="00D30496">
              <w:rPr>
                <w:sz w:val="15"/>
                <w:szCs w:val="15"/>
              </w:rPr>
              <w:t>1.3</w:t>
            </w:r>
          </w:p>
        </w:tc>
        <w:tc>
          <w:tcPr>
            <w:tcW w:w="0" w:type="auto"/>
            <w:tcBorders>
              <w:top w:val="nil"/>
              <w:left w:val="nil"/>
              <w:bottom w:val="nil"/>
              <w:right w:val="nil"/>
            </w:tcBorders>
            <w:shd w:val="clear" w:color="auto" w:fill="auto"/>
            <w:noWrap/>
            <w:vAlign w:val="center"/>
            <w:hideMark/>
          </w:tcPr>
          <w:p w14:paraId="078B3BC2" w14:textId="77777777" w:rsidR="00BA275B" w:rsidRPr="00D30496" w:rsidRDefault="00BA275B" w:rsidP="00D30496">
            <w:pPr>
              <w:jc w:val="right"/>
              <w:rPr>
                <w:sz w:val="15"/>
                <w:szCs w:val="15"/>
              </w:rPr>
            </w:pPr>
            <w:r w:rsidRPr="00D30496">
              <w:rPr>
                <w:sz w:val="15"/>
                <w:szCs w:val="15"/>
              </w:rPr>
              <w:t>0.4</w:t>
            </w:r>
          </w:p>
        </w:tc>
        <w:tc>
          <w:tcPr>
            <w:tcW w:w="0" w:type="auto"/>
            <w:tcBorders>
              <w:top w:val="nil"/>
              <w:left w:val="nil"/>
              <w:bottom w:val="nil"/>
              <w:right w:val="nil"/>
            </w:tcBorders>
            <w:shd w:val="clear" w:color="auto" w:fill="auto"/>
            <w:noWrap/>
            <w:vAlign w:val="center"/>
            <w:hideMark/>
          </w:tcPr>
          <w:p w14:paraId="038040CC" w14:textId="77777777" w:rsidR="00BA275B" w:rsidRPr="00D30496" w:rsidRDefault="00BA275B" w:rsidP="00D30496">
            <w:pPr>
              <w:jc w:val="right"/>
              <w:rPr>
                <w:sz w:val="15"/>
                <w:szCs w:val="15"/>
              </w:rPr>
            </w:pPr>
            <w:r w:rsidRPr="00D30496">
              <w:rPr>
                <w:sz w:val="15"/>
                <w:szCs w:val="15"/>
              </w:rPr>
              <w:t>1.1</w:t>
            </w:r>
          </w:p>
        </w:tc>
        <w:tc>
          <w:tcPr>
            <w:tcW w:w="0" w:type="auto"/>
            <w:tcBorders>
              <w:top w:val="nil"/>
              <w:left w:val="nil"/>
              <w:bottom w:val="nil"/>
              <w:right w:val="nil"/>
            </w:tcBorders>
            <w:shd w:val="clear" w:color="auto" w:fill="auto"/>
            <w:noWrap/>
            <w:vAlign w:val="center"/>
            <w:hideMark/>
          </w:tcPr>
          <w:p w14:paraId="6A4271E0" w14:textId="77777777" w:rsidR="00BA275B" w:rsidRPr="00D30496" w:rsidRDefault="00BA275B" w:rsidP="00D30496">
            <w:pPr>
              <w:jc w:val="right"/>
              <w:rPr>
                <w:sz w:val="15"/>
                <w:szCs w:val="15"/>
              </w:rPr>
            </w:pPr>
            <w:r w:rsidRPr="00D30496">
              <w:rPr>
                <w:sz w:val="15"/>
                <w:szCs w:val="15"/>
              </w:rPr>
              <w:t>406,034</w:t>
            </w:r>
          </w:p>
        </w:tc>
      </w:tr>
      <w:tr w:rsidR="006B42D6" w:rsidRPr="00D30496" w14:paraId="2C0650CD" w14:textId="77777777" w:rsidTr="00D30496">
        <w:trPr>
          <w:trHeight w:val="272"/>
        </w:trPr>
        <w:tc>
          <w:tcPr>
            <w:tcW w:w="0" w:type="auto"/>
            <w:tcBorders>
              <w:top w:val="nil"/>
              <w:left w:val="nil"/>
              <w:bottom w:val="nil"/>
              <w:right w:val="nil"/>
            </w:tcBorders>
            <w:shd w:val="clear" w:color="auto" w:fill="auto"/>
            <w:noWrap/>
            <w:vAlign w:val="center"/>
            <w:hideMark/>
          </w:tcPr>
          <w:p w14:paraId="2F426467" w14:textId="77777777" w:rsidR="00BA275B" w:rsidRPr="00D30496" w:rsidRDefault="00BA275B" w:rsidP="00383AA6">
            <w:pPr>
              <w:rPr>
                <w:sz w:val="15"/>
                <w:szCs w:val="15"/>
              </w:rPr>
            </w:pPr>
            <w:r w:rsidRPr="00D30496">
              <w:rPr>
                <w:sz w:val="15"/>
                <w:szCs w:val="15"/>
              </w:rPr>
              <w:t>Mara</w:t>
            </w:r>
          </w:p>
        </w:tc>
        <w:tc>
          <w:tcPr>
            <w:tcW w:w="0" w:type="auto"/>
            <w:tcBorders>
              <w:top w:val="nil"/>
              <w:left w:val="nil"/>
              <w:bottom w:val="nil"/>
              <w:right w:val="nil"/>
            </w:tcBorders>
            <w:shd w:val="clear" w:color="auto" w:fill="auto"/>
            <w:noWrap/>
            <w:vAlign w:val="center"/>
            <w:hideMark/>
          </w:tcPr>
          <w:p w14:paraId="2112A234" w14:textId="77777777" w:rsidR="00BA275B" w:rsidRPr="00D30496" w:rsidRDefault="00BA275B" w:rsidP="00D30496">
            <w:pPr>
              <w:jc w:val="right"/>
              <w:rPr>
                <w:sz w:val="15"/>
                <w:szCs w:val="15"/>
              </w:rPr>
            </w:pPr>
            <w:r w:rsidRPr="00D30496">
              <w:rPr>
                <w:sz w:val="15"/>
                <w:szCs w:val="15"/>
              </w:rPr>
              <w:t>89.9</w:t>
            </w:r>
          </w:p>
        </w:tc>
        <w:tc>
          <w:tcPr>
            <w:tcW w:w="0" w:type="auto"/>
            <w:tcBorders>
              <w:top w:val="nil"/>
              <w:left w:val="nil"/>
              <w:bottom w:val="nil"/>
              <w:right w:val="nil"/>
            </w:tcBorders>
            <w:shd w:val="clear" w:color="auto" w:fill="auto"/>
            <w:noWrap/>
            <w:vAlign w:val="center"/>
            <w:hideMark/>
          </w:tcPr>
          <w:p w14:paraId="62E5761C" w14:textId="77777777" w:rsidR="00BA275B" w:rsidRPr="00D30496" w:rsidRDefault="00BA275B" w:rsidP="00D30496">
            <w:pPr>
              <w:jc w:val="right"/>
              <w:rPr>
                <w:sz w:val="15"/>
                <w:szCs w:val="15"/>
              </w:rPr>
            </w:pPr>
            <w:r w:rsidRPr="00D30496">
              <w:rPr>
                <w:sz w:val="15"/>
                <w:szCs w:val="15"/>
              </w:rPr>
              <w:t>92.7</w:t>
            </w:r>
          </w:p>
        </w:tc>
        <w:tc>
          <w:tcPr>
            <w:tcW w:w="0" w:type="auto"/>
            <w:tcBorders>
              <w:top w:val="nil"/>
              <w:left w:val="nil"/>
              <w:bottom w:val="nil"/>
              <w:right w:val="nil"/>
            </w:tcBorders>
            <w:shd w:val="clear" w:color="auto" w:fill="auto"/>
            <w:noWrap/>
            <w:vAlign w:val="center"/>
            <w:hideMark/>
          </w:tcPr>
          <w:p w14:paraId="17F10C7B" w14:textId="77777777" w:rsidR="00BA275B" w:rsidRPr="00D30496" w:rsidRDefault="00BA275B" w:rsidP="00D30496">
            <w:pPr>
              <w:jc w:val="right"/>
              <w:rPr>
                <w:sz w:val="15"/>
                <w:szCs w:val="15"/>
              </w:rPr>
            </w:pPr>
            <w:r w:rsidRPr="00D30496">
              <w:rPr>
                <w:sz w:val="15"/>
                <w:szCs w:val="15"/>
              </w:rPr>
              <w:t>45.5</w:t>
            </w:r>
          </w:p>
        </w:tc>
        <w:tc>
          <w:tcPr>
            <w:tcW w:w="0" w:type="auto"/>
            <w:tcBorders>
              <w:top w:val="nil"/>
              <w:left w:val="nil"/>
              <w:bottom w:val="nil"/>
              <w:right w:val="nil"/>
            </w:tcBorders>
            <w:shd w:val="clear" w:color="auto" w:fill="auto"/>
            <w:noWrap/>
            <w:vAlign w:val="center"/>
            <w:hideMark/>
          </w:tcPr>
          <w:p w14:paraId="15788B46" w14:textId="77777777" w:rsidR="00BA275B" w:rsidRPr="00D30496" w:rsidRDefault="00BA275B" w:rsidP="00D30496">
            <w:pPr>
              <w:jc w:val="right"/>
              <w:rPr>
                <w:sz w:val="15"/>
                <w:szCs w:val="15"/>
              </w:rPr>
            </w:pPr>
            <w:r w:rsidRPr="00D30496">
              <w:rPr>
                <w:sz w:val="15"/>
                <w:szCs w:val="15"/>
              </w:rPr>
              <w:t>45.3</w:t>
            </w:r>
          </w:p>
        </w:tc>
        <w:tc>
          <w:tcPr>
            <w:tcW w:w="0" w:type="auto"/>
            <w:tcBorders>
              <w:top w:val="nil"/>
              <w:left w:val="nil"/>
              <w:bottom w:val="nil"/>
              <w:right w:val="nil"/>
            </w:tcBorders>
            <w:shd w:val="clear" w:color="auto" w:fill="auto"/>
            <w:noWrap/>
            <w:vAlign w:val="center"/>
            <w:hideMark/>
          </w:tcPr>
          <w:p w14:paraId="4C83C5EF" w14:textId="77777777" w:rsidR="00BA275B" w:rsidRPr="00D30496" w:rsidRDefault="00BA275B" w:rsidP="00D30496">
            <w:pPr>
              <w:jc w:val="right"/>
              <w:rPr>
                <w:sz w:val="15"/>
                <w:szCs w:val="15"/>
              </w:rPr>
            </w:pPr>
            <w:r w:rsidRPr="00D30496">
              <w:rPr>
                <w:sz w:val="15"/>
                <w:szCs w:val="15"/>
              </w:rPr>
              <w:t>0.3</w:t>
            </w:r>
          </w:p>
        </w:tc>
        <w:tc>
          <w:tcPr>
            <w:tcW w:w="0" w:type="auto"/>
            <w:tcBorders>
              <w:top w:val="nil"/>
              <w:left w:val="nil"/>
              <w:bottom w:val="nil"/>
              <w:right w:val="nil"/>
            </w:tcBorders>
            <w:shd w:val="clear" w:color="auto" w:fill="auto"/>
            <w:noWrap/>
            <w:vAlign w:val="center"/>
            <w:hideMark/>
          </w:tcPr>
          <w:p w14:paraId="764D42EE" w14:textId="77777777" w:rsidR="00BA275B" w:rsidRPr="00D30496" w:rsidRDefault="00BA275B" w:rsidP="00D30496">
            <w:pPr>
              <w:jc w:val="right"/>
              <w:rPr>
                <w:sz w:val="15"/>
                <w:szCs w:val="15"/>
              </w:rPr>
            </w:pPr>
            <w:r w:rsidRPr="00D30496">
              <w:rPr>
                <w:sz w:val="15"/>
                <w:szCs w:val="15"/>
              </w:rPr>
              <w:t>4.2</w:t>
            </w:r>
          </w:p>
        </w:tc>
        <w:tc>
          <w:tcPr>
            <w:tcW w:w="0" w:type="auto"/>
            <w:tcBorders>
              <w:top w:val="nil"/>
              <w:left w:val="nil"/>
              <w:bottom w:val="nil"/>
              <w:right w:val="nil"/>
            </w:tcBorders>
            <w:shd w:val="clear" w:color="auto" w:fill="auto"/>
            <w:noWrap/>
            <w:vAlign w:val="center"/>
            <w:hideMark/>
          </w:tcPr>
          <w:p w14:paraId="0D0D8DE3" w14:textId="77777777" w:rsidR="00BA275B" w:rsidRPr="00D30496" w:rsidRDefault="00BA275B" w:rsidP="00D30496">
            <w:pPr>
              <w:jc w:val="right"/>
              <w:rPr>
                <w:sz w:val="15"/>
                <w:szCs w:val="15"/>
              </w:rPr>
            </w:pPr>
            <w:r w:rsidRPr="00D30496">
              <w:rPr>
                <w:sz w:val="15"/>
                <w:szCs w:val="15"/>
              </w:rPr>
              <w:t>1.6</w:t>
            </w:r>
          </w:p>
        </w:tc>
        <w:tc>
          <w:tcPr>
            <w:tcW w:w="0" w:type="auto"/>
            <w:tcBorders>
              <w:top w:val="nil"/>
              <w:left w:val="nil"/>
              <w:bottom w:val="nil"/>
              <w:right w:val="nil"/>
            </w:tcBorders>
            <w:shd w:val="clear" w:color="auto" w:fill="auto"/>
            <w:noWrap/>
            <w:vAlign w:val="center"/>
            <w:hideMark/>
          </w:tcPr>
          <w:p w14:paraId="5C0906D1" w14:textId="77777777" w:rsidR="00BA275B" w:rsidRPr="00D30496" w:rsidRDefault="00BA275B" w:rsidP="00D30496">
            <w:pPr>
              <w:jc w:val="right"/>
              <w:rPr>
                <w:sz w:val="15"/>
                <w:szCs w:val="15"/>
              </w:rPr>
            </w:pPr>
            <w:r w:rsidRPr="00D30496">
              <w:rPr>
                <w:sz w:val="15"/>
                <w:szCs w:val="15"/>
              </w:rPr>
              <w:t>1.8</w:t>
            </w:r>
          </w:p>
        </w:tc>
        <w:tc>
          <w:tcPr>
            <w:tcW w:w="0" w:type="auto"/>
            <w:tcBorders>
              <w:top w:val="nil"/>
              <w:left w:val="nil"/>
              <w:bottom w:val="nil"/>
              <w:right w:val="nil"/>
            </w:tcBorders>
            <w:shd w:val="clear" w:color="auto" w:fill="auto"/>
            <w:noWrap/>
            <w:vAlign w:val="center"/>
            <w:hideMark/>
          </w:tcPr>
          <w:p w14:paraId="61577975" w14:textId="77777777" w:rsidR="00BA275B" w:rsidRPr="00D30496" w:rsidRDefault="00BA275B" w:rsidP="00D30496">
            <w:pPr>
              <w:jc w:val="right"/>
              <w:rPr>
                <w:sz w:val="15"/>
                <w:szCs w:val="15"/>
              </w:rPr>
            </w:pPr>
            <w:r w:rsidRPr="00D30496">
              <w:rPr>
                <w:sz w:val="15"/>
                <w:szCs w:val="15"/>
              </w:rPr>
              <w:t>5.8</w:t>
            </w:r>
          </w:p>
        </w:tc>
        <w:tc>
          <w:tcPr>
            <w:tcW w:w="0" w:type="auto"/>
            <w:tcBorders>
              <w:top w:val="nil"/>
              <w:left w:val="nil"/>
              <w:bottom w:val="nil"/>
              <w:right w:val="nil"/>
            </w:tcBorders>
            <w:shd w:val="clear" w:color="auto" w:fill="auto"/>
            <w:noWrap/>
            <w:vAlign w:val="center"/>
            <w:hideMark/>
          </w:tcPr>
          <w:p w14:paraId="73DB6F2B" w14:textId="77777777" w:rsidR="00BA275B" w:rsidRPr="00D30496" w:rsidRDefault="00BA275B" w:rsidP="00D30496">
            <w:pPr>
              <w:jc w:val="right"/>
              <w:rPr>
                <w:sz w:val="15"/>
                <w:szCs w:val="15"/>
              </w:rPr>
            </w:pPr>
            <w:r w:rsidRPr="00D30496">
              <w:rPr>
                <w:sz w:val="15"/>
                <w:szCs w:val="15"/>
              </w:rPr>
              <w:t>0.2</w:t>
            </w:r>
          </w:p>
        </w:tc>
        <w:tc>
          <w:tcPr>
            <w:tcW w:w="0" w:type="auto"/>
            <w:tcBorders>
              <w:top w:val="nil"/>
              <w:left w:val="nil"/>
              <w:bottom w:val="nil"/>
              <w:right w:val="nil"/>
            </w:tcBorders>
            <w:shd w:val="clear" w:color="auto" w:fill="auto"/>
            <w:noWrap/>
            <w:vAlign w:val="center"/>
            <w:hideMark/>
          </w:tcPr>
          <w:p w14:paraId="4444B384" w14:textId="77777777" w:rsidR="00BA275B" w:rsidRPr="00D30496" w:rsidRDefault="00BA275B" w:rsidP="00D30496">
            <w:pPr>
              <w:jc w:val="right"/>
              <w:rPr>
                <w:sz w:val="15"/>
                <w:szCs w:val="15"/>
              </w:rPr>
            </w:pPr>
            <w:r w:rsidRPr="00D30496">
              <w:rPr>
                <w:sz w:val="15"/>
                <w:szCs w:val="15"/>
              </w:rPr>
              <w:t>1.2</w:t>
            </w:r>
          </w:p>
        </w:tc>
        <w:tc>
          <w:tcPr>
            <w:tcW w:w="0" w:type="auto"/>
            <w:tcBorders>
              <w:top w:val="nil"/>
              <w:left w:val="nil"/>
              <w:bottom w:val="nil"/>
              <w:right w:val="nil"/>
            </w:tcBorders>
            <w:shd w:val="clear" w:color="auto" w:fill="auto"/>
            <w:noWrap/>
            <w:vAlign w:val="center"/>
            <w:hideMark/>
          </w:tcPr>
          <w:p w14:paraId="1AA7A233" w14:textId="77777777" w:rsidR="00BA275B" w:rsidRPr="00D30496" w:rsidRDefault="00BA275B" w:rsidP="00D30496">
            <w:pPr>
              <w:jc w:val="right"/>
              <w:rPr>
                <w:sz w:val="15"/>
                <w:szCs w:val="15"/>
              </w:rPr>
            </w:pPr>
            <w:r w:rsidRPr="00D30496">
              <w:rPr>
                <w:sz w:val="15"/>
                <w:szCs w:val="15"/>
              </w:rPr>
              <w:t>233,931</w:t>
            </w:r>
          </w:p>
        </w:tc>
      </w:tr>
      <w:tr w:rsidR="006B42D6" w:rsidRPr="00D30496" w14:paraId="09E14981" w14:textId="77777777" w:rsidTr="00D30496">
        <w:trPr>
          <w:trHeight w:val="272"/>
        </w:trPr>
        <w:tc>
          <w:tcPr>
            <w:tcW w:w="0" w:type="auto"/>
            <w:tcBorders>
              <w:top w:val="nil"/>
              <w:left w:val="nil"/>
              <w:bottom w:val="nil"/>
              <w:right w:val="nil"/>
            </w:tcBorders>
            <w:shd w:val="clear" w:color="auto" w:fill="auto"/>
            <w:noWrap/>
            <w:vAlign w:val="center"/>
            <w:hideMark/>
          </w:tcPr>
          <w:p w14:paraId="09568CE3" w14:textId="77777777" w:rsidR="00BA275B" w:rsidRPr="00D30496" w:rsidRDefault="00BA275B" w:rsidP="00383AA6">
            <w:pPr>
              <w:rPr>
                <w:sz w:val="15"/>
                <w:szCs w:val="15"/>
              </w:rPr>
            </w:pPr>
            <w:r w:rsidRPr="00D30496">
              <w:rPr>
                <w:sz w:val="15"/>
                <w:szCs w:val="15"/>
              </w:rPr>
              <w:t>Manyara</w:t>
            </w:r>
          </w:p>
        </w:tc>
        <w:tc>
          <w:tcPr>
            <w:tcW w:w="0" w:type="auto"/>
            <w:tcBorders>
              <w:top w:val="nil"/>
              <w:left w:val="nil"/>
              <w:bottom w:val="nil"/>
              <w:right w:val="nil"/>
            </w:tcBorders>
            <w:shd w:val="clear" w:color="auto" w:fill="auto"/>
            <w:noWrap/>
            <w:vAlign w:val="center"/>
            <w:hideMark/>
          </w:tcPr>
          <w:p w14:paraId="58678DB8" w14:textId="77777777" w:rsidR="00BA275B" w:rsidRPr="00D30496" w:rsidRDefault="00BA275B" w:rsidP="00D30496">
            <w:pPr>
              <w:jc w:val="right"/>
              <w:rPr>
                <w:sz w:val="15"/>
                <w:szCs w:val="15"/>
              </w:rPr>
            </w:pPr>
            <w:r w:rsidRPr="00D30496">
              <w:rPr>
                <w:sz w:val="15"/>
                <w:szCs w:val="15"/>
              </w:rPr>
              <w:t>78.8</w:t>
            </w:r>
          </w:p>
        </w:tc>
        <w:tc>
          <w:tcPr>
            <w:tcW w:w="0" w:type="auto"/>
            <w:tcBorders>
              <w:top w:val="nil"/>
              <w:left w:val="nil"/>
              <w:bottom w:val="nil"/>
              <w:right w:val="nil"/>
            </w:tcBorders>
            <w:shd w:val="clear" w:color="auto" w:fill="auto"/>
            <w:noWrap/>
            <w:vAlign w:val="center"/>
            <w:hideMark/>
          </w:tcPr>
          <w:p w14:paraId="17B4C0F6" w14:textId="77777777" w:rsidR="00BA275B" w:rsidRPr="00D30496" w:rsidRDefault="00BA275B" w:rsidP="00D30496">
            <w:pPr>
              <w:jc w:val="right"/>
              <w:rPr>
                <w:sz w:val="15"/>
                <w:szCs w:val="15"/>
              </w:rPr>
            </w:pPr>
            <w:r w:rsidRPr="00D30496">
              <w:rPr>
                <w:sz w:val="15"/>
                <w:szCs w:val="15"/>
              </w:rPr>
              <w:t>90.9</w:t>
            </w:r>
          </w:p>
        </w:tc>
        <w:tc>
          <w:tcPr>
            <w:tcW w:w="0" w:type="auto"/>
            <w:tcBorders>
              <w:top w:val="nil"/>
              <w:left w:val="nil"/>
              <w:bottom w:val="nil"/>
              <w:right w:val="nil"/>
            </w:tcBorders>
            <w:shd w:val="clear" w:color="auto" w:fill="auto"/>
            <w:noWrap/>
            <w:vAlign w:val="center"/>
            <w:hideMark/>
          </w:tcPr>
          <w:p w14:paraId="0C5B4D2D" w14:textId="77777777" w:rsidR="00BA275B" w:rsidRPr="00D30496" w:rsidRDefault="00BA275B" w:rsidP="00D30496">
            <w:pPr>
              <w:jc w:val="right"/>
              <w:rPr>
                <w:sz w:val="15"/>
                <w:szCs w:val="15"/>
              </w:rPr>
            </w:pPr>
            <w:r w:rsidRPr="00D30496">
              <w:rPr>
                <w:sz w:val="15"/>
                <w:szCs w:val="15"/>
              </w:rPr>
              <w:t>37.2</w:t>
            </w:r>
          </w:p>
        </w:tc>
        <w:tc>
          <w:tcPr>
            <w:tcW w:w="0" w:type="auto"/>
            <w:tcBorders>
              <w:top w:val="nil"/>
              <w:left w:val="nil"/>
              <w:bottom w:val="nil"/>
              <w:right w:val="nil"/>
            </w:tcBorders>
            <w:shd w:val="clear" w:color="auto" w:fill="auto"/>
            <w:noWrap/>
            <w:vAlign w:val="center"/>
            <w:hideMark/>
          </w:tcPr>
          <w:p w14:paraId="25AC667B" w14:textId="77777777" w:rsidR="00BA275B" w:rsidRPr="00D30496" w:rsidRDefault="00BA275B" w:rsidP="00D30496">
            <w:pPr>
              <w:jc w:val="right"/>
              <w:rPr>
                <w:sz w:val="15"/>
                <w:szCs w:val="15"/>
              </w:rPr>
            </w:pPr>
            <w:r w:rsidRPr="00D30496">
              <w:rPr>
                <w:sz w:val="15"/>
                <w:szCs w:val="15"/>
              </w:rPr>
              <w:t>35.7</w:t>
            </w:r>
          </w:p>
        </w:tc>
        <w:tc>
          <w:tcPr>
            <w:tcW w:w="0" w:type="auto"/>
            <w:tcBorders>
              <w:top w:val="nil"/>
              <w:left w:val="nil"/>
              <w:bottom w:val="nil"/>
              <w:right w:val="nil"/>
            </w:tcBorders>
            <w:shd w:val="clear" w:color="auto" w:fill="auto"/>
            <w:noWrap/>
            <w:vAlign w:val="center"/>
            <w:hideMark/>
          </w:tcPr>
          <w:p w14:paraId="61E439D3" w14:textId="77777777" w:rsidR="00BA275B" w:rsidRPr="00D30496" w:rsidRDefault="00BA275B" w:rsidP="00D30496">
            <w:pPr>
              <w:jc w:val="right"/>
              <w:rPr>
                <w:sz w:val="15"/>
                <w:szCs w:val="15"/>
              </w:rPr>
            </w:pPr>
            <w:r w:rsidRPr="00D30496">
              <w:rPr>
                <w:sz w:val="15"/>
                <w:szCs w:val="15"/>
              </w:rPr>
              <w:t>2.6</w:t>
            </w:r>
          </w:p>
        </w:tc>
        <w:tc>
          <w:tcPr>
            <w:tcW w:w="0" w:type="auto"/>
            <w:tcBorders>
              <w:top w:val="nil"/>
              <w:left w:val="nil"/>
              <w:bottom w:val="nil"/>
              <w:right w:val="nil"/>
            </w:tcBorders>
            <w:shd w:val="clear" w:color="auto" w:fill="auto"/>
            <w:noWrap/>
            <w:vAlign w:val="center"/>
            <w:hideMark/>
          </w:tcPr>
          <w:p w14:paraId="0B8B35E3" w14:textId="77777777" w:rsidR="00BA275B" w:rsidRPr="00D30496" w:rsidRDefault="00BA275B" w:rsidP="00D30496">
            <w:pPr>
              <w:jc w:val="right"/>
              <w:rPr>
                <w:sz w:val="15"/>
                <w:szCs w:val="15"/>
              </w:rPr>
            </w:pPr>
            <w:r w:rsidRPr="00D30496">
              <w:rPr>
                <w:sz w:val="15"/>
                <w:szCs w:val="15"/>
              </w:rPr>
              <w:t>18.7</w:t>
            </w:r>
          </w:p>
        </w:tc>
        <w:tc>
          <w:tcPr>
            <w:tcW w:w="0" w:type="auto"/>
            <w:tcBorders>
              <w:top w:val="nil"/>
              <w:left w:val="nil"/>
              <w:bottom w:val="nil"/>
              <w:right w:val="nil"/>
            </w:tcBorders>
            <w:shd w:val="clear" w:color="auto" w:fill="auto"/>
            <w:noWrap/>
            <w:vAlign w:val="center"/>
            <w:hideMark/>
          </w:tcPr>
          <w:p w14:paraId="769EFDF5" w14:textId="77777777" w:rsidR="00BA275B" w:rsidRPr="00D30496" w:rsidRDefault="00BA275B" w:rsidP="00D30496">
            <w:pPr>
              <w:jc w:val="right"/>
              <w:rPr>
                <w:sz w:val="15"/>
                <w:szCs w:val="15"/>
              </w:rPr>
            </w:pPr>
            <w:r w:rsidRPr="00D30496">
              <w:rPr>
                <w:sz w:val="15"/>
                <w:szCs w:val="15"/>
              </w:rPr>
              <w:t>39.7</w:t>
            </w:r>
          </w:p>
        </w:tc>
        <w:tc>
          <w:tcPr>
            <w:tcW w:w="0" w:type="auto"/>
            <w:tcBorders>
              <w:top w:val="nil"/>
              <w:left w:val="nil"/>
              <w:bottom w:val="nil"/>
              <w:right w:val="nil"/>
            </w:tcBorders>
            <w:shd w:val="clear" w:color="auto" w:fill="auto"/>
            <w:noWrap/>
            <w:vAlign w:val="center"/>
            <w:hideMark/>
          </w:tcPr>
          <w:p w14:paraId="4C819E8F" w14:textId="77777777" w:rsidR="00BA275B" w:rsidRPr="00D30496" w:rsidRDefault="00BA275B" w:rsidP="00D30496">
            <w:pPr>
              <w:jc w:val="right"/>
              <w:rPr>
                <w:sz w:val="15"/>
                <w:szCs w:val="15"/>
              </w:rPr>
            </w:pPr>
            <w:r w:rsidRPr="00D30496">
              <w:rPr>
                <w:sz w:val="15"/>
                <w:szCs w:val="15"/>
              </w:rPr>
              <w:t>29.7</w:t>
            </w:r>
          </w:p>
        </w:tc>
        <w:tc>
          <w:tcPr>
            <w:tcW w:w="0" w:type="auto"/>
            <w:tcBorders>
              <w:top w:val="nil"/>
              <w:left w:val="nil"/>
              <w:bottom w:val="nil"/>
              <w:right w:val="nil"/>
            </w:tcBorders>
            <w:shd w:val="clear" w:color="auto" w:fill="auto"/>
            <w:noWrap/>
            <w:vAlign w:val="center"/>
            <w:hideMark/>
          </w:tcPr>
          <w:p w14:paraId="23ACA5D9" w14:textId="77777777" w:rsidR="00BA275B" w:rsidRPr="00D30496" w:rsidRDefault="00BA275B" w:rsidP="00D30496">
            <w:pPr>
              <w:jc w:val="right"/>
              <w:rPr>
                <w:sz w:val="15"/>
                <w:szCs w:val="15"/>
              </w:rPr>
            </w:pPr>
            <w:r w:rsidRPr="00D30496">
              <w:rPr>
                <w:sz w:val="15"/>
                <w:szCs w:val="15"/>
              </w:rPr>
              <w:t>2.5</w:t>
            </w:r>
          </w:p>
        </w:tc>
        <w:tc>
          <w:tcPr>
            <w:tcW w:w="0" w:type="auto"/>
            <w:tcBorders>
              <w:top w:val="nil"/>
              <w:left w:val="nil"/>
              <w:bottom w:val="nil"/>
              <w:right w:val="nil"/>
            </w:tcBorders>
            <w:shd w:val="clear" w:color="auto" w:fill="auto"/>
            <w:noWrap/>
            <w:vAlign w:val="center"/>
            <w:hideMark/>
          </w:tcPr>
          <w:p w14:paraId="31633DC4" w14:textId="77777777" w:rsidR="00BA275B" w:rsidRPr="00D30496" w:rsidRDefault="00BA275B" w:rsidP="00D30496">
            <w:pPr>
              <w:jc w:val="right"/>
              <w:rPr>
                <w:sz w:val="15"/>
                <w:szCs w:val="15"/>
              </w:rPr>
            </w:pPr>
            <w:r w:rsidRPr="00D30496">
              <w:rPr>
                <w:sz w:val="15"/>
                <w:szCs w:val="15"/>
              </w:rPr>
              <w:t>0.6</w:t>
            </w:r>
          </w:p>
        </w:tc>
        <w:tc>
          <w:tcPr>
            <w:tcW w:w="0" w:type="auto"/>
            <w:tcBorders>
              <w:top w:val="nil"/>
              <w:left w:val="nil"/>
              <w:bottom w:val="nil"/>
              <w:right w:val="nil"/>
            </w:tcBorders>
            <w:shd w:val="clear" w:color="auto" w:fill="auto"/>
            <w:noWrap/>
            <w:vAlign w:val="center"/>
            <w:hideMark/>
          </w:tcPr>
          <w:p w14:paraId="47454A11" w14:textId="77777777" w:rsidR="00BA275B" w:rsidRPr="00D30496" w:rsidRDefault="00BA275B" w:rsidP="00D30496">
            <w:pPr>
              <w:jc w:val="right"/>
              <w:rPr>
                <w:sz w:val="15"/>
                <w:szCs w:val="15"/>
              </w:rPr>
            </w:pPr>
            <w:r w:rsidRPr="00D30496">
              <w:rPr>
                <w:sz w:val="15"/>
                <w:szCs w:val="15"/>
              </w:rPr>
              <w:t>2.3</w:t>
            </w:r>
          </w:p>
        </w:tc>
        <w:tc>
          <w:tcPr>
            <w:tcW w:w="0" w:type="auto"/>
            <w:tcBorders>
              <w:top w:val="nil"/>
              <w:left w:val="nil"/>
              <w:bottom w:val="nil"/>
              <w:right w:val="nil"/>
            </w:tcBorders>
            <w:shd w:val="clear" w:color="auto" w:fill="auto"/>
            <w:noWrap/>
            <w:vAlign w:val="center"/>
            <w:hideMark/>
          </w:tcPr>
          <w:p w14:paraId="48373B0D" w14:textId="77777777" w:rsidR="00BA275B" w:rsidRPr="00D30496" w:rsidRDefault="00BA275B" w:rsidP="00D30496">
            <w:pPr>
              <w:jc w:val="right"/>
              <w:rPr>
                <w:sz w:val="15"/>
                <w:szCs w:val="15"/>
              </w:rPr>
            </w:pPr>
            <w:r w:rsidRPr="00D30496">
              <w:rPr>
                <w:sz w:val="15"/>
                <w:szCs w:val="15"/>
              </w:rPr>
              <w:t>272,224</w:t>
            </w:r>
          </w:p>
        </w:tc>
      </w:tr>
      <w:tr w:rsidR="006B42D6" w:rsidRPr="00D30496" w14:paraId="5EFF9855" w14:textId="77777777" w:rsidTr="00D30496">
        <w:trPr>
          <w:trHeight w:val="272"/>
        </w:trPr>
        <w:tc>
          <w:tcPr>
            <w:tcW w:w="0" w:type="auto"/>
            <w:tcBorders>
              <w:top w:val="nil"/>
              <w:left w:val="nil"/>
              <w:bottom w:val="nil"/>
              <w:right w:val="nil"/>
            </w:tcBorders>
            <w:shd w:val="clear" w:color="auto" w:fill="auto"/>
            <w:noWrap/>
            <w:vAlign w:val="center"/>
            <w:hideMark/>
          </w:tcPr>
          <w:p w14:paraId="22CD7CEF" w14:textId="77777777" w:rsidR="00BA275B" w:rsidRPr="00D30496" w:rsidRDefault="00BA275B" w:rsidP="00383AA6">
            <w:pPr>
              <w:rPr>
                <w:sz w:val="15"/>
                <w:szCs w:val="15"/>
              </w:rPr>
            </w:pPr>
            <w:r w:rsidRPr="00D30496">
              <w:rPr>
                <w:sz w:val="15"/>
                <w:szCs w:val="15"/>
              </w:rPr>
              <w:t>Njombe</w:t>
            </w:r>
          </w:p>
        </w:tc>
        <w:tc>
          <w:tcPr>
            <w:tcW w:w="0" w:type="auto"/>
            <w:tcBorders>
              <w:top w:val="nil"/>
              <w:left w:val="nil"/>
              <w:bottom w:val="nil"/>
              <w:right w:val="nil"/>
            </w:tcBorders>
            <w:shd w:val="clear" w:color="auto" w:fill="auto"/>
            <w:noWrap/>
            <w:vAlign w:val="center"/>
            <w:hideMark/>
          </w:tcPr>
          <w:p w14:paraId="403E909A" w14:textId="77777777" w:rsidR="00BA275B" w:rsidRPr="00D30496" w:rsidRDefault="00BA275B" w:rsidP="00D30496">
            <w:pPr>
              <w:jc w:val="right"/>
              <w:rPr>
                <w:sz w:val="15"/>
                <w:szCs w:val="15"/>
              </w:rPr>
            </w:pPr>
            <w:r w:rsidRPr="00D30496">
              <w:rPr>
                <w:sz w:val="15"/>
                <w:szCs w:val="15"/>
              </w:rPr>
              <w:t>92.0</w:t>
            </w:r>
          </w:p>
        </w:tc>
        <w:tc>
          <w:tcPr>
            <w:tcW w:w="0" w:type="auto"/>
            <w:tcBorders>
              <w:top w:val="nil"/>
              <w:left w:val="nil"/>
              <w:bottom w:val="nil"/>
              <w:right w:val="nil"/>
            </w:tcBorders>
            <w:shd w:val="clear" w:color="auto" w:fill="auto"/>
            <w:noWrap/>
            <w:vAlign w:val="center"/>
            <w:hideMark/>
          </w:tcPr>
          <w:p w14:paraId="3B3E2B21" w14:textId="77777777" w:rsidR="00BA275B" w:rsidRPr="00D30496" w:rsidRDefault="00BA275B" w:rsidP="00D30496">
            <w:pPr>
              <w:jc w:val="right"/>
              <w:rPr>
                <w:sz w:val="15"/>
                <w:szCs w:val="15"/>
              </w:rPr>
            </w:pPr>
            <w:r w:rsidRPr="00D30496">
              <w:rPr>
                <w:sz w:val="15"/>
                <w:szCs w:val="15"/>
              </w:rPr>
              <w:t>96.3</w:t>
            </w:r>
          </w:p>
        </w:tc>
        <w:tc>
          <w:tcPr>
            <w:tcW w:w="0" w:type="auto"/>
            <w:tcBorders>
              <w:top w:val="nil"/>
              <w:left w:val="nil"/>
              <w:bottom w:val="nil"/>
              <w:right w:val="nil"/>
            </w:tcBorders>
            <w:shd w:val="clear" w:color="auto" w:fill="auto"/>
            <w:noWrap/>
            <w:vAlign w:val="center"/>
            <w:hideMark/>
          </w:tcPr>
          <w:p w14:paraId="5B0959E4" w14:textId="77777777" w:rsidR="00BA275B" w:rsidRPr="00D30496" w:rsidRDefault="00BA275B" w:rsidP="00D30496">
            <w:pPr>
              <w:jc w:val="right"/>
              <w:rPr>
                <w:sz w:val="15"/>
                <w:szCs w:val="15"/>
              </w:rPr>
            </w:pPr>
            <w:r w:rsidRPr="00D30496">
              <w:rPr>
                <w:sz w:val="15"/>
                <w:szCs w:val="15"/>
              </w:rPr>
              <w:t>25.3</w:t>
            </w:r>
          </w:p>
        </w:tc>
        <w:tc>
          <w:tcPr>
            <w:tcW w:w="0" w:type="auto"/>
            <w:tcBorders>
              <w:top w:val="nil"/>
              <w:left w:val="nil"/>
              <w:bottom w:val="nil"/>
              <w:right w:val="nil"/>
            </w:tcBorders>
            <w:shd w:val="clear" w:color="auto" w:fill="auto"/>
            <w:noWrap/>
            <w:vAlign w:val="center"/>
            <w:hideMark/>
          </w:tcPr>
          <w:p w14:paraId="10CA75EB" w14:textId="77777777" w:rsidR="00BA275B" w:rsidRPr="00D30496" w:rsidRDefault="00BA275B" w:rsidP="00D30496">
            <w:pPr>
              <w:jc w:val="right"/>
              <w:rPr>
                <w:sz w:val="15"/>
                <w:szCs w:val="15"/>
              </w:rPr>
            </w:pPr>
            <w:r w:rsidRPr="00D30496">
              <w:rPr>
                <w:sz w:val="15"/>
                <w:szCs w:val="15"/>
              </w:rPr>
              <w:t>28.8</w:t>
            </w:r>
          </w:p>
        </w:tc>
        <w:tc>
          <w:tcPr>
            <w:tcW w:w="0" w:type="auto"/>
            <w:tcBorders>
              <w:top w:val="nil"/>
              <w:left w:val="nil"/>
              <w:bottom w:val="nil"/>
              <w:right w:val="nil"/>
            </w:tcBorders>
            <w:shd w:val="clear" w:color="auto" w:fill="auto"/>
            <w:noWrap/>
            <w:vAlign w:val="center"/>
            <w:hideMark/>
          </w:tcPr>
          <w:p w14:paraId="421A760A" w14:textId="77777777" w:rsidR="00BA275B" w:rsidRPr="00D30496" w:rsidRDefault="00BA275B" w:rsidP="00D30496">
            <w:pPr>
              <w:jc w:val="right"/>
              <w:rPr>
                <w:sz w:val="15"/>
                <w:szCs w:val="15"/>
              </w:rPr>
            </w:pPr>
            <w:r w:rsidRPr="00D30496">
              <w:rPr>
                <w:sz w:val="15"/>
                <w:szCs w:val="15"/>
              </w:rPr>
              <w:t>0.2</w:t>
            </w:r>
          </w:p>
        </w:tc>
        <w:tc>
          <w:tcPr>
            <w:tcW w:w="0" w:type="auto"/>
            <w:tcBorders>
              <w:top w:val="nil"/>
              <w:left w:val="nil"/>
              <w:bottom w:val="nil"/>
              <w:right w:val="nil"/>
            </w:tcBorders>
            <w:shd w:val="clear" w:color="auto" w:fill="auto"/>
            <w:noWrap/>
            <w:vAlign w:val="center"/>
            <w:hideMark/>
          </w:tcPr>
          <w:p w14:paraId="0C2F23EB" w14:textId="77777777" w:rsidR="00BA275B" w:rsidRPr="00D30496" w:rsidRDefault="00BA275B" w:rsidP="00D30496">
            <w:pPr>
              <w:jc w:val="right"/>
              <w:rPr>
                <w:sz w:val="15"/>
                <w:szCs w:val="15"/>
              </w:rPr>
            </w:pPr>
            <w:r w:rsidRPr="00D30496">
              <w:rPr>
                <w:sz w:val="15"/>
                <w:szCs w:val="15"/>
              </w:rPr>
              <w:t>2.5</w:t>
            </w:r>
          </w:p>
        </w:tc>
        <w:tc>
          <w:tcPr>
            <w:tcW w:w="0" w:type="auto"/>
            <w:tcBorders>
              <w:top w:val="nil"/>
              <w:left w:val="nil"/>
              <w:bottom w:val="nil"/>
              <w:right w:val="nil"/>
            </w:tcBorders>
            <w:shd w:val="clear" w:color="auto" w:fill="auto"/>
            <w:noWrap/>
            <w:vAlign w:val="center"/>
            <w:hideMark/>
          </w:tcPr>
          <w:p w14:paraId="0781B063" w14:textId="77777777" w:rsidR="00BA275B" w:rsidRPr="00D30496" w:rsidRDefault="00BA275B" w:rsidP="00D30496">
            <w:pPr>
              <w:jc w:val="right"/>
              <w:rPr>
                <w:sz w:val="15"/>
                <w:szCs w:val="15"/>
              </w:rPr>
            </w:pPr>
            <w:r w:rsidRPr="00D30496">
              <w:rPr>
                <w:sz w:val="15"/>
                <w:szCs w:val="15"/>
              </w:rPr>
              <w:t>2.0</w:t>
            </w:r>
          </w:p>
        </w:tc>
        <w:tc>
          <w:tcPr>
            <w:tcW w:w="0" w:type="auto"/>
            <w:tcBorders>
              <w:top w:val="nil"/>
              <w:left w:val="nil"/>
              <w:bottom w:val="nil"/>
              <w:right w:val="nil"/>
            </w:tcBorders>
            <w:shd w:val="clear" w:color="auto" w:fill="auto"/>
            <w:noWrap/>
            <w:vAlign w:val="center"/>
            <w:hideMark/>
          </w:tcPr>
          <w:p w14:paraId="15587A6B" w14:textId="77777777" w:rsidR="00BA275B" w:rsidRPr="00D30496" w:rsidRDefault="00BA275B" w:rsidP="00D30496">
            <w:pPr>
              <w:jc w:val="right"/>
              <w:rPr>
                <w:sz w:val="15"/>
                <w:szCs w:val="15"/>
              </w:rPr>
            </w:pPr>
            <w:r w:rsidRPr="00D30496">
              <w:rPr>
                <w:sz w:val="15"/>
                <w:szCs w:val="15"/>
              </w:rPr>
              <w:t>1.7</w:t>
            </w:r>
          </w:p>
        </w:tc>
        <w:tc>
          <w:tcPr>
            <w:tcW w:w="0" w:type="auto"/>
            <w:tcBorders>
              <w:top w:val="nil"/>
              <w:left w:val="nil"/>
              <w:bottom w:val="nil"/>
              <w:right w:val="nil"/>
            </w:tcBorders>
            <w:shd w:val="clear" w:color="auto" w:fill="auto"/>
            <w:noWrap/>
            <w:vAlign w:val="center"/>
            <w:hideMark/>
          </w:tcPr>
          <w:p w14:paraId="7E5D140A" w14:textId="77777777" w:rsidR="00BA275B" w:rsidRPr="00D30496" w:rsidRDefault="00BA275B" w:rsidP="00D30496">
            <w:pPr>
              <w:jc w:val="right"/>
              <w:rPr>
                <w:sz w:val="15"/>
                <w:szCs w:val="15"/>
              </w:rPr>
            </w:pPr>
            <w:r w:rsidRPr="00D30496">
              <w:rPr>
                <w:sz w:val="15"/>
                <w:szCs w:val="15"/>
              </w:rPr>
              <w:t>1.2</w:t>
            </w:r>
          </w:p>
        </w:tc>
        <w:tc>
          <w:tcPr>
            <w:tcW w:w="0" w:type="auto"/>
            <w:tcBorders>
              <w:top w:val="nil"/>
              <w:left w:val="nil"/>
              <w:bottom w:val="nil"/>
              <w:right w:val="nil"/>
            </w:tcBorders>
            <w:shd w:val="clear" w:color="auto" w:fill="auto"/>
            <w:noWrap/>
            <w:vAlign w:val="center"/>
            <w:hideMark/>
          </w:tcPr>
          <w:p w14:paraId="53D6B42D" w14:textId="77777777" w:rsidR="00BA275B" w:rsidRPr="00D30496" w:rsidRDefault="00BA275B" w:rsidP="00D30496">
            <w:pPr>
              <w:jc w:val="right"/>
              <w:rPr>
                <w:sz w:val="15"/>
                <w:szCs w:val="15"/>
              </w:rPr>
            </w:pPr>
            <w:r w:rsidRPr="00D30496">
              <w:rPr>
                <w:sz w:val="15"/>
                <w:szCs w:val="15"/>
              </w:rPr>
              <w:t>0.2</w:t>
            </w:r>
          </w:p>
        </w:tc>
        <w:tc>
          <w:tcPr>
            <w:tcW w:w="0" w:type="auto"/>
            <w:tcBorders>
              <w:top w:val="nil"/>
              <w:left w:val="nil"/>
              <w:bottom w:val="nil"/>
              <w:right w:val="nil"/>
            </w:tcBorders>
            <w:shd w:val="clear" w:color="auto" w:fill="auto"/>
            <w:noWrap/>
            <w:vAlign w:val="center"/>
            <w:hideMark/>
          </w:tcPr>
          <w:p w14:paraId="6ECAF597" w14:textId="77777777" w:rsidR="00BA275B" w:rsidRPr="00D30496" w:rsidRDefault="00BA275B" w:rsidP="00D30496">
            <w:pPr>
              <w:jc w:val="right"/>
              <w:rPr>
                <w:sz w:val="15"/>
                <w:szCs w:val="15"/>
              </w:rPr>
            </w:pPr>
            <w:r w:rsidRPr="00D30496">
              <w:rPr>
                <w:sz w:val="15"/>
                <w:szCs w:val="15"/>
              </w:rPr>
              <w:t>0.6</w:t>
            </w:r>
          </w:p>
        </w:tc>
        <w:tc>
          <w:tcPr>
            <w:tcW w:w="0" w:type="auto"/>
            <w:tcBorders>
              <w:top w:val="nil"/>
              <w:left w:val="nil"/>
              <w:bottom w:val="nil"/>
              <w:right w:val="nil"/>
            </w:tcBorders>
            <w:shd w:val="clear" w:color="auto" w:fill="auto"/>
            <w:noWrap/>
            <w:vAlign w:val="center"/>
            <w:hideMark/>
          </w:tcPr>
          <w:p w14:paraId="7B3C9A7D" w14:textId="77777777" w:rsidR="00BA275B" w:rsidRPr="00D30496" w:rsidRDefault="00BA275B" w:rsidP="00D30496">
            <w:pPr>
              <w:jc w:val="right"/>
              <w:rPr>
                <w:sz w:val="15"/>
                <w:szCs w:val="15"/>
              </w:rPr>
            </w:pPr>
            <w:r w:rsidRPr="00D30496">
              <w:rPr>
                <w:sz w:val="15"/>
                <w:szCs w:val="15"/>
              </w:rPr>
              <w:t>160,108</w:t>
            </w:r>
          </w:p>
        </w:tc>
      </w:tr>
      <w:tr w:rsidR="006B42D6" w:rsidRPr="00D30496" w14:paraId="7B5D2BC3" w14:textId="77777777" w:rsidTr="00D30496">
        <w:trPr>
          <w:trHeight w:val="272"/>
        </w:trPr>
        <w:tc>
          <w:tcPr>
            <w:tcW w:w="0" w:type="auto"/>
            <w:tcBorders>
              <w:top w:val="nil"/>
              <w:left w:val="nil"/>
              <w:bottom w:val="nil"/>
              <w:right w:val="nil"/>
            </w:tcBorders>
            <w:shd w:val="clear" w:color="auto" w:fill="auto"/>
            <w:noWrap/>
            <w:vAlign w:val="center"/>
            <w:hideMark/>
          </w:tcPr>
          <w:p w14:paraId="0E83D684" w14:textId="77777777" w:rsidR="00BA275B" w:rsidRPr="00D30496" w:rsidRDefault="00BA275B" w:rsidP="00383AA6">
            <w:pPr>
              <w:rPr>
                <w:sz w:val="15"/>
                <w:szCs w:val="15"/>
              </w:rPr>
            </w:pPr>
            <w:r w:rsidRPr="00D30496">
              <w:rPr>
                <w:sz w:val="15"/>
                <w:szCs w:val="15"/>
              </w:rPr>
              <w:t>Katavi</w:t>
            </w:r>
          </w:p>
        </w:tc>
        <w:tc>
          <w:tcPr>
            <w:tcW w:w="0" w:type="auto"/>
            <w:tcBorders>
              <w:top w:val="nil"/>
              <w:left w:val="nil"/>
              <w:bottom w:val="nil"/>
              <w:right w:val="nil"/>
            </w:tcBorders>
            <w:shd w:val="clear" w:color="auto" w:fill="auto"/>
            <w:noWrap/>
            <w:vAlign w:val="center"/>
            <w:hideMark/>
          </w:tcPr>
          <w:p w14:paraId="72C92D10" w14:textId="77777777" w:rsidR="00BA275B" w:rsidRPr="00D30496" w:rsidRDefault="00BA275B" w:rsidP="00D30496">
            <w:pPr>
              <w:jc w:val="right"/>
              <w:rPr>
                <w:sz w:val="15"/>
                <w:szCs w:val="15"/>
              </w:rPr>
            </w:pPr>
            <w:r w:rsidRPr="00D30496">
              <w:rPr>
                <w:sz w:val="15"/>
                <w:szCs w:val="15"/>
              </w:rPr>
              <w:t>76.6</w:t>
            </w:r>
          </w:p>
        </w:tc>
        <w:tc>
          <w:tcPr>
            <w:tcW w:w="0" w:type="auto"/>
            <w:tcBorders>
              <w:top w:val="nil"/>
              <w:left w:val="nil"/>
              <w:bottom w:val="nil"/>
              <w:right w:val="nil"/>
            </w:tcBorders>
            <w:shd w:val="clear" w:color="auto" w:fill="auto"/>
            <w:noWrap/>
            <w:vAlign w:val="center"/>
            <w:hideMark/>
          </w:tcPr>
          <w:p w14:paraId="2AD2B7F9" w14:textId="77777777" w:rsidR="00BA275B" w:rsidRPr="00D30496" w:rsidRDefault="00BA275B" w:rsidP="00D30496">
            <w:pPr>
              <w:jc w:val="right"/>
              <w:rPr>
                <w:sz w:val="15"/>
                <w:szCs w:val="15"/>
              </w:rPr>
            </w:pPr>
            <w:r w:rsidRPr="00D30496">
              <w:rPr>
                <w:sz w:val="15"/>
                <w:szCs w:val="15"/>
              </w:rPr>
              <w:t>93.3</w:t>
            </w:r>
          </w:p>
        </w:tc>
        <w:tc>
          <w:tcPr>
            <w:tcW w:w="0" w:type="auto"/>
            <w:tcBorders>
              <w:top w:val="nil"/>
              <w:left w:val="nil"/>
              <w:bottom w:val="nil"/>
              <w:right w:val="nil"/>
            </w:tcBorders>
            <w:shd w:val="clear" w:color="auto" w:fill="auto"/>
            <w:noWrap/>
            <w:vAlign w:val="center"/>
            <w:hideMark/>
          </w:tcPr>
          <w:p w14:paraId="70E89A5B" w14:textId="77777777" w:rsidR="00BA275B" w:rsidRPr="00D30496" w:rsidRDefault="00BA275B" w:rsidP="00D30496">
            <w:pPr>
              <w:jc w:val="right"/>
              <w:rPr>
                <w:sz w:val="15"/>
                <w:szCs w:val="15"/>
              </w:rPr>
            </w:pPr>
            <w:r w:rsidRPr="00D30496">
              <w:rPr>
                <w:sz w:val="15"/>
                <w:szCs w:val="15"/>
              </w:rPr>
              <w:t>39.0</w:t>
            </w:r>
          </w:p>
        </w:tc>
        <w:tc>
          <w:tcPr>
            <w:tcW w:w="0" w:type="auto"/>
            <w:tcBorders>
              <w:top w:val="nil"/>
              <w:left w:val="nil"/>
              <w:bottom w:val="nil"/>
              <w:right w:val="nil"/>
            </w:tcBorders>
            <w:shd w:val="clear" w:color="auto" w:fill="auto"/>
            <w:noWrap/>
            <w:vAlign w:val="center"/>
            <w:hideMark/>
          </w:tcPr>
          <w:p w14:paraId="2676792A" w14:textId="77777777" w:rsidR="00BA275B" w:rsidRPr="00D30496" w:rsidRDefault="00BA275B" w:rsidP="00D30496">
            <w:pPr>
              <w:jc w:val="right"/>
              <w:rPr>
                <w:sz w:val="15"/>
                <w:szCs w:val="15"/>
              </w:rPr>
            </w:pPr>
            <w:r w:rsidRPr="00D30496">
              <w:rPr>
                <w:sz w:val="15"/>
                <w:szCs w:val="15"/>
              </w:rPr>
              <w:t>37.9</w:t>
            </w:r>
          </w:p>
        </w:tc>
        <w:tc>
          <w:tcPr>
            <w:tcW w:w="0" w:type="auto"/>
            <w:tcBorders>
              <w:top w:val="nil"/>
              <w:left w:val="nil"/>
              <w:bottom w:val="nil"/>
              <w:right w:val="nil"/>
            </w:tcBorders>
            <w:shd w:val="clear" w:color="auto" w:fill="auto"/>
            <w:noWrap/>
            <w:vAlign w:val="center"/>
            <w:hideMark/>
          </w:tcPr>
          <w:p w14:paraId="2A130D83" w14:textId="77777777" w:rsidR="00BA275B" w:rsidRPr="00D30496" w:rsidRDefault="00BA275B" w:rsidP="00D30496">
            <w:pPr>
              <w:jc w:val="right"/>
              <w:rPr>
                <w:sz w:val="15"/>
                <w:szCs w:val="15"/>
              </w:rPr>
            </w:pPr>
            <w:r w:rsidRPr="00D30496">
              <w:rPr>
                <w:sz w:val="15"/>
                <w:szCs w:val="15"/>
              </w:rPr>
              <w:t>0.4</w:t>
            </w:r>
          </w:p>
        </w:tc>
        <w:tc>
          <w:tcPr>
            <w:tcW w:w="0" w:type="auto"/>
            <w:tcBorders>
              <w:top w:val="nil"/>
              <w:left w:val="nil"/>
              <w:bottom w:val="nil"/>
              <w:right w:val="nil"/>
            </w:tcBorders>
            <w:shd w:val="clear" w:color="auto" w:fill="auto"/>
            <w:noWrap/>
            <w:vAlign w:val="center"/>
            <w:hideMark/>
          </w:tcPr>
          <w:p w14:paraId="37FA187B" w14:textId="77777777" w:rsidR="00BA275B" w:rsidRPr="00D30496" w:rsidRDefault="00BA275B" w:rsidP="00D30496">
            <w:pPr>
              <w:jc w:val="right"/>
              <w:rPr>
                <w:sz w:val="15"/>
                <w:szCs w:val="15"/>
              </w:rPr>
            </w:pPr>
            <w:r w:rsidRPr="00D30496">
              <w:rPr>
                <w:sz w:val="15"/>
                <w:szCs w:val="15"/>
              </w:rPr>
              <w:t>13.2</w:t>
            </w:r>
          </w:p>
        </w:tc>
        <w:tc>
          <w:tcPr>
            <w:tcW w:w="0" w:type="auto"/>
            <w:tcBorders>
              <w:top w:val="nil"/>
              <w:left w:val="nil"/>
              <w:bottom w:val="nil"/>
              <w:right w:val="nil"/>
            </w:tcBorders>
            <w:shd w:val="clear" w:color="auto" w:fill="auto"/>
            <w:noWrap/>
            <w:vAlign w:val="center"/>
            <w:hideMark/>
          </w:tcPr>
          <w:p w14:paraId="108A01E0" w14:textId="77777777" w:rsidR="00BA275B" w:rsidRPr="00D30496" w:rsidRDefault="00BA275B" w:rsidP="00D30496">
            <w:pPr>
              <w:jc w:val="right"/>
              <w:rPr>
                <w:sz w:val="15"/>
                <w:szCs w:val="15"/>
              </w:rPr>
            </w:pPr>
            <w:r w:rsidRPr="00D30496">
              <w:rPr>
                <w:sz w:val="15"/>
                <w:szCs w:val="15"/>
              </w:rPr>
              <w:t>1.2</w:t>
            </w:r>
          </w:p>
        </w:tc>
        <w:tc>
          <w:tcPr>
            <w:tcW w:w="0" w:type="auto"/>
            <w:tcBorders>
              <w:top w:val="nil"/>
              <w:left w:val="nil"/>
              <w:bottom w:val="nil"/>
              <w:right w:val="nil"/>
            </w:tcBorders>
            <w:shd w:val="clear" w:color="auto" w:fill="auto"/>
            <w:noWrap/>
            <w:vAlign w:val="center"/>
            <w:hideMark/>
          </w:tcPr>
          <w:p w14:paraId="1976A407" w14:textId="77777777" w:rsidR="00BA275B" w:rsidRPr="00D30496" w:rsidRDefault="00BA275B" w:rsidP="00D30496">
            <w:pPr>
              <w:jc w:val="right"/>
              <w:rPr>
                <w:sz w:val="15"/>
                <w:szCs w:val="15"/>
              </w:rPr>
            </w:pPr>
            <w:r w:rsidRPr="00D30496">
              <w:rPr>
                <w:sz w:val="15"/>
                <w:szCs w:val="15"/>
              </w:rPr>
              <w:t>1.0</w:t>
            </w:r>
          </w:p>
        </w:tc>
        <w:tc>
          <w:tcPr>
            <w:tcW w:w="0" w:type="auto"/>
            <w:tcBorders>
              <w:top w:val="nil"/>
              <w:left w:val="nil"/>
              <w:bottom w:val="nil"/>
              <w:right w:val="nil"/>
            </w:tcBorders>
            <w:shd w:val="clear" w:color="auto" w:fill="auto"/>
            <w:noWrap/>
            <w:vAlign w:val="center"/>
            <w:hideMark/>
          </w:tcPr>
          <w:p w14:paraId="777F561D" w14:textId="77777777" w:rsidR="00BA275B" w:rsidRPr="00D30496" w:rsidRDefault="00BA275B" w:rsidP="00D30496">
            <w:pPr>
              <w:jc w:val="right"/>
              <w:rPr>
                <w:sz w:val="15"/>
                <w:szCs w:val="15"/>
              </w:rPr>
            </w:pPr>
            <w:r w:rsidRPr="00D30496">
              <w:rPr>
                <w:sz w:val="15"/>
                <w:szCs w:val="15"/>
              </w:rPr>
              <w:t>0.8</w:t>
            </w:r>
          </w:p>
        </w:tc>
        <w:tc>
          <w:tcPr>
            <w:tcW w:w="0" w:type="auto"/>
            <w:tcBorders>
              <w:top w:val="nil"/>
              <w:left w:val="nil"/>
              <w:bottom w:val="nil"/>
              <w:right w:val="nil"/>
            </w:tcBorders>
            <w:shd w:val="clear" w:color="auto" w:fill="auto"/>
            <w:noWrap/>
            <w:vAlign w:val="center"/>
            <w:hideMark/>
          </w:tcPr>
          <w:p w14:paraId="6B1791DD" w14:textId="77777777" w:rsidR="00BA275B" w:rsidRPr="00D30496" w:rsidRDefault="00BA275B" w:rsidP="00D30496">
            <w:pPr>
              <w:jc w:val="right"/>
              <w:rPr>
                <w:sz w:val="15"/>
                <w:szCs w:val="15"/>
              </w:rPr>
            </w:pPr>
            <w:r w:rsidRPr="00D30496">
              <w:rPr>
                <w:sz w:val="15"/>
                <w:szCs w:val="15"/>
              </w:rPr>
              <w:t>0.1</w:t>
            </w:r>
          </w:p>
        </w:tc>
        <w:tc>
          <w:tcPr>
            <w:tcW w:w="0" w:type="auto"/>
            <w:tcBorders>
              <w:top w:val="nil"/>
              <w:left w:val="nil"/>
              <w:bottom w:val="nil"/>
              <w:right w:val="nil"/>
            </w:tcBorders>
            <w:shd w:val="clear" w:color="auto" w:fill="auto"/>
            <w:noWrap/>
            <w:vAlign w:val="center"/>
            <w:hideMark/>
          </w:tcPr>
          <w:p w14:paraId="0243CAE4" w14:textId="77777777" w:rsidR="00BA275B" w:rsidRPr="00D30496" w:rsidRDefault="00BA275B" w:rsidP="00D30496">
            <w:pPr>
              <w:jc w:val="right"/>
              <w:rPr>
                <w:sz w:val="15"/>
                <w:szCs w:val="15"/>
              </w:rPr>
            </w:pPr>
            <w:r w:rsidRPr="00D30496">
              <w:rPr>
                <w:sz w:val="15"/>
                <w:szCs w:val="15"/>
              </w:rPr>
              <w:t>3.7</w:t>
            </w:r>
          </w:p>
        </w:tc>
        <w:tc>
          <w:tcPr>
            <w:tcW w:w="0" w:type="auto"/>
            <w:tcBorders>
              <w:top w:val="nil"/>
              <w:left w:val="nil"/>
              <w:bottom w:val="nil"/>
              <w:right w:val="nil"/>
            </w:tcBorders>
            <w:shd w:val="clear" w:color="auto" w:fill="auto"/>
            <w:noWrap/>
            <w:vAlign w:val="center"/>
            <w:hideMark/>
          </w:tcPr>
          <w:p w14:paraId="7DCB4D30" w14:textId="77777777" w:rsidR="00BA275B" w:rsidRPr="00D30496" w:rsidRDefault="00BA275B" w:rsidP="00D30496">
            <w:pPr>
              <w:jc w:val="right"/>
              <w:rPr>
                <w:sz w:val="15"/>
                <w:szCs w:val="15"/>
              </w:rPr>
            </w:pPr>
            <w:r w:rsidRPr="00D30496">
              <w:rPr>
                <w:sz w:val="15"/>
                <w:szCs w:val="15"/>
              </w:rPr>
              <w:t>76,867</w:t>
            </w:r>
          </w:p>
        </w:tc>
      </w:tr>
      <w:tr w:rsidR="006B42D6" w:rsidRPr="00D30496" w14:paraId="5201BAF5" w14:textId="77777777" w:rsidTr="00D30496">
        <w:trPr>
          <w:trHeight w:val="272"/>
        </w:trPr>
        <w:tc>
          <w:tcPr>
            <w:tcW w:w="0" w:type="auto"/>
            <w:tcBorders>
              <w:top w:val="nil"/>
              <w:left w:val="nil"/>
              <w:bottom w:val="nil"/>
              <w:right w:val="nil"/>
            </w:tcBorders>
            <w:shd w:val="clear" w:color="auto" w:fill="auto"/>
            <w:noWrap/>
            <w:vAlign w:val="center"/>
            <w:hideMark/>
          </w:tcPr>
          <w:p w14:paraId="4064DC63" w14:textId="77777777" w:rsidR="00BA275B" w:rsidRPr="00D30496" w:rsidRDefault="00BA275B" w:rsidP="00383AA6">
            <w:pPr>
              <w:rPr>
                <w:sz w:val="15"/>
                <w:szCs w:val="15"/>
              </w:rPr>
            </w:pPr>
            <w:r w:rsidRPr="00D30496">
              <w:rPr>
                <w:sz w:val="15"/>
                <w:szCs w:val="15"/>
              </w:rPr>
              <w:t>Simiyu</w:t>
            </w:r>
          </w:p>
        </w:tc>
        <w:tc>
          <w:tcPr>
            <w:tcW w:w="0" w:type="auto"/>
            <w:tcBorders>
              <w:top w:val="nil"/>
              <w:left w:val="nil"/>
              <w:bottom w:val="nil"/>
              <w:right w:val="nil"/>
            </w:tcBorders>
            <w:shd w:val="clear" w:color="auto" w:fill="auto"/>
            <w:noWrap/>
            <w:vAlign w:val="center"/>
            <w:hideMark/>
          </w:tcPr>
          <w:p w14:paraId="7867A83D" w14:textId="77777777" w:rsidR="00BA275B" w:rsidRPr="00D30496" w:rsidRDefault="00BA275B" w:rsidP="00D30496">
            <w:pPr>
              <w:jc w:val="right"/>
              <w:rPr>
                <w:sz w:val="15"/>
                <w:szCs w:val="15"/>
              </w:rPr>
            </w:pPr>
            <w:r w:rsidRPr="00D30496">
              <w:rPr>
                <w:sz w:val="15"/>
                <w:szCs w:val="15"/>
              </w:rPr>
              <w:t>89.0</w:t>
            </w:r>
          </w:p>
        </w:tc>
        <w:tc>
          <w:tcPr>
            <w:tcW w:w="0" w:type="auto"/>
            <w:tcBorders>
              <w:top w:val="nil"/>
              <w:left w:val="nil"/>
              <w:bottom w:val="nil"/>
              <w:right w:val="nil"/>
            </w:tcBorders>
            <w:shd w:val="clear" w:color="auto" w:fill="auto"/>
            <w:noWrap/>
            <w:vAlign w:val="center"/>
            <w:hideMark/>
          </w:tcPr>
          <w:p w14:paraId="3BAE2A0A" w14:textId="77777777" w:rsidR="00BA275B" w:rsidRPr="00D30496" w:rsidRDefault="00BA275B" w:rsidP="00D30496">
            <w:pPr>
              <w:jc w:val="right"/>
              <w:rPr>
                <w:sz w:val="15"/>
                <w:szCs w:val="15"/>
              </w:rPr>
            </w:pPr>
            <w:r w:rsidRPr="00D30496">
              <w:rPr>
                <w:sz w:val="15"/>
                <w:szCs w:val="15"/>
              </w:rPr>
              <w:t>98.2</w:t>
            </w:r>
          </w:p>
        </w:tc>
        <w:tc>
          <w:tcPr>
            <w:tcW w:w="0" w:type="auto"/>
            <w:tcBorders>
              <w:top w:val="nil"/>
              <w:left w:val="nil"/>
              <w:bottom w:val="nil"/>
              <w:right w:val="nil"/>
            </w:tcBorders>
            <w:shd w:val="clear" w:color="auto" w:fill="auto"/>
            <w:noWrap/>
            <w:vAlign w:val="center"/>
            <w:hideMark/>
          </w:tcPr>
          <w:p w14:paraId="238FA178" w14:textId="77777777" w:rsidR="00BA275B" w:rsidRPr="00D30496" w:rsidRDefault="00BA275B" w:rsidP="00D30496">
            <w:pPr>
              <w:jc w:val="right"/>
              <w:rPr>
                <w:sz w:val="15"/>
                <w:szCs w:val="15"/>
              </w:rPr>
            </w:pPr>
            <w:r w:rsidRPr="00D30496">
              <w:rPr>
                <w:sz w:val="15"/>
                <w:szCs w:val="15"/>
              </w:rPr>
              <w:t>61.3</w:t>
            </w:r>
          </w:p>
        </w:tc>
        <w:tc>
          <w:tcPr>
            <w:tcW w:w="0" w:type="auto"/>
            <w:tcBorders>
              <w:top w:val="nil"/>
              <w:left w:val="nil"/>
              <w:bottom w:val="nil"/>
              <w:right w:val="nil"/>
            </w:tcBorders>
            <w:shd w:val="clear" w:color="auto" w:fill="auto"/>
            <w:noWrap/>
            <w:vAlign w:val="center"/>
            <w:hideMark/>
          </w:tcPr>
          <w:p w14:paraId="58323848" w14:textId="77777777" w:rsidR="00BA275B" w:rsidRPr="00D30496" w:rsidRDefault="00BA275B" w:rsidP="00D30496">
            <w:pPr>
              <w:jc w:val="right"/>
              <w:rPr>
                <w:sz w:val="15"/>
                <w:szCs w:val="15"/>
              </w:rPr>
            </w:pPr>
            <w:r w:rsidRPr="00D30496">
              <w:rPr>
                <w:sz w:val="15"/>
                <w:szCs w:val="15"/>
              </w:rPr>
              <w:t>60.3</w:t>
            </w:r>
          </w:p>
        </w:tc>
        <w:tc>
          <w:tcPr>
            <w:tcW w:w="0" w:type="auto"/>
            <w:tcBorders>
              <w:top w:val="nil"/>
              <w:left w:val="nil"/>
              <w:bottom w:val="nil"/>
              <w:right w:val="nil"/>
            </w:tcBorders>
            <w:shd w:val="clear" w:color="auto" w:fill="auto"/>
            <w:noWrap/>
            <w:vAlign w:val="center"/>
            <w:hideMark/>
          </w:tcPr>
          <w:p w14:paraId="19A60B22" w14:textId="77777777" w:rsidR="00BA275B" w:rsidRPr="00D30496" w:rsidRDefault="00BA275B" w:rsidP="00D30496">
            <w:pPr>
              <w:jc w:val="right"/>
              <w:rPr>
                <w:sz w:val="15"/>
                <w:szCs w:val="15"/>
              </w:rPr>
            </w:pPr>
            <w:r w:rsidRPr="00D30496">
              <w:rPr>
                <w:sz w:val="15"/>
                <w:szCs w:val="15"/>
              </w:rPr>
              <w:t>0.3</w:t>
            </w:r>
          </w:p>
        </w:tc>
        <w:tc>
          <w:tcPr>
            <w:tcW w:w="0" w:type="auto"/>
            <w:tcBorders>
              <w:top w:val="nil"/>
              <w:left w:val="nil"/>
              <w:bottom w:val="nil"/>
              <w:right w:val="nil"/>
            </w:tcBorders>
            <w:shd w:val="clear" w:color="auto" w:fill="auto"/>
            <w:noWrap/>
            <w:vAlign w:val="center"/>
            <w:hideMark/>
          </w:tcPr>
          <w:p w14:paraId="1205DD30" w14:textId="77777777" w:rsidR="00BA275B" w:rsidRPr="00D30496" w:rsidRDefault="00BA275B" w:rsidP="00D30496">
            <w:pPr>
              <w:jc w:val="right"/>
              <w:rPr>
                <w:sz w:val="15"/>
                <w:szCs w:val="15"/>
              </w:rPr>
            </w:pPr>
            <w:r w:rsidRPr="00D30496">
              <w:rPr>
                <w:sz w:val="15"/>
                <w:szCs w:val="15"/>
              </w:rPr>
              <w:t>33.9</w:t>
            </w:r>
          </w:p>
        </w:tc>
        <w:tc>
          <w:tcPr>
            <w:tcW w:w="0" w:type="auto"/>
            <w:tcBorders>
              <w:top w:val="nil"/>
              <w:left w:val="nil"/>
              <w:bottom w:val="nil"/>
              <w:right w:val="nil"/>
            </w:tcBorders>
            <w:shd w:val="clear" w:color="auto" w:fill="auto"/>
            <w:noWrap/>
            <w:vAlign w:val="center"/>
            <w:hideMark/>
          </w:tcPr>
          <w:p w14:paraId="06033902" w14:textId="77777777" w:rsidR="00BA275B" w:rsidRPr="00D30496" w:rsidRDefault="00BA275B" w:rsidP="00D30496">
            <w:pPr>
              <w:jc w:val="right"/>
              <w:rPr>
                <w:sz w:val="15"/>
                <w:szCs w:val="15"/>
              </w:rPr>
            </w:pPr>
            <w:r w:rsidRPr="00D30496">
              <w:rPr>
                <w:sz w:val="15"/>
                <w:szCs w:val="15"/>
              </w:rPr>
              <w:t>15.2</w:t>
            </w:r>
          </w:p>
        </w:tc>
        <w:tc>
          <w:tcPr>
            <w:tcW w:w="0" w:type="auto"/>
            <w:tcBorders>
              <w:top w:val="nil"/>
              <w:left w:val="nil"/>
              <w:bottom w:val="nil"/>
              <w:right w:val="nil"/>
            </w:tcBorders>
            <w:shd w:val="clear" w:color="auto" w:fill="auto"/>
            <w:noWrap/>
            <w:vAlign w:val="center"/>
            <w:hideMark/>
          </w:tcPr>
          <w:p w14:paraId="44AEA88A" w14:textId="77777777" w:rsidR="00BA275B" w:rsidRPr="00D30496" w:rsidRDefault="00BA275B" w:rsidP="00D30496">
            <w:pPr>
              <w:jc w:val="right"/>
              <w:rPr>
                <w:sz w:val="15"/>
                <w:szCs w:val="15"/>
              </w:rPr>
            </w:pPr>
            <w:r w:rsidRPr="00D30496">
              <w:rPr>
                <w:sz w:val="15"/>
                <w:szCs w:val="15"/>
              </w:rPr>
              <w:t>10.5</w:t>
            </w:r>
          </w:p>
        </w:tc>
        <w:tc>
          <w:tcPr>
            <w:tcW w:w="0" w:type="auto"/>
            <w:tcBorders>
              <w:top w:val="nil"/>
              <w:left w:val="nil"/>
              <w:bottom w:val="nil"/>
              <w:right w:val="nil"/>
            </w:tcBorders>
            <w:shd w:val="clear" w:color="auto" w:fill="auto"/>
            <w:noWrap/>
            <w:vAlign w:val="center"/>
            <w:hideMark/>
          </w:tcPr>
          <w:p w14:paraId="7B84936A" w14:textId="77777777" w:rsidR="00BA275B" w:rsidRPr="00D30496" w:rsidRDefault="00BA275B" w:rsidP="00D30496">
            <w:pPr>
              <w:jc w:val="right"/>
              <w:rPr>
                <w:sz w:val="15"/>
                <w:szCs w:val="15"/>
              </w:rPr>
            </w:pPr>
            <w:r w:rsidRPr="00D30496">
              <w:rPr>
                <w:sz w:val="15"/>
                <w:szCs w:val="15"/>
              </w:rPr>
              <w:t>1.3</w:t>
            </w:r>
          </w:p>
        </w:tc>
        <w:tc>
          <w:tcPr>
            <w:tcW w:w="0" w:type="auto"/>
            <w:tcBorders>
              <w:top w:val="nil"/>
              <w:left w:val="nil"/>
              <w:bottom w:val="nil"/>
              <w:right w:val="nil"/>
            </w:tcBorders>
            <w:shd w:val="clear" w:color="auto" w:fill="auto"/>
            <w:noWrap/>
            <w:vAlign w:val="center"/>
            <w:hideMark/>
          </w:tcPr>
          <w:p w14:paraId="28184F2F" w14:textId="77777777" w:rsidR="00BA275B" w:rsidRPr="00D30496" w:rsidRDefault="00BA275B" w:rsidP="00D30496">
            <w:pPr>
              <w:jc w:val="right"/>
              <w:rPr>
                <w:sz w:val="15"/>
                <w:szCs w:val="15"/>
              </w:rPr>
            </w:pPr>
            <w:r w:rsidRPr="00D30496">
              <w:rPr>
                <w:sz w:val="15"/>
                <w:szCs w:val="15"/>
              </w:rPr>
              <w:t>0.3</w:t>
            </w:r>
          </w:p>
        </w:tc>
        <w:tc>
          <w:tcPr>
            <w:tcW w:w="0" w:type="auto"/>
            <w:tcBorders>
              <w:top w:val="nil"/>
              <w:left w:val="nil"/>
              <w:bottom w:val="nil"/>
              <w:right w:val="nil"/>
            </w:tcBorders>
            <w:shd w:val="clear" w:color="auto" w:fill="auto"/>
            <w:noWrap/>
            <w:vAlign w:val="center"/>
            <w:hideMark/>
          </w:tcPr>
          <w:p w14:paraId="47A27359" w14:textId="77777777" w:rsidR="00BA275B" w:rsidRPr="00D30496" w:rsidRDefault="00BA275B" w:rsidP="00D30496">
            <w:pPr>
              <w:jc w:val="right"/>
              <w:rPr>
                <w:sz w:val="15"/>
                <w:szCs w:val="15"/>
              </w:rPr>
            </w:pPr>
            <w:r w:rsidRPr="00D30496">
              <w:rPr>
                <w:sz w:val="15"/>
                <w:szCs w:val="15"/>
              </w:rPr>
              <w:t>1.4</w:t>
            </w:r>
          </w:p>
        </w:tc>
        <w:tc>
          <w:tcPr>
            <w:tcW w:w="0" w:type="auto"/>
            <w:tcBorders>
              <w:top w:val="nil"/>
              <w:left w:val="nil"/>
              <w:bottom w:val="nil"/>
              <w:right w:val="nil"/>
            </w:tcBorders>
            <w:shd w:val="clear" w:color="auto" w:fill="auto"/>
            <w:noWrap/>
            <w:vAlign w:val="center"/>
            <w:hideMark/>
          </w:tcPr>
          <w:p w14:paraId="3E2FFCCB" w14:textId="77777777" w:rsidR="00BA275B" w:rsidRPr="00D30496" w:rsidRDefault="00BA275B" w:rsidP="00D30496">
            <w:pPr>
              <w:jc w:val="right"/>
              <w:rPr>
                <w:sz w:val="15"/>
                <w:szCs w:val="15"/>
              </w:rPr>
            </w:pPr>
            <w:r w:rsidRPr="00D30496">
              <w:rPr>
                <w:sz w:val="15"/>
                <w:szCs w:val="15"/>
              </w:rPr>
              <w:t>180,689</w:t>
            </w:r>
          </w:p>
        </w:tc>
      </w:tr>
      <w:tr w:rsidR="006B42D6" w:rsidRPr="00D30496" w14:paraId="485929FA" w14:textId="77777777" w:rsidTr="00D30496">
        <w:trPr>
          <w:trHeight w:val="272"/>
        </w:trPr>
        <w:tc>
          <w:tcPr>
            <w:tcW w:w="0" w:type="auto"/>
            <w:tcBorders>
              <w:top w:val="nil"/>
              <w:left w:val="nil"/>
              <w:bottom w:val="nil"/>
              <w:right w:val="nil"/>
            </w:tcBorders>
            <w:shd w:val="clear" w:color="auto" w:fill="auto"/>
            <w:noWrap/>
            <w:vAlign w:val="center"/>
            <w:hideMark/>
          </w:tcPr>
          <w:p w14:paraId="276E2039" w14:textId="77777777" w:rsidR="00BA275B" w:rsidRPr="00D30496" w:rsidRDefault="00BA275B" w:rsidP="00383AA6">
            <w:pPr>
              <w:rPr>
                <w:sz w:val="15"/>
                <w:szCs w:val="15"/>
              </w:rPr>
            </w:pPr>
            <w:r w:rsidRPr="00D30496">
              <w:rPr>
                <w:sz w:val="15"/>
                <w:szCs w:val="15"/>
              </w:rPr>
              <w:t>Geita</w:t>
            </w:r>
          </w:p>
        </w:tc>
        <w:tc>
          <w:tcPr>
            <w:tcW w:w="0" w:type="auto"/>
            <w:tcBorders>
              <w:top w:val="nil"/>
              <w:left w:val="nil"/>
              <w:bottom w:val="nil"/>
              <w:right w:val="nil"/>
            </w:tcBorders>
            <w:shd w:val="clear" w:color="auto" w:fill="auto"/>
            <w:noWrap/>
            <w:vAlign w:val="center"/>
            <w:hideMark/>
          </w:tcPr>
          <w:p w14:paraId="46D6EEAB" w14:textId="77777777" w:rsidR="00BA275B" w:rsidRPr="00D30496" w:rsidRDefault="00BA275B" w:rsidP="00D30496">
            <w:pPr>
              <w:jc w:val="right"/>
              <w:rPr>
                <w:sz w:val="15"/>
                <w:szCs w:val="15"/>
              </w:rPr>
            </w:pPr>
            <w:r w:rsidRPr="00D30496">
              <w:rPr>
                <w:sz w:val="15"/>
                <w:szCs w:val="15"/>
              </w:rPr>
              <w:t>81.1</w:t>
            </w:r>
          </w:p>
        </w:tc>
        <w:tc>
          <w:tcPr>
            <w:tcW w:w="0" w:type="auto"/>
            <w:tcBorders>
              <w:top w:val="nil"/>
              <w:left w:val="nil"/>
              <w:bottom w:val="nil"/>
              <w:right w:val="nil"/>
            </w:tcBorders>
            <w:shd w:val="clear" w:color="auto" w:fill="auto"/>
            <w:noWrap/>
            <w:vAlign w:val="center"/>
            <w:hideMark/>
          </w:tcPr>
          <w:p w14:paraId="3E8EE64B" w14:textId="77777777" w:rsidR="00BA275B" w:rsidRPr="00D30496" w:rsidRDefault="00BA275B" w:rsidP="00D30496">
            <w:pPr>
              <w:jc w:val="right"/>
              <w:rPr>
                <w:sz w:val="15"/>
                <w:szCs w:val="15"/>
              </w:rPr>
            </w:pPr>
            <w:r w:rsidRPr="00D30496">
              <w:rPr>
                <w:sz w:val="15"/>
                <w:szCs w:val="15"/>
              </w:rPr>
              <w:t>98.1</w:t>
            </w:r>
          </w:p>
        </w:tc>
        <w:tc>
          <w:tcPr>
            <w:tcW w:w="0" w:type="auto"/>
            <w:tcBorders>
              <w:top w:val="nil"/>
              <w:left w:val="nil"/>
              <w:bottom w:val="nil"/>
              <w:right w:val="nil"/>
            </w:tcBorders>
            <w:shd w:val="clear" w:color="auto" w:fill="auto"/>
            <w:noWrap/>
            <w:vAlign w:val="center"/>
            <w:hideMark/>
          </w:tcPr>
          <w:p w14:paraId="0B25B2BA" w14:textId="77777777" w:rsidR="00BA275B" w:rsidRPr="00D30496" w:rsidRDefault="00BA275B" w:rsidP="00D30496">
            <w:pPr>
              <w:jc w:val="right"/>
              <w:rPr>
                <w:sz w:val="15"/>
                <w:szCs w:val="15"/>
              </w:rPr>
            </w:pPr>
            <w:r w:rsidRPr="00D30496">
              <w:rPr>
                <w:sz w:val="15"/>
                <w:szCs w:val="15"/>
              </w:rPr>
              <w:t>37.1</w:t>
            </w:r>
          </w:p>
        </w:tc>
        <w:tc>
          <w:tcPr>
            <w:tcW w:w="0" w:type="auto"/>
            <w:tcBorders>
              <w:top w:val="nil"/>
              <w:left w:val="nil"/>
              <w:bottom w:val="nil"/>
              <w:right w:val="nil"/>
            </w:tcBorders>
            <w:shd w:val="clear" w:color="auto" w:fill="auto"/>
            <w:noWrap/>
            <w:vAlign w:val="center"/>
            <w:hideMark/>
          </w:tcPr>
          <w:p w14:paraId="40463721" w14:textId="77777777" w:rsidR="00BA275B" w:rsidRPr="00D30496" w:rsidRDefault="00BA275B" w:rsidP="00D30496">
            <w:pPr>
              <w:jc w:val="right"/>
              <w:rPr>
                <w:sz w:val="15"/>
                <w:szCs w:val="15"/>
              </w:rPr>
            </w:pPr>
            <w:r w:rsidRPr="00D30496">
              <w:rPr>
                <w:sz w:val="15"/>
                <w:szCs w:val="15"/>
              </w:rPr>
              <w:t>34.5</w:t>
            </w:r>
          </w:p>
        </w:tc>
        <w:tc>
          <w:tcPr>
            <w:tcW w:w="0" w:type="auto"/>
            <w:tcBorders>
              <w:top w:val="nil"/>
              <w:left w:val="nil"/>
              <w:bottom w:val="nil"/>
              <w:right w:val="nil"/>
            </w:tcBorders>
            <w:shd w:val="clear" w:color="auto" w:fill="auto"/>
            <w:noWrap/>
            <w:vAlign w:val="center"/>
            <w:hideMark/>
          </w:tcPr>
          <w:p w14:paraId="60BDB13F" w14:textId="77777777" w:rsidR="00BA275B" w:rsidRPr="00D30496" w:rsidRDefault="00BA275B" w:rsidP="00D30496">
            <w:pPr>
              <w:jc w:val="right"/>
              <w:rPr>
                <w:sz w:val="15"/>
                <w:szCs w:val="15"/>
              </w:rPr>
            </w:pPr>
            <w:r w:rsidRPr="00D30496">
              <w:rPr>
                <w:sz w:val="15"/>
                <w:szCs w:val="15"/>
              </w:rPr>
              <w:t>0.1</w:t>
            </w:r>
          </w:p>
        </w:tc>
        <w:tc>
          <w:tcPr>
            <w:tcW w:w="0" w:type="auto"/>
            <w:tcBorders>
              <w:top w:val="nil"/>
              <w:left w:val="nil"/>
              <w:bottom w:val="nil"/>
              <w:right w:val="nil"/>
            </w:tcBorders>
            <w:shd w:val="clear" w:color="auto" w:fill="auto"/>
            <w:noWrap/>
            <w:vAlign w:val="center"/>
            <w:hideMark/>
          </w:tcPr>
          <w:p w14:paraId="6845A9EE" w14:textId="77777777" w:rsidR="00BA275B" w:rsidRPr="00D30496" w:rsidRDefault="00BA275B" w:rsidP="00D30496">
            <w:pPr>
              <w:jc w:val="right"/>
              <w:rPr>
                <w:sz w:val="15"/>
                <w:szCs w:val="15"/>
              </w:rPr>
            </w:pPr>
            <w:r w:rsidRPr="00D30496">
              <w:rPr>
                <w:sz w:val="15"/>
                <w:szCs w:val="15"/>
              </w:rPr>
              <w:t>10.9</w:t>
            </w:r>
          </w:p>
        </w:tc>
        <w:tc>
          <w:tcPr>
            <w:tcW w:w="0" w:type="auto"/>
            <w:tcBorders>
              <w:top w:val="nil"/>
              <w:left w:val="nil"/>
              <w:bottom w:val="nil"/>
              <w:right w:val="nil"/>
            </w:tcBorders>
            <w:shd w:val="clear" w:color="auto" w:fill="auto"/>
            <w:noWrap/>
            <w:vAlign w:val="center"/>
            <w:hideMark/>
          </w:tcPr>
          <w:p w14:paraId="53950CD1" w14:textId="77777777" w:rsidR="00BA275B" w:rsidRPr="00D30496" w:rsidRDefault="00BA275B" w:rsidP="00D30496">
            <w:pPr>
              <w:jc w:val="right"/>
              <w:rPr>
                <w:sz w:val="15"/>
                <w:szCs w:val="15"/>
              </w:rPr>
            </w:pPr>
            <w:r w:rsidRPr="00D30496">
              <w:rPr>
                <w:sz w:val="15"/>
                <w:szCs w:val="15"/>
              </w:rPr>
              <w:t>0.6</w:t>
            </w:r>
          </w:p>
        </w:tc>
        <w:tc>
          <w:tcPr>
            <w:tcW w:w="0" w:type="auto"/>
            <w:tcBorders>
              <w:top w:val="nil"/>
              <w:left w:val="nil"/>
              <w:bottom w:val="nil"/>
              <w:right w:val="nil"/>
            </w:tcBorders>
            <w:shd w:val="clear" w:color="auto" w:fill="auto"/>
            <w:noWrap/>
            <w:vAlign w:val="center"/>
            <w:hideMark/>
          </w:tcPr>
          <w:p w14:paraId="18198359" w14:textId="77777777" w:rsidR="00BA275B" w:rsidRPr="00D30496" w:rsidRDefault="00BA275B" w:rsidP="00D30496">
            <w:pPr>
              <w:jc w:val="right"/>
              <w:rPr>
                <w:sz w:val="15"/>
                <w:szCs w:val="15"/>
              </w:rPr>
            </w:pPr>
            <w:r w:rsidRPr="00D30496">
              <w:rPr>
                <w:sz w:val="15"/>
                <w:szCs w:val="15"/>
              </w:rPr>
              <w:t>0.5</w:t>
            </w:r>
          </w:p>
        </w:tc>
        <w:tc>
          <w:tcPr>
            <w:tcW w:w="0" w:type="auto"/>
            <w:tcBorders>
              <w:top w:val="nil"/>
              <w:left w:val="nil"/>
              <w:bottom w:val="nil"/>
              <w:right w:val="nil"/>
            </w:tcBorders>
            <w:shd w:val="clear" w:color="auto" w:fill="auto"/>
            <w:noWrap/>
            <w:vAlign w:val="center"/>
            <w:hideMark/>
          </w:tcPr>
          <w:p w14:paraId="25D0A382" w14:textId="77777777" w:rsidR="00BA275B" w:rsidRPr="00D30496" w:rsidRDefault="00BA275B" w:rsidP="00D30496">
            <w:pPr>
              <w:jc w:val="right"/>
              <w:rPr>
                <w:sz w:val="15"/>
                <w:szCs w:val="15"/>
              </w:rPr>
            </w:pPr>
            <w:r w:rsidRPr="00D30496">
              <w:rPr>
                <w:sz w:val="15"/>
                <w:szCs w:val="15"/>
              </w:rPr>
              <w:t>0.7</w:t>
            </w:r>
          </w:p>
        </w:tc>
        <w:tc>
          <w:tcPr>
            <w:tcW w:w="0" w:type="auto"/>
            <w:tcBorders>
              <w:top w:val="nil"/>
              <w:left w:val="nil"/>
              <w:bottom w:val="nil"/>
              <w:right w:val="nil"/>
            </w:tcBorders>
            <w:shd w:val="clear" w:color="auto" w:fill="auto"/>
            <w:noWrap/>
            <w:vAlign w:val="center"/>
            <w:hideMark/>
          </w:tcPr>
          <w:p w14:paraId="501D7237" w14:textId="77777777" w:rsidR="00BA275B" w:rsidRPr="00D30496" w:rsidRDefault="00BA275B" w:rsidP="00D30496">
            <w:pPr>
              <w:jc w:val="right"/>
              <w:rPr>
                <w:sz w:val="15"/>
                <w:szCs w:val="15"/>
              </w:rPr>
            </w:pPr>
            <w:r w:rsidRPr="00D30496">
              <w:rPr>
                <w:sz w:val="15"/>
                <w:szCs w:val="15"/>
              </w:rPr>
              <w:t>-</w:t>
            </w:r>
          </w:p>
        </w:tc>
        <w:tc>
          <w:tcPr>
            <w:tcW w:w="0" w:type="auto"/>
            <w:tcBorders>
              <w:top w:val="nil"/>
              <w:left w:val="nil"/>
              <w:bottom w:val="nil"/>
              <w:right w:val="nil"/>
            </w:tcBorders>
            <w:shd w:val="clear" w:color="auto" w:fill="auto"/>
            <w:noWrap/>
            <w:vAlign w:val="center"/>
            <w:hideMark/>
          </w:tcPr>
          <w:p w14:paraId="14B38678" w14:textId="77777777" w:rsidR="00BA275B" w:rsidRPr="00D30496" w:rsidRDefault="00BA275B" w:rsidP="00D30496">
            <w:pPr>
              <w:jc w:val="right"/>
              <w:rPr>
                <w:sz w:val="15"/>
                <w:szCs w:val="15"/>
              </w:rPr>
            </w:pPr>
            <w:r w:rsidRPr="00D30496">
              <w:rPr>
                <w:sz w:val="15"/>
                <w:szCs w:val="15"/>
              </w:rPr>
              <w:t>1.4</w:t>
            </w:r>
          </w:p>
        </w:tc>
        <w:tc>
          <w:tcPr>
            <w:tcW w:w="0" w:type="auto"/>
            <w:tcBorders>
              <w:top w:val="nil"/>
              <w:left w:val="nil"/>
              <w:bottom w:val="nil"/>
              <w:right w:val="nil"/>
            </w:tcBorders>
            <w:shd w:val="clear" w:color="auto" w:fill="auto"/>
            <w:noWrap/>
            <w:vAlign w:val="center"/>
            <w:hideMark/>
          </w:tcPr>
          <w:p w14:paraId="463A5EF1" w14:textId="77777777" w:rsidR="00BA275B" w:rsidRPr="00D30496" w:rsidRDefault="00BA275B" w:rsidP="00D30496">
            <w:pPr>
              <w:jc w:val="right"/>
              <w:rPr>
                <w:sz w:val="15"/>
                <w:szCs w:val="15"/>
              </w:rPr>
            </w:pPr>
            <w:r w:rsidRPr="00D30496">
              <w:rPr>
                <w:sz w:val="15"/>
                <w:szCs w:val="15"/>
              </w:rPr>
              <w:t>269,141</w:t>
            </w:r>
          </w:p>
        </w:tc>
      </w:tr>
      <w:tr w:rsidR="006B42D6" w:rsidRPr="00D30496" w14:paraId="1325AA5E" w14:textId="77777777" w:rsidTr="00D30496">
        <w:trPr>
          <w:trHeight w:val="272"/>
        </w:trPr>
        <w:tc>
          <w:tcPr>
            <w:tcW w:w="0" w:type="auto"/>
            <w:tcBorders>
              <w:top w:val="nil"/>
              <w:left w:val="nil"/>
              <w:bottom w:val="nil"/>
              <w:right w:val="nil"/>
            </w:tcBorders>
            <w:shd w:val="clear" w:color="auto" w:fill="auto"/>
            <w:noWrap/>
            <w:vAlign w:val="center"/>
            <w:hideMark/>
          </w:tcPr>
          <w:p w14:paraId="1FAC4147" w14:textId="77777777" w:rsidR="00BA275B" w:rsidRPr="00D30496" w:rsidRDefault="00BA275B" w:rsidP="00383AA6">
            <w:pPr>
              <w:rPr>
                <w:sz w:val="15"/>
                <w:szCs w:val="15"/>
              </w:rPr>
            </w:pPr>
            <w:r w:rsidRPr="00D30496">
              <w:rPr>
                <w:sz w:val="15"/>
                <w:szCs w:val="15"/>
              </w:rPr>
              <w:t>Songwe</w:t>
            </w:r>
          </w:p>
        </w:tc>
        <w:tc>
          <w:tcPr>
            <w:tcW w:w="0" w:type="auto"/>
            <w:tcBorders>
              <w:top w:val="nil"/>
              <w:left w:val="nil"/>
              <w:bottom w:val="nil"/>
              <w:right w:val="nil"/>
            </w:tcBorders>
            <w:shd w:val="clear" w:color="auto" w:fill="auto"/>
            <w:noWrap/>
            <w:vAlign w:val="center"/>
            <w:hideMark/>
          </w:tcPr>
          <w:p w14:paraId="2E50F206" w14:textId="77777777" w:rsidR="00BA275B" w:rsidRPr="00D30496" w:rsidRDefault="00BA275B" w:rsidP="00D30496">
            <w:pPr>
              <w:jc w:val="right"/>
              <w:rPr>
                <w:sz w:val="15"/>
                <w:szCs w:val="15"/>
              </w:rPr>
            </w:pPr>
            <w:r w:rsidRPr="00D30496">
              <w:rPr>
                <w:sz w:val="15"/>
                <w:szCs w:val="15"/>
              </w:rPr>
              <w:t>84.8</w:t>
            </w:r>
          </w:p>
        </w:tc>
        <w:tc>
          <w:tcPr>
            <w:tcW w:w="0" w:type="auto"/>
            <w:tcBorders>
              <w:top w:val="nil"/>
              <w:left w:val="nil"/>
              <w:bottom w:val="nil"/>
              <w:right w:val="nil"/>
            </w:tcBorders>
            <w:shd w:val="clear" w:color="auto" w:fill="auto"/>
            <w:noWrap/>
            <w:vAlign w:val="center"/>
            <w:hideMark/>
          </w:tcPr>
          <w:p w14:paraId="7261909E" w14:textId="77777777" w:rsidR="00BA275B" w:rsidRPr="00D30496" w:rsidRDefault="00BA275B" w:rsidP="00D30496">
            <w:pPr>
              <w:jc w:val="right"/>
              <w:rPr>
                <w:sz w:val="15"/>
                <w:szCs w:val="15"/>
              </w:rPr>
            </w:pPr>
            <w:r w:rsidRPr="00D30496">
              <w:rPr>
                <w:sz w:val="15"/>
                <w:szCs w:val="15"/>
              </w:rPr>
              <w:t>96.1</w:t>
            </w:r>
          </w:p>
        </w:tc>
        <w:tc>
          <w:tcPr>
            <w:tcW w:w="0" w:type="auto"/>
            <w:tcBorders>
              <w:top w:val="nil"/>
              <w:left w:val="nil"/>
              <w:bottom w:val="nil"/>
              <w:right w:val="nil"/>
            </w:tcBorders>
            <w:shd w:val="clear" w:color="auto" w:fill="auto"/>
            <w:noWrap/>
            <w:vAlign w:val="center"/>
            <w:hideMark/>
          </w:tcPr>
          <w:p w14:paraId="23F5DF55" w14:textId="77777777" w:rsidR="00BA275B" w:rsidRPr="00D30496" w:rsidRDefault="00BA275B" w:rsidP="00D30496">
            <w:pPr>
              <w:jc w:val="right"/>
              <w:rPr>
                <w:sz w:val="15"/>
                <w:szCs w:val="15"/>
              </w:rPr>
            </w:pPr>
            <w:r w:rsidRPr="00D30496">
              <w:rPr>
                <w:sz w:val="15"/>
                <w:szCs w:val="15"/>
              </w:rPr>
              <w:t>51.7</w:t>
            </w:r>
          </w:p>
        </w:tc>
        <w:tc>
          <w:tcPr>
            <w:tcW w:w="0" w:type="auto"/>
            <w:tcBorders>
              <w:top w:val="nil"/>
              <w:left w:val="nil"/>
              <w:bottom w:val="nil"/>
              <w:right w:val="nil"/>
            </w:tcBorders>
            <w:shd w:val="clear" w:color="auto" w:fill="auto"/>
            <w:noWrap/>
            <w:vAlign w:val="center"/>
            <w:hideMark/>
          </w:tcPr>
          <w:p w14:paraId="2A8582F1" w14:textId="77777777" w:rsidR="00BA275B" w:rsidRPr="00D30496" w:rsidRDefault="00BA275B" w:rsidP="00D30496">
            <w:pPr>
              <w:jc w:val="right"/>
              <w:rPr>
                <w:sz w:val="15"/>
                <w:szCs w:val="15"/>
              </w:rPr>
            </w:pPr>
            <w:r w:rsidRPr="00D30496">
              <w:rPr>
                <w:sz w:val="15"/>
                <w:szCs w:val="15"/>
              </w:rPr>
              <w:t>43.6</w:t>
            </w:r>
          </w:p>
        </w:tc>
        <w:tc>
          <w:tcPr>
            <w:tcW w:w="0" w:type="auto"/>
            <w:tcBorders>
              <w:top w:val="nil"/>
              <w:left w:val="nil"/>
              <w:bottom w:val="nil"/>
              <w:right w:val="nil"/>
            </w:tcBorders>
            <w:shd w:val="clear" w:color="auto" w:fill="auto"/>
            <w:noWrap/>
            <w:vAlign w:val="center"/>
            <w:hideMark/>
          </w:tcPr>
          <w:p w14:paraId="5EFD20D4" w14:textId="77777777" w:rsidR="00BA275B" w:rsidRPr="00D30496" w:rsidRDefault="00BA275B" w:rsidP="00D30496">
            <w:pPr>
              <w:jc w:val="right"/>
              <w:rPr>
                <w:sz w:val="15"/>
                <w:szCs w:val="15"/>
              </w:rPr>
            </w:pPr>
            <w:r w:rsidRPr="00D30496">
              <w:rPr>
                <w:sz w:val="15"/>
                <w:szCs w:val="15"/>
              </w:rPr>
              <w:t>1.4</w:t>
            </w:r>
          </w:p>
        </w:tc>
        <w:tc>
          <w:tcPr>
            <w:tcW w:w="0" w:type="auto"/>
            <w:tcBorders>
              <w:top w:val="nil"/>
              <w:left w:val="nil"/>
              <w:bottom w:val="nil"/>
              <w:right w:val="nil"/>
            </w:tcBorders>
            <w:shd w:val="clear" w:color="auto" w:fill="auto"/>
            <w:noWrap/>
            <w:vAlign w:val="center"/>
            <w:hideMark/>
          </w:tcPr>
          <w:p w14:paraId="2FE15795" w14:textId="77777777" w:rsidR="00BA275B" w:rsidRPr="00D30496" w:rsidRDefault="00BA275B" w:rsidP="00D30496">
            <w:pPr>
              <w:jc w:val="right"/>
              <w:rPr>
                <w:sz w:val="15"/>
                <w:szCs w:val="15"/>
              </w:rPr>
            </w:pPr>
            <w:r w:rsidRPr="00D30496">
              <w:rPr>
                <w:sz w:val="15"/>
                <w:szCs w:val="15"/>
              </w:rPr>
              <w:t>23.0</w:t>
            </w:r>
          </w:p>
        </w:tc>
        <w:tc>
          <w:tcPr>
            <w:tcW w:w="0" w:type="auto"/>
            <w:tcBorders>
              <w:top w:val="nil"/>
              <w:left w:val="nil"/>
              <w:bottom w:val="nil"/>
              <w:right w:val="nil"/>
            </w:tcBorders>
            <w:shd w:val="clear" w:color="auto" w:fill="auto"/>
            <w:noWrap/>
            <w:vAlign w:val="center"/>
            <w:hideMark/>
          </w:tcPr>
          <w:p w14:paraId="72E9BE8D" w14:textId="77777777" w:rsidR="00BA275B" w:rsidRPr="00D30496" w:rsidRDefault="00BA275B" w:rsidP="00D30496">
            <w:pPr>
              <w:jc w:val="right"/>
              <w:rPr>
                <w:sz w:val="15"/>
                <w:szCs w:val="15"/>
              </w:rPr>
            </w:pPr>
            <w:r w:rsidRPr="00D30496">
              <w:rPr>
                <w:sz w:val="15"/>
                <w:szCs w:val="15"/>
              </w:rPr>
              <w:t>0.9</w:t>
            </w:r>
          </w:p>
        </w:tc>
        <w:tc>
          <w:tcPr>
            <w:tcW w:w="0" w:type="auto"/>
            <w:tcBorders>
              <w:top w:val="nil"/>
              <w:left w:val="nil"/>
              <w:bottom w:val="nil"/>
              <w:right w:val="nil"/>
            </w:tcBorders>
            <w:shd w:val="clear" w:color="auto" w:fill="auto"/>
            <w:noWrap/>
            <w:vAlign w:val="center"/>
            <w:hideMark/>
          </w:tcPr>
          <w:p w14:paraId="0C4015BF" w14:textId="77777777" w:rsidR="00BA275B" w:rsidRPr="00D30496" w:rsidRDefault="00BA275B" w:rsidP="00D30496">
            <w:pPr>
              <w:jc w:val="right"/>
              <w:rPr>
                <w:sz w:val="15"/>
                <w:szCs w:val="15"/>
              </w:rPr>
            </w:pPr>
            <w:r w:rsidRPr="00D30496">
              <w:rPr>
                <w:sz w:val="15"/>
                <w:szCs w:val="15"/>
              </w:rPr>
              <w:t>1.1</w:t>
            </w:r>
          </w:p>
        </w:tc>
        <w:tc>
          <w:tcPr>
            <w:tcW w:w="0" w:type="auto"/>
            <w:tcBorders>
              <w:top w:val="nil"/>
              <w:left w:val="nil"/>
              <w:bottom w:val="nil"/>
              <w:right w:val="nil"/>
            </w:tcBorders>
            <w:shd w:val="clear" w:color="auto" w:fill="auto"/>
            <w:noWrap/>
            <w:vAlign w:val="center"/>
            <w:hideMark/>
          </w:tcPr>
          <w:p w14:paraId="118EF0DE" w14:textId="77777777" w:rsidR="00BA275B" w:rsidRPr="00D30496" w:rsidRDefault="00BA275B" w:rsidP="00D30496">
            <w:pPr>
              <w:jc w:val="right"/>
              <w:rPr>
                <w:sz w:val="15"/>
                <w:szCs w:val="15"/>
              </w:rPr>
            </w:pPr>
            <w:r w:rsidRPr="00D30496">
              <w:rPr>
                <w:sz w:val="15"/>
                <w:szCs w:val="15"/>
              </w:rPr>
              <w:t>4.5</w:t>
            </w:r>
          </w:p>
        </w:tc>
        <w:tc>
          <w:tcPr>
            <w:tcW w:w="0" w:type="auto"/>
            <w:tcBorders>
              <w:top w:val="nil"/>
              <w:left w:val="nil"/>
              <w:bottom w:val="nil"/>
              <w:right w:val="nil"/>
            </w:tcBorders>
            <w:shd w:val="clear" w:color="auto" w:fill="auto"/>
            <w:noWrap/>
            <w:vAlign w:val="center"/>
            <w:hideMark/>
          </w:tcPr>
          <w:p w14:paraId="33BB3C22" w14:textId="77777777" w:rsidR="00BA275B" w:rsidRPr="00D30496" w:rsidRDefault="00BA275B" w:rsidP="00D30496">
            <w:pPr>
              <w:jc w:val="right"/>
              <w:rPr>
                <w:sz w:val="15"/>
                <w:szCs w:val="15"/>
              </w:rPr>
            </w:pPr>
            <w:r w:rsidRPr="00D30496">
              <w:rPr>
                <w:sz w:val="15"/>
                <w:szCs w:val="15"/>
              </w:rPr>
              <w:t>0.6</w:t>
            </w:r>
          </w:p>
        </w:tc>
        <w:tc>
          <w:tcPr>
            <w:tcW w:w="0" w:type="auto"/>
            <w:tcBorders>
              <w:top w:val="nil"/>
              <w:left w:val="nil"/>
              <w:bottom w:val="nil"/>
              <w:right w:val="nil"/>
            </w:tcBorders>
            <w:shd w:val="clear" w:color="auto" w:fill="auto"/>
            <w:noWrap/>
            <w:vAlign w:val="center"/>
            <w:hideMark/>
          </w:tcPr>
          <w:p w14:paraId="30FEA2C5" w14:textId="77777777" w:rsidR="00BA275B" w:rsidRPr="00D30496" w:rsidRDefault="00BA275B" w:rsidP="00D30496">
            <w:pPr>
              <w:jc w:val="right"/>
              <w:rPr>
                <w:sz w:val="15"/>
                <w:szCs w:val="15"/>
              </w:rPr>
            </w:pPr>
            <w:r w:rsidRPr="00D30496">
              <w:rPr>
                <w:sz w:val="15"/>
                <w:szCs w:val="15"/>
              </w:rPr>
              <w:t>4.3</w:t>
            </w:r>
          </w:p>
        </w:tc>
        <w:tc>
          <w:tcPr>
            <w:tcW w:w="0" w:type="auto"/>
            <w:tcBorders>
              <w:top w:val="nil"/>
              <w:left w:val="nil"/>
              <w:bottom w:val="nil"/>
              <w:right w:val="nil"/>
            </w:tcBorders>
            <w:shd w:val="clear" w:color="auto" w:fill="auto"/>
            <w:noWrap/>
            <w:vAlign w:val="center"/>
            <w:hideMark/>
          </w:tcPr>
          <w:p w14:paraId="33B71ECF" w14:textId="77777777" w:rsidR="00BA275B" w:rsidRPr="00D30496" w:rsidRDefault="00BA275B" w:rsidP="00D30496">
            <w:pPr>
              <w:jc w:val="right"/>
              <w:rPr>
                <w:sz w:val="15"/>
                <w:szCs w:val="15"/>
              </w:rPr>
            </w:pPr>
            <w:r w:rsidRPr="00D30496">
              <w:rPr>
                <w:sz w:val="15"/>
                <w:szCs w:val="15"/>
              </w:rPr>
              <w:t>281,820</w:t>
            </w:r>
          </w:p>
        </w:tc>
      </w:tr>
      <w:tr w:rsidR="006B42D6" w:rsidRPr="00D30496" w14:paraId="5967E7B1" w14:textId="77777777" w:rsidTr="00D30496">
        <w:trPr>
          <w:trHeight w:val="272"/>
        </w:trPr>
        <w:tc>
          <w:tcPr>
            <w:tcW w:w="0" w:type="auto"/>
            <w:tcBorders>
              <w:top w:val="single" w:sz="4" w:space="0" w:color="auto"/>
              <w:left w:val="nil"/>
              <w:bottom w:val="single" w:sz="4" w:space="0" w:color="auto"/>
              <w:right w:val="nil"/>
            </w:tcBorders>
            <w:shd w:val="clear" w:color="auto" w:fill="E2EFD9" w:themeFill="accent6" w:themeFillTint="33"/>
            <w:noWrap/>
            <w:vAlign w:val="center"/>
            <w:hideMark/>
          </w:tcPr>
          <w:p w14:paraId="27059059" w14:textId="0DB162FB" w:rsidR="00BA275B" w:rsidRPr="00D30496" w:rsidRDefault="00EA1552" w:rsidP="00383AA6">
            <w:pPr>
              <w:rPr>
                <w:sz w:val="15"/>
                <w:szCs w:val="15"/>
              </w:rPr>
            </w:pPr>
            <w:r w:rsidRPr="00D30496">
              <w:rPr>
                <w:sz w:val="15"/>
                <w:szCs w:val="15"/>
              </w:rPr>
              <w:t>Mainland Tanzania</w:t>
            </w:r>
          </w:p>
        </w:tc>
        <w:tc>
          <w:tcPr>
            <w:tcW w:w="0" w:type="auto"/>
            <w:tcBorders>
              <w:top w:val="single" w:sz="4" w:space="0" w:color="auto"/>
              <w:left w:val="nil"/>
              <w:bottom w:val="single" w:sz="4" w:space="0" w:color="auto"/>
              <w:right w:val="nil"/>
            </w:tcBorders>
            <w:shd w:val="clear" w:color="auto" w:fill="E2EFD9" w:themeFill="accent6" w:themeFillTint="33"/>
            <w:noWrap/>
            <w:vAlign w:val="center"/>
            <w:hideMark/>
          </w:tcPr>
          <w:p w14:paraId="1B7F62A7" w14:textId="77777777" w:rsidR="00BA275B" w:rsidRPr="00D30496" w:rsidRDefault="00BA275B" w:rsidP="00D30496">
            <w:pPr>
              <w:jc w:val="right"/>
              <w:rPr>
                <w:sz w:val="15"/>
                <w:szCs w:val="15"/>
              </w:rPr>
            </w:pPr>
            <w:r w:rsidRPr="00D30496">
              <w:rPr>
                <w:sz w:val="15"/>
                <w:szCs w:val="15"/>
              </w:rPr>
              <w:t>88.9</w:t>
            </w:r>
          </w:p>
        </w:tc>
        <w:tc>
          <w:tcPr>
            <w:tcW w:w="0" w:type="auto"/>
            <w:tcBorders>
              <w:top w:val="single" w:sz="4" w:space="0" w:color="auto"/>
              <w:left w:val="nil"/>
              <w:bottom w:val="single" w:sz="4" w:space="0" w:color="auto"/>
              <w:right w:val="nil"/>
            </w:tcBorders>
            <w:shd w:val="clear" w:color="auto" w:fill="E2EFD9" w:themeFill="accent6" w:themeFillTint="33"/>
            <w:noWrap/>
            <w:vAlign w:val="center"/>
            <w:hideMark/>
          </w:tcPr>
          <w:p w14:paraId="00F85C9D" w14:textId="77777777" w:rsidR="00BA275B" w:rsidRPr="00D30496" w:rsidRDefault="00BA275B" w:rsidP="00D30496">
            <w:pPr>
              <w:jc w:val="right"/>
              <w:rPr>
                <w:sz w:val="15"/>
                <w:szCs w:val="15"/>
              </w:rPr>
            </w:pPr>
            <w:r w:rsidRPr="00D30496">
              <w:rPr>
                <w:sz w:val="15"/>
                <w:szCs w:val="15"/>
              </w:rPr>
              <w:t>95.5</w:t>
            </w:r>
          </w:p>
        </w:tc>
        <w:tc>
          <w:tcPr>
            <w:tcW w:w="0" w:type="auto"/>
            <w:tcBorders>
              <w:top w:val="single" w:sz="4" w:space="0" w:color="auto"/>
              <w:left w:val="nil"/>
              <w:bottom w:val="single" w:sz="4" w:space="0" w:color="auto"/>
              <w:right w:val="nil"/>
            </w:tcBorders>
            <w:shd w:val="clear" w:color="auto" w:fill="E2EFD9" w:themeFill="accent6" w:themeFillTint="33"/>
            <w:noWrap/>
            <w:vAlign w:val="center"/>
            <w:hideMark/>
          </w:tcPr>
          <w:p w14:paraId="5305B280" w14:textId="77777777" w:rsidR="00BA275B" w:rsidRPr="00D30496" w:rsidRDefault="00BA275B" w:rsidP="00D30496">
            <w:pPr>
              <w:jc w:val="right"/>
              <w:rPr>
                <w:sz w:val="15"/>
                <w:szCs w:val="15"/>
              </w:rPr>
            </w:pPr>
            <w:r w:rsidRPr="00D30496">
              <w:rPr>
                <w:sz w:val="15"/>
                <w:szCs w:val="15"/>
              </w:rPr>
              <w:t>28.3</w:t>
            </w:r>
          </w:p>
        </w:tc>
        <w:tc>
          <w:tcPr>
            <w:tcW w:w="0" w:type="auto"/>
            <w:tcBorders>
              <w:top w:val="single" w:sz="4" w:space="0" w:color="auto"/>
              <w:left w:val="nil"/>
              <w:bottom w:val="single" w:sz="4" w:space="0" w:color="auto"/>
              <w:right w:val="nil"/>
            </w:tcBorders>
            <w:shd w:val="clear" w:color="auto" w:fill="E2EFD9" w:themeFill="accent6" w:themeFillTint="33"/>
            <w:noWrap/>
            <w:vAlign w:val="center"/>
            <w:hideMark/>
          </w:tcPr>
          <w:p w14:paraId="1C9DAC93" w14:textId="77777777" w:rsidR="00BA275B" w:rsidRPr="00D30496" w:rsidRDefault="00BA275B" w:rsidP="00D30496">
            <w:pPr>
              <w:jc w:val="right"/>
              <w:rPr>
                <w:sz w:val="15"/>
                <w:szCs w:val="15"/>
              </w:rPr>
            </w:pPr>
            <w:r w:rsidRPr="00D30496">
              <w:rPr>
                <w:sz w:val="15"/>
                <w:szCs w:val="15"/>
              </w:rPr>
              <w:t>27.1</w:t>
            </w:r>
          </w:p>
        </w:tc>
        <w:tc>
          <w:tcPr>
            <w:tcW w:w="0" w:type="auto"/>
            <w:tcBorders>
              <w:top w:val="single" w:sz="4" w:space="0" w:color="auto"/>
              <w:left w:val="nil"/>
              <w:bottom w:val="single" w:sz="4" w:space="0" w:color="auto"/>
              <w:right w:val="nil"/>
            </w:tcBorders>
            <w:shd w:val="clear" w:color="auto" w:fill="E2EFD9" w:themeFill="accent6" w:themeFillTint="33"/>
            <w:noWrap/>
            <w:vAlign w:val="center"/>
            <w:hideMark/>
          </w:tcPr>
          <w:p w14:paraId="67F23AB3" w14:textId="77777777" w:rsidR="00BA275B" w:rsidRPr="00D30496" w:rsidRDefault="00BA275B" w:rsidP="00D30496">
            <w:pPr>
              <w:jc w:val="right"/>
              <w:rPr>
                <w:sz w:val="15"/>
                <w:szCs w:val="15"/>
              </w:rPr>
            </w:pPr>
            <w:r w:rsidRPr="00D30496">
              <w:rPr>
                <w:sz w:val="15"/>
                <w:szCs w:val="15"/>
              </w:rPr>
              <w:t>0.7</w:t>
            </w:r>
          </w:p>
        </w:tc>
        <w:tc>
          <w:tcPr>
            <w:tcW w:w="0" w:type="auto"/>
            <w:tcBorders>
              <w:top w:val="single" w:sz="4" w:space="0" w:color="auto"/>
              <w:left w:val="nil"/>
              <w:bottom w:val="single" w:sz="4" w:space="0" w:color="auto"/>
              <w:right w:val="nil"/>
            </w:tcBorders>
            <w:shd w:val="clear" w:color="auto" w:fill="E2EFD9" w:themeFill="accent6" w:themeFillTint="33"/>
            <w:noWrap/>
            <w:vAlign w:val="center"/>
            <w:hideMark/>
          </w:tcPr>
          <w:p w14:paraId="52C2C0D0" w14:textId="77777777" w:rsidR="00BA275B" w:rsidRPr="00D30496" w:rsidRDefault="00BA275B" w:rsidP="00D30496">
            <w:pPr>
              <w:jc w:val="right"/>
              <w:rPr>
                <w:sz w:val="15"/>
                <w:szCs w:val="15"/>
              </w:rPr>
            </w:pPr>
            <w:r w:rsidRPr="00D30496">
              <w:rPr>
                <w:sz w:val="15"/>
                <w:szCs w:val="15"/>
              </w:rPr>
              <w:t>8.3</w:t>
            </w:r>
          </w:p>
        </w:tc>
        <w:tc>
          <w:tcPr>
            <w:tcW w:w="0" w:type="auto"/>
            <w:tcBorders>
              <w:top w:val="single" w:sz="4" w:space="0" w:color="auto"/>
              <w:left w:val="nil"/>
              <w:bottom w:val="single" w:sz="4" w:space="0" w:color="auto"/>
              <w:right w:val="nil"/>
            </w:tcBorders>
            <w:shd w:val="clear" w:color="auto" w:fill="E2EFD9" w:themeFill="accent6" w:themeFillTint="33"/>
            <w:noWrap/>
            <w:vAlign w:val="center"/>
            <w:hideMark/>
          </w:tcPr>
          <w:p w14:paraId="146BD8F6" w14:textId="77777777" w:rsidR="00BA275B" w:rsidRPr="00D30496" w:rsidRDefault="00BA275B" w:rsidP="00D30496">
            <w:pPr>
              <w:jc w:val="right"/>
              <w:rPr>
                <w:sz w:val="15"/>
                <w:szCs w:val="15"/>
              </w:rPr>
            </w:pPr>
            <w:r w:rsidRPr="00D30496">
              <w:rPr>
                <w:sz w:val="15"/>
                <w:szCs w:val="15"/>
              </w:rPr>
              <w:t>10.2</w:t>
            </w:r>
          </w:p>
        </w:tc>
        <w:tc>
          <w:tcPr>
            <w:tcW w:w="0" w:type="auto"/>
            <w:tcBorders>
              <w:top w:val="single" w:sz="4" w:space="0" w:color="auto"/>
              <w:left w:val="nil"/>
              <w:bottom w:val="single" w:sz="4" w:space="0" w:color="auto"/>
              <w:right w:val="nil"/>
            </w:tcBorders>
            <w:shd w:val="clear" w:color="auto" w:fill="E2EFD9" w:themeFill="accent6" w:themeFillTint="33"/>
            <w:noWrap/>
            <w:vAlign w:val="center"/>
            <w:hideMark/>
          </w:tcPr>
          <w:p w14:paraId="086F1057" w14:textId="77777777" w:rsidR="00BA275B" w:rsidRPr="00D30496" w:rsidRDefault="00BA275B" w:rsidP="00D30496">
            <w:pPr>
              <w:jc w:val="right"/>
              <w:rPr>
                <w:sz w:val="15"/>
                <w:szCs w:val="15"/>
              </w:rPr>
            </w:pPr>
            <w:r w:rsidRPr="00D30496">
              <w:rPr>
                <w:sz w:val="15"/>
                <w:szCs w:val="15"/>
              </w:rPr>
              <w:t>8.0</w:t>
            </w:r>
          </w:p>
        </w:tc>
        <w:tc>
          <w:tcPr>
            <w:tcW w:w="0" w:type="auto"/>
            <w:tcBorders>
              <w:top w:val="single" w:sz="4" w:space="0" w:color="auto"/>
              <w:left w:val="nil"/>
              <w:bottom w:val="single" w:sz="4" w:space="0" w:color="auto"/>
              <w:right w:val="nil"/>
            </w:tcBorders>
            <w:shd w:val="clear" w:color="auto" w:fill="E2EFD9" w:themeFill="accent6" w:themeFillTint="33"/>
            <w:noWrap/>
            <w:vAlign w:val="center"/>
            <w:hideMark/>
          </w:tcPr>
          <w:p w14:paraId="27D28B36" w14:textId="77777777" w:rsidR="00BA275B" w:rsidRPr="00D30496" w:rsidRDefault="00BA275B" w:rsidP="00D30496">
            <w:pPr>
              <w:jc w:val="right"/>
              <w:rPr>
                <w:sz w:val="15"/>
                <w:szCs w:val="15"/>
              </w:rPr>
            </w:pPr>
            <w:r w:rsidRPr="00D30496">
              <w:rPr>
                <w:sz w:val="15"/>
                <w:szCs w:val="15"/>
              </w:rPr>
              <w:t>3.3</w:t>
            </w:r>
          </w:p>
        </w:tc>
        <w:tc>
          <w:tcPr>
            <w:tcW w:w="0" w:type="auto"/>
            <w:tcBorders>
              <w:top w:val="single" w:sz="4" w:space="0" w:color="auto"/>
              <w:left w:val="nil"/>
              <w:bottom w:val="single" w:sz="4" w:space="0" w:color="auto"/>
              <w:right w:val="nil"/>
            </w:tcBorders>
            <w:shd w:val="clear" w:color="auto" w:fill="E2EFD9" w:themeFill="accent6" w:themeFillTint="33"/>
            <w:noWrap/>
            <w:vAlign w:val="center"/>
            <w:hideMark/>
          </w:tcPr>
          <w:p w14:paraId="53335388" w14:textId="77777777" w:rsidR="00BA275B" w:rsidRPr="00D30496" w:rsidRDefault="00BA275B" w:rsidP="00D30496">
            <w:pPr>
              <w:jc w:val="right"/>
              <w:rPr>
                <w:sz w:val="15"/>
                <w:szCs w:val="15"/>
              </w:rPr>
            </w:pPr>
            <w:r w:rsidRPr="00D30496">
              <w:rPr>
                <w:sz w:val="15"/>
                <w:szCs w:val="15"/>
              </w:rPr>
              <w:t>1.3</w:t>
            </w:r>
          </w:p>
        </w:tc>
        <w:tc>
          <w:tcPr>
            <w:tcW w:w="0" w:type="auto"/>
            <w:tcBorders>
              <w:top w:val="single" w:sz="4" w:space="0" w:color="auto"/>
              <w:left w:val="nil"/>
              <w:bottom w:val="single" w:sz="4" w:space="0" w:color="auto"/>
              <w:right w:val="nil"/>
            </w:tcBorders>
            <w:shd w:val="clear" w:color="auto" w:fill="E2EFD9" w:themeFill="accent6" w:themeFillTint="33"/>
            <w:noWrap/>
            <w:vAlign w:val="center"/>
            <w:hideMark/>
          </w:tcPr>
          <w:p w14:paraId="73187C18" w14:textId="77777777" w:rsidR="00BA275B" w:rsidRPr="00D30496" w:rsidRDefault="00BA275B" w:rsidP="00D30496">
            <w:pPr>
              <w:jc w:val="right"/>
              <w:rPr>
                <w:sz w:val="15"/>
                <w:szCs w:val="15"/>
              </w:rPr>
            </w:pPr>
            <w:r w:rsidRPr="00D30496">
              <w:rPr>
                <w:sz w:val="15"/>
                <w:szCs w:val="15"/>
              </w:rPr>
              <w:t>1.2</w:t>
            </w:r>
          </w:p>
        </w:tc>
        <w:tc>
          <w:tcPr>
            <w:tcW w:w="0" w:type="auto"/>
            <w:tcBorders>
              <w:top w:val="single" w:sz="4" w:space="0" w:color="auto"/>
              <w:left w:val="nil"/>
              <w:bottom w:val="single" w:sz="4" w:space="0" w:color="auto"/>
              <w:right w:val="nil"/>
            </w:tcBorders>
            <w:shd w:val="clear" w:color="auto" w:fill="E2EFD9" w:themeFill="accent6" w:themeFillTint="33"/>
            <w:noWrap/>
            <w:vAlign w:val="center"/>
            <w:hideMark/>
          </w:tcPr>
          <w:p w14:paraId="0D5D8FF2" w14:textId="77777777" w:rsidR="00BA275B" w:rsidRPr="00D30496" w:rsidRDefault="00BA275B" w:rsidP="00D30496">
            <w:pPr>
              <w:jc w:val="right"/>
              <w:rPr>
                <w:sz w:val="15"/>
                <w:szCs w:val="15"/>
              </w:rPr>
            </w:pPr>
            <w:r w:rsidRPr="00D30496">
              <w:rPr>
                <w:sz w:val="15"/>
                <w:szCs w:val="15"/>
              </w:rPr>
              <w:t>7,657,185</w:t>
            </w:r>
          </w:p>
        </w:tc>
      </w:tr>
      <w:tr w:rsidR="006B42D6" w:rsidRPr="00D30496" w14:paraId="6B1F91AC" w14:textId="77777777" w:rsidTr="00D30496">
        <w:trPr>
          <w:trHeight w:val="272"/>
        </w:trPr>
        <w:tc>
          <w:tcPr>
            <w:tcW w:w="0" w:type="auto"/>
            <w:tcBorders>
              <w:top w:val="nil"/>
              <w:left w:val="nil"/>
              <w:bottom w:val="nil"/>
              <w:right w:val="nil"/>
            </w:tcBorders>
            <w:shd w:val="clear" w:color="auto" w:fill="auto"/>
            <w:noWrap/>
            <w:vAlign w:val="center"/>
            <w:hideMark/>
          </w:tcPr>
          <w:p w14:paraId="023054A9" w14:textId="77777777" w:rsidR="00BA275B" w:rsidRPr="00D30496" w:rsidRDefault="00BA275B" w:rsidP="00383AA6">
            <w:pPr>
              <w:rPr>
                <w:sz w:val="15"/>
                <w:szCs w:val="15"/>
              </w:rPr>
            </w:pPr>
            <w:r w:rsidRPr="00D30496">
              <w:rPr>
                <w:sz w:val="15"/>
                <w:szCs w:val="15"/>
              </w:rPr>
              <w:t>Kaskazini Unguja</w:t>
            </w:r>
          </w:p>
        </w:tc>
        <w:tc>
          <w:tcPr>
            <w:tcW w:w="0" w:type="auto"/>
            <w:tcBorders>
              <w:top w:val="nil"/>
              <w:left w:val="nil"/>
              <w:bottom w:val="nil"/>
              <w:right w:val="nil"/>
            </w:tcBorders>
            <w:shd w:val="clear" w:color="auto" w:fill="auto"/>
            <w:noWrap/>
            <w:vAlign w:val="center"/>
            <w:hideMark/>
          </w:tcPr>
          <w:p w14:paraId="132C8554" w14:textId="77777777" w:rsidR="00BA275B" w:rsidRPr="00D30496" w:rsidRDefault="00BA275B" w:rsidP="00D30496">
            <w:pPr>
              <w:jc w:val="right"/>
              <w:rPr>
                <w:sz w:val="15"/>
                <w:szCs w:val="15"/>
              </w:rPr>
            </w:pPr>
            <w:r w:rsidRPr="00D30496">
              <w:rPr>
                <w:sz w:val="15"/>
                <w:szCs w:val="15"/>
              </w:rPr>
              <w:t>96.3</w:t>
            </w:r>
          </w:p>
        </w:tc>
        <w:tc>
          <w:tcPr>
            <w:tcW w:w="0" w:type="auto"/>
            <w:tcBorders>
              <w:top w:val="nil"/>
              <w:left w:val="nil"/>
              <w:bottom w:val="nil"/>
              <w:right w:val="nil"/>
            </w:tcBorders>
            <w:shd w:val="clear" w:color="auto" w:fill="auto"/>
            <w:noWrap/>
            <w:vAlign w:val="center"/>
            <w:hideMark/>
          </w:tcPr>
          <w:p w14:paraId="2E03A842" w14:textId="77777777" w:rsidR="00BA275B" w:rsidRPr="00D30496" w:rsidRDefault="00BA275B" w:rsidP="00D30496">
            <w:pPr>
              <w:jc w:val="right"/>
              <w:rPr>
                <w:sz w:val="15"/>
                <w:szCs w:val="15"/>
              </w:rPr>
            </w:pPr>
            <w:r w:rsidRPr="00D30496">
              <w:rPr>
                <w:sz w:val="15"/>
                <w:szCs w:val="15"/>
              </w:rPr>
              <w:t>86.4</w:t>
            </w:r>
          </w:p>
        </w:tc>
        <w:tc>
          <w:tcPr>
            <w:tcW w:w="0" w:type="auto"/>
            <w:tcBorders>
              <w:top w:val="nil"/>
              <w:left w:val="nil"/>
              <w:bottom w:val="nil"/>
              <w:right w:val="nil"/>
            </w:tcBorders>
            <w:shd w:val="clear" w:color="auto" w:fill="auto"/>
            <w:noWrap/>
            <w:vAlign w:val="center"/>
            <w:hideMark/>
          </w:tcPr>
          <w:p w14:paraId="5D5AB40E" w14:textId="77777777" w:rsidR="00BA275B" w:rsidRPr="00D30496" w:rsidRDefault="00BA275B" w:rsidP="00D30496">
            <w:pPr>
              <w:jc w:val="right"/>
              <w:rPr>
                <w:sz w:val="15"/>
                <w:szCs w:val="15"/>
              </w:rPr>
            </w:pPr>
            <w:r w:rsidRPr="00D30496">
              <w:rPr>
                <w:sz w:val="15"/>
                <w:szCs w:val="15"/>
              </w:rPr>
              <w:t>1.5</w:t>
            </w:r>
          </w:p>
        </w:tc>
        <w:tc>
          <w:tcPr>
            <w:tcW w:w="0" w:type="auto"/>
            <w:tcBorders>
              <w:top w:val="nil"/>
              <w:left w:val="nil"/>
              <w:bottom w:val="nil"/>
              <w:right w:val="nil"/>
            </w:tcBorders>
            <w:shd w:val="clear" w:color="auto" w:fill="auto"/>
            <w:noWrap/>
            <w:vAlign w:val="center"/>
            <w:hideMark/>
          </w:tcPr>
          <w:p w14:paraId="7BBA733F" w14:textId="77777777" w:rsidR="00BA275B" w:rsidRPr="00D30496" w:rsidRDefault="00BA275B" w:rsidP="00D30496">
            <w:pPr>
              <w:jc w:val="right"/>
              <w:rPr>
                <w:sz w:val="15"/>
                <w:szCs w:val="15"/>
              </w:rPr>
            </w:pPr>
            <w:r w:rsidRPr="00D30496">
              <w:rPr>
                <w:sz w:val="15"/>
                <w:szCs w:val="15"/>
              </w:rPr>
              <w:t>0.4</w:t>
            </w:r>
          </w:p>
        </w:tc>
        <w:tc>
          <w:tcPr>
            <w:tcW w:w="0" w:type="auto"/>
            <w:tcBorders>
              <w:top w:val="nil"/>
              <w:left w:val="nil"/>
              <w:bottom w:val="nil"/>
              <w:right w:val="nil"/>
            </w:tcBorders>
            <w:shd w:val="clear" w:color="auto" w:fill="auto"/>
            <w:noWrap/>
            <w:vAlign w:val="center"/>
            <w:hideMark/>
          </w:tcPr>
          <w:p w14:paraId="3AE422E3" w14:textId="77777777" w:rsidR="00BA275B" w:rsidRPr="00D30496" w:rsidRDefault="00BA275B" w:rsidP="00D30496">
            <w:pPr>
              <w:jc w:val="right"/>
              <w:rPr>
                <w:sz w:val="15"/>
                <w:szCs w:val="15"/>
              </w:rPr>
            </w:pPr>
            <w:r w:rsidRPr="00D30496">
              <w:rPr>
                <w:sz w:val="15"/>
                <w:szCs w:val="15"/>
              </w:rPr>
              <w:t>0.4</w:t>
            </w:r>
          </w:p>
        </w:tc>
        <w:tc>
          <w:tcPr>
            <w:tcW w:w="0" w:type="auto"/>
            <w:tcBorders>
              <w:top w:val="nil"/>
              <w:left w:val="nil"/>
              <w:bottom w:val="nil"/>
              <w:right w:val="nil"/>
            </w:tcBorders>
            <w:shd w:val="clear" w:color="auto" w:fill="auto"/>
            <w:noWrap/>
            <w:vAlign w:val="center"/>
            <w:hideMark/>
          </w:tcPr>
          <w:p w14:paraId="5D1B20A0" w14:textId="77777777" w:rsidR="00BA275B" w:rsidRPr="00D30496" w:rsidRDefault="00BA275B" w:rsidP="00D30496">
            <w:pPr>
              <w:jc w:val="right"/>
              <w:rPr>
                <w:sz w:val="15"/>
                <w:szCs w:val="15"/>
              </w:rPr>
            </w:pPr>
            <w:r w:rsidRPr="00D30496">
              <w:rPr>
                <w:sz w:val="15"/>
                <w:szCs w:val="15"/>
              </w:rPr>
              <w:t>1.4</w:t>
            </w:r>
          </w:p>
        </w:tc>
        <w:tc>
          <w:tcPr>
            <w:tcW w:w="0" w:type="auto"/>
            <w:tcBorders>
              <w:top w:val="nil"/>
              <w:left w:val="nil"/>
              <w:bottom w:val="nil"/>
              <w:right w:val="nil"/>
            </w:tcBorders>
            <w:shd w:val="clear" w:color="auto" w:fill="auto"/>
            <w:noWrap/>
            <w:vAlign w:val="center"/>
            <w:hideMark/>
          </w:tcPr>
          <w:p w14:paraId="74BF82DF" w14:textId="77777777" w:rsidR="00BA275B" w:rsidRPr="00D30496" w:rsidRDefault="00BA275B" w:rsidP="00D30496">
            <w:pPr>
              <w:jc w:val="right"/>
              <w:rPr>
                <w:sz w:val="15"/>
                <w:szCs w:val="15"/>
              </w:rPr>
            </w:pPr>
            <w:r w:rsidRPr="00D30496">
              <w:rPr>
                <w:sz w:val="15"/>
                <w:szCs w:val="15"/>
              </w:rPr>
              <w:t>13.2</w:t>
            </w:r>
          </w:p>
        </w:tc>
        <w:tc>
          <w:tcPr>
            <w:tcW w:w="0" w:type="auto"/>
            <w:tcBorders>
              <w:top w:val="nil"/>
              <w:left w:val="nil"/>
              <w:bottom w:val="nil"/>
              <w:right w:val="nil"/>
            </w:tcBorders>
            <w:shd w:val="clear" w:color="auto" w:fill="auto"/>
            <w:noWrap/>
            <w:vAlign w:val="center"/>
            <w:hideMark/>
          </w:tcPr>
          <w:p w14:paraId="720CA2AA" w14:textId="77777777" w:rsidR="00BA275B" w:rsidRPr="00D30496" w:rsidRDefault="00BA275B" w:rsidP="00D30496">
            <w:pPr>
              <w:jc w:val="right"/>
              <w:rPr>
                <w:sz w:val="15"/>
                <w:szCs w:val="15"/>
              </w:rPr>
            </w:pPr>
            <w:r w:rsidRPr="00D30496">
              <w:rPr>
                <w:sz w:val="15"/>
                <w:szCs w:val="15"/>
              </w:rPr>
              <w:t>5.6</w:t>
            </w:r>
          </w:p>
        </w:tc>
        <w:tc>
          <w:tcPr>
            <w:tcW w:w="0" w:type="auto"/>
            <w:tcBorders>
              <w:top w:val="nil"/>
              <w:left w:val="nil"/>
              <w:bottom w:val="nil"/>
              <w:right w:val="nil"/>
            </w:tcBorders>
            <w:shd w:val="clear" w:color="auto" w:fill="auto"/>
            <w:noWrap/>
            <w:vAlign w:val="center"/>
            <w:hideMark/>
          </w:tcPr>
          <w:p w14:paraId="69C9451F" w14:textId="77777777" w:rsidR="00BA275B" w:rsidRPr="00D30496" w:rsidRDefault="00BA275B" w:rsidP="00D30496">
            <w:pPr>
              <w:jc w:val="right"/>
              <w:rPr>
                <w:sz w:val="15"/>
                <w:szCs w:val="15"/>
              </w:rPr>
            </w:pPr>
            <w:r w:rsidRPr="00D30496">
              <w:rPr>
                <w:sz w:val="15"/>
                <w:szCs w:val="15"/>
              </w:rPr>
              <w:t>6.8</w:t>
            </w:r>
          </w:p>
        </w:tc>
        <w:tc>
          <w:tcPr>
            <w:tcW w:w="0" w:type="auto"/>
            <w:tcBorders>
              <w:top w:val="nil"/>
              <w:left w:val="nil"/>
              <w:bottom w:val="nil"/>
              <w:right w:val="nil"/>
            </w:tcBorders>
            <w:shd w:val="clear" w:color="auto" w:fill="auto"/>
            <w:noWrap/>
            <w:vAlign w:val="center"/>
            <w:hideMark/>
          </w:tcPr>
          <w:p w14:paraId="696DAFB8" w14:textId="77777777" w:rsidR="00BA275B" w:rsidRPr="00D30496" w:rsidRDefault="00BA275B" w:rsidP="00D30496">
            <w:pPr>
              <w:jc w:val="right"/>
              <w:rPr>
                <w:sz w:val="15"/>
                <w:szCs w:val="15"/>
              </w:rPr>
            </w:pPr>
            <w:r w:rsidRPr="00D30496">
              <w:rPr>
                <w:sz w:val="15"/>
                <w:szCs w:val="15"/>
              </w:rPr>
              <w:t>0.3</w:t>
            </w:r>
          </w:p>
        </w:tc>
        <w:tc>
          <w:tcPr>
            <w:tcW w:w="0" w:type="auto"/>
            <w:tcBorders>
              <w:top w:val="nil"/>
              <w:left w:val="nil"/>
              <w:bottom w:val="nil"/>
              <w:right w:val="nil"/>
            </w:tcBorders>
            <w:shd w:val="clear" w:color="auto" w:fill="auto"/>
            <w:noWrap/>
            <w:vAlign w:val="center"/>
            <w:hideMark/>
          </w:tcPr>
          <w:p w14:paraId="2FFB108B" w14:textId="77777777" w:rsidR="00BA275B" w:rsidRPr="00D30496" w:rsidRDefault="00BA275B" w:rsidP="00D30496">
            <w:pPr>
              <w:jc w:val="right"/>
              <w:rPr>
                <w:sz w:val="15"/>
                <w:szCs w:val="15"/>
              </w:rPr>
            </w:pPr>
            <w:r w:rsidRPr="00D30496">
              <w:rPr>
                <w:sz w:val="15"/>
                <w:szCs w:val="15"/>
              </w:rPr>
              <w:t>0.5</w:t>
            </w:r>
          </w:p>
        </w:tc>
        <w:tc>
          <w:tcPr>
            <w:tcW w:w="0" w:type="auto"/>
            <w:tcBorders>
              <w:top w:val="nil"/>
              <w:left w:val="nil"/>
              <w:bottom w:val="nil"/>
              <w:right w:val="nil"/>
            </w:tcBorders>
            <w:shd w:val="clear" w:color="auto" w:fill="auto"/>
            <w:noWrap/>
            <w:vAlign w:val="center"/>
            <w:hideMark/>
          </w:tcPr>
          <w:p w14:paraId="4DB67126" w14:textId="77777777" w:rsidR="00BA275B" w:rsidRPr="00D30496" w:rsidRDefault="00BA275B" w:rsidP="00D30496">
            <w:pPr>
              <w:jc w:val="right"/>
              <w:rPr>
                <w:sz w:val="15"/>
                <w:szCs w:val="15"/>
              </w:rPr>
            </w:pPr>
            <w:r w:rsidRPr="00D30496">
              <w:rPr>
                <w:sz w:val="15"/>
                <w:szCs w:val="15"/>
              </w:rPr>
              <w:t>31,594</w:t>
            </w:r>
          </w:p>
        </w:tc>
      </w:tr>
      <w:tr w:rsidR="006B42D6" w:rsidRPr="00D30496" w14:paraId="75B465EA" w14:textId="77777777" w:rsidTr="00D30496">
        <w:trPr>
          <w:trHeight w:val="272"/>
        </w:trPr>
        <w:tc>
          <w:tcPr>
            <w:tcW w:w="0" w:type="auto"/>
            <w:tcBorders>
              <w:top w:val="nil"/>
              <w:left w:val="nil"/>
              <w:bottom w:val="nil"/>
              <w:right w:val="nil"/>
            </w:tcBorders>
            <w:shd w:val="clear" w:color="auto" w:fill="auto"/>
            <w:noWrap/>
            <w:vAlign w:val="center"/>
            <w:hideMark/>
          </w:tcPr>
          <w:p w14:paraId="35246FA4" w14:textId="77777777" w:rsidR="00BA275B" w:rsidRPr="00D30496" w:rsidRDefault="00BA275B" w:rsidP="00383AA6">
            <w:pPr>
              <w:rPr>
                <w:sz w:val="15"/>
                <w:szCs w:val="15"/>
              </w:rPr>
            </w:pPr>
            <w:r w:rsidRPr="00D30496">
              <w:rPr>
                <w:sz w:val="15"/>
                <w:szCs w:val="15"/>
              </w:rPr>
              <w:t>Kusini Unguja</w:t>
            </w:r>
          </w:p>
        </w:tc>
        <w:tc>
          <w:tcPr>
            <w:tcW w:w="0" w:type="auto"/>
            <w:tcBorders>
              <w:top w:val="nil"/>
              <w:left w:val="nil"/>
              <w:bottom w:val="nil"/>
              <w:right w:val="nil"/>
            </w:tcBorders>
            <w:shd w:val="clear" w:color="auto" w:fill="auto"/>
            <w:noWrap/>
            <w:vAlign w:val="center"/>
            <w:hideMark/>
          </w:tcPr>
          <w:p w14:paraId="51DBBFAB" w14:textId="77777777" w:rsidR="00BA275B" w:rsidRPr="00D30496" w:rsidRDefault="00BA275B" w:rsidP="00D30496">
            <w:pPr>
              <w:jc w:val="right"/>
              <w:rPr>
                <w:sz w:val="15"/>
                <w:szCs w:val="15"/>
              </w:rPr>
            </w:pPr>
            <w:r w:rsidRPr="00D30496">
              <w:rPr>
                <w:sz w:val="15"/>
                <w:szCs w:val="15"/>
              </w:rPr>
              <w:t>96.7</w:t>
            </w:r>
          </w:p>
        </w:tc>
        <w:tc>
          <w:tcPr>
            <w:tcW w:w="0" w:type="auto"/>
            <w:tcBorders>
              <w:top w:val="nil"/>
              <w:left w:val="nil"/>
              <w:bottom w:val="nil"/>
              <w:right w:val="nil"/>
            </w:tcBorders>
            <w:shd w:val="clear" w:color="auto" w:fill="auto"/>
            <w:noWrap/>
            <w:vAlign w:val="center"/>
            <w:hideMark/>
          </w:tcPr>
          <w:p w14:paraId="7654DBD5" w14:textId="77777777" w:rsidR="00BA275B" w:rsidRPr="00D30496" w:rsidRDefault="00BA275B" w:rsidP="00D30496">
            <w:pPr>
              <w:jc w:val="right"/>
              <w:rPr>
                <w:sz w:val="15"/>
                <w:szCs w:val="15"/>
              </w:rPr>
            </w:pPr>
            <w:r w:rsidRPr="00D30496">
              <w:rPr>
                <w:sz w:val="15"/>
                <w:szCs w:val="15"/>
              </w:rPr>
              <w:t>80.4</w:t>
            </w:r>
          </w:p>
        </w:tc>
        <w:tc>
          <w:tcPr>
            <w:tcW w:w="0" w:type="auto"/>
            <w:tcBorders>
              <w:top w:val="nil"/>
              <w:left w:val="nil"/>
              <w:bottom w:val="nil"/>
              <w:right w:val="nil"/>
            </w:tcBorders>
            <w:shd w:val="clear" w:color="auto" w:fill="auto"/>
            <w:noWrap/>
            <w:vAlign w:val="center"/>
            <w:hideMark/>
          </w:tcPr>
          <w:p w14:paraId="30827CFB" w14:textId="77777777" w:rsidR="00BA275B" w:rsidRPr="00D30496" w:rsidRDefault="00BA275B" w:rsidP="00D30496">
            <w:pPr>
              <w:jc w:val="right"/>
              <w:rPr>
                <w:sz w:val="15"/>
                <w:szCs w:val="15"/>
              </w:rPr>
            </w:pPr>
            <w:r w:rsidRPr="00D30496">
              <w:rPr>
                <w:sz w:val="15"/>
                <w:szCs w:val="15"/>
              </w:rPr>
              <w:t>4.3</w:t>
            </w:r>
          </w:p>
        </w:tc>
        <w:tc>
          <w:tcPr>
            <w:tcW w:w="0" w:type="auto"/>
            <w:tcBorders>
              <w:top w:val="nil"/>
              <w:left w:val="nil"/>
              <w:bottom w:val="nil"/>
              <w:right w:val="nil"/>
            </w:tcBorders>
            <w:shd w:val="clear" w:color="auto" w:fill="auto"/>
            <w:noWrap/>
            <w:vAlign w:val="center"/>
            <w:hideMark/>
          </w:tcPr>
          <w:p w14:paraId="190173BD" w14:textId="77777777" w:rsidR="00BA275B" w:rsidRPr="00D30496" w:rsidRDefault="00BA275B" w:rsidP="00D30496">
            <w:pPr>
              <w:jc w:val="right"/>
              <w:rPr>
                <w:sz w:val="15"/>
                <w:szCs w:val="15"/>
              </w:rPr>
            </w:pPr>
            <w:r w:rsidRPr="00D30496">
              <w:rPr>
                <w:sz w:val="15"/>
                <w:szCs w:val="15"/>
              </w:rPr>
              <w:t>0.6</w:t>
            </w:r>
          </w:p>
        </w:tc>
        <w:tc>
          <w:tcPr>
            <w:tcW w:w="0" w:type="auto"/>
            <w:tcBorders>
              <w:top w:val="nil"/>
              <w:left w:val="nil"/>
              <w:bottom w:val="nil"/>
              <w:right w:val="nil"/>
            </w:tcBorders>
            <w:shd w:val="clear" w:color="auto" w:fill="auto"/>
            <w:noWrap/>
            <w:vAlign w:val="center"/>
            <w:hideMark/>
          </w:tcPr>
          <w:p w14:paraId="67C1E93B" w14:textId="77777777" w:rsidR="00BA275B" w:rsidRPr="00D30496" w:rsidRDefault="00BA275B" w:rsidP="00D30496">
            <w:pPr>
              <w:jc w:val="right"/>
              <w:rPr>
                <w:sz w:val="15"/>
                <w:szCs w:val="15"/>
              </w:rPr>
            </w:pPr>
            <w:r w:rsidRPr="00D30496">
              <w:rPr>
                <w:sz w:val="15"/>
                <w:szCs w:val="15"/>
              </w:rPr>
              <w:t>-</w:t>
            </w:r>
          </w:p>
        </w:tc>
        <w:tc>
          <w:tcPr>
            <w:tcW w:w="0" w:type="auto"/>
            <w:tcBorders>
              <w:top w:val="nil"/>
              <w:left w:val="nil"/>
              <w:bottom w:val="nil"/>
              <w:right w:val="nil"/>
            </w:tcBorders>
            <w:shd w:val="clear" w:color="auto" w:fill="auto"/>
            <w:noWrap/>
            <w:vAlign w:val="center"/>
            <w:hideMark/>
          </w:tcPr>
          <w:p w14:paraId="151D78E4" w14:textId="77777777" w:rsidR="00BA275B" w:rsidRPr="00D30496" w:rsidRDefault="00BA275B" w:rsidP="00D30496">
            <w:pPr>
              <w:jc w:val="right"/>
              <w:rPr>
                <w:sz w:val="15"/>
                <w:szCs w:val="15"/>
              </w:rPr>
            </w:pPr>
            <w:r w:rsidRPr="00D30496">
              <w:rPr>
                <w:sz w:val="15"/>
                <w:szCs w:val="15"/>
              </w:rPr>
              <w:t>9.9</w:t>
            </w:r>
          </w:p>
        </w:tc>
        <w:tc>
          <w:tcPr>
            <w:tcW w:w="0" w:type="auto"/>
            <w:tcBorders>
              <w:top w:val="nil"/>
              <w:left w:val="nil"/>
              <w:bottom w:val="nil"/>
              <w:right w:val="nil"/>
            </w:tcBorders>
            <w:shd w:val="clear" w:color="auto" w:fill="auto"/>
            <w:noWrap/>
            <w:vAlign w:val="center"/>
            <w:hideMark/>
          </w:tcPr>
          <w:p w14:paraId="26B3915B" w14:textId="77777777" w:rsidR="00BA275B" w:rsidRPr="00D30496" w:rsidRDefault="00BA275B" w:rsidP="00D30496">
            <w:pPr>
              <w:jc w:val="right"/>
              <w:rPr>
                <w:sz w:val="15"/>
                <w:szCs w:val="15"/>
              </w:rPr>
            </w:pPr>
            <w:r w:rsidRPr="00D30496">
              <w:rPr>
                <w:sz w:val="15"/>
                <w:szCs w:val="15"/>
              </w:rPr>
              <w:t>11.4</w:t>
            </w:r>
          </w:p>
        </w:tc>
        <w:tc>
          <w:tcPr>
            <w:tcW w:w="0" w:type="auto"/>
            <w:tcBorders>
              <w:top w:val="nil"/>
              <w:left w:val="nil"/>
              <w:bottom w:val="nil"/>
              <w:right w:val="nil"/>
            </w:tcBorders>
            <w:shd w:val="clear" w:color="auto" w:fill="auto"/>
            <w:noWrap/>
            <w:vAlign w:val="center"/>
            <w:hideMark/>
          </w:tcPr>
          <w:p w14:paraId="51DC1152" w14:textId="77777777" w:rsidR="00BA275B" w:rsidRPr="00D30496" w:rsidRDefault="00BA275B" w:rsidP="00D30496">
            <w:pPr>
              <w:jc w:val="right"/>
              <w:rPr>
                <w:sz w:val="15"/>
                <w:szCs w:val="15"/>
              </w:rPr>
            </w:pPr>
            <w:r w:rsidRPr="00D30496">
              <w:rPr>
                <w:sz w:val="15"/>
                <w:szCs w:val="15"/>
              </w:rPr>
              <w:t>12.1</w:t>
            </w:r>
          </w:p>
        </w:tc>
        <w:tc>
          <w:tcPr>
            <w:tcW w:w="0" w:type="auto"/>
            <w:tcBorders>
              <w:top w:val="nil"/>
              <w:left w:val="nil"/>
              <w:bottom w:val="nil"/>
              <w:right w:val="nil"/>
            </w:tcBorders>
            <w:shd w:val="clear" w:color="auto" w:fill="auto"/>
            <w:noWrap/>
            <w:vAlign w:val="center"/>
            <w:hideMark/>
          </w:tcPr>
          <w:p w14:paraId="029158A6" w14:textId="77777777" w:rsidR="00BA275B" w:rsidRPr="00D30496" w:rsidRDefault="00BA275B" w:rsidP="00D30496">
            <w:pPr>
              <w:jc w:val="right"/>
              <w:rPr>
                <w:sz w:val="15"/>
                <w:szCs w:val="15"/>
              </w:rPr>
            </w:pPr>
            <w:r w:rsidRPr="00D30496">
              <w:rPr>
                <w:sz w:val="15"/>
                <w:szCs w:val="15"/>
              </w:rPr>
              <w:t>11.2</w:t>
            </w:r>
          </w:p>
        </w:tc>
        <w:tc>
          <w:tcPr>
            <w:tcW w:w="0" w:type="auto"/>
            <w:tcBorders>
              <w:top w:val="nil"/>
              <w:left w:val="nil"/>
              <w:bottom w:val="nil"/>
              <w:right w:val="nil"/>
            </w:tcBorders>
            <w:shd w:val="clear" w:color="auto" w:fill="auto"/>
            <w:noWrap/>
            <w:vAlign w:val="center"/>
            <w:hideMark/>
          </w:tcPr>
          <w:p w14:paraId="1D029453" w14:textId="77777777" w:rsidR="00BA275B" w:rsidRPr="00D30496" w:rsidRDefault="00BA275B" w:rsidP="00D30496">
            <w:pPr>
              <w:jc w:val="right"/>
              <w:rPr>
                <w:sz w:val="15"/>
                <w:szCs w:val="15"/>
              </w:rPr>
            </w:pPr>
            <w:r w:rsidRPr="00D30496">
              <w:rPr>
                <w:sz w:val="15"/>
                <w:szCs w:val="15"/>
              </w:rPr>
              <w:t>2.0</w:t>
            </w:r>
          </w:p>
        </w:tc>
        <w:tc>
          <w:tcPr>
            <w:tcW w:w="0" w:type="auto"/>
            <w:tcBorders>
              <w:top w:val="nil"/>
              <w:left w:val="nil"/>
              <w:bottom w:val="nil"/>
              <w:right w:val="nil"/>
            </w:tcBorders>
            <w:shd w:val="clear" w:color="auto" w:fill="auto"/>
            <w:noWrap/>
            <w:vAlign w:val="center"/>
            <w:hideMark/>
          </w:tcPr>
          <w:p w14:paraId="0700FA97" w14:textId="77777777" w:rsidR="00BA275B" w:rsidRPr="00D30496" w:rsidRDefault="00BA275B" w:rsidP="00D30496">
            <w:pPr>
              <w:jc w:val="right"/>
              <w:rPr>
                <w:sz w:val="15"/>
                <w:szCs w:val="15"/>
              </w:rPr>
            </w:pPr>
            <w:r w:rsidRPr="00D30496">
              <w:rPr>
                <w:sz w:val="15"/>
                <w:szCs w:val="15"/>
              </w:rPr>
              <w:t>-</w:t>
            </w:r>
          </w:p>
        </w:tc>
        <w:tc>
          <w:tcPr>
            <w:tcW w:w="0" w:type="auto"/>
            <w:tcBorders>
              <w:top w:val="nil"/>
              <w:left w:val="nil"/>
              <w:bottom w:val="nil"/>
              <w:right w:val="nil"/>
            </w:tcBorders>
            <w:shd w:val="clear" w:color="auto" w:fill="auto"/>
            <w:noWrap/>
            <w:vAlign w:val="center"/>
            <w:hideMark/>
          </w:tcPr>
          <w:p w14:paraId="4B9A3371" w14:textId="77777777" w:rsidR="00BA275B" w:rsidRPr="00D30496" w:rsidRDefault="00BA275B" w:rsidP="00D30496">
            <w:pPr>
              <w:jc w:val="right"/>
              <w:rPr>
                <w:sz w:val="15"/>
                <w:szCs w:val="15"/>
              </w:rPr>
            </w:pPr>
            <w:r w:rsidRPr="00D30496">
              <w:rPr>
                <w:sz w:val="15"/>
                <w:szCs w:val="15"/>
              </w:rPr>
              <w:t>17,593</w:t>
            </w:r>
          </w:p>
        </w:tc>
      </w:tr>
      <w:tr w:rsidR="006B42D6" w:rsidRPr="00D30496" w14:paraId="7443660C" w14:textId="77777777" w:rsidTr="00D30496">
        <w:trPr>
          <w:trHeight w:val="272"/>
        </w:trPr>
        <w:tc>
          <w:tcPr>
            <w:tcW w:w="0" w:type="auto"/>
            <w:tcBorders>
              <w:top w:val="nil"/>
              <w:left w:val="nil"/>
              <w:bottom w:val="nil"/>
              <w:right w:val="nil"/>
            </w:tcBorders>
            <w:shd w:val="clear" w:color="auto" w:fill="auto"/>
            <w:noWrap/>
            <w:vAlign w:val="center"/>
            <w:hideMark/>
          </w:tcPr>
          <w:p w14:paraId="24B6C97B" w14:textId="77777777" w:rsidR="00BA275B" w:rsidRPr="00D30496" w:rsidRDefault="00BA275B" w:rsidP="00383AA6">
            <w:pPr>
              <w:rPr>
                <w:sz w:val="15"/>
                <w:szCs w:val="15"/>
              </w:rPr>
            </w:pPr>
            <w:r w:rsidRPr="00D30496">
              <w:rPr>
                <w:sz w:val="15"/>
                <w:szCs w:val="15"/>
              </w:rPr>
              <w:t>Mjini Magharibi</w:t>
            </w:r>
          </w:p>
        </w:tc>
        <w:tc>
          <w:tcPr>
            <w:tcW w:w="0" w:type="auto"/>
            <w:tcBorders>
              <w:top w:val="nil"/>
              <w:left w:val="nil"/>
              <w:bottom w:val="nil"/>
              <w:right w:val="nil"/>
            </w:tcBorders>
            <w:shd w:val="clear" w:color="auto" w:fill="auto"/>
            <w:noWrap/>
            <w:vAlign w:val="center"/>
            <w:hideMark/>
          </w:tcPr>
          <w:p w14:paraId="135C36BF" w14:textId="77777777" w:rsidR="00BA275B" w:rsidRPr="00D30496" w:rsidRDefault="00BA275B" w:rsidP="00D30496">
            <w:pPr>
              <w:jc w:val="right"/>
              <w:rPr>
                <w:sz w:val="15"/>
                <w:szCs w:val="15"/>
              </w:rPr>
            </w:pPr>
            <w:r w:rsidRPr="00D30496">
              <w:rPr>
                <w:sz w:val="15"/>
                <w:szCs w:val="15"/>
              </w:rPr>
              <w:t>93.6</w:t>
            </w:r>
          </w:p>
        </w:tc>
        <w:tc>
          <w:tcPr>
            <w:tcW w:w="0" w:type="auto"/>
            <w:tcBorders>
              <w:top w:val="nil"/>
              <w:left w:val="nil"/>
              <w:bottom w:val="nil"/>
              <w:right w:val="nil"/>
            </w:tcBorders>
            <w:shd w:val="clear" w:color="auto" w:fill="auto"/>
            <w:noWrap/>
            <w:vAlign w:val="center"/>
            <w:hideMark/>
          </w:tcPr>
          <w:p w14:paraId="53AD06AA" w14:textId="77777777" w:rsidR="00BA275B" w:rsidRPr="00D30496" w:rsidRDefault="00BA275B" w:rsidP="00D30496">
            <w:pPr>
              <w:jc w:val="right"/>
              <w:rPr>
                <w:sz w:val="15"/>
                <w:szCs w:val="15"/>
              </w:rPr>
            </w:pPr>
            <w:r w:rsidRPr="00D30496">
              <w:rPr>
                <w:sz w:val="15"/>
                <w:szCs w:val="15"/>
              </w:rPr>
              <w:t>91.6</w:t>
            </w:r>
          </w:p>
        </w:tc>
        <w:tc>
          <w:tcPr>
            <w:tcW w:w="0" w:type="auto"/>
            <w:tcBorders>
              <w:top w:val="nil"/>
              <w:left w:val="nil"/>
              <w:bottom w:val="nil"/>
              <w:right w:val="nil"/>
            </w:tcBorders>
            <w:shd w:val="clear" w:color="auto" w:fill="auto"/>
            <w:noWrap/>
            <w:vAlign w:val="center"/>
            <w:hideMark/>
          </w:tcPr>
          <w:p w14:paraId="2FE59A53" w14:textId="77777777" w:rsidR="00BA275B" w:rsidRPr="00D30496" w:rsidRDefault="00BA275B" w:rsidP="00D30496">
            <w:pPr>
              <w:jc w:val="right"/>
              <w:rPr>
                <w:sz w:val="15"/>
                <w:szCs w:val="15"/>
              </w:rPr>
            </w:pPr>
            <w:r w:rsidRPr="00D30496">
              <w:rPr>
                <w:sz w:val="15"/>
                <w:szCs w:val="15"/>
              </w:rPr>
              <w:t>13.3</w:t>
            </w:r>
          </w:p>
        </w:tc>
        <w:tc>
          <w:tcPr>
            <w:tcW w:w="0" w:type="auto"/>
            <w:tcBorders>
              <w:top w:val="nil"/>
              <w:left w:val="nil"/>
              <w:bottom w:val="nil"/>
              <w:right w:val="nil"/>
            </w:tcBorders>
            <w:shd w:val="clear" w:color="auto" w:fill="auto"/>
            <w:noWrap/>
            <w:vAlign w:val="center"/>
            <w:hideMark/>
          </w:tcPr>
          <w:p w14:paraId="165E3194" w14:textId="77777777" w:rsidR="00BA275B" w:rsidRPr="00D30496" w:rsidRDefault="00BA275B" w:rsidP="00D30496">
            <w:pPr>
              <w:jc w:val="right"/>
              <w:rPr>
                <w:sz w:val="15"/>
                <w:szCs w:val="15"/>
              </w:rPr>
            </w:pPr>
            <w:r w:rsidRPr="00D30496">
              <w:rPr>
                <w:sz w:val="15"/>
                <w:szCs w:val="15"/>
              </w:rPr>
              <w:t>13.7</w:t>
            </w:r>
          </w:p>
        </w:tc>
        <w:tc>
          <w:tcPr>
            <w:tcW w:w="0" w:type="auto"/>
            <w:tcBorders>
              <w:top w:val="nil"/>
              <w:left w:val="nil"/>
              <w:bottom w:val="nil"/>
              <w:right w:val="nil"/>
            </w:tcBorders>
            <w:shd w:val="clear" w:color="auto" w:fill="auto"/>
            <w:noWrap/>
            <w:vAlign w:val="center"/>
            <w:hideMark/>
          </w:tcPr>
          <w:p w14:paraId="36A0C2EC" w14:textId="77777777" w:rsidR="00BA275B" w:rsidRPr="00D30496" w:rsidRDefault="00BA275B" w:rsidP="00D30496">
            <w:pPr>
              <w:jc w:val="right"/>
              <w:rPr>
                <w:sz w:val="15"/>
                <w:szCs w:val="15"/>
              </w:rPr>
            </w:pPr>
            <w:r w:rsidRPr="00D30496">
              <w:rPr>
                <w:sz w:val="15"/>
                <w:szCs w:val="15"/>
              </w:rPr>
              <w:t>-</w:t>
            </w:r>
          </w:p>
        </w:tc>
        <w:tc>
          <w:tcPr>
            <w:tcW w:w="0" w:type="auto"/>
            <w:tcBorders>
              <w:top w:val="nil"/>
              <w:left w:val="nil"/>
              <w:bottom w:val="nil"/>
              <w:right w:val="nil"/>
            </w:tcBorders>
            <w:shd w:val="clear" w:color="auto" w:fill="auto"/>
            <w:noWrap/>
            <w:vAlign w:val="center"/>
            <w:hideMark/>
          </w:tcPr>
          <w:p w14:paraId="5062AE80" w14:textId="77777777" w:rsidR="00BA275B" w:rsidRPr="00D30496" w:rsidRDefault="00BA275B" w:rsidP="00D30496">
            <w:pPr>
              <w:jc w:val="right"/>
              <w:rPr>
                <w:sz w:val="15"/>
                <w:szCs w:val="15"/>
              </w:rPr>
            </w:pPr>
            <w:r w:rsidRPr="00D30496">
              <w:rPr>
                <w:sz w:val="15"/>
                <w:szCs w:val="15"/>
              </w:rPr>
              <w:t>6.0</w:t>
            </w:r>
          </w:p>
        </w:tc>
        <w:tc>
          <w:tcPr>
            <w:tcW w:w="0" w:type="auto"/>
            <w:tcBorders>
              <w:top w:val="nil"/>
              <w:left w:val="nil"/>
              <w:bottom w:val="nil"/>
              <w:right w:val="nil"/>
            </w:tcBorders>
            <w:shd w:val="clear" w:color="auto" w:fill="auto"/>
            <w:noWrap/>
            <w:vAlign w:val="center"/>
            <w:hideMark/>
          </w:tcPr>
          <w:p w14:paraId="74CD4B60" w14:textId="77777777" w:rsidR="00BA275B" w:rsidRPr="00D30496" w:rsidRDefault="00BA275B" w:rsidP="00D30496">
            <w:pPr>
              <w:jc w:val="right"/>
              <w:rPr>
                <w:sz w:val="15"/>
                <w:szCs w:val="15"/>
              </w:rPr>
            </w:pPr>
            <w:r w:rsidRPr="00D30496">
              <w:rPr>
                <w:sz w:val="15"/>
                <w:szCs w:val="15"/>
              </w:rPr>
              <w:t>7.4</w:t>
            </w:r>
          </w:p>
        </w:tc>
        <w:tc>
          <w:tcPr>
            <w:tcW w:w="0" w:type="auto"/>
            <w:tcBorders>
              <w:top w:val="nil"/>
              <w:left w:val="nil"/>
              <w:bottom w:val="nil"/>
              <w:right w:val="nil"/>
            </w:tcBorders>
            <w:shd w:val="clear" w:color="auto" w:fill="auto"/>
            <w:noWrap/>
            <w:vAlign w:val="center"/>
            <w:hideMark/>
          </w:tcPr>
          <w:p w14:paraId="02D18AC7" w14:textId="77777777" w:rsidR="00BA275B" w:rsidRPr="00D30496" w:rsidRDefault="00BA275B" w:rsidP="00D30496">
            <w:pPr>
              <w:jc w:val="right"/>
              <w:rPr>
                <w:sz w:val="15"/>
                <w:szCs w:val="15"/>
              </w:rPr>
            </w:pPr>
            <w:r w:rsidRPr="00D30496">
              <w:rPr>
                <w:sz w:val="15"/>
                <w:szCs w:val="15"/>
              </w:rPr>
              <w:t>5.7</w:t>
            </w:r>
          </w:p>
        </w:tc>
        <w:tc>
          <w:tcPr>
            <w:tcW w:w="0" w:type="auto"/>
            <w:tcBorders>
              <w:top w:val="nil"/>
              <w:left w:val="nil"/>
              <w:bottom w:val="nil"/>
              <w:right w:val="nil"/>
            </w:tcBorders>
            <w:shd w:val="clear" w:color="auto" w:fill="auto"/>
            <w:noWrap/>
            <w:vAlign w:val="center"/>
            <w:hideMark/>
          </w:tcPr>
          <w:p w14:paraId="3BC5B329" w14:textId="77777777" w:rsidR="00BA275B" w:rsidRPr="00D30496" w:rsidRDefault="00BA275B" w:rsidP="00D30496">
            <w:pPr>
              <w:jc w:val="right"/>
              <w:rPr>
                <w:sz w:val="15"/>
                <w:szCs w:val="15"/>
              </w:rPr>
            </w:pPr>
            <w:r w:rsidRPr="00D30496">
              <w:rPr>
                <w:sz w:val="15"/>
                <w:szCs w:val="15"/>
              </w:rPr>
              <w:t>5.0</w:t>
            </w:r>
          </w:p>
        </w:tc>
        <w:tc>
          <w:tcPr>
            <w:tcW w:w="0" w:type="auto"/>
            <w:tcBorders>
              <w:top w:val="nil"/>
              <w:left w:val="nil"/>
              <w:bottom w:val="nil"/>
              <w:right w:val="nil"/>
            </w:tcBorders>
            <w:shd w:val="clear" w:color="auto" w:fill="auto"/>
            <w:noWrap/>
            <w:vAlign w:val="center"/>
            <w:hideMark/>
          </w:tcPr>
          <w:p w14:paraId="2A76EE96" w14:textId="77777777" w:rsidR="00BA275B" w:rsidRPr="00D30496" w:rsidRDefault="00BA275B" w:rsidP="00D30496">
            <w:pPr>
              <w:jc w:val="right"/>
              <w:rPr>
                <w:sz w:val="15"/>
                <w:szCs w:val="15"/>
              </w:rPr>
            </w:pPr>
            <w:r w:rsidRPr="00D30496">
              <w:rPr>
                <w:sz w:val="15"/>
                <w:szCs w:val="15"/>
              </w:rPr>
              <w:t>4.2</w:t>
            </w:r>
          </w:p>
        </w:tc>
        <w:tc>
          <w:tcPr>
            <w:tcW w:w="0" w:type="auto"/>
            <w:tcBorders>
              <w:top w:val="nil"/>
              <w:left w:val="nil"/>
              <w:bottom w:val="nil"/>
              <w:right w:val="nil"/>
            </w:tcBorders>
            <w:shd w:val="clear" w:color="auto" w:fill="auto"/>
            <w:noWrap/>
            <w:vAlign w:val="center"/>
            <w:hideMark/>
          </w:tcPr>
          <w:p w14:paraId="2FABADEF" w14:textId="77777777" w:rsidR="00BA275B" w:rsidRPr="00D30496" w:rsidRDefault="00BA275B" w:rsidP="00D30496">
            <w:pPr>
              <w:jc w:val="right"/>
              <w:rPr>
                <w:sz w:val="15"/>
                <w:szCs w:val="15"/>
              </w:rPr>
            </w:pPr>
            <w:r w:rsidRPr="00D30496">
              <w:rPr>
                <w:sz w:val="15"/>
                <w:szCs w:val="15"/>
              </w:rPr>
              <w:t>0.4</w:t>
            </w:r>
          </w:p>
        </w:tc>
        <w:tc>
          <w:tcPr>
            <w:tcW w:w="0" w:type="auto"/>
            <w:tcBorders>
              <w:top w:val="nil"/>
              <w:left w:val="nil"/>
              <w:bottom w:val="nil"/>
              <w:right w:val="nil"/>
            </w:tcBorders>
            <w:shd w:val="clear" w:color="auto" w:fill="auto"/>
            <w:noWrap/>
            <w:vAlign w:val="center"/>
            <w:hideMark/>
          </w:tcPr>
          <w:p w14:paraId="683C8190" w14:textId="77777777" w:rsidR="00BA275B" w:rsidRPr="00D30496" w:rsidRDefault="00BA275B" w:rsidP="00D30496">
            <w:pPr>
              <w:jc w:val="right"/>
              <w:rPr>
                <w:sz w:val="15"/>
                <w:szCs w:val="15"/>
              </w:rPr>
            </w:pPr>
            <w:r w:rsidRPr="00D30496">
              <w:rPr>
                <w:sz w:val="15"/>
                <w:szCs w:val="15"/>
              </w:rPr>
              <w:t>35,873</w:t>
            </w:r>
          </w:p>
        </w:tc>
      </w:tr>
      <w:tr w:rsidR="006B42D6" w:rsidRPr="00D30496" w14:paraId="7C729E5A" w14:textId="77777777" w:rsidTr="00D30496">
        <w:trPr>
          <w:trHeight w:val="272"/>
        </w:trPr>
        <w:tc>
          <w:tcPr>
            <w:tcW w:w="0" w:type="auto"/>
            <w:tcBorders>
              <w:top w:val="nil"/>
              <w:left w:val="nil"/>
              <w:bottom w:val="nil"/>
              <w:right w:val="nil"/>
            </w:tcBorders>
            <w:shd w:val="clear" w:color="auto" w:fill="auto"/>
            <w:noWrap/>
            <w:vAlign w:val="center"/>
            <w:hideMark/>
          </w:tcPr>
          <w:p w14:paraId="58AEDA69" w14:textId="77777777" w:rsidR="00BA275B" w:rsidRPr="00D30496" w:rsidRDefault="00BA275B" w:rsidP="00383AA6">
            <w:pPr>
              <w:rPr>
                <w:sz w:val="15"/>
                <w:szCs w:val="15"/>
              </w:rPr>
            </w:pPr>
            <w:r w:rsidRPr="00D30496">
              <w:rPr>
                <w:sz w:val="15"/>
                <w:szCs w:val="15"/>
              </w:rPr>
              <w:t>Kaskazini Pemba</w:t>
            </w:r>
          </w:p>
        </w:tc>
        <w:tc>
          <w:tcPr>
            <w:tcW w:w="0" w:type="auto"/>
            <w:tcBorders>
              <w:top w:val="nil"/>
              <w:left w:val="nil"/>
              <w:bottom w:val="nil"/>
              <w:right w:val="nil"/>
            </w:tcBorders>
            <w:shd w:val="clear" w:color="auto" w:fill="auto"/>
            <w:noWrap/>
            <w:vAlign w:val="center"/>
            <w:hideMark/>
          </w:tcPr>
          <w:p w14:paraId="46FDD851" w14:textId="77777777" w:rsidR="00BA275B" w:rsidRPr="00D30496" w:rsidRDefault="00BA275B" w:rsidP="00D30496">
            <w:pPr>
              <w:jc w:val="right"/>
              <w:rPr>
                <w:sz w:val="15"/>
                <w:szCs w:val="15"/>
              </w:rPr>
            </w:pPr>
            <w:r w:rsidRPr="00D30496">
              <w:rPr>
                <w:sz w:val="15"/>
                <w:szCs w:val="15"/>
              </w:rPr>
              <w:t>96.8</w:t>
            </w:r>
          </w:p>
        </w:tc>
        <w:tc>
          <w:tcPr>
            <w:tcW w:w="0" w:type="auto"/>
            <w:tcBorders>
              <w:top w:val="nil"/>
              <w:left w:val="nil"/>
              <w:bottom w:val="nil"/>
              <w:right w:val="nil"/>
            </w:tcBorders>
            <w:shd w:val="clear" w:color="auto" w:fill="auto"/>
            <w:noWrap/>
            <w:vAlign w:val="center"/>
            <w:hideMark/>
          </w:tcPr>
          <w:p w14:paraId="13608407" w14:textId="77777777" w:rsidR="00BA275B" w:rsidRPr="00D30496" w:rsidRDefault="00BA275B" w:rsidP="00D30496">
            <w:pPr>
              <w:jc w:val="right"/>
              <w:rPr>
                <w:sz w:val="15"/>
                <w:szCs w:val="15"/>
              </w:rPr>
            </w:pPr>
            <w:r w:rsidRPr="00D30496">
              <w:rPr>
                <w:sz w:val="15"/>
                <w:szCs w:val="15"/>
              </w:rPr>
              <w:t>97.7</w:t>
            </w:r>
          </w:p>
        </w:tc>
        <w:tc>
          <w:tcPr>
            <w:tcW w:w="0" w:type="auto"/>
            <w:tcBorders>
              <w:top w:val="nil"/>
              <w:left w:val="nil"/>
              <w:bottom w:val="nil"/>
              <w:right w:val="nil"/>
            </w:tcBorders>
            <w:shd w:val="clear" w:color="auto" w:fill="auto"/>
            <w:noWrap/>
            <w:vAlign w:val="center"/>
            <w:hideMark/>
          </w:tcPr>
          <w:p w14:paraId="78B5C9E5" w14:textId="77777777" w:rsidR="00BA275B" w:rsidRPr="00D30496" w:rsidRDefault="00BA275B" w:rsidP="00D30496">
            <w:pPr>
              <w:jc w:val="right"/>
              <w:rPr>
                <w:sz w:val="15"/>
                <w:szCs w:val="15"/>
              </w:rPr>
            </w:pPr>
            <w:r w:rsidRPr="00D30496">
              <w:rPr>
                <w:sz w:val="15"/>
                <w:szCs w:val="15"/>
              </w:rPr>
              <w:t>0.9</w:t>
            </w:r>
          </w:p>
        </w:tc>
        <w:tc>
          <w:tcPr>
            <w:tcW w:w="0" w:type="auto"/>
            <w:tcBorders>
              <w:top w:val="nil"/>
              <w:left w:val="nil"/>
              <w:bottom w:val="nil"/>
              <w:right w:val="nil"/>
            </w:tcBorders>
            <w:shd w:val="clear" w:color="auto" w:fill="auto"/>
            <w:noWrap/>
            <w:vAlign w:val="center"/>
            <w:hideMark/>
          </w:tcPr>
          <w:p w14:paraId="710F4FB9" w14:textId="77777777" w:rsidR="00BA275B" w:rsidRPr="00D30496" w:rsidRDefault="00BA275B" w:rsidP="00D30496">
            <w:pPr>
              <w:jc w:val="right"/>
              <w:rPr>
                <w:sz w:val="15"/>
                <w:szCs w:val="15"/>
              </w:rPr>
            </w:pPr>
            <w:r w:rsidRPr="00D30496">
              <w:rPr>
                <w:sz w:val="15"/>
                <w:szCs w:val="15"/>
              </w:rPr>
              <w:t>-</w:t>
            </w:r>
          </w:p>
        </w:tc>
        <w:tc>
          <w:tcPr>
            <w:tcW w:w="0" w:type="auto"/>
            <w:tcBorders>
              <w:top w:val="nil"/>
              <w:left w:val="nil"/>
              <w:bottom w:val="nil"/>
              <w:right w:val="nil"/>
            </w:tcBorders>
            <w:shd w:val="clear" w:color="auto" w:fill="auto"/>
            <w:noWrap/>
            <w:vAlign w:val="center"/>
            <w:hideMark/>
          </w:tcPr>
          <w:p w14:paraId="73725E05" w14:textId="77777777" w:rsidR="00BA275B" w:rsidRPr="00D30496" w:rsidRDefault="00BA275B" w:rsidP="00D30496">
            <w:pPr>
              <w:jc w:val="right"/>
              <w:rPr>
                <w:sz w:val="15"/>
                <w:szCs w:val="15"/>
              </w:rPr>
            </w:pPr>
            <w:r w:rsidRPr="00D30496">
              <w:rPr>
                <w:sz w:val="15"/>
                <w:szCs w:val="15"/>
              </w:rPr>
              <w:t>-</w:t>
            </w:r>
          </w:p>
        </w:tc>
        <w:tc>
          <w:tcPr>
            <w:tcW w:w="0" w:type="auto"/>
            <w:tcBorders>
              <w:top w:val="nil"/>
              <w:left w:val="nil"/>
              <w:bottom w:val="nil"/>
              <w:right w:val="nil"/>
            </w:tcBorders>
            <w:shd w:val="clear" w:color="auto" w:fill="auto"/>
            <w:noWrap/>
            <w:vAlign w:val="center"/>
            <w:hideMark/>
          </w:tcPr>
          <w:p w14:paraId="058DE2BA" w14:textId="77777777" w:rsidR="00BA275B" w:rsidRPr="00D30496" w:rsidRDefault="00BA275B" w:rsidP="00D30496">
            <w:pPr>
              <w:jc w:val="right"/>
              <w:rPr>
                <w:sz w:val="15"/>
                <w:szCs w:val="15"/>
              </w:rPr>
            </w:pPr>
            <w:r w:rsidRPr="00D30496">
              <w:rPr>
                <w:sz w:val="15"/>
                <w:szCs w:val="15"/>
              </w:rPr>
              <w:t>0.4</w:t>
            </w:r>
          </w:p>
        </w:tc>
        <w:tc>
          <w:tcPr>
            <w:tcW w:w="0" w:type="auto"/>
            <w:tcBorders>
              <w:top w:val="nil"/>
              <w:left w:val="nil"/>
              <w:bottom w:val="nil"/>
              <w:right w:val="nil"/>
            </w:tcBorders>
            <w:shd w:val="clear" w:color="auto" w:fill="auto"/>
            <w:noWrap/>
            <w:vAlign w:val="center"/>
            <w:hideMark/>
          </w:tcPr>
          <w:p w14:paraId="2F3FA541" w14:textId="77777777" w:rsidR="00BA275B" w:rsidRPr="00D30496" w:rsidRDefault="00BA275B" w:rsidP="00D30496">
            <w:pPr>
              <w:jc w:val="right"/>
              <w:rPr>
                <w:sz w:val="15"/>
                <w:szCs w:val="15"/>
              </w:rPr>
            </w:pPr>
            <w:r w:rsidRPr="00D30496">
              <w:rPr>
                <w:sz w:val="15"/>
                <w:szCs w:val="15"/>
              </w:rPr>
              <w:t>2.9</w:t>
            </w:r>
          </w:p>
        </w:tc>
        <w:tc>
          <w:tcPr>
            <w:tcW w:w="0" w:type="auto"/>
            <w:tcBorders>
              <w:top w:val="nil"/>
              <w:left w:val="nil"/>
              <w:bottom w:val="nil"/>
              <w:right w:val="nil"/>
            </w:tcBorders>
            <w:shd w:val="clear" w:color="auto" w:fill="auto"/>
            <w:noWrap/>
            <w:vAlign w:val="center"/>
            <w:hideMark/>
          </w:tcPr>
          <w:p w14:paraId="37B3847B" w14:textId="77777777" w:rsidR="00BA275B" w:rsidRPr="00D30496" w:rsidRDefault="00BA275B" w:rsidP="00D30496">
            <w:pPr>
              <w:jc w:val="right"/>
              <w:rPr>
                <w:sz w:val="15"/>
                <w:szCs w:val="15"/>
              </w:rPr>
            </w:pPr>
            <w:r w:rsidRPr="00D30496">
              <w:rPr>
                <w:sz w:val="15"/>
                <w:szCs w:val="15"/>
              </w:rPr>
              <w:t>1.3</w:t>
            </w:r>
          </w:p>
        </w:tc>
        <w:tc>
          <w:tcPr>
            <w:tcW w:w="0" w:type="auto"/>
            <w:tcBorders>
              <w:top w:val="nil"/>
              <w:left w:val="nil"/>
              <w:bottom w:val="nil"/>
              <w:right w:val="nil"/>
            </w:tcBorders>
            <w:shd w:val="clear" w:color="auto" w:fill="auto"/>
            <w:noWrap/>
            <w:vAlign w:val="center"/>
            <w:hideMark/>
          </w:tcPr>
          <w:p w14:paraId="7CEE42AA" w14:textId="77777777" w:rsidR="00BA275B" w:rsidRPr="00D30496" w:rsidRDefault="00BA275B" w:rsidP="00D30496">
            <w:pPr>
              <w:jc w:val="right"/>
              <w:rPr>
                <w:sz w:val="15"/>
                <w:szCs w:val="15"/>
              </w:rPr>
            </w:pPr>
            <w:r w:rsidRPr="00D30496">
              <w:rPr>
                <w:sz w:val="15"/>
                <w:szCs w:val="15"/>
              </w:rPr>
              <w:t>-</w:t>
            </w:r>
          </w:p>
        </w:tc>
        <w:tc>
          <w:tcPr>
            <w:tcW w:w="0" w:type="auto"/>
            <w:tcBorders>
              <w:top w:val="nil"/>
              <w:left w:val="nil"/>
              <w:bottom w:val="nil"/>
              <w:right w:val="nil"/>
            </w:tcBorders>
            <w:shd w:val="clear" w:color="auto" w:fill="auto"/>
            <w:noWrap/>
            <w:vAlign w:val="center"/>
            <w:hideMark/>
          </w:tcPr>
          <w:p w14:paraId="5B8067BF" w14:textId="77777777" w:rsidR="00BA275B" w:rsidRPr="00D30496" w:rsidRDefault="00BA275B" w:rsidP="00D30496">
            <w:pPr>
              <w:jc w:val="right"/>
              <w:rPr>
                <w:sz w:val="15"/>
                <w:szCs w:val="15"/>
              </w:rPr>
            </w:pPr>
            <w:r w:rsidRPr="00D30496">
              <w:rPr>
                <w:sz w:val="15"/>
                <w:szCs w:val="15"/>
              </w:rPr>
              <w:t>-</w:t>
            </w:r>
          </w:p>
        </w:tc>
        <w:tc>
          <w:tcPr>
            <w:tcW w:w="0" w:type="auto"/>
            <w:tcBorders>
              <w:top w:val="nil"/>
              <w:left w:val="nil"/>
              <w:bottom w:val="nil"/>
              <w:right w:val="nil"/>
            </w:tcBorders>
            <w:shd w:val="clear" w:color="auto" w:fill="auto"/>
            <w:noWrap/>
            <w:vAlign w:val="center"/>
            <w:hideMark/>
          </w:tcPr>
          <w:p w14:paraId="6818EB1E" w14:textId="77777777" w:rsidR="00BA275B" w:rsidRPr="00D30496" w:rsidRDefault="00BA275B" w:rsidP="00D30496">
            <w:pPr>
              <w:jc w:val="right"/>
              <w:rPr>
                <w:sz w:val="15"/>
                <w:szCs w:val="15"/>
              </w:rPr>
            </w:pPr>
            <w:r w:rsidRPr="00D30496">
              <w:rPr>
                <w:sz w:val="15"/>
                <w:szCs w:val="15"/>
              </w:rPr>
              <w:t>0.3</w:t>
            </w:r>
          </w:p>
        </w:tc>
        <w:tc>
          <w:tcPr>
            <w:tcW w:w="0" w:type="auto"/>
            <w:tcBorders>
              <w:top w:val="nil"/>
              <w:left w:val="nil"/>
              <w:bottom w:val="nil"/>
              <w:right w:val="nil"/>
            </w:tcBorders>
            <w:shd w:val="clear" w:color="auto" w:fill="auto"/>
            <w:noWrap/>
            <w:vAlign w:val="center"/>
            <w:hideMark/>
          </w:tcPr>
          <w:p w14:paraId="1F00CAD9" w14:textId="77777777" w:rsidR="00BA275B" w:rsidRPr="00D30496" w:rsidRDefault="00BA275B" w:rsidP="00D30496">
            <w:pPr>
              <w:jc w:val="right"/>
              <w:rPr>
                <w:sz w:val="15"/>
                <w:szCs w:val="15"/>
              </w:rPr>
            </w:pPr>
            <w:r w:rsidRPr="00D30496">
              <w:rPr>
                <w:sz w:val="15"/>
                <w:szCs w:val="15"/>
              </w:rPr>
              <w:t>40,781</w:t>
            </w:r>
          </w:p>
        </w:tc>
      </w:tr>
      <w:tr w:rsidR="006B42D6" w:rsidRPr="00D30496" w14:paraId="0F13A465" w14:textId="77777777" w:rsidTr="00D30496">
        <w:trPr>
          <w:trHeight w:val="272"/>
        </w:trPr>
        <w:tc>
          <w:tcPr>
            <w:tcW w:w="0" w:type="auto"/>
            <w:tcBorders>
              <w:top w:val="nil"/>
              <w:left w:val="nil"/>
              <w:bottom w:val="nil"/>
              <w:right w:val="nil"/>
            </w:tcBorders>
            <w:shd w:val="clear" w:color="auto" w:fill="auto"/>
            <w:noWrap/>
            <w:vAlign w:val="center"/>
            <w:hideMark/>
          </w:tcPr>
          <w:p w14:paraId="5431D363" w14:textId="77777777" w:rsidR="00BA275B" w:rsidRPr="00D30496" w:rsidRDefault="00BA275B" w:rsidP="00383AA6">
            <w:pPr>
              <w:rPr>
                <w:sz w:val="15"/>
                <w:szCs w:val="15"/>
              </w:rPr>
            </w:pPr>
            <w:r w:rsidRPr="00D30496">
              <w:rPr>
                <w:sz w:val="15"/>
                <w:szCs w:val="15"/>
              </w:rPr>
              <w:t>Kusini Pemba</w:t>
            </w:r>
          </w:p>
        </w:tc>
        <w:tc>
          <w:tcPr>
            <w:tcW w:w="0" w:type="auto"/>
            <w:tcBorders>
              <w:top w:val="nil"/>
              <w:left w:val="nil"/>
              <w:bottom w:val="nil"/>
              <w:right w:val="nil"/>
            </w:tcBorders>
            <w:shd w:val="clear" w:color="auto" w:fill="auto"/>
            <w:noWrap/>
            <w:vAlign w:val="center"/>
            <w:hideMark/>
          </w:tcPr>
          <w:p w14:paraId="16875E00" w14:textId="77777777" w:rsidR="00BA275B" w:rsidRPr="00D30496" w:rsidRDefault="00BA275B" w:rsidP="00D30496">
            <w:pPr>
              <w:jc w:val="right"/>
              <w:rPr>
                <w:sz w:val="15"/>
                <w:szCs w:val="15"/>
              </w:rPr>
            </w:pPr>
            <w:r w:rsidRPr="00D30496">
              <w:rPr>
                <w:sz w:val="15"/>
                <w:szCs w:val="15"/>
              </w:rPr>
              <w:t>99.1</w:t>
            </w:r>
          </w:p>
        </w:tc>
        <w:tc>
          <w:tcPr>
            <w:tcW w:w="0" w:type="auto"/>
            <w:tcBorders>
              <w:top w:val="nil"/>
              <w:left w:val="nil"/>
              <w:bottom w:val="nil"/>
              <w:right w:val="nil"/>
            </w:tcBorders>
            <w:shd w:val="clear" w:color="auto" w:fill="auto"/>
            <w:noWrap/>
            <w:vAlign w:val="center"/>
            <w:hideMark/>
          </w:tcPr>
          <w:p w14:paraId="622DE217" w14:textId="77777777" w:rsidR="00BA275B" w:rsidRPr="00D30496" w:rsidRDefault="00BA275B" w:rsidP="00D30496">
            <w:pPr>
              <w:jc w:val="right"/>
              <w:rPr>
                <w:sz w:val="15"/>
                <w:szCs w:val="15"/>
              </w:rPr>
            </w:pPr>
            <w:r w:rsidRPr="00D30496">
              <w:rPr>
                <w:sz w:val="15"/>
                <w:szCs w:val="15"/>
              </w:rPr>
              <w:t>97.8</w:t>
            </w:r>
          </w:p>
        </w:tc>
        <w:tc>
          <w:tcPr>
            <w:tcW w:w="0" w:type="auto"/>
            <w:tcBorders>
              <w:top w:val="nil"/>
              <w:left w:val="nil"/>
              <w:bottom w:val="nil"/>
              <w:right w:val="nil"/>
            </w:tcBorders>
            <w:shd w:val="clear" w:color="auto" w:fill="auto"/>
            <w:noWrap/>
            <w:vAlign w:val="center"/>
            <w:hideMark/>
          </w:tcPr>
          <w:p w14:paraId="1547801F" w14:textId="77777777" w:rsidR="00BA275B" w:rsidRPr="00D30496" w:rsidRDefault="00BA275B" w:rsidP="00D30496">
            <w:pPr>
              <w:jc w:val="right"/>
              <w:rPr>
                <w:sz w:val="15"/>
                <w:szCs w:val="15"/>
              </w:rPr>
            </w:pPr>
            <w:r w:rsidRPr="00D30496">
              <w:rPr>
                <w:sz w:val="15"/>
                <w:szCs w:val="15"/>
              </w:rPr>
              <w:t>0.6</w:t>
            </w:r>
          </w:p>
        </w:tc>
        <w:tc>
          <w:tcPr>
            <w:tcW w:w="0" w:type="auto"/>
            <w:tcBorders>
              <w:top w:val="nil"/>
              <w:left w:val="nil"/>
              <w:bottom w:val="nil"/>
              <w:right w:val="nil"/>
            </w:tcBorders>
            <w:shd w:val="clear" w:color="auto" w:fill="auto"/>
            <w:noWrap/>
            <w:vAlign w:val="center"/>
            <w:hideMark/>
          </w:tcPr>
          <w:p w14:paraId="730AF116" w14:textId="77777777" w:rsidR="00BA275B" w:rsidRPr="00D30496" w:rsidRDefault="00BA275B" w:rsidP="00D30496">
            <w:pPr>
              <w:jc w:val="right"/>
              <w:rPr>
                <w:sz w:val="15"/>
                <w:szCs w:val="15"/>
              </w:rPr>
            </w:pPr>
            <w:r w:rsidRPr="00D30496">
              <w:rPr>
                <w:sz w:val="15"/>
                <w:szCs w:val="15"/>
              </w:rPr>
              <w:t>0.3</w:t>
            </w:r>
          </w:p>
        </w:tc>
        <w:tc>
          <w:tcPr>
            <w:tcW w:w="0" w:type="auto"/>
            <w:tcBorders>
              <w:top w:val="nil"/>
              <w:left w:val="nil"/>
              <w:bottom w:val="nil"/>
              <w:right w:val="nil"/>
            </w:tcBorders>
            <w:shd w:val="clear" w:color="auto" w:fill="auto"/>
            <w:noWrap/>
            <w:vAlign w:val="center"/>
            <w:hideMark/>
          </w:tcPr>
          <w:p w14:paraId="05CFD24E" w14:textId="77777777" w:rsidR="00BA275B" w:rsidRPr="00D30496" w:rsidRDefault="00BA275B" w:rsidP="00D30496">
            <w:pPr>
              <w:jc w:val="right"/>
              <w:rPr>
                <w:sz w:val="15"/>
                <w:szCs w:val="15"/>
              </w:rPr>
            </w:pPr>
            <w:r w:rsidRPr="00D30496">
              <w:rPr>
                <w:sz w:val="15"/>
                <w:szCs w:val="15"/>
              </w:rPr>
              <w:t>0.3</w:t>
            </w:r>
          </w:p>
        </w:tc>
        <w:tc>
          <w:tcPr>
            <w:tcW w:w="0" w:type="auto"/>
            <w:tcBorders>
              <w:top w:val="nil"/>
              <w:left w:val="nil"/>
              <w:bottom w:val="nil"/>
              <w:right w:val="nil"/>
            </w:tcBorders>
            <w:shd w:val="clear" w:color="auto" w:fill="auto"/>
            <w:noWrap/>
            <w:vAlign w:val="center"/>
            <w:hideMark/>
          </w:tcPr>
          <w:p w14:paraId="10C3B0D0" w14:textId="77777777" w:rsidR="00BA275B" w:rsidRPr="00D30496" w:rsidRDefault="00BA275B" w:rsidP="00D30496">
            <w:pPr>
              <w:jc w:val="right"/>
              <w:rPr>
                <w:sz w:val="15"/>
                <w:szCs w:val="15"/>
              </w:rPr>
            </w:pPr>
            <w:r w:rsidRPr="00D30496">
              <w:rPr>
                <w:sz w:val="15"/>
                <w:szCs w:val="15"/>
              </w:rPr>
              <w:t>3.2</w:t>
            </w:r>
          </w:p>
        </w:tc>
        <w:tc>
          <w:tcPr>
            <w:tcW w:w="0" w:type="auto"/>
            <w:tcBorders>
              <w:top w:val="nil"/>
              <w:left w:val="nil"/>
              <w:bottom w:val="nil"/>
              <w:right w:val="nil"/>
            </w:tcBorders>
            <w:shd w:val="clear" w:color="auto" w:fill="auto"/>
            <w:noWrap/>
            <w:vAlign w:val="center"/>
            <w:hideMark/>
          </w:tcPr>
          <w:p w14:paraId="3E62D110" w14:textId="77777777" w:rsidR="00BA275B" w:rsidRPr="00D30496" w:rsidRDefault="00BA275B" w:rsidP="00D30496">
            <w:pPr>
              <w:jc w:val="right"/>
              <w:rPr>
                <w:sz w:val="15"/>
                <w:szCs w:val="15"/>
              </w:rPr>
            </w:pPr>
            <w:r w:rsidRPr="00D30496">
              <w:rPr>
                <w:sz w:val="15"/>
                <w:szCs w:val="15"/>
              </w:rPr>
              <w:t>7.5</w:t>
            </w:r>
          </w:p>
        </w:tc>
        <w:tc>
          <w:tcPr>
            <w:tcW w:w="0" w:type="auto"/>
            <w:tcBorders>
              <w:top w:val="nil"/>
              <w:left w:val="nil"/>
              <w:bottom w:val="nil"/>
              <w:right w:val="nil"/>
            </w:tcBorders>
            <w:shd w:val="clear" w:color="auto" w:fill="auto"/>
            <w:noWrap/>
            <w:vAlign w:val="center"/>
            <w:hideMark/>
          </w:tcPr>
          <w:p w14:paraId="6FFB20CF" w14:textId="77777777" w:rsidR="00BA275B" w:rsidRPr="00D30496" w:rsidRDefault="00BA275B" w:rsidP="00D30496">
            <w:pPr>
              <w:jc w:val="right"/>
              <w:rPr>
                <w:sz w:val="15"/>
                <w:szCs w:val="15"/>
              </w:rPr>
            </w:pPr>
            <w:r w:rsidRPr="00D30496">
              <w:rPr>
                <w:sz w:val="15"/>
                <w:szCs w:val="15"/>
              </w:rPr>
              <w:t>6.5</w:t>
            </w:r>
          </w:p>
        </w:tc>
        <w:tc>
          <w:tcPr>
            <w:tcW w:w="0" w:type="auto"/>
            <w:tcBorders>
              <w:top w:val="nil"/>
              <w:left w:val="nil"/>
              <w:bottom w:val="nil"/>
              <w:right w:val="nil"/>
            </w:tcBorders>
            <w:shd w:val="clear" w:color="auto" w:fill="auto"/>
            <w:noWrap/>
            <w:vAlign w:val="center"/>
            <w:hideMark/>
          </w:tcPr>
          <w:p w14:paraId="1026A8C7" w14:textId="77777777" w:rsidR="00BA275B" w:rsidRPr="00D30496" w:rsidRDefault="00BA275B" w:rsidP="00D30496">
            <w:pPr>
              <w:jc w:val="right"/>
              <w:rPr>
                <w:sz w:val="15"/>
                <w:szCs w:val="15"/>
              </w:rPr>
            </w:pPr>
            <w:r w:rsidRPr="00D30496">
              <w:rPr>
                <w:sz w:val="15"/>
                <w:szCs w:val="15"/>
              </w:rPr>
              <w:t>0.5</w:t>
            </w:r>
          </w:p>
        </w:tc>
        <w:tc>
          <w:tcPr>
            <w:tcW w:w="0" w:type="auto"/>
            <w:tcBorders>
              <w:top w:val="nil"/>
              <w:left w:val="nil"/>
              <w:bottom w:val="nil"/>
              <w:right w:val="nil"/>
            </w:tcBorders>
            <w:shd w:val="clear" w:color="auto" w:fill="auto"/>
            <w:noWrap/>
            <w:vAlign w:val="center"/>
            <w:hideMark/>
          </w:tcPr>
          <w:p w14:paraId="36258C45" w14:textId="77777777" w:rsidR="00BA275B" w:rsidRPr="00D30496" w:rsidRDefault="00BA275B" w:rsidP="00D30496">
            <w:pPr>
              <w:jc w:val="right"/>
              <w:rPr>
                <w:sz w:val="15"/>
                <w:szCs w:val="15"/>
              </w:rPr>
            </w:pPr>
            <w:r w:rsidRPr="00D30496">
              <w:rPr>
                <w:sz w:val="15"/>
                <w:szCs w:val="15"/>
              </w:rPr>
              <w:t>0.3</w:t>
            </w:r>
          </w:p>
        </w:tc>
        <w:tc>
          <w:tcPr>
            <w:tcW w:w="0" w:type="auto"/>
            <w:tcBorders>
              <w:top w:val="nil"/>
              <w:left w:val="nil"/>
              <w:bottom w:val="nil"/>
              <w:right w:val="nil"/>
            </w:tcBorders>
            <w:shd w:val="clear" w:color="auto" w:fill="auto"/>
            <w:noWrap/>
            <w:vAlign w:val="center"/>
            <w:hideMark/>
          </w:tcPr>
          <w:p w14:paraId="598312D3" w14:textId="77777777" w:rsidR="00BA275B" w:rsidRPr="00D30496" w:rsidRDefault="00BA275B" w:rsidP="00D30496">
            <w:pPr>
              <w:jc w:val="right"/>
              <w:rPr>
                <w:sz w:val="15"/>
                <w:szCs w:val="15"/>
              </w:rPr>
            </w:pPr>
            <w:r w:rsidRPr="00D30496">
              <w:rPr>
                <w:sz w:val="15"/>
                <w:szCs w:val="15"/>
              </w:rPr>
              <w:t>0.3</w:t>
            </w:r>
          </w:p>
        </w:tc>
        <w:tc>
          <w:tcPr>
            <w:tcW w:w="0" w:type="auto"/>
            <w:tcBorders>
              <w:top w:val="nil"/>
              <w:left w:val="nil"/>
              <w:bottom w:val="nil"/>
              <w:right w:val="nil"/>
            </w:tcBorders>
            <w:shd w:val="clear" w:color="auto" w:fill="auto"/>
            <w:noWrap/>
            <w:vAlign w:val="center"/>
            <w:hideMark/>
          </w:tcPr>
          <w:p w14:paraId="147607BD" w14:textId="77777777" w:rsidR="00BA275B" w:rsidRPr="00D30496" w:rsidRDefault="00BA275B" w:rsidP="00D30496">
            <w:pPr>
              <w:jc w:val="right"/>
              <w:rPr>
                <w:sz w:val="15"/>
                <w:szCs w:val="15"/>
              </w:rPr>
            </w:pPr>
            <w:r w:rsidRPr="00D30496">
              <w:rPr>
                <w:sz w:val="15"/>
                <w:szCs w:val="15"/>
              </w:rPr>
              <w:t>54,379</w:t>
            </w:r>
          </w:p>
        </w:tc>
      </w:tr>
      <w:tr w:rsidR="006B42D6" w:rsidRPr="00D30496" w14:paraId="4291864F" w14:textId="77777777" w:rsidTr="00D30496">
        <w:trPr>
          <w:trHeight w:val="272"/>
        </w:trPr>
        <w:tc>
          <w:tcPr>
            <w:tcW w:w="0" w:type="auto"/>
            <w:tcBorders>
              <w:top w:val="single" w:sz="4" w:space="0" w:color="auto"/>
              <w:left w:val="nil"/>
              <w:bottom w:val="single" w:sz="4" w:space="0" w:color="auto"/>
              <w:right w:val="nil"/>
            </w:tcBorders>
            <w:shd w:val="clear" w:color="auto" w:fill="E2EFD9" w:themeFill="accent6" w:themeFillTint="33"/>
            <w:noWrap/>
            <w:vAlign w:val="center"/>
            <w:hideMark/>
          </w:tcPr>
          <w:p w14:paraId="7F967C25" w14:textId="2F466698" w:rsidR="00BA275B" w:rsidRPr="00D30496" w:rsidRDefault="0024261A" w:rsidP="00383AA6">
            <w:pPr>
              <w:rPr>
                <w:sz w:val="15"/>
                <w:szCs w:val="15"/>
              </w:rPr>
            </w:pPr>
            <w:r w:rsidRPr="00D30496">
              <w:rPr>
                <w:sz w:val="15"/>
                <w:szCs w:val="15"/>
              </w:rPr>
              <w:t xml:space="preserve">Tanzania </w:t>
            </w:r>
            <w:r w:rsidR="00BA275B" w:rsidRPr="00D30496">
              <w:rPr>
                <w:sz w:val="15"/>
                <w:szCs w:val="15"/>
              </w:rPr>
              <w:t>Zanzibar</w:t>
            </w:r>
          </w:p>
        </w:tc>
        <w:tc>
          <w:tcPr>
            <w:tcW w:w="0" w:type="auto"/>
            <w:tcBorders>
              <w:top w:val="single" w:sz="4" w:space="0" w:color="auto"/>
              <w:left w:val="nil"/>
              <w:bottom w:val="single" w:sz="4" w:space="0" w:color="auto"/>
              <w:right w:val="nil"/>
            </w:tcBorders>
            <w:shd w:val="clear" w:color="auto" w:fill="E2EFD9" w:themeFill="accent6" w:themeFillTint="33"/>
            <w:noWrap/>
            <w:vAlign w:val="center"/>
            <w:hideMark/>
          </w:tcPr>
          <w:p w14:paraId="4B25A641" w14:textId="77777777" w:rsidR="00BA275B" w:rsidRPr="00D30496" w:rsidRDefault="00BA275B" w:rsidP="00D30496">
            <w:pPr>
              <w:jc w:val="right"/>
              <w:rPr>
                <w:sz w:val="15"/>
                <w:szCs w:val="15"/>
              </w:rPr>
            </w:pPr>
            <w:r w:rsidRPr="00D30496">
              <w:rPr>
                <w:sz w:val="15"/>
                <w:szCs w:val="15"/>
              </w:rPr>
              <w:t>96.8</w:t>
            </w:r>
          </w:p>
        </w:tc>
        <w:tc>
          <w:tcPr>
            <w:tcW w:w="0" w:type="auto"/>
            <w:tcBorders>
              <w:top w:val="single" w:sz="4" w:space="0" w:color="auto"/>
              <w:left w:val="nil"/>
              <w:bottom w:val="single" w:sz="4" w:space="0" w:color="auto"/>
              <w:right w:val="nil"/>
            </w:tcBorders>
            <w:shd w:val="clear" w:color="auto" w:fill="E2EFD9" w:themeFill="accent6" w:themeFillTint="33"/>
            <w:noWrap/>
            <w:vAlign w:val="center"/>
            <w:hideMark/>
          </w:tcPr>
          <w:p w14:paraId="7E67ED8B" w14:textId="77777777" w:rsidR="00BA275B" w:rsidRPr="00D30496" w:rsidRDefault="00BA275B" w:rsidP="00D30496">
            <w:pPr>
              <w:jc w:val="right"/>
              <w:rPr>
                <w:sz w:val="15"/>
                <w:szCs w:val="15"/>
              </w:rPr>
            </w:pPr>
            <w:r w:rsidRPr="00D30496">
              <w:rPr>
                <w:sz w:val="15"/>
                <w:szCs w:val="15"/>
              </w:rPr>
              <w:t>92.8</w:t>
            </w:r>
          </w:p>
        </w:tc>
        <w:tc>
          <w:tcPr>
            <w:tcW w:w="0" w:type="auto"/>
            <w:tcBorders>
              <w:top w:val="single" w:sz="4" w:space="0" w:color="auto"/>
              <w:left w:val="nil"/>
              <w:bottom w:val="single" w:sz="4" w:space="0" w:color="auto"/>
              <w:right w:val="nil"/>
            </w:tcBorders>
            <w:shd w:val="clear" w:color="auto" w:fill="E2EFD9" w:themeFill="accent6" w:themeFillTint="33"/>
            <w:noWrap/>
            <w:vAlign w:val="center"/>
            <w:hideMark/>
          </w:tcPr>
          <w:p w14:paraId="7410D6D8" w14:textId="77777777" w:rsidR="00BA275B" w:rsidRPr="00D30496" w:rsidRDefault="00BA275B" w:rsidP="00D30496">
            <w:pPr>
              <w:jc w:val="right"/>
              <w:rPr>
                <w:sz w:val="15"/>
                <w:szCs w:val="15"/>
              </w:rPr>
            </w:pPr>
            <w:r w:rsidRPr="00D30496">
              <w:rPr>
                <w:sz w:val="15"/>
                <w:szCs w:val="15"/>
              </w:rPr>
              <w:t>3.7</w:t>
            </w:r>
          </w:p>
        </w:tc>
        <w:tc>
          <w:tcPr>
            <w:tcW w:w="0" w:type="auto"/>
            <w:tcBorders>
              <w:top w:val="single" w:sz="4" w:space="0" w:color="auto"/>
              <w:left w:val="nil"/>
              <w:bottom w:val="single" w:sz="4" w:space="0" w:color="auto"/>
              <w:right w:val="nil"/>
            </w:tcBorders>
            <w:shd w:val="clear" w:color="auto" w:fill="E2EFD9" w:themeFill="accent6" w:themeFillTint="33"/>
            <w:noWrap/>
            <w:vAlign w:val="center"/>
            <w:hideMark/>
          </w:tcPr>
          <w:p w14:paraId="450F054B" w14:textId="77777777" w:rsidR="00BA275B" w:rsidRPr="00D30496" w:rsidRDefault="00BA275B" w:rsidP="00D30496">
            <w:pPr>
              <w:jc w:val="right"/>
              <w:rPr>
                <w:sz w:val="15"/>
                <w:szCs w:val="15"/>
              </w:rPr>
            </w:pPr>
            <w:r w:rsidRPr="00D30496">
              <w:rPr>
                <w:sz w:val="15"/>
                <w:szCs w:val="15"/>
              </w:rPr>
              <w:t>2.9</w:t>
            </w:r>
          </w:p>
        </w:tc>
        <w:tc>
          <w:tcPr>
            <w:tcW w:w="0" w:type="auto"/>
            <w:tcBorders>
              <w:top w:val="single" w:sz="4" w:space="0" w:color="auto"/>
              <w:left w:val="nil"/>
              <w:bottom w:val="single" w:sz="4" w:space="0" w:color="auto"/>
              <w:right w:val="nil"/>
            </w:tcBorders>
            <w:shd w:val="clear" w:color="auto" w:fill="E2EFD9" w:themeFill="accent6" w:themeFillTint="33"/>
            <w:noWrap/>
            <w:vAlign w:val="center"/>
            <w:hideMark/>
          </w:tcPr>
          <w:p w14:paraId="6C4AEC94" w14:textId="77777777" w:rsidR="00BA275B" w:rsidRPr="00D30496" w:rsidRDefault="00BA275B" w:rsidP="00D30496">
            <w:pPr>
              <w:jc w:val="right"/>
              <w:rPr>
                <w:sz w:val="15"/>
                <w:szCs w:val="15"/>
              </w:rPr>
            </w:pPr>
            <w:r w:rsidRPr="00D30496">
              <w:rPr>
                <w:sz w:val="15"/>
                <w:szCs w:val="15"/>
              </w:rPr>
              <w:t>0.1</w:t>
            </w:r>
          </w:p>
        </w:tc>
        <w:tc>
          <w:tcPr>
            <w:tcW w:w="0" w:type="auto"/>
            <w:tcBorders>
              <w:top w:val="single" w:sz="4" w:space="0" w:color="auto"/>
              <w:left w:val="nil"/>
              <w:bottom w:val="single" w:sz="4" w:space="0" w:color="auto"/>
              <w:right w:val="nil"/>
            </w:tcBorders>
            <w:shd w:val="clear" w:color="auto" w:fill="E2EFD9" w:themeFill="accent6" w:themeFillTint="33"/>
            <w:noWrap/>
            <w:vAlign w:val="center"/>
            <w:hideMark/>
          </w:tcPr>
          <w:p w14:paraId="1162DDE8" w14:textId="77777777" w:rsidR="00BA275B" w:rsidRPr="00D30496" w:rsidRDefault="00BA275B" w:rsidP="00D30496">
            <w:pPr>
              <w:jc w:val="right"/>
              <w:rPr>
                <w:sz w:val="15"/>
                <w:szCs w:val="15"/>
              </w:rPr>
            </w:pPr>
            <w:r w:rsidRPr="00D30496">
              <w:rPr>
                <w:sz w:val="15"/>
                <w:szCs w:val="15"/>
              </w:rPr>
              <w:t>3.5</w:t>
            </w:r>
          </w:p>
        </w:tc>
        <w:tc>
          <w:tcPr>
            <w:tcW w:w="0" w:type="auto"/>
            <w:tcBorders>
              <w:top w:val="single" w:sz="4" w:space="0" w:color="auto"/>
              <w:left w:val="nil"/>
              <w:bottom w:val="single" w:sz="4" w:space="0" w:color="auto"/>
              <w:right w:val="nil"/>
            </w:tcBorders>
            <w:shd w:val="clear" w:color="auto" w:fill="E2EFD9" w:themeFill="accent6" w:themeFillTint="33"/>
            <w:noWrap/>
            <w:vAlign w:val="center"/>
            <w:hideMark/>
          </w:tcPr>
          <w:p w14:paraId="18E7D5BD" w14:textId="77777777" w:rsidR="00BA275B" w:rsidRPr="00D30496" w:rsidRDefault="00BA275B" w:rsidP="00D30496">
            <w:pPr>
              <w:jc w:val="right"/>
              <w:rPr>
                <w:sz w:val="15"/>
                <w:szCs w:val="15"/>
              </w:rPr>
            </w:pPr>
            <w:r w:rsidRPr="00D30496">
              <w:rPr>
                <w:sz w:val="15"/>
                <w:szCs w:val="15"/>
              </w:rPr>
              <w:t>7.8</w:t>
            </w:r>
          </w:p>
        </w:tc>
        <w:tc>
          <w:tcPr>
            <w:tcW w:w="0" w:type="auto"/>
            <w:tcBorders>
              <w:top w:val="single" w:sz="4" w:space="0" w:color="auto"/>
              <w:left w:val="nil"/>
              <w:bottom w:val="single" w:sz="4" w:space="0" w:color="auto"/>
              <w:right w:val="nil"/>
            </w:tcBorders>
            <w:shd w:val="clear" w:color="auto" w:fill="E2EFD9" w:themeFill="accent6" w:themeFillTint="33"/>
            <w:noWrap/>
            <w:vAlign w:val="center"/>
            <w:hideMark/>
          </w:tcPr>
          <w:p w14:paraId="10FF7FF1" w14:textId="77777777" w:rsidR="00BA275B" w:rsidRPr="00D30496" w:rsidRDefault="00BA275B" w:rsidP="00D30496">
            <w:pPr>
              <w:jc w:val="right"/>
              <w:rPr>
                <w:sz w:val="15"/>
                <w:szCs w:val="15"/>
              </w:rPr>
            </w:pPr>
            <w:r w:rsidRPr="00D30496">
              <w:rPr>
                <w:sz w:val="15"/>
                <w:szCs w:val="15"/>
              </w:rPr>
              <w:t>5.6</w:t>
            </w:r>
          </w:p>
        </w:tc>
        <w:tc>
          <w:tcPr>
            <w:tcW w:w="0" w:type="auto"/>
            <w:tcBorders>
              <w:top w:val="single" w:sz="4" w:space="0" w:color="auto"/>
              <w:left w:val="nil"/>
              <w:bottom w:val="single" w:sz="4" w:space="0" w:color="auto"/>
              <w:right w:val="nil"/>
            </w:tcBorders>
            <w:shd w:val="clear" w:color="auto" w:fill="E2EFD9" w:themeFill="accent6" w:themeFillTint="33"/>
            <w:noWrap/>
            <w:vAlign w:val="center"/>
            <w:hideMark/>
          </w:tcPr>
          <w:p w14:paraId="34DBF095" w14:textId="77777777" w:rsidR="00BA275B" w:rsidRPr="00D30496" w:rsidRDefault="00BA275B" w:rsidP="00D30496">
            <w:pPr>
              <w:jc w:val="right"/>
              <w:rPr>
                <w:sz w:val="15"/>
                <w:szCs w:val="15"/>
              </w:rPr>
            </w:pPr>
            <w:r w:rsidRPr="00D30496">
              <w:rPr>
                <w:sz w:val="15"/>
                <w:szCs w:val="15"/>
              </w:rPr>
              <w:t>3.5</w:t>
            </w:r>
          </w:p>
        </w:tc>
        <w:tc>
          <w:tcPr>
            <w:tcW w:w="0" w:type="auto"/>
            <w:tcBorders>
              <w:top w:val="single" w:sz="4" w:space="0" w:color="auto"/>
              <w:left w:val="nil"/>
              <w:bottom w:val="single" w:sz="4" w:space="0" w:color="auto"/>
              <w:right w:val="nil"/>
            </w:tcBorders>
            <w:shd w:val="clear" w:color="auto" w:fill="E2EFD9" w:themeFill="accent6" w:themeFillTint="33"/>
            <w:noWrap/>
            <w:vAlign w:val="center"/>
            <w:hideMark/>
          </w:tcPr>
          <w:p w14:paraId="74A94829" w14:textId="77777777" w:rsidR="00BA275B" w:rsidRPr="00D30496" w:rsidRDefault="00BA275B" w:rsidP="00D30496">
            <w:pPr>
              <w:jc w:val="right"/>
              <w:rPr>
                <w:sz w:val="15"/>
                <w:szCs w:val="15"/>
              </w:rPr>
            </w:pPr>
            <w:r w:rsidRPr="00D30496">
              <w:rPr>
                <w:sz w:val="15"/>
                <w:szCs w:val="15"/>
              </w:rPr>
              <w:t>1.2</w:t>
            </w:r>
          </w:p>
        </w:tc>
        <w:tc>
          <w:tcPr>
            <w:tcW w:w="0" w:type="auto"/>
            <w:tcBorders>
              <w:top w:val="single" w:sz="4" w:space="0" w:color="auto"/>
              <w:left w:val="nil"/>
              <w:bottom w:val="single" w:sz="4" w:space="0" w:color="auto"/>
              <w:right w:val="nil"/>
            </w:tcBorders>
            <w:shd w:val="clear" w:color="auto" w:fill="E2EFD9" w:themeFill="accent6" w:themeFillTint="33"/>
            <w:noWrap/>
            <w:vAlign w:val="center"/>
            <w:hideMark/>
          </w:tcPr>
          <w:p w14:paraId="1D424A67" w14:textId="77777777" w:rsidR="00BA275B" w:rsidRPr="00D30496" w:rsidRDefault="00BA275B" w:rsidP="00D30496">
            <w:pPr>
              <w:jc w:val="right"/>
              <w:rPr>
                <w:sz w:val="15"/>
                <w:szCs w:val="15"/>
              </w:rPr>
            </w:pPr>
            <w:r w:rsidRPr="00D30496">
              <w:rPr>
                <w:sz w:val="15"/>
                <w:szCs w:val="15"/>
              </w:rPr>
              <w:t>0.3</w:t>
            </w:r>
          </w:p>
        </w:tc>
        <w:tc>
          <w:tcPr>
            <w:tcW w:w="0" w:type="auto"/>
            <w:tcBorders>
              <w:top w:val="single" w:sz="4" w:space="0" w:color="auto"/>
              <w:left w:val="nil"/>
              <w:bottom w:val="single" w:sz="4" w:space="0" w:color="auto"/>
              <w:right w:val="nil"/>
            </w:tcBorders>
            <w:shd w:val="clear" w:color="auto" w:fill="E2EFD9" w:themeFill="accent6" w:themeFillTint="33"/>
            <w:noWrap/>
            <w:vAlign w:val="center"/>
            <w:hideMark/>
          </w:tcPr>
          <w:p w14:paraId="132D0E7D" w14:textId="77777777" w:rsidR="00BA275B" w:rsidRPr="00D30496" w:rsidRDefault="00BA275B" w:rsidP="00D30496">
            <w:pPr>
              <w:jc w:val="right"/>
              <w:rPr>
                <w:sz w:val="15"/>
                <w:szCs w:val="15"/>
              </w:rPr>
            </w:pPr>
            <w:r w:rsidRPr="00D30496">
              <w:rPr>
                <w:sz w:val="15"/>
                <w:szCs w:val="15"/>
              </w:rPr>
              <w:t>180,220</w:t>
            </w:r>
          </w:p>
        </w:tc>
      </w:tr>
      <w:tr w:rsidR="00BA275B" w:rsidRPr="00D30496" w14:paraId="1C54ECC9" w14:textId="77777777" w:rsidTr="00D30496">
        <w:trPr>
          <w:trHeight w:val="272"/>
        </w:trPr>
        <w:tc>
          <w:tcPr>
            <w:tcW w:w="0" w:type="auto"/>
            <w:tcBorders>
              <w:top w:val="nil"/>
              <w:left w:val="nil"/>
              <w:bottom w:val="single" w:sz="4" w:space="0" w:color="auto"/>
              <w:right w:val="nil"/>
            </w:tcBorders>
            <w:shd w:val="clear" w:color="auto" w:fill="E2EFD9" w:themeFill="accent6" w:themeFillTint="33"/>
            <w:noWrap/>
            <w:vAlign w:val="center"/>
            <w:hideMark/>
          </w:tcPr>
          <w:p w14:paraId="63DA67AD" w14:textId="77777777" w:rsidR="00BA275B" w:rsidRPr="00D30496" w:rsidRDefault="00BA275B" w:rsidP="00383AA6">
            <w:pPr>
              <w:rPr>
                <w:sz w:val="15"/>
                <w:szCs w:val="15"/>
              </w:rPr>
            </w:pPr>
            <w:r w:rsidRPr="00D30496">
              <w:rPr>
                <w:sz w:val="15"/>
                <w:szCs w:val="15"/>
              </w:rPr>
              <w:t>Tanzania</w:t>
            </w:r>
          </w:p>
        </w:tc>
        <w:tc>
          <w:tcPr>
            <w:tcW w:w="0" w:type="auto"/>
            <w:tcBorders>
              <w:top w:val="nil"/>
              <w:left w:val="nil"/>
              <w:bottom w:val="single" w:sz="4" w:space="0" w:color="auto"/>
              <w:right w:val="nil"/>
            </w:tcBorders>
            <w:shd w:val="clear" w:color="auto" w:fill="E2EFD9" w:themeFill="accent6" w:themeFillTint="33"/>
            <w:noWrap/>
            <w:vAlign w:val="center"/>
            <w:hideMark/>
          </w:tcPr>
          <w:p w14:paraId="4CC85607" w14:textId="77777777" w:rsidR="00BA275B" w:rsidRPr="00D30496" w:rsidRDefault="00BA275B" w:rsidP="00D30496">
            <w:pPr>
              <w:jc w:val="right"/>
              <w:rPr>
                <w:sz w:val="15"/>
                <w:szCs w:val="15"/>
              </w:rPr>
            </w:pPr>
            <w:r w:rsidRPr="00D30496">
              <w:rPr>
                <w:sz w:val="15"/>
                <w:szCs w:val="15"/>
              </w:rPr>
              <w:t>89.1</w:t>
            </w:r>
          </w:p>
        </w:tc>
        <w:tc>
          <w:tcPr>
            <w:tcW w:w="0" w:type="auto"/>
            <w:tcBorders>
              <w:top w:val="nil"/>
              <w:left w:val="nil"/>
              <w:bottom w:val="single" w:sz="4" w:space="0" w:color="auto"/>
              <w:right w:val="nil"/>
            </w:tcBorders>
            <w:shd w:val="clear" w:color="auto" w:fill="E2EFD9" w:themeFill="accent6" w:themeFillTint="33"/>
            <w:noWrap/>
            <w:vAlign w:val="center"/>
            <w:hideMark/>
          </w:tcPr>
          <w:p w14:paraId="3C991FE3" w14:textId="77777777" w:rsidR="00BA275B" w:rsidRPr="00D30496" w:rsidRDefault="00BA275B" w:rsidP="00D30496">
            <w:pPr>
              <w:jc w:val="right"/>
              <w:rPr>
                <w:sz w:val="15"/>
                <w:szCs w:val="15"/>
              </w:rPr>
            </w:pPr>
            <w:r w:rsidRPr="00D30496">
              <w:rPr>
                <w:sz w:val="15"/>
                <w:szCs w:val="15"/>
              </w:rPr>
              <w:t>95.4</w:t>
            </w:r>
          </w:p>
        </w:tc>
        <w:tc>
          <w:tcPr>
            <w:tcW w:w="0" w:type="auto"/>
            <w:tcBorders>
              <w:top w:val="nil"/>
              <w:left w:val="nil"/>
              <w:bottom w:val="single" w:sz="4" w:space="0" w:color="auto"/>
              <w:right w:val="nil"/>
            </w:tcBorders>
            <w:shd w:val="clear" w:color="auto" w:fill="E2EFD9" w:themeFill="accent6" w:themeFillTint="33"/>
            <w:noWrap/>
            <w:vAlign w:val="center"/>
            <w:hideMark/>
          </w:tcPr>
          <w:p w14:paraId="59691D08" w14:textId="77777777" w:rsidR="00BA275B" w:rsidRPr="00D30496" w:rsidRDefault="00BA275B" w:rsidP="00D30496">
            <w:pPr>
              <w:jc w:val="right"/>
              <w:rPr>
                <w:sz w:val="15"/>
                <w:szCs w:val="15"/>
              </w:rPr>
            </w:pPr>
            <w:r w:rsidRPr="00D30496">
              <w:rPr>
                <w:sz w:val="15"/>
                <w:szCs w:val="15"/>
              </w:rPr>
              <w:t>27.8</w:t>
            </w:r>
          </w:p>
        </w:tc>
        <w:tc>
          <w:tcPr>
            <w:tcW w:w="0" w:type="auto"/>
            <w:tcBorders>
              <w:top w:val="nil"/>
              <w:left w:val="nil"/>
              <w:bottom w:val="single" w:sz="4" w:space="0" w:color="auto"/>
              <w:right w:val="nil"/>
            </w:tcBorders>
            <w:shd w:val="clear" w:color="auto" w:fill="E2EFD9" w:themeFill="accent6" w:themeFillTint="33"/>
            <w:noWrap/>
            <w:vAlign w:val="center"/>
            <w:hideMark/>
          </w:tcPr>
          <w:p w14:paraId="308BA661" w14:textId="77777777" w:rsidR="00BA275B" w:rsidRPr="00D30496" w:rsidRDefault="00BA275B" w:rsidP="00D30496">
            <w:pPr>
              <w:jc w:val="right"/>
              <w:rPr>
                <w:sz w:val="15"/>
                <w:szCs w:val="15"/>
              </w:rPr>
            </w:pPr>
            <w:r w:rsidRPr="00D30496">
              <w:rPr>
                <w:sz w:val="15"/>
                <w:szCs w:val="15"/>
              </w:rPr>
              <w:t>26.5</w:t>
            </w:r>
          </w:p>
        </w:tc>
        <w:tc>
          <w:tcPr>
            <w:tcW w:w="0" w:type="auto"/>
            <w:tcBorders>
              <w:top w:val="nil"/>
              <w:left w:val="nil"/>
              <w:bottom w:val="single" w:sz="4" w:space="0" w:color="auto"/>
              <w:right w:val="nil"/>
            </w:tcBorders>
            <w:shd w:val="clear" w:color="auto" w:fill="E2EFD9" w:themeFill="accent6" w:themeFillTint="33"/>
            <w:noWrap/>
            <w:vAlign w:val="center"/>
            <w:hideMark/>
          </w:tcPr>
          <w:p w14:paraId="787AB558" w14:textId="77777777" w:rsidR="00BA275B" w:rsidRPr="00D30496" w:rsidRDefault="00BA275B" w:rsidP="00D30496">
            <w:pPr>
              <w:jc w:val="right"/>
              <w:rPr>
                <w:sz w:val="15"/>
                <w:szCs w:val="15"/>
              </w:rPr>
            </w:pPr>
            <w:r w:rsidRPr="00D30496">
              <w:rPr>
                <w:sz w:val="15"/>
                <w:szCs w:val="15"/>
              </w:rPr>
              <w:t>0.7</w:t>
            </w:r>
          </w:p>
        </w:tc>
        <w:tc>
          <w:tcPr>
            <w:tcW w:w="0" w:type="auto"/>
            <w:tcBorders>
              <w:top w:val="nil"/>
              <w:left w:val="nil"/>
              <w:bottom w:val="single" w:sz="4" w:space="0" w:color="auto"/>
              <w:right w:val="nil"/>
            </w:tcBorders>
            <w:shd w:val="clear" w:color="auto" w:fill="E2EFD9" w:themeFill="accent6" w:themeFillTint="33"/>
            <w:noWrap/>
            <w:vAlign w:val="center"/>
            <w:hideMark/>
          </w:tcPr>
          <w:p w14:paraId="168BF692" w14:textId="77777777" w:rsidR="00BA275B" w:rsidRPr="00D30496" w:rsidRDefault="00BA275B" w:rsidP="00D30496">
            <w:pPr>
              <w:jc w:val="right"/>
              <w:rPr>
                <w:sz w:val="15"/>
                <w:szCs w:val="15"/>
              </w:rPr>
            </w:pPr>
            <w:r w:rsidRPr="00D30496">
              <w:rPr>
                <w:sz w:val="15"/>
                <w:szCs w:val="15"/>
              </w:rPr>
              <w:t>8.2</w:t>
            </w:r>
          </w:p>
        </w:tc>
        <w:tc>
          <w:tcPr>
            <w:tcW w:w="0" w:type="auto"/>
            <w:tcBorders>
              <w:top w:val="nil"/>
              <w:left w:val="nil"/>
              <w:bottom w:val="single" w:sz="4" w:space="0" w:color="auto"/>
              <w:right w:val="nil"/>
            </w:tcBorders>
            <w:shd w:val="clear" w:color="auto" w:fill="E2EFD9" w:themeFill="accent6" w:themeFillTint="33"/>
            <w:noWrap/>
            <w:vAlign w:val="center"/>
            <w:hideMark/>
          </w:tcPr>
          <w:p w14:paraId="127EED6C" w14:textId="77777777" w:rsidR="00BA275B" w:rsidRPr="00D30496" w:rsidRDefault="00BA275B" w:rsidP="00D30496">
            <w:pPr>
              <w:jc w:val="right"/>
              <w:rPr>
                <w:sz w:val="15"/>
                <w:szCs w:val="15"/>
              </w:rPr>
            </w:pPr>
            <w:r w:rsidRPr="00D30496">
              <w:rPr>
                <w:sz w:val="15"/>
                <w:szCs w:val="15"/>
              </w:rPr>
              <w:t>10.2</w:t>
            </w:r>
          </w:p>
        </w:tc>
        <w:tc>
          <w:tcPr>
            <w:tcW w:w="0" w:type="auto"/>
            <w:tcBorders>
              <w:top w:val="nil"/>
              <w:left w:val="nil"/>
              <w:bottom w:val="single" w:sz="4" w:space="0" w:color="auto"/>
              <w:right w:val="nil"/>
            </w:tcBorders>
            <w:shd w:val="clear" w:color="auto" w:fill="E2EFD9" w:themeFill="accent6" w:themeFillTint="33"/>
            <w:noWrap/>
            <w:vAlign w:val="center"/>
            <w:hideMark/>
          </w:tcPr>
          <w:p w14:paraId="2A670C6C" w14:textId="77777777" w:rsidR="00BA275B" w:rsidRPr="00D30496" w:rsidRDefault="00BA275B" w:rsidP="00D30496">
            <w:pPr>
              <w:jc w:val="right"/>
              <w:rPr>
                <w:sz w:val="15"/>
                <w:szCs w:val="15"/>
              </w:rPr>
            </w:pPr>
            <w:r w:rsidRPr="00D30496">
              <w:rPr>
                <w:sz w:val="15"/>
                <w:szCs w:val="15"/>
              </w:rPr>
              <w:t>7.9</w:t>
            </w:r>
          </w:p>
        </w:tc>
        <w:tc>
          <w:tcPr>
            <w:tcW w:w="0" w:type="auto"/>
            <w:tcBorders>
              <w:top w:val="nil"/>
              <w:left w:val="nil"/>
              <w:bottom w:val="single" w:sz="4" w:space="0" w:color="auto"/>
              <w:right w:val="nil"/>
            </w:tcBorders>
            <w:shd w:val="clear" w:color="auto" w:fill="E2EFD9" w:themeFill="accent6" w:themeFillTint="33"/>
            <w:noWrap/>
            <w:vAlign w:val="center"/>
            <w:hideMark/>
          </w:tcPr>
          <w:p w14:paraId="4E5449F3" w14:textId="77777777" w:rsidR="00BA275B" w:rsidRPr="00D30496" w:rsidRDefault="00BA275B" w:rsidP="00D30496">
            <w:pPr>
              <w:jc w:val="right"/>
              <w:rPr>
                <w:sz w:val="15"/>
                <w:szCs w:val="15"/>
              </w:rPr>
            </w:pPr>
            <w:r w:rsidRPr="00D30496">
              <w:rPr>
                <w:sz w:val="15"/>
                <w:szCs w:val="15"/>
              </w:rPr>
              <w:t>3.3</w:t>
            </w:r>
          </w:p>
        </w:tc>
        <w:tc>
          <w:tcPr>
            <w:tcW w:w="0" w:type="auto"/>
            <w:tcBorders>
              <w:top w:val="nil"/>
              <w:left w:val="nil"/>
              <w:bottom w:val="single" w:sz="4" w:space="0" w:color="auto"/>
              <w:right w:val="nil"/>
            </w:tcBorders>
            <w:shd w:val="clear" w:color="auto" w:fill="E2EFD9" w:themeFill="accent6" w:themeFillTint="33"/>
            <w:noWrap/>
            <w:vAlign w:val="center"/>
            <w:hideMark/>
          </w:tcPr>
          <w:p w14:paraId="12A5CA65" w14:textId="77777777" w:rsidR="00BA275B" w:rsidRPr="00D30496" w:rsidRDefault="00BA275B" w:rsidP="00D30496">
            <w:pPr>
              <w:jc w:val="right"/>
              <w:rPr>
                <w:sz w:val="15"/>
                <w:szCs w:val="15"/>
              </w:rPr>
            </w:pPr>
            <w:r w:rsidRPr="00D30496">
              <w:rPr>
                <w:sz w:val="15"/>
                <w:szCs w:val="15"/>
              </w:rPr>
              <w:t>1.3</w:t>
            </w:r>
          </w:p>
        </w:tc>
        <w:tc>
          <w:tcPr>
            <w:tcW w:w="0" w:type="auto"/>
            <w:tcBorders>
              <w:top w:val="nil"/>
              <w:left w:val="nil"/>
              <w:bottom w:val="single" w:sz="4" w:space="0" w:color="auto"/>
              <w:right w:val="nil"/>
            </w:tcBorders>
            <w:shd w:val="clear" w:color="auto" w:fill="E2EFD9" w:themeFill="accent6" w:themeFillTint="33"/>
            <w:noWrap/>
            <w:vAlign w:val="center"/>
            <w:hideMark/>
          </w:tcPr>
          <w:p w14:paraId="7D52335E" w14:textId="77777777" w:rsidR="00BA275B" w:rsidRPr="00D30496" w:rsidRDefault="00BA275B" w:rsidP="00D30496">
            <w:pPr>
              <w:jc w:val="right"/>
              <w:rPr>
                <w:sz w:val="15"/>
                <w:szCs w:val="15"/>
              </w:rPr>
            </w:pPr>
            <w:r w:rsidRPr="00D30496">
              <w:rPr>
                <w:sz w:val="15"/>
                <w:szCs w:val="15"/>
              </w:rPr>
              <w:t>1.1</w:t>
            </w:r>
          </w:p>
        </w:tc>
        <w:tc>
          <w:tcPr>
            <w:tcW w:w="0" w:type="auto"/>
            <w:tcBorders>
              <w:top w:val="nil"/>
              <w:left w:val="nil"/>
              <w:bottom w:val="single" w:sz="4" w:space="0" w:color="auto"/>
              <w:right w:val="nil"/>
            </w:tcBorders>
            <w:shd w:val="clear" w:color="auto" w:fill="E2EFD9" w:themeFill="accent6" w:themeFillTint="33"/>
            <w:noWrap/>
            <w:vAlign w:val="center"/>
            <w:hideMark/>
          </w:tcPr>
          <w:p w14:paraId="5589A392" w14:textId="77777777" w:rsidR="00BA275B" w:rsidRPr="00D30496" w:rsidRDefault="00BA275B" w:rsidP="00D30496">
            <w:pPr>
              <w:jc w:val="right"/>
              <w:rPr>
                <w:sz w:val="15"/>
                <w:szCs w:val="15"/>
              </w:rPr>
            </w:pPr>
            <w:r w:rsidRPr="00D30496">
              <w:rPr>
                <w:sz w:val="15"/>
                <w:szCs w:val="15"/>
              </w:rPr>
              <w:t>7,837,405</w:t>
            </w:r>
          </w:p>
        </w:tc>
      </w:tr>
    </w:tbl>
    <w:p w14:paraId="010C9F35" w14:textId="77777777" w:rsidR="00BA275B" w:rsidRPr="006B42D6" w:rsidRDefault="00BA275B" w:rsidP="00BA275B">
      <w:pPr>
        <w:spacing w:line="276" w:lineRule="auto"/>
      </w:pPr>
    </w:p>
    <w:p w14:paraId="48FB6F35" w14:textId="1956C7CD" w:rsidR="00BA275B" w:rsidRPr="006B42D6" w:rsidRDefault="0024261A" w:rsidP="00BA275B">
      <w:r w:rsidRPr="006B42D6">
        <w:t>Comparatively, t</w:t>
      </w:r>
      <w:r w:rsidR="00BA275B" w:rsidRPr="006B42D6">
        <w:t>here is a decrease of 2.2 percent in use of hand hoe from 97.</w:t>
      </w:r>
      <w:r w:rsidRPr="006B42D6">
        <w:t>6</w:t>
      </w:r>
      <w:r w:rsidR="00BA275B" w:rsidRPr="006B42D6">
        <w:t xml:space="preserve"> percent in 2007/08 to 95.4 percent in 2019/20 agricultural year. On the other hand, there was </w:t>
      </w:r>
      <w:r w:rsidRPr="006B42D6">
        <w:t>a slight</w:t>
      </w:r>
      <w:r w:rsidR="00BA275B" w:rsidRPr="006B42D6">
        <w:t xml:space="preserve"> increase in the </w:t>
      </w:r>
      <w:r w:rsidRPr="006B42D6">
        <w:t>use</w:t>
      </w:r>
      <w:r w:rsidR="00BA275B" w:rsidRPr="006B42D6">
        <w:t xml:space="preserve"> of tractor plough </w:t>
      </w:r>
      <w:r w:rsidRPr="006B42D6">
        <w:t>from</w:t>
      </w:r>
      <w:r w:rsidR="00BA275B" w:rsidRPr="006B42D6">
        <w:t xml:space="preserve"> </w:t>
      </w:r>
      <w:r w:rsidRPr="006B42D6">
        <w:t>7.3 percent in 2007/08 to</w:t>
      </w:r>
      <w:r w:rsidR="00BA275B" w:rsidRPr="006B42D6">
        <w:t xml:space="preserve"> 7.9 percent in 2019/20. </w:t>
      </w:r>
    </w:p>
    <w:p w14:paraId="70E624C2" w14:textId="4D573EB9" w:rsidR="00675747" w:rsidRDefault="00675747">
      <w:pPr>
        <w:spacing w:line="240" w:lineRule="auto"/>
        <w:contextualSpacing w:val="0"/>
        <w:jc w:val="left"/>
      </w:pPr>
      <w:r>
        <w:br w:type="page"/>
      </w:r>
    </w:p>
    <w:p w14:paraId="7D863C4E" w14:textId="5653C853" w:rsidR="00BA275B" w:rsidRPr="006B42D6" w:rsidRDefault="00BA275B" w:rsidP="00BA275B">
      <w:pPr>
        <w:pStyle w:val="Heading3"/>
      </w:pPr>
      <w:bookmarkStart w:id="422" w:name="_Toc82385724"/>
      <w:r w:rsidRPr="006B42D6">
        <w:lastRenderedPageBreak/>
        <w:t>3.</w:t>
      </w:r>
      <w:r w:rsidR="00193728">
        <w:t>7</w:t>
      </w:r>
      <w:r w:rsidRPr="006B42D6">
        <w:t>.2</w:t>
      </w:r>
      <w:r w:rsidRPr="006B42D6">
        <w:tab/>
        <w:t>Use of Tractors and Draft Animals</w:t>
      </w:r>
      <w:bookmarkEnd w:id="422"/>
    </w:p>
    <w:p w14:paraId="4F4EC806" w14:textId="25285E7A" w:rsidR="00BA275B" w:rsidRPr="006B42D6" w:rsidRDefault="00BA275B" w:rsidP="00B652A8">
      <w:r w:rsidRPr="006B42D6">
        <w:t xml:space="preserve">In Tanzania, 2,606,143 </w:t>
      </w:r>
      <w:r w:rsidR="0007256D" w:rsidRPr="006B42D6">
        <w:t>equivalents</w:t>
      </w:r>
      <w:r w:rsidRPr="006B42D6">
        <w:t xml:space="preserve"> to 33.3 percent of the agricultural households used tractors/draft animals for agricultural activities</w:t>
      </w:r>
      <w:r w:rsidR="00686AAA" w:rsidRPr="006B42D6">
        <w:t>,</w:t>
      </w:r>
      <w:r w:rsidRPr="006B42D6">
        <w:t xml:space="preserve"> out of which 2,592,870 households were in </w:t>
      </w:r>
      <w:r w:rsidR="00EA1552">
        <w:t>Mainland Tanzania</w:t>
      </w:r>
      <w:r w:rsidRPr="006B42D6">
        <w:t xml:space="preserve"> and 13,273 in Tanzania Zanzibar.</w:t>
      </w:r>
      <w:r w:rsidR="00675747">
        <w:t xml:space="preserve"> </w:t>
      </w:r>
      <w:r w:rsidRPr="006B42D6">
        <w:t xml:space="preserve">In </w:t>
      </w:r>
      <w:r w:rsidR="00EA1552">
        <w:t>Mainland Tanzania</w:t>
      </w:r>
      <w:r w:rsidRPr="006B42D6">
        <w:t>, Dodoma region had the highest proportion of households using tractors/draft animals (13.7 percent), followed by Tabora (7.4 percent) and Singida (7.1 percent). The least proportion of households that used tractors/draft animals was in Kigoma region with 0.1 percent (Figure 3.</w:t>
      </w:r>
      <w:r w:rsidR="00273161" w:rsidRPr="006B42D6">
        <w:t>91</w:t>
      </w:r>
      <w:r w:rsidRPr="006B42D6">
        <w:t xml:space="preserve">). </w:t>
      </w:r>
    </w:p>
    <w:p w14:paraId="1C5C75F5" w14:textId="77777777" w:rsidR="00BA275B" w:rsidRPr="006B42D6" w:rsidRDefault="00BA275B" w:rsidP="00BA275B">
      <w:pPr>
        <w:spacing w:line="276" w:lineRule="auto"/>
      </w:pPr>
    </w:p>
    <w:p w14:paraId="2711D977" w14:textId="4007308A" w:rsidR="00BA275B" w:rsidRPr="006B42D6" w:rsidRDefault="00BA275B" w:rsidP="008E7BB5">
      <w:pPr>
        <w:pStyle w:val="Caption"/>
      </w:pPr>
      <w:bookmarkStart w:id="423" w:name="_Toc82386368"/>
      <w:bookmarkStart w:id="424" w:name="OLE_LINK5"/>
      <w:r w:rsidRPr="006B42D6">
        <w:t>Figure 3.</w:t>
      </w:r>
      <w:r w:rsidR="00273161" w:rsidRPr="006B42D6">
        <w:t>91</w:t>
      </w:r>
      <w:r w:rsidR="00D30496">
        <w:t>:</w:t>
      </w:r>
      <w:r w:rsidR="001959ED">
        <w:tab/>
      </w:r>
      <w:r w:rsidRPr="006B42D6">
        <w:t xml:space="preserve">Percentage of Agricultural </w:t>
      </w:r>
      <w:r w:rsidR="00686AAA" w:rsidRPr="006B42D6">
        <w:t>H</w:t>
      </w:r>
      <w:r w:rsidRPr="006B42D6">
        <w:t xml:space="preserve">ouseholds Reported Using Farm </w:t>
      </w:r>
      <w:r w:rsidR="00686AAA" w:rsidRPr="006B42D6">
        <w:t>Tractors/Draft Animals</w:t>
      </w:r>
      <w:r w:rsidRPr="006B42D6">
        <w:t xml:space="preserve"> </w:t>
      </w:r>
      <w:r w:rsidR="00686AAA" w:rsidRPr="006B42D6">
        <w:t>b</w:t>
      </w:r>
      <w:r w:rsidRPr="006B42D6">
        <w:t xml:space="preserve">y Region </w:t>
      </w:r>
      <w:r w:rsidR="00273161" w:rsidRPr="006B42D6">
        <w:t>D</w:t>
      </w:r>
      <w:r w:rsidRPr="006B42D6">
        <w:t xml:space="preserve">uring 2019/20 Agricultural Year, </w:t>
      </w:r>
      <w:r w:rsidR="00EA1552">
        <w:t>Mainland Tanzania</w:t>
      </w:r>
      <w:bookmarkEnd w:id="423"/>
    </w:p>
    <w:bookmarkEnd w:id="424"/>
    <w:p w14:paraId="72D07169" w14:textId="715F24CA" w:rsidR="00BA275B" w:rsidRPr="006B42D6" w:rsidRDefault="001B26AC" w:rsidP="00BA275B">
      <w:pPr>
        <w:spacing w:line="276" w:lineRule="auto"/>
        <w:rPr>
          <w:b/>
        </w:rPr>
      </w:pPr>
      <w:r w:rsidRPr="006B42D6">
        <w:rPr>
          <w:noProof/>
        </w:rPr>
        <w:drawing>
          <wp:inline distT="0" distB="0" distL="0" distR="0" wp14:anchorId="26461787" wp14:editId="45F06BA8">
            <wp:extent cx="5492376" cy="3251200"/>
            <wp:effectExtent l="0" t="0" r="6985" b="12700"/>
            <wp:docPr id="84" name="Chart 49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3"/>
              </a:graphicData>
            </a:graphic>
          </wp:inline>
        </w:drawing>
      </w:r>
    </w:p>
    <w:p w14:paraId="419BB86A" w14:textId="77777777" w:rsidR="00BA275B" w:rsidRPr="006B42D6" w:rsidRDefault="00BA275B" w:rsidP="00BA275B">
      <w:pPr>
        <w:spacing w:line="276" w:lineRule="auto"/>
        <w:rPr>
          <w:b/>
        </w:rPr>
      </w:pPr>
    </w:p>
    <w:p w14:paraId="0DFE8A4F" w14:textId="39453EF8" w:rsidR="00BA275B" w:rsidRPr="006B42D6" w:rsidRDefault="00BA275B" w:rsidP="00D30496">
      <w:r w:rsidRPr="006B42D6">
        <w:t>In Tanzania Zanzibar, Mjini Magharibi was leading with 46.3 percent of the households using tractors or draft animals</w:t>
      </w:r>
      <w:r w:rsidR="00686AAA" w:rsidRPr="006B42D6">
        <w:t>,</w:t>
      </w:r>
      <w:r w:rsidRPr="006B42D6">
        <w:t xml:space="preserve"> followed by Kusini Pemba (20.7 percent)</w:t>
      </w:r>
      <w:r w:rsidR="00686AAA" w:rsidRPr="006B42D6">
        <w:t>,</w:t>
      </w:r>
      <w:r w:rsidRPr="006B42D6">
        <w:t xml:space="preserve"> whilst the least proportion of the households using the same was in Kaskazini Pemba (5.8 percent) (Figure 3.</w:t>
      </w:r>
      <w:r w:rsidR="00273161" w:rsidRPr="006B42D6">
        <w:t>92</w:t>
      </w:r>
      <w:r w:rsidRPr="006B42D6">
        <w:t>).</w:t>
      </w:r>
    </w:p>
    <w:p w14:paraId="790CBD55" w14:textId="77777777" w:rsidR="00BA275B" w:rsidRPr="006B42D6" w:rsidRDefault="00BA275B" w:rsidP="00BA275B">
      <w:pPr>
        <w:spacing w:line="276" w:lineRule="auto"/>
      </w:pPr>
    </w:p>
    <w:p w14:paraId="78C84E67" w14:textId="77777777" w:rsidR="00BA275B" w:rsidRPr="006B42D6" w:rsidRDefault="00BA275B" w:rsidP="00BA275B">
      <w:r w:rsidRPr="006B42D6">
        <w:br w:type="page"/>
      </w:r>
    </w:p>
    <w:p w14:paraId="3D3CEBB3" w14:textId="3EB34CD6" w:rsidR="00BA275B" w:rsidRPr="006B42D6" w:rsidRDefault="00BA275B" w:rsidP="00675747">
      <w:pPr>
        <w:pStyle w:val="Caption"/>
        <w:ind w:left="1140" w:right="1928" w:hanging="1140"/>
      </w:pPr>
      <w:bookmarkStart w:id="425" w:name="_Toc82386369"/>
      <w:r w:rsidRPr="006B42D6">
        <w:lastRenderedPageBreak/>
        <w:t>Figure 3.</w:t>
      </w:r>
      <w:r w:rsidR="00273161" w:rsidRPr="006B42D6">
        <w:t>92</w:t>
      </w:r>
      <w:r w:rsidR="00D30496">
        <w:t>:</w:t>
      </w:r>
      <w:r w:rsidR="001959ED">
        <w:tab/>
      </w:r>
      <w:r w:rsidRPr="006B42D6">
        <w:t xml:space="preserve">Percentage of Agricultural </w:t>
      </w:r>
      <w:r w:rsidR="00686AAA" w:rsidRPr="006B42D6">
        <w:t>H</w:t>
      </w:r>
      <w:r w:rsidRPr="006B42D6">
        <w:t xml:space="preserve">ouseholds that Reported Using </w:t>
      </w:r>
      <w:r w:rsidR="00686AAA" w:rsidRPr="006B42D6">
        <w:t>Tractors/Draft Animals</w:t>
      </w:r>
      <w:r w:rsidRPr="006B42D6">
        <w:t xml:space="preserve"> </w:t>
      </w:r>
      <w:r w:rsidR="00686AAA" w:rsidRPr="006B42D6">
        <w:t>b</w:t>
      </w:r>
      <w:r w:rsidRPr="006B42D6">
        <w:t>y Region during 2019/20 Agricultural Year, Tanzania Zanzibar</w:t>
      </w:r>
      <w:bookmarkEnd w:id="425"/>
    </w:p>
    <w:p w14:paraId="652AFA55" w14:textId="2C1A07AD" w:rsidR="00BA275B" w:rsidRPr="006B42D6" w:rsidRDefault="001B26AC" w:rsidP="00BA275B">
      <w:pPr>
        <w:spacing w:line="276" w:lineRule="auto"/>
        <w:rPr>
          <w:b/>
        </w:rPr>
      </w:pPr>
      <w:r w:rsidRPr="006B42D6">
        <w:rPr>
          <w:noProof/>
        </w:rPr>
        <w:drawing>
          <wp:inline distT="0" distB="0" distL="0" distR="0" wp14:anchorId="7EF5FFF4" wp14:editId="335ED8C2">
            <wp:extent cx="4622006" cy="2745740"/>
            <wp:effectExtent l="0" t="0" r="13970" b="10160"/>
            <wp:docPr id="83" name="Chart 49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4"/>
              </a:graphicData>
            </a:graphic>
          </wp:inline>
        </w:drawing>
      </w:r>
    </w:p>
    <w:p w14:paraId="55701316" w14:textId="47991AFE" w:rsidR="00A32971" w:rsidRPr="00B652A8" w:rsidRDefault="00A32971" w:rsidP="00D30496"/>
    <w:p w14:paraId="17899926" w14:textId="0D60BDB1" w:rsidR="00A32971" w:rsidRPr="006B42D6" w:rsidRDefault="00273161" w:rsidP="00A32971">
      <w:pPr>
        <w:pStyle w:val="Heading2"/>
      </w:pPr>
      <w:bookmarkStart w:id="426" w:name="_Toc82385725"/>
      <w:r w:rsidRPr="006B42D6">
        <w:t>3.</w:t>
      </w:r>
      <w:r w:rsidR="00193728">
        <w:t>8</w:t>
      </w:r>
      <w:r w:rsidRPr="006B42D6">
        <w:tab/>
      </w:r>
      <w:r w:rsidR="00A32971" w:rsidRPr="006B42D6">
        <w:t>Crop Marketing</w:t>
      </w:r>
      <w:bookmarkEnd w:id="426"/>
    </w:p>
    <w:p w14:paraId="14C50B5E" w14:textId="2AFCB5C8" w:rsidR="00A32971" w:rsidRPr="006B42D6" w:rsidRDefault="00A32971" w:rsidP="00B652A8">
      <w:r w:rsidRPr="006B42D6">
        <w:t>This section present the results on crop commercialization and main marketing challenges. crop commercialization focuses on cereals, roots and tubers, fruit and vegetables, pulses, and oils seeds and nuts. Crop commercialization is defined here as the production of agricultural crops for sale in the market, rather than for family consumption. The degree of commercialization is determined using the crop commercialization index. Commercialization index of “0” implies that a household is completely engaged in crop production for subsistence (for family consumption), while commercialization index of “100” implies that a household is completely engaged in crop production for market (full commercialization).</w:t>
      </w:r>
    </w:p>
    <w:p w14:paraId="6651D057" w14:textId="77777777" w:rsidR="00A32971" w:rsidRPr="006B42D6" w:rsidRDefault="00A32971" w:rsidP="00D30496">
      <w:pPr>
        <w:spacing w:line="240" w:lineRule="auto"/>
      </w:pPr>
    </w:p>
    <w:p w14:paraId="6BB28679" w14:textId="3BB6AE72" w:rsidR="00A32971" w:rsidRPr="006B42D6" w:rsidRDefault="00A32971" w:rsidP="00A32971">
      <w:pPr>
        <w:pStyle w:val="Heading3"/>
      </w:pPr>
      <w:bookmarkStart w:id="427" w:name="_Toc82385726"/>
      <w:r w:rsidRPr="006B42D6">
        <w:t>3.</w:t>
      </w:r>
      <w:r w:rsidR="00193728">
        <w:t>8</w:t>
      </w:r>
      <w:r w:rsidRPr="006B42D6">
        <w:t>.1</w:t>
      </w:r>
      <w:r w:rsidRPr="006B42D6">
        <w:tab/>
        <w:t>Crop commercialization</w:t>
      </w:r>
      <w:bookmarkEnd w:id="427"/>
    </w:p>
    <w:p w14:paraId="3ADDCD3D" w14:textId="529CC377" w:rsidR="00A32971" w:rsidRPr="006B42D6" w:rsidRDefault="00A32971" w:rsidP="00B652A8">
      <w:pPr>
        <w:rPr>
          <w:bCs/>
        </w:rPr>
      </w:pPr>
      <w:r w:rsidRPr="006B42D6">
        <w:t xml:space="preserve">Census results show that, the level of crop commercialization depends on the type of the crop produced. In Tanzania, the average commercialization index for fruit and vegetables was 60.8 percent, </w:t>
      </w:r>
      <w:r w:rsidRPr="006B42D6">
        <w:rPr>
          <w:bCs/>
        </w:rPr>
        <w:t xml:space="preserve">pulses </w:t>
      </w:r>
      <w:r w:rsidR="00273161" w:rsidRPr="006B42D6">
        <w:rPr>
          <w:bCs/>
        </w:rPr>
        <w:t>were</w:t>
      </w:r>
      <w:r w:rsidRPr="006B42D6">
        <w:rPr>
          <w:bCs/>
        </w:rPr>
        <w:t xml:space="preserve"> </w:t>
      </w:r>
      <w:r w:rsidRPr="006B42D6">
        <w:t xml:space="preserve">22.1 percent, oils seeds and nuts 21.2 percent, </w:t>
      </w:r>
      <w:r w:rsidRPr="006B42D6">
        <w:rPr>
          <w:bCs/>
        </w:rPr>
        <w:t xml:space="preserve">cereals 19.0 percent and roots and tubers </w:t>
      </w:r>
      <w:r w:rsidR="00273161" w:rsidRPr="006B42D6">
        <w:rPr>
          <w:bCs/>
        </w:rPr>
        <w:t>were</w:t>
      </w:r>
      <w:r w:rsidRPr="006B42D6">
        <w:rPr>
          <w:bCs/>
        </w:rPr>
        <w:t xml:space="preserve"> 14.5 percent.</w:t>
      </w:r>
    </w:p>
    <w:p w14:paraId="6A176B9C" w14:textId="77777777" w:rsidR="00A32971" w:rsidRPr="006B42D6" w:rsidRDefault="00A32971" w:rsidP="00D30496">
      <w:pPr>
        <w:spacing w:line="240" w:lineRule="auto"/>
        <w:rPr>
          <w:bCs/>
        </w:rPr>
      </w:pPr>
    </w:p>
    <w:p w14:paraId="1F882055" w14:textId="3BD68AF4" w:rsidR="00A32971" w:rsidRDefault="00A32971" w:rsidP="00B652A8">
      <w:r w:rsidRPr="006B42D6">
        <w:t xml:space="preserve">The higher crop commercialization index recorded for fruit and vegetables (60.8 percent) is an indication that on average most quantity of fruit and vegetables produced were marketed and only 39 percent were not sold. On the other hand, low crop commercialization indices </w:t>
      </w:r>
      <w:r w:rsidRPr="006B42D6">
        <w:lastRenderedPageBreak/>
        <w:t xml:space="preserve">recorded for </w:t>
      </w:r>
      <w:r w:rsidRPr="006B42D6">
        <w:rPr>
          <w:bCs/>
        </w:rPr>
        <w:t xml:space="preserve">cereals, roots and tubers, pulses, oils seeds and nuts </w:t>
      </w:r>
      <w:r w:rsidRPr="006B42D6">
        <w:t>indicat</w:t>
      </w:r>
      <w:r w:rsidR="001959ED">
        <w:t>e</w:t>
      </w:r>
      <w:r w:rsidRPr="006B42D6">
        <w:t xml:space="preserve"> that</w:t>
      </w:r>
      <w:r w:rsidR="001959ED">
        <w:t>,</w:t>
      </w:r>
      <w:r w:rsidRPr="006B42D6">
        <w:t xml:space="preserve"> on average these crops </w:t>
      </w:r>
      <w:r w:rsidRPr="006B42D6">
        <w:rPr>
          <w:bCs/>
        </w:rPr>
        <w:t xml:space="preserve">were mostly </w:t>
      </w:r>
      <w:r w:rsidRPr="006B42D6">
        <w:t xml:space="preserve">produced for household consumption.  </w:t>
      </w:r>
    </w:p>
    <w:p w14:paraId="309D8F8E" w14:textId="77777777" w:rsidR="00675747" w:rsidRPr="006B42D6" w:rsidRDefault="00675747" w:rsidP="00A62AD1">
      <w:pPr>
        <w:spacing w:line="240" w:lineRule="auto"/>
      </w:pPr>
    </w:p>
    <w:p w14:paraId="5D4AEFC7" w14:textId="458C967D" w:rsidR="00A32971" w:rsidRPr="006B42D6" w:rsidRDefault="00A32971" w:rsidP="00B652A8">
      <w:r w:rsidRPr="006B42D6">
        <w:t xml:space="preserve">However, census results at regional level show that, some regions recorded commercialization index of more than 50 percent. In </w:t>
      </w:r>
      <w:r w:rsidR="00EA1552">
        <w:t>Mainland Tanzania</w:t>
      </w:r>
      <w:r w:rsidRPr="006B42D6">
        <w:t xml:space="preserve">, these regions were Dar es Salaam (63.7 percent for cereals) and Mbeya (87.4 percent for </w:t>
      </w:r>
      <w:r w:rsidRPr="006B42D6">
        <w:rPr>
          <w:bCs/>
        </w:rPr>
        <w:t>roots and tubers</w:t>
      </w:r>
      <w:r w:rsidRPr="006B42D6">
        <w:t xml:space="preserve">). In terms of fruit and vegetables it was higher in Iringa (92.2 percent), Kilimanjaro (92.1 percent) and Arusha (81.6 percent) and in terms of oil and seeds and nuts </w:t>
      </w:r>
      <w:r w:rsidRPr="006B42D6">
        <w:rPr>
          <w:bCs/>
        </w:rPr>
        <w:t xml:space="preserve">it was higher in Pwani </w:t>
      </w:r>
      <w:r w:rsidRPr="006B42D6">
        <w:t xml:space="preserve">(82.7 percent). </w:t>
      </w:r>
      <w:r w:rsidRPr="006B42D6">
        <w:rPr>
          <w:bCs/>
        </w:rPr>
        <w:t xml:space="preserve">In Tanzania Zanzibar, only </w:t>
      </w:r>
      <w:r w:rsidRPr="006B42D6">
        <w:t xml:space="preserve">Kaskazini Pemba recorded commercialization index of more than 50.3 percent for </w:t>
      </w:r>
      <w:r w:rsidR="00DA35C5" w:rsidRPr="006B42D6">
        <w:t xml:space="preserve">oils seeds and nuts </w:t>
      </w:r>
      <w:r w:rsidRPr="006B42D6">
        <w:t>(Table 3.</w:t>
      </w:r>
      <w:r w:rsidR="00FF4745" w:rsidRPr="006B42D6">
        <w:t>2</w:t>
      </w:r>
      <w:r w:rsidR="00CD75FC">
        <w:t>6</w:t>
      </w:r>
      <w:r w:rsidRPr="006B42D6">
        <w:t>).</w:t>
      </w:r>
    </w:p>
    <w:p w14:paraId="06739466" w14:textId="54F032C4" w:rsidR="00B652A8" w:rsidRPr="00160100" w:rsidRDefault="00B652A8" w:rsidP="00A62AD1">
      <w:pPr>
        <w:spacing w:line="240" w:lineRule="auto"/>
      </w:pPr>
    </w:p>
    <w:p w14:paraId="5B0C2A27" w14:textId="0E75CD61" w:rsidR="00A32971" w:rsidRPr="006B42D6" w:rsidRDefault="00A32971" w:rsidP="00DA1999">
      <w:pPr>
        <w:pStyle w:val="Heading7"/>
        <w:ind w:right="737"/>
      </w:pPr>
      <w:bookmarkStart w:id="428" w:name="_Toc82386208"/>
      <w:r w:rsidRPr="006B42D6">
        <w:rPr>
          <w:bCs/>
        </w:rPr>
        <w:t>Table 3.</w:t>
      </w:r>
      <w:r w:rsidR="00FF4745" w:rsidRPr="006B42D6">
        <w:rPr>
          <w:bCs/>
        </w:rPr>
        <w:t>2</w:t>
      </w:r>
      <w:r w:rsidR="00CD75FC">
        <w:rPr>
          <w:bCs/>
        </w:rPr>
        <w:t>6</w:t>
      </w:r>
      <w:r w:rsidR="00D30496">
        <w:rPr>
          <w:bCs/>
        </w:rPr>
        <w:t>:</w:t>
      </w:r>
      <w:r w:rsidR="00056E7F">
        <w:rPr>
          <w:bCs/>
        </w:rPr>
        <w:tab/>
      </w:r>
      <w:r w:rsidRPr="006B42D6">
        <w:t xml:space="preserve">Crop Commercialization Index by Crop </w:t>
      </w:r>
      <w:r w:rsidR="008E7BB5" w:rsidRPr="006B42D6">
        <w:t>T</w:t>
      </w:r>
      <w:r w:rsidRPr="006B42D6">
        <w:t xml:space="preserve">ype and Region </w:t>
      </w:r>
      <w:r w:rsidR="00FF4745" w:rsidRPr="006B42D6">
        <w:t>D</w:t>
      </w:r>
      <w:r w:rsidRPr="006B42D6">
        <w:t>uring 2019/20 Agricultural Year</w:t>
      </w:r>
      <w:r w:rsidR="00FF4745" w:rsidRPr="006B42D6">
        <w:t>, Tanzania</w:t>
      </w:r>
      <w:bookmarkEnd w:id="428"/>
      <w:r w:rsidRPr="006B42D6">
        <w:t xml:space="preserve"> </w:t>
      </w:r>
    </w:p>
    <w:tbl>
      <w:tblPr>
        <w:tblW w:w="0" w:type="auto"/>
        <w:tblInd w:w="93" w:type="dxa"/>
        <w:tblLayout w:type="fixed"/>
        <w:tblLook w:val="04A0" w:firstRow="1" w:lastRow="0" w:firstColumn="1" w:lastColumn="0" w:noHBand="0" w:noVBand="1"/>
      </w:tblPr>
      <w:tblGrid>
        <w:gridCol w:w="1750"/>
        <w:gridCol w:w="910"/>
        <w:gridCol w:w="1644"/>
        <w:gridCol w:w="1872"/>
        <w:gridCol w:w="870"/>
        <w:gridCol w:w="1650"/>
      </w:tblGrid>
      <w:tr w:rsidR="006B42D6" w:rsidRPr="001959ED" w14:paraId="35B5BE34" w14:textId="77777777" w:rsidTr="00160100">
        <w:trPr>
          <w:trHeight w:val="185"/>
        </w:trPr>
        <w:tc>
          <w:tcPr>
            <w:tcW w:w="1750" w:type="dxa"/>
            <w:vMerge w:val="restart"/>
            <w:tcBorders>
              <w:top w:val="single" w:sz="4" w:space="0" w:color="auto"/>
              <w:bottom w:val="single" w:sz="4" w:space="0" w:color="auto"/>
            </w:tcBorders>
            <w:shd w:val="clear" w:color="auto" w:fill="E2EFD9" w:themeFill="accent6" w:themeFillTint="33"/>
            <w:noWrap/>
            <w:vAlign w:val="center"/>
            <w:hideMark/>
          </w:tcPr>
          <w:p w14:paraId="7CBA0769" w14:textId="77777777" w:rsidR="00A32971" w:rsidRPr="001959ED" w:rsidRDefault="00A32971" w:rsidP="00AF7CD1">
            <w:pPr>
              <w:pStyle w:val="NoSpacing"/>
              <w:spacing w:line="360" w:lineRule="auto"/>
              <w:jc w:val="both"/>
              <w:rPr>
                <w:rFonts w:ascii="Times New Roman" w:hAnsi="Times New Roman"/>
                <w:b/>
                <w:sz w:val="16"/>
                <w:szCs w:val="16"/>
              </w:rPr>
            </w:pPr>
            <w:r w:rsidRPr="001959ED">
              <w:rPr>
                <w:rFonts w:ascii="Times New Roman" w:hAnsi="Times New Roman"/>
                <w:b/>
                <w:sz w:val="16"/>
                <w:szCs w:val="16"/>
              </w:rPr>
              <w:t>Region</w:t>
            </w:r>
          </w:p>
        </w:tc>
        <w:tc>
          <w:tcPr>
            <w:tcW w:w="6946" w:type="dxa"/>
            <w:gridSpan w:val="5"/>
            <w:tcBorders>
              <w:top w:val="single" w:sz="4" w:space="0" w:color="auto"/>
              <w:bottom w:val="single" w:sz="4" w:space="0" w:color="auto"/>
            </w:tcBorders>
            <w:shd w:val="clear" w:color="auto" w:fill="E2EFD9" w:themeFill="accent6" w:themeFillTint="33"/>
            <w:noWrap/>
            <w:vAlign w:val="bottom"/>
            <w:hideMark/>
          </w:tcPr>
          <w:p w14:paraId="07BB40E8" w14:textId="77777777" w:rsidR="00A32971" w:rsidRPr="001959ED" w:rsidRDefault="00A32971" w:rsidP="00AF7CD1">
            <w:pPr>
              <w:pStyle w:val="NoSpacing"/>
              <w:spacing w:line="360" w:lineRule="auto"/>
              <w:jc w:val="center"/>
              <w:rPr>
                <w:rFonts w:ascii="Times New Roman" w:hAnsi="Times New Roman"/>
                <w:b/>
                <w:sz w:val="16"/>
                <w:szCs w:val="16"/>
              </w:rPr>
            </w:pPr>
            <w:r w:rsidRPr="001959ED">
              <w:rPr>
                <w:rFonts w:ascii="Times New Roman" w:hAnsi="Times New Roman"/>
                <w:b/>
                <w:sz w:val="16"/>
                <w:szCs w:val="16"/>
              </w:rPr>
              <w:t>Crop Commercialization Indices (Percent)</w:t>
            </w:r>
          </w:p>
        </w:tc>
      </w:tr>
      <w:tr w:rsidR="006B42D6" w:rsidRPr="001959ED" w14:paraId="0343AE02" w14:textId="77777777" w:rsidTr="00160100">
        <w:trPr>
          <w:trHeight w:val="232"/>
        </w:trPr>
        <w:tc>
          <w:tcPr>
            <w:tcW w:w="1750" w:type="dxa"/>
            <w:vMerge/>
            <w:tcBorders>
              <w:top w:val="single" w:sz="4" w:space="0" w:color="auto"/>
              <w:bottom w:val="single" w:sz="4" w:space="0" w:color="auto"/>
            </w:tcBorders>
            <w:shd w:val="clear" w:color="auto" w:fill="E2EFD9" w:themeFill="accent6" w:themeFillTint="33"/>
            <w:vAlign w:val="center"/>
            <w:hideMark/>
          </w:tcPr>
          <w:p w14:paraId="184E9407" w14:textId="77777777" w:rsidR="00A32971" w:rsidRPr="001959ED" w:rsidRDefault="00A32971" w:rsidP="00160100">
            <w:pPr>
              <w:pStyle w:val="NoSpacing"/>
              <w:spacing w:line="360" w:lineRule="auto"/>
              <w:rPr>
                <w:rFonts w:ascii="Times New Roman" w:hAnsi="Times New Roman"/>
                <w:b/>
                <w:sz w:val="16"/>
                <w:szCs w:val="16"/>
              </w:rPr>
            </w:pPr>
          </w:p>
        </w:tc>
        <w:tc>
          <w:tcPr>
            <w:tcW w:w="910" w:type="dxa"/>
            <w:tcBorders>
              <w:top w:val="nil"/>
              <w:bottom w:val="single" w:sz="4" w:space="0" w:color="auto"/>
            </w:tcBorders>
            <w:shd w:val="clear" w:color="auto" w:fill="E2EFD9" w:themeFill="accent6" w:themeFillTint="33"/>
            <w:vAlign w:val="center"/>
            <w:hideMark/>
          </w:tcPr>
          <w:p w14:paraId="1991A0CB" w14:textId="77777777" w:rsidR="00A32971" w:rsidRPr="001959ED" w:rsidRDefault="00A32971" w:rsidP="00160100">
            <w:pPr>
              <w:pStyle w:val="NoSpacing"/>
              <w:spacing w:line="360" w:lineRule="auto"/>
              <w:rPr>
                <w:rFonts w:ascii="Times New Roman" w:hAnsi="Times New Roman"/>
                <w:b/>
                <w:sz w:val="16"/>
                <w:szCs w:val="16"/>
              </w:rPr>
            </w:pPr>
            <w:r w:rsidRPr="001959ED">
              <w:rPr>
                <w:rFonts w:ascii="Times New Roman" w:hAnsi="Times New Roman"/>
                <w:b/>
                <w:sz w:val="16"/>
                <w:szCs w:val="16"/>
              </w:rPr>
              <w:t>Cereals</w:t>
            </w:r>
          </w:p>
        </w:tc>
        <w:tc>
          <w:tcPr>
            <w:tcW w:w="1644" w:type="dxa"/>
            <w:tcBorders>
              <w:top w:val="nil"/>
              <w:bottom w:val="single" w:sz="4" w:space="0" w:color="auto"/>
            </w:tcBorders>
            <w:shd w:val="clear" w:color="auto" w:fill="E2EFD9" w:themeFill="accent6" w:themeFillTint="33"/>
            <w:noWrap/>
            <w:vAlign w:val="center"/>
            <w:hideMark/>
          </w:tcPr>
          <w:p w14:paraId="02D253D5" w14:textId="77777777" w:rsidR="00A32971" w:rsidRPr="001959ED" w:rsidRDefault="00A32971" w:rsidP="00160100">
            <w:pPr>
              <w:pStyle w:val="NoSpacing"/>
              <w:spacing w:line="360" w:lineRule="auto"/>
              <w:rPr>
                <w:rFonts w:ascii="Times New Roman" w:hAnsi="Times New Roman"/>
                <w:b/>
                <w:sz w:val="16"/>
                <w:szCs w:val="16"/>
              </w:rPr>
            </w:pPr>
            <w:r w:rsidRPr="001959ED">
              <w:rPr>
                <w:rFonts w:ascii="Times New Roman" w:hAnsi="Times New Roman"/>
                <w:b/>
                <w:sz w:val="16"/>
                <w:szCs w:val="16"/>
              </w:rPr>
              <w:t>Roots and Tubers</w:t>
            </w:r>
          </w:p>
        </w:tc>
        <w:tc>
          <w:tcPr>
            <w:tcW w:w="1872" w:type="dxa"/>
            <w:tcBorders>
              <w:top w:val="nil"/>
              <w:bottom w:val="single" w:sz="4" w:space="0" w:color="auto"/>
            </w:tcBorders>
            <w:shd w:val="clear" w:color="auto" w:fill="E2EFD9" w:themeFill="accent6" w:themeFillTint="33"/>
            <w:noWrap/>
            <w:vAlign w:val="center"/>
            <w:hideMark/>
          </w:tcPr>
          <w:p w14:paraId="59E6BBD0" w14:textId="77777777" w:rsidR="00A32971" w:rsidRPr="001959ED" w:rsidRDefault="00A32971" w:rsidP="00160100">
            <w:pPr>
              <w:pStyle w:val="NoSpacing"/>
              <w:spacing w:line="360" w:lineRule="auto"/>
              <w:rPr>
                <w:rFonts w:ascii="Times New Roman" w:hAnsi="Times New Roman"/>
                <w:b/>
                <w:sz w:val="16"/>
                <w:szCs w:val="16"/>
              </w:rPr>
            </w:pPr>
            <w:r w:rsidRPr="001959ED">
              <w:rPr>
                <w:rFonts w:ascii="Times New Roman" w:hAnsi="Times New Roman"/>
                <w:b/>
                <w:sz w:val="16"/>
                <w:szCs w:val="16"/>
              </w:rPr>
              <w:t>Fruit and Vegetables</w:t>
            </w:r>
          </w:p>
        </w:tc>
        <w:tc>
          <w:tcPr>
            <w:tcW w:w="870" w:type="dxa"/>
            <w:tcBorders>
              <w:top w:val="nil"/>
              <w:bottom w:val="single" w:sz="4" w:space="0" w:color="auto"/>
            </w:tcBorders>
            <w:shd w:val="clear" w:color="auto" w:fill="E2EFD9" w:themeFill="accent6" w:themeFillTint="33"/>
            <w:noWrap/>
            <w:vAlign w:val="center"/>
            <w:hideMark/>
          </w:tcPr>
          <w:p w14:paraId="03C00591" w14:textId="77777777" w:rsidR="00A32971" w:rsidRPr="001959ED" w:rsidRDefault="00A32971" w:rsidP="00160100">
            <w:pPr>
              <w:pStyle w:val="NoSpacing"/>
              <w:spacing w:line="360" w:lineRule="auto"/>
              <w:rPr>
                <w:rFonts w:ascii="Times New Roman" w:hAnsi="Times New Roman"/>
                <w:b/>
                <w:sz w:val="16"/>
                <w:szCs w:val="16"/>
              </w:rPr>
            </w:pPr>
            <w:r w:rsidRPr="001959ED">
              <w:rPr>
                <w:rFonts w:ascii="Times New Roman" w:hAnsi="Times New Roman"/>
                <w:b/>
                <w:sz w:val="16"/>
                <w:szCs w:val="16"/>
              </w:rPr>
              <w:t>Pulses</w:t>
            </w:r>
          </w:p>
        </w:tc>
        <w:tc>
          <w:tcPr>
            <w:tcW w:w="1650" w:type="dxa"/>
            <w:tcBorders>
              <w:top w:val="nil"/>
              <w:left w:val="nil"/>
              <w:bottom w:val="single" w:sz="4" w:space="0" w:color="auto"/>
            </w:tcBorders>
            <w:shd w:val="clear" w:color="auto" w:fill="E2EFD9" w:themeFill="accent6" w:themeFillTint="33"/>
            <w:vAlign w:val="center"/>
            <w:hideMark/>
          </w:tcPr>
          <w:p w14:paraId="78A23E79" w14:textId="77777777" w:rsidR="00A32971" w:rsidRPr="001959ED" w:rsidRDefault="00A32971" w:rsidP="00160100">
            <w:pPr>
              <w:pStyle w:val="NoSpacing"/>
              <w:spacing w:line="360" w:lineRule="auto"/>
              <w:rPr>
                <w:rFonts w:ascii="Times New Roman" w:hAnsi="Times New Roman"/>
                <w:b/>
                <w:sz w:val="16"/>
                <w:szCs w:val="16"/>
              </w:rPr>
            </w:pPr>
            <w:r w:rsidRPr="001959ED">
              <w:rPr>
                <w:rFonts w:ascii="Times New Roman" w:hAnsi="Times New Roman"/>
                <w:b/>
                <w:sz w:val="16"/>
                <w:szCs w:val="16"/>
              </w:rPr>
              <w:t>Oils Seeds and Nuts</w:t>
            </w:r>
          </w:p>
        </w:tc>
      </w:tr>
      <w:tr w:rsidR="006B42D6" w:rsidRPr="001959ED" w14:paraId="719F61B5" w14:textId="77777777" w:rsidTr="00A62AD1">
        <w:trPr>
          <w:trHeight w:hRule="exact" w:val="238"/>
        </w:trPr>
        <w:tc>
          <w:tcPr>
            <w:tcW w:w="1750" w:type="dxa"/>
            <w:tcBorders>
              <w:top w:val="nil"/>
              <w:bottom w:val="nil"/>
              <w:right w:val="nil"/>
            </w:tcBorders>
            <w:shd w:val="clear" w:color="auto" w:fill="auto"/>
            <w:noWrap/>
            <w:vAlign w:val="bottom"/>
            <w:hideMark/>
          </w:tcPr>
          <w:p w14:paraId="5677348E" w14:textId="77777777" w:rsidR="00A32971" w:rsidRPr="001959ED" w:rsidRDefault="00A32971" w:rsidP="00AF7CD1">
            <w:pPr>
              <w:pStyle w:val="NoSpacing"/>
              <w:spacing w:line="360" w:lineRule="auto"/>
              <w:jc w:val="both"/>
              <w:rPr>
                <w:rFonts w:ascii="Times New Roman" w:hAnsi="Times New Roman"/>
                <w:sz w:val="16"/>
                <w:szCs w:val="16"/>
              </w:rPr>
            </w:pPr>
            <w:r w:rsidRPr="001959ED">
              <w:rPr>
                <w:rFonts w:ascii="Times New Roman" w:hAnsi="Times New Roman"/>
                <w:sz w:val="16"/>
                <w:szCs w:val="16"/>
              </w:rPr>
              <w:t>Dodoma</w:t>
            </w:r>
          </w:p>
        </w:tc>
        <w:tc>
          <w:tcPr>
            <w:tcW w:w="910" w:type="dxa"/>
            <w:tcBorders>
              <w:top w:val="nil"/>
              <w:left w:val="nil"/>
              <w:bottom w:val="nil"/>
              <w:right w:val="nil"/>
            </w:tcBorders>
            <w:shd w:val="clear" w:color="auto" w:fill="auto"/>
            <w:noWrap/>
            <w:vAlign w:val="bottom"/>
            <w:hideMark/>
          </w:tcPr>
          <w:p w14:paraId="3627FD69"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8.8</w:t>
            </w:r>
          </w:p>
        </w:tc>
        <w:tc>
          <w:tcPr>
            <w:tcW w:w="1644" w:type="dxa"/>
            <w:tcBorders>
              <w:top w:val="nil"/>
              <w:left w:val="nil"/>
              <w:bottom w:val="nil"/>
              <w:right w:val="nil"/>
            </w:tcBorders>
            <w:shd w:val="clear" w:color="auto" w:fill="auto"/>
            <w:noWrap/>
            <w:vAlign w:val="bottom"/>
            <w:hideMark/>
          </w:tcPr>
          <w:p w14:paraId="37317D1C"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27.1</w:t>
            </w:r>
          </w:p>
        </w:tc>
        <w:tc>
          <w:tcPr>
            <w:tcW w:w="1872" w:type="dxa"/>
            <w:tcBorders>
              <w:top w:val="nil"/>
              <w:left w:val="nil"/>
              <w:bottom w:val="nil"/>
              <w:right w:val="nil"/>
            </w:tcBorders>
            <w:shd w:val="clear" w:color="auto" w:fill="auto"/>
            <w:noWrap/>
            <w:vAlign w:val="bottom"/>
            <w:hideMark/>
          </w:tcPr>
          <w:p w14:paraId="00997E75"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55.2</w:t>
            </w:r>
          </w:p>
        </w:tc>
        <w:tc>
          <w:tcPr>
            <w:tcW w:w="870" w:type="dxa"/>
            <w:tcBorders>
              <w:top w:val="nil"/>
              <w:left w:val="nil"/>
              <w:bottom w:val="nil"/>
              <w:right w:val="nil"/>
            </w:tcBorders>
            <w:shd w:val="clear" w:color="auto" w:fill="auto"/>
            <w:noWrap/>
            <w:vAlign w:val="bottom"/>
            <w:hideMark/>
          </w:tcPr>
          <w:p w14:paraId="1B94F578"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19.9</w:t>
            </w:r>
          </w:p>
        </w:tc>
        <w:tc>
          <w:tcPr>
            <w:tcW w:w="1650" w:type="dxa"/>
            <w:tcBorders>
              <w:top w:val="nil"/>
              <w:left w:val="nil"/>
              <w:bottom w:val="nil"/>
            </w:tcBorders>
            <w:shd w:val="clear" w:color="auto" w:fill="auto"/>
            <w:noWrap/>
            <w:vAlign w:val="bottom"/>
            <w:hideMark/>
          </w:tcPr>
          <w:p w14:paraId="3C99C174"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19.9</w:t>
            </w:r>
          </w:p>
        </w:tc>
      </w:tr>
      <w:tr w:rsidR="006B42D6" w:rsidRPr="001959ED" w14:paraId="340FC076" w14:textId="77777777" w:rsidTr="00A62AD1">
        <w:trPr>
          <w:trHeight w:hRule="exact" w:val="238"/>
        </w:trPr>
        <w:tc>
          <w:tcPr>
            <w:tcW w:w="1750" w:type="dxa"/>
            <w:tcBorders>
              <w:top w:val="nil"/>
              <w:bottom w:val="nil"/>
              <w:right w:val="nil"/>
            </w:tcBorders>
            <w:shd w:val="clear" w:color="auto" w:fill="auto"/>
            <w:noWrap/>
            <w:vAlign w:val="bottom"/>
            <w:hideMark/>
          </w:tcPr>
          <w:p w14:paraId="0A7447C1" w14:textId="77777777" w:rsidR="00A32971" w:rsidRPr="001959ED" w:rsidRDefault="00A32971" w:rsidP="00AF7CD1">
            <w:pPr>
              <w:pStyle w:val="NoSpacing"/>
              <w:spacing w:line="360" w:lineRule="auto"/>
              <w:jc w:val="both"/>
              <w:rPr>
                <w:rFonts w:ascii="Times New Roman" w:hAnsi="Times New Roman"/>
                <w:sz w:val="16"/>
                <w:szCs w:val="16"/>
              </w:rPr>
            </w:pPr>
            <w:r w:rsidRPr="001959ED">
              <w:rPr>
                <w:rFonts w:ascii="Times New Roman" w:hAnsi="Times New Roman"/>
                <w:sz w:val="16"/>
                <w:szCs w:val="16"/>
              </w:rPr>
              <w:t>Arusha</w:t>
            </w:r>
          </w:p>
        </w:tc>
        <w:tc>
          <w:tcPr>
            <w:tcW w:w="910" w:type="dxa"/>
            <w:tcBorders>
              <w:top w:val="nil"/>
              <w:left w:val="nil"/>
              <w:bottom w:val="nil"/>
              <w:right w:val="nil"/>
            </w:tcBorders>
            <w:shd w:val="clear" w:color="auto" w:fill="auto"/>
            <w:noWrap/>
            <w:vAlign w:val="bottom"/>
            <w:hideMark/>
          </w:tcPr>
          <w:p w14:paraId="29F17947"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12.1</w:t>
            </w:r>
          </w:p>
        </w:tc>
        <w:tc>
          <w:tcPr>
            <w:tcW w:w="1644" w:type="dxa"/>
            <w:tcBorders>
              <w:top w:val="nil"/>
              <w:left w:val="nil"/>
              <w:bottom w:val="nil"/>
              <w:right w:val="nil"/>
            </w:tcBorders>
            <w:shd w:val="clear" w:color="auto" w:fill="auto"/>
            <w:noWrap/>
            <w:vAlign w:val="bottom"/>
            <w:hideMark/>
          </w:tcPr>
          <w:p w14:paraId="2FC65B2E"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68.3</w:t>
            </w:r>
          </w:p>
        </w:tc>
        <w:tc>
          <w:tcPr>
            <w:tcW w:w="1872" w:type="dxa"/>
            <w:tcBorders>
              <w:top w:val="nil"/>
              <w:left w:val="nil"/>
              <w:bottom w:val="nil"/>
              <w:right w:val="nil"/>
            </w:tcBorders>
            <w:shd w:val="clear" w:color="auto" w:fill="auto"/>
            <w:noWrap/>
            <w:vAlign w:val="bottom"/>
            <w:hideMark/>
          </w:tcPr>
          <w:p w14:paraId="67A4CB00"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81.6</w:t>
            </w:r>
          </w:p>
        </w:tc>
        <w:tc>
          <w:tcPr>
            <w:tcW w:w="870" w:type="dxa"/>
            <w:tcBorders>
              <w:top w:val="nil"/>
              <w:left w:val="nil"/>
              <w:bottom w:val="nil"/>
              <w:right w:val="nil"/>
            </w:tcBorders>
            <w:shd w:val="clear" w:color="auto" w:fill="auto"/>
            <w:noWrap/>
            <w:vAlign w:val="bottom"/>
            <w:hideMark/>
          </w:tcPr>
          <w:p w14:paraId="380CB04B"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25.3</w:t>
            </w:r>
          </w:p>
        </w:tc>
        <w:tc>
          <w:tcPr>
            <w:tcW w:w="1650" w:type="dxa"/>
            <w:tcBorders>
              <w:top w:val="nil"/>
              <w:left w:val="nil"/>
              <w:bottom w:val="nil"/>
            </w:tcBorders>
            <w:shd w:val="clear" w:color="auto" w:fill="auto"/>
            <w:noWrap/>
            <w:vAlign w:val="bottom"/>
            <w:hideMark/>
          </w:tcPr>
          <w:p w14:paraId="59D3F94C"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5.8</w:t>
            </w:r>
          </w:p>
        </w:tc>
      </w:tr>
      <w:tr w:rsidR="006B42D6" w:rsidRPr="001959ED" w14:paraId="4CCB7264" w14:textId="77777777" w:rsidTr="00A62AD1">
        <w:trPr>
          <w:trHeight w:hRule="exact" w:val="238"/>
        </w:trPr>
        <w:tc>
          <w:tcPr>
            <w:tcW w:w="1750" w:type="dxa"/>
            <w:tcBorders>
              <w:top w:val="nil"/>
              <w:bottom w:val="nil"/>
              <w:right w:val="nil"/>
            </w:tcBorders>
            <w:shd w:val="clear" w:color="auto" w:fill="auto"/>
            <w:noWrap/>
            <w:vAlign w:val="bottom"/>
            <w:hideMark/>
          </w:tcPr>
          <w:p w14:paraId="5B573F44" w14:textId="77777777" w:rsidR="00A32971" w:rsidRPr="001959ED" w:rsidRDefault="00A32971" w:rsidP="00AF7CD1">
            <w:pPr>
              <w:pStyle w:val="NoSpacing"/>
              <w:spacing w:line="360" w:lineRule="auto"/>
              <w:jc w:val="both"/>
              <w:rPr>
                <w:rFonts w:ascii="Times New Roman" w:hAnsi="Times New Roman"/>
                <w:sz w:val="16"/>
                <w:szCs w:val="16"/>
              </w:rPr>
            </w:pPr>
            <w:r w:rsidRPr="001959ED">
              <w:rPr>
                <w:rFonts w:ascii="Times New Roman" w:hAnsi="Times New Roman"/>
                <w:sz w:val="16"/>
                <w:szCs w:val="16"/>
              </w:rPr>
              <w:t>Kilimanjaro</w:t>
            </w:r>
          </w:p>
        </w:tc>
        <w:tc>
          <w:tcPr>
            <w:tcW w:w="910" w:type="dxa"/>
            <w:tcBorders>
              <w:top w:val="nil"/>
              <w:left w:val="nil"/>
              <w:bottom w:val="nil"/>
              <w:right w:val="nil"/>
            </w:tcBorders>
            <w:shd w:val="clear" w:color="auto" w:fill="auto"/>
            <w:noWrap/>
            <w:vAlign w:val="bottom"/>
            <w:hideMark/>
          </w:tcPr>
          <w:p w14:paraId="3D22E9B9"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26.8</w:t>
            </w:r>
          </w:p>
        </w:tc>
        <w:tc>
          <w:tcPr>
            <w:tcW w:w="1644" w:type="dxa"/>
            <w:tcBorders>
              <w:top w:val="nil"/>
              <w:left w:val="nil"/>
              <w:bottom w:val="nil"/>
              <w:right w:val="nil"/>
            </w:tcBorders>
            <w:shd w:val="clear" w:color="auto" w:fill="auto"/>
            <w:noWrap/>
            <w:vAlign w:val="bottom"/>
            <w:hideMark/>
          </w:tcPr>
          <w:p w14:paraId="7F6D25C3"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61.4</w:t>
            </w:r>
          </w:p>
        </w:tc>
        <w:tc>
          <w:tcPr>
            <w:tcW w:w="1872" w:type="dxa"/>
            <w:tcBorders>
              <w:top w:val="nil"/>
              <w:left w:val="nil"/>
              <w:bottom w:val="nil"/>
              <w:right w:val="nil"/>
            </w:tcBorders>
            <w:shd w:val="clear" w:color="auto" w:fill="auto"/>
            <w:noWrap/>
            <w:vAlign w:val="bottom"/>
            <w:hideMark/>
          </w:tcPr>
          <w:p w14:paraId="194E9597"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92.1</w:t>
            </w:r>
          </w:p>
        </w:tc>
        <w:tc>
          <w:tcPr>
            <w:tcW w:w="870" w:type="dxa"/>
            <w:tcBorders>
              <w:top w:val="nil"/>
              <w:left w:val="nil"/>
              <w:bottom w:val="nil"/>
              <w:right w:val="nil"/>
            </w:tcBorders>
            <w:shd w:val="clear" w:color="auto" w:fill="auto"/>
            <w:noWrap/>
            <w:vAlign w:val="bottom"/>
            <w:hideMark/>
          </w:tcPr>
          <w:p w14:paraId="76CD7D1F"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32.1</w:t>
            </w:r>
          </w:p>
        </w:tc>
        <w:tc>
          <w:tcPr>
            <w:tcW w:w="1650" w:type="dxa"/>
            <w:tcBorders>
              <w:top w:val="nil"/>
              <w:left w:val="nil"/>
              <w:bottom w:val="nil"/>
            </w:tcBorders>
            <w:shd w:val="clear" w:color="auto" w:fill="auto"/>
            <w:noWrap/>
            <w:vAlign w:val="bottom"/>
            <w:hideMark/>
          </w:tcPr>
          <w:p w14:paraId="4446021A"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9.2</w:t>
            </w:r>
          </w:p>
        </w:tc>
      </w:tr>
      <w:tr w:rsidR="006B42D6" w:rsidRPr="001959ED" w14:paraId="4EA72E8D" w14:textId="77777777" w:rsidTr="00A62AD1">
        <w:trPr>
          <w:trHeight w:hRule="exact" w:val="238"/>
        </w:trPr>
        <w:tc>
          <w:tcPr>
            <w:tcW w:w="1750" w:type="dxa"/>
            <w:tcBorders>
              <w:top w:val="nil"/>
              <w:bottom w:val="nil"/>
              <w:right w:val="nil"/>
            </w:tcBorders>
            <w:shd w:val="clear" w:color="auto" w:fill="auto"/>
            <w:noWrap/>
            <w:vAlign w:val="bottom"/>
            <w:hideMark/>
          </w:tcPr>
          <w:p w14:paraId="33F04317" w14:textId="77777777" w:rsidR="00A32971" w:rsidRPr="001959ED" w:rsidRDefault="00A32971" w:rsidP="00AF7CD1">
            <w:pPr>
              <w:pStyle w:val="NoSpacing"/>
              <w:spacing w:line="360" w:lineRule="auto"/>
              <w:jc w:val="both"/>
              <w:rPr>
                <w:rFonts w:ascii="Times New Roman" w:hAnsi="Times New Roman"/>
                <w:sz w:val="16"/>
                <w:szCs w:val="16"/>
              </w:rPr>
            </w:pPr>
            <w:r w:rsidRPr="001959ED">
              <w:rPr>
                <w:rFonts w:ascii="Times New Roman" w:hAnsi="Times New Roman"/>
                <w:sz w:val="16"/>
                <w:szCs w:val="16"/>
              </w:rPr>
              <w:t>Tanga</w:t>
            </w:r>
          </w:p>
        </w:tc>
        <w:tc>
          <w:tcPr>
            <w:tcW w:w="910" w:type="dxa"/>
            <w:tcBorders>
              <w:top w:val="nil"/>
              <w:left w:val="nil"/>
              <w:bottom w:val="nil"/>
              <w:right w:val="nil"/>
            </w:tcBorders>
            <w:shd w:val="clear" w:color="auto" w:fill="auto"/>
            <w:noWrap/>
            <w:vAlign w:val="bottom"/>
            <w:hideMark/>
          </w:tcPr>
          <w:p w14:paraId="234A9E40"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27.2</w:t>
            </w:r>
          </w:p>
        </w:tc>
        <w:tc>
          <w:tcPr>
            <w:tcW w:w="1644" w:type="dxa"/>
            <w:tcBorders>
              <w:top w:val="nil"/>
              <w:left w:val="nil"/>
              <w:bottom w:val="nil"/>
              <w:right w:val="nil"/>
            </w:tcBorders>
            <w:shd w:val="clear" w:color="auto" w:fill="auto"/>
            <w:noWrap/>
            <w:vAlign w:val="bottom"/>
            <w:hideMark/>
          </w:tcPr>
          <w:p w14:paraId="00A5CF60"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58.3</w:t>
            </w:r>
          </w:p>
        </w:tc>
        <w:tc>
          <w:tcPr>
            <w:tcW w:w="1872" w:type="dxa"/>
            <w:tcBorders>
              <w:top w:val="nil"/>
              <w:left w:val="nil"/>
              <w:bottom w:val="nil"/>
              <w:right w:val="nil"/>
            </w:tcBorders>
            <w:shd w:val="clear" w:color="auto" w:fill="auto"/>
            <w:noWrap/>
            <w:vAlign w:val="bottom"/>
            <w:hideMark/>
          </w:tcPr>
          <w:p w14:paraId="74114C58"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76.1</w:t>
            </w:r>
          </w:p>
        </w:tc>
        <w:tc>
          <w:tcPr>
            <w:tcW w:w="870" w:type="dxa"/>
            <w:tcBorders>
              <w:top w:val="nil"/>
              <w:left w:val="nil"/>
              <w:bottom w:val="nil"/>
              <w:right w:val="nil"/>
            </w:tcBorders>
            <w:shd w:val="clear" w:color="auto" w:fill="auto"/>
            <w:noWrap/>
            <w:vAlign w:val="bottom"/>
            <w:hideMark/>
          </w:tcPr>
          <w:p w14:paraId="56AACE32"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22.3</w:t>
            </w:r>
          </w:p>
        </w:tc>
        <w:tc>
          <w:tcPr>
            <w:tcW w:w="1650" w:type="dxa"/>
            <w:tcBorders>
              <w:top w:val="nil"/>
              <w:left w:val="nil"/>
              <w:bottom w:val="nil"/>
            </w:tcBorders>
            <w:shd w:val="clear" w:color="auto" w:fill="auto"/>
            <w:noWrap/>
            <w:vAlign w:val="bottom"/>
            <w:hideMark/>
          </w:tcPr>
          <w:p w14:paraId="71B52DB3"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15.6</w:t>
            </w:r>
          </w:p>
        </w:tc>
      </w:tr>
      <w:tr w:rsidR="006B42D6" w:rsidRPr="001959ED" w14:paraId="6BAAF6B0" w14:textId="77777777" w:rsidTr="00A62AD1">
        <w:trPr>
          <w:trHeight w:hRule="exact" w:val="238"/>
        </w:trPr>
        <w:tc>
          <w:tcPr>
            <w:tcW w:w="1750" w:type="dxa"/>
            <w:tcBorders>
              <w:top w:val="nil"/>
              <w:bottom w:val="nil"/>
              <w:right w:val="nil"/>
            </w:tcBorders>
            <w:shd w:val="clear" w:color="auto" w:fill="auto"/>
            <w:noWrap/>
            <w:vAlign w:val="bottom"/>
            <w:hideMark/>
          </w:tcPr>
          <w:p w14:paraId="7EB1C13E" w14:textId="77777777" w:rsidR="00A32971" w:rsidRPr="001959ED" w:rsidRDefault="00A32971" w:rsidP="00AF7CD1">
            <w:pPr>
              <w:pStyle w:val="NoSpacing"/>
              <w:spacing w:line="360" w:lineRule="auto"/>
              <w:jc w:val="both"/>
              <w:rPr>
                <w:rFonts w:ascii="Times New Roman" w:hAnsi="Times New Roman"/>
                <w:sz w:val="16"/>
                <w:szCs w:val="16"/>
              </w:rPr>
            </w:pPr>
            <w:r w:rsidRPr="001959ED">
              <w:rPr>
                <w:rFonts w:ascii="Times New Roman" w:hAnsi="Times New Roman"/>
                <w:sz w:val="16"/>
                <w:szCs w:val="16"/>
              </w:rPr>
              <w:t>Morogoro</w:t>
            </w:r>
          </w:p>
        </w:tc>
        <w:tc>
          <w:tcPr>
            <w:tcW w:w="910" w:type="dxa"/>
            <w:tcBorders>
              <w:top w:val="nil"/>
              <w:left w:val="nil"/>
              <w:bottom w:val="nil"/>
              <w:right w:val="nil"/>
            </w:tcBorders>
            <w:shd w:val="clear" w:color="auto" w:fill="auto"/>
            <w:noWrap/>
            <w:vAlign w:val="bottom"/>
            <w:hideMark/>
          </w:tcPr>
          <w:p w14:paraId="044F688E"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16.3</w:t>
            </w:r>
          </w:p>
        </w:tc>
        <w:tc>
          <w:tcPr>
            <w:tcW w:w="1644" w:type="dxa"/>
            <w:tcBorders>
              <w:top w:val="nil"/>
              <w:left w:val="nil"/>
              <w:bottom w:val="nil"/>
              <w:right w:val="nil"/>
            </w:tcBorders>
            <w:shd w:val="clear" w:color="auto" w:fill="auto"/>
            <w:noWrap/>
            <w:vAlign w:val="bottom"/>
            <w:hideMark/>
          </w:tcPr>
          <w:p w14:paraId="756ABAF7"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19.7</w:t>
            </w:r>
          </w:p>
        </w:tc>
        <w:tc>
          <w:tcPr>
            <w:tcW w:w="1872" w:type="dxa"/>
            <w:tcBorders>
              <w:top w:val="nil"/>
              <w:left w:val="nil"/>
              <w:bottom w:val="nil"/>
              <w:right w:val="nil"/>
            </w:tcBorders>
            <w:shd w:val="clear" w:color="auto" w:fill="auto"/>
            <w:noWrap/>
            <w:vAlign w:val="bottom"/>
            <w:hideMark/>
          </w:tcPr>
          <w:p w14:paraId="1A939C74"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34.5</w:t>
            </w:r>
          </w:p>
        </w:tc>
        <w:tc>
          <w:tcPr>
            <w:tcW w:w="870" w:type="dxa"/>
            <w:tcBorders>
              <w:top w:val="nil"/>
              <w:left w:val="nil"/>
              <w:bottom w:val="nil"/>
              <w:right w:val="nil"/>
            </w:tcBorders>
            <w:shd w:val="clear" w:color="auto" w:fill="auto"/>
            <w:noWrap/>
            <w:vAlign w:val="bottom"/>
            <w:hideMark/>
          </w:tcPr>
          <w:p w14:paraId="2BE5D865"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24.1</w:t>
            </w:r>
          </w:p>
        </w:tc>
        <w:tc>
          <w:tcPr>
            <w:tcW w:w="1650" w:type="dxa"/>
            <w:tcBorders>
              <w:top w:val="nil"/>
              <w:left w:val="nil"/>
              <w:bottom w:val="nil"/>
            </w:tcBorders>
            <w:shd w:val="clear" w:color="auto" w:fill="auto"/>
            <w:noWrap/>
            <w:vAlign w:val="bottom"/>
            <w:hideMark/>
          </w:tcPr>
          <w:p w14:paraId="2BAB74C2"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25.6</w:t>
            </w:r>
          </w:p>
        </w:tc>
      </w:tr>
      <w:tr w:rsidR="006B42D6" w:rsidRPr="001959ED" w14:paraId="41D6E93D" w14:textId="77777777" w:rsidTr="00A62AD1">
        <w:trPr>
          <w:trHeight w:hRule="exact" w:val="238"/>
        </w:trPr>
        <w:tc>
          <w:tcPr>
            <w:tcW w:w="1750" w:type="dxa"/>
            <w:tcBorders>
              <w:top w:val="nil"/>
              <w:bottom w:val="nil"/>
              <w:right w:val="nil"/>
            </w:tcBorders>
            <w:shd w:val="clear" w:color="auto" w:fill="auto"/>
            <w:noWrap/>
            <w:vAlign w:val="bottom"/>
            <w:hideMark/>
          </w:tcPr>
          <w:p w14:paraId="18C6B154" w14:textId="77777777" w:rsidR="00A32971" w:rsidRPr="001959ED" w:rsidRDefault="00A32971" w:rsidP="00AF7CD1">
            <w:pPr>
              <w:pStyle w:val="NoSpacing"/>
              <w:spacing w:line="360" w:lineRule="auto"/>
              <w:jc w:val="both"/>
              <w:rPr>
                <w:rFonts w:ascii="Times New Roman" w:hAnsi="Times New Roman"/>
                <w:sz w:val="16"/>
                <w:szCs w:val="16"/>
              </w:rPr>
            </w:pPr>
            <w:r w:rsidRPr="001959ED">
              <w:rPr>
                <w:rFonts w:ascii="Times New Roman" w:hAnsi="Times New Roman"/>
                <w:sz w:val="16"/>
                <w:szCs w:val="16"/>
              </w:rPr>
              <w:t>Pwani</w:t>
            </w:r>
          </w:p>
        </w:tc>
        <w:tc>
          <w:tcPr>
            <w:tcW w:w="910" w:type="dxa"/>
            <w:tcBorders>
              <w:top w:val="nil"/>
              <w:left w:val="nil"/>
              <w:bottom w:val="nil"/>
              <w:right w:val="nil"/>
            </w:tcBorders>
            <w:shd w:val="clear" w:color="auto" w:fill="auto"/>
            <w:noWrap/>
            <w:vAlign w:val="bottom"/>
            <w:hideMark/>
          </w:tcPr>
          <w:p w14:paraId="198DB2DE"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9.9</w:t>
            </w:r>
          </w:p>
        </w:tc>
        <w:tc>
          <w:tcPr>
            <w:tcW w:w="1644" w:type="dxa"/>
            <w:tcBorders>
              <w:top w:val="nil"/>
              <w:left w:val="nil"/>
              <w:bottom w:val="nil"/>
              <w:right w:val="nil"/>
            </w:tcBorders>
            <w:shd w:val="clear" w:color="auto" w:fill="auto"/>
            <w:noWrap/>
            <w:vAlign w:val="bottom"/>
            <w:hideMark/>
          </w:tcPr>
          <w:p w14:paraId="6C13AFD5"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23.7</w:t>
            </w:r>
          </w:p>
        </w:tc>
        <w:tc>
          <w:tcPr>
            <w:tcW w:w="1872" w:type="dxa"/>
            <w:tcBorders>
              <w:top w:val="nil"/>
              <w:left w:val="nil"/>
              <w:bottom w:val="nil"/>
              <w:right w:val="nil"/>
            </w:tcBorders>
            <w:shd w:val="clear" w:color="auto" w:fill="auto"/>
            <w:noWrap/>
            <w:vAlign w:val="bottom"/>
            <w:hideMark/>
          </w:tcPr>
          <w:p w14:paraId="4A4D7FA1"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41.0</w:t>
            </w:r>
          </w:p>
        </w:tc>
        <w:tc>
          <w:tcPr>
            <w:tcW w:w="870" w:type="dxa"/>
            <w:tcBorders>
              <w:top w:val="nil"/>
              <w:left w:val="nil"/>
              <w:bottom w:val="nil"/>
              <w:right w:val="nil"/>
            </w:tcBorders>
            <w:shd w:val="clear" w:color="auto" w:fill="auto"/>
            <w:noWrap/>
            <w:vAlign w:val="bottom"/>
            <w:hideMark/>
          </w:tcPr>
          <w:p w14:paraId="1A262A11"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14.8</w:t>
            </w:r>
          </w:p>
        </w:tc>
        <w:tc>
          <w:tcPr>
            <w:tcW w:w="1650" w:type="dxa"/>
            <w:tcBorders>
              <w:top w:val="nil"/>
              <w:left w:val="nil"/>
              <w:bottom w:val="nil"/>
            </w:tcBorders>
            <w:shd w:val="clear" w:color="auto" w:fill="auto"/>
            <w:noWrap/>
            <w:vAlign w:val="bottom"/>
            <w:hideMark/>
          </w:tcPr>
          <w:p w14:paraId="45289B34"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82.7</w:t>
            </w:r>
          </w:p>
        </w:tc>
      </w:tr>
      <w:tr w:rsidR="006B42D6" w:rsidRPr="001959ED" w14:paraId="605726E1" w14:textId="77777777" w:rsidTr="00A62AD1">
        <w:trPr>
          <w:trHeight w:hRule="exact" w:val="238"/>
        </w:trPr>
        <w:tc>
          <w:tcPr>
            <w:tcW w:w="1750" w:type="dxa"/>
            <w:tcBorders>
              <w:top w:val="nil"/>
              <w:bottom w:val="nil"/>
              <w:right w:val="nil"/>
            </w:tcBorders>
            <w:shd w:val="clear" w:color="auto" w:fill="auto"/>
            <w:noWrap/>
            <w:vAlign w:val="bottom"/>
            <w:hideMark/>
          </w:tcPr>
          <w:p w14:paraId="6CBEB0B5" w14:textId="77777777" w:rsidR="00A32971" w:rsidRPr="001959ED" w:rsidRDefault="00A32971" w:rsidP="00AF7CD1">
            <w:pPr>
              <w:pStyle w:val="NoSpacing"/>
              <w:spacing w:line="360" w:lineRule="auto"/>
              <w:jc w:val="both"/>
              <w:rPr>
                <w:rFonts w:ascii="Times New Roman" w:hAnsi="Times New Roman"/>
                <w:sz w:val="16"/>
                <w:szCs w:val="16"/>
              </w:rPr>
            </w:pPr>
            <w:r w:rsidRPr="001959ED">
              <w:rPr>
                <w:rFonts w:ascii="Times New Roman" w:hAnsi="Times New Roman"/>
                <w:sz w:val="16"/>
                <w:szCs w:val="16"/>
              </w:rPr>
              <w:t>Dar Es Salaam</w:t>
            </w:r>
          </w:p>
        </w:tc>
        <w:tc>
          <w:tcPr>
            <w:tcW w:w="910" w:type="dxa"/>
            <w:tcBorders>
              <w:top w:val="nil"/>
              <w:left w:val="nil"/>
              <w:bottom w:val="nil"/>
              <w:right w:val="nil"/>
            </w:tcBorders>
            <w:shd w:val="clear" w:color="auto" w:fill="auto"/>
            <w:noWrap/>
            <w:vAlign w:val="bottom"/>
            <w:hideMark/>
          </w:tcPr>
          <w:p w14:paraId="6A8E1101"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63.7</w:t>
            </w:r>
          </w:p>
        </w:tc>
        <w:tc>
          <w:tcPr>
            <w:tcW w:w="1644" w:type="dxa"/>
            <w:tcBorders>
              <w:top w:val="nil"/>
              <w:left w:val="nil"/>
              <w:bottom w:val="nil"/>
              <w:right w:val="nil"/>
            </w:tcBorders>
            <w:shd w:val="clear" w:color="auto" w:fill="auto"/>
            <w:noWrap/>
            <w:vAlign w:val="bottom"/>
            <w:hideMark/>
          </w:tcPr>
          <w:p w14:paraId="672F39F0"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8.8</w:t>
            </w:r>
          </w:p>
        </w:tc>
        <w:tc>
          <w:tcPr>
            <w:tcW w:w="1872" w:type="dxa"/>
            <w:tcBorders>
              <w:top w:val="nil"/>
              <w:left w:val="nil"/>
              <w:bottom w:val="nil"/>
              <w:right w:val="nil"/>
            </w:tcBorders>
            <w:shd w:val="clear" w:color="auto" w:fill="auto"/>
            <w:noWrap/>
            <w:vAlign w:val="bottom"/>
            <w:hideMark/>
          </w:tcPr>
          <w:p w14:paraId="19CE9F94"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47.7</w:t>
            </w:r>
          </w:p>
        </w:tc>
        <w:tc>
          <w:tcPr>
            <w:tcW w:w="870" w:type="dxa"/>
            <w:tcBorders>
              <w:top w:val="nil"/>
              <w:left w:val="nil"/>
              <w:bottom w:val="nil"/>
              <w:right w:val="nil"/>
            </w:tcBorders>
            <w:shd w:val="clear" w:color="auto" w:fill="auto"/>
            <w:noWrap/>
            <w:vAlign w:val="bottom"/>
            <w:hideMark/>
          </w:tcPr>
          <w:p w14:paraId="26CCC01E"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22.7</w:t>
            </w:r>
          </w:p>
        </w:tc>
        <w:tc>
          <w:tcPr>
            <w:tcW w:w="1650" w:type="dxa"/>
            <w:tcBorders>
              <w:top w:val="nil"/>
              <w:left w:val="nil"/>
              <w:bottom w:val="nil"/>
            </w:tcBorders>
            <w:shd w:val="clear" w:color="auto" w:fill="auto"/>
            <w:noWrap/>
            <w:vAlign w:val="bottom"/>
            <w:hideMark/>
          </w:tcPr>
          <w:p w14:paraId="17F30017"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25.3</w:t>
            </w:r>
          </w:p>
        </w:tc>
      </w:tr>
      <w:tr w:rsidR="006B42D6" w:rsidRPr="001959ED" w14:paraId="481E77CD" w14:textId="77777777" w:rsidTr="00A62AD1">
        <w:trPr>
          <w:trHeight w:hRule="exact" w:val="238"/>
        </w:trPr>
        <w:tc>
          <w:tcPr>
            <w:tcW w:w="1750" w:type="dxa"/>
            <w:tcBorders>
              <w:top w:val="nil"/>
              <w:bottom w:val="nil"/>
              <w:right w:val="nil"/>
            </w:tcBorders>
            <w:shd w:val="clear" w:color="auto" w:fill="auto"/>
            <w:noWrap/>
            <w:vAlign w:val="bottom"/>
            <w:hideMark/>
          </w:tcPr>
          <w:p w14:paraId="0A7B6C3E" w14:textId="77777777" w:rsidR="00A32971" w:rsidRPr="001959ED" w:rsidRDefault="00A32971" w:rsidP="00AF7CD1">
            <w:pPr>
              <w:pStyle w:val="NoSpacing"/>
              <w:spacing w:line="360" w:lineRule="auto"/>
              <w:jc w:val="both"/>
              <w:rPr>
                <w:rFonts w:ascii="Times New Roman" w:hAnsi="Times New Roman"/>
                <w:sz w:val="16"/>
                <w:szCs w:val="16"/>
              </w:rPr>
            </w:pPr>
            <w:r w:rsidRPr="001959ED">
              <w:rPr>
                <w:rFonts w:ascii="Times New Roman" w:hAnsi="Times New Roman"/>
                <w:sz w:val="16"/>
                <w:szCs w:val="16"/>
              </w:rPr>
              <w:t>Lindi</w:t>
            </w:r>
          </w:p>
        </w:tc>
        <w:tc>
          <w:tcPr>
            <w:tcW w:w="910" w:type="dxa"/>
            <w:tcBorders>
              <w:top w:val="nil"/>
              <w:left w:val="nil"/>
              <w:bottom w:val="nil"/>
              <w:right w:val="nil"/>
            </w:tcBorders>
            <w:shd w:val="clear" w:color="auto" w:fill="auto"/>
            <w:noWrap/>
            <w:vAlign w:val="bottom"/>
            <w:hideMark/>
          </w:tcPr>
          <w:p w14:paraId="3BF44C95"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3.4</w:t>
            </w:r>
          </w:p>
        </w:tc>
        <w:tc>
          <w:tcPr>
            <w:tcW w:w="1644" w:type="dxa"/>
            <w:tcBorders>
              <w:top w:val="nil"/>
              <w:left w:val="nil"/>
              <w:bottom w:val="nil"/>
              <w:right w:val="nil"/>
            </w:tcBorders>
            <w:shd w:val="clear" w:color="auto" w:fill="auto"/>
            <w:noWrap/>
            <w:vAlign w:val="bottom"/>
            <w:hideMark/>
          </w:tcPr>
          <w:p w14:paraId="262AC39A"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6.7</w:t>
            </w:r>
          </w:p>
        </w:tc>
        <w:tc>
          <w:tcPr>
            <w:tcW w:w="1872" w:type="dxa"/>
            <w:tcBorders>
              <w:top w:val="nil"/>
              <w:left w:val="nil"/>
              <w:bottom w:val="nil"/>
              <w:right w:val="nil"/>
            </w:tcBorders>
            <w:shd w:val="clear" w:color="auto" w:fill="auto"/>
            <w:noWrap/>
            <w:vAlign w:val="bottom"/>
            <w:hideMark/>
          </w:tcPr>
          <w:p w14:paraId="519EABC2"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48.6</w:t>
            </w:r>
          </w:p>
        </w:tc>
        <w:tc>
          <w:tcPr>
            <w:tcW w:w="870" w:type="dxa"/>
            <w:tcBorders>
              <w:top w:val="nil"/>
              <w:left w:val="nil"/>
              <w:bottom w:val="nil"/>
              <w:right w:val="nil"/>
            </w:tcBorders>
            <w:shd w:val="clear" w:color="auto" w:fill="auto"/>
            <w:noWrap/>
            <w:vAlign w:val="bottom"/>
            <w:hideMark/>
          </w:tcPr>
          <w:p w14:paraId="4F300FE3"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33.0</w:t>
            </w:r>
          </w:p>
        </w:tc>
        <w:tc>
          <w:tcPr>
            <w:tcW w:w="1650" w:type="dxa"/>
            <w:tcBorders>
              <w:top w:val="nil"/>
              <w:left w:val="nil"/>
              <w:bottom w:val="nil"/>
            </w:tcBorders>
            <w:shd w:val="clear" w:color="auto" w:fill="auto"/>
            <w:noWrap/>
            <w:vAlign w:val="bottom"/>
            <w:hideMark/>
          </w:tcPr>
          <w:p w14:paraId="01DE4C36"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71.2</w:t>
            </w:r>
          </w:p>
        </w:tc>
      </w:tr>
      <w:tr w:rsidR="006B42D6" w:rsidRPr="001959ED" w14:paraId="2DD23244" w14:textId="77777777" w:rsidTr="00A62AD1">
        <w:trPr>
          <w:trHeight w:hRule="exact" w:val="238"/>
        </w:trPr>
        <w:tc>
          <w:tcPr>
            <w:tcW w:w="1750" w:type="dxa"/>
            <w:tcBorders>
              <w:top w:val="nil"/>
              <w:bottom w:val="nil"/>
              <w:right w:val="nil"/>
            </w:tcBorders>
            <w:shd w:val="clear" w:color="auto" w:fill="auto"/>
            <w:noWrap/>
            <w:vAlign w:val="bottom"/>
            <w:hideMark/>
          </w:tcPr>
          <w:p w14:paraId="53E6D88D" w14:textId="77777777" w:rsidR="00A32971" w:rsidRPr="001959ED" w:rsidRDefault="00A32971" w:rsidP="00AF7CD1">
            <w:pPr>
              <w:pStyle w:val="NoSpacing"/>
              <w:spacing w:line="360" w:lineRule="auto"/>
              <w:jc w:val="both"/>
              <w:rPr>
                <w:rFonts w:ascii="Times New Roman" w:hAnsi="Times New Roman"/>
                <w:sz w:val="16"/>
                <w:szCs w:val="16"/>
              </w:rPr>
            </w:pPr>
            <w:r w:rsidRPr="001959ED">
              <w:rPr>
                <w:rFonts w:ascii="Times New Roman" w:hAnsi="Times New Roman"/>
                <w:sz w:val="16"/>
                <w:szCs w:val="16"/>
              </w:rPr>
              <w:t>Mtwara</w:t>
            </w:r>
          </w:p>
        </w:tc>
        <w:tc>
          <w:tcPr>
            <w:tcW w:w="910" w:type="dxa"/>
            <w:tcBorders>
              <w:top w:val="nil"/>
              <w:left w:val="nil"/>
              <w:bottom w:val="nil"/>
              <w:right w:val="nil"/>
            </w:tcBorders>
            <w:shd w:val="clear" w:color="auto" w:fill="auto"/>
            <w:noWrap/>
            <w:vAlign w:val="bottom"/>
            <w:hideMark/>
          </w:tcPr>
          <w:p w14:paraId="5A0E8B56"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5.8</w:t>
            </w:r>
          </w:p>
        </w:tc>
        <w:tc>
          <w:tcPr>
            <w:tcW w:w="1644" w:type="dxa"/>
            <w:tcBorders>
              <w:top w:val="nil"/>
              <w:left w:val="nil"/>
              <w:bottom w:val="nil"/>
              <w:right w:val="nil"/>
            </w:tcBorders>
            <w:shd w:val="clear" w:color="auto" w:fill="auto"/>
            <w:noWrap/>
            <w:vAlign w:val="bottom"/>
            <w:hideMark/>
          </w:tcPr>
          <w:p w14:paraId="7B045494"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1.0</w:t>
            </w:r>
          </w:p>
        </w:tc>
        <w:tc>
          <w:tcPr>
            <w:tcW w:w="1872" w:type="dxa"/>
            <w:tcBorders>
              <w:top w:val="nil"/>
              <w:left w:val="nil"/>
              <w:bottom w:val="nil"/>
              <w:right w:val="nil"/>
            </w:tcBorders>
            <w:shd w:val="clear" w:color="auto" w:fill="auto"/>
            <w:noWrap/>
            <w:vAlign w:val="bottom"/>
            <w:hideMark/>
          </w:tcPr>
          <w:p w14:paraId="702DB902"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59.6</w:t>
            </w:r>
          </w:p>
        </w:tc>
        <w:tc>
          <w:tcPr>
            <w:tcW w:w="870" w:type="dxa"/>
            <w:tcBorders>
              <w:top w:val="nil"/>
              <w:left w:val="nil"/>
              <w:bottom w:val="nil"/>
              <w:right w:val="nil"/>
            </w:tcBorders>
            <w:shd w:val="clear" w:color="auto" w:fill="auto"/>
            <w:noWrap/>
            <w:vAlign w:val="bottom"/>
            <w:hideMark/>
          </w:tcPr>
          <w:p w14:paraId="251F7CB0"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26.7</w:t>
            </w:r>
          </w:p>
        </w:tc>
        <w:tc>
          <w:tcPr>
            <w:tcW w:w="1650" w:type="dxa"/>
            <w:tcBorders>
              <w:top w:val="nil"/>
              <w:left w:val="nil"/>
              <w:bottom w:val="nil"/>
            </w:tcBorders>
            <w:shd w:val="clear" w:color="auto" w:fill="auto"/>
            <w:noWrap/>
            <w:vAlign w:val="bottom"/>
            <w:hideMark/>
          </w:tcPr>
          <w:p w14:paraId="43FF2243"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42.8</w:t>
            </w:r>
          </w:p>
        </w:tc>
      </w:tr>
      <w:tr w:rsidR="006B42D6" w:rsidRPr="001959ED" w14:paraId="60E4C124" w14:textId="77777777" w:rsidTr="00A62AD1">
        <w:trPr>
          <w:trHeight w:hRule="exact" w:val="238"/>
        </w:trPr>
        <w:tc>
          <w:tcPr>
            <w:tcW w:w="1750" w:type="dxa"/>
            <w:tcBorders>
              <w:top w:val="nil"/>
              <w:bottom w:val="nil"/>
              <w:right w:val="nil"/>
            </w:tcBorders>
            <w:shd w:val="clear" w:color="auto" w:fill="auto"/>
            <w:noWrap/>
            <w:vAlign w:val="bottom"/>
            <w:hideMark/>
          </w:tcPr>
          <w:p w14:paraId="73DF30F1" w14:textId="77777777" w:rsidR="00A32971" w:rsidRPr="001959ED" w:rsidRDefault="00A32971" w:rsidP="00AF7CD1">
            <w:pPr>
              <w:pStyle w:val="NoSpacing"/>
              <w:spacing w:line="360" w:lineRule="auto"/>
              <w:jc w:val="both"/>
              <w:rPr>
                <w:rFonts w:ascii="Times New Roman" w:hAnsi="Times New Roman"/>
                <w:sz w:val="16"/>
                <w:szCs w:val="16"/>
              </w:rPr>
            </w:pPr>
            <w:r w:rsidRPr="001959ED">
              <w:rPr>
                <w:rFonts w:ascii="Times New Roman" w:hAnsi="Times New Roman"/>
                <w:sz w:val="16"/>
                <w:szCs w:val="16"/>
              </w:rPr>
              <w:t>Ruvuma</w:t>
            </w:r>
          </w:p>
        </w:tc>
        <w:tc>
          <w:tcPr>
            <w:tcW w:w="910" w:type="dxa"/>
            <w:tcBorders>
              <w:top w:val="nil"/>
              <w:left w:val="nil"/>
              <w:bottom w:val="nil"/>
              <w:right w:val="nil"/>
            </w:tcBorders>
            <w:shd w:val="clear" w:color="auto" w:fill="auto"/>
            <w:noWrap/>
            <w:vAlign w:val="bottom"/>
            <w:hideMark/>
          </w:tcPr>
          <w:p w14:paraId="54659060"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38.6</w:t>
            </w:r>
          </w:p>
        </w:tc>
        <w:tc>
          <w:tcPr>
            <w:tcW w:w="1644" w:type="dxa"/>
            <w:tcBorders>
              <w:top w:val="nil"/>
              <w:left w:val="nil"/>
              <w:bottom w:val="nil"/>
              <w:right w:val="nil"/>
            </w:tcBorders>
            <w:shd w:val="clear" w:color="auto" w:fill="auto"/>
            <w:noWrap/>
            <w:vAlign w:val="bottom"/>
            <w:hideMark/>
          </w:tcPr>
          <w:p w14:paraId="57609268"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19.6</w:t>
            </w:r>
          </w:p>
        </w:tc>
        <w:tc>
          <w:tcPr>
            <w:tcW w:w="1872" w:type="dxa"/>
            <w:tcBorders>
              <w:top w:val="nil"/>
              <w:left w:val="nil"/>
              <w:bottom w:val="nil"/>
              <w:right w:val="nil"/>
            </w:tcBorders>
            <w:shd w:val="clear" w:color="auto" w:fill="auto"/>
            <w:noWrap/>
            <w:vAlign w:val="bottom"/>
            <w:hideMark/>
          </w:tcPr>
          <w:p w14:paraId="2EDD9053"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68.1</w:t>
            </w:r>
          </w:p>
        </w:tc>
        <w:tc>
          <w:tcPr>
            <w:tcW w:w="870" w:type="dxa"/>
            <w:tcBorders>
              <w:top w:val="nil"/>
              <w:left w:val="nil"/>
              <w:bottom w:val="nil"/>
              <w:right w:val="nil"/>
            </w:tcBorders>
            <w:shd w:val="clear" w:color="auto" w:fill="auto"/>
            <w:noWrap/>
            <w:vAlign w:val="bottom"/>
            <w:hideMark/>
          </w:tcPr>
          <w:p w14:paraId="04F69340"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39.2</w:t>
            </w:r>
          </w:p>
        </w:tc>
        <w:tc>
          <w:tcPr>
            <w:tcW w:w="1650" w:type="dxa"/>
            <w:tcBorders>
              <w:top w:val="nil"/>
              <w:left w:val="nil"/>
              <w:bottom w:val="nil"/>
            </w:tcBorders>
            <w:shd w:val="clear" w:color="auto" w:fill="auto"/>
            <w:noWrap/>
            <w:vAlign w:val="bottom"/>
            <w:hideMark/>
          </w:tcPr>
          <w:p w14:paraId="027BC297"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47.0</w:t>
            </w:r>
          </w:p>
        </w:tc>
      </w:tr>
      <w:tr w:rsidR="006B42D6" w:rsidRPr="001959ED" w14:paraId="67BCAF30" w14:textId="77777777" w:rsidTr="00A62AD1">
        <w:trPr>
          <w:trHeight w:hRule="exact" w:val="238"/>
        </w:trPr>
        <w:tc>
          <w:tcPr>
            <w:tcW w:w="1750" w:type="dxa"/>
            <w:tcBorders>
              <w:top w:val="nil"/>
              <w:bottom w:val="nil"/>
              <w:right w:val="nil"/>
            </w:tcBorders>
            <w:shd w:val="clear" w:color="auto" w:fill="auto"/>
            <w:noWrap/>
            <w:vAlign w:val="bottom"/>
            <w:hideMark/>
          </w:tcPr>
          <w:p w14:paraId="42D27B51" w14:textId="77777777" w:rsidR="00A32971" w:rsidRPr="001959ED" w:rsidRDefault="00A32971" w:rsidP="00AF7CD1">
            <w:pPr>
              <w:pStyle w:val="NoSpacing"/>
              <w:spacing w:line="360" w:lineRule="auto"/>
              <w:jc w:val="both"/>
              <w:rPr>
                <w:rFonts w:ascii="Times New Roman" w:hAnsi="Times New Roman"/>
                <w:sz w:val="16"/>
                <w:szCs w:val="16"/>
              </w:rPr>
            </w:pPr>
            <w:r w:rsidRPr="001959ED">
              <w:rPr>
                <w:rFonts w:ascii="Times New Roman" w:hAnsi="Times New Roman"/>
                <w:sz w:val="16"/>
                <w:szCs w:val="16"/>
              </w:rPr>
              <w:t>Iringa</w:t>
            </w:r>
          </w:p>
        </w:tc>
        <w:tc>
          <w:tcPr>
            <w:tcW w:w="910" w:type="dxa"/>
            <w:tcBorders>
              <w:top w:val="nil"/>
              <w:left w:val="nil"/>
              <w:bottom w:val="nil"/>
              <w:right w:val="nil"/>
            </w:tcBorders>
            <w:shd w:val="clear" w:color="auto" w:fill="auto"/>
            <w:noWrap/>
            <w:vAlign w:val="bottom"/>
            <w:hideMark/>
          </w:tcPr>
          <w:p w14:paraId="1FD198DC"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19.0</w:t>
            </w:r>
          </w:p>
        </w:tc>
        <w:tc>
          <w:tcPr>
            <w:tcW w:w="1644" w:type="dxa"/>
            <w:tcBorders>
              <w:top w:val="nil"/>
              <w:left w:val="nil"/>
              <w:bottom w:val="nil"/>
              <w:right w:val="nil"/>
            </w:tcBorders>
            <w:shd w:val="clear" w:color="auto" w:fill="auto"/>
            <w:noWrap/>
            <w:vAlign w:val="bottom"/>
            <w:hideMark/>
          </w:tcPr>
          <w:p w14:paraId="46E1FFDF"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58.5</w:t>
            </w:r>
          </w:p>
        </w:tc>
        <w:tc>
          <w:tcPr>
            <w:tcW w:w="1872" w:type="dxa"/>
            <w:tcBorders>
              <w:top w:val="nil"/>
              <w:left w:val="nil"/>
              <w:bottom w:val="nil"/>
              <w:right w:val="nil"/>
            </w:tcBorders>
            <w:shd w:val="clear" w:color="auto" w:fill="auto"/>
            <w:noWrap/>
            <w:vAlign w:val="bottom"/>
            <w:hideMark/>
          </w:tcPr>
          <w:p w14:paraId="6721E095"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92.2</w:t>
            </w:r>
          </w:p>
        </w:tc>
        <w:tc>
          <w:tcPr>
            <w:tcW w:w="870" w:type="dxa"/>
            <w:tcBorders>
              <w:top w:val="nil"/>
              <w:left w:val="nil"/>
              <w:bottom w:val="nil"/>
              <w:right w:val="nil"/>
            </w:tcBorders>
            <w:shd w:val="clear" w:color="auto" w:fill="auto"/>
            <w:noWrap/>
            <w:vAlign w:val="bottom"/>
            <w:hideMark/>
          </w:tcPr>
          <w:p w14:paraId="19B1946A"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32.7</w:t>
            </w:r>
          </w:p>
        </w:tc>
        <w:tc>
          <w:tcPr>
            <w:tcW w:w="1650" w:type="dxa"/>
            <w:tcBorders>
              <w:top w:val="nil"/>
              <w:left w:val="nil"/>
              <w:bottom w:val="nil"/>
            </w:tcBorders>
            <w:shd w:val="clear" w:color="auto" w:fill="auto"/>
            <w:noWrap/>
            <w:vAlign w:val="bottom"/>
            <w:hideMark/>
          </w:tcPr>
          <w:p w14:paraId="4C9769A5"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14.1</w:t>
            </w:r>
          </w:p>
        </w:tc>
      </w:tr>
      <w:tr w:rsidR="006B42D6" w:rsidRPr="001959ED" w14:paraId="7D9A97A7" w14:textId="77777777" w:rsidTr="00A62AD1">
        <w:trPr>
          <w:trHeight w:hRule="exact" w:val="238"/>
        </w:trPr>
        <w:tc>
          <w:tcPr>
            <w:tcW w:w="1750" w:type="dxa"/>
            <w:tcBorders>
              <w:top w:val="nil"/>
              <w:bottom w:val="nil"/>
              <w:right w:val="nil"/>
            </w:tcBorders>
            <w:shd w:val="clear" w:color="auto" w:fill="auto"/>
            <w:noWrap/>
            <w:vAlign w:val="bottom"/>
            <w:hideMark/>
          </w:tcPr>
          <w:p w14:paraId="4C99B2E2" w14:textId="77777777" w:rsidR="00A32971" w:rsidRPr="001959ED" w:rsidRDefault="00A32971" w:rsidP="00AF7CD1">
            <w:pPr>
              <w:pStyle w:val="NoSpacing"/>
              <w:spacing w:line="360" w:lineRule="auto"/>
              <w:jc w:val="both"/>
              <w:rPr>
                <w:rFonts w:ascii="Times New Roman" w:hAnsi="Times New Roman"/>
                <w:sz w:val="16"/>
                <w:szCs w:val="16"/>
              </w:rPr>
            </w:pPr>
            <w:r w:rsidRPr="001959ED">
              <w:rPr>
                <w:rFonts w:ascii="Times New Roman" w:hAnsi="Times New Roman"/>
                <w:sz w:val="16"/>
                <w:szCs w:val="16"/>
              </w:rPr>
              <w:t>Mbeya</w:t>
            </w:r>
          </w:p>
        </w:tc>
        <w:tc>
          <w:tcPr>
            <w:tcW w:w="910" w:type="dxa"/>
            <w:tcBorders>
              <w:top w:val="nil"/>
              <w:left w:val="nil"/>
              <w:bottom w:val="nil"/>
              <w:right w:val="nil"/>
            </w:tcBorders>
            <w:shd w:val="clear" w:color="auto" w:fill="auto"/>
            <w:noWrap/>
            <w:vAlign w:val="bottom"/>
            <w:hideMark/>
          </w:tcPr>
          <w:p w14:paraId="3F7057E7"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18.4</w:t>
            </w:r>
          </w:p>
        </w:tc>
        <w:tc>
          <w:tcPr>
            <w:tcW w:w="1644" w:type="dxa"/>
            <w:tcBorders>
              <w:top w:val="nil"/>
              <w:left w:val="nil"/>
              <w:bottom w:val="nil"/>
              <w:right w:val="nil"/>
            </w:tcBorders>
            <w:shd w:val="clear" w:color="auto" w:fill="auto"/>
            <w:noWrap/>
            <w:vAlign w:val="bottom"/>
            <w:hideMark/>
          </w:tcPr>
          <w:p w14:paraId="53E8FD8D"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68.1</w:t>
            </w:r>
          </w:p>
        </w:tc>
        <w:tc>
          <w:tcPr>
            <w:tcW w:w="1872" w:type="dxa"/>
            <w:tcBorders>
              <w:top w:val="nil"/>
              <w:left w:val="nil"/>
              <w:bottom w:val="nil"/>
              <w:right w:val="nil"/>
            </w:tcBorders>
            <w:shd w:val="clear" w:color="auto" w:fill="auto"/>
            <w:noWrap/>
            <w:vAlign w:val="bottom"/>
            <w:hideMark/>
          </w:tcPr>
          <w:p w14:paraId="2C53F2C0"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36.9</w:t>
            </w:r>
          </w:p>
        </w:tc>
        <w:tc>
          <w:tcPr>
            <w:tcW w:w="870" w:type="dxa"/>
            <w:tcBorders>
              <w:top w:val="nil"/>
              <w:left w:val="nil"/>
              <w:bottom w:val="nil"/>
              <w:right w:val="nil"/>
            </w:tcBorders>
            <w:shd w:val="clear" w:color="auto" w:fill="auto"/>
            <w:noWrap/>
            <w:vAlign w:val="bottom"/>
            <w:hideMark/>
          </w:tcPr>
          <w:p w14:paraId="2B947223"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24.5</w:t>
            </w:r>
          </w:p>
        </w:tc>
        <w:tc>
          <w:tcPr>
            <w:tcW w:w="1650" w:type="dxa"/>
            <w:tcBorders>
              <w:top w:val="nil"/>
              <w:left w:val="nil"/>
              <w:bottom w:val="nil"/>
            </w:tcBorders>
            <w:shd w:val="clear" w:color="auto" w:fill="auto"/>
            <w:noWrap/>
            <w:vAlign w:val="bottom"/>
            <w:hideMark/>
          </w:tcPr>
          <w:p w14:paraId="78EB8001"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21.1</w:t>
            </w:r>
          </w:p>
        </w:tc>
      </w:tr>
      <w:tr w:rsidR="006B42D6" w:rsidRPr="001959ED" w14:paraId="51BD6D95" w14:textId="77777777" w:rsidTr="00A62AD1">
        <w:trPr>
          <w:trHeight w:hRule="exact" w:val="238"/>
        </w:trPr>
        <w:tc>
          <w:tcPr>
            <w:tcW w:w="1750" w:type="dxa"/>
            <w:tcBorders>
              <w:top w:val="nil"/>
              <w:bottom w:val="nil"/>
              <w:right w:val="nil"/>
            </w:tcBorders>
            <w:shd w:val="clear" w:color="auto" w:fill="auto"/>
            <w:noWrap/>
            <w:vAlign w:val="bottom"/>
            <w:hideMark/>
          </w:tcPr>
          <w:p w14:paraId="2EB8D416" w14:textId="77777777" w:rsidR="00A32971" w:rsidRPr="001959ED" w:rsidRDefault="00A32971" w:rsidP="00AF7CD1">
            <w:pPr>
              <w:pStyle w:val="NoSpacing"/>
              <w:spacing w:line="360" w:lineRule="auto"/>
              <w:jc w:val="both"/>
              <w:rPr>
                <w:rFonts w:ascii="Times New Roman" w:hAnsi="Times New Roman"/>
                <w:sz w:val="16"/>
                <w:szCs w:val="16"/>
              </w:rPr>
            </w:pPr>
            <w:r w:rsidRPr="001959ED">
              <w:rPr>
                <w:rFonts w:ascii="Times New Roman" w:hAnsi="Times New Roman"/>
                <w:sz w:val="16"/>
                <w:szCs w:val="16"/>
              </w:rPr>
              <w:t>Singida</w:t>
            </w:r>
          </w:p>
        </w:tc>
        <w:tc>
          <w:tcPr>
            <w:tcW w:w="910" w:type="dxa"/>
            <w:tcBorders>
              <w:top w:val="nil"/>
              <w:left w:val="nil"/>
              <w:bottom w:val="nil"/>
              <w:right w:val="nil"/>
            </w:tcBorders>
            <w:shd w:val="clear" w:color="auto" w:fill="auto"/>
            <w:noWrap/>
            <w:vAlign w:val="bottom"/>
            <w:hideMark/>
          </w:tcPr>
          <w:p w14:paraId="03AD118F"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7.7</w:t>
            </w:r>
          </w:p>
        </w:tc>
        <w:tc>
          <w:tcPr>
            <w:tcW w:w="1644" w:type="dxa"/>
            <w:tcBorders>
              <w:top w:val="nil"/>
              <w:left w:val="nil"/>
              <w:bottom w:val="nil"/>
              <w:right w:val="nil"/>
            </w:tcBorders>
            <w:shd w:val="clear" w:color="auto" w:fill="auto"/>
            <w:noWrap/>
            <w:vAlign w:val="bottom"/>
            <w:hideMark/>
          </w:tcPr>
          <w:p w14:paraId="21874BF4"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25.4</w:t>
            </w:r>
          </w:p>
        </w:tc>
        <w:tc>
          <w:tcPr>
            <w:tcW w:w="1872" w:type="dxa"/>
            <w:tcBorders>
              <w:top w:val="nil"/>
              <w:left w:val="nil"/>
              <w:bottom w:val="nil"/>
              <w:right w:val="nil"/>
            </w:tcBorders>
            <w:shd w:val="clear" w:color="auto" w:fill="auto"/>
            <w:noWrap/>
            <w:vAlign w:val="bottom"/>
            <w:hideMark/>
          </w:tcPr>
          <w:p w14:paraId="5E79A189"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70.0</w:t>
            </w:r>
          </w:p>
        </w:tc>
        <w:tc>
          <w:tcPr>
            <w:tcW w:w="870" w:type="dxa"/>
            <w:tcBorders>
              <w:top w:val="nil"/>
              <w:left w:val="nil"/>
              <w:bottom w:val="nil"/>
              <w:right w:val="nil"/>
            </w:tcBorders>
            <w:shd w:val="clear" w:color="auto" w:fill="auto"/>
            <w:noWrap/>
            <w:vAlign w:val="bottom"/>
            <w:hideMark/>
          </w:tcPr>
          <w:p w14:paraId="7B36F310"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12.1</w:t>
            </w:r>
          </w:p>
        </w:tc>
        <w:tc>
          <w:tcPr>
            <w:tcW w:w="1650" w:type="dxa"/>
            <w:tcBorders>
              <w:top w:val="nil"/>
              <w:left w:val="nil"/>
              <w:bottom w:val="nil"/>
            </w:tcBorders>
            <w:shd w:val="clear" w:color="auto" w:fill="auto"/>
            <w:noWrap/>
            <w:vAlign w:val="bottom"/>
            <w:hideMark/>
          </w:tcPr>
          <w:p w14:paraId="0617950B"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25.3</w:t>
            </w:r>
          </w:p>
        </w:tc>
      </w:tr>
      <w:tr w:rsidR="006B42D6" w:rsidRPr="001959ED" w14:paraId="3CDF3914" w14:textId="77777777" w:rsidTr="00A62AD1">
        <w:trPr>
          <w:trHeight w:hRule="exact" w:val="238"/>
        </w:trPr>
        <w:tc>
          <w:tcPr>
            <w:tcW w:w="1750" w:type="dxa"/>
            <w:tcBorders>
              <w:top w:val="nil"/>
              <w:bottom w:val="nil"/>
              <w:right w:val="nil"/>
            </w:tcBorders>
            <w:shd w:val="clear" w:color="auto" w:fill="auto"/>
            <w:noWrap/>
            <w:vAlign w:val="bottom"/>
            <w:hideMark/>
          </w:tcPr>
          <w:p w14:paraId="6B21DBDF" w14:textId="77777777" w:rsidR="00A32971" w:rsidRPr="001959ED" w:rsidRDefault="00A32971" w:rsidP="00AF7CD1">
            <w:pPr>
              <w:pStyle w:val="NoSpacing"/>
              <w:spacing w:line="360" w:lineRule="auto"/>
              <w:jc w:val="both"/>
              <w:rPr>
                <w:rFonts w:ascii="Times New Roman" w:hAnsi="Times New Roman"/>
                <w:sz w:val="16"/>
                <w:szCs w:val="16"/>
              </w:rPr>
            </w:pPr>
            <w:r w:rsidRPr="001959ED">
              <w:rPr>
                <w:rFonts w:ascii="Times New Roman" w:hAnsi="Times New Roman"/>
                <w:sz w:val="16"/>
                <w:szCs w:val="16"/>
              </w:rPr>
              <w:t>Tabora</w:t>
            </w:r>
          </w:p>
        </w:tc>
        <w:tc>
          <w:tcPr>
            <w:tcW w:w="910" w:type="dxa"/>
            <w:tcBorders>
              <w:top w:val="nil"/>
              <w:left w:val="nil"/>
              <w:bottom w:val="nil"/>
              <w:right w:val="nil"/>
            </w:tcBorders>
            <w:shd w:val="clear" w:color="auto" w:fill="auto"/>
            <w:noWrap/>
            <w:vAlign w:val="bottom"/>
            <w:hideMark/>
          </w:tcPr>
          <w:p w14:paraId="0CFCE5B0"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15.5</w:t>
            </w:r>
          </w:p>
        </w:tc>
        <w:tc>
          <w:tcPr>
            <w:tcW w:w="1644" w:type="dxa"/>
            <w:tcBorders>
              <w:top w:val="nil"/>
              <w:left w:val="nil"/>
              <w:bottom w:val="nil"/>
              <w:right w:val="nil"/>
            </w:tcBorders>
            <w:shd w:val="clear" w:color="auto" w:fill="auto"/>
            <w:noWrap/>
            <w:vAlign w:val="bottom"/>
            <w:hideMark/>
          </w:tcPr>
          <w:p w14:paraId="5D044529"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2.1</w:t>
            </w:r>
          </w:p>
        </w:tc>
        <w:tc>
          <w:tcPr>
            <w:tcW w:w="1872" w:type="dxa"/>
            <w:tcBorders>
              <w:top w:val="nil"/>
              <w:left w:val="nil"/>
              <w:bottom w:val="nil"/>
              <w:right w:val="nil"/>
            </w:tcBorders>
            <w:shd w:val="clear" w:color="auto" w:fill="auto"/>
            <w:noWrap/>
            <w:vAlign w:val="bottom"/>
            <w:hideMark/>
          </w:tcPr>
          <w:p w14:paraId="07DE26E4"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44.9</w:t>
            </w:r>
          </w:p>
        </w:tc>
        <w:tc>
          <w:tcPr>
            <w:tcW w:w="870" w:type="dxa"/>
            <w:tcBorders>
              <w:top w:val="nil"/>
              <w:left w:val="nil"/>
              <w:bottom w:val="nil"/>
              <w:right w:val="nil"/>
            </w:tcBorders>
            <w:shd w:val="clear" w:color="auto" w:fill="auto"/>
            <w:noWrap/>
            <w:vAlign w:val="bottom"/>
            <w:hideMark/>
          </w:tcPr>
          <w:p w14:paraId="7086A901"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3.1</w:t>
            </w:r>
          </w:p>
        </w:tc>
        <w:tc>
          <w:tcPr>
            <w:tcW w:w="1650" w:type="dxa"/>
            <w:tcBorders>
              <w:top w:val="nil"/>
              <w:left w:val="nil"/>
              <w:bottom w:val="nil"/>
            </w:tcBorders>
            <w:shd w:val="clear" w:color="auto" w:fill="auto"/>
            <w:noWrap/>
            <w:vAlign w:val="bottom"/>
            <w:hideMark/>
          </w:tcPr>
          <w:p w14:paraId="790E83B2"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13.3</w:t>
            </w:r>
          </w:p>
        </w:tc>
      </w:tr>
      <w:tr w:rsidR="006B42D6" w:rsidRPr="001959ED" w14:paraId="7D75BBFE" w14:textId="77777777" w:rsidTr="00A62AD1">
        <w:trPr>
          <w:trHeight w:hRule="exact" w:val="238"/>
        </w:trPr>
        <w:tc>
          <w:tcPr>
            <w:tcW w:w="1750" w:type="dxa"/>
            <w:tcBorders>
              <w:top w:val="nil"/>
              <w:bottom w:val="nil"/>
              <w:right w:val="nil"/>
            </w:tcBorders>
            <w:shd w:val="clear" w:color="auto" w:fill="auto"/>
            <w:noWrap/>
            <w:vAlign w:val="bottom"/>
            <w:hideMark/>
          </w:tcPr>
          <w:p w14:paraId="5A9D8004" w14:textId="77777777" w:rsidR="00A32971" w:rsidRPr="001959ED" w:rsidRDefault="00A32971" w:rsidP="00AF7CD1">
            <w:pPr>
              <w:pStyle w:val="NoSpacing"/>
              <w:spacing w:line="360" w:lineRule="auto"/>
              <w:jc w:val="both"/>
              <w:rPr>
                <w:rFonts w:ascii="Times New Roman" w:hAnsi="Times New Roman"/>
                <w:sz w:val="16"/>
                <w:szCs w:val="16"/>
              </w:rPr>
            </w:pPr>
            <w:r w:rsidRPr="001959ED">
              <w:rPr>
                <w:rFonts w:ascii="Times New Roman" w:hAnsi="Times New Roman"/>
                <w:sz w:val="16"/>
                <w:szCs w:val="16"/>
              </w:rPr>
              <w:t>Rukwa</w:t>
            </w:r>
          </w:p>
        </w:tc>
        <w:tc>
          <w:tcPr>
            <w:tcW w:w="910" w:type="dxa"/>
            <w:tcBorders>
              <w:top w:val="nil"/>
              <w:left w:val="nil"/>
              <w:bottom w:val="nil"/>
              <w:right w:val="nil"/>
            </w:tcBorders>
            <w:shd w:val="clear" w:color="auto" w:fill="auto"/>
            <w:noWrap/>
            <w:vAlign w:val="bottom"/>
            <w:hideMark/>
          </w:tcPr>
          <w:p w14:paraId="67450BCB"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29.9</w:t>
            </w:r>
          </w:p>
        </w:tc>
        <w:tc>
          <w:tcPr>
            <w:tcW w:w="1644" w:type="dxa"/>
            <w:tcBorders>
              <w:top w:val="nil"/>
              <w:left w:val="nil"/>
              <w:bottom w:val="nil"/>
              <w:right w:val="nil"/>
            </w:tcBorders>
            <w:shd w:val="clear" w:color="auto" w:fill="auto"/>
            <w:noWrap/>
            <w:vAlign w:val="bottom"/>
            <w:hideMark/>
          </w:tcPr>
          <w:p w14:paraId="5EE24BA0"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12.2</w:t>
            </w:r>
          </w:p>
        </w:tc>
        <w:tc>
          <w:tcPr>
            <w:tcW w:w="1872" w:type="dxa"/>
            <w:tcBorders>
              <w:top w:val="nil"/>
              <w:left w:val="nil"/>
              <w:bottom w:val="nil"/>
              <w:right w:val="nil"/>
            </w:tcBorders>
            <w:shd w:val="clear" w:color="auto" w:fill="auto"/>
            <w:noWrap/>
            <w:vAlign w:val="bottom"/>
            <w:hideMark/>
          </w:tcPr>
          <w:p w14:paraId="2A7C3402"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59.5</w:t>
            </w:r>
          </w:p>
        </w:tc>
        <w:tc>
          <w:tcPr>
            <w:tcW w:w="870" w:type="dxa"/>
            <w:tcBorders>
              <w:top w:val="nil"/>
              <w:left w:val="nil"/>
              <w:bottom w:val="nil"/>
              <w:right w:val="nil"/>
            </w:tcBorders>
            <w:shd w:val="clear" w:color="auto" w:fill="auto"/>
            <w:noWrap/>
            <w:vAlign w:val="bottom"/>
            <w:hideMark/>
          </w:tcPr>
          <w:p w14:paraId="79E4065E"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36.1</w:t>
            </w:r>
          </w:p>
        </w:tc>
        <w:tc>
          <w:tcPr>
            <w:tcW w:w="1650" w:type="dxa"/>
            <w:tcBorders>
              <w:top w:val="nil"/>
              <w:left w:val="nil"/>
              <w:bottom w:val="nil"/>
            </w:tcBorders>
            <w:shd w:val="clear" w:color="auto" w:fill="auto"/>
            <w:noWrap/>
            <w:vAlign w:val="bottom"/>
            <w:hideMark/>
          </w:tcPr>
          <w:p w14:paraId="3BD53597"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23.4</w:t>
            </w:r>
          </w:p>
        </w:tc>
      </w:tr>
      <w:tr w:rsidR="006B42D6" w:rsidRPr="001959ED" w14:paraId="18285AEC" w14:textId="77777777" w:rsidTr="00A62AD1">
        <w:trPr>
          <w:trHeight w:hRule="exact" w:val="238"/>
        </w:trPr>
        <w:tc>
          <w:tcPr>
            <w:tcW w:w="1750" w:type="dxa"/>
            <w:tcBorders>
              <w:top w:val="nil"/>
              <w:bottom w:val="nil"/>
              <w:right w:val="nil"/>
            </w:tcBorders>
            <w:shd w:val="clear" w:color="auto" w:fill="auto"/>
            <w:noWrap/>
            <w:vAlign w:val="bottom"/>
            <w:hideMark/>
          </w:tcPr>
          <w:p w14:paraId="28B9ECD2" w14:textId="77777777" w:rsidR="00A32971" w:rsidRPr="001959ED" w:rsidRDefault="00A32971" w:rsidP="00AF7CD1">
            <w:pPr>
              <w:pStyle w:val="NoSpacing"/>
              <w:spacing w:line="360" w:lineRule="auto"/>
              <w:jc w:val="both"/>
              <w:rPr>
                <w:rFonts w:ascii="Times New Roman" w:hAnsi="Times New Roman"/>
                <w:sz w:val="16"/>
                <w:szCs w:val="16"/>
              </w:rPr>
            </w:pPr>
            <w:r w:rsidRPr="001959ED">
              <w:rPr>
                <w:rFonts w:ascii="Times New Roman" w:hAnsi="Times New Roman"/>
                <w:sz w:val="16"/>
                <w:szCs w:val="16"/>
              </w:rPr>
              <w:t>Kigoma</w:t>
            </w:r>
          </w:p>
        </w:tc>
        <w:tc>
          <w:tcPr>
            <w:tcW w:w="910" w:type="dxa"/>
            <w:tcBorders>
              <w:top w:val="nil"/>
              <w:left w:val="nil"/>
              <w:bottom w:val="nil"/>
              <w:right w:val="nil"/>
            </w:tcBorders>
            <w:shd w:val="clear" w:color="auto" w:fill="auto"/>
            <w:noWrap/>
            <w:vAlign w:val="bottom"/>
            <w:hideMark/>
          </w:tcPr>
          <w:p w14:paraId="7FBEFD57"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20.3</w:t>
            </w:r>
          </w:p>
        </w:tc>
        <w:tc>
          <w:tcPr>
            <w:tcW w:w="1644" w:type="dxa"/>
            <w:tcBorders>
              <w:top w:val="nil"/>
              <w:left w:val="nil"/>
              <w:bottom w:val="nil"/>
              <w:right w:val="nil"/>
            </w:tcBorders>
            <w:shd w:val="clear" w:color="auto" w:fill="auto"/>
            <w:noWrap/>
            <w:vAlign w:val="bottom"/>
            <w:hideMark/>
          </w:tcPr>
          <w:p w14:paraId="5D09F6A1"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16.7</w:t>
            </w:r>
          </w:p>
        </w:tc>
        <w:tc>
          <w:tcPr>
            <w:tcW w:w="1872" w:type="dxa"/>
            <w:tcBorders>
              <w:top w:val="nil"/>
              <w:left w:val="nil"/>
              <w:bottom w:val="nil"/>
              <w:right w:val="nil"/>
            </w:tcBorders>
            <w:shd w:val="clear" w:color="auto" w:fill="auto"/>
            <w:noWrap/>
            <w:vAlign w:val="bottom"/>
            <w:hideMark/>
          </w:tcPr>
          <w:p w14:paraId="62475A6C"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50.8</w:t>
            </w:r>
          </w:p>
        </w:tc>
        <w:tc>
          <w:tcPr>
            <w:tcW w:w="870" w:type="dxa"/>
            <w:tcBorders>
              <w:top w:val="nil"/>
              <w:left w:val="nil"/>
              <w:bottom w:val="nil"/>
              <w:right w:val="nil"/>
            </w:tcBorders>
            <w:shd w:val="clear" w:color="auto" w:fill="auto"/>
            <w:noWrap/>
            <w:vAlign w:val="bottom"/>
            <w:hideMark/>
          </w:tcPr>
          <w:p w14:paraId="6664DC90"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20.9</w:t>
            </w:r>
          </w:p>
        </w:tc>
        <w:tc>
          <w:tcPr>
            <w:tcW w:w="1650" w:type="dxa"/>
            <w:tcBorders>
              <w:top w:val="nil"/>
              <w:left w:val="nil"/>
              <w:bottom w:val="nil"/>
            </w:tcBorders>
            <w:shd w:val="clear" w:color="auto" w:fill="auto"/>
            <w:noWrap/>
            <w:vAlign w:val="bottom"/>
            <w:hideMark/>
          </w:tcPr>
          <w:p w14:paraId="466E7FC4"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21.1</w:t>
            </w:r>
          </w:p>
        </w:tc>
      </w:tr>
      <w:tr w:rsidR="006B42D6" w:rsidRPr="001959ED" w14:paraId="2C3BFD9D" w14:textId="77777777" w:rsidTr="00A62AD1">
        <w:trPr>
          <w:trHeight w:hRule="exact" w:val="238"/>
        </w:trPr>
        <w:tc>
          <w:tcPr>
            <w:tcW w:w="1750" w:type="dxa"/>
            <w:tcBorders>
              <w:top w:val="nil"/>
              <w:bottom w:val="nil"/>
              <w:right w:val="nil"/>
            </w:tcBorders>
            <w:shd w:val="clear" w:color="auto" w:fill="auto"/>
            <w:noWrap/>
            <w:vAlign w:val="bottom"/>
            <w:hideMark/>
          </w:tcPr>
          <w:p w14:paraId="5F34C59B" w14:textId="77777777" w:rsidR="00A32971" w:rsidRPr="001959ED" w:rsidRDefault="00A32971" w:rsidP="00AF7CD1">
            <w:pPr>
              <w:pStyle w:val="NoSpacing"/>
              <w:spacing w:line="360" w:lineRule="auto"/>
              <w:jc w:val="both"/>
              <w:rPr>
                <w:rFonts w:ascii="Times New Roman" w:hAnsi="Times New Roman"/>
                <w:sz w:val="16"/>
                <w:szCs w:val="16"/>
              </w:rPr>
            </w:pPr>
            <w:r w:rsidRPr="001959ED">
              <w:rPr>
                <w:rFonts w:ascii="Times New Roman" w:hAnsi="Times New Roman"/>
                <w:sz w:val="16"/>
                <w:szCs w:val="16"/>
              </w:rPr>
              <w:t>Shinyanga</w:t>
            </w:r>
          </w:p>
        </w:tc>
        <w:tc>
          <w:tcPr>
            <w:tcW w:w="910" w:type="dxa"/>
            <w:tcBorders>
              <w:top w:val="nil"/>
              <w:left w:val="nil"/>
              <w:bottom w:val="nil"/>
              <w:right w:val="nil"/>
            </w:tcBorders>
            <w:shd w:val="clear" w:color="auto" w:fill="auto"/>
            <w:noWrap/>
            <w:vAlign w:val="bottom"/>
            <w:hideMark/>
          </w:tcPr>
          <w:p w14:paraId="068DBC28"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16.8</w:t>
            </w:r>
          </w:p>
        </w:tc>
        <w:tc>
          <w:tcPr>
            <w:tcW w:w="1644" w:type="dxa"/>
            <w:tcBorders>
              <w:top w:val="nil"/>
              <w:left w:val="nil"/>
              <w:bottom w:val="nil"/>
              <w:right w:val="nil"/>
            </w:tcBorders>
            <w:shd w:val="clear" w:color="auto" w:fill="auto"/>
            <w:noWrap/>
            <w:vAlign w:val="bottom"/>
            <w:hideMark/>
          </w:tcPr>
          <w:p w14:paraId="0677ECC7"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1.3</w:t>
            </w:r>
          </w:p>
        </w:tc>
        <w:tc>
          <w:tcPr>
            <w:tcW w:w="1872" w:type="dxa"/>
            <w:tcBorders>
              <w:top w:val="nil"/>
              <w:left w:val="nil"/>
              <w:bottom w:val="nil"/>
              <w:right w:val="nil"/>
            </w:tcBorders>
            <w:shd w:val="clear" w:color="auto" w:fill="auto"/>
            <w:noWrap/>
            <w:vAlign w:val="bottom"/>
            <w:hideMark/>
          </w:tcPr>
          <w:p w14:paraId="41C34225"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36.7</w:t>
            </w:r>
          </w:p>
        </w:tc>
        <w:tc>
          <w:tcPr>
            <w:tcW w:w="870" w:type="dxa"/>
            <w:tcBorders>
              <w:top w:val="nil"/>
              <w:left w:val="nil"/>
              <w:bottom w:val="nil"/>
              <w:right w:val="nil"/>
            </w:tcBorders>
            <w:shd w:val="clear" w:color="auto" w:fill="auto"/>
            <w:noWrap/>
            <w:vAlign w:val="bottom"/>
            <w:hideMark/>
          </w:tcPr>
          <w:p w14:paraId="7ACD5397"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6.6</w:t>
            </w:r>
          </w:p>
        </w:tc>
        <w:tc>
          <w:tcPr>
            <w:tcW w:w="1650" w:type="dxa"/>
            <w:tcBorders>
              <w:top w:val="nil"/>
              <w:left w:val="nil"/>
              <w:bottom w:val="nil"/>
            </w:tcBorders>
            <w:shd w:val="clear" w:color="auto" w:fill="auto"/>
            <w:noWrap/>
            <w:vAlign w:val="bottom"/>
            <w:hideMark/>
          </w:tcPr>
          <w:p w14:paraId="320CB301"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6.1</w:t>
            </w:r>
          </w:p>
        </w:tc>
      </w:tr>
      <w:tr w:rsidR="006B42D6" w:rsidRPr="001959ED" w14:paraId="67451A41" w14:textId="77777777" w:rsidTr="00A62AD1">
        <w:trPr>
          <w:trHeight w:hRule="exact" w:val="238"/>
        </w:trPr>
        <w:tc>
          <w:tcPr>
            <w:tcW w:w="1750" w:type="dxa"/>
            <w:tcBorders>
              <w:top w:val="nil"/>
              <w:bottom w:val="nil"/>
              <w:right w:val="nil"/>
            </w:tcBorders>
            <w:shd w:val="clear" w:color="auto" w:fill="auto"/>
            <w:noWrap/>
            <w:vAlign w:val="bottom"/>
            <w:hideMark/>
          </w:tcPr>
          <w:p w14:paraId="147D381F" w14:textId="77777777" w:rsidR="00A32971" w:rsidRPr="001959ED" w:rsidRDefault="00A32971" w:rsidP="00AF7CD1">
            <w:pPr>
              <w:pStyle w:val="NoSpacing"/>
              <w:spacing w:line="360" w:lineRule="auto"/>
              <w:jc w:val="both"/>
              <w:rPr>
                <w:rFonts w:ascii="Times New Roman" w:hAnsi="Times New Roman"/>
                <w:sz w:val="16"/>
                <w:szCs w:val="16"/>
              </w:rPr>
            </w:pPr>
            <w:r w:rsidRPr="001959ED">
              <w:rPr>
                <w:rFonts w:ascii="Times New Roman" w:hAnsi="Times New Roman"/>
                <w:sz w:val="16"/>
                <w:szCs w:val="16"/>
              </w:rPr>
              <w:t>Kagera</w:t>
            </w:r>
          </w:p>
        </w:tc>
        <w:tc>
          <w:tcPr>
            <w:tcW w:w="910" w:type="dxa"/>
            <w:tcBorders>
              <w:top w:val="nil"/>
              <w:left w:val="nil"/>
              <w:bottom w:val="nil"/>
              <w:right w:val="nil"/>
            </w:tcBorders>
            <w:shd w:val="clear" w:color="auto" w:fill="auto"/>
            <w:noWrap/>
            <w:vAlign w:val="bottom"/>
            <w:hideMark/>
          </w:tcPr>
          <w:p w14:paraId="22DEA6B3"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30.4</w:t>
            </w:r>
          </w:p>
        </w:tc>
        <w:tc>
          <w:tcPr>
            <w:tcW w:w="1644" w:type="dxa"/>
            <w:tcBorders>
              <w:top w:val="nil"/>
              <w:left w:val="nil"/>
              <w:bottom w:val="nil"/>
              <w:right w:val="nil"/>
            </w:tcBorders>
            <w:shd w:val="clear" w:color="auto" w:fill="auto"/>
            <w:noWrap/>
            <w:vAlign w:val="bottom"/>
            <w:hideMark/>
          </w:tcPr>
          <w:p w14:paraId="52ADE5A9"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8.4</w:t>
            </w:r>
          </w:p>
        </w:tc>
        <w:tc>
          <w:tcPr>
            <w:tcW w:w="1872" w:type="dxa"/>
            <w:tcBorders>
              <w:top w:val="nil"/>
              <w:left w:val="nil"/>
              <w:bottom w:val="nil"/>
              <w:right w:val="nil"/>
            </w:tcBorders>
            <w:shd w:val="clear" w:color="auto" w:fill="auto"/>
            <w:noWrap/>
            <w:vAlign w:val="bottom"/>
            <w:hideMark/>
          </w:tcPr>
          <w:p w14:paraId="74506CEB"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57.2</w:t>
            </w:r>
          </w:p>
        </w:tc>
        <w:tc>
          <w:tcPr>
            <w:tcW w:w="870" w:type="dxa"/>
            <w:tcBorders>
              <w:top w:val="nil"/>
              <w:left w:val="nil"/>
              <w:bottom w:val="nil"/>
              <w:right w:val="nil"/>
            </w:tcBorders>
            <w:shd w:val="clear" w:color="auto" w:fill="auto"/>
            <w:noWrap/>
            <w:vAlign w:val="bottom"/>
            <w:hideMark/>
          </w:tcPr>
          <w:p w14:paraId="4C6F5C1F"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21.8</w:t>
            </w:r>
          </w:p>
        </w:tc>
        <w:tc>
          <w:tcPr>
            <w:tcW w:w="1650" w:type="dxa"/>
            <w:tcBorders>
              <w:top w:val="nil"/>
              <w:left w:val="nil"/>
              <w:bottom w:val="nil"/>
            </w:tcBorders>
            <w:shd w:val="clear" w:color="auto" w:fill="auto"/>
            <w:noWrap/>
            <w:vAlign w:val="bottom"/>
            <w:hideMark/>
          </w:tcPr>
          <w:p w14:paraId="672DE8B3"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10.3</w:t>
            </w:r>
          </w:p>
        </w:tc>
      </w:tr>
      <w:tr w:rsidR="006B42D6" w:rsidRPr="001959ED" w14:paraId="66B9B61D" w14:textId="77777777" w:rsidTr="00A62AD1">
        <w:trPr>
          <w:trHeight w:hRule="exact" w:val="238"/>
        </w:trPr>
        <w:tc>
          <w:tcPr>
            <w:tcW w:w="1750" w:type="dxa"/>
            <w:tcBorders>
              <w:top w:val="nil"/>
              <w:bottom w:val="nil"/>
              <w:right w:val="nil"/>
            </w:tcBorders>
            <w:shd w:val="clear" w:color="auto" w:fill="auto"/>
            <w:noWrap/>
            <w:vAlign w:val="bottom"/>
            <w:hideMark/>
          </w:tcPr>
          <w:p w14:paraId="610D19C9" w14:textId="77777777" w:rsidR="00A32971" w:rsidRPr="001959ED" w:rsidRDefault="00A32971" w:rsidP="00AF7CD1">
            <w:pPr>
              <w:pStyle w:val="NoSpacing"/>
              <w:spacing w:line="360" w:lineRule="auto"/>
              <w:jc w:val="both"/>
              <w:rPr>
                <w:rFonts w:ascii="Times New Roman" w:hAnsi="Times New Roman"/>
                <w:sz w:val="16"/>
                <w:szCs w:val="16"/>
              </w:rPr>
            </w:pPr>
            <w:r w:rsidRPr="001959ED">
              <w:rPr>
                <w:rFonts w:ascii="Times New Roman" w:hAnsi="Times New Roman"/>
                <w:sz w:val="16"/>
                <w:szCs w:val="16"/>
              </w:rPr>
              <w:t>Mwanza</w:t>
            </w:r>
          </w:p>
        </w:tc>
        <w:tc>
          <w:tcPr>
            <w:tcW w:w="910" w:type="dxa"/>
            <w:tcBorders>
              <w:top w:val="nil"/>
              <w:left w:val="nil"/>
              <w:bottom w:val="nil"/>
              <w:right w:val="nil"/>
            </w:tcBorders>
            <w:shd w:val="clear" w:color="auto" w:fill="auto"/>
            <w:noWrap/>
            <w:vAlign w:val="bottom"/>
            <w:hideMark/>
          </w:tcPr>
          <w:p w14:paraId="4EA31C9E"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14.1</w:t>
            </w:r>
          </w:p>
        </w:tc>
        <w:tc>
          <w:tcPr>
            <w:tcW w:w="1644" w:type="dxa"/>
            <w:tcBorders>
              <w:top w:val="nil"/>
              <w:left w:val="nil"/>
              <w:bottom w:val="nil"/>
              <w:right w:val="nil"/>
            </w:tcBorders>
            <w:shd w:val="clear" w:color="auto" w:fill="auto"/>
            <w:noWrap/>
            <w:vAlign w:val="bottom"/>
            <w:hideMark/>
          </w:tcPr>
          <w:p w14:paraId="628DC91D"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2.5</w:t>
            </w:r>
          </w:p>
        </w:tc>
        <w:tc>
          <w:tcPr>
            <w:tcW w:w="1872" w:type="dxa"/>
            <w:tcBorders>
              <w:top w:val="nil"/>
              <w:left w:val="nil"/>
              <w:bottom w:val="nil"/>
              <w:right w:val="nil"/>
            </w:tcBorders>
            <w:shd w:val="clear" w:color="auto" w:fill="auto"/>
            <w:noWrap/>
            <w:vAlign w:val="bottom"/>
            <w:hideMark/>
          </w:tcPr>
          <w:p w14:paraId="74695711"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51.2</w:t>
            </w:r>
          </w:p>
        </w:tc>
        <w:tc>
          <w:tcPr>
            <w:tcW w:w="870" w:type="dxa"/>
            <w:tcBorders>
              <w:top w:val="nil"/>
              <w:left w:val="nil"/>
              <w:bottom w:val="nil"/>
              <w:right w:val="nil"/>
            </w:tcBorders>
            <w:shd w:val="clear" w:color="auto" w:fill="auto"/>
            <w:noWrap/>
            <w:vAlign w:val="bottom"/>
            <w:hideMark/>
          </w:tcPr>
          <w:p w14:paraId="083E18D9"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13.0</w:t>
            </w:r>
          </w:p>
        </w:tc>
        <w:tc>
          <w:tcPr>
            <w:tcW w:w="1650" w:type="dxa"/>
            <w:tcBorders>
              <w:top w:val="nil"/>
              <w:left w:val="nil"/>
              <w:bottom w:val="nil"/>
            </w:tcBorders>
            <w:shd w:val="clear" w:color="auto" w:fill="auto"/>
            <w:noWrap/>
            <w:vAlign w:val="bottom"/>
            <w:hideMark/>
          </w:tcPr>
          <w:p w14:paraId="514BDF13"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3.4</w:t>
            </w:r>
          </w:p>
        </w:tc>
      </w:tr>
      <w:tr w:rsidR="006B42D6" w:rsidRPr="001959ED" w14:paraId="67D1C758" w14:textId="77777777" w:rsidTr="00A62AD1">
        <w:trPr>
          <w:trHeight w:hRule="exact" w:val="238"/>
        </w:trPr>
        <w:tc>
          <w:tcPr>
            <w:tcW w:w="1750" w:type="dxa"/>
            <w:tcBorders>
              <w:top w:val="nil"/>
              <w:bottom w:val="nil"/>
              <w:right w:val="nil"/>
            </w:tcBorders>
            <w:shd w:val="clear" w:color="auto" w:fill="auto"/>
            <w:noWrap/>
            <w:vAlign w:val="bottom"/>
            <w:hideMark/>
          </w:tcPr>
          <w:p w14:paraId="7D8C6B0C" w14:textId="77777777" w:rsidR="00A32971" w:rsidRPr="001959ED" w:rsidRDefault="00A32971" w:rsidP="00AF7CD1">
            <w:pPr>
              <w:pStyle w:val="NoSpacing"/>
              <w:spacing w:line="360" w:lineRule="auto"/>
              <w:jc w:val="both"/>
              <w:rPr>
                <w:rFonts w:ascii="Times New Roman" w:hAnsi="Times New Roman"/>
                <w:sz w:val="16"/>
                <w:szCs w:val="16"/>
              </w:rPr>
            </w:pPr>
            <w:r w:rsidRPr="001959ED">
              <w:rPr>
                <w:rFonts w:ascii="Times New Roman" w:hAnsi="Times New Roman"/>
                <w:sz w:val="16"/>
                <w:szCs w:val="16"/>
              </w:rPr>
              <w:t>Mara</w:t>
            </w:r>
          </w:p>
        </w:tc>
        <w:tc>
          <w:tcPr>
            <w:tcW w:w="910" w:type="dxa"/>
            <w:tcBorders>
              <w:top w:val="nil"/>
              <w:left w:val="nil"/>
              <w:bottom w:val="nil"/>
              <w:right w:val="nil"/>
            </w:tcBorders>
            <w:shd w:val="clear" w:color="auto" w:fill="auto"/>
            <w:noWrap/>
            <w:vAlign w:val="bottom"/>
            <w:hideMark/>
          </w:tcPr>
          <w:p w14:paraId="0EF39683"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16.8</w:t>
            </w:r>
          </w:p>
        </w:tc>
        <w:tc>
          <w:tcPr>
            <w:tcW w:w="1644" w:type="dxa"/>
            <w:tcBorders>
              <w:top w:val="nil"/>
              <w:left w:val="nil"/>
              <w:bottom w:val="nil"/>
              <w:right w:val="nil"/>
            </w:tcBorders>
            <w:shd w:val="clear" w:color="auto" w:fill="auto"/>
            <w:noWrap/>
            <w:vAlign w:val="bottom"/>
            <w:hideMark/>
          </w:tcPr>
          <w:p w14:paraId="31E1C97A"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4.4</w:t>
            </w:r>
          </w:p>
        </w:tc>
        <w:tc>
          <w:tcPr>
            <w:tcW w:w="1872" w:type="dxa"/>
            <w:tcBorders>
              <w:top w:val="nil"/>
              <w:left w:val="nil"/>
              <w:bottom w:val="nil"/>
              <w:right w:val="nil"/>
            </w:tcBorders>
            <w:shd w:val="clear" w:color="auto" w:fill="auto"/>
            <w:noWrap/>
            <w:vAlign w:val="bottom"/>
            <w:hideMark/>
          </w:tcPr>
          <w:p w14:paraId="3DFB1567"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77.7</w:t>
            </w:r>
          </w:p>
        </w:tc>
        <w:tc>
          <w:tcPr>
            <w:tcW w:w="870" w:type="dxa"/>
            <w:tcBorders>
              <w:top w:val="nil"/>
              <w:left w:val="nil"/>
              <w:bottom w:val="nil"/>
              <w:right w:val="nil"/>
            </w:tcBorders>
            <w:shd w:val="clear" w:color="auto" w:fill="auto"/>
            <w:noWrap/>
            <w:vAlign w:val="bottom"/>
            <w:hideMark/>
          </w:tcPr>
          <w:p w14:paraId="6470E037"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27.2</w:t>
            </w:r>
          </w:p>
        </w:tc>
        <w:tc>
          <w:tcPr>
            <w:tcW w:w="1650" w:type="dxa"/>
            <w:tcBorders>
              <w:top w:val="nil"/>
              <w:left w:val="nil"/>
              <w:bottom w:val="nil"/>
            </w:tcBorders>
            <w:shd w:val="clear" w:color="auto" w:fill="auto"/>
            <w:noWrap/>
            <w:vAlign w:val="bottom"/>
            <w:hideMark/>
          </w:tcPr>
          <w:p w14:paraId="595688FA"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29.3</w:t>
            </w:r>
          </w:p>
        </w:tc>
      </w:tr>
      <w:tr w:rsidR="006B42D6" w:rsidRPr="001959ED" w14:paraId="7A41B690" w14:textId="77777777" w:rsidTr="00A62AD1">
        <w:trPr>
          <w:trHeight w:hRule="exact" w:val="238"/>
        </w:trPr>
        <w:tc>
          <w:tcPr>
            <w:tcW w:w="1750" w:type="dxa"/>
            <w:tcBorders>
              <w:top w:val="nil"/>
              <w:bottom w:val="nil"/>
              <w:right w:val="nil"/>
            </w:tcBorders>
            <w:shd w:val="clear" w:color="auto" w:fill="auto"/>
            <w:noWrap/>
            <w:vAlign w:val="bottom"/>
            <w:hideMark/>
          </w:tcPr>
          <w:p w14:paraId="75D963B7" w14:textId="77777777" w:rsidR="00A32971" w:rsidRPr="001959ED" w:rsidRDefault="00A32971" w:rsidP="00AF7CD1">
            <w:pPr>
              <w:pStyle w:val="NoSpacing"/>
              <w:spacing w:line="360" w:lineRule="auto"/>
              <w:jc w:val="both"/>
              <w:rPr>
                <w:rFonts w:ascii="Times New Roman" w:hAnsi="Times New Roman"/>
                <w:sz w:val="16"/>
                <w:szCs w:val="16"/>
              </w:rPr>
            </w:pPr>
            <w:r w:rsidRPr="001959ED">
              <w:rPr>
                <w:rFonts w:ascii="Times New Roman" w:hAnsi="Times New Roman"/>
                <w:sz w:val="16"/>
                <w:szCs w:val="16"/>
              </w:rPr>
              <w:t>Manyara</w:t>
            </w:r>
          </w:p>
        </w:tc>
        <w:tc>
          <w:tcPr>
            <w:tcW w:w="910" w:type="dxa"/>
            <w:tcBorders>
              <w:top w:val="nil"/>
              <w:left w:val="nil"/>
              <w:bottom w:val="nil"/>
              <w:right w:val="nil"/>
            </w:tcBorders>
            <w:shd w:val="clear" w:color="auto" w:fill="auto"/>
            <w:noWrap/>
            <w:vAlign w:val="bottom"/>
            <w:hideMark/>
          </w:tcPr>
          <w:p w14:paraId="2FD36123"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11.0</w:t>
            </w:r>
          </w:p>
        </w:tc>
        <w:tc>
          <w:tcPr>
            <w:tcW w:w="1644" w:type="dxa"/>
            <w:tcBorders>
              <w:top w:val="nil"/>
              <w:left w:val="nil"/>
              <w:bottom w:val="nil"/>
              <w:right w:val="nil"/>
            </w:tcBorders>
            <w:shd w:val="clear" w:color="auto" w:fill="auto"/>
            <w:noWrap/>
            <w:vAlign w:val="bottom"/>
            <w:hideMark/>
          </w:tcPr>
          <w:p w14:paraId="5B4246B7"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66.9</w:t>
            </w:r>
          </w:p>
        </w:tc>
        <w:tc>
          <w:tcPr>
            <w:tcW w:w="1872" w:type="dxa"/>
            <w:tcBorders>
              <w:top w:val="nil"/>
              <w:left w:val="nil"/>
              <w:bottom w:val="nil"/>
              <w:right w:val="nil"/>
            </w:tcBorders>
            <w:shd w:val="clear" w:color="auto" w:fill="auto"/>
            <w:noWrap/>
            <w:vAlign w:val="bottom"/>
            <w:hideMark/>
          </w:tcPr>
          <w:p w14:paraId="189FD3DE"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70.2</w:t>
            </w:r>
          </w:p>
        </w:tc>
        <w:tc>
          <w:tcPr>
            <w:tcW w:w="870" w:type="dxa"/>
            <w:tcBorders>
              <w:top w:val="nil"/>
              <w:left w:val="nil"/>
              <w:bottom w:val="nil"/>
              <w:right w:val="nil"/>
            </w:tcBorders>
            <w:shd w:val="clear" w:color="auto" w:fill="auto"/>
            <w:noWrap/>
            <w:vAlign w:val="bottom"/>
            <w:hideMark/>
          </w:tcPr>
          <w:p w14:paraId="468FA904"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17.3</w:t>
            </w:r>
          </w:p>
        </w:tc>
        <w:tc>
          <w:tcPr>
            <w:tcW w:w="1650" w:type="dxa"/>
            <w:tcBorders>
              <w:top w:val="nil"/>
              <w:left w:val="nil"/>
              <w:bottom w:val="nil"/>
            </w:tcBorders>
            <w:shd w:val="clear" w:color="auto" w:fill="auto"/>
            <w:noWrap/>
            <w:vAlign w:val="bottom"/>
            <w:hideMark/>
          </w:tcPr>
          <w:p w14:paraId="1053CF3B"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10.0</w:t>
            </w:r>
          </w:p>
        </w:tc>
      </w:tr>
      <w:tr w:rsidR="006B42D6" w:rsidRPr="001959ED" w14:paraId="346F760E" w14:textId="77777777" w:rsidTr="00A62AD1">
        <w:trPr>
          <w:trHeight w:hRule="exact" w:val="238"/>
        </w:trPr>
        <w:tc>
          <w:tcPr>
            <w:tcW w:w="1750" w:type="dxa"/>
            <w:tcBorders>
              <w:top w:val="nil"/>
              <w:bottom w:val="nil"/>
              <w:right w:val="nil"/>
            </w:tcBorders>
            <w:shd w:val="clear" w:color="auto" w:fill="auto"/>
            <w:noWrap/>
            <w:vAlign w:val="bottom"/>
            <w:hideMark/>
          </w:tcPr>
          <w:p w14:paraId="4605B1FE" w14:textId="77777777" w:rsidR="00A32971" w:rsidRPr="001959ED" w:rsidRDefault="00A32971" w:rsidP="00AF7CD1">
            <w:pPr>
              <w:pStyle w:val="NoSpacing"/>
              <w:spacing w:line="360" w:lineRule="auto"/>
              <w:jc w:val="both"/>
              <w:rPr>
                <w:rFonts w:ascii="Times New Roman" w:hAnsi="Times New Roman"/>
                <w:sz w:val="16"/>
                <w:szCs w:val="16"/>
              </w:rPr>
            </w:pPr>
            <w:r w:rsidRPr="001959ED">
              <w:rPr>
                <w:rFonts w:ascii="Times New Roman" w:hAnsi="Times New Roman"/>
                <w:sz w:val="16"/>
                <w:szCs w:val="16"/>
              </w:rPr>
              <w:t>Njombe</w:t>
            </w:r>
          </w:p>
        </w:tc>
        <w:tc>
          <w:tcPr>
            <w:tcW w:w="910" w:type="dxa"/>
            <w:tcBorders>
              <w:top w:val="nil"/>
              <w:left w:val="nil"/>
              <w:bottom w:val="nil"/>
              <w:right w:val="nil"/>
            </w:tcBorders>
            <w:shd w:val="clear" w:color="auto" w:fill="auto"/>
            <w:noWrap/>
            <w:vAlign w:val="bottom"/>
            <w:hideMark/>
          </w:tcPr>
          <w:p w14:paraId="638A2487"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20.8</w:t>
            </w:r>
          </w:p>
        </w:tc>
        <w:tc>
          <w:tcPr>
            <w:tcW w:w="1644" w:type="dxa"/>
            <w:tcBorders>
              <w:top w:val="nil"/>
              <w:left w:val="nil"/>
              <w:bottom w:val="nil"/>
              <w:right w:val="nil"/>
            </w:tcBorders>
            <w:shd w:val="clear" w:color="auto" w:fill="auto"/>
            <w:noWrap/>
            <w:vAlign w:val="bottom"/>
            <w:hideMark/>
          </w:tcPr>
          <w:p w14:paraId="45A84548"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87.4</w:t>
            </w:r>
          </w:p>
        </w:tc>
        <w:tc>
          <w:tcPr>
            <w:tcW w:w="1872" w:type="dxa"/>
            <w:tcBorders>
              <w:top w:val="nil"/>
              <w:left w:val="nil"/>
              <w:bottom w:val="nil"/>
              <w:right w:val="nil"/>
            </w:tcBorders>
            <w:shd w:val="clear" w:color="auto" w:fill="auto"/>
            <w:noWrap/>
            <w:vAlign w:val="bottom"/>
            <w:hideMark/>
          </w:tcPr>
          <w:p w14:paraId="6376A6C2"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58.6</w:t>
            </w:r>
          </w:p>
        </w:tc>
        <w:tc>
          <w:tcPr>
            <w:tcW w:w="870" w:type="dxa"/>
            <w:tcBorders>
              <w:top w:val="nil"/>
              <w:left w:val="nil"/>
              <w:bottom w:val="nil"/>
              <w:right w:val="nil"/>
            </w:tcBorders>
            <w:shd w:val="clear" w:color="auto" w:fill="auto"/>
            <w:noWrap/>
            <w:vAlign w:val="bottom"/>
            <w:hideMark/>
          </w:tcPr>
          <w:p w14:paraId="59E844E1"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34.6</w:t>
            </w:r>
          </w:p>
        </w:tc>
        <w:tc>
          <w:tcPr>
            <w:tcW w:w="1650" w:type="dxa"/>
            <w:tcBorders>
              <w:top w:val="nil"/>
              <w:left w:val="nil"/>
              <w:bottom w:val="nil"/>
            </w:tcBorders>
            <w:shd w:val="clear" w:color="auto" w:fill="auto"/>
            <w:noWrap/>
            <w:vAlign w:val="bottom"/>
            <w:hideMark/>
          </w:tcPr>
          <w:p w14:paraId="3EA754DD"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20.0</w:t>
            </w:r>
          </w:p>
        </w:tc>
      </w:tr>
      <w:tr w:rsidR="006B42D6" w:rsidRPr="001959ED" w14:paraId="7E6D8542" w14:textId="77777777" w:rsidTr="00A62AD1">
        <w:trPr>
          <w:trHeight w:hRule="exact" w:val="238"/>
        </w:trPr>
        <w:tc>
          <w:tcPr>
            <w:tcW w:w="1750" w:type="dxa"/>
            <w:tcBorders>
              <w:top w:val="nil"/>
              <w:bottom w:val="nil"/>
              <w:right w:val="nil"/>
            </w:tcBorders>
            <w:shd w:val="clear" w:color="auto" w:fill="auto"/>
            <w:noWrap/>
            <w:vAlign w:val="bottom"/>
            <w:hideMark/>
          </w:tcPr>
          <w:p w14:paraId="3310D3C6" w14:textId="77777777" w:rsidR="00A32971" w:rsidRPr="001959ED" w:rsidRDefault="00A32971" w:rsidP="00AF7CD1">
            <w:pPr>
              <w:pStyle w:val="NoSpacing"/>
              <w:spacing w:line="360" w:lineRule="auto"/>
              <w:jc w:val="both"/>
              <w:rPr>
                <w:rFonts w:ascii="Times New Roman" w:hAnsi="Times New Roman"/>
                <w:sz w:val="16"/>
                <w:szCs w:val="16"/>
              </w:rPr>
            </w:pPr>
            <w:r w:rsidRPr="001959ED">
              <w:rPr>
                <w:rFonts w:ascii="Times New Roman" w:hAnsi="Times New Roman"/>
                <w:sz w:val="16"/>
                <w:szCs w:val="16"/>
              </w:rPr>
              <w:t>Katavi</w:t>
            </w:r>
          </w:p>
        </w:tc>
        <w:tc>
          <w:tcPr>
            <w:tcW w:w="910" w:type="dxa"/>
            <w:tcBorders>
              <w:top w:val="nil"/>
              <w:left w:val="nil"/>
              <w:bottom w:val="nil"/>
              <w:right w:val="nil"/>
            </w:tcBorders>
            <w:shd w:val="clear" w:color="auto" w:fill="auto"/>
            <w:noWrap/>
            <w:vAlign w:val="bottom"/>
            <w:hideMark/>
          </w:tcPr>
          <w:p w14:paraId="279920DB"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18.9</w:t>
            </w:r>
          </w:p>
        </w:tc>
        <w:tc>
          <w:tcPr>
            <w:tcW w:w="1644" w:type="dxa"/>
            <w:tcBorders>
              <w:top w:val="nil"/>
              <w:left w:val="nil"/>
              <w:bottom w:val="nil"/>
              <w:right w:val="nil"/>
            </w:tcBorders>
            <w:shd w:val="clear" w:color="auto" w:fill="auto"/>
            <w:noWrap/>
            <w:vAlign w:val="bottom"/>
            <w:hideMark/>
          </w:tcPr>
          <w:p w14:paraId="388E47CD"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12.3</w:t>
            </w:r>
          </w:p>
        </w:tc>
        <w:tc>
          <w:tcPr>
            <w:tcW w:w="1872" w:type="dxa"/>
            <w:tcBorders>
              <w:top w:val="nil"/>
              <w:left w:val="nil"/>
              <w:bottom w:val="nil"/>
              <w:right w:val="nil"/>
            </w:tcBorders>
            <w:shd w:val="clear" w:color="auto" w:fill="auto"/>
            <w:noWrap/>
            <w:vAlign w:val="bottom"/>
            <w:hideMark/>
          </w:tcPr>
          <w:p w14:paraId="45655FEF"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68.2</w:t>
            </w:r>
          </w:p>
        </w:tc>
        <w:tc>
          <w:tcPr>
            <w:tcW w:w="870" w:type="dxa"/>
            <w:tcBorders>
              <w:top w:val="nil"/>
              <w:left w:val="nil"/>
              <w:bottom w:val="nil"/>
              <w:right w:val="nil"/>
            </w:tcBorders>
            <w:shd w:val="clear" w:color="auto" w:fill="auto"/>
            <w:noWrap/>
            <w:vAlign w:val="bottom"/>
            <w:hideMark/>
          </w:tcPr>
          <w:p w14:paraId="5D1E3335"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37.0</w:t>
            </w:r>
          </w:p>
        </w:tc>
        <w:tc>
          <w:tcPr>
            <w:tcW w:w="1650" w:type="dxa"/>
            <w:tcBorders>
              <w:top w:val="nil"/>
              <w:left w:val="nil"/>
              <w:bottom w:val="nil"/>
            </w:tcBorders>
            <w:shd w:val="clear" w:color="auto" w:fill="auto"/>
            <w:noWrap/>
            <w:vAlign w:val="bottom"/>
            <w:hideMark/>
          </w:tcPr>
          <w:p w14:paraId="6A9F5ADB"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24.6</w:t>
            </w:r>
          </w:p>
        </w:tc>
      </w:tr>
      <w:tr w:rsidR="006B42D6" w:rsidRPr="001959ED" w14:paraId="0F1B31AE" w14:textId="77777777" w:rsidTr="00A62AD1">
        <w:trPr>
          <w:trHeight w:hRule="exact" w:val="238"/>
        </w:trPr>
        <w:tc>
          <w:tcPr>
            <w:tcW w:w="1750" w:type="dxa"/>
            <w:tcBorders>
              <w:top w:val="nil"/>
              <w:bottom w:val="nil"/>
              <w:right w:val="nil"/>
            </w:tcBorders>
            <w:shd w:val="clear" w:color="auto" w:fill="auto"/>
            <w:noWrap/>
            <w:vAlign w:val="bottom"/>
            <w:hideMark/>
          </w:tcPr>
          <w:p w14:paraId="4A9E1EED" w14:textId="77777777" w:rsidR="00A32971" w:rsidRPr="001959ED" w:rsidRDefault="00A32971" w:rsidP="00AF7CD1">
            <w:pPr>
              <w:pStyle w:val="NoSpacing"/>
              <w:spacing w:line="360" w:lineRule="auto"/>
              <w:jc w:val="both"/>
              <w:rPr>
                <w:rFonts w:ascii="Times New Roman" w:hAnsi="Times New Roman"/>
                <w:sz w:val="16"/>
                <w:szCs w:val="16"/>
              </w:rPr>
            </w:pPr>
            <w:r w:rsidRPr="001959ED">
              <w:rPr>
                <w:rFonts w:ascii="Times New Roman" w:hAnsi="Times New Roman"/>
                <w:sz w:val="16"/>
                <w:szCs w:val="16"/>
              </w:rPr>
              <w:t>Simiyu</w:t>
            </w:r>
          </w:p>
        </w:tc>
        <w:tc>
          <w:tcPr>
            <w:tcW w:w="910" w:type="dxa"/>
            <w:tcBorders>
              <w:top w:val="nil"/>
              <w:left w:val="nil"/>
              <w:bottom w:val="nil"/>
              <w:right w:val="nil"/>
            </w:tcBorders>
            <w:shd w:val="clear" w:color="auto" w:fill="auto"/>
            <w:noWrap/>
            <w:vAlign w:val="bottom"/>
            <w:hideMark/>
          </w:tcPr>
          <w:p w14:paraId="2F153DF2"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8.5</w:t>
            </w:r>
          </w:p>
        </w:tc>
        <w:tc>
          <w:tcPr>
            <w:tcW w:w="1644" w:type="dxa"/>
            <w:tcBorders>
              <w:top w:val="nil"/>
              <w:left w:val="nil"/>
              <w:bottom w:val="nil"/>
              <w:right w:val="nil"/>
            </w:tcBorders>
            <w:shd w:val="clear" w:color="auto" w:fill="auto"/>
            <w:noWrap/>
            <w:vAlign w:val="bottom"/>
            <w:hideMark/>
          </w:tcPr>
          <w:p w14:paraId="5CF62A34"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0.3</w:t>
            </w:r>
          </w:p>
        </w:tc>
        <w:tc>
          <w:tcPr>
            <w:tcW w:w="1872" w:type="dxa"/>
            <w:tcBorders>
              <w:top w:val="nil"/>
              <w:left w:val="nil"/>
              <w:bottom w:val="nil"/>
              <w:right w:val="nil"/>
            </w:tcBorders>
            <w:shd w:val="clear" w:color="auto" w:fill="auto"/>
            <w:noWrap/>
            <w:vAlign w:val="bottom"/>
            <w:hideMark/>
          </w:tcPr>
          <w:p w14:paraId="6ABDFD0E"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60.4</w:t>
            </w:r>
          </w:p>
        </w:tc>
        <w:tc>
          <w:tcPr>
            <w:tcW w:w="870" w:type="dxa"/>
            <w:tcBorders>
              <w:top w:val="nil"/>
              <w:left w:val="nil"/>
              <w:bottom w:val="nil"/>
              <w:right w:val="nil"/>
            </w:tcBorders>
            <w:shd w:val="clear" w:color="auto" w:fill="auto"/>
            <w:noWrap/>
            <w:vAlign w:val="bottom"/>
            <w:hideMark/>
          </w:tcPr>
          <w:p w14:paraId="15A1FF12"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21.4</w:t>
            </w:r>
          </w:p>
        </w:tc>
        <w:tc>
          <w:tcPr>
            <w:tcW w:w="1650" w:type="dxa"/>
            <w:tcBorders>
              <w:top w:val="nil"/>
              <w:left w:val="nil"/>
              <w:bottom w:val="nil"/>
            </w:tcBorders>
            <w:shd w:val="clear" w:color="auto" w:fill="auto"/>
            <w:noWrap/>
            <w:vAlign w:val="bottom"/>
            <w:hideMark/>
          </w:tcPr>
          <w:p w14:paraId="02C3081F"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8.3</w:t>
            </w:r>
          </w:p>
        </w:tc>
      </w:tr>
      <w:tr w:rsidR="006B42D6" w:rsidRPr="001959ED" w14:paraId="06FA46B9" w14:textId="77777777" w:rsidTr="00A62AD1">
        <w:trPr>
          <w:trHeight w:hRule="exact" w:val="238"/>
        </w:trPr>
        <w:tc>
          <w:tcPr>
            <w:tcW w:w="1750" w:type="dxa"/>
            <w:tcBorders>
              <w:top w:val="nil"/>
              <w:bottom w:val="nil"/>
              <w:right w:val="nil"/>
            </w:tcBorders>
            <w:shd w:val="clear" w:color="auto" w:fill="auto"/>
            <w:noWrap/>
            <w:vAlign w:val="bottom"/>
            <w:hideMark/>
          </w:tcPr>
          <w:p w14:paraId="214D9E55" w14:textId="77777777" w:rsidR="00A32971" w:rsidRPr="001959ED" w:rsidRDefault="00A32971" w:rsidP="00AF7CD1">
            <w:pPr>
              <w:pStyle w:val="NoSpacing"/>
              <w:spacing w:line="360" w:lineRule="auto"/>
              <w:jc w:val="both"/>
              <w:rPr>
                <w:rFonts w:ascii="Times New Roman" w:hAnsi="Times New Roman"/>
                <w:sz w:val="16"/>
                <w:szCs w:val="16"/>
              </w:rPr>
            </w:pPr>
            <w:r w:rsidRPr="001959ED">
              <w:rPr>
                <w:rFonts w:ascii="Times New Roman" w:hAnsi="Times New Roman"/>
                <w:sz w:val="16"/>
                <w:szCs w:val="16"/>
              </w:rPr>
              <w:t>Geita</w:t>
            </w:r>
          </w:p>
        </w:tc>
        <w:tc>
          <w:tcPr>
            <w:tcW w:w="910" w:type="dxa"/>
            <w:tcBorders>
              <w:top w:val="nil"/>
              <w:left w:val="nil"/>
              <w:bottom w:val="nil"/>
              <w:right w:val="nil"/>
            </w:tcBorders>
            <w:shd w:val="clear" w:color="auto" w:fill="auto"/>
            <w:noWrap/>
            <w:vAlign w:val="bottom"/>
            <w:hideMark/>
          </w:tcPr>
          <w:p w14:paraId="39BFDD40"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19.1</w:t>
            </w:r>
          </w:p>
        </w:tc>
        <w:tc>
          <w:tcPr>
            <w:tcW w:w="1644" w:type="dxa"/>
            <w:tcBorders>
              <w:top w:val="nil"/>
              <w:left w:val="nil"/>
              <w:bottom w:val="nil"/>
              <w:right w:val="nil"/>
            </w:tcBorders>
            <w:shd w:val="clear" w:color="auto" w:fill="auto"/>
            <w:noWrap/>
            <w:vAlign w:val="bottom"/>
            <w:hideMark/>
          </w:tcPr>
          <w:p w14:paraId="1097A6D6"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19.7</w:t>
            </w:r>
          </w:p>
        </w:tc>
        <w:tc>
          <w:tcPr>
            <w:tcW w:w="1872" w:type="dxa"/>
            <w:tcBorders>
              <w:top w:val="nil"/>
              <w:left w:val="nil"/>
              <w:bottom w:val="nil"/>
              <w:right w:val="nil"/>
            </w:tcBorders>
            <w:shd w:val="clear" w:color="auto" w:fill="auto"/>
            <w:noWrap/>
            <w:vAlign w:val="bottom"/>
            <w:hideMark/>
          </w:tcPr>
          <w:p w14:paraId="24E81744"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79.1</w:t>
            </w:r>
          </w:p>
        </w:tc>
        <w:tc>
          <w:tcPr>
            <w:tcW w:w="870" w:type="dxa"/>
            <w:tcBorders>
              <w:top w:val="nil"/>
              <w:left w:val="nil"/>
              <w:bottom w:val="nil"/>
              <w:right w:val="nil"/>
            </w:tcBorders>
            <w:shd w:val="clear" w:color="auto" w:fill="auto"/>
            <w:noWrap/>
            <w:vAlign w:val="bottom"/>
            <w:hideMark/>
          </w:tcPr>
          <w:p w14:paraId="76D15607"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5.4</w:t>
            </w:r>
          </w:p>
        </w:tc>
        <w:tc>
          <w:tcPr>
            <w:tcW w:w="1650" w:type="dxa"/>
            <w:tcBorders>
              <w:top w:val="nil"/>
              <w:left w:val="nil"/>
              <w:bottom w:val="nil"/>
            </w:tcBorders>
            <w:shd w:val="clear" w:color="auto" w:fill="auto"/>
            <w:noWrap/>
            <w:vAlign w:val="bottom"/>
            <w:hideMark/>
          </w:tcPr>
          <w:p w14:paraId="57DE51F0"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10.6</w:t>
            </w:r>
          </w:p>
        </w:tc>
      </w:tr>
      <w:tr w:rsidR="006B42D6" w:rsidRPr="001959ED" w14:paraId="397F11D2" w14:textId="77777777" w:rsidTr="00A62AD1">
        <w:trPr>
          <w:trHeight w:hRule="exact" w:val="238"/>
        </w:trPr>
        <w:tc>
          <w:tcPr>
            <w:tcW w:w="1750" w:type="dxa"/>
            <w:tcBorders>
              <w:top w:val="nil"/>
              <w:bottom w:val="nil"/>
              <w:right w:val="nil"/>
            </w:tcBorders>
            <w:shd w:val="clear" w:color="auto" w:fill="auto"/>
            <w:noWrap/>
            <w:vAlign w:val="bottom"/>
            <w:hideMark/>
          </w:tcPr>
          <w:p w14:paraId="4A77D536" w14:textId="77777777" w:rsidR="00A32971" w:rsidRPr="001959ED" w:rsidRDefault="00A32971" w:rsidP="00AF7CD1">
            <w:pPr>
              <w:pStyle w:val="NoSpacing"/>
              <w:spacing w:line="360" w:lineRule="auto"/>
              <w:jc w:val="both"/>
              <w:rPr>
                <w:rFonts w:ascii="Times New Roman" w:hAnsi="Times New Roman"/>
                <w:sz w:val="16"/>
                <w:szCs w:val="16"/>
              </w:rPr>
            </w:pPr>
            <w:r w:rsidRPr="001959ED">
              <w:rPr>
                <w:rFonts w:ascii="Times New Roman" w:hAnsi="Times New Roman"/>
                <w:sz w:val="16"/>
                <w:szCs w:val="16"/>
              </w:rPr>
              <w:t>Songwe</w:t>
            </w:r>
          </w:p>
        </w:tc>
        <w:tc>
          <w:tcPr>
            <w:tcW w:w="910" w:type="dxa"/>
            <w:tcBorders>
              <w:top w:val="nil"/>
              <w:left w:val="nil"/>
              <w:bottom w:val="nil"/>
              <w:right w:val="nil"/>
            </w:tcBorders>
            <w:shd w:val="clear" w:color="auto" w:fill="auto"/>
            <w:noWrap/>
            <w:vAlign w:val="bottom"/>
            <w:hideMark/>
          </w:tcPr>
          <w:p w14:paraId="723B66AF"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19.5</w:t>
            </w:r>
          </w:p>
        </w:tc>
        <w:tc>
          <w:tcPr>
            <w:tcW w:w="1644" w:type="dxa"/>
            <w:tcBorders>
              <w:top w:val="nil"/>
              <w:left w:val="nil"/>
              <w:bottom w:val="nil"/>
              <w:right w:val="nil"/>
            </w:tcBorders>
            <w:shd w:val="clear" w:color="auto" w:fill="auto"/>
            <w:noWrap/>
            <w:vAlign w:val="bottom"/>
            <w:hideMark/>
          </w:tcPr>
          <w:p w14:paraId="6BDF4141"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36.0</w:t>
            </w:r>
          </w:p>
        </w:tc>
        <w:tc>
          <w:tcPr>
            <w:tcW w:w="1872" w:type="dxa"/>
            <w:tcBorders>
              <w:top w:val="nil"/>
              <w:left w:val="nil"/>
              <w:bottom w:val="nil"/>
              <w:right w:val="nil"/>
            </w:tcBorders>
            <w:shd w:val="clear" w:color="auto" w:fill="auto"/>
            <w:noWrap/>
            <w:vAlign w:val="bottom"/>
            <w:hideMark/>
          </w:tcPr>
          <w:p w14:paraId="6ED75A37"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60.5</w:t>
            </w:r>
          </w:p>
        </w:tc>
        <w:tc>
          <w:tcPr>
            <w:tcW w:w="870" w:type="dxa"/>
            <w:tcBorders>
              <w:top w:val="nil"/>
              <w:left w:val="nil"/>
              <w:bottom w:val="nil"/>
              <w:right w:val="nil"/>
            </w:tcBorders>
            <w:shd w:val="clear" w:color="auto" w:fill="auto"/>
            <w:noWrap/>
            <w:vAlign w:val="bottom"/>
            <w:hideMark/>
          </w:tcPr>
          <w:p w14:paraId="56ACD6B5"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16.3</w:t>
            </w:r>
          </w:p>
        </w:tc>
        <w:tc>
          <w:tcPr>
            <w:tcW w:w="1650" w:type="dxa"/>
            <w:tcBorders>
              <w:top w:val="nil"/>
              <w:left w:val="nil"/>
              <w:bottom w:val="nil"/>
            </w:tcBorders>
            <w:shd w:val="clear" w:color="auto" w:fill="auto"/>
            <w:noWrap/>
            <w:vAlign w:val="bottom"/>
            <w:hideMark/>
          </w:tcPr>
          <w:p w14:paraId="3FB5B8CB"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25.4</w:t>
            </w:r>
          </w:p>
        </w:tc>
      </w:tr>
      <w:tr w:rsidR="006B42D6" w:rsidRPr="001959ED" w14:paraId="13E1D7C9" w14:textId="77777777" w:rsidTr="00A62AD1">
        <w:trPr>
          <w:trHeight w:hRule="exact" w:val="238"/>
        </w:trPr>
        <w:tc>
          <w:tcPr>
            <w:tcW w:w="1750" w:type="dxa"/>
            <w:tcBorders>
              <w:top w:val="single" w:sz="4" w:space="0" w:color="auto"/>
              <w:bottom w:val="single" w:sz="4" w:space="0" w:color="auto"/>
              <w:right w:val="nil"/>
            </w:tcBorders>
            <w:shd w:val="clear" w:color="auto" w:fill="E2EFD9" w:themeFill="accent6" w:themeFillTint="33"/>
            <w:noWrap/>
            <w:vAlign w:val="bottom"/>
            <w:hideMark/>
          </w:tcPr>
          <w:p w14:paraId="5ADB8978" w14:textId="62D748D6" w:rsidR="00A32971" w:rsidRPr="001959ED" w:rsidRDefault="00EA1552" w:rsidP="00AF7CD1">
            <w:pPr>
              <w:pStyle w:val="NoSpacing"/>
              <w:spacing w:line="360" w:lineRule="auto"/>
              <w:jc w:val="both"/>
              <w:rPr>
                <w:rFonts w:ascii="Times New Roman" w:hAnsi="Times New Roman"/>
                <w:b/>
                <w:sz w:val="16"/>
                <w:szCs w:val="16"/>
              </w:rPr>
            </w:pPr>
            <w:r w:rsidRPr="001959ED">
              <w:rPr>
                <w:rFonts w:ascii="Times New Roman" w:hAnsi="Times New Roman"/>
                <w:b/>
                <w:sz w:val="16"/>
                <w:szCs w:val="16"/>
              </w:rPr>
              <w:t>Mainland Tanzania</w:t>
            </w:r>
          </w:p>
        </w:tc>
        <w:tc>
          <w:tcPr>
            <w:tcW w:w="910" w:type="dxa"/>
            <w:tcBorders>
              <w:top w:val="single" w:sz="4" w:space="0" w:color="auto"/>
              <w:left w:val="nil"/>
              <w:bottom w:val="single" w:sz="4" w:space="0" w:color="auto"/>
              <w:right w:val="nil"/>
            </w:tcBorders>
            <w:shd w:val="clear" w:color="auto" w:fill="E2EFD9" w:themeFill="accent6" w:themeFillTint="33"/>
            <w:noWrap/>
            <w:vAlign w:val="bottom"/>
            <w:hideMark/>
          </w:tcPr>
          <w:p w14:paraId="333594D0" w14:textId="77777777" w:rsidR="00A32971" w:rsidRPr="001959ED" w:rsidRDefault="00A32971" w:rsidP="00AF7CD1">
            <w:pPr>
              <w:pStyle w:val="NoSpacing"/>
              <w:spacing w:line="360" w:lineRule="auto"/>
              <w:jc w:val="right"/>
              <w:rPr>
                <w:rFonts w:ascii="Times New Roman" w:hAnsi="Times New Roman"/>
                <w:b/>
                <w:sz w:val="16"/>
                <w:szCs w:val="16"/>
              </w:rPr>
            </w:pPr>
            <w:r w:rsidRPr="001959ED">
              <w:rPr>
                <w:rFonts w:ascii="Times New Roman" w:hAnsi="Times New Roman"/>
                <w:b/>
                <w:sz w:val="16"/>
                <w:szCs w:val="16"/>
              </w:rPr>
              <w:t>19.1</w:t>
            </w:r>
          </w:p>
        </w:tc>
        <w:tc>
          <w:tcPr>
            <w:tcW w:w="1644" w:type="dxa"/>
            <w:tcBorders>
              <w:top w:val="single" w:sz="4" w:space="0" w:color="auto"/>
              <w:left w:val="nil"/>
              <w:bottom w:val="single" w:sz="4" w:space="0" w:color="auto"/>
              <w:right w:val="nil"/>
            </w:tcBorders>
            <w:shd w:val="clear" w:color="auto" w:fill="E2EFD9" w:themeFill="accent6" w:themeFillTint="33"/>
            <w:noWrap/>
            <w:vAlign w:val="bottom"/>
            <w:hideMark/>
          </w:tcPr>
          <w:p w14:paraId="299ACFB2" w14:textId="77777777" w:rsidR="00A32971" w:rsidRPr="001959ED" w:rsidRDefault="00A32971" w:rsidP="00AF7CD1">
            <w:pPr>
              <w:pStyle w:val="NoSpacing"/>
              <w:spacing w:line="360" w:lineRule="auto"/>
              <w:jc w:val="right"/>
              <w:rPr>
                <w:rFonts w:ascii="Times New Roman" w:hAnsi="Times New Roman"/>
                <w:b/>
                <w:sz w:val="16"/>
                <w:szCs w:val="16"/>
              </w:rPr>
            </w:pPr>
            <w:r w:rsidRPr="001959ED">
              <w:rPr>
                <w:rFonts w:ascii="Times New Roman" w:hAnsi="Times New Roman"/>
                <w:b/>
                <w:sz w:val="16"/>
                <w:szCs w:val="16"/>
              </w:rPr>
              <w:t>15.1</w:t>
            </w:r>
          </w:p>
        </w:tc>
        <w:tc>
          <w:tcPr>
            <w:tcW w:w="1872" w:type="dxa"/>
            <w:tcBorders>
              <w:top w:val="single" w:sz="4" w:space="0" w:color="auto"/>
              <w:left w:val="nil"/>
              <w:bottom w:val="single" w:sz="4" w:space="0" w:color="auto"/>
              <w:right w:val="nil"/>
            </w:tcBorders>
            <w:shd w:val="clear" w:color="auto" w:fill="E2EFD9" w:themeFill="accent6" w:themeFillTint="33"/>
            <w:noWrap/>
            <w:vAlign w:val="bottom"/>
            <w:hideMark/>
          </w:tcPr>
          <w:p w14:paraId="331EBB3A" w14:textId="77777777" w:rsidR="00A32971" w:rsidRPr="001959ED" w:rsidRDefault="00A32971" w:rsidP="00AF7CD1">
            <w:pPr>
              <w:pStyle w:val="NoSpacing"/>
              <w:spacing w:line="360" w:lineRule="auto"/>
              <w:jc w:val="right"/>
              <w:rPr>
                <w:rFonts w:ascii="Times New Roman" w:hAnsi="Times New Roman"/>
                <w:b/>
                <w:sz w:val="16"/>
                <w:szCs w:val="16"/>
              </w:rPr>
            </w:pPr>
            <w:r w:rsidRPr="001959ED">
              <w:rPr>
                <w:rFonts w:ascii="Times New Roman" w:hAnsi="Times New Roman"/>
                <w:b/>
                <w:sz w:val="16"/>
                <w:szCs w:val="16"/>
              </w:rPr>
              <w:t>62.2</w:t>
            </w:r>
          </w:p>
        </w:tc>
        <w:tc>
          <w:tcPr>
            <w:tcW w:w="870" w:type="dxa"/>
            <w:tcBorders>
              <w:top w:val="single" w:sz="4" w:space="0" w:color="auto"/>
              <w:left w:val="nil"/>
              <w:bottom w:val="single" w:sz="4" w:space="0" w:color="auto"/>
              <w:right w:val="nil"/>
            </w:tcBorders>
            <w:shd w:val="clear" w:color="auto" w:fill="E2EFD9" w:themeFill="accent6" w:themeFillTint="33"/>
            <w:noWrap/>
            <w:vAlign w:val="bottom"/>
            <w:hideMark/>
          </w:tcPr>
          <w:p w14:paraId="3D017890" w14:textId="77777777" w:rsidR="00A32971" w:rsidRPr="001959ED" w:rsidRDefault="00A32971" w:rsidP="00AF7CD1">
            <w:pPr>
              <w:pStyle w:val="NoSpacing"/>
              <w:spacing w:line="360" w:lineRule="auto"/>
              <w:jc w:val="right"/>
              <w:rPr>
                <w:rFonts w:ascii="Times New Roman" w:hAnsi="Times New Roman"/>
                <w:b/>
                <w:sz w:val="16"/>
                <w:szCs w:val="16"/>
              </w:rPr>
            </w:pPr>
            <w:r w:rsidRPr="001959ED">
              <w:rPr>
                <w:rFonts w:ascii="Times New Roman" w:hAnsi="Times New Roman"/>
                <w:b/>
                <w:sz w:val="16"/>
                <w:szCs w:val="16"/>
              </w:rPr>
              <w:t>22.2</w:t>
            </w:r>
          </w:p>
        </w:tc>
        <w:tc>
          <w:tcPr>
            <w:tcW w:w="1650" w:type="dxa"/>
            <w:tcBorders>
              <w:top w:val="single" w:sz="4" w:space="0" w:color="auto"/>
              <w:left w:val="nil"/>
              <w:bottom w:val="single" w:sz="4" w:space="0" w:color="auto"/>
            </w:tcBorders>
            <w:shd w:val="clear" w:color="auto" w:fill="E2EFD9" w:themeFill="accent6" w:themeFillTint="33"/>
            <w:noWrap/>
            <w:vAlign w:val="bottom"/>
            <w:hideMark/>
          </w:tcPr>
          <w:p w14:paraId="7C7AF3A4" w14:textId="77777777" w:rsidR="00A32971" w:rsidRPr="001959ED" w:rsidRDefault="00A32971" w:rsidP="00AF7CD1">
            <w:pPr>
              <w:pStyle w:val="NoSpacing"/>
              <w:spacing w:line="360" w:lineRule="auto"/>
              <w:jc w:val="right"/>
              <w:rPr>
                <w:rFonts w:ascii="Times New Roman" w:hAnsi="Times New Roman"/>
                <w:b/>
                <w:sz w:val="16"/>
                <w:szCs w:val="16"/>
              </w:rPr>
            </w:pPr>
            <w:r w:rsidRPr="001959ED">
              <w:rPr>
                <w:rFonts w:ascii="Times New Roman" w:hAnsi="Times New Roman"/>
                <w:b/>
                <w:sz w:val="16"/>
                <w:szCs w:val="16"/>
              </w:rPr>
              <w:t>21.2</w:t>
            </w:r>
          </w:p>
        </w:tc>
      </w:tr>
      <w:tr w:rsidR="006B42D6" w:rsidRPr="001959ED" w14:paraId="5A9C930B" w14:textId="77777777" w:rsidTr="00A62AD1">
        <w:trPr>
          <w:trHeight w:hRule="exact" w:val="238"/>
        </w:trPr>
        <w:tc>
          <w:tcPr>
            <w:tcW w:w="1750" w:type="dxa"/>
            <w:tcBorders>
              <w:top w:val="nil"/>
              <w:bottom w:val="nil"/>
              <w:right w:val="nil"/>
            </w:tcBorders>
            <w:shd w:val="clear" w:color="auto" w:fill="auto"/>
            <w:noWrap/>
            <w:vAlign w:val="bottom"/>
            <w:hideMark/>
          </w:tcPr>
          <w:p w14:paraId="5A200193" w14:textId="77777777" w:rsidR="00A32971" w:rsidRPr="001959ED" w:rsidRDefault="00A32971" w:rsidP="00AF7CD1">
            <w:pPr>
              <w:pStyle w:val="NoSpacing"/>
              <w:spacing w:line="360" w:lineRule="auto"/>
              <w:jc w:val="both"/>
              <w:rPr>
                <w:rFonts w:ascii="Times New Roman" w:hAnsi="Times New Roman"/>
                <w:sz w:val="16"/>
                <w:szCs w:val="16"/>
              </w:rPr>
            </w:pPr>
            <w:r w:rsidRPr="001959ED">
              <w:rPr>
                <w:rFonts w:ascii="Times New Roman" w:hAnsi="Times New Roman"/>
                <w:sz w:val="16"/>
                <w:szCs w:val="16"/>
              </w:rPr>
              <w:t>Kaskazini Unguja</w:t>
            </w:r>
          </w:p>
        </w:tc>
        <w:tc>
          <w:tcPr>
            <w:tcW w:w="910" w:type="dxa"/>
            <w:tcBorders>
              <w:top w:val="nil"/>
              <w:left w:val="nil"/>
              <w:bottom w:val="nil"/>
              <w:right w:val="nil"/>
            </w:tcBorders>
            <w:shd w:val="clear" w:color="auto" w:fill="auto"/>
            <w:noWrap/>
            <w:vAlign w:val="bottom"/>
            <w:hideMark/>
          </w:tcPr>
          <w:p w14:paraId="18E95027"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7.4</w:t>
            </w:r>
          </w:p>
        </w:tc>
        <w:tc>
          <w:tcPr>
            <w:tcW w:w="1644" w:type="dxa"/>
            <w:tcBorders>
              <w:top w:val="nil"/>
              <w:left w:val="nil"/>
              <w:bottom w:val="nil"/>
              <w:right w:val="nil"/>
            </w:tcBorders>
            <w:shd w:val="clear" w:color="auto" w:fill="auto"/>
            <w:noWrap/>
            <w:vAlign w:val="bottom"/>
            <w:hideMark/>
          </w:tcPr>
          <w:p w14:paraId="49B4A349"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17.5</w:t>
            </w:r>
          </w:p>
        </w:tc>
        <w:tc>
          <w:tcPr>
            <w:tcW w:w="1872" w:type="dxa"/>
            <w:tcBorders>
              <w:top w:val="nil"/>
              <w:left w:val="nil"/>
              <w:bottom w:val="nil"/>
              <w:right w:val="nil"/>
            </w:tcBorders>
            <w:shd w:val="clear" w:color="auto" w:fill="auto"/>
            <w:noWrap/>
            <w:vAlign w:val="bottom"/>
            <w:hideMark/>
          </w:tcPr>
          <w:p w14:paraId="31E90D6C"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49.4</w:t>
            </w:r>
          </w:p>
        </w:tc>
        <w:tc>
          <w:tcPr>
            <w:tcW w:w="870" w:type="dxa"/>
            <w:tcBorders>
              <w:top w:val="nil"/>
              <w:left w:val="nil"/>
              <w:bottom w:val="nil"/>
              <w:right w:val="nil"/>
            </w:tcBorders>
            <w:shd w:val="clear" w:color="auto" w:fill="auto"/>
            <w:noWrap/>
            <w:vAlign w:val="bottom"/>
            <w:hideMark/>
          </w:tcPr>
          <w:p w14:paraId="54B4C345"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0.4</w:t>
            </w:r>
          </w:p>
        </w:tc>
        <w:tc>
          <w:tcPr>
            <w:tcW w:w="1650" w:type="dxa"/>
            <w:tcBorders>
              <w:top w:val="nil"/>
              <w:left w:val="nil"/>
              <w:bottom w:val="nil"/>
            </w:tcBorders>
            <w:shd w:val="clear" w:color="auto" w:fill="auto"/>
            <w:noWrap/>
            <w:vAlign w:val="bottom"/>
            <w:hideMark/>
          </w:tcPr>
          <w:p w14:paraId="35B42282"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49.8</w:t>
            </w:r>
          </w:p>
        </w:tc>
      </w:tr>
      <w:tr w:rsidR="006B42D6" w:rsidRPr="001959ED" w14:paraId="420887B5" w14:textId="77777777" w:rsidTr="00A62AD1">
        <w:trPr>
          <w:trHeight w:hRule="exact" w:val="238"/>
        </w:trPr>
        <w:tc>
          <w:tcPr>
            <w:tcW w:w="1750" w:type="dxa"/>
            <w:tcBorders>
              <w:top w:val="nil"/>
              <w:bottom w:val="nil"/>
              <w:right w:val="nil"/>
            </w:tcBorders>
            <w:shd w:val="clear" w:color="auto" w:fill="auto"/>
            <w:noWrap/>
            <w:vAlign w:val="bottom"/>
            <w:hideMark/>
          </w:tcPr>
          <w:p w14:paraId="43C1E137" w14:textId="77777777" w:rsidR="00A32971" w:rsidRPr="001959ED" w:rsidRDefault="00A32971" w:rsidP="00AF7CD1">
            <w:pPr>
              <w:pStyle w:val="NoSpacing"/>
              <w:spacing w:line="360" w:lineRule="auto"/>
              <w:jc w:val="both"/>
              <w:rPr>
                <w:rFonts w:ascii="Times New Roman" w:hAnsi="Times New Roman"/>
                <w:sz w:val="16"/>
                <w:szCs w:val="16"/>
              </w:rPr>
            </w:pPr>
            <w:r w:rsidRPr="001959ED">
              <w:rPr>
                <w:rFonts w:ascii="Times New Roman" w:hAnsi="Times New Roman"/>
                <w:sz w:val="16"/>
                <w:szCs w:val="16"/>
              </w:rPr>
              <w:t>Kusini Unguja</w:t>
            </w:r>
          </w:p>
        </w:tc>
        <w:tc>
          <w:tcPr>
            <w:tcW w:w="910" w:type="dxa"/>
            <w:tcBorders>
              <w:top w:val="nil"/>
              <w:left w:val="nil"/>
              <w:bottom w:val="nil"/>
              <w:right w:val="nil"/>
            </w:tcBorders>
            <w:shd w:val="clear" w:color="auto" w:fill="auto"/>
            <w:noWrap/>
            <w:vAlign w:val="bottom"/>
            <w:hideMark/>
          </w:tcPr>
          <w:p w14:paraId="7FE9DB1C"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7.8</w:t>
            </w:r>
          </w:p>
        </w:tc>
        <w:tc>
          <w:tcPr>
            <w:tcW w:w="1644" w:type="dxa"/>
            <w:tcBorders>
              <w:top w:val="nil"/>
              <w:left w:val="nil"/>
              <w:bottom w:val="nil"/>
              <w:right w:val="nil"/>
            </w:tcBorders>
            <w:shd w:val="clear" w:color="auto" w:fill="auto"/>
            <w:noWrap/>
            <w:vAlign w:val="bottom"/>
            <w:hideMark/>
          </w:tcPr>
          <w:p w14:paraId="4987C319"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12.0</w:t>
            </w:r>
          </w:p>
        </w:tc>
        <w:tc>
          <w:tcPr>
            <w:tcW w:w="1872" w:type="dxa"/>
            <w:tcBorders>
              <w:top w:val="nil"/>
              <w:left w:val="nil"/>
              <w:bottom w:val="nil"/>
              <w:right w:val="nil"/>
            </w:tcBorders>
            <w:shd w:val="clear" w:color="auto" w:fill="auto"/>
            <w:noWrap/>
            <w:vAlign w:val="bottom"/>
            <w:hideMark/>
          </w:tcPr>
          <w:p w14:paraId="78546EB8"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49.3</w:t>
            </w:r>
          </w:p>
        </w:tc>
        <w:tc>
          <w:tcPr>
            <w:tcW w:w="870" w:type="dxa"/>
            <w:tcBorders>
              <w:top w:val="nil"/>
              <w:left w:val="nil"/>
              <w:bottom w:val="nil"/>
              <w:right w:val="nil"/>
            </w:tcBorders>
            <w:shd w:val="clear" w:color="auto" w:fill="auto"/>
            <w:noWrap/>
            <w:vAlign w:val="bottom"/>
            <w:hideMark/>
          </w:tcPr>
          <w:p w14:paraId="5A288479"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2.3</w:t>
            </w:r>
          </w:p>
        </w:tc>
        <w:tc>
          <w:tcPr>
            <w:tcW w:w="1650" w:type="dxa"/>
            <w:tcBorders>
              <w:top w:val="nil"/>
              <w:left w:val="nil"/>
              <w:bottom w:val="nil"/>
            </w:tcBorders>
            <w:shd w:val="clear" w:color="auto" w:fill="auto"/>
            <w:noWrap/>
            <w:vAlign w:val="bottom"/>
            <w:hideMark/>
          </w:tcPr>
          <w:p w14:paraId="5F6F0B11"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41.2</w:t>
            </w:r>
          </w:p>
        </w:tc>
      </w:tr>
      <w:tr w:rsidR="006B42D6" w:rsidRPr="001959ED" w14:paraId="43267222" w14:textId="77777777" w:rsidTr="00A62AD1">
        <w:trPr>
          <w:trHeight w:hRule="exact" w:val="238"/>
        </w:trPr>
        <w:tc>
          <w:tcPr>
            <w:tcW w:w="1750" w:type="dxa"/>
            <w:tcBorders>
              <w:top w:val="nil"/>
              <w:bottom w:val="nil"/>
              <w:right w:val="nil"/>
            </w:tcBorders>
            <w:shd w:val="clear" w:color="auto" w:fill="auto"/>
            <w:noWrap/>
            <w:vAlign w:val="bottom"/>
            <w:hideMark/>
          </w:tcPr>
          <w:p w14:paraId="5C4B003F" w14:textId="77777777" w:rsidR="00A32971" w:rsidRPr="001959ED" w:rsidRDefault="00A32971" w:rsidP="00AF7CD1">
            <w:pPr>
              <w:pStyle w:val="NoSpacing"/>
              <w:spacing w:line="360" w:lineRule="auto"/>
              <w:jc w:val="both"/>
              <w:rPr>
                <w:rFonts w:ascii="Times New Roman" w:hAnsi="Times New Roman"/>
                <w:sz w:val="16"/>
                <w:szCs w:val="16"/>
              </w:rPr>
            </w:pPr>
            <w:r w:rsidRPr="001959ED">
              <w:rPr>
                <w:rFonts w:ascii="Times New Roman" w:hAnsi="Times New Roman"/>
                <w:sz w:val="16"/>
                <w:szCs w:val="16"/>
              </w:rPr>
              <w:t>Mjini Magharibi</w:t>
            </w:r>
          </w:p>
        </w:tc>
        <w:tc>
          <w:tcPr>
            <w:tcW w:w="910" w:type="dxa"/>
            <w:tcBorders>
              <w:top w:val="nil"/>
              <w:left w:val="nil"/>
              <w:bottom w:val="nil"/>
              <w:right w:val="nil"/>
            </w:tcBorders>
            <w:shd w:val="clear" w:color="auto" w:fill="auto"/>
            <w:noWrap/>
            <w:vAlign w:val="bottom"/>
            <w:hideMark/>
          </w:tcPr>
          <w:p w14:paraId="44555464"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12.8</w:t>
            </w:r>
          </w:p>
        </w:tc>
        <w:tc>
          <w:tcPr>
            <w:tcW w:w="1644" w:type="dxa"/>
            <w:tcBorders>
              <w:top w:val="nil"/>
              <w:left w:val="nil"/>
              <w:bottom w:val="nil"/>
              <w:right w:val="nil"/>
            </w:tcBorders>
            <w:shd w:val="clear" w:color="auto" w:fill="auto"/>
            <w:noWrap/>
            <w:vAlign w:val="bottom"/>
            <w:hideMark/>
          </w:tcPr>
          <w:p w14:paraId="18936290"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9.6</w:t>
            </w:r>
          </w:p>
        </w:tc>
        <w:tc>
          <w:tcPr>
            <w:tcW w:w="1872" w:type="dxa"/>
            <w:tcBorders>
              <w:top w:val="nil"/>
              <w:left w:val="nil"/>
              <w:bottom w:val="nil"/>
              <w:right w:val="nil"/>
            </w:tcBorders>
            <w:shd w:val="clear" w:color="auto" w:fill="auto"/>
            <w:noWrap/>
            <w:vAlign w:val="bottom"/>
            <w:hideMark/>
          </w:tcPr>
          <w:p w14:paraId="6938E6CE"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25.8</w:t>
            </w:r>
          </w:p>
        </w:tc>
        <w:tc>
          <w:tcPr>
            <w:tcW w:w="870" w:type="dxa"/>
            <w:tcBorders>
              <w:top w:val="nil"/>
              <w:left w:val="nil"/>
              <w:bottom w:val="nil"/>
              <w:right w:val="nil"/>
            </w:tcBorders>
            <w:shd w:val="clear" w:color="auto" w:fill="auto"/>
            <w:noWrap/>
            <w:vAlign w:val="bottom"/>
            <w:hideMark/>
          </w:tcPr>
          <w:p w14:paraId="46FB6B64"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0.0</w:t>
            </w:r>
          </w:p>
        </w:tc>
        <w:tc>
          <w:tcPr>
            <w:tcW w:w="1650" w:type="dxa"/>
            <w:tcBorders>
              <w:top w:val="nil"/>
              <w:left w:val="nil"/>
              <w:bottom w:val="nil"/>
            </w:tcBorders>
            <w:shd w:val="clear" w:color="auto" w:fill="auto"/>
            <w:noWrap/>
            <w:vAlign w:val="bottom"/>
            <w:hideMark/>
          </w:tcPr>
          <w:p w14:paraId="3653AD27"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23.4</w:t>
            </w:r>
          </w:p>
        </w:tc>
      </w:tr>
      <w:tr w:rsidR="006B42D6" w:rsidRPr="001959ED" w14:paraId="3BB0AFEB" w14:textId="77777777" w:rsidTr="00A62AD1">
        <w:trPr>
          <w:trHeight w:hRule="exact" w:val="238"/>
        </w:trPr>
        <w:tc>
          <w:tcPr>
            <w:tcW w:w="1750" w:type="dxa"/>
            <w:tcBorders>
              <w:top w:val="nil"/>
              <w:bottom w:val="nil"/>
              <w:right w:val="nil"/>
            </w:tcBorders>
            <w:shd w:val="clear" w:color="auto" w:fill="auto"/>
            <w:noWrap/>
            <w:vAlign w:val="bottom"/>
            <w:hideMark/>
          </w:tcPr>
          <w:p w14:paraId="34F54856" w14:textId="77777777" w:rsidR="00A32971" w:rsidRPr="001959ED" w:rsidRDefault="00A32971" w:rsidP="00AF7CD1">
            <w:pPr>
              <w:pStyle w:val="NoSpacing"/>
              <w:spacing w:line="360" w:lineRule="auto"/>
              <w:jc w:val="both"/>
              <w:rPr>
                <w:rFonts w:ascii="Times New Roman" w:hAnsi="Times New Roman"/>
                <w:sz w:val="16"/>
                <w:szCs w:val="16"/>
              </w:rPr>
            </w:pPr>
            <w:r w:rsidRPr="001959ED">
              <w:rPr>
                <w:rFonts w:ascii="Times New Roman" w:hAnsi="Times New Roman"/>
                <w:sz w:val="16"/>
                <w:szCs w:val="16"/>
              </w:rPr>
              <w:t>Kaskazini Pemba</w:t>
            </w:r>
          </w:p>
        </w:tc>
        <w:tc>
          <w:tcPr>
            <w:tcW w:w="910" w:type="dxa"/>
            <w:tcBorders>
              <w:top w:val="nil"/>
              <w:left w:val="nil"/>
              <w:bottom w:val="nil"/>
              <w:right w:val="nil"/>
            </w:tcBorders>
            <w:shd w:val="clear" w:color="auto" w:fill="auto"/>
            <w:noWrap/>
            <w:vAlign w:val="bottom"/>
            <w:hideMark/>
          </w:tcPr>
          <w:p w14:paraId="40E4D7BF"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0.3</w:t>
            </w:r>
          </w:p>
        </w:tc>
        <w:tc>
          <w:tcPr>
            <w:tcW w:w="1644" w:type="dxa"/>
            <w:tcBorders>
              <w:top w:val="nil"/>
              <w:left w:val="nil"/>
              <w:bottom w:val="nil"/>
              <w:right w:val="nil"/>
            </w:tcBorders>
            <w:shd w:val="clear" w:color="auto" w:fill="auto"/>
            <w:noWrap/>
            <w:vAlign w:val="bottom"/>
            <w:hideMark/>
          </w:tcPr>
          <w:p w14:paraId="26357F53"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0.8</w:t>
            </w:r>
          </w:p>
        </w:tc>
        <w:tc>
          <w:tcPr>
            <w:tcW w:w="1872" w:type="dxa"/>
            <w:tcBorders>
              <w:top w:val="nil"/>
              <w:left w:val="nil"/>
              <w:bottom w:val="nil"/>
              <w:right w:val="nil"/>
            </w:tcBorders>
            <w:shd w:val="clear" w:color="auto" w:fill="auto"/>
            <w:noWrap/>
            <w:vAlign w:val="bottom"/>
            <w:hideMark/>
          </w:tcPr>
          <w:p w14:paraId="6D624AD2"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28.3</w:t>
            </w:r>
          </w:p>
        </w:tc>
        <w:tc>
          <w:tcPr>
            <w:tcW w:w="870" w:type="dxa"/>
            <w:tcBorders>
              <w:top w:val="nil"/>
              <w:left w:val="nil"/>
              <w:bottom w:val="nil"/>
              <w:right w:val="nil"/>
            </w:tcBorders>
            <w:shd w:val="clear" w:color="auto" w:fill="auto"/>
            <w:noWrap/>
            <w:vAlign w:val="bottom"/>
            <w:hideMark/>
          </w:tcPr>
          <w:p w14:paraId="6EDD58EA"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0.0</w:t>
            </w:r>
          </w:p>
        </w:tc>
        <w:tc>
          <w:tcPr>
            <w:tcW w:w="1650" w:type="dxa"/>
            <w:tcBorders>
              <w:top w:val="nil"/>
              <w:left w:val="nil"/>
              <w:bottom w:val="nil"/>
            </w:tcBorders>
            <w:shd w:val="clear" w:color="auto" w:fill="auto"/>
            <w:noWrap/>
            <w:vAlign w:val="bottom"/>
            <w:hideMark/>
          </w:tcPr>
          <w:p w14:paraId="3CA90850"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50.3</w:t>
            </w:r>
          </w:p>
        </w:tc>
      </w:tr>
      <w:tr w:rsidR="006B42D6" w:rsidRPr="001959ED" w14:paraId="189A06BD" w14:textId="77777777" w:rsidTr="00A62AD1">
        <w:trPr>
          <w:trHeight w:hRule="exact" w:val="238"/>
        </w:trPr>
        <w:tc>
          <w:tcPr>
            <w:tcW w:w="1750" w:type="dxa"/>
            <w:tcBorders>
              <w:top w:val="nil"/>
              <w:bottom w:val="nil"/>
              <w:right w:val="nil"/>
            </w:tcBorders>
            <w:shd w:val="clear" w:color="auto" w:fill="auto"/>
            <w:noWrap/>
            <w:vAlign w:val="bottom"/>
            <w:hideMark/>
          </w:tcPr>
          <w:p w14:paraId="04598F75" w14:textId="77777777" w:rsidR="00A32971" w:rsidRPr="001959ED" w:rsidRDefault="00A32971" w:rsidP="00AF7CD1">
            <w:pPr>
              <w:pStyle w:val="NoSpacing"/>
              <w:spacing w:line="360" w:lineRule="auto"/>
              <w:jc w:val="both"/>
              <w:rPr>
                <w:rFonts w:ascii="Times New Roman" w:hAnsi="Times New Roman"/>
                <w:sz w:val="16"/>
                <w:szCs w:val="16"/>
              </w:rPr>
            </w:pPr>
            <w:r w:rsidRPr="001959ED">
              <w:rPr>
                <w:rFonts w:ascii="Times New Roman" w:hAnsi="Times New Roman"/>
                <w:sz w:val="16"/>
                <w:szCs w:val="16"/>
              </w:rPr>
              <w:t>Kusini Pemba</w:t>
            </w:r>
          </w:p>
        </w:tc>
        <w:tc>
          <w:tcPr>
            <w:tcW w:w="910" w:type="dxa"/>
            <w:tcBorders>
              <w:top w:val="nil"/>
              <w:left w:val="nil"/>
              <w:bottom w:val="nil"/>
              <w:right w:val="nil"/>
            </w:tcBorders>
            <w:shd w:val="clear" w:color="auto" w:fill="auto"/>
            <w:noWrap/>
            <w:vAlign w:val="bottom"/>
            <w:hideMark/>
          </w:tcPr>
          <w:p w14:paraId="7AE1411C"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0.2</w:t>
            </w:r>
          </w:p>
        </w:tc>
        <w:tc>
          <w:tcPr>
            <w:tcW w:w="1644" w:type="dxa"/>
            <w:tcBorders>
              <w:top w:val="nil"/>
              <w:left w:val="nil"/>
              <w:bottom w:val="nil"/>
              <w:right w:val="nil"/>
            </w:tcBorders>
            <w:shd w:val="clear" w:color="auto" w:fill="auto"/>
            <w:noWrap/>
            <w:vAlign w:val="bottom"/>
            <w:hideMark/>
          </w:tcPr>
          <w:p w14:paraId="2E8BC58F"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13.0</w:t>
            </w:r>
          </w:p>
        </w:tc>
        <w:tc>
          <w:tcPr>
            <w:tcW w:w="1872" w:type="dxa"/>
            <w:tcBorders>
              <w:top w:val="nil"/>
              <w:left w:val="nil"/>
              <w:bottom w:val="nil"/>
              <w:right w:val="nil"/>
            </w:tcBorders>
            <w:shd w:val="clear" w:color="auto" w:fill="auto"/>
            <w:noWrap/>
            <w:vAlign w:val="bottom"/>
            <w:hideMark/>
          </w:tcPr>
          <w:p w14:paraId="4326D87D"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24.5</w:t>
            </w:r>
          </w:p>
        </w:tc>
        <w:tc>
          <w:tcPr>
            <w:tcW w:w="870" w:type="dxa"/>
            <w:tcBorders>
              <w:top w:val="nil"/>
              <w:left w:val="nil"/>
              <w:bottom w:val="nil"/>
              <w:right w:val="nil"/>
            </w:tcBorders>
            <w:shd w:val="clear" w:color="auto" w:fill="auto"/>
            <w:noWrap/>
            <w:vAlign w:val="bottom"/>
            <w:hideMark/>
          </w:tcPr>
          <w:p w14:paraId="444C0F92"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0.8</w:t>
            </w:r>
          </w:p>
        </w:tc>
        <w:tc>
          <w:tcPr>
            <w:tcW w:w="1650" w:type="dxa"/>
            <w:tcBorders>
              <w:top w:val="nil"/>
              <w:left w:val="nil"/>
              <w:bottom w:val="nil"/>
            </w:tcBorders>
            <w:shd w:val="clear" w:color="auto" w:fill="auto"/>
            <w:noWrap/>
            <w:vAlign w:val="bottom"/>
            <w:hideMark/>
          </w:tcPr>
          <w:p w14:paraId="34FE3DEA" w14:textId="77777777" w:rsidR="00A32971" w:rsidRPr="001959ED" w:rsidRDefault="00A32971" w:rsidP="00AF7CD1">
            <w:pPr>
              <w:pStyle w:val="NoSpacing"/>
              <w:spacing w:line="360" w:lineRule="auto"/>
              <w:jc w:val="right"/>
              <w:rPr>
                <w:rFonts w:ascii="Times New Roman" w:hAnsi="Times New Roman"/>
                <w:sz w:val="16"/>
                <w:szCs w:val="16"/>
              </w:rPr>
            </w:pPr>
            <w:r w:rsidRPr="001959ED">
              <w:rPr>
                <w:rFonts w:ascii="Times New Roman" w:hAnsi="Times New Roman"/>
                <w:sz w:val="16"/>
                <w:szCs w:val="16"/>
              </w:rPr>
              <w:t>46.3</w:t>
            </w:r>
          </w:p>
        </w:tc>
      </w:tr>
      <w:tr w:rsidR="006B42D6" w:rsidRPr="001959ED" w14:paraId="487F6F89" w14:textId="77777777" w:rsidTr="00A62AD1">
        <w:trPr>
          <w:trHeight w:hRule="exact" w:val="238"/>
        </w:trPr>
        <w:tc>
          <w:tcPr>
            <w:tcW w:w="1750" w:type="dxa"/>
            <w:tcBorders>
              <w:top w:val="single" w:sz="4" w:space="0" w:color="auto"/>
              <w:bottom w:val="single" w:sz="4" w:space="0" w:color="auto"/>
              <w:right w:val="nil"/>
            </w:tcBorders>
            <w:shd w:val="clear" w:color="auto" w:fill="E2EFD9" w:themeFill="accent6" w:themeFillTint="33"/>
            <w:noWrap/>
            <w:vAlign w:val="bottom"/>
            <w:hideMark/>
          </w:tcPr>
          <w:p w14:paraId="68013422" w14:textId="0C20A1A5" w:rsidR="00A32971" w:rsidRPr="001959ED" w:rsidRDefault="008E7BB5" w:rsidP="00AF7CD1">
            <w:pPr>
              <w:pStyle w:val="NoSpacing"/>
              <w:spacing w:line="360" w:lineRule="auto"/>
              <w:jc w:val="both"/>
              <w:rPr>
                <w:rFonts w:ascii="Times New Roman" w:hAnsi="Times New Roman"/>
                <w:b/>
                <w:sz w:val="16"/>
                <w:szCs w:val="16"/>
              </w:rPr>
            </w:pPr>
            <w:r w:rsidRPr="001959ED">
              <w:rPr>
                <w:rFonts w:ascii="Times New Roman" w:hAnsi="Times New Roman"/>
                <w:b/>
                <w:sz w:val="16"/>
                <w:szCs w:val="16"/>
              </w:rPr>
              <w:t xml:space="preserve">Tanzania </w:t>
            </w:r>
            <w:r w:rsidR="00A32971" w:rsidRPr="001959ED">
              <w:rPr>
                <w:rFonts w:ascii="Times New Roman" w:hAnsi="Times New Roman"/>
                <w:b/>
                <w:sz w:val="16"/>
                <w:szCs w:val="16"/>
              </w:rPr>
              <w:t>Zanzibar</w:t>
            </w:r>
          </w:p>
        </w:tc>
        <w:tc>
          <w:tcPr>
            <w:tcW w:w="910" w:type="dxa"/>
            <w:tcBorders>
              <w:top w:val="single" w:sz="4" w:space="0" w:color="auto"/>
              <w:left w:val="nil"/>
              <w:bottom w:val="single" w:sz="4" w:space="0" w:color="auto"/>
              <w:right w:val="nil"/>
            </w:tcBorders>
            <w:shd w:val="clear" w:color="auto" w:fill="E2EFD9" w:themeFill="accent6" w:themeFillTint="33"/>
            <w:noWrap/>
            <w:vAlign w:val="bottom"/>
            <w:hideMark/>
          </w:tcPr>
          <w:p w14:paraId="1139F464" w14:textId="77777777" w:rsidR="00A32971" w:rsidRPr="001959ED" w:rsidRDefault="00A32971" w:rsidP="00AF7CD1">
            <w:pPr>
              <w:pStyle w:val="NoSpacing"/>
              <w:spacing w:line="360" w:lineRule="auto"/>
              <w:jc w:val="right"/>
              <w:rPr>
                <w:rFonts w:ascii="Times New Roman" w:hAnsi="Times New Roman"/>
                <w:b/>
                <w:sz w:val="16"/>
                <w:szCs w:val="16"/>
              </w:rPr>
            </w:pPr>
            <w:r w:rsidRPr="001959ED">
              <w:rPr>
                <w:rFonts w:ascii="Times New Roman" w:hAnsi="Times New Roman"/>
                <w:b/>
                <w:sz w:val="16"/>
                <w:szCs w:val="16"/>
              </w:rPr>
              <w:t>5.2</w:t>
            </w:r>
          </w:p>
        </w:tc>
        <w:tc>
          <w:tcPr>
            <w:tcW w:w="1644" w:type="dxa"/>
            <w:tcBorders>
              <w:top w:val="single" w:sz="4" w:space="0" w:color="auto"/>
              <w:left w:val="nil"/>
              <w:bottom w:val="single" w:sz="4" w:space="0" w:color="auto"/>
              <w:right w:val="nil"/>
            </w:tcBorders>
            <w:shd w:val="clear" w:color="auto" w:fill="E2EFD9" w:themeFill="accent6" w:themeFillTint="33"/>
            <w:noWrap/>
            <w:vAlign w:val="bottom"/>
            <w:hideMark/>
          </w:tcPr>
          <w:p w14:paraId="7761535A" w14:textId="77777777" w:rsidR="00A32971" w:rsidRPr="001959ED" w:rsidRDefault="00A32971" w:rsidP="00AF7CD1">
            <w:pPr>
              <w:pStyle w:val="NoSpacing"/>
              <w:spacing w:line="360" w:lineRule="auto"/>
              <w:jc w:val="right"/>
              <w:rPr>
                <w:rFonts w:ascii="Times New Roman" w:hAnsi="Times New Roman"/>
                <w:b/>
                <w:sz w:val="16"/>
                <w:szCs w:val="16"/>
              </w:rPr>
            </w:pPr>
            <w:r w:rsidRPr="001959ED">
              <w:rPr>
                <w:rFonts w:ascii="Times New Roman" w:hAnsi="Times New Roman"/>
                <w:b/>
                <w:sz w:val="16"/>
                <w:szCs w:val="16"/>
              </w:rPr>
              <w:t>8.7</w:t>
            </w:r>
          </w:p>
        </w:tc>
        <w:tc>
          <w:tcPr>
            <w:tcW w:w="1872" w:type="dxa"/>
            <w:tcBorders>
              <w:top w:val="single" w:sz="4" w:space="0" w:color="auto"/>
              <w:left w:val="nil"/>
              <w:bottom w:val="single" w:sz="4" w:space="0" w:color="auto"/>
              <w:right w:val="nil"/>
            </w:tcBorders>
            <w:shd w:val="clear" w:color="auto" w:fill="E2EFD9" w:themeFill="accent6" w:themeFillTint="33"/>
            <w:noWrap/>
            <w:vAlign w:val="bottom"/>
            <w:hideMark/>
          </w:tcPr>
          <w:p w14:paraId="6BC79848" w14:textId="77777777" w:rsidR="00A32971" w:rsidRPr="001959ED" w:rsidRDefault="00A32971" w:rsidP="00AF7CD1">
            <w:pPr>
              <w:pStyle w:val="NoSpacing"/>
              <w:spacing w:line="360" w:lineRule="auto"/>
              <w:jc w:val="right"/>
              <w:rPr>
                <w:rFonts w:ascii="Times New Roman" w:hAnsi="Times New Roman"/>
                <w:b/>
                <w:sz w:val="16"/>
                <w:szCs w:val="16"/>
              </w:rPr>
            </w:pPr>
            <w:r w:rsidRPr="001959ED">
              <w:rPr>
                <w:rFonts w:ascii="Times New Roman" w:hAnsi="Times New Roman"/>
                <w:b/>
                <w:sz w:val="16"/>
                <w:szCs w:val="16"/>
              </w:rPr>
              <w:t>36.1</w:t>
            </w:r>
          </w:p>
        </w:tc>
        <w:tc>
          <w:tcPr>
            <w:tcW w:w="870" w:type="dxa"/>
            <w:tcBorders>
              <w:top w:val="single" w:sz="4" w:space="0" w:color="auto"/>
              <w:left w:val="nil"/>
              <w:bottom w:val="single" w:sz="4" w:space="0" w:color="auto"/>
              <w:right w:val="nil"/>
            </w:tcBorders>
            <w:shd w:val="clear" w:color="auto" w:fill="E2EFD9" w:themeFill="accent6" w:themeFillTint="33"/>
            <w:noWrap/>
            <w:vAlign w:val="bottom"/>
            <w:hideMark/>
          </w:tcPr>
          <w:p w14:paraId="6329F445" w14:textId="77777777" w:rsidR="00A32971" w:rsidRPr="001959ED" w:rsidRDefault="00A32971" w:rsidP="00AF7CD1">
            <w:pPr>
              <w:pStyle w:val="NoSpacing"/>
              <w:spacing w:line="360" w:lineRule="auto"/>
              <w:jc w:val="right"/>
              <w:rPr>
                <w:rFonts w:ascii="Times New Roman" w:hAnsi="Times New Roman"/>
                <w:b/>
                <w:sz w:val="16"/>
                <w:szCs w:val="16"/>
              </w:rPr>
            </w:pPr>
            <w:r w:rsidRPr="001959ED">
              <w:rPr>
                <w:rFonts w:ascii="Times New Roman" w:hAnsi="Times New Roman"/>
                <w:b/>
                <w:sz w:val="16"/>
                <w:szCs w:val="16"/>
              </w:rPr>
              <w:t>0.7</w:t>
            </w:r>
          </w:p>
        </w:tc>
        <w:tc>
          <w:tcPr>
            <w:tcW w:w="1650" w:type="dxa"/>
            <w:tcBorders>
              <w:top w:val="single" w:sz="4" w:space="0" w:color="auto"/>
              <w:left w:val="nil"/>
              <w:bottom w:val="single" w:sz="4" w:space="0" w:color="auto"/>
            </w:tcBorders>
            <w:shd w:val="clear" w:color="auto" w:fill="E2EFD9" w:themeFill="accent6" w:themeFillTint="33"/>
            <w:noWrap/>
            <w:vAlign w:val="bottom"/>
            <w:hideMark/>
          </w:tcPr>
          <w:p w14:paraId="5B8CED7B" w14:textId="77777777" w:rsidR="00A32971" w:rsidRPr="001959ED" w:rsidRDefault="00A32971" w:rsidP="00AF7CD1">
            <w:pPr>
              <w:pStyle w:val="NoSpacing"/>
              <w:spacing w:line="360" w:lineRule="auto"/>
              <w:jc w:val="right"/>
              <w:rPr>
                <w:rFonts w:ascii="Times New Roman" w:hAnsi="Times New Roman"/>
                <w:b/>
                <w:sz w:val="16"/>
                <w:szCs w:val="16"/>
              </w:rPr>
            </w:pPr>
            <w:r w:rsidRPr="001959ED">
              <w:rPr>
                <w:rFonts w:ascii="Times New Roman" w:hAnsi="Times New Roman"/>
                <w:b/>
                <w:sz w:val="16"/>
                <w:szCs w:val="16"/>
              </w:rPr>
              <w:t>45.7</w:t>
            </w:r>
          </w:p>
        </w:tc>
      </w:tr>
      <w:tr w:rsidR="00A32971" w:rsidRPr="001959ED" w14:paraId="28F1B7E4" w14:textId="77777777" w:rsidTr="00A62AD1">
        <w:trPr>
          <w:trHeight w:hRule="exact" w:val="238"/>
        </w:trPr>
        <w:tc>
          <w:tcPr>
            <w:tcW w:w="1750" w:type="dxa"/>
            <w:tcBorders>
              <w:top w:val="nil"/>
              <w:bottom w:val="single" w:sz="4" w:space="0" w:color="auto"/>
              <w:right w:val="nil"/>
            </w:tcBorders>
            <w:shd w:val="clear" w:color="auto" w:fill="E2EFD9" w:themeFill="accent6" w:themeFillTint="33"/>
            <w:noWrap/>
            <w:vAlign w:val="bottom"/>
            <w:hideMark/>
          </w:tcPr>
          <w:p w14:paraId="5BE6AB2B" w14:textId="77777777" w:rsidR="00A32971" w:rsidRPr="001959ED" w:rsidRDefault="00A32971" w:rsidP="00AF7CD1">
            <w:pPr>
              <w:pStyle w:val="NoSpacing"/>
              <w:spacing w:line="360" w:lineRule="auto"/>
              <w:jc w:val="both"/>
              <w:rPr>
                <w:rFonts w:ascii="Times New Roman" w:hAnsi="Times New Roman"/>
                <w:b/>
                <w:sz w:val="16"/>
                <w:szCs w:val="16"/>
              </w:rPr>
            </w:pPr>
            <w:r w:rsidRPr="001959ED">
              <w:rPr>
                <w:rFonts w:ascii="Times New Roman" w:hAnsi="Times New Roman"/>
                <w:b/>
                <w:sz w:val="16"/>
                <w:szCs w:val="16"/>
              </w:rPr>
              <w:t>Tanzania</w:t>
            </w:r>
          </w:p>
        </w:tc>
        <w:tc>
          <w:tcPr>
            <w:tcW w:w="910" w:type="dxa"/>
            <w:tcBorders>
              <w:top w:val="nil"/>
              <w:left w:val="nil"/>
              <w:bottom w:val="single" w:sz="4" w:space="0" w:color="auto"/>
              <w:right w:val="nil"/>
            </w:tcBorders>
            <w:shd w:val="clear" w:color="auto" w:fill="E2EFD9" w:themeFill="accent6" w:themeFillTint="33"/>
            <w:noWrap/>
            <w:vAlign w:val="bottom"/>
            <w:hideMark/>
          </w:tcPr>
          <w:p w14:paraId="3B4166A4" w14:textId="77777777" w:rsidR="00A32971" w:rsidRPr="001959ED" w:rsidRDefault="00A32971" w:rsidP="00AF7CD1">
            <w:pPr>
              <w:pStyle w:val="NoSpacing"/>
              <w:spacing w:line="360" w:lineRule="auto"/>
              <w:jc w:val="right"/>
              <w:rPr>
                <w:rFonts w:ascii="Times New Roman" w:hAnsi="Times New Roman"/>
                <w:b/>
                <w:sz w:val="16"/>
                <w:szCs w:val="16"/>
              </w:rPr>
            </w:pPr>
            <w:r w:rsidRPr="001959ED">
              <w:rPr>
                <w:rFonts w:ascii="Times New Roman" w:hAnsi="Times New Roman"/>
                <w:b/>
                <w:sz w:val="16"/>
                <w:szCs w:val="16"/>
              </w:rPr>
              <w:t>19.0</w:t>
            </w:r>
          </w:p>
        </w:tc>
        <w:tc>
          <w:tcPr>
            <w:tcW w:w="1644" w:type="dxa"/>
            <w:tcBorders>
              <w:top w:val="nil"/>
              <w:left w:val="nil"/>
              <w:bottom w:val="single" w:sz="4" w:space="0" w:color="auto"/>
              <w:right w:val="nil"/>
            </w:tcBorders>
            <w:shd w:val="clear" w:color="auto" w:fill="E2EFD9" w:themeFill="accent6" w:themeFillTint="33"/>
            <w:noWrap/>
            <w:vAlign w:val="bottom"/>
            <w:hideMark/>
          </w:tcPr>
          <w:p w14:paraId="570B6922" w14:textId="77777777" w:rsidR="00A32971" w:rsidRPr="001959ED" w:rsidRDefault="00A32971" w:rsidP="00AF7CD1">
            <w:pPr>
              <w:pStyle w:val="NoSpacing"/>
              <w:spacing w:line="360" w:lineRule="auto"/>
              <w:jc w:val="right"/>
              <w:rPr>
                <w:rFonts w:ascii="Times New Roman" w:hAnsi="Times New Roman"/>
                <w:b/>
                <w:sz w:val="16"/>
                <w:szCs w:val="16"/>
              </w:rPr>
            </w:pPr>
            <w:r w:rsidRPr="001959ED">
              <w:rPr>
                <w:rFonts w:ascii="Times New Roman" w:hAnsi="Times New Roman"/>
                <w:b/>
                <w:sz w:val="16"/>
                <w:szCs w:val="16"/>
              </w:rPr>
              <w:t>14.5</w:t>
            </w:r>
          </w:p>
        </w:tc>
        <w:tc>
          <w:tcPr>
            <w:tcW w:w="1872" w:type="dxa"/>
            <w:tcBorders>
              <w:top w:val="nil"/>
              <w:left w:val="nil"/>
              <w:bottom w:val="single" w:sz="4" w:space="0" w:color="auto"/>
              <w:right w:val="nil"/>
            </w:tcBorders>
            <w:shd w:val="clear" w:color="auto" w:fill="E2EFD9" w:themeFill="accent6" w:themeFillTint="33"/>
            <w:noWrap/>
            <w:vAlign w:val="bottom"/>
            <w:hideMark/>
          </w:tcPr>
          <w:p w14:paraId="6BCD2919" w14:textId="77777777" w:rsidR="00A32971" w:rsidRPr="001959ED" w:rsidRDefault="00A32971" w:rsidP="00AF7CD1">
            <w:pPr>
              <w:pStyle w:val="NoSpacing"/>
              <w:spacing w:line="360" w:lineRule="auto"/>
              <w:jc w:val="right"/>
              <w:rPr>
                <w:rFonts w:ascii="Times New Roman" w:hAnsi="Times New Roman"/>
                <w:b/>
                <w:sz w:val="16"/>
                <w:szCs w:val="16"/>
              </w:rPr>
            </w:pPr>
            <w:r w:rsidRPr="001959ED">
              <w:rPr>
                <w:rFonts w:ascii="Times New Roman" w:hAnsi="Times New Roman"/>
                <w:b/>
                <w:sz w:val="16"/>
                <w:szCs w:val="16"/>
              </w:rPr>
              <w:t>60.8</w:t>
            </w:r>
          </w:p>
        </w:tc>
        <w:tc>
          <w:tcPr>
            <w:tcW w:w="870" w:type="dxa"/>
            <w:tcBorders>
              <w:top w:val="nil"/>
              <w:left w:val="nil"/>
              <w:bottom w:val="single" w:sz="4" w:space="0" w:color="auto"/>
              <w:right w:val="nil"/>
            </w:tcBorders>
            <w:shd w:val="clear" w:color="auto" w:fill="E2EFD9" w:themeFill="accent6" w:themeFillTint="33"/>
            <w:noWrap/>
            <w:vAlign w:val="bottom"/>
            <w:hideMark/>
          </w:tcPr>
          <w:p w14:paraId="38AE8591" w14:textId="77777777" w:rsidR="00A32971" w:rsidRPr="001959ED" w:rsidRDefault="00A32971" w:rsidP="00AF7CD1">
            <w:pPr>
              <w:pStyle w:val="NoSpacing"/>
              <w:spacing w:line="360" w:lineRule="auto"/>
              <w:jc w:val="right"/>
              <w:rPr>
                <w:rFonts w:ascii="Times New Roman" w:hAnsi="Times New Roman"/>
                <w:b/>
                <w:sz w:val="16"/>
                <w:szCs w:val="16"/>
              </w:rPr>
            </w:pPr>
            <w:r w:rsidRPr="001959ED">
              <w:rPr>
                <w:rFonts w:ascii="Times New Roman" w:hAnsi="Times New Roman"/>
                <w:b/>
                <w:sz w:val="16"/>
                <w:szCs w:val="16"/>
              </w:rPr>
              <w:t>22.1</w:t>
            </w:r>
          </w:p>
        </w:tc>
        <w:tc>
          <w:tcPr>
            <w:tcW w:w="1650" w:type="dxa"/>
            <w:tcBorders>
              <w:top w:val="nil"/>
              <w:left w:val="nil"/>
              <w:bottom w:val="single" w:sz="4" w:space="0" w:color="auto"/>
            </w:tcBorders>
            <w:shd w:val="clear" w:color="auto" w:fill="E2EFD9" w:themeFill="accent6" w:themeFillTint="33"/>
            <w:noWrap/>
            <w:vAlign w:val="bottom"/>
            <w:hideMark/>
          </w:tcPr>
          <w:p w14:paraId="1A46CB4B" w14:textId="77777777" w:rsidR="00A32971" w:rsidRPr="001959ED" w:rsidRDefault="00A32971" w:rsidP="00AF7CD1">
            <w:pPr>
              <w:pStyle w:val="NoSpacing"/>
              <w:spacing w:line="360" w:lineRule="auto"/>
              <w:jc w:val="right"/>
              <w:rPr>
                <w:rFonts w:ascii="Times New Roman" w:hAnsi="Times New Roman"/>
                <w:b/>
                <w:sz w:val="16"/>
                <w:szCs w:val="16"/>
              </w:rPr>
            </w:pPr>
            <w:r w:rsidRPr="001959ED">
              <w:rPr>
                <w:rFonts w:ascii="Times New Roman" w:hAnsi="Times New Roman"/>
                <w:b/>
                <w:sz w:val="16"/>
                <w:szCs w:val="16"/>
              </w:rPr>
              <w:t>21.2</w:t>
            </w:r>
          </w:p>
        </w:tc>
      </w:tr>
    </w:tbl>
    <w:p w14:paraId="37CF9BF5" w14:textId="77777777" w:rsidR="00A62AD1" w:rsidRDefault="00A62AD1">
      <w:pPr>
        <w:spacing w:line="240" w:lineRule="auto"/>
        <w:contextualSpacing w:val="0"/>
        <w:jc w:val="left"/>
      </w:pPr>
      <w:r>
        <w:br w:type="page"/>
      </w:r>
    </w:p>
    <w:p w14:paraId="5D275850" w14:textId="79E4B9D1" w:rsidR="00A32971" w:rsidRPr="006B42D6" w:rsidRDefault="00A32971" w:rsidP="00A32971">
      <w:pPr>
        <w:pStyle w:val="Heading3"/>
      </w:pPr>
      <w:bookmarkStart w:id="429" w:name="_Toc82385727"/>
      <w:r w:rsidRPr="006B42D6">
        <w:lastRenderedPageBreak/>
        <w:t>3.</w:t>
      </w:r>
      <w:r w:rsidR="00193728">
        <w:t>8</w:t>
      </w:r>
      <w:r w:rsidRPr="006B42D6">
        <w:t>.2</w:t>
      </w:r>
      <w:r w:rsidRPr="006B42D6">
        <w:tab/>
        <w:t>Main Marketing Challenges</w:t>
      </w:r>
      <w:bookmarkEnd w:id="429"/>
    </w:p>
    <w:p w14:paraId="4973E6F4" w14:textId="266A3C9B" w:rsidR="00A32971" w:rsidRPr="006B42D6" w:rsidRDefault="00A32971" w:rsidP="00B652A8">
      <w:r w:rsidRPr="006B42D6">
        <w:t>Households reported various marketing challenges encountered during both short and long rainy seasons in Tanzania. Majority of households (78.4 percent during short and 85.1 percent long rains) indicated low market price was the most important marketing challenge. The magnitude of low market price was felt more during the long rainy than in short rainy. Other reported marketing challenges were minor, cited by 5 percent or less of the households growing crops. This included market being too far, lack of buyers and lack of market information (Figure 3.</w:t>
      </w:r>
      <w:r w:rsidR="00FF4745" w:rsidRPr="006B42D6">
        <w:t>93</w:t>
      </w:r>
      <w:r w:rsidRPr="006B42D6">
        <w:t xml:space="preserve"> &amp; 3.</w:t>
      </w:r>
      <w:r w:rsidR="00FF4745" w:rsidRPr="006B42D6">
        <w:t>94</w:t>
      </w:r>
      <w:r w:rsidRPr="006B42D6">
        <w:t>).</w:t>
      </w:r>
    </w:p>
    <w:p w14:paraId="7E6FFC13" w14:textId="77777777" w:rsidR="00A32971" w:rsidRPr="00056E7F" w:rsidRDefault="00A32971" w:rsidP="00A32971">
      <w:pPr>
        <w:pStyle w:val="NoSpacing"/>
        <w:spacing w:line="360" w:lineRule="auto"/>
        <w:jc w:val="both"/>
        <w:rPr>
          <w:rFonts w:ascii="Times New Roman" w:hAnsi="Times New Roman"/>
          <w:sz w:val="20"/>
          <w:szCs w:val="20"/>
        </w:rPr>
      </w:pPr>
    </w:p>
    <w:p w14:paraId="29265226" w14:textId="1B947861" w:rsidR="00A32971" w:rsidRPr="006B42D6" w:rsidRDefault="00A32971" w:rsidP="00956FCF">
      <w:pPr>
        <w:pStyle w:val="Caption"/>
      </w:pPr>
      <w:bookmarkStart w:id="430" w:name="_Toc82386370"/>
      <w:r w:rsidRPr="006B42D6">
        <w:t>Figure 3.</w:t>
      </w:r>
      <w:r w:rsidR="00FF4745" w:rsidRPr="006B42D6">
        <w:t>93</w:t>
      </w:r>
      <w:r w:rsidR="00160100">
        <w:t>:</w:t>
      </w:r>
      <w:r w:rsidR="00056E7F">
        <w:tab/>
      </w:r>
      <w:r w:rsidRPr="006B42D6">
        <w:t>Percentage of Households Reported Marketing Challenges by Type of Challenge During 2019/20 Agricultural Year, Short Rainy Season</w:t>
      </w:r>
      <w:r w:rsidR="00FF4745" w:rsidRPr="006B42D6">
        <w:t>, Tanzania</w:t>
      </w:r>
      <w:bookmarkEnd w:id="430"/>
      <w:r w:rsidRPr="006B42D6">
        <w:t xml:space="preserve"> </w:t>
      </w:r>
    </w:p>
    <w:p w14:paraId="3E2A4F5A" w14:textId="77777777" w:rsidR="00A32971" w:rsidRPr="006B42D6" w:rsidRDefault="00A32971" w:rsidP="00A32971">
      <w:pPr>
        <w:pStyle w:val="NoSpacing"/>
        <w:spacing w:line="360" w:lineRule="auto"/>
        <w:jc w:val="both"/>
        <w:rPr>
          <w:sz w:val="23"/>
          <w:szCs w:val="23"/>
        </w:rPr>
      </w:pPr>
      <w:r w:rsidRPr="006B42D6">
        <w:rPr>
          <w:b/>
          <w:noProof/>
        </w:rPr>
        <w:drawing>
          <wp:inline distT="0" distB="0" distL="0" distR="0" wp14:anchorId="3BB5D248" wp14:editId="58AE6450">
            <wp:extent cx="5493544" cy="2486025"/>
            <wp:effectExtent l="0" t="0" r="18415" b="15875"/>
            <wp:docPr id="101" name="Chart 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5"/>
              </a:graphicData>
            </a:graphic>
          </wp:inline>
        </w:drawing>
      </w:r>
    </w:p>
    <w:p w14:paraId="7832F779" w14:textId="77777777" w:rsidR="00A32971" w:rsidRPr="00056E7F" w:rsidRDefault="00A32971" w:rsidP="00A32971">
      <w:pPr>
        <w:pStyle w:val="NoSpacing"/>
        <w:spacing w:line="360" w:lineRule="auto"/>
        <w:jc w:val="both"/>
        <w:rPr>
          <w:sz w:val="20"/>
          <w:szCs w:val="20"/>
        </w:rPr>
      </w:pPr>
    </w:p>
    <w:p w14:paraId="564CDD9C" w14:textId="750C92E9" w:rsidR="00A32971" w:rsidRPr="006B42D6" w:rsidRDefault="00A32971" w:rsidP="00956FCF">
      <w:pPr>
        <w:pStyle w:val="Caption"/>
      </w:pPr>
      <w:bookmarkStart w:id="431" w:name="_Toc82386371"/>
      <w:r w:rsidRPr="006B42D6">
        <w:t>Figure 3.</w:t>
      </w:r>
      <w:r w:rsidR="00FF4745" w:rsidRPr="006B42D6">
        <w:t>94</w:t>
      </w:r>
      <w:r w:rsidR="00056E7F">
        <w:tab/>
      </w:r>
      <w:r w:rsidRPr="006B42D6">
        <w:t>Percentage of Households Reported Marketing Challenges by Type of Challenge During 2019/20 Agricultural Year, Long Rainy Season</w:t>
      </w:r>
      <w:r w:rsidR="00FF4745" w:rsidRPr="006B42D6">
        <w:t>, Tanzania</w:t>
      </w:r>
      <w:bookmarkEnd w:id="431"/>
    </w:p>
    <w:p w14:paraId="5DDE7EDD" w14:textId="6D5F160E" w:rsidR="00A32971" w:rsidRDefault="00A32971" w:rsidP="00A32971">
      <w:pPr>
        <w:pStyle w:val="NoSpacing"/>
        <w:spacing w:line="360" w:lineRule="auto"/>
        <w:jc w:val="both"/>
        <w:rPr>
          <w:sz w:val="23"/>
          <w:szCs w:val="23"/>
        </w:rPr>
      </w:pPr>
      <w:r w:rsidRPr="006B42D6">
        <w:rPr>
          <w:noProof/>
        </w:rPr>
        <w:drawing>
          <wp:inline distT="0" distB="0" distL="0" distR="0" wp14:anchorId="3EC1B896" wp14:editId="354B4919">
            <wp:extent cx="5493385" cy="2621280"/>
            <wp:effectExtent l="0" t="0" r="18415" b="7620"/>
            <wp:docPr id="100" name="Chart 4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6"/>
              </a:graphicData>
            </a:graphic>
          </wp:inline>
        </w:drawing>
      </w:r>
    </w:p>
    <w:p w14:paraId="73DE0826" w14:textId="77777777" w:rsidR="00160100" w:rsidRPr="006B42D6" w:rsidRDefault="00160100" w:rsidP="00A32971">
      <w:pPr>
        <w:pStyle w:val="NoSpacing"/>
        <w:spacing w:line="360" w:lineRule="auto"/>
        <w:jc w:val="both"/>
        <w:rPr>
          <w:sz w:val="23"/>
          <w:szCs w:val="23"/>
        </w:rPr>
      </w:pPr>
    </w:p>
    <w:p w14:paraId="728181D7" w14:textId="77777777" w:rsidR="00160100" w:rsidRDefault="00160100" w:rsidP="00312263">
      <w:pPr>
        <w:pStyle w:val="Title"/>
        <w:sectPr w:rsidR="00160100" w:rsidSect="005F4FD7">
          <w:pgSz w:w="11900" w:h="16840" w:code="9"/>
          <w:pgMar w:top="1440" w:right="1440" w:bottom="1440" w:left="1440" w:header="709" w:footer="709" w:gutter="0"/>
          <w:cols w:space="708"/>
          <w:docGrid w:linePitch="360"/>
        </w:sectPr>
      </w:pPr>
    </w:p>
    <w:p w14:paraId="0106B5B4" w14:textId="3C0DA50C" w:rsidR="00312263" w:rsidRDefault="00312263" w:rsidP="00312263">
      <w:pPr>
        <w:pStyle w:val="Title"/>
      </w:pPr>
      <w:bookmarkStart w:id="432" w:name="_Toc82385728"/>
      <w:r>
        <w:lastRenderedPageBreak/>
        <w:t>CHAPTER FOUR</w:t>
      </w:r>
      <w:bookmarkEnd w:id="432"/>
    </w:p>
    <w:p w14:paraId="6853106A" w14:textId="04245612" w:rsidR="00697881" w:rsidRPr="006B42D6" w:rsidRDefault="00697881" w:rsidP="00312263">
      <w:pPr>
        <w:pStyle w:val="Subtitle"/>
      </w:pPr>
      <w:bookmarkStart w:id="433" w:name="_Toc82385729"/>
      <w:r w:rsidRPr="006B42D6">
        <w:t>LIVESTOCK</w:t>
      </w:r>
      <w:r w:rsidR="00FF4745" w:rsidRPr="006B42D6">
        <w:t xml:space="preserve">, FISH FARMING AND BEEKEEPING </w:t>
      </w:r>
      <w:r w:rsidRPr="006B42D6">
        <w:t>RESULTS</w:t>
      </w:r>
      <w:bookmarkEnd w:id="433"/>
    </w:p>
    <w:p w14:paraId="55A991D1" w14:textId="2661E2D6" w:rsidR="00697881" w:rsidRPr="006B42D6" w:rsidRDefault="00697881" w:rsidP="00C4159B">
      <w:pPr>
        <w:pStyle w:val="Heading1"/>
      </w:pPr>
      <w:bookmarkStart w:id="434" w:name="_Toc82385730"/>
      <w:r w:rsidRPr="006B42D6">
        <w:t>4.</w:t>
      </w:r>
      <w:r w:rsidR="00C4159B">
        <w:t>0</w:t>
      </w:r>
      <w:r w:rsidR="0000655E" w:rsidRPr="006B42D6">
        <w:tab/>
      </w:r>
      <w:r w:rsidRPr="006B42D6">
        <w:t>Introduction</w:t>
      </w:r>
      <w:bookmarkEnd w:id="434"/>
    </w:p>
    <w:p w14:paraId="654BDA90" w14:textId="16AEF327" w:rsidR="00697881" w:rsidRPr="006B42D6" w:rsidRDefault="00697881" w:rsidP="0083291D">
      <w:r w:rsidRPr="006B42D6">
        <w:t>Livestock rearing is one of the main agricultural activities in the country that is contributing towards the National Strategic Goals (NSGs) and the objective of the Tanzania Development Vision 2025. In the year 2019/20, the livestock sub-sector contributed 7.1</w:t>
      </w:r>
      <w:r w:rsidR="00DF2AEC" w:rsidRPr="006B42D6">
        <w:t xml:space="preserve"> percent</w:t>
      </w:r>
      <w:r w:rsidRPr="006B42D6">
        <w:t xml:space="preserve"> to the National Gross Domestic Product and grew by 5</w:t>
      </w:r>
      <w:r w:rsidR="00DF2AEC" w:rsidRPr="006B42D6">
        <w:t xml:space="preserve"> percent</w:t>
      </w:r>
      <w:r w:rsidRPr="006B42D6">
        <w:t xml:space="preserve"> (The Economic Survey 2020). </w:t>
      </w:r>
    </w:p>
    <w:p w14:paraId="2A0CA5C6" w14:textId="77777777" w:rsidR="00697881" w:rsidRPr="006B42D6" w:rsidRDefault="00697881" w:rsidP="004A59AE">
      <w:pPr>
        <w:spacing w:line="240" w:lineRule="auto"/>
      </w:pPr>
    </w:p>
    <w:p w14:paraId="42406024" w14:textId="3C5F6F9B" w:rsidR="00697881" w:rsidRPr="006B42D6" w:rsidRDefault="00697881" w:rsidP="0083291D">
      <w:pPr>
        <w:rPr>
          <w:w w:val="105"/>
        </w:rPr>
      </w:pPr>
      <w:r w:rsidRPr="006B42D6">
        <w:t xml:space="preserve">Furthermore, the livestock sub-sector plays a significant role in the economy of agricultural households in Tanzania as it provides best source of animal protein, food security, cash income, manure for the crop and </w:t>
      </w:r>
      <w:r w:rsidR="008A36B4">
        <w:t>vegetable</w:t>
      </w:r>
      <w:r w:rsidRPr="006B42D6">
        <w:t xml:space="preserve"> production, draught animal power, and other socio – economic functions.</w:t>
      </w:r>
      <w:r w:rsidRPr="006B42D6">
        <w:rPr>
          <w:bCs/>
        </w:rPr>
        <w:t xml:space="preserve"> </w:t>
      </w:r>
      <w:r w:rsidRPr="006B42D6">
        <w:t xml:space="preserve">The main </w:t>
      </w:r>
      <w:r w:rsidRPr="006B42D6">
        <w:rPr>
          <w:w w:val="105"/>
        </w:rPr>
        <w:t>types of livestock raised in Tanzania are cattle, goats, sheep, pigs, chicken, other birds including ducks, turkeys and guinea fowls; and other livestock (rabbits, donkeys and guinea pigs</w:t>
      </w:r>
      <w:r w:rsidR="008A36B4">
        <w:rPr>
          <w:w w:val="105"/>
        </w:rPr>
        <w:t>)</w:t>
      </w:r>
      <w:r w:rsidRPr="006B42D6">
        <w:rPr>
          <w:w w:val="105"/>
        </w:rPr>
        <w:t xml:space="preserve">. Livestock products produced include meat, milk, eggs, hides and skins. </w:t>
      </w:r>
    </w:p>
    <w:p w14:paraId="3AB51C4C" w14:textId="77777777" w:rsidR="00697881" w:rsidRPr="006B42D6" w:rsidRDefault="00697881" w:rsidP="004A59AE">
      <w:pPr>
        <w:spacing w:line="240" w:lineRule="auto"/>
        <w:rPr>
          <w:w w:val="105"/>
        </w:rPr>
      </w:pPr>
    </w:p>
    <w:p w14:paraId="510B5392" w14:textId="34496C8B" w:rsidR="00697881" w:rsidRPr="006B42D6" w:rsidRDefault="00697881" w:rsidP="0083291D">
      <w:r w:rsidRPr="006B42D6">
        <w:t>This chapter presents the results in relation to the livestock population at national and regional level</w:t>
      </w:r>
      <w:r w:rsidR="008A36B4">
        <w:t>s</w:t>
      </w:r>
      <w:r w:rsidRPr="006B42D6">
        <w:t xml:space="preserve"> in both </w:t>
      </w:r>
      <w:r w:rsidR="00EA1552">
        <w:t>Mainland Tanzania</w:t>
      </w:r>
      <w:r w:rsidRPr="006B42D6">
        <w:t xml:space="preserve"> and </w:t>
      </w:r>
      <w:r w:rsidR="00255E17" w:rsidRPr="006B42D6">
        <w:t xml:space="preserve">Tanzania </w:t>
      </w:r>
      <w:r w:rsidRPr="006B42D6">
        <w:t xml:space="preserve">Zanzibar. Other livestock variables discussed in this chapter include livestock diseases, methods of cattle identification, livestock products (milk, eggs, and hides and skin), extension services and pests and parasites control. Moreover, it includes data from </w:t>
      </w:r>
      <w:r w:rsidR="00FF4745" w:rsidRPr="006B42D6">
        <w:t xml:space="preserve">large scale farms </w:t>
      </w:r>
      <w:r w:rsidRPr="006B42D6">
        <w:t>to enable national estimation of livestock</w:t>
      </w:r>
      <w:r w:rsidR="00DF2AEC" w:rsidRPr="006B42D6">
        <w:t xml:space="preserve"> population,</w:t>
      </w:r>
      <w:r w:rsidRPr="006B42D6">
        <w:t xml:space="preserve"> production and products. The reference date for livestock population was as of 1</w:t>
      </w:r>
      <w:r w:rsidRPr="006B42D6">
        <w:rPr>
          <w:vertAlign w:val="superscript"/>
        </w:rPr>
        <w:t>st</w:t>
      </w:r>
      <w:r w:rsidRPr="006B42D6">
        <w:t xml:space="preserve"> August 2020</w:t>
      </w:r>
      <w:r w:rsidR="00DF2AEC" w:rsidRPr="006B42D6">
        <w:t>,</w:t>
      </w:r>
      <w:r w:rsidRPr="006B42D6">
        <w:t xml:space="preserve"> while other </w:t>
      </w:r>
      <w:r w:rsidR="00DF2AEC" w:rsidRPr="006B42D6">
        <w:t xml:space="preserve">livestock related </w:t>
      </w:r>
      <w:r w:rsidRPr="006B42D6">
        <w:t xml:space="preserve">variables </w:t>
      </w:r>
      <w:r w:rsidR="00DF2AEC" w:rsidRPr="006B42D6">
        <w:t xml:space="preserve">were </w:t>
      </w:r>
      <w:r w:rsidRPr="006B42D6">
        <w:t xml:space="preserve">collected </w:t>
      </w:r>
      <w:r w:rsidR="00DF2AEC" w:rsidRPr="006B42D6">
        <w:t>based on the</w:t>
      </w:r>
      <w:r w:rsidRPr="006B42D6">
        <w:t xml:space="preserve"> 2019/20 agricultural year. Whenever possible the </w:t>
      </w:r>
      <w:r w:rsidR="00DF2AEC" w:rsidRPr="006B42D6">
        <w:t xml:space="preserve">2019/20 census </w:t>
      </w:r>
      <w:r w:rsidRPr="006B42D6">
        <w:t>results are compared with previous</w:t>
      </w:r>
      <w:r w:rsidR="00DF2AEC" w:rsidRPr="006B42D6">
        <w:t xml:space="preserve"> A</w:t>
      </w:r>
      <w:r w:rsidRPr="006B42D6">
        <w:t>gricultur</w:t>
      </w:r>
      <w:r w:rsidR="00DF2AEC" w:rsidRPr="006B42D6">
        <w:t>e</w:t>
      </w:r>
      <w:r w:rsidRPr="006B42D6">
        <w:t xml:space="preserve"> Censuses over the period between 2002/03 and 2007/08.</w:t>
      </w:r>
    </w:p>
    <w:p w14:paraId="034ED4CD" w14:textId="77777777" w:rsidR="006B5C77" w:rsidRPr="006B5C77" w:rsidRDefault="006B5C77" w:rsidP="004A59AE">
      <w:pPr>
        <w:spacing w:line="240" w:lineRule="auto"/>
      </w:pPr>
    </w:p>
    <w:p w14:paraId="08207719" w14:textId="4CDB84DB" w:rsidR="00697881" w:rsidRPr="006B42D6" w:rsidRDefault="00697881" w:rsidP="005C2EFC">
      <w:pPr>
        <w:pStyle w:val="Heading2"/>
      </w:pPr>
      <w:bookmarkStart w:id="435" w:name="_Toc82385731"/>
      <w:r w:rsidRPr="006B42D6">
        <w:t>4.</w:t>
      </w:r>
      <w:r w:rsidR="00C4159B">
        <w:t>1</w:t>
      </w:r>
      <w:r w:rsidR="0000655E" w:rsidRPr="006B42D6">
        <w:tab/>
      </w:r>
      <w:r w:rsidRPr="006B42D6">
        <w:t>Livestock Population</w:t>
      </w:r>
      <w:bookmarkEnd w:id="435"/>
      <w:r w:rsidRPr="006B42D6">
        <w:t xml:space="preserve"> </w:t>
      </w:r>
    </w:p>
    <w:p w14:paraId="6085A7A3" w14:textId="2DF980E0" w:rsidR="00697881" w:rsidRPr="006B42D6" w:rsidRDefault="00697881" w:rsidP="006B5C77">
      <w:r w:rsidRPr="006B42D6">
        <w:t xml:space="preserve">The main types and number of livestock covered in the 2019/20 Agricultural Sample Census </w:t>
      </w:r>
      <w:r w:rsidR="008A36B4">
        <w:t>were</w:t>
      </w:r>
      <w:r w:rsidRPr="006B42D6">
        <w:t xml:space="preserve"> </w:t>
      </w:r>
      <w:r w:rsidR="00DF2AEC" w:rsidRPr="006B42D6">
        <w:t>categorized</w:t>
      </w:r>
      <w:r w:rsidRPr="006B42D6">
        <w:t xml:space="preserve"> into three</w:t>
      </w:r>
      <w:r w:rsidR="00DF2AEC" w:rsidRPr="006B42D6">
        <w:t xml:space="preserve"> areas</w:t>
      </w:r>
      <w:r w:rsidRPr="006B42D6">
        <w:t xml:space="preserve">; i) Main livestock raised includes cattle, goats, sheep and pigs; ii) </w:t>
      </w:r>
      <w:r w:rsidR="00FE6014" w:rsidRPr="006B42D6">
        <w:t>P</w:t>
      </w:r>
      <w:r w:rsidRPr="006B42D6">
        <w:t xml:space="preserve">oultry which comprises </w:t>
      </w:r>
      <w:r w:rsidR="00FE6014" w:rsidRPr="006B42D6">
        <w:t xml:space="preserve">of </w:t>
      </w:r>
      <w:r w:rsidRPr="006B42D6">
        <w:t>chicken, ducks</w:t>
      </w:r>
      <w:r w:rsidR="008A36B4">
        <w:t xml:space="preserve"> and </w:t>
      </w:r>
      <w:r w:rsidRPr="006B42D6">
        <w:t xml:space="preserve">turkeys; and iii) </w:t>
      </w:r>
      <w:r w:rsidR="00FE6014" w:rsidRPr="006B42D6">
        <w:t>O</w:t>
      </w:r>
      <w:r w:rsidRPr="006B42D6">
        <w:t xml:space="preserve">ther livestock that </w:t>
      </w:r>
      <w:r w:rsidR="008A36B4">
        <w:t>were recorded includes</w:t>
      </w:r>
      <w:r w:rsidRPr="006B42D6">
        <w:t xml:space="preserve"> rabbits, donkeys, horses and dogs.</w:t>
      </w:r>
    </w:p>
    <w:p w14:paraId="2E43C12A" w14:textId="3E412F78" w:rsidR="00010865" w:rsidRDefault="00010865">
      <w:pPr>
        <w:spacing w:line="240" w:lineRule="auto"/>
        <w:contextualSpacing w:val="0"/>
        <w:jc w:val="left"/>
      </w:pPr>
      <w:r>
        <w:br w:type="page"/>
      </w:r>
    </w:p>
    <w:p w14:paraId="52C6124A" w14:textId="06CEC2B0" w:rsidR="006B5C77" w:rsidRDefault="00697881" w:rsidP="004A59AE">
      <w:r w:rsidRPr="006B42D6">
        <w:lastRenderedPageBreak/>
        <w:t xml:space="preserve">A </w:t>
      </w:r>
      <w:r w:rsidRPr="006B42D6">
        <w:rPr>
          <w:bCs/>
        </w:rPr>
        <w:t>total of 2,747,911</w:t>
      </w:r>
      <w:r w:rsidRPr="006B42D6">
        <w:t xml:space="preserve"> households</w:t>
      </w:r>
      <w:r w:rsidR="00C32B20" w:rsidRPr="006B42D6">
        <w:t>,</w:t>
      </w:r>
      <w:r w:rsidRPr="006B42D6">
        <w:t xml:space="preserve"> out of </w:t>
      </w:r>
      <w:r w:rsidRPr="006B42D6">
        <w:rPr>
          <w:bCs/>
        </w:rPr>
        <w:t xml:space="preserve">7,837,405 </w:t>
      </w:r>
      <w:r w:rsidRPr="006B42D6">
        <w:t xml:space="preserve">agricultural households, were involved in rearing livestock in Tanzania during 2019/20 </w:t>
      </w:r>
      <w:r w:rsidR="00FE6014" w:rsidRPr="006B42D6">
        <w:t>agricultural year</w:t>
      </w:r>
      <w:r w:rsidRPr="006B42D6">
        <w:t xml:space="preserve">. The results show that, </w:t>
      </w:r>
      <w:r w:rsidR="00433425" w:rsidRPr="006B42D6">
        <w:rPr>
          <w:lang w:eastAsia="en-GB"/>
        </w:rPr>
        <w:t xml:space="preserve">1,971,550 </w:t>
      </w:r>
      <w:r w:rsidRPr="006B42D6">
        <w:t>households (</w:t>
      </w:r>
      <w:r w:rsidR="00592D44" w:rsidRPr="006B42D6">
        <w:t>39.3</w:t>
      </w:r>
      <w:r w:rsidRPr="006B42D6">
        <w:t xml:space="preserve"> percent) raised cattle, followed by goats (1,8</w:t>
      </w:r>
      <w:r w:rsidR="003E09E6" w:rsidRPr="006B42D6">
        <w:t>1</w:t>
      </w:r>
      <w:r w:rsidRPr="006B42D6">
        <w:t>5,2</w:t>
      </w:r>
      <w:r w:rsidR="000831AF" w:rsidRPr="006B42D6">
        <w:t>20</w:t>
      </w:r>
      <w:r w:rsidRPr="006B42D6">
        <w:t>; 36.</w:t>
      </w:r>
      <w:r w:rsidR="00592D44" w:rsidRPr="006B42D6">
        <w:t>2</w:t>
      </w:r>
      <w:r w:rsidRPr="006B42D6">
        <w:t xml:space="preserve"> percent), sheep (6</w:t>
      </w:r>
      <w:r w:rsidR="000831AF" w:rsidRPr="006B42D6">
        <w:t>77</w:t>
      </w:r>
      <w:r w:rsidRPr="006B42D6">
        <w:t>,</w:t>
      </w:r>
      <w:r w:rsidR="000831AF" w:rsidRPr="006B42D6">
        <w:t>273</w:t>
      </w:r>
      <w:r w:rsidRPr="006B42D6">
        <w:t>; 13.</w:t>
      </w:r>
      <w:r w:rsidR="00592D44" w:rsidRPr="006B42D6">
        <w:t>5</w:t>
      </w:r>
      <w:r w:rsidRPr="006B42D6">
        <w:t xml:space="preserve"> percent) and pigs (546,</w:t>
      </w:r>
      <w:r w:rsidR="00D01A4F">
        <w:t>986</w:t>
      </w:r>
      <w:r w:rsidRPr="006B42D6">
        <w:t>; 10.</w:t>
      </w:r>
      <w:r w:rsidR="00592D44" w:rsidRPr="006B42D6">
        <w:t>9</w:t>
      </w:r>
      <w:r w:rsidRPr="006B42D6">
        <w:t xml:space="preserve"> percent). Cattle were the most dominant livestock raised with 33,928,39</w:t>
      </w:r>
      <w:r w:rsidR="00FE6014" w:rsidRPr="006B42D6">
        <w:t>1</w:t>
      </w:r>
      <w:r w:rsidRPr="006B42D6">
        <w:t xml:space="preserve"> (4</w:t>
      </w:r>
      <w:r w:rsidR="007F76C9">
        <w:t>8</w:t>
      </w:r>
      <w:r w:rsidRPr="006B42D6">
        <w:t>.</w:t>
      </w:r>
      <w:r w:rsidR="007F76C9">
        <w:t>3</w:t>
      </w:r>
      <w:r w:rsidRPr="006B42D6">
        <w:t xml:space="preserve"> percent) heads</w:t>
      </w:r>
      <w:r w:rsidR="00FE6014" w:rsidRPr="006B42D6">
        <w:t>,</w:t>
      </w:r>
      <w:r w:rsidRPr="006B42D6">
        <w:t xml:space="preserve"> followed by goats (24,568,39</w:t>
      </w:r>
      <w:r w:rsidR="000831AF" w:rsidRPr="006B42D6">
        <w:t>6</w:t>
      </w:r>
      <w:r w:rsidRPr="006B42D6">
        <w:t>; 35.</w:t>
      </w:r>
      <w:r w:rsidR="007F76C9">
        <w:t>0</w:t>
      </w:r>
      <w:r w:rsidRPr="006B42D6">
        <w:t xml:space="preserve"> percent), sheep (8,516,9</w:t>
      </w:r>
      <w:r w:rsidR="000831AF" w:rsidRPr="006B42D6">
        <w:t>90</w:t>
      </w:r>
      <w:r w:rsidRPr="006B42D6">
        <w:t>; 12.1 percent), and pigs (3,208,49</w:t>
      </w:r>
      <w:r w:rsidR="00C130BA" w:rsidRPr="006B42D6">
        <w:t>5</w:t>
      </w:r>
      <w:r w:rsidRPr="006B42D6">
        <w:t>; 4.6 percent)</w:t>
      </w:r>
      <w:r w:rsidR="0091143A" w:rsidRPr="006B42D6">
        <w:t xml:space="preserve"> (</w:t>
      </w:r>
      <w:r w:rsidRPr="006B42D6">
        <w:t>Figure 4.</w:t>
      </w:r>
      <w:r w:rsidR="003605E5" w:rsidRPr="006B42D6">
        <w:t>1 &amp; 4.2</w:t>
      </w:r>
      <w:r w:rsidR="0091143A" w:rsidRPr="006B42D6">
        <w:t>).</w:t>
      </w:r>
    </w:p>
    <w:p w14:paraId="2F9A7259" w14:textId="5FE81A22" w:rsidR="007F76C9" w:rsidRDefault="00010865" w:rsidP="00D01A4F">
      <w:r>
        <w:rPr>
          <w:noProof/>
        </w:rPr>
        <mc:AlternateContent>
          <mc:Choice Requires="wps">
            <w:drawing>
              <wp:anchor distT="0" distB="0" distL="114300" distR="114300" simplePos="0" relativeHeight="251800576" behindDoc="1" locked="0" layoutInCell="1" allowOverlap="1" wp14:anchorId="2E595566" wp14:editId="24401D79">
                <wp:simplePos x="0" y="0"/>
                <wp:positionH relativeFrom="column">
                  <wp:posOffset>2950210</wp:posOffset>
                </wp:positionH>
                <wp:positionV relativeFrom="paragraph">
                  <wp:posOffset>323850</wp:posOffset>
                </wp:positionV>
                <wp:extent cx="3086100" cy="584835"/>
                <wp:effectExtent l="0" t="0" r="0" b="0"/>
                <wp:wrapTight wrapText="bothSides">
                  <wp:wrapPolygon edited="0">
                    <wp:start x="0" y="0"/>
                    <wp:lineTo x="0" y="21107"/>
                    <wp:lineTo x="21511" y="21107"/>
                    <wp:lineTo x="21511" y="0"/>
                    <wp:lineTo x="0" y="0"/>
                  </wp:wrapPolygon>
                </wp:wrapTight>
                <wp:docPr id="562" name="Text Box 562"/>
                <wp:cNvGraphicFramePr/>
                <a:graphic xmlns:a="http://schemas.openxmlformats.org/drawingml/2006/main">
                  <a:graphicData uri="http://schemas.microsoft.com/office/word/2010/wordprocessingShape">
                    <wps:wsp>
                      <wps:cNvSpPr txBox="1"/>
                      <wps:spPr>
                        <a:xfrm>
                          <a:off x="0" y="0"/>
                          <a:ext cx="3086100" cy="584835"/>
                        </a:xfrm>
                        <a:prstGeom prst="rect">
                          <a:avLst/>
                        </a:prstGeom>
                        <a:solidFill>
                          <a:prstClr val="white"/>
                        </a:solidFill>
                        <a:ln>
                          <a:noFill/>
                        </a:ln>
                      </wps:spPr>
                      <wps:txbx>
                        <w:txbxContent>
                          <w:p w14:paraId="0416941B" w14:textId="77777777" w:rsidR="00933456" w:rsidRPr="003605E5" w:rsidRDefault="00933456" w:rsidP="007F76C9">
                            <w:pPr>
                              <w:pStyle w:val="Caption"/>
                              <w:rPr>
                                <w:b w:val="0"/>
                                <w:i/>
                                <w:noProof/>
                                <w:szCs w:val="16"/>
                              </w:rPr>
                            </w:pPr>
                            <w:bookmarkStart w:id="436" w:name="_Toc80120272"/>
                            <w:bookmarkStart w:id="437" w:name="_Toc80884148"/>
                            <w:bookmarkStart w:id="438" w:name="_Toc80884519"/>
                            <w:bookmarkStart w:id="439" w:name="_Toc82386372"/>
                            <w:r w:rsidRPr="003605E5">
                              <w:rPr>
                                <w:szCs w:val="16"/>
                              </w:rPr>
                              <w:t>Figure 4.2</w:t>
                            </w:r>
                            <w:r>
                              <w:rPr>
                                <w:szCs w:val="16"/>
                              </w:rPr>
                              <w:t>:</w:t>
                            </w:r>
                            <w:r>
                              <w:rPr>
                                <w:szCs w:val="16"/>
                              </w:rPr>
                              <w:tab/>
                            </w:r>
                            <w:r w:rsidRPr="003605E5">
                              <w:rPr>
                                <w:szCs w:val="16"/>
                              </w:rPr>
                              <w:t>Percentage of Livestock Population by Type</w:t>
                            </w:r>
                            <w:r>
                              <w:rPr>
                                <w:szCs w:val="16"/>
                              </w:rPr>
                              <w:t xml:space="preserve"> During 2019/20 Agricultural Year, </w:t>
                            </w:r>
                            <w:r w:rsidRPr="003605E5">
                              <w:rPr>
                                <w:szCs w:val="16"/>
                              </w:rPr>
                              <w:t>Tanzania</w:t>
                            </w:r>
                            <w:bookmarkEnd w:id="436"/>
                            <w:bookmarkEnd w:id="437"/>
                            <w:bookmarkEnd w:id="438"/>
                            <w:bookmarkEnd w:id="439"/>
                          </w:p>
                          <w:p w14:paraId="169DCF1D" w14:textId="380071B2" w:rsidR="00933456" w:rsidRPr="00334F9A" w:rsidRDefault="00933456" w:rsidP="007F76C9">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595566" id="Text Box 562" o:spid="_x0000_s1069" type="#_x0000_t202" style="position:absolute;left:0;text-align:left;margin-left:232.3pt;margin-top:25.5pt;width:243pt;height:46.05pt;z-index:-25151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" stroked="f">
                <v:textbox inset="0,0,0,0">
                  <w:txbxContent>
                    <w:p w14:paraId="0416941B" w14:textId="77777777" w:rsidR="00933456" w:rsidRPr="003605E5" w:rsidRDefault="00933456" w:rsidP="007F76C9">
                      <w:pPr>
                        <w:pStyle w:val="Caption"/>
                        <w:rPr>
                          <w:b w:val="0"/>
                          <w:i/>
                          <w:noProof/>
                          <w:szCs w:val="16"/>
                        </w:rPr>
                      </w:pPr>
                      <w:bookmarkStart w:id="586" w:name="_Toc80120272"/>
                      <w:bookmarkStart w:id="587" w:name="_Toc80884148"/>
                      <w:bookmarkStart w:id="588" w:name="_Toc80884519"/>
                      <w:bookmarkStart w:id="589" w:name="_Toc82386372"/>
                      <w:r w:rsidRPr="003605E5">
                        <w:rPr>
                          <w:szCs w:val="16"/>
                        </w:rPr>
                        <w:t>Figure 4.2</w:t>
                      </w:r>
                      <w:r>
                        <w:rPr>
                          <w:szCs w:val="16"/>
                        </w:rPr>
                        <w:t>:</w:t>
                      </w:r>
                      <w:r>
                        <w:rPr>
                          <w:szCs w:val="16"/>
                        </w:rPr>
                        <w:tab/>
                      </w:r>
                      <w:r w:rsidRPr="003605E5">
                        <w:rPr>
                          <w:szCs w:val="16"/>
                        </w:rPr>
                        <w:t>Percentage of Livestock Population by Type</w:t>
                      </w:r>
                      <w:r>
                        <w:rPr>
                          <w:szCs w:val="16"/>
                        </w:rPr>
                        <w:t xml:space="preserve"> During 2019/20 Agricultural Year, </w:t>
                      </w:r>
                      <w:r w:rsidRPr="003605E5">
                        <w:rPr>
                          <w:szCs w:val="16"/>
                        </w:rPr>
                        <w:t>Tanzania</w:t>
                      </w:r>
                      <w:bookmarkEnd w:id="586"/>
                      <w:bookmarkEnd w:id="587"/>
                      <w:bookmarkEnd w:id="588"/>
                      <w:bookmarkEnd w:id="589"/>
                    </w:p>
                    <w:p w14:paraId="169DCF1D" w14:textId="380071B2" w:rsidR="00933456" w:rsidRPr="00334F9A" w:rsidRDefault="00933456" w:rsidP="007F76C9">
                      <w:pPr>
                        <w:pStyle w:val="Caption"/>
                        <w:rPr>
                          <w:noProof/>
                        </w:rPr>
                      </w:pPr>
                    </w:p>
                  </w:txbxContent>
                </v:textbox>
                <w10:wrap type="tight"/>
              </v:shape>
            </w:pict>
          </mc:Fallback>
        </mc:AlternateContent>
      </w:r>
      <w:r>
        <w:rPr>
          <w:noProof/>
        </w:rPr>
        <mc:AlternateContent>
          <mc:Choice Requires="wps">
            <w:drawing>
              <wp:anchor distT="0" distB="0" distL="114300" distR="114300" simplePos="0" relativeHeight="251798528" behindDoc="1" locked="0" layoutInCell="1" allowOverlap="1" wp14:anchorId="4F245CFE" wp14:editId="4AB7792F">
                <wp:simplePos x="0" y="0"/>
                <wp:positionH relativeFrom="column">
                  <wp:posOffset>-30480</wp:posOffset>
                </wp:positionH>
                <wp:positionV relativeFrom="paragraph">
                  <wp:posOffset>304800</wp:posOffset>
                </wp:positionV>
                <wp:extent cx="2940685" cy="584835"/>
                <wp:effectExtent l="0" t="0" r="5715" b="0"/>
                <wp:wrapTight wrapText="bothSides">
                  <wp:wrapPolygon edited="0">
                    <wp:start x="0" y="0"/>
                    <wp:lineTo x="0" y="21107"/>
                    <wp:lineTo x="21549" y="21107"/>
                    <wp:lineTo x="21549" y="0"/>
                    <wp:lineTo x="0" y="0"/>
                  </wp:wrapPolygon>
                </wp:wrapTight>
                <wp:docPr id="559" name="Text Box 559"/>
                <wp:cNvGraphicFramePr/>
                <a:graphic xmlns:a="http://schemas.openxmlformats.org/drawingml/2006/main">
                  <a:graphicData uri="http://schemas.microsoft.com/office/word/2010/wordprocessingShape">
                    <wps:wsp>
                      <wps:cNvSpPr txBox="1"/>
                      <wps:spPr>
                        <a:xfrm>
                          <a:off x="0" y="0"/>
                          <a:ext cx="2940685" cy="584835"/>
                        </a:xfrm>
                        <a:prstGeom prst="rect">
                          <a:avLst/>
                        </a:prstGeom>
                        <a:solidFill>
                          <a:prstClr val="white"/>
                        </a:solidFill>
                        <a:ln>
                          <a:noFill/>
                        </a:ln>
                      </wps:spPr>
                      <wps:txbx>
                        <w:txbxContent>
                          <w:p w14:paraId="51F5DE8E" w14:textId="77777777" w:rsidR="00933456" w:rsidRPr="003605E5" w:rsidRDefault="00933456" w:rsidP="007F76C9">
                            <w:pPr>
                              <w:pStyle w:val="Caption"/>
                              <w:rPr>
                                <w:b w:val="0"/>
                                <w:i/>
                                <w:noProof/>
                                <w:szCs w:val="16"/>
                              </w:rPr>
                            </w:pPr>
                            <w:bookmarkStart w:id="440" w:name="_Toc80120273"/>
                            <w:bookmarkStart w:id="441" w:name="_Toc80884149"/>
                            <w:bookmarkStart w:id="442" w:name="_Toc80884520"/>
                            <w:bookmarkStart w:id="443" w:name="_Toc82386373"/>
                            <w:r w:rsidRPr="003605E5">
                              <w:rPr>
                                <w:szCs w:val="16"/>
                              </w:rPr>
                              <w:t>Figure 4.1:</w:t>
                            </w:r>
                            <w:r>
                              <w:rPr>
                                <w:szCs w:val="16"/>
                              </w:rPr>
                              <w:tab/>
                            </w:r>
                            <w:r w:rsidRPr="003605E5">
                              <w:rPr>
                                <w:szCs w:val="16"/>
                              </w:rPr>
                              <w:t xml:space="preserve">Percentage of Households </w:t>
                            </w:r>
                            <w:r>
                              <w:rPr>
                                <w:szCs w:val="16"/>
                              </w:rPr>
                              <w:t xml:space="preserve">Rearing </w:t>
                            </w:r>
                            <w:r w:rsidRPr="003605E5">
                              <w:rPr>
                                <w:szCs w:val="16"/>
                              </w:rPr>
                              <w:t>Livestock by Type</w:t>
                            </w:r>
                            <w:r>
                              <w:rPr>
                                <w:szCs w:val="16"/>
                              </w:rPr>
                              <w:t xml:space="preserve"> During 2019/20 Agricultural Year,</w:t>
                            </w:r>
                            <w:r w:rsidRPr="003605E5">
                              <w:rPr>
                                <w:szCs w:val="16"/>
                              </w:rPr>
                              <w:t xml:space="preserve"> Tanzania</w:t>
                            </w:r>
                            <w:bookmarkEnd w:id="440"/>
                            <w:bookmarkEnd w:id="441"/>
                            <w:bookmarkEnd w:id="442"/>
                            <w:bookmarkEnd w:id="443"/>
                          </w:p>
                          <w:p w14:paraId="74CBDD26" w14:textId="33E421EA" w:rsidR="00933456" w:rsidRPr="00B22F04" w:rsidRDefault="00933456" w:rsidP="007F76C9">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45CFE" id="Text Box 559" o:spid="_x0000_s1070" type="#_x0000_t202" style="position:absolute;left:0;text-align:left;margin-left:-2.4pt;margin-top:24pt;width:231.55pt;height:46.05pt;z-index:-25151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" stroked="f">
                <v:textbox inset="0,0,0,0">
                  <w:txbxContent>
                    <w:p w14:paraId="51F5DE8E" w14:textId="77777777" w:rsidR="00933456" w:rsidRPr="003605E5" w:rsidRDefault="00933456" w:rsidP="007F76C9">
                      <w:pPr>
                        <w:pStyle w:val="Caption"/>
                        <w:rPr>
                          <w:b w:val="0"/>
                          <w:i/>
                          <w:noProof/>
                          <w:szCs w:val="16"/>
                        </w:rPr>
                      </w:pPr>
                      <w:bookmarkStart w:id="594" w:name="_Toc80120273"/>
                      <w:bookmarkStart w:id="595" w:name="_Toc80884149"/>
                      <w:bookmarkStart w:id="596" w:name="_Toc80884520"/>
                      <w:bookmarkStart w:id="597" w:name="_Toc82386373"/>
                      <w:r w:rsidRPr="003605E5">
                        <w:rPr>
                          <w:szCs w:val="16"/>
                        </w:rPr>
                        <w:t>Figure 4.1:</w:t>
                      </w:r>
                      <w:r>
                        <w:rPr>
                          <w:szCs w:val="16"/>
                        </w:rPr>
                        <w:tab/>
                      </w:r>
                      <w:r w:rsidRPr="003605E5">
                        <w:rPr>
                          <w:szCs w:val="16"/>
                        </w:rPr>
                        <w:t xml:space="preserve">Percentage of Households </w:t>
                      </w:r>
                      <w:r>
                        <w:rPr>
                          <w:szCs w:val="16"/>
                        </w:rPr>
                        <w:t xml:space="preserve">Rearing </w:t>
                      </w:r>
                      <w:r w:rsidRPr="003605E5">
                        <w:rPr>
                          <w:szCs w:val="16"/>
                        </w:rPr>
                        <w:t>Livestock by Type</w:t>
                      </w:r>
                      <w:r>
                        <w:rPr>
                          <w:szCs w:val="16"/>
                        </w:rPr>
                        <w:t xml:space="preserve"> During 2019/20 Agricultural Year,</w:t>
                      </w:r>
                      <w:r w:rsidRPr="003605E5">
                        <w:rPr>
                          <w:szCs w:val="16"/>
                        </w:rPr>
                        <w:t xml:space="preserve"> Tanzania</w:t>
                      </w:r>
                      <w:bookmarkEnd w:id="594"/>
                      <w:bookmarkEnd w:id="595"/>
                      <w:bookmarkEnd w:id="596"/>
                      <w:bookmarkEnd w:id="597"/>
                    </w:p>
                    <w:p w14:paraId="74CBDD26" w14:textId="33E421EA" w:rsidR="00933456" w:rsidRPr="00B22F04" w:rsidRDefault="00933456" w:rsidP="007F76C9">
                      <w:pPr>
                        <w:pStyle w:val="Caption"/>
                        <w:rPr>
                          <w:noProof/>
                        </w:rPr>
                      </w:pPr>
                    </w:p>
                  </w:txbxContent>
                </v:textbox>
                <w10:wrap type="tight"/>
              </v:shape>
            </w:pict>
          </mc:Fallback>
        </mc:AlternateContent>
      </w:r>
      <w:r w:rsidR="00F43A41">
        <w:rPr>
          <w:noProof/>
        </w:rPr>
        <w:drawing>
          <wp:anchor distT="0" distB="0" distL="114300" distR="114300" simplePos="0" relativeHeight="251796480" behindDoc="1" locked="0" layoutInCell="1" allowOverlap="1" wp14:anchorId="20F97364" wp14:editId="7BB0CBD3">
            <wp:simplePos x="0" y="0"/>
            <wp:positionH relativeFrom="column">
              <wp:posOffset>2907665</wp:posOffset>
            </wp:positionH>
            <wp:positionV relativeFrom="paragraph">
              <wp:posOffset>955675</wp:posOffset>
            </wp:positionV>
            <wp:extent cx="2924175" cy="2058670"/>
            <wp:effectExtent l="0" t="0" r="9525" b="11430"/>
            <wp:wrapTight wrapText="bothSides">
              <wp:wrapPolygon edited="0">
                <wp:start x="0" y="0"/>
                <wp:lineTo x="0" y="21587"/>
                <wp:lineTo x="21577" y="21587"/>
                <wp:lineTo x="21577" y="0"/>
                <wp:lineTo x="0" y="0"/>
              </wp:wrapPolygon>
            </wp:wrapTight>
            <wp:docPr id="550" name="Chart 550">
              <a:extLst xmlns:a="http://schemas.openxmlformats.org/drawingml/2006/main">
                <a:ext uri="{FF2B5EF4-FFF2-40B4-BE49-F238E27FC236}">
                  <a16:creationId xmlns:a16="http://schemas.microsoft.com/office/drawing/2014/main" id="{9F2C8B20-BDBC-F646-9DAC-4EA575C8B0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7"/>
              </a:graphicData>
            </a:graphic>
            <wp14:sizeRelH relativeFrom="page">
              <wp14:pctWidth>0</wp14:pctWidth>
            </wp14:sizeRelH>
            <wp14:sizeRelV relativeFrom="page">
              <wp14:pctHeight>0</wp14:pctHeight>
            </wp14:sizeRelV>
          </wp:anchor>
        </w:drawing>
      </w:r>
      <w:r w:rsidR="00F43A41">
        <w:rPr>
          <w:noProof/>
        </w:rPr>
        <w:drawing>
          <wp:anchor distT="0" distB="0" distL="114300" distR="114300" simplePos="0" relativeHeight="251795456" behindDoc="1" locked="0" layoutInCell="1" allowOverlap="1" wp14:anchorId="50F9A8CA" wp14:editId="48884FFE">
            <wp:simplePos x="0" y="0"/>
            <wp:positionH relativeFrom="column">
              <wp:posOffset>-33020</wp:posOffset>
            </wp:positionH>
            <wp:positionV relativeFrom="paragraph">
              <wp:posOffset>955675</wp:posOffset>
            </wp:positionV>
            <wp:extent cx="2940685" cy="2058670"/>
            <wp:effectExtent l="0" t="0" r="18415" b="11430"/>
            <wp:wrapTight wrapText="bothSides">
              <wp:wrapPolygon edited="0">
                <wp:start x="0" y="0"/>
                <wp:lineTo x="0" y="21587"/>
                <wp:lineTo x="21642" y="21587"/>
                <wp:lineTo x="21642" y="0"/>
                <wp:lineTo x="0" y="0"/>
              </wp:wrapPolygon>
            </wp:wrapTight>
            <wp:docPr id="547" name="Chart 547">
              <a:extLst xmlns:a="http://schemas.openxmlformats.org/drawingml/2006/main">
                <a:ext uri="{FF2B5EF4-FFF2-40B4-BE49-F238E27FC236}">
                  <a16:creationId xmlns:a16="http://schemas.microsoft.com/office/drawing/2014/main" id="{2D6AD09D-70F4-4E40-B66F-8C2D50CE00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8"/>
              </a:graphicData>
            </a:graphic>
            <wp14:sizeRelH relativeFrom="margin">
              <wp14:pctWidth>0</wp14:pctWidth>
            </wp14:sizeRelH>
            <wp14:sizeRelV relativeFrom="margin">
              <wp14:pctHeight>0</wp14:pctHeight>
            </wp14:sizeRelV>
          </wp:anchor>
        </w:drawing>
      </w:r>
    </w:p>
    <w:p w14:paraId="68641D35" w14:textId="13CEAD39" w:rsidR="002675C0" w:rsidRDefault="002675C0" w:rsidP="00D01A4F"/>
    <w:p w14:paraId="1A2C340C" w14:textId="5DB61F7C" w:rsidR="00697881" w:rsidRPr="006B42D6" w:rsidRDefault="00697881" w:rsidP="005C2EFC">
      <w:pPr>
        <w:pStyle w:val="Heading3"/>
      </w:pPr>
      <w:bookmarkStart w:id="444" w:name="_Toc82385732"/>
      <w:r w:rsidRPr="006B42D6">
        <w:t>4.</w:t>
      </w:r>
      <w:r w:rsidR="00C4159B">
        <w:t>1</w:t>
      </w:r>
      <w:r w:rsidRPr="006B42D6">
        <w:t>.1</w:t>
      </w:r>
      <w:r w:rsidR="0000655E" w:rsidRPr="006B42D6">
        <w:tab/>
      </w:r>
      <w:r w:rsidRPr="006B42D6">
        <w:t>Cattle Population</w:t>
      </w:r>
      <w:bookmarkEnd w:id="444"/>
    </w:p>
    <w:p w14:paraId="789DFF4C" w14:textId="69025EAB" w:rsidR="001E7367" w:rsidRDefault="00697881" w:rsidP="006B5C77">
      <w:r w:rsidRPr="006B42D6">
        <w:t xml:space="preserve">A total of </w:t>
      </w:r>
      <w:r w:rsidR="00433425" w:rsidRPr="006B42D6">
        <w:rPr>
          <w:lang w:eastAsia="en-GB"/>
        </w:rPr>
        <w:t>1,971,550</w:t>
      </w:r>
      <w:r w:rsidRPr="006B42D6">
        <w:rPr>
          <w:lang w:eastAsia="en-GB"/>
        </w:rPr>
        <w:t xml:space="preserve"> </w:t>
      </w:r>
      <w:r w:rsidRPr="006B42D6">
        <w:t xml:space="preserve">households were engaged in </w:t>
      </w:r>
      <w:r w:rsidR="00FE6014" w:rsidRPr="006B42D6">
        <w:t xml:space="preserve">rearing </w:t>
      </w:r>
      <w:r w:rsidRPr="006B42D6">
        <w:t>cattle in Tanzania</w:t>
      </w:r>
      <w:r w:rsidR="00FE6014" w:rsidRPr="006B42D6">
        <w:t>,</w:t>
      </w:r>
      <w:r w:rsidRPr="006B42D6">
        <w:t xml:space="preserve"> whereby</w:t>
      </w:r>
      <w:r w:rsidR="00FE6014" w:rsidRPr="006B42D6">
        <w:t xml:space="preserve"> </w:t>
      </w:r>
      <w:r w:rsidRPr="006B42D6">
        <w:t>1,9</w:t>
      </w:r>
      <w:r w:rsidR="00433425" w:rsidRPr="006B42D6">
        <w:t xml:space="preserve">15,625 </w:t>
      </w:r>
      <w:r w:rsidRPr="006B42D6">
        <w:t xml:space="preserve">households were </w:t>
      </w:r>
      <w:r w:rsidR="00FE6014" w:rsidRPr="006B42D6">
        <w:t>reported</w:t>
      </w:r>
      <w:r w:rsidRPr="006B42D6">
        <w:t xml:space="preserve"> in </w:t>
      </w:r>
      <w:r w:rsidR="00EA1552">
        <w:t>Mainland Tanzania</w:t>
      </w:r>
      <w:r w:rsidRPr="006B42D6">
        <w:t xml:space="preserve"> and 5</w:t>
      </w:r>
      <w:r w:rsidR="00433425" w:rsidRPr="006B42D6">
        <w:t>5</w:t>
      </w:r>
      <w:r w:rsidRPr="006B42D6">
        <w:t>,</w:t>
      </w:r>
      <w:r w:rsidR="00433425" w:rsidRPr="006B42D6">
        <w:t>925</w:t>
      </w:r>
      <w:r w:rsidRPr="006B42D6">
        <w:t xml:space="preserve"> in </w:t>
      </w:r>
      <w:r w:rsidR="004A5BC1" w:rsidRPr="006B42D6">
        <w:t xml:space="preserve">Tanzania </w:t>
      </w:r>
      <w:r w:rsidRPr="006B42D6">
        <w:t xml:space="preserve">Zanzibar. The total number of cattle in Tanzania was </w:t>
      </w:r>
      <w:r w:rsidRPr="006B42D6">
        <w:rPr>
          <w:lang w:eastAsia="en-GB"/>
        </w:rPr>
        <w:t>33,928,39</w:t>
      </w:r>
      <w:r w:rsidR="00433425" w:rsidRPr="006B42D6">
        <w:rPr>
          <w:lang w:eastAsia="en-GB"/>
        </w:rPr>
        <w:t xml:space="preserve">1 out </w:t>
      </w:r>
      <w:r w:rsidRPr="006B42D6">
        <w:t>of which</w:t>
      </w:r>
      <w:r w:rsidR="00433425" w:rsidRPr="006B42D6">
        <w:t>,</w:t>
      </w:r>
      <w:r w:rsidRPr="006B42D6">
        <w:t xml:space="preserve"> </w:t>
      </w:r>
      <w:r w:rsidRPr="006B42D6">
        <w:rPr>
          <w:lang w:eastAsia="en-GB"/>
        </w:rPr>
        <w:t>33,785,42</w:t>
      </w:r>
      <w:r w:rsidR="00433425" w:rsidRPr="006B42D6">
        <w:rPr>
          <w:lang w:eastAsia="en-GB"/>
        </w:rPr>
        <w:t>3</w:t>
      </w:r>
      <w:r w:rsidRPr="006B42D6">
        <w:rPr>
          <w:lang w:eastAsia="en-GB"/>
        </w:rPr>
        <w:t xml:space="preserve"> </w:t>
      </w:r>
      <w:r w:rsidRPr="006B42D6">
        <w:t xml:space="preserve">(99.6 percent) were kept by smallholder farmers and 142,968 (0.4 percent) raised in large </w:t>
      </w:r>
      <w:r w:rsidR="00DF54AD" w:rsidRPr="006B42D6">
        <w:t xml:space="preserve">scale </w:t>
      </w:r>
      <w:r w:rsidRPr="006B42D6">
        <w:t xml:space="preserve">farms. The number of cattle kept by smallholder farmers in </w:t>
      </w:r>
      <w:r w:rsidR="00EA1552">
        <w:t>Mainland Tanzania</w:t>
      </w:r>
      <w:r w:rsidRPr="006B42D6">
        <w:t xml:space="preserve"> were 33,514,716</w:t>
      </w:r>
      <w:r w:rsidR="00433425" w:rsidRPr="006B42D6">
        <w:t xml:space="preserve"> </w:t>
      </w:r>
      <w:r w:rsidRPr="006B42D6">
        <w:t>and 270,70</w:t>
      </w:r>
      <w:r w:rsidR="00DF54AD" w:rsidRPr="006B42D6">
        <w:t>7</w:t>
      </w:r>
      <w:r w:rsidRPr="006B42D6">
        <w:t xml:space="preserve"> in </w:t>
      </w:r>
      <w:r w:rsidR="004A5BC1" w:rsidRPr="006B42D6">
        <w:t xml:space="preserve">Tanzania </w:t>
      </w:r>
      <w:r w:rsidRPr="006B42D6">
        <w:t xml:space="preserve">Zanzibar </w:t>
      </w:r>
      <w:r w:rsidR="00010865">
        <w:t>(</w:t>
      </w:r>
      <w:r w:rsidRPr="006B42D6">
        <w:t>Table 4.1</w:t>
      </w:r>
      <w:r w:rsidR="00010865">
        <w:t>)</w:t>
      </w:r>
      <w:r w:rsidRPr="006B42D6">
        <w:t>.</w:t>
      </w:r>
      <w:r w:rsidR="001E7367" w:rsidRPr="006B42D6">
        <w:t xml:space="preserve"> </w:t>
      </w:r>
    </w:p>
    <w:p w14:paraId="290948B5" w14:textId="663F848F" w:rsidR="00010865" w:rsidRDefault="00010865">
      <w:pPr>
        <w:spacing w:line="240" w:lineRule="auto"/>
        <w:contextualSpacing w:val="0"/>
        <w:jc w:val="left"/>
      </w:pPr>
      <w:r>
        <w:br w:type="page"/>
      </w:r>
    </w:p>
    <w:p w14:paraId="747FF261" w14:textId="72D780B2" w:rsidR="0091143A" w:rsidRPr="004A59AE" w:rsidRDefault="0091143A" w:rsidP="004A59AE">
      <w:pPr>
        <w:pStyle w:val="Heading7"/>
      </w:pPr>
      <w:bookmarkStart w:id="445" w:name="_Toc82386209"/>
      <w:r w:rsidRPr="004A59AE">
        <w:lastRenderedPageBreak/>
        <w:t>Table 4.1</w:t>
      </w:r>
      <w:r w:rsidR="004A59AE" w:rsidRPr="004A59AE">
        <w:t>:</w:t>
      </w:r>
      <w:r w:rsidR="006B5C77" w:rsidRPr="004A59AE">
        <w:tab/>
      </w:r>
      <w:r w:rsidRPr="004A59AE">
        <w:t xml:space="preserve">Number of </w:t>
      </w:r>
      <w:r w:rsidR="00DF54AD" w:rsidRPr="004A59AE">
        <w:t>H</w:t>
      </w:r>
      <w:r w:rsidRPr="004A59AE">
        <w:t>ouseholds</w:t>
      </w:r>
      <w:r w:rsidR="001B4FE5" w:rsidRPr="004A59AE">
        <w:t xml:space="preserve"> and </w:t>
      </w:r>
      <w:r w:rsidR="00DF54AD" w:rsidRPr="004A59AE">
        <w:t>L</w:t>
      </w:r>
      <w:r w:rsidRPr="004A59AE">
        <w:t>ivestock</w:t>
      </w:r>
      <w:r w:rsidR="001B4FE5" w:rsidRPr="004A59AE">
        <w:t>/Chicken</w:t>
      </w:r>
      <w:r w:rsidRPr="004A59AE">
        <w:t xml:space="preserve"> by </w:t>
      </w:r>
      <w:r w:rsidR="003605E5" w:rsidRPr="004A59AE">
        <w:t>T</w:t>
      </w:r>
      <w:r w:rsidRPr="004A59AE">
        <w:t xml:space="preserve">ype for </w:t>
      </w:r>
      <w:r w:rsidR="003605E5" w:rsidRPr="004A59AE">
        <w:t>S</w:t>
      </w:r>
      <w:r w:rsidRPr="004A59AE">
        <w:t>mallholder</w:t>
      </w:r>
      <w:r w:rsidR="003605E5" w:rsidRPr="004A59AE">
        <w:t xml:space="preserve"> F</w:t>
      </w:r>
      <w:r w:rsidRPr="004A59AE">
        <w:t>armers and Large Scale Farms</w:t>
      </w:r>
      <w:r w:rsidR="001B4FE5" w:rsidRPr="004A59AE">
        <w:t xml:space="preserve"> as of 1</w:t>
      </w:r>
      <w:r w:rsidR="001B4FE5" w:rsidRPr="004A59AE">
        <w:rPr>
          <w:vertAlign w:val="superscript"/>
        </w:rPr>
        <w:t>st</w:t>
      </w:r>
      <w:r w:rsidR="001B4FE5" w:rsidRPr="004A59AE">
        <w:t xml:space="preserve"> August 2020</w:t>
      </w:r>
      <w:r w:rsidR="00FF4745" w:rsidRPr="004A59AE">
        <w:t>, Tanzania</w:t>
      </w:r>
      <w:bookmarkEnd w:id="445"/>
    </w:p>
    <w:tbl>
      <w:tblPr>
        <w:tblW w:w="5131" w:type="pct"/>
        <w:tblLook w:val="04A0" w:firstRow="1" w:lastRow="0" w:firstColumn="1" w:lastColumn="0" w:noHBand="0" w:noVBand="1"/>
      </w:tblPr>
      <w:tblGrid>
        <w:gridCol w:w="1133"/>
        <w:gridCol w:w="1099"/>
        <w:gridCol w:w="1033"/>
        <w:gridCol w:w="1099"/>
        <w:gridCol w:w="1033"/>
        <w:gridCol w:w="1099"/>
        <w:gridCol w:w="978"/>
        <w:gridCol w:w="1033"/>
        <w:gridCol w:w="971"/>
      </w:tblGrid>
      <w:tr w:rsidR="006B42D6" w:rsidRPr="004A59AE" w14:paraId="273BF8A0" w14:textId="77777777" w:rsidTr="004A59AE">
        <w:trPr>
          <w:trHeight w:val="262"/>
        </w:trPr>
        <w:tc>
          <w:tcPr>
            <w:tcW w:w="597" w:type="pct"/>
            <w:vMerge w:val="restart"/>
            <w:tcBorders>
              <w:top w:val="single" w:sz="4" w:space="0" w:color="auto"/>
              <w:bottom w:val="single" w:sz="4" w:space="0" w:color="000000"/>
              <w:right w:val="single" w:sz="4" w:space="0" w:color="auto"/>
            </w:tcBorders>
            <w:shd w:val="clear" w:color="auto" w:fill="E2EFD9" w:themeFill="accent6" w:themeFillTint="33"/>
            <w:vAlign w:val="center"/>
            <w:hideMark/>
          </w:tcPr>
          <w:p w14:paraId="294DBF5D" w14:textId="77777777" w:rsidR="0091143A" w:rsidRPr="004A59AE" w:rsidRDefault="0091143A" w:rsidP="001E7367">
            <w:pPr>
              <w:rPr>
                <w:sz w:val="15"/>
                <w:szCs w:val="15"/>
                <w:lang w:eastAsia="en-GB"/>
              </w:rPr>
            </w:pPr>
            <w:r w:rsidRPr="004A59AE">
              <w:rPr>
                <w:sz w:val="15"/>
                <w:szCs w:val="15"/>
                <w:lang w:eastAsia="en-GB"/>
              </w:rPr>
              <w:t xml:space="preserve">Livestock Type </w:t>
            </w:r>
          </w:p>
        </w:tc>
        <w:tc>
          <w:tcPr>
            <w:tcW w:w="1125" w:type="pct"/>
            <w:gridSpan w:val="2"/>
            <w:vMerge w:val="restart"/>
            <w:tcBorders>
              <w:top w:val="single" w:sz="4" w:space="0" w:color="auto"/>
              <w:left w:val="single" w:sz="4" w:space="0" w:color="auto"/>
              <w:bottom w:val="single" w:sz="4" w:space="0" w:color="000000"/>
              <w:right w:val="single" w:sz="4" w:space="0" w:color="000000"/>
            </w:tcBorders>
            <w:shd w:val="clear" w:color="auto" w:fill="E2EFD9" w:themeFill="accent6" w:themeFillTint="33"/>
            <w:vAlign w:val="center"/>
            <w:hideMark/>
          </w:tcPr>
          <w:p w14:paraId="26B31433" w14:textId="77777777" w:rsidR="0091143A" w:rsidRPr="004A59AE" w:rsidRDefault="0091143A" w:rsidP="00010865">
            <w:pPr>
              <w:spacing w:line="240" w:lineRule="auto"/>
              <w:jc w:val="center"/>
              <w:rPr>
                <w:bCs/>
                <w:sz w:val="15"/>
                <w:szCs w:val="15"/>
                <w:lang w:eastAsia="en-GB"/>
              </w:rPr>
            </w:pPr>
            <w:r w:rsidRPr="004A59AE">
              <w:rPr>
                <w:bCs/>
                <w:sz w:val="15"/>
                <w:szCs w:val="15"/>
                <w:lang w:eastAsia="en-GB"/>
              </w:rPr>
              <w:t>Tanzania</w:t>
            </w:r>
          </w:p>
        </w:tc>
        <w:tc>
          <w:tcPr>
            <w:tcW w:w="2221" w:type="pct"/>
            <w:gridSpan w:val="4"/>
            <w:tcBorders>
              <w:top w:val="single" w:sz="4" w:space="0" w:color="auto"/>
              <w:left w:val="nil"/>
              <w:bottom w:val="single" w:sz="4" w:space="0" w:color="auto"/>
              <w:right w:val="nil"/>
            </w:tcBorders>
            <w:shd w:val="clear" w:color="auto" w:fill="E2EFD9" w:themeFill="accent6" w:themeFillTint="33"/>
            <w:noWrap/>
            <w:vAlign w:val="center"/>
            <w:hideMark/>
          </w:tcPr>
          <w:p w14:paraId="3F1AB1F5" w14:textId="7D00926D" w:rsidR="0091143A" w:rsidRPr="004A59AE" w:rsidRDefault="0091143A" w:rsidP="00010865">
            <w:pPr>
              <w:spacing w:line="240" w:lineRule="auto"/>
              <w:jc w:val="center"/>
              <w:rPr>
                <w:bCs/>
                <w:sz w:val="15"/>
                <w:szCs w:val="15"/>
                <w:lang w:eastAsia="en-GB"/>
              </w:rPr>
            </w:pPr>
            <w:r w:rsidRPr="004A59AE">
              <w:rPr>
                <w:bCs/>
                <w:sz w:val="15"/>
                <w:szCs w:val="15"/>
                <w:lang w:eastAsia="en-GB"/>
              </w:rPr>
              <w:t>Small</w:t>
            </w:r>
            <w:r w:rsidR="00DF54AD" w:rsidRPr="004A59AE">
              <w:rPr>
                <w:bCs/>
                <w:sz w:val="15"/>
                <w:szCs w:val="15"/>
                <w:lang w:eastAsia="en-GB"/>
              </w:rPr>
              <w:t xml:space="preserve">holder </w:t>
            </w:r>
            <w:r w:rsidR="00433425" w:rsidRPr="004A59AE">
              <w:rPr>
                <w:bCs/>
                <w:sz w:val="15"/>
                <w:szCs w:val="15"/>
                <w:lang w:eastAsia="en-GB"/>
              </w:rPr>
              <w:t>Farmers</w:t>
            </w:r>
          </w:p>
        </w:tc>
        <w:tc>
          <w:tcPr>
            <w:tcW w:w="1057" w:type="pct"/>
            <w:gridSpan w:val="2"/>
            <w:tcBorders>
              <w:top w:val="single" w:sz="4" w:space="0" w:color="auto"/>
              <w:left w:val="single" w:sz="4" w:space="0" w:color="auto"/>
              <w:bottom w:val="single" w:sz="4" w:space="0" w:color="auto"/>
              <w:right w:val="nil"/>
            </w:tcBorders>
            <w:shd w:val="clear" w:color="auto" w:fill="E2EFD9" w:themeFill="accent6" w:themeFillTint="33"/>
            <w:noWrap/>
            <w:vAlign w:val="center"/>
            <w:hideMark/>
          </w:tcPr>
          <w:p w14:paraId="7E29DE24" w14:textId="77777777" w:rsidR="0091143A" w:rsidRPr="004A59AE" w:rsidRDefault="0091143A" w:rsidP="00010865">
            <w:pPr>
              <w:spacing w:line="240" w:lineRule="auto"/>
              <w:jc w:val="center"/>
              <w:rPr>
                <w:bCs/>
                <w:sz w:val="15"/>
                <w:szCs w:val="15"/>
                <w:lang w:eastAsia="en-GB"/>
              </w:rPr>
            </w:pPr>
            <w:r w:rsidRPr="004A59AE">
              <w:rPr>
                <w:bCs/>
                <w:sz w:val="15"/>
                <w:szCs w:val="15"/>
                <w:lang w:eastAsia="en-GB"/>
              </w:rPr>
              <w:t>Large Scale Farms</w:t>
            </w:r>
          </w:p>
        </w:tc>
      </w:tr>
      <w:tr w:rsidR="006B42D6" w:rsidRPr="004A59AE" w14:paraId="3942A0C5" w14:textId="77777777" w:rsidTr="004A59AE">
        <w:trPr>
          <w:trHeight w:val="60"/>
        </w:trPr>
        <w:tc>
          <w:tcPr>
            <w:tcW w:w="597" w:type="pct"/>
            <w:vMerge/>
            <w:tcBorders>
              <w:top w:val="single" w:sz="4" w:space="0" w:color="auto"/>
              <w:bottom w:val="single" w:sz="4" w:space="0" w:color="000000"/>
              <w:right w:val="single" w:sz="4" w:space="0" w:color="auto"/>
            </w:tcBorders>
            <w:shd w:val="clear" w:color="auto" w:fill="E2EFD9" w:themeFill="accent6" w:themeFillTint="33"/>
            <w:vAlign w:val="center"/>
            <w:hideMark/>
          </w:tcPr>
          <w:p w14:paraId="42BDDB2E" w14:textId="77777777" w:rsidR="0091143A" w:rsidRPr="004A59AE" w:rsidRDefault="0091143A" w:rsidP="005C2EFC">
            <w:pPr>
              <w:rPr>
                <w:sz w:val="15"/>
                <w:szCs w:val="15"/>
                <w:lang w:eastAsia="en-GB"/>
              </w:rPr>
            </w:pPr>
          </w:p>
        </w:tc>
        <w:tc>
          <w:tcPr>
            <w:tcW w:w="1125" w:type="pct"/>
            <w:gridSpan w:val="2"/>
            <w:vMerge/>
            <w:tcBorders>
              <w:top w:val="single" w:sz="4" w:space="0" w:color="auto"/>
              <w:left w:val="single" w:sz="4" w:space="0" w:color="auto"/>
              <w:bottom w:val="single" w:sz="4" w:space="0" w:color="000000"/>
              <w:right w:val="single" w:sz="4" w:space="0" w:color="000000"/>
            </w:tcBorders>
            <w:shd w:val="clear" w:color="auto" w:fill="E2EFD9" w:themeFill="accent6" w:themeFillTint="33"/>
            <w:vAlign w:val="center"/>
            <w:hideMark/>
          </w:tcPr>
          <w:p w14:paraId="088E5160" w14:textId="77777777" w:rsidR="0091143A" w:rsidRPr="004A59AE" w:rsidRDefault="0091143A" w:rsidP="00010865">
            <w:pPr>
              <w:spacing w:line="240" w:lineRule="auto"/>
              <w:jc w:val="center"/>
              <w:rPr>
                <w:bCs/>
                <w:sz w:val="15"/>
                <w:szCs w:val="15"/>
                <w:lang w:eastAsia="en-GB"/>
              </w:rPr>
            </w:pPr>
          </w:p>
        </w:tc>
        <w:tc>
          <w:tcPr>
            <w:tcW w:w="1125" w:type="pct"/>
            <w:gridSpan w:val="2"/>
            <w:tcBorders>
              <w:top w:val="single" w:sz="4" w:space="0" w:color="auto"/>
              <w:left w:val="nil"/>
              <w:bottom w:val="single" w:sz="4" w:space="0" w:color="auto"/>
              <w:right w:val="single" w:sz="4" w:space="0" w:color="000000"/>
            </w:tcBorders>
            <w:shd w:val="clear" w:color="auto" w:fill="E2EFD9" w:themeFill="accent6" w:themeFillTint="33"/>
            <w:vAlign w:val="center"/>
            <w:hideMark/>
          </w:tcPr>
          <w:p w14:paraId="56D4854C" w14:textId="22044376" w:rsidR="0091143A" w:rsidRPr="004A59AE" w:rsidRDefault="00EA1552" w:rsidP="00010865">
            <w:pPr>
              <w:spacing w:line="240" w:lineRule="auto"/>
              <w:jc w:val="center"/>
              <w:rPr>
                <w:bCs/>
                <w:sz w:val="15"/>
                <w:szCs w:val="15"/>
                <w:lang w:eastAsia="en-GB"/>
              </w:rPr>
            </w:pPr>
            <w:r w:rsidRPr="004A59AE">
              <w:rPr>
                <w:sz w:val="15"/>
                <w:szCs w:val="15"/>
              </w:rPr>
              <w:t>Mainland Tanzania</w:t>
            </w:r>
          </w:p>
        </w:tc>
        <w:tc>
          <w:tcPr>
            <w:tcW w:w="1096" w:type="pct"/>
            <w:gridSpan w:val="2"/>
            <w:tcBorders>
              <w:top w:val="single" w:sz="4" w:space="0" w:color="auto"/>
              <w:left w:val="nil"/>
              <w:bottom w:val="single" w:sz="4" w:space="0" w:color="auto"/>
              <w:right w:val="nil"/>
            </w:tcBorders>
            <w:shd w:val="clear" w:color="auto" w:fill="E2EFD9" w:themeFill="accent6" w:themeFillTint="33"/>
            <w:vAlign w:val="center"/>
            <w:hideMark/>
          </w:tcPr>
          <w:p w14:paraId="320AA201" w14:textId="32FE5FAE" w:rsidR="0091143A" w:rsidRPr="004A59AE" w:rsidRDefault="00255E17" w:rsidP="00010865">
            <w:pPr>
              <w:spacing w:line="240" w:lineRule="auto"/>
              <w:jc w:val="center"/>
              <w:rPr>
                <w:bCs/>
                <w:sz w:val="15"/>
                <w:szCs w:val="15"/>
                <w:lang w:eastAsia="en-GB"/>
              </w:rPr>
            </w:pPr>
            <w:r w:rsidRPr="004A59AE">
              <w:rPr>
                <w:sz w:val="15"/>
                <w:szCs w:val="15"/>
              </w:rPr>
              <w:t xml:space="preserve">Tanzania </w:t>
            </w:r>
            <w:r w:rsidR="0091143A" w:rsidRPr="004A59AE">
              <w:rPr>
                <w:bCs/>
                <w:sz w:val="15"/>
                <w:szCs w:val="15"/>
                <w:lang w:eastAsia="en-GB"/>
              </w:rPr>
              <w:t>Zanzibar</w:t>
            </w:r>
          </w:p>
        </w:tc>
        <w:tc>
          <w:tcPr>
            <w:tcW w:w="545" w:type="pct"/>
            <w:tcBorders>
              <w:top w:val="nil"/>
              <w:left w:val="single" w:sz="4" w:space="0" w:color="auto"/>
              <w:bottom w:val="single" w:sz="4" w:space="0" w:color="auto"/>
              <w:right w:val="nil"/>
            </w:tcBorders>
            <w:shd w:val="clear" w:color="auto" w:fill="E2EFD9" w:themeFill="accent6" w:themeFillTint="33"/>
            <w:vAlign w:val="center"/>
            <w:hideMark/>
          </w:tcPr>
          <w:p w14:paraId="5CF5E1B2" w14:textId="51F79A30" w:rsidR="0091143A" w:rsidRPr="004A59AE" w:rsidRDefault="00EA1552" w:rsidP="00010865">
            <w:pPr>
              <w:spacing w:line="240" w:lineRule="auto"/>
              <w:jc w:val="center"/>
              <w:rPr>
                <w:bCs/>
                <w:sz w:val="15"/>
                <w:szCs w:val="15"/>
                <w:lang w:eastAsia="en-GB"/>
              </w:rPr>
            </w:pPr>
            <w:r w:rsidRPr="004A59AE">
              <w:rPr>
                <w:sz w:val="15"/>
                <w:szCs w:val="15"/>
              </w:rPr>
              <w:t>Mainland Tanzania</w:t>
            </w:r>
          </w:p>
        </w:tc>
        <w:tc>
          <w:tcPr>
            <w:tcW w:w="513" w:type="pct"/>
            <w:tcBorders>
              <w:top w:val="nil"/>
              <w:left w:val="nil"/>
              <w:bottom w:val="single" w:sz="4" w:space="0" w:color="auto"/>
              <w:right w:val="nil"/>
            </w:tcBorders>
            <w:shd w:val="clear" w:color="auto" w:fill="E2EFD9" w:themeFill="accent6" w:themeFillTint="33"/>
            <w:vAlign w:val="center"/>
            <w:hideMark/>
          </w:tcPr>
          <w:p w14:paraId="5FE041A1" w14:textId="74428B27" w:rsidR="0091143A" w:rsidRPr="004A59AE" w:rsidRDefault="00255E17" w:rsidP="00010865">
            <w:pPr>
              <w:spacing w:line="240" w:lineRule="auto"/>
              <w:jc w:val="center"/>
              <w:rPr>
                <w:bCs/>
                <w:sz w:val="15"/>
                <w:szCs w:val="15"/>
                <w:lang w:eastAsia="en-GB"/>
              </w:rPr>
            </w:pPr>
            <w:r w:rsidRPr="004A59AE">
              <w:rPr>
                <w:sz w:val="15"/>
                <w:szCs w:val="15"/>
              </w:rPr>
              <w:t xml:space="preserve">Tanzania </w:t>
            </w:r>
            <w:r w:rsidR="0091143A" w:rsidRPr="004A59AE">
              <w:rPr>
                <w:bCs/>
                <w:sz w:val="15"/>
                <w:szCs w:val="15"/>
                <w:lang w:eastAsia="en-GB"/>
              </w:rPr>
              <w:t>Zanzibar</w:t>
            </w:r>
          </w:p>
        </w:tc>
      </w:tr>
      <w:tr w:rsidR="006B42D6" w:rsidRPr="004A59AE" w14:paraId="4177232D" w14:textId="77777777" w:rsidTr="004A59AE">
        <w:trPr>
          <w:trHeight w:val="332"/>
        </w:trPr>
        <w:tc>
          <w:tcPr>
            <w:tcW w:w="597" w:type="pct"/>
            <w:vMerge/>
            <w:tcBorders>
              <w:top w:val="single" w:sz="4" w:space="0" w:color="auto"/>
              <w:bottom w:val="single" w:sz="4" w:space="0" w:color="000000"/>
              <w:right w:val="single" w:sz="4" w:space="0" w:color="auto"/>
            </w:tcBorders>
            <w:shd w:val="clear" w:color="auto" w:fill="E2EFD9" w:themeFill="accent6" w:themeFillTint="33"/>
            <w:vAlign w:val="center"/>
            <w:hideMark/>
          </w:tcPr>
          <w:p w14:paraId="4C1E72E4" w14:textId="77777777" w:rsidR="0091143A" w:rsidRPr="004A59AE" w:rsidRDefault="0091143A" w:rsidP="005C2EFC">
            <w:pPr>
              <w:rPr>
                <w:sz w:val="15"/>
                <w:szCs w:val="15"/>
                <w:lang w:eastAsia="en-GB"/>
              </w:rPr>
            </w:pPr>
          </w:p>
        </w:tc>
        <w:tc>
          <w:tcPr>
            <w:tcW w:w="580" w:type="pct"/>
            <w:tcBorders>
              <w:top w:val="nil"/>
              <w:left w:val="nil"/>
              <w:bottom w:val="single" w:sz="4" w:space="0" w:color="auto"/>
              <w:right w:val="nil"/>
            </w:tcBorders>
            <w:shd w:val="clear" w:color="auto" w:fill="E2EFD9" w:themeFill="accent6" w:themeFillTint="33"/>
            <w:vAlign w:val="center"/>
            <w:hideMark/>
          </w:tcPr>
          <w:p w14:paraId="472A800D" w14:textId="77777777" w:rsidR="0091143A" w:rsidRPr="004A59AE" w:rsidRDefault="0091143A" w:rsidP="00010865">
            <w:pPr>
              <w:spacing w:line="240" w:lineRule="auto"/>
              <w:rPr>
                <w:sz w:val="15"/>
                <w:szCs w:val="15"/>
                <w:lang w:eastAsia="en-GB"/>
              </w:rPr>
            </w:pPr>
            <w:r w:rsidRPr="004A59AE">
              <w:rPr>
                <w:sz w:val="15"/>
                <w:szCs w:val="15"/>
                <w:lang w:eastAsia="en-GB"/>
              </w:rPr>
              <w:t xml:space="preserve"> Number of Households </w:t>
            </w:r>
          </w:p>
        </w:tc>
        <w:tc>
          <w:tcPr>
            <w:tcW w:w="545" w:type="pct"/>
            <w:tcBorders>
              <w:top w:val="nil"/>
              <w:left w:val="nil"/>
              <w:bottom w:val="single" w:sz="4" w:space="0" w:color="auto"/>
              <w:right w:val="single" w:sz="4" w:space="0" w:color="auto"/>
            </w:tcBorders>
            <w:shd w:val="clear" w:color="auto" w:fill="E2EFD9" w:themeFill="accent6" w:themeFillTint="33"/>
            <w:vAlign w:val="center"/>
            <w:hideMark/>
          </w:tcPr>
          <w:p w14:paraId="447F49CA" w14:textId="77777777" w:rsidR="0091143A" w:rsidRPr="004A59AE" w:rsidRDefault="0091143A" w:rsidP="00010865">
            <w:pPr>
              <w:spacing w:line="240" w:lineRule="auto"/>
              <w:rPr>
                <w:sz w:val="15"/>
                <w:szCs w:val="15"/>
                <w:lang w:eastAsia="en-GB"/>
              </w:rPr>
            </w:pPr>
            <w:r w:rsidRPr="004A59AE">
              <w:rPr>
                <w:sz w:val="15"/>
                <w:szCs w:val="15"/>
                <w:lang w:eastAsia="en-GB"/>
              </w:rPr>
              <w:t xml:space="preserve"> Number of livestock </w:t>
            </w:r>
          </w:p>
        </w:tc>
        <w:tc>
          <w:tcPr>
            <w:tcW w:w="580" w:type="pct"/>
            <w:tcBorders>
              <w:top w:val="nil"/>
              <w:left w:val="nil"/>
              <w:bottom w:val="single" w:sz="4" w:space="0" w:color="auto"/>
              <w:right w:val="nil"/>
            </w:tcBorders>
            <w:shd w:val="clear" w:color="auto" w:fill="E2EFD9" w:themeFill="accent6" w:themeFillTint="33"/>
            <w:vAlign w:val="center"/>
            <w:hideMark/>
          </w:tcPr>
          <w:p w14:paraId="623EA6C5" w14:textId="77777777" w:rsidR="0091143A" w:rsidRPr="004A59AE" w:rsidRDefault="0091143A" w:rsidP="00010865">
            <w:pPr>
              <w:spacing w:line="240" w:lineRule="auto"/>
              <w:rPr>
                <w:sz w:val="15"/>
                <w:szCs w:val="15"/>
                <w:lang w:eastAsia="en-GB"/>
              </w:rPr>
            </w:pPr>
            <w:r w:rsidRPr="004A59AE">
              <w:rPr>
                <w:sz w:val="15"/>
                <w:szCs w:val="15"/>
                <w:lang w:eastAsia="en-GB"/>
              </w:rPr>
              <w:t xml:space="preserve"> Number of Households </w:t>
            </w:r>
          </w:p>
        </w:tc>
        <w:tc>
          <w:tcPr>
            <w:tcW w:w="545" w:type="pct"/>
            <w:tcBorders>
              <w:top w:val="nil"/>
              <w:left w:val="nil"/>
              <w:bottom w:val="single" w:sz="4" w:space="0" w:color="auto"/>
              <w:right w:val="single" w:sz="4" w:space="0" w:color="auto"/>
            </w:tcBorders>
            <w:shd w:val="clear" w:color="auto" w:fill="E2EFD9" w:themeFill="accent6" w:themeFillTint="33"/>
            <w:vAlign w:val="center"/>
            <w:hideMark/>
          </w:tcPr>
          <w:p w14:paraId="1890ABFC" w14:textId="77777777" w:rsidR="0091143A" w:rsidRPr="004A59AE" w:rsidRDefault="0091143A" w:rsidP="00010865">
            <w:pPr>
              <w:spacing w:line="240" w:lineRule="auto"/>
              <w:rPr>
                <w:sz w:val="15"/>
                <w:szCs w:val="15"/>
                <w:lang w:eastAsia="en-GB"/>
              </w:rPr>
            </w:pPr>
            <w:r w:rsidRPr="004A59AE">
              <w:rPr>
                <w:sz w:val="15"/>
                <w:szCs w:val="15"/>
                <w:lang w:eastAsia="en-GB"/>
              </w:rPr>
              <w:t xml:space="preserve"> Number of livestock </w:t>
            </w:r>
          </w:p>
        </w:tc>
        <w:tc>
          <w:tcPr>
            <w:tcW w:w="580" w:type="pct"/>
            <w:tcBorders>
              <w:top w:val="nil"/>
              <w:left w:val="nil"/>
              <w:bottom w:val="single" w:sz="4" w:space="0" w:color="auto"/>
              <w:right w:val="nil"/>
            </w:tcBorders>
            <w:shd w:val="clear" w:color="auto" w:fill="E2EFD9" w:themeFill="accent6" w:themeFillTint="33"/>
            <w:vAlign w:val="center"/>
            <w:hideMark/>
          </w:tcPr>
          <w:p w14:paraId="0122A2EA" w14:textId="77777777" w:rsidR="0091143A" w:rsidRPr="004A59AE" w:rsidRDefault="0091143A" w:rsidP="00010865">
            <w:pPr>
              <w:spacing w:line="240" w:lineRule="auto"/>
              <w:rPr>
                <w:sz w:val="15"/>
                <w:szCs w:val="15"/>
                <w:lang w:eastAsia="en-GB"/>
              </w:rPr>
            </w:pPr>
            <w:r w:rsidRPr="004A59AE">
              <w:rPr>
                <w:sz w:val="15"/>
                <w:szCs w:val="15"/>
                <w:lang w:eastAsia="en-GB"/>
              </w:rPr>
              <w:t xml:space="preserve"> Number of Households </w:t>
            </w:r>
          </w:p>
        </w:tc>
        <w:tc>
          <w:tcPr>
            <w:tcW w:w="516" w:type="pct"/>
            <w:tcBorders>
              <w:top w:val="nil"/>
              <w:left w:val="nil"/>
              <w:bottom w:val="single" w:sz="4" w:space="0" w:color="auto"/>
              <w:right w:val="nil"/>
            </w:tcBorders>
            <w:shd w:val="clear" w:color="auto" w:fill="E2EFD9" w:themeFill="accent6" w:themeFillTint="33"/>
            <w:vAlign w:val="center"/>
            <w:hideMark/>
          </w:tcPr>
          <w:p w14:paraId="28D09F9C" w14:textId="77777777" w:rsidR="0091143A" w:rsidRPr="004A59AE" w:rsidRDefault="0091143A" w:rsidP="00010865">
            <w:pPr>
              <w:spacing w:line="240" w:lineRule="auto"/>
              <w:rPr>
                <w:sz w:val="15"/>
                <w:szCs w:val="15"/>
                <w:lang w:eastAsia="en-GB"/>
              </w:rPr>
            </w:pPr>
            <w:r w:rsidRPr="004A59AE">
              <w:rPr>
                <w:sz w:val="15"/>
                <w:szCs w:val="15"/>
                <w:lang w:eastAsia="en-GB"/>
              </w:rPr>
              <w:t xml:space="preserve"> Number of livestock </w:t>
            </w:r>
          </w:p>
        </w:tc>
        <w:tc>
          <w:tcPr>
            <w:tcW w:w="545" w:type="pct"/>
            <w:tcBorders>
              <w:top w:val="nil"/>
              <w:left w:val="single" w:sz="4" w:space="0" w:color="auto"/>
              <w:bottom w:val="single" w:sz="4" w:space="0" w:color="auto"/>
              <w:right w:val="nil"/>
            </w:tcBorders>
            <w:shd w:val="clear" w:color="auto" w:fill="E2EFD9" w:themeFill="accent6" w:themeFillTint="33"/>
            <w:vAlign w:val="center"/>
            <w:hideMark/>
          </w:tcPr>
          <w:p w14:paraId="6687EAC7" w14:textId="77777777" w:rsidR="0091143A" w:rsidRPr="004A59AE" w:rsidRDefault="0091143A" w:rsidP="00010865">
            <w:pPr>
              <w:spacing w:line="240" w:lineRule="auto"/>
              <w:rPr>
                <w:sz w:val="15"/>
                <w:szCs w:val="15"/>
                <w:lang w:eastAsia="en-GB"/>
              </w:rPr>
            </w:pPr>
            <w:r w:rsidRPr="004A59AE">
              <w:rPr>
                <w:sz w:val="15"/>
                <w:szCs w:val="15"/>
                <w:lang w:eastAsia="en-GB"/>
              </w:rPr>
              <w:t xml:space="preserve"> Number of livestock </w:t>
            </w:r>
          </w:p>
        </w:tc>
        <w:tc>
          <w:tcPr>
            <w:tcW w:w="513" w:type="pct"/>
            <w:tcBorders>
              <w:top w:val="nil"/>
              <w:left w:val="nil"/>
              <w:bottom w:val="single" w:sz="4" w:space="0" w:color="auto"/>
              <w:right w:val="nil"/>
            </w:tcBorders>
            <w:shd w:val="clear" w:color="auto" w:fill="E2EFD9" w:themeFill="accent6" w:themeFillTint="33"/>
            <w:vAlign w:val="center"/>
            <w:hideMark/>
          </w:tcPr>
          <w:p w14:paraId="0746C819" w14:textId="77777777" w:rsidR="0091143A" w:rsidRPr="004A59AE" w:rsidRDefault="0091143A" w:rsidP="00010865">
            <w:pPr>
              <w:spacing w:line="240" w:lineRule="auto"/>
              <w:rPr>
                <w:sz w:val="15"/>
                <w:szCs w:val="15"/>
                <w:lang w:eastAsia="en-GB"/>
              </w:rPr>
            </w:pPr>
            <w:r w:rsidRPr="004A59AE">
              <w:rPr>
                <w:sz w:val="15"/>
                <w:szCs w:val="15"/>
                <w:lang w:eastAsia="en-GB"/>
              </w:rPr>
              <w:t xml:space="preserve"> Number of livestock </w:t>
            </w:r>
          </w:p>
        </w:tc>
      </w:tr>
      <w:tr w:rsidR="006B42D6" w:rsidRPr="004A59AE" w14:paraId="654CBF90" w14:textId="77777777" w:rsidTr="006B5C77">
        <w:trPr>
          <w:trHeight w:val="283"/>
        </w:trPr>
        <w:tc>
          <w:tcPr>
            <w:tcW w:w="597" w:type="pct"/>
            <w:tcBorders>
              <w:top w:val="nil"/>
              <w:bottom w:val="nil"/>
              <w:right w:val="nil"/>
            </w:tcBorders>
            <w:shd w:val="clear" w:color="auto" w:fill="auto"/>
            <w:noWrap/>
            <w:vAlign w:val="bottom"/>
            <w:hideMark/>
          </w:tcPr>
          <w:p w14:paraId="128D42C0" w14:textId="1A5433AE" w:rsidR="0091143A" w:rsidRPr="004A59AE" w:rsidRDefault="0091143A" w:rsidP="006B5C77">
            <w:pPr>
              <w:jc w:val="left"/>
              <w:rPr>
                <w:sz w:val="15"/>
                <w:szCs w:val="15"/>
                <w:lang w:eastAsia="en-GB"/>
              </w:rPr>
            </w:pPr>
            <w:r w:rsidRPr="004A59AE">
              <w:rPr>
                <w:sz w:val="15"/>
                <w:szCs w:val="15"/>
                <w:lang w:eastAsia="en-GB"/>
              </w:rPr>
              <w:t>Cattle</w:t>
            </w:r>
          </w:p>
        </w:tc>
        <w:tc>
          <w:tcPr>
            <w:tcW w:w="580" w:type="pct"/>
            <w:tcBorders>
              <w:top w:val="nil"/>
              <w:left w:val="single" w:sz="4" w:space="0" w:color="auto"/>
              <w:bottom w:val="nil"/>
              <w:right w:val="nil"/>
            </w:tcBorders>
            <w:shd w:val="clear" w:color="auto" w:fill="auto"/>
            <w:noWrap/>
            <w:vAlign w:val="bottom"/>
            <w:hideMark/>
          </w:tcPr>
          <w:p w14:paraId="50468B94" w14:textId="1CC8E736" w:rsidR="0091143A" w:rsidRPr="004A59AE" w:rsidRDefault="00DF54AD" w:rsidP="001E7367">
            <w:pPr>
              <w:jc w:val="right"/>
              <w:rPr>
                <w:sz w:val="15"/>
                <w:szCs w:val="15"/>
                <w:lang w:eastAsia="en-GB"/>
              </w:rPr>
            </w:pPr>
            <w:r w:rsidRPr="004A59AE">
              <w:rPr>
                <w:sz w:val="15"/>
                <w:szCs w:val="15"/>
                <w:lang w:eastAsia="en-GB"/>
              </w:rPr>
              <w:t>1,971,550</w:t>
            </w:r>
          </w:p>
        </w:tc>
        <w:tc>
          <w:tcPr>
            <w:tcW w:w="545" w:type="pct"/>
            <w:tcBorders>
              <w:top w:val="nil"/>
              <w:left w:val="nil"/>
              <w:bottom w:val="nil"/>
              <w:right w:val="single" w:sz="4" w:space="0" w:color="auto"/>
            </w:tcBorders>
            <w:shd w:val="clear" w:color="auto" w:fill="auto"/>
            <w:noWrap/>
            <w:vAlign w:val="bottom"/>
            <w:hideMark/>
          </w:tcPr>
          <w:p w14:paraId="3D657FB6" w14:textId="42717356" w:rsidR="0091143A" w:rsidRPr="004A59AE" w:rsidRDefault="0091143A" w:rsidP="001E7367">
            <w:pPr>
              <w:jc w:val="right"/>
              <w:rPr>
                <w:sz w:val="15"/>
                <w:szCs w:val="15"/>
                <w:lang w:eastAsia="en-GB"/>
              </w:rPr>
            </w:pPr>
            <w:r w:rsidRPr="004A59AE">
              <w:rPr>
                <w:sz w:val="15"/>
                <w:szCs w:val="15"/>
                <w:lang w:eastAsia="en-GB"/>
              </w:rPr>
              <w:t>33,</w:t>
            </w:r>
            <w:r w:rsidR="000831AF" w:rsidRPr="004A59AE">
              <w:rPr>
                <w:sz w:val="15"/>
                <w:szCs w:val="15"/>
                <w:lang w:eastAsia="en-GB"/>
              </w:rPr>
              <w:t>928,391</w:t>
            </w:r>
          </w:p>
        </w:tc>
        <w:tc>
          <w:tcPr>
            <w:tcW w:w="580" w:type="pct"/>
            <w:tcBorders>
              <w:top w:val="nil"/>
              <w:left w:val="nil"/>
              <w:bottom w:val="nil"/>
              <w:right w:val="nil"/>
            </w:tcBorders>
            <w:shd w:val="clear" w:color="auto" w:fill="auto"/>
            <w:noWrap/>
            <w:vAlign w:val="bottom"/>
            <w:hideMark/>
          </w:tcPr>
          <w:p w14:paraId="79E145E0" w14:textId="18FA06D6" w:rsidR="0091143A" w:rsidRPr="004A59AE" w:rsidRDefault="00DF54AD" w:rsidP="001E7367">
            <w:pPr>
              <w:jc w:val="right"/>
              <w:rPr>
                <w:sz w:val="15"/>
                <w:szCs w:val="15"/>
                <w:lang w:eastAsia="en-GB"/>
              </w:rPr>
            </w:pPr>
            <w:r w:rsidRPr="004A59AE">
              <w:rPr>
                <w:sz w:val="15"/>
                <w:szCs w:val="15"/>
                <w:lang w:eastAsia="en-GB"/>
              </w:rPr>
              <w:t>1,915,625</w:t>
            </w:r>
          </w:p>
        </w:tc>
        <w:tc>
          <w:tcPr>
            <w:tcW w:w="545" w:type="pct"/>
            <w:tcBorders>
              <w:top w:val="nil"/>
              <w:left w:val="nil"/>
              <w:bottom w:val="nil"/>
              <w:right w:val="single" w:sz="4" w:space="0" w:color="auto"/>
            </w:tcBorders>
            <w:shd w:val="clear" w:color="auto" w:fill="auto"/>
            <w:noWrap/>
            <w:vAlign w:val="bottom"/>
            <w:hideMark/>
          </w:tcPr>
          <w:p w14:paraId="52429DA2" w14:textId="77777777" w:rsidR="0091143A" w:rsidRPr="004A59AE" w:rsidRDefault="0091143A" w:rsidP="001E7367">
            <w:pPr>
              <w:jc w:val="right"/>
              <w:rPr>
                <w:sz w:val="15"/>
                <w:szCs w:val="15"/>
                <w:lang w:eastAsia="en-GB"/>
              </w:rPr>
            </w:pPr>
            <w:r w:rsidRPr="004A59AE">
              <w:rPr>
                <w:sz w:val="15"/>
                <w:szCs w:val="15"/>
                <w:lang w:eastAsia="en-GB"/>
              </w:rPr>
              <w:t>33,514,716</w:t>
            </w:r>
          </w:p>
        </w:tc>
        <w:tc>
          <w:tcPr>
            <w:tcW w:w="580" w:type="pct"/>
            <w:tcBorders>
              <w:top w:val="nil"/>
              <w:left w:val="nil"/>
              <w:bottom w:val="nil"/>
              <w:right w:val="nil"/>
            </w:tcBorders>
            <w:shd w:val="clear" w:color="auto" w:fill="auto"/>
            <w:noWrap/>
            <w:vAlign w:val="bottom"/>
            <w:hideMark/>
          </w:tcPr>
          <w:p w14:paraId="60A6220C" w14:textId="5C3AF794" w:rsidR="0091143A" w:rsidRPr="004A59AE" w:rsidRDefault="00DF54AD" w:rsidP="001E7367">
            <w:pPr>
              <w:jc w:val="right"/>
              <w:rPr>
                <w:sz w:val="15"/>
                <w:szCs w:val="15"/>
                <w:lang w:eastAsia="en-GB"/>
              </w:rPr>
            </w:pPr>
            <w:r w:rsidRPr="004A59AE">
              <w:rPr>
                <w:sz w:val="15"/>
                <w:szCs w:val="15"/>
                <w:lang w:eastAsia="en-GB"/>
              </w:rPr>
              <w:t>55,925</w:t>
            </w:r>
          </w:p>
        </w:tc>
        <w:tc>
          <w:tcPr>
            <w:tcW w:w="516" w:type="pct"/>
            <w:tcBorders>
              <w:top w:val="nil"/>
              <w:left w:val="nil"/>
              <w:bottom w:val="nil"/>
              <w:right w:val="nil"/>
            </w:tcBorders>
            <w:shd w:val="clear" w:color="auto" w:fill="auto"/>
            <w:noWrap/>
            <w:vAlign w:val="bottom"/>
            <w:hideMark/>
          </w:tcPr>
          <w:p w14:paraId="60750A2A" w14:textId="30BA5FAC" w:rsidR="0091143A" w:rsidRPr="004A59AE" w:rsidRDefault="0091143A" w:rsidP="001E7367">
            <w:pPr>
              <w:jc w:val="right"/>
              <w:rPr>
                <w:sz w:val="15"/>
                <w:szCs w:val="15"/>
                <w:lang w:eastAsia="en-GB"/>
              </w:rPr>
            </w:pPr>
            <w:r w:rsidRPr="004A59AE">
              <w:rPr>
                <w:sz w:val="15"/>
                <w:szCs w:val="15"/>
                <w:lang w:eastAsia="en-GB"/>
              </w:rPr>
              <w:t>270,70</w:t>
            </w:r>
            <w:r w:rsidR="00DF54AD" w:rsidRPr="004A59AE">
              <w:rPr>
                <w:sz w:val="15"/>
                <w:szCs w:val="15"/>
                <w:lang w:eastAsia="en-GB"/>
              </w:rPr>
              <w:t>7</w:t>
            </w:r>
          </w:p>
        </w:tc>
        <w:tc>
          <w:tcPr>
            <w:tcW w:w="545" w:type="pct"/>
            <w:tcBorders>
              <w:top w:val="nil"/>
              <w:left w:val="single" w:sz="4" w:space="0" w:color="auto"/>
              <w:bottom w:val="nil"/>
              <w:right w:val="nil"/>
            </w:tcBorders>
            <w:shd w:val="clear" w:color="auto" w:fill="auto"/>
            <w:noWrap/>
            <w:vAlign w:val="bottom"/>
            <w:hideMark/>
          </w:tcPr>
          <w:p w14:paraId="0513C501" w14:textId="77777777" w:rsidR="0091143A" w:rsidRPr="004A59AE" w:rsidRDefault="0091143A" w:rsidP="001E7367">
            <w:pPr>
              <w:jc w:val="right"/>
              <w:rPr>
                <w:sz w:val="15"/>
                <w:szCs w:val="15"/>
                <w:lang w:eastAsia="en-GB"/>
              </w:rPr>
            </w:pPr>
            <w:r w:rsidRPr="004A59AE">
              <w:rPr>
                <w:sz w:val="15"/>
                <w:szCs w:val="15"/>
                <w:lang w:eastAsia="en-GB"/>
              </w:rPr>
              <w:t>142,677</w:t>
            </w:r>
          </w:p>
        </w:tc>
        <w:tc>
          <w:tcPr>
            <w:tcW w:w="513" w:type="pct"/>
            <w:tcBorders>
              <w:top w:val="nil"/>
              <w:left w:val="nil"/>
              <w:bottom w:val="nil"/>
              <w:right w:val="nil"/>
            </w:tcBorders>
            <w:shd w:val="clear" w:color="auto" w:fill="auto"/>
            <w:noWrap/>
            <w:vAlign w:val="bottom"/>
            <w:hideMark/>
          </w:tcPr>
          <w:p w14:paraId="62795F60" w14:textId="77777777" w:rsidR="0091143A" w:rsidRPr="004A59AE" w:rsidRDefault="0091143A" w:rsidP="001E7367">
            <w:pPr>
              <w:jc w:val="right"/>
              <w:rPr>
                <w:sz w:val="15"/>
                <w:szCs w:val="15"/>
                <w:lang w:eastAsia="en-GB"/>
              </w:rPr>
            </w:pPr>
            <w:r w:rsidRPr="004A59AE">
              <w:rPr>
                <w:sz w:val="15"/>
                <w:szCs w:val="15"/>
                <w:lang w:eastAsia="en-GB"/>
              </w:rPr>
              <w:t>291</w:t>
            </w:r>
          </w:p>
        </w:tc>
      </w:tr>
      <w:tr w:rsidR="006B42D6" w:rsidRPr="004A59AE" w14:paraId="1A5CCFC2" w14:textId="77777777" w:rsidTr="006B5C77">
        <w:trPr>
          <w:trHeight w:val="283"/>
        </w:trPr>
        <w:tc>
          <w:tcPr>
            <w:tcW w:w="597" w:type="pct"/>
            <w:tcBorders>
              <w:top w:val="nil"/>
              <w:bottom w:val="nil"/>
              <w:right w:val="nil"/>
            </w:tcBorders>
            <w:shd w:val="clear" w:color="auto" w:fill="auto"/>
            <w:noWrap/>
            <w:vAlign w:val="bottom"/>
            <w:hideMark/>
          </w:tcPr>
          <w:p w14:paraId="4C5DE169" w14:textId="20FEB597" w:rsidR="0091143A" w:rsidRPr="004A59AE" w:rsidRDefault="0091143A" w:rsidP="006B5C77">
            <w:pPr>
              <w:jc w:val="left"/>
              <w:rPr>
                <w:sz w:val="15"/>
                <w:szCs w:val="15"/>
                <w:lang w:eastAsia="en-GB"/>
              </w:rPr>
            </w:pPr>
            <w:r w:rsidRPr="004A59AE">
              <w:rPr>
                <w:sz w:val="15"/>
                <w:szCs w:val="15"/>
                <w:lang w:eastAsia="en-GB"/>
              </w:rPr>
              <w:t>Goats</w:t>
            </w:r>
          </w:p>
        </w:tc>
        <w:tc>
          <w:tcPr>
            <w:tcW w:w="580" w:type="pct"/>
            <w:tcBorders>
              <w:top w:val="nil"/>
              <w:left w:val="single" w:sz="4" w:space="0" w:color="auto"/>
              <w:bottom w:val="nil"/>
              <w:right w:val="nil"/>
            </w:tcBorders>
            <w:shd w:val="clear" w:color="auto" w:fill="auto"/>
            <w:noWrap/>
            <w:vAlign w:val="bottom"/>
            <w:hideMark/>
          </w:tcPr>
          <w:p w14:paraId="489D5AC7" w14:textId="084D3DBB" w:rsidR="0091143A" w:rsidRPr="004A59AE" w:rsidRDefault="0091143A" w:rsidP="001E7367">
            <w:pPr>
              <w:jc w:val="right"/>
              <w:rPr>
                <w:sz w:val="15"/>
                <w:szCs w:val="15"/>
                <w:lang w:eastAsia="en-GB"/>
              </w:rPr>
            </w:pPr>
            <w:r w:rsidRPr="004A59AE">
              <w:rPr>
                <w:sz w:val="15"/>
                <w:szCs w:val="15"/>
                <w:lang w:eastAsia="en-GB"/>
              </w:rPr>
              <w:t>1,8</w:t>
            </w:r>
            <w:r w:rsidR="00DF54AD" w:rsidRPr="004A59AE">
              <w:rPr>
                <w:sz w:val="15"/>
                <w:szCs w:val="15"/>
                <w:lang w:eastAsia="en-GB"/>
              </w:rPr>
              <w:t>1</w:t>
            </w:r>
            <w:r w:rsidRPr="004A59AE">
              <w:rPr>
                <w:sz w:val="15"/>
                <w:szCs w:val="15"/>
                <w:lang w:eastAsia="en-GB"/>
              </w:rPr>
              <w:t>5,2</w:t>
            </w:r>
            <w:r w:rsidR="003E09E6" w:rsidRPr="004A59AE">
              <w:rPr>
                <w:sz w:val="15"/>
                <w:szCs w:val="15"/>
                <w:lang w:eastAsia="en-GB"/>
              </w:rPr>
              <w:t>19</w:t>
            </w:r>
          </w:p>
        </w:tc>
        <w:tc>
          <w:tcPr>
            <w:tcW w:w="545" w:type="pct"/>
            <w:tcBorders>
              <w:top w:val="nil"/>
              <w:left w:val="nil"/>
              <w:bottom w:val="nil"/>
              <w:right w:val="single" w:sz="4" w:space="0" w:color="auto"/>
            </w:tcBorders>
            <w:shd w:val="clear" w:color="auto" w:fill="auto"/>
            <w:noWrap/>
            <w:vAlign w:val="bottom"/>
            <w:hideMark/>
          </w:tcPr>
          <w:p w14:paraId="57B051C5" w14:textId="0B1709B7" w:rsidR="0091143A" w:rsidRPr="004A59AE" w:rsidRDefault="0091143A" w:rsidP="001E7367">
            <w:pPr>
              <w:jc w:val="right"/>
              <w:rPr>
                <w:sz w:val="15"/>
                <w:szCs w:val="15"/>
                <w:lang w:eastAsia="en-GB"/>
              </w:rPr>
            </w:pPr>
            <w:r w:rsidRPr="004A59AE">
              <w:rPr>
                <w:sz w:val="15"/>
                <w:szCs w:val="15"/>
                <w:lang w:eastAsia="en-GB"/>
              </w:rPr>
              <w:t>24,5</w:t>
            </w:r>
            <w:r w:rsidR="00DF54AD" w:rsidRPr="004A59AE">
              <w:rPr>
                <w:sz w:val="15"/>
                <w:szCs w:val="15"/>
                <w:lang w:eastAsia="en-GB"/>
              </w:rPr>
              <w:t>68</w:t>
            </w:r>
            <w:r w:rsidRPr="004A59AE">
              <w:rPr>
                <w:sz w:val="15"/>
                <w:szCs w:val="15"/>
                <w:lang w:eastAsia="en-GB"/>
              </w:rPr>
              <w:t>,</w:t>
            </w:r>
            <w:r w:rsidR="00DF54AD" w:rsidRPr="004A59AE">
              <w:rPr>
                <w:sz w:val="15"/>
                <w:szCs w:val="15"/>
                <w:lang w:eastAsia="en-GB"/>
              </w:rPr>
              <w:t>39</w:t>
            </w:r>
            <w:r w:rsidR="000831AF" w:rsidRPr="004A59AE">
              <w:rPr>
                <w:sz w:val="15"/>
                <w:szCs w:val="15"/>
                <w:lang w:eastAsia="en-GB"/>
              </w:rPr>
              <w:t>6</w:t>
            </w:r>
          </w:p>
        </w:tc>
        <w:tc>
          <w:tcPr>
            <w:tcW w:w="580" w:type="pct"/>
            <w:tcBorders>
              <w:top w:val="nil"/>
              <w:left w:val="nil"/>
              <w:bottom w:val="nil"/>
              <w:right w:val="nil"/>
            </w:tcBorders>
            <w:shd w:val="clear" w:color="auto" w:fill="auto"/>
            <w:noWrap/>
            <w:vAlign w:val="bottom"/>
            <w:hideMark/>
          </w:tcPr>
          <w:p w14:paraId="223DC55D" w14:textId="1657A778" w:rsidR="0091143A" w:rsidRPr="004A59AE" w:rsidRDefault="0091143A" w:rsidP="001E7367">
            <w:pPr>
              <w:jc w:val="right"/>
              <w:rPr>
                <w:sz w:val="15"/>
                <w:szCs w:val="15"/>
                <w:lang w:eastAsia="en-GB"/>
              </w:rPr>
            </w:pPr>
            <w:r w:rsidRPr="004A59AE">
              <w:rPr>
                <w:sz w:val="15"/>
                <w:szCs w:val="15"/>
                <w:lang w:eastAsia="en-GB"/>
              </w:rPr>
              <w:t>1,7</w:t>
            </w:r>
            <w:r w:rsidR="00DF54AD" w:rsidRPr="004A59AE">
              <w:rPr>
                <w:sz w:val="15"/>
                <w:szCs w:val="15"/>
                <w:lang w:eastAsia="en-GB"/>
              </w:rPr>
              <w:t>96</w:t>
            </w:r>
            <w:r w:rsidRPr="004A59AE">
              <w:rPr>
                <w:sz w:val="15"/>
                <w:szCs w:val="15"/>
                <w:lang w:eastAsia="en-GB"/>
              </w:rPr>
              <w:t>,7</w:t>
            </w:r>
            <w:r w:rsidR="003E09E6" w:rsidRPr="004A59AE">
              <w:rPr>
                <w:sz w:val="15"/>
                <w:szCs w:val="15"/>
                <w:lang w:eastAsia="en-GB"/>
              </w:rPr>
              <w:t>39</w:t>
            </w:r>
          </w:p>
        </w:tc>
        <w:tc>
          <w:tcPr>
            <w:tcW w:w="545" w:type="pct"/>
            <w:tcBorders>
              <w:top w:val="nil"/>
              <w:left w:val="nil"/>
              <w:bottom w:val="nil"/>
              <w:right w:val="single" w:sz="4" w:space="0" w:color="auto"/>
            </w:tcBorders>
            <w:shd w:val="clear" w:color="auto" w:fill="auto"/>
            <w:noWrap/>
            <w:vAlign w:val="bottom"/>
            <w:hideMark/>
          </w:tcPr>
          <w:p w14:paraId="36C94F9C" w14:textId="01A0C56A" w:rsidR="0091143A" w:rsidRPr="004A59AE" w:rsidRDefault="0091143A" w:rsidP="001E7367">
            <w:pPr>
              <w:jc w:val="right"/>
              <w:rPr>
                <w:sz w:val="15"/>
                <w:szCs w:val="15"/>
                <w:lang w:eastAsia="en-GB"/>
              </w:rPr>
            </w:pPr>
            <w:r w:rsidRPr="004A59AE">
              <w:rPr>
                <w:sz w:val="15"/>
                <w:szCs w:val="15"/>
                <w:lang w:eastAsia="en-GB"/>
              </w:rPr>
              <w:t>24,423,1</w:t>
            </w:r>
            <w:r w:rsidR="003E09E6" w:rsidRPr="004A59AE">
              <w:rPr>
                <w:sz w:val="15"/>
                <w:szCs w:val="15"/>
                <w:lang w:eastAsia="en-GB"/>
              </w:rPr>
              <w:t>20</w:t>
            </w:r>
          </w:p>
        </w:tc>
        <w:tc>
          <w:tcPr>
            <w:tcW w:w="580" w:type="pct"/>
            <w:tcBorders>
              <w:top w:val="nil"/>
              <w:left w:val="nil"/>
              <w:bottom w:val="nil"/>
              <w:right w:val="nil"/>
            </w:tcBorders>
            <w:shd w:val="clear" w:color="auto" w:fill="auto"/>
            <w:noWrap/>
            <w:vAlign w:val="bottom"/>
            <w:hideMark/>
          </w:tcPr>
          <w:p w14:paraId="63FFF0CE" w14:textId="14FFA5CE" w:rsidR="0091143A" w:rsidRPr="004A59AE" w:rsidRDefault="0091143A" w:rsidP="001E7367">
            <w:pPr>
              <w:jc w:val="right"/>
              <w:rPr>
                <w:sz w:val="15"/>
                <w:szCs w:val="15"/>
                <w:lang w:eastAsia="en-GB"/>
              </w:rPr>
            </w:pPr>
            <w:r w:rsidRPr="004A59AE">
              <w:rPr>
                <w:sz w:val="15"/>
                <w:szCs w:val="15"/>
                <w:lang w:eastAsia="en-GB"/>
              </w:rPr>
              <w:t>18,48</w:t>
            </w:r>
            <w:r w:rsidR="003E09E6" w:rsidRPr="004A59AE">
              <w:rPr>
                <w:sz w:val="15"/>
                <w:szCs w:val="15"/>
                <w:lang w:eastAsia="en-GB"/>
              </w:rPr>
              <w:t>0</w:t>
            </w:r>
          </w:p>
        </w:tc>
        <w:tc>
          <w:tcPr>
            <w:tcW w:w="516" w:type="pct"/>
            <w:tcBorders>
              <w:top w:val="nil"/>
              <w:left w:val="nil"/>
              <w:bottom w:val="nil"/>
              <w:right w:val="nil"/>
            </w:tcBorders>
            <w:shd w:val="clear" w:color="auto" w:fill="auto"/>
            <w:noWrap/>
            <w:vAlign w:val="bottom"/>
            <w:hideMark/>
          </w:tcPr>
          <w:p w14:paraId="6CC60692" w14:textId="77777777" w:rsidR="0091143A" w:rsidRPr="004A59AE" w:rsidRDefault="0091143A" w:rsidP="001E7367">
            <w:pPr>
              <w:jc w:val="right"/>
              <w:rPr>
                <w:sz w:val="15"/>
                <w:szCs w:val="15"/>
                <w:lang w:eastAsia="en-GB"/>
              </w:rPr>
            </w:pPr>
            <w:r w:rsidRPr="004A59AE">
              <w:rPr>
                <w:sz w:val="15"/>
                <w:szCs w:val="15"/>
                <w:lang w:eastAsia="en-GB"/>
              </w:rPr>
              <w:t>111,429</w:t>
            </w:r>
          </w:p>
        </w:tc>
        <w:tc>
          <w:tcPr>
            <w:tcW w:w="545" w:type="pct"/>
            <w:tcBorders>
              <w:top w:val="nil"/>
              <w:left w:val="single" w:sz="4" w:space="0" w:color="auto"/>
              <w:bottom w:val="nil"/>
              <w:right w:val="nil"/>
            </w:tcBorders>
            <w:shd w:val="clear" w:color="auto" w:fill="auto"/>
            <w:noWrap/>
            <w:vAlign w:val="bottom"/>
            <w:hideMark/>
          </w:tcPr>
          <w:p w14:paraId="03F6F2EC" w14:textId="77777777" w:rsidR="0091143A" w:rsidRPr="004A59AE" w:rsidRDefault="0091143A" w:rsidP="001E7367">
            <w:pPr>
              <w:jc w:val="right"/>
              <w:rPr>
                <w:sz w:val="15"/>
                <w:szCs w:val="15"/>
                <w:lang w:eastAsia="en-GB"/>
              </w:rPr>
            </w:pPr>
            <w:r w:rsidRPr="004A59AE">
              <w:rPr>
                <w:sz w:val="15"/>
                <w:szCs w:val="15"/>
                <w:lang w:eastAsia="en-GB"/>
              </w:rPr>
              <w:t>33,653</w:t>
            </w:r>
          </w:p>
        </w:tc>
        <w:tc>
          <w:tcPr>
            <w:tcW w:w="513" w:type="pct"/>
            <w:tcBorders>
              <w:top w:val="nil"/>
              <w:left w:val="nil"/>
              <w:bottom w:val="nil"/>
              <w:right w:val="nil"/>
            </w:tcBorders>
            <w:shd w:val="clear" w:color="auto" w:fill="auto"/>
            <w:noWrap/>
            <w:vAlign w:val="bottom"/>
            <w:hideMark/>
          </w:tcPr>
          <w:p w14:paraId="33D20028" w14:textId="77777777" w:rsidR="0091143A" w:rsidRPr="004A59AE" w:rsidRDefault="0091143A" w:rsidP="001E7367">
            <w:pPr>
              <w:jc w:val="right"/>
              <w:rPr>
                <w:sz w:val="15"/>
                <w:szCs w:val="15"/>
                <w:lang w:eastAsia="en-GB"/>
              </w:rPr>
            </w:pPr>
            <w:r w:rsidRPr="004A59AE">
              <w:rPr>
                <w:sz w:val="15"/>
                <w:szCs w:val="15"/>
                <w:lang w:eastAsia="en-GB"/>
              </w:rPr>
              <w:t>194</w:t>
            </w:r>
          </w:p>
        </w:tc>
      </w:tr>
      <w:tr w:rsidR="006B42D6" w:rsidRPr="004A59AE" w14:paraId="299094F1" w14:textId="77777777" w:rsidTr="006B5C77">
        <w:trPr>
          <w:trHeight w:val="283"/>
        </w:trPr>
        <w:tc>
          <w:tcPr>
            <w:tcW w:w="597" w:type="pct"/>
            <w:tcBorders>
              <w:top w:val="nil"/>
              <w:bottom w:val="nil"/>
              <w:right w:val="nil"/>
            </w:tcBorders>
            <w:shd w:val="clear" w:color="auto" w:fill="auto"/>
            <w:noWrap/>
            <w:vAlign w:val="bottom"/>
            <w:hideMark/>
          </w:tcPr>
          <w:p w14:paraId="759AF50E" w14:textId="33B3B32C" w:rsidR="0091143A" w:rsidRPr="004A59AE" w:rsidRDefault="0091143A" w:rsidP="006B5C77">
            <w:pPr>
              <w:jc w:val="left"/>
              <w:rPr>
                <w:sz w:val="15"/>
                <w:szCs w:val="15"/>
                <w:lang w:eastAsia="en-GB"/>
              </w:rPr>
            </w:pPr>
            <w:r w:rsidRPr="004A59AE">
              <w:rPr>
                <w:sz w:val="15"/>
                <w:szCs w:val="15"/>
                <w:lang w:eastAsia="en-GB"/>
              </w:rPr>
              <w:t>Sheep</w:t>
            </w:r>
          </w:p>
        </w:tc>
        <w:tc>
          <w:tcPr>
            <w:tcW w:w="580" w:type="pct"/>
            <w:tcBorders>
              <w:top w:val="nil"/>
              <w:left w:val="single" w:sz="4" w:space="0" w:color="auto"/>
              <w:bottom w:val="nil"/>
              <w:right w:val="nil"/>
            </w:tcBorders>
            <w:shd w:val="clear" w:color="auto" w:fill="auto"/>
            <w:noWrap/>
            <w:vAlign w:val="bottom"/>
            <w:hideMark/>
          </w:tcPr>
          <w:p w14:paraId="54B80109" w14:textId="066F443C" w:rsidR="0091143A" w:rsidRPr="004A59AE" w:rsidRDefault="0091143A" w:rsidP="001E7367">
            <w:pPr>
              <w:jc w:val="right"/>
              <w:rPr>
                <w:sz w:val="15"/>
                <w:szCs w:val="15"/>
                <w:lang w:eastAsia="en-GB"/>
              </w:rPr>
            </w:pPr>
            <w:r w:rsidRPr="004A59AE">
              <w:rPr>
                <w:sz w:val="15"/>
                <w:szCs w:val="15"/>
                <w:lang w:eastAsia="en-GB"/>
              </w:rPr>
              <w:t>6</w:t>
            </w:r>
            <w:r w:rsidR="000831AF" w:rsidRPr="004A59AE">
              <w:rPr>
                <w:sz w:val="15"/>
                <w:szCs w:val="15"/>
                <w:lang w:eastAsia="en-GB"/>
              </w:rPr>
              <w:t>77</w:t>
            </w:r>
            <w:r w:rsidRPr="004A59AE">
              <w:rPr>
                <w:sz w:val="15"/>
                <w:szCs w:val="15"/>
                <w:lang w:eastAsia="en-GB"/>
              </w:rPr>
              <w:t>,</w:t>
            </w:r>
            <w:r w:rsidR="000831AF" w:rsidRPr="004A59AE">
              <w:rPr>
                <w:sz w:val="15"/>
                <w:szCs w:val="15"/>
                <w:lang w:eastAsia="en-GB"/>
              </w:rPr>
              <w:t>273</w:t>
            </w:r>
          </w:p>
        </w:tc>
        <w:tc>
          <w:tcPr>
            <w:tcW w:w="545" w:type="pct"/>
            <w:tcBorders>
              <w:top w:val="nil"/>
              <w:left w:val="nil"/>
              <w:bottom w:val="nil"/>
              <w:right w:val="single" w:sz="4" w:space="0" w:color="auto"/>
            </w:tcBorders>
            <w:shd w:val="clear" w:color="auto" w:fill="auto"/>
            <w:noWrap/>
            <w:vAlign w:val="bottom"/>
            <w:hideMark/>
          </w:tcPr>
          <w:p w14:paraId="320CA64A" w14:textId="7F4DB45B" w:rsidR="0091143A" w:rsidRPr="004A59AE" w:rsidRDefault="0091143A" w:rsidP="001E7367">
            <w:pPr>
              <w:jc w:val="right"/>
              <w:rPr>
                <w:sz w:val="15"/>
                <w:szCs w:val="15"/>
                <w:lang w:eastAsia="en-GB"/>
              </w:rPr>
            </w:pPr>
            <w:r w:rsidRPr="004A59AE">
              <w:rPr>
                <w:sz w:val="15"/>
                <w:szCs w:val="15"/>
                <w:lang w:eastAsia="en-GB"/>
              </w:rPr>
              <w:t>8,</w:t>
            </w:r>
            <w:r w:rsidR="000831AF" w:rsidRPr="004A59AE">
              <w:rPr>
                <w:sz w:val="15"/>
                <w:szCs w:val="15"/>
                <w:lang w:eastAsia="en-GB"/>
              </w:rPr>
              <w:t>516</w:t>
            </w:r>
            <w:r w:rsidRPr="004A59AE">
              <w:rPr>
                <w:sz w:val="15"/>
                <w:szCs w:val="15"/>
                <w:lang w:eastAsia="en-GB"/>
              </w:rPr>
              <w:t>,9</w:t>
            </w:r>
            <w:r w:rsidR="000831AF" w:rsidRPr="004A59AE">
              <w:rPr>
                <w:sz w:val="15"/>
                <w:szCs w:val="15"/>
                <w:lang w:eastAsia="en-GB"/>
              </w:rPr>
              <w:t>90</w:t>
            </w:r>
          </w:p>
        </w:tc>
        <w:tc>
          <w:tcPr>
            <w:tcW w:w="580" w:type="pct"/>
            <w:tcBorders>
              <w:top w:val="nil"/>
              <w:left w:val="nil"/>
              <w:bottom w:val="nil"/>
              <w:right w:val="nil"/>
            </w:tcBorders>
            <w:shd w:val="clear" w:color="auto" w:fill="auto"/>
            <w:noWrap/>
            <w:vAlign w:val="bottom"/>
            <w:hideMark/>
          </w:tcPr>
          <w:p w14:paraId="2A542D91" w14:textId="4FFFC380" w:rsidR="0091143A" w:rsidRPr="004A59AE" w:rsidRDefault="0091143A" w:rsidP="001E7367">
            <w:pPr>
              <w:jc w:val="right"/>
              <w:rPr>
                <w:sz w:val="15"/>
                <w:szCs w:val="15"/>
                <w:lang w:eastAsia="en-GB"/>
              </w:rPr>
            </w:pPr>
            <w:r w:rsidRPr="004A59AE">
              <w:rPr>
                <w:sz w:val="15"/>
                <w:szCs w:val="15"/>
                <w:lang w:eastAsia="en-GB"/>
              </w:rPr>
              <w:t>6</w:t>
            </w:r>
            <w:r w:rsidR="000831AF" w:rsidRPr="004A59AE">
              <w:rPr>
                <w:sz w:val="15"/>
                <w:szCs w:val="15"/>
                <w:lang w:eastAsia="en-GB"/>
              </w:rPr>
              <w:t>77</w:t>
            </w:r>
            <w:r w:rsidRPr="004A59AE">
              <w:rPr>
                <w:sz w:val="15"/>
                <w:szCs w:val="15"/>
                <w:lang w:eastAsia="en-GB"/>
              </w:rPr>
              <w:t>,</w:t>
            </w:r>
            <w:r w:rsidR="000831AF" w:rsidRPr="004A59AE">
              <w:rPr>
                <w:sz w:val="15"/>
                <w:szCs w:val="15"/>
                <w:lang w:eastAsia="en-GB"/>
              </w:rPr>
              <w:t>081</w:t>
            </w:r>
          </w:p>
        </w:tc>
        <w:tc>
          <w:tcPr>
            <w:tcW w:w="545" w:type="pct"/>
            <w:tcBorders>
              <w:top w:val="nil"/>
              <w:left w:val="nil"/>
              <w:bottom w:val="nil"/>
              <w:right w:val="single" w:sz="4" w:space="0" w:color="auto"/>
            </w:tcBorders>
            <w:shd w:val="clear" w:color="auto" w:fill="auto"/>
            <w:noWrap/>
            <w:vAlign w:val="bottom"/>
            <w:hideMark/>
          </w:tcPr>
          <w:p w14:paraId="7A64CE7E" w14:textId="77777777" w:rsidR="0091143A" w:rsidRPr="004A59AE" w:rsidRDefault="0091143A" w:rsidP="001E7367">
            <w:pPr>
              <w:jc w:val="right"/>
              <w:rPr>
                <w:sz w:val="15"/>
                <w:szCs w:val="15"/>
                <w:lang w:eastAsia="en-GB"/>
              </w:rPr>
            </w:pPr>
            <w:r w:rsidRPr="004A59AE">
              <w:rPr>
                <w:sz w:val="15"/>
                <w:szCs w:val="15"/>
                <w:lang w:eastAsia="en-GB"/>
              </w:rPr>
              <w:t>8,492,044</w:t>
            </w:r>
          </w:p>
        </w:tc>
        <w:tc>
          <w:tcPr>
            <w:tcW w:w="580" w:type="pct"/>
            <w:tcBorders>
              <w:top w:val="nil"/>
              <w:left w:val="nil"/>
              <w:bottom w:val="nil"/>
              <w:right w:val="nil"/>
            </w:tcBorders>
            <w:shd w:val="clear" w:color="auto" w:fill="auto"/>
            <w:noWrap/>
            <w:vAlign w:val="bottom"/>
            <w:hideMark/>
          </w:tcPr>
          <w:p w14:paraId="0852A82B" w14:textId="77777777" w:rsidR="0091143A" w:rsidRPr="004A59AE" w:rsidRDefault="0091143A" w:rsidP="001E7367">
            <w:pPr>
              <w:jc w:val="right"/>
              <w:rPr>
                <w:sz w:val="15"/>
                <w:szCs w:val="15"/>
                <w:lang w:eastAsia="en-GB"/>
              </w:rPr>
            </w:pPr>
            <w:r w:rsidRPr="004A59AE">
              <w:rPr>
                <w:sz w:val="15"/>
                <w:szCs w:val="15"/>
                <w:lang w:eastAsia="en-GB"/>
              </w:rPr>
              <w:t>192</w:t>
            </w:r>
          </w:p>
        </w:tc>
        <w:tc>
          <w:tcPr>
            <w:tcW w:w="516" w:type="pct"/>
            <w:tcBorders>
              <w:top w:val="nil"/>
              <w:left w:val="nil"/>
              <w:bottom w:val="nil"/>
              <w:right w:val="nil"/>
            </w:tcBorders>
            <w:shd w:val="clear" w:color="auto" w:fill="auto"/>
            <w:noWrap/>
            <w:vAlign w:val="bottom"/>
            <w:hideMark/>
          </w:tcPr>
          <w:p w14:paraId="660A3EC7" w14:textId="77777777" w:rsidR="0091143A" w:rsidRPr="004A59AE" w:rsidRDefault="0091143A" w:rsidP="001E7367">
            <w:pPr>
              <w:jc w:val="right"/>
              <w:rPr>
                <w:sz w:val="15"/>
                <w:szCs w:val="15"/>
                <w:lang w:eastAsia="en-GB"/>
              </w:rPr>
            </w:pPr>
            <w:r w:rsidRPr="004A59AE">
              <w:rPr>
                <w:sz w:val="15"/>
                <w:szCs w:val="15"/>
                <w:lang w:eastAsia="en-GB"/>
              </w:rPr>
              <w:t>871</w:t>
            </w:r>
          </w:p>
        </w:tc>
        <w:tc>
          <w:tcPr>
            <w:tcW w:w="545" w:type="pct"/>
            <w:tcBorders>
              <w:top w:val="nil"/>
              <w:left w:val="single" w:sz="4" w:space="0" w:color="auto"/>
              <w:bottom w:val="nil"/>
              <w:right w:val="nil"/>
            </w:tcBorders>
            <w:shd w:val="clear" w:color="auto" w:fill="auto"/>
            <w:noWrap/>
            <w:vAlign w:val="bottom"/>
            <w:hideMark/>
          </w:tcPr>
          <w:p w14:paraId="32174B3C" w14:textId="77777777" w:rsidR="0091143A" w:rsidRPr="004A59AE" w:rsidRDefault="0091143A" w:rsidP="001E7367">
            <w:pPr>
              <w:jc w:val="right"/>
              <w:rPr>
                <w:sz w:val="15"/>
                <w:szCs w:val="15"/>
                <w:lang w:eastAsia="en-GB"/>
              </w:rPr>
            </w:pPr>
            <w:r w:rsidRPr="004A59AE">
              <w:rPr>
                <w:sz w:val="15"/>
                <w:szCs w:val="15"/>
                <w:lang w:eastAsia="en-GB"/>
              </w:rPr>
              <w:t>24,012</w:t>
            </w:r>
          </w:p>
        </w:tc>
        <w:tc>
          <w:tcPr>
            <w:tcW w:w="513" w:type="pct"/>
            <w:tcBorders>
              <w:top w:val="nil"/>
              <w:left w:val="nil"/>
              <w:bottom w:val="nil"/>
              <w:right w:val="nil"/>
            </w:tcBorders>
            <w:shd w:val="clear" w:color="auto" w:fill="auto"/>
            <w:noWrap/>
            <w:vAlign w:val="bottom"/>
            <w:hideMark/>
          </w:tcPr>
          <w:p w14:paraId="42AE08B3" w14:textId="77777777" w:rsidR="0091143A" w:rsidRPr="004A59AE" w:rsidRDefault="0091143A" w:rsidP="001E7367">
            <w:pPr>
              <w:jc w:val="right"/>
              <w:rPr>
                <w:sz w:val="15"/>
                <w:szCs w:val="15"/>
                <w:lang w:eastAsia="en-GB"/>
              </w:rPr>
            </w:pPr>
            <w:r w:rsidRPr="004A59AE">
              <w:rPr>
                <w:sz w:val="15"/>
                <w:szCs w:val="15"/>
                <w:lang w:eastAsia="en-GB"/>
              </w:rPr>
              <w:t>63</w:t>
            </w:r>
          </w:p>
        </w:tc>
      </w:tr>
      <w:tr w:rsidR="006B42D6" w:rsidRPr="004A59AE" w14:paraId="5188D6CA" w14:textId="77777777" w:rsidTr="006B5C77">
        <w:trPr>
          <w:trHeight w:val="283"/>
        </w:trPr>
        <w:tc>
          <w:tcPr>
            <w:tcW w:w="597" w:type="pct"/>
            <w:tcBorders>
              <w:top w:val="nil"/>
              <w:bottom w:val="nil"/>
              <w:right w:val="nil"/>
            </w:tcBorders>
            <w:shd w:val="clear" w:color="auto" w:fill="auto"/>
            <w:noWrap/>
            <w:vAlign w:val="bottom"/>
            <w:hideMark/>
          </w:tcPr>
          <w:p w14:paraId="2AAEBA31" w14:textId="243B4896" w:rsidR="0091143A" w:rsidRPr="004A59AE" w:rsidRDefault="0091143A" w:rsidP="006B5C77">
            <w:pPr>
              <w:jc w:val="left"/>
              <w:rPr>
                <w:sz w:val="15"/>
                <w:szCs w:val="15"/>
                <w:lang w:eastAsia="en-GB"/>
              </w:rPr>
            </w:pPr>
            <w:r w:rsidRPr="004A59AE">
              <w:rPr>
                <w:sz w:val="15"/>
                <w:szCs w:val="15"/>
                <w:lang w:eastAsia="en-GB"/>
              </w:rPr>
              <w:t>Pig</w:t>
            </w:r>
          </w:p>
        </w:tc>
        <w:tc>
          <w:tcPr>
            <w:tcW w:w="580" w:type="pct"/>
            <w:tcBorders>
              <w:top w:val="nil"/>
              <w:left w:val="single" w:sz="4" w:space="0" w:color="auto"/>
              <w:bottom w:val="nil"/>
              <w:right w:val="nil"/>
            </w:tcBorders>
            <w:shd w:val="clear" w:color="auto" w:fill="auto"/>
            <w:noWrap/>
            <w:vAlign w:val="bottom"/>
            <w:hideMark/>
          </w:tcPr>
          <w:p w14:paraId="0C29BF13" w14:textId="0F3331AF" w:rsidR="0091143A" w:rsidRPr="004A59AE" w:rsidRDefault="0091143A" w:rsidP="001E7367">
            <w:pPr>
              <w:jc w:val="right"/>
              <w:rPr>
                <w:sz w:val="15"/>
                <w:szCs w:val="15"/>
                <w:lang w:eastAsia="en-GB"/>
              </w:rPr>
            </w:pPr>
            <w:r w:rsidRPr="004A59AE">
              <w:rPr>
                <w:sz w:val="15"/>
                <w:szCs w:val="15"/>
                <w:lang w:eastAsia="en-GB"/>
              </w:rPr>
              <w:t>5</w:t>
            </w:r>
            <w:r w:rsidR="000831AF" w:rsidRPr="004A59AE">
              <w:rPr>
                <w:sz w:val="15"/>
                <w:szCs w:val="15"/>
                <w:lang w:eastAsia="en-GB"/>
              </w:rPr>
              <w:t>3</w:t>
            </w:r>
            <w:r w:rsidRPr="004A59AE">
              <w:rPr>
                <w:sz w:val="15"/>
                <w:szCs w:val="15"/>
                <w:lang w:eastAsia="en-GB"/>
              </w:rPr>
              <w:t>6,</w:t>
            </w:r>
            <w:r w:rsidR="000831AF" w:rsidRPr="004A59AE">
              <w:rPr>
                <w:sz w:val="15"/>
                <w:szCs w:val="15"/>
                <w:lang w:eastAsia="en-GB"/>
              </w:rPr>
              <w:t>986</w:t>
            </w:r>
          </w:p>
        </w:tc>
        <w:tc>
          <w:tcPr>
            <w:tcW w:w="545" w:type="pct"/>
            <w:tcBorders>
              <w:top w:val="nil"/>
              <w:left w:val="nil"/>
              <w:bottom w:val="nil"/>
              <w:right w:val="single" w:sz="4" w:space="0" w:color="auto"/>
            </w:tcBorders>
            <w:shd w:val="clear" w:color="auto" w:fill="auto"/>
            <w:noWrap/>
            <w:vAlign w:val="bottom"/>
            <w:hideMark/>
          </w:tcPr>
          <w:p w14:paraId="3893E424" w14:textId="36F395A2" w:rsidR="0091143A" w:rsidRPr="004A59AE" w:rsidRDefault="0091143A" w:rsidP="001E7367">
            <w:pPr>
              <w:jc w:val="right"/>
              <w:rPr>
                <w:sz w:val="15"/>
                <w:szCs w:val="15"/>
                <w:lang w:eastAsia="en-GB"/>
              </w:rPr>
            </w:pPr>
            <w:r w:rsidRPr="004A59AE">
              <w:rPr>
                <w:sz w:val="15"/>
                <w:szCs w:val="15"/>
                <w:lang w:eastAsia="en-GB"/>
              </w:rPr>
              <w:t>3,20</w:t>
            </w:r>
            <w:r w:rsidR="000831AF" w:rsidRPr="004A59AE">
              <w:rPr>
                <w:sz w:val="15"/>
                <w:szCs w:val="15"/>
                <w:lang w:eastAsia="en-GB"/>
              </w:rPr>
              <w:t>8</w:t>
            </w:r>
            <w:r w:rsidRPr="004A59AE">
              <w:rPr>
                <w:sz w:val="15"/>
                <w:szCs w:val="15"/>
                <w:lang w:eastAsia="en-GB"/>
              </w:rPr>
              <w:t>,</w:t>
            </w:r>
            <w:r w:rsidR="000831AF" w:rsidRPr="004A59AE">
              <w:rPr>
                <w:sz w:val="15"/>
                <w:szCs w:val="15"/>
                <w:lang w:eastAsia="en-GB"/>
              </w:rPr>
              <w:t>49</w:t>
            </w:r>
            <w:r w:rsidR="00C130BA" w:rsidRPr="004A59AE">
              <w:rPr>
                <w:sz w:val="15"/>
                <w:szCs w:val="15"/>
                <w:lang w:eastAsia="en-GB"/>
              </w:rPr>
              <w:t>5</w:t>
            </w:r>
          </w:p>
        </w:tc>
        <w:tc>
          <w:tcPr>
            <w:tcW w:w="580" w:type="pct"/>
            <w:tcBorders>
              <w:top w:val="nil"/>
              <w:left w:val="nil"/>
              <w:bottom w:val="nil"/>
              <w:right w:val="nil"/>
            </w:tcBorders>
            <w:shd w:val="clear" w:color="auto" w:fill="auto"/>
            <w:noWrap/>
            <w:vAlign w:val="bottom"/>
            <w:hideMark/>
          </w:tcPr>
          <w:p w14:paraId="1CA40150" w14:textId="7D687FEF" w:rsidR="0091143A" w:rsidRPr="004A59AE" w:rsidRDefault="0091143A" w:rsidP="001E7367">
            <w:pPr>
              <w:jc w:val="right"/>
              <w:rPr>
                <w:sz w:val="15"/>
                <w:szCs w:val="15"/>
                <w:lang w:eastAsia="en-GB"/>
              </w:rPr>
            </w:pPr>
            <w:r w:rsidRPr="004A59AE">
              <w:rPr>
                <w:sz w:val="15"/>
                <w:szCs w:val="15"/>
                <w:lang w:eastAsia="en-GB"/>
              </w:rPr>
              <w:t>5</w:t>
            </w:r>
            <w:r w:rsidR="000831AF" w:rsidRPr="004A59AE">
              <w:rPr>
                <w:sz w:val="15"/>
                <w:szCs w:val="15"/>
                <w:lang w:eastAsia="en-GB"/>
              </w:rPr>
              <w:t>3</w:t>
            </w:r>
            <w:r w:rsidRPr="004A59AE">
              <w:rPr>
                <w:sz w:val="15"/>
                <w:szCs w:val="15"/>
                <w:lang w:eastAsia="en-GB"/>
              </w:rPr>
              <w:t>6,</w:t>
            </w:r>
            <w:r w:rsidR="000831AF" w:rsidRPr="004A59AE">
              <w:rPr>
                <w:sz w:val="15"/>
                <w:szCs w:val="15"/>
                <w:lang w:eastAsia="en-GB"/>
              </w:rPr>
              <w:t>841</w:t>
            </w:r>
          </w:p>
        </w:tc>
        <w:tc>
          <w:tcPr>
            <w:tcW w:w="545" w:type="pct"/>
            <w:tcBorders>
              <w:top w:val="nil"/>
              <w:left w:val="nil"/>
              <w:bottom w:val="nil"/>
              <w:right w:val="single" w:sz="4" w:space="0" w:color="auto"/>
            </w:tcBorders>
            <w:shd w:val="clear" w:color="auto" w:fill="auto"/>
            <w:noWrap/>
            <w:vAlign w:val="bottom"/>
            <w:hideMark/>
          </w:tcPr>
          <w:p w14:paraId="5AD3116F" w14:textId="193BCA76" w:rsidR="0091143A" w:rsidRPr="004A59AE" w:rsidRDefault="0091143A" w:rsidP="001E7367">
            <w:pPr>
              <w:jc w:val="right"/>
              <w:rPr>
                <w:sz w:val="15"/>
                <w:szCs w:val="15"/>
                <w:lang w:eastAsia="en-GB"/>
              </w:rPr>
            </w:pPr>
            <w:r w:rsidRPr="004A59AE">
              <w:rPr>
                <w:sz w:val="15"/>
                <w:szCs w:val="15"/>
                <w:lang w:eastAsia="en-GB"/>
              </w:rPr>
              <w:t>3,201,1</w:t>
            </w:r>
            <w:r w:rsidR="00031DFD" w:rsidRPr="004A59AE">
              <w:rPr>
                <w:sz w:val="15"/>
                <w:szCs w:val="15"/>
                <w:lang w:eastAsia="en-GB"/>
              </w:rPr>
              <w:t>63</w:t>
            </w:r>
          </w:p>
        </w:tc>
        <w:tc>
          <w:tcPr>
            <w:tcW w:w="580" w:type="pct"/>
            <w:tcBorders>
              <w:top w:val="nil"/>
              <w:left w:val="nil"/>
              <w:bottom w:val="nil"/>
              <w:right w:val="nil"/>
            </w:tcBorders>
            <w:shd w:val="clear" w:color="auto" w:fill="auto"/>
            <w:noWrap/>
            <w:vAlign w:val="bottom"/>
            <w:hideMark/>
          </w:tcPr>
          <w:p w14:paraId="6E50B214" w14:textId="77777777" w:rsidR="0091143A" w:rsidRPr="004A59AE" w:rsidRDefault="0091143A" w:rsidP="001E7367">
            <w:pPr>
              <w:jc w:val="right"/>
              <w:rPr>
                <w:sz w:val="15"/>
                <w:szCs w:val="15"/>
                <w:lang w:eastAsia="en-GB"/>
              </w:rPr>
            </w:pPr>
            <w:r w:rsidRPr="004A59AE">
              <w:rPr>
                <w:sz w:val="15"/>
                <w:szCs w:val="15"/>
                <w:lang w:eastAsia="en-GB"/>
              </w:rPr>
              <w:t>145</w:t>
            </w:r>
          </w:p>
        </w:tc>
        <w:tc>
          <w:tcPr>
            <w:tcW w:w="516" w:type="pct"/>
            <w:tcBorders>
              <w:top w:val="nil"/>
              <w:left w:val="nil"/>
              <w:bottom w:val="nil"/>
              <w:right w:val="nil"/>
            </w:tcBorders>
            <w:shd w:val="clear" w:color="auto" w:fill="auto"/>
            <w:noWrap/>
            <w:vAlign w:val="bottom"/>
            <w:hideMark/>
          </w:tcPr>
          <w:p w14:paraId="28CC928B" w14:textId="6E9D0969" w:rsidR="0091143A" w:rsidRPr="004A59AE" w:rsidRDefault="0091143A" w:rsidP="001E7367">
            <w:pPr>
              <w:jc w:val="right"/>
              <w:rPr>
                <w:sz w:val="15"/>
                <w:szCs w:val="15"/>
                <w:lang w:eastAsia="en-GB"/>
              </w:rPr>
            </w:pPr>
            <w:r w:rsidRPr="004A59AE">
              <w:rPr>
                <w:sz w:val="15"/>
                <w:szCs w:val="15"/>
                <w:lang w:eastAsia="en-GB"/>
              </w:rPr>
              <w:t>2,2</w:t>
            </w:r>
            <w:r w:rsidR="00C130BA" w:rsidRPr="004A59AE">
              <w:rPr>
                <w:sz w:val="15"/>
                <w:szCs w:val="15"/>
                <w:lang w:eastAsia="en-GB"/>
              </w:rPr>
              <w:t>09</w:t>
            </w:r>
          </w:p>
        </w:tc>
        <w:tc>
          <w:tcPr>
            <w:tcW w:w="545" w:type="pct"/>
            <w:tcBorders>
              <w:top w:val="nil"/>
              <w:left w:val="single" w:sz="4" w:space="0" w:color="auto"/>
              <w:bottom w:val="nil"/>
              <w:right w:val="nil"/>
            </w:tcBorders>
            <w:shd w:val="clear" w:color="auto" w:fill="auto"/>
            <w:noWrap/>
            <w:vAlign w:val="bottom"/>
            <w:hideMark/>
          </w:tcPr>
          <w:p w14:paraId="4B1E99EA" w14:textId="77777777" w:rsidR="0091143A" w:rsidRPr="004A59AE" w:rsidRDefault="0091143A" w:rsidP="001E7367">
            <w:pPr>
              <w:jc w:val="right"/>
              <w:rPr>
                <w:sz w:val="15"/>
                <w:szCs w:val="15"/>
                <w:lang w:eastAsia="en-GB"/>
              </w:rPr>
            </w:pPr>
            <w:r w:rsidRPr="004A59AE">
              <w:rPr>
                <w:sz w:val="15"/>
                <w:szCs w:val="15"/>
                <w:lang w:eastAsia="en-GB"/>
              </w:rPr>
              <w:t>5,123</w:t>
            </w:r>
          </w:p>
        </w:tc>
        <w:tc>
          <w:tcPr>
            <w:tcW w:w="513" w:type="pct"/>
            <w:tcBorders>
              <w:top w:val="nil"/>
              <w:left w:val="nil"/>
              <w:bottom w:val="nil"/>
              <w:right w:val="nil"/>
            </w:tcBorders>
            <w:shd w:val="clear" w:color="auto" w:fill="auto"/>
            <w:noWrap/>
            <w:vAlign w:val="bottom"/>
            <w:hideMark/>
          </w:tcPr>
          <w:p w14:paraId="7003816B" w14:textId="77777777" w:rsidR="0091143A" w:rsidRPr="004A59AE" w:rsidRDefault="0091143A" w:rsidP="001E7367">
            <w:pPr>
              <w:jc w:val="right"/>
              <w:rPr>
                <w:sz w:val="15"/>
                <w:szCs w:val="15"/>
                <w:lang w:eastAsia="en-GB"/>
              </w:rPr>
            </w:pPr>
            <w:r w:rsidRPr="004A59AE">
              <w:rPr>
                <w:sz w:val="15"/>
                <w:szCs w:val="15"/>
                <w:lang w:eastAsia="en-GB"/>
              </w:rPr>
              <w:t>0</w:t>
            </w:r>
          </w:p>
        </w:tc>
      </w:tr>
      <w:tr w:rsidR="006B42D6" w:rsidRPr="004A59AE" w14:paraId="5DFF3142" w14:textId="77777777" w:rsidTr="006B5C77">
        <w:trPr>
          <w:trHeight w:val="283"/>
        </w:trPr>
        <w:tc>
          <w:tcPr>
            <w:tcW w:w="597" w:type="pct"/>
            <w:tcBorders>
              <w:top w:val="nil"/>
              <w:bottom w:val="single" w:sz="4" w:space="0" w:color="auto"/>
              <w:right w:val="nil"/>
            </w:tcBorders>
            <w:shd w:val="clear" w:color="auto" w:fill="auto"/>
            <w:noWrap/>
            <w:vAlign w:val="bottom"/>
            <w:hideMark/>
          </w:tcPr>
          <w:p w14:paraId="09A4D309" w14:textId="1F85CF51" w:rsidR="0091143A" w:rsidRPr="004A59AE" w:rsidRDefault="0091143A" w:rsidP="006B5C77">
            <w:pPr>
              <w:jc w:val="left"/>
              <w:rPr>
                <w:sz w:val="15"/>
                <w:szCs w:val="15"/>
                <w:lang w:eastAsia="en-GB"/>
              </w:rPr>
            </w:pPr>
            <w:r w:rsidRPr="004A59AE">
              <w:rPr>
                <w:sz w:val="15"/>
                <w:szCs w:val="15"/>
                <w:lang w:eastAsia="en-GB"/>
              </w:rPr>
              <w:t>Chicken</w:t>
            </w:r>
          </w:p>
        </w:tc>
        <w:tc>
          <w:tcPr>
            <w:tcW w:w="580" w:type="pct"/>
            <w:tcBorders>
              <w:top w:val="nil"/>
              <w:left w:val="single" w:sz="4" w:space="0" w:color="auto"/>
              <w:bottom w:val="single" w:sz="4" w:space="0" w:color="auto"/>
              <w:right w:val="nil"/>
            </w:tcBorders>
            <w:shd w:val="clear" w:color="auto" w:fill="auto"/>
            <w:noWrap/>
            <w:vAlign w:val="bottom"/>
            <w:hideMark/>
          </w:tcPr>
          <w:p w14:paraId="1340B6F8" w14:textId="3438E929" w:rsidR="0091143A" w:rsidRPr="004A59AE" w:rsidRDefault="0091143A" w:rsidP="001E7367">
            <w:pPr>
              <w:jc w:val="right"/>
              <w:rPr>
                <w:sz w:val="15"/>
                <w:szCs w:val="15"/>
                <w:lang w:eastAsia="en-GB"/>
              </w:rPr>
            </w:pPr>
            <w:r w:rsidRPr="004A59AE">
              <w:rPr>
                <w:bCs/>
                <w:sz w:val="15"/>
                <w:szCs w:val="15"/>
                <w:lang w:eastAsia="en-GB"/>
              </w:rPr>
              <w:t>4,</w:t>
            </w:r>
            <w:r w:rsidR="00C130BA" w:rsidRPr="004A59AE">
              <w:rPr>
                <w:bCs/>
                <w:sz w:val="15"/>
                <w:szCs w:val="15"/>
                <w:lang w:eastAsia="en-GB"/>
              </w:rPr>
              <w:t>3</w:t>
            </w:r>
            <w:r w:rsidRPr="004A59AE">
              <w:rPr>
                <w:bCs/>
                <w:sz w:val="15"/>
                <w:szCs w:val="15"/>
                <w:lang w:eastAsia="en-GB"/>
              </w:rPr>
              <w:t>38,</w:t>
            </w:r>
            <w:r w:rsidR="00C130BA" w:rsidRPr="004A59AE">
              <w:rPr>
                <w:bCs/>
                <w:sz w:val="15"/>
                <w:szCs w:val="15"/>
                <w:lang w:eastAsia="en-GB"/>
              </w:rPr>
              <w:t>8</w:t>
            </w:r>
            <w:r w:rsidRPr="004A59AE">
              <w:rPr>
                <w:bCs/>
                <w:sz w:val="15"/>
                <w:szCs w:val="15"/>
                <w:lang w:eastAsia="en-GB"/>
              </w:rPr>
              <w:t>8</w:t>
            </w:r>
            <w:r w:rsidR="00C130BA" w:rsidRPr="004A59AE">
              <w:rPr>
                <w:bCs/>
                <w:sz w:val="15"/>
                <w:szCs w:val="15"/>
                <w:lang w:eastAsia="en-GB"/>
              </w:rPr>
              <w:t>2</w:t>
            </w:r>
          </w:p>
        </w:tc>
        <w:tc>
          <w:tcPr>
            <w:tcW w:w="545" w:type="pct"/>
            <w:tcBorders>
              <w:top w:val="nil"/>
              <w:left w:val="nil"/>
              <w:bottom w:val="single" w:sz="4" w:space="0" w:color="auto"/>
              <w:right w:val="single" w:sz="4" w:space="0" w:color="auto"/>
            </w:tcBorders>
            <w:shd w:val="clear" w:color="auto" w:fill="auto"/>
            <w:noWrap/>
            <w:vAlign w:val="bottom"/>
            <w:hideMark/>
          </w:tcPr>
          <w:p w14:paraId="34B81280" w14:textId="3CA6957F" w:rsidR="0091143A" w:rsidRPr="004A59AE" w:rsidRDefault="0091143A" w:rsidP="001E7367">
            <w:pPr>
              <w:jc w:val="right"/>
              <w:rPr>
                <w:sz w:val="15"/>
                <w:szCs w:val="15"/>
                <w:lang w:eastAsia="en-GB"/>
              </w:rPr>
            </w:pPr>
            <w:r w:rsidRPr="004A59AE">
              <w:rPr>
                <w:bCs/>
                <w:sz w:val="15"/>
                <w:szCs w:val="15"/>
                <w:lang w:eastAsia="en-GB"/>
              </w:rPr>
              <w:t>87,659,5</w:t>
            </w:r>
            <w:r w:rsidR="001B4FE5" w:rsidRPr="004A59AE">
              <w:rPr>
                <w:bCs/>
                <w:sz w:val="15"/>
                <w:szCs w:val="15"/>
                <w:lang w:eastAsia="en-GB"/>
              </w:rPr>
              <w:t>80</w:t>
            </w:r>
          </w:p>
        </w:tc>
        <w:tc>
          <w:tcPr>
            <w:tcW w:w="580" w:type="pct"/>
            <w:tcBorders>
              <w:top w:val="nil"/>
              <w:left w:val="nil"/>
              <w:bottom w:val="single" w:sz="4" w:space="0" w:color="auto"/>
              <w:right w:val="nil"/>
            </w:tcBorders>
            <w:shd w:val="clear" w:color="auto" w:fill="auto"/>
            <w:noWrap/>
            <w:vAlign w:val="bottom"/>
            <w:hideMark/>
          </w:tcPr>
          <w:p w14:paraId="14AA7A24" w14:textId="128D0385" w:rsidR="0091143A" w:rsidRPr="004A59AE" w:rsidRDefault="0091143A" w:rsidP="001E7367">
            <w:pPr>
              <w:jc w:val="right"/>
              <w:rPr>
                <w:sz w:val="15"/>
                <w:szCs w:val="15"/>
                <w:lang w:eastAsia="en-GB"/>
              </w:rPr>
            </w:pPr>
            <w:r w:rsidRPr="004A59AE">
              <w:rPr>
                <w:sz w:val="15"/>
                <w:szCs w:val="15"/>
                <w:lang w:eastAsia="en-GB"/>
              </w:rPr>
              <w:t>4,</w:t>
            </w:r>
            <w:r w:rsidR="00C130BA" w:rsidRPr="004A59AE">
              <w:rPr>
                <w:sz w:val="15"/>
                <w:szCs w:val="15"/>
                <w:lang w:eastAsia="en-GB"/>
              </w:rPr>
              <w:t>2</w:t>
            </w:r>
            <w:r w:rsidRPr="004A59AE">
              <w:rPr>
                <w:sz w:val="15"/>
                <w:szCs w:val="15"/>
                <w:lang w:eastAsia="en-GB"/>
              </w:rPr>
              <w:t>3</w:t>
            </w:r>
            <w:r w:rsidR="00C130BA" w:rsidRPr="004A59AE">
              <w:rPr>
                <w:sz w:val="15"/>
                <w:szCs w:val="15"/>
                <w:lang w:eastAsia="en-GB"/>
              </w:rPr>
              <w:t>8</w:t>
            </w:r>
            <w:r w:rsidRPr="004A59AE">
              <w:rPr>
                <w:sz w:val="15"/>
                <w:szCs w:val="15"/>
                <w:lang w:eastAsia="en-GB"/>
              </w:rPr>
              <w:t>,</w:t>
            </w:r>
            <w:r w:rsidR="00C130BA" w:rsidRPr="004A59AE">
              <w:rPr>
                <w:sz w:val="15"/>
                <w:szCs w:val="15"/>
                <w:lang w:eastAsia="en-GB"/>
              </w:rPr>
              <w:t>344</w:t>
            </w:r>
          </w:p>
        </w:tc>
        <w:tc>
          <w:tcPr>
            <w:tcW w:w="545" w:type="pct"/>
            <w:tcBorders>
              <w:top w:val="nil"/>
              <w:left w:val="nil"/>
              <w:bottom w:val="single" w:sz="4" w:space="0" w:color="auto"/>
              <w:right w:val="single" w:sz="4" w:space="0" w:color="auto"/>
            </w:tcBorders>
            <w:shd w:val="clear" w:color="auto" w:fill="auto"/>
            <w:noWrap/>
            <w:vAlign w:val="bottom"/>
            <w:hideMark/>
          </w:tcPr>
          <w:p w14:paraId="6B1C6F0C" w14:textId="36F31D8E" w:rsidR="0091143A" w:rsidRPr="004A59AE" w:rsidRDefault="0091143A" w:rsidP="001E7367">
            <w:pPr>
              <w:jc w:val="right"/>
              <w:rPr>
                <w:sz w:val="15"/>
                <w:szCs w:val="15"/>
                <w:lang w:eastAsia="en-GB"/>
              </w:rPr>
            </w:pPr>
            <w:r w:rsidRPr="004A59AE">
              <w:rPr>
                <w:sz w:val="15"/>
                <w:szCs w:val="15"/>
                <w:lang w:eastAsia="en-GB"/>
              </w:rPr>
              <w:t>71,414,29</w:t>
            </w:r>
            <w:r w:rsidR="001B4FE5" w:rsidRPr="004A59AE">
              <w:rPr>
                <w:sz w:val="15"/>
                <w:szCs w:val="15"/>
                <w:lang w:eastAsia="en-GB"/>
              </w:rPr>
              <w:t>7</w:t>
            </w:r>
          </w:p>
        </w:tc>
        <w:tc>
          <w:tcPr>
            <w:tcW w:w="580" w:type="pct"/>
            <w:tcBorders>
              <w:top w:val="nil"/>
              <w:left w:val="nil"/>
              <w:bottom w:val="single" w:sz="4" w:space="0" w:color="auto"/>
              <w:right w:val="nil"/>
            </w:tcBorders>
            <w:shd w:val="clear" w:color="auto" w:fill="auto"/>
            <w:noWrap/>
            <w:vAlign w:val="bottom"/>
            <w:hideMark/>
          </w:tcPr>
          <w:p w14:paraId="3CDD1380" w14:textId="5107615A" w:rsidR="0091143A" w:rsidRPr="004A59AE" w:rsidRDefault="00C130BA" w:rsidP="001E7367">
            <w:pPr>
              <w:jc w:val="right"/>
              <w:rPr>
                <w:sz w:val="15"/>
                <w:szCs w:val="15"/>
                <w:lang w:eastAsia="en-GB"/>
              </w:rPr>
            </w:pPr>
            <w:r w:rsidRPr="004A59AE">
              <w:rPr>
                <w:sz w:val="15"/>
                <w:szCs w:val="15"/>
                <w:lang w:eastAsia="en-GB"/>
              </w:rPr>
              <w:t>100,538</w:t>
            </w:r>
          </w:p>
        </w:tc>
        <w:tc>
          <w:tcPr>
            <w:tcW w:w="516" w:type="pct"/>
            <w:tcBorders>
              <w:top w:val="nil"/>
              <w:left w:val="nil"/>
              <w:bottom w:val="single" w:sz="4" w:space="0" w:color="auto"/>
              <w:right w:val="nil"/>
            </w:tcBorders>
            <w:shd w:val="clear" w:color="auto" w:fill="auto"/>
            <w:noWrap/>
            <w:vAlign w:val="bottom"/>
            <w:hideMark/>
          </w:tcPr>
          <w:p w14:paraId="0841DDF6" w14:textId="77777777" w:rsidR="0091143A" w:rsidRPr="004A59AE" w:rsidRDefault="0091143A" w:rsidP="001E7367">
            <w:pPr>
              <w:jc w:val="right"/>
              <w:rPr>
                <w:sz w:val="15"/>
                <w:szCs w:val="15"/>
                <w:lang w:eastAsia="en-GB"/>
              </w:rPr>
            </w:pPr>
            <w:r w:rsidRPr="004A59AE">
              <w:rPr>
                <w:sz w:val="15"/>
                <w:szCs w:val="15"/>
                <w:lang w:eastAsia="en-GB"/>
              </w:rPr>
              <w:t>3,705,505</w:t>
            </w:r>
          </w:p>
        </w:tc>
        <w:tc>
          <w:tcPr>
            <w:tcW w:w="545" w:type="pct"/>
            <w:tcBorders>
              <w:top w:val="nil"/>
              <w:left w:val="single" w:sz="4" w:space="0" w:color="auto"/>
              <w:bottom w:val="single" w:sz="4" w:space="0" w:color="auto"/>
              <w:right w:val="nil"/>
            </w:tcBorders>
            <w:shd w:val="clear" w:color="auto" w:fill="auto"/>
            <w:noWrap/>
            <w:vAlign w:val="bottom"/>
            <w:hideMark/>
          </w:tcPr>
          <w:p w14:paraId="61ECCC47" w14:textId="77777777" w:rsidR="0091143A" w:rsidRPr="004A59AE" w:rsidRDefault="0091143A" w:rsidP="001E7367">
            <w:pPr>
              <w:jc w:val="right"/>
              <w:rPr>
                <w:sz w:val="15"/>
                <w:szCs w:val="15"/>
                <w:lang w:eastAsia="en-GB"/>
              </w:rPr>
            </w:pPr>
            <w:r w:rsidRPr="004A59AE">
              <w:rPr>
                <w:sz w:val="15"/>
                <w:szCs w:val="15"/>
                <w:lang w:eastAsia="en-GB"/>
              </w:rPr>
              <w:t>12,481,099</w:t>
            </w:r>
          </w:p>
        </w:tc>
        <w:tc>
          <w:tcPr>
            <w:tcW w:w="513" w:type="pct"/>
            <w:tcBorders>
              <w:top w:val="nil"/>
              <w:left w:val="nil"/>
              <w:bottom w:val="single" w:sz="4" w:space="0" w:color="auto"/>
              <w:right w:val="nil"/>
            </w:tcBorders>
            <w:shd w:val="clear" w:color="auto" w:fill="auto"/>
            <w:noWrap/>
            <w:vAlign w:val="bottom"/>
            <w:hideMark/>
          </w:tcPr>
          <w:p w14:paraId="5465BC8C" w14:textId="77777777" w:rsidR="0091143A" w:rsidRPr="004A59AE" w:rsidRDefault="0091143A" w:rsidP="001E7367">
            <w:pPr>
              <w:jc w:val="right"/>
              <w:rPr>
                <w:sz w:val="15"/>
                <w:szCs w:val="15"/>
                <w:lang w:eastAsia="en-GB"/>
              </w:rPr>
            </w:pPr>
            <w:r w:rsidRPr="004A59AE">
              <w:rPr>
                <w:sz w:val="15"/>
                <w:szCs w:val="15"/>
                <w:lang w:eastAsia="en-GB"/>
              </w:rPr>
              <w:t>58,679</w:t>
            </w:r>
          </w:p>
        </w:tc>
      </w:tr>
    </w:tbl>
    <w:p w14:paraId="228D3E89" w14:textId="77777777" w:rsidR="006B5C77" w:rsidRDefault="006B5C77" w:rsidP="006B5C77"/>
    <w:p w14:paraId="54272F07" w14:textId="6B6F2938" w:rsidR="00697881" w:rsidRPr="006B42D6" w:rsidRDefault="00FF4745" w:rsidP="005C2EFC">
      <w:r w:rsidRPr="006B42D6">
        <w:t xml:space="preserve">In </w:t>
      </w:r>
      <w:r w:rsidR="00EA1552">
        <w:t>Mainland Tanzania</w:t>
      </w:r>
      <w:r w:rsidRPr="006B42D6">
        <w:t>, Tabora r</w:t>
      </w:r>
      <w:r w:rsidR="00697881" w:rsidRPr="006B42D6">
        <w:t xml:space="preserve">egion </w:t>
      </w:r>
      <w:r w:rsidRPr="006B42D6">
        <w:t>had the</w:t>
      </w:r>
      <w:r w:rsidR="00697881" w:rsidRPr="006B42D6">
        <w:t xml:space="preserve"> highest number of cattle </w:t>
      </w:r>
      <w:r w:rsidRPr="006B42D6">
        <w:t>(</w:t>
      </w:r>
      <w:r w:rsidRPr="006B42D6">
        <w:rPr>
          <w:lang w:eastAsia="en-GB"/>
        </w:rPr>
        <w:t xml:space="preserve">2,841,191; </w:t>
      </w:r>
      <w:r w:rsidRPr="006B42D6">
        <w:t xml:space="preserve">8.5 percent) </w:t>
      </w:r>
      <w:r w:rsidR="00697881" w:rsidRPr="006B42D6">
        <w:t>from</w:t>
      </w:r>
      <w:r w:rsidR="0091143A" w:rsidRPr="006B42D6">
        <w:t xml:space="preserve"> </w:t>
      </w:r>
      <w:r w:rsidR="00697881" w:rsidRPr="006B42D6">
        <w:t>smallholder farmers</w:t>
      </w:r>
      <w:r w:rsidRPr="006B42D6">
        <w:t>,</w:t>
      </w:r>
      <w:r w:rsidR="00697881" w:rsidRPr="006B42D6">
        <w:t xml:space="preserve"> followed by Arusha </w:t>
      </w:r>
      <w:r w:rsidRPr="006B42D6">
        <w:t>(</w:t>
      </w:r>
      <w:r w:rsidR="00697881" w:rsidRPr="006B42D6">
        <w:t>2,610,334</w:t>
      </w:r>
      <w:r w:rsidRPr="006B42D6">
        <w:t xml:space="preserve">; </w:t>
      </w:r>
      <w:r w:rsidR="00697881" w:rsidRPr="006B42D6">
        <w:t>7.</w:t>
      </w:r>
      <w:r w:rsidR="004A5BC1" w:rsidRPr="006B42D6">
        <w:t>8</w:t>
      </w:r>
      <w:r w:rsidR="00697881" w:rsidRPr="006B42D6">
        <w:t xml:space="preserve"> percent) and Simiyu </w:t>
      </w:r>
      <w:r w:rsidRPr="006B42D6">
        <w:t>(</w:t>
      </w:r>
      <w:r w:rsidR="00697881" w:rsidRPr="006B42D6">
        <w:t>2,601,</w:t>
      </w:r>
      <w:r w:rsidR="00726F42" w:rsidRPr="006B42D6">
        <w:t>523</w:t>
      </w:r>
      <w:r w:rsidRPr="006B42D6">
        <w:t xml:space="preserve">; </w:t>
      </w:r>
      <w:r w:rsidR="00697881" w:rsidRPr="006B42D6">
        <w:t>7.</w:t>
      </w:r>
      <w:r w:rsidR="004A5BC1" w:rsidRPr="006B42D6">
        <w:t>8</w:t>
      </w:r>
      <w:r w:rsidR="00697881" w:rsidRPr="006B42D6">
        <w:t xml:space="preserve"> percent). In </w:t>
      </w:r>
      <w:r w:rsidR="000C4795" w:rsidRPr="006B42D6">
        <w:t xml:space="preserve">Tanzania </w:t>
      </w:r>
      <w:r w:rsidR="00697881" w:rsidRPr="006B42D6">
        <w:t xml:space="preserve">Zanzibar, Kaskazini Pemba region </w:t>
      </w:r>
      <w:r w:rsidR="001B4FE5" w:rsidRPr="006B42D6">
        <w:t xml:space="preserve">had the highest number of cattle </w:t>
      </w:r>
      <w:r w:rsidRPr="006B42D6">
        <w:t>(</w:t>
      </w:r>
      <w:r w:rsidR="00697881" w:rsidRPr="006B42D6">
        <w:t>69,</w:t>
      </w:r>
      <w:r w:rsidR="00726F42" w:rsidRPr="006B42D6">
        <w:t>457</w:t>
      </w:r>
      <w:r w:rsidRPr="006B42D6">
        <w:t xml:space="preserve">; </w:t>
      </w:r>
      <w:r w:rsidR="00697881" w:rsidRPr="006B42D6">
        <w:t>25.</w:t>
      </w:r>
      <w:r w:rsidR="00726F42" w:rsidRPr="006B42D6">
        <w:t>7</w:t>
      </w:r>
      <w:r w:rsidR="00697881" w:rsidRPr="006B42D6">
        <w:t xml:space="preserve"> percent), followed by Kusini Pemba </w:t>
      </w:r>
      <w:r w:rsidRPr="006B42D6">
        <w:t>(</w:t>
      </w:r>
      <w:r w:rsidR="00697881" w:rsidRPr="006B42D6">
        <w:t>67,486</w:t>
      </w:r>
      <w:r w:rsidRPr="006B42D6">
        <w:t xml:space="preserve">; </w:t>
      </w:r>
      <w:r w:rsidR="00697881" w:rsidRPr="006B42D6">
        <w:t xml:space="preserve">24.9 percent) and Mjini Magharibi </w:t>
      </w:r>
      <w:r w:rsidRPr="006B42D6">
        <w:t>(</w:t>
      </w:r>
      <w:r w:rsidR="00697881" w:rsidRPr="006B42D6">
        <w:t>53,936</w:t>
      </w:r>
      <w:r w:rsidRPr="006B42D6">
        <w:t xml:space="preserve">; </w:t>
      </w:r>
      <w:r w:rsidR="00697881" w:rsidRPr="006B42D6">
        <w:t>19.9 percent)</w:t>
      </w:r>
      <w:r w:rsidR="000C4795" w:rsidRPr="006B42D6">
        <w:t xml:space="preserve"> (Map 4.1)</w:t>
      </w:r>
      <w:r w:rsidR="00697881" w:rsidRPr="006B42D6">
        <w:t xml:space="preserve">. </w:t>
      </w:r>
    </w:p>
    <w:p w14:paraId="5C62E503" w14:textId="174DDC25" w:rsidR="000C4795" w:rsidRPr="006B42D6" w:rsidRDefault="000C4795" w:rsidP="005C2EFC">
      <w:pPr>
        <w:rPr>
          <w:lang w:eastAsia="en-GB"/>
        </w:rPr>
      </w:pPr>
    </w:p>
    <w:p w14:paraId="557D456B" w14:textId="50712CA5" w:rsidR="000C4795" w:rsidRPr="006B42D6" w:rsidRDefault="000C4795" w:rsidP="00010865">
      <w:pPr>
        <w:pStyle w:val="MapNew"/>
        <w:ind w:left="1140" w:right="-113" w:hanging="1140"/>
      </w:pPr>
      <w:bookmarkStart w:id="446" w:name="_Toc80902556"/>
      <w:bookmarkStart w:id="447" w:name="_Toc82386474"/>
      <w:r w:rsidRPr="006B42D6">
        <w:t>Map 4.1</w:t>
      </w:r>
      <w:r w:rsidR="004A59AE">
        <w:t>:</w:t>
      </w:r>
      <w:r w:rsidR="006B5C77">
        <w:tab/>
      </w:r>
      <w:r w:rsidRPr="006B42D6">
        <w:t>Cattle Population Reported by Smallholder Farmers by Region in Tanzania as of 1</w:t>
      </w:r>
      <w:r w:rsidRPr="006B42D6">
        <w:rPr>
          <w:vertAlign w:val="superscript"/>
        </w:rPr>
        <w:t>st</w:t>
      </w:r>
      <w:r w:rsidRPr="006B42D6">
        <w:t xml:space="preserve"> August 2020</w:t>
      </w:r>
      <w:bookmarkEnd w:id="446"/>
      <w:bookmarkEnd w:id="447"/>
    </w:p>
    <w:p w14:paraId="41DCFFA0" w14:textId="23422A3B" w:rsidR="000C4795" w:rsidRPr="006B42D6" w:rsidRDefault="00580BB4" w:rsidP="000C4795">
      <w:pPr>
        <w:pStyle w:val="Default"/>
        <w:spacing w:line="360" w:lineRule="auto"/>
        <w:jc w:val="both"/>
        <w:rPr>
          <w:color w:val="auto"/>
        </w:rPr>
      </w:pPr>
      <w:r>
        <w:rPr>
          <w:noProof/>
        </w:rPr>
        <w:drawing>
          <wp:inline distT="0" distB="0" distL="0" distR="0" wp14:anchorId="3C5ACCE9" wp14:editId="58876EEC">
            <wp:extent cx="5727700" cy="3953405"/>
            <wp:effectExtent l="0" t="0" r="0" b="0"/>
            <wp:docPr id="4313" name="Picture 4313"/>
            <wp:cNvGraphicFramePr/>
            <a:graphic xmlns:a="http://schemas.openxmlformats.org/drawingml/2006/main">
              <a:graphicData uri="http://schemas.openxmlformats.org/drawingml/2006/picture">
                <pic:pic xmlns:pic="http://schemas.openxmlformats.org/drawingml/2006/picture">
                  <pic:nvPicPr>
                    <pic:cNvPr id="4313" name="Picture 4313"/>
                    <pic:cNvPicPr/>
                  </pic:nvPicPr>
                  <pic:blipFill>
                    <a:blip r:embed="rId249"/>
                    <a:stretch>
                      <a:fillRect/>
                    </a:stretch>
                  </pic:blipFill>
                  <pic:spPr>
                    <a:xfrm>
                      <a:off x="0" y="0"/>
                      <a:ext cx="5727700" cy="3953405"/>
                    </a:xfrm>
                    <a:prstGeom prst="rect">
                      <a:avLst/>
                    </a:prstGeom>
                  </pic:spPr>
                </pic:pic>
              </a:graphicData>
            </a:graphic>
          </wp:inline>
        </w:drawing>
      </w:r>
    </w:p>
    <w:p w14:paraId="56476A3A" w14:textId="23F3D002" w:rsidR="00010865" w:rsidRDefault="00010865">
      <w:pPr>
        <w:spacing w:line="240" w:lineRule="auto"/>
        <w:contextualSpacing w:val="0"/>
        <w:jc w:val="left"/>
        <w:rPr>
          <w:rFonts w:eastAsia="Calibri"/>
        </w:rPr>
      </w:pPr>
      <w:r>
        <w:br w:type="page"/>
      </w:r>
    </w:p>
    <w:p w14:paraId="7E43FA5A" w14:textId="062A4A51" w:rsidR="00697881" w:rsidRPr="006B42D6" w:rsidRDefault="009841C8" w:rsidP="005C2EFC">
      <w:pPr>
        <w:rPr>
          <w:lang w:eastAsia="en-GB"/>
        </w:rPr>
      </w:pPr>
      <w:r>
        <w:rPr>
          <w:noProof/>
        </w:rPr>
        <w:lastRenderedPageBreak/>
        <w:drawing>
          <wp:anchor distT="0" distB="0" distL="114300" distR="114300" simplePos="0" relativeHeight="251831296" behindDoc="1" locked="0" layoutInCell="1" allowOverlap="1" wp14:anchorId="1979C84C" wp14:editId="2FA91AE7">
            <wp:simplePos x="0" y="0"/>
            <wp:positionH relativeFrom="column">
              <wp:posOffset>2612390</wp:posOffset>
            </wp:positionH>
            <wp:positionV relativeFrom="paragraph">
              <wp:posOffset>406218</wp:posOffset>
            </wp:positionV>
            <wp:extent cx="3098800" cy="2176780"/>
            <wp:effectExtent l="0" t="0" r="12700" b="7620"/>
            <wp:wrapTight wrapText="bothSides">
              <wp:wrapPolygon edited="0">
                <wp:start x="0" y="0"/>
                <wp:lineTo x="0" y="21550"/>
                <wp:lineTo x="21600" y="21550"/>
                <wp:lineTo x="21600" y="0"/>
                <wp:lineTo x="0" y="0"/>
              </wp:wrapPolygon>
            </wp:wrapTight>
            <wp:docPr id="264" name="Chart 264">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0"/>
              </a:graphicData>
            </a:graphic>
            <wp14:sizeRelH relativeFrom="page">
              <wp14:pctWidth>0</wp14:pctWidth>
            </wp14:sizeRelH>
            <wp14:sizeRelV relativeFrom="page">
              <wp14:pctHeight>0</wp14:pctHeight>
            </wp14:sizeRelV>
          </wp:anchor>
        </w:drawing>
      </w:r>
      <w:r w:rsidRPr="006B42D6">
        <w:rPr>
          <w:noProof/>
        </w:rPr>
        <mc:AlternateContent>
          <mc:Choice Requires="wps">
            <w:drawing>
              <wp:anchor distT="0" distB="0" distL="114300" distR="114300" simplePos="0" relativeHeight="251728896" behindDoc="0" locked="0" layoutInCell="1" allowOverlap="1" wp14:anchorId="432EAB86" wp14:editId="10476C4D">
                <wp:simplePos x="0" y="0"/>
                <wp:positionH relativeFrom="column">
                  <wp:posOffset>2612390</wp:posOffset>
                </wp:positionH>
                <wp:positionV relativeFrom="paragraph">
                  <wp:posOffset>7257</wp:posOffset>
                </wp:positionV>
                <wp:extent cx="3509010" cy="333375"/>
                <wp:effectExtent l="0" t="0" r="0" b="0"/>
                <wp:wrapTight wrapText="bothSides">
                  <wp:wrapPolygon edited="0">
                    <wp:start x="0" y="0"/>
                    <wp:lineTo x="0" y="20571"/>
                    <wp:lineTo x="21498" y="20571"/>
                    <wp:lineTo x="21498" y="0"/>
                    <wp:lineTo x="0" y="0"/>
                  </wp:wrapPolygon>
                </wp:wrapTight>
                <wp:docPr id="41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09010" cy="333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17E7D8" w14:textId="0D33D31D" w:rsidR="00933456" w:rsidRPr="009D4176" w:rsidRDefault="00933456" w:rsidP="009E7D16">
                            <w:pPr>
                              <w:pStyle w:val="Caption"/>
                              <w:rPr>
                                <w:b w:val="0"/>
                                <w:i/>
                                <w:szCs w:val="16"/>
                              </w:rPr>
                            </w:pPr>
                            <w:bookmarkStart w:id="448" w:name="_Toc80120274"/>
                            <w:bookmarkStart w:id="449" w:name="_Toc80884150"/>
                            <w:bookmarkStart w:id="450" w:name="_Toc80884521"/>
                            <w:bookmarkStart w:id="451" w:name="_Toc82386374"/>
                            <w:r w:rsidRPr="009D4176">
                              <w:rPr>
                                <w:szCs w:val="16"/>
                              </w:rPr>
                              <w:t>Figure 4.3:</w:t>
                            </w:r>
                            <w:r>
                              <w:rPr>
                                <w:szCs w:val="16"/>
                              </w:rPr>
                              <w:tab/>
                            </w:r>
                            <w:r w:rsidRPr="009D4176">
                              <w:rPr>
                                <w:szCs w:val="16"/>
                              </w:rPr>
                              <w:t>Cattle Population Growth in 2003, 2008 and 2020 Agriculture Censuses, Tanzania</w:t>
                            </w:r>
                            <w:bookmarkEnd w:id="448"/>
                            <w:bookmarkEnd w:id="449"/>
                            <w:bookmarkEnd w:id="450"/>
                            <w:bookmarkEnd w:id="451"/>
                          </w:p>
                          <w:p w14:paraId="43262182" w14:textId="77777777" w:rsidR="00933456" w:rsidRPr="009D4176" w:rsidRDefault="00933456" w:rsidP="009E7D16">
                            <w:pPr>
                              <w:pStyle w:val="Caption"/>
                              <w:rPr>
                                <w:b w:val="0"/>
                                <w:i/>
                                <w:szCs w:val="16"/>
                              </w:rPr>
                            </w:pP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432EAB86" id="Text Box 17" o:spid="_x0000_s1071" type="#_x0000_t202" style="position:absolute;left:0;text-align:left;margin-left:205.7pt;margin-top:.55pt;width:276.3pt;height:26.25pt;z-index:25172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" stroked="f">
                <v:path arrowok="t"/>
                <v:textbox inset="0,0,0,0">
                  <w:txbxContent>
                    <w:p w14:paraId="2F17E7D8" w14:textId="0D33D31D" w:rsidR="00933456" w:rsidRPr="009D4176" w:rsidRDefault="00933456" w:rsidP="009E7D16">
                      <w:pPr>
                        <w:pStyle w:val="Caption"/>
                        <w:rPr>
                          <w:b w:val="0"/>
                          <w:i/>
                          <w:szCs w:val="16"/>
                        </w:rPr>
                      </w:pPr>
                      <w:bookmarkStart w:id="606" w:name="_Toc80120274"/>
                      <w:bookmarkStart w:id="607" w:name="_Toc80884150"/>
                      <w:bookmarkStart w:id="608" w:name="_Toc80884521"/>
                      <w:bookmarkStart w:id="609" w:name="_Toc82386374"/>
                      <w:r w:rsidRPr="009D4176">
                        <w:rPr>
                          <w:szCs w:val="16"/>
                        </w:rPr>
                        <w:t>Figure 4.3:</w:t>
                      </w:r>
                      <w:r>
                        <w:rPr>
                          <w:szCs w:val="16"/>
                        </w:rPr>
                        <w:tab/>
                      </w:r>
                      <w:r w:rsidRPr="009D4176">
                        <w:rPr>
                          <w:szCs w:val="16"/>
                        </w:rPr>
                        <w:t>Cattle Population Growth in 2003, 2008 and 2020 Agriculture Censuses, Tanzania</w:t>
                      </w:r>
                      <w:bookmarkEnd w:id="606"/>
                      <w:bookmarkEnd w:id="607"/>
                      <w:bookmarkEnd w:id="608"/>
                      <w:bookmarkEnd w:id="609"/>
                    </w:p>
                    <w:p w14:paraId="43262182" w14:textId="77777777" w:rsidR="00933456" w:rsidRPr="009D4176" w:rsidRDefault="00933456" w:rsidP="009E7D16">
                      <w:pPr>
                        <w:pStyle w:val="Caption"/>
                        <w:rPr>
                          <w:b w:val="0"/>
                          <w:i/>
                          <w:szCs w:val="16"/>
                        </w:rPr>
                      </w:pPr>
                    </w:p>
                  </w:txbxContent>
                </v:textbox>
                <w10:wrap type="tight"/>
              </v:shape>
            </w:pict>
          </mc:Fallback>
        </mc:AlternateContent>
      </w:r>
      <w:r w:rsidR="00D22C3F" w:rsidRPr="006B42D6">
        <w:rPr>
          <w:noProof/>
        </w:rPr>
        <w:t xml:space="preserve"> </w:t>
      </w:r>
      <w:r w:rsidR="00697881" w:rsidRPr="006B42D6">
        <w:t xml:space="preserve">The cattle population </w:t>
      </w:r>
      <w:r w:rsidR="001B4FE5" w:rsidRPr="006B42D6">
        <w:t>raised</w:t>
      </w:r>
      <w:r w:rsidR="00697881" w:rsidRPr="006B42D6">
        <w:t xml:space="preserve"> by smallholder</w:t>
      </w:r>
      <w:r w:rsidR="001B4FE5" w:rsidRPr="006B42D6">
        <w:t xml:space="preserve"> farmer</w:t>
      </w:r>
      <w:r w:rsidR="00697881" w:rsidRPr="006B42D6">
        <w:t xml:space="preserve">s has increased from 21,280,875 in year 2008 to </w:t>
      </w:r>
      <w:r w:rsidR="00697881" w:rsidRPr="006B42D6">
        <w:rPr>
          <w:lang w:eastAsia="en-GB"/>
        </w:rPr>
        <w:t xml:space="preserve">33,785,422 </w:t>
      </w:r>
      <w:r w:rsidR="00697881" w:rsidRPr="006B42D6">
        <w:t>in the 2020, representing an increase of about 59 percent, giving an annual growth rate of approximately 5</w:t>
      </w:r>
      <w:r w:rsidR="004326B5" w:rsidRPr="006B42D6">
        <w:t>.0</w:t>
      </w:r>
      <w:r w:rsidR="00697881" w:rsidRPr="006B42D6">
        <w:t xml:space="preserve"> percent over the period of twelve years. In 2003 Agricultur</w:t>
      </w:r>
      <w:r w:rsidR="009A0808" w:rsidRPr="006B42D6">
        <w:t xml:space="preserve">e </w:t>
      </w:r>
      <w:r w:rsidR="00697881" w:rsidRPr="006B42D6">
        <w:t xml:space="preserve">Census, the smallholder farmers raised </w:t>
      </w:r>
      <w:r w:rsidR="00697881" w:rsidRPr="006B42D6">
        <w:rPr>
          <w:lang w:eastAsia="en-GB"/>
        </w:rPr>
        <w:t>16,999,793 cattle, this shows a population growth of 25</w:t>
      </w:r>
      <w:r w:rsidR="004326B5" w:rsidRPr="006B42D6">
        <w:rPr>
          <w:lang w:eastAsia="en-GB"/>
        </w:rPr>
        <w:t>.0</w:t>
      </w:r>
      <w:r w:rsidR="00697881" w:rsidRPr="006B42D6">
        <w:rPr>
          <w:lang w:eastAsia="en-GB"/>
        </w:rPr>
        <w:t xml:space="preserve"> percent in the period of 5 years (2003–2008) but the annual growth rate remained the same </w:t>
      </w:r>
      <w:r w:rsidR="009A0808" w:rsidRPr="006B42D6">
        <w:rPr>
          <w:lang w:eastAsia="en-GB"/>
        </w:rPr>
        <w:t>(</w:t>
      </w:r>
      <w:r w:rsidR="00697881" w:rsidRPr="006B42D6">
        <w:rPr>
          <w:lang w:eastAsia="en-GB"/>
        </w:rPr>
        <w:t>5</w:t>
      </w:r>
      <w:r w:rsidR="004326B5" w:rsidRPr="006B42D6">
        <w:rPr>
          <w:lang w:eastAsia="en-GB"/>
        </w:rPr>
        <w:t>.0</w:t>
      </w:r>
      <w:r w:rsidR="00697881" w:rsidRPr="006B42D6">
        <w:rPr>
          <w:lang w:eastAsia="en-GB"/>
        </w:rPr>
        <w:t xml:space="preserve"> percent</w:t>
      </w:r>
      <w:r w:rsidR="009A0808" w:rsidRPr="006B42D6">
        <w:rPr>
          <w:lang w:eastAsia="en-GB"/>
        </w:rPr>
        <w:t>)</w:t>
      </w:r>
      <w:r w:rsidR="003605E5" w:rsidRPr="006B42D6">
        <w:rPr>
          <w:lang w:eastAsia="en-GB"/>
        </w:rPr>
        <w:t xml:space="preserve"> (Figure 4.3)</w:t>
      </w:r>
      <w:r w:rsidR="00697881" w:rsidRPr="006B42D6">
        <w:rPr>
          <w:lang w:eastAsia="en-GB"/>
        </w:rPr>
        <w:t xml:space="preserve">.  </w:t>
      </w:r>
    </w:p>
    <w:p w14:paraId="10E85498" w14:textId="6893F1C7" w:rsidR="00697881" w:rsidRPr="006B42D6" w:rsidRDefault="00697881" w:rsidP="005C2EFC">
      <w:pPr>
        <w:rPr>
          <w:lang w:eastAsia="en-GB"/>
        </w:rPr>
      </w:pPr>
    </w:p>
    <w:bookmarkStart w:id="452" w:name="_Toc82385733"/>
    <w:p w14:paraId="36FE9D06" w14:textId="5767ABE0" w:rsidR="00697881" w:rsidRPr="006B42D6" w:rsidRDefault="009841C8" w:rsidP="005C2EFC">
      <w:pPr>
        <w:pStyle w:val="Heading4"/>
      </w:pPr>
      <w:r>
        <w:rPr>
          <w:noProof/>
        </w:rPr>
        <mc:AlternateContent>
          <mc:Choice Requires="wps">
            <w:drawing>
              <wp:anchor distT="0" distB="0" distL="114300" distR="114300" simplePos="0" relativeHeight="251566080" behindDoc="0" locked="0" layoutInCell="1" allowOverlap="1" wp14:anchorId="45EE76E6" wp14:editId="1D95C736">
                <wp:simplePos x="0" y="0"/>
                <wp:positionH relativeFrom="column">
                  <wp:posOffset>2789555</wp:posOffset>
                </wp:positionH>
                <wp:positionV relativeFrom="paragraph">
                  <wp:posOffset>318135</wp:posOffset>
                </wp:positionV>
                <wp:extent cx="3021330" cy="363855"/>
                <wp:effectExtent l="0" t="0" r="1270" b="4445"/>
                <wp:wrapTight wrapText="bothSides">
                  <wp:wrapPolygon edited="0">
                    <wp:start x="0" y="0"/>
                    <wp:lineTo x="0" y="21110"/>
                    <wp:lineTo x="21518" y="21110"/>
                    <wp:lineTo x="21518" y="0"/>
                    <wp:lineTo x="0" y="0"/>
                  </wp:wrapPolygon>
                </wp:wrapTight>
                <wp:docPr id="414" name="Text Box 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21330" cy="3638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5E269E" w14:textId="1514C7AD" w:rsidR="00933456" w:rsidRPr="003605E5" w:rsidRDefault="00933456" w:rsidP="00697881">
                            <w:pPr>
                              <w:pStyle w:val="Caption"/>
                              <w:rPr>
                                <w:b w:val="0"/>
                                <w:i/>
                                <w:noProof/>
                              </w:rPr>
                            </w:pPr>
                            <w:bookmarkStart w:id="453" w:name="_Toc80120275"/>
                            <w:bookmarkStart w:id="454" w:name="_Toc80884151"/>
                            <w:bookmarkStart w:id="455" w:name="_Toc80884522"/>
                            <w:bookmarkStart w:id="456" w:name="_Toc82386375"/>
                            <w:r w:rsidRPr="003605E5">
                              <w:t>Figure 4.4:</w:t>
                            </w:r>
                            <w:r>
                              <w:tab/>
                            </w:r>
                            <w:r w:rsidRPr="003605E5">
                              <w:t xml:space="preserve">Percentage of Cattle by </w:t>
                            </w:r>
                            <w:r>
                              <w:t>T</w:t>
                            </w:r>
                            <w:r w:rsidRPr="003605E5">
                              <w:t xml:space="preserve">ype </w:t>
                            </w:r>
                            <w:r>
                              <w:t>D</w:t>
                            </w:r>
                            <w:r w:rsidRPr="003605E5">
                              <w:t xml:space="preserve">uring 2019/20 </w:t>
                            </w:r>
                            <w:r>
                              <w:t>A</w:t>
                            </w:r>
                            <w:r w:rsidRPr="003605E5">
                              <w:t xml:space="preserve">gricultural </w:t>
                            </w:r>
                            <w:r>
                              <w:t>Y</w:t>
                            </w:r>
                            <w:r w:rsidRPr="003605E5">
                              <w:t>ear</w:t>
                            </w:r>
                            <w:r>
                              <w:t>, Tanzania</w:t>
                            </w:r>
                            <w:bookmarkEnd w:id="453"/>
                            <w:bookmarkEnd w:id="454"/>
                            <w:bookmarkEnd w:id="455"/>
                            <w:bookmarkEnd w:id="456"/>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EE76E6" id="Text Box 414" o:spid="_x0000_s1072" type="#_x0000_t202" style="position:absolute;left:0;text-align:left;margin-left:219.65pt;margin-top:25.05pt;width:237.9pt;height:28.65pt;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" stroked="f">
                <v:path arrowok="t"/>
                <v:textbox inset="0,0,0,0">
                  <w:txbxContent>
                    <w:p w14:paraId="5E5E269E" w14:textId="1514C7AD" w:rsidR="00933456" w:rsidRPr="003605E5" w:rsidRDefault="00933456" w:rsidP="00697881">
                      <w:pPr>
                        <w:pStyle w:val="Caption"/>
                        <w:rPr>
                          <w:b w:val="0"/>
                          <w:i/>
                          <w:noProof/>
                        </w:rPr>
                      </w:pPr>
                      <w:bookmarkStart w:id="615" w:name="_Toc80120275"/>
                      <w:bookmarkStart w:id="616" w:name="_Toc80884151"/>
                      <w:bookmarkStart w:id="617" w:name="_Toc80884522"/>
                      <w:bookmarkStart w:id="618" w:name="_Toc82386375"/>
                      <w:r w:rsidRPr="003605E5">
                        <w:t>Figure 4.4:</w:t>
                      </w:r>
                      <w:r>
                        <w:tab/>
                      </w:r>
                      <w:r w:rsidRPr="003605E5">
                        <w:t xml:space="preserve">Percentage of Cattle by </w:t>
                      </w:r>
                      <w:r>
                        <w:t>T</w:t>
                      </w:r>
                      <w:r w:rsidRPr="003605E5">
                        <w:t xml:space="preserve">ype </w:t>
                      </w:r>
                      <w:r>
                        <w:t>D</w:t>
                      </w:r>
                      <w:r w:rsidRPr="003605E5">
                        <w:t xml:space="preserve">uring 2019/20 </w:t>
                      </w:r>
                      <w:r>
                        <w:t>A</w:t>
                      </w:r>
                      <w:r w:rsidRPr="003605E5">
                        <w:t xml:space="preserve">gricultural </w:t>
                      </w:r>
                      <w:r>
                        <w:t>Y</w:t>
                      </w:r>
                      <w:r w:rsidRPr="003605E5">
                        <w:t>ear</w:t>
                      </w:r>
                      <w:r>
                        <w:t>, Tanzania</w:t>
                      </w:r>
                      <w:bookmarkEnd w:id="615"/>
                      <w:bookmarkEnd w:id="616"/>
                      <w:bookmarkEnd w:id="617"/>
                      <w:bookmarkEnd w:id="618"/>
                    </w:p>
                  </w:txbxContent>
                </v:textbox>
                <w10:wrap type="tight"/>
              </v:shape>
            </w:pict>
          </mc:Fallback>
        </mc:AlternateContent>
      </w:r>
      <w:r w:rsidR="00697881" w:rsidRPr="006B42D6">
        <w:t>4.</w:t>
      </w:r>
      <w:r w:rsidR="00C4159B">
        <w:t>1</w:t>
      </w:r>
      <w:r w:rsidR="00697881" w:rsidRPr="006B42D6">
        <w:t>.1.1</w:t>
      </w:r>
      <w:r w:rsidR="0000655E" w:rsidRPr="006B42D6">
        <w:tab/>
      </w:r>
      <w:r w:rsidR="00697881" w:rsidRPr="006B42D6">
        <w:t>Type</w:t>
      </w:r>
      <w:r w:rsidR="009A0808" w:rsidRPr="006B42D6">
        <w:t>s</w:t>
      </w:r>
      <w:r w:rsidR="00697881" w:rsidRPr="006B42D6">
        <w:t xml:space="preserve"> of Cattle</w:t>
      </w:r>
      <w:bookmarkEnd w:id="452"/>
      <w:r w:rsidR="00697881" w:rsidRPr="006B42D6">
        <w:t xml:space="preserve">        </w:t>
      </w:r>
    </w:p>
    <w:p w14:paraId="07F6DB25" w14:textId="22B0A83A" w:rsidR="001E7095" w:rsidRDefault="006458EC" w:rsidP="001E7095">
      <w:r>
        <w:rPr>
          <w:noProof/>
        </w:rPr>
        <w:drawing>
          <wp:anchor distT="0" distB="0" distL="114300" distR="114300" simplePos="0" relativeHeight="251832320" behindDoc="1" locked="0" layoutInCell="1" allowOverlap="1" wp14:anchorId="63C1C4A2" wp14:editId="56127973">
            <wp:simplePos x="0" y="0"/>
            <wp:positionH relativeFrom="column">
              <wp:posOffset>2706370</wp:posOffset>
            </wp:positionH>
            <wp:positionV relativeFrom="paragraph">
              <wp:posOffset>465455</wp:posOffset>
            </wp:positionV>
            <wp:extent cx="2894965" cy="2212975"/>
            <wp:effectExtent l="0" t="0" r="13335" b="9525"/>
            <wp:wrapTight wrapText="bothSides">
              <wp:wrapPolygon edited="0">
                <wp:start x="0" y="0"/>
                <wp:lineTo x="0" y="21569"/>
                <wp:lineTo x="21605" y="21569"/>
                <wp:lineTo x="21605" y="0"/>
                <wp:lineTo x="0" y="0"/>
              </wp:wrapPolygon>
            </wp:wrapTight>
            <wp:docPr id="265" name="Chart 265">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1"/>
              </a:graphicData>
            </a:graphic>
            <wp14:sizeRelH relativeFrom="page">
              <wp14:pctWidth>0</wp14:pctWidth>
            </wp14:sizeRelH>
            <wp14:sizeRelV relativeFrom="page">
              <wp14:pctHeight>0</wp14:pctHeight>
            </wp14:sizeRelV>
          </wp:anchor>
        </w:drawing>
      </w:r>
      <w:r w:rsidR="00697881" w:rsidRPr="006B42D6">
        <w:t xml:space="preserve">There were three main types of cattle raised in Tanzania during 2019/20 </w:t>
      </w:r>
      <w:r w:rsidR="009E7D16">
        <w:t>a</w:t>
      </w:r>
      <w:r w:rsidR="00697881" w:rsidRPr="006B42D6">
        <w:t xml:space="preserve">gricultural year namely; indigenous, dairy and beef. </w:t>
      </w:r>
      <w:r w:rsidR="001E7095" w:rsidRPr="006B42D6">
        <w:t>In Tanzania,</w:t>
      </w:r>
      <w:r w:rsidR="009841C8">
        <w:t xml:space="preserve"> </w:t>
      </w:r>
      <w:r w:rsidR="001E7095" w:rsidRPr="006B42D6">
        <w:t>indigenous cattle were 32,617,693 heads</w:t>
      </w:r>
      <w:r w:rsidR="001E7095" w:rsidRPr="006B42D6">
        <w:rPr>
          <w:bCs/>
          <w:lang w:eastAsia="en-GB"/>
        </w:rPr>
        <w:t xml:space="preserve"> (</w:t>
      </w:r>
      <w:r w:rsidR="001E7095" w:rsidRPr="006B42D6">
        <w:t>96.5 percent), followed by Dairy cattle (</w:t>
      </w:r>
      <w:r w:rsidR="001E7095" w:rsidRPr="006B42D6">
        <w:rPr>
          <w:bCs/>
          <w:lang w:eastAsia="en-GB"/>
        </w:rPr>
        <w:t xml:space="preserve">865,628; </w:t>
      </w:r>
      <w:r w:rsidR="001E7095" w:rsidRPr="006B42D6">
        <w:t>2.6 percent), and Beef cattle (30</w:t>
      </w:r>
      <w:r w:rsidR="00963AB8" w:rsidRPr="006B42D6">
        <w:t>2</w:t>
      </w:r>
      <w:r w:rsidR="001E7095" w:rsidRPr="006B42D6">
        <w:t>,</w:t>
      </w:r>
      <w:r w:rsidR="00963AB8" w:rsidRPr="006B42D6">
        <w:t>10</w:t>
      </w:r>
      <w:r w:rsidR="001E7095" w:rsidRPr="006B42D6">
        <w:t>1; 0.9 percent)</w:t>
      </w:r>
      <w:r w:rsidR="000D6BD7" w:rsidRPr="006B42D6">
        <w:t xml:space="preserve"> (Figure 4.4)</w:t>
      </w:r>
      <w:r w:rsidR="001E7095" w:rsidRPr="006B42D6">
        <w:t xml:space="preserve">. </w:t>
      </w:r>
    </w:p>
    <w:p w14:paraId="4DD544C2" w14:textId="77777777" w:rsidR="006B5C77" w:rsidRPr="006B42D6" w:rsidRDefault="006B5C77" w:rsidP="004A59AE">
      <w:pPr>
        <w:spacing w:line="240" w:lineRule="auto"/>
      </w:pPr>
    </w:p>
    <w:p w14:paraId="60DAAF64" w14:textId="3F42EB14" w:rsidR="00697881" w:rsidRPr="006B42D6" w:rsidRDefault="00697881" w:rsidP="005C2EFC">
      <w:r w:rsidRPr="006B42D6">
        <w:t>Out of 33,</w:t>
      </w:r>
      <w:r w:rsidR="00726F42" w:rsidRPr="006B42D6">
        <w:t>514</w:t>
      </w:r>
      <w:r w:rsidRPr="006B42D6">
        <w:t>,</w:t>
      </w:r>
      <w:r w:rsidR="00726F42" w:rsidRPr="006B42D6">
        <w:t>716</w:t>
      </w:r>
      <w:r w:rsidRPr="006B42D6">
        <w:t xml:space="preserve"> cattle recorded in </w:t>
      </w:r>
      <w:r w:rsidR="00EA1552">
        <w:t>Mainland Tanzania</w:t>
      </w:r>
      <w:r w:rsidRPr="006B42D6">
        <w:t xml:space="preserve">, indigenous cattle had the highest number </w:t>
      </w:r>
      <w:r w:rsidR="009E7D16">
        <w:t>with</w:t>
      </w:r>
      <w:r w:rsidRPr="006B42D6">
        <w:t xml:space="preserve"> 32,378,139 heads</w:t>
      </w:r>
      <w:r w:rsidRPr="006B42D6">
        <w:rPr>
          <w:bCs/>
          <w:lang w:eastAsia="en-GB"/>
        </w:rPr>
        <w:t xml:space="preserve"> (</w:t>
      </w:r>
      <w:r w:rsidRPr="006B42D6">
        <w:t xml:space="preserve">96.6 percent), followed by </w:t>
      </w:r>
      <w:r w:rsidR="009E7D16">
        <w:t>d</w:t>
      </w:r>
      <w:r w:rsidRPr="006B42D6">
        <w:t>airy cattle (</w:t>
      </w:r>
      <w:r w:rsidRPr="006B42D6">
        <w:rPr>
          <w:bCs/>
          <w:lang w:eastAsia="en-GB"/>
        </w:rPr>
        <w:t>83</w:t>
      </w:r>
      <w:r w:rsidR="00726F42" w:rsidRPr="006B42D6">
        <w:rPr>
          <w:bCs/>
          <w:lang w:eastAsia="en-GB"/>
        </w:rPr>
        <w:t>6</w:t>
      </w:r>
      <w:r w:rsidRPr="006B42D6">
        <w:rPr>
          <w:bCs/>
          <w:lang w:eastAsia="en-GB"/>
        </w:rPr>
        <w:t>,</w:t>
      </w:r>
      <w:r w:rsidR="00726F42" w:rsidRPr="006B42D6">
        <w:rPr>
          <w:bCs/>
          <w:lang w:eastAsia="en-GB"/>
        </w:rPr>
        <w:t>056</w:t>
      </w:r>
      <w:r w:rsidRPr="006B42D6">
        <w:rPr>
          <w:bCs/>
          <w:lang w:eastAsia="en-GB"/>
        </w:rPr>
        <w:t xml:space="preserve">; </w:t>
      </w:r>
      <w:r w:rsidRPr="006B42D6">
        <w:t xml:space="preserve">2.5 percent), and </w:t>
      </w:r>
      <w:r w:rsidR="009E7D16">
        <w:t>b</w:t>
      </w:r>
      <w:r w:rsidRPr="006B42D6">
        <w:t>eef cattle (300,</w:t>
      </w:r>
      <w:r w:rsidR="00726F42" w:rsidRPr="006B42D6">
        <w:t>521</w:t>
      </w:r>
      <w:r w:rsidRPr="006B42D6">
        <w:t xml:space="preserve">; 0.9 percent). </w:t>
      </w:r>
    </w:p>
    <w:p w14:paraId="55F0B123" w14:textId="77777777" w:rsidR="006B5C77" w:rsidRDefault="006B5C77" w:rsidP="004A59AE">
      <w:pPr>
        <w:spacing w:line="240" w:lineRule="auto"/>
      </w:pPr>
    </w:p>
    <w:p w14:paraId="5C2A9949" w14:textId="70EBD667" w:rsidR="00010865" w:rsidRDefault="00697881" w:rsidP="006458EC">
      <w:r w:rsidRPr="006B42D6">
        <w:t xml:space="preserve">In </w:t>
      </w:r>
      <w:r w:rsidR="004A5BC1" w:rsidRPr="006B42D6">
        <w:t xml:space="preserve">Tanzania </w:t>
      </w:r>
      <w:r w:rsidRPr="006B42D6">
        <w:t>Zanzibar, a total of 270,</w:t>
      </w:r>
      <w:r w:rsidR="009E7D16">
        <w:t>707</w:t>
      </w:r>
      <w:r w:rsidRPr="006B42D6">
        <w:t xml:space="preserve"> cattle </w:t>
      </w:r>
      <w:r w:rsidR="000D6BD7" w:rsidRPr="006B42D6">
        <w:t>was</w:t>
      </w:r>
      <w:r w:rsidRPr="006B42D6">
        <w:t xml:space="preserve"> raised, </w:t>
      </w:r>
      <w:r w:rsidR="00963AB8" w:rsidRPr="006B42D6">
        <w:t xml:space="preserve">out </w:t>
      </w:r>
      <w:r w:rsidRPr="006B42D6">
        <w:t>of which, indigenous cattle had the highest number of 239,554 heads (85.5 percent), followed by dairy cattle (29,</w:t>
      </w:r>
      <w:r w:rsidR="009E7D16">
        <w:t>572</w:t>
      </w:r>
      <w:r w:rsidRPr="006B42D6">
        <w:t xml:space="preserve"> heads; 17.2 percent), and beef cattle (1,580 heads; 0.6 percent). Moreover, t</w:t>
      </w:r>
      <w:r w:rsidRPr="006B42D6">
        <w:rPr>
          <w:lang w:eastAsia="en-GB"/>
        </w:rPr>
        <w:t xml:space="preserve">he </w:t>
      </w:r>
      <w:r w:rsidRPr="006B42D6">
        <w:t xml:space="preserve">average numbers of cattle per households were 17 and 5 heads in </w:t>
      </w:r>
      <w:r w:rsidR="00EA1552">
        <w:t>Mainland Tanzania</w:t>
      </w:r>
      <w:r w:rsidRPr="006B42D6">
        <w:t xml:space="preserve"> and </w:t>
      </w:r>
      <w:r w:rsidR="004A5BC1" w:rsidRPr="006B42D6">
        <w:t xml:space="preserve">Tanzania </w:t>
      </w:r>
      <w:r w:rsidRPr="006B42D6">
        <w:t>Zanzibar respectively</w:t>
      </w:r>
      <w:r w:rsidR="000D6BD7" w:rsidRPr="006B42D6">
        <w:t>.</w:t>
      </w:r>
      <w:r w:rsidR="003605E5" w:rsidRPr="006B42D6">
        <w:t xml:space="preserve"> </w:t>
      </w:r>
      <w:r w:rsidR="00010865">
        <w:br w:type="page"/>
      </w:r>
    </w:p>
    <w:p w14:paraId="2AAAEB5A" w14:textId="7E8AD5D3" w:rsidR="00697881" w:rsidRPr="006B42D6" w:rsidRDefault="00697881" w:rsidP="005C2EFC">
      <w:pPr>
        <w:pStyle w:val="Heading4"/>
      </w:pPr>
      <w:bookmarkStart w:id="457" w:name="_Toc82385734"/>
      <w:r w:rsidRPr="006B42D6">
        <w:lastRenderedPageBreak/>
        <w:t>4.</w:t>
      </w:r>
      <w:r w:rsidR="00C4159B">
        <w:t>1</w:t>
      </w:r>
      <w:r w:rsidRPr="006B42D6">
        <w:t>.1.</w:t>
      </w:r>
      <w:r w:rsidR="00C46537" w:rsidRPr="006B42D6">
        <w:t>2</w:t>
      </w:r>
      <w:r w:rsidR="0000655E" w:rsidRPr="006B42D6">
        <w:tab/>
      </w:r>
      <w:r w:rsidRPr="006B42D6">
        <w:t xml:space="preserve">Indigenous </w:t>
      </w:r>
      <w:r w:rsidR="000D6BD7" w:rsidRPr="006B42D6">
        <w:t>C</w:t>
      </w:r>
      <w:r w:rsidRPr="006B42D6">
        <w:t xml:space="preserve">attle </w:t>
      </w:r>
      <w:r w:rsidR="000D6BD7" w:rsidRPr="006B42D6">
        <w:t>P</w:t>
      </w:r>
      <w:r w:rsidRPr="006B42D6">
        <w:t>opulation</w:t>
      </w:r>
      <w:bookmarkEnd w:id="457"/>
      <w:r w:rsidRPr="006B42D6">
        <w:t xml:space="preserve"> </w:t>
      </w:r>
    </w:p>
    <w:p w14:paraId="7A13B695" w14:textId="3ECB6045" w:rsidR="00697881" w:rsidRPr="006B42D6" w:rsidRDefault="00697881" w:rsidP="006B5C77">
      <w:r w:rsidRPr="006B42D6">
        <w:t>The indigenous type dominate</w:t>
      </w:r>
      <w:r w:rsidR="00FD50C6" w:rsidRPr="006B42D6">
        <w:t>d</w:t>
      </w:r>
      <w:r w:rsidRPr="006B42D6">
        <w:t xml:space="preserve"> the cattle population. There </w:t>
      </w:r>
      <w:r w:rsidR="000D6BD7" w:rsidRPr="006B42D6">
        <w:t>were</w:t>
      </w:r>
      <w:r w:rsidRPr="006B42D6">
        <w:t xml:space="preserve"> 1,786,773 households raised </w:t>
      </w:r>
      <w:r w:rsidR="004D4873" w:rsidRPr="006B42D6">
        <w:t xml:space="preserve">indigenous </w:t>
      </w:r>
      <w:r w:rsidRPr="006B42D6">
        <w:t>cattle during the 2019/20 agricultural year</w:t>
      </w:r>
      <w:r w:rsidR="00FD50C6" w:rsidRPr="006B42D6">
        <w:t>,</w:t>
      </w:r>
      <w:r w:rsidRPr="006B42D6">
        <w:t xml:space="preserve"> </w:t>
      </w:r>
      <w:r w:rsidR="004D4873" w:rsidRPr="006B42D6">
        <w:t xml:space="preserve">out </w:t>
      </w:r>
      <w:r w:rsidRPr="006B42D6">
        <w:t xml:space="preserve">of which 1,733,341 households </w:t>
      </w:r>
      <w:r w:rsidR="00FD50C6" w:rsidRPr="006B42D6">
        <w:t>were in</w:t>
      </w:r>
      <w:r w:rsidRPr="006B42D6">
        <w:t xml:space="preserve"> </w:t>
      </w:r>
      <w:r w:rsidR="00EA1552">
        <w:t>Mainland Tanzania</w:t>
      </w:r>
      <w:r w:rsidRPr="006B42D6">
        <w:t xml:space="preserve"> and 53,432 </w:t>
      </w:r>
      <w:r w:rsidR="00FD50C6" w:rsidRPr="006B42D6">
        <w:t xml:space="preserve">in </w:t>
      </w:r>
      <w:r w:rsidR="004A5BC1" w:rsidRPr="006B42D6">
        <w:t xml:space="preserve">Tanzania </w:t>
      </w:r>
      <w:r w:rsidRPr="006B42D6">
        <w:t>Zanzibar. The total number of indigenous cattle raised was 32,</w:t>
      </w:r>
      <w:r w:rsidR="004A5BC1" w:rsidRPr="006B42D6">
        <w:t>617</w:t>
      </w:r>
      <w:r w:rsidRPr="006B42D6">
        <w:t>,</w:t>
      </w:r>
      <w:r w:rsidR="002F359F" w:rsidRPr="006B42D6">
        <w:t>693</w:t>
      </w:r>
      <w:r w:rsidRPr="006B42D6">
        <w:t xml:space="preserve">, </w:t>
      </w:r>
      <w:r w:rsidR="00FD50C6" w:rsidRPr="006B42D6">
        <w:t xml:space="preserve">out </w:t>
      </w:r>
      <w:r w:rsidRPr="006B42D6">
        <w:t xml:space="preserve">of which 32,378,139 heads </w:t>
      </w:r>
      <w:r w:rsidR="00FD50C6" w:rsidRPr="006B42D6">
        <w:t xml:space="preserve">were </w:t>
      </w:r>
      <w:r w:rsidRPr="006B42D6">
        <w:t xml:space="preserve">in </w:t>
      </w:r>
      <w:r w:rsidR="00EA1552">
        <w:t>Mainland Tanzania</w:t>
      </w:r>
      <w:r w:rsidRPr="006B42D6">
        <w:t xml:space="preserve"> and 239,554 heads in </w:t>
      </w:r>
      <w:r w:rsidR="004A5BC1" w:rsidRPr="006B42D6">
        <w:t xml:space="preserve">Tanzania </w:t>
      </w:r>
      <w:r w:rsidRPr="006B42D6">
        <w:t xml:space="preserve">Zanzibar. </w:t>
      </w:r>
    </w:p>
    <w:p w14:paraId="615058A1" w14:textId="5A98121E" w:rsidR="00697881" w:rsidRPr="006B42D6" w:rsidRDefault="007E1CD0" w:rsidP="004A59AE">
      <w:pPr>
        <w:spacing w:line="240" w:lineRule="auto"/>
      </w:pPr>
      <w:r w:rsidRPr="006B5C77">
        <w:rPr>
          <w:noProof/>
        </w:rPr>
        <mc:AlternateContent>
          <mc:Choice Requires="wps">
            <w:drawing>
              <wp:anchor distT="0" distB="0" distL="114300" distR="114300" simplePos="0" relativeHeight="251729920" behindDoc="1" locked="0" layoutInCell="1" allowOverlap="1" wp14:anchorId="63092A8F" wp14:editId="72FACBDE">
                <wp:simplePos x="0" y="0"/>
                <wp:positionH relativeFrom="column">
                  <wp:posOffset>2490470</wp:posOffset>
                </wp:positionH>
                <wp:positionV relativeFrom="paragraph">
                  <wp:posOffset>136842</wp:posOffset>
                </wp:positionV>
                <wp:extent cx="3406775" cy="520065"/>
                <wp:effectExtent l="0" t="0" r="0" b="635"/>
                <wp:wrapTight wrapText="bothSides">
                  <wp:wrapPolygon edited="0">
                    <wp:start x="0" y="0"/>
                    <wp:lineTo x="0" y="21099"/>
                    <wp:lineTo x="21499" y="21099"/>
                    <wp:lineTo x="21499" y="0"/>
                    <wp:lineTo x="0" y="0"/>
                  </wp:wrapPolygon>
                </wp:wrapTight>
                <wp:docPr id="471" name="Text Box 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6775" cy="520065"/>
                        </a:xfrm>
                        <a:prstGeom prst="rect">
                          <a:avLst/>
                        </a:prstGeom>
                        <a:solidFill>
                          <a:prstClr val="white"/>
                        </a:solidFill>
                        <a:ln>
                          <a:noFill/>
                        </a:ln>
                      </wps:spPr>
                      <wps:txbx>
                        <w:txbxContent>
                          <w:p w14:paraId="5FAC0213" w14:textId="2C1EFACF" w:rsidR="00933456" w:rsidRPr="00A016DE" w:rsidRDefault="00933456" w:rsidP="009E7D16">
                            <w:pPr>
                              <w:pStyle w:val="Caption"/>
                              <w:rPr>
                                <w:rFonts w:eastAsia="Calibri"/>
                                <w:noProof/>
                              </w:rPr>
                            </w:pPr>
                            <w:bookmarkStart w:id="458" w:name="_Toc80120276"/>
                            <w:bookmarkStart w:id="459" w:name="_Toc80884152"/>
                            <w:bookmarkStart w:id="460" w:name="_Toc80884523"/>
                            <w:bookmarkStart w:id="461" w:name="_Toc82386376"/>
                            <w:r w:rsidRPr="004D4873">
                              <w:t>Figure 4.5:</w:t>
                            </w:r>
                            <w:r>
                              <w:tab/>
                            </w:r>
                            <w:r w:rsidRPr="004D4873">
                              <w:t>Indigenous Cattle Population and Average Number of Cattle per Household by Region</w:t>
                            </w:r>
                            <w:r>
                              <w:t xml:space="preserve"> </w:t>
                            </w:r>
                            <w:r>
                              <w:rPr>
                                <w:szCs w:val="16"/>
                              </w:rPr>
                              <w:t>as of 1</w:t>
                            </w:r>
                            <w:r w:rsidRPr="004326B5">
                              <w:rPr>
                                <w:szCs w:val="16"/>
                                <w:vertAlign w:val="superscript"/>
                              </w:rPr>
                              <w:t>st</w:t>
                            </w:r>
                            <w:r>
                              <w:rPr>
                                <w:szCs w:val="16"/>
                              </w:rPr>
                              <w:t xml:space="preserve"> August 2020,</w:t>
                            </w:r>
                            <w:r w:rsidRPr="004D4873">
                              <w:t xml:space="preserve"> </w:t>
                            </w:r>
                            <w:r>
                              <w:t>Mainland Tanzania</w:t>
                            </w:r>
                            <w:bookmarkEnd w:id="458"/>
                            <w:bookmarkEnd w:id="459"/>
                            <w:bookmarkEnd w:id="460"/>
                            <w:bookmarkEnd w:id="46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092A8F" id="Text Box 527" o:spid="_x0000_s1073" type="#_x0000_t202" style="position:absolute;left:0;text-align:left;margin-left:196.1pt;margin-top:10.75pt;width:268.25pt;height:40.95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" stroked="f">
                <v:textbox inset="0,0,0,0">
                  <w:txbxContent>
                    <w:p w14:paraId="5FAC0213" w14:textId="2C1EFACF" w:rsidR="00933456" w:rsidRPr="00A016DE" w:rsidRDefault="00933456" w:rsidP="009E7D16">
                      <w:pPr>
                        <w:pStyle w:val="Caption"/>
                        <w:rPr>
                          <w:rFonts w:eastAsia="Calibri"/>
                          <w:noProof/>
                        </w:rPr>
                      </w:pPr>
                      <w:bookmarkStart w:id="624" w:name="_Toc80120276"/>
                      <w:bookmarkStart w:id="625" w:name="_Toc80884152"/>
                      <w:bookmarkStart w:id="626" w:name="_Toc80884523"/>
                      <w:bookmarkStart w:id="627" w:name="_Toc82386376"/>
                      <w:r w:rsidRPr="004D4873">
                        <w:t>Figure 4.5:</w:t>
                      </w:r>
                      <w:r>
                        <w:tab/>
                      </w:r>
                      <w:r w:rsidRPr="004D4873">
                        <w:t>Indigenous Cattle Population and Average Number of Cattle per Household by Region</w:t>
                      </w:r>
                      <w:r>
                        <w:t xml:space="preserve"> </w:t>
                      </w:r>
                      <w:r>
                        <w:rPr>
                          <w:szCs w:val="16"/>
                        </w:rPr>
                        <w:t>as of 1</w:t>
                      </w:r>
                      <w:r w:rsidRPr="004326B5">
                        <w:rPr>
                          <w:szCs w:val="16"/>
                          <w:vertAlign w:val="superscript"/>
                        </w:rPr>
                        <w:t>st</w:t>
                      </w:r>
                      <w:r>
                        <w:rPr>
                          <w:szCs w:val="16"/>
                        </w:rPr>
                        <w:t xml:space="preserve"> August 2020,</w:t>
                      </w:r>
                      <w:r w:rsidRPr="004D4873">
                        <w:t xml:space="preserve"> </w:t>
                      </w:r>
                      <w:r>
                        <w:t>Mainland Tanzania</w:t>
                      </w:r>
                      <w:bookmarkEnd w:id="624"/>
                      <w:bookmarkEnd w:id="625"/>
                      <w:bookmarkEnd w:id="626"/>
                      <w:bookmarkEnd w:id="627"/>
                    </w:p>
                  </w:txbxContent>
                </v:textbox>
                <w10:wrap type="tight"/>
              </v:shape>
            </w:pict>
          </mc:Fallback>
        </mc:AlternateContent>
      </w:r>
    </w:p>
    <w:p w14:paraId="7017ED98" w14:textId="2D636EA2" w:rsidR="002F359F" w:rsidRPr="006B42D6" w:rsidRDefault="009E7D16" w:rsidP="006B5C77">
      <w:pPr>
        <w:rPr>
          <w:lang w:eastAsia="en-GB"/>
        </w:rPr>
      </w:pPr>
      <w:r w:rsidRPr="006B5C77">
        <w:rPr>
          <w:noProof/>
        </w:rPr>
        <w:drawing>
          <wp:anchor distT="6096" distB="8763" distL="120396" distR="117983" simplePos="0" relativeHeight="251634688" behindDoc="1" locked="0" layoutInCell="1" allowOverlap="1" wp14:anchorId="3C90F584" wp14:editId="1A6BFEE8">
            <wp:simplePos x="0" y="0"/>
            <wp:positionH relativeFrom="column">
              <wp:posOffset>2491899</wp:posOffset>
            </wp:positionH>
            <wp:positionV relativeFrom="paragraph">
              <wp:posOffset>561499</wp:posOffset>
            </wp:positionV>
            <wp:extent cx="3336290" cy="1807210"/>
            <wp:effectExtent l="0" t="0" r="16510" b="8890"/>
            <wp:wrapTight wrapText="bothSides">
              <wp:wrapPolygon edited="0">
                <wp:start x="0" y="0"/>
                <wp:lineTo x="0" y="21554"/>
                <wp:lineTo x="21625" y="21554"/>
                <wp:lineTo x="21625" y="0"/>
                <wp:lineTo x="0" y="0"/>
              </wp:wrapPolygon>
            </wp:wrapTight>
            <wp:docPr id="470" name="Chart 5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2"/>
              </a:graphicData>
            </a:graphic>
            <wp14:sizeRelH relativeFrom="page">
              <wp14:pctWidth>0</wp14:pctWidth>
            </wp14:sizeRelH>
            <wp14:sizeRelV relativeFrom="page">
              <wp14:pctHeight>0</wp14:pctHeight>
            </wp14:sizeRelV>
          </wp:anchor>
        </w:drawing>
      </w:r>
      <w:r w:rsidR="00697881" w:rsidRPr="006B5C77">
        <w:t xml:space="preserve">In </w:t>
      </w:r>
      <w:r w:rsidR="00EA1552" w:rsidRPr="006B5C77">
        <w:t>Mainland Tanzania</w:t>
      </w:r>
      <w:r w:rsidR="004A5BC1" w:rsidRPr="006B5C77">
        <w:t>,</w:t>
      </w:r>
      <w:r w:rsidR="00697881" w:rsidRPr="006B5C77">
        <w:t xml:space="preserve"> Tabora region had the highest number of indigenous cattle (2,</w:t>
      </w:r>
      <w:r w:rsidR="002F359F" w:rsidRPr="006B5C77">
        <w:t>828</w:t>
      </w:r>
      <w:r w:rsidR="00697881" w:rsidRPr="006B5C77">
        <w:t>,</w:t>
      </w:r>
      <w:r w:rsidR="002F359F" w:rsidRPr="006B5C77">
        <w:t>6</w:t>
      </w:r>
      <w:r w:rsidR="00697881" w:rsidRPr="006B5C77">
        <w:t xml:space="preserve">91; </w:t>
      </w:r>
      <w:r w:rsidR="002F359F" w:rsidRPr="006B5C77">
        <w:t>8.7</w:t>
      </w:r>
      <w:r w:rsidR="00697881" w:rsidRPr="006B5C77">
        <w:t xml:space="preserve"> percent)</w:t>
      </w:r>
      <w:r w:rsidR="00FD50C6" w:rsidRPr="006B5C77">
        <w:t>,</w:t>
      </w:r>
      <w:r w:rsidR="00697881" w:rsidRPr="006B5C77">
        <w:t xml:space="preserve"> followed by Simiyu (2,</w:t>
      </w:r>
      <w:r w:rsidR="002F359F" w:rsidRPr="006B5C77">
        <w:t>545</w:t>
      </w:r>
      <w:r w:rsidR="00697881" w:rsidRPr="006B5C77">
        <w:t>,</w:t>
      </w:r>
      <w:r w:rsidR="002F359F" w:rsidRPr="006B5C77">
        <w:t>664</w:t>
      </w:r>
      <w:r w:rsidR="00697881" w:rsidRPr="006B5C77">
        <w:t>; 7.</w:t>
      </w:r>
      <w:r w:rsidR="002F359F" w:rsidRPr="006B5C77">
        <w:t>9</w:t>
      </w:r>
      <w:r w:rsidR="00697881" w:rsidRPr="006B5C77">
        <w:t xml:space="preserve"> percent) and Arusha (2,</w:t>
      </w:r>
      <w:r w:rsidR="002F359F" w:rsidRPr="006B5C77">
        <w:t>463</w:t>
      </w:r>
      <w:r w:rsidR="00697881" w:rsidRPr="006B5C77">
        <w:t>,</w:t>
      </w:r>
      <w:r w:rsidR="002F359F" w:rsidRPr="006B5C77">
        <w:t>768</w:t>
      </w:r>
      <w:r w:rsidR="00697881" w:rsidRPr="006B5C77">
        <w:t>; 7.</w:t>
      </w:r>
      <w:r w:rsidR="002F359F" w:rsidRPr="006B5C77">
        <w:t>6</w:t>
      </w:r>
      <w:r w:rsidR="00697881" w:rsidRPr="006B5C77">
        <w:t xml:space="preserve"> percent). Dar es Salaam region had the least number of </w:t>
      </w:r>
      <w:r w:rsidR="002F359F" w:rsidRPr="006B5C77">
        <w:t xml:space="preserve">indigenous </w:t>
      </w:r>
      <w:r w:rsidR="00697881" w:rsidRPr="006B5C77">
        <w:t>cattle (39,177; 0.1 percent)</w:t>
      </w:r>
      <w:r w:rsidR="002F359F" w:rsidRPr="006B5C77">
        <w:t xml:space="preserve">. Further </w:t>
      </w:r>
      <w:r w:rsidR="004A5BC1" w:rsidRPr="006B5C77">
        <w:t>results revealed that</w:t>
      </w:r>
      <w:r w:rsidR="002F359F" w:rsidRPr="006B5C77">
        <w:t>,</w:t>
      </w:r>
      <w:r w:rsidR="004A5BC1" w:rsidRPr="006B5C77">
        <w:t xml:space="preserve"> Lindi had the highest average number of cattle raised by smallholder farmers per household with 76</w:t>
      </w:r>
      <w:r w:rsidR="004A5BC1" w:rsidRPr="006B42D6">
        <w:rPr>
          <w:lang w:eastAsia="en-GB"/>
        </w:rPr>
        <w:t xml:space="preserve"> heads per household</w:t>
      </w:r>
      <w:r w:rsidR="002F359F" w:rsidRPr="006B42D6">
        <w:rPr>
          <w:lang w:eastAsia="en-GB"/>
        </w:rPr>
        <w:t>,</w:t>
      </w:r>
      <w:r w:rsidR="004A5BC1" w:rsidRPr="006B42D6">
        <w:rPr>
          <w:lang w:eastAsia="en-GB"/>
        </w:rPr>
        <w:t xml:space="preserve"> followed by Pwani </w:t>
      </w:r>
      <w:r w:rsidR="002F359F" w:rsidRPr="006B42D6">
        <w:rPr>
          <w:lang w:eastAsia="en-GB"/>
        </w:rPr>
        <w:t>(</w:t>
      </w:r>
      <w:r w:rsidR="004A5BC1" w:rsidRPr="006B42D6">
        <w:rPr>
          <w:lang w:eastAsia="en-GB"/>
        </w:rPr>
        <w:t>65 heads</w:t>
      </w:r>
      <w:r w:rsidR="002F359F" w:rsidRPr="006B42D6">
        <w:rPr>
          <w:lang w:eastAsia="en-GB"/>
        </w:rPr>
        <w:t xml:space="preserve"> per household)</w:t>
      </w:r>
      <w:r w:rsidR="004A5BC1" w:rsidRPr="006B42D6">
        <w:rPr>
          <w:lang w:eastAsia="en-GB"/>
        </w:rPr>
        <w:t xml:space="preserve"> and Mtwara </w:t>
      </w:r>
      <w:r w:rsidR="002F359F" w:rsidRPr="006B42D6">
        <w:rPr>
          <w:lang w:eastAsia="en-GB"/>
        </w:rPr>
        <w:t>(</w:t>
      </w:r>
      <w:r w:rsidR="004A5BC1" w:rsidRPr="006B42D6">
        <w:rPr>
          <w:lang w:eastAsia="en-GB"/>
        </w:rPr>
        <w:t>61 heads per household</w:t>
      </w:r>
      <w:r w:rsidR="002F359F" w:rsidRPr="006B42D6">
        <w:rPr>
          <w:lang w:eastAsia="en-GB"/>
        </w:rPr>
        <w:t>),</w:t>
      </w:r>
      <w:r w:rsidR="004A5BC1" w:rsidRPr="006B42D6">
        <w:rPr>
          <w:lang w:eastAsia="en-GB"/>
        </w:rPr>
        <w:t xml:space="preserve"> while Dar es Salaam had the lowest average </w:t>
      </w:r>
      <w:r w:rsidR="002F359F" w:rsidRPr="006B42D6">
        <w:rPr>
          <w:lang w:eastAsia="en-GB"/>
        </w:rPr>
        <w:t>(4 heads</w:t>
      </w:r>
      <w:r w:rsidR="004A5BC1" w:rsidRPr="006B42D6">
        <w:rPr>
          <w:lang w:eastAsia="en-GB"/>
        </w:rPr>
        <w:t xml:space="preserve"> per household</w:t>
      </w:r>
      <w:r w:rsidR="002F359F" w:rsidRPr="006B42D6">
        <w:rPr>
          <w:lang w:eastAsia="en-GB"/>
        </w:rPr>
        <w:t>)</w:t>
      </w:r>
      <w:r w:rsidR="002F359F" w:rsidRPr="006B42D6">
        <w:t xml:space="preserve"> (Figure 4.5).</w:t>
      </w:r>
      <w:r w:rsidR="004A5BC1" w:rsidRPr="006B42D6">
        <w:rPr>
          <w:lang w:eastAsia="en-GB"/>
        </w:rPr>
        <w:t xml:space="preserve"> </w:t>
      </w:r>
    </w:p>
    <w:p w14:paraId="463A630D" w14:textId="7636C158" w:rsidR="002F359F" w:rsidRPr="006B42D6" w:rsidRDefault="004A59AE" w:rsidP="004A59AE">
      <w:pPr>
        <w:spacing w:line="240" w:lineRule="auto"/>
        <w:rPr>
          <w:lang w:eastAsia="en-GB"/>
        </w:rPr>
      </w:pPr>
      <w:r w:rsidRPr="006B5C77">
        <w:rPr>
          <w:noProof/>
        </w:rPr>
        <mc:AlternateContent>
          <mc:Choice Requires="wps">
            <w:drawing>
              <wp:anchor distT="0" distB="0" distL="114300" distR="114300" simplePos="0" relativeHeight="251636736" behindDoc="1" locked="0" layoutInCell="1" allowOverlap="1" wp14:anchorId="463EDEE7" wp14:editId="3C1EDC7A">
                <wp:simplePos x="0" y="0"/>
                <wp:positionH relativeFrom="column">
                  <wp:posOffset>2629535</wp:posOffset>
                </wp:positionH>
                <wp:positionV relativeFrom="paragraph">
                  <wp:posOffset>141446</wp:posOffset>
                </wp:positionV>
                <wp:extent cx="3086100" cy="598805"/>
                <wp:effectExtent l="0" t="0" r="0" b="0"/>
                <wp:wrapTight wrapText="bothSides">
                  <wp:wrapPolygon edited="0">
                    <wp:start x="0" y="0"/>
                    <wp:lineTo x="0" y="21073"/>
                    <wp:lineTo x="21511" y="21073"/>
                    <wp:lineTo x="21511" y="0"/>
                    <wp:lineTo x="0" y="0"/>
                  </wp:wrapPolygon>
                </wp:wrapTight>
                <wp:docPr id="469" name="Text Box 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6100" cy="598805"/>
                        </a:xfrm>
                        <a:prstGeom prst="rect">
                          <a:avLst/>
                        </a:prstGeom>
                        <a:solidFill>
                          <a:prstClr val="white"/>
                        </a:solidFill>
                        <a:ln>
                          <a:noFill/>
                        </a:ln>
                      </wps:spPr>
                      <wps:txbx>
                        <w:txbxContent>
                          <w:p w14:paraId="63BB1B47" w14:textId="0192F122" w:rsidR="00933456" w:rsidRPr="00A016DE" w:rsidRDefault="00933456" w:rsidP="002D4487">
                            <w:pPr>
                              <w:pStyle w:val="Caption"/>
                              <w:rPr>
                                <w:rFonts w:eastAsia="Calibri"/>
                                <w:noProof/>
                              </w:rPr>
                            </w:pPr>
                            <w:bookmarkStart w:id="462" w:name="_Toc80120277"/>
                            <w:bookmarkStart w:id="463" w:name="_Toc80884153"/>
                            <w:bookmarkStart w:id="464" w:name="_Toc80884524"/>
                            <w:bookmarkStart w:id="465" w:name="_Toc82386377"/>
                            <w:r w:rsidRPr="004D4873">
                              <w:t>Figure 4.</w:t>
                            </w:r>
                            <w:r>
                              <w:t>6</w:t>
                            </w:r>
                            <w:r w:rsidRPr="004D4873">
                              <w:t>:</w:t>
                            </w:r>
                            <w:r>
                              <w:tab/>
                            </w:r>
                            <w:r w:rsidRPr="004D4873">
                              <w:t xml:space="preserve">Indigenous Cattle Population and Average Number of Cattle per Household by Region </w:t>
                            </w:r>
                            <w:r>
                              <w:rPr>
                                <w:szCs w:val="16"/>
                              </w:rPr>
                              <w:t>as of 1</w:t>
                            </w:r>
                            <w:r w:rsidRPr="004326B5">
                              <w:rPr>
                                <w:szCs w:val="16"/>
                                <w:vertAlign w:val="superscript"/>
                              </w:rPr>
                              <w:t>st</w:t>
                            </w:r>
                            <w:r>
                              <w:rPr>
                                <w:szCs w:val="16"/>
                              </w:rPr>
                              <w:t xml:space="preserve"> August 2020, Tanzania </w:t>
                            </w:r>
                            <w:r w:rsidRPr="004D4873">
                              <w:t>Zanzibar</w:t>
                            </w:r>
                            <w:bookmarkEnd w:id="462"/>
                            <w:bookmarkEnd w:id="463"/>
                            <w:bookmarkEnd w:id="464"/>
                            <w:bookmarkEnd w:id="465"/>
                          </w:p>
                          <w:p w14:paraId="4307B3E6" w14:textId="547D3DDD" w:rsidR="00933456" w:rsidRPr="00A016DE" w:rsidRDefault="00933456" w:rsidP="002D4487">
                            <w:pPr>
                              <w:pStyle w:val="Caption"/>
                              <w:rPr>
                                <w:rFonts w:eastAsia="Calibri"/>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63EDEE7" id="Text Box 532" o:spid="_x0000_s1074" type="#_x0000_t202" style="position:absolute;left:0;text-align:left;margin-left:207.05pt;margin-top:11.15pt;width:243pt;height:47.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" stroked="f">
                <v:textbox inset="0,0,0,0">
                  <w:txbxContent>
                    <w:p w14:paraId="63BB1B47" w14:textId="0192F122" w:rsidR="00933456" w:rsidRPr="00A016DE" w:rsidRDefault="00933456" w:rsidP="002D4487">
                      <w:pPr>
                        <w:pStyle w:val="Caption"/>
                        <w:rPr>
                          <w:rFonts w:eastAsia="Calibri"/>
                          <w:noProof/>
                        </w:rPr>
                      </w:pPr>
                      <w:bookmarkStart w:id="632" w:name="_Toc80120277"/>
                      <w:bookmarkStart w:id="633" w:name="_Toc80884153"/>
                      <w:bookmarkStart w:id="634" w:name="_Toc80884524"/>
                      <w:bookmarkStart w:id="635" w:name="_Toc82386377"/>
                      <w:r w:rsidRPr="004D4873">
                        <w:t>Figure 4.</w:t>
                      </w:r>
                      <w:r>
                        <w:t>6</w:t>
                      </w:r>
                      <w:r w:rsidRPr="004D4873">
                        <w:t>:</w:t>
                      </w:r>
                      <w:r>
                        <w:tab/>
                      </w:r>
                      <w:r w:rsidRPr="004D4873">
                        <w:t xml:space="preserve">Indigenous Cattle Population and Average Number of Cattle per Household by Region </w:t>
                      </w:r>
                      <w:r>
                        <w:rPr>
                          <w:szCs w:val="16"/>
                        </w:rPr>
                        <w:t>as of 1</w:t>
                      </w:r>
                      <w:r w:rsidRPr="004326B5">
                        <w:rPr>
                          <w:szCs w:val="16"/>
                          <w:vertAlign w:val="superscript"/>
                        </w:rPr>
                        <w:t>st</w:t>
                      </w:r>
                      <w:r>
                        <w:rPr>
                          <w:szCs w:val="16"/>
                        </w:rPr>
                        <w:t xml:space="preserve"> August 2020, Tanzania </w:t>
                      </w:r>
                      <w:r w:rsidRPr="004D4873">
                        <w:t>Zanzibar</w:t>
                      </w:r>
                      <w:bookmarkEnd w:id="632"/>
                      <w:bookmarkEnd w:id="633"/>
                      <w:bookmarkEnd w:id="634"/>
                      <w:bookmarkEnd w:id="635"/>
                    </w:p>
                    <w:p w14:paraId="4307B3E6" w14:textId="547D3DDD" w:rsidR="00933456" w:rsidRPr="00A016DE" w:rsidRDefault="00933456" w:rsidP="002D4487">
                      <w:pPr>
                        <w:pStyle w:val="Caption"/>
                        <w:rPr>
                          <w:rFonts w:eastAsia="Calibri"/>
                          <w:noProof/>
                        </w:rPr>
                      </w:pPr>
                    </w:p>
                  </w:txbxContent>
                </v:textbox>
                <w10:wrap type="tight"/>
              </v:shape>
            </w:pict>
          </mc:Fallback>
        </mc:AlternateContent>
      </w:r>
    </w:p>
    <w:p w14:paraId="39A3A631" w14:textId="2A81EE0F" w:rsidR="002D4487" w:rsidRPr="006B42D6" w:rsidRDefault="004A59AE" w:rsidP="006B5C77">
      <w:r w:rsidRPr="006B42D6">
        <w:rPr>
          <w:noProof/>
        </w:rPr>
        <w:drawing>
          <wp:anchor distT="0" distB="127" distL="114300" distR="118237" simplePos="0" relativeHeight="251635712" behindDoc="1" locked="0" layoutInCell="1" allowOverlap="1" wp14:anchorId="1812248D" wp14:editId="06FD1821">
            <wp:simplePos x="0" y="0"/>
            <wp:positionH relativeFrom="column">
              <wp:posOffset>2591911</wp:posOffset>
            </wp:positionH>
            <wp:positionV relativeFrom="paragraph">
              <wp:posOffset>648970</wp:posOffset>
            </wp:positionV>
            <wp:extent cx="3086100" cy="2023110"/>
            <wp:effectExtent l="0" t="0" r="12700" b="8890"/>
            <wp:wrapTight wrapText="bothSides">
              <wp:wrapPolygon edited="0">
                <wp:start x="0" y="0"/>
                <wp:lineTo x="0" y="21559"/>
                <wp:lineTo x="21600" y="21559"/>
                <wp:lineTo x="21600" y="0"/>
                <wp:lineTo x="0" y="0"/>
              </wp:wrapPolygon>
            </wp:wrapTight>
            <wp:docPr id="468" name="Chart 5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3"/>
              </a:graphicData>
            </a:graphic>
            <wp14:sizeRelH relativeFrom="page">
              <wp14:pctWidth>0</wp14:pctWidth>
            </wp14:sizeRelH>
            <wp14:sizeRelV relativeFrom="page">
              <wp14:pctHeight>0</wp14:pctHeight>
            </wp14:sizeRelV>
          </wp:anchor>
        </w:drawing>
      </w:r>
      <w:r w:rsidR="002F359F" w:rsidRPr="006B42D6">
        <w:t>In Tanzania Zanzibar, 239,554 cattle (88.5 percent) of the total cattle population were of indigenous type. The results show that Kaskazini Pemba region had the highest number of indigenous cattle (69,</w:t>
      </w:r>
      <w:r w:rsidR="009375E1">
        <w:t>509</w:t>
      </w:r>
      <w:r w:rsidR="002F359F" w:rsidRPr="006B42D6">
        <w:t xml:space="preserve">; </w:t>
      </w:r>
      <w:r w:rsidR="009375E1">
        <w:t>27.4</w:t>
      </w:r>
      <w:r w:rsidR="002F359F" w:rsidRPr="006B42D6">
        <w:t xml:space="preserve"> percent) followed by Kusini Pemba (</w:t>
      </w:r>
      <w:r w:rsidR="009375E1">
        <w:t>59,710</w:t>
      </w:r>
      <w:r w:rsidR="002F359F" w:rsidRPr="006B42D6">
        <w:t xml:space="preserve"> heads; 24.9 percent), while Kusini Unguja had the least number of cattle (32,259 heads; 13.5 percent). Moreover, the</w:t>
      </w:r>
      <w:r w:rsidR="004A5BC1" w:rsidRPr="006B42D6">
        <w:rPr>
          <w:lang w:eastAsia="en-GB"/>
        </w:rPr>
        <w:t xml:space="preserve"> three regions of </w:t>
      </w:r>
      <w:r w:rsidR="002F359F" w:rsidRPr="006B42D6">
        <w:rPr>
          <w:lang w:eastAsia="en-GB"/>
        </w:rPr>
        <w:t xml:space="preserve">Tanzania Zanzibar, </w:t>
      </w:r>
      <w:r w:rsidR="004A5BC1" w:rsidRPr="006B42D6">
        <w:rPr>
          <w:lang w:eastAsia="en-GB"/>
        </w:rPr>
        <w:t>Kaskazini Unguja, Kusini Unguja and Mjini Magharibi had an average of 6 heads</w:t>
      </w:r>
      <w:r w:rsidR="002F359F" w:rsidRPr="006B42D6">
        <w:rPr>
          <w:lang w:eastAsia="en-GB"/>
        </w:rPr>
        <w:t xml:space="preserve"> per household</w:t>
      </w:r>
      <w:r w:rsidR="004A5BC1" w:rsidRPr="006B42D6">
        <w:rPr>
          <w:lang w:eastAsia="en-GB"/>
        </w:rPr>
        <w:t xml:space="preserve"> each</w:t>
      </w:r>
      <w:r w:rsidR="002F359F" w:rsidRPr="006B42D6">
        <w:rPr>
          <w:lang w:eastAsia="en-GB"/>
        </w:rPr>
        <w:t>,</w:t>
      </w:r>
      <w:r w:rsidR="004A5BC1" w:rsidRPr="006B42D6">
        <w:rPr>
          <w:lang w:eastAsia="en-GB"/>
        </w:rPr>
        <w:t xml:space="preserve"> while Kusini Pemba region recorded the lowest average number of 3 heads </w:t>
      </w:r>
      <w:r w:rsidR="004A5BC1" w:rsidRPr="006B42D6">
        <w:rPr>
          <w:lang w:eastAsia="en-GB"/>
        </w:rPr>
        <w:lastRenderedPageBreak/>
        <w:t>per house</w:t>
      </w:r>
      <w:r w:rsidR="002F359F" w:rsidRPr="006B42D6">
        <w:rPr>
          <w:lang w:eastAsia="en-GB"/>
        </w:rPr>
        <w:t>hold</w:t>
      </w:r>
      <w:r w:rsidR="004A5BC1" w:rsidRPr="006B42D6">
        <w:rPr>
          <w:lang w:eastAsia="en-GB"/>
        </w:rPr>
        <w:t xml:space="preserve"> </w:t>
      </w:r>
      <w:r w:rsidR="004A5BC1" w:rsidRPr="006B42D6">
        <w:t>(Figure 4.</w:t>
      </w:r>
      <w:r w:rsidR="002F359F" w:rsidRPr="006B42D6">
        <w:t>6</w:t>
      </w:r>
      <w:r w:rsidR="004A5BC1" w:rsidRPr="006B42D6">
        <w:t>).</w:t>
      </w:r>
      <w:r w:rsidR="00165B5B">
        <w:t xml:space="preserve"> </w:t>
      </w:r>
      <w:r w:rsidR="00697881" w:rsidRPr="006B42D6">
        <w:t xml:space="preserve">Generally, the censuses results show a steady increase on the number of indigenous cattle in Tanzania from 16.4 </w:t>
      </w:r>
      <w:r w:rsidR="009375E1">
        <w:t xml:space="preserve">million </w:t>
      </w:r>
      <w:r w:rsidR="00697881" w:rsidRPr="006B42D6">
        <w:t xml:space="preserve">in </w:t>
      </w:r>
      <w:r w:rsidR="009375E1">
        <w:t xml:space="preserve">year </w:t>
      </w:r>
      <w:r w:rsidR="00697881" w:rsidRPr="006B42D6">
        <w:t xml:space="preserve">2003 to 20.7 million in 2008 </w:t>
      </w:r>
      <w:r w:rsidR="009375E1">
        <w:t>and</w:t>
      </w:r>
      <w:r w:rsidR="00697881" w:rsidRPr="006B42D6">
        <w:t xml:space="preserve"> 32.6 million in 2020.</w:t>
      </w:r>
    </w:p>
    <w:p w14:paraId="0B78BBA6" w14:textId="77777777" w:rsidR="00A32DE2" w:rsidRPr="00A32DE2" w:rsidRDefault="00A32DE2" w:rsidP="004A59AE">
      <w:pPr>
        <w:spacing w:line="240" w:lineRule="auto"/>
        <w:rPr>
          <w:lang w:eastAsia="en-GB"/>
        </w:rPr>
      </w:pPr>
    </w:p>
    <w:p w14:paraId="5675E91E" w14:textId="5F72625F" w:rsidR="00697881" w:rsidRPr="006B42D6" w:rsidRDefault="00697881" w:rsidP="005C2EFC">
      <w:pPr>
        <w:pStyle w:val="Heading4"/>
        <w:rPr>
          <w:lang w:eastAsia="en-GB"/>
        </w:rPr>
      </w:pPr>
      <w:bookmarkStart w:id="466" w:name="_Toc82385735"/>
      <w:r w:rsidRPr="006B42D6">
        <w:t>4.</w:t>
      </w:r>
      <w:r w:rsidR="00C4159B">
        <w:t>1</w:t>
      </w:r>
      <w:r w:rsidRPr="006B42D6">
        <w:t>.1.</w:t>
      </w:r>
      <w:r w:rsidR="00C46537" w:rsidRPr="006B42D6">
        <w:t>3</w:t>
      </w:r>
      <w:r w:rsidR="0000655E" w:rsidRPr="006B42D6">
        <w:tab/>
      </w:r>
      <w:r w:rsidRPr="006B42D6">
        <w:t>Improved Cattle Population</w:t>
      </w:r>
      <w:bookmarkEnd w:id="466"/>
      <w:r w:rsidRPr="006B42D6">
        <w:t xml:space="preserve"> </w:t>
      </w:r>
    </w:p>
    <w:p w14:paraId="5B84DE3A" w14:textId="26D2CDD4" w:rsidR="00697881" w:rsidRPr="006B42D6" w:rsidRDefault="00697881" w:rsidP="005C2EFC">
      <w:pPr>
        <w:rPr>
          <w:lang w:eastAsia="en-GB"/>
        </w:rPr>
      </w:pPr>
      <w:r w:rsidRPr="006B42D6">
        <w:t>Improved cattle breed, in this census is categorized as beef or dairy breeds. During the 2019/20 agricultural Census there were 267,957 households reared improved cattle in Tanzania, where</w:t>
      </w:r>
      <w:r w:rsidR="004326B5" w:rsidRPr="006B42D6">
        <w:t>by</w:t>
      </w:r>
      <w:r w:rsidRPr="006B42D6">
        <w:t xml:space="preserve"> 261,581 households</w:t>
      </w:r>
      <w:r w:rsidR="004326B5" w:rsidRPr="006B42D6">
        <w:t xml:space="preserve"> were</w:t>
      </w:r>
      <w:r w:rsidRPr="006B42D6">
        <w:t xml:space="preserve"> </w:t>
      </w:r>
      <w:r w:rsidR="004326B5" w:rsidRPr="006B42D6">
        <w:t>in</w:t>
      </w:r>
      <w:r w:rsidRPr="006B42D6">
        <w:t xml:space="preserve"> </w:t>
      </w:r>
      <w:r w:rsidR="00EA1552">
        <w:t>Mainland Tanzania</w:t>
      </w:r>
      <w:r w:rsidRPr="006B42D6">
        <w:t xml:space="preserve"> and 6,376 households </w:t>
      </w:r>
      <w:r w:rsidR="004326B5" w:rsidRPr="006B42D6">
        <w:t>in</w:t>
      </w:r>
      <w:r w:rsidRPr="006B42D6">
        <w:t xml:space="preserve"> </w:t>
      </w:r>
      <w:r w:rsidR="00255E17" w:rsidRPr="006B42D6">
        <w:t xml:space="preserve">Tanzania </w:t>
      </w:r>
      <w:r w:rsidRPr="006B42D6">
        <w:t>Zanzibar. The number of improved cattle recorded</w:t>
      </w:r>
      <w:r w:rsidRPr="006B42D6">
        <w:rPr>
          <w:lang w:eastAsia="en-GB"/>
        </w:rPr>
        <w:t xml:space="preserve"> was 1,16</w:t>
      </w:r>
      <w:r w:rsidR="00EB5FF2">
        <w:rPr>
          <w:lang w:eastAsia="en-GB"/>
        </w:rPr>
        <w:t xml:space="preserve">7,729 </w:t>
      </w:r>
      <w:r w:rsidRPr="006B42D6">
        <w:rPr>
          <w:lang w:eastAsia="en-GB"/>
        </w:rPr>
        <w:t xml:space="preserve">of </w:t>
      </w:r>
      <w:r w:rsidRPr="006B42D6">
        <w:rPr>
          <w:bCs/>
          <w:lang w:eastAsia="en-GB"/>
        </w:rPr>
        <w:t>which beef cattle were 302,</w:t>
      </w:r>
      <w:r w:rsidR="00EB5FF2">
        <w:rPr>
          <w:bCs/>
          <w:lang w:eastAsia="en-GB"/>
        </w:rPr>
        <w:t>101</w:t>
      </w:r>
      <w:r w:rsidRPr="006B42D6">
        <w:rPr>
          <w:bCs/>
          <w:lang w:eastAsia="en-GB"/>
        </w:rPr>
        <w:t xml:space="preserve"> (25.9 percent) and dairy cattle 86</w:t>
      </w:r>
      <w:r w:rsidR="00EB5FF2">
        <w:rPr>
          <w:bCs/>
          <w:lang w:eastAsia="en-GB"/>
        </w:rPr>
        <w:t>5,628</w:t>
      </w:r>
      <w:r w:rsidRPr="006B42D6">
        <w:rPr>
          <w:bCs/>
          <w:lang w:eastAsia="en-GB"/>
        </w:rPr>
        <w:t xml:space="preserve"> (74.1 percent). </w:t>
      </w:r>
      <w:r w:rsidR="00EA1552">
        <w:t>Mainland Tanzania</w:t>
      </w:r>
      <w:r w:rsidRPr="006B42D6">
        <w:rPr>
          <w:bCs/>
          <w:lang w:eastAsia="en-GB"/>
        </w:rPr>
        <w:t xml:space="preserve"> recorded </w:t>
      </w:r>
      <w:r w:rsidRPr="006B42D6">
        <w:rPr>
          <w:lang w:eastAsia="en-GB"/>
        </w:rPr>
        <w:t>1,13</w:t>
      </w:r>
      <w:r w:rsidR="00EB5FF2">
        <w:rPr>
          <w:lang w:eastAsia="en-GB"/>
        </w:rPr>
        <w:t>6,577</w:t>
      </w:r>
      <w:r w:rsidRPr="006B42D6">
        <w:rPr>
          <w:lang w:eastAsia="en-GB"/>
        </w:rPr>
        <w:t xml:space="preserve"> head</w:t>
      </w:r>
      <w:r w:rsidR="004326B5" w:rsidRPr="006B42D6">
        <w:rPr>
          <w:lang w:eastAsia="en-GB"/>
        </w:rPr>
        <w:t>s</w:t>
      </w:r>
      <w:r w:rsidRPr="006B42D6">
        <w:rPr>
          <w:lang w:eastAsia="en-GB"/>
        </w:rPr>
        <w:t xml:space="preserve"> of the improved cattle and </w:t>
      </w:r>
      <w:r w:rsidR="00255E17" w:rsidRPr="006B42D6">
        <w:t xml:space="preserve">Tanzania </w:t>
      </w:r>
      <w:r w:rsidRPr="006B42D6">
        <w:rPr>
          <w:lang w:eastAsia="en-GB"/>
        </w:rPr>
        <w:t>Zanzibar had 31,</w:t>
      </w:r>
      <w:r w:rsidR="00EB5FF2">
        <w:rPr>
          <w:lang w:eastAsia="en-GB"/>
        </w:rPr>
        <w:t>152</w:t>
      </w:r>
      <w:r w:rsidRPr="006B42D6">
        <w:rPr>
          <w:lang w:eastAsia="en-GB"/>
        </w:rPr>
        <w:t xml:space="preserve"> head</w:t>
      </w:r>
      <w:r w:rsidR="004326B5" w:rsidRPr="006B42D6">
        <w:rPr>
          <w:lang w:eastAsia="en-GB"/>
        </w:rPr>
        <w:t>s.</w:t>
      </w:r>
      <w:r w:rsidRPr="006B42D6">
        <w:rPr>
          <w:lang w:eastAsia="en-GB"/>
        </w:rPr>
        <w:t xml:space="preserve"> </w:t>
      </w:r>
    </w:p>
    <w:p w14:paraId="61F6B76C" w14:textId="728ADFC8" w:rsidR="00A40033" w:rsidRDefault="00A40033" w:rsidP="008D7231">
      <w:pPr>
        <w:spacing w:line="240" w:lineRule="auto"/>
      </w:pPr>
    </w:p>
    <w:p w14:paraId="3B9A1697" w14:textId="10BADE88" w:rsidR="00697881" w:rsidRPr="006B42D6" w:rsidRDefault="00165B5B" w:rsidP="005C2EFC">
      <w:r w:rsidRPr="006B42D6">
        <w:rPr>
          <w:noProof/>
        </w:rPr>
        <mc:AlternateContent>
          <mc:Choice Requires="wps">
            <w:drawing>
              <wp:anchor distT="0" distB="0" distL="114300" distR="114300" simplePos="0" relativeHeight="251638784" behindDoc="1" locked="0" layoutInCell="1" allowOverlap="1" wp14:anchorId="56B10DE6" wp14:editId="36935B5E">
                <wp:simplePos x="0" y="0"/>
                <wp:positionH relativeFrom="column">
                  <wp:posOffset>2764155</wp:posOffset>
                </wp:positionH>
                <wp:positionV relativeFrom="paragraph">
                  <wp:posOffset>6985</wp:posOffset>
                </wp:positionV>
                <wp:extent cx="3127375" cy="467360"/>
                <wp:effectExtent l="0" t="0" r="0" b="2540"/>
                <wp:wrapTight wrapText="bothSides">
                  <wp:wrapPolygon edited="0">
                    <wp:start x="0" y="0"/>
                    <wp:lineTo x="0" y="21130"/>
                    <wp:lineTo x="21490" y="21130"/>
                    <wp:lineTo x="21490" y="0"/>
                    <wp:lineTo x="0" y="0"/>
                  </wp:wrapPolygon>
                </wp:wrapTight>
                <wp:docPr id="467" name="Text Box 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27375" cy="467360"/>
                        </a:xfrm>
                        <a:prstGeom prst="rect">
                          <a:avLst/>
                        </a:prstGeom>
                        <a:solidFill>
                          <a:prstClr val="white"/>
                        </a:solidFill>
                        <a:ln>
                          <a:noFill/>
                        </a:ln>
                      </wps:spPr>
                      <wps:txbx>
                        <w:txbxContent>
                          <w:p w14:paraId="28D72ED9" w14:textId="266890EE" w:rsidR="00933456" w:rsidRPr="000B39D5" w:rsidRDefault="00933456" w:rsidP="001D5FDD">
                            <w:pPr>
                              <w:pStyle w:val="Caption"/>
                              <w:rPr>
                                <w:noProof/>
                              </w:rPr>
                            </w:pPr>
                            <w:bookmarkStart w:id="467" w:name="_Toc80120278"/>
                            <w:bookmarkStart w:id="468" w:name="_Toc80884154"/>
                            <w:bookmarkStart w:id="469" w:name="_Toc80884525"/>
                            <w:bookmarkStart w:id="470" w:name="_Toc82386378"/>
                            <w:r>
                              <w:t>Figure 4.7:</w:t>
                            </w:r>
                            <w:r>
                              <w:tab/>
                            </w:r>
                            <w:r w:rsidRPr="001D5FDD">
                              <w:t>Number of Improved Cattle by Type and Region</w:t>
                            </w:r>
                            <w:r>
                              <w:t xml:space="preserve"> as of 1</w:t>
                            </w:r>
                            <w:r w:rsidRPr="001D5FDD">
                              <w:rPr>
                                <w:vertAlign w:val="superscript"/>
                              </w:rPr>
                              <w:t>st</w:t>
                            </w:r>
                            <w:r>
                              <w:t xml:space="preserve"> August 2020, Mainland Tanzania</w:t>
                            </w:r>
                            <w:bookmarkEnd w:id="467"/>
                            <w:bookmarkEnd w:id="468"/>
                            <w:bookmarkEnd w:id="469"/>
                            <w:bookmarkEnd w:id="47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6B10DE6" id="Text Box 549" o:spid="_x0000_s1075" type="#_x0000_t202" style="position:absolute;left:0;text-align:left;margin-left:217.65pt;margin-top:.55pt;width:246.25pt;height:36.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" stroked="f">
                <v:textbox inset="0,0,0,0">
                  <w:txbxContent>
                    <w:p w14:paraId="28D72ED9" w14:textId="266890EE" w:rsidR="00933456" w:rsidRPr="000B39D5" w:rsidRDefault="00933456" w:rsidP="001D5FDD">
                      <w:pPr>
                        <w:pStyle w:val="Caption"/>
                        <w:rPr>
                          <w:noProof/>
                        </w:rPr>
                      </w:pPr>
                      <w:bookmarkStart w:id="641" w:name="_Toc80120278"/>
                      <w:bookmarkStart w:id="642" w:name="_Toc80884154"/>
                      <w:bookmarkStart w:id="643" w:name="_Toc80884525"/>
                      <w:bookmarkStart w:id="644" w:name="_Toc82386378"/>
                      <w:r>
                        <w:t>Figure 4.7:</w:t>
                      </w:r>
                      <w:r>
                        <w:tab/>
                      </w:r>
                      <w:r w:rsidRPr="001D5FDD">
                        <w:t>Number of Improved Cattle by Type and Region</w:t>
                      </w:r>
                      <w:r>
                        <w:t xml:space="preserve"> as of 1</w:t>
                      </w:r>
                      <w:r w:rsidRPr="001D5FDD">
                        <w:rPr>
                          <w:vertAlign w:val="superscript"/>
                        </w:rPr>
                        <w:t>st</w:t>
                      </w:r>
                      <w:r>
                        <w:t xml:space="preserve"> August 2020, Mainland Tanzania</w:t>
                      </w:r>
                      <w:bookmarkEnd w:id="641"/>
                      <w:bookmarkEnd w:id="642"/>
                      <w:bookmarkEnd w:id="643"/>
                      <w:bookmarkEnd w:id="644"/>
                    </w:p>
                  </w:txbxContent>
                </v:textbox>
                <w10:wrap type="tight"/>
              </v:shape>
            </w:pict>
          </mc:Fallback>
        </mc:AlternateContent>
      </w:r>
      <w:r w:rsidR="00010865" w:rsidRPr="006B42D6">
        <w:rPr>
          <w:noProof/>
        </w:rPr>
        <w:drawing>
          <wp:anchor distT="0" distB="3048" distL="114300" distR="119634" simplePos="0" relativeHeight="251637760" behindDoc="1" locked="0" layoutInCell="1" allowOverlap="1" wp14:anchorId="6506DE70" wp14:editId="4E24F386">
            <wp:simplePos x="0" y="0"/>
            <wp:positionH relativeFrom="margin">
              <wp:posOffset>2764155</wp:posOffset>
            </wp:positionH>
            <wp:positionV relativeFrom="page">
              <wp:posOffset>4743609</wp:posOffset>
            </wp:positionV>
            <wp:extent cx="3127375" cy="1814195"/>
            <wp:effectExtent l="0" t="0" r="9525" b="14605"/>
            <wp:wrapTight wrapText="bothSides">
              <wp:wrapPolygon edited="0">
                <wp:start x="0" y="0"/>
                <wp:lineTo x="0" y="21623"/>
                <wp:lineTo x="21578" y="21623"/>
                <wp:lineTo x="21578" y="0"/>
                <wp:lineTo x="0" y="0"/>
              </wp:wrapPolygon>
            </wp:wrapTight>
            <wp:docPr id="466" name="Chart 53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4"/>
              </a:graphicData>
            </a:graphic>
            <wp14:sizeRelH relativeFrom="page">
              <wp14:pctWidth>0</wp14:pctWidth>
            </wp14:sizeRelH>
            <wp14:sizeRelV relativeFrom="page">
              <wp14:pctHeight>0</wp14:pctHeight>
            </wp14:sizeRelV>
          </wp:anchor>
        </w:drawing>
      </w:r>
      <w:r w:rsidR="00697881" w:rsidRPr="006B42D6">
        <w:t xml:space="preserve">In </w:t>
      </w:r>
      <w:r w:rsidR="00EA1552">
        <w:t>Mainland Tanzania</w:t>
      </w:r>
      <w:r w:rsidR="00697881" w:rsidRPr="006B42D6">
        <w:t xml:space="preserve">, Tanga region </w:t>
      </w:r>
      <w:r w:rsidR="004326B5" w:rsidRPr="006B42D6">
        <w:t>had</w:t>
      </w:r>
      <w:r w:rsidR="00697881" w:rsidRPr="006B42D6">
        <w:t xml:space="preserve"> the highest number of the improved cattle</w:t>
      </w:r>
      <w:r w:rsidR="00697881" w:rsidRPr="006B42D6">
        <w:rPr>
          <w:lang w:eastAsia="en-GB"/>
        </w:rPr>
        <w:t xml:space="preserve"> 154,252 </w:t>
      </w:r>
      <w:r w:rsidR="00697881" w:rsidRPr="006B42D6">
        <w:t>(13.6 percent) followed by Arusha</w:t>
      </w:r>
      <w:r w:rsidR="00697881" w:rsidRPr="006B42D6">
        <w:rPr>
          <w:lang w:eastAsia="en-GB"/>
        </w:rPr>
        <w:t xml:space="preserve"> (146,566 heads; </w:t>
      </w:r>
      <w:r w:rsidR="00697881" w:rsidRPr="006B42D6">
        <w:t>12.9 percent) and Manyara</w:t>
      </w:r>
      <w:r w:rsidR="00697881" w:rsidRPr="006B42D6">
        <w:rPr>
          <w:lang w:eastAsia="en-GB"/>
        </w:rPr>
        <w:t xml:space="preserve"> (130,117 heads; </w:t>
      </w:r>
      <w:r w:rsidR="00697881" w:rsidRPr="006B42D6">
        <w:t xml:space="preserve">11.5 percent) while in Geita region there was no improved cattle recorded. The average number of improved cattle per household in </w:t>
      </w:r>
      <w:r w:rsidR="00EA1552">
        <w:t>Mainland Tanzania</w:t>
      </w:r>
      <w:r w:rsidR="00697881" w:rsidRPr="006B42D6">
        <w:t xml:space="preserve"> was four (4) heads</w:t>
      </w:r>
      <w:r w:rsidR="00E21D2B" w:rsidRPr="006B42D6">
        <w:t xml:space="preserve"> (Figure 4.</w:t>
      </w:r>
      <w:r w:rsidR="004326B5" w:rsidRPr="006B42D6">
        <w:t>7</w:t>
      </w:r>
      <w:r w:rsidR="00E21D2B" w:rsidRPr="006B42D6">
        <w:t>)</w:t>
      </w:r>
      <w:r w:rsidR="00697881" w:rsidRPr="006B42D6">
        <w:t xml:space="preserve">. </w:t>
      </w:r>
    </w:p>
    <w:p w14:paraId="21617673" w14:textId="20509D0C" w:rsidR="00697881" w:rsidRPr="006B42D6" w:rsidRDefault="00165B5B" w:rsidP="00165B5B">
      <w:pPr>
        <w:spacing w:line="240" w:lineRule="auto"/>
      </w:pPr>
      <w:r w:rsidRPr="006B42D6">
        <w:rPr>
          <w:noProof/>
        </w:rPr>
        <mc:AlternateContent>
          <mc:Choice Requires="wps">
            <w:drawing>
              <wp:anchor distT="0" distB="0" distL="114300" distR="114300" simplePos="0" relativeHeight="251640832" behindDoc="1" locked="0" layoutInCell="1" allowOverlap="1" wp14:anchorId="385656D4" wp14:editId="7A9F355E">
                <wp:simplePos x="0" y="0"/>
                <wp:positionH relativeFrom="column">
                  <wp:posOffset>2800509</wp:posOffset>
                </wp:positionH>
                <wp:positionV relativeFrom="paragraph">
                  <wp:posOffset>160020</wp:posOffset>
                </wp:positionV>
                <wp:extent cx="3145155" cy="614680"/>
                <wp:effectExtent l="0" t="0" r="4445" b="0"/>
                <wp:wrapTight wrapText="bothSides">
                  <wp:wrapPolygon edited="0">
                    <wp:start x="0" y="0"/>
                    <wp:lineTo x="0" y="20975"/>
                    <wp:lineTo x="21543" y="20975"/>
                    <wp:lineTo x="21543" y="0"/>
                    <wp:lineTo x="0" y="0"/>
                  </wp:wrapPolygon>
                </wp:wrapTight>
                <wp:docPr id="465" name="Text Box 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45155" cy="614680"/>
                        </a:xfrm>
                        <a:prstGeom prst="rect">
                          <a:avLst/>
                        </a:prstGeom>
                        <a:solidFill>
                          <a:prstClr val="white"/>
                        </a:solidFill>
                        <a:ln>
                          <a:noFill/>
                        </a:ln>
                      </wps:spPr>
                      <wps:txbx>
                        <w:txbxContent>
                          <w:p w14:paraId="7DCD80BD" w14:textId="1B2A7A4D" w:rsidR="00933456" w:rsidRPr="00E16CAE" w:rsidRDefault="00933456" w:rsidP="001D5FDD">
                            <w:pPr>
                              <w:pStyle w:val="Caption"/>
                              <w:rPr>
                                <w:b w:val="0"/>
                                <w:i/>
                                <w:noProof/>
                              </w:rPr>
                            </w:pPr>
                            <w:bookmarkStart w:id="471" w:name="_Toc80120279"/>
                            <w:bookmarkStart w:id="472" w:name="_Toc80884155"/>
                            <w:bookmarkStart w:id="473" w:name="_Toc80884526"/>
                            <w:bookmarkStart w:id="474" w:name="_Toc82386379"/>
                            <w:r w:rsidRPr="00E16CAE">
                              <w:t>Figure 4.8:</w:t>
                            </w:r>
                            <w:r>
                              <w:tab/>
                            </w:r>
                            <w:r w:rsidRPr="00E16CAE">
                              <w:t>Number of Improved Cattle and Average Number per Household by Region During 2019/20 Agricultural Year, Zanzibar</w:t>
                            </w:r>
                            <w:bookmarkEnd w:id="471"/>
                            <w:bookmarkEnd w:id="472"/>
                            <w:bookmarkEnd w:id="473"/>
                            <w:bookmarkEnd w:id="474"/>
                          </w:p>
                          <w:p w14:paraId="38E8C695" w14:textId="5A7962BB" w:rsidR="00933456" w:rsidRPr="00E16CAE" w:rsidRDefault="00933456" w:rsidP="001D5FDD">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5656D4" id="Text Box 563" o:spid="_x0000_s1076" type="#_x0000_t202" style="position:absolute;left:0;text-align:left;margin-left:220.5pt;margin-top:12.6pt;width:247.65pt;height:48.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" stroked="f">
                <v:textbox inset="0,0,0,0">
                  <w:txbxContent>
                    <w:p w14:paraId="7DCD80BD" w14:textId="1B2A7A4D" w:rsidR="00933456" w:rsidRPr="00E16CAE" w:rsidRDefault="00933456" w:rsidP="001D5FDD">
                      <w:pPr>
                        <w:pStyle w:val="Caption"/>
                        <w:rPr>
                          <w:b w:val="0"/>
                          <w:i/>
                          <w:noProof/>
                        </w:rPr>
                      </w:pPr>
                      <w:bookmarkStart w:id="649" w:name="_Toc80120279"/>
                      <w:bookmarkStart w:id="650" w:name="_Toc80884155"/>
                      <w:bookmarkStart w:id="651" w:name="_Toc80884526"/>
                      <w:bookmarkStart w:id="652" w:name="_Toc82386379"/>
                      <w:r w:rsidRPr="00E16CAE">
                        <w:t>Figure 4.8:</w:t>
                      </w:r>
                      <w:r>
                        <w:tab/>
                      </w:r>
                      <w:r w:rsidRPr="00E16CAE">
                        <w:t>Number of Improved Cattle and Average Number per Household by Region During 2019/20 Agricultural Year, Zanzibar</w:t>
                      </w:r>
                      <w:bookmarkEnd w:id="649"/>
                      <w:bookmarkEnd w:id="650"/>
                      <w:bookmarkEnd w:id="651"/>
                      <w:bookmarkEnd w:id="652"/>
                    </w:p>
                    <w:p w14:paraId="38E8C695" w14:textId="5A7962BB" w:rsidR="00933456" w:rsidRPr="00E16CAE" w:rsidRDefault="00933456" w:rsidP="001D5FDD">
                      <w:pPr>
                        <w:pStyle w:val="Caption"/>
                        <w:rPr>
                          <w:noProof/>
                        </w:rPr>
                      </w:pPr>
                    </w:p>
                  </w:txbxContent>
                </v:textbox>
                <w10:wrap type="tight"/>
              </v:shape>
            </w:pict>
          </mc:Fallback>
        </mc:AlternateContent>
      </w:r>
    </w:p>
    <w:p w14:paraId="2AE8E869" w14:textId="4428D957" w:rsidR="00165B5B" w:rsidRDefault="008D7231" w:rsidP="00165B5B">
      <w:r w:rsidRPr="006B42D6">
        <w:rPr>
          <w:noProof/>
        </w:rPr>
        <w:drawing>
          <wp:anchor distT="6096" distB="3429" distL="120396" distR="117856" simplePos="0" relativeHeight="251639808" behindDoc="1" locked="0" layoutInCell="1" allowOverlap="1" wp14:anchorId="30AF6251" wp14:editId="48CF413F">
            <wp:simplePos x="0" y="0"/>
            <wp:positionH relativeFrom="column">
              <wp:posOffset>2764155</wp:posOffset>
            </wp:positionH>
            <wp:positionV relativeFrom="paragraph">
              <wp:posOffset>639445</wp:posOffset>
            </wp:positionV>
            <wp:extent cx="3084195" cy="2014220"/>
            <wp:effectExtent l="0" t="0" r="14605" b="17780"/>
            <wp:wrapTight wrapText="bothSides">
              <wp:wrapPolygon edited="0">
                <wp:start x="0" y="0"/>
                <wp:lineTo x="0" y="21654"/>
                <wp:lineTo x="21613" y="21654"/>
                <wp:lineTo x="21613" y="0"/>
                <wp:lineTo x="0" y="0"/>
              </wp:wrapPolygon>
            </wp:wrapTight>
            <wp:docPr id="464" name="Chart 55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5"/>
              </a:graphicData>
            </a:graphic>
            <wp14:sizeRelH relativeFrom="page">
              <wp14:pctWidth>0</wp14:pctWidth>
            </wp14:sizeRelH>
            <wp14:sizeRelV relativeFrom="page">
              <wp14:pctHeight>0</wp14:pctHeight>
            </wp14:sizeRelV>
          </wp:anchor>
        </w:drawing>
      </w:r>
      <w:r w:rsidR="00697881" w:rsidRPr="006B42D6">
        <w:t xml:space="preserve">For the case of </w:t>
      </w:r>
      <w:r w:rsidR="00255E17" w:rsidRPr="006B42D6">
        <w:t xml:space="preserve">Tanzania </w:t>
      </w:r>
      <w:r w:rsidR="00697881" w:rsidRPr="006B42D6">
        <w:t>Zanzibar, Mjini Magharibi had the highest number of improved cattle</w:t>
      </w:r>
      <w:r w:rsidR="00697881" w:rsidRPr="006B42D6">
        <w:rPr>
          <w:lang w:eastAsia="en-GB"/>
        </w:rPr>
        <w:t xml:space="preserve"> 13,879 (44.8 </w:t>
      </w:r>
      <w:r w:rsidR="00697881" w:rsidRPr="006B42D6">
        <w:t>percent</w:t>
      </w:r>
      <w:r w:rsidR="00697881" w:rsidRPr="006B42D6">
        <w:rPr>
          <w:lang w:eastAsia="en-GB"/>
        </w:rPr>
        <w:t xml:space="preserve">), followed by Kusini Pemba (7,776 heads; 25.1 </w:t>
      </w:r>
      <w:r w:rsidR="00697881" w:rsidRPr="006B42D6">
        <w:t>percent</w:t>
      </w:r>
      <w:r w:rsidR="00697881" w:rsidRPr="006B42D6">
        <w:rPr>
          <w:lang w:eastAsia="en-GB"/>
        </w:rPr>
        <w:t xml:space="preserve">) whereas Kaskazini Unguja had the lowest number of improved cattle (1,392 heads; 4.5 </w:t>
      </w:r>
      <w:r w:rsidR="00697881" w:rsidRPr="006B42D6">
        <w:t>percent</w:t>
      </w:r>
      <w:r w:rsidR="00697881" w:rsidRPr="006B42D6">
        <w:rPr>
          <w:lang w:eastAsia="en-GB"/>
        </w:rPr>
        <w:t xml:space="preserve">). </w:t>
      </w:r>
      <w:r w:rsidR="00697881" w:rsidRPr="006B42D6">
        <w:t xml:space="preserve">The average number of improved cattle per household in </w:t>
      </w:r>
      <w:r w:rsidR="00255E17" w:rsidRPr="006B42D6">
        <w:t xml:space="preserve">Tanzania </w:t>
      </w:r>
      <w:r w:rsidR="00697881" w:rsidRPr="006B42D6">
        <w:t>Zanzibar was five heads</w:t>
      </w:r>
      <w:r w:rsidR="00E21D2B" w:rsidRPr="006B42D6">
        <w:t xml:space="preserve"> (Figure 4.</w:t>
      </w:r>
      <w:r w:rsidR="0004353B" w:rsidRPr="006B42D6">
        <w:t>8</w:t>
      </w:r>
      <w:r w:rsidR="00E21D2B" w:rsidRPr="006B42D6">
        <w:t>)</w:t>
      </w:r>
      <w:r w:rsidR="00697881" w:rsidRPr="006B42D6">
        <w:t>.</w:t>
      </w:r>
      <w:r w:rsidR="00165B5B">
        <w:br w:type="page"/>
      </w:r>
    </w:p>
    <w:p w14:paraId="132440FF" w14:textId="45874894" w:rsidR="00697881" w:rsidRPr="006B42D6" w:rsidRDefault="00697881" w:rsidP="005C2EFC">
      <w:pPr>
        <w:pStyle w:val="Heading3"/>
        <w:rPr>
          <w:rFonts w:cs="Calibri"/>
          <w:lang w:eastAsia="en-GB"/>
        </w:rPr>
      </w:pPr>
      <w:bookmarkStart w:id="475" w:name="_Toc82385736"/>
      <w:r w:rsidRPr="006B42D6">
        <w:lastRenderedPageBreak/>
        <w:t>4.</w:t>
      </w:r>
      <w:r w:rsidR="00C4159B">
        <w:t>1</w:t>
      </w:r>
      <w:r w:rsidRPr="006B42D6">
        <w:t>.2</w:t>
      </w:r>
      <w:r w:rsidR="0000655E" w:rsidRPr="006B42D6">
        <w:tab/>
      </w:r>
      <w:r w:rsidRPr="006B42D6">
        <w:t>Goat Population</w:t>
      </w:r>
      <w:bookmarkEnd w:id="475"/>
    </w:p>
    <w:p w14:paraId="70DE38F2" w14:textId="264400EA" w:rsidR="00697881" w:rsidRPr="006B42D6" w:rsidRDefault="00697881" w:rsidP="00A40033">
      <w:r w:rsidRPr="006B42D6">
        <w:t>The 2019/20 agricultural census results show that</w:t>
      </w:r>
      <w:r w:rsidR="00C44B49" w:rsidRPr="006B42D6">
        <w:t>,</w:t>
      </w:r>
      <w:r w:rsidRPr="006B42D6">
        <w:t xml:space="preserve"> </w:t>
      </w:r>
      <w:r w:rsidR="00221173" w:rsidRPr="006B42D6">
        <w:t xml:space="preserve">during 2019/20 agricultural year, </w:t>
      </w:r>
      <w:r w:rsidRPr="006B42D6">
        <w:t xml:space="preserve">the number of households in Tanzania engaged in goat </w:t>
      </w:r>
      <w:r w:rsidR="00C44B49" w:rsidRPr="006B42D6">
        <w:t>rearing</w:t>
      </w:r>
      <w:r w:rsidRPr="006B42D6">
        <w:t xml:space="preserve"> was </w:t>
      </w:r>
      <w:r w:rsidRPr="006B42D6">
        <w:rPr>
          <w:bCs/>
          <w:lang w:eastAsia="en-GB"/>
        </w:rPr>
        <w:t>1,8</w:t>
      </w:r>
      <w:r w:rsidR="001300D0" w:rsidRPr="006B42D6">
        <w:rPr>
          <w:bCs/>
          <w:lang w:eastAsia="en-GB"/>
        </w:rPr>
        <w:t>15</w:t>
      </w:r>
      <w:r w:rsidRPr="006B42D6">
        <w:rPr>
          <w:bCs/>
          <w:lang w:eastAsia="en-GB"/>
        </w:rPr>
        <w:t>,</w:t>
      </w:r>
      <w:r w:rsidR="001300D0" w:rsidRPr="006B42D6">
        <w:rPr>
          <w:bCs/>
          <w:lang w:eastAsia="en-GB"/>
        </w:rPr>
        <w:t>219</w:t>
      </w:r>
      <w:r w:rsidR="00625A4C" w:rsidRPr="006B42D6">
        <w:rPr>
          <w:bCs/>
          <w:lang w:eastAsia="en-GB"/>
        </w:rPr>
        <w:t>,</w:t>
      </w:r>
      <w:r w:rsidRPr="006B42D6">
        <w:rPr>
          <w:bCs/>
          <w:lang w:eastAsia="en-GB"/>
        </w:rPr>
        <w:t xml:space="preserve"> </w:t>
      </w:r>
      <w:r w:rsidR="00AA1096" w:rsidRPr="006B42D6">
        <w:rPr>
          <w:bCs/>
          <w:lang w:eastAsia="en-GB"/>
        </w:rPr>
        <w:t xml:space="preserve">out </w:t>
      </w:r>
      <w:r w:rsidRPr="006B42D6">
        <w:t>of which</w:t>
      </w:r>
      <w:r w:rsidR="00C44B49" w:rsidRPr="006B42D6">
        <w:t>,</w:t>
      </w:r>
      <w:r w:rsidRPr="006B42D6">
        <w:t xml:space="preserve"> </w:t>
      </w:r>
      <w:r w:rsidRPr="006B42D6">
        <w:rPr>
          <w:bCs/>
          <w:lang w:eastAsia="en-GB"/>
        </w:rPr>
        <w:t>1,</w:t>
      </w:r>
      <w:r w:rsidR="001300D0" w:rsidRPr="006B42D6">
        <w:rPr>
          <w:bCs/>
          <w:lang w:eastAsia="en-GB"/>
        </w:rPr>
        <w:t>796</w:t>
      </w:r>
      <w:r w:rsidRPr="006B42D6">
        <w:rPr>
          <w:bCs/>
          <w:lang w:eastAsia="en-GB"/>
        </w:rPr>
        <w:t>,</w:t>
      </w:r>
      <w:r w:rsidR="001300D0" w:rsidRPr="006B42D6">
        <w:rPr>
          <w:bCs/>
          <w:lang w:eastAsia="en-GB"/>
        </w:rPr>
        <w:t>739</w:t>
      </w:r>
      <w:r w:rsidRPr="006B42D6">
        <w:rPr>
          <w:bCs/>
          <w:lang w:eastAsia="en-GB"/>
        </w:rPr>
        <w:t xml:space="preserve"> </w:t>
      </w:r>
      <w:r w:rsidRPr="006B42D6">
        <w:t xml:space="preserve">households were in </w:t>
      </w:r>
      <w:r w:rsidR="00EA1552">
        <w:t>Mainland Tanzania</w:t>
      </w:r>
      <w:r w:rsidRPr="006B42D6">
        <w:t xml:space="preserve"> and 18,48</w:t>
      </w:r>
      <w:r w:rsidR="001300D0" w:rsidRPr="006B42D6">
        <w:t>0</w:t>
      </w:r>
      <w:r w:rsidRPr="006B42D6">
        <w:t xml:space="preserve"> in </w:t>
      </w:r>
      <w:r w:rsidR="00625A4C" w:rsidRPr="006B42D6">
        <w:t xml:space="preserve">Tanzania </w:t>
      </w:r>
      <w:r w:rsidRPr="006B42D6">
        <w:t xml:space="preserve">Zanzibar. The total number of goats </w:t>
      </w:r>
      <w:r w:rsidR="00625A4C" w:rsidRPr="006B42D6">
        <w:t>reared</w:t>
      </w:r>
      <w:r w:rsidRPr="006B42D6">
        <w:t xml:space="preserve"> in Tanzania was 24,568,39</w:t>
      </w:r>
      <w:r w:rsidR="008C5197" w:rsidRPr="006B42D6">
        <w:t>6</w:t>
      </w:r>
      <w:r w:rsidRPr="006B42D6">
        <w:rPr>
          <w:bCs/>
          <w:lang w:eastAsia="en-GB"/>
        </w:rPr>
        <w:t xml:space="preserve"> whereby 24,534,5</w:t>
      </w:r>
      <w:r w:rsidR="008C5197" w:rsidRPr="006B42D6">
        <w:rPr>
          <w:bCs/>
          <w:lang w:eastAsia="en-GB"/>
        </w:rPr>
        <w:t>49</w:t>
      </w:r>
      <w:r w:rsidRPr="006B42D6">
        <w:rPr>
          <w:bCs/>
          <w:lang w:eastAsia="en-GB"/>
        </w:rPr>
        <w:t xml:space="preserve"> (99.9 pe</w:t>
      </w:r>
      <w:r w:rsidR="00625A4C" w:rsidRPr="006B42D6">
        <w:rPr>
          <w:bCs/>
          <w:lang w:eastAsia="en-GB"/>
        </w:rPr>
        <w:t>rcent) from smallholder farmers</w:t>
      </w:r>
      <w:r w:rsidRPr="006B42D6">
        <w:rPr>
          <w:bCs/>
          <w:lang w:eastAsia="en-GB"/>
        </w:rPr>
        <w:t xml:space="preserve"> and</w:t>
      </w:r>
      <w:r w:rsidRPr="006B42D6">
        <w:t xml:space="preserve"> 33,847 goats</w:t>
      </w:r>
      <w:r w:rsidR="00625A4C" w:rsidRPr="006B42D6">
        <w:t xml:space="preserve"> (0.1 percent)</w:t>
      </w:r>
      <w:r w:rsidRPr="006B42D6">
        <w:t xml:space="preserve"> were </w:t>
      </w:r>
      <w:r w:rsidR="00625A4C" w:rsidRPr="006B42D6">
        <w:t>rear</w:t>
      </w:r>
      <w:r w:rsidR="00C44B49" w:rsidRPr="006B42D6">
        <w:t>ed</w:t>
      </w:r>
      <w:r w:rsidRPr="006B42D6">
        <w:t xml:space="preserve"> in large scale farms. </w:t>
      </w:r>
      <w:r w:rsidR="007443B3" w:rsidRPr="006B42D6">
        <w:t>S</w:t>
      </w:r>
      <w:r w:rsidRPr="006B42D6">
        <w:t>mallholder</w:t>
      </w:r>
      <w:r w:rsidR="007443B3" w:rsidRPr="006B42D6">
        <w:t xml:space="preserve"> farmers</w:t>
      </w:r>
      <w:r w:rsidRPr="006B42D6">
        <w:t xml:space="preserve"> in </w:t>
      </w:r>
      <w:r w:rsidR="00EA1552">
        <w:t>Mainland Tanzania</w:t>
      </w:r>
      <w:r w:rsidRPr="006B42D6">
        <w:t xml:space="preserve"> </w:t>
      </w:r>
      <w:r w:rsidR="00625A4C" w:rsidRPr="006B42D6">
        <w:t>reared</w:t>
      </w:r>
      <w:r w:rsidRPr="006B42D6">
        <w:t xml:space="preserve"> </w:t>
      </w:r>
      <w:r w:rsidRPr="006B42D6">
        <w:rPr>
          <w:bCs/>
          <w:lang w:eastAsia="en-GB"/>
        </w:rPr>
        <w:t>24,423,12</w:t>
      </w:r>
      <w:r w:rsidR="008C5197" w:rsidRPr="006B42D6">
        <w:rPr>
          <w:bCs/>
          <w:lang w:eastAsia="en-GB"/>
        </w:rPr>
        <w:t>0</w:t>
      </w:r>
      <w:r w:rsidRPr="006B42D6">
        <w:rPr>
          <w:bCs/>
          <w:lang w:eastAsia="en-GB"/>
        </w:rPr>
        <w:t xml:space="preserve"> goats </w:t>
      </w:r>
      <w:r w:rsidRPr="006B42D6">
        <w:t xml:space="preserve">and </w:t>
      </w:r>
      <w:r w:rsidR="007443B3" w:rsidRPr="006B42D6">
        <w:rPr>
          <w:bCs/>
          <w:lang w:eastAsia="en-GB"/>
        </w:rPr>
        <w:t xml:space="preserve">111,429 goats </w:t>
      </w:r>
      <w:r w:rsidRPr="006B42D6">
        <w:rPr>
          <w:bCs/>
          <w:lang w:eastAsia="en-GB"/>
        </w:rPr>
        <w:t>in</w:t>
      </w:r>
      <w:r w:rsidRPr="006B42D6">
        <w:t xml:space="preserve"> </w:t>
      </w:r>
      <w:r w:rsidR="000C4795" w:rsidRPr="006B42D6">
        <w:t xml:space="preserve">Tanzania </w:t>
      </w:r>
      <w:r w:rsidRPr="006B42D6">
        <w:t>Zanzibar</w:t>
      </w:r>
      <w:r w:rsidR="008C5197" w:rsidRPr="006B42D6">
        <w:rPr>
          <w:bCs/>
          <w:lang w:eastAsia="en-GB"/>
        </w:rPr>
        <w:t xml:space="preserve">. </w:t>
      </w:r>
      <w:r w:rsidRPr="006B42D6">
        <w:t xml:space="preserve">Most of the households 759,300 (42 percent) </w:t>
      </w:r>
      <w:r w:rsidR="00625A4C" w:rsidRPr="006B42D6">
        <w:t>reared</w:t>
      </w:r>
      <w:r w:rsidRPr="006B42D6">
        <w:t xml:space="preserve"> 1 to 4 heads, while 60,931 households</w:t>
      </w:r>
      <w:r w:rsidR="00625A4C" w:rsidRPr="006B42D6">
        <w:t xml:space="preserve"> (3.4 percent) reared</w:t>
      </w:r>
      <w:r w:rsidRPr="006B42D6">
        <w:t xml:space="preserve"> more than 40 goats</w:t>
      </w:r>
      <w:r w:rsidR="00A50959" w:rsidRPr="006B42D6">
        <w:t>,</w:t>
      </w:r>
      <w:r w:rsidR="007443B3" w:rsidRPr="006B42D6">
        <w:t xml:space="preserve"> </w:t>
      </w:r>
      <w:r w:rsidR="00A50959" w:rsidRPr="006B42D6">
        <w:t>representing</w:t>
      </w:r>
      <w:r w:rsidRPr="006B42D6">
        <w:t xml:space="preserve"> 22 percent of the</w:t>
      </w:r>
      <w:r w:rsidR="00A50959" w:rsidRPr="006B42D6">
        <w:t xml:space="preserve"> total</w:t>
      </w:r>
      <w:r w:rsidRPr="006B42D6">
        <w:t xml:space="preserve"> goat population</w:t>
      </w:r>
      <w:r w:rsidR="004A5BC1" w:rsidRPr="006B42D6">
        <w:t>.</w:t>
      </w:r>
      <w:r w:rsidRPr="006B42D6">
        <w:t xml:space="preserve"> </w:t>
      </w:r>
    </w:p>
    <w:p w14:paraId="4F691878" w14:textId="005F2354" w:rsidR="007443B3" w:rsidRPr="006B42D6" w:rsidRDefault="007443B3" w:rsidP="00165602">
      <w:pPr>
        <w:spacing w:line="240" w:lineRule="auto"/>
      </w:pPr>
    </w:p>
    <w:p w14:paraId="11309471" w14:textId="71F8397E" w:rsidR="004A5BC1" w:rsidRDefault="004A5BC1" w:rsidP="00A40033">
      <w:r w:rsidRPr="006B42D6">
        <w:t xml:space="preserve">Regions with highest number of goats from smallholder farmers in </w:t>
      </w:r>
      <w:r w:rsidR="00EA1552">
        <w:t>Mainland Tanzania</w:t>
      </w:r>
      <w:r w:rsidRPr="006B42D6">
        <w:t xml:space="preserve"> were Manyara region with</w:t>
      </w:r>
      <w:r w:rsidRPr="006B42D6">
        <w:rPr>
          <w:lang w:val="en-GB" w:eastAsia="en-GB"/>
        </w:rPr>
        <w:t xml:space="preserve"> 2,380,072 </w:t>
      </w:r>
      <w:r w:rsidRPr="006B42D6">
        <w:t xml:space="preserve">heads (9.7 percent), followed by Dodoma </w:t>
      </w:r>
      <w:r w:rsidRPr="006B42D6">
        <w:rPr>
          <w:lang w:eastAsia="en-GB"/>
        </w:rPr>
        <w:t>1,663,483 heads</w:t>
      </w:r>
      <w:r w:rsidRPr="006B42D6">
        <w:t xml:space="preserve"> (6.8 percent) and Arusha </w:t>
      </w:r>
      <w:r w:rsidRPr="006B42D6">
        <w:rPr>
          <w:lang w:eastAsia="en-GB"/>
        </w:rPr>
        <w:t>1,597,787 heads</w:t>
      </w:r>
      <w:r w:rsidRPr="006B42D6">
        <w:t xml:space="preserve"> (6.5 percent)</w:t>
      </w:r>
      <w:r w:rsidR="00054812" w:rsidRPr="006B42D6">
        <w:t>,</w:t>
      </w:r>
      <w:r w:rsidRPr="006B42D6">
        <w:t xml:space="preserve"> while Dar es Salaam with </w:t>
      </w:r>
      <w:r w:rsidRPr="006B42D6">
        <w:rPr>
          <w:lang w:eastAsia="en-GB"/>
        </w:rPr>
        <w:t>45,830 heads (0.2 percent)</w:t>
      </w:r>
      <w:r w:rsidRPr="006B42D6">
        <w:t xml:space="preserve"> had the </w:t>
      </w:r>
      <w:r w:rsidR="00054812" w:rsidRPr="006B42D6">
        <w:t xml:space="preserve">least </w:t>
      </w:r>
      <w:r w:rsidRPr="006B42D6">
        <w:t xml:space="preserve">number of goats raised. In Tanzania Zanzibar, Kusini Pemba region had the highest number of goats raised by smallholder farmers with </w:t>
      </w:r>
      <w:r w:rsidRPr="006B42D6">
        <w:rPr>
          <w:lang w:eastAsia="en-GB"/>
        </w:rPr>
        <w:t xml:space="preserve">39,716 </w:t>
      </w:r>
      <w:r w:rsidRPr="006B42D6">
        <w:t xml:space="preserve">heads (35.6 percent), followed by Kusini Unguja </w:t>
      </w:r>
      <w:r w:rsidR="00054812" w:rsidRPr="006B42D6">
        <w:t>(</w:t>
      </w:r>
      <w:r w:rsidRPr="006B42D6">
        <w:rPr>
          <w:lang w:eastAsia="en-GB"/>
        </w:rPr>
        <w:t>20,289 heads</w:t>
      </w:r>
      <w:r w:rsidR="00054812" w:rsidRPr="006B42D6">
        <w:rPr>
          <w:lang w:eastAsia="en-GB"/>
        </w:rPr>
        <w:t xml:space="preserve">; </w:t>
      </w:r>
      <w:r w:rsidRPr="006B42D6">
        <w:t>18.2 percent)</w:t>
      </w:r>
      <w:r w:rsidR="00054812" w:rsidRPr="006B42D6">
        <w:t xml:space="preserve">, </w:t>
      </w:r>
      <w:r w:rsidRPr="006B42D6">
        <w:t>while Mjini Magharibi had the lowest number of goats raised by smallho</w:t>
      </w:r>
      <w:r w:rsidR="00054812" w:rsidRPr="006B42D6">
        <w:t>l</w:t>
      </w:r>
      <w:r w:rsidRPr="006B42D6">
        <w:t xml:space="preserve">der farmers </w:t>
      </w:r>
      <w:r w:rsidR="00054812" w:rsidRPr="006B42D6">
        <w:t>(</w:t>
      </w:r>
      <w:r w:rsidRPr="006B42D6">
        <w:rPr>
          <w:lang w:eastAsia="en-GB"/>
        </w:rPr>
        <w:t>13,911 heads</w:t>
      </w:r>
      <w:r w:rsidR="00054812" w:rsidRPr="006B42D6">
        <w:rPr>
          <w:lang w:eastAsia="en-GB"/>
        </w:rPr>
        <w:t>;</w:t>
      </w:r>
      <w:r w:rsidRPr="006B42D6">
        <w:rPr>
          <w:lang w:eastAsia="en-GB"/>
        </w:rPr>
        <w:t xml:space="preserve"> </w:t>
      </w:r>
      <w:r w:rsidRPr="006B42D6">
        <w:t>12.5 percent) (</w:t>
      </w:r>
      <w:r w:rsidR="00054812" w:rsidRPr="006B42D6">
        <w:t>Map</w:t>
      </w:r>
      <w:r w:rsidRPr="006B42D6">
        <w:t xml:space="preserve"> 4.2). </w:t>
      </w:r>
    </w:p>
    <w:p w14:paraId="5AC28DE8" w14:textId="737B22BC" w:rsidR="00AB2D6D" w:rsidRDefault="00AB2D6D">
      <w:pPr>
        <w:spacing w:line="240" w:lineRule="auto"/>
        <w:contextualSpacing w:val="0"/>
        <w:jc w:val="left"/>
      </w:pPr>
      <w:r>
        <w:br w:type="page"/>
      </w:r>
    </w:p>
    <w:p w14:paraId="14BAFA5F" w14:textId="217CD5B4" w:rsidR="00054812" w:rsidRPr="00C4159B" w:rsidRDefault="00054812" w:rsidP="00C4159B">
      <w:pPr>
        <w:pStyle w:val="MapNew"/>
      </w:pPr>
      <w:bookmarkStart w:id="476" w:name="_Toc80902557"/>
      <w:bookmarkStart w:id="477" w:name="_Toc82386475"/>
      <w:r w:rsidRPr="00C4159B">
        <w:lastRenderedPageBreak/>
        <w:t>Map 4.2</w:t>
      </w:r>
      <w:r w:rsidR="0043353A">
        <w:t>:</w:t>
      </w:r>
      <w:r w:rsidR="00C4159B">
        <w:tab/>
      </w:r>
      <w:r w:rsidRPr="00C4159B">
        <w:t>Goat Population Reported by Smallholders by Region as of 1st August 2020, Tanzania</w:t>
      </w:r>
      <w:bookmarkEnd w:id="476"/>
      <w:bookmarkEnd w:id="477"/>
    </w:p>
    <w:p w14:paraId="11FF2796" w14:textId="16FE12D5" w:rsidR="00A016DE" w:rsidRPr="006B42D6" w:rsidRDefault="00F00389" w:rsidP="005C2EFC">
      <w:pPr>
        <w:rPr>
          <w:b/>
        </w:rPr>
      </w:pPr>
      <w:r>
        <w:rPr>
          <w:noProof/>
        </w:rPr>
        <w:drawing>
          <wp:inline distT="0" distB="0" distL="0" distR="0" wp14:anchorId="2C25415C" wp14:editId="266DE027">
            <wp:extent cx="5727700" cy="3953405"/>
            <wp:effectExtent l="0" t="0" r="0" b="0"/>
            <wp:docPr id="4375" name="Picture 4375"/>
            <wp:cNvGraphicFramePr/>
            <a:graphic xmlns:a="http://schemas.openxmlformats.org/drawingml/2006/main">
              <a:graphicData uri="http://schemas.openxmlformats.org/drawingml/2006/picture">
                <pic:pic xmlns:pic="http://schemas.openxmlformats.org/drawingml/2006/picture">
                  <pic:nvPicPr>
                    <pic:cNvPr id="4375" name="Picture 4375"/>
                    <pic:cNvPicPr/>
                  </pic:nvPicPr>
                  <pic:blipFill>
                    <a:blip r:embed="rId256"/>
                    <a:stretch>
                      <a:fillRect/>
                    </a:stretch>
                  </pic:blipFill>
                  <pic:spPr>
                    <a:xfrm>
                      <a:off x="0" y="0"/>
                      <a:ext cx="5727700" cy="3953405"/>
                    </a:xfrm>
                    <a:prstGeom prst="rect">
                      <a:avLst/>
                    </a:prstGeom>
                  </pic:spPr>
                </pic:pic>
              </a:graphicData>
            </a:graphic>
          </wp:inline>
        </w:drawing>
      </w:r>
    </w:p>
    <w:p w14:paraId="2B9C0861" w14:textId="77777777" w:rsidR="00A40033" w:rsidRDefault="00A40033" w:rsidP="0043353A">
      <w:pPr>
        <w:spacing w:line="240" w:lineRule="auto"/>
      </w:pPr>
    </w:p>
    <w:p w14:paraId="18FF168A" w14:textId="676EB8C2" w:rsidR="004C0A29" w:rsidRPr="006B42D6" w:rsidRDefault="00DA0CD8" w:rsidP="005C2EFC">
      <w:pPr>
        <w:rPr>
          <w:sz w:val="18"/>
          <w:szCs w:val="18"/>
          <w:vertAlign w:val="subscript"/>
          <w:lang w:val="en-GB" w:eastAsia="en-GB"/>
        </w:rPr>
      </w:pPr>
      <w:r w:rsidRPr="006B42D6">
        <w:t xml:space="preserve">In </w:t>
      </w:r>
      <w:r w:rsidR="00EA1552">
        <w:t>Mainland Tanzania</w:t>
      </w:r>
      <w:r w:rsidRPr="006B42D6">
        <w:t xml:space="preserve">, </w:t>
      </w:r>
      <w:r w:rsidR="002D65FA" w:rsidRPr="006B42D6">
        <w:t xml:space="preserve">most of goat rearing households (749,143; 41.8 percent) reared 1 </w:t>
      </w:r>
      <w:r w:rsidR="00986A8D" w:rsidRPr="006B42D6">
        <w:t>to</w:t>
      </w:r>
      <w:r w:rsidR="002D65FA" w:rsidRPr="006B42D6">
        <w:t xml:space="preserve"> 4 goats</w:t>
      </w:r>
      <w:r w:rsidR="00986A8D" w:rsidRPr="006B42D6">
        <w:t>,</w:t>
      </w:r>
      <w:r w:rsidR="002D65FA" w:rsidRPr="006B42D6">
        <w:t xml:space="preserve"> followed by those reared 5 </w:t>
      </w:r>
      <w:r w:rsidR="00986A8D" w:rsidRPr="006B42D6">
        <w:t xml:space="preserve">to </w:t>
      </w:r>
      <w:r w:rsidR="002D65FA" w:rsidRPr="006B42D6">
        <w:t>9 goats (519,220; 29.0 percent) and 10</w:t>
      </w:r>
      <w:r w:rsidR="00986A8D" w:rsidRPr="006B42D6">
        <w:t xml:space="preserve"> to</w:t>
      </w:r>
      <w:r w:rsidR="002D65FA" w:rsidRPr="006B42D6">
        <w:t>14 goats (227,583;</w:t>
      </w:r>
      <w:r w:rsidR="002D65FA" w:rsidRPr="006B42D6">
        <w:rPr>
          <w:sz w:val="18"/>
          <w:szCs w:val="18"/>
          <w:vertAlign w:val="subscript"/>
          <w:lang w:val="en-GB" w:eastAsia="en-GB"/>
        </w:rPr>
        <w:t xml:space="preserve"> </w:t>
      </w:r>
      <w:r w:rsidR="002D65FA" w:rsidRPr="006B42D6">
        <w:t xml:space="preserve">12.7 percent), while </w:t>
      </w:r>
      <w:r w:rsidR="004C0A29" w:rsidRPr="006B42D6">
        <w:t xml:space="preserve">the </w:t>
      </w:r>
      <w:r w:rsidR="002D65FA" w:rsidRPr="006B42D6">
        <w:t>least</w:t>
      </w:r>
      <w:r w:rsidR="004C0A29" w:rsidRPr="006B42D6">
        <w:t xml:space="preserve"> number of households reared</w:t>
      </w:r>
      <w:r w:rsidR="002D65FA" w:rsidRPr="006B42D6">
        <w:t xml:space="preserve"> </w:t>
      </w:r>
      <w:r w:rsidR="001D634D" w:rsidRPr="006B42D6">
        <w:t xml:space="preserve">35 to </w:t>
      </w:r>
      <w:r w:rsidR="004C0A29" w:rsidRPr="006B42D6">
        <w:t xml:space="preserve">39 goats (11,332; 0.6 percent). However, the largest goat population </w:t>
      </w:r>
      <w:r w:rsidR="00141404" w:rsidRPr="006B42D6">
        <w:t>were</w:t>
      </w:r>
      <w:r w:rsidR="004C0A29" w:rsidRPr="006B42D6">
        <w:t xml:space="preserve"> reared by households with </w:t>
      </w:r>
      <w:r w:rsidR="00141404" w:rsidRPr="006B42D6">
        <w:t xml:space="preserve">more than 40 </w:t>
      </w:r>
      <w:r w:rsidR="00986A8D" w:rsidRPr="006B42D6">
        <w:t xml:space="preserve">herd size </w:t>
      </w:r>
      <w:r w:rsidR="00141404" w:rsidRPr="006B42D6">
        <w:t>(5,285,660</w:t>
      </w:r>
      <w:r w:rsidR="00986A8D" w:rsidRPr="006B42D6">
        <w:t xml:space="preserve"> heads</w:t>
      </w:r>
      <w:r w:rsidR="00141404" w:rsidRPr="006B42D6">
        <w:t xml:space="preserve">; 21.6 percent) and </w:t>
      </w:r>
      <w:r w:rsidR="00986A8D" w:rsidRPr="006B42D6">
        <w:t xml:space="preserve">5 to </w:t>
      </w:r>
      <w:r w:rsidR="00141404" w:rsidRPr="006B42D6">
        <w:t xml:space="preserve">9 </w:t>
      </w:r>
      <w:r w:rsidR="00986A8D" w:rsidRPr="006B42D6">
        <w:t xml:space="preserve">herd size </w:t>
      </w:r>
      <w:r w:rsidR="00141404" w:rsidRPr="006B42D6">
        <w:t>(5,265,000</w:t>
      </w:r>
      <w:r w:rsidR="00986A8D" w:rsidRPr="006B42D6">
        <w:t xml:space="preserve"> heads</w:t>
      </w:r>
      <w:r w:rsidR="00141404" w:rsidRPr="006B42D6">
        <w:t xml:space="preserve">; 21.6 percent), </w:t>
      </w:r>
      <w:r w:rsidR="004C0A29" w:rsidRPr="006B42D6">
        <w:t xml:space="preserve">whereas the least </w:t>
      </w:r>
      <w:r w:rsidR="007E1CD0" w:rsidRPr="006B42D6">
        <w:t>goat’s</w:t>
      </w:r>
      <w:r w:rsidR="00986A8D" w:rsidRPr="006B42D6">
        <w:t xml:space="preserve"> population was reared by households with 35</w:t>
      </w:r>
      <w:r w:rsidR="001D634D" w:rsidRPr="006B42D6">
        <w:t xml:space="preserve"> to </w:t>
      </w:r>
      <w:r w:rsidR="00986A8D" w:rsidRPr="006B42D6">
        <w:t xml:space="preserve">39 herd size (548,921 heads; 2.2 percent) (Table </w:t>
      </w:r>
      <w:r w:rsidR="009420C8" w:rsidRPr="006B42D6">
        <w:t>4.2</w:t>
      </w:r>
      <w:r w:rsidR="00986A8D" w:rsidRPr="006B42D6">
        <w:t>)</w:t>
      </w:r>
      <w:r w:rsidR="001D634D" w:rsidRPr="006B42D6">
        <w:t>.</w:t>
      </w:r>
    </w:p>
    <w:p w14:paraId="3B1546D2" w14:textId="77777777" w:rsidR="00625A4C" w:rsidRPr="006B42D6" w:rsidRDefault="00625A4C" w:rsidP="0043353A">
      <w:pPr>
        <w:spacing w:line="240" w:lineRule="auto"/>
      </w:pPr>
    </w:p>
    <w:p w14:paraId="69E309AC" w14:textId="4D461AB3" w:rsidR="00A40033" w:rsidRDefault="00406D90" w:rsidP="00A40033">
      <w:r w:rsidRPr="006B42D6">
        <w:t>In Tanzania Zanzibar, most of goat rearing households (</w:t>
      </w:r>
      <w:r w:rsidR="00510500" w:rsidRPr="006B42D6">
        <w:t>10,156</w:t>
      </w:r>
      <w:r w:rsidRPr="006B42D6">
        <w:t xml:space="preserve">; </w:t>
      </w:r>
      <w:r w:rsidR="00510500" w:rsidRPr="006B42D6">
        <w:t>55.4</w:t>
      </w:r>
      <w:r w:rsidRPr="006B42D6">
        <w:t xml:space="preserve"> percent) reared 1 to 4 goats, followed by those reared 5 to 9 goats (</w:t>
      </w:r>
      <w:r w:rsidR="00510500" w:rsidRPr="006B42D6">
        <w:t>6,279; 34.2</w:t>
      </w:r>
      <w:r w:rsidRPr="006B42D6">
        <w:t xml:space="preserve"> percent) and 10 to14 goats (</w:t>
      </w:r>
      <w:r w:rsidR="00510500" w:rsidRPr="006B42D6">
        <w:t>1,298</w:t>
      </w:r>
      <w:r w:rsidRPr="006B42D6">
        <w:t>;</w:t>
      </w:r>
      <w:r w:rsidRPr="006B42D6">
        <w:rPr>
          <w:sz w:val="18"/>
          <w:szCs w:val="18"/>
          <w:vertAlign w:val="subscript"/>
          <w:lang w:val="en-GB" w:eastAsia="en-GB"/>
        </w:rPr>
        <w:t xml:space="preserve"> </w:t>
      </w:r>
      <w:r w:rsidRPr="006B42D6">
        <w:t>7</w:t>
      </w:r>
      <w:r w:rsidR="00510500" w:rsidRPr="006B42D6">
        <w:t>.1</w:t>
      </w:r>
      <w:r w:rsidRPr="006B42D6">
        <w:t xml:space="preserve"> percent), while the least number of households reared </w:t>
      </w:r>
      <w:r w:rsidR="00510500" w:rsidRPr="006B42D6">
        <w:t>more than 40</w:t>
      </w:r>
      <w:r w:rsidRPr="006B42D6">
        <w:t xml:space="preserve"> goats (</w:t>
      </w:r>
      <w:r w:rsidR="00510500" w:rsidRPr="006B42D6">
        <w:t>43; 0.2</w:t>
      </w:r>
      <w:r w:rsidRPr="006B42D6">
        <w:t xml:space="preserve"> percent). However, the largest goat population were reared by households with </w:t>
      </w:r>
      <w:r w:rsidR="00510500" w:rsidRPr="006B42D6">
        <w:t>5 to 9</w:t>
      </w:r>
      <w:r w:rsidRPr="006B42D6">
        <w:t xml:space="preserve"> </w:t>
      </w:r>
      <w:r w:rsidR="00510500" w:rsidRPr="006B42D6">
        <w:t xml:space="preserve">herd size </w:t>
      </w:r>
      <w:r w:rsidRPr="006B42D6">
        <w:t>(</w:t>
      </w:r>
      <w:r w:rsidR="00510500" w:rsidRPr="006B42D6">
        <w:t xml:space="preserve">46,812 </w:t>
      </w:r>
      <w:r w:rsidRPr="006B42D6">
        <w:t xml:space="preserve">heads; </w:t>
      </w:r>
      <w:r w:rsidR="00510500" w:rsidRPr="006B42D6">
        <w:t>42.0</w:t>
      </w:r>
      <w:r w:rsidRPr="006B42D6">
        <w:t xml:space="preserve"> percent) and </w:t>
      </w:r>
      <w:r w:rsidR="00510500" w:rsidRPr="006B42D6">
        <w:t>1 to 4</w:t>
      </w:r>
      <w:r w:rsidRPr="006B42D6">
        <w:t xml:space="preserve"> herd size (</w:t>
      </w:r>
      <w:r w:rsidR="00510500" w:rsidRPr="006B42D6">
        <w:t>30,832</w:t>
      </w:r>
      <w:r w:rsidRPr="006B42D6">
        <w:t xml:space="preserve"> heads; </w:t>
      </w:r>
      <w:r w:rsidR="00510500" w:rsidRPr="006B42D6">
        <w:t>27.7</w:t>
      </w:r>
      <w:r w:rsidRPr="006B42D6">
        <w:t xml:space="preserve"> percent), whereas the least </w:t>
      </w:r>
      <w:r w:rsidR="00AB2D6D" w:rsidRPr="006B42D6">
        <w:t>goats’</w:t>
      </w:r>
      <w:r w:rsidRPr="006B42D6">
        <w:t xml:space="preserve"> population was reared by households with </w:t>
      </w:r>
      <w:r w:rsidR="00625A4C" w:rsidRPr="006B42D6">
        <w:t xml:space="preserve">more than 40 </w:t>
      </w:r>
      <w:r w:rsidRPr="006B42D6">
        <w:t>herd size (</w:t>
      </w:r>
      <w:r w:rsidR="00625A4C" w:rsidRPr="006B42D6">
        <w:t>1,811</w:t>
      </w:r>
      <w:r w:rsidRPr="006B42D6">
        <w:t xml:space="preserve"> heads; </w:t>
      </w:r>
      <w:r w:rsidR="00625A4C" w:rsidRPr="006B42D6">
        <w:t>1.6</w:t>
      </w:r>
      <w:r w:rsidRPr="006B42D6">
        <w:t xml:space="preserve"> percent) (Table 4.2).</w:t>
      </w:r>
    </w:p>
    <w:p w14:paraId="400CA855" w14:textId="6AF5CB2F" w:rsidR="00406D90" w:rsidRPr="006B42D6" w:rsidRDefault="00406D90" w:rsidP="007463E6">
      <w:r w:rsidRPr="006B42D6">
        <w:t xml:space="preserve">Comparatively, </w:t>
      </w:r>
      <w:r w:rsidR="00625A4C" w:rsidRPr="006B42D6">
        <w:t xml:space="preserve">in Tanzania </w:t>
      </w:r>
      <w:r w:rsidRPr="006B42D6">
        <w:t>the average number of goats per household has increased from 9 goats in 2007/08 agricultural census to 14 goats in 2019/20 agricultural census.</w:t>
      </w:r>
    </w:p>
    <w:p w14:paraId="7E4D12BF" w14:textId="4D1F2EFC" w:rsidR="00A016DE" w:rsidRPr="006B42D6" w:rsidRDefault="00A016DE" w:rsidP="007200F6">
      <w:pPr>
        <w:pStyle w:val="Heading7"/>
      </w:pPr>
      <w:bookmarkStart w:id="478" w:name="_Toc82386210"/>
      <w:r w:rsidRPr="006B42D6">
        <w:rPr>
          <w:lang w:eastAsia="en-GB"/>
        </w:rPr>
        <w:lastRenderedPageBreak/>
        <w:t>Table 4.2</w:t>
      </w:r>
      <w:r w:rsidR="0043353A">
        <w:rPr>
          <w:lang w:eastAsia="en-GB"/>
        </w:rPr>
        <w:t>:</w:t>
      </w:r>
      <w:r w:rsidR="00412A78">
        <w:rPr>
          <w:lang w:eastAsia="en-GB"/>
        </w:rPr>
        <w:tab/>
      </w:r>
      <w:r w:rsidRPr="006B42D6">
        <w:rPr>
          <w:lang w:eastAsia="en-GB"/>
        </w:rPr>
        <w:t>Number of Agricultural Households Rearing Goats and Heads of Goats by Herd Size as of 1</w:t>
      </w:r>
      <w:r w:rsidRPr="006B42D6">
        <w:rPr>
          <w:vertAlign w:val="superscript"/>
          <w:lang w:eastAsia="en-GB"/>
        </w:rPr>
        <w:t>st</w:t>
      </w:r>
      <w:r w:rsidR="00625A4C" w:rsidRPr="006B42D6">
        <w:rPr>
          <w:lang w:eastAsia="en-GB"/>
        </w:rPr>
        <w:t xml:space="preserve"> August 2020, </w:t>
      </w:r>
      <w:r w:rsidR="00EA1552">
        <w:rPr>
          <w:lang w:eastAsia="en-GB"/>
        </w:rPr>
        <w:t>Mainland Tanzania</w:t>
      </w:r>
      <w:r w:rsidR="00625A4C" w:rsidRPr="006B42D6">
        <w:rPr>
          <w:lang w:eastAsia="en-GB"/>
        </w:rPr>
        <w:t xml:space="preserve"> and Tanzania </w:t>
      </w:r>
      <w:r w:rsidRPr="006B42D6">
        <w:rPr>
          <w:lang w:eastAsia="en-GB"/>
        </w:rPr>
        <w:t>Zanzibar</w:t>
      </w:r>
      <w:bookmarkEnd w:id="478"/>
    </w:p>
    <w:tbl>
      <w:tblPr>
        <w:tblW w:w="5053" w:type="pct"/>
        <w:tblLayout w:type="fixed"/>
        <w:tblLook w:val="04A0" w:firstRow="1" w:lastRow="0" w:firstColumn="1" w:lastColumn="0" w:noHBand="0" w:noVBand="1"/>
      </w:tblPr>
      <w:tblGrid>
        <w:gridCol w:w="872"/>
        <w:gridCol w:w="1077"/>
        <w:gridCol w:w="792"/>
        <w:gridCol w:w="56"/>
        <w:gridCol w:w="960"/>
        <w:gridCol w:w="1034"/>
        <w:gridCol w:w="812"/>
        <w:gridCol w:w="1228"/>
        <w:gridCol w:w="54"/>
        <w:gridCol w:w="1174"/>
        <w:gridCol w:w="1225"/>
        <w:gridCol w:w="50"/>
      </w:tblGrid>
      <w:tr w:rsidR="006B42D6" w:rsidRPr="006B42D6" w14:paraId="5D23522D" w14:textId="77777777" w:rsidTr="0043353A">
        <w:trPr>
          <w:gridAfter w:val="1"/>
          <w:wAfter w:w="27" w:type="pct"/>
          <w:trHeight w:val="283"/>
        </w:trPr>
        <w:tc>
          <w:tcPr>
            <w:tcW w:w="2566" w:type="pct"/>
            <w:gridSpan w:val="6"/>
            <w:tcBorders>
              <w:top w:val="single" w:sz="4" w:space="0" w:color="auto"/>
              <w:left w:val="nil"/>
              <w:bottom w:val="single" w:sz="4" w:space="0" w:color="auto"/>
              <w:right w:val="single" w:sz="4" w:space="0" w:color="000000"/>
            </w:tcBorders>
            <w:shd w:val="clear" w:color="auto" w:fill="E2EFD9" w:themeFill="accent6" w:themeFillTint="33"/>
            <w:noWrap/>
            <w:vAlign w:val="center"/>
            <w:hideMark/>
          </w:tcPr>
          <w:p w14:paraId="5519E1BC" w14:textId="175E3D2A" w:rsidR="003D0E82" w:rsidRPr="006B42D6" w:rsidRDefault="00EA1552" w:rsidP="003D0E82">
            <w:pPr>
              <w:jc w:val="center"/>
              <w:rPr>
                <w:sz w:val="16"/>
                <w:szCs w:val="16"/>
              </w:rPr>
            </w:pPr>
            <w:r>
              <w:rPr>
                <w:sz w:val="16"/>
                <w:szCs w:val="16"/>
              </w:rPr>
              <w:t>Mainland Tanzania</w:t>
            </w:r>
          </w:p>
        </w:tc>
        <w:tc>
          <w:tcPr>
            <w:tcW w:w="2407" w:type="pct"/>
            <w:gridSpan w:val="5"/>
            <w:tcBorders>
              <w:top w:val="single" w:sz="4" w:space="0" w:color="auto"/>
              <w:left w:val="nil"/>
              <w:bottom w:val="single" w:sz="4" w:space="0" w:color="auto"/>
              <w:right w:val="nil"/>
            </w:tcBorders>
            <w:shd w:val="clear" w:color="auto" w:fill="E2EFD9" w:themeFill="accent6" w:themeFillTint="33"/>
            <w:noWrap/>
            <w:vAlign w:val="center"/>
            <w:hideMark/>
          </w:tcPr>
          <w:p w14:paraId="5CF5CF6C" w14:textId="77777777" w:rsidR="003D0E82" w:rsidRPr="006B42D6" w:rsidRDefault="003D0E82" w:rsidP="003D0E82">
            <w:pPr>
              <w:jc w:val="center"/>
              <w:rPr>
                <w:sz w:val="16"/>
                <w:szCs w:val="16"/>
              </w:rPr>
            </w:pPr>
            <w:r w:rsidRPr="006B42D6">
              <w:rPr>
                <w:sz w:val="16"/>
                <w:szCs w:val="16"/>
              </w:rPr>
              <w:t>Tanzania Zanzibar</w:t>
            </w:r>
          </w:p>
        </w:tc>
      </w:tr>
      <w:tr w:rsidR="00412A78" w:rsidRPr="006B42D6" w14:paraId="13DBC3AB" w14:textId="77777777" w:rsidTr="0043353A">
        <w:trPr>
          <w:trHeight w:val="227"/>
        </w:trPr>
        <w:tc>
          <w:tcPr>
            <w:tcW w:w="467" w:type="pct"/>
            <w:vMerge w:val="restart"/>
            <w:tcBorders>
              <w:top w:val="nil"/>
              <w:left w:val="nil"/>
              <w:right w:val="nil"/>
            </w:tcBorders>
            <w:shd w:val="clear" w:color="auto" w:fill="E2EFD9" w:themeFill="accent6" w:themeFillTint="33"/>
            <w:noWrap/>
            <w:vAlign w:val="center"/>
            <w:hideMark/>
          </w:tcPr>
          <w:p w14:paraId="2F14706D" w14:textId="77777777" w:rsidR="00412A78" w:rsidRPr="006B42D6" w:rsidRDefault="00412A78" w:rsidP="00412A78">
            <w:pPr>
              <w:jc w:val="left"/>
              <w:rPr>
                <w:sz w:val="16"/>
                <w:szCs w:val="16"/>
              </w:rPr>
            </w:pPr>
            <w:r w:rsidRPr="006B42D6">
              <w:rPr>
                <w:sz w:val="16"/>
                <w:szCs w:val="16"/>
                <w:lang w:val="en-GB"/>
              </w:rPr>
              <w:t>Herd size</w:t>
            </w:r>
          </w:p>
        </w:tc>
        <w:tc>
          <w:tcPr>
            <w:tcW w:w="1031" w:type="pct"/>
            <w:gridSpan w:val="3"/>
            <w:tcBorders>
              <w:top w:val="single" w:sz="4" w:space="0" w:color="auto"/>
              <w:left w:val="nil"/>
              <w:bottom w:val="single" w:sz="4" w:space="0" w:color="auto"/>
              <w:right w:val="nil"/>
            </w:tcBorders>
            <w:shd w:val="clear" w:color="auto" w:fill="E2EFD9" w:themeFill="accent6" w:themeFillTint="33"/>
            <w:noWrap/>
            <w:vAlign w:val="center"/>
            <w:hideMark/>
          </w:tcPr>
          <w:p w14:paraId="3E29C48A" w14:textId="77777777" w:rsidR="00412A78" w:rsidRPr="006B42D6" w:rsidRDefault="00412A78" w:rsidP="00412A78">
            <w:pPr>
              <w:jc w:val="center"/>
              <w:rPr>
                <w:sz w:val="16"/>
                <w:szCs w:val="16"/>
              </w:rPr>
            </w:pPr>
            <w:r w:rsidRPr="006B42D6">
              <w:rPr>
                <w:sz w:val="16"/>
                <w:szCs w:val="16"/>
                <w:lang w:val="en-GB"/>
              </w:rPr>
              <w:t>Goat Rearing Households</w:t>
            </w:r>
          </w:p>
        </w:tc>
        <w:tc>
          <w:tcPr>
            <w:tcW w:w="1068" w:type="pct"/>
            <w:gridSpan w:val="2"/>
            <w:tcBorders>
              <w:top w:val="single" w:sz="4" w:space="0" w:color="auto"/>
              <w:left w:val="nil"/>
              <w:bottom w:val="single" w:sz="4" w:space="0" w:color="auto"/>
              <w:right w:val="single" w:sz="4" w:space="0" w:color="000000"/>
            </w:tcBorders>
            <w:shd w:val="clear" w:color="auto" w:fill="E2EFD9" w:themeFill="accent6" w:themeFillTint="33"/>
            <w:noWrap/>
            <w:vAlign w:val="center"/>
            <w:hideMark/>
          </w:tcPr>
          <w:p w14:paraId="6365ABC9" w14:textId="241A77B4" w:rsidR="00412A78" w:rsidRPr="006B42D6" w:rsidRDefault="00412A78" w:rsidP="00412A78">
            <w:pPr>
              <w:jc w:val="center"/>
              <w:rPr>
                <w:sz w:val="16"/>
                <w:szCs w:val="16"/>
              </w:rPr>
            </w:pPr>
            <w:r w:rsidRPr="006B42D6">
              <w:rPr>
                <w:sz w:val="16"/>
                <w:szCs w:val="16"/>
                <w:lang w:val="en-GB"/>
              </w:rPr>
              <w:t>Heads of Goats</w:t>
            </w:r>
          </w:p>
        </w:tc>
        <w:tc>
          <w:tcPr>
            <w:tcW w:w="1122" w:type="pct"/>
            <w:gridSpan w:val="3"/>
            <w:tcBorders>
              <w:top w:val="single" w:sz="4" w:space="0" w:color="auto"/>
              <w:left w:val="nil"/>
              <w:bottom w:val="single" w:sz="4" w:space="0" w:color="auto"/>
              <w:right w:val="nil"/>
            </w:tcBorders>
            <w:shd w:val="clear" w:color="auto" w:fill="E2EFD9" w:themeFill="accent6" w:themeFillTint="33"/>
            <w:noWrap/>
            <w:vAlign w:val="center"/>
            <w:hideMark/>
          </w:tcPr>
          <w:p w14:paraId="4E7C2D10" w14:textId="77777777" w:rsidR="00412A78" w:rsidRPr="006B42D6" w:rsidRDefault="00412A78" w:rsidP="00412A78">
            <w:pPr>
              <w:jc w:val="center"/>
              <w:rPr>
                <w:sz w:val="16"/>
                <w:szCs w:val="16"/>
              </w:rPr>
            </w:pPr>
            <w:r w:rsidRPr="006B42D6">
              <w:rPr>
                <w:sz w:val="16"/>
                <w:szCs w:val="16"/>
                <w:lang w:val="en-GB"/>
              </w:rPr>
              <w:t>Goat Rearing Households</w:t>
            </w:r>
          </w:p>
        </w:tc>
        <w:tc>
          <w:tcPr>
            <w:tcW w:w="1312" w:type="pct"/>
            <w:gridSpan w:val="3"/>
            <w:tcBorders>
              <w:top w:val="single" w:sz="4" w:space="0" w:color="auto"/>
              <w:left w:val="nil"/>
              <w:bottom w:val="single" w:sz="4" w:space="0" w:color="auto"/>
              <w:right w:val="nil"/>
            </w:tcBorders>
            <w:shd w:val="clear" w:color="auto" w:fill="E2EFD9" w:themeFill="accent6" w:themeFillTint="33"/>
            <w:noWrap/>
            <w:vAlign w:val="center"/>
            <w:hideMark/>
          </w:tcPr>
          <w:p w14:paraId="0CD99FFF" w14:textId="0A1DA62A" w:rsidR="00412A78" w:rsidRPr="006B42D6" w:rsidRDefault="00412A78" w:rsidP="00412A78">
            <w:pPr>
              <w:jc w:val="center"/>
              <w:rPr>
                <w:sz w:val="16"/>
                <w:szCs w:val="16"/>
              </w:rPr>
            </w:pPr>
            <w:r w:rsidRPr="006B42D6">
              <w:rPr>
                <w:sz w:val="16"/>
                <w:szCs w:val="16"/>
                <w:lang w:val="en-GB"/>
              </w:rPr>
              <w:t>Heads of Goats</w:t>
            </w:r>
          </w:p>
        </w:tc>
      </w:tr>
      <w:tr w:rsidR="00412A78" w:rsidRPr="006B42D6" w14:paraId="411D4252" w14:textId="77777777" w:rsidTr="0043353A">
        <w:trPr>
          <w:gridAfter w:val="1"/>
          <w:wAfter w:w="27" w:type="pct"/>
          <w:trHeight w:val="227"/>
        </w:trPr>
        <w:tc>
          <w:tcPr>
            <w:tcW w:w="467" w:type="pct"/>
            <w:vMerge/>
            <w:tcBorders>
              <w:left w:val="nil"/>
              <w:bottom w:val="single" w:sz="4" w:space="0" w:color="auto"/>
              <w:right w:val="nil"/>
            </w:tcBorders>
            <w:shd w:val="clear" w:color="auto" w:fill="E2EFD9" w:themeFill="accent6" w:themeFillTint="33"/>
            <w:noWrap/>
            <w:vAlign w:val="center"/>
            <w:hideMark/>
          </w:tcPr>
          <w:p w14:paraId="70EE3C47" w14:textId="6240E98D" w:rsidR="00412A78" w:rsidRPr="006B42D6" w:rsidRDefault="00412A78" w:rsidP="00412A78">
            <w:pPr>
              <w:jc w:val="left"/>
              <w:rPr>
                <w:sz w:val="16"/>
                <w:szCs w:val="16"/>
              </w:rPr>
            </w:pPr>
          </w:p>
        </w:tc>
        <w:tc>
          <w:tcPr>
            <w:tcW w:w="577" w:type="pct"/>
            <w:tcBorders>
              <w:top w:val="nil"/>
              <w:left w:val="nil"/>
              <w:bottom w:val="single" w:sz="4" w:space="0" w:color="auto"/>
              <w:right w:val="nil"/>
            </w:tcBorders>
            <w:shd w:val="clear" w:color="auto" w:fill="E2EFD9" w:themeFill="accent6" w:themeFillTint="33"/>
            <w:noWrap/>
            <w:vAlign w:val="center"/>
            <w:hideMark/>
          </w:tcPr>
          <w:p w14:paraId="7E8B62BB" w14:textId="77777777" w:rsidR="00412A78" w:rsidRPr="006B42D6" w:rsidRDefault="00412A78" w:rsidP="00412A78">
            <w:pPr>
              <w:jc w:val="center"/>
              <w:rPr>
                <w:sz w:val="16"/>
                <w:szCs w:val="16"/>
              </w:rPr>
            </w:pPr>
            <w:r w:rsidRPr="006B42D6">
              <w:rPr>
                <w:sz w:val="16"/>
                <w:szCs w:val="16"/>
                <w:lang w:eastAsia="en-GB"/>
              </w:rPr>
              <w:t>Number</w:t>
            </w:r>
          </w:p>
        </w:tc>
        <w:tc>
          <w:tcPr>
            <w:tcW w:w="424" w:type="pct"/>
            <w:tcBorders>
              <w:top w:val="nil"/>
              <w:left w:val="nil"/>
              <w:bottom w:val="single" w:sz="4" w:space="0" w:color="auto"/>
              <w:right w:val="nil"/>
            </w:tcBorders>
            <w:shd w:val="clear" w:color="auto" w:fill="E2EFD9" w:themeFill="accent6" w:themeFillTint="33"/>
            <w:noWrap/>
            <w:vAlign w:val="center"/>
            <w:hideMark/>
          </w:tcPr>
          <w:p w14:paraId="44579259" w14:textId="77777777" w:rsidR="00412A78" w:rsidRPr="006B42D6" w:rsidRDefault="00412A78" w:rsidP="00412A78">
            <w:pPr>
              <w:jc w:val="center"/>
              <w:rPr>
                <w:sz w:val="16"/>
                <w:szCs w:val="16"/>
              </w:rPr>
            </w:pPr>
            <w:r w:rsidRPr="006B42D6">
              <w:rPr>
                <w:sz w:val="16"/>
                <w:szCs w:val="16"/>
                <w:lang w:eastAsia="en-GB"/>
              </w:rPr>
              <w:t>Percent</w:t>
            </w:r>
          </w:p>
        </w:tc>
        <w:tc>
          <w:tcPr>
            <w:tcW w:w="544" w:type="pct"/>
            <w:gridSpan w:val="2"/>
            <w:tcBorders>
              <w:top w:val="nil"/>
              <w:left w:val="nil"/>
              <w:bottom w:val="single" w:sz="4" w:space="0" w:color="auto"/>
              <w:right w:val="nil"/>
            </w:tcBorders>
            <w:shd w:val="clear" w:color="auto" w:fill="E2EFD9" w:themeFill="accent6" w:themeFillTint="33"/>
            <w:noWrap/>
            <w:vAlign w:val="center"/>
            <w:hideMark/>
          </w:tcPr>
          <w:p w14:paraId="6E964841" w14:textId="77777777" w:rsidR="00412A78" w:rsidRPr="006B42D6" w:rsidRDefault="00412A78" w:rsidP="00412A78">
            <w:pPr>
              <w:jc w:val="center"/>
              <w:rPr>
                <w:sz w:val="16"/>
                <w:szCs w:val="16"/>
              </w:rPr>
            </w:pPr>
            <w:r w:rsidRPr="006B42D6">
              <w:rPr>
                <w:sz w:val="16"/>
                <w:szCs w:val="16"/>
                <w:lang w:eastAsia="en-GB"/>
              </w:rPr>
              <w:t>Number</w:t>
            </w:r>
          </w:p>
        </w:tc>
        <w:tc>
          <w:tcPr>
            <w:tcW w:w="554" w:type="pct"/>
            <w:tcBorders>
              <w:top w:val="nil"/>
              <w:left w:val="nil"/>
              <w:bottom w:val="single" w:sz="4" w:space="0" w:color="auto"/>
              <w:right w:val="single" w:sz="4" w:space="0" w:color="auto"/>
            </w:tcBorders>
            <w:shd w:val="clear" w:color="auto" w:fill="E2EFD9" w:themeFill="accent6" w:themeFillTint="33"/>
            <w:noWrap/>
            <w:vAlign w:val="center"/>
            <w:hideMark/>
          </w:tcPr>
          <w:p w14:paraId="165EE359" w14:textId="77777777" w:rsidR="00412A78" w:rsidRPr="006B42D6" w:rsidRDefault="00412A78" w:rsidP="00412A78">
            <w:pPr>
              <w:jc w:val="center"/>
              <w:rPr>
                <w:sz w:val="16"/>
                <w:szCs w:val="16"/>
              </w:rPr>
            </w:pPr>
            <w:r w:rsidRPr="006B42D6">
              <w:rPr>
                <w:sz w:val="16"/>
                <w:szCs w:val="16"/>
                <w:lang w:eastAsia="en-GB"/>
              </w:rPr>
              <w:t>Percent</w:t>
            </w:r>
          </w:p>
        </w:tc>
        <w:tc>
          <w:tcPr>
            <w:tcW w:w="435" w:type="pct"/>
            <w:tcBorders>
              <w:top w:val="nil"/>
              <w:left w:val="nil"/>
              <w:bottom w:val="single" w:sz="4" w:space="0" w:color="auto"/>
              <w:right w:val="nil"/>
            </w:tcBorders>
            <w:shd w:val="clear" w:color="auto" w:fill="E2EFD9" w:themeFill="accent6" w:themeFillTint="33"/>
            <w:noWrap/>
            <w:vAlign w:val="center"/>
            <w:hideMark/>
          </w:tcPr>
          <w:p w14:paraId="51447904" w14:textId="77777777" w:rsidR="00412A78" w:rsidRPr="006B42D6" w:rsidRDefault="00412A78" w:rsidP="00412A78">
            <w:pPr>
              <w:jc w:val="center"/>
              <w:rPr>
                <w:sz w:val="16"/>
                <w:szCs w:val="16"/>
              </w:rPr>
            </w:pPr>
            <w:r w:rsidRPr="006B42D6">
              <w:rPr>
                <w:sz w:val="16"/>
                <w:szCs w:val="16"/>
                <w:lang w:eastAsia="en-GB"/>
              </w:rPr>
              <w:t>Number</w:t>
            </w:r>
          </w:p>
        </w:tc>
        <w:tc>
          <w:tcPr>
            <w:tcW w:w="658" w:type="pct"/>
            <w:tcBorders>
              <w:top w:val="nil"/>
              <w:left w:val="nil"/>
              <w:bottom w:val="single" w:sz="4" w:space="0" w:color="auto"/>
              <w:right w:val="nil"/>
            </w:tcBorders>
            <w:shd w:val="clear" w:color="auto" w:fill="E2EFD9" w:themeFill="accent6" w:themeFillTint="33"/>
            <w:noWrap/>
            <w:vAlign w:val="center"/>
            <w:hideMark/>
          </w:tcPr>
          <w:p w14:paraId="4AE36452" w14:textId="77777777" w:rsidR="00412A78" w:rsidRPr="006B42D6" w:rsidRDefault="00412A78" w:rsidP="00412A78">
            <w:pPr>
              <w:jc w:val="center"/>
              <w:rPr>
                <w:sz w:val="16"/>
                <w:szCs w:val="16"/>
              </w:rPr>
            </w:pPr>
            <w:r w:rsidRPr="006B42D6">
              <w:rPr>
                <w:sz w:val="16"/>
                <w:szCs w:val="16"/>
                <w:lang w:eastAsia="en-GB"/>
              </w:rPr>
              <w:t>Percent</w:t>
            </w:r>
          </w:p>
        </w:tc>
        <w:tc>
          <w:tcPr>
            <w:tcW w:w="658" w:type="pct"/>
            <w:gridSpan w:val="2"/>
            <w:tcBorders>
              <w:top w:val="nil"/>
              <w:left w:val="nil"/>
              <w:bottom w:val="single" w:sz="4" w:space="0" w:color="auto"/>
              <w:right w:val="nil"/>
            </w:tcBorders>
            <w:shd w:val="clear" w:color="auto" w:fill="E2EFD9" w:themeFill="accent6" w:themeFillTint="33"/>
            <w:noWrap/>
            <w:vAlign w:val="center"/>
            <w:hideMark/>
          </w:tcPr>
          <w:p w14:paraId="108C7DC7" w14:textId="77777777" w:rsidR="00412A78" w:rsidRPr="006B42D6" w:rsidRDefault="00412A78" w:rsidP="00412A78">
            <w:pPr>
              <w:jc w:val="center"/>
              <w:rPr>
                <w:sz w:val="16"/>
                <w:szCs w:val="16"/>
              </w:rPr>
            </w:pPr>
            <w:r w:rsidRPr="006B42D6">
              <w:rPr>
                <w:sz w:val="16"/>
                <w:szCs w:val="16"/>
                <w:lang w:eastAsia="en-GB"/>
              </w:rPr>
              <w:t>Number</w:t>
            </w:r>
          </w:p>
        </w:tc>
        <w:tc>
          <w:tcPr>
            <w:tcW w:w="656" w:type="pct"/>
            <w:tcBorders>
              <w:top w:val="nil"/>
              <w:left w:val="nil"/>
              <w:bottom w:val="single" w:sz="4" w:space="0" w:color="auto"/>
              <w:right w:val="nil"/>
            </w:tcBorders>
            <w:shd w:val="clear" w:color="auto" w:fill="E2EFD9" w:themeFill="accent6" w:themeFillTint="33"/>
            <w:noWrap/>
            <w:vAlign w:val="center"/>
            <w:hideMark/>
          </w:tcPr>
          <w:p w14:paraId="78C1E28D" w14:textId="77777777" w:rsidR="00412A78" w:rsidRPr="006B42D6" w:rsidRDefault="00412A78" w:rsidP="00412A78">
            <w:pPr>
              <w:jc w:val="center"/>
              <w:rPr>
                <w:sz w:val="16"/>
                <w:szCs w:val="16"/>
              </w:rPr>
            </w:pPr>
            <w:r w:rsidRPr="006B42D6">
              <w:rPr>
                <w:sz w:val="16"/>
                <w:szCs w:val="16"/>
                <w:lang w:eastAsia="en-GB"/>
              </w:rPr>
              <w:t>Percent</w:t>
            </w:r>
          </w:p>
        </w:tc>
      </w:tr>
      <w:tr w:rsidR="006B42D6" w:rsidRPr="006B42D6" w14:paraId="3F10EAA9" w14:textId="77777777" w:rsidTr="00412A78">
        <w:trPr>
          <w:gridAfter w:val="1"/>
          <w:wAfter w:w="27" w:type="pct"/>
          <w:trHeight w:val="315"/>
        </w:trPr>
        <w:tc>
          <w:tcPr>
            <w:tcW w:w="467" w:type="pct"/>
            <w:tcBorders>
              <w:top w:val="nil"/>
              <w:left w:val="nil"/>
              <w:bottom w:val="nil"/>
              <w:right w:val="nil"/>
            </w:tcBorders>
            <w:shd w:val="clear" w:color="auto" w:fill="auto"/>
            <w:noWrap/>
            <w:vAlign w:val="center"/>
            <w:hideMark/>
          </w:tcPr>
          <w:p w14:paraId="1A860A73" w14:textId="77777777" w:rsidR="003D0E82" w:rsidRPr="006B42D6" w:rsidRDefault="003D0E82" w:rsidP="00412A78">
            <w:pPr>
              <w:jc w:val="left"/>
              <w:rPr>
                <w:sz w:val="16"/>
                <w:szCs w:val="16"/>
              </w:rPr>
            </w:pPr>
            <w:r w:rsidRPr="006B42D6">
              <w:rPr>
                <w:sz w:val="16"/>
                <w:szCs w:val="16"/>
                <w:lang w:val="en-GB"/>
              </w:rPr>
              <w:t>1 - 4</w:t>
            </w:r>
          </w:p>
        </w:tc>
        <w:tc>
          <w:tcPr>
            <w:tcW w:w="577" w:type="pct"/>
            <w:tcBorders>
              <w:top w:val="nil"/>
              <w:left w:val="nil"/>
              <w:bottom w:val="nil"/>
              <w:right w:val="nil"/>
            </w:tcBorders>
            <w:shd w:val="clear" w:color="auto" w:fill="auto"/>
            <w:noWrap/>
            <w:vAlign w:val="center"/>
            <w:hideMark/>
          </w:tcPr>
          <w:p w14:paraId="234B9C45" w14:textId="77777777" w:rsidR="003D0E82" w:rsidRPr="006B42D6" w:rsidRDefault="003D0E82" w:rsidP="00412A78">
            <w:pPr>
              <w:jc w:val="center"/>
              <w:rPr>
                <w:sz w:val="16"/>
                <w:szCs w:val="16"/>
              </w:rPr>
            </w:pPr>
            <w:r w:rsidRPr="006B42D6">
              <w:rPr>
                <w:sz w:val="16"/>
                <w:szCs w:val="16"/>
                <w:lang w:val="en-GB"/>
              </w:rPr>
              <w:t>749,143</w:t>
            </w:r>
          </w:p>
        </w:tc>
        <w:tc>
          <w:tcPr>
            <w:tcW w:w="424" w:type="pct"/>
            <w:tcBorders>
              <w:top w:val="nil"/>
              <w:left w:val="nil"/>
              <w:bottom w:val="nil"/>
              <w:right w:val="nil"/>
            </w:tcBorders>
            <w:shd w:val="clear" w:color="auto" w:fill="auto"/>
            <w:noWrap/>
            <w:vAlign w:val="center"/>
            <w:hideMark/>
          </w:tcPr>
          <w:p w14:paraId="26B6C947" w14:textId="77777777" w:rsidR="003D0E82" w:rsidRPr="006B42D6" w:rsidRDefault="003D0E82" w:rsidP="00412A78">
            <w:pPr>
              <w:jc w:val="center"/>
              <w:rPr>
                <w:sz w:val="16"/>
                <w:szCs w:val="16"/>
              </w:rPr>
            </w:pPr>
            <w:r w:rsidRPr="006B42D6">
              <w:rPr>
                <w:sz w:val="16"/>
                <w:szCs w:val="16"/>
                <w:lang w:val="en-GB"/>
              </w:rPr>
              <w:t>41.8</w:t>
            </w:r>
          </w:p>
        </w:tc>
        <w:tc>
          <w:tcPr>
            <w:tcW w:w="544" w:type="pct"/>
            <w:gridSpan w:val="2"/>
            <w:tcBorders>
              <w:top w:val="nil"/>
              <w:left w:val="nil"/>
              <w:bottom w:val="nil"/>
              <w:right w:val="nil"/>
            </w:tcBorders>
            <w:shd w:val="clear" w:color="auto" w:fill="auto"/>
            <w:noWrap/>
            <w:vAlign w:val="center"/>
            <w:hideMark/>
          </w:tcPr>
          <w:p w14:paraId="4D5463D6" w14:textId="77777777" w:rsidR="003D0E82" w:rsidRPr="006B42D6" w:rsidRDefault="003D0E82" w:rsidP="00412A78">
            <w:pPr>
              <w:jc w:val="center"/>
              <w:rPr>
                <w:sz w:val="16"/>
                <w:szCs w:val="16"/>
              </w:rPr>
            </w:pPr>
            <w:r w:rsidRPr="006B42D6">
              <w:rPr>
                <w:sz w:val="16"/>
                <w:szCs w:val="16"/>
                <w:lang w:val="en-GB"/>
              </w:rPr>
              <w:t>3,376,808</w:t>
            </w:r>
          </w:p>
        </w:tc>
        <w:tc>
          <w:tcPr>
            <w:tcW w:w="554" w:type="pct"/>
            <w:tcBorders>
              <w:top w:val="nil"/>
              <w:left w:val="nil"/>
              <w:bottom w:val="nil"/>
              <w:right w:val="single" w:sz="4" w:space="0" w:color="auto"/>
            </w:tcBorders>
            <w:shd w:val="clear" w:color="auto" w:fill="auto"/>
            <w:noWrap/>
            <w:vAlign w:val="center"/>
            <w:hideMark/>
          </w:tcPr>
          <w:p w14:paraId="3986E7AD" w14:textId="77777777" w:rsidR="003D0E82" w:rsidRPr="006B42D6" w:rsidRDefault="003D0E82" w:rsidP="00412A78">
            <w:pPr>
              <w:jc w:val="center"/>
              <w:rPr>
                <w:sz w:val="16"/>
                <w:szCs w:val="16"/>
              </w:rPr>
            </w:pPr>
            <w:r w:rsidRPr="006B42D6">
              <w:rPr>
                <w:sz w:val="16"/>
                <w:szCs w:val="16"/>
                <w:lang w:val="en-GB"/>
              </w:rPr>
              <w:t>13.8</w:t>
            </w:r>
          </w:p>
        </w:tc>
        <w:tc>
          <w:tcPr>
            <w:tcW w:w="435" w:type="pct"/>
            <w:tcBorders>
              <w:top w:val="nil"/>
              <w:left w:val="nil"/>
              <w:bottom w:val="nil"/>
              <w:right w:val="nil"/>
            </w:tcBorders>
            <w:shd w:val="clear" w:color="auto" w:fill="auto"/>
            <w:noWrap/>
            <w:vAlign w:val="center"/>
            <w:hideMark/>
          </w:tcPr>
          <w:p w14:paraId="0772B703" w14:textId="77777777" w:rsidR="003D0E82" w:rsidRPr="006B42D6" w:rsidRDefault="003D0E82" w:rsidP="00412A78">
            <w:pPr>
              <w:jc w:val="center"/>
              <w:rPr>
                <w:sz w:val="16"/>
                <w:szCs w:val="16"/>
              </w:rPr>
            </w:pPr>
            <w:r w:rsidRPr="006B42D6">
              <w:rPr>
                <w:sz w:val="16"/>
                <w:szCs w:val="16"/>
                <w:lang w:val="en-GB"/>
              </w:rPr>
              <w:t>10,156</w:t>
            </w:r>
          </w:p>
        </w:tc>
        <w:tc>
          <w:tcPr>
            <w:tcW w:w="658" w:type="pct"/>
            <w:tcBorders>
              <w:top w:val="nil"/>
              <w:left w:val="nil"/>
              <w:bottom w:val="nil"/>
              <w:right w:val="nil"/>
            </w:tcBorders>
            <w:shd w:val="clear" w:color="auto" w:fill="auto"/>
            <w:noWrap/>
            <w:vAlign w:val="center"/>
            <w:hideMark/>
          </w:tcPr>
          <w:p w14:paraId="56E3956D" w14:textId="77777777" w:rsidR="003D0E82" w:rsidRPr="006B42D6" w:rsidRDefault="003D0E82" w:rsidP="00412A78">
            <w:pPr>
              <w:jc w:val="center"/>
              <w:rPr>
                <w:sz w:val="16"/>
                <w:szCs w:val="16"/>
              </w:rPr>
            </w:pPr>
            <w:r w:rsidRPr="006B42D6">
              <w:rPr>
                <w:sz w:val="16"/>
                <w:szCs w:val="16"/>
                <w:lang w:val="en-GB"/>
              </w:rPr>
              <w:t>55.4</w:t>
            </w:r>
          </w:p>
        </w:tc>
        <w:tc>
          <w:tcPr>
            <w:tcW w:w="658" w:type="pct"/>
            <w:gridSpan w:val="2"/>
            <w:tcBorders>
              <w:top w:val="nil"/>
              <w:left w:val="nil"/>
              <w:bottom w:val="nil"/>
              <w:right w:val="nil"/>
            </w:tcBorders>
            <w:shd w:val="clear" w:color="auto" w:fill="auto"/>
            <w:noWrap/>
            <w:vAlign w:val="center"/>
            <w:hideMark/>
          </w:tcPr>
          <w:p w14:paraId="73E85E4C" w14:textId="77777777" w:rsidR="003D0E82" w:rsidRPr="006B42D6" w:rsidRDefault="003D0E82" w:rsidP="00412A78">
            <w:pPr>
              <w:jc w:val="center"/>
              <w:rPr>
                <w:sz w:val="16"/>
                <w:szCs w:val="16"/>
              </w:rPr>
            </w:pPr>
            <w:r w:rsidRPr="006B42D6">
              <w:rPr>
                <w:sz w:val="16"/>
                <w:szCs w:val="16"/>
                <w:lang w:val="en-GB"/>
              </w:rPr>
              <w:t>30,832</w:t>
            </w:r>
          </w:p>
        </w:tc>
        <w:tc>
          <w:tcPr>
            <w:tcW w:w="656" w:type="pct"/>
            <w:tcBorders>
              <w:top w:val="nil"/>
              <w:left w:val="nil"/>
              <w:bottom w:val="nil"/>
              <w:right w:val="nil"/>
            </w:tcBorders>
            <w:shd w:val="clear" w:color="auto" w:fill="auto"/>
            <w:noWrap/>
            <w:vAlign w:val="center"/>
            <w:hideMark/>
          </w:tcPr>
          <w:p w14:paraId="3476726F" w14:textId="77777777" w:rsidR="003D0E82" w:rsidRPr="006B42D6" w:rsidRDefault="003D0E82" w:rsidP="00412A78">
            <w:pPr>
              <w:jc w:val="center"/>
              <w:rPr>
                <w:sz w:val="16"/>
                <w:szCs w:val="16"/>
              </w:rPr>
            </w:pPr>
            <w:r w:rsidRPr="006B42D6">
              <w:rPr>
                <w:sz w:val="16"/>
                <w:szCs w:val="16"/>
                <w:lang w:val="en-GB"/>
              </w:rPr>
              <w:t>27.7</w:t>
            </w:r>
          </w:p>
        </w:tc>
      </w:tr>
      <w:tr w:rsidR="006B42D6" w:rsidRPr="006B42D6" w14:paraId="24046C6F" w14:textId="77777777" w:rsidTr="00412A78">
        <w:trPr>
          <w:gridAfter w:val="1"/>
          <w:wAfter w:w="27" w:type="pct"/>
          <w:trHeight w:val="300"/>
        </w:trPr>
        <w:tc>
          <w:tcPr>
            <w:tcW w:w="467" w:type="pct"/>
            <w:tcBorders>
              <w:top w:val="nil"/>
              <w:left w:val="nil"/>
              <w:bottom w:val="nil"/>
              <w:right w:val="nil"/>
            </w:tcBorders>
            <w:shd w:val="clear" w:color="auto" w:fill="auto"/>
            <w:noWrap/>
            <w:vAlign w:val="center"/>
            <w:hideMark/>
          </w:tcPr>
          <w:p w14:paraId="0707232D" w14:textId="77777777" w:rsidR="003D0E82" w:rsidRPr="006B42D6" w:rsidRDefault="003D0E82" w:rsidP="00412A78">
            <w:pPr>
              <w:jc w:val="left"/>
              <w:rPr>
                <w:sz w:val="16"/>
                <w:szCs w:val="16"/>
              </w:rPr>
            </w:pPr>
            <w:r w:rsidRPr="006B42D6">
              <w:rPr>
                <w:sz w:val="16"/>
                <w:szCs w:val="16"/>
                <w:lang w:val="en-GB"/>
              </w:rPr>
              <w:t>5 - 9</w:t>
            </w:r>
          </w:p>
        </w:tc>
        <w:tc>
          <w:tcPr>
            <w:tcW w:w="577" w:type="pct"/>
            <w:tcBorders>
              <w:top w:val="nil"/>
              <w:left w:val="nil"/>
              <w:bottom w:val="nil"/>
              <w:right w:val="nil"/>
            </w:tcBorders>
            <w:shd w:val="clear" w:color="auto" w:fill="auto"/>
            <w:noWrap/>
            <w:vAlign w:val="center"/>
            <w:hideMark/>
          </w:tcPr>
          <w:p w14:paraId="37DD174A" w14:textId="77777777" w:rsidR="003D0E82" w:rsidRPr="006B42D6" w:rsidRDefault="003D0E82" w:rsidP="00412A78">
            <w:pPr>
              <w:jc w:val="center"/>
              <w:rPr>
                <w:sz w:val="16"/>
                <w:szCs w:val="16"/>
              </w:rPr>
            </w:pPr>
            <w:r w:rsidRPr="006B42D6">
              <w:rPr>
                <w:sz w:val="16"/>
                <w:szCs w:val="16"/>
                <w:lang w:val="en-GB"/>
              </w:rPr>
              <w:t>519,220</w:t>
            </w:r>
          </w:p>
        </w:tc>
        <w:tc>
          <w:tcPr>
            <w:tcW w:w="424" w:type="pct"/>
            <w:tcBorders>
              <w:top w:val="nil"/>
              <w:left w:val="nil"/>
              <w:bottom w:val="nil"/>
              <w:right w:val="nil"/>
            </w:tcBorders>
            <w:shd w:val="clear" w:color="auto" w:fill="auto"/>
            <w:noWrap/>
            <w:vAlign w:val="center"/>
            <w:hideMark/>
          </w:tcPr>
          <w:p w14:paraId="37D35696" w14:textId="77777777" w:rsidR="003D0E82" w:rsidRPr="006B42D6" w:rsidRDefault="003D0E82" w:rsidP="00412A78">
            <w:pPr>
              <w:jc w:val="center"/>
              <w:rPr>
                <w:sz w:val="16"/>
                <w:szCs w:val="16"/>
              </w:rPr>
            </w:pPr>
            <w:r w:rsidRPr="006B42D6">
              <w:rPr>
                <w:sz w:val="16"/>
                <w:szCs w:val="16"/>
                <w:lang w:val="en-GB"/>
              </w:rPr>
              <w:t>29</w:t>
            </w:r>
          </w:p>
        </w:tc>
        <w:tc>
          <w:tcPr>
            <w:tcW w:w="544" w:type="pct"/>
            <w:gridSpan w:val="2"/>
            <w:tcBorders>
              <w:top w:val="nil"/>
              <w:left w:val="nil"/>
              <w:bottom w:val="nil"/>
              <w:right w:val="nil"/>
            </w:tcBorders>
            <w:shd w:val="clear" w:color="auto" w:fill="auto"/>
            <w:noWrap/>
            <w:vAlign w:val="center"/>
            <w:hideMark/>
          </w:tcPr>
          <w:p w14:paraId="41AD9720" w14:textId="77777777" w:rsidR="003D0E82" w:rsidRPr="006B42D6" w:rsidRDefault="003D0E82" w:rsidP="00412A78">
            <w:pPr>
              <w:jc w:val="center"/>
              <w:rPr>
                <w:sz w:val="16"/>
                <w:szCs w:val="16"/>
              </w:rPr>
            </w:pPr>
            <w:r w:rsidRPr="006B42D6">
              <w:rPr>
                <w:sz w:val="16"/>
                <w:szCs w:val="16"/>
                <w:lang w:val="en-GB"/>
              </w:rPr>
              <w:t>5,265,000</w:t>
            </w:r>
          </w:p>
        </w:tc>
        <w:tc>
          <w:tcPr>
            <w:tcW w:w="554" w:type="pct"/>
            <w:tcBorders>
              <w:top w:val="nil"/>
              <w:left w:val="nil"/>
              <w:bottom w:val="nil"/>
              <w:right w:val="single" w:sz="4" w:space="0" w:color="auto"/>
            </w:tcBorders>
            <w:shd w:val="clear" w:color="auto" w:fill="auto"/>
            <w:noWrap/>
            <w:vAlign w:val="center"/>
            <w:hideMark/>
          </w:tcPr>
          <w:p w14:paraId="3B8B9046" w14:textId="77777777" w:rsidR="003D0E82" w:rsidRPr="006B42D6" w:rsidRDefault="003D0E82" w:rsidP="00412A78">
            <w:pPr>
              <w:jc w:val="center"/>
              <w:rPr>
                <w:sz w:val="16"/>
                <w:szCs w:val="16"/>
              </w:rPr>
            </w:pPr>
            <w:r w:rsidRPr="006B42D6">
              <w:rPr>
                <w:sz w:val="16"/>
                <w:szCs w:val="16"/>
                <w:lang w:val="en-GB"/>
              </w:rPr>
              <w:t>21.6</w:t>
            </w:r>
          </w:p>
        </w:tc>
        <w:tc>
          <w:tcPr>
            <w:tcW w:w="435" w:type="pct"/>
            <w:tcBorders>
              <w:top w:val="nil"/>
              <w:left w:val="nil"/>
              <w:bottom w:val="nil"/>
              <w:right w:val="nil"/>
            </w:tcBorders>
            <w:shd w:val="clear" w:color="auto" w:fill="auto"/>
            <w:noWrap/>
            <w:vAlign w:val="center"/>
            <w:hideMark/>
          </w:tcPr>
          <w:p w14:paraId="742AAB9D" w14:textId="77777777" w:rsidR="003D0E82" w:rsidRPr="006B42D6" w:rsidRDefault="003D0E82" w:rsidP="00412A78">
            <w:pPr>
              <w:jc w:val="center"/>
              <w:rPr>
                <w:sz w:val="16"/>
                <w:szCs w:val="16"/>
              </w:rPr>
            </w:pPr>
            <w:r w:rsidRPr="006B42D6">
              <w:rPr>
                <w:sz w:val="16"/>
                <w:szCs w:val="16"/>
                <w:lang w:val="en-GB"/>
              </w:rPr>
              <w:t>6,279</w:t>
            </w:r>
          </w:p>
        </w:tc>
        <w:tc>
          <w:tcPr>
            <w:tcW w:w="658" w:type="pct"/>
            <w:tcBorders>
              <w:top w:val="nil"/>
              <w:left w:val="nil"/>
              <w:bottom w:val="nil"/>
              <w:right w:val="nil"/>
            </w:tcBorders>
            <w:shd w:val="clear" w:color="auto" w:fill="auto"/>
            <w:noWrap/>
            <w:vAlign w:val="center"/>
            <w:hideMark/>
          </w:tcPr>
          <w:p w14:paraId="24068C3D" w14:textId="77777777" w:rsidR="003D0E82" w:rsidRPr="006B42D6" w:rsidRDefault="003D0E82" w:rsidP="00412A78">
            <w:pPr>
              <w:jc w:val="center"/>
              <w:rPr>
                <w:sz w:val="16"/>
                <w:szCs w:val="16"/>
              </w:rPr>
            </w:pPr>
            <w:r w:rsidRPr="006B42D6">
              <w:rPr>
                <w:sz w:val="16"/>
                <w:szCs w:val="16"/>
                <w:lang w:val="en-GB"/>
              </w:rPr>
              <w:t>34.2</w:t>
            </w:r>
          </w:p>
        </w:tc>
        <w:tc>
          <w:tcPr>
            <w:tcW w:w="658" w:type="pct"/>
            <w:gridSpan w:val="2"/>
            <w:tcBorders>
              <w:top w:val="nil"/>
              <w:left w:val="nil"/>
              <w:bottom w:val="nil"/>
              <w:right w:val="nil"/>
            </w:tcBorders>
            <w:shd w:val="clear" w:color="auto" w:fill="auto"/>
            <w:noWrap/>
            <w:vAlign w:val="center"/>
            <w:hideMark/>
          </w:tcPr>
          <w:p w14:paraId="2A3ED0B6" w14:textId="77777777" w:rsidR="003D0E82" w:rsidRPr="006B42D6" w:rsidRDefault="003D0E82" w:rsidP="00412A78">
            <w:pPr>
              <w:jc w:val="center"/>
              <w:rPr>
                <w:sz w:val="16"/>
                <w:szCs w:val="16"/>
              </w:rPr>
            </w:pPr>
            <w:r w:rsidRPr="006B42D6">
              <w:rPr>
                <w:sz w:val="16"/>
                <w:szCs w:val="16"/>
                <w:lang w:val="en-GB"/>
              </w:rPr>
              <w:t>46,812</w:t>
            </w:r>
          </w:p>
        </w:tc>
        <w:tc>
          <w:tcPr>
            <w:tcW w:w="656" w:type="pct"/>
            <w:tcBorders>
              <w:top w:val="nil"/>
              <w:left w:val="nil"/>
              <w:bottom w:val="nil"/>
              <w:right w:val="nil"/>
            </w:tcBorders>
            <w:shd w:val="clear" w:color="auto" w:fill="auto"/>
            <w:noWrap/>
            <w:vAlign w:val="center"/>
            <w:hideMark/>
          </w:tcPr>
          <w:p w14:paraId="46D993B5" w14:textId="4D420A8C" w:rsidR="003D0E82" w:rsidRPr="006B42D6" w:rsidRDefault="003D0E82" w:rsidP="00412A78">
            <w:pPr>
              <w:jc w:val="center"/>
              <w:rPr>
                <w:sz w:val="16"/>
                <w:szCs w:val="16"/>
              </w:rPr>
            </w:pPr>
            <w:r w:rsidRPr="006B42D6">
              <w:rPr>
                <w:sz w:val="16"/>
                <w:szCs w:val="16"/>
                <w:lang w:val="en-GB"/>
              </w:rPr>
              <w:t>42.0</w:t>
            </w:r>
          </w:p>
        </w:tc>
      </w:tr>
      <w:tr w:rsidR="006B42D6" w:rsidRPr="006B42D6" w14:paraId="6CD58F7B" w14:textId="77777777" w:rsidTr="00412A78">
        <w:trPr>
          <w:gridAfter w:val="1"/>
          <w:wAfter w:w="27" w:type="pct"/>
          <w:trHeight w:val="300"/>
        </w:trPr>
        <w:tc>
          <w:tcPr>
            <w:tcW w:w="467" w:type="pct"/>
            <w:tcBorders>
              <w:top w:val="nil"/>
              <w:left w:val="nil"/>
              <w:bottom w:val="nil"/>
              <w:right w:val="nil"/>
            </w:tcBorders>
            <w:shd w:val="clear" w:color="auto" w:fill="auto"/>
            <w:noWrap/>
            <w:vAlign w:val="center"/>
            <w:hideMark/>
          </w:tcPr>
          <w:p w14:paraId="58C0A475" w14:textId="77777777" w:rsidR="003D0E82" w:rsidRPr="006B42D6" w:rsidRDefault="003D0E82" w:rsidP="00412A78">
            <w:pPr>
              <w:jc w:val="left"/>
              <w:rPr>
                <w:sz w:val="16"/>
                <w:szCs w:val="16"/>
              </w:rPr>
            </w:pPr>
            <w:r w:rsidRPr="006B42D6">
              <w:rPr>
                <w:sz w:val="16"/>
                <w:szCs w:val="16"/>
                <w:lang w:val="en-GB"/>
              </w:rPr>
              <w:t>10 - 14</w:t>
            </w:r>
          </w:p>
        </w:tc>
        <w:tc>
          <w:tcPr>
            <w:tcW w:w="577" w:type="pct"/>
            <w:tcBorders>
              <w:top w:val="nil"/>
              <w:left w:val="nil"/>
              <w:bottom w:val="nil"/>
              <w:right w:val="nil"/>
            </w:tcBorders>
            <w:shd w:val="clear" w:color="auto" w:fill="auto"/>
            <w:noWrap/>
            <w:vAlign w:val="center"/>
            <w:hideMark/>
          </w:tcPr>
          <w:p w14:paraId="7171F6F1" w14:textId="77777777" w:rsidR="003D0E82" w:rsidRPr="006B42D6" w:rsidRDefault="003D0E82" w:rsidP="00412A78">
            <w:pPr>
              <w:jc w:val="center"/>
              <w:rPr>
                <w:sz w:val="16"/>
                <w:szCs w:val="16"/>
              </w:rPr>
            </w:pPr>
            <w:r w:rsidRPr="006B42D6">
              <w:rPr>
                <w:sz w:val="16"/>
                <w:szCs w:val="16"/>
                <w:lang w:val="en-GB"/>
              </w:rPr>
              <w:t>227,583</w:t>
            </w:r>
          </w:p>
        </w:tc>
        <w:tc>
          <w:tcPr>
            <w:tcW w:w="424" w:type="pct"/>
            <w:tcBorders>
              <w:top w:val="nil"/>
              <w:left w:val="nil"/>
              <w:bottom w:val="nil"/>
              <w:right w:val="nil"/>
            </w:tcBorders>
            <w:shd w:val="clear" w:color="auto" w:fill="auto"/>
            <w:noWrap/>
            <w:vAlign w:val="center"/>
            <w:hideMark/>
          </w:tcPr>
          <w:p w14:paraId="3C1B5E9B" w14:textId="77777777" w:rsidR="003D0E82" w:rsidRPr="006B42D6" w:rsidRDefault="003D0E82" w:rsidP="00412A78">
            <w:pPr>
              <w:jc w:val="center"/>
              <w:rPr>
                <w:sz w:val="16"/>
                <w:szCs w:val="16"/>
              </w:rPr>
            </w:pPr>
            <w:r w:rsidRPr="006B42D6">
              <w:rPr>
                <w:sz w:val="16"/>
                <w:szCs w:val="16"/>
                <w:lang w:val="en-GB"/>
              </w:rPr>
              <w:t>12.7</w:t>
            </w:r>
          </w:p>
        </w:tc>
        <w:tc>
          <w:tcPr>
            <w:tcW w:w="544" w:type="pct"/>
            <w:gridSpan w:val="2"/>
            <w:tcBorders>
              <w:top w:val="nil"/>
              <w:left w:val="nil"/>
              <w:bottom w:val="nil"/>
              <w:right w:val="nil"/>
            </w:tcBorders>
            <w:shd w:val="clear" w:color="auto" w:fill="auto"/>
            <w:noWrap/>
            <w:vAlign w:val="center"/>
            <w:hideMark/>
          </w:tcPr>
          <w:p w14:paraId="01093F3F" w14:textId="77777777" w:rsidR="003D0E82" w:rsidRPr="006B42D6" w:rsidRDefault="003D0E82" w:rsidP="00412A78">
            <w:pPr>
              <w:jc w:val="center"/>
              <w:rPr>
                <w:sz w:val="16"/>
                <w:szCs w:val="16"/>
              </w:rPr>
            </w:pPr>
            <w:r w:rsidRPr="006B42D6">
              <w:rPr>
                <w:sz w:val="16"/>
                <w:szCs w:val="16"/>
                <w:lang w:val="en-GB"/>
              </w:rPr>
              <w:t>3,879,443</w:t>
            </w:r>
          </w:p>
        </w:tc>
        <w:tc>
          <w:tcPr>
            <w:tcW w:w="554" w:type="pct"/>
            <w:tcBorders>
              <w:top w:val="nil"/>
              <w:left w:val="nil"/>
              <w:bottom w:val="nil"/>
              <w:right w:val="single" w:sz="4" w:space="0" w:color="auto"/>
            </w:tcBorders>
            <w:shd w:val="clear" w:color="auto" w:fill="auto"/>
            <w:noWrap/>
            <w:vAlign w:val="center"/>
            <w:hideMark/>
          </w:tcPr>
          <w:p w14:paraId="5ACC0CAE" w14:textId="77777777" w:rsidR="003D0E82" w:rsidRPr="006B42D6" w:rsidRDefault="003D0E82" w:rsidP="00412A78">
            <w:pPr>
              <w:jc w:val="center"/>
              <w:rPr>
                <w:sz w:val="16"/>
                <w:szCs w:val="16"/>
              </w:rPr>
            </w:pPr>
            <w:r w:rsidRPr="006B42D6">
              <w:rPr>
                <w:sz w:val="16"/>
                <w:szCs w:val="16"/>
                <w:lang w:val="en-GB"/>
              </w:rPr>
              <w:t>15.9</w:t>
            </w:r>
          </w:p>
        </w:tc>
        <w:tc>
          <w:tcPr>
            <w:tcW w:w="435" w:type="pct"/>
            <w:tcBorders>
              <w:top w:val="nil"/>
              <w:left w:val="nil"/>
              <w:bottom w:val="nil"/>
              <w:right w:val="nil"/>
            </w:tcBorders>
            <w:shd w:val="clear" w:color="auto" w:fill="auto"/>
            <w:noWrap/>
            <w:vAlign w:val="center"/>
            <w:hideMark/>
          </w:tcPr>
          <w:p w14:paraId="610F6346" w14:textId="77777777" w:rsidR="003D0E82" w:rsidRPr="006B42D6" w:rsidRDefault="003D0E82" w:rsidP="00412A78">
            <w:pPr>
              <w:jc w:val="center"/>
              <w:rPr>
                <w:sz w:val="16"/>
                <w:szCs w:val="16"/>
              </w:rPr>
            </w:pPr>
            <w:r w:rsidRPr="006B42D6">
              <w:rPr>
                <w:sz w:val="16"/>
                <w:szCs w:val="16"/>
                <w:lang w:val="en-GB"/>
              </w:rPr>
              <w:t>1,298</w:t>
            </w:r>
          </w:p>
        </w:tc>
        <w:tc>
          <w:tcPr>
            <w:tcW w:w="658" w:type="pct"/>
            <w:tcBorders>
              <w:top w:val="nil"/>
              <w:left w:val="nil"/>
              <w:bottom w:val="nil"/>
              <w:right w:val="nil"/>
            </w:tcBorders>
            <w:shd w:val="clear" w:color="auto" w:fill="auto"/>
            <w:noWrap/>
            <w:vAlign w:val="center"/>
            <w:hideMark/>
          </w:tcPr>
          <w:p w14:paraId="26606799" w14:textId="77777777" w:rsidR="003D0E82" w:rsidRPr="006B42D6" w:rsidRDefault="003D0E82" w:rsidP="00412A78">
            <w:pPr>
              <w:jc w:val="center"/>
              <w:rPr>
                <w:sz w:val="16"/>
                <w:szCs w:val="16"/>
              </w:rPr>
            </w:pPr>
            <w:r w:rsidRPr="006B42D6">
              <w:rPr>
                <w:sz w:val="16"/>
                <w:szCs w:val="16"/>
                <w:lang w:val="en-GB"/>
              </w:rPr>
              <w:t>7.1</w:t>
            </w:r>
          </w:p>
        </w:tc>
        <w:tc>
          <w:tcPr>
            <w:tcW w:w="658" w:type="pct"/>
            <w:gridSpan w:val="2"/>
            <w:tcBorders>
              <w:top w:val="nil"/>
              <w:left w:val="nil"/>
              <w:bottom w:val="nil"/>
              <w:right w:val="nil"/>
            </w:tcBorders>
            <w:shd w:val="clear" w:color="auto" w:fill="auto"/>
            <w:noWrap/>
            <w:vAlign w:val="center"/>
            <w:hideMark/>
          </w:tcPr>
          <w:p w14:paraId="5B731306" w14:textId="77777777" w:rsidR="003D0E82" w:rsidRPr="006B42D6" w:rsidRDefault="003D0E82" w:rsidP="00412A78">
            <w:pPr>
              <w:jc w:val="center"/>
              <w:rPr>
                <w:sz w:val="16"/>
                <w:szCs w:val="16"/>
              </w:rPr>
            </w:pPr>
            <w:r w:rsidRPr="006B42D6">
              <w:rPr>
                <w:sz w:val="16"/>
                <w:szCs w:val="16"/>
                <w:lang w:val="en-GB"/>
              </w:rPr>
              <w:t>18,122</w:t>
            </w:r>
          </w:p>
        </w:tc>
        <w:tc>
          <w:tcPr>
            <w:tcW w:w="656" w:type="pct"/>
            <w:tcBorders>
              <w:top w:val="nil"/>
              <w:left w:val="nil"/>
              <w:bottom w:val="nil"/>
              <w:right w:val="nil"/>
            </w:tcBorders>
            <w:shd w:val="clear" w:color="auto" w:fill="auto"/>
            <w:noWrap/>
            <w:vAlign w:val="center"/>
            <w:hideMark/>
          </w:tcPr>
          <w:p w14:paraId="68ADC117" w14:textId="77777777" w:rsidR="003D0E82" w:rsidRPr="006B42D6" w:rsidRDefault="003D0E82" w:rsidP="00412A78">
            <w:pPr>
              <w:jc w:val="center"/>
              <w:rPr>
                <w:sz w:val="16"/>
                <w:szCs w:val="16"/>
              </w:rPr>
            </w:pPr>
            <w:r w:rsidRPr="006B42D6">
              <w:rPr>
                <w:sz w:val="16"/>
                <w:szCs w:val="16"/>
                <w:lang w:val="en-GB"/>
              </w:rPr>
              <w:t>16.3</w:t>
            </w:r>
          </w:p>
        </w:tc>
      </w:tr>
      <w:tr w:rsidR="006B42D6" w:rsidRPr="006B42D6" w14:paraId="2BD32505" w14:textId="77777777" w:rsidTr="00412A78">
        <w:trPr>
          <w:gridAfter w:val="1"/>
          <w:wAfter w:w="27" w:type="pct"/>
          <w:trHeight w:val="300"/>
        </w:trPr>
        <w:tc>
          <w:tcPr>
            <w:tcW w:w="467" w:type="pct"/>
            <w:tcBorders>
              <w:top w:val="nil"/>
              <w:left w:val="nil"/>
              <w:bottom w:val="nil"/>
              <w:right w:val="nil"/>
            </w:tcBorders>
            <w:shd w:val="clear" w:color="auto" w:fill="auto"/>
            <w:noWrap/>
            <w:vAlign w:val="center"/>
            <w:hideMark/>
          </w:tcPr>
          <w:p w14:paraId="57EE52C0" w14:textId="77777777" w:rsidR="003D0E82" w:rsidRPr="006B42D6" w:rsidRDefault="003D0E82" w:rsidP="00412A78">
            <w:pPr>
              <w:jc w:val="left"/>
              <w:rPr>
                <w:sz w:val="16"/>
                <w:szCs w:val="16"/>
              </w:rPr>
            </w:pPr>
            <w:r w:rsidRPr="006B42D6">
              <w:rPr>
                <w:sz w:val="16"/>
                <w:szCs w:val="16"/>
                <w:lang w:val="en-GB"/>
              </w:rPr>
              <w:t>15 - 19</w:t>
            </w:r>
          </w:p>
        </w:tc>
        <w:tc>
          <w:tcPr>
            <w:tcW w:w="577" w:type="pct"/>
            <w:tcBorders>
              <w:top w:val="nil"/>
              <w:left w:val="nil"/>
              <w:bottom w:val="nil"/>
              <w:right w:val="nil"/>
            </w:tcBorders>
            <w:shd w:val="clear" w:color="auto" w:fill="auto"/>
            <w:noWrap/>
            <w:vAlign w:val="center"/>
            <w:hideMark/>
          </w:tcPr>
          <w:p w14:paraId="6CE96D55" w14:textId="77777777" w:rsidR="003D0E82" w:rsidRPr="006B42D6" w:rsidRDefault="003D0E82" w:rsidP="00412A78">
            <w:pPr>
              <w:jc w:val="center"/>
              <w:rPr>
                <w:sz w:val="16"/>
                <w:szCs w:val="16"/>
              </w:rPr>
            </w:pPr>
            <w:r w:rsidRPr="006B42D6">
              <w:rPr>
                <w:sz w:val="16"/>
                <w:szCs w:val="16"/>
                <w:lang w:val="en-GB"/>
              </w:rPr>
              <w:t>107,191</w:t>
            </w:r>
          </w:p>
        </w:tc>
        <w:tc>
          <w:tcPr>
            <w:tcW w:w="424" w:type="pct"/>
            <w:tcBorders>
              <w:top w:val="nil"/>
              <w:left w:val="nil"/>
              <w:bottom w:val="nil"/>
              <w:right w:val="nil"/>
            </w:tcBorders>
            <w:shd w:val="clear" w:color="auto" w:fill="auto"/>
            <w:noWrap/>
            <w:vAlign w:val="center"/>
            <w:hideMark/>
          </w:tcPr>
          <w:p w14:paraId="5214510F" w14:textId="77777777" w:rsidR="003D0E82" w:rsidRPr="006B42D6" w:rsidRDefault="003D0E82" w:rsidP="00412A78">
            <w:pPr>
              <w:jc w:val="center"/>
              <w:rPr>
                <w:sz w:val="16"/>
                <w:szCs w:val="16"/>
              </w:rPr>
            </w:pPr>
            <w:r w:rsidRPr="006B42D6">
              <w:rPr>
                <w:sz w:val="16"/>
                <w:szCs w:val="16"/>
                <w:lang w:val="en-GB"/>
              </w:rPr>
              <w:t>6</w:t>
            </w:r>
          </w:p>
        </w:tc>
        <w:tc>
          <w:tcPr>
            <w:tcW w:w="544" w:type="pct"/>
            <w:gridSpan w:val="2"/>
            <w:tcBorders>
              <w:top w:val="nil"/>
              <w:left w:val="nil"/>
              <w:bottom w:val="nil"/>
              <w:right w:val="nil"/>
            </w:tcBorders>
            <w:shd w:val="clear" w:color="auto" w:fill="auto"/>
            <w:noWrap/>
            <w:vAlign w:val="center"/>
            <w:hideMark/>
          </w:tcPr>
          <w:p w14:paraId="70769DF7" w14:textId="77777777" w:rsidR="003D0E82" w:rsidRPr="006B42D6" w:rsidRDefault="003D0E82" w:rsidP="00412A78">
            <w:pPr>
              <w:jc w:val="center"/>
              <w:rPr>
                <w:sz w:val="16"/>
                <w:szCs w:val="16"/>
              </w:rPr>
            </w:pPr>
            <w:r w:rsidRPr="006B42D6">
              <w:rPr>
                <w:sz w:val="16"/>
                <w:szCs w:val="16"/>
                <w:lang w:val="en-GB"/>
              </w:rPr>
              <w:t>2,428,691</w:t>
            </w:r>
          </w:p>
        </w:tc>
        <w:tc>
          <w:tcPr>
            <w:tcW w:w="554" w:type="pct"/>
            <w:tcBorders>
              <w:top w:val="nil"/>
              <w:left w:val="nil"/>
              <w:bottom w:val="nil"/>
              <w:right w:val="single" w:sz="4" w:space="0" w:color="auto"/>
            </w:tcBorders>
            <w:shd w:val="clear" w:color="auto" w:fill="auto"/>
            <w:noWrap/>
            <w:vAlign w:val="center"/>
            <w:hideMark/>
          </w:tcPr>
          <w:p w14:paraId="1196EDB1" w14:textId="77777777" w:rsidR="003D0E82" w:rsidRPr="006B42D6" w:rsidRDefault="003D0E82" w:rsidP="00412A78">
            <w:pPr>
              <w:jc w:val="center"/>
              <w:rPr>
                <w:sz w:val="16"/>
                <w:szCs w:val="16"/>
              </w:rPr>
            </w:pPr>
            <w:r w:rsidRPr="006B42D6">
              <w:rPr>
                <w:sz w:val="16"/>
                <w:szCs w:val="16"/>
                <w:lang w:val="en-GB"/>
              </w:rPr>
              <w:t>9.9</w:t>
            </w:r>
          </w:p>
        </w:tc>
        <w:tc>
          <w:tcPr>
            <w:tcW w:w="435" w:type="pct"/>
            <w:tcBorders>
              <w:top w:val="nil"/>
              <w:left w:val="nil"/>
              <w:bottom w:val="nil"/>
              <w:right w:val="nil"/>
            </w:tcBorders>
            <w:shd w:val="clear" w:color="auto" w:fill="auto"/>
            <w:noWrap/>
            <w:vAlign w:val="center"/>
            <w:hideMark/>
          </w:tcPr>
          <w:p w14:paraId="66295493" w14:textId="77777777" w:rsidR="003D0E82" w:rsidRPr="006B42D6" w:rsidRDefault="003D0E82" w:rsidP="00412A78">
            <w:pPr>
              <w:jc w:val="center"/>
              <w:rPr>
                <w:sz w:val="16"/>
                <w:szCs w:val="16"/>
              </w:rPr>
            </w:pPr>
            <w:r w:rsidRPr="006B42D6">
              <w:rPr>
                <w:sz w:val="16"/>
                <w:szCs w:val="16"/>
                <w:lang w:val="en-GB"/>
              </w:rPr>
              <w:t>365</w:t>
            </w:r>
          </w:p>
        </w:tc>
        <w:tc>
          <w:tcPr>
            <w:tcW w:w="658" w:type="pct"/>
            <w:tcBorders>
              <w:top w:val="nil"/>
              <w:left w:val="nil"/>
              <w:bottom w:val="nil"/>
              <w:right w:val="nil"/>
            </w:tcBorders>
            <w:shd w:val="clear" w:color="auto" w:fill="auto"/>
            <w:noWrap/>
            <w:vAlign w:val="center"/>
            <w:hideMark/>
          </w:tcPr>
          <w:p w14:paraId="5A9E6ADC" w14:textId="77777777" w:rsidR="003D0E82" w:rsidRPr="006B42D6" w:rsidRDefault="003D0E82" w:rsidP="00412A78">
            <w:pPr>
              <w:jc w:val="center"/>
              <w:rPr>
                <w:sz w:val="16"/>
                <w:szCs w:val="16"/>
              </w:rPr>
            </w:pPr>
            <w:r w:rsidRPr="006B42D6">
              <w:rPr>
                <w:sz w:val="16"/>
                <w:szCs w:val="16"/>
                <w:lang w:val="en-GB"/>
              </w:rPr>
              <w:t>2</w:t>
            </w:r>
          </w:p>
        </w:tc>
        <w:tc>
          <w:tcPr>
            <w:tcW w:w="658" w:type="pct"/>
            <w:gridSpan w:val="2"/>
            <w:tcBorders>
              <w:top w:val="nil"/>
              <w:left w:val="nil"/>
              <w:bottom w:val="nil"/>
              <w:right w:val="nil"/>
            </w:tcBorders>
            <w:shd w:val="clear" w:color="auto" w:fill="auto"/>
            <w:noWrap/>
            <w:vAlign w:val="center"/>
            <w:hideMark/>
          </w:tcPr>
          <w:p w14:paraId="0A766380" w14:textId="77777777" w:rsidR="003D0E82" w:rsidRPr="006B42D6" w:rsidRDefault="003D0E82" w:rsidP="00412A78">
            <w:pPr>
              <w:jc w:val="center"/>
              <w:rPr>
                <w:sz w:val="16"/>
                <w:szCs w:val="16"/>
              </w:rPr>
            </w:pPr>
            <w:r w:rsidRPr="006B42D6">
              <w:rPr>
                <w:sz w:val="16"/>
                <w:szCs w:val="16"/>
                <w:lang w:val="en-GB"/>
              </w:rPr>
              <w:t>6,409</w:t>
            </w:r>
          </w:p>
        </w:tc>
        <w:tc>
          <w:tcPr>
            <w:tcW w:w="656" w:type="pct"/>
            <w:tcBorders>
              <w:top w:val="nil"/>
              <w:left w:val="nil"/>
              <w:bottom w:val="nil"/>
              <w:right w:val="nil"/>
            </w:tcBorders>
            <w:shd w:val="clear" w:color="auto" w:fill="auto"/>
            <w:noWrap/>
            <w:vAlign w:val="center"/>
            <w:hideMark/>
          </w:tcPr>
          <w:p w14:paraId="7AD3D65A" w14:textId="77777777" w:rsidR="003D0E82" w:rsidRPr="006B42D6" w:rsidRDefault="003D0E82" w:rsidP="00412A78">
            <w:pPr>
              <w:jc w:val="center"/>
              <w:rPr>
                <w:sz w:val="16"/>
                <w:szCs w:val="16"/>
              </w:rPr>
            </w:pPr>
            <w:r w:rsidRPr="006B42D6">
              <w:rPr>
                <w:sz w:val="16"/>
                <w:szCs w:val="16"/>
                <w:lang w:val="en-GB"/>
              </w:rPr>
              <w:t>5.8</w:t>
            </w:r>
          </w:p>
        </w:tc>
      </w:tr>
      <w:tr w:rsidR="006B42D6" w:rsidRPr="006B42D6" w14:paraId="2DA1AC43" w14:textId="77777777" w:rsidTr="00412A78">
        <w:trPr>
          <w:gridAfter w:val="1"/>
          <w:wAfter w:w="27" w:type="pct"/>
          <w:trHeight w:val="300"/>
        </w:trPr>
        <w:tc>
          <w:tcPr>
            <w:tcW w:w="467" w:type="pct"/>
            <w:tcBorders>
              <w:top w:val="nil"/>
              <w:left w:val="nil"/>
              <w:bottom w:val="nil"/>
              <w:right w:val="nil"/>
            </w:tcBorders>
            <w:shd w:val="clear" w:color="auto" w:fill="auto"/>
            <w:noWrap/>
            <w:vAlign w:val="center"/>
            <w:hideMark/>
          </w:tcPr>
          <w:p w14:paraId="5E400110" w14:textId="77777777" w:rsidR="003D0E82" w:rsidRPr="006B42D6" w:rsidRDefault="003D0E82" w:rsidP="00412A78">
            <w:pPr>
              <w:jc w:val="left"/>
              <w:rPr>
                <w:sz w:val="16"/>
                <w:szCs w:val="16"/>
              </w:rPr>
            </w:pPr>
            <w:r w:rsidRPr="006B42D6">
              <w:rPr>
                <w:sz w:val="16"/>
                <w:szCs w:val="16"/>
                <w:lang w:val="en-GB"/>
              </w:rPr>
              <w:t>20 - 24</w:t>
            </w:r>
          </w:p>
        </w:tc>
        <w:tc>
          <w:tcPr>
            <w:tcW w:w="577" w:type="pct"/>
            <w:tcBorders>
              <w:top w:val="nil"/>
              <w:left w:val="nil"/>
              <w:bottom w:val="nil"/>
              <w:right w:val="nil"/>
            </w:tcBorders>
            <w:shd w:val="clear" w:color="auto" w:fill="auto"/>
            <w:noWrap/>
            <w:vAlign w:val="center"/>
            <w:hideMark/>
          </w:tcPr>
          <w:p w14:paraId="5875B141" w14:textId="77777777" w:rsidR="003D0E82" w:rsidRPr="006B42D6" w:rsidRDefault="003D0E82" w:rsidP="00412A78">
            <w:pPr>
              <w:jc w:val="center"/>
              <w:rPr>
                <w:sz w:val="16"/>
                <w:szCs w:val="16"/>
              </w:rPr>
            </w:pPr>
            <w:r w:rsidRPr="006B42D6">
              <w:rPr>
                <w:sz w:val="16"/>
                <w:szCs w:val="16"/>
                <w:lang w:val="en-GB"/>
              </w:rPr>
              <w:t>61,392</w:t>
            </w:r>
          </w:p>
        </w:tc>
        <w:tc>
          <w:tcPr>
            <w:tcW w:w="424" w:type="pct"/>
            <w:tcBorders>
              <w:top w:val="nil"/>
              <w:left w:val="nil"/>
              <w:bottom w:val="nil"/>
              <w:right w:val="nil"/>
            </w:tcBorders>
            <w:shd w:val="clear" w:color="auto" w:fill="auto"/>
            <w:noWrap/>
            <w:vAlign w:val="center"/>
            <w:hideMark/>
          </w:tcPr>
          <w:p w14:paraId="361E00C7" w14:textId="77777777" w:rsidR="003D0E82" w:rsidRPr="006B42D6" w:rsidRDefault="003D0E82" w:rsidP="00412A78">
            <w:pPr>
              <w:jc w:val="center"/>
              <w:rPr>
                <w:sz w:val="16"/>
                <w:szCs w:val="16"/>
              </w:rPr>
            </w:pPr>
            <w:r w:rsidRPr="006B42D6">
              <w:rPr>
                <w:sz w:val="16"/>
                <w:szCs w:val="16"/>
                <w:lang w:val="en-GB"/>
              </w:rPr>
              <w:t>3.4</w:t>
            </w:r>
          </w:p>
        </w:tc>
        <w:tc>
          <w:tcPr>
            <w:tcW w:w="544" w:type="pct"/>
            <w:gridSpan w:val="2"/>
            <w:tcBorders>
              <w:top w:val="nil"/>
              <w:left w:val="nil"/>
              <w:bottom w:val="nil"/>
              <w:right w:val="nil"/>
            </w:tcBorders>
            <w:shd w:val="clear" w:color="auto" w:fill="auto"/>
            <w:noWrap/>
            <w:vAlign w:val="center"/>
            <w:hideMark/>
          </w:tcPr>
          <w:p w14:paraId="381096EE" w14:textId="77777777" w:rsidR="003D0E82" w:rsidRPr="006B42D6" w:rsidRDefault="003D0E82" w:rsidP="00412A78">
            <w:pPr>
              <w:jc w:val="center"/>
              <w:rPr>
                <w:sz w:val="16"/>
                <w:szCs w:val="16"/>
              </w:rPr>
            </w:pPr>
            <w:r w:rsidRPr="006B42D6">
              <w:rPr>
                <w:sz w:val="16"/>
                <w:szCs w:val="16"/>
                <w:lang w:val="en-GB"/>
              </w:rPr>
              <w:t>1,755,520</w:t>
            </w:r>
          </w:p>
        </w:tc>
        <w:tc>
          <w:tcPr>
            <w:tcW w:w="554" w:type="pct"/>
            <w:tcBorders>
              <w:top w:val="nil"/>
              <w:left w:val="nil"/>
              <w:bottom w:val="nil"/>
              <w:right w:val="single" w:sz="4" w:space="0" w:color="auto"/>
            </w:tcBorders>
            <w:shd w:val="clear" w:color="auto" w:fill="auto"/>
            <w:noWrap/>
            <w:vAlign w:val="center"/>
            <w:hideMark/>
          </w:tcPr>
          <w:p w14:paraId="6F7AEA9F" w14:textId="77777777" w:rsidR="003D0E82" w:rsidRPr="006B42D6" w:rsidRDefault="003D0E82" w:rsidP="00412A78">
            <w:pPr>
              <w:jc w:val="center"/>
              <w:rPr>
                <w:sz w:val="16"/>
                <w:szCs w:val="16"/>
              </w:rPr>
            </w:pPr>
            <w:r w:rsidRPr="006B42D6">
              <w:rPr>
                <w:sz w:val="16"/>
                <w:szCs w:val="16"/>
                <w:lang w:val="en-GB"/>
              </w:rPr>
              <w:t>7.2</w:t>
            </w:r>
          </w:p>
        </w:tc>
        <w:tc>
          <w:tcPr>
            <w:tcW w:w="435" w:type="pct"/>
            <w:tcBorders>
              <w:top w:val="nil"/>
              <w:left w:val="nil"/>
              <w:bottom w:val="nil"/>
              <w:right w:val="nil"/>
            </w:tcBorders>
            <w:shd w:val="clear" w:color="auto" w:fill="auto"/>
            <w:noWrap/>
            <w:vAlign w:val="center"/>
            <w:hideMark/>
          </w:tcPr>
          <w:p w14:paraId="5987BE83" w14:textId="00DA6F70" w:rsidR="003D0E82" w:rsidRPr="006B42D6" w:rsidRDefault="003D0E82" w:rsidP="00412A78">
            <w:pPr>
              <w:jc w:val="center"/>
              <w:rPr>
                <w:sz w:val="16"/>
                <w:szCs w:val="16"/>
              </w:rPr>
            </w:pPr>
            <w:r w:rsidRPr="006B42D6">
              <w:rPr>
                <w:sz w:val="16"/>
                <w:szCs w:val="16"/>
                <w:lang w:val="en-GB"/>
              </w:rPr>
              <w:t>-</w:t>
            </w:r>
          </w:p>
        </w:tc>
        <w:tc>
          <w:tcPr>
            <w:tcW w:w="658" w:type="pct"/>
            <w:tcBorders>
              <w:top w:val="nil"/>
              <w:left w:val="nil"/>
              <w:bottom w:val="nil"/>
              <w:right w:val="nil"/>
            </w:tcBorders>
            <w:shd w:val="clear" w:color="auto" w:fill="auto"/>
            <w:noWrap/>
            <w:vAlign w:val="center"/>
            <w:hideMark/>
          </w:tcPr>
          <w:p w14:paraId="47A47F08" w14:textId="136949AB" w:rsidR="003D0E82" w:rsidRPr="006B42D6" w:rsidRDefault="003D0E82" w:rsidP="00412A78">
            <w:pPr>
              <w:jc w:val="center"/>
              <w:rPr>
                <w:sz w:val="16"/>
                <w:szCs w:val="16"/>
              </w:rPr>
            </w:pPr>
            <w:r w:rsidRPr="006B42D6">
              <w:rPr>
                <w:sz w:val="16"/>
                <w:szCs w:val="16"/>
                <w:lang w:val="en-GB"/>
              </w:rPr>
              <w:t>-</w:t>
            </w:r>
          </w:p>
        </w:tc>
        <w:tc>
          <w:tcPr>
            <w:tcW w:w="658" w:type="pct"/>
            <w:gridSpan w:val="2"/>
            <w:tcBorders>
              <w:top w:val="nil"/>
              <w:left w:val="nil"/>
              <w:bottom w:val="nil"/>
              <w:right w:val="nil"/>
            </w:tcBorders>
            <w:shd w:val="clear" w:color="auto" w:fill="auto"/>
            <w:noWrap/>
            <w:vAlign w:val="center"/>
            <w:hideMark/>
          </w:tcPr>
          <w:p w14:paraId="0CAA2EC6" w14:textId="1BC28B49" w:rsidR="003D0E82" w:rsidRPr="006B42D6" w:rsidRDefault="003D0E82" w:rsidP="00412A78">
            <w:pPr>
              <w:jc w:val="center"/>
              <w:rPr>
                <w:sz w:val="16"/>
                <w:szCs w:val="16"/>
              </w:rPr>
            </w:pPr>
            <w:r w:rsidRPr="006B42D6">
              <w:rPr>
                <w:sz w:val="16"/>
                <w:szCs w:val="16"/>
                <w:lang w:val="en-GB"/>
              </w:rPr>
              <w:t>-</w:t>
            </w:r>
          </w:p>
        </w:tc>
        <w:tc>
          <w:tcPr>
            <w:tcW w:w="656" w:type="pct"/>
            <w:tcBorders>
              <w:top w:val="nil"/>
              <w:left w:val="nil"/>
              <w:bottom w:val="nil"/>
              <w:right w:val="nil"/>
            </w:tcBorders>
            <w:shd w:val="clear" w:color="auto" w:fill="auto"/>
            <w:noWrap/>
            <w:vAlign w:val="center"/>
            <w:hideMark/>
          </w:tcPr>
          <w:p w14:paraId="77D125BD" w14:textId="19058388" w:rsidR="003D0E82" w:rsidRPr="006B42D6" w:rsidRDefault="003D0E82" w:rsidP="00412A78">
            <w:pPr>
              <w:jc w:val="center"/>
              <w:rPr>
                <w:sz w:val="16"/>
                <w:szCs w:val="16"/>
              </w:rPr>
            </w:pPr>
            <w:r w:rsidRPr="006B42D6">
              <w:rPr>
                <w:sz w:val="16"/>
                <w:szCs w:val="16"/>
                <w:lang w:val="en-GB"/>
              </w:rPr>
              <w:t>-</w:t>
            </w:r>
          </w:p>
        </w:tc>
      </w:tr>
      <w:tr w:rsidR="006B42D6" w:rsidRPr="006B42D6" w14:paraId="0E216DA5" w14:textId="77777777" w:rsidTr="00412A78">
        <w:trPr>
          <w:gridAfter w:val="1"/>
          <w:wAfter w:w="27" w:type="pct"/>
          <w:trHeight w:val="300"/>
        </w:trPr>
        <w:tc>
          <w:tcPr>
            <w:tcW w:w="467" w:type="pct"/>
            <w:tcBorders>
              <w:top w:val="nil"/>
              <w:left w:val="nil"/>
              <w:bottom w:val="nil"/>
              <w:right w:val="nil"/>
            </w:tcBorders>
            <w:shd w:val="clear" w:color="auto" w:fill="auto"/>
            <w:noWrap/>
            <w:vAlign w:val="center"/>
            <w:hideMark/>
          </w:tcPr>
          <w:p w14:paraId="2E5A4FB2" w14:textId="77777777" w:rsidR="003D0E82" w:rsidRPr="006B42D6" w:rsidRDefault="003D0E82" w:rsidP="00412A78">
            <w:pPr>
              <w:jc w:val="left"/>
              <w:rPr>
                <w:sz w:val="16"/>
                <w:szCs w:val="16"/>
              </w:rPr>
            </w:pPr>
            <w:r w:rsidRPr="006B42D6">
              <w:rPr>
                <w:sz w:val="16"/>
                <w:szCs w:val="16"/>
                <w:lang w:val="en-GB"/>
              </w:rPr>
              <w:t>25 - 29</w:t>
            </w:r>
          </w:p>
        </w:tc>
        <w:tc>
          <w:tcPr>
            <w:tcW w:w="577" w:type="pct"/>
            <w:tcBorders>
              <w:top w:val="nil"/>
              <w:left w:val="nil"/>
              <w:bottom w:val="nil"/>
              <w:right w:val="nil"/>
            </w:tcBorders>
            <w:shd w:val="clear" w:color="auto" w:fill="auto"/>
            <w:noWrap/>
            <w:vAlign w:val="center"/>
            <w:hideMark/>
          </w:tcPr>
          <w:p w14:paraId="59B032D5" w14:textId="77777777" w:rsidR="003D0E82" w:rsidRPr="006B42D6" w:rsidRDefault="003D0E82" w:rsidP="00412A78">
            <w:pPr>
              <w:jc w:val="center"/>
              <w:rPr>
                <w:sz w:val="16"/>
                <w:szCs w:val="16"/>
              </w:rPr>
            </w:pPr>
            <w:r w:rsidRPr="006B42D6">
              <w:rPr>
                <w:sz w:val="16"/>
                <w:szCs w:val="16"/>
                <w:lang w:val="en-GB"/>
              </w:rPr>
              <w:t>31,616</w:t>
            </w:r>
          </w:p>
        </w:tc>
        <w:tc>
          <w:tcPr>
            <w:tcW w:w="424" w:type="pct"/>
            <w:tcBorders>
              <w:top w:val="nil"/>
              <w:left w:val="nil"/>
              <w:bottom w:val="nil"/>
              <w:right w:val="nil"/>
            </w:tcBorders>
            <w:shd w:val="clear" w:color="auto" w:fill="auto"/>
            <w:noWrap/>
            <w:vAlign w:val="center"/>
            <w:hideMark/>
          </w:tcPr>
          <w:p w14:paraId="579B070B" w14:textId="77777777" w:rsidR="003D0E82" w:rsidRPr="006B42D6" w:rsidRDefault="003D0E82" w:rsidP="00412A78">
            <w:pPr>
              <w:jc w:val="center"/>
              <w:rPr>
                <w:sz w:val="16"/>
                <w:szCs w:val="16"/>
              </w:rPr>
            </w:pPr>
            <w:r w:rsidRPr="006B42D6">
              <w:rPr>
                <w:sz w:val="16"/>
                <w:szCs w:val="16"/>
                <w:lang w:val="en-GB"/>
              </w:rPr>
              <w:t>1.8</w:t>
            </w:r>
          </w:p>
        </w:tc>
        <w:tc>
          <w:tcPr>
            <w:tcW w:w="544" w:type="pct"/>
            <w:gridSpan w:val="2"/>
            <w:tcBorders>
              <w:top w:val="nil"/>
              <w:left w:val="nil"/>
              <w:bottom w:val="nil"/>
              <w:right w:val="nil"/>
            </w:tcBorders>
            <w:shd w:val="clear" w:color="auto" w:fill="auto"/>
            <w:noWrap/>
            <w:vAlign w:val="center"/>
            <w:hideMark/>
          </w:tcPr>
          <w:p w14:paraId="716A1FE3" w14:textId="77777777" w:rsidR="003D0E82" w:rsidRPr="006B42D6" w:rsidRDefault="003D0E82" w:rsidP="00412A78">
            <w:pPr>
              <w:jc w:val="center"/>
              <w:rPr>
                <w:sz w:val="16"/>
                <w:szCs w:val="16"/>
              </w:rPr>
            </w:pPr>
            <w:r w:rsidRPr="006B42D6">
              <w:rPr>
                <w:sz w:val="16"/>
                <w:szCs w:val="16"/>
                <w:lang w:val="en-GB"/>
              </w:rPr>
              <w:t>1,032,573</w:t>
            </w:r>
          </w:p>
        </w:tc>
        <w:tc>
          <w:tcPr>
            <w:tcW w:w="554" w:type="pct"/>
            <w:tcBorders>
              <w:top w:val="nil"/>
              <w:left w:val="nil"/>
              <w:bottom w:val="nil"/>
              <w:right w:val="single" w:sz="4" w:space="0" w:color="auto"/>
            </w:tcBorders>
            <w:shd w:val="clear" w:color="auto" w:fill="auto"/>
            <w:noWrap/>
            <w:vAlign w:val="center"/>
            <w:hideMark/>
          </w:tcPr>
          <w:p w14:paraId="0F564114" w14:textId="77777777" w:rsidR="003D0E82" w:rsidRPr="006B42D6" w:rsidRDefault="003D0E82" w:rsidP="00412A78">
            <w:pPr>
              <w:jc w:val="center"/>
              <w:rPr>
                <w:sz w:val="16"/>
                <w:szCs w:val="16"/>
              </w:rPr>
            </w:pPr>
            <w:r w:rsidRPr="006B42D6">
              <w:rPr>
                <w:sz w:val="16"/>
                <w:szCs w:val="16"/>
                <w:lang w:val="en-GB"/>
              </w:rPr>
              <w:t>4.2</w:t>
            </w:r>
          </w:p>
        </w:tc>
        <w:tc>
          <w:tcPr>
            <w:tcW w:w="435" w:type="pct"/>
            <w:tcBorders>
              <w:top w:val="nil"/>
              <w:left w:val="nil"/>
              <w:bottom w:val="nil"/>
              <w:right w:val="nil"/>
            </w:tcBorders>
            <w:shd w:val="clear" w:color="auto" w:fill="auto"/>
            <w:noWrap/>
            <w:vAlign w:val="center"/>
            <w:hideMark/>
          </w:tcPr>
          <w:p w14:paraId="7B0B483F" w14:textId="77777777" w:rsidR="003D0E82" w:rsidRPr="006B42D6" w:rsidRDefault="003D0E82" w:rsidP="00412A78">
            <w:pPr>
              <w:jc w:val="center"/>
              <w:rPr>
                <w:sz w:val="16"/>
                <w:szCs w:val="16"/>
              </w:rPr>
            </w:pPr>
            <w:r w:rsidRPr="006B42D6">
              <w:rPr>
                <w:sz w:val="16"/>
                <w:szCs w:val="16"/>
                <w:lang w:val="en-GB"/>
              </w:rPr>
              <w:t>123</w:t>
            </w:r>
          </w:p>
        </w:tc>
        <w:tc>
          <w:tcPr>
            <w:tcW w:w="658" w:type="pct"/>
            <w:tcBorders>
              <w:top w:val="nil"/>
              <w:left w:val="nil"/>
              <w:bottom w:val="nil"/>
              <w:right w:val="nil"/>
            </w:tcBorders>
            <w:shd w:val="clear" w:color="auto" w:fill="auto"/>
            <w:noWrap/>
            <w:vAlign w:val="center"/>
            <w:hideMark/>
          </w:tcPr>
          <w:p w14:paraId="7ADF8AA0" w14:textId="77777777" w:rsidR="003D0E82" w:rsidRPr="006B42D6" w:rsidRDefault="003D0E82" w:rsidP="00412A78">
            <w:pPr>
              <w:jc w:val="center"/>
              <w:rPr>
                <w:sz w:val="16"/>
                <w:szCs w:val="16"/>
              </w:rPr>
            </w:pPr>
            <w:r w:rsidRPr="006B42D6">
              <w:rPr>
                <w:sz w:val="16"/>
                <w:szCs w:val="16"/>
                <w:lang w:val="en-GB"/>
              </w:rPr>
              <w:t>0.7</w:t>
            </w:r>
          </w:p>
        </w:tc>
        <w:tc>
          <w:tcPr>
            <w:tcW w:w="658" w:type="pct"/>
            <w:gridSpan w:val="2"/>
            <w:tcBorders>
              <w:top w:val="nil"/>
              <w:left w:val="nil"/>
              <w:bottom w:val="nil"/>
              <w:right w:val="nil"/>
            </w:tcBorders>
            <w:shd w:val="clear" w:color="auto" w:fill="auto"/>
            <w:noWrap/>
            <w:vAlign w:val="center"/>
            <w:hideMark/>
          </w:tcPr>
          <w:p w14:paraId="6CD61222" w14:textId="77777777" w:rsidR="003D0E82" w:rsidRPr="006B42D6" w:rsidRDefault="003D0E82" w:rsidP="00412A78">
            <w:pPr>
              <w:jc w:val="center"/>
              <w:rPr>
                <w:sz w:val="16"/>
                <w:szCs w:val="16"/>
              </w:rPr>
            </w:pPr>
            <w:r w:rsidRPr="006B42D6">
              <w:rPr>
                <w:sz w:val="16"/>
                <w:szCs w:val="16"/>
                <w:lang w:val="en-GB"/>
              </w:rPr>
              <w:t>4,323</w:t>
            </w:r>
          </w:p>
        </w:tc>
        <w:tc>
          <w:tcPr>
            <w:tcW w:w="656" w:type="pct"/>
            <w:tcBorders>
              <w:top w:val="nil"/>
              <w:left w:val="nil"/>
              <w:bottom w:val="nil"/>
              <w:right w:val="nil"/>
            </w:tcBorders>
            <w:shd w:val="clear" w:color="auto" w:fill="auto"/>
            <w:noWrap/>
            <w:vAlign w:val="center"/>
            <w:hideMark/>
          </w:tcPr>
          <w:p w14:paraId="6B82A5D9" w14:textId="77777777" w:rsidR="003D0E82" w:rsidRPr="006B42D6" w:rsidRDefault="003D0E82" w:rsidP="00412A78">
            <w:pPr>
              <w:jc w:val="center"/>
              <w:rPr>
                <w:sz w:val="16"/>
                <w:szCs w:val="16"/>
              </w:rPr>
            </w:pPr>
            <w:r w:rsidRPr="006B42D6">
              <w:rPr>
                <w:sz w:val="16"/>
                <w:szCs w:val="16"/>
                <w:lang w:val="en-GB"/>
              </w:rPr>
              <w:t>3.9</w:t>
            </w:r>
          </w:p>
        </w:tc>
      </w:tr>
      <w:tr w:rsidR="006B42D6" w:rsidRPr="006B42D6" w14:paraId="6D241B50" w14:textId="77777777" w:rsidTr="00412A78">
        <w:trPr>
          <w:gridAfter w:val="1"/>
          <w:wAfter w:w="27" w:type="pct"/>
          <w:trHeight w:val="300"/>
        </w:trPr>
        <w:tc>
          <w:tcPr>
            <w:tcW w:w="467" w:type="pct"/>
            <w:tcBorders>
              <w:top w:val="nil"/>
              <w:left w:val="nil"/>
              <w:bottom w:val="nil"/>
              <w:right w:val="nil"/>
            </w:tcBorders>
            <w:shd w:val="clear" w:color="auto" w:fill="auto"/>
            <w:noWrap/>
            <w:vAlign w:val="center"/>
            <w:hideMark/>
          </w:tcPr>
          <w:p w14:paraId="33781780" w14:textId="77777777" w:rsidR="003D0E82" w:rsidRPr="006B42D6" w:rsidRDefault="003D0E82" w:rsidP="00412A78">
            <w:pPr>
              <w:jc w:val="left"/>
              <w:rPr>
                <w:sz w:val="16"/>
                <w:szCs w:val="16"/>
              </w:rPr>
            </w:pPr>
            <w:r w:rsidRPr="006B42D6">
              <w:rPr>
                <w:sz w:val="16"/>
                <w:szCs w:val="16"/>
                <w:lang w:val="en-GB"/>
              </w:rPr>
              <w:t>30 - 34</w:t>
            </w:r>
          </w:p>
        </w:tc>
        <w:tc>
          <w:tcPr>
            <w:tcW w:w="577" w:type="pct"/>
            <w:tcBorders>
              <w:top w:val="nil"/>
              <w:left w:val="nil"/>
              <w:bottom w:val="nil"/>
              <w:right w:val="nil"/>
            </w:tcBorders>
            <w:shd w:val="clear" w:color="auto" w:fill="auto"/>
            <w:noWrap/>
            <w:vAlign w:val="center"/>
            <w:hideMark/>
          </w:tcPr>
          <w:p w14:paraId="212A6B0F" w14:textId="77777777" w:rsidR="003D0E82" w:rsidRPr="006B42D6" w:rsidRDefault="003D0E82" w:rsidP="00412A78">
            <w:pPr>
              <w:jc w:val="center"/>
              <w:rPr>
                <w:sz w:val="16"/>
                <w:szCs w:val="16"/>
              </w:rPr>
            </w:pPr>
            <w:r w:rsidRPr="006B42D6">
              <w:rPr>
                <w:sz w:val="16"/>
                <w:szCs w:val="16"/>
                <w:lang w:val="en-GB"/>
              </w:rPr>
              <w:t>22,673</w:t>
            </w:r>
          </w:p>
        </w:tc>
        <w:tc>
          <w:tcPr>
            <w:tcW w:w="424" w:type="pct"/>
            <w:tcBorders>
              <w:top w:val="nil"/>
              <w:left w:val="nil"/>
              <w:bottom w:val="nil"/>
              <w:right w:val="nil"/>
            </w:tcBorders>
            <w:shd w:val="clear" w:color="auto" w:fill="auto"/>
            <w:noWrap/>
            <w:vAlign w:val="center"/>
            <w:hideMark/>
          </w:tcPr>
          <w:p w14:paraId="7359E4F4" w14:textId="77777777" w:rsidR="003D0E82" w:rsidRPr="006B42D6" w:rsidRDefault="003D0E82" w:rsidP="00412A78">
            <w:pPr>
              <w:jc w:val="center"/>
              <w:rPr>
                <w:sz w:val="16"/>
                <w:szCs w:val="16"/>
              </w:rPr>
            </w:pPr>
            <w:r w:rsidRPr="006B42D6">
              <w:rPr>
                <w:sz w:val="16"/>
                <w:szCs w:val="16"/>
                <w:lang w:val="en-GB"/>
              </w:rPr>
              <w:t>1.3</w:t>
            </w:r>
          </w:p>
        </w:tc>
        <w:tc>
          <w:tcPr>
            <w:tcW w:w="544" w:type="pct"/>
            <w:gridSpan w:val="2"/>
            <w:tcBorders>
              <w:top w:val="nil"/>
              <w:left w:val="nil"/>
              <w:bottom w:val="nil"/>
              <w:right w:val="nil"/>
            </w:tcBorders>
            <w:shd w:val="clear" w:color="auto" w:fill="auto"/>
            <w:noWrap/>
            <w:vAlign w:val="center"/>
            <w:hideMark/>
          </w:tcPr>
          <w:p w14:paraId="5AB161EB" w14:textId="77777777" w:rsidR="003D0E82" w:rsidRPr="006B42D6" w:rsidRDefault="003D0E82" w:rsidP="00412A78">
            <w:pPr>
              <w:jc w:val="center"/>
              <w:rPr>
                <w:sz w:val="16"/>
                <w:szCs w:val="16"/>
              </w:rPr>
            </w:pPr>
            <w:r w:rsidRPr="006B42D6">
              <w:rPr>
                <w:sz w:val="16"/>
                <w:szCs w:val="16"/>
                <w:lang w:val="en-GB"/>
              </w:rPr>
              <w:t>850,506</w:t>
            </w:r>
          </w:p>
        </w:tc>
        <w:tc>
          <w:tcPr>
            <w:tcW w:w="554" w:type="pct"/>
            <w:tcBorders>
              <w:top w:val="nil"/>
              <w:left w:val="nil"/>
              <w:bottom w:val="nil"/>
              <w:right w:val="single" w:sz="4" w:space="0" w:color="auto"/>
            </w:tcBorders>
            <w:shd w:val="clear" w:color="auto" w:fill="auto"/>
            <w:noWrap/>
            <w:vAlign w:val="center"/>
            <w:hideMark/>
          </w:tcPr>
          <w:p w14:paraId="6206692F" w14:textId="77777777" w:rsidR="003D0E82" w:rsidRPr="006B42D6" w:rsidRDefault="003D0E82" w:rsidP="00412A78">
            <w:pPr>
              <w:jc w:val="center"/>
              <w:rPr>
                <w:sz w:val="16"/>
                <w:szCs w:val="16"/>
              </w:rPr>
            </w:pPr>
            <w:r w:rsidRPr="006B42D6">
              <w:rPr>
                <w:sz w:val="16"/>
                <w:szCs w:val="16"/>
                <w:lang w:val="en-GB"/>
              </w:rPr>
              <w:t>3.5</w:t>
            </w:r>
          </w:p>
        </w:tc>
        <w:tc>
          <w:tcPr>
            <w:tcW w:w="435" w:type="pct"/>
            <w:tcBorders>
              <w:top w:val="nil"/>
              <w:left w:val="nil"/>
              <w:bottom w:val="nil"/>
              <w:right w:val="nil"/>
            </w:tcBorders>
            <w:shd w:val="clear" w:color="auto" w:fill="auto"/>
            <w:noWrap/>
            <w:vAlign w:val="center"/>
            <w:hideMark/>
          </w:tcPr>
          <w:p w14:paraId="2AFE10BC" w14:textId="77777777" w:rsidR="003D0E82" w:rsidRPr="006B42D6" w:rsidRDefault="003D0E82" w:rsidP="00412A78">
            <w:pPr>
              <w:jc w:val="center"/>
              <w:rPr>
                <w:sz w:val="16"/>
                <w:szCs w:val="16"/>
              </w:rPr>
            </w:pPr>
            <w:r w:rsidRPr="006B42D6">
              <w:rPr>
                <w:sz w:val="16"/>
                <w:szCs w:val="16"/>
                <w:lang w:val="en-GB"/>
              </w:rPr>
              <w:t>77</w:t>
            </w:r>
          </w:p>
        </w:tc>
        <w:tc>
          <w:tcPr>
            <w:tcW w:w="658" w:type="pct"/>
            <w:tcBorders>
              <w:top w:val="nil"/>
              <w:left w:val="nil"/>
              <w:bottom w:val="nil"/>
              <w:right w:val="nil"/>
            </w:tcBorders>
            <w:shd w:val="clear" w:color="auto" w:fill="auto"/>
            <w:noWrap/>
            <w:vAlign w:val="center"/>
            <w:hideMark/>
          </w:tcPr>
          <w:p w14:paraId="6FD4BBE9" w14:textId="77777777" w:rsidR="003D0E82" w:rsidRPr="006B42D6" w:rsidRDefault="003D0E82" w:rsidP="00412A78">
            <w:pPr>
              <w:jc w:val="center"/>
              <w:rPr>
                <w:sz w:val="16"/>
                <w:szCs w:val="16"/>
              </w:rPr>
            </w:pPr>
            <w:r w:rsidRPr="006B42D6">
              <w:rPr>
                <w:sz w:val="16"/>
                <w:szCs w:val="16"/>
                <w:lang w:val="en-GB"/>
              </w:rPr>
              <w:t>0.4</w:t>
            </w:r>
          </w:p>
        </w:tc>
        <w:tc>
          <w:tcPr>
            <w:tcW w:w="658" w:type="pct"/>
            <w:gridSpan w:val="2"/>
            <w:tcBorders>
              <w:top w:val="nil"/>
              <w:left w:val="nil"/>
              <w:bottom w:val="nil"/>
              <w:right w:val="nil"/>
            </w:tcBorders>
            <w:shd w:val="clear" w:color="auto" w:fill="auto"/>
            <w:noWrap/>
            <w:vAlign w:val="center"/>
            <w:hideMark/>
          </w:tcPr>
          <w:p w14:paraId="4F39BBA6" w14:textId="77777777" w:rsidR="003D0E82" w:rsidRPr="006B42D6" w:rsidRDefault="003D0E82" w:rsidP="00412A78">
            <w:pPr>
              <w:jc w:val="center"/>
              <w:rPr>
                <w:sz w:val="16"/>
                <w:szCs w:val="16"/>
              </w:rPr>
            </w:pPr>
            <w:r w:rsidRPr="006B42D6">
              <w:rPr>
                <w:sz w:val="16"/>
                <w:szCs w:val="16"/>
                <w:lang w:val="en-GB"/>
              </w:rPr>
              <w:t>3,121</w:t>
            </w:r>
          </w:p>
        </w:tc>
        <w:tc>
          <w:tcPr>
            <w:tcW w:w="656" w:type="pct"/>
            <w:tcBorders>
              <w:top w:val="nil"/>
              <w:left w:val="nil"/>
              <w:bottom w:val="nil"/>
              <w:right w:val="nil"/>
            </w:tcBorders>
            <w:shd w:val="clear" w:color="auto" w:fill="auto"/>
            <w:noWrap/>
            <w:vAlign w:val="center"/>
            <w:hideMark/>
          </w:tcPr>
          <w:p w14:paraId="74E0BF9F" w14:textId="77777777" w:rsidR="003D0E82" w:rsidRPr="006B42D6" w:rsidRDefault="003D0E82" w:rsidP="00412A78">
            <w:pPr>
              <w:jc w:val="center"/>
              <w:rPr>
                <w:sz w:val="16"/>
                <w:szCs w:val="16"/>
              </w:rPr>
            </w:pPr>
            <w:r w:rsidRPr="006B42D6">
              <w:rPr>
                <w:sz w:val="16"/>
                <w:szCs w:val="16"/>
                <w:lang w:val="en-GB"/>
              </w:rPr>
              <w:t>2.8</w:t>
            </w:r>
          </w:p>
        </w:tc>
      </w:tr>
      <w:tr w:rsidR="006B42D6" w:rsidRPr="006B42D6" w14:paraId="13637EA1" w14:textId="77777777" w:rsidTr="00412A78">
        <w:trPr>
          <w:gridAfter w:val="1"/>
          <w:wAfter w:w="27" w:type="pct"/>
          <w:trHeight w:val="300"/>
        </w:trPr>
        <w:tc>
          <w:tcPr>
            <w:tcW w:w="467" w:type="pct"/>
            <w:tcBorders>
              <w:top w:val="nil"/>
              <w:left w:val="nil"/>
              <w:bottom w:val="nil"/>
              <w:right w:val="nil"/>
            </w:tcBorders>
            <w:shd w:val="clear" w:color="auto" w:fill="auto"/>
            <w:noWrap/>
            <w:vAlign w:val="center"/>
            <w:hideMark/>
          </w:tcPr>
          <w:p w14:paraId="1D38C347" w14:textId="77777777" w:rsidR="003D0E82" w:rsidRPr="006B42D6" w:rsidRDefault="003D0E82" w:rsidP="00412A78">
            <w:pPr>
              <w:jc w:val="left"/>
              <w:rPr>
                <w:sz w:val="16"/>
                <w:szCs w:val="16"/>
              </w:rPr>
            </w:pPr>
            <w:r w:rsidRPr="006B42D6">
              <w:rPr>
                <w:sz w:val="16"/>
                <w:szCs w:val="16"/>
                <w:lang w:val="en-GB"/>
              </w:rPr>
              <w:t>35 - 39</w:t>
            </w:r>
          </w:p>
        </w:tc>
        <w:tc>
          <w:tcPr>
            <w:tcW w:w="577" w:type="pct"/>
            <w:tcBorders>
              <w:top w:val="nil"/>
              <w:left w:val="nil"/>
              <w:bottom w:val="nil"/>
              <w:right w:val="nil"/>
            </w:tcBorders>
            <w:shd w:val="clear" w:color="auto" w:fill="auto"/>
            <w:noWrap/>
            <w:vAlign w:val="center"/>
            <w:hideMark/>
          </w:tcPr>
          <w:p w14:paraId="25A82DF9" w14:textId="77777777" w:rsidR="003D0E82" w:rsidRPr="006B42D6" w:rsidRDefault="003D0E82" w:rsidP="00412A78">
            <w:pPr>
              <w:jc w:val="center"/>
              <w:rPr>
                <w:sz w:val="16"/>
                <w:szCs w:val="16"/>
              </w:rPr>
            </w:pPr>
            <w:r w:rsidRPr="006B42D6">
              <w:rPr>
                <w:sz w:val="16"/>
                <w:szCs w:val="16"/>
                <w:lang w:val="en-GB"/>
              </w:rPr>
              <w:t>11,332</w:t>
            </w:r>
          </w:p>
        </w:tc>
        <w:tc>
          <w:tcPr>
            <w:tcW w:w="424" w:type="pct"/>
            <w:tcBorders>
              <w:top w:val="nil"/>
              <w:left w:val="nil"/>
              <w:bottom w:val="nil"/>
              <w:right w:val="nil"/>
            </w:tcBorders>
            <w:shd w:val="clear" w:color="auto" w:fill="auto"/>
            <w:noWrap/>
            <w:vAlign w:val="center"/>
            <w:hideMark/>
          </w:tcPr>
          <w:p w14:paraId="3FF85F42" w14:textId="77777777" w:rsidR="003D0E82" w:rsidRPr="006B42D6" w:rsidRDefault="003D0E82" w:rsidP="00412A78">
            <w:pPr>
              <w:jc w:val="center"/>
              <w:rPr>
                <w:sz w:val="16"/>
                <w:szCs w:val="16"/>
              </w:rPr>
            </w:pPr>
            <w:r w:rsidRPr="006B42D6">
              <w:rPr>
                <w:sz w:val="16"/>
                <w:szCs w:val="16"/>
                <w:lang w:val="en-GB"/>
              </w:rPr>
              <w:t>0.6</w:t>
            </w:r>
          </w:p>
        </w:tc>
        <w:tc>
          <w:tcPr>
            <w:tcW w:w="544" w:type="pct"/>
            <w:gridSpan w:val="2"/>
            <w:tcBorders>
              <w:top w:val="nil"/>
              <w:left w:val="nil"/>
              <w:bottom w:val="nil"/>
              <w:right w:val="nil"/>
            </w:tcBorders>
            <w:shd w:val="clear" w:color="auto" w:fill="auto"/>
            <w:noWrap/>
            <w:vAlign w:val="center"/>
            <w:hideMark/>
          </w:tcPr>
          <w:p w14:paraId="366B2A7D" w14:textId="77777777" w:rsidR="003D0E82" w:rsidRPr="006B42D6" w:rsidRDefault="003D0E82" w:rsidP="00412A78">
            <w:pPr>
              <w:jc w:val="center"/>
              <w:rPr>
                <w:sz w:val="16"/>
                <w:szCs w:val="16"/>
              </w:rPr>
            </w:pPr>
            <w:r w:rsidRPr="006B42D6">
              <w:rPr>
                <w:sz w:val="16"/>
                <w:szCs w:val="16"/>
                <w:lang w:val="en-GB"/>
              </w:rPr>
              <w:t>548,921</w:t>
            </w:r>
          </w:p>
        </w:tc>
        <w:tc>
          <w:tcPr>
            <w:tcW w:w="554" w:type="pct"/>
            <w:tcBorders>
              <w:top w:val="nil"/>
              <w:left w:val="nil"/>
              <w:bottom w:val="nil"/>
              <w:right w:val="single" w:sz="4" w:space="0" w:color="auto"/>
            </w:tcBorders>
            <w:shd w:val="clear" w:color="auto" w:fill="auto"/>
            <w:noWrap/>
            <w:vAlign w:val="center"/>
            <w:hideMark/>
          </w:tcPr>
          <w:p w14:paraId="4849CA23" w14:textId="77777777" w:rsidR="003D0E82" w:rsidRPr="006B42D6" w:rsidRDefault="003D0E82" w:rsidP="00412A78">
            <w:pPr>
              <w:jc w:val="center"/>
              <w:rPr>
                <w:sz w:val="16"/>
                <w:szCs w:val="16"/>
              </w:rPr>
            </w:pPr>
            <w:r w:rsidRPr="006B42D6">
              <w:rPr>
                <w:sz w:val="16"/>
                <w:szCs w:val="16"/>
                <w:lang w:val="en-GB"/>
              </w:rPr>
              <w:t>2.2</w:t>
            </w:r>
          </w:p>
        </w:tc>
        <w:tc>
          <w:tcPr>
            <w:tcW w:w="435" w:type="pct"/>
            <w:tcBorders>
              <w:top w:val="nil"/>
              <w:left w:val="nil"/>
              <w:bottom w:val="nil"/>
              <w:right w:val="nil"/>
            </w:tcBorders>
            <w:shd w:val="clear" w:color="auto" w:fill="auto"/>
            <w:noWrap/>
            <w:vAlign w:val="center"/>
            <w:hideMark/>
          </w:tcPr>
          <w:p w14:paraId="51DC7A8E" w14:textId="55A2B2D7" w:rsidR="003D0E82" w:rsidRPr="006B42D6" w:rsidRDefault="003D0E82" w:rsidP="00412A78">
            <w:pPr>
              <w:jc w:val="center"/>
              <w:rPr>
                <w:sz w:val="16"/>
                <w:szCs w:val="16"/>
              </w:rPr>
            </w:pPr>
            <w:r w:rsidRPr="006B42D6">
              <w:rPr>
                <w:sz w:val="16"/>
                <w:szCs w:val="16"/>
                <w:lang w:val="en-GB"/>
              </w:rPr>
              <w:t>-</w:t>
            </w:r>
          </w:p>
        </w:tc>
        <w:tc>
          <w:tcPr>
            <w:tcW w:w="658" w:type="pct"/>
            <w:tcBorders>
              <w:top w:val="nil"/>
              <w:left w:val="nil"/>
              <w:bottom w:val="nil"/>
              <w:right w:val="nil"/>
            </w:tcBorders>
            <w:shd w:val="clear" w:color="auto" w:fill="auto"/>
            <w:noWrap/>
            <w:vAlign w:val="center"/>
            <w:hideMark/>
          </w:tcPr>
          <w:p w14:paraId="12566B43" w14:textId="5201D2D0" w:rsidR="003D0E82" w:rsidRPr="006B42D6" w:rsidRDefault="003D0E82" w:rsidP="00412A78">
            <w:pPr>
              <w:jc w:val="center"/>
              <w:rPr>
                <w:sz w:val="16"/>
                <w:szCs w:val="16"/>
              </w:rPr>
            </w:pPr>
            <w:r w:rsidRPr="006B42D6">
              <w:rPr>
                <w:sz w:val="16"/>
                <w:szCs w:val="16"/>
                <w:lang w:val="en-GB"/>
              </w:rPr>
              <w:t>-</w:t>
            </w:r>
          </w:p>
        </w:tc>
        <w:tc>
          <w:tcPr>
            <w:tcW w:w="658" w:type="pct"/>
            <w:gridSpan w:val="2"/>
            <w:tcBorders>
              <w:top w:val="nil"/>
              <w:left w:val="nil"/>
              <w:bottom w:val="nil"/>
              <w:right w:val="nil"/>
            </w:tcBorders>
            <w:shd w:val="clear" w:color="auto" w:fill="auto"/>
            <w:noWrap/>
            <w:vAlign w:val="center"/>
            <w:hideMark/>
          </w:tcPr>
          <w:p w14:paraId="185D9C5E" w14:textId="6B308105" w:rsidR="003D0E82" w:rsidRPr="006B42D6" w:rsidRDefault="003D0E82" w:rsidP="00412A78">
            <w:pPr>
              <w:jc w:val="center"/>
              <w:rPr>
                <w:sz w:val="16"/>
                <w:szCs w:val="16"/>
              </w:rPr>
            </w:pPr>
            <w:r w:rsidRPr="006B42D6">
              <w:rPr>
                <w:sz w:val="16"/>
                <w:szCs w:val="16"/>
                <w:lang w:val="en-GB"/>
              </w:rPr>
              <w:t>-</w:t>
            </w:r>
          </w:p>
        </w:tc>
        <w:tc>
          <w:tcPr>
            <w:tcW w:w="656" w:type="pct"/>
            <w:tcBorders>
              <w:top w:val="nil"/>
              <w:left w:val="nil"/>
              <w:bottom w:val="nil"/>
              <w:right w:val="nil"/>
            </w:tcBorders>
            <w:shd w:val="clear" w:color="auto" w:fill="auto"/>
            <w:noWrap/>
            <w:vAlign w:val="center"/>
            <w:hideMark/>
          </w:tcPr>
          <w:p w14:paraId="5A44905F" w14:textId="2F51EC69" w:rsidR="003D0E82" w:rsidRPr="006B42D6" w:rsidRDefault="003D0E82" w:rsidP="00412A78">
            <w:pPr>
              <w:jc w:val="center"/>
              <w:rPr>
                <w:sz w:val="16"/>
                <w:szCs w:val="16"/>
              </w:rPr>
            </w:pPr>
            <w:r w:rsidRPr="006B42D6">
              <w:rPr>
                <w:sz w:val="16"/>
                <w:szCs w:val="16"/>
                <w:lang w:val="en-GB"/>
              </w:rPr>
              <w:t>-</w:t>
            </w:r>
          </w:p>
        </w:tc>
      </w:tr>
      <w:tr w:rsidR="006B42D6" w:rsidRPr="006B42D6" w14:paraId="317E7EF6" w14:textId="77777777" w:rsidTr="00412A78">
        <w:trPr>
          <w:gridAfter w:val="1"/>
          <w:wAfter w:w="27" w:type="pct"/>
          <w:trHeight w:val="300"/>
        </w:trPr>
        <w:tc>
          <w:tcPr>
            <w:tcW w:w="467" w:type="pct"/>
            <w:tcBorders>
              <w:top w:val="nil"/>
              <w:left w:val="nil"/>
              <w:bottom w:val="nil"/>
              <w:right w:val="nil"/>
            </w:tcBorders>
            <w:shd w:val="clear" w:color="auto" w:fill="auto"/>
            <w:noWrap/>
            <w:vAlign w:val="center"/>
            <w:hideMark/>
          </w:tcPr>
          <w:p w14:paraId="6AFDB277" w14:textId="77777777" w:rsidR="003D0E82" w:rsidRPr="006B42D6" w:rsidRDefault="003D0E82" w:rsidP="00412A78">
            <w:pPr>
              <w:jc w:val="left"/>
              <w:rPr>
                <w:sz w:val="16"/>
                <w:szCs w:val="16"/>
              </w:rPr>
            </w:pPr>
            <w:r w:rsidRPr="006B42D6">
              <w:rPr>
                <w:sz w:val="16"/>
                <w:szCs w:val="16"/>
                <w:lang w:val="en-GB"/>
              </w:rPr>
              <w:t>40+</w:t>
            </w:r>
          </w:p>
        </w:tc>
        <w:tc>
          <w:tcPr>
            <w:tcW w:w="577" w:type="pct"/>
            <w:tcBorders>
              <w:top w:val="nil"/>
              <w:left w:val="nil"/>
              <w:bottom w:val="nil"/>
              <w:right w:val="nil"/>
            </w:tcBorders>
            <w:shd w:val="clear" w:color="auto" w:fill="auto"/>
            <w:noWrap/>
            <w:vAlign w:val="center"/>
            <w:hideMark/>
          </w:tcPr>
          <w:p w14:paraId="21B4601D" w14:textId="77777777" w:rsidR="003D0E82" w:rsidRPr="006B42D6" w:rsidRDefault="003D0E82" w:rsidP="00412A78">
            <w:pPr>
              <w:jc w:val="center"/>
              <w:rPr>
                <w:sz w:val="16"/>
                <w:szCs w:val="16"/>
              </w:rPr>
            </w:pPr>
            <w:r w:rsidRPr="006B42D6">
              <w:rPr>
                <w:sz w:val="16"/>
                <w:szCs w:val="16"/>
                <w:lang w:val="en-GB"/>
              </w:rPr>
              <w:t>60,887</w:t>
            </w:r>
          </w:p>
        </w:tc>
        <w:tc>
          <w:tcPr>
            <w:tcW w:w="424" w:type="pct"/>
            <w:tcBorders>
              <w:top w:val="nil"/>
              <w:left w:val="nil"/>
              <w:bottom w:val="nil"/>
              <w:right w:val="nil"/>
            </w:tcBorders>
            <w:shd w:val="clear" w:color="auto" w:fill="auto"/>
            <w:noWrap/>
            <w:vAlign w:val="center"/>
            <w:hideMark/>
          </w:tcPr>
          <w:p w14:paraId="1FD80D22" w14:textId="77777777" w:rsidR="003D0E82" w:rsidRPr="006B42D6" w:rsidRDefault="003D0E82" w:rsidP="00412A78">
            <w:pPr>
              <w:jc w:val="center"/>
              <w:rPr>
                <w:sz w:val="16"/>
                <w:szCs w:val="16"/>
              </w:rPr>
            </w:pPr>
            <w:r w:rsidRPr="006B42D6">
              <w:rPr>
                <w:sz w:val="16"/>
                <w:szCs w:val="16"/>
                <w:lang w:val="en-GB"/>
              </w:rPr>
              <w:t>3.4</w:t>
            </w:r>
          </w:p>
        </w:tc>
        <w:tc>
          <w:tcPr>
            <w:tcW w:w="544" w:type="pct"/>
            <w:gridSpan w:val="2"/>
            <w:tcBorders>
              <w:top w:val="nil"/>
              <w:left w:val="nil"/>
              <w:bottom w:val="nil"/>
              <w:right w:val="nil"/>
            </w:tcBorders>
            <w:shd w:val="clear" w:color="auto" w:fill="auto"/>
            <w:noWrap/>
            <w:vAlign w:val="center"/>
            <w:hideMark/>
          </w:tcPr>
          <w:p w14:paraId="3E7C879A" w14:textId="77777777" w:rsidR="003D0E82" w:rsidRPr="006B42D6" w:rsidRDefault="003D0E82" w:rsidP="00412A78">
            <w:pPr>
              <w:jc w:val="center"/>
              <w:rPr>
                <w:sz w:val="16"/>
                <w:szCs w:val="16"/>
              </w:rPr>
            </w:pPr>
            <w:r w:rsidRPr="006B42D6">
              <w:rPr>
                <w:sz w:val="16"/>
                <w:szCs w:val="16"/>
                <w:lang w:val="en-GB"/>
              </w:rPr>
              <w:t>5,285,660</w:t>
            </w:r>
          </w:p>
        </w:tc>
        <w:tc>
          <w:tcPr>
            <w:tcW w:w="554" w:type="pct"/>
            <w:tcBorders>
              <w:top w:val="nil"/>
              <w:left w:val="nil"/>
              <w:bottom w:val="nil"/>
              <w:right w:val="single" w:sz="4" w:space="0" w:color="auto"/>
            </w:tcBorders>
            <w:shd w:val="clear" w:color="auto" w:fill="auto"/>
            <w:noWrap/>
            <w:vAlign w:val="center"/>
            <w:hideMark/>
          </w:tcPr>
          <w:p w14:paraId="4A6AE5E7" w14:textId="77777777" w:rsidR="003D0E82" w:rsidRPr="006B42D6" w:rsidRDefault="003D0E82" w:rsidP="00412A78">
            <w:pPr>
              <w:jc w:val="center"/>
              <w:rPr>
                <w:sz w:val="16"/>
                <w:szCs w:val="16"/>
              </w:rPr>
            </w:pPr>
            <w:r w:rsidRPr="006B42D6">
              <w:rPr>
                <w:sz w:val="16"/>
                <w:szCs w:val="16"/>
                <w:lang w:val="en-GB"/>
              </w:rPr>
              <w:t>21.6</w:t>
            </w:r>
          </w:p>
        </w:tc>
        <w:tc>
          <w:tcPr>
            <w:tcW w:w="435" w:type="pct"/>
            <w:tcBorders>
              <w:top w:val="nil"/>
              <w:left w:val="nil"/>
              <w:bottom w:val="nil"/>
              <w:right w:val="nil"/>
            </w:tcBorders>
            <w:shd w:val="clear" w:color="auto" w:fill="auto"/>
            <w:noWrap/>
            <w:vAlign w:val="center"/>
            <w:hideMark/>
          </w:tcPr>
          <w:p w14:paraId="0202A949" w14:textId="77777777" w:rsidR="003D0E82" w:rsidRPr="006B42D6" w:rsidRDefault="003D0E82" w:rsidP="00412A78">
            <w:pPr>
              <w:jc w:val="center"/>
              <w:rPr>
                <w:sz w:val="16"/>
                <w:szCs w:val="16"/>
              </w:rPr>
            </w:pPr>
            <w:r w:rsidRPr="006B42D6">
              <w:rPr>
                <w:sz w:val="16"/>
                <w:szCs w:val="16"/>
                <w:lang w:val="en-GB"/>
              </w:rPr>
              <w:t>43</w:t>
            </w:r>
          </w:p>
        </w:tc>
        <w:tc>
          <w:tcPr>
            <w:tcW w:w="658" w:type="pct"/>
            <w:tcBorders>
              <w:top w:val="nil"/>
              <w:left w:val="nil"/>
              <w:bottom w:val="nil"/>
              <w:right w:val="nil"/>
            </w:tcBorders>
            <w:shd w:val="clear" w:color="auto" w:fill="auto"/>
            <w:noWrap/>
            <w:vAlign w:val="center"/>
            <w:hideMark/>
          </w:tcPr>
          <w:p w14:paraId="3B250B3E" w14:textId="77777777" w:rsidR="003D0E82" w:rsidRPr="006B42D6" w:rsidRDefault="003D0E82" w:rsidP="00412A78">
            <w:pPr>
              <w:jc w:val="center"/>
              <w:rPr>
                <w:sz w:val="16"/>
                <w:szCs w:val="16"/>
              </w:rPr>
            </w:pPr>
            <w:r w:rsidRPr="006B42D6">
              <w:rPr>
                <w:sz w:val="16"/>
                <w:szCs w:val="16"/>
                <w:lang w:val="en-GB"/>
              </w:rPr>
              <w:t>0.2</w:t>
            </w:r>
          </w:p>
        </w:tc>
        <w:tc>
          <w:tcPr>
            <w:tcW w:w="658" w:type="pct"/>
            <w:gridSpan w:val="2"/>
            <w:tcBorders>
              <w:top w:val="nil"/>
              <w:left w:val="nil"/>
              <w:bottom w:val="nil"/>
              <w:right w:val="nil"/>
            </w:tcBorders>
            <w:shd w:val="clear" w:color="auto" w:fill="auto"/>
            <w:noWrap/>
            <w:vAlign w:val="center"/>
            <w:hideMark/>
          </w:tcPr>
          <w:p w14:paraId="172D2C6F" w14:textId="77777777" w:rsidR="003D0E82" w:rsidRPr="006B42D6" w:rsidRDefault="003D0E82" w:rsidP="00412A78">
            <w:pPr>
              <w:jc w:val="center"/>
              <w:rPr>
                <w:sz w:val="16"/>
                <w:szCs w:val="16"/>
              </w:rPr>
            </w:pPr>
            <w:r w:rsidRPr="006B42D6">
              <w:rPr>
                <w:sz w:val="16"/>
                <w:szCs w:val="16"/>
                <w:lang w:val="en-GB"/>
              </w:rPr>
              <w:t>1,811</w:t>
            </w:r>
          </w:p>
        </w:tc>
        <w:tc>
          <w:tcPr>
            <w:tcW w:w="656" w:type="pct"/>
            <w:tcBorders>
              <w:top w:val="nil"/>
              <w:left w:val="nil"/>
              <w:bottom w:val="nil"/>
              <w:right w:val="nil"/>
            </w:tcBorders>
            <w:shd w:val="clear" w:color="auto" w:fill="auto"/>
            <w:noWrap/>
            <w:vAlign w:val="center"/>
            <w:hideMark/>
          </w:tcPr>
          <w:p w14:paraId="3B0E5FD0" w14:textId="77777777" w:rsidR="003D0E82" w:rsidRPr="006B42D6" w:rsidRDefault="003D0E82" w:rsidP="00412A78">
            <w:pPr>
              <w:jc w:val="center"/>
              <w:rPr>
                <w:sz w:val="16"/>
                <w:szCs w:val="16"/>
              </w:rPr>
            </w:pPr>
            <w:r w:rsidRPr="006B42D6">
              <w:rPr>
                <w:sz w:val="16"/>
                <w:szCs w:val="16"/>
                <w:lang w:val="en-GB"/>
              </w:rPr>
              <w:t>1.6</w:t>
            </w:r>
          </w:p>
        </w:tc>
      </w:tr>
      <w:tr w:rsidR="003D0E82" w:rsidRPr="006B42D6" w14:paraId="17E53350" w14:textId="77777777" w:rsidTr="0043353A">
        <w:trPr>
          <w:gridAfter w:val="1"/>
          <w:wAfter w:w="27" w:type="pct"/>
          <w:trHeight w:val="227"/>
        </w:trPr>
        <w:tc>
          <w:tcPr>
            <w:tcW w:w="467" w:type="pct"/>
            <w:tcBorders>
              <w:top w:val="single" w:sz="4" w:space="0" w:color="auto"/>
              <w:left w:val="nil"/>
              <w:bottom w:val="single" w:sz="4" w:space="0" w:color="auto"/>
              <w:right w:val="nil"/>
            </w:tcBorders>
            <w:shd w:val="clear" w:color="auto" w:fill="E2EFD9" w:themeFill="accent6" w:themeFillTint="33"/>
            <w:noWrap/>
            <w:vAlign w:val="center"/>
            <w:hideMark/>
          </w:tcPr>
          <w:p w14:paraId="5CD97962" w14:textId="77777777" w:rsidR="003D0E82" w:rsidRPr="006B42D6" w:rsidRDefault="003D0E82" w:rsidP="00412A78">
            <w:pPr>
              <w:jc w:val="left"/>
              <w:rPr>
                <w:sz w:val="16"/>
                <w:szCs w:val="16"/>
              </w:rPr>
            </w:pPr>
            <w:r w:rsidRPr="006B42D6">
              <w:rPr>
                <w:sz w:val="16"/>
                <w:szCs w:val="16"/>
                <w:lang w:val="en-GB"/>
              </w:rPr>
              <w:t>Total</w:t>
            </w:r>
          </w:p>
        </w:tc>
        <w:tc>
          <w:tcPr>
            <w:tcW w:w="577" w:type="pct"/>
            <w:tcBorders>
              <w:top w:val="single" w:sz="4" w:space="0" w:color="auto"/>
              <w:left w:val="nil"/>
              <w:bottom w:val="single" w:sz="4" w:space="0" w:color="auto"/>
              <w:right w:val="nil"/>
            </w:tcBorders>
            <w:shd w:val="clear" w:color="auto" w:fill="E2EFD9" w:themeFill="accent6" w:themeFillTint="33"/>
            <w:noWrap/>
            <w:vAlign w:val="center"/>
            <w:hideMark/>
          </w:tcPr>
          <w:p w14:paraId="1E129286" w14:textId="77777777" w:rsidR="003D0E82" w:rsidRPr="006B42D6" w:rsidRDefault="003D0E82" w:rsidP="00412A78">
            <w:pPr>
              <w:jc w:val="center"/>
              <w:rPr>
                <w:sz w:val="16"/>
                <w:szCs w:val="16"/>
              </w:rPr>
            </w:pPr>
            <w:r w:rsidRPr="006B42D6">
              <w:rPr>
                <w:sz w:val="16"/>
                <w:szCs w:val="16"/>
                <w:lang w:val="en-GB"/>
              </w:rPr>
              <w:t>1,791,038</w:t>
            </w:r>
          </w:p>
        </w:tc>
        <w:tc>
          <w:tcPr>
            <w:tcW w:w="424" w:type="pct"/>
            <w:tcBorders>
              <w:top w:val="single" w:sz="4" w:space="0" w:color="auto"/>
              <w:left w:val="nil"/>
              <w:bottom w:val="single" w:sz="4" w:space="0" w:color="auto"/>
              <w:right w:val="nil"/>
            </w:tcBorders>
            <w:shd w:val="clear" w:color="auto" w:fill="E2EFD9" w:themeFill="accent6" w:themeFillTint="33"/>
            <w:noWrap/>
            <w:vAlign w:val="center"/>
            <w:hideMark/>
          </w:tcPr>
          <w:p w14:paraId="498BE410" w14:textId="77777777" w:rsidR="003D0E82" w:rsidRPr="006B42D6" w:rsidRDefault="003D0E82" w:rsidP="00412A78">
            <w:pPr>
              <w:jc w:val="center"/>
              <w:rPr>
                <w:sz w:val="16"/>
                <w:szCs w:val="16"/>
              </w:rPr>
            </w:pPr>
            <w:r w:rsidRPr="006B42D6">
              <w:rPr>
                <w:sz w:val="16"/>
                <w:szCs w:val="16"/>
                <w:lang w:val="en-GB"/>
              </w:rPr>
              <w:t>100</w:t>
            </w:r>
          </w:p>
        </w:tc>
        <w:tc>
          <w:tcPr>
            <w:tcW w:w="544" w:type="pct"/>
            <w:gridSpan w:val="2"/>
            <w:tcBorders>
              <w:top w:val="single" w:sz="4" w:space="0" w:color="auto"/>
              <w:left w:val="nil"/>
              <w:bottom w:val="single" w:sz="4" w:space="0" w:color="auto"/>
              <w:right w:val="nil"/>
            </w:tcBorders>
            <w:shd w:val="clear" w:color="auto" w:fill="E2EFD9" w:themeFill="accent6" w:themeFillTint="33"/>
            <w:noWrap/>
            <w:vAlign w:val="center"/>
            <w:hideMark/>
          </w:tcPr>
          <w:p w14:paraId="16B91B4C" w14:textId="77777777" w:rsidR="003D0E82" w:rsidRPr="006B42D6" w:rsidRDefault="003D0E82" w:rsidP="00412A78">
            <w:pPr>
              <w:jc w:val="center"/>
              <w:rPr>
                <w:sz w:val="16"/>
                <w:szCs w:val="16"/>
              </w:rPr>
            </w:pPr>
            <w:r w:rsidRPr="006B42D6">
              <w:rPr>
                <w:sz w:val="16"/>
                <w:szCs w:val="16"/>
                <w:lang w:val="en-GB"/>
              </w:rPr>
              <w:t>24,423,121</w:t>
            </w:r>
          </w:p>
        </w:tc>
        <w:tc>
          <w:tcPr>
            <w:tcW w:w="554" w:type="pct"/>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5658F226" w14:textId="77777777" w:rsidR="003D0E82" w:rsidRPr="006B42D6" w:rsidRDefault="003D0E82" w:rsidP="00412A78">
            <w:pPr>
              <w:jc w:val="center"/>
              <w:rPr>
                <w:sz w:val="16"/>
                <w:szCs w:val="16"/>
              </w:rPr>
            </w:pPr>
            <w:r w:rsidRPr="006B42D6">
              <w:rPr>
                <w:sz w:val="16"/>
                <w:szCs w:val="16"/>
                <w:lang w:val="en-GB"/>
              </w:rPr>
              <w:t>100.0</w:t>
            </w:r>
          </w:p>
        </w:tc>
        <w:tc>
          <w:tcPr>
            <w:tcW w:w="435" w:type="pct"/>
            <w:tcBorders>
              <w:top w:val="single" w:sz="4" w:space="0" w:color="auto"/>
              <w:left w:val="nil"/>
              <w:bottom w:val="single" w:sz="4" w:space="0" w:color="auto"/>
              <w:right w:val="nil"/>
            </w:tcBorders>
            <w:shd w:val="clear" w:color="auto" w:fill="E2EFD9" w:themeFill="accent6" w:themeFillTint="33"/>
            <w:noWrap/>
            <w:vAlign w:val="center"/>
            <w:hideMark/>
          </w:tcPr>
          <w:p w14:paraId="2D4E76D8" w14:textId="77777777" w:rsidR="003D0E82" w:rsidRPr="006B42D6" w:rsidRDefault="003D0E82" w:rsidP="00412A78">
            <w:pPr>
              <w:jc w:val="center"/>
              <w:rPr>
                <w:sz w:val="16"/>
                <w:szCs w:val="16"/>
              </w:rPr>
            </w:pPr>
            <w:r w:rsidRPr="006B42D6">
              <w:rPr>
                <w:sz w:val="16"/>
                <w:szCs w:val="16"/>
                <w:lang w:val="en-GB"/>
              </w:rPr>
              <w:t>18,341</w:t>
            </w:r>
          </w:p>
        </w:tc>
        <w:tc>
          <w:tcPr>
            <w:tcW w:w="658" w:type="pct"/>
            <w:tcBorders>
              <w:top w:val="single" w:sz="4" w:space="0" w:color="auto"/>
              <w:left w:val="nil"/>
              <w:bottom w:val="single" w:sz="4" w:space="0" w:color="auto"/>
              <w:right w:val="nil"/>
            </w:tcBorders>
            <w:shd w:val="clear" w:color="auto" w:fill="E2EFD9" w:themeFill="accent6" w:themeFillTint="33"/>
            <w:noWrap/>
            <w:vAlign w:val="center"/>
            <w:hideMark/>
          </w:tcPr>
          <w:p w14:paraId="36320A8C" w14:textId="77777777" w:rsidR="003D0E82" w:rsidRPr="006B42D6" w:rsidRDefault="003D0E82" w:rsidP="00412A78">
            <w:pPr>
              <w:jc w:val="center"/>
              <w:rPr>
                <w:sz w:val="16"/>
                <w:szCs w:val="16"/>
              </w:rPr>
            </w:pPr>
            <w:r w:rsidRPr="006B42D6">
              <w:rPr>
                <w:sz w:val="16"/>
                <w:szCs w:val="16"/>
                <w:lang w:val="en-GB"/>
              </w:rPr>
              <w:t>100</w:t>
            </w:r>
          </w:p>
        </w:tc>
        <w:tc>
          <w:tcPr>
            <w:tcW w:w="658" w:type="pct"/>
            <w:gridSpan w:val="2"/>
            <w:tcBorders>
              <w:top w:val="single" w:sz="4" w:space="0" w:color="auto"/>
              <w:left w:val="nil"/>
              <w:bottom w:val="single" w:sz="4" w:space="0" w:color="auto"/>
              <w:right w:val="nil"/>
            </w:tcBorders>
            <w:shd w:val="clear" w:color="auto" w:fill="E2EFD9" w:themeFill="accent6" w:themeFillTint="33"/>
            <w:noWrap/>
            <w:vAlign w:val="center"/>
            <w:hideMark/>
          </w:tcPr>
          <w:p w14:paraId="38CB5AAD" w14:textId="77777777" w:rsidR="003D0E82" w:rsidRPr="006B42D6" w:rsidRDefault="003D0E82" w:rsidP="00412A78">
            <w:pPr>
              <w:jc w:val="center"/>
              <w:rPr>
                <w:sz w:val="16"/>
                <w:szCs w:val="16"/>
              </w:rPr>
            </w:pPr>
            <w:r w:rsidRPr="006B42D6">
              <w:rPr>
                <w:sz w:val="16"/>
                <w:szCs w:val="16"/>
                <w:lang w:val="en-GB"/>
              </w:rPr>
              <w:t>111,429</w:t>
            </w:r>
          </w:p>
        </w:tc>
        <w:tc>
          <w:tcPr>
            <w:tcW w:w="656" w:type="pct"/>
            <w:tcBorders>
              <w:top w:val="single" w:sz="4" w:space="0" w:color="auto"/>
              <w:left w:val="nil"/>
              <w:bottom w:val="single" w:sz="4" w:space="0" w:color="auto"/>
              <w:right w:val="nil"/>
            </w:tcBorders>
            <w:shd w:val="clear" w:color="auto" w:fill="E2EFD9" w:themeFill="accent6" w:themeFillTint="33"/>
            <w:noWrap/>
            <w:vAlign w:val="center"/>
            <w:hideMark/>
          </w:tcPr>
          <w:p w14:paraId="6C627311" w14:textId="77777777" w:rsidR="003D0E82" w:rsidRPr="006B42D6" w:rsidRDefault="003D0E82" w:rsidP="00412A78">
            <w:pPr>
              <w:jc w:val="center"/>
              <w:rPr>
                <w:sz w:val="16"/>
                <w:szCs w:val="16"/>
              </w:rPr>
            </w:pPr>
            <w:r w:rsidRPr="006B42D6">
              <w:rPr>
                <w:sz w:val="16"/>
                <w:szCs w:val="16"/>
                <w:lang w:val="en-GB"/>
              </w:rPr>
              <w:t>100</w:t>
            </w:r>
          </w:p>
        </w:tc>
      </w:tr>
    </w:tbl>
    <w:p w14:paraId="326370F6" w14:textId="46C8E749" w:rsidR="0071125E" w:rsidRPr="0071125E" w:rsidRDefault="0071125E" w:rsidP="0043353A"/>
    <w:p w14:paraId="62A7C7A6" w14:textId="04F97F8E" w:rsidR="00697881" w:rsidRPr="006B42D6" w:rsidRDefault="00697881" w:rsidP="005C2EFC">
      <w:pPr>
        <w:pStyle w:val="Heading4"/>
      </w:pPr>
      <w:bookmarkStart w:id="479" w:name="_Toc82385737"/>
      <w:r w:rsidRPr="006B42D6">
        <w:t>4.</w:t>
      </w:r>
      <w:r w:rsidR="00C4159B">
        <w:t>1</w:t>
      </w:r>
      <w:r w:rsidRPr="006B42D6">
        <w:t>.2.1</w:t>
      </w:r>
      <w:r w:rsidR="0000655E" w:rsidRPr="006B42D6">
        <w:tab/>
      </w:r>
      <w:r w:rsidRPr="006B42D6">
        <w:t>Indigenous Goats</w:t>
      </w:r>
      <w:bookmarkEnd w:id="479"/>
    </w:p>
    <w:p w14:paraId="51493B6D" w14:textId="315F16C9" w:rsidR="00054812" w:rsidRDefault="009841C8" w:rsidP="005C2EFC">
      <w:r w:rsidRPr="006B42D6">
        <w:rPr>
          <w:noProof/>
        </w:rPr>
        <mc:AlternateContent>
          <mc:Choice Requires="wps">
            <w:drawing>
              <wp:anchor distT="0" distB="0" distL="114300" distR="114300" simplePos="0" relativeHeight="251642880" behindDoc="1" locked="0" layoutInCell="1" allowOverlap="1" wp14:anchorId="53524D4F" wp14:editId="4FA30735">
                <wp:simplePos x="0" y="0"/>
                <wp:positionH relativeFrom="column">
                  <wp:posOffset>2439761</wp:posOffset>
                </wp:positionH>
                <wp:positionV relativeFrom="page">
                  <wp:posOffset>4381227</wp:posOffset>
                </wp:positionV>
                <wp:extent cx="3522980" cy="448945"/>
                <wp:effectExtent l="0" t="0" r="0" b="0"/>
                <wp:wrapTight wrapText="bothSides">
                  <wp:wrapPolygon edited="0">
                    <wp:start x="0" y="0"/>
                    <wp:lineTo x="0" y="20775"/>
                    <wp:lineTo x="21491" y="20775"/>
                    <wp:lineTo x="21491" y="0"/>
                    <wp:lineTo x="0" y="0"/>
                  </wp:wrapPolygon>
                </wp:wrapTight>
                <wp:docPr id="463" name="Text Box 5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22980" cy="448945"/>
                        </a:xfrm>
                        <a:prstGeom prst="rect">
                          <a:avLst/>
                        </a:prstGeom>
                        <a:solidFill>
                          <a:prstClr val="white"/>
                        </a:solidFill>
                        <a:ln>
                          <a:noFill/>
                        </a:ln>
                      </wps:spPr>
                      <wps:txbx>
                        <w:txbxContent>
                          <w:p w14:paraId="5CEDB0FF" w14:textId="7929E561" w:rsidR="00933456" w:rsidRPr="007463E6" w:rsidRDefault="00933456" w:rsidP="007443B3">
                            <w:pPr>
                              <w:pStyle w:val="Caption"/>
                              <w:rPr>
                                <w:b w:val="0"/>
                                <w:i/>
                                <w:noProof/>
                              </w:rPr>
                            </w:pPr>
                            <w:bookmarkStart w:id="480" w:name="_Toc80120280"/>
                            <w:bookmarkStart w:id="481" w:name="_Toc80884156"/>
                            <w:bookmarkStart w:id="482" w:name="_Toc80884527"/>
                            <w:bookmarkStart w:id="483" w:name="_Toc82386380"/>
                            <w:r w:rsidRPr="007463E6">
                              <w:t>Figure 4.9</w:t>
                            </w:r>
                            <w:r>
                              <w:t>:</w:t>
                            </w:r>
                            <w:r>
                              <w:tab/>
                            </w:r>
                            <w:r w:rsidRPr="007463E6">
                              <w:t>Number of Indigenous Goats and Average Number of Goats per Household by Region as of 1</w:t>
                            </w:r>
                            <w:r w:rsidRPr="007463E6">
                              <w:rPr>
                                <w:vertAlign w:val="superscript"/>
                              </w:rPr>
                              <w:t>st</w:t>
                            </w:r>
                            <w:r w:rsidRPr="007463E6">
                              <w:t xml:space="preserve"> August 2020, </w:t>
                            </w:r>
                            <w:r>
                              <w:t>Mainland Tanzania</w:t>
                            </w:r>
                            <w:bookmarkEnd w:id="480"/>
                            <w:bookmarkEnd w:id="481"/>
                            <w:bookmarkEnd w:id="482"/>
                            <w:bookmarkEnd w:id="483"/>
                            <w:r w:rsidRPr="007463E6">
                              <w:t xml:space="preserve"> </w:t>
                            </w:r>
                          </w:p>
                          <w:p w14:paraId="1B66B76D" w14:textId="71622336" w:rsidR="00933456" w:rsidRPr="007463E6" w:rsidRDefault="00933456" w:rsidP="007443B3">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3524D4F" id="Text Box 565" o:spid="_x0000_s1077" type="#_x0000_t202" style="position:absolute;left:0;text-align:left;margin-left:192.1pt;margin-top:345pt;width:277.4pt;height:35.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" stroked="f">
                <v:textbox inset="0,0,0,0">
                  <w:txbxContent>
                    <w:p w14:paraId="5CEDB0FF" w14:textId="7929E561" w:rsidR="00933456" w:rsidRPr="007463E6" w:rsidRDefault="00933456" w:rsidP="007443B3">
                      <w:pPr>
                        <w:pStyle w:val="Caption"/>
                        <w:rPr>
                          <w:b w:val="0"/>
                          <w:i/>
                          <w:noProof/>
                        </w:rPr>
                      </w:pPr>
                      <w:bookmarkStart w:id="662" w:name="_Toc80120280"/>
                      <w:bookmarkStart w:id="663" w:name="_Toc80884156"/>
                      <w:bookmarkStart w:id="664" w:name="_Toc80884527"/>
                      <w:bookmarkStart w:id="665" w:name="_Toc82386380"/>
                      <w:r w:rsidRPr="007463E6">
                        <w:t>Figure 4.9</w:t>
                      </w:r>
                      <w:r>
                        <w:t>:</w:t>
                      </w:r>
                      <w:r>
                        <w:tab/>
                      </w:r>
                      <w:r w:rsidRPr="007463E6">
                        <w:t>Number of Indigenous Goats and Average Number of Goats per Household by Region as of 1</w:t>
                      </w:r>
                      <w:r w:rsidRPr="007463E6">
                        <w:rPr>
                          <w:vertAlign w:val="superscript"/>
                        </w:rPr>
                        <w:t>st</w:t>
                      </w:r>
                      <w:r w:rsidRPr="007463E6">
                        <w:t xml:space="preserve"> August 2020, </w:t>
                      </w:r>
                      <w:r>
                        <w:t>Mainland Tanzania</w:t>
                      </w:r>
                      <w:bookmarkEnd w:id="662"/>
                      <w:bookmarkEnd w:id="663"/>
                      <w:bookmarkEnd w:id="664"/>
                      <w:bookmarkEnd w:id="665"/>
                      <w:r w:rsidRPr="007463E6">
                        <w:t xml:space="preserve"> </w:t>
                      </w:r>
                    </w:p>
                    <w:p w14:paraId="1B66B76D" w14:textId="71622336" w:rsidR="00933456" w:rsidRPr="007463E6" w:rsidRDefault="00933456" w:rsidP="007443B3">
                      <w:pPr>
                        <w:pStyle w:val="Caption"/>
                        <w:rPr>
                          <w:noProof/>
                        </w:rPr>
                      </w:pPr>
                    </w:p>
                  </w:txbxContent>
                </v:textbox>
                <w10:wrap type="tight" anchory="page"/>
              </v:shape>
            </w:pict>
          </mc:Fallback>
        </mc:AlternateContent>
      </w:r>
      <w:r w:rsidR="00AB2D6D" w:rsidRPr="006B42D6">
        <w:rPr>
          <w:noProof/>
        </w:rPr>
        <w:drawing>
          <wp:anchor distT="6096" distB="4064" distL="120396" distR="120904" simplePos="0" relativeHeight="251641856" behindDoc="1" locked="0" layoutInCell="1" allowOverlap="1" wp14:anchorId="655D3D92" wp14:editId="7ABE94FC">
            <wp:simplePos x="0" y="0"/>
            <wp:positionH relativeFrom="column">
              <wp:posOffset>2435860</wp:posOffset>
            </wp:positionH>
            <wp:positionV relativeFrom="paragraph">
              <wp:posOffset>574516</wp:posOffset>
            </wp:positionV>
            <wp:extent cx="3442970" cy="2293620"/>
            <wp:effectExtent l="0" t="0" r="11430" b="17780"/>
            <wp:wrapTight wrapText="bothSides">
              <wp:wrapPolygon edited="0">
                <wp:start x="0" y="0"/>
                <wp:lineTo x="0" y="21648"/>
                <wp:lineTo x="21592" y="21648"/>
                <wp:lineTo x="21592" y="0"/>
                <wp:lineTo x="0" y="0"/>
              </wp:wrapPolygon>
            </wp:wrapTight>
            <wp:docPr id="462" name="Chart 56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7"/>
              </a:graphicData>
            </a:graphic>
            <wp14:sizeRelH relativeFrom="page">
              <wp14:pctWidth>0</wp14:pctWidth>
            </wp14:sizeRelH>
            <wp14:sizeRelV relativeFrom="page">
              <wp14:pctHeight>0</wp14:pctHeight>
            </wp14:sizeRelV>
          </wp:anchor>
        </w:drawing>
      </w:r>
      <w:r w:rsidR="00697881" w:rsidRPr="006B42D6">
        <w:t xml:space="preserve">The number of households engaged in indigenous goat </w:t>
      </w:r>
      <w:r w:rsidR="00054812" w:rsidRPr="006B42D6">
        <w:t>rearing in Tanzania</w:t>
      </w:r>
      <w:r w:rsidR="00697881" w:rsidRPr="006B42D6">
        <w:t xml:space="preserve"> was </w:t>
      </w:r>
      <w:r w:rsidR="00697881" w:rsidRPr="006B42D6">
        <w:rPr>
          <w:bCs/>
          <w:lang w:eastAsia="en-GB"/>
        </w:rPr>
        <w:t>1,782,178</w:t>
      </w:r>
      <w:r w:rsidR="00054812" w:rsidRPr="006B42D6">
        <w:rPr>
          <w:bCs/>
          <w:lang w:eastAsia="en-GB"/>
        </w:rPr>
        <w:t>,</w:t>
      </w:r>
      <w:r w:rsidR="00697881" w:rsidRPr="006B42D6">
        <w:rPr>
          <w:bCs/>
          <w:lang w:eastAsia="en-GB"/>
        </w:rPr>
        <w:t xml:space="preserve"> </w:t>
      </w:r>
      <w:r w:rsidR="00697881" w:rsidRPr="006B42D6">
        <w:t xml:space="preserve">of which </w:t>
      </w:r>
      <w:r w:rsidR="00697881" w:rsidRPr="006B42D6">
        <w:rPr>
          <w:bCs/>
          <w:lang w:eastAsia="en-GB"/>
        </w:rPr>
        <w:t xml:space="preserve">1,763,959 </w:t>
      </w:r>
      <w:r w:rsidR="00697881" w:rsidRPr="006B42D6">
        <w:t xml:space="preserve">households were in </w:t>
      </w:r>
      <w:r w:rsidR="00EA1552">
        <w:t>Mainland Tanzania</w:t>
      </w:r>
      <w:r w:rsidR="00697881" w:rsidRPr="006B42D6">
        <w:t xml:space="preserve"> and </w:t>
      </w:r>
      <w:r w:rsidR="00697881" w:rsidRPr="006B42D6">
        <w:rPr>
          <w:bCs/>
          <w:lang w:eastAsia="en-GB"/>
        </w:rPr>
        <w:t xml:space="preserve">18,219 </w:t>
      </w:r>
      <w:r w:rsidR="00697881" w:rsidRPr="006B42D6">
        <w:t xml:space="preserve">in </w:t>
      </w:r>
      <w:r w:rsidR="00054812" w:rsidRPr="006B42D6">
        <w:t xml:space="preserve">Tanzania </w:t>
      </w:r>
      <w:r w:rsidR="00697881" w:rsidRPr="006B42D6">
        <w:t xml:space="preserve">Zanzibar. The total number of indigenous goats raised by smallholder farmers in Tanzania </w:t>
      </w:r>
      <w:r w:rsidR="005D3132" w:rsidRPr="006B42D6">
        <w:t>was</w:t>
      </w:r>
      <w:r w:rsidR="00697881" w:rsidRPr="006B42D6">
        <w:t xml:space="preserve"> </w:t>
      </w:r>
      <w:r w:rsidR="00697881" w:rsidRPr="006B42D6">
        <w:rPr>
          <w:bCs/>
          <w:lang w:eastAsia="en-GB"/>
        </w:rPr>
        <w:t xml:space="preserve">24,232,809 whereby 24,122,945 </w:t>
      </w:r>
      <w:r w:rsidR="00054812" w:rsidRPr="006B42D6">
        <w:rPr>
          <w:bCs/>
          <w:lang w:eastAsia="en-GB"/>
        </w:rPr>
        <w:t xml:space="preserve">were </w:t>
      </w:r>
      <w:r w:rsidR="00697881" w:rsidRPr="006B42D6">
        <w:rPr>
          <w:bCs/>
          <w:lang w:eastAsia="en-GB"/>
        </w:rPr>
        <w:t xml:space="preserve">from </w:t>
      </w:r>
      <w:r w:rsidR="00EA1552">
        <w:t>Mainland Tanzania</w:t>
      </w:r>
      <w:r w:rsidR="00697881" w:rsidRPr="006B42D6">
        <w:rPr>
          <w:bCs/>
          <w:lang w:eastAsia="en-GB"/>
        </w:rPr>
        <w:t xml:space="preserve"> and</w:t>
      </w:r>
      <w:r w:rsidR="00697881" w:rsidRPr="006B42D6">
        <w:t xml:space="preserve"> </w:t>
      </w:r>
      <w:r w:rsidR="00697881" w:rsidRPr="006B42D6">
        <w:rPr>
          <w:bCs/>
          <w:lang w:eastAsia="en-GB"/>
        </w:rPr>
        <w:t xml:space="preserve">109,864 </w:t>
      </w:r>
      <w:r w:rsidR="00054812" w:rsidRPr="006B42D6">
        <w:t>from</w:t>
      </w:r>
      <w:r w:rsidR="00697881" w:rsidRPr="006B42D6">
        <w:t xml:space="preserve"> </w:t>
      </w:r>
      <w:r w:rsidR="00054812" w:rsidRPr="006B42D6">
        <w:t xml:space="preserve">Tanzania </w:t>
      </w:r>
      <w:r w:rsidR="00697881" w:rsidRPr="006B42D6">
        <w:t>Zanzibar.</w:t>
      </w:r>
      <w:r w:rsidR="00054812" w:rsidRPr="006B42D6">
        <w:t xml:space="preserve"> </w:t>
      </w:r>
    </w:p>
    <w:p w14:paraId="789FB41D" w14:textId="77777777" w:rsidR="00EB35E7" w:rsidRPr="006B42D6" w:rsidRDefault="00EB35E7" w:rsidP="0043353A">
      <w:pPr>
        <w:spacing w:line="240" w:lineRule="auto"/>
      </w:pPr>
    </w:p>
    <w:p w14:paraId="60F48C7D" w14:textId="7372FF4B" w:rsidR="00697881" w:rsidRDefault="00697881" w:rsidP="005C2EFC">
      <w:r w:rsidRPr="006B42D6">
        <w:t xml:space="preserve">In </w:t>
      </w:r>
      <w:r w:rsidR="00EA1552">
        <w:t>Mainland Tanzania</w:t>
      </w:r>
      <w:r w:rsidRPr="006B42D6">
        <w:t xml:space="preserve">, Manyara </w:t>
      </w:r>
      <w:r w:rsidR="003B3DCB" w:rsidRPr="006B42D6">
        <w:t xml:space="preserve">region </w:t>
      </w:r>
      <w:r w:rsidRPr="006B42D6">
        <w:t>had the highest number of indigenous goats (2,348,974 heads; 9.7 percent)</w:t>
      </w:r>
      <w:r w:rsidR="00EB35E7">
        <w:t>,</w:t>
      </w:r>
      <w:r w:rsidRPr="006B42D6">
        <w:t xml:space="preserve"> followed by Dodoma (1,659,908 heads; 6.9 percent) and Arusha (1,563,765 heads; 6.5 percent)</w:t>
      </w:r>
      <w:r w:rsidR="00ED7A81" w:rsidRPr="006B42D6">
        <w:t xml:space="preserve"> (Figure 4.</w:t>
      </w:r>
      <w:r w:rsidR="007443B3" w:rsidRPr="006B42D6">
        <w:t>9</w:t>
      </w:r>
      <w:r w:rsidR="00ED7A81" w:rsidRPr="006B42D6">
        <w:t>)</w:t>
      </w:r>
      <w:r w:rsidRPr="006B42D6">
        <w:t>.</w:t>
      </w:r>
    </w:p>
    <w:p w14:paraId="1DB8E146" w14:textId="25F3B30D" w:rsidR="00AB2D6D" w:rsidRDefault="00AB2D6D">
      <w:pPr>
        <w:spacing w:line="240" w:lineRule="auto"/>
        <w:contextualSpacing w:val="0"/>
        <w:jc w:val="left"/>
        <w:rPr>
          <w:rFonts w:cs="Calibri"/>
          <w:lang w:eastAsia="en-GB"/>
        </w:rPr>
      </w:pPr>
      <w:r>
        <w:rPr>
          <w:rFonts w:cs="Calibri"/>
          <w:lang w:eastAsia="en-GB"/>
        </w:rPr>
        <w:br w:type="page"/>
      </w:r>
    </w:p>
    <w:p w14:paraId="35D09C3A" w14:textId="77777777" w:rsidR="007E1CD0" w:rsidRDefault="007E1CD0" w:rsidP="005C2EFC">
      <w:r w:rsidRPr="006B42D6">
        <w:rPr>
          <w:noProof/>
        </w:rPr>
        <w:lastRenderedPageBreak/>
        <w:drawing>
          <wp:anchor distT="6096" distB="3048" distL="120396" distR="118745" simplePos="0" relativeHeight="251643904" behindDoc="1" locked="0" layoutInCell="1" allowOverlap="1" wp14:anchorId="1B4BE5B0" wp14:editId="62A7A765">
            <wp:simplePos x="0" y="0"/>
            <wp:positionH relativeFrom="column">
              <wp:posOffset>2286000</wp:posOffset>
            </wp:positionH>
            <wp:positionV relativeFrom="paragraph">
              <wp:posOffset>528320</wp:posOffset>
            </wp:positionV>
            <wp:extent cx="3378835" cy="2209165"/>
            <wp:effectExtent l="0" t="0" r="12065" b="13335"/>
            <wp:wrapTight wrapText="bothSides">
              <wp:wrapPolygon edited="0">
                <wp:start x="0" y="0"/>
                <wp:lineTo x="0" y="21606"/>
                <wp:lineTo x="21596" y="21606"/>
                <wp:lineTo x="21596" y="0"/>
                <wp:lineTo x="0" y="0"/>
              </wp:wrapPolygon>
            </wp:wrapTight>
            <wp:docPr id="460" name="Chart 56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8"/>
              </a:graphicData>
            </a:graphic>
            <wp14:sizeRelH relativeFrom="page">
              <wp14:pctWidth>0</wp14:pctWidth>
            </wp14:sizeRelH>
            <wp14:sizeRelV relativeFrom="page">
              <wp14:pctHeight>0</wp14:pctHeight>
            </wp14:sizeRelV>
          </wp:anchor>
        </w:drawing>
      </w:r>
      <w:r w:rsidRPr="006B42D6">
        <w:rPr>
          <w:noProof/>
        </w:rPr>
        <mc:AlternateContent>
          <mc:Choice Requires="wps">
            <w:drawing>
              <wp:anchor distT="0" distB="0" distL="114300" distR="114300" simplePos="0" relativeHeight="251644928" behindDoc="1" locked="0" layoutInCell="1" allowOverlap="1" wp14:anchorId="0775E2E2" wp14:editId="54CDB1CB">
                <wp:simplePos x="0" y="0"/>
                <wp:positionH relativeFrom="column">
                  <wp:posOffset>2284095</wp:posOffset>
                </wp:positionH>
                <wp:positionV relativeFrom="paragraph">
                  <wp:posOffset>481</wp:posOffset>
                </wp:positionV>
                <wp:extent cx="3470275" cy="450850"/>
                <wp:effectExtent l="0" t="0" r="0" b="6350"/>
                <wp:wrapTight wrapText="bothSides">
                  <wp:wrapPolygon edited="0">
                    <wp:start x="0" y="0"/>
                    <wp:lineTo x="0" y="21296"/>
                    <wp:lineTo x="21501" y="21296"/>
                    <wp:lineTo x="21501" y="0"/>
                    <wp:lineTo x="0" y="0"/>
                  </wp:wrapPolygon>
                </wp:wrapTight>
                <wp:docPr id="461" name="Text Box 5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70275" cy="450850"/>
                        </a:xfrm>
                        <a:prstGeom prst="rect">
                          <a:avLst/>
                        </a:prstGeom>
                        <a:solidFill>
                          <a:prstClr val="white"/>
                        </a:solidFill>
                        <a:ln>
                          <a:noFill/>
                        </a:ln>
                      </wps:spPr>
                      <wps:txbx>
                        <w:txbxContent>
                          <w:p w14:paraId="7E10F060" w14:textId="66D06FC1" w:rsidR="00933456" w:rsidRPr="007463E6" w:rsidRDefault="00933456" w:rsidP="003B3DCB">
                            <w:pPr>
                              <w:pStyle w:val="Caption"/>
                              <w:rPr>
                                <w:b w:val="0"/>
                                <w:i/>
                                <w:noProof/>
                              </w:rPr>
                            </w:pPr>
                            <w:bookmarkStart w:id="484" w:name="_Toc80120281"/>
                            <w:bookmarkStart w:id="485" w:name="_Toc80884157"/>
                            <w:bookmarkStart w:id="486" w:name="_Toc80884528"/>
                            <w:bookmarkStart w:id="487" w:name="_Toc82386381"/>
                            <w:r w:rsidRPr="007463E6">
                              <w:t>Figure 4.10:</w:t>
                            </w:r>
                            <w:r>
                              <w:tab/>
                            </w:r>
                            <w:r w:rsidRPr="007463E6">
                              <w:t>Number of Indigenous Goats and Average Number per Household by Region as of 1</w:t>
                            </w:r>
                            <w:r w:rsidRPr="007463E6">
                              <w:rPr>
                                <w:vertAlign w:val="superscript"/>
                              </w:rPr>
                              <w:t>st</w:t>
                            </w:r>
                            <w:r w:rsidRPr="007463E6">
                              <w:t xml:space="preserve"> August 2020, Tanzania Zanzibar</w:t>
                            </w:r>
                            <w:bookmarkEnd w:id="484"/>
                            <w:bookmarkEnd w:id="485"/>
                            <w:bookmarkEnd w:id="486"/>
                            <w:bookmarkEnd w:id="487"/>
                            <w:r w:rsidRPr="007463E6">
                              <w:t xml:space="preserve"> </w:t>
                            </w:r>
                          </w:p>
                          <w:p w14:paraId="092850F8" w14:textId="6E138637" w:rsidR="00933456" w:rsidRPr="007463E6" w:rsidRDefault="00933456" w:rsidP="003B3DCB">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775E2E2" id="Text Box 567" o:spid="_x0000_s1078" type="#_x0000_t202" style="position:absolute;left:0;text-align:left;margin-left:179.85pt;margin-top:.05pt;width:273.25pt;height:3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" stroked="f">
                <v:textbox inset="0,0,0,0">
                  <w:txbxContent>
                    <w:p w14:paraId="7E10F060" w14:textId="66D06FC1" w:rsidR="00933456" w:rsidRPr="007463E6" w:rsidRDefault="00933456" w:rsidP="003B3DCB">
                      <w:pPr>
                        <w:pStyle w:val="Caption"/>
                        <w:rPr>
                          <w:b w:val="0"/>
                          <w:i/>
                          <w:noProof/>
                        </w:rPr>
                      </w:pPr>
                      <w:bookmarkStart w:id="670" w:name="_Toc80120281"/>
                      <w:bookmarkStart w:id="671" w:name="_Toc80884157"/>
                      <w:bookmarkStart w:id="672" w:name="_Toc80884528"/>
                      <w:bookmarkStart w:id="673" w:name="_Toc82386381"/>
                      <w:r w:rsidRPr="007463E6">
                        <w:t>Figure 4.10:</w:t>
                      </w:r>
                      <w:r>
                        <w:tab/>
                      </w:r>
                      <w:r w:rsidRPr="007463E6">
                        <w:t>Number of Indigenous Goats and Average Number per Household by Region as of 1</w:t>
                      </w:r>
                      <w:r w:rsidRPr="007463E6">
                        <w:rPr>
                          <w:vertAlign w:val="superscript"/>
                        </w:rPr>
                        <w:t>st</w:t>
                      </w:r>
                      <w:r w:rsidRPr="007463E6">
                        <w:t xml:space="preserve"> August 2020, Tanzania Zanzibar</w:t>
                      </w:r>
                      <w:bookmarkEnd w:id="670"/>
                      <w:bookmarkEnd w:id="671"/>
                      <w:bookmarkEnd w:id="672"/>
                      <w:bookmarkEnd w:id="673"/>
                      <w:r w:rsidRPr="007463E6">
                        <w:t xml:space="preserve"> </w:t>
                      </w:r>
                    </w:p>
                    <w:p w14:paraId="092850F8" w14:textId="6E138637" w:rsidR="00933456" w:rsidRPr="007463E6" w:rsidRDefault="00933456" w:rsidP="003B3DCB">
                      <w:pPr>
                        <w:pStyle w:val="Caption"/>
                        <w:rPr>
                          <w:noProof/>
                        </w:rPr>
                      </w:pPr>
                    </w:p>
                  </w:txbxContent>
                </v:textbox>
                <w10:wrap type="tight"/>
              </v:shape>
            </w:pict>
          </mc:Fallback>
        </mc:AlternateContent>
      </w:r>
      <w:r w:rsidR="00697881" w:rsidRPr="006B42D6">
        <w:t xml:space="preserve">In </w:t>
      </w:r>
      <w:r w:rsidR="00054812" w:rsidRPr="006B42D6">
        <w:t xml:space="preserve">Tanzania </w:t>
      </w:r>
      <w:r w:rsidR="00697881" w:rsidRPr="006B42D6">
        <w:t xml:space="preserve">Zanzibar, Kusini Pemba region had the highest number of indigenous goats (39,716 heads; 36.2 percent), followed by Kusini Unguja (19,610 heads; 17.8 percent) while, Mjini Magharibi had </w:t>
      </w:r>
      <w:r w:rsidR="003B3DCB" w:rsidRPr="006B42D6">
        <w:t xml:space="preserve">the </w:t>
      </w:r>
      <w:r w:rsidR="00697881" w:rsidRPr="006B42D6">
        <w:t>lowest number (</w:t>
      </w:r>
      <w:r w:rsidR="00697881" w:rsidRPr="006B42D6">
        <w:rPr>
          <w:lang w:eastAsia="en-GB"/>
        </w:rPr>
        <w:t xml:space="preserve">13,790 </w:t>
      </w:r>
      <w:r w:rsidR="00697881" w:rsidRPr="006B42D6">
        <w:t>heads 12.5 percent)</w:t>
      </w:r>
      <w:r w:rsidR="003B3DCB" w:rsidRPr="006B42D6">
        <w:t xml:space="preserve"> (Figure 4.10)</w:t>
      </w:r>
      <w:r w:rsidR="00697881" w:rsidRPr="006B42D6">
        <w:t xml:space="preserve">. The Agricultural census results show a steady increase on </w:t>
      </w:r>
    </w:p>
    <w:p w14:paraId="4FF820D8" w14:textId="25DD3648" w:rsidR="00697881" w:rsidRPr="006B42D6" w:rsidRDefault="00697881" w:rsidP="005C2EFC">
      <w:pPr>
        <w:rPr>
          <w:rFonts w:cs="Calibri"/>
          <w:lang w:eastAsia="en-GB"/>
        </w:rPr>
      </w:pPr>
      <w:r w:rsidRPr="006B42D6">
        <w:t>the number of indigenous goats from 15.2 million in</w:t>
      </w:r>
      <w:r w:rsidR="00EB5FF2">
        <w:t xml:space="preserve"> year</w:t>
      </w:r>
      <w:r w:rsidRPr="006B42D6">
        <w:t xml:space="preserve"> 2008 to 24.5 million in 2020 representing approximately 62 percent increase</w:t>
      </w:r>
      <w:r w:rsidR="00AB2D6D" w:rsidRPr="00AB2D6D">
        <w:t>.</w:t>
      </w:r>
    </w:p>
    <w:p w14:paraId="236E5B20" w14:textId="77777777" w:rsidR="0071125E" w:rsidRPr="0071125E" w:rsidRDefault="0071125E" w:rsidP="0043353A"/>
    <w:bookmarkStart w:id="488" w:name="_Toc82385738"/>
    <w:p w14:paraId="0A38C105" w14:textId="06653819" w:rsidR="00697881" w:rsidRPr="006B42D6" w:rsidRDefault="0043353A" w:rsidP="005C2EFC">
      <w:pPr>
        <w:pStyle w:val="Heading4"/>
        <w:rPr>
          <w:rFonts w:cs="Calibri"/>
          <w:bCs/>
          <w:lang w:eastAsia="en-GB"/>
        </w:rPr>
      </w:pPr>
      <w:r>
        <w:rPr>
          <w:noProof/>
        </w:rPr>
        <mc:AlternateContent>
          <mc:Choice Requires="wps">
            <w:drawing>
              <wp:anchor distT="0" distB="0" distL="114300" distR="114300" simplePos="0" relativeHeight="251559936" behindDoc="0" locked="0" layoutInCell="1" allowOverlap="1" wp14:anchorId="495772DB" wp14:editId="723280EB">
                <wp:simplePos x="0" y="0"/>
                <wp:positionH relativeFrom="column">
                  <wp:posOffset>2764790</wp:posOffset>
                </wp:positionH>
                <wp:positionV relativeFrom="paragraph">
                  <wp:posOffset>100330</wp:posOffset>
                </wp:positionV>
                <wp:extent cx="2990850" cy="464820"/>
                <wp:effectExtent l="0" t="0" r="6350" b="5080"/>
                <wp:wrapTight wrapText="bothSides">
                  <wp:wrapPolygon edited="0">
                    <wp:start x="0" y="0"/>
                    <wp:lineTo x="0" y="21246"/>
                    <wp:lineTo x="21554" y="21246"/>
                    <wp:lineTo x="21554" y="0"/>
                    <wp:lineTo x="0" y="0"/>
                  </wp:wrapPolygon>
                </wp:wrapTight>
                <wp:docPr id="439"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90850" cy="4648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3B32E7" w14:textId="15D1A449" w:rsidR="00933456" w:rsidRPr="009841C8" w:rsidRDefault="00933456" w:rsidP="009841C8">
                            <w:pPr>
                              <w:pStyle w:val="Caption"/>
                            </w:pPr>
                            <w:bookmarkStart w:id="489" w:name="_Toc80120282"/>
                            <w:bookmarkStart w:id="490" w:name="_Toc80884158"/>
                            <w:bookmarkStart w:id="491" w:name="_Toc80884529"/>
                            <w:bookmarkStart w:id="492" w:name="_Toc82386382"/>
                            <w:r w:rsidRPr="009841C8">
                              <w:t>Figure 4.11: Percentage and Types of Improved Goats as of 1st August 2020, Tanzania</w:t>
                            </w:r>
                            <w:bookmarkEnd w:id="489"/>
                            <w:bookmarkEnd w:id="490"/>
                            <w:bookmarkEnd w:id="491"/>
                            <w:bookmarkEnd w:id="492"/>
                          </w:p>
                          <w:p w14:paraId="021C8FC7" w14:textId="77777777" w:rsidR="00933456" w:rsidRPr="009841C8" w:rsidRDefault="00933456" w:rsidP="009841C8">
                            <w:pPr>
                              <w:pStyle w:val="Caption"/>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5772DB" id="_x0000_s1079" type="#_x0000_t202" style="position:absolute;left:0;text-align:left;margin-left:217.7pt;margin-top:7.9pt;width:235.5pt;height:36.6pt;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" stroked="f">
                <v:path arrowok="t"/>
                <v:textbox inset="0,0,0,0">
                  <w:txbxContent>
                    <w:p w14:paraId="283B32E7" w14:textId="15D1A449" w:rsidR="00933456" w:rsidRPr="009841C8" w:rsidRDefault="00933456" w:rsidP="009841C8">
                      <w:pPr>
                        <w:pStyle w:val="Caption"/>
                      </w:pPr>
                      <w:bookmarkStart w:id="679" w:name="_Toc80120282"/>
                      <w:bookmarkStart w:id="680" w:name="_Toc80884158"/>
                      <w:bookmarkStart w:id="681" w:name="_Toc80884529"/>
                      <w:bookmarkStart w:id="682" w:name="_Toc82386382"/>
                      <w:r w:rsidRPr="009841C8">
                        <w:t>Figure 4.11: Percentage and Types of Improved Goats as of 1st August 2020, Tanzania</w:t>
                      </w:r>
                      <w:bookmarkEnd w:id="679"/>
                      <w:bookmarkEnd w:id="680"/>
                      <w:bookmarkEnd w:id="681"/>
                      <w:bookmarkEnd w:id="682"/>
                    </w:p>
                    <w:p w14:paraId="021C8FC7" w14:textId="77777777" w:rsidR="00933456" w:rsidRPr="009841C8" w:rsidRDefault="00933456" w:rsidP="009841C8">
                      <w:pPr>
                        <w:pStyle w:val="Caption"/>
                      </w:pPr>
                    </w:p>
                  </w:txbxContent>
                </v:textbox>
                <w10:wrap type="tight"/>
              </v:shape>
            </w:pict>
          </mc:Fallback>
        </mc:AlternateContent>
      </w:r>
      <w:r w:rsidR="00697881" w:rsidRPr="006B42D6">
        <w:t>4.</w:t>
      </w:r>
      <w:r w:rsidR="00C4159B">
        <w:t>1</w:t>
      </w:r>
      <w:r w:rsidR="00697881" w:rsidRPr="006B42D6">
        <w:t>.2.2</w:t>
      </w:r>
      <w:r w:rsidR="0000655E" w:rsidRPr="006B42D6">
        <w:tab/>
      </w:r>
      <w:r w:rsidR="00697881" w:rsidRPr="006B42D6">
        <w:t xml:space="preserve">Improved </w:t>
      </w:r>
      <w:r w:rsidR="00A22161" w:rsidRPr="006B42D6">
        <w:t>G</w:t>
      </w:r>
      <w:r w:rsidR="00697881" w:rsidRPr="006B42D6">
        <w:t>oats</w:t>
      </w:r>
      <w:bookmarkEnd w:id="488"/>
      <w:r w:rsidR="00697881" w:rsidRPr="006B42D6">
        <w:rPr>
          <w:rFonts w:cs="Calibri"/>
          <w:bCs/>
          <w:lang w:eastAsia="en-GB"/>
        </w:rPr>
        <w:t xml:space="preserve">    </w:t>
      </w:r>
    </w:p>
    <w:p w14:paraId="20BE89F6" w14:textId="7425B92C" w:rsidR="007E5D10" w:rsidRDefault="009841C8" w:rsidP="005C2EFC">
      <w:pPr>
        <w:rPr>
          <w:bCs/>
          <w:lang w:eastAsia="en-GB"/>
        </w:rPr>
      </w:pPr>
      <w:r>
        <w:rPr>
          <w:noProof/>
        </w:rPr>
        <w:drawing>
          <wp:anchor distT="0" distB="0" distL="114300" distR="114300" simplePos="0" relativeHeight="251833344" behindDoc="1" locked="0" layoutInCell="1" allowOverlap="1" wp14:anchorId="6FE74842" wp14:editId="70FB7FDB">
            <wp:simplePos x="0" y="0"/>
            <wp:positionH relativeFrom="column">
              <wp:posOffset>2764790</wp:posOffset>
            </wp:positionH>
            <wp:positionV relativeFrom="paragraph">
              <wp:posOffset>212725</wp:posOffset>
            </wp:positionV>
            <wp:extent cx="2849245" cy="2125980"/>
            <wp:effectExtent l="0" t="0" r="8255" b="7620"/>
            <wp:wrapTight wrapText="bothSides">
              <wp:wrapPolygon edited="0">
                <wp:start x="0" y="0"/>
                <wp:lineTo x="0" y="21548"/>
                <wp:lineTo x="21566" y="21548"/>
                <wp:lineTo x="21566" y="0"/>
                <wp:lineTo x="0" y="0"/>
              </wp:wrapPolygon>
            </wp:wrapTight>
            <wp:docPr id="267" name="Chart 267">
              <a:extLst xmlns:a="http://schemas.openxmlformats.org/drawingml/2006/main">
                <a:ext uri="{FF2B5EF4-FFF2-40B4-BE49-F238E27FC236}">
                  <a16:creationId xmlns:a16="http://schemas.microsoft.com/office/drawing/2014/main" id="{00000000-0008-0000-0D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9"/>
              </a:graphicData>
            </a:graphic>
            <wp14:sizeRelH relativeFrom="page">
              <wp14:pctWidth>0</wp14:pctWidth>
            </wp14:sizeRelH>
            <wp14:sizeRelV relativeFrom="page">
              <wp14:pctHeight>0</wp14:pctHeight>
            </wp14:sizeRelV>
          </wp:anchor>
        </w:drawing>
      </w:r>
      <w:r w:rsidRPr="006B42D6">
        <w:t xml:space="preserve"> </w:t>
      </w:r>
      <w:r w:rsidR="00697881" w:rsidRPr="006B42D6">
        <w:t xml:space="preserve">The number of households in Tanzania engaged in improved goat rearing was </w:t>
      </w:r>
      <w:r w:rsidR="00697881" w:rsidRPr="006B42D6">
        <w:rPr>
          <w:lang w:eastAsia="en-GB"/>
        </w:rPr>
        <w:t xml:space="preserve">63,859 </w:t>
      </w:r>
      <w:r w:rsidR="00A22161" w:rsidRPr="006B42D6">
        <w:rPr>
          <w:lang w:eastAsia="en-GB"/>
        </w:rPr>
        <w:t xml:space="preserve">out </w:t>
      </w:r>
      <w:r w:rsidR="00697881" w:rsidRPr="006B42D6">
        <w:t xml:space="preserve">of which </w:t>
      </w:r>
      <w:r w:rsidR="00697881" w:rsidRPr="006B42D6">
        <w:rPr>
          <w:lang w:eastAsia="en-GB"/>
        </w:rPr>
        <w:t xml:space="preserve">63,593 </w:t>
      </w:r>
      <w:r w:rsidR="00697881" w:rsidRPr="006B42D6">
        <w:t xml:space="preserve">households were in </w:t>
      </w:r>
      <w:r w:rsidR="00EA1552">
        <w:t>Mainland Tanzania</w:t>
      </w:r>
      <w:r w:rsidR="00697881" w:rsidRPr="006B42D6">
        <w:t xml:space="preserve"> and </w:t>
      </w:r>
      <w:r w:rsidR="00697881" w:rsidRPr="006B42D6">
        <w:rPr>
          <w:bCs/>
          <w:lang w:eastAsia="en-GB"/>
        </w:rPr>
        <w:t>266</w:t>
      </w:r>
      <w:r w:rsidR="00697881" w:rsidRPr="006B42D6">
        <w:t xml:space="preserve"> in </w:t>
      </w:r>
      <w:r w:rsidR="00255E17" w:rsidRPr="006B42D6">
        <w:t xml:space="preserve">Tanzania </w:t>
      </w:r>
      <w:r w:rsidR="00697881" w:rsidRPr="006B42D6">
        <w:t xml:space="preserve">Zanzibar. </w:t>
      </w:r>
      <w:r w:rsidR="00697881" w:rsidRPr="006B42D6">
        <w:rPr>
          <w:lang w:eastAsia="en-GB"/>
        </w:rPr>
        <w:t xml:space="preserve">There </w:t>
      </w:r>
      <w:r w:rsidR="00EB5FF2">
        <w:rPr>
          <w:lang w:eastAsia="en-GB"/>
        </w:rPr>
        <w:t>were</w:t>
      </w:r>
      <w:r w:rsidR="00697881" w:rsidRPr="006B42D6">
        <w:rPr>
          <w:lang w:eastAsia="en-GB"/>
        </w:rPr>
        <w:t xml:space="preserve"> two types of improved goats raised in Tanzania, </w:t>
      </w:r>
      <w:r w:rsidR="00EB5FF2">
        <w:rPr>
          <w:lang w:eastAsia="en-GB"/>
        </w:rPr>
        <w:t>those</w:t>
      </w:r>
      <w:r w:rsidR="00697881" w:rsidRPr="006B42D6">
        <w:rPr>
          <w:lang w:eastAsia="en-GB"/>
        </w:rPr>
        <w:t xml:space="preserve"> for </w:t>
      </w:r>
      <w:r w:rsidR="00A22161" w:rsidRPr="006B42D6">
        <w:rPr>
          <w:lang w:eastAsia="en-GB"/>
        </w:rPr>
        <w:t xml:space="preserve">meat </w:t>
      </w:r>
      <w:r w:rsidR="00697881" w:rsidRPr="006B42D6">
        <w:rPr>
          <w:bCs/>
          <w:lang w:eastAsia="en-GB"/>
        </w:rPr>
        <w:t>110,856 (36.7 percent) and dairy 190,884 (62.3 percent)</w:t>
      </w:r>
      <w:r w:rsidR="007E5D10" w:rsidRPr="006B42D6">
        <w:rPr>
          <w:bCs/>
          <w:lang w:eastAsia="en-GB"/>
        </w:rPr>
        <w:t xml:space="preserve"> (Figure 4.11)</w:t>
      </w:r>
      <w:r w:rsidR="00697881" w:rsidRPr="006B42D6">
        <w:rPr>
          <w:bCs/>
          <w:lang w:eastAsia="en-GB"/>
        </w:rPr>
        <w:t xml:space="preserve">. </w:t>
      </w:r>
    </w:p>
    <w:p w14:paraId="06E28F13" w14:textId="77777777" w:rsidR="0043353A" w:rsidRPr="006B42D6" w:rsidRDefault="0043353A" w:rsidP="0043353A">
      <w:pPr>
        <w:spacing w:line="240" w:lineRule="auto"/>
        <w:rPr>
          <w:bCs/>
          <w:lang w:eastAsia="en-GB"/>
        </w:rPr>
      </w:pPr>
    </w:p>
    <w:p w14:paraId="5D217C00" w14:textId="13588C67" w:rsidR="00697881" w:rsidRPr="006B42D6" w:rsidRDefault="00A22161" w:rsidP="005C2EFC">
      <w:pPr>
        <w:rPr>
          <w:rFonts w:cs="Calibri"/>
          <w:b/>
          <w:bCs/>
          <w:lang w:eastAsia="en-GB"/>
        </w:rPr>
      </w:pPr>
      <w:r w:rsidRPr="006B42D6">
        <w:rPr>
          <w:bCs/>
          <w:lang w:eastAsia="en-GB"/>
        </w:rPr>
        <w:t xml:space="preserve">Households in </w:t>
      </w:r>
      <w:r w:rsidR="00EA1552">
        <w:t>Mainland Tanzania</w:t>
      </w:r>
      <w:r w:rsidR="00697881" w:rsidRPr="006B42D6">
        <w:rPr>
          <w:bCs/>
          <w:lang w:eastAsia="en-GB"/>
        </w:rPr>
        <w:t xml:space="preserve"> </w:t>
      </w:r>
      <w:r w:rsidRPr="006B42D6">
        <w:rPr>
          <w:bCs/>
          <w:lang w:eastAsia="en-GB"/>
        </w:rPr>
        <w:t>raised</w:t>
      </w:r>
      <w:r w:rsidR="00697881" w:rsidRPr="006B42D6">
        <w:rPr>
          <w:bCs/>
          <w:lang w:eastAsia="en-GB"/>
        </w:rPr>
        <w:t xml:space="preserve"> </w:t>
      </w:r>
      <w:r w:rsidR="00697881" w:rsidRPr="006B42D6">
        <w:rPr>
          <w:lang w:eastAsia="en-GB"/>
        </w:rPr>
        <w:t>300,175 improved goats (99.5 percent)</w:t>
      </w:r>
      <w:r w:rsidRPr="006B42D6">
        <w:rPr>
          <w:lang w:eastAsia="en-GB"/>
        </w:rPr>
        <w:t>,</w:t>
      </w:r>
      <w:r w:rsidR="00697881" w:rsidRPr="006B42D6">
        <w:rPr>
          <w:lang w:eastAsia="en-GB"/>
        </w:rPr>
        <w:t xml:space="preserve"> </w:t>
      </w:r>
      <w:r w:rsidRPr="006B42D6">
        <w:rPr>
          <w:lang w:eastAsia="en-GB"/>
        </w:rPr>
        <w:t xml:space="preserve">out </w:t>
      </w:r>
      <w:r w:rsidR="00697881" w:rsidRPr="006B42D6">
        <w:rPr>
          <w:lang w:eastAsia="en-GB"/>
        </w:rPr>
        <w:t xml:space="preserve">of which </w:t>
      </w:r>
      <w:r w:rsidR="00697881" w:rsidRPr="006B42D6">
        <w:rPr>
          <w:bCs/>
          <w:lang w:eastAsia="en-GB"/>
        </w:rPr>
        <w:t>109,957 heads (36.</w:t>
      </w:r>
      <w:r w:rsidR="00EB5FF2">
        <w:rPr>
          <w:bCs/>
          <w:lang w:eastAsia="en-GB"/>
        </w:rPr>
        <w:t>7</w:t>
      </w:r>
      <w:r w:rsidR="00697881" w:rsidRPr="006B42D6">
        <w:rPr>
          <w:bCs/>
          <w:lang w:eastAsia="en-GB"/>
        </w:rPr>
        <w:t xml:space="preserve"> percent) </w:t>
      </w:r>
      <w:r w:rsidRPr="006B42D6">
        <w:rPr>
          <w:bCs/>
          <w:lang w:eastAsia="en-GB"/>
        </w:rPr>
        <w:t xml:space="preserve">were </w:t>
      </w:r>
      <w:r w:rsidR="00697881" w:rsidRPr="006B42D6">
        <w:rPr>
          <w:bCs/>
          <w:lang w:eastAsia="en-GB"/>
        </w:rPr>
        <w:t>for meat</w:t>
      </w:r>
      <w:r w:rsidR="00697881" w:rsidRPr="006B42D6">
        <w:rPr>
          <w:lang w:eastAsia="en-GB"/>
        </w:rPr>
        <w:t xml:space="preserve"> and </w:t>
      </w:r>
      <w:r w:rsidR="00697881" w:rsidRPr="006B42D6">
        <w:rPr>
          <w:bCs/>
          <w:lang w:eastAsia="en-GB"/>
        </w:rPr>
        <w:t>190,218 heads</w:t>
      </w:r>
      <w:r w:rsidR="00697881" w:rsidRPr="006B42D6">
        <w:rPr>
          <w:lang w:eastAsia="en-GB"/>
        </w:rPr>
        <w:t xml:space="preserve"> </w:t>
      </w:r>
      <w:r w:rsidR="00697881" w:rsidRPr="006B42D6">
        <w:rPr>
          <w:bCs/>
          <w:lang w:eastAsia="en-GB"/>
        </w:rPr>
        <w:t>(</w:t>
      </w:r>
      <w:r w:rsidR="00EB5FF2">
        <w:rPr>
          <w:bCs/>
          <w:lang w:eastAsia="en-GB"/>
        </w:rPr>
        <w:t>63</w:t>
      </w:r>
      <w:r w:rsidR="00697881" w:rsidRPr="006B42D6">
        <w:rPr>
          <w:bCs/>
          <w:lang w:eastAsia="en-GB"/>
        </w:rPr>
        <w:t>.</w:t>
      </w:r>
      <w:r w:rsidR="00EB5FF2">
        <w:rPr>
          <w:bCs/>
          <w:lang w:eastAsia="en-GB"/>
        </w:rPr>
        <w:t>3</w:t>
      </w:r>
      <w:r w:rsidR="00697881" w:rsidRPr="006B42D6">
        <w:rPr>
          <w:bCs/>
          <w:lang w:eastAsia="en-GB"/>
        </w:rPr>
        <w:t xml:space="preserve"> percent) for dairy. In </w:t>
      </w:r>
      <w:r w:rsidR="00255E17" w:rsidRPr="006B42D6">
        <w:t xml:space="preserve">Tanzania </w:t>
      </w:r>
      <w:r w:rsidR="00697881" w:rsidRPr="006B42D6">
        <w:rPr>
          <w:lang w:eastAsia="en-GB"/>
        </w:rPr>
        <w:t xml:space="preserve">Zanzibar, </w:t>
      </w:r>
      <w:r w:rsidR="00697881" w:rsidRPr="006B42D6">
        <w:rPr>
          <w:bCs/>
          <w:lang w:eastAsia="en-GB"/>
        </w:rPr>
        <w:t>899 heads (57.4 percent) for goat meat</w:t>
      </w:r>
      <w:r w:rsidR="00697881" w:rsidRPr="006B42D6">
        <w:rPr>
          <w:lang w:eastAsia="en-GB"/>
        </w:rPr>
        <w:t xml:space="preserve"> and </w:t>
      </w:r>
      <w:r w:rsidR="00697881" w:rsidRPr="006B42D6">
        <w:rPr>
          <w:bCs/>
          <w:lang w:eastAsia="en-GB"/>
        </w:rPr>
        <w:t>666 heads</w:t>
      </w:r>
      <w:r w:rsidR="00697881" w:rsidRPr="006B42D6">
        <w:rPr>
          <w:lang w:eastAsia="en-GB"/>
        </w:rPr>
        <w:t xml:space="preserve"> </w:t>
      </w:r>
      <w:r w:rsidR="00697881" w:rsidRPr="006B42D6">
        <w:rPr>
          <w:bCs/>
          <w:lang w:eastAsia="en-GB"/>
        </w:rPr>
        <w:t>(</w:t>
      </w:r>
      <w:r w:rsidR="00EB5FF2">
        <w:rPr>
          <w:bCs/>
          <w:lang w:eastAsia="en-GB"/>
        </w:rPr>
        <w:t>42.6</w:t>
      </w:r>
      <w:r w:rsidR="00697881" w:rsidRPr="006B42D6">
        <w:rPr>
          <w:bCs/>
          <w:lang w:eastAsia="en-GB"/>
        </w:rPr>
        <w:t xml:space="preserve"> percent) for dairy</w:t>
      </w:r>
      <w:r w:rsidR="007E5D10" w:rsidRPr="006B42D6">
        <w:rPr>
          <w:bCs/>
          <w:lang w:eastAsia="en-GB"/>
        </w:rPr>
        <w:t>.</w:t>
      </w:r>
      <w:r w:rsidR="00F81953" w:rsidRPr="006B42D6">
        <w:rPr>
          <w:bCs/>
          <w:lang w:eastAsia="en-GB"/>
        </w:rPr>
        <w:t xml:space="preserve"> </w:t>
      </w:r>
    </w:p>
    <w:p w14:paraId="689EE53D" w14:textId="77777777" w:rsidR="00697881" w:rsidRPr="006B42D6" w:rsidRDefault="00697881" w:rsidP="0043353A">
      <w:pPr>
        <w:adjustRightInd w:val="0"/>
        <w:spacing w:line="240" w:lineRule="auto"/>
        <w:rPr>
          <w:lang w:eastAsia="en-GB"/>
        </w:rPr>
      </w:pPr>
    </w:p>
    <w:p w14:paraId="32CD3BD0" w14:textId="74CD8392" w:rsidR="00697881" w:rsidRPr="006B42D6" w:rsidRDefault="00697881" w:rsidP="005C2EFC">
      <w:pPr>
        <w:adjustRightInd w:val="0"/>
        <w:rPr>
          <w:lang w:eastAsia="en-GB"/>
        </w:rPr>
      </w:pPr>
      <w:r w:rsidRPr="006B42D6">
        <w:rPr>
          <w:lang w:eastAsia="en-GB"/>
        </w:rPr>
        <w:t xml:space="preserve">In </w:t>
      </w:r>
      <w:r w:rsidR="00EA1552">
        <w:t>Mainland Tanzania</w:t>
      </w:r>
      <w:r w:rsidRPr="006B42D6">
        <w:rPr>
          <w:lang w:eastAsia="en-GB"/>
        </w:rPr>
        <w:t xml:space="preserve">, Kilimanjaro region had the highest number of improved goats 74,338 (24.8 percent), followed by Pwani (35,782 heads; 11.9 percent) and Arusha (34,022 heads; 11.3 percent) while Lindi and Katavi had no improved goats. </w:t>
      </w:r>
    </w:p>
    <w:p w14:paraId="067C6E90" w14:textId="5C4DE2E7" w:rsidR="00AB2D6D" w:rsidRDefault="00AB2D6D">
      <w:pPr>
        <w:spacing w:line="240" w:lineRule="auto"/>
        <w:contextualSpacing w:val="0"/>
        <w:jc w:val="left"/>
        <w:rPr>
          <w:lang w:eastAsia="en-GB"/>
        </w:rPr>
      </w:pPr>
      <w:r>
        <w:rPr>
          <w:lang w:eastAsia="en-GB"/>
        </w:rPr>
        <w:br w:type="page"/>
      </w:r>
    </w:p>
    <w:p w14:paraId="77271C06" w14:textId="77777777" w:rsidR="007E1CD0" w:rsidRDefault="00697881" w:rsidP="005C2EFC">
      <w:pPr>
        <w:adjustRightInd w:val="0"/>
        <w:rPr>
          <w:b/>
          <w:bCs/>
          <w:lang w:eastAsia="en-GB"/>
        </w:rPr>
      </w:pPr>
      <w:r w:rsidRPr="006B42D6">
        <w:rPr>
          <w:lang w:eastAsia="en-GB"/>
        </w:rPr>
        <w:lastRenderedPageBreak/>
        <w:t xml:space="preserve">In </w:t>
      </w:r>
      <w:r w:rsidR="00255E17" w:rsidRPr="006B42D6">
        <w:t xml:space="preserve">Tanzania </w:t>
      </w:r>
      <w:r w:rsidRPr="006B42D6">
        <w:rPr>
          <w:lang w:eastAsia="en-GB"/>
        </w:rPr>
        <w:t xml:space="preserve">Zanzibar, </w:t>
      </w:r>
      <w:r w:rsidRPr="006B42D6">
        <w:rPr>
          <w:bCs/>
          <w:lang w:eastAsia="en-GB"/>
        </w:rPr>
        <w:t xml:space="preserve">improved goats were raised in three (3) regions only. Kaskazini Unguja with </w:t>
      </w:r>
      <w:r w:rsidRPr="006B42D6">
        <w:rPr>
          <w:lang w:eastAsia="en-GB"/>
        </w:rPr>
        <w:t xml:space="preserve">765 heads (48.9 percent) </w:t>
      </w:r>
      <w:r w:rsidRPr="006B42D6">
        <w:rPr>
          <w:bCs/>
          <w:lang w:eastAsia="en-GB"/>
        </w:rPr>
        <w:t>had the highest number, followed by Kusini Unguja (</w:t>
      </w:r>
      <w:r w:rsidRPr="006B42D6">
        <w:rPr>
          <w:lang w:eastAsia="en-GB"/>
        </w:rPr>
        <w:t xml:space="preserve">679 heads; 43.4 percent) </w:t>
      </w:r>
      <w:r w:rsidRPr="006B42D6">
        <w:rPr>
          <w:bCs/>
          <w:lang w:eastAsia="en-GB"/>
        </w:rPr>
        <w:t>and Mjini Magharibi with the lowest number</w:t>
      </w:r>
      <w:r w:rsidRPr="006B42D6">
        <w:rPr>
          <w:lang w:eastAsia="en-GB"/>
        </w:rPr>
        <w:t xml:space="preserve"> (121 heads; 7.7 percent).</w:t>
      </w:r>
      <w:r w:rsidRPr="006B42D6">
        <w:rPr>
          <w:b/>
          <w:bCs/>
          <w:lang w:eastAsia="en-GB"/>
        </w:rPr>
        <w:t xml:space="preserve"> </w:t>
      </w:r>
    </w:p>
    <w:p w14:paraId="6EAA2F2D" w14:textId="326B141B" w:rsidR="00697881" w:rsidRPr="006B42D6" w:rsidRDefault="00697881" w:rsidP="007E1CD0">
      <w:pPr>
        <w:adjustRightInd w:val="0"/>
        <w:spacing w:line="240" w:lineRule="auto"/>
        <w:rPr>
          <w:b/>
          <w:bCs/>
          <w:lang w:eastAsia="en-GB"/>
        </w:rPr>
      </w:pPr>
    </w:p>
    <w:p w14:paraId="753089DE" w14:textId="5EA6A594" w:rsidR="00697881" w:rsidRPr="006B42D6" w:rsidRDefault="00697881" w:rsidP="005C2EFC">
      <w:pPr>
        <w:pStyle w:val="Heading3"/>
        <w:rPr>
          <w:rFonts w:cs="Calibri"/>
          <w:lang w:eastAsia="en-GB"/>
        </w:rPr>
      </w:pPr>
      <w:bookmarkStart w:id="493" w:name="_Toc82385739"/>
      <w:r w:rsidRPr="006B42D6">
        <w:rPr>
          <w:lang w:eastAsia="en-GB"/>
        </w:rPr>
        <w:t>4.</w:t>
      </w:r>
      <w:r w:rsidR="00C4159B">
        <w:rPr>
          <w:lang w:eastAsia="en-GB"/>
        </w:rPr>
        <w:t>1</w:t>
      </w:r>
      <w:r w:rsidRPr="006B42D6">
        <w:rPr>
          <w:lang w:eastAsia="en-GB"/>
        </w:rPr>
        <w:t>.3</w:t>
      </w:r>
      <w:r w:rsidR="0000655E" w:rsidRPr="006B42D6">
        <w:rPr>
          <w:lang w:eastAsia="en-GB"/>
        </w:rPr>
        <w:tab/>
      </w:r>
      <w:r w:rsidRPr="006B42D6">
        <w:rPr>
          <w:lang w:eastAsia="en-GB"/>
        </w:rPr>
        <w:t>Sheep Population</w:t>
      </w:r>
      <w:bookmarkEnd w:id="493"/>
    </w:p>
    <w:p w14:paraId="622608E0" w14:textId="684A1BD2" w:rsidR="00697881" w:rsidRPr="006B42D6" w:rsidRDefault="00AB2D6D" w:rsidP="005C2EFC">
      <w:r w:rsidRPr="006B42D6">
        <w:rPr>
          <w:noProof/>
        </w:rPr>
        <mc:AlternateContent>
          <mc:Choice Requires="wps">
            <w:drawing>
              <wp:anchor distT="0" distB="0" distL="114300" distR="114300" simplePos="0" relativeHeight="251645952" behindDoc="1" locked="0" layoutInCell="1" allowOverlap="1" wp14:anchorId="4F5B5FBB" wp14:editId="6202AD2F">
                <wp:simplePos x="0" y="0"/>
                <wp:positionH relativeFrom="column">
                  <wp:posOffset>2643981</wp:posOffset>
                </wp:positionH>
                <wp:positionV relativeFrom="paragraph">
                  <wp:posOffset>31115</wp:posOffset>
                </wp:positionV>
                <wp:extent cx="3114675" cy="457200"/>
                <wp:effectExtent l="0" t="0" r="0" b="0"/>
                <wp:wrapTight wrapText="bothSides">
                  <wp:wrapPolygon edited="0">
                    <wp:start x="0" y="0"/>
                    <wp:lineTo x="0" y="21000"/>
                    <wp:lineTo x="21490" y="21000"/>
                    <wp:lineTo x="21490" y="0"/>
                    <wp:lineTo x="0" y="0"/>
                  </wp:wrapPolygon>
                </wp:wrapTight>
                <wp:docPr id="458" name="Text Box 5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14675" cy="457200"/>
                        </a:xfrm>
                        <a:prstGeom prst="rect">
                          <a:avLst/>
                        </a:prstGeom>
                        <a:solidFill>
                          <a:prstClr val="white"/>
                        </a:solidFill>
                        <a:ln>
                          <a:noFill/>
                        </a:ln>
                      </wps:spPr>
                      <wps:txbx>
                        <w:txbxContent>
                          <w:p w14:paraId="24200AE4" w14:textId="7D6CEAE6" w:rsidR="00933456" w:rsidRPr="007463E6" w:rsidRDefault="00933456" w:rsidP="007E5D10">
                            <w:pPr>
                              <w:pStyle w:val="Caption"/>
                              <w:rPr>
                                <w:b w:val="0"/>
                                <w:i/>
                              </w:rPr>
                            </w:pPr>
                            <w:bookmarkStart w:id="494" w:name="_Toc80120284"/>
                            <w:bookmarkStart w:id="495" w:name="_Toc80884159"/>
                            <w:bookmarkStart w:id="496" w:name="_Toc80884530"/>
                            <w:bookmarkStart w:id="497" w:name="_Toc82386383"/>
                            <w:r w:rsidRPr="007463E6">
                              <w:t>Figure 4.12:</w:t>
                            </w:r>
                            <w:r>
                              <w:tab/>
                            </w:r>
                            <w:r w:rsidRPr="007463E6">
                              <w:t>Sheep Population and Average Number per Household by Region as of 1</w:t>
                            </w:r>
                            <w:r w:rsidRPr="007463E6">
                              <w:rPr>
                                <w:vertAlign w:val="superscript"/>
                              </w:rPr>
                              <w:t>st</w:t>
                            </w:r>
                            <w:r w:rsidRPr="007463E6">
                              <w:t xml:space="preserve"> August 2020, </w:t>
                            </w:r>
                            <w:r>
                              <w:t>Mainland Tanzania</w:t>
                            </w:r>
                            <w:bookmarkEnd w:id="494"/>
                            <w:bookmarkEnd w:id="495"/>
                            <w:bookmarkEnd w:id="496"/>
                            <w:bookmarkEnd w:id="497"/>
                          </w:p>
                          <w:p w14:paraId="564F9A85" w14:textId="7110948E" w:rsidR="00933456" w:rsidRPr="007463E6" w:rsidRDefault="00933456" w:rsidP="007E5D10">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5B5FBB" id="Text Box 569" o:spid="_x0000_s1080" type="#_x0000_t202" style="position:absolute;left:0;text-align:left;margin-left:208.2pt;margin-top:2.45pt;width:245.25pt;height:3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" stroked="f">
                <v:textbox inset="0,0,0,0">
                  <w:txbxContent>
                    <w:p w14:paraId="24200AE4" w14:textId="7D6CEAE6" w:rsidR="00933456" w:rsidRPr="007463E6" w:rsidRDefault="00933456" w:rsidP="007E5D10">
                      <w:pPr>
                        <w:pStyle w:val="Caption"/>
                        <w:rPr>
                          <w:b w:val="0"/>
                          <w:i/>
                        </w:rPr>
                      </w:pPr>
                      <w:bookmarkStart w:id="688" w:name="_Toc80120284"/>
                      <w:bookmarkStart w:id="689" w:name="_Toc80884159"/>
                      <w:bookmarkStart w:id="690" w:name="_Toc80884530"/>
                      <w:bookmarkStart w:id="691" w:name="_Toc82386383"/>
                      <w:r w:rsidRPr="007463E6">
                        <w:t>Figure 4.12:</w:t>
                      </w:r>
                      <w:r>
                        <w:tab/>
                      </w:r>
                      <w:r w:rsidRPr="007463E6">
                        <w:t>Sheep Population and Average Number per Household by Region as of 1</w:t>
                      </w:r>
                      <w:r w:rsidRPr="007463E6">
                        <w:rPr>
                          <w:vertAlign w:val="superscript"/>
                        </w:rPr>
                        <w:t>st</w:t>
                      </w:r>
                      <w:r w:rsidRPr="007463E6">
                        <w:t xml:space="preserve"> August 2020, </w:t>
                      </w:r>
                      <w:r>
                        <w:t>Mainland Tanzania</w:t>
                      </w:r>
                      <w:bookmarkEnd w:id="688"/>
                      <w:bookmarkEnd w:id="689"/>
                      <w:bookmarkEnd w:id="690"/>
                      <w:bookmarkEnd w:id="691"/>
                    </w:p>
                    <w:p w14:paraId="564F9A85" w14:textId="7110948E" w:rsidR="00933456" w:rsidRPr="007463E6" w:rsidRDefault="00933456" w:rsidP="007E5D10">
                      <w:pPr>
                        <w:pStyle w:val="Caption"/>
                        <w:rPr>
                          <w:noProof/>
                        </w:rPr>
                      </w:pPr>
                    </w:p>
                  </w:txbxContent>
                </v:textbox>
                <w10:wrap type="tight"/>
              </v:shape>
            </w:pict>
          </mc:Fallback>
        </mc:AlternateContent>
      </w:r>
      <w:r w:rsidR="0043353A">
        <w:rPr>
          <w:noProof/>
        </w:rPr>
        <w:drawing>
          <wp:anchor distT="0" distB="0" distL="114300" distR="114300" simplePos="0" relativeHeight="251678720" behindDoc="0" locked="0" layoutInCell="1" allowOverlap="1" wp14:anchorId="3CB5BE6A" wp14:editId="1BBACE06">
            <wp:simplePos x="0" y="0"/>
            <wp:positionH relativeFrom="column">
              <wp:posOffset>2621597</wp:posOffset>
            </wp:positionH>
            <wp:positionV relativeFrom="paragraph">
              <wp:posOffset>635318</wp:posOffset>
            </wp:positionV>
            <wp:extent cx="3139440" cy="2050415"/>
            <wp:effectExtent l="0" t="0" r="10160" b="6985"/>
            <wp:wrapTight wrapText="bothSides">
              <wp:wrapPolygon edited="0">
                <wp:start x="0" y="0"/>
                <wp:lineTo x="0" y="21540"/>
                <wp:lineTo x="21583" y="21540"/>
                <wp:lineTo x="21583" y="0"/>
                <wp:lineTo x="0" y="0"/>
              </wp:wrapPolygon>
            </wp:wrapTight>
            <wp:docPr id="459" name="Chart 56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0"/>
              </a:graphicData>
            </a:graphic>
            <wp14:sizeRelV relativeFrom="margin">
              <wp14:pctHeight>0</wp14:pctHeight>
            </wp14:sizeRelV>
          </wp:anchor>
        </w:drawing>
      </w:r>
      <w:r w:rsidR="00697881" w:rsidRPr="006B42D6">
        <w:t xml:space="preserve">Sheep rearing practice was low in </w:t>
      </w:r>
      <w:r w:rsidR="00EA1552">
        <w:t>Mainland Tanzania</w:t>
      </w:r>
      <w:r w:rsidR="00697881" w:rsidRPr="006B42D6">
        <w:t xml:space="preserve"> as well as in </w:t>
      </w:r>
      <w:r w:rsidR="005D3132" w:rsidRPr="006B42D6">
        <w:t xml:space="preserve">Tanzania </w:t>
      </w:r>
      <w:r w:rsidR="00697881" w:rsidRPr="006B42D6">
        <w:t>Zanzibar</w:t>
      </w:r>
      <w:r w:rsidR="005D3132" w:rsidRPr="006B42D6">
        <w:t xml:space="preserve"> in terms of number of household and its population</w:t>
      </w:r>
      <w:r w:rsidR="00697881" w:rsidRPr="006B42D6">
        <w:t xml:space="preserve"> compared to cattle and goat. In 2019/20 agricultural census, </w:t>
      </w:r>
      <w:r w:rsidR="00697881" w:rsidRPr="006B42D6">
        <w:rPr>
          <w:lang w:eastAsia="en-GB"/>
        </w:rPr>
        <w:t xml:space="preserve">8,516,989 sheep were recorded, </w:t>
      </w:r>
      <w:r w:rsidR="00221173" w:rsidRPr="006B42D6">
        <w:rPr>
          <w:lang w:eastAsia="en-GB"/>
        </w:rPr>
        <w:t xml:space="preserve">of which </w:t>
      </w:r>
      <w:r w:rsidR="00697881" w:rsidRPr="006B42D6">
        <w:rPr>
          <w:lang w:eastAsia="en-GB"/>
        </w:rPr>
        <w:t>8,492,914</w:t>
      </w:r>
      <w:r w:rsidR="00221173" w:rsidRPr="006B42D6">
        <w:rPr>
          <w:lang w:eastAsia="en-GB"/>
        </w:rPr>
        <w:t xml:space="preserve"> heads</w:t>
      </w:r>
      <w:r w:rsidR="00697881" w:rsidRPr="006B42D6">
        <w:rPr>
          <w:lang w:eastAsia="en-GB"/>
        </w:rPr>
        <w:t xml:space="preserve"> (99.7</w:t>
      </w:r>
      <w:r w:rsidR="005D3132" w:rsidRPr="006B42D6">
        <w:rPr>
          <w:lang w:eastAsia="en-GB"/>
        </w:rPr>
        <w:t xml:space="preserve"> percent</w:t>
      </w:r>
      <w:r w:rsidR="00697881" w:rsidRPr="006B42D6">
        <w:rPr>
          <w:lang w:eastAsia="en-GB"/>
        </w:rPr>
        <w:t>)</w:t>
      </w:r>
      <w:r w:rsidR="00221173" w:rsidRPr="006B42D6">
        <w:rPr>
          <w:lang w:eastAsia="en-GB"/>
        </w:rPr>
        <w:t xml:space="preserve"> were</w:t>
      </w:r>
      <w:r w:rsidR="00697881" w:rsidRPr="006B42D6">
        <w:rPr>
          <w:lang w:eastAsia="en-GB"/>
        </w:rPr>
        <w:t xml:space="preserve"> from smallholders and </w:t>
      </w:r>
      <w:r w:rsidR="00697881" w:rsidRPr="006B42D6">
        <w:rPr>
          <w:bCs/>
          <w:lang w:eastAsia="en-GB"/>
        </w:rPr>
        <w:t>24,075</w:t>
      </w:r>
      <w:r w:rsidR="00697881" w:rsidRPr="006B42D6">
        <w:rPr>
          <w:b/>
          <w:bCs/>
          <w:lang w:eastAsia="en-GB"/>
        </w:rPr>
        <w:t xml:space="preserve"> </w:t>
      </w:r>
      <w:r w:rsidR="00697881" w:rsidRPr="006B42D6">
        <w:rPr>
          <w:lang w:eastAsia="en-GB"/>
        </w:rPr>
        <w:t>(0.3</w:t>
      </w:r>
      <w:r w:rsidR="005D3132" w:rsidRPr="006B42D6">
        <w:rPr>
          <w:lang w:eastAsia="en-GB"/>
        </w:rPr>
        <w:t xml:space="preserve"> percent</w:t>
      </w:r>
      <w:r w:rsidR="00697881" w:rsidRPr="006B42D6">
        <w:rPr>
          <w:lang w:eastAsia="en-GB"/>
        </w:rPr>
        <w:t xml:space="preserve">) from large </w:t>
      </w:r>
      <w:r w:rsidR="005D3132" w:rsidRPr="006B42D6">
        <w:rPr>
          <w:lang w:eastAsia="en-GB"/>
        </w:rPr>
        <w:t xml:space="preserve">scale </w:t>
      </w:r>
      <w:r w:rsidR="00697881" w:rsidRPr="006B42D6">
        <w:rPr>
          <w:lang w:eastAsia="en-GB"/>
        </w:rPr>
        <w:t xml:space="preserve">farms. </w:t>
      </w:r>
      <w:r w:rsidR="005D3132" w:rsidRPr="006B42D6">
        <w:rPr>
          <w:lang w:eastAsia="en-GB"/>
        </w:rPr>
        <w:t>A</w:t>
      </w:r>
      <w:r w:rsidR="00697881" w:rsidRPr="006B42D6">
        <w:rPr>
          <w:lang w:eastAsia="en-GB"/>
        </w:rPr>
        <w:t xml:space="preserve"> total of </w:t>
      </w:r>
      <w:r w:rsidR="00EB5FF2">
        <w:rPr>
          <w:bCs/>
          <w:lang w:eastAsia="en-GB"/>
        </w:rPr>
        <w:t>677,273</w:t>
      </w:r>
      <w:r w:rsidR="00697881" w:rsidRPr="006B42D6">
        <w:rPr>
          <w:bCs/>
          <w:lang w:eastAsia="en-GB"/>
        </w:rPr>
        <w:t xml:space="preserve"> </w:t>
      </w:r>
      <w:r w:rsidR="00697881" w:rsidRPr="006B42D6">
        <w:rPr>
          <w:lang w:eastAsia="en-GB"/>
        </w:rPr>
        <w:t xml:space="preserve">households </w:t>
      </w:r>
      <w:r w:rsidR="005D3132" w:rsidRPr="006B42D6">
        <w:rPr>
          <w:lang w:eastAsia="en-GB"/>
        </w:rPr>
        <w:t>were</w:t>
      </w:r>
      <w:r w:rsidR="00697881" w:rsidRPr="006B42D6">
        <w:rPr>
          <w:rFonts w:cs="Calibri"/>
          <w:bCs/>
          <w:lang w:eastAsia="en-GB"/>
        </w:rPr>
        <w:t xml:space="preserve"> </w:t>
      </w:r>
      <w:r w:rsidR="00697881" w:rsidRPr="006B42D6">
        <w:t>involved</w:t>
      </w:r>
      <w:r w:rsidR="00697881" w:rsidRPr="006B42D6">
        <w:rPr>
          <w:rFonts w:cs="Calibri"/>
          <w:bCs/>
          <w:lang w:eastAsia="en-GB"/>
        </w:rPr>
        <w:t xml:space="preserve"> in </w:t>
      </w:r>
      <w:r w:rsidR="00697881" w:rsidRPr="006B42D6">
        <w:t xml:space="preserve">sheep </w:t>
      </w:r>
      <w:r w:rsidR="005D3132" w:rsidRPr="006B42D6">
        <w:t xml:space="preserve">rearing </w:t>
      </w:r>
      <w:r w:rsidR="00697881" w:rsidRPr="006B42D6">
        <w:t>in Tanzania</w:t>
      </w:r>
      <w:r w:rsidR="005D3132" w:rsidRPr="006B42D6">
        <w:t>, whereby</w:t>
      </w:r>
      <w:r w:rsidR="00697881" w:rsidRPr="006B42D6">
        <w:t xml:space="preserve"> </w:t>
      </w:r>
      <w:r w:rsidR="00EB5FF2">
        <w:rPr>
          <w:bCs/>
        </w:rPr>
        <w:t>677,081</w:t>
      </w:r>
      <w:r w:rsidR="00697881" w:rsidRPr="006B42D6">
        <w:rPr>
          <w:rFonts w:cs="Calibri"/>
          <w:b/>
          <w:bCs/>
        </w:rPr>
        <w:t xml:space="preserve"> </w:t>
      </w:r>
      <w:r w:rsidR="00697881" w:rsidRPr="006B42D6">
        <w:rPr>
          <w:bCs/>
          <w:lang w:eastAsia="en-GB"/>
        </w:rPr>
        <w:t xml:space="preserve">households </w:t>
      </w:r>
      <w:r w:rsidR="005D3132" w:rsidRPr="006B42D6">
        <w:rPr>
          <w:bCs/>
          <w:lang w:eastAsia="en-GB"/>
        </w:rPr>
        <w:t xml:space="preserve">were in </w:t>
      </w:r>
      <w:r w:rsidR="00EA1552">
        <w:rPr>
          <w:bCs/>
          <w:lang w:eastAsia="en-GB"/>
        </w:rPr>
        <w:t>Mainland Tanzania</w:t>
      </w:r>
      <w:r w:rsidR="005D3132" w:rsidRPr="006B42D6">
        <w:rPr>
          <w:bCs/>
          <w:lang w:eastAsia="en-GB"/>
        </w:rPr>
        <w:t xml:space="preserve">, and </w:t>
      </w:r>
      <w:r w:rsidR="00697881" w:rsidRPr="006B42D6">
        <w:t>192 households</w:t>
      </w:r>
      <w:r w:rsidR="005D3132" w:rsidRPr="006B42D6">
        <w:t xml:space="preserve"> in Tanzania Zanzibar. </w:t>
      </w:r>
      <w:r w:rsidR="00697881" w:rsidRPr="006B42D6">
        <w:t>The average number of sheep per household for smallholder</w:t>
      </w:r>
      <w:r w:rsidR="005D3132" w:rsidRPr="006B42D6">
        <w:t xml:space="preserve"> farmers</w:t>
      </w:r>
      <w:r w:rsidR="00697881" w:rsidRPr="006B42D6">
        <w:t xml:space="preserve"> in </w:t>
      </w:r>
      <w:r w:rsidR="00EA1552">
        <w:t>Mainland Tanzania</w:t>
      </w:r>
      <w:r w:rsidR="00697881" w:rsidRPr="006B42D6">
        <w:t xml:space="preserve"> was 12</w:t>
      </w:r>
      <w:r w:rsidR="005D3132" w:rsidRPr="006B42D6">
        <w:t>,</w:t>
      </w:r>
      <w:r w:rsidR="00697881" w:rsidRPr="006B42D6">
        <w:t xml:space="preserve"> while in </w:t>
      </w:r>
      <w:r w:rsidR="000C4795" w:rsidRPr="006B42D6">
        <w:t xml:space="preserve">Tanzania </w:t>
      </w:r>
      <w:r w:rsidR="00697881" w:rsidRPr="006B42D6">
        <w:t xml:space="preserve">Zanzibar was 5 </w:t>
      </w:r>
      <w:r w:rsidR="000C4795" w:rsidRPr="006B42D6">
        <w:rPr>
          <w:lang w:eastAsia="en-GB"/>
        </w:rPr>
        <w:t>(Figure 4.12).</w:t>
      </w:r>
    </w:p>
    <w:p w14:paraId="4D31EE9B" w14:textId="0062D83A" w:rsidR="000C4795" w:rsidRPr="006B42D6" w:rsidRDefault="000C4795" w:rsidP="0043353A">
      <w:pPr>
        <w:spacing w:line="240" w:lineRule="auto"/>
      </w:pPr>
    </w:p>
    <w:p w14:paraId="4D409DE8" w14:textId="0E2AC86B" w:rsidR="00AB2D6D" w:rsidRDefault="00AB2D6D" w:rsidP="005C2EFC">
      <w:pPr>
        <w:rPr>
          <w:lang w:eastAsia="en-GB"/>
        </w:rPr>
      </w:pPr>
      <w:r w:rsidRPr="006B42D6">
        <w:rPr>
          <w:noProof/>
        </w:rPr>
        <mc:AlternateContent>
          <mc:Choice Requires="wps">
            <w:drawing>
              <wp:anchor distT="0" distB="0" distL="114300" distR="114300" simplePos="0" relativeHeight="251680768" behindDoc="1" locked="0" layoutInCell="1" allowOverlap="1" wp14:anchorId="4436DDF9" wp14:editId="687E8FDF">
                <wp:simplePos x="0" y="0"/>
                <wp:positionH relativeFrom="margin">
                  <wp:posOffset>2765266</wp:posOffset>
                </wp:positionH>
                <wp:positionV relativeFrom="paragraph">
                  <wp:posOffset>48895</wp:posOffset>
                </wp:positionV>
                <wp:extent cx="2976245" cy="448945"/>
                <wp:effectExtent l="0" t="0" r="0" b="0"/>
                <wp:wrapTight wrapText="bothSides">
                  <wp:wrapPolygon edited="0">
                    <wp:start x="0" y="0"/>
                    <wp:lineTo x="0" y="20775"/>
                    <wp:lineTo x="21476" y="20775"/>
                    <wp:lineTo x="21476" y="0"/>
                    <wp:lineTo x="0" y="0"/>
                  </wp:wrapPolygon>
                </wp:wrapTight>
                <wp:docPr id="164"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6245" cy="448945"/>
                        </a:xfrm>
                        <a:prstGeom prst="rect">
                          <a:avLst/>
                        </a:prstGeom>
                        <a:solidFill>
                          <a:prstClr val="white"/>
                        </a:solidFill>
                        <a:ln>
                          <a:noFill/>
                        </a:ln>
                      </wps:spPr>
                      <wps:txbx>
                        <w:txbxContent>
                          <w:p w14:paraId="538268C6" w14:textId="130557D9" w:rsidR="00933456" w:rsidRPr="00DA16E8" w:rsidRDefault="00933456" w:rsidP="005D3132">
                            <w:pPr>
                              <w:pStyle w:val="Caption"/>
                              <w:rPr>
                                <w:noProof/>
                                <w:sz w:val="24"/>
                                <w:szCs w:val="24"/>
                              </w:rPr>
                            </w:pPr>
                            <w:bookmarkStart w:id="498" w:name="_Toc80120283"/>
                            <w:bookmarkStart w:id="499" w:name="_Toc80884160"/>
                            <w:bookmarkStart w:id="500" w:name="_Toc80884531"/>
                            <w:bookmarkStart w:id="501" w:name="_Toc82386384"/>
                            <w:r>
                              <w:t>Figure 4.13:</w:t>
                            </w:r>
                            <w:r>
                              <w:tab/>
                              <w:t xml:space="preserve">Percentage of </w:t>
                            </w:r>
                            <w:r w:rsidRPr="00F81953">
                              <w:t xml:space="preserve">Sheep </w:t>
                            </w:r>
                            <w:r>
                              <w:t>P</w:t>
                            </w:r>
                            <w:r w:rsidRPr="00F81953">
                              <w:t>opulation by Region</w:t>
                            </w:r>
                            <w:r>
                              <w:t xml:space="preserve"> as of 1</w:t>
                            </w:r>
                            <w:r w:rsidRPr="00221173">
                              <w:rPr>
                                <w:vertAlign w:val="superscript"/>
                              </w:rPr>
                              <w:t>st</w:t>
                            </w:r>
                            <w:r>
                              <w:t xml:space="preserve"> August 2020,</w:t>
                            </w:r>
                            <w:r w:rsidRPr="00F81953">
                              <w:t xml:space="preserve"> </w:t>
                            </w:r>
                            <w:r>
                              <w:t>Tanzania Zanzibar</w:t>
                            </w:r>
                            <w:bookmarkEnd w:id="498"/>
                            <w:bookmarkEnd w:id="499"/>
                            <w:bookmarkEnd w:id="500"/>
                            <w:bookmarkEnd w:id="50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436DDF9" id="Text Box 164" o:spid="_x0000_s1081" type="#_x0000_t202" style="position:absolute;left:0;text-align:left;margin-left:217.75pt;margin-top:3.85pt;width:234.35pt;height:35.35pt;z-index:-251635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" stroked="f">
                <v:textbox inset="0,0,0,0">
                  <w:txbxContent>
                    <w:p w14:paraId="538268C6" w14:textId="130557D9" w:rsidR="00933456" w:rsidRPr="00DA16E8" w:rsidRDefault="00933456" w:rsidP="005D3132">
                      <w:pPr>
                        <w:pStyle w:val="Caption"/>
                        <w:rPr>
                          <w:noProof/>
                          <w:sz w:val="24"/>
                          <w:szCs w:val="24"/>
                        </w:rPr>
                      </w:pPr>
                      <w:bookmarkStart w:id="696" w:name="_Toc80120283"/>
                      <w:bookmarkStart w:id="697" w:name="_Toc80884160"/>
                      <w:bookmarkStart w:id="698" w:name="_Toc80884531"/>
                      <w:bookmarkStart w:id="699" w:name="_Toc82386384"/>
                      <w:r>
                        <w:t>Figure 4.13:</w:t>
                      </w:r>
                      <w:r>
                        <w:tab/>
                        <w:t xml:space="preserve">Percentage of </w:t>
                      </w:r>
                      <w:r w:rsidRPr="00F81953">
                        <w:t xml:space="preserve">Sheep </w:t>
                      </w:r>
                      <w:r>
                        <w:t>P</w:t>
                      </w:r>
                      <w:r w:rsidRPr="00F81953">
                        <w:t>opulation by Region</w:t>
                      </w:r>
                      <w:r>
                        <w:t xml:space="preserve"> as of 1</w:t>
                      </w:r>
                      <w:r w:rsidRPr="00221173">
                        <w:rPr>
                          <w:vertAlign w:val="superscript"/>
                        </w:rPr>
                        <w:t>st</w:t>
                      </w:r>
                      <w:r>
                        <w:t xml:space="preserve"> August 2020,</w:t>
                      </w:r>
                      <w:r w:rsidRPr="00F81953">
                        <w:t xml:space="preserve"> </w:t>
                      </w:r>
                      <w:r>
                        <w:t>Tanzania Zanzibar</w:t>
                      </w:r>
                      <w:bookmarkEnd w:id="696"/>
                      <w:bookmarkEnd w:id="697"/>
                      <w:bookmarkEnd w:id="698"/>
                      <w:bookmarkEnd w:id="699"/>
                    </w:p>
                  </w:txbxContent>
                </v:textbox>
                <w10:wrap type="tight" anchorx="margin"/>
              </v:shape>
            </w:pict>
          </mc:Fallback>
        </mc:AlternateContent>
      </w:r>
      <w:r>
        <w:rPr>
          <w:noProof/>
        </w:rPr>
        <w:drawing>
          <wp:anchor distT="0" distB="0" distL="114300" distR="114300" simplePos="0" relativeHeight="251679744" behindDoc="0" locked="0" layoutInCell="1" allowOverlap="1" wp14:anchorId="79F59715" wp14:editId="5A625A17">
            <wp:simplePos x="0" y="0"/>
            <wp:positionH relativeFrom="column">
              <wp:posOffset>2762091</wp:posOffset>
            </wp:positionH>
            <wp:positionV relativeFrom="paragraph">
              <wp:posOffset>570230</wp:posOffset>
            </wp:positionV>
            <wp:extent cx="2944495" cy="2049780"/>
            <wp:effectExtent l="0" t="0" r="14605" b="7620"/>
            <wp:wrapTight wrapText="bothSides">
              <wp:wrapPolygon edited="0">
                <wp:start x="0" y="0"/>
                <wp:lineTo x="0" y="21546"/>
                <wp:lineTo x="21614" y="21546"/>
                <wp:lineTo x="21614" y="0"/>
                <wp:lineTo x="0" y="0"/>
              </wp:wrapPolygon>
            </wp:wrapTight>
            <wp:docPr id="162" name="Chart 16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1"/>
              </a:graphicData>
            </a:graphic>
            <wp14:sizeRelH relativeFrom="margin">
              <wp14:pctWidth>0</wp14:pctWidth>
            </wp14:sizeRelH>
          </wp:anchor>
        </w:drawing>
      </w:r>
      <w:r w:rsidR="004A5BC1" w:rsidRPr="006B42D6">
        <w:rPr>
          <w:lang w:eastAsia="en-GB"/>
        </w:rPr>
        <w:t xml:space="preserve">In </w:t>
      </w:r>
      <w:r w:rsidR="00EA1552">
        <w:rPr>
          <w:lang w:eastAsia="en-GB"/>
        </w:rPr>
        <w:t>Mainland Tanzania</w:t>
      </w:r>
      <w:r w:rsidR="004A5BC1" w:rsidRPr="006B42D6">
        <w:rPr>
          <w:lang w:eastAsia="en-GB"/>
        </w:rPr>
        <w:t xml:space="preserve"> the results </w:t>
      </w:r>
      <w:r w:rsidR="005D3132" w:rsidRPr="006B42D6">
        <w:rPr>
          <w:lang w:eastAsia="en-GB"/>
        </w:rPr>
        <w:t>show</w:t>
      </w:r>
      <w:r w:rsidR="004A5BC1" w:rsidRPr="006B42D6">
        <w:rPr>
          <w:lang w:eastAsia="en-GB"/>
        </w:rPr>
        <w:t xml:space="preserve"> that Pwani </w:t>
      </w:r>
      <w:r w:rsidR="005D3132" w:rsidRPr="006B42D6">
        <w:rPr>
          <w:lang w:eastAsia="en-GB"/>
        </w:rPr>
        <w:t xml:space="preserve">region </w:t>
      </w:r>
      <w:r w:rsidR="004A5BC1" w:rsidRPr="006B42D6">
        <w:rPr>
          <w:lang w:eastAsia="en-GB"/>
        </w:rPr>
        <w:t xml:space="preserve">had the highest average number of sheep per household </w:t>
      </w:r>
      <w:r w:rsidR="005D3132" w:rsidRPr="006B42D6">
        <w:rPr>
          <w:lang w:eastAsia="en-GB"/>
        </w:rPr>
        <w:t>(</w:t>
      </w:r>
      <w:r w:rsidR="004A5BC1" w:rsidRPr="006B42D6">
        <w:rPr>
          <w:lang w:eastAsia="en-GB"/>
        </w:rPr>
        <w:t>46 heads</w:t>
      </w:r>
      <w:r w:rsidR="005D3132" w:rsidRPr="006B42D6">
        <w:rPr>
          <w:lang w:eastAsia="en-GB"/>
        </w:rPr>
        <w:t>),</w:t>
      </w:r>
      <w:r w:rsidR="004A5BC1" w:rsidRPr="006B42D6">
        <w:rPr>
          <w:lang w:eastAsia="en-GB"/>
        </w:rPr>
        <w:t xml:space="preserve"> followed by Lindi and Iringa with 36 and 28 heads per household</w:t>
      </w:r>
      <w:r w:rsidR="005D3132" w:rsidRPr="006B42D6">
        <w:rPr>
          <w:lang w:eastAsia="en-GB"/>
        </w:rPr>
        <w:t xml:space="preserve"> respectively,</w:t>
      </w:r>
      <w:r w:rsidR="004A5BC1" w:rsidRPr="006B42D6">
        <w:rPr>
          <w:lang w:eastAsia="en-GB"/>
        </w:rPr>
        <w:t xml:space="preserve"> while Dar es Salaam had the lowest average of one sheep per household. For the case the of Tanzania Zanzibar</w:t>
      </w:r>
      <w:r w:rsidR="005D3132" w:rsidRPr="006B42D6">
        <w:rPr>
          <w:lang w:eastAsia="en-GB"/>
        </w:rPr>
        <w:t>,</w:t>
      </w:r>
      <w:r w:rsidR="004A5BC1" w:rsidRPr="006B42D6">
        <w:rPr>
          <w:lang w:eastAsia="en-GB"/>
        </w:rPr>
        <w:t xml:space="preserve"> </w:t>
      </w:r>
      <w:r w:rsidR="005D3132" w:rsidRPr="006B42D6">
        <w:rPr>
          <w:lang w:eastAsia="en-GB"/>
        </w:rPr>
        <w:t>there were</w:t>
      </w:r>
      <w:r w:rsidR="004A5BC1" w:rsidRPr="006B42D6">
        <w:rPr>
          <w:lang w:eastAsia="en-GB"/>
        </w:rPr>
        <w:t xml:space="preserve"> only two regions recorded to raise sheep, Mjini Magharibi and Kusini Pemba </w:t>
      </w:r>
      <w:r w:rsidR="005D3132" w:rsidRPr="006B42D6">
        <w:rPr>
          <w:lang w:eastAsia="en-GB"/>
        </w:rPr>
        <w:t>with</w:t>
      </w:r>
      <w:r w:rsidR="004A5BC1" w:rsidRPr="006B42D6">
        <w:rPr>
          <w:lang w:eastAsia="en-GB"/>
        </w:rPr>
        <w:t xml:space="preserve"> an average of 6 and 4 heads per household respectively (Figure 4.12</w:t>
      </w:r>
      <w:r w:rsidR="005D3132" w:rsidRPr="006B42D6">
        <w:rPr>
          <w:lang w:eastAsia="en-GB"/>
        </w:rPr>
        <w:t xml:space="preserve"> &amp; 4.13)</w:t>
      </w:r>
      <w:r w:rsidR="004A5BC1" w:rsidRPr="006B42D6">
        <w:rPr>
          <w:lang w:eastAsia="en-GB"/>
        </w:rPr>
        <w:t>.</w:t>
      </w:r>
    </w:p>
    <w:p w14:paraId="1A575D4E" w14:textId="77777777" w:rsidR="00AB2D6D" w:rsidRDefault="00AB2D6D">
      <w:pPr>
        <w:spacing w:line="240" w:lineRule="auto"/>
        <w:contextualSpacing w:val="0"/>
        <w:jc w:val="left"/>
        <w:rPr>
          <w:lang w:eastAsia="en-GB"/>
        </w:rPr>
      </w:pPr>
      <w:r>
        <w:rPr>
          <w:lang w:eastAsia="en-GB"/>
        </w:rPr>
        <w:br w:type="page"/>
      </w:r>
    </w:p>
    <w:p w14:paraId="1BF4297C" w14:textId="273D1772" w:rsidR="0071125E" w:rsidRDefault="0071125E" w:rsidP="0071125E">
      <w:r w:rsidRPr="006B42D6">
        <w:lastRenderedPageBreak/>
        <w:t xml:space="preserve">In </w:t>
      </w:r>
      <w:r>
        <w:t>Mainland Tanzania</w:t>
      </w:r>
      <w:r w:rsidRPr="006B42D6">
        <w:t>, most of the sheep kept were indigenous</w:t>
      </w:r>
      <w:r w:rsidRPr="006B42D6">
        <w:rPr>
          <w:b/>
          <w:bCs/>
          <w:lang w:eastAsia="en-GB"/>
        </w:rPr>
        <w:t xml:space="preserve"> </w:t>
      </w:r>
      <w:r w:rsidRPr="006B42D6">
        <w:rPr>
          <w:lang w:eastAsia="en-GB"/>
        </w:rPr>
        <w:t>totaling</w:t>
      </w:r>
      <w:r w:rsidRPr="006B42D6">
        <w:rPr>
          <w:b/>
          <w:bCs/>
          <w:lang w:eastAsia="en-GB"/>
        </w:rPr>
        <w:t xml:space="preserve"> </w:t>
      </w:r>
      <w:r w:rsidRPr="006B42D6">
        <w:rPr>
          <w:bCs/>
          <w:lang w:eastAsia="en-GB"/>
        </w:rPr>
        <w:t>8,438,573 (99.4 percent) and there were only 53,471 (0.6 percent) improved sheep for mutton. Arusha</w:t>
      </w:r>
      <w:r w:rsidR="00AB2D6D">
        <w:rPr>
          <w:bCs/>
          <w:lang w:eastAsia="en-GB"/>
        </w:rPr>
        <w:t xml:space="preserve"> region</w:t>
      </w:r>
      <w:r w:rsidRPr="006B42D6">
        <w:rPr>
          <w:bCs/>
          <w:lang w:eastAsia="en-GB"/>
        </w:rPr>
        <w:t xml:space="preserve"> had the largest number of sheep</w:t>
      </w:r>
      <w:r w:rsidRPr="006B42D6">
        <w:rPr>
          <w:b/>
          <w:bCs/>
          <w:lang w:eastAsia="en-GB"/>
        </w:rPr>
        <w:t xml:space="preserve"> </w:t>
      </w:r>
      <w:r w:rsidRPr="006B42D6">
        <w:t>1,576,091</w:t>
      </w:r>
      <w:r w:rsidRPr="006B42D6">
        <w:rPr>
          <w:lang w:eastAsia="en-GB"/>
        </w:rPr>
        <w:t xml:space="preserve"> (18.6 percent) kept by smallholder farmers followed by Manyara (937,541 heads; 11.0 percent) and Mwanza (604,674 heads; 7.1 percent). </w:t>
      </w:r>
      <w:r w:rsidRPr="006B42D6">
        <w:t xml:space="preserve">In Tanzania Zanzibar, sheep were reared in two regions, those were Kusini Pemba (570 heads; 65.4 </w:t>
      </w:r>
      <w:r w:rsidRPr="006B42D6">
        <w:rPr>
          <w:lang w:eastAsia="en-GB"/>
        </w:rPr>
        <w:t>percent</w:t>
      </w:r>
      <w:r w:rsidRPr="006B42D6">
        <w:t>) and Mjini Magharibi (301 heads; 34.6 percent). The Agricultural census results show a steady increase in the number of sheep raised from 5.7 million in 2008 to 8.5 million in 2020 equivalent to 48.6 percent increase (Map 4.3).</w:t>
      </w:r>
    </w:p>
    <w:p w14:paraId="6DB2CD5F" w14:textId="77777777" w:rsidR="007E1CD0" w:rsidRDefault="007E1CD0" w:rsidP="0071125E"/>
    <w:p w14:paraId="44A0E2C6" w14:textId="187D5F4A" w:rsidR="000C4795" w:rsidRPr="006B42D6" w:rsidRDefault="000C4795" w:rsidP="00D60716">
      <w:pPr>
        <w:pStyle w:val="MapNew"/>
      </w:pPr>
      <w:bookmarkStart w:id="502" w:name="_Toc80902558"/>
      <w:bookmarkStart w:id="503" w:name="_Toc82386476"/>
      <w:r w:rsidRPr="006B42D6">
        <w:t>Map 4.3</w:t>
      </w:r>
      <w:r w:rsidR="00E86AC5">
        <w:t>:</w:t>
      </w:r>
      <w:r w:rsidR="00EB5FF2">
        <w:tab/>
      </w:r>
      <w:r w:rsidRPr="006B42D6">
        <w:t>Tanzania Sheep Population Reported by Smallholders by Region as of 1</w:t>
      </w:r>
      <w:r w:rsidRPr="006B42D6">
        <w:rPr>
          <w:vertAlign w:val="superscript"/>
        </w:rPr>
        <w:t>st</w:t>
      </w:r>
      <w:r w:rsidRPr="006B42D6">
        <w:t xml:space="preserve"> August 2020</w:t>
      </w:r>
      <w:r w:rsidR="00255E17" w:rsidRPr="006B42D6">
        <w:t>, Tanzania</w:t>
      </w:r>
      <w:bookmarkEnd w:id="502"/>
      <w:bookmarkEnd w:id="503"/>
    </w:p>
    <w:p w14:paraId="6B28ACA7" w14:textId="31180C78" w:rsidR="000C4795" w:rsidRPr="006B42D6" w:rsidRDefault="00F00389" w:rsidP="000C4795">
      <w:r>
        <w:rPr>
          <w:noProof/>
        </w:rPr>
        <w:drawing>
          <wp:inline distT="0" distB="0" distL="0" distR="0" wp14:anchorId="02A33363" wp14:editId="6D9BAB35">
            <wp:extent cx="5727700" cy="3953405"/>
            <wp:effectExtent l="0" t="0" r="0" b="0"/>
            <wp:docPr id="4340" name="Picture 4340"/>
            <wp:cNvGraphicFramePr/>
            <a:graphic xmlns:a="http://schemas.openxmlformats.org/drawingml/2006/main">
              <a:graphicData uri="http://schemas.openxmlformats.org/drawingml/2006/picture">
                <pic:pic xmlns:pic="http://schemas.openxmlformats.org/drawingml/2006/picture">
                  <pic:nvPicPr>
                    <pic:cNvPr id="4340" name="Picture 4340"/>
                    <pic:cNvPicPr/>
                  </pic:nvPicPr>
                  <pic:blipFill>
                    <a:blip r:embed="rId262"/>
                    <a:stretch>
                      <a:fillRect/>
                    </a:stretch>
                  </pic:blipFill>
                  <pic:spPr>
                    <a:xfrm>
                      <a:off x="0" y="0"/>
                      <a:ext cx="5727700" cy="3953405"/>
                    </a:xfrm>
                    <a:prstGeom prst="rect">
                      <a:avLst/>
                    </a:prstGeom>
                  </pic:spPr>
                </pic:pic>
              </a:graphicData>
            </a:graphic>
          </wp:inline>
        </w:drawing>
      </w:r>
    </w:p>
    <w:p w14:paraId="3F92944C" w14:textId="77777777" w:rsidR="002350DA" w:rsidRPr="002350DA" w:rsidRDefault="002350DA" w:rsidP="00E86AC5"/>
    <w:p w14:paraId="267B1704" w14:textId="5EA304D7" w:rsidR="00697881" w:rsidRPr="006B42D6" w:rsidRDefault="00697881" w:rsidP="005C2EFC">
      <w:pPr>
        <w:pStyle w:val="Heading3"/>
        <w:rPr>
          <w:rFonts w:cs="Calibri"/>
          <w:lang w:eastAsia="en-GB"/>
        </w:rPr>
      </w:pPr>
      <w:bookmarkStart w:id="504" w:name="_Toc82385740"/>
      <w:r w:rsidRPr="006B42D6">
        <w:t>4.</w:t>
      </w:r>
      <w:r w:rsidR="00C4159B">
        <w:t>1</w:t>
      </w:r>
      <w:r w:rsidRPr="006B42D6">
        <w:t>.4</w:t>
      </w:r>
      <w:r w:rsidR="0000655E" w:rsidRPr="006B42D6">
        <w:tab/>
      </w:r>
      <w:r w:rsidRPr="006B42D6">
        <w:t>Pig Population</w:t>
      </w:r>
      <w:bookmarkEnd w:id="504"/>
    </w:p>
    <w:p w14:paraId="5B2EB5A4" w14:textId="184AAF8C" w:rsidR="00697881" w:rsidRPr="006B42D6" w:rsidRDefault="00864F47" w:rsidP="005C2EFC">
      <w:r w:rsidRPr="006B42D6">
        <w:rPr>
          <w:lang w:eastAsia="en-GB"/>
        </w:rPr>
        <w:t>The number of</w:t>
      </w:r>
      <w:r w:rsidRPr="006B42D6">
        <w:rPr>
          <w:b/>
          <w:bCs/>
          <w:lang w:eastAsia="en-GB"/>
        </w:rPr>
        <w:t xml:space="preserve"> </w:t>
      </w:r>
      <w:r w:rsidRPr="006B42D6">
        <w:rPr>
          <w:spacing w:val="-2"/>
        </w:rPr>
        <w:t>households reported rearing p</w:t>
      </w:r>
      <w:r w:rsidR="00697881" w:rsidRPr="006B42D6">
        <w:rPr>
          <w:spacing w:val="-2"/>
        </w:rPr>
        <w:t xml:space="preserve">ig </w:t>
      </w:r>
      <w:r w:rsidRPr="006B42D6">
        <w:rPr>
          <w:spacing w:val="-2"/>
        </w:rPr>
        <w:t xml:space="preserve">in Tanzania during 2019/20 agricultural year was 536,986 of which </w:t>
      </w:r>
      <w:r w:rsidRPr="006B42D6">
        <w:rPr>
          <w:bCs/>
          <w:lang w:eastAsia="en-GB"/>
        </w:rPr>
        <w:t xml:space="preserve">536,841 </w:t>
      </w:r>
      <w:r w:rsidRPr="006B42D6">
        <w:t xml:space="preserve">households were in </w:t>
      </w:r>
      <w:r w:rsidR="00EA1552">
        <w:t>Mainland Tanzania</w:t>
      </w:r>
      <w:r w:rsidR="00697881" w:rsidRPr="006B42D6">
        <w:rPr>
          <w:spacing w:val="-2"/>
        </w:rPr>
        <w:t xml:space="preserve"> </w:t>
      </w:r>
      <w:r w:rsidRPr="006B42D6">
        <w:t>and</w:t>
      </w:r>
      <w:r w:rsidR="00697881" w:rsidRPr="006B42D6">
        <w:t xml:space="preserve"> </w:t>
      </w:r>
      <w:r w:rsidRPr="006B42D6">
        <w:t xml:space="preserve">145 households in </w:t>
      </w:r>
      <w:r w:rsidR="00151914" w:rsidRPr="006B42D6">
        <w:t xml:space="preserve">Tanzania </w:t>
      </w:r>
      <w:r w:rsidR="00697881" w:rsidRPr="006B42D6">
        <w:t xml:space="preserve">Zanzibar. The total number of pigs raised in Tanzania was </w:t>
      </w:r>
      <w:r w:rsidR="00697881" w:rsidRPr="006B42D6">
        <w:rPr>
          <w:lang w:eastAsia="en-GB"/>
        </w:rPr>
        <w:t>3,208,49</w:t>
      </w:r>
      <w:r w:rsidR="00EF728F" w:rsidRPr="006B42D6">
        <w:rPr>
          <w:lang w:eastAsia="en-GB"/>
        </w:rPr>
        <w:t>5</w:t>
      </w:r>
      <w:r w:rsidR="00697881" w:rsidRPr="006B42D6">
        <w:rPr>
          <w:lang w:eastAsia="en-GB"/>
        </w:rPr>
        <w:t xml:space="preserve"> </w:t>
      </w:r>
      <w:r w:rsidRPr="006B42D6">
        <w:rPr>
          <w:bCs/>
          <w:lang w:eastAsia="en-GB"/>
        </w:rPr>
        <w:t>(3,203,3</w:t>
      </w:r>
      <w:r w:rsidR="00EF728F" w:rsidRPr="006B42D6">
        <w:rPr>
          <w:bCs/>
          <w:lang w:eastAsia="en-GB"/>
        </w:rPr>
        <w:t>72</w:t>
      </w:r>
      <w:r w:rsidRPr="006B42D6">
        <w:rPr>
          <w:bCs/>
          <w:lang w:eastAsia="en-GB"/>
        </w:rPr>
        <w:t xml:space="preserve"> pigs </w:t>
      </w:r>
      <w:r w:rsidR="00697881" w:rsidRPr="006B42D6">
        <w:rPr>
          <w:bCs/>
          <w:lang w:eastAsia="en-GB"/>
        </w:rPr>
        <w:t xml:space="preserve">from smallholder </w:t>
      </w:r>
      <w:r w:rsidRPr="006B42D6">
        <w:rPr>
          <w:bCs/>
          <w:lang w:eastAsia="en-GB"/>
        </w:rPr>
        <w:t>farmers</w:t>
      </w:r>
      <w:r w:rsidR="00697881" w:rsidRPr="006B42D6">
        <w:rPr>
          <w:bCs/>
          <w:lang w:eastAsia="en-GB"/>
        </w:rPr>
        <w:t xml:space="preserve"> and 5,123 from large </w:t>
      </w:r>
      <w:r w:rsidRPr="006B42D6">
        <w:rPr>
          <w:bCs/>
          <w:lang w:eastAsia="en-GB"/>
        </w:rPr>
        <w:t xml:space="preserve">scale </w:t>
      </w:r>
      <w:r w:rsidR="00697881" w:rsidRPr="006B42D6">
        <w:rPr>
          <w:bCs/>
          <w:lang w:eastAsia="en-GB"/>
        </w:rPr>
        <w:t>farms</w:t>
      </w:r>
      <w:r w:rsidRPr="006B42D6">
        <w:rPr>
          <w:bCs/>
          <w:lang w:eastAsia="en-GB"/>
        </w:rPr>
        <w:t>)</w:t>
      </w:r>
      <w:r w:rsidR="00697881" w:rsidRPr="006B42D6">
        <w:rPr>
          <w:bCs/>
          <w:lang w:eastAsia="en-GB"/>
        </w:rPr>
        <w:t xml:space="preserve">. The number of pigs </w:t>
      </w:r>
      <w:r w:rsidR="00EF728F" w:rsidRPr="006B42D6">
        <w:rPr>
          <w:bCs/>
          <w:lang w:eastAsia="en-GB"/>
        </w:rPr>
        <w:t>reared</w:t>
      </w:r>
      <w:r w:rsidR="00697881" w:rsidRPr="006B42D6">
        <w:rPr>
          <w:bCs/>
          <w:lang w:eastAsia="en-GB"/>
        </w:rPr>
        <w:t xml:space="preserve"> by smallholder</w:t>
      </w:r>
      <w:r w:rsidRPr="006B42D6">
        <w:rPr>
          <w:bCs/>
          <w:lang w:eastAsia="en-GB"/>
        </w:rPr>
        <w:t xml:space="preserve"> farmers</w:t>
      </w:r>
      <w:r w:rsidR="00697881" w:rsidRPr="006B42D6">
        <w:rPr>
          <w:bCs/>
          <w:lang w:eastAsia="en-GB"/>
        </w:rPr>
        <w:t xml:space="preserve"> in </w:t>
      </w:r>
      <w:r w:rsidR="00EA1552">
        <w:t>Mainland Tanzania</w:t>
      </w:r>
      <w:r w:rsidR="00697881" w:rsidRPr="006B42D6">
        <w:rPr>
          <w:bCs/>
          <w:lang w:eastAsia="en-GB"/>
        </w:rPr>
        <w:t xml:space="preserve"> was 3,201,</w:t>
      </w:r>
      <w:r w:rsidR="00EF728F" w:rsidRPr="006B42D6">
        <w:rPr>
          <w:bCs/>
          <w:lang w:eastAsia="en-GB"/>
        </w:rPr>
        <w:t>163</w:t>
      </w:r>
      <w:r w:rsidR="00697881" w:rsidRPr="006B42D6">
        <w:rPr>
          <w:bCs/>
          <w:lang w:eastAsia="en-GB"/>
        </w:rPr>
        <w:t xml:space="preserve"> heads, while in </w:t>
      </w:r>
      <w:r w:rsidRPr="006B42D6">
        <w:t xml:space="preserve">Tanzania </w:t>
      </w:r>
      <w:r w:rsidR="00697881" w:rsidRPr="006B42D6">
        <w:rPr>
          <w:bCs/>
          <w:lang w:eastAsia="en-GB"/>
        </w:rPr>
        <w:t>Zanzibar was 2,2</w:t>
      </w:r>
      <w:r w:rsidR="00EF728F" w:rsidRPr="006B42D6">
        <w:rPr>
          <w:bCs/>
          <w:lang w:eastAsia="en-GB"/>
        </w:rPr>
        <w:t xml:space="preserve">09 </w:t>
      </w:r>
      <w:r w:rsidR="00697881" w:rsidRPr="006B42D6">
        <w:t>heads.</w:t>
      </w:r>
    </w:p>
    <w:p w14:paraId="069D4F36" w14:textId="21F71292" w:rsidR="008E7BF8" w:rsidRDefault="008E7BF8" w:rsidP="008E7BF8">
      <w:pPr>
        <w:rPr>
          <w:lang w:eastAsia="en-GB"/>
        </w:rPr>
      </w:pPr>
      <w:r w:rsidRPr="006B42D6">
        <w:lastRenderedPageBreak/>
        <w:t xml:space="preserve">In </w:t>
      </w:r>
      <w:r w:rsidR="00EA1552">
        <w:t>Mainland Tanzania</w:t>
      </w:r>
      <w:r w:rsidRPr="006B42D6">
        <w:t>, Ruvuma region had the largest number of pigs 375,072 (11.7 percent) followed by Morogoro (370,802 heads; 11.6 percent) and Kagera (</w:t>
      </w:r>
      <w:r w:rsidRPr="006B42D6">
        <w:rPr>
          <w:lang w:eastAsia="en-GB"/>
        </w:rPr>
        <w:t xml:space="preserve">285,089 heads; 8.9 </w:t>
      </w:r>
      <w:r w:rsidRPr="006B42D6">
        <w:t>percent</w:t>
      </w:r>
      <w:r w:rsidRPr="006B42D6">
        <w:rPr>
          <w:lang w:eastAsia="en-GB"/>
        </w:rPr>
        <w:t xml:space="preserve">). In </w:t>
      </w:r>
      <w:r w:rsidRPr="006B42D6">
        <w:t xml:space="preserve">Tanzania </w:t>
      </w:r>
      <w:r w:rsidRPr="006B42D6">
        <w:rPr>
          <w:lang w:eastAsia="en-GB"/>
        </w:rPr>
        <w:t xml:space="preserve">Zanzibar, pigs were raised </w:t>
      </w:r>
      <w:r w:rsidR="00EB5FF2" w:rsidRPr="006B42D6">
        <w:rPr>
          <w:lang w:eastAsia="en-GB"/>
        </w:rPr>
        <w:t xml:space="preserve">only </w:t>
      </w:r>
      <w:r w:rsidRPr="006B42D6">
        <w:rPr>
          <w:lang w:eastAsia="en-GB"/>
        </w:rPr>
        <w:t xml:space="preserve">in Mjini Magharibi (1,281 heads; 57.9 </w:t>
      </w:r>
      <w:r w:rsidRPr="006B42D6">
        <w:t>percent</w:t>
      </w:r>
      <w:r w:rsidRPr="006B42D6">
        <w:rPr>
          <w:lang w:eastAsia="en-GB"/>
        </w:rPr>
        <w:t>) and Kusini Unguja (930 heads; 42.1</w:t>
      </w:r>
      <w:r w:rsidRPr="006B42D6">
        <w:rPr>
          <w:noProof/>
          <w:lang w:eastAsia="en-GB"/>
        </w:rPr>
        <w:t xml:space="preserve"> </w:t>
      </w:r>
      <w:r w:rsidRPr="006B42D6">
        <w:rPr>
          <w:lang w:eastAsia="en-GB"/>
        </w:rPr>
        <w:t>percent) regions</w:t>
      </w:r>
      <w:r w:rsidRPr="006B42D6">
        <w:t>. The agricultural census results show a double increase on the number of indigenous pigs from 1.6 million in 2007/08 to 3.2 million in 2019/</w:t>
      </w:r>
      <w:r w:rsidR="00255E17" w:rsidRPr="006B42D6">
        <w:t>20 (</w:t>
      </w:r>
      <w:r w:rsidRPr="006B42D6">
        <w:t>Map 4.4</w:t>
      </w:r>
      <w:r w:rsidRPr="006B42D6">
        <w:rPr>
          <w:lang w:eastAsia="en-GB"/>
        </w:rPr>
        <w:t>).</w:t>
      </w:r>
    </w:p>
    <w:p w14:paraId="1E903EBD" w14:textId="77777777" w:rsidR="00AB2D6D" w:rsidRPr="006B42D6" w:rsidRDefault="00AB2D6D" w:rsidP="008E7BF8"/>
    <w:p w14:paraId="70F12C40" w14:textId="1CBD5827" w:rsidR="008E7BF8" w:rsidRPr="006B42D6" w:rsidRDefault="008E7BF8" w:rsidP="002350DA">
      <w:pPr>
        <w:pStyle w:val="MapNew"/>
      </w:pPr>
      <w:bookmarkStart w:id="505" w:name="_Toc80902559"/>
      <w:bookmarkStart w:id="506" w:name="_Toc82386477"/>
      <w:r w:rsidRPr="006B42D6">
        <w:t>Map 4.4</w:t>
      </w:r>
      <w:r w:rsidR="00E86AC5">
        <w:t>:</w:t>
      </w:r>
      <w:r w:rsidR="00EB5FF2">
        <w:tab/>
      </w:r>
      <w:r w:rsidRPr="006B42D6">
        <w:t xml:space="preserve">Tanzania Pig Population Reported by </w:t>
      </w:r>
      <w:r w:rsidR="002350DA">
        <w:t>S</w:t>
      </w:r>
      <w:r w:rsidRPr="006B42D6">
        <w:t>mallholder by Region as of 1</w:t>
      </w:r>
      <w:r w:rsidRPr="006B42D6">
        <w:rPr>
          <w:vertAlign w:val="superscript"/>
        </w:rPr>
        <w:t>st</w:t>
      </w:r>
      <w:r w:rsidRPr="006B42D6">
        <w:t xml:space="preserve"> August 2020</w:t>
      </w:r>
      <w:r w:rsidR="00255E17" w:rsidRPr="006B42D6">
        <w:t>, Tanzania</w:t>
      </w:r>
      <w:bookmarkEnd w:id="505"/>
      <w:bookmarkEnd w:id="506"/>
    </w:p>
    <w:p w14:paraId="6BC9C48D" w14:textId="1E23AE2B" w:rsidR="008E7BF8" w:rsidRPr="006B42D6" w:rsidRDefault="00F00389" w:rsidP="00F16205">
      <w:pPr>
        <w:tabs>
          <w:tab w:val="left" w:pos="-142"/>
          <w:tab w:val="left" w:pos="567"/>
        </w:tabs>
        <w:ind w:left="-142" w:firstLine="142"/>
      </w:pPr>
      <w:r>
        <w:rPr>
          <w:noProof/>
        </w:rPr>
        <w:drawing>
          <wp:inline distT="0" distB="0" distL="0" distR="0" wp14:anchorId="59DD5733" wp14:editId="7CA6FDEB">
            <wp:extent cx="5727700" cy="3953405"/>
            <wp:effectExtent l="0" t="0" r="0" b="0"/>
            <wp:docPr id="262" name="Picture 262"/>
            <wp:cNvGraphicFramePr/>
            <a:graphic xmlns:a="http://schemas.openxmlformats.org/drawingml/2006/main">
              <a:graphicData uri="http://schemas.openxmlformats.org/drawingml/2006/picture">
                <pic:pic xmlns:pic="http://schemas.openxmlformats.org/drawingml/2006/picture">
                  <pic:nvPicPr>
                    <pic:cNvPr id="4340" name="Picture 4340"/>
                    <pic:cNvPicPr/>
                  </pic:nvPicPr>
                  <pic:blipFill>
                    <a:blip r:embed="rId263"/>
                    <a:stretch>
                      <a:fillRect/>
                    </a:stretch>
                  </pic:blipFill>
                  <pic:spPr>
                    <a:xfrm>
                      <a:off x="0" y="0"/>
                      <a:ext cx="5727700" cy="3953405"/>
                    </a:xfrm>
                    <a:prstGeom prst="rect">
                      <a:avLst/>
                    </a:prstGeom>
                  </pic:spPr>
                </pic:pic>
              </a:graphicData>
            </a:graphic>
          </wp:inline>
        </w:drawing>
      </w:r>
    </w:p>
    <w:p w14:paraId="29FB2F78" w14:textId="24EE1522" w:rsidR="00AB2D6D" w:rsidRDefault="00AB2D6D">
      <w:pPr>
        <w:spacing w:line="240" w:lineRule="auto"/>
        <w:contextualSpacing w:val="0"/>
        <w:jc w:val="left"/>
        <w:rPr>
          <w:iCs/>
          <w:noProof/>
          <w:color w:val="000000" w:themeColor="text1"/>
          <w:sz w:val="20"/>
          <w:szCs w:val="18"/>
        </w:rPr>
      </w:pPr>
      <w:r>
        <w:rPr>
          <w:b/>
          <w:noProof/>
        </w:rPr>
        <w:br w:type="page"/>
      </w:r>
    </w:p>
    <w:p w14:paraId="2458CEBC" w14:textId="225B3C7B" w:rsidR="00697881" w:rsidRPr="006B42D6" w:rsidRDefault="00947C92" w:rsidP="005C2EFC">
      <w:r w:rsidRPr="00947C92">
        <w:rPr>
          <w:noProof/>
          <w:sz w:val="16"/>
          <w:szCs w:val="16"/>
        </w:rPr>
        <w:lastRenderedPageBreak/>
        <w:drawing>
          <wp:anchor distT="0" distB="0" distL="114300" distR="114300" simplePos="0" relativeHeight="251834368" behindDoc="1" locked="0" layoutInCell="1" allowOverlap="1" wp14:anchorId="422BBBD4" wp14:editId="4EA906C3">
            <wp:simplePos x="0" y="0"/>
            <wp:positionH relativeFrom="column">
              <wp:posOffset>2590800</wp:posOffset>
            </wp:positionH>
            <wp:positionV relativeFrom="paragraph">
              <wp:posOffset>572770</wp:posOffset>
            </wp:positionV>
            <wp:extent cx="3209290" cy="1864995"/>
            <wp:effectExtent l="0" t="0" r="16510" b="14605"/>
            <wp:wrapTight wrapText="bothSides">
              <wp:wrapPolygon edited="0">
                <wp:start x="0" y="0"/>
                <wp:lineTo x="0" y="21622"/>
                <wp:lineTo x="21626" y="21622"/>
                <wp:lineTo x="21626" y="0"/>
                <wp:lineTo x="0" y="0"/>
              </wp:wrapPolygon>
            </wp:wrapTight>
            <wp:docPr id="268" name="Chart 268">
              <a:extLst xmlns:a="http://schemas.openxmlformats.org/drawingml/2006/main">
                <a:ext uri="{FF2B5EF4-FFF2-40B4-BE49-F238E27FC236}">
                  <a16:creationId xmlns:a16="http://schemas.microsoft.com/office/drawing/2014/main" id="{00000000-0008-0000-1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4"/>
              </a:graphicData>
            </a:graphic>
            <wp14:sizeRelH relativeFrom="page">
              <wp14:pctWidth>0</wp14:pctWidth>
            </wp14:sizeRelH>
            <wp14:sizeRelV relativeFrom="page">
              <wp14:pctHeight>0</wp14:pctHeight>
            </wp14:sizeRelV>
          </wp:anchor>
        </w:drawing>
      </w:r>
      <w:r w:rsidR="00AB2D6D">
        <w:rPr>
          <w:noProof/>
        </w:rPr>
        <mc:AlternateContent>
          <mc:Choice Requires="wps">
            <w:drawing>
              <wp:anchor distT="0" distB="0" distL="114300" distR="114300" simplePos="0" relativeHeight="251571200" behindDoc="0" locked="0" layoutInCell="1" allowOverlap="1" wp14:anchorId="27C303E3" wp14:editId="79A3CF85">
                <wp:simplePos x="0" y="0"/>
                <wp:positionH relativeFrom="column">
                  <wp:posOffset>2590482</wp:posOffset>
                </wp:positionH>
                <wp:positionV relativeFrom="paragraph">
                  <wp:posOffset>-10160</wp:posOffset>
                </wp:positionV>
                <wp:extent cx="3332010" cy="468551"/>
                <wp:effectExtent l="0" t="0" r="0" b="1905"/>
                <wp:wrapTight wrapText="bothSides">
                  <wp:wrapPolygon edited="0">
                    <wp:start x="0" y="0"/>
                    <wp:lineTo x="0" y="21102"/>
                    <wp:lineTo x="21489" y="21102"/>
                    <wp:lineTo x="21489" y="0"/>
                    <wp:lineTo x="0" y="0"/>
                  </wp:wrapPolygon>
                </wp:wrapTight>
                <wp:docPr id="45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332010" cy="4685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B2DEE5" w14:textId="48E03BB1" w:rsidR="00933456" w:rsidRPr="007463E6" w:rsidRDefault="00933456" w:rsidP="00697881">
                            <w:pPr>
                              <w:pStyle w:val="Caption"/>
                              <w:rPr>
                                <w:b w:val="0"/>
                                <w:i/>
                                <w:noProof/>
                              </w:rPr>
                            </w:pPr>
                            <w:bookmarkStart w:id="507" w:name="_Toc80120285"/>
                            <w:bookmarkStart w:id="508" w:name="_Toc80884161"/>
                            <w:bookmarkStart w:id="509" w:name="_Toc80884532"/>
                            <w:bookmarkStart w:id="510" w:name="_Toc82386385"/>
                            <w:r w:rsidRPr="007463E6">
                              <w:t>Figure 4.14:</w:t>
                            </w:r>
                            <w:r>
                              <w:tab/>
                            </w:r>
                            <w:r w:rsidRPr="007463E6">
                              <w:t>Number of Households Rearing Pigs and Number of Pigs by Herd Size During 2019/20 Agricultural Year, Tanzania</w:t>
                            </w:r>
                            <w:bookmarkEnd w:id="507"/>
                            <w:bookmarkEnd w:id="508"/>
                            <w:bookmarkEnd w:id="509"/>
                            <w:bookmarkEnd w:id="510"/>
                          </w:p>
                          <w:p w14:paraId="5F1DEC74" w14:textId="77777777" w:rsidR="00933456" w:rsidRPr="007463E6" w:rsidRDefault="00933456" w:rsidP="00697881">
                            <w:pPr>
                              <w:pStyle w:val="Caption"/>
                              <w:rPr>
                                <w:b w:val="0"/>
                                <w:i/>
                                <w:noProof/>
                              </w:rPr>
                            </w:pPr>
                          </w:p>
                        </w:txbxContent>
                      </wps:txbx>
                      <wps:bodyPr rot="0" vert="horz" wrap="square" lIns="0" tIns="0" rIns="0" bIns="0" anchor="t" anchorCtr="0" upright="1">
                        <a:noAutofit/>
                      </wps:bodyPr>
                    </wps:wsp>
                  </a:graphicData>
                </a:graphic>
              </wp:anchor>
            </w:drawing>
          </mc:Choice>
          <mc:Fallback>
            <w:pict>
              <v:shape w14:anchorId="27C303E3" id="Text Box 5" o:spid="_x0000_s1082" type="#_x0000_t202" style="position:absolute;left:0;text-align:left;margin-left:203.95pt;margin-top:-.8pt;width:262.35pt;height:36.9pt;z-index:251571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" stroked="f">
                <v:path arrowok="t"/>
                <v:textbox inset="0,0,0,0">
                  <w:txbxContent>
                    <w:p w14:paraId="6EB2DEE5" w14:textId="48E03BB1" w:rsidR="00933456" w:rsidRPr="007463E6" w:rsidRDefault="00933456" w:rsidP="00697881">
                      <w:pPr>
                        <w:pStyle w:val="Caption"/>
                        <w:rPr>
                          <w:b w:val="0"/>
                          <w:i/>
                          <w:noProof/>
                        </w:rPr>
                      </w:pPr>
                      <w:bookmarkStart w:id="709" w:name="_Toc80120285"/>
                      <w:bookmarkStart w:id="710" w:name="_Toc80884161"/>
                      <w:bookmarkStart w:id="711" w:name="_Toc80884532"/>
                      <w:bookmarkStart w:id="712" w:name="_Toc82386385"/>
                      <w:r w:rsidRPr="007463E6">
                        <w:t>Figure 4.14:</w:t>
                      </w:r>
                      <w:r>
                        <w:tab/>
                      </w:r>
                      <w:r w:rsidRPr="007463E6">
                        <w:t>Number of Households Rearing Pigs and Number of Pigs by Herd Size During 2019/20 Agricultural Year, Tanzania</w:t>
                      </w:r>
                      <w:bookmarkEnd w:id="709"/>
                      <w:bookmarkEnd w:id="710"/>
                      <w:bookmarkEnd w:id="711"/>
                      <w:bookmarkEnd w:id="712"/>
                    </w:p>
                    <w:p w14:paraId="5F1DEC74" w14:textId="77777777" w:rsidR="00933456" w:rsidRPr="007463E6" w:rsidRDefault="00933456" w:rsidP="00697881">
                      <w:pPr>
                        <w:pStyle w:val="Caption"/>
                        <w:rPr>
                          <w:b w:val="0"/>
                          <w:i/>
                          <w:noProof/>
                        </w:rPr>
                      </w:pPr>
                    </w:p>
                  </w:txbxContent>
                </v:textbox>
                <w10:wrap type="tight"/>
              </v:shape>
            </w:pict>
          </mc:Fallback>
        </mc:AlternateContent>
      </w:r>
      <w:r w:rsidR="00697881" w:rsidRPr="006B42D6">
        <w:t xml:space="preserve">The average number of pigs per household in Tanzania was 6 heads. The majority of households (399,131; 77 percent) </w:t>
      </w:r>
      <w:r w:rsidR="00864F47" w:rsidRPr="006B42D6">
        <w:t>reared</w:t>
      </w:r>
      <w:r w:rsidR="00697881" w:rsidRPr="006B42D6">
        <w:t xml:space="preserve"> 1 to 4 heads, followed by 69,586 households (13.4 percent) </w:t>
      </w:r>
      <w:r w:rsidR="00864F47" w:rsidRPr="006B42D6">
        <w:t>reared</w:t>
      </w:r>
      <w:r w:rsidR="00697881" w:rsidRPr="006B42D6">
        <w:t xml:space="preserve"> 5 to 9 heads and 27,923 households (5.4 percent) </w:t>
      </w:r>
      <w:r w:rsidR="00864F47" w:rsidRPr="006B42D6">
        <w:t>reared</w:t>
      </w:r>
      <w:r w:rsidR="00697881" w:rsidRPr="006B42D6">
        <w:t xml:space="preserve"> 10 to 14 heads</w:t>
      </w:r>
      <w:r w:rsidR="00F81953" w:rsidRPr="006B42D6">
        <w:t xml:space="preserve"> (Figure 4.1</w:t>
      </w:r>
      <w:r w:rsidR="00EB7951" w:rsidRPr="006B42D6">
        <w:t>4</w:t>
      </w:r>
      <w:r w:rsidR="00F81953" w:rsidRPr="006B42D6">
        <w:t>)</w:t>
      </w:r>
      <w:r w:rsidR="00697881" w:rsidRPr="006B42D6">
        <w:t xml:space="preserve">. </w:t>
      </w:r>
    </w:p>
    <w:p w14:paraId="0BCD27C8" w14:textId="3D371A75" w:rsidR="008F6B0A" w:rsidRPr="006B42D6" w:rsidRDefault="008F6B0A" w:rsidP="005C2EFC"/>
    <w:p w14:paraId="6CCA8170" w14:textId="31C29ECB" w:rsidR="004A5BC1" w:rsidRDefault="004A5BC1" w:rsidP="005C2EFC"/>
    <w:p w14:paraId="1252B2EE" w14:textId="75E8473A" w:rsidR="00AB2D6D" w:rsidRPr="00AB2D6D" w:rsidRDefault="00AB2D6D" w:rsidP="005C2EFC">
      <w:pPr>
        <w:rPr>
          <w:sz w:val="20"/>
          <w:szCs w:val="20"/>
        </w:rPr>
      </w:pPr>
    </w:p>
    <w:p w14:paraId="49354CEB" w14:textId="38D59CAC" w:rsidR="004A5BC1" w:rsidRPr="006B42D6" w:rsidRDefault="00F16205" w:rsidP="004A5BC1">
      <w:pPr>
        <w:rPr>
          <w:lang w:eastAsia="en-GB"/>
        </w:rPr>
      </w:pPr>
      <w:r>
        <w:rPr>
          <w:noProof/>
        </w:rPr>
        <w:drawing>
          <wp:anchor distT="0" distB="0" distL="114300" distR="114300" simplePos="0" relativeHeight="251648000" behindDoc="0" locked="0" layoutInCell="1" allowOverlap="1" wp14:anchorId="3B89B309" wp14:editId="20F257C1">
            <wp:simplePos x="0" y="0"/>
            <wp:positionH relativeFrom="column">
              <wp:posOffset>2645410</wp:posOffset>
            </wp:positionH>
            <wp:positionV relativeFrom="paragraph">
              <wp:posOffset>643255</wp:posOffset>
            </wp:positionV>
            <wp:extent cx="3209925" cy="2111375"/>
            <wp:effectExtent l="0" t="0" r="15875" b="9525"/>
            <wp:wrapTight wrapText="bothSides">
              <wp:wrapPolygon edited="0">
                <wp:start x="0" y="0"/>
                <wp:lineTo x="0" y="21568"/>
                <wp:lineTo x="21621" y="21568"/>
                <wp:lineTo x="21621" y="0"/>
                <wp:lineTo x="0" y="0"/>
              </wp:wrapPolygon>
            </wp:wrapTight>
            <wp:docPr id="454" name="Chart 57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5"/>
              </a:graphicData>
            </a:graphic>
            <wp14:sizeRelV relativeFrom="margin">
              <wp14:pctHeight>0</wp14:pctHeight>
            </wp14:sizeRelV>
          </wp:anchor>
        </w:drawing>
      </w:r>
      <w:r>
        <w:rPr>
          <w:noProof/>
        </w:rPr>
        <mc:AlternateContent>
          <mc:Choice Requires="wps">
            <w:drawing>
              <wp:anchor distT="0" distB="0" distL="114300" distR="114300" simplePos="0" relativeHeight="251646976" behindDoc="0" locked="0" layoutInCell="1" allowOverlap="1" wp14:anchorId="288DF926" wp14:editId="2FCAA0A1">
                <wp:simplePos x="0" y="0"/>
                <wp:positionH relativeFrom="column">
                  <wp:posOffset>2645410</wp:posOffset>
                </wp:positionH>
                <wp:positionV relativeFrom="paragraph">
                  <wp:posOffset>0</wp:posOffset>
                </wp:positionV>
                <wp:extent cx="3209925" cy="582930"/>
                <wp:effectExtent l="0" t="0" r="3175" b="1270"/>
                <wp:wrapTight wrapText="bothSides">
                  <wp:wrapPolygon edited="0">
                    <wp:start x="0" y="0"/>
                    <wp:lineTo x="0" y="21176"/>
                    <wp:lineTo x="21536" y="21176"/>
                    <wp:lineTo x="21536" y="0"/>
                    <wp:lineTo x="0" y="0"/>
                  </wp:wrapPolygon>
                </wp:wrapTight>
                <wp:docPr id="453" name="Text Box 141"/>
                <wp:cNvGraphicFramePr/>
                <a:graphic xmlns:a="http://schemas.openxmlformats.org/drawingml/2006/main">
                  <a:graphicData uri="http://schemas.microsoft.com/office/word/2010/wordprocessingShape">
                    <wps:wsp>
                      <wps:cNvSpPr txBox="1"/>
                      <wps:spPr>
                        <a:xfrm>
                          <a:off x="0" y="0"/>
                          <a:ext cx="3209925" cy="582930"/>
                        </a:xfrm>
                        <a:prstGeom prst="rect">
                          <a:avLst/>
                        </a:prstGeom>
                        <a:solidFill>
                          <a:prstClr val="white"/>
                        </a:solidFill>
                        <a:ln>
                          <a:noFill/>
                        </a:ln>
                      </wps:spPr>
                      <wps:txbx>
                        <w:txbxContent>
                          <w:p w14:paraId="3B46C407" w14:textId="7E976D65" w:rsidR="00933456" w:rsidRPr="007463E6" w:rsidRDefault="00933456" w:rsidP="008F6B0A">
                            <w:pPr>
                              <w:pStyle w:val="Caption"/>
                              <w:rPr>
                                <w:noProof/>
                              </w:rPr>
                            </w:pPr>
                            <w:bookmarkStart w:id="511" w:name="_Toc80120286"/>
                            <w:bookmarkStart w:id="512" w:name="_Toc80884162"/>
                            <w:bookmarkStart w:id="513" w:name="_Toc80884533"/>
                            <w:bookmarkStart w:id="514" w:name="_Toc82386386"/>
                            <w:r w:rsidRPr="007463E6">
                              <w:t>Figure 4.15:</w:t>
                            </w:r>
                            <w:r>
                              <w:tab/>
                            </w:r>
                            <w:r w:rsidRPr="007463E6">
                              <w:t xml:space="preserve">Number of Agricultural Households Rearing Pigs by Herd size During the 2019/20 Agricultural Year in </w:t>
                            </w:r>
                            <w:r>
                              <w:t>Mainland Tanzania</w:t>
                            </w:r>
                            <w:bookmarkEnd w:id="511"/>
                            <w:bookmarkEnd w:id="512"/>
                            <w:bookmarkEnd w:id="513"/>
                            <w:bookmarkEnd w:id="51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8DF926" id="Text Box 141" o:spid="_x0000_s1083" type="#_x0000_t202" style="position:absolute;left:0;text-align:left;margin-left:208.3pt;margin-top:0;width:252.75pt;height:45.9pt;z-index:251646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" stroked="f">
                <v:textbox inset="0,0,0,0">
                  <w:txbxContent>
                    <w:p w14:paraId="3B46C407" w14:textId="7E976D65" w:rsidR="00933456" w:rsidRPr="007463E6" w:rsidRDefault="00933456" w:rsidP="008F6B0A">
                      <w:pPr>
                        <w:pStyle w:val="Caption"/>
                        <w:rPr>
                          <w:noProof/>
                        </w:rPr>
                      </w:pPr>
                      <w:bookmarkStart w:id="717" w:name="_Toc80120286"/>
                      <w:bookmarkStart w:id="718" w:name="_Toc80884162"/>
                      <w:bookmarkStart w:id="719" w:name="_Toc80884533"/>
                      <w:bookmarkStart w:id="720" w:name="_Toc82386386"/>
                      <w:r w:rsidRPr="007463E6">
                        <w:t>Figure 4.15:</w:t>
                      </w:r>
                      <w:r>
                        <w:tab/>
                      </w:r>
                      <w:r w:rsidRPr="007463E6">
                        <w:t xml:space="preserve">Number of Agricultural Households Rearing Pigs by Herd size During the 2019/20 Agricultural Year in </w:t>
                      </w:r>
                      <w:r>
                        <w:t>Mainland Tanzania</w:t>
                      </w:r>
                      <w:bookmarkEnd w:id="717"/>
                      <w:bookmarkEnd w:id="718"/>
                      <w:bookmarkEnd w:id="719"/>
                      <w:bookmarkEnd w:id="720"/>
                    </w:p>
                  </w:txbxContent>
                </v:textbox>
                <w10:wrap type="tight"/>
              </v:shape>
            </w:pict>
          </mc:Fallback>
        </mc:AlternateContent>
      </w:r>
      <w:r w:rsidR="004A5BC1" w:rsidRPr="006B42D6">
        <w:rPr>
          <w:lang w:eastAsia="en-GB"/>
        </w:rPr>
        <w:t xml:space="preserve">In </w:t>
      </w:r>
      <w:r w:rsidR="00EA1552">
        <w:rPr>
          <w:lang w:eastAsia="en-GB"/>
        </w:rPr>
        <w:t>Mainland Tanzania</w:t>
      </w:r>
      <w:r w:rsidR="004A5BC1" w:rsidRPr="006B42D6">
        <w:rPr>
          <w:lang w:eastAsia="en-GB"/>
        </w:rPr>
        <w:t xml:space="preserve"> the results </w:t>
      </w:r>
      <w:r w:rsidR="007463E6" w:rsidRPr="006B42D6">
        <w:rPr>
          <w:lang w:eastAsia="en-GB"/>
        </w:rPr>
        <w:t>show</w:t>
      </w:r>
      <w:r w:rsidR="004A5BC1" w:rsidRPr="006B42D6">
        <w:rPr>
          <w:lang w:eastAsia="en-GB"/>
        </w:rPr>
        <w:t xml:space="preserve"> that Geita had the highest average number of pigs per household with with 53 heads per household</w:t>
      </w:r>
      <w:r w:rsidR="00F03DB1">
        <w:rPr>
          <w:lang w:eastAsia="en-GB"/>
        </w:rPr>
        <w:t>,</w:t>
      </w:r>
      <w:r w:rsidR="004A5BC1" w:rsidRPr="006B42D6">
        <w:rPr>
          <w:lang w:eastAsia="en-GB"/>
        </w:rPr>
        <w:t xml:space="preserve"> followed by Mwanza and Pwani with 43 and 31 heads per household respectively while Dar es Salaam had the lowest average of one pig per household. For the case the of Tanzania Zanzibar where only two regions recorded to raise pig, Mjini Magharibi and Kusini Unguja had an average of 15 and 16 heads per household respectively</w:t>
      </w:r>
      <w:r>
        <w:rPr>
          <w:lang w:eastAsia="en-GB"/>
        </w:rPr>
        <w:t xml:space="preserve"> </w:t>
      </w:r>
      <w:r w:rsidR="004A5BC1" w:rsidRPr="006B42D6">
        <w:rPr>
          <w:lang w:eastAsia="en-GB"/>
        </w:rPr>
        <w:t xml:space="preserve">(Figure </w:t>
      </w:r>
      <w:r w:rsidR="00221173" w:rsidRPr="006B42D6">
        <w:rPr>
          <w:lang w:eastAsia="en-GB"/>
        </w:rPr>
        <w:t>4.15</w:t>
      </w:r>
      <w:r w:rsidR="00221173" w:rsidRPr="006B42D6">
        <w:rPr>
          <w:b/>
          <w:sz w:val="16"/>
          <w:szCs w:val="16"/>
        </w:rPr>
        <w:t>)</w:t>
      </w:r>
      <w:r w:rsidR="004A5BC1" w:rsidRPr="006B42D6">
        <w:rPr>
          <w:lang w:eastAsia="en-GB"/>
        </w:rPr>
        <w:t xml:space="preserve">.  </w:t>
      </w:r>
    </w:p>
    <w:p w14:paraId="08D0B17A" w14:textId="3BB9C858" w:rsidR="004A5BC1" w:rsidRPr="00AB2D6D" w:rsidRDefault="004A5BC1" w:rsidP="005C2EFC">
      <w:pPr>
        <w:rPr>
          <w:spacing w:val="-3"/>
          <w:sz w:val="20"/>
          <w:szCs w:val="20"/>
        </w:rPr>
      </w:pPr>
    </w:p>
    <w:p w14:paraId="7484E26F" w14:textId="1A3AA31B" w:rsidR="00A83340" w:rsidRPr="006B42D6" w:rsidRDefault="009D1D40" w:rsidP="009D1D40">
      <w:pPr>
        <w:pStyle w:val="Heading3"/>
      </w:pPr>
      <w:bookmarkStart w:id="515" w:name="_Toc82385741"/>
      <w:r w:rsidRPr="006B42D6">
        <w:t>4.</w:t>
      </w:r>
      <w:r w:rsidR="00C4159B">
        <w:t>1</w:t>
      </w:r>
      <w:r w:rsidRPr="006B42D6">
        <w:t>.5</w:t>
      </w:r>
      <w:r w:rsidRPr="006B42D6">
        <w:tab/>
      </w:r>
      <w:r w:rsidR="00A83340" w:rsidRPr="006B42D6">
        <w:t>Chicken Population</w:t>
      </w:r>
      <w:bookmarkEnd w:id="515"/>
    </w:p>
    <w:p w14:paraId="28EFB2DD" w14:textId="5B03CBDC" w:rsidR="00A83340" w:rsidRPr="006B42D6" w:rsidRDefault="00A83340" w:rsidP="00A83340">
      <w:pPr>
        <w:rPr>
          <w:lang w:val="en-GB"/>
        </w:rPr>
      </w:pPr>
      <w:r w:rsidRPr="006B42D6">
        <w:rPr>
          <w:lang w:val="en-GB"/>
        </w:rPr>
        <w:t xml:space="preserve">The 2019/20 NSCA results show that, in Tanzania out of 7,837,405 agricultural households, a total of 4,338,882 (55.4 percent) households raised chicken during 2019/20 agricultural year. Of the total households raised chicken, 4,238,344 </w:t>
      </w:r>
      <w:r w:rsidR="00AB2D6D">
        <w:rPr>
          <w:lang w:val="en-GB"/>
        </w:rPr>
        <w:t xml:space="preserve">households </w:t>
      </w:r>
      <w:r w:rsidRPr="006B42D6">
        <w:rPr>
          <w:lang w:val="en-GB"/>
        </w:rPr>
        <w:t xml:space="preserve">were from </w:t>
      </w:r>
      <w:r w:rsidR="00EA1552">
        <w:rPr>
          <w:lang w:eastAsia="en-GB"/>
        </w:rPr>
        <w:t>Mainland Tanzania</w:t>
      </w:r>
      <w:r w:rsidRPr="006B42D6">
        <w:rPr>
          <w:lang w:val="en-GB"/>
        </w:rPr>
        <w:t xml:space="preserve"> and 100,538 from </w:t>
      </w:r>
      <w:r w:rsidR="000D4D71" w:rsidRPr="006B42D6">
        <w:rPr>
          <w:lang w:eastAsia="en-GB"/>
        </w:rPr>
        <w:t xml:space="preserve">Tanzania </w:t>
      </w:r>
      <w:r w:rsidRPr="006B42D6">
        <w:rPr>
          <w:lang w:val="en-GB"/>
        </w:rPr>
        <w:t>Zanzibar.</w:t>
      </w:r>
    </w:p>
    <w:p w14:paraId="2437F27A" w14:textId="77777777" w:rsidR="00221173" w:rsidRPr="00AB2D6D" w:rsidRDefault="00221173" w:rsidP="00F03DB1">
      <w:pPr>
        <w:spacing w:line="240" w:lineRule="auto"/>
        <w:rPr>
          <w:sz w:val="20"/>
          <w:szCs w:val="20"/>
          <w:lang w:val="en-GB"/>
        </w:rPr>
      </w:pPr>
    </w:p>
    <w:p w14:paraId="0EAD898D" w14:textId="194B6D92" w:rsidR="00A83340" w:rsidRDefault="00A83340" w:rsidP="00A83340">
      <w:pPr>
        <w:rPr>
          <w:lang w:val="en-GB"/>
        </w:rPr>
      </w:pPr>
      <w:r w:rsidRPr="006B42D6">
        <w:rPr>
          <w:lang w:val="en-GB"/>
        </w:rPr>
        <w:t xml:space="preserve">In </w:t>
      </w:r>
      <w:r w:rsidR="00EA1552">
        <w:rPr>
          <w:lang w:eastAsia="en-GB"/>
        </w:rPr>
        <w:t>Mainland Tanzania</w:t>
      </w:r>
      <w:r w:rsidRPr="006B42D6">
        <w:rPr>
          <w:lang w:val="en-GB"/>
        </w:rPr>
        <w:t xml:space="preserve">, Mwanza region </w:t>
      </w:r>
      <w:r w:rsidR="001F3FAE" w:rsidRPr="006B42D6">
        <w:rPr>
          <w:lang w:val="en-GB"/>
        </w:rPr>
        <w:t xml:space="preserve">had the largest number of households raising chicken </w:t>
      </w:r>
      <w:r w:rsidRPr="006B42D6">
        <w:rPr>
          <w:lang w:val="en-GB"/>
        </w:rPr>
        <w:t>(248,617 households; 5.9 percent)</w:t>
      </w:r>
      <w:r w:rsidR="001F3FAE" w:rsidRPr="006B42D6">
        <w:rPr>
          <w:lang w:val="en-GB"/>
        </w:rPr>
        <w:t>,</w:t>
      </w:r>
      <w:r w:rsidRPr="006B42D6">
        <w:rPr>
          <w:lang w:val="en-GB"/>
        </w:rPr>
        <w:t xml:space="preserve"> followed by Tabora (247,554; 5.8 percent) and Dodoma (246,790; 5.8 percent). The lowest number of households raising chicken was reported in Katavi (36,586 households, 0.9 percent)</w:t>
      </w:r>
      <w:r w:rsidR="00F47326">
        <w:rPr>
          <w:lang w:val="en-GB"/>
        </w:rPr>
        <w:t>.</w:t>
      </w:r>
      <w:r w:rsidRPr="006B42D6">
        <w:rPr>
          <w:lang w:val="en-GB"/>
        </w:rPr>
        <w:t xml:space="preserve"> </w:t>
      </w:r>
      <w:r w:rsidR="00F47326">
        <w:rPr>
          <w:lang w:val="en-GB"/>
        </w:rPr>
        <w:t>I</w:t>
      </w:r>
      <w:r w:rsidRPr="006B42D6">
        <w:rPr>
          <w:lang w:val="en-GB"/>
        </w:rPr>
        <w:t xml:space="preserve">n </w:t>
      </w:r>
      <w:r w:rsidR="000D4D71" w:rsidRPr="006B42D6">
        <w:rPr>
          <w:lang w:eastAsia="en-GB"/>
        </w:rPr>
        <w:t xml:space="preserve">Tanzania </w:t>
      </w:r>
      <w:r w:rsidRPr="006B42D6">
        <w:rPr>
          <w:lang w:val="en-GB"/>
        </w:rPr>
        <w:t>Zanzibar</w:t>
      </w:r>
      <w:r w:rsidR="001F3FAE" w:rsidRPr="006B42D6">
        <w:rPr>
          <w:lang w:val="en-GB"/>
        </w:rPr>
        <w:t>,</w:t>
      </w:r>
      <w:r w:rsidRPr="006B42D6">
        <w:rPr>
          <w:lang w:val="en-GB"/>
        </w:rPr>
        <w:t xml:space="preserve"> Kusini Pemba region had the </w:t>
      </w:r>
      <w:r w:rsidRPr="006B42D6">
        <w:rPr>
          <w:lang w:val="en-GB"/>
        </w:rPr>
        <w:lastRenderedPageBreak/>
        <w:t>largest number of households raising chicken</w:t>
      </w:r>
      <w:r w:rsidR="001F3FAE" w:rsidRPr="006B42D6">
        <w:rPr>
          <w:lang w:val="en-GB"/>
        </w:rPr>
        <w:t xml:space="preserve"> (36,593; 36.4 percent),</w:t>
      </w:r>
      <w:r w:rsidRPr="006B42D6">
        <w:rPr>
          <w:lang w:val="en-GB"/>
        </w:rPr>
        <w:t xml:space="preserve"> followed by Mjini Magharibi (22,553; 22.4 percent). The lowest number was reported in Kaskazini </w:t>
      </w:r>
      <w:r w:rsidR="001F3FAE" w:rsidRPr="006B42D6">
        <w:rPr>
          <w:lang w:val="en-GB"/>
        </w:rPr>
        <w:t>P</w:t>
      </w:r>
      <w:r w:rsidRPr="006B42D6">
        <w:rPr>
          <w:lang w:val="en-GB"/>
        </w:rPr>
        <w:t>emba (10,336; 10.3 percent) (</w:t>
      </w:r>
      <w:r w:rsidR="00221173" w:rsidRPr="006B42D6">
        <w:rPr>
          <w:lang w:val="en-GB"/>
        </w:rPr>
        <w:t>Figure 4.16 &amp;</w:t>
      </w:r>
      <w:r w:rsidRPr="006B42D6">
        <w:rPr>
          <w:lang w:val="en-GB"/>
        </w:rPr>
        <w:t xml:space="preserve"> </w:t>
      </w:r>
      <w:r w:rsidR="00F81953" w:rsidRPr="006B42D6">
        <w:rPr>
          <w:lang w:val="en-GB"/>
        </w:rPr>
        <w:t>4.1</w:t>
      </w:r>
      <w:r w:rsidR="001F3FAE" w:rsidRPr="006B42D6">
        <w:rPr>
          <w:lang w:val="en-GB"/>
        </w:rPr>
        <w:t>7</w:t>
      </w:r>
      <w:r w:rsidRPr="006B42D6">
        <w:rPr>
          <w:lang w:val="en-GB"/>
        </w:rPr>
        <w:t>).</w:t>
      </w:r>
    </w:p>
    <w:p w14:paraId="741EDCC6" w14:textId="77777777" w:rsidR="0083291D" w:rsidRPr="006B42D6" w:rsidRDefault="0083291D" w:rsidP="00A83340">
      <w:pPr>
        <w:rPr>
          <w:lang w:val="en-GB"/>
        </w:rPr>
      </w:pPr>
    </w:p>
    <w:p w14:paraId="2CD3A3B8" w14:textId="7B8D3EB4" w:rsidR="00A83340" w:rsidRPr="006B42D6" w:rsidRDefault="00A83340" w:rsidP="007463E6">
      <w:pPr>
        <w:pStyle w:val="Caption"/>
        <w:rPr>
          <w:lang w:val="en-GB"/>
        </w:rPr>
      </w:pPr>
      <w:bookmarkStart w:id="516" w:name="_Toc82386387"/>
      <w:r w:rsidRPr="006B42D6">
        <w:rPr>
          <w:lang w:val="en-GB"/>
        </w:rPr>
        <w:t xml:space="preserve">Figure </w:t>
      </w:r>
      <w:r w:rsidR="00F81953" w:rsidRPr="006B42D6">
        <w:rPr>
          <w:lang w:val="en-GB"/>
        </w:rPr>
        <w:t>4.1</w:t>
      </w:r>
      <w:r w:rsidR="001F3FAE" w:rsidRPr="006B42D6">
        <w:rPr>
          <w:lang w:val="en-GB"/>
        </w:rPr>
        <w:t>6</w:t>
      </w:r>
      <w:r w:rsidR="00F03DB1">
        <w:rPr>
          <w:lang w:val="en-GB"/>
        </w:rPr>
        <w:t>:</w:t>
      </w:r>
      <w:r w:rsidR="0083291D">
        <w:rPr>
          <w:lang w:val="en-GB"/>
        </w:rPr>
        <w:tab/>
      </w:r>
      <w:r w:rsidRPr="006B42D6">
        <w:rPr>
          <w:lang w:val="en-GB"/>
        </w:rPr>
        <w:t>Percentage Distribution of Households Raising Chicken by Region</w:t>
      </w:r>
      <w:r w:rsidR="00221173" w:rsidRPr="006B42D6">
        <w:rPr>
          <w:lang w:val="en-GB"/>
        </w:rPr>
        <w:t xml:space="preserve"> During 2019/20 Agricultural Year</w:t>
      </w:r>
      <w:r w:rsidR="008E531F" w:rsidRPr="006B42D6">
        <w:rPr>
          <w:lang w:val="en-GB"/>
        </w:rPr>
        <w:t>,</w:t>
      </w:r>
      <w:r w:rsidR="000A0DBF" w:rsidRPr="006B42D6">
        <w:rPr>
          <w:lang w:val="en-GB"/>
        </w:rPr>
        <w:t xml:space="preserve"> </w:t>
      </w:r>
      <w:r w:rsidR="00EA1552">
        <w:rPr>
          <w:lang w:val="en-GB"/>
        </w:rPr>
        <w:t>Mainland Tanzania</w:t>
      </w:r>
      <w:bookmarkEnd w:id="516"/>
    </w:p>
    <w:p w14:paraId="4E3C99CB" w14:textId="0E4D4132" w:rsidR="00A83340" w:rsidRPr="006B42D6" w:rsidRDefault="001B26AC" w:rsidP="00A83340">
      <w:pPr>
        <w:rPr>
          <w:lang w:val="en-GB"/>
        </w:rPr>
      </w:pPr>
      <w:r w:rsidRPr="006B42D6">
        <w:rPr>
          <w:noProof/>
        </w:rPr>
        <w:drawing>
          <wp:inline distT="0" distB="0" distL="0" distR="0" wp14:anchorId="737794A6" wp14:editId="6936BA25">
            <wp:extent cx="5636419" cy="2376170"/>
            <wp:effectExtent l="0" t="0" r="15240" b="11430"/>
            <wp:docPr id="68" name="Chart 1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6"/>
              </a:graphicData>
            </a:graphic>
          </wp:inline>
        </w:drawing>
      </w:r>
    </w:p>
    <w:p w14:paraId="05E4D352" w14:textId="77777777" w:rsidR="00A83340" w:rsidRPr="006B42D6" w:rsidRDefault="00A83340" w:rsidP="00A83340">
      <w:pPr>
        <w:rPr>
          <w:lang w:val="en-GB"/>
        </w:rPr>
      </w:pPr>
    </w:p>
    <w:p w14:paraId="40D6E34E" w14:textId="5F34CA75" w:rsidR="00A83340" w:rsidRDefault="00A83340" w:rsidP="00DA1999">
      <w:pPr>
        <w:pStyle w:val="Caption"/>
        <w:ind w:left="1140" w:right="3345" w:hanging="1140"/>
        <w:rPr>
          <w:lang w:val="en-GB"/>
        </w:rPr>
      </w:pPr>
      <w:bookmarkStart w:id="517" w:name="_Toc82386388"/>
      <w:r w:rsidRPr="006B42D6">
        <w:rPr>
          <w:lang w:val="en-GB"/>
        </w:rPr>
        <w:t xml:space="preserve">Figure </w:t>
      </w:r>
      <w:r w:rsidR="008E531F" w:rsidRPr="006B42D6">
        <w:rPr>
          <w:lang w:val="en-GB"/>
        </w:rPr>
        <w:t>4.1</w:t>
      </w:r>
      <w:r w:rsidR="001F3FAE" w:rsidRPr="006B42D6">
        <w:rPr>
          <w:lang w:val="en-GB"/>
        </w:rPr>
        <w:t>7</w:t>
      </w:r>
      <w:r w:rsidR="0027026C">
        <w:rPr>
          <w:lang w:val="en-GB"/>
        </w:rPr>
        <w:t>:</w:t>
      </w:r>
      <w:r w:rsidR="00EB5FF2">
        <w:rPr>
          <w:lang w:val="en-GB"/>
        </w:rPr>
        <w:tab/>
      </w:r>
      <w:r w:rsidRPr="006B42D6">
        <w:rPr>
          <w:lang w:val="en-GB"/>
        </w:rPr>
        <w:t>Percentage Distribution of Households Raising Chicken</w:t>
      </w:r>
      <w:r w:rsidR="00A16694" w:rsidRPr="006B42D6">
        <w:rPr>
          <w:lang w:val="en-GB"/>
        </w:rPr>
        <w:t xml:space="preserve"> </w:t>
      </w:r>
      <w:r w:rsidRPr="006B42D6">
        <w:rPr>
          <w:lang w:val="en-GB"/>
        </w:rPr>
        <w:t>by Region</w:t>
      </w:r>
      <w:r w:rsidR="00221173" w:rsidRPr="006B42D6">
        <w:rPr>
          <w:lang w:val="en-GB"/>
        </w:rPr>
        <w:t xml:space="preserve"> During 2019/20 Agricultural Year</w:t>
      </w:r>
      <w:r w:rsidR="008E531F" w:rsidRPr="006B42D6">
        <w:rPr>
          <w:lang w:val="en-GB"/>
        </w:rPr>
        <w:t>,</w:t>
      </w:r>
      <w:r w:rsidRPr="006B42D6">
        <w:rPr>
          <w:lang w:val="en-GB"/>
        </w:rPr>
        <w:t xml:space="preserve"> </w:t>
      </w:r>
      <w:r w:rsidR="000D4D71" w:rsidRPr="006B42D6">
        <w:rPr>
          <w:lang w:val="en-GB"/>
        </w:rPr>
        <w:t xml:space="preserve">Tanzania </w:t>
      </w:r>
      <w:r w:rsidRPr="006B42D6">
        <w:rPr>
          <w:lang w:val="en-GB"/>
        </w:rPr>
        <w:t>Zanzibar</w:t>
      </w:r>
      <w:bookmarkEnd w:id="517"/>
    </w:p>
    <w:p w14:paraId="0747CADE" w14:textId="77777777" w:rsidR="007F55EB" w:rsidRPr="007F55EB" w:rsidRDefault="007F55EB" w:rsidP="007F55EB">
      <w:pPr>
        <w:rPr>
          <w:sz w:val="6"/>
          <w:szCs w:val="6"/>
          <w:lang w:val="en-GB"/>
        </w:rPr>
      </w:pPr>
    </w:p>
    <w:p w14:paraId="01BD990D" w14:textId="77AC252E" w:rsidR="00A83340" w:rsidRPr="006B42D6" w:rsidRDefault="001B26AC" w:rsidP="00A83340">
      <w:pPr>
        <w:rPr>
          <w:lang w:val="en-GB"/>
        </w:rPr>
      </w:pPr>
      <w:r w:rsidRPr="006B42D6">
        <w:rPr>
          <w:noProof/>
        </w:rPr>
        <w:drawing>
          <wp:inline distT="0" distB="0" distL="0" distR="0" wp14:anchorId="281B1295" wp14:editId="73900E21">
            <wp:extent cx="3879056" cy="2190750"/>
            <wp:effectExtent l="0" t="0" r="7620" b="6350"/>
            <wp:docPr id="67" name="Chart 1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7"/>
              </a:graphicData>
            </a:graphic>
          </wp:inline>
        </w:drawing>
      </w:r>
    </w:p>
    <w:p w14:paraId="5984A9FE" w14:textId="77777777" w:rsidR="00AB2D6D" w:rsidRDefault="00AB2D6D">
      <w:pPr>
        <w:spacing w:line="240" w:lineRule="auto"/>
        <w:contextualSpacing w:val="0"/>
        <w:jc w:val="left"/>
        <w:rPr>
          <w:lang w:val="en-GB"/>
        </w:rPr>
      </w:pPr>
      <w:r>
        <w:rPr>
          <w:lang w:val="en-GB"/>
        </w:rPr>
        <w:br w:type="page"/>
      </w:r>
    </w:p>
    <w:p w14:paraId="1ABD46A0" w14:textId="1EA86880" w:rsidR="00A83340" w:rsidRDefault="00F47326" w:rsidP="00A83340">
      <w:pPr>
        <w:rPr>
          <w:lang w:val="en-GB"/>
        </w:rPr>
      </w:pPr>
      <w:r>
        <w:rPr>
          <w:noProof/>
        </w:rPr>
        <w:lastRenderedPageBreak/>
        <mc:AlternateContent>
          <mc:Choice Requires="wps">
            <w:drawing>
              <wp:anchor distT="0" distB="0" distL="114300" distR="114300" simplePos="0" relativeHeight="251754496" behindDoc="1" locked="0" layoutInCell="1" allowOverlap="1" wp14:anchorId="4146DE83" wp14:editId="787B0F61">
                <wp:simplePos x="0" y="0"/>
                <wp:positionH relativeFrom="column">
                  <wp:posOffset>2942590</wp:posOffset>
                </wp:positionH>
                <wp:positionV relativeFrom="paragraph">
                  <wp:posOffset>-43180</wp:posOffset>
                </wp:positionV>
                <wp:extent cx="2953385" cy="606425"/>
                <wp:effectExtent l="0" t="0" r="5715" b="3175"/>
                <wp:wrapTight wrapText="bothSides">
                  <wp:wrapPolygon edited="0">
                    <wp:start x="0" y="0"/>
                    <wp:lineTo x="0" y="21261"/>
                    <wp:lineTo x="21549" y="21261"/>
                    <wp:lineTo x="21549" y="0"/>
                    <wp:lineTo x="0" y="0"/>
                  </wp:wrapPolygon>
                </wp:wrapTight>
                <wp:docPr id="25" name="Text Box 25"/>
                <wp:cNvGraphicFramePr/>
                <a:graphic xmlns:a="http://schemas.openxmlformats.org/drawingml/2006/main">
                  <a:graphicData uri="http://schemas.microsoft.com/office/word/2010/wordprocessingShape">
                    <wps:wsp>
                      <wps:cNvSpPr txBox="1"/>
                      <wps:spPr>
                        <a:xfrm>
                          <a:off x="0" y="0"/>
                          <a:ext cx="2953385" cy="606425"/>
                        </a:xfrm>
                        <a:prstGeom prst="rect">
                          <a:avLst/>
                        </a:prstGeom>
                        <a:solidFill>
                          <a:prstClr val="white"/>
                        </a:solidFill>
                        <a:ln>
                          <a:noFill/>
                        </a:ln>
                      </wps:spPr>
                      <wps:txbx>
                        <w:txbxContent>
                          <w:p w14:paraId="3692FD0D" w14:textId="149E3F9D" w:rsidR="00933456" w:rsidRPr="00EB5FF2" w:rsidRDefault="00933456" w:rsidP="008B193B">
                            <w:pPr>
                              <w:pStyle w:val="Caption"/>
                            </w:pPr>
                            <w:bookmarkStart w:id="518" w:name="_Toc80884165"/>
                            <w:bookmarkStart w:id="519" w:name="_Toc80884536"/>
                            <w:bookmarkStart w:id="520" w:name="_Toc82386389"/>
                            <w:r w:rsidRPr="00EB5FF2">
                              <w:t>Figure 4.18</w:t>
                            </w:r>
                            <w:r w:rsidRPr="00EB5FF2">
                              <w:tab/>
                              <w:t>Percentage Distribution of Chicken from Smallholder Farmers and Large Scale Farms as of 1st August 2020, Tanzania</w:t>
                            </w:r>
                            <w:bookmarkEnd w:id="518"/>
                            <w:bookmarkEnd w:id="519"/>
                            <w:bookmarkEnd w:id="520"/>
                            <w:r w:rsidRPr="00EB5FF2">
                              <w:t xml:space="preserve"> </w:t>
                            </w:r>
                          </w:p>
                          <w:p w14:paraId="3E03901D" w14:textId="199FFC90" w:rsidR="00933456" w:rsidRPr="00075BA6" w:rsidRDefault="00933456" w:rsidP="008B193B">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46DE83" id="Text Box 25" o:spid="_x0000_s1084" type="#_x0000_t202" style="position:absolute;left:0;text-align:left;margin-left:231.7pt;margin-top:-3.4pt;width:232.55pt;height:47.75pt;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" stroked="f">
                <v:textbox inset="0,0,0,0">
                  <w:txbxContent>
                    <w:p w14:paraId="3692FD0D" w14:textId="149E3F9D" w:rsidR="00933456" w:rsidRPr="00EB5FF2" w:rsidRDefault="00933456" w:rsidP="008B193B">
                      <w:pPr>
                        <w:pStyle w:val="Caption"/>
                      </w:pPr>
                      <w:bookmarkStart w:id="727" w:name="_Toc80884165"/>
                      <w:bookmarkStart w:id="728" w:name="_Toc80884536"/>
                      <w:bookmarkStart w:id="729" w:name="_Toc82386389"/>
                      <w:r w:rsidRPr="00EB5FF2">
                        <w:t>Figure 4.18</w:t>
                      </w:r>
                      <w:r w:rsidRPr="00EB5FF2">
                        <w:tab/>
                        <w:t>Percentage Distribution of Chicken from Smallholder Farmers and Large Scale Farms as of 1st August 2020, Tanzania</w:t>
                      </w:r>
                      <w:bookmarkEnd w:id="727"/>
                      <w:bookmarkEnd w:id="728"/>
                      <w:bookmarkEnd w:id="729"/>
                      <w:r w:rsidRPr="00EB5FF2">
                        <w:t xml:space="preserve"> </w:t>
                      </w:r>
                    </w:p>
                    <w:p w14:paraId="3E03901D" w14:textId="199FFC90" w:rsidR="00933456" w:rsidRPr="00075BA6" w:rsidRDefault="00933456" w:rsidP="008B193B">
                      <w:pPr>
                        <w:pStyle w:val="Caption"/>
                        <w:rPr>
                          <w:noProof/>
                        </w:rPr>
                      </w:pPr>
                    </w:p>
                  </w:txbxContent>
                </v:textbox>
                <w10:wrap type="tight"/>
              </v:shape>
            </w:pict>
          </mc:Fallback>
        </mc:AlternateContent>
      </w:r>
      <w:r w:rsidRPr="006B42D6">
        <w:rPr>
          <w:noProof/>
        </w:rPr>
        <w:drawing>
          <wp:anchor distT="0" distB="0" distL="114300" distR="114300" simplePos="0" relativeHeight="251753472" behindDoc="1" locked="0" layoutInCell="1" allowOverlap="1" wp14:anchorId="1A2E81C7" wp14:editId="240A0522">
            <wp:simplePos x="0" y="0"/>
            <wp:positionH relativeFrom="column">
              <wp:posOffset>2993072</wp:posOffset>
            </wp:positionH>
            <wp:positionV relativeFrom="paragraph">
              <wp:posOffset>614045</wp:posOffset>
            </wp:positionV>
            <wp:extent cx="2607310" cy="1714500"/>
            <wp:effectExtent l="0" t="0" r="8890" b="12700"/>
            <wp:wrapTight wrapText="bothSides">
              <wp:wrapPolygon edited="0">
                <wp:start x="0" y="0"/>
                <wp:lineTo x="0" y="21600"/>
                <wp:lineTo x="21568" y="21600"/>
                <wp:lineTo x="21568" y="0"/>
                <wp:lineTo x="0" y="0"/>
              </wp:wrapPolygon>
            </wp:wrapTight>
            <wp:docPr id="66" name="Chart 5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8"/>
              </a:graphicData>
            </a:graphic>
            <wp14:sizeRelH relativeFrom="page">
              <wp14:pctWidth>0</wp14:pctWidth>
            </wp14:sizeRelH>
            <wp14:sizeRelV relativeFrom="page">
              <wp14:pctHeight>0</wp14:pctHeight>
            </wp14:sizeRelV>
          </wp:anchor>
        </w:drawing>
      </w:r>
      <w:r w:rsidR="00A83340" w:rsidRPr="006B42D6">
        <w:rPr>
          <w:lang w:val="en-GB"/>
        </w:rPr>
        <w:t>The total number of chicken in Tanzania from both smallholder farmers and large scale farms was 87,659,580</w:t>
      </w:r>
      <w:r w:rsidR="00221173" w:rsidRPr="006B42D6">
        <w:rPr>
          <w:lang w:val="en-GB"/>
        </w:rPr>
        <w:t xml:space="preserve">, </w:t>
      </w:r>
      <w:r w:rsidR="00A83340" w:rsidRPr="006B42D6">
        <w:rPr>
          <w:lang w:val="en-GB"/>
        </w:rPr>
        <w:t xml:space="preserve">of which 75,119,802 (85.7 percent) chicken were from smallholder farmers and 12,539,778 (14.3 percent) from large scale farms. Out of the total chicken from smallholder </w:t>
      </w:r>
      <w:r w:rsidR="000D4D71" w:rsidRPr="006B42D6">
        <w:rPr>
          <w:lang w:val="en-GB"/>
        </w:rPr>
        <w:t>farmers, 71,414,297</w:t>
      </w:r>
      <w:r w:rsidR="00A83340" w:rsidRPr="006B42D6">
        <w:rPr>
          <w:lang w:val="en-GB"/>
        </w:rPr>
        <w:t xml:space="preserve"> chicken were from Mainland and </w:t>
      </w:r>
      <w:r w:rsidR="000D4D71" w:rsidRPr="006B42D6">
        <w:rPr>
          <w:lang w:val="en-GB"/>
        </w:rPr>
        <w:t>3,705,505 from</w:t>
      </w:r>
      <w:r w:rsidR="00A83340" w:rsidRPr="006B42D6">
        <w:rPr>
          <w:lang w:val="en-GB"/>
        </w:rPr>
        <w:t xml:space="preserve"> </w:t>
      </w:r>
      <w:r w:rsidR="000D4D71" w:rsidRPr="006B42D6">
        <w:rPr>
          <w:lang w:eastAsia="en-GB"/>
        </w:rPr>
        <w:t xml:space="preserve">Tanzania </w:t>
      </w:r>
      <w:r w:rsidR="00A83340" w:rsidRPr="006B42D6">
        <w:rPr>
          <w:lang w:val="en-GB"/>
        </w:rPr>
        <w:t>Zanzibar (</w:t>
      </w:r>
      <w:r w:rsidR="008E531F" w:rsidRPr="006B42D6">
        <w:rPr>
          <w:lang w:val="en-GB"/>
        </w:rPr>
        <w:t>F</w:t>
      </w:r>
      <w:r w:rsidR="00A83340" w:rsidRPr="006B42D6">
        <w:rPr>
          <w:lang w:val="en-GB"/>
        </w:rPr>
        <w:t xml:space="preserve">igure </w:t>
      </w:r>
      <w:r w:rsidR="008E531F" w:rsidRPr="006B42D6">
        <w:rPr>
          <w:lang w:val="en-GB"/>
        </w:rPr>
        <w:t>4.</w:t>
      </w:r>
      <w:r w:rsidR="005D4D30" w:rsidRPr="006B42D6">
        <w:rPr>
          <w:lang w:val="en-GB"/>
        </w:rPr>
        <w:t>18</w:t>
      </w:r>
      <w:r w:rsidR="00A83340" w:rsidRPr="006B42D6">
        <w:rPr>
          <w:lang w:val="en-GB"/>
        </w:rPr>
        <w:t xml:space="preserve">). </w:t>
      </w:r>
    </w:p>
    <w:p w14:paraId="7D48751D" w14:textId="77777777" w:rsidR="0083291D" w:rsidRPr="00F47326" w:rsidRDefault="0083291D" w:rsidP="009E0EF3">
      <w:pPr>
        <w:spacing w:line="240" w:lineRule="auto"/>
        <w:rPr>
          <w:noProof/>
          <w:sz w:val="20"/>
          <w:szCs w:val="20"/>
        </w:rPr>
      </w:pPr>
    </w:p>
    <w:p w14:paraId="22968580" w14:textId="09F93881" w:rsidR="00A83340" w:rsidRPr="006B42D6" w:rsidRDefault="00A83340" w:rsidP="0083291D">
      <w:pPr>
        <w:rPr>
          <w:lang w:val="en-GB"/>
        </w:rPr>
      </w:pPr>
      <w:r w:rsidRPr="006B42D6">
        <w:rPr>
          <w:lang w:val="en-GB"/>
        </w:rPr>
        <w:t xml:space="preserve">From the total population of chicken in </w:t>
      </w:r>
      <w:r w:rsidR="00EA1552">
        <w:rPr>
          <w:lang w:eastAsia="en-GB"/>
        </w:rPr>
        <w:t>Mainland Tanzania</w:t>
      </w:r>
      <w:r w:rsidRPr="006B42D6">
        <w:rPr>
          <w:lang w:val="en-GB"/>
        </w:rPr>
        <w:t>, the dominant specie was indigenous chicken (42,212,121;</w:t>
      </w:r>
      <w:r w:rsidR="008E531F" w:rsidRPr="006B42D6">
        <w:rPr>
          <w:lang w:val="en-GB"/>
        </w:rPr>
        <w:t xml:space="preserve"> </w:t>
      </w:r>
      <w:r w:rsidRPr="006B42D6">
        <w:rPr>
          <w:lang w:val="en-GB"/>
        </w:rPr>
        <w:t>59.1 percent), followed by layers (16,432,644; 23 percent) and broilers (12,769,532;</w:t>
      </w:r>
      <w:r w:rsidR="008E531F" w:rsidRPr="006B42D6">
        <w:rPr>
          <w:lang w:val="en-GB"/>
        </w:rPr>
        <w:t xml:space="preserve"> </w:t>
      </w:r>
      <w:r w:rsidRPr="006B42D6">
        <w:rPr>
          <w:lang w:val="en-GB"/>
        </w:rPr>
        <w:t>17.9 percent)</w:t>
      </w:r>
      <w:r w:rsidR="00C77F05" w:rsidRPr="006B42D6">
        <w:rPr>
          <w:lang w:val="en-GB"/>
        </w:rPr>
        <w:t>,</w:t>
      </w:r>
      <w:r w:rsidRPr="006B42D6">
        <w:rPr>
          <w:lang w:val="en-GB"/>
        </w:rPr>
        <w:t xml:space="preserve"> while in </w:t>
      </w:r>
      <w:r w:rsidR="000D4D71" w:rsidRPr="006B42D6">
        <w:rPr>
          <w:lang w:eastAsia="en-GB"/>
        </w:rPr>
        <w:t xml:space="preserve">Tanzania </w:t>
      </w:r>
      <w:r w:rsidRPr="006B42D6">
        <w:rPr>
          <w:lang w:val="en-GB"/>
        </w:rPr>
        <w:t>Zanzibar, the dominant specie was layers (2,116,994; 57.1 percent)</w:t>
      </w:r>
      <w:r w:rsidR="00F47326">
        <w:rPr>
          <w:lang w:val="en-GB"/>
        </w:rPr>
        <w:t>,</w:t>
      </w:r>
      <w:r w:rsidRPr="006B42D6">
        <w:rPr>
          <w:lang w:val="en-GB"/>
        </w:rPr>
        <w:t xml:space="preserve"> followed by indigenous (1,508,540; 40.7 percent) and broilers (79,971; 2.2 percent) </w:t>
      </w:r>
      <w:r w:rsidR="00BF7C79" w:rsidRPr="006B42D6">
        <w:rPr>
          <w:lang w:val="en-GB"/>
        </w:rPr>
        <w:t>(Figure 4.19 &amp; 4.20).</w:t>
      </w:r>
    </w:p>
    <w:p w14:paraId="747DA508" w14:textId="77777777" w:rsidR="00A83340" w:rsidRPr="00F47326" w:rsidRDefault="00A83340" w:rsidP="008B193B">
      <w:pPr>
        <w:spacing w:line="240" w:lineRule="auto"/>
        <w:rPr>
          <w:sz w:val="20"/>
          <w:szCs w:val="20"/>
          <w:lang w:val="en-GB"/>
        </w:rPr>
      </w:pPr>
    </w:p>
    <w:p w14:paraId="5BA5818F" w14:textId="172E25A6" w:rsidR="00A83340" w:rsidRDefault="00A83340" w:rsidP="00A83340">
      <w:pPr>
        <w:rPr>
          <w:lang w:val="en-GB"/>
        </w:rPr>
      </w:pPr>
      <w:r w:rsidRPr="0083291D">
        <w:rPr>
          <w:lang w:val="en-GB"/>
        </w:rPr>
        <w:t xml:space="preserve">In </w:t>
      </w:r>
      <w:r w:rsidR="00EA1552" w:rsidRPr="0083291D">
        <w:rPr>
          <w:lang w:val="en-GB"/>
        </w:rPr>
        <w:t>Mainland Tanzania</w:t>
      </w:r>
      <w:r w:rsidRPr="0083291D">
        <w:rPr>
          <w:lang w:val="en-GB"/>
        </w:rPr>
        <w:t xml:space="preserve">, Dar es </w:t>
      </w:r>
      <w:r w:rsidR="00F47326">
        <w:rPr>
          <w:lang w:val="en-GB"/>
        </w:rPr>
        <w:t>S</w:t>
      </w:r>
      <w:r w:rsidRPr="0083291D">
        <w:rPr>
          <w:lang w:val="en-GB"/>
        </w:rPr>
        <w:t>alaam region had the highest population of</w:t>
      </w:r>
      <w:r w:rsidR="00C77F05" w:rsidRPr="0083291D">
        <w:rPr>
          <w:lang w:val="en-GB"/>
        </w:rPr>
        <w:t xml:space="preserve"> chicken</w:t>
      </w:r>
      <w:r w:rsidRPr="0083291D">
        <w:rPr>
          <w:lang w:val="en-GB"/>
        </w:rPr>
        <w:t xml:space="preserve"> </w:t>
      </w:r>
      <w:r w:rsidR="00C77F05" w:rsidRPr="0083291D">
        <w:rPr>
          <w:lang w:val="en-GB"/>
        </w:rPr>
        <w:t>(</w:t>
      </w:r>
      <w:r w:rsidRPr="0083291D">
        <w:rPr>
          <w:lang w:val="en-GB"/>
        </w:rPr>
        <w:t>8.9 million</w:t>
      </w:r>
      <w:r w:rsidR="00C77F05" w:rsidRPr="0083291D">
        <w:rPr>
          <w:lang w:val="en-GB"/>
        </w:rPr>
        <w:t xml:space="preserve">; </w:t>
      </w:r>
      <w:r w:rsidRPr="0083291D">
        <w:rPr>
          <w:lang w:val="en-GB"/>
        </w:rPr>
        <w:t>12.4 percent), followed by Tabora (5.0 million</w:t>
      </w:r>
      <w:r w:rsidR="00C77F05" w:rsidRPr="0083291D">
        <w:rPr>
          <w:lang w:val="en-GB"/>
        </w:rPr>
        <w:t>;</w:t>
      </w:r>
      <w:r w:rsidRPr="0083291D">
        <w:rPr>
          <w:lang w:val="en-GB"/>
        </w:rPr>
        <w:t xml:space="preserve"> 6.9 percent)</w:t>
      </w:r>
      <w:r w:rsidR="00C77F05" w:rsidRPr="0083291D">
        <w:rPr>
          <w:lang w:val="en-GB"/>
        </w:rPr>
        <w:t xml:space="preserve"> and Dodoma (4.2 million; 5.9 percent),</w:t>
      </w:r>
      <w:r w:rsidRPr="0083291D">
        <w:rPr>
          <w:lang w:val="en-GB"/>
        </w:rPr>
        <w:t xml:space="preserve"> whereas, </w:t>
      </w:r>
      <w:r w:rsidR="00C77F05" w:rsidRPr="0083291D">
        <w:rPr>
          <w:lang w:val="en-GB"/>
        </w:rPr>
        <w:t xml:space="preserve">the lowest number of chicken were reported in </w:t>
      </w:r>
      <w:r w:rsidRPr="0083291D">
        <w:rPr>
          <w:lang w:val="en-GB"/>
        </w:rPr>
        <w:t xml:space="preserve">Katavi </w:t>
      </w:r>
      <w:r w:rsidR="00C77F05" w:rsidRPr="0083291D">
        <w:rPr>
          <w:lang w:val="en-GB"/>
        </w:rPr>
        <w:t xml:space="preserve">region </w:t>
      </w:r>
      <w:r w:rsidRPr="0083291D">
        <w:rPr>
          <w:lang w:val="en-GB"/>
        </w:rPr>
        <w:t>(0.7 million</w:t>
      </w:r>
      <w:r w:rsidR="00C77F05" w:rsidRPr="0083291D">
        <w:rPr>
          <w:lang w:val="en-GB"/>
        </w:rPr>
        <w:t>;</w:t>
      </w:r>
      <w:r w:rsidR="001E2E96" w:rsidRPr="0083291D">
        <w:rPr>
          <w:lang w:val="en-GB"/>
        </w:rPr>
        <w:t xml:space="preserve"> 1.0 percent</w:t>
      </w:r>
      <w:r w:rsidRPr="0083291D">
        <w:rPr>
          <w:lang w:val="en-GB"/>
        </w:rPr>
        <w:t>)</w:t>
      </w:r>
      <w:r w:rsidR="001E2E96" w:rsidRPr="0083291D">
        <w:rPr>
          <w:lang w:val="en-GB"/>
        </w:rPr>
        <w:t>. In addition</w:t>
      </w:r>
      <w:r w:rsidRPr="0083291D">
        <w:rPr>
          <w:lang w:val="en-GB"/>
        </w:rPr>
        <w:t xml:space="preserve">, the population of chicken in Dar es </w:t>
      </w:r>
      <w:r w:rsidR="00A71F69" w:rsidRPr="0083291D">
        <w:rPr>
          <w:lang w:val="en-GB"/>
        </w:rPr>
        <w:t>S</w:t>
      </w:r>
      <w:r w:rsidRPr="0083291D">
        <w:rPr>
          <w:lang w:val="en-GB"/>
        </w:rPr>
        <w:t xml:space="preserve">alaam </w:t>
      </w:r>
      <w:r w:rsidR="00A71F69" w:rsidRPr="0083291D">
        <w:rPr>
          <w:lang w:val="en-GB"/>
        </w:rPr>
        <w:t xml:space="preserve">region </w:t>
      </w:r>
      <w:r w:rsidRPr="0083291D">
        <w:rPr>
          <w:lang w:val="en-GB"/>
        </w:rPr>
        <w:t>was mainly contributed by layers and broilers which accounted for 90.5 percent of the total</w:t>
      </w:r>
      <w:r w:rsidRPr="006B42D6">
        <w:rPr>
          <w:lang w:val="en-GB"/>
        </w:rPr>
        <w:t xml:space="preserve"> chicken</w:t>
      </w:r>
      <w:r w:rsidR="00F36AF0" w:rsidRPr="006B42D6">
        <w:rPr>
          <w:lang w:val="en-GB"/>
        </w:rPr>
        <w:t>.</w:t>
      </w:r>
      <w:r w:rsidR="008E531F" w:rsidRPr="006B42D6">
        <w:rPr>
          <w:lang w:val="en-GB"/>
        </w:rPr>
        <w:t xml:space="preserve"> </w:t>
      </w:r>
      <w:r w:rsidRPr="006B42D6">
        <w:rPr>
          <w:lang w:val="en-GB"/>
        </w:rPr>
        <w:t xml:space="preserve">In </w:t>
      </w:r>
      <w:r w:rsidR="000D4D71" w:rsidRPr="006B42D6">
        <w:rPr>
          <w:lang w:eastAsia="en-GB"/>
        </w:rPr>
        <w:t xml:space="preserve">Tanzania </w:t>
      </w:r>
      <w:r w:rsidRPr="006B42D6">
        <w:rPr>
          <w:lang w:val="en-GB"/>
        </w:rPr>
        <w:t>Zanzibar, Kusini Unguja region had the largest number of chicken</w:t>
      </w:r>
      <w:r w:rsidR="00233206" w:rsidRPr="006B42D6">
        <w:rPr>
          <w:lang w:val="en-GB"/>
        </w:rPr>
        <w:t xml:space="preserve"> (1.9 million; 50.7 percent)</w:t>
      </w:r>
      <w:r w:rsidRPr="006B42D6">
        <w:rPr>
          <w:lang w:val="en-GB"/>
        </w:rPr>
        <w:t>, followed by Kusini Pemba (</w:t>
      </w:r>
      <w:r w:rsidR="00F36AF0" w:rsidRPr="006B42D6">
        <w:rPr>
          <w:lang w:val="en-GB"/>
        </w:rPr>
        <w:t>0.</w:t>
      </w:r>
      <w:r w:rsidRPr="006B42D6">
        <w:rPr>
          <w:lang w:val="en-GB"/>
        </w:rPr>
        <w:t>6</w:t>
      </w:r>
      <w:r w:rsidR="00233206" w:rsidRPr="006B42D6">
        <w:rPr>
          <w:lang w:val="en-GB"/>
        </w:rPr>
        <w:t xml:space="preserve"> million</w:t>
      </w:r>
      <w:r w:rsidRPr="006B42D6">
        <w:rPr>
          <w:lang w:val="en-GB"/>
        </w:rPr>
        <w:t xml:space="preserve">; 17.4 percent). The lowest number of </w:t>
      </w:r>
      <w:r w:rsidR="00A0481E" w:rsidRPr="006B42D6">
        <w:rPr>
          <w:lang w:val="en-GB"/>
        </w:rPr>
        <w:t>chickens</w:t>
      </w:r>
      <w:r w:rsidRPr="006B42D6">
        <w:rPr>
          <w:lang w:val="en-GB"/>
        </w:rPr>
        <w:t xml:space="preserve"> was in Kaskazini Pemba </w:t>
      </w:r>
      <w:r w:rsidR="00233206" w:rsidRPr="006B42D6">
        <w:rPr>
          <w:lang w:val="en-GB"/>
        </w:rPr>
        <w:t xml:space="preserve">(0.2 million; </w:t>
      </w:r>
      <w:r w:rsidRPr="006B42D6">
        <w:rPr>
          <w:lang w:val="en-GB"/>
        </w:rPr>
        <w:t xml:space="preserve">4.2 percent) </w:t>
      </w:r>
      <w:r w:rsidR="008E531F" w:rsidRPr="006B42D6">
        <w:rPr>
          <w:lang w:val="en-GB"/>
        </w:rPr>
        <w:t>(Figure 4.2</w:t>
      </w:r>
      <w:r w:rsidR="001E2E96" w:rsidRPr="006B42D6">
        <w:rPr>
          <w:lang w:val="en-GB"/>
        </w:rPr>
        <w:t>0</w:t>
      </w:r>
      <w:r w:rsidR="00233206" w:rsidRPr="006B42D6">
        <w:rPr>
          <w:lang w:val="en-GB"/>
        </w:rPr>
        <w:t xml:space="preserve"> and </w:t>
      </w:r>
      <w:r w:rsidRPr="006B42D6">
        <w:rPr>
          <w:lang w:val="en-GB"/>
        </w:rPr>
        <w:t xml:space="preserve">Map </w:t>
      </w:r>
      <w:r w:rsidR="008E531F" w:rsidRPr="006B42D6">
        <w:rPr>
          <w:lang w:val="en-GB"/>
        </w:rPr>
        <w:t>4.5</w:t>
      </w:r>
      <w:r w:rsidRPr="006B42D6">
        <w:rPr>
          <w:lang w:val="en-GB"/>
        </w:rPr>
        <w:t>).</w:t>
      </w:r>
    </w:p>
    <w:p w14:paraId="5D046DA9" w14:textId="017A46CA" w:rsidR="00D141C3" w:rsidRPr="00F47326" w:rsidRDefault="00C0167A" w:rsidP="00D141C3">
      <w:pPr>
        <w:spacing w:line="240" w:lineRule="auto"/>
        <w:rPr>
          <w:sz w:val="20"/>
          <w:szCs w:val="20"/>
          <w:lang w:val="en-GB"/>
        </w:rPr>
      </w:pPr>
      <w:r>
        <w:rPr>
          <w:noProof/>
          <w:sz w:val="10"/>
          <w:szCs w:val="10"/>
        </w:rPr>
        <w:drawing>
          <wp:anchor distT="0" distB="0" distL="114300" distR="114300" simplePos="0" relativeHeight="251621376" behindDoc="0" locked="0" layoutInCell="1" allowOverlap="1" wp14:anchorId="5A658B2E" wp14:editId="6A67AF76">
            <wp:simplePos x="0" y="0"/>
            <wp:positionH relativeFrom="column">
              <wp:posOffset>2957195</wp:posOffset>
            </wp:positionH>
            <wp:positionV relativeFrom="page">
              <wp:posOffset>8102551</wp:posOffset>
            </wp:positionV>
            <wp:extent cx="2642870" cy="1399540"/>
            <wp:effectExtent l="0" t="0" r="11430" b="10160"/>
            <wp:wrapTight wrapText="bothSides">
              <wp:wrapPolygon edited="0">
                <wp:start x="0" y="0"/>
                <wp:lineTo x="0" y="21561"/>
                <wp:lineTo x="21590" y="21561"/>
                <wp:lineTo x="21590" y="0"/>
                <wp:lineTo x="0" y="0"/>
              </wp:wrapPolygon>
            </wp:wrapTight>
            <wp:docPr id="575" name="Chart 5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9"/>
              </a:graphicData>
            </a:graphic>
            <wp14:sizeRelH relativeFrom="margin">
              <wp14:pctWidth>0</wp14:pctWidth>
            </wp14:sizeRelH>
            <wp14:sizeRelV relativeFrom="margin">
              <wp14:pctHeight>0</wp14:pctHeight>
            </wp14:sizeRelV>
          </wp:anchor>
        </w:drawing>
      </w:r>
      <w:r w:rsidR="00F47326" w:rsidRPr="006B42D6">
        <w:rPr>
          <w:noProof/>
          <w:sz w:val="11"/>
          <w:szCs w:val="11"/>
        </w:rPr>
        <mc:AlternateContent>
          <mc:Choice Requires="wps">
            <w:drawing>
              <wp:anchor distT="0" distB="0" distL="114300" distR="114300" simplePos="0" relativeHeight="251623424" behindDoc="0" locked="0" layoutInCell="1" allowOverlap="1" wp14:anchorId="1CC542EB" wp14:editId="2C5330BD">
                <wp:simplePos x="0" y="0"/>
                <wp:positionH relativeFrom="column">
                  <wp:posOffset>56515</wp:posOffset>
                </wp:positionH>
                <wp:positionV relativeFrom="paragraph">
                  <wp:posOffset>165100</wp:posOffset>
                </wp:positionV>
                <wp:extent cx="2828925" cy="586105"/>
                <wp:effectExtent l="0" t="0" r="3175" b="0"/>
                <wp:wrapTight wrapText="bothSides">
                  <wp:wrapPolygon edited="0">
                    <wp:start x="0" y="0"/>
                    <wp:lineTo x="0" y="21062"/>
                    <wp:lineTo x="21527" y="21062"/>
                    <wp:lineTo x="21527" y="0"/>
                    <wp:lineTo x="0" y="0"/>
                  </wp:wrapPolygon>
                </wp:wrapTight>
                <wp:docPr id="450" name="Text Box 545"/>
                <wp:cNvGraphicFramePr/>
                <a:graphic xmlns:a="http://schemas.openxmlformats.org/drawingml/2006/main">
                  <a:graphicData uri="http://schemas.microsoft.com/office/word/2010/wordprocessingShape">
                    <wps:wsp>
                      <wps:cNvSpPr txBox="1"/>
                      <wps:spPr>
                        <a:xfrm>
                          <a:off x="0" y="0"/>
                          <a:ext cx="2828925" cy="586105"/>
                        </a:xfrm>
                        <a:prstGeom prst="rect">
                          <a:avLst/>
                        </a:prstGeom>
                        <a:solidFill>
                          <a:prstClr val="white"/>
                        </a:solidFill>
                        <a:ln>
                          <a:noFill/>
                        </a:ln>
                      </wps:spPr>
                      <wps:txbx>
                        <w:txbxContent>
                          <w:p w14:paraId="42B24E40" w14:textId="1C1CB4E8" w:rsidR="00933456" w:rsidRPr="0083291D" w:rsidRDefault="00933456" w:rsidP="0083291D">
                            <w:pPr>
                              <w:pStyle w:val="Caption"/>
                            </w:pPr>
                            <w:bookmarkStart w:id="521" w:name="_Toc80120290"/>
                            <w:bookmarkStart w:id="522" w:name="_Toc80884167"/>
                            <w:bookmarkStart w:id="523" w:name="_Toc80884538"/>
                            <w:bookmarkStart w:id="524" w:name="_Toc82386390"/>
                            <w:r w:rsidRPr="0083291D">
                              <w:t>Figure 4.19:</w:t>
                            </w:r>
                            <w:r w:rsidRPr="0083291D">
                              <w:tab/>
                              <w:t>Percentage Distribution of Chicken by Type as of 1st August 2020, Mainland Tanzania</w:t>
                            </w:r>
                            <w:bookmarkEnd w:id="521"/>
                            <w:bookmarkEnd w:id="522"/>
                            <w:bookmarkEnd w:id="523"/>
                            <w:bookmarkEnd w:id="524"/>
                            <w:r w:rsidRPr="0083291D">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C542EB" id="Text Box 545" o:spid="_x0000_s1085" type="#_x0000_t202" style="position:absolute;left:0;text-align:left;margin-left:4.45pt;margin-top:13pt;width:222.75pt;height:46.1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" stroked="f">
                <v:textbox inset="0,0,0,0">
                  <w:txbxContent>
                    <w:p w14:paraId="42B24E40" w14:textId="1C1CB4E8" w:rsidR="00933456" w:rsidRPr="0083291D" w:rsidRDefault="00933456" w:rsidP="0083291D">
                      <w:pPr>
                        <w:pStyle w:val="Caption"/>
                      </w:pPr>
                      <w:bookmarkStart w:id="734" w:name="_Toc80120290"/>
                      <w:bookmarkStart w:id="735" w:name="_Toc80884167"/>
                      <w:bookmarkStart w:id="736" w:name="_Toc80884538"/>
                      <w:bookmarkStart w:id="737" w:name="_Toc82386390"/>
                      <w:r w:rsidRPr="0083291D">
                        <w:t>Figure 4.19:</w:t>
                      </w:r>
                      <w:r w:rsidRPr="0083291D">
                        <w:tab/>
                        <w:t>Percentage Distribution of Chicken by Type as of 1st August 2020, Mainland Tanzania</w:t>
                      </w:r>
                      <w:bookmarkEnd w:id="734"/>
                      <w:bookmarkEnd w:id="735"/>
                      <w:bookmarkEnd w:id="736"/>
                      <w:bookmarkEnd w:id="737"/>
                      <w:r w:rsidRPr="0083291D">
                        <w:t xml:space="preserve"> </w:t>
                      </w:r>
                    </w:p>
                  </w:txbxContent>
                </v:textbox>
                <w10:wrap type="tight"/>
              </v:shape>
            </w:pict>
          </mc:Fallback>
        </mc:AlternateContent>
      </w:r>
      <w:r w:rsidR="00F47326">
        <w:rPr>
          <w:noProof/>
          <w:sz w:val="10"/>
          <w:szCs w:val="10"/>
        </w:rPr>
        <w:drawing>
          <wp:anchor distT="0" distB="0" distL="114300" distR="114300" simplePos="0" relativeHeight="251622400" behindDoc="0" locked="0" layoutInCell="1" allowOverlap="1" wp14:anchorId="45E70FC8" wp14:editId="21953339">
            <wp:simplePos x="0" y="0"/>
            <wp:positionH relativeFrom="column">
              <wp:posOffset>57150</wp:posOffset>
            </wp:positionH>
            <wp:positionV relativeFrom="page">
              <wp:posOffset>8100695</wp:posOffset>
            </wp:positionV>
            <wp:extent cx="2758440" cy="1363980"/>
            <wp:effectExtent l="0" t="0" r="10160" b="7620"/>
            <wp:wrapTight wrapText="bothSides">
              <wp:wrapPolygon edited="0">
                <wp:start x="0" y="0"/>
                <wp:lineTo x="0" y="21520"/>
                <wp:lineTo x="21580" y="21520"/>
                <wp:lineTo x="21580" y="0"/>
                <wp:lineTo x="0" y="0"/>
              </wp:wrapPolygon>
            </wp:wrapTight>
            <wp:docPr id="448" name="Chart 5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0"/>
              </a:graphicData>
            </a:graphic>
            <wp14:sizeRelH relativeFrom="margin">
              <wp14:pctWidth>0</wp14:pctWidth>
            </wp14:sizeRelH>
            <wp14:sizeRelV relativeFrom="margin">
              <wp14:pctHeight>0</wp14:pctHeight>
            </wp14:sizeRelV>
          </wp:anchor>
        </w:drawing>
      </w:r>
      <w:r w:rsidR="00F47326" w:rsidRPr="006B42D6">
        <w:rPr>
          <w:noProof/>
          <w:sz w:val="11"/>
          <w:szCs w:val="11"/>
        </w:rPr>
        <mc:AlternateContent>
          <mc:Choice Requires="wps">
            <w:drawing>
              <wp:anchor distT="0" distB="0" distL="114300" distR="114300" simplePos="0" relativeHeight="251624448" behindDoc="0" locked="0" layoutInCell="1" allowOverlap="1" wp14:anchorId="68ECD08A" wp14:editId="73DAC4F5">
                <wp:simplePos x="0" y="0"/>
                <wp:positionH relativeFrom="column">
                  <wp:posOffset>2945130</wp:posOffset>
                </wp:positionH>
                <wp:positionV relativeFrom="paragraph">
                  <wp:posOffset>188436</wp:posOffset>
                </wp:positionV>
                <wp:extent cx="2794635" cy="531495"/>
                <wp:effectExtent l="0" t="0" r="0" b="1905"/>
                <wp:wrapTight wrapText="bothSides">
                  <wp:wrapPolygon edited="0">
                    <wp:start x="0" y="0"/>
                    <wp:lineTo x="0" y="21161"/>
                    <wp:lineTo x="21497" y="21161"/>
                    <wp:lineTo x="21497" y="0"/>
                    <wp:lineTo x="0" y="0"/>
                  </wp:wrapPolygon>
                </wp:wrapTight>
                <wp:docPr id="451" name="Text Box 546"/>
                <wp:cNvGraphicFramePr/>
                <a:graphic xmlns:a="http://schemas.openxmlformats.org/drawingml/2006/main">
                  <a:graphicData uri="http://schemas.microsoft.com/office/word/2010/wordprocessingShape">
                    <wps:wsp>
                      <wps:cNvSpPr txBox="1"/>
                      <wps:spPr>
                        <a:xfrm>
                          <a:off x="0" y="0"/>
                          <a:ext cx="2794635" cy="531495"/>
                        </a:xfrm>
                        <a:prstGeom prst="rect">
                          <a:avLst/>
                        </a:prstGeom>
                        <a:solidFill>
                          <a:prstClr val="white"/>
                        </a:solidFill>
                        <a:ln>
                          <a:noFill/>
                        </a:ln>
                      </wps:spPr>
                      <wps:txbx>
                        <w:txbxContent>
                          <w:p w14:paraId="155CE2FF" w14:textId="1A4B0770" w:rsidR="00933456" w:rsidRPr="0083291D" w:rsidRDefault="00933456" w:rsidP="0083291D">
                            <w:pPr>
                              <w:pStyle w:val="Caption"/>
                            </w:pPr>
                            <w:bookmarkStart w:id="525" w:name="_Toc80120291"/>
                            <w:bookmarkStart w:id="526" w:name="_Toc80884166"/>
                            <w:bookmarkStart w:id="527" w:name="_Toc80884537"/>
                            <w:bookmarkStart w:id="528" w:name="_Toc82386391"/>
                            <w:r w:rsidRPr="0083291D">
                              <w:t>Figure 4.20:</w:t>
                            </w:r>
                            <w:r w:rsidRPr="0083291D">
                              <w:tab/>
                              <w:t>Percentage Distribution of Chicken by Type as of 1st August 2020, Tanzania Zanzibar</w:t>
                            </w:r>
                            <w:bookmarkEnd w:id="525"/>
                            <w:bookmarkEnd w:id="526"/>
                            <w:bookmarkEnd w:id="527"/>
                            <w:bookmarkEnd w:id="52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ECD08A" id="Text Box 546" o:spid="_x0000_s1086" type="#_x0000_t202" style="position:absolute;left:0;text-align:left;margin-left:231.9pt;margin-top:14.85pt;width:220.05pt;height:41.8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" stroked="f">
                <v:textbox inset="0,0,0,0">
                  <w:txbxContent>
                    <w:p w14:paraId="155CE2FF" w14:textId="1A4B0770" w:rsidR="00933456" w:rsidRPr="0083291D" w:rsidRDefault="00933456" w:rsidP="0083291D">
                      <w:pPr>
                        <w:pStyle w:val="Caption"/>
                      </w:pPr>
                      <w:bookmarkStart w:id="742" w:name="_Toc80120291"/>
                      <w:bookmarkStart w:id="743" w:name="_Toc80884166"/>
                      <w:bookmarkStart w:id="744" w:name="_Toc80884537"/>
                      <w:bookmarkStart w:id="745" w:name="_Toc82386391"/>
                      <w:r w:rsidRPr="0083291D">
                        <w:t>Figure 4.20:</w:t>
                      </w:r>
                      <w:r w:rsidRPr="0083291D">
                        <w:tab/>
                        <w:t>Percentage Distribution of Chicken by Type as of 1st August 2020, Tanzania Zanzibar</w:t>
                      </w:r>
                      <w:bookmarkEnd w:id="742"/>
                      <w:bookmarkEnd w:id="743"/>
                      <w:bookmarkEnd w:id="744"/>
                      <w:bookmarkEnd w:id="745"/>
                    </w:p>
                  </w:txbxContent>
                </v:textbox>
                <w10:wrap type="tight"/>
              </v:shape>
            </w:pict>
          </mc:Fallback>
        </mc:AlternateContent>
      </w:r>
    </w:p>
    <w:p w14:paraId="2BBBD3F3" w14:textId="1486548D" w:rsidR="008B193B" w:rsidRDefault="008B193B">
      <w:pPr>
        <w:spacing w:line="240" w:lineRule="auto"/>
        <w:contextualSpacing w:val="0"/>
        <w:jc w:val="left"/>
        <w:rPr>
          <w:b/>
          <w:iCs/>
          <w:color w:val="000000" w:themeColor="text1"/>
          <w:sz w:val="20"/>
          <w:szCs w:val="18"/>
          <w:lang w:val="en-GB"/>
        </w:rPr>
      </w:pPr>
      <w:r>
        <w:rPr>
          <w:lang w:val="en-GB"/>
        </w:rPr>
        <w:br w:type="page"/>
      </w:r>
    </w:p>
    <w:p w14:paraId="2401C411" w14:textId="4C965EB9" w:rsidR="00A83340" w:rsidRPr="006B42D6" w:rsidRDefault="00A83340" w:rsidP="00ED4429">
      <w:pPr>
        <w:pStyle w:val="MapNew"/>
        <w:rPr>
          <w:lang w:val="en-GB"/>
        </w:rPr>
      </w:pPr>
      <w:bookmarkStart w:id="529" w:name="_Toc80902560"/>
      <w:bookmarkStart w:id="530" w:name="_Toc82386478"/>
      <w:r w:rsidRPr="006B42D6">
        <w:rPr>
          <w:lang w:val="en-GB"/>
        </w:rPr>
        <w:lastRenderedPageBreak/>
        <w:t xml:space="preserve">Map </w:t>
      </w:r>
      <w:r w:rsidR="008E531F" w:rsidRPr="006B42D6">
        <w:rPr>
          <w:lang w:val="en-GB"/>
        </w:rPr>
        <w:t>4.5</w:t>
      </w:r>
      <w:r w:rsidR="008B193B">
        <w:rPr>
          <w:lang w:val="en-GB"/>
        </w:rPr>
        <w:t>:</w:t>
      </w:r>
      <w:r w:rsidR="00ED4429">
        <w:rPr>
          <w:lang w:val="en-GB"/>
        </w:rPr>
        <w:tab/>
      </w:r>
      <w:r w:rsidRPr="006B42D6">
        <w:rPr>
          <w:lang w:val="en-GB"/>
        </w:rPr>
        <w:t xml:space="preserve">Chicken Population </w:t>
      </w:r>
      <w:r w:rsidR="00D60716" w:rsidRPr="00D60716">
        <w:rPr>
          <w:bCs/>
        </w:rPr>
        <w:t>Reported by Smallholders by Region</w:t>
      </w:r>
      <w:r w:rsidRPr="006B42D6">
        <w:rPr>
          <w:lang w:val="en-GB"/>
        </w:rPr>
        <w:t xml:space="preserve"> as of 1</w:t>
      </w:r>
      <w:r w:rsidRPr="006B42D6">
        <w:rPr>
          <w:vertAlign w:val="superscript"/>
          <w:lang w:val="en-GB"/>
        </w:rPr>
        <w:t>st</w:t>
      </w:r>
      <w:r w:rsidRPr="006B42D6">
        <w:rPr>
          <w:lang w:val="en-GB"/>
        </w:rPr>
        <w:t xml:space="preserve"> August 2020</w:t>
      </w:r>
      <w:r w:rsidR="000D4D71" w:rsidRPr="006B42D6">
        <w:rPr>
          <w:lang w:val="en-GB"/>
        </w:rPr>
        <w:t>, Tanzania</w:t>
      </w:r>
      <w:bookmarkEnd w:id="529"/>
      <w:bookmarkEnd w:id="530"/>
    </w:p>
    <w:p w14:paraId="2AC0F546" w14:textId="5F4F1691" w:rsidR="00A83340" w:rsidRDefault="00F00389" w:rsidP="00F16205">
      <w:pPr>
        <w:ind w:left="-142"/>
        <w:rPr>
          <w:lang w:val="en-GB"/>
        </w:rPr>
      </w:pPr>
      <w:r>
        <w:rPr>
          <w:noProof/>
        </w:rPr>
        <w:drawing>
          <wp:inline distT="0" distB="0" distL="0" distR="0" wp14:anchorId="78219B34" wp14:editId="059E730D">
            <wp:extent cx="5727700" cy="3953405"/>
            <wp:effectExtent l="0" t="0" r="0" b="0"/>
            <wp:docPr id="4345" name="Picture 4345"/>
            <wp:cNvGraphicFramePr/>
            <a:graphic xmlns:a="http://schemas.openxmlformats.org/drawingml/2006/main">
              <a:graphicData uri="http://schemas.openxmlformats.org/drawingml/2006/picture">
                <pic:pic xmlns:pic="http://schemas.openxmlformats.org/drawingml/2006/picture">
                  <pic:nvPicPr>
                    <pic:cNvPr id="4345" name="Picture 4345"/>
                    <pic:cNvPicPr/>
                  </pic:nvPicPr>
                  <pic:blipFill>
                    <a:blip r:embed="rId271"/>
                    <a:stretch>
                      <a:fillRect/>
                    </a:stretch>
                  </pic:blipFill>
                  <pic:spPr>
                    <a:xfrm>
                      <a:off x="0" y="0"/>
                      <a:ext cx="5727700" cy="3953405"/>
                    </a:xfrm>
                    <a:prstGeom prst="rect">
                      <a:avLst/>
                    </a:prstGeom>
                  </pic:spPr>
                </pic:pic>
              </a:graphicData>
            </a:graphic>
          </wp:inline>
        </w:drawing>
      </w:r>
    </w:p>
    <w:p w14:paraId="44AAA961" w14:textId="77777777" w:rsidR="008B193B" w:rsidRPr="006B42D6" w:rsidRDefault="008B193B" w:rsidP="008B193B">
      <w:pPr>
        <w:spacing w:line="240" w:lineRule="auto"/>
        <w:rPr>
          <w:lang w:val="en-GB"/>
        </w:rPr>
      </w:pPr>
    </w:p>
    <w:p w14:paraId="34FA14D9" w14:textId="27A320CE" w:rsidR="007E3A7E" w:rsidRPr="006B42D6" w:rsidRDefault="007E3A7E" w:rsidP="00ED4429">
      <w:pPr>
        <w:rPr>
          <w:lang w:val="en-GB"/>
        </w:rPr>
      </w:pPr>
      <w:r w:rsidRPr="006B42D6">
        <w:rPr>
          <w:lang w:val="en-GB"/>
        </w:rPr>
        <w:t xml:space="preserve">Furthermore, majority of the smallholder farmers in Tanzania </w:t>
      </w:r>
      <w:r w:rsidR="00233206" w:rsidRPr="006B42D6">
        <w:rPr>
          <w:lang w:val="en-GB"/>
        </w:rPr>
        <w:t>raised</w:t>
      </w:r>
      <w:r w:rsidRPr="006B42D6">
        <w:rPr>
          <w:lang w:val="en-GB"/>
        </w:rPr>
        <w:t xml:space="preserve"> 1 to 49 chicken</w:t>
      </w:r>
      <w:r w:rsidR="00A0481E" w:rsidRPr="006B42D6">
        <w:rPr>
          <w:lang w:val="en-GB"/>
        </w:rPr>
        <w:t xml:space="preserve">, </w:t>
      </w:r>
      <w:r w:rsidRPr="006B42D6">
        <w:rPr>
          <w:lang w:val="en-GB"/>
        </w:rPr>
        <w:t>which</w:t>
      </w:r>
      <w:r w:rsidR="00381178" w:rsidRPr="006B42D6">
        <w:rPr>
          <w:lang w:val="en-GB"/>
        </w:rPr>
        <w:t xml:space="preserve"> is equivalent to</w:t>
      </w:r>
      <w:r w:rsidRPr="006B42D6">
        <w:rPr>
          <w:lang w:val="en-GB"/>
        </w:rPr>
        <w:t xml:space="preserve"> 95.2 percent of the total households rearing chicken</w:t>
      </w:r>
      <w:r w:rsidR="00381178" w:rsidRPr="006B42D6">
        <w:rPr>
          <w:lang w:val="en-GB"/>
        </w:rPr>
        <w:t xml:space="preserve"> </w:t>
      </w:r>
      <w:r w:rsidR="00A0481E" w:rsidRPr="006B42D6">
        <w:rPr>
          <w:lang w:val="en-GB"/>
        </w:rPr>
        <w:t>(an</w:t>
      </w:r>
      <w:r w:rsidRPr="006B42D6">
        <w:rPr>
          <w:lang w:val="en-GB"/>
        </w:rPr>
        <w:t xml:space="preserve"> average of 1</w:t>
      </w:r>
      <w:r w:rsidR="00A0481E" w:rsidRPr="006B42D6">
        <w:rPr>
          <w:lang w:val="en-GB"/>
        </w:rPr>
        <w:t>3</w:t>
      </w:r>
      <w:r w:rsidRPr="006B42D6">
        <w:rPr>
          <w:lang w:val="en-GB"/>
        </w:rPr>
        <w:t xml:space="preserve"> chicken per household</w:t>
      </w:r>
      <w:r w:rsidR="00381178" w:rsidRPr="006B42D6">
        <w:rPr>
          <w:lang w:val="en-GB"/>
        </w:rPr>
        <w:t>).</w:t>
      </w:r>
      <w:r w:rsidRPr="006B42D6">
        <w:rPr>
          <w:lang w:val="en-GB"/>
        </w:rPr>
        <w:t xml:space="preserve"> Only 0.04 percent of households kept over 700 chicken with an average of 2,289 chicken per household</w:t>
      </w:r>
      <w:r w:rsidR="00A71F69">
        <w:rPr>
          <w:lang w:val="en-GB"/>
        </w:rPr>
        <w:t>,</w:t>
      </w:r>
      <w:r w:rsidRPr="006B42D6">
        <w:rPr>
          <w:lang w:val="en-GB"/>
        </w:rPr>
        <w:t xml:space="preserve"> whereas the national average number of </w:t>
      </w:r>
      <w:r w:rsidR="00A0481E" w:rsidRPr="006B42D6">
        <w:rPr>
          <w:lang w:val="en-GB"/>
        </w:rPr>
        <w:t>chickens</w:t>
      </w:r>
      <w:r w:rsidRPr="006B42D6">
        <w:rPr>
          <w:lang w:val="en-GB"/>
        </w:rPr>
        <w:t xml:space="preserve"> per household was 1</w:t>
      </w:r>
      <w:r w:rsidR="00A0481E" w:rsidRPr="006B42D6">
        <w:rPr>
          <w:lang w:val="en-GB"/>
        </w:rPr>
        <w:t>8</w:t>
      </w:r>
      <w:r w:rsidRPr="006B42D6">
        <w:rPr>
          <w:lang w:val="en-GB"/>
        </w:rPr>
        <w:t xml:space="preserve"> (Table </w:t>
      </w:r>
      <w:r w:rsidR="000A0DBF" w:rsidRPr="006B42D6">
        <w:rPr>
          <w:lang w:val="en-GB"/>
        </w:rPr>
        <w:t>4.</w:t>
      </w:r>
      <w:r w:rsidR="00BF7C79" w:rsidRPr="006B42D6">
        <w:rPr>
          <w:lang w:val="en-GB"/>
        </w:rPr>
        <w:t>3</w:t>
      </w:r>
      <w:r w:rsidRPr="006B42D6">
        <w:rPr>
          <w:lang w:val="en-GB"/>
        </w:rPr>
        <w:t>)</w:t>
      </w:r>
      <w:r w:rsidR="00A0481E" w:rsidRPr="006B42D6">
        <w:rPr>
          <w:lang w:val="en-GB"/>
        </w:rPr>
        <w:t>.</w:t>
      </w:r>
    </w:p>
    <w:p w14:paraId="78FE9C00" w14:textId="77777777" w:rsidR="007E3A7E" w:rsidRPr="006B42D6" w:rsidRDefault="007E3A7E" w:rsidP="00D141C3">
      <w:pPr>
        <w:spacing w:line="240" w:lineRule="auto"/>
        <w:rPr>
          <w:b/>
          <w:lang w:val="en-GB"/>
        </w:rPr>
      </w:pPr>
    </w:p>
    <w:p w14:paraId="37B471BA" w14:textId="6230C0BC" w:rsidR="007E3A7E" w:rsidRPr="006B42D6" w:rsidRDefault="007E3A7E" w:rsidP="00F16205">
      <w:pPr>
        <w:pStyle w:val="Heading7"/>
        <w:ind w:right="1134"/>
        <w:rPr>
          <w:lang w:val="en-GB"/>
        </w:rPr>
      </w:pPr>
      <w:bookmarkStart w:id="531" w:name="_Toc82386211"/>
      <w:r w:rsidRPr="006B42D6">
        <w:rPr>
          <w:lang w:val="en-GB"/>
        </w:rPr>
        <w:t xml:space="preserve">Table </w:t>
      </w:r>
      <w:r w:rsidR="008E531F" w:rsidRPr="006B42D6">
        <w:rPr>
          <w:lang w:val="en-GB"/>
        </w:rPr>
        <w:t>4.</w:t>
      </w:r>
      <w:r w:rsidR="00A0481E" w:rsidRPr="006B42D6">
        <w:rPr>
          <w:lang w:val="en-GB"/>
        </w:rPr>
        <w:t>3</w:t>
      </w:r>
      <w:r w:rsidR="008B193B">
        <w:rPr>
          <w:lang w:val="en-GB"/>
        </w:rPr>
        <w:t>:</w:t>
      </w:r>
      <w:r w:rsidR="00ED4429">
        <w:rPr>
          <w:lang w:val="en-GB"/>
        </w:rPr>
        <w:tab/>
      </w:r>
      <w:r w:rsidRPr="006B42D6">
        <w:rPr>
          <w:lang w:val="en-GB"/>
        </w:rPr>
        <w:t>Number of Agricultural Households Rearing Chicken and Number of Chicken by Flock Size</w:t>
      </w:r>
      <w:r w:rsidR="00BF7C79" w:rsidRPr="006B42D6">
        <w:rPr>
          <w:lang w:val="en-GB"/>
        </w:rPr>
        <w:t xml:space="preserve"> as of 1</w:t>
      </w:r>
      <w:r w:rsidR="00BF7C79" w:rsidRPr="006B42D6">
        <w:rPr>
          <w:vertAlign w:val="superscript"/>
          <w:lang w:val="en-GB"/>
        </w:rPr>
        <w:t>st</w:t>
      </w:r>
      <w:r w:rsidR="00BF7C79" w:rsidRPr="006B42D6">
        <w:rPr>
          <w:lang w:val="en-GB"/>
        </w:rPr>
        <w:t xml:space="preserve"> August 2020</w:t>
      </w:r>
      <w:r w:rsidR="000A0DBF" w:rsidRPr="006B42D6">
        <w:rPr>
          <w:lang w:val="en-GB"/>
        </w:rPr>
        <w:t xml:space="preserve">, </w:t>
      </w:r>
      <w:r w:rsidRPr="006B42D6">
        <w:rPr>
          <w:lang w:val="en-GB"/>
        </w:rPr>
        <w:t>Tanzania</w:t>
      </w:r>
      <w:bookmarkEnd w:id="531"/>
      <w:r w:rsidRPr="006B42D6">
        <w:rPr>
          <w:lang w:val="en-GB"/>
        </w:rPr>
        <w:t xml:space="preserve"> </w:t>
      </w:r>
    </w:p>
    <w:tbl>
      <w:tblPr>
        <w:tblW w:w="4320" w:type="pct"/>
        <w:tblLook w:val="04A0" w:firstRow="1" w:lastRow="0" w:firstColumn="1" w:lastColumn="0" w:noHBand="0" w:noVBand="1"/>
      </w:tblPr>
      <w:tblGrid>
        <w:gridCol w:w="1450"/>
        <w:gridCol w:w="1677"/>
        <w:gridCol w:w="1727"/>
        <w:gridCol w:w="1350"/>
        <w:gridCol w:w="1776"/>
      </w:tblGrid>
      <w:tr w:rsidR="008B193B" w:rsidRPr="006B42D6" w14:paraId="6CF9BE57" w14:textId="77777777" w:rsidTr="00F16205">
        <w:trPr>
          <w:trHeight w:val="181"/>
        </w:trPr>
        <w:tc>
          <w:tcPr>
            <w:tcW w:w="908" w:type="pct"/>
            <w:vMerge w:val="restart"/>
            <w:tcBorders>
              <w:top w:val="single" w:sz="4" w:space="0" w:color="auto"/>
              <w:left w:val="nil"/>
              <w:bottom w:val="single" w:sz="4" w:space="0" w:color="000000"/>
              <w:right w:val="nil"/>
            </w:tcBorders>
            <w:shd w:val="clear" w:color="auto" w:fill="E2EFD9" w:themeFill="accent6" w:themeFillTint="33"/>
            <w:vAlign w:val="center"/>
            <w:hideMark/>
          </w:tcPr>
          <w:p w14:paraId="207BC6C9" w14:textId="4EC59A44" w:rsidR="008B193B" w:rsidRPr="006B42D6" w:rsidRDefault="008B193B" w:rsidP="00F47326">
            <w:pPr>
              <w:spacing w:line="276" w:lineRule="auto"/>
              <w:rPr>
                <w:sz w:val="16"/>
                <w:szCs w:val="16"/>
              </w:rPr>
            </w:pPr>
            <w:r w:rsidRPr="006B42D6">
              <w:rPr>
                <w:sz w:val="16"/>
                <w:szCs w:val="16"/>
              </w:rPr>
              <w:t xml:space="preserve">Flock </w:t>
            </w:r>
            <w:r w:rsidR="00F16205">
              <w:rPr>
                <w:sz w:val="16"/>
                <w:szCs w:val="16"/>
              </w:rPr>
              <w:t>S</w:t>
            </w:r>
            <w:r w:rsidRPr="006B42D6">
              <w:rPr>
                <w:sz w:val="16"/>
                <w:szCs w:val="16"/>
              </w:rPr>
              <w:t>ize</w:t>
            </w:r>
          </w:p>
        </w:tc>
        <w:tc>
          <w:tcPr>
            <w:tcW w:w="2133" w:type="pct"/>
            <w:gridSpan w:val="2"/>
            <w:tcBorders>
              <w:top w:val="single" w:sz="4" w:space="0" w:color="auto"/>
              <w:left w:val="single" w:sz="4" w:space="0" w:color="auto"/>
              <w:bottom w:val="nil"/>
              <w:right w:val="single" w:sz="4" w:space="0" w:color="000000"/>
            </w:tcBorders>
            <w:shd w:val="clear" w:color="auto" w:fill="E2EFD9" w:themeFill="accent6" w:themeFillTint="33"/>
            <w:vAlign w:val="center"/>
            <w:hideMark/>
          </w:tcPr>
          <w:p w14:paraId="4785DB2B" w14:textId="18ACA778" w:rsidR="008B193B" w:rsidRPr="006B42D6" w:rsidRDefault="008B193B" w:rsidP="00F47326">
            <w:pPr>
              <w:spacing w:line="276" w:lineRule="auto"/>
              <w:jc w:val="center"/>
              <w:rPr>
                <w:sz w:val="16"/>
                <w:szCs w:val="16"/>
              </w:rPr>
            </w:pPr>
            <w:r w:rsidRPr="006B42D6">
              <w:rPr>
                <w:sz w:val="16"/>
                <w:szCs w:val="16"/>
              </w:rPr>
              <w:t xml:space="preserve">Chicken </w:t>
            </w:r>
            <w:r w:rsidR="00F16205">
              <w:rPr>
                <w:sz w:val="16"/>
                <w:szCs w:val="16"/>
              </w:rPr>
              <w:t>R</w:t>
            </w:r>
            <w:r w:rsidRPr="006B42D6">
              <w:rPr>
                <w:sz w:val="16"/>
                <w:szCs w:val="16"/>
              </w:rPr>
              <w:t>earing Households</w:t>
            </w:r>
          </w:p>
        </w:tc>
        <w:tc>
          <w:tcPr>
            <w:tcW w:w="846" w:type="pct"/>
            <w:vMerge w:val="restart"/>
            <w:tcBorders>
              <w:top w:val="single" w:sz="4" w:space="0" w:color="auto"/>
              <w:left w:val="nil"/>
              <w:right w:val="nil"/>
            </w:tcBorders>
            <w:shd w:val="clear" w:color="auto" w:fill="E2EFD9" w:themeFill="accent6" w:themeFillTint="33"/>
            <w:vAlign w:val="center"/>
            <w:hideMark/>
          </w:tcPr>
          <w:p w14:paraId="7535EBC4" w14:textId="546863EE" w:rsidR="008B193B" w:rsidRPr="006B42D6" w:rsidRDefault="008B193B" w:rsidP="00F47326">
            <w:pPr>
              <w:spacing w:line="276" w:lineRule="auto"/>
              <w:jc w:val="center"/>
              <w:rPr>
                <w:sz w:val="16"/>
                <w:szCs w:val="16"/>
              </w:rPr>
            </w:pPr>
            <w:r w:rsidRPr="006B42D6">
              <w:rPr>
                <w:sz w:val="16"/>
                <w:szCs w:val="16"/>
              </w:rPr>
              <w:t>Number of Chicken</w:t>
            </w:r>
          </w:p>
        </w:tc>
        <w:tc>
          <w:tcPr>
            <w:tcW w:w="1113" w:type="pct"/>
            <w:vMerge w:val="restart"/>
            <w:tcBorders>
              <w:top w:val="single" w:sz="4" w:space="0" w:color="auto"/>
              <w:left w:val="nil"/>
              <w:right w:val="nil"/>
            </w:tcBorders>
            <w:shd w:val="clear" w:color="auto" w:fill="E2EFD9" w:themeFill="accent6" w:themeFillTint="33"/>
            <w:vAlign w:val="center"/>
            <w:hideMark/>
          </w:tcPr>
          <w:p w14:paraId="30A2B4AB" w14:textId="311A412E" w:rsidR="008B193B" w:rsidRPr="006B42D6" w:rsidRDefault="008B193B" w:rsidP="00F47326">
            <w:pPr>
              <w:spacing w:line="276" w:lineRule="auto"/>
              <w:jc w:val="center"/>
              <w:rPr>
                <w:sz w:val="16"/>
                <w:szCs w:val="16"/>
              </w:rPr>
            </w:pPr>
            <w:r w:rsidRPr="006B42D6">
              <w:rPr>
                <w:sz w:val="16"/>
                <w:szCs w:val="16"/>
              </w:rPr>
              <w:t xml:space="preserve">Average </w:t>
            </w:r>
            <w:r w:rsidR="00F16205">
              <w:rPr>
                <w:sz w:val="16"/>
                <w:szCs w:val="16"/>
              </w:rPr>
              <w:t>C</w:t>
            </w:r>
            <w:r w:rsidRPr="006B42D6">
              <w:rPr>
                <w:sz w:val="16"/>
                <w:szCs w:val="16"/>
              </w:rPr>
              <w:t xml:space="preserve">hicken per </w:t>
            </w:r>
            <w:r w:rsidR="00F16205">
              <w:rPr>
                <w:sz w:val="16"/>
                <w:szCs w:val="16"/>
              </w:rPr>
              <w:t>H</w:t>
            </w:r>
            <w:r w:rsidRPr="006B42D6">
              <w:rPr>
                <w:sz w:val="16"/>
                <w:szCs w:val="16"/>
              </w:rPr>
              <w:t>ousehold</w:t>
            </w:r>
          </w:p>
        </w:tc>
      </w:tr>
      <w:tr w:rsidR="008B193B" w:rsidRPr="006B42D6" w14:paraId="25B7A805" w14:textId="77777777" w:rsidTr="00F16205">
        <w:trPr>
          <w:trHeight w:val="258"/>
        </w:trPr>
        <w:tc>
          <w:tcPr>
            <w:tcW w:w="908" w:type="pct"/>
            <w:vMerge/>
            <w:tcBorders>
              <w:top w:val="single" w:sz="4" w:space="0" w:color="auto"/>
              <w:left w:val="nil"/>
              <w:bottom w:val="single" w:sz="4" w:space="0" w:color="000000"/>
              <w:right w:val="nil"/>
            </w:tcBorders>
            <w:shd w:val="clear" w:color="auto" w:fill="E2EFD9" w:themeFill="accent6" w:themeFillTint="33"/>
            <w:vAlign w:val="center"/>
            <w:hideMark/>
          </w:tcPr>
          <w:p w14:paraId="4407EE9D" w14:textId="77777777" w:rsidR="008B193B" w:rsidRPr="006B42D6" w:rsidRDefault="008B193B" w:rsidP="007E3A7E">
            <w:pPr>
              <w:rPr>
                <w:sz w:val="16"/>
                <w:szCs w:val="16"/>
              </w:rPr>
            </w:pPr>
          </w:p>
        </w:tc>
        <w:tc>
          <w:tcPr>
            <w:tcW w:w="1051" w:type="pct"/>
            <w:tcBorders>
              <w:top w:val="single" w:sz="4" w:space="0" w:color="auto"/>
              <w:left w:val="single" w:sz="4" w:space="0" w:color="auto"/>
              <w:bottom w:val="single" w:sz="4" w:space="0" w:color="auto"/>
              <w:right w:val="nil"/>
            </w:tcBorders>
            <w:shd w:val="clear" w:color="auto" w:fill="E2EFD9" w:themeFill="accent6" w:themeFillTint="33"/>
            <w:vAlign w:val="center"/>
            <w:hideMark/>
          </w:tcPr>
          <w:p w14:paraId="7F59E329" w14:textId="7E387A68" w:rsidR="008B193B" w:rsidRPr="006B42D6" w:rsidRDefault="008B193B" w:rsidP="00F16205">
            <w:pPr>
              <w:jc w:val="center"/>
              <w:rPr>
                <w:sz w:val="16"/>
                <w:szCs w:val="16"/>
              </w:rPr>
            </w:pPr>
            <w:r w:rsidRPr="006B42D6">
              <w:rPr>
                <w:sz w:val="16"/>
                <w:szCs w:val="16"/>
              </w:rPr>
              <w:t>Number</w:t>
            </w:r>
          </w:p>
        </w:tc>
        <w:tc>
          <w:tcPr>
            <w:tcW w:w="1082" w:type="pct"/>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66C8BD7" w14:textId="58AEA98A" w:rsidR="008B193B" w:rsidRPr="006B42D6" w:rsidRDefault="008B193B" w:rsidP="00F16205">
            <w:pPr>
              <w:jc w:val="center"/>
              <w:rPr>
                <w:sz w:val="16"/>
                <w:szCs w:val="16"/>
              </w:rPr>
            </w:pPr>
            <w:r w:rsidRPr="006B42D6">
              <w:rPr>
                <w:sz w:val="16"/>
                <w:szCs w:val="16"/>
              </w:rPr>
              <w:t>Percent</w:t>
            </w:r>
          </w:p>
        </w:tc>
        <w:tc>
          <w:tcPr>
            <w:tcW w:w="846" w:type="pct"/>
            <w:vMerge/>
            <w:tcBorders>
              <w:left w:val="nil"/>
              <w:bottom w:val="single" w:sz="4" w:space="0" w:color="000000"/>
              <w:right w:val="nil"/>
            </w:tcBorders>
            <w:shd w:val="clear" w:color="auto" w:fill="E2EFD9" w:themeFill="accent6" w:themeFillTint="33"/>
            <w:vAlign w:val="center"/>
            <w:hideMark/>
          </w:tcPr>
          <w:p w14:paraId="7D3D78F7" w14:textId="77777777" w:rsidR="008B193B" w:rsidRPr="006B42D6" w:rsidRDefault="008B193B" w:rsidP="008B193B">
            <w:pPr>
              <w:jc w:val="center"/>
              <w:rPr>
                <w:sz w:val="16"/>
                <w:szCs w:val="16"/>
              </w:rPr>
            </w:pPr>
          </w:p>
        </w:tc>
        <w:tc>
          <w:tcPr>
            <w:tcW w:w="1113" w:type="pct"/>
            <w:vMerge/>
            <w:tcBorders>
              <w:left w:val="nil"/>
              <w:bottom w:val="single" w:sz="4" w:space="0" w:color="000000"/>
              <w:right w:val="nil"/>
            </w:tcBorders>
            <w:shd w:val="clear" w:color="auto" w:fill="E2EFD9" w:themeFill="accent6" w:themeFillTint="33"/>
            <w:vAlign w:val="center"/>
            <w:hideMark/>
          </w:tcPr>
          <w:p w14:paraId="3A568EF9" w14:textId="77777777" w:rsidR="008B193B" w:rsidRPr="006B42D6" w:rsidRDefault="008B193B" w:rsidP="008B193B">
            <w:pPr>
              <w:jc w:val="center"/>
              <w:rPr>
                <w:sz w:val="16"/>
                <w:szCs w:val="16"/>
              </w:rPr>
            </w:pPr>
          </w:p>
        </w:tc>
      </w:tr>
      <w:tr w:rsidR="008B193B" w:rsidRPr="006B42D6" w14:paraId="583B74A0" w14:textId="77777777" w:rsidTr="008B193B">
        <w:trPr>
          <w:trHeight w:val="298"/>
        </w:trPr>
        <w:tc>
          <w:tcPr>
            <w:tcW w:w="908" w:type="pct"/>
            <w:tcBorders>
              <w:top w:val="nil"/>
              <w:left w:val="nil"/>
              <w:bottom w:val="nil"/>
              <w:right w:val="nil"/>
            </w:tcBorders>
            <w:shd w:val="clear" w:color="auto" w:fill="auto"/>
            <w:hideMark/>
          </w:tcPr>
          <w:p w14:paraId="11B59F30" w14:textId="035C1479" w:rsidR="007E3A7E" w:rsidRPr="006B42D6" w:rsidRDefault="007E3A7E" w:rsidP="009D1D40">
            <w:pPr>
              <w:rPr>
                <w:sz w:val="16"/>
                <w:szCs w:val="16"/>
              </w:rPr>
            </w:pPr>
            <w:r w:rsidRPr="006B42D6">
              <w:rPr>
                <w:sz w:val="16"/>
                <w:szCs w:val="16"/>
              </w:rPr>
              <w:t>1-49</w:t>
            </w:r>
          </w:p>
        </w:tc>
        <w:tc>
          <w:tcPr>
            <w:tcW w:w="1051" w:type="pct"/>
            <w:tcBorders>
              <w:top w:val="nil"/>
              <w:left w:val="single" w:sz="4" w:space="0" w:color="auto"/>
              <w:bottom w:val="nil"/>
              <w:right w:val="nil"/>
            </w:tcBorders>
            <w:shd w:val="clear" w:color="auto" w:fill="auto"/>
            <w:noWrap/>
            <w:vAlign w:val="center"/>
            <w:hideMark/>
          </w:tcPr>
          <w:p w14:paraId="7FA89FF8" w14:textId="0431F820" w:rsidR="007E3A7E" w:rsidRPr="006B42D6" w:rsidRDefault="007E3A7E" w:rsidP="008B193B">
            <w:pPr>
              <w:jc w:val="center"/>
              <w:rPr>
                <w:sz w:val="16"/>
                <w:szCs w:val="16"/>
              </w:rPr>
            </w:pPr>
            <w:r w:rsidRPr="006B42D6">
              <w:rPr>
                <w:sz w:val="16"/>
                <w:szCs w:val="16"/>
              </w:rPr>
              <w:t>4,132,024</w:t>
            </w:r>
          </w:p>
        </w:tc>
        <w:tc>
          <w:tcPr>
            <w:tcW w:w="1082" w:type="pct"/>
            <w:tcBorders>
              <w:top w:val="nil"/>
              <w:left w:val="nil"/>
              <w:bottom w:val="nil"/>
              <w:right w:val="single" w:sz="4" w:space="0" w:color="auto"/>
            </w:tcBorders>
            <w:shd w:val="clear" w:color="auto" w:fill="auto"/>
            <w:noWrap/>
            <w:vAlign w:val="center"/>
            <w:hideMark/>
          </w:tcPr>
          <w:p w14:paraId="030DDB64" w14:textId="3FD8FAC8" w:rsidR="007E3A7E" w:rsidRPr="006B42D6" w:rsidRDefault="007E3A7E" w:rsidP="008B193B">
            <w:pPr>
              <w:jc w:val="center"/>
              <w:rPr>
                <w:sz w:val="16"/>
                <w:szCs w:val="16"/>
              </w:rPr>
            </w:pPr>
            <w:r w:rsidRPr="006B42D6">
              <w:rPr>
                <w:sz w:val="16"/>
                <w:szCs w:val="16"/>
              </w:rPr>
              <w:t>95.2</w:t>
            </w:r>
          </w:p>
        </w:tc>
        <w:tc>
          <w:tcPr>
            <w:tcW w:w="846" w:type="pct"/>
            <w:tcBorders>
              <w:top w:val="nil"/>
              <w:left w:val="nil"/>
              <w:bottom w:val="nil"/>
              <w:right w:val="nil"/>
            </w:tcBorders>
            <w:shd w:val="clear" w:color="auto" w:fill="auto"/>
            <w:noWrap/>
            <w:vAlign w:val="center"/>
            <w:hideMark/>
          </w:tcPr>
          <w:p w14:paraId="45A64D31" w14:textId="2DD98186" w:rsidR="007E3A7E" w:rsidRPr="006B42D6" w:rsidRDefault="007E3A7E" w:rsidP="008B193B">
            <w:pPr>
              <w:jc w:val="center"/>
              <w:rPr>
                <w:sz w:val="16"/>
                <w:szCs w:val="16"/>
              </w:rPr>
            </w:pPr>
            <w:r w:rsidRPr="006B42D6">
              <w:rPr>
                <w:sz w:val="16"/>
                <w:szCs w:val="16"/>
              </w:rPr>
              <w:t>50,947,564</w:t>
            </w:r>
          </w:p>
        </w:tc>
        <w:tc>
          <w:tcPr>
            <w:tcW w:w="1113" w:type="pct"/>
            <w:tcBorders>
              <w:top w:val="nil"/>
              <w:left w:val="nil"/>
              <w:bottom w:val="nil"/>
              <w:right w:val="nil"/>
            </w:tcBorders>
            <w:shd w:val="clear" w:color="auto" w:fill="auto"/>
            <w:noWrap/>
            <w:vAlign w:val="center"/>
            <w:hideMark/>
          </w:tcPr>
          <w:p w14:paraId="17EC1DAF" w14:textId="2B2F8459" w:rsidR="007E3A7E" w:rsidRPr="006B42D6" w:rsidRDefault="007E3A7E" w:rsidP="008B193B">
            <w:pPr>
              <w:jc w:val="center"/>
              <w:rPr>
                <w:sz w:val="16"/>
                <w:szCs w:val="16"/>
              </w:rPr>
            </w:pPr>
            <w:r w:rsidRPr="006B42D6">
              <w:rPr>
                <w:sz w:val="16"/>
                <w:szCs w:val="16"/>
              </w:rPr>
              <w:t>12.3</w:t>
            </w:r>
          </w:p>
        </w:tc>
      </w:tr>
      <w:tr w:rsidR="008B193B" w:rsidRPr="006B42D6" w14:paraId="2E5B7CFD" w14:textId="77777777" w:rsidTr="008B193B">
        <w:trPr>
          <w:trHeight w:val="298"/>
        </w:trPr>
        <w:tc>
          <w:tcPr>
            <w:tcW w:w="908" w:type="pct"/>
            <w:tcBorders>
              <w:top w:val="nil"/>
              <w:left w:val="nil"/>
              <w:bottom w:val="nil"/>
              <w:right w:val="nil"/>
            </w:tcBorders>
            <w:shd w:val="clear" w:color="auto" w:fill="auto"/>
            <w:hideMark/>
          </w:tcPr>
          <w:p w14:paraId="7BF604D9" w14:textId="7E8A16A8" w:rsidR="007E3A7E" w:rsidRPr="006B42D6" w:rsidRDefault="007E3A7E" w:rsidP="009D1D40">
            <w:pPr>
              <w:rPr>
                <w:sz w:val="16"/>
                <w:szCs w:val="16"/>
              </w:rPr>
            </w:pPr>
            <w:r w:rsidRPr="006B42D6">
              <w:rPr>
                <w:sz w:val="16"/>
                <w:szCs w:val="16"/>
              </w:rPr>
              <w:t>50-99</w:t>
            </w:r>
          </w:p>
        </w:tc>
        <w:tc>
          <w:tcPr>
            <w:tcW w:w="1051" w:type="pct"/>
            <w:tcBorders>
              <w:top w:val="nil"/>
              <w:left w:val="single" w:sz="4" w:space="0" w:color="auto"/>
              <w:bottom w:val="nil"/>
              <w:right w:val="nil"/>
            </w:tcBorders>
            <w:shd w:val="clear" w:color="auto" w:fill="auto"/>
            <w:noWrap/>
            <w:vAlign w:val="center"/>
            <w:hideMark/>
          </w:tcPr>
          <w:p w14:paraId="2824FA29" w14:textId="4D9C5320" w:rsidR="007E3A7E" w:rsidRPr="006B42D6" w:rsidRDefault="007E3A7E" w:rsidP="008B193B">
            <w:pPr>
              <w:jc w:val="center"/>
              <w:rPr>
                <w:sz w:val="16"/>
                <w:szCs w:val="16"/>
              </w:rPr>
            </w:pPr>
            <w:r w:rsidRPr="006B42D6">
              <w:rPr>
                <w:sz w:val="16"/>
                <w:szCs w:val="16"/>
              </w:rPr>
              <w:t>158,258</w:t>
            </w:r>
          </w:p>
        </w:tc>
        <w:tc>
          <w:tcPr>
            <w:tcW w:w="1082" w:type="pct"/>
            <w:tcBorders>
              <w:top w:val="nil"/>
              <w:left w:val="nil"/>
              <w:bottom w:val="nil"/>
              <w:right w:val="single" w:sz="4" w:space="0" w:color="auto"/>
            </w:tcBorders>
            <w:shd w:val="clear" w:color="auto" w:fill="auto"/>
            <w:noWrap/>
            <w:vAlign w:val="center"/>
            <w:hideMark/>
          </w:tcPr>
          <w:p w14:paraId="2D9DBE27" w14:textId="54014ECD" w:rsidR="007E3A7E" w:rsidRPr="006B42D6" w:rsidRDefault="007E3A7E" w:rsidP="008B193B">
            <w:pPr>
              <w:jc w:val="center"/>
              <w:rPr>
                <w:sz w:val="16"/>
                <w:szCs w:val="16"/>
              </w:rPr>
            </w:pPr>
            <w:r w:rsidRPr="006B42D6">
              <w:rPr>
                <w:sz w:val="16"/>
                <w:szCs w:val="16"/>
              </w:rPr>
              <w:t>3.6</w:t>
            </w:r>
          </w:p>
        </w:tc>
        <w:tc>
          <w:tcPr>
            <w:tcW w:w="846" w:type="pct"/>
            <w:tcBorders>
              <w:top w:val="nil"/>
              <w:left w:val="nil"/>
              <w:bottom w:val="nil"/>
              <w:right w:val="nil"/>
            </w:tcBorders>
            <w:shd w:val="clear" w:color="auto" w:fill="auto"/>
            <w:noWrap/>
            <w:vAlign w:val="center"/>
            <w:hideMark/>
          </w:tcPr>
          <w:p w14:paraId="1794AE0B" w14:textId="0E776ABD" w:rsidR="007E3A7E" w:rsidRPr="006B42D6" w:rsidRDefault="007E3A7E" w:rsidP="008B193B">
            <w:pPr>
              <w:jc w:val="center"/>
              <w:rPr>
                <w:sz w:val="16"/>
                <w:szCs w:val="16"/>
              </w:rPr>
            </w:pPr>
            <w:r w:rsidRPr="006B42D6">
              <w:rPr>
                <w:sz w:val="16"/>
                <w:szCs w:val="16"/>
              </w:rPr>
              <w:t>9,621,927</w:t>
            </w:r>
          </w:p>
        </w:tc>
        <w:tc>
          <w:tcPr>
            <w:tcW w:w="1113" w:type="pct"/>
            <w:tcBorders>
              <w:top w:val="nil"/>
              <w:left w:val="nil"/>
              <w:bottom w:val="nil"/>
              <w:right w:val="nil"/>
            </w:tcBorders>
            <w:shd w:val="clear" w:color="auto" w:fill="auto"/>
            <w:noWrap/>
            <w:vAlign w:val="center"/>
            <w:hideMark/>
          </w:tcPr>
          <w:p w14:paraId="3DE5A799" w14:textId="2A20E10E" w:rsidR="007E3A7E" w:rsidRPr="006B42D6" w:rsidRDefault="007E3A7E" w:rsidP="008B193B">
            <w:pPr>
              <w:jc w:val="center"/>
              <w:rPr>
                <w:sz w:val="16"/>
                <w:szCs w:val="16"/>
              </w:rPr>
            </w:pPr>
            <w:r w:rsidRPr="006B42D6">
              <w:rPr>
                <w:sz w:val="16"/>
                <w:szCs w:val="16"/>
              </w:rPr>
              <w:t>61</w:t>
            </w:r>
          </w:p>
        </w:tc>
      </w:tr>
      <w:tr w:rsidR="008B193B" w:rsidRPr="006B42D6" w14:paraId="3A893476" w14:textId="77777777" w:rsidTr="008B193B">
        <w:trPr>
          <w:trHeight w:val="298"/>
        </w:trPr>
        <w:tc>
          <w:tcPr>
            <w:tcW w:w="908" w:type="pct"/>
            <w:tcBorders>
              <w:top w:val="nil"/>
              <w:left w:val="nil"/>
              <w:bottom w:val="nil"/>
              <w:right w:val="nil"/>
            </w:tcBorders>
            <w:shd w:val="clear" w:color="auto" w:fill="auto"/>
            <w:hideMark/>
          </w:tcPr>
          <w:p w14:paraId="06D6B8AD" w14:textId="77777777" w:rsidR="007E3A7E" w:rsidRPr="006B42D6" w:rsidRDefault="007E3A7E" w:rsidP="009D1D40">
            <w:pPr>
              <w:rPr>
                <w:sz w:val="16"/>
                <w:szCs w:val="16"/>
              </w:rPr>
            </w:pPr>
            <w:r w:rsidRPr="006B42D6">
              <w:rPr>
                <w:sz w:val="16"/>
                <w:szCs w:val="16"/>
              </w:rPr>
              <w:t>100-299</w:t>
            </w:r>
          </w:p>
        </w:tc>
        <w:tc>
          <w:tcPr>
            <w:tcW w:w="1051" w:type="pct"/>
            <w:tcBorders>
              <w:top w:val="nil"/>
              <w:left w:val="single" w:sz="4" w:space="0" w:color="auto"/>
              <w:bottom w:val="nil"/>
              <w:right w:val="nil"/>
            </w:tcBorders>
            <w:shd w:val="clear" w:color="auto" w:fill="auto"/>
            <w:noWrap/>
            <w:vAlign w:val="center"/>
            <w:hideMark/>
          </w:tcPr>
          <w:p w14:paraId="76777240" w14:textId="5BC93EB2" w:rsidR="007E3A7E" w:rsidRPr="006B42D6" w:rsidRDefault="007E3A7E" w:rsidP="008B193B">
            <w:pPr>
              <w:jc w:val="center"/>
              <w:rPr>
                <w:sz w:val="16"/>
                <w:szCs w:val="16"/>
              </w:rPr>
            </w:pPr>
            <w:r w:rsidRPr="006B42D6">
              <w:rPr>
                <w:sz w:val="16"/>
                <w:szCs w:val="16"/>
              </w:rPr>
              <w:t>33,322</w:t>
            </w:r>
          </w:p>
        </w:tc>
        <w:tc>
          <w:tcPr>
            <w:tcW w:w="1082" w:type="pct"/>
            <w:tcBorders>
              <w:top w:val="nil"/>
              <w:left w:val="nil"/>
              <w:bottom w:val="nil"/>
              <w:right w:val="single" w:sz="4" w:space="0" w:color="auto"/>
            </w:tcBorders>
            <w:shd w:val="clear" w:color="auto" w:fill="auto"/>
            <w:noWrap/>
            <w:vAlign w:val="center"/>
            <w:hideMark/>
          </w:tcPr>
          <w:p w14:paraId="5F67044C" w14:textId="40A82EAD" w:rsidR="007E3A7E" w:rsidRPr="006B42D6" w:rsidRDefault="007E3A7E" w:rsidP="008B193B">
            <w:pPr>
              <w:jc w:val="center"/>
              <w:rPr>
                <w:sz w:val="16"/>
                <w:szCs w:val="16"/>
              </w:rPr>
            </w:pPr>
            <w:r w:rsidRPr="006B42D6">
              <w:rPr>
                <w:sz w:val="16"/>
                <w:szCs w:val="16"/>
              </w:rPr>
              <w:t>0.8</w:t>
            </w:r>
          </w:p>
        </w:tc>
        <w:tc>
          <w:tcPr>
            <w:tcW w:w="846" w:type="pct"/>
            <w:tcBorders>
              <w:top w:val="nil"/>
              <w:left w:val="nil"/>
              <w:bottom w:val="nil"/>
              <w:right w:val="nil"/>
            </w:tcBorders>
            <w:shd w:val="clear" w:color="auto" w:fill="auto"/>
            <w:noWrap/>
            <w:vAlign w:val="center"/>
            <w:hideMark/>
          </w:tcPr>
          <w:p w14:paraId="0E1CCBFA" w14:textId="7921E36D" w:rsidR="007E3A7E" w:rsidRPr="006B42D6" w:rsidRDefault="007E3A7E" w:rsidP="008B193B">
            <w:pPr>
              <w:jc w:val="center"/>
              <w:rPr>
                <w:sz w:val="16"/>
                <w:szCs w:val="16"/>
              </w:rPr>
            </w:pPr>
            <w:r w:rsidRPr="006B42D6">
              <w:rPr>
                <w:sz w:val="16"/>
                <w:szCs w:val="16"/>
              </w:rPr>
              <w:t>4,804,460</w:t>
            </w:r>
          </w:p>
        </w:tc>
        <w:tc>
          <w:tcPr>
            <w:tcW w:w="1113" w:type="pct"/>
            <w:tcBorders>
              <w:top w:val="nil"/>
              <w:left w:val="nil"/>
              <w:bottom w:val="nil"/>
              <w:right w:val="nil"/>
            </w:tcBorders>
            <w:shd w:val="clear" w:color="auto" w:fill="auto"/>
            <w:noWrap/>
            <w:vAlign w:val="center"/>
            <w:hideMark/>
          </w:tcPr>
          <w:p w14:paraId="01C9ECAC" w14:textId="4B9E11EA" w:rsidR="007E3A7E" w:rsidRPr="006B42D6" w:rsidRDefault="007E3A7E" w:rsidP="008B193B">
            <w:pPr>
              <w:jc w:val="center"/>
              <w:rPr>
                <w:sz w:val="16"/>
                <w:szCs w:val="16"/>
              </w:rPr>
            </w:pPr>
            <w:r w:rsidRPr="006B42D6">
              <w:rPr>
                <w:sz w:val="16"/>
                <w:szCs w:val="16"/>
              </w:rPr>
              <w:t>144</w:t>
            </w:r>
          </w:p>
        </w:tc>
      </w:tr>
      <w:tr w:rsidR="008B193B" w:rsidRPr="006B42D6" w14:paraId="45283034" w14:textId="77777777" w:rsidTr="008B193B">
        <w:trPr>
          <w:trHeight w:val="298"/>
        </w:trPr>
        <w:tc>
          <w:tcPr>
            <w:tcW w:w="908" w:type="pct"/>
            <w:tcBorders>
              <w:top w:val="nil"/>
              <w:left w:val="nil"/>
              <w:bottom w:val="nil"/>
              <w:right w:val="nil"/>
            </w:tcBorders>
            <w:shd w:val="clear" w:color="auto" w:fill="auto"/>
            <w:hideMark/>
          </w:tcPr>
          <w:p w14:paraId="3CAE72A1" w14:textId="77777777" w:rsidR="007E3A7E" w:rsidRPr="006B42D6" w:rsidRDefault="007E3A7E" w:rsidP="009D1D40">
            <w:pPr>
              <w:rPr>
                <w:sz w:val="16"/>
                <w:szCs w:val="16"/>
              </w:rPr>
            </w:pPr>
            <w:r w:rsidRPr="006B42D6">
              <w:rPr>
                <w:sz w:val="16"/>
                <w:szCs w:val="16"/>
              </w:rPr>
              <w:t>300-499</w:t>
            </w:r>
          </w:p>
        </w:tc>
        <w:tc>
          <w:tcPr>
            <w:tcW w:w="1051" w:type="pct"/>
            <w:tcBorders>
              <w:top w:val="nil"/>
              <w:left w:val="single" w:sz="4" w:space="0" w:color="auto"/>
              <w:bottom w:val="nil"/>
              <w:right w:val="nil"/>
            </w:tcBorders>
            <w:shd w:val="clear" w:color="auto" w:fill="auto"/>
            <w:noWrap/>
            <w:vAlign w:val="center"/>
            <w:hideMark/>
          </w:tcPr>
          <w:p w14:paraId="0B705A37" w14:textId="579DE127" w:rsidR="007E3A7E" w:rsidRPr="006B42D6" w:rsidRDefault="007E3A7E" w:rsidP="008B193B">
            <w:pPr>
              <w:jc w:val="center"/>
              <w:rPr>
                <w:sz w:val="16"/>
                <w:szCs w:val="16"/>
              </w:rPr>
            </w:pPr>
            <w:r w:rsidRPr="006B42D6">
              <w:rPr>
                <w:sz w:val="16"/>
                <w:szCs w:val="16"/>
              </w:rPr>
              <w:t>8,141</w:t>
            </w:r>
          </w:p>
        </w:tc>
        <w:tc>
          <w:tcPr>
            <w:tcW w:w="1082" w:type="pct"/>
            <w:tcBorders>
              <w:top w:val="nil"/>
              <w:left w:val="nil"/>
              <w:bottom w:val="nil"/>
              <w:right w:val="single" w:sz="4" w:space="0" w:color="auto"/>
            </w:tcBorders>
            <w:shd w:val="clear" w:color="auto" w:fill="auto"/>
            <w:noWrap/>
            <w:vAlign w:val="center"/>
            <w:hideMark/>
          </w:tcPr>
          <w:p w14:paraId="7041ADA5" w14:textId="7042524D" w:rsidR="007E3A7E" w:rsidRPr="006B42D6" w:rsidRDefault="007E3A7E" w:rsidP="008B193B">
            <w:pPr>
              <w:jc w:val="center"/>
              <w:rPr>
                <w:sz w:val="16"/>
                <w:szCs w:val="16"/>
              </w:rPr>
            </w:pPr>
            <w:r w:rsidRPr="006B42D6">
              <w:rPr>
                <w:sz w:val="16"/>
                <w:szCs w:val="16"/>
              </w:rPr>
              <w:t>0.2</w:t>
            </w:r>
          </w:p>
        </w:tc>
        <w:tc>
          <w:tcPr>
            <w:tcW w:w="846" w:type="pct"/>
            <w:tcBorders>
              <w:top w:val="nil"/>
              <w:left w:val="nil"/>
              <w:bottom w:val="nil"/>
              <w:right w:val="nil"/>
            </w:tcBorders>
            <w:shd w:val="clear" w:color="auto" w:fill="auto"/>
            <w:noWrap/>
            <w:vAlign w:val="center"/>
            <w:hideMark/>
          </w:tcPr>
          <w:p w14:paraId="22AF7F97" w14:textId="5E97C55E" w:rsidR="007E3A7E" w:rsidRPr="006B42D6" w:rsidRDefault="007E3A7E" w:rsidP="008B193B">
            <w:pPr>
              <w:jc w:val="center"/>
              <w:rPr>
                <w:sz w:val="16"/>
                <w:szCs w:val="16"/>
              </w:rPr>
            </w:pPr>
            <w:r w:rsidRPr="006B42D6">
              <w:rPr>
                <w:sz w:val="16"/>
                <w:szCs w:val="16"/>
              </w:rPr>
              <w:t>2,603,995</w:t>
            </w:r>
          </w:p>
        </w:tc>
        <w:tc>
          <w:tcPr>
            <w:tcW w:w="1113" w:type="pct"/>
            <w:tcBorders>
              <w:top w:val="nil"/>
              <w:left w:val="nil"/>
              <w:bottom w:val="nil"/>
              <w:right w:val="nil"/>
            </w:tcBorders>
            <w:shd w:val="clear" w:color="auto" w:fill="auto"/>
            <w:noWrap/>
            <w:vAlign w:val="center"/>
            <w:hideMark/>
          </w:tcPr>
          <w:p w14:paraId="41BE8604" w14:textId="43BC314B" w:rsidR="007E3A7E" w:rsidRPr="006B42D6" w:rsidRDefault="007E3A7E" w:rsidP="008B193B">
            <w:pPr>
              <w:jc w:val="center"/>
              <w:rPr>
                <w:sz w:val="16"/>
                <w:szCs w:val="16"/>
              </w:rPr>
            </w:pPr>
            <w:r w:rsidRPr="006B42D6">
              <w:rPr>
                <w:sz w:val="16"/>
                <w:szCs w:val="16"/>
              </w:rPr>
              <w:t>320</w:t>
            </w:r>
          </w:p>
        </w:tc>
      </w:tr>
      <w:tr w:rsidR="008B193B" w:rsidRPr="006B42D6" w14:paraId="44E3974F" w14:textId="77777777" w:rsidTr="008B193B">
        <w:trPr>
          <w:trHeight w:val="298"/>
        </w:trPr>
        <w:tc>
          <w:tcPr>
            <w:tcW w:w="908" w:type="pct"/>
            <w:tcBorders>
              <w:top w:val="nil"/>
              <w:left w:val="nil"/>
              <w:bottom w:val="nil"/>
              <w:right w:val="nil"/>
            </w:tcBorders>
            <w:shd w:val="clear" w:color="auto" w:fill="auto"/>
            <w:hideMark/>
          </w:tcPr>
          <w:p w14:paraId="31CE122F" w14:textId="77777777" w:rsidR="007E3A7E" w:rsidRPr="006B42D6" w:rsidRDefault="007E3A7E" w:rsidP="009D1D40">
            <w:pPr>
              <w:rPr>
                <w:sz w:val="16"/>
                <w:szCs w:val="16"/>
              </w:rPr>
            </w:pPr>
            <w:r w:rsidRPr="006B42D6">
              <w:rPr>
                <w:sz w:val="16"/>
                <w:szCs w:val="16"/>
              </w:rPr>
              <w:t>500-699</w:t>
            </w:r>
          </w:p>
        </w:tc>
        <w:tc>
          <w:tcPr>
            <w:tcW w:w="1051" w:type="pct"/>
            <w:tcBorders>
              <w:top w:val="nil"/>
              <w:left w:val="single" w:sz="4" w:space="0" w:color="auto"/>
              <w:bottom w:val="nil"/>
              <w:right w:val="nil"/>
            </w:tcBorders>
            <w:shd w:val="clear" w:color="auto" w:fill="auto"/>
            <w:noWrap/>
            <w:vAlign w:val="center"/>
            <w:hideMark/>
          </w:tcPr>
          <w:p w14:paraId="499C6001" w14:textId="3360BAB8" w:rsidR="007E3A7E" w:rsidRPr="006B42D6" w:rsidRDefault="007E3A7E" w:rsidP="008B193B">
            <w:pPr>
              <w:jc w:val="center"/>
              <w:rPr>
                <w:sz w:val="16"/>
                <w:szCs w:val="16"/>
              </w:rPr>
            </w:pPr>
            <w:r w:rsidRPr="006B42D6">
              <w:rPr>
                <w:sz w:val="16"/>
                <w:szCs w:val="16"/>
              </w:rPr>
              <w:t>5,306</w:t>
            </w:r>
          </w:p>
        </w:tc>
        <w:tc>
          <w:tcPr>
            <w:tcW w:w="1082" w:type="pct"/>
            <w:tcBorders>
              <w:top w:val="nil"/>
              <w:left w:val="nil"/>
              <w:bottom w:val="nil"/>
              <w:right w:val="single" w:sz="4" w:space="0" w:color="auto"/>
            </w:tcBorders>
            <w:shd w:val="clear" w:color="auto" w:fill="auto"/>
            <w:noWrap/>
            <w:vAlign w:val="center"/>
            <w:hideMark/>
          </w:tcPr>
          <w:p w14:paraId="0F1BD26B" w14:textId="7C4DF1D5" w:rsidR="007E3A7E" w:rsidRPr="006B42D6" w:rsidRDefault="007E3A7E" w:rsidP="008B193B">
            <w:pPr>
              <w:jc w:val="center"/>
              <w:rPr>
                <w:sz w:val="16"/>
                <w:szCs w:val="16"/>
              </w:rPr>
            </w:pPr>
            <w:r w:rsidRPr="006B42D6">
              <w:rPr>
                <w:sz w:val="16"/>
                <w:szCs w:val="16"/>
              </w:rPr>
              <w:t>0.1</w:t>
            </w:r>
          </w:p>
        </w:tc>
        <w:tc>
          <w:tcPr>
            <w:tcW w:w="846" w:type="pct"/>
            <w:tcBorders>
              <w:top w:val="nil"/>
              <w:left w:val="nil"/>
              <w:bottom w:val="nil"/>
              <w:right w:val="nil"/>
            </w:tcBorders>
            <w:shd w:val="clear" w:color="auto" w:fill="auto"/>
            <w:noWrap/>
            <w:vAlign w:val="center"/>
            <w:hideMark/>
          </w:tcPr>
          <w:p w14:paraId="3964145C" w14:textId="18CBFA00" w:rsidR="007E3A7E" w:rsidRPr="006B42D6" w:rsidRDefault="007E3A7E" w:rsidP="008B193B">
            <w:pPr>
              <w:jc w:val="center"/>
              <w:rPr>
                <w:sz w:val="16"/>
                <w:szCs w:val="16"/>
              </w:rPr>
            </w:pPr>
            <w:r w:rsidRPr="006B42D6">
              <w:rPr>
                <w:sz w:val="16"/>
                <w:szCs w:val="16"/>
              </w:rPr>
              <w:t>2,948,163</w:t>
            </w:r>
          </w:p>
        </w:tc>
        <w:tc>
          <w:tcPr>
            <w:tcW w:w="1113" w:type="pct"/>
            <w:tcBorders>
              <w:top w:val="nil"/>
              <w:left w:val="nil"/>
              <w:bottom w:val="nil"/>
              <w:right w:val="nil"/>
            </w:tcBorders>
            <w:shd w:val="clear" w:color="auto" w:fill="auto"/>
            <w:noWrap/>
            <w:vAlign w:val="center"/>
            <w:hideMark/>
          </w:tcPr>
          <w:p w14:paraId="4F6DDDD2" w14:textId="66B9CE7B" w:rsidR="007E3A7E" w:rsidRPr="006B42D6" w:rsidRDefault="007E3A7E" w:rsidP="008B193B">
            <w:pPr>
              <w:jc w:val="center"/>
              <w:rPr>
                <w:sz w:val="16"/>
                <w:szCs w:val="16"/>
              </w:rPr>
            </w:pPr>
            <w:r w:rsidRPr="006B42D6">
              <w:rPr>
                <w:sz w:val="16"/>
                <w:szCs w:val="16"/>
              </w:rPr>
              <w:t>556</w:t>
            </w:r>
          </w:p>
        </w:tc>
      </w:tr>
      <w:tr w:rsidR="008B193B" w:rsidRPr="006B42D6" w14:paraId="331AB698" w14:textId="77777777" w:rsidTr="008B193B">
        <w:trPr>
          <w:trHeight w:val="298"/>
        </w:trPr>
        <w:tc>
          <w:tcPr>
            <w:tcW w:w="908" w:type="pct"/>
            <w:tcBorders>
              <w:top w:val="nil"/>
              <w:left w:val="nil"/>
              <w:bottom w:val="nil"/>
              <w:right w:val="nil"/>
            </w:tcBorders>
            <w:shd w:val="clear" w:color="auto" w:fill="auto"/>
            <w:hideMark/>
          </w:tcPr>
          <w:p w14:paraId="6A307941" w14:textId="12942DC9" w:rsidR="007E3A7E" w:rsidRPr="006B42D6" w:rsidRDefault="007E3A7E" w:rsidP="009D1D40">
            <w:pPr>
              <w:rPr>
                <w:sz w:val="16"/>
                <w:szCs w:val="16"/>
              </w:rPr>
            </w:pPr>
            <w:r w:rsidRPr="006B42D6">
              <w:rPr>
                <w:sz w:val="16"/>
                <w:szCs w:val="16"/>
              </w:rPr>
              <w:t>700+</w:t>
            </w:r>
          </w:p>
        </w:tc>
        <w:tc>
          <w:tcPr>
            <w:tcW w:w="1051" w:type="pct"/>
            <w:tcBorders>
              <w:top w:val="nil"/>
              <w:left w:val="single" w:sz="4" w:space="0" w:color="auto"/>
              <w:bottom w:val="nil"/>
              <w:right w:val="nil"/>
            </w:tcBorders>
            <w:shd w:val="clear" w:color="auto" w:fill="auto"/>
            <w:noWrap/>
            <w:vAlign w:val="center"/>
            <w:hideMark/>
          </w:tcPr>
          <w:p w14:paraId="60A89E5C" w14:textId="2642B183" w:rsidR="007E3A7E" w:rsidRPr="006B42D6" w:rsidRDefault="007E3A7E" w:rsidP="008B193B">
            <w:pPr>
              <w:jc w:val="center"/>
              <w:rPr>
                <w:sz w:val="16"/>
                <w:szCs w:val="16"/>
              </w:rPr>
            </w:pPr>
            <w:r w:rsidRPr="006B42D6">
              <w:rPr>
                <w:sz w:val="16"/>
                <w:szCs w:val="16"/>
              </w:rPr>
              <w:t>1,832</w:t>
            </w:r>
          </w:p>
        </w:tc>
        <w:tc>
          <w:tcPr>
            <w:tcW w:w="1082" w:type="pct"/>
            <w:tcBorders>
              <w:top w:val="nil"/>
              <w:left w:val="nil"/>
              <w:bottom w:val="nil"/>
              <w:right w:val="single" w:sz="4" w:space="0" w:color="auto"/>
            </w:tcBorders>
            <w:shd w:val="clear" w:color="auto" w:fill="auto"/>
            <w:noWrap/>
            <w:vAlign w:val="center"/>
            <w:hideMark/>
          </w:tcPr>
          <w:p w14:paraId="3FD010E7" w14:textId="191A1BFB" w:rsidR="007E3A7E" w:rsidRPr="006B42D6" w:rsidRDefault="007E3A7E" w:rsidP="008B193B">
            <w:pPr>
              <w:jc w:val="center"/>
              <w:rPr>
                <w:sz w:val="16"/>
                <w:szCs w:val="16"/>
              </w:rPr>
            </w:pPr>
            <w:r w:rsidRPr="006B42D6">
              <w:rPr>
                <w:sz w:val="16"/>
                <w:szCs w:val="16"/>
              </w:rPr>
              <w:t>0.04</w:t>
            </w:r>
          </w:p>
        </w:tc>
        <w:tc>
          <w:tcPr>
            <w:tcW w:w="846" w:type="pct"/>
            <w:tcBorders>
              <w:top w:val="nil"/>
              <w:left w:val="nil"/>
              <w:bottom w:val="nil"/>
              <w:right w:val="nil"/>
            </w:tcBorders>
            <w:shd w:val="clear" w:color="auto" w:fill="auto"/>
            <w:noWrap/>
            <w:vAlign w:val="center"/>
            <w:hideMark/>
          </w:tcPr>
          <w:p w14:paraId="2C2553D2" w14:textId="162877A5" w:rsidR="007E3A7E" w:rsidRPr="006B42D6" w:rsidRDefault="007E3A7E" w:rsidP="008B193B">
            <w:pPr>
              <w:jc w:val="center"/>
              <w:rPr>
                <w:sz w:val="16"/>
                <w:szCs w:val="16"/>
              </w:rPr>
            </w:pPr>
            <w:r w:rsidRPr="006B42D6">
              <w:rPr>
                <w:sz w:val="16"/>
                <w:szCs w:val="16"/>
              </w:rPr>
              <w:t>4,193,692</w:t>
            </w:r>
          </w:p>
        </w:tc>
        <w:tc>
          <w:tcPr>
            <w:tcW w:w="1113" w:type="pct"/>
            <w:tcBorders>
              <w:top w:val="nil"/>
              <w:left w:val="nil"/>
              <w:bottom w:val="nil"/>
              <w:right w:val="nil"/>
            </w:tcBorders>
            <w:shd w:val="clear" w:color="auto" w:fill="auto"/>
            <w:noWrap/>
            <w:vAlign w:val="center"/>
            <w:hideMark/>
          </w:tcPr>
          <w:p w14:paraId="2F0D7A54" w14:textId="1680ABA8" w:rsidR="007E3A7E" w:rsidRPr="006B42D6" w:rsidRDefault="007E3A7E" w:rsidP="008B193B">
            <w:pPr>
              <w:jc w:val="center"/>
              <w:rPr>
                <w:sz w:val="16"/>
                <w:szCs w:val="16"/>
              </w:rPr>
            </w:pPr>
            <w:r w:rsidRPr="006B42D6">
              <w:rPr>
                <w:sz w:val="16"/>
                <w:szCs w:val="16"/>
              </w:rPr>
              <w:t>2,289</w:t>
            </w:r>
          </w:p>
        </w:tc>
      </w:tr>
      <w:tr w:rsidR="008B193B" w:rsidRPr="006B42D6" w14:paraId="68E71AE1" w14:textId="77777777" w:rsidTr="008B193B">
        <w:trPr>
          <w:trHeight w:val="298"/>
        </w:trPr>
        <w:tc>
          <w:tcPr>
            <w:tcW w:w="908" w:type="pct"/>
            <w:tcBorders>
              <w:top w:val="single" w:sz="4" w:space="0" w:color="auto"/>
              <w:left w:val="nil"/>
              <w:bottom w:val="single" w:sz="4" w:space="0" w:color="auto"/>
              <w:right w:val="nil"/>
            </w:tcBorders>
            <w:shd w:val="clear" w:color="auto" w:fill="E2EFD9" w:themeFill="accent6" w:themeFillTint="33"/>
            <w:vAlign w:val="center"/>
            <w:hideMark/>
          </w:tcPr>
          <w:p w14:paraId="22DBA309" w14:textId="2E08DDB7" w:rsidR="007E3A7E" w:rsidRPr="006B42D6" w:rsidRDefault="007E3A7E" w:rsidP="00ED4429">
            <w:pPr>
              <w:jc w:val="left"/>
              <w:rPr>
                <w:b/>
                <w:bCs/>
                <w:sz w:val="16"/>
                <w:szCs w:val="16"/>
              </w:rPr>
            </w:pPr>
            <w:r w:rsidRPr="006B42D6">
              <w:rPr>
                <w:b/>
                <w:bCs/>
                <w:sz w:val="16"/>
                <w:szCs w:val="16"/>
              </w:rPr>
              <w:t>Total</w:t>
            </w:r>
          </w:p>
        </w:tc>
        <w:tc>
          <w:tcPr>
            <w:tcW w:w="1051" w:type="pct"/>
            <w:tcBorders>
              <w:top w:val="single" w:sz="4" w:space="0" w:color="auto"/>
              <w:left w:val="single" w:sz="4" w:space="0" w:color="auto"/>
              <w:bottom w:val="single" w:sz="4" w:space="0" w:color="auto"/>
              <w:right w:val="nil"/>
            </w:tcBorders>
            <w:shd w:val="clear" w:color="auto" w:fill="E2EFD9" w:themeFill="accent6" w:themeFillTint="33"/>
            <w:noWrap/>
            <w:vAlign w:val="center"/>
            <w:hideMark/>
          </w:tcPr>
          <w:p w14:paraId="5F0A647D" w14:textId="55429194" w:rsidR="007E3A7E" w:rsidRPr="006B42D6" w:rsidRDefault="007E3A7E" w:rsidP="008B193B">
            <w:pPr>
              <w:jc w:val="center"/>
              <w:rPr>
                <w:b/>
                <w:bCs/>
                <w:sz w:val="16"/>
                <w:szCs w:val="16"/>
              </w:rPr>
            </w:pPr>
            <w:r w:rsidRPr="006B42D6">
              <w:rPr>
                <w:b/>
                <w:bCs/>
                <w:sz w:val="16"/>
                <w:szCs w:val="16"/>
              </w:rPr>
              <w:t>4,338,883</w:t>
            </w:r>
          </w:p>
        </w:tc>
        <w:tc>
          <w:tcPr>
            <w:tcW w:w="1082" w:type="pct"/>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2CBDEF8B" w14:textId="716EB680" w:rsidR="007E3A7E" w:rsidRPr="006B42D6" w:rsidRDefault="007E3A7E" w:rsidP="008B193B">
            <w:pPr>
              <w:jc w:val="center"/>
              <w:rPr>
                <w:b/>
                <w:bCs/>
                <w:sz w:val="16"/>
                <w:szCs w:val="16"/>
              </w:rPr>
            </w:pPr>
            <w:r w:rsidRPr="006B42D6">
              <w:rPr>
                <w:b/>
                <w:bCs/>
                <w:sz w:val="16"/>
                <w:szCs w:val="16"/>
              </w:rPr>
              <w:t>100.0</w:t>
            </w:r>
          </w:p>
        </w:tc>
        <w:tc>
          <w:tcPr>
            <w:tcW w:w="846" w:type="pct"/>
            <w:tcBorders>
              <w:top w:val="single" w:sz="4" w:space="0" w:color="auto"/>
              <w:left w:val="nil"/>
              <w:bottom w:val="single" w:sz="4" w:space="0" w:color="auto"/>
              <w:right w:val="nil"/>
            </w:tcBorders>
            <w:shd w:val="clear" w:color="auto" w:fill="E2EFD9" w:themeFill="accent6" w:themeFillTint="33"/>
            <w:noWrap/>
            <w:vAlign w:val="center"/>
            <w:hideMark/>
          </w:tcPr>
          <w:p w14:paraId="0D9B8310" w14:textId="51FA7284" w:rsidR="007E3A7E" w:rsidRPr="006B42D6" w:rsidRDefault="007E3A7E" w:rsidP="008B193B">
            <w:pPr>
              <w:jc w:val="center"/>
              <w:rPr>
                <w:b/>
                <w:bCs/>
                <w:sz w:val="16"/>
                <w:szCs w:val="16"/>
              </w:rPr>
            </w:pPr>
            <w:r w:rsidRPr="006B42D6">
              <w:rPr>
                <w:b/>
                <w:bCs/>
                <w:sz w:val="16"/>
                <w:szCs w:val="16"/>
              </w:rPr>
              <w:t>75,119,801</w:t>
            </w:r>
          </w:p>
        </w:tc>
        <w:tc>
          <w:tcPr>
            <w:tcW w:w="1113" w:type="pct"/>
            <w:tcBorders>
              <w:top w:val="single" w:sz="4" w:space="0" w:color="auto"/>
              <w:left w:val="nil"/>
              <w:bottom w:val="single" w:sz="4" w:space="0" w:color="auto"/>
              <w:right w:val="nil"/>
            </w:tcBorders>
            <w:shd w:val="clear" w:color="auto" w:fill="E2EFD9" w:themeFill="accent6" w:themeFillTint="33"/>
            <w:noWrap/>
            <w:vAlign w:val="center"/>
            <w:hideMark/>
          </w:tcPr>
          <w:p w14:paraId="21FFAEF1" w14:textId="234E332A" w:rsidR="007E3A7E" w:rsidRPr="006B42D6" w:rsidRDefault="007E3A7E" w:rsidP="008B193B">
            <w:pPr>
              <w:jc w:val="center"/>
              <w:rPr>
                <w:b/>
                <w:bCs/>
                <w:sz w:val="16"/>
                <w:szCs w:val="16"/>
              </w:rPr>
            </w:pPr>
            <w:r w:rsidRPr="006B42D6">
              <w:rPr>
                <w:b/>
                <w:bCs/>
                <w:sz w:val="16"/>
                <w:szCs w:val="16"/>
              </w:rPr>
              <w:t>17</w:t>
            </w:r>
          </w:p>
        </w:tc>
      </w:tr>
    </w:tbl>
    <w:p w14:paraId="278F65C2" w14:textId="041AB5D7" w:rsidR="00F47326" w:rsidRDefault="00F47326">
      <w:pPr>
        <w:rPr>
          <w:lang w:val="en-GB"/>
        </w:rPr>
      </w:pPr>
    </w:p>
    <w:p w14:paraId="0FBEBB45" w14:textId="77777777" w:rsidR="00F47326" w:rsidRDefault="00F47326">
      <w:pPr>
        <w:spacing w:line="240" w:lineRule="auto"/>
        <w:contextualSpacing w:val="0"/>
        <w:jc w:val="left"/>
        <w:rPr>
          <w:lang w:val="en-GB"/>
        </w:rPr>
      </w:pPr>
      <w:r>
        <w:rPr>
          <w:lang w:val="en-GB"/>
        </w:rPr>
        <w:br w:type="page"/>
      </w:r>
    </w:p>
    <w:p w14:paraId="7A8B9DB5" w14:textId="43CE92D4" w:rsidR="00ED4429" w:rsidRPr="00ED4429" w:rsidRDefault="008B193B" w:rsidP="00F47326">
      <w:pPr>
        <w:tabs>
          <w:tab w:val="left" w:pos="7389"/>
        </w:tabs>
        <w:jc w:val="left"/>
        <w:rPr>
          <w:sz w:val="10"/>
          <w:szCs w:val="10"/>
          <w:lang w:val="en-GB"/>
        </w:rPr>
      </w:pPr>
      <w:r>
        <w:rPr>
          <w:sz w:val="10"/>
          <w:szCs w:val="10"/>
          <w:lang w:val="en-GB"/>
        </w:rPr>
        <w:lastRenderedPageBreak/>
        <w:tab/>
      </w:r>
    </w:p>
    <w:p w14:paraId="4B85D965" w14:textId="26338DF3" w:rsidR="007E3A7E" w:rsidRPr="006B42D6" w:rsidRDefault="007E3A7E" w:rsidP="007E3A7E">
      <w:r w:rsidRPr="006B42D6">
        <w:t>Chicken population for smallholder farmers in Tanzania has increased from 43.1 million in 2007/08 to 75.1 million in 2019/20 census which is equivalent to 7</w:t>
      </w:r>
      <w:r w:rsidR="00EB35E7">
        <w:t>4</w:t>
      </w:r>
      <w:r w:rsidRPr="006B42D6">
        <w:t>.</w:t>
      </w:r>
      <w:r w:rsidR="00EB35E7">
        <w:t>2</w:t>
      </w:r>
      <w:r w:rsidRPr="006B42D6">
        <w:t xml:space="preserve"> percentage increase</w:t>
      </w:r>
      <w:r w:rsidR="009D1D40" w:rsidRPr="006B42D6">
        <w:t xml:space="preserve"> </w:t>
      </w:r>
      <w:r w:rsidRPr="006B42D6">
        <w:t xml:space="preserve">(Table </w:t>
      </w:r>
      <w:r w:rsidR="000A0DBF" w:rsidRPr="006B42D6">
        <w:t>4.</w:t>
      </w:r>
      <w:r w:rsidR="00A0481E" w:rsidRPr="006B42D6">
        <w:t>4</w:t>
      </w:r>
      <w:r w:rsidRPr="006B42D6">
        <w:t>)</w:t>
      </w:r>
      <w:r w:rsidR="00A16694" w:rsidRPr="006B42D6">
        <w:t>.</w:t>
      </w:r>
    </w:p>
    <w:p w14:paraId="37ED88D4" w14:textId="77777777" w:rsidR="00A16694" w:rsidRPr="006B42D6" w:rsidRDefault="00A16694" w:rsidP="00D141C3">
      <w:pPr>
        <w:spacing w:line="240" w:lineRule="auto"/>
      </w:pPr>
    </w:p>
    <w:p w14:paraId="21A3CD33" w14:textId="19342D23" w:rsidR="007E3A7E" w:rsidRPr="006B42D6" w:rsidRDefault="007E3A7E" w:rsidP="008A1EFB">
      <w:pPr>
        <w:pStyle w:val="Heading7"/>
      </w:pPr>
      <w:bookmarkStart w:id="532" w:name="_Toc82386212"/>
      <w:r w:rsidRPr="006B42D6">
        <w:t xml:space="preserve">Table </w:t>
      </w:r>
      <w:r w:rsidR="000A0DBF" w:rsidRPr="006B42D6">
        <w:t>4.</w:t>
      </w:r>
      <w:r w:rsidR="00A0481E" w:rsidRPr="006B42D6">
        <w:t>4</w:t>
      </w:r>
      <w:r w:rsidR="00867C0C">
        <w:t>:</w:t>
      </w:r>
      <w:r w:rsidR="00ED4429">
        <w:tab/>
      </w:r>
      <w:r w:rsidRPr="006B42D6">
        <w:t xml:space="preserve">Number of </w:t>
      </w:r>
      <w:r w:rsidR="00BF7C79" w:rsidRPr="006B42D6">
        <w:t>H</w:t>
      </w:r>
      <w:r w:rsidRPr="006B42D6">
        <w:t xml:space="preserve">ouseholds and </w:t>
      </w:r>
      <w:r w:rsidR="00BF7C79" w:rsidRPr="006B42D6">
        <w:t>C</w:t>
      </w:r>
      <w:r w:rsidRPr="006B42D6">
        <w:t xml:space="preserve">hicken by </w:t>
      </w:r>
      <w:r w:rsidR="00BF7C79" w:rsidRPr="006B42D6">
        <w:t>T</w:t>
      </w:r>
      <w:r w:rsidRPr="006B42D6">
        <w:t xml:space="preserve">ype of </w:t>
      </w:r>
      <w:r w:rsidR="00BF7C79" w:rsidRPr="006B42D6">
        <w:t>C</w:t>
      </w:r>
      <w:r w:rsidRPr="006B42D6">
        <w:t>hicken for the 2002/03, 2007/08</w:t>
      </w:r>
      <w:r w:rsidR="00A16694" w:rsidRPr="006B42D6">
        <w:t xml:space="preserve"> </w:t>
      </w:r>
      <w:r w:rsidRPr="006B42D6">
        <w:t>and 2019/20 Agriculture Censuses</w:t>
      </w:r>
      <w:r w:rsidR="000D4D71" w:rsidRPr="006B42D6">
        <w:t xml:space="preserve">, </w:t>
      </w:r>
      <w:r w:rsidRPr="006B42D6">
        <w:t>Tanzania</w:t>
      </w:r>
      <w:bookmarkEnd w:id="532"/>
    </w:p>
    <w:tbl>
      <w:tblPr>
        <w:tblpPr w:leftFromText="180" w:rightFromText="180" w:vertAnchor="text" w:tblpY="1"/>
        <w:tblOverlap w:val="never"/>
        <w:tblW w:w="5000" w:type="pct"/>
        <w:tblLook w:val="04A0" w:firstRow="1" w:lastRow="0" w:firstColumn="1" w:lastColumn="0" w:noHBand="0" w:noVBand="1"/>
      </w:tblPr>
      <w:tblGrid>
        <w:gridCol w:w="1640"/>
        <w:gridCol w:w="1339"/>
        <w:gridCol w:w="1179"/>
        <w:gridCol w:w="1271"/>
        <w:gridCol w:w="1271"/>
        <w:gridCol w:w="1271"/>
        <w:gridCol w:w="1265"/>
      </w:tblGrid>
      <w:tr w:rsidR="006B42D6" w:rsidRPr="006B42D6" w14:paraId="532C9514" w14:textId="77777777" w:rsidTr="00FF7140">
        <w:trPr>
          <w:trHeight w:val="300"/>
        </w:trPr>
        <w:tc>
          <w:tcPr>
            <w:tcW w:w="888" w:type="pct"/>
            <w:vMerge w:val="restart"/>
            <w:tcBorders>
              <w:top w:val="single" w:sz="4" w:space="0" w:color="auto"/>
              <w:left w:val="nil"/>
              <w:bottom w:val="single" w:sz="4" w:space="0" w:color="auto"/>
              <w:right w:val="nil"/>
            </w:tcBorders>
            <w:shd w:val="clear" w:color="auto" w:fill="E2EFD9" w:themeFill="accent6" w:themeFillTint="33"/>
            <w:vAlign w:val="center"/>
            <w:hideMark/>
          </w:tcPr>
          <w:p w14:paraId="2403DCB2" w14:textId="77777777" w:rsidR="007E3A7E" w:rsidRPr="006B42D6" w:rsidRDefault="007E3A7E" w:rsidP="007E3A7E">
            <w:pPr>
              <w:rPr>
                <w:sz w:val="16"/>
                <w:szCs w:val="16"/>
              </w:rPr>
            </w:pPr>
            <w:r w:rsidRPr="006B42D6">
              <w:rPr>
                <w:sz w:val="16"/>
                <w:szCs w:val="16"/>
              </w:rPr>
              <w:t>Type of chicken</w:t>
            </w:r>
          </w:p>
        </w:tc>
        <w:tc>
          <w:tcPr>
            <w:tcW w:w="1363" w:type="pct"/>
            <w:gridSpan w:val="2"/>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33650DC" w14:textId="77777777" w:rsidR="007E3A7E" w:rsidRPr="006B42D6" w:rsidRDefault="007E3A7E" w:rsidP="00F16205">
            <w:pPr>
              <w:jc w:val="center"/>
              <w:rPr>
                <w:sz w:val="16"/>
                <w:szCs w:val="16"/>
              </w:rPr>
            </w:pPr>
            <w:r w:rsidRPr="006B42D6">
              <w:rPr>
                <w:sz w:val="16"/>
                <w:szCs w:val="16"/>
              </w:rPr>
              <w:t>2002/03</w:t>
            </w:r>
          </w:p>
        </w:tc>
        <w:tc>
          <w:tcPr>
            <w:tcW w:w="1376" w:type="pct"/>
            <w:gridSpan w:val="2"/>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15C8EA9B" w14:textId="77777777" w:rsidR="007E3A7E" w:rsidRPr="006B42D6" w:rsidRDefault="007E3A7E" w:rsidP="00F16205">
            <w:pPr>
              <w:jc w:val="center"/>
              <w:rPr>
                <w:sz w:val="16"/>
                <w:szCs w:val="16"/>
              </w:rPr>
            </w:pPr>
            <w:r w:rsidRPr="006B42D6">
              <w:rPr>
                <w:sz w:val="16"/>
                <w:szCs w:val="16"/>
              </w:rPr>
              <w:t>2007/08</w:t>
            </w:r>
          </w:p>
        </w:tc>
        <w:tc>
          <w:tcPr>
            <w:tcW w:w="1373" w:type="pct"/>
            <w:gridSpan w:val="2"/>
            <w:tcBorders>
              <w:top w:val="single" w:sz="4" w:space="0" w:color="auto"/>
              <w:left w:val="single" w:sz="4" w:space="0" w:color="auto"/>
              <w:bottom w:val="single" w:sz="4" w:space="0" w:color="auto"/>
              <w:right w:val="nil"/>
            </w:tcBorders>
            <w:shd w:val="clear" w:color="auto" w:fill="E2EFD9" w:themeFill="accent6" w:themeFillTint="33"/>
            <w:vAlign w:val="center"/>
            <w:hideMark/>
          </w:tcPr>
          <w:p w14:paraId="57DCF840" w14:textId="77777777" w:rsidR="007E3A7E" w:rsidRPr="006B42D6" w:rsidRDefault="007E3A7E" w:rsidP="00F16205">
            <w:pPr>
              <w:jc w:val="center"/>
              <w:rPr>
                <w:sz w:val="16"/>
                <w:szCs w:val="16"/>
              </w:rPr>
            </w:pPr>
            <w:r w:rsidRPr="006B42D6">
              <w:rPr>
                <w:sz w:val="16"/>
                <w:szCs w:val="16"/>
              </w:rPr>
              <w:t>2019/20</w:t>
            </w:r>
          </w:p>
        </w:tc>
      </w:tr>
      <w:tr w:rsidR="006B42D6" w:rsidRPr="006B42D6" w14:paraId="3373B07D" w14:textId="77777777" w:rsidTr="00FF7140">
        <w:trPr>
          <w:trHeight w:val="450"/>
        </w:trPr>
        <w:tc>
          <w:tcPr>
            <w:tcW w:w="888" w:type="pct"/>
            <w:vMerge/>
            <w:tcBorders>
              <w:top w:val="single" w:sz="4" w:space="0" w:color="auto"/>
              <w:left w:val="nil"/>
              <w:bottom w:val="single" w:sz="4" w:space="0" w:color="auto"/>
              <w:right w:val="nil"/>
            </w:tcBorders>
            <w:shd w:val="clear" w:color="auto" w:fill="E2EFD9" w:themeFill="accent6" w:themeFillTint="33"/>
            <w:vAlign w:val="center"/>
            <w:hideMark/>
          </w:tcPr>
          <w:p w14:paraId="705FF455" w14:textId="77777777" w:rsidR="007E3A7E" w:rsidRPr="006B42D6" w:rsidRDefault="007E3A7E" w:rsidP="007E3A7E">
            <w:pPr>
              <w:rPr>
                <w:sz w:val="16"/>
                <w:szCs w:val="16"/>
              </w:rPr>
            </w:pPr>
          </w:p>
        </w:tc>
        <w:tc>
          <w:tcPr>
            <w:tcW w:w="725" w:type="pct"/>
            <w:tcBorders>
              <w:top w:val="nil"/>
              <w:left w:val="nil"/>
              <w:bottom w:val="single" w:sz="4" w:space="0" w:color="auto"/>
              <w:right w:val="nil"/>
            </w:tcBorders>
            <w:shd w:val="clear" w:color="auto" w:fill="E2EFD9" w:themeFill="accent6" w:themeFillTint="33"/>
            <w:vAlign w:val="center"/>
            <w:hideMark/>
          </w:tcPr>
          <w:p w14:paraId="2C2D5971" w14:textId="7DD1A950" w:rsidR="007E3A7E" w:rsidRPr="006B42D6" w:rsidRDefault="007E3A7E" w:rsidP="00867C0C">
            <w:pPr>
              <w:jc w:val="center"/>
              <w:rPr>
                <w:sz w:val="16"/>
                <w:szCs w:val="16"/>
              </w:rPr>
            </w:pPr>
            <w:r w:rsidRPr="006B42D6">
              <w:rPr>
                <w:sz w:val="16"/>
                <w:szCs w:val="16"/>
              </w:rPr>
              <w:t xml:space="preserve">Number of </w:t>
            </w:r>
            <w:r w:rsidR="00F16205">
              <w:rPr>
                <w:sz w:val="16"/>
                <w:szCs w:val="16"/>
              </w:rPr>
              <w:t>H</w:t>
            </w:r>
            <w:r w:rsidRPr="006B42D6">
              <w:rPr>
                <w:sz w:val="16"/>
                <w:szCs w:val="16"/>
              </w:rPr>
              <w:t>ouseholds</w:t>
            </w:r>
          </w:p>
        </w:tc>
        <w:tc>
          <w:tcPr>
            <w:tcW w:w="638" w:type="pct"/>
            <w:tcBorders>
              <w:top w:val="nil"/>
              <w:left w:val="nil"/>
              <w:bottom w:val="single" w:sz="4" w:space="0" w:color="auto"/>
              <w:right w:val="single" w:sz="4" w:space="0" w:color="auto"/>
            </w:tcBorders>
            <w:shd w:val="clear" w:color="auto" w:fill="E2EFD9" w:themeFill="accent6" w:themeFillTint="33"/>
            <w:vAlign w:val="center"/>
            <w:hideMark/>
          </w:tcPr>
          <w:p w14:paraId="62CD0191" w14:textId="545AAE2B" w:rsidR="007E3A7E" w:rsidRPr="006B42D6" w:rsidRDefault="007E3A7E" w:rsidP="00867C0C">
            <w:pPr>
              <w:jc w:val="center"/>
              <w:rPr>
                <w:sz w:val="16"/>
                <w:szCs w:val="16"/>
              </w:rPr>
            </w:pPr>
            <w:r w:rsidRPr="006B42D6">
              <w:rPr>
                <w:sz w:val="16"/>
                <w:szCs w:val="16"/>
              </w:rPr>
              <w:t xml:space="preserve">Number of </w:t>
            </w:r>
            <w:r w:rsidR="00F16205">
              <w:rPr>
                <w:sz w:val="16"/>
                <w:szCs w:val="16"/>
              </w:rPr>
              <w:t>C</w:t>
            </w:r>
            <w:r w:rsidRPr="006B42D6">
              <w:rPr>
                <w:sz w:val="16"/>
                <w:szCs w:val="16"/>
              </w:rPr>
              <w:t>hicken</w:t>
            </w:r>
          </w:p>
        </w:tc>
        <w:tc>
          <w:tcPr>
            <w:tcW w:w="688" w:type="pct"/>
            <w:tcBorders>
              <w:top w:val="nil"/>
              <w:left w:val="single" w:sz="4" w:space="0" w:color="auto"/>
              <w:bottom w:val="single" w:sz="4" w:space="0" w:color="auto"/>
              <w:right w:val="nil"/>
            </w:tcBorders>
            <w:shd w:val="clear" w:color="auto" w:fill="E2EFD9" w:themeFill="accent6" w:themeFillTint="33"/>
            <w:vAlign w:val="center"/>
            <w:hideMark/>
          </w:tcPr>
          <w:p w14:paraId="6DC1F662" w14:textId="5063C116" w:rsidR="007E3A7E" w:rsidRPr="006B42D6" w:rsidRDefault="007E3A7E" w:rsidP="00867C0C">
            <w:pPr>
              <w:jc w:val="center"/>
              <w:rPr>
                <w:sz w:val="16"/>
                <w:szCs w:val="16"/>
              </w:rPr>
            </w:pPr>
            <w:r w:rsidRPr="006B42D6">
              <w:rPr>
                <w:sz w:val="16"/>
                <w:szCs w:val="16"/>
              </w:rPr>
              <w:t xml:space="preserve">Number of </w:t>
            </w:r>
            <w:r w:rsidR="00F16205">
              <w:rPr>
                <w:sz w:val="16"/>
                <w:szCs w:val="16"/>
              </w:rPr>
              <w:t>H</w:t>
            </w:r>
            <w:r w:rsidRPr="006B42D6">
              <w:rPr>
                <w:sz w:val="16"/>
                <w:szCs w:val="16"/>
              </w:rPr>
              <w:t>ouseholds</w:t>
            </w:r>
          </w:p>
        </w:tc>
        <w:tc>
          <w:tcPr>
            <w:tcW w:w="688" w:type="pct"/>
            <w:tcBorders>
              <w:top w:val="nil"/>
              <w:left w:val="nil"/>
              <w:bottom w:val="single" w:sz="4" w:space="0" w:color="auto"/>
              <w:right w:val="single" w:sz="4" w:space="0" w:color="auto"/>
            </w:tcBorders>
            <w:shd w:val="clear" w:color="auto" w:fill="E2EFD9" w:themeFill="accent6" w:themeFillTint="33"/>
            <w:vAlign w:val="center"/>
            <w:hideMark/>
          </w:tcPr>
          <w:p w14:paraId="4515FE38" w14:textId="11447155" w:rsidR="007E3A7E" w:rsidRPr="006B42D6" w:rsidRDefault="007E3A7E" w:rsidP="00867C0C">
            <w:pPr>
              <w:jc w:val="center"/>
              <w:rPr>
                <w:sz w:val="16"/>
                <w:szCs w:val="16"/>
              </w:rPr>
            </w:pPr>
            <w:r w:rsidRPr="006B42D6">
              <w:rPr>
                <w:sz w:val="16"/>
                <w:szCs w:val="16"/>
              </w:rPr>
              <w:t>Number of</w:t>
            </w:r>
            <w:r w:rsidR="00F16205">
              <w:rPr>
                <w:sz w:val="16"/>
                <w:szCs w:val="16"/>
              </w:rPr>
              <w:t xml:space="preserve"> C</w:t>
            </w:r>
            <w:r w:rsidR="00F16205" w:rsidRPr="006B42D6">
              <w:rPr>
                <w:sz w:val="16"/>
                <w:szCs w:val="16"/>
              </w:rPr>
              <w:t>hicken</w:t>
            </w:r>
          </w:p>
        </w:tc>
        <w:tc>
          <w:tcPr>
            <w:tcW w:w="688" w:type="pct"/>
            <w:tcBorders>
              <w:top w:val="nil"/>
              <w:left w:val="single" w:sz="4" w:space="0" w:color="auto"/>
              <w:bottom w:val="single" w:sz="4" w:space="0" w:color="auto"/>
              <w:right w:val="nil"/>
            </w:tcBorders>
            <w:shd w:val="clear" w:color="auto" w:fill="E2EFD9" w:themeFill="accent6" w:themeFillTint="33"/>
            <w:vAlign w:val="center"/>
            <w:hideMark/>
          </w:tcPr>
          <w:p w14:paraId="77C6847B" w14:textId="27BECD35" w:rsidR="007E3A7E" w:rsidRPr="006B42D6" w:rsidRDefault="007E3A7E" w:rsidP="00867C0C">
            <w:pPr>
              <w:jc w:val="center"/>
              <w:rPr>
                <w:sz w:val="16"/>
                <w:szCs w:val="16"/>
              </w:rPr>
            </w:pPr>
            <w:r w:rsidRPr="006B42D6">
              <w:rPr>
                <w:sz w:val="16"/>
                <w:szCs w:val="16"/>
              </w:rPr>
              <w:t xml:space="preserve">Number of </w:t>
            </w:r>
            <w:r w:rsidR="00F16205">
              <w:rPr>
                <w:sz w:val="16"/>
                <w:szCs w:val="16"/>
              </w:rPr>
              <w:t>H</w:t>
            </w:r>
            <w:r w:rsidRPr="006B42D6">
              <w:rPr>
                <w:sz w:val="16"/>
                <w:szCs w:val="16"/>
              </w:rPr>
              <w:t>ouseholds</w:t>
            </w:r>
          </w:p>
        </w:tc>
        <w:tc>
          <w:tcPr>
            <w:tcW w:w="685" w:type="pct"/>
            <w:tcBorders>
              <w:top w:val="nil"/>
              <w:left w:val="nil"/>
              <w:bottom w:val="single" w:sz="4" w:space="0" w:color="auto"/>
              <w:right w:val="nil"/>
            </w:tcBorders>
            <w:shd w:val="clear" w:color="auto" w:fill="E2EFD9" w:themeFill="accent6" w:themeFillTint="33"/>
            <w:vAlign w:val="center"/>
            <w:hideMark/>
          </w:tcPr>
          <w:p w14:paraId="15D5503B" w14:textId="090B4AE2" w:rsidR="007E3A7E" w:rsidRPr="006B42D6" w:rsidRDefault="007E3A7E" w:rsidP="00867C0C">
            <w:pPr>
              <w:jc w:val="center"/>
              <w:rPr>
                <w:sz w:val="16"/>
                <w:szCs w:val="16"/>
              </w:rPr>
            </w:pPr>
            <w:r w:rsidRPr="006B42D6">
              <w:rPr>
                <w:sz w:val="16"/>
                <w:szCs w:val="16"/>
              </w:rPr>
              <w:t xml:space="preserve">Number of </w:t>
            </w:r>
            <w:r w:rsidR="00F16205">
              <w:rPr>
                <w:sz w:val="16"/>
                <w:szCs w:val="16"/>
              </w:rPr>
              <w:t>C</w:t>
            </w:r>
            <w:r w:rsidRPr="006B42D6">
              <w:rPr>
                <w:sz w:val="16"/>
                <w:szCs w:val="16"/>
              </w:rPr>
              <w:t>hicken</w:t>
            </w:r>
          </w:p>
        </w:tc>
      </w:tr>
      <w:tr w:rsidR="006B42D6" w:rsidRPr="006B42D6" w14:paraId="175D91A5" w14:textId="77777777" w:rsidTr="00FF7140">
        <w:trPr>
          <w:trHeight w:val="300"/>
        </w:trPr>
        <w:tc>
          <w:tcPr>
            <w:tcW w:w="888" w:type="pct"/>
            <w:tcBorders>
              <w:top w:val="nil"/>
              <w:left w:val="nil"/>
              <w:bottom w:val="nil"/>
              <w:right w:val="nil"/>
            </w:tcBorders>
            <w:shd w:val="clear" w:color="auto" w:fill="auto"/>
            <w:vAlign w:val="center"/>
            <w:hideMark/>
          </w:tcPr>
          <w:p w14:paraId="78468911" w14:textId="77777777" w:rsidR="007E3A7E" w:rsidRPr="006B42D6" w:rsidRDefault="007E3A7E" w:rsidP="007E3A7E">
            <w:pPr>
              <w:rPr>
                <w:sz w:val="16"/>
                <w:szCs w:val="16"/>
              </w:rPr>
            </w:pPr>
            <w:r w:rsidRPr="006B42D6">
              <w:rPr>
                <w:sz w:val="16"/>
                <w:szCs w:val="16"/>
              </w:rPr>
              <w:t>Indigenous</w:t>
            </w:r>
          </w:p>
        </w:tc>
        <w:tc>
          <w:tcPr>
            <w:tcW w:w="725" w:type="pct"/>
            <w:tcBorders>
              <w:top w:val="nil"/>
              <w:left w:val="nil"/>
              <w:bottom w:val="nil"/>
              <w:right w:val="nil"/>
            </w:tcBorders>
            <w:shd w:val="clear" w:color="auto" w:fill="auto"/>
            <w:vAlign w:val="center"/>
            <w:hideMark/>
          </w:tcPr>
          <w:p w14:paraId="45055354" w14:textId="77777777" w:rsidR="007E3A7E" w:rsidRPr="006B42D6" w:rsidRDefault="007E3A7E" w:rsidP="00867C0C">
            <w:pPr>
              <w:jc w:val="center"/>
              <w:rPr>
                <w:sz w:val="16"/>
                <w:szCs w:val="16"/>
              </w:rPr>
            </w:pPr>
            <w:r w:rsidRPr="006B42D6">
              <w:rPr>
                <w:sz w:val="16"/>
                <w:szCs w:val="16"/>
              </w:rPr>
              <w:t>2,925,710</w:t>
            </w:r>
          </w:p>
        </w:tc>
        <w:tc>
          <w:tcPr>
            <w:tcW w:w="638" w:type="pct"/>
            <w:tcBorders>
              <w:top w:val="nil"/>
              <w:left w:val="nil"/>
              <w:bottom w:val="nil"/>
              <w:right w:val="single" w:sz="4" w:space="0" w:color="auto"/>
            </w:tcBorders>
            <w:shd w:val="clear" w:color="auto" w:fill="auto"/>
            <w:vAlign w:val="center"/>
            <w:hideMark/>
          </w:tcPr>
          <w:p w14:paraId="785A849F" w14:textId="77777777" w:rsidR="007E3A7E" w:rsidRPr="006B42D6" w:rsidRDefault="007E3A7E" w:rsidP="00867C0C">
            <w:pPr>
              <w:jc w:val="center"/>
              <w:rPr>
                <w:sz w:val="16"/>
                <w:szCs w:val="16"/>
              </w:rPr>
            </w:pPr>
            <w:r w:rsidRPr="006B42D6">
              <w:rPr>
                <w:sz w:val="16"/>
                <w:szCs w:val="16"/>
              </w:rPr>
              <w:t>31,614,837</w:t>
            </w:r>
          </w:p>
        </w:tc>
        <w:tc>
          <w:tcPr>
            <w:tcW w:w="688" w:type="pct"/>
            <w:tcBorders>
              <w:top w:val="nil"/>
              <w:left w:val="single" w:sz="4" w:space="0" w:color="auto"/>
              <w:bottom w:val="nil"/>
              <w:right w:val="nil"/>
            </w:tcBorders>
            <w:shd w:val="clear" w:color="auto" w:fill="auto"/>
            <w:vAlign w:val="center"/>
            <w:hideMark/>
          </w:tcPr>
          <w:p w14:paraId="439EB010" w14:textId="77777777" w:rsidR="007E3A7E" w:rsidRPr="006B42D6" w:rsidRDefault="007E3A7E" w:rsidP="00867C0C">
            <w:pPr>
              <w:jc w:val="center"/>
              <w:rPr>
                <w:sz w:val="16"/>
                <w:szCs w:val="16"/>
              </w:rPr>
            </w:pPr>
            <w:r w:rsidRPr="006B42D6">
              <w:rPr>
                <w:sz w:val="16"/>
                <w:szCs w:val="16"/>
              </w:rPr>
              <w:t>3,781,695</w:t>
            </w:r>
          </w:p>
        </w:tc>
        <w:tc>
          <w:tcPr>
            <w:tcW w:w="688" w:type="pct"/>
            <w:tcBorders>
              <w:top w:val="nil"/>
              <w:left w:val="nil"/>
              <w:bottom w:val="nil"/>
              <w:right w:val="single" w:sz="4" w:space="0" w:color="auto"/>
            </w:tcBorders>
            <w:shd w:val="clear" w:color="auto" w:fill="auto"/>
            <w:vAlign w:val="center"/>
            <w:hideMark/>
          </w:tcPr>
          <w:p w14:paraId="39D529A8" w14:textId="77777777" w:rsidR="007E3A7E" w:rsidRPr="006B42D6" w:rsidRDefault="007E3A7E" w:rsidP="00867C0C">
            <w:pPr>
              <w:jc w:val="center"/>
              <w:rPr>
                <w:sz w:val="16"/>
                <w:szCs w:val="16"/>
              </w:rPr>
            </w:pPr>
            <w:r w:rsidRPr="006B42D6">
              <w:rPr>
                <w:sz w:val="16"/>
                <w:szCs w:val="16"/>
              </w:rPr>
              <w:t>41,895,605</w:t>
            </w:r>
          </w:p>
        </w:tc>
        <w:tc>
          <w:tcPr>
            <w:tcW w:w="688" w:type="pct"/>
            <w:tcBorders>
              <w:top w:val="nil"/>
              <w:left w:val="single" w:sz="4" w:space="0" w:color="auto"/>
              <w:bottom w:val="nil"/>
              <w:right w:val="nil"/>
            </w:tcBorders>
            <w:shd w:val="clear" w:color="auto" w:fill="auto"/>
            <w:vAlign w:val="center"/>
            <w:hideMark/>
          </w:tcPr>
          <w:p w14:paraId="41ABF5B0" w14:textId="77777777" w:rsidR="007E3A7E" w:rsidRPr="006B42D6" w:rsidRDefault="007E3A7E" w:rsidP="00867C0C">
            <w:pPr>
              <w:jc w:val="center"/>
              <w:rPr>
                <w:sz w:val="16"/>
                <w:szCs w:val="16"/>
              </w:rPr>
            </w:pPr>
            <w:r w:rsidRPr="006B42D6">
              <w:rPr>
                <w:sz w:val="16"/>
                <w:szCs w:val="16"/>
              </w:rPr>
              <w:t>3,897,380</w:t>
            </w:r>
          </w:p>
        </w:tc>
        <w:tc>
          <w:tcPr>
            <w:tcW w:w="685" w:type="pct"/>
            <w:tcBorders>
              <w:top w:val="nil"/>
              <w:left w:val="nil"/>
              <w:bottom w:val="nil"/>
              <w:right w:val="nil"/>
            </w:tcBorders>
            <w:shd w:val="clear" w:color="auto" w:fill="auto"/>
            <w:vAlign w:val="center"/>
            <w:hideMark/>
          </w:tcPr>
          <w:p w14:paraId="7CFD2ABD" w14:textId="77777777" w:rsidR="007E3A7E" w:rsidRPr="006B42D6" w:rsidRDefault="007E3A7E" w:rsidP="00867C0C">
            <w:pPr>
              <w:jc w:val="center"/>
              <w:rPr>
                <w:sz w:val="16"/>
                <w:szCs w:val="16"/>
              </w:rPr>
            </w:pPr>
            <w:r w:rsidRPr="006B42D6">
              <w:rPr>
                <w:sz w:val="16"/>
                <w:szCs w:val="16"/>
              </w:rPr>
              <w:t>43,720,661</w:t>
            </w:r>
          </w:p>
        </w:tc>
      </w:tr>
      <w:tr w:rsidR="00FF7140" w:rsidRPr="006B42D6" w14:paraId="620666D3" w14:textId="77777777" w:rsidTr="00FF7140">
        <w:trPr>
          <w:trHeight w:val="300"/>
        </w:trPr>
        <w:tc>
          <w:tcPr>
            <w:tcW w:w="888" w:type="pct"/>
            <w:tcBorders>
              <w:top w:val="nil"/>
              <w:left w:val="nil"/>
              <w:bottom w:val="nil"/>
              <w:right w:val="nil"/>
            </w:tcBorders>
            <w:shd w:val="clear" w:color="auto" w:fill="auto"/>
            <w:vAlign w:val="center"/>
          </w:tcPr>
          <w:p w14:paraId="24EA7EC0" w14:textId="0B6AFD92" w:rsidR="00FF7140" w:rsidRPr="006B42D6" w:rsidRDefault="00FF7140" w:rsidP="00FF7140">
            <w:pPr>
              <w:rPr>
                <w:sz w:val="16"/>
                <w:szCs w:val="16"/>
              </w:rPr>
            </w:pPr>
            <w:r w:rsidRPr="006B42D6">
              <w:rPr>
                <w:sz w:val="16"/>
                <w:szCs w:val="16"/>
              </w:rPr>
              <w:t>Improved</w:t>
            </w:r>
          </w:p>
        </w:tc>
        <w:tc>
          <w:tcPr>
            <w:tcW w:w="725" w:type="pct"/>
            <w:tcBorders>
              <w:top w:val="nil"/>
              <w:left w:val="nil"/>
              <w:bottom w:val="nil"/>
              <w:right w:val="nil"/>
            </w:tcBorders>
            <w:shd w:val="clear" w:color="auto" w:fill="7F7F7F" w:themeFill="text1" w:themeFillTint="80"/>
            <w:vAlign w:val="center"/>
          </w:tcPr>
          <w:p w14:paraId="530D47EB" w14:textId="77777777" w:rsidR="00FF7140" w:rsidRPr="006B42D6" w:rsidRDefault="00FF7140" w:rsidP="00FF7140">
            <w:pPr>
              <w:jc w:val="center"/>
              <w:rPr>
                <w:sz w:val="16"/>
                <w:szCs w:val="16"/>
              </w:rPr>
            </w:pPr>
          </w:p>
        </w:tc>
        <w:tc>
          <w:tcPr>
            <w:tcW w:w="638" w:type="pct"/>
            <w:tcBorders>
              <w:top w:val="nil"/>
              <w:left w:val="nil"/>
              <w:bottom w:val="nil"/>
              <w:right w:val="single" w:sz="4" w:space="0" w:color="auto"/>
            </w:tcBorders>
            <w:shd w:val="clear" w:color="auto" w:fill="auto"/>
            <w:vAlign w:val="center"/>
          </w:tcPr>
          <w:p w14:paraId="3F8CD6BE" w14:textId="26A89F05" w:rsidR="00FF7140" w:rsidRPr="006B42D6" w:rsidRDefault="00FF7140" w:rsidP="00FF7140">
            <w:pPr>
              <w:jc w:val="center"/>
              <w:rPr>
                <w:sz w:val="16"/>
                <w:szCs w:val="16"/>
              </w:rPr>
            </w:pPr>
            <w:r w:rsidRPr="006B42D6">
              <w:rPr>
                <w:sz w:val="16"/>
                <w:szCs w:val="16"/>
              </w:rPr>
              <w:t>1,692,409</w:t>
            </w:r>
          </w:p>
        </w:tc>
        <w:tc>
          <w:tcPr>
            <w:tcW w:w="688" w:type="pct"/>
            <w:tcBorders>
              <w:top w:val="nil"/>
              <w:left w:val="single" w:sz="4" w:space="0" w:color="auto"/>
              <w:bottom w:val="nil"/>
              <w:right w:val="nil"/>
            </w:tcBorders>
            <w:shd w:val="clear" w:color="auto" w:fill="7F7F7F" w:themeFill="text1" w:themeFillTint="80"/>
            <w:vAlign w:val="center"/>
          </w:tcPr>
          <w:p w14:paraId="1916FEBC" w14:textId="77777777" w:rsidR="00FF7140" w:rsidRPr="006B42D6" w:rsidRDefault="00FF7140" w:rsidP="00FF7140">
            <w:pPr>
              <w:jc w:val="center"/>
              <w:rPr>
                <w:sz w:val="16"/>
                <w:szCs w:val="16"/>
              </w:rPr>
            </w:pPr>
          </w:p>
        </w:tc>
        <w:tc>
          <w:tcPr>
            <w:tcW w:w="688" w:type="pct"/>
            <w:tcBorders>
              <w:top w:val="nil"/>
              <w:left w:val="nil"/>
              <w:bottom w:val="nil"/>
              <w:right w:val="single" w:sz="4" w:space="0" w:color="auto"/>
            </w:tcBorders>
            <w:shd w:val="clear" w:color="auto" w:fill="auto"/>
            <w:vAlign w:val="center"/>
          </w:tcPr>
          <w:p w14:paraId="22371F42" w14:textId="2DE94A4D" w:rsidR="00FF7140" w:rsidRPr="006B42D6" w:rsidRDefault="00FF7140" w:rsidP="00FF7140">
            <w:pPr>
              <w:jc w:val="center"/>
              <w:rPr>
                <w:sz w:val="16"/>
                <w:szCs w:val="16"/>
              </w:rPr>
            </w:pPr>
            <w:r w:rsidRPr="006B42D6">
              <w:rPr>
                <w:sz w:val="16"/>
                <w:szCs w:val="16"/>
              </w:rPr>
              <w:t>1,849,900</w:t>
            </w:r>
          </w:p>
        </w:tc>
        <w:tc>
          <w:tcPr>
            <w:tcW w:w="688" w:type="pct"/>
            <w:tcBorders>
              <w:top w:val="nil"/>
              <w:left w:val="single" w:sz="4" w:space="0" w:color="auto"/>
              <w:bottom w:val="nil"/>
              <w:right w:val="nil"/>
            </w:tcBorders>
            <w:shd w:val="clear" w:color="auto" w:fill="7F7F7F" w:themeFill="text1" w:themeFillTint="80"/>
            <w:vAlign w:val="center"/>
          </w:tcPr>
          <w:p w14:paraId="37B6D9DB" w14:textId="77777777" w:rsidR="00FF7140" w:rsidRPr="006B42D6" w:rsidRDefault="00FF7140" w:rsidP="00FF7140">
            <w:pPr>
              <w:jc w:val="center"/>
              <w:rPr>
                <w:sz w:val="16"/>
                <w:szCs w:val="16"/>
              </w:rPr>
            </w:pPr>
          </w:p>
        </w:tc>
        <w:tc>
          <w:tcPr>
            <w:tcW w:w="685" w:type="pct"/>
            <w:tcBorders>
              <w:top w:val="nil"/>
              <w:left w:val="nil"/>
              <w:bottom w:val="nil"/>
              <w:right w:val="nil"/>
            </w:tcBorders>
            <w:shd w:val="clear" w:color="auto" w:fill="auto"/>
            <w:vAlign w:val="center"/>
          </w:tcPr>
          <w:p w14:paraId="7CD066D8" w14:textId="69D42A63" w:rsidR="00FF7140" w:rsidRPr="006B42D6" w:rsidRDefault="00FF7140" w:rsidP="00FF7140">
            <w:pPr>
              <w:jc w:val="center"/>
              <w:rPr>
                <w:sz w:val="16"/>
                <w:szCs w:val="16"/>
              </w:rPr>
            </w:pPr>
            <w:r w:rsidRPr="006B42D6">
              <w:rPr>
                <w:sz w:val="16"/>
                <w:szCs w:val="16"/>
              </w:rPr>
              <w:t>31,399,141</w:t>
            </w:r>
          </w:p>
        </w:tc>
      </w:tr>
      <w:tr w:rsidR="00FF7140" w:rsidRPr="006B42D6" w14:paraId="00CD31D0" w14:textId="77777777" w:rsidTr="00FF7140">
        <w:trPr>
          <w:trHeight w:val="300"/>
        </w:trPr>
        <w:tc>
          <w:tcPr>
            <w:tcW w:w="888" w:type="pct"/>
            <w:tcBorders>
              <w:top w:val="nil"/>
              <w:left w:val="nil"/>
              <w:bottom w:val="nil"/>
              <w:right w:val="nil"/>
            </w:tcBorders>
            <w:shd w:val="clear" w:color="auto" w:fill="auto"/>
            <w:vAlign w:val="center"/>
            <w:hideMark/>
          </w:tcPr>
          <w:p w14:paraId="7BA91984" w14:textId="77777777" w:rsidR="00FF7140" w:rsidRPr="006B42D6" w:rsidRDefault="00FF7140" w:rsidP="00FF7140">
            <w:pPr>
              <w:ind w:left="284"/>
              <w:rPr>
                <w:sz w:val="16"/>
                <w:szCs w:val="16"/>
              </w:rPr>
            </w:pPr>
            <w:r w:rsidRPr="006B42D6">
              <w:rPr>
                <w:sz w:val="16"/>
                <w:szCs w:val="16"/>
              </w:rPr>
              <w:t>Broilers</w:t>
            </w:r>
          </w:p>
        </w:tc>
        <w:tc>
          <w:tcPr>
            <w:tcW w:w="725" w:type="pct"/>
            <w:tcBorders>
              <w:top w:val="nil"/>
              <w:left w:val="nil"/>
              <w:bottom w:val="nil"/>
              <w:right w:val="nil"/>
            </w:tcBorders>
            <w:shd w:val="clear" w:color="auto" w:fill="auto"/>
            <w:vAlign w:val="center"/>
            <w:hideMark/>
          </w:tcPr>
          <w:p w14:paraId="2144CE19" w14:textId="77777777" w:rsidR="00FF7140" w:rsidRPr="006B42D6" w:rsidRDefault="00FF7140" w:rsidP="00FF7140">
            <w:pPr>
              <w:jc w:val="center"/>
              <w:rPr>
                <w:sz w:val="16"/>
                <w:szCs w:val="16"/>
              </w:rPr>
            </w:pPr>
            <w:r w:rsidRPr="006B42D6">
              <w:rPr>
                <w:sz w:val="16"/>
                <w:szCs w:val="16"/>
              </w:rPr>
              <w:t>8,131</w:t>
            </w:r>
          </w:p>
        </w:tc>
        <w:tc>
          <w:tcPr>
            <w:tcW w:w="638" w:type="pct"/>
            <w:tcBorders>
              <w:top w:val="nil"/>
              <w:left w:val="nil"/>
              <w:bottom w:val="nil"/>
              <w:right w:val="single" w:sz="4" w:space="0" w:color="auto"/>
            </w:tcBorders>
            <w:shd w:val="clear" w:color="auto" w:fill="auto"/>
            <w:vAlign w:val="center"/>
            <w:hideMark/>
          </w:tcPr>
          <w:p w14:paraId="67A35358" w14:textId="77777777" w:rsidR="00FF7140" w:rsidRPr="006B42D6" w:rsidRDefault="00FF7140" w:rsidP="00FF7140">
            <w:pPr>
              <w:jc w:val="center"/>
              <w:rPr>
                <w:sz w:val="16"/>
                <w:szCs w:val="16"/>
              </w:rPr>
            </w:pPr>
            <w:r w:rsidRPr="006B42D6">
              <w:rPr>
                <w:sz w:val="16"/>
                <w:szCs w:val="16"/>
              </w:rPr>
              <w:t>565,712</w:t>
            </w:r>
          </w:p>
        </w:tc>
        <w:tc>
          <w:tcPr>
            <w:tcW w:w="688" w:type="pct"/>
            <w:tcBorders>
              <w:top w:val="nil"/>
              <w:left w:val="single" w:sz="4" w:space="0" w:color="auto"/>
              <w:bottom w:val="nil"/>
              <w:right w:val="nil"/>
            </w:tcBorders>
            <w:shd w:val="clear" w:color="auto" w:fill="auto"/>
            <w:vAlign w:val="center"/>
            <w:hideMark/>
          </w:tcPr>
          <w:p w14:paraId="7FC154FF" w14:textId="77777777" w:rsidR="00FF7140" w:rsidRPr="006B42D6" w:rsidRDefault="00FF7140" w:rsidP="00FF7140">
            <w:pPr>
              <w:jc w:val="center"/>
              <w:rPr>
                <w:sz w:val="16"/>
                <w:szCs w:val="16"/>
              </w:rPr>
            </w:pPr>
            <w:r w:rsidRPr="006B42D6">
              <w:rPr>
                <w:sz w:val="16"/>
                <w:szCs w:val="16"/>
              </w:rPr>
              <w:t>14,150</w:t>
            </w:r>
          </w:p>
        </w:tc>
        <w:tc>
          <w:tcPr>
            <w:tcW w:w="688" w:type="pct"/>
            <w:tcBorders>
              <w:top w:val="nil"/>
              <w:left w:val="nil"/>
              <w:bottom w:val="nil"/>
              <w:right w:val="single" w:sz="4" w:space="0" w:color="auto"/>
            </w:tcBorders>
            <w:shd w:val="clear" w:color="auto" w:fill="auto"/>
            <w:vAlign w:val="center"/>
            <w:hideMark/>
          </w:tcPr>
          <w:p w14:paraId="36E6A868" w14:textId="77777777" w:rsidR="00FF7140" w:rsidRPr="006B42D6" w:rsidRDefault="00FF7140" w:rsidP="00FF7140">
            <w:pPr>
              <w:jc w:val="center"/>
              <w:rPr>
                <w:sz w:val="16"/>
                <w:szCs w:val="16"/>
              </w:rPr>
            </w:pPr>
            <w:r w:rsidRPr="006B42D6">
              <w:rPr>
                <w:sz w:val="16"/>
                <w:szCs w:val="16"/>
              </w:rPr>
              <w:t>584,028</w:t>
            </w:r>
          </w:p>
        </w:tc>
        <w:tc>
          <w:tcPr>
            <w:tcW w:w="688" w:type="pct"/>
            <w:tcBorders>
              <w:top w:val="nil"/>
              <w:left w:val="single" w:sz="4" w:space="0" w:color="auto"/>
              <w:bottom w:val="nil"/>
              <w:right w:val="nil"/>
            </w:tcBorders>
            <w:shd w:val="clear" w:color="auto" w:fill="auto"/>
            <w:vAlign w:val="center"/>
            <w:hideMark/>
          </w:tcPr>
          <w:p w14:paraId="49D77BAB" w14:textId="77777777" w:rsidR="00FF7140" w:rsidRPr="006B42D6" w:rsidRDefault="00FF7140" w:rsidP="00FF7140">
            <w:pPr>
              <w:jc w:val="center"/>
              <w:rPr>
                <w:sz w:val="16"/>
                <w:szCs w:val="16"/>
              </w:rPr>
            </w:pPr>
            <w:r w:rsidRPr="006B42D6">
              <w:rPr>
                <w:sz w:val="16"/>
                <w:szCs w:val="16"/>
              </w:rPr>
              <w:t>331,164</w:t>
            </w:r>
          </w:p>
        </w:tc>
        <w:tc>
          <w:tcPr>
            <w:tcW w:w="685" w:type="pct"/>
            <w:tcBorders>
              <w:top w:val="nil"/>
              <w:left w:val="nil"/>
              <w:bottom w:val="nil"/>
              <w:right w:val="nil"/>
            </w:tcBorders>
            <w:shd w:val="clear" w:color="auto" w:fill="auto"/>
            <w:vAlign w:val="center"/>
            <w:hideMark/>
          </w:tcPr>
          <w:p w14:paraId="6AB01973" w14:textId="77777777" w:rsidR="00FF7140" w:rsidRPr="006B42D6" w:rsidRDefault="00FF7140" w:rsidP="00FF7140">
            <w:pPr>
              <w:jc w:val="center"/>
              <w:rPr>
                <w:sz w:val="16"/>
                <w:szCs w:val="16"/>
              </w:rPr>
            </w:pPr>
            <w:r w:rsidRPr="006B42D6">
              <w:rPr>
                <w:sz w:val="16"/>
                <w:szCs w:val="16"/>
              </w:rPr>
              <w:t>12,849,503</w:t>
            </w:r>
          </w:p>
        </w:tc>
      </w:tr>
      <w:tr w:rsidR="00FF7140" w:rsidRPr="006B42D6" w14:paraId="65EA0B11" w14:textId="77777777" w:rsidTr="00FF7140">
        <w:trPr>
          <w:trHeight w:val="300"/>
        </w:trPr>
        <w:tc>
          <w:tcPr>
            <w:tcW w:w="888" w:type="pct"/>
            <w:tcBorders>
              <w:top w:val="nil"/>
              <w:left w:val="nil"/>
              <w:bottom w:val="single" w:sz="4" w:space="0" w:color="auto"/>
              <w:right w:val="nil"/>
            </w:tcBorders>
            <w:shd w:val="clear" w:color="auto" w:fill="auto"/>
            <w:vAlign w:val="center"/>
            <w:hideMark/>
          </w:tcPr>
          <w:p w14:paraId="5AFCB4A7" w14:textId="77777777" w:rsidR="00FF7140" w:rsidRPr="006B42D6" w:rsidRDefault="00FF7140" w:rsidP="00FF7140">
            <w:pPr>
              <w:ind w:left="284"/>
              <w:rPr>
                <w:sz w:val="16"/>
                <w:szCs w:val="16"/>
              </w:rPr>
            </w:pPr>
            <w:r w:rsidRPr="006B42D6">
              <w:rPr>
                <w:sz w:val="16"/>
                <w:szCs w:val="16"/>
              </w:rPr>
              <w:t>Layers</w:t>
            </w:r>
          </w:p>
        </w:tc>
        <w:tc>
          <w:tcPr>
            <w:tcW w:w="725" w:type="pct"/>
            <w:tcBorders>
              <w:top w:val="nil"/>
              <w:left w:val="nil"/>
              <w:bottom w:val="single" w:sz="4" w:space="0" w:color="auto"/>
              <w:right w:val="nil"/>
            </w:tcBorders>
            <w:shd w:val="clear" w:color="auto" w:fill="auto"/>
            <w:vAlign w:val="center"/>
            <w:hideMark/>
          </w:tcPr>
          <w:p w14:paraId="2BAB5E6F" w14:textId="77777777" w:rsidR="00FF7140" w:rsidRPr="006B42D6" w:rsidRDefault="00FF7140" w:rsidP="00FF7140">
            <w:pPr>
              <w:jc w:val="center"/>
              <w:rPr>
                <w:sz w:val="16"/>
                <w:szCs w:val="16"/>
              </w:rPr>
            </w:pPr>
            <w:r w:rsidRPr="006B42D6">
              <w:rPr>
                <w:sz w:val="16"/>
                <w:szCs w:val="16"/>
              </w:rPr>
              <w:t>16,427</w:t>
            </w:r>
          </w:p>
        </w:tc>
        <w:tc>
          <w:tcPr>
            <w:tcW w:w="638" w:type="pct"/>
            <w:tcBorders>
              <w:top w:val="nil"/>
              <w:left w:val="nil"/>
              <w:bottom w:val="single" w:sz="4" w:space="0" w:color="auto"/>
              <w:right w:val="single" w:sz="4" w:space="0" w:color="auto"/>
            </w:tcBorders>
            <w:shd w:val="clear" w:color="auto" w:fill="auto"/>
            <w:vAlign w:val="center"/>
            <w:hideMark/>
          </w:tcPr>
          <w:p w14:paraId="68529F9D" w14:textId="77777777" w:rsidR="00FF7140" w:rsidRPr="006B42D6" w:rsidRDefault="00FF7140" w:rsidP="00FF7140">
            <w:pPr>
              <w:jc w:val="center"/>
              <w:rPr>
                <w:sz w:val="16"/>
                <w:szCs w:val="16"/>
              </w:rPr>
            </w:pPr>
            <w:r w:rsidRPr="006B42D6">
              <w:rPr>
                <w:sz w:val="16"/>
                <w:szCs w:val="16"/>
              </w:rPr>
              <w:t>1,126,697</w:t>
            </w:r>
          </w:p>
        </w:tc>
        <w:tc>
          <w:tcPr>
            <w:tcW w:w="688" w:type="pct"/>
            <w:tcBorders>
              <w:top w:val="nil"/>
              <w:left w:val="single" w:sz="4" w:space="0" w:color="auto"/>
              <w:bottom w:val="single" w:sz="4" w:space="0" w:color="auto"/>
              <w:right w:val="nil"/>
            </w:tcBorders>
            <w:shd w:val="clear" w:color="auto" w:fill="auto"/>
            <w:vAlign w:val="center"/>
            <w:hideMark/>
          </w:tcPr>
          <w:p w14:paraId="44C23B54" w14:textId="77777777" w:rsidR="00FF7140" w:rsidRPr="006B42D6" w:rsidRDefault="00FF7140" w:rsidP="00FF7140">
            <w:pPr>
              <w:jc w:val="center"/>
              <w:rPr>
                <w:sz w:val="16"/>
                <w:szCs w:val="16"/>
              </w:rPr>
            </w:pPr>
            <w:r w:rsidRPr="006B42D6">
              <w:rPr>
                <w:sz w:val="16"/>
                <w:szCs w:val="16"/>
              </w:rPr>
              <w:t>30,091</w:t>
            </w:r>
          </w:p>
        </w:tc>
        <w:tc>
          <w:tcPr>
            <w:tcW w:w="688" w:type="pct"/>
            <w:tcBorders>
              <w:top w:val="nil"/>
              <w:left w:val="nil"/>
              <w:bottom w:val="single" w:sz="4" w:space="0" w:color="auto"/>
              <w:right w:val="single" w:sz="4" w:space="0" w:color="auto"/>
            </w:tcBorders>
            <w:shd w:val="clear" w:color="auto" w:fill="auto"/>
            <w:vAlign w:val="center"/>
            <w:hideMark/>
          </w:tcPr>
          <w:p w14:paraId="6A6AD191" w14:textId="77777777" w:rsidR="00FF7140" w:rsidRPr="006B42D6" w:rsidRDefault="00FF7140" w:rsidP="00FF7140">
            <w:pPr>
              <w:jc w:val="center"/>
              <w:rPr>
                <w:sz w:val="16"/>
                <w:szCs w:val="16"/>
              </w:rPr>
            </w:pPr>
            <w:r w:rsidRPr="006B42D6">
              <w:rPr>
                <w:sz w:val="16"/>
                <w:szCs w:val="16"/>
              </w:rPr>
              <w:t>1,265,872</w:t>
            </w:r>
          </w:p>
        </w:tc>
        <w:tc>
          <w:tcPr>
            <w:tcW w:w="688" w:type="pct"/>
            <w:tcBorders>
              <w:top w:val="nil"/>
              <w:left w:val="single" w:sz="4" w:space="0" w:color="auto"/>
              <w:bottom w:val="single" w:sz="4" w:space="0" w:color="auto"/>
              <w:right w:val="nil"/>
            </w:tcBorders>
            <w:shd w:val="clear" w:color="auto" w:fill="auto"/>
            <w:vAlign w:val="center"/>
            <w:hideMark/>
          </w:tcPr>
          <w:p w14:paraId="1EF68F87" w14:textId="77777777" w:rsidR="00FF7140" w:rsidRPr="006B42D6" w:rsidRDefault="00FF7140" w:rsidP="00FF7140">
            <w:pPr>
              <w:jc w:val="center"/>
              <w:rPr>
                <w:sz w:val="16"/>
                <w:szCs w:val="16"/>
              </w:rPr>
            </w:pPr>
            <w:r w:rsidRPr="006B42D6">
              <w:rPr>
                <w:sz w:val="16"/>
                <w:szCs w:val="16"/>
              </w:rPr>
              <w:t>409,835</w:t>
            </w:r>
          </w:p>
        </w:tc>
        <w:tc>
          <w:tcPr>
            <w:tcW w:w="685" w:type="pct"/>
            <w:tcBorders>
              <w:top w:val="nil"/>
              <w:left w:val="nil"/>
              <w:bottom w:val="single" w:sz="4" w:space="0" w:color="auto"/>
              <w:right w:val="nil"/>
            </w:tcBorders>
            <w:shd w:val="clear" w:color="auto" w:fill="auto"/>
            <w:vAlign w:val="center"/>
            <w:hideMark/>
          </w:tcPr>
          <w:p w14:paraId="73ECFE70" w14:textId="77777777" w:rsidR="00FF7140" w:rsidRPr="006B42D6" w:rsidRDefault="00FF7140" w:rsidP="00FF7140">
            <w:pPr>
              <w:jc w:val="center"/>
              <w:rPr>
                <w:sz w:val="16"/>
                <w:szCs w:val="16"/>
              </w:rPr>
            </w:pPr>
            <w:r w:rsidRPr="006B42D6">
              <w:rPr>
                <w:sz w:val="16"/>
                <w:szCs w:val="16"/>
              </w:rPr>
              <w:t>18,549,638</w:t>
            </w:r>
          </w:p>
        </w:tc>
      </w:tr>
      <w:tr w:rsidR="00FF7140" w:rsidRPr="006B42D6" w14:paraId="1E23D0BC" w14:textId="77777777" w:rsidTr="00FF7140">
        <w:trPr>
          <w:trHeight w:val="300"/>
        </w:trPr>
        <w:tc>
          <w:tcPr>
            <w:tcW w:w="888" w:type="pct"/>
            <w:tcBorders>
              <w:top w:val="single" w:sz="4" w:space="0" w:color="auto"/>
              <w:left w:val="nil"/>
              <w:bottom w:val="single" w:sz="4" w:space="0" w:color="auto"/>
              <w:right w:val="nil"/>
            </w:tcBorders>
            <w:shd w:val="clear" w:color="auto" w:fill="E2EFD9" w:themeFill="accent6" w:themeFillTint="33"/>
            <w:vAlign w:val="center"/>
            <w:hideMark/>
          </w:tcPr>
          <w:p w14:paraId="58413DC2" w14:textId="2113275C" w:rsidR="00FF7140" w:rsidRPr="006B42D6" w:rsidRDefault="00FF7140" w:rsidP="00FF7140">
            <w:pPr>
              <w:rPr>
                <w:sz w:val="16"/>
                <w:szCs w:val="16"/>
              </w:rPr>
            </w:pPr>
            <w:r w:rsidRPr="006B42D6">
              <w:rPr>
                <w:sz w:val="16"/>
                <w:szCs w:val="16"/>
              </w:rPr>
              <w:t xml:space="preserve">Total </w:t>
            </w:r>
            <w:r>
              <w:rPr>
                <w:sz w:val="16"/>
                <w:szCs w:val="16"/>
              </w:rPr>
              <w:t>C</w:t>
            </w:r>
            <w:r w:rsidRPr="006B42D6">
              <w:rPr>
                <w:sz w:val="16"/>
                <w:szCs w:val="16"/>
              </w:rPr>
              <w:t>hicken</w:t>
            </w:r>
          </w:p>
        </w:tc>
        <w:tc>
          <w:tcPr>
            <w:tcW w:w="725" w:type="pct"/>
            <w:tcBorders>
              <w:top w:val="single" w:sz="4" w:space="0" w:color="auto"/>
              <w:left w:val="nil"/>
              <w:bottom w:val="single" w:sz="4" w:space="0" w:color="auto"/>
              <w:right w:val="nil"/>
            </w:tcBorders>
            <w:shd w:val="clear" w:color="auto" w:fill="7F7F7F"/>
            <w:vAlign w:val="center"/>
            <w:hideMark/>
          </w:tcPr>
          <w:p w14:paraId="59EB171D" w14:textId="758F59DB" w:rsidR="00FF7140" w:rsidRPr="006B42D6" w:rsidRDefault="00FF7140" w:rsidP="00FF7140">
            <w:pPr>
              <w:jc w:val="center"/>
              <w:rPr>
                <w:sz w:val="16"/>
                <w:szCs w:val="16"/>
              </w:rPr>
            </w:pPr>
          </w:p>
        </w:tc>
        <w:tc>
          <w:tcPr>
            <w:tcW w:w="638" w:type="pct"/>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AE292FF" w14:textId="77777777" w:rsidR="00FF7140" w:rsidRPr="006B42D6" w:rsidRDefault="00FF7140" w:rsidP="00FF7140">
            <w:pPr>
              <w:jc w:val="center"/>
              <w:rPr>
                <w:sz w:val="16"/>
                <w:szCs w:val="16"/>
              </w:rPr>
            </w:pPr>
            <w:r w:rsidRPr="006B42D6">
              <w:rPr>
                <w:sz w:val="16"/>
                <w:szCs w:val="16"/>
              </w:rPr>
              <w:t>33,307,246</w:t>
            </w:r>
          </w:p>
        </w:tc>
        <w:tc>
          <w:tcPr>
            <w:tcW w:w="688" w:type="pct"/>
            <w:tcBorders>
              <w:top w:val="single" w:sz="4" w:space="0" w:color="auto"/>
              <w:left w:val="single" w:sz="4" w:space="0" w:color="auto"/>
              <w:bottom w:val="single" w:sz="4" w:space="0" w:color="auto"/>
              <w:right w:val="nil"/>
            </w:tcBorders>
            <w:shd w:val="clear" w:color="auto" w:fill="7F7F7F"/>
            <w:vAlign w:val="center"/>
            <w:hideMark/>
          </w:tcPr>
          <w:p w14:paraId="512E03D9" w14:textId="17772A49" w:rsidR="00FF7140" w:rsidRPr="006B42D6" w:rsidRDefault="00FF7140" w:rsidP="00FF7140">
            <w:pPr>
              <w:jc w:val="center"/>
              <w:rPr>
                <w:sz w:val="16"/>
                <w:szCs w:val="16"/>
              </w:rPr>
            </w:pPr>
          </w:p>
        </w:tc>
        <w:tc>
          <w:tcPr>
            <w:tcW w:w="688" w:type="pct"/>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D56730C" w14:textId="77777777" w:rsidR="00FF7140" w:rsidRPr="006B42D6" w:rsidRDefault="00FF7140" w:rsidP="00FF7140">
            <w:pPr>
              <w:jc w:val="center"/>
              <w:rPr>
                <w:sz w:val="16"/>
                <w:szCs w:val="16"/>
              </w:rPr>
            </w:pPr>
            <w:r w:rsidRPr="006B42D6">
              <w:rPr>
                <w:sz w:val="16"/>
                <w:szCs w:val="16"/>
              </w:rPr>
              <w:t>43,745,505</w:t>
            </w:r>
          </w:p>
        </w:tc>
        <w:tc>
          <w:tcPr>
            <w:tcW w:w="688" w:type="pct"/>
            <w:tcBorders>
              <w:top w:val="single" w:sz="4" w:space="0" w:color="auto"/>
              <w:left w:val="single" w:sz="4" w:space="0" w:color="auto"/>
              <w:bottom w:val="single" w:sz="4" w:space="0" w:color="auto"/>
              <w:right w:val="nil"/>
            </w:tcBorders>
            <w:shd w:val="clear" w:color="auto" w:fill="7F7F7F"/>
            <w:vAlign w:val="center"/>
            <w:hideMark/>
          </w:tcPr>
          <w:p w14:paraId="28887DAF" w14:textId="519DF295" w:rsidR="00FF7140" w:rsidRPr="006B42D6" w:rsidRDefault="00FF7140" w:rsidP="00FF7140">
            <w:pPr>
              <w:jc w:val="center"/>
              <w:rPr>
                <w:sz w:val="16"/>
                <w:szCs w:val="16"/>
              </w:rPr>
            </w:pPr>
          </w:p>
        </w:tc>
        <w:tc>
          <w:tcPr>
            <w:tcW w:w="685" w:type="pct"/>
            <w:tcBorders>
              <w:top w:val="single" w:sz="4" w:space="0" w:color="auto"/>
              <w:left w:val="nil"/>
              <w:bottom w:val="single" w:sz="4" w:space="0" w:color="auto"/>
              <w:right w:val="nil"/>
            </w:tcBorders>
            <w:shd w:val="clear" w:color="auto" w:fill="E2EFD9" w:themeFill="accent6" w:themeFillTint="33"/>
            <w:vAlign w:val="center"/>
            <w:hideMark/>
          </w:tcPr>
          <w:p w14:paraId="174A72D3" w14:textId="77777777" w:rsidR="00FF7140" w:rsidRPr="006B42D6" w:rsidRDefault="00FF7140" w:rsidP="00FF7140">
            <w:pPr>
              <w:jc w:val="center"/>
              <w:rPr>
                <w:sz w:val="16"/>
                <w:szCs w:val="16"/>
              </w:rPr>
            </w:pPr>
            <w:r w:rsidRPr="006B42D6">
              <w:rPr>
                <w:sz w:val="16"/>
                <w:szCs w:val="16"/>
              </w:rPr>
              <w:t>75,119,802</w:t>
            </w:r>
          </w:p>
        </w:tc>
      </w:tr>
    </w:tbl>
    <w:p w14:paraId="78915A63" w14:textId="0D67DB41" w:rsidR="00ED4429" w:rsidRDefault="00ED4429" w:rsidP="00233635">
      <w:pPr>
        <w:rPr>
          <w:lang w:val="en-GB"/>
        </w:rPr>
      </w:pPr>
    </w:p>
    <w:p w14:paraId="31D060C0" w14:textId="3C5C6BC7" w:rsidR="007E3A7E" w:rsidRPr="006B42D6" w:rsidRDefault="009D1D40" w:rsidP="009D1D40">
      <w:pPr>
        <w:pStyle w:val="Heading4"/>
        <w:rPr>
          <w:lang w:val="en-GB"/>
        </w:rPr>
      </w:pPr>
      <w:bookmarkStart w:id="533" w:name="_Toc82385742"/>
      <w:r w:rsidRPr="006B42D6">
        <w:rPr>
          <w:lang w:val="en-GB"/>
        </w:rPr>
        <w:t>4.</w:t>
      </w:r>
      <w:r w:rsidR="00C4159B">
        <w:rPr>
          <w:lang w:val="en-GB"/>
        </w:rPr>
        <w:t>1</w:t>
      </w:r>
      <w:r w:rsidRPr="006B42D6">
        <w:rPr>
          <w:lang w:val="en-GB"/>
        </w:rPr>
        <w:t>.5.1</w:t>
      </w:r>
      <w:r w:rsidRPr="006B42D6">
        <w:rPr>
          <w:lang w:val="en-GB"/>
        </w:rPr>
        <w:tab/>
      </w:r>
      <w:r w:rsidR="007E3A7E" w:rsidRPr="006B42D6">
        <w:rPr>
          <w:lang w:val="en-GB"/>
        </w:rPr>
        <w:t>Indigenous Chicken Population</w:t>
      </w:r>
      <w:bookmarkEnd w:id="533"/>
    </w:p>
    <w:p w14:paraId="36CE1E44" w14:textId="242F35B7" w:rsidR="007E3A7E" w:rsidRPr="006B42D6" w:rsidRDefault="007E3A7E" w:rsidP="00ED4429">
      <w:pPr>
        <w:rPr>
          <w:lang w:val="en-GB"/>
        </w:rPr>
      </w:pPr>
      <w:r w:rsidRPr="006B42D6">
        <w:rPr>
          <w:lang w:val="en-GB"/>
        </w:rPr>
        <w:t xml:space="preserve">Indigenous chicken was the dominant type raised by most of the households (3,897,380; 89.8 percent) </w:t>
      </w:r>
      <w:r w:rsidR="00A0481E" w:rsidRPr="006B42D6">
        <w:rPr>
          <w:lang w:val="en-GB"/>
        </w:rPr>
        <w:t>rearing</w:t>
      </w:r>
      <w:r w:rsidRPr="006B42D6">
        <w:rPr>
          <w:lang w:val="en-GB"/>
        </w:rPr>
        <w:t xml:space="preserve"> chicken in both </w:t>
      </w:r>
      <w:r w:rsidR="00EA1552">
        <w:rPr>
          <w:lang w:eastAsia="en-GB"/>
        </w:rPr>
        <w:t>Mainland Tanzania</w:t>
      </w:r>
      <w:r w:rsidRPr="006B42D6">
        <w:rPr>
          <w:lang w:val="en-GB"/>
        </w:rPr>
        <w:t xml:space="preserve"> and </w:t>
      </w:r>
      <w:r w:rsidR="000D4D71" w:rsidRPr="006B42D6">
        <w:rPr>
          <w:lang w:eastAsia="en-GB"/>
        </w:rPr>
        <w:t xml:space="preserve">Tanzania </w:t>
      </w:r>
      <w:r w:rsidRPr="006B42D6">
        <w:rPr>
          <w:lang w:val="en-GB"/>
        </w:rPr>
        <w:t xml:space="preserve">Zanzibar. In </w:t>
      </w:r>
      <w:r w:rsidR="00EA1552">
        <w:rPr>
          <w:lang w:eastAsia="en-GB"/>
        </w:rPr>
        <w:t>Mainland Tanzania</w:t>
      </w:r>
      <w:r w:rsidRPr="006B42D6">
        <w:rPr>
          <w:lang w:val="en-GB"/>
        </w:rPr>
        <w:t xml:space="preserve"> 89.6 percent of the total chicken rearing households </w:t>
      </w:r>
      <w:r w:rsidR="002E1B4F" w:rsidRPr="006B42D6">
        <w:rPr>
          <w:lang w:val="en-GB"/>
        </w:rPr>
        <w:t>raised</w:t>
      </w:r>
      <w:r w:rsidRPr="006B42D6">
        <w:rPr>
          <w:lang w:val="en-GB"/>
        </w:rPr>
        <w:t xml:space="preserve"> indigenous chicken</w:t>
      </w:r>
      <w:r w:rsidR="002E1B4F" w:rsidRPr="006B42D6">
        <w:rPr>
          <w:lang w:val="en-GB"/>
        </w:rPr>
        <w:t>,</w:t>
      </w:r>
      <w:r w:rsidRPr="006B42D6">
        <w:rPr>
          <w:lang w:val="en-GB"/>
        </w:rPr>
        <w:t xml:space="preserve"> while layers and broilers accounted for 9.6 percent and 7.8 percent respectively. On the other hand, in </w:t>
      </w:r>
      <w:r w:rsidR="000D4D71" w:rsidRPr="006B42D6">
        <w:rPr>
          <w:lang w:eastAsia="en-GB"/>
        </w:rPr>
        <w:t xml:space="preserve">Tanzania </w:t>
      </w:r>
      <w:r w:rsidRPr="006B42D6">
        <w:rPr>
          <w:lang w:val="en-GB"/>
        </w:rPr>
        <w:t xml:space="preserve">Zanzibar indigenous chicken were </w:t>
      </w:r>
      <w:r w:rsidR="002E1B4F" w:rsidRPr="006B42D6">
        <w:rPr>
          <w:lang w:val="en-GB"/>
        </w:rPr>
        <w:t>raised</w:t>
      </w:r>
      <w:r w:rsidRPr="006B42D6">
        <w:rPr>
          <w:lang w:val="en-GB"/>
        </w:rPr>
        <w:t xml:space="preserve"> by </w:t>
      </w:r>
      <w:r w:rsidR="00A71F69">
        <w:rPr>
          <w:lang w:val="en-GB"/>
        </w:rPr>
        <w:t>96.6</w:t>
      </w:r>
      <w:r w:rsidRPr="006B42D6">
        <w:rPr>
          <w:lang w:val="en-GB"/>
        </w:rPr>
        <w:t xml:space="preserve"> percent of the total households raising chicken</w:t>
      </w:r>
      <w:r w:rsidR="006974AD" w:rsidRPr="006B42D6">
        <w:rPr>
          <w:lang w:val="en-GB"/>
        </w:rPr>
        <w:t>,</w:t>
      </w:r>
      <w:r w:rsidRPr="006B42D6">
        <w:rPr>
          <w:lang w:val="en-GB"/>
        </w:rPr>
        <w:t xml:space="preserve"> whereas</w:t>
      </w:r>
      <w:r w:rsidR="006974AD" w:rsidRPr="006B42D6">
        <w:rPr>
          <w:lang w:val="en-GB"/>
        </w:rPr>
        <w:t>,</w:t>
      </w:r>
      <w:r w:rsidRPr="006B42D6">
        <w:rPr>
          <w:lang w:val="en-GB"/>
        </w:rPr>
        <w:t xml:space="preserve"> layers and broilers accounted for </w:t>
      </w:r>
      <w:r w:rsidR="00A71F69">
        <w:rPr>
          <w:lang w:val="en-GB"/>
        </w:rPr>
        <w:t>2.9</w:t>
      </w:r>
      <w:r w:rsidRPr="006B42D6">
        <w:rPr>
          <w:lang w:val="en-GB"/>
        </w:rPr>
        <w:t xml:space="preserve"> percent and </w:t>
      </w:r>
      <w:r w:rsidR="00A71F69">
        <w:rPr>
          <w:lang w:val="en-GB"/>
        </w:rPr>
        <w:t>0.6</w:t>
      </w:r>
      <w:r w:rsidRPr="006B42D6">
        <w:rPr>
          <w:lang w:val="en-GB"/>
        </w:rPr>
        <w:t xml:space="preserve"> percent respectively</w:t>
      </w:r>
      <w:r w:rsidRPr="006B42D6">
        <w:t xml:space="preserve"> (Table </w:t>
      </w:r>
      <w:r w:rsidR="000A0DBF" w:rsidRPr="006B42D6">
        <w:t>4.</w:t>
      </w:r>
      <w:r w:rsidR="006974AD" w:rsidRPr="006B42D6">
        <w:t>5</w:t>
      </w:r>
      <w:r w:rsidRPr="006B42D6">
        <w:t>).</w:t>
      </w:r>
    </w:p>
    <w:p w14:paraId="35352EFD" w14:textId="77777777" w:rsidR="007E3A7E" w:rsidRPr="006B42D6" w:rsidRDefault="007E3A7E" w:rsidP="00ED4429">
      <w:pPr>
        <w:rPr>
          <w:lang w:val="en-GB"/>
        </w:rPr>
      </w:pPr>
    </w:p>
    <w:p w14:paraId="72F801AD" w14:textId="623F611C" w:rsidR="007E3A7E" w:rsidRPr="006B42D6" w:rsidRDefault="000A0DBF" w:rsidP="007200F6">
      <w:pPr>
        <w:pStyle w:val="Heading7"/>
        <w:rPr>
          <w:lang w:val="en-GB"/>
        </w:rPr>
      </w:pPr>
      <w:bookmarkStart w:id="534" w:name="_Toc82386213"/>
      <w:r w:rsidRPr="006B42D6">
        <w:rPr>
          <w:lang w:val="en-GB"/>
        </w:rPr>
        <w:t>Table 4.</w:t>
      </w:r>
      <w:r w:rsidR="006974AD" w:rsidRPr="006B42D6">
        <w:rPr>
          <w:lang w:val="en-GB"/>
        </w:rPr>
        <w:t>5</w:t>
      </w:r>
      <w:r w:rsidR="00233635">
        <w:rPr>
          <w:lang w:val="en-GB"/>
        </w:rPr>
        <w:t>:</w:t>
      </w:r>
      <w:r w:rsidR="00A71F69">
        <w:rPr>
          <w:lang w:val="en-GB"/>
        </w:rPr>
        <w:tab/>
      </w:r>
      <w:r w:rsidR="007E3A7E" w:rsidRPr="006B42D6">
        <w:rPr>
          <w:lang w:val="en-GB"/>
        </w:rPr>
        <w:t>Number of Households, Total Number of Chicken and Percentage by Type of Chicken</w:t>
      </w:r>
      <w:r w:rsidR="00BF7C79" w:rsidRPr="006B42D6">
        <w:rPr>
          <w:lang w:val="en-GB"/>
        </w:rPr>
        <w:t xml:space="preserve"> as of 1</w:t>
      </w:r>
      <w:r w:rsidR="00BF7C79" w:rsidRPr="006B42D6">
        <w:rPr>
          <w:vertAlign w:val="superscript"/>
          <w:lang w:val="en-GB"/>
        </w:rPr>
        <w:t>st</w:t>
      </w:r>
      <w:r w:rsidR="00BF7C79" w:rsidRPr="006B42D6">
        <w:rPr>
          <w:lang w:val="en-GB"/>
        </w:rPr>
        <w:t xml:space="preserve"> August 2020</w:t>
      </w:r>
      <w:r w:rsidR="000D4D71" w:rsidRPr="006B42D6">
        <w:rPr>
          <w:lang w:val="en-GB"/>
        </w:rPr>
        <w:t>,</w:t>
      </w:r>
      <w:r w:rsidR="007E3A7E" w:rsidRPr="006B42D6">
        <w:rPr>
          <w:lang w:val="en-GB"/>
        </w:rPr>
        <w:t xml:space="preserve"> Tanzania</w:t>
      </w:r>
      <w:bookmarkEnd w:id="534"/>
    </w:p>
    <w:tbl>
      <w:tblPr>
        <w:tblW w:w="5041" w:type="pct"/>
        <w:tblLook w:val="04A0" w:firstRow="1" w:lastRow="0" w:firstColumn="1" w:lastColumn="0" w:noHBand="0" w:noVBand="1"/>
      </w:tblPr>
      <w:tblGrid>
        <w:gridCol w:w="797"/>
        <w:gridCol w:w="832"/>
        <w:gridCol w:w="611"/>
        <w:gridCol w:w="805"/>
        <w:gridCol w:w="611"/>
        <w:gridCol w:w="834"/>
        <w:gridCol w:w="611"/>
        <w:gridCol w:w="805"/>
        <w:gridCol w:w="611"/>
        <w:gridCol w:w="834"/>
        <w:gridCol w:w="611"/>
        <w:gridCol w:w="739"/>
        <w:gridCol w:w="611"/>
      </w:tblGrid>
      <w:tr w:rsidR="00233DD7" w:rsidRPr="00233635" w14:paraId="5E8A29B9" w14:textId="77777777" w:rsidTr="00F47326">
        <w:trPr>
          <w:trHeight w:val="224"/>
        </w:trPr>
        <w:tc>
          <w:tcPr>
            <w:tcW w:w="428" w:type="pct"/>
            <w:vMerge w:val="restart"/>
            <w:tcBorders>
              <w:top w:val="single" w:sz="4" w:space="0" w:color="auto"/>
              <w:left w:val="nil"/>
              <w:bottom w:val="single" w:sz="4" w:space="0" w:color="000000"/>
              <w:right w:val="nil"/>
            </w:tcBorders>
            <w:shd w:val="clear" w:color="auto" w:fill="E2EFD9" w:themeFill="accent6" w:themeFillTint="33"/>
            <w:vAlign w:val="center"/>
            <w:hideMark/>
          </w:tcPr>
          <w:p w14:paraId="58AF1CB4" w14:textId="77777777" w:rsidR="000A0DBF" w:rsidRPr="00233635" w:rsidRDefault="000A0DBF" w:rsidP="00233635">
            <w:pPr>
              <w:jc w:val="left"/>
              <w:rPr>
                <w:sz w:val="13"/>
                <w:szCs w:val="13"/>
              </w:rPr>
            </w:pPr>
            <w:r w:rsidRPr="00233635">
              <w:rPr>
                <w:sz w:val="13"/>
                <w:szCs w:val="13"/>
              </w:rPr>
              <w:t>Type of Chicken</w:t>
            </w:r>
          </w:p>
        </w:tc>
        <w:tc>
          <w:tcPr>
            <w:tcW w:w="1535" w:type="pct"/>
            <w:gridSpan w:val="4"/>
            <w:tcBorders>
              <w:top w:val="single" w:sz="4" w:space="0" w:color="auto"/>
              <w:left w:val="nil"/>
              <w:bottom w:val="single" w:sz="4" w:space="0" w:color="auto"/>
              <w:right w:val="nil"/>
            </w:tcBorders>
            <w:shd w:val="clear" w:color="auto" w:fill="E2EFD9" w:themeFill="accent6" w:themeFillTint="33"/>
            <w:noWrap/>
            <w:vAlign w:val="center"/>
            <w:hideMark/>
          </w:tcPr>
          <w:p w14:paraId="50ED0EBD" w14:textId="77777777" w:rsidR="000A0DBF" w:rsidRPr="00233635" w:rsidRDefault="000A0DBF" w:rsidP="00233635">
            <w:pPr>
              <w:jc w:val="center"/>
              <w:rPr>
                <w:sz w:val="13"/>
                <w:szCs w:val="13"/>
              </w:rPr>
            </w:pPr>
            <w:r w:rsidRPr="00233635">
              <w:rPr>
                <w:sz w:val="13"/>
                <w:szCs w:val="13"/>
              </w:rPr>
              <w:t>Tanzania</w:t>
            </w:r>
          </w:p>
        </w:tc>
        <w:tc>
          <w:tcPr>
            <w:tcW w:w="1536" w:type="pct"/>
            <w:gridSpan w:val="4"/>
            <w:tcBorders>
              <w:top w:val="single" w:sz="4" w:space="0" w:color="auto"/>
              <w:left w:val="single" w:sz="4" w:space="0" w:color="auto"/>
              <w:bottom w:val="single" w:sz="4" w:space="0" w:color="auto"/>
              <w:right w:val="single" w:sz="4" w:space="0" w:color="000000"/>
            </w:tcBorders>
            <w:shd w:val="clear" w:color="auto" w:fill="E2EFD9" w:themeFill="accent6" w:themeFillTint="33"/>
            <w:noWrap/>
            <w:vAlign w:val="center"/>
            <w:hideMark/>
          </w:tcPr>
          <w:p w14:paraId="315B5156" w14:textId="60AE37A3" w:rsidR="000A0DBF" w:rsidRPr="00233635" w:rsidRDefault="00EA1552" w:rsidP="00233635">
            <w:pPr>
              <w:jc w:val="center"/>
              <w:rPr>
                <w:sz w:val="13"/>
                <w:szCs w:val="13"/>
              </w:rPr>
            </w:pPr>
            <w:r w:rsidRPr="00233635">
              <w:rPr>
                <w:sz w:val="13"/>
                <w:szCs w:val="13"/>
              </w:rPr>
              <w:t>Mainland Tanzania</w:t>
            </w:r>
          </w:p>
        </w:tc>
        <w:tc>
          <w:tcPr>
            <w:tcW w:w="1501" w:type="pct"/>
            <w:gridSpan w:val="4"/>
            <w:tcBorders>
              <w:top w:val="single" w:sz="4" w:space="0" w:color="auto"/>
              <w:left w:val="nil"/>
              <w:bottom w:val="single" w:sz="4" w:space="0" w:color="auto"/>
              <w:right w:val="nil"/>
            </w:tcBorders>
            <w:shd w:val="clear" w:color="auto" w:fill="E2EFD9" w:themeFill="accent6" w:themeFillTint="33"/>
            <w:noWrap/>
            <w:vAlign w:val="center"/>
            <w:hideMark/>
          </w:tcPr>
          <w:p w14:paraId="174C2091" w14:textId="0AFACA01" w:rsidR="000A0DBF" w:rsidRPr="00233635" w:rsidRDefault="000D4D71" w:rsidP="00233635">
            <w:pPr>
              <w:jc w:val="center"/>
              <w:rPr>
                <w:sz w:val="13"/>
                <w:szCs w:val="13"/>
              </w:rPr>
            </w:pPr>
            <w:r w:rsidRPr="00233635">
              <w:rPr>
                <w:sz w:val="13"/>
                <w:szCs w:val="13"/>
              </w:rPr>
              <w:t xml:space="preserve">Tanzania </w:t>
            </w:r>
            <w:r w:rsidR="000A0DBF" w:rsidRPr="00233635">
              <w:rPr>
                <w:sz w:val="13"/>
                <w:szCs w:val="13"/>
              </w:rPr>
              <w:t>Zanzibar</w:t>
            </w:r>
          </w:p>
        </w:tc>
      </w:tr>
      <w:tr w:rsidR="00233DD7" w:rsidRPr="00233635" w14:paraId="0E6ECA36" w14:textId="77777777" w:rsidTr="00F47326">
        <w:trPr>
          <w:trHeight w:val="238"/>
        </w:trPr>
        <w:tc>
          <w:tcPr>
            <w:tcW w:w="428" w:type="pct"/>
            <w:vMerge/>
            <w:tcBorders>
              <w:top w:val="single" w:sz="4" w:space="0" w:color="auto"/>
              <w:left w:val="nil"/>
              <w:bottom w:val="single" w:sz="4" w:space="0" w:color="000000"/>
              <w:right w:val="nil"/>
            </w:tcBorders>
            <w:shd w:val="clear" w:color="auto" w:fill="E2EFD9" w:themeFill="accent6" w:themeFillTint="33"/>
            <w:vAlign w:val="center"/>
            <w:hideMark/>
          </w:tcPr>
          <w:p w14:paraId="756F903F" w14:textId="77777777" w:rsidR="000A0DBF" w:rsidRPr="00233635" w:rsidRDefault="000A0DBF" w:rsidP="000A0DBF">
            <w:pPr>
              <w:rPr>
                <w:sz w:val="13"/>
                <w:szCs w:val="13"/>
              </w:rPr>
            </w:pPr>
          </w:p>
        </w:tc>
        <w:tc>
          <w:tcPr>
            <w:tcW w:w="447" w:type="pct"/>
            <w:tcBorders>
              <w:top w:val="nil"/>
              <w:left w:val="nil"/>
              <w:bottom w:val="single" w:sz="4" w:space="0" w:color="auto"/>
              <w:right w:val="nil"/>
            </w:tcBorders>
            <w:shd w:val="clear" w:color="auto" w:fill="E2EFD9" w:themeFill="accent6" w:themeFillTint="33"/>
            <w:vAlign w:val="center"/>
            <w:hideMark/>
          </w:tcPr>
          <w:p w14:paraId="53FDAC42" w14:textId="77777777" w:rsidR="000A0DBF" w:rsidRPr="00233635" w:rsidRDefault="000A0DBF" w:rsidP="000A0DBF">
            <w:pPr>
              <w:rPr>
                <w:sz w:val="13"/>
                <w:szCs w:val="13"/>
              </w:rPr>
            </w:pPr>
            <w:r w:rsidRPr="00233635">
              <w:rPr>
                <w:sz w:val="13"/>
                <w:szCs w:val="13"/>
              </w:rPr>
              <w:t>Number of Households</w:t>
            </w:r>
          </w:p>
        </w:tc>
        <w:tc>
          <w:tcPr>
            <w:tcW w:w="328" w:type="pct"/>
            <w:tcBorders>
              <w:top w:val="nil"/>
              <w:left w:val="nil"/>
              <w:bottom w:val="single" w:sz="4" w:space="0" w:color="auto"/>
              <w:right w:val="nil"/>
            </w:tcBorders>
            <w:shd w:val="clear" w:color="auto" w:fill="E2EFD9" w:themeFill="accent6" w:themeFillTint="33"/>
            <w:vAlign w:val="center"/>
            <w:hideMark/>
          </w:tcPr>
          <w:p w14:paraId="45C6450E" w14:textId="77777777" w:rsidR="000A0DBF" w:rsidRPr="00233635" w:rsidRDefault="000A0DBF" w:rsidP="000A0DBF">
            <w:pPr>
              <w:rPr>
                <w:sz w:val="13"/>
                <w:szCs w:val="13"/>
              </w:rPr>
            </w:pPr>
            <w:r w:rsidRPr="00233635">
              <w:rPr>
                <w:sz w:val="13"/>
                <w:szCs w:val="13"/>
              </w:rPr>
              <w:t>Percent</w:t>
            </w:r>
          </w:p>
        </w:tc>
        <w:tc>
          <w:tcPr>
            <w:tcW w:w="432" w:type="pct"/>
            <w:tcBorders>
              <w:top w:val="nil"/>
              <w:left w:val="nil"/>
              <w:bottom w:val="single" w:sz="4" w:space="0" w:color="auto"/>
              <w:right w:val="nil"/>
            </w:tcBorders>
            <w:shd w:val="clear" w:color="auto" w:fill="E2EFD9" w:themeFill="accent6" w:themeFillTint="33"/>
            <w:vAlign w:val="center"/>
            <w:hideMark/>
          </w:tcPr>
          <w:p w14:paraId="62540532" w14:textId="77777777" w:rsidR="000A0DBF" w:rsidRPr="00233635" w:rsidRDefault="000A0DBF" w:rsidP="000A0DBF">
            <w:pPr>
              <w:rPr>
                <w:sz w:val="13"/>
                <w:szCs w:val="13"/>
              </w:rPr>
            </w:pPr>
            <w:r w:rsidRPr="00233635">
              <w:rPr>
                <w:sz w:val="13"/>
                <w:szCs w:val="13"/>
              </w:rPr>
              <w:t>Number of Chicken</w:t>
            </w:r>
          </w:p>
        </w:tc>
        <w:tc>
          <w:tcPr>
            <w:tcW w:w="328" w:type="pct"/>
            <w:tcBorders>
              <w:top w:val="nil"/>
              <w:left w:val="nil"/>
              <w:bottom w:val="single" w:sz="4" w:space="0" w:color="auto"/>
              <w:right w:val="nil"/>
            </w:tcBorders>
            <w:shd w:val="clear" w:color="auto" w:fill="E2EFD9" w:themeFill="accent6" w:themeFillTint="33"/>
            <w:vAlign w:val="center"/>
            <w:hideMark/>
          </w:tcPr>
          <w:p w14:paraId="4C584A92" w14:textId="77777777" w:rsidR="000A0DBF" w:rsidRPr="00233635" w:rsidRDefault="000A0DBF" w:rsidP="000A0DBF">
            <w:pPr>
              <w:jc w:val="center"/>
              <w:rPr>
                <w:sz w:val="13"/>
                <w:szCs w:val="13"/>
              </w:rPr>
            </w:pPr>
            <w:r w:rsidRPr="00233635">
              <w:rPr>
                <w:sz w:val="13"/>
                <w:szCs w:val="13"/>
              </w:rPr>
              <w:t>Percent</w:t>
            </w:r>
          </w:p>
        </w:tc>
        <w:tc>
          <w:tcPr>
            <w:tcW w:w="448" w:type="pct"/>
            <w:tcBorders>
              <w:top w:val="nil"/>
              <w:left w:val="single" w:sz="4" w:space="0" w:color="auto"/>
              <w:bottom w:val="single" w:sz="4" w:space="0" w:color="auto"/>
              <w:right w:val="nil"/>
            </w:tcBorders>
            <w:shd w:val="clear" w:color="auto" w:fill="E2EFD9" w:themeFill="accent6" w:themeFillTint="33"/>
            <w:vAlign w:val="center"/>
            <w:hideMark/>
          </w:tcPr>
          <w:p w14:paraId="7231A318" w14:textId="77777777" w:rsidR="000A0DBF" w:rsidRPr="00233635" w:rsidRDefault="000A0DBF" w:rsidP="000A0DBF">
            <w:pPr>
              <w:rPr>
                <w:sz w:val="13"/>
                <w:szCs w:val="13"/>
              </w:rPr>
            </w:pPr>
            <w:r w:rsidRPr="00233635">
              <w:rPr>
                <w:sz w:val="13"/>
                <w:szCs w:val="13"/>
              </w:rPr>
              <w:t>Number of Households</w:t>
            </w:r>
          </w:p>
        </w:tc>
        <w:tc>
          <w:tcPr>
            <w:tcW w:w="328" w:type="pct"/>
            <w:tcBorders>
              <w:top w:val="nil"/>
              <w:left w:val="nil"/>
              <w:bottom w:val="single" w:sz="4" w:space="0" w:color="auto"/>
              <w:right w:val="nil"/>
            </w:tcBorders>
            <w:shd w:val="clear" w:color="auto" w:fill="E2EFD9" w:themeFill="accent6" w:themeFillTint="33"/>
            <w:vAlign w:val="center"/>
            <w:hideMark/>
          </w:tcPr>
          <w:p w14:paraId="754ACAAC" w14:textId="77777777" w:rsidR="000A0DBF" w:rsidRPr="00233635" w:rsidRDefault="000A0DBF" w:rsidP="000A0DBF">
            <w:pPr>
              <w:rPr>
                <w:sz w:val="13"/>
                <w:szCs w:val="13"/>
              </w:rPr>
            </w:pPr>
            <w:r w:rsidRPr="00233635">
              <w:rPr>
                <w:sz w:val="13"/>
                <w:szCs w:val="13"/>
              </w:rPr>
              <w:t>Percent</w:t>
            </w:r>
          </w:p>
        </w:tc>
        <w:tc>
          <w:tcPr>
            <w:tcW w:w="432" w:type="pct"/>
            <w:tcBorders>
              <w:top w:val="nil"/>
              <w:left w:val="nil"/>
              <w:bottom w:val="single" w:sz="4" w:space="0" w:color="auto"/>
              <w:right w:val="nil"/>
            </w:tcBorders>
            <w:shd w:val="clear" w:color="auto" w:fill="E2EFD9" w:themeFill="accent6" w:themeFillTint="33"/>
            <w:vAlign w:val="center"/>
            <w:hideMark/>
          </w:tcPr>
          <w:p w14:paraId="514E2B89" w14:textId="77777777" w:rsidR="000A0DBF" w:rsidRPr="00233635" w:rsidRDefault="000A0DBF" w:rsidP="000A0DBF">
            <w:pPr>
              <w:rPr>
                <w:sz w:val="13"/>
                <w:szCs w:val="13"/>
              </w:rPr>
            </w:pPr>
            <w:r w:rsidRPr="00233635">
              <w:rPr>
                <w:sz w:val="13"/>
                <w:szCs w:val="13"/>
              </w:rPr>
              <w:t>Number of Chicken</w:t>
            </w:r>
          </w:p>
        </w:tc>
        <w:tc>
          <w:tcPr>
            <w:tcW w:w="328" w:type="pct"/>
            <w:tcBorders>
              <w:top w:val="nil"/>
              <w:left w:val="nil"/>
              <w:bottom w:val="single" w:sz="4" w:space="0" w:color="auto"/>
              <w:right w:val="single" w:sz="4" w:space="0" w:color="auto"/>
            </w:tcBorders>
            <w:shd w:val="clear" w:color="auto" w:fill="E2EFD9" w:themeFill="accent6" w:themeFillTint="33"/>
            <w:vAlign w:val="center"/>
            <w:hideMark/>
          </w:tcPr>
          <w:p w14:paraId="3EE8F4C5" w14:textId="77777777" w:rsidR="000A0DBF" w:rsidRPr="00233635" w:rsidRDefault="000A0DBF" w:rsidP="000A0DBF">
            <w:pPr>
              <w:jc w:val="center"/>
              <w:rPr>
                <w:sz w:val="13"/>
                <w:szCs w:val="13"/>
              </w:rPr>
            </w:pPr>
            <w:r w:rsidRPr="00233635">
              <w:rPr>
                <w:sz w:val="13"/>
                <w:szCs w:val="13"/>
              </w:rPr>
              <w:t>Percent</w:t>
            </w:r>
          </w:p>
        </w:tc>
        <w:tc>
          <w:tcPr>
            <w:tcW w:w="448" w:type="pct"/>
            <w:tcBorders>
              <w:top w:val="nil"/>
              <w:left w:val="nil"/>
              <w:bottom w:val="single" w:sz="4" w:space="0" w:color="auto"/>
              <w:right w:val="nil"/>
            </w:tcBorders>
            <w:shd w:val="clear" w:color="auto" w:fill="E2EFD9" w:themeFill="accent6" w:themeFillTint="33"/>
            <w:vAlign w:val="center"/>
            <w:hideMark/>
          </w:tcPr>
          <w:p w14:paraId="0A0306C8" w14:textId="77777777" w:rsidR="000A0DBF" w:rsidRPr="00233635" w:rsidRDefault="000A0DBF" w:rsidP="000A0DBF">
            <w:pPr>
              <w:rPr>
                <w:sz w:val="13"/>
                <w:szCs w:val="13"/>
              </w:rPr>
            </w:pPr>
            <w:r w:rsidRPr="00233635">
              <w:rPr>
                <w:sz w:val="13"/>
                <w:szCs w:val="13"/>
              </w:rPr>
              <w:t>Number of Households</w:t>
            </w:r>
          </w:p>
        </w:tc>
        <w:tc>
          <w:tcPr>
            <w:tcW w:w="328" w:type="pct"/>
            <w:tcBorders>
              <w:top w:val="nil"/>
              <w:left w:val="nil"/>
              <w:bottom w:val="single" w:sz="4" w:space="0" w:color="auto"/>
              <w:right w:val="nil"/>
            </w:tcBorders>
            <w:shd w:val="clear" w:color="auto" w:fill="E2EFD9" w:themeFill="accent6" w:themeFillTint="33"/>
            <w:vAlign w:val="center"/>
            <w:hideMark/>
          </w:tcPr>
          <w:p w14:paraId="3127D8A2" w14:textId="77777777" w:rsidR="000A0DBF" w:rsidRPr="00233635" w:rsidRDefault="000A0DBF" w:rsidP="000A0DBF">
            <w:pPr>
              <w:rPr>
                <w:sz w:val="13"/>
                <w:szCs w:val="13"/>
              </w:rPr>
            </w:pPr>
            <w:r w:rsidRPr="00233635">
              <w:rPr>
                <w:sz w:val="13"/>
                <w:szCs w:val="13"/>
              </w:rPr>
              <w:t>Percent</w:t>
            </w:r>
          </w:p>
        </w:tc>
        <w:tc>
          <w:tcPr>
            <w:tcW w:w="397" w:type="pct"/>
            <w:tcBorders>
              <w:top w:val="nil"/>
              <w:left w:val="nil"/>
              <w:bottom w:val="single" w:sz="4" w:space="0" w:color="auto"/>
              <w:right w:val="nil"/>
            </w:tcBorders>
            <w:shd w:val="clear" w:color="auto" w:fill="E2EFD9" w:themeFill="accent6" w:themeFillTint="33"/>
            <w:vAlign w:val="center"/>
            <w:hideMark/>
          </w:tcPr>
          <w:p w14:paraId="60AE9E9C" w14:textId="77777777" w:rsidR="000A0DBF" w:rsidRPr="00233635" w:rsidRDefault="000A0DBF" w:rsidP="000A0DBF">
            <w:pPr>
              <w:rPr>
                <w:sz w:val="13"/>
                <w:szCs w:val="13"/>
              </w:rPr>
            </w:pPr>
            <w:r w:rsidRPr="00233635">
              <w:rPr>
                <w:sz w:val="13"/>
                <w:szCs w:val="13"/>
              </w:rPr>
              <w:t>Number of Chicken</w:t>
            </w:r>
          </w:p>
        </w:tc>
        <w:tc>
          <w:tcPr>
            <w:tcW w:w="328" w:type="pct"/>
            <w:tcBorders>
              <w:top w:val="nil"/>
              <w:left w:val="nil"/>
              <w:bottom w:val="single" w:sz="4" w:space="0" w:color="auto"/>
              <w:right w:val="nil"/>
            </w:tcBorders>
            <w:shd w:val="clear" w:color="auto" w:fill="E2EFD9" w:themeFill="accent6" w:themeFillTint="33"/>
            <w:vAlign w:val="center"/>
            <w:hideMark/>
          </w:tcPr>
          <w:p w14:paraId="2607A5C2" w14:textId="77777777" w:rsidR="000A0DBF" w:rsidRPr="00233635" w:rsidRDefault="000A0DBF" w:rsidP="000A0DBF">
            <w:pPr>
              <w:rPr>
                <w:sz w:val="13"/>
                <w:szCs w:val="13"/>
              </w:rPr>
            </w:pPr>
            <w:r w:rsidRPr="00233635">
              <w:rPr>
                <w:sz w:val="13"/>
                <w:szCs w:val="13"/>
              </w:rPr>
              <w:t>Percent</w:t>
            </w:r>
          </w:p>
        </w:tc>
      </w:tr>
      <w:tr w:rsidR="00233DD7" w:rsidRPr="00233635" w14:paraId="5DED7FC8" w14:textId="77777777" w:rsidTr="00F47326">
        <w:trPr>
          <w:trHeight w:val="335"/>
        </w:trPr>
        <w:tc>
          <w:tcPr>
            <w:tcW w:w="428" w:type="pct"/>
            <w:tcBorders>
              <w:top w:val="nil"/>
              <w:left w:val="nil"/>
              <w:bottom w:val="nil"/>
              <w:right w:val="nil"/>
            </w:tcBorders>
            <w:shd w:val="clear" w:color="auto" w:fill="auto"/>
            <w:noWrap/>
            <w:vAlign w:val="center"/>
            <w:hideMark/>
          </w:tcPr>
          <w:p w14:paraId="4B503F13" w14:textId="77777777" w:rsidR="000A0DBF" w:rsidRPr="00233635" w:rsidRDefault="000A0DBF" w:rsidP="000A0DBF">
            <w:pPr>
              <w:rPr>
                <w:sz w:val="13"/>
                <w:szCs w:val="13"/>
              </w:rPr>
            </w:pPr>
            <w:r w:rsidRPr="00233635">
              <w:rPr>
                <w:sz w:val="13"/>
                <w:szCs w:val="13"/>
              </w:rPr>
              <w:t>Indigenous</w:t>
            </w:r>
          </w:p>
        </w:tc>
        <w:tc>
          <w:tcPr>
            <w:tcW w:w="447" w:type="pct"/>
            <w:tcBorders>
              <w:top w:val="nil"/>
              <w:left w:val="nil"/>
              <w:bottom w:val="nil"/>
              <w:right w:val="nil"/>
            </w:tcBorders>
            <w:shd w:val="clear" w:color="auto" w:fill="auto"/>
            <w:noWrap/>
            <w:vAlign w:val="center"/>
            <w:hideMark/>
          </w:tcPr>
          <w:p w14:paraId="6090A45A" w14:textId="77777777" w:rsidR="000A0DBF" w:rsidRPr="00233635" w:rsidRDefault="000A0DBF" w:rsidP="000A0DBF">
            <w:pPr>
              <w:jc w:val="right"/>
              <w:rPr>
                <w:sz w:val="13"/>
                <w:szCs w:val="13"/>
              </w:rPr>
            </w:pPr>
            <w:r w:rsidRPr="00233635">
              <w:rPr>
                <w:sz w:val="13"/>
                <w:szCs w:val="13"/>
              </w:rPr>
              <w:t>3,897,380</w:t>
            </w:r>
          </w:p>
        </w:tc>
        <w:tc>
          <w:tcPr>
            <w:tcW w:w="328" w:type="pct"/>
            <w:tcBorders>
              <w:top w:val="nil"/>
              <w:left w:val="nil"/>
              <w:bottom w:val="nil"/>
              <w:right w:val="nil"/>
            </w:tcBorders>
            <w:shd w:val="clear" w:color="auto" w:fill="auto"/>
            <w:noWrap/>
            <w:vAlign w:val="center"/>
            <w:hideMark/>
          </w:tcPr>
          <w:p w14:paraId="27FDF27B" w14:textId="77777777" w:rsidR="000A0DBF" w:rsidRPr="00233635" w:rsidRDefault="000A0DBF" w:rsidP="000A0DBF">
            <w:pPr>
              <w:jc w:val="right"/>
              <w:rPr>
                <w:sz w:val="13"/>
                <w:szCs w:val="13"/>
              </w:rPr>
            </w:pPr>
            <w:r w:rsidRPr="00233635">
              <w:rPr>
                <w:sz w:val="13"/>
                <w:szCs w:val="13"/>
              </w:rPr>
              <w:t>89.8</w:t>
            </w:r>
          </w:p>
        </w:tc>
        <w:tc>
          <w:tcPr>
            <w:tcW w:w="432" w:type="pct"/>
            <w:tcBorders>
              <w:top w:val="nil"/>
              <w:left w:val="nil"/>
              <w:bottom w:val="nil"/>
              <w:right w:val="nil"/>
            </w:tcBorders>
            <w:shd w:val="clear" w:color="auto" w:fill="auto"/>
            <w:noWrap/>
            <w:vAlign w:val="center"/>
            <w:hideMark/>
          </w:tcPr>
          <w:p w14:paraId="544C0DBB" w14:textId="77777777" w:rsidR="000A0DBF" w:rsidRPr="00233635" w:rsidRDefault="000A0DBF" w:rsidP="000A0DBF">
            <w:pPr>
              <w:jc w:val="right"/>
              <w:rPr>
                <w:sz w:val="13"/>
                <w:szCs w:val="13"/>
              </w:rPr>
            </w:pPr>
            <w:r w:rsidRPr="00233635">
              <w:rPr>
                <w:sz w:val="13"/>
                <w:szCs w:val="13"/>
              </w:rPr>
              <w:t>43,720,661</w:t>
            </w:r>
          </w:p>
        </w:tc>
        <w:tc>
          <w:tcPr>
            <w:tcW w:w="328" w:type="pct"/>
            <w:tcBorders>
              <w:top w:val="nil"/>
              <w:left w:val="nil"/>
              <w:bottom w:val="nil"/>
              <w:right w:val="nil"/>
            </w:tcBorders>
            <w:shd w:val="clear" w:color="auto" w:fill="auto"/>
            <w:noWrap/>
            <w:vAlign w:val="center"/>
            <w:hideMark/>
          </w:tcPr>
          <w:p w14:paraId="04B7AFDB" w14:textId="77777777" w:rsidR="000A0DBF" w:rsidRPr="00233635" w:rsidRDefault="000A0DBF" w:rsidP="000A0DBF">
            <w:pPr>
              <w:jc w:val="right"/>
              <w:rPr>
                <w:sz w:val="13"/>
                <w:szCs w:val="13"/>
              </w:rPr>
            </w:pPr>
            <w:r w:rsidRPr="00233635">
              <w:rPr>
                <w:sz w:val="13"/>
                <w:szCs w:val="13"/>
              </w:rPr>
              <w:t>58.2</w:t>
            </w:r>
          </w:p>
        </w:tc>
        <w:tc>
          <w:tcPr>
            <w:tcW w:w="448" w:type="pct"/>
            <w:tcBorders>
              <w:top w:val="nil"/>
              <w:left w:val="single" w:sz="4" w:space="0" w:color="auto"/>
              <w:bottom w:val="nil"/>
              <w:right w:val="nil"/>
            </w:tcBorders>
            <w:shd w:val="clear" w:color="auto" w:fill="auto"/>
            <w:noWrap/>
            <w:vAlign w:val="center"/>
            <w:hideMark/>
          </w:tcPr>
          <w:p w14:paraId="15E20DC6" w14:textId="77777777" w:rsidR="000A0DBF" w:rsidRPr="00233635" w:rsidRDefault="000A0DBF" w:rsidP="000A0DBF">
            <w:pPr>
              <w:jc w:val="right"/>
              <w:rPr>
                <w:sz w:val="13"/>
                <w:szCs w:val="13"/>
              </w:rPr>
            </w:pPr>
            <w:r w:rsidRPr="00233635">
              <w:rPr>
                <w:sz w:val="13"/>
                <w:szCs w:val="13"/>
              </w:rPr>
              <w:t>3,797,537</w:t>
            </w:r>
          </w:p>
        </w:tc>
        <w:tc>
          <w:tcPr>
            <w:tcW w:w="328" w:type="pct"/>
            <w:tcBorders>
              <w:top w:val="nil"/>
              <w:left w:val="nil"/>
              <w:bottom w:val="nil"/>
              <w:right w:val="nil"/>
            </w:tcBorders>
            <w:shd w:val="clear" w:color="auto" w:fill="auto"/>
            <w:noWrap/>
            <w:vAlign w:val="center"/>
            <w:hideMark/>
          </w:tcPr>
          <w:p w14:paraId="1C3714A9" w14:textId="77777777" w:rsidR="000A0DBF" w:rsidRPr="00233635" w:rsidRDefault="000A0DBF" w:rsidP="000A0DBF">
            <w:pPr>
              <w:jc w:val="right"/>
              <w:rPr>
                <w:sz w:val="13"/>
                <w:szCs w:val="13"/>
              </w:rPr>
            </w:pPr>
            <w:r w:rsidRPr="00233635">
              <w:rPr>
                <w:sz w:val="13"/>
                <w:szCs w:val="13"/>
              </w:rPr>
              <w:t>89.6</w:t>
            </w:r>
          </w:p>
        </w:tc>
        <w:tc>
          <w:tcPr>
            <w:tcW w:w="432" w:type="pct"/>
            <w:tcBorders>
              <w:top w:val="nil"/>
              <w:left w:val="nil"/>
              <w:bottom w:val="nil"/>
              <w:right w:val="nil"/>
            </w:tcBorders>
            <w:shd w:val="clear" w:color="auto" w:fill="auto"/>
            <w:noWrap/>
            <w:vAlign w:val="center"/>
            <w:hideMark/>
          </w:tcPr>
          <w:p w14:paraId="082065EC" w14:textId="77777777" w:rsidR="000A0DBF" w:rsidRPr="00233635" w:rsidRDefault="000A0DBF" w:rsidP="000A0DBF">
            <w:pPr>
              <w:jc w:val="right"/>
              <w:rPr>
                <w:sz w:val="13"/>
                <w:szCs w:val="13"/>
              </w:rPr>
            </w:pPr>
            <w:r w:rsidRPr="00233635">
              <w:rPr>
                <w:sz w:val="13"/>
                <w:szCs w:val="13"/>
              </w:rPr>
              <w:t>42,212,121</w:t>
            </w:r>
          </w:p>
        </w:tc>
        <w:tc>
          <w:tcPr>
            <w:tcW w:w="328" w:type="pct"/>
            <w:tcBorders>
              <w:top w:val="nil"/>
              <w:left w:val="nil"/>
              <w:bottom w:val="nil"/>
              <w:right w:val="single" w:sz="4" w:space="0" w:color="auto"/>
            </w:tcBorders>
            <w:shd w:val="clear" w:color="auto" w:fill="auto"/>
            <w:noWrap/>
            <w:vAlign w:val="center"/>
            <w:hideMark/>
          </w:tcPr>
          <w:p w14:paraId="5DF2CFFF" w14:textId="77777777" w:rsidR="000A0DBF" w:rsidRPr="00233635" w:rsidRDefault="000A0DBF" w:rsidP="000A0DBF">
            <w:pPr>
              <w:jc w:val="right"/>
              <w:rPr>
                <w:sz w:val="13"/>
                <w:szCs w:val="13"/>
              </w:rPr>
            </w:pPr>
            <w:r w:rsidRPr="00233635">
              <w:rPr>
                <w:sz w:val="13"/>
                <w:szCs w:val="13"/>
              </w:rPr>
              <w:t>59.1</w:t>
            </w:r>
          </w:p>
        </w:tc>
        <w:tc>
          <w:tcPr>
            <w:tcW w:w="448" w:type="pct"/>
            <w:tcBorders>
              <w:top w:val="nil"/>
              <w:left w:val="nil"/>
              <w:bottom w:val="nil"/>
              <w:right w:val="nil"/>
            </w:tcBorders>
            <w:shd w:val="clear" w:color="auto" w:fill="auto"/>
            <w:noWrap/>
            <w:vAlign w:val="center"/>
            <w:hideMark/>
          </w:tcPr>
          <w:p w14:paraId="47224B7E" w14:textId="77777777" w:rsidR="000A0DBF" w:rsidRPr="00233635" w:rsidRDefault="000A0DBF" w:rsidP="000A0DBF">
            <w:pPr>
              <w:jc w:val="right"/>
              <w:rPr>
                <w:sz w:val="13"/>
                <w:szCs w:val="13"/>
              </w:rPr>
            </w:pPr>
            <w:r w:rsidRPr="00233635">
              <w:rPr>
                <w:sz w:val="13"/>
                <w:szCs w:val="13"/>
              </w:rPr>
              <w:t>99,843</w:t>
            </w:r>
          </w:p>
        </w:tc>
        <w:tc>
          <w:tcPr>
            <w:tcW w:w="328" w:type="pct"/>
            <w:tcBorders>
              <w:top w:val="nil"/>
              <w:left w:val="nil"/>
              <w:bottom w:val="nil"/>
              <w:right w:val="nil"/>
            </w:tcBorders>
            <w:shd w:val="clear" w:color="auto" w:fill="auto"/>
            <w:noWrap/>
            <w:vAlign w:val="center"/>
            <w:hideMark/>
          </w:tcPr>
          <w:p w14:paraId="09B70328" w14:textId="77777777" w:rsidR="000A0DBF" w:rsidRPr="00233635" w:rsidRDefault="000A0DBF" w:rsidP="000A0DBF">
            <w:pPr>
              <w:jc w:val="right"/>
              <w:rPr>
                <w:sz w:val="13"/>
                <w:szCs w:val="13"/>
              </w:rPr>
            </w:pPr>
            <w:r w:rsidRPr="00233635">
              <w:rPr>
                <w:sz w:val="13"/>
                <w:szCs w:val="13"/>
              </w:rPr>
              <w:t>99.3</w:t>
            </w:r>
          </w:p>
        </w:tc>
        <w:tc>
          <w:tcPr>
            <w:tcW w:w="397" w:type="pct"/>
            <w:tcBorders>
              <w:top w:val="nil"/>
              <w:left w:val="nil"/>
              <w:bottom w:val="nil"/>
              <w:right w:val="nil"/>
            </w:tcBorders>
            <w:shd w:val="clear" w:color="auto" w:fill="auto"/>
            <w:noWrap/>
            <w:vAlign w:val="center"/>
            <w:hideMark/>
          </w:tcPr>
          <w:p w14:paraId="4D00DBF7" w14:textId="77777777" w:rsidR="000A0DBF" w:rsidRPr="00233635" w:rsidRDefault="000A0DBF" w:rsidP="000A0DBF">
            <w:pPr>
              <w:jc w:val="right"/>
              <w:rPr>
                <w:sz w:val="13"/>
                <w:szCs w:val="13"/>
              </w:rPr>
            </w:pPr>
            <w:r w:rsidRPr="00233635">
              <w:rPr>
                <w:sz w:val="13"/>
                <w:szCs w:val="13"/>
              </w:rPr>
              <w:t>1,520,508</w:t>
            </w:r>
          </w:p>
        </w:tc>
        <w:tc>
          <w:tcPr>
            <w:tcW w:w="328" w:type="pct"/>
            <w:tcBorders>
              <w:top w:val="nil"/>
              <w:left w:val="nil"/>
              <w:bottom w:val="nil"/>
              <w:right w:val="nil"/>
            </w:tcBorders>
            <w:shd w:val="clear" w:color="auto" w:fill="auto"/>
            <w:noWrap/>
            <w:vAlign w:val="center"/>
            <w:hideMark/>
          </w:tcPr>
          <w:p w14:paraId="350362AE" w14:textId="77777777" w:rsidR="000A0DBF" w:rsidRPr="00233635" w:rsidRDefault="000A0DBF" w:rsidP="000A0DBF">
            <w:pPr>
              <w:jc w:val="right"/>
              <w:rPr>
                <w:sz w:val="13"/>
                <w:szCs w:val="13"/>
              </w:rPr>
            </w:pPr>
            <w:r w:rsidRPr="00233635">
              <w:rPr>
                <w:sz w:val="13"/>
                <w:szCs w:val="13"/>
              </w:rPr>
              <w:t>40.9</w:t>
            </w:r>
          </w:p>
        </w:tc>
      </w:tr>
      <w:tr w:rsidR="00233DD7" w:rsidRPr="00233635" w14:paraId="2B0CEAA7" w14:textId="77777777" w:rsidTr="00F47326">
        <w:trPr>
          <w:trHeight w:val="335"/>
        </w:trPr>
        <w:tc>
          <w:tcPr>
            <w:tcW w:w="428" w:type="pct"/>
            <w:tcBorders>
              <w:top w:val="nil"/>
              <w:left w:val="nil"/>
              <w:bottom w:val="nil"/>
              <w:right w:val="nil"/>
            </w:tcBorders>
            <w:shd w:val="clear" w:color="auto" w:fill="auto"/>
            <w:noWrap/>
            <w:vAlign w:val="center"/>
            <w:hideMark/>
          </w:tcPr>
          <w:p w14:paraId="7B4BFBF0" w14:textId="77777777" w:rsidR="000A0DBF" w:rsidRPr="00233635" w:rsidRDefault="000A0DBF" w:rsidP="000A0DBF">
            <w:pPr>
              <w:rPr>
                <w:sz w:val="13"/>
                <w:szCs w:val="13"/>
              </w:rPr>
            </w:pPr>
            <w:r w:rsidRPr="00233635">
              <w:rPr>
                <w:sz w:val="13"/>
                <w:szCs w:val="13"/>
              </w:rPr>
              <w:t>Layers</w:t>
            </w:r>
          </w:p>
        </w:tc>
        <w:tc>
          <w:tcPr>
            <w:tcW w:w="447" w:type="pct"/>
            <w:tcBorders>
              <w:top w:val="nil"/>
              <w:left w:val="nil"/>
              <w:bottom w:val="nil"/>
              <w:right w:val="nil"/>
            </w:tcBorders>
            <w:shd w:val="clear" w:color="auto" w:fill="auto"/>
            <w:noWrap/>
            <w:vAlign w:val="center"/>
            <w:hideMark/>
          </w:tcPr>
          <w:p w14:paraId="2D0D0FB0" w14:textId="77777777" w:rsidR="000A0DBF" w:rsidRPr="00233635" w:rsidRDefault="000A0DBF" w:rsidP="000A0DBF">
            <w:pPr>
              <w:jc w:val="right"/>
              <w:rPr>
                <w:sz w:val="13"/>
                <w:szCs w:val="13"/>
              </w:rPr>
            </w:pPr>
            <w:r w:rsidRPr="00233635">
              <w:rPr>
                <w:sz w:val="13"/>
                <w:szCs w:val="13"/>
              </w:rPr>
              <w:t>409,835</w:t>
            </w:r>
          </w:p>
        </w:tc>
        <w:tc>
          <w:tcPr>
            <w:tcW w:w="328" w:type="pct"/>
            <w:tcBorders>
              <w:top w:val="nil"/>
              <w:left w:val="nil"/>
              <w:bottom w:val="nil"/>
              <w:right w:val="nil"/>
            </w:tcBorders>
            <w:shd w:val="clear" w:color="auto" w:fill="auto"/>
            <w:noWrap/>
            <w:vAlign w:val="center"/>
            <w:hideMark/>
          </w:tcPr>
          <w:p w14:paraId="691FA32F" w14:textId="77777777" w:rsidR="000A0DBF" w:rsidRPr="00233635" w:rsidRDefault="000A0DBF" w:rsidP="000A0DBF">
            <w:pPr>
              <w:jc w:val="right"/>
              <w:rPr>
                <w:sz w:val="13"/>
                <w:szCs w:val="13"/>
              </w:rPr>
            </w:pPr>
            <w:r w:rsidRPr="00233635">
              <w:rPr>
                <w:sz w:val="13"/>
                <w:szCs w:val="13"/>
              </w:rPr>
              <w:t>9.45</w:t>
            </w:r>
          </w:p>
        </w:tc>
        <w:tc>
          <w:tcPr>
            <w:tcW w:w="432" w:type="pct"/>
            <w:tcBorders>
              <w:top w:val="nil"/>
              <w:left w:val="nil"/>
              <w:bottom w:val="nil"/>
              <w:right w:val="nil"/>
            </w:tcBorders>
            <w:shd w:val="clear" w:color="auto" w:fill="auto"/>
            <w:noWrap/>
            <w:vAlign w:val="center"/>
            <w:hideMark/>
          </w:tcPr>
          <w:p w14:paraId="7DC43084" w14:textId="77777777" w:rsidR="000A0DBF" w:rsidRPr="00233635" w:rsidRDefault="000A0DBF" w:rsidP="000A0DBF">
            <w:pPr>
              <w:jc w:val="right"/>
              <w:rPr>
                <w:sz w:val="13"/>
                <w:szCs w:val="13"/>
              </w:rPr>
            </w:pPr>
            <w:r w:rsidRPr="00233635">
              <w:rPr>
                <w:sz w:val="13"/>
                <w:szCs w:val="13"/>
              </w:rPr>
              <w:t>18,549,638</w:t>
            </w:r>
          </w:p>
        </w:tc>
        <w:tc>
          <w:tcPr>
            <w:tcW w:w="328" w:type="pct"/>
            <w:tcBorders>
              <w:top w:val="nil"/>
              <w:left w:val="nil"/>
              <w:bottom w:val="nil"/>
              <w:right w:val="nil"/>
            </w:tcBorders>
            <w:shd w:val="clear" w:color="auto" w:fill="auto"/>
            <w:noWrap/>
            <w:vAlign w:val="center"/>
            <w:hideMark/>
          </w:tcPr>
          <w:p w14:paraId="6A862E1D" w14:textId="77777777" w:rsidR="000A0DBF" w:rsidRPr="00233635" w:rsidRDefault="000A0DBF" w:rsidP="000A0DBF">
            <w:pPr>
              <w:jc w:val="right"/>
              <w:rPr>
                <w:sz w:val="13"/>
                <w:szCs w:val="13"/>
              </w:rPr>
            </w:pPr>
            <w:r w:rsidRPr="00233635">
              <w:rPr>
                <w:sz w:val="13"/>
                <w:szCs w:val="13"/>
              </w:rPr>
              <w:t>24.7</w:t>
            </w:r>
          </w:p>
        </w:tc>
        <w:tc>
          <w:tcPr>
            <w:tcW w:w="448" w:type="pct"/>
            <w:tcBorders>
              <w:top w:val="nil"/>
              <w:left w:val="single" w:sz="4" w:space="0" w:color="auto"/>
              <w:bottom w:val="nil"/>
              <w:right w:val="nil"/>
            </w:tcBorders>
            <w:shd w:val="clear" w:color="auto" w:fill="auto"/>
            <w:noWrap/>
            <w:vAlign w:val="center"/>
            <w:hideMark/>
          </w:tcPr>
          <w:p w14:paraId="38A3F99C" w14:textId="77777777" w:rsidR="000A0DBF" w:rsidRPr="00233635" w:rsidRDefault="000A0DBF" w:rsidP="000A0DBF">
            <w:pPr>
              <w:jc w:val="right"/>
              <w:rPr>
                <w:sz w:val="13"/>
                <w:szCs w:val="13"/>
              </w:rPr>
            </w:pPr>
            <w:r w:rsidRPr="00233635">
              <w:rPr>
                <w:sz w:val="13"/>
                <w:szCs w:val="13"/>
              </w:rPr>
              <w:t>406,909</w:t>
            </w:r>
          </w:p>
        </w:tc>
        <w:tc>
          <w:tcPr>
            <w:tcW w:w="328" w:type="pct"/>
            <w:tcBorders>
              <w:top w:val="nil"/>
              <w:left w:val="nil"/>
              <w:bottom w:val="nil"/>
              <w:right w:val="nil"/>
            </w:tcBorders>
            <w:shd w:val="clear" w:color="auto" w:fill="auto"/>
            <w:noWrap/>
            <w:vAlign w:val="center"/>
            <w:hideMark/>
          </w:tcPr>
          <w:p w14:paraId="05AB9ECE" w14:textId="77777777" w:rsidR="000A0DBF" w:rsidRPr="00233635" w:rsidRDefault="000A0DBF" w:rsidP="000A0DBF">
            <w:pPr>
              <w:jc w:val="right"/>
              <w:rPr>
                <w:sz w:val="13"/>
                <w:szCs w:val="13"/>
              </w:rPr>
            </w:pPr>
            <w:r w:rsidRPr="00233635">
              <w:rPr>
                <w:sz w:val="13"/>
                <w:szCs w:val="13"/>
              </w:rPr>
              <w:t>9.6</w:t>
            </w:r>
          </w:p>
        </w:tc>
        <w:tc>
          <w:tcPr>
            <w:tcW w:w="432" w:type="pct"/>
            <w:tcBorders>
              <w:top w:val="nil"/>
              <w:left w:val="nil"/>
              <w:bottom w:val="nil"/>
              <w:right w:val="nil"/>
            </w:tcBorders>
            <w:shd w:val="clear" w:color="auto" w:fill="auto"/>
            <w:noWrap/>
            <w:vAlign w:val="center"/>
            <w:hideMark/>
          </w:tcPr>
          <w:p w14:paraId="23F8031A" w14:textId="77777777" w:rsidR="000A0DBF" w:rsidRPr="00233635" w:rsidRDefault="000A0DBF" w:rsidP="000A0DBF">
            <w:pPr>
              <w:jc w:val="right"/>
              <w:rPr>
                <w:sz w:val="13"/>
                <w:szCs w:val="13"/>
              </w:rPr>
            </w:pPr>
            <w:r w:rsidRPr="00233635">
              <w:rPr>
                <w:sz w:val="13"/>
                <w:szCs w:val="13"/>
              </w:rPr>
              <w:t>16,432,644</w:t>
            </w:r>
          </w:p>
        </w:tc>
        <w:tc>
          <w:tcPr>
            <w:tcW w:w="328" w:type="pct"/>
            <w:tcBorders>
              <w:top w:val="nil"/>
              <w:left w:val="nil"/>
              <w:bottom w:val="nil"/>
              <w:right w:val="single" w:sz="4" w:space="0" w:color="auto"/>
            </w:tcBorders>
            <w:shd w:val="clear" w:color="auto" w:fill="auto"/>
            <w:noWrap/>
            <w:vAlign w:val="center"/>
            <w:hideMark/>
          </w:tcPr>
          <w:p w14:paraId="7C9BD41C" w14:textId="77777777" w:rsidR="000A0DBF" w:rsidRPr="00233635" w:rsidRDefault="000A0DBF" w:rsidP="000A0DBF">
            <w:pPr>
              <w:jc w:val="right"/>
              <w:rPr>
                <w:sz w:val="13"/>
                <w:szCs w:val="13"/>
              </w:rPr>
            </w:pPr>
            <w:r w:rsidRPr="00233635">
              <w:rPr>
                <w:sz w:val="13"/>
                <w:szCs w:val="13"/>
              </w:rPr>
              <w:t>23</w:t>
            </w:r>
          </w:p>
        </w:tc>
        <w:tc>
          <w:tcPr>
            <w:tcW w:w="448" w:type="pct"/>
            <w:tcBorders>
              <w:top w:val="nil"/>
              <w:left w:val="nil"/>
              <w:bottom w:val="nil"/>
              <w:right w:val="nil"/>
            </w:tcBorders>
            <w:shd w:val="clear" w:color="auto" w:fill="auto"/>
            <w:noWrap/>
            <w:vAlign w:val="center"/>
            <w:hideMark/>
          </w:tcPr>
          <w:p w14:paraId="012523F2" w14:textId="77777777" w:rsidR="000A0DBF" w:rsidRPr="00233635" w:rsidRDefault="000A0DBF" w:rsidP="000A0DBF">
            <w:pPr>
              <w:jc w:val="right"/>
              <w:rPr>
                <w:sz w:val="13"/>
                <w:szCs w:val="13"/>
              </w:rPr>
            </w:pPr>
            <w:r w:rsidRPr="00233635">
              <w:rPr>
                <w:sz w:val="13"/>
                <w:szCs w:val="13"/>
              </w:rPr>
              <w:t>2,926</w:t>
            </w:r>
          </w:p>
        </w:tc>
        <w:tc>
          <w:tcPr>
            <w:tcW w:w="328" w:type="pct"/>
            <w:tcBorders>
              <w:top w:val="nil"/>
              <w:left w:val="nil"/>
              <w:bottom w:val="nil"/>
              <w:right w:val="nil"/>
            </w:tcBorders>
            <w:shd w:val="clear" w:color="auto" w:fill="auto"/>
            <w:noWrap/>
            <w:vAlign w:val="center"/>
            <w:hideMark/>
          </w:tcPr>
          <w:p w14:paraId="08E0B271" w14:textId="77777777" w:rsidR="000A0DBF" w:rsidRPr="00233635" w:rsidRDefault="000A0DBF" w:rsidP="000A0DBF">
            <w:pPr>
              <w:jc w:val="right"/>
              <w:rPr>
                <w:sz w:val="13"/>
                <w:szCs w:val="13"/>
              </w:rPr>
            </w:pPr>
            <w:r w:rsidRPr="00233635">
              <w:rPr>
                <w:sz w:val="13"/>
                <w:szCs w:val="13"/>
              </w:rPr>
              <w:t>2.9</w:t>
            </w:r>
          </w:p>
        </w:tc>
        <w:tc>
          <w:tcPr>
            <w:tcW w:w="397" w:type="pct"/>
            <w:tcBorders>
              <w:top w:val="nil"/>
              <w:left w:val="nil"/>
              <w:bottom w:val="nil"/>
              <w:right w:val="nil"/>
            </w:tcBorders>
            <w:shd w:val="clear" w:color="auto" w:fill="auto"/>
            <w:noWrap/>
            <w:vAlign w:val="center"/>
            <w:hideMark/>
          </w:tcPr>
          <w:p w14:paraId="2F2A3D05" w14:textId="77777777" w:rsidR="000A0DBF" w:rsidRPr="00233635" w:rsidRDefault="000A0DBF" w:rsidP="000A0DBF">
            <w:pPr>
              <w:jc w:val="right"/>
              <w:rPr>
                <w:sz w:val="13"/>
                <w:szCs w:val="13"/>
              </w:rPr>
            </w:pPr>
            <w:r w:rsidRPr="00233635">
              <w:rPr>
                <w:sz w:val="13"/>
                <w:szCs w:val="13"/>
              </w:rPr>
              <w:t>2,116,994</w:t>
            </w:r>
          </w:p>
        </w:tc>
        <w:tc>
          <w:tcPr>
            <w:tcW w:w="328" w:type="pct"/>
            <w:tcBorders>
              <w:top w:val="nil"/>
              <w:left w:val="nil"/>
              <w:bottom w:val="nil"/>
              <w:right w:val="nil"/>
            </w:tcBorders>
            <w:shd w:val="clear" w:color="auto" w:fill="auto"/>
            <w:noWrap/>
            <w:vAlign w:val="center"/>
            <w:hideMark/>
          </w:tcPr>
          <w:p w14:paraId="0273AEFE" w14:textId="77777777" w:rsidR="000A0DBF" w:rsidRPr="00233635" w:rsidRDefault="000A0DBF" w:rsidP="000A0DBF">
            <w:pPr>
              <w:jc w:val="right"/>
              <w:rPr>
                <w:sz w:val="13"/>
                <w:szCs w:val="13"/>
              </w:rPr>
            </w:pPr>
            <w:r w:rsidRPr="00233635">
              <w:rPr>
                <w:sz w:val="13"/>
                <w:szCs w:val="13"/>
              </w:rPr>
              <w:t>56.9</w:t>
            </w:r>
          </w:p>
        </w:tc>
      </w:tr>
      <w:tr w:rsidR="00233DD7" w:rsidRPr="00233635" w14:paraId="128F602C" w14:textId="77777777" w:rsidTr="00F47326">
        <w:trPr>
          <w:trHeight w:val="335"/>
        </w:trPr>
        <w:tc>
          <w:tcPr>
            <w:tcW w:w="428" w:type="pct"/>
            <w:tcBorders>
              <w:top w:val="nil"/>
              <w:left w:val="nil"/>
              <w:bottom w:val="nil"/>
              <w:right w:val="nil"/>
            </w:tcBorders>
            <w:shd w:val="clear" w:color="auto" w:fill="auto"/>
            <w:noWrap/>
            <w:vAlign w:val="center"/>
            <w:hideMark/>
          </w:tcPr>
          <w:p w14:paraId="2992D67C" w14:textId="77777777" w:rsidR="000A0DBF" w:rsidRPr="00233635" w:rsidRDefault="000A0DBF" w:rsidP="000A0DBF">
            <w:pPr>
              <w:rPr>
                <w:sz w:val="13"/>
                <w:szCs w:val="13"/>
              </w:rPr>
            </w:pPr>
            <w:r w:rsidRPr="00233635">
              <w:rPr>
                <w:sz w:val="13"/>
                <w:szCs w:val="13"/>
              </w:rPr>
              <w:t>Broilers</w:t>
            </w:r>
          </w:p>
        </w:tc>
        <w:tc>
          <w:tcPr>
            <w:tcW w:w="447" w:type="pct"/>
            <w:tcBorders>
              <w:top w:val="nil"/>
              <w:left w:val="nil"/>
              <w:bottom w:val="nil"/>
              <w:right w:val="nil"/>
            </w:tcBorders>
            <w:shd w:val="clear" w:color="auto" w:fill="auto"/>
            <w:noWrap/>
            <w:vAlign w:val="center"/>
            <w:hideMark/>
          </w:tcPr>
          <w:p w14:paraId="013B22AA" w14:textId="77777777" w:rsidR="000A0DBF" w:rsidRPr="00233635" w:rsidRDefault="000A0DBF" w:rsidP="000A0DBF">
            <w:pPr>
              <w:jc w:val="right"/>
              <w:rPr>
                <w:sz w:val="13"/>
                <w:szCs w:val="13"/>
              </w:rPr>
            </w:pPr>
            <w:r w:rsidRPr="00233635">
              <w:rPr>
                <w:sz w:val="13"/>
                <w:szCs w:val="13"/>
              </w:rPr>
              <w:t>331,164</w:t>
            </w:r>
          </w:p>
        </w:tc>
        <w:tc>
          <w:tcPr>
            <w:tcW w:w="328" w:type="pct"/>
            <w:tcBorders>
              <w:top w:val="nil"/>
              <w:left w:val="nil"/>
              <w:bottom w:val="nil"/>
              <w:right w:val="nil"/>
            </w:tcBorders>
            <w:shd w:val="clear" w:color="auto" w:fill="auto"/>
            <w:noWrap/>
            <w:vAlign w:val="center"/>
            <w:hideMark/>
          </w:tcPr>
          <w:p w14:paraId="54AD73CA" w14:textId="77777777" w:rsidR="000A0DBF" w:rsidRPr="00233635" w:rsidRDefault="000A0DBF" w:rsidP="000A0DBF">
            <w:pPr>
              <w:jc w:val="right"/>
              <w:rPr>
                <w:sz w:val="13"/>
                <w:szCs w:val="13"/>
              </w:rPr>
            </w:pPr>
            <w:r w:rsidRPr="00233635">
              <w:rPr>
                <w:sz w:val="13"/>
                <w:szCs w:val="13"/>
              </w:rPr>
              <w:t>7.6</w:t>
            </w:r>
          </w:p>
        </w:tc>
        <w:tc>
          <w:tcPr>
            <w:tcW w:w="432" w:type="pct"/>
            <w:tcBorders>
              <w:top w:val="nil"/>
              <w:left w:val="nil"/>
              <w:bottom w:val="nil"/>
              <w:right w:val="nil"/>
            </w:tcBorders>
            <w:shd w:val="clear" w:color="auto" w:fill="auto"/>
            <w:noWrap/>
            <w:vAlign w:val="center"/>
            <w:hideMark/>
          </w:tcPr>
          <w:p w14:paraId="1D3FEC08" w14:textId="77777777" w:rsidR="000A0DBF" w:rsidRPr="00233635" w:rsidRDefault="000A0DBF" w:rsidP="000A0DBF">
            <w:pPr>
              <w:jc w:val="right"/>
              <w:rPr>
                <w:sz w:val="13"/>
                <w:szCs w:val="13"/>
              </w:rPr>
            </w:pPr>
            <w:r w:rsidRPr="00233635">
              <w:rPr>
                <w:sz w:val="13"/>
                <w:szCs w:val="13"/>
              </w:rPr>
              <w:t>12,849,503</w:t>
            </w:r>
          </w:p>
        </w:tc>
        <w:tc>
          <w:tcPr>
            <w:tcW w:w="328" w:type="pct"/>
            <w:tcBorders>
              <w:top w:val="nil"/>
              <w:left w:val="nil"/>
              <w:bottom w:val="nil"/>
              <w:right w:val="nil"/>
            </w:tcBorders>
            <w:shd w:val="clear" w:color="auto" w:fill="auto"/>
            <w:noWrap/>
            <w:vAlign w:val="center"/>
            <w:hideMark/>
          </w:tcPr>
          <w:p w14:paraId="384EBBDC" w14:textId="77777777" w:rsidR="000A0DBF" w:rsidRPr="00233635" w:rsidRDefault="000A0DBF" w:rsidP="000A0DBF">
            <w:pPr>
              <w:jc w:val="right"/>
              <w:rPr>
                <w:sz w:val="13"/>
                <w:szCs w:val="13"/>
              </w:rPr>
            </w:pPr>
            <w:r w:rsidRPr="00233635">
              <w:rPr>
                <w:sz w:val="13"/>
                <w:szCs w:val="13"/>
              </w:rPr>
              <w:t>17.1</w:t>
            </w:r>
          </w:p>
        </w:tc>
        <w:tc>
          <w:tcPr>
            <w:tcW w:w="448" w:type="pct"/>
            <w:tcBorders>
              <w:top w:val="nil"/>
              <w:left w:val="single" w:sz="4" w:space="0" w:color="auto"/>
              <w:bottom w:val="nil"/>
              <w:right w:val="nil"/>
            </w:tcBorders>
            <w:shd w:val="clear" w:color="auto" w:fill="auto"/>
            <w:noWrap/>
            <w:vAlign w:val="center"/>
            <w:hideMark/>
          </w:tcPr>
          <w:p w14:paraId="3F89AF4E" w14:textId="77777777" w:rsidR="000A0DBF" w:rsidRPr="00233635" w:rsidRDefault="000A0DBF" w:rsidP="000A0DBF">
            <w:pPr>
              <w:jc w:val="right"/>
              <w:rPr>
                <w:sz w:val="13"/>
                <w:szCs w:val="13"/>
              </w:rPr>
            </w:pPr>
            <w:r w:rsidRPr="00233635">
              <w:rPr>
                <w:sz w:val="13"/>
                <w:szCs w:val="13"/>
              </w:rPr>
              <w:t>330,591</w:t>
            </w:r>
          </w:p>
        </w:tc>
        <w:tc>
          <w:tcPr>
            <w:tcW w:w="328" w:type="pct"/>
            <w:tcBorders>
              <w:top w:val="nil"/>
              <w:left w:val="nil"/>
              <w:bottom w:val="nil"/>
              <w:right w:val="nil"/>
            </w:tcBorders>
            <w:shd w:val="clear" w:color="auto" w:fill="auto"/>
            <w:noWrap/>
            <w:vAlign w:val="center"/>
            <w:hideMark/>
          </w:tcPr>
          <w:p w14:paraId="201708A6" w14:textId="77777777" w:rsidR="000A0DBF" w:rsidRPr="00233635" w:rsidRDefault="000A0DBF" w:rsidP="000A0DBF">
            <w:pPr>
              <w:jc w:val="right"/>
              <w:rPr>
                <w:sz w:val="13"/>
                <w:szCs w:val="13"/>
              </w:rPr>
            </w:pPr>
            <w:r w:rsidRPr="00233635">
              <w:rPr>
                <w:sz w:val="13"/>
                <w:szCs w:val="13"/>
              </w:rPr>
              <w:t>7.8</w:t>
            </w:r>
          </w:p>
        </w:tc>
        <w:tc>
          <w:tcPr>
            <w:tcW w:w="432" w:type="pct"/>
            <w:tcBorders>
              <w:top w:val="nil"/>
              <w:left w:val="nil"/>
              <w:bottom w:val="nil"/>
              <w:right w:val="nil"/>
            </w:tcBorders>
            <w:shd w:val="clear" w:color="auto" w:fill="auto"/>
            <w:noWrap/>
            <w:vAlign w:val="center"/>
            <w:hideMark/>
          </w:tcPr>
          <w:p w14:paraId="2EB37C75" w14:textId="77777777" w:rsidR="000A0DBF" w:rsidRPr="00233635" w:rsidRDefault="000A0DBF" w:rsidP="000A0DBF">
            <w:pPr>
              <w:jc w:val="right"/>
              <w:rPr>
                <w:sz w:val="13"/>
                <w:szCs w:val="13"/>
              </w:rPr>
            </w:pPr>
            <w:r w:rsidRPr="00233635">
              <w:rPr>
                <w:sz w:val="13"/>
                <w:szCs w:val="13"/>
              </w:rPr>
              <w:t>12,769,532</w:t>
            </w:r>
          </w:p>
        </w:tc>
        <w:tc>
          <w:tcPr>
            <w:tcW w:w="328" w:type="pct"/>
            <w:tcBorders>
              <w:top w:val="nil"/>
              <w:left w:val="nil"/>
              <w:bottom w:val="nil"/>
              <w:right w:val="single" w:sz="4" w:space="0" w:color="auto"/>
            </w:tcBorders>
            <w:shd w:val="clear" w:color="auto" w:fill="auto"/>
            <w:noWrap/>
            <w:vAlign w:val="center"/>
            <w:hideMark/>
          </w:tcPr>
          <w:p w14:paraId="36BA582A" w14:textId="77777777" w:rsidR="000A0DBF" w:rsidRPr="00233635" w:rsidRDefault="000A0DBF" w:rsidP="000A0DBF">
            <w:pPr>
              <w:jc w:val="right"/>
              <w:rPr>
                <w:sz w:val="13"/>
                <w:szCs w:val="13"/>
              </w:rPr>
            </w:pPr>
            <w:r w:rsidRPr="00233635">
              <w:rPr>
                <w:sz w:val="13"/>
                <w:szCs w:val="13"/>
              </w:rPr>
              <w:t>17.9</w:t>
            </w:r>
          </w:p>
        </w:tc>
        <w:tc>
          <w:tcPr>
            <w:tcW w:w="448" w:type="pct"/>
            <w:tcBorders>
              <w:top w:val="nil"/>
              <w:left w:val="nil"/>
              <w:bottom w:val="nil"/>
              <w:right w:val="nil"/>
            </w:tcBorders>
            <w:shd w:val="clear" w:color="auto" w:fill="auto"/>
            <w:noWrap/>
            <w:vAlign w:val="center"/>
            <w:hideMark/>
          </w:tcPr>
          <w:p w14:paraId="25D51DEC" w14:textId="77777777" w:rsidR="000A0DBF" w:rsidRPr="00233635" w:rsidRDefault="000A0DBF" w:rsidP="000A0DBF">
            <w:pPr>
              <w:jc w:val="right"/>
              <w:rPr>
                <w:sz w:val="13"/>
                <w:szCs w:val="13"/>
              </w:rPr>
            </w:pPr>
            <w:r w:rsidRPr="00233635">
              <w:rPr>
                <w:sz w:val="13"/>
                <w:szCs w:val="13"/>
              </w:rPr>
              <w:t>573</w:t>
            </w:r>
          </w:p>
        </w:tc>
        <w:tc>
          <w:tcPr>
            <w:tcW w:w="328" w:type="pct"/>
            <w:tcBorders>
              <w:top w:val="nil"/>
              <w:left w:val="nil"/>
              <w:bottom w:val="nil"/>
              <w:right w:val="nil"/>
            </w:tcBorders>
            <w:shd w:val="clear" w:color="auto" w:fill="auto"/>
            <w:noWrap/>
            <w:vAlign w:val="center"/>
            <w:hideMark/>
          </w:tcPr>
          <w:p w14:paraId="7BE9B854" w14:textId="77777777" w:rsidR="000A0DBF" w:rsidRPr="00233635" w:rsidRDefault="000A0DBF" w:rsidP="000A0DBF">
            <w:pPr>
              <w:jc w:val="right"/>
              <w:rPr>
                <w:sz w:val="13"/>
                <w:szCs w:val="13"/>
              </w:rPr>
            </w:pPr>
            <w:r w:rsidRPr="00233635">
              <w:rPr>
                <w:sz w:val="13"/>
                <w:szCs w:val="13"/>
              </w:rPr>
              <w:t>0.6</w:t>
            </w:r>
          </w:p>
        </w:tc>
        <w:tc>
          <w:tcPr>
            <w:tcW w:w="397" w:type="pct"/>
            <w:tcBorders>
              <w:top w:val="nil"/>
              <w:left w:val="nil"/>
              <w:bottom w:val="nil"/>
              <w:right w:val="nil"/>
            </w:tcBorders>
            <w:shd w:val="clear" w:color="auto" w:fill="auto"/>
            <w:noWrap/>
            <w:vAlign w:val="center"/>
            <w:hideMark/>
          </w:tcPr>
          <w:p w14:paraId="5051674D" w14:textId="77777777" w:rsidR="000A0DBF" w:rsidRPr="00233635" w:rsidRDefault="000A0DBF" w:rsidP="000A0DBF">
            <w:pPr>
              <w:jc w:val="right"/>
              <w:rPr>
                <w:sz w:val="13"/>
                <w:szCs w:val="13"/>
              </w:rPr>
            </w:pPr>
            <w:r w:rsidRPr="00233635">
              <w:rPr>
                <w:sz w:val="13"/>
                <w:szCs w:val="13"/>
              </w:rPr>
              <w:t>79,971</w:t>
            </w:r>
          </w:p>
        </w:tc>
        <w:tc>
          <w:tcPr>
            <w:tcW w:w="328" w:type="pct"/>
            <w:tcBorders>
              <w:top w:val="nil"/>
              <w:left w:val="nil"/>
              <w:bottom w:val="nil"/>
              <w:right w:val="nil"/>
            </w:tcBorders>
            <w:shd w:val="clear" w:color="auto" w:fill="auto"/>
            <w:noWrap/>
            <w:vAlign w:val="center"/>
            <w:hideMark/>
          </w:tcPr>
          <w:p w14:paraId="5DF4C751" w14:textId="77777777" w:rsidR="000A0DBF" w:rsidRPr="00233635" w:rsidRDefault="000A0DBF" w:rsidP="000A0DBF">
            <w:pPr>
              <w:jc w:val="right"/>
              <w:rPr>
                <w:sz w:val="13"/>
                <w:szCs w:val="13"/>
              </w:rPr>
            </w:pPr>
            <w:r w:rsidRPr="00233635">
              <w:rPr>
                <w:sz w:val="13"/>
                <w:szCs w:val="13"/>
              </w:rPr>
              <w:t>2.2</w:t>
            </w:r>
          </w:p>
        </w:tc>
      </w:tr>
      <w:tr w:rsidR="00233DD7" w:rsidRPr="00233635" w14:paraId="63187F1F" w14:textId="77777777" w:rsidTr="00F47326">
        <w:trPr>
          <w:trHeight w:val="335"/>
        </w:trPr>
        <w:tc>
          <w:tcPr>
            <w:tcW w:w="428" w:type="pct"/>
            <w:tcBorders>
              <w:top w:val="single" w:sz="4" w:space="0" w:color="auto"/>
              <w:left w:val="nil"/>
              <w:bottom w:val="single" w:sz="4" w:space="0" w:color="auto"/>
              <w:right w:val="nil"/>
            </w:tcBorders>
            <w:shd w:val="clear" w:color="auto" w:fill="E2EFD9" w:themeFill="accent6" w:themeFillTint="33"/>
            <w:vAlign w:val="center"/>
            <w:hideMark/>
          </w:tcPr>
          <w:p w14:paraId="2169211F" w14:textId="16CEA99C" w:rsidR="000A0DBF" w:rsidRPr="00233635" w:rsidRDefault="00233635" w:rsidP="000A0DBF">
            <w:pPr>
              <w:rPr>
                <w:bCs/>
                <w:sz w:val="13"/>
                <w:szCs w:val="13"/>
              </w:rPr>
            </w:pPr>
            <w:r>
              <w:rPr>
                <w:bCs/>
                <w:sz w:val="13"/>
                <w:szCs w:val="13"/>
              </w:rPr>
              <w:t>Total</w:t>
            </w:r>
          </w:p>
        </w:tc>
        <w:tc>
          <w:tcPr>
            <w:tcW w:w="447" w:type="pct"/>
            <w:tcBorders>
              <w:top w:val="single" w:sz="4" w:space="0" w:color="auto"/>
              <w:left w:val="nil"/>
              <w:bottom w:val="single" w:sz="4" w:space="0" w:color="auto"/>
              <w:right w:val="nil"/>
            </w:tcBorders>
            <w:shd w:val="clear" w:color="auto" w:fill="E2EFD9" w:themeFill="accent6" w:themeFillTint="33"/>
            <w:noWrap/>
            <w:vAlign w:val="center"/>
            <w:hideMark/>
          </w:tcPr>
          <w:p w14:paraId="59287163" w14:textId="77777777" w:rsidR="000A0DBF" w:rsidRPr="00233635" w:rsidRDefault="000A0DBF" w:rsidP="000A0DBF">
            <w:pPr>
              <w:jc w:val="right"/>
              <w:rPr>
                <w:bCs/>
                <w:sz w:val="13"/>
                <w:szCs w:val="13"/>
              </w:rPr>
            </w:pPr>
            <w:r w:rsidRPr="00233635">
              <w:rPr>
                <w:bCs/>
                <w:sz w:val="13"/>
                <w:szCs w:val="13"/>
              </w:rPr>
              <w:t>4,338,882</w:t>
            </w:r>
          </w:p>
        </w:tc>
        <w:tc>
          <w:tcPr>
            <w:tcW w:w="328" w:type="pct"/>
            <w:tcBorders>
              <w:top w:val="single" w:sz="4" w:space="0" w:color="auto"/>
              <w:left w:val="nil"/>
              <w:bottom w:val="single" w:sz="4" w:space="0" w:color="auto"/>
              <w:right w:val="nil"/>
            </w:tcBorders>
            <w:shd w:val="clear" w:color="auto" w:fill="E2EFD9" w:themeFill="accent6" w:themeFillTint="33"/>
            <w:noWrap/>
            <w:vAlign w:val="center"/>
            <w:hideMark/>
          </w:tcPr>
          <w:p w14:paraId="7F92B59B" w14:textId="77777777" w:rsidR="000A0DBF" w:rsidRPr="00233635" w:rsidRDefault="000A0DBF" w:rsidP="000A0DBF">
            <w:pPr>
              <w:jc w:val="right"/>
              <w:rPr>
                <w:bCs/>
                <w:sz w:val="13"/>
                <w:szCs w:val="13"/>
              </w:rPr>
            </w:pPr>
            <w:r w:rsidRPr="00233635">
              <w:rPr>
                <w:bCs/>
                <w:sz w:val="13"/>
                <w:szCs w:val="13"/>
              </w:rPr>
              <w:t>100</w:t>
            </w:r>
          </w:p>
        </w:tc>
        <w:tc>
          <w:tcPr>
            <w:tcW w:w="432" w:type="pct"/>
            <w:tcBorders>
              <w:top w:val="single" w:sz="4" w:space="0" w:color="auto"/>
              <w:left w:val="nil"/>
              <w:bottom w:val="single" w:sz="4" w:space="0" w:color="auto"/>
              <w:right w:val="nil"/>
            </w:tcBorders>
            <w:shd w:val="clear" w:color="auto" w:fill="E2EFD9" w:themeFill="accent6" w:themeFillTint="33"/>
            <w:noWrap/>
            <w:vAlign w:val="center"/>
            <w:hideMark/>
          </w:tcPr>
          <w:p w14:paraId="3A4E08EC" w14:textId="77777777" w:rsidR="000A0DBF" w:rsidRPr="00233635" w:rsidRDefault="000A0DBF" w:rsidP="000A0DBF">
            <w:pPr>
              <w:jc w:val="right"/>
              <w:rPr>
                <w:bCs/>
                <w:sz w:val="13"/>
                <w:szCs w:val="13"/>
              </w:rPr>
            </w:pPr>
            <w:r w:rsidRPr="00233635">
              <w:rPr>
                <w:bCs/>
                <w:sz w:val="13"/>
                <w:szCs w:val="13"/>
              </w:rPr>
              <w:t>75,119,802</w:t>
            </w:r>
          </w:p>
        </w:tc>
        <w:tc>
          <w:tcPr>
            <w:tcW w:w="328" w:type="pct"/>
            <w:tcBorders>
              <w:top w:val="single" w:sz="4" w:space="0" w:color="auto"/>
              <w:left w:val="nil"/>
              <w:bottom w:val="single" w:sz="4" w:space="0" w:color="auto"/>
              <w:right w:val="nil"/>
            </w:tcBorders>
            <w:shd w:val="clear" w:color="auto" w:fill="E2EFD9" w:themeFill="accent6" w:themeFillTint="33"/>
            <w:noWrap/>
            <w:vAlign w:val="center"/>
            <w:hideMark/>
          </w:tcPr>
          <w:p w14:paraId="5EB92B43" w14:textId="77777777" w:rsidR="000A0DBF" w:rsidRPr="00233635" w:rsidRDefault="000A0DBF" w:rsidP="000A0DBF">
            <w:pPr>
              <w:jc w:val="right"/>
              <w:rPr>
                <w:bCs/>
                <w:sz w:val="13"/>
                <w:szCs w:val="13"/>
              </w:rPr>
            </w:pPr>
            <w:r w:rsidRPr="00233635">
              <w:rPr>
                <w:bCs/>
                <w:sz w:val="13"/>
                <w:szCs w:val="13"/>
              </w:rPr>
              <w:t>100</w:t>
            </w:r>
          </w:p>
        </w:tc>
        <w:tc>
          <w:tcPr>
            <w:tcW w:w="448" w:type="pct"/>
            <w:tcBorders>
              <w:top w:val="single" w:sz="4" w:space="0" w:color="auto"/>
              <w:left w:val="single" w:sz="4" w:space="0" w:color="auto"/>
              <w:bottom w:val="single" w:sz="4" w:space="0" w:color="auto"/>
              <w:right w:val="nil"/>
            </w:tcBorders>
            <w:shd w:val="clear" w:color="auto" w:fill="E2EFD9" w:themeFill="accent6" w:themeFillTint="33"/>
            <w:noWrap/>
            <w:vAlign w:val="center"/>
            <w:hideMark/>
          </w:tcPr>
          <w:p w14:paraId="00BD87E7" w14:textId="77777777" w:rsidR="000A0DBF" w:rsidRPr="00233635" w:rsidRDefault="000A0DBF" w:rsidP="000A0DBF">
            <w:pPr>
              <w:jc w:val="right"/>
              <w:rPr>
                <w:bCs/>
                <w:sz w:val="13"/>
                <w:szCs w:val="13"/>
              </w:rPr>
            </w:pPr>
            <w:r w:rsidRPr="00233635">
              <w:rPr>
                <w:bCs/>
                <w:sz w:val="13"/>
                <w:szCs w:val="13"/>
              </w:rPr>
              <w:t>4238344</w:t>
            </w:r>
          </w:p>
        </w:tc>
        <w:tc>
          <w:tcPr>
            <w:tcW w:w="328" w:type="pct"/>
            <w:tcBorders>
              <w:top w:val="single" w:sz="4" w:space="0" w:color="auto"/>
              <w:left w:val="nil"/>
              <w:bottom w:val="single" w:sz="4" w:space="0" w:color="auto"/>
              <w:right w:val="nil"/>
            </w:tcBorders>
            <w:shd w:val="clear" w:color="auto" w:fill="E2EFD9" w:themeFill="accent6" w:themeFillTint="33"/>
            <w:noWrap/>
            <w:vAlign w:val="center"/>
            <w:hideMark/>
          </w:tcPr>
          <w:p w14:paraId="0213653D" w14:textId="77777777" w:rsidR="000A0DBF" w:rsidRPr="00233635" w:rsidRDefault="000A0DBF" w:rsidP="000A0DBF">
            <w:pPr>
              <w:jc w:val="right"/>
              <w:rPr>
                <w:bCs/>
                <w:sz w:val="13"/>
                <w:szCs w:val="13"/>
              </w:rPr>
            </w:pPr>
            <w:r w:rsidRPr="00233635">
              <w:rPr>
                <w:bCs/>
                <w:sz w:val="13"/>
                <w:szCs w:val="13"/>
              </w:rPr>
              <w:t>100</w:t>
            </w:r>
          </w:p>
        </w:tc>
        <w:tc>
          <w:tcPr>
            <w:tcW w:w="432" w:type="pct"/>
            <w:tcBorders>
              <w:top w:val="single" w:sz="4" w:space="0" w:color="auto"/>
              <w:left w:val="nil"/>
              <w:bottom w:val="single" w:sz="4" w:space="0" w:color="auto"/>
              <w:right w:val="nil"/>
            </w:tcBorders>
            <w:shd w:val="clear" w:color="auto" w:fill="E2EFD9" w:themeFill="accent6" w:themeFillTint="33"/>
            <w:noWrap/>
            <w:vAlign w:val="center"/>
            <w:hideMark/>
          </w:tcPr>
          <w:p w14:paraId="3D1F911B" w14:textId="77777777" w:rsidR="000A0DBF" w:rsidRPr="00233635" w:rsidRDefault="000A0DBF" w:rsidP="000A0DBF">
            <w:pPr>
              <w:jc w:val="right"/>
              <w:rPr>
                <w:bCs/>
                <w:sz w:val="13"/>
                <w:szCs w:val="13"/>
              </w:rPr>
            </w:pPr>
            <w:r w:rsidRPr="00233635">
              <w:rPr>
                <w:bCs/>
                <w:sz w:val="13"/>
                <w:szCs w:val="13"/>
              </w:rPr>
              <w:t>71,414,297</w:t>
            </w:r>
          </w:p>
        </w:tc>
        <w:tc>
          <w:tcPr>
            <w:tcW w:w="328" w:type="pct"/>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7F0E83C5" w14:textId="77777777" w:rsidR="000A0DBF" w:rsidRPr="00233635" w:rsidRDefault="000A0DBF" w:rsidP="000A0DBF">
            <w:pPr>
              <w:jc w:val="right"/>
              <w:rPr>
                <w:bCs/>
                <w:sz w:val="13"/>
                <w:szCs w:val="13"/>
              </w:rPr>
            </w:pPr>
            <w:r w:rsidRPr="00233635">
              <w:rPr>
                <w:bCs/>
                <w:sz w:val="13"/>
                <w:szCs w:val="13"/>
              </w:rPr>
              <w:t>100</w:t>
            </w:r>
          </w:p>
        </w:tc>
        <w:tc>
          <w:tcPr>
            <w:tcW w:w="448" w:type="pct"/>
            <w:tcBorders>
              <w:top w:val="single" w:sz="4" w:space="0" w:color="auto"/>
              <w:left w:val="nil"/>
              <w:bottom w:val="single" w:sz="4" w:space="0" w:color="auto"/>
              <w:right w:val="nil"/>
            </w:tcBorders>
            <w:shd w:val="clear" w:color="auto" w:fill="E2EFD9" w:themeFill="accent6" w:themeFillTint="33"/>
            <w:noWrap/>
            <w:vAlign w:val="center"/>
            <w:hideMark/>
          </w:tcPr>
          <w:p w14:paraId="6AE20EAE" w14:textId="77777777" w:rsidR="000A0DBF" w:rsidRPr="00233635" w:rsidRDefault="000A0DBF" w:rsidP="000A0DBF">
            <w:pPr>
              <w:jc w:val="right"/>
              <w:rPr>
                <w:bCs/>
                <w:sz w:val="13"/>
                <w:szCs w:val="13"/>
              </w:rPr>
            </w:pPr>
            <w:r w:rsidRPr="00233635">
              <w:rPr>
                <w:bCs/>
                <w:sz w:val="13"/>
                <w:szCs w:val="13"/>
              </w:rPr>
              <w:t>100,538</w:t>
            </w:r>
          </w:p>
        </w:tc>
        <w:tc>
          <w:tcPr>
            <w:tcW w:w="328" w:type="pct"/>
            <w:tcBorders>
              <w:top w:val="single" w:sz="4" w:space="0" w:color="auto"/>
              <w:left w:val="nil"/>
              <w:bottom w:val="single" w:sz="4" w:space="0" w:color="auto"/>
              <w:right w:val="nil"/>
            </w:tcBorders>
            <w:shd w:val="clear" w:color="auto" w:fill="E2EFD9" w:themeFill="accent6" w:themeFillTint="33"/>
            <w:noWrap/>
            <w:vAlign w:val="center"/>
            <w:hideMark/>
          </w:tcPr>
          <w:p w14:paraId="7D5A1B9F" w14:textId="77777777" w:rsidR="000A0DBF" w:rsidRPr="00233635" w:rsidRDefault="000A0DBF" w:rsidP="000A0DBF">
            <w:pPr>
              <w:jc w:val="right"/>
              <w:rPr>
                <w:bCs/>
                <w:sz w:val="13"/>
                <w:szCs w:val="13"/>
              </w:rPr>
            </w:pPr>
            <w:r w:rsidRPr="00233635">
              <w:rPr>
                <w:bCs/>
                <w:sz w:val="13"/>
                <w:szCs w:val="13"/>
              </w:rPr>
              <w:t>100</w:t>
            </w:r>
          </w:p>
        </w:tc>
        <w:tc>
          <w:tcPr>
            <w:tcW w:w="397" w:type="pct"/>
            <w:tcBorders>
              <w:top w:val="single" w:sz="4" w:space="0" w:color="auto"/>
              <w:left w:val="nil"/>
              <w:bottom w:val="single" w:sz="4" w:space="0" w:color="auto"/>
              <w:right w:val="nil"/>
            </w:tcBorders>
            <w:shd w:val="clear" w:color="auto" w:fill="E2EFD9" w:themeFill="accent6" w:themeFillTint="33"/>
            <w:noWrap/>
            <w:vAlign w:val="center"/>
            <w:hideMark/>
          </w:tcPr>
          <w:p w14:paraId="04E2B10E" w14:textId="77777777" w:rsidR="000A0DBF" w:rsidRPr="00233635" w:rsidRDefault="000A0DBF" w:rsidP="000A0DBF">
            <w:pPr>
              <w:jc w:val="right"/>
              <w:rPr>
                <w:bCs/>
                <w:sz w:val="13"/>
                <w:szCs w:val="13"/>
              </w:rPr>
            </w:pPr>
            <w:r w:rsidRPr="00233635">
              <w:rPr>
                <w:bCs/>
                <w:sz w:val="13"/>
                <w:szCs w:val="13"/>
              </w:rPr>
              <w:t>3,717,473</w:t>
            </w:r>
          </w:p>
        </w:tc>
        <w:tc>
          <w:tcPr>
            <w:tcW w:w="328" w:type="pct"/>
            <w:tcBorders>
              <w:top w:val="single" w:sz="4" w:space="0" w:color="auto"/>
              <w:left w:val="nil"/>
              <w:bottom w:val="single" w:sz="4" w:space="0" w:color="auto"/>
              <w:right w:val="nil"/>
            </w:tcBorders>
            <w:shd w:val="clear" w:color="auto" w:fill="E2EFD9" w:themeFill="accent6" w:themeFillTint="33"/>
            <w:noWrap/>
            <w:vAlign w:val="center"/>
            <w:hideMark/>
          </w:tcPr>
          <w:p w14:paraId="07AF172B" w14:textId="77777777" w:rsidR="000A0DBF" w:rsidRPr="00233635" w:rsidRDefault="000A0DBF" w:rsidP="000A0DBF">
            <w:pPr>
              <w:jc w:val="right"/>
              <w:rPr>
                <w:bCs/>
                <w:sz w:val="13"/>
                <w:szCs w:val="13"/>
              </w:rPr>
            </w:pPr>
            <w:r w:rsidRPr="00233635">
              <w:rPr>
                <w:bCs/>
                <w:sz w:val="13"/>
                <w:szCs w:val="13"/>
              </w:rPr>
              <w:t>100</w:t>
            </w:r>
          </w:p>
        </w:tc>
      </w:tr>
    </w:tbl>
    <w:p w14:paraId="76007EC9" w14:textId="77777777" w:rsidR="007E3A7E" w:rsidRPr="006B42D6" w:rsidRDefault="007E3A7E" w:rsidP="007E3A7E"/>
    <w:p w14:paraId="0C0CE287" w14:textId="497232E6" w:rsidR="007E3A7E" w:rsidRPr="006B42D6" w:rsidRDefault="007E3A7E" w:rsidP="007E3A7E">
      <w:r w:rsidRPr="006B42D6">
        <w:t xml:space="preserve">In </w:t>
      </w:r>
      <w:r w:rsidR="00EA1552">
        <w:rPr>
          <w:lang w:eastAsia="en-GB"/>
        </w:rPr>
        <w:t>Mainland Tanzania</w:t>
      </w:r>
      <w:r w:rsidR="006974AD" w:rsidRPr="006B42D6">
        <w:t>,</w:t>
      </w:r>
      <w:r w:rsidRPr="006B42D6">
        <w:t xml:space="preserve"> Tabora region had the highest number of indigenous chicken (2,887,416; 6.8 percent), followed by Singida (2,444,558; 5.8 percent) and Dodoma (2,297,279; 5.4 percent)</w:t>
      </w:r>
      <w:r w:rsidR="006974AD" w:rsidRPr="006B42D6">
        <w:t>,</w:t>
      </w:r>
      <w:r w:rsidRPr="006B42D6">
        <w:t xml:space="preserve"> while</w:t>
      </w:r>
      <w:r w:rsidR="006974AD" w:rsidRPr="006B42D6">
        <w:t xml:space="preserve"> </w:t>
      </w:r>
      <w:r w:rsidRPr="006B42D6">
        <w:t>Katavi</w:t>
      </w:r>
      <w:r w:rsidR="006974AD" w:rsidRPr="006B42D6">
        <w:t xml:space="preserve"> region</w:t>
      </w:r>
      <w:r w:rsidRPr="006B42D6">
        <w:t xml:space="preserve"> had the </w:t>
      </w:r>
      <w:r w:rsidR="006974AD" w:rsidRPr="006B42D6">
        <w:t xml:space="preserve">lowest number of indigenous chicken </w:t>
      </w:r>
      <w:r w:rsidRPr="006B42D6">
        <w:t>(664,250; 1.6 percent).</w:t>
      </w:r>
      <w:r w:rsidR="006974AD" w:rsidRPr="006B42D6">
        <w:t xml:space="preserve"> I</w:t>
      </w:r>
      <w:r w:rsidRPr="006B42D6">
        <w:t xml:space="preserve">n </w:t>
      </w:r>
      <w:r w:rsidR="000D4D71" w:rsidRPr="006B42D6">
        <w:rPr>
          <w:lang w:eastAsia="en-GB"/>
        </w:rPr>
        <w:t xml:space="preserve">Tanzania </w:t>
      </w:r>
      <w:r w:rsidRPr="006B42D6">
        <w:t xml:space="preserve">Zanzibar, Kusini Pemba region had the largest number of </w:t>
      </w:r>
      <w:r w:rsidRPr="006B42D6">
        <w:lastRenderedPageBreak/>
        <w:t xml:space="preserve">chicken (548,940; 36.4 percent) </w:t>
      </w:r>
      <w:r w:rsidR="006974AD" w:rsidRPr="006B42D6">
        <w:t>while</w:t>
      </w:r>
      <w:r w:rsidRPr="006B42D6">
        <w:t xml:space="preserve"> the least number was reported in Kaskazini Pemba (110,243 chicken</w:t>
      </w:r>
      <w:r w:rsidR="001C1255">
        <w:t>;</w:t>
      </w:r>
      <w:r w:rsidRPr="006B42D6">
        <w:t xml:space="preserve"> 7.3 percent) (</w:t>
      </w:r>
      <w:r w:rsidR="000D4D71" w:rsidRPr="006B42D6">
        <w:t xml:space="preserve">Map </w:t>
      </w:r>
      <w:r w:rsidR="00BF7C79" w:rsidRPr="006B42D6">
        <w:t>4.6</w:t>
      </w:r>
      <w:r w:rsidRPr="006B42D6">
        <w:t>).</w:t>
      </w:r>
    </w:p>
    <w:p w14:paraId="6D5EC088" w14:textId="77777777" w:rsidR="00C43F41" w:rsidRPr="006B42D6" w:rsidRDefault="00C43F41" w:rsidP="007E3A7E"/>
    <w:p w14:paraId="131BB763" w14:textId="0DEC264B" w:rsidR="00A16694" w:rsidRPr="00D60716" w:rsidRDefault="00A16694" w:rsidP="00FF7140">
      <w:pPr>
        <w:pStyle w:val="MapNew"/>
        <w:ind w:left="993" w:right="-454" w:hanging="851"/>
      </w:pPr>
      <w:bookmarkStart w:id="535" w:name="_Toc80902561"/>
      <w:bookmarkStart w:id="536" w:name="_Toc82386479"/>
      <w:r w:rsidRPr="00D60716">
        <w:t xml:space="preserve">Map </w:t>
      </w:r>
      <w:r w:rsidR="002361AE" w:rsidRPr="00D60716">
        <w:t>4.6</w:t>
      </w:r>
      <w:r w:rsidR="00233DD7" w:rsidRPr="00D60716">
        <w:t>:</w:t>
      </w:r>
      <w:r w:rsidR="004F02DC">
        <w:tab/>
      </w:r>
      <w:r w:rsidRPr="00D60716">
        <w:t>Indigenous Chicken Population</w:t>
      </w:r>
      <w:r w:rsidR="00D60716" w:rsidRPr="00D60716">
        <w:t xml:space="preserve"> Reported by Smallholders</w:t>
      </w:r>
      <w:r w:rsidRPr="00D60716">
        <w:t xml:space="preserve"> by Region as of 1st August 2020</w:t>
      </w:r>
      <w:r w:rsidR="000D4D71" w:rsidRPr="00D60716">
        <w:t>, Tanzania</w:t>
      </w:r>
      <w:bookmarkEnd w:id="535"/>
      <w:bookmarkEnd w:id="536"/>
    </w:p>
    <w:p w14:paraId="0C631CEE" w14:textId="051C59FD" w:rsidR="00A16694" w:rsidRPr="00A71F69" w:rsidRDefault="005B0D82" w:rsidP="00A16694">
      <w:pPr>
        <w:rPr>
          <w:b/>
        </w:rPr>
      </w:pPr>
      <w:r>
        <w:rPr>
          <w:noProof/>
        </w:rPr>
        <w:drawing>
          <wp:inline distT="0" distB="0" distL="0" distR="0" wp14:anchorId="2BB5033F" wp14:editId="0E6AD42F">
            <wp:extent cx="6116320" cy="4221640"/>
            <wp:effectExtent l="0" t="0" r="5080" b="0"/>
            <wp:docPr id="4373" name="Picture 4373"/>
            <wp:cNvGraphicFramePr/>
            <a:graphic xmlns:a="http://schemas.openxmlformats.org/drawingml/2006/main">
              <a:graphicData uri="http://schemas.openxmlformats.org/drawingml/2006/picture">
                <pic:pic xmlns:pic="http://schemas.openxmlformats.org/drawingml/2006/picture">
                  <pic:nvPicPr>
                    <pic:cNvPr id="4373" name="Picture 4373"/>
                    <pic:cNvPicPr/>
                  </pic:nvPicPr>
                  <pic:blipFill>
                    <a:blip r:embed="rId272"/>
                    <a:stretch>
                      <a:fillRect/>
                    </a:stretch>
                  </pic:blipFill>
                  <pic:spPr>
                    <a:xfrm>
                      <a:off x="0" y="0"/>
                      <a:ext cx="6116320" cy="4221640"/>
                    </a:xfrm>
                    <a:prstGeom prst="rect">
                      <a:avLst/>
                    </a:prstGeom>
                  </pic:spPr>
                </pic:pic>
              </a:graphicData>
            </a:graphic>
          </wp:inline>
        </w:drawing>
      </w:r>
    </w:p>
    <w:p w14:paraId="1E915B8F" w14:textId="77777777" w:rsidR="001C1255" w:rsidRDefault="001C1255" w:rsidP="00A16694"/>
    <w:p w14:paraId="0DB612BA" w14:textId="7DF8B9CD" w:rsidR="00144A12" w:rsidRDefault="00BF7C79" w:rsidP="00A16694">
      <w:r w:rsidRPr="006B42D6">
        <w:t>In addition</w:t>
      </w:r>
      <w:r w:rsidR="00A16694" w:rsidRPr="006B42D6">
        <w:t xml:space="preserve">, 99.3 percent of the households keeping indigenous chicken </w:t>
      </w:r>
      <w:r w:rsidRPr="006B42D6">
        <w:t>reared</w:t>
      </w:r>
      <w:r w:rsidR="00A16694" w:rsidRPr="006B42D6">
        <w:t xml:space="preserve"> </w:t>
      </w:r>
      <w:r w:rsidRPr="006B42D6">
        <w:t>from</w:t>
      </w:r>
      <w:r w:rsidR="00A16694" w:rsidRPr="006B42D6">
        <w:t xml:space="preserve"> 1 </w:t>
      </w:r>
      <w:r w:rsidRPr="006B42D6">
        <w:t>to</w:t>
      </w:r>
      <w:r w:rsidR="00A16694" w:rsidRPr="006B42D6">
        <w:t xml:space="preserve"> 49 chicken with an average of 11 chicken per household. Only 0.7 percent of households kept </w:t>
      </w:r>
      <w:r w:rsidR="001C1255">
        <w:t>50</w:t>
      </w:r>
      <w:r w:rsidR="00A16694" w:rsidRPr="006B42D6">
        <w:t xml:space="preserve"> and above indigenous chicken (Table </w:t>
      </w:r>
      <w:r w:rsidR="002361AE" w:rsidRPr="006B42D6">
        <w:t>4.</w:t>
      </w:r>
      <w:r w:rsidR="006974AD" w:rsidRPr="006B42D6">
        <w:t>6</w:t>
      </w:r>
      <w:r w:rsidR="00A16694" w:rsidRPr="006B42D6">
        <w:t>)</w:t>
      </w:r>
      <w:r w:rsidR="00144A12" w:rsidRPr="006B42D6">
        <w:t>.</w:t>
      </w:r>
    </w:p>
    <w:p w14:paraId="5159927A" w14:textId="4883A87B" w:rsidR="00A16694" w:rsidRPr="00A71F69" w:rsidRDefault="00A16694" w:rsidP="00D141C3">
      <w:pPr>
        <w:spacing w:line="240" w:lineRule="auto"/>
      </w:pPr>
    </w:p>
    <w:p w14:paraId="056331DA" w14:textId="24F0E625" w:rsidR="00A16694" w:rsidRPr="006B42D6" w:rsidRDefault="00A16694" w:rsidP="00F16205">
      <w:pPr>
        <w:pStyle w:val="Heading7"/>
        <w:ind w:right="964"/>
      </w:pPr>
      <w:bookmarkStart w:id="537" w:name="_Toc82386214"/>
      <w:r w:rsidRPr="006B42D6">
        <w:t xml:space="preserve">Table </w:t>
      </w:r>
      <w:r w:rsidR="002361AE" w:rsidRPr="006B42D6">
        <w:t>4.</w:t>
      </w:r>
      <w:r w:rsidR="006974AD" w:rsidRPr="006B42D6">
        <w:t>6</w:t>
      </w:r>
      <w:r w:rsidR="00233DD7">
        <w:t>:</w:t>
      </w:r>
      <w:r w:rsidR="00A71F69">
        <w:tab/>
      </w:r>
      <w:r w:rsidRPr="006B42D6">
        <w:t xml:space="preserve">Number and </w:t>
      </w:r>
      <w:r w:rsidR="002361AE" w:rsidRPr="006B42D6">
        <w:t>P</w:t>
      </w:r>
      <w:r w:rsidRPr="006B42D6">
        <w:t xml:space="preserve">ercentage of </w:t>
      </w:r>
      <w:r w:rsidR="002361AE" w:rsidRPr="006B42D6">
        <w:t>H</w:t>
      </w:r>
      <w:r w:rsidRPr="006B42D6">
        <w:t xml:space="preserve">ouseholds </w:t>
      </w:r>
      <w:r w:rsidR="00BF7C79" w:rsidRPr="006B42D6">
        <w:t>R</w:t>
      </w:r>
      <w:r w:rsidRPr="006B42D6">
        <w:t xml:space="preserve">earing </w:t>
      </w:r>
      <w:r w:rsidR="002361AE" w:rsidRPr="006B42D6">
        <w:t>I</w:t>
      </w:r>
      <w:r w:rsidRPr="006B42D6">
        <w:t xml:space="preserve">ndigenous </w:t>
      </w:r>
      <w:r w:rsidR="002361AE" w:rsidRPr="006B42D6">
        <w:t>C</w:t>
      </w:r>
      <w:r w:rsidRPr="006B42D6">
        <w:t xml:space="preserve">hicken by </w:t>
      </w:r>
      <w:r w:rsidR="002361AE" w:rsidRPr="006B42D6">
        <w:t>F</w:t>
      </w:r>
      <w:r w:rsidRPr="006B42D6">
        <w:t xml:space="preserve">lock </w:t>
      </w:r>
      <w:r w:rsidR="002361AE" w:rsidRPr="006B42D6">
        <w:t>S</w:t>
      </w:r>
      <w:r w:rsidRPr="006B42D6">
        <w:t xml:space="preserve">ize and </w:t>
      </w:r>
      <w:r w:rsidR="002361AE" w:rsidRPr="006B42D6">
        <w:t>A</w:t>
      </w:r>
      <w:r w:rsidRPr="006B42D6">
        <w:t xml:space="preserve">verage </w:t>
      </w:r>
      <w:r w:rsidR="002361AE" w:rsidRPr="006B42D6">
        <w:t>N</w:t>
      </w:r>
      <w:r w:rsidRPr="006B42D6">
        <w:t xml:space="preserve">umber of </w:t>
      </w:r>
      <w:r w:rsidR="002361AE" w:rsidRPr="006B42D6">
        <w:t>C</w:t>
      </w:r>
      <w:r w:rsidRPr="006B42D6">
        <w:t>hicken per Household</w:t>
      </w:r>
      <w:r w:rsidR="00BF7C79" w:rsidRPr="006B42D6">
        <w:t xml:space="preserve"> as of 1</w:t>
      </w:r>
      <w:r w:rsidR="00BF7C79" w:rsidRPr="006B42D6">
        <w:rPr>
          <w:vertAlign w:val="superscript"/>
        </w:rPr>
        <w:t>st</w:t>
      </w:r>
      <w:r w:rsidR="00BF7C79" w:rsidRPr="006B42D6">
        <w:t xml:space="preserve"> August 2020</w:t>
      </w:r>
      <w:r w:rsidR="000D4D71" w:rsidRPr="006B42D6">
        <w:t>,</w:t>
      </w:r>
      <w:r w:rsidR="00DA1899" w:rsidRPr="006B42D6">
        <w:t xml:space="preserve"> </w:t>
      </w:r>
      <w:r w:rsidRPr="006B42D6">
        <w:t>Tanzania</w:t>
      </w:r>
      <w:bookmarkEnd w:id="537"/>
    </w:p>
    <w:tbl>
      <w:tblPr>
        <w:tblpPr w:leftFromText="180" w:rightFromText="180" w:vertAnchor="text" w:tblpY="1"/>
        <w:tblOverlap w:val="never"/>
        <w:tblW w:w="8433" w:type="dxa"/>
        <w:tblLayout w:type="fixed"/>
        <w:tblLook w:val="04A0" w:firstRow="1" w:lastRow="0" w:firstColumn="1" w:lastColumn="0" w:noHBand="0" w:noVBand="1"/>
      </w:tblPr>
      <w:tblGrid>
        <w:gridCol w:w="1332"/>
        <w:gridCol w:w="1776"/>
        <w:gridCol w:w="1626"/>
        <w:gridCol w:w="1760"/>
        <w:gridCol w:w="1939"/>
      </w:tblGrid>
      <w:tr w:rsidR="006B42D6" w:rsidRPr="00233DD7" w14:paraId="49F19C38" w14:textId="77777777" w:rsidTr="001C1255">
        <w:trPr>
          <w:trHeight w:hRule="exact" w:val="579"/>
        </w:trPr>
        <w:tc>
          <w:tcPr>
            <w:tcW w:w="1332" w:type="dxa"/>
            <w:tcBorders>
              <w:top w:val="single" w:sz="4" w:space="0" w:color="auto"/>
              <w:left w:val="nil"/>
              <w:bottom w:val="single" w:sz="4" w:space="0" w:color="auto"/>
              <w:right w:val="nil"/>
            </w:tcBorders>
            <w:shd w:val="clear" w:color="auto" w:fill="E2EFD9" w:themeFill="accent6" w:themeFillTint="33"/>
            <w:noWrap/>
            <w:vAlign w:val="center"/>
            <w:hideMark/>
          </w:tcPr>
          <w:p w14:paraId="497C247A" w14:textId="77777777" w:rsidR="00A16694" w:rsidRPr="00233DD7" w:rsidRDefault="00A16694" w:rsidP="001C1255">
            <w:pPr>
              <w:spacing w:line="240" w:lineRule="auto"/>
              <w:jc w:val="left"/>
              <w:rPr>
                <w:sz w:val="16"/>
                <w:szCs w:val="16"/>
              </w:rPr>
            </w:pPr>
            <w:r w:rsidRPr="00233DD7">
              <w:rPr>
                <w:sz w:val="16"/>
                <w:szCs w:val="16"/>
              </w:rPr>
              <w:t>Flock size</w:t>
            </w:r>
          </w:p>
        </w:tc>
        <w:tc>
          <w:tcPr>
            <w:tcW w:w="1776" w:type="dxa"/>
            <w:tcBorders>
              <w:top w:val="single" w:sz="4" w:space="0" w:color="auto"/>
              <w:left w:val="single" w:sz="4" w:space="0" w:color="auto"/>
              <w:bottom w:val="single" w:sz="4" w:space="0" w:color="auto"/>
              <w:right w:val="nil"/>
            </w:tcBorders>
            <w:shd w:val="clear" w:color="auto" w:fill="E2EFD9" w:themeFill="accent6" w:themeFillTint="33"/>
            <w:vAlign w:val="center"/>
            <w:hideMark/>
          </w:tcPr>
          <w:p w14:paraId="3A904392" w14:textId="77777777" w:rsidR="00A16694" w:rsidRPr="00233DD7" w:rsidRDefault="00A16694" w:rsidP="001C1255">
            <w:pPr>
              <w:spacing w:line="240" w:lineRule="auto"/>
              <w:jc w:val="center"/>
              <w:rPr>
                <w:sz w:val="16"/>
                <w:szCs w:val="16"/>
              </w:rPr>
            </w:pPr>
            <w:r w:rsidRPr="00233DD7">
              <w:rPr>
                <w:sz w:val="16"/>
                <w:szCs w:val="16"/>
              </w:rPr>
              <w:t>Number of Households</w:t>
            </w:r>
          </w:p>
        </w:tc>
        <w:tc>
          <w:tcPr>
            <w:tcW w:w="1626"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B7D1D6B" w14:textId="48B9CDD1" w:rsidR="00A16694" w:rsidRPr="00233DD7" w:rsidRDefault="00A16694" w:rsidP="001C1255">
            <w:pPr>
              <w:spacing w:line="240" w:lineRule="auto"/>
              <w:jc w:val="center"/>
              <w:rPr>
                <w:sz w:val="16"/>
                <w:szCs w:val="16"/>
              </w:rPr>
            </w:pPr>
            <w:r w:rsidRPr="00233DD7">
              <w:rPr>
                <w:sz w:val="16"/>
                <w:szCs w:val="16"/>
              </w:rPr>
              <w:t>Percent</w:t>
            </w:r>
          </w:p>
        </w:tc>
        <w:tc>
          <w:tcPr>
            <w:tcW w:w="1760" w:type="dxa"/>
            <w:tcBorders>
              <w:top w:val="single" w:sz="4" w:space="0" w:color="auto"/>
              <w:left w:val="nil"/>
              <w:bottom w:val="single" w:sz="4" w:space="0" w:color="auto"/>
              <w:right w:val="nil"/>
            </w:tcBorders>
            <w:shd w:val="clear" w:color="auto" w:fill="E2EFD9" w:themeFill="accent6" w:themeFillTint="33"/>
            <w:vAlign w:val="center"/>
            <w:hideMark/>
          </w:tcPr>
          <w:p w14:paraId="19DE627F" w14:textId="0B767D40" w:rsidR="00A16694" w:rsidRPr="00233DD7" w:rsidRDefault="00A16694" w:rsidP="001C1255">
            <w:pPr>
              <w:spacing w:line="240" w:lineRule="auto"/>
              <w:jc w:val="center"/>
              <w:rPr>
                <w:sz w:val="16"/>
                <w:szCs w:val="16"/>
              </w:rPr>
            </w:pPr>
            <w:r w:rsidRPr="00233DD7">
              <w:rPr>
                <w:sz w:val="16"/>
                <w:szCs w:val="16"/>
              </w:rPr>
              <w:t>Number of Chicken</w:t>
            </w:r>
          </w:p>
        </w:tc>
        <w:tc>
          <w:tcPr>
            <w:tcW w:w="1939" w:type="dxa"/>
            <w:tcBorders>
              <w:top w:val="single" w:sz="4" w:space="0" w:color="auto"/>
              <w:left w:val="nil"/>
              <w:bottom w:val="single" w:sz="4" w:space="0" w:color="auto"/>
              <w:right w:val="nil"/>
            </w:tcBorders>
            <w:shd w:val="clear" w:color="auto" w:fill="E2EFD9" w:themeFill="accent6" w:themeFillTint="33"/>
            <w:vAlign w:val="center"/>
            <w:hideMark/>
          </w:tcPr>
          <w:p w14:paraId="037566B3" w14:textId="1C82610E" w:rsidR="00A16694" w:rsidRPr="00233DD7" w:rsidRDefault="001C1255" w:rsidP="001C1255">
            <w:pPr>
              <w:spacing w:line="240" w:lineRule="auto"/>
              <w:jc w:val="center"/>
              <w:rPr>
                <w:sz w:val="16"/>
                <w:szCs w:val="16"/>
              </w:rPr>
            </w:pPr>
            <w:r>
              <w:rPr>
                <w:sz w:val="16"/>
                <w:szCs w:val="16"/>
              </w:rPr>
              <w:t xml:space="preserve">Average Number of </w:t>
            </w:r>
            <w:r w:rsidR="00A16694" w:rsidRPr="00233DD7">
              <w:rPr>
                <w:sz w:val="16"/>
                <w:szCs w:val="16"/>
              </w:rPr>
              <w:t xml:space="preserve">Chicken </w:t>
            </w:r>
            <w:r w:rsidR="00233DD7">
              <w:rPr>
                <w:sz w:val="16"/>
                <w:szCs w:val="16"/>
              </w:rPr>
              <w:t>p</w:t>
            </w:r>
            <w:r w:rsidR="00A16694" w:rsidRPr="00233DD7">
              <w:rPr>
                <w:sz w:val="16"/>
                <w:szCs w:val="16"/>
              </w:rPr>
              <w:t>er Household</w:t>
            </w:r>
          </w:p>
        </w:tc>
      </w:tr>
      <w:tr w:rsidR="006B42D6" w:rsidRPr="00233DD7" w14:paraId="13B812A5" w14:textId="77777777" w:rsidTr="00FF7140">
        <w:trPr>
          <w:trHeight w:hRule="exact" w:val="283"/>
        </w:trPr>
        <w:tc>
          <w:tcPr>
            <w:tcW w:w="1332" w:type="dxa"/>
            <w:tcBorders>
              <w:top w:val="nil"/>
              <w:left w:val="nil"/>
              <w:bottom w:val="nil"/>
              <w:right w:val="nil"/>
            </w:tcBorders>
            <w:shd w:val="clear" w:color="auto" w:fill="auto"/>
            <w:noWrap/>
            <w:hideMark/>
          </w:tcPr>
          <w:p w14:paraId="5502FD37" w14:textId="2FDB7104" w:rsidR="00A16694" w:rsidRPr="00233DD7" w:rsidRDefault="00233DD7" w:rsidP="00233DD7">
            <w:pPr>
              <w:rPr>
                <w:sz w:val="16"/>
                <w:szCs w:val="16"/>
              </w:rPr>
            </w:pPr>
            <w:r>
              <w:rPr>
                <w:sz w:val="16"/>
                <w:szCs w:val="16"/>
              </w:rPr>
              <w:t>1</w:t>
            </w:r>
            <w:r w:rsidR="00A16694" w:rsidRPr="00233DD7">
              <w:rPr>
                <w:sz w:val="16"/>
                <w:szCs w:val="16"/>
              </w:rPr>
              <w:t>-49</w:t>
            </w:r>
          </w:p>
        </w:tc>
        <w:tc>
          <w:tcPr>
            <w:tcW w:w="1776" w:type="dxa"/>
            <w:tcBorders>
              <w:top w:val="nil"/>
              <w:left w:val="single" w:sz="4" w:space="0" w:color="auto"/>
              <w:bottom w:val="nil"/>
              <w:right w:val="nil"/>
            </w:tcBorders>
            <w:shd w:val="clear" w:color="auto" w:fill="auto"/>
            <w:noWrap/>
            <w:hideMark/>
          </w:tcPr>
          <w:p w14:paraId="6EB8FDE5" w14:textId="7F2363FA" w:rsidR="00A16694" w:rsidRPr="00233DD7" w:rsidRDefault="00A16694" w:rsidP="00233DD7">
            <w:pPr>
              <w:jc w:val="right"/>
              <w:rPr>
                <w:sz w:val="16"/>
                <w:szCs w:val="16"/>
              </w:rPr>
            </w:pPr>
            <w:r w:rsidRPr="00233DD7">
              <w:rPr>
                <w:sz w:val="16"/>
                <w:szCs w:val="16"/>
              </w:rPr>
              <w:t>3,870,215</w:t>
            </w:r>
          </w:p>
        </w:tc>
        <w:tc>
          <w:tcPr>
            <w:tcW w:w="1626" w:type="dxa"/>
            <w:tcBorders>
              <w:top w:val="nil"/>
              <w:left w:val="nil"/>
              <w:bottom w:val="nil"/>
              <w:right w:val="single" w:sz="4" w:space="0" w:color="auto"/>
            </w:tcBorders>
            <w:shd w:val="clear" w:color="auto" w:fill="auto"/>
            <w:noWrap/>
            <w:hideMark/>
          </w:tcPr>
          <w:p w14:paraId="49F12F01" w14:textId="48B91BB0" w:rsidR="00A16694" w:rsidRPr="00233DD7" w:rsidRDefault="00A16694" w:rsidP="00233DD7">
            <w:pPr>
              <w:jc w:val="right"/>
              <w:rPr>
                <w:sz w:val="16"/>
                <w:szCs w:val="16"/>
              </w:rPr>
            </w:pPr>
            <w:r w:rsidRPr="00233DD7">
              <w:rPr>
                <w:sz w:val="16"/>
                <w:szCs w:val="16"/>
              </w:rPr>
              <w:t>99.3</w:t>
            </w:r>
          </w:p>
        </w:tc>
        <w:tc>
          <w:tcPr>
            <w:tcW w:w="1760" w:type="dxa"/>
            <w:tcBorders>
              <w:top w:val="nil"/>
              <w:left w:val="nil"/>
              <w:bottom w:val="nil"/>
              <w:right w:val="nil"/>
            </w:tcBorders>
            <w:shd w:val="clear" w:color="auto" w:fill="auto"/>
            <w:noWrap/>
            <w:hideMark/>
          </w:tcPr>
          <w:p w14:paraId="44A51A19" w14:textId="34EB8C06" w:rsidR="00A16694" w:rsidRPr="00233DD7" w:rsidRDefault="00A16694" w:rsidP="00233DD7">
            <w:pPr>
              <w:jc w:val="right"/>
              <w:rPr>
                <w:sz w:val="16"/>
                <w:szCs w:val="16"/>
              </w:rPr>
            </w:pPr>
            <w:r w:rsidRPr="00233DD7">
              <w:rPr>
                <w:sz w:val="16"/>
                <w:szCs w:val="16"/>
              </w:rPr>
              <w:t>41,798,248</w:t>
            </w:r>
          </w:p>
        </w:tc>
        <w:tc>
          <w:tcPr>
            <w:tcW w:w="1939" w:type="dxa"/>
            <w:tcBorders>
              <w:top w:val="nil"/>
              <w:left w:val="nil"/>
              <w:bottom w:val="nil"/>
              <w:right w:val="nil"/>
            </w:tcBorders>
            <w:shd w:val="clear" w:color="auto" w:fill="auto"/>
            <w:noWrap/>
            <w:hideMark/>
          </w:tcPr>
          <w:p w14:paraId="0CE6F7AB" w14:textId="5DB74FF4" w:rsidR="00A16694" w:rsidRPr="00233DD7" w:rsidRDefault="00A16694" w:rsidP="00233DD7">
            <w:pPr>
              <w:jc w:val="right"/>
              <w:rPr>
                <w:sz w:val="16"/>
                <w:szCs w:val="16"/>
              </w:rPr>
            </w:pPr>
            <w:r w:rsidRPr="00233DD7">
              <w:rPr>
                <w:sz w:val="16"/>
                <w:szCs w:val="16"/>
              </w:rPr>
              <w:t>11</w:t>
            </w:r>
          </w:p>
        </w:tc>
      </w:tr>
      <w:tr w:rsidR="006B42D6" w:rsidRPr="00233DD7" w14:paraId="1C864D88" w14:textId="77777777" w:rsidTr="00FF7140">
        <w:trPr>
          <w:trHeight w:hRule="exact" w:val="283"/>
        </w:trPr>
        <w:tc>
          <w:tcPr>
            <w:tcW w:w="1332" w:type="dxa"/>
            <w:tcBorders>
              <w:top w:val="nil"/>
              <w:left w:val="nil"/>
              <w:bottom w:val="nil"/>
              <w:right w:val="nil"/>
            </w:tcBorders>
            <w:shd w:val="clear" w:color="auto" w:fill="auto"/>
            <w:noWrap/>
            <w:hideMark/>
          </w:tcPr>
          <w:p w14:paraId="17B00E46" w14:textId="65572C46" w:rsidR="00A16694" w:rsidRPr="00233DD7" w:rsidRDefault="00A16694" w:rsidP="00233DD7">
            <w:pPr>
              <w:rPr>
                <w:sz w:val="16"/>
                <w:szCs w:val="16"/>
              </w:rPr>
            </w:pPr>
            <w:r w:rsidRPr="00233DD7">
              <w:rPr>
                <w:sz w:val="16"/>
                <w:szCs w:val="16"/>
              </w:rPr>
              <w:t>50-99</w:t>
            </w:r>
          </w:p>
        </w:tc>
        <w:tc>
          <w:tcPr>
            <w:tcW w:w="1776" w:type="dxa"/>
            <w:tcBorders>
              <w:top w:val="nil"/>
              <w:left w:val="single" w:sz="4" w:space="0" w:color="auto"/>
              <w:bottom w:val="nil"/>
              <w:right w:val="nil"/>
            </w:tcBorders>
            <w:shd w:val="clear" w:color="auto" w:fill="auto"/>
            <w:noWrap/>
            <w:hideMark/>
          </w:tcPr>
          <w:p w14:paraId="58204E19" w14:textId="31DA3222" w:rsidR="00A16694" w:rsidRPr="00233DD7" w:rsidRDefault="00A16694" w:rsidP="00233DD7">
            <w:pPr>
              <w:jc w:val="right"/>
              <w:rPr>
                <w:sz w:val="16"/>
                <w:szCs w:val="16"/>
              </w:rPr>
            </w:pPr>
            <w:r w:rsidRPr="00233DD7">
              <w:rPr>
                <w:sz w:val="16"/>
                <w:szCs w:val="16"/>
              </w:rPr>
              <w:t>24,505</w:t>
            </w:r>
          </w:p>
        </w:tc>
        <w:tc>
          <w:tcPr>
            <w:tcW w:w="1626" w:type="dxa"/>
            <w:tcBorders>
              <w:top w:val="nil"/>
              <w:left w:val="nil"/>
              <w:bottom w:val="nil"/>
              <w:right w:val="single" w:sz="4" w:space="0" w:color="auto"/>
            </w:tcBorders>
            <w:shd w:val="clear" w:color="auto" w:fill="auto"/>
            <w:noWrap/>
            <w:hideMark/>
          </w:tcPr>
          <w:p w14:paraId="6A60F789" w14:textId="246FAD96" w:rsidR="00A16694" w:rsidRPr="00233DD7" w:rsidRDefault="00A16694" w:rsidP="00233DD7">
            <w:pPr>
              <w:jc w:val="right"/>
              <w:rPr>
                <w:sz w:val="16"/>
                <w:szCs w:val="16"/>
              </w:rPr>
            </w:pPr>
            <w:r w:rsidRPr="00233DD7">
              <w:rPr>
                <w:sz w:val="16"/>
                <w:szCs w:val="16"/>
              </w:rPr>
              <w:t>0.6</w:t>
            </w:r>
          </w:p>
        </w:tc>
        <w:tc>
          <w:tcPr>
            <w:tcW w:w="1760" w:type="dxa"/>
            <w:tcBorders>
              <w:top w:val="nil"/>
              <w:left w:val="nil"/>
              <w:bottom w:val="nil"/>
              <w:right w:val="nil"/>
            </w:tcBorders>
            <w:shd w:val="clear" w:color="auto" w:fill="auto"/>
            <w:noWrap/>
            <w:hideMark/>
          </w:tcPr>
          <w:p w14:paraId="25053689" w14:textId="53902CED" w:rsidR="00A16694" w:rsidRPr="00233DD7" w:rsidRDefault="00A16694" w:rsidP="00233DD7">
            <w:pPr>
              <w:jc w:val="right"/>
              <w:rPr>
                <w:sz w:val="16"/>
                <w:szCs w:val="16"/>
              </w:rPr>
            </w:pPr>
            <w:r w:rsidRPr="00233DD7">
              <w:rPr>
                <w:sz w:val="16"/>
                <w:szCs w:val="16"/>
              </w:rPr>
              <w:t>1,466,004</w:t>
            </w:r>
          </w:p>
        </w:tc>
        <w:tc>
          <w:tcPr>
            <w:tcW w:w="1939" w:type="dxa"/>
            <w:tcBorders>
              <w:top w:val="nil"/>
              <w:left w:val="nil"/>
              <w:bottom w:val="nil"/>
              <w:right w:val="nil"/>
            </w:tcBorders>
            <w:shd w:val="clear" w:color="auto" w:fill="auto"/>
            <w:noWrap/>
            <w:hideMark/>
          </w:tcPr>
          <w:p w14:paraId="5409F199" w14:textId="0A72DB89" w:rsidR="00A16694" w:rsidRPr="00233DD7" w:rsidRDefault="00A16694" w:rsidP="00233DD7">
            <w:pPr>
              <w:jc w:val="right"/>
              <w:rPr>
                <w:sz w:val="16"/>
                <w:szCs w:val="16"/>
              </w:rPr>
            </w:pPr>
            <w:r w:rsidRPr="00233DD7">
              <w:rPr>
                <w:sz w:val="16"/>
                <w:szCs w:val="16"/>
              </w:rPr>
              <w:t>60</w:t>
            </w:r>
          </w:p>
        </w:tc>
      </w:tr>
      <w:tr w:rsidR="006B42D6" w:rsidRPr="00233DD7" w14:paraId="4A2FF8BB" w14:textId="77777777" w:rsidTr="00FF7140">
        <w:trPr>
          <w:trHeight w:hRule="exact" w:val="283"/>
        </w:trPr>
        <w:tc>
          <w:tcPr>
            <w:tcW w:w="1332" w:type="dxa"/>
            <w:tcBorders>
              <w:top w:val="nil"/>
              <w:left w:val="nil"/>
              <w:bottom w:val="nil"/>
              <w:right w:val="nil"/>
            </w:tcBorders>
            <w:shd w:val="clear" w:color="auto" w:fill="auto"/>
            <w:noWrap/>
            <w:hideMark/>
          </w:tcPr>
          <w:p w14:paraId="675910CD" w14:textId="5221B64A" w:rsidR="00A16694" w:rsidRPr="00233DD7" w:rsidRDefault="00A16694" w:rsidP="00233DD7">
            <w:pPr>
              <w:rPr>
                <w:sz w:val="16"/>
                <w:szCs w:val="16"/>
              </w:rPr>
            </w:pPr>
            <w:r w:rsidRPr="00233DD7">
              <w:rPr>
                <w:sz w:val="16"/>
                <w:szCs w:val="16"/>
              </w:rPr>
              <w:t>100-299</w:t>
            </w:r>
          </w:p>
        </w:tc>
        <w:tc>
          <w:tcPr>
            <w:tcW w:w="1776" w:type="dxa"/>
            <w:tcBorders>
              <w:top w:val="nil"/>
              <w:left w:val="single" w:sz="4" w:space="0" w:color="auto"/>
              <w:bottom w:val="nil"/>
              <w:right w:val="nil"/>
            </w:tcBorders>
            <w:shd w:val="clear" w:color="auto" w:fill="auto"/>
            <w:noWrap/>
            <w:hideMark/>
          </w:tcPr>
          <w:p w14:paraId="5EE683BA" w14:textId="4A1820F0" w:rsidR="00A16694" w:rsidRPr="00233DD7" w:rsidRDefault="00A16694" w:rsidP="00233DD7">
            <w:pPr>
              <w:jc w:val="right"/>
              <w:rPr>
                <w:sz w:val="16"/>
                <w:szCs w:val="16"/>
              </w:rPr>
            </w:pPr>
            <w:r w:rsidRPr="00233DD7">
              <w:rPr>
                <w:sz w:val="16"/>
                <w:szCs w:val="16"/>
              </w:rPr>
              <w:t>2,309</w:t>
            </w:r>
          </w:p>
        </w:tc>
        <w:tc>
          <w:tcPr>
            <w:tcW w:w="1626" w:type="dxa"/>
            <w:tcBorders>
              <w:top w:val="nil"/>
              <w:left w:val="nil"/>
              <w:bottom w:val="nil"/>
              <w:right w:val="single" w:sz="4" w:space="0" w:color="auto"/>
            </w:tcBorders>
            <w:shd w:val="clear" w:color="auto" w:fill="auto"/>
            <w:noWrap/>
            <w:hideMark/>
          </w:tcPr>
          <w:p w14:paraId="4C586F0E" w14:textId="1749EC41" w:rsidR="00A16694" w:rsidRPr="00233DD7" w:rsidRDefault="00A16694" w:rsidP="00233DD7">
            <w:pPr>
              <w:jc w:val="right"/>
              <w:rPr>
                <w:sz w:val="16"/>
                <w:szCs w:val="16"/>
              </w:rPr>
            </w:pPr>
            <w:r w:rsidRPr="00233DD7">
              <w:rPr>
                <w:sz w:val="16"/>
                <w:szCs w:val="16"/>
              </w:rPr>
              <w:t>0.1</w:t>
            </w:r>
          </w:p>
        </w:tc>
        <w:tc>
          <w:tcPr>
            <w:tcW w:w="1760" w:type="dxa"/>
            <w:tcBorders>
              <w:top w:val="nil"/>
              <w:left w:val="nil"/>
              <w:bottom w:val="nil"/>
              <w:right w:val="nil"/>
            </w:tcBorders>
            <w:shd w:val="clear" w:color="auto" w:fill="auto"/>
            <w:noWrap/>
            <w:hideMark/>
          </w:tcPr>
          <w:p w14:paraId="77A948EB" w14:textId="3663671E" w:rsidR="00A16694" w:rsidRPr="00233DD7" w:rsidRDefault="00A16694" w:rsidP="00233DD7">
            <w:pPr>
              <w:jc w:val="right"/>
              <w:rPr>
                <w:sz w:val="16"/>
                <w:szCs w:val="16"/>
              </w:rPr>
            </w:pPr>
            <w:r w:rsidRPr="00233DD7">
              <w:rPr>
                <w:sz w:val="16"/>
                <w:szCs w:val="16"/>
              </w:rPr>
              <w:t>334,905</w:t>
            </w:r>
          </w:p>
        </w:tc>
        <w:tc>
          <w:tcPr>
            <w:tcW w:w="1939" w:type="dxa"/>
            <w:tcBorders>
              <w:top w:val="nil"/>
              <w:left w:val="nil"/>
              <w:bottom w:val="nil"/>
              <w:right w:val="nil"/>
            </w:tcBorders>
            <w:shd w:val="clear" w:color="auto" w:fill="auto"/>
            <w:noWrap/>
            <w:hideMark/>
          </w:tcPr>
          <w:p w14:paraId="345F6199" w14:textId="6FF9A53B" w:rsidR="00A16694" w:rsidRPr="00233DD7" w:rsidRDefault="00A16694" w:rsidP="00233DD7">
            <w:pPr>
              <w:jc w:val="right"/>
              <w:rPr>
                <w:sz w:val="16"/>
                <w:szCs w:val="16"/>
              </w:rPr>
            </w:pPr>
            <w:r w:rsidRPr="00233DD7">
              <w:rPr>
                <w:sz w:val="16"/>
                <w:szCs w:val="16"/>
              </w:rPr>
              <w:t>145</w:t>
            </w:r>
          </w:p>
        </w:tc>
      </w:tr>
      <w:tr w:rsidR="006B42D6" w:rsidRPr="00233DD7" w14:paraId="4994FE91" w14:textId="77777777" w:rsidTr="00FF7140">
        <w:trPr>
          <w:trHeight w:hRule="exact" w:val="283"/>
        </w:trPr>
        <w:tc>
          <w:tcPr>
            <w:tcW w:w="1332" w:type="dxa"/>
            <w:tcBorders>
              <w:top w:val="nil"/>
              <w:left w:val="nil"/>
              <w:bottom w:val="nil"/>
              <w:right w:val="nil"/>
            </w:tcBorders>
            <w:shd w:val="clear" w:color="auto" w:fill="auto"/>
            <w:noWrap/>
            <w:hideMark/>
          </w:tcPr>
          <w:p w14:paraId="2D660915" w14:textId="77777777" w:rsidR="00A16694" w:rsidRPr="00233DD7" w:rsidRDefault="00A16694" w:rsidP="00233DD7">
            <w:pPr>
              <w:rPr>
                <w:sz w:val="16"/>
                <w:szCs w:val="16"/>
              </w:rPr>
            </w:pPr>
            <w:r w:rsidRPr="00233DD7">
              <w:rPr>
                <w:sz w:val="16"/>
                <w:szCs w:val="16"/>
              </w:rPr>
              <w:t>300-499</w:t>
            </w:r>
          </w:p>
        </w:tc>
        <w:tc>
          <w:tcPr>
            <w:tcW w:w="1776" w:type="dxa"/>
            <w:tcBorders>
              <w:top w:val="nil"/>
              <w:left w:val="single" w:sz="4" w:space="0" w:color="auto"/>
              <w:bottom w:val="nil"/>
              <w:right w:val="nil"/>
            </w:tcBorders>
            <w:shd w:val="clear" w:color="auto" w:fill="auto"/>
            <w:noWrap/>
            <w:hideMark/>
          </w:tcPr>
          <w:p w14:paraId="3E773ABA" w14:textId="03A134AD" w:rsidR="00A16694" w:rsidRPr="00233DD7" w:rsidRDefault="00A16694" w:rsidP="00233DD7">
            <w:pPr>
              <w:jc w:val="right"/>
              <w:rPr>
                <w:sz w:val="16"/>
                <w:szCs w:val="16"/>
              </w:rPr>
            </w:pPr>
            <w:r w:rsidRPr="00233DD7">
              <w:rPr>
                <w:sz w:val="16"/>
                <w:szCs w:val="16"/>
              </w:rPr>
              <w:t>353</w:t>
            </w:r>
          </w:p>
        </w:tc>
        <w:tc>
          <w:tcPr>
            <w:tcW w:w="1626" w:type="dxa"/>
            <w:tcBorders>
              <w:top w:val="nil"/>
              <w:left w:val="nil"/>
              <w:bottom w:val="nil"/>
              <w:right w:val="single" w:sz="4" w:space="0" w:color="auto"/>
            </w:tcBorders>
            <w:shd w:val="clear" w:color="auto" w:fill="auto"/>
            <w:noWrap/>
            <w:hideMark/>
          </w:tcPr>
          <w:p w14:paraId="7F14D213" w14:textId="5A4AB32E" w:rsidR="00A16694" w:rsidRPr="00233DD7" w:rsidRDefault="00A16694" w:rsidP="00233DD7">
            <w:pPr>
              <w:jc w:val="right"/>
              <w:rPr>
                <w:sz w:val="16"/>
                <w:szCs w:val="16"/>
              </w:rPr>
            </w:pPr>
            <w:r w:rsidRPr="00233DD7">
              <w:rPr>
                <w:sz w:val="16"/>
                <w:szCs w:val="16"/>
              </w:rPr>
              <w:t>0.01</w:t>
            </w:r>
          </w:p>
        </w:tc>
        <w:tc>
          <w:tcPr>
            <w:tcW w:w="1760" w:type="dxa"/>
            <w:tcBorders>
              <w:top w:val="nil"/>
              <w:left w:val="nil"/>
              <w:bottom w:val="nil"/>
              <w:right w:val="nil"/>
            </w:tcBorders>
            <w:shd w:val="clear" w:color="auto" w:fill="auto"/>
            <w:noWrap/>
            <w:hideMark/>
          </w:tcPr>
          <w:p w14:paraId="5CCC214E" w14:textId="79748B31" w:rsidR="00A16694" w:rsidRPr="00233DD7" w:rsidRDefault="00A16694" w:rsidP="00233DD7">
            <w:pPr>
              <w:jc w:val="right"/>
              <w:rPr>
                <w:sz w:val="16"/>
                <w:szCs w:val="16"/>
              </w:rPr>
            </w:pPr>
            <w:r w:rsidRPr="00233DD7">
              <w:rPr>
                <w:sz w:val="16"/>
                <w:szCs w:val="16"/>
              </w:rPr>
              <w:t>121,501</w:t>
            </w:r>
          </w:p>
        </w:tc>
        <w:tc>
          <w:tcPr>
            <w:tcW w:w="1939" w:type="dxa"/>
            <w:tcBorders>
              <w:top w:val="nil"/>
              <w:left w:val="nil"/>
              <w:bottom w:val="nil"/>
              <w:right w:val="nil"/>
            </w:tcBorders>
            <w:shd w:val="clear" w:color="auto" w:fill="auto"/>
            <w:noWrap/>
            <w:hideMark/>
          </w:tcPr>
          <w:p w14:paraId="1E2697A9" w14:textId="0F98F608" w:rsidR="00A16694" w:rsidRPr="00233DD7" w:rsidRDefault="00A16694" w:rsidP="00233DD7">
            <w:pPr>
              <w:jc w:val="right"/>
              <w:rPr>
                <w:sz w:val="16"/>
                <w:szCs w:val="16"/>
              </w:rPr>
            </w:pPr>
            <w:r w:rsidRPr="00233DD7">
              <w:rPr>
                <w:sz w:val="16"/>
                <w:szCs w:val="16"/>
              </w:rPr>
              <w:t>344</w:t>
            </w:r>
          </w:p>
        </w:tc>
      </w:tr>
      <w:tr w:rsidR="006B42D6" w:rsidRPr="00233DD7" w14:paraId="03C8C22F" w14:textId="77777777" w:rsidTr="00FF7140">
        <w:trPr>
          <w:trHeight w:hRule="exact" w:val="283"/>
        </w:trPr>
        <w:tc>
          <w:tcPr>
            <w:tcW w:w="1332" w:type="dxa"/>
            <w:tcBorders>
              <w:top w:val="nil"/>
              <w:left w:val="nil"/>
              <w:bottom w:val="nil"/>
              <w:right w:val="nil"/>
            </w:tcBorders>
            <w:shd w:val="clear" w:color="auto" w:fill="auto"/>
            <w:noWrap/>
            <w:hideMark/>
          </w:tcPr>
          <w:p w14:paraId="73F6E826" w14:textId="77777777" w:rsidR="00A16694" w:rsidRPr="00233DD7" w:rsidRDefault="00A16694" w:rsidP="00233DD7">
            <w:pPr>
              <w:rPr>
                <w:sz w:val="16"/>
                <w:szCs w:val="16"/>
              </w:rPr>
            </w:pPr>
            <w:r w:rsidRPr="00233DD7">
              <w:rPr>
                <w:sz w:val="16"/>
                <w:szCs w:val="16"/>
              </w:rPr>
              <w:t>500-699</w:t>
            </w:r>
          </w:p>
        </w:tc>
        <w:tc>
          <w:tcPr>
            <w:tcW w:w="1776" w:type="dxa"/>
            <w:tcBorders>
              <w:top w:val="nil"/>
              <w:left w:val="single" w:sz="4" w:space="0" w:color="auto"/>
              <w:bottom w:val="nil"/>
              <w:right w:val="nil"/>
            </w:tcBorders>
            <w:shd w:val="clear" w:color="auto" w:fill="auto"/>
            <w:noWrap/>
            <w:hideMark/>
          </w:tcPr>
          <w:p w14:paraId="6234F416" w14:textId="370309C4" w:rsidR="00A16694" w:rsidRPr="00233DD7" w:rsidRDefault="00A16694" w:rsidP="00233DD7">
            <w:pPr>
              <w:jc w:val="right"/>
              <w:rPr>
                <w:sz w:val="16"/>
                <w:szCs w:val="16"/>
              </w:rPr>
            </w:pPr>
            <w:r w:rsidRPr="00233DD7">
              <w:rPr>
                <w:sz w:val="16"/>
                <w:szCs w:val="16"/>
              </w:rPr>
              <w:t>-</w:t>
            </w:r>
          </w:p>
        </w:tc>
        <w:tc>
          <w:tcPr>
            <w:tcW w:w="1626" w:type="dxa"/>
            <w:tcBorders>
              <w:top w:val="nil"/>
              <w:left w:val="nil"/>
              <w:bottom w:val="nil"/>
              <w:right w:val="single" w:sz="4" w:space="0" w:color="auto"/>
            </w:tcBorders>
            <w:shd w:val="clear" w:color="auto" w:fill="auto"/>
            <w:noWrap/>
            <w:hideMark/>
          </w:tcPr>
          <w:p w14:paraId="2484DA9E" w14:textId="609AE36E" w:rsidR="00A16694" w:rsidRPr="00233DD7" w:rsidRDefault="00A16694" w:rsidP="00233DD7">
            <w:pPr>
              <w:jc w:val="right"/>
              <w:rPr>
                <w:sz w:val="16"/>
                <w:szCs w:val="16"/>
              </w:rPr>
            </w:pPr>
            <w:r w:rsidRPr="00233DD7">
              <w:rPr>
                <w:sz w:val="16"/>
                <w:szCs w:val="16"/>
              </w:rPr>
              <w:t>-</w:t>
            </w:r>
          </w:p>
        </w:tc>
        <w:tc>
          <w:tcPr>
            <w:tcW w:w="1760" w:type="dxa"/>
            <w:tcBorders>
              <w:top w:val="nil"/>
              <w:left w:val="nil"/>
              <w:bottom w:val="nil"/>
              <w:right w:val="nil"/>
            </w:tcBorders>
            <w:shd w:val="clear" w:color="auto" w:fill="auto"/>
            <w:noWrap/>
            <w:hideMark/>
          </w:tcPr>
          <w:p w14:paraId="17C3A516" w14:textId="61AFCE9B" w:rsidR="00A16694" w:rsidRPr="00233DD7" w:rsidRDefault="00A16694" w:rsidP="00233DD7">
            <w:pPr>
              <w:jc w:val="right"/>
              <w:rPr>
                <w:sz w:val="16"/>
                <w:szCs w:val="16"/>
              </w:rPr>
            </w:pPr>
            <w:r w:rsidRPr="00233DD7">
              <w:rPr>
                <w:sz w:val="16"/>
                <w:szCs w:val="16"/>
              </w:rPr>
              <w:t>-</w:t>
            </w:r>
          </w:p>
        </w:tc>
        <w:tc>
          <w:tcPr>
            <w:tcW w:w="1939" w:type="dxa"/>
            <w:tcBorders>
              <w:top w:val="nil"/>
              <w:left w:val="nil"/>
              <w:bottom w:val="nil"/>
              <w:right w:val="nil"/>
            </w:tcBorders>
            <w:shd w:val="clear" w:color="auto" w:fill="auto"/>
            <w:noWrap/>
            <w:hideMark/>
          </w:tcPr>
          <w:p w14:paraId="47A0ED9F" w14:textId="04C86883" w:rsidR="00A16694" w:rsidRPr="00233DD7" w:rsidRDefault="00A16694" w:rsidP="00233DD7">
            <w:pPr>
              <w:jc w:val="right"/>
              <w:rPr>
                <w:sz w:val="16"/>
                <w:szCs w:val="16"/>
              </w:rPr>
            </w:pPr>
            <w:r w:rsidRPr="00233DD7">
              <w:rPr>
                <w:sz w:val="16"/>
                <w:szCs w:val="16"/>
              </w:rPr>
              <w:t>-</w:t>
            </w:r>
          </w:p>
        </w:tc>
      </w:tr>
      <w:tr w:rsidR="006B42D6" w:rsidRPr="00233DD7" w14:paraId="3405442C" w14:textId="77777777" w:rsidTr="00FF7140">
        <w:trPr>
          <w:trHeight w:hRule="exact" w:val="283"/>
        </w:trPr>
        <w:tc>
          <w:tcPr>
            <w:tcW w:w="1332" w:type="dxa"/>
            <w:tcBorders>
              <w:top w:val="nil"/>
              <w:left w:val="nil"/>
              <w:bottom w:val="nil"/>
              <w:right w:val="nil"/>
            </w:tcBorders>
            <w:shd w:val="clear" w:color="auto" w:fill="auto"/>
            <w:noWrap/>
            <w:hideMark/>
          </w:tcPr>
          <w:p w14:paraId="47CE3B3F" w14:textId="748773E8" w:rsidR="00A16694" w:rsidRPr="00233DD7" w:rsidRDefault="00A16694" w:rsidP="00233DD7">
            <w:pPr>
              <w:rPr>
                <w:sz w:val="16"/>
                <w:szCs w:val="16"/>
              </w:rPr>
            </w:pPr>
            <w:r w:rsidRPr="00233DD7">
              <w:rPr>
                <w:sz w:val="16"/>
                <w:szCs w:val="16"/>
              </w:rPr>
              <w:t>700+</w:t>
            </w:r>
          </w:p>
        </w:tc>
        <w:tc>
          <w:tcPr>
            <w:tcW w:w="1776" w:type="dxa"/>
            <w:tcBorders>
              <w:top w:val="nil"/>
              <w:left w:val="single" w:sz="4" w:space="0" w:color="auto"/>
              <w:bottom w:val="nil"/>
              <w:right w:val="nil"/>
            </w:tcBorders>
            <w:shd w:val="clear" w:color="auto" w:fill="auto"/>
            <w:noWrap/>
            <w:hideMark/>
          </w:tcPr>
          <w:p w14:paraId="4DC3C63D" w14:textId="1020ABC4" w:rsidR="00A16694" w:rsidRPr="00233DD7" w:rsidRDefault="00A16694" w:rsidP="00233DD7">
            <w:pPr>
              <w:jc w:val="right"/>
              <w:rPr>
                <w:sz w:val="16"/>
                <w:szCs w:val="16"/>
              </w:rPr>
            </w:pPr>
            <w:r w:rsidRPr="00233DD7">
              <w:rPr>
                <w:sz w:val="16"/>
                <w:szCs w:val="16"/>
              </w:rPr>
              <w:t>-</w:t>
            </w:r>
          </w:p>
        </w:tc>
        <w:tc>
          <w:tcPr>
            <w:tcW w:w="1626" w:type="dxa"/>
            <w:tcBorders>
              <w:top w:val="nil"/>
              <w:left w:val="nil"/>
              <w:bottom w:val="nil"/>
              <w:right w:val="single" w:sz="4" w:space="0" w:color="auto"/>
            </w:tcBorders>
            <w:shd w:val="clear" w:color="auto" w:fill="auto"/>
            <w:noWrap/>
            <w:hideMark/>
          </w:tcPr>
          <w:p w14:paraId="6A98F0A4" w14:textId="15682D3B" w:rsidR="00A16694" w:rsidRPr="00233DD7" w:rsidRDefault="00A16694" w:rsidP="00233DD7">
            <w:pPr>
              <w:jc w:val="right"/>
              <w:rPr>
                <w:sz w:val="16"/>
                <w:szCs w:val="16"/>
              </w:rPr>
            </w:pPr>
            <w:r w:rsidRPr="00233DD7">
              <w:rPr>
                <w:sz w:val="16"/>
                <w:szCs w:val="16"/>
              </w:rPr>
              <w:t>-</w:t>
            </w:r>
          </w:p>
        </w:tc>
        <w:tc>
          <w:tcPr>
            <w:tcW w:w="1760" w:type="dxa"/>
            <w:tcBorders>
              <w:top w:val="nil"/>
              <w:left w:val="nil"/>
              <w:bottom w:val="nil"/>
              <w:right w:val="nil"/>
            </w:tcBorders>
            <w:shd w:val="clear" w:color="auto" w:fill="auto"/>
            <w:noWrap/>
            <w:hideMark/>
          </w:tcPr>
          <w:p w14:paraId="0854C5A8" w14:textId="70356B4C" w:rsidR="00A16694" w:rsidRPr="00233DD7" w:rsidRDefault="00A16694" w:rsidP="00233DD7">
            <w:pPr>
              <w:jc w:val="right"/>
              <w:rPr>
                <w:sz w:val="16"/>
                <w:szCs w:val="16"/>
              </w:rPr>
            </w:pPr>
            <w:r w:rsidRPr="00233DD7">
              <w:rPr>
                <w:sz w:val="16"/>
                <w:szCs w:val="16"/>
              </w:rPr>
              <w:t>-</w:t>
            </w:r>
          </w:p>
        </w:tc>
        <w:tc>
          <w:tcPr>
            <w:tcW w:w="1939" w:type="dxa"/>
            <w:tcBorders>
              <w:top w:val="nil"/>
              <w:left w:val="nil"/>
              <w:bottom w:val="nil"/>
              <w:right w:val="nil"/>
            </w:tcBorders>
            <w:shd w:val="clear" w:color="auto" w:fill="auto"/>
            <w:noWrap/>
            <w:hideMark/>
          </w:tcPr>
          <w:p w14:paraId="372F7E19" w14:textId="6CCD23CC" w:rsidR="00A16694" w:rsidRPr="00233DD7" w:rsidRDefault="00A16694" w:rsidP="00233DD7">
            <w:pPr>
              <w:jc w:val="right"/>
              <w:rPr>
                <w:sz w:val="16"/>
                <w:szCs w:val="16"/>
              </w:rPr>
            </w:pPr>
            <w:r w:rsidRPr="00233DD7">
              <w:rPr>
                <w:sz w:val="16"/>
                <w:szCs w:val="16"/>
              </w:rPr>
              <w:t>-</w:t>
            </w:r>
          </w:p>
        </w:tc>
      </w:tr>
      <w:tr w:rsidR="006B42D6" w:rsidRPr="00233DD7" w14:paraId="5A25163A" w14:textId="77777777" w:rsidTr="00FF7140">
        <w:trPr>
          <w:trHeight w:hRule="exact" w:val="283"/>
        </w:trPr>
        <w:tc>
          <w:tcPr>
            <w:tcW w:w="1332" w:type="dxa"/>
            <w:tcBorders>
              <w:top w:val="single" w:sz="4" w:space="0" w:color="auto"/>
              <w:left w:val="nil"/>
              <w:bottom w:val="single" w:sz="4" w:space="0" w:color="auto"/>
              <w:right w:val="nil"/>
            </w:tcBorders>
            <w:shd w:val="clear" w:color="auto" w:fill="E2EFD9" w:themeFill="accent6" w:themeFillTint="33"/>
            <w:noWrap/>
            <w:hideMark/>
          </w:tcPr>
          <w:p w14:paraId="49152393" w14:textId="77777777" w:rsidR="00A16694" w:rsidRPr="00233DD7" w:rsidRDefault="00A16694" w:rsidP="00233DD7">
            <w:pPr>
              <w:rPr>
                <w:b/>
                <w:bCs/>
                <w:sz w:val="16"/>
                <w:szCs w:val="16"/>
              </w:rPr>
            </w:pPr>
            <w:r w:rsidRPr="00233DD7">
              <w:rPr>
                <w:b/>
                <w:bCs/>
                <w:sz w:val="16"/>
                <w:szCs w:val="16"/>
              </w:rPr>
              <w:t>Total</w:t>
            </w:r>
          </w:p>
        </w:tc>
        <w:tc>
          <w:tcPr>
            <w:tcW w:w="1776" w:type="dxa"/>
            <w:tcBorders>
              <w:top w:val="single" w:sz="4" w:space="0" w:color="auto"/>
              <w:left w:val="single" w:sz="4" w:space="0" w:color="auto"/>
              <w:bottom w:val="single" w:sz="4" w:space="0" w:color="auto"/>
              <w:right w:val="nil"/>
            </w:tcBorders>
            <w:shd w:val="clear" w:color="auto" w:fill="E2EFD9" w:themeFill="accent6" w:themeFillTint="33"/>
            <w:noWrap/>
            <w:hideMark/>
          </w:tcPr>
          <w:p w14:paraId="4B02A534" w14:textId="6975ADF3" w:rsidR="00A16694" w:rsidRPr="00233DD7" w:rsidRDefault="00A16694" w:rsidP="00233DD7">
            <w:pPr>
              <w:jc w:val="right"/>
              <w:rPr>
                <w:b/>
                <w:bCs/>
                <w:sz w:val="16"/>
                <w:szCs w:val="16"/>
              </w:rPr>
            </w:pPr>
            <w:r w:rsidRPr="00233DD7">
              <w:rPr>
                <w:b/>
                <w:bCs/>
                <w:sz w:val="16"/>
                <w:szCs w:val="16"/>
              </w:rPr>
              <w:t>3,897,382</w:t>
            </w:r>
          </w:p>
        </w:tc>
        <w:tc>
          <w:tcPr>
            <w:tcW w:w="1626" w:type="dxa"/>
            <w:tcBorders>
              <w:top w:val="single" w:sz="4" w:space="0" w:color="auto"/>
              <w:left w:val="nil"/>
              <w:bottom w:val="single" w:sz="4" w:space="0" w:color="auto"/>
              <w:right w:val="single" w:sz="4" w:space="0" w:color="auto"/>
            </w:tcBorders>
            <w:shd w:val="clear" w:color="auto" w:fill="E2EFD9" w:themeFill="accent6" w:themeFillTint="33"/>
            <w:noWrap/>
            <w:hideMark/>
          </w:tcPr>
          <w:p w14:paraId="3F889DD2" w14:textId="081FAD0C" w:rsidR="00A16694" w:rsidRPr="00233DD7" w:rsidRDefault="00A16694" w:rsidP="00233DD7">
            <w:pPr>
              <w:jc w:val="right"/>
              <w:rPr>
                <w:b/>
                <w:bCs/>
                <w:sz w:val="16"/>
                <w:szCs w:val="16"/>
              </w:rPr>
            </w:pPr>
            <w:r w:rsidRPr="00233DD7">
              <w:rPr>
                <w:b/>
                <w:bCs/>
                <w:sz w:val="16"/>
                <w:szCs w:val="16"/>
              </w:rPr>
              <w:t>100</w:t>
            </w:r>
            <w:r w:rsidR="001C1255">
              <w:rPr>
                <w:b/>
                <w:bCs/>
                <w:sz w:val="16"/>
                <w:szCs w:val="16"/>
              </w:rPr>
              <w:t>.0</w:t>
            </w:r>
          </w:p>
        </w:tc>
        <w:tc>
          <w:tcPr>
            <w:tcW w:w="1760" w:type="dxa"/>
            <w:tcBorders>
              <w:top w:val="single" w:sz="4" w:space="0" w:color="auto"/>
              <w:left w:val="nil"/>
              <w:bottom w:val="single" w:sz="4" w:space="0" w:color="auto"/>
              <w:right w:val="nil"/>
            </w:tcBorders>
            <w:shd w:val="clear" w:color="auto" w:fill="E2EFD9" w:themeFill="accent6" w:themeFillTint="33"/>
            <w:noWrap/>
            <w:hideMark/>
          </w:tcPr>
          <w:p w14:paraId="771B6AA3" w14:textId="53E3E9D0" w:rsidR="00A16694" w:rsidRPr="00233DD7" w:rsidRDefault="00A16694" w:rsidP="00233DD7">
            <w:pPr>
              <w:jc w:val="right"/>
              <w:rPr>
                <w:b/>
                <w:bCs/>
                <w:sz w:val="16"/>
                <w:szCs w:val="16"/>
              </w:rPr>
            </w:pPr>
            <w:r w:rsidRPr="00233DD7">
              <w:rPr>
                <w:b/>
                <w:bCs/>
                <w:sz w:val="16"/>
                <w:szCs w:val="16"/>
              </w:rPr>
              <w:t>43,720,658</w:t>
            </w:r>
          </w:p>
        </w:tc>
        <w:tc>
          <w:tcPr>
            <w:tcW w:w="1939" w:type="dxa"/>
            <w:tcBorders>
              <w:top w:val="single" w:sz="4" w:space="0" w:color="auto"/>
              <w:left w:val="nil"/>
              <w:bottom w:val="single" w:sz="4" w:space="0" w:color="auto"/>
              <w:right w:val="nil"/>
            </w:tcBorders>
            <w:shd w:val="clear" w:color="auto" w:fill="E2EFD9" w:themeFill="accent6" w:themeFillTint="33"/>
            <w:noWrap/>
            <w:hideMark/>
          </w:tcPr>
          <w:p w14:paraId="71D6D7E3" w14:textId="7BE016CD" w:rsidR="00A16694" w:rsidRPr="00233DD7" w:rsidRDefault="00A16694" w:rsidP="00233DD7">
            <w:pPr>
              <w:jc w:val="right"/>
              <w:rPr>
                <w:b/>
                <w:bCs/>
                <w:sz w:val="16"/>
                <w:szCs w:val="16"/>
              </w:rPr>
            </w:pPr>
            <w:r w:rsidRPr="00233DD7">
              <w:rPr>
                <w:b/>
                <w:bCs/>
                <w:sz w:val="16"/>
                <w:szCs w:val="16"/>
              </w:rPr>
              <w:t>11</w:t>
            </w:r>
          </w:p>
        </w:tc>
      </w:tr>
    </w:tbl>
    <w:p w14:paraId="5BD28529" w14:textId="77777777" w:rsidR="00A16694" w:rsidRPr="006B42D6" w:rsidRDefault="00A16694" w:rsidP="00A16694">
      <w:pPr>
        <w:rPr>
          <w:b/>
        </w:rPr>
      </w:pPr>
    </w:p>
    <w:p w14:paraId="1B0C465A" w14:textId="77777777" w:rsidR="00FF7140" w:rsidRDefault="00FF7140">
      <w:pPr>
        <w:spacing w:line="240" w:lineRule="auto"/>
        <w:contextualSpacing w:val="0"/>
        <w:jc w:val="left"/>
      </w:pPr>
    </w:p>
    <w:p w14:paraId="5CDF9177" w14:textId="77777777" w:rsidR="00FF7140" w:rsidRDefault="00FF7140">
      <w:pPr>
        <w:spacing w:line="240" w:lineRule="auto"/>
        <w:contextualSpacing w:val="0"/>
        <w:jc w:val="left"/>
      </w:pPr>
    </w:p>
    <w:p w14:paraId="2E994F9F" w14:textId="77777777" w:rsidR="00FF7140" w:rsidRDefault="00FF7140">
      <w:pPr>
        <w:spacing w:line="240" w:lineRule="auto"/>
        <w:contextualSpacing w:val="0"/>
        <w:jc w:val="left"/>
      </w:pPr>
    </w:p>
    <w:p w14:paraId="1F5E0B0D" w14:textId="77777777" w:rsidR="00FF7140" w:rsidRDefault="00FF7140">
      <w:pPr>
        <w:spacing w:line="240" w:lineRule="auto"/>
        <w:contextualSpacing w:val="0"/>
        <w:jc w:val="left"/>
      </w:pPr>
    </w:p>
    <w:p w14:paraId="62E04617" w14:textId="77777777" w:rsidR="00FF7140" w:rsidRDefault="00FF7140">
      <w:pPr>
        <w:spacing w:line="240" w:lineRule="auto"/>
        <w:contextualSpacing w:val="0"/>
        <w:jc w:val="left"/>
      </w:pPr>
    </w:p>
    <w:p w14:paraId="4DE1413F" w14:textId="77777777" w:rsidR="00FF7140" w:rsidRDefault="00FF7140">
      <w:pPr>
        <w:spacing w:line="240" w:lineRule="auto"/>
        <w:contextualSpacing w:val="0"/>
        <w:jc w:val="left"/>
      </w:pPr>
    </w:p>
    <w:p w14:paraId="329DE1AD" w14:textId="77777777" w:rsidR="00FF7140" w:rsidRDefault="00FF7140">
      <w:pPr>
        <w:spacing w:line="240" w:lineRule="auto"/>
        <w:contextualSpacing w:val="0"/>
        <w:jc w:val="left"/>
      </w:pPr>
    </w:p>
    <w:p w14:paraId="364B6AC9" w14:textId="6DE77081" w:rsidR="00FF7140" w:rsidRDefault="00FF7140">
      <w:pPr>
        <w:spacing w:line="240" w:lineRule="auto"/>
        <w:contextualSpacing w:val="0"/>
        <w:jc w:val="left"/>
      </w:pPr>
      <w:r>
        <w:br w:type="page"/>
      </w:r>
    </w:p>
    <w:p w14:paraId="7610567D" w14:textId="486422E0" w:rsidR="00A16694" w:rsidRDefault="00A16694" w:rsidP="00ED4429">
      <w:r w:rsidRPr="006B42D6">
        <w:lastRenderedPageBreak/>
        <w:t xml:space="preserve">In comparison with </w:t>
      </w:r>
      <w:r w:rsidR="004C444F" w:rsidRPr="006B42D6">
        <w:t>previous</w:t>
      </w:r>
      <w:r w:rsidRPr="006B42D6">
        <w:t xml:space="preserve"> census, the number of indigenous chicken for smallholder farmers has increased from 41,895,605 in 2007/08</w:t>
      </w:r>
      <w:r w:rsidR="004C444F" w:rsidRPr="006B42D6">
        <w:t xml:space="preserve"> </w:t>
      </w:r>
      <w:r w:rsidRPr="006B42D6">
        <w:t>to 43,720,661 in 2019/20 agriculture census</w:t>
      </w:r>
      <w:r w:rsidR="004C444F" w:rsidRPr="006B42D6">
        <w:t>es,</w:t>
      </w:r>
      <w:r w:rsidRPr="006B42D6">
        <w:t xml:space="preserve"> equivalent to 4.4 percentage increase. Similarly, the number of </w:t>
      </w:r>
      <w:r w:rsidR="004C444F" w:rsidRPr="006B42D6">
        <w:t>households</w:t>
      </w:r>
      <w:r w:rsidRPr="006B42D6">
        <w:t xml:space="preserve"> </w:t>
      </w:r>
      <w:r w:rsidR="00BF7C79" w:rsidRPr="006B42D6">
        <w:t>rearing</w:t>
      </w:r>
      <w:r w:rsidRPr="006B42D6">
        <w:t xml:space="preserve"> indigenous chicken has increased by 0.4 percent over the same period</w:t>
      </w:r>
      <w:r w:rsidR="00012D11" w:rsidRPr="006B42D6">
        <w:t>.</w:t>
      </w:r>
    </w:p>
    <w:p w14:paraId="449AC4D7" w14:textId="77777777" w:rsidR="00FF7140" w:rsidRPr="006B42D6" w:rsidRDefault="00FF7140" w:rsidP="00ED4429"/>
    <w:p w14:paraId="161E009D" w14:textId="45447688" w:rsidR="00A16694" w:rsidRPr="006B42D6" w:rsidRDefault="009D1D40" w:rsidP="009D1D40">
      <w:pPr>
        <w:pStyle w:val="Heading4"/>
      </w:pPr>
      <w:bookmarkStart w:id="538" w:name="_Toc82385743"/>
      <w:r w:rsidRPr="006B42D6">
        <w:t>4.</w:t>
      </w:r>
      <w:r w:rsidR="00C4159B">
        <w:t>1</w:t>
      </w:r>
      <w:r w:rsidRPr="006B42D6">
        <w:t>.5.2</w:t>
      </w:r>
      <w:r w:rsidRPr="006B42D6">
        <w:tab/>
      </w:r>
      <w:r w:rsidR="00A16694" w:rsidRPr="006B42D6">
        <w:t>Improved Chicken Population</w:t>
      </w:r>
      <w:bookmarkEnd w:id="538"/>
    </w:p>
    <w:p w14:paraId="3113030A" w14:textId="71A8FBD7" w:rsidR="006A201D" w:rsidRDefault="00A16694" w:rsidP="00A16694">
      <w:r w:rsidRPr="006B42D6">
        <w:t xml:space="preserve">The total number of improved chicken in Tanzania was 31,399,141 of which 29,202,176 chicken were from </w:t>
      </w:r>
      <w:r w:rsidR="00EA1552">
        <w:rPr>
          <w:lang w:eastAsia="en-GB"/>
        </w:rPr>
        <w:t>Mainland Tanzania</w:t>
      </w:r>
      <w:r w:rsidRPr="006B42D6">
        <w:t xml:space="preserve"> and 2,196,965 from </w:t>
      </w:r>
      <w:r w:rsidR="000D4D71" w:rsidRPr="006B42D6">
        <w:rPr>
          <w:lang w:eastAsia="en-GB"/>
        </w:rPr>
        <w:t xml:space="preserve">Tanzania </w:t>
      </w:r>
      <w:r w:rsidRPr="006B42D6">
        <w:t>Zanzibar</w:t>
      </w:r>
      <w:r w:rsidR="00A71F69">
        <w:t xml:space="preserve">. </w:t>
      </w:r>
      <w:r w:rsidRPr="006B42D6">
        <w:t xml:space="preserve">In </w:t>
      </w:r>
      <w:r w:rsidR="00EA1552">
        <w:rPr>
          <w:lang w:eastAsia="en-GB"/>
        </w:rPr>
        <w:t>Mainland Tanzania</w:t>
      </w:r>
      <w:r w:rsidRPr="006B42D6">
        <w:t xml:space="preserve">, the total population of layers and broilers was 16,432,644 (56.3 percent) and 12,769,532 (43.7 percent) respectively, while in </w:t>
      </w:r>
      <w:r w:rsidR="000D4D71" w:rsidRPr="006B42D6">
        <w:rPr>
          <w:lang w:eastAsia="en-GB"/>
        </w:rPr>
        <w:t xml:space="preserve">Tanzania </w:t>
      </w:r>
      <w:r w:rsidRPr="006B42D6">
        <w:t xml:space="preserve">Zanzibar there were 2,116,994 </w:t>
      </w:r>
      <w:r w:rsidR="00883F54" w:rsidRPr="006B42D6">
        <w:t xml:space="preserve">layers </w:t>
      </w:r>
      <w:r w:rsidRPr="006B42D6">
        <w:t>(96.4 percent) and</w:t>
      </w:r>
      <w:r w:rsidRPr="006B42D6">
        <w:rPr>
          <w:b/>
        </w:rPr>
        <w:t xml:space="preserve"> </w:t>
      </w:r>
      <w:r w:rsidRPr="006B42D6">
        <w:t>79,971</w:t>
      </w:r>
      <w:r w:rsidR="00883F54" w:rsidRPr="00883F54">
        <w:t xml:space="preserve"> </w:t>
      </w:r>
      <w:r w:rsidR="00883F54" w:rsidRPr="006B42D6">
        <w:t xml:space="preserve">broilers </w:t>
      </w:r>
      <w:r w:rsidRPr="006B42D6">
        <w:t xml:space="preserve">(3.6 percent) (Figure </w:t>
      </w:r>
      <w:r w:rsidR="002361AE" w:rsidRPr="006B42D6">
        <w:t>4.2</w:t>
      </w:r>
      <w:r w:rsidR="00692C2F" w:rsidRPr="006B42D6">
        <w:t>1</w:t>
      </w:r>
      <w:r w:rsidRPr="006B42D6">
        <w:t xml:space="preserve"> </w:t>
      </w:r>
      <w:r w:rsidR="00E41F58">
        <w:t>&amp;</w:t>
      </w:r>
      <w:r w:rsidRPr="006B42D6">
        <w:t xml:space="preserve"> </w:t>
      </w:r>
      <w:r w:rsidR="002361AE" w:rsidRPr="006B42D6">
        <w:t>4.2</w:t>
      </w:r>
      <w:r w:rsidR="00692C2F" w:rsidRPr="006B42D6">
        <w:t>2</w:t>
      </w:r>
      <w:r w:rsidRPr="006B42D6">
        <w:t xml:space="preserve">). </w:t>
      </w:r>
    </w:p>
    <w:p w14:paraId="0AB8EDEE" w14:textId="22651921" w:rsidR="00A71F69" w:rsidRDefault="001C1255" w:rsidP="00E41F58">
      <w:pPr>
        <w:spacing w:line="240" w:lineRule="auto"/>
      </w:pPr>
      <w:r>
        <w:rPr>
          <w:noProof/>
        </w:rPr>
        <mc:AlternateContent>
          <mc:Choice Requires="wps">
            <w:drawing>
              <wp:anchor distT="0" distB="0" distL="114300" distR="114300" simplePos="0" relativeHeight="251723776" behindDoc="1" locked="0" layoutInCell="1" allowOverlap="1" wp14:anchorId="7745BB0B" wp14:editId="39006D8A">
                <wp:simplePos x="0" y="0"/>
                <wp:positionH relativeFrom="column">
                  <wp:posOffset>2968625</wp:posOffset>
                </wp:positionH>
                <wp:positionV relativeFrom="paragraph">
                  <wp:posOffset>264636</wp:posOffset>
                </wp:positionV>
                <wp:extent cx="2819400" cy="452755"/>
                <wp:effectExtent l="0" t="0" r="0" b="4445"/>
                <wp:wrapTight wrapText="bothSides">
                  <wp:wrapPolygon edited="0">
                    <wp:start x="0" y="0"/>
                    <wp:lineTo x="0" y="21206"/>
                    <wp:lineTo x="21503" y="21206"/>
                    <wp:lineTo x="21503" y="0"/>
                    <wp:lineTo x="0" y="0"/>
                  </wp:wrapPolygon>
                </wp:wrapTight>
                <wp:docPr id="507" name="Text Box 507"/>
                <wp:cNvGraphicFramePr/>
                <a:graphic xmlns:a="http://schemas.openxmlformats.org/drawingml/2006/main">
                  <a:graphicData uri="http://schemas.microsoft.com/office/word/2010/wordprocessingShape">
                    <wps:wsp>
                      <wps:cNvSpPr txBox="1"/>
                      <wps:spPr>
                        <a:xfrm>
                          <a:off x="0" y="0"/>
                          <a:ext cx="2819400" cy="452755"/>
                        </a:xfrm>
                        <a:prstGeom prst="rect">
                          <a:avLst/>
                        </a:prstGeom>
                        <a:solidFill>
                          <a:prstClr val="white"/>
                        </a:solidFill>
                        <a:ln>
                          <a:noFill/>
                        </a:ln>
                      </wps:spPr>
                      <wps:txbx>
                        <w:txbxContent>
                          <w:p w14:paraId="15920537" w14:textId="4B902EB7" w:rsidR="00933456" w:rsidRPr="006A201D" w:rsidRDefault="00933456" w:rsidP="006A201D">
                            <w:pPr>
                              <w:pStyle w:val="Caption"/>
                            </w:pPr>
                            <w:bookmarkStart w:id="539" w:name="_Toc80120294"/>
                            <w:bookmarkStart w:id="540" w:name="_Toc80884169"/>
                            <w:bookmarkStart w:id="541" w:name="_Toc80884540"/>
                            <w:bookmarkStart w:id="542" w:name="_Toc82386392"/>
                            <w:r w:rsidRPr="006A201D">
                              <w:t>Figure 4.22:</w:t>
                            </w:r>
                            <w:r>
                              <w:tab/>
                            </w:r>
                            <w:r w:rsidRPr="006A201D">
                              <w:t>Percentage Distribution of Improved Chicken as of 1st August 2020, Tanzania Zanzibar</w:t>
                            </w:r>
                            <w:bookmarkEnd w:id="539"/>
                            <w:bookmarkEnd w:id="540"/>
                            <w:bookmarkEnd w:id="541"/>
                            <w:bookmarkEnd w:id="542"/>
                          </w:p>
                          <w:p w14:paraId="39A7306C" w14:textId="43790A6E" w:rsidR="00933456" w:rsidRPr="006A201D" w:rsidRDefault="00933456" w:rsidP="006A201D">
                            <w:pPr>
                              <w:pStyle w:val="Caption"/>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45BB0B" id="Text Box 507" o:spid="_x0000_s1087" type="#_x0000_t202" style="position:absolute;left:0;text-align:left;margin-left:233.75pt;margin-top:20.85pt;width:222pt;height:35.65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" stroked="f">
                <v:textbox inset="0,0,0,0">
                  <w:txbxContent>
                    <w:p w14:paraId="15920537" w14:textId="4B902EB7" w:rsidR="00933456" w:rsidRPr="006A201D" w:rsidRDefault="00933456" w:rsidP="006A201D">
                      <w:pPr>
                        <w:pStyle w:val="Caption"/>
                      </w:pPr>
                      <w:bookmarkStart w:id="760" w:name="_Toc80120294"/>
                      <w:bookmarkStart w:id="761" w:name="_Toc80884169"/>
                      <w:bookmarkStart w:id="762" w:name="_Toc80884540"/>
                      <w:bookmarkStart w:id="763" w:name="_Toc82386392"/>
                      <w:r w:rsidRPr="006A201D">
                        <w:t>Figure 4.22:</w:t>
                      </w:r>
                      <w:r>
                        <w:tab/>
                      </w:r>
                      <w:r w:rsidRPr="006A201D">
                        <w:t>Percentage Distribution of Improved Chicken as of 1st August 2020, Tanzania Zanzibar</w:t>
                      </w:r>
                      <w:bookmarkEnd w:id="760"/>
                      <w:bookmarkEnd w:id="761"/>
                      <w:bookmarkEnd w:id="762"/>
                      <w:bookmarkEnd w:id="763"/>
                    </w:p>
                    <w:p w14:paraId="39A7306C" w14:textId="43790A6E" w:rsidR="00933456" w:rsidRPr="006A201D" w:rsidRDefault="00933456" w:rsidP="006A201D">
                      <w:pPr>
                        <w:pStyle w:val="Caption"/>
                      </w:pPr>
                    </w:p>
                  </w:txbxContent>
                </v:textbox>
                <w10:wrap type="tight"/>
              </v:shape>
            </w:pict>
          </mc:Fallback>
        </mc:AlternateContent>
      </w:r>
      <w:r>
        <w:rPr>
          <w:noProof/>
        </w:rPr>
        <w:drawing>
          <wp:anchor distT="0" distB="0" distL="114300" distR="114300" simplePos="0" relativeHeight="251721728" behindDoc="0" locked="0" layoutInCell="1" allowOverlap="1" wp14:anchorId="60A3E5B2" wp14:editId="540956E3">
            <wp:simplePos x="0" y="0"/>
            <wp:positionH relativeFrom="column">
              <wp:posOffset>2878455</wp:posOffset>
            </wp:positionH>
            <wp:positionV relativeFrom="paragraph">
              <wp:posOffset>836295</wp:posOffset>
            </wp:positionV>
            <wp:extent cx="2790825" cy="1728470"/>
            <wp:effectExtent l="0" t="0" r="15875" b="11430"/>
            <wp:wrapTight wrapText="bothSides">
              <wp:wrapPolygon edited="0">
                <wp:start x="0" y="0"/>
                <wp:lineTo x="0" y="21584"/>
                <wp:lineTo x="21625" y="21584"/>
                <wp:lineTo x="21625" y="0"/>
                <wp:lineTo x="0" y="0"/>
              </wp:wrapPolygon>
            </wp:wrapTight>
            <wp:docPr id="62" name="Chart 536"/>
            <wp:cNvGraphicFramePr/>
            <a:graphic xmlns:a="http://schemas.openxmlformats.org/drawingml/2006/main">
              <a:graphicData uri="http://schemas.openxmlformats.org/drawingml/2006/chart">
                <c:chart xmlns:c="http://schemas.openxmlformats.org/drawingml/2006/chart" xmlns:r="http://schemas.openxmlformats.org/officeDocument/2006/relationships" r:id="rId273"/>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0704" behindDoc="0" locked="0" layoutInCell="1" allowOverlap="1" wp14:anchorId="2E213FF6" wp14:editId="1B81C3D5">
            <wp:simplePos x="0" y="0"/>
            <wp:positionH relativeFrom="column">
              <wp:posOffset>64135</wp:posOffset>
            </wp:positionH>
            <wp:positionV relativeFrom="paragraph">
              <wp:posOffset>836295</wp:posOffset>
            </wp:positionV>
            <wp:extent cx="2778760" cy="1728470"/>
            <wp:effectExtent l="0" t="0" r="15240" b="11430"/>
            <wp:wrapTight wrapText="bothSides">
              <wp:wrapPolygon edited="0">
                <wp:start x="0" y="0"/>
                <wp:lineTo x="0" y="21584"/>
                <wp:lineTo x="21620" y="21584"/>
                <wp:lineTo x="21620" y="0"/>
                <wp:lineTo x="0" y="0"/>
              </wp:wrapPolygon>
            </wp:wrapTight>
            <wp:docPr id="63" name="Chart 53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4"/>
              </a:graphicData>
            </a:graphic>
            <wp14:sizeRelH relativeFrom="margin">
              <wp14:pctWidth>0</wp14:pctWidth>
            </wp14:sizeRelH>
            <wp14:sizeRelV relativeFrom="margin">
              <wp14:pctHeight>0</wp14:pctHeight>
            </wp14:sizeRelV>
          </wp:anchor>
        </w:drawing>
      </w:r>
      <w:r w:rsidR="00E41F58">
        <w:rPr>
          <w:noProof/>
        </w:rPr>
        <mc:AlternateContent>
          <mc:Choice Requires="wps">
            <w:drawing>
              <wp:anchor distT="0" distB="0" distL="114300" distR="114300" simplePos="0" relativeHeight="251722752" behindDoc="1" locked="0" layoutInCell="1" allowOverlap="1" wp14:anchorId="1CE60256" wp14:editId="373410BE">
                <wp:simplePos x="0" y="0"/>
                <wp:positionH relativeFrom="column">
                  <wp:posOffset>0</wp:posOffset>
                </wp:positionH>
                <wp:positionV relativeFrom="paragraph">
                  <wp:posOffset>253518</wp:posOffset>
                </wp:positionV>
                <wp:extent cx="3064510" cy="452120"/>
                <wp:effectExtent l="0" t="0" r="0" b="5080"/>
                <wp:wrapTight wrapText="bothSides">
                  <wp:wrapPolygon edited="0">
                    <wp:start x="0" y="0"/>
                    <wp:lineTo x="0" y="21236"/>
                    <wp:lineTo x="21484" y="21236"/>
                    <wp:lineTo x="21484" y="0"/>
                    <wp:lineTo x="0" y="0"/>
                  </wp:wrapPolygon>
                </wp:wrapTight>
                <wp:docPr id="491" name="Text Box 491"/>
                <wp:cNvGraphicFramePr/>
                <a:graphic xmlns:a="http://schemas.openxmlformats.org/drawingml/2006/main">
                  <a:graphicData uri="http://schemas.microsoft.com/office/word/2010/wordprocessingShape">
                    <wps:wsp>
                      <wps:cNvSpPr txBox="1"/>
                      <wps:spPr>
                        <a:xfrm>
                          <a:off x="0" y="0"/>
                          <a:ext cx="3064510" cy="452120"/>
                        </a:xfrm>
                        <a:prstGeom prst="rect">
                          <a:avLst/>
                        </a:prstGeom>
                        <a:solidFill>
                          <a:prstClr val="white"/>
                        </a:solidFill>
                        <a:ln>
                          <a:noFill/>
                        </a:ln>
                      </wps:spPr>
                      <wps:txbx>
                        <w:txbxContent>
                          <w:p w14:paraId="3BBF848E" w14:textId="308CB81E" w:rsidR="00933456" w:rsidRPr="006A201D" w:rsidRDefault="00933456" w:rsidP="006A201D">
                            <w:pPr>
                              <w:pStyle w:val="Caption"/>
                            </w:pPr>
                            <w:bookmarkStart w:id="543" w:name="_Toc80120293"/>
                            <w:bookmarkStart w:id="544" w:name="_Toc80884170"/>
                            <w:bookmarkStart w:id="545" w:name="_Toc80884541"/>
                            <w:bookmarkStart w:id="546" w:name="_Toc82386393"/>
                            <w:r w:rsidRPr="006A201D">
                              <w:t>Figure 4.21:</w:t>
                            </w:r>
                            <w:r>
                              <w:tab/>
                            </w:r>
                            <w:r w:rsidRPr="006A201D">
                              <w:t>Percentage Distribution of Improved Chicken as of 1st August 2020, Mainland Tanzania</w:t>
                            </w:r>
                            <w:bookmarkEnd w:id="543"/>
                            <w:bookmarkEnd w:id="544"/>
                            <w:bookmarkEnd w:id="545"/>
                            <w:bookmarkEnd w:id="54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E60256" id="Text Box 491" o:spid="_x0000_s1088" type="#_x0000_t202" style="position:absolute;left:0;text-align:left;margin-left:0;margin-top:19.95pt;width:241.3pt;height:35.6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" stroked="f">
                <v:textbox inset="0,0,0,0">
                  <w:txbxContent>
                    <w:p w14:paraId="3BBF848E" w14:textId="308CB81E" w:rsidR="00933456" w:rsidRPr="006A201D" w:rsidRDefault="00933456" w:rsidP="006A201D">
                      <w:pPr>
                        <w:pStyle w:val="Caption"/>
                      </w:pPr>
                      <w:bookmarkStart w:id="768" w:name="_Toc80120293"/>
                      <w:bookmarkStart w:id="769" w:name="_Toc80884170"/>
                      <w:bookmarkStart w:id="770" w:name="_Toc80884541"/>
                      <w:bookmarkStart w:id="771" w:name="_Toc82386393"/>
                      <w:r w:rsidRPr="006A201D">
                        <w:t>Figure 4.21:</w:t>
                      </w:r>
                      <w:r>
                        <w:tab/>
                      </w:r>
                      <w:r w:rsidRPr="006A201D">
                        <w:t>Percentage Distribution of Improved Chicken as of 1st August 2020, Mainland Tanzania</w:t>
                      </w:r>
                      <w:bookmarkEnd w:id="768"/>
                      <w:bookmarkEnd w:id="769"/>
                      <w:bookmarkEnd w:id="770"/>
                      <w:bookmarkEnd w:id="771"/>
                    </w:p>
                  </w:txbxContent>
                </v:textbox>
                <w10:wrap type="tight"/>
              </v:shape>
            </w:pict>
          </mc:Fallback>
        </mc:AlternateContent>
      </w:r>
    </w:p>
    <w:p w14:paraId="77E550AA" w14:textId="6585F9B8" w:rsidR="00A16694" w:rsidRPr="00A71F69" w:rsidRDefault="00A16694" w:rsidP="001C1255"/>
    <w:p w14:paraId="4F81297A" w14:textId="7DF40D63" w:rsidR="00A16694" w:rsidRPr="006B42D6" w:rsidRDefault="00A16694" w:rsidP="00A16694">
      <w:r w:rsidRPr="006B42D6">
        <w:t xml:space="preserve">Most of the layers in </w:t>
      </w:r>
      <w:r w:rsidR="00EA1552">
        <w:rPr>
          <w:lang w:eastAsia="en-GB"/>
        </w:rPr>
        <w:t>Mainland Tanzania</w:t>
      </w:r>
      <w:r w:rsidRPr="006B42D6">
        <w:t xml:space="preserve"> were raised in Dar es Salaam region (25.2 percent). Other regions with slightly high numbers of layers were Tabora (12.4 percent) and Dodoma (11.6 percent)</w:t>
      </w:r>
      <w:r w:rsidR="00883F54">
        <w:t>,</w:t>
      </w:r>
      <w:r w:rsidRPr="006B42D6">
        <w:t xml:space="preserve"> while the least number of layers </w:t>
      </w:r>
      <w:r w:rsidR="00883F54">
        <w:t>was</w:t>
      </w:r>
      <w:r w:rsidRPr="006B42D6">
        <w:t xml:space="preserve"> in Geita (0.1 percent). Similarly, for the case of broilers, Dar es salaam</w:t>
      </w:r>
      <w:r w:rsidR="0086796E" w:rsidRPr="006B42D6">
        <w:t xml:space="preserve"> region</w:t>
      </w:r>
      <w:r w:rsidRPr="006B42D6">
        <w:t xml:space="preserve"> </w:t>
      </w:r>
      <w:r w:rsidR="00BF7C79" w:rsidRPr="006B42D6">
        <w:t xml:space="preserve">was leading with </w:t>
      </w:r>
      <w:r w:rsidRPr="006B42D6">
        <w:t xml:space="preserve">3,904,209 </w:t>
      </w:r>
      <w:r w:rsidR="00BF7C79" w:rsidRPr="006B42D6">
        <w:t>birds (</w:t>
      </w:r>
      <w:r w:rsidRPr="006B42D6">
        <w:t>30.6 percent</w:t>
      </w:r>
      <w:r w:rsidR="00BF7C79" w:rsidRPr="006B42D6">
        <w:t xml:space="preserve">), followed by </w:t>
      </w:r>
      <w:r w:rsidRPr="006B42D6">
        <w:t xml:space="preserve">Morogoro (1,126,454 </w:t>
      </w:r>
      <w:r w:rsidR="00BF7C79" w:rsidRPr="006B42D6">
        <w:t>birds</w:t>
      </w:r>
      <w:r w:rsidRPr="006B42D6">
        <w:t>; 8.8 percent) and Mwanza (1,028,394</w:t>
      </w:r>
      <w:r w:rsidR="00BF7C79" w:rsidRPr="006B42D6">
        <w:t xml:space="preserve"> birds</w:t>
      </w:r>
      <w:r w:rsidRPr="006B42D6">
        <w:t xml:space="preserve">; 8.1 percent). The least </w:t>
      </w:r>
      <w:r w:rsidR="00883F54">
        <w:t xml:space="preserve">number of </w:t>
      </w:r>
      <w:r w:rsidRPr="006B42D6">
        <w:t>broilers was reported in Kigoma region (2,282</w:t>
      </w:r>
      <w:r w:rsidR="00BF7C79" w:rsidRPr="006B42D6">
        <w:t xml:space="preserve"> birds</w:t>
      </w:r>
      <w:r w:rsidRPr="006B42D6">
        <w:t>; 0.02 percent)</w:t>
      </w:r>
      <w:r w:rsidR="0086796E" w:rsidRPr="006B42D6">
        <w:t>.</w:t>
      </w:r>
    </w:p>
    <w:p w14:paraId="25ECEA18" w14:textId="77777777" w:rsidR="009D1D40" w:rsidRPr="006B42D6" w:rsidRDefault="009D1D40" w:rsidP="00013942">
      <w:pPr>
        <w:spacing w:line="240" w:lineRule="auto"/>
      </w:pPr>
    </w:p>
    <w:p w14:paraId="7555A7F5" w14:textId="5E9F5175" w:rsidR="00A16694" w:rsidRPr="006B42D6" w:rsidRDefault="00A16694" w:rsidP="00A16694">
      <w:r w:rsidRPr="006B42D6">
        <w:t xml:space="preserve">In </w:t>
      </w:r>
      <w:r w:rsidR="000D4D71" w:rsidRPr="006B42D6">
        <w:rPr>
          <w:lang w:eastAsia="en-GB"/>
        </w:rPr>
        <w:t xml:space="preserve">Tanzania </w:t>
      </w:r>
      <w:r w:rsidRPr="006B42D6">
        <w:t xml:space="preserve">Zanzibar, </w:t>
      </w:r>
      <w:r w:rsidR="0086796E" w:rsidRPr="006B42D6">
        <w:t xml:space="preserve">the </w:t>
      </w:r>
      <w:r w:rsidRPr="006B42D6">
        <w:t>large</w:t>
      </w:r>
      <w:r w:rsidR="0086796E" w:rsidRPr="006B42D6">
        <w:t>st</w:t>
      </w:r>
      <w:r w:rsidRPr="006B42D6">
        <w:t xml:space="preserve"> population of layers was reported in Kusini Unguja region (1,696,341 chicken, 80.1 percent), followed by Mjini Magharibi (147,610 chicken; 7.0 percent)</w:t>
      </w:r>
      <w:r w:rsidR="0086796E" w:rsidRPr="006B42D6">
        <w:t>,</w:t>
      </w:r>
      <w:r w:rsidRPr="006B42D6">
        <w:t xml:space="preserve"> and the least </w:t>
      </w:r>
      <w:r w:rsidR="00883F54">
        <w:t xml:space="preserve">number of </w:t>
      </w:r>
      <w:r w:rsidRPr="006B42D6">
        <w:t xml:space="preserve">layers was found in Kaskazini Pemba (44,158 chicken, 2.1 percent). The largest population of broilers was in Mjini Magharibi (77,429 chicken, 96.8 </w:t>
      </w:r>
      <w:r w:rsidRPr="006B42D6">
        <w:lastRenderedPageBreak/>
        <w:t>percent)</w:t>
      </w:r>
      <w:r w:rsidR="00883F54">
        <w:t>,</w:t>
      </w:r>
      <w:r w:rsidRPr="006B42D6">
        <w:t xml:space="preserve"> while the least number of broilers was reported in Kusini Unguja (336; 0.4 percent)</w:t>
      </w:r>
      <w:r w:rsidR="00144A12" w:rsidRPr="006B42D6">
        <w:t xml:space="preserve"> </w:t>
      </w:r>
      <w:r w:rsidRPr="006B42D6">
        <w:t xml:space="preserve">(Map </w:t>
      </w:r>
      <w:r w:rsidR="0086796E" w:rsidRPr="006B42D6">
        <w:t>4.7</w:t>
      </w:r>
      <w:r w:rsidRPr="006B42D6">
        <w:t xml:space="preserve"> </w:t>
      </w:r>
      <w:r w:rsidR="00BF7C79" w:rsidRPr="006B42D6">
        <w:t>&amp;</w:t>
      </w:r>
      <w:r w:rsidRPr="006B42D6">
        <w:t xml:space="preserve"> </w:t>
      </w:r>
      <w:r w:rsidR="002361AE" w:rsidRPr="006B42D6">
        <w:t>4.</w:t>
      </w:r>
      <w:r w:rsidR="0086796E" w:rsidRPr="006B42D6">
        <w:t>8</w:t>
      </w:r>
      <w:r w:rsidRPr="006B42D6">
        <w:t>)</w:t>
      </w:r>
      <w:r w:rsidR="002361AE" w:rsidRPr="006B42D6">
        <w:t>.</w:t>
      </w:r>
      <w:r w:rsidRPr="006B42D6">
        <w:t xml:space="preserve"> </w:t>
      </w:r>
    </w:p>
    <w:p w14:paraId="65CA9660" w14:textId="7520A2D9" w:rsidR="00144A12" w:rsidRDefault="00144A12" w:rsidP="00A16694"/>
    <w:p w14:paraId="7219576A" w14:textId="3785BD86" w:rsidR="00A16694" w:rsidRPr="004F02DC" w:rsidRDefault="00A16694" w:rsidP="001C1255">
      <w:pPr>
        <w:pStyle w:val="MapNew"/>
        <w:ind w:hanging="1280"/>
      </w:pPr>
      <w:bookmarkStart w:id="547" w:name="_Toc80902562"/>
      <w:bookmarkStart w:id="548" w:name="_Toc82386480"/>
      <w:r w:rsidRPr="004F02DC">
        <w:t xml:space="preserve">Map </w:t>
      </w:r>
      <w:r w:rsidR="002361AE" w:rsidRPr="004F02DC">
        <w:t>4.7</w:t>
      </w:r>
      <w:r w:rsidR="00013942" w:rsidRPr="004F02DC">
        <w:t>:</w:t>
      </w:r>
      <w:r w:rsidR="00ED4429" w:rsidRPr="004F02DC">
        <w:tab/>
      </w:r>
      <w:r w:rsidRPr="004F02DC">
        <w:t xml:space="preserve">Layers Population </w:t>
      </w:r>
      <w:r w:rsidR="004F02DC" w:rsidRPr="00D60716">
        <w:rPr>
          <w:bCs/>
        </w:rPr>
        <w:t xml:space="preserve">Reported by Smallholders </w:t>
      </w:r>
      <w:r w:rsidRPr="004F02DC">
        <w:t>by Region as of 1st August 2020</w:t>
      </w:r>
      <w:r w:rsidR="000D4D71" w:rsidRPr="004F02DC">
        <w:t>, Tanzania</w:t>
      </w:r>
      <w:bookmarkEnd w:id="547"/>
      <w:bookmarkEnd w:id="548"/>
      <w:r w:rsidRPr="004F02DC">
        <w:t xml:space="preserve"> </w:t>
      </w:r>
    </w:p>
    <w:p w14:paraId="513B6F9F" w14:textId="4AA95B07" w:rsidR="00A16694" w:rsidRDefault="00A14126" w:rsidP="00F16205">
      <w:pPr>
        <w:ind w:hanging="142"/>
        <w:rPr>
          <w:b/>
        </w:rPr>
      </w:pPr>
      <w:r>
        <w:rPr>
          <w:noProof/>
        </w:rPr>
        <w:drawing>
          <wp:inline distT="0" distB="0" distL="0" distR="0" wp14:anchorId="5E15E951" wp14:editId="63731766">
            <wp:extent cx="6116320" cy="4221640"/>
            <wp:effectExtent l="0" t="0" r="5080" b="0"/>
            <wp:docPr id="4383" name="Picture 4383"/>
            <wp:cNvGraphicFramePr/>
            <a:graphic xmlns:a="http://schemas.openxmlformats.org/drawingml/2006/main">
              <a:graphicData uri="http://schemas.openxmlformats.org/drawingml/2006/picture">
                <pic:pic xmlns:pic="http://schemas.openxmlformats.org/drawingml/2006/picture">
                  <pic:nvPicPr>
                    <pic:cNvPr id="4383" name="Picture 4383"/>
                    <pic:cNvPicPr/>
                  </pic:nvPicPr>
                  <pic:blipFill>
                    <a:blip r:embed="rId275"/>
                    <a:stretch>
                      <a:fillRect/>
                    </a:stretch>
                  </pic:blipFill>
                  <pic:spPr>
                    <a:xfrm>
                      <a:off x="0" y="0"/>
                      <a:ext cx="6116320" cy="4221640"/>
                    </a:xfrm>
                    <a:prstGeom prst="rect">
                      <a:avLst/>
                    </a:prstGeom>
                  </pic:spPr>
                </pic:pic>
              </a:graphicData>
            </a:graphic>
          </wp:inline>
        </w:drawing>
      </w:r>
    </w:p>
    <w:p w14:paraId="760D6341" w14:textId="5F671681" w:rsidR="00703973" w:rsidRDefault="00703973">
      <w:pPr>
        <w:spacing w:line="240" w:lineRule="auto"/>
        <w:contextualSpacing w:val="0"/>
        <w:jc w:val="left"/>
        <w:rPr>
          <w:b/>
        </w:rPr>
      </w:pPr>
      <w:r>
        <w:rPr>
          <w:b/>
        </w:rPr>
        <w:br w:type="page"/>
      </w:r>
    </w:p>
    <w:p w14:paraId="2189873D" w14:textId="65D3FCD4" w:rsidR="00A16694" w:rsidRPr="004F02DC" w:rsidRDefault="00A16694" w:rsidP="004F02DC">
      <w:pPr>
        <w:pStyle w:val="MapNew"/>
        <w:rPr>
          <w:rStyle w:val="BookTitle"/>
          <w:rFonts w:ascii="Times New Roman" w:hAnsi="Times New Roman"/>
          <w:b/>
          <w:bCs w:val="0"/>
          <w:iCs/>
          <w:spacing w:val="0"/>
        </w:rPr>
      </w:pPr>
      <w:bookmarkStart w:id="549" w:name="_Toc80902563"/>
      <w:bookmarkStart w:id="550" w:name="_Toc82386481"/>
      <w:r w:rsidRPr="004F02DC">
        <w:rPr>
          <w:rStyle w:val="BookTitle"/>
          <w:rFonts w:ascii="Times New Roman" w:hAnsi="Times New Roman"/>
          <w:b/>
          <w:bCs w:val="0"/>
          <w:iCs/>
          <w:spacing w:val="0"/>
        </w:rPr>
        <w:lastRenderedPageBreak/>
        <w:t xml:space="preserve">Map </w:t>
      </w:r>
      <w:r w:rsidR="002361AE" w:rsidRPr="004F02DC">
        <w:rPr>
          <w:rStyle w:val="BookTitle"/>
          <w:rFonts w:ascii="Times New Roman" w:hAnsi="Times New Roman"/>
          <w:b/>
          <w:bCs w:val="0"/>
          <w:iCs/>
          <w:spacing w:val="0"/>
        </w:rPr>
        <w:t>4.8</w:t>
      </w:r>
      <w:r w:rsidR="004F02DC" w:rsidRPr="004F02DC">
        <w:rPr>
          <w:rStyle w:val="BookTitle"/>
          <w:rFonts w:ascii="Times New Roman" w:hAnsi="Times New Roman"/>
          <w:b/>
          <w:bCs w:val="0"/>
          <w:iCs/>
          <w:spacing w:val="0"/>
        </w:rPr>
        <w:t>:</w:t>
      </w:r>
      <w:r w:rsidR="00ED4429" w:rsidRPr="004F02DC">
        <w:rPr>
          <w:rStyle w:val="BookTitle"/>
          <w:rFonts w:ascii="Times New Roman" w:hAnsi="Times New Roman"/>
          <w:b/>
          <w:bCs w:val="0"/>
          <w:iCs/>
          <w:spacing w:val="0"/>
        </w:rPr>
        <w:tab/>
      </w:r>
      <w:r w:rsidRPr="004F02DC">
        <w:rPr>
          <w:rStyle w:val="BookTitle"/>
          <w:rFonts w:ascii="Times New Roman" w:hAnsi="Times New Roman"/>
          <w:b/>
          <w:bCs w:val="0"/>
          <w:iCs/>
          <w:spacing w:val="0"/>
        </w:rPr>
        <w:t xml:space="preserve">Broilers Population </w:t>
      </w:r>
      <w:r w:rsidR="004F02DC" w:rsidRPr="004F02DC">
        <w:t xml:space="preserve">Reported by Smallholders </w:t>
      </w:r>
      <w:r w:rsidRPr="004F02DC">
        <w:rPr>
          <w:rStyle w:val="BookTitle"/>
          <w:rFonts w:ascii="Times New Roman" w:hAnsi="Times New Roman"/>
          <w:b/>
          <w:bCs w:val="0"/>
          <w:iCs/>
          <w:spacing w:val="0"/>
        </w:rPr>
        <w:t>by Region as of 1st August 2020</w:t>
      </w:r>
      <w:r w:rsidR="00BF7C79" w:rsidRPr="004F02DC">
        <w:rPr>
          <w:rStyle w:val="BookTitle"/>
          <w:rFonts w:ascii="Times New Roman" w:hAnsi="Times New Roman"/>
          <w:b/>
          <w:bCs w:val="0"/>
          <w:iCs/>
          <w:spacing w:val="0"/>
        </w:rPr>
        <w:t>, Tanzania</w:t>
      </w:r>
      <w:bookmarkEnd w:id="549"/>
      <w:bookmarkEnd w:id="550"/>
    </w:p>
    <w:p w14:paraId="3415F54B" w14:textId="0E0AC132" w:rsidR="00A16694" w:rsidRPr="006B42D6" w:rsidRDefault="00F00389" w:rsidP="00890203">
      <w:pPr>
        <w:rPr>
          <w:b/>
        </w:rPr>
      </w:pPr>
      <w:r>
        <w:rPr>
          <w:noProof/>
        </w:rPr>
        <w:drawing>
          <wp:inline distT="0" distB="0" distL="0" distR="0" wp14:anchorId="4DA2505D" wp14:editId="6E6DD813">
            <wp:extent cx="5727700" cy="3953405"/>
            <wp:effectExtent l="0" t="0" r="0" b="0"/>
            <wp:docPr id="263" name="Picture 263"/>
            <wp:cNvGraphicFramePr/>
            <a:graphic xmlns:a="http://schemas.openxmlformats.org/drawingml/2006/main">
              <a:graphicData uri="http://schemas.openxmlformats.org/drawingml/2006/picture">
                <pic:pic xmlns:pic="http://schemas.openxmlformats.org/drawingml/2006/picture">
                  <pic:nvPicPr>
                    <pic:cNvPr id="4375" name="Picture 4375"/>
                    <pic:cNvPicPr/>
                  </pic:nvPicPr>
                  <pic:blipFill>
                    <a:blip r:embed="rId276"/>
                    <a:stretch>
                      <a:fillRect/>
                    </a:stretch>
                  </pic:blipFill>
                  <pic:spPr>
                    <a:xfrm>
                      <a:off x="0" y="0"/>
                      <a:ext cx="5727700" cy="3953405"/>
                    </a:xfrm>
                    <a:prstGeom prst="rect">
                      <a:avLst/>
                    </a:prstGeom>
                  </pic:spPr>
                </pic:pic>
              </a:graphicData>
            </a:graphic>
          </wp:inline>
        </w:drawing>
      </w:r>
    </w:p>
    <w:p w14:paraId="497018AF" w14:textId="77777777" w:rsidR="00A16694" w:rsidRPr="006B42D6" w:rsidRDefault="00A16694" w:rsidP="00013942">
      <w:pPr>
        <w:spacing w:line="240" w:lineRule="auto"/>
        <w:rPr>
          <w:b/>
        </w:rPr>
      </w:pPr>
    </w:p>
    <w:p w14:paraId="6C6FD4A1" w14:textId="5963117D" w:rsidR="00A16694" w:rsidRDefault="00A16694" w:rsidP="00A16694">
      <w:r w:rsidRPr="006B42D6">
        <w:t xml:space="preserve">The census results show that, 71.7 percent of the households </w:t>
      </w:r>
      <w:r w:rsidR="009048AC" w:rsidRPr="006B42D6">
        <w:t>rearing</w:t>
      </w:r>
      <w:r w:rsidRPr="006B42D6">
        <w:t xml:space="preserve"> layers in Tanzania raised 1 to 49 chicken </w:t>
      </w:r>
      <w:r w:rsidR="009048AC" w:rsidRPr="006B42D6">
        <w:t>(an a</w:t>
      </w:r>
      <w:r w:rsidRPr="006B42D6">
        <w:t>verage of 17 chicken per household</w:t>
      </w:r>
      <w:r w:rsidR="009048AC" w:rsidRPr="006B42D6">
        <w:t>).</w:t>
      </w:r>
      <w:r w:rsidRPr="006B42D6">
        <w:t xml:space="preserve"> However, 21.8 percent of households </w:t>
      </w:r>
      <w:r w:rsidR="009048AC" w:rsidRPr="006B42D6">
        <w:t>raised</w:t>
      </w:r>
      <w:r w:rsidRPr="006B42D6">
        <w:t xml:space="preserve"> between 50 to 100 chicken </w:t>
      </w:r>
      <w:r w:rsidR="009048AC" w:rsidRPr="006B42D6">
        <w:t>(a</w:t>
      </w:r>
      <w:r w:rsidRPr="006B42D6">
        <w:t>n average of 60 chicken per households</w:t>
      </w:r>
      <w:r w:rsidR="009048AC" w:rsidRPr="006B42D6">
        <w:t>)</w:t>
      </w:r>
      <w:r w:rsidRPr="006B42D6">
        <w:t xml:space="preserve"> and 6.4 percent of households raised 100 and above layers. Further</w:t>
      </w:r>
      <w:r w:rsidR="009048AC" w:rsidRPr="006B42D6">
        <w:t>more,</w:t>
      </w:r>
      <w:r w:rsidRPr="006B42D6">
        <w:t xml:space="preserve"> the results show that, for broilers, 83.8 percent of households </w:t>
      </w:r>
      <w:r w:rsidR="009048AC" w:rsidRPr="006B42D6">
        <w:t>raised</w:t>
      </w:r>
      <w:r w:rsidRPr="006B42D6">
        <w:t xml:space="preserve"> 1 to 49 chicken with an average of 20 chicken per household and few households (16.1 percent) raised more than 50 broilers (Table</w:t>
      </w:r>
      <w:r w:rsidR="002361AE" w:rsidRPr="006B42D6">
        <w:t xml:space="preserve"> 4.</w:t>
      </w:r>
      <w:r w:rsidR="009048AC" w:rsidRPr="006B42D6">
        <w:t>7</w:t>
      </w:r>
      <w:r w:rsidRPr="006B42D6">
        <w:t>).</w:t>
      </w:r>
    </w:p>
    <w:p w14:paraId="48A2C0AD" w14:textId="77777777" w:rsidR="001C1255" w:rsidRPr="001C1255" w:rsidRDefault="001C1255" w:rsidP="00A16694">
      <w:pPr>
        <w:rPr>
          <w:sz w:val="20"/>
          <w:szCs w:val="20"/>
        </w:rPr>
      </w:pPr>
    </w:p>
    <w:p w14:paraId="54B365BA" w14:textId="6C4EA080" w:rsidR="00A16694" w:rsidRPr="006B42D6" w:rsidRDefault="00A16694" w:rsidP="007200F6">
      <w:pPr>
        <w:pStyle w:val="Heading7"/>
      </w:pPr>
      <w:bookmarkStart w:id="551" w:name="_Toc82386215"/>
      <w:r w:rsidRPr="006B42D6">
        <w:t xml:space="preserve">Table </w:t>
      </w:r>
      <w:r w:rsidR="002361AE" w:rsidRPr="006B42D6">
        <w:t>4.</w:t>
      </w:r>
      <w:r w:rsidR="009048AC" w:rsidRPr="006B42D6">
        <w:t>7</w:t>
      </w:r>
      <w:r w:rsidR="00013942">
        <w:t>:</w:t>
      </w:r>
      <w:r w:rsidR="00013942">
        <w:tab/>
      </w:r>
      <w:r w:rsidRPr="006B42D6">
        <w:t>Number of Households</w:t>
      </w:r>
      <w:r w:rsidR="00BF7C79" w:rsidRPr="006B42D6">
        <w:t xml:space="preserve"> and </w:t>
      </w:r>
      <w:r w:rsidRPr="006B42D6">
        <w:t>Chicken, Percentage of Households and Average Number of Improved Chicken per Household by Flock Size</w:t>
      </w:r>
      <w:r w:rsidR="00BF7C79" w:rsidRPr="006B42D6">
        <w:t xml:space="preserve">, </w:t>
      </w:r>
      <w:r w:rsidRPr="006B42D6">
        <w:t>Tanzania</w:t>
      </w:r>
      <w:bookmarkEnd w:id="551"/>
    </w:p>
    <w:tbl>
      <w:tblPr>
        <w:tblW w:w="5000" w:type="pct"/>
        <w:tblLook w:val="04A0" w:firstRow="1" w:lastRow="0" w:firstColumn="1" w:lastColumn="0" w:noHBand="0" w:noVBand="1"/>
      </w:tblPr>
      <w:tblGrid>
        <w:gridCol w:w="880"/>
        <w:gridCol w:w="1105"/>
        <w:gridCol w:w="972"/>
        <w:gridCol w:w="974"/>
        <w:gridCol w:w="910"/>
        <w:gridCol w:w="1352"/>
        <w:gridCol w:w="1158"/>
        <w:gridCol w:w="975"/>
        <w:gridCol w:w="910"/>
      </w:tblGrid>
      <w:tr w:rsidR="006B42D6" w:rsidRPr="006B42D6" w14:paraId="67AF3B6D" w14:textId="77777777" w:rsidTr="00013942">
        <w:trPr>
          <w:trHeight w:val="214"/>
        </w:trPr>
        <w:tc>
          <w:tcPr>
            <w:tcW w:w="492" w:type="pct"/>
            <w:vMerge w:val="restart"/>
            <w:tcBorders>
              <w:top w:val="single" w:sz="4" w:space="0" w:color="auto"/>
              <w:left w:val="nil"/>
              <w:bottom w:val="single" w:sz="4" w:space="0" w:color="000000"/>
              <w:right w:val="nil"/>
            </w:tcBorders>
            <w:shd w:val="clear" w:color="auto" w:fill="E2EFD9" w:themeFill="accent6" w:themeFillTint="33"/>
            <w:vAlign w:val="center"/>
            <w:hideMark/>
          </w:tcPr>
          <w:p w14:paraId="01526D7C" w14:textId="77777777" w:rsidR="00A16694" w:rsidRPr="006B42D6" w:rsidRDefault="00A16694" w:rsidP="001C1255">
            <w:pPr>
              <w:spacing w:line="240" w:lineRule="auto"/>
              <w:jc w:val="center"/>
              <w:rPr>
                <w:sz w:val="16"/>
                <w:szCs w:val="16"/>
              </w:rPr>
            </w:pPr>
            <w:r w:rsidRPr="006B42D6">
              <w:rPr>
                <w:sz w:val="16"/>
                <w:szCs w:val="16"/>
              </w:rPr>
              <w:t>Flock Size</w:t>
            </w:r>
          </w:p>
        </w:tc>
        <w:tc>
          <w:tcPr>
            <w:tcW w:w="2081" w:type="pct"/>
            <w:gridSpan w:val="4"/>
            <w:tcBorders>
              <w:top w:val="single" w:sz="4" w:space="0" w:color="auto"/>
              <w:left w:val="nil"/>
              <w:bottom w:val="single" w:sz="4" w:space="0" w:color="000000"/>
              <w:right w:val="single" w:sz="4" w:space="0" w:color="000000"/>
            </w:tcBorders>
            <w:shd w:val="clear" w:color="auto" w:fill="E2EFD9" w:themeFill="accent6" w:themeFillTint="33"/>
            <w:vAlign w:val="center"/>
            <w:hideMark/>
          </w:tcPr>
          <w:p w14:paraId="523EEA83" w14:textId="77777777" w:rsidR="00A16694" w:rsidRPr="006B42D6" w:rsidRDefault="00A16694" w:rsidP="001C1255">
            <w:pPr>
              <w:spacing w:line="240" w:lineRule="auto"/>
              <w:jc w:val="center"/>
              <w:rPr>
                <w:sz w:val="16"/>
                <w:szCs w:val="16"/>
              </w:rPr>
            </w:pPr>
            <w:r w:rsidRPr="006B42D6">
              <w:rPr>
                <w:sz w:val="16"/>
                <w:szCs w:val="16"/>
              </w:rPr>
              <w:t>Layers</w:t>
            </w:r>
          </w:p>
        </w:tc>
        <w:tc>
          <w:tcPr>
            <w:tcW w:w="2427" w:type="pct"/>
            <w:gridSpan w:val="4"/>
            <w:tcBorders>
              <w:top w:val="single" w:sz="4" w:space="0" w:color="auto"/>
              <w:left w:val="nil"/>
              <w:bottom w:val="single" w:sz="4" w:space="0" w:color="000000"/>
              <w:right w:val="nil"/>
            </w:tcBorders>
            <w:shd w:val="clear" w:color="auto" w:fill="E2EFD9" w:themeFill="accent6" w:themeFillTint="33"/>
            <w:vAlign w:val="center"/>
            <w:hideMark/>
          </w:tcPr>
          <w:p w14:paraId="52B793D5" w14:textId="1AA81310" w:rsidR="00A16694" w:rsidRPr="006B42D6" w:rsidRDefault="00A16694" w:rsidP="001C1255">
            <w:pPr>
              <w:spacing w:line="240" w:lineRule="auto"/>
              <w:jc w:val="center"/>
              <w:rPr>
                <w:sz w:val="16"/>
                <w:szCs w:val="16"/>
              </w:rPr>
            </w:pPr>
            <w:r w:rsidRPr="006B42D6">
              <w:rPr>
                <w:sz w:val="16"/>
                <w:szCs w:val="16"/>
              </w:rPr>
              <w:t>Broilers</w:t>
            </w:r>
          </w:p>
        </w:tc>
      </w:tr>
      <w:tr w:rsidR="006B42D6" w:rsidRPr="006B42D6" w14:paraId="42E065BE" w14:textId="77777777" w:rsidTr="00013942">
        <w:trPr>
          <w:trHeight w:val="644"/>
        </w:trPr>
        <w:tc>
          <w:tcPr>
            <w:tcW w:w="492" w:type="pct"/>
            <w:vMerge/>
            <w:tcBorders>
              <w:top w:val="single" w:sz="4" w:space="0" w:color="auto"/>
              <w:left w:val="nil"/>
              <w:bottom w:val="single" w:sz="4" w:space="0" w:color="000000"/>
              <w:right w:val="nil"/>
            </w:tcBorders>
            <w:shd w:val="clear" w:color="auto" w:fill="E2EFD9" w:themeFill="accent6" w:themeFillTint="33"/>
            <w:vAlign w:val="center"/>
            <w:hideMark/>
          </w:tcPr>
          <w:p w14:paraId="4887B7C3" w14:textId="77777777" w:rsidR="00A16694" w:rsidRPr="006B42D6" w:rsidRDefault="00A16694" w:rsidP="001C1255">
            <w:pPr>
              <w:spacing w:line="240" w:lineRule="auto"/>
              <w:rPr>
                <w:sz w:val="16"/>
                <w:szCs w:val="16"/>
              </w:rPr>
            </w:pPr>
          </w:p>
        </w:tc>
        <w:tc>
          <w:tcPr>
            <w:tcW w:w="614" w:type="pct"/>
            <w:tcBorders>
              <w:top w:val="nil"/>
              <w:left w:val="nil"/>
              <w:bottom w:val="single" w:sz="4" w:space="0" w:color="auto"/>
              <w:right w:val="nil"/>
            </w:tcBorders>
            <w:shd w:val="clear" w:color="auto" w:fill="E2EFD9" w:themeFill="accent6" w:themeFillTint="33"/>
            <w:vAlign w:val="center"/>
            <w:hideMark/>
          </w:tcPr>
          <w:p w14:paraId="19A194A6" w14:textId="77777777" w:rsidR="00A16694" w:rsidRPr="006B42D6" w:rsidRDefault="00A16694" w:rsidP="001C1255">
            <w:pPr>
              <w:spacing w:line="240" w:lineRule="auto"/>
              <w:jc w:val="center"/>
              <w:rPr>
                <w:sz w:val="16"/>
                <w:szCs w:val="16"/>
              </w:rPr>
            </w:pPr>
            <w:r w:rsidRPr="006B42D6">
              <w:rPr>
                <w:sz w:val="16"/>
                <w:szCs w:val="16"/>
              </w:rPr>
              <w:t>Number of</w:t>
            </w:r>
          </w:p>
          <w:p w14:paraId="66D071DA" w14:textId="77777777" w:rsidR="00A16694" w:rsidRPr="006B42D6" w:rsidRDefault="00A16694" w:rsidP="001C1255">
            <w:pPr>
              <w:spacing w:line="240" w:lineRule="auto"/>
              <w:jc w:val="center"/>
              <w:rPr>
                <w:sz w:val="16"/>
                <w:szCs w:val="16"/>
              </w:rPr>
            </w:pPr>
            <w:r w:rsidRPr="006B42D6">
              <w:rPr>
                <w:sz w:val="16"/>
                <w:szCs w:val="16"/>
              </w:rPr>
              <w:t>Households</w:t>
            </w:r>
          </w:p>
        </w:tc>
        <w:tc>
          <w:tcPr>
            <w:tcW w:w="425" w:type="pct"/>
            <w:tcBorders>
              <w:top w:val="nil"/>
              <w:left w:val="nil"/>
              <w:bottom w:val="single" w:sz="4" w:space="0" w:color="auto"/>
              <w:right w:val="nil"/>
            </w:tcBorders>
            <w:shd w:val="clear" w:color="auto" w:fill="E2EFD9" w:themeFill="accent6" w:themeFillTint="33"/>
            <w:vAlign w:val="center"/>
            <w:hideMark/>
          </w:tcPr>
          <w:p w14:paraId="65ACB852" w14:textId="77777777" w:rsidR="00A16694" w:rsidRPr="006B42D6" w:rsidRDefault="00A16694" w:rsidP="001C1255">
            <w:pPr>
              <w:spacing w:line="240" w:lineRule="auto"/>
              <w:jc w:val="center"/>
              <w:rPr>
                <w:sz w:val="16"/>
                <w:szCs w:val="16"/>
              </w:rPr>
            </w:pPr>
            <w:r w:rsidRPr="006B42D6">
              <w:rPr>
                <w:sz w:val="16"/>
                <w:szCs w:val="16"/>
              </w:rPr>
              <w:t>Percent of Households</w:t>
            </w:r>
          </w:p>
          <w:p w14:paraId="2E2812DB" w14:textId="3CF0178E" w:rsidR="00A16694" w:rsidRPr="006B42D6" w:rsidRDefault="00A16694" w:rsidP="001C1255">
            <w:pPr>
              <w:spacing w:line="240" w:lineRule="auto"/>
              <w:jc w:val="center"/>
              <w:rPr>
                <w:sz w:val="16"/>
                <w:szCs w:val="16"/>
              </w:rPr>
            </w:pPr>
            <w:r w:rsidRPr="006B42D6">
              <w:rPr>
                <w:sz w:val="16"/>
                <w:szCs w:val="16"/>
              </w:rPr>
              <w:t>rearing Layers</w:t>
            </w:r>
          </w:p>
        </w:tc>
        <w:tc>
          <w:tcPr>
            <w:tcW w:w="543" w:type="pct"/>
            <w:tcBorders>
              <w:top w:val="nil"/>
              <w:left w:val="nil"/>
              <w:bottom w:val="single" w:sz="4" w:space="0" w:color="auto"/>
              <w:right w:val="nil"/>
            </w:tcBorders>
            <w:shd w:val="clear" w:color="auto" w:fill="E2EFD9" w:themeFill="accent6" w:themeFillTint="33"/>
            <w:vAlign w:val="center"/>
            <w:hideMark/>
          </w:tcPr>
          <w:p w14:paraId="52683911" w14:textId="77777777" w:rsidR="00A16694" w:rsidRPr="006B42D6" w:rsidRDefault="00A16694" w:rsidP="001C1255">
            <w:pPr>
              <w:spacing w:line="240" w:lineRule="auto"/>
              <w:jc w:val="center"/>
              <w:rPr>
                <w:sz w:val="16"/>
                <w:szCs w:val="16"/>
              </w:rPr>
            </w:pPr>
            <w:r w:rsidRPr="006B42D6">
              <w:rPr>
                <w:sz w:val="16"/>
                <w:szCs w:val="16"/>
              </w:rPr>
              <w:t>Number of Layers</w:t>
            </w:r>
          </w:p>
        </w:tc>
        <w:tc>
          <w:tcPr>
            <w:tcW w:w="500" w:type="pct"/>
            <w:tcBorders>
              <w:top w:val="nil"/>
              <w:left w:val="nil"/>
              <w:bottom w:val="single" w:sz="4" w:space="0" w:color="auto"/>
              <w:right w:val="nil"/>
            </w:tcBorders>
            <w:shd w:val="clear" w:color="auto" w:fill="E2EFD9" w:themeFill="accent6" w:themeFillTint="33"/>
            <w:vAlign w:val="center"/>
            <w:hideMark/>
          </w:tcPr>
          <w:p w14:paraId="03623565" w14:textId="0BCCD8BE" w:rsidR="00A16694" w:rsidRPr="006B42D6" w:rsidRDefault="00A16694" w:rsidP="001C1255">
            <w:pPr>
              <w:spacing w:line="240" w:lineRule="auto"/>
              <w:jc w:val="center"/>
              <w:rPr>
                <w:sz w:val="16"/>
                <w:szCs w:val="16"/>
              </w:rPr>
            </w:pPr>
            <w:r w:rsidRPr="006B42D6">
              <w:rPr>
                <w:sz w:val="16"/>
                <w:szCs w:val="16"/>
              </w:rPr>
              <w:t xml:space="preserve">Number of Chicken </w:t>
            </w:r>
            <w:r w:rsidR="00013942">
              <w:rPr>
                <w:sz w:val="16"/>
                <w:szCs w:val="16"/>
              </w:rPr>
              <w:t>p</w:t>
            </w:r>
            <w:r w:rsidRPr="006B42D6">
              <w:rPr>
                <w:sz w:val="16"/>
                <w:szCs w:val="16"/>
              </w:rPr>
              <w:t>er Household</w:t>
            </w:r>
          </w:p>
        </w:tc>
        <w:tc>
          <w:tcPr>
            <w:tcW w:w="756" w:type="pct"/>
            <w:tcBorders>
              <w:top w:val="nil"/>
              <w:left w:val="single" w:sz="4" w:space="0" w:color="000000"/>
              <w:bottom w:val="single" w:sz="4" w:space="0" w:color="auto"/>
              <w:right w:val="nil"/>
            </w:tcBorders>
            <w:shd w:val="clear" w:color="auto" w:fill="E2EFD9" w:themeFill="accent6" w:themeFillTint="33"/>
            <w:vAlign w:val="center"/>
            <w:hideMark/>
          </w:tcPr>
          <w:p w14:paraId="69A70C9A" w14:textId="77777777" w:rsidR="00A16694" w:rsidRPr="006B42D6" w:rsidRDefault="00A16694" w:rsidP="001C1255">
            <w:pPr>
              <w:spacing w:line="240" w:lineRule="auto"/>
              <w:jc w:val="center"/>
              <w:rPr>
                <w:sz w:val="16"/>
                <w:szCs w:val="16"/>
              </w:rPr>
            </w:pPr>
            <w:r w:rsidRPr="006B42D6">
              <w:rPr>
                <w:sz w:val="16"/>
                <w:szCs w:val="16"/>
              </w:rPr>
              <w:t>Number of</w:t>
            </w:r>
          </w:p>
          <w:p w14:paraId="489B5087" w14:textId="77777777" w:rsidR="00A16694" w:rsidRPr="006B42D6" w:rsidRDefault="00A16694" w:rsidP="001C1255">
            <w:pPr>
              <w:spacing w:line="240" w:lineRule="auto"/>
              <w:jc w:val="center"/>
              <w:rPr>
                <w:sz w:val="16"/>
                <w:szCs w:val="16"/>
              </w:rPr>
            </w:pPr>
            <w:r w:rsidRPr="006B42D6">
              <w:rPr>
                <w:sz w:val="16"/>
                <w:szCs w:val="16"/>
              </w:rPr>
              <w:t>Households</w:t>
            </w:r>
          </w:p>
        </w:tc>
        <w:tc>
          <w:tcPr>
            <w:tcW w:w="642" w:type="pct"/>
            <w:tcBorders>
              <w:top w:val="nil"/>
              <w:left w:val="nil"/>
              <w:bottom w:val="single" w:sz="4" w:space="0" w:color="auto"/>
              <w:right w:val="nil"/>
            </w:tcBorders>
            <w:shd w:val="clear" w:color="auto" w:fill="E2EFD9" w:themeFill="accent6" w:themeFillTint="33"/>
            <w:vAlign w:val="center"/>
            <w:hideMark/>
          </w:tcPr>
          <w:p w14:paraId="096D2A0E" w14:textId="77777777" w:rsidR="00A16694" w:rsidRPr="006B42D6" w:rsidRDefault="00A16694" w:rsidP="001C1255">
            <w:pPr>
              <w:spacing w:line="240" w:lineRule="auto"/>
              <w:jc w:val="center"/>
              <w:rPr>
                <w:sz w:val="16"/>
                <w:szCs w:val="16"/>
              </w:rPr>
            </w:pPr>
            <w:r w:rsidRPr="006B42D6">
              <w:rPr>
                <w:sz w:val="16"/>
                <w:szCs w:val="16"/>
              </w:rPr>
              <w:t>Percent of Households</w:t>
            </w:r>
          </w:p>
          <w:p w14:paraId="3BF31ADA" w14:textId="61C47066" w:rsidR="00A16694" w:rsidRPr="006B42D6" w:rsidRDefault="00A16694" w:rsidP="001C1255">
            <w:pPr>
              <w:spacing w:line="240" w:lineRule="auto"/>
              <w:jc w:val="center"/>
              <w:rPr>
                <w:sz w:val="16"/>
                <w:szCs w:val="16"/>
              </w:rPr>
            </w:pPr>
            <w:r w:rsidRPr="006B42D6">
              <w:rPr>
                <w:sz w:val="16"/>
                <w:szCs w:val="16"/>
              </w:rPr>
              <w:t>rearing broilers</w:t>
            </w:r>
          </w:p>
        </w:tc>
        <w:tc>
          <w:tcPr>
            <w:tcW w:w="543" w:type="pct"/>
            <w:tcBorders>
              <w:top w:val="nil"/>
              <w:left w:val="nil"/>
              <w:bottom w:val="single" w:sz="4" w:space="0" w:color="auto"/>
              <w:right w:val="nil"/>
            </w:tcBorders>
            <w:shd w:val="clear" w:color="auto" w:fill="E2EFD9" w:themeFill="accent6" w:themeFillTint="33"/>
            <w:vAlign w:val="center"/>
            <w:hideMark/>
          </w:tcPr>
          <w:p w14:paraId="7859E6C6" w14:textId="77777777" w:rsidR="00A16694" w:rsidRPr="006B42D6" w:rsidRDefault="00A16694" w:rsidP="001C1255">
            <w:pPr>
              <w:spacing w:line="240" w:lineRule="auto"/>
              <w:jc w:val="center"/>
              <w:rPr>
                <w:sz w:val="16"/>
                <w:szCs w:val="16"/>
              </w:rPr>
            </w:pPr>
            <w:r w:rsidRPr="006B42D6">
              <w:rPr>
                <w:sz w:val="16"/>
                <w:szCs w:val="16"/>
              </w:rPr>
              <w:t>Number of Broilers</w:t>
            </w:r>
          </w:p>
        </w:tc>
        <w:tc>
          <w:tcPr>
            <w:tcW w:w="486" w:type="pct"/>
            <w:tcBorders>
              <w:top w:val="nil"/>
              <w:left w:val="nil"/>
              <w:bottom w:val="single" w:sz="4" w:space="0" w:color="auto"/>
              <w:right w:val="nil"/>
            </w:tcBorders>
            <w:shd w:val="clear" w:color="auto" w:fill="E2EFD9" w:themeFill="accent6" w:themeFillTint="33"/>
            <w:vAlign w:val="center"/>
            <w:hideMark/>
          </w:tcPr>
          <w:p w14:paraId="2BF72202" w14:textId="33121AEE" w:rsidR="00A16694" w:rsidRPr="006B42D6" w:rsidRDefault="00A16694" w:rsidP="001C1255">
            <w:pPr>
              <w:spacing w:line="240" w:lineRule="auto"/>
              <w:jc w:val="center"/>
              <w:rPr>
                <w:sz w:val="16"/>
                <w:szCs w:val="16"/>
              </w:rPr>
            </w:pPr>
            <w:r w:rsidRPr="006B42D6">
              <w:rPr>
                <w:sz w:val="16"/>
                <w:szCs w:val="16"/>
              </w:rPr>
              <w:t xml:space="preserve">Number of Chicken </w:t>
            </w:r>
            <w:r w:rsidR="00013942">
              <w:rPr>
                <w:sz w:val="16"/>
                <w:szCs w:val="16"/>
              </w:rPr>
              <w:t>p</w:t>
            </w:r>
            <w:r w:rsidRPr="006B42D6">
              <w:rPr>
                <w:sz w:val="16"/>
                <w:szCs w:val="16"/>
              </w:rPr>
              <w:t>er Household</w:t>
            </w:r>
          </w:p>
        </w:tc>
      </w:tr>
      <w:tr w:rsidR="006B42D6" w:rsidRPr="006B42D6" w14:paraId="100B311D" w14:textId="77777777" w:rsidTr="00A16694">
        <w:trPr>
          <w:trHeight w:val="235"/>
        </w:trPr>
        <w:tc>
          <w:tcPr>
            <w:tcW w:w="492" w:type="pct"/>
            <w:tcBorders>
              <w:top w:val="nil"/>
              <w:left w:val="nil"/>
              <w:bottom w:val="nil"/>
              <w:right w:val="nil"/>
            </w:tcBorders>
            <w:shd w:val="clear" w:color="auto" w:fill="auto"/>
            <w:hideMark/>
          </w:tcPr>
          <w:p w14:paraId="35ABFAA6" w14:textId="4E5DE21D" w:rsidR="00A16694" w:rsidRPr="006B42D6" w:rsidRDefault="00A16694" w:rsidP="00144A12">
            <w:pPr>
              <w:rPr>
                <w:sz w:val="16"/>
                <w:szCs w:val="16"/>
              </w:rPr>
            </w:pPr>
            <w:r w:rsidRPr="006B42D6">
              <w:rPr>
                <w:sz w:val="16"/>
                <w:szCs w:val="16"/>
              </w:rPr>
              <w:t>1-49</w:t>
            </w:r>
          </w:p>
        </w:tc>
        <w:tc>
          <w:tcPr>
            <w:tcW w:w="614" w:type="pct"/>
            <w:tcBorders>
              <w:top w:val="nil"/>
              <w:left w:val="nil"/>
              <w:bottom w:val="nil"/>
              <w:right w:val="nil"/>
            </w:tcBorders>
            <w:shd w:val="clear" w:color="auto" w:fill="auto"/>
            <w:noWrap/>
            <w:vAlign w:val="bottom"/>
            <w:hideMark/>
          </w:tcPr>
          <w:p w14:paraId="21BB76DE" w14:textId="43C9AE86" w:rsidR="00A16694" w:rsidRPr="006B42D6" w:rsidRDefault="00A16694" w:rsidP="00144A12">
            <w:pPr>
              <w:jc w:val="right"/>
              <w:rPr>
                <w:sz w:val="16"/>
                <w:szCs w:val="16"/>
              </w:rPr>
            </w:pPr>
            <w:r w:rsidRPr="006B42D6">
              <w:rPr>
                <w:sz w:val="16"/>
                <w:szCs w:val="16"/>
              </w:rPr>
              <w:t>293,992</w:t>
            </w:r>
          </w:p>
        </w:tc>
        <w:tc>
          <w:tcPr>
            <w:tcW w:w="425" w:type="pct"/>
            <w:tcBorders>
              <w:top w:val="nil"/>
              <w:left w:val="nil"/>
              <w:bottom w:val="nil"/>
              <w:right w:val="nil"/>
            </w:tcBorders>
            <w:shd w:val="clear" w:color="auto" w:fill="auto"/>
            <w:noWrap/>
            <w:vAlign w:val="bottom"/>
            <w:hideMark/>
          </w:tcPr>
          <w:p w14:paraId="2FCBDDD8" w14:textId="4BFE1FAF" w:rsidR="00A16694" w:rsidRPr="006B42D6" w:rsidRDefault="00A16694" w:rsidP="00144A12">
            <w:pPr>
              <w:jc w:val="right"/>
              <w:rPr>
                <w:sz w:val="16"/>
                <w:szCs w:val="16"/>
              </w:rPr>
            </w:pPr>
            <w:r w:rsidRPr="006B42D6">
              <w:rPr>
                <w:sz w:val="16"/>
                <w:szCs w:val="16"/>
              </w:rPr>
              <w:t>71.7</w:t>
            </w:r>
          </w:p>
        </w:tc>
        <w:tc>
          <w:tcPr>
            <w:tcW w:w="543" w:type="pct"/>
            <w:tcBorders>
              <w:top w:val="nil"/>
              <w:left w:val="nil"/>
              <w:bottom w:val="nil"/>
              <w:right w:val="nil"/>
            </w:tcBorders>
            <w:shd w:val="clear" w:color="auto" w:fill="auto"/>
            <w:noWrap/>
            <w:vAlign w:val="bottom"/>
            <w:hideMark/>
          </w:tcPr>
          <w:p w14:paraId="3B0A6DFA" w14:textId="2E3F0A09" w:rsidR="00A16694" w:rsidRPr="006B42D6" w:rsidRDefault="00A16694" w:rsidP="00144A12">
            <w:pPr>
              <w:jc w:val="right"/>
              <w:rPr>
                <w:sz w:val="16"/>
                <w:szCs w:val="16"/>
              </w:rPr>
            </w:pPr>
            <w:r w:rsidRPr="006B42D6">
              <w:rPr>
                <w:sz w:val="16"/>
                <w:szCs w:val="16"/>
              </w:rPr>
              <w:t>4,984,355</w:t>
            </w:r>
          </w:p>
        </w:tc>
        <w:tc>
          <w:tcPr>
            <w:tcW w:w="500" w:type="pct"/>
            <w:tcBorders>
              <w:top w:val="nil"/>
              <w:left w:val="nil"/>
              <w:bottom w:val="nil"/>
              <w:right w:val="nil"/>
            </w:tcBorders>
            <w:shd w:val="clear" w:color="auto" w:fill="auto"/>
            <w:noWrap/>
            <w:vAlign w:val="bottom"/>
            <w:hideMark/>
          </w:tcPr>
          <w:p w14:paraId="1A29E6BD" w14:textId="56345850" w:rsidR="00A16694" w:rsidRPr="006B42D6" w:rsidRDefault="00A16694" w:rsidP="00144A12">
            <w:pPr>
              <w:jc w:val="right"/>
              <w:rPr>
                <w:sz w:val="16"/>
                <w:szCs w:val="16"/>
              </w:rPr>
            </w:pPr>
            <w:r w:rsidRPr="006B42D6">
              <w:rPr>
                <w:sz w:val="16"/>
                <w:szCs w:val="16"/>
              </w:rPr>
              <w:t>17</w:t>
            </w:r>
          </w:p>
        </w:tc>
        <w:tc>
          <w:tcPr>
            <w:tcW w:w="756" w:type="pct"/>
            <w:tcBorders>
              <w:top w:val="nil"/>
              <w:left w:val="single" w:sz="4" w:space="0" w:color="auto"/>
              <w:bottom w:val="nil"/>
              <w:right w:val="nil"/>
            </w:tcBorders>
            <w:shd w:val="clear" w:color="auto" w:fill="auto"/>
            <w:noWrap/>
            <w:vAlign w:val="bottom"/>
            <w:hideMark/>
          </w:tcPr>
          <w:p w14:paraId="5485AF1C" w14:textId="234E9473" w:rsidR="00A16694" w:rsidRPr="006B42D6" w:rsidRDefault="00A16694" w:rsidP="00144A12">
            <w:pPr>
              <w:jc w:val="right"/>
              <w:rPr>
                <w:sz w:val="16"/>
                <w:szCs w:val="16"/>
              </w:rPr>
            </w:pPr>
            <w:r w:rsidRPr="006B42D6">
              <w:rPr>
                <w:sz w:val="16"/>
                <w:szCs w:val="16"/>
              </w:rPr>
              <w:t>277,395</w:t>
            </w:r>
          </w:p>
        </w:tc>
        <w:tc>
          <w:tcPr>
            <w:tcW w:w="642" w:type="pct"/>
            <w:tcBorders>
              <w:top w:val="nil"/>
              <w:left w:val="nil"/>
              <w:bottom w:val="nil"/>
              <w:right w:val="nil"/>
            </w:tcBorders>
            <w:shd w:val="clear" w:color="auto" w:fill="auto"/>
            <w:noWrap/>
            <w:vAlign w:val="bottom"/>
            <w:hideMark/>
          </w:tcPr>
          <w:p w14:paraId="279BA5D5" w14:textId="0F5DCB2B" w:rsidR="00A16694" w:rsidRPr="006B42D6" w:rsidRDefault="00A16694" w:rsidP="00144A12">
            <w:pPr>
              <w:jc w:val="right"/>
              <w:rPr>
                <w:sz w:val="16"/>
                <w:szCs w:val="16"/>
              </w:rPr>
            </w:pPr>
            <w:r w:rsidRPr="006B42D6">
              <w:rPr>
                <w:sz w:val="16"/>
                <w:szCs w:val="16"/>
              </w:rPr>
              <w:t>83.8</w:t>
            </w:r>
          </w:p>
        </w:tc>
        <w:tc>
          <w:tcPr>
            <w:tcW w:w="543" w:type="pct"/>
            <w:tcBorders>
              <w:top w:val="nil"/>
              <w:left w:val="nil"/>
              <w:bottom w:val="nil"/>
              <w:right w:val="nil"/>
            </w:tcBorders>
            <w:shd w:val="clear" w:color="auto" w:fill="auto"/>
            <w:noWrap/>
            <w:vAlign w:val="bottom"/>
            <w:hideMark/>
          </w:tcPr>
          <w:p w14:paraId="19359BFF" w14:textId="0B967550" w:rsidR="00A16694" w:rsidRPr="006B42D6" w:rsidRDefault="00A16694" w:rsidP="00144A12">
            <w:pPr>
              <w:jc w:val="right"/>
              <w:rPr>
                <w:sz w:val="16"/>
                <w:szCs w:val="16"/>
              </w:rPr>
            </w:pPr>
            <w:r w:rsidRPr="006B42D6">
              <w:rPr>
                <w:sz w:val="16"/>
                <w:szCs w:val="16"/>
              </w:rPr>
              <w:t>5,479,385</w:t>
            </w:r>
          </w:p>
        </w:tc>
        <w:tc>
          <w:tcPr>
            <w:tcW w:w="486" w:type="pct"/>
            <w:tcBorders>
              <w:top w:val="nil"/>
              <w:left w:val="nil"/>
              <w:bottom w:val="nil"/>
              <w:right w:val="nil"/>
            </w:tcBorders>
            <w:shd w:val="clear" w:color="auto" w:fill="auto"/>
            <w:noWrap/>
            <w:vAlign w:val="bottom"/>
            <w:hideMark/>
          </w:tcPr>
          <w:p w14:paraId="38AE4148" w14:textId="143B1E23" w:rsidR="00A16694" w:rsidRPr="006B42D6" w:rsidRDefault="00A16694" w:rsidP="00144A12">
            <w:pPr>
              <w:jc w:val="right"/>
              <w:rPr>
                <w:sz w:val="16"/>
                <w:szCs w:val="16"/>
              </w:rPr>
            </w:pPr>
            <w:r w:rsidRPr="006B42D6">
              <w:rPr>
                <w:sz w:val="16"/>
                <w:szCs w:val="16"/>
              </w:rPr>
              <w:t>20</w:t>
            </w:r>
          </w:p>
        </w:tc>
      </w:tr>
      <w:tr w:rsidR="006B42D6" w:rsidRPr="006B42D6" w14:paraId="7B680537" w14:textId="77777777" w:rsidTr="00A16694">
        <w:trPr>
          <w:trHeight w:val="235"/>
        </w:trPr>
        <w:tc>
          <w:tcPr>
            <w:tcW w:w="492" w:type="pct"/>
            <w:tcBorders>
              <w:top w:val="nil"/>
              <w:left w:val="nil"/>
              <w:bottom w:val="nil"/>
              <w:right w:val="nil"/>
            </w:tcBorders>
            <w:shd w:val="clear" w:color="auto" w:fill="auto"/>
            <w:hideMark/>
          </w:tcPr>
          <w:p w14:paraId="1867E3BA" w14:textId="02B8634E" w:rsidR="00A16694" w:rsidRPr="006B42D6" w:rsidRDefault="00A16694" w:rsidP="00144A12">
            <w:pPr>
              <w:rPr>
                <w:sz w:val="16"/>
                <w:szCs w:val="16"/>
              </w:rPr>
            </w:pPr>
            <w:r w:rsidRPr="006B42D6">
              <w:rPr>
                <w:sz w:val="16"/>
                <w:szCs w:val="16"/>
              </w:rPr>
              <w:t>50-99</w:t>
            </w:r>
          </w:p>
        </w:tc>
        <w:tc>
          <w:tcPr>
            <w:tcW w:w="614" w:type="pct"/>
            <w:tcBorders>
              <w:top w:val="nil"/>
              <w:left w:val="nil"/>
              <w:bottom w:val="nil"/>
              <w:right w:val="nil"/>
            </w:tcBorders>
            <w:shd w:val="clear" w:color="auto" w:fill="auto"/>
            <w:noWrap/>
            <w:vAlign w:val="bottom"/>
            <w:hideMark/>
          </w:tcPr>
          <w:p w14:paraId="64982744" w14:textId="06490821" w:rsidR="00A16694" w:rsidRPr="006B42D6" w:rsidRDefault="00A16694" w:rsidP="00144A12">
            <w:pPr>
              <w:jc w:val="right"/>
              <w:rPr>
                <w:sz w:val="16"/>
                <w:szCs w:val="16"/>
              </w:rPr>
            </w:pPr>
            <w:r w:rsidRPr="006B42D6">
              <w:rPr>
                <w:sz w:val="16"/>
                <w:szCs w:val="16"/>
              </w:rPr>
              <w:t>89,416</w:t>
            </w:r>
          </w:p>
        </w:tc>
        <w:tc>
          <w:tcPr>
            <w:tcW w:w="425" w:type="pct"/>
            <w:tcBorders>
              <w:top w:val="nil"/>
              <w:left w:val="nil"/>
              <w:bottom w:val="nil"/>
              <w:right w:val="nil"/>
            </w:tcBorders>
            <w:shd w:val="clear" w:color="auto" w:fill="auto"/>
            <w:noWrap/>
            <w:vAlign w:val="bottom"/>
            <w:hideMark/>
          </w:tcPr>
          <w:p w14:paraId="3C274D98" w14:textId="60E3244C" w:rsidR="00A16694" w:rsidRPr="006B42D6" w:rsidRDefault="00A16694" w:rsidP="00144A12">
            <w:pPr>
              <w:jc w:val="right"/>
              <w:rPr>
                <w:sz w:val="16"/>
                <w:szCs w:val="16"/>
              </w:rPr>
            </w:pPr>
            <w:r w:rsidRPr="006B42D6">
              <w:rPr>
                <w:sz w:val="16"/>
                <w:szCs w:val="16"/>
              </w:rPr>
              <w:t>21.8</w:t>
            </w:r>
          </w:p>
        </w:tc>
        <w:tc>
          <w:tcPr>
            <w:tcW w:w="543" w:type="pct"/>
            <w:tcBorders>
              <w:top w:val="nil"/>
              <w:left w:val="nil"/>
              <w:bottom w:val="nil"/>
              <w:right w:val="nil"/>
            </w:tcBorders>
            <w:shd w:val="clear" w:color="auto" w:fill="auto"/>
            <w:noWrap/>
            <w:vAlign w:val="bottom"/>
            <w:hideMark/>
          </w:tcPr>
          <w:p w14:paraId="4AD89DA7" w14:textId="2F945008" w:rsidR="00A16694" w:rsidRPr="006B42D6" w:rsidRDefault="00A16694" w:rsidP="00144A12">
            <w:pPr>
              <w:jc w:val="right"/>
              <w:rPr>
                <w:sz w:val="16"/>
                <w:szCs w:val="16"/>
              </w:rPr>
            </w:pPr>
            <w:r w:rsidRPr="006B42D6">
              <w:rPr>
                <w:sz w:val="16"/>
                <w:szCs w:val="16"/>
              </w:rPr>
              <w:t>5,348,351</w:t>
            </w:r>
          </w:p>
        </w:tc>
        <w:tc>
          <w:tcPr>
            <w:tcW w:w="500" w:type="pct"/>
            <w:tcBorders>
              <w:top w:val="nil"/>
              <w:left w:val="nil"/>
              <w:bottom w:val="nil"/>
              <w:right w:val="nil"/>
            </w:tcBorders>
            <w:shd w:val="clear" w:color="auto" w:fill="auto"/>
            <w:noWrap/>
            <w:vAlign w:val="bottom"/>
            <w:hideMark/>
          </w:tcPr>
          <w:p w14:paraId="7324FCE9" w14:textId="0E246D5B" w:rsidR="00A16694" w:rsidRPr="006B42D6" w:rsidRDefault="00A16694" w:rsidP="00144A12">
            <w:pPr>
              <w:jc w:val="right"/>
              <w:rPr>
                <w:sz w:val="16"/>
                <w:szCs w:val="16"/>
              </w:rPr>
            </w:pPr>
            <w:r w:rsidRPr="006B42D6">
              <w:rPr>
                <w:sz w:val="16"/>
                <w:szCs w:val="16"/>
              </w:rPr>
              <w:t>60</w:t>
            </w:r>
          </w:p>
        </w:tc>
        <w:tc>
          <w:tcPr>
            <w:tcW w:w="756" w:type="pct"/>
            <w:tcBorders>
              <w:top w:val="nil"/>
              <w:left w:val="single" w:sz="4" w:space="0" w:color="auto"/>
              <w:bottom w:val="nil"/>
              <w:right w:val="nil"/>
            </w:tcBorders>
            <w:shd w:val="clear" w:color="auto" w:fill="auto"/>
            <w:noWrap/>
            <w:vAlign w:val="bottom"/>
            <w:hideMark/>
          </w:tcPr>
          <w:p w14:paraId="6D077067" w14:textId="318B89C9" w:rsidR="00A16694" w:rsidRPr="006B42D6" w:rsidRDefault="00A16694" w:rsidP="00144A12">
            <w:pPr>
              <w:jc w:val="right"/>
              <w:rPr>
                <w:sz w:val="16"/>
                <w:szCs w:val="16"/>
              </w:rPr>
            </w:pPr>
            <w:r w:rsidRPr="006B42D6">
              <w:rPr>
                <w:sz w:val="16"/>
                <w:szCs w:val="16"/>
              </w:rPr>
              <w:t>34,813</w:t>
            </w:r>
          </w:p>
        </w:tc>
        <w:tc>
          <w:tcPr>
            <w:tcW w:w="642" w:type="pct"/>
            <w:tcBorders>
              <w:top w:val="nil"/>
              <w:left w:val="nil"/>
              <w:bottom w:val="nil"/>
              <w:right w:val="nil"/>
            </w:tcBorders>
            <w:shd w:val="clear" w:color="auto" w:fill="auto"/>
            <w:noWrap/>
            <w:vAlign w:val="bottom"/>
            <w:hideMark/>
          </w:tcPr>
          <w:p w14:paraId="516FFFB3" w14:textId="77B2E79D" w:rsidR="00A16694" w:rsidRPr="006B42D6" w:rsidRDefault="00A16694" w:rsidP="00144A12">
            <w:pPr>
              <w:jc w:val="right"/>
              <w:rPr>
                <w:sz w:val="16"/>
                <w:szCs w:val="16"/>
              </w:rPr>
            </w:pPr>
            <w:r w:rsidRPr="006B42D6">
              <w:rPr>
                <w:sz w:val="16"/>
                <w:szCs w:val="16"/>
              </w:rPr>
              <w:t>10.5</w:t>
            </w:r>
          </w:p>
        </w:tc>
        <w:tc>
          <w:tcPr>
            <w:tcW w:w="543" w:type="pct"/>
            <w:tcBorders>
              <w:top w:val="nil"/>
              <w:left w:val="nil"/>
              <w:bottom w:val="nil"/>
              <w:right w:val="nil"/>
            </w:tcBorders>
            <w:shd w:val="clear" w:color="auto" w:fill="auto"/>
            <w:noWrap/>
            <w:vAlign w:val="bottom"/>
            <w:hideMark/>
          </w:tcPr>
          <w:p w14:paraId="50B15F9A" w14:textId="4C955DD6" w:rsidR="00A16694" w:rsidRPr="006B42D6" w:rsidRDefault="00A16694" w:rsidP="00144A12">
            <w:pPr>
              <w:jc w:val="right"/>
              <w:rPr>
                <w:sz w:val="16"/>
                <w:szCs w:val="16"/>
              </w:rPr>
            </w:pPr>
            <w:r w:rsidRPr="006B42D6">
              <w:rPr>
                <w:sz w:val="16"/>
                <w:szCs w:val="16"/>
              </w:rPr>
              <w:t>2,081,821</w:t>
            </w:r>
          </w:p>
        </w:tc>
        <w:tc>
          <w:tcPr>
            <w:tcW w:w="486" w:type="pct"/>
            <w:tcBorders>
              <w:top w:val="nil"/>
              <w:left w:val="nil"/>
              <w:bottom w:val="nil"/>
              <w:right w:val="nil"/>
            </w:tcBorders>
            <w:shd w:val="clear" w:color="auto" w:fill="auto"/>
            <w:noWrap/>
            <w:vAlign w:val="bottom"/>
            <w:hideMark/>
          </w:tcPr>
          <w:p w14:paraId="3FAD6E2A" w14:textId="71DD8BEC" w:rsidR="00A16694" w:rsidRPr="006B42D6" w:rsidRDefault="00A16694" w:rsidP="00144A12">
            <w:pPr>
              <w:jc w:val="right"/>
              <w:rPr>
                <w:sz w:val="16"/>
                <w:szCs w:val="16"/>
              </w:rPr>
            </w:pPr>
            <w:r w:rsidRPr="006B42D6">
              <w:rPr>
                <w:sz w:val="16"/>
                <w:szCs w:val="16"/>
              </w:rPr>
              <w:t>60</w:t>
            </w:r>
          </w:p>
        </w:tc>
      </w:tr>
      <w:tr w:rsidR="006B42D6" w:rsidRPr="006B42D6" w14:paraId="7CF80F0F" w14:textId="77777777" w:rsidTr="00A16694">
        <w:trPr>
          <w:trHeight w:val="235"/>
        </w:trPr>
        <w:tc>
          <w:tcPr>
            <w:tcW w:w="492" w:type="pct"/>
            <w:tcBorders>
              <w:top w:val="nil"/>
              <w:left w:val="nil"/>
              <w:bottom w:val="nil"/>
              <w:right w:val="nil"/>
            </w:tcBorders>
            <w:shd w:val="clear" w:color="auto" w:fill="auto"/>
            <w:hideMark/>
          </w:tcPr>
          <w:p w14:paraId="609D0584" w14:textId="77777777" w:rsidR="00A16694" w:rsidRPr="006B42D6" w:rsidRDefault="00A16694" w:rsidP="00144A12">
            <w:pPr>
              <w:rPr>
                <w:sz w:val="16"/>
                <w:szCs w:val="16"/>
              </w:rPr>
            </w:pPr>
            <w:r w:rsidRPr="006B42D6">
              <w:rPr>
                <w:sz w:val="16"/>
                <w:szCs w:val="16"/>
              </w:rPr>
              <w:t>100-299</w:t>
            </w:r>
          </w:p>
        </w:tc>
        <w:tc>
          <w:tcPr>
            <w:tcW w:w="614" w:type="pct"/>
            <w:tcBorders>
              <w:top w:val="nil"/>
              <w:left w:val="nil"/>
              <w:bottom w:val="nil"/>
              <w:right w:val="nil"/>
            </w:tcBorders>
            <w:shd w:val="clear" w:color="auto" w:fill="auto"/>
            <w:noWrap/>
            <w:vAlign w:val="bottom"/>
            <w:hideMark/>
          </w:tcPr>
          <w:p w14:paraId="02E98095" w14:textId="56218959" w:rsidR="00A16694" w:rsidRPr="006B42D6" w:rsidRDefault="00A16694" w:rsidP="00144A12">
            <w:pPr>
              <w:jc w:val="right"/>
              <w:rPr>
                <w:sz w:val="16"/>
                <w:szCs w:val="16"/>
              </w:rPr>
            </w:pPr>
            <w:r w:rsidRPr="006B42D6">
              <w:rPr>
                <w:sz w:val="16"/>
                <w:szCs w:val="16"/>
              </w:rPr>
              <w:t>20,852</w:t>
            </w:r>
          </w:p>
        </w:tc>
        <w:tc>
          <w:tcPr>
            <w:tcW w:w="425" w:type="pct"/>
            <w:tcBorders>
              <w:top w:val="nil"/>
              <w:left w:val="nil"/>
              <w:bottom w:val="nil"/>
              <w:right w:val="nil"/>
            </w:tcBorders>
            <w:shd w:val="clear" w:color="auto" w:fill="auto"/>
            <w:noWrap/>
            <w:vAlign w:val="bottom"/>
            <w:hideMark/>
          </w:tcPr>
          <w:p w14:paraId="52F68F9F" w14:textId="72A5EE55" w:rsidR="00A16694" w:rsidRPr="006B42D6" w:rsidRDefault="00A16694" w:rsidP="00144A12">
            <w:pPr>
              <w:jc w:val="right"/>
              <w:rPr>
                <w:sz w:val="16"/>
                <w:szCs w:val="16"/>
              </w:rPr>
            </w:pPr>
            <w:r w:rsidRPr="006B42D6">
              <w:rPr>
                <w:sz w:val="16"/>
                <w:szCs w:val="16"/>
              </w:rPr>
              <w:t>5.1</w:t>
            </w:r>
          </w:p>
        </w:tc>
        <w:tc>
          <w:tcPr>
            <w:tcW w:w="543" w:type="pct"/>
            <w:tcBorders>
              <w:top w:val="nil"/>
              <w:left w:val="nil"/>
              <w:bottom w:val="nil"/>
              <w:right w:val="nil"/>
            </w:tcBorders>
            <w:shd w:val="clear" w:color="auto" w:fill="auto"/>
            <w:noWrap/>
            <w:vAlign w:val="bottom"/>
            <w:hideMark/>
          </w:tcPr>
          <w:p w14:paraId="57F0A925" w14:textId="595F01DD" w:rsidR="00A16694" w:rsidRPr="006B42D6" w:rsidRDefault="00A16694" w:rsidP="00144A12">
            <w:pPr>
              <w:jc w:val="right"/>
              <w:rPr>
                <w:sz w:val="16"/>
                <w:szCs w:val="16"/>
              </w:rPr>
            </w:pPr>
            <w:r w:rsidRPr="006B42D6">
              <w:rPr>
                <w:sz w:val="16"/>
                <w:szCs w:val="16"/>
              </w:rPr>
              <w:t>2,914,989</w:t>
            </w:r>
          </w:p>
        </w:tc>
        <w:tc>
          <w:tcPr>
            <w:tcW w:w="500" w:type="pct"/>
            <w:tcBorders>
              <w:top w:val="nil"/>
              <w:left w:val="nil"/>
              <w:bottom w:val="nil"/>
              <w:right w:val="nil"/>
            </w:tcBorders>
            <w:shd w:val="clear" w:color="auto" w:fill="auto"/>
            <w:noWrap/>
            <w:vAlign w:val="bottom"/>
            <w:hideMark/>
          </w:tcPr>
          <w:p w14:paraId="4695CDE0" w14:textId="5EF47B3F" w:rsidR="00A16694" w:rsidRPr="006B42D6" w:rsidRDefault="00A16694" w:rsidP="00144A12">
            <w:pPr>
              <w:jc w:val="right"/>
              <w:rPr>
                <w:sz w:val="16"/>
                <w:szCs w:val="16"/>
              </w:rPr>
            </w:pPr>
            <w:r w:rsidRPr="006B42D6">
              <w:rPr>
                <w:sz w:val="16"/>
                <w:szCs w:val="16"/>
              </w:rPr>
              <w:t>140</w:t>
            </w:r>
          </w:p>
        </w:tc>
        <w:tc>
          <w:tcPr>
            <w:tcW w:w="756" w:type="pct"/>
            <w:tcBorders>
              <w:top w:val="nil"/>
              <w:left w:val="single" w:sz="4" w:space="0" w:color="auto"/>
              <w:bottom w:val="nil"/>
              <w:right w:val="nil"/>
            </w:tcBorders>
            <w:shd w:val="clear" w:color="auto" w:fill="auto"/>
            <w:noWrap/>
            <w:vAlign w:val="bottom"/>
            <w:hideMark/>
          </w:tcPr>
          <w:p w14:paraId="7C07F79E" w14:textId="180BCC2D" w:rsidR="00A16694" w:rsidRPr="006B42D6" w:rsidRDefault="00A16694" w:rsidP="00144A12">
            <w:pPr>
              <w:jc w:val="right"/>
              <w:rPr>
                <w:sz w:val="16"/>
                <w:szCs w:val="16"/>
              </w:rPr>
            </w:pPr>
            <w:r w:rsidRPr="006B42D6">
              <w:rPr>
                <w:sz w:val="16"/>
                <w:szCs w:val="16"/>
              </w:rPr>
              <w:t>9,987</w:t>
            </w:r>
          </w:p>
        </w:tc>
        <w:tc>
          <w:tcPr>
            <w:tcW w:w="642" w:type="pct"/>
            <w:tcBorders>
              <w:top w:val="nil"/>
              <w:left w:val="nil"/>
              <w:bottom w:val="nil"/>
              <w:right w:val="nil"/>
            </w:tcBorders>
            <w:shd w:val="clear" w:color="auto" w:fill="auto"/>
            <w:noWrap/>
            <w:vAlign w:val="bottom"/>
            <w:hideMark/>
          </w:tcPr>
          <w:p w14:paraId="58B36228" w14:textId="233A1747" w:rsidR="00A16694" w:rsidRPr="006B42D6" w:rsidRDefault="00A16694" w:rsidP="00144A12">
            <w:pPr>
              <w:jc w:val="right"/>
              <w:rPr>
                <w:sz w:val="16"/>
                <w:szCs w:val="16"/>
              </w:rPr>
            </w:pPr>
            <w:r w:rsidRPr="006B42D6">
              <w:rPr>
                <w:sz w:val="16"/>
                <w:szCs w:val="16"/>
              </w:rPr>
              <w:t>3.0</w:t>
            </w:r>
          </w:p>
        </w:tc>
        <w:tc>
          <w:tcPr>
            <w:tcW w:w="543" w:type="pct"/>
            <w:tcBorders>
              <w:top w:val="nil"/>
              <w:left w:val="nil"/>
              <w:bottom w:val="nil"/>
              <w:right w:val="nil"/>
            </w:tcBorders>
            <w:shd w:val="clear" w:color="auto" w:fill="auto"/>
            <w:noWrap/>
            <w:vAlign w:val="bottom"/>
            <w:hideMark/>
          </w:tcPr>
          <w:p w14:paraId="74C978D0" w14:textId="20771732" w:rsidR="00A16694" w:rsidRPr="006B42D6" w:rsidRDefault="00A16694" w:rsidP="00144A12">
            <w:pPr>
              <w:jc w:val="right"/>
              <w:rPr>
                <w:sz w:val="16"/>
                <w:szCs w:val="16"/>
              </w:rPr>
            </w:pPr>
            <w:r w:rsidRPr="006B42D6">
              <w:rPr>
                <w:sz w:val="16"/>
                <w:szCs w:val="16"/>
              </w:rPr>
              <w:t>1,563,305</w:t>
            </w:r>
          </w:p>
        </w:tc>
        <w:tc>
          <w:tcPr>
            <w:tcW w:w="486" w:type="pct"/>
            <w:tcBorders>
              <w:top w:val="nil"/>
              <w:left w:val="nil"/>
              <w:bottom w:val="nil"/>
              <w:right w:val="nil"/>
            </w:tcBorders>
            <w:shd w:val="clear" w:color="auto" w:fill="auto"/>
            <w:noWrap/>
            <w:vAlign w:val="bottom"/>
            <w:hideMark/>
          </w:tcPr>
          <w:p w14:paraId="702CAD0F" w14:textId="03DB5A24" w:rsidR="00A16694" w:rsidRPr="006B42D6" w:rsidRDefault="00A16694" w:rsidP="00144A12">
            <w:pPr>
              <w:jc w:val="right"/>
              <w:rPr>
                <w:sz w:val="16"/>
                <w:szCs w:val="16"/>
              </w:rPr>
            </w:pPr>
            <w:r w:rsidRPr="006B42D6">
              <w:rPr>
                <w:sz w:val="16"/>
                <w:szCs w:val="16"/>
              </w:rPr>
              <w:t>157</w:t>
            </w:r>
          </w:p>
        </w:tc>
      </w:tr>
      <w:tr w:rsidR="006B42D6" w:rsidRPr="006B42D6" w14:paraId="4482FDB1" w14:textId="77777777" w:rsidTr="00A16694">
        <w:trPr>
          <w:trHeight w:val="235"/>
        </w:trPr>
        <w:tc>
          <w:tcPr>
            <w:tcW w:w="492" w:type="pct"/>
            <w:tcBorders>
              <w:top w:val="nil"/>
              <w:left w:val="nil"/>
              <w:bottom w:val="nil"/>
              <w:right w:val="nil"/>
            </w:tcBorders>
            <w:shd w:val="clear" w:color="auto" w:fill="auto"/>
            <w:hideMark/>
          </w:tcPr>
          <w:p w14:paraId="5366A0F8" w14:textId="77777777" w:rsidR="00A16694" w:rsidRPr="006B42D6" w:rsidRDefault="00A16694" w:rsidP="00144A12">
            <w:pPr>
              <w:rPr>
                <w:sz w:val="16"/>
                <w:szCs w:val="16"/>
              </w:rPr>
            </w:pPr>
            <w:r w:rsidRPr="006B42D6">
              <w:rPr>
                <w:sz w:val="16"/>
                <w:szCs w:val="16"/>
              </w:rPr>
              <w:t>300-499</w:t>
            </w:r>
          </w:p>
        </w:tc>
        <w:tc>
          <w:tcPr>
            <w:tcW w:w="614" w:type="pct"/>
            <w:tcBorders>
              <w:top w:val="nil"/>
              <w:left w:val="nil"/>
              <w:bottom w:val="nil"/>
              <w:right w:val="nil"/>
            </w:tcBorders>
            <w:shd w:val="clear" w:color="auto" w:fill="auto"/>
            <w:noWrap/>
            <w:vAlign w:val="bottom"/>
            <w:hideMark/>
          </w:tcPr>
          <w:p w14:paraId="233A20F0" w14:textId="3F6655F5" w:rsidR="00A16694" w:rsidRPr="006B42D6" w:rsidRDefault="00A16694" w:rsidP="00144A12">
            <w:pPr>
              <w:jc w:val="right"/>
              <w:rPr>
                <w:sz w:val="16"/>
                <w:szCs w:val="16"/>
              </w:rPr>
            </w:pPr>
            <w:r w:rsidRPr="006B42D6">
              <w:rPr>
                <w:sz w:val="16"/>
                <w:szCs w:val="16"/>
              </w:rPr>
              <w:t>1,815</w:t>
            </w:r>
          </w:p>
        </w:tc>
        <w:tc>
          <w:tcPr>
            <w:tcW w:w="425" w:type="pct"/>
            <w:tcBorders>
              <w:top w:val="nil"/>
              <w:left w:val="nil"/>
              <w:bottom w:val="nil"/>
              <w:right w:val="nil"/>
            </w:tcBorders>
            <w:shd w:val="clear" w:color="auto" w:fill="auto"/>
            <w:noWrap/>
            <w:vAlign w:val="bottom"/>
            <w:hideMark/>
          </w:tcPr>
          <w:p w14:paraId="080E5EAC" w14:textId="1443F8B1" w:rsidR="00A16694" w:rsidRPr="006B42D6" w:rsidRDefault="00A16694" w:rsidP="00144A12">
            <w:pPr>
              <w:jc w:val="right"/>
              <w:rPr>
                <w:sz w:val="16"/>
                <w:szCs w:val="16"/>
              </w:rPr>
            </w:pPr>
            <w:r w:rsidRPr="006B42D6">
              <w:rPr>
                <w:sz w:val="16"/>
                <w:szCs w:val="16"/>
              </w:rPr>
              <w:t>0.4</w:t>
            </w:r>
          </w:p>
        </w:tc>
        <w:tc>
          <w:tcPr>
            <w:tcW w:w="543" w:type="pct"/>
            <w:tcBorders>
              <w:top w:val="nil"/>
              <w:left w:val="nil"/>
              <w:bottom w:val="nil"/>
              <w:right w:val="nil"/>
            </w:tcBorders>
            <w:shd w:val="clear" w:color="auto" w:fill="auto"/>
            <w:noWrap/>
            <w:vAlign w:val="bottom"/>
            <w:hideMark/>
          </w:tcPr>
          <w:p w14:paraId="2A52AAE7" w14:textId="699579A1" w:rsidR="00A16694" w:rsidRPr="006B42D6" w:rsidRDefault="00A16694" w:rsidP="00144A12">
            <w:pPr>
              <w:jc w:val="right"/>
              <w:rPr>
                <w:sz w:val="16"/>
                <w:szCs w:val="16"/>
              </w:rPr>
            </w:pPr>
            <w:r w:rsidRPr="006B42D6">
              <w:rPr>
                <w:sz w:val="16"/>
                <w:szCs w:val="16"/>
              </w:rPr>
              <w:t>611,996</w:t>
            </w:r>
          </w:p>
        </w:tc>
        <w:tc>
          <w:tcPr>
            <w:tcW w:w="500" w:type="pct"/>
            <w:tcBorders>
              <w:top w:val="nil"/>
              <w:left w:val="nil"/>
              <w:bottom w:val="nil"/>
              <w:right w:val="nil"/>
            </w:tcBorders>
            <w:shd w:val="clear" w:color="auto" w:fill="auto"/>
            <w:noWrap/>
            <w:vAlign w:val="bottom"/>
            <w:hideMark/>
          </w:tcPr>
          <w:p w14:paraId="40731F28" w14:textId="7D664EE6" w:rsidR="00A16694" w:rsidRPr="006B42D6" w:rsidRDefault="00A16694" w:rsidP="00144A12">
            <w:pPr>
              <w:jc w:val="right"/>
              <w:rPr>
                <w:sz w:val="16"/>
                <w:szCs w:val="16"/>
              </w:rPr>
            </w:pPr>
            <w:r w:rsidRPr="006B42D6">
              <w:rPr>
                <w:sz w:val="16"/>
                <w:szCs w:val="16"/>
              </w:rPr>
              <w:t>337</w:t>
            </w:r>
          </w:p>
        </w:tc>
        <w:tc>
          <w:tcPr>
            <w:tcW w:w="756" w:type="pct"/>
            <w:tcBorders>
              <w:top w:val="nil"/>
              <w:left w:val="single" w:sz="4" w:space="0" w:color="auto"/>
              <w:bottom w:val="nil"/>
              <w:right w:val="nil"/>
            </w:tcBorders>
            <w:shd w:val="clear" w:color="auto" w:fill="auto"/>
            <w:noWrap/>
            <w:vAlign w:val="bottom"/>
            <w:hideMark/>
          </w:tcPr>
          <w:p w14:paraId="1B7F2710" w14:textId="34BC4B81" w:rsidR="00A16694" w:rsidRPr="006B42D6" w:rsidRDefault="00A16694" w:rsidP="00144A12">
            <w:pPr>
              <w:jc w:val="right"/>
              <w:rPr>
                <w:sz w:val="16"/>
                <w:szCs w:val="16"/>
              </w:rPr>
            </w:pPr>
            <w:r w:rsidRPr="006B42D6">
              <w:rPr>
                <w:sz w:val="16"/>
                <w:szCs w:val="16"/>
              </w:rPr>
              <w:t>7,062</w:t>
            </w:r>
          </w:p>
        </w:tc>
        <w:tc>
          <w:tcPr>
            <w:tcW w:w="642" w:type="pct"/>
            <w:tcBorders>
              <w:top w:val="nil"/>
              <w:left w:val="nil"/>
              <w:bottom w:val="nil"/>
              <w:right w:val="nil"/>
            </w:tcBorders>
            <w:shd w:val="clear" w:color="auto" w:fill="auto"/>
            <w:noWrap/>
            <w:vAlign w:val="bottom"/>
            <w:hideMark/>
          </w:tcPr>
          <w:p w14:paraId="780A4901" w14:textId="1C6109E2" w:rsidR="00A16694" w:rsidRPr="006B42D6" w:rsidRDefault="00A16694" w:rsidP="00144A12">
            <w:pPr>
              <w:jc w:val="right"/>
              <w:rPr>
                <w:sz w:val="16"/>
                <w:szCs w:val="16"/>
              </w:rPr>
            </w:pPr>
            <w:r w:rsidRPr="006B42D6">
              <w:rPr>
                <w:sz w:val="16"/>
                <w:szCs w:val="16"/>
              </w:rPr>
              <w:t>2.1</w:t>
            </w:r>
          </w:p>
        </w:tc>
        <w:tc>
          <w:tcPr>
            <w:tcW w:w="543" w:type="pct"/>
            <w:tcBorders>
              <w:top w:val="nil"/>
              <w:left w:val="nil"/>
              <w:bottom w:val="nil"/>
              <w:right w:val="nil"/>
            </w:tcBorders>
            <w:shd w:val="clear" w:color="auto" w:fill="auto"/>
            <w:noWrap/>
            <w:vAlign w:val="bottom"/>
            <w:hideMark/>
          </w:tcPr>
          <w:p w14:paraId="3D9FB468" w14:textId="0C22E6FF" w:rsidR="00A16694" w:rsidRPr="006B42D6" w:rsidRDefault="00A16694" w:rsidP="00144A12">
            <w:pPr>
              <w:jc w:val="right"/>
              <w:rPr>
                <w:sz w:val="16"/>
                <w:szCs w:val="16"/>
              </w:rPr>
            </w:pPr>
            <w:r w:rsidRPr="006B42D6">
              <w:rPr>
                <w:sz w:val="16"/>
                <w:szCs w:val="16"/>
              </w:rPr>
              <w:t>2,277,095</w:t>
            </w:r>
          </w:p>
        </w:tc>
        <w:tc>
          <w:tcPr>
            <w:tcW w:w="486" w:type="pct"/>
            <w:tcBorders>
              <w:top w:val="nil"/>
              <w:left w:val="nil"/>
              <w:bottom w:val="nil"/>
              <w:right w:val="nil"/>
            </w:tcBorders>
            <w:shd w:val="clear" w:color="auto" w:fill="auto"/>
            <w:noWrap/>
            <w:vAlign w:val="bottom"/>
            <w:hideMark/>
          </w:tcPr>
          <w:p w14:paraId="32D8DC2A" w14:textId="6F24F1DA" w:rsidR="00A16694" w:rsidRPr="006B42D6" w:rsidRDefault="00A16694" w:rsidP="00144A12">
            <w:pPr>
              <w:jc w:val="right"/>
              <w:rPr>
                <w:sz w:val="16"/>
                <w:szCs w:val="16"/>
              </w:rPr>
            </w:pPr>
            <w:r w:rsidRPr="006B42D6">
              <w:rPr>
                <w:sz w:val="16"/>
                <w:szCs w:val="16"/>
              </w:rPr>
              <w:t>322</w:t>
            </w:r>
          </w:p>
        </w:tc>
      </w:tr>
      <w:tr w:rsidR="006B42D6" w:rsidRPr="006B42D6" w14:paraId="6370DC28" w14:textId="77777777" w:rsidTr="00A16694">
        <w:trPr>
          <w:trHeight w:val="235"/>
        </w:trPr>
        <w:tc>
          <w:tcPr>
            <w:tcW w:w="492" w:type="pct"/>
            <w:tcBorders>
              <w:top w:val="nil"/>
              <w:left w:val="nil"/>
              <w:bottom w:val="nil"/>
              <w:right w:val="nil"/>
            </w:tcBorders>
            <w:shd w:val="clear" w:color="auto" w:fill="auto"/>
            <w:hideMark/>
          </w:tcPr>
          <w:p w14:paraId="704B3F3F" w14:textId="77777777" w:rsidR="00A16694" w:rsidRPr="006B42D6" w:rsidRDefault="00A16694" w:rsidP="00144A12">
            <w:pPr>
              <w:rPr>
                <w:sz w:val="16"/>
                <w:szCs w:val="16"/>
              </w:rPr>
            </w:pPr>
            <w:r w:rsidRPr="006B42D6">
              <w:rPr>
                <w:sz w:val="16"/>
                <w:szCs w:val="16"/>
              </w:rPr>
              <w:t>500-699</w:t>
            </w:r>
          </w:p>
        </w:tc>
        <w:tc>
          <w:tcPr>
            <w:tcW w:w="614" w:type="pct"/>
            <w:tcBorders>
              <w:top w:val="nil"/>
              <w:left w:val="nil"/>
              <w:bottom w:val="nil"/>
              <w:right w:val="nil"/>
            </w:tcBorders>
            <w:shd w:val="clear" w:color="auto" w:fill="auto"/>
            <w:noWrap/>
            <w:vAlign w:val="bottom"/>
            <w:hideMark/>
          </w:tcPr>
          <w:p w14:paraId="11C64CD3" w14:textId="1AEF53A2" w:rsidR="00A16694" w:rsidRPr="006B42D6" w:rsidRDefault="00A16694" w:rsidP="00144A12">
            <w:pPr>
              <w:jc w:val="right"/>
              <w:rPr>
                <w:sz w:val="16"/>
                <w:szCs w:val="16"/>
              </w:rPr>
            </w:pPr>
            <w:r w:rsidRPr="006B42D6">
              <w:rPr>
                <w:sz w:val="16"/>
                <w:szCs w:val="16"/>
              </w:rPr>
              <w:t>2,982</w:t>
            </w:r>
          </w:p>
        </w:tc>
        <w:tc>
          <w:tcPr>
            <w:tcW w:w="425" w:type="pct"/>
            <w:tcBorders>
              <w:top w:val="nil"/>
              <w:left w:val="nil"/>
              <w:bottom w:val="nil"/>
              <w:right w:val="nil"/>
            </w:tcBorders>
            <w:shd w:val="clear" w:color="auto" w:fill="auto"/>
            <w:noWrap/>
            <w:vAlign w:val="bottom"/>
            <w:hideMark/>
          </w:tcPr>
          <w:p w14:paraId="7F7DF4B8" w14:textId="3C17B40B" w:rsidR="00A16694" w:rsidRPr="006B42D6" w:rsidRDefault="00A16694" w:rsidP="00144A12">
            <w:pPr>
              <w:jc w:val="right"/>
              <w:rPr>
                <w:sz w:val="16"/>
                <w:szCs w:val="16"/>
              </w:rPr>
            </w:pPr>
            <w:r w:rsidRPr="006B42D6">
              <w:rPr>
                <w:sz w:val="16"/>
                <w:szCs w:val="16"/>
              </w:rPr>
              <w:t>0.7</w:t>
            </w:r>
          </w:p>
        </w:tc>
        <w:tc>
          <w:tcPr>
            <w:tcW w:w="543" w:type="pct"/>
            <w:tcBorders>
              <w:top w:val="nil"/>
              <w:left w:val="nil"/>
              <w:bottom w:val="nil"/>
              <w:right w:val="nil"/>
            </w:tcBorders>
            <w:shd w:val="clear" w:color="auto" w:fill="auto"/>
            <w:noWrap/>
            <w:vAlign w:val="bottom"/>
            <w:hideMark/>
          </w:tcPr>
          <w:p w14:paraId="1E222E48" w14:textId="11C28F4C" w:rsidR="00A16694" w:rsidRPr="006B42D6" w:rsidRDefault="00A16694" w:rsidP="00144A12">
            <w:pPr>
              <w:jc w:val="right"/>
              <w:rPr>
                <w:sz w:val="16"/>
                <w:szCs w:val="16"/>
              </w:rPr>
            </w:pPr>
            <w:r w:rsidRPr="006B42D6">
              <w:rPr>
                <w:sz w:val="16"/>
                <w:szCs w:val="16"/>
              </w:rPr>
              <w:t>1,562,491</w:t>
            </w:r>
          </w:p>
        </w:tc>
        <w:tc>
          <w:tcPr>
            <w:tcW w:w="500" w:type="pct"/>
            <w:tcBorders>
              <w:top w:val="nil"/>
              <w:left w:val="nil"/>
              <w:bottom w:val="nil"/>
              <w:right w:val="nil"/>
            </w:tcBorders>
            <w:shd w:val="clear" w:color="auto" w:fill="auto"/>
            <w:noWrap/>
            <w:vAlign w:val="bottom"/>
            <w:hideMark/>
          </w:tcPr>
          <w:p w14:paraId="20564851" w14:textId="4B1FD038" w:rsidR="00A16694" w:rsidRPr="006B42D6" w:rsidRDefault="00A16694" w:rsidP="00144A12">
            <w:pPr>
              <w:jc w:val="right"/>
              <w:rPr>
                <w:sz w:val="16"/>
                <w:szCs w:val="16"/>
              </w:rPr>
            </w:pPr>
            <w:r w:rsidRPr="006B42D6">
              <w:rPr>
                <w:sz w:val="16"/>
                <w:szCs w:val="16"/>
              </w:rPr>
              <w:t>524</w:t>
            </w:r>
          </w:p>
        </w:tc>
        <w:tc>
          <w:tcPr>
            <w:tcW w:w="756" w:type="pct"/>
            <w:tcBorders>
              <w:top w:val="nil"/>
              <w:left w:val="single" w:sz="4" w:space="0" w:color="auto"/>
              <w:bottom w:val="nil"/>
              <w:right w:val="nil"/>
            </w:tcBorders>
            <w:shd w:val="clear" w:color="auto" w:fill="auto"/>
            <w:noWrap/>
            <w:vAlign w:val="bottom"/>
            <w:hideMark/>
          </w:tcPr>
          <w:p w14:paraId="2920FBD5" w14:textId="400E43D1" w:rsidR="00A16694" w:rsidRPr="006B42D6" w:rsidRDefault="00A16694" w:rsidP="00144A12">
            <w:pPr>
              <w:jc w:val="right"/>
              <w:rPr>
                <w:sz w:val="16"/>
                <w:szCs w:val="16"/>
              </w:rPr>
            </w:pPr>
            <w:r w:rsidRPr="006B42D6">
              <w:rPr>
                <w:sz w:val="16"/>
                <w:szCs w:val="16"/>
              </w:rPr>
              <w:t>858</w:t>
            </w:r>
          </w:p>
        </w:tc>
        <w:tc>
          <w:tcPr>
            <w:tcW w:w="642" w:type="pct"/>
            <w:tcBorders>
              <w:top w:val="nil"/>
              <w:left w:val="nil"/>
              <w:bottom w:val="nil"/>
              <w:right w:val="nil"/>
            </w:tcBorders>
            <w:shd w:val="clear" w:color="auto" w:fill="auto"/>
            <w:noWrap/>
            <w:vAlign w:val="bottom"/>
            <w:hideMark/>
          </w:tcPr>
          <w:p w14:paraId="7169DAE4" w14:textId="59389FC0" w:rsidR="00A16694" w:rsidRPr="006B42D6" w:rsidRDefault="00A16694" w:rsidP="00144A12">
            <w:pPr>
              <w:jc w:val="right"/>
              <w:rPr>
                <w:sz w:val="16"/>
                <w:szCs w:val="16"/>
              </w:rPr>
            </w:pPr>
            <w:r w:rsidRPr="006B42D6">
              <w:rPr>
                <w:sz w:val="16"/>
                <w:szCs w:val="16"/>
              </w:rPr>
              <w:t>0.3</w:t>
            </w:r>
          </w:p>
        </w:tc>
        <w:tc>
          <w:tcPr>
            <w:tcW w:w="543" w:type="pct"/>
            <w:tcBorders>
              <w:top w:val="nil"/>
              <w:left w:val="nil"/>
              <w:bottom w:val="nil"/>
              <w:right w:val="nil"/>
            </w:tcBorders>
            <w:shd w:val="clear" w:color="auto" w:fill="auto"/>
            <w:noWrap/>
            <w:vAlign w:val="bottom"/>
            <w:hideMark/>
          </w:tcPr>
          <w:p w14:paraId="04FF45BB" w14:textId="2703DADE" w:rsidR="00A16694" w:rsidRPr="006B42D6" w:rsidRDefault="00A16694" w:rsidP="00144A12">
            <w:pPr>
              <w:jc w:val="right"/>
              <w:rPr>
                <w:sz w:val="16"/>
                <w:szCs w:val="16"/>
              </w:rPr>
            </w:pPr>
            <w:r w:rsidRPr="006B42D6">
              <w:rPr>
                <w:sz w:val="16"/>
                <w:szCs w:val="16"/>
              </w:rPr>
              <w:t>428,847</w:t>
            </w:r>
          </w:p>
        </w:tc>
        <w:tc>
          <w:tcPr>
            <w:tcW w:w="486" w:type="pct"/>
            <w:tcBorders>
              <w:top w:val="nil"/>
              <w:left w:val="nil"/>
              <w:bottom w:val="nil"/>
              <w:right w:val="nil"/>
            </w:tcBorders>
            <w:shd w:val="clear" w:color="auto" w:fill="auto"/>
            <w:noWrap/>
            <w:vAlign w:val="bottom"/>
            <w:hideMark/>
          </w:tcPr>
          <w:p w14:paraId="5022D5CC" w14:textId="71D12E26" w:rsidR="00A16694" w:rsidRPr="006B42D6" w:rsidRDefault="00A16694" w:rsidP="00144A12">
            <w:pPr>
              <w:jc w:val="right"/>
              <w:rPr>
                <w:sz w:val="16"/>
                <w:szCs w:val="16"/>
              </w:rPr>
            </w:pPr>
            <w:r w:rsidRPr="006B42D6">
              <w:rPr>
                <w:sz w:val="16"/>
                <w:szCs w:val="16"/>
              </w:rPr>
              <w:t>500</w:t>
            </w:r>
          </w:p>
        </w:tc>
      </w:tr>
      <w:tr w:rsidR="006B42D6" w:rsidRPr="006B42D6" w14:paraId="337197C1" w14:textId="77777777" w:rsidTr="00A16694">
        <w:trPr>
          <w:trHeight w:val="235"/>
        </w:trPr>
        <w:tc>
          <w:tcPr>
            <w:tcW w:w="492" w:type="pct"/>
            <w:tcBorders>
              <w:top w:val="nil"/>
              <w:left w:val="nil"/>
              <w:bottom w:val="nil"/>
              <w:right w:val="nil"/>
            </w:tcBorders>
            <w:shd w:val="clear" w:color="auto" w:fill="auto"/>
            <w:hideMark/>
          </w:tcPr>
          <w:p w14:paraId="7BBADDB1" w14:textId="76C668F8" w:rsidR="00A16694" w:rsidRPr="006B42D6" w:rsidRDefault="00A16694" w:rsidP="00144A12">
            <w:pPr>
              <w:rPr>
                <w:sz w:val="16"/>
                <w:szCs w:val="16"/>
              </w:rPr>
            </w:pPr>
            <w:r w:rsidRPr="006B42D6">
              <w:rPr>
                <w:sz w:val="16"/>
                <w:szCs w:val="16"/>
              </w:rPr>
              <w:t>700+</w:t>
            </w:r>
          </w:p>
        </w:tc>
        <w:tc>
          <w:tcPr>
            <w:tcW w:w="614" w:type="pct"/>
            <w:tcBorders>
              <w:top w:val="nil"/>
              <w:left w:val="nil"/>
              <w:bottom w:val="nil"/>
              <w:right w:val="nil"/>
            </w:tcBorders>
            <w:shd w:val="clear" w:color="auto" w:fill="auto"/>
            <w:noWrap/>
            <w:vAlign w:val="bottom"/>
            <w:hideMark/>
          </w:tcPr>
          <w:p w14:paraId="4AD7D679" w14:textId="566E1B5A" w:rsidR="00A16694" w:rsidRPr="006B42D6" w:rsidRDefault="00A16694" w:rsidP="00144A12">
            <w:pPr>
              <w:jc w:val="right"/>
              <w:rPr>
                <w:sz w:val="16"/>
                <w:szCs w:val="16"/>
              </w:rPr>
            </w:pPr>
            <w:r w:rsidRPr="006B42D6">
              <w:rPr>
                <w:sz w:val="16"/>
                <w:szCs w:val="16"/>
              </w:rPr>
              <w:t>780</w:t>
            </w:r>
          </w:p>
        </w:tc>
        <w:tc>
          <w:tcPr>
            <w:tcW w:w="425" w:type="pct"/>
            <w:tcBorders>
              <w:top w:val="nil"/>
              <w:left w:val="nil"/>
              <w:bottom w:val="nil"/>
              <w:right w:val="nil"/>
            </w:tcBorders>
            <w:shd w:val="clear" w:color="auto" w:fill="auto"/>
            <w:noWrap/>
            <w:vAlign w:val="bottom"/>
            <w:hideMark/>
          </w:tcPr>
          <w:p w14:paraId="554BAD82" w14:textId="27743A6F" w:rsidR="00A16694" w:rsidRPr="006B42D6" w:rsidRDefault="00A16694" w:rsidP="00144A12">
            <w:pPr>
              <w:jc w:val="right"/>
              <w:rPr>
                <w:sz w:val="16"/>
                <w:szCs w:val="16"/>
              </w:rPr>
            </w:pPr>
            <w:r w:rsidRPr="006B42D6">
              <w:rPr>
                <w:sz w:val="16"/>
                <w:szCs w:val="16"/>
              </w:rPr>
              <w:t>0.2</w:t>
            </w:r>
          </w:p>
        </w:tc>
        <w:tc>
          <w:tcPr>
            <w:tcW w:w="543" w:type="pct"/>
            <w:tcBorders>
              <w:top w:val="nil"/>
              <w:left w:val="nil"/>
              <w:bottom w:val="nil"/>
              <w:right w:val="nil"/>
            </w:tcBorders>
            <w:shd w:val="clear" w:color="auto" w:fill="auto"/>
            <w:noWrap/>
            <w:vAlign w:val="bottom"/>
            <w:hideMark/>
          </w:tcPr>
          <w:p w14:paraId="534C2DFD" w14:textId="619E5173" w:rsidR="00A16694" w:rsidRPr="006B42D6" w:rsidRDefault="00A16694" w:rsidP="00144A12">
            <w:pPr>
              <w:jc w:val="right"/>
              <w:rPr>
                <w:sz w:val="16"/>
                <w:szCs w:val="16"/>
              </w:rPr>
            </w:pPr>
            <w:r w:rsidRPr="006B42D6">
              <w:rPr>
                <w:sz w:val="16"/>
                <w:szCs w:val="16"/>
              </w:rPr>
              <w:t>3,127,458</w:t>
            </w:r>
          </w:p>
        </w:tc>
        <w:tc>
          <w:tcPr>
            <w:tcW w:w="500" w:type="pct"/>
            <w:tcBorders>
              <w:top w:val="nil"/>
              <w:left w:val="nil"/>
              <w:bottom w:val="nil"/>
              <w:right w:val="nil"/>
            </w:tcBorders>
            <w:shd w:val="clear" w:color="auto" w:fill="auto"/>
            <w:noWrap/>
            <w:vAlign w:val="bottom"/>
            <w:hideMark/>
          </w:tcPr>
          <w:p w14:paraId="2C8D33FA" w14:textId="643EE291" w:rsidR="00A16694" w:rsidRPr="006B42D6" w:rsidRDefault="00A16694" w:rsidP="00144A12">
            <w:pPr>
              <w:jc w:val="right"/>
              <w:rPr>
                <w:sz w:val="16"/>
                <w:szCs w:val="16"/>
              </w:rPr>
            </w:pPr>
            <w:r w:rsidRPr="006B42D6">
              <w:rPr>
                <w:sz w:val="16"/>
                <w:szCs w:val="16"/>
              </w:rPr>
              <w:t>4,010</w:t>
            </w:r>
          </w:p>
        </w:tc>
        <w:tc>
          <w:tcPr>
            <w:tcW w:w="756" w:type="pct"/>
            <w:tcBorders>
              <w:top w:val="nil"/>
              <w:left w:val="single" w:sz="4" w:space="0" w:color="auto"/>
              <w:bottom w:val="nil"/>
              <w:right w:val="nil"/>
            </w:tcBorders>
            <w:shd w:val="clear" w:color="auto" w:fill="auto"/>
            <w:noWrap/>
            <w:vAlign w:val="bottom"/>
            <w:hideMark/>
          </w:tcPr>
          <w:p w14:paraId="400FDB55" w14:textId="5A96BBF7" w:rsidR="00A16694" w:rsidRPr="006B42D6" w:rsidRDefault="00A16694" w:rsidP="00144A12">
            <w:pPr>
              <w:jc w:val="right"/>
              <w:rPr>
                <w:sz w:val="16"/>
                <w:szCs w:val="16"/>
              </w:rPr>
            </w:pPr>
            <w:r w:rsidRPr="006B42D6">
              <w:rPr>
                <w:sz w:val="16"/>
                <w:szCs w:val="16"/>
              </w:rPr>
              <w:t>1,052</w:t>
            </w:r>
          </w:p>
        </w:tc>
        <w:tc>
          <w:tcPr>
            <w:tcW w:w="642" w:type="pct"/>
            <w:tcBorders>
              <w:top w:val="nil"/>
              <w:left w:val="nil"/>
              <w:bottom w:val="nil"/>
              <w:right w:val="nil"/>
            </w:tcBorders>
            <w:shd w:val="clear" w:color="auto" w:fill="auto"/>
            <w:noWrap/>
            <w:vAlign w:val="bottom"/>
            <w:hideMark/>
          </w:tcPr>
          <w:p w14:paraId="3B5E19BB" w14:textId="544162FF" w:rsidR="00A16694" w:rsidRPr="006B42D6" w:rsidRDefault="00A16694" w:rsidP="00144A12">
            <w:pPr>
              <w:jc w:val="right"/>
              <w:rPr>
                <w:sz w:val="16"/>
                <w:szCs w:val="16"/>
              </w:rPr>
            </w:pPr>
            <w:r w:rsidRPr="006B42D6">
              <w:rPr>
                <w:sz w:val="16"/>
                <w:szCs w:val="16"/>
              </w:rPr>
              <w:t>0.3</w:t>
            </w:r>
          </w:p>
        </w:tc>
        <w:tc>
          <w:tcPr>
            <w:tcW w:w="543" w:type="pct"/>
            <w:tcBorders>
              <w:top w:val="nil"/>
              <w:left w:val="nil"/>
              <w:bottom w:val="nil"/>
              <w:right w:val="nil"/>
            </w:tcBorders>
            <w:shd w:val="clear" w:color="auto" w:fill="auto"/>
            <w:noWrap/>
            <w:vAlign w:val="bottom"/>
            <w:hideMark/>
          </w:tcPr>
          <w:p w14:paraId="240DEA36" w14:textId="1FA42EFD" w:rsidR="00A16694" w:rsidRPr="006B42D6" w:rsidRDefault="00A16694" w:rsidP="00144A12">
            <w:pPr>
              <w:jc w:val="right"/>
              <w:rPr>
                <w:sz w:val="16"/>
                <w:szCs w:val="16"/>
              </w:rPr>
            </w:pPr>
            <w:r w:rsidRPr="006B42D6">
              <w:rPr>
                <w:sz w:val="16"/>
                <w:szCs w:val="16"/>
              </w:rPr>
              <w:t>1,019,049</w:t>
            </w:r>
          </w:p>
        </w:tc>
        <w:tc>
          <w:tcPr>
            <w:tcW w:w="486" w:type="pct"/>
            <w:tcBorders>
              <w:top w:val="nil"/>
              <w:left w:val="nil"/>
              <w:bottom w:val="nil"/>
              <w:right w:val="nil"/>
            </w:tcBorders>
            <w:shd w:val="clear" w:color="auto" w:fill="auto"/>
            <w:noWrap/>
            <w:vAlign w:val="bottom"/>
            <w:hideMark/>
          </w:tcPr>
          <w:p w14:paraId="44DED3D6" w14:textId="632BA649" w:rsidR="00A16694" w:rsidRPr="006B42D6" w:rsidRDefault="00A16694" w:rsidP="00144A12">
            <w:pPr>
              <w:jc w:val="right"/>
              <w:rPr>
                <w:sz w:val="16"/>
                <w:szCs w:val="16"/>
              </w:rPr>
            </w:pPr>
            <w:r w:rsidRPr="006B42D6">
              <w:rPr>
                <w:sz w:val="16"/>
                <w:szCs w:val="16"/>
              </w:rPr>
              <w:t>969</w:t>
            </w:r>
          </w:p>
        </w:tc>
      </w:tr>
      <w:tr w:rsidR="00A16694" w:rsidRPr="006B42D6" w14:paraId="16A828E4" w14:textId="77777777" w:rsidTr="00013942">
        <w:trPr>
          <w:trHeight w:val="235"/>
        </w:trPr>
        <w:tc>
          <w:tcPr>
            <w:tcW w:w="492" w:type="pct"/>
            <w:tcBorders>
              <w:top w:val="single" w:sz="4" w:space="0" w:color="auto"/>
              <w:left w:val="nil"/>
              <w:bottom w:val="single" w:sz="4" w:space="0" w:color="auto"/>
              <w:right w:val="nil"/>
            </w:tcBorders>
            <w:shd w:val="clear" w:color="auto" w:fill="E2EFD9" w:themeFill="accent6" w:themeFillTint="33"/>
            <w:hideMark/>
          </w:tcPr>
          <w:p w14:paraId="125E2F52" w14:textId="77777777" w:rsidR="00A16694" w:rsidRPr="006B42D6" w:rsidRDefault="00A16694" w:rsidP="00144A12">
            <w:pPr>
              <w:rPr>
                <w:b/>
                <w:bCs/>
                <w:sz w:val="16"/>
                <w:szCs w:val="16"/>
              </w:rPr>
            </w:pPr>
            <w:r w:rsidRPr="006B42D6">
              <w:rPr>
                <w:b/>
                <w:bCs/>
                <w:sz w:val="16"/>
                <w:szCs w:val="16"/>
              </w:rPr>
              <w:t>Total</w:t>
            </w:r>
          </w:p>
        </w:tc>
        <w:tc>
          <w:tcPr>
            <w:tcW w:w="614" w:type="pct"/>
            <w:tcBorders>
              <w:top w:val="single" w:sz="4" w:space="0" w:color="auto"/>
              <w:left w:val="nil"/>
              <w:bottom w:val="single" w:sz="4" w:space="0" w:color="auto"/>
              <w:right w:val="nil"/>
            </w:tcBorders>
            <w:shd w:val="clear" w:color="auto" w:fill="E2EFD9" w:themeFill="accent6" w:themeFillTint="33"/>
            <w:noWrap/>
            <w:vAlign w:val="bottom"/>
            <w:hideMark/>
          </w:tcPr>
          <w:p w14:paraId="424A1E80" w14:textId="6E4BB389" w:rsidR="00A16694" w:rsidRPr="006B42D6" w:rsidRDefault="00A16694" w:rsidP="00144A12">
            <w:pPr>
              <w:jc w:val="right"/>
              <w:rPr>
                <w:b/>
                <w:bCs/>
                <w:sz w:val="16"/>
                <w:szCs w:val="16"/>
              </w:rPr>
            </w:pPr>
            <w:r w:rsidRPr="006B42D6">
              <w:rPr>
                <w:b/>
                <w:bCs/>
                <w:sz w:val="16"/>
                <w:szCs w:val="16"/>
              </w:rPr>
              <w:t>409,837</w:t>
            </w:r>
          </w:p>
        </w:tc>
        <w:tc>
          <w:tcPr>
            <w:tcW w:w="425" w:type="pct"/>
            <w:tcBorders>
              <w:top w:val="single" w:sz="4" w:space="0" w:color="auto"/>
              <w:left w:val="nil"/>
              <w:bottom w:val="single" w:sz="4" w:space="0" w:color="auto"/>
              <w:right w:val="nil"/>
            </w:tcBorders>
            <w:shd w:val="clear" w:color="auto" w:fill="E2EFD9" w:themeFill="accent6" w:themeFillTint="33"/>
            <w:noWrap/>
            <w:vAlign w:val="bottom"/>
            <w:hideMark/>
          </w:tcPr>
          <w:p w14:paraId="3080F9CE" w14:textId="78B906F2" w:rsidR="00A16694" w:rsidRPr="006B42D6" w:rsidRDefault="00A16694" w:rsidP="00144A12">
            <w:pPr>
              <w:jc w:val="right"/>
              <w:rPr>
                <w:b/>
                <w:bCs/>
                <w:sz w:val="16"/>
                <w:szCs w:val="16"/>
              </w:rPr>
            </w:pPr>
            <w:r w:rsidRPr="006B42D6">
              <w:rPr>
                <w:b/>
                <w:bCs/>
                <w:sz w:val="16"/>
                <w:szCs w:val="16"/>
              </w:rPr>
              <w:t>100</w:t>
            </w:r>
          </w:p>
        </w:tc>
        <w:tc>
          <w:tcPr>
            <w:tcW w:w="543" w:type="pct"/>
            <w:tcBorders>
              <w:top w:val="single" w:sz="4" w:space="0" w:color="auto"/>
              <w:left w:val="nil"/>
              <w:bottom w:val="single" w:sz="4" w:space="0" w:color="auto"/>
              <w:right w:val="nil"/>
            </w:tcBorders>
            <w:shd w:val="clear" w:color="auto" w:fill="E2EFD9" w:themeFill="accent6" w:themeFillTint="33"/>
            <w:noWrap/>
            <w:vAlign w:val="bottom"/>
            <w:hideMark/>
          </w:tcPr>
          <w:p w14:paraId="5EFC1D7D" w14:textId="2567413E" w:rsidR="00A16694" w:rsidRPr="006B42D6" w:rsidRDefault="00A16694" w:rsidP="00144A12">
            <w:pPr>
              <w:jc w:val="right"/>
              <w:rPr>
                <w:b/>
                <w:bCs/>
                <w:sz w:val="16"/>
                <w:szCs w:val="16"/>
              </w:rPr>
            </w:pPr>
            <w:r w:rsidRPr="006B42D6">
              <w:rPr>
                <w:b/>
                <w:bCs/>
                <w:sz w:val="16"/>
                <w:szCs w:val="16"/>
              </w:rPr>
              <w:t>18,549,640</w:t>
            </w:r>
          </w:p>
        </w:tc>
        <w:tc>
          <w:tcPr>
            <w:tcW w:w="500" w:type="pct"/>
            <w:tcBorders>
              <w:top w:val="single" w:sz="4" w:space="0" w:color="auto"/>
              <w:left w:val="nil"/>
              <w:bottom w:val="single" w:sz="4" w:space="0" w:color="auto"/>
              <w:right w:val="nil"/>
            </w:tcBorders>
            <w:shd w:val="clear" w:color="auto" w:fill="E2EFD9" w:themeFill="accent6" w:themeFillTint="33"/>
            <w:noWrap/>
            <w:vAlign w:val="bottom"/>
            <w:hideMark/>
          </w:tcPr>
          <w:p w14:paraId="09043375" w14:textId="4E6E196E" w:rsidR="00A16694" w:rsidRPr="006B42D6" w:rsidRDefault="00A16694" w:rsidP="00144A12">
            <w:pPr>
              <w:jc w:val="right"/>
              <w:rPr>
                <w:b/>
                <w:bCs/>
                <w:sz w:val="16"/>
                <w:szCs w:val="16"/>
              </w:rPr>
            </w:pPr>
            <w:r w:rsidRPr="006B42D6">
              <w:rPr>
                <w:b/>
                <w:bCs/>
                <w:sz w:val="16"/>
                <w:szCs w:val="16"/>
              </w:rPr>
              <w:t>45</w:t>
            </w:r>
          </w:p>
        </w:tc>
        <w:tc>
          <w:tcPr>
            <w:tcW w:w="756" w:type="pct"/>
            <w:tcBorders>
              <w:top w:val="single" w:sz="4" w:space="0" w:color="auto"/>
              <w:left w:val="single" w:sz="4" w:space="0" w:color="auto"/>
              <w:bottom w:val="single" w:sz="4" w:space="0" w:color="auto"/>
              <w:right w:val="nil"/>
            </w:tcBorders>
            <w:shd w:val="clear" w:color="auto" w:fill="E2EFD9" w:themeFill="accent6" w:themeFillTint="33"/>
            <w:noWrap/>
            <w:vAlign w:val="bottom"/>
            <w:hideMark/>
          </w:tcPr>
          <w:p w14:paraId="0136CA54" w14:textId="532FCDF4" w:rsidR="00A16694" w:rsidRPr="006B42D6" w:rsidRDefault="00A16694" w:rsidP="00144A12">
            <w:pPr>
              <w:jc w:val="right"/>
              <w:rPr>
                <w:b/>
                <w:bCs/>
                <w:sz w:val="16"/>
                <w:szCs w:val="16"/>
              </w:rPr>
            </w:pPr>
            <w:r w:rsidRPr="006B42D6">
              <w:rPr>
                <w:b/>
                <w:bCs/>
                <w:sz w:val="16"/>
                <w:szCs w:val="16"/>
              </w:rPr>
              <w:t>331,167</w:t>
            </w:r>
          </w:p>
        </w:tc>
        <w:tc>
          <w:tcPr>
            <w:tcW w:w="642" w:type="pct"/>
            <w:tcBorders>
              <w:top w:val="single" w:sz="4" w:space="0" w:color="auto"/>
              <w:left w:val="nil"/>
              <w:bottom w:val="single" w:sz="4" w:space="0" w:color="auto"/>
              <w:right w:val="nil"/>
            </w:tcBorders>
            <w:shd w:val="clear" w:color="auto" w:fill="E2EFD9" w:themeFill="accent6" w:themeFillTint="33"/>
            <w:noWrap/>
            <w:vAlign w:val="bottom"/>
            <w:hideMark/>
          </w:tcPr>
          <w:p w14:paraId="2DFC9C2F" w14:textId="628416C3" w:rsidR="00A16694" w:rsidRPr="006B42D6" w:rsidRDefault="00A16694" w:rsidP="00144A12">
            <w:pPr>
              <w:jc w:val="right"/>
              <w:rPr>
                <w:b/>
                <w:bCs/>
                <w:sz w:val="16"/>
                <w:szCs w:val="16"/>
              </w:rPr>
            </w:pPr>
            <w:r w:rsidRPr="006B42D6">
              <w:rPr>
                <w:b/>
                <w:bCs/>
                <w:sz w:val="16"/>
                <w:szCs w:val="16"/>
              </w:rPr>
              <w:t>100</w:t>
            </w:r>
          </w:p>
        </w:tc>
        <w:tc>
          <w:tcPr>
            <w:tcW w:w="543" w:type="pct"/>
            <w:tcBorders>
              <w:top w:val="single" w:sz="4" w:space="0" w:color="auto"/>
              <w:left w:val="nil"/>
              <w:bottom w:val="single" w:sz="4" w:space="0" w:color="auto"/>
              <w:right w:val="nil"/>
            </w:tcBorders>
            <w:shd w:val="clear" w:color="auto" w:fill="E2EFD9" w:themeFill="accent6" w:themeFillTint="33"/>
            <w:noWrap/>
            <w:vAlign w:val="bottom"/>
            <w:hideMark/>
          </w:tcPr>
          <w:p w14:paraId="4F007C3C" w14:textId="055B77D8" w:rsidR="00A16694" w:rsidRPr="006B42D6" w:rsidRDefault="00A16694" w:rsidP="00144A12">
            <w:pPr>
              <w:jc w:val="right"/>
              <w:rPr>
                <w:b/>
                <w:bCs/>
                <w:sz w:val="16"/>
                <w:szCs w:val="16"/>
              </w:rPr>
            </w:pPr>
            <w:r w:rsidRPr="006B42D6">
              <w:rPr>
                <w:b/>
                <w:bCs/>
                <w:sz w:val="16"/>
                <w:szCs w:val="16"/>
              </w:rPr>
              <w:t>12,849,502</w:t>
            </w:r>
          </w:p>
        </w:tc>
        <w:tc>
          <w:tcPr>
            <w:tcW w:w="486" w:type="pct"/>
            <w:tcBorders>
              <w:top w:val="single" w:sz="4" w:space="0" w:color="auto"/>
              <w:left w:val="nil"/>
              <w:bottom w:val="single" w:sz="4" w:space="0" w:color="auto"/>
              <w:right w:val="nil"/>
            </w:tcBorders>
            <w:shd w:val="clear" w:color="auto" w:fill="E2EFD9" w:themeFill="accent6" w:themeFillTint="33"/>
            <w:noWrap/>
            <w:vAlign w:val="bottom"/>
            <w:hideMark/>
          </w:tcPr>
          <w:p w14:paraId="60AAE1E0" w14:textId="31656A34" w:rsidR="00A16694" w:rsidRPr="006B42D6" w:rsidRDefault="00A16694" w:rsidP="00144A12">
            <w:pPr>
              <w:jc w:val="right"/>
              <w:rPr>
                <w:b/>
                <w:bCs/>
                <w:sz w:val="16"/>
                <w:szCs w:val="16"/>
              </w:rPr>
            </w:pPr>
            <w:r w:rsidRPr="006B42D6">
              <w:rPr>
                <w:b/>
                <w:bCs/>
                <w:sz w:val="16"/>
                <w:szCs w:val="16"/>
              </w:rPr>
              <w:t>39</w:t>
            </w:r>
          </w:p>
        </w:tc>
      </w:tr>
    </w:tbl>
    <w:p w14:paraId="3A0F7413" w14:textId="58313DD7" w:rsidR="00A16694" w:rsidRPr="006B42D6" w:rsidRDefault="00D91FFF" w:rsidP="00A16694">
      <w:r w:rsidRPr="006B42D6">
        <w:lastRenderedPageBreak/>
        <w:t>In Tanzania, t</w:t>
      </w:r>
      <w:r w:rsidR="00A16694" w:rsidRPr="006B42D6">
        <w:t>he number of layers has increased from 1,265,872 chicken in 2007/</w:t>
      </w:r>
      <w:r w:rsidR="009048AC" w:rsidRPr="006B42D6">
        <w:t>0</w:t>
      </w:r>
      <w:r w:rsidR="00A16694" w:rsidRPr="006B42D6">
        <w:t xml:space="preserve">8 to </w:t>
      </w:r>
      <w:r w:rsidR="00131A0F" w:rsidRPr="006B42D6">
        <w:t>18,549,640</w:t>
      </w:r>
      <w:r w:rsidR="00A16694" w:rsidRPr="006B42D6">
        <w:t xml:space="preserve"> in 2019/20 agriculture census</w:t>
      </w:r>
      <w:r w:rsidR="00131A0F" w:rsidRPr="006B42D6">
        <w:t>es</w:t>
      </w:r>
      <w:r w:rsidR="00A16694" w:rsidRPr="006B42D6">
        <w:t xml:space="preserve">, which is more than 10 </w:t>
      </w:r>
      <w:r w:rsidR="00F54682" w:rsidRPr="006B42D6">
        <w:t>times</w:t>
      </w:r>
      <w:r w:rsidR="00A16694" w:rsidRPr="006B42D6">
        <w:t xml:space="preserve"> increase. Similarly, the number of broilers has increased from 584,028 to 12,769,532 more than </w:t>
      </w:r>
      <w:r w:rsidR="00BF7C79" w:rsidRPr="006B42D6">
        <w:t>20</w:t>
      </w:r>
      <w:r w:rsidR="00A16694" w:rsidRPr="006B42D6">
        <w:t xml:space="preserve"> </w:t>
      </w:r>
      <w:r w:rsidR="00BF7C79" w:rsidRPr="006B42D6">
        <w:t>times</w:t>
      </w:r>
      <w:r w:rsidR="00A16694" w:rsidRPr="006B42D6">
        <w:t xml:space="preserve"> increase over the same period (</w:t>
      </w:r>
      <w:r w:rsidR="00ED4429">
        <w:t>F</w:t>
      </w:r>
      <w:r w:rsidR="00A16694" w:rsidRPr="006B42D6">
        <w:t xml:space="preserve">igure </w:t>
      </w:r>
      <w:r w:rsidR="002361AE" w:rsidRPr="006B42D6">
        <w:t>4.2</w:t>
      </w:r>
      <w:r w:rsidR="009048AC" w:rsidRPr="006B42D6">
        <w:t>3</w:t>
      </w:r>
      <w:r w:rsidR="00A16694" w:rsidRPr="006B42D6">
        <w:t>).</w:t>
      </w:r>
      <w:r w:rsidR="00131A0F" w:rsidRPr="006B42D6">
        <w:t xml:space="preserve"> </w:t>
      </w:r>
    </w:p>
    <w:p w14:paraId="5352341E" w14:textId="77777777" w:rsidR="00144A12" w:rsidRPr="006B42D6" w:rsidRDefault="00144A12" w:rsidP="00703973">
      <w:pPr>
        <w:spacing w:line="240" w:lineRule="auto"/>
      </w:pPr>
    </w:p>
    <w:p w14:paraId="52885B98" w14:textId="554AB34A" w:rsidR="00F54682" w:rsidRPr="006B42D6" w:rsidRDefault="00F54682" w:rsidP="00703973">
      <w:pPr>
        <w:pStyle w:val="Caption"/>
        <w:ind w:left="1140" w:right="2155" w:hanging="1140"/>
      </w:pPr>
      <w:bookmarkStart w:id="552" w:name="_Toc82386394"/>
      <w:r w:rsidRPr="006B42D6">
        <w:t>Figure 4.23</w:t>
      </w:r>
      <w:r w:rsidR="00013942">
        <w:t>:</w:t>
      </w:r>
      <w:r w:rsidR="00A80031">
        <w:tab/>
      </w:r>
      <w:r w:rsidR="00883F54" w:rsidRPr="006B42D6">
        <w:t xml:space="preserve">Trend for </w:t>
      </w:r>
      <w:r w:rsidRPr="006B42D6">
        <w:t xml:space="preserve">Improved Chicken Population </w:t>
      </w:r>
      <w:r w:rsidR="00883F54">
        <w:t xml:space="preserve">in </w:t>
      </w:r>
      <w:r w:rsidRPr="006B42D6">
        <w:t>2002/03, 2007/08 and 2019/20 Agricultural Censuses, Tanzania</w:t>
      </w:r>
      <w:bookmarkEnd w:id="552"/>
    </w:p>
    <w:p w14:paraId="69280F52" w14:textId="39B41153" w:rsidR="00A80031" w:rsidRDefault="001B26AC" w:rsidP="00013942">
      <w:pPr>
        <w:rPr>
          <w:b/>
          <w:sz w:val="20"/>
          <w:szCs w:val="20"/>
        </w:rPr>
      </w:pPr>
      <w:r w:rsidRPr="006B42D6">
        <w:rPr>
          <w:noProof/>
        </w:rPr>
        <w:drawing>
          <wp:anchor distT="0" distB="0" distL="114300" distR="114300" simplePos="0" relativeHeight="251814912" behindDoc="1" locked="0" layoutInCell="1" allowOverlap="1" wp14:anchorId="09A72726" wp14:editId="2104EA78">
            <wp:simplePos x="914400" y="2507456"/>
            <wp:positionH relativeFrom="column">
              <wp:align>left</wp:align>
            </wp:positionH>
            <wp:positionV relativeFrom="paragraph">
              <wp:align>top</wp:align>
            </wp:positionV>
            <wp:extent cx="4614863" cy="2758440"/>
            <wp:effectExtent l="0" t="0" r="8255" b="10160"/>
            <wp:wrapTight wrapText="bothSides">
              <wp:wrapPolygon edited="0">
                <wp:start x="0" y="0"/>
                <wp:lineTo x="0" y="21580"/>
                <wp:lineTo x="21579" y="21580"/>
                <wp:lineTo x="21579" y="0"/>
                <wp:lineTo x="0" y="0"/>
              </wp:wrapPolygon>
            </wp:wrapTight>
            <wp:docPr id="59" name="Chart 4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7"/>
              </a:graphicData>
            </a:graphic>
          </wp:anchor>
        </w:drawing>
      </w:r>
      <w:r w:rsidR="001C1255">
        <w:rPr>
          <w:b/>
          <w:sz w:val="20"/>
          <w:szCs w:val="20"/>
        </w:rPr>
        <w:br w:type="textWrapping" w:clear="all"/>
      </w:r>
    </w:p>
    <w:p w14:paraId="4C09756B" w14:textId="77777777" w:rsidR="00883F54" w:rsidRPr="001C1255" w:rsidRDefault="00883F54" w:rsidP="00013942">
      <w:pPr>
        <w:rPr>
          <w:b/>
          <w:sz w:val="20"/>
          <w:szCs w:val="20"/>
        </w:rPr>
      </w:pPr>
    </w:p>
    <w:p w14:paraId="2C8BEE15" w14:textId="31B9FF89" w:rsidR="00A16694" w:rsidRPr="006B42D6" w:rsidRDefault="009D1D40" w:rsidP="009D1D40">
      <w:pPr>
        <w:pStyle w:val="Heading3"/>
      </w:pPr>
      <w:bookmarkStart w:id="553" w:name="_Toc82385744"/>
      <w:r w:rsidRPr="006B42D6">
        <w:t>4.</w:t>
      </w:r>
      <w:r w:rsidR="00C4159B">
        <w:t>1</w:t>
      </w:r>
      <w:r w:rsidRPr="006B42D6">
        <w:t>.6</w:t>
      </w:r>
      <w:r w:rsidRPr="006B42D6">
        <w:tab/>
      </w:r>
      <w:r w:rsidR="00A16694" w:rsidRPr="006B42D6">
        <w:t>Other Poultry</w:t>
      </w:r>
      <w:bookmarkEnd w:id="553"/>
    </w:p>
    <w:p w14:paraId="0F396703" w14:textId="7EFAFB6C" w:rsidR="00144A12" w:rsidRPr="006B42D6" w:rsidRDefault="00A16694" w:rsidP="00A80031">
      <w:r w:rsidRPr="006B42D6">
        <w:t>Other poultry namely</w:t>
      </w:r>
      <w:r w:rsidR="00F54682" w:rsidRPr="006B42D6">
        <w:t>,</w:t>
      </w:r>
      <w:r w:rsidRPr="006B42D6">
        <w:t xml:space="preserve"> ducks, turkeys and guinea fowls were reported in the 2019/20 agriculture census, though they were kept in small number as compared to chicken. </w:t>
      </w:r>
      <w:r w:rsidR="00DB5175">
        <w:t xml:space="preserve">Among other poultry, ducks </w:t>
      </w:r>
      <w:r w:rsidR="00DB5175" w:rsidRPr="006B42D6">
        <w:t xml:space="preserve">had the highest number </w:t>
      </w:r>
      <w:r w:rsidR="00DB5175">
        <w:t>(</w:t>
      </w:r>
      <w:r w:rsidRPr="006B42D6">
        <w:t>4,355,750</w:t>
      </w:r>
      <w:r w:rsidR="00DB5175">
        <w:t>), of which</w:t>
      </w:r>
      <w:r w:rsidRPr="006B42D6">
        <w:t xml:space="preserve"> 4,229,018 </w:t>
      </w:r>
      <w:r w:rsidR="00DB5175">
        <w:t xml:space="preserve">were </w:t>
      </w:r>
      <w:r w:rsidRPr="006B42D6">
        <w:t xml:space="preserve">in </w:t>
      </w:r>
      <w:r w:rsidR="00EA1552">
        <w:rPr>
          <w:lang w:eastAsia="en-GB"/>
        </w:rPr>
        <w:t>Mainland Tanzania</w:t>
      </w:r>
      <w:r w:rsidRPr="006B42D6">
        <w:t xml:space="preserve"> and 126,732 in </w:t>
      </w:r>
      <w:r w:rsidR="00DB5175">
        <w:t xml:space="preserve">Tanzania </w:t>
      </w:r>
      <w:r w:rsidRPr="006B42D6">
        <w:t>Zanzibar</w:t>
      </w:r>
      <w:r w:rsidR="00DB5175">
        <w:t xml:space="preserve">. It was </w:t>
      </w:r>
      <w:r w:rsidRPr="006B42D6">
        <w:t xml:space="preserve">followed by </w:t>
      </w:r>
      <w:r w:rsidR="00DB5175" w:rsidRPr="006B42D6">
        <w:t xml:space="preserve">guinea fowls </w:t>
      </w:r>
      <w:r w:rsidR="00DB5175">
        <w:t>(</w:t>
      </w:r>
      <w:r w:rsidRPr="006B42D6">
        <w:t>662,177</w:t>
      </w:r>
      <w:r w:rsidR="00DB5175">
        <w:t>), of which</w:t>
      </w:r>
      <w:r w:rsidRPr="006B42D6">
        <w:t xml:space="preserve"> 643,953 </w:t>
      </w:r>
      <w:r w:rsidR="00DB5175">
        <w:t xml:space="preserve">were </w:t>
      </w:r>
      <w:r w:rsidRPr="006B42D6">
        <w:t xml:space="preserve">in </w:t>
      </w:r>
      <w:r w:rsidR="00EA1552">
        <w:rPr>
          <w:lang w:eastAsia="en-GB"/>
        </w:rPr>
        <w:t>Mainland Tanzania</w:t>
      </w:r>
      <w:r w:rsidRPr="006B42D6">
        <w:t xml:space="preserve"> and 18,224 in </w:t>
      </w:r>
      <w:r w:rsidR="000D4D71" w:rsidRPr="006B42D6">
        <w:rPr>
          <w:lang w:eastAsia="en-GB"/>
        </w:rPr>
        <w:t xml:space="preserve">Tanzania </w:t>
      </w:r>
      <w:r w:rsidRPr="006B42D6">
        <w:t xml:space="preserve">Zanzibar and 86,859 turkey (83,831 in </w:t>
      </w:r>
      <w:r w:rsidR="00EA1552">
        <w:rPr>
          <w:lang w:eastAsia="en-GB"/>
        </w:rPr>
        <w:t>Mainland Tanzania</w:t>
      </w:r>
      <w:r w:rsidRPr="006B42D6">
        <w:t xml:space="preserve"> and 3,028 in </w:t>
      </w:r>
      <w:r w:rsidR="000D4D71" w:rsidRPr="006B42D6">
        <w:rPr>
          <w:lang w:eastAsia="en-GB"/>
        </w:rPr>
        <w:t xml:space="preserve">Tanzania </w:t>
      </w:r>
      <w:r w:rsidRPr="006B42D6">
        <w:t xml:space="preserve">Zanzibar) (Figure </w:t>
      </w:r>
      <w:r w:rsidR="002361AE" w:rsidRPr="006B42D6">
        <w:t>4.2</w:t>
      </w:r>
      <w:r w:rsidR="004D36F8" w:rsidRPr="006B42D6">
        <w:t>4</w:t>
      </w:r>
      <w:r w:rsidRPr="006B42D6">
        <w:t xml:space="preserve"> </w:t>
      </w:r>
      <w:r w:rsidR="00DB5175">
        <w:t>&amp;</w:t>
      </w:r>
      <w:r w:rsidRPr="006B42D6">
        <w:t xml:space="preserve"> </w:t>
      </w:r>
      <w:r w:rsidR="002361AE" w:rsidRPr="006B42D6">
        <w:t>4.2</w:t>
      </w:r>
      <w:r w:rsidR="004D36F8" w:rsidRPr="006B42D6">
        <w:t>5</w:t>
      </w:r>
      <w:r w:rsidRPr="006B42D6">
        <w:t xml:space="preserve">). </w:t>
      </w:r>
    </w:p>
    <w:p w14:paraId="7B71CFCF" w14:textId="08A5ED11" w:rsidR="00A16694" w:rsidRPr="006B42D6" w:rsidRDefault="00883F54" w:rsidP="001B7403">
      <w:r>
        <w:rPr>
          <w:noProof/>
        </w:rPr>
        <w:lastRenderedPageBreak/>
        <mc:AlternateContent>
          <mc:Choice Requires="wps">
            <w:drawing>
              <wp:anchor distT="0" distB="0" distL="114300" distR="114300" simplePos="0" relativeHeight="251625472" behindDoc="0" locked="0" layoutInCell="1" allowOverlap="1" wp14:anchorId="3F84F912" wp14:editId="481EA047">
                <wp:simplePos x="0" y="0"/>
                <wp:positionH relativeFrom="column">
                  <wp:posOffset>85725</wp:posOffset>
                </wp:positionH>
                <wp:positionV relativeFrom="paragraph">
                  <wp:posOffset>121285</wp:posOffset>
                </wp:positionV>
                <wp:extent cx="2914650" cy="530225"/>
                <wp:effectExtent l="0" t="0" r="6350" b="3175"/>
                <wp:wrapTight wrapText="bothSides">
                  <wp:wrapPolygon edited="0">
                    <wp:start x="0" y="0"/>
                    <wp:lineTo x="0" y="21212"/>
                    <wp:lineTo x="21553" y="21212"/>
                    <wp:lineTo x="21553" y="0"/>
                    <wp:lineTo x="0" y="0"/>
                  </wp:wrapPolygon>
                </wp:wrapTight>
                <wp:docPr id="572" name="Text Box 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650" cy="530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EA6DB9" w14:textId="3F2E65AF" w:rsidR="00933456" w:rsidRPr="00F56073" w:rsidRDefault="00933456" w:rsidP="00EB71E9">
                            <w:pPr>
                              <w:pStyle w:val="Caption"/>
                              <w:rPr>
                                <w:b w:val="0"/>
                                <w:i/>
                                <w:noProof/>
                                <w:sz w:val="22"/>
                                <w:szCs w:val="22"/>
                              </w:rPr>
                            </w:pPr>
                            <w:bookmarkStart w:id="554" w:name="_Toc80120296"/>
                            <w:bookmarkStart w:id="555" w:name="_Toc80884173"/>
                            <w:bookmarkStart w:id="556" w:name="_Toc80884544"/>
                            <w:bookmarkStart w:id="557" w:name="_Toc82386395"/>
                            <w:r w:rsidRPr="00F56073">
                              <w:t>Figure 4.24:</w:t>
                            </w:r>
                            <w:r>
                              <w:tab/>
                              <w:t xml:space="preserve">Percentage Distribution of </w:t>
                            </w:r>
                            <w:r w:rsidRPr="00F56073">
                              <w:t>Other Poultry Population as of 1</w:t>
                            </w:r>
                            <w:r w:rsidRPr="00F56073">
                              <w:rPr>
                                <w:vertAlign w:val="superscript"/>
                              </w:rPr>
                              <w:t>st</w:t>
                            </w:r>
                            <w:r w:rsidRPr="00F56073">
                              <w:t xml:space="preserve"> August 2020, </w:t>
                            </w:r>
                            <w:r>
                              <w:t>Mainland Tanzania</w:t>
                            </w:r>
                            <w:bookmarkEnd w:id="554"/>
                            <w:bookmarkEnd w:id="555"/>
                            <w:bookmarkEnd w:id="556"/>
                            <w:bookmarkEnd w:id="557"/>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84F912" id="Text Box 558" o:spid="_x0000_s1089" type="#_x0000_t202" style="position:absolute;left:0;text-align:left;margin-left:6.75pt;margin-top:9.55pt;width:229.5pt;height:41.7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" stroked="f">
                <v:textbox inset="0,0,0,0">
                  <w:txbxContent>
                    <w:p w14:paraId="09EA6DB9" w14:textId="3F2E65AF" w:rsidR="00933456" w:rsidRPr="00F56073" w:rsidRDefault="00933456" w:rsidP="00EB71E9">
                      <w:pPr>
                        <w:pStyle w:val="Caption"/>
                        <w:rPr>
                          <w:b w:val="0"/>
                          <w:i/>
                          <w:noProof/>
                          <w:sz w:val="22"/>
                          <w:szCs w:val="22"/>
                        </w:rPr>
                      </w:pPr>
                      <w:bookmarkStart w:id="783" w:name="_Toc80120296"/>
                      <w:bookmarkStart w:id="784" w:name="_Toc80884173"/>
                      <w:bookmarkStart w:id="785" w:name="_Toc80884544"/>
                      <w:bookmarkStart w:id="786" w:name="_Toc82386395"/>
                      <w:r w:rsidRPr="00F56073">
                        <w:t>Figure 4.24:</w:t>
                      </w:r>
                      <w:r>
                        <w:tab/>
                        <w:t xml:space="preserve">Percentage Distribution of </w:t>
                      </w:r>
                      <w:r w:rsidRPr="00F56073">
                        <w:t>Other Poultry Population as of 1</w:t>
                      </w:r>
                      <w:r w:rsidRPr="00F56073">
                        <w:rPr>
                          <w:vertAlign w:val="superscript"/>
                        </w:rPr>
                        <w:t>st</w:t>
                      </w:r>
                      <w:r w:rsidRPr="00F56073">
                        <w:t xml:space="preserve"> August 2020, </w:t>
                      </w:r>
                      <w:r>
                        <w:t>Mainland Tanzania</w:t>
                      </w:r>
                      <w:bookmarkEnd w:id="783"/>
                      <w:bookmarkEnd w:id="784"/>
                      <w:bookmarkEnd w:id="785"/>
                      <w:bookmarkEnd w:id="786"/>
                    </w:p>
                  </w:txbxContent>
                </v:textbox>
                <w10:wrap type="tight"/>
              </v:shape>
            </w:pict>
          </mc:Fallback>
        </mc:AlternateContent>
      </w:r>
      <w:r w:rsidR="00703973">
        <w:rPr>
          <w:noProof/>
        </w:rPr>
        <mc:AlternateContent>
          <mc:Choice Requires="wps">
            <w:drawing>
              <wp:anchor distT="0" distB="0" distL="114300" distR="114300" simplePos="0" relativeHeight="251626496" behindDoc="0" locked="0" layoutInCell="1" allowOverlap="1" wp14:anchorId="4259AC42" wp14:editId="5A34A2E4">
                <wp:simplePos x="0" y="0"/>
                <wp:positionH relativeFrom="column">
                  <wp:posOffset>3000375</wp:posOffset>
                </wp:positionH>
                <wp:positionV relativeFrom="paragraph">
                  <wp:posOffset>170180</wp:posOffset>
                </wp:positionV>
                <wp:extent cx="2851150" cy="480695"/>
                <wp:effectExtent l="0" t="0" r="6350" b="1905"/>
                <wp:wrapTight wrapText="bothSides">
                  <wp:wrapPolygon edited="0">
                    <wp:start x="0" y="0"/>
                    <wp:lineTo x="0" y="21115"/>
                    <wp:lineTo x="21552" y="21115"/>
                    <wp:lineTo x="21552" y="0"/>
                    <wp:lineTo x="0" y="0"/>
                  </wp:wrapPolygon>
                </wp:wrapTight>
                <wp:docPr id="573" name="Text Box 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1150" cy="4806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0ADA88" w14:textId="0C0957BA" w:rsidR="00933456" w:rsidRPr="00F56073" w:rsidRDefault="00933456" w:rsidP="00EB71E9">
                            <w:pPr>
                              <w:pStyle w:val="Caption"/>
                              <w:rPr>
                                <w:b w:val="0"/>
                                <w:i/>
                                <w:noProof/>
                                <w:sz w:val="22"/>
                                <w:szCs w:val="22"/>
                              </w:rPr>
                            </w:pPr>
                            <w:bookmarkStart w:id="558" w:name="_Toc80120297"/>
                            <w:bookmarkStart w:id="559" w:name="_Toc80884172"/>
                            <w:bookmarkStart w:id="560" w:name="_Toc80884543"/>
                            <w:bookmarkStart w:id="561" w:name="_Toc82386396"/>
                            <w:r w:rsidRPr="00F56073">
                              <w:t>Figure 4.25:</w:t>
                            </w:r>
                            <w:r>
                              <w:tab/>
                              <w:t xml:space="preserve">Percentage Distribution of </w:t>
                            </w:r>
                            <w:r w:rsidRPr="00F56073">
                              <w:t>Other Poultry Population as of 1</w:t>
                            </w:r>
                            <w:r w:rsidRPr="00F56073">
                              <w:rPr>
                                <w:vertAlign w:val="superscript"/>
                              </w:rPr>
                              <w:t>st</w:t>
                            </w:r>
                            <w:r w:rsidRPr="00F56073">
                              <w:t xml:space="preserve"> August 2020, Tanzania Zanzibar</w:t>
                            </w:r>
                            <w:bookmarkEnd w:id="558"/>
                            <w:bookmarkEnd w:id="559"/>
                            <w:bookmarkEnd w:id="560"/>
                            <w:bookmarkEnd w:id="561"/>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59AC42" id="_x0000_s1090" type="#_x0000_t202" style="position:absolute;left:0;text-align:left;margin-left:236.25pt;margin-top:13.4pt;width:224.5pt;height:37.8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" stroked="f">
                <v:textbox inset="0,0,0,0">
                  <w:txbxContent>
                    <w:p w14:paraId="740ADA88" w14:textId="0C0957BA" w:rsidR="00933456" w:rsidRPr="00F56073" w:rsidRDefault="00933456" w:rsidP="00EB71E9">
                      <w:pPr>
                        <w:pStyle w:val="Caption"/>
                        <w:rPr>
                          <w:b w:val="0"/>
                          <w:i/>
                          <w:noProof/>
                          <w:sz w:val="22"/>
                          <w:szCs w:val="22"/>
                        </w:rPr>
                      </w:pPr>
                      <w:bookmarkStart w:id="791" w:name="_Toc80120297"/>
                      <w:bookmarkStart w:id="792" w:name="_Toc80884172"/>
                      <w:bookmarkStart w:id="793" w:name="_Toc80884543"/>
                      <w:bookmarkStart w:id="794" w:name="_Toc82386396"/>
                      <w:r w:rsidRPr="00F56073">
                        <w:t>Figure 4.25:</w:t>
                      </w:r>
                      <w:r>
                        <w:tab/>
                        <w:t xml:space="preserve">Percentage Distribution of </w:t>
                      </w:r>
                      <w:r w:rsidRPr="00F56073">
                        <w:t>Other Poultry Population as of 1</w:t>
                      </w:r>
                      <w:r w:rsidRPr="00F56073">
                        <w:rPr>
                          <w:vertAlign w:val="superscript"/>
                        </w:rPr>
                        <w:t>st</w:t>
                      </w:r>
                      <w:r w:rsidRPr="00F56073">
                        <w:t xml:space="preserve"> August 2020, Tanzania Zanzibar</w:t>
                      </w:r>
                      <w:bookmarkEnd w:id="791"/>
                      <w:bookmarkEnd w:id="792"/>
                      <w:bookmarkEnd w:id="793"/>
                      <w:bookmarkEnd w:id="794"/>
                    </w:p>
                  </w:txbxContent>
                </v:textbox>
                <w10:wrap type="tight"/>
              </v:shape>
            </w:pict>
          </mc:Fallback>
        </mc:AlternateContent>
      </w:r>
      <w:r w:rsidR="00703973">
        <w:rPr>
          <w:noProof/>
        </w:rPr>
        <w:drawing>
          <wp:anchor distT="0" distB="0" distL="114300" distR="114300" simplePos="0" relativeHeight="251756544" behindDoc="1" locked="0" layoutInCell="1" allowOverlap="1" wp14:anchorId="5E55AEC7" wp14:editId="3059F8AB">
            <wp:simplePos x="0" y="0"/>
            <wp:positionH relativeFrom="column">
              <wp:posOffset>2961005</wp:posOffset>
            </wp:positionH>
            <wp:positionV relativeFrom="paragraph">
              <wp:posOffset>761365</wp:posOffset>
            </wp:positionV>
            <wp:extent cx="2892425" cy="2172970"/>
            <wp:effectExtent l="0" t="0" r="15875" b="11430"/>
            <wp:wrapTight wrapText="bothSides">
              <wp:wrapPolygon edited="0">
                <wp:start x="0" y="0"/>
                <wp:lineTo x="0" y="21587"/>
                <wp:lineTo x="21624" y="21587"/>
                <wp:lineTo x="21624" y="0"/>
                <wp:lineTo x="0" y="0"/>
              </wp:wrapPolygon>
            </wp:wrapTight>
            <wp:docPr id="570" name="Chart 5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8"/>
              </a:graphicData>
            </a:graphic>
            <wp14:sizeRelH relativeFrom="page">
              <wp14:pctWidth>0</wp14:pctWidth>
            </wp14:sizeRelH>
            <wp14:sizeRelV relativeFrom="page">
              <wp14:pctHeight>0</wp14:pctHeight>
            </wp14:sizeRelV>
          </wp:anchor>
        </w:drawing>
      </w:r>
      <w:r w:rsidR="00703973">
        <w:rPr>
          <w:noProof/>
        </w:rPr>
        <w:drawing>
          <wp:anchor distT="0" distB="0" distL="114300" distR="114300" simplePos="0" relativeHeight="251755520" behindDoc="0" locked="0" layoutInCell="1" allowOverlap="1" wp14:anchorId="1E6A6215" wp14:editId="54FA61A0">
            <wp:simplePos x="0" y="0"/>
            <wp:positionH relativeFrom="column">
              <wp:posOffset>36195</wp:posOffset>
            </wp:positionH>
            <wp:positionV relativeFrom="paragraph">
              <wp:posOffset>761365</wp:posOffset>
            </wp:positionV>
            <wp:extent cx="2877820" cy="2172970"/>
            <wp:effectExtent l="0" t="0" r="17780" b="11430"/>
            <wp:wrapTight wrapText="bothSides">
              <wp:wrapPolygon edited="0">
                <wp:start x="0" y="0"/>
                <wp:lineTo x="0" y="21587"/>
                <wp:lineTo x="21638" y="21587"/>
                <wp:lineTo x="21638" y="0"/>
                <wp:lineTo x="0" y="0"/>
              </wp:wrapPolygon>
            </wp:wrapTight>
            <wp:docPr id="571" name="Chart 5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9"/>
              </a:graphicData>
            </a:graphic>
            <wp14:sizeRelH relativeFrom="margin">
              <wp14:pctWidth>0</wp14:pctWidth>
            </wp14:sizeRelH>
            <wp14:sizeRelV relativeFrom="margin">
              <wp14:pctHeight>0</wp14:pctHeight>
            </wp14:sizeRelV>
          </wp:anchor>
        </w:drawing>
      </w:r>
    </w:p>
    <w:p w14:paraId="583E1F73" w14:textId="46707A3A" w:rsidR="00A16694" w:rsidRPr="006B42D6" w:rsidRDefault="00A16694" w:rsidP="00A16694">
      <w:r w:rsidRPr="006B42D6">
        <w:t xml:space="preserve">In </w:t>
      </w:r>
      <w:r w:rsidR="00EA1552">
        <w:rPr>
          <w:lang w:eastAsia="en-GB"/>
        </w:rPr>
        <w:t>Mainland Tanzania</w:t>
      </w:r>
      <w:r w:rsidRPr="006B42D6">
        <w:t xml:space="preserve">, Dar es </w:t>
      </w:r>
      <w:r w:rsidR="004D36F8" w:rsidRPr="006B42D6">
        <w:t>S</w:t>
      </w:r>
      <w:r w:rsidRPr="006B42D6">
        <w:t>alaam region had largest population of ducks (555,437; 13.1 percent), followed by Tabora (320,087; 7.6 percent)</w:t>
      </w:r>
      <w:r w:rsidR="004D36F8" w:rsidRPr="006B42D6">
        <w:t>,</w:t>
      </w:r>
      <w:r w:rsidRPr="006B42D6">
        <w:t xml:space="preserve"> while the least number was reported in Njombe (15,881; 0.4 percent). Turkey </w:t>
      </w:r>
      <w:r w:rsidR="00DB5175">
        <w:t>were</w:t>
      </w:r>
      <w:r w:rsidRPr="006B42D6">
        <w:t xml:space="preserve"> mostly r</w:t>
      </w:r>
      <w:r w:rsidR="004D36F8" w:rsidRPr="006B42D6">
        <w:t>aised</w:t>
      </w:r>
      <w:r w:rsidRPr="006B42D6">
        <w:t xml:space="preserve"> in Dar es </w:t>
      </w:r>
      <w:r w:rsidR="001466AA">
        <w:t>S</w:t>
      </w:r>
      <w:r w:rsidRPr="006B42D6">
        <w:t>alaam (24,703; 29.5 percent)</w:t>
      </w:r>
      <w:r w:rsidR="004D36F8" w:rsidRPr="006B42D6">
        <w:t>,</w:t>
      </w:r>
      <w:r w:rsidRPr="006B42D6">
        <w:t xml:space="preserve"> followed by Mtwara (9,224; 11.0 percent) and Kilimanjaro (7,778; 9.3 percent)</w:t>
      </w:r>
      <w:r w:rsidR="004D36F8" w:rsidRPr="006B42D6">
        <w:t>,</w:t>
      </w:r>
      <w:r w:rsidRPr="006B42D6">
        <w:t xml:space="preserve"> while the least number was reported in Mara region (262; 0.3 percent). The largest number of guinea fowls was reported in Dodoma region (130,720; 20.3 percent), followed</w:t>
      </w:r>
      <w:r w:rsidR="004D36F8" w:rsidRPr="006B42D6">
        <w:t xml:space="preserve"> Rukwa (65,811; 10.2 percent)</w:t>
      </w:r>
      <w:r w:rsidRPr="006B42D6">
        <w:t xml:space="preserve"> </w:t>
      </w:r>
      <w:r w:rsidR="004D36F8" w:rsidRPr="006B42D6">
        <w:t xml:space="preserve">and </w:t>
      </w:r>
      <w:r w:rsidRPr="006B42D6">
        <w:t>Singida (65</w:t>
      </w:r>
      <w:r w:rsidR="004D36F8" w:rsidRPr="006B42D6">
        <w:t>,</w:t>
      </w:r>
      <w:r w:rsidRPr="006B42D6">
        <w:t>687; 10.2 percent)</w:t>
      </w:r>
      <w:r w:rsidR="004D36F8" w:rsidRPr="006B42D6">
        <w:t>. The</w:t>
      </w:r>
      <w:r w:rsidRPr="006B42D6">
        <w:t xml:space="preserve"> least number </w:t>
      </w:r>
      <w:r w:rsidR="00DB5175">
        <w:t xml:space="preserve">of </w:t>
      </w:r>
      <w:r w:rsidR="004D36F8" w:rsidRPr="006B42D6">
        <w:t xml:space="preserve">guinea fowls </w:t>
      </w:r>
      <w:r w:rsidRPr="006B42D6">
        <w:t xml:space="preserve">was reported in Dar es </w:t>
      </w:r>
      <w:r w:rsidR="00F54682" w:rsidRPr="006B42D6">
        <w:t>S</w:t>
      </w:r>
      <w:r w:rsidRPr="006B42D6">
        <w:t>alaam (3,303; 0.5 percent)</w:t>
      </w:r>
      <w:r w:rsidR="00F54682" w:rsidRPr="006B42D6">
        <w:t xml:space="preserve"> (Table 4.8).</w:t>
      </w:r>
    </w:p>
    <w:p w14:paraId="6249644E" w14:textId="42D613F0" w:rsidR="00A16694" w:rsidRPr="006B42D6" w:rsidRDefault="00A16694" w:rsidP="00013942">
      <w:pPr>
        <w:spacing w:line="240" w:lineRule="auto"/>
      </w:pPr>
    </w:p>
    <w:p w14:paraId="3499E2E5" w14:textId="739A1D6E" w:rsidR="00A16694" w:rsidRPr="006B42D6" w:rsidRDefault="00A16694" w:rsidP="00A16694">
      <w:r w:rsidRPr="006B42D6">
        <w:t xml:space="preserve">In </w:t>
      </w:r>
      <w:r w:rsidR="000D4D71" w:rsidRPr="006B42D6">
        <w:rPr>
          <w:lang w:eastAsia="en-GB"/>
        </w:rPr>
        <w:t xml:space="preserve">Tanzania </w:t>
      </w:r>
      <w:r w:rsidRPr="00167924">
        <w:t>Zanzibar, Mjini Magharibi region had largest population of ducks (43,304; 34.2 percent), followed by Kusini Pemba (36,858; 29.1 percent) and Kaskazini Unguja (28,368; 22.4 percent)</w:t>
      </w:r>
      <w:r w:rsidR="004D36F8" w:rsidRPr="00167924">
        <w:t>,</w:t>
      </w:r>
      <w:r w:rsidRPr="00167924">
        <w:t xml:space="preserve"> while the least number was reported in Kaskazini Pemba (5,939; 4.7 percent). Turkey </w:t>
      </w:r>
      <w:r w:rsidR="00DB5175">
        <w:t>were</w:t>
      </w:r>
      <w:r w:rsidRPr="00167924">
        <w:t xml:space="preserve"> mostly r</w:t>
      </w:r>
      <w:r w:rsidR="004D36F8" w:rsidRPr="00167924">
        <w:t>aised</w:t>
      </w:r>
      <w:r w:rsidRPr="00167924">
        <w:t xml:space="preserve"> in Kusini Pemba (1,869; 61.7 percent)</w:t>
      </w:r>
      <w:r w:rsidR="009D385F" w:rsidRPr="00167924">
        <w:t>,</w:t>
      </w:r>
      <w:r w:rsidRPr="00167924">
        <w:t xml:space="preserve"> followed by Mjini Magharibi (1,050; 34.7 percent)</w:t>
      </w:r>
      <w:r w:rsidR="009D385F" w:rsidRPr="00167924">
        <w:t>,</w:t>
      </w:r>
      <w:r w:rsidRPr="00167924">
        <w:t xml:space="preserve"> while the least number was reported in Kusini Unguja region (109; 3.6 percent). The largest number of guinea fowls was in Kusini Pemba region (8,465; 46.4 percent), followed by Mjini Magharibi (6,281; 34.5 percent) and the least number was reported in Kaskazini Unguja (1,361; 7.5 percent) </w:t>
      </w:r>
      <w:bookmarkStart w:id="562" w:name="_Hlk79132460"/>
      <w:r w:rsidRPr="00167924">
        <w:t xml:space="preserve">(Table </w:t>
      </w:r>
      <w:r w:rsidR="002361AE" w:rsidRPr="00167924">
        <w:t>4.</w:t>
      </w:r>
      <w:r w:rsidR="00167924" w:rsidRPr="00167924">
        <w:t>8</w:t>
      </w:r>
      <w:r w:rsidRPr="00167924">
        <w:t>).</w:t>
      </w:r>
      <w:bookmarkEnd w:id="562"/>
    </w:p>
    <w:p w14:paraId="68A481B0" w14:textId="5B8430E2" w:rsidR="00F56073" w:rsidRPr="006B42D6" w:rsidRDefault="00F56073">
      <w:pPr>
        <w:rPr>
          <w:b/>
          <w:lang w:val="en-GB"/>
        </w:rPr>
      </w:pPr>
      <w:r w:rsidRPr="006B42D6">
        <w:rPr>
          <w:b/>
          <w:lang w:val="en-GB"/>
        </w:rPr>
        <w:br w:type="page"/>
      </w:r>
    </w:p>
    <w:p w14:paraId="05C703FE" w14:textId="3B4A4F98" w:rsidR="00A16694" w:rsidRPr="006B42D6" w:rsidRDefault="00A16694" w:rsidP="00DB5175">
      <w:pPr>
        <w:pStyle w:val="Heading7"/>
        <w:ind w:right="340"/>
        <w:rPr>
          <w:lang w:val="en-GB"/>
        </w:rPr>
      </w:pPr>
      <w:bookmarkStart w:id="563" w:name="_Toc82386216"/>
      <w:r w:rsidRPr="006B42D6">
        <w:rPr>
          <w:lang w:val="en-GB"/>
        </w:rPr>
        <w:lastRenderedPageBreak/>
        <w:t>Table</w:t>
      </w:r>
      <w:r w:rsidR="002361AE" w:rsidRPr="006B42D6">
        <w:rPr>
          <w:lang w:val="en-GB"/>
        </w:rPr>
        <w:t xml:space="preserve"> 4.</w:t>
      </w:r>
      <w:r w:rsidR="00F54682" w:rsidRPr="006B42D6">
        <w:rPr>
          <w:lang w:val="en-GB"/>
        </w:rPr>
        <w:t>8</w:t>
      </w:r>
      <w:r w:rsidR="00013942">
        <w:rPr>
          <w:lang w:val="en-GB"/>
        </w:rPr>
        <w:t>:</w:t>
      </w:r>
      <w:r w:rsidR="00167924">
        <w:rPr>
          <w:lang w:val="en-GB"/>
        </w:rPr>
        <w:tab/>
      </w:r>
      <w:r w:rsidRPr="006B42D6">
        <w:rPr>
          <w:lang w:val="en-GB"/>
        </w:rPr>
        <w:t>Number and Percentage of Other Poultry by Region</w:t>
      </w:r>
      <w:r w:rsidR="00F54682" w:rsidRPr="006B42D6">
        <w:rPr>
          <w:lang w:val="en-GB"/>
        </w:rPr>
        <w:t xml:space="preserve"> as of 1</w:t>
      </w:r>
      <w:r w:rsidR="00F54682" w:rsidRPr="006B42D6">
        <w:rPr>
          <w:vertAlign w:val="superscript"/>
          <w:lang w:val="en-GB"/>
        </w:rPr>
        <w:t>st</w:t>
      </w:r>
      <w:r w:rsidR="00F54682" w:rsidRPr="006B42D6">
        <w:rPr>
          <w:lang w:val="en-GB"/>
        </w:rPr>
        <w:t xml:space="preserve"> August 2020, Tanzania</w:t>
      </w:r>
      <w:bookmarkEnd w:id="563"/>
    </w:p>
    <w:tbl>
      <w:tblPr>
        <w:tblW w:w="5000" w:type="pct"/>
        <w:tblLook w:val="04A0" w:firstRow="1" w:lastRow="0" w:firstColumn="1" w:lastColumn="0" w:noHBand="0" w:noVBand="1"/>
      </w:tblPr>
      <w:tblGrid>
        <w:gridCol w:w="1824"/>
        <w:gridCol w:w="1267"/>
        <w:gridCol w:w="1162"/>
        <w:gridCol w:w="1267"/>
        <w:gridCol w:w="1108"/>
        <w:gridCol w:w="1611"/>
        <w:gridCol w:w="997"/>
      </w:tblGrid>
      <w:tr w:rsidR="006B42D6" w:rsidRPr="006B42D6" w14:paraId="62CD417E" w14:textId="77777777" w:rsidTr="00DB5175">
        <w:trPr>
          <w:trHeight w:val="283"/>
        </w:trPr>
        <w:tc>
          <w:tcPr>
            <w:tcW w:w="987" w:type="pct"/>
            <w:tcBorders>
              <w:top w:val="single" w:sz="4" w:space="0" w:color="auto"/>
              <w:left w:val="nil"/>
              <w:bottom w:val="single" w:sz="4" w:space="0" w:color="auto"/>
              <w:right w:val="nil"/>
            </w:tcBorders>
            <w:shd w:val="clear" w:color="auto" w:fill="E2EFD9" w:themeFill="accent6" w:themeFillTint="33"/>
            <w:noWrap/>
            <w:vAlign w:val="bottom"/>
            <w:hideMark/>
          </w:tcPr>
          <w:p w14:paraId="3EF0DA9A" w14:textId="77777777" w:rsidR="00A16694" w:rsidRPr="004D1168" w:rsidRDefault="00A16694" w:rsidP="00A16694">
            <w:pPr>
              <w:rPr>
                <w:sz w:val="16"/>
                <w:szCs w:val="16"/>
              </w:rPr>
            </w:pPr>
            <w:r w:rsidRPr="004D1168">
              <w:rPr>
                <w:sz w:val="16"/>
                <w:szCs w:val="16"/>
              </w:rPr>
              <w:t>Region</w:t>
            </w:r>
          </w:p>
        </w:tc>
        <w:tc>
          <w:tcPr>
            <w:tcW w:w="686" w:type="pct"/>
            <w:tcBorders>
              <w:top w:val="single" w:sz="4" w:space="0" w:color="auto"/>
              <w:left w:val="nil"/>
              <w:bottom w:val="single" w:sz="4" w:space="0" w:color="auto"/>
              <w:right w:val="nil"/>
            </w:tcBorders>
            <w:shd w:val="clear" w:color="auto" w:fill="E2EFD9" w:themeFill="accent6" w:themeFillTint="33"/>
            <w:noWrap/>
            <w:vAlign w:val="bottom"/>
            <w:hideMark/>
          </w:tcPr>
          <w:p w14:paraId="38FF09AE" w14:textId="77777777" w:rsidR="00A16694" w:rsidRPr="004D1168" w:rsidRDefault="00A16694" w:rsidP="00A16694">
            <w:pPr>
              <w:jc w:val="center"/>
              <w:rPr>
                <w:sz w:val="16"/>
                <w:szCs w:val="16"/>
              </w:rPr>
            </w:pPr>
            <w:r w:rsidRPr="004D1168">
              <w:rPr>
                <w:sz w:val="16"/>
                <w:szCs w:val="16"/>
              </w:rPr>
              <w:t>Ducks</w:t>
            </w:r>
          </w:p>
        </w:tc>
        <w:tc>
          <w:tcPr>
            <w:tcW w:w="629" w:type="pct"/>
            <w:tcBorders>
              <w:top w:val="single" w:sz="4" w:space="0" w:color="auto"/>
              <w:left w:val="nil"/>
              <w:bottom w:val="single" w:sz="4" w:space="0" w:color="auto"/>
              <w:right w:val="nil"/>
            </w:tcBorders>
            <w:shd w:val="clear" w:color="auto" w:fill="E2EFD9" w:themeFill="accent6" w:themeFillTint="33"/>
            <w:noWrap/>
            <w:vAlign w:val="bottom"/>
            <w:hideMark/>
          </w:tcPr>
          <w:p w14:paraId="2B2339D8" w14:textId="77777777" w:rsidR="00A16694" w:rsidRPr="004D1168" w:rsidRDefault="00A16694" w:rsidP="00A16694">
            <w:pPr>
              <w:jc w:val="center"/>
              <w:rPr>
                <w:sz w:val="16"/>
                <w:szCs w:val="16"/>
              </w:rPr>
            </w:pPr>
            <w:r w:rsidRPr="004D1168">
              <w:rPr>
                <w:sz w:val="16"/>
                <w:szCs w:val="16"/>
              </w:rPr>
              <w:t>Percent</w:t>
            </w:r>
          </w:p>
        </w:tc>
        <w:tc>
          <w:tcPr>
            <w:tcW w:w="686" w:type="pct"/>
            <w:tcBorders>
              <w:top w:val="single" w:sz="4" w:space="0" w:color="auto"/>
              <w:left w:val="nil"/>
              <w:bottom w:val="single" w:sz="4" w:space="0" w:color="auto"/>
              <w:right w:val="nil"/>
            </w:tcBorders>
            <w:shd w:val="clear" w:color="auto" w:fill="E2EFD9" w:themeFill="accent6" w:themeFillTint="33"/>
            <w:noWrap/>
            <w:vAlign w:val="bottom"/>
            <w:hideMark/>
          </w:tcPr>
          <w:p w14:paraId="016EE0F3" w14:textId="77777777" w:rsidR="00A16694" w:rsidRPr="004D1168" w:rsidRDefault="00A16694" w:rsidP="00A16694">
            <w:pPr>
              <w:jc w:val="center"/>
              <w:rPr>
                <w:sz w:val="16"/>
                <w:szCs w:val="16"/>
              </w:rPr>
            </w:pPr>
            <w:r w:rsidRPr="004D1168">
              <w:rPr>
                <w:sz w:val="16"/>
                <w:szCs w:val="16"/>
              </w:rPr>
              <w:t>Turkey</w:t>
            </w:r>
          </w:p>
        </w:tc>
        <w:tc>
          <w:tcPr>
            <w:tcW w:w="600" w:type="pct"/>
            <w:tcBorders>
              <w:top w:val="single" w:sz="4" w:space="0" w:color="auto"/>
              <w:left w:val="nil"/>
              <w:bottom w:val="single" w:sz="4" w:space="0" w:color="auto"/>
              <w:right w:val="nil"/>
            </w:tcBorders>
            <w:shd w:val="clear" w:color="auto" w:fill="E2EFD9" w:themeFill="accent6" w:themeFillTint="33"/>
            <w:noWrap/>
            <w:vAlign w:val="bottom"/>
            <w:hideMark/>
          </w:tcPr>
          <w:p w14:paraId="15B876B6" w14:textId="77777777" w:rsidR="00A16694" w:rsidRPr="004D1168" w:rsidRDefault="00A16694" w:rsidP="00A16694">
            <w:pPr>
              <w:jc w:val="center"/>
              <w:rPr>
                <w:sz w:val="16"/>
                <w:szCs w:val="16"/>
              </w:rPr>
            </w:pPr>
            <w:r w:rsidRPr="004D1168">
              <w:rPr>
                <w:sz w:val="16"/>
                <w:szCs w:val="16"/>
              </w:rPr>
              <w:t>Percent</w:t>
            </w:r>
          </w:p>
        </w:tc>
        <w:tc>
          <w:tcPr>
            <w:tcW w:w="872" w:type="pct"/>
            <w:tcBorders>
              <w:top w:val="single" w:sz="4" w:space="0" w:color="auto"/>
              <w:left w:val="nil"/>
              <w:bottom w:val="single" w:sz="4" w:space="0" w:color="auto"/>
              <w:right w:val="nil"/>
            </w:tcBorders>
            <w:shd w:val="clear" w:color="auto" w:fill="E2EFD9" w:themeFill="accent6" w:themeFillTint="33"/>
            <w:noWrap/>
            <w:vAlign w:val="bottom"/>
            <w:hideMark/>
          </w:tcPr>
          <w:p w14:paraId="60AEF2F1" w14:textId="77777777" w:rsidR="00A16694" w:rsidRPr="004D1168" w:rsidRDefault="00A16694" w:rsidP="00A16694">
            <w:pPr>
              <w:jc w:val="center"/>
              <w:rPr>
                <w:sz w:val="16"/>
                <w:szCs w:val="16"/>
              </w:rPr>
            </w:pPr>
            <w:r w:rsidRPr="004D1168">
              <w:rPr>
                <w:sz w:val="16"/>
                <w:szCs w:val="16"/>
              </w:rPr>
              <w:t>Guinea Fowls</w:t>
            </w:r>
          </w:p>
        </w:tc>
        <w:tc>
          <w:tcPr>
            <w:tcW w:w="540" w:type="pct"/>
            <w:tcBorders>
              <w:top w:val="single" w:sz="4" w:space="0" w:color="auto"/>
              <w:left w:val="nil"/>
              <w:bottom w:val="single" w:sz="4" w:space="0" w:color="auto"/>
              <w:right w:val="nil"/>
            </w:tcBorders>
            <w:shd w:val="clear" w:color="auto" w:fill="E2EFD9" w:themeFill="accent6" w:themeFillTint="33"/>
            <w:noWrap/>
            <w:vAlign w:val="bottom"/>
            <w:hideMark/>
          </w:tcPr>
          <w:p w14:paraId="32AAF030" w14:textId="77777777" w:rsidR="00A16694" w:rsidRPr="004D1168" w:rsidRDefault="00A16694" w:rsidP="00A16694">
            <w:pPr>
              <w:jc w:val="center"/>
              <w:rPr>
                <w:sz w:val="16"/>
                <w:szCs w:val="16"/>
              </w:rPr>
            </w:pPr>
            <w:r w:rsidRPr="004D1168">
              <w:rPr>
                <w:sz w:val="16"/>
                <w:szCs w:val="16"/>
              </w:rPr>
              <w:t xml:space="preserve">Percent </w:t>
            </w:r>
          </w:p>
        </w:tc>
      </w:tr>
      <w:tr w:rsidR="006B42D6" w:rsidRPr="006B42D6" w14:paraId="55EE754C" w14:textId="77777777" w:rsidTr="00DB5175">
        <w:trPr>
          <w:trHeight w:val="283"/>
        </w:trPr>
        <w:tc>
          <w:tcPr>
            <w:tcW w:w="987" w:type="pct"/>
            <w:tcBorders>
              <w:top w:val="nil"/>
              <w:left w:val="nil"/>
              <w:bottom w:val="nil"/>
              <w:right w:val="nil"/>
            </w:tcBorders>
            <w:shd w:val="clear" w:color="auto" w:fill="auto"/>
            <w:vAlign w:val="center"/>
            <w:hideMark/>
          </w:tcPr>
          <w:p w14:paraId="775679BA" w14:textId="77777777" w:rsidR="00A16694" w:rsidRPr="004D1168" w:rsidRDefault="00A16694" w:rsidP="00167924">
            <w:pPr>
              <w:jc w:val="left"/>
              <w:rPr>
                <w:sz w:val="16"/>
                <w:szCs w:val="16"/>
              </w:rPr>
            </w:pPr>
            <w:r w:rsidRPr="004D1168">
              <w:rPr>
                <w:sz w:val="16"/>
                <w:szCs w:val="16"/>
              </w:rPr>
              <w:t>Dodoma</w:t>
            </w:r>
          </w:p>
        </w:tc>
        <w:tc>
          <w:tcPr>
            <w:tcW w:w="686" w:type="pct"/>
            <w:tcBorders>
              <w:top w:val="nil"/>
              <w:left w:val="nil"/>
              <w:bottom w:val="nil"/>
              <w:right w:val="nil"/>
            </w:tcBorders>
            <w:shd w:val="clear" w:color="auto" w:fill="auto"/>
            <w:noWrap/>
            <w:vAlign w:val="center"/>
            <w:hideMark/>
          </w:tcPr>
          <w:p w14:paraId="4B88D78B" w14:textId="5A91F512" w:rsidR="00A16694" w:rsidRPr="004D1168" w:rsidRDefault="00A16694" w:rsidP="00167924">
            <w:pPr>
              <w:jc w:val="center"/>
              <w:rPr>
                <w:sz w:val="16"/>
                <w:szCs w:val="16"/>
              </w:rPr>
            </w:pPr>
            <w:r w:rsidRPr="004D1168">
              <w:rPr>
                <w:sz w:val="16"/>
                <w:szCs w:val="16"/>
              </w:rPr>
              <w:t>110,600</w:t>
            </w:r>
          </w:p>
        </w:tc>
        <w:tc>
          <w:tcPr>
            <w:tcW w:w="629" w:type="pct"/>
            <w:tcBorders>
              <w:top w:val="nil"/>
              <w:left w:val="nil"/>
              <w:bottom w:val="nil"/>
              <w:right w:val="nil"/>
            </w:tcBorders>
            <w:shd w:val="clear" w:color="auto" w:fill="auto"/>
            <w:noWrap/>
            <w:vAlign w:val="center"/>
            <w:hideMark/>
          </w:tcPr>
          <w:p w14:paraId="5BC1DCD1" w14:textId="6B14509A" w:rsidR="00A16694" w:rsidRPr="004D1168" w:rsidRDefault="00A16694" w:rsidP="00167924">
            <w:pPr>
              <w:jc w:val="center"/>
              <w:rPr>
                <w:sz w:val="16"/>
                <w:szCs w:val="16"/>
              </w:rPr>
            </w:pPr>
            <w:r w:rsidRPr="004D1168">
              <w:rPr>
                <w:sz w:val="16"/>
                <w:szCs w:val="16"/>
              </w:rPr>
              <w:t>2.6</w:t>
            </w:r>
          </w:p>
        </w:tc>
        <w:tc>
          <w:tcPr>
            <w:tcW w:w="686" w:type="pct"/>
            <w:tcBorders>
              <w:top w:val="nil"/>
              <w:left w:val="nil"/>
              <w:bottom w:val="nil"/>
              <w:right w:val="nil"/>
            </w:tcBorders>
            <w:shd w:val="clear" w:color="auto" w:fill="auto"/>
            <w:noWrap/>
            <w:vAlign w:val="center"/>
            <w:hideMark/>
          </w:tcPr>
          <w:p w14:paraId="3741184A" w14:textId="12374E01" w:rsidR="00A16694" w:rsidRPr="004D1168" w:rsidRDefault="00A16694" w:rsidP="00167924">
            <w:pPr>
              <w:jc w:val="center"/>
              <w:rPr>
                <w:sz w:val="16"/>
                <w:szCs w:val="16"/>
              </w:rPr>
            </w:pPr>
            <w:r w:rsidRPr="004D1168">
              <w:rPr>
                <w:sz w:val="16"/>
                <w:szCs w:val="16"/>
              </w:rPr>
              <w:t>2,256</w:t>
            </w:r>
          </w:p>
        </w:tc>
        <w:tc>
          <w:tcPr>
            <w:tcW w:w="600" w:type="pct"/>
            <w:tcBorders>
              <w:top w:val="nil"/>
              <w:left w:val="nil"/>
              <w:bottom w:val="nil"/>
              <w:right w:val="nil"/>
            </w:tcBorders>
            <w:shd w:val="clear" w:color="auto" w:fill="auto"/>
            <w:noWrap/>
            <w:vAlign w:val="center"/>
            <w:hideMark/>
          </w:tcPr>
          <w:p w14:paraId="574DAAF8" w14:textId="2AB1410C" w:rsidR="00A16694" w:rsidRPr="004D1168" w:rsidRDefault="00A16694" w:rsidP="00167924">
            <w:pPr>
              <w:jc w:val="center"/>
              <w:rPr>
                <w:sz w:val="16"/>
                <w:szCs w:val="16"/>
              </w:rPr>
            </w:pPr>
            <w:r w:rsidRPr="004D1168">
              <w:rPr>
                <w:sz w:val="16"/>
                <w:szCs w:val="16"/>
              </w:rPr>
              <w:t>2.7</w:t>
            </w:r>
          </w:p>
        </w:tc>
        <w:tc>
          <w:tcPr>
            <w:tcW w:w="872" w:type="pct"/>
            <w:tcBorders>
              <w:top w:val="nil"/>
              <w:left w:val="nil"/>
              <w:bottom w:val="nil"/>
              <w:right w:val="nil"/>
            </w:tcBorders>
            <w:shd w:val="clear" w:color="auto" w:fill="auto"/>
            <w:noWrap/>
            <w:vAlign w:val="center"/>
            <w:hideMark/>
          </w:tcPr>
          <w:p w14:paraId="59A4CEFF" w14:textId="7A87ABFA" w:rsidR="00A16694" w:rsidRPr="004D1168" w:rsidRDefault="00A16694" w:rsidP="00167924">
            <w:pPr>
              <w:jc w:val="center"/>
              <w:rPr>
                <w:sz w:val="16"/>
                <w:szCs w:val="16"/>
              </w:rPr>
            </w:pPr>
            <w:r w:rsidRPr="004D1168">
              <w:rPr>
                <w:sz w:val="16"/>
                <w:szCs w:val="16"/>
              </w:rPr>
              <w:t>130,720</w:t>
            </w:r>
          </w:p>
        </w:tc>
        <w:tc>
          <w:tcPr>
            <w:tcW w:w="540" w:type="pct"/>
            <w:tcBorders>
              <w:top w:val="nil"/>
              <w:left w:val="nil"/>
              <w:bottom w:val="nil"/>
              <w:right w:val="nil"/>
            </w:tcBorders>
            <w:shd w:val="clear" w:color="auto" w:fill="auto"/>
            <w:noWrap/>
            <w:vAlign w:val="center"/>
            <w:hideMark/>
          </w:tcPr>
          <w:p w14:paraId="22A603DA" w14:textId="77777777" w:rsidR="00A16694" w:rsidRPr="004D1168" w:rsidRDefault="00A16694" w:rsidP="00167924">
            <w:pPr>
              <w:jc w:val="center"/>
              <w:rPr>
                <w:sz w:val="16"/>
                <w:szCs w:val="16"/>
              </w:rPr>
            </w:pPr>
            <w:r w:rsidRPr="004D1168">
              <w:rPr>
                <w:sz w:val="16"/>
                <w:szCs w:val="16"/>
              </w:rPr>
              <w:t>20.3</w:t>
            </w:r>
          </w:p>
        </w:tc>
      </w:tr>
      <w:tr w:rsidR="006B42D6" w:rsidRPr="006B42D6" w14:paraId="6F47689B" w14:textId="77777777" w:rsidTr="00DB5175">
        <w:trPr>
          <w:trHeight w:val="283"/>
        </w:trPr>
        <w:tc>
          <w:tcPr>
            <w:tcW w:w="987" w:type="pct"/>
            <w:tcBorders>
              <w:top w:val="nil"/>
              <w:left w:val="nil"/>
              <w:bottom w:val="nil"/>
              <w:right w:val="nil"/>
            </w:tcBorders>
            <w:shd w:val="clear" w:color="auto" w:fill="auto"/>
            <w:vAlign w:val="center"/>
            <w:hideMark/>
          </w:tcPr>
          <w:p w14:paraId="3816B9CE" w14:textId="77777777" w:rsidR="00A16694" w:rsidRPr="004D1168" w:rsidRDefault="00A16694" w:rsidP="00167924">
            <w:pPr>
              <w:jc w:val="left"/>
              <w:rPr>
                <w:sz w:val="16"/>
                <w:szCs w:val="16"/>
              </w:rPr>
            </w:pPr>
            <w:r w:rsidRPr="004D1168">
              <w:rPr>
                <w:sz w:val="16"/>
                <w:szCs w:val="16"/>
              </w:rPr>
              <w:t>Arusha</w:t>
            </w:r>
          </w:p>
        </w:tc>
        <w:tc>
          <w:tcPr>
            <w:tcW w:w="686" w:type="pct"/>
            <w:tcBorders>
              <w:top w:val="nil"/>
              <w:left w:val="nil"/>
              <w:bottom w:val="nil"/>
              <w:right w:val="nil"/>
            </w:tcBorders>
            <w:shd w:val="clear" w:color="auto" w:fill="auto"/>
            <w:noWrap/>
            <w:vAlign w:val="center"/>
            <w:hideMark/>
          </w:tcPr>
          <w:p w14:paraId="5AE2DB77" w14:textId="6A41D369" w:rsidR="00A16694" w:rsidRPr="004D1168" w:rsidRDefault="00A16694" w:rsidP="00167924">
            <w:pPr>
              <w:jc w:val="center"/>
              <w:rPr>
                <w:sz w:val="16"/>
                <w:szCs w:val="16"/>
              </w:rPr>
            </w:pPr>
            <w:r w:rsidRPr="004D1168">
              <w:rPr>
                <w:sz w:val="16"/>
                <w:szCs w:val="16"/>
              </w:rPr>
              <w:t>31,379</w:t>
            </w:r>
          </w:p>
        </w:tc>
        <w:tc>
          <w:tcPr>
            <w:tcW w:w="629" w:type="pct"/>
            <w:tcBorders>
              <w:top w:val="nil"/>
              <w:left w:val="nil"/>
              <w:bottom w:val="nil"/>
              <w:right w:val="nil"/>
            </w:tcBorders>
            <w:shd w:val="clear" w:color="auto" w:fill="auto"/>
            <w:noWrap/>
            <w:vAlign w:val="center"/>
            <w:hideMark/>
          </w:tcPr>
          <w:p w14:paraId="4C0A56F2" w14:textId="29F6D561" w:rsidR="00A16694" w:rsidRPr="004D1168" w:rsidRDefault="00A16694" w:rsidP="00167924">
            <w:pPr>
              <w:jc w:val="center"/>
              <w:rPr>
                <w:sz w:val="16"/>
                <w:szCs w:val="16"/>
              </w:rPr>
            </w:pPr>
            <w:r w:rsidRPr="004D1168">
              <w:rPr>
                <w:sz w:val="16"/>
                <w:szCs w:val="16"/>
              </w:rPr>
              <w:t>0.7</w:t>
            </w:r>
          </w:p>
        </w:tc>
        <w:tc>
          <w:tcPr>
            <w:tcW w:w="686" w:type="pct"/>
            <w:tcBorders>
              <w:top w:val="nil"/>
              <w:left w:val="nil"/>
              <w:bottom w:val="nil"/>
              <w:right w:val="nil"/>
            </w:tcBorders>
            <w:shd w:val="clear" w:color="auto" w:fill="auto"/>
            <w:noWrap/>
            <w:vAlign w:val="center"/>
            <w:hideMark/>
          </w:tcPr>
          <w:p w14:paraId="43B65F46" w14:textId="1B506122" w:rsidR="00A16694" w:rsidRPr="004D1168" w:rsidRDefault="00A16694" w:rsidP="00167924">
            <w:pPr>
              <w:jc w:val="center"/>
              <w:rPr>
                <w:sz w:val="16"/>
                <w:szCs w:val="16"/>
              </w:rPr>
            </w:pPr>
            <w:r w:rsidRPr="004D1168">
              <w:rPr>
                <w:sz w:val="16"/>
                <w:szCs w:val="16"/>
              </w:rPr>
              <w:t>1,909</w:t>
            </w:r>
          </w:p>
        </w:tc>
        <w:tc>
          <w:tcPr>
            <w:tcW w:w="600" w:type="pct"/>
            <w:tcBorders>
              <w:top w:val="nil"/>
              <w:left w:val="nil"/>
              <w:bottom w:val="nil"/>
              <w:right w:val="nil"/>
            </w:tcBorders>
            <w:shd w:val="clear" w:color="auto" w:fill="auto"/>
            <w:noWrap/>
            <w:vAlign w:val="center"/>
            <w:hideMark/>
          </w:tcPr>
          <w:p w14:paraId="4671E6B5" w14:textId="3FD463CA" w:rsidR="00A16694" w:rsidRPr="004D1168" w:rsidRDefault="00A16694" w:rsidP="00167924">
            <w:pPr>
              <w:jc w:val="center"/>
              <w:rPr>
                <w:sz w:val="16"/>
                <w:szCs w:val="16"/>
              </w:rPr>
            </w:pPr>
            <w:r w:rsidRPr="004D1168">
              <w:rPr>
                <w:sz w:val="16"/>
                <w:szCs w:val="16"/>
              </w:rPr>
              <w:t>2.3</w:t>
            </w:r>
          </w:p>
        </w:tc>
        <w:tc>
          <w:tcPr>
            <w:tcW w:w="872" w:type="pct"/>
            <w:tcBorders>
              <w:top w:val="nil"/>
              <w:left w:val="nil"/>
              <w:bottom w:val="nil"/>
              <w:right w:val="nil"/>
            </w:tcBorders>
            <w:shd w:val="clear" w:color="auto" w:fill="auto"/>
            <w:noWrap/>
            <w:vAlign w:val="center"/>
            <w:hideMark/>
          </w:tcPr>
          <w:p w14:paraId="1AAC8546" w14:textId="262CF1A9" w:rsidR="00A16694" w:rsidRPr="004D1168" w:rsidRDefault="00A16694" w:rsidP="00167924">
            <w:pPr>
              <w:jc w:val="center"/>
              <w:rPr>
                <w:sz w:val="16"/>
                <w:szCs w:val="16"/>
              </w:rPr>
            </w:pPr>
            <w:r w:rsidRPr="004D1168">
              <w:rPr>
                <w:sz w:val="16"/>
                <w:szCs w:val="16"/>
              </w:rPr>
              <w:t>4,314</w:t>
            </w:r>
          </w:p>
        </w:tc>
        <w:tc>
          <w:tcPr>
            <w:tcW w:w="540" w:type="pct"/>
            <w:tcBorders>
              <w:top w:val="nil"/>
              <w:left w:val="nil"/>
              <w:bottom w:val="nil"/>
              <w:right w:val="nil"/>
            </w:tcBorders>
            <w:shd w:val="clear" w:color="auto" w:fill="auto"/>
            <w:noWrap/>
            <w:vAlign w:val="center"/>
            <w:hideMark/>
          </w:tcPr>
          <w:p w14:paraId="678187E6" w14:textId="77777777" w:rsidR="00A16694" w:rsidRPr="004D1168" w:rsidRDefault="00A16694" w:rsidP="00167924">
            <w:pPr>
              <w:jc w:val="center"/>
              <w:rPr>
                <w:sz w:val="16"/>
                <w:szCs w:val="16"/>
              </w:rPr>
            </w:pPr>
            <w:r w:rsidRPr="004D1168">
              <w:rPr>
                <w:sz w:val="16"/>
                <w:szCs w:val="16"/>
              </w:rPr>
              <w:t>0.7</w:t>
            </w:r>
          </w:p>
        </w:tc>
      </w:tr>
      <w:tr w:rsidR="006B42D6" w:rsidRPr="006B42D6" w14:paraId="6CBD5764" w14:textId="77777777" w:rsidTr="00DB5175">
        <w:trPr>
          <w:trHeight w:val="283"/>
        </w:trPr>
        <w:tc>
          <w:tcPr>
            <w:tcW w:w="987" w:type="pct"/>
            <w:tcBorders>
              <w:top w:val="nil"/>
              <w:left w:val="nil"/>
              <w:bottom w:val="nil"/>
              <w:right w:val="nil"/>
            </w:tcBorders>
            <w:shd w:val="clear" w:color="auto" w:fill="auto"/>
            <w:vAlign w:val="center"/>
            <w:hideMark/>
          </w:tcPr>
          <w:p w14:paraId="2184EB49" w14:textId="77777777" w:rsidR="00A16694" w:rsidRPr="004D1168" w:rsidRDefault="00A16694" w:rsidP="00167924">
            <w:pPr>
              <w:jc w:val="left"/>
              <w:rPr>
                <w:sz w:val="16"/>
                <w:szCs w:val="16"/>
              </w:rPr>
            </w:pPr>
            <w:r w:rsidRPr="004D1168">
              <w:rPr>
                <w:sz w:val="16"/>
                <w:szCs w:val="16"/>
              </w:rPr>
              <w:t>Kilimanjaro</w:t>
            </w:r>
          </w:p>
        </w:tc>
        <w:tc>
          <w:tcPr>
            <w:tcW w:w="686" w:type="pct"/>
            <w:tcBorders>
              <w:top w:val="nil"/>
              <w:left w:val="nil"/>
              <w:bottom w:val="nil"/>
              <w:right w:val="nil"/>
            </w:tcBorders>
            <w:shd w:val="clear" w:color="auto" w:fill="auto"/>
            <w:noWrap/>
            <w:vAlign w:val="center"/>
            <w:hideMark/>
          </w:tcPr>
          <w:p w14:paraId="0343156F" w14:textId="14F5CE38" w:rsidR="00A16694" w:rsidRPr="004D1168" w:rsidRDefault="00A16694" w:rsidP="00167924">
            <w:pPr>
              <w:jc w:val="center"/>
              <w:rPr>
                <w:sz w:val="16"/>
                <w:szCs w:val="16"/>
              </w:rPr>
            </w:pPr>
            <w:r w:rsidRPr="004D1168">
              <w:rPr>
                <w:sz w:val="16"/>
                <w:szCs w:val="16"/>
              </w:rPr>
              <w:t>88,680</w:t>
            </w:r>
          </w:p>
        </w:tc>
        <w:tc>
          <w:tcPr>
            <w:tcW w:w="629" w:type="pct"/>
            <w:tcBorders>
              <w:top w:val="nil"/>
              <w:left w:val="nil"/>
              <w:bottom w:val="nil"/>
              <w:right w:val="nil"/>
            </w:tcBorders>
            <w:shd w:val="clear" w:color="auto" w:fill="auto"/>
            <w:noWrap/>
            <w:vAlign w:val="center"/>
            <w:hideMark/>
          </w:tcPr>
          <w:p w14:paraId="3F99E27F" w14:textId="343A589E" w:rsidR="00A16694" w:rsidRPr="004D1168" w:rsidRDefault="00A16694" w:rsidP="00167924">
            <w:pPr>
              <w:jc w:val="center"/>
              <w:rPr>
                <w:sz w:val="16"/>
                <w:szCs w:val="16"/>
              </w:rPr>
            </w:pPr>
            <w:r w:rsidRPr="004D1168">
              <w:rPr>
                <w:sz w:val="16"/>
                <w:szCs w:val="16"/>
              </w:rPr>
              <w:t>2.1</w:t>
            </w:r>
          </w:p>
        </w:tc>
        <w:tc>
          <w:tcPr>
            <w:tcW w:w="686" w:type="pct"/>
            <w:tcBorders>
              <w:top w:val="nil"/>
              <w:left w:val="nil"/>
              <w:bottom w:val="nil"/>
              <w:right w:val="nil"/>
            </w:tcBorders>
            <w:shd w:val="clear" w:color="auto" w:fill="auto"/>
            <w:noWrap/>
            <w:vAlign w:val="center"/>
            <w:hideMark/>
          </w:tcPr>
          <w:p w14:paraId="0D92EB33" w14:textId="1CB100ED" w:rsidR="00A16694" w:rsidRPr="004D1168" w:rsidRDefault="00A16694" w:rsidP="00167924">
            <w:pPr>
              <w:jc w:val="center"/>
              <w:rPr>
                <w:sz w:val="16"/>
                <w:szCs w:val="16"/>
              </w:rPr>
            </w:pPr>
            <w:r w:rsidRPr="004D1168">
              <w:rPr>
                <w:sz w:val="16"/>
                <w:szCs w:val="16"/>
              </w:rPr>
              <w:t>7,778</w:t>
            </w:r>
          </w:p>
        </w:tc>
        <w:tc>
          <w:tcPr>
            <w:tcW w:w="600" w:type="pct"/>
            <w:tcBorders>
              <w:top w:val="nil"/>
              <w:left w:val="nil"/>
              <w:bottom w:val="nil"/>
              <w:right w:val="nil"/>
            </w:tcBorders>
            <w:shd w:val="clear" w:color="auto" w:fill="auto"/>
            <w:noWrap/>
            <w:vAlign w:val="center"/>
            <w:hideMark/>
          </w:tcPr>
          <w:p w14:paraId="5855AB77" w14:textId="597340EF" w:rsidR="00A16694" w:rsidRPr="004D1168" w:rsidRDefault="00A16694" w:rsidP="00167924">
            <w:pPr>
              <w:jc w:val="center"/>
              <w:rPr>
                <w:sz w:val="16"/>
                <w:szCs w:val="16"/>
              </w:rPr>
            </w:pPr>
            <w:r w:rsidRPr="004D1168">
              <w:rPr>
                <w:sz w:val="16"/>
                <w:szCs w:val="16"/>
              </w:rPr>
              <w:t>9.3</w:t>
            </w:r>
          </w:p>
        </w:tc>
        <w:tc>
          <w:tcPr>
            <w:tcW w:w="872" w:type="pct"/>
            <w:tcBorders>
              <w:top w:val="nil"/>
              <w:left w:val="nil"/>
              <w:bottom w:val="nil"/>
              <w:right w:val="nil"/>
            </w:tcBorders>
            <w:shd w:val="clear" w:color="auto" w:fill="auto"/>
            <w:noWrap/>
            <w:vAlign w:val="center"/>
            <w:hideMark/>
          </w:tcPr>
          <w:p w14:paraId="699FC6F3" w14:textId="4751877B" w:rsidR="00A16694" w:rsidRPr="004D1168" w:rsidRDefault="00A16694" w:rsidP="00167924">
            <w:pPr>
              <w:jc w:val="center"/>
              <w:rPr>
                <w:sz w:val="16"/>
                <w:szCs w:val="16"/>
              </w:rPr>
            </w:pPr>
            <w:r w:rsidRPr="004D1168">
              <w:rPr>
                <w:sz w:val="16"/>
                <w:szCs w:val="16"/>
              </w:rPr>
              <w:t>5,581</w:t>
            </w:r>
          </w:p>
        </w:tc>
        <w:tc>
          <w:tcPr>
            <w:tcW w:w="540" w:type="pct"/>
            <w:tcBorders>
              <w:top w:val="nil"/>
              <w:left w:val="nil"/>
              <w:bottom w:val="nil"/>
              <w:right w:val="nil"/>
            </w:tcBorders>
            <w:shd w:val="clear" w:color="auto" w:fill="auto"/>
            <w:noWrap/>
            <w:vAlign w:val="center"/>
            <w:hideMark/>
          </w:tcPr>
          <w:p w14:paraId="31A04680" w14:textId="77777777" w:rsidR="00A16694" w:rsidRPr="004D1168" w:rsidRDefault="00A16694" w:rsidP="00167924">
            <w:pPr>
              <w:jc w:val="center"/>
              <w:rPr>
                <w:sz w:val="16"/>
                <w:szCs w:val="16"/>
              </w:rPr>
            </w:pPr>
            <w:r w:rsidRPr="004D1168">
              <w:rPr>
                <w:sz w:val="16"/>
                <w:szCs w:val="16"/>
              </w:rPr>
              <w:t>0.9</w:t>
            </w:r>
          </w:p>
        </w:tc>
      </w:tr>
      <w:tr w:rsidR="006B42D6" w:rsidRPr="006B42D6" w14:paraId="640D72B8" w14:textId="77777777" w:rsidTr="00DB5175">
        <w:trPr>
          <w:trHeight w:val="283"/>
        </w:trPr>
        <w:tc>
          <w:tcPr>
            <w:tcW w:w="987" w:type="pct"/>
            <w:tcBorders>
              <w:top w:val="nil"/>
              <w:left w:val="nil"/>
              <w:bottom w:val="nil"/>
              <w:right w:val="nil"/>
            </w:tcBorders>
            <w:shd w:val="clear" w:color="auto" w:fill="auto"/>
            <w:vAlign w:val="center"/>
            <w:hideMark/>
          </w:tcPr>
          <w:p w14:paraId="36CE8EB1" w14:textId="77777777" w:rsidR="00A16694" w:rsidRPr="004D1168" w:rsidRDefault="00A16694" w:rsidP="00167924">
            <w:pPr>
              <w:jc w:val="left"/>
              <w:rPr>
                <w:sz w:val="16"/>
                <w:szCs w:val="16"/>
              </w:rPr>
            </w:pPr>
            <w:r w:rsidRPr="004D1168">
              <w:rPr>
                <w:sz w:val="16"/>
                <w:szCs w:val="16"/>
              </w:rPr>
              <w:t>Tanga</w:t>
            </w:r>
          </w:p>
        </w:tc>
        <w:tc>
          <w:tcPr>
            <w:tcW w:w="686" w:type="pct"/>
            <w:tcBorders>
              <w:top w:val="nil"/>
              <w:left w:val="nil"/>
              <w:bottom w:val="nil"/>
              <w:right w:val="nil"/>
            </w:tcBorders>
            <w:shd w:val="clear" w:color="auto" w:fill="auto"/>
            <w:noWrap/>
            <w:vAlign w:val="center"/>
            <w:hideMark/>
          </w:tcPr>
          <w:p w14:paraId="2D44DD6A" w14:textId="03210A40" w:rsidR="00A16694" w:rsidRPr="004D1168" w:rsidRDefault="00A16694" w:rsidP="00167924">
            <w:pPr>
              <w:jc w:val="center"/>
              <w:rPr>
                <w:sz w:val="16"/>
                <w:szCs w:val="16"/>
              </w:rPr>
            </w:pPr>
            <w:r w:rsidRPr="004D1168">
              <w:rPr>
                <w:sz w:val="16"/>
                <w:szCs w:val="16"/>
              </w:rPr>
              <w:t>216,968</w:t>
            </w:r>
          </w:p>
        </w:tc>
        <w:tc>
          <w:tcPr>
            <w:tcW w:w="629" w:type="pct"/>
            <w:tcBorders>
              <w:top w:val="nil"/>
              <w:left w:val="nil"/>
              <w:bottom w:val="nil"/>
              <w:right w:val="nil"/>
            </w:tcBorders>
            <w:shd w:val="clear" w:color="auto" w:fill="auto"/>
            <w:noWrap/>
            <w:vAlign w:val="center"/>
            <w:hideMark/>
          </w:tcPr>
          <w:p w14:paraId="45EEFF6D" w14:textId="12EC1217" w:rsidR="00A16694" w:rsidRPr="004D1168" w:rsidRDefault="00A16694" w:rsidP="00167924">
            <w:pPr>
              <w:jc w:val="center"/>
              <w:rPr>
                <w:sz w:val="16"/>
                <w:szCs w:val="16"/>
              </w:rPr>
            </w:pPr>
            <w:r w:rsidRPr="004D1168">
              <w:rPr>
                <w:sz w:val="16"/>
                <w:szCs w:val="16"/>
              </w:rPr>
              <w:t>5.1</w:t>
            </w:r>
          </w:p>
        </w:tc>
        <w:tc>
          <w:tcPr>
            <w:tcW w:w="686" w:type="pct"/>
            <w:tcBorders>
              <w:top w:val="nil"/>
              <w:left w:val="nil"/>
              <w:bottom w:val="nil"/>
              <w:right w:val="nil"/>
            </w:tcBorders>
            <w:shd w:val="clear" w:color="auto" w:fill="auto"/>
            <w:noWrap/>
            <w:vAlign w:val="center"/>
            <w:hideMark/>
          </w:tcPr>
          <w:p w14:paraId="7CC9E338" w14:textId="68576E1C" w:rsidR="00A16694" w:rsidRPr="004D1168" w:rsidRDefault="00A16694" w:rsidP="00167924">
            <w:pPr>
              <w:jc w:val="center"/>
              <w:rPr>
                <w:sz w:val="16"/>
                <w:szCs w:val="16"/>
              </w:rPr>
            </w:pPr>
            <w:r w:rsidRPr="004D1168">
              <w:rPr>
                <w:sz w:val="16"/>
                <w:szCs w:val="16"/>
              </w:rPr>
              <w:t>1,238</w:t>
            </w:r>
          </w:p>
        </w:tc>
        <w:tc>
          <w:tcPr>
            <w:tcW w:w="600" w:type="pct"/>
            <w:tcBorders>
              <w:top w:val="nil"/>
              <w:left w:val="nil"/>
              <w:bottom w:val="nil"/>
              <w:right w:val="nil"/>
            </w:tcBorders>
            <w:shd w:val="clear" w:color="auto" w:fill="auto"/>
            <w:noWrap/>
            <w:vAlign w:val="center"/>
            <w:hideMark/>
          </w:tcPr>
          <w:p w14:paraId="681EC763" w14:textId="050CC5CE" w:rsidR="00A16694" w:rsidRPr="004D1168" w:rsidRDefault="00A16694" w:rsidP="00167924">
            <w:pPr>
              <w:jc w:val="center"/>
              <w:rPr>
                <w:sz w:val="16"/>
                <w:szCs w:val="16"/>
              </w:rPr>
            </w:pPr>
            <w:r w:rsidRPr="004D1168">
              <w:rPr>
                <w:sz w:val="16"/>
                <w:szCs w:val="16"/>
              </w:rPr>
              <w:t>1.5</w:t>
            </w:r>
          </w:p>
        </w:tc>
        <w:tc>
          <w:tcPr>
            <w:tcW w:w="872" w:type="pct"/>
            <w:tcBorders>
              <w:top w:val="nil"/>
              <w:left w:val="nil"/>
              <w:bottom w:val="nil"/>
              <w:right w:val="nil"/>
            </w:tcBorders>
            <w:shd w:val="clear" w:color="auto" w:fill="auto"/>
            <w:noWrap/>
            <w:vAlign w:val="center"/>
            <w:hideMark/>
          </w:tcPr>
          <w:p w14:paraId="7FD41E77" w14:textId="528BF4AA" w:rsidR="00A16694" w:rsidRPr="004D1168" w:rsidRDefault="00A16694" w:rsidP="00167924">
            <w:pPr>
              <w:jc w:val="center"/>
              <w:rPr>
                <w:sz w:val="16"/>
                <w:szCs w:val="16"/>
              </w:rPr>
            </w:pPr>
            <w:r w:rsidRPr="004D1168">
              <w:rPr>
                <w:sz w:val="16"/>
                <w:szCs w:val="16"/>
              </w:rPr>
              <w:t>14,015</w:t>
            </w:r>
          </w:p>
        </w:tc>
        <w:tc>
          <w:tcPr>
            <w:tcW w:w="540" w:type="pct"/>
            <w:tcBorders>
              <w:top w:val="nil"/>
              <w:left w:val="nil"/>
              <w:bottom w:val="nil"/>
              <w:right w:val="nil"/>
            </w:tcBorders>
            <w:shd w:val="clear" w:color="auto" w:fill="auto"/>
            <w:noWrap/>
            <w:vAlign w:val="center"/>
            <w:hideMark/>
          </w:tcPr>
          <w:p w14:paraId="07A1C4F4" w14:textId="77777777" w:rsidR="00A16694" w:rsidRPr="004D1168" w:rsidRDefault="00A16694" w:rsidP="00167924">
            <w:pPr>
              <w:jc w:val="center"/>
              <w:rPr>
                <w:sz w:val="16"/>
                <w:szCs w:val="16"/>
              </w:rPr>
            </w:pPr>
            <w:r w:rsidRPr="004D1168">
              <w:rPr>
                <w:sz w:val="16"/>
                <w:szCs w:val="16"/>
              </w:rPr>
              <w:t>2.2</w:t>
            </w:r>
          </w:p>
        </w:tc>
      </w:tr>
      <w:tr w:rsidR="006B42D6" w:rsidRPr="006B42D6" w14:paraId="0A9040C2" w14:textId="77777777" w:rsidTr="00DB5175">
        <w:trPr>
          <w:trHeight w:val="283"/>
        </w:trPr>
        <w:tc>
          <w:tcPr>
            <w:tcW w:w="987" w:type="pct"/>
            <w:tcBorders>
              <w:top w:val="nil"/>
              <w:left w:val="nil"/>
              <w:bottom w:val="nil"/>
              <w:right w:val="nil"/>
            </w:tcBorders>
            <w:shd w:val="clear" w:color="auto" w:fill="auto"/>
            <w:vAlign w:val="center"/>
            <w:hideMark/>
          </w:tcPr>
          <w:p w14:paraId="72F6F1E1" w14:textId="77777777" w:rsidR="00A16694" w:rsidRPr="004D1168" w:rsidRDefault="00A16694" w:rsidP="00167924">
            <w:pPr>
              <w:jc w:val="left"/>
              <w:rPr>
                <w:sz w:val="16"/>
                <w:szCs w:val="16"/>
              </w:rPr>
            </w:pPr>
            <w:r w:rsidRPr="004D1168">
              <w:rPr>
                <w:sz w:val="16"/>
                <w:szCs w:val="16"/>
              </w:rPr>
              <w:t>Morogoro</w:t>
            </w:r>
          </w:p>
        </w:tc>
        <w:tc>
          <w:tcPr>
            <w:tcW w:w="686" w:type="pct"/>
            <w:tcBorders>
              <w:top w:val="nil"/>
              <w:left w:val="nil"/>
              <w:bottom w:val="nil"/>
              <w:right w:val="nil"/>
            </w:tcBorders>
            <w:shd w:val="clear" w:color="auto" w:fill="auto"/>
            <w:noWrap/>
            <w:vAlign w:val="center"/>
            <w:hideMark/>
          </w:tcPr>
          <w:p w14:paraId="06AA3A4E" w14:textId="564EC6ED" w:rsidR="00A16694" w:rsidRPr="004D1168" w:rsidRDefault="00A16694" w:rsidP="00167924">
            <w:pPr>
              <w:jc w:val="center"/>
              <w:rPr>
                <w:sz w:val="16"/>
                <w:szCs w:val="16"/>
              </w:rPr>
            </w:pPr>
            <w:r w:rsidRPr="004D1168">
              <w:rPr>
                <w:sz w:val="16"/>
                <w:szCs w:val="16"/>
              </w:rPr>
              <w:t>241,318</w:t>
            </w:r>
          </w:p>
        </w:tc>
        <w:tc>
          <w:tcPr>
            <w:tcW w:w="629" w:type="pct"/>
            <w:tcBorders>
              <w:top w:val="nil"/>
              <w:left w:val="nil"/>
              <w:bottom w:val="nil"/>
              <w:right w:val="nil"/>
            </w:tcBorders>
            <w:shd w:val="clear" w:color="auto" w:fill="auto"/>
            <w:noWrap/>
            <w:vAlign w:val="center"/>
            <w:hideMark/>
          </w:tcPr>
          <w:p w14:paraId="4B8B75A9" w14:textId="528EE5B7" w:rsidR="00A16694" w:rsidRPr="004D1168" w:rsidRDefault="00A16694" w:rsidP="00167924">
            <w:pPr>
              <w:jc w:val="center"/>
              <w:rPr>
                <w:sz w:val="16"/>
                <w:szCs w:val="16"/>
              </w:rPr>
            </w:pPr>
            <w:r w:rsidRPr="004D1168">
              <w:rPr>
                <w:sz w:val="16"/>
                <w:szCs w:val="16"/>
              </w:rPr>
              <w:t>5.7</w:t>
            </w:r>
          </w:p>
        </w:tc>
        <w:tc>
          <w:tcPr>
            <w:tcW w:w="686" w:type="pct"/>
            <w:tcBorders>
              <w:top w:val="nil"/>
              <w:left w:val="nil"/>
              <w:bottom w:val="nil"/>
              <w:right w:val="nil"/>
            </w:tcBorders>
            <w:shd w:val="clear" w:color="auto" w:fill="auto"/>
            <w:noWrap/>
            <w:vAlign w:val="center"/>
            <w:hideMark/>
          </w:tcPr>
          <w:p w14:paraId="402DBE7E" w14:textId="22FEECD2" w:rsidR="00A16694" w:rsidRPr="004D1168" w:rsidRDefault="00A16694" w:rsidP="00167924">
            <w:pPr>
              <w:jc w:val="center"/>
              <w:rPr>
                <w:sz w:val="16"/>
                <w:szCs w:val="16"/>
              </w:rPr>
            </w:pPr>
            <w:r w:rsidRPr="004D1168">
              <w:rPr>
                <w:sz w:val="16"/>
                <w:szCs w:val="16"/>
              </w:rPr>
              <w:t>-</w:t>
            </w:r>
          </w:p>
        </w:tc>
        <w:tc>
          <w:tcPr>
            <w:tcW w:w="600" w:type="pct"/>
            <w:tcBorders>
              <w:top w:val="nil"/>
              <w:left w:val="nil"/>
              <w:bottom w:val="nil"/>
              <w:right w:val="nil"/>
            </w:tcBorders>
            <w:shd w:val="clear" w:color="auto" w:fill="auto"/>
            <w:noWrap/>
            <w:vAlign w:val="center"/>
            <w:hideMark/>
          </w:tcPr>
          <w:p w14:paraId="35F1C968" w14:textId="4D45817E" w:rsidR="00A16694" w:rsidRPr="004D1168" w:rsidRDefault="00A16694" w:rsidP="00167924">
            <w:pPr>
              <w:jc w:val="center"/>
              <w:rPr>
                <w:sz w:val="16"/>
                <w:szCs w:val="16"/>
              </w:rPr>
            </w:pPr>
            <w:r w:rsidRPr="004D1168">
              <w:rPr>
                <w:sz w:val="16"/>
                <w:szCs w:val="16"/>
              </w:rPr>
              <w:t>-</w:t>
            </w:r>
          </w:p>
        </w:tc>
        <w:tc>
          <w:tcPr>
            <w:tcW w:w="872" w:type="pct"/>
            <w:tcBorders>
              <w:top w:val="nil"/>
              <w:left w:val="nil"/>
              <w:bottom w:val="nil"/>
              <w:right w:val="nil"/>
            </w:tcBorders>
            <w:shd w:val="clear" w:color="auto" w:fill="auto"/>
            <w:noWrap/>
            <w:vAlign w:val="center"/>
            <w:hideMark/>
          </w:tcPr>
          <w:p w14:paraId="17C86843" w14:textId="66A9CBCA" w:rsidR="00A16694" w:rsidRPr="004D1168" w:rsidRDefault="00A16694" w:rsidP="00167924">
            <w:pPr>
              <w:jc w:val="center"/>
              <w:rPr>
                <w:sz w:val="16"/>
                <w:szCs w:val="16"/>
              </w:rPr>
            </w:pPr>
            <w:r w:rsidRPr="004D1168">
              <w:rPr>
                <w:sz w:val="16"/>
                <w:szCs w:val="16"/>
              </w:rPr>
              <w:t>33,017</w:t>
            </w:r>
          </w:p>
        </w:tc>
        <w:tc>
          <w:tcPr>
            <w:tcW w:w="540" w:type="pct"/>
            <w:tcBorders>
              <w:top w:val="nil"/>
              <w:left w:val="nil"/>
              <w:bottom w:val="nil"/>
              <w:right w:val="nil"/>
            </w:tcBorders>
            <w:shd w:val="clear" w:color="auto" w:fill="auto"/>
            <w:noWrap/>
            <w:vAlign w:val="center"/>
            <w:hideMark/>
          </w:tcPr>
          <w:p w14:paraId="7E547EC5" w14:textId="77777777" w:rsidR="00A16694" w:rsidRPr="004D1168" w:rsidRDefault="00A16694" w:rsidP="00167924">
            <w:pPr>
              <w:jc w:val="center"/>
              <w:rPr>
                <w:sz w:val="16"/>
                <w:szCs w:val="16"/>
              </w:rPr>
            </w:pPr>
            <w:r w:rsidRPr="004D1168">
              <w:rPr>
                <w:sz w:val="16"/>
                <w:szCs w:val="16"/>
              </w:rPr>
              <w:t>5.1</w:t>
            </w:r>
          </w:p>
        </w:tc>
      </w:tr>
      <w:tr w:rsidR="006B42D6" w:rsidRPr="006B42D6" w14:paraId="07DDAF0B" w14:textId="77777777" w:rsidTr="00DB5175">
        <w:trPr>
          <w:trHeight w:val="283"/>
        </w:trPr>
        <w:tc>
          <w:tcPr>
            <w:tcW w:w="987" w:type="pct"/>
            <w:tcBorders>
              <w:top w:val="nil"/>
              <w:left w:val="nil"/>
              <w:bottom w:val="nil"/>
              <w:right w:val="nil"/>
            </w:tcBorders>
            <w:shd w:val="clear" w:color="auto" w:fill="auto"/>
            <w:vAlign w:val="center"/>
            <w:hideMark/>
          </w:tcPr>
          <w:p w14:paraId="5B11093F" w14:textId="77777777" w:rsidR="00A16694" w:rsidRPr="004D1168" w:rsidRDefault="00A16694" w:rsidP="00167924">
            <w:pPr>
              <w:jc w:val="left"/>
              <w:rPr>
                <w:sz w:val="16"/>
                <w:szCs w:val="16"/>
              </w:rPr>
            </w:pPr>
            <w:r w:rsidRPr="004D1168">
              <w:rPr>
                <w:sz w:val="16"/>
                <w:szCs w:val="16"/>
              </w:rPr>
              <w:t>Pwani</w:t>
            </w:r>
          </w:p>
        </w:tc>
        <w:tc>
          <w:tcPr>
            <w:tcW w:w="686" w:type="pct"/>
            <w:tcBorders>
              <w:top w:val="nil"/>
              <w:left w:val="nil"/>
              <w:bottom w:val="nil"/>
              <w:right w:val="nil"/>
            </w:tcBorders>
            <w:shd w:val="clear" w:color="auto" w:fill="auto"/>
            <w:noWrap/>
            <w:vAlign w:val="center"/>
            <w:hideMark/>
          </w:tcPr>
          <w:p w14:paraId="379CAD9F" w14:textId="50BEC65F" w:rsidR="00A16694" w:rsidRPr="004D1168" w:rsidRDefault="00A16694" w:rsidP="00167924">
            <w:pPr>
              <w:jc w:val="center"/>
              <w:rPr>
                <w:sz w:val="16"/>
                <w:szCs w:val="16"/>
              </w:rPr>
            </w:pPr>
            <w:r w:rsidRPr="004D1168">
              <w:rPr>
                <w:sz w:val="16"/>
                <w:szCs w:val="16"/>
              </w:rPr>
              <w:t>128,687</w:t>
            </w:r>
          </w:p>
        </w:tc>
        <w:tc>
          <w:tcPr>
            <w:tcW w:w="629" w:type="pct"/>
            <w:tcBorders>
              <w:top w:val="nil"/>
              <w:left w:val="nil"/>
              <w:bottom w:val="nil"/>
              <w:right w:val="nil"/>
            </w:tcBorders>
            <w:shd w:val="clear" w:color="auto" w:fill="auto"/>
            <w:noWrap/>
            <w:vAlign w:val="center"/>
            <w:hideMark/>
          </w:tcPr>
          <w:p w14:paraId="10BD90A5" w14:textId="720178CB" w:rsidR="00A16694" w:rsidRPr="004D1168" w:rsidRDefault="00A16694" w:rsidP="00167924">
            <w:pPr>
              <w:jc w:val="center"/>
              <w:rPr>
                <w:sz w:val="16"/>
                <w:szCs w:val="16"/>
              </w:rPr>
            </w:pPr>
            <w:r w:rsidRPr="004D1168">
              <w:rPr>
                <w:sz w:val="16"/>
                <w:szCs w:val="16"/>
              </w:rPr>
              <w:t>3.0</w:t>
            </w:r>
          </w:p>
        </w:tc>
        <w:tc>
          <w:tcPr>
            <w:tcW w:w="686" w:type="pct"/>
            <w:tcBorders>
              <w:top w:val="nil"/>
              <w:left w:val="nil"/>
              <w:bottom w:val="nil"/>
              <w:right w:val="nil"/>
            </w:tcBorders>
            <w:shd w:val="clear" w:color="auto" w:fill="auto"/>
            <w:noWrap/>
            <w:vAlign w:val="center"/>
            <w:hideMark/>
          </w:tcPr>
          <w:p w14:paraId="5362C249" w14:textId="0CD1D071" w:rsidR="00A16694" w:rsidRPr="004D1168" w:rsidRDefault="00A16694" w:rsidP="00167924">
            <w:pPr>
              <w:jc w:val="center"/>
              <w:rPr>
                <w:sz w:val="16"/>
                <w:szCs w:val="16"/>
              </w:rPr>
            </w:pPr>
            <w:r w:rsidRPr="004D1168">
              <w:rPr>
                <w:sz w:val="16"/>
                <w:szCs w:val="16"/>
              </w:rPr>
              <w:t>3,968</w:t>
            </w:r>
          </w:p>
        </w:tc>
        <w:tc>
          <w:tcPr>
            <w:tcW w:w="600" w:type="pct"/>
            <w:tcBorders>
              <w:top w:val="nil"/>
              <w:left w:val="nil"/>
              <w:bottom w:val="nil"/>
              <w:right w:val="nil"/>
            </w:tcBorders>
            <w:shd w:val="clear" w:color="auto" w:fill="auto"/>
            <w:noWrap/>
            <w:vAlign w:val="center"/>
            <w:hideMark/>
          </w:tcPr>
          <w:p w14:paraId="0EC45B24" w14:textId="025CD54C" w:rsidR="00A16694" w:rsidRPr="004D1168" w:rsidRDefault="00A16694" w:rsidP="00167924">
            <w:pPr>
              <w:jc w:val="center"/>
              <w:rPr>
                <w:sz w:val="16"/>
                <w:szCs w:val="16"/>
              </w:rPr>
            </w:pPr>
            <w:r w:rsidRPr="004D1168">
              <w:rPr>
                <w:sz w:val="16"/>
                <w:szCs w:val="16"/>
              </w:rPr>
              <w:t>4.7</w:t>
            </w:r>
          </w:p>
        </w:tc>
        <w:tc>
          <w:tcPr>
            <w:tcW w:w="872" w:type="pct"/>
            <w:tcBorders>
              <w:top w:val="nil"/>
              <w:left w:val="nil"/>
              <w:bottom w:val="nil"/>
              <w:right w:val="nil"/>
            </w:tcBorders>
            <w:shd w:val="clear" w:color="auto" w:fill="auto"/>
            <w:noWrap/>
            <w:vAlign w:val="center"/>
            <w:hideMark/>
          </w:tcPr>
          <w:p w14:paraId="1DE927C8" w14:textId="54422278" w:rsidR="00A16694" w:rsidRPr="004D1168" w:rsidRDefault="00A16694" w:rsidP="00167924">
            <w:pPr>
              <w:jc w:val="center"/>
              <w:rPr>
                <w:sz w:val="16"/>
                <w:szCs w:val="16"/>
              </w:rPr>
            </w:pPr>
            <w:r w:rsidRPr="004D1168">
              <w:rPr>
                <w:sz w:val="16"/>
                <w:szCs w:val="16"/>
              </w:rPr>
              <w:t>8,162</w:t>
            </w:r>
          </w:p>
        </w:tc>
        <w:tc>
          <w:tcPr>
            <w:tcW w:w="540" w:type="pct"/>
            <w:tcBorders>
              <w:top w:val="nil"/>
              <w:left w:val="nil"/>
              <w:bottom w:val="nil"/>
              <w:right w:val="nil"/>
            </w:tcBorders>
            <w:shd w:val="clear" w:color="auto" w:fill="auto"/>
            <w:noWrap/>
            <w:vAlign w:val="center"/>
            <w:hideMark/>
          </w:tcPr>
          <w:p w14:paraId="14A7E3DF" w14:textId="77777777" w:rsidR="00A16694" w:rsidRPr="004D1168" w:rsidRDefault="00A16694" w:rsidP="00167924">
            <w:pPr>
              <w:jc w:val="center"/>
              <w:rPr>
                <w:sz w:val="16"/>
                <w:szCs w:val="16"/>
              </w:rPr>
            </w:pPr>
            <w:r w:rsidRPr="004D1168">
              <w:rPr>
                <w:sz w:val="16"/>
                <w:szCs w:val="16"/>
              </w:rPr>
              <w:t>1.3</w:t>
            </w:r>
          </w:p>
        </w:tc>
      </w:tr>
      <w:tr w:rsidR="006B42D6" w:rsidRPr="006B42D6" w14:paraId="6C5B3077" w14:textId="77777777" w:rsidTr="00DB5175">
        <w:trPr>
          <w:trHeight w:val="283"/>
        </w:trPr>
        <w:tc>
          <w:tcPr>
            <w:tcW w:w="987" w:type="pct"/>
            <w:tcBorders>
              <w:top w:val="nil"/>
              <w:left w:val="nil"/>
              <w:bottom w:val="nil"/>
              <w:right w:val="nil"/>
            </w:tcBorders>
            <w:shd w:val="clear" w:color="auto" w:fill="auto"/>
            <w:vAlign w:val="center"/>
            <w:hideMark/>
          </w:tcPr>
          <w:p w14:paraId="5E90E1FB" w14:textId="1B2526DA" w:rsidR="00A16694" w:rsidRPr="004D1168" w:rsidRDefault="00A16694" w:rsidP="00167924">
            <w:pPr>
              <w:jc w:val="left"/>
              <w:rPr>
                <w:sz w:val="16"/>
                <w:szCs w:val="16"/>
              </w:rPr>
            </w:pPr>
            <w:r w:rsidRPr="004D1168">
              <w:rPr>
                <w:sz w:val="16"/>
                <w:szCs w:val="16"/>
              </w:rPr>
              <w:t>Dar-es-</w:t>
            </w:r>
            <w:r w:rsidR="00DB5175">
              <w:rPr>
                <w:sz w:val="16"/>
                <w:szCs w:val="16"/>
              </w:rPr>
              <w:t>S</w:t>
            </w:r>
            <w:r w:rsidRPr="004D1168">
              <w:rPr>
                <w:sz w:val="16"/>
                <w:szCs w:val="16"/>
              </w:rPr>
              <w:t>alaam</w:t>
            </w:r>
          </w:p>
        </w:tc>
        <w:tc>
          <w:tcPr>
            <w:tcW w:w="686" w:type="pct"/>
            <w:tcBorders>
              <w:top w:val="nil"/>
              <w:left w:val="nil"/>
              <w:bottom w:val="nil"/>
              <w:right w:val="nil"/>
            </w:tcBorders>
            <w:shd w:val="clear" w:color="auto" w:fill="auto"/>
            <w:noWrap/>
            <w:vAlign w:val="center"/>
            <w:hideMark/>
          </w:tcPr>
          <w:p w14:paraId="773A41BB" w14:textId="633D3840" w:rsidR="00A16694" w:rsidRPr="004D1168" w:rsidRDefault="00A16694" w:rsidP="00167924">
            <w:pPr>
              <w:jc w:val="center"/>
              <w:rPr>
                <w:sz w:val="16"/>
                <w:szCs w:val="16"/>
              </w:rPr>
            </w:pPr>
            <w:r w:rsidRPr="004D1168">
              <w:rPr>
                <w:sz w:val="16"/>
                <w:szCs w:val="16"/>
              </w:rPr>
              <w:t>555,437</w:t>
            </w:r>
          </w:p>
        </w:tc>
        <w:tc>
          <w:tcPr>
            <w:tcW w:w="629" w:type="pct"/>
            <w:tcBorders>
              <w:top w:val="nil"/>
              <w:left w:val="nil"/>
              <w:bottom w:val="nil"/>
              <w:right w:val="nil"/>
            </w:tcBorders>
            <w:shd w:val="clear" w:color="auto" w:fill="auto"/>
            <w:noWrap/>
            <w:vAlign w:val="center"/>
            <w:hideMark/>
          </w:tcPr>
          <w:p w14:paraId="10F8A430" w14:textId="30AA97E2" w:rsidR="00A16694" w:rsidRPr="004D1168" w:rsidRDefault="00A16694" w:rsidP="00167924">
            <w:pPr>
              <w:jc w:val="center"/>
              <w:rPr>
                <w:sz w:val="16"/>
                <w:szCs w:val="16"/>
              </w:rPr>
            </w:pPr>
            <w:r w:rsidRPr="004D1168">
              <w:rPr>
                <w:sz w:val="16"/>
                <w:szCs w:val="16"/>
              </w:rPr>
              <w:t>13.1</w:t>
            </w:r>
          </w:p>
        </w:tc>
        <w:tc>
          <w:tcPr>
            <w:tcW w:w="686" w:type="pct"/>
            <w:tcBorders>
              <w:top w:val="nil"/>
              <w:left w:val="nil"/>
              <w:bottom w:val="nil"/>
              <w:right w:val="nil"/>
            </w:tcBorders>
            <w:shd w:val="clear" w:color="auto" w:fill="auto"/>
            <w:noWrap/>
            <w:vAlign w:val="center"/>
            <w:hideMark/>
          </w:tcPr>
          <w:p w14:paraId="2DBF85A7" w14:textId="3BB62E1A" w:rsidR="00A16694" w:rsidRPr="004D1168" w:rsidRDefault="00A16694" w:rsidP="00167924">
            <w:pPr>
              <w:jc w:val="center"/>
              <w:rPr>
                <w:sz w:val="16"/>
                <w:szCs w:val="16"/>
              </w:rPr>
            </w:pPr>
            <w:r w:rsidRPr="004D1168">
              <w:rPr>
                <w:sz w:val="16"/>
                <w:szCs w:val="16"/>
              </w:rPr>
              <w:t>24,703</w:t>
            </w:r>
          </w:p>
        </w:tc>
        <w:tc>
          <w:tcPr>
            <w:tcW w:w="600" w:type="pct"/>
            <w:tcBorders>
              <w:top w:val="nil"/>
              <w:left w:val="nil"/>
              <w:bottom w:val="nil"/>
              <w:right w:val="nil"/>
            </w:tcBorders>
            <w:shd w:val="clear" w:color="auto" w:fill="auto"/>
            <w:noWrap/>
            <w:vAlign w:val="center"/>
            <w:hideMark/>
          </w:tcPr>
          <w:p w14:paraId="277724B2" w14:textId="1F1753BF" w:rsidR="00A16694" w:rsidRPr="004D1168" w:rsidRDefault="00A16694" w:rsidP="00167924">
            <w:pPr>
              <w:jc w:val="center"/>
              <w:rPr>
                <w:sz w:val="16"/>
                <w:szCs w:val="16"/>
              </w:rPr>
            </w:pPr>
            <w:r w:rsidRPr="004D1168">
              <w:rPr>
                <w:sz w:val="16"/>
                <w:szCs w:val="16"/>
              </w:rPr>
              <w:t>29.5</w:t>
            </w:r>
          </w:p>
        </w:tc>
        <w:tc>
          <w:tcPr>
            <w:tcW w:w="872" w:type="pct"/>
            <w:tcBorders>
              <w:top w:val="nil"/>
              <w:left w:val="nil"/>
              <w:bottom w:val="nil"/>
              <w:right w:val="nil"/>
            </w:tcBorders>
            <w:shd w:val="clear" w:color="auto" w:fill="auto"/>
            <w:noWrap/>
            <w:vAlign w:val="center"/>
            <w:hideMark/>
          </w:tcPr>
          <w:p w14:paraId="20C79004" w14:textId="2E327413" w:rsidR="00A16694" w:rsidRPr="004D1168" w:rsidRDefault="00A16694" w:rsidP="00167924">
            <w:pPr>
              <w:jc w:val="center"/>
              <w:rPr>
                <w:sz w:val="16"/>
                <w:szCs w:val="16"/>
              </w:rPr>
            </w:pPr>
            <w:r w:rsidRPr="004D1168">
              <w:rPr>
                <w:sz w:val="16"/>
                <w:szCs w:val="16"/>
              </w:rPr>
              <w:t>3,303</w:t>
            </w:r>
          </w:p>
        </w:tc>
        <w:tc>
          <w:tcPr>
            <w:tcW w:w="540" w:type="pct"/>
            <w:tcBorders>
              <w:top w:val="nil"/>
              <w:left w:val="nil"/>
              <w:bottom w:val="nil"/>
              <w:right w:val="nil"/>
            </w:tcBorders>
            <w:shd w:val="clear" w:color="auto" w:fill="auto"/>
            <w:noWrap/>
            <w:vAlign w:val="center"/>
            <w:hideMark/>
          </w:tcPr>
          <w:p w14:paraId="22ECAAA5" w14:textId="77777777" w:rsidR="00A16694" w:rsidRPr="004D1168" w:rsidRDefault="00A16694" w:rsidP="00167924">
            <w:pPr>
              <w:jc w:val="center"/>
              <w:rPr>
                <w:sz w:val="16"/>
                <w:szCs w:val="16"/>
              </w:rPr>
            </w:pPr>
            <w:r w:rsidRPr="004D1168">
              <w:rPr>
                <w:sz w:val="16"/>
                <w:szCs w:val="16"/>
              </w:rPr>
              <w:t>0.5</w:t>
            </w:r>
          </w:p>
        </w:tc>
      </w:tr>
      <w:tr w:rsidR="006B42D6" w:rsidRPr="006B42D6" w14:paraId="4666D336" w14:textId="77777777" w:rsidTr="00DB5175">
        <w:trPr>
          <w:trHeight w:val="283"/>
        </w:trPr>
        <w:tc>
          <w:tcPr>
            <w:tcW w:w="987" w:type="pct"/>
            <w:tcBorders>
              <w:top w:val="nil"/>
              <w:left w:val="nil"/>
              <w:bottom w:val="nil"/>
              <w:right w:val="nil"/>
            </w:tcBorders>
            <w:shd w:val="clear" w:color="auto" w:fill="auto"/>
            <w:vAlign w:val="center"/>
            <w:hideMark/>
          </w:tcPr>
          <w:p w14:paraId="015F2BBD" w14:textId="77777777" w:rsidR="00A16694" w:rsidRPr="004D1168" w:rsidRDefault="00A16694" w:rsidP="00167924">
            <w:pPr>
              <w:jc w:val="left"/>
              <w:rPr>
                <w:sz w:val="16"/>
                <w:szCs w:val="16"/>
              </w:rPr>
            </w:pPr>
            <w:r w:rsidRPr="004D1168">
              <w:rPr>
                <w:sz w:val="16"/>
                <w:szCs w:val="16"/>
              </w:rPr>
              <w:t>Lindi</w:t>
            </w:r>
          </w:p>
        </w:tc>
        <w:tc>
          <w:tcPr>
            <w:tcW w:w="686" w:type="pct"/>
            <w:tcBorders>
              <w:top w:val="nil"/>
              <w:left w:val="nil"/>
              <w:bottom w:val="nil"/>
              <w:right w:val="nil"/>
            </w:tcBorders>
            <w:shd w:val="clear" w:color="auto" w:fill="auto"/>
            <w:noWrap/>
            <w:vAlign w:val="center"/>
            <w:hideMark/>
          </w:tcPr>
          <w:p w14:paraId="3B1D915B" w14:textId="51FDB190" w:rsidR="00A16694" w:rsidRPr="004D1168" w:rsidRDefault="00A16694" w:rsidP="00167924">
            <w:pPr>
              <w:jc w:val="center"/>
              <w:rPr>
                <w:sz w:val="16"/>
                <w:szCs w:val="16"/>
              </w:rPr>
            </w:pPr>
            <w:r w:rsidRPr="004D1168">
              <w:rPr>
                <w:sz w:val="16"/>
                <w:szCs w:val="16"/>
              </w:rPr>
              <w:t>54,477</w:t>
            </w:r>
          </w:p>
        </w:tc>
        <w:tc>
          <w:tcPr>
            <w:tcW w:w="629" w:type="pct"/>
            <w:tcBorders>
              <w:top w:val="nil"/>
              <w:left w:val="nil"/>
              <w:bottom w:val="nil"/>
              <w:right w:val="nil"/>
            </w:tcBorders>
            <w:shd w:val="clear" w:color="auto" w:fill="auto"/>
            <w:noWrap/>
            <w:vAlign w:val="center"/>
            <w:hideMark/>
          </w:tcPr>
          <w:p w14:paraId="785E2387" w14:textId="4D63DD3D" w:rsidR="00A16694" w:rsidRPr="004D1168" w:rsidRDefault="00A16694" w:rsidP="00167924">
            <w:pPr>
              <w:jc w:val="center"/>
              <w:rPr>
                <w:sz w:val="16"/>
                <w:szCs w:val="16"/>
              </w:rPr>
            </w:pPr>
            <w:r w:rsidRPr="004D1168">
              <w:rPr>
                <w:sz w:val="16"/>
                <w:szCs w:val="16"/>
              </w:rPr>
              <w:t>1.3</w:t>
            </w:r>
          </w:p>
        </w:tc>
        <w:tc>
          <w:tcPr>
            <w:tcW w:w="686" w:type="pct"/>
            <w:tcBorders>
              <w:top w:val="nil"/>
              <w:left w:val="nil"/>
              <w:bottom w:val="nil"/>
              <w:right w:val="nil"/>
            </w:tcBorders>
            <w:shd w:val="clear" w:color="auto" w:fill="auto"/>
            <w:noWrap/>
            <w:vAlign w:val="center"/>
            <w:hideMark/>
          </w:tcPr>
          <w:p w14:paraId="4E85E4AF" w14:textId="143EB479" w:rsidR="00A16694" w:rsidRPr="004D1168" w:rsidRDefault="00A16694" w:rsidP="00167924">
            <w:pPr>
              <w:jc w:val="center"/>
              <w:rPr>
                <w:sz w:val="16"/>
                <w:szCs w:val="16"/>
              </w:rPr>
            </w:pPr>
            <w:r w:rsidRPr="004D1168">
              <w:rPr>
                <w:sz w:val="16"/>
                <w:szCs w:val="16"/>
              </w:rPr>
              <w:t>2,712</w:t>
            </w:r>
          </w:p>
        </w:tc>
        <w:tc>
          <w:tcPr>
            <w:tcW w:w="600" w:type="pct"/>
            <w:tcBorders>
              <w:top w:val="nil"/>
              <w:left w:val="nil"/>
              <w:bottom w:val="nil"/>
              <w:right w:val="nil"/>
            </w:tcBorders>
            <w:shd w:val="clear" w:color="auto" w:fill="auto"/>
            <w:noWrap/>
            <w:vAlign w:val="center"/>
            <w:hideMark/>
          </w:tcPr>
          <w:p w14:paraId="01A2E41F" w14:textId="03A3F94C" w:rsidR="00A16694" w:rsidRPr="004D1168" w:rsidRDefault="00A16694" w:rsidP="00167924">
            <w:pPr>
              <w:jc w:val="center"/>
              <w:rPr>
                <w:sz w:val="16"/>
                <w:szCs w:val="16"/>
              </w:rPr>
            </w:pPr>
            <w:r w:rsidRPr="004D1168">
              <w:rPr>
                <w:sz w:val="16"/>
                <w:szCs w:val="16"/>
              </w:rPr>
              <w:t>3.2</w:t>
            </w:r>
          </w:p>
        </w:tc>
        <w:tc>
          <w:tcPr>
            <w:tcW w:w="872" w:type="pct"/>
            <w:tcBorders>
              <w:top w:val="nil"/>
              <w:left w:val="nil"/>
              <w:bottom w:val="nil"/>
              <w:right w:val="nil"/>
            </w:tcBorders>
            <w:shd w:val="clear" w:color="auto" w:fill="auto"/>
            <w:noWrap/>
            <w:vAlign w:val="center"/>
            <w:hideMark/>
          </w:tcPr>
          <w:p w14:paraId="611624DE" w14:textId="35109938" w:rsidR="00A16694" w:rsidRPr="004D1168" w:rsidRDefault="00A16694" w:rsidP="00167924">
            <w:pPr>
              <w:jc w:val="center"/>
              <w:rPr>
                <w:sz w:val="16"/>
                <w:szCs w:val="16"/>
              </w:rPr>
            </w:pPr>
            <w:r w:rsidRPr="004D1168">
              <w:rPr>
                <w:sz w:val="16"/>
                <w:szCs w:val="16"/>
              </w:rPr>
              <w:t>16,237</w:t>
            </w:r>
          </w:p>
        </w:tc>
        <w:tc>
          <w:tcPr>
            <w:tcW w:w="540" w:type="pct"/>
            <w:tcBorders>
              <w:top w:val="nil"/>
              <w:left w:val="nil"/>
              <w:bottom w:val="nil"/>
              <w:right w:val="nil"/>
            </w:tcBorders>
            <w:shd w:val="clear" w:color="auto" w:fill="auto"/>
            <w:noWrap/>
            <w:vAlign w:val="center"/>
            <w:hideMark/>
          </w:tcPr>
          <w:p w14:paraId="29914DEA" w14:textId="77777777" w:rsidR="00A16694" w:rsidRPr="004D1168" w:rsidRDefault="00A16694" w:rsidP="00167924">
            <w:pPr>
              <w:jc w:val="center"/>
              <w:rPr>
                <w:sz w:val="16"/>
                <w:szCs w:val="16"/>
              </w:rPr>
            </w:pPr>
            <w:r w:rsidRPr="004D1168">
              <w:rPr>
                <w:sz w:val="16"/>
                <w:szCs w:val="16"/>
              </w:rPr>
              <w:t>2.5</w:t>
            </w:r>
          </w:p>
        </w:tc>
      </w:tr>
      <w:tr w:rsidR="006B42D6" w:rsidRPr="006B42D6" w14:paraId="2C6F0ADB" w14:textId="77777777" w:rsidTr="00DB5175">
        <w:trPr>
          <w:trHeight w:val="283"/>
        </w:trPr>
        <w:tc>
          <w:tcPr>
            <w:tcW w:w="987" w:type="pct"/>
            <w:tcBorders>
              <w:top w:val="nil"/>
              <w:left w:val="nil"/>
              <w:bottom w:val="nil"/>
              <w:right w:val="nil"/>
            </w:tcBorders>
            <w:shd w:val="clear" w:color="auto" w:fill="auto"/>
            <w:vAlign w:val="center"/>
            <w:hideMark/>
          </w:tcPr>
          <w:p w14:paraId="71C1AA36" w14:textId="77777777" w:rsidR="00A16694" w:rsidRPr="004D1168" w:rsidRDefault="00A16694" w:rsidP="00167924">
            <w:pPr>
              <w:jc w:val="left"/>
              <w:rPr>
                <w:sz w:val="16"/>
                <w:szCs w:val="16"/>
              </w:rPr>
            </w:pPr>
            <w:r w:rsidRPr="004D1168">
              <w:rPr>
                <w:sz w:val="16"/>
                <w:szCs w:val="16"/>
              </w:rPr>
              <w:t>Mtwara</w:t>
            </w:r>
          </w:p>
        </w:tc>
        <w:tc>
          <w:tcPr>
            <w:tcW w:w="686" w:type="pct"/>
            <w:tcBorders>
              <w:top w:val="nil"/>
              <w:left w:val="nil"/>
              <w:bottom w:val="nil"/>
              <w:right w:val="nil"/>
            </w:tcBorders>
            <w:shd w:val="clear" w:color="auto" w:fill="auto"/>
            <w:noWrap/>
            <w:vAlign w:val="center"/>
            <w:hideMark/>
          </w:tcPr>
          <w:p w14:paraId="2DABD387" w14:textId="2C21B68E" w:rsidR="00A16694" w:rsidRPr="004D1168" w:rsidRDefault="00A16694" w:rsidP="00167924">
            <w:pPr>
              <w:jc w:val="center"/>
              <w:rPr>
                <w:sz w:val="16"/>
                <w:szCs w:val="16"/>
              </w:rPr>
            </w:pPr>
            <w:r w:rsidRPr="004D1168">
              <w:rPr>
                <w:sz w:val="16"/>
                <w:szCs w:val="16"/>
              </w:rPr>
              <w:t>41,922</w:t>
            </w:r>
          </w:p>
        </w:tc>
        <w:tc>
          <w:tcPr>
            <w:tcW w:w="629" w:type="pct"/>
            <w:tcBorders>
              <w:top w:val="nil"/>
              <w:left w:val="nil"/>
              <w:bottom w:val="nil"/>
              <w:right w:val="nil"/>
            </w:tcBorders>
            <w:shd w:val="clear" w:color="auto" w:fill="auto"/>
            <w:noWrap/>
            <w:vAlign w:val="center"/>
            <w:hideMark/>
          </w:tcPr>
          <w:p w14:paraId="33DEA9E6" w14:textId="5B6D0833" w:rsidR="00A16694" w:rsidRPr="004D1168" w:rsidRDefault="00A16694" w:rsidP="00167924">
            <w:pPr>
              <w:jc w:val="center"/>
              <w:rPr>
                <w:sz w:val="16"/>
                <w:szCs w:val="16"/>
              </w:rPr>
            </w:pPr>
            <w:r w:rsidRPr="004D1168">
              <w:rPr>
                <w:sz w:val="16"/>
                <w:szCs w:val="16"/>
              </w:rPr>
              <w:t>1.0</w:t>
            </w:r>
          </w:p>
        </w:tc>
        <w:tc>
          <w:tcPr>
            <w:tcW w:w="686" w:type="pct"/>
            <w:tcBorders>
              <w:top w:val="nil"/>
              <w:left w:val="nil"/>
              <w:bottom w:val="nil"/>
              <w:right w:val="nil"/>
            </w:tcBorders>
            <w:shd w:val="clear" w:color="auto" w:fill="auto"/>
            <w:noWrap/>
            <w:vAlign w:val="center"/>
            <w:hideMark/>
          </w:tcPr>
          <w:p w14:paraId="0028BDD1" w14:textId="3D50A3F9" w:rsidR="00A16694" w:rsidRPr="004D1168" w:rsidRDefault="00A16694" w:rsidP="00167924">
            <w:pPr>
              <w:jc w:val="center"/>
              <w:rPr>
                <w:sz w:val="16"/>
                <w:szCs w:val="16"/>
              </w:rPr>
            </w:pPr>
            <w:r w:rsidRPr="004D1168">
              <w:rPr>
                <w:sz w:val="16"/>
                <w:szCs w:val="16"/>
              </w:rPr>
              <w:t>9,224</w:t>
            </w:r>
          </w:p>
        </w:tc>
        <w:tc>
          <w:tcPr>
            <w:tcW w:w="600" w:type="pct"/>
            <w:tcBorders>
              <w:top w:val="nil"/>
              <w:left w:val="nil"/>
              <w:bottom w:val="nil"/>
              <w:right w:val="nil"/>
            </w:tcBorders>
            <w:shd w:val="clear" w:color="auto" w:fill="auto"/>
            <w:noWrap/>
            <w:vAlign w:val="center"/>
            <w:hideMark/>
          </w:tcPr>
          <w:p w14:paraId="3606A590" w14:textId="3925F2E2" w:rsidR="00A16694" w:rsidRPr="004D1168" w:rsidRDefault="00A16694" w:rsidP="00167924">
            <w:pPr>
              <w:jc w:val="center"/>
              <w:rPr>
                <w:sz w:val="16"/>
                <w:szCs w:val="16"/>
              </w:rPr>
            </w:pPr>
            <w:r w:rsidRPr="004D1168">
              <w:rPr>
                <w:sz w:val="16"/>
                <w:szCs w:val="16"/>
              </w:rPr>
              <w:t>11.0</w:t>
            </w:r>
          </w:p>
        </w:tc>
        <w:tc>
          <w:tcPr>
            <w:tcW w:w="872" w:type="pct"/>
            <w:tcBorders>
              <w:top w:val="nil"/>
              <w:left w:val="nil"/>
              <w:bottom w:val="nil"/>
              <w:right w:val="nil"/>
            </w:tcBorders>
            <w:shd w:val="clear" w:color="auto" w:fill="auto"/>
            <w:noWrap/>
            <w:vAlign w:val="center"/>
            <w:hideMark/>
          </w:tcPr>
          <w:p w14:paraId="380A465A" w14:textId="59611C63" w:rsidR="00A16694" w:rsidRPr="004D1168" w:rsidRDefault="00A16694" w:rsidP="00167924">
            <w:pPr>
              <w:jc w:val="center"/>
              <w:rPr>
                <w:sz w:val="16"/>
                <w:szCs w:val="16"/>
              </w:rPr>
            </w:pPr>
            <w:r w:rsidRPr="004D1168">
              <w:rPr>
                <w:sz w:val="16"/>
                <w:szCs w:val="16"/>
              </w:rPr>
              <w:t>10,611</w:t>
            </w:r>
          </w:p>
        </w:tc>
        <w:tc>
          <w:tcPr>
            <w:tcW w:w="540" w:type="pct"/>
            <w:tcBorders>
              <w:top w:val="nil"/>
              <w:left w:val="nil"/>
              <w:bottom w:val="nil"/>
              <w:right w:val="nil"/>
            </w:tcBorders>
            <w:shd w:val="clear" w:color="auto" w:fill="auto"/>
            <w:noWrap/>
            <w:vAlign w:val="center"/>
            <w:hideMark/>
          </w:tcPr>
          <w:p w14:paraId="7D39C608" w14:textId="77777777" w:rsidR="00A16694" w:rsidRPr="004D1168" w:rsidRDefault="00A16694" w:rsidP="00167924">
            <w:pPr>
              <w:jc w:val="center"/>
              <w:rPr>
                <w:sz w:val="16"/>
                <w:szCs w:val="16"/>
              </w:rPr>
            </w:pPr>
            <w:r w:rsidRPr="004D1168">
              <w:rPr>
                <w:sz w:val="16"/>
                <w:szCs w:val="16"/>
              </w:rPr>
              <w:t>1.6</w:t>
            </w:r>
          </w:p>
        </w:tc>
      </w:tr>
      <w:tr w:rsidR="006B42D6" w:rsidRPr="006B42D6" w14:paraId="5CF2F6EC" w14:textId="77777777" w:rsidTr="00DB5175">
        <w:trPr>
          <w:trHeight w:val="283"/>
        </w:trPr>
        <w:tc>
          <w:tcPr>
            <w:tcW w:w="987" w:type="pct"/>
            <w:tcBorders>
              <w:top w:val="nil"/>
              <w:left w:val="nil"/>
              <w:bottom w:val="nil"/>
              <w:right w:val="nil"/>
            </w:tcBorders>
            <w:shd w:val="clear" w:color="auto" w:fill="auto"/>
            <w:vAlign w:val="center"/>
            <w:hideMark/>
          </w:tcPr>
          <w:p w14:paraId="3B004767" w14:textId="77777777" w:rsidR="00A16694" w:rsidRPr="004D1168" w:rsidRDefault="00A16694" w:rsidP="00167924">
            <w:pPr>
              <w:jc w:val="left"/>
              <w:rPr>
                <w:sz w:val="16"/>
                <w:szCs w:val="16"/>
              </w:rPr>
            </w:pPr>
            <w:r w:rsidRPr="004D1168">
              <w:rPr>
                <w:sz w:val="16"/>
                <w:szCs w:val="16"/>
              </w:rPr>
              <w:t>Ruvuma</w:t>
            </w:r>
          </w:p>
        </w:tc>
        <w:tc>
          <w:tcPr>
            <w:tcW w:w="686" w:type="pct"/>
            <w:tcBorders>
              <w:top w:val="nil"/>
              <w:left w:val="nil"/>
              <w:bottom w:val="nil"/>
              <w:right w:val="nil"/>
            </w:tcBorders>
            <w:shd w:val="clear" w:color="auto" w:fill="auto"/>
            <w:noWrap/>
            <w:vAlign w:val="center"/>
            <w:hideMark/>
          </w:tcPr>
          <w:p w14:paraId="14C01E13" w14:textId="558663D5" w:rsidR="00A16694" w:rsidRPr="004D1168" w:rsidRDefault="00A16694" w:rsidP="00167924">
            <w:pPr>
              <w:jc w:val="center"/>
              <w:rPr>
                <w:sz w:val="16"/>
                <w:szCs w:val="16"/>
              </w:rPr>
            </w:pPr>
            <w:r w:rsidRPr="004D1168">
              <w:rPr>
                <w:sz w:val="16"/>
                <w:szCs w:val="16"/>
              </w:rPr>
              <w:t>88,469</w:t>
            </w:r>
          </w:p>
        </w:tc>
        <w:tc>
          <w:tcPr>
            <w:tcW w:w="629" w:type="pct"/>
            <w:tcBorders>
              <w:top w:val="nil"/>
              <w:left w:val="nil"/>
              <w:bottom w:val="nil"/>
              <w:right w:val="nil"/>
            </w:tcBorders>
            <w:shd w:val="clear" w:color="auto" w:fill="auto"/>
            <w:noWrap/>
            <w:vAlign w:val="center"/>
            <w:hideMark/>
          </w:tcPr>
          <w:p w14:paraId="294E88B5" w14:textId="5A318204" w:rsidR="00A16694" w:rsidRPr="004D1168" w:rsidRDefault="00A16694" w:rsidP="00167924">
            <w:pPr>
              <w:jc w:val="center"/>
              <w:rPr>
                <w:sz w:val="16"/>
                <w:szCs w:val="16"/>
              </w:rPr>
            </w:pPr>
            <w:r w:rsidRPr="004D1168">
              <w:rPr>
                <w:sz w:val="16"/>
                <w:szCs w:val="16"/>
              </w:rPr>
              <w:t>2.1</w:t>
            </w:r>
          </w:p>
        </w:tc>
        <w:tc>
          <w:tcPr>
            <w:tcW w:w="686" w:type="pct"/>
            <w:tcBorders>
              <w:top w:val="nil"/>
              <w:left w:val="nil"/>
              <w:bottom w:val="nil"/>
              <w:right w:val="nil"/>
            </w:tcBorders>
            <w:shd w:val="clear" w:color="auto" w:fill="auto"/>
            <w:noWrap/>
            <w:vAlign w:val="center"/>
            <w:hideMark/>
          </w:tcPr>
          <w:p w14:paraId="44DF5E5F" w14:textId="49D4A8B2" w:rsidR="00A16694" w:rsidRPr="004D1168" w:rsidRDefault="00A16694" w:rsidP="00167924">
            <w:pPr>
              <w:jc w:val="center"/>
              <w:rPr>
                <w:sz w:val="16"/>
                <w:szCs w:val="16"/>
              </w:rPr>
            </w:pPr>
            <w:r w:rsidRPr="004D1168">
              <w:rPr>
                <w:sz w:val="16"/>
                <w:szCs w:val="16"/>
              </w:rPr>
              <w:t>1,155</w:t>
            </w:r>
          </w:p>
        </w:tc>
        <w:tc>
          <w:tcPr>
            <w:tcW w:w="600" w:type="pct"/>
            <w:tcBorders>
              <w:top w:val="nil"/>
              <w:left w:val="nil"/>
              <w:bottom w:val="nil"/>
              <w:right w:val="nil"/>
            </w:tcBorders>
            <w:shd w:val="clear" w:color="auto" w:fill="auto"/>
            <w:noWrap/>
            <w:vAlign w:val="center"/>
            <w:hideMark/>
          </w:tcPr>
          <w:p w14:paraId="48343B74" w14:textId="244354DA" w:rsidR="00A16694" w:rsidRPr="004D1168" w:rsidRDefault="00A16694" w:rsidP="00167924">
            <w:pPr>
              <w:jc w:val="center"/>
              <w:rPr>
                <w:sz w:val="16"/>
                <w:szCs w:val="16"/>
              </w:rPr>
            </w:pPr>
            <w:r w:rsidRPr="004D1168">
              <w:rPr>
                <w:sz w:val="16"/>
                <w:szCs w:val="16"/>
              </w:rPr>
              <w:t>1.4</w:t>
            </w:r>
          </w:p>
        </w:tc>
        <w:tc>
          <w:tcPr>
            <w:tcW w:w="872" w:type="pct"/>
            <w:tcBorders>
              <w:top w:val="nil"/>
              <w:left w:val="nil"/>
              <w:bottom w:val="nil"/>
              <w:right w:val="nil"/>
            </w:tcBorders>
            <w:shd w:val="clear" w:color="auto" w:fill="auto"/>
            <w:noWrap/>
            <w:vAlign w:val="center"/>
            <w:hideMark/>
          </w:tcPr>
          <w:p w14:paraId="16D99BEC" w14:textId="118AA5BE" w:rsidR="00A16694" w:rsidRPr="004D1168" w:rsidRDefault="00A16694" w:rsidP="00167924">
            <w:pPr>
              <w:jc w:val="center"/>
              <w:rPr>
                <w:sz w:val="16"/>
                <w:szCs w:val="16"/>
              </w:rPr>
            </w:pPr>
            <w:r w:rsidRPr="004D1168">
              <w:rPr>
                <w:sz w:val="16"/>
                <w:szCs w:val="16"/>
              </w:rPr>
              <w:t>12,538</w:t>
            </w:r>
          </w:p>
        </w:tc>
        <w:tc>
          <w:tcPr>
            <w:tcW w:w="540" w:type="pct"/>
            <w:tcBorders>
              <w:top w:val="nil"/>
              <w:left w:val="nil"/>
              <w:bottom w:val="nil"/>
              <w:right w:val="nil"/>
            </w:tcBorders>
            <w:shd w:val="clear" w:color="auto" w:fill="auto"/>
            <w:noWrap/>
            <w:vAlign w:val="center"/>
            <w:hideMark/>
          </w:tcPr>
          <w:p w14:paraId="353F6ADA" w14:textId="77777777" w:rsidR="00A16694" w:rsidRPr="004D1168" w:rsidRDefault="00A16694" w:rsidP="00167924">
            <w:pPr>
              <w:jc w:val="center"/>
              <w:rPr>
                <w:sz w:val="16"/>
                <w:szCs w:val="16"/>
              </w:rPr>
            </w:pPr>
            <w:r w:rsidRPr="004D1168">
              <w:rPr>
                <w:sz w:val="16"/>
                <w:szCs w:val="16"/>
              </w:rPr>
              <w:t>1.9</w:t>
            </w:r>
          </w:p>
        </w:tc>
      </w:tr>
      <w:tr w:rsidR="006B42D6" w:rsidRPr="006B42D6" w14:paraId="099971AB" w14:textId="77777777" w:rsidTr="00DB5175">
        <w:trPr>
          <w:trHeight w:val="283"/>
        </w:trPr>
        <w:tc>
          <w:tcPr>
            <w:tcW w:w="987" w:type="pct"/>
            <w:tcBorders>
              <w:top w:val="nil"/>
              <w:left w:val="nil"/>
              <w:bottom w:val="nil"/>
              <w:right w:val="nil"/>
            </w:tcBorders>
            <w:shd w:val="clear" w:color="auto" w:fill="auto"/>
            <w:vAlign w:val="center"/>
            <w:hideMark/>
          </w:tcPr>
          <w:p w14:paraId="6FF7B1BE" w14:textId="77777777" w:rsidR="00A16694" w:rsidRPr="004D1168" w:rsidRDefault="00A16694" w:rsidP="00167924">
            <w:pPr>
              <w:jc w:val="left"/>
              <w:rPr>
                <w:sz w:val="16"/>
                <w:szCs w:val="16"/>
              </w:rPr>
            </w:pPr>
            <w:r w:rsidRPr="004D1168">
              <w:rPr>
                <w:sz w:val="16"/>
                <w:szCs w:val="16"/>
              </w:rPr>
              <w:t>Iringa</w:t>
            </w:r>
          </w:p>
        </w:tc>
        <w:tc>
          <w:tcPr>
            <w:tcW w:w="686" w:type="pct"/>
            <w:tcBorders>
              <w:top w:val="nil"/>
              <w:left w:val="nil"/>
              <w:bottom w:val="nil"/>
              <w:right w:val="nil"/>
            </w:tcBorders>
            <w:shd w:val="clear" w:color="auto" w:fill="auto"/>
            <w:noWrap/>
            <w:vAlign w:val="center"/>
            <w:hideMark/>
          </w:tcPr>
          <w:p w14:paraId="0C6AC973" w14:textId="562C1C6D" w:rsidR="00A16694" w:rsidRPr="004D1168" w:rsidRDefault="00A16694" w:rsidP="00167924">
            <w:pPr>
              <w:jc w:val="center"/>
              <w:rPr>
                <w:sz w:val="16"/>
                <w:szCs w:val="16"/>
              </w:rPr>
            </w:pPr>
            <w:r w:rsidRPr="004D1168">
              <w:rPr>
                <w:sz w:val="16"/>
                <w:szCs w:val="16"/>
              </w:rPr>
              <w:t>175,836</w:t>
            </w:r>
          </w:p>
        </w:tc>
        <w:tc>
          <w:tcPr>
            <w:tcW w:w="629" w:type="pct"/>
            <w:tcBorders>
              <w:top w:val="nil"/>
              <w:left w:val="nil"/>
              <w:bottom w:val="nil"/>
              <w:right w:val="nil"/>
            </w:tcBorders>
            <w:shd w:val="clear" w:color="auto" w:fill="auto"/>
            <w:noWrap/>
            <w:vAlign w:val="center"/>
            <w:hideMark/>
          </w:tcPr>
          <w:p w14:paraId="77BF0B54" w14:textId="65F73541" w:rsidR="00A16694" w:rsidRPr="004D1168" w:rsidRDefault="00A16694" w:rsidP="00167924">
            <w:pPr>
              <w:jc w:val="center"/>
              <w:rPr>
                <w:sz w:val="16"/>
                <w:szCs w:val="16"/>
              </w:rPr>
            </w:pPr>
            <w:r w:rsidRPr="004D1168">
              <w:rPr>
                <w:sz w:val="16"/>
                <w:szCs w:val="16"/>
              </w:rPr>
              <w:t>4.2</w:t>
            </w:r>
          </w:p>
        </w:tc>
        <w:tc>
          <w:tcPr>
            <w:tcW w:w="686" w:type="pct"/>
            <w:tcBorders>
              <w:top w:val="nil"/>
              <w:left w:val="nil"/>
              <w:bottom w:val="nil"/>
              <w:right w:val="nil"/>
            </w:tcBorders>
            <w:shd w:val="clear" w:color="auto" w:fill="auto"/>
            <w:noWrap/>
            <w:vAlign w:val="center"/>
            <w:hideMark/>
          </w:tcPr>
          <w:p w14:paraId="77228B73" w14:textId="6DFE71DF" w:rsidR="00A16694" w:rsidRPr="004D1168" w:rsidRDefault="00A16694" w:rsidP="00167924">
            <w:pPr>
              <w:jc w:val="center"/>
              <w:rPr>
                <w:sz w:val="16"/>
                <w:szCs w:val="16"/>
              </w:rPr>
            </w:pPr>
            <w:r w:rsidRPr="004D1168">
              <w:rPr>
                <w:sz w:val="16"/>
                <w:szCs w:val="16"/>
              </w:rPr>
              <w:t>2,203</w:t>
            </w:r>
          </w:p>
        </w:tc>
        <w:tc>
          <w:tcPr>
            <w:tcW w:w="600" w:type="pct"/>
            <w:tcBorders>
              <w:top w:val="nil"/>
              <w:left w:val="nil"/>
              <w:bottom w:val="nil"/>
              <w:right w:val="nil"/>
            </w:tcBorders>
            <w:shd w:val="clear" w:color="auto" w:fill="auto"/>
            <w:noWrap/>
            <w:vAlign w:val="center"/>
            <w:hideMark/>
          </w:tcPr>
          <w:p w14:paraId="034CB763" w14:textId="633E70C7" w:rsidR="00A16694" w:rsidRPr="004D1168" w:rsidRDefault="00A16694" w:rsidP="00167924">
            <w:pPr>
              <w:jc w:val="center"/>
              <w:rPr>
                <w:sz w:val="16"/>
                <w:szCs w:val="16"/>
              </w:rPr>
            </w:pPr>
            <w:r w:rsidRPr="004D1168">
              <w:rPr>
                <w:sz w:val="16"/>
                <w:szCs w:val="16"/>
              </w:rPr>
              <w:t>2.6</w:t>
            </w:r>
          </w:p>
        </w:tc>
        <w:tc>
          <w:tcPr>
            <w:tcW w:w="872" w:type="pct"/>
            <w:tcBorders>
              <w:top w:val="nil"/>
              <w:left w:val="nil"/>
              <w:bottom w:val="nil"/>
              <w:right w:val="nil"/>
            </w:tcBorders>
            <w:shd w:val="clear" w:color="auto" w:fill="auto"/>
            <w:noWrap/>
            <w:vAlign w:val="center"/>
            <w:hideMark/>
          </w:tcPr>
          <w:p w14:paraId="31240724" w14:textId="67C7085F" w:rsidR="00A16694" w:rsidRPr="004D1168" w:rsidRDefault="00A16694" w:rsidP="00167924">
            <w:pPr>
              <w:jc w:val="center"/>
              <w:rPr>
                <w:sz w:val="16"/>
                <w:szCs w:val="16"/>
              </w:rPr>
            </w:pPr>
            <w:r w:rsidRPr="004D1168">
              <w:rPr>
                <w:sz w:val="16"/>
                <w:szCs w:val="16"/>
              </w:rPr>
              <w:t>13,502</w:t>
            </w:r>
          </w:p>
        </w:tc>
        <w:tc>
          <w:tcPr>
            <w:tcW w:w="540" w:type="pct"/>
            <w:tcBorders>
              <w:top w:val="nil"/>
              <w:left w:val="nil"/>
              <w:bottom w:val="nil"/>
              <w:right w:val="nil"/>
            </w:tcBorders>
            <w:shd w:val="clear" w:color="auto" w:fill="auto"/>
            <w:noWrap/>
            <w:vAlign w:val="center"/>
            <w:hideMark/>
          </w:tcPr>
          <w:p w14:paraId="4E32B012" w14:textId="77777777" w:rsidR="00A16694" w:rsidRPr="004D1168" w:rsidRDefault="00A16694" w:rsidP="00167924">
            <w:pPr>
              <w:jc w:val="center"/>
              <w:rPr>
                <w:sz w:val="16"/>
                <w:szCs w:val="16"/>
              </w:rPr>
            </w:pPr>
            <w:r w:rsidRPr="004D1168">
              <w:rPr>
                <w:sz w:val="16"/>
                <w:szCs w:val="16"/>
              </w:rPr>
              <w:t>2.1</w:t>
            </w:r>
          </w:p>
        </w:tc>
      </w:tr>
      <w:tr w:rsidR="006B42D6" w:rsidRPr="006B42D6" w14:paraId="5958786A" w14:textId="77777777" w:rsidTr="00DB5175">
        <w:trPr>
          <w:trHeight w:val="283"/>
        </w:trPr>
        <w:tc>
          <w:tcPr>
            <w:tcW w:w="987" w:type="pct"/>
            <w:tcBorders>
              <w:top w:val="nil"/>
              <w:left w:val="nil"/>
              <w:bottom w:val="nil"/>
              <w:right w:val="nil"/>
            </w:tcBorders>
            <w:shd w:val="clear" w:color="auto" w:fill="auto"/>
            <w:vAlign w:val="center"/>
            <w:hideMark/>
          </w:tcPr>
          <w:p w14:paraId="5EAA5967" w14:textId="77777777" w:rsidR="00A16694" w:rsidRPr="004D1168" w:rsidRDefault="00A16694" w:rsidP="00167924">
            <w:pPr>
              <w:jc w:val="left"/>
              <w:rPr>
                <w:sz w:val="16"/>
                <w:szCs w:val="16"/>
              </w:rPr>
            </w:pPr>
            <w:r w:rsidRPr="004D1168">
              <w:rPr>
                <w:sz w:val="16"/>
                <w:szCs w:val="16"/>
              </w:rPr>
              <w:t>Mbeya</w:t>
            </w:r>
          </w:p>
        </w:tc>
        <w:tc>
          <w:tcPr>
            <w:tcW w:w="686" w:type="pct"/>
            <w:tcBorders>
              <w:top w:val="nil"/>
              <w:left w:val="nil"/>
              <w:bottom w:val="nil"/>
              <w:right w:val="nil"/>
            </w:tcBorders>
            <w:shd w:val="clear" w:color="auto" w:fill="auto"/>
            <w:noWrap/>
            <w:vAlign w:val="center"/>
            <w:hideMark/>
          </w:tcPr>
          <w:p w14:paraId="4834ABAB" w14:textId="5DCA0FB6" w:rsidR="00A16694" w:rsidRPr="004D1168" w:rsidRDefault="00A16694" w:rsidP="00167924">
            <w:pPr>
              <w:jc w:val="center"/>
              <w:rPr>
                <w:sz w:val="16"/>
                <w:szCs w:val="16"/>
              </w:rPr>
            </w:pPr>
            <w:r w:rsidRPr="004D1168">
              <w:rPr>
                <w:sz w:val="16"/>
                <w:szCs w:val="16"/>
              </w:rPr>
              <w:t>208,759</w:t>
            </w:r>
          </w:p>
        </w:tc>
        <w:tc>
          <w:tcPr>
            <w:tcW w:w="629" w:type="pct"/>
            <w:tcBorders>
              <w:top w:val="nil"/>
              <w:left w:val="nil"/>
              <w:bottom w:val="nil"/>
              <w:right w:val="nil"/>
            </w:tcBorders>
            <w:shd w:val="clear" w:color="auto" w:fill="auto"/>
            <w:noWrap/>
            <w:vAlign w:val="center"/>
            <w:hideMark/>
          </w:tcPr>
          <w:p w14:paraId="27AAA480" w14:textId="6FC9CAA8" w:rsidR="00A16694" w:rsidRPr="004D1168" w:rsidRDefault="00A16694" w:rsidP="00167924">
            <w:pPr>
              <w:jc w:val="center"/>
              <w:rPr>
                <w:sz w:val="16"/>
                <w:szCs w:val="16"/>
              </w:rPr>
            </w:pPr>
            <w:r w:rsidRPr="004D1168">
              <w:rPr>
                <w:sz w:val="16"/>
                <w:szCs w:val="16"/>
              </w:rPr>
              <w:t>4.9</w:t>
            </w:r>
          </w:p>
        </w:tc>
        <w:tc>
          <w:tcPr>
            <w:tcW w:w="686" w:type="pct"/>
            <w:tcBorders>
              <w:top w:val="nil"/>
              <w:left w:val="nil"/>
              <w:bottom w:val="nil"/>
              <w:right w:val="nil"/>
            </w:tcBorders>
            <w:shd w:val="clear" w:color="auto" w:fill="auto"/>
            <w:noWrap/>
            <w:vAlign w:val="center"/>
            <w:hideMark/>
          </w:tcPr>
          <w:p w14:paraId="5875931F" w14:textId="1456EF09" w:rsidR="00A16694" w:rsidRPr="004D1168" w:rsidRDefault="00A16694" w:rsidP="00167924">
            <w:pPr>
              <w:jc w:val="center"/>
              <w:rPr>
                <w:sz w:val="16"/>
                <w:szCs w:val="16"/>
              </w:rPr>
            </w:pPr>
            <w:r w:rsidRPr="004D1168">
              <w:rPr>
                <w:sz w:val="16"/>
                <w:szCs w:val="16"/>
              </w:rPr>
              <w:t>3,408</w:t>
            </w:r>
          </w:p>
        </w:tc>
        <w:tc>
          <w:tcPr>
            <w:tcW w:w="600" w:type="pct"/>
            <w:tcBorders>
              <w:top w:val="nil"/>
              <w:left w:val="nil"/>
              <w:bottom w:val="nil"/>
              <w:right w:val="nil"/>
            </w:tcBorders>
            <w:shd w:val="clear" w:color="auto" w:fill="auto"/>
            <w:noWrap/>
            <w:vAlign w:val="center"/>
            <w:hideMark/>
          </w:tcPr>
          <w:p w14:paraId="3199F730" w14:textId="7D758BE8" w:rsidR="00A16694" w:rsidRPr="004D1168" w:rsidRDefault="00A16694" w:rsidP="00167924">
            <w:pPr>
              <w:jc w:val="center"/>
              <w:rPr>
                <w:sz w:val="16"/>
                <w:szCs w:val="16"/>
              </w:rPr>
            </w:pPr>
            <w:r w:rsidRPr="004D1168">
              <w:rPr>
                <w:sz w:val="16"/>
                <w:szCs w:val="16"/>
              </w:rPr>
              <w:t>4.1</w:t>
            </w:r>
          </w:p>
        </w:tc>
        <w:tc>
          <w:tcPr>
            <w:tcW w:w="872" w:type="pct"/>
            <w:tcBorders>
              <w:top w:val="nil"/>
              <w:left w:val="nil"/>
              <w:bottom w:val="nil"/>
              <w:right w:val="nil"/>
            </w:tcBorders>
            <w:shd w:val="clear" w:color="auto" w:fill="auto"/>
            <w:noWrap/>
            <w:vAlign w:val="center"/>
            <w:hideMark/>
          </w:tcPr>
          <w:p w14:paraId="7AACA7A1" w14:textId="11BF8F1C" w:rsidR="00A16694" w:rsidRPr="004D1168" w:rsidRDefault="00A16694" w:rsidP="00167924">
            <w:pPr>
              <w:jc w:val="center"/>
              <w:rPr>
                <w:sz w:val="16"/>
                <w:szCs w:val="16"/>
              </w:rPr>
            </w:pPr>
            <w:r w:rsidRPr="004D1168">
              <w:rPr>
                <w:sz w:val="16"/>
                <w:szCs w:val="16"/>
              </w:rPr>
              <w:t>9,253</w:t>
            </w:r>
          </w:p>
        </w:tc>
        <w:tc>
          <w:tcPr>
            <w:tcW w:w="540" w:type="pct"/>
            <w:tcBorders>
              <w:top w:val="nil"/>
              <w:left w:val="nil"/>
              <w:bottom w:val="nil"/>
              <w:right w:val="nil"/>
            </w:tcBorders>
            <w:shd w:val="clear" w:color="auto" w:fill="auto"/>
            <w:noWrap/>
            <w:vAlign w:val="center"/>
            <w:hideMark/>
          </w:tcPr>
          <w:p w14:paraId="4CA7B85C" w14:textId="77777777" w:rsidR="00A16694" w:rsidRPr="004D1168" w:rsidRDefault="00A16694" w:rsidP="00167924">
            <w:pPr>
              <w:jc w:val="center"/>
              <w:rPr>
                <w:sz w:val="16"/>
                <w:szCs w:val="16"/>
              </w:rPr>
            </w:pPr>
            <w:r w:rsidRPr="004D1168">
              <w:rPr>
                <w:sz w:val="16"/>
                <w:szCs w:val="16"/>
              </w:rPr>
              <w:t>1.4</w:t>
            </w:r>
          </w:p>
        </w:tc>
      </w:tr>
      <w:tr w:rsidR="006B42D6" w:rsidRPr="006B42D6" w14:paraId="253741B6" w14:textId="77777777" w:rsidTr="00DB5175">
        <w:trPr>
          <w:trHeight w:val="283"/>
        </w:trPr>
        <w:tc>
          <w:tcPr>
            <w:tcW w:w="987" w:type="pct"/>
            <w:tcBorders>
              <w:top w:val="nil"/>
              <w:left w:val="nil"/>
              <w:bottom w:val="nil"/>
              <w:right w:val="nil"/>
            </w:tcBorders>
            <w:shd w:val="clear" w:color="auto" w:fill="auto"/>
            <w:vAlign w:val="center"/>
            <w:hideMark/>
          </w:tcPr>
          <w:p w14:paraId="32104FED" w14:textId="77777777" w:rsidR="00A16694" w:rsidRPr="004D1168" w:rsidRDefault="00A16694" w:rsidP="00167924">
            <w:pPr>
              <w:jc w:val="left"/>
              <w:rPr>
                <w:sz w:val="16"/>
                <w:szCs w:val="16"/>
              </w:rPr>
            </w:pPr>
            <w:r w:rsidRPr="004D1168">
              <w:rPr>
                <w:sz w:val="16"/>
                <w:szCs w:val="16"/>
              </w:rPr>
              <w:t>Singida</w:t>
            </w:r>
          </w:p>
        </w:tc>
        <w:tc>
          <w:tcPr>
            <w:tcW w:w="686" w:type="pct"/>
            <w:tcBorders>
              <w:top w:val="nil"/>
              <w:left w:val="nil"/>
              <w:bottom w:val="nil"/>
              <w:right w:val="nil"/>
            </w:tcBorders>
            <w:shd w:val="clear" w:color="auto" w:fill="auto"/>
            <w:noWrap/>
            <w:vAlign w:val="center"/>
            <w:hideMark/>
          </w:tcPr>
          <w:p w14:paraId="36D713A3" w14:textId="7E63D3EE" w:rsidR="00A16694" w:rsidRPr="004D1168" w:rsidRDefault="00A16694" w:rsidP="00167924">
            <w:pPr>
              <w:jc w:val="center"/>
              <w:rPr>
                <w:sz w:val="16"/>
                <w:szCs w:val="16"/>
              </w:rPr>
            </w:pPr>
            <w:r w:rsidRPr="004D1168">
              <w:rPr>
                <w:sz w:val="16"/>
                <w:szCs w:val="16"/>
              </w:rPr>
              <w:t>83,576</w:t>
            </w:r>
          </w:p>
        </w:tc>
        <w:tc>
          <w:tcPr>
            <w:tcW w:w="629" w:type="pct"/>
            <w:tcBorders>
              <w:top w:val="nil"/>
              <w:left w:val="nil"/>
              <w:bottom w:val="nil"/>
              <w:right w:val="nil"/>
            </w:tcBorders>
            <w:shd w:val="clear" w:color="auto" w:fill="auto"/>
            <w:noWrap/>
            <w:vAlign w:val="center"/>
            <w:hideMark/>
          </w:tcPr>
          <w:p w14:paraId="74191433" w14:textId="12B8E72E" w:rsidR="00A16694" w:rsidRPr="004D1168" w:rsidRDefault="00A16694" w:rsidP="00167924">
            <w:pPr>
              <w:jc w:val="center"/>
              <w:rPr>
                <w:sz w:val="16"/>
                <w:szCs w:val="16"/>
              </w:rPr>
            </w:pPr>
            <w:r w:rsidRPr="004D1168">
              <w:rPr>
                <w:sz w:val="16"/>
                <w:szCs w:val="16"/>
              </w:rPr>
              <w:t>2.0</w:t>
            </w:r>
          </w:p>
        </w:tc>
        <w:tc>
          <w:tcPr>
            <w:tcW w:w="686" w:type="pct"/>
            <w:tcBorders>
              <w:top w:val="nil"/>
              <w:left w:val="nil"/>
              <w:bottom w:val="nil"/>
              <w:right w:val="nil"/>
            </w:tcBorders>
            <w:shd w:val="clear" w:color="auto" w:fill="auto"/>
            <w:noWrap/>
            <w:vAlign w:val="center"/>
            <w:hideMark/>
          </w:tcPr>
          <w:p w14:paraId="0128ED61" w14:textId="673008FB" w:rsidR="00A16694" w:rsidRPr="004D1168" w:rsidRDefault="00A16694" w:rsidP="00167924">
            <w:pPr>
              <w:jc w:val="center"/>
              <w:rPr>
                <w:sz w:val="16"/>
                <w:szCs w:val="16"/>
              </w:rPr>
            </w:pPr>
            <w:r w:rsidRPr="004D1168">
              <w:rPr>
                <w:sz w:val="16"/>
                <w:szCs w:val="16"/>
              </w:rPr>
              <w:t>2,857</w:t>
            </w:r>
          </w:p>
        </w:tc>
        <w:tc>
          <w:tcPr>
            <w:tcW w:w="600" w:type="pct"/>
            <w:tcBorders>
              <w:top w:val="nil"/>
              <w:left w:val="nil"/>
              <w:bottom w:val="nil"/>
              <w:right w:val="nil"/>
            </w:tcBorders>
            <w:shd w:val="clear" w:color="auto" w:fill="auto"/>
            <w:noWrap/>
            <w:vAlign w:val="center"/>
            <w:hideMark/>
          </w:tcPr>
          <w:p w14:paraId="1A2757AA" w14:textId="6EA24438" w:rsidR="00A16694" w:rsidRPr="004D1168" w:rsidRDefault="00A16694" w:rsidP="00167924">
            <w:pPr>
              <w:jc w:val="center"/>
              <w:rPr>
                <w:sz w:val="16"/>
                <w:szCs w:val="16"/>
              </w:rPr>
            </w:pPr>
            <w:r w:rsidRPr="004D1168">
              <w:rPr>
                <w:sz w:val="16"/>
                <w:szCs w:val="16"/>
              </w:rPr>
              <w:t>3.4</w:t>
            </w:r>
          </w:p>
        </w:tc>
        <w:tc>
          <w:tcPr>
            <w:tcW w:w="872" w:type="pct"/>
            <w:tcBorders>
              <w:top w:val="nil"/>
              <w:left w:val="nil"/>
              <w:bottom w:val="nil"/>
              <w:right w:val="nil"/>
            </w:tcBorders>
            <w:shd w:val="clear" w:color="auto" w:fill="auto"/>
            <w:noWrap/>
            <w:vAlign w:val="center"/>
            <w:hideMark/>
          </w:tcPr>
          <w:p w14:paraId="725ADBCA" w14:textId="7FB19A33" w:rsidR="00A16694" w:rsidRPr="004D1168" w:rsidRDefault="00A16694" w:rsidP="00167924">
            <w:pPr>
              <w:jc w:val="center"/>
              <w:rPr>
                <w:sz w:val="16"/>
                <w:szCs w:val="16"/>
              </w:rPr>
            </w:pPr>
            <w:r w:rsidRPr="004D1168">
              <w:rPr>
                <w:sz w:val="16"/>
                <w:szCs w:val="16"/>
              </w:rPr>
              <w:t>65,687</w:t>
            </w:r>
          </w:p>
        </w:tc>
        <w:tc>
          <w:tcPr>
            <w:tcW w:w="540" w:type="pct"/>
            <w:tcBorders>
              <w:top w:val="nil"/>
              <w:left w:val="nil"/>
              <w:bottom w:val="nil"/>
              <w:right w:val="nil"/>
            </w:tcBorders>
            <w:shd w:val="clear" w:color="auto" w:fill="auto"/>
            <w:noWrap/>
            <w:vAlign w:val="center"/>
            <w:hideMark/>
          </w:tcPr>
          <w:p w14:paraId="22AEC138" w14:textId="77777777" w:rsidR="00A16694" w:rsidRPr="004D1168" w:rsidRDefault="00A16694" w:rsidP="00167924">
            <w:pPr>
              <w:jc w:val="center"/>
              <w:rPr>
                <w:sz w:val="16"/>
                <w:szCs w:val="16"/>
              </w:rPr>
            </w:pPr>
            <w:r w:rsidRPr="004D1168">
              <w:rPr>
                <w:sz w:val="16"/>
                <w:szCs w:val="16"/>
              </w:rPr>
              <w:t>10.2</w:t>
            </w:r>
          </w:p>
        </w:tc>
      </w:tr>
      <w:tr w:rsidR="006B42D6" w:rsidRPr="006B42D6" w14:paraId="13C091B9" w14:textId="77777777" w:rsidTr="00DB5175">
        <w:trPr>
          <w:trHeight w:val="283"/>
        </w:trPr>
        <w:tc>
          <w:tcPr>
            <w:tcW w:w="987" w:type="pct"/>
            <w:tcBorders>
              <w:top w:val="nil"/>
              <w:left w:val="nil"/>
              <w:bottom w:val="nil"/>
              <w:right w:val="nil"/>
            </w:tcBorders>
            <w:shd w:val="clear" w:color="auto" w:fill="auto"/>
            <w:vAlign w:val="center"/>
            <w:hideMark/>
          </w:tcPr>
          <w:p w14:paraId="53E097B7" w14:textId="77777777" w:rsidR="00A16694" w:rsidRPr="004D1168" w:rsidRDefault="00A16694" w:rsidP="00167924">
            <w:pPr>
              <w:jc w:val="left"/>
              <w:rPr>
                <w:sz w:val="16"/>
                <w:szCs w:val="16"/>
              </w:rPr>
            </w:pPr>
            <w:r w:rsidRPr="004D1168">
              <w:rPr>
                <w:sz w:val="16"/>
                <w:szCs w:val="16"/>
              </w:rPr>
              <w:t>Tabora</w:t>
            </w:r>
          </w:p>
        </w:tc>
        <w:tc>
          <w:tcPr>
            <w:tcW w:w="686" w:type="pct"/>
            <w:tcBorders>
              <w:top w:val="nil"/>
              <w:left w:val="nil"/>
              <w:bottom w:val="nil"/>
              <w:right w:val="nil"/>
            </w:tcBorders>
            <w:shd w:val="clear" w:color="auto" w:fill="auto"/>
            <w:noWrap/>
            <w:vAlign w:val="center"/>
            <w:hideMark/>
          </w:tcPr>
          <w:p w14:paraId="6A2934F3" w14:textId="46A91256" w:rsidR="00A16694" w:rsidRPr="004D1168" w:rsidRDefault="00A16694" w:rsidP="00167924">
            <w:pPr>
              <w:jc w:val="center"/>
              <w:rPr>
                <w:sz w:val="16"/>
                <w:szCs w:val="16"/>
              </w:rPr>
            </w:pPr>
            <w:r w:rsidRPr="004D1168">
              <w:rPr>
                <w:sz w:val="16"/>
                <w:szCs w:val="16"/>
              </w:rPr>
              <w:t>320,087</w:t>
            </w:r>
          </w:p>
        </w:tc>
        <w:tc>
          <w:tcPr>
            <w:tcW w:w="629" w:type="pct"/>
            <w:tcBorders>
              <w:top w:val="nil"/>
              <w:left w:val="nil"/>
              <w:bottom w:val="nil"/>
              <w:right w:val="nil"/>
            </w:tcBorders>
            <w:shd w:val="clear" w:color="auto" w:fill="auto"/>
            <w:noWrap/>
            <w:vAlign w:val="center"/>
            <w:hideMark/>
          </w:tcPr>
          <w:p w14:paraId="49E13694" w14:textId="0107DC3A" w:rsidR="00A16694" w:rsidRPr="004D1168" w:rsidRDefault="00A16694" w:rsidP="00167924">
            <w:pPr>
              <w:jc w:val="center"/>
              <w:rPr>
                <w:sz w:val="16"/>
                <w:szCs w:val="16"/>
              </w:rPr>
            </w:pPr>
            <w:r w:rsidRPr="004D1168">
              <w:rPr>
                <w:sz w:val="16"/>
                <w:szCs w:val="16"/>
              </w:rPr>
              <w:t>7.6</w:t>
            </w:r>
          </w:p>
        </w:tc>
        <w:tc>
          <w:tcPr>
            <w:tcW w:w="686" w:type="pct"/>
            <w:tcBorders>
              <w:top w:val="nil"/>
              <w:left w:val="nil"/>
              <w:bottom w:val="nil"/>
              <w:right w:val="nil"/>
            </w:tcBorders>
            <w:shd w:val="clear" w:color="auto" w:fill="auto"/>
            <w:noWrap/>
            <w:vAlign w:val="center"/>
            <w:hideMark/>
          </w:tcPr>
          <w:p w14:paraId="5FF79F9C" w14:textId="5EFDC08A" w:rsidR="00A16694" w:rsidRPr="004D1168" w:rsidRDefault="00A16694" w:rsidP="00167924">
            <w:pPr>
              <w:jc w:val="center"/>
              <w:rPr>
                <w:sz w:val="16"/>
                <w:szCs w:val="16"/>
              </w:rPr>
            </w:pPr>
            <w:r w:rsidRPr="004D1168">
              <w:rPr>
                <w:sz w:val="16"/>
                <w:szCs w:val="16"/>
              </w:rPr>
              <w:t>1,729</w:t>
            </w:r>
          </w:p>
        </w:tc>
        <w:tc>
          <w:tcPr>
            <w:tcW w:w="600" w:type="pct"/>
            <w:tcBorders>
              <w:top w:val="nil"/>
              <w:left w:val="nil"/>
              <w:bottom w:val="nil"/>
              <w:right w:val="nil"/>
            </w:tcBorders>
            <w:shd w:val="clear" w:color="auto" w:fill="auto"/>
            <w:noWrap/>
            <w:vAlign w:val="center"/>
            <w:hideMark/>
          </w:tcPr>
          <w:p w14:paraId="39B30754" w14:textId="1FF3B429" w:rsidR="00A16694" w:rsidRPr="004D1168" w:rsidRDefault="00A16694" w:rsidP="00167924">
            <w:pPr>
              <w:jc w:val="center"/>
              <w:rPr>
                <w:sz w:val="16"/>
                <w:szCs w:val="16"/>
              </w:rPr>
            </w:pPr>
            <w:r w:rsidRPr="004D1168">
              <w:rPr>
                <w:sz w:val="16"/>
                <w:szCs w:val="16"/>
              </w:rPr>
              <w:t>2.1</w:t>
            </w:r>
          </w:p>
        </w:tc>
        <w:tc>
          <w:tcPr>
            <w:tcW w:w="872" w:type="pct"/>
            <w:tcBorders>
              <w:top w:val="nil"/>
              <w:left w:val="nil"/>
              <w:bottom w:val="nil"/>
              <w:right w:val="nil"/>
            </w:tcBorders>
            <w:shd w:val="clear" w:color="auto" w:fill="auto"/>
            <w:noWrap/>
            <w:vAlign w:val="center"/>
            <w:hideMark/>
          </w:tcPr>
          <w:p w14:paraId="242CEB52" w14:textId="106A1EB2" w:rsidR="00A16694" w:rsidRPr="004D1168" w:rsidRDefault="00A16694" w:rsidP="00167924">
            <w:pPr>
              <w:jc w:val="center"/>
              <w:rPr>
                <w:sz w:val="16"/>
                <w:szCs w:val="16"/>
              </w:rPr>
            </w:pPr>
            <w:r w:rsidRPr="004D1168">
              <w:rPr>
                <w:sz w:val="16"/>
                <w:szCs w:val="16"/>
              </w:rPr>
              <w:t>40,429</w:t>
            </w:r>
          </w:p>
        </w:tc>
        <w:tc>
          <w:tcPr>
            <w:tcW w:w="540" w:type="pct"/>
            <w:tcBorders>
              <w:top w:val="nil"/>
              <w:left w:val="nil"/>
              <w:bottom w:val="nil"/>
              <w:right w:val="nil"/>
            </w:tcBorders>
            <w:shd w:val="clear" w:color="auto" w:fill="auto"/>
            <w:noWrap/>
            <w:vAlign w:val="center"/>
            <w:hideMark/>
          </w:tcPr>
          <w:p w14:paraId="6A4C7F67" w14:textId="77777777" w:rsidR="00A16694" w:rsidRPr="004D1168" w:rsidRDefault="00A16694" w:rsidP="00167924">
            <w:pPr>
              <w:jc w:val="center"/>
              <w:rPr>
                <w:sz w:val="16"/>
                <w:szCs w:val="16"/>
              </w:rPr>
            </w:pPr>
            <w:r w:rsidRPr="004D1168">
              <w:rPr>
                <w:sz w:val="16"/>
                <w:szCs w:val="16"/>
              </w:rPr>
              <w:t>6.3</w:t>
            </w:r>
          </w:p>
        </w:tc>
      </w:tr>
      <w:tr w:rsidR="006B42D6" w:rsidRPr="006B42D6" w14:paraId="485630A1" w14:textId="77777777" w:rsidTr="00DB5175">
        <w:trPr>
          <w:trHeight w:val="283"/>
        </w:trPr>
        <w:tc>
          <w:tcPr>
            <w:tcW w:w="987" w:type="pct"/>
            <w:tcBorders>
              <w:top w:val="nil"/>
              <w:left w:val="nil"/>
              <w:bottom w:val="nil"/>
              <w:right w:val="nil"/>
            </w:tcBorders>
            <w:shd w:val="clear" w:color="auto" w:fill="auto"/>
            <w:vAlign w:val="center"/>
            <w:hideMark/>
          </w:tcPr>
          <w:p w14:paraId="5DA330FC" w14:textId="77777777" w:rsidR="00A16694" w:rsidRPr="004D1168" w:rsidRDefault="00A16694" w:rsidP="00167924">
            <w:pPr>
              <w:jc w:val="left"/>
              <w:rPr>
                <w:sz w:val="16"/>
                <w:szCs w:val="16"/>
              </w:rPr>
            </w:pPr>
            <w:r w:rsidRPr="004D1168">
              <w:rPr>
                <w:sz w:val="16"/>
                <w:szCs w:val="16"/>
              </w:rPr>
              <w:t>Rukwa</w:t>
            </w:r>
          </w:p>
        </w:tc>
        <w:tc>
          <w:tcPr>
            <w:tcW w:w="686" w:type="pct"/>
            <w:tcBorders>
              <w:top w:val="nil"/>
              <w:left w:val="nil"/>
              <w:bottom w:val="nil"/>
              <w:right w:val="nil"/>
            </w:tcBorders>
            <w:shd w:val="clear" w:color="auto" w:fill="auto"/>
            <w:noWrap/>
            <w:vAlign w:val="center"/>
            <w:hideMark/>
          </w:tcPr>
          <w:p w14:paraId="589B1806" w14:textId="7164BEBA" w:rsidR="00A16694" w:rsidRPr="004D1168" w:rsidRDefault="00A16694" w:rsidP="00167924">
            <w:pPr>
              <w:jc w:val="center"/>
              <w:rPr>
                <w:sz w:val="16"/>
                <w:szCs w:val="16"/>
              </w:rPr>
            </w:pPr>
            <w:r w:rsidRPr="004D1168">
              <w:rPr>
                <w:sz w:val="16"/>
                <w:szCs w:val="16"/>
              </w:rPr>
              <w:t>182,859</w:t>
            </w:r>
          </w:p>
        </w:tc>
        <w:tc>
          <w:tcPr>
            <w:tcW w:w="629" w:type="pct"/>
            <w:tcBorders>
              <w:top w:val="nil"/>
              <w:left w:val="nil"/>
              <w:bottom w:val="nil"/>
              <w:right w:val="nil"/>
            </w:tcBorders>
            <w:shd w:val="clear" w:color="auto" w:fill="auto"/>
            <w:noWrap/>
            <w:vAlign w:val="center"/>
            <w:hideMark/>
          </w:tcPr>
          <w:p w14:paraId="50F58E46" w14:textId="3112D5FE" w:rsidR="00A16694" w:rsidRPr="004D1168" w:rsidRDefault="00A16694" w:rsidP="00167924">
            <w:pPr>
              <w:jc w:val="center"/>
              <w:rPr>
                <w:sz w:val="16"/>
                <w:szCs w:val="16"/>
              </w:rPr>
            </w:pPr>
            <w:r w:rsidRPr="004D1168">
              <w:rPr>
                <w:sz w:val="16"/>
                <w:szCs w:val="16"/>
              </w:rPr>
              <w:t>4.3</w:t>
            </w:r>
          </w:p>
        </w:tc>
        <w:tc>
          <w:tcPr>
            <w:tcW w:w="686" w:type="pct"/>
            <w:tcBorders>
              <w:top w:val="nil"/>
              <w:left w:val="nil"/>
              <w:bottom w:val="nil"/>
              <w:right w:val="nil"/>
            </w:tcBorders>
            <w:shd w:val="clear" w:color="auto" w:fill="auto"/>
            <w:noWrap/>
            <w:vAlign w:val="center"/>
            <w:hideMark/>
          </w:tcPr>
          <w:p w14:paraId="775FE313" w14:textId="645694B7" w:rsidR="00A16694" w:rsidRPr="004D1168" w:rsidRDefault="00A16694" w:rsidP="00167924">
            <w:pPr>
              <w:jc w:val="center"/>
              <w:rPr>
                <w:sz w:val="16"/>
                <w:szCs w:val="16"/>
              </w:rPr>
            </w:pPr>
            <w:r w:rsidRPr="004D1168">
              <w:rPr>
                <w:sz w:val="16"/>
                <w:szCs w:val="16"/>
              </w:rPr>
              <w:t>2,226</w:t>
            </w:r>
          </w:p>
        </w:tc>
        <w:tc>
          <w:tcPr>
            <w:tcW w:w="600" w:type="pct"/>
            <w:tcBorders>
              <w:top w:val="nil"/>
              <w:left w:val="nil"/>
              <w:bottom w:val="nil"/>
              <w:right w:val="nil"/>
            </w:tcBorders>
            <w:shd w:val="clear" w:color="auto" w:fill="auto"/>
            <w:noWrap/>
            <w:vAlign w:val="center"/>
            <w:hideMark/>
          </w:tcPr>
          <w:p w14:paraId="34975354" w14:textId="15847920" w:rsidR="00A16694" w:rsidRPr="004D1168" w:rsidRDefault="00A16694" w:rsidP="00167924">
            <w:pPr>
              <w:jc w:val="center"/>
              <w:rPr>
                <w:sz w:val="16"/>
                <w:szCs w:val="16"/>
              </w:rPr>
            </w:pPr>
            <w:r w:rsidRPr="004D1168">
              <w:rPr>
                <w:sz w:val="16"/>
                <w:szCs w:val="16"/>
              </w:rPr>
              <w:t>2.7</w:t>
            </w:r>
          </w:p>
        </w:tc>
        <w:tc>
          <w:tcPr>
            <w:tcW w:w="872" w:type="pct"/>
            <w:tcBorders>
              <w:top w:val="nil"/>
              <w:left w:val="nil"/>
              <w:bottom w:val="nil"/>
              <w:right w:val="nil"/>
            </w:tcBorders>
            <w:shd w:val="clear" w:color="auto" w:fill="auto"/>
            <w:noWrap/>
            <w:vAlign w:val="center"/>
            <w:hideMark/>
          </w:tcPr>
          <w:p w14:paraId="2C648812" w14:textId="017B882F" w:rsidR="00A16694" w:rsidRPr="004D1168" w:rsidRDefault="00A16694" w:rsidP="00167924">
            <w:pPr>
              <w:jc w:val="center"/>
              <w:rPr>
                <w:sz w:val="16"/>
                <w:szCs w:val="16"/>
              </w:rPr>
            </w:pPr>
            <w:r w:rsidRPr="004D1168">
              <w:rPr>
                <w:sz w:val="16"/>
                <w:szCs w:val="16"/>
              </w:rPr>
              <w:t>65,811</w:t>
            </w:r>
          </w:p>
        </w:tc>
        <w:tc>
          <w:tcPr>
            <w:tcW w:w="540" w:type="pct"/>
            <w:tcBorders>
              <w:top w:val="nil"/>
              <w:left w:val="nil"/>
              <w:bottom w:val="nil"/>
              <w:right w:val="nil"/>
            </w:tcBorders>
            <w:shd w:val="clear" w:color="auto" w:fill="auto"/>
            <w:noWrap/>
            <w:vAlign w:val="center"/>
            <w:hideMark/>
          </w:tcPr>
          <w:p w14:paraId="27C4EA1D" w14:textId="77777777" w:rsidR="00A16694" w:rsidRPr="004D1168" w:rsidRDefault="00A16694" w:rsidP="00167924">
            <w:pPr>
              <w:jc w:val="center"/>
              <w:rPr>
                <w:sz w:val="16"/>
                <w:szCs w:val="16"/>
              </w:rPr>
            </w:pPr>
            <w:r w:rsidRPr="004D1168">
              <w:rPr>
                <w:sz w:val="16"/>
                <w:szCs w:val="16"/>
              </w:rPr>
              <w:t>10.2</w:t>
            </w:r>
          </w:p>
        </w:tc>
      </w:tr>
      <w:tr w:rsidR="006B42D6" w:rsidRPr="006B42D6" w14:paraId="3BB0B2DB" w14:textId="77777777" w:rsidTr="00DB5175">
        <w:trPr>
          <w:trHeight w:val="283"/>
        </w:trPr>
        <w:tc>
          <w:tcPr>
            <w:tcW w:w="987" w:type="pct"/>
            <w:tcBorders>
              <w:top w:val="nil"/>
              <w:left w:val="nil"/>
              <w:bottom w:val="nil"/>
              <w:right w:val="nil"/>
            </w:tcBorders>
            <w:shd w:val="clear" w:color="auto" w:fill="auto"/>
            <w:vAlign w:val="center"/>
            <w:hideMark/>
          </w:tcPr>
          <w:p w14:paraId="2D945F04" w14:textId="77777777" w:rsidR="00A16694" w:rsidRPr="004D1168" w:rsidRDefault="00A16694" w:rsidP="00167924">
            <w:pPr>
              <w:jc w:val="left"/>
              <w:rPr>
                <w:sz w:val="16"/>
                <w:szCs w:val="16"/>
              </w:rPr>
            </w:pPr>
            <w:r w:rsidRPr="004D1168">
              <w:rPr>
                <w:sz w:val="16"/>
                <w:szCs w:val="16"/>
              </w:rPr>
              <w:t>Kigoma</w:t>
            </w:r>
          </w:p>
        </w:tc>
        <w:tc>
          <w:tcPr>
            <w:tcW w:w="686" w:type="pct"/>
            <w:tcBorders>
              <w:top w:val="nil"/>
              <w:left w:val="nil"/>
              <w:bottom w:val="nil"/>
              <w:right w:val="nil"/>
            </w:tcBorders>
            <w:shd w:val="clear" w:color="auto" w:fill="auto"/>
            <w:noWrap/>
            <w:vAlign w:val="center"/>
            <w:hideMark/>
          </w:tcPr>
          <w:p w14:paraId="300DDDB8" w14:textId="33F92BA1" w:rsidR="00A16694" w:rsidRPr="004D1168" w:rsidRDefault="00A16694" w:rsidP="00167924">
            <w:pPr>
              <w:jc w:val="center"/>
              <w:rPr>
                <w:sz w:val="16"/>
                <w:szCs w:val="16"/>
              </w:rPr>
            </w:pPr>
            <w:r w:rsidRPr="004D1168">
              <w:rPr>
                <w:sz w:val="16"/>
                <w:szCs w:val="16"/>
              </w:rPr>
              <w:t>219,779</w:t>
            </w:r>
          </w:p>
        </w:tc>
        <w:tc>
          <w:tcPr>
            <w:tcW w:w="629" w:type="pct"/>
            <w:tcBorders>
              <w:top w:val="nil"/>
              <w:left w:val="nil"/>
              <w:bottom w:val="nil"/>
              <w:right w:val="nil"/>
            </w:tcBorders>
            <w:shd w:val="clear" w:color="auto" w:fill="auto"/>
            <w:noWrap/>
            <w:vAlign w:val="center"/>
            <w:hideMark/>
          </w:tcPr>
          <w:p w14:paraId="1EFF9757" w14:textId="4E36AF7A" w:rsidR="00A16694" w:rsidRPr="004D1168" w:rsidRDefault="00A16694" w:rsidP="00167924">
            <w:pPr>
              <w:jc w:val="center"/>
              <w:rPr>
                <w:sz w:val="16"/>
                <w:szCs w:val="16"/>
              </w:rPr>
            </w:pPr>
            <w:r w:rsidRPr="004D1168">
              <w:rPr>
                <w:sz w:val="16"/>
                <w:szCs w:val="16"/>
              </w:rPr>
              <w:t>5.2</w:t>
            </w:r>
          </w:p>
        </w:tc>
        <w:tc>
          <w:tcPr>
            <w:tcW w:w="686" w:type="pct"/>
            <w:tcBorders>
              <w:top w:val="nil"/>
              <w:left w:val="nil"/>
              <w:bottom w:val="nil"/>
              <w:right w:val="nil"/>
            </w:tcBorders>
            <w:shd w:val="clear" w:color="auto" w:fill="auto"/>
            <w:noWrap/>
            <w:vAlign w:val="center"/>
            <w:hideMark/>
          </w:tcPr>
          <w:p w14:paraId="4E5DA09F" w14:textId="71060FBB" w:rsidR="00A16694" w:rsidRPr="004D1168" w:rsidRDefault="00A16694" w:rsidP="00167924">
            <w:pPr>
              <w:jc w:val="center"/>
              <w:rPr>
                <w:sz w:val="16"/>
                <w:szCs w:val="16"/>
              </w:rPr>
            </w:pPr>
            <w:r w:rsidRPr="004D1168">
              <w:rPr>
                <w:sz w:val="16"/>
                <w:szCs w:val="16"/>
              </w:rPr>
              <w:t>-</w:t>
            </w:r>
          </w:p>
        </w:tc>
        <w:tc>
          <w:tcPr>
            <w:tcW w:w="600" w:type="pct"/>
            <w:tcBorders>
              <w:top w:val="nil"/>
              <w:left w:val="nil"/>
              <w:bottom w:val="nil"/>
              <w:right w:val="nil"/>
            </w:tcBorders>
            <w:shd w:val="clear" w:color="auto" w:fill="auto"/>
            <w:noWrap/>
            <w:vAlign w:val="center"/>
            <w:hideMark/>
          </w:tcPr>
          <w:p w14:paraId="78E7E08E" w14:textId="77224BED" w:rsidR="00A16694" w:rsidRPr="004D1168" w:rsidRDefault="00A16694" w:rsidP="00167924">
            <w:pPr>
              <w:jc w:val="center"/>
              <w:rPr>
                <w:sz w:val="16"/>
                <w:szCs w:val="16"/>
              </w:rPr>
            </w:pPr>
            <w:r w:rsidRPr="004D1168">
              <w:rPr>
                <w:sz w:val="16"/>
                <w:szCs w:val="16"/>
              </w:rPr>
              <w:t>-</w:t>
            </w:r>
          </w:p>
        </w:tc>
        <w:tc>
          <w:tcPr>
            <w:tcW w:w="872" w:type="pct"/>
            <w:tcBorders>
              <w:top w:val="nil"/>
              <w:left w:val="nil"/>
              <w:bottom w:val="nil"/>
              <w:right w:val="nil"/>
            </w:tcBorders>
            <w:shd w:val="clear" w:color="auto" w:fill="auto"/>
            <w:noWrap/>
            <w:vAlign w:val="center"/>
            <w:hideMark/>
          </w:tcPr>
          <w:p w14:paraId="729E9DE5" w14:textId="7CF8B108" w:rsidR="00A16694" w:rsidRPr="004D1168" w:rsidRDefault="00A16694" w:rsidP="00167924">
            <w:pPr>
              <w:jc w:val="center"/>
              <w:rPr>
                <w:sz w:val="16"/>
                <w:szCs w:val="16"/>
              </w:rPr>
            </w:pPr>
            <w:r w:rsidRPr="004D1168">
              <w:rPr>
                <w:sz w:val="16"/>
                <w:szCs w:val="16"/>
              </w:rPr>
              <w:t>8,961</w:t>
            </w:r>
          </w:p>
        </w:tc>
        <w:tc>
          <w:tcPr>
            <w:tcW w:w="540" w:type="pct"/>
            <w:tcBorders>
              <w:top w:val="nil"/>
              <w:left w:val="nil"/>
              <w:bottom w:val="nil"/>
              <w:right w:val="nil"/>
            </w:tcBorders>
            <w:shd w:val="clear" w:color="auto" w:fill="auto"/>
            <w:noWrap/>
            <w:vAlign w:val="center"/>
            <w:hideMark/>
          </w:tcPr>
          <w:p w14:paraId="4A1C5333" w14:textId="77777777" w:rsidR="00A16694" w:rsidRPr="004D1168" w:rsidRDefault="00A16694" w:rsidP="00167924">
            <w:pPr>
              <w:jc w:val="center"/>
              <w:rPr>
                <w:sz w:val="16"/>
                <w:szCs w:val="16"/>
              </w:rPr>
            </w:pPr>
            <w:r w:rsidRPr="004D1168">
              <w:rPr>
                <w:sz w:val="16"/>
                <w:szCs w:val="16"/>
              </w:rPr>
              <w:t>1.4</w:t>
            </w:r>
          </w:p>
        </w:tc>
      </w:tr>
      <w:tr w:rsidR="006B42D6" w:rsidRPr="006B42D6" w14:paraId="04A9A828" w14:textId="77777777" w:rsidTr="00DB5175">
        <w:trPr>
          <w:trHeight w:val="283"/>
        </w:trPr>
        <w:tc>
          <w:tcPr>
            <w:tcW w:w="987" w:type="pct"/>
            <w:tcBorders>
              <w:top w:val="nil"/>
              <w:left w:val="nil"/>
              <w:bottom w:val="nil"/>
              <w:right w:val="nil"/>
            </w:tcBorders>
            <w:shd w:val="clear" w:color="auto" w:fill="auto"/>
            <w:vAlign w:val="center"/>
            <w:hideMark/>
          </w:tcPr>
          <w:p w14:paraId="04CA418C" w14:textId="77777777" w:rsidR="00A16694" w:rsidRPr="004D1168" w:rsidRDefault="00A16694" w:rsidP="00167924">
            <w:pPr>
              <w:jc w:val="left"/>
              <w:rPr>
                <w:sz w:val="16"/>
                <w:szCs w:val="16"/>
              </w:rPr>
            </w:pPr>
            <w:r w:rsidRPr="004D1168">
              <w:rPr>
                <w:sz w:val="16"/>
                <w:szCs w:val="16"/>
              </w:rPr>
              <w:t>Shinyanga</w:t>
            </w:r>
          </w:p>
        </w:tc>
        <w:tc>
          <w:tcPr>
            <w:tcW w:w="686" w:type="pct"/>
            <w:tcBorders>
              <w:top w:val="nil"/>
              <w:left w:val="nil"/>
              <w:bottom w:val="nil"/>
              <w:right w:val="nil"/>
            </w:tcBorders>
            <w:shd w:val="clear" w:color="auto" w:fill="auto"/>
            <w:noWrap/>
            <w:vAlign w:val="center"/>
            <w:hideMark/>
          </w:tcPr>
          <w:p w14:paraId="5E413DFF" w14:textId="55147466" w:rsidR="00A16694" w:rsidRPr="004D1168" w:rsidRDefault="00A16694" w:rsidP="00167924">
            <w:pPr>
              <w:jc w:val="center"/>
              <w:rPr>
                <w:sz w:val="16"/>
                <w:szCs w:val="16"/>
              </w:rPr>
            </w:pPr>
            <w:r w:rsidRPr="004D1168">
              <w:rPr>
                <w:sz w:val="16"/>
                <w:szCs w:val="16"/>
              </w:rPr>
              <w:t>140,290</w:t>
            </w:r>
          </w:p>
        </w:tc>
        <w:tc>
          <w:tcPr>
            <w:tcW w:w="629" w:type="pct"/>
            <w:tcBorders>
              <w:top w:val="nil"/>
              <w:left w:val="nil"/>
              <w:bottom w:val="nil"/>
              <w:right w:val="nil"/>
            </w:tcBorders>
            <w:shd w:val="clear" w:color="auto" w:fill="auto"/>
            <w:noWrap/>
            <w:vAlign w:val="center"/>
            <w:hideMark/>
          </w:tcPr>
          <w:p w14:paraId="07F44AF0" w14:textId="15C47E3E" w:rsidR="00A16694" w:rsidRPr="004D1168" w:rsidRDefault="00A16694" w:rsidP="00167924">
            <w:pPr>
              <w:jc w:val="center"/>
              <w:rPr>
                <w:sz w:val="16"/>
                <w:szCs w:val="16"/>
              </w:rPr>
            </w:pPr>
            <w:r w:rsidRPr="004D1168">
              <w:rPr>
                <w:sz w:val="16"/>
                <w:szCs w:val="16"/>
              </w:rPr>
              <w:t>3.3</w:t>
            </w:r>
          </w:p>
        </w:tc>
        <w:tc>
          <w:tcPr>
            <w:tcW w:w="686" w:type="pct"/>
            <w:tcBorders>
              <w:top w:val="nil"/>
              <w:left w:val="nil"/>
              <w:bottom w:val="nil"/>
              <w:right w:val="nil"/>
            </w:tcBorders>
            <w:shd w:val="clear" w:color="auto" w:fill="auto"/>
            <w:noWrap/>
            <w:vAlign w:val="center"/>
            <w:hideMark/>
          </w:tcPr>
          <w:p w14:paraId="41EB90DC" w14:textId="6307A345" w:rsidR="00A16694" w:rsidRPr="004D1168" w:rsidRDefault="00A16694" w:rsidP="00167924">
            <w:pPr>
              <w:jc w:val="center"/>
              <w:rPr>
                <w:sz w:val="16"/>
                <w:szCs w:val="16"/>
              </w:rPr>
            </w:pPr>
            <w:r w:rsidRPr="004D1168">
              <w:rPr>
                <w:sz w:val="16"/>
                <w:szCs w:val="16"/>
              </w:rPr>
              <w:t>582</w:t>
            </w:r>
          </w:p>
        </w:tc>
        <w:tc>
          <w:tcPr>
            <w:tcW w:w="600" w:type="pct"/>
            <w:tcBorders>
              <w:top w:val="nil"/>
              <w:left w:val="nil"/>
              <w:bottom w:val="nil"/>
              <w:right w:val="nil"/>
            </w:tcBorders>
            <w:shd w:val="clear" w:color="auto" w:fill="auto"/>
            <w:noWrap/>
            <w:vAlign w:val="center"/>
            <w:hideMark/>
          </w:tcPr>
          <w:p w14:paraId="05212031" w14:textId="67736589" w:rsidR="00A16694" w:rsidRPr="004D1168" w:rsidRDefault="00A16694" w:rsidP="00167924">
            <w:pPr>
              <w:jc w:val="center"/>
              <w:rPr>
                <w:sz w:val="16"/>
                <w:szCs w:val="16"/>
              </w:rPr>
            </w:pPr>
            <w:r w:rsidRPr="004D1168">
              <w:rPr>
                <w:sz w:val="16"/>
                <w:szCs w:val="16"/>
              </w:rPr>
              <w:t>0.7</w:t>
            </w:r>
          </w:p>
        </w:tc>
        <w:tc>
          <w:tcPr>
            <w:tcW w:w="872" w:type="pct"/>
            <w:tcBorders>
              <w:top w:val="nil"/>
              <w:left w:val="nil"/>
              <w:bottom w:val="nil"/>
              <w:right w:val="nil"/>
            </w:tcBorders>
            <w:shd w:val="clear" w:color="auto" w:fill="auto"/>
            <w:noWrap/>
            <w:vAlign w:val="center"/>
            <w:hideMark/>
          </w:tcPr>
          <w:p w14:paraId="62DCAA3A" w14:textId="3211EE1E" w:rsidR="00A16694" w:rsidRPr="004D1168" w:rsidRDefault="00A16694" w:rsidP="00167924">
            <w:pPr>
              <w:jc w:val="center"/>
              <w:rPr>
                <w:sz w:val="16"/>
                <w:szCs w:val="16"/>
              </w:rPr>
            </w:pPr>
            <w:r w:rsidRPr="004D1168">
              <w:rPr>
                <w:sz w:val="16"/>
                <w:szCs w:val="16"/>
              </w:rPr>
              <w:t>19,782</w:t>
            </w:r>
          </w:p>
        </w:tc>
        <w:tc>
          <w:tcPr>
            <w:tcW w:w="540" w:type="pct"/>
            <w:tcBorders>
              <w:top w:val="nil"/>
              <w:left w:val="nil"/>
              <w:bottom w:val="nil"/>
              <w:right w:val="nil"/>
            </w:tcBorders>
            <w:shd w:val="clear" w:color="auto" w:fill="auto"/>
            <w:noWrap/>
            <w:vAlign w:val="center"/>
            <w:hideMark/>
          </w:tcPr>
          <w:p w14:paraId="467B5646" w14:textId="77777777" w:rsidR="00A16694" w:rsidRPr="004D1168" w:rsidRDefault="00A16694" w:rsidP="00167924">
            <w:pPr>
              <w:jc w:val="center"/>
              <w:rPr>
                <w:sz w:val="16"/>
                <w:szCs w:val="16"/>
              </w:rPr>
            </w:pPr>
            <w:r w:rsidRPr="004D1168">
              <w:rPr>
                <w:sz w:val="16"/>
                <w:szCs w:val="16"/>
              </w:rPr>
              <w:t>3.1</w:t>
            </w:r>
          </w:p>
        </w:tc>
      </w:tr>
      <w:tr w:rsidR="006B42D6" w:rsidRPr="006B42D6" w14:paraId="6EACE63D" w14:textId="77777777" w:rsidTr="00DB5175">
        <w:trPr>
          <w:trHeight w:val="283"/>
        </w:trPr>
        <w:tc>
          <w:tcPr>
            <w:tcW w:w="987" w:type="pct"/>
            <w:tcBorders>
              <w:top w:val="nil"/>
              <w:left w:val="nil"/>
              <w:bottom w:val="nil"/>
              <w:right w:val="nil"/>
            </w:tcBorders>
            <w:shd w:val="clear" w:color="auto" w:fill="auto"/>
            <w:vAlign w:val="center"/>
            <w:hideMark/>
          </w:tcPr>
          <w:p w14:paraId="7BA4A925" w14:textId="77777777" w:rsidR="00A16694" w:rsidRPr="004D1168" w:rsidRDefault="00A16694" w:rsidP="00167924">
            <w:pPr>
              <w:jc w:val="left"/>
              <w:rPr>
                <w:sz w:val="16"/>
                <w:szCs w:val="16"/>
              </w:rPr>
            </w:pPr>
            <w:r w:rsidRPr="004D1168">
              <w:rPr>
                <w:sz w:val="16"/>
                <w:szCs w:val="16"/>
              </w:rPr>
              <w:t>Kagera</w:t>
            </w:r>
          </w:p>
        </w:tc>
        <w:tc>
          <w:tcPr>
            <w:tcW w:w="686" w:type="pct"/>
            <w:tcBorders>
              <w:top w:val="nil"/>
              <w:left w:val="nil"/>
              <w:bottom w:val="nil"/>
              <w:right w:val="nil"/>
            </w:tcBorders>
            <w:shd w:val="clear" w:color="auto" w:fill="auto"/>
            <w:noWrap/>
            <w:vAlign w:val="center"/>
            <w:hideMark/>
          </w:tcPr>
          <w:p w14:paraId="76F9ED7E" w14:textId="234CEEF4" w:rsidR="00A16694" w:rsidRPr="004D1168" w:rsidRDefault="00A16694" w:rsidP="00167924">
            <w:pPr>
              <w:jc w:val="center"/>
              <w:rPr>
                <w:sz w:val="16"/>
                <w:szCs w:val="16"/>
              </w:rPr>
            </w:pPr>
            <w:r w:rsidRPr="004D1168">
              <w:rPr>
                <w:sz w:val="16"/>
                <w:szCs w:val="16"/>
              </w:rPr>
              <w:t>189,802</w:t>
            </w:r>
          </w:p>
        </w:tc>
        <w:tc>
          <w:tcPr>
            <w:tcW w:w="629" w:type="pct"/>
            <w:tcBorders>
              <w:top w:val="nil"/>
              <w:left w:val="nil"/>
              <w:bottom w:val="nil"/>
              <w:right w:val="nil"/>
            </w:tcBorders>
            <w:shd w:val="clear" w:color="auto" w:fill="auto"/>
            <w:noWrap/>
            <w:vAlign w:val="center"/>
            <w:hideMark/>
          </w:tcPr>
          <w:p w14:paraId="6D19011E" w14:textId="64453EE0" w:rsidR="00A16694" w:rsidRPr="004D1168" w:rsidRDefault="00A16694" w:rsidP="00167924">
            <w:pPr>
              <w:jc w:val="center"/>
              <w:rPr>
                <w:sz w:val="16"/>
                <w:szCs w:val="16"/>
              </w:rPr>
            </w:pPr>
            <w:r w:rsidRPr="004D1168">
              <w:rPr>
                <w:sz w:val="16"/>
                <w:szCs w:val="16"/>
              </w:rPr>
              <w:t>4.5</w:t>
            </w:r>
          </w:p>
        </w:tc>
        <w:tc>
          <w:tcPr>
            <w:tcW w:w="686" w:type="pct"/>
            <w:tcBorders>
              <w:top w:val="nil"/>
              <w:left w:val="nil"/>
              <w:bottom w:val="nil"/>
              <w:right w:val="nil"/>
            </w:tcBorders>
            <w:shd w:val="clear" w:color="auto" w:fill="auto"/>
            <w:noWrap/>
            <w:vAlign w:val="center"/>
            <w:hideMark/>
          </w:tcPr>
          <w:p w14:paraId="734CCFF6" w14:textId="7BEBC625" w:rsidR="00A16694" w:rsidRPr="004D1168" w:rsidRDefault="00A16694" w:rsidP="00167924">
            <w:pPr>
              <w:jc w:val="center"/>
              <w:rPr>
                <w:sz w:val="16"/>
                <w:szCs w:val="16"/>
              </w:rPr>
            </w:pPr>
            <w:r w:rsidRPr="004D1168">
              <w:rPr>
                <w:sz w:val="16"/>
                <w:szCs w:val="16"/>
              </w:rPr>
              <w:t>-</w:t>
            </w:r>
          </w:p>
        </w:tc>
        <w:tc>
          <w:tcPr>
            <w:tcW w:w="600" w:type="pct"/>
            <w:tcBorders>
              <w:top w:val="nil"/>
              <w:left w:val="nil"/>
              <w:bottom w:val="nil"/>
              <w:right w:val="nil"/>
            </w:tcBorders>
            <w:shd w:val="clear" w:color="auto" w:fill="auto"/>
            <w:noWrap/>
            <w:vAlign w:val="center"/>
            <w:hideMark/>
          </w:tcPr>
          <w:p w14:paraId="64D2F824" w14:textId="4A856D08" w:rsidR="00A16694" w:rsidRPr="004D1168" w:rsidRDefault="00A16694" w:rsidP="00167924">
            <w:pPr>
              <w:jc w:val="center"/>
              <w:rPr>
                <w:sz w:val="16"/>
                <w:szCs w:val="16"/>
              </w:rPr>
            </w:pPr>
            <w:r w:rsidRPr="004D1168">
              <w:rPr>
                <w:sz w:val="16"/>
                <w:szCs w:val="16"/>
              </w:rPr>
              <w:t>-</w:t>
            </w:r>
          </w:p>
        </w:tc>
        <w:tc>
          <w:tcPr>
            <w:tcW w:w="872" w:type="pct"/>
            <w:tcBorders>
              <w:top w:val="nil"/>
              <w:left w:val="nil"/>
              <w:bottom w:val="nil"/>
              <w:right w:val="nil"/>
            </w:tcBorders>
            <w:shd w:val="clear" w:color="auto" w:fill="auto"/>
            <w:noWrap/>
            <w:vAlign w:val="center"/>
            <w:hideMark/>
          </w:tcPr>
          <w:p w14:paraId="0C866CF3" w14:textId="5B5E8C88" w:rsidR="00A16694" w:rsidRPr="004D1168" w:rsidRDefault="00A16694" w:rsidP="00167924">
            <w:pPr>
              <w:jc w:val="center"/>
              <w:rPr>
                <w:sz w:val="16"/>
                <w:szCs w:val="16"/>
              </w:rPr>
            </w:pPr>
            <w:r w:rsidRPr="004D1168">
              <w:rPr>
                <w:sz w:val="16"/>
                <w:szCs w:val="16"/>
              </w:rPr>
              <w:t>17,116</w:t>
            </w:r>
          </w:p>
        </w:tc>
        <w:tc>
          <w:tcPr>
            <w:tcW w:w="540" w:type="pct"/>
            <w:tcBorders>
              <w:top w:val="nil"/>
              <w:left w:val="nil"/>
              <w:bottom w:val="nil"/>
              <w:right w:val="nil"/>
            </w:tcBorders>
            <w:shd w:val="clear" w:color="auto" w:fill="auto"/>
            <w:noWrap/>
            <w:vAlign w:val="center"/>
            <w:hideMark/>
          </w:tcPr>
          <w:p w14:paraId="1C0E6106" w14:textId="77777777" w:rsidR="00A16694" w:rsidRPr="004D1168" w:rsidRDefault="00A16694" w:rsidP="00167924">
            <w:pPr>
              <w:jc w:val="center"/>
              <w:rPr>
                <w:sz w:val="16"/>
                <w:szCs w:val="16"/>
              </w:rPr>
            </w:pPr>
            <w:r w:rsidRPr="004D1168">
              <w:rPr>
                <w:sz w:val="16"/>
                <w:szCs w:val="16"/>
              </w:rPr>
              <w:t>2.7</w:t>
            </w:r>
          </w:p>
        </w:tc>
      </w:tr>
      <w:tr w:rsidR="006B42D6" w:rsidRPr="006B42D6" w14:paraId="1EBEF9AE" w14:textId="77777777" w:rsidTr="00DB5175">
        <w:trPr>
          <w:trHeight w:val="283"/>
        </w:trPr>
        <w:tc>
          <w:tcPr>
            <w:tcW w:w="987" w:type="pct"/>
            <w:tcBorders>
              <w:top w:val="nil"/>
              <w:left w:val="nil"/>
              <w:bottom w:val="nil"/>
              <w:right w:val="nil"/>
            </w:tcBorders>
            <w:shd w:val="clear" w:color="auto" w:fill="auto"/>
            <w:vAlign w:val="center"/>
            <w:hideMark/>
          </w:tcPr>
          <w:p w14:paraId="7A09A1CD" w14:textId="77777777" w:rsidR="00A16694" w:rsidRPr="004D1168" w:rsidRDefault="00A16694" w:rsidP="00167924">
            <w:pPr>
              <w:jc w:val="left"/>
              <w:rPr>
                <w:sz w:val="16"/>
                <w:szCs w:val="16"/>
              </w:rPr>
            </w:pPr>
            <w:r w:rsidRPr="004D1168">
              <w:rPr>
                <w:sz w:val="16"/>
                <w:szCs w:val="16"/>
              </w:rPr>
              <w:t>Mwanza</w:t>
            </w:r>
          </w:p>
        </w:tc>
        <w:tc>
          <w:tcPr>
            <w:tcW w:w="686" w:type="pct"/>
            <w:tcBorders>
              <w:top w:val="nil"/>
              <w:left w:val="nil"/>
              <w:bottom w:val="nil"/>
              <w:right w:val="nil"/>
            </w:tcBorders>
            <w:shd w:val="clear" w:color="auto" w:fill="auto"/>
            <w:noWrap/>
            <w:vAlign w:val="center"/>
            <w:hideMark/>
          </w:tcPr>
          <w:p w14:paraId="5E912830" w14:textId="677C2FC6" w:rsidR="00A16694" w:rsidRPr="004D1168" w:rsidRDefault="00A16694" w:rsidP="00167924">
            <w:pPr>
              <w:jc w:val="center"/>
              <w:rPr>
                <w:sz w:val="16"/>
                <w:szCs w:val="16"/>
              </w:rPr>
            </w:pPr>
            <w:r w:rsidRPr="004D1168">
              <w:rPr>
                <w:sz w:val="16"/>
                <w:szCs w:val="16"/>
              </w:rPr>
              <w:t>294,261</w:t>
            </w:r>
          </w:p>
        </w:tc>
        <w:tc>
          <w:tcPr>
            <w:tcW w:w="629" w:type="pct"/>
            <w:tcBorders>
              <w:top w:val="nil"/>
              <w:left w:val="nil"/>
              <w:bottom w:val="nil"/>
              <w:right w:val="nil"/>
            </w:tcBorders>
            <w:shd w:val="clear" w:color="auto" w:fill="auto"/>
            <w:noWrap/>
            <w:vAlign w:val="center"/>
            <w:hideMark/>
          </w:tcPr>
          <w:p w14:paraId="01BF96E1" w14:textId="4F14CF9C" w:rsidR="00A16694" w:rsidRPr="004D1168" w:rsidRDefault="00A16694" w:rsidP="00167924">
            <w:pPr>
              <w:jc w:val="center"/>
              <w:rPr>
                <w:sz w:val="16"/>
                <w:szCs w:val="16"/>
              </w:rPr>
            </w:pPr>
            <w:r w:rsidRPr="004D1168">
              <w:rPr>
                <w:sz w:val="16"/>
                <w:szCs w:val="16"/>
              </w:rPr>
              <w:t>7.0</w:t>
            </w:r>
          </w:p>
        </w:tc>
        <w:tc>
          <w:tcPr>
            <w:tcW w:w="686" w:type="pct"/>
            <w:tcBorders>
              <w:top w:val="nil"/>
              <w:left w:val="nil"/>
              <w:bottom w:val="nil"/>
              <w:right w:val="nil"/>
            </w:tcBorders>
            <w:shd w:val="clear" w:color="auto" w:fill="auto"/>
            <w:noWrap/>
            <w:vAlign w:val="center"/>
            <w:hideMark/>
          </w:tcPr>
          <w:p w14:paraId="2E0BD642" w14:textId="3DD84336" w:rsidR="00A16694" w:rsidRPr="004D1168" w:rsidRDefault="00A16694" w:rsidP="00167924">
            <w:pPr>
              <w:jc w:val="center"/>
              <w:rPr>
                <w:sz w:val="16"/>
                <w:szCs w:val="16"/>
              </w:rPr>
            </w:pPr>
            <w:r w:rsidRPr="004D1168">
              <w:rPr>
                <w:sz w:val="16"/>
                <w:szCs w:val="16"/>
              </w:rPr>
              <w:t>1,663</w:t>
            </w:r>
          </w:p>
        </w:tc>
        <w:tc>
          <w:tcPr>
            <w:tcW w:w="600" w:type="pct"/>
            <w:tcBorders>
              <w:top w:val="nil"/>
              <w:left w:val="nil"/>
              <w:bottom w:val="nil"/>
              <w:right w:val="nil"/>
            </w:tcBorders>
            <w:shd w:val="clear" w:color="auto" w:fill="auto"/>
            <w:noWrap/>
            <w:vAlign w:val="center"/>
            <w:hideMark/>
          </w:tcPr>
          <w:p w14:paraId="17277560" w14:textId="3FB5A55A" w:rsidR="00A16694" w:rsidRPr="004D1168" w:rsidRDefault="00A16694" w:rsidP="00167924">
            <w:pPr>
              <w:jc w:val="center"/>
              <w:rPr>
                <w:sz w:val="16"/>
                <w:szCs w:val="16"/>
              </w:rPr>
            </w:pPr>
            <w:r w:rsidRPr="004D1168">
              <w:rPr>
                <w:sz w:val="16"/>
                <w:szCs w:val="16"/>
              </w:rPr>
              <w:t>2.0</w:t>
            </w:r>
          </w:p>
        </w:tc>
        <w:tc>
          <w:tcPr>
            <w:tcW w:w="872" w:type="pct"/>
            <w:tcBorders>
              <w:top w:val="nil"/>
              <w:left w:val="nil"/>
              <w:bottom w:val="nil"/>
              <w:right w:val="nil"/>
            </w:tcBorders>
            <w:shd w:val="clear" w:color="auto" w:fill="auto"/>
            <w:noWrap/>
            <w:vAlign w:val="center"/>
            <w:hideMark/>
          </w:tcPr>
          <w:p w14:paraId="5FCEB4B9" w14:textId="1916D6BC" w:rsidR="00A16694" w:rsidRPr="004D1168" w:rsidRDefault="00A16694" w:rsidP="00167924">
            <w:pPr>
              <w:jc w:val="center"/>
              <w:rPr>
                <w:sz w:val="16"/>
                <w:szCs w:val="16"/>
              </w:rPr>
            </w:pPr>
            <w:r w:rsidRPr="004D1168">
              <w:rPr>
                <w:sz w:val="16"/>
                <w:szCs w:val="16"/>
              </w:rPr>
              <w:t>19,221</w:t>
            </w:r>
          </w:p>
        </w:tc>
        <w:tc>
          <w:tcPr>
            <w:tcW w:w="540" w:type="pct"/>
            <w:tcBorders>
              <w:top w:val="nil"/>
              <w:left w:val="nil"/>
              <w:bottom w:val="nil"/>
              <w:right w:val="nil"/>
            </w:tcBorders>
            <w:shd w:val="clear" w:color="auto" w:fill="auto"/>
            <w:noWrap/>
            <w:vAlign w:val="center"/>
            <w:hideMark/>
          </w:tcPr>
          <w:p w14:paraId="17F7F6AD" w14:textId="77777777" w:rsidR="00A16694" w:rsidRPr="004D1168" w:rsidRDefault="00A16694" w:rsidP="00167924">
            <w:pPr>
              <w:jc w:val="center"/>
              <w:rPr>
                <w:sz w:val="16"/>
                <w:szCs w:val="16"/>
              </w:rPr>
            </w:pPr>
            <w:r w:rsidRPr="004D1168">
              <w:rPr>
                <w:sz w:val="16"/>
                <w:szCs w:val="16"/>
              </w:rPr>
              <w:t>3.0</w:t>
            </w:r>
          </w:p>
        </w:tc>
      </w:tr>
      <w:tr w:rsidR="006B42D6" w:rsidRPr="006B42D6" w14:paraId="7C1CF707" w14:textId="77777777" w:rsidTr="00DB5175">
        <w:trPr>
          <w:trHeight w:val="283"/>
        </w:trPr>
        <w:tc>
          <w:tcPr>
            <w:tcW w:w="987" w:type="pct"/>
            <w:tcBorders>
              <w:top w:val="nil"/>
              <w:left w:val="nil"/>
              <w:bottom w:val="nil"/>
              <w:right w:val="nil"/>
            </w:tcBorders>
            <w:shd w:val="clear" w:color="auto" w:fill="auto"/>
            <w:vAlign w:val="center"/>
            <w:hideMark/>
          </w:tcPr>
          <w:p w14:paraId="1F7D4FD8" w14:textId="77777777" w:rsidR="00A16694" w:rsidRPr="004D1168" w:rsidRDefault="00A16694" w:rsidP="00167924">
            <w:pPr>
              <w:jc w:val="left"/>
              <w:rPr>
                <w:sz w:val="16"/>
                <w:szCs w:val="16"/>
              </w:rPr>
            </w:pPr>
            <w:r w:rsidRPr="004D1168">
              <w:rPr>
                <w:sz w:val="16"/>
                <w:szCs w:val="16"/>
              </w:rPr>
              <w:t>Mara</w:t>
            </w:r>
          </w:p>
        </w:tc>
        <w:tc>
          <w:tcPr>
            <w:tcW w:w="686" w:type="pct"/>
            <w:tcBorders>
              <w:top w:val="nil"/>
              <w:left w:val="nil"/>
              <w:bottom w:val="nil"/>
              <w:right w:val="nil"/>
            </w:tcBorders>
            <w:shd w:val="clear" w:color="auto" w:fill="auto"/>
            <w:noWrap/>
            <w:vAlign w:val="center"/>
            <w:hideMark/>
          </w:tcPr>
          <w:p w14:paraId="256CDDD3" w14:textId="467EDEC5" w:rsidR="00A16694" w:rsidRPr="004D1168" w:rsidRDefault="00A16694" w:rsidP="00167924">
            <w:pPr>
              <w:jc w:val="center"/>
              <w:rPr>
                <w:sz w:val="16"/>
                <w:szCs w:val="16"/>
              </w:rPr>
            </w:pPr>
            <w:r w:rsidRPr="004D1168">
              <w:rPr>
                <w:sz w:val="16"/>
                <w:szCs w:val="16"/>
              </w:rPr>
              <w:t>148,627</w:t>
            </w:r>
          </w:p>
        </w:tc>
        <w:tc>
          <w:tcPr>
            <w:tcW w:w="629" w:type="pct"/>
            <w:tcBorders>
              <w:top w:val="nil"/>
              <w:left w:val="nil"/>
              <w:bottom w:val="nil"/>
              <w:right w:val="nil"/>
            </w:tcBorders>
            <w:shd w:val="clear" w:color="auto" w:fill="auto"/>
            <w:noWrap/>
            <w:vAlign w:val="center"/>
            <w:hideMark/>
          </w:tcPr>
          <w:p w14:paraId="5C869EA6" w14:textId="688D7EEB" w:rsidR="00A16694" w:rsidRPr="004D1168" w:rsidRDefault="00A16694" w:rsidP="00167924">
            <w:pPr>
              <w:jc w:val="center"/>
              <w:rPr>
                <w:sz w:val="16"/>
                <w:szCs w:val="16"/>
              </w:rPr>
            </w:pPr>
            <w:r w:rsidRPr="004D1168">
              <w:rPr>
                <w:sz w:val="16"/>
                <w:szCs w:val="16"/>
              </w:rPr>
              <w:t>3.5</w:t>
            </w:r>
          </w:p>
        </w:tc>
        <w:tc>
          <w:tcPr>
            <w:tcW w:w="686" w:type="pct"/>
            <w:tcBorders>
              <w:top w:val="nil"/>
              <w:left w:val="nil"/>
              <w:bottom w:val="nil"/>
              <w:right w:val="nil"/>
            </w:tcBorders>
            <w:shd w:val="clear" w:color="auto" w:fill="auto"/>
            <w:noWrap/>
            <w:vAlign w:val="center"/>
            <w:hideMark/>
          </w:tcPr>
          <w:p w14:paraId="33812C95" w14:textId="2F3FEC7F" w:rsidR="00A16694" w:rsidRPr="004D1168" w:rsidRDefault="00A16694" w:rsidP="00167924">
            <w:pPr>
              <w:jc w:val="center"/>
              <w:rPr>
                <w:sz w:val="16"/>
                <w:szCs w:val="16"/>
              </w:rPr>
            </w:pPr>
            <w:r w:rsidRPr="004D1168">
              <w:rPr>
                <w:sz w:val="16"/>
                <w:szCs w:val="16"/>
              </w:rPr>
              <w:t>262</w:t>
            </w:r>
          </w:p>
        </w:tc>
        <w:tc>
          <w:tcPr>
            <w:tcW w:w="600" w:type="pct"/>
            <w:tcBorders>
              <w:top w:val="nil"/>
              <w:left w:val="nil"/>
              <w:bottom w:val="nil"/>
              <w:right w:val="nil"/>
            </w:tcBorders>
            <w:shd w:val="clear" w:color="auto" w:fill="auto"/>
            <w:noWrap/>
            <w:vAlign w:val="center"/>
            <w:hideMark/>
          </w:tcPr>
          <w:p w14:paraId="7D9827A4" w14:textId="0B2144F8" w:rsidR="00A16694" w:rsidRPr="004D1168" w:rsidRDefault="00A16694" w:rsidP="00167924">
            <w:pPr>
              <w:jc w:val="center"/>
              <w:rPr>
                <w:sz w:val="16"/>
                <w:szCs w:val="16"/>
              </w:rPr>
            </w:pPr>
            <w:r w:rsidRPr="004D1168">
              <w:rPr>
                <w:sz w:val="16"/>
                <w:szCs w:val="16"/>
              </w:rPr>
              <w:t>0.3</w:t>
            </w:r>
          </w:p>
        </w:tc>
        <w:tc>
          <w:tcPr>
            <w:tcW w:w="872" w:type="pct"/>
            <w:tcBorders>
              <w:top w:val="nil"/>
              <w:left w:val="nil"/>
              <w:bottom w:val="nil"/>
              <w:right w:val="nil"/>
            </w:tcBorders>
            <w:shd w:val="clear" w:color="auto" w:fill="auto"/>
            <w:noWrap/>
            <w:vAlign w:val="center"/>
            <w:hideMark/>
          </w:tcPr>
          <w:p w14:paraId="5135C4C6" w14:textId="69E4F0C8" w:rsidR="00A16694" w:rsidRPr="004D1168" w:rsidRDefault="00A16694" w:rsidP="00167924">
            <w:pPr>
              <w:jc w:val="center"/>
              <w:rPr>
                <w:sz w:val="16"/>
                <w:szCs w:val="16"/>
              </w:rPr>
            </w:pPr>
            <w:r w:rsidRPr="004D1168">
              <w:rPr>
                <w:sz w:val="16"/>
                <w:szCs w:val="16"/>
              </w:rPr>
              <w:t>6,156</w:t>
            </w:r>
          </w:p>
        </w:tc>
        <w:tc>
          <w:tcPr>
            <w:tcW w:w="540" w:type="pct"/>
            <w:tcBorders>
              <w:top w:val="nil"/>
              <w:left w:val="nil"/>
              <w:bottom w:val="nil"/>
              <w:right w:val="nil"/>
            </w:tcBorders>
            <w:shd w:val="clear" w:color="auto" w:fill="auto"/>
            <w:noWrap/>
            <w:vAlign w:val="center"/>
            <w:hideMark/>
          </w:tcPr>
          <w:p w14:paraId="16CAC60F" w14:textId="77777777" w:rsidR="00A16694" w:rsidRPr="004D1168" w:rsidRDefault="00A16694" w:rsidP="00167924">
            <w:pPr>
              <w:jc w:val="center"/>
              <w:rPr>
                <w:sz w:val="16"/>
                <w:szCs w:val="16"/>
              </w:rPr>
            </w:pPr>
            <w:r w:rsidRPr="004D1168">
              <w:rPr>
                <w:sz w:val="16"/>
                <w:szCs w:val="16"/>
              </w:rPr>
              <w:t>1.0</w:t>
            </w:r>
          </w:p>
        </w:tc>
      </w:tr>
      <w:tr w:rsidR="006B42D6" w:rsidRPr="006B42D6" w14:paraId="042F6CCA" w14:textId="77777777" w:rsidTr="00DB5175">
        <w:trPr>
          <w:trHeight w:val="283"/>
        </w:trPr>
        <w:tc>
          <w:tcPr>
            <w:tcW w:w="987" w:type="pct"/>
            <w:tcBorders>
              <w:top w:val="nil"/>
              <w:left w:val="nil"/>
              <w:bottom w:val="nil"/>
              <w:right w:val="nil"/>
            </w:tcBorders>
            <w:shd w:val="clear" w:color="auto" w:fill="auto"/>
            <w:vAlign w:val="center"/>
            <w:hideMark/>
          </w:tcPr>
          <w:p w14:paraId="7E3DAF9D" w14:textId="77777777" w:rsidR="00A16694" w:rsidRPr="004D1168" w:rsidRDefault="00A16694" w:rsidP="00167924">
            <w:pPr>
              <w:jc w:val="left"/>
              <w:rPr>
                <w:sz w:val="16"/>
                <w:szCs w:val="16"/>
              </w:rPr>
            </w:pPr>
            <w:r w:rsidRPr="004D1168">
              <w:rPr>
                <w:sz w:val="16"/>
                <w:szCs w:val="16"/>
              </w:rPr>
              <w:t>Manyara</w:t>
            </w:r>
          </w:p>
        </w:tc>
        <w:tc>
          <w:tcPr>
            <w:tcW w:w="686" w:type="pct"/>
            <w:tcBorders>
              <w:top w:val="nil"/>
              <w:left w:val="nil"/>
              <w:bottom w:val="nil"/>
              <w:right w:val="nil"/>
            </w:tcBorders>
            <w:shd w:val="clear" w:color="auto" w:fill="auto"/>
            <w:noWrap/>
            <w:vAlign w:val="center"/>
            <w:hideMark/>
          </w:tcPr>
          <w:p w14:paraId="1F8725C7" w14:textId="0FC1C8B1" w:rsidR="00A16694" w:rsidRPr="004D1168" w:rsidRDefault="00A16694" w:rsidP="00167924">
            <w:pPr>
              <w:jc w:val="center"/>
              <w:rPr>
                <w:sz w:val="16"/>
                <w:szCs w:val="16"/>
              </w:rPr>
            </w:pPr>
            <w:r w:rsidRPr="004D1168">
              <w:rPr>
                <w:sz w:val="16"/>
                <w:szCs w:val="16"/>
              </w:rPr>
              <w:t>56,672</w:t>
            </w:r>
          </w:p>
        </w:tc>
        <w:tc>
          <w:tcPr>
            <w:tcW w:w="629" w:type="pct"/>
            <w:tcBorders>
              <w:top w:val="nil"/>
              <w:left w:val="nil"/>
              <w:bottom w:val="nil"/>
              <w:right w:val="nil"/>
            </w:tcBorders>
            <w:shd w:val="clear" w:color="auto" w:fill="auto"/>
            <w:noWrap/>
            <w:vAlign w:val="center"/>
            <w:hideMark/>
          </w:tcPr>
          <w:p w14:paraId="1EC113FE" w14:textId="713E7184" w:rsidR="00A16694" w:rsidRPr="004D1168" w:rsidRDefault="00A16694" w:rsidP="00167924">
            <w:pPr>
              <w:jc w:val="center"/>
              <w:rPr>
                <w:sz w:val="16"/>
                <w:szCs w:val="16"/>
              </w:rPr>
            </w:pPr>
            <w:r w:rsidRPr="004D1168">
              <w:rPr>
                <w:sz w:val="16"/>
                <w:szCs w:val="16"/>
              </w:rPr>
              <w:t>1.3</w:t>
            </w:r>
          </w:p>
        </w:tc>
        <w:tc>
          <w:tcPr>
            <w:tcW w:w="686" w:type="pct"/>
            <w:tcBorders>
              <w:top w:val="nil"/>
              <w:left w:val="nil"/>
              <w:bottom w:val="nil"/>
              <w:right w:val="nil"/>
            </w:tcBorders>
            <w:shd w:val="clear" w:color="auto" w:fill="auto"/>
            <w:noWrap/>
            <w:vAlign w:val="center"/>
            <w:hideMark/>
          </w:tcPr>
          <w:p w14:paraId="7028C2CC" w14:textId="249E029C" w:rsidR="00A16694" w:rsidRPr="004D1168" w:rsidRDefault="00A16694" w:rsidP="00167924">
            <w:pPr>
              <w:jc w:val="center"/>
              <w:rPr>
                <w:sz w:val="16"/>
                <w:szCs w:val="16"/>
              </w:rPr>
            </w:pPr>
            <w:r w:rsidRPr="004D1168">
              <w:rPr>
                <w:sz w:val="16"/>
                <w:szCs w:val="16"/>
              </w:rPr>
              <w:t>3,470</w:t>
            </w:r>
          </w:p>
        </w:tc>
        <w:tc>
          <w:tcPr>
            <w:tcW w:w="600" w:type="pct"/>
            <w:tcBorders>
              <w:top w:val="nil"/>
              <w:left w:val="nil"/>
              <w:bottom w:val="nil"/>
              <w:right w:val="nil"/>
            </w:tcBorders>
            <w:shd w:val="clear" w:color="auto" w:fill="auto"/>
            <w:noWrap/>
            <w:vAlign w:val="center"/>
            <w:hideMark/>
          </w:tcPr>
          <w:p w14:paraId="66C60FE8" w14:textId="3AEE141A" w:rsidR="00A16694" w:rsidRPr="004D1168" w:rsidRDefault="00A16694" w:rsidP="00167924">
            <w:pPr>
              <w:jc w:val="center"/>
              <w:rPr>
                <w:sz w:val="16"/>
                <w:szCs w:val="16"/>
              </w:rPr>
            </w:pPr>
            <w:r w:rsidRPr="004D1168">
              <w:rPr>
                <w:sz w:val="16"/>
                <w:szCs w:val="16"/>
              </w:rPr>
              <w:t>4.1</w:t>
            </w:r>
          </w:p>
        </w:tc>
        <w:tc>
          <w:tcPr>
            <w:tcW w:w="872" w:type="pct"/>
            <w:tcBorders>
              <w:top w:val="nil"/>
              <w:left w:val="nil"/>
              <w:bottom w:val="nil"/>
              <w:right w:val="nil"/>
            </w:tcBorders>
            <w:shd w:val="clear" w:color="auto" w:fill="auto"/>
            <w:noWrap/>
            <w:vAlign w:val="center"/>
            <w:hideMark/>
          </w:tcPr>
          <w:p w14:paraId="575D249A" w14:textId="61E57CF1" w:rsidR="00A16694" w:rsidRPr="004D1168" w:rsidRDefault="00A16694" w:rsidP="00167924">
            <w:pPr>
              <w:jc w:val="center"/>
              <w:rPr>
                <w:sz w:val="16"/>
                <w:szCs w:val="16"/>
              </w:rPr>
            </w:pPr>
            <w:r w:rsidRPr="004D1168">
              <w:rPr>
                <w:sz w:val="16"/>
                <w:szCs w:val="16"/>
              </w:rPr>
              <w:t>19,506</w:t>
            </w:r>
          </w:p>
        </w:tc>
        <w:tc>
          <w:tcPr>
            <w:tcW w:w="540" w:type="pct"/>
            <w:tcBorders>
              <w:top w:val="nil"/>
              <w:left w:val="nil"/>
              <w:bottom w:val="nil"/>
              <w:right w:val="nil"/>
            </w:tcBorders>
            <w:shd w:val="clear" w:color="auto" w:fill="auto"/>
            <w:noWrap/>
            <w:vAlign w:val="center"/>
            <w:hideMark/>
          </w:tcPr>
          <w:p w14:paraId="2B52024F" w14:textId="77777777" w:rsidR="00A16694" w:rsidRPr="004D1168" w:rsidRDefault="00A16694" w:rsidP="00167924">
            <w:pPr>
              <w:jc w:val="center"/>
              <w:rPr>
                <w:sz w:val="16"/>
                <w:szCs w:val="16"/>
              </w:rPr>
            </w:pPr>
            <w:r w:rsidRPr="004D1168">
              <w:rPr>
                <w:sz w:val="16"/>
                <w:szCs w:val="16"/>
              </w:rPr>
              <w:t>3.0</w:t>
            </w:r>
          </w:p>
        </w:tc>
      </w:tr>
      <w:tr w:rsidR="006B42D6" w:rsidRPr="006B42D6" w14:paraId="2CA10305" w14:textId="77777777" w:rsidTr="00DB5175">
        <w:trPr>
          <w:trHeight w:val="283"/>
        </w:trPr>
        <w:tc>
          <w:tcPr>
            <w:tcW w:w="987" w:type="pct"/>
            <w:tcBorders>
              <w:top w:val="nil"/>
              <w:left w:val="nil"/>
              <w:bottom w:val="nil"/>
              <w:right w:val="nil"/>
            </w:tcBorders>
            <w:shd w:val="clear" w:color="auto" w:fill="auto"/>
            <w:vAlign w:val="center"/>
            <w:hideMark/>
          </w:tcPr>
          <w:p w14:paraId="2A6D3DED" w14:textId="77777777" w:rsidR="00A16694" w:rsidRPr="004D1168" w:rsidRDefault="00A16694" w:rsidP="00167924">
            <w:pPr>
              <w:jc w:val="left"/>
              <w:rPr>
                <w:sz w:val="16"/>
                <w:szCs w:val="16"/>
              </w:rPr>
            </w:pPr>
            <w:r w:rsidRPr="004D1168">
              <w:rPr>
                <w:sz w:val="16"/>
                <w:szCs w:val="16"/>
              </w:rPr>
              <w:t>Njombe</w:t>
            </w:r>
          </w:p>
        </w:tc>
        <w:tc>
          <w:tcPr>
            <w:tcW w:w="686" w:type="pct"/>
            <w:tcBorders>
              <w:top w:val="nil"/>
              <w:left w:val="nil"/>
              <w:bottom w:val="nil"/>
              <w:right w:val="nil"/>
            </w:tcBorders>
            <w:shd w:val="clear" w:color="auto" w:fill="auto"/>
            <w:noWrap/>
            <w:vAlign w:val="center"/>
            <w:hideMark/>
          </w:tcPr>
          <w:p w14:paraId="3BED7DF2" w14:textId="0EE23E26" w:rsidR="00A16694" w:rsidRPr="004D1168" w:rsidRDefault="00A16694" w:rsidP="00167924">
            <w:pPr>
              <w:jc w:val="center"/>
              <w:rPr>
                <w:sz w:val="16"/>
                <w:szCs w:val="16"/>
              </w:rPr>
            </w:pPr>
            <w:r w:rsidRPr="004D1168">
              <w:rPr>
                <w:sz w:val="16"/>
                <w:szCs w:val="16"/>
              </w:rPr>
              <w:t>15,881</w:t>
            </w:r>
          </w:p>
        </w:tc>
        <w:tc>
          <w:tcPr>
            <w:tcW w:w="629" w:type="pct"/>
            <w:tcBorders>
              <w:top w:val="nil"/>
              <w:left w:val="nil"/>
              <w:bottom w:val="nil"/>
              <w:right w:val="nil"/>
            </w:tcBorders>
            <w:shd w:val="clear" w:color="auto" w:fill="auto"/>
            <w:noWrap/>
            <w:vAlign w:val="center"/>
            <w:hideMark/>
          </w:tcPr>
          <w:p w14:paraId="21058661" w14:textId="26DF074D" w:rsidR="00A16694" w:rsidRPr="004D1168" w:rsidRDefault="00A16694" w:rsidP="00167924">
            <w:pPr>
              <w:jc w:val="center"/>
              <w:rPr>
                <w:sz w:val="16"/>
                <w:szCs w:val="16"/>
              </w:rPr>
            </w:pPr>
            <w:r w:rsidRPr="004D1168">
              <w:rPr>
                <w:sz w:val="16"/>
                <w:szCs w:val="16"/>
              </w:rPr>
              <w:t>0.4</w:t>
            </w:r>
          </w:p>
        </w:tc>
        <w:tc>
          <w:tcPr>
            <w:tcW w:w="686" w:type="pct"/>
            <w:tcBorders>
              <w:top w:val="nil"/>
              <w:left w:val="nil"/>
              <w:bottom w:val="nil"/>
              <w:right w:val="nil"/>
            </w:tcBorders>
            <w:shd w:val="clear" w:color="auto" w:fill="auto"/>
            <w:noWrap/>
            <w:vAlign w:val="center"/>
            <w:hideMark/>
          </w:tcPr>
          <w:p w14:paraId="6C010C6E" w14:textId="76AB629F" w:rsidR="00A16694" w:rsidRPr="004D1168" w:rsidRDefault="00A16694" w:rsidP="00167924">
            <w:pPr>
              <w:jc w:val="center"/>
              <w:rPr>
                <w:sz w:val="16"/>
                <w:szCs w:val="16"/>
              </w:rPr>
            </w:pPr>
            <w:r w:rsidRPr="004D1168">
              <w:rPr>
                <w:sz w:val="16"/>
                <w:szCs w:val="16"/>
              </w:rPr>
              <w:t>5,260</w:t>
            </w:r>
          </w:p>
        </w:tc>
        <w:tc>
          <w:tcPr>
            <w:tcW w:w="600" w:type="pct"/>
            <w:tcBorders>
              <w:top w:val="nil"/>
              <w:left w:val="nil"/>
              <w:bottom w:val="nil"/>
              <w:right w:val="nil"/>
            </w:tcBorders>
            <w:shd w:val="clear" w:color="auto" w:fill="auto"/>
            <w:noWrap/>
            <w:vAlign w:val="center"/>
            <w:hideMark/>
          </w:tcPr>
          <w:p w14:paraId="7F46C5F4" w14:textId="3F7E1DAF" w:rsidR="00A16694" w:rsidRPr="004D1168" w:rsidRDefault="00A16694" w:rsidP="00167924">
            <w:pPr>
              <w:jc w:val="center"/>
              <w:rPr>
                <w:sz w:val="16"/>
                <w:szCs w:val="16"/>
              </w:rPr>
            </w:pPr>
            <w:r w:rsidRPr="004D1168">
              <w:rPr>
                <w:sz w:val="16"/>
                <w:szCs w:val="16"/>
              </w:rPr>
              <w:t>6.3</w:t>
            </w:r>
          </w:p>
        </w:tc>
        <w:tc>
          <w:tcPr>
            <w:tcW w:w="872" w:type="pct"/>
            <w:tcBorders>
              <w:top w:val="nil"/>
              <w:left w:val="nil"/>
              <w:bottom w:val="nil"/>
              <w:right w:val="nil"/>
            </w:tcBorders>
            <w:shd w:val="clear" w:color="auto" w:fill="auto"/>
            <w:noWrap/>
            <w:vAlign w:val="center"/>
            <w:hideMark/>
          </w:tcPr>
          <w:p w14:paraId="5925145B" w14:textId="5D18857B" w:rsidR="00A16694" w:rsidRPr="004D1168" w:rsidRDefault="00A16694" w:rsidP="00167924">
            <w:pPr>
              <w:jc w:val="center"/>
              <w:rPr>
                <w:sz w:val="16"/>
                <w:szCs w:val="16"/>
              </w:rPr>
            </w:pPr>
            <w:r w:rsidRPr="004D1168">
              <w:rPr>
                <w:sz w:val="16"/>
                <w:szCs w:val="16"/>
              </w:rPr>
              <w:t>5,033</w:t>
            </w:r>
          </w:p>
        </w:tc>
        <w:tc>
          <w:tcPr>
            <w:tcW w:w="540" w:type="pct"/>
            <w:tcBorders>
              <w:top w:val="nil"/>
              <w:left w:val="nil"/>
              <w:bottom w:val="nil"/>
              <w:right w:val="nil"/>
            </w:tcBorders>
            <w:shd w:val="clear" w:color="auto" w:fill="auto"/>
            <w:noWrap/>
            <w:vAlign w:val="center"/>
            <w:hideMark/>
          </w:tcPr>
          <w:p w14:paraId="7E8AC47E" w14:textId="77777777" w:rsidR="00A16694" w:rsidRPr="004D1168" w:rsidRDefault="00A16694" w:rsidP="00167924">
            <w:pPr>
              <w:jc w:val="center"/>
              <w:rPr>
                <w:sz w:val="16"/>
                <w:szCs w:val="16"/>
              </w:rPr>
            </w:pPr>
            <w:r w:rsidRPr="004D1168">
              <w:rPr>
                <w:sz w:val="16"/>
                <w:szCs w:val="16"/>
              </w:rPr>
              <w:t>0.8</w:t>
            </w:r>
          </w:p>
        </w:tc>
      </w:tr>
      <w:tr w:rsidR="006B42D6" w:rsidRPr="006B42D6" w14:paraId="561EC5B8" w14:textId="77777777" w:rsidTr="00DB5175">
        <w:trPr>
          <w:trHeight w:val="283"/>
        </w:trPr>
        <w:tc>
          <w:tcPr>
            <w:tcW w:w="987" w:type="pct"/>
            <w:tcBorders>
              <w:top w:val="nil"/>
              <w:left w:val="nil"/>
              <w:bottom w:val="nil"/>
              <w:right w:val="nil"/>
            </w:tcBorders>
            <w:shd w:val="clear" w:color="auto" w:fill="auto"/>
            <w:vAlign w:val="center"/>
            <w:hideMark/>
          </w:tcPr>
          <w:p w14:paraId="37FDAA5D" w14:textId="77777777" w:rsidR="00A16694" w:rsidRPr="004D1168" w:rsidRDefault="00A16694" w:rsidP="00167924">
            <w:pPr>
              <w:jc w:val="left"/>
              <w:rPr>
                <w:sz w:val="16"/>
                <w:szCs w:val="16"/>
              </w:rPr>
            </w:pPr>
            <w:r w:rsidRPr="004D1168">
              <w:rPr>
                <w:sz w:val="16"/>
                <w:szCs w:val="16"/>
              </w:rPr>
              <w:t>Katavi</w:t>
            </w:r>
          </w:p>
        </w:tc>
        <w:tc>
          <w:tcPr>
            <w:tcW w:w="686" w:type="pct"/>
            <w:tcBorders>
              <w:top w:val="nil"/>
              <w:left w:val="nil"/>
              <w:bottom w:val="nil"/>
              <w:right w:val="nil"/>
            </w:tcBorders>
            <w:shd w:val="clear" w:color="auto" w:fill="auto"/>
            <w:noWrap/>
            <w:vAlign w:val="center"/>
            <w:hideMark/>
          </w:tcPr>
          <w:p w14:paraId="197D7992" w14:textId="09E1415C" w:rsidR="00A16694" w:rsidRPr="004D1168" w:rsidRDefault="00A16694" w:rsidP="00167924">
            <w:pPr>
              <w:jc w:val="center"/>
              <w:rPr>
                <w:sz w:val="16"/>
                <w:szCs w:val="16"/>
              </w:rPr>
            </w:pPr>
            <w:r w:rsidRPr="004D1168">
              <w:rPr>
                <w:sz w:val="16"/>
                <w:szCs w:val="16"/>
              </w:rPr>
              <w:t>85,513</w:t>
            </w:r>
          </w:p>
        </w:tc>
        <w:tc>
          <w:tcPr>
            <w:tcW w:w="629" w:type="pct"/>
            <w:tcBorders>
              <w:top w:val="nil"/>
              <w:left w:val="nil"/>
              <w:bottom w:val="nil"/>
              <w:right w:val="nil"/>
            </w:tcBorders>
            <w:shd w:val="clear" w:color="auto" w:fill="auto"/>
            <w:noWrap/>
            <w:vAlign w:val="center"/>
            <w:hideMark/>
          </w:tcPr>
          <w:p w14:paraId="7DAD89F6" w14:textId="7256E3F8" w:rsidR="00A16694" w:rsidRPr="004D1168" w:rsidRDefault="00A16694" w:rsidP="00167924">
            <w:pPr>
              <w:jc w:val="center"/>
              <w:rPr>
                <w:sz w:val="16"/>
                <w:szCs w:val="16"/>
              </w:rPr>
            </w:pPr>
            <w:r w:rsidRPr="004D1168">
              <w:rPr>
                <w:sz w:val="16"/>
                <w:szCs w:val="16"/>
              </w:rPr>
              <w:t>2.0</w:t>
            </w:r>
          </w:p>
        </w:tc>
        <w:tc>
          <w:tcPr>
            <w:tcW w:w="686" w:type="pct"/>
            <w:tcBorders>
              <w:top w:val="nil"/>
              <w:left w:val="nil"/>
              <w:bottom w:val="nil"/>
              <w:right w:val="nil"/>
            </w:tcBorders>
            <w:shd w:val="clear" w:color="auto" w:fill="auto"/>
            <w:noWrap/>
            <w:vAlign w:val="center"/>
            <w:hideMark/>
          </w:tcPr>
          <w:p w14:paraId="05929DDA" w14:textId="38680641" w:rsidR="00A16694" w:rsidRPr="004D1168" w:rsidRDefault="00A16694" w:rsidP="00167924">
            <w:pPr>
              <w:jc w:val="center"/>
              <w:rPr>
                <w:sz w:val="16"/>
                <w:szCs w:val="16"/>
              </w:rPr>
            </w:pPr>
            <w:r w:rsidRPr="004D1168">
              <w:rPr>
                <w:sz w:val="16"/>
                <w:szCs w:val="16"/>
              </w:rPr>
              <w:t>966</w:t>
            </w:r>
          </w:p>
        </w:tc>
        <w:tc>
          <w:tcPr>
            <w:tcW w:w="600" w:type="pct"/>
            <w:tcBorders>
              <w:top w:val="nil"/>
              <w:left w:val="nil"/>
              <w:bottom w:val="nil"/>
              <w:right w:val="nil"/>
            </w:tcBorders>
            <w:shd w:val="clear" w:color="auto" w:fill="auto"/>
            <w:noWrap/>
            <w:vAlign w:val="center"/>
            <w:hideMark/>
          </w:tcPr>
          <w:p w14:paraId="64BE74DB" w14:textId="5CD4E4F1" w:rsidR="00A16694" w:rsidRPr="004D1168" w:rsidRDefault="00A16694" w:rsidP="00167924">
            <w:pPr>
              <w:jc w:val="center"/>
              <w:rPr>
                <w:sz w:val="16"/>
                <w:szCs w:val="16"/>
              </w:rPr>
            </w:pPr>
            <w:r w:rsidRPr="004D1168">
              <w:rPr>
                <w:sz w:val="16"/>
                <w:szCs w:val="16"/>
              </w:rPr>
              <w:t>1.2</w:t>
            </w:r>
          </w:p>
        </w:tc>
        <w:tc>
          <w:tcPr>
            <w:tcW w:w="872" w:type="pct"/>
            <w:tcBorders>
              <w:top w:val="nil"/>
              <w:left w:val="nil"/>
              <w:bottom w:val="nil"/>
              <w:right w:val="nil"/>
            </w:tcBorders>
            <w:shd w:val="clear" w:color="auto" w:fill="auto"/>
            <w:noWrap/>
            <w:vAlign w:val="center"/>
            <w:hideMark/>
          </w:tcPr>
          <w:p w14:paraId="7995EC64" w14:textId="6C9766A9" w:rsidR="00A16694" w:rsidRPr="004D1168" w:rsidRDefault="00A16694" w:rsidP="00167924">
            <w:pPr>
              <w:jc w:val="center"/>
              <w:rPr>
                <w:sz w:val="16"/>
                <w:szCs w:val="16"/>
              </w:rPr>
            </w:pPr>
            <w:r w:rsidRPr="004D1168">
              <w:rPr>
                <w:sz w:val="16"/>
                <w:szCs w:val="16"/>
              </w:rPr>
              <w:t>15,413</w:t>
            </w:r>
          </w:p>
        </w:tc>
        <w:tc>
          <w:tcPr>
            <w:tcW w:w="540" w:type="pct"/>
            <w:tcBorders>
              <w:top w:val="nil"/>
              <w:left w:val="nil"/>
              <w:bottom w:val="nil"/>
              <w:right w:val="nil"/>
            </w:tcBorders>
            <w:shd w:val="clear" w:color="auto" w:fill="auto"/>
            <w:noWrap/>
            <w:vAlign w:val="center"/>
            <w:hideMark/>
          </w:tcPr>
          <w:p w14:paraId="079ABBAE" w14:textId="77777777" w:rsidR="00A16694" w:rsidRPr="004D1168" w:rsidRDefault="00A16694" w:rsidP="00167924">
            <w:pPr>
              <w:jc w:val="center"/>
              <w:rPr>
                <w:sz w:val="16"/>
                <w:szCs w:val="16"/>
              </w:rPr>
            </w:pPr>
            <w:r w:rsidRPr="004D1168">
              <w:rPr>
                <w:sz w:val="16"/>
                <w:szCs w:val="16"/>
              </w:rPr>
              <w:t>2.4</w:t>
            </w:r>
          </w:p>
        </w:tc>
      </w:tr>
      <w:tr w:rsidR="006B42D6" w:rsidRPr="006B42D6" w14:paraId="20E5E3C1" w14:textId="77777777" w:rsidTr="00DB5175">
        <w:trPr>
          <w:trHeight w:val="283"/>
        </w:trPr>
        <w:tc>
          <w:tcPr>
            <w:tcW w:w="987" w:type="pct"/>
            <w:tcBorders>
              <w:top w:val="nil"/>
              <w:left w:val="nil"/>
              <w:bottom w:val="nil"/>
              <w:right w:val="nil"/>
            </w:tcBorders>
            <w:shd w:val="clear" w:color="auto" w:fill="auto"/>
            <w:vAlign w:val="center"/>
            <w:hideMark/>
          </w:tcPr>
          <w:p w14:paraId="759416EE" w14:textId="77777777" w:rsidR="00A16694" w:rsidRPr="004D1168" w:rsidRDefault="00A16694" w:rsidP="00167924">
            <w:pPr>
              <w:jc w:val="left"/>
              <w:rPr>
                <w:sz w:val="16"/>
                <w:szCs w:val="16"/>
              </w:rPr>
            </w:pPr>
            <w:r w:rsidRPr="004D1168">
              <w:rPr>
                <w:sz w:val="16"/>
                <w:szCs w:val="16"/>
              </w:rPr>
              <w:t>Simiyu</w:t>
            </w:r>
          </w:p>
        </w:tc>
        <w:tc>
          <w:tcPr>
            <w:tcW w:w="686" w:type="pct"/>
            <w:tcBorders>
              <w:top w:val="nil"/>
              <w:left w:val="nil"/>
              <w:bottom w:val="nil"/>
              <w:right w:val="nil"/>
            </w:tcBorders>
            <w:shd w:val="clear" w:color="auto" w:fill="auto"/>
            <w:noWrap/>
            <w:vAlign w:val="center"/>
            <w:hideMark/>
          </w:tcPr>
          <w:p w14:paraId="4D40A8AA" w14:textId="49FC8E6F" w:rsidR="00A16694" w:rsidRPr="004D1168" w:rsidRDefault="00A16694" w:rsidP="00167924">
            <w:pPr>
              <w:jc w:val="center"/>
              <w:rPr>
                <w:sz w:val="16"/>
                <w:szCs w:val="16"/>
              </w:rPr>
            </w:pPr>
            <w:r w:rsidRPr="004D1168">
              <w:rPr>
                <w:sz w:val="16"/>
                <w:szCs w:val="16"/>
              </w:rPr>
              <w:t>157,007</w:t>
            </w:r>
          </w:p>
        </w:tc>
        <w:tc>
          <w:tcPr>
            <w:tcW w:w="629" w:type="pct"/>
            <w:tcBorders>
              <w:top w:val="nil"/>
              <w:left w:val="nil"/>
              <w:bottom w:val="nil"/>
              <w:right w:val="nil"/>
            </w:tcBorders>
            <w:shd w:val="clear" w:color="auto" w:fill="auto"/>
            <w:noWrap/>
            <w:vAlign w:val="center"/>
            <w:hideMark/>
          </w:tcPr>
          <w:p w14:paraId="44935381" w14:textId="54863917" w:rsidR="00A16694" w:rsidRPr="004D1168" w:rsidRDefault="00A16694" w:rsidP="00167924">
            <w:pPr>
              <w:jc w:val="center"/>
              <w:rPr>
                <w:sz w:val="16"/>
                <w:szCs w:val="16"/>
              </w:rPr>
            </w:pPr>
            <w:r w:rsidRPr="004D1168">
              <w:rPr>
                <w:sz w:val="16"/>
                <w:szCs w:val="16"/>
              </w:rPr>
              <w:t>3.7</w:t>
            </w:r>
          </w:p>
        </w:tc>
        <w:tc>
          <w:tcPr>
            <w:tcW w:w="686" w:type="pct"/>
            <w:tcBorders>
              <w:top w:val="nil"/>
              <w:left w:val="nil"/>
              <w:bottom w:val="nil"/>
              <w:right w:val="nil"/>
            </w:tcBorders>
            <w:shd w:val="clear" w:color="auto" w:fill="auto"/>
            <w:noWrap/>
            <w:vAlign w:val="center"/>
            <w:hideMark/>
          </w:tcPr>
          <w:p w14:paraId="62F75C38" w14:textId="5A99CBFC" w:rsidR="00A16694" w:rsidRPr="004D1168" w:rsidRDefault="00A16694" w:rsidP="00167924">
            <w:pPr>
              <w:jc w:val="center"/>
              <w:rPr>
                <w:sz w:val="16"/>
                <w:szCs w:val="16"/>
              </w:rPr>
            </w:pPr>
            <w:r w:rsidRPr="004D1168">
              <w:rPr>
                <w:sz w:val="16"/>
                <w:szCs w:val="16"/>
              </w:rPr>
              <w:t>1,391</w:t>
            </w:r>
          </w:p>
        </w:tc>
        <w:tc>
          <w:tcPr>
            <w:tcW w:w="600" w:type="pct"/>
            <w:tcBorders>
              <w:top w:val="nil"/>
              <w:left w:val="nil"/>
              <w:bottom w:val="nil"/>
              <w:right w:val="nil"/>
            </w:tcBorders>
            <w:shd w:val="clear" w:color="auto" w:fill="auto"/>
            <w:noWrap/>
            <w:vAlign w:val="center"/>
            <w:hideMark/>
          </w:tcPr>
          <w:p w14:paraId="4699C0D0" w14:textId="2676E515" w:rsidR="00A16694" w:rsidRPr="004D1168" w:rsidRDefault="00A16694" w:rsidP="00167924">
            <w:pPr>
              <w:jc w:val="center"/>
              <w:rPr>
                <w:sz w:val="16"/>
                <w:szCs w:val="16"/>
              </w:rPr>
            </w:pPr>
            <w:r w:rsidRPr="004D1168">
              <w:rPr>
                <w:sz w:val="16"/>
                <w:szCs w:val="16"/>
              </w:rPr>
              <w:t>1.7</w:t>
            </w:r>
          </w:p>
        </w:tc>
        <w:tc>
          <w:tcPr>
            <w:tcW w:w="872" w:type="pct"/>
            <w:tcBorders>
              <w:top w:val="nil"/>
              <w:left w:val="nil"/>
              <w:bottom w:val="nil"/>
              <w:right w:val="nil"/>
            </w:tcBorders>
            <w:shd w:val="clear" w:color="auto" w:fill="auto"/>
            <w:noWrap/>
            <w:vAlign w:val="center"/>
            <w:hideMark/>
          </w:tcPr>
          <w:p w14:paraId="1386B7B1" w14:textId="21452A88" w:rsidR="00A16694" w:rsidRPr="004D1168" w:rsidRDefault="00A16694" w:rsidP="00167924">
            <w:pPr>
              <w:jc w:val="center"/>
              <w:rPr>
                <w:sz w:val="16"/>
                <w:szCs w:val="16"/>
              </w:rPr>
            </w:pPr>
            <w:r w:rsidRPr="004D1168">
              <w:rPr>
                <w:sz w:val="16"/>
                <w:szCs w:val="16"/>
              </w:rPr>
              <w:t>19,165</w:t>
            </w:r>
          </w:p>
        </w:tc>
        <w:tc>
          <w:tcPr>
            <w:tcW w:w="540" w:type="pct"/>
            <w:tcBorders>
              <w:top w:val="nil"/>
              <w:left w:val="nil"/>
              <w:bottom w:val="nil"/>
              <w:right w:val="nil"/>
            </w:tcBorders>
            <w:shd w:val="clear" w:color="auto" w:fill="auto"/>
            <w:noWrap/>
            <w:vAlign w:val="center"/>
            <w:hideMark/>
          </w:tcPr>
          <w:p w14:paraId="3241C9C2" w14:textId="77777777" w:rsidR="00A16694" w:rsidRPr="004D1168" w:rsidRDefault="00A16694" w:rsidP="00167924">
            <w:pPr>
              <w:jc w:val="center"/>
              <w:rPr>
                <w:sz w:val="16"/>
                <w:szCs w:val="16"/>
              </w:rPr>
            </w:pPr>
            <w:r w:rsidRPr="004D1168">
              <w:rPr>
                <w:sz w:val="16"/>
                <w:szCs w:val="16"/>
              </w:rPr>
              <w:t>3.0</w:t>
            </w:r>
          </w:p>
        </w:tc>
      </w:tr>
      <w:tr w:rsidR="006B42D6" w:rsidRPr="006B42D6" w14:paraId="2357075E" w14:textId="77777777" w:rsidTr="00DB5175">
        <w:trPr>
          <w:trHeight w:val="283"/>
        </w:trPr>
        <w:tc>
          <w:tcPr>
            <w:tcW w:w="987" w:type="pct"/>
            <w:tcBorders>
              <w:top w:val="nil"/>
              <w:left w:val="nil"/>
              <w:bottom w:val="nil"/>
              <w:right w:val="nil"/>
            </w:tcBorders>
            <w:shd w:val="clear" w:color="auto" w:fill="auto"/>
            <w:vAlign w:val="center"/>
            <w:hideMark/>
          </w:tcPr>
          <w:p w14:paraId="2E5F3982" w14:textId="77777777" w:rsidR="00A16694" w:rsidRPr="004D1168" w:rsidRDefault="00A16694" w:rsidP="00167924">
            <w:pPr>
              <w:jc w:val="left"/>
              <w:rPr>
                <w:sz w:val="16"/>
                <w:szCs w:val="16"/>
              </w:rPr>
            </w:pPr>
            <w:r w:rsidRPr="004D1168">
              <w:rPr>
                <w:sz w:val="16"/>
                <w:szCs w:val="16"/>
              </w:rPr>
              <w:t>Geita</w:t>
            </w:r>
          </w:p>
        </w:tc>
        <w:tc>
          <w:tcPr>
            <w:tcW w:w="686" w:type="pct"/>
            <w:tcBorders>
              <w:top w:val="nil"/>
              <w:left w:val="nil"/>
              <w:bottom w:val="nil"/>
              <w:right w:val="nil"/>
            </w:tcBorders>
            <w:shd w:val="clear" w:color="auto" w:fill="auto"/>
            <w:noWrap/>
            <w:vAlign w:val="center"/>
            <w:hideMark/>
          </w:tcPr>
          <w:p w14:paraId="162DF444" w14:textId="67D946F9" w:rsidR="00A16694" w:rsidRPr="004D1168" w:rsidRDefault="00A16694" w:rsidP="00167924">
            <w:pPr>
              <w:jc w:val="center"/>
              <w:rPr>
                <w:sz w:val="16"/>
                <w:szCs w:val="16"/>
              </w:rPr>
            </w:pPr>
            <w:r w:rsidRPr="004D1168">
              <w:rPr>
                <w:sz w:val="16"/>
                <w:szCs w:val="16"/>
              </w:rPr>
              <w:t>253,921</w:t>
            </w:r>
          </w:p>
        </w:tc>
        <w:tc>
          <w:tcPr>
            <w:tcW w:w="629" w:type="pct"/>
            <w:tcBorders>
              <w:top w:val="nil"/>
              <w:left w:val="nil"/>
              <w:bottom w:val="nil"/>
              <w:right w:val="nil"/>
            </w:tcBorders>
            <w:shd w:val="clear" w:color="auto" w:fill="auto"/>
            <w:noWrap/>
            <w:vAlign w:val="center"/>
            <w:hideMark/>
          </w:tcPr>
          <w:p w14:paraId="7C00857A" w14:textId="1F3A3A96" w:rsidR="00A16694" w:rsidRPr="004D1168" w:rsidRDefault="00A16694" w:rsidP="00167924">
            <w:pPr>
              <w:jc w:val="center"/>
              <w:rPr>
                <w:sz w:val="16"/>
                <w:szCs w:val="16"/>
              </w:rPr>
            </w:pPr>
            <w:r w:rsidRPr="004D1168">
              <w:rPr>
                <w:sz w:val="16"/>
                <w:szCs w:val="16"/>
              </w:rPr>
              <w:t>6.0</w:t>
            </w:r>
          </w:p>
        </w:tc>
        <w:tc>
          <w:tcPr>
            <w:tcW w:w="686" w:type="pct"/>
            <w:tcBorders>
              <w:top w:val="nil"/>
              <w:left w:val="nil"/>
              <w:bottom w:val="nil"/>
              <w:right w:val="nil"/>
            </w:tcBorders>
            <w:shd w:val="clear" w:color="auto" w:fill="auto"/>
            <w:noWrap/>
            <w:vAlign w:val="center"/>
            <w:hideMark/>
          </w:tcPr>
          <w:p w14:paraId="3B0DA30A" w14:textId="7C3E6491" w:rsidR="00A16694" w:rsidRPr="004D1168" w:rsidRDefault="00A16694" w:rsidP="00167924">
            <w:pPr>
              <w:jc w:val="center"/>
              <w:rPr>
                <w:sz w:val="16"/>
                <w:szCs w:val="16"/>
              </w:rPr>
            </w:pPr>
            <w:r w:rsidRPr="004D1168">
              <w:rPr>
                <w:sz w:val="16"/>
                <w:szCs w:val="16"/>
              </w:rPr>
              <w:t>-</w:t>
            </w:r>
          </w:p>
        </w:tc>
        <w:tc>
          <w:tcPr>
            <w:tcW w:w="600" w:type="pct"/>
            <w:tcBorders>
              <w:top w:val="nil"/>
              <w:left w:val="nil"/>
              <w:bottom w:val="nil"/>
              <w:right w:val="nil"/>
            </w:tcBorders>
            <w:shd w:val="clear" w:color="auto" w:fill="auto"/>
            <w:noWrap/>
            <w:vAlign w:val="center"/>
            <w:hideMark/>
          </w:tcPr>
          <w:p w14:paraId="15348B14" w14:textId="553336C3" w:rsidR="00A16694" w:rsidRPr="004D1168" w:rsidRDefault="00A16694" w:rsidP="00167924">
            <w:pPr>
              <w:jc w:val="center"/>
              <w:rPr>
                <w:sz w:val="16"/>
                <w:szCs w:val="16"/>
              </w:rPr>
            </w:pPr>
            <w:r w:rsidRPr="004D1168">
              <w:rPr>
                <w:sz w:val="16"/>
                <w:szCs w:val="16"/>
              </w:rPr>
              <w:t>-</w:t>
            </w:r>
          </w:p>
        </w:tc>
        <w:tc>
          <w:tcPr>
            <w:tcW w:w="872" w:type="pct"/>
            <w:tcBorders>
              <w:top w:val="nil"/>
              <w:left w:val="nil"/>
              <w:bottom w:val="nil"/>
              <w:right w:val="nil"/>
            </w:tcBorders>
            <w:shd w:val="clear" w:color="auto" w:fill="auto"/>
            <w:noWrap/>
            <w:vAlign w:val="center"/>
            <w:hideMark/>
          </w:tcPr>
          <w:p w14:paraId="1BC84CF1" w14:textId="39175EDA" w:rsidR="00A16694" w:rsidRPr="004D1168" w:rsidRDefault="00A16694" w:rsidP="00167924">
            <w:pPr>
              <w:jc w:val="center"/>
              <w:rPr>
                <w:sz w:val="16"/>
                <w:szCs w:val="16"/>
              </w:rPr>
            </w:pPr>
            <w:r w:rsidRPr="004D1168">
              <w:rPr>
                <w:sz w:val="16"/>
                <w:szCs w:val="16"/>
              </w:rPr>
              <w:t>33,845</w:t>
            </w:r>
          </w:p>
        </w:tc>
        <w:tc>
          <w:tcPr>
            <w:tcW w:w="540" w:type="pct"/>
            <w:tcBorders>
              <w:top w:val="nil"/>
              <w:left w:val="nil"/>
              <w:bottom w:val="nil"/>
              <w:right w:val="nil"/>
            </w:tcBorders>
            <w:shd w:val="clear" w:color="auto" w:fill="auto"/>
            <w:noWrap/>
            <w:vAlign w:val="center"/>
            <w:hideMark/>
          </w:tcPr>
          <w:p w14:paraId="6E3C88BF" w14:textId="77777777" w:rsidR="00A16694" w:rsidRPr="004D1168" w:rsidRDefault="00A16694" w:rsidP="00167924">
            <w:pPr>
              <w:jc w:val="center"/>
              <w:rPr>
                <w:sz w:val="16"/>
                <w:szCs w:val="16"/>
              </w:rPr>
            </w:pPr>
            <w:r w:rsidRPr="004D1168">
              <w:rPr>
                <w:sz w:val="16"/>
                <w:szCs w:val="16"/>
              </w:rPr>
              <w:t>5.3</w:t>
            </w:r>
          </w:p>
        </w:tc>
      </w:tr>
      <w:tr w:rsidR="006B42D6" w:rsidRPr="006B42D6" w14:paraId="399640FF" w14:textId="77777777" w:rsidTr="00DB5175">
        <w:trPr>
          <w:trHeight w:val="283"/>
        </w:trPr>
        <w:tc>
          <w:tcPr>
            <w:tcW w:w="987" w:type="pct"/>
            <w:tcBorders>
              <w:top w:val="nil"/>
              <w:left w:val="nil"/>
              <w:bottom w:val="nil"/>
              <w:right w:val="nil"/>
            </w:tcBorders>
            <w:shd w:val="clear" w:color="auto" w:fill="auto"/>
            <w:vAlign w:val="center"/>
            <w:hideMark/>
          </w:tcPr>
          <w:p w14:paraId="5CC25DEA" w14:textId="77777777" w:rsidR="00A16694" w:rsidRPr="004D1168" w:rsidRDefault="00A16694" w:rsidP="00167924">
            <w:pPr>
              <w:jc w:val="left"/>
              <w:rPr>
                <w:sz w:val="16"/>
                <w:szCs w:val="16"/>
              </w:rPr>
            </w:pPr>
            <w:r w:rsidRPr="004D1168">
              <w:rPr>
                <w:sz w:val="16"/>
                <w:szCs w:val="16"/>
              </w:rPr>
              <w:t>Songwe</w:t>
            </w:r>
          </w:p>
        </w:tc>
        <w:tc>
          <w:tcPr>
            <w:tcW w:w="686" w:type="pct"/>
            <w:tcBorders>
              <w:top w:val="nil"/>
              <w:left w:val="nil"/>
              <w:bottom w:val="nil"/>
              <w:right w:val="nil"/>
            </w:tcBorders>
            <w:shd w:val="clear" w:color="auto" w:fill="auto"/>
            <w:noWrap/>
            <w:vAlign w:val="center"/>
            <w:hideMark/>
          </w:tcPr>
          <w:p w14:paraId="2799BFC3" w14:textId="71D50CC9" w:rsidR="00A16694" w:rsidRPr="004D1168" w:rsidRDefault="00A16694" w:rsidP="00167924">
            <w:pPr>
              <w:jc w:val="center"/>
              <w:rPr>
                <w:sz w:val="16"/>
                <w:szCs w:val="16"/>
              </w:rPr>
            </w:pPr>
            <w:r w:rsidRPr="004D1168">
              <w:rPr>
                <w:sz w:val="16"/>
                <w:szCs w:val="16"/>
              </w:rPr>
              <w:t>138,211</w:t>
            </w:r>
          </w:p>
        </w:tc>
        <w:tc>
          <w:tcPr>
            <w:tcW w:w="629" w:type="pct"/>
            <w:tcBorders>
              <w:top w:val="nil"/>
              <w:left w:val="nil"/>
              <w:bottom w:val="nil"/>
              <w:right w:val="nil"/>
            </w:tcBorders>
            <w:shd w:val="clear" w:color="auto" w:fill="auto"/>
            <w:noWrap/>
            <w:vAlign w:val="center"/>
            <w:hideMark/>
          </w:tcPr>
          <w:p w14:paraId="505E68F1" w14:textId="7AC1B663" w:rsidR="00A16694" w:rsidRPr="004D1168" w:rsidRDefault="00A16694" w:rsidP="00167924">
            <w:pPr>
              <w:jc w:val="center"/>
              <w:rPr>
                <w:sz w:val="16"/>
                <w:szCs w:val="16"/>
              </w:rPr>
            </w:pPr>
            <w:r w:rsidRPr="004D1168">
              <w:rPr>
                <w:sz w:val="16"/>
                <w:szCs w:val="16"/>
              </w:rPr>
              <w:t>3.3</w:t>
            </w:r>
          </w:p>
        </w:tc>
        <w:tc>
          <w:tcPr>
            <w:tcW w:w="686" w:type="pct"/>
            <w:tcBorders>
              <w:top w:val="nil"/>
              <w:left w:val="nil"/>
              <w:bottom w:val="nil"/>
              <w:right w:val="nil"/>
            </w:tcBorders>
            <w:shd w:val="clear" w:color="auto" w:fill="auto"/>
            <w:noWrap/>
            <w:vAlign w:val="center"/>
            <w:hideMark/>
          </w:tcPr>
          <w:p w14:paraId="50ECBBDE" w14:textId="44759270" w:rsidR="00A16694" w:rsidRPr="004D1168" w:rsidRDefault="00A16694" w:rsidP="00167924">
            <w:pPr>
              <w:jc w:val="center"/>
              <w:rPr>
                <w:sz w:val="16"/>
                <w:szCs w:val="16"/>
              </w:rPr>
            </w:pPr>
            <w:r w:rsidRPr="004D1168">
              <w:rPr>
                <w:sz w:val="16"/>
                <w:szCs w:val="16"/>
              </w:rPr>
              <w:t>2,871</w:t>
            </w:r>
          </w:p>
        </w:tc>
        <w:tc>
          <w:tcPr>
            <w:tcW w:w="600" w:type="pct"/>
            <w:tcBorders>
              <w:top w:val="nil"/>
              <w:left w:val="nil"/>
              <w:bottom w:val="nil"/>
              <w:right w:val="nil"/>
            </w:tcBorders>
            <w:shd w:val="clear" w:color="auto" w:fill="auto"/>
            <w:noWrap/>
            <w:vAlign w:val="center"/>
            <w:hideMark/>
          </w:tcPr>
          <w:p w14:paraId="24F01715" w14:textId="5313AADB" w:rsidR="00A16694" w:rsidRPr="004D1168" w:rsidRDefault="00A16694" w:rsidP="00167924">
            <w:pPr>
              <w:jc w:val="center"/>
              <w:rPr>
                <w:sz w:val="16"/>
                <w:szCs w:val="16"/>
              </w:rPr>
            </w:pPr>
            <w:r w:rsidRPr="004D1168">
              <w:rPr>
                <w:sz w:val="16"/>
                <w:szCs w:val="16"/>
              </w:rPr>
              <w:t>3.4</w:t>
            </w:r>
          </w:p>
        </w:tc>
        <w:tc>
          <w:tcPr>
            <w:tcW w:w="872" w:type="pct"/>
            <w:tcBorders>
              <w:top w:val="nil"/>
              <w:left w:val="nil"/>
              <w:bottom w:val="nil"/>
              <w:right w:val="nil"/>
            </w:tcBorders>
            <w:shd w:val="clear" w:color="auto" w:fill="auto"/>
            <w:noWrap/>
            <w:vAlign w:val="center"/>
            <w:hideMark/>
          </w:tcPr>
          <w:p w14:paraId="29B23588" w14:textId="590D1C72" w:rsidR="00A16694" w:rsidRPr="004D1168" w:rsidRDefault="00A16694" w:rsidP="00167924">
            <w:pPr>
              <w:jc w:val="center"/>
              <w:rPr>
                <w:sz w:val="16"/>
                <w:szCs w:val="16"/>
              </w:rPr>
            </w:pPr>
            <w:r w:rsidRPr="004D1168">
              <w:rPr>
                <w:sz w:val="16"/>
                <w:szCs w:val="16"/>
              </w:rPr>
              <w:t>46,575</w:t>
            </w:r>
          </w:p>
        </w:tc>
        <w:tc>
          <w:tcPr>
            <w:tcW w:w="540" w:type="pct"/>
            <w:tcBorders>
              <w:top w:val="nil"/>
              <w:left w:val="nil"/>
              <w:bottom w:val="nil"/>
              <w:right w:val="nil"/>
            </w:tcBorders>
            <w:shd w:val="clear" w:color="auto" w:fill="auto"/>
            <w:noWrap/>
            <w:vAlign w:val="center"/>
            <w:hideMark/>
          </w:tcPr>
          <w:p w14:paraId="34BC5F06" w14:textId="77777777" w:rsidR="00A16694" w:rsidRPr="004D1168" w:rsidRDefault="00A16694" w:rsidP="00167924">
            <w:pPr>
              <w:jc w:val="center"/>
              <w:rPr>
                <w:sz w:val="16"/>
                <w:szCs w:val="16"/>
              </w:rPr>
            </w:pPr>
            <w:r w:rsidRPr="004D1168">
              <w:rPr>
                <w:sz w:val="16"/>
                <w:szCs w:val="16"/>
              </w:rPr>
              <w:t>7.2</w:t>
            </w:r>
          </w:p>
        </w:tc>
      </w:tr>
      <w:tr w:rsidR="006B42D6" w:rsidRPr="006B42D6" w14:paraId="4DF50D99" w14:textId="77777777" w:rsidTr="00DB5175">
        <w:trPr>
          <w:trHeight w:val="283"/>
        </w:trPr>
        <w:tc>
          <w:tcPr>
            <w:tcW w:w="987" w:type="pct"/>
            <w:tcBorders>
              <w:top w:val="single" w:sz="4" w:space="0" w:color="auto"/>
              <w:left w:val="nil"/>
              <w:bottom w:val="single" w:sz="4" w:space="0" w:color="auto"/>
              <w:right w:val="nil"/>
            </w:tcBorders>
            <w:shd w:val="clear" w:color="auto" w:fill="E2EFD9" w:themeFill="accent6" w:themeFillTint="33"/>
            <w:vAlign w:val="center"/>
            <w:hideMark/>
          </w:tcPr>
          <w:p w14:paraId="54484BFB" w14:textId="0E49B7C1" w:rsidR="00A16694" w:rsidRPr="004D1168" w:rsidRDefault="00A16694" w:rsidP="00167924">
            <w:pPr>
              <w:jc w:val="left"/>
              <w:rPr>
                <w:b/>
                <w:bCs/>
                <w:sz w:val="16"/>
                <w:szCs w:val="16"/>
              </w:rPr>
            </w:pPr>
            <w:r w:rsidRPr="004D1168">
              <w:rPr>
                <w:b/>
                <w:bCs/>
                <w:sz w:val="16"/>
                <w:szCs w:val="16"/>
              </w:rPr>
              <w:t>Mainland</w:t>
            </w:r>
            <w:r w:rsidR="00DB5175">
              <w:rPr>
                <w:b/>
                <w:bCs/>
                <w:sz w:val="16"/>
                <w:szCs w:val="16"/>
              </w:rPr>
              <w:t xml:space="preserve"> Tanzania</w:t>
            </w:r>
          </w:p>
        </w:tc>
        <w:tc>
          <w:tcPr>
            <w:tcW w:w="686" w:type="pct"/>
            <w:tcBorders>
              <w:top w:val="single" w:sz="4" w:space="0" w:color="auto"/>
              <w:left w:val="nil"/>
              <w:bottom w:val="single" w:sz="4" w:space="0" w:color="auto"/>
              <w:right w:val="nil"/>
            </w:tcBorders>
            <w:shd w:val="clear" w:color="auto" w:fill="E2EFD9" w:themeFill="accent6" w:themeFillTint="33"/>
            <w:noWrap/>
            <w:vAlign w:val="center"/>
            <w:hideMark/>
          </w:tcPr>
          <w:p w14:paraId="7497B1C0" w14:textId="67277317" w:rsidR="00A16694" w:rsidRPr="004D1168" w:rsidRDefault="00A16694" w:rsidP="00167924">
            <w:pPr>
              <w:jc w:val="center"/>
              <w:rPr>
                <w:b/>
                <w:bCs/>
                <w:sz w:val="16"/>
                <w:szCs w:val="16"/>
              </w:rPr>
            </w:pPr>
            <w:r w:rsidRPr="004D1168">
              <w:rPr>
                <w:b/>
                <w:bCs/>
                <w:sz w:val="16"/>
                <w:szCs w:val="16"/>
              </w:rPr>
              <w:t>4,229,018</w:t>
            </w:r>
          </w:p>
        </w:tc>
        <w:tc>
          <w:tcPr>
            <w:tcW w:w="629" w:type="pct"/>
            <w:tcBorders>
              <w:top w:val="single" w:sz="4" w:space="0" w:color="auto"/>
              <w:left w:val="nil"/>
              <w:bottom w:val="single" w:sz="4" w:space="0" w:color="auto"/>
              <w:right w:val="nil"/>
            </w:tcBorders>
            <w:shd w:val="clear" w:color="auto" w:fill="E2EFD9" w:themeFill="accent6" w:themeFillTint="33"/>
            <w:noWrap/>
            <w:vAlign w:val="center"/>
            <w:hideMark/>
          </w:tcPr>
          <w:p w14:paraId="7A8AFD38" w14:textId="46C92F98" w:rsidR="00A16694" w:rsidRPr="004D1168" w:rsidRDefault="00A16694" w:rsidP="00167924">
            <w:pPr>
              <w:jc w:val="center"/>
              <w:rPr>
                <w:b/>
                <w:bCs/>
                <w:sz w:val="16"/>
                <w:szCs w:val="16"/>
              </w:rPr>
            </w:pPr>
            <w:r w:rsidRPr="004D1168">
              <w:rPr>
                <w:b/>
                <w:bCs/>
                <w:sz w:val="16"/>
                <w:szCs w:val="16"/>
              </w:rPr>
              <w:t>100</w:t>
            </w:r>
          </w:p>
        </w:tc>
        <w:tc>
          <w:tcPr>
            <w:tcW w:w="686" w:type="pct"/>
            <w:tcBorders>
              <w:top w:val="single" w:sz="4" w:space="0" w:color="auto"/>
              <w:left w:val="nil"/>
              <w:bottom w:val="single" w:sz="4" w:space="0" w:color="auto"/>
              <w:right w:val="nil"/>
            </w:tcBorders>
            <w:shd w:val="clear" w:color="auto" w:fill="E2EFD9" w:themeFill="accent6" w:themeFillTint="33"/>
            <w:noWrap/>
            <w:vAlign w:val="center"/>
            <w:hideMark/>
          </w:tcPr>
          <w:p w14:paraId="412151E4" w14:textId="6D6CF6AC" w:rsidR="00A16694" w:rsidRPr="004D1168" w:rsidRDefault="00A16694" w:rsidP="00167924">
            <w:pPr>
              <w:jc w:val="center"/>
              <w:rPr>
                <w:b/>
                <w:bCs/>
                <w:sz w:val="16"/>
                <w:szCs w:val="16"/>
              </w:rPr>
            </w:pPr>
            <w:r w:rsidRPr="004D1168">
              <w:rPr>
                <w:b/>
                <w:bCs/>
                <w:sz w:val="16"/>
                <w:szCs w:val="16"/>
              </w:rPr>
              <w:t>83,831</w:t>
            </w:r>
          </w:p>
        </w:tc>
        <w:tc>
          <w:tcPr>
            <w:tcW w:w="600" w:type="pct"/>
            <w:tcBorders>
              <w:top w:val="single" w:sz="4" w:space="0" w:color="auto"/>
              <w:left w:val="nil"/>
              <w:bottom w:val="single" w:sz="4" w:space="0" w:color="auto"/>
              <w:right w:val="nil"/>
            </w:tcBorders>
            <w:shd w:val="clear" w:color="auto" w:fill="E2EFD9" w:themeFill="accent6" w:themeFillTint="33"/>
            <w:noWrap/>
            <w:vAlign w:val="center"/>
            <w:hideMark/>
          </w:tcPr>
          <w:p w14:paraId="364F7E1B" w14:textId="1BA4B58A" w:rsidR="00A16694" w:rsidRPr="004D1168" w:rsidRDefault="00A16694" w:rsidP="00167924">
            <w:pPr>
              <w:jc w:val="center"/>
              <w:rPr>
                <w:b/>
                <w:bCs/>
                <w:sz w:val="16"/>
                <w:szCs w:val="16"/>
              </w:rPr>
            </w:pPr>
            <w:r w:rsidRPr="004D1168">
              <w:rPr>
                <w:b/>
                <w:bCs/>
                <w:sz w:val="16"/>
                <w:szCs w:val="16"/>
              </w:rPr>
              <w:t>100</w:t>
            </w:r>
          </w:p>
        </w:tc>
        <w:tc>
          <w:tcPr>
            <w:tcW w:w="872" w:type="pct"/>
            <w:tcBorders>
              <w:top w:val="single" w:sz="4" w:space="0" w:color="auto"/>
              <w:left w:val="nil"/>
              <w:bottom w:val="single" w:sz="4" w:space="0" w:color="auto"/>
              <w:right w:val="nil"/>
            </w:tcBorders>
            <w:shd w:val="clear" w:color="auto" w:fill="E2EFD9" w:themeFill="accent6" w:themeFillTint="33"/>
            <w:noWrap/>
            <w:vAlign w:val="center"/>
            <w:hideMark/>
          </w:tcPr>
          <w:p w14:paraId="22A5A954" w14:textId="4321F1E8" w:rsidR="00A16694" w:rsidRPr="004D1168" w:rsidRDefault="00A16694" w:rsidP="00167924">
            <w:pPr>
              <w:jc w:val="center"/>
              <w:rPr>
                <w:b/>
                <w:bCs/>
                <w:sz w:val="16"/>
                <w:szCs w:val="16"/>
              </w:rPr>
            </w:pPr>
            <w:r w:rsidRPr="004D1168">
              <w:rPr>
                <w:b/>
                <w:bCs/>
                <w:sz w:val="16"/>
                <w:szCs w:val="16"/>
              </w:rPr>
              <w:t>643,953</w:t>
            </w:r>
          </w:p>
        </w:tc>
        <w:tc>
          <w:tcPr>
            <w:tcW w:w="540" w:type="pct"/>
            <w:tcBorders>
              <w:top w:val="single" w:sz="4" w:space="0" w:color="auto"/>
              <w:left w:val="nil"/>
              <w:bottom w:val="single" w:sz="4" w:space="0" w:color="auto"/>
              <w:right w:val="nil"/>
            </w:tcBorders>
            <w:shd w:val="clear" w:color="auto" w:fill="E2EFD9" w:themeFill="accent6" w:themeFillTint="33"/>
            <w:noWrap/>
            <w:vAlign w:val="center"/>
            <w:hideMark/>
          </w:tcPr>
          <w:p w14:paraId="485DB4FC" w14:textId="77777777" w:rsidR="00A16694" w:rsidRPr="004D1168" w:rsidRDefault="00A16694" w:rsidP="00167924">
            <w:pPr>
              <w:jc w:val="center"/>
              <w:rPr>
                <w:sz w:val="16"/>
                <w:szCs w:val="16"/>
              </w:rPr>
            </w:pPr>
            <w:r w:rsidRPr="004D1168">
              <w:rPr>
                <w:sz w:val="16"/>
                <w:szCs w:val="16"/>
              </w:rPr>
              <w:t>100</w:t>
            </w:r>
          </w:p>
        </w:tc>
      </w:tr>
      <w:tr w:rsidR="006B42D6" w:rsidRPr="006B42D6" w14:paraId="29DD7CBC" w14:textId="77777777" w:rsidTr="00DB5175">
        <w:trPr>
          <w:trHeight w:val="283"/>
        </w:trPr>
        <w:tc>
          <w:tcPr>
            <w:tcW w:w="987" w:type="pct"/>
            <w:tcBorders>
              <w:top w:val="nil"/>
              <w:left w:val="nil"/>
              <w:bottom w:val="nil"/>
              <w:right w:val="nil"/>
            </w:tcBorders>
            <w:shd w:val="clear" w:color="auto" w:fill="auto"/>
            <w:vAlign w:val="center"/>
            <w:hideMark/>
          </w:tcPr>
          <w:p w14:paraId="4D178F8E" w14:textId="77777777" w:rsidR="00A16694" w:rsidRPr="004D1168" w:rsidRDefault="00A16694" w:rsidP="00167924">
            <w:pPr>
              <w:jc w:val="left"/>
              <w:rPr>
                <w:sz w:val="16"/>
                <w:szCs w:val="16"/>
              </w:rPr>
            </w:pPr>
            <w:r w:rsidRPr="004D1168">
              <w:rPr>
                <w:sz w:val="16"/>
                <w:szCs w:val="16"/>
              </w:rPr>
              <w:t>Kaskazini Unguja</w:t>
            </w:r>
          </w:p>
        </w:tc>
        <w:tc>
          <w:tcPr>
            <w:tcW w:w="686" w:type="pct"/>
            <w:tcBorders>
              <w:top w:val="nil"/>
              <w:left w:val="nil"/>
              <w:bottom w:val="nil"/>
              <w:right w:val="nil"/>
            </w:tcBorders>
            <w:shd w:val="clear" w:color="auto" w:fill="auto"/>
            <w:noWrap/>
            <w:vAlign w:val="center"/>
            <w:hideMark/>
          </w:tcPr>
          <w:p w14:paraId="1BEB26C9" w14:textId="1E234FEE" w:rsidR="00A16694" w:rsidRPr="004D1168" w:rsidRDefault="00A16694" w:rsidP="00167924">
            <w:pPr>
              <w:jc w:val="center"/>
              <w:rPr>
                <w:sz w:val="16"/>
                <w:szCs w:val="16"/>
              </w:rPr>
            </w:pPr>
            <w:r w:rsidRPr="004D1168">
              <w:rPr>
                <w:sz w:val="16"/>
                <w:szCs w:val="16"/>
              </w:rPr>
              <w:t>28,368</w:t>
            </w:r>
          </w:p>
        </w:tc>
        <w:tc>
          <w:tcPr>
            <w:tcW w:w="629" w:type="pct"/>
            <w:tcBorders>
              <w:top w:val="nil"/>
              <w:left w:val="nil"/>
              <w:bottom w:val="nil"/>
              <w:right w:val="nil"/>
            </w:tcBorders>
            <w:shd w:val="clear" w:color="auto" w:fill="auto"/>
            <w:noWrap/>
            <w:vAlign w:val="center"/>
            <w:hideMark/>
          </w:tcPr>
          <w:p w14:paraId="273BAB96" w14:textId="58F25273" w:rsidR="00A16694" w:rsidRPr="004D1168" w:rsidRDefault="00A16694" w:rsidP="00167924">
            <w:pPr>
              <w:jc w:val="center"/>
              <w:rPr>
                <w:sz w:val="16"/>
                <w:szCs w:val="16"/>
              </w:rPr>
            </w:pPr>
            <w:r w:rsidRPr="004D1168">
              <w:rPr>
                <w:sz w:val="16"/>
                <w:szCs w:val="16"/>
              </w:rPr>
              <w:t>22.4</w:t>
            </w:r>
          </w:p>
        </w:tc>
        <w:tc>
          <w:tcPr>
            <w:tcW w:w="686" w:type="pct"/>
            <w:tcBorders>
              <w:top w:val="nil"/>
              <w:left w:val="nil"/>
              <w:bottom w:val="nil"/>
              <w:right w:val="nil"/>
            </w:tcBorders>
            <w:shd w:val="clear" w:color="auto" w:fill="auto"/>
            <w:noWrap/>
            <w:vAlign w:val="center"/>
            <w:hideMark/>
          </w:tcPr>
          <w:p w14:paraId="373266AB" w14:textId="57781C82" w:rsidR="00A16694" w:rsidRPr="004D1168" w:rsidRDefault="00A16694" w:rsidP="00167924">
            <w:pPr>
              <w:jc w:val="center"/>
              <w:rPr>
                <w:sz w:val="16"/>
                <w:szCs w:val="16"/>
              </w:rPr>
            </w:pPr>
            <w:r w:rsidRPr="004D1168">
              <w:rPr>
                <w:sz w:val="16"/>
                <w:szCs w:val="16"/>
              </w:rPr>
              <w:t>-</w:t>
            </w:r>
          </w:p>
        </w:tc>
        <w:tc>
          <w:tcPr>
            <w:tcW w:w="600" w:type="pct"/>
            <w:tcBorders>
              <w:top w:val="nil"/>
              <w:left w:val="nil"/>
              <w:bottom w:val="nil"/>
              <w:right w:val="nil"/>
            </w:tcBorders>
            <w:shd w:val="clear" w:color="auto" w:fill="auto"/>
            <w:noWrap/>
            <w:vAlign w:val="center"/>
            <w:hideMark/>
          </w:tcPr>
          <w:p w14:paraId="23998B69" w14:textId="02858269" w:rsidR="00A16694" w:rsidRPr="004D1168" w:rsidRDefault="00A16694" w:rsidP="00167924">
            <w:pPr>
              <w:jc w:val="center"/>
              <w:rPr>
                <w:sz w:val="16"/>
                <w:szCs w:val="16"/>
              </w:rPr>
            </w:pPr>
            <w:r w:rsidRPr="004D1168">
              <w:rPr>
                <w:sz w:val="16"/>
                <w:szCs w:val="16"/>
              </w:rPr>
              <w:t>-</w:t>
            </w:r>
          </w:p>
        </w:tc>
        <w:tc>
          <w:tcPr>
            <w:tcW w:w="872" w:type="pct"/>
            <w:tcBorders>
              <w:top w:val="nil"/>
              <w:left w:val="nil"/>
              <w:bottom w:val="nil"/>
              <w:right w:val="nil"/>
            </w:tcBorders>
            <w:shd w:val="clear" w:color="auto" w:fill="auto"/>
            <w:noWrap/>
            <w:vAlign w:val="center"/>
            <w:hideMark/>
          </w:tcPr>
          <w:p w14:paraId="5485F417" w14:textId="34F13F42" w:rsidR="00A16694" w:rsidRPr="004D1168" w:rsidRDefault="00A16694" w:rsidP="00167924">
            <w:pPr>
              <w:jc w:val="center"/>
              <w:rPr>
                <w:sz w:val="16"/>
                <w:szCs w:val="16"/>
              </w:rPr>
            </w:pPr>
            <w:r w:rsidRPr="004D1168">
              <w:rPr>
                <w:sz w:val="16"/>
                <w:szCs w:val="16"/>
              </w:rPr>
              <w:t>1,361</w:t>
            </w:r>
          </w:p>
        </w:tc>
        <w:tc>
          <w:tcPr>
            <w:tcW w:w="540" w:type="pct"/>
            <w:tcBorders>
              <w:top w:val="nil"/>
              <w:left w:val="nil"/>
              <w:bottom w:val="nil"/>
              <w:right w:val="nil"/>
            </w:tcBorders>
            <w:shd w:val="clear" w:color="auto" w:fill="auto"/>
            <w:noWrap/>
            <w:vAlign w:val="center"/>
            <w:hideMark/>
          </w:tcPr>
          <w:p w14:paraId="31F1F1FE" w14:textId="77777777" w:rsidR="00A16694" w:rsidRPr="004D1168" w:rsidRDefault="00A16694" w:rsidP="00167924">
            <w:pPr>
              <w:jc w:val="center"/>
              <w:rPr>
                <w:sz w:val="16"/>
                <w:szCs w:val="16"/>
              </w:rPr>
            </w:pPr>
            <w:r w:rsidRPr="004D1168">
              <w:rPr>
                <w:sz w:val="16"/>
                <w:szCs w:val="16"/>
              </w:rPr>
              <w:t>7.5</w:t>
            </w:r>
          </w:p>
        </w:tc>
      </w:tr>
      <w:tr w:rsidR="006B42D6" w:rsidRPr="006B42D6" w14:paraId="34C04FDF" w14:textId="77777777" w:rsidTr="00DB5175">
        <w:trPr>
          <w:trHeight w:val="283"/>
        </w:trPr>
        <w:tc>
          <w:tcPr>
            <w:tcW w:w="987" w:type="pct"/>
            <w:tcBorders>
              <w:top w:val="nil"/>
              <w:left w:val="nil"/>
              <w:bottom w:val="nil"/>
              <w:right w:val="nil"/>
            </w:tcBorders>
            <w:shd w:val="clear" w:color="auto" w:fill="auto"/>
            <w:vAlign w:val="center"/>
            <w:hideMark/>
          </w:tcPr>
          <w:p w14:paraId="3106FB82" w14:textId="77777777" w:rsidR="00A16694" w:rsidRPr="004D1168" w:rsidRDefault="00A16694" w:rsidP="00167924">
            <w:pPr>
              <w:jc w:val="left"/>
              <w:rPr>
                <w:sz w:val="16"/>
                <w:szCs w:val="16"/>
              </w:rPr>
            </w:pPr>
            <w:r w:rsidRPr="004D1168">
              <w:rPr>
                <w:sz w:val="16"/>
                <w:szCs w:val="16"/>
              </w:rPr>
              <w:t xml:space="preserve">Kusini Unguja </w:t>
            </w:r>
          </w:p>
        </w:tc>
        <w:tc>
          <w:tcPr>
            <w:tcW w:w="686" w:type="pct"/>
            <w:tcBorders>
              <w:top w:val="nil"/>
              <w:left w:val="nil"/>
              <w:bottom w:val="nil"/>
              <w:right w:val="nil"/>
            </w:tcBorders>
            <w:shd w:val="clear" w:color="auto" w:fill="auto"/>
            <w:noWrap/>
            <w:vAlign w:val="center"/>
            <w:hideMark/>
          </w:tcPr>
          <w:p w14:paraId="73EB8171" w14:textId="7FBDCB5B" w:rsidR="00A16694" w:rsidRPr="004D1168" w:rsidRDefault="00A16694" w:rsidP="00167924">
            <w:pPr>
              <w:jc w:val="center"/>
              <w:rPr>
                <w:sz w:val="16"/>
                <w:szCs w:val="16"/>
              </w:rPr>
            </w:pPr>
            <w:r w:rsidRPr="004D1168">
              <w:rPr>
                <w:sz w:val="16"/>
                <w:szCs w:val="16"/>
              </w:rPr>
              <w:t>12,263</w:t>
            </w:r>
          </w:p>
        </w:tc>
        <w:tc>
          <w:tcPr>
            <w:tcW w:w="629" w:type="pct"/>
            <w:tcBorders>
              <w:top w:val="nil"/>
              <w:left w:val="nil"/>
              <w:bottom w:val="nil"/>
              <w:right w:val="nil"/>
            </w:tcBorders>
            <w:shd w:val="clear" w:color="auto" w:fill="auto"/>
            <w:noWrap/>
            <w:vAlign w:val="center"/>
            <w:hideMark/>
          </w:tcPr>
          <w:p w14:paraId="2CD1B660" w14:textId="4497DB97" w:rsidR="00A16694" w:rsidRPr="004D1168" w:rsidRDefault="00A16694" w:rsidP="00167924">
            <w:pPr>
              <w:jc w:val="center"/>
              <w:rPr>
                <w:sz w:val="16"/>
                <w:szCs w:val="16"/>
              </w:rPr>
            </w:pPr>
            <w:r w:rsidRPr="004D1168">
              <w:rPr>
                <w:sz w:val="16"/>
                <w:szCs w:val="16"/>
              </w:rPr>
              <w:t>9.7</w:t>
            </w:r>
          </w:p>
        </w:tc>
        <w:tc>
          <w:tcPr>
            <w:tcW w:w="686" w:type="pct"/>
            <w:tcBorders>
              <w:top w:val="nil"/>
              <w:left w:val="nil"/>
              <w:bottom w:val="nil"/>
              <w:right w:val="nil"/>
            </w:tcBorders>
            <w:shd w:val="clear" w:color="auto" w:fill="auto"/>
            <w:noWrap/>
            <w:vAlign w:val="center"/>
            <w:hideMark/>
          </w:tcPr>
          <w:p w14:paraId="044E5121" w14:textId="19EB0E00" w:rsidR="00A16694" w:rsidRPr="004D1168" w:rsidRDefault="00A16694" w:rsidP="00167924">
            <w:pPr>
              <w:jc w:val="center"/>
              <w:rPr>
                <w:sz w:val="16"/>
                <w:szCs w:val="16"/>
              </w:rPr>
            </w:pPr>
            <w:r w:rsidRPr="004D1168">
              <w:rPr>
                <w:sz w:val="16"/>
                <w:szCs w:val="16"/>
              </w:rPr>
              <w:t>109</w:t>
            </w:r>
          </w:p>
        </w:tc>
        <w:tc>
          <w:tcPr>
            <w:tcW w:w="600" w:type="pct"/>
            <w:tcBorders>
              <w:top w:val="nil"/>
              <w:left w:val="nil"/>
              <w:bottom w:val="nil"/>
              <w:right w:val="nil"/>
            </w:tcBorders>
            <w:shd w:val="clear" w:color="auto" w:fill="auto"/>
            <w:noWrap/>
            <w:vAlign w:val="center"/>
            <w:hideMark/>
          </w:tcPr>
          <w:p w14:paraId="4B8B00B5" w14:textId="27B62D89" w:rsidR="00A16694" w:rsidRPr="004D1168" w:rsidRDefault="00A16694" w:rsidP="00167924">
            <w:pPr>
              <w:jc w:val="center"/>
              <w:rPr>
                <w:sz w:val="16"/>
                <w:szCs w:val="16"/>
              </w:rPr>
            </w:pPr>
            <w:r w:rsidRPr="004D1168">
              <w:rPr>
                <w:sz w:val="16"/>
                <w:szCs w:val="16"/>
              </w:rPr>
              <w:t>3.6</w:t>
            </w:r>
          </w:p>
        </w:tc>
        <w:tc>
          <w:tcPr>
            <w:tcW w:w="872" w:type="pct"/>
            <w:tcBorders>
              <w:top w:val="nil"/>
              <w:left w:val="nil"/>
              <w:bottom w:val="nil"/>
              <w:right w:val="nil"/>
            </w:tcBorders>
            <w:shd w:val="clear" w:color="auto" w:fill="auto"/>
            <w:noWrap/>
            <w:vAlign w:val="center"/>
            <w:hideMark/>
          </w:tcPr>
          <w:p w14:paraId="2EA6EF8E" w14:textId="27F8C65C" w:rsidR="00A16694" w:rsidRPr="004D1168" w:rsidRDefault="00A16694" w:rsidP="00167924">
            <w:pPr>
              <w:jc w:val="center"/>
              <w:rPr>
                <w:sz w:val="16"/>
                <w:szCs w:val="16"/>
              </w:rPr>
            </w:pPr>
            <w:r w:rsidRPr="004D1168">
              <w:rPr>
                <w:sz w:val="16"/>
                <w:szCs w:val="16"/>
              </w:rPr>
              <w:t>2,117</w:t>
            </w:r>
          </w:p>
        </w:tc>
        <w:tc>
          <w:tcPr>
            <w:tcW w:w="540" w:type="pct"/>
            <w:tcBorders>
              <w:top w:val="nil"/>
              <w:left w:val="nil"/>
              <w:bottom w:val="nil"/>
              <w:right w:val="nil"/>
            </w:tcBorders>
            <w:shd w:val="clear" w:color="auto" w:fill="auto"/>
            <w:noWrap/>
            <w:vAlign w:val="center"/>
            <w:hideMark/>
          </w:tcPr>
          <w:p w14:paraId="5540DF38" w14:textId="2A195B52" w:rsidR="00A16694" w:rsidRPr="004D1168" w:rsidRDefault="00A16694" w:rsidP="00167924">
            <w:pPr>
              <w:jc w:val="center"/>
              <w:rPr>
                <w:sz w:val="16"/>
                <w:szCs w:val="16"/>
              </w:rPr>
            </w:pPr>
            <w:r w:rsidRPr="004D1168">
              <w:rPr>
                <w:sz w:val="16"/>
                <w:szCs w:val="16"/>
              </w:rPr>
              <w:t>11.6</w:t>
            </w:r>
          </w:p>
        </w:tc>
      </w:tr>
      <w:tr w:rsidR="006B42D6" w:rsidRPr="006B42D6" w14:paraId="536A5B5B" w14:textId="77777777" w:rsidTr="00DB5175">
        <w:trPr>
          <w:trHeight w:val="283"/>
        </w:trPr>
        <w:tc>
          <w:tcPr>
            <w:tcW w:w="987" w:type="pct"/>
            <w:tcBorders>
              <w:top w:val="nil"/>
              <w:left w:val="nil"/>
              <w:bottom w:val="nil"/>
              <w:right w:val="nil"/>
            </w:tcBorders>
            <w:shd w:val="clear" w:color="auto" w:fill="auto"/>
            <w:vAlign w:val="center"/>
            <w:hideMark/>
          </w:tcPr>
          <w:p w14:paraId="50C4E066" w14:textId="77777777" w:rsidR="00A16694" w:rsidRPr="004D1168" w:rsidRDefault="00A16694" w:rsidP="00167924">
            <w:pPr>
              <w:jc w:val="left"/>
              <w:rPr>
                <w:sz w:val="16"/>
                <w:szCs w:val="16"/>
              </w:rPr>
            </w:pPr>
            <w:r w:rsidRPr="004D1168">
              <w:rPr>
                <w:sz w:val="16"/>
                <w:szCs w:val="16"/>
              </w:rPr>
              <w:t xml:space="preserve">Mjini Magharibi </w:t>
            </w:r>
          </w:p>
        </w:tc>
        <w:tc>
          <w:tcPr>
            <w:tcW w:w="686" w:type="pct"/>
            <w:tcBorders>
              <w:top w:val="nil"/>
              <w:left w:val="nil"/>
              <w:bottom w:val="nil"/>
              <w:right w:val="nil"/>
            </w:tcBorders>
            <w:shd w:val="clear" w:color="auto" w:fill="auto"/>
            <w:noWrap/>
            <w:vAlign w:val="center"/>
            <w:hideMark/>
          </w:tcPr>
          <w:p w14:paraId="2BE18059" w14:textId="58458B08" w:rsidR="00A16694" w:rsidRPr="004D1168" w:rsidRDefault="00A16694" w:rsidP="00167924">
            <w:pPr>
              <w:jc w:val="center"/>
              <w:rPr>
                <w:sz w:val="16"/>
                <w:szCs w:val="16"/>
              </w:rPr>
            </w:pPr>
            <w:r w:rsidRPr="004D1168">
              <w:rPr>
                <w:sz w:val="16"/>
                <w:szCs w:val="16"/>
              </w:rPr>
              <w:t>43,304</w:t>
            </w:r>
          </w:p>
        </w:tc>
        <w:tc>
          <w:tcPr>
            <w:tcW w:w="629" w:type="pct"/>
            <w:tcBorders>
              <w:top w:val="nil"/>
              <w:left w:val="nil"/>
              <w:bottom w:val="nil"/>
              <w:right w:val="nil"/>
            </w:tcBorders>
            <w:shd w:val="clear" w:color="auto" w:fill="auto"/>
            <w:noWrap/>
            <w:vAlign w:val="center"/>
            <w:hideMark/>
          </w:tcPr>
          <w:p w14:paraId="0505A144" w14:textId="623BF96D" w:rsidR="00A16694" w:rsidRPr="004D1168" w:rsidRDefault="00A16694" w:rsidP="00167924">
            <w:pPr>
              <w:jc w:val="center"/>
              <w:rPr>
                <w:sz w:val="16"/>
                <w:szCs w:val="16"/>
              </w:rPr>
            </w:pPr>
            <w:r w:rsidRPr="004D1168">
              <w:rPr>
                <w:sz w:val="16"/>
                <w:szCs w:val="16"/>
              </w:rPr>
              <w:t>34.2</w:t>
            </w:r>
          </w:p>
        </w:tc>
        <w:tc>
          <w:tcPr>
            <w:tcW w:w="686" w:type="pct"/>
            <w:tcBorders>
              <w:top w:val="nil"/>
              <w:left w:val="nil"/>
              <w:bottom w:val="nil"/>
              <w:right w:val="nil"/>
            </w:tcBorders>
            <w:shd w:val="clear" w:color="auto" w:fill="auto"/>
            <w:noWrap/>
            <w:vAlign w:val="center"/>
            <w:hideMark/>
          </w:tcPr>
          <w:p w14:paraId="44085364" w14:textId="79B6E1AF" w:rsidR="00A16694" w:rsidRPr="004D1168" w:rsidRDefault="00A16694" w:rsidP="00167924">
            <w:pPr>
              <w:jc w:val="center"/>
              <w:rPr>
                <w:sz w:val="16"/>
                <w:szCs w:val="16"/>
              </w:rPr>
            </w:pPr>
            <w:r w:rsidRPr="004D1168">
              <w:rPr>
                <w:sz w:val="16"/>
                <w:szCs w:val="16"/>
              </w:rPr>
              <w:t>1,050</w:t>
            </w:r>
          </w:p>
        </w:tc>
        <w:tc>
          <w:tcPr>
            <w:tcW w:w="600" w:type="pct"/>
            <w:tcBorders>
              <w:top w:val="nil"/>
              <w:left w:val="nil"/>
              <w:bottom w:val="nil"/>
              <w:right w:val="nil"/>
            </w:tcBorders>
            <w:shd w:val="clear" w:color="auto" w:fill="auto"/>
            <w:noWrap/>
            <w:vAlign w:val="center"/>
            <w:hideMark/>
          </w:tcPr>
          <w:p w14:paraId="0E740B2F" w14:textId="3B7AA5BC" w:rsidR="00A16694" w:rsidRPr="004D1168" w:rsidRDefault="00A16694" w:rsidP="00167924">
            <w:pPr>
              <w:jc w:val="center"/>
              <w:rPr>
                <w:sz w:val="16"/>
                <w:szCs w:val="16"/>
              </w:rPr>
            </w:pPr>
            <w:r w:rsidRPr="004D1168">
              <w:rPr>
                <w:sz w:val="16"/>
                <w:szCs w:val="16"/>
              </w:rPr>
              <w:t>34.7</w:t>
            </w:r>
          </w:p>
        </w:tc>
        <w:tc>
          <w:tcPr>
            <w:tcW w:w="872" w:type="pct"/>
            <w:tcBorders>
              <w:top w:val="nil"/>
              <w:left w:val="nil"/>
              <w:bottom w:val="nil"/>
              <w:right w:val="nil"/>
            </w:tcBorders>
            <w:shd w:val="clear" w:color="auto" w:fill="auto"/>
            <w:noWrap/>
            <w:vAlign w:val="center"/>
            <w:hideMark/>
          </w:tcPr>
          <w:p w14:paraId="14DDB41D" w14:textId="68F15748" w:rsidR="00A16694" w:rsidRPr="004D1168" w:rsidRDefault="00A16694" w:rsidP="00167924">
            <w:pPr>
              <w:jc w:val="center"/>
              <w:rPr>
                <w:sz w:val="16"/>
                <w:szCs w:val="16"/>
              </w:rPr>
            </w:pPr>
            <w:r w:rsidRPr="004D1168">
              <w:rPr>
                <w:sz w:val="16"/>
                <w:szCs w:val="16"/>
              </w:rPr>
              <w:t>6,281</w:t>
            </w:r>
          </w:p>
        </w:tc>
        <w:tc>
          <w:tcPr>
            <w:tcW w:w="540" w:type="pct"/>
            <w:tcBorders>
              <w:top w:val="nil"/>
              <w:left w:val="nil"/>
              <w:bottom w:val="nil"/>
              <w:right w:val="nil"/>
            </w:tcBorders>
            <w:shd w:val="clear" w:color="auto" w:fill="auto"/>
            <w:noWrap/>
            <w:vAlign w:val="center"/>
            <w:hideMark/>
          </w:tcPr>
          <w:p w14:paraId="18536C31" w14:textId="75BB545E" w:rsidR="00A16694" w:rsidRPr="004D1168" w:rsidRDefault="00A16694" w:rsidP="00167924">
            <w:pPr>
              <w:jc w:val="center"/>
              <w:rPr>
                <w:sz w:val="16"/>
                <w:szCs w:val="16"/>
              </w:rPr>
            </w:pPr>
            <w:r w:rsidRPr="004D1168">
              <w:rPr>
                <w:sz w:val="16"/>
                <w:szCs w:val="16"/>
              </w:rPr>
              <w:t>34.5</w:t>
            </w:r>
          </w:p>
        </w:tc>
      </w:tr>
      <w:tr w:rsidR="006B42D6" w:rsidRPr="006B42D6" w14:paraId="71F511E4" w14:textId="77777777" w:rsidTr="00DB5175">
        <w:trPr>
          <w:trHeight w:val="283"/>
        </w:trPr>
        <w:tc>
          <w:tcPr>
            <w:tcW w:w="987" w:type="pct"/>
            <w:tcBorders>
              <w:top w:val="nil"/>
              <w:left w:val="nil"/>
              <w:bottom w:val="nil"/>
              <w:right w:val="nil"/>
            </w:tcBorders>
            <w:shd w:val="clear" w:color="auto" w:fill="auto"/>
            <w:vAlign w:val="center"/>
            <w:hideMark/>
          </w:tcPr>
          <w:p w14:paraId="323F9DCF" w14:textId="77777777" w:rsidR="00A16694" w:rsidRPr="004D1168" w:rsidRDefault="00A16694" w:rsidP="00167924">
            <w:pPr>
              <w:jc w:val="left"/>
              <w:rPr>
                <w:sz w:val="16"/>
                <w:szCs w:val="16"/>
              </w:rPr>
            </w:pPr>
            <w:r w:rsidRPr="004D1168">
              <w:rPr>
                <w:sz w:val="16"/>
                <w:szCs w:val="16"/>
              </w:rPr>
              <w:t>Kaskazini Pemba</w:t>
            </w:r>
          </w:p>
        </w:tc>
        <w:tc>
          <w:tcPr>
            <w:tcW w:w="686" w:type="pct"/>
            <w:tcBorders>
              <w:top w:val="nil"/>
              <w:left w:val="nil"/>
              <w:bottom w:val="nil"/>
              <w:right w:val="nil"/>
            </w:tcBorders>
            <w:shd w:val="clear" w:color="auto" w:fill="auto"/>
            <w:noWrap/>
            <w:vAlign w:val="center"/>
            <w:hideMark/>
          </w:tcPr>
          <w:p w14:paraId="4D95C951" w14:textId="6185097E" w:rsidR="00A16694" w:rsidRPr="004D1168" w:rsidRDefault="00A16694" w:rsidP="00167924">
            <w:pPr>
              <w:jc w:val="center"/>
              <w:rPr>
                <w:sz w:val="16"/>
                <w:szCs w:val="16"/>
              </w:rPr>
            </w:pPr>
            <w:r w:rsidRPr="004D1168">
              <w:rPr>
                <w:sz w:val="16"/>
                <w:szCs w:val="16"/>
              </w:rPr>
              <w:t>5,939</w:t>
            </w:r>
          </w:p>
        </w:tc>
        <w:tc>
          <w:tcPr>
            <w:tcW w:w="629" w:type="pct"/>
            <w:tcBorders>
              <w:top w:val="nil"/>
              <w:left w:val="nil"/>
              <w:bottom w:val="nil"/>
              <w:right w:val="nil"/>
            </w:tcBorders>
            <w:shd w:val="clear" w:color="auto" w:fill="auto"/>
            <w:noWrap/>
            <w:vAlign w:val="center"/>
            <w:hideMark/>
          </w:tcPr>
          <w:p w14:paraId="06590E55" w14:textId="2F7D0B0E" w:rsidR="00A16694" w:rsidRPr="004D1168" w:rsidRDefault="00A16694" w:rsidP="00167924">
            <w:pPr>
              <w:jc w:val="center"/>
              <w:rPr>
                <w:sz w:val="16"/>
                <w:szCs w:val="16"/>
              </w:rPr>
            </w:pPr>
            <w:r w:rsidRPr="004D1168">
              <w:rPr>
                <w:sz w:val="16"/>
                <w:szCs w:val="16"/>
              </w:rPr>
              <w:t>4.7</w:t>
            </w:r>
          </w:p>
        </w:tc>
        <w:tc>
          <w:tcPr>
            <w:tcW w:w="686" w:type="pct"/>
            <w:tcBorders>
              <w:top w:val="nil"/>
              <w:left w:val="nil"/>
              <w:bottom w:val="nil"/>
              <w:right w:val="nil"/>
            </w:tcBorders>
            <w:shd w:val="clear" w:color="auto" w:fill="auto"/>
            <w:noWrap/>
            <w:vAlign w:val="center"/>
            <w:hideMark/>
          </w:tcPr>
          <w:p w14:paraId="2187878E" w14:textId="773B7E3D" w:rsidR="00A16694" w:rsidRPr="004D1168" w:rsidRDefault="00A16694" w:rsidP="00167924">
            <w:pPr>
              <w:jc w:val="center"/>
              <w:rPr>
                <w:sz w:val="16"/>
                <w:szCs w:val="16"/>
              </w:rPr>
            </w:pPr>
            <w:r w:rsidRPr="004D1168">
              <w:rPr>
                <w:sz w:val="16"/>
                <w:szCs w:val="16"/>
              </w:rPr>
              <w:t>-</w:t>
            </w:r>
          </w:p>
        </w:tc>
        <w:tc>
          <w:tcPr>
            <w:tcW w:w="600" w:type="pct"/>
            <w:tcBorders>
              <w:top w:val="nil"/>
              <w:left w:val="nil"/>
              <w:bottom w:val="nil"/>
              <w:right w:val="nil"/>
            </w:tcBorders>
            <w:shd w:val="clear" w:color="auto" w:fill="auto"/>
            <w:noWrap/>
            <w:vAlign w:val="center"/>
            <w:hideMark/>
          </w:tcPr>
          <w:p w14:paraId="676820A9" w14:textId="488CF445" w:rsidR="00A16694" w:rsidRPr="004D1168" w:rsidRDefault="00A16694" w:rsidP="00167924">
            <w:pPr>
              <w:jc w:val="center"/>
              <w:rPr>
                <w:sz w:val="16"/>
                <w:szCs w:val="16"/>
              </w:rPr>
            </w:pPr>
            <w:r w:rsidRPr="004D1168">
              <w:rPr>
                <w:sz w:val="16"/>
                <w:szCs w:val="16"/>
              </w:rPr>
              <w:t>-</w:t>
            </w:r>
          </w:p>
        </w:tc>
        <w:tc>
          <w:tcPr>
            <w:tcW w:w="872" w:type="pct"/>
            <w:tcBorders>
              <w:top w:val="nil"/>
              <w:left w:val="nil"/>
              <w:bottom w:val="nil"/>
              <w:right w:val="nil"/>
            </w:tcBorders>
            <w:shd w:val="clear" w:color="auto" w:fill="auto"/>
            <w:noWrap/>
            <w:vAlign w:val="center"/>
            <w:hideMark/>
          </w:tcPr>
          <w:p w14:paraId="20B9D793" w14:textId="7962D93B" w:rsidR="00A16694" w:rsidRPr="004D1168" w:rsidRDefault="00A16694" w:rsidP="00167924">
            <w:pPr>
              <w:jc w:val="center"/>
              <w:rPr>
                <w:sz w:val="16"/>
                <w:szCs w:val="16"/>
              </w:rPr>
            </w:pPr>
            <w:r w:rsidRPr="004D1168">
              <w:rPr>
                <w:sz w:val="16"/>
                <w:szCs w:val="16"/>
              </w:rPr>
              <w:t>-</w:t>
            </w:r>
          </w:p>
        </w:tc>
        <w:tc>
          <w:tcPr>
            <w:tcW w:w="540" w:type="pct"/>
            <w:tcBorders>
              <w:top w:val="nil"/>
              <w:left w:val="nil"/>
              <w:bottom w:val="nil"/>
              <w:right w:val="nil"/>
            </w:tcBorders>
            <w:shd w:val="clear" w:color="auto" w:fill="auto"/>
            <w:noWrap/>
            <w:vAlign w:val="center"/>
            <w:hideMark/>
          </w:tcPr>
          <w:p w14:paraId="148FF6A0" w14:textId="5EB8E794" w:rsidR="00A16694" w:rsidRPr="004D1168" w:rsidRDefault="00A16694" w:rsidP="00167924">
            <w:pPr>
              <w:jc w:val="center"/>
              <w:rPr>
                <w:sz w:val="16"/>
                <w:szCs w:val="16"/>
              </w:rPr>
            </w:pPr>
            <w:r w:rsidRPr="004D1168">
              <w:rPr>
                <w:sz w:val="16"/>
                <w:szCs w:val="16"/>
              </w:rPr>
              <w:t>-</w:t>
            </w:r>
          </w:p>
        </w:tc>
      </w:tr>
      <w:tr w:rsidR="006B42D6" w:rsidRPr="006B42D6" w14:paraId="7E1FE799" w14:textId="77777777" w:rsidTr="00DB5175">
        <w:trPr>
          <w:trHeight w:val="283"/>
        </w:trPr>
        <w:tc>
          <w:tcPr>
            <w:tcW w:w="987" w:type="pct"/>
            <w:tcBorders>
              <w:top w:val="nil"/>
              <w:left w:val="nil"/>
              <w:bottom w:val="nil"/>
              <w:right w:val="nil"/>
            </w:tcBorders>
            <w:shd w:val="clear" w:color="auto" w:fill="auto"/>
            <w:vAlign w:val="center"/>
            <w:hideMark/>
          </w:tcPr>
          <w:p w14:paraId="61BC59C1" w14:textId="77777777" w:rsidR="00A16694" w:rsidRPr="004D1168" w:rsidRDefault="00A16694" w:rsidP="00167924">
            <w:pPr>
              <w:jc w:val="left"/>
              <w:rPr>
                <w:sz w:val="16"/>
                <w:szCs w:val="16"/>
              </w:rPr>
            </w:pPr>
            <w:r w:rsidRPr="004D1168">
              <w:rPr>
                <w:sz w:val="16"/>
                <w:szCs w:val="16"/>
              </w:rPr>
              <w:t>Kusini Pemba</w:t>
            </w:r>
          </w:p>
        </w:tc>
        <w:tc>
          <w:tcPr>
            <w:tcW w:w="686" w:type="pct"/>
            <w:tcBorders>
              <w:top w:val="nil"/>
              <w:left w:val="nil"/>
              <w:bottom w:val="nil"/>
              <w:right w:val="nil"/>
            </w:tcBorders>
            <w:shd w:val="clear" w:color="auto" w:fill="auto"/>
            <w:noWrap/>
            <w:vAlign w:val="center"/>
            <w:hideMark/>
          </w:tcPr>
          <w:p w14:paraId="11CC19C2" w14:textId="690F62E5" w:rsidR="00A16694" w:rsidRPr="004D1168" w:rsidRDefault="00A16694" w:rsidP="00167924">
            <w:pPr>
              <w:jc w:val="center"/>
              <w:rPr>
                <w:sz w:val="16"/>
                <w:szCs w:val="16"/>
              </w:rPr>
            </w:pPr>
            <w:r w:rsidRPr="004D1168">
              <w:rPr>
                <w:sz w:val="16"/>
                <w:szCs w:val="16"/>
              </w:rPr>
              <w:t>36,858</w:t>
            </w:r>
          </w:p>
        </w:tc>
        <w:tc>
          <w:tcPr>
            <w:tcW w:w="629" w:type="pct"/>
            <w:tcBorders>
              <w:top w:val="nil"/>
              <w:left w:val="nil"/>
              <w:bottom w:val="nil"/>
              <w:right w:val="nil"/>
            </w:tcBorders>
            <w:shd w:val="clear" w:color="auto" w:fill="auto"/>
            <w:noWrap/>
            <w:vAlign w:val="center"/>
            <w:hideMark/>
          </w:tcPr>
          <w:p w14:paraId="5E04D661" w14:textId="7536B097" w:rsidR="00A16694" w:rsidRPr="004D1168" w:rsidRDefault="00A16694" w:rsidP="00167924">
            <w:pPr>
              <w:jc w:val="center"/>
              <w:rPr>
                <w:sz w:val="16"/>
                <w:szCs w:val="16"/>
              </w:rPr>
            </w:pPr>
            <w:r w:rsidRPr="004D1168">
              <w:rPr>
                <w:sz w:val="16"/>
                <w:szCs w:val="16"/>
              </w:rPr>
              <w:t>29.1</w:t>
            </w:r>
          </w:p>
        </w:tc>
        <w:tc>
          <w:tcPr>
            <w:tcW w:w="686" w:type="pct"/>
            <w:tcBorders>
              <w:top w:val="nil"/>
              <w:left w:val="nil"/>
              <w:bottom w:val="nil"/>
              <w:right w:val="nil"/>
            </w:tcBorders>
            <w:shd w:val="clear" w:color="auto" w:fill="auto"/>
            <w:noWrap/>
            <w:vAlign w:val="center"/>
            <w:hideMark/>
          </w:tcPr>
          <w:p w14:paraId="7AA13C33" w14:textId="748DEED2" w:rsidR="00A16694" w:rsidRPr="004D1168" w:rsidRDefault="00A16694" w:rsidP="00167924">
            <w:pPr>
              <w:jc w:val="center"/>
              <w:rPr>
                <w:sz w:val="16"/>
                <w:szCs w:val="16"/>
              </w:rPr>
            </w:pPr>
            <w:r w:rsidRPr="004D1168">
              <w:rPr>
                <w:sz w:val="16"/>
                <w:szCs w:val="16"/>
              </w:rPr>
              <w:t>1,869</w:t>
            </w:r>
          </w:p>
        </w:tc>
        <w:tc>
          <w:tcPr>
            <w:tcW w:w="600" w:type="pct"/>
            <w:tcBorders>
              <w:top w:val="nil"/>
              <w:left w:val="nil"/>
              <w:bottom w:val="nil"/>
              <w:right w:val="nil"/>
            </w:tcBorders>
            <w:shd w:val="clear" w:color="auto" w:fill="auto"/>
            <w:noWrap/>
            <w:vAlign w:val="center"/>
            <w:hideMark/>
          </w:tcPr>
          <w:p w14:paraId="168F5F20" w14:textId="6FB666B1" w:rsidR="00A16694" w:rsidRPr="004D1168" w:rsidRDefault="00A16694" w:rsidP="00167924">
            <w:pPr>
              <w:jc w:val="center"/>
              <w:rPr>
                <w:sz w:val="16"/>
                <w:szCs w:val="16"/>
              </w:rPr>
            </w:pPr>
            <w:r w:rsidRPr="004D1168">
              <w:rPr>
                <w:sz w:val="16"/>
                <w:szCs w:val="16"/>
              </w:rPr>
              <w:t>61.7</w:t>
            </w:r>
          </w:p>
        </w:tc>
        <w:tc>
          <w:tcPr>
            <w:tcW w:w="872" w:type="pct"/>
            <w:tcBorders>
              <w:top w:val="nil"/>
              <w:left w:val="nil"/>
              <w:bottom w:val="nil"/>
              <w:right w:val="nil"/>
            </w:tcBorders>
            <w:shd w:val="clear" w:color="auto" w:fill="auto"/>
            <w:noWrap/>
            <w:vAlign w:val="center"/>
            <w:hideMark/>
          </w:tcPr>
          <w:p w14:paraId="15410600" w14:textId="4D23AA5F" w:rsidR="00A16694" w:rsidRPr="004D1168" w:rsidRDefault="00A16694" w:rsidP="00167924">
            <w:pPr>
              <w:jc w:val="center"/>
              <w:rPr>
                <w:sz w:val="16"/>
                <w:szCs w:val="16"/>
              </w:rPr>
            </w:pPr>
            <w:r w:rsidRPr="004D1168">
              <w:rPr>
                <w:sz w:val="16"/>
                <w:szCs w:val="16"/>
              </w:rPr>
              <w:t>8,465</w:t>
            </w:r>
          </w:p>
        </w:tc>
        <w:tc>
          <w:tcPr>
            <w:tcW w:w="540" w:type="pct"/>
            <w:tcBorders>
              <w:top w:val="nil"/>
              <w:left w:val="nil"/>
              <w:bottom w:val="nil"/>
              <w:right w:val="nil"/>
            </w:tcBorders>
            <w:shd w:val="clear" w:color="auto" w:fill="auto"/>
            <w:noWrap/>
            <w:vAlign w:val="center"/>
            <w:hideMark/>
          </w:tcPr>
          <w:p w14:paraId="7A8FEA64" w14:textId="32D1FC39" w:rsidR="00A16694" w:rsidRPr="004D1168" w:rsidRDefault="00A16694" w:rsidP="00167924">
            <w:pPr>
              <w:jc w:val="center"/>
              <w:rPr>
                <w:sz w:val="16"/>
                <w:szCs w:val="16"/>
              </w:rPr>
            </w:pPr>
            <w:r w:rsidRPr="004D1168">
              <w:rPr>
                <w:sz w:val="16"/>
                <w:szCs w:val="16"/>
              </w:rPr>
              <w:t>46.4</w:t>
            </w:r>
          </w:p>
        </w:tc>
      </w:tr>
      <w:tr w:rsidR="006B42D6" w:rsidRPr="006B42D6" w14:paraId="5E9AA719" w14:textId="77777777" w:rsidTr="00DB5175">
        <w:trPr>
          <w:trHeight w:val="283"/>
        </w:trPr>
        <w:tc>
          <w:tcPr>
            <w:tcW w:w="987" w:type="pct"/>
            <w:tcBorders>
              <w:top w:val="single" w:sz="4" w:space="0" w:color="auto"/>
              <w:left w:val="nil"/>
              <w:bottom w:val="single" w:sz="4" w:space="0" w:color="auto"/>
              <w:right w:val="nil"/>
            </w:tcBorders>
            <w:shd w:val="clear" w:color="auto" w:fill="E2EFD9" w:themeFill="accent6" w:themeFillTint="33"/>
            <w:vAlign w:val="center"/>
            <w:hideMark/>
          </w:tcPr>
          <w:p w14:paraId="2904E0BA" w14:textId="4E82B069" w:rsidR="00A16694" w:rsidRPr="004D1168" w:rsidRDefault="00DB5175" w:rsidP="00167924">
            <w:pPr>
              <w:jc w:val="left"/>
              <w:rPr>
                <w:b/>
                <w:bCs/>
                <w:sz w:val="16"/>
                <w:szCs w:val="16"/>
              </w:rPr>
            </w:pPr>
            <w:r>
              <w:rPr>
                <w:b/>
                <w:bCs/>
                <w:sz w:val="16"/>
                <w:szCs w:val="16"/>
              </w:rPr>
              <w:t xml:space="preserve">Tanzania </w:t>
            </w:r>
            <w:r w:rsidR="00A16694" w:rsidRPr="004D1168">
              <w:rPr>
                <w:b/>
                <w:bCs/>
                <w:sz w:val="16"/>
                <w:szCs w:val="16"/>
              </w:rPr>
              <w:t>Zanzibar</w:t>
            </w:r>
          </w:p>
        </w:tc>
        <w:tc>
          <w:tcPr>
            <w:tcW w:w="686" w:type="pct"/>
            <w:tcBorders>
              <w:top w:val="single" w:sz="4" w:space="0" w:color="auto"/>
              <w:left w:val="nil"/>
              <w:bottom w:val="single" w:sz="4" w:space="0" w:color="auto"/>
              <w:right w:val="nil"/>
            </w:tcBorders>
            <w:shd w:val="clear" w:color="auto" w:fill="E2EFD9" w:themeFill="accent6" w:themeFillTint="33"/>
            <w:noWrap/>
            <w:vAlign w:val="center"/>
            <w:hideMark/>
          </w:tcPr>
          <w:p w14:paraId="3B2E1B0F" w14:textId="117EB2F7" w:rsidR="00A16694" w:rsidRPr="004D1168" w:rsidRDefault="00A16694" w:rsidP="00167924">
            <w:pPr>
              <w:jc w:val="center"/>
              <w:rPr>
                <w:b/>
                <w:bCs/>
                <w:sz w:val="16"/>
                <w:szCs w:val="16"/>
              </w:rPr>
            </w:pPr>
            <w:r w:rsidRPr="004D1168">
              <w:rPr>
                <w:b/>
                <w:bCs/>
                <w:sz w:val="16"/>
                <w:szCs w:val="16"/>
              </w:rPr>
              <w:t>126,732</w:t>
            </w:r>
          </w:p>
        </w:tc>
        <w:tc>
          <w:tcPr>
            <w:tcW w:w="629" w:type="pct"/>
            <w:tcBorders>
              <w:top w:val="single" w:sz="4" w:space="0" w:color="auto"/>
              <w:left w:val="nil"/>
              <w:bottom w:val="single" w:sz="4" w:space="0" w:color="auto"/>
              <w:right w:val="nil"/>
            </w:tcBorders>
            <w:shd w:val="clear" w:color="auto" w:fill="E2EFD9" w:themeFill="accent6" w:themeFillTint="33"/>
            <w:noWrap/>
            <w:vAlign w:val="center"/>
            <w:hideMark/>
          </w:tcPr>
          <w:p w14:paraId="72D0DFF8" w14:textId="26983C76" w:rsidR="00A16694" w:rsidRPr="004D1168" w:rsidRDefault="00A16694" w:rsidP="00167924">
            <w:pPr>
              <w:jc w:val="center"/>
              <w:rPr>
                <w:b/>
                <w:bCs/>
                <w:sz w:val="16"/>
                <w:szCs w:val="16"/>
              </w:rPr>
            </w:pPr>
            <w:r w:rsidRPr="004D1168">
              <w:rPr>
                <w:b/>
                <w:bCs/>
                <w:sz w:val="16"/>
                <w:szCs w:val="16"/>
              </w:rPr>
              <w:t>100</w:t>
            </w:r>
            <w:r w:rsidR="00167924" w:rsidRPr="004D1168">
              <w:rPr>
                <w:b/>
                <w:bCs/>
                <w:sz w:val="16"/>
                <w:szCs w:val="16"/>
              </w:rPr>
              <w:t>.0</w:t>
            </w:r>
          </w:p>
        </w:tc>
        <w:tc>
          <w:tcPr>
            <w:tcW w:w="686" w:type="pct"/>
            <w:tcBorders>
              <w:top w:val="single" w:sz="4" w:space="0" w:color="auto"/>
              <w:left w:val="nil"/>
              <w:bottom w:val="single" w:sz="4" w:space="0" w:color="auto"/>
              <w:right w:val="nil"/>
            </w:tcBorders>
            <w:shd w:val="clear" w:color="auto" w:fill="E2EFD9" w:themeFill="accent6" w:themeFillTint="33"/>
            <w:noWrap/>
            <w:vAlign w:val="center"/>
            <w:hideMark/>
          </w:tcPr>
          <w:p w14:paraId="522D1EE9" w14:textId="75F9CDC3" w:rsidR="00A16694" w:rsidRPr="004D1168" w:rsidRDefault="00A16694" w:rsidP="00167924">
            <w:pPr>
              <w:jc w:val="center"/>
              <w:rPr>
                <w:b/>
                <w:bCs/>
                <w:sz w:val="16"/>
                <w:szCs w:val="16"/>
              </w:rPr>
            </w:pPr>
            <w:r w:rsidRPr="004D1168">
              <w:rPr>
                <w:b/>
                <w:bCs/>
                <w:sz w:val="16"/>
                <w:szCs w:val="16"/>
              </w:rPr>
              <w:t>3,028</w:t>
            </w:r>
          </w:p>
        </w:tc>
        <w:tc>
          <w:tcPr>
            <w:tcW w:w="600" w:type="pct"/>
            <w:tcBorders>
              <w:top w:val="single" w:sz="4" w:space="0" w:color="auto"/>
              <w:left w:val="nil"/>
              <w:bottom w:val="single" w:sz="4" w:space="0" w:color="auto"/>
              <w:right w:val="nil"/>
            </w:tcBorders>
            <w:shd w:val="clear" w:color="auto" w:fill="E2EFD9" w:themeFill="accent6" w:themeFillTint="33"/>
            <w:noWrap/>
            <w:vAlign w:val="center"/>
            <w:hideMark/>
          </w:tcPr>
          <w:p w14:paraId="2807A730" w14:textId="3E368317" w:rsidR="00A16694" w:rsidRPr="004D1168" w:rsidRDefault="00A16694" w:rsidP="00167924">
            <w:pPr>
              <w:jc w:val="center"/>
              <w:rPr>
                <w:b/>
                <w:bCs/>
                <w:sz w:val="16"/>
                <w:szCs w:val="16"/>
              </w:rPr>
            </w:pPr>
            <w:r w:rsidRPr="004D1168">
              <w:rPr>
                <w:b/>
                <w:bCs/>
                <w:sz w:val="16"/>
                <w:szCs w:val="16"/>
              </w:rPr>
              <w:t>100.0</w:t>
            </w:r>
          </w:p>
        </w:tc>
        <w:tc>
          <w:tcPr>
            <w:tcW w:w="872" w:type="pct"/>
            <w:tcBorders>
              <w:top w:val="single" w:sz="4" w:space="0" w:color="auto"/>
              <w:left w:val="nil"/>
              <w:bottom w:val="single" w:sz="4" w:space="0" w:color="auto"/>
              <w:right w:val="nil"/>
            </w:tcBorders>
            <w:shd w:val="clear" w:color="auto" w:fill="E2EFD9" w:themeFill="accent6" w:themeFillTint="33"/>
            <w:noWrap/>
            <w:vAlign w:val="center"/>
            <w:hideMark/>
          </w:tcPr>
          <w:p w14:paraId="48A5AE69" w14:textId="30C5DB96" w:rsidR="00A16694" w:rsidRPr="004D1168" w:rsidRDefault="00A16694" w:rsidP="00167924">
            <w:pPr>
              <w:jc w:val="center"/>
              <w:rPr>
                <w:b/>
                <w:bCs/>
                <w:sz w:val="16"/>
                <w:szCs w:val="16"/>
              </w:rPr>
            </w:pPr>
            <w:r w:rsidRPr="004D1168">
              <w:rPr>
                <w:b/>
                <w:bCs/>
                <w:sz w:val="16"/>
                <w:szCs w:val="16"/>
              </w:rPr>
              <w:t>18,224</w:t>
            </w:r>
          </w:p>
        </w:tc>
        <w:tc>
          <w:tcPr>
            <w:tcW w:w="540" w:type="pct"/>
            <w:tcBorders>
              <w:top w:val="single" w:sz="4" w:space="0" w:color="auto"/>
              <w:left w:val="nil"/>
              <w:bottom w:val="single" w:sz="4" w:space="0" w:color="auto"/>
              <w:right w:val="nil"/>
            </w:tcBorders>
            <w:shd w:val="clear" w:color="auto" w:fill="E2EFD9" w:themeFill="accent6" w:themeFillTint="33"/>
            <w:noWrap/>
            <w:vAlign w:val="center"/>
            <w:hideMark/>
          </w:tcPr>
          <w:p w14:paraId="1720C10C" w14:textId="69C850DE" w:rsidR="00A16694" w:rsidRPr="004D1168" w:rsidRDefault="00A16694" w:rsidP="00167924">
            <w:pPr>
              <w:jc w:val="center"/>
              <w:rPr>
                <w:rFonts w:ascii="Calibri" w:hAnsi="Calibri" w:cs="Calibri"/>
                <w:sz w:val="16"/>
                <w:szCs w:val="16"/>
              </w:rPr>
            </w:pPr>
            <w:r w:rsidRPr="004D1168">
              <w:rPr>
                <w:b/>
                <w:bCs/>
                <w:sz w:val="16"/>
                <w:szCs w:val="16"/>
              </w:rPr>
              <w:t>100</w:t>
            </w:r>
            <w:r w:rsidR="00167924" w:rsidRPr="004D1168">
              <w:rPr>
                <w:b/>
                <w:bCs/>
                <w:sz w:val="16"/>
                <w:szCs w:val="16"/>
              </w:rPr>
              <w:t>.0</w:t>
            </w:r>
          </w:p>
        </w:tc>
      </w:tr>
      <w:tr w:rsidR="006B42D6" w:rsidRPr="006B42D6" w14:paraId="73264E7E" w14:textId="77777777" w:rsidTr="00DB5175">
        <w:trPr>
          <w:trHeight w:val="283"/>
        </w:trPr>
        <w:tc>
          <w:tcPr>
            <w:tcW w:w="987" w:type="pct"/>
            <w:tcBorders>
              <w:top w:val="nil"/>
              <w:left w:val="nil"/>
              <w:bottom w:val="single" w:sz="4" w:space="0" w:color="auto"/>
              <w:right w:val="nil"/>
            </w:tcBorders>
            <w:shd w:val="clear" w:color="auto" w:fill="E2EFD9" w:themeFill="accent6" w:themeFillTint="33"/>
            <w:vAlign w:val="center"/>
            <w:hideMark/>
          </w:tcPr>
          <w:p w14:paraId="6E095DB2" w14:textId="77777777" w:rsidR="00A16694" w:rsidRPr="004D1168" w:rsidRDefault="00A16694" w:rsidP="00167924">
            <w:pPr>
              <w:jc w:val="left"/>
              <w:rPr>
                <w:b/>
                <w:bCs/>
                <w:sz w:val="16"/>
                <w:szCs w:val="16"/>
              </w:rPr>
            </w:pPr>
            <w:r w:rsidRPr="004D1168">
              <w:rPr>
                <w:b/>
                <w:bCs/>
                <w:sz w:val="16"/>
                <w:szCs w:val="16"/>
              </w:rPr>
              <w:t>Tanzania</w:t>
            </w:r>
          </w:p>
        </w:tc>
        <w:tc>
          <w:tcPr>
            <w:tcW w:w="686" w:type="pct"/>
            <w:tcBorders>
              <w:top w:val="nil"/>
              <w:left w:val="nil"/>
              <w:bottom w:val="single" w:sz="4" w:space="0" w:color="auto"/>
              <w:right w:val="nil"/>
            </w:tcBorders>
            <w:shd w:val="clear" w:color="auto" w:fill="E2EFD9" w:themeFill="accent6" w:themeFillTint="33"/>
            <w:noWrap/>
            <w:vAlign w:val="center"/>
            <w:hideMark/>
          </w:tcPr>
          <w:p w14:paraId="785C59EA" w14:textId="7660FD37" w:rsidR="00A16694" w:rsidRPr="004D1168" w:rsidRDefault="00A16694" w:rsidP="00167924">
            <w:pPr>
              <w:jc w:val="center"/>
              <w:rPr>
                <w:b/>
                <w:bCs/>
                <w:sz w:val="16"/>
                <w:szCs w:val="16"/>
              </w:rPr>
            </w:pPr>
            <w:r w:rsidRPr="004D1168">
              <w:rPr>
                <w:b/>
                <w:bCs/>
                <w:sz w:val="16"/>
                <w:szCs w:val="16"/>
              </w:rPr>
              <w:t>4,355,750</w:t>
            </w:r>
          </w:p>
        </w:tc>
        <w:tc>
          <w:tcPr>
            <w:tcW w:w="629" w:type="pct"/>
            <w:tcBorders>
              <w:top w:val="nil"/>
              <w:left w:val="nil"/>
              <w:bottom w:val="single" w:sz="4" w:space="0" w:color="auto"/>
              <w:right w:val="nil"/>
            </w:tcBorders>
            <w:shd w:val="clear" w:color="auto" w:fill="7F7F7F"/>
            <w:noWrap/>
            <w:vAlign w:val="center"/>
            <w:hideMark/>
          </w:tcPr>
          <w:p w14:paraId="09F267B6" w14:textId="01DF19A0" w:rsidR="00A16694" w:rsidRPr="004D1168" w:rsidRDefault="00A16694" w:rsidP="00167924">
            <w:pPr>
              <w:jc w:val="center"/>
              <w:rPr>
                <w:b/>
                <w:bCs/>
                <w:sz w:val="16"/>
                <w:szCs w:val="16"/>
              </w:rPr>
            </w:pPr>
          </w:p>
        </w:tc>
        <w:tc>
          <w:tcPr>
            <w:tcW w:w="686" w:type="pct"/>
            <w:tcBorders>
              <w:top w:val="nil"/>
              <w:left w:val="nil"/>
              <w:bottom w:val="single" w:sz="4" w:space="0" w:color="auto"/>
              <w:right w:val="nil"/>
            </w:tcBorders>
            <w:shd w:val="clear" w:color="auto" w:fill="E2EFD9" w:themeFill="accent6" w:themeFillTint="33"/>
            <w:noWrap/>
            <w:vAlign w:val="center"/>
            <w:hideMark/>
          </w:tcPr>
          <w:p w14:paraId="338174C7" w14:textId="3D45E54F" w:rsidR="00A16694" w:rsidRPr="004D1168" w:rsidRDefault="00A16694" w:rsidP="00167924">
            <w:pPr>
              <w:jc w:val="center"/>
              <w:rPr>
                <w:b/>
                <w:bCs/>
                <w:sz w:val="16"/>
                <w:szCs w:val="16"/>
              </w:rPr>
            </w:pPr>
            <w:r w:rsidRPr="004D1168">
              <w:rPr>
                <w:b/>
                <w:bCs/>
                <w:sz w:val="16"/>
                <w:szCs w:val="16"/>
              </w:rPr>
              <w:t>86,859</w:t>
            </w:r>
          </w:p>
        </w:tc>
        <w:tc>
          <w:tcPr>
            <w:tcW w:w="600" w:type="pct"/>
            <w:tcBorders>
              <w:top w:val="nil"/>
              <w:left w:val="nil"/>
              <w:bottom w:val="single" w:sz="4" w:space="0" w:color="auto"/>
              <w:right w:val="nil"/>
            </w:tcBorders>
            <w:shd w:val="clear" w:color="auto" w:fill="7F7F7F"/>
            <w:noWrap/>
            <w:vAlign w:val="center"/>
            <w:hideMark/>
          </w:tcPr>
          <w:p w14:paraId="0869D0F6" w14:textId="3D7AED9A" w:rsidR="00A16694" w:rsidRPr="004D1168" w:rsidRDefault="00A16694" w:rsidP="00167924">
            <w:pPr>
              <w:jc w:val="center"/>
              <w:rPr>
                <w:b/>
                <w:bCs/>
                <w:sz w:val="16"/>
                <w:szCs w:val="16"/>
              </w:rPr>
            </w:pPr>
          </w:p>
        </w:tc>
        <w:tc>
          <w:tcPr>
            <w:tcW w:w="872" w:type="pct"/>
            <w:tcBorders>
              <w:top w:val="nil"/>
              <w:left w:val="nil"/>
              <w:bottom w:val="single" w:sz="4" w:space="0" w:color="auto"/>
              <w:right w:val="nil"/>
            </w:tcBorders>
            <w:shd w:val="clear" w:color="auto" w:fill="E2EFD9" w:themeFill="accent6" w:themeFillTint="33"/>
            <w:noWrap/>
            <w:vAlign w:val="center"/>
            <w:hideMark/>
          </w:tcPr>
          <w:p w14:paraId="5E821899" w14:textId="26111CA0" w:rsidR="00A16694" w:rsidRPr="004D1168" w:rsidRDefault="00A16694" w:rsidP="00167924">
            <w:pPr>
              <w:jc w:val="center"/>
              <w:rPr>
                <w:b/>
                <w:bCs/>
                <w:sz w:val="16"/>
                <w:szCs w:val="16"/>
              </w:rPr>
            </w:pPr>
            <w:r w:rsidRPr="004D1168">
              <w:rPr>
                <w:b/>
                <w:bCs/>
                <w:sz w:val="16"/>
                <w:szCs w:val="16"/>
              </w:rPr>
              <w:t>662,177</w:t>
            </w:r>
          </w:p>
        </w:tc>
        <w:tc>
          <w:tcPr>
            <w:tcW w:w="540" w:type="pct"/>
            <w:tcBorders>
              <w:top w:val="nil"/>
              <w:left w:val="nil"/>
              <w:bottom w:val="single" w:sz="4" w:space="0" w:color="auto"/>
              <w:right w:val="nil"/>
            </w:tcBorders>
            <w:shd w:val="clear" w:color="auto" w:fill="7F7F7F"/>
            <w:noWrap/>
            <w:vAlign w:val="center"/>
            <w:hideMark/>
          </w:tcPr>
          <w:p w14:paraId="3FF69E5E" w14:textId="7983E3F0" w:rsidR="00A16694" w:rsidRPr="004D1168" w:rsidRDefault="00A16694" w:rsidP="00167924">
            <w:pPr>
              <w:jc w:val="center"/>
              <w:rPr>
                <w:rFonts w:ascii="Calibri" w:hAnsi="Calibri" w:cs="Calibri"/>
                <w:sz w:val="16"/>
                <w:szCs w:val="16"/>
              </w:rPr>
            </w:pPr>
          </w:p>
        </w:tc>
      </w:tr>
    </w:tbl>
    <w:p w14:paraId="2AF6CF89" w14:textId="77777777" w:rsidR="005A74B1" w:rsidRPr="00CE4D05" w:rsidRDefault="005A74B1" w:rsidP="004F4506">
      <w:pPr>
        <w:rPr>
          <w:lang w:val="en-GB"/>
        </w:rPr>
      </w:pPr>
    </w:p>
    <w:p w14:paraId="52097D1D" w14:textId="280CF8B9" w:rsidR="00A16694" w:rsidRPr="006B42D6" w:rsidRDefault="00A16694" w:rsidP="009D1D40">
      <w:pPr>
        <w:pStyle w:val="Heading3"/>
        <w:rPr>
          <w:lang w:val="en-GB"/>
        </w:rPr>
      </w:pPr>
      <w:bookmarkStart w:id="564" w:name="_Toc82385745"/>
      <w:r w:rsidRPr="006B42D6">
        <w:rPr>
          <w:lang w:val="en-GB"/>
        </w:rPr>
        <w:t>4.</w:t>
      </w:r>
      <w:r w:rsidR="00C4159B">
        <w:rPr>
          <w:lang w:val="en-GB"/>
        </w:rPr>
        <w:t>1</w:t>
      </w:r>
      <w:r w:rsidR="009D1D40" w:rsidRPr="006B42D6">
        <w:rPr>
          <w:lang w:val="en-GB"/>
        </w:rPr>
        <w:t>.7</w:t>
      </w:r>
      <w:r w:rsidR="009D1D40" w:rsidRPr="006B42D6">
        <w:rPr>
          <w:lang w:val="en-GB"/>
        </w:rPr>
        <w:tab/>
      </w:r>
      <w:r w:rsidRPr="006B42D6">
        <w:rPr>
          <w:lang w:val="en-GB"/>
        </w:rPr>
        <w:t>Other Livestock Population</w:t>
      </w:r>
      <w:bookmarkEnd w:id="564"/>
    </w:p>
    <w:p w14:paraId="5111B18D" w14:textId="67A5B662" w:rsidR="00A16694" w:rsidRDefault="00A16694" w:rsidP="00A16694">
      <w:r w:rsidRPr="006B42D6">
        <w:t>Other livestock reported</w:t>
      </w:r>
      <w:r w:rsidR="009D385F" w:rsidRPr="006B42D6">
        <w:t>,</w:t>
      </w:r>
      <w:r w:rsidRPr="006B42D6">
        <w:t xml:space="preserve"> during the 2019/20 </w:t>
      </w:r>
      <w:r w:rsidR="009D385F" w:rsidRPr="006B42D6">
        <w:t>NSCA</w:t>
      </w:r>
      <w:r w:rsidRPr="006B42D6">
        <w:t xml:space="preserve"> include </w:t>
      </w:r>
      <w:r w:rsidR="00DB5175">
        <w:t xml:space="preserve">dogs, </w:t>
      </w:r>
      <w:r w:rsidRPr="006B42D6">
        <w:t xml:space="preserve">rabbits, donkeys, horses, and guinea pigs. </w:t>
      </w:r>
      <w:r w:rsidR="009D385F" w:rsidRPr="006B42D6">
        <w:t>Among</w:t>
      </w:r>
      <w:r w:rsidRPr="006B42D6">
        <w:t xml:space="preserve"> other types of livestock, dogs (2,776,918) had the highest population, followed by guinea pigs (1,494,857), rabbits (932,998) and donkeys (408,957) whereas, horses (183) had the least population. </w:t>
      </w:r>
    </w:p>
    <w:p w14:paraId="2D8FC9B7" w14:textId="06B6792D" w:rsidR="00DB5175" w:rsidRDefault="00DB5175">
      <w:pPr>
        <w:spacing w:line="240" w:lineRule="auto"/>
        <w:contextualSpacing w:val="0"/>
        <w:jc w:val="left"/>
      </w:pPr>
      <w:r>
        <w:br w:type="page"/>
      </w:r>
    </w:p>
    <w:p w14:paraId="2ED55D45" w14:textId="389969F7" w:rsidR="00A16694" w:rsidRPr="006B42D6" w:rsidRDefault="00A16694" w:rsidP="00A16694">
      <w:r w:rsidRPr="006B42D6">
        <w:lastRenderedPageBreak/>
        <w:t xml:space="preserve">In </w:t>
      </w:r>
      <w:r w:rsidR="00EA1552">
        <w:rPr>
          <w:lang w:eastAsia="en-GB"/>
        </w:rPr>
        <w:t>Mainland Tanzania</w:t>
      </w:r>
      <w:r w:rsidRPr="006B42D6">
        <w:t>, Geita region had largest population of dogs (302,879), followed by Mwanza (287,270)</w:t>
      </w:r>
      <w:r w:rsidR="009D385F" w:rsidRPr="006B42D6">
        <w:t>,</w:t>
      </w:r>
      <w:r w:rsidRPr="006B42D6">
        <w:t xml:space="preserve"> while the least number was reported in Dar es </w:t>
      </w:r>
      <w:r w:rsidR="00F54682" w:rsidRPr="006B42D6">
        <w:t>S</w:t>
      </w:r>
      <w:r w:rsidRPr="006B42D6">
        <w:t>alaam (1,222). Guinea pigs were mostly r</w:t>
      </w:r>
      <w:r w:rsidR="009D385F" w:rsidRPr="006B42D6">
        <w:t>aised</w:t>
      </w:r>
      <w:r w:rsidRPr="006B42D6">
        <w:t xml:space="preserve"> in Iringa (580,141)</w:t>
      </w:r>
      <w:r w:rsidR="009D385F" w:rsidRPr="006B42D6">
        <w:t>,</w:t>
      </w:r>
      <w:r w:rsidRPr="006B42D6">
        <w:t xml:space="preserve"> followed by Njombe (408,130) and Simiyu (283,733)</w:t>
      </w:r>
      <w:r w:rsidR="009D385F" w:rsidRPr="006B42D6">
        <w:t>,</w:t>
      </w:r>
      <w:r w:rsidRPr="006B42D6">
        <w:t xml:space="preserve"> while the least number was reported in Manyara (1,136). The largest number of rabbits was reported in Kagera region (154,012), followed by Kigoma (131,755) and the least number was reported in Simiyu (217)</w:t>
      </w:r>
      <w:r w:rsidR="005A74B1" w:rsidRPr="006B42D6">
        <w:t>.</w:t>
      </w:r>
      <w:r w:rsidRPr="006B42D6">
        <w:t xml:space="preserve"> </w:t>
      </w:r>
    </w:p>
    <w:p w14:paraId="263546A1" w14:textId="77777777" w:rsidR="005A74B1" w:rsidRPr="006B42D6" w:rsidRDefault="005A74B1" w:rsidP="004F4506">
      <w:pPr>
        <w:spacing w:line="240" w:lineRule="auto"/>
      </w:pPr>
    </w:p>
    <w:p w14:paraId="52FBCD6A" w14:textId="6C09305C" w:rsidR="001466AA" w:rsidRDefault="00A16694" w:rsidP="00A16694">
      <w:r w:rsidRPr="006B42D6">
        <w:t xml:space="preserve">In </w:t>
      </w:r>
      <w:r w:rsidR="000D4D71" w:rsidRPr="006B42D6">
        <w:rPr>
          <w:lang w:eastAsia="en-GB"/>
        </w:rPr>
        <w:t xml:space="preserve">Tanzania </w:t>
      </w:r>
      <w:r w:rsidRPr="006B42D6">
        <w:t>Zanzibar, Mjini Magharibi region had largest population of dogs (5,303), followed by Kusini Unguja (2,891)</w:t>
      </w:r>
      <w:r w:rsidR="009D385F" w:rsidRPr="006B42D6">
        <w:t xml:space="preserve">, </w:t>
      </w:r>
      <w:r w:rsidRPr="006B42D6">
        <w:t>while the least number was reported in Kaskazini Unguja (1,924). Rabbits were mostly r</w:t>
      </w:r>
      <w:r w:rsidR="009D385F" w:rsidRPr="006B42D6">
        <w:t>aised</w:t>
      </w:r>
      <w:r w:rsidRPr="006B42D6">
        <w:t xml:space="preserve"> in Kusini Pemba (3,827)</w:t>
      </w:r>
      <w:r w:rsidR="009D385F" w:rsidRPr="006B42D6">
        <w:t>,</w:t>
      </w:r>
      <w:r w:rsidRPr="006B42D6">
        <w:t xml:space="preserve"> followed by Mjini Magharibi (3,571) and Kusini Unguja (3,099)</w:t>
      </w:r>
      <w:r w:rsidR="009D385F" w:rsidRPr="006B42D6">
        <w:t>,</w:t>
      </w:r>
      <w:r w:rsidRPr="006B42D6">
        <w:t xml:space="preserve"> while the least number was reported in Kaskazini Pemba (286). </w:t>
      </w:r>
      <w:r w:rsidR="00A068C8" w:rsidRPr="006B42D6">
        <w:t xml:space="preserve">Moreover, </w:t>
      </w:r>
      <w:r w:rsidRPr="006B42D6">
        <w:t xml:space="preserve">guinea pigs </w:t>
      </w:r>
      <w:r w:rsidR="00DB5175">
        <w:t>were</w:t>
      </w:r>
      <w:r w:rsidRPr="006B42D6">
        <w:t xml:space="preserve"> reported in two regions</w:t>
      </w:r>
      <w:r w:rsidR="00A068C8" w:rsidRPr="006B42D6">
        <w:t>,</w:t>
      </w:r>
      <w:r w:rsidRPr="006B42D6">
        <w:t xml:space="preserve"> Mjini Magharibi (2,368) and Kusini Unguja (1,550) (Table </w:t>
      </w:r>
      <w:r w:rsidR="005A74B1" w:rsidRPr="006B42D6">
        <w:t>4.</w:t>
      </w:r>
      <w:r w:rsidR="00A068C8" w:rsidRPr="006B42D6">
        <w:t>9</w:t>
      </w:r>
      <w:r w:rsidRPr="006B42D6">
        <w:t>).</w:t>
      </w:r>
    </w:p>
    <w:p w14:paraId="0F2E2101" w14:textId="34F8C54C" w:rsidR="00DB5175" w:rsidRDefault="00A16694" w:rsidP="00A16694">
      <w:r w:rsidRPr="006B42D6">
        <w:t xml:space="preserve"> </w:t>
      </w:r>
    </w:p>
    <w:p w14:paraId="46B5CC20" w14:textId="77777777" w:rsidR="00DB5175" w:rsidRDefault="00DB5175">
      <w:pPr>
        <w:spacing w:line="240" w:lineRule="auto"/>
        <w:contextualSpacing w:val="0"/>
        <w:jc w:val="left"/>
      </w:pPr>
      <w:r>
        <w:br w:type="page"/>
      </w:r>
    </w:p>
    <w:p w14:paraId="2B30CD4C" w14:textId="524C321F" w:rsidR="00A16694" w:rsidRPr="006B42D6" w:rsidRDefault="00A16694" w:rsidP="007200F6">
      <w:pPr>
        <w:pStyle w:val="Heading7"/>
      </w:pPr>
      <w:bookmarkStart w:id="565" w:name="_Toc82386217"/>
      <w:r w:rsidRPr="006B42D6">
        <w:lastRenderedPageBreak/>
        <w:t xml:space="preserve">Table </w:t>
      </w:r>
      <w:r w:rsidR="005A74B1" w:rsidRPr="006B42D6">
        <w:t>4.</w:t>
      </w:r>
      <w:r w:rsidR="00A068C8" w:rsidRPr="006B42D6">
        <w:t>9</w:t>
      </w:r>
      <w:r w:rsidR="004F4506">
        <w:t>:</w:t>
      </w:r>
      <w:r w:rsidR="004F4506">
        <w:tab/>
      </w:r>
      <w:r w:rsidRPr="006B42D6">
        <w:t xml:space="preserve">Number of Other </w:t>
      </w:r>
      <w:r w:rsidR="00F56073" w:rsidRPr="006B42D6">
        <w:t>L</w:t>
      </w:r>
      <w:r w:rsidRPr="006B42D6">
        <w:t>ivestock by Type and Region</w:t>
      </w:r>
      <w:r w:rsidR="001466AA">
        <w:t>, Tanzania</w:t>
      </w:r>
      <w:bookmarkEnd w:id="565"/>
    </w:p>
    <w:tbl>
      <w:tblPr>
        <w:tblW w:w="5000" w:type="pct"/>
        <w:tblLook w:val="04A0" w:firstRow="1" w:lastRow="0" w:firstColumn="1" w:lastColumn="0" w:noHBand="0" w:noVBand="1"/>
      </w:tblPr>
      <w:tblGrid>
        <w:gridCol w:w="1975"/>
        <w:gridCol w:w="1208"/>
        <w:gridCol w:w="1208"/>
        <w:gridCol w:w="1208"/>
        <w:gridCol w:w="1208"/>
        <w:gridCol w:w="1208"/>
        <w:gridCol w:w="1221"/>
      </w:tblGrid>
      <w:tr w:rsidR="006B42D6" w:rsidRPr="006B42D6" w14:paraId="49747D85" w14:textId="77777777" w:rsidTr="00E743F9">
        <w:trPr>
          <w:trHeight w:hRule="exact" w:val="283"/>
        </w:trPr>
        <w:tc>
          <w:tcPr>
            <w:tcW w:w="1069" w:type="pct"/>
            <w:vMerge w:val="restart"/>
            <w:tcBorders>
              <w:top w:val="single" w:sz="4" w:space="0" w:color="auto"/>
              <w:left w:val="nil"/>
              <w:bottom w:val="single" w:sz="4" w:space="0" w:color="000000"/>
              <w:right w:val="nil"/>
            </w:tcBorders>
            <w:shd w:val="clear" w:color="auto" w:fill="E2EFD9" w:themeFill="accent6" w:themeFillTint="33"/>
            <w:noWrap/>
            <w:vAlign w:val="center"/>
            <w:hideMark/>
          </w:tcPr>
          <w:p w14:paraId="0A40A931" w14:textId="77B4D51D" w:rsidR="00A16694" w:rsidRPr="006B42D6" w:rsidRDefault="00A16694" w:rsidP="00CE4D05">
            <w:pPr>
              <w:jc w:val="left"/>
              <w:rPr>
                <w:sz w:val="16"/>
                <w:szCs w:val="16"/>
              </w:rPr>
            </w:pPr>
            <w:r w:rsidRPr="006B42D6">
              <w:rPr>
                <w:sz w:val="16"/>
                <w:szCs w:val="16"/>
              </w:rPr>
              <w:t>Region</w:t>
            </w:r>
          </w:p>
        </w:tc>
        <w:tc>
          <w:tcPr>
            <w:tcW w:w="3931" w:type="pct"/>
            <w:gridSpan w:val="6"/>
            <w:tcBorders>
              <w:top w:val="single" w:sz="4" w:space="0" w:color="auto"/>
              <w:left w:val="nil"/>
              <w:bottom w:val="single" w:sz="4" w:space="0" w:color="auto"/>
              <w:right w:val="nil"/>
            </w:tcBorders>
            <w:shd w:val="clear" w:color="auto" w:fill="E2EFD9" w:themeFill="accent6" w:themeFillTint="33"/>
            <w:noWrap/>
            <w:hideMark/>
          </w:tcPr>
          <w:p w14:paraId="6DA76256" w14:textId="6DE3C2C0" w:rsidR="00A16694" w:rsidRPr="006B42D6" w:rsidRDefault="00A16694" w:rsidP="00A16694">
            <w:pPr>
              <w:jc w:val="center"/>
              <w:rPr>
                <w:sz w:val="16"/>
                <w:szCs w:val="16"/>
              </w:rPr>
            </w:pPr>
            <w:r w:rsidRPr="006B42D6">
              <w:rPr>
                <w:sz w:val="16"/>
                <w:szCs w:val="16"/>
              </w:rPr>
              <w:t xml:space="preserve">Type of </w:t>
            </w:r>
            <w:r w:rsidR="001466AA">
              <w:rPr>
                <w:sz w:val="16"/>
                <w:szCs w:val="16"/>
              </w:rPr>
              <w:t>L</w:t>
            </w:r>
            <w:r w:rsidRPr="006B42D6">
              <w:rPr>
                <w:sz w:val="16"/>
                <w:szCs w:val="16"/>
              </w:rPr>
              <w:t xml:space="preserve">ivestock  </w:t>
            </w:r>
          </w:p>
        </w:tc>
      </w:tr>
      <w:tr w:rsidR="006B42D6" w:rsidRPr="006B42D6" w14:paraId="6D24BEFD" w14:textId="77777777" w:rsidTr="00E743F9">
        <w:trPr>
          <w:trHeight w:hRule="exact" w:val="283"/>
        </w:trPr>
        <w:tc>
          <w:tcPr>
            <w:tcW w:w="1069" w:type="pct"/>
            <w:vMerge/>
            <w:tcBorders>
              <w:top w:val="single" w:sz="4" w:space="0" w:color="auto"/>
              <w:left w:val="nil"/>
              <w:bottom w:val="single" w:sz="4" w:space="0" w:color="000000"/>
              <w:right w:val="nil"/>
            </w:tcBorders>
            <w:shd w:val="clear" w:color="auto" w:fill="E2EFD9" w:themeFill="accent6" w:themeFillTint="33"/>
            <w:hideMark/>
          </w:tcPr>
          <w:p w14:paraId="15002FF6" w14:textId="77777777" w:rsidR="00A16694" w:rsidRPr="006B42D6" w:rsidRDefault="00A16694" w:rsidP="00A16694">
            <w:pPr>
              <w:rPr>
                <w:sz w:val="16"/>
                <w:szCs w:val="16"/>
              </w:rPr>
            </w:pPr>
          </w:p>
        </w:tc>
        <w:tc>
          <w:tcPr>
            <w:tcW w:w="654" w:type="pct"/>
            <w:tcBorders>
              <w:top w:val="nil"/>
              <w:left w:val="nil"/>
              <w:bottom w:val="single" w:sz="4" w:space="0" w:color="auto"/>
              <w:right w:val="nil"/>
            </w:tcBorders>
            <w:shd w:val="clear" w:color="auto" w:fill="E2EFD9" w:themeFill="accent6" w:themeFillTint="33"/>
            <w:vAlign w:val="bottom"/>
            <w:hideMark/>
          </w:tcPr>
          <w:p w14:paraId="433C9F46" w14:textId="4FEA1115" w:rsidR="00A16694" w:rsidRPr="006B42D6" w:rsidRDefault="00A16694" w:rsidP="004F4506">
            <w:pPr>
              <w:jc w:val="center"/>
              <w:rPr>
                <w:sz w:val="16"/>
                <w:szCs w:val="16"/>
              </w:rPr>
            </w:pPr>
            <w:r w:rsidRPr="006B42D6">
              <w:rPr>
                <w:sz w:val="16"/>
                <w:szCs w:val="16"/>
              </w:rPr>
              <w:t>Rabbits</w:t>
            </w:r>
          </w:p>
        </w:tc>
        <w:tc>
          <w:tcPr>
            <w:tcW w:w="654" w:type="pct"/>
            <w:tcBorders>
              <w:top w:val="nil"/>
              <w:left w:val="nil"/>
              <w:bottom w:val="single" w:sz="4" w:space="0" w:color="auto"/>
              <w:right w:val="nil"/>
            </w:tcBorders>
            <w:shd w:val="clear" w:color="auto" w:fill="E2EFD9" w:themeFill="accent6" w:themeFillTint="33"/>
            <w:vAlign w:val="bottom"/>
            <w:hideMark/>
          </w:tcPr>
          <w:p w14:paraId="07B70F09" w14:textId="0B11754C" w:rsidR="00A16694" w:rsidRPr="006B42D6" w:rsidRDefault="00A16694" w:rsidP="004F4506">
            <w:pPr>
              <w:jc w:val="center"/>
              <w:rPr>
                <w:sz w:val="16"/>
                <w:szCs w:val="16"/>
              </w:rPr>
            </w:pPr>
            <w:r w:rsidRPr="006B42D6">
              <w:rPr>
                <w:sz w:val="16"/>
                <w:szCs w:val="16"/>
              </w:rPr>
              <w:t>Donkeys</w:t>
            </w:r>
          </w:p>
        </w:tc>
        <w:tc>
          <w:tcPr>
            <w:tcW w:w="654" w:type="pct"/>
            <w:tcBorders>
              <w:top w:val="nil"/>
              <w:left w:val="nil"/>
              <w:bottom w:val="single" w:sz="4" w:space="0" w:color="auto"/>
              <w:right w:val="nil"/>
            </w:tcBorders>
            <w:shd w:val="clear" w:color="auto" w:fill="E2EFD9" w:themeFill="accent6" w:themeFillTint="33"/>
            <w:vAlign w:val="bottom"/>
            <w:hideMark/>
          </w:tcPr>
          <w:p w14:paraId="14C86E24" w14:textId="6530B716" w:rsidR="00A16694" w:rsidRPr="006B42D6" w:rsidRDefault="00A16694" w:rsidP="004F4506">
            <w:pPr>
              <w:jc w:val="center"/>
              <w:rPr>
                <w:sz w:val="16"/>
                <w:szCs w:val="16"/>
              </w:rPr>
            </w:pPr>
            <w:r w:rsidRPr="006B42D6">
              <w:rPr>
                <w:sz w:val="16"/>
                <w:szCs w:val="16"/>
              </w:rPr>
              <w:t>Horses</w:t>
            </w:r>
          </w:p>
        </w:tc>
        <w:tc>
          <w:tcPr>
            <w:tcW w:w="654" w:type="pct"/>
            <w:tcBorders>
              <w:top w:val="nil"/>
              <w:left w:val="nil"/>
              <w:bottom w:val="single" w:sz="4" w:space="0" w:color="auto"/>
              <w:right w:val="nil"/>
            </w:tcBorders>
            <w:shd w:val="clear" w:color="auto" w:fill="E2EFD9" w:themeFill="accent6" w:themeFillTint="33"/>
            <w:vAlign w:val="bottom"/>
            <w:hideMark/>
          </w:tcPr>
          <w:p w14:paraId="68361273" w14:textId="49DCF1CD" w:rsidR="00A16694" w:rsidRPr="006B42D6" w:rsidRDefault="00A16694" w:rsidP="004F4506">
            <w:pPr>
              <w:jc w:val="center"/>
              <w:rPr>
                <w:sz w:val="16"/>
                <w:szCs w:val="16"/>
              </w:rPr>
            </w:pPr>
            <w:r w:rsidRPr="006B42D6">
              <w:rPr>
                <w:sz w:val="16"/>
                <w:szCs w:val="16"/>
              </w:rPr>
              <w:t>Dogs</w:t>
            </w:r>
          </w:p>
        </w:tc>
        <w:tc>
          <w:tcPr>
            <w:tcW w:w="654" w:type="pct"/>
            <w:tcBorders>
              <w:top w:val="nil"/>
              <w:left w:val="nil"/>
              <w:bottom w:val="single" w:sz="4" w:space="0" w:color="auto"/>
              <w:right w:val="nil"/>
            </w:tcBorders>
            <w:shd w:val="clear" w:color="auto" w:fill="E2EFD9" w:themeFill="accent6" w:themeFillTint="33"/>
            <w:vAlign w:val="bottom"/>
            <w:hideMark/>
          </w:tcPr>
          <w:p w14:paraId="7D6EA888" w14:textId="5AF10966" w:rsidR="00A16694" w:rsidRPr="006B42D6" w:rsidRDefault="00A16694" w:rsidP="004F4506">
            <w:pPr>
              <w:jc w:val="center"/>
              <w:rPr>
                <w:sz w:val="16"/>
                <w:szCs w:val="16"/>
              </w:rPr>
            </w:pPr>
            <w:r w:rsidRPr="006B42D6">
              <w:rPr>
                <w:sz w:val="16"/>
                <w:szCs w:val="16"/>
              </w:rPr>
              <w:t>Guinea pigs</w:t>
            </w:r>
          </w:p>
        </w:tc>
        <w:tc>
          <w:tcPr>
            <w:tcW w:w="662" w:type="pct"/>
            <w:tcBorders>
              <w:top w:val="nil"/>
              <w:left w:val="nil"/>
              <w:bottom w:val="single" w:sz="4" w:space="0" w:color="auto"/>
              <w:right w:val="nil"/>
            </w:tcBorders>
            <w:shd w:val="clear" w:color="auto" w:fill="E2EFD9" w:themeFill="accent6" w:themeFillTint="33"/>
            <w:vAlign w:val="bottom"/>
            <w:hideMark/>
          </w:tcPr>
          <w:p w14:paraId="194452AF" w14:textId="0DEFC364" w:rsidR="00A16694" w:rsidRPr="006B42D6" w:rsidRDefault="00A16694" w:rsidP="004F4506">
            <w:pPr>
              <w:jc w:val="center"/>
              <w:rPr>
                <w:sz w:val="16"/>
                <w:szCs w:val="16"/>
              </w:rPr>
            </w:pPr>
            <w:r w:rsidRPr="006B42D6">
              <w:rPr>
                <w:sz w:val="16"/>
                <w:szCs w:val="16"/>
              </w:rPr>
              <w:t>Other</w:t>
            </w:r>
            <w:r w:rsidR="00D141C3">
              <w:rPr>
                <w:sz w:val="16"/>
                <w:szCs w:val="16"/>
              </w:rPr>
              <w:t>s</w:t>
            </w:r>
          </w:p>
        </w:tc>
      </w:tr>
      <w:tr w:rsidR="006B42D6" w:rsidRPr="006B42D6" w14:paraId="0E606D2E" w14:textId="77777777" w:rsidTr="00E743F9">
        <w:trPr>
          <w:trHeight w:hRule="exact" w:val="312"/>
        </w:trPr>
        <w:tc>
          <w:tcPr>
            <w:tcW w:w="1069" w:type="pct"/>
            <w:tcBorders>
              <w:top w:val="nil"/>
              <w:left w:val="nil"/>
              <w:bottom w:val="nil"/>
              <w:right w:val="nil"/>
            </w:tcBorders>
            <w:shd w:val="clear" w:color="auto" w:fill="auto"/>
            <w:noWrap/>
            <w:vAlign w:val="center"/>
            <w:hideMark/>
          </w:tcPr>
          <w:p w14:paraId="35BFF1B0" w14:textId="409B1B6E" w:rsidR="00A16694" w:rsidRPr="006B42D6" w:rsidRDefault="00A16694" w:rsidP="00CE4D05">
            <w:pPr>
              <w:jc w:val="left"/>
              <w:rPr>
                <w:sz w:val="16"/>
                <w:szCs w:val="16"/>
              </w:rPr>
            </w:pPr>
            <w:r w:rsidRPr="006B42D6">
              <w:rPr>
                <w:sz w:val="16"/>
                <w:szCs w:val="16"/>
              </w:rPr>
              <w:t>Dodoma</w:t>
            </w:r>
          </w:p>
        </w:tc>
        <w:tc>
          <w:tcPr>
            <w:tcW w:w="654" w:type="pct"/>
            <w:tcBorders>
              <w:top w:val="nil"/>
              <w:left w:val="nil"/>
              <w:bottom w:val="nil"/>
              <w:right w:val="nil"/>
            </w:tcBorders>
            <w:shd w:val="clear" w:color="auto" w:fill="auto"/>
            <w:noWrap/>
            <w:vAlign w:val="center"/>
            <w:hideMark/>
          </w:tcPr>
          <w:p w14:paraId="1FA7B77E" w14:textId="59697F6B" w:rsidR="00A16694" w:rsidRPr="006B42D6" w:rsidRDefault="00A16694" w:rsidP="004F4506">
            <w:pPr>
              <w:jc w:val="center"/>
              <w:rPr>
                <w:sz w:val="16"/>
                <w:szCs w:val="16"/>
              </w:rPr>
            </w:pPr>
            <w:r w:rsidRPr="006B42D6">
              <w:rPr>
                <w:sz w:val="16"/>
                <w:szCs w:val="16"/>
              </w:rPr>
              <w:t>14,581</w:t>
            </w:r>
          </w:p>
        </w:tc>
        <w:tc>
          <w:tcPr>
            <w:tcW w:w="654" w:type="pct"/>
            <w:tcBorders>
              <w:top w:val="nil"/>
              <w:left w:val="nil"/>
              <w:bottom w:val="nil"/>
              <w:right w:val="nil"/>
            </w:tcBorders>
            <w:shd w:val="clear" w:color="auto" w:fill="auto"/>
            <w:noWrap/>
            <w:vAlign w:val="center"/>
            <w:hideMark/>
          </w:tcPr>
          <w:p w14:paraId="00372C5A" w14:textId="19C93AC0" w:rsidR="00A16694" w:rsidRPr="006B42D6" w:rsidRDefault="00A16694" w:rsidP="004F4506">
            <w:pPr>
              <w:jc w:val="center"/>
              <w:rPr>
                <w:sz w:val="16"/>
                <w:szCs w:val="16"/>
              </w:rPr>
            </w:pPr>
            <w:r w:rsidRPr="006B42D6">
              <w:rPr>
                <w:sz w:val="16"/>
                <w:szCs w:val="16"/>
              </w:rPr>
              <w:t>70,723</w:t>
            </w:r>
          </w:p>
        </w:tc>
        <w:tc>
          <w:tcPr>
            <w:tcW w:w="654" w:type="pct"/>
            <w:tcBorders>
              <w:top w:val="nil"/>
              <w:left w:val="nil"/>
              <w:bottom w:val="nil"/>
              <w:right w:val="nil"/>
            </w:tcBorders>
            <w:shd w:val="clear" w:color="auto" w:fill="auto"/>
            <w:noWrap/>
            <w:vAlign w:val="center"/>
            <w:hideMark/>
          </w:tcPr>
          <w:p w14:paraId="5FAD286C" w14:textId="3A371057" w:rsidR="00A16694" w:rsidRPr="006B42D6" w:rsidRDefault="00A16694" w:rsidP="004F4506">
            <w:pPr>
              <w:jc w:val="center"/>
              <w:rPr>
                <w:sz w:val="16"/>
                <w:szCs w:val="16"/>
              </w:rPr>
            </w:pPr>
            <w:r w:rsidRPr="006B42D6">
              <w:rPr>
                <w:sz w:val="16"/>
                <w:szCs w:val="16"/>
              </w:rPr>
              <w:t>-</w:t>
            </w:r>
          </w:p>
        </w:tc>
        <w:tc>
          <w:tcPr>
            <w:tcW w:w="654" w:type="pct"/>
            <w:tcBorders>
              <w:top w:val="nil"/>
              <w:left w:val="nil"/>
              <w:bottom w:val="nil"/>
              <w:right w:val="nil"/>
            </w:tcBorders>
            <w:shd w:val="clear" w:color="auto" w:fill="auto"/>
            <w:noWrap/>
            <w:vAlign w:val="center"/>
            <w:hideMark/>
          </w:tcPr>
          <w:p w14:paraId="10F4AC21" w14:textId="16FDF131" w:rsidR="00A16694" w:rsidRPr="006B42D6" w:rsidRDefault="00A16694" w:rsidP="004F4506">
            <w:pPr>
              <w:jc w:val="center"/>
              <w:rPr>
                <w:sz w:val="16"/>
                <w:szCs w:val="16"/>
              </w:rPr>
            </w:pPr>
            <w:r w:rsidRPr="006B42D6">
              <w:rPr>
                <w:sz w:val="16"/>
                <w:szCs w:val="16"/>
              </w:rPr>
              <w:t>82,464</w:t>
            </w:r>
          </w:p>
        </w:tc>
        <w:tc>
          <w:tcPr>
            <w:tcW w:w="654" w:type="pct"/>
            <w:tcBorders>
              <w:top w:val="nil"/>
              <w:left w:val="nil"/>
              <w:bottom w:val="nil"/>
              <w:right w:val="nil"/>
            </w:tcBorders>
            <w:shd w:val="clear" w:color="auto" w:fill="auto"/>
            <w:noWrap/>
            <w:vAlign w:val="center"/>
            <w:hideMark/>
          </w:tcPr>
          <w:p w14:paraId="157C1747" w14:textId="459807B4" w:rsidR="00A16694" w:rsidRPr="006B42D6" w:rsidRDefault="00A16694" w:rsidP="004F4506">
            <w:pPr>
              <w:jc w:val="center"/>
              <w:rPr>
                <w:sz w:val="16"/>
                <w:szCs w:val="16"/>
              </w:rPr>
            </w:pPr>
            <w:r w:rsidRPr="006B42D6">
              <w:rPr>
                <w:sz w:val="16"/>
                <w:szCs w:val="16"/>
              </w:rPr>
              <w:t>-</w:t>
            </w:r>
          </w:p>
        </w:tc>
        <w:tc>
          <w:tcPr>
            <w:tcW w:w="662" w:type="pct"/>
            <w:tcBorders>
              <w:top w:val="nil"/>
              <w:left w:val="nil"/>
              <w:bottom w:val="nil"/>
              <w:right w:val="nil"/>
            </w:tcBorders>
            <w:shd w:val="clear" w:color="auto" w:fill="auto"/>
            <w:noWrap/>
            <w:vAlign w:val="center"/>
            <w:hideMark/>
          </w:tcPr>
          <w:p w14:paraId="5495B57D" w14:textId="7A3A2831" w:rsidR="00A16694" w:rsidRPr="006B42D6" w:rsidRDefault="00A16694" w:rsidP="004F4506">
            <w:pPr>
              <w:jc w:val="center"/>
              <w:rPr>
                <w:sz w:val="16"/>
                <w:szCs w:val="16"/>
              </w:rPr>
            </w:pPr>
            <w:r w:rsidRPr="006B42D6">
              <w:rPr>
                <w:sz w:val="16"/>
                <w:szCs w:val="16"/>
              </w:rPr>
              <w:t>26,727</w:t>
            </w:r>
          </w:p>
        </w:tc>
      </w:tr>
      <w:tr w:rsidR="006B42D6" w:rsidRPr="006B42D6" w14:paraId="1CB1B0D0" w14:textId="77777777" w:rsidTr="00E743F9">
        <w:trPr>
          <w:trHeight w:hRule="exact" w:val="312"/>
        </w:trPr>
        <w:tc>
          <w:tcPr>
            <w:tcW w:w="1069" w:type="pct"/>
            <w:tcBorders>
              <w:top w:val="nil"/>
              <w:left w:val="nil"/>
              <w:bottom w:val="nil"/>
              <w:right w:val="nil"/>
            </w:tcBorders>
            <w:shd w:val="clear" w:color="auto" w:fill="auto"/>
            <w:noWrap/>
            <w:vAlign w:val="center"/>
            <w:hideMark/>
          </w:tcPr>
          <w:p w14:paraId="24493F5A" w14:textId="320E93CD" w:rsidR="00A16694" w:rsidRPr="006B42D6" w:rsidRDefault="00A16694" w:rsidP="00CE4D05">
            <w:pPr>
              <w:jc w:val="left"/>
              <w:rPr>
                <w:sz w:val="16"/>
                <w:szCs w:val="16"/>
              </w:rPr>
            </w:pPr>
            <w:r w:rsidRPr="006B42D6">
              <w:rPr>
                <w:sz w:val="16"/>
                <w:szCs w:val="16"/>
              </w:rPr>
              <w:t>Arusha</w:t>
            </w:r>
          </w:p>
        </w:tc>
        <w:tc>
          <w:tcPr>
            <w:tcW w:w="654" w:type="pct"/>
            <w:tcBorders>
              <w:top w:val="nil"/>
              <w:left w:val="nil"/>
              <w:bottom w:val="nil"/>
              <w:right w:val="nil"/>
            </w:tcBorders>
            <w:shd w:val="clear" w:color="auto" w:fill="auto"/>
            <w:noWrap/>
            <w:vAlign w:val="center"/>
            <w:hideMark/>
          </w:tcPr>
          <w:p w14:paraId="291017AB" w14:textId="34B5637E" w:rsidR="00A16694" w:rsidRPr="006B42D6" w:rsidRDefault="00A16694" w:rsidP="004F4506">
            <w:pPr>
              <w:jc w:val="center"/>
              <w:rPr>
                <w:sz w:val="16"/>
                <w:szCs w:val="16"/>
              </w:rPr>
            </w:pPr>
            <w:r w:rsidRPr="006B42D6">
              <w:rPr>
                <w:sz w:val="16"/>
                <w:szCs w:val="16"/>
              </w:rPr>
              <w:t>11,314</w:t>
            </w:r>
          </w:p>
        </w:tc>
        <w:tc>
          <w:tcPr>
            <w:tcW w:w="654" w:type="pct"/>
            <w:tcBorders>
              <w:top w:val="nil"/>
              <w:left w:val="nil"/>
              <w:bottom w:val="nil"/>
              <w:right w:val="nil"/>
            </w:tcBorders>
            <w:shd w:val="clear" w:color="auto" w:fill="auto"/>
            <w:noWrap/>
            <w:vAlign w:val="center"/>
            <w:hideMark/>
          </w:tcPr>
          <w:p w14:paraId="6968C8E5" w14:textId="52C43BAB" w:rsidR="00A16694" w:rsidRPr="006B42D6" w:rsidRDefault="00A16694" w:rsidP="004F4506">
            <w:pPr>
              <w:jc w:val="center"/>
              <w:rPr>
                <w:sz w:val="16"/>
                <w:szCs w:val="16"/>
              </w:rPr>
            </w:pPr>
            <w:r w:rsidRPr="006B42D6">
              <w:rPr>
                <w:sz w:val="16"/>
                <w:szCs w:val="16"/>
              </w:rPr>
              <w:t>56,284</w:t>
            </w:r>
          </w:p>
        </w:tc>
        <w:tc>
          <w:tcPr>
            <w:tcW w:w="654" w:type="pct"/>
            <w:tcBorders>
              <w:top w:val="nil"/>
              <w:left w:val="nil"/>
              <w:bottom w:val="nil"/>
              <w:right w:val="nil"/>
            </w:tcBorders>
            <w:shd w:val="clear" w:color="auto" w:fill="auto"/>
            <w:noWrap/>
            <w:vAlign w:val="center"/>
            <w:hideMark/>
          </w:tcPr>
          <w:p w14:paraId="73EFE7DC" w14:textId="0D27E989" w:rsidR="00A16694" w:rsidRPr="006B42D6" w:rsidRDefault="00A16694" w:rsidP="004F4506">
            <w:pPr>
              <w:jc w:val="center"/>
              <w:rPr>
                <w:sz w:val="16"/>
                <w:szCs w:val="16"/>
              </w:rPr>
            </w:pPr>
            <w:r w:rsidRPr="006B42D6">
              <w:rPr>
                <w:sz w:val="16"/>
                <w:szCs w:val="16"/>
              </w:rPr>
              <w:t>183</w:t>
            </w:r>
          </w:p>
        </w:tc>
        <w:tc>
          <w:tcPr>
            <w:tcW w:w="654" w:type="pct"/>
            <w:tcBorders>
              <w:top w:val="nil"/>
              <w:left w:val="nil"/>
              <w:bottom w:val="nil"/>
              <w:right w:val="nil"/>
            </w:tcBorders>
            <w:shd w:val="clear" w:color="auto" w:fill="auto"/>
            <w:noWrap/>
            <w:vAlign w:val="center"/>
            <w:hideMark/>
          </w:tcPr>
          <w:p w14:paraId="559EC7A0" w14:textId="09482B6A" w:rsidR="00A16694" w:rsidRPr="006B42D6" w:rsidRDefault="00A16694" w:rsidP="004F4506">
            <w:pPr>
              <w:jc w:val="center"/>
              <w:rPr>
                <w:sz w:val="16"/>
                <w:szCs w:val="16"/>
              </w:rPr>
            </w:pPr>
            <w:r w:rsidRPr="006B42D6">
              <w:rPr>
                <w:sz w:val="16"/>
                <w:szCs w:val="16"/>
              </w:rPr>
              <w:t>67,842</w:t>
            </w:r>
          </w:p>
        </w:tc>
        <w:tc>
          <w:tcPr>
            <w:tcW w:w="654" w:type="pct"/>
            <w:tcBorders>
              <w:top w:val="nil"/>
              <w:left w:val="nil"/>
              <w:bottom w:val="nil"/>
              <w:right w:val="nil"/>
            </w:tcBorders>
            <w:shd w:val="clear" w:color="auto" w:fill="auto"/>
            <w:noWrap/>
            <w:vAlign w:val="center"/>
            <w:hideMark/>
          </w:tcPr>
          <w:p w14:paraId="475D23C2" w14:textId="57B9E920" w:rsidR="00A16694" w:rsidRPr="006B42D6" w:rsidRDefault="00A16694" w:rsidP="004F4506">
            <w:pPr>
              <w:jc w:val="center"/>
              <w:rPr>
                <w:sz w:val="16"/>
                <w:szCs w:val="16"/>
              </w:rPr>
            </w:pPr>
            <w:r w:rsidRPr="006B42D6">
              <w:rPr>
                <w:sz w:val="16"/>
                <w:szCs w:val="16"/>
              </w:rPr>
              <w:t>15,695</w:t>
            </w:r>
          </w:p>
        </w:tc>
        <w:tc>
          <w:tcPr>
            <w:tcW w:w="662" w:type="pct"/>
            <w:tcBorders>
              <w:top w:val="nil"/>
              <w:left w:val="nil"/>
              <w:bottom w:val="nil"/>
              <w:right w:val="nil"/>
            </w:tcBorders>
            <w:shd w:val="clear" w:color="auto" w:fill="auto"/>
            <w:noWrap/>
            <w:vAlign w:val="center"/>
            <w:hideMark/>
          </w:tcPr>
          <w:p w14:paraId="5B31B320" w14:textId="092A9B96" w:rsidR="00A16694" w:rsidRPr="006B42D6" w:rsidRDefault="00A16694" w:rsidP="004F4506">
            <w:pPr>
              <w:jc w:val="center"/>
              <w:rPr>
                <w:sz w:val="16"/>
                <w:szCs w:val="16"/>
              </w:rPr>
            </w:pPr>
            <w:r w:rsidRPr="006B42D6">
              <w:rPr>
                <w:sz w:val="16"/>
                <w:szCs w:val="16"/>
              </w:rPr>
              <w:t>14,975</w:t>
            </w:r>
          </w:p>
        </w:tc>
      </w:tr>
      <w:tr w:rsidR="006B42D6" w:rsidRPr="006B42D6" w14:paraId="46B7B38A" w14:textId="77777777" w:rsidTr="00E743F9">
        <w:trPr>
          <w:trHeight w:hRule="exact" w:val="312"/>
        </w:trPr>
        <w:tc>
          <w:tcPr>
            <w:tcW w:w="1069" w:type="pct"/>
            <w:tcBorders>
              <w:top w:val="nil"/>
              <w:left w:val="nil"/>
              <w:bottom w:val="nil"/>
              <w:right w:val="nil"/>
            </w:tcBorders>
            <w:shd w:val="clear" w:color="auto" w:fill="auto"/>
            <w:noWrap/>
            <w:vAlign w:val="center"/>
            <w:hideMark/>
          </w:tcPr>
          <w:p w14:paraId="67D8DB66" w14:textId="2B162BD4" w:rsidR="00A16694" w:rsidRPr="006B42D6" w:rsidRDefault="00A16694" w:rsidP="00CE4D05">
            <w:pPr>
              <w:jc w:val="left"/>
              <w:rPr>
                <w:sz w:val="16"/>
                <w:szCs w:val="16"/>
              </w:rPr>
            </w:pPr>
            <w:r w:rsidRPr="006B42D6">
              <w:rPr>
                <w:sz w:val="16"/>
                <w:szCs w:val="16"/>
              </w:rPr>
              <w:t>Kilimanjaro</w:t>
            </w:r>
          </w:p>
        </w:tc>
        <w:tc>
          <w:tcPr>
            <w:tcW w:w="654" w:type="pct"/>
            <w:tcBorders>
              <w:top w:val="nil"/>
              <w:left w:val="nil"/>
              <w:bottom w:val="nil"/>
              <w:right w:val="nil"/>
            </w:tcBorders>
            <w:shd w:val="clear" w:color="auto" w:fill="auto"/>
            <w:noWrap/>
            <w:vAlign w:val="center"/>
            <w:hideMark/>
          </w:tcPr>
          <w:p w14:paraId="0565CEF8" w14:textId="7B19ECCE" w:rsidR="00A16694" w:rsidRPr="006B42D6" w:rsidRDefault="00A16694" w:rsidP="004F4506">
            <w:pPr>
              <w:jc w:val="center"/>
              <w:rPr>
                <w:sz w:val="16"/>
                <w:szCs w:val="16"/>
              </w:rPr>
            </w:pPr>
            <w:r w:rsidRPr="006B42D6">
              <w:rPr>
                <w:sz w:val="16"/>
                <w:szCs w:val="16"/>
              </w:rPr>
              <w:t>36,024</w:t>
            </w:r>
          </w:p>
        </w:tc>
        <w:tc>
          <w:tcPr>
            <w:tcW w:w="654" w:type="pct"/>
            <w:tcBorders>
              <w:top w:val="nil"/>
              <w:left w:val="nil"/>
              <w:bottom w:val="nil"/>
              <w:right w:val="nil"/>
            </w:tcBorders>
            <w:shd w:val="clear" w:color="auto" w:fill="auto"/>
            <w:noWrap/>
            <w:vAlign w:val="center"/>
            <w:hideMark/>
          </w:tcPr>
          <w:p w14:paraId="2DC1BDB0" w14:textId="5CB434AF" w:rsidR="00A16694" w:rsidRPr="006B42D6" w:rsidRDefault="00A16694" w:rsidP="004F4506">
            <w:pPr>
              <w:jc w:val="center"/>
              <w:rPr>
                <w:sz w:val="16"/>
                <w:szCs w:val="16"/>
              </w:rPr>
            </w:pPr>
            <w:r w:rsidRPr="006B42D6">
              <w:rPr>
                <w:sz w:val="16"/>
                <w:szCs w:val="16"/>
              </w:rPr>
              <w:t>15,835</w:t>
            </w:r>
          </w:p>
        </w:tc>
        <w:tc>
          <w:tcPr>
            <w:tcW w:w="654" w:type="pct"/>
            <w:tcBorders>
              <w:top w:val="nil"/>
              <w:left w:val="nil"/>
              <w:bottom w:val="nil"/>
              <w:right w:val="nil"/>
            </w:tcBorders>
            <w:shd w:val="clear" w:color="auto" w:fill="auto"/>
            <w:noWrap/>
            <w:vAlign w:val="center"/>
            <w:hideMark/>
          </w:tcPr>
          <w:p w14:paraId="7C96C840" w14:textId="68516907" w:rsidR="00A16694" w:rsidRPr="006B42D6" w:rsidRDefault="00A16694" w:rsidP="004F4506">
            <w:pPr>
              <w:jc w:val="center"/>
              <w:rPr>
                <w:sz w:val="16"/>
                <w:szCs w:val="16"/>
              </w:rPr>
            </w:pPr>
            <w:r w:rsidRPr="006B42D6">
              <w:rPr>
                <w:sz w:val="16"/>
                <w:szCs w:val="16"/>
              </w:rPr>
              <w:t>-</w:t>
            </w:r>
          </w:p>
        </w:tc>
        <w:tc>
          <w:tcPr>
            <w:tcW w:w="654" w:type="pct"/>
            <w:tcBorders>
              <w:top w:val="nil"/>
              <w:left w:val="nil"/>
              <w:bottom w:val="nil"/>
              <w:right w:val="nil"/>
            </w:tcBorders>
            <w:shd w:val="clear" w:color="auto" w:fill="auto"/>
            <w:noWrap/>
            <w:vAlign w:val="center"/>
            <w:hideMark/>
          </w:tcPr>
          <w:p w14:paraId="3F8D2BBF" w14:textId="5A744C7C" w:rsidR="00A16694" w:rsidRPr="006B42D6" w:rsidRDefault="00A16694" w:rsidP="004F4506">
            <w:pPr>
              <w:jc w:val="center"/>
              <w:rPr>
                <w:sz w:val="16"/>
                <w:szCs w:val="16"/>
              </w:rPr>
            </w:pPr>
            <w:r w:rsidRPr="006B42D6">
              <w:rPr>
                <w:sz w:val="16"/>
                <w:szCs w:val="16"/>
              </w:rPr>
              <w:t>35,937</w:t>
            </w:r>
          </w:p>
        </w:tc>
        <w:tc>
          <w:tcPr>
            <w:tcW w:w="654" w:type="pct"/>
            <w:tcBorders>
              <w:top w:val="nil"/>
              <w:left w:val="nil"/>
              <w:bottom w:val="nil"/>
              <w:right w:val="nil"/>
            </w:tcBorders>
            <w:shd w:val="clear" w:color="auto" w:fill="auto"/>
            <w:noWrap/>
            <w:vAlign w:val="center"/>
            <w:hideMark/>
          </w:tcPr>
          <w:p w14:paraId="25D418D4" w14:textId="3886F38A" w:rsidR="00A16694" w:rsidRPr="006B42D6" w:rsidRDefault="00A16694" w:rsidP="004F4506">
            <w:pPr>
              <w:jc w:val="center"/>
              <w:rPr>
                <w:sz w:val="16"/>
                <w:szCs w:val="16"/>
              </w:rPr>
            </w:pPr>
            <w:r w:rsidRPr="006B42D6">
              <w:rPr>
                <w:sz w:val="16"/>
                <w:szCs w:val="16"/>
              </w:rPr>
              <w:t>7,064</w:t>
            </w:r>
          </w:p>
        </w:tc>
        <w:tc>
          <w:tcPr>
            <w:tcW w:w="662" w:type="pct"/>
            <w:tcBorders>
              <w:top w:val="nil"/>
              <w:left w:val="nil"/>
              <w:bottom w:val="nil"/>
              <w:right w:val="nil"/>
            </w:tcBorders>
            <w:shd w:val="clear" w:color="auto" w:fill="auto"/>
            <w:noWrap/>
            <w:vAlign w:val="center"/>
            <w:hideMark/>
          </w:tcPr>
          <w:p w14:paraId="54C939B5" w14:textId="3E67736B" w:rsidR="00A16694" w:rsidRPr="006B42D6" w:rsidRDefault="00A16694" w:rsidP="004F4506">
            <w:pPr>
              <w:jc w:val="center"/>
              <w:rPr>
                <w:sz w:val="16"/>
                <w:szCs w:val="16"/>
              </w:rPr>
            </w:pPr>
            <w:r w:rsidRPr="006B42D6">
              <w:rPr>
                <w:sz w:val="16"/>
                <w:szCs w:val="16"/>
              </w:rPr>
              <w:t>32,541</w:t>
            </w:r>
          </w:p>
        </w:tc>
      </w:tr>
      <w:tr w:rsidR="006B42D6" w:rsidRPr="006B42D6" w14:paraId="45AB10AD" w14:textId="77777777" w:rsidTr="00E743F9">
        <w:trPr>
          <w:trHeight w:hRule="exact" w:val="312"/>
        </w:trPr>
        <w:tc>
          <w:tcPr>
            <w:tcW w:w="1069" w:type="pct"/>
            <w:tcBorders>
              <w:top w:val="nil"/>
              <w:left w:val="nil"/>
              <w:bottom w:val="nil"/>
              <w:right w:val="nil"/>
            </w:tcBorders>
            <w:shd w:val="clear" w:color="auto" w:fill="auto"/>
            <w:noWrap/>
            <w:vAlign w:val="center"/>
            <w:hideMark/>
          </w:tcPr>
          <w:p w14:paraId="106F865C" w14:textId="5CE77B4E" w:rsidR="00A16694" w:rsidRPr="006B42D6" w:rsidRDefault="00A16694" w:rsidP="00CE4D05">
            <w:pPr>
              <w:jc w:val="left"/>
              <w:rPr>
                <w:sz w:val="16"/>
                <w:szCs w:val="16"/>
              </w:rPr>
            </w:pPr>
            <w:r w:rsidRPr="006B42D6">
              <w:rPr>
                <w:sz w:val="16"/>
                <w:szCs w:val="16"/>
              </w:rPr>
              <w:t>Tanga</w:t>
            </w:r>
          </w:p>
        </w:tc>
        <w:tc>
          <w:tcPr>
            <w:tcW w:w="654" w:type="pct"/>
            <w:tcBorders>
              <w:top w:val="nil"/>
              <w:left w:val="nil"/>
              <w:bottom w:val="nil"/>
              <w:right w:val="nil"/>
            </w:tcBorders>
            <w:shd w:val="clear" w:color="auto" w:fill="auto"/>
            <w:noWrap/>
            <w:vAlign w:val="center"/>
            <w:hideMark/>
          </w:tcPr>
          <w:p w14:paraId="21822701" w14:textId="6855B3AD" w:rsidR="00A16694" w:rsidRPr="006B42D6" w:rsidRDefault="00A16694" w:rsidP="004F4506">
            <w:pPr>
              <w:jc w:val="center"/>
              <w:rPr>
                <w:sz w:val="16"/>
                <w:szCs w:val="16"/>
              </w:rPr>
            </w:pPr>
            <w:r w:rsidRPr="006B42D6">
              <w:rPr>
                <w:sz w:val="16"/>
                <w:szCs w:val="16"/>
              </w:rPr>
              <w:t>66,486</w:t>
            </w:r>
          </w:p>
        </w:tc>
        <w:tc>
          <w:tcPr>
            <w:tcW w:w="654" w:type="pct"/>
            <w:tcBorders>
              <w:top w:val="nil"/>
              <w:left w:val="nil"/>
              <w:bottom w:val="nil"/>
              <w:right w:val="nil"/>
            </w:tcBorders>
            <w:shd w:val="clear" w:color="auto" w:fill="auto"/>
            <w:noWrap/>
            <w:vAlign w:val="center"/>
            <w:hideMark/>
          </w:tcPr>
          <w:p w14:paraId="191F11F4" w14:textId="7CD44843" w:rsidR="00A16694" w:rsidRPr="006B42D6" w:rsidRDefault="00A16694" w:rsidP="004F4506">
            <w:pPr>
              <w:jc w:val="center"/>
              <w:rPr>
                <w:sz w:val="16"/>
                <w:szCs w:val="16"/>
              </w:rPr>
            </w:pPr>
            <w:r w:rsidRPr="006B42D6">
              <w:rPr>
                <w:sz w:val="16"/>
                <w:szCs w:val="16"/>
              </w:rPr>
              <w:t>5,625</w:t>
            </w:r>
          </w:p>
        </w:tc>
        <w:tc>
          <w:tcPr>
            <w:tcW w:w="654" w:type="pct"/>
            <w:tcBorders>
              <w:top w:val="nil"/>
              <w:left w:val="nil"/>
              <w:bottom w:val="nil"/>
              <w:right w:val="nil"/>
            </w:tcBorders>
            <w:shd w:val="clear" w:color="auto" w:fill="auto"/>
            <w:noWrap/>
            <w:vAlign w:val="center"/>
            <w:hideMark/>
          </w:tcPr>
          <w:p w14:paraId="58008725" w14:textId="51217835" w:rsidR="00A16694" w:rsidRPr="006B42D6" w:rsidRDefault="00A16694" w:rsidP="004F4506">
            <w:pPr>
              <w:jc w:val="center"/>
              <w:rPr>
                <w:sz w:val="16"/>
                <w:szCs w:val="16"/>
              </w:rPr>
            </w:pPr>
            <w:r w:rsidRPr="006B42D6">
              <w:rPr>
                <w:sz w:val="16"/>
                <w:szCs w:val="16"/>
              </w:rPr>
              <w:t>-</w:t>
            </w:r>
          </w:p>
        </w:tc>
        <w:tc>
          <w:tcPr>
            <w:tcW w:w="654" w:type="pct"/>
            <w:tcBorders>
              <w:top w:val="nil"/>
              <w:left w:val="nil"/>
              <w:bottom w:val="nil"/>
              <w:right w:val="nil"/>
            </w:tcBorders>
            <w:shd w:val="clear" w:color="auto" w:fill="auto"/>
            <w:noWrap/>
            <w:vAlign w:val="center"/>
            <w:hideMark/>
          </w:tcPr>
          <w:p w14:paraId="274D778D" w14:textId="78156798" w:rsidR="00A16694" w:rsidRPr="006B42D6" w:rsidRDefault="00A16694" w:rsidP="004F4506">
            <w:pPr>
              <w:jc w:val="center"/>
              <w:rPr>
                <w:sz w:val="16"/>
                <w:szCs w:val="16"/>
              </w:rPr>
            </w:pPr>
            <w:r w:rsidRPr="006B42D6">
              <w:rPr>
                <w:sz w:val="16"/>
                <w:szCs w:val="16"/>
              </w:rPr>
              <w:t>57,758</w:t>
            </w:r>
          </w:p>
        </w:tc>
        <w:tc>
          <w:tcPr>
            <w:tcW w:w="654" w:type="pct"/>
            <w:tcBorders>
              <w:top w:val="nil"/>
              <w:left w:val="nil"/>
              <w:bottom w:val="nil"/>
              <w:right w:val="nil"/>
            </w:tcBorders>
            <w:shd w:val="clear" w:color="auto" w:fill="auto"/>
            <w:noWrap/>
            <w:vAlign w:val="center"/>
            <w:hideMark/>
          </w:tcPr>
          <w:p w14:paraId="61F01F48" w14:textId="3653E169" w:rsidR="00A16694" w:rsidRPr="006B42D6" w:rsidRDefault="00A16694" w:rsidP="004F4506">
            <w:pPr>
              <w:jc w:val="center"/>
              <w:rPr>
                <w:sz w:val="16"/>
                <w:szCs w:val="16"/>
              </w:rPr>
            </w:pPr>
            <w:r w:rsidRPr="006B42D6">
              <w:rPr>
                <w:sz w:val="16"/>
                <w:szCs w:val="16"/>
              </w:rPr>
              <w:t>3,761</w:t>
            </w:r>
          </w:p>
        </w:tc>
        <w:tc>
          <w:tcPr>
            <w:tcW w:w="662" w:type="pct"/>
            <w:tcBorders>
              <w:top w:val="nil"/>
              <w:left w:val="nil"/>
              <w:bottom w:val="nil"/>
              <w:right w:val="nil"/>
            </w:tcBorders>
            <w:shd w:val="clear" w:color="auto" w:fill="auto"/>
            <w:noWrap/>
            <w:vAlign w:val="center"/>
            <w:hideMark/>
          </w:tcPr>
          <w:p w14:paraId="53ECFCCC" w14:textId="27F0309B" w:rsidR="00A16694" w:rsidRPr="006B42D6" w:rsidRDefault="00A16694" w:rsidP="004F4506">
            <w:pPr>
              <w:jc w:val="center"/>
              <w:rPr>
                <w:sz w:val="16"/>
                <w:szCs w:val="16"/>
              </w:rPr>
            </w:pPr>
            <w:r w:rsidRPr="006B42D6">
              <w:rPr>
                <w:sz w:val="16"/>
                <w:szCs w:val="16"/>
              </w:rPr>
              <w:t>44,317</w:t>
            </w:r>
          </w:p>
        </w:tc>
      </w:tr>
      <w:tr w:rsidR="006B42D6" w:rsidRPr="006B42D6" w14:paraId="0803D568" w14:textId="77777777" w:rsidTr="00E743F9">
        <w:trPr>
          <w:trHeight w:hRule="exact" w:val="312"/>
        </w:trPr>
        <w:tc>
          <w:tcPr>
            <w:tcW w:w="1069" w:type="pct"/>
            <w:tcBorders>
              <w:top w:val="nil"/>
              <w:left w:val="nil"/>
              <w:bottom w:val="nil"/>
              <w:right w:val="nil"/>
            </w:tcBorders>
            <w:shd w:val="clear" w:color="auto" w:fill="auto"/>
            <w:noWrap/>
            <w:vAlign w:val="center"/>
            <w:hideMark/>
          </w:tcPr>
          <w:p w14:paraId="4EAB8C45" w14:textId="348C7F12" w:rsidR="00A16694" w:rsidRPr="006B42D6" w:rsidRDefault="00A16694" w:rsidP="00CE4D05">
            <w:pPr>
              <w:jc w:val="left"/>
              <w:rPr>
                <w:sz w:val="16"/>
                <w:szCs w:val="16"/>
              </w:rPr>
            </w:pPr>
            <w:r w:rsidRPr="006B42D6">
              <w:rPr>
                <w:sz w:val="16"/>
                <w:szCs w:val="16"/>
              </w:rPr>
              <w:t>Morogoro</w:t>
            </w:r>
          </w:p>
        </w:tc>
        <w:tc>
          <w:tcPr>
            <w:tcW w:w="654" w:type="pct"/>
            <w:tcBorders>
              <w:top w:val="nil"/>
              <w:left w:val="nil"/>
              <w:bottom w:val="nil"/>
              <w:right w:val="nil"/>
            </w:tcBorders>
            <w:shd w:val="clear" w:color="auto" w:fill="auto"/>
            <w:noWrap/>
            <w:vAlign w:val="center"/>
            <w:hideMark/>
          </w:tcPr>
          <w:p w14:paraId="26312196" w14:textId="504E216F" w:rsidR="00A16694" w:rsidRPr="006B42D6" w:rsidRDefault="00A16694" w:rsidP="004F4506">
            <w:pPr>
              <w:jc w:val="center"/>
              <w:rPr>
                <w:sz w:val="16"/>
                <w:szCs w:val="16"/>
              </w:rPr>
            </w:pPr>
            <w:r w:rsidRPr="006B42D6">
              <w:rPr>
                <w:sz w:val="16"/>
                <w:szCs w:val="16"/>
              </w:rPr>
              <w:t>48,063</w:t>
            </w:r>
          </w:p>
        </w:tc>
        <w:tc>
          <w:tcPr>
            <w:tcW w:w="654" w:type="pct"/>
            <w:tcBorders>
              <w:top w:val="nil"/>
              <w:left w:val="nil"/>
              <w:bottom w:val="nil"/>
              <w:right w:val="nil"/>
            </w:tcBorders>
            <w:shd w:val="clear" w:color="auto" w:fill="auto"/>
            <w:noWrap/>
            <w:vAlign w:val="center"/>
            <w:hideMark/>
          </w:tcPr>
          <w:p w14:paraId="45E24E42" w14:textId="316460BB" w:rsidR="00A16694" w:rsidRPr="006B42D6" w:rsidRDefault="00A16694" w:rsidP="004F4506">
            <w:pPr>
              <w:jc w:val="center"/>
              <w:rPr>
                <w:sz w:val="16"/>
                <w:szCs w:val="16"/>
              </w:rPr>
            </w:pPr>
            <w:r w:rsidRPr="006B42D6">
              <w:rPr>
                <w:sz w:val="16"/>
                <w:szCs w:val="16"/>
              </w:rPr>
              <w:t>3,055</w:t>
            </w:r>
          </w:p>
        </w:tc>
        <w:tc>
          <w:tcPr>
            <w:tcW w:w="654" w:type="pct"/>
            <w:tcBorders>
              <w:top w:val="nil"/>
              <w:left w:val="nil"/>
              <w:bottom w:val="nil"/>
              <w:right w:val="nil"/>
            </w:tcBorders>
            <w:shd w:val="clear" w:color="auto" w:fill="auto"/>
            <w:noWrap/>
            <w:vAlign w:val="center"/>
            <w:hideMark/>
          </w:tcPr>
          <w:p w14:paraId="15E120DB" w14:textId="0B151464" w:rsidR="00A16694" w:rsidRPr="006B42D6" w:rsidRDefault="00A16694" w:rsidP="004F4506">
            <w:pPr>
              <w:jc w:val="center"/>
              <w:rPr>
                <w:sz w:val="16"/>
                <w:szCs w:val="16"/>
              </w:rPr>
            </w:pPr>
            <w:r w:rsidRPr="006B42D6">
              <w:rPr>
                <w:sz w:val="16"/>
                <w:szCs w:val="16"/>
              </w:rPr>
              <w:t>-</w:t>
            </w:r>
          </w:p>
        </w:tc>
        <w:tc>
          <w:tcPr>
            <w:tcW w:w="654" w:type="pct"/>
            <w:tcBorders>
              <w:top w:val="nil"/>
              <w:left w:val="nil"/>
              <w:bottom w:val="nil"/>
              <w:right w:val="nil"/>
            </w:tcBorders>
            <w:shd w:val="clear" w:color="auto" w:fill="auto"/>
            <w:noWrap/>
            <w:vAlign w:val="center"/>
            <w:hideMark/>
          </w:tcPr>
          <w:p w14:paraId="78B63417" w14:textId="41F79B51" w:rsidR="00A16694" w:rsidRPr="006B42D6" w:rsidRDefault="00A16694" w:rsidP="004F4506">
            <w:pPr>
              <w:jc w:val="center"/>
              <w:rPr>
                <w:sz w:val="16"/>
                <w:szCs w:val="16"/>
              </w:rPr>
            </w:pPr>
            <w:r w:rsidRPr="006B42D6">
              <w:rPr>
                <w:sz w:val="16"/>
                <w:szCs w:val="16"/>
              </w:rPr>
              <w:t>86,320</w:t>
            </w:r>
          </w:p>
        </w:tc>
        <w:tc>
          <w:tcPr>
            <w:tcW w:w="654" w:type="pct"/>
            <w:tcBorders>
              <w:top w:val="nil"/>
              <w:left w:val="nil"/>
              <w:bottom w:val="nil"/>
              <w:right w:val="nil"/>
            </w:tcBorders>
            <w:shd w:val="clear" w:color="auto" w:fill="auto"/>
            <w:noWrap/>
            <w:vAlign w:val="center"/>
            <w:hideMark/>
          </w:tcPr>
          <w:p w14:paraId="00F961F3" w14:textId="64183AD3" w:rsidR="00A16694" w:rsidRPr="006B42D6" w:rsidRDefault="00A16694" w:rsidP="004F4506">
            <w:pPr>
              <w:jc w:val="center"/>
              <w:rPr>
                <w:sz w:val="16"/>
                <w:szCs w:val="16"/>
              </w:rPr>
            </w:pPr>
            <w:r w:rsidRPr="006B42D6">
              <w:rPr>
                <w:sz w:val="16"/>
                <w:szCs w:val="16"/>
              </w:rPr>
              <w:t>29,156</w:t>
            </w:r>
          </w:p>
        </w:tc>
        <w:tc>
          <w:tcPr>
            <w:tcW w:w="662" w:type="pct"/>
            <w:tcBorders>
              <w:top w:val="nil"/>
              <w:left w:val="nil"/>
              <w:bottom w:val="nil"/>
              <w:right w:val="nil"/>
            </w:tcBorders>
            <w:shd w:val="clear" w:color="auto" w:fill="auto"/>
            <w:noWrap/>
            <w:vAlign w:val="center"/>
            <w:hideMark/>
          </w:tcPr>
          <w:p w14:paraId="7A2F6A09" w14:textId="5780EC52" w:rsidR="00A16694" w:rsidRPr="006B42D6" w:rsidRDefault="00A16694" w:rsidP="004F4506">
            <w:pPr>
              <w:jc w:val="center"/>
              <w:rPr>
                <w:sz w:val="16"/>
                <w:szCs w:val="16"/>
              </w:rPr>
            </w:pPr>
            <w:r w:rsidRPr="006B42D6">
              <w:rPr>
                <w:sz w:val="16"/>
                <w:szCs w:val="16"/>
              </w:rPr>
              <w:t>53,167</w:t>
            </w:r>
          </w:p>
        </w:tc>
      </w:tr>
      <w:tr w:rsidR="006B42D6" w:rsidRPr="006B42D6" w14:paraId="1FC0340F" w14:textId="77777777" w:rsidTr="00E743F9">
        <w:trPr>
          <w:trHeight w:hRule="exact" w:val="312"/>
        </w:trPr>
        <w:tc>
          <w:tcPr>
            <w:tcW w:w="1069" w:type="pct"/>
            <w:tcBorders>
              <w:top w:val="nil"/>
              <w:left w:val="nil"/>
              <w:bottom w:val="nil"/>
              <w:right w:val="nil"/>
            </w:tcBorders>
            <w:shd w:val="clear" w:color="auto" w:fill="auto"/>
            <w:noWrap/>
            <w:vAlign w:val="center"/>
            <w:hideMark/>
          </w:tcPr>
          <w:p w14:paraId="161EB8A5" w14:textId="7BE0EACE" w:rsidR="00A16694" w:rsidRPr="006B42D6" w:rsidRDefault="00A16694" w:rsidP="00CE4D05">
            <w:pPr>
              <w:jc w:val="left"/>
              <w:rPr>
                <w:sz w:val="16"/>
                <w:szCs w:val="16"/>
              </w:rPr>
            </w:pPr>
            <w:r w:rsidRPr="006B42D6">
              <w:rPr>
                <w:sz w:val="16"/>
                <w:szCs w:val="16"/>
              </w:rPr>
              <w:t>Pwani</w:t>
            </w:r>
          </w:p>
        </w:tc>
        <w:tc>
          <w:tcPr>
            <w:tcW w:w="654" w:type="pct"/>
            <w:tcBorders>
              <w:top w:val="nil"/>
              <w:left w:val="nil"/>
              <w:bottom w:val="nil"/>
              <w:right w:val="nil"/>
            </w:tcBorders>
            <w:shd w:val="clear" w:color="auto" w:fill="auto"/>
            <w:noWrap/>
            <w:vAlign w:val="center"/>
            <w:hideMark/>
          </w:tcPr>
          <w:p w14:paraId="339E5ED2" w14:textId="23F1008B" w:rsidR="00A16694" w:rsidRPr="006B42D6" w:rsidRDefault="00A16694" w:rsidP="004F4506">
            <w:pPr>
              <w:jc w:val="center"/>
              <w:rPr>
                <w:sz w:val="16"/>
                <w:szCs w:val="16"/>
              </w:rPr>
            </w:pPr>
            <w:r w:rsidRPr="006B42D6">
              <w:rPr>
                <w:sz w:val="16"/>
                <w:szCs w:val="16"/>
              </w:rPr>
              <w:t>22,120</w:t>
            </w:r>
          </w:p>
        </w:tc>
        <w:tc>
          <w:tcPr>
            <w:tcW w:w="654" w:type="pct"/>
            <w:tcBorders>
              <w:top w:val="nil"/>
              <w:left w:val="nil"/>
              <w:bottom w:val="nil"/>
              <w:right w:val="nil"/>
            </w:tcBorders>
            <w:shd w:val="clear" w:color="auto" w:fill="auto"/>
            <w:noWrap/>
            <w:vAlign w:val="center"/>
            <w:hideMark/>
          </w:tcPr>
          <w:p w14:paraId="5DA85FB3" w14:textId="182CCFE7" w:rsidR="00A16694" w:rsidRPr="006B42D6" w:rsidRDefault="00A16694" w:rsidP="004F4506">
            <w:pPr>
              <w:jc w:val="center"/>
              <w:rPr>
                <w:sz w:val="16"/>
                <w:szCs w:val="16"/>
              </w:rPr>
            </w:pPr>
            <w:r w:rsidRPr="006B42D6">
              <w:rPr>
                <w:sz w:val="16"/>
                <w:szCs w:val="16"/>
              </w:rPr>
              <w:t>2,708</w:t>
            </w:r>
          </w:p>
        </w:tc>
        <w:tc>
          <w:tcPr>
            <w:tcW w:w="654" w:type="pct"/>
            <w:tcBorders>
              <w:top w:val="nil"/>
              <w:left w:val="nil"/>
              <w:bottom w:val="nil"/>
              <w:right w:val="nil"/>
            </w:tcBorders>
            <w:shd w:val="clear" w:color="auto" w:fill="auto"/>
            <w:noWrap/>
            <w:vAlign w:val="center"/>
            <w:hideMark/>
          </w:tcPr>
          <w:p w14:paraId="1F6C45D3" w14:textId="066A394B" w:rsidR="00A16694" w:rsidRPr="006B42D6" w:rsidRDefault="00A16694" w:rsidP="004F4506">
            <w:pPr>
              <w:jc w:val="center"/>
              <w:rPr>
                <w:sz w:val="16"/>
                <w:szCs w:val="16"/>
              </w:rPr>
            </w:pPr>
            <w:r w:rsidRPr="006B42D6">
              <w:rPr>
                <w:sz w:val="16"/>
                <w:szCs w:val="16"/>
              </w:rPr>
              <w:t>-</w:t>
            </w:r>
          </w:p>
        </w:tc>
        <w:tc>
          <w:tcPr>
            <w:tcW w:w="654" w:type="pct"/>
            <w:tcBorders>
              <w:top w:val="nil"/>
              <w:left w:val="nil"/>
              <w:bottom w:val="nil"/>
              <w:right w:val="nil"/>
            </w:tcBorders>
            <w:shd w:val="clear" w:color="auto" w:fill="auto"/>
            <w:noWrap/>
            <w:vAlign w:val="center"/>
            <w:hideMark/>
          </w:tcPr>
          <w:p w14:paraId="17BF636E" w14:textId="7C4FC360" w:rsidR="00A16694" w:rsidRPr="006B42D6" w:rsidRDefault="00A16694" w:rsidP="004F4506">
            <w:pPr>
              <w:jc w:val="center"/>
              <w:rPr>
                <w:sz w:val="16"/>
                <w:szCs w:val="16"/>
              </w:rPr>
            </w:pPr>
            <w:r w:rsidRPr="006B42D6">
              <w:rPr>
                <w:sz w:val="16"/>
                <w:szCs w:val="16"/>
              </w:rPr>
              <w:t>50,635</w:t>
            </w:r>
          </w:p>
        </w:tc>
        <w:tc>
          <w:tcPr>
            <w:tcW w:w="654" w:type="pct"/>
            <w:tcBorders>
              <w:top w:val="nil"/>
              <w:left w:val="nil"/>
              <w:bottom w:val="nil"/>
              <w:right w:val="nil"/>
            </w:tcBorders>
            <w:shd w:val="clear" w:color="auto" w:fill="auto"/>
            <w:noWrap/>
            <w:vAlign w:val="center"/>
            <w:hideMark/>
          </w:tcPr>
          <w:p w14:paraId="24563A25" w14:textId="008DD488" w:rsidR="00A16694" w:rsidRPr="006B42D6" w:rsidRDefault="00A16694" w:rsidP="004F4506">
            <w:pPr>
              <w:jc w:val="center"/>
              <w:rPr>
                <w:sz w:val="16"/>
                <w:szCs w:val="16"/>
              </w:rPr>
            </w:pPr>
            <w:r w:rsidRPr="006B42D6">
              <w:rPr>
                <w:sz w:val="16"/>
                <w:szCs w:val="16"/>
              </w:rPr>
              <w:t>1,579</w:t>
            </w:r>
          </w:p>
        </w:tc>
        <w:tc>
          <w:tcPr>
            <w:tcW w:w="662" w:type="pct"/>
            <w:tcBorders>
              <w:top w:val="nil"/>
              <w:left w:val="nil"/>
              <w:bottom w:val="nil"/>
              <w:right w:val="nil"/>
            </w:tcBorders>
            <w:shd w:val="clear" w:color="auto" w:fill="auto"/>
            <w:noWrap/>
            <w:vAlign w:val="center"/>
            <w:hideMark/>
          </w:tcPr>
          <w:p w14:paraId="1B016659" w14:textId="30D67E98" w:rsidR="00A16694" w:rsidRPr="006B42D6" w:rsidRDefault="00A16694" w:rsidP="004F4506">
            <w:pPr>
              <w:jc w:val="center"/>
              <w:rPr>
                <w:sz w:val="16"/>
                <w:szCs w:val="16"/>
              </w:rPr>
            </w:pPr>
            <w:r w:rsidRPr="006B42D6">
              <w:rPr>
                <w:sz w:val="16"/>
                <w:szCs w:val="16"/>
              </w:rPr>
              <w:t>7,071</w:t>
            </w:r>
          </w:p>
        </w:tc>
      </w:tr>
      <w:tr w:rsidR="006B42D6" w:rsidRPr="006B42D6" w14:paraId="32B5CF77" w14:textId="77777777" w:rsidTr="00E743F9">
        <w:trPr>
          <w:trHeight w:hRule="exact" w:val="312"/>
        </w:trPr>
        <w:tc>
          <w:tcPr>
            <w:tcW w:w="1069" w:type="pct"/>
            <w:tcBorders>
              <w:top w:val="nil"/>
              <w:left w:val="nil"/>
              <w:bottom w:val="nil"/>
              <w:right w:val="nil"/>
            </w:tcBorders>
            <w:shd w:val="clear" w:color="auto" w:fill="auto"/>
            <w:noWrap/>
            <w:vAlign w:val="center"/>
            <w:hideMark/>
          </w:tcPr>
          <w:p w14:paraId="2B99E11E" w14:textId="600DF56F" w:rsidR="00A16694" w:rsidRPr="006B42D6" w:rsidRDefault="00A16694" w:rsidP="00CE4D05">
            <w:pPr>
              <w:jc w:val="left"/>
              <w:rPr>
                <w:sz w:val="16"/>
                <w:szCs w:val="16"/>
              </w:rPr>
            </w:pPr>
            <w:r w:rsidRPr="006B42D6">
              <w:rPr>
                <w:sz w:val="16"/>
                <w:szCs w:val="16"/>
              </w:rPr>
              <w:t>Dar Es Salaam</w:t>
            </w:r>
          </w:p>
        </w:tc>
        <w:tc>
          <w:tcPr>
            <w:tcW w:w="654" w:type="pct"/>
            <w:tcBorders>
              <w:top w:val="nil"/>
              <w:left w:val="nil"/>
              <w:bottom w:val="nil"/>
              <w:right w:val="nil"/>
            </w:tcBorders>
            <w:shd w:val="clear" w:color="auto" w:fill="auto"/>
            <w:noWrap/>
            <w:vAlign w:val="center"/>
            <w:hideMark/>
          </w:tcPr>
          <w:p w14:paraId="495E022E" w14:textId="7461529F" w:rsidR="00A16694" w:rsidRPr="006B42D6" w:rsidRDefault="00A16694" w:rsidP="004F4506">
            <w:pPr>
              <w:jc w:val="center"/>
              <w:rPr>
                <w:sz w:val="16"/>
                <w:szCs w:val="16"/>
              </w:rPr>
            </w:pPr>
            <w:r w:rsidRPr="006B42D6">
              <w:rPr>
                <w:sz w:val="16"/>
                <w:szCs w:val="16"/>
              </w:rPr>
              <w:t>7,071</w:t>
            </w:r>
          </w:p>
        </w:tc>
        <w:tc>
          <w:tcPr>
            <w:tcW w:w="654" w:type="pct"/>
            <w:tcBorders>
              <w:top w:val="nil"/>
              <w:left w:val="nil"/>
              <w:bottom w:val="nil"/>
              <w:right w:val="nil"/>
            </w:tcBorders>
            <w:shd w:val="clear" w:color="auto" w:fill="auto"/>
            <w:noWrap/>
            <w:vAlign w:val="center"/>
            <w:hideMark/>
          </w:tcPr>
          <w:p w14:paraId="36868716" w14:textId="550073B0" w:rsidR="00A16694" w:rsidRPr="006B42D6" w:rsidRDefault="00A16694" w:rsidP="004F4506">
            <w:pPr>
              <w:jc w:val="center"/>
              <w:rPr>
                <w:sz w:val="16"/>
                <w:szCs w:val="16"/>
              </w:rPr>
            </w:pPr>
            <w:r w:rsidRPr="006B42D6">
              <w:rPr>
                <w:sz w:val="16"/>
                <w:szCs w:val="16"/>
              </w:rPr>
              <w:t>581</w:t>
            </w:r>
          </w:p>
        </w:tc>
        <w:tc>
          <w:tcPr>
            <w:tcW w:w="654" w:type="pct"/>
            <w:tcBorders>
              <w:top w:val="nil"/>
              <w:left w:val="nil"/>
              <w:bottom w:val="nil"/>
              <w:right w:val="nil"/>
            </w:tcBorders>
            <w:shd w:val="clear" w:color="auto" w:fill="auto"/>
            <w:noWrap/>
            <w:vAlign w:val="center"/>
            <w:hideMark/>
          </w:tcPr>
          <w:p w14:paraId="61F931CE" w14:textId="28E85210" w:rsidR="00A16694" w:rsidRPr="006B42D6" w:rsidRDefault="00A16694" w:rsidP="004F4506">
            <w:pPr>
              <w:jc w:val="center"/>
              <w:rPr>
                <w:sz w:val="16"/>
                <w:szCs w:val="16"/>
              </w:rPr>
            </w:pPr>
            <w:r w:rsidRPr="006B42D6">
              <w:rPr>
                <w:sz w:val="16"/>
                <w:szCs w:val="16"/>
              </w:rPr>
              <w:t>-</w:t>
            </w:r>
          </w:p>
        </w:tc>
        <w:tc>
          <w:tcPr>
            <w:tcW w:w="654" w:type="pct"/>
            <w:tcBorders>
              <w:top w:val="nil"/>
              <w:left w:val="nil"/>
              <w:bottom w:val="nil"/>
              <w:right w:val="nil"/>
            </w:tcBorders>
            <w:shd w:val="clear" w:color="auto" w:fill="auto"/>
            <w:noWrap/>
            <w:vAlign w:val="center"/>
            <w:hideMark/>
          </w:tcPr>
          <w:p w14:paraId="2FF88B5F" w14:textId="023E9164" w:rsidR="00A16694" w:rsidRPr="006B42D6" w:rsidRDefault="00A16694" w:rsidP="004F4506">
            <w:pPr>
              <w:jc w:val="center"/>
              <w:rPr>
                <w:sz w:val="16"/>
                <w:szCs w:val="16"/>
              </w:rPr>
            </w:pPr>
            <w:r w:rsidRPr="006B42D6">
              <w:rPr>
                <w:sz w:val="16"/>
                <w:szCs w:val="16"/>
              </w:rPr>
              <w:t>1,228</w:t>
            </w:r>
          </w:p>
        </w:tc>
        <w:tc>
          <w:tcPr>
            <w:tcW w:w="654" w:type="pct"/>
            <w:tcBorders>
              <w:top w:val="nil"/>
              <w:left w:val="nil"/>
              <w:bottom w:val="nil"/>
              <w:right w:val="nil"/>
            </w:tcBorders>
            <w:shd w:val="clear" w:color="auto" w:fill="auto"/>
            <w:noWrap/>
            <w:vAlign w:val="center"/>
            <w:hideMark/>
          </w:tcPr>
          <w:p w14:paraId="6D0785B0" w14:textId="3150344F" w:rsidR="00A16694" w:rsidRPr="006B42D6" w:rsidRDefault="00A16694" w:rsidP="004F4506">
            <w:pPr>
              <w:jc w:val="center"/>
              <w:rPr>
                <w:sz w:val="16"/>
                <w:szCs w:val="16"/>
              </w:rPr>
            </w:pPr>
            <w:r w:rsidRPr="006B42D6">
              <w:rPr>
                <w:sz w:val="16"/>
                <w:szCs w:val="16"/>
              </w:rPr>
              <w:t>-</w:t>
            </w:r>
          </w:p>
        </w:tc>
        <w:tc>
          <w:tcPr>
            <w:tcW w:w="662" w:type="pct"/>
            <w:tcBorders>
              <w:top w:val="nil"/>
              <w:left w:val="nil"/>
              <w:bottom w:val="nil"/>
              <w:right w:val="nil"/>
            </w:tcBorders>
            <w:shd w:val="clear" w:color="auto" w:fill="auto"/>
            <w:noWrap/>
            <w:vAlign w:val="center"/>
            <w:hideMark/>
          </w:tcPr>
          <w:p w14:paraId="54A0AA65" w14:textId="53DECE9C" w:rsidR="00A16694" w:rsidRPr="006B42D6" w:rsidRDefault="00A16694" w:rsidP="004F4506">
            <w:pPr>
              <w:jc w:val="center"/>
              <w:rPr>
                <w:sz w:val="16"/>
                <w:szCs w:val="16"/>
              </w:rPr>
            </w:pPr>
            <w:r w:rsidRPr="006B42D6">
              <w:rPr>
                <w:sz w:val="16"/>
                <w:szCs w:val="16"/>
              </w:rPr>
              <w:t>101</w:t>
            </w:r>
          </w:p>
        </w:tc>
      </w:tr>
      <w:tr w:rsidR="006B42D6" w:rsidRPr="006B42D6" w14:paraId="6FA6E500" w14:textId="77777777" w:rsidTr="00E743F9">
        <w:trPr>
          <w:trHeight w:hRule="exact" w:val="312"/>
        </w:trPr>
        <w:tc>
          <w:tcPr>
            <w:tcW w:w="1069" w:type="pct"/>
            <w:tcBorders>
              <w:top w:val="nil"/>
              <w:left w:val="nil"/>
              <w:bottom w:val="nil"/>
              <w:right w:val="nil"/>
            </w:tcBorders>
            <w:shd w:val="clear" w:color="auto" w:fill="auto"/>
            <w:noWrap/>
            <w:vAlign w:val="center"/>
            <w:hideMark/>
          </w:tcPr>
          <w:p w14:paraId="03E4DBDB" w14:textId="5C8E1D52" w:rsidR="00A16694" w:rsidRPr="006B42D6" w:rsidRDefault="00A16694" w:rsidP="00CE4D05">
            <w:pPr>
              <w:jc w:val="left"/>
              <w:rPr>
                <w:sz w:val="16"/>
                <w:szCs w:val="16"/>
              </w:rPr>
            </w:pPr>
            <w:r w:rsidRPr="006B42D6">
              <w:rPr>
                <w:sz w:val="16"/>
                <w:szCs w:val="16"/>
              </w:rPr>
              <w:t>Lindi</w:t>
            </w:r>
          </w:p>
        </w:tc>
        <w:tc>
          <w:tcPr>
            <w:tcW w:w="654" w:type="pct"/>
            <w:tcBorders>
              <w:top w:val="nil"/>
              <w:left w:val="nil"/>
              <w:bottom w:val="nil"/>
              <w:right w:val="nil"/>
            </w:tcBorders>
            <w:shd w:val="clear" w:color="auto" w:fill="auto"/>
            <w:noWrap/>
            <w:vAlign w:val="center"/>
            <w:hideMark/>
          </w:tcPr>
          <w:p w14:paraId="7DD308F1" w14:textId="65101F0C" w:rsidR="00A16694" w:rsidRPr="006B42D6" w:rsidRDefault="00A16694" w:rsidP="004F4506">
            <w:pPr>
              <w:jc w:val="center"/>
              <w:rPr>
                <w:sz w:val="16"/>
                <w:szCs w:val="16"/>
              </w:rPr>
            </w:pPr>
            <w:r w:rsidRPr="006B42D6">
              <w:rPr>
                <w:sz w:val="16"/>
                <w:szCs w:val="16"/>
              </w:rPr>
              <w:t>-</w:t>
            </w:r>
          </w:p>
        </w:tc>
        <w:tc>
          <w:tcPr>
            <w:tcW w:w="654" w:type="pct"/>
            <w:tcBorders>
              <w:top w:val="nil"/>
              <w:left w:val="nil"/>
              <w:bottom w:val="nil"/>
              <w:right w:val="nil"/>
            </w:tcBorders>
            <w:shd w:val="clear" w:color="auto" w:fill="auto"/>
            <w:noWrap/>
            <w:vAlign w:val="center"/>
            <w:hideMark/>
          </w:tcPr>
          <w:p w14:paraId="240B0215" w14:textId="02D19EF0" w:rsidR="00A16694" w:rsidRPr="006B42D6" w:rsidRDefault="00A16694" w:rsidP="004F4506">
            <w:pPr>
              <w:jc w:val="center"/>
              <w:rPr>
                <w:sz w:val="16"/>
                <w:szCs w:val="16"/>
              </w:rPr>
            </w:pPr>
            <w:r w:rsidRPr="006B42D6">
              <w:rPr>
                <w:sz w:val="16"/>
                <w:szCs w:val="16"/>
              </w:rPr>
              <w:t>-</w:t>
            </w:r>
          </w:p>
        </w:tc>
        <w:tc>
          <w:tcPr>
            <w:tcW w:w="654" w:type="pct"/>
            <w:tcBorders>
              <w:top w:val="nil"/>
              <w:left w:val="nil"/>
              <w:bottom w:val="nil"/>
              <w:right w:val="nil"/>
            </w:tcBorders>
            <w:shd w:val="clear" w:color="auto" w:fill="auto"/>
            <w:noWrap/>
            <w:vAlign w:val="center"/>
            <w:hideMark/>
          </w:tcPr>
          <w:p w14:paraId="555BB545" w14:textId="0EE3A017" w:rsidR="00A16694" w:rsidRPr="006B42D6" w:rsidRDefault="00A16694" w:rsidP="004F4506">
            <w:pPr>
              <w:jc w:val="center"/>
              <w:rPr>
                <w:sz w:val="16"/>
                <w:szCs w:val="16"/>
              </w:rPr>
            </w:pPr>
            <w:r w:rsidRPr="006B42D6">
              <w:rPr>
                <w:sz w:val="16"/>
                <w:szCs w:val="16"/>
              </w:rPr>
              <w:t>-</w:t>
            </w:r>
          </w:p>
        </w:tc>
        <w:tc>
          <w:tcPr>
            <w:tcW w:w="654" w:type="pct"/>
            <w:tcBorders>
              <w:top w:val="nil"/>
              <w:left w:val="nil"/>
              <w:bottom w:val="nil"/>
              <w:right w:val="nil"/>
            </w:tcBorders>
            <w:shd w:val="clear" w:color="auto" w:fill="auto"/>
            <w:noWrap/>
            <w:vAlign w:val="center"/>
            <w:hideMark/>
          </w:tcPr>
          <w:p w14:paraId="3A460982" w14:textId="75FE8FEA" w:rsidR="00A16694" w:rsidRPr="006B42D6" w:rsidRDefault="00A16694" w:rsidP="004F4506">
            <w:pPr>
              <w:jc w:val="center"/>
              <w:rPr>
                <w:sz w:val="16"/>
                <w:szCs w:val="16"/>
              </w:rPr>
            </w:pPr>
            <w:r w:rsidRPr="006B42D6">
              <w:rPr>
                <w:sz w:val="16"/>
                <w:szCs w:val="16"/>
              </w:rPr>
              <w:t>17,857</w:t>
            </w:r>
          </w:p>
        </w:tc>
        <w:tc>
          <w:tcPr>
            <w:tcW w:w="654" w:type="pct"/>
            <w:tcBorders>
              <w:top w:val="nil"/>
              <w:left w:val="nil"/>
              <w:bottom w:val="nil"/>
              <w:right w:val="nil"/>
            </w:tcBorders>
            <w:shd w:val="clear" w:color="auto" w:fill="auto"/>
            <w:noWrap/>
            <w:vAlign w:val="center"/>
            <w:hideMark/>
          </w:tcPr>
          <w:p w14:paraId="2BE79A38" w14:textId="63460027" w:rsidR="00A16694" w:rsidRPr="006B42D6" w:rsidRDefault="00A16694" w:rsidP="004F4506">
            <w:pPr>
              <w:jc w:val="center"/>
              <w:rPr>
                <w:sz w:val="16"/>
                <w:szCs w:val="16"/>
              </w:rPr>
            </w:pPr>
            <w:r w:rsidRPr="006B42D6">
              <w:rPr>
                <w:sz w:val="16"/>
                <w:szCs w:val="16"/>
              </w:rPr>
              <w:t>-</w:t>
            </w:r>
          </w:p>
        </w:tc>
        <w:tc>
          <w:tcPr>
            <w:tcW w:w="662" w:type="pct"/>
            <w:tcBorders>
              <w:top w:val="nil"/>
              <w:left w:val="nil"/>
              <w:bottom w:val="nil"/>
              <w:right w:val="nil"/>
            </w:tcBorders>
            <w:shd w:val="clear" w:color="auto" w:fill="auto"/>
            <w:noWrap/>
            <w:vAlign w:val="center"/>
            <w:hideMark/>
          </w:tcPr>
          <w:p w14:paraId="6F140F96" w14:textId="5AB7C02D" w:rsidR="00A16694" w:rsidRPr="006B42D6" w:rsidRDefault="00A16694" w:rsidP="004F4506">
            <w:pPr>
              <w:jc w:val="center"/>
              <w:rPr>
                <w:sz w:val="16"/>
                <w:szCs w:val="16"/>
              </w:rPr>
            </w:pPr>
            <w:r w:rsidRPr="006B42D6">
              <w:rPr>
                <w:sz w:val="16"/>
                <w:szCs w:val="16"/>
              </w:rPr>
              <w:t>52,021</w:t>
            </w:r>
          </w:p>
        </w:tc>
      </w:tr>
      <w:tr w:rsidR="006B42D6" w:rsidRPr="006B42D6" w14:paraId="33E900CE" w14:textId="77777777" w:rsidTr="00E743F9">
        <w:trPr>
          <w:trHeight w:hRule="exact" w:val="312"/>
        </w:trPr>
        <w:tc>
          <w:tcPr>
            <w:tcW w:w="1069" w:type="pct"/>
            <w:tcBorders>
              <w:top w:val="nil"/>
              <w:left w:val="nil"/>
              <w:bottom w:val="nil"/>
              <w:right w:val="nil"/>
            </w:tcBorders>
            <w:shd w:val="clear" w:color="auto" w:fill="auto"/>
            <w:noWrap/>
            <w:vAlign w:val="center"/>
            <w:hideMark/>
          </w:tcPr>
          <w:p w14:paraId="70AC2669" w14:textId="69F1DD16" w:rsidR="00A16694" w:rsidRPr="006B42D6" w:rsidRDefault="00A16694" w:rsidP="00CE4D05">
            <w:pPr>
              <w:jc w:val="left"/>
              <w:rPr>
                <w:sz w:val="16"/>
                <w:szCs w:val="16"/>
              </w:rPr>
            </w:pPr>
            <w:r w:rsidRPr="006B42D6">
              <w:rPr>
                <w:sz w:val="16"/>
                <w:szCs w:val="16"/>
              </w:rPr>
              <w:t>Mtwara</w:t>
            </w:r>
          </w:p>
        </w:tc>
        <w:tc>
          <w:tcPr>
            <w:tcW w:w="654" w:type="pct"/>
            <w:tcBorders>
              <w:top w:val="nil"/>
              <w:left w:val="nil"/>
              <w:bottom w:val="nil"/>
              <w:right w:val="nil"/>
            </w:tcBorders>
            <w:shd w:val="clear" w:color="auto" w:fill="auto"/>
            <w:noWrap/>
            <w:vAlign w:val="center"/>
            <w:hideMark/>
          </w:tcPr>
          <w:p w14:paraId="174A7C43" w14:textId="001DB4B4" w:rsidR="00A16694" w:rsidRPr="006B42D6" w:rsidRDefault="00A16694" w:rsidP="004F4506">
            <w:pPr>
              <w:jc w:val="center"/>
              <w:rPr>
                <w:sz w:val="16"/>
                <w:szCs w:val="16"/>
              </w:rPr>
            </w:pPr>
            <w:r w:rsidRPr="006B42D6">
              <w:rPr>
                <w:sz w:val="16"/>
                <w:szCs w:val="16"/>
              </w:rPr>
              <w:t>4,106</w:t>
            </w:r>
          </w:p>
        </w:tc>
        <w:tc>
          <w:tcPr>
            <w:tcW w:w="654" w:type="pct"/>
            <w:tcBorders>
              <w:top w:val="nil"/>
              <w:left w:val="nil"/>
              <w:bottom w:val="nil"/>
              <w:right w:val="nil"/>
            </w:tcBorders>
            <w:shd w:val="clear" w:color="auto" w:fill="auto"/>
            <w:noWrap/>
            <w:vAlign w:val="center"/>
            <w:hideMark/>
          </w:tcPr>
          <w:p w14:paraId="1F8DE265" w14:textId="2DD180C3" w:rsidR="00A16694" w:rsidRPr="006B42D6" w:rsidRDefault="00A16694" w:rsidP="004F4506">
            <w:pPr>
              <w:jc w:val="center"/>
              <w:rPr>
                <w:sz w:val="16"/>
                <w:szCs w:val="16"/>
              </w:rPr>
            </w:pPr>
            <w:r w:rsidRPr="006B42D6">
              <w:rPr>
                <w:sz w:val="16"/>
                <w:szCs w:val="16"/>
              </w:rPr>
              <w:t>-</w:t>
            </w:r>
          </w:p>
        </w:tc>
        <w:tc>
          <w:tcPr>
            <w:tcW w:w="654" w:type="pct"/>
            <w:tcBorders>
              <w:top w:val="nil"/>
              <w:left w:val="nil"/>
              <w:bottom w:val="nil"/>
              <w:right w:val="nil"/>
            </w:tcBorders>
            <w:shd w:val="clear" w:color="auto" w:fill="auto"/>
            <w:noWrap/>
            <w:vAlign w:val="center"/>
            <w:hideMark/>
          </w:tcPr>
          <w:p w14:paraId="2132FE2E" w14:textId="5B9FA7E0" w:rsidR="00A16694" w:rsidRPr="006B42D6" w:rsidRDefault="00A16694" w:rsidP="004F4506">
            <w:pPr>
              <w:jc w:val="center"/>
              <w:rPr>
                <w:sz w:val="16"/>
                <w:szCs w:val="16"/>
              </w:rPr>
            </w:pPr>
            <w:r w:rsidRPr="006B42D6">
              <w:rPr>
                <w:sz w:val="16"/>
                <w:szCs w:val="16"/>
              </w:rPr>
              <w:t>-</w:t>
            </w:r>
          </w:p>
        </w:tc>
        <w:tc>
          <w:tcPr>
            <w:tcW w:w="654" w:type="pct"/>
            <w:tcBorders>
              <w:top w:val="nil"/>
              <w:left w:val="nil"/>
              <w:bottom w:val="nil"/>
              <w:right w:val="nil"/>
            </w:tcBorders>
            <w:shd w:val="clear" w:color="auto" w:fill="auto"/>
            <w:noWrap/>
            <w:vAlign w:val="center"/>
            <w:hideMark/>
          </w:tcPr>
          <w:p w14:paraId="3C4DFB1C" w14:textId="473C84DC" w:rsidR="00A16694" w:rsidRPr="006B42D6" w:rsidRDefault="00A16694" w:rsidP="004F4506">
            <w:pPr>
              <w:jc w:val="center"/>
              <w:rPr>
                <w:sz w:val="16"/>
                <w:szCs w:val="16"/>
              </w:rPr>
            </w:pPr>
            <w:r w:rsidRPr="006B42D6">
              <w:rPr>
                <w:sz w:val="16"/>
                <w:szCs w:val="16"/>
              </w:rPr>
              <w:t>2,786</w:t>
            </w:r>
          </w:p>
        </w:tc>
        <w:tc>
          <w:tcPr>
            <w:tcW w:w="654" w:type="pct"/>
            <w:tcBorders>
              <w:top w:val="nil"/>
              <w:left w:val="nil"/>
              <w:bottom w:val="nil"/>
              <w:right w:val="nil"/>
            </w:tcBorders>
            <w:shd w:val="clear" w:color="auto" w:fill="auto"/>
            <w:noWrap/>
            <w:vAlign w:val="center"/>
            <w:hideMark/>
          </w:tcPr>
          <w:p w14:paraId="16A73731" w14:textId="5DFAF076" w:rsidR="00A16694" w:rsidRPr="006B42D6" w:rsidRDefault="00A16694" w:rsidP="004F4506">
            <w:pPr>
              <w:jc w:val="center"/>
              <w:rPr>
                <w:sz w:val="16"/>
                <w:szCs w:val="16"/>
              </w:rPr>
            </w:pPr>
            <w:r w:rsidRPr="006B42D6">
              <w:rPr>
                <w:sz w:val="16"/>
                <w:szCs w:val="16"/>
              </w:rPr>
              <w:t>1,739</w:t>
            </w:r>
          </w:p>
        </w:tc>
        <w:tc>
          <w:tcPr>
            <w:tcW w:w="662" w:type="pct"/>
            <w:tcBorders>
              <w:top w:val="nil"/>
              <w:left w:val="nil"/>
              <w:bottom w:val="nil"/>
              <w:right w:val="nil"/>
            </w:tcBorders>
            <w:shd w:val="clear" w:color="auto" w:fill="auto"/>
            <w:noWrap/>
            <w:vAlign w:val="center"/>
            <w:hideMark/>
          </w:tcPr>
          <w:p w14:paraId="27FD1A5C" w14:textId="1CE4AF90" w:rsidR="00A16694" w:rsidRPr="006B42D6" w:rsidRDefault="00A16694" w:rsidP="004F4506">
            <w:pPr>
              <w:jc w:val="center"/>
              <w:rPr>
                <w:sz w:val="16"/>
                <w:szCs w:val="16"/>
              </w:rPr>
            </w:pPr>
            <w:r w:rsidRPr="006B42D6">
              <w:rPr>
                <w:sz w:val="16"/>
                <w:szCs w:val="16"/>
              </w:rPr>
              <w:t>74,796</w:t>
            </w:r>
          </w:p>
        </w:tc>
      </w:tr>
      <w:tr w:rsidR="006B42D6" w:rsidRPr="006B42D6" w14:paraId="43CB9CC1" w14:textId="77777777" w:rsidTr="00E743F9">
        <w:trPr>
          <w:trHeight w:hRule="exact" w:val="312"/>
        </w:trPr>
        <w:tc>
          <w:tcPr>
            <w:tcW w:w="1069" w:type="pct"/>
            <w:tcBorders>
              <w:top w:val="nil"/>
              <w:left w:val="nil"/>
              <w:bottom w:val="nil"/>
              <w:right w:val="nil"/>
            </w:tcBorders>
            <w:shd w:val="clear" w:color="auto" w:fill="auto"/>
            <w:noWrap/>
            <w:vAlign w:val="center"/>
            <w:hideMark/>
          </w:tcPr>
          <w:p w14:paraId="0CD0C052" w14:textId="7C3DBD82" w:rsidR="00A16694" w:rsidRPr="006B42D6" w:rsidRDefault="00A16694" w:rsidP="00CE4D05">
            <w:pPr>
              <w:jc w:val="left"/>
              <w:rPr>
                <w:sz w:val="16"/>
                <w:szCs w:val="16"/>
              </w:rPr>
            </w:pPr>
            <w:r w:rsidRPr="006B42D6">
              <w:rPr>
                <w:sz w:val="16"/>
                <w:szCs w:val="16"/>
              </w:rPr>
              <w:t>Ruvuma</w:t>
            </w:r>
          </w:p>
        </w:tc>
        <w:tc>
          <w:tcPr>
            <w:tcW w:w="654" w:type="pct"/>
            <w:tcBorders>
              <w:top w:val="nil"/>
              <w:left w:val="nil"/>
              <w:bottom w:val="nil"/>
              <w:right w:val="nil"/>
            </w:tcBorders>
            <w:shd w:val="clear" w:color="auto" w:fill="auto"/>
            <w:noWrap/>
            <w:vAlign w:val="center"/>
            <w:hideMark/>
          </w:tcPr>
          <w:p w14:paraId="3F6EC954" w14:textId="25D4A76F" w:rsidR="00A16694" w:rsidRPr="006B42D6" w:rsidRDefault="00A16694" w:rsidP="004F4506">
            <w:pPr>
              <w:jc w:val="center"/>
              <w:rPr>
                <w:sz w:val="16"/>
                <w:szCs w:val="16"/>
              </w:rPr>
            </w:pPr>
            <w:r w:rsidRPr="006B42D6">
              <w:rPr>
                <w:sz w:val="16"/>
                <w:szCs w:val="16"/>
              </w:rPr>
              <w:t>34,955</w:t>
            </w:r>
          </w:p>
        </w:tc>
        <w:tc>
          <w:tcPr>
            <w:tcW w:w="654" w:type="pct"/>
            <w:tcBorders>
              <w:top w:val="nil"/>
              <w:left w:val="nil"/>
              <w:bottom w:val="nil"/>
              <w:right w:val="nil"/>
            </w:tcBorders>
            <w:shd w:val="clear" w:color="auto" w:fill="auto"/>
            <w:noWrap/>
            <w:vAlign w:val="center"/>
            <w:hideMark/>
          </w:tcPr>
          <w:p w14:paraId="182E768E" w14:textId="1C09C644" w:rsidR="00A16694" w:rsidRPr="006B42D6" w:rsidRDefault="00A16694" w:rsidP="004F4506">
            <w:pPr>
              <w:jc w:val="center"/>
              <w:rPr>
                <w:sz w:val="16"/>
                <w:szCs w:val="16"/>
              </w:rPr>
            </w:pPr>
            <w:r w:rsidRPr="006B42D6">
              <w:rPr>
                <w:sz w:val="16"/>
                <w:szCs w:val="16"/>
              </w:rPr>
              <w:t>1,683</w:t>
            </w:r>
          </w:p>
        </w:tc>
        <w:tc>
          <w:tcPr>
            <w:tcW w:w="654" w:type="pct"/>
            <w:tcBorders>
              <w:top w:val="nil"/>
              <w:left w:val="nil"/>
              <w:bottom w:val="nil"/>
              <w:right w:val="nil"/>
            </w:tcBorders>
            <w:shd w:val="clear" w:color="auto" w:fill="auto"/>
            <w:noWrap/>
            <w:vAlign w:val="center"/>
            <w:hideMark/>
          </w:tcPr>
          <w:p w14:paraId="4986F3A9" w14:textId="517DCDB0" w:rsidR="00A16694" w:rsidRPr="006B42D6" w:rsidRDefault="00A16694" w:rsidP="004F4506">
            <w:pPr>
              <w:jc w:val="center"/>
              <w:rPr>
                <w:sz w:val="16"/>
                <w:szCs w:val="16"/>
              </w:rPr>
            </w:pPr>
            <w:r w:rsidRPr="006B42D6">
              <w:rPr>
                <w:sz w:val="16"/>
                <w:szCs w:val="16"/>
              </w:rPr>
              <w:t>-</w:t>
            </w:r>
          </w:p>
        </w:tc>
        <w:tc>
          <w:tcPr>
            <w:tcW w:w="654" w:type="pct"/>
            <w:tcBorders>
              <w:top w:val="nil"/>
              <w:left w:val="nil"/>
              <w:bottom w:val="nil"/>
              <w:right w:val="nil"/>
            </w:tcBorders>
            <w:shd w:val="clear" w:color="auto" w:fill="auto"/>
            <w:noWrap/>
            <w:vAlign w:val="center"/>
            <w:hideMark/>
          </w:tcPr>
          <w:p w14:paraId="593E7E93" w14:textId="194D15FC" w:rsidR="00A16694" w:rsidRPr="006B42D6" w:rsidRDefault="00A16694" w:rsidP="004F4506">
            <w:pPr>
              <w:jc w:val="center"/>
              <w:rPr>
                <w:sz w:val="16"/>
                <w:szCs w:val="16"/>
              </w:rPr>
            </w:pPr>
            <w:r w:rsidRPr="006B42D6">
              <w:rPr>
                <w:sz w:val="16"/>
                <w:szCs w:val="16"/>
              </w:rPr>
              <w:t>61,165</w:t>
            </w:r>
          </w:p>
        </w:tc>
        <w:tc>
          <w:tcPr>
            <w:tcW w:w="654" w:type="pct"/>
            <w:tcBorders>
              <w:top w:val="nil"/>
              <w:left w:val="nil"/>
              <w:bottom w:val="nil"/>
              <w:right w:val="nil"/>
            </w:tcBorders>
            <w:shd w:val="clear" w:color="auto" w:fill="auto"/>
            <w:noWrap/>
            <w:vAlign w:val="center"/>
            <w:hideMark/>
          </w:tcPr>
          <w:p w14:paraId="4D8AA19F" w14:textId="6ECDC4EA" w:rsidR="00A16694" w:rsidRPr="006B42D6" w:rsidRDefault="00A16694" w:rsidP="004F4506">
            <w:pPr>
              <w:jc w:val="center"/>
              <w:rPr>
                <w:sz w:val="16"/>
                <w:szCs w:val="16"/>
              </w:rPr>
            </w:pPr>
            <w:r w:rsidRPr="006B42D6">
              <w:rPr>
                <w:sz w:val="16"/>
                <w:szCs w:val="16"/>
              </w:rPr>
              <w:t>47,261</w:t>
            </w:r>
          </w:p>
        </w:tc>
        <w:tc>
          <w:tcPr>
            <w:tcW w:w="662" w:type="pct"/>
            <w:tcBorders>
              <w:top w:val="nil"/>
              <w:left w:val="nil"/>
              <w:bottom w:val="nil"/>
              <w:right w:val="nil"/>
            </w:tcBorders>
            <w:shd w:val="clear" w:color="auto" w:fill="auto"/>
            <w:noWrap/>
            <w:vAlign w:val="center"/>
            <w:hideMark/>
          </w:tcPr>
          <w:p w14:paraId="5A6730E5" w14:textId="3F71671C" w:rsidR="00A16694" w:rsidRPr="006B42D6" w:rsidRDefault="00A16694" w:rsidP="004F4506">
            <w:pPr>
              <w:jc w:val="center"/>
              <w:rPr>
                <w:sz w:val="16"/>
                <w:szCs w:val="16"/>
              </w:rPr>
            </w:pPr>
            <w:r w:rsidRPr="006B42D6">
              <w:rPr>
                <w:sz w:val="16"/>
                <w:szCs w:val="16"/>
              </w:rPr>
              <w:t>134,615</w:t>
            </w:r>
          </w:p>
        </w:tc>
      </w:tr>
      <w:tr w:rsidR="006B42D6" w:rsidRPr="006B42D6" w14:paraId="6A06A9CE" w14:textId="77777777" w:rsidTr="00E743F9">
        <w:trPr>
          <w:trHeight w:hRule="exact" w:val="312"/>
        </w:trPr>
        <w:tc>
          <w:tcPr>
            <w:tcW w:w="1069" w:type="pct"/>
            <w:tcBorders>
              <w:top w:val="nil"/>
              <w:left w:val="nil"/>
              <w:bottom w:val="nil"/>
              <w:right w:val="nil"/>
            </w:tcBorders>
            <w:shd w:val="clear" w:color="auto" w:fill="auto"/>
            <w:noWrap/>
            <w:vAlign w:val="center"/>
            <w:hideMark/>
          </w:tcPr>
          <w:p w14:paraId="7549709A" w14:textId="696581C7" w:rsidR="00A16694" w:rsidRPr="006B42D6" w:rsidRDefault="00A16694" w:rsidP="00CE4D05">
            <w:pPr>
              <w:jc w:val="left"/>
              <w:rPr>
                <w:sz w:val="16"/>
                <w:szCs w:val="16"/>
              </w:rPr>
            </w:pPr>
            <w:r w:rsidRPr="006B42D6">
              <w:rPr>
                <w:sz w:val="16"/>
                <w:szCs w:val="16"/>
              </w:rPr>
              <w:t>Iringa</w:t>
            </w:r>
          </w:p>
        </w:tc>
        <w:tc>
          <w:tcPr>
            <w:tcW w:w="654" w:type="pct"/>
            <w:tcBorders>
              <w:top w:val="nil"/>
              <w:left w:val="nil"/>
              <w:bottom w:val="nil"/>
              <w:right w:val="nil"/>
            </w:tcBorders>
            <w:shd w:val="clear" w:color="auto" w:fill="auto"/>
            <w:noWrap/>
            <w:vAlign w:val="center"/>
            <w:hideMark/>
          </w:tcPr>
          <w:p w14:paraId="1D71B1A5" w14:textId="5C0CC963" w:rsidR="00A16694" w:rsidRPr="006B42D6" w:rsidRDefault="00A16694" w:rsidP="004F4506">
            <w:pPr>
              <w:jc w:val="center"/>
              <w:rPr>
                <w:sz w:val="16"/>
                <w:szCs w:val="16"/>
              </w:rPr>
            </w:pPr>
            <w:r w:rsidRPr="006B42D6">
              <w:rPr>
                <w:sz w:val="16"/>
                <w:szCs w:val="16"/>
              </w:rPr>
              <w:t>111,745</w:t>
            </w:r>
          </w:p>
        </w:tc>
        <w:tc>
          <w:tcPr>
            <w:tcW w:w="654" w:type="pct"/>
            <w:tcBorders>
              <w:top w:val="nil"/>
              <w:left w:val="nil"/>
              <w:bottom w:val="nil"/>
              <w:right w:val="nil"/>
            </w:tcBorders>
            <w:shd w:val="clear" w:color="auto" w:fill="auto"/>
            <w:noWrap/>
            <w:vAlign w:val="center"/>
            <w:hideMark/>
          </w:tcPr>
          <w:p w14:paraId="2DB8B76C" w14:textId="3FF8F99C" w:rsidR="00A16694" w:rsidRPr="006B42D6" w:rsidRDefault="00A16694" w:rsidP="004F4506">
            <w:pPr>
              <w:jc w:val="center"/>
              <w:rPr>
                <w:sz w:val="16"/>
                <w:szCs w:val="16"/>
              </w:rPr>
            </w:pPr>
            <w:r w:rsidRPr="006B42D6">
              <w:rPr>
                <w:sz w:val="16"/>
                <w:szCs w:val="16"/>
              </w:rPr>
              <w:t>26,627</w:t>
            </w:r>
          </w:p>
        </w:tc>
        <w:tc>
          <w:tcPr>
            <w:tcW w:w="654" w:type="pct"/>
            <w:tcBorders>
              <w:top w:val="nil"/>
              <w:left w:val="nil"/>
              <w:bottom w:val="nil"/>
              <w:right w:val="nil"/>
            </w:tcBorders>
            <w:shd w:val="clear" w:color="auto" w:fill="auto"/>
            <w:noWrap/>
            <w:vAlign w:val="center"/>
            <w:hideMark/>
          </w:tcPr>
          <w:p w14:paraId="226171B8" w14:textId="27309D8B" w:rsidR="00A16694" w:rsidRPr="006B42D6" w:rsidRDefault="00A16694" w:rsidP="004F4506">
            <w:pPr>
              <w:jc w:val="center"/>
              <w:rPr>
                <w:sz w:val="16"/>
                <w:szCs w:val="16"/>
              </w:rPr>
            </w:pPr>
            <w:r w:rsidRPr="006B42D6">
              <w:rPr>
                <w:sz w:val="16"/>
                <w:szCs w:val="16"/>
              </w:rPr>
              <w:t>-</w:t>
            </w:r>
          </w:p>
        </w:tc>
        <w:tc>
          <w:tcPr>
            <w:tcW w:w="654" w:type="pct"/>
            <w:tcBorders>
              <w:top w:val="nil"/>
              <w:left w:val="nil"/>
              <w:bottom w:val="nil"/>
              <w:right w:val="nil"/>
            </w:tcBorders>
            <w:shd w:val="clear" w:color="auto" w:fill="auto"/>
            <w:noWrap/>
            <w:vAlign w:val="center"/>
            <w:hideMark/>
          </w:tcPr>
          <w:p w14:paraId="0F545E43" w14:textId="3E5B9CA9" w:rsidR="00A16694" w:rsidRPr="006B42D6" w:rsidRDefault="00A16694" w:rsidP="004F4506">
            <w:pPr>
              <w:jc w:val="center"/>
              <w:rPr>
                <w:sz w:val="16"/>
                <w:szCs w:val="16"/>
              </w:rPr>
            </w:pPr>
            <w:r w:rsidRPr="006B42D6">
              <w:rPr>
                <w:sz w:val="16"/>
                <w:szCs w:val="16"/>
              </w:rPr>
              <w:t>150,249</w:t>
            </w:r>
          </w:p>
        </w:tc>
        <w:tc>
          <w:tcPr>
            <w:tcW w:w="654" w:type="pct"/>
            <w:tcBorders>
              <w:top w:val="nil"/>
              <w:left w:val="nil"/>
              <w:bottom w:val="nil"/>
              <w:right w:val="nil"/>
            </w:tcBorders>
            <w:shd w:val="clear" w:color="auto" w:fill="auto"/>
            <w:noWrap/>
            <w:vAlign w:val="center"/>
            <w:hideMark/>
          </w:tcPr>
          <w:p w14:paraId="32B0EF95" w14:textId="1FA19A20" w:rsidR="00A16694" w:rsidRPr="006B42D6" w:rsidRDefault="00A16694" w:rsidP="004F4506">
            <w:pPr>
              <w:jc w:val="center"/>
              <w:rPr>
                <w:sz w:val="16"/>
                <w:szCs w:val="16"/>
              </w:rPr>
            </w:pPr>
            <w:r w:rsidRPr="006B42D6">
              <w:rPr>
                <w:sz w:val="16"/>
                <w:szCs w:val="16"/>
              </w:rPr>
              <w:t>580,141</w:t>
            </w:r>
          </w:p>
        </w:tc>
        <w:tc>
          <w:tcPr>
            <w:tcW w:w="662" w:type="pct"/>
            <w:tcBorders>
              <w:top w:val="nil"/>
              <w:left w:val="nil"/>
              <w:bottom w:val="nil"/>
              <w:right w:val="nil"/>
            </w:tcBorders>
            <w:shd w:val="clear" w:color="auto" w:fill="auto"/>
            <w:noWrap/>
            <w:vAlign w:val="center"/>
            <w:hideMark/>
          </w:tcPr>
          <w:p w14:paraId="48E3E64B" w14:textId="161E69FF" w:rsidR="00A16694" w:rsidRPr="006B42D6" w:rsidRDefault="00A16694" w:rsidP="004F4506">
            <w:pPr>
              <w:jc w:val="center"/>
              <w:rPr>
                <w:sz w:val="16"/>
                <w:szCs w:val="16"/>
              </w:rPr>
            </w:pPr>
            <w:r w:rsidRPr="006B42D6">
              <w:rPr>
                <w:sz w:val="16"/>
                <w:szCs w:val="16"/>
              </w:rPr>
              <w:t>321,388</w:t>
            </w:r>
          </w:p>
        </w:tc>
      </w:tr>
      <w:tr w:rsidR="006B42D6" w:rsidRPr="006B42D6" w14:paraId="0376C7F6" w14:textId="77777777" w:rsidTr="00E743F9">
        <w:trPr>
          <w:trHeight w:hRule="exact" w:val="312"/>
        </w:trPr>
        <w:tc>
          <w:tcPr>
            <w:tcW w:w="1069" w:type="pct"/>
            <w:tcBorders>
              <w:top w:val="nil"/>
              <w:left w:val="nil"/>
              <w:bottom w:val="nil"/>
              <w:right w:val="nil"/>
            </w:tcBorders>
            <w:shd w:val="clear" w:color="auto" w:fill="auto"/>
            <w:noWrap/>
            <w:vAlign w:val="center"/>
            <w:hideMark/>
          </w:tcPr>
          <w:p w14:paraId="1CAD2685" w14:textId="43B2995A" w:rsidR="00A16694" w:rsidRPr="006B42D6" w:rsidRDefault="00A16694" w:rsidP="00CE4D05">
            <w:pPr>
              <w:jc w:val="left"/>
              <w:rPr>
                <w:sz w:val="16"/>
                <w:szCs w:val="16"/>
              </w:rPr>
            </w:pPr>
            <w:r w:rsidRPr="006B42D6">
              <w:rPr>
                <w:sz w:val="16"/>
                <w:szCs w:val="16"/>
              </w:rPr>
              <w:t>Mbeya</w:t>
            </w:r>
          </w:p>
        </w:tc>
        <w:tc>
          <w:tcPr>
            <w:tcW w:w="654" w:type="pct"/>
            <w:tcBorders>
              <w:top w:val="nil"/>
              <w:left w:val="nil"/>
              <w:bottom w:val="nil"/>
              <w:right w:val="nil"/>
            </w:tcBorders>
            <w:shd w:val="clear" w:color="auto" w:fill="auto"/>
            <w:noWrap/>
            <w:vAlign w:val="center"/>
            <w:hideMark/>
          </w:tcPr>
          <w:p w14:paraId="39AB7842" w14:textId="355B0A11" w:rsidR="00A16694" w:rsidRPr="006B42D6" w:rsidRDefault="00A16694" w:rsidP="004F4506">
            <w:pPr>
              <w:jc w:val="center"/>
              <w:rPr>
                <w:sz w:val="16"/>
                <w:szCs w:val="16"/>
              </w:rPr>
            </w:pPr>
            <w:r w:rsidRPr="006B42D6">
              <w:rPr>
                <w:sz w:val="16"/>
                <w:szCs w:val="16"/>
              </w:rPr>
              <w:t>50,841</w:t>
            </w:r>
          </w:p>
        </w:tc>
        <w:tc>
          <w:tcPr>
            <w:tcW w:w="654" w:type="pct"/>
            <w:tcBorders>
              <w:top w:val="nil"/>
              <w:left w:val="nil"/>
              <w:bottom w:val="nil"/>
              <w:right w:val="nil"/>
            </w:tcBorders>
            <w:shd w:val="clear" w:color="auto" w:fill="auto"/>
            <w:noWrap/>
            <w:vAlign w:val="center"/>
            <w:hideMark/>
          </w:tcPr>
          <w:p w14:paraId="023161CF" w14:textId="4A2A8D2D" w:rsidR="00A16694" w:rsidRPr="006B42D6" w:rsidRDefault="00A16694" w:rsidP="004F4506">
            <w:pPr>
              <w:jc w:val="center"/>
              <w:rPr>
                <w:sz w:val="16"/>
                <w:szCs w:val="16"/>
              </w:rPr>
            </w:pPr>
            <w:r w:rsidRPr="006B42D6">
              <w:rPr>
                <w:sz w:val="16"/>
                <w:szCs w:val="16"/>
              </w:rPr>
              <w:t>6,152</w:t>
            </w:r>
          </w:p>
        </w:tc>
        <w:tc>
          <w:tcPr>
            <w:tcW w:w="654" w:type="pct"/>
            <w:tcBorders>
              <w:top w:val="nil"/>
              <w:left w:val="nil"/>
              <w:bottom w:val="nil"/>
              <w:right w:val="nil"/>
            </w:tcBorders>
            <w:shd w:val="clear" w:color="auto" w:fill="auto"/>
            <w:noWrap/>
            <w:vAlign w:val="center"/>
            <w:hideMark/>
          </w:tcPr>
          <w:p w14:paraId="3B81EFE8" w14:textId="3288F878" w:rsidR="00A16694" w:rsidRPr="006B42D6" w:rsidRDefault="00A16694" w:rsidP="004F4506">
            <w:pPr>
              <w:jc w:val="center"/>
              <w:rPr>
                <w:sz w:val="16"/>
                <w:szCs w:val="16"/>
              </w:rPr>
            </w:pPr>
            <w:r w:rsidRPr="006B42D6">
              <w:rPr>
                <w:sz w:val="16"/>
                <w:szCs w:val="16"/>
              </w:rPr>
              <w:t>-</w:t>
            </w:r>
          </w:p>
        </w:tc>
        <w:tc>
          <w:tcPr>
            <w:tcW w:w="654" w:type="pct"/>
            <w:tcBorders>
              <w:top w:val="nil"/>
              <w:left w:val="nil"/>
              <w:bottom w:val="nil"/>
              <w:right w:val="nil"/>
            </w:tcBorders>
            <w:shd w:val="clear" w:color="auto" w:fill="auto"/>
            <w:noWrap/>
            <w:vAlign w:val="center"/>
            <w:hideMark/>
          </w:tcPr>
          <w:p w14:paraId="02DD697C" w14:textId="5EB99FAD" w:rsidR="00A16694" w:rsidRPr="006B42D6" w:rsidRDefault="00A16694" w:rsidP="004F4506">
            <w:pPr>
              <w:jc w:val="center"/>
              <w:rPr>
                <w:sz w:val="16"/>
                <w:szCs w:val="16"/>
              </w:rPr>
            </w:pPr>
            <w:r w:rsidRPr="006B42D6">
              <w:rPr>
                <w:sz w:val="16"/>
                <w:szCs w:val="16"/>
              </w:rPr>
              <w:t>72,977</w:t>
            </w:r>
          </w:p>
        </w:tc>
        <w:tc>
          <w:tcPr>
            <w:tcW w:w="654" w:type="pct"/>
            <w:tcBorders>
              <w:top w:val="nil"/>
              <w:left w:val="nil"/>
              <w:bottom w:val="nil"/>
              <w:right w:val="nil"/>
            </w:tcBorders>
            <w:shd w:val="clear" w:color="auto" w:fill="auto"/>
            <w:noWrap/>
            <w:vAlign w:val="center"/>
            <w:hideMark/>
          </w:tcPr>
          <w:p w14:paraId="03246822" w14:textId="4451DBA7" w:rsidR="00A16694" w:rsidRPr="006B42D6" w:rsidRDefault="00A16694" w:rsidP="004F4506">
            <w:pPr>
              <w:jc w:val="center"/>
              <w:rPr>
                <w:sz w:val="16"/>
                <w:szCs w:val="16"/>
              </w:rPr>
            </w:pPr>
            <w:r w:rsidRPr="006B42D6">
              <w:rPr>
                <w:sz w:val="16"/>
                <w:szCs w:val="16"/>
              </w:rPr>
              <w:t>16,867</w:t>
            </w:r>
          </w:p>
        </w:tc>
        <w:tc>
          <w:tcPr>
            <w:tcW w:w="662" w:type="pct"/>
            <w:tcBorders>
              <w:top w:val="nil"/>
              <w:left w:val="nil"/>
              <w:bottom w:val="nil"/>
              <w:right w:val="nil"/>
            </w:tcBorders>
            <w:shd w:val="clear" w:color="auto" w:fill="auto"/>
            <w:noWrap/>
            <w:vAlign w:val="center"/>
            <w:hideMark/>
          </w:tcPr>
          <w:p w14:paraId="26BB88AB" w14:textId="101C3422" w:rsidR="00A16694" w:rsidRPr="006B42D6" w:rsidRDefault="00A16694" w:rsidP="004F4506">
            <w:pPr>
              <w:jc w:val="center"/>
              <w:rPr>
                <w:sz w:val="16"/>
                <w:szCs w:val="16"/>
              </w:rPr>
            </w:pPr>
            <w:r w:rsidRPr="006B42D6">
              <w:rPr>
                <w:sz w:val="16"/>
                <w:szCs w:val="16"/>
              </w:rPr>
              <w:t>122,722</w:t>
            </w:r>
          </w:p>
        </w:tc>
      </w:tr>
      <w:tr w:rsidR="006B42D6" w:rsidRPr="006B42D6" w14:paraId="35783581" w14:textId="77777777" w:rsidTr="00E743F9">
        <w:trPr>
          <w:trHeight w:hRule="exact" w:val="312"/>
        </w:trPr>
        <w:tc>
          <w:tcPr>
            <w:tcW w:w="1069" w:type="pct"/>
            <w:tcBorders>
              <w:top w:val="nil"/>
              <w:left w:val="nil"/>
              <w:bottom w:val="nil"/>
              <w:right w:val="nil"/>
            </w:tcBorders>
            <w:shd w:val="clear" w:color="auto" w:fill="auto"/>
            <w:noWrap/>
            <w:vAlign w:val="center"/>
            <w:hideMark/>
          </w:tcPr>
          <w:p w14:paraId="7EE1CAE8" w14:textId="08015D49" w:rsidR="00A16694" w:rsidRPr="006B42D6" w:rsidRDefault="00A16694" w:rsidP="00CE4D05">
            <w:pPr>
              <w:jc w:val="left"/>
              <w:rPr>
                <w:sz w:val="16"/>
                <w:szCs w:val="16"/>
              </w:rPr>
            </w:pPr>
            <w:r w:rsidRPr="006B42D6">
              <w:rPr>
                <w:sz w:val="16"/>
                <w:szCs w:val="16"/>
              </w:rPr>
              <w:t>Singida</w:t>
            </w:r>
          </w:p>
        </w:tc>
        <w:tc>
          <w:tcPr>
            <w:tcW w:w="654" w:type="pct"/>
            <w:tcBorders>
              <w:top w:val="nil"/>
              <w:left w:val="nil"/>
              <w:bottom w:val="nil"/>
              <w:right w:val="nil"/>
            </w:tcBorders>
            <w:shd w:val="clear" w:color="auto" w:fill="auto"/>
            <w:noWrap/>
            <w:vAlign w:val="center"/>
            <w:hideMark/>
          </w:tcPr>
          <w:p w14:paraId="37321C5E" w14:textId="5A877B97" w:rsidR="00A16694" w:rsidRPr="006B42D6" w:rsidRDefault="00A16694" w:rsidP="004F4506">
            <w:pPr>
              <w:jc w:val="center"/>
              <w:rPr>
                <w:sz w:val="16"/>
                <w:szCs w:val="16"/>
              </w:rPr>
            </w:pPr>
            <w:r w:rsidRPr="006B42D6">
              <w:rPr>
                <w:sz w:val="16"/>
                <w:szCs w:val="16"/>
              </w:rPr>
              <w:t>11,854</w:t>
            </w:r>
          </w:p>
        </w:tc>
        <w:tc>
          <w:tcPr>
            <w:tcW w:w="654" w:type="pct"/>
            <w:tcBorders>
              <w:top w:val="nil"/>
              <w:left w:val="nil"/>
              <w:bottom w:val="nil"/>
              <w:right w:val="nil"/>
            </w:tcBorders>
            <w:shd w:val="clear" w:color="auto" w:fill="auto"/>
            <w:noWrap/>
            <w:vAlign w:val="center"/>
            <w:hideMark/>
          </w:tcPr>
          <w:p w14:paraId="1877262E" w14:textId="1BF070D8" w:rsidR="00A16694" w:rsidRPr="006B42D6" w:rsidRDefault="00A16694" w:rsidP="004F4506">
            <w:pPr>
              <w:jc w:val="center"/>
              <w:rPr>
                <w:sz w:val="16"/>
                <w:szCs w:val="16"/>
              </w:rPr>
            </w:pPr>
            <w:r w:rsidRPr="006B42D6">
              <w:rPr>
                <w:sz w:val="16"/>
                <w:szCs w:val="16"/>
              </w:rPr>
              <w:t>28,642</w:t>
            </w:r>
          </w:p>
        </w:tc>
        <w:tc>
          <w:tcPr>
            <w:tcW w:w="654" w:type="pct"/>
            <w:tcBorders>
              <w:top w:val="nil"/>
              <w:left w:val="nil"/>
              <w:bottom w:val="nil"/>
              <w:right w:val="nil"/>
            </w:tcBorders>
            <w:shd w:val="clear" w:color="auto" w:fill="auto"/>
            <w:noWrap/>
            <w:vAlign w:val="center"/>
            <w:hideMark/>
          </w:tcPr>
          <w:p w14:paraId="2E0078FF" w14:textId="3128E913" w:rsidR="00A16694" w:rsidRPr="006B42D6" w:rsidRDefault="00A16694" w:rsidP="004F4506">
            <w:pPr>
              <w:jc w:val="center"/>
              <w:rPr>
                <w:sz w:val="16"/>
                <w:szCs w:val="16"/>
              </w:rPr>
            </w:pPr>
            <w:r w:rsidRPr="006B42D6">
              <w:rPr>
                <w:sz w:val="16"/>
                <w:szCs w:val="16"/>
              </w:rPr>
              <w:t>-</w:t>
            </w:r>
          </w:p>
        </w:tc>
        <w:tc>
          <w:tcPr>
            <w:tcW w:w="654" w:type="pct"/>
            <w:tcBorders>
              <w:top w:val="nil"/>
              <w:left w:val="nil"/>
              <w:bottom w:val="nil"/>
              <w:right w:val="nil"/>
            </w:tcBorders>
            <w:shd w:val="clear" w:color="auto" w:fill="auto"/>
            <w:noWrap/>
            <w:vAlign w:val="center"/>
            <w:hideMark/>
          </w:tcPr>
          <w:p w14:paraId="632E90A6" w14:textId="65988649" w:rsidR="00A16694" w:rsidRPr="006B42D6" w:rsidRDefault="00A16694" w:rsidP="004F4506">
            <w:pPr>
              <w:jc w:val="center"/>
              <w:rPr>
                <w:sz w:val="16"/>
                <w:szCs w:val="16"/>
              </w:rPr>
            </w:pPr>
            <w:r w:rsidRPr="006B42D6">
              <w:rPr>
                <w:sz w:val="16"/>
                <w:szCs w:val="16"/>
              </w:rPr>
              <w:t>142,939</w:t>
            </w:r>
          </w:p>
        </w:tc>
        <w:tc>
          <w:tcPr>
            <w:tcW w:w="654" w:type="pct"/>
            <w:tcBorders>
              <w:top w:val="nil"/>
              <w:left w:val="nil"/>
              <w:bottom w:val="nil"/>
              <w:right w:val="nil"/>
            </w:tcBorders>
            <w:shd w:val="clear" w:color="auto" w:fill="auto"/>
            <w:noWrap/>
            <w:vAlign w:val="center"/>
            <w:hideMark/>
          </w:tcPr>
          <w:p w14:paraId="0C700B1F" w14:textId="54C06F37" w:rsidR="00A16694" w:rsidRPr="006B42D6" w:rsidRDefault="00A16694" w:rsidP="004F4506">
            <w:pPr>
              <w:jc w:val="center"/>
              <w:rPr>
                <w:sz w:val="16"/>
                <w:szCs w:val="16"/>
              </w:rPr>
            </w:pPr>
            <w:r w:rsidRPr="006B42D6">
              <w:rPr>
                <w:sz w:val="16"/>
                <w:szCs w:val="16"/>
              </w:rPr>
              <w:t>-</w:t>
            </w:r>
          </w:p>
        </w:tc>
        <w:tc>
          <w:tcPr>
            <w:tcW w:w="662" w:type="pct"/>
            <w:tcBorders>
              <w:top w:val="nil"/>
              <w:left w:val="nil"/>
              <w:bottom w:val="nil"/>
              <w:right w:val="nil"/>
            </w:tcBorders>
            <w:shd w:val="clear" w:color="auto" w:fill="auto"/>
            <w:noWrap/>
            <w:vAlign w:val="center"/>
            <w:hideMark/>
          </w:tcPr>
          <w:p w14:paraId="41675D6F" w14:textId="7FF0DB7A" w:rsidR="00A16694" w:rsidRPr="006B42D6" w:rsidRDefault="00A16694" w:rsidP="004F4506">
            <w:pPr>
              <w:jc w:val="center"/>
              <w:rPr>
                <w:sz w:val="16"/>
                <w:szCs w:val="16"/>
              </w:rPr>
            </w:pPr>
            <w:r w:rsidRPr="006B42D6">
              <w:rPr>
                <w:sz w:val="16"/>
                <w:szCs w:val="16"/>
              </w:rPr>
              <w:t>221,155</w:t>
            </w:r>
          </w:p>
        </w:tc>
      </w:tr>
      <w:tr w:rsidR="006B42D6" w:rsidRPr="006B42D6" w14:paraId="2677CE0E" w14:textId="77777777" w:rsidTr="00E743F9">
        <w:trPr>
          <w:trHeight w:hRule="exact" w:val="312"/>
        </w:trPr>
        <w:tc>
          <w:tcPr>
            <w:tcW w:w="1069" w:type="pct"/>
            <w:tcBorders>
              <w:top w:val="nil"/>
              <w:left w:val="nil"/>
              <w:bottom w:val="nil"/>
              <w:right w:val="nil"/>
            </w:tcBorders>
            <w:shd w:val="clear" w:color="auto" w:fill="auto"/>
            <w:noWrap/>
            <w:vAlign w:val="center"/>
            <w:hideMark/>
          </w:tcPr>
          <w:p w14:paraId="5FA968F5" w14:textId="252EA7DC" w:rsidR="00A16694" w:rsidRPr="006B42D6" w:rsidRDefault="00A16694" w:rsidP="00CE4D05">
            <w:pPr>
              <w:jc w:val="left"/>
              <w:rPr>
                <w:sz w:val="16"/>
                <w:szCs w:val="16"/>
              </w:rPr>
            </w:pPr>
            <w:r w:rsidRPr="006B42D6">
              <w:rPr>
                <w:sz w:val="16"/>
                <w:szCs w:val="16"/>
              </w:rPr>
              <w:t>Tabora</w:t>
            </w:r>
          </w:p>
        </w:tc>
        <w:tc>
          <w:tcPr>
            <w:tcW w:w="654" w:type="pct"/>
            <w:tcBorders>
              <w:top w:val="nil"/>
              <w:left w:val="nil"/>
              <w:bottom w:val="nil"/>
              <w:right w:val="nil"/>
            </w:tcBorders>
            <w:shd w:val="clear" w:color="auto" w:fill="auto"/>
            <w:noWrap/>
            <w:vAlign w:val="center"/>
            <w:hideMark/>
          </w:tcPr>
          <w:p w14:paraId="012C69B5" w14:textId="444C8930" w:rsidR="00A16694" w:rsidRPr="006B42D6" w:rsidRDefault="00A16694" w:rsidP="004F4506">
            <w:pPr>
              <w:jc w:val="center"/>
              <w:rPr>
                <w:sz w:val="16"/>
                <w:szCs w:val="16"/>
              </w:rPr>
            </w:pPr>
            <w:r w:rsidRPr="006B42D6">
              <w:rPr>
                <w:sz w:val="16"/>
                <w:szCs w:val="16"/>
              </w:rPr>
              <w:t>833</w:t>
            </w:r>
          </w:p>
        </w:tc>
        <w:tc>
          <w:tcPr>
            <w:tcW w:w="654" w:type="pct"/>
            <w:tcBorders>
              <w:top w:val="nil"/>
              <w:left w:val="nil"/>
              <w:bottom w:val="nil"/>
              <w:right w:val="nil"/>
            </w:tcBorders>
            <w:shd w:val="clear" w:color="auto" w:fill="auto"/>
            <w:noWrap/>
            <w:vAlign w:val="center"/>
            <w:hideMark/>
          </w:tcPr>
          <w:p w14:paraId="1FDFEB0B" w14:textId="4107BEF1" w:rsidR="00A16694" w:rsidRPr="006B42D6" w:rsidRDefault="00A16694" w:rsidP="004F4506">
            <w:pPr>
              <w:jc w:val="center"/>
              <w:rPr>
                <w:sz w:val="16"/>
                <w:szCs w:val="16"/>
              </w:rPr>
            </w:pPr>
            <w:r w:rsidRPr="006B42D6">
              <w:rPr>
                <w:sz w:val="16"/>
                <w:szCs w:val="16"/>
              </w:rPr>
              <w:t>27,727</w:t>
            </w:r>
          </w:p>
        </w:tc>
        <w:tc>
          <w:tcPr>
            <w:tcW w:w="654" w:type="pct"/>
            <w:tcBorders>
              <w:top w:val="nil"/>
              <w:left w:val="nil"/>
              <w:bottom w:val="nil"/>
              <w:right w:val="nil"/>
            </w:tcBorders>
            <w:shd w:val="clear" w:color="auto" w:fill="auto"/>
            <w:noWrap/>
            <w:vAlign w:val="center"/>
            <w:hideMark/>
          </w:tcPr>
          <w:p w14:paraId="6C48D7DE" w14:textId="49C70D0B" w:rsidR="00A16694" w:rsidRPr="006B42D6" w:rsidRDefault="00A16694" w:rsidP="004F4506">
            <w:pPr>
              <w:jc w:val="center"/>
              <w:rPr>
                <w:sz w:val="16"/>
                <w:szCs w:val="16"/>
              </w:rPr>
            </w:pPr>
            <w:r w:rsidRPr="006B42D6">
              <w:rPr>
                <w:sz w:val="16"/>
                <w:szCs w:val="16"/>
              </w:rPr>
              <w:t>-</w:t>
            </w:r>
          </w:p>
        </w:tc>
        <w:tc>
          <w:tcPr>
            <w:tcW w:w="654" w:type="pct"/>
            <w:tcBorders>
              <w:top w:val="nil"/>
              <w:left w:val="nil"/>
              <w:bottom w:val="nil"/>
              <w:right w:val="nil"/>
            </w:tcBorders>
            <w:shd w:val="clear" w:color="auto" w:fill="auto"/>
            <w:noWrap/>
            <w:vAlign w:val="center"/>
            <w:hideMark/>
          </w:tcPr>
          <w:p w14:paraId="418E40F1" w14:textId="298C6E2B" w:rsidR="00A16694" w:rsidRPr="006B42D6" w:rsidRDefault="00A16694" w:rsidP="004F4506">
            <w:pPr>
              <w:jc w:val="center"/>
              <w:rPr>
                <w:sz w:val="16"/>
                <w:szCs w:val="16"/>
              </w:rPr>
            </w:pPr>
            <w:r w:rsidRPr="006B42D6">
              <w:rPr>
                <w:sz w:val="16"/>
                <w:szCs w:val="16"/>
              </w:rPr>
              <w:t>243,768</w:t>
            </w:r>
          </w:p>
        </w:tc>
        <w:tc>
          <w:tcPr>
            <w:tcW w:w="654" w:type="pct"/>
            <w:tcBorders>
              <w:top w:val="nil"/>
              <w:left w:val="nil"/>
              <w:bottom w:val="nil"/>
              <w:right w:val="nil"/>
            </w:tcBorders>
            <w:shd w:val="clear" w:color="auto" w:fill="auto"/>
            <w:noWrap/>
            <w:vAlign w:val="center"/>
            <w:hideMark/>
          </w:tcPr>
          <w:p w14:paraId="095E4555" w14:textId="2A3CFA40" w:rsidR="00A16694" w:rsidRPr="006B42D6" w:rsidRDefault="00A16694" w:rsidP="004F4506">
            <w:pPr>
              <w:jc w:val="center"/>
              <w:rPr>
                <w:sz w:val="16"/>
                <w:szCs w:val="16"/>
              </w:rPr>
            </w:pPr>
            <w:r w:rsidRPr="006B42D6">
              <w:rPr>
                <w:sz w:val="16"/>
                <w:szCs w:val="16"/>
              </w:rPr>
              <w:t>2,107</w:t>
            </w:r>
          </w:p>
        </w:tc>
        <w:tc>
          <w:tcPr>
            <w:tcW w:w="662" w:type="pct"/>
            <w:tcBorders>
              <w:top w:val="nil"/>
              <w:left w:val="nil"/>
              <w:bottom w:val="nil"/>
              <w:right w:val="nil"/>
            </w:tcBorders>
            <w:shd w:val="clear" w:color="auto" w:fill="auto"/>
            <w:noWrap/>
            <w:vAlign w:val="center"/>
            <w:hideMark/>
          </w:tcPr>
          <w:p w14:paraId="009670F3" w14:textId="7A7E25E3" w:rsidR="00A16694" w:rsidRPr="006B42D6" w:rsidRDefault="00A16694" w:rsidP="004F4506">
            <w:pPr>
              <w:jc w:val="center"/>
              <w:rPr>
                <w:sz w:val="16"/>
                <w:szCs w:val="16"/>
              </w:rPr>
            </w:pPr>
            <w:r w:rsidRPr="006B42D6">
              <w:rPr>
                <w:sz w:val="16"/>
                <w:szCs w:val="16"/>
              </w:rPr>
              <w:t>110,836</w:t>
            </w:r>
          </w:p>
        </w:tc>
      </w:tr>
      <w:tr w:rsidR="006B42D6" w:rsidRPr="006B42D6" w14:paraId="6EAEF328" w14:textId="77777777" w:rsidTr="00E743F9">
        <w:trPr>
          <w:trHeight w:hRule="exact" w:val="312"/>
        </w:trPr>
        <w:tc>
          <w:tcPr>
            <w:tcW w:w="1069" w:type="pct"/>
            <w:tcBorders>
              <w:top w:val="nil"/>
              <w:left w:val="nil"/>
              <w:bottom w:val="nil"/>
              <w:right w:val="nil"/>
            </w:tcBorders>
            <w:shd w:val="clear" w:color="auto" w:fill="auto"/>
            <w:noWrap/>
            <w:vAlign w:val="center"/>
            <w:hideMark/>
          </w:tcPr>
          <w:p w14:paraId="5D28B644" w14:textId="000C8132" w:rsidR="00A16694" w:rsidRPr="006B42D6" w:rsidRDefault="00A16694" w:rsidP="00CE4D05">
            <w:pPr>
              <w:jc w:val="left"/>
              <w:rPr>
                <w:sz w:val="16"/>
                <w:szCs w:val="16"/>
              </w:rPr>
            </w:pPr>
            <w:r w:rsidRPr="006B42D6">
              <w:rPr>
                <w:sz w:val="16"/>
                <w:szCs w:val="16"/>
              </w:rPr>
              <w:t>Rukwa</w:t>
            </w:r>
          </w:p>
        </w:tc>
        <w:tc>
          <w:tcPr>
            <w:tcW w:w="654" w:type="pct"/>
            <w:tcBorders>
              <w:top w:val="nil"/>
              <w:left w:val="nil"/>
              <w:bottom w:val="nil"/>
              <w:right w:val="nil"/>
            </w:tcBorders>
            <w:shd w:val="clear" w:color="auto" w:fill="auto"/>
            <w:noWrap/>
            <w:vAlign w:val="center"/>
            <w:hideMark/>
          </w:tcPr>
          <w:p w14:paraId="7DE54978" w14:textId="5F40407A" w:rsidR="00A16694" w:rsidRPr="006B42D6" w:rsidRDefault="00A16694" w:rsidP="004F4506">
            <w:pPr>
              <w:jc w:val="center"/>
              <w:rPr>
                <w:sz w:val="16"/>
                <w:szCs w:val="16"/>
              </w:rPr>
            </w:pPr>
            <w:r w:rsidRPr="006B42D6">
              <w:rPr>
                <w:sz w:val="16"/>
                <w:szCs w:val="16"/>
              </w:rPr>
              <w:t>60,268</w:t>
            </w:r>
          </w:p>
        </w:tc>
        <w:tc>
          <w:tcPr>
            <w:tcW w:w="654" w:type="pct"/>
            <w:tcBorders>
              <w:top w:val="nil"/>
              <w:left w:val="nil"/>
              <w:bottom w:val="nil"/>
              <w:right w:val="nil"/>
            </w:tcBorders>
            <w:shd w:val="clear" w:color="auto" w:fill="auto"/>
            <w:noWrap/>
            <w:vAlign w:val="center"/>
            <w:hideMark/>
          </w:tcPr>
          <w:p w14:paraId="6040855D" w14:textId="0F6DD60F" w:rsidR="00A16694" w:rsidRPr="006B42D6" w:rsidRDefault="00A16694" w:rsidP="004F4506">
            <w:pPr>
              <w:jc w:val="center"/>
              <w:rPr>
                <w:sz w:val="16"/>
                <w:szCs w:val="16"/>
              </w:rPr>
            </w:pPr>
            <w:r w:rsidRPr="006B42D6">
              <w:rPr>
                <w:sz w:val="16"/>
                <w:szCs w:val="16"/>
              </w:rPr>
              <w:t>27,320</w:t>
            </w:r>
          </w:p>
        </w:tc>
        <w:tc>
          <w:tcPr>
            <w:tcW w:w="654" w:type="pct"/>
            <w:tcBorders>
              <w:top w:val="nil"/>
              <w:left w:val="nil"/>
              <w:bottom w:val="nil"/>
              <w:right w:val="nil"/>
            </w:tcBorders>
            <w:shd w:val="clear" w:color="auto" w:fill="auto"/>
            <w:noWrap/>
            <w:vAlign w:val="center"/>
            <w:hideMark/>
          </w:tcPr>
          <w:p w14:paraId="26493BE5" w14:textId="059467F9" w:rsidR="00A16694" w:rsidRPr="006B42D6" w:rsidRDefault="00A16694" w:rsidP="004F4506">
            <w:pPr>
              <w:jc w:val="center"/>
              <w:rPr>
                <w:sz w:val="16"/>
                <w:szCs w:val="16"/>
              </w:rPr>
            </w:pPr>
            <w:r w:rsidRPr="006B42D6">
              <w:rPr>
                <w:sz w:val="16"/>
                <w:szCs w:val="16"/>
              </w:rPr>
              <w:t>-</w:t>
            </w:r>
          </w:p>
        </w:tc>
        <w:tc>
          <w:tcPr>
            <w:tcW w:w="654" w:type="pct"/>
            <w:tcBorders>
              <w:top w:val="nil"/>
              <w:left w:val="nil"/>
              <w:bottom w:val="nil"/>
              <w:right w:val="nil"/>
            </w:tcBorders>
            <w:shd w:val="clear" w:color="auto" w:fill="auto"/>
            <w:noWrap/>
            <w:vAlign w:val="center"/>
            <w:hideMark/>
          </w:tcPr>
          <w:p w14:paraId="628B8460" w14:textId="324C84C8" w:rsidR="00A16694" w:rsidRPr="006B42D6" w:rsidRDefault="00A16694" w:rsidP="004F4506">
            <w:pPr>
              <w:jc w:val="center"/>
              <w:rPr>
                <w:sz w:val="16"/>
                <w:szCs w:val="16"/>
              </w:rPr>
            </w:pPr>
            <w:r w:rsidRPr="006B42D6">
              <w:rPr>
                <w:sz w:val="16"/>
                <w:szCs w:val="16"/>
              </w:rPr>
              <w:t>75,441</w:t>
            </w:r>
          </w:p>
        </w:tc>
        <w:tc>
          <w:tcPr>
            <w:tcW w:w="654" w:type="pct"/>
            <w:tcBorders>
              <w:top w:val="nil"/>
              <w:left w:val="nil"/>
              <w:bottom w:val="nil"/>
              <w:right w:val="nil"/>
            </w:tcBorders>
            <w:shd w:val="clear" w:color="auto" w:fill="auto"/>
            <w:noWrap/>
            <w:vAlign w:val="center"/>
            <w:hideMark/>
          </w:tcPr>
          <w:p w14:paraId="1D623BF5" w14:textId="4D7E5B01" w:rsidR="00A16694" w:rsidRPr="006B42D6" w:rsidRDefault="00A16694" w:rsidP="004F4506">
            <w:pPr>
              <w:jc w:val="center"/>
              <w:rPr>
                <w:sz w:val="16"/>
                <w:szCs w:val="16"/>
              </w:rPr>
            </w:pPr>
            <w:r w:rsidRPr="006B42D6">
              <w:rPr>
                <w:sz w:val="16"/>
                <w:szCs w:val="16"/>
              </w:rPr>
              <w:t>57,259</w:t>
            </w:r>
          </w:p>
        </w:tc>
        <w:tc>
          <w:tcPr>
            <w:tcW w:w="662" w:type="pct"/>
            <w:tcBorders>
              <w:top w:val="nil"/>
              <w:left w:val="nil"/>
              <w:bottom w:val="nil"/>
              <w:right w:val="nil"/>
            </w:tcBorders>
            <w:shd w:val="clear" w:color="auto" w:fill="auto"/>
            <w:noWrap/>
            <w:vAlign w:val="center"/>
            <w:hideMark/>
          </w:tcPr>
          <w:p w14:paraId="5CA2DAC1" w14:textId="653A5827" w:rsidR="00A16694" w:rsidRPr="006B42D6" w:rsidRDefault="00A16694" w:rsidP="004F4506">
            <w:pPr>
              <w:jc w:val="center"/>
              <w:rPr>
                <w:sz w:val="16"/>
                <w:szCs w:val="16"/>
              </w:rPr>
            </w:pPr>
            <w:r w:rsidRPr="006B42D6">
              <w:rPr>
                <w:sz w:val="16"/>
                <w:szCs w:val="16"/>
              </w:rPr>
              <w:t>102,138</w:t>
            </w:r>
          </w:p>
        </w:tc>
      </w:tr>
      <w:tr w:rsidR="006B42D6" w:rsidRPr="006B42D6" w14:paraId="4A0EA220" w14:textId="77777777" w:rsidTr="00E743F9">
        <w:trPr>
          <w:trHeight w:hRule="exact" w:val="312"/>
        </w:trPr>
        <w:tc>
          <w:tcPr>
            <w:tcW w:w="1069" w:type="pct"/>
            <w:tcBorders>
              <w:top w:val="nil"/>
              <w:left w:val="nil"/>
              <w:bottom w:val="nil"/>
              <w:right w:val="nil"/>
            </w:tcBorders>
            <w:shd w:val="clear" w:color="auto" w:fill="auto"/>
            <w:noWrap/>
            <w:vAlign w:val="center"/>
            <w:hideMark/>
          </w:tcPr>
          <w:p w14:paraId="48B32597" w14:textId="7193A07F" w:rsidR="00A16694" w:rsidRPr="006B42D6" w:rsidRDefault="00A16694" w:rsidP="00CE4D05">
            <w:pPr>
              <w:jc w:val="left"/>
              <w:rPr>
                <w:sz w:val="16"/>
                <w:szCs w:val="16"/>
              </w:rPr>
            </w:pPr>
            <w:r w:rsidRPr="006B42D6">
              <w:rPr>
                <w:sz w:val="16"/>
                <w:szCs w:val="16"/>
              </w:rPr>
              <w:t>Kigoma</w:t>
            </w:r>
          </w:p>
        </w:tc>
        <w:tc>
          <w:tcPr>
            <w:tcW w:w="654" w:type="pct"/>
            <w:tcBorders>
              <w:top w:val="nil"/>
              <w:left w:val="nil"/>
              <w:bottom w:val="nil"/>
              <w:right w:val="nil"/>
            </w:tcBorders>
            <w:shd w:val="clear" w:color="auto" w:fill="auto"/>
            <w:noWrap/>
            <w:vAlign w:val="center"/>
            <w:hideMark/>
          </w:tcPr>
          <w:p w14:paraId="1BB5E69A" w14:textId="702CDC50" w:rsidR="00A16694" w:rsidRPr="006B42D6" w:rsidRDefault="00A16694" w:rsidP="004F4506">
            <w:pPr>
              <w:jc w:val="center"/>
              <w:rPr>
                <w:sz w:val="16"/>
                <w:szCs w:val="16"/>
              </w:rPr>
            </w:pPr>
            <w:r w:rsidRPr="006B42D6">
              <w:rPr>
                <w:sz w:val="16"/>
                <w:szCs w:val="16"/>
              </w:rPr>
              <w:t>131,755</w:t>
            </w:r>
          </w:p>
        </w:tc>
        <w:tc>
          <w:tcPr>
            <w:tcW w:w="654" w:type="pct"/>
            <w:tcBorders>
              <w:top w:val="nil"/>
              <w:left w:val="nil"/>
              <w:bottom w:val="nil"/>
              <w:right w:val="nil"/>
            </w:tcBorders>
            <w:shd w:val="clear" w:color="auto" w:fill="auto"/>
            <w:noWrap/>
            <w:vAlign w:val="center"/>
            <w:hideMark/>
          </w:tcPr>
          <w:p w14:paraId="2C5C6622" w14:textId="7E778635" w:rsidR="00A16694" w:rsidRPr="006B42D6" w:rsidRDefault="00A16694" w:rsidP="004F4506">
            <w:pPr>
              <w:jc w:val="center"/>
              <w:rPr>
                <w:sz w:val="16"/>
                <w:szCs w:val="16"/>
              </w:rPr>
            </w:pPr>
            <w:r w:rsidRPr="006B42D6">
              <w:rPr>
                <w:sz w:val="16"/>
                <w:szCs w:val="16"/>
              </w:rPr>
              <w:t>1,542</w:t>
            </w:r>
          </w:p>
        </w:tc>
        <w:tc>
          <w:tcPr>
            <w:tcW w:w="654" w:type="pct"/>
            <w:tcBorders>
              <w:top w:val="nil"/>
              <w:left w:val="nil"/>
              <w:bottom w:val="nil"/>
              <w:right w:val="nil"/>
            </w:tcBorders>
            <w:shd w:val="clear" w:color="auto" w:fill="auto"/>
            <w:noWrap/>
            <w:vAlign w:val="center"/>
            <w:hideMark/>
          </w:tcPr>
          <w:p w14:paraId="6FC6E510" w14:textId="1165BBE8" w:rsidR="00A16694" w:rsidRPr="006B42D6" w:rsidRDefault="00A16694" w:rsidP="004F4506">
            <w:pPr>
              <w:jc w:val="center"/>
              <w:rPr>
                <w:sz w:val="16"/>
                <w:szCs w:val="16"/>
              </w:rPr>
            </w:pPr>
            <w:r w:rsidRPr="006B42D6">
              <w:rPr>
                <w:sz w:val="16"/>
                <w:szCs w:val="16"/>
              </w:rPr>
              <w:t>-</w:t>
            </w:r>
          </w:p>
        </w:tc>
        <w:tc>
          <w:tcPr>
            <w:tcW w:w="654" w:type="pct"/>
            <w:tcBorders>
              <w:top w:val="nil"/>
              <w:left w:val="nil"/>
              <w:bottom w:val="nil"/>
              <w:right w:val="nil"/>
            </w:tcBorders>
            <w:shd w:val="clear" w:color="auto" w:fill="auto"/>
            <w:noWrap/>
            <w:vAlign w:val="center"/>
            <w:hideMark/>
          </w:tcPr>
          <w:p w14:paraId="3C4E984A" w14:textId="50FB06E5" w:rsidR="00A16694" w:rsidRPr="006B42D6" w:rsidRDefault="00A16694" w:rsidP="004F4506">
            <w:pPr>
              <w:jc w:val="center"/>
              <w:rPr>
                <w:sz w:val="16"/>
                <w:szCs w:val="16"/>
              </w:rPr>
            </w:pPr>
            <w:r w:rsidRPr="006B42D6">
              <w:rPr>
                <w:sz w:val="16"/>
                <w:szCs w:val="16"/>
              </w:rPr>
              <w:t>98,029</w:t>
            </w:r>
          </w:p>
        </w:tc>
        <w:tc>
          <w:tcPr>
            <w:tcW w:w="654" w:type="pct"/>
            <w:tcBorders>
              <w:top w:val="nil"/>
              <w:left w:val="nil"/>
              <w:bottom w:val="nil"/>
              <w:right w:val="nil"/>
            </w:tcBorders>
            <w:shd w:val="clear" w:color="auto" w:fill="auto"/>
            <w:noWrap/>
            <w:vAlign w:val="center"/>
            <w:hideMark/>
          </w:tcPr>
          <w:p w14:paraId="2E3523EE" w14:textId="61CA0F07" w:rsidR="00A16694" w:rsidRPr="006B42D6" w:rsidRDefault="00A16694" w:rsidP="004F4506">
            <w:pPr>
              <w:jc w:val="center"/>
              <w:rPr>
                <w:sz w:val="16"/>
                <w:szCs w:val="16"/>
              </w:rPr>
            </w:pPr>
            <w:r w:rsidRPr="006B42D6">
              <w:rPr>
                <w:sz w:val="16"/>
                <w:szCs w:val="16"/>
              </w:rPr>
              <w:t>10,112</w:t>
            </w:r>
          </w:p>
        </w:tc>
        <w:tc>
          <w:tcPr>
            <w:tcW w:w="662" w:type="pct"/>
            <w:tcBorders>
              <w:top w:val="nil"/>
              <w:left w:val="nil"/>
              <w:bottom w:val="nil"/>
              <w:right w:val="nil"/>
            </w:tcBorders>
            <w:shd w:val="clear" w:color="auto" w:fill="auto"/>
            <w:noWrap/>
            <w:vAlign w:val="center"/>
            <w:hideMark/>
          </w:tcPr>
          <w:p w14:paraId="47B01B28" w14:textId="28BC4B78" w:rsidR="00A16694" w:rsidRPr="006B42D6" w:rsidRDefault="00A16694" w:rsidP="004F4506">
            <w:pPr>
              <w:jc w:val="center"/>
              <w:rPr>
                <w:sz w:val="16"/>
                <w:szCs w:val="16"/>
              </w:rPr>
            </w:pPr>
            <w:r w:rsidRPr="006B42D6">
              <w:rPr>
                <w:sz w:val="16"/>
                <w:szCs w:val="16"/>
              </w:rPr>
              <w:t>213,732</w:t>
            </w:r>
          </w:p>
        </w:tc>
      </w:tr>
      <w:tr w:rsidR="006B42D6" w:rsidRPr="006B42D6" w14:paraId="661A5952" w14:textId="77777777" w:rsidTr="00E743F9">
        <w:trPr>
          <w:trHeight w:hRule="exact" w:val="312"/>
        </w:trPr>
        <w:tc>
          <w:tcPr>
            <w:tcW w:w="1069" w:type="pct"/>
            <w:tcBorders>
              <w:top w:val="nil"/>
              <w:left w:val="nil"/>
              <w:bottom w:val="nil"/>
              <w:right w:val="nil"/>
            </w:tcBorders>
            <w:shd w:val="clear" w:color="auto" w:fill="auto"/>
            <w:noWrap/>
            <w:vAlign w:val="center"/>
            <w:hideMark/>
          </w:tcPr>
          <w:p w14:paraId="2E6E823D" w14:textId="3CD952B0" w:rsidR="00A16694" w:rsidRPr="006B42D6" w:rsidRDefault="00A16694" w:rsidP="00CE4D05">
            <w:pPr>
              <w:jc w:val="left"/>
              <w:rPr>
                <w:sz w:val="16"/>
                <w:szCs w:val="16"/>
              </w:rPr>
            </w:pPr>
            <w:r w:rsidRPr="006B42D6">
              <w:rPr>
                <w:sz w:val="16"/>
                <w:szCs w:val="16"/>
              </w:rPr>
              <w:t>Shinyanga</w:t>
            </w:r>
          </w:p>
        </w:tc>
        <w:tc>
          <w:tcPr>
            <w:tcW w:w="654" w:type="pct"/>
            <w:tcBorders>
              <w:top w:val="nil"/>
              <w:left w:val="nil"/>
              <w:bottom w:val="nil"/>
              <w:right w:val="nil"/>
            </w:tcBorders>
            <w:shd w:val="clear" w:color="auto" w:fill="auto"/>
            <w:noWrap/>
            <w:vAlign w:val="center"/>
            <w:hideMark/>
          </w:tcPr>
          <w:p w14:paraId="6087251E" w14:textId="79E03DA0" w:rsidR="00A16694" w:rsidRPr="006B42D6" w:rsidRDefault="00A16694" w:rsidP="004F4506">
            <w:pPr>
              <w:jc w:val="center"/>
              <w:rPr>
                <w:sz w:val="16"/>
                <w:szCs w:val="16"/>
              </w:rPr>
            </w:pPr>
            <w:r w:rsidRPr="006B42D6">
              <w:rPr>
                <w:sz w:val="16"/>
                <w:szCs w:val="16"/>
              </w:rPr>
              <w:t>4,932</w:t>
            </w:r>
          </w:p>
        </w:tc>
        <w:tc>
          <w:tcPr>
            <w:tcW w:w="654" w:type="pct"/>
            <w:tcBorders>
              <w:top w:val="nil"/>
              <w:left w:val="nil"/>
              <w:bottom w:val="nil"/>
              <w:right w:val="nil"/>
            </w:tcBorders>
            <w:shd w:val="clear" w:color="auto" w:fill="auto"/>
            <w:noWrap/>
            <w:vAlign w:val="center"/>
            <w:hideMark/>
          </w:tcPr>
          <w:p w14:paraId="3BA7CA43" w14:textId="372A2EEA" w:rsidR="00A16694" w:rsidRPr="006B42D6" w:rsidRDefault="00A16694" w:rsidP="004F4506">
            <w:pPr>
              <w:jc w:val="center"/>
              <w:rPr>
                <w:sz w:val="16"/>
                <w:szCs w:val="16"/>
              </w:rPr>
            </w:pPr>
            <w:r w:rsidRPr="006B42D6">
              <w:rPr>
                <w:sz w:val="16"/>
                <w:szCs w:val="16"/>
              </w:rPr>
              <w:t>12,616</w:t>
            </w:r>
          </w:p>
        </w:tc>
        <w:tc>
          <w:tcPr>
            <w:tcW w:w="654" w:type="pct"/>
            <w:tcBorders>
              <w:top w:val="nil"/>
              <w:left w:val="nil"/>
              <w:bottom w:val="nil"/>
              <w:right w:val="nil"/>
            </w:tcBorders>
            <w:shd w:val="clear" w:color="auto" w:fill="auto"/>
            <w:noWrap/>
            <w:vAlign w:val="center"/>
            <w:hideMark/>
          </w:tcPr>
          <w:p w14:paraId="2F07486E" w14:textId="5CB929C6" w:rsidR="00A16694" w:rsidRPr="006B42D6" w:rsidRDefault="00A16694" w:rsidP="004F4506">
            <w:pPr>
              <w:jc w:val="center"/>
              <w:rPr>
                <w:sz w:val="16"/>
                <w:szCs w:val="16"/>
              </w:rPr>
            </w:pPr>
            <w:r w:rsidRPr="006B42D6">
              <w:rPr>
                <w:sz w:val="16"/>
                <w:szCs w:val="16"/>
              </w:rPr>
              <w:t>-</w:t>
            </w:r>
          </w:p>
        </w:tc>
        <w:tc>
          <w:tcPr>
            <w:tcW w:w="654" w:type="pct"/>
            <w:tcBorders>
              <w:top w:val="nil"/>
              <w:left w:val="nil"/>
              <w:bottom w:val="nil"/>
              <w:right w:val="nil"/>
            </w:tcBorders>
            <w:shd w:val="clear" w:color="auto" w:fill="auto"/>
            <w:noWrap/>
            <w:vAlign w:val="center"/>
            <w:hideMark/>
          </w:tcPr>
          <w:p w14:paraId="45726081" w14:textId="60F839A0" w:rsidR="00A16694" w:rsidRPr="006B42D6" w:rsidRDefault="00A16694" w:rsidP="004F4506">
            <w:pPr>
              <w:jc w:val="center"/>
              <w:rPr>
                <w:sz w:val="16"/>
                <w:szCs w:val="16"/>
              </w:rPr>
            </w:pPr>
            <w:r w:rsidRPr="006B42D6">
              <w:rPr>
                <w:sz w:val="16"/>
                <w:szCs w:val="16"/>
              </w:rPr>
              <w:t>184,779</w:t>
            </w:r>
          </w:p>
        </w:tc>
        <w:tc>
          <w:tcPr>
            <w:tcW w:w="654" w:type="pct"/>
            <w:tcBorders>
              <w:top w:val="nil"/>
              <w:left w:val="nil"/>
              <w:bottom w:val="nil"/>
              <w:right w:val="nil"/>
            </w:tcBorders>
            <w:shd w:val="clear" w:color="auto" w:fill="auto"/>
            <w:noWrap/>
            <w:vAlign w:val="center"/>
            <w:hideMark/>
          </w:tcPr>
          <w:p w14:paraId="4FED05B6" w14:textId="5CA748D7" w:rsidR="00A16694" w:rsidRPr="006B42D6" w:rsidRDefault="00A16694" w:rsidP="004F4506">
            <w:pPr>
              <w:jc w:val="center"/>
              <w:rPr>
                <w:sz w:val="16"/>
                <w:szCs w:val="16"/>
              </w:rPr>
            </w:pPr>
            <w:r w:rsidRPr="006B42D6">
              <w:rPr>
                <w:sz w:val="16"/>
                <w:szCs w:val="16"/>
              </w:rPr>
              <w:t>-</w:t>
            </w:r>
          </w:p>
        </w:tc>
        <w:tc>
          <w:tcPr>
            <w:tcW w:w="662" w:type="pct"/>
            <w:tcBorders>
              <w:top w:val="nil"/>
              <w:left w:val="nil"/>
              <w:bottom w:val="nil"/>
              <w:right w:val="nil"/>
            </w:tcBorders>
            <w:shd w:val="clear" w:color="auto" w:fill="auto"/>
            <w:noWrap/>
            <w:vAlign w:val="center"/>
            <w:hideMark/>
          </w:tcPr>
          <w:p w14:paraId="5300F095" w14:textId="220EB0AB" w:rsidR="00A16694" w:rsidRPr="006B42D6" w:rsidRDefault="00A16694" w:rsidP="004F4506">
            <w:pPr>
              <w:jc w:val="center"/>
              <w:rPr>
                <w:sz w:val="16"/>
                <w:szCs w:val="16"/>
              </w:rPr>
            </w:pPr>
            <w:r w:rsidRPr="006B42D6">
              <w:rPr>
                <w:sz w:val="16"/>
                <w:szCs w:val="16"/>
              </w:rPr>
              <w:t>104,069</w:t>
            </w:r>
          </w:p>
        </w:tc>
      </w:tr>
      <w:tr w:rsidR="006B42D6" w:rsidRPr="006B42D6" w14:paraId="30A175EE" w14:textId="77777777" w:rsidTr="00E743F9">
        <w:trPr>
          <w:trHeight w:hRule="exact" w:val="312"/>
        </w:trPr>
        <w:tc>
          <w:tcPr>
            <w:tcW w:w="1069" w:type="pct"/>
            <w:tcBorders>
              <w:top w:val="nil"/>
              <w:left w:val="nil"/>
              <w:bottom w:val="nil"/>
              <w:right w:val="nil"/>
            </w:tcBorders>
            <w:shd w:val="clear" w:color="auto" w:fill="auto"/>
            <w:noWrap/>
            <w:vAlign w:val="center"/>
            <w:hideMark/>
          </w:tcPr>
          <w:p w14:paraId="1BE18CC9" w14:textId="2E17BCFB" w:rsidR="00A16694" w:rsidRPr="006B42D6" w:rsidRDefault="00A16694" w:rsidP="00CE4D05">
            <w:pPr>
              <w:jc w:val="left"/>
              <w:rPr>
                <w:sz w:val="16"/>
                <w:szCs w:val="16"/>
              </w:rPr>
            </w:pPr>
            <w:r w:rsidRPr="006B42D6">
              <w:rPr>
                <w:sz w:val="16"/>
                <w:szCs w:val="16"/>
              </w:rPr>
              <w:t>Kagera</w:t>
            </w:r>
          </w:p>
        </w:tc>
        <w:tc>
          <w:tcPr>
            <w:tcW w:w="654" w:type="pct"/>
            <w:tcBorders>
              <w:top w:val="nil"/>
              <w:left w:val="nil"/>
              <w:bottom w:val="nil"/>
              <w:right w:val="nil"/>
            </w:tcBorders>
            <w:shd w:val="clear" w:color="auto" w:fill="auto"/>
            <w:noWrap/>
            <w:vAlign w:val="center"/>
            <w:hideMark/>
          </w:tcPr>
          <w:p w14:paraId="36E2C75F" w14:textId="0E10B3CD" w:rsidR="00A16694" w:rsidRPr="006B42D6" w:rsidRDefault="00A16694" w:rsidP="004F4506">
            <w:pPr>
              <w:jc w:val="center"/>
              <w:rPr>
                <w:sz w:val="16"/>
                <w:szCs w:val="16"/>
              </w:rPr>
            </w:pPr>
            <w:r w:rsidRPr="006B42D6">
              <w:rPr>
                <w:sz w:val="16"/>
                <w:szCs w:val="16"/>
              </w:rPr>
              <w:t>154,012</w:t>
            </w:r>
          </w:p>
        </w:tc>
        <w:tc>
          <w:tcPr>
            <w:tcW w:w="654" w:type="pct"/>
            <w:tcBorders>
              <w:top w:val="nil"/>
              <w:left w:val="nil"/>
              <w:bottom w:val="nil"/>
              <w:right w:val="nil"/>
            </w:tcBorders>
            <w:shd w:val="clear" w:color="auto" w:fill="auto"/>
            <w:noWrap/>
            <w:vAlign w:val="center"/>
            <w:hideMark/>
          </w:tcPr>
          <w:p w14:paraId="350764E0" w14:textId="57CF0971" w:rsidR="00A16694" w:rsidRPr="006B42D6" w:rsidRDefault="00A16694" w:rsidP="004F4506">
            <w:pPr>
              <w:jc w:val="center"/>
              <w:rPr>
                <w:sz w:val="16"/>
                <w:szCs w:val="16"/>
              </w:rPr>
            </w:pPr>
            <w:r w:rsidRPr="006B42D6">
              <w:rPr>
                <w:sz w:val="16"/>
                <w:szCs w:val="16"/>
              </w:rPr>
              <w:t>-</w:t>
            </w:r>
          </w:p>
        </w:tc>
        <w:tc>
          <w:tcPr>
            <w:tcW w:w="654" w:type="pct"/>
            <w:tcBorders>
              <w:top w:val="nil"/>
              <w:left w:val="nil"/>
              <w:bottom w:val="nil"/>
              <w:right w:val="nil"/>
            </w:tcBorders>
            <w:shd w:val="clear" w:color="auto" w:fill="auto"/>
            <w:noWrap/>
            <w:vAlign w:val="center"/>
            <w:hideMark/>
          </w:tcPr>
          <w:p w14:paraId="77B5A549" w14:textId="623FDCDF" w:rsidR="00A16694" w:rsidRPr="006B42D6" w:rsidRDefault="00A16694" w:rsidP="004F4506">
            <w:pPr>
              <w:jc w:val="center"/>
              <w:rPr>
                <w:sz w:val="16"/>
                <w:szCs w:val="16"/>
              </w:rPr>
            </w:pPr>
            <w:r w:rsidRPr="006B42D6">
              <w:rPr>
                <w:sz w:val="16"/>
                <w:szCs w:val="16"/>
              </w:rPr>
              <w:t>-</w:t>
            </w:r>
          </w:p>
        </w:tc>
        <w:tc>
          <w:tcPr>
            <w:tcW w:w="654" w:type="pct"/>
            <w:tcBorders>
              <w:top w:val="nil"/>
              <w:left w:val="nil"/>
              <w:bottom w:val="nil"/>
              <w:right w:val="nil"/>
            </w:tcBorders>
            <w:shd w:val="clear" w:color="auto" w:fill="auto"/>
            <w:noWrap/>
            <w:vAlign w:val="center"/>
            <w:hideMark/>
          </w:tcPr>
          <w:p w14:paraId="0E92DF67" w14:textId="4747C57F" w:rsidR="00A16694" w:rsidRPr="006B42D6" w:rsidRDefault="00A16694" w:rsidP="004F4506">
            <w:pPr>
              <w:jc w:val="center"/>
              <w:rPr>
                <w:sz w:val="16"/>
                <w:szCs w:val="16"/>
              </w:rPr>
            </w:pPr>
            <w:r w:rsidRPr="006B42D6">
              <w:rPr>
                <w:sz w:val="16"/>
                <w:szCs w:val="16"/>
              </w:rPr>
              <w:t>132,995</w:t>
            </w:r>
          </w:p>
        </w:tc>
        <w:tc>
          <w:tcPr>
            <w:tcW w:w="654" w:type="pct"/>
            <w:tcBorders>
              <w:top w:val="nil"/>
              <w:left w:val="nil"/>
              <w:bottom w:val="nil"/>
              <w:right w:val="nil"/>
            </w:tcBorders>
            <w:shd w:val="clear" w:color="auto" w:fill="auto"/>
            <w:noWrap/>
            <w:vAlign w:val="center"/>
            <w:hideMark/>
          </w:tcPr>
          <w:p w14:paraId="33912BE4" w14:textId="1F315B6B" w:rsidR="00A16694" w:rsidRPr="006B42D6" w:rsidRDefault="00A16694" w:rsidP="004F4506">
            <w:pPr>
              <w:jc w:val="center"/>
              <w:rPr>
                <w:sz w:val="16"/>
                <w:szCs w:val="16"/>
              </w:rPr>
            </w:pPr>
            <w:r w:rsidRPr="006B42D6">
              <w:rPr>
                <w:sz w:val="16"/>
                <w:szCs w:val="16"/>
              </w:rPr>
              <w:t>-</w:t>
            </w:r>
          </w:p>
        </w:tc>
        <w:tc>
          <w:tcPr>
            <w:tcW w:w="662" w:type="pct"/>
            <w:tcBorders>
              <w:top w:val="nil"/>
              <w:left w:val="nil"/>
              <w:bottom w:val="nil"/>
              <w:right w:val="nil"/>
            </w:tcBorders>
            <w:shd w:val="clear" w:color="auto" w:fill="auto"/>
            <w:noWrap/>
            <w:vAlign w:val="center"/>
            <w:hideMark/>
          </w:tcPr>
          <w:p w14:paraId="634D8984" w14:textId="0DAF2C7F" w:rsidR="00A16694" w:rsidRPr="006B42D6" w:rsidRDefault="00A16694" w:rsidP="004F4506">
            <w:pPr>
              <w:jc w:val="center"/>
              <w:rPr>
                <w:sz w:val="16"/>
                <w:szCs w:val="16"/>
              </w:rPr>
            </w:pPr>
            <w:r w:rsidRPr="006B42D6">
              <w:rPr>
                <w:sz w:val="16"/>
                <w:szCs w:val="16"/>
              </w:rPr>
              <w:t>87,547</w:t>
            </w:r>
          </w:p>
        </w:tc>
      </w:tr>
      <w:tr w:rsidR="006B42D6" w:rsidRPr="006B42D6" w14:paraId="3D2AE520" w14:textId="77777777" w:rsidTr="00E743F9">
        <w:trPr>
          <w:trHeight w:hRule="exact" w:val="312"/>
        </w:trPr>
        <w:tc>
          <w:tcPr>
            <w:tcW w:w="1069" w:type="pct"/>
            <w:tcBorders>
              <w:top w:val="nil"/>
              <w:left w:val="nil"/>
              <w:bottom w:val="nil"/>
              <w:right w:val="nil"/>
            </w:tcBorders>
            <w:shd w:val="clear" w:color="auto" w:fill="auto"/>
            <w:noWrap/>
            <w:vAlign w:val="center"/>
            <w:hideMark/>
          </w:tcPr>
          <w:p w14:paraId="3D35F14B" w14:textId="70204107" w:rsidR="00A16694" w:rsidRPr="006B42D6" w:rsidRDefault="00A16694" w:rsidP="00CE4D05">
            <w:pPr>
              <w:jc w:val="left"/>
              <w:rPr>
                <w:sz w:val="16"/>
                <w:szCs w:val="16"/>
              </w:rPr>
            </w:pPr>
            <w:r w:rsidRPr="006B42D6">
              <w:rPr>
                <w:sz w:val="16"/>
                <w:szCs w:val="16"/>
              </w:rPr>
              <w:t>Mwanza</w:t>
            </w:r>
          </w:p>
        </w:tc>
        <w:tc>
          <w:tcPr>
            <w:tcW w:w="654" w:type="pct"/>
            <w:tcBorders>
              <w:top w:val="nil"/>
              <w:left w:val="nil"/>
              <w:bottom w:val="nil"/>
              <w:right w:val="nil"/>
            </w:tcBorders>
            <w:shd w:val="clear" w:color="auto" w:fill="auto"/>
            <w:noWrap/>
            <w:vAlign w:val="center"/>
            <w:hideMark/>
          </w:tcPr>
          <w:p w14:paraId="5976AF2C" w14:textId="1141F5E9" w:rsidR="00A16694" w:rsidRPr="006B42D6" w:rsidRDefault="00A16694" w:rsidP="004F4506">
            <w:pPr>
              <w:jc w:val="center"/>
              <w:rPr>
                <w:sz w:val="16"/>
                <w:szCs w:val="16"/>
              </w:rPr>
            </w:pPr>
            <w:r w:rsidRPr="006B42D6">
              <w:rPr>
                <w:sz w:val="16"/>
                <w:szCs w:val="16"/>
              </w:rPr>
              <w:t>37,051</w:t>
            </w:r>
          </w:p>
        </w:tc>
        <w:tc>
          <w:tcPr>
            <w:tcW w:w="654" w:type="pct"/>
            <w:tcBorders>
              <w:top w:val="nil"/>
              <w:left w:val="nil"/>
              <w:bottom w:val="nil"/>
              <w:right w:val="nil"/>
            </w:tcBorders>
            <w:shd w:val="clear" w:color="auto" w:fill="auto"/>
            <w:noWrap/>
            <w:vAlign w:val="center"/>
            <w:hideMark/>
          </w:tcPr>
          <w:p w14:paraId="392B1E86" w14:textId="156B2639" w:rsidR="00A16694" w:rsidRPr="006B42D6" w:rsidRDefault="00A16694" w:rsidP="004F4506">
            <w:pPr>
              <w:jc w:val="center"/>
              <w:rPr>
                <w:sz w:val="16"/>
                <w:szCs w:val="16"/>
              </w:rPr>
            </w:pPr>
            <w:r w:rsidRPr="006B42D6">
              <w:rPr>
                <w:sz w:val="16"/>
                <w:szCs w:val="16"/>
              </w:rPr>
              <w:t>4,820</w:t>
            </w:r>
          </w:p>
        </w:tc>
        <w:tc>
          <w:tcPr>
            <w:tcW w:w="654" w:type="pct"/>
            <w:tcBorders>
              <w:top w:val="nil"/>
              <w:left w:val="nil"/>
              <w:bottom w:val="nil"/>
              <w:right w:val="nil"/>
            </w:tcBorders>
            <w:shd w:val="clear" w:color="auto" w:fill="auto"/>
            <w:noWrap/>
            <w:vAlign w:val="center"/>
            <w:hideMark/>
          </w:tcPr>
          <w:p w14:paraId="463ED7F7" w14:textId="604ACBF1" w:rsidR="00A16694" w:rsidRPr="006B42D6" w:rsidRDefault="00A16694" w:rsidP="004F4506">
            <w:pPr>
              <w:jc w:val="center"/>
              <w:rPr>
                <w:sz w:val="16"/>
                <w:szCs w:val="16"/>
              </w:rPr>
            </w:pPr>
            <w:r w:rsidRPr="006B42D6">
              <w:rPr>
                <w:sz w:val="16"/>
                <w:szCs w:val="16"/>
              </w:rPr>
              <w:t>-</w:t>
            </w:r>
          </w:p>
        </w:tc>
        <w:tc>
          <w:tcPr>
            <w:tcW w:w="654" w:type="pct"/>
            <w:tcBorders>
              <w:top w:val="nil"/>
              <w:left w:val="nil"/>
              <w:bottom w:val="nil"/>
              <w:right w:val="nil"/>
            </w:tcBorders>
            <w:shd w:val="clear" w:color="auto" w:fill="auto"/>
            <w:noWrap/>
            <w:vAlign w:val="center"/>
            <w:hideMark/>
          </w:tcPr>
          <w:p w14:paraId="73EFFE09" w14:textId="0A303498" w:rsidR="00A16694" w:rsidRPr="006B42D6" w:rsidRDefault="00A16694" w:rsidP="004F4506">
            <w:pPr>
              <w:jc w:val="center"/>
              <w:rPr>
                <w:sz w:val="16"/>
                <w:szCs w:val="16"/>
              </w:rPr>
            </w:pPr>
            <w:r w:rsidRPr="006B42D6">
              <w:rPr>
                <w:sz w:val="16"/>
                <w:szCs w:val="16"/>
              </w:rPr>
              <w:t>287,270</w:t>
            </w:r>
          </w:p>
        </w:tc>
        <w:tc>
          <w:tcPr>
            <w:tcW w:w="654" w:type="pct"/>
            <w:tcBorders>
              <w:top w:val="nil"/>
              <w:left w:val="nil"/>
              <w:bottom w:val="nil"/>
              <w:right w:val="nil"/>
            </w:tcBorders>
            <w:shd w:val="clear" w:color="auto" w:fill="auto"/>
            <w:noWrap/>
            <w:vAlign w:val="center"/>
            <w:hideMark/>
          </w:tcPr>
          <w:p w14:paraId="58F1A145" w14:textId="2085A042" w:rsidR="00A16694" w:rsidRPr="006B42D6" w:rsidRDefault="00A16694" w:rsidP="004F4506">
            <w:pPr>
              <w:jc w:val="center"/>
              <w:rPr>
                <w:sz w:val="16"/>
                <w:szCs w:val="16"/>
              </w:rPr>
            </w:pPr>
            <w:r w:rsidRPr="006B42D6">
              <w:rPr>
                <w:sz w:val="16"/>
                <w:szCs w:val="16"/>
              </w:rPr>
              <w:t>-</w:t>
            </w:r>
          </w:p>
        </w:tc>
        <w:tc>
          <w:tcPr>
            <w:tcW w:w="662" w:type="pct"/>
            <w:tcBorders>
              <w:top w:val="nil"/>
              <w:left w:val="nil"/>
              <w:bottom w:val="nil"/>
              <w:right w:val="nil"/>
            </w:tcBorders>
            <w:shd w:val="clear" w:color="auto" w:fill="auto"/>
            <w:noWrap/>
            <w:vAlign w:val="center"/>
            <w:hideMark/>
          </w:tcPr>
          <w:p w14:paraId="48C4B39A" w14:textId="5CE46D85" w:rsidR="00A16694" w:rsidRPr="006B42D6" w:rsidRDefault="00A16694" w:rsidP="004F4506">
            <w:pPr>
              <w:jc w:val="center"/>
              <w:rPr>
                <w:sz w:val="16"/>
                <w:szCs w:val="16"/>
              </w:rPr>
            </w:pPr>
            <w:r w:rsidRPr="006B42D6">
              <w:rPr>
                <w:sz w:val="16"/>
                <w:szCs w:val="16"/>
              </w:rPr>
              <w:t>248,875</w:t>
            </w:r>
          </w:p>
        </w:tc>
      </w:tr>
      <w:tr w:rsidR="006B42D6" w:rsidRPr="006B42D6" w14:paraId="31A1B317" w14:textId="77777777" w:rsidTr="00E743F9">
        <w:trPr>
          <w:trHeight w:hRule="exact" w:val="312"/>
        </w:trPr>
        <w:tc>
          <w:tcPr>
            <w:tcW w:w="1069" w:type="pct"/>
            <w:tcBorders>
              <w:top w:val="nil"/>
              <w:left w:val="nil"/>
              <w:bottom w:val="nil"/>
              <w:right w:val="nil"/>
            </w:tcBorders>
            <w:shd w:val="clear" w:color="auto" w:fill="auto"/>
            <w:noWrap/>
            <w:vAlign w:val="center"/>
            <w:hideMark/>
          </w:tcPr>
          <w:p w14:paraId="31A4CFB9" w14:textId="5B732C1E" w:rsidR="00A16694" w:rsidRPr="006B42D6" w:rsidRDefault="00A16694" w:rsidP="00CE4D05">
            <w:pPr>
              <w:jc w:val="left"/>
              <w:rPr>
                <w:sz w:val="16"/>
                <w:szCs w:val="16"/>
              </w:rPr>
            </w:pPr>
            <w:r w:rsidRPr="006B42D6">
              <w:rPr>
                <w:sz w:val="16"/>
                <w:szCs w:val="16"/>
              </w:rPr>
              <w:t>Mara</w:t>
            </w:r>
          </w:p>
        </w:tc>
        <w:tc>
          <w:tcPr>
            <w:tcW w:w="654" w:type="pct"/>
            <w:tcBorders>
              <w:top w:val="nil"/>
              <w:left w:val="nil"/>
              <w:bottom w:val="nil"/>
              <w:right w:val="nil"/>
            </w:tcBorders>
            <w:shd w:val="clear" w:color="auto" w:fill="auto"/>
            <w:noWrap/>
            <w:vAlign w:val="center"/>
            <w:hideMark/>
          </w:tcPr>
          <w:p w14:paraId="1AC1B08B" w14:textId="39FF92E5" w:rsidR="00A16694" w:rsidRPr="006B42D6" w:rsidRDefault="00A16694" w:rsidP="004F4506">
            <w:pPr>
              <w:jc w:val="center"/>
              <w:rPr>
                <w:sz w:val="16"/>
                <w:szCs w:val="16"/>
              </w:rPr>
            </w:pPr>
            <w:r w:rsidRPr="006B42D6">
              <w:rPr>
                <w:sz w:val="16"/>
                <w:szCs w:val="16"/>
              </w:rPr>
              <w:t>1,439</w:t>
            </w:r>
          </w:p>
        </w:tc>
        <w:tc>
          <w:tcPr>
            <w:tcW w:w="654" w:type="pct"/>
            <w:tcBorders>
              <w:top w:val="nil"/>
              <w:left w:val="nil"/>
              <w:bottom w:val="nil"/>
              <w:right w:val="nil"/>
            </w:tcBorders>
            <w:shd w:val="clear" w:color="auto" w:fill="auto"/>
            <w:noWrap/>
            <w:vAlign w:val="center"/>
            <w:hideMark/>
          </w:tcPr>
          <w:p w14:paraId="139E9127" w14:textId="20629876" w:rsidR="00A16694" w:rsidRPr="006B42D6" w:rsidRDefault="00A16694" w:rsidP="004F4506">
            <w:pPr>
              <w:jc w:val="center"/>
              <w:rPr>
                <w:sz w:val="16"/>
                <w:szCs w:val="16"/>
              </w:rPr>
            </w:pPr>
            <w:r w:rsidRPr="006B42D6">
              <w:rPr>
                <w:sz w:val="16"/>
                <w:szCs w:val="16"/>
              </w:rPr>
              <w:t>26,476</w:t>
            </w:r>
          </w:p>
        </w:tc>
        <w:tc>
          <w:tcPr>
            <w:tcW w:w="654" w:type="pct"/>
            <w:tcBorders>
              <w:top w:val="nil"/>
              <w:left w:val="nil"/>
              <w:bottom w:val="nil"/>
              <w:right w:val="nil"/>
            </w:tcBorders>
            <w:shd w:val="clear" w:color="auto" w:fill="auto"/>
            <w:noWrap/>
            <w:vAlign w:val="center"/>
            <w:hideMark/>
          </w:tcPr>
          <w:p w14:paraId="453331AD" w14:textId="1B2DC728" w:rsidR="00A16694" w:rsidRPr="006B42D6" w:rsidRDefault="00A16694" w:rsidP="004F4506">
            <w:pPr>
              <w:jc w:val="center"/>
              <w:rPr>
                <w:sz w:val="16"/>
                <w:szCs w:val="16"/>
              </w:rPr>
            </w:pPr>
            <w:r w:rsidRPr="006B42D6">
              <w:rPr>
                <w:sz w:val="16"/>
                <w:szCs w:val="16"/>
              </w:rPr>
              <w:t>-</w:t>
            </w:r>
          </w:p>
        </w:tc>
        <w:tc>
          <w:tcPr>
            <w:tcW w:w="654" w:type="pct"/>
            <w:tcBorders>
              <w:top w:val="nil"/>
              <w:left w:val="nil"/>
              <w:bottom w:val="nil"/>
              <w:right w:val="nil"/>
            </w:tcBorders>
            <w:shd w:val="clear" w:color="auto" w:fill="auto"/>
            <w:noWrap/>
            <w:vAlign w:val="center"/>
            <w:hideMark/>
          </w:tcPr>
          <w:p w14:paraId="58058FA4" w14:textId="5353D092" w:rsidR="00A16694" w:rsidRPr="006B42D6" w:rsidRDefault="00A16694" w:rsidP="004F4506">
            <w:pPr>
              <w:jc w:val="center"/>
              <w:rPr>
                <w:sz w:val="16"/>
                <w:szCs w:val="16"/>
              </w:rPr>
            </w:pPr>
            <w:r w:rsidRPr="006B42D6">
              <w:rPr>
                <w:sz w:val="16"/>
                <w:szCs w:val="16"/>
              </w:rPr>
              <w:t>204,440</w:t>
            </w:r>
          </w:p>
        </w:tc>
        <w:tc>
          <w:tcPr>
            <w:tcW w:w="654" w:type="pct"/>
            <w:tcBorders>
              <w:top w:val="nil"/>
              <w:left w:val="nil"/>
              <w:bottom w:val="nil"/>
              <w:right w:val="nil"/>
            </w:tcBorders>
            <w:shd w:val="clear" w:color="auto" w:fill="auto"/>
            <w:noWrap/>
            <w:vAlign w:val="center"/>
            <w:hideMark/>
          </w:tcPr>
          <w:p w14:paraId="68645F97" w14:textId="1E476E93" w:rsidR="00A16694" w:rsidRPr="006B42D6" w:rsidRDefault="00A16694" w:rsidP="004F4506">
            <w:pPr>
              <w:jc w:val="center"/>
              <w:rPr>
                <w:sz w:val="16"/>
                <w:szCs w:val="16"/>
              </w:rPr>
            </w:pPr>
            <w:r w:rsidRPr="006B42D6">
              <w:rPr>
                <w:sz w:val="16"/>
                <w:szCs w:val="16"/>
              </w:rPr>
              <w:t>-</w:t>
            </w:r>
          </w:p>
        </w:tc>
        <w:tc>
          <w:tcPr>
            <w:tcW w:w="662" w:type="pct"/>
            <w:tcBorders>
              <w:top w:val="nil"/>
              <w:left w:val="nil"/>
              <w:bottom w:val="nil"/>
              <w:right w:val="nil"/>
            </w:tcBorders>
            <w:shd w:val="clear" w:color="auto" w:fill="auto"/>
            <w:noWrap/>
            <w:vAlign w:val="center"/>
            <w:hideMark/>
          </w:tcPr>
          <w:p w14:paraId="6DB41BF7" w14:textId="32E45736" w:rsidR="00A16694" w:rsidRPr="006B42D6" w:rsidRDefault="00A16694" w:rsidP="004F4506">
            <w:pPr>
              <w:jc w:val="center"/>
              <w:rPr>
                <w:sz w:val="16"/>
                <w:szCs w:val="16"/>
              </w:rPr>
            </w:pPr>
            <w:r w:rsidRPr="006B42D6">
              <w:rPr>
                <w:sz w:val="16"/>
                <w:szCs w:val="16"/>
              </w:rPr>
              <w:t>489,840</w:t>
            </w:r>
          </w:p>
        </w:tc>
      </w:tr>
      <w:tr w:rsidR="006B42D6" w:rsidRPr="006B42D6" w14:paraId="18C6EE81" w14:textId="77777777" w:rsidTr="00E743F9">
        <w:trPr>
          <w:trHeight w:hRule="exact" w:val="312"/>
        </w:trPr>
        <w:tc>
          <w:tcPr>
            <w:tcW w:w="1069" w:type="pct"/>
            <w:tcBorders>
              <w:top w:val="nil"/>
              <w:left w:val="nil"/>
              <w:bottom w:val="nil"/>
              <w:right w:val="nil"/>
            </w:tcBorders>
            <w:shd w:val="clear" w:color="auto" w:fill="auto"/>
            <w:noWrap/>
            <w:vAlign w:val="center"/>
            <w:hideMark/>
          </w:tcPr>
          <w:p w14:paraId="2360439D" w14:textId="2EEAEBC1" w:rsidR="00A16694" w:rsidRPr="006B42D6" w:rsidRDefault="00A16694" w:rsidP="00CE4D05">
            <w:pPr>
              <w:jc w:val="left"/>
              <w:rPr>
                <w:sz w:val="16"/>
                <w:szCs w:val="16"/>
              </w:rPr>
            </w:pPr>
            <w:r w:rsidRPr="006B42D6">
              <w:rPr>
                <w:sz w:val="16"/>
                <w:szCs w:val="16"/>
              </w:rPr>
              <w:t>Manyara</w:t>
            </w:r>
          </w:p>
        </w:tc>
        <w:tc>
          <w:tcPr>
            <w:tcW w:w="654" w:type="pct"/>
            <w:tcBorders>
              <w:top w:val="nil"/>
              <w:left w:val="nil"/>
              <w:bottom w:val="nil"/>
              <w:right w:val="nil"/>
            </w:tcBorders>
            <w:shd w:val="clear" w:color="auto" w:fill="auto"/>
            <w:noWrap/>
            <w:vAlign w:val="center"/>
            <w:hideMark/>
          </w:tcPr>
          <w:p w14:paraId="3F0E91BC" w14:textId="00F1CB72" w:rsidR="00A16694" w:rsidRPr="006B42D6" w:rsidRDefault="00A16694" w:rsidP="004F4506">
            <w:pPr>
              <w:jc w:val="center"/>
              <w:rPr>
                <w:sz w:val="16"/>
                <w:szCs w:val="16"/>
              </w:rPr>
            </w:pPr>
            <w:r w:rsidRPr="006B42D6">
              <w:rPr>
                <w:sz w:val="16"/>
                <w:szCs w:val="16"/>
              </w:rPr>
              <w:t>1,630</w:t>
            </w:r>
          </w:p>
        </w:tc>
        <w:tc>
          <w:tcPr>
            <w:tcW w:w="654" w:type="pct"/>
            <w:tcBorders>
              <w:top w:val="nil"/>
              <w:left w:val="nil"/>
              <w:bottom w:val="nil"/>
              <w:right w:val="nil"/>
            </w:tcBorders>
            <w:shd w:val="clear" w:color="auto" w:fill="auto"/>
            <w:noWrap/>
            <w:vAlign w:val="center"/>
            <w:hideMark/>
          </w:tcPr>
          <w:p w14:paraId="2CF9BFE0" w14:textId="16D54297" w:rsidR="00A16694" w:rsidRPr="006B42D6" w:rsidRDefault="00A16694" w:rsidP="004F4506">
            <w:pPr>
              <w:jc w:val="center"/>
              <w:rPr>
                <w:sz w:val="16"/>
                <w:szCs w:val="16"/>
              </w:rPr>
            </w:pPr>
            <w:r w:rsidRPr="006B42D6">
              <w:rPr>
                <w:sz w:val="16"/>
                <w:szCs w:val="16"/>
              </w:rPr>
              <w:t>44,292</w:t>
            </w:r>
          </w:p>
        </w:tc>
        <w:tc>
          <w:tcPr>
            <w:tcW w:w="654" w:type="pct"/>
            <w:tcBorders>
              <w:top w:val="nil"/>
              <w:left w:val="nil"/>
              <w:bottom w:val="nil"/>
              <w:right w:val="nil"/>
            </w:tcBorders>
            <w:shd w:val="clear" w:color="auto" w:fill="auto"/>
            <w:noWrap/>
            <w:vAlign w:val="center"/>
            <w:hideMark/>
          </w:tcPr>
          <w:p w14:paraId="0442C168" w14:textId="53BFB6F8" w:rsidR="00A16694" w:rsidRPr="006B42D6" w:rsidRDefault="00A16694" w:rsidP="004F4506">
            <w:pPr>
              <w:jc w:val="center"/>
              <w:rPr>
                <w:sz w:val="16"/>
                <w:szCs w:val="16"/>
              </w:rPr>
            </w:pPr>
            <w:r w:rsidRPr="006B42D6">
              <w:rPr>
                <w:sz w:val="16"/>
                <w:szCs w:val="16"/>
              </w:rPr>
              <w:t>-</w:t>
            </w:r>
          </w:p>
        </w:tc>
        <w:tc>
          <w:tcPr>
            <w:tcW w:w="654" w:type="pct"/>
            <w:tcBorders>
              <w:top w:val="nil"/>
              <w:left w:val="nil"/>
              <w:bottom w:val="nil"/>
              <w:right w:val="nil"/>
            </w:tcBorders>
            <w:shd w:val="clear" w:color="auto" w:fill="auto"/>
            <w:noWrap/>
            <w:vAlign w:val="center"/>
            <w:hideMark/>
          </w:tcPr>
          <w:p w14:paraId="10025BC5" w14:textId="01C5108E" w:rsidR="00A16694" w:rsidRPr="006B42D6" w:rsidRDefault="00A16694" w:rsidP="004F4506">
            <w:pPr>
              <w:jc w:val="center"/>
              <w:rPr>
                <w:sz w:val="16"/>
                <w:szCs w:val="16"/>
              </w:rPr>
            </w:pPr>
            <w:r w:rsidRPr="006B42D6">
              <w:rPr>
                <w:sz w:val="16"/>
                <w:szCs w:val="16"/>
              </w:rPr>
              <w:t>72,722</w:t>
            </w:r>
          </w:p>
        </w:tc>
        <w:tc>
          <w:tcPr>
            <w:tcW w:w="654" w:type="pct"/>
            <w:tcBorders>
              <w:top w:val="nil"/>
              <w:left w:val="nil"/>
              <w:bottom w:val="nil"/>
              <w:right w:val="nil"/>
            </w:tcBorders>
            <w:shd w:val="clear" w:color="auto" w:fill="auto"/>
            <w:noWrap/>
            <w:vAlign w:val="center"/>
            <w:hideMark/>
          </w:tcPr>
          <w:p w14:paraId="458755C1" w14:textId="522D36BF" w:rsidR="00A16694" w:rsidRPr="006B42D6" w:rsidRDefault="00A16694" w:rsidP="004F4506">
            <w:pPr>
              <w:jc w:val="center"/>
              <w:rPr>
                <w:sz w:val="16"/>
                <w:szCs w:val="16"/>
              </w:rPr>
            </w:pPr>
            <w:r w:rsidRPr="006B42D6">
              <w:rPr>
                <w:sz w:val="16"/>
                <w:szCs w:val="16"/>
              </w:rPr>
              <w:t>1,136</w:t>
            </w:r>
          </w:p>
        </w:tc>
        <w:tc>
          <w:tcPr>
            <w:tcW w:w="662" w:type="pct"/>
            <w:tcBorders>
              <w:top w:val="nil"/>
              <w:left w:val="nil"/>
              <w:bottom w:val="nil"/>
              <w:right w:val="nil"/>
            </w:tcBorders>
            <w:shd w:val="clear" w:color="auto" w:fill="auto"/>
            <w:noWrap/>
            <w:vAlign w:val="center"/>
            <w:hideMark/>
          </w:tcPr>
          <w:p w14:paraId="73F1A800" w14:textId="50575382" w:rsidR="00A16694" w:rsidRPr="006B42D6" w:rsidRDefault="00A16694" w:rsidP="004F4506">
            <w:pPr>
              <w:jc w:val="center"/>
              <w:rPr>
                <w:sz w:val="16"/>
                <w:szCs w:val="16"/>
              </w:rPr>
            </w:pPr>
            <w:r w:rsidRPr="006B42D6">
              <w:rPr>
                <w:sz w:val="16"/>
                <w:szCs w:val="16"/>
              </w:rPr>
              <w:t>7,973</w:t>
            </w:r>
          </w:p>
        </w:tc>
      </w:tr>
      <w:tr w:rsidR="006B42D6" w:rsidRPr="006B42D6" w14:paraId="73BEE878" w14:textId="77777777" w:rsidTr="00E743F9">
        <w:trPr>
          <w:trHeight w:hRule="exact" w:val="312"/>
        </w:trPr>
        <w:tc>
          <w:tcPr>
            <w:tcW w:w="1069" w:type="pct"/>
            <w:tcBorders>
              <w:top w:val="nil"/>
              <w:left w:val="nil"/>
              <w:bottom w:val="nil"/>
              <w:right w:val="nil"/>
            </w:tcBorders>
            <w:shd w:val="clear" w:color="auto" w:fill="auto"/>
            <w:noWrap/>
            <w:vAlign w:val="center"/>
            <w:hideMark/>
          </w:tcPr>
          <w:p w14:paraId="22B890EC" w14:textId="433DA7F9" w:rsidR="00A16694" w:rsidRPr="006B42D6" w:rsidRDefault="00A16694" w:rsidP="00CE4D05">
            <w:pPr>
              <w:jc w:val="left"/>
              <w:rPr>
                <w:sz w:val="16"/>
                <w:szCs w:val="16"/>
              </w:rPr>
            </w:pPr>
            <w:r w:rsidRPr="006B42D6">
              <w:rPr>
                <w:sz w:val="16"/>
                <w:szCs w:val="16"/>
              </w:rPr>
              <w:t>Njombe</w:t>
            </w:r>
          </w:p>
        </w:tc>
        <w:tc>
          <w:tcPr>
            <w:tcW w:w="654" w:type="pct"/>
            <w:tcBorders>
              <w:top w:val="nil"/>
              <w:left w:val="nil"/>
              <w:bottom w:val="nil"/>
              <w:right w:val="nil"/>
            </w:tcBorders>
            <w:shd w:val="clear" w:color="auto" w:fill="auto"/>
            <w:noWrap/>
            <w:vAlign w:val="center"/>
            <w:hideMark/>
          </w:tcPr>
          <w:p w14:paraId="1D9C8135" w14:textId="3B0A17F2" w:rsidR="00A16694" w:rsidRPr="006B42D6" w:rsidRDefault="00A16694" w:rsidP="004F4506">
            <w:pPr>
              <w:jc w:val="center"/>
              <w:rPr>
                <w:sz w:val="16"/>
                <w:szCs w:val="16"/>
              </w:rPr>
            </w:pPr>
            <w:r w:rsidRPr="006B42D6">
              <w:rPr>
                <w:sz w:val="16"/>
                <w:szCs w:val="16"/>
              </w:rPr>
              <w:t>74,186</w:t>
            </w:r>
          </w:p>
        </w:tc>
        <w:tc>
          <w:tcPr>
            <w:tcW w:w="654" w:type="pct"/>
            <w:tcBorders>
              <w:top w:val="nil"/>
              <w:left w:val="nil"/>
              <w:bottom w:val="nil"/>
              <w:right w:val="nil"/>
            </w:tcBorders>
            <w:shd w:val="clear" w:color="auto" w:fill="auto"/>
            <w:noWrap/>
            <w:vAlign w:val="center"/>
            <w:hideMark/>
          </w:tcPr>
          <w:p w14:paraId="18158F12" w14:textId="3B78C9D5" w:rsidR="00A16694" w:rsidRPr="006B42D6" w:rsidRDefault="00A16694" w:rsidP="004F4506">
            <w:pPr>
              <w:jc w:val="center"/>
              <w:rPr>
                <w:sz w:val="16"/>
                <w:szCs w:val="16"/>
              </w:rPr>
            </w:pPr>
            <w:r w:rsidRPr="006B42D6">
              <w:rPr>
                <w:sz w:val="16"/>
                <w:szCs w:val="16"/>
              </w:rPr>
              <w:t>4,950</w:t>
            </w:r>
          </w:p>
        </w:tc>
        <w:tc>
          <w:tcPr>
            <w:tcW w:w="654" w:type="pct"/>
            <w:tcBorders>
              <w:top w:val="nil"/>
              <w:left w:val="nil"/>
              <w:bottom w:val="nil"/>
              <w:right w:val="nil"/>
            </w:tcBorders>
            <w:shd w:val="clear" w:color="auto" w:fill="auto"/>
            <w:noWrap/>
            <w:vAlign w:val="center"/>
            <w:hideMark/>
          </w:tcPr>
          <w:p w14:paraId="0E1E5D97" w14:textId="72BDCFF0" w:rsidR="00A16694" w:rsidRPr="006B42D6" w:rsidRDefault="00A16694" w:rsidP="004F4506">
            <w:pPr>
              <w:jc w:val="center"/>
              <w:rPr>
                <w:sz w:val="16"/>
                <w:szCs w:val="16"/>
              </w:rPr>
            </w:pPr>
            <w:r w:rsidRPr="006B42D6">
              <w:rPr>
                <w:sz w:val="16"/>
                <w:szCs w:val="16"/>
              </w:rPr>
              <w:t>-</w:t>
            </w:r>
          </w:p>
        </w:tc>
        <w:tc>
          <w:tcPr>
            <w:tcW w:w="654" w:type="pct"/>
            <w:tcBorders>
              <w:top w:val="nil"/>
              <w:left w:val="nil"/>
              <w:bottom w:val="nil"/>
              <w:right w:val="nil"/>
            </w:tcBorders>
            <w:shd w:val="clear" w:color="auto" w:fill="auto"/>
            <w:noWrap/>
            <w:vAlign w:val="center"/>
            <w:hideMark/>
          </w:tcPr>
          <w:p w14:paraId="3DF9183D" w14:textId="699DF92E" w:rsidR="00A16694" w:rsidRPr="006B42D6" w:rsidRDefault="00A16694" w:rsidP="004F4506">
            <w:pPr>
              <w:jc w:val="center"/>
              <w:rPr>
                <w:sz w:val="16"/>
                <w:szCs w:val="16"/>
              </w:rPr>
            </w:pPr>
            <w:r w:rsidRPr="006B42D6">
              <w:rPr>
                <w:sz w:val="16"/>
                <w:szCs w:val="16"/>
              </w:rPr>
              <w:t>44,373</w:t>
            </w:r>
          </w:p>
        </w:tc>
        <w:tc>
          <w:tcPr>
            <w:tcW w:w="654" w:type="pct"/>
            <w:tcBorders>
              <w:top w:val="nil"/>
              <w:left w:val="nil"/>
              <w:bottom w:val="nil"/>
              <w:right w:val="nil"/>
            </w:tcBorders>
            <w:shd w:val="clear" w:color="auto" w:fill="auto"/>
            <w:noWrap/>
            <w:vAlign w:val="center"/>
            <w:hideMark/>
          </w:tcPr>
          <w:p w14:paraId="1823A059" w14:textId="37EBD107" w:rsidR="00A16694" w:rsidRPr="006B42D6" w:rsidRDefault="00A16694" w:rsidP="004F4506">
            <w:pPr>
              <w:jc w:val="center"/>
              <w:rPr>
                <w:sz w:val="16"/>
                <w:szCs w:val="16"/>
              </w:rPr>
            </w:pPr>
            <w:r w:rsidRPr="006B42D6">
              <w:rPr>
                <w:sz w:val="16"/>
                <w:szCs w:val="16"/>
              </w:rPr>
              <w:t>408,130</w:t>
            </w:r>
          </w:p>
        </w:tc>
        <w:tc>
          <w:tcPr>
            <w:tcW w:w="662" w:type="pct"/>
            <w:tcBorders>
              <w:top w:val="nil"/>
              <w:left w:val="nil"/>
              <w:bottom w:val="nil"/>
              <w:right w:val="nil"/>
            </w:tcBorders>
            <w:shd w:val="clear" w:color="auto" w:fill="auto"/>
            <w:noWrap/>
            <w:vAlign w:val="center"/>
            <w:hideMark/>
          </w:tcPr>
          <w:p w14:paraId="29CB350C" w14:textId="7005252B" w:rsidR="00A16694" w:rsidRPr="006B42D6" w:rsidRDefault="00A16694" w:rsidP="004F4506">
            <w:pPr>
              <w:jc w:val="center"/>
              <w:rPr>
                <w:sz w:val="16"/>
                <w:szCs w:val="16"/>
              </w:rPr>
            </w:pPr>
            <w:r w:rsidRPr="006B42D6">
              <w:rPr>
                <w:sz w:val="16"/>
                <w:szCs w:val="16"/>
              </w:rPr>
              <w:t>27,749</w:t>
            </w:r>
          </w:p>
        </w:tc>
      </w:tr>
      <w:tr w:rsidR="006B42D6" w:rsidRPr="006B42D6" w14:paraId="422F507E" w14:textId="77777777" w:rsidTr="00E743F9">
        <w:trPr>
          <w:trHeight w:hRule="exact" w:val="312"/>
        </w:trPr>
        <w:tc>
          <w:tcPr>
            <w:tcW w:w="1069" w:type="pct"/>
            <w:tcBorders>
              <w:top w:val="nil"/>
              <w:left w:val="nil"/>
              <w:bottom w:val="nil"/>
              <w:right w:val="nil"/>
            </w:tcBorders>
            <w:shd w:val="clear" w:color="auto" w:fill="auto"/>
            <w:noWrap/>
            <w:vAlign w:val="center"/>
            <w:hideMark/>
          </w:tcPr>
          <w:p w14:paraId="7DE93EFF" w14:textId="589F4681" w:rsidR="00A16694" w:rsidRPr="006B42D6" w:rsidRDefault="00A16694" w:rsidP="00CE4D05">
            <w:pPr>
              <w:jc w:val="left"/>
              <w:rPr>
                <w:sz w:val="16"/>
                <w:szCs w:val="16"/>
              </w:rPr>
            </w:pPr>
            <w:r w:rsidRPr="006B42D6">
              <w:rPr>
                <w:sz w:val="16"/>
                <w:szCs w:val="16"/>
              </w:rPr>
              <w:t>Katavi</w:t>
            </w:r>
          </w:p>
        </w:tc>
        <w:tc>
          <w:tcPr>
            <w:tcW w:w="654" w:type="pct"/>
            <w:tcBorders>
              <w:top w:val="nil"/>
              <w:left w:val="nil"/>
              <w:bottom w:val="nil"/>
              <w:right w:val="nil"/>
            </w:tcBorders>
            <w:shd w:val="clear" w:color="auto" w:fill="auto"/>
            <w:noWrap/>
            <w:vAlign w:val="center"/>
            <w:hideMark/>
          </w:tcPr>
          <w:p w14:paraId="7822C321" w14:textId="2BFF3133" w:rsidR="00A16694" w:rsidRPr="006B42D6" w:rsidRDefault="00A16694" w:rsidP="004F4506">
            <w:pPr>
              <w:jc w:val="center"/>
              <w:rPr>
                <w:sz w:val="16"/>
                <w:szCs w:val="16"/>
              </w:rPr>
            </w:pPr>
            <w:r w:rsidRPr="006B42D6">
              <w:rPr>
                <w:sz w:val="16"/>
                <w:szCs w:val="16"/>
              </w:rPr>
              <w:t>9,327</w:t>
            </w:r>
          </w:p>
        </w:tc>
        <w:tc>
          <w:tcPr>
            <w:tcW w:w="654" w:type="pct"/>
            <w:tcBorders>
              <w:top w:val="nil"/>
              <w:left w:val="nil"/>
              <w:bottom w:val="nil"/>
              <w:right w:val="nil"/>
            </w:tcBorders>
            <w:shd w:val="clear" w:color="auto" w:fill="auto"/>
            <w:noWrap/>
            <w:vAlign w:val="center"/>
            <w:hideMark/>
          </w:tcPr>
          <w:p w14:paraId="68A4CAFD" w14:textId="7A52EEC7" w:rsidR="00A16694" w:rsidRPr="006B42D6" w:rsidRDefault="00A16694" w:rsidP="004F4506">
            <w:pPr>
              <w:jc w:val="center"/>
              <w:rPr>
                <w:sz w:val="16"/>
                <w:szCs w:val="16"/>
              </w:rPr>
            </w:pPr>
            <w:r w:rsidRPr="006B42D6">
              <w:rPr>
                <w:sz w:val="16"/>
                <w:szCs w:val="16"/>
              </w:rPr>
              <w:t>5,641</w:t>
            </w:r>
          </w:p>
        </w:tc>
        <w:tc>
          <w:tcPr>
            <w:tcW w:w="654" w:type="pct"/>
            <w:tcBorders>
              <w:top w:val="nil"/>
              <w:left w:val="nil"/>
              <w:bottom w:val="nil"/>
              <w:right w:val="nil"/>
            </w:tcBorders>
            <w:shd w:val="clear" w:color="auto" w:fill="auto"/>
            <w:noWrap/>
            <w:vAlign w:val="center"/>
            <w:hideMark/>
          </w:tcPr>
          <w:p w14:paraId="150C2B72" w14:textId="2CBB35BA" w:rsidR="00A16694" w:rsidRPr="006B42D6" w:rsidRDefault="00A16694" w:rsidP="004F4506">
            <w:pPr>
              <w:jc w:val="center"/>
              <w:rPr>
                <w:sz w:val="16"/>
                <w:szCs w:val="16"/>
              </w:rPr>
            </w:pPr>
            <w:r w:rsidRPr="006B42D6">
              <w:rPr>
                <w:sz w:val="16"/>
                <w:szCs w:val="16"/>
              </w:rPr>
              <w:t>-</w:t>
            </w:r>
          </w:p>
        </w:tc>
        <w:tc>
          <w:tcPr>
            <w:tcW w:w="654" w:type="pct"/>
            <w:tcBorders>
              <w:top w:val="nil"/>
              <w:left w:val="nil"/>
              <w:bottom w:val="nil"/>
              <w:right w:val="nil"/>
            </w:tcBorders>
            <w:shd w:val="clear" w:color="auto" w:fill="auto"/>
            <w:noWrap/>
            <w:vAlign w:val="center"/>
            <w:hideMark/>
          </w:tcPr>
          <w:p w14:paraId="0EEB7E99" w14:textId="64E5BB08" w:rsidR="00A16694" w:rsidRPr="006B42D6" w:rsidRDefault="00A16694" w:rsidP="004F4506">
            <w:pPr>
              <w:jc w:val="center"/>
              <w:rPr>
                <w:sz w:val="16"/>
                <w:szCs w:val="16"/>
              </w:rPr>
            </w:pPr>
            <w:r w:rsidRPr="006B42D6">
              <w:rPr>
                <w:sz w:val="16"/>
                <w:szCs w:val="16"/>
              </w:rPr>
              <w:t>75,865</w:t>
            </w:r>
          </w:p>
        </w:tc>
        <w:tc>
          <w:tcPr>
            <w:tcW w:w="654" w:type="pct"/>
            <w:tcBorders>
              <w:top w:val="nil"/>
              <w:left w:val="nil"/>
              <w:bottom w:val="nil"/>
              <w:right w:val="nil"/>
            </w:tcBorders>
            <w:shd w:val="clear" w:color="auto" w:fill="auto"/>
            <w:noWrap/>
            <w:vAlign w:val="center"/>
            <w:hideMark/>
          </w:tcPr>
          <w:p w14:paraId="7B646050" w14:textId="5D8EBF27" w:rsidR="00A16694" w:rsidRPr="006B42D6" w:rsidRDefault="00A16694" w:rsidP="004F4506">
            <w:pPr>
              <w:jc w:val="center"/>
              <w:rPr>
                <w:sz w:val="16"/>
                <w:szCs w:val="16"/>
              </w:rPr>
            </w:pPr>
            <w:r w:rsidRPr="006B42D6">
              <w:rPr>
                <w:sz w:val="16"/>
                <w:szCs w:val="16"/>
              </w:rPr>
              <w:t>1,905</w:t>
            </w:r>
          </w:p>
        </w:tc>
        <w:tc>
          <w:tcPr>
            <w:tcW w:w="662" w:type="pct"/>
            <w:tcBorders>
              <w:top w:val="nil"/>
              <w:left w:val="nil"/>
              <w:bottom w:val="nil"/>
              <w:right w:val="nil"/>
            </w:tcBorders>
            <w:shd w:val="clear" w:color="auto" w:fill="auto"/>
            <w:noWrap/>
            <w:vAlign w:val="center"/>
            <w:hideMark/>
          </w:tcPr>
          <w:p w14:paraId="54CFC7C2" w14:textId="11B68FC1" w:rsidR="00A16694" w:rsidRPr="006B42D6" w:rsidRDefault="00A16694" w:rsidP="004F4506">
            <w:pPr>
              <w:jc w:val="center"/>
              <w:rPr>
                <w:sz w:val="16"/>
                <w:szCs w:val="16"/>
              </w:rPr>
            </w:pPr>
            <w:r w:rsidRPr="006B42D6">
              <w:rPr>
                <w:sz w:val="16"/>
                <w:szCs w:val="16"/>
              </w:rPr>
              <w:t>60,697</w:t>
            </w:r>
          </w:p>
        </w:tc>
      </w:tr>
      <w:tr w:rsidR="006B42D6" w:rsidRPr="006B42D6" w14:paraId="6882624E" w14:textId="77777777" w:rsidTr="00E743F9">
        <w:trPr>
          <w:trHeight w:hRule="exact" w:val="312"/>
        </w:trPr>
        <w:tc>
          <w:tcPr>
            <w:tcW w:w="1069" w:type="pct"/>
            <w:tcBorders>
              <w:top w:val="nil"/>
              <w:left w:val="nil"/>
              <w:bottom w:val="nil"/>
              <w:right w:val="nil"/>
            </w:tcBorders>
            <w:shd w:val="clear" w:color="auto" w:fill="auto"/>
            <w:noWrap/>
            <w:vAlign w:val="center"/>
            <w:hideMark/>
          </w:tcPr>
          <w:p w14:paraId="2C2FC4A5" w14:textId="21BBFED3" w:rsidR="00A16694" w:rsidRPr="006B42D6" w:rsidRDefault="00A16694" w:rsidP="00CE4D05">
            <w:pPr>
              <w:jc w:val="left"/>
              <w:rPr>
                <w:sz w:val="16"/>
                <w:szCs w:val="16"/>
              </w:rPr>
            </w:pPr>
            <w:r w:rsidRPr="006B42D6">
              <w:rPr>
                <w:sz w:val="16"/>
                <w:szCs w:val="16"/>
              </w:rPr>
              <w:t>Simiyu</w:t>
            </w:r>
          </w:p>
        </w:tc>
        <w:tc>
          <w:tcPr>
            <w:tcW w:w="654" w:type="pct"/>
            <w:tcBorders>
              <w:top w:val="nil"/>
              <w:left w:val="nil"/>
              <w:bottom w:val="nil"/>
              <w:right w:val="nil"/>
            </w:tcBorders>
            <w:shd w:val="clear" w:color="auto" w:fill="auto"/>
            <w:noWrap/>
            <w:vAlign w:val="center"/>
            <w:hideMark/>
          </w:tcPr>
          <w:p w14:paraId="3F97C3BC" w14:textId="07B71D2D" w:rsidR="00A16694" w:rsidRPr="006B42D6" w:rsidRDefault="00A16694" w:rsidP="004F4506">
            <w:pPr>
              <w:jc w:val="center"/>
              <w:rPr>
                <w:sz w:val="16"/>
                <w:szCs w:val="16"/>
              </w:rPr>
            </w:pPr>
            <w:r w:rsidRPr="006B42D6">
              <w:rPr>
                <w:sz w:val="16"/>
                <w:szCs w:val="16"/>
              </w:rPr>
              <w:t>217</w:t>
            </w:r>
          </w:p>
        </w:tc>
        <w:tc>
          <w:tcPr>
            <w:tcW w:w="654" w:type="pct"/>
            <w:tcBorders>
              <w:top w:val="nil"/>
              <w:left w:val="nil"/>
              <w:bottom w:val="nil"/>
              <w:right w:val="nil"/>
            </w:tcBorders>
            <w:shd w:val="clear" w:color="auto" w:fill="auto"/>
            <w:noWrap/>
            <w:vAlign w:val="center"/>
            <w:hideMark/>
          </w:tcPr>
          <w:p w14:paraId="3C3CDC50" w14:textId="39367F89" w:rsidR="00A16694" w:rsidRPr="006B42D6" w:rsidRDefault="00A16694" w:rsidP="004F4506">
            <w:pPr>
              <w:jc w:val="center"/>
              <w:rPr>
                <w:sz w:val="16"/>
                <w:szCs w:val="16"/>
              </w:rPr>
            </w:pPr>
            <w:r w:rsidRPr="006B42D6">
              <w:rPr>
                <w:sz w:val="16"/>
                <w:szCs w:val="16"/>
              </w:rPr>
              <w:t>6,553</w:t>
            </w:r>
          </w:p>
        </w:tc>
        <w:tc>
          <w:tcPr>
            <w:tcW w:w="654" w:type="pct"/>
            <w:tcBorders>
              <w:top w:val="nil"/>
              <w:left w:val="nil"/>
              <w:bottom w:val="nil"/>
              <w:right w:val="nil"/>
            </w:tcBorders>
            <w:shd w:val="clear" w:color="auto" w:fill="auto"/>
            <w:noWrap/>
            <w:vAlign w:val="center"/>
            <w:hideMark/>
          </w:tcPr>
          <w:p w14:paraId="05DCBAD0" w14:textId="53BE4044" w:rsidR="00A16694" w:rsidRPr="006B42D6" w:rsidRDefault="00A16694" w:rsidP="004F4506">
            <w:pPr>
              <w:jc w:val="center"/>
              <w:rPr>
                <w:sz w:val="16"/>
                <w:szCs w:val="16"/>
              </w:rPr>
            </w:pPr>
            <w:r w:rsidRPr="006B42D6">
              <w:rPr>
                <w:sz w:val="16"/>
                <w:szCs w:val="16"/>
              </w:rPr>
              <w:t>-</w:t>
            </w:r>
          </w:p>
        </w:tc>
        <w:tc>
          <w:tcPr>
            <w:tcW w:w="654" w:type="pct"/>
            <w:tcBorders>
              <w:top w:val="nil"/>
              <w:left w:val="nil"/>
              <w:bottom w:val="nil"/>
              <w:right w:val="nil"/>
            </w:tcBorders>
            <w:shd w:val="clear" w:color="auto" w:fill="auto"/>
            <w:noWrap/>
            <w:vAlign w:val="center"/>
            <w:hideMark/>
          </w:tcPr>
          <w:p w14:paraId="7FF7778E" w14:textId="53464C0C" w:rsidR="00A16694" w:rsidRPr="006B42D6" w:rsidRDefault="00A16694" w:rsidP="004F4506">
            <w:pPr>
              <w:jc w:val="center"/>
              <w:rPr>
                <w:sz w:val="16"/>
                <w:szCs w:val="16"/>
              </w:rPr>
            </w:pPr>
            <w:r w:rsidRPr="006B42D6">
              <w:rPr>
                <w:sz w:val="16"/>
                <w:szCs w:val="16"/>
              </w:rPr>
              <w:t>141,021</w:t>
            </w:r>
          </w:p>
        </w:tc>
        <w:tc>
          <w:tcPr>
            <w:tcW w:w="654" w:type="pct"/>
            <w:tcBorders>
              <w:top w:val="nil"/>
              <w:left w:val="nil"/>
              <w:bottom w:val="nil"/>
              <w:right w:val="nil"/>
            </w:tcBorders>
            <w:shd w:val="clear" w:color="auto" w:fill="auto"/>
            <w:noWrap/>
            <w:vAlign w:val="center"/>
            <w:hideMark/>
          </w:tcPr>
          <w:p w14:paraId="53B2730D" w14:textId="198EE23C" w:rsidR="00A16694" w:rsidRPr="006B42D6" w:rsidRDefault="00A16694" w:rsidP="004F4506">
            <w:pPr>
              <w:jc w:val="center"/>
              <w:rPr>
                <w:sz w:val="16"/>
                <w:szCs w:val="16"/>
              </w:rPr>
            </w:pPr>
            <w:r w:rsidRPr="006B42D6">
              <w:rPr>
                <w:sz w:val="16"/>
                <w:szCs w:val="16"/>
              </w:rPr>
              <w:t>283,733</w:t>
            </w:r>
          </w:p>
        </w:tc>
        <w:tc>
          <w:tcPr>
            <w:tcW w:w="662" w:type="pct"/>
            <w:tcBorders>
              <w:top w:val="nil"/>
              <w:left w:val="nil"/>
              <w:bottom w:val="nil"/>
              <w:right w:val="nil"/>
            </w:tcBorders>
            <w:shd w:val="clear" w:color="auto" w:fill="auto"/>
            <w:noWrap/>
            <w:vAlign w:val="center"/>
            <w:hideMark/>
          </w:tcPr>
          <w:p w14:paraId="7FF4AC49" w14:textId="5881347E" w:rsidR="00A16694" w:rsidRPr="006B42D6" w:rsidRDefault="00A16694" w:rsidP="004F4506">
            <w:pPr>
              <w:jc w:val="center"/>
              <w:rPr>
                <w:sz w:val="16"/>
                <w:szCs w:val="16"/>
              </w:rPr>
            </w:pPr>
            <w:r w:rsidRPr="006B42D6">
              <w:rPr>
                <w:sz w:val="16"/>
                <w:szCs w:val="16"/>
              </w:rPr>
              <w:t>79,865</w:t>
            </w:r>
          </w:p>
        </w:tc>
      </w:tr>
      <w:tr w:rsidR="006B42D6" w:rsidRPr="006B42D6" w14:paraId="3D79FCC3" w14:textId="77777777" w:rsidTr="00E743F9">
        <w:trPr>
          <w:trHeight w:hRule="exact" w:val="312"/>
        </w:trPr>
        <w:tc>
          <w:tcPr>
            <w:tcW w:w="1069" w:type="pct"/>
            <w:tcBorders>
              <w:top w:val="nil"/>
              <w:left w:val="nil"/>
              <w:bottom w:val="nil"/>
              <w:right w:val="nil"/>
            </w:tcBorders>
            <w:shd w:val="clear" w:color="auto" w:fill="auto"/>
            <w:noWrap/>
            <w:vAlign w:val="center"/>
            <w:hideMark/>
          </w:tcPr>
          <w:p w14:paraId="6D0238DA" w14:textId="59FBDEB1" w:rsidR="00A16694" w:rsidRPr="006B42D6" w:rsidRDefault="00A16694" w:rsidP="00CE4D05">
            <w:pPr>
              <w:jc w:val="left"/>
              <w:rPr>
                <w:sz w:val="16"/>
                <w:szCs w:val="16"/>
              </w:rPr>
            </w:pPr>
            <w:r w:rsidRPr="006B42D6">
              <w:rPr>
                <w:sz w:val="16"/>
                <w:szCs w:val="16"/>
              </w:rPr>
              <w:t>Geita</w:t>
            </w:r>
          </w:p>
        </w:tc>
        <w:tc>
          <w:tcPr>
            <w:tcW w:w="654" w:type="pct"/>
            <w:tcBorders>
              <w:top w:val="nil"/>
              <w:left w:val="nil"/>
              <w:bottom w:val="nil"/>
              <w:right w:val="nil"/>
            </w:tcBorders>
            <w:shd w:val="clear" w:color="auto" w:fill="auto"/>
            <w:noWrap/>
            <w:vAlign w:val="center"/>
            <w:hideMark/>
          </w:tcPr>
          <w:p w14:paraId="094C0054" w14:textId="5C64EC1D" w:rsidR="00A16694" w:rsidRPr="006B42D6" w:rsidRDefault="00A16694" w:rsidP="004F4506">
            <w:pPr>
              <w:jc w:val="center"/>
              <w:rPr>
                <w:sz w:val="16"/>
                <w:szCs w:val="16"/>
              </w:rPr>
            </w:pPr>
            <w:r w:rsidRPr="006B42D6">
              <w:rPr>
                <w:sz w:val="16"/>
                <w:szCs w:val="16"/>
              </w:rPr>
              <w:t>27,328</w:t>
            </w:r>
          </w:p>
        </w:tc>
        <w:tc>
          <w:tcPr>
            <w:tcW w:w="654" w:type="pct"/>
            <w:tcBorders>
              <w:top w:val="nil"/>
              <w:left w:val="nil"/>
              <w:bottom w:val="nil"/>
              <w:right w:val="nil"/>
            </w:tcBorders>
            <w:shd w:val="clear" w:color="auto" w:fill="auto"/>
            <w:noWrap/>
            <w:vAlign w:val="center"/>
            <w:hideMark/>
          </w:tcPr>
          <w:p w14:paraId="43B5572E" w14:textId="21E60C07" w:rsidR="00A16694" w:rsidRPr="006B42D6" w:rsidRDefault="00A16694" w:rsidP="004F4506">
            <w:pPr>
              <w:jc w:val="center"/>
              <w:rPr>
                <w:sz w:val="16"/>
                <w:szCs w:val="16"/>
              </w:rPr>
            </w:pPr>
            <w:r w:rsidRPr="006B42D6">
              <w:rPr>
                <w:sz w:val="16"/>
                <w:szCs w:val="16"/>
              </w:rPr>
              <w:t>15,848</w:t>
            </w:r>
          </w:p>
        </w:tc>
        <w:tc>
          <w:tcPr>
            <w:tcW w:w="654" w:type="pct"/>
            <w:tcBorders>
              <w:top w:val="nil"/>
              <w:left w:val="nil"/>
              <w:bottom w:val="nil"/>
              <w:right w:val="nil"/>
            </w:tcBorders>
            <w:shd w:val="clear" w:color="auto" w:fill="auto"/>
            <w:noWrap/>
            <w:vAlign w:val="center"/>
            <w:hideMark/>
          </w:tcPr>
          <w:p w14:paraId="1EDE5030" w14:textId="65B0D353" w:rsidR="00A16694" w:rsidRPr="006B42D6" w:rsidRDefault="00A16694" w:rsidP="004F4506">
            <w:pPr>
              <w:jc w:val="center"/>
              <w:rPr>
                <w:sz w:val="16"/>
                <w:szCs w:val="16"/>
              </w:rPr>
            </w:pPr>
            <w:r w:rsidRPr="006B42D6">
              <w:rPr>
                <w:sz w:val="16"/>
                <w:szCs w:val="16"/>
              </w:rPr>
              <w:t>-</w:t>
            </w:r>
          </w:p>
        </w:tc>
        <w:tc>
          <w:tcPr>
            <w:tcW w:w="654" w:type="pct"/>
            <w:tcBorders>
              <w:top w:val="nil"/>
              <w:left w:val="nil"/>
              <w:bottom w:val="nil"/>
              <w:right w:val="nil"/>
            </w:tcBorders>
            <w:shd w:val="clear" w:color="auto" w:fill="auto"/>
            <w:noWrap/>
            <w:vAlign w:val="center"/>
            <w:hideMark/>
          </w:tcPr>
          <w:p w14:paraId="51B6F80F" w14:textId="0A66D1CE" w:rsidR="00A16694" w:rsidRPr="006B42D6" w:rsidRDefault="00A16694" w:rsidP="004F4506">
            <w:pPr>
              <w:jc w:val="center"/>
              <w:rPr>
                <w:sz w:val="16"/>
                <w:szCs w:val="16"/>
              </w:rPr>
            </w:pPr>
            <w:r w:rsidRPr="006B42D6">
              <w:rPr>
                <w:sz w:val="16"/>
                <w:szCs w:val="16"/>
              </w:rPr>
              <w:t>302,879</w:t>
            </w:r>
          </w:p>
        </w:tc>
        <w:tc>
          <w:tcPr>
            <w:tcW w:w="654" w:type="pct"/>
            <w:tcBorders>
              <w:top w:val="nil"/>
              <w:left w:val="nil"/>
              <w:bottom w:val="nil"/>
              <w:right w:val="nil"/>
            </w:tcBorders>
            <w:shd w:val="clear" w:color="auto" w:fill="auto"/>
            <w:noWrap/>
            <w:vAlign w:val="center"/>
            <w:hideMark/>
          </w:tcPr>
          <w:p w14:paraId="7357413F" w14:textId="71F0C521" w:rsidR="00A16694" w:rsidRPr="006B42D6" w:rsidRDefault="00A16694" w:rsidP="004F4506">
            <w:pPr>
              <w:jc w:val="center"/>
              <w:rPr>
                <w:sz w:val="16"/>
                <w:szCs w:val="16"/>
              </w:rPr>
            </w:pPr>
            <w:r w:rsidRPr="006B42D6">
              <w:rPr>
                <w:sz w:val="16"/>
                <w:szCs w:val="16"/>
              </w:rPr>
              <w:t>-</w:t>
            </w:r>
          </w:p>
        </w:tc>
        <w:tc>
          <w:tcPr>
            <w:tcW w:w="662" w:type="pct"/>
            <w:tcBorders>
              <w:top w:val="nil"/>
              <w:left w:val="nil"/>
              <w:bottom w:val="nil"/>
              <w:right w:val="nil"/>
            </w:tcBorders>
            <w:shd w:val="clear" w:color="auto" w:fill="auto"/>
            <w:noWrap/>
            <w:vAlign w:val="center"/>
            <w:hideMark/>
          </w:tcPr>
          <w:p w14:paraId="756EFA01" w14:textId="4D9639D2" w:rsidR="00A16694" w:rsidRPr="006B42D6" w:rsidRDefault="00A16694" w:rsidP="004F4506">
            <w:pPr>
              <w:jc w:val="center"/>
              <w:rPr>
                <w:sz w:val="16"/>
                <w:szCs w:val="16"/>
              </w:rPr>
            </w:pPr>
            <w:r w:rsidRPr="006B42D6">
              <w:rPr>
                <w:sz w:val="16"/>
                <w:szCs w:val="16"/>
              </w:rPr>
              <w:t>388,744</w:t>
            </w:r>
          </w:p>
        </w:tc>
      </w:tr>
      <w:tr w:rsidR="006B42D6" w:rsidRPr="006B42D6" w14:paraId="1A4B20F6" w14:textId="77777777" w:rsidTr="00E743F9">
        <w:trPr>
          <w:trHeight w:hRule="exact" w:val="312"/>
        </w:trPr>
        <w:tc>
          <w:tcPr>
            <w:tcW w:w="1069" w:type="pct"/>
            <w:tcBorders>
              <w:top w:val="nil"/>
              <w:left w:val="nil"/>
              <w:bottom w:val="nil"/>
              <w:right w:val="nil"/>
            </w:tcBorders>
            <w:shd w:val="clear" w:color="auto" w:fill="auto"/>
            <w:noWrap/>
            <w:vAlign w:val="center"/>
            <w:hideMark/>
          </w:tcPr>
          <w:p w14:paraId="0BE29D2F" w14:textId="0BDA29AB" w:rsidR="00A16694" w:rsidRPr="006B42D6" w:rsidRDefault="00A16694" w:rsidP="00CE4D05">
            <w:pPr>
              <w:jc w:val="left"/>
              <w:rPr>
                <w:sz w:val="16"/>
                <w:szCs w:val="16"/>
              </w:rPr>
            </w:pPr>
            <w:r w:rsidRPr="006B42D6">
              <w:rPr>
                <w:sz w:val="16"/>
                <w:szCs w:val="16"/>
              </w:rPr>
              <w:t>Songwe</w:t>
            </w:r>
          </w:p>
        </w:tc>
        <w:tc>
          <w:tcPr>
            <w:tcW w:w="654" w:type="pct"/>
            <w:tcBorders>
              <w:top w:val="nil"/>
              <w:left w:val="nil"/>
              <w:bottom w:val="nil"/>
              <w:right w:val="nil"/>
            </w:tcBorders>
            <w:shd w:val="clear" w:color="auto" w:fill="auto"/>
            <w:noWrap/>
            <w:vAlign w:val="center"/>
            <w:hideMark/>
          </w:tcPr>
          <w:p w14:paraId="0FB4CD79" w14:textId="6BBAC7FD" w:rsidR="00A16694" w:rsidRPr="006B42D6" w:rsidRDefault="00A16694" w:rsidP="004F4506">
            <w:pPr>
              <w:jc w:val="center"/>
              <w:rPr>
                <w:sz w:val="16"/>
                <w:szCs w:val="16"/>
              </w:rPr>
            </w:pPr>
            <w:r w:rsidRPr="006B42D6">
              <w:rPr>
                <w:sz w:val="16"/>
                <w:szCs w:val="16"/>
              </w:rPr>
              <w:t>10,860</w:t>
            </w:r>
          </w:p>
        </w:tc>
        <w:tc>
          <w:tcPr>
            <w:tcW w:w="654" w:type="pct"/>
            <w:tcBorders>
              <w:top w:val="nil"/>
              <w:left w:val="nil"/>
              <w:bottom w:val="nil"/>
              <w:right w:val="nil"/>
            </w:tcBorders>
            <w:shd w:val="clear" w:color="auto" w:fill="auto"/>
            <w:noWrap/>
            <w:vAlign w:val="center"/>
            <w:hideMark/>
          </w:tcPr>
          <w:p w14:paraId="263B53AE" w14:textId="7E1CD3DE" w:rsidR="00A16694" w:rsidRPr="006B42D6" w:rsidRDefault="00A16694" w:rsidP="004F4506">
            <w:pPr>
              <w:jc w:val="center"/>
              <w:rPr>
                <w:sz w:val="16"/>
                <w:szCs w:val="16"/>
              </w:rPr>
            </w:pPr>
            <w:r w:rsidRPr="006B42D6">
              <w:rPr>
                <w:sz w:val="16"/>
                <w:szCs w:val="16"/>
              </w:rPr>
              <w:t>13,257</w:t>
            </w:r>
          </w:p>
        </w:tc>
        <w:tc>
          <w:tcPr>
            <w:tcW w:w="654" w:type="pct"/>
            <w:tcBorders>
              <w:top w:val="nil"/>
              <w:left w:val="nil"/>
              <w:bottom w:val="nil"/>
              <w:right w:val="nil"/>
            </w:tcBorders>
            <w:shd w:val="clear" w:color="auto" w:fill="auto"/>
            <w:noWrap/>
            <w:vAlign w:val="center"/>
            <w:hideMark/>
          </w:tcPr>
          <w:p w14:paraId="4D0600F1" w14:textId="1390CF88" w:rsidR="00A16694" w:rsidRPr="006B42D6" w:rsidRDefault="00A16694" w:rsidP="004F4506">
            <w:pPr>
              <w:jc w:val="center"/>
              <w:rPr>
                <w:sz w:val="16"/>
                <w:szCs w:val="16"/>
              </w:rPr>
            </w:pPr>
            <w:r w:rsidRPr="006B42D6">
              <w:rPr>
                <w:sz w:val="16"/>
                <w:szCs w:val="16"/>
              </w:rPr>
              <w:t>-</w:t>
            </w:r>
          </w:p>
        </w:tc>
        <w:tc>
          <w:tcPr>
            <w:tcW w:w="654" w:type="pct"/>
            <w:tcBorders>
              <w:top w:val="nil"/>
              <w:left w:val="nil"/>
              <w:bottom w:val="nil"/>
              <w:right w:val="nil"/>
            </w:tcBorders>
            <w:shd w:val="clear" w:color="auto" w:fill="auto"/>
            <w:noWrap/>
            <w:vAlign w:val="center"/>
            <w:hideMark/>
          </w:tcPr>
          <w:p w14:paraId="7A5F095F" w14:textId="14DEA438" w:rsidR="00A16694" w:rsidRPr="006B42D6" w:rsidRDefault="00A16694" w:rsidP="004F4506">
            <w:pPr>
              <w:jc w:val="center"/>
              <w:rPr>
                <w:sz w:val="16"/>
                <w:szCs w:val="16"/>
              </w:rPr>
            </w:pPr>
            <w:r w:rsidRPr="006B42D6">
              <w:rPr>
                <w:sz w:val="16"/>
                <w:szCs w:val="16"/>
              </w:rPr>
              <w:t>83,179</w:t>
            </w:r>
          </w:p>
        </w:tc>
        <w:tc>
          <w:tcPr>
            <w:tcW w:w="654" w:type="pct"/>
            <w:tcBorders>
              <w:top w:val="nil"/>
              <w:left w:val="nil"/>
              <w:bottom w:val="nil"/>
              <w:right w:val="nil"/>
            </w:tcBorders>
            <w:shd w:val="clear" w:color="auto" w:fill="auto"/>
            <w:noWrap/>
            <w:vAlign w:val="center"/>
            <w:hideMark/>
          </w:tcPr>
          <w:p w14:paraId="2AF769F7" w14:textId="30285437" w:rsidR="00A16694" w:rsidRPr="006B42D6" w:rsidRDefault="00A16694" w:rsidP="004F4506">
            <w:pPr>
              <w:jc w:val="center"/>
              <w:rPr>
                <w:sz w:val="16"/>
                <w:szCs w:val="16"/>
              </w:rPr>
            </w:pPr>
            <w:r w:rsidRPr="006B42D6">
              <w:rPr>
                <w:sz w:val="16"/>
                <w:szCs w:val="16"/>
              </w:rPr>
              <w:t>27,212</w:t>
            </w:r>
          </w:p>
        </w:tc>
        <w:tc>
          <w:tcPr>
            <w:tcW w:w="662" w:type="pct"/>
            <w:tcBorders>
              <w:top w:val="nil"/>
              <w:left w:val="nil"/>
              <w:bottom w:val="nil"/>
              <w:right w:val="nil"/>
            </w:tcBorders>
            <w:shd w:val="clear" w:color="auto" w:fill="auto"/>
            <w:noWrap/>
            <w:vAlign w:val="center"/>
            <w:hideMark/>
          </w:tcPr>
          <w:p w14:paraId="70A8E44C" w14:textId="5119650F" w:rsidR="00A16694" w:rsidRPr="006B42D6" w:rsidRDefault="00A16694" w:rsidP="004F4506">
            <w:pPr>
              <w:jc w:val="center"/>
              <w:rPr>
                <w:sz w:val="16"/>
                <w:szCs w:val="16"/>
              </w:rPr>
            </w:pPr>
            <w:r w:rsidRPr="006B42D6">
              <w:rPr>
                <w:sz w:val="16"/>
                <w:szCs w:val="16"/>
              </w:rPr>
              <w:t>57,609</w:t>
            </w:r>
          </w:p>
        </w:tc>
      </w:tr>
      <w:tr w:rsidR="006B42D6" w:rsidRPr="006B42D6" w14:paraId="1537AF7D" w14:textId="77777777" w:rsidTr="00E743F9">
        <w:trPr>
          <w:trHeight w:hRule="exact" w:val="312"/>
        </w:trPr>
        <w:tc>
          <w:tcPr>
            <w:tcW w:w="1069" w:type="pct"/>
            <w:tcBorders>
              <w:top w:val="single" w:sz="4" w:space="0" w:color="auto"/>
              <w:left w:val="nil"/>
              <w:bottom w:val="single" w:sz="4" w:space="0" w:color="auto"/>
              <w:right w:val="nil"/>
            </w:tcBorders>
            <w:shd w:val="clear" w:color="auto" w:fill="E2EFD9" w:themeFill="accent6" w:themeFillTint="33"/>
            <w:noWrap/>
            <w:vAlign w:val="center"/>
            <w:hideMark/>
          </w:tcPr>
          <w:p w14:paraId="4F3C3FD4" w14:textId="1300EE7D" w:rsidR="00A16694" w:rsidRPr="006B42D6" w:rsidRDefault="00A16694" w:rsidP="00CE4D05">
            <w:pPr>
              <w:jc w:val="left"/>
              <w:rPr>
                <w:b/>
                <w:bCs/>
                <w:sz w:val="16"/>
                <w:szCs w:val="16"/>
              </w:rPr>
            </w:pPr>
            <w:r w:rsidRPr="006B42D6">
              <w:rPr>
                <w:b/>
                <w:bCs/>
                <w:sz w:val="16"/>
                <w:szCs w:val="16"/>
              </w:rPr>
              <w:t>Mainland</w:t>
            </w:r>
            <w:r w:rsidR="00CE4D05">
              <w:rPr>
                <w:b/>
                <w:bCs/>
                <w:sz w:val="16"/>
                <w:szCs w:val="16"/>
              </w:rPr>
              <w:t xml:space="preserve"> Tanzania</w:t>
            </w:r>
          </w:p>
        </w:tc>
        <w:tc>
          <w:tcPr>
            <w:tcW w:w="654" w:type="pct"/>
            <w:tcBorders>
              <w:top w:val="single" w:sz="4" w:space="0" w:color="auto"/>
              <w:left w:val="nil"/>
              <w:bottom w:val="single" w:sz="4" w:space="0" w:color="auto"/>
              <w:right w:val="nil"/>
            </w:tcBorders>
            <w:shd w:val="clear" w:color="auto" w:fill="E2EFD9" w:themeFill="accent6" w:themeFillTint="33"/>
            <w:noWrap/>
            <w:vAlign w:val="center"/>
            <w:hideMark/>
          </w:tcPr>
          <w:p w14:paraId="55698646" w14:textId="785A818E" w:rsidR="00A16694" w:rsidRPr="006B42D6" w:rsidRDefault="00A16694" w:rsidP="004F4506">
            <w:pPr>
              <w:jc w:val="center"/>
              <w:rPr>
                <w:b/>
                <w:bCs/>
                <w:sz w:val="16"/>
                <w:szCs w:val="16"/>
              </w:rPr>
            </w:pPr>
            <w:r w:rsidRPr="006B42D6">
              <w:rPr>
                <w:b/>
                <w:bCs/>
                <w:sz w:val="16"/>
                <w:szCs w:val="16"/>
              </w:rPr>
              <w:t>932,998</w:t>
            </w:r>
          </w:p>
        </w:tc>
        <w:tc>
          <w:tcPr>
            <w:tcW w:w="654" w:type="pct"/>
            <w:tcBorders>
              <w:top w:val="single" w:sz="4" w:space="0" w:color="auto"/>
              <w:left w:val="nil"/>
              <w:bottom w:val="single" w:sz="4" w:space="0" w:color="auto"/>
              <w:right w:val="nil"/>
            </w:tcBorders>
            <w:shd w:val="clear" w:color="auto" w:fill="E2EFD9" w:themeFill="accent6" w:themeFillTint="33"/>
            <w:noWrap/>
            <w:vAlign w:val="center"/>
            <w:hideMark/>
          </w:tcPr>
          <w:p w14:paraId="4C51189A" w14:textId="1C164F7A" w:rsidR="00A16694" w:rsidRPr="006B42D6" w:rsidRDefault="00A16694" w:rsidP="004F4506">
            <w:pPr>
              <w:jc w:val="center"/>
              <w:rPr>
                <w:b/>
                <w:bCs/>
                <w:sz w:val="16"/>
                <w:szCs w:val="16"/>
              </w:rPr>
            </w:pPr>
            <w:r w:rsidRPr="006B42D6">
              <w:rPr>
                <w:b/>
                <w:bCs/>
                <w:sz w:val="16"/>
                <w:szCs w:val="16"/>
              </w:rPr>
              <w:t>408,957</w:t>
            </w:r>
          </w:p>
        </w:tc>
        <w:tc>
          <w:tcPr>
            <w:tcW w:w="654" w:type="pct"/>
            <w:tcBorders>
              <w:top w:val="single" w:sz="4" w:space="0" w:color="auto"/>
              <w:left w:val="nil"/>
              <w:bottom w:val="single" w:sz="4" w:space="0" w:color="auto"/>
              <w:right w:val="nil"/>
            </w:tcBorders>
            <w:shd w:val="clear" w:color="auto" w:fill="E2EFD9" w:themeFill="accent6" w:themeFillTint="33"/>
            <w:noWrap/>
            <w:vAlign w:val="center"/>
            <w:hideMark/>
          </w:tcPr>
          <w:p w14:paraId="5E29985F" w14:textId="04ED40A4" w:rsidR="00A16694" w:rsidRPr="006B42D6" w:rsidRDefault="00A16694" w:rsidP="004F4506">
            <w:pPr>
              <w:jc w:val="center"/>
              <w:rPr>
                <w:b/>
                <w:bCs/>
                <w:sz w:val="16"/>
                <w:szCs w:val="16"/>
              </w:rPr>
            </w:pPr>
            <w:r w:rsidRPr="006B42D6">
              <w:rPr>
                <w:b/>
                <w:bCs/>
                <w:sz w:val="16"/>
                <w:szCs w:val="16"/>
              </w:rPr>
              <w:t>183</w:t>
            </w:r>
          </w:p>
        </w:tc>
        <w:tc>
          <w:tcPr>
            <w:tcW w:w="654" w:type="pct"/>
            <w:tcBorders>
              <w:top w:val="single" w:sz="4" w:space="0" w:color="auto"/>
              <w:left w:val="nil"/>
              <w:bottom w:val="single" w:sz="4" w:space="0" w:color="auto"/>
              <w:right w:val="nil"/>
            </w:tcBorders>
            <w:shd w:val="clear" w:color="auto" w:fill="E2EFD9" w:themeFill="accent6" w:themeFillTint="33"/>
            <w:noWrap/>
            <w:vAlign w:val="center"/>
            <w:hideMark/>
          </w:tcPr>
          <w:p w14:paraId="7CC758D6" w14:textId="44D66AD7" w:rsidR="00A16694" w:rsidRPr="006B42D6" w:rsidRDefault="00A16694" w:rsidP="004F4506">
            <w:pPr>
              <w:jc w:val="center"/>
              <w:rPr>
                <w:b/>
                <w:bCs/>
                <w:sz w:val="16"/>
                <w:szCs w:val="16"/>
              </w:rPr>
            </w:pPr>
            <w:r w:rsidRPr="006B42D6">
              <w:rPr>
                <w:b/>
                <w:bCs/>
                <w:sz w:val="16"/>
                <w:szCs w:val="16"/>
              </w:rPr>
              <w:t>2,776,918</w:t>
            </w:r>
          </w:p>
        </w:tc>
        <w:tc>
          <w:tcPr>
            <w:tcW w:w="654" w:type="pct"/>
            <w:tcBorders>
              <w:top w:val="single" w:sz="4" w:space="0" w:color="auto"/>
              <w:left w:val="nil"/>
              <w:bottom w:val="single" w:sz="4" w:space="0" w:color="auto"/>
              <w:right w:val="nil"/>
            </w:tcBorders>
            <w:shd w:val="clear" w:color="auto" w:fill="E2EFD9" w:themeFill="accent6" w:themeFillTint="33"/>
            <w:noWrap/>
            <w:vAlign w:val="center"/>
            <w:hideMark/>
          </w:tcPr>
          <w:p w14:paraId="06A81244" w14:textId="16CEBDD3" w:rsidR="00A16694" w:rsidRPr="006B42D6" w:rsidRDefault="00A16694" w:rsidP="004F4506">
            <w:pPr>
              <w:jc w:val="center"/>
              <w:rPr>
                <w:b/>
                <w:bCs/>
                <w:sz w:val="16"/>
                <w:szCs w:val="16"/>
              </w:rPr>
            </w:pPr>
            <w:r w:rsidRPr="006B42D6">
              <w:rPr>
                <w:b/>
                <w:bCs/>
                <w:sz w:val="16"/>
                <w:szCs w:val="16"/>
              </w:rPr>
              <w:t>1,494,857</w:t>
            </w:r>
          </w:p>
        </w:tc>
        <w:tc>
          <w:tcPr>
            <w:tcW w:w="662" w:type="pct"/>
            <w:tcBorders>
              <w:top w:val="single" w:sz="4" w:space="0" w:color="auto"/>
              <w:left w:val="nil"/>
              <w:bottom w:val="single" w:sz="4" w:space="0" w:color="auto"/>
              <w:right w:val="nil"/>
            </w:tcBorders>
            <w:shd w:val="clear" w:color="auto" w:fill="E2EFD9" w:themeFill="accent6" w:themeFillTint="33"/>
            <w:noWrap/>
            <w:vAlign w:val="center"/>
            <w:hideMark/>
          </w:tcPr>
          <w:p w14:paraId="78D16C61" w14:textId="1EA28B17" w:rsidR="00A16694" w:rsidRPr="006B42D6" w:rsidRDefault="00A16694" w:rsidP="004F4506">
            <w:pPr>
              <w:jc w:val="center"/>
              <w:rPr>
                <w:b/>
                <w:bCs/>
                <w:sz w:val="16"/>
                <w:szCs w:val="16"/>
              </w:rPr>
            </w:pPr>
            <w:r w:rsidRPr="006B42D6">
              <w:rPr>
                <w:b/>
                <w:bCs/>
                <w:sz w:val="16"/>
                <w:szCs w:val="16"/>
              </w:rPr>
              <w:t>3,085,270</w:t>
            </w:r>
          </w:p>
        </w:tc>
      </w:tr>
      <w:tr w:rsidR="006B42D6" w:rsidRPr="006B42D6" w14:paraId="65B7C725" w14:textId="77777777" w:rsidTr="00E743F9">
        <w:trPr>
          <w:trHeight w:hRule="exact" w:val="312"/>
        </w:trPr>
        <w:tc>
          <w:tcPr>
            <w:tcW w:w="1069" w:type="pct"/>
            <w:tcBorders>
              <w:top w:val="nil"/>
              <w:left w:val="nil"/>
              <w:bottom w:val="nil"/>
              <w:right w:val="nil"/>
            </w:tcBorders>
            <w:shd w:val="clear" w:color="auto" w:fill="auto"/>
            <w:noWrap/>
            <w:vAlign w:val="center"/>
            <w:hideMark/>
          </w:tcPr>
          <w:p w14:paraId="145417C5" w14:textId="6CAD25E3" w:rsidR="00A16694" w:rsidRPr="006B42D6" w:rsidRDefault="00A16694" w:rsidP="00CE4D05">
            <w:pPr>
              <w:jc w:val="left"/>
              <w:rPr>
                <w:sz w:val="16"/>
                <w:szCs w:val="16"/>
              </w:rPr>
            </w:pPr>
            <w:r w:rsidRPr="006B42D6">
              <w:rPr>
                <w:sz w:val="16"/>
                <w:szCs w:val="16"/>
              </w:rPr>
              <w:t>Kaskazini Unguja</w:t>
            </w:r>
          </w:p>
        </w:tc>
        <w:tc>
          <w:tcPr>
            <w:tcW w:w="654" w:type="pct"/>
            <w:tcBorders>
              <w:top w:val="nil"/>
              <w:left w:val="nil"/>
              <w:bottom w:val="nil"/>
              <w:right w:val="nil"/>
            </w:tcBorders>
            <w:shd w:val="clear" w:color="auto" w:fill="auto"/>
            <w:noWrap/>
            <w:vAlign w:val="center"/>
            <w:hideMark/>
          </w:tcPr>
          <w:p w14:paraId="79208D5F" w14:textId="1972C94B" w:rsidR="00A16694" w:rsidRPr="006B42D6" w:rsidRDefault="00A16694" w:rsidP="004F4506">
            <w:pPr>
              <w:jc w:val="center"/>
              <w:rPr>
                <w:sz w:val="16"/>
                <w:szCs w:val="16"/>
              </w:rPr>
            </w:pPr>
            <w:r w:rsidRPr="006B42D6">
              <w:rPr>
                <w:sz w:val="16"/>
                <w:szCs w:val="16"/>
              </w:rPr>
              <w:t>-</w:t>
            </w:r>
          </w:p>
        </w:tc>
        <w:tc>
          <w:tcPr>
            <w:tcW w:w="654" w:type="pct"/>
            <w:tcBorders>
              <w:top w:val="nil"/>
              <w:left w:val="nil"/>
              <w:bottom w:val="nil"/>
              <w:right w:val="nil"/>
            </w:tcBorders>
            <w:shd w:val="clear" w:color="auto" w:fill="auto"/>
            <w:noWrap/>
            <w:vAlign w:val="center"/>
            <w:hideMark/>
          </w:tcPr>
          <w:p w14:paraId="70DC672D" w14:textId="341EA7ED" w:rsidR="00A16694" w:rsidRPr="006B42D6" w:rsidRDefault="00A16694" w:rsidP="004F4506">
            <w:pPr>
              <w:jc w:val="center"/>
              <w:rPr>
                <w:sz w:val="16"/>
                <w:szCs w:val="16"/>
              </w:rPr>
            </w:pPr>
            <w:r w:rsidRPr="006B42D6">
              <w:rPr>
                <w:sz w:val="16"/>
                <w:szCs w:val="16"/>
              </w:rPr>
              <w:t>66</w:t>
            </w:r>
          </w:p>
        </w:tc>
        <w:tc>
          <w:tcPr>
            <w:tcW w:w="654" w:type="pct"/>
            <w:tcBorders>
              <w:top w:val="nil"/>
              <w:left w:val="nil"/>
              <w:bottom w:val="nil"/>
              <w:right w:val="nil"/>
            </w:tcBorders>
            <w:shd w:val="clear" w:color="auto" w:fill="auto"/>
            <w:noWrap/>
            <w:vAlign w:val="center"/>
            <w:hideMark/>
          </w:tcPr>
          <w:p w14:paraId="526F1851" w14:textId="50A4A895" w:rsidR="00A16694" w:rsidRPr="006B42D6" w:rsidRDefault="00A16694" w:rsidP="004F4506">
            <w:pPr>
              <w:jc w:val="center"/>
              <w:rPr>
                <w:sz w:val="16"/>
                <w:szCs w:val="16"/>
              </w:rPr>
            </w:pPr>
            <w:r w:rsidRPr="006B42D6">
              <w:rPr>
                <w:sz w:val="16"/>
                <w:szCs w:val="16"/>
              </w:rPr>
              <w:t>-</w:t>
            </w:r>
          </w:p>
        </w:tc>
        <w:tc>
          <w:tcPr>
            <w:tcW w:w="654" w:type="pct"/>
            <w:tcBorders>
              <w:top w:val="nil"/>
              <w:left w:val="nil"/>
              <w:bottom w:val="nil"/>
              <w:right w:val="nil"/>
            </w:tcBorders>
            <w:shd w:val="clear" w:color="auto" w:fill="auto"/>
            <w:noWrap/>
            <w:vAlign w:val="center"/>
            <w:hideMark/>
          </w:tcPr>
          <w:p w14:paraId="0B04B5B8" w14:textId="699DF543" w:rsidR="00A16694" w:rsidRPr="006B42D6" w:rsidRDefault="00A16694" w:rsidP="004F4506">
            <w:pPr>
              <w:jc w:val="center"/>
              <w:rPr>
                <w:sz w:val="16"/>
                <w:szCs w:val="16"/>
              </w:rPr>
            </w:pPr>
            <w:r w:rsidRPr="006B42D6">
              <w:rPr>
                <w:sz w:val="16"/>
                <w:szCs w:val="16"/>
              </w:rPr>
              <w:t>1,924</w:t>
            </w:r>
          </w:p>
        </w:tc>
        <w:tc>
          <w:tcPr>
            <w:tcW w:w="654" w:type="pct"/>
            <w:tcBorders>
              <w:top w:val="nil"/>
              <w:left w:val="nil"/>
              <w:bottom w:val="nil"/>
              <w:right w:val="nil"/>
            </w:tcBorders>
            <w:shd w:val="clear" w:color="auto" w:fill="auto"/>
            <w:noWrap/>
            <w:vAlign w:val="center"/>
            <w:hideMark/>
          </w:tcPr>
          <w:p w14:paraId="4EBC0299" w14:textId="327E3535" w:rsidR="00A16694" w:rsidRPr="006B42D6" w:rsidRDefault="00A16694" w:rsidP="004F4506">
            <w:pPr>
              <w:jc w:val="center"/>
              <w:rPr>
                <w:sz w:val="16"/>
                <w:szCs w:val="16"/>
              </w:rPr>
            </w:pPr>
            <w:r w:rsidRPr="006B42D6">
              <w:rPr>
                <w:sz w:val="16"/>
                <w:szCs w:val="16"/>
              </w:rPr>
              <w:t>-</w:t>
            </w:r>
          </w:p>
        </w:tc>
        <w:tc>
          <w:tcPr>
            <w:tcW w:w="662" w:type="pct"/>
            <w:tcBorders>
              <w:top w:val="nil"/>
              <w:left w:val="nil"/>
              <w:bottom w:val="nil"/>
              <w:right w:val="nil"/>
            </w:tcBorders>
            <w:shd w:val="clear" w:color="auto" w:fill="auto"/>
            <w:noWrap/>
            <w:vAlign w:val="center"/>
            <w:hideMark/>
          </w:tcPr>
          <w:p w14:paraId="1DBC8E9C" w14:textId="6104F3E9" w:rsidR="00A16694" w:rsidRPr="006B42D6" w:rsidRDefault="00A16694" w:rsidP="004F4506">
            <w:pPr>
              <w:jc w:val="center"/>
              <w:rPr>
                <w:sz w:val="16"/>
                <w:szCs w:val="16"/>
              </w:rPr>
            </w:pPr>
            <w:r w:rsidRPr="006B42D6">
              <w:rPr>
                <w:sz w:val="16"/>
                <w:szCs w:val="16"/>
              </w:rPr>
              <w:t>4,131</w:t>
            </w:r>
          </w:p>
        </w:tc>
      </w:tr>
      <w:tr w:rsidR="006B42D6" w:rsidRPr="006B42D6" w14:paraId="6208A3F9" w14:textId="77777777" w:rsidTr="00E743F9">
        <w:trPr>
          <w:trHeight w:hRule="exact" w:val="312"/>
        </w:trPr>
        <w:tc>
          <w:tcPr>
            <w:tcW w:w="1069" w:type="pct"/>
            <w:tcBorders>
              <w:top w:val="nil"/>
              <w:left w:val="nil"/>
              <w:bottom w:val="nil"/>
              <w:right w:val="nil"/>
            </w:tcBorders>
            <w:shd w:val="clear" w:color="auto" w:fill="auto"/>
            <w:noWrap/>
            <w:vAlign w:val="center"/>
            <w:hideMark/>
          </w:tcPr>
          <w:p w14:paraId="565FB36D" w14:textId="35391F5B" w:rsidR="00A16694" w:rsidRPr="006B42D6" w:rsidRDefault="00A16694" w:rsidP="00CE4D05">
            <w:pPr>
              <w:jc w:val="left"/>
              <w:rPr>
                <w:sz w:val="16"/>
                <w:szCs w:val="16"/>
              </w:rPr>
            </w:pPr>
            <w:r w:rsidRPr="006B42D6">
              <w:rPr>
                <w:sz w:val="16"/>
                <w:szCs w:val="16"/>
              </w:rPr>
              <w:t>Kusini Unguja</w:t>
            </w:r>
          </w:p>
        </w:tc>
        <w:tc>
          <w:tcPr>
            <w:tcW w:w="654" w:type="pct"/>
            <w:tcBorders>
              <w:top w:val="nil"/>
              <w:left w:val="nil"/>
              <w:bottom w:val="nil"/>
              <w:right w:val="nil"/>
            </w:tcBorders>
            <w:shd w:val="clear" w:color="auto" w:fill="auto"/>
            <w:noWrap/>
            <w:vAlign w:val="center"/>
            <w:hideMark/>
          </w:tcPr>
          <w:p w14:paraId="30734666" w14:textId="3875F0B2" w:rsidR="00A16694" w:rsidRPr="006B42D6" w:rsidRDefault="00A16694" w:rsidP="004F4506">
            <w:pPr>
              <w:jc w:val="center"/>
              <w:rPr>
                <w:sz w:val="16"/>
                <w:szCs w:val="16"/>
              </w:rPr>
            </w:pPr>
            <w:r w:rsidRPr="006B42D6">
              <w:rPr>
                <w:sz w:val="16"/>
                <w:szCs w:val="16"/>
              </w:rPr>
              <w:t>3,099</w:t>
            </w:r>
          </w:p>
        </w:tc>
        <w:tc>
          <w:tcPr>
            <w:tcW w:w="654" w:type="pct"/>
            <w:tcBorders>
              <w:top w:val="nil"/>
              <w:left w:val="nil"/>
              <w:bottom w:val="nil"/>
              <w:right w:val="nil"/>
            </w:tcBorders>
            <w:shd w:val="clear" w:color="auto" w:fill="auto"/>
            <w:noWrap/>
            <w:vAlign w:val="center"/>
            <w:hideMark/>
          </w:tcPr>
          <w:p w14:paraId="51607CD0" w14:textId="4CD8C828" w:rsidR="00A16694" w:rsidRPr="006B42D6" w:rsidRDefault="00A16694" w:rsidP="004F4506">
            <w:pPr>
              <w:jc w:val="center"/>
              <w:rPr>
                <w:sz w:val="16"/>
                <w:szCs w:val="16"/>
              </w:rPr>
            </w:pPr>
            <w:r w:rsidRPr="006B42D6">
              <w:rPr>
                <w:sz w:val="16"/>
                <w:szCs w:val="16"/>
              </w:rPr>
              <w:t>-</w:t>
            </w:r>
          </w:p>
        </w:tc>
        <w:tc>
          <w:tcPr>
            <w:tcW w:w="654" w:type="pct"/>
            <w:tcBorders>
              <w:top w:val="nil"/>
              <w:left w:val="nil"/>
              <w:bottom w:val="nil"/>
              <w:right w:val="nil"/>
            </w:tcBorders>
            <w:shd w:val="clear" w:color="auto" w:fill="auto"/>
            <w:noWrap/>
            <w:vAlign w:val="center"/>
            <w:hideMark/>
          </w:tcPr>
          <w:p w14:paraId="7DA11585" w14:textId="56DACE71" w:rsidR="00A16694" w:rsidRPr="006B42D6" w:rsidRDefault="00A16694" w:rsidP="004F4506">
            <w:pPr>
              <w:jc w:val="center"/>
              <w:rPr>
                <w:sz w:val="16"/>
                <w:szCs w:val="16"/>
              </w:rPr>
            </w:pPr>
            <w:r w:rsidRPr="006B42D6">
              <w:rPr>
                <w:sz w:val="16"/>
                <w:szCs w:val="16"/>
              </w:rPr>
              <w:t>-</w:t>
            </w:r>
          </w:p>
        </w:tc>
        <w:tc>
          <w:tcPr>
            <w:tcW w:w="654" w:type="pct"/>
            <w:tcBorders>
              <w:top w:val="nil"/>
              <w:left w:val="nil"/>
              <w:bottom w:val="nil"/>
              <w:right w:val="nil"/>
            </w:tcBorders>
            <w:shd w:val="clear" w:color="auto" w:fill="auto"/>
            <w:noWrap/>
            <w:vAlign w:val="center"/>
            <w:hideMark/>
          </w:tcPr>
          <w:p w14:paraId="27C386FB" w14:textId="4FBD550D" w:rsidR="00A16694" w:rsidRPr="006B42D6" w:rsidRDefault="00A16694" w:rsidP="004F4506">
            <w:pPr>
              <w:jc w:val="center"/>
              <w:rPr>
                <w:sz w:val="16"/>
                <w:szCs w:val="16"/>
              </w:rPr>
            </w:pPr>
            <w:r w:rsidRPr="006B42D6">
              <w:rPr>
                <w:sz w:val="16"/>
                <w:szCs w:val="16"/>
              </w:rPr>
              <w:t>2,891</w:t>
            </w:r>
          </w:p>
        </w:tc>
        <w:tc>
          <w:tcPr>
            <w:tcW w:w="654" w:type="pct"/>
            <w:tcBorders>
              <w:top w:val="nil"/>
              <w:left w:val="nil"/>
              <w:bottom w:val="nil"/>
              <w:right w:val="nil"/>
            </w:tcBorders>
            <w:shd w:val="clear" w:color="auto" w:fill="auto"/>
            <w:noWrap/>
            <w:vAlign w:val="center"/>
            <w:hideMark/>
          </w:tcPr>
          <w:p w14:paraId="131E01CF" w14:textId="6F250B23" w:rsidR="00A16694" w:rsidRPr="006B42D6" w:rsidRDefault="00A16694" w:rsidP="004F4506">
            <w:pPr>
              <w:jc w:val="center"/>
              <w:rPr>
                <w:sz w:val="16"/>
                <w:szCs w:val="16"/>
              </w:rPr>
            </w:pPr>
            <w:r w:rsidRPr="006B42D6">
              <w:rPr>
                <w:sz w:val="16"/>
                <w:szCs w:val="16"/>
              </w:rPr>
              <w:t>1,550</w:t>
            </w:r>
          </w:p>
        </w:tc>
        <w:tc>
          <w:tcPr>
            <w:tcW w:w="662" w:type="pct"/>
            <w:tcBorders>
              <w:top w:val="nil"/>
              <w:left w:val="nil"/>
              <w:bottom w:val="nil"/>
              <w:right w:val="nil"/>
            </w:tcBorders>
            <w:shd w:val="clear" w:color="auto" w:fill="auto"/>
            <w:noWrap/>
            <w:vAlign w:val="center"/>
            <w:hideMark/>
          </w:tcPr>
          <w:p w14:paraId="013825A4" w14:textId="78B7AC6D" w:rsidR="00A16694" w:rsidRPr="006B42D6" w:rsidRDefault="00A16694" w:rsidP="004F4506">
            <w:pPr>
              <w:jc w:val="center"/>
              <w:rPr>
                <w:sz w:val="16"/>
                <w:szCs w:val="16"/>
              </w:rPr>
            </w:pPr>
            <w:r w:rsidRPr="006B42D6">
              <w:rPr>
                <w:sz w:val="16"/>
                <w:szCs w:val="16"/>
              </w:rPr>
              <w:t>-</w:t>
            </w:r>
          </w:p>
        </w:tc>
      </w:tr>
      <w:tr w:rsidR="006B42D6" w:rsidRPr="006B42D6" w14:paraId="158A0C98" w14:textId="77777777" w:rsidTr="00E743F9">
        <w:trPr>
          <w:trHeight w:hRule="exact" w:val="312"/>
        </w:trPr>
        <w:tc>
          <w:tcPr>
            <w:tcW w:w="1069" w:type="pct"/>
            <w:tcBorders>
              <w:top w:val="nil"/>
              <w:left w:val="nil"/>
              <w:bottom w:val="nil"/>
              <w:right w:val="nil"/>
            </w:tcBorders>
            <w:shd w:val="clear" w:color="auto" w:fill="auto"/>
            <w:noWrap/>
            <w:vAlign w:val="center"/>
            <w:hideMark/>
          </w:tcPr>
          <w:p w14:paraId="0087656C" w14:textId="79A7C413" w:rsidR="00A16694" w:rsidRPr="006B42D6" w:rsidRDefault="00A16694" w:rsidP="00CE4D05">
            <w:pPr>
              <w:jc w:val="left"/>
              <w:rPr>
                <w:sz w:val="16"/>
                <w:szCs w:val="16"/>
              </w:rPr>
            </w:pPr>
            <w:r w:rsidRPr="006B42D6">
              <w:rPr>
                <w:sz w:val="16"/>
                <w:szCs w:val="16"/>
              </w:rPr>
              <w:t>Mjini Magharibi</w:t>
            </w:r>
          </w:p>
        </w:tc>
        <w:tc>
          <w:tcPr>
            <w:tcW w:w="654" w:type="pct"/>
            <w:tcBorders>
              <w:top w:val="nil"/>
              <w:left w:val="nil"/>
              <w:bottom w:val="nil"/>
              <w:right w:val="nil"/>
            </w:tcBorders>
            <w:shd w:val="clear" w:color="auto" w:fill="auto"/>
            <w:noWrap/>
            <w:vAlign w:val="center"/>
            <w:hideMark/>
          </w:tcPr>
          <w:p w14:paraId="654A96A1" w14:textId="02731BF4" w:rsidR="00A16694" w:rsidRPr="006B42D6" w:rsidRDefault="00A16694" w:rsidP="004F4506">
            <w:pPr>
              <w:jc w:val="center"/>
              <w:rPr>
                <w:sz w:val="16"/>
                <w:szCs w:val="16"/>
              </w:rPr>
            </w:pPr>
            <w:r w:rsidRPr="006B42D6">
              <w:rPr>
                <w:sz w:val="16"/>
                <w:szCs w:val="16"/>
              </w:rPr>
              <w:t>3,571</w:t>
            </w:r>
          </w:p>
        </w:tc>
        <w:tc>
          <w:tcPr>
            <w:tcW w:w="654" w:type="pct"/>
            <w:tcBorders>
              <w:top w:val="nil"/>
              <w:left w:val="nil"/>
              <w:bottom w:val="nil"/>
              <w:right w:val="nil"/>
            </w:tcBorders>
            <w:shd w:val="clear" w:color="auto" w:fill="auto"/>
            <w:noWrap/>
            <w:vAlign w:val="center"/>
            <w:hideMark/>
          </w:tcPr>
          <w:p w14:paraId="798199BE" w14:textId="5683ECE9" w:rsidR="00A16694" w:rsidRPr="006B42D6" w:rsidRDefault="00A16694" w:rsidP="004F4506">
            <w:pPr>
              <w:jc w:val="center"/>
              <w:rPr>
                <w:sz w:val="16"/>
                <w:szCs w:val="16"/>
              </w:rPr>
            </w:pPr>
            <w:r w:rsidRPr="006B42D6">
              <w:rPr>
                <w:sz w:val="16"/>
                <w:szCs w:val="16"/>
              </w:rPr>
              <w:t>-</w:t>
            </w:r>
          </w:p>
        </w:tc>
        <w:tc>
          <w:tcPr>
            <w:tcW w:w="654" w:type="pct"/>
            <w:tcBorders>
              <w:top w:val="nil"/>
              <w:left w:val="nil"/>
              <w:bottom w:val="nil"/>
              <w:right w:val="nil"/>
            </w:tcBorders>
            <w:shd w:val="clear" w:color="auto" w:fill="auto"/>
            <w:noWrap/>
            <w:vAlign w:val="center"/>
            <w:hideMark/>
          </w:tcPr>
          <w:p w14:paraId="7BF411F8" w14:textId="7B2DD206" w:rsidR="00A16694" w:rsidRPr="006B42D6" w:rsidRDefault="00A16694" w:rsidP="004F4506">
            <w:pPr>
              <w:jc w:val="center"/>
              <w:rPr>
                <w:sz w:val="16"/>
                <w:szCs w:val="16"/>
              </w:rPr>
            </w:pPr>
            <w:r w:rsidRPr="006B42D6">
              <w:rPr>
                <w:sz w:val="16"/>
                <w:szCs w:val="16"/>
              </w:rPr>
              <w:t>-</w:t>
            </w:r>
          </w:p>
        </w:tc>
        <w:tc>
          <w:tcPr>
            <w:tcW w:w="654" w:type="pct"/>
            <w:tcBorders>
              <w:top w:val="nil"/>
              <w:left w:val="nil"/>
              <w:bottom w:val="nil"/>
              <w:right w:val="nil"/>
            </w:tcBorders>
            <w:shd w:val="clear" w:color="auto" w:fill="auto"/>
            <w:noWrap/>
            <w:vAlign w:val="center"/>
            <w:hideMark/>
          </w:tcPr>
          <w:p w14:paraId="5D625259" w14:textId="372ABE8A" w:rsidR="00A16694" w:rsidRPr="006B42D6" w:rsidRDefault="00A16694" w:rsidP="004F4506">
            <w:pPr>
              <w:jc w:val="center"/>
              <w:rPr>
                <w:sz w:val="16"/>
                <w:szCs w:val="16"/>
              </w:rPr>
            </w:pPr>
            <w:r w:rsidRPr="006B42D6">
              <w:rPr>
                <w:sz w:val="16"/>
                <w:szCs w:val="16"/>
              </w:rPr>
              <w:t>5,303</w:t>
            </w:r>
          </w:p>
        </w:tc>
        <w:tc>
          <w:tcPr>
            <w:tcW w:w="654" w:type="pct"/>
            <w:tcBorders>
              <w:top w:val="nil"/>
              <w:left w:val="nil"/>
              <w:bottom w:val="nil"/>
              <w:right w:val="nil"/>
            </w:tcBorders>
            <w:shd w:val="clear" w:color="auto" w:fill="auto"/>
            <w:noWrap/>
            <w:vAlign w:val="center"/>
            <w:hideMark/>
          </w:tcPr>
          <w:p w14:paraId="1FFE18E5" w14:textId="11FA32BA" w:rsidR="00A16694" w:rsidRPr="006B42D6" w:rsidRDefault="00A16694" w:rsidP="004F4506">
            <w:pPr>
              <w:jc w:val="center"/>
              <w:rPr>
                <w:sz w:val="16"/>
                <w:szCs w:val="16"/>
              </w:rPr>
            </w:pPr>
            <w:r w:rsidRPr="006B42D6">
              <w:rPr>
                <w:sz w:val="16"/>
                <w:szCs w:val="16"/>
              </w:rPr>
              <w:t>2,368</w:t>
            </w:r>
          </w:p>
        </w:tc>
        <w:tc>
          <w:tcPr>
            <w:tcW w:w="662" w:type="pct"/>
            <w:tcBorders>
              <w:top w:val="nil"/>
              <w:left w:val="nil"/>
              <w:bottom w:val="nil"/>
              <w:right w:val="nil"/>
            </w:tcBorders>
            <w:shd w:val="clear" w:color="auto" w:fill="auto"/>
            <w:noWrap/>
            <w:vAlign w:val="center"/>
            <w:hideMark/>
          </w:tcPr>
          <w:p w14:paraId="720DC6A1" w14:textId="2104C684" w:rsidR="00A16694" w:rsidRPr="006B42D6" w:rsidRDefault="00A16694" w:rsidP="004F4506">
            <w:pPr>
              <w:jc w:val="center"/>
              <w:rPr>
                <w:sz w:val="16"/>
                <w:szCs w:val="16"/>
              </w:rPr>
            </w:pPr>
            <w:r w:rsidRPr="006B42D6">
              <w:rPr>
                <w:sz w:val="16"/>
                <w:szCs w:val="16"/>
              </w:rPr>
              <w:t>19,381</w:t>
            </w:r>
          </w:p>
        </w:tc>
      </w:tr>
      <w:tr w:rsidR="006B42D6" w:rsidRPr="006B42D6" w14:paraId="327F6A37" w14:textId="77777777" w:rsidTr="00E743F9">
        <w:trPr>
          <w:trHeight w:hRule="exact" w:val="312"/>
        </w:trPr>
        <w:tc>
          <w:tcPr>
            <w:tcW w:w="1069" w:type="pct"/>
            <w:tcBorders>
              <w:top w:val="nil"/>
              <w:left w:val="nil"/>
              <w:bottom w:val="nil"/>
              <w:right w:val="nil"/>
            </w:tcBorders>
            <w:shd w:val="clear" w:color="auto" w:fill="auto"/>
            <w:noWrap/>
            <w:vAlign w:val="center"/>
            <w:hideMark/>
          </w:tcPr>
          <w:p w14:paraId="6C11F1AB" w14:textId="67BD47CF" w:rsidR="00A16694" w:rsidRPr="006B42D6" w:rsidRDefault="00A16694" w:rsidP="00CE4D05">
            <w:pPr>
              <w:jc w:val="left"/>
              <w:rPr>
                <w:sz w:val="16"/>
                <w:szCs w:val="16"/>
              </w:rPr>
            </w:pPr>
            <w:r w:rsidRPr="006B42D6">
              <w:rPr>
                <w:sz w:val="16"/>
                <w:szCs w:val="16"/>
              </w:rPr>
              <w:t>Kaskazini Pemba</w:t>
            </w:r>
          </w:p>
        </w:tc>
        <w:tc>
          <w:tcPr>
            <w:tcW w:w="654" w:type="pct"/>
            <w:tcBorders>
              <w:top w:val="nil"/>
              <w:left w:val="nil"/>
              <w:bottom w:val="nil"/>
              <w:right w:val="nil"/>
            </w:tcBorders>
            <w:shd w:val="clear" w:color="auto" w:fill="auto"/>
            <w:noWrap/>
            <w:vAlign w:val="center"/>
            <w:hideMark/>
          </w:tcPr>
          <w:p w14:paraId="07710DC8" w14:textId="784F8DA4" w:rsidR="00A16694" w:rsidRPr="006B42D6" w:rsidRDefault="00A16694" w:rsidP="004F4506">
            <w:pPr>
              <w:jc w:val="center"/>
              <w:rPr>
                <w:sz w:val="16"/>
                <w:szCs w:val="16"/>
              </w:rPr>
            </w:pPr>
            <w:r w:rsidRPr="006B42D6">
              <w:rPr>
                <w:sz w:val="16"/>
                <w:szCs w:val="16"/>
              </w:rPr>
              <w:t>286</w:t>
            </w:r>
          </w:p>
        </w:tc>
        <w:tc>
          <w:tcPr>
            <w:tcW w:w="654" w:type="pct"/>
            <w:tcBorders>
              <w:top w:val="nil"/>
              <w:left w:val="nil"/>
              <w:bottom w:val="nil"/>
              <w:right w:val="nil"/>
            </w:tcBorders>
            <w:shd w:val="clear" w:color="auto" w:fill="auto"/>
            <w:noWrap/>
            <w:vAlign w:val="center"/>
            <w:hideMark/>
          </w:tcPr>
          <w:p w14:paraId="172A716C" w14:textId="71B8D4D0" w:rsidR="00A16694" w:rsidRPr="006B42D6" w:rsidRDefault="00A16694" w:rsidP="004F4506">
            <w:pPr>
              <w:jc w:val="center"/>
              <w:rPr>
                <w:sz w:val="16"/>
                <w:szCs w:val="16"/>
              </w:rPr>
            </w:pPr>
            <w:r w:rsidRPr="006B42D6">
              <w:rPr>
                <w:sz w:val="16"/>
                <w:szCs w:val="16"/>
              </w:rPr>
              <w:t>459</w:t>
            </w:r>
          </w:p>
        </w:tc>
        <w:tc>
          <w:tcPr>
            <w:tcW w:w="654" w:type="pct"/>
            <w:tcBorders>
              <w:top w:val="nil"/>
              <w:left w:val="nil"/>
              <w:bottom w:val="nil"/>
              <w:right w:val="nil"/>
            </w:tcBorders>
            <w:shd w:val="clear" w:color="auto" w:fill="auto"/>
            <w:noWrap/>
            <w:vAlign w:val="center"/>
            <w:hideMark/>
          </w:tcPr>
          <w:p w14:paraId="524E05D0" w14:textId="70B3811F" w:rsidR="00A16694" w:rsidRPr="006B42D6" w:rsidRDefault="00A16694" w:rsidP="004F4506">
            <w:pPr>
              <w:jc w:val="center"/>
              <w:rPr>
                <w:sz w:val="16"/>
                <w:szCs w:val="16"/>
              </w:rPr>
            </w:pPr>
            <w:r w:rsidRPr="006B42D6">
              <w:rPr>
                <w:sz w:val="16"/>
                <w:szCs w:val="16"/>
              </w:rPr>
              <w:t>-</w:t>
            </w:r>
          </w:p>
        </w:tc>
        <w:tc>
          <w:tcPr>
            <w:tcW w:w="654" w:type="pct"/>
            <w:tcBorders>
              <w:top w:val="nil"/>
              <w:left w:val="nil"/>
              <w:bottom w:val="nil"/>
              <w:right w:val="nil"/>
            </w:tcBorders>
            <w:shd w:val="clear" w:color="auto" w:fill="auto"/>
            <w:noWrap/>
            <w:vAlign w:val="center"/>
            <w:hideMark/>
          </w:tcPr>
          <w:p w14:paraId="1641E4A4" w14:textId="4E72A0BD" w:rsidR="00A16694" w:rsidRPr="006B42D6" w:rsidRDefault="00A16694" w:rsidP="004F4506">
            <w:pPr>
              <w:jc w:val="center"/>
              <w:rPr>
                <w:sz w:val="16"/>
                <w:szCs w:val="16"/>
              </w:rPr>
            </w:pPr>
            <w:r w:rsidRPr="006B42D6">
              <w:rPr>
                <w:sz w:val="16"/>
                <w:szCs w:val="16"/>
              </w:rPr>
              <w:t>-</w:t>
            </w:r>
          </w:p>
        </w:tc>
        <w:tc>
          <w:tcPr>
            <w:tcW w:w="654" w:type="pct"/>
            <w:tcBorders>
              <w:top w:val="nil"/>
              <w:left w:val="nil"/>
              <w:bottom w:val="nil"/>
              <w:right w:val="nil"/>
            </w:tcBorders>
            <w:shd w:val="clear" w:color="auto" w:fill="auto"/>
            <w:noWrap/>
            <w:vAlign w:val="center"/>
            <w:hideMark/>
          </w:tcPr>
          <w:p w14:paraId="78ED2684" w14:textId="2BD6D208" w:rsidR="00A16694" w:rsidRPr="006B42D6" w:rsidRDefault="00A16694" w:rsidP="004F4506">
            <w:pPr>
              <w:jc w:val="center"/>
              <w:rPr>
                <w:sz w:val="16"/>
                <w:szCs w:val="16"/>
              </w:rPr>
            </w:pPr>
            <w:r w:rsidRPr="006B42D6">
              <w:rPr>
                <w:sz w:val="16"/>
                <w:szCs w:val="16"/>
              </w:rPr>
              <w:t>-</w:t>
            </w:r>
          </w:p>
        </w:tc>
        <w:tc>
          <w:tcPr>
            <w:tcW w:w="662" w:type="pct"/>
            <w:tcBorders>
              <w:top w:val="nil"/>
              <w:left w:val="nil"/>
              <w:bottom w:val="nil"/>
              <w:right w:val="nil"/>
            </w:tcBorders>
            <w:shd w:val="clear" w:color="auto" w:fill="auto"/>
            <w:noWrap/>
            <w:vAlign w:val="center"/>
            <w:hideMark/>
          </w:tcPr>
          <w:p w14:paraId="3CEB85F9" w14:textId="32D2C7D5" w:rsidR="00A16694" w:rsidRPr="006B42D6" w:rsidRDefault="00A16694" w:rsidP="004F4506">
            <w:pPr>
              <w:jc w:val="center"/>
              <w:rPr>
                <w:sz w:val="16"/>
                <w:szCs w:val="16"/>
              </w:rPr>
            </w:pPr>
            <w:r w:rsidRPr="006B42D6">
              <w:rPr>
                <w:sz w:val="16"/>
                <w:szCs w:val="16"/>
              </w:rPr>
              <w:t>286</w:t>
            </w:r>
          </w:p>
        </w:tc>
      </w:tr>
      <w:tr w:rsidR="006B42D6" w:rsidRPr="006B42D6" w14:paraId="7B7B9918" w14:textId="77777777" w:rsidTr="00E743F9">
        <w:trPr>
          <w:trHeight w:hRule="exact" w:val="312"/>
        </w:trPr>
        <w:tc>
          <w:tcPr>
            <w:tcW w:w="1069" w:type="pct"/>
            <w:tcBorders>
              <w:top w:val="nil"/>
              <w:left w:val="nil"/>
              <w:bottom w:val="nil"/>
              <w:right w:val="nil"/>
            </w:tcBorders>
            <w:shd w:val="clear" w:color="auto" w:fill="auto"/>
            <w:noWrap/>
            <w:vAlign w:val="center"/>
            <w:hideMark/>
          </w:tcPr>
          <w:p w14:paraId="5D1A81C4" w14:textId="61AEBE5E" w:rsidR="00A16694" w:rsidRPr="006B42D6" w:rsidRDefault="00A16694" w:rsidP="00CE4D05">
            <w:pPr>
              <w:jc w:val="left"/>
              <w:rPr>
                <w:sz w:val="16"/>
                <w:szCs w:val="16"/>
              </w:rPr>
            </w:pPr>
            <w:r w:rsidRPr="006B42D6">
              <w:rPr>
                <w:sz w:val="16"/>
                <w:szCs w:val="16"/>
              </w:rPr>
              <w:t>Kusini Pemba</w:t>
            </w:r>
          </w:p>
        </w:tc>
        <w:tc>
          <w:tcPr>
            <w:tcW w:w="654" w:type="pct"/>
            <w:tcBorders>
              <w:top w:val="nil"/>
              <w:left w:val="nil"/>
              <w:bottom w:val="nil"/>
              <w:right w:val="nil"/>
            </w:tcBorders>
            <w:shd w:val="clear" w:color="auto" w:fill="auto"/>
            <w:noWrap/>
            <w:vAlign w:val="center"/>
            <w:hideMark/>
          </w:tcPr>
          <w:p w14:paraId="5CF12879" w14:textId="1DDA7C30" w:rsidR="00A16694" w:rsidRPr="006B42D6" w:rsidRDefault="00A16694" w:rsidP="004F4506">
            <w:pPr>
              <w:jc w:val="center"/>
              <w:rPr>
                <w:sz w:val="16"/>
                <w:szCs w:val="16"/>
              </w:rPr>
            </w:pPr>
            <w:r w:rsidRPr="006B42D6">
              <w:rPr>
                <w:sz w:val="16"/>
                <w:szCs w:val="16"/>
              </w:rPr>
              <w:t>3,827</w:t>
            </w:r>
          </w:p>
        </w:tc>
        <w:tc>
          <w:tcPr>
            <w:tcW w:w="654" w:type="pct"/>
            <w:tcBorders>
              <w:top w:val="nil"/>
              <w:left w:val="nil"/>
              <w:bottom w:val="nil"/>
              <w:right w:val="nil"/>
            </w:tcBorders>
            <w:shd w:val="clear" w:color="auto" w:fill="auto"/>
            <w:noWrap/>
            <w:vAlign w:val="center"/>
            <w:hideMark/>
          </w:tcPr>
          <w:p w14:paraId="2AAA95DB" w14:textId="2C161C1B" w:rsidR="00A16694" w:rsidRPr="006B42D6" w:rsidRDefault="00A16694" w:rsidP="004F4506">
            <w:pPr>
              <w:jc w:val="center"/>
              <w:rPr>
                <w:sz w:val="16"/>
                <w:szCs w:val="16"/>
              </w:rPr>
            </w:pPr>
            <w:r w:rsidRPr="006B42D6">
              <w:rPr>
                <w:sz w:val="16"/>
                <w:szCs w:val="16"/>
              </w:rPr>
              <w:t>-</w:t>
            </w:r>
          </w:p>
        </w:tc>
        <w:tc>
          <w:tcPr>
            <w:tcW w:w="654" w:type="pct"/>
            <w:tcBorders>
              <w:top w:val="nil"/>
              <w:left w:val="nil"/>
              <w:bottom w:val="nil"/>
              <w:right w:val="nil"/>
            </w:tcBorders>
            <w:shd w:val="clear" w:color="auto" w:fill="auto"/>
            <w:noWrap/>
            <w:vAlign w:val="center"/>
            <w:hideMark/>
          </w:tcPr>
          <w:p w14:paraId="6D43BB9C" w14:textId="4454F5BD" w:rsidR="00A16694" w:rsidRPr="006B42D6" w:rsidRDefault="00A16694" w:rsidP="004F4506">
            <w:pPr>
              <w:jc w:val="center"/>
              <w:rPr>
                <w:sz w:val="16"/>
                <w:szCs w:val="16"/>
              </w:rPr>
            </w:pPr>
            <w:r w:rsidRPr="006B42D6">
              <w:rPr>
                <w:sz w:val="16"/>
                <w:szCs w:val="16"/>
              </w:rPr>
              <w:t>-</w:t>
            </w:r>
          </w:p>
        </w:tc>
        <w:tc>
          <w:tcPr>
            <w:tcW w:w="654" w:type="pct"/>
            <w:tcBorders>
              <w:top w:val="nil"/>
              <w:left w:val="nil"/>
              <w:bottom w:val="nil"/>
              <w:right w:val="nil"/>
            </w:tcBorders>
            <w:shd w:val="clear" w:color="auto" w:fill="auto"/>
            <w:noWrap/>
            <w:vAlign w:val="center"/>
            <w:hideMark/>
          </w:tcPr>
          <w:p w14:paraId="5A8153B2" w14:textId="3F972028" w:rsidR="00A16694" w:rsidRPr="006B42D6" w:rsidRDefault="00A16694" w:rsidP="004F4506">
            <w:pPr>
              <w:jc w:val="center"/>
              <w:rPr>
                <w:sz w:val="16"/>
                <w:szCs w:val="16"/>
              </w:rPr>
            </w:pPr>
            <w:r w:rsidRPr="006B42D6">
              <w:rPr>
                <w:sz w:val="16"/>
                <w:szCs w:val="16"/>
              </w:rPr>
              <w:t>1,962</w:t>
            </w:r>
          </w:p>
        </w:tc>
        <w:tc>
          <w:tcPr>
            <w:tcW w:w="654" w:type="pct"/>
            <w:tcBorders>
              <w:top w:val="nil"/>
              <w:left w:val="nil"/>
              <w:bottom w:val="nil"/>
              <w:right w:val="nil"/>
            </w:tcBorders>
            <w:shd w:val="clear" w:color="auto" w:fill="auto"/>
            <w:noWrap/>
            <w:vAlign w:val="center"/>
            <w:hideMark/>
          </w:tcPr>
          <w:p w14:paraId="2E74AF9A" w14:textId="1C153427" w:rsidR="00A16694" w:rsidRPr="006B42D6" w:rsidRDefault="00A16694" w:rsidP="004F4506">
            <w:pPr>
              <w:jc w:val="center"/>
              <w:rPr>
                <w:sz w:val="16"/>
                <w:szCs w:val="16"/>
              </w:rPr>
            </w:pPr>
            <w:r w:rsidRPr="006B42D6">
              <w:rPr>
                <w:sz w:val="16"/>
                <w:szCs w:val="16"/>
              </w:rPr>
              <w:t>-</w:t>
            </w:r>
          </w:p>
        </w:tc>
        <w:tc>
          <w:tcPr>
            <w:tcW w:w="662" w:type="pct"/>
            <w:tcBorders>
              <w:top w:val="nil"/>
              <w:left w:val="nil"/>
              <w:bottom w:val="nil"/>
              <w:right w:val="nil"/>
            </w:tcBorders>
            <w:shd w:val="clear" w:color="auto" w:fill="auto"/>
            <w:noWrap/>
            <w:vAlign w:val="center"/>
            <w:hideMark/>
          </w:tcPr>
          <w:p w14:paraId="4D817BEA" w14:textId="34F1F78F" w:rsidR="00A16694" w:rsidRPr="006B42D6" w:rsidRDefault="00A16694" w:rsidP="004F4506">
            <w:pPr>
              <w:jc w:val="center"/>
              <w:rPr>
                <w:sz w:val="16"/>
                <w:szCs w:val="16"/>
              </w:rPr>
            </w:pPr>
            <w:r w:rsidRPr="006B42D6">
              <w:rPr>
                <w:sz w:val="16"/>
                <w:szCs w:val="16"/>
              </w:rPr>
              <w:t>15,229</w:t>
            </w:r>
          </w:p>
        </w:tc>
      </w:tr>
      <w:tr w:rsidR="006B42D6" w:rsidRPr="006B42D6" w14:paraId="3065A3EC" w14:textId="77777777" w:rsidTr="00E743F9">
        <w:trPr>
          <w:trHeight w:hRule="exact" w:val="312"/>
        </w:trPr>
        <w:tc>
          <w:tcPr>
            <w:tcW w:w="1069" w:type="pct"/>
            <w:tcBorders>
              <w:top w:val="single" w:sz="4" w:space="0" w:color="auto"/>
              <w:left w:val="nil"/>
              <w:bottom w:val="single" w:sz="4" w:space="0" w:color="auto"/>
              <w:right w:val="nil"/>
            </w:tcBorders>
            <w:shd w:val="clear" w:color="auto" w:fill="E2EFD9" w:themeFill="accent6" w:themeFillTint="33"/>
            <w:noWrap/>
            <w:vAlign w:val="center"/>
            <w:hideMark/>
          </w:tcPr>
          <w:p w14:paraId="4FAD2CCC" w14:textId="62C2CD74" w:rsidR="00A16694" w:rsidRPr="006B42D6" w:rsidRDefault="00CE4D05" w:rsidP="00CE4D05">
            <w:pPr>
              <w:jc w:val="left"/>
              <w:rPr>
                <w:b/>
                <w:bCs/>
                <w:sz w:val="16"/>
                <w:szCs w:val="16"/>
              </w:rPr>
            </w:pPr>
            <w:r>
              <w:rPr>
                <w:b/>
                <w:bCs/>
                <w:sz w:val="16"/>
                <w:szCs w:val="16"/>
              </w:rPr>
              <w:t xml:space="preserve">Tanzania </w:t>
            </w:r>
            <w:r w:rsidR="00A16694" w:rsidRPr="006B42D6">
              <w:rPr>
                <w:b/>
                <w:bCs/>
                <w:sz w:val="16"/>
                <w:szCs w:val="16"/>
              </w:rPr>
              <w:t>Zanzibar</w:t>
            </w:r>
          </w:p>
        </w:tc>
        <w:tc>
          <w:tcPr>
            <w:tcW w:w="654" w:type="pct"/>
            <w:tcBorders>
              <w:top w:val="single" w:sz="4" w:space="0" w:color="auto"/>
              <w:left w:val="nil"/>
              <w:bottom w:val="single" w:sz="4" w:space="0" w:color="auto"/>
              <w:right w:val="nil"/>
            </w:tcBorders>
            <w:shd w:val="clear" w:color="auto" w:fill="E2EFD9" w:themeFill="accent6" w:themeFillTint="33"/>
            <w:noWrap/>
            <w:vAlign w:val="center"/>
            <w:hideMark/>
          </w:tcPr>
          <w:p w14:paraId="419C6A59" w14:textId="08E3EF10" w:rsidR="00A16694" w:rsidRPr="006B42D6" w:rsidRDefault="00A16694" w:rsidP="004F4506">
            <w:pPr>
              <w:jc w:val="center"/>
              <w:rPr>
                <w:b/>
                <w:bCs/>
                <w:sz w:val="16"/>
                <w:szCs w:val="16"/>
              </w:rPr>
            </w:pPr>
            <w:r w:rsidRPr="006B42D6">
              <w:rPr>
                <w:b/>
                <w:bCs/>
                <w:sz w:val="16"/>
                <w:szCs w:val="16"/>
              </w:rPr>
              <w:t>10,783</w:t>
            </w:r>
          </w:p>
        </w:tc>
        <w:tc>
          <w:tcPr>
            <w:tcW w:w="654" w:type="pct"/>
            <w:tcBorders>
              <w:top w:val="single" w:sz="4" w:space="0" w:color="auto"/>
              <w:left w:val="nil"/>
              <w:bottom w:val="single" w:sz="4" w:space="0" w:color="auto"/>
              <w:right w:val="nil"/>
            </w:tcBorders>
            <w:shd w:val="clear" w:color="auto" w:fill="E2EFD9" w:themeFill="accent6" w:themeFillTint="33"/>
            <w:noWrap/>
            <w:vAlign w:val="center"/>
            <w:hideMark/>
          </w:tcPr>
          <w:p w14:paraId="28A8A2D0" w14:textId="402F6A81" w:rsidR="00A16694" w:rsidRPr="006B42D6" w:rsidRDefault="00A16694" w:rsidP="004F4506">
            <w:pPr>
              <w:jc w:val="center"/>
              <w:rPr>
                <w:b/>
                <w:bCs/>
                <w:sz w:val="16"/>
                <w:szCs w:val="16"/>
              </w:rPr>
            </w:pPr>
            <w:r w:rsidRPr="006B42D6">
              <w:rPr>
                <w:b/>
                <w:bCs/>
                <w:sz w:val="16"/>
                <w:szCs w:val="16"/>
              </w:rPr>
              <w:t>525</w:t>
            </w:r>
          </w:p>
        </w:tc>
        <w:tc>
          <w:tcPr>
            <w:tcW w:w="654" w:type="pct"/>
            <w:tcBorders>
              <w:top w:val="single" w:sz="4" w:space="0" w:color="auto"/>
              <w:left w:val="nil"/>
              <w:bottom w:val="single" w:sz="4" w:space="0" w:color="auto"/>
              <w:right w:val="nil"/>
            </w:tcBorders>
            <w:shd w:val="clear" w:color="auto" w:fill="E2EFD9" w:themeFill="accent6" w:themeFillTint="33"/>
            <w:noWrap/>
            <w:vAlign w:val="center"/>
            <w:hideMark/>
          </w:tcPr>
          <w:p w14:paraId="687ACE2A" w14:textId="38C13FB8" w:rsidR="00A16694" w:rsidRPr="006B42D6" w:rsidRDefault="00A16694" w:rsidP="004F4506">
            <w:pPr>
              <w:jc w:val="center"/>
              <w:rPr>
                <w:b/>
                <w:bCs/>
                <w:sz w:val="16"/>
                <w:szCs w:val="16"/>
              </w:rPr>
            </w:pPr>
            <w:r w:rsidRPr="006B42D6">
              <w:rPr>
                <w:b/>
                <w:bCs/>
                <w:sz w:val="16"/>
                <w:szCs w:val="16"/>
              </w:rPr>
              <w:t>-</w:t>
            </w:r>
          </w:p>
        </w:tc>
        <w:tc>
          <w:tcPr>
            <w:tcW w:w="654" w:type="pct"/>
            <w:tcBorders>
              <w:top w:val="single" w:sz="4" w:space="0" w:color="auto"/>
              <w:left w:val="nil"/>
              <w:bottom w:val="single" w:sz="4" w:space="0" w:color="auto"/>
              <w:right w:val="nil"/>
            </w:tcBorders>
            <w:shd w:val="clear" w:color="auto" w:fill="E2EFD9" w:themeFill="accent6" w:themeFillTint="33"/>
            <w:noWrap/>
            <w:vAlign w:val="center"/>
            <w:hideMark/>
          </w:tcPr>
          <w:p w14:paraId="4A4421D6" w14:textId="344CC78F" w:rsidR="00A16694" w:rsidRPr="006B42D6" w:rsidRDefault="00A16694" w:rsidP="004F4506">
            <w:pPr>
              <w:jc w:val="center"/>
              <w:rPr>
                <w:b/>
                <w:bCs/>
                <w:sz w:val="16"/>
                <w:szCs w:val="16"/>
              </w:rPr>
            </w:pPr>
            <w:r w:rsidRPr="006B42D6">
              <w:rPr>
                <w:b/>
                <w:bCs/>
                <w:sz w:val="16"/>
                <w:szCs w:val="16"/>
              </w:rPr>
              <w:t>12,080</w:t>
            </w:r>
          </w:p>
        </w:tc>
        <w:tc>
          <w:tcPr>
            <w:tcW w:w="654" w:type="pct"/>
            <w:tcBorders>
              <w:top w:val="single" w:sz="4" w:space="0" w:color="auto"/>
              <w:left w:val="nil"/>
              <w:bottom w:val="single" w:sz="4" w:space="0" w:color="auto"/>
              <w:right w:val="nil"/>
            </w:tcBorders>
            <w:shd w:val="clear" w:color="auto" w:fill="E2EFD9" w:themeFill="accent6" w:themeFillTint="33"/>
            <w:noWrap/>
            <w:vAlign w:val="center"/>
            <w:hideMark/>
          </w:tcPr>
          <w:p w14:paraId="32D2DCE5" w14:textId="43C3F36B" w:rsidR="00A16694" w:rsidRPr="006B42D6" w:rsidRDefault="00A16694" w:rsidP="004F4506">
            <w:pPr>
              <w:jc w:val="center"/>
              <w:rPr>
                <w:b/>
                <w:bCs/>
                <w:sz w:val="16"/>
                <w:szCs w:val="16"/>
              </w:rPr>
            </w:pPr>
            <w:r w:rsidRPr="006B42D6">
              <w:rPr>
                <w:b/>
                <w:bCs/>
                <w:sz w:val="16"/>
                <w:szCs w:val="16"/>
              </w:rPr>
              <w:t>3,918</w:t>
            </w:r>
          </w:p>
        </w:tc>
        <w:tc>
          <w:tcPr>
            <w:tcW w:w="662" w:type="pct"/>
            <w:tcBorders>
              <w:top w:val="single" w:sz="4" w:space="0" w:color="auto"/>
              <w:left w:val="nil"/>
              <w:bottom w:val="single" w:sz="4" w:space="0" w:color="auto"/>
              <w:right w:val="nil"/>
            </w:tcBorders>
            <w:shd w:val="clear" w:color="auto" w:fill="E2EFD9" w:themeFill="accent6" w:themeFillTint="33"/>
            <w:noWrap/>
            <w:vAlign w:val="center"/>
            <w:hideMark/>
          </w:tcPr>
          <w:p w14:paraId="5E7101F9" w14:textId="6BD77837" w:rsidR="00A16694" w:rsidRPr="006B42D6" w:rsidRDefault="00A16694" w:rsidP="004F4506">
            <w:pPr>
              <w:jc w:val="center"/>
              <w:rPr>
                <w:b/>
                <w:bCs/>
                <w:sz w:val="16"/>
                <w:szCs w:val="16"/>
              </w:rPr>
            </w:pPr>
            <w:r w:rsidRPr="006B42D6">
              <w:rPr>
                <w:b/>
                <w:bCs/>
                <w:sz w:val="16"/>
                <w:szCs w:val="16"/>
              </w:rPr>
              <w:t>39,027</w:t>
            </w:r>
          </w:p>
        </w:tc>
      </w:tr>
      <w:tr w:rsidR="006B42D6" w:rsidRPr="006B42D6" w14:paraId="2017E1FE" w14:textId="77777777" w:rsidTr="00E743F9">
        <w:trPr>
          <w:trHeight w:hRule="exact" w:val="312"/>
        </w:trPr>
        <w:tc>
          <w:tcPr>
            <w:tcW w:w="1069" w:type="pct"/>
            <w:tcBorders>
              <w:top w:val="single" w:sz="4" w:space="0" w:color="auto"/>
              <w:left w:val="nil"/>
              <w:bottom w:val="single" w:sz="4" w:space="0" w:color="auto"/>
              <w:right w:val="nil"/>
            </w:tcBorders>
            <w:shd w:val="clear" w:color="auto" w:fill="E2EFD9" w:themeFill="accent6" w:themeFillTint="33"/>
            <w:noWrap/>
            <w:vAlign w:val="center"/>
            <w:hideMark/>
          </w:tcPr>
          <w:p w14:paraId="464E4EE1" w14:textId="72AE5702" w:rsidR="00A16694" w:rsidRPr="006B42D6" w:rsidRDefault="00A16694" w:rsidP="00CE4D05">
            <w:pPr>
              <w:jc w:val="left"/>
              <w:rPr>
                <w:b/>
                <w:bCs/>
                <w:sz w:val="16"/>
                <w:szCs w:val="16"/>
              </w:rPr>
            </w:pPr>
            <w:r w:rsidRPr="006B42D6">
              <w:rPr>
                <w:b/>
                <w:bCs/>
                <w:sz w:val="16"/>
                <w:szCs w:val="16"/>
              </w:rPr>
              <w:t>Tanzania</w:t>
            </w:r>
          </w:p>
        </w:tc>
        <w:tc>
          <w:tcPr>
            <w:tcW w:w="654" w:type="pct"/>
            <w:tcBorders>
              <w:top w:val="single" w:sz="4" w:space="0" w:color="auto"/>
              <w:left w:val="nil"/>
              <w:bottom w:val="single" w:sz="4" w:space="0" w:color="auto"/>
              <w:right w:val="nil"/>
            </w:tcBorders>
            <w:shd w:val="clear" w:color="auto" w:fill="E2EFD9" w:themeFill="accent6" w:themeFillTint="33"/>
            <w:noWrap/>
            <w:vAlign w:val="center"/>
            <w:hideMark/>
          </w:tcPr>
          <w:p w14:paraId="4534E5C7" w14:textId="5DA85EB8" w:rsidR="00A16694" w:rsidRPr="006B42D6" w:rsidRDefault="00A16694" w:rsidP="004F4506">
            <w:pPr>
              <w:jc w:val="center"/>
              <w:rPr>
                <w:b/>
                <w:bCs/>
                <w:sz w:val="16"/>
                <w:szCs w:val="16"/>
              </w:rPr>
            </w:pPr>
            <w:r w:rsidRPr="006B42D6">
              <w:rPr>
                <w:b/>
                <w:bCs/>
                <w:sz w:val="16"/>
                <w:szCs w:val="16"/>
              </w:rPr>
              <w:t>943,781</w:t>
            </w:r>
          </w:p>
        </w:tc>
        <w:tc>
          <w:tcPr>
            <w:tcW w:w="654" w:type="pct"/>
            <w:tcBorders>
              <w:top w:val="single" w:sz="4" w:space="0" w:color="auto"/>
              <w:left w:val="nil"/>
              <w:bottom w:val="single" w:sz="4" w:space="0" w:color="auto"/>
              <w:right w:val="nil"/>
            </w:tcBorders>
            <w:shd w:val="clear" w:color="auto" w:fill="E2EFD9" w:themeFill="accent6" w:themeFillTint="33"/>
            <w:noWrap/>
            <w:vAlign w:val="center"/>
            <w:hideMark/>
          </w:tcPr>
          <w:p w14:paraId="195FED8B" w14:textId="72142E21" w:rsidR="00A16694" w:rsidRPr="006B42D6" w:rsidRDefault="00A16694" w:rsidP="004F4506">
            <w:pPr>
              <w:jc w:val="center"/>
              <w:rPr>
                <w:b/>
                <w:bCs/>
                <w:sz w:val="16"/>
                <w:szCs w:val="16"/>
              </w:rPr>
            </w:pPr>
            <w:r w:rsidRPr="006B42D6">
              <w:rPr>
                <w:b/>
                <w:bCs/>
                <w:sz w:val="16"/>
                <w:szCs w:val="16"/>
              </w:rPr>
              <w:t>409,482</w:t>
            </w:r>
          </w:p>
        </w:tc>
        <w:tc>
          <w:tcPr>
            <w:tcW w:w="654" w:type="pct"/>
            <w:tcBorders>
              <w:top w:val="single" w:sz="4" w:space="0" w:color="auto"/>
              <w:left w:val="nil"/>
              <w:bottom w:val="single" w:sz="4" w:space="0" w:color="auto"/>
              <w:right w:val="nil"/>
            </w:tcBorders>
            <w:shd w:val="clear" w:color="auto" w:fill="E2EFD9" w:themeFill="accent6" w:themeFillTint="33"/>
            <w:noWrap/>
            <w:vAlign w:val="center"/>
            <w:hideMark/>
          </w:tcPr>
          <w:p w14:paraId="1028B6B4" w14:textId="64C90C2B" w:rsidR="00A16694" w:rsidRPr="006B42D6" w:rsidRDefault="00A16694" w:rsidP="004F4506">
            <w:pPr>
              <w:jc w:val="center"/>
              <w:rPr>
                <w:b/>
                <w:bCs/>
                <w:sz w:val="16"/>
                <w:szCs w:val="16"/>
              </w:rPr>
            </w:pPr>
            <w:r w:rsidRPr="006B42D6">
              <w:rPr>
                <w:b/>
                <w:bCs/>
                <w:sz w:val="16"/>
                <w:szCs w:val="16"/>
              </w:rPr>
              <w:t>183</w:t>
            </w:r>
          </w:p>
        </w:tc>
        <w:tc>
          <w:tcPr>
            <w:tcW w:w="654" w:type="pct"/>
            <w:tcBorders>
              <w:top w:val="single" w:sz="4" w:space="0" w:color="auto"/>
              <w:left w:val="nil"/>
              <w:bottom w:val="single" w:sz="4" w:space="0" w:color="auto"/>
              <w:right w:val="nil"/>
            </w:tcBorders>
            <w:shd w:val="clear" w:color="auto" w:fill="E2EFD9" w:themeFill="accent6" w:themeFillTint="33"/>
            <w:noWrap/>
            <w:vAlign w:val="center"/>
            <w:hideMark/>
          </w:tcPr>
          <w:p w14:paraId="04F5DCA1" w14:textId="5554A4DF" w:rsidR="00A16694" w:rsidRPr="006B42D6" w:rsidRDefault="00A16694" w:rsidP="004F4506">
            <w:pPr>
              <w:jc w:val="center"/>
              <w:rPr>
                <w:b/>
                <w:bCs/>
                <w:sz w:val="16"/>
                <w:szCs w:val="16"/>
              </w:rPr>
            </w:pPr>
            <w:r w:rsidRPr="006B42D6">
              <w:rPr>
                <w:b/>
                <w:bCs/>
                <w:sz w:val="16"/>
                <w:szCs w:val="16"/>
              </w:rPr>
              <w:t>2,788,998</w:t>
            </w:r>
          </w:p>
        </w:tc>
        <w:tc>
          <w:tcPr>
            <w:tcW w:w="654" w:type="pct"/>
            <w:tcBorders>
              <w:top w:val="single" w:sz="4" w:space="0" w:color="auto"/>
              <w:left w:val="nil"/>
              <w:bottom w:val="single" w:sz="4" w:space="0" w:color="auto"/>
              <w:right w:val="nil"/>
            </w:tcBorders>
            <w:shd w:val="clear" w:color="auto" w:fill="E2EFD9" w:themeFill="accent6" w:themeFillTint="33"/>
            <w:noWrap/>
            <w:vAlign w:val="center"/>
            <w:hideMark/>
          </w:tcPr>
          <w:p w14:paraId="671DB9AB" w14:textId="30DC5D89" w:rsidR="00A16694" w:rsidRPr="006B42D6" w:rsidRDefault="00A16694" w:rsidP="004F4506">
            <w:pPr>
              <w:jc w:val="center"/>
              <w:rPr>
                <w:b/>
                <w:bCs/>
                <w:sz w:val="16"/>
                <w:szCs w:val="16"/>
              </w:rPr>
            </w:pPr>
            <w:r w:rsidRPr="006B42D6">
              <w:rPr>
                <w:b/>
                <w:bCs/>
                <w:sz w:val="16"/>
                <w:szCs w:val="16"/>
              </w:rPr>
              <w:t>1,498,775</w:t>
            </w:r>
          </w:p>
        </w:tc>
        <w:tc>
          <w:tcPr>
            <w:tcW w:w="662" w:type="pct"/>
            <w:tcBorders>
              <w:top w:val="single" w:sz="4" w:space="0" w:color="auto"/>
              <w:left w:val="nil"/>
              <w:bottom w:val="single" w:sz="4" w:space="0" w:color="auto"/>
              <w:right w:val="nil"/>
            </w:tcBorders>
            <w:shd w:val="clear" w:color="auto" w:fill="E2EFD9" w:themeFill="accent6" w:themeFillTint="33"/>
            <w:noWrap/>
            <w:vAlign w:val="center"/>
            <w:hideMark/>
          </w:tcPr>
          <w:p w14:paraId="7A68C343" w14:textId="56A9CA46" w:rsidR="00A16694" w:rsidRPr="006B42D6" w:rsidRDefault="00A16694" w:rsidP="004F4506">
            <w:pPr>
              <w:jc w:val="center"/>
              <w:rPr>
                <w:b/>
                <w:bCs/>
                <w:sz w:val="16"/>
                <w:szCs w:val="16"/>
              </w:rPr>
            </w:pPr>
            <w:r w:rsidRPr="006B42D6">
              <w:rPr>
                <w:b/>
                <w:bCs/>
                <w:sz w:val="16"/>
                <w:szCs w:val="16"/>
              </w:rPr>
              <w:t>3,124,297</w:t>
            </w:r>
          </w:p>
        </w:tc>
      </w:tr>
    </w:tbl>
    <w:p w14:paraId="7741F616" w14:textId="0C9007FB" w:rsidR="00E743F9" w:rsidRDefault="00E743F9" w:rsidP="00C4159B"/>
    <w:p w14:paraId="0C8EF2E4" w14:textId="77777777" w:rsidR="00E743F9" w:rsidRDefault="00E743F9">
      <w:pPr>
        <w:spacing w:line="240" w:lineRule="auto"/>
        <w:contextualSpacing w:val="0"/>
        <w:jc w:val="left"/>
      </w:pPr>
      <w:r>
        <w:br w:type="page"/>
      </w:r>
    </w:p>
    <w:p w14:paraId="64E6C43B" w14:textId="6698997C" w:rsidR="00DC0C62" w:rsidRPr="006B42D6" w:rsidRDefault="00697881" w:rsidP="005C2EFC">
      <w:pPr>
        <w:pStyle w:val="Heading2"/>
        <w:rPr>
          <w:rStyle w:val="hgkelc"/>
        </w:rPr>
      </w:pPr>
      <w:bookmarkStart w:id="566" w:name="_Toc82385746"/>
      <w:r w:rsidRPr="006B42D6">
        <w:lastRenderedPageBreak/>
        <w:t>4.</w:t>
      </w:r>
      <w:r w:rsidR="00C4159B">
        <w:t>2</w:t>
      </w:r>
      <w:r w:rsidR="0000655E" w:rsidRPr="006B42D6">
        <w:tab/>
      </w:r>
      <w:r w:rsidRPr="006B42D6">
        <w:t xml:space="preserve">Method of Cattle </w:t>
      </w:r>
      <w:r w:rsidR="00A26C28" w:rsidRPr="006B42D6">
        <w:t>I</w:t>
      </w:r>
      <w:r w:rsidRPr="006B42D6">
        <w:t>dentification</w:t>
      </w:r>
      <w:bookmarkEnd w:id="566"/>
    </w:p>
    <w:p w14:paraId="3EB67DA0" w14:textId="0C7FBBAA" w:rsidR="00697881" w:rsidRPr="00AF17C6" w:rsidRDefault="00E80C20" w:rsidP="00AF17C6">
      <w:pPr>
        <w:rPr>
          <w:lang w:eastAsia="en-GB"/>
        </w:rPr>
      </w:pPr>
      <w:r w:rsidRPr="00AF17C6">
        <w:rPr>
          <w:lang w:eastAsia="en-GB"/>
        </w:rPr>
        <w:t xml:space="preserve">Cattle identification has been </w:t>
      </w:r>
      <w:r w:rsidR="00117C2F" w:rsidRPr="00AF17C6">
        <w:rPr>
          <w:lang w:eastAsia="en-GB"/>
        </w:rPr>
        <w:t>essential for households to</w:t>
      </w:r>
      <w:r w:rsidR="00697881" w:rsidRPr="00AF17C6">
        <w:rPr>
          <w:lang w:eastAsia="en-GB"/>
        </w:rPr>
        <w:t xml:space="preserve"> keep records o</w:t>
      </w:r>
      <w:r w:rsidR="00117C2F" w:rsidRPr="00AF17C6">
        <w:rPr>
          <w:lang w:eastAsia="en-GB"/>
        </w:rPr>
        <w:t>f</w:t>
      </w:r>
      <w:r w:rsidR="00697881" w:rsidRPr="00AF17C6">
        <w:rPr>
          <w:lang w:eastAsia="en-GB"/>
        </w:rPr>
        <w:t xml:space="preserve"> their livestock on parentage, birth date, production records, health history, and other important management information. Identification is also important to indicate ownership of a particular </w:t>
      </w:r>
      <w:r w:rsidR="00117C2F" w:rsidRPr="00AF17C6">
        <w:rPr>
          <w:lang w:eastAsia="en-GB"/>
        </w:rPr>
        <w:t>livestock</w:t>
      </w:r>
      <w:r w:rsidR="00697881" w:rsidRPr="00AF17C6">
        <w:rPr>
          <w:lang w:eastAsia="en-GB"/>
        </w:rPr>
        <w:t xml:space="preserve">, or to indicate the herd/flock. </w:t>
      </w:r>
    </w:p>
    <w:p w14:paraId="79FE3B63" w14:textId="79AA7392" w:rsidR="00697881" w:rsidRPr="006B42D6" w:rsidRDefault="00697881" w:rsidP="004F4506">
      <w:pPr>
        <w:tabs>
          <w:tab w:val="left" w:pos="567"/>
        </w:tabs>
        <w:spacing w:line="240" w:lineRule="auto"/>
        <w:rPr>
          <w:rStyle w:val="hgkelc"/>
        </w:rPr>
      </w:pPr>
    </w:p>
    <w:p w14:paraId="2939441F" w14:textId="322CC461" w:rsidR="00697881" w:rsidRPr="006B42D6" w:rsidRDefault="00EA4458" w:rsidP="00AF17C6">
      <w:pPr>
        <w:tabs>
          <w:tab w:val="left" w:pos="567"/>
        </w:tabs>
        <w:rPr>
          <w:bCs/>
          <w:lang w:eastAsia="en-GB"/>
        </w:rPr>
      </w:pPr>
      <w:r w:rsidRPr="00EA4458">
        <w:rPr>
          <w:noProof/>
          <w:sz w:val="18"/>
          <w:szCs w:val="18"/>
        </w:rPr>
        <w:drawing>
          <wp:anchor distT="0" distB="0" distL="114300" distR="114300" simplePos="0" relativeHeight="251835392" behindDoc="1" locked="0" layoutInCell="1" allowOverlap="1" wp14:anchorId="347F09AB" wp14:editId="31BFB540">
            <wp:simplePos x="0" y="0"/>
            <wp:positionH relativeFrom="column">
              <wp:posOffset>2858770</wp:posOffset>
            </wp:positionH>
            <wp:positionV relativeFrom="paragraph">
              <wp:posOffset>795655</wp:posOffset>
            </wp:positionV>
            <wp:extent cx="2763520" cy="1922780"/>
            <wp:effectExtent l="0" t="0" r="17780" b="7620"/>
            <wp:wrapTight wrapText="bothSides">
              <wp:wrapPolygon edited="0">
                <wp:start x="0" y="0"/>
                <wp:lineTo x="0" y="21543"/>
                <wp:lineTo x="21640" y="21543"/>
                <wp:lineTo x="21640" y="0"/>
                <wp:lineTo x="0" y="0"/>
              </wp:wrapPolygon>
            </wp:wrapTight>
            <wp:docPr id="269" name="Chart 269">
              <a:extLst xmlns:a="http://schemas.openxmlformats.org/drawingml/2006/main">
                <a:ext uri="{FF2B5EF4-FFF2-40B4-BE49-F238E27FC236}">
                  <a16:creationId xmlns:a16="http://schemas.microsoft.com/office/drawing/2014/main" id="{00000000-0008-0000-1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0"/>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19008" behindDoc="0" locked="0" layoutInCell="1" allowOverlap="1" wp14:anchorId="1B903307" wp14:editId="154606C4">
                <wp:simplePos x="0" y="0"/>
                <wp:positionH relativeFrom="column">
                  <wp:posOffset>2860040</wp:posOffset>
                </wp:positionH>
                <wp:positionV relativeFrom="paragraph">
                  <wp:posOffset>61867</wp:posOffset>
                </wp:positionV>
                <wp:extent cx="2950845" cy="648335"/>
                <wp:effectExtent l="0" t="0" r="0" b="0"/>
                <wp:wrapTight wrapText="bothSides">
                  <wp:wrapPolygon edited="0">
                    <wp:start x="0" y="0"/>
                    <wp:lineTo x="0" y="21156"/>
                    <wp:lineTo x="21474" y="21156"/>
                    <wp:lineTo x="21474" y="0"/>
                    <wp:lineTo x="0" y="0"/>
                  </wp:wrapPolygon>
                </wp:wrapTight>
                <wp:docPr id="568"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50845" cy="6483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81C26E" w14:textId="77777777" w:rsidR="00933456" w:rsidRPr="00303D63" w:rsidRDefault="00933456" w:rsidP="00DB5175">
                            <w:pPr>
                              <w:pStyle w:val="Caption"/>
                              <w:rPr>
                                <w:b w:val="0"/>
                                <w:i/>
                              </w:rPr>
                            </w:pPr>
                            <w:bookmarkStart w:id="567" w:name="_Toc80120298"/>
                            <w:bookmarkStart w:id="568" w:name="_Toc80884174"/>
                            <w:bookmarkStart w:id="569" w:name="_Toc80884545"/>
                            <w:bookmarkStart w:id="570" w:name="_Toc82386397"/>
                            <w:r w:rsidRPr="00303D63">
                              <w:t>Figure 4.</w:t>
                            </w:r>
                            <w:r>
                              <w:t>2</w:t>
                            </w:r>
                            <w:r w:rsidRPr="00F56073">
                              <w:t>6</w:t>
                            </w:r>
                            <w:r w:rsidRPr="00303D63">
                              <w:t>:</w:t>
                            </w:r>
                            <w:r>
                              <w:tab/>
                            </w:r>
                            <w:r w:rsidRPr="00F56073">
                              <w:t>Percentage</w:t>
                            </w:r>
                            <w:r w:rsidRPr="00303D63">
                              <w:t xml:space="preserve"> of Households and Type of Method of Cattle Identification Used</w:t>
                            </w:r>
                            <w:r>
                              <w:t xml:space="preserve"> During 2019/20 Agricultural Year, Mainland Tanzania</w:t>
                            </w:r>
                            <w:bookmarkEnd w:id="567"/>
                            <w:bookmarkEnd w:id="568"/>
                            <w:bookmarkEnd w:id="569"/>
                            <w:bookmarkEnd w:id="570"/>
                            <w:r w:rsidRPr="00303D63">
                              <w:t xml:space="preserve"> </w:t>
                            </w:r>
                          </w:p>
                          <w:p w14:paraId="040CDCB1" w14:textId="77777777" w:rsidR="00933456" w:rsidRPr="00303D63" w:rsidRDefault="00933456" w:rsidP="00DB5175">
                            <w:pPr>
                              <w:pStyle w:val="Caption"/>
                              <w:rPr>
                                <w:b w:val="0"/>
                                <w:i/>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903307" id="Text Box 26" o:spid="_x0000_s1091" type="#_x0000_t202" style="position:absolute;left:0;text-align:left;margin-left:225.2pt;margin-top:4.85pt;width:232.35pt;height:51.0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" stroked="f">
                <v:path arrowok="t"/>
                <v:textbox inset="0,0,0,0">
                  <w:txbxContent>
                    <w:p w14:paraId="6381C26E" w14:textId="77777777" w:rsidR="00933456" w:rsidRPr="00303D63" w:rsidRDefault="00933456" w:rsidP="00DB5175">
                      <w:pPr>
                        <w:pStyle w:val="Caption"/>
                        <w:rPr>
                          <w:b w:val="0"/>
                          <w:i/>
                        </w:rPr>
                      </w:pPr>
                      <w:bookmarkStart w:id="804" w:name="_Toc80120298"/>
                      <w:bookmarkStart w:id="805" w:name="_Toc80884174"/>
                      <w:bookmarkStart w:id="806" w:name="_Toc80884545"/>
                      <w:bookmarkStart w:id="807" w:name="_Toc82386397"/>
                      <w:r w:rsidRPr="00303D63">
                        <w:t>Figure 4.</w:t>
                      </w:r>
                      <w:r>
                        <w:t>2</w:t>
                      </w:r>
                      <w:r w:rsidRPr="00F56073">
                        <w:t>6</w:t>
                      </w:r>
                      <w:r w:rsidRPr="00303D63">
                        <w:t>:</w:t>
                      </w:r>
                      <w:r>
                        <w:tab/>
                      </w:r>
                      <w:r w:rsidRPr="00F56073">
                        <w:t>Percentage</w:t>
                      </w:r>
                      <w:r w:rsidRPr="00303D63">
                        <w:t xml:space="preserve"> of Households and Type of Method of Cattle Identification Used</w:t>
                      </w:r>
                      <w:r>
                        <w:t xml:space="preserve"> During 2019/20 Agricultural Year, Mainland Tanzania</w:t>
                      </w:r>
                      <w:bookmarkEnd w:id="804"/>
                      <w:bookmarkEnd w:id="805"/>
                      <w:bookmarkEnd w:id="806"/>
                      <w:bookmarkEnd w:id="807"/>
                      <w:r w:rsidRPr="00303D63">
                        <w:t xml:space="preserve"> </w:t>
                      </w:r>
                    </w:p>
                    <w:p w14:paraId="040CDCB1" w14:textId="77777777" w:rsidR="00933456" w:rsidRPr="00303D63" w:rsidRDefault="00933456" w:rsidP="00DB5175">
                      <w:pPr>
                        <w:pStyle w:val="Caption"/>
                        <w:rPr>
                          <w:b w:val="0"/>
                          <w:i/>
                        </w:rPr>
                      </w:pPr>
                    </w:p>
                  </w:txbxContent>
                </v:textbox>
                <w10:wrap type="tight"/>
              </v:shape>
            </w:pict>
          </mc:Fallback>
        </mc:AlternateContent>
      </w:r>
      <w:r w:rsidR="00697881" w:rsidRPr="006B42D6">
        <w:rPr>
          <w:rStyle w:val="hgkelc"/>
        </w:rPr>
        <w:t xml:space="preserve">In 2019/20 agricultural year, </w:t>
      </w:r>
      <w:r w:rsidR="00697881" w:rsidRPr="006B42D6">
        <w:rPr>
          <w:lang w:eastAsia="en-GB"/>
        </w:rPr>
        <w:t>five main methods of cattle identification</w:t>
      </w:r>
      <w:r w:rsidR="00117C2F" w:rsidRPr="006B42D6">
        <w:rPr>
          <w:lang w:eastAsia="en-GB"/>
        </w:rPr>
        <w:t xml:space="preserve"> </w:t>
      </w:r>
      <w:r w:rsidR="00697881" w:rsidRPr="006B42D6">
        <w:rPr>
          <w:lang w:eastAsia="en-GB"/>
        </w:rPr>
        <w:t>reported by households includ</w:t>
      </w:r>
      <w:r w:rsidR="00117C2F" w:rsidRPr="006B42D6">
        <w:rPr>
          <w:lang w:eastAsia="en-GB"/>
        </w:rPr>
        <w:t>e</w:t>
      </w:r>
      <w:r w:rsidR="00697881" w:rsidRPr="006B42D6">
        <w:rPr>
          <w:lang w:eastAsia="en-GB"/>
        </w:rPr>
        <w:t xml:space="preserve"> branding, cattle clans, ear notching, colour and earings. </w:t>
      </w:r>
      <w:r w:rsidR="00697881" w:rsidRPr="006B42D6">
        <w:rPr>
          <w:rStyle w:val="hgkelc"/>
        </w:rPr>
        <w:t xml:space="preserve">A total of </w:t>
      </w:r>
      <w:r w:rsidR="00697881" w:rsidRPr="006B42D6">
        <w:rPr>
          <w:lang w:eastAsia="en-GB"/>
        </w:rPr>
        <w:t>1,9</w:t>
      </w:r>
      <w:r w:rsidR="00443CEE">
        <w:rPr>
          <w:lang w:eastAsia="en-GB"/>
        </w:rPr>
        <w:t>71,550</w:t>
      </w:r>
      <w:r w:rsidR="00697881" w:rsidRPr="006B42D6">
        <w:rPr>
          <w:lang w:eastAsia="en-GB"/>
        </w:rPr>
        <w:t xml:space="preserve"> cattle </w:t>
      </w:r>
      <w:r w:rsidR="00226389" w:rsidRPr="006B42D6">
        <w:rPr>
          <w:lang w:eastAsia="en-GB"/>
        </w:rPr>
        <w:t>raising</w:t>
      </w:r>
      <w:r w:rsidR="00697881" w:rsidRPr="006B42D6">
        <w:rPr>
          <w:lang w:eastAsia="en-GB"/>
        </w:rPr>
        <w:t xml:space="preserve"> households in Tanzania reported using different methods of cattle identification, of which </w:t>
      </w:r>
      <w:r w:rsidR="00697881" w:rsidRPr="006B42D6">
        <w:rPr>
          <w:bCs/>
          <w:lang w:eastAsia="en-GB"/>
        </w:rPr>
        <w:t>1,</w:t>
      </w:r>
      <w:r w:rsidR="00443CEE">
        <w:rPr>
          <w:bCs/>
          <w:lang w:eastAsia="en-GB"/>
        </w:rPr>
        <w:t>915,625</w:t>
      </w:r>
      <w:r w:rsidR="00697881" w:rsidRPr="006B42D6">
        <w:rPr>
          <w:bCs/>
          <w:lang w:eastAsia="en-GB"/>
        </w:rPr>
        <w:t xml:space="preserve"> households </w:t>
      </w:r>
      <w:r w:rsidR="00697881" w:rsidRPr="006B42D6">
        <w:rPr>
          <w:lang w:eastAsia="en-GB"/>
        </w:rPr>
        <w:t xml:space="preserve">were in Mainland </w:t>
      </w:r>
      <w:r w:rsidR="00697881" w:rsidRPr="006B42D6">
        <w:rPr>
          <w:bCs/>
          <w:lang w:eastAsia="en-GB"/>
        </w:rPr>
        <w:t>and 5</w:t>
      </w:r>
      <w:r w:rsidR="00443CEE">
        <w:rPr>
          <w:bCs/>
          <w:lang w:eastAsia="en-GB"/>
        </w:rPr>
        <w:t>5,925</w:t>
      </w:r>
      <w:r w:rsidR="00697881" w:rsidRPr="006B42D6">
        <w:rPr>
          <w:bCs/>
          <w:lang w:eastAsia="en-GB"/>
        </w:rPr>
        <w:t xml:space="preserve"> households in </w:t>
      </w:r>
      <w:r w:rsidR="000D4D71" w:rsidRPr="006B42D6">
        <w:rPr>
          <w:lang w:eastAsia="en-GB"/>
        </w:rPr>
        <w:t xml:space="preserve">Tanzania </w:t>
      </w:r>
      <w:r w:rsidR="00697881" w:rsidRPr="006B42D6">
        <w:rPr>
          <w:bCs/>
          <w:lang w:eastAsia="en-GB"/>
        </w:rPr>
        <w:t xml:space="preserve">Zanzibar. </w:t>
      </w:r>
    </w:p>
    <w:p w14:paraId="14F7162E" w14:textId="67AB589A" w:rsidR="00697881" w:rsidRPr="006B42D6" w:rsidRDefault="00697881" w:rsidP="004F4506">
      <w:pPr>
        <w:tabs>
          <w:tab w:val="left" w:pos="567"/>
        </w:tabs>
        <w:spacing w:line="240" w:lineRule="auto"/>
        <w:rPr>
          <w:bCs/>
          <w:lang w:eastAsia="en-GB"/>
        </w:rPr>
      </w:pPr>
    </w:p>
    <w:p w14:paraId="661AB009" w14:textId="0EDA924F" w:rsidR="00697881" w:rsidRDefault="00697881" w:rsidP="00AF17C6">
      <w:pPr>
        <w:tabs>
          <w:tab w:val="left" w:pos="567"/>
        </w:tabs>
        <w:rPr>
          <w:lang w:eastAsia="en-GB"/>
        </w:rPr>
      </w:pPr>
      <w:r w:rsidRPr="006B42D6">
        <w:rPr>
          <w:bCs/>
          <w:lang w:eastAsia="en-GB"/>
        </w:rPr>
        <w:t>Census results show that i</w:t>
      </w:r>
      <w:r w:rsidRPr="006B42D6">
        <w:rPr>
          <w:lang w:eastAsia="en-GB"/>
        </w:rPr>
        <w:t>n Mainland</w:t>
      </w:r>
      <w:r w:rsidR="00443CEE">
        <w:rPr>
          <w:lang w:eastAsia="en-GB"/>
        </w:rPr>
        <w:t xml:space="preserve"> Tanzania</w:t>
      </w:r>
      <w:r w:rsidRPr="006B42D6">
        <w:rPr>
          <w:lang w:eastAsia="en-GB"/>
        </w:rPr>
        <w:t>, identification of cattle by branding was mostly used</w:t>
      </w:r>
      <w:r w:rsidRPr="006B42D6">
        <w:rPr>
          <w:bCs/>
          <w:lang w:eastAsia="en-GB"/>
        </w:rPr>
        <w:t xml:space="preserve"> (948,845; 49.2 </w:t>
      </w:r>
      <w:r w:rsidRPr="006B42D6">
        <w:t>percent</w:t>
      </w:r>
      <w:r w:rsidRPr="006B42D6">
        <w:rPr>
          <w:bCs/>
          <w:lang w:eastAsia="en-GB"/>
        </w:rPr>
        <w:t xml:space="preserve">), followed </w:t>
      </w:r>
      <w:r w:rsidR="00443CEE">
        <w:rPr>
          <w:bCs/>
          <w:lang w:eastAsia="en-GB"/>
        </w:rPr>
        <w:t>c</w:t>
      </w:r>
      <w:r w:rsidRPr="006B42D6">
        <w:rPr>
          <w:bCs/>
          <w:lang w:eastAsia="en-GB"/>
        </w:rPr>
        <w:t xml:space="preserve">olour (644,602; 33.5 </w:t>
      </w:r>
      <w:r w:rsidRPr="006B42D6">
        <w:t>percent</w:t>
      </w:r>
      <w:r w:rsidRPr="006B42D6">
        <w:rPr>
          <w:bCs/>
          <w:lang w:eastAsia="en-GB"/>
        </w:rPr>
        <w:t xml:space="preserve">) and ear notching (174,596; 9.1 </w:t>
      </w:r>
      <w:r w:rsidRPr="006B42D6">
        <w:t>percent</w:t>
      </w:r>
      <w:r w:rsidRPr="006B42D6">
        <w:rPr>
          <w:bCs/>
          <w:lang w:eastAsia="en-GB"/>
        </w:rPr>
        <w:t xml:space="preserve">). Among the household used branding method, Manyara </w:t>
      </w:r>
      <w:r w:rsidR="00443CEE">
        <w:rPr>
          <w:bCs/>
          <w:lang w:eastAsia="en-GB"/>
        </w:rPr>
        <w:t xml:space="preserve">region </w:t>
      </w:r>
      <w:r w:rsidRPr="006B42D6">
        <w:rPr>
          <w:bCs/>
          <w:lang w:eastAsia="en-GB"/>
        </w:rPr>
        <w:t xml:space="preserve">had </w:t>
      </w:r>
      <w:r w:rsidR="00226389" w:rsidRPr="006B42D6">
        <w:rPr>
          <w:bCs/>
          <w:lang w:eastAsia="en-GB"/>
        </w:rPr>
        <w:t xml:space="preserve">the </w:t>
      </w:r>
      <w:r w:rsidRPr="006B42D6">
        <w:rPr>
          <w:bCs/>
          <w:lang w:eastAsia="en-GB"/>
        </w:rPr>
        <w:t>largest number of households</w:t>
      </w:r>
      <w:r w:rsidRPr="006B42D6">
        <w:rPr>
          <w:lang w:eastAsia="en-GB"/>
        </w:rPr>
        <w:t xml:space="preserve"> </w:t>
      </w:r>
      <w:r w:rsidR="00226389" w:rsidRPr="006B42D6">
        <w:rPr>
          <w:lang w:eastAsia="en-GB"/>
        </w:rPr>
        <w:t>(</w:t>
      </w:r>
      <w:r w:rsidRPr="006B42D6">
        <w:rPr>
          <w:lang w:eastAsia="en-GB"/>
        </w:rPr>
        <w:t>121,183</w:t>
      </w:r>
      <w:r w:rsidR="00226389" w:rsidRPr="006B42D6">
        <w:rPr>
          <w:lang w:eastAsia="en-GB"/>
        </w:rPr>
        <w:t xml:space="preserve">; </w:t>
      </w:r>
      <w:r w:rsidRPr="006B42D6">
        <w:rPr>
          <w:lang w:eastAsia="en-GB"/>
        </w:rPr>
        <w:t>12.8 percent), followed Tabora (106,679; 11.2 percent) and Arusha</w:t>
      </w:r>
      <w:r w:rsidRPr="006B42D6">
        <w:rPr>
          <w:bCs/>
          <w:lang w:eastAsia="en-GB"/>
        </w:rPr>
        <w:t xml:space="preserve"> (92</w:t>
      </w:r>
      <w:r w:rsidR="00226389" w:rsidRPr="006B42D6">
        <w:rPr>
          <w:bCs/>
          <w:lang w:eastAsia="en-GB"/>
        </w:rPr>
        <w:t>,</w:t>
      </w:r>
      <w:r w:rsidRPr="006B42D6">
        <w:rPr>
          <w:bCs/>
          <w:lang w:eastAsia="en-GB"/>
        </w:rPr>
        <w:t xml:space="preserve">085; 9.7 </w:t>
      </w:r>
      <w:r w:rsidRPr="006B42D6">
        <w:rPr>
          <w:lang w:eastAsia="en-GB"/>
        </w:rPr>
        <w:t>percent)</w:t>
      </w:r>
      <w:r w:rsidR="00226389" w:rsidRPr="006B42D6">
        <w:rPr>
          <w:lang w:eastAsia="en-GB"/>
        </w:rPr>
        <w:t>,</w:t>
      </w:r>
      <w:r w:rsidRPr="006B42D6">
        <w:rPr>
          <w:lang w:eastAsia="en-GB"/>
        </w:rPr>
        <w:t xml:space="preserve"> whereas the least reported region was Mtwara (714; 0.08 percent)</w:t>
      </w:r>
      <w:r w:rsidR="00303D63" w:rsidRPr="006B42D6">
        <w:rPr>
          <w:lang w:eastAsia="en-GB"/>
        </w:rPr>
        <w:t xml:space="preserve"> (Figure 4.2</w:t>
      </w:r>
      <w:r w:rsidR="00226389" w:rsidRPr="006B42D6">
        <w:rPr>
          <w:lang w:eastAsia="en-GB"/>
        </w:rPr>
        <w:t>6</w:t>
      </w:r>
      <w:r w:rsidR="00303D63" w:rsidRPr="006B42D6">
        <w:rPr>
          <w:lang w:eastAsia="en-GB"/>
        </w:rPr>
        <w:t>)</w:t>
      </w:r>
      <w:r w:rsidRPr="006B42D6">
        <w:rPr>
          <w:lang w:eastAsia="en-GB"/>
        </w:rPr>
        <w:t xml:space="preserve">. </w:t>
      </w:r>
    </w:p>
    <w:p w14:paraId="596857EB" w14:textId="5B14112C" w:rsidR="00443CEE" w:rsidRPr="006B42D6" w:rsidRDefault="00443CEE" w:rsidP="004F4506">
      <w:pPr>
        <w:tabs>
          <w:tab w:val="left" w:pos="567"/>
        </w:tabs>
        <w:spacing w:line="240" w:lineRule="auto"/>
        <w:rPr>
          <w:bCs/>
          <w:lang w:eastAsia="en-GB"/>
        </w:rPr>
      </w:pPr>
    </w:p>
    <w:p w14:paraId="017F92F7" w14:textId="0CB0769B" w:rsidR="004F4506" w:rsidRPr="00E743F9" w:rsidRDefault="008D15E1" w:rsidP="00E743F9">
      <w:pPr>
        <w:rPr>
          <w:lang w:eastAsia="en-GB"/>
        </w:rPr>
      </w:pPr>
      <w:r>
        <w:rPr>
          <w:noProof/>
        </w:rPr>
        <mc:AlternateContent>
          <mc:Choice Requires="wps">
            <w:drawing>
              <wp:anchor distT="0" distB="0" distL="114300" distR="114300" simplePos="0" relativeHeight="251564032" behindDoc="0" locked="0" layoutInCell="1" allowOverlap="1" wp14:anchorId="2185DB69" wp14:editId="512BCC81">
                <wp:simplePos x="0" y="0"/>
                <wp:positionH relativeFrom="column">
                  <wp:posOffset>2901587</wp:posOffset>
                </wp:positionH>
                <wp:positionV relativeFrom="paragraph">
                  <wp:posOffset>24130</wp:posOffset>
                </wp:positionV>
                <wp:extent cx="2843530" cy="748665"/>
                <wp:effectExtent l="0" t="0" r="1270" b="635"/>
                <wp:wrapTight wrapText="bothSides">
                  <wp:wrapPolygon edited="0">
                    <wp:start x="0" y="0"/>
                    <wp:lineTo x="0" y="21252"/>
                    <wp:lineTo x="21513" y="21252"/>
                    <wp:lineTo x="21513" y="0"/>
                    <wp:lineTo x="0" y="0"/>
                  </wp:wrapPolygon>
                </wp:wrapTight>
                <wp:docPr id="565"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43530" cy="7486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61C512" w14:textId="68D07543" w:rsidR="00933456" w:rsidRPr="00303D63" w:rsidRDefault="00933456" w:rsidP="00697881">
                            <w:pPr>
                              <w:pStyle w:val="Caption"/>
                              <w:rPr>
                                <w:b w:val="0"/>
                                <w:i/>
                                <w:noProof/>
                              </w:rPr>
                            </w:pPr>
                            <w:bookmarkStart w:id="571" w:name="_Toc80120299"/>
                            <w:bookmarkStart w:id="572" w:name="_Toc80884175"/>
                            <w:bookmarkStart w:id="573" w:name="_Toc80884546"/>
                            <w:bookmarkStart w:id="574" w:name="_Toc82386398"/>
                            <w:r w:rsidRPr="00303D63">
                              <w:t>Figure 4.</w:t>
                            </w:r>
                            <w:r w:rsidRPr="00F56073">
                              <w:t>27:</w:t>
                            </w:r>
                            <w:r>
                              <w:tab/>
                            </w:r>
                            <w:r w:rsidRPr="00F56073">
                              <w:t>Percentage</w:t>
                            </w:r>
                            <w:r w:rsidRPr="00303D63">
                              <w:t xml:space="preserve"> of </w:t>
                            </w:r>
                            <w:r>
                              <w:t>H</w:t>
                            </w:r>
                            <w:r w:rsidRPr="00303D63">
                              <w:t xml:space="preserve">ouseholds </w:t>
                            </w:r>
                            <w:r>
                              <w:t>U</w:t>
                            </w:r>
                            <w:r w:rsidRPr="00303D63">
                              <w:t xml:space="preserve">sing </w:t>
                            </w:r>
                            <w:r>
                              <w:t>C</w:t>
                            </w:r>
                            <w:r w:rsidRPr="00303D63">
                              <w:t xml:space="preserve">olour as a </w:t>
                            </w:r>
                            <w:r>
                              <w:t>M</w:t>
                            </w:r>
                            <w:r w:rsidRPr="00303D63">
                              <w:t xml:space="preserve">ethod of </w:t>
                            </w:r>
                            <w:r>
                              <w:t>C</w:t>
                            </w:r>
                            <w:r w:rsidRPr="00303D63">
                              <w:t xml:space="preserve">attle </w:t>
                            </w:r>
                            <w:r>
                              <w:t>I</w:t>
                            </w:r>
                            <w:r w:rsidRPr="00303D63">
                              <w:t xml:space="preserve">dentification by Region </w:t>
                            </w:r>
                            <w:r>
                              <w:t>D</w:t>
                            </w:r>
                            <w:r w:rsidRPr="00303D63">
                              <w:t>uring 201</w:t>
                            </w:r>
                            <w:r>
                              <w:t>9</w:t>
                            </w:r>
                            <w:r w:rsidRPr="00303D63">
                              <w:t>/2</w:t>
                            </w:r>
                            <w:r>
                              <w:t>0</w:t>
                            </w:r>
                            <w:r w:rsidRPr="00303D63">
                              <w:t xml:space="preserve"> Agricultural </w:t>
                            </w:r>
                            <w:r>
                              <w:t>Y</w:t>
                            </w:r>
                            <w:r w:rsidRPr="00303D63">
                              <w:t>ear</w:t>
                            </w:r>
                            <w:r>
                              <w:t>, Tanzania</w:t>
                            </w:r>
                            <w:r w:rsidRPr="00303D63">
                              <w:t xml:space="preserve"> Zanzibar</w:t>
                            </w:r>
                            <w:bookmarkEnd w:id="571"/>
                            <w:bookmarkEnd w:id="572"/>
                            <w:bookmarkEnd w:id="573"/>
                            <w:bookmarkEnd w:id="574"/>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2185DB69" id="Text Box 18" o:spid="_x0000_s1092" type="#_x0000_t202" style="position:absolute;left:0;text-align:left;margin-left:228.45pt;margin-top:1.9pt;width:223.9pt;height:58.95pt;z-index:251564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" stroked="f">
                <v:path arrowok="t"/>
                <v:textbox inset="0,0,0,0">
                  <w:txbxContent>
                    <w:p w14:paraId="7261C512" w14:textId="68D07543" w:rsidR="00933456" w:rsidRPr="00303D63" w:rsidRDefault="00933456" w:rsidP="00697881">
                      <w:pPr>
                        <w:pStyle w:val="Caption"/>
                        <w:rPr>
                          <w:b w:val="0"/>
                          <w:i/>
                          <w:noProof/>
                        </w:rPr>
                      </w:pPr>
                      <w:bookmarkStart w:id="812" w:name="_Toc80120299"/>
                      <w:bookmarkStart w:id="813" w:name="_Toc80884175"/>
                      <w:bookmarkStart w:id="814" w:name="_Toc80884546"/>
                      <w:bookmarkStart w:id="815" w:name="_Toc82386398"/>
                      <w:r w:rsidRPr="00303D63">
                        <w:t>Figure 4.</w:t>
                      </w:r>
                      <w:r w:rsidRPr="00F56073">
                        <w:t>27:</w:t>
                      </w:r>
                      <w:r>
                        <w:tab/>
                      </w:r>
                      <w:r w:rsidRPr="00F56073">
                        <w:t>Percentage</w:t>
                      </w:r>
                      <w:r w:rsidRPr="00303D63">
                        <w:t xml:space="preserve"> of </w:t>
                      </w:r>
                      <w:r>
                        <w:t>H</w:t>
                      </w:r>
                      <w:r w:rsidRPr="00303D63">
                        <w:t xml:space="preserve">ouseholds </w:t>
                      </w:r>
                      <w:r>
                        <w:t>U</w:t>
                      </w:r>
                      <w:r w:rsidRPr="00303D63">
                        <w:t xml:space="preserve">sing </w:t>
                      </w:r>
                      <w:r>
                        <w:t>C</w:t>
                      </w:r>
                      <w:r w:rsidRPr="00303D63">
                        <w:t xml:space="preserve">olour as a </w:t>
                      </w:r>
                      <w:r>
                        <w:t>M</w:t>
                      </w:r>
                      <w:r w:rsidRPr="00303D63">
                        <w:t xml:space="preserve">ethod of </w:t>
                      </w:r>
                      <w:r>
                        <w:t>C</w:t>
                      </w:r>
                      <w:r w:rsidRPr="00303D63">
                        <w:t xml:space="preserve">attle </w:t>
                      </w:r>
                      <w:r>
                        <w:t>I</w:t>
                      </w:r>
                      <w:r w:rsidRPr="00303D63">
                        <w:t xml:space="preserve">dentification by Region </w:t>
                      </w:r>
                      <w:r>
                        <w:t>D</w:t>
                      </w:r>
                      <w:r w:rsidRPr="00303D63">
                        <w:t>uring 201</w:t>
                      </w:r>
                      <w:r>
                        <w:t>9</w:t>
                      </w:r>
                      <w:r w:rsidRPr="00303D63">
                        <w:t>/2</w:t>
                      </w:r>
                      <w:r>
                        <w:t>0</w:t>
                      </w:r>
                      <w:r w:rsidRPr="00303D63">
                        <w:t xml:space="preserve"> Agricultural </w:t>
                      </w:r>
                      <w:r>
                        <w:t>Y</w:t>
                      </w:r>
                      <w:r w:rsidRPr="00303D63">
                        <w:t>ear</w:t>
                      </w:r>
                      <w:r>
                        <w:t>, Tanzania</w:t>
                      </w:r>
                      <w:r w:rsidRPr="00303D63">
                        <w:t xml:space="preserve"> Zanzibar</w:t>
                      </w:r>
                      <w:bookmarkEnd w:id="812"/>
                      <w:bookmarkEnd w:id="813"/>
                      <w:bookmarkEnd w:id="814"/>
                      <w:bookmarkEnd w:id="815"/>
                    </w:p>
                  </w:txbxContent>
                </v:textbox>
                <w10:wrap type="tight"/>
              </v:shape>
            </w:pict>
          </mc:Fallback>
        </mc:AlternateContent>
      </w:r>
      <w:r w:rsidR="00EA4458">
        <w:rPr>
          <w:noProof/>
        </w:rPr>
        <w:drawing>
          <wp:anchor distT="0" distB="0" distL="114300" distR="114300" simplePos="0" relativeHeight="251836416" behindDoc="1" locked="0" layoutInCell="1" allowOverlap="1" wp14:anchorId="5B64BD5B" wp14:editId="6C3A1E7C">
            <wp:simplePos x="0" y="0"/>
            <wp:positionH relativeFrom="column">
              <wp:posOffset>2902313</wp:posOffset>
            </wp:positionH>
            <wp:positionV relativeFrom="paragraph">
              <wp:posOffset>827405</wp:posOffset>
            </wp:positionV>
            <wp:extent cx="2779395" cy="1762760"/>
            <wp:effectExtent l="0" t="0" r="14605" b="15240"/>
            <wp:wrapTight wrapText="bothSides">
              <wp:wrapPolygon edited="0">
                <wp:start x="0" y="0"/>
                <wp:lineTo x="0" y="21631"/>
                <wp:lineTo x="21615" y="21631"/>
                <wp:lineTo x="21615" y="0"/>
                <wp:lineTo x="0" y="0"/>
              </wp:wrapPolygon>
            </wp:wrapTight>
            <wp:docPr id="270" name="Chart 270">
              <a:extLst xmlns:a="http://schemas.openxmlformats.org/drawingml/2006/main">
                <a:ext uri="{FF2B5EF4-FFF2-40B4-BE49-F238E27FC236}">
                  <a16:creationId xmlns:a16="http://schemas.microsoft.com/office/drawing/2014/main" id="{00000000-0008-0000-1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1"/>
              </a:graphicData>
            </a:graphic>
            <wp14:sizeRelH relativeFrom="page">
              <wp14:pctWidth>0</wp14:pctWidth>
            </wp14:sizeRelH>
            <wp14:sizeRelV relativeFrom="page">
              <wp14:pctHeight>0</wp14:pctHeight>
            </wp14:sizeRelV>
          </wp:anchor>
        </w:drawing>
      </w:r>
      <w:r w:rsidR="00697881" w:rsidRPr="006B42D6">
        <w:rPr>
          <w:lang w:eastAsia="en-GB"/>
        </w:rPr>
        <w:t xml:space="preserve">For the case of </w:t>
      </w:r>
      <w:r w:rsidR="000D4D71" w:rsidRPr="006B42D6">
        <w:rPr>
          <w:lang w:eastAsia="en-GB"/>
        </w:rPr>
        <w:t xml:space="preserve">Tanzania </w:t>
      </w:r>
      <w:r w:rsidR="00697881" w:rsidRPr="006B42D6">
        <w:rPr>
          <w:bCs/>
          <w:lang w:eastAsia="en-GB"/>
        </w:rPr>
        <w:t>Zanzibar, cattle identification by colour was mostly reported by 54,031 household</w:t>
      </w:r>
      <w:r w:rsidR="00BD33E1" w:rsidRPr="006B42D6">
        <w:rPr>
          <w:bCs/>
          <w:lang w:eastAsia="en-GB"/>
        </w:rPr>
        <w:t>s</w:t>
      </w:r>
      <w:r w:rsidR="00697881" w:rsidRPr="006B42D6">
        <w:rPr>
          <w:bCs/>
          <w:lang w:eastAsia="en-GB"/>
        </w:rPr>
        <w:t xml:space="preserve"> (95.4 </w:t>
      </w:r>
      <w:r w:rsidR="00697881" w:rsidRPr="006B42D6">
        <w:t>percent</w:t>
      </w:r>
      <w:r w:rsidR="00697881" w:rsidRPr="006B42D6">
        <w:rPr>
          <w:bCs/>
          <w:lang w:eastAsia="en-GB"/>
        </w:rPr>
        <w:t>)</w:t>
      </w:r>
      <w:r w:rsidR="00BD33E1" w:rsidRPr="006B42D6">
        <w:rPr>
          <w:bCs/>
          <w:lang w:eastAsia="en-GB"/>
        </w:rPr>
        <w:t>,</w:t>
      </w:r>
      <w:r w:rsidR="00697881" w:rsidRPr="006B42D6">
        <w:rPr>
          <w:bCs/>
          <w:lang w:eastAsia="en-GB"/>
        </w:rPr>
        <w:t xml:space="preserve"> followed by cattle clan (538; 0.9 </w:t>
      </w:r>
      <w:r w:rsidR="00697881" w:rsidRPr="006B42D6">
        <w:t>percent</w:t>
      </w:r>
      <w:r w:rsidR="00697881" w:rsidRPr="006B42D6">
        <w:rPr>
          <w:bCs/>
          <w:lang w:eastAsia="en-GB"/>
        </w:rPr>
        <w:t xml:space="preserve">) and earing (474; 0.8 </w:t>
      </w:r>
      <w:r w:rsidR="00697881" w:rsidRPr="006B42D6">
        <w:t>percent</w:t>
      </w:r>
      <w:r w:rsidR="00697881" w:rsidRPr="006B42D6">
        <w:rPr>
          <w:bCs/>
          <w:lang w:eastAsia="en-GB"/>
        </w:rPr>
        <w:t>).</w:t>
      </w:r>
      <w:r w:rsidR="00697881" w:rsidRPr="006B42D6">
        <w:rPr>
          <w:lang w:eastAsia="en-GB"/>
        </w:rPr>
        <w:t xml:space="preserve"> </w:t>
      </w:r>
      <w:r w:rsidR="00697881" w:rsidRPr="006B42D6">
        <w:rPr>
          <w:bCs/>
          <w:lang w:eastAsia="en-GB"/>
        </w:rPr>
        <w:t>Among the household</w:t>
      </w:r>
      <w:r w:rsidR="00BD33E1" w:rsidRPr="006B42D6">
        <w:rPr>
          <w:bCs/>
          <w:lang w:eastAsia="en-GB"/>
        </w:rPr>
        <w:t>s</w:t>
      </w:r>
      <w:r w:rsidR="00697881" w:rsidRPr="006B42D6">
        <w:rPr>
          <w:bCs/>
          <w:lang w:eastAsia="en-GB"/>
        </w:rPr>
        <w:t xml:space="preserve"> used colour method, Kusini Pemba region had</w:t>
      </w:r>
      <w:r w:rsidR="00BD33E1" w:rsidRPr="006B42D6">
        <w:rPr>
          <w:bCs/>
          <w:lang w:eastAsia="en-GB"/>
        </w:rPr>
        <w:t xml:space="preserve"> the</w:t>
      </w:r>
      <w:r w:rsidR="00697881" w:rsidRPr="006B42D6">
        <w:rPr>
          <w:bCs/>
          <w:lang w:eastAsia="en-GB"/>
        </w:rPr>
        <w:t xml:space="preserve"> largest number of households</w:t>
      </w:r>
      <w:r w:rsidR="00697881" w:rsidRPr="006B42D6">
        <w:rPr>
          <w:lang w:eastAsia="en-GB"/>
        </w:rPr>
        <w:t xml:space="preserve"> </w:t>
      </w:r>
      <w:r w:rsidR="00BD33E1" w:rsidRPr="006B42D6">
        <w:rPr>
          <w:lang w:eastAsia="en-GB"/>
        </w:rPr>
        <w:t>(</w:t>
      </w:r>
      <w:r w:rsidR="00697881" w:rsidRPr="006B42D6">
        <w:rPr>
          <w:lang w:eastAsia="en-GB"/>
        </w:rPr>
        <w:t>18,634</w:t>
      </w:r>
      <w:r w:rsidR="00BD33E1" w:rsidRPr="006B42D6">
        <w:rPr>
          <w:lang w:eastAsia="en-GB"/>
        </w:rPr>
        <w:t xml:space="preserve">; </w:t>
      </w:r>
      <w:r w:rsidR="00697881" w:rsidRPr="006B42D6">
        <w:rPr>
          <w:lang w:eastAsia="en-GB"/>
        </w:rPr>
        <w:t>34.5 percent), followed Kaskazini Pemba</w:t>
      </w:r>
      <w:r w:rsidR="00697881" w:rsidRPr="006B42D6">
        <w:t xml:space="preserve"> (</w:t>
      </w:r>
      <w:r w:rsidR="00697881" w:rsidRPr="006B42D6">
        <w:rPr>
          <w:lang w:eastAsia="en-GB"/>
        </w:rPr>
        <w:t>13,182; 24.4 percent)</w:t>
      </w:r>
      <w:r w:rsidR="00BD33E1" w:rsidRPr="006B42D6">
        <w:rPr>
          <w:lang w:eastAsia="en-GB"/>
        </w:rPr>
        <w:t>,</w:t>
      </w:r>
      <w:r w:rsidR="00697881" w:rsidRPr="006B42D6">
        <w:rPr>
          <w:lang w:eastAsia="en-GB"/>
        </w:rPr>
        <w:t xml:space="preserve"> whereas the least </w:t>
      </w:r>
      <w:r w:rsidR="00BD33E1" w:rsidRPr="006B42D6">
        <w:rPr>
          <w:lang w:eastAsia="en-GB"/>
        </w:rPr>
        <w:t xml:space="preserve">number of households was </w:t>
      </w:r>
      <w:r w:rsidR="00697881" w:rsidRPr="006B42D6">
        <w:rPr>
          <w:lang w:eastAsia="en-GB"/>
        </w:rPr>
        <w:t>reported</w:t>
      </w:r>
      <w:r w:rsidR="00BD33E1" w:rsidRPr="006B42D6">
        <w:rPr>
          <w:lang w:eastAsia="en-GB"/>
        </w:rPr>
        <w:t xml:space="preserve"> in Kusini Unguja </w:t>
      </w:r>
      <w:r w:rsidR="00697881" w:rsidRPr="006B42D6">
        <w:rPr>
          <w:lang w:eastAsia="en-GB"/>
        </w:rPr>
        <w:t>region (5,718; 10.6 percent)</w:t>
      </w:r>
      <w:r w:rsidR="00303D63" w:rsidRPr="006B42D6">
        <w:rPr>
          <w:lang w:eastAsia="en-GB"/>
        </w:rPr>
        <w:t xml:space="preserve"> (Figure 4.2</w:t>
      </w:r>
      <w:r w:rsidR="00BD33E1" w:rsidRPr="006B42D6">
        <w:rPr>
          <w:lang w:eastAsia="en-GB"/>
        </w:rPr>
        <w:t>7</w:t>
      </w:r>
      <w:r w:rsidR="00303D63" w:rsidRPr="006B42D6">
        <w:rPr>
          <w:lang w:eastAsia="en-GB"/>
        </w:rPr>
        <w:t>)</w:t>
      </w:r>
      <w:r w:rsidR="00697881" w:rsidRPr="006B42D6">
        <w:rPr>
          <w:lang w:eastAsia="en-GB"/>
        </w:rPr>
        <w:t>.</w:t>
      </w:r>
      <w:r w:rsidR="004F4506">
        <w:rPr>
          <w:spacing w:val="-3"/>
        </w:rPr>
        <w:br w:type="page"/>
      </w:r>
    </w:p>
    <w:p w14:paraId="32230B92" w14:textId="29ABE420" w:rsidR="00A26C28" w:rsidRPr="006B42D6" w:rsidRDefault="00A26C28" w:rsidP="001F75E4">
      <w:pPr>
        <w:pStyle w:val="Heading2"/>
      </w:pPr>
      <w:bookmarkStart w:id="575" w:name="_Toc82385747"/>
      <w:r w:rsidRPr="006B42D6">
        <w:lastRenderedPageBreak/>
        <w:t>4.</w:t>
      </w:r>
      <w:r w:rsidR="00C4159B">
        <w:t>3</w:t>
      </w:r>
      <w:r w:rsidR="000F2C7C" w:rsidRPr="006B42D6">
        <w:tab/>
      </w:r>
      <w:r w:rsidRPr="006B42D6">
        <w:t>Livestock and Poultry Products</w:t>
      </w:r>
      <w:bookmarkEnd w:id="575"/>
    </w:p>
    <w:p w14:paraId="0BCF0F2B" w14:textId="1E3CB963" w:rsidR="00A26C28" w:rsidRPr="006B42D6" w:rsidRDefault="00A26C28" w:rsidP="00A26C28">
      <w:pPr>
        <w:tabs>
          <w:tab w:val="left" w:pos="540"/>
        </w:tabs>
      </w:pPr>
      <w:r w:rsidRPr="006B42D6">
        <w:t>This section presents the result of livestock and poultry products reported during the 2019/20 Agriculture Census. The products include milk, chicken eggs, hides and skins.</w:t>
      </w:r>
    </w:p>
    <w:p w14:paraId="1AA0CEC7" w14:textId="77777777" w:rsidR="00A26C28" w:rsidRPr="006B42D6" w:rsidRDefault="00A26C28" w:rsidP="004F4506">
      <w:pPr>
        <w:tabs>
          <w:tab w:val="left" w:pos="540"/>
        </w:tabs>
        <w:spacing w:line="240" w:lineRule="auto"/>
        <w:rPr>
          <w:b/>
        </w:rPr>
      </w:pPr>
    </w:p>
    <w:p w14:paraId="2185AAC2" w14:textId="45AB0161" w:rsidR="00A26C28" w:rsidRPr="006B42D6" w:rsidRDefault="001F75E4" w:rsidP="001F75E4">
      <w:pPr>
        <w:pStyle w:val="Heading3"/>
      </w:pPr>
      <w:bookmarkStart w:id="576" w:name="_Toc82385748"/>
      <w:r w:rsidRPr="006B42D6">
        <w:t>4.</w:t>
      </w:r>
      <w:r w:rsidR="00C4159B">
        <w:t>3</w:t>
      </w:r>
      <w:r w:rsidRPr="006B42D6">
        <w:t>.1</w:t>
      </w:r>
      <w:r w:rsidR="000F2C7C" w:rsidRPr="006B42D6">
        <w:tab/>
      </w:r>
      <w:r w:rsidR="00A26C28" w:rsidRPr="006B42D6">
        <w:t>Milk Production</w:t>
      </w:r>
      <w:bookmarkEnd w:id="576"/>
      <w:r w:rsidR="00A26C28" w:rsidRPr="006B42D6">
        <w:t xml:space="preserve"> </w:t>
      </w:r>
    </w:p>
    <w:p w14:paraId="1FF4888E" w14:textId="7347EC45" w:rsidR="00A26C28" w:rsidRPr="006B42D6" w:rsidRDefault="00A26C28" w:rsidP="00A26C28">
      <w:pPr>
        <w:tabs>
          <w:tab w:val="left" w:pos="540"/>
        </w:tabs>
      </w:pPr>
      <w:r w:rsidRPr="006B42D6">
        <w:t>The total milk production reported during 2019/20 agricultural year in Tanzania was 3,1</w:t>
      </w:r>
      <w:r w:rsidR="008B405D" w:rsidRPr="006B42D6">
        <w:t>30</w:t>
      </w:r>
      <w:r w:rsidRPr="006B42D6">
        <w:t>,</w:t>
      </w:r>
      <w:r w:rsidR="008B405D" w:rsidRPr="006B42D6">
        <w:t>774</w:t>
      </w:r>
      <w:r w:rsidRPr="006B42D6">
        <w:t>,</w:t>
      </w:r>
      <w:r w:rsidR="008B405D" w:rsidRPr="006B42D6">
        <w:t>084</w:t>
      </w:r>
      <w:r w:rsidRPr="006B42D6">
        <w:t xml:space="preserve"> litres from cows and 2</w:t>
      </w:r>
      <w:r w:rsidR="00360433" w:rsidRPr="006B42D6">
        <w:t>5</w:t>
      </w:r>
      <w:r w:rsidRPr="006B42D6">
        <w:t>,</w:t>
      </w:r>
      <w:r w:rsidR="00360433" w:rsidRPr="006B42D6">
        <w:t>690</w:t>
      </w:r>
      <w:r w:rsidRPr="006B42D6">
        <w:t>,</w:t>
      </w:r>
      <w:r w:rsidR="00360433" w:rsidRPr="006B42D6">
        <w:t>876</w:t>
      </w:r>
      <w:r w:rsidRPr="006B42D6">
        <w:t xml:space="preserve"> litres from goats. Out of the total cow milk produced, 3,112,940,00</w:t>
      </w:r>
      <w:r w:rsidR="008B405D" w:rsidRPr="006B42D6">
        <w:t>8</w:t>
      </w:r>
      <w:r w:rsidRPr="006B42D6">
        <w:t xml:space="preserve"> litres were from smallholder farmers (3,076,489,37</w:t>
      </w:r>
      <w:r w:rsidR="008B405D" w:rsidRPr="006B42D6">
        <w:t>1</w:t>
      </w:r>
      <w:r w:rsidRPr="006B42D6">
        <w:t xml:space="preserve"> in </w:t>
      </w:r>
      <w:r w:rsidR="00EA1552">
        <w:rPr>
          <w:lang w:eastAsia="en-GB"/>
        </w:rPr>
        <w:t>Mainland Tanzania</w:t>
      </w:r>
      <w:r w:rsidRPr="006B42D6">
        <w:t xml:space="preserve"> and 36,450,63</w:t>
      </w:r>
      <w:r w:rsidR="008B405D" w:rsidRPr="006B42D6">
        <w:t>7</w:t>
      </w:r>
      <w:r w:rsidRPr="006B42D6">
        <w:t xml:space="preserve"> in </w:t>
      </w:r>
      <w:r w:rsidR="000D4D71" w:rsidRPr="006B42D6">
        <w:rPr>
          <w:lang w:eastAsia="en-GB"/>
        </w:rPr>
        <w:t xml:space="preserve">Tanzania </w:t>
      </w:r>
      <w:r w:rsidRPr="006B42D6">
        <w:t xml:space="preserve">Zanzibar) and 17,834,076 litres from large scale farms (17,574,621 in </w:t>
      </w:r>
      <w:r w:rsidR="00EA1552">
        <w:rPr>
          <w:lang w:eastAsia="en-GB"/>
        </w:rPr>
        <w:t>Mainland Tanzania</w:t>
      </w:r>
      <w:r w:rsidRPr="006B42D6">
        <w:t xml:space="preserve"> and 259,455 in </w:t>
      </w:r>
      <w:r w:rsidR="000D4D71" w:rsidRPr="006B42D6">
        <w:rPr>
          <w:lang w:eastAsia="en-GB"/>
        </w:rPr>
        <w:t xml:space="preserve">Tanzania </w:t>
      </w:r>
      <w:r w:rsidRPr="006B42D6">
        <w:t>Zanzibar) whereas the total goat milk production from smallholder farmers was 2</w:t>
      </w:r>
      <w:r w:rsidR="00B27D17" w:rsidRPr="006B42D6">
        <w:t>5</w:t>
      </w:r>
      <w:r w:rsidRPr="006B42D6">
        <w:t>,</w:t>
      </w:r>
      <w:r w:rsidR="00B27D17" w:rsidRPr="006B42D6">
        <w:t>678,361</w:t>
      </w:r>
      <w:r w:rsidRPr="006B42D6">
        <w:t xml:space="preserve"> litres (2</w:t>
      </w:r>
      <w:r w:rsidR="00B27D17" w:rsidRPr="006B42D6">
        <w:t>5</w:t>
      </w:r>
      <w:r w:rsidRPr="006B42D6">
        <w:t>,</w:t>
      </w:r>
      <w:r w:rsidR="00B27D17" w:rsidRPr="006B42D6">
        <w:t>565</w:t>
      </w:r>
      <w:r w:rsidRPr="006B42D6">
        <w:t>,</w:t>
      </w:r>
      <w:r w:rsidR="00B27D17" w:rsidRPr="006B42D6">
        <w:t xml:space="preserve">561 </w:t>
      </w:r>
      <w:r w:rsidRPr="006B42D6">
        <w:t xml:space="preserve">in </w:t>
      </w:r>
      <w:r w:rsidR="00EA1552">
        <w:rPr>
          <w:lang w:eastAsia="en-GB"/>
        </w:rPr>
        <w:t>Mainland Tanzania</w:t>
      </w:r>
      <w:r w:rsidRPr="006B42D6">
        <w:t xml:space="preserve"> and 112,</w:t>
      </w:r>
      <w:r w:rsidR="00B27D17" w:rsidRPr="006B42D6">
        <w:t>800</w:t>
      </w:r>
      <w:r w:rsidRPr="006B42D6">
        <w:t xml:space="preserve"> in </w:t>
      </w:r>
      <w:r w:rsidR="000D4D71" w:rsidRPr="006B42D6">
        <w:rPr>
          <w:lang w:eastAsia="en-GB"/>
        </w:rPr>
        <w:t xml:space="preserve">Tanzania </w:t>
      </w:r>
      <w:r w:rsidRPr="006B42D6">
        <w:t xml:space="preserve">Zanzibar) and 12,515 litres from large scale farms (10,895 in </w:t>
      </w:r>
      <w:r w:rsidR="00EA1552">
        <w:rPr>
          <w:lang w:eastAsia="en-GB"/>
        </w:rPr>
        <w:t>Mainland Tanzania</w:t>
      </w:r>
      <w:r w:rsidRPr="006B42D6">
        <w:t xml:space="preserve"> and 1,620 in Zanzibar). </w:t>
      </w:r>
    </w:p>
    <w:p w14:paraId="7A77DAEA" w14:textId="77777777" w:rsidR="001F75E4" w:rsidRPr="006B42D6" w:rsidRDefault="001F75E4" w:rsidP="00703973">
      <w:pPr>
        <w:tabs>
          <w:tab w:val="left" w:pos="540"/>
        </w:tabs>
        <w:spacing w:line="240" w:lineRule="auto"/>
      </w:pPr>
    </w:p>
    <w:p w14:paraId="03276C48" w14:textId="77777777" w:rsidR="00A26C28" w:rsidRPr="006B42D6" w:rsidRDefault="00A26C28" w:rsidP="00A26C28">
      <w:pPr>
        <w:tabs>
          <w:tab w:val="left" w:pos="540"/>
        </w:tabs>
        <w:rPr>
          <w:b/>
        </w:rPr>
      </w:pPr>
      <w:r w:rsidRPr="006B42D6">
        <w:rPr>
          <w:b/>
        </w:rPr>
        <w:t>Cow Milk</w:t>
      </w:r>
    </w:p>
    <w:p w14:paraId="5F27998A" w14:textId="783D7F08" w:rsidR="00A26C28" w:rsidRPr="00443CEE" w:rsidRDefault="00A26C28" w:rsidP="004F4506">
      <w:r w:rsidRPr="006B42D6">
        <w:t xml:space="preserve">The results show that, 54.4 percent of the total cattle keeping households in </w:t>
      </w:r>
      <w:r w:rsidR="00EA1552">
        <w:rPr>
          <w:lang w:eastAsia="en-GB"/>
        </w:rPr>
        <w:t>Mainland Tanzania</w:t>
      </w:r>
      <w:r w:rsidRPr="006B42D6">
        <w:t xml:space="preserve"> reported to produce milk, while in </w:t>
      </w:r>
      <w:r w:rsidR="000D4D71" w:rsidRPr="006B42D6">
        <w:rPr>
          <w:lang w:eastAsia="en-GB"/>
        </w:rPr>
        <w:t xml:space="preserve">Tanzania </w:t>
      </w:r>
      <w:r w:rsidRPr="006B42D6">
        <w:t>Zanzibar, 39.8 percent reported milk production. For smallholder farmers, the total milk produced was 3,112,940,00</w:t>
      </w:r>
      <w:r w:rsidR="00B27D17" w:rsidRPr="006B42D6">
        <w:t>8</w:t>
      </w:r>
      <w:r w:rsidRPr="006B42D6">
        <w:t xml:space="preserve"> litres, of which 3,076,489,37</w:t>
      </w:r>
      <w:r w:rsidR="00B27D17" w:rsidRPr="006B42D6">
        <w:t>1</w:t>
      </w:r>
      <w:r w:rsidRPr="006B42D6">
        <w:t xml:space="preserve"> litres were produced in </w:t>
      </w:r>
      <w:r w:rsidR="00EA1552">
        <w:rPr>
          <w:lang w:eastAsia="en-GB"/>
        </w:rPr>
        <w:t>Mainland Tanzania</w:t>
      </w:r>
      <w:r w:rsidRPr="006B42D6">
        <w:t xml:space="preserve"> (1,913,683,988 litres during wet season; 1,162,805,383 litres during dry season) and 36,450,63</w:t>
      </w:r>
      <w:r w:rsidR="00B27D17" w:rsidRPr="006B42D6">
        <w:t>7</w:t>
      </w:r>
      <w:r w:rsidRPr="006B42D6">
        <w:t xml:space="preserve"> litres in </w:t>
      </w:r>
      <w:r w:rsidR="000D4D71" w:rsidRPr="006B42D6">
        <w:rPr>
          <w:lang w:eastAsia="en-GB"/>
        </w:rPr>
        <w:t xml:space="preserve">Tanzania </w:t>
      </w:r>
      <w:r w:rsidRPr="006B42D6">
        <w:t xml:space="preserve">Zanzibar (23,343,263 litres during wet season, 13,107,374 litres during dry season) (Table </w:t>
      </w:r>
      <w:r w:rsidR="00360433" w:rsidRPr="006B42D6">
        <w:t>4.10</w:t>
      </w:r>
      <w:r w:rsidRPr="006B42D6">
        <w:t>).</w:t>
      </w:r>
    </w:p>
    <w:p w14:paraId="0D3A36E7" w14:textId="77777777" w:rsidR="00A26C28" w:rsidRPr="006B42D6" w:rsidRDefault="00A26C28" w:rsidP="00703973">
      <w:pPr>
        <w:spacing w:line="240" w:lineRule="auto"/>
      </w:pPr>
    </w:p>
    <w:p w14:paraId="0D58E163" w14:textId="21713DE4" w:rsidR="00A26C28" w:rsidRPr="006B42D6" w:rsidRDefault="00A26C28" w:rsidP="007200F6">
      <w:pPr>
        <w:pStyle w:val="Heading7"/>
      </w:pPr>
      <w:bookmarkStart w:id="577" w:name="_Toc82386218"/>
      <w:r w:rsidRPr="006B42D6">
        <w:t xml:space="preserve">Table </w:t>
      </w:r>
      <w:r w:rsidR="00360433" w:rsidRPr="006B42D6">
        <w:t>4.10</w:t>
      </w:r>
      <w:r w:rsidR="004F4506">
        <w:t>:</w:t>
      </w:r>
      <w:r w:rsidR="004F4506">
        <w:tab/>
      </w:r>
      <w:r w:rsidRPr="006B42D6">
        <w:t>Cow Milk Production for Large Scale Farms and Smallholder Farmers During 2019/20 Agricultural Year</w:t>
      </w:r>
      <w:r w:rsidR="00F54682" w:rsidRPr="006B42D6">
        <w:t>, Tanzania</w:t>
      </w:r>
      <w:bookmarkEnd w:id="577"/>
    </w:p>
    <w:tbl>
      <w:tblPr>
        <w:tblW w:w="5000" w:type="pct"/>
        <w:tblCellMar>
          <w:left w:w="0" w:type="dxa"/>
          <w:right w:w="0" w:type="dxa"/>
        </w:tblCellMar>
        <w:tblLook w:val="04A0" w:firstRow="1" w:lastRow="0" w:firstColumn="1" w:lastColumn="0" w:noHBand="0" w:noVBand="1"/>
      </w:tblPr>
      <w:tblGrid>
        <w:gridCol w:w="1007"/>
        <w:gridCol w:w="1222"/>
        <w:gridCol w:w="1459"/>
        <w:gridCol w:w="1341"/>
        <w:gridCol w:w="1341"/>
        <w:gridCol w:w="1341"/>
        <w:gridCol w:w="1339"/>
      </w:tblGrid>
      <w:tr w:rsidR="006B42D6" w:rsidRPr="006B42D6" w14:paraId="0172ED79" w14:textId="77777777" w:rsidTr="00B70154">
        <w:trPr>
          <w:trHeight w:val="340"/>
        </w:trPr>
        <w:tc>
          <w:tcPr>
            <w:tcW w:w="556" w:type="pct"/>
            <w:vMerge w:val="restart"/>
            <w:tcBorders>
              <w:top w:val="single" w:sz="4" w:space="0" w:color="auto"/>
              <w:left w:val="nil"/>
              <w:bottom w:val="nil"/>
              <w:right w:val="nil"/>
            </w:tcBorders>
            <w:shd w:val="clear" w:color="auto" w:fill="E2EFD9" w:themeFill="accent6" w:themeFillTint="33"/>
            <w:noWrap/>
            <w:tcMar>
              <w:top w:w="15" w:type="dxa"/>
              <w:left w:w="15" w:type="dxa"/>
              <w:bottom w:w="0" w:type="dxa"/>
              <w:right w:w="15" w:type="dxa"/>
            </w:tcMar>
            <w:vAlign w:val="center"/>
            <w:hideMark/>
          </w:tcPr>
          <w:p w14:paraId="25CB3F8D" w14:textId="77777777" w:rsidR="00A26C28" w:rsidRPr="006B42D6" w:rsidRDefault="00A26C28" w:rsidP="00E743F9">
            <w:pPr>
              <w:spacing w:line="276" w:lineRule="auto"/>
              <w:jc w:val="center"/>
              <w:rPr>
                <w:sz w:val="18"/>
                <w:szCs w:val="18"/>
              </w:rPr>
            </w:pPr>
            <w:r w:rsidRPr="006B42D6">
              <w:rPr>
                <w:sz w:val="18"/>
                <w:szCs w:val="18"/>
              </w:rPr>
              <w:t xml:space="preserve">Livestock </w:t>
            </w:r>
          </w:p>
        </w:tc>
        <w:tc>
          <w:tcPr>
            <w:tcW w:w="1481" w:type="pct"/>
            <w:gridSpan w:val="2"/>
            <w:tcBorders>
              <w:top w:val="single" w:sz="4" w:space="0" w:color="auto"/>
              <w:left w:val="nil"/>
              <w:bottom w:val="nil"/>
              <w:right w:val="single" w:sz="4" w:space="0" w:color="000000"/>
            </w:tcBorders>
            <w:shd w:val="clear" w:color="auto" w:fill="E2EFD9" w:themeFill="accent6" w:themeFillTint="33"/>
            <w:noWrap/>
            <w:tcMar>
              <w:top w:w="15" w:type="dxa"/>
              <w:left w:w="15" w:type="dxa"/>
              <w:bottom w:w="0" w:type="dxa"/>
              <w:right w:w="15" w:type="dxa"/>
            </w:tcMar>
            <w:vAlign w:val="bottom"/>
            <w:hideMark/>
          </w:tcPr>
          <w:p w14:paraId="0151BAA0" w14:textId="77777777" w:rsidR="00A26C28" w:rsidRPr="006B42D6" w:rsidRDefault="00A26C28" w:rsidP="00E743F9">
            <w:pPr>
              <w:spacing w:line="276" w:lineRule="auto"/>
              <w:jc w:val="center"/>
              <w:rPr>
                <w:sz w:val="18"/>
                <w:szCs w:val="18"/>
              </w:rPr>
            </w:pPr>
            <w:r w:rsidRPr="006B42D6">
              <w:rPr>
                <w:sz w:val="18"/>
                <w:szCs w:val="18"/>
              </w:rPr>
              <w:t xml:space="preserve"> Tanzania </w:t>
            </w:r>
          </w:p>
        </w:tc>
        <w:tc>
          <w:tcPr>
            <w:tcW w:w="1482" w:type="pct"/>
            <w:gridSpan w:val="2"/>
            <w:tcBorders>
              <w:top w:val="single" w:sz="4" w:space="0" w:color="auto"/>
              <w:left w:val="single" w:sz="4" w:space="0" w:color="auto"/>
              <w:bottom w:val="nil"/>
              <w:right w:val="single" w:sz="4" w:space="0" w:color="000000"/>
            </w:tcBorders>
            <w:shd w:val="clear" w:color="auto" w:fill="E2EFD9" w:themeFill="accent6" w:themeFillTint="33"/>
            <w:noWrap/>
            <w:tcMar>
              <w:top w:w="15" w:type="dxa"/>
              <w:left w:w="15" w:type="dxa"/>
              <w:bottom w:w="0" w:type="dxa"/>
              <w:right w:w="15" w:type="dxa"/>
            </w:tcMar>
            <w:vAlign w:val="bottom"/>
            <w:hideMark/>
          </w:tcPr>
          <w:p w14:paraId="37713AA8" w14:textId="16AED88F" w:rsidR="00A26C28" w:rsidRPr="006B42D6" w:rsidRDefault="00EA1552" w:rsidP="00E743F9">
            <w:pPr>
              <w:spacing w:line="276" w:lineRule="auto"/>
              <w:jc w:val="center"/>
              <w:rPr>
                <w:sz w:val="18"/>
                <w:szCs w:val="18"/>
              </w:rPr>
            </w:pPr>
            <w:r>
              <w:rPr>
                <w:sz w:val="18"/>
                <w:szCs w:val="18"/>
              </w:rPr>
              <w:t>Mainland Tanzania</w:t>
            </w:r>
            <w:r w:rsidR="00A26C28" w:rsidRPr="006B42D6">
              <w:rPr>
                <w:sz w:val="18"/>
                <w:szCs w:val="18"/>
              </w:rPr>
              <w:t xml:space="preserve"> </w:t>
            </w:r>
          </w:p>
        </w:tc>
        <w:tc>
          <w:tcPr>
            <w:tcW w:w="1481" w:type="pct"/>
            <w:gridSpan w:val="2"/>
            <w:tcBorders>
              <w:top w:val="single" w:sz="4" w:space="0" w:color="auto"/>
              <w:left w:val="single" w:sz="4" w:space="0" w:color="auto"/>
              <w:bottom w:val="nil"/>
              <w:right w:val="nil"/>
            </w:tcBorders>
            <w:shd w:val="clear" w:color="auto" w:fill="E2EFD9" w:themeFill="accent6" w:themeFillTint="33"/>
            <w:noWrap/>
            <w:tcMar>
              <w:top w:w="15" w:type="dxa"/>
              <w:left w:w="15" w:type="dxa"/>
              <w:bottom w:w="0" w:type="dxa"/>
              <w:right w:w="15" w:type="dxa"/>
            </w:tcMar>
            <w:vAlign w:val="bottom"/>
            <w:hideMark/>
          </w:tcPr>
          <w:p w14:paraId="0DE41128" w14:textId="00D82951" w:rsidR="00A26C28" w:rsidRPr="006B42D6" w:rsidRDefault="00A26C28" w:rsidP="00E743F9">
            <w:pPr>
              <w:spacing w:line="276" w:lineRule="auto"/>
              <w:jc w:val="center"/>
              <w:rPr>
                <w:sz w:val="18"/>
                <w:szCs w:val="18"/>
              </w:rPr>
            </w:pPr>
            <w:r w:rsidRPr="006B42D6">
              <w:rPr>
                <w:sz w:val="18"/>
                <w:szCs w:val="18"/>
              </w:rPr>
              <w:t xml:space="preserve"> </w:t>
            </w:r>
            <w:r w:rsidR="000D4D71" w:rsidRPr="006B42D6">
              <w:rPr>
                <w:sz w:val="18"/>
                <w:szCs w:val="18"/>
              </w:rPr>
              <w:t xml:space="preserve">Tanzania </w:t>
            </w:r>
            <w:r w:rsidRPr="006B42D6">
              <w:rPr>
                <w:sz w:val="18"/>
                <w:szCs w:val="18"/>
              </w:rPr>
              <w:t xml:space="preserve">Zanzibar </w:t>
            </w:r>
          </w:p>
        </w:tc>
      </w:tr>
      <w:tr w:rsidR="006B42D6" w:rsidRPr="006B42D6" w14:paraId="53CF7D7C" w14:textId="77777777" w:rsidTr="00E743F9">
        <w:trPr>
          <w:trHeight w:val="555"/>
        </w:trPr>
        <w:tc>
          <w:tcPr>
            <w:tcW w:w="556" w:type="pct"/>
            <w:vMerge/>
            <w:tcBorders>
              <w:top w:val="single" w:sz="4" w:space="0" w:color="auto"/>
              <w:left w:val="nil"/>
              <w:bottom w:val="single" w:sz="4" w:space="0" w:color="auto"/>
              <w:right w:val="nil"/>
            </w:tcBorders>
            <w:shd w:val="clear" w:color="auto" w:fill="E2EFD9" w:themeFill="accent6" w:themeFillTint="33"/>
            <w:vAlign w:val="center"/>
            <w:hideMark/>
          </w:tcPr>
          <w:p w14:paraId="310CE871" w14:textId="77777777" w:rsidR="00A26C28" w:rsidRPr="006B42D6" w:rsidRDefault="00A26C28" w:rsidP="00E743F9">
            <w:pPr>
              <w:spacing w:line="276" w:lineRule="auto"/>
              <w:rPr>
                <w:sz w:val="18"/>
                <w:szCs w:val="18"/>
              </w:rPr>
            </w:pPr>
          </w:p>
        </w:tc>
        <w:tc>
          <w:tcPr>
            <w:tcW w:w="675" w:type="pct"/>
            <w:tcBorders>
              <w:top w:val="single" w:sz="4" w:space="0" w:color="auto"/>
              <w:left w:val="nil"/>
              <w:bottom w:val="single" w:sz="4" w:space="0" w:color="auto"/>
              <w:right w:val="nil"/>
            </w:tcBorders>
            <w:shd w:val="clear" w:color="auto" w:fill="E2EFD9" w:themeFill="accent6" w:themeFillTint="33"/>
            <w:tcMar>
              <w:top w:w="15" w:type="dxa"/>
              <w:left w:w="15" w:type="dxa"/>
              <w:bottom w:w="0" w:type="dxa"/>
              <w:right w:w="15" w:type="dxa"/>
            </w:tcMar>
            <w:vAlign w:val="center"/>
            <w:hideMark/>
          </w:tcPr>
          <w:p w14:paraId="573DF458" w14:textId="74074D94" w:rsidR="00A26C28" w:rsidRPr="006B42D6" w:rsidRDefault="00A26C28" w:rsidP="00E743F9">
            <w:pPr>
              <w:spacing w:line="276" w:lineRule="auto"/>
              <w:jc w:val="center"/>
              <w:rPr>
                <w:sz w:val="18"/>
                <w:szCs w:val="18"/>
              </w:rPr>
            </w:pPr>
            <w:r w:rsidRPr="006B42D6">
              <w:rPr>
                <w:sz w:val="18"/>
                <w:szCs w:val="18"/>
              </w:rPr>
              <w:t>Smallholder Farmers</w:t>
            </w:r>
          </w:p>
        </w:tc>
        <w:tc>
          <w:tcPr>
            <w:tcW w:w="806" w:type="pct"/>
            <w:tcBorders>
              <w:top w:val="single" w:sz="4" w:space="0" w:color="auto"/>
              <w:left w:val="nil"/>
              <w:bottom w:val="single" w:sz="4" w:space="0" w:color="auto"/>
              <w:right w:val="nil"/>
            </w:tcBorders>
            <w:shd w:val="clear" w:color="auto" w:fill="E2EFD9" w:themeFill="accent6" w:themeFillTint="33"/>
            <w:tcMar>
              <w:top w:w="15" w:type="dxa"/>
              <w:left w:w="15" w:type="dxa"/>
              <w:bottom w:w="0" w:type="dxa"/>
              <w:right w:w="15" w:type="dxa"/>
            </w:tcMar>
            <w:vAlign w:val="center"/>
            <w:hideMark/>
          </w:tcPr>
          <w:p w14:paraId="559040A7" w14:textId="322FE9E7" w:rsidR="00AF17C6" w:rsidRDefault="00A26C28" w:rsidP="00E743F9">
            <w:pPr>
              <w:spacing w:line="276" w:lineRule="auto"/>
              <w:jc w:val="center"/>
              <w:rPr>
                <w:sz w:val="18"/>
                <w:szCs w:val="18"/>
              </w:rPr>
            </w:pPr>
            <w:r w:rsidRPr="006B42D6">
              <w:rPr>
                <w:sz w:val="18"/>
                <w:szCs w:val="18"/>
              </w:rPr>
              <w:t>Large Scale</w:t>
            </w:r>
          </w:p>
          <w:p w14:paraId="7ED3A945" w14:textId="4BB0B804" w:rsidR="00A26C28" w:rsidRPr="006B42D6" w:rsidRDefault="00A26C28" w:rsidP="00E743F9">
            <w:pPr>
              <w:spacing w:line="276" w:lineRule="auto"/>
              <w:jc w:val="center"/>
              <w:rPr>
                <w:sz w:val="18"/>
                <w:szCs w:val="18"/>
              </w:rPr>
            </w:pPr>
            <w:r w:rsidRPr="006B42D6">
              <w:rPr>
                <w:sz w:val="18"/>
                <w:szCs w:val="18"/>
              </w:rPr>
              <w:t>Farms</w:t>
            </w:r>
          </w:p>
        </w:tc>
        <w:tc>
          <w:tcPr>
            <w:tcW w:w="741" w:type="pct"/>
            <w:tcBorders>
              <w:top w:val="single" w:sz="4" w:space="0" w:color="auto"/>
              <w:left w:val="single" w:sz="4" w:space="0" w:color="auto"/>
              <w:bottom w:val="single" w:sz="4" w:space="0" w:color="auto"/>
              <w:right w:val="nil"/>
            </w:tcBorders>
            <w:shd w:val="clear" w:color="auto" w:fill="E2EFD9" w:themeFill="accent6" w:themeFillTint="33"/>
            <w:tcMar>
              <w:top w:w="15" w:type="dxa"/>
              <w:left w:w="15" w:type="dxa"/>
              <w:bottom w:w="0" w:type="dxa"/>
              <w:right w:w="15" w:type="dxa"/>
            </w:tcMar>
            <w:vAlign w:val="center"/>
            <w:hideMark/>
          </w:tcPr>
          <w:p w14:paraId="1911C7BC" w14:textId="64E8893F" w:rsidR="00A26C28" w:rsidRPr="006B42D6" w:rsidRDefault="00A26C28" w:rsidP="00E743F9">
            <w:pPr>
              <w:spacing w:line="276" w:lineRule="auto"/>
              <w:jc w:val="center"/>
              <w:rPr>
                <w:sz w:val="18"/>
                <w:szCs w:val="18"/>
              </w:rPr>
            </w:pPr>
            <w:r w:rsidRPr="006B42D6">
              <w:rPr>
                <w:sz w:val="18"/>
                <w:szCs w:val="18"/>
              </w:rPr>
              <w:t>Smallholder Farmers</w:t>
            </w:r>
          </w:p>
        </w:tc>
        <w:tc>
          <w:tcPr>
            <w:tcW w:w="741" w:type="pct"/>
            <w:tcBorders>
              <w:top w:val="single" w:sz="4" w:space="0" w:color="auto"/>
              <w:left w:val="nil"/>
              <w:bottom w:val="single" w:sz="4" w:space="0" w:color="auto"/>
              <w:right w:val="single" w:sz="4" w:space="0" w:color="auto"/>
            </w:tcBorders>
            <w:shd w:val="clear" w:color="auto" w:fill="E2EFD9" w:themeFill="accent6" w:themeFillTint="33"/>
            <w:tcMar>
              <w:top w:w="15" w:type="dxa"/>
              <w:left w:w="15" w:type="dxa"/>
              <w:bottom w:w="0" w:type="dxa"/>
              <w:right w:w="15" w:type="dxa"/>
            </w:tcMar>
            <w:vAlign w:val="center"/>
            <w:hideMark/>
          </w:tcPr>
          <w:p w14:paraId="41F8EAE7" w14:textId="732D1363" w:rsidR="004F4506" w:rsidRDefault="00A26C28" w:rsidP="00E743F9">
            <w:pPr>
              <w:spacing w:line="276" w:lineRule="auto"/>
              <w:jc w:val="center"/>
              <w:rPr>
                <w:sz w:val="18"/>
                <w:szCs w:val="18"/>
              </w:rPr>
            </w:pPr>
            <w:r w:rsidRPr="006B42D6">
              <w:rPr>
                <w:sz w:val="18"/>
                <w:szCs w:val="18"/>
              </w:rPr>
              <w:t>Large Scale</w:t>
            </w:r>
          </w:p>
          <w:p w14:paraId="5A2840F3" w14:textId="3433CAD4" w:rsidR="00A26C28" w:rsidRPr="006B42D6" w:rsidRDefault="00A26C28" w:rsidP="00E743F9">
            <w:pPr>
              <w:spacing w:line="276" w:lineRule="auto"/>
              <w:jc w:val="center"/>
              <w:rPr>
                <w:sz w:val="18"/>
                <w:szCs w:val="18"/>
              </w:rPr>
            </w:pPr>
            <w:r w:rsidRPr="006B42D6">
              <w:rPr>
                <w:sz w:val="18"/>
                <w:szCs w:val="18"/>
              </w:rPr>
              <w:t>Farms</w:t>
            </w:r>
          </w:p>
        </w:tc>
        <w:tc>
          <w:tcPr>
            <w:tcW w:w="741" w:type="pct"/>
            <w:tcBorders>
              <w:top w:val="single" w:sz="4" w:space="0" w:color="auto"/>
              <w:left w:val="nil"/>
              <w:bottom w:val="single" w:sz="4" w:space="0" w:color="auto"/>
              <w:right w:val="nil"/>
            </w:tcBorders>
            <w:shd w:val="clear" w:color="auto" w:fill="E2EFD9" w:themeFill="accent6" w:themeFillTint="33"/>
            <w:tcMar>
              <w:top w:w="15" w:type="dxa"/>
              <w:left w:w="15" w:type="dxa"/>
              <w:bottom w:w="0" w:type="dxa"/>
              <w:right w:w="15" w:type="dxa"/>
            </w:tcMar>
            <w:vAlign w:val="center"/>
            <w:hideMark/>
          </w:tcPr>
          <w:p w14:paraId="55509952" w14:textId="1B8698AB" w:rsidR="00A26C28" w:rsidRPr="006B42D6" w:rsidRDefault="00A26C28" w:rsidP="00E743F9">
            <w:pPr>
              <w:spacing w:line="276" w:lineRule="auto"/>
              <w:jc w:val="center"/>
              <w:rPr>
                <w:sz w:val="18"/>
                <w:szCs w:val="18"/>
              </w:rPr>
            </w:pPr>
            <w:r w:rsidRPr="006B42D6">
              <w:rPr>
                <w:sz w:val="18"/>
                <w:szCs w:val="18"/>
              </w:rPr>
              <w:t>Smallholder Farmers</w:t>
            </w:r>
          </w:p>
        </w:tc>
        <w:tc>
          <w:tcPr>
            <w:tcW w:w="740" w:type="pct"/>
            <w:tcBorders>
              <w:top w:val="single" w:sz="4" w:space="0" w:color="auto"/>
              <w:left w:val="nil"/>
              <w:bottom w:val="single" w:sz="4" w:space="0" w:color="auto"/>
              <w:right w:val="nil"/>
            </w:tcBorders>
            <w:shd w:val="clear" w:color="auto" w:fill="E2EFD9" w:themeFill="accent6" w:themeFillTint="33"/>
            <w:tcMar>
              <w:top w:w="15" w:type="dxa"/>
              <w:left w:w="15" w:type="dxa"/>
              <w:bottom w:w="0" w:type="dxa"/>
              <w:right w:w="15" w:type="dxa"/>
            </w:tcMar>
            <w:vAlign w:val="center"/>
            <w:hideMark/>
          </w:tcPr>
          <w:p w14:paraId="3F86DF5D" w14:textId="234DC051" w:rsidR="004F4506" w:rsidRDefault="00A26C28" w:rsidP="00E743F9">
            <w:pPr>
              <w:spacing w:line="276" w:lineRule="auto"/>
              <w:jc w:val="center"/>
              <w:rPr>
                <w:sz w:val="18"/>
                <w:szCs w:val="18"/>
              </w:rPr>
            </w:pPr>
            <w:r w:rsidRPr="006B42D6">
              <w:rPr>
                <w:sz w:val="18"/>
                <w:szCs w:val="18"/>
              </w:rPr>
              <w:t>Large Scale</w:t>
            </w:r>
          </w:p>
          <w:p w14:paraId="1016BFF9" w14:textId="72EB14B9" w:rsidR="00A26C28" w:rsidRPr="006B42D6" w:rsidRDefault="00A26C28" w:rsidP="00E743F9">
            <w:pPr>
              <w:spacing w:line="276" w:lineRule="auto"/>
              <w:jc w:val="center"/>
              <w:rPr>
                <w:sz w:val="18"/>
                <w:szCs w:val="18"/>
              </w:rPr>
            </w:pPr>
            <w:r w:rsidRPr="006B42D6">
              <w:rPr>
                <w:sz w:val="18"/>
                <w:szCs w:val="18"/>
              </w:rPr>
              <w:t>Farms</w:t>
            </w:r>
          </w:p>
        </w:tc>
      </w:tr>
      <w:tr w:rsidR="006B42D6" w:rsidRPr="006B42D6" w14:paraId="01A559E2" w14:textId="77777777" w:rsidTr="00E743F9">
        <w:trPr>
          <w:trHeight w:val="340"/>
        </w:trPr>
        <w:tc>
          <w:tcPr>
            <w:tcW w:w="556" w:type="pct"/>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14:paraId="5A0DE991" w14:textId="153FB191" w:rsidR="00A26C28" w:rsidRPr="00AF17C6" w:rsidRDefault="00A26C28" w:rsidP="004F4506">
            <w:pPr>
              <w:jc w:val="left"/>
              <w:rPr>
                <w:sz w:val="18"/>
                <w:szCs w:val="18"/>
              </w:rPr>
            </w:pPr>
            <w:r w:rsidRPr="00AF17C6">
              <w:rPr>
                <w:sz w:val="18"/>
                <w:szCs w:val="18"/>
              </w:rPr>
              <w:t>Cow Milk</w:t>
            </w:r>
          </w:p>
        </w:tc>
        <w:tc>
          <w:tcPr>
            <w:tcW w:w="675" w:type="pct"/>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14:paraId="62C6529D" w14:textId="0A479D17" w:rsidR="00A26C28" w:rsidRPr="00AF17C6" w:rsidRDefault="00A26C28" w:rsidP="004F4506">
            <w:pPr>
              <w:jc w:val="center"/>
              <w:rPr>
                <w:sz w:val="18"/>
                <w:szCs w:val="18"/>
              </w:rPr>
            </w:pPr>
            <w:r w:rsidRPr="00AF17C6">
              <w:rPr>
                <w:sz w:val="18"/>
                <w:szCs w:val="18"/>
              </w:rPr>
              <w:t>3,112,940,00</w:t>
            </w:r>
            <w:r w:rsidR="00B27D17" w:rsidRPr="00AF17C6">
              <w:rPr>
                <w:sz w:val="18"/>
                <w:szCs w:val="18"/>
              </w:rPr>
              <w:t>8</w:t>
            </w:r>
          </w:p>
        </w:tc>
        <w:tc>
          <w:tcPr>
            <w:tcW w:w="806" w:type="pct"/>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6D5C434C" w14:textId="3144FDFE" w:rsidR="00A26C28" w:rsidRPr="006B42D6" w:rsidRDefault="00A26C28" w:rsidP="004F4506">
            <w:pPr>
              <w:jc w:val="center"/>
              <w:rPr>
                <w:sz w:val="18"/>
                <w:szCs w:val="18"/>
              </w:rPr>
            </w:pPr>
            <w:r w:rsidRPr="006B42D6">
              <w:rPr>
                <w:sz w:val="18"/>
                <w:szCs w:val="18"/>
              </w:rPr>
              <w:t>17,834,076</w:t>
            </w:r>
          </w:p>
        </w:tc>
        <w:tc>
          <w:tcPr>
            <w:tcW w:w="741" w:type="pct"/>
            <w:tcBorders>
              <w:top w:val="nil"/>
              <w:left w:val="single" w:sz="4" w:space="0" w:color="auto"/>
              <w:bottom w:val="single" w:sz="4" w:space="0" w:color="auto"/>
              <w:right w:val="nil"/>
            </w:tcBorders>
            <w:shd w:val="clear" w:color="auto" w:fill="auto"/>
            <w:noWrap/>
            <w:tcMar>
              <w:top w:w="15" w:type="dxa"/>
              <w:left w:w="15" w:type="dxa"/>
              <w:bottom w:w="0" w:type="dxa"/>
              <w:right w:w="15" w:type="dxa"/>
            </w:tcMar>
            <w:vAlign w:val="bottom"/>
            <w:hideMark/>
          </w:tcPr>
          <w:p w14:paraId="078EBAE4" w14:textId="565DAC08" w:rsidR="00A26C28" w:rsidRPr="006B42D6" w:rsidRDefault="00A26C28" w:rsidP="004F4506">
            <w:pPr>
              <w:jc w:val="center"/>
              <w:rPr>
                <w:sz w:val="18"/>
                <w:szCs w:val="18"/>
              </w:rPr>
            </w:pPr>
            <w:r w:rsidRPr="006B42D6">
              <w:rPr>
                <w:sz w:val="18"/>
                <w:szCs w:val="18"/>
              </w:rPr>
              <w:t>3,076,489,37</w:t>
            </w:r>
            <w:r w:rsidR="00B27D17" w:rsidRPr="006B42D6">
              <w:rPr>
                <w:sz w:val="18"/>
                <w:szCs w:val="18"/>
              </w:rPr>
              <w:t>1</w:t>
            </w:r>
          </w:p>
        </w:tc>
        <w:tc>
          <w:tcPr>
            <w:tcW w:w="7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9A46F1C" w14:textId="65F680DD" w:rsidR="00A26C28" w:rsidRPr="006B42D6" w:rsidRDefault="00A26C28" w:rsidP="004F4506">
            <w:pPr>
              <w:jc w:val="center"/>
              <w:rPr>
                <w:sz w:val="18"/>
                <w:szCs w:val="18"/>
              </w:rPr>
            </w:pPr>
            <w:r w:rsidRPr="006B42D6">
              <w:rPr>
                <w:sz w:val="18"/>
                <w:szCs w:val="18"/>
              </w:rPr>
              <w:t>17,574,621</w:t>
            </w:r>
          </w:p>
        </w:tc>
        <w:tc>
          <w:tcPr>
            <w:tcW w:w="741" w:type="pct"/>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04473415" w14:textId="5406515B" w:rsidR="00A26C28" w:rsidRPr="006B42D6" w:rsidRDefault="00A26C28" w:rsidP="004F4506">
            <w:pPr>
              <w:jc w:val="center"/>
              <w:rPr>
                <w:sz w:val="18"/>
                <w:szCs w:val="18"/>
              </w:rPr>
            </w:pPr>
            <w:r w:rsidRPr="006B42D6">
              <w:rPr>
                <w:sz w:val="18"/>
                <w:szCs w:val="18"/>
              </w:rPr>
              <w:t>36,450,63</w:t>
            </w:r>
            <w:r w:rsidR="00B27D17" w:rsidRPr="006B42D6">
              <w:rPr>
                <w:sz w:val="18"/>
                <w:szCs w:val="18"/>
              </w:rPr>
              <w:t>7</w:t>
            </w:r>
          </w:p>
        </w:tc>
        <w:tc>
          <w:tcPr>
            <w:tcW w:w="740" w:type="pct"/>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3AA5B1DE" w14:textId="0466A886" w:rsidR="00A26C28" w:rsidRPr="006B42D6" w:rsidRDefault="00A26C28" w:rsidP="004F4506">
            <w:pPr>
              <w:jc w:val="center"/>
              <w:rPr>
                <w:sz w:val="18"/>
                <w:szCs w:val="18"/>
              </w:rPr>
            </w:pPr>
            <w:r w:rsidRPr="006B42D6">
              <w:rPr>
                <w:sz w:val="18"/>
                <w:szCs w:val="18"/>
              </w:rPr>
              <w:t>259,455</w:t>
            </w:r>
          </w:p>
        </w:tc>
      </w:tr>
    </w:tbl>
    <w:p w14:paraId="69772C9F" w14:textId="77777777" w:rsidR="00A26C28" w:rsidRPr="006B42D6" w:rsidRDefault="00A26C28" w:rsidP="00703973">
      <w:pPr>
        <w:spacing w:line="240" w:lineRule="auto"/>
      </w:pPr>
    </w:p>
    <w:p w14:paraId="5DD0EED7" w14:textId="1A0D2049" w:rsidR="00360433" w:rsidRDefault="00A26C28" w:rsidP="00A26C28">
      <w:pPr>
        <w:tabs>
          <w:tab w:val="left" w:pos="540"/>
        </w:tabs>
      </w:pPr>
      <w:r w:rsidRPr="006B42D6">
        <w:t xml:space="preserve">The average milk production per cow per day for indigenous cattle was 3 litres in both </w:t>
      </w:r>
      <w:r w:rsidR="00EA1552">
        <w:rPr>
          <w:lang w:eastAsia="en-GB"/>
        </w:rPr>
        <w:t>Mainland Tanzania</w:t>
      </w:r>
      <w:r w:rsidRPr="006B42D6">
        <w:t xml:space="preserve"> and </w:t>
      </w:r>
      <w:r w:rsidR="000D4D71" w:rsidRPr="006B42D6">
        <w:rPr>
          <w:lang w:eastAsia="en-GB"/>
        </w:rPr>
        <w:t xml:space="preserve">Tanzania </w:t>
      </w:r>
      <w:r w:rsidRPr="006B42D6">
        <w:t>Zanzibar during wet and dry season</w:t>
      </w:r>
      <w:r w:rsidR="00443CEE">
        <w:t>s</w:t>
      </w:r>
      <w:r w:rsidRPr="006B42D6">
        <w:t>. For improved cattle, the average milk production per cow per day during wet and dry season</w:t>
      </w:r>
      <w:r w:rsidR="00443CEE">
        <w:t>s</w:t>
      </w:r>
      <w:r w:rsidRPr="006B42D6">
        <w:t xml:space="preserve"> was 8 litres in </w:t>
      </w:r>
      <w:r w:rsidR="00EA1552">
        <w:rPr>
          <w:lang w:eastAsia="en-GB"/>
        </w:rPr>
        <w:t>Mainland Tanzania</w:t>
      </w:r>
      <w:r w:rsidRPr="006B42D6">
        <w:t xml:space="preserve">, while in </w:t>
      </w:r>
      <w:r w:rsidR="000D4D71" w:rsidRPr="006B42D6">
        <w:rPr>
          <w:lang w:eastAsia="en-GB"/>
        </w:rPr>
        <w:t xml:space="preserve">Tanzania </w:t>
      </w:r>
      <w:r w:rsidRPr="006B42D6">
        <w:t xml:space="preserve">Zanzibar the production was 9 and 7 litres during wet and dry season respectively (Table </w:t>
      </w:r>
      <w:r w:rsidR="00360433" w:rsidRPr="006B42D6">
        <w:t>4.11</w:t>
      </w:r>
      <w:r w:rsidRPr="006B42D6">
        <w:t>)</w:t>
      </w:r>
      <w:r w:rsidR="00B27D17" w:rsidRPr="006B42D6">
        <w:t>.</w:t>
      </w:r>
      <w:r w:rsidRPr="006B42D6">
        <w:t xml:space="preserve"> </w:t>
      </w:r>
    </w:p>
    <w:p w14:paraId="049C4D4A" w14:textId="1060062F" w:rsidR="00B70154" w:rsidRDefault="00B70154">
      <w:pPr>
        <w:spacing w:line="240" w:lineRule="auto"/>
        <w:contextualSpacing w:val="0"/>
        <w:jc w:val="left"/>
      </w:pPr>
      <w:r>
        <w:br w:type="page"/>
      </w:r>
    </w:p>
    <w:p w14:paraId="237F9BFB" w14:textId="78D7A6EF" w:rsidR="00A26C28" w:rsidRPr="006B42D6" w:rsidRDefault="00A26C28" w:rsidP="00703973">
      <w:pPr>
        <w:pStyle w:val="Heading7"/>
        <w:ind w:right="2325"/>
      </w:pPr>
      <w:bookmarkStart w:id="578" w:name="_Toc82386219"/>
      <w:r w:rsidRPr="006B42D6">
        <w:lastRenderedPageBreak/>
        <w:t xml:space="preserve">Table </w:t>
      </w:r>
      <w:r w:rsidR="00360433" w:rsidRPr="006B42D6">
        <w:t>4.11</w:t>
      </w:r>
      <w:r w:rsidR="004F4506">
        <w:t>:</w:t>
      </w:r>
      <w:r w:rsidR="00443CEE">
        <w:tab/>
      </w:r>
      <w:r w:rsidRPr="006B42D6">
        <w:t>Average Milk Production per Cow per Day by Type of Cattle and Season</w:t>
      </w:r>
      <w:r w:rsidR="00F54682" w:rsidRPr="006B42D6">
        <w:t xml:space="preserve"> During 2019/20 Agricultural Year, Tanzania</w:t>
      </w:r>
      <w:bookmarkEnd w:id="578"/>
    </w:p>
    <w:tbl>
      <w:tblPr>
        <w:tblW w:w="7236" w:type="dxa"/>
        <w:tblLayout w:type="fixed"/>
        <w:tblLook w:val="04A0" w:firstRow="1" w:lastRow="0" w:firstColumn="1" w:lastColumn="0" w:noHBand="0" w:noVBand="1"/>
      </w:tblPr>
      <w:tblGrid>
        <w:gridCol w:w="1584"/>
        <w:gridCol w:w="1584"/>
        <w:gridCol w:w="1743"/>
        <w:gridCol w:w="2318"/>
        <w:gridCol w:w="7"/>
      </w:tblGrid>
      <w:tr w:rsidR="004F4506" w:rsidRPr="004F4506" w14:paraId="29816902" w14:textId="77777777" w:rsidTr="00703973">
        <w:trPr>
          <w:gridAfter w:val="1"/>
          <w:wAfter w:w="7" w:type="dxa"/>
          <w:trHeight w:val="384"/>
        </w:trPr>
        <w:tc>
          <w:tcPr>
            <w:tcW w:w="1584" w:type="dxa"/>
            <w:vMerge w:val="restart"/>
            <w:tcBorders>
              <w:top w:val="outset" w:sz="6" w:space="0" w:color="auto"/>
              <w:left w:val="nil"/>
              <w:bottom w:val="single" w:sz="4" w:space="0" w:color="000000"/>
              <w:right w:val="nil"/>
            </w:tcBorders>
            <w:shd w:val="clear" w:color="auto" w:fill="E2EFD9" w:themeFill="accent6" w:themeFillTint="33"/>
            <w:vAlign w:val="center"/>
            <w:hideMark/>
          </w:tcPr>
          <w:p w14:paraId="26E0CB27" w14:textId="77777777" w:rsidR="00054952" w:rsidRPr="004F4506" w:rsidRDefault="00054952" w:rsidP="00E743F9">
            <w:pPr>
              <w:spacing w:line="240" w:lineRule="auto"/>
              <w:jc w:val="left"/>
              <w:rPr>
                <w:sz w:val="18"/>
                <w:szCs w:val="18"/>
              </w:rPr>
            </w:pPr>
            <w:r w:rsidRPr="004F4506">
              <w:rPr>
                <w:sz w:val="18"/>
                <w:szCs w:val="18"/>
              </w:rPr>
              <w:t>Type of Cattle</w:t>
            </w:r>
          </w:p>
        </w:tc>
        <w:tc>
          <w:tcPr>
            <w:tcW w:w="1584" w:type="dxa"/>
            <w:vMerge w:val="restart"/>
            <w:tcBorders>
              <w:top w:val="outset" w:sz="6" w:space="0" w:color="auto"/>
              <w:left w:val="nil"/>
              <w:bottom w:val="single" w:sz="4" w:space="0" w:color="000000"/>
              <w:right w:val="nil"/>
            </w:tcBorders>
            <w:shd w:val="clear" w:color="auto" w:fill="E2EFD9" w:themeFill="accent6" w:themeFillTint="33"/>
            <w:noWrap/>
            <w:vAlign w:val="center"/>
            <w:hideMark/>
          </w:tcPr>
          <w:p w14:paraId="18DE714F" w14:textId="77777777" w:rsidR="00054952" w:rsidRPr="004F4506" w:rsidRDefault="00054952" w:rsidP="00E743F9">
            <w:pPr>
              <w:spacing w:line="240" w:lineRule="auto"/>
              <w:jc w:val="center"/>
              <w:rPr>
                <w:sz w:val="18"/>
                <w:szCs w:val="18"/>
              </w:rPr>
            </w:pPr>
            <w:r w:rsidRPr="004F4506">
              <w:rPr>
                <w:sz w:val="18"/>
                <w:szCs w:val="18"/>
              </w:rPr>
              <w:t>Season</w:t>
            </w:r>
          </w:p>
        </w:tc>
        <w:tc>
          <w:tcPr>
            <w:tcW w:w="4061" w:type="dxa"/>
            <w:gridSpan w:val="2"/>
            <w:tcBorders>
              <w:top w:val="outset" w:sz="6" w:space="0" w:color="auto"/>
              <w:left w:val="nil"/>
              <w:bottom w:val="outset" w:sz="6" w:space="0" w:color="auto"/>
              <w:right w:val="nil"/>
            </w:tcBorders>
            <w:shd w:val="clear" w:color="auto" w:fill="E2EFD9" w:themeFill="accent6" w:themeFillTint="33"/>
            <w:noWrap/>
            <w:vAlign w:val="center"/>
            <w:hideMark/>
          </w:tcPr>
          <w:p w14:paraId="28ADAAE2" w14:textId="77777777" w:rsidR="00054952" w:rsidRPr="004F4506" w:rsidRDefault="00054952" w:rsidP="00E743F9">
            <w:pPr>
              <w:spacing w:line="240" w:lineRule="auto"/>
              <w:jc w:val="center"/>
              <w:rPr>
                <w:sz w:val="18"/>
                <w:szCs w:val="18"/>
              </w:rPr>
            </w:pPr>
            <w:r w:rsidRPr="004F4506">
              <w:rPr>
                <w:sz w:val="18"/>
                <w:szCs w:val="18"/>
              </w:rPr>
              <w:t>Average Milk Production per cow per day (litres)</w:t>
            </w:r>
          </w:p>
        </w:tc>
      </w:tr>
      <w:tr w:rsidR="004F4506" w:rsidRPr="004F4506" w14:paraId="084DC444" w14:textId="77777777" w:rsidTr="00703973">
        <w:trPr>
          <w:trHeight w:val="384"/>
        </w:trPr>
        <w:tc>
          <w:tcPr>
            <w:tcW w:w="1584" w:type="dxa"/>
            <w:vMerge/>
            <w:tcBorders>
              <w:top w:val="nil"/>
              <w:left w:val="nil"/>
              <w:bottom w:val="single" w:sz="4" w:space="0" w:color="000000"/>
              <w:right w:val="nil"/>
            </w:tcBorders>
            <w:shd w:val="clear" w:color="auto" w:fill="E2EFD9" w:themeFill="accent6" w:themeFillTint="33"/>
            <w:vAlign w:val="center"/>
            <w:hideMark/>
          </w:tcPr>
          <w:p w14:paraId="64A64173" w14:textId="77777777" w:rsidR="00054952" w:rsidRPr="004F4506" w:rsidRDefault="00054952" w:rsidP="00E743F9">
            <w:pPr>
              <w:spacing w:line="240" w:lineRule="auto"/>
              <w:jc w:val="left"/>
              <w:rPr>
                <w:sz w:val="18"/>
                <w:szCs w:val="18"/>
              </w:rPr>
            </w:pPr>
          </w:p>
        </w:tc>
        <w:tc>
          <w:tcPr>
            <w:tcW w:w="1584" w:type="dxa"/>
            <w:vMerge/>
            <w:tcBorders>
              <w:top w:val="nil"/>
              <w:left w:val="nil"/>
              <w:bottom w:val="single" w:sz="4" w:space="0" w:color="000000"/>
              <w:right w:val="nil"/>
            </w:tcBorders>
            <w:shd w:val="clear" w:color="auto" w:fill="E2EFD9" w:themeFill="accent6" w:themeFillTint="33"/>
            <w:vAlign w:val="center"/>
            <w:hideMark/>
          </w:tcPr>
          <w:p w14:paraId="5929BCCE" w14:textId="77777777" w:rsidR="00054952" w:rsidRPr="004F4506" w:rsidRDefault="00054952" w:rsidP="00E743F9">
            <w:pPr>
              <w:spacing w:line="240" w:lineRule="auto"/>
              <w:jc w:val="center"/>
              <w:rPr>
                <w:sz w:val="18"/>
                <w:szCs w:val="18"/>
              </w:rPr>
            </w:pPr>
          </w:p>
        </w:tc>
        <w:tc>
          <w:tcPr>
            <w:tcW w:w="1743" w:type="dxa"/>
            <w:tcBorders>
              <w:top w:val="outset" w:sz="6" w:space="0" w:color="auto"/>
              <w:left w:val="nil"/>
              <w:bottom w:val="single" w:sz="4" w:space="0" w:color="auto"/>
              <w:right w:val="nil"/>
            </w:tcBorders>
            <w:shd w:val="clear" w:color="auto" w:fill="E2EFD9" w:themeFill="accent6" w:themeFillTint="33"/>
            <w:vAlign w:val="center"/>
            <w:hideMark/>
          </w:tcPr>
          <w:p w14:paraId="313D177C" w14:textId="42E624D2" w:rsidR="00054952" w:rsidRPr="004F4506" w:rsidRDefault="00054952" w:rsidP="00E743F9">
            <w:pPr>
              <w:spacing w:line="240" w:lineRule="auto"/>
              <w:jc w:val="center"/>
              <w:rPr>
                <w:sz w:val="18"/>
                <w:szCs w:val="18"/>
              </w:rPr>
            </w:pPr>
            <w:r w:rsidRPr="004F4506">
              <w:rPr>
                <w:sz w:val="18"/>
                <w:szCs w:val="18"/>
              </w:rPr>
              <w:t>Mainland</w:t>
            </w:r>
            <w:r w:rsidR="004F4506">
              <w:rPr>
                <w:sz w:val="18"/>
                <w:szCs w:val="18"/>
              </w:rPr>
              <w:t xml:space="preserve"> Tanzania</w:t>
            </w:r>
          </w:p>
        </w:tc>
        <w:tc>
          <w:tcPr>
            <w:tcW w:w="2325" w:type="dxa"/>
            <w:gridSpan w:val="2"/>
            <w:tcBorders>
              <w:top w:val="outset" w:sz="6" w:space="0" w:color="auto"/>
              <w:left w:val="nil"/>
              <w:bottom w:val="single" w:sz="4" w:space="0" w:color="auto"/>
              <w:right w:val="nil"/>
            </w:tcBorders>
            <w:shd w:val="clear" w:color="auto" w:fill="E2EFD9" w:themeFill="accent6" w:themeFillTint="33"/>
            <w:vAlign w:val="center"/>
            <w:hideMark/>
          </w:tcPr>
          <w:p w14:paraId="0FBAB210" w14:textId="0968618A" w:rsidR="00054952" w:rsidRPr="004F4506" w:rsidRDefault="004F4506" w:rsidP="00E743F9">
            <w:pPr>
              <w:spacing w:line="240" w:lineRule="auto"/>
              <w:ind w:right="170"/>
              <w:jc w:val="center"/>
              <w:rPr>
                <w:sz w:val="18"/>
                <w:szCs w:val="18"/>
              </w:rPr>
            </w:pPr>
            <w:r>
              <w:rPr>
                <w:sz w:val="18"/>
                <w:szCs w:val="18"/>
              </w:rPr>
              <w:t xml:space="preserve">Tanzania </w:t>
            </w:r>
            <w:r w:rsidR="00054952" w:rsidRPr="004F4506">
              <w:rPr>
                <w:sz w:val="18"/>
                <w:szCs w:val="18"/>
              </w:rPr>
              <w:t>Zanzibar</w:t>
            </w:r>
          </w:p>
        </w:tc>
      </w:tr>
      <w:tr w:rsidR="004F4506" w:rsidRPr="004F4506" w14:paraId="5C417E4B" w14:textId="77777777" w:rsidTr="00E743F9">
        <w:trPr>
          <w:trHeight w:val="20"/>
        </w:trPr>
        <w:tc>
          <w:tcPr>
            <w:tcW w:w="1584" w:type="dxa"/>
            <w:vMerge w:val="restart"/>
            <w:tcBorders>
              <w:top w:val="nil"/>
              <w:left w:val="nil"/>
              <w:bottom w:val="single" w:sz="4" w:space="0" w:color="000000"/>
              <w:right w:val="nil"/>
            </w:tcBorders>
            <w:shd w:val="clear" w:color="auto" w:fill="auto"/>
            <w:vAlign w:val="center"/>
            <w:hideMark/>
          </w:tcPr>
          <w:p w14:paraId="2A6F1DE0" w14:textId="77777777" w:rsidR="00054952" w:rsidRPr="004F4506" w:rsidRDefault="00054952" w:rsidP="004F4506">
            <w:pPr>
              <w:jc w:val="left"/>
              <w:rPr>
                <w:sz w:val="18"/>
                <w:szCs w:val="18"/>
              </w:rPr>
            </w:pPr>
            <w:r w:rsidRPr="004F4506">
              <w:rPr>
                <w:sz w:val="18"/>
                <w:szCs w:val="18"/>
              </w:rPr>
              <w:t>Indigenous Cattle</w:t>
            </w:r>
          </w:p>
        </w:tc>
        <w:tc>
          <w:tcPr>
            <w:tcW w:w="1584" w:type="dxa"/>
            <w:tcBorders>
              <w:top w:val="nil"/>
              <w:left w:val="nil"/>
              <w:bottom w:val="nil"/>
              <w:right w:val="nil"/>
            </w:tcBorders>
            <w:shd w:val="clear" w:color="auto" w:fill="auto"/>
            <w:noWrap/>
            <w:vAlign w:val="center"/>
            <w:hideMark/>
          </w:tcPr>
          <w:p w14:paraId="03D9E48F" w14:textId="77777777" w:rsidR="00054952" w:rsidRPr="004F4506" w:rsidRDefault="00054952" w:rsidP="004F4506">
            <w:pPr>
              <w:jc w:val="center"/>
              <w:rPr>
                <w:sz w:val="18"/>
                <w:szCs w:val="18"/>
              </w:rPr>
            </w:pPr>
            <w:r w:rsidRPr="004F4506">
              <w:rPr>
                <w:sz w:val="18"/>
                <w:szCs w:val="18"/>
              </w:rPr>
              <w:t>Wet Season</w:t>
            </w:r>
          </w:p>
        </w:tc>
        <w:tc>
          <w:tcPr>
            <w:tcW w:w="1743" w:type="dxa"/>
            <w:tcBorders>
              <w:top w:val="nil"/>
              <w:left w:val="nil"/>
              <w:bottom w:val="nil"/>
              <w:right w:val="nil"/>
            </w:tcBorders>
            <w:shd w:val="clear" w:color="auto" w:fill="auto"/>
            <w:noWrap/>
            <w:vAlign w:val="center"/>
            <w:hideMark/>
          </w:tcPr>
          <w:p w14:paraId="5921EEAE" w14:textId="77777777" w:rsidR="00054952" w:rsidRPr="004F4506" w:rsidRDefault="00054952" w:rsidP="00054952">
            <w:pPr>
              <w:jc w:val="center"/>
              <w:rPr>
                <w:sz w:val="18"/>
                <w:szCs w:val="18"/>
              </w:rPr>
            </w:pPr>
            <w:r w:rsidRPr="004F4506">
              <w:rPr>
                <w:sz w:val="18"/>
                <w:szCs w:val="18"/>
              </w:rPr>
              <w:t>3</w:t>
            </w:r>
          </w:p>
        </w:tc>
        <w:tc>
          <w:tcPr>
            <w:tcW w:w="2325" w:type="dxa"/>
            <w:gridSpan w:val="2"/>
            <w:tcBorders>
              <w:top w:val="nil"/>
              <w:left w:val="nil"/>
              <w:bottom w:val="nil"/>
              <w:right w:val="nil"/>
            </w:tcBorders>
            <w:shd w:val="clear" w:color="auto" w:fill="auto"/>
            <w:noWrap/>
            <w:vAlign w:val="center"/>
            <w:hideMark/>
          </w:tcPr>
          <w:p w14:paraId="05CE73EA" w14:textId="77777777" w:rsidR="00054952" w:rsidRPr="004F4506" w:rsidRDefault="00054952" w:rsidP="00054952">
            <w:pPr>
              <w:jc w:val="center"/>
              <w:rPr>
                <w:sz w:val="18"/>
                <w:szCs w:val="18"/>
              </w:rPr>
            </w:pPr>
            <w:r w:rsidRPr="004F4506">
              <w:rPr>
                <w:sz w:val="18"/>
                <w:szCs w:val="18"/>
              </w:rPr>
              <w:t>3</w:t>
            </w:r>
          </w:p>
        </w:tc>
      </w:tr>
      <w:tr w:rsidR="004F4506" w:rsidRPr="004F4506" w14:paraId="6C732744" w14:textId="77777777" w:rsidTr="00E743F9">
        <w:trPr>
          <w:trHeight w:val="20"/>
        </w:trPr>
        <w:tc>
          <w:tcPr>
            <w:tcW w:w="1584" w:type="dxa"/>
            <w:vMerge/>
            <w:tcBorders>
              <w:top w:val="nil"/>
              <w:left w:val="nil"/>
              <w:bottom w:val="single" w:sz="4" w:space="0" w:color="000000"/>
              <w:right w:val="nil"/>
            </w:tcBorders>
            <w:vAlign w:val="center"/>
            <w:hideMark/>
          </w:tcPr>
          <w:p w14:paraId="5796FC7B" w14:textId="77777777" w:rsidR="00054952" w:rsidRPr="004F4506" w:rsidRDefault="00054952" w:rsidP="004F4506">
            <w:pPr>
              <w:jc w:val="left"/>
              <w:rPr>
                <w:sz w:val="18"/>
                <w:szCs w:val="18"/>
              </w:rPr>
            </w:pPr>
          </w:p>
        </w:tc>
        <w:tc>
          <w:tcPr>
            <w:tcW w:w="1584" w:type="dxa"/>
            <w:tcBorders>
              <w:top w:val="nil"/>
              <w:left w:val="nil"/>
              <w:bottom w:val="single" w:sz="4" w:space="0" w:color="auto"/>
              <w:right w:val="nil"/>
            </w:tcBorders>
            <w:shd w:val="clear" w:color="auto" w:fill="auto"/>
            <w:noWrap/>
            <w:vAlign w:val="center"/>
            <w:hideMark/>
          </w:tcPr>
          <w:p w14:paraId="5660D07A" w14:textId="77777777" w:rsidR="00054952" w:rsidRPr="004F4506" w:rsidRDefault="00054952" w:rsidP="004F4506">
            <w:pPr>
              <w:jc w:val="center"/>
              <w:rPr>
                <w:sz w:val="18"/>
                <w:szCs w:val="18"/>
              </w:rPr>
            </w:pPr>
            <w:r w:rsidRPr="004F4506">
              <w:rPr>
                <w:sz w:val="18"/>
                <w:szCs w:val="18"/>
              </w:rPr>
              <w:t>Dry Season</w:t>
            </w:r>
          </w:p>
        </w:tc>
        <w:tc>
          <w:tcPr>
            <w:tcW w:w="1743" w:type="dxa"/>
            <w:tcBorders>
              <w:top w:val="nil"/>
              <w:left w:val="nil"/>
              <w:bottom w:val="single" w:sz="4" w:space="0" w:color="auto"/>
              <w:right w:val="nil"/>
            </w:tcBorders>
            <w:shd w:val="clear" w:color="auto" w:fill="auto"/>
            <w:noWrap/>
            <w:vAlign w:val="center"/>
            <w:hideMark/>
          </w:tcPr>
          <w:p w14:paraId="5B2AB155" w14:textId="77777777" w:rsidR="00054952" w:rsidRPr="004F4506" w:rsidRDefault="00054952" w:rsidP="00054952">
            <w:pPr>
              <w:jc w:val="center"/>
              <w:rPr>
                <w:sz w:val="18"/>
                <w:szCs w:val="18"/>
              </w:rPr>
            </w:pPr>
            <w:r w:rsidRPr="004F4506">
              <w:rPr>
                <w:sz w:val="18"/>
                <w:szCs w:val="18"/>
              </w:rPr>
              <w:t>3</w:t>
            </w:r>
          </w:p>
        </w:tc>
        <w:tc>
          <w:tcPr>
            <w:tcW w:w="2325" w:type="dxa"/>
            <w:gridSpan w:val="2"/>
            <w:tcBorders>
              <w:top w:val="nil"/>
              <w:left w:val="nil"/>
              <w:bottom w:val="single" w:sz="4" w:space="0" w:color="auto"/>
              <w:right w:val="nil"/>
            </w:tcBorders>
            <w:shd w:val="clear" w:color="auto" w:fill="auto"/>
            <w:noWrap/>
            <w:vAlign w:val="center"/>
            <w:hideMark/>
          </w:tcPr>
          <w:p w14:paraId="0FE201FE" w14:textId="77777777" w:rsidR="00054952" w:rsidRPr="004F4506" w:rsidRDefault="00054952" w:rsidP="00054952">
            <w:pPr>
              <w:jc w:val="center"/>
              <w:rPr>
                <w:sz w:val="18"/>
                <w:szCs w:val="18"/>
              </w:rPr>
            </w:pPr>
            <w:r w:rsidRPr="004F4506">
              <w:rPr>
                <w:sz w:val="18"/>
                <w:szCs w:val="18"/>
              </w:rPr>
              <w:t>3</w:t>
            </w:r>
          </w:p>
        </w:tc>
      </w:tr>
      <w:tr w:rsidR="004F4506" w:rsidRPr="004F4506" w14:paraId="708B53D1" w14:textId="77777777" w:rsidTr="00E743F9">
        <w:trPr>
          <w:trHeight w:val="20"/>
        </w:trPr>
        <w:tc>
          <w:tcPr>
            <w:tcW w:w="1584" w:type="dxa"/>
            <w:vMerge w:val="restart"/>
            <w:tcBorders>
              <w:top w:val="nil"/>
              <w:left w:val="nil"/>
              <w:bottom w:val="single" w:sz="4" w:space="0" w:color="000000"/>
              <w:right w:val="nil"/>
            </w:tcBorders>
            <w:shd w:val="clear" w:color="auto" w:fill="auto"/>
            <w:vAlign w:val="center"/>
            <w:hideMark/>
          </w:tcPr>
          <w:p w14:paraId="18B64C2C" w14:textId="77777777" w:rsidR="00054952" w:rsidRPr="004F4506" w:rsidRDefault="00054952" w:rsidP="004F4506">
            <w:pPr>
              <w:jc w:val="left"/>
              <w:rPr>
                <w:sz w:val="18"/>
                <w:szCs w:val="18"/>
              </w:rPr>
            </w:pPr>
            <w:r w:rsidRPr="004F4506">
              <w:rPr>
                <w:sz w:val="18"/>
                <w:szCs w:val="18"/>
              </w:rPr>
              <w:t>Improved Cattle</w:t>
            </w:r>
          </w:p>
        </w:tc>
        <w:tc>
          <w:tcPr>
            <w:tcW w:w="1584" w:type="dxa"/>
            <w:tcBorders>
              <w:top w:val="nil"/>
              <w:left w:val="nil"/>
              <w:bottom w:val="nil"/>
              <w:right w:val="nil"/>
            </w:tcBorders>
            <w:shd w:val="clear" w:color="auto" w:fill="auto"/>
            <w:noWrap/>
            <w:vAlign w:val="center"/>
            <w:hideMark/>
          </w:tcPr>
          <w:p w14:paraId="24950030" w14:textId="77777777" w:rsidR="00054952" w:rsidRPr="004F4506" w:rsidRDefault="00054952" w:rsidP="004F4506">
            <w:pPr>
              <w:jc w:val="center"/>
              <w:rPr>
                <w:sz w:val="18"/>
                <w:szCs w:val="18"/>
              </w:rPr>
            </w:pPr>
            <w:r w:rsidRPr="004F4506">
              <w:rPr>
                <w:sz w:val="18"/>
                <w:szCs w:val="18"/>
              </w:rPr>
              <w:t>Wet Season</w:t>
            </w:r>
          </w:p>
        </w:tc>
        <w:tc>
          <w:tcPr>
            <w:tcW w:w="1743" w:type="dxa"/>
            <w:tcBorders>
              <w:top w:val="nil"/>
              <w:left w:val="nil"/>
              <w:bottom w:val="nil"/>
              <w:right w:val="nil"/>
            </w:tcBorders>
            <w:shd w:val="clear" w:color="auto" w:fill="auto"/>
            <w:noWrap/>
            <w:vAlign w:val="center"/>
            <w:hideMark/>
          </w:tcPr>
          <w:p w14:paraId="033500DE" w14:textId="77777777" w:rsidR="00054952" w:rsidRPr="004F4506" w:rsidRDefault="00054952" w:rsidP="00054952">
            <w:pPr>
              <w:jc w:val="center"/>
              <w:rPr>
                <w:sz w:val="18"/>
                <w:szCs w:val="18"/>
              </w:rPr>
            </w:pPr>
            <w:r w:rsidRPr="004F4506">
              <w:rPr>
                <w:sz w:val="18"/>
                <w:szCs w:val="18"/>
              </w:rPr>
              <w:t>8</w:t>
            </w:r>
          </w:p>
        </w:tc>
        <w:tc>
          <w:tcPr>
            <w:tcW w:w="2325" w:type="dxa"/>
            <w:gridSpan w:val="2"/>
            <w:tcBorders>
              <w:top w:val="nil"/>
              <w:left w:val="nil"/>
              <w:bottom w:val="nil"/>
              <w:right w:val="nil"/>
            </w:tcBorders>
            <w:shd w:val="clear" w:color="auto" w:fill="auto"/>
            <w:noWrap/>
            <w:vAlign w:val="center"/>
            <w:hideMark/>
          </w:tcPr>
          <w:p w14:paraId="236EE671" w14:textId="77777777" w:rsidR="00054952" w:rsidRPr="004F4506" w:rsidRDefault="00054952" w:rsidP="00054952">
            <w:pPr>
              <w:jc w:val="center"/>
              <w:rPr>
                <w:sz w:val="18"/>
                <w:szCs w:val="18"/>
              </w:rPr>
            </w:pPr>
            <w:r w:rsidRPr="004F4506">
              <w:rPr>
                <w:sz w:val="18"/>
                <w:szCs w:val="18"/>
              </w:rPr>
              <w:t>9</w:t>
            </w:r>
          </w:p>
        </w:tc>
      </w:tr>
      <w:tr w:rsidR="004F4506" w:rsidRPr="004F4506" w14:paraId="2FA46534" w14:textId="77777777" w:rsidTr="00E743F9">
        <w:trPr>
          <w:trHeight w:val="20"/>
        </w:trPr>
        <w:tc>
          <w:tcPr>
            <w:tcW w:w="1584" w:type="dxa"/>
            <w:vMerge/>
            <w:tcBorders>
              <w:top w:val="nil"/>
              <w:left w:val="nil"/>
              <w:bottom w:val="single" w:sz="4" w:space="0" w:color="000000"/>
              <w:right w:val="nil"/>
            </w:tcBorders>
            <w:vAlign w:val="center"/>
            <w:hideMark/>
          </w:tcPr>
          <w:p w14:paraId="2C1B76CF" w14:textId="77777777" w:rsidR="00054952" w:rsidRPr="004F4506" w:rsidRDefault="00054952" w:rsidP="00054952">
            <w:pPr>
              <w:rPr>
                <w:sz w:val="18"/>
                <w:szCs w:val="18"/>
              </w:rPr>
            </w:pPr>
          </w:p>
        </w:tc>
        <w:tc>
          <w:tcPr>
            <w:tcW w:w="1584" w:type="dxa"/>
            <w:tcBorders>
              <w:top w:val="nil"/>
              <w:left w:val="nil"/>
              <w:bottom w:val="single" w:sz="4" w:space="0" w:color="auto"/>
              <w:right w:val="nil"/>
            </w:tcBorders>
            <w:shd w:val="clear" w:color="auto" w:fill="auto"/>
            <w:noWrap/>
            <w:vAlign w:val="center"/>
            <w:hideMark/>
          </w:tcPr>
          <w:p w14:paraId="34A99CAC" w14:textId="77777777" w:rsidR="00054952" w:rsidRPr="004F4506" w:rsidRDefault="00054952" w:rsidP="004F4506">
            <w:pPr>
              <w:jc w:val="center"/>
              <w:rPr>
                <w:sz w:val="18"/>
                <w:szCs w:val="18"/>
              </w:rPr>
            </w:pPr>
            <w:r w:rsidRPr="004F4506">
              <w:rPr>
                <w:sz w:val="18"/>
                <w:szCs w:val="18"/>
              </w:rPr>
              <w:t>Dry Season</w:t>
            </w:r>
          </w:p>
        </w:tc>
        <w:tc>
          <w:tcPr>
            <w:tcW w:w="1743" w:type="dxa"/>
            <w:tcBorders>
              <w:top w:val="nil"/>
              <w:left w:val="nil"/>
              <w:bottom w:val="single" w:sz="4" w:space="0" w:color="auto"/>
              <w:right w:val="nil"/>
            </w:tcBorders>
            <w:shd w:val="clear" w:color="auto" w:fill="auto"/>
            <w:noWrap/>
            <w:vAlign w:val="center"/>
            <w:hideMark/>
          </w:tcPr>
          <w:p w14:paraId="69EC322C" w14:textId="77777777" w:rsidR="00054952" w:rsidRPr="004F4506" w:rsidRDefault="00054952" w:rsidP="00054952">
            <w:pPr>
              <w:jc w:val="center"/>
              <w:rPr>
                <w:sz w:val="18"/>
                <w:szCs w:val="18"/>
              </w:rPr>
            </w:pPr>
            <w:r w:rsidRPr="004F4506">
              <w:rPr>
                <w:sz w:val="18"/>
                <w:szCs w:val="18"/>
              </w:rPr>
              <w:t>8</w:t>
            </w:r>
          </w:p>
        </w:tc>
        <w:tc>
          <w:tcPr>
            <w:tcW w:w="2325" w:type="dxa"/>
            <w:gridSpan w:val="2"/>
            <w:tcBorders>
              <w:top w:val="nil"/>
              <w:left w:val="nil"/>
              <w:bottom w:val="single" w:sz="4" w:space="0" w:color="auto"/>
              <w:right w:val="nil"/>
            </w:tcBorders>
            <w:shd w:val="clear" w:color="auto" w:fill="auto"/>
            <w:noWrap/>
            <w:vAlign w:val="center"/>
            <w:hideMark/>
          </w:tcPr>
          <w:p w14:paraId="254DAAF6" w14:textId="77777777" w:rsidR="00054952" w:rsidRPr="004F4506" w:rsidRDefault="00054952" w:rsidP="00054952">
            <w:pPr>
              <w:jc w:val="center"/>
              <w:rPr>
                <w:sz w:val="18"/>
                <w:szCs w:val="18"/>
              </w:rPr>
            </w:pPr>
            <w:r w:rsidRPr="004F4506">
              <w:rPr>
                <w:sz w:val="18"/>
                <w:szCs w:val="18"/>
              </w:rPr>
              <w:t>7</w:t>
            </w:r>
          </w:p>
        </w:tc>
      </w:tr>
    </w:tbl>
    <w:p w14:paraId="283E495E" w14:textId="77777777" w:rsidR="00A26C28" w:rsidRPr="006B42D6" w:rsidRDefault="00A26C28" w:rsidP="00A26C28"/>
    <w:p w14:paraId="789158BD" w14:textId="0816A1D2" w:rsidR="00A26C28" w:rsidRPr="006B42D6" w:rsidRDefault="00A26C28" w:rsidP="00A26C28">
      <w:r w:rsidRPr="006B42D6">
        <w:t xml:space="preserve">In </w:t>
      </w:r>
      <w:r w:rsidR="00EA1552">
        <w:rPr>
          <w:lang w:eastAsia="en-GB"/>
        </w:rPr>
        <w:t>Mainland Tanzania</w:t>
      </w:r>
      <w:r w:rsidRPr="006B42D6">
        <w:t xml:space="preserve">, Arusha region had the highest production of milk (247,907,946 litres; 8.1 percent of the total milk produced), followed by Dodoma (222,738,296 litres; 7.2 percent) and Tabora (200,205,273 litres; 6.5 percent). The least production was reported in Mtwara region (5,876,683 litres; 0.2 percent) (Map </w:t>
      </w:r>
      <w:r w:rsidR="00B27D17" w:rsidRPr="006B42D6">
        <w:t>4.9</w:t>
      </w:r>
      <w:r w:rsidRPr="006B42D6">
        <w:t>).</w:t>
      </w:r>
    </w:p>
    <w:p w14:paraId="2DDC68D2" w14:textId="77777777" w:rsidR="00A26C28" w:rsidRPr="006B42D6" w:rsidRDefault="00A26C28" w:rsidP="00703973">
      <w:pPr>
        <w:spacing w:line="240" w:lineRule="auto"/>
      </w:pPr>
    </w:p>
    <w:p w14:paraId="7BADFA0E" w14:textId="109733C6" w:rsidR="00A26C28" w:rsidRPr="000B4646" w:rsidRDefault="00A26C28" w:rsidP="000B4646">
      <w:pPr>
        <w:pStyle w:val="MapNew"/>
        <w:ind w:left="851" w:hanging="851"/>
      </w:pPr>
      <w:bookmarkStart w:id="579" w:name="_Toc80902564"/>
      <w:bookmarkStart w:id="580" w:name="_Toc82386482"/>
      <w:r w:rsidRPr="000B4646">
        <w:t xml:space="preserve">Map </w:t>
      </w:r>
      <w:r w:rsidR="00B27D17" w:rsidRPr="000B4646">
        <w:t>4.9</w:t>
      </w:r>
      <w:r w:rsidR="004F4506" w:rsidRPr="000B4646">
        <w:t>:</w:t>
      </w:r>
      <w:r w:rsidR="004F44FE" w:rsidRPr="000B4646">
        <w:tab/>
      </w:r>
      <w:r w:rsidRPr="000B4646">
        <w:t xml:space="preserve">Cow Milk Production </w:t>
      </w:r>
      <w:r w:rsidR="004F02DC" w:rsidRPr="000B4646">
        <w:t xml:space="preserve">Reported by Smallholders </w:t>
      </w:r>
      <w:r w:rsidRPr="000B4646">
        <w:t>by Region During 2019/20 Agricultural Year</w:t>
      </w:r>
      <w:r w:rsidR="000D4D71" w:rsidRPr="000B4646">
        <w:t>, Tanzania</w:t>
      </w:r>
      <w:bookmarkEnd w:id="579"/>
      <w:bookmarkEnd w:id="580"/>
    </w:p>
    <w:p w14:paraId="5C5EED03" w14:textId="70B4DC66" w:rsidR="00A26C28" w:rsidRPr="006B42D6" w:rsidRDefault="00890203" w:rsidP="00A26C28">
      <w:r>
        <w:rPr>
          <w:noProof/>
        </w:rPr>
        <w:drawing>
          <wp:inline distT="0" distB="0" distL="0" distR="0" wp14:anchorId="657820E0" wp14:editId="058326B5">
            <wp:extent cx="6116320" cy="4221640"/>
            <wp:effectExtent l="0" t="0" r="5080" b="0"/>
            <wp:docPr id="4309" name="Picture 4309"/>
            <wp:cNvGraphicFramePr/>
            <a:graphic xmlns:a="http://schemas.openxmlformats.org/drawingml/2006/main">
              <a:graphicData uri="http://schemas.openxmlformats.org/drawingml/2006/picture">
                <pic:pic xmlns:pic="http://schemas.openxmlformats.org/drawingml/2006/picture">
                  <pic:nvPicPr>
                    <pic:cNvPr id="4309" name="Picture 4309"/>
                    <pic:cNvPicPr/>
                  </pic:nvPicPr>
                  <pic:blipFill>
                    <a:blip r:embed="rId282"/>
                    <a:stretch>
                      <a:fillRect/>
                    </a:stretch>
                  </pic:blipFill>
                  <pic:spPr>
                    <a:xfrm>
                      <a:off x="0" y="0"/>
                      <a:ext cx="6116320" cy="4221640"/>
                    </a:xfrm>
                    <a:prstGeom prst="rect">
                      <a:avLst/>
                    </a:prstGeom>
                  </pic:spPr>
                </pic:pic>
              </a:graphicData>
            </a:graphic>
          </wp:inline>
        </w:drawing>
      </w:r>
    </w:p>
    <w:p w14:paraId="0F875A55" w14:textId="739ABA6A" w:rsidR="00E743F9" w:rsidRDefault="00E743F9">
      <w:pPr>
        <w:spacing w:line="240" w:lineRule="auto"/>
        <w:contextualSpacing w:val="0"/>
        <w:jc w:val="left"/>
      </w:pPr>
      <w:r>
        <w:br w:type="page"/>
      </w:r>
    </w:p>
    <w:p w14:paraId="5A3FAC7D" w14:textId="28C5F458" w:rsidR="00A26C28" w:rsidRDefault="00A26C28" w:rsidP="004F44FE">
      <w:r w:rsidRPr="006B42D6">
        <w:lastRenderedPageBreak/>
        <w:t>The highest milk price per litre was reported in Mtwara region (</w:t>
      </w:r>
      <w:r w:rsidR="008C4E20" w:rsidRPr="006B42D6">
        <w:t xml:space="preserve">TZS </w:t>
      </w:r>
      <w:r w:rsidRPr="006B42D6">
        <w:t xml:space="preserve">2,000 in wet and dry season), followed by Dar es </w:t>
      </w:r>
      <w:r w:rsidR="00985D68" w:rsidRPr="006B42D6">
        <w:t>S</w:t>
      </w:r>
      <w:r w:rsidRPr="006B42D6">
        <w:t>alaam (</w:t>
      </w:r>
      <w:r w:rsidR="008C4E20" w:rsidRPr="006B42D6">
        <w:t xml:space="preserve">TZS </w:t>
      </w:r>
      <w:r w:rsidRPr="006B42D6">
        <w:t xml:space="preserve">1,665 in wet season and </w:t>
      </w:r>
      <w:r w:rsidR="008C4E20" w:rsidRPr="006B42D6">
        <w:t xml:space="preserve">TZS </w:t>
      </w:r>
      <w:r w:rsidRPr="006B42D6">
        <w:t xml:space="preserve">1,825 in dry season). The lowest milk price was </w:t>
      </w:r>
      <w:r w:rsidR="00C4159B">
        <w:t xml:space="preserve">reported </w:t>
      </w:r>
      <w:r w:rsidRPr="006B42D6">
        <w:t>in Katavi (</w:t>
      </w:r>
      <w:r w:rsidR="008C4E20" w:rsidRPr="006B42D6">
        <w:t xml:space="preserve">TZS </w:t>
      </w:r>
      <w:r w:rsidRPr="006B42D6">
        <w:t>539 in wet season) and Tabora (</w:t>
      </w:r>
      <w:r w:rsidR="008C4E20" w:rsidRPr="006B42D6">
        <w:t xml:space="preserve">TZS </w:t>
      </w:r>
      <w:r w:rsidRPr="006B42D6">
        <w:t xml:space="preserve">790 in dry season) (Figure </w:t>
      </w:r>
      <w:r w:rsidR="00985D68" w:rsidRPr="006B42D6">
        <w:t>4.28</w:t>
      </w:r>
      <w:r w:rsidRPr="006B42D6">
        <w:t>).</w:t>
      </w:r>
    </w:p>
    <w:p w14:paraId="4D3B9E86" w14:textId="77777777" w:rsidR="00703973" w:rsidRDefault="00703973" w:rsidP="00703973">
      <w:pPr>
        <w:spacing w:line="240" w:lineRule="auto"/>
      </w:pPr>
    </w:p>
    <w:p w14:paraId="57C92601" w14:textId="14E47662" w:rsidR="00A26C28" w:rsidRPr="006B42D6" w:rsidRDefault="00A26C28" w:rsidP="004F4506">
      <w:pPr>
        <w:pStyle w:val="Caption"/>
      </w:pPr>
      <w:bookmarkStart w:id="581" w:name="_Toc82386399"/>
      <w:r w:rsidRPr="006B42D6">
        <w:t xml:space="preserve">Figure </w:t>
      </w:r>
      <w:r w:rsidR="00985D68" w:rsidRPr="006B42D6">
        <w:t>4.28</w:t>
      </w:r>
      <w:r w:rsidR="00C4159B">
        <w:t>:</w:t>
      </w:r>
      <w:r w:rsidR="004F44FE">
        <w:tab/>
      </w:r>
      <w:r w:rsidRPr="006B42D6">
        <w:t>Average Price of Cow Milk by Region and Season</w:t>
      </w:r>
      <w:r w:rsidR="000D4D71" w:rsidRPr="006B42D6">
        <w:t xml:space="preserve"> During 2019/20 Agricultural Year, </w:t>
      </w:r>
      <w:r w:rsidR="00EA1552">
        <w:t>Mainland Tanzania</w:t>
      </w:r>
      <w:bookmarkEnd w:id="581"/>
      <w:r w:rsidRPr="006B42D6">
        <w:t xml:space="preserve"> </w:t>
      </w:r>
    </w:p>
    <w:p w14:paraId="5AC3D219" w14:textId="5179E6E5" w:rsidR="00A26C28" w:rsidRPr="006B42D6" w:rsidRDefault="001B26AC" w:rsidP="00A26C28">
      <w:r w:rsidRPr="006B42D6">
        <w:rPr>
          <w:noProof/>
        </w:rPr>
        <w:drawing>
          <wp:inline distT="0" distB="0" distL="0" distR="0" wp14:anchorId="3442959D" wp14:editId="71C28F9C">
            <wp:extent cx="5707117" cy="2758440"/>
            <wp:effectExtent l="0" t="0" r="8255" b="10160"/>
            <wp:docPr id="57" name="Chart 8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3"/>
              </a:graphicData>
            </a:graphic>
          </wp:inline>
        </w:drawing>
      </w:r>
    </w:p>
    <w:p w14:paraId="54D4DAB2" w14:textId="77777777" w:rsidR="004F4506" w:rsidRDefault="004F4506" w:rsidP="00A26C28"/>
    <w:p w14:paraId="6BE75A04" w14:textId="78404646" w:rsidR="008C4E20" w:rsidRDefault="00A26C28" w:rsidP="004F4506">
      <w:r w:rsidRPr="006B42D6">
        <w:t xml:space="preserve">In </w:t>
      </w:r>
      <w:r w:rsidR="000D4D71" w:rsidRPr="006B42D6">
        <w:rPr>
          <w:lang w:eastAsia="en-GB"/>
        </w:rPr>
        <w:t xml:space="preserve">Tanzania </w:t>
      </w:r>
      <w:r w:rsidRPr="006B42D6">
        <w:t>Zanzibar</w:t>
      </w:r>
      <w:r w:rsidR="008C4E20" w:rsidRPr="006B42D6">
        <w:t>,</w:t>
      </w:r>
      <w:r w:rsidRPr="006B42D6">
        <w:t xml:space="preserve"> Kaskazini Unguja region had the highest production of milk (11,671,080 litres; 32 percent), followed by Kusini Unguja (10,986,916 litres; 30.1 percent) and the least production was reported in Kusini Pemba (2,809,505 litres; 7.7 percent). The highest milk price per litre was </w:t>
      </w:r>
      <w:r w:rsidR="008C4E20" w:rsidRPr="006B42D6">
        <w:t xml:space="preserve">TZS </w:t>
      </w:r>
      <w:r w:rsidRPr="006B42D6">
        <w:t xml:space="preserve">2,139 in Mjini Magharibi during wet season and </w:t>
      </w:r>
      <w:r w:rsidR="008C4E20" w:rsidRPr="006B42D6">
        <w:t xml:space="preserve">TZS </w:t>
      </w:r>
      <w:r w:rsidRPr="006B42D6">
        <w:t xml:space="preserve">2,093 during dry season. The lowest price was </w:t>
      </w:r>
      <w:r w:rsidR="008C4E20" w:rsidRPr="006B42D6">
        <w:t xml:space="preserve">TZS </w:t>
      </w:r>
      <w:r w:rsidRPr="006B42D6">
        <w:t xml:space="preserve">1,148 in Kusini Pemba during wet season and </w:t>
      </w:r>
      <w:r w:rsidR="008C4E20" w:rsidRPr="006B42D6">
        <w:t xml:space="preserve">TZS </w:t>
      </w:r>
      <w:r w:rsidRPr="006B42D6">
        <w:t xml:space="preserve">1,156 during dry season (Figure </w:t>
      </w:r>
      <w:r w:rsidR="008C4E20" w:rsidRPr="006B42D6">
        <w:t>4.29</w:t>
      </w:r>
      <w:r w:rsidRPr="006B42D6">
        <w:t>)</w:t>
      </w:r>
      <w:r w:rsidR="008C4E20" w:rsidRPr="006B42D6">
        <w:t>.</w:t>
      </w:r>
    </w:p>
    <w:p w14:paraId="7CF1F51F" w14:textId="500C3E5E" w:rsidR="00E743F9" w:rsidRDefault="00E743F9">
      <w:pPr>
        <w:spacing w:line="240" w:lineRule="auto"/>
        <w:contextualSpacing w:val="0"/>
        <w:jc w:val="left"/>
      </w:pPr>
      <w:r>
        <w:br w:type="page"/>
      </w:r>
    </w:p>
    <w:p w14:paraId="25752D29" w14:textId="3CD07C77" w:rsidR="00A26C28" w:rsidRPr="006B42D6" w:rsidRDefault="00A26C28" w:rsidP="00D141C3">
      <w:pPr>
        <w:pStyle w:val="Caption"/>
        <w:ind w:left="1140" w:right="1247" w:hanging="1140"/>
      </w:pPr>
      <w:bookmarkStart w:id="582" w:name="_Toc82386400"/>
      <w:r w:rsidRPr="006B42D6">
        <w:lastRenderedPageBreak/>
        <w:t xml:space="preserve">Figure </w:t>
      </w:r>
      <w:r w:rsidR="002B03DA" w:rsidRPr="006B42D6">
        <w:t>4.29</w:t>
      </w:r>
      <w:r w:rsidR="004F4506">
        <w:t>:</w:t>
      </w:r>
      <w:r w:rsidR="004F44FE">
        <w:tab/>
      </w:r>
      <w:r w:rsidRPr="006B42D6">
        <w:t xml:space="preserve">Average Price </w:t>
      </w:r>
      <w:r w:rsidR="002B03DA" w:rsidRPr="006B42D6">
        <w:t xml:space="preserve">of Cow Milk </w:t>
      </w:r>
      <w:r w:rsidRPr="006B42D6">
        <w:t>by Region and Season</w:t>
      </w:r>
      <w:r w:rsidR="000D4D71" w:rsidRPr="006B42D6">
        <w:t xml:space="preserve"> During 2019/20 Agricultural Year, Tanzania</w:t>
      </w:r>
      <w:r w:rsidRPr="006B42D6">
        <w:t xml:space="preserve"> Zanzibar</w:t>
      </w:r>
      <w:bookmarkEnd w:id="582"/>
      <w:r w:rsidRPr="006B42D6">
        <w:t xml:space="preserve"> </w:t>
      </w:r>
    </w:p>
    <w:p w14:paraId="1B525257" w14:textId="3F1B6AD9" w:rsidR="00A26C28" w:rsidRPr="006B42D6" w:rsidRDefault="001B26AC" w:rsidP="00A26C28">
      <w:pPr>
        <w:tabs>
          <w:tab w:val="left" w:pos="540"/>
        </w:tabs>
      </w:pPr>
      <w:r w:rsidRPr="006B42D6">
        <w:rPr>
          <w:noProof/>
        </w:rPr>
        <w:drawing>
          <wp:inline distT="0" distB="0" distL="0" distR="0" wp14:anchorId="7E889D21" wp14:editId="03B0A922">
            <wp:extent cx="5100145" cy="2411730"/>
            <wp:effectExtent l="0" t="0" r="18415" b="13970"/>
            <wp:docPr id="56" name="Chart 9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4"/>
              </a:graphicData>
            </a:graphic>
          </wp:inline>
        </w:drawing>
      </w:r>
    </w:p>
    <w:p w14:paraId="31B7735B" w14:textId="6F37A1EB" w:rsidR="00A26C28" w:rsidRDefault="00A26C28" w:rsidP="00A26C28">
      <w:pPr>
        <w:tabs>
          <w:tab w:val="left" w:pos="540"/>
        </w:tabs>
        <w:rPr>
          <w:b/>
        </w:rPr>
      </w:pPr>
    </w:p>
    <w:p w14:paraId="65D143AC" w14:textId="77777777" w:rsidR="00A26C28" w:rsidRPr="006B42D6" w:rsidRDefault="00A26C28" w:rsidP="00A26C28">
      <w:pPr>
        <w:tabs>
          <w:tab w:val="left" w:pos="540"/>
        </w:tabs>
        <w:rPr>
          <w:b/>
        </w:rPr>
      </w:pPr>
      <w:r w:rsidRPr="006B42D6">
        <w:rPr>
          <w:b/>
        </w:rPr>
        <w:t xml:space="preserve">Goat Milk </w:t>
      </w:r>
    </w:p>
    <w:p w14:paraId="220A6CCA" w14:textId="481F6916" w:rsidR="00A26C28" w:rsidRDefault="00A26C28" w:rsidP="00A26C28">
      <w:pPr>
        <w:tabs>
          <w:tab w:val="left" w:pos="540"/>
        </w:tabs>
      </w:pPr>
      <w:r w:rsidRPr="006B42D6">
        <w:t>The results show that</w:t>
      </w:r>
      <w:r w:rsidR="002B03DA" w:rsidRPr="006B42D6">
        <w:t>,</w:t>
      </w:r>
      <w:r w:rsidRPr="006B42D6">
        <w:t xml:space="preserve"> 2.2 percent of the total goats keeping households in </w:t>
      </w:r>
      <w:r w:rsidR="00EA1552">
        <w:rPr>
          <w:lang w:eastAsia="en-GB"/>
        </w:rPr>
        <w:t>Mainland Tanzania</w:t>
      </w:r>
      <w:r w:rsidRPr="006B42D6">
        <w:t xml:space="preserve"> reported to produce milk while in </w:t>
      </w:r>
      <w:r w:rsidR="000D4D71" w:rsidRPr="006B42D6">
        <w:rPr>
          <w:lang w:eastAsia="en-GB"/>
        </w:rPr>
        <w:t xml:space="preserve">Tanzania </w:t>
      </w:r>
      <w:r w:rsidRPr="006B42D6">
        <w:t>Zanzibar, 0.4 percent of the total households reported the same. For smallholder farmers</w:t>
      </w:r>
      <w:r w:rsidR="00054952" w:rsidRPr="006B42D6">
        <w:t>,</w:t>
      </w:r>
      <w:r w:rsidRPr="006B42D6">
        <w:t xml:space="preserve"> the total milk produced was </w:t>
      </w:r>
      <w:r w:rsidR="002B03DA" w:rsidRPr="006B42D6">
        <w:t>25,678,361</w:t>
      </w:r>
      <w:r w:rsidRPr="006B42D6">
        <w:t xml:space="preserve"> litres of which </w:t>
      </w:r>
      <w:r w:rsidR="002B03DA" w:rsidRPr="006B42D6">
        <w:t>25,565,561</w:t>
      </w:r>
      <w:r w:rsidRPr="006B42D6">
        <w:t xml:space="preserve"> litres were produced in </w:t>
      </w:r>
      <w:r w:rsidR="00EA1552">
        <w:rPr>
          <w:lang w:eastAsia="en-GB"/>
        </w:rPr>
        <w:t>Mainland Tanzania</w:t>
      </w:r>
      <w:r w:rsidRPr="006B42D6">
        <w:t xml:space="preserve"> (1</w:t>
      </w:r>
      <w:r w:rsidR="00054952" w:rsidRPr="006B42D6">
        <w:t>7</w:t>
      </w:r>
      <w:r w:rsidRPr="006B42D6">
        <w:t>,0</w:t>
      </w:r>
      <w:r w:rsidR="00054952" w:rsidRPr="006B42D6">
        <w:t>40</w:t>
      </w:r>
      <w:r w:rsidRPr="006B42D6">
        <w:t>,</w:t>
      </w:r>
      <w:r w:rsidR="00054952" w:rsidRPr="006B42D6">
        <w:t>069</w:t>
      </w:r>
      <w:r w:rsidRPr="006B42D6">
        <w:t xml:space="preserve"> litres during wet season; </w:t>
      </w:r>
      <w:r w:rsidR="00054952" w:rsidRPr="006B42D6">
        <w:t>8</w:t>
      </w:r>
      <w:r w:rsidRPr="006B42D6">
        <w:t>,</w:t>
      </w:r>
      <w:r w:rsidR="00054952" w:rsidRPr="006B42D6">
        <w:t>525,492</w:t>
      </w:r>
      <w:r w:rsidRPr="006B42D6">
        <w:t xml:space="preserve"> litres during dry season) and 112,</w:t>
      </w:r>
      <w:r w:rsidR="00054952" w:rsidRPr="006B42D6">
        <w:t>800</w:t>
      </w:r>
      <w:r w:rsidRPr="006B42D6">
        <w:t xml:space="preserve"> litres in </w:t>
      </w:r>
      <w:r w:rsidR="000D4D71" w:rsidRPr="006B42D6">
        <w:rPr>
          <w:lang w:eastAsia="en-GB"/>
        </w:rPr>
        <w:t xml:space="preserve">Tanzania </w:t>
      </w:r>
      <w:r w:rsidRPr="006B42D6">
        <w:t>Zanzibar (45,</w:t>
      </w:r>
      <w:r w:rsidR="00054952" w:rsidRPr="006B42D6">
        <w:t>120</w:t>
      </w:r>
      <w:r w:rsidRPr="006B42D6">
        <w:t xml:space="preserve"> litres during wet season, 67</w:t>
      </w:r>
      <w:r w:rsidR="00054952" w:rsidRPr="006B42D6">
        <w:t>,</w:t>
      </w:r>
      <w:r w:rsidRPr="006B42D6">
        <w:t>6</w:t>
      </w:r>
      <w:r w:rsidR="00054952" w:rsidRPr="006B42D6">
        <w:t>80</w:t>
      </w:r>
      <w:r w:rsidRPr="006B42D6">
        <w:t xml:space="preserve"> litres during dry season)</w:t>
      </w:r>
      <w:r w:rsidR="00B70154">
        <w:t xml:space="preserve"> (Table 4.12)</w:t>
      </w:r>
      <w:r w:rsidRPr="006B42D6">
        <w:t xml:space="preserve">. </w:t>
      </w:r>
    </w:p>
    <w:p w14:paraId="41AAF174" w14:textId="77777777" w:rsidR="00B70154" w:rsidRDefault="00B70154" w:rsidP="00D141C3">
      <w:pPr>
        <w:tabs>
          <w:tab w:val="left" w:pos="540"/>
        </w:tabs>
        <w:spacing w:line="240" w:lineRule="auto"/>
      </w:pPr>
    </w:p>
    <w:p w14:paraId="02C3C321" w14:textId="7DC7DE45" w:rsidR="00B70154" w:rsidRDefault="00B70154" w:rsidP="00B70154">
      <w:pPr>
        <w:pStyle w:val="Heading7"/>
      </w:pPr>
      <w:bookmarkStart w:id="583" w:name="_Toc82386220"/>
      <w:r w:rsidRPr="006B42D6">
        <w:t>Table 4.1</w:t>
      </w:r>
      <w:r>
        <w:t>2:</w:t>
      </w:r>
      <w:r>
        <w:tab/>
      </w:r>
      <w:r w:rsidRPr="006B42D6">
        <w:t>Goat Milk Production for Large Scale Farms and Smallholder Farmers During 2019/20 Agricultural Year, Tanzania</w:t>
      </w:r>
      <w:bookmarkEnd w:id="583"/>
    </w:p>
    <w:tbl>
      <w:tblPr>
        <w:tblW w:w="5000" w:type="pct"/>
        <w:tblCellMar>
          <w:left w:w="0" w:type="dxa"/>
          <w:right w:w="0" w:type="dxa"/>
        </w:tblCellMar>
        <w:tblLook w:val="04A0" w:firstRow="1" w:lastRow="0" w:firstColumn="1" w:lastColumn="0" w:noHBand="0" w:noVBand="1"/>
      </w:tblPr>
      <w:tblGrid>
        <w:gridCol w:w="1007"/>
        <w:gridCol w:w="1222"/>
        <w:gridCol w:w="1459"/>
        <w:gridCol w:w="1341"/>
        <w:gridCol w:w="1341"/>
        <w:gridCol w:w="1341"/>
        <w:gridCol w:w="1339"/>
      </w:tblGrid>
      <w:tr w:rsidR="00B70154" w:rsidRPr="006B42D6" w14:paraId="258D293D" w14:textId="77777777" w:rsidTr="00E743F9">
        <w:trPr>
          <w:trHeight w:val="340"/>
        </w:trPr>
        <w:tc>
          <w:tcPr>
            <w:tcW w:w="556" w:type="pct"/>
            <w:vMerge w:val="restart"/>
            <w:tcBorders>
              <w:top w:val="single" w:sz="4" w:space="0" w:color="auto"/>
              <w:left w:val="nil"/>
              <w:bottom w:val="nil"/>
              <w:right w:val="nil"/>
            </w:tcBorders>
            <w:shd w:val="clear" w:color="auto" w:fill="E2EFD9" w:themeFill="accent6" w:themeFillTint="33"/>
            <w:noWrap/>
            <w:tcMar>
              <w:top w:w="15" w:type="dxa"/>
              <w:left w:w="15" w:type="dxa"/>
              <w:bottom w:w="0" w:type="dxa"/>
              <w:right w:w="15" w:type="dxa"/>
            </w:tcMar>
            <w:vAlign w:val="center"/>
            <w:hideMark/>
          </w:tcPr>
          <w:p w14:paraId="394C7E20" w14:textId="77777777" w:rsidR="00B70154" w:rsidRPr="006B42D6" w:rsidRDefault="00B70154" w:rsidP="00E743F9">
            <w:pPr>
              <w:spacing w:line="240" w:lineRule="auto"/>
              <w:jc w:val="center"/>
              <w:rPr>
                <w:sz w:val="18"/>
                <w:szCs w:val="18"/>
              </w:rPr>
            </w:pPr>
            <w:r w:rsidRPr="006B42D6">
              <w:rPr>
                <w:sz w:val="18"/>
                <w:szCs w:val="18"/>
              </w:rPr>
              <w:t xml:space="preserve">Livestock </w:t>
            </w:r>
          </w:p>
        </w:tc>
        <w:tc>
          <w:tcPr>
            <w:tcW w:w="1481" w:type="pct"/>
            <w:gridSpan w:val="2"/>
            <w:tcBorders>
              <w:top w:val="single" w:sz="4" w:space="0" w:color="auto"/>
              <w:left w:val="nil"/>
              <w:bottom w:val="nil"/>
              <w:right w:val="single" w:sz="4" w:space="0" w:color="000000"/>
            </w:tcBorders>
            <w:shd w:val="clear" w:color="auto" w:fill="E2EFD9" w:themeFill="accent6" w:themeFillTint="33"/>
            <w:noWrap/>
            <w:tcMar>
              <w:top w:w="15" w:type="dxa"/>
              <w:left w:w="15" w:type="dxa"/>
              <w:bottom w:w="0" w:type="dxa"/>
              <w:right w:w="15" w:type="dxa"/>
            </w:tcMar>
            <w:vAlign w:val="center"/>
            <w:hideMark/>
          </w:tcPr>
          <w:p w14:paraId="468F5E47" w14:textId="7FE8738B" w:rsidR="00B70154" w:rsidRPr="006B42D6" w:rsidRDefault="00B70154" w:rsidP="00E743F9">
            <w:pPr>
              <w:spacing w:line="240" w:lineRule="auto"/>
              <w:jc w:val="center"/>
              <w:rPr>
                <w:sz w:val="18"/>
                <w:szCs w:val="18"/>
              </w:rPr>
            </w:pPr>
            <w:r w:rsidRPr="006B42D6">
              <w:rPr>
                <w:sz w:val="18"/>
                <w:szCs w:val="18"/>
              </w:rPr>
              <w:t>Tanzania</w:t>
            </w:r>
          </w:p>
        </w:tc>
        <w:tc>
          <w:tcPr>
            <w:tcW w:w="1482" w:type="pct"/>
            <w:gridSpan w:val="2"/>
            <w:tcBorders>
              <w:top w:val="single" w:sz="4" w:space="0" w:color="auto"/>
              <w:left w:val="single" w:sz="4" w:space="0" w:color="auto"/>
              <w:bottom w:val="nil"/>
              <w:right w:val="single" w:sz="4" w:space="0" w:color="000000"/>
            </w:tcBorders>
            <w:shd w:val="clear" w:color="auto" w:fill="E2EFD9" w:themeFill="accent6" w:themeFillTint="33"/>
            <w:noWrap/>
            <w:tcMar>
              <w:top w:w="15" w:type="dxa"/>
              <w:left w:w="15" w:type="dxa"/>
              <w:bottom w:w="0" w:type="dxa"/>
              <w:right w:w="15" w:type="dxa"/>
            </w:tcMar>
            <w:vAlign w:val="center"/>
            <w:hideMark/>
          </w:tcPr>
          <w:p w14:paraId="05209CAB" w14:textId="13A59F26" w:rsidR="00B70154" w:rsidRPr="006B42D6" w:rsidRDefault="00B70154" w:rsidP="00E743F9">
            <w:pPr>
              <w:spacing w:line="240" w:lineRule="auto"/>
              <w:jc w:val="center"/>
              <w:rPr>
                <w:sz w:val="18"/>
                <w:szCs w:val="18"/>
              </w:rPr>
            </w:pPr>
            <w:r>
              <w:rPr>
                <w:sz w:val="18"/>
                <w:szCs w:val="18"/>
              </w:rPr>
              <w:t>Mainland Tanzania</w:t>
            </w:r>
          </w:p>
        </w:tc>
        <w:tc>
          <w:tcPr>
            <w:tcW w:w="1481" w:type="pct"/>
            <w:gridSpan w:val="2"/>
            <w:tcBorders>
              <w:top w:val="single" w:sz="4" w:space="0" w:color="auto"/>
              <w:left w:val="single" w:sz="4" w:space="0" w:color="auto"/>
              <w:bottom w:val="nil"/>
              <w:right w:val="nil"/>
            </w:tcBorders>
            <w:shd w:val="clear" w:color="auto" w:fill="E2EFD9" w:themeFill="accent6" w:themeFillTint="33"/>
            <w:noWrap/>
            <w:tcMar>
              <w:top w:w="15" w:type="dxa"/>
              <w:left w:w="15" w:type="dxa"/>
              <w:bottom w:w="0" w:type="dxa"/>
              <w:right w:w="15" w:type="dxa"/>
            </w:tcMar>
            <w:vAlign w:val="center"/>
            <w:hideMark/>
          </w:tcPr>
          <w:p w14:paraId="4F26FB8D" w14:textId="0105DA43" w:rsidR="00B70154" w:rsidRPr="006B42D6" w:rsidRDefault="00B70154" w:rsidP="00E743F9">
            <w:pPr>
              <w:spacing w:line="240" w:lineRule="auto"/>
              <w:jc w:val="center"/>
              <w:rPr>
                <w:sz w:val="18"/>
                <w:szCs w:val="18"/>
              </w:rPr>
            </w:pPr>
            <w:r w:rsidRPr="006B42D6">
              <w:rPr>
                <w:sz w:val="18"/>
                <w:szCs w:val="18"/>
              </w:rPr>
              <w:t>Tanzania Zanzibar</w:t>
            </w:r>
          </w:p>
        </w:tc>
      </w:tr>
      <w:tr w:rsidR="00B70154" w:rsidRPr="006B42D6" w14:paraId="010A862D" w14:textId="77777777" w:rsidTr="00E743F9">
        <w:trPr>
          <w:trHeight w:val="555"/>
        </w:trPr>
        <w:tc>
          <w:tcPr>
            <w:tcW w:w="556" w:type="pct"/>
            <w:vMerge/>
            <w:tcBorders>
              <w:top w:val="single" w:sz="4" w:space="0" w:color="auto"/>
              <w:left w:val="nil"/>
              <w:bottom w:val="single" w:sz="4" w:space="0" w:color="auto"/>
              <w:right w:val="nil"/>
            </w:tcBorders>
            <w:shd w:val="clear" w:color="auto" w:fill="E2EFD9" w:themeFill="accent6" w:themeFillTint="33"/>
            <w:vAlign w:val="center"/>
            <w:hideMark/>
          </w:tcPr>
          <w:p w14:paraId="3373DAE8" w14:textId="77777777" w:rsidR="00B70154" w:rsidRPr="006B42D6" w:rsidRDefault="00B70154" w:rsidP="00E743F9">
            <w:pPr>
              <w:spacing w:line="240" w:lineRule="auto"/>
              <w:rPr>
                <w:sz w:val="18"/>
                <w:szCs w:val="18"/>
              </w:rPr>
            </w:pPr>
          </w:p>
        </w:tc>
        <w:tc>
          <w:tcPr>
            <w:tcW w:w="675" w:type="pct"/>
            <w:tcBorders>
              <w:top w:val="single" w:sz="4" w:space="0" w:color="auto"/>
              <w:left w:val="nil"/>
              <w:bottom w:val="single" w:sz="4" w:space="0" w:color="auto"/>
              <w:right w:val="nil"/>
            </w:tcBorders>
            <w:shd w:val="clear" w:color="auto" w:fill="E2EFD9" w:themeFill="accent6" w:themeFillTint="33"/>
            <w:tcMar>
              <w:top w:w="15" w:type="dxa"/>
              <w:left w:w="15" w:type="dxa"/>
              <w:bottom w:w="0" w:type="dxa"/>
              <w:right w:w="15" w:type="dxa"/>
            </w:tcMar>
            <w:vAlign w:val="center"/>
            <w:hideMark/>
          </w:tcPr>
          <w:p w14:paraId="7EA1D6A3" w14:textId="77777777" w:rsidR="00B70154" w:rsidRPr="006B42D6" w:rsidRDefault="00B70154" w:rsidP="00E743F9">
            <w:pPr>
              <w:spacing w:line="240" w:lineRule="auto"/>
              <w:jc w:val="center"/>
              <w:rPr>
                <w:sz w:val="18"/>
                <w:szCs w:val="18"/>
              </w:rPr>
            </w:pPr>
            <w:r w:rsidRPr="006B42D6">
              <w:rPr>
                <w:sz w:val="18"/>
                <w:szCs w:val="18"/>
              </w:rPr>
              <w:t>Smallholder Farmers</w:t>
            </w:r>
          </w:p>
        </w:tc>
        <w:tc>
          <w:tcPr>
            <w:tcW w:w="806" w:type="pct"/>
            <w:tcBorders>
              <w:top w:val="single" w:sz="4" w:space="0" w:color="auto"/>
              <w:left w:val="nil"/>
              <w:bottom w:val="single" w:sz="4" w:space="0" w:color="auto"/>
              <w:right w:val="nil"/>
            </w:tcBorders>
            <w:shd w:val="clear" w:color="auto" w:fill="E2EFD9" w:themeFill="accent6" w:themeFillTint="33"/>
            <w:tcMar>
              <w:top w:w="15" w:type="dxa"/>
              <w:left w:w="15" w:type="dxa"/>
              <w:bottom w:w="0" w:type="dxa"/>
              <w:right w:w="15" w:type="dxa"/>
            </w:tcMar>
            <w:vAlign w:val="center"/>
            <w:hideMark/>
          </w:tcPr>
          <w:p w14:paraId="21B41BAF" w14:textId="77777777" w:rsidR="00B70154" w:rsidRDefault="00B70154" w:rsidP="00E743F9">
            <w:pPr>
              <w:spacing w:line="240" w:lineRule="auto"/>
              <w:jc w:val="center"/>
              <w:rPr>
                <w:sz w:val="18"/>
                <w:szCs w:val="18"/>
              </w:rPr>
            </w:pPr>
            <w:r w:rsidRPr="006B42D6">
              <w:rPr>
                <w:sz w:val="18"/>
                <w:szCs w:val="18"/>
              </w:rPr>
              <w:t>Large Scale</w:t>
            </w:r>
          </w:p>
          <w:p w14:paraId="1596D4C7" w14:textId="77777777" w:rsidR="00B70154" w:rsidRPr="006B42D6" w:rsidRDefault="00B70154" w:rsidP="00E743F9">
            <w:pPr>
              <w:spacing w:line="240" w:lineRule="auto"/>
              <w:jc w:val="center"/>
              <w:rPr>
                <w:sz w:val="18"/>
                <w:szCs w:val="18"/>
              </w:rPr>
            </w:pPr>
            <w:r w:rsidRPr="006B42D6">
              <w:rPr>
                <w:sz w:val="18"/>
                <w:szCs w:val="18"/>
              </w:rPr>
              <w:t>Farms</w:t>
            </w:r>
          </w:p>
        </w:tc>
        <w:tc>
          <w:tcPr>
            <w:tcW w:w="741" w:type="pct"/>
            <w:tcBorders>
              <w:top w:val="single" w:sz="4" w:space="0" w:color="auto"/>
              <w:left w:val="single" w:sz="4" w:space="0" w:color="auto"/>
              <w:bottom w:val="single" w:sz="4" w:space="0" w:color="auto"/>
              <w:right w:val="nil"/>
            </w:tcBorders>
            <w:shd w:val="clear" w:color="auto" w:fill="E2EFD9" w:themeFill="accent6" w:themeFillTint="33"/>
            <w:tcMar>
              <w:top w:w="15" w:type="dxa"/>
              <w:left w:w="15" w:type="dxa"/>
              <w:bottom w:w="0" w:type="dxa"/>
              <w:right w:w="15" w:type="dxa"/>
            </w:tcMar>
            <w:vAlign w:val="center"/>
            <w:hideMark/>
          </w:tcPr>
          <w:p w14:paraId="566DA5B7" w14:textId="77777777" w:rsidR="00B70154" w:rsidRPr="006B42D6" w:rsidRDefault="00B70154" w:rsidP="00E743F9">
            <w:pPr>
              <w:spacing w:line="240" w:lineRule="auto"/>
              <w:jc w:val="center"/>
              <w:rPr>
                <w:sz w:val="18"/>
                <w:szCs w:val="18"/>
              </w:rPr>
            </w:pPr>
            <w:r w:rsidRPr="006B42D6">
              <w:rPr>
                <w:sz w:val="18"/>
                <w:szCs w:val="18"/>
              </w:rPr>
              <w:t>Smallholder Farmers</w:t>
            </w:r>
          </w:p>
        </w:tc>
        <w:tc>
          <w:tcPr>
            <w:tcW w:w="741" w:type="pct"/>
            <w:tcBorders>
              <w:top w:val="single" w:sz="4" w:space="0" w:color="auto"/>
              <w:left w:val="nil"/>
              <w:bottom w:val="single" w:sz="4" w:space="0" w:color="auto"/>
              <w:right w:val="single" w:sz="4" w:space="0" w:color="auto"/>
            </w:tcBorders>
            <w:shd w:val="clear" w:color="auto" w:fill="E2EFD9" w:themeFill="accent6" w:themeFillTint="33"/>
            <w:tcMar>
              <w:top w:w="15" w:type="dxa"/>
              <w:left w:w="15" w:type="dxa"/>
              <w:bottom w:w="0" w:type="dxa"/>
              <w:right w:w="15" w:type="dxa"/>
            </w:tcMar>
            <w:vAlign w:val="center"/>
            <w:hideMark/>
          </w:tcPr>
          <w:p w14:paraId="477B4C00" w14:textId="77777777" w:rsidR="00B70154" w:rsidRDefault="00B70154" w:rsidP="00E743F9">
            <w:pPr>
              <w:spacing w:line="240" w:lineRule="auto"/>
              <w:jc w:val="center"/>
              <w:rPr>
                <w:sz w:val="18"/>
                <w:szCs w:val="18"/>
              </w:rPr>
            </w:pPr>
            <w:r w:rsidRPr="006B42D6">
              <w:rPr>
                <w:sz w:val="18"/>
                <w:szCs w:val="18"/>
              </w:rPr>
              <w:t>Large Scale</w:t>
            </w:r>
          </w:p>
          <w:p w14:paraId="601F72C4" w14:textId="77777777" w:rsidR="00B70154" w:rsidRPr="006B42D6" w:rsidRDefault="00B70154" w:rsidP="00E743F9">
            <w:pPr>
              <w:spacing w:line="240" w:lineRule="auto"/>
              <w:jc w:val="center"/>
              <w:rPr>
                <w:sz w:val="18"/>
                <w:szCs w:val="18"/>
              </w:rPr>
            </w:pPr>
            <w:r w:rsidRPr="006B42D6">
              <w:rPr>
                <w:sz w:val="18"/>
                <w:szCs w:val="18"/>
              </w:rPr>
              <w:t>Farms</w:t>
            </w:r>
          </w:p>
        </w:tc>
        <w:tc>
          <w:tcPr>
            <w:tcW w:w="741" w:type="pct"/>
            <w:tcBorders>
              <w:top w:val="single" w:sz="4" w:space="0" w:color="auto"/>
              <w:left w:val="nil"/>
              <w:bottom w:val="single" w:sz="4" w:space="0" w:color="auto"/>
              <w:right w:val="nil"/>
            </w:tcBorders>
            <w:shd w:val="clear" w:color="auto" w:fill="E2EFD9" w:themeFill="accent6" w:themeFillTint="33"/>
            <w:tcMar>
              <w:top w:w="15" w:type="dxa"/>
              <w:left w:w="15" w:type="dxa"/>
              <w:bottom w:w="0" w:type="dxa"/>
              <w:right w:w="15" w:type="dxa"/>
            </w:tcMar>
            <w:vAlign w:val="center"/>
            <w:hideMark/>
          </w:tcPr>
          <w:p w14:paraId="3182B015" w14:textId="77777777" w:rsidR="00B70154" w:rsidRPr="006B42D6" w:rsidRDefault="00B70154" w:rsidP="00E743F9">
            <w:pPr>
              <w:spacing w:line="240" w:lineRule="auto"/>
              <w:jc w:val="center"/>
              <w:rPr>
                <w:sz w:val="18"/>
                <w:szCs w:val="18"/>
              </w:rPr>
            </w:pPr>
            <w:r w:rsidRPr="006B42D6">
              <w:rPr>
                <w:sz w:val="18"/>
                <w:szCs w:val="18"/>
              </w:rPr>
              <w:t>Smallholder Farmers</w:t>
            </w:r>
          </w:p>
        </w:tc>
        <w:tc>
          <w:tcPr>
            <w:tcW w:w="740" w:type="pct"/>
            <w:tcBorders>
              <w:top w:val="single" w:sz="4" w:space="0" w:color="auto"/>
              <w:left w:val="nil"/>
              <w:bottom w:val="single" w:sz="4" w:space="0" w:color="auto"/>
              <w:right w:val="nil"/>
            </w:tcBorders>
            <w:shd w:val="clear" w:color="auto" w:fill="E2EFD9" w:themeFill="accent6" w:themeFillTint="33"/>
            <w:tcMar>
              <w:top w:w="15" w:type="dxa"/>
              <w:left w:w="15" w:type="dxa"/>
              <w:bottom w:w="0" w:type="dxa"/>
              <w:right w:w="15" w:type="dxa"/>
            </w:tcMar>
            <w:vAlign w:val="center"/>
            <w:hideMark/>
          </w:tcPr>
          <w:p w14:paraId="7DA9D829" w14:textId="77777777" w:rsidR="00B70154" w:rsidRDefault="00B70154" w:rsidP="00E743F9">
            <w:pPr>
              <w:spacing w:line="240" w:lineRule="auto"/>
              <w:jc w:val="center"/>
              <w:rPr>
                <w:sz w:val="18"/>
                <w:szCs w:val="18"/>
              </w:rPr>
            </w:pPr>
            <w:r w:rsidRPr="006B42D6">
              <w:rPr>
                <w:sz w:val="18"/>
                <w:szCs w:val="18"/>
              </w:rPr>
              <w:t>Large Scale</w:t>
            </w:r>
          </w:p>
          <w:p w14:paraId="77D6A87C" w14:textId="77777777" w:rsidR="00B70154" w:rsidRPr="006B42D6" w:rsidRDefault="00B70154" w:rsidP="00E743F9">
            <w:pPr>
              <w:spacing w:line="240" w:lineRule="auto"/>
              <w:jc w:val="center"/>
              <w:rPr>
                <w:sz w:val="18"/>
                <w:szCs w:val="18"/>
              </w:rPr>
            </w:pPr>
            <w:r w:rsidRPr="006B42D6">
              <w:rPr>
                <w:sz w:val="18"/>
                <w:szCs w:val="18"/>
              </w:rPr>
              <w:t>Farms</w:t>
            </w:r>
          </w:p>
        </w:tc>
      </w:tr>
      <w:tr w:rsidR="00B70154" w:rsidRPr="006B42D6" w14:paraId="7FB59AD2" w14:textId="77777777" w:rsidTr="00E743F9">
        <w:trPr>
          <w:trHeight w:val="340"/>
        </w:trPr>
        <w:tc>
          <w:tcPr>
            <w:tcW w:w="556" w:type="pct"/>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14:paraId="547A5975" w14:textId="77777777" w:rsidR="00B70154" w:rsidRPr="00AF17C6" w:rsidRDefault="00B70154" w:rsidP="00B70154">
            <w:pPr>
              <w:jc w:val="left"/>
              <w:rPr>
                <w:sz w:val="18"/>
                <w:szCs w:val="18"/>
              </w:rPr>
            </w:pPr>
            <w:r w:rsidRPr="00AF17C6">
              <w:rPr>
                <w:sz w:val="18"/>
                <w:szCs w:val="18"/>
              </w:rPr>
              <w:t>Goat Milk</w:t>
            </w:r>
          </w:p>
        </w:tc>
        <w:tc>
          <w:tcPr>
            <w:tcW w:w="675" w:type="pct"/>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14:paraId="74C6D071" w14:textId="77777777" w:rsidR="00B70154" w:rsidRPr="00AF17C6" w:rsidRDefault="00B70154" w:rsidP="00B70154">
            <w:pPr>
              <w:jc w:val="center"/>
              <w:rPr>
                <w:sz w:val="18"/>
                <w:szCs w:val="18"/>
              </w:rPr>
            </w:pPr>
            <w:r w:rsidRPr="00AF17C6">
              <w:rPr>
                <w:sz w:val="18"/>
                <w:szCs w:val="18"/>
              </w:rPr>
              <w:t>25,678,361</w:t>
            </w:r>
          </w:p>
        </w:tc>
        <w:tc>
          <w:tcPr>
            <w:tcW w:w="806" w:type="pct"/>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14:paraId="0A377152" w14:textId="77777777" w:rsidR="00B70154" w:rsidRPr="006B42D6" w:rsidRDefault="00B70154" w:rsidP="00B70154">
            <w:pPr>
              <w:jc w:val="center"/>
              <w:rPr>
                <w:sz w:val="18"/>
                <w:szCs w:val="18"/>
              </w:rPr>
            </w:pPr>
            <w:r w:rsidRPr="006B42D6">
              <w:rPr>
                <w:sz w:val="18"/>
                <w:szCs w:val="18"/>
              </w:rPr>
              <w:t>12,515</w:t>
            </w:r>
          </w:p>
        </w:tc>
        <w:tc>
          <w:tcPr>
            <w:tcW w:w="741" w:type="pct"/>
            <w:tcBorders>
              <w:top w:val="single" w:sz="4" w:space="0" w:color="auto"/>
              <w:left w:val="single" w:sz="4" w:space="0" w:color="auto"/>
              <w:bottom w:val="single" w:sz="4" w:space="0" w:color="auto"/>
              <w:right w:val="nil"/>
            </w:tcBorders>
            <w:shd w:val="clear" w:color="auto" w:fill="auto"/>
            <w:noWrap/>
            <w:tcMar>
              <w:top w:w="15" w:type="dxa"/>
              <w:left w:w="15" w:type="dxa"/>
              <w:bottom w:w="0" w:type="dxa"/>
              <w:right w:w="15" w:type="dxa"/>
            </w:tcMar>
            <w:vAlign w:val="bottom"/>
            <w:hideMark/>
          </w:tcPr>
          <w:p w14:paraId="0C030A6B" w14:textId="77777777" w:rsidR="00B70154" w:rsidRPr="006B42D6" w:rsidRDefault="00B70154" w:rsidP="00B70154">
            <w:pPr>
              <w:jc w:val="center"/>
              <w:rPr>
                <w:sz w:val="18"/>
                <w:szCs w:val="18"/>
              </w:rPr>
            </w:pPr>
            <w:r w:rsidRPr="006B42D6">
              <w:rPr>
                <w:sz w:val="18"/>
                <w:szCs w:val="18"/>
              </w:rPr>
              <w:t>25,565,561</w:t>
            </w:r>
          </w:p>
        </w:tc>
        <w:tc>
          <w:tcPr>
            <w:tcW w:w="741"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BB3641D" w14:textId="77777777" w:rsidR="00B70154" w:rsidRPr="006B42D6" w:rsidRDefault="00B70154" w:rsidP="00B70154">
            <w:pPr>
              <w:jc w:val="center"/>
              <w:rPr>
                <w:sz w:val="18"/>
                <w:szCs w:val="18"/>
              </w:rPr>
            </w:pPr>
            <w:r w:rsidRPr="006B42D6">
              <w:rPr>
                <w:sz w:val="18"/>
                <w:szCs w:val="18"/>
              </w:rPr>
              <w:t>10,895</w:t>
            </w:r>
          </w:p>
        </w:tc>
        <w:tc>
          <w:tcPr>
            <w:tcW w:w="741" w:type="pct"/>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14:paraId="5C14A40B" w14:textId="77777777" w:rsidR="00B70154" w:rsidRPr="006B42D6" w:rsidRDefault="00B70154" w:rsidP="00B70154">
            <w:pPr>
              <w:jc w:val="center"/>
              <w:rPr>
                <w:sz w:val="18"/>
                <w:szCs w:val="18"/>
              </w:rPr>
            </w:pPr>
            <w:r w:rsidRPr="006B42D6">
              <w:rPr>
                <w:sz w:val="18"/>
                <w:szCs w:val="18"/>
              </w:rPr>
              <w:t>112,800</w:t>
            </w:r>
          </w:p>
        </w:tc>
        <w:tc>
          <w:tcPr>
            <w:tcW w:w="740" w:type="pct"/>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14:paraId="1EE62F69" w14:textId="77777777" w:rsidR="00B70154" w:rsidRPr="006B42D6" w:rsidRDefault="00B70154" w:rsidP="00B70154">
            <w:pPr>
              <w:jc w:val="center"/>
              <w:rPr>
                <w:sz w:val="18"/>
                <w:szCs w:val="18"/>
              </w:rPr>
            </w:pPr>
            <w:r w:rsidRPr="006B42D6">
              <w:rPr>
                <w:sz w:val="18"/>
                <w:szCs w:val="18"/>
              </w:rPr>
              <w:t>1,620</w:t>
            </w:r>
          </w:p>
        </w:tc>
      </w:tr>
    </w:tbl>
    <w:p w14:paraId="6A7ADAB0" w14:textId="77777777" w:rsidR="002B03DA" w:rsidRPr="006B42D6" w:rsidRDefault="002B03DA" w:rsidP="004F02DC">
      <w:pPr>
        <w:tabs>
          <w:tab w:val="left" w:pos="540"/>
        </w:tabs>
        <w:spacing w:line="240" w:lineRule="auto"/>
      </w:pPr>
    </w:p>
    <w:p w14:paraId="04FC4E7D" w14:textId="5E48FB0D" w:rsidR="00A26C28" w:rsidRPr="006B42D6" w:rsidRDefault="00A26C28" w:rsidP="004F44FE">
      <w:r w:rsidRPr="006B42D6">
        <w:t xml:space="preserve">The average milk production per goat per day was 3 litres in </w:t>
      </w:r>
      <w:r w:rsidR="00EA1552">
        <w:t>Mainland Tanzania</w:t>
      </w:r>
      <w:r w:rsidRPr="006B42D6">
        <w:t xml:space="preserve"> during wet and dry season and; 2 and 3 litre</w:t>
      </w:r>
      <w:r w:rsidR="00054952" w:rsidRPr="006B42D6">
        <w:t>s</w:t>
      </w:r>
      <w:r w:rsidRPr="006B42D6">
        <w:t xml:space="preserve"> in </w:t>
      </w:r>
      <w:r w:rsidR="000D4D71" w:rsidRPr="006B42D6">
        <w:t xml:space="preserve">Tanzania </w:t>
      </w:r>
      <w:r w:rsidRPr="006B42D6">
        <w:t xml:space="preserve">Zanzibar during wet and dry season respectively. The average lactation length was 51 days in </w:t>
      </w:r>
      <w:r w:rsidR="00EA1552">
        <w:t>Mainland Tanzania</w:t>
      </w:r>
      <w:r w:rsidRPr="006B42D6">
        <w:t xml:space="preserve"> and 6 days in </w:t>
      </w:r>
      <w:r w:rsidR="000D4D71" w:rsidRPr="006B42D6">
        <w:t xml:space="preserve">Tanzania </w:t>
      </w:r>
      <w:r w:rsidRPr="006B42D6">
        <w:t xml:space="preserve">Zanzibar during wet season whereas 41 days in </w:t>
      </w:r>
      <w:r w:rsidR="00EA1552">
        <w:t>Mainland Tanzania</w:t>
      </w:r>
      <w:r w:rsidRPr="006B42D6">
        <w:t xml:space="preserve"> and 6 days in </w:t>
      </w:r>
      <w:r w:rsidR="000D4D71" w:rsidRPr="006B42D6">
        <w:t xml:space="preserve">Tanzania </w:t>
      </w:r>
      <w:r w:rsidRPr="006B42D6">
        <w:t xml:space="preserve">Zanzibar during dry season (Table </w:t>
      </w:r>
      <w:r w:rsidR="00054952" w:rsidRPr="006B42D6">
        <w:t>4.1</w:t>
      </w:r>
      <w:r w:rsidR="00B70154">
        <w:t>3</w:t>
      </w:r>
      <w:r w:rsidRPr="006B42D6">
        <w:t>)</w:t>
      </w:r>
      <w:r w:rsidR="00054952" w:rsidRPr="006B42D6">
        <w:t>.</w:t>
      </w:r>
    </w:p>
    <w:p w14:paraId="5E5BC15D" w14:textId="5892F150" w:rsidR="00E743F9" w:rsidRDefault="00E743F9">
      <w:pPr>
        <w:spacing w:line="240" w:lineRule="auto"/>
        <w:contextualSpacing w:val="0"/>
        <w:jc w:val="left"/>
      </w:pPr>
      <w:r>
        <w:br w:type="page"/>
      </w:r>
    </w:p>
    <w:p w14:paraId="0115F038" w14:textId="50ED8365" w:rsidR="00A26C28" w:rsidRPr="001A31F1" w:rsidRDefault="00A26C28" w:rsidP="001A31F1">
      <w:pPr>
        <w:pStyle w:val="Heading7"/>
        <w:ind w:left="1191" w:right="2552" w:hanging="1191"/>
      </w:pPr>
      <w:bookmarkStart w:id="584" w:name="_Toc82386221"/>
      <w:r w:rsidRPr="001A31F1">
        <w:lastRenderedPageBreak/>
        <w:t xml:space="preserve">Table </w:t>
      </w:r>
      <w:r w:rsidR="00054952" w:rsidRPr="001A31F1">
        <w:t>4.1</w:t>
      </w:r>
      <w:r w:rsidR="00B70154">
        <w:t>3</w:t>
      </w:r>
      <w:r w:rsidR="004D395F" w:rsidRPr="001A31F1">
        <w:t>:</w:t>
      </w:r>
      <w:r w:rsidR="004D395F" w:rsidRPr="001A31F1">
        <w:tab/>
      </w:r>
      <w:r w:rsidRPr="001A31F1">
        <w:t>Average Milk Production per Goat per Day by Season</w:t>
      </w:r>
      <w:r w:rsidR="000D4D71" w:rsidRPr="001A31F1">
        <w:t xml:space="preserve"> During 2019/20 Agricultural Year, Tanzania</w:t>
      </w:r>
      <w:bookmarkEnd w:id="584"/>
    </w:p>
    <w:tbl>
      <w:tblPr>
        <w:tblW w:w="7088" w:type="dxa"/>
        <w:tblLook w:val="04A0" w:firstRow="1" w:lastRow="0" w:firstColumn="1" w:lastColumn="0" w:noHBand="0" w:noVBand="1"/>
      </w:tblPr>
      <w:tblGrid>
        <w:gridCol w:w="2547"/>
        <w:gridCol w:w="1816"/>
        <w:gridCol w:w="2725"/>
      </w:tblGrid>
      <w:tr w:rsidR="006B42D6" w:rsidRPr="00E743F9" w14:paraId="67ABB140" w14:textId="77777777" w:rsidTr="001A31F1">
        <w:trPr>
          <w:trHeight w:val="283"/>
        </w:trPr>
        <w:tc>
          <w:tcPr>
            <w:tcW w:w="2547" w:type="dxa"/>
            <w:vMerge w:val="restart"/>
            <w:tcBorders>
              <w:top w:val="single" w:sz="4" w:space="0" w:color="auto"/>
              <w:left w:val="nil"/>
              <w:bottom w:val="single" w:sz="4" w:space="0" w:color="000000"/>
              <w:right w:val="nil"/>
            </w:tcBorders>
            <w:shd w:val="clear" w:color="auto" w:fill="E2EFD9" w:themeFill="accent6" w:themeFillTint="33"/>
            <w:noWrap/>
            <w:vAlign w:val="center"/>
            <w:hideMark/>
          </w:tcPr>
          <w:p w14:paraId="070323CF" w14:textId="77777777" w:rsidR="00054952" w:rsidRPr="00E743F9" w:rsidRDefault="00054952" w:rsidP="00A271C0">
            <w:pPr>
              <w:rPr>
                <w:sz w:val="18"/>
                <w:szCs w:val="18"/>
              </w:rPr>
            </w:pPr>
            <w:r w:rsidRPr="00E743F9">
              <w:rPr>
                <w:sz w:val="18"/>
                <w:szCs w:val="18"/>
              </w:rPr>
              <w:t>Season</w:t>
            </w:r>
          </w:p>
        </w:tc>
        <w:tc>
          <w:tcPr>
            <w:tcW w:w="4541" w:type="dxa"/>
            <w:gridSpan w:val="2"/>
            <w:tcBorders>
              <w:top w:val="single" w:sz="4" w:space="0" w:color="auto"/>
              <w:left w:val="nil"/>
              <w:bottom w:val="single" w:sz="4" w:space="0" w:color="auto"/>
              <w:right w:val="nil"/>
            </w:tcBorders>
            <w:shd w:val="clear" w:color="auto" w:fill="E2EFD9" w:themeFill="accent6" w:themeFillTint="33"/>
            <w:vAlign w:val="center"/>
            <w:hideMark/>
          </w:tcPr>
          <w:p w14:paraId="1E81767F" w14:textId="584E2597" w:rsidR="00054952" w:rsidRPr="00E743F9" w:rsidRDefault="00054952" w:rsidP="00703973">
            <w:pPr>
              <w:jc w:val="center"/>
              <w:rPr>
                <w:sz w:val="18"/>
                <w:szCs w:val="18"/>
              </w:rPr>
            </w:pPr>
            <w:r w:rsidRPr="00E743F9">
              <w:rPr>
                <w:sz w:val="18"/>
                <w:szCs w:val="18"/>
              </w:rPr>
              <w:t xml:space="preserve">Average </w:t>
            </w:r>
            <w:r w:rsidR="00F56073" w:rsidRPr="00E743F9">
              <w:rPr>
                <w:sz w:val="18"/>
                <w:szCs w:val="18"/>
              </w:rPr>
              <w:t xml:space="preserve">Milk Production per Goat per Day </w:t>
            </w:r>
            <w:r w:rsidRPr="00E743F9">
              <w:rPr>
                <w:sz w:val="18"/>
                <w:szCs w:val="18"/>
              </w:rPr>
              <w:t>(</w:t>
            </w:r>
            <w:r w:rsidR="00F56073" w:rsidRPr="00E743F9">
              <w:rPr>
                <w:sz w:val="18"/>
                <w:szCs w:val="18"/>
              </w:rPr>
              <w:t>L</w:t>
            </w:r>
            <w:r w:rsidRPr="00E743F9">
              <w:rPr>
                <w:sz w:val="18"/>
                <w:szCs w:val="18"/>
              </w:rPr>
              <w:t>itres)</w:t>
            </w:r>
          </w:p>
        </w:tc>
      </w:tr>
      <w:tr w:rsidR="006B42D6" w:rsidRPr="00E743F9" w14:paraId="7C711AD8" w14:textId="77777777" w:rsidTr="001A31F1">
        <w:trPr>
          <w:trHeight w:val="283"/>
        </w:trPr>
        <w:tc>
          <w:tcPr>
            <w:tcW w:w="2547" w:type="dxa"/>
            <w:vMerge/>
            <w:tcBorders>
              <w:top w:val="single" w:sz="4" w:space="0" w:color="auto"/>
              <w:left w:val="nil"/>
              <w:bottom w:val="single" w:sz="4" w:space="0" w:color="000000"/>
              <w:right w:val="nil"/>
            </w:tcBorders>
            <w:shd w:val="clear" w:color="auto" w:fill="E2EFD9" w:themeFill="accent6" w:themeFillTint="33"/>
            <w:vAlign w:val="center"/>
            <w:hideMark/>
          </w:tcPr>
          <w:p w14:paraId="40BBD4E8" w14:textId="77777777" w:rsidR="00054952" w:rsidRPr="00E743F9" w:rsidRDefault="00054952" w:rsidP="00A271C0">
            <w:pPr>
              <w:rPr>
                <w:sz w:val="18"/>
                <w:szCs w:val="18"/>
              </w:rPr>
            </w:pPr>
          </w:p>
        </w:tc>
        <w:tc>
          <w:tcPr>
            <w:tcW w:w="1816" w:type="dxa"/>
            <w:tcBorders>
              <w:top w:val="nil"/>
              <w:left w:val="nil"/>
              <w:bottom w:val="single" w:sz="4" w:space="0" w:color="auto"/>
              <w:right w:val="nil"/>
            </w:tcBorders>
            <w:shd w:val="clear" w:color="auto" w:fill="E2EFD9" w:themeFill="accent6" w:themeFillTint="33"/>
            <w:noWrap/>
            <w:vAlign w:val="center"/>
            <w:hideMark/>
          </w:tcPr>
          <w:p w14:paraId="00E3929D" w14:textId="5C357B9B" w:rsidR="00054952" w:rsidRPr="00E743F9" w:rsidRDefault="00EA1552" w:rsidP="00A271C0">
            <w:pPr>
              <w:rPr>
                <w:sz w:val="18"/>
                <w:szCs w:val="18"/>
              </w:rPr>
            </w:pPr>
            <w:r w:rsidRPr="00E743F9">
              <w:rPr>
                <w:sz w:val="18"/>
                <w:szCs w:val="18"/>
              </w:rPr>
              <w:t>Mainland Tanzania</w:t>
            </w:r>
          </w:p>
        </w:tc>
        <w:tc>
          <w:tcPr>
            <w:tcW w:w="2725" w:type="dxa"/>
            <w:tcBorders>
              <w:top w:val="nil"/>
              <w:left w:val="nil"/>
              <w:bottom w:val="single" w:sz="4" w:space="0" w:color="auto"/>
              <w:right w:val="nil"/>
            </w:tcBorders>
            <w:shd w:val="clear" w:color="auto" w:fill="E2EFD9" w:themeFill="accent6" w:themeFillTint="33"/>
            <w:vAlign w:val="center"/>
            <w:hideMark/>
          </w:tcPr>
          <w:p w14:paraId="357C4BB4" w14:textId="2079C486" w:rsidR="00054952" w:rsidRPr="00E743F9" w:rsidRDefault="000D4D71" w:rsidP="00703973">
            <w:pPr>
              <w:jc w:val="center"/>
              <w:rPr>
                <w:sz w:val="18"/>
                <w:szCs w:val="18"/>
              </w:rPr>
            </w:pPr>
            <w:r w:rsidRPr="00E743F9">
              <w:rPr>
                <w:sz w:val="18"/>
                <w:szCs w:val="18"/>
              </w:rPr>
              <w:t xml:space="preserve">Tanzania </w:t>
            </w:r>
            <w:r w:rsidR="00054952" w:rsidRPr="00E743F9">
              <w:rPr>
                <w:sz w:val="18"/>
                <w:szCs w:val="18"/>
              </w:rPr>
              <w:t>Zanzibar</w:t>
            </w:r>
          </w:p>
        </w:tc>
      </w:tr>
      <w:tr w:rsidR="006B42D6" w:rsidRPr="00E743F9" w14:paraId="7343701A" w14:textId="77777777" w:rsidTr="001A31F1">
        <w:trPr>
          <w:trHeight w:val="340"/>
        </w:trPr>
        <w:tc>
          <w:tcPr>
            <w:tcW w:w="2547" w:type="dxa"/>
            <w:tcBorders>
              <w:top w:val="nil"/>
              <w:left w:val="nil"/>
              <w:bottom w:val="nil"/>
              <w:right w:val="nil"/>
            </w:tcBorders>
            <w:shd w:val="clear" w:color="auto" w:fill="auto"/>
            <w:noWrap/>
            <w:vAlign w:val="center"/>
            <w:hideMark/>
          </w:tcPr>
          <w:p w14:paraId="1A1FCFB3" w14:textId="77777777" w:rsidR="00054952" w:rsidRPr="00E743F9" w:rsidRDefault="00054952" w:rsidP="00A271C0">
            <w:pPr>
              <w:rPr>
                <w:sz w:val="18"/>
                <w:szCs w:val="18"/>
              </w:rPr>
            </w:pPr>
            <w:r w:rsidRPr="00E743F9">
              <w:rPr>
                <w:sz w:val="18"/>
                <w:szCs w:val="18"/>
              </w:rPr>
              <w:t>Wet Season</w:t>
            </w:r>
          </w:p>
        </w:tc>
        <w:tc>
          <w:tcPr>
            <w:tcW w:w="1816" w:type="dxa"/>
            <w:tcBorders>
              <w:top w:val="nil"/>
              <w:left w:val="nil"/>
              <w:bottom w:val="nil"/>
              <w:right w:val="nil"/>
            </w:tcBorders>
            <w:shd w:val="clear" w:color="auto" w:fill="auto"/>
            <w:noWrap/>
            <w:vAlign w:val="center"/>
            <w:hideMark/>
          </w:tcPr>
          <w:p w14:paraId="516FC9FD" w14:textId="77777777" w:rsidR="00054952" w:rsidRPr="00E743F9" w:rsidRDefault="00054952" w:rsidP="001A31F1">
            <w:pPr>
              <w:jc w:val="center"/>
              <w:rPr>
                <w:sz w:val="18"/>
                <w:szCs w:val="18"/>
              </w:rPr>
            </w:pPr>
            <w:r w:rsidRPr="00E743F9">
              <w:rPr>
                <w:sz w:val="18"/>
                <w:szCs w:val="18"/>
              </w:rPr>
              <w:t>3</w:t>
            </w:r>
          </w:p>
        </w:tc>
        <w:tc>
          <w:tcPr>
            <w:tcW w:w="2725" w:type="dxa"/>
            <w:tcBorders>
              <w:top w:val="nil"/>
              <w:left w:val="nil"/>
              <w:bottom w:val="nil"/>
              <w:right w:val="nil"/>
            </w:tcBorders>
            <w:shd w:val="clear" w:color="auto" w:fill="auto"/>
            <w:noWrap/>
            <w:vAlign w:val="center"/>
            <w:hideMark/>
          </w:tcPr>
          <w:p w14:paraId="48A4BF15" w14:textId="77777777" w:rsidR="00054952" w:rsidRPr="00E743F9" w:rsidRDefault="00054952" w:rsidP="001A31F1">
            <w:pPr>
              <w:jc w:val="center"/>
              <w:rPr>
                <w:sz w:val="18"/>
                <w:szCs w:val="18"/>
              </w:rPr>
            </w:pPr>
            <w:r w:rsidRPr="00E743F9">
              <w:rPr>
                <w:sz w:val="18"/>
                <w:szCs w:val="18"/>
              </w:rPr>
              <w:t>2</w:t>
            </w:r>
          </w:p>
        </w:tc>
      </w:tr>
      <w:tr w:rsidR="00054952" w:rsidRPr="00E743F9" w14:paraId="5851F7B1" w14:textId="77777777" w:rsidTr="001A31F1">
        <w:trPr>
          <w:trHeight w:val="340"/>
        </w:trPr>
        <w:tc>
          <w:tcPr>
            <w:tcW w:w="2547" w:type="dxa"/>
            <w:tcBorders>
              <w:top w:val="nil"/>
              <w:left w:val="nil"/>
              <w:bottom w:val="single" w:sz="4" w:space="0" w:color="auto"/>
              <w:right w:val="nil"/>
            </w:tcBorders>
            <w:shd w:val="clear" w:color="auto" w:fill="auto"/>
            <w:noWrap/>
            <w:vAlign w:val="center"/>
            <w:hideMark/>
          </w:tcPr>
          <w:p w14:paraId="7D308FBA" w14:textId="77777777" w:rsidR="00054952" w:rsidRPr="00E743F9" w:rsidRDefault="00054952" w:rsidP="00A271C0">
            <w:pPr>
              <w:rPr>
                <w:sz w:val="18"/>
                <w:szCs w:val="18"/>
              </w:rPr>
            </w:pPr>
            <w:r w:rsidRPr="00E743F9">
              <w:rPr>
                <w:sz w:val="18"/>
                <w:szCs w:val="18"/>
              </w:rPr>
              <w:t>Dry Season</w:t>
            </w:r>
          </w:p>
        </w:tc>
        <w:tc>
          <w:tcPr>
            <w:tcW w:w="1816" w:type="dxa"/>
            <w:tcBorders>
              <w:top w:val="nil"/>
              <w:left w:val="nil"/>
              <w:bottom w:val="single" w:sz="4" w:space="0" w:color="auto"/>
              <w:right w:val="nil"/>
            </w:tcBorders>
            <w:shd w:val="clear" w:color="auto" w:fill="auto"/>
            <w:noWrap/>
            <w:vAlign w:val="center"/>
            <w:hideMark/>
          </w:tcPr>
          <w:p w14:paraId="4B06BD31" w14:textId="77777777" w:rsidR="00054952" w:rsidRPr="00E743F9" w:rsidRDefault="00054952" w:rsidP="001A31F1">
            <w:pPr>
              <w:jc w:val="center"/>
              <w:rPr>
                <w:sz w:val="18"/>
                <w:szCs w:val="18"/>
              </w:rPr>
            </w:pPr>
            <w:r w:rsidRPr="00E743F9">
              <w:rPr>
                <w:sz w:val="18"/>
                <w:szCs w:val="18"/>
              </w:rPr>
              <w:t>3</w:t>
            </w:r>
          </w:p>
        </w:tc>
        <w:tc>
          <w:tcPr>
            <w:tcW w:w="2725" w:type="dxa"/>
            <w:tcBorders>
              <w:top w:val="nil"/>
              <w:left w:val="nil"/>
              <w:bottom w:val="single" w:sz="4" w:space="0" w:color="auto"/>
              <w:right w:val="nil"/>
            </w:tcBorders>
            <w:shd w:val="clear" w:color="auto" w:fill="auto"/>
            <w:noWrap/>
            <w:vAlign w:val="center"/>
            <w:hideMark/>
          </w:tcPr>
          <w:p w14:paraId="5C94ECEC" w14:textId="77777777" w:rsidR="00054952" w:rsidRPr="00E743F9" w:rsidRDefault="00054952" w:rsidP="001A31F1">
            <w:pPr>
              <w:jc w:val="center"/>
              <w:rPr>
                <w:sz w:val="18"/>
                <w:szCs w:val="18"/>
              </w:rPr>
            </w:pPr>
            <w:r w:rsidRPr="00E743F9">
              <w:rPr>
                <w:sz w:val="18"/>
                <w:szCs w:val="18"/>
              </w:rPr>
              <w:t>3</w:t>
            </w:r>
          </w:p>
        </w:tc>
      </w:tr>
    </w:tbl>
    <w:p w14:paraId="2685D33E" w14:textId="77777777" w:rsidR="00A26C28" w:rsidRPr="006B42D6" w:rsidRDefault="00A26C28" w:rsidP="00A26C28"/>
    <w:p w14:paraId="352C5B7F" w14:textId="7BAF763F" w:rsidR="00054952" w:rsidRDefault="00A26C28" w:rsidP="000C32CB">
      <w:r w:rsidRPr="006B42D6">
        <w:t xml:space="preserve">In </w:t>
      </w:r>
      <w:r w:rsidR="00EA1552">
        <w:rPr>
          <w:lang w:eastAsia="en-GB"/>
        </w:rPr>
        <w:t>Mainland Tanzania</w:t>
      </w:r>
      <w:r w:rsidRPr="006B42D6">
        <w:t>, Arusha region had the highest production of milk (11,671,725 litres; 55.1 percent), followed by Manyara (2,941,877 litres; 13.9 percent) and Kilim</w:t>
      </w:r>
      <w:r w:rsidR="0048652C">
        <w:t>a</w:t>
      </w:r>
      <w:r w:rsidRPr="006B42D6">
        <w:t xml:space="preserve">njaro (2,457,317 litres; 11.6 percent). The least </w:t>
      </w:r>
      <w:r w:rsidR="00443CEE">
        <w:t xml:space="preserve">goat milk </w:t>
      </w:r>
      <w:r w:rsidRPr="006B42D6">
        <w:t xml:space="preserve">production was reported in Dar </w:t>
      </w:r>
      <w:r w:rsidR="0048652C">
        <w:t>E</w:t>
      </w:r>
      <w:r w:rsidRPr="006B42D6">
        <w:t xml:space="preserve">s </w:t>
      </w:r>
      <w:r w:rsidR="00443CEE">
        <w:t>S</w:t>
      </w:r>
      <w:r w:rsidRPr="006B42D6">
        <w:t xml:space="preserve">alaam region (43,865 litres; 0.2 percent). Whilst in </w:t>
      </w:r>
      <w:r w:rsidR="000D4D71" w:rsidRPr="006B42D6">
        <w:rPr>
          <w:lang w:eastAsia="en-GB"/>
        </w:rPr>
        <w:t xml:space="preserve">Tanzania </w:t>
      </w:r>
      <w:r w:rsidRPr="006B42D6">
        <w:t xml:space="preserve">Zanzibar production of goat milk was reported in Kusini Unguja </w:t>
      </w:r>
      <w:r w:rsidR="0048652C" w:rsidRPr="006B42D6">
        <w:t xml:space="preserve">only </w:t>
      </w:r>
      <w:r w:rsidRPr="006B42D6">
        <w:t xml:space="preserve">(112,702 litres) (Map </w:t>
      </w:r>
      <w:r w:rsidR="00054952" w:rsidRPr="006B42D6">
        <w:t>4.10</w:t>
      </w:r>
      <w:r w:rsidRPr="006B42D6">
        <w:t>)</w:t>
      </w:r>
      <w:r w:rsidR="00054952" w:rsidRPr="006B42D6">
        <w:t>.</w:t>
      </w:r>
    </w:p>
    <w:p w14:paraId="0D65A599" w14:textId="77777777" w:rsidR="00DE782F" w:rsidRDefault="00DE782F" w:rsidP="004F44FE">
      <w:pPr>
        <w:rPr>
          <w:rStyle w:val="BookTitle"/>
          <w:color w:val="auto"/>
        </w:rPr>
      </w:pPr>
    </w:p>
    <w:p w14:paraId="343DA19F" w14:textId="63A08579" w:rsidR="00A26C28" w:rsidRPr="004F02DC" w:rsidRDefault="00A26C28" w:rsidP="00E743F9">
      <w:pPr>
        <w:pStyle w:val="MapNew"/>
        <w:ind w:left="1140" w:right="284" w:hanging="1140"/>
      </w:pPr>
      <w:bookmarkStart w:id="585" w:name="_Toc80902565"/>
      <w:bookmarkStart w:id="586" w:name="_Toc82386483"/>
      <w:r w:rsidRPr="004F02DC">
        <w:t xml:space="preserve">Map </w:t>
      </w:r>
      <w:r w:rsidR="00054952" w:rsidRPr="004F02DC">
        <w:t>4.10</w:t>
      </w:r>
      <w:r w:rsidR="006F1E6B" w:rsidRPr="004F02DC">
        <w:t>:</w:t>
      </w:r>
      <w:r w:rsidR="006F1E6B" w:rsidRPr="004F02DC">
        <w:tab/>
      </w:r>
      <w:r w:rsidRPr="004F02DC">
        <w:t>Goat Milk Production</w:t>
      </w:r>
      <w:r w:rsidR="004F02DC" w:rsidRPr="004F02DC">
        <w:t xml:space="preserve"> </w:t>
      </w:r>
      <w:r w:rsidR="004F02DC" w:rsidRPr="00D60716">
        <w:rPr>
          <w:bCs/>
        </w:rPr>
        <w:t>Reported by Smallholders</w:t>
      </w:r>
      <w:r w:rsidRPr="004F02DC">
        <w:t xml:space="preserve"> by Region During 2019/20 Agricultural Year</w:t>
      </w:r>
      <w:r w:rsidR="00E72AAA" w:rsidRPr="004F02DC">
        <w:t>, Tanzania</w:t>
      </w:r>
      <w:bookmarkEnd w:id="585"/>
      <w:bookmarkEnd w:id="586"/>
    </w:p>
    <w:p w14:paraId="0C25EA77" w14:textId="46F68C21" w:rsidR="00A26C28" w:rsidRDefault="00890203" w:rsidP="00A26C28">
      <w:pPr>
        <w:tabs>
          <w:tab w:val="left" w:pos="540"/>
        </w:tabs>
      </w:pPr>
      <w:r>
        <w:rPr>
          <w:noProof/>
        </w:rPr>
        <w:drawing>
          <wp:inline distT="0" distB="0" distL="0" distR="0" wp14:anchorId="7B6AAF51" wp14:editId="1A8F1260">
            <wp:extent cx="5849007" cy="4221480"/>
            <wp:effectExtent l="0" t="0" r="5715" b="0"/>
            <wp:docPr id="4437" name="Picture 4437"/>
            <wp:cNvGraphicFramePr/>
            <a:graphic xmlns:a="http://schemas.openxmlformats.org/drawingml/2006/main">
              <a:graphicData uri="http://schemas.openxmlformats.org/drawingml/2006/picture">
                <pic:pic xmlns:pic="http://schemas.openxmlformats.org/drawingml/2006/picture">
                  <pic:nvPicPr>
                    <pic:cNvPr id="4437" name="Picture 4437"/>
                    <pic:cNvPicPr/>
                  </pic:nvPicPr>
                  <pic:blipFill>
                    <a:blip r:embed="rId285"/>
                    <a:stretch>
                      <a:fillRect/>
                    </a:stretch>
                  </pic:blipFill>
                  <pic:spPr>
                    <a:xfrm>
                      <a:off x="0" y="0"/>
                      <a:ext cx="5855779" cy="4226368"/>
                    </a:xfrm>
                    <a:prstGeom prst="rect">
                      <a:avLst/>
                    </a:prstGeom>
                  </pic:spPr>
                </pic:pic>
              </a:graphicData>
            </a:graphic>
          </wp:inline>
        </w:drawing>
      </w:r>
    </w:p>
    <w:p w14:paraId="3948444C" w14:textId="7DC0AAC3" w:rsidR="00E743F9" w:rsidRDefault="00E743F9">
      <w:pPr>
        <w:spacing w:line="240" w:lineRule="auto"/>
        <w:contextualSpacing w:val="0"/>
        <w:jc w:val="left"/>
      </w:pPr>
      <w:r>
        <w:br w:type="page"/>
      </w:r>
    </w:p>
    <w:p w14:paraId="426BCDE3" w14:textId="1D500A6A" w:rsidR="00A26C28" w:rsidRPr="006B42D6" w:rsidRDefault="002523B0" w:rsidP="002523B0">
      <w:pPr>
        <w:pStyle w:val="Heading3"/>
      </w:pPr>
      <w:bookmarkStart w:id="587" w:name="_Toc82385749"/>
      <w:r w:rsidRPr="006B42D6">
        <w:lastRenderedPageBreak/>
        <w:t>4.</w:t>
      </w:r>
      <w:r w:rsidR="00C4159B">
        <w:t>3</w:t>
      </w:r>
      <w:r w:rsidRPr="006B42D6">
        <w:t>.2</w:t>
      </w:r>
      <w:r w:rsidRPr="006B42D6">
        <w:tab/>
      </w:r>
      <w:r w:rsidR="00A26C28" w:rsidRPr="006B42D6">
        <w:t>Chicken Eggs Production</w:t>
      </w:r>
      <w:bookmarkEnd w:id="587"/>
      <w:r w:rsidR="00A26C28" w:rsidRPr="006B42D6">
        <w:t xml:space="preserve"> </w:t>
      </w:r>
    </w:p>
    <w:p w14:paraId="1FD3BFBA" w14:textId="14E839DF" w:rsidR="00A26C28" w:rsidRPr="006B42D6" w:rsidRDefault="00A26C28" w:rsidP="00A26C28">
      <w:pPr>
        <w:tabs>
          <w:tab w:val="left" w:pos="540"/>
        </w:tabs>
      </w:pPr>
      <w:r w:rsidRPr="006B42D6">
        <w:t>The results show that, the total eggs production was 4,37</w:t>
      </w:r>
      <w:r w:rsidR="00A4195E" w:rsidRPr="006B42D6">
        <w:t>5</w:t>
      </w:r>
      <w:r w:rsidRPr="006B42D6">
        <w:t>,</w:t>
      </w:r>
      <w:r w:rsidR="00A4195E" w:rsidRPr="006B42D6">
        <w:t>888</w:t>
      </w:r>
      <w:r w:rsidRPr="006B42D6">
        <w:t>,</w:t>
      </w:r>
      <w:r w:rsidR="00A4195E" w:rsidRPr="006B42D6">
        <w:t>580</w:t>
      </w:r>
      <w:r w:rsidRPr="006B42D6">
        <w:t xml:space="preserve"> of which 4,2</w:t>
      </w:r>
      <w:r w:rsidR="00A4195E" w:rsidRPr="006B42D6">
        <w:t>80</w:t>
      </w:r>
      <w:r w:rsidRPr="006B42D6">
        <w:t>,</w:t>
      </w:r>
      <w:r w:rsidR="00A4195E" w:rsidRPr="006B42D6">
        <w:t>616</w:t>
      </w:r>
      <w:r w:rsidRPr="006B42D6">
        <w:t>,</w:t>
      </w:r>
      <w:r w:rsidR="00A4195E" w:rsidRPr="006B42D6">
        <w:t>938</w:t>
      </w:r>
      <w:r w:rsidRPr="006B42D6">
        <w:t xml:space="preserve"> (97.8 percent) were from smallholder farmers and 95,271,642 (2.2 percent) from large scale farms. Out of the total eggs from the smallholder farmers</w:t>
      </w:r>
      <w:r w:rsidR="00E72AAA" w:rsidRPr="006B42D6">
        <w:t>,</w:t>
      </w:r>
      <w:r w:rsidRPr="006B42D6">
        <w:t xml:space="preserve"> 4,05</w:t>
      </w:r>
      <w:r w:rsidR="00A4195E" w:rsidRPr="006B42D6">
        <w:t>6</w:t>
      </w:r>
      <w:r w:rsidRPr="006B42D6">
        <w:t>,</w:t>
      </w:r>
      <w:r w:rsidR="00A4195E" w:rsidRPr="006B42D6">
        <w:t>838</w:t>
      </w:r>
      <w:r w:rsidRPr="006B42D6">
        <w:t>,</w:t>
      </w:r>
      <w:r w:rsidR="00A4195E" w:rsidRPr="006B42D6">
        <w:t>638</w:t>
      </w:r>
      <w:r w:rsidRPr="006B42D6">
        <w:t xml:space="preserve"> eggs were produced in </w:t>
      </w:r>
      <w:r w:rsidR="00EA1552">
        <w:rPr>
          <w:lang w:eastAsia="en-GB"/>
        </w:rPr>
        <w:t>Mainland Tanzania</w:t>
      </w:r>
      <w:r w:rsidRPr="006B42D6">
        <w:t xml:space="preserve"> and 223,</w:t>
      </w:r>
      <w:r w:rsidR="00A4195E" w:rsidRPr="006B42D6">
        <w:t>778</w:t>
      </w:r>
      <w:r w:rsidRPr="006B42D6">
        <w:t>,</w:t>
      </w:r>
      <w:r w:rsidR="00A4195E" w:rsidRPr="006B42D6">
        <w:t>30</w:t>
      </w:r>
      <w:r w:rsidRPr="006B42D6">
        <w:t xml:space="preserve">0 in </w:t>
      </w:r>
      <w:r w:rsidR="000D4D71" w:rsidRPr="006B42D6">
        <w:rPr>
          <w:lang w:eastAsia="en-GB"/>
        </w:rPr>
        <w:t xml:space="preserve">Tanzania </w:t>
      </w:r>
      <w:r w:rsidRPr="006B42D6">
        <w:t>Zanzibar. Mbeya region had the highest production of eggs (27</w:t>
      </w:r>
      <w:r w:rsidR="00A4195E" w:rsidRPr="006B42D6">
        <w:t>6</w:t>
      </w:r>
      <w:r w:rsidRPr="006B42D6">
        <w:t xml:space="preserve"> million; 6.7 percent), followed by Kagera 235 million (5.8 percent) and Dodoma 214 million (5.3 percent) eggs. The least production of eggs was recorded in Katavi region (36 million; 0.9 percent). The average price per egg was </w:t>
      </w:r>
      <w:r w:rsidR="002523B0" w:rsidRPr="006B42D6">
        <w:t xml:space="preserve">TZS </w:t>
      </w:r>
      <w:r w:rsidRPr="006B42D6">
        <w:t xml:space="preserve">319 while in </w:t>
      </w:r>
      <w:r w:rsidR="000D4D71" w:rsidRPr="006B42D6">
        <w:rPr>
          <w:lang w:eastAsia="en-GB"/>
        </w:rPr>
        <w:t xml:space="preserve">Tanzania </w:t>
      </w:r>
      <w:r w:rsidRPr="006B42D6">
        <w:t xml:space="preserve">Zanzibar, the average price was </w:t>
      </w:r>
      <w:r w:rsidR="002523B0" w:rsidRPr="006B42D6">
        <w:t xml:space="preserve">TZS </w:t>
      </w:r>
      <w:r w:rsidRPr="006B42D6">
        <w:t xml:space="preserve">365. The price ranged from a minimum of </w:t>
      </w:r>
      <w:r w:rsidR="002523B0" w:rsidRPr="006B42D6">
        <w:t xml:space="preserve">TZS </w:t>
      </w:r>
      <w:r w:rsidRPr="006B42D6">
        <w:t xml:space="preserve">241 per egg in Manyara region to a maximum of </w:t>
      </w:r>
      <w:r w:rsidR="002523B0" w:rsidRPr="006B42D6">
        <w:t xml:space="preserve">TZS </w:t>
      </w:r>
      <w:r w:rsidRPr="006B42D6">
        <w:t xml:space="preserve">501 in Dar es </w:t>
      </w:r>
      <w:r w:rsidR="002523B0" w:rsidRPr="006B42D6">
        <w:t>S</w:t>
      </w:r>
      <w:r w:rsidRPr="006B42D6">
        <w:t>alaam</w:t>
      </w:r>
      <w:r w:rsidR="00A4195E" w:rsidRPr="006B42D6">
        <w:t xml:space="preserve"> (Figure 4.30 &amp;</w:t>
      </w:r>
      <w:r w:rsidR="00E72AAA" w:rsidRPr="006B42D6">
        <w:t xml:space="preserve"> </w:t>
      </w:r>
      <w:r w:rsidR="00A4195E" w:rsidRPr="006B42D6">
        <w:t>4.31)</w:t>
      </w:r>
      <w:r w:rsidRPr="006B42D6">
        <w:t>.</w:t>
      </w:r>
    </w:p>
    <w:p w14:paraId="196EFF6A" w14:textId="77777777" w:rsidR="00A26C28" w:rsidRPr="006B42D6" w:rsidRDefault="00A26C28" w:rsidP="002523B0"/>
    <w:p w14:paraId="52494BDD" w14:textId="47C3A3FD" w:rsidR="00A26C28" w:rsidRPr="006B42D6" w:rsidRDefault="00A26C28" w:rsidP="00A26C28">
      <w:pPr>
        <w:pStyle w:val="Caption"/>
        <w:keepNext/>
        <w:rPr>
          <w:szCs w:val="20"/>
        </w:rPr>
      </w:pPr>
      <w:bookmarkStart w:id="588" w:name="_Toc82386401"/>
      <w:r w:rsidRPr="006B42D6">
        <w:rPr>
          <w:szCs w:val="20"/>
        </w:rPr>
        <w:t xml:space="preserve">Figure </w:t>
      </w:r>
      <w:r w:rsidR="002523B0" w:rsidRPr="006B42D6">
        <w:rPr>
          <w:szCs w:val="20"/>
        </w:rPr>
        <w:t>4.30</w:t>
      </w:r>
      <w:r w:rsidR="00C4159B">
        <w:rPr>
          <w:szCs w:val="20"/>
        </w:rPr>
        <w:t>:</w:t>
      </w:r>
      <w:r w:rsidR="00443CEE">
        <w:rPr>
          <w:szCs w:val="20"/>
        </w:rPr>
        <w:tab/>
      </w:r>
      <w:r w:rsidRPr="006B42D6">
        <w:rPr>
          <w:szCs w:val="20"/>
        </w:rPr>
        <w:t>Egg</w:t>
      </w:r>
      <w:r w:rsidR="00E72AAA" w:rsidRPr="006B42D6">
        <w:rPr>
          <w:szCs w:val="20"/>
        </w:rPr>
        <w:t>s</w:t>
      </w:r>
      <w:r w:rsidRPr="006B42D6">
        <w:rPr>
          <w:szCs w:val="20"/>
        </w:rPr>
        <w:t xml:space="preserve"> Production by Region During 2019/20 Agricultural Year</w:t>
      </w:r>
      <w:r w:rsidR="000D4D71" w:rsidRPr="006B42D6">
        <w:rPr>
          <w:szCs w:val="20"/>
        </w:rPr>
        <w:t>,</w:t>
      </w:r>
      <w:r w:rsidR="002523B0" w:rsidRPr="006B42D6">
        <w:rPr>
          <w:szCs w:val="20"/>
        </w:rPr>
        <w:t xml:space="preserve"> </w:t>
      </w:r>
      <w:r w:rsidR="00EA1552">
        <w:rPr>
          <w:szCs w:val="20"/>
        </w:rPr>
        <w:t>Mainland Tanzania</w:t>
      </w:r>
      <w:bookmarkEnd w:id="588"/>
    </w:p>
    <w:p w14:paraId="60F04CA0" w14:textId="20B241A8" w:rsidR="00A26C28" w:rsidRPr="006B42D6" w:rsidRDefault="001B26AC" w:rsidP="00A26C28">
      <w:pPr>
        <w:tabs>
          <w:tab w:val="left" w:pos="540"/>
        </w:tabs>
      </w:pPr>
      <w:r w:rsidRPr="006B42D6">
        <w:rPr>
          <w:noProof/>
        </w:rPr>
        <w:drawing>
          <wp:inline distT="0" distB="0" distL="0" distR="0" wp14:anchorId="1CFFB5D2" wp14:editId="68712499">
            <wp:extent cx="5652770" cy="2808605"/>
            <wp:effectExtent l="0" t="0" r="11430" b="10795"/>
            <wp:docPr id="54" name="Chart 9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6"/>
              </a:graphicData>
            </a:graphic>
          </wp:inline>
        </w:drawing>
      </w:r>
    </w:p>
    <w:p w14:paraId="74D71969" w14:textId="77777777" w:rsidR="00E743F9" w:rsidRDefault="00E743F9">
      <w:pPr>
        <w:spacing w:line="240" w:lineRule="auto"/>
        <w:contextualSpacing w:val="0"/>
        <w:jc w:val="left"/>
        <w:rPr>
          <w:b/>
        </w:rPr>
      </w:pPr>
      <w:r>
        <w:rPr>
          <w:iCs/>
        </w:rPr>
        <w:br w:type="page"/>
      </w:r>
    </w:p>
    <w:p w14:paraId="7A275D50" w14:textId="0DD6646B" w:rsidR="00A26C28" w:rsidRPr="006B42D6" w:rsidRDefault="00A26C28" w:rsidP="002523B0">
      <w:pPr>
        <w:pStyle w:val="Caption"/>
      </w:pPr>
      <w:bookmarkStart w:id="589" w:name="_Toc82386402"/>
      <w:r w:rsidRPr="006B42D6">
        <w:lastRenderedPageBreak/>
        <w:t xml:space="preserve">Figure </w:t>
      </w:r>
      <w:r w:rsidR="002523B0" w:rsidRPr="006B42D6">
        <w:t>4.31</w:t>
      </w:r>
      <w:r w:rsidR="00C4159B">
        <w:t>:</w:t>
      </w:r>
      <w:r w:rsidR="00443CEE">
        <w:tab/>
      </w:r>
      <w:r w:rsidR="00A4195E" w:rsidRPr="006B42D6">
        <w:t xml:space="preserve">Average Price of </w:t>
      </w:r>
      <w:r w:rsidR="00E72AAA" w:rsidRPr="006B42D6">
        <w:t xml:space="preserve">an </w:t>
      </w:r>
      <w:r w:rsidRPr="006B42D6">
        <w:t>Egg by Region</w:t>
      </w:r>
      <w:r w:rsidR="00E72AAA" w:rsidRPr="006B42D6">
        <w:t xml:space="preserve"> </w:t>
      </w:r>
      <w:r w:rsidR="00E72AAA" w:rsidRPr="006B42D6">
        <w:rPr>
          <w:szCs w:val="20"/>
        </w:rPr>
        <w:t>During 2019/20 Agricultural Year</w:t>
      </w:r>
      <w:r w:rsidR="000D4D71" w:rsidRPr="006B42D6">
        <w:t xml:space="preserve">, </w:t>
      </w:r>
      <w:r w:rsidR="00EA1552">
        <w:t>Mainland Tanzania</w:t>
      </w:r>
      <w:bookmarkEnd w:id="589"/>
    </w:p>
    <w:p w14:paraId="5333C5BD" w14:textId="0711B503" w:rsidR="00A26C28" w:rsidRPr="006B42D6" w:rsidRDefault="001B26AC" w:rsidP="00A26C28">
      <w:pPr>
        <w:tabs>
          <w:tab w:val="left" w:pos="540"/>
        </w:tabs>
      </w:pPr>
      <w:r w:rsidRPr="006B42D6">
        <w:rPr>
          <w:noProof/>
        </w:rPr>
        <w:drawing>
          <wp:inline distT="0" distB="0" distL="0" distR="0" wp14:anchorId="1052251C" wp14:editId="535FCA06">
            <wp:extent cx="5653377" cy="2783205"/>
            <wp:effectExtent l="0" t="0" r="11430" b="10795"/>
            <wp:docPr id="53" name="Chart 10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7"/>
              </a:graphicData>
            </a:graphic>
          </wp:inline>
        </w:drawing>
      </w:r>
    </w:p>
    <w:p w14:paraId="6694DBC8" w14:textId="77777777" w:rsidR="006F1E6B" w:rsidRDefault="006F1E6B" w:rsidP="00A26C28">
      <w:pPr>
        <w:tabs>
          <w:tab w:val="left" w:pos="540"/>
        </w:tabs>
      </w:pPr>
    </w:p>
    <w:p w14:paraId="0C875EB3" w14:textId="7A20DE8F" w:rsidR="00686C98" w:rsidRPr="006B42D6" w:rsidRDefault="00A26C28" w:rsidP="00871919">
      <w:pPr>
        <w:tabs>
          <w:tab w:val="left" w:pos="540"/>
        </w:tabs>
      </w:pPr>
      <w:r w:rsidRPr="006B42D6">
        <w:t xml:space="preserve">In </w:t>
      </w:r>
      <w:r w:rsidR="000D4D71" w:rsidRPr="006B42D6">
        <w:rPr>
          <w:lang w:eastAsia="en-GB"/>
        </w:rPr>
        <w:t xml:space="preserve">Tanzania </w:t>
      </w:r>
      <w:r w:rsidRPr="006B42D6">
        <w:t>Zanzibar</w:t>
      </w:r>
      <w:r w:rsidR="00A4195E" w:rsidRPr="006B42D6">
        <w:t>,</w:t>
      </w:r>
      <w:r w:rsidRPr="006B42D6">
        <w:t xml:space="preserve"> the production of eggs was higher in Mjini Magharibi region (77 million eggs; 34.6 percent), followed by Kaskazini Pemba (64 million eggs; 28.4 percent) and Kaskazini Unguja (29 million eggs; 13.1 percent) The least production was reported in Kusini Unguja (25 million eggs; 11.3 percent) (Figure </w:t>
      </w:r>
      <w:r w:rsidR="002523B0" w:rsidRPr="006B42D6">
        <w:t>4.32</w:t>
      </w:r>
      <w:r w:rsidRPr="006B42D6">
        <w:t xml:space="preserve">). </w:t>
      </w:r>
    </w:p>
    <w:p w14:paraId="6BEE58DE" w14:textId="77777777" w:rsidR="00C4159B" w:rsidRDefault="00C4159B" w:rsidP="00F56073">
      <w:pPr>
        <w:pStyle w:val="Caption"/>
      </w:pPr>
    </w:p>
    <w:p w14:paraId="6C0B0982" w14:textId="77C080F6" w:rsidR="00A26C28" w:rsidRPr="006B42D6" w:rsidRDefault="00A26C28" w:rsidP="00F56073">
      <w:pPr>
        <w:pStyle w:val="Caption"/>
      </w:pPr>
      <w:bookmarkStart w:id="590" w:name="_Toc82386403"/>
      <w:r w:rsidRPr="006B42D6">
        <w:t xml:space="preserve">Figure </w:t>
      </w:r>
      <w:r w:rsidR="002523B0" w:rsidRPr="006B42D6">
        <w:t>4.32</w:t>
      </w:r>
      <w:r w:rsidR="00C4159B">
        <w:t>:</w:t>
      </w:r>
      <w:r w:rsidR="00443CEE">
        <w:tab/>
      </w:r>
      <w:r w:rsidRPr="006B42D6">
        <w:t>Egg</w:t>
      </w:r>
      <w:r w:rsidR="00E72AAA" w:rsidRPr="006B42D6">
        <w:t>s</w:t>
      </w:r>
      <w:r w:rsidRPr="006B42D6">
        <w:t xml:space="preserve"> Production by Region</w:t>
      </w:r>
      <w:r w:rsidR="00E72AAA" w:rsidRPr="006B42D6">
        <w:t xml:space="preserve"> During 2019/20 Agricultural Year, Tanzania</w:t>
      </w:r>
      <w:r w:rsidRPr="006B42D6">
        <w:t xml:space="preserve"> Zanzibar</w:t>
      </w:r>
      <w:bookmarkEnd w:id="590"/>
    </w:p>
    <w:p w14:paraId="7E78A4A1" w14:textId="41E7B3ED" w:rsidR="00A26C28" w:rsidRPr="006B42D6" w:rsidRDefault="001B26AC" w:rsidP="00A26C28">
      <w:pPr>
        <w:tabs>
          <w:tab w:val="left" w:pos="540"/>
        </w:tabs>
      </w:pPr>
      <w:r w:rsidRPr="006B42D6">
        <w:rPr>
          <w:noProof/>
        </w:rPr>
        <w:drawing>
          <wp:inline distT="0" distB="0" distL="0" distR="0" wp14:anchorId="184DEB6D" wp14:editId="026A9E9C">
            <wp:extent cx="5160396" cy="2853690"/>
            <wp:effectExtent l="0" t="0" r="8890" b="16510"/>
            <wp:docPr id="52" name="Chart 1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8"/>
              </a:graphicData>
            </a:graphic>
          </wp:inline>
        </w:drawing>
      </w:r>
    </w:p>
    <w:p w14:paraId="75509D9C" w14:textId="5A07095C" w:rsidR="00871919" w:rsidRDefault="00871919">
      <w:pPr>
        <w:spacing w:line="240" w:lineRule="auto"/>
        <w:contextualSpacing w:val="0"/>
        <w:jc w:val="left"/>
      </w:pPr>
      <w:r>
        <w:br w:type="page"/>
      </w:r>
    </w:p>
    <w:p w14:paraId="30BB63E2" w14:textId="3750BAF5" w:rsidR="00A26C28" w:rsidRPr="006B42D6" w:rsidRDefault="00A26C28" w:rsidP="00A26C28">
      <w:pPr>
        <w:tabs>
          <w:tab w:val="left" w:pos="540"/>
        </w:tabs>
      </w:pPr>
      <w:r w:rsidRPr="006B42D6">
        <w:lastRenderedPageBreak/>
        <w:t xml:space="preserve">The minimum price per egg was </w:t>
      </w:r>
      <w:r w:rsidR="00F56073" w:rsidRPr="006B42D6">
        <w:t xml:space="preserve">TZS </w:t>
      </w:r>
      <w:r w:rsidRPr="006B42D6">
        <w:t xml:space="preserve">351 in Kusini Pemba region and Kaskazini Unguja, and the maximum was </w:t>
      </w:r>
      <w:r w:rsidR="00F56073" w:rsidRPr="006B42D6">
        <w:t xml:space="preserve">TZS </w:t>
      </w:r>
      <w:r w:rsidRPr="006B42D6">
        <w:t xml:space="preserve">410 in Kaskazini Pemba (Figure </w:t>
      </w:r>
      <w:r w:rsidR="00A4195E" w:rsidRPr="006B42D6">
        <w:t>4.33</w:t>
      </w:r>
      <w:r w:rsidRPr="006B42D6">
        <w:t>)</w:t>
      </w:r>
      <w:r w:rsidR="00A4195E" w:rsidRPr="006B42D6">
        <w:t>.</w:t>
      </w:r>
    </w:p>
    <w:p w14:paraId="1FF39278" w14:textId="77777777" w:rsidR="00A26C28" w:rsidRPr="006B42D6" w:rsidRDefault="00A26C28" w:rsidP="000B4646">
      <w:pPr>
        <w:tabs>
          <w:tab w:val="left" w:pos="540"/>
        </w:tabs>
        <w:spacing w:line="240" w:lineRule="auto"/>
      </w:pPr>
    </w:p>
    <w:p w14:paraId="5E46D65D" w14:textId="31CE3B61" w:rsidR="00A26C28" w:rsidRPr="006B42D6" w:rsidRDefault="00A26C28" w:rsidP="00F56073">
      <w:pPr>
        <w:pStyle w:val="Caption"/>
      </w:pPr>
      <w:bookmarkStart w:id="591" w:name="_Toc82386404"/>
      <w:r w:rsidRPr="006B42D6">
        <w:t xml:space="preserve">Figure </w:t>
      </w:r>
      <w:r w:rsidR="00A4195E" w:rsidRPr="006B42D6">
        <w:t>4.33</w:t>
      </w:r>
      <w:r w:rsidR="00C4159B">
        <w:t>:</w:t>
      </w:r>
      <w:r w:rsidR="00443CEE">
        <w:tab/>
      </w:r>
      <w:r w:rsidRPr="006B42D6">
        <w:t xml:space="preserve">Average Price </w:t>
      </w:r>
      <w:r w:rsidR="00A4195E" w:rsidRPr="006B42D6">
        <w:t xml:space="preserve">of </w:t>
      </w:r>
      <w:r w:rsidR="00E72AAA" w:rsidRPr="006B42D6">
        <w:t xml:space="preserve">an </w:t>
      </w:r>
      <w:r w:rsidR="00A4195E" w:rsidRPr="006B42D6">
        <w:t xml:space="preserve">Egg </w:t>
      </w:r>
      <w:r w:rsidRPr="006B42D6">
        <w:t>by Region</w:t>
      </w:r>
      <w:r w:rsidR="00E72AAA" w:rsidRPr="006B42D6">
        <w:t xml:space="preserve"> During 2019/20 Agricultural Year</w:t>
      </w:r>
      <w:r w:rsidR="000D4D71" w:rsidRPr="006B42D6">
        <w:t>, Tanzania</w:t>
      </w:r>
      <w:r w:rsidRPr="006B42D6">
        <w:t xml:space="preserve"> Zanzibar</w:t>
      </w:r>
      <w:bookmarkEnd w:id="591"/>
    </w:p>
    <w:p w14:paraId="5E9AA6A5" w14:textId="0461F1A3" w:rsidR="00A26C28" w:rsidRPr="006B42D6" w:rsidRDefault="001B26AC" w:rsidP="00A26C28">
      <w:pPr>
        <w:tabs>
          <w:tab w:val="left" w:pos="540"/>
        </w:tabs>
      </w:pPr>
      <w:r w:rsidRPr="006B42D6">
        <w:rPr>
          <w:noProof/>
        </w:rPr>
        <w:drawing>
          <wp:inline distT="0" distB="0" distL="0" distR="0" wp14:anchorId="35F6E630" wp14:editId="5D3A531E">
            <wp:extent cx="5113867" cy="2758440"/>
            <wp:effectExtent l="0" t="0" r="17145" b="10160"/>
            <wp:docPr id="51" name="Chart 5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9"/>
              </a:graphicData>
            </a:graphic>
          </wp:inline>
        </w:drawing>
      </w:r>
    </w:p>
    <w:p w14:paraId="46CFD236" w14:textId="77777777" w:rsidR="000C32CB" w:rsidRPr="006B42D6" w:rsidRDefault="000C32CB" w:rsidP="00A26C28">
      <w:pPr>
        <w:tabs>
          <w:tab w:val="left" w:pos="540"/>
        </w:tabs>
        <w:rPr>
          <w:b/>
        </w:rPr>
      </w:pPr>
    </w:p>
    <w:p w14:paraId="5989683B" w14:textId="668EF6AB" w:rsidR="00A26C28" w:rsidRPr="006B42D6" w:rsidRDefault="00A4195E" w:rsidP="00A4195E">
      <w:pPr>
        <w:pStyle w:val="Heading3"/>
      </w:pPr>
      <w:bookmarkStart w:id="592" w:name="_Toc82385750"/>
      <w:r w:rsidRPr="006B42D6">
        <w:t>4.</w:t>
      </w:r>
      <w:r w:rsidR="00C4159B">
        <w:t>3</w:t>
      </w:r>
      <w:r w:rsidRPr="006B42D6">
        <w:t>.3</w:t>
      </w:r>
      <w:r w:rsidRPr="006B42D6">
        <w:tab/>
      </w:r>
      <w:r w:rsidR="00A26C28" w:rsidRPr="006B42D6">
        <w:t>Hides and Skins</w:t>
      </w:r>
      <w:bookmarkEnd w:id="592"/>
    </w:p>
    <w:p w14:paraId="052D92F6" w14:textId="1488307C" w:rsidR="00A26C28" w:rsidRDefault="00246D13" w:rsidP="000C32CB">
      <w:pPr>
        <w:rPr>
          <w:rFonts w:eastAsia="Calibri"/>
        </w:rPr>
      </w:pPr>
      <w:r w:rsidRPr="006B42D6">
        <w:rPr>
          <w:rFonts w:eastAsia="Calibri"/>
        </w:rPr>
        <w:t>Production of h</w:t>
      </w:r>
      <w:r w:rsidR="00A26C28" w:rsidRPr="006B42D6">
        <w:rPr>
          <w:rFonts w:eastAsia="Calibri"/>
        </w:rPr>
        <w:t>ides and skins were among the livestock products information collected during the 2019/20</w:t>
      </w:r>
      <w:r w:rsidR="00F30991" w:rsidRPr="006B42D6">
        <w:rPr>
          <w:rFonts w:eastAsia="Calibri"/>
        </w:rPr>
        <w:t xml:space="preserve"> </w:t>
      </w:r>
      <w:r w:rsidR="000C32CB">
        <w:rPr>
          <w:rFonts w:eastAsia="Calibri"/>
        </w:rPr>
        <w:t>a</w:t>
      </w:r>
      <w:r w:rsidR="00F30991" w:rsidRPr="006B42D6">
        <w:rPr>
          <w:rFonts w:eastAsia="Calibri"/>
        </w:rPr>
        <w:t xml:space="preserve">gricultural year at household level. This excludes hides and skins </w:t>
      </w:r>
      <w:r w:rsidR="00C423EA" w:rsidRPr="006B42D6">
        <w:rPr>
          <w:rFonts w:eastAsia="Calibri"/>
        </w:rPr>
        <w:t xml:space="preserve">produced </w:t>
      </w:r>
      <w:r w:rsidR="00F30991" w:rsidRPr="006B42D6">
        <w:rPr>
          <w:rFonts w:eastAsia="Calibri"/>
        </w:rPr>
        <w:t>from abattoirs and slaughter houses available in the country</w:t>
      </w:r>
      <w:r w:rsidR="00A26C28" w:rsidRPr="006B42D6">
        <w:rPr>
          <w:rFonts w:eastAsia="Calibri"/>
        </w:rPr>
        <w:t>.</w:t>
      </w:r>
      <w:r w:rsidR="00F30991" w:rsidRPr="006B42D6">
        <w:rPr>
          <w:rFonts w:eastAsia="Calibri"/>
        </w:rPr>
        <w:t xml:space="preserve"> </w:t>
      </w:r>
      <w:r w:rsidR="00A26C28" w:rsidRPr="006B42D6">
        <w:rPr>
          <w:rFonts w:eastAsia="Calibri"/>
        </w:rPr>
        <w:t xml:space="preserve">The results show that, the total production of hides in Tanzania was 246,935 pieces, out of which, 8,886 pieces (3.6 percent) were from large scale farms and 238,049 pieces (96.4 percent) from smallholder farmers. The total production from smallholder farmers was reported only in </w:t>
      </w:r>
      <w:r w:rsidR="00EA1552">
        <w:rPr>
          <w:lang w:eastAsia="en-GB"/>
        </w:rPr>
        <w:t>Mainland Tanzania</w:t>
      </w:r>
      <w:r w:rsidR="00A26C28" w:rsidRPr="006B42D6">
        <w:rPr>
          <w:rFonts w:eastAsia="Calibri"/>
        </w:rPr>
        <w:t>.</w:t>
      </w:r>
    </w:p>
    <w:p w14:paraId="40404580" w14:textId="77777777" w:rsidR="000C32CB" w:rsidRPr="006B42D6" w:rsidRDefault="000C32CB" w:rsidP="00FE306C">
      <w:pPr>
        <w:spacing w:line="240" w:lineRule="auto"/>
        <w:rPr>
          <w:rFonts w:eastAsia="Calibri"/>
        </w:rPr>
      </w:pPr>
    </w:p>
    <w:p w14:paraId="406BA149" w14:textId="77777777" w:rsidR="00A26C28" w:rsidRPr="006B42D6" w:rsidRDefault="00A26C28" w:rsidP="000C32CB">
      <w:r w:rsidRPr="006B42D6">
        <w:rPr>
          <w:rFonts w:eastAsia="Calibri"/>
        </w:rPr>
        <w:t>In addition to that, information on pieces of skins produced from goat and sheep were reported, of which the total of 1,008,870 pieces (1,094 from large scale farms and 1,007,776 from smallholder farmers) were produced from goat skins and 91,475 pieces (1,171 from large scale farms and 90,304 from smallholder farmers) from sheep skins.</w:t>
      </w:r>
    </w:p>
    <w:p w14:paraId="7C175704" w14:textId="4F5375F3" w:rsidR="00871919" w:rsidRDefault="00871919">
      <w:pPr>
        <w:spacing w:line="240" w:lineRule="auto"/>
        <w:contextualSpacing w:val="0"/>
        <w:jc w:val="left"/>
        <w:rPr>
          <w:b/>
        </w:rPr>
      </w:pPr>
      <w:r>
        <w:rPr>
          <w:b/>
        </w:rPr>
        <w:br w:type="page"/>
      </w:r>
    </w:p>
    <w:p w14:paraId="26722B11" w14:textId="4C8B4CAE" w:rsidR="00A26C28" w:rsidRPr="006B42D6" w:rsidRDefault="00FD6EAE" w:rsidP="00FD6EAE">
      <w:pPr>
        <w:pStyle w:val="Heading2"/>
      </w:pPr>
      <w:bookmarkStart w:id="593" w:name="_Toc82385751"/>
      <w:r w:rsidRPr="006B42D6">
        <w:lastRenderedPageBreak/>
        <w:t>4.</w:t>
      </w:r>
      <w:r w:rsidR="00C4159B">
        <w:t>4</w:t>
      </w:r>
      <w:r w:rsidRPr="006B42D6">
        <w:tab/>
        <w:t>Outlet for Sale</w:t>
      </w:r>
      <w:r w:rsidR="00787994" w:rsidRPr="006B42D6">
        <w:t>s</w:t>
      </w:r>
      <w:r w:rsidRPr="006B42D6">
        <w:t xml:space="preserve"> of Livestock</w:t>
      </w:r>
      <w:r w:rsidR="00787994" w:rsidRPr="006B42D6">
        <w:t xml:space="preserve"> and Livestock Product</w:t>
      </w:r>
      <w:bookmarkEnd w:id="593"/>
    </w:p>
    <w:p w14:paraId="47829AC6" w14:textId="6753C16E" w:rsidR="00D701B7" w:rsidRPr="006B42D6" w:rsidRDefault="00E72AAA" w:rsidP="0000454F">
      <w:pPr>
        <w:pStyle w:val="Heading3"/>
      </w:pPr>
      <w:bookmarkStart w:id="594" w:name="_Toc82385752"/>
      <w:r w:rsidRPr="006B42D6">
        <w:t>4.</w:t>
      </w:r>
      <w:r w:rsidR="00C4159B">
        <w:t>4</w:t>
      </w:r>
      <w:r w:rsidRPr="006B42D6">
        <w:t>.1</w:t>
      </w:r>
      <w:r w:rsidRPr="006B42D6">
        <w:tab/>
      </w:r>
      <w:r w:rsidR="00D701B7" w:rsidRPr="006B42D6">
        <w:t>Cattle Outlets</w:t>
      </w:r>
      <w:bookmarkEnd w:id="594"/>
    </w:p>
    <w:p w14:paraId="360EDF31" w14:textId="32BE153B" w:rsidR="00DC1FE7" w:rsidRPr="006B42D6" w:rsidRDefault="00D7661A" w:rsidP="00D7661A">
      <w:r w:rsidRPr="006B42D6">
        <w:t xml:space="preserve">The 2019/20 NSCA results show that, most of the households </w:t>
      </w:r>
      <w:r w:rsidR="00787994" w:rsidRPr="006B42D6">
        <w:t xml:space="preserve">reported </w:t>
      </w:r>
      <w:r w:rsidR="00E72AAA" w:rsidRPr="006B42D6">
        <w:t>to sell</w:t>
      </w:r>
      <w:r w:rsidRPr="006B42D6">
        <w:t xml:space="preserve"> </w:t>
      </w:r>
      <w:r w:rsidR="00E72AAA" w:rsidRPr="006B42D6">
        <w:t xml:space="preserve">their </w:t>
      </w:r>
      <w:r w:rsidR="00787994" w:rsidRPr="006B42D6">
        <w:t>cattle</w:t>
      </w:r>
      <w:r w:rsidRPr="006B42D6">
        <w:t xml:space="preserve"> </w:t>
      </w:r>
      <w:r w:rsidR="00787994" w:rsidRPr="006B42D6">
        <w:t>to</w:t>
      </w:r>
      <w:r w:rsidRPr="006B42D6">
        <w:t xml:space="preserve"> </w:t>
      </w:r>
      <w:bookmarkStart w:id="595" w:name="OLE_LINK9"/>
      <w:r w:rsidR="00787994" w:rsidRPr="006B42D6">
        <w:t>primary market</w:t>
      </w:r>
      <w:r w:rsidRPr="006B42D6">
        <w:t xml:space="preserve"> </w:t>
      </w:r>
      <w:bookmarkEnd w:id="595"/>
      <w:r w:rsidRPr="006B42D6">
        <w:t>(</w:t>
      </w:r>
      <w:r w:rsidR="00787994" w:rsidRPr="006B42D6">
        <w:t>1,679,678</w:t>
      </w:r>
      <w:r w:rsidRPr="006B42D6">
        <w:t xml:space="preserve">; </w:t>
      </w:r>
      <w:r w:rsidR="00787994" w:rsidRPr="006B42D6">
        <w:t>59.8</w:t>
      </w:r>
      <w:r w:rsidRPr="006B42D6">
        <w:t xml:space="preserve"> percent), followed by those who </w:t>
      </w:r>
      <w:r w:rsidR="00787994" w:rsidRPr="006B42D6">
        <w:t>trade at farm</w:t>
      </w:r>
      <w:r w:rsidRPr="006B42D6">
        <w:t xml:space="preserve"> (</w:t>
      </w:r>
      <w:r w:rsidR="00787994" w:rsidRPr="006B42D6">
        <w:t>486,461</w:t>
      </w:r>
      <w:r w:rsidRPr="006B42D6">
        <w:t xml:space="preserve">; </w:t>
      </w:r>
      <w:r w:rsidR="00787994" w:rsidRPr="006B42D6">
        <w:t>17.3</w:t>
      </w:r>
      <w:r w:rsidRPr="006B42D6">
        <w:t xml:space="preserve"> percent) and </w:t>
      </w:r>
      <w:r w:rsidR="00787994" w:rsidRPr="006B42D6">
        <w:t xml:space="preserve">neighbor </w:t>
      </w:r>
      <w:r w:rsidRPr="006B42D6">
        <w:t>(</w:t>
      </w:r>
      <w:r w:rsidR="00787994" w:rsidRPr="006B42D6">
        <w:t>253,952</w:t>
      </w:r>
      <w:r w:rsidRPr="006B42D6">
        <w:t xml:space="preserve">; </w:t>
      </w:r>
      <w:r w:rsidR="00787994" w:rsidRPr="006B42D6">
        <w:t>9</w:t>
      </w:r>
      <w:r w:rsidRPr="006B42D6">
        <w:t xml:space="preserve">.0 percent). </w:t>
      </w:r>
      <w:r w:rsidR="00787994" w:rsidRPr="006B42D6">
        <w:t>The least number of households reported to sell their cattle to ranch</w:t>
      </w:r>
      <w:r w:rsidRPr="006B42D6">
        <w:t xml:space="preserve"> (</w:t>
      </w:r>
      <w:r w:rsidR="00787994" w:rsidRPr="006B42D6">
        <w:t>1,761</w:t>
      </w:r>
      <w:r w:rsidRPr="006B42D6">
        <w:t xml:space="preserve">; </w:t>
      </w:r>
      <w:r w:rsidR="00787994" w:rsidRPr="006B42D6">
        <w:t>0.1</w:t>
      </w:r>
      <w:r w:rsidRPr="006B42D6">
        <w:t xml:space="preserve"> percent).</w:t>
      </w:r>
      <w:r w:rsidR="00E72AAA" w:rsidRPr="006B42D6">
        <w:t xml:space="preserve"> </w:t>
      </w:r>
      <w:r w:rsidRPr="006B42D6">
        <w:t xml:space="preserve">Similar behavior of outlets for sell of </w:t>
      </w:r>
      <w:r w:rsidR="00787994" w:rsidRPr="006B42D6">
        <w:t>cattle</w:t>
      </w:r>
      <w:r w:rsidRPr="006B42D6">
        <w:t xml:space="preserve"> was reported in </w:t>
      </w:r>
      <w:r w:rsidR="00EA1552">
        <w:t>Mainland Tanzania</w:t>
      </w:r>
      <w:r w:rsidRPr="006B42D6">
        <w:t xml:space="preserve">, where most of households sold their </w:t>
      </w:r>
      <w:r w:rsidR="00787994" w:rsidRPr="006B42D6">
        <w:t>cattle</w:t>
      </w:r>
      <w:r w:rsidRPr="006B42D6">
        <w:t xml:space="preserve"> to </w:t>
      </w:r>
      <w:r w:rsidR="00787994" w:rsidRPr="006B42D6">
        <w:t>primary market</w:t>
      </w:r>
      <w:r w:rsidRPr="006B42D6">
        <w:t xml:space="preserve"> (</w:t>
      </w:r>
      <w:r w:rsidR="00787994" w:rsidRPr="006B42D6">
        <w:t>1,672,059; 60.3</w:t>
      </w:r>
      <w:r w:rsidRPr="006B42D6">
        <w:t xml:space="preserve"> percent), followed by </w:t>
      </w:r>
      <w:r w:rsidR="00F149FC" w:rsidRPr="006B42D6">
        <w:t xml:space="preserve">those who </w:t>
      </w:r>
      <w:r w:rsidR="002B19A4" w:rsidRPr="006B42D6">
        <w:t>trade</w:t>
      </w:r>
      <w:r w:rsidR="00F149FC" w:rsidRPr="006B42D6">
        <w:t>d</w:t>
      </w:r>
      <w:r w:rsidR="002B19A4" w:rsidRPr="006B42D6">
        <w:t xml:space="preserve"> at farm </w:t>
      </w:r>
      <w:r w:rsidRPr="006B42D6">
        <w:t>(</w:t>
      </w:r>
      <w:r w:rsidR="002B19A4" w:rsidRPr="006B42D6">
        <w:t>460, 931;</w:t>
      </w:r>
      <w:r w:rsidRPr="006B42D6">
        <w:t>1</w:t>
      </w:r>
      <w:r w:rsidR="002B19A4" w:rsidRPr="006B42D6">
        <w:t>6</w:t>
      </w:r>
      <w:r w:rsidRPr="006B42D6">
        <w:t>.</w:t>
      </w:r>
      <w:r w:rsidR="002B19A4" w:rsidRPr="006B42D6">
        <w:t>6</w:t>
      </w:r>
      <w:r w:rsidRPr="006B42D6">
        <w:t xml:space="preserve"> percent) and</w:t>
      </w:r>
      <w:r w:rsidR="002B19A4" w:rsidRPr="006B42D6">
        <w:t xml:space="preserve"> neighbor (250,337; 9.0 percent). Whilst, the least number of households reported to sell their cattle to ranch (1,706; 0.1 percent)</w:t>
      </w:r>
      <w:r w:rsidRPr="006B42D6">
        <w:t xml:space="preserve"> (</w:t>
      </w:r>
      <w:r w:rsidR="002B19A4" w:rsidRPr="006B42D6">
        <w:t>Figure</w:t>
      </w:r>
      <w:r w:rsidRPr="006B42D6">
        <w:t xml:space="preserve"> </w:t>
      </w:r>
      <w:r w:rsidR="00E72AAA" w:rsidRPr="006B42D6">
        <w:t>4.34</w:t>
      </w:r>
      <w:r w:rsidRPr="006B42D6">
        <w:t>).</w:t>
      </w:r>
    </w:p>
    <w:p w14:paraId="0AA917E3" w14:textId="77777777" w:rsidR="00E72AAA" w:rsidRPr="006B42D6" w:rsidRDefault="00E72AAA" w:rsidP="00D56B0E">
      <w:pPr>
        <w:spacing w:line="240" w:lineRule="auto"/>
      </w:pPr>
    </w:p>
    <w:p w14:paraId="1DB6DAD1" w14:textId="73CE5BC1" w:rsidR="002B19A4" w:rsidRPr="006B42D6" w:rsidRDefault="00D7661A" w:rsidP="002B19A4">
      <w:r w:rsidRPr="006B42D6">
        <w:t>The situation was different in Tanzania Zanzibar where</w:t>
      </w:r>
      <w:r w:rsidR="002B19A4" w:rsidRPr="006B42D6">
        <w:t>by majority of household</w:t>
      </w:r>
      <w:r w:rsidR="000663F1" w:rsidRPr="006B42D6">
        <w:t>s</w:t>
      </w:r>
      <w:r w:rsidR="002B19A4" w:rsidRPr="006B42D6">
        <w:t xml:space="preserve"> traded their cattle at farm (25,530; 65.6 percent), followed by those sold at primary market (7,619; 19.6 percent)</w:t>
      </w:r>
      <w:r w:rsidRPr="006B42D6">
        <w:t xml:space="preserve">. </w:t>
      </w:r>
      <w:r w:rsidR="002B19A4" w:rsidRPr="006B42D6">
        <w:t xml:space="preserve">The least number of households reported to sell their cattle to ranch (55; 0.1 percent) (Figure </w:t>
      </w:r>
      <w:r w:rsidR="00E72AAA" w:rsidRPr="006B42D6">
        <w:t>4.35</w:t>
      </w:r>
      <w:r w:rsidR="002B19A4" w:rsidRPr="006B42D6">
        <w:t>).</w:t>
      </w:r>
    </w:p>
    <w:p w14:paraId="1AF4C056" w14:textId="7ED6DF04" w:rsidR="00773260" w:rsidRDefault="00871919" w:rsidP="002B19A4">
      <w:r w:rsidRPr="006B42D6">
        <w:rPr>
          <w:noProof/>
        </w:rPr>
        <mc:AlternateContent>
          <mc:Choice Requires="wps">
            <w:drawing>
              <wp:anchor distT="0" distB="0" distL="114300" distR="114300" simplePos="0" relativeHeight="251821056" behindDoc="1" locked="0" layoutInCell="1" allowOverlap="1" wp14:anchorId="53B96F9E" wp14:editId="43356856">
                <wp:simplePos x="0" y="0"/>
                <wp:positionH relativeFrom="column">
                  <wp:posOffset>0</wp:posOffset>
                </wp:positionH>
                <wp:positionV relativeFrom="paragraph">
                  <wp:posOffset>293370</wp:posOffset>
                </wp:positionV>
                <wp:extent cx="2900680" cy="716915"/>
                <wp:effectExtent l="0" t="0" r="0" b="0"/>
                <wp:wrapTight wrapText="bothSides">
                  <wp:wrapPolygon edited="0">
                    <wp:start x="0" y="0"/>
                    <wp:lineTo x="0" y="21045"/>
                    <wp:lineTo x="21468" y="21045"/>
                    <wp:lineTo x="21468" y="0"/>
                    <wp:lineTo x="0" y="0"/>
                  </wp:wrapPolygon>
                </wp:wrapTight>
                <wp:docPr id="183" name="Text Box 183"/>
                <wp:cNvGraphicFramePr/>
                <a:graphic xmlns:a="http://schemas.openxmlformats.org/drawingml/2006/main">
                  <a:graphicData uri="http://schemas.microsoft.com/office/word/2010/wordprocessingShape">
                    <wps:wsp>
                      <wps:cNvSpPr txBox="1"/>
                      <wps:spPr>
                        <a:xfrm>
                          <a:off x="0" y="0"/>
                          <a:ext cx="2900680" cy="716915"/>
                        </a:xfrm>
                        <a:prstGeom prst="rect">
                          <a:avLst/>
                        </a:prstGeom>
                        <a:solidFill>
                          <a:prstClr val="white"/>
                        </a:solidFill>
                        <a:ln>
                          <a:noFill/>
                        </a:ln>
                      </wps:spPr>
                      <wps:txbx>
                        <w:txbxContent>
                          <w:p w14:paraId="3CAC8EB3" w14:textId="77777777" w:rsidR="00933456" w:rsidRPr="009171EC" w:rsidRDefault="00933456" w:rsidP="00871919">
                            <w:pPr>
                              <w:pStyle w:val="Caption"/>
                              <w:rPr>
                                <w:noProof/>
                              </w:rPr>
                            </w:pPr>
                            <w:bookmarkStart w:id="596" w:name="_Toc80120307"/>
                            <w:bookmarkStart w:id="597" w:name="_Toc80884183"/>
                            <w:bookmarkStart w:id="598" w:name="_Toc80884554"/>
                            <w:bookmarkStart w:id="599" w:name="_Toc82386405"/>
                            <w:r w:rsidRPr="00EA6578">
                              <w:t xml:space="preserve">Figure </w:t>
                            </w:r>
                            <w:r>
                              <w:t>4.34</w:t>
                            </w:r>
                            <w:r w:rsidRPr="00EA6578">
                              <w:t>:</w:t>
                            </w:r>
                            <w:r>
                              <w:tab/>
                            </w:r>
                            <w:r w:rsidRPr="00EA6578">
                              <w:t xml:space="preserve">Percentage Distribution of Households Reported Outlet for Sale of Cattle During 2019/20 Agricultural Year, </w:t>
                            </w:r>
                            <w:r>
                              <w:t>Mainland Tanzania</w:t>
                            </w:r>
                            <w:bookmarkEnd w:id="596"/>
                            <w:bookmarkEnd w:id="597"/>
                            <w:bookmarkEnd w:id="598"/>
                            <w:bookmarkEnd w:id="59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B96F9E" id="Text Box 183" o:spid="_x0000_s1093" type="#_x0000_t202" style="position:absolute;left:0;text-align:left;margin-left:0;margin-top:23.1pt;width:228.4pt;height:56.45pt;z-index:-25149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" stroked="f">
                <v:textbox inset="0,0,0,0">
                  <w:txbxContent>
                    <w:p w14:paraId="3CAC8EB3" w14:textId="77777777" w:rsidR="00933456" w:rsidRPr="009171EC" w:rsidRDefault="00933456" w:rsidP="00871919">
                      <w:pPr>
                        <w:pStyle w:val="Caption"/>
                        <w:rPr>
                          <w:noProof/>
                        </w:rPr>
                      </w:pPr>
                      <w:bookmarkStart w:id="841" w:name="_Toc80120307"/>
                      <w:bookmarkStart w:id="842" w:name="_Toc80884183"/>
                      <w:bookmarkStart w:id="843" w:name="_Toc80884554"/>
                      <w:bookmarkStart w:id="844" w:name="_Toc82386405"/>
                      <w:r w:rsidRPr="00EA6578">
                        <w:t xml:space="preserve">Figure </w:t>
                      </w:r>
                      <w:r>
                        <w:t>4.34</w:t>
                      </w:r>
                      <w:r w:rsidRPr="00EA6578">
                        <w:t>:</w:t>
                      </w:r>
                      <w:r>
                        <w:tab/>
                      </w:r>
                      <w:r w:rsidRPr="00EA6578">
                        <w:t xml:space="preserve">Percentage Distribution of Households Reported Outlet for Sale of Cattle During 2019/20 Agricultural Year, </w:t>
                      </w:r>
                      <w:r>
                        <w:t>Mainland Tanzania</w:t>
                      </w:r>
                      <w:bookmarkEnd w:id="841"/>
                      <w:bookmarkEnd w:id="842"/>
                      <w:bookmarkEnd w:id="843"/>
                      <w:bookmarkEnd w:id="844"/>
                    </w:p>
                  </w:txbxContent>
                </v:textbox>
                <w10:wrap type="tight"/>
              </v:shape>
            </w:pict>
          </mc:Fallback>
        </mc:AlternateContent>
      </w:r>
      <w:r w:rsidRPr="006B42D6">
        <w:rPr>
          <w:noProof/>
        </w:rPr>
        <mc:AlternateContent>
          <mc:Choice Requires="wps">
            <w:drawing>
              <wp:anchor distT="0" distB="0" distL="114300" distR="114300" simplePos="0" relativeHeight="251700224" behindDoc="1" locked="0" layoutInCell="1" allowOverlap="1" wp14:anchorId="4A8D5DE8" wp14:editId="6B8A4D9B">
                <wp:simplePos x="0" y="0"/>
                <wp:positionH relativeFrom="column">
                  <wp:posOffset>2903812</wp:posOffset>
                </wp:positionH>
                <wp:positionV relativeFrom="paragraph">
                  <wp:posOffset>296545</wp:posOffset>
                </wp:positionV>
                <wp:extent cx="2869565" cy="716915"/>
                <wp:effectExtent l="0" t="0" r="635" b="0"/>
                <wp:wrapTight wrapText="bothSides">
                  <wp:wrapPolygon edited="0">
                    <wp:start x="0" y="0"/>
                    <wp:lineTo x="0" y="21045"/>
                    <wp:lineTo x="21509" y="21045"/>
                    <wp:lineTo x="21509" y="0"/>
                    <wp:lineTo x="0" y="0"/>
                  </wp:wrapPolygon>
                </wp:wrapTight>
                <wp:docPr id="185" name="Text Box 185"/>
                <wp:cNvGraphicFramePr/>
                <a:graphic xmlns:a="http://schemas.openxmlformats.org/drawingml/2006/main">
                  <a:graphicData uri="http://schemas.microsoft.com/office/word/2010/wordprocessingShape">
                    <wps:wsp>
                      <wps:cNvSpPr txBox="1"/>
                      <wps:spPr>
                        <a:xfrm>
                          <a:off x="0" y="0"/>
                          <a:ext cx="2869565" cy="716915"/>
                        </a:xfrm>
                        <a:prstGeom prst="rect">
                          <a:avLst/>
                        </a:prstGeom>
                        <a:solidFill>
                          <a:prstClr val="white"/>
                        </a:solidFill>
                        <a:ln>
                          <a:noFill/>
                        </a:ln>
                      </wps:spPr>
                      <wps:txbx>
                        <w:txbxContent>
                          <w:p w14:paraId="3B6C8BB0" w14:textId="4ABE8E9C" w:rsidR="00933456" w:rsidRPr="00253D7F" w:rsidRDefault="00933456" w:rsidP="00EA6578">
                            <w:pPr>
                              <w:pStyle w:val="Caption"/>
                              <w:rPr>
                                <w:noProof/>
                              </w:rPr>
                            </w:pPr>
                            <w:bookmarkStart w:id="600" w:name="_Toc80120308"/>
                            <w:bookmarkStart w:id="601" w:name="_Toc80884184"/>
                            <w:bookmarkStart w:id="602" w:name="_Toc80884555"/>
                            <w:bookmarkStart w:id="603" w:name="_Toc82386406"/>
                            <w:r>
                              <w:t>Figure 4.35:</w:t>
                            </w:r>
                            <w:r>
                              <w:tab/>
                            </w:r>
                            <w:r w:rsidRPr="00EA6578">
                              <w:t>Percentage Distribution of Households Reported Outlet for Sale of Cattle During 2019/20 Agricultural Year, Tanzania</w:t>
                            </w:r>
                            <w:r>
                              <w:t xml:space="preserve"> Zanzibar</w:t>
                            </w:r>
                            <w:bookmarkEnd w:id="600"/>
                            <w:bookmarkEnd w:id="601"/>
                            <w:bookmarkEnd w:id="602"/>
                            <w:bookmarkEnd w:id="60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8D5DE8" id="Text Box 185" o:spid="_x0000_s1094" type="#_x0000_t202" style="position:absolute;left:0;text-align:left;margin-left:228.65pt;margin-top:23.35pt;width:225.95pt;height:56.4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" stroked="f">
                <v:textbox inset="0,0,0,0">
                  <w:txbxContent>
                    <w:p w14:paraId="3B6C8BB0" w14:textId="4ABE8E9C" w:rsidR="00933456" w:rsidRPr="00253D7F" w:rsidRDefault="00933456" w:rsidP="00EA6578">
                      <w:pPr>
                        <w:pStyle w:val="Caption"/>
                        <w:rPr>
                          <w:noProof/>
                        </w:rPr>
                      </w:pPr>
                      <w:bookmarkStart w:id="849" w:name="_Toc80120308"/>
                      <w:bookmarkStart w:id="850" w:name="_Toc80884184"/>
                      <w:bookmarkStart w:id="851" w:name="_Toc80884555"/>
                      <w:bookmarkStart w:id="852" w:name="_Toc82386406"/>
                      <w:r>
                        <w:t>Figure 4.35:</w:t>
                      </w:r>
                      <w:r>
                        <w:tab/>
                      </w:r>
                      <w:r w:rsidRPr="00EA6578">
                        <w:t>Percentage Distribution of Households Reported Outlet for Sale of Cattle During 2019/20 Agricultural Year, Tanzania</w:t>
                      </w:r>
                      <w:r>
                        <w:t xml:space="preserve"> Zanzibar</w:t>
                      </w:r>
                      <w:bookmarkEnd w:id="849"/>
                      <w:bookmarkEnd w:id="850"/>
                      <w:bookmarkEnd w:id="851"/>
                      <w:bookmarkEnd w:id="852"/>
                    </w:p>
                  </w:txbxContent>
                </v:textbox>
                <w10:wrap type="tight"/>
              </v:shape>
            </w:pict>
          </mc:Fallback>
        </mc:AlternateContent>
      </w:r>
      <w:r w:rsidR="0060018E" w:rsidRPr="006B42D6">
        <w:rPr>
          <w:noProof/>
        </w:rPr>
        <w:drawing>
          <wp:anchor distT="0" distB="0" distL="114300" distR="114300" simplePos="0" relativeHeight="251698176" behindDoc="1" locked="0" layoutInCell="1" allowOverlap="1" wp14:anchorId="5D3E5653" wp14:editId="62472CE1">
            <wp:simplePos x="0" y="0"/>
            <wp:positionH relativeFrom="column">
              <wp:posOffset>2952115</wp:posOffset>
            </wp:positionH>
            <wp:positionV relativeFrom="paragraph">
              <wp:posOffset>1118235</wp:posOffset>
            </wp:positionV>
            <wp:extent cx="2872105" cy="2225040"/>
            <wp:effectExtent l="0" t="0" r="36195" b="10160"/>
            <wp:wrapTight wrapText="bothSides">
              <wp:wrapPolygon edited="0">
                <wp:start x="0" y="0"/>
                <wp:lineTo x="0" y="21575"/>
                <wp:lineTo x="21777" y="21575"/>
                <wp:lineTo x="21777" y="0"/>
                <wp:lineTo x="0" y="0"/>
              </wp:wrapPolygon>
            </wp:wrapTight>
            <wp:docPr id="181" name="Chart 181">
              <a:extLst xmlns:a="http://schemas.openxmlformats.org/drawingml/2006/main">
                <a:ext uri="{FF2B5EF4-FFF2-40B4-BE49-F238E27FC236}">
                  <a16:creationId xmlns:a16="http://schemas.microsoft.com/office/drawing/2014/main" id="{EA3DA82F-C3ED-1940-9700-DCF2C973E5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0"/>
              </a:graphicData>
            </a:graphic>
            <wp14:sizeRelH relativeFrom="page">
              <wp14:pctWidth>0</wp14:pctWidth>
            </wp14:sizeRelH>
            <wp14:sizeRelV relativeFrom="page">
              <wp14:pctHeight>0</wp14:pctHeight>
            </wp14:sizeRelV>
          </wp:anchor>
        </w:drawing>
      </w:r>
      <w:r w:rsidR="0060018E" w:rsidRPr="006B42D6">
        <w:rPr>
          <w:noProof/>
        </w:rPr>
        <w:drawing>
          <wp:anchor distT="0" distB="0" distL="114300" distR="114300" simplePos="0" relativeHeight="251697152" behindDoc="1" locked="0" layoutInCell="1" allowOverlap="1" wp14:anchorId="6BCB0408" wp14:editId="1E7FA37E">
            <wp:simplePos x="0" y="0"/>
            <wp:positionH relativeFrom="column">
              <wp:posOffset>-54610</wp:posOffset>
            </wp:positionH>
            <wp:positionV relativeFrom="paragraph">
              <wp:posOffset>1118235</wp:posOffset>
            </wp:positionV>
            <wp:extent cx="2962275" cy="2225040"/>
            <wp:effectExtent l="0" t="0" r="9525" b="10160"/>
            <wp:wrapTight wrapText="bothSides">
              <wp:wrapPolygon edited="0">
                <wp:start x="0" y="0"/>
                <wp:lineTo x="0" y="21575"/>
                <wp:lineTo x="21577" y="21575"/>
                <wp:lineTo x="21577" y="0"/>
                <wp:lineTo x="0" y="0"/>
              </wp:wrapPolygon>
            </wp:wrapTight>
            <wp:docPr id="178" name="Chart 178">
              <a:extLst xmlns:a="http://schemas.openxmlformats.org/drawingml/2006/main">
                <a:ext uri="{FF2B5EF4-FFF2-40B4-BE49-F238E27FC236}">
                  <a16:creationId xmlns:a16="http://schemas.microsoft.com/office/drawing/2014/main" id="{EB6C778B-FB76-CF49-B6CD-E7BE646363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1"/>
              </a:graphicData>
            </a:graphic>
            <wp14:sizeRelH relativeFrom="page">
              <wp14:pctWidth>0</wp14:pctWidth>
            </wp14:sizeRelH>
            <wp14:sizeRelV relativeFrom="page">
              <wp14:pctHeight>0</wp14:pctHeight>
            </wp14:sizeRelV>
          </wp:anchor>
        </w:drawing>
      </w:r>
    </w:p>
    <w:p w14:paraId="5A4F3B48" w14:textId="073AEA12" w:rsidR="00871919" w:rsidRDefault="00871919">
      <w:pPr>
        <w:spacing w:line="240" w:lineRule="auto"/>
        <w:contextualSpacing w:val="0"/>
        <w:jc w:val="left"/>
      </w:pPr>
      <w:r>
        <w:br w:type="page"/>
      </w:r>
    </w:p>
    <w:p w14:paraId="1B82B02E" w14:textId="172D042B" w:rsidR="00D701B7" w:rsidRPr="006B42D6" w:rsidRDefault="00E72AAA" w:rsidP="0000454F">
      <w:pPr>
        <w:pStyle w:val="Heading3"/>
      </w:pPr>
      <w:bookmarkStart w:id="604" w:name="_Toc82385753"/>
      <w:r w:rsidRPr="006B42D6">
        <w:lastRenderedPageBreak/>
        <w:t>4.</w:t>
      </w:r>
      <w:r w:rsidR="00DE782F">
        <w:t>5</w:t>
      </w:r>
      <w:r w:rsidRPr="006B42D6">
        <w:t>.2</w:t>
      </w:r>
      <w:r w:rsidRPr="006B42D6">
        <w:tab/>
      </w:r>
      <w:r w:rsidR="00D701B7" w:rsidRPr="006B42D6">
        <w:t>Goats Outlets</w:t>
      </w:r>
      <w:bookmarkEnd w:id="604"/>
    </w:p>
    <w:p w14:paraId="45978F9E" w14:textId="356CE79F" w:rsidR="00EA6578" w:rsidRPr="006B42D6" w:rsidRDefault="00EA6578" w:rsidP="00EA6578">
      <w:r w:rsidRPr="006B42D6">
        <w:t xml:space="preserve">In Tanzania, most of the households reported </w:t>
      </w:r>
      <w:r w:rsidR="00E72AAA" w:rsidRPr="006B42D6">
        <w:t xml:space="preserve">to sell their </w:t>
      </w:r>
      <w:r w:rsidRPr="006B42D6">
        <w:t>goats to primary market (1,564,086; 56.3 percent), followed by those who trade at farm (467,505; 16.8 percent) and neighbor (356,226; 12.8 percent). The least number of households reported to sell their goats to ranch (2,243; 0.1 percent).</w:t>
      </w:r>
      <w:r w:rsidR="00E72AAA" w:rsidRPr="006B42D6">
        <w:t xml:space="preserve"> </w:t>
      </w:r>
      <w:r w:rsidRPr="006B42D6">
        <w:t xml:space="preserve">Similar behavior of outlets for sell of goats was reported in </w:t>
      </w:r>
      <w:r w:rsidR="00EA1552">
        <w:t>Mainland Tanzania</w:t>
      </w:r>
      <w:r w:rsidRPr="006B42D6">
        <w:t xml:space="preserve">, where most of households sold their goats to primary market (1,561,303; 56.6 percent), followed by </w:t>
      </w:r>
      <w:r w:rsidR="00F149FC" w:rsidRPr="006B42D6">
        <w:t xml:space="preserve">those who </w:t>
      </w:r>
      <w:r w:rsidRPr="006B42D6">
        <w:t>trade</w:t>
      </w:r>
      <w:r w:rsidR="00F149FC" w:rsidRPr="006B42D6">
        <w:t>d</w:t>
      </w:r>
      <w:r w:rsidRPr="006B42D6">
        <w:t xml:space="preserve"> at farm (458,589;</w:t>
      </w:r>
      <w:r w:rsidR="00287863" w:rsidRPr="006B42D6">
        <w:t xml:space="preserve"> </w:t>
      </w:r>
      <w:r w:rsidRPr="006B42D6">
        <w:t>16.6 percent) and neighbor (354,</w:t>
      </w:r>
      <w:r w:rsidR="000663F1" w:rsidRPr="006B42D6">
        <w:t>528</w:t>
      </w:r>
      <w:r w:rsidRPr="006B42D6">
        <w:t xml:space="preserve">; </w:t>
      </w:r>
      <w:r w:rsidR="000663F1" w:rsidRPr="006B42D6">
        <w:t>12.8</w:t>
      </w:r>
      <w:r w:rsidRPr="006B42D6">
        <w:t xml:space="preserve"> percent). Whilst, the least number of households reported to sell their goats to ranch (</w:t>
      </w:r>
      <w:r w:rsidR="000663F1" w:rsidRPr="006B42D6">
        <w:t>2,243</w:t>
      </w:r>
      <w:r w:rsidRPr="006B42D6">
        <w:t xml:space="preserve">; 0.1 percent) (Figure </w:t>
      </w:r>
      <w:r w:rsidR="00E72AAA" w:rsidRPr="006B42D6">
        <w:t>4.36</w:t>
      </w:r>
      <w:r w:rsidRPr="006B42D6">
        <w:t>).</w:t>
      </w:r>
    </w:p>
    <w:p w14:paraId="43A61837" w14:textId="77777777" w:rsidR="00EA6578" w:rsidRPr="006B42D6" w:rsidRDefault="00EA6578" w:rsidP="00D56B0E">
      <w:pPr>
        <w:spacing w:line="240" w:lineRule="auto"/>
      </w:pPr>
    </w:p>
    <w:p w14:paraId="626D7B5C" w14:textId="7C5A596E" w:rsidR="00EA6578" w:rsidRPr="006B42D6" w:rsidRDefault="000663F1" w:rsidP="00EA6578">
      <w:r w:rsidRPr="006B42D6">
        <w:t>I</w:t>
      </w:r>
      <w:r w:rsidR="00EA6578" w:rsidRPr="006B42D6">
        <w:t>n Tanzania Zanzibar</w:t>
      </w:r>
      <w:r w:rsidRPr="006B42D6">
        <w:t>,</w:t>
      </w:r>
      <w:r w:rsidR="00EA6578" w:rsidRPr="006B42D6">
        <w:t xml:space="preserve"> majority of household</w:t>
      </w:r>
      <w:r w:rsidRPr="006B42D6">
        <w:t>s</w:t>
      </w:r>
      <w:r w:rsidR="00EA6578" w:rsidRPr="006B42D6">
        <w:t xml:space="preserve"> traded their goats at farm (</w:t>
      </w:r>
      <w:r w:rsidRPr="006B42D6">
        <w:t>8,916</w:t>
      </w:r>
      <w:r w:rsidR="00EA6578" w:rsidRPr="006B42D6">
        <w:t xml:space="preserve">; </w:t>
      </w:r>
      <w:r w:rsidRPr="006B42D6">
        <w:t>56.4</w:t>
      </w:r>
      <w:r w:rsidR="00EA6578" w:rsidRPr="006B42D6">
        <w:t xml:space="preserve"> percent), followed by those sold at primary market (</w:t>
      </w:r>
      <w:r w:rsidRPr="006B42D6">
        <w:t>2,783</w:t>
      </w:r>
      <w:r w:rsidR="00EA6578" w:rsidRPr="006B42D6">
        <w:t xml:space="preserve">; </w:t>
      </w:r>
      <w:r w:rsidRPr="006B42D6">
        <w:t>17.6</w:t>
      </w:r>
      <w:r w:rsidR="00EA6578" w:rsidRPr="006B42D6">
        <w:t xml:space="preserve"> percent). The least number of households reported to sell their goats to </w:t>
      </w:r>
      <w:r w:rsidRPr="006B42D6">
        <w:t>secondary market</w:t>
      </w:r>
      <w:r w:rsidR="00EA6578" w:rsidRPr="006B42D6">
        <w:t xml:space="preserve"> (</w:t>
      </w:r>
      <w:r w:rsidRPr="006B42D6">
        <w:t>564</w:t>
      </w:r>
      <w:r w:rsidR="00EA6578" w:rsidRPr="006B42D6">
        <w:t xml:space="preserve">; </w:t>
      </w:r>
      <w:r w:rsidRPr="006B42D6">
        <w:t>3.6</w:t>
      </w:r>
      <w:r w:rsidR="00EA6578" w:rsidRPr="006B42D6">
        <w:t xml:space="preserve"> percent) (Figure </w:t>
      </w:r>
      <w:r w:rsidR="00E72AAA" w:rsidRPr="006B42D6">
        <w:t>4.37</w:t>
      </w:r>
      <w:r w:rsidR="00EA6578" w:rsidRPr="006B42D6">
        <w:t>).</w:t>
      </w:r>
    </w:p>
    <w:p w14:paraId="2772A62A" w14:textId="11921A40" w:rsidR="00D56B0E" w:rsidRDefault="00871919" w:rsidP="00EA6578">
      <w:r w:rsidRPr="006B42D6">
        <w:rPr>
          <w:noProof/>
        </w:rPr>
        <mc:AlternateContent>
          <mc:Choice Requires="wps">
            <w:drawing>
              <wp:anchor distT="0" distB="0" distL="114300" distR="114300" simplePos="0" relativeHeight="251702272" behindDoc="1" locked="0" layoutInCell="1" allowOverlap="1" wp14:anchorId="6C910A46" wp14:editId="0E20773F">
                <wp:simplePos x="0" y="0"/>
                <wp:positionH relativeFrom="column">
                  <wp:posOffset>2837180</wp:posOffset>
                </wp:positionH>
                <wp:positionV relativeFrom="paragraph">
                  <wp:posOffset>313690</wp:posOffset>
                </wp:positionV>
                <wp:extent cx="3129280" cy="736600"/>
                <wp:effectExtent l="0" t="0" r="0" b="0"/>
                <wp:wrapTight wrapText="bothSides">
                  <wp:wrapPolygon edited="0">
                    <wp:start x="0" y="0"/>
                    <wp:lineTo x="0" y="21228"/>
                    <wp:lineTo x="21477" y="21228"/>
                    <wp:lineTo x="21477" y="0"/>
                    <wp:lineTo x="0" y="0"/>
                  </wp:wrapPolygon>
                </wp:wrapTight>
                <wp:docPr id="196" name="Text Box 196"/>
                <wp:cNvGraphicFramePr/>
                <a:graphic xmlns:a="http://schemas.openxmlformats.org/drawingml/2006/main">
                  <a:graphicData uri="http://schemas.microsoft.com/office/word/2010/wordprocessingShape">
                    <wps:wsp>
                      <wps:cNvSpPr txBox="1"/>
                      <wps:spPr>
                        <a:xfrm>
                          <a:off x="0" y="0"/>
                          <a:ext cx="3129280" cy="736600"/>
                        </a:xfrm>
                        <a:prstGeom prst="rect">
                          <a:avLst/>
                        </a:prstGeom>
                        <a:solidFill>
                          <a:prstClr val="white"/>
                        </a:solidFill>
                        <a:ln>
                          <a:noFill/>
                        </a:ln>
                      </wps:spPr>
                      <wps:txbx>
                        <w:txbxContent>
                          <w:p w14:paraId="7E711584" w14:textId="11E494DF" w:rsidR="00933456" w:rsidRPr="009171EC" w:rsidRDefault="00933456" w:rsidP="000663F1">
                            <w:pPr>
                              <w:pStyle w:val="Caption"/>
                              <w:rPr>
                                <w:noProof/>
                              </w:rPr>
                            </w:pPr>
                            <w:bookmarkStart w:id="605" w:name="_Toc80120309"/>
                            <w:bookmarkStart w:id="606" w:name="_Toc80884185"/>
                            <w:bookmarkStart w:id="607" w:name="_Toc80884556"/>
                            <w:bookmarkStart w:id="608" w:name="_Toc82386407"/>
                            <w:r>
                              <w:t>Figure 4.37:</w:t>
                            </w:r>
                            <w:r>
                              <w:tab/>
                            </w:r>
                            <w:r w:rsidRPr="00EA6578">
                              <w:t xml:space="preserve">Percentage Distribution of Households Reported Outlet for Sale of </w:t>
                            </w:r>
                            <w:r>
                              <w:t>Goats</w:t>
                            </w:r>
                            <w:r w:rsidRPr="00EA6578">
                              <w:t xml:space="preserve"> During 2019/20 Agricultural Year, Tanzania</w:t>
                            </w:r>
                            <w:r>
                              <w:t xml:space="preserve"> Zanzibar</w:t>
                            </w:r>
                            <w:bookmarkEnd w:id="605"/>
                            <w:bookmarkEnd w:id="606"/>
                            <w:bookmarkEnd w:id="607"/>
                            <w:bookmarkEnd w:id="608"/>
                          </w:p>
                          <w:p w14:paraId="432571CB" w14:textId="32A8527B" w:rsidR="00933456" w:rsidRPr="006A0085" w:rsidRDefault="00933456" w:rsidP="000663F1">
                            <w:pPr>
                              <w:pStyle w:val="Caption"/>
                              <w:rPr>
                                <w:bCs/>
                                <w:noProof/>
                                <w:sz w:val="24"/>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910A46" id="Text Box 196" o:spid="_x0000_s1095" type="#_x0000_t202" style="position:absolute;left:0;text-align:left;margin-left:223.4pt;margin-top:24.7pt;width:246.4pt;height:58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" stroked="f">
                <v:textbox inset="0,0,0,0">
                  <w:txbxContent>
                    <w:p w14:paraId="7E711584" w14:textId="11E494DF" w:rsidR="00933456" w:rsidRPr="009171EC" w:rsidRDefault="00933456" w:rsidP="000663F1">
                      <w:pPr>
                        <w:pStyle w:val="Caption"/>
                        <w:rPr>
                          <w:noProof/>
                        </w:rPr>
                      </w:pPr>
                      <w:bookmarkStart w:id="858" w:name="_Toc80120309"/>
                      <w:bookmarkStart w:id="859" w:name="_Toc80884185"/>
                      <w:bookmarkStart w:id="860" w:name="_Toc80884556"/>
                      <w:bookmarkStart w:id="861" w:name="_Toc82386407"/>
                      <w:r>
                        <w:t>Figure 4.37:</w:t>
                      </w:r>
                      <w:r>
                        <w:tab/>
                      </w:r>
                      <w:r w:rsidRPr="00EA6578">
                        <w:t xml:space="preserve">Percentage Distribution of Households Reported Outlet for Sale of </w:t>
                      </w:r>
                      <w:r>
                        <w:t>Goats</w:t>
                      </w:r>
                      <w:r w:rsidRPr="00EA6578">
                        <w:t xml:space="preserve"> During 2019/20 Agricultural Year, Tanzania</w:t>
                      </w:r>
                      <w:r>
                        <w:t xml:space="preserve"> Zanzibar</w:t>
                      </w:r>
                      <w:bookmarkEnd w:id="858"/>
                      <w:bookmarkEnd w:id="859"/>
                      <w:bookmarkEnd w:id="860"/>
                      <w:bookmarkEnd w:id="861"/>
                    </w:p>
                    <w:p w14:paraId="432571CB" w14:textId="32A8527B" w:rsidR="00933456" w:rsidRPr="006A0085" w:rsidRDefault="00933456" w:rsidP="000663F1">
                      <w:pPr>
                        <w:pStyle w:val="Caption"/>
                        <w:rPr>
                          <w:bCs/>
                          <w:noProof/>
                          <w:sz w:val="24"/>
                          <w:szCs w:val="22"/>
                        </w:rPr>
                      </w:pPr>
                    </w:p>
                  </w:txbxContent>
                </v:textbox>
                <w10:wrap type="tight"/>
              </v:shape>
            </w:pict>
          </mc:Fallback>
        </mc:AlternateContent>
      </w:r>
      <w:r w:rsidRPr="006B42D6">
        <w:rPr>
          <w:noProof/>
        </w:rPr>
        <w:drawing>
          <wp:anchor distT="0" distB="0" distL="114300" distR="114300" simplePos="0" relativeHeight="251704320" behindDoc="1" locked="0" layoutInCell="1" allowOverlap="1" wp14:anchorId="5D1767B2" wp14:editId="6503D093">
            <wp:simplePos x="0" y="0"/>
            <wp:positionH relativeFrom="column">
              <wp:posOffset>2822575</wp:posOffset>
            </wp:positionH>
            <wp:positionV relativeFrom="paragraph">
              <wp:posOffset>1121563</wp:posOffset>
            </wp:positionV>
            <wp:extent cx="2846070" cy="2130425"/>
            <wp:effectExtent l="0" t="0" r="11430" b="15875"/>
            <wp:wrapTight wrapText="bothSides">
              <wp:wrapPolygon edited="0">
                <wp:start x="0" y="0"/>
                <wp:lineTo x="0" y="21632"/>
                <wp:lineTo x="21590" y="21632"/>
                <wp:lineTo x="21590" y="0"/>
                <wp:lineTo x="0" y="0"/>
              </wp:wrapPolygon>
            </wp:wrapTight>
            <wp:docPr id="195" name="Chart 195">
              <a:extLst xmlns:a="http://schemas.openxmlformats.org/drawingml/2006/main">
                <a:ext uri="{FF2B5EF4-FFF2-40B4-BE49-F238E27FC236}">
                  <a16:creationId xmlns:a16="http://schemas.microsoft.com/office/drawing/2014/main" id="{CDA4A858-EFB2-BE47-BB9F-F0AC30939F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2"/>
              </a:graphicData>
            </a:graphic>
            <wp14:sizeRelH relativeFrom="page">
              <wp14:pctWidth>0</wp14:pctWidth>
            </wp14:sizeRelH>
            <wp14:sizeRelV relativeFrom="page">
              <wp14:pctHeight>0</wp14:pctHeight>
            </wp14:sizeRelV>
          </wp:anchor>
        </w:drawing>
      </w:r>
    </w:p>
    <w:p w14:paraId="7AE34C73" w14:textId="12A9A7AC" w:rsidR="00C4159B" w:rsidRDefault="00D91877" w:rsidP="000C32CB">
      <w:r w:rsidRPr="006B42D6">
        <w:rPr>
          <w:noProof/>
        </w:rPr>
        <mc:AlternateContent>
          <mc:Choice Requires="wps">
            <w:drawing>
              <wp:anchor distT="0" distB="0" distL="114300" distR="114300" simplePos="0" relativeHeight="251703296" behindDoc="1" locked="0" layoutInCell="1" allowOverlap="1" wp14:anchorId="719C7BAE" wp14:editId="2D05B589">
                <wp:simplePos x="0" y="0"/>
                <wp:positionH relativeFrom="column">
                  <wp:posOffset>-89535</wp:posOffset>
                </wp:positionH>
                <wp:positionV relativeFrom="paragraph">
                  <wp:posOffset>74295</wp:posOffset>
                </wp:positionV>
                <wp:extent cx="2827655" cy="713105"/>
                <wp:effectExtent l="0" t="0" r="0" b="0"/>
                <wp:wrapTight wrapText="bothSides">
                  <wp:wrapPolygon edited="0">
                    <wp:start x="0" y="0"/>
                    <wp:lineTo x="0" y="21158"/>
                    <wp:lineTo x="21483" y="21158"/>
                    <wp:lineTo x="21483" y="0"/>
                    <wp:lineTo x="0" y="0"/>
                  </wp:wrapPolygon>
                </wp:wrapTight>
                <wp:docPr id="197" name="Text Box 197"/>
                <wp:cNvGraphicFramePr/>
                <a:graphic xmlns:a="http://schemas.openxmlformats.org/drawingml/2006/main">
                  <a:graphicData uri="http://schemas.microsoft.com/office/word/2010/wordprocessingShape">
                    <wps:wsp>
                      <wps:cNvSpPr txBox="1"/>
                      <wps:spPr>
                        <a:xfrm>
                          <a:off x="0" y="0"/>
                          <a:ext cx="2827655" cy="713105"/>
                        </a:xfrm>
                        <a:prstGeom prst="rect">
                          <a:avLst/>
                        </a:prstGeom>
                        <a:solidFill>
                          <a:prstClr val="white"/>
                        </a:solidFill>
                        <a:ln>
                          <a:noFill/>
                        </a:ln>
                      </wps:spPr>
                      <wps:txbx>
                        <w:txbxContent>
                          <w:p w14:paraId="1077C4D7" w14:textId="5240B854" w:rsidR="00933456" w:rsidRPr="009171EC" w:rsidRDefault="00933456" w:rsidP="000663F1">
                            <w:pPr>
                              <w:pStyle w:val="Caption"/>
                              <w:rPr>
                                <w:noProof/>
                              </w:rPr>
                            </w:pPr>
                            <w:bookmarkStart w:id="609" w:name="_Toc80120310"/>
                            <w:bookmarkStart w:id="610" w:name="_Toc80884186"/>
                            <w:bookmarkStart w:id="611" w:name="_Toc80884557"/>
                            <w:bookmarkStart w:id="612" w:name="_Toc82386408"/>
                            <w:r>
                              <w:t>Figure 4.36:</w:t>
                            </w:r>
                            <w:r>
                              <w:tab/>
                            </w:r>
                            <w:r w:rsidRPr="00EA6578">
                              <w:t xml:space="preserve">Percentage Distribution of Households Reported Outlet for Sale of </w:t>
                            </w:r>
                            <w:r>
                              <w:t>Goats</w:t>
                            </w:r>
                            <w:r w:rsidRPr="00EA6578">
                              <w:t xml:space="preserve"> During 2019/20 Agricultural Year, </w:t>
                            </w:r>
                            <w:r>
                              <w:t>Mainland Tanzania</w:t>
                            </w:r>
                            <w:bookmarkEnd w:id="609"/>
                            <w:bookmarkEnd w:id="610"/>
                            <w:bookmarkEnd w:id="611"/>
                            <w:bookmarkEnd w:id="612"/>
                          </w:p>
                          <w:p w14:paraId="4AA62A2F" w14:textId="320BF9B8" w:rsidR="00933456" w:rsidRPr="004464FF" w:rsidRDefault="00933456" w:rsidP="000663F1">
                            <w:pPr>
                              <w:pStyle w:val="Caption"/>
                              <w:rPr>
                                <w:bCs/>
                                <w:noProof/>
                                <w:sz w:val="24"/>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C7BAE" id="Text Box 197" o:spid="_x0000_s1096" type="#_x0000_t202" style="position:absolute;left:0;text-align:left;margin-left:-7.05pt;margin-top:5.85pt;width:222.65pt;height:56.1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" stroked="f">
                <v:textbox inset="0,0,0,0">
                  <w:txbxContent>
                    <w:p w14:paraId="1077C4D7" w14:textId="5240B854" w:rsidR="00933456" w:rsidRPr="009171EC" w:rsidRDefault="00933456" w:rsidP="000663F1">
                      <w:pPr>
                        <w:pStyle w:val="Caption"/>
                        <w:rPr>
                          <w:noProof/>
                        </w:rPr>
                      </w:pPr>
                      <w:bookmarkStart w:id="866" w:name="_Toc80120310"/>
                      <w:bookmarkStart w:id="867" w:name="_Toc80884186"/>
                      <w:bookmarkStart w:id="868" w:name="_Toc80884557"/>
                      <w:bookmarkStart w:id="869" w:name="_Toc82386408"/>
                      <w:r>
                        <w:t>Figure 4.36:</w:t>
                      </w:r>
                      <w:r>
                        <w:tab/>
                      </w:r>
                      <w:r w:rsidRPr="00EA6578">
                        <w:t xml:space="preserve">Percentage Distribution of Households Reported Outlet for Sale of </w:t>
                      </w:r>
                      <w:r>
                        <w:t>Goats</w:t>
                      </w:r>
                      <w:r w:rsidRPr="00EA6578">
                        <w:t xml:space="preserve"> During 2019/20 Agricultural Year, </w:t>
                      </w:r>
                      <w:r>
                        <w:t>Mainland Tanzania</w:t>
                      </w:r>
                      <w:bookmarkEnd w:id="866"/>
                      <w:bookmarkEnd w:id="867"/>
                      <w:bookmarkEnd w:id="868"/>
                      <w:bookmarkEnd w:id="869"/>
                    </w:p>
                    <w:p w14:paraId="4AA62A2F" w14:textId="320BF9B8" w:rsidR="00933456" w:rsidRPr="004464FF" w:rsidRDefault="00933456" w:rsidP="000663F1">
                      <w:pPr>
                        <w:pStyle w:val="Caption"/>
                        <w:rPr>
                          <w:bCs/>
                          <w:noProof/>
                          <w:sz w:val="24"/>
                          <w:szCs w:val="22"/>
                        </w:rPr>
                      </w:pPr>
                    </w:p>
                  </w:txbxContent>
                </v:textbox>
                <w10:wrap type="tight"/>
              </v:shape>
            </w:pict>
          </mc:Fallback>
        </mc:AlternateContent>
      </w:r>
      <w:r w:rsidR="000663F1" w:rsidRPr="006B42D6">
        <w:rPr>
          <w:noProof/>
        </w:rPr>
        <w:drawing>
          <wp:anchor distT="0" distB="0" distL="114300" distR="114300" simplePos="0" relativeHeight="251701248" behindDoc="1" locked="0" layoutInCell="1" allowOverlap="1" wp14:anchorId="0AF1D9BD" wp14:editId="0EBE6B80">
            <wp:simplePos x="0" y="0"/>
            <wp:positionH relativeFrom="column">
              <wp:posOffset>-97491</wp:posOffset>
            </wp:positionH>
            <wp:positionV relativeFrom="paragraph">
              <wp:posOffset>858383</wp:posOffset>
            </wp:positionV>
            <wp:extent cx="2882265" cy="2130425"/>
            <wp:effectExtent l="0" t="0" r="13335" b="15875"/>
            <wp:wrapTight wrapText="bothSides">
              <wp:wrapPolygon edited="0">
                <wp:start x="0" y="0"/>
                <wp:lineTo x="0" y="21632"/>
                <wp:lineTo x="21605" y="21632"/>
                <wp:lineTo x="21605" y="0"/>
                <wp:lineTo x="0" y="0"/>
              </wp:wrapPolygon>
            </wp:wrapTight>
            <wp:docPr id="194" name="Chart 194">
              <a:extLst xmlns:a="http://schemas.openxmlformats.org/drawingml/2006/main">
                <a:ext uri="{FF2B5EF4-FFF2-40B4-BE49-F238E27FC236}">
                  <a16:creationId xmlns:a16="http://schemas.microsoft.com/office/drawing/2014/main" id="{8D6172B2-435C-4E4E-BF57-5CEA8EE071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3"/>
              </a:graphicData>
            </a:graphic>
            <wp14:sizeRelH relativeFrom="page">
              <wp14:pctWidth>0</wp14:pctWidth>
            </wp14:sizeRelH>
            <wp14:sizeRelV relativeFrom="page">
              <wp14:pctHeight>0</wp14:pctHeight>
            </wp14:sizeRelV>
          </wp:anchor>
        </w:drawing>
      </w:r>
    </w:p>
    <w:p w14:paraId="0D8AC51F" w14:textId="628BCF98" w:rsidR="000663F1" w:rsidRPr="006B42D6" w:rsidRDefault="00E72AAA" w:rsidP="0000454F">
      <w:pPr>
        <w:pStyle w:val="Heading3"/>
      </w:pPr>
      <w:bookmarkStart w:id="613" w:name="_Toc82385754"/>
      <w:r w:rsidRPr="006B42D6">
        <w:t>4.</w:t>
      </w:r>
      <w:r w:rsidR="00C4159B">
        <w:t>4</w:t>
      </w:r>
      <w:r w:rsidRPr="006B42D6">
        <w:t>.3</w:t>
      </w:r>
      <w:r w:rsidRPr="006B42D6">
        <w:tab/>
      </w:r>
      <w:r w:rsidR="000663F1" w:rsidRPr="006B42D6">
        <w:t>Chicken Outlets</w:t>
      </w:r>
      <w:bookmarkEnd w:id="613"/>
    </w:p>
    <w:p w14:paraId="1FB8E40C" w14:textId="14B5A3FB" w:rsidR="000663F1" w:rsidRPr="006B42D6" w:rsidRDefault="000663F1" w:rsidP="000663F1">
      <w:r w:rsidRPr="006B42D6">
        <w:t xml:space="preserve">During 2019/20 Agricultural year, majority of the households reported </w:t>
      </w:r>
      <w:r w:rsidR="00E72AAA" w:rsidRPr="006B42D6">
        <w:t>to sell</w:t>
      </w:r>
      <w:r w:rsidRPr="006B42D6">
        <w:t xml:space="preserve"> </w:t>
      </w:r>
      <w:r w:rsidR="00E72AAA" w:rsidRPr="006B42D6">
        <w:t xml:space="preserve">their </w:t>
      </w:r>
      <w:r w:rsidRPr="006B42D6">
        <w:t>chicken</w:t>
      </w:r>
      <w:r w:rsidR="00E72AAA" w:rsidRPr="006B42D6">
        <w:t xml:space="preserve"> </w:t>
      </w:r>
      <w:r w:rsidRPr="006B42D6">
        <w:t>to neighbo</w:t>
      </w:r>
      <w:r w:rsidR="00F149FC" w:rsidRPr="006B42D6">
        <w:t>u</w:t>
      </w:r>
      <w:r w:rsidRPr="006B42D6">
        <w:t>r</w:t>
      </w:r>
      <w:r w:rsidR="00F149FC" w:rsidRPr="006B42D6">
        <w:t>s</w:t>
      </w:r>
      <w:r w:rsidRPr="006B42D6">
        <w:t xml:space="preserve"> (1,5</w:t>
      </w:r>
      <w:r w:rsidR="00EF04A4" w:rsidRPr="006B42D6">
        <w:t>89</w:t>
      </w:r>
      <w:r w:rsidRPr="006B42D6">
        <w:t>,</w:t>
      </w:r>
      <w:r w:rsidR="00EF04A4" w:rsidRPr="006B42D6">
        <w:t>889</w:t>
      </w:r>
      <w:r w:rsidRPr="006B42D6">
        <w:t xml:space="preserve">; </w:t>
      </w:r>
      <w:r w:rsidR="00EF04A4" w:rsidRPr="006B42D6">
        <w:t>39</w:t>
      </w:r>
      <w:r w:rsidRPr="006B42D6">
        <w:t>.</w:t>
      </w:r>
      <w:r w:rsidR="00EF04A4" w:rsidRPr="006B42D6">
        <w:t>5</w:t>
      </w:r>
      <w:r w:rsidRPr="006B42D6">
        <w:t xml:space="preserve"> percent), followed by those who trade</w:t>
      </w:r>
      <w:r w:rsidR="00F149FC" w:rsidRPr="006B42D6">
        <w:t>d</w:t>
      </w:r>
      <w:r w:rsidRPr="006B42D6">
        <w:t xml:space="preserve"> at farm (</w:t>
      </w:r>
      <w:r w:rsidR="00EF04A4" w:rsidRPr="006B42D6">
        <w:t>1,172,484</w:t>
      </w:r>
      <w:r w:rsidRPr="006B42D6">
        <w:t xml:space="preserve">; </w:t>
      </w:r>
      <w:r w:rsidR="00EF04A4" w:rsidRPr="006B42D6">
        <w:t>29.1</w:t>
      </w:r>
      <w:r w:rsidRPr="006B42D6">
        <w:t xml:space="preserve"> percent) and </w:t>
      </w:r>
      <w:r w:rsidR="00EF04A4" w:rsidRPr="006B42D6">
        <w:t xml:space="preserve">primary market </w:t>
      </w:r>
      <w:r w:rsidRPr="006B42D6">
        <w:t>(</w:t>
      </w:r>
      <w:r w:rsidR="00EF04A4" w:rsidRPr="006B42D6">
        <w:t>855,894</w:t>
      </w:r>
      <w:r w:rsidRPr="006B42D6">
        <w:t xml:space="preserve">; </w:t>
      </w:r>
      <w:r w:rsidR="00EF04A4" w:rsidRPr="006B42D6">
        <w:t>21.3</w:t>
      </w:r>
      <w:r w:rsidRPr="006B42D6">
        <w:t xml:space="preserve"> percent). The least number of households reported to sell their chicken to </w:t>
      </w:r>
      <w:r w:rsidR="00EF04A4" w:rsidRPr="006B42D6">
        <w:t>secondary market</w:t>
      </w:r>
      <w:r w:rsidRPr="006B42D6">
        <w:t xml:space="preserve"> (</w:t>
      </w:r>
      <w:r w:rsidR="00EF04A4" w:rsidRPr="006B42D6">
        <w:t>93,477</w:t>
      </w:r>
      <w:r w:rsidRPr="006B42D6">
        <w:t xml:space="preserve">; </w:t>
      </w:r>
      <w:r w:rsidR="00EF04A4" w:rsidRPr="006B42D6">
        <w:t>2.3</w:t>
      </w:r>
      <w:r w:rsidRPr="006B42D6">
        <w:t xml:space="preserve"> percent).</w:t>
      </w:r>
    </w:p>
    <w:p w14:paraId="1311532A" w14:textId="7D0FCC5B" w:rsidR="00871919" w:rsidRDefault="00871919">
      <w:pPr>
        <w:spacing w:line="240" w:lineRule="auto"/>
        <w:contextualSpacing w:val="0"/>
        <w:jc w:val="left"/>
      </w:pPr>
      <w:r>
        <w:br w:type="page"/>
      </w:r>
    </w:p>
    <w:p w14:paraId="1AB02B95" w14:textId="456C2C56" w:rsidR="000663F1" w:rsidRDefault="00EF04A4" w:rsidP="00D56B0E">
      <w:r w:rsidRPr="006B42D6">
        <w:lastRenderedPageBreak/>
        <w:t>Furthermore, i</w:t>
      </w:r>
      <w:r w:rsidR="000663F1" w:rsidRPr="006B42D6">
        <w:t xml:space="preserve">n </w:t>
      </w:r>
      <w:r w:rsidR="00EA1552">
        <w:t>Mainland Tanzania</w:t>
      </w:r>
      <w:r w:rsidR="000663F1" w:rsidRPr="006B42D6">
        <w:t xml:space="preserve">, most of households sold their chicken to </w:t>
      </w:r>
      <w:bookmarkStart w:id="614" w:name="OLE_LINK10"/>
      <w:r w:rsidRPr="006B42D6">
        <w:t>neighbo</w:t>
      </w:r>
      <w:r w:rsidR="00F149FC" w:rsidRPr="006B42D6">
        <w:t>u</w:t>
      </w:r>
      <w:r w:rsidRPr="006B42D6">
        <w:t xml:space="preserve">r </w:t>
      </w:r>
      <w:bookmarkEnd w:id="614"/>
      <w:r w:rsidR="000663F1" w:rsidRPr="006B42D6">
        <w:t>(1,</w:t>
      </w:r>
      <w:r w:rsidRPr="006B42D6">
        <w:t>551,011</w:t>
      </w:r>
      <w:r w:rsidR="000663F1" w:rsidRPr="006B42D6">
        <w:t xml:space="preserve">; </w:t>
      </w:r>
      <w:r w:rsidRPr="006B42D6">
        <w:t>39.2</w:t>
      </w:r>
      <w:r w:rsidR="000663F1" w:rsidRPr="006B42D6">
        <w:t xml:space="preserve"> percent), followed by </w:t>
      </w:r>
      <w:r w:rsidR="00F149FC" w:rsidRPr="006B42D6">
        <w:t xml:space="preserve">those who </w:t>
      </w:r>
      <w:r w:rsidR="000663F1" w:rsidRPr="006B42D6">
        <w:t>trade at farm (</w:t>
      </w:r>
      <w:r w:rsidRPr="006B42D6">
        <w:t>1,159,961</w:t>
      </w:r>
      <w:r w:rsidR="000663F1" w:rsidRPr="006B42D6">
        <w:t>;</w:t>
      </w:r>
      <w:r w:rsidRPr="006B42D6">
        <w:t xml:space="preserve"> 29.3</w:t>
      </w:r>
      <w:r w:rsidR="000663F1" w:rsidRPr="006B42D6">
        <w:t xml:space="preserve"> percent) and </w:t>
      </w:r>
      <w:r w:rsidRPr="006B42D6">
        <w:t xml:space="preserve">primary market </w:t>
      </w:r>
      <w:r w:rsidR="000663F1" w:rsidRPr="006B42D6">
        <w:t>(</w:t>
      </w:r>
      <w:r w:rsidRPr="006B42D6">
        <w:t>850,975</w:t>
      </w:r>
      <w:r w:rsidR="000663F1" w:rsidRPr="006B42D6">
        <w:t xml:space="preserve">; </w:t>
      </w:r>
      <w:r w:rsidRPr="006B42D6">
        <w:t>21.5</w:t>
      </w:r>
      <w:r w:rsidR="000663F1" w:rsidRPr="006B42D6">
        <w:t xml:space="preserve"> percent). </w:t>
      </w:r>
      <w:r w:rsidRPr="006B42D6">
        <w:t>The</w:t>
      </w:r>
      <w:r w:rsidR="000663F1" w:rsidRPr="006B42D6">
        <w:t xml:space="preserve"> least number of households reported to sell their chicken to </w:t>
      </w:r>
      <w:r w:rsidRPr="006B42D6">
        <w:t>secondary market</w:t>
      </w:r>
      <w:r w:rsidR="000663F1" w:rsidRPr="006B42D6">
        <w:t xml:space="preserve"> (</w:t>
      </w:r>
      <w:r w:rsidRPr="006B42D6">
        <w:t>93,068</w:t>
      </w:r>
      <w:r w:rsidR="000663F1" w:rsidRPr="006B42D6">
        <w:t xml:space="preserve">; </w:t>
      </w:r>
      <w:r w:rsidRPr="006B42D6">
        <w:t>2.4</w:t>
      </w:r>
      <w:r w:rsidR="000663F1" w:rsidRPr="006B42D6">
        <w:t xml:space="preserve"> percent) (Figure </w:t>
      </w:r>
      <w:r w:rsidR="00F149FC" w:rsidRPr="006B42D6">
        <w:t>4.38</w:t>
      </w:r>
      <w:r w:rsidR="000663F1" w:rsidRPr="006B42D6">
        <w:t>).</w:t>
      </w:r>
    </w:p>
    <w:p w14:paraId="61EDA9DE" w14:textId="77777777" w:rsidR="00D56B0E" w:rsidRPr="006B42D6" w:rsidRDefault="00D56B0E" w:rsidP="00D56B0E">
      <w:pPr>
        <w:spacing w:line="240" w:lineRule="auto"/>
      </w:pPr>
    </w:p>
    <w:p w14:paraId="42B63CF5" w14:textId="28A7E72B" w:rsidR="000663F1" w:rsidRDefault="000663F1" w:rsidP="000663F1">
      <w:r w:rsidRPr="006B42D6">
        <w:t xml:space="preserve">In Tanzania Zanzibar, </w:t>
      </w:r>
      <w:r w:rsidR="00EF04A4" w:rsidRPr="006B42D6">
        <w:t>most</w:t>
      </w:r>
      <w:r w:rsidRPr="006B42D6">
        <w:t xml:space="preserve"> of </w:t>
      </w:r>
      <w:r w:rsidR="00EF04A4" w:rsidRPr="006B42D6">
        <w:t xml:space="preserve">the </w:t>
      </w:r>
      <w:r w:rsidRPr="006B42D6">
        <w:t xml:space="preserve">households traded their chicken </w:t>
      </w:r>
      <w:r w:rsidR="00EF04A4" w:rsidRPr="006B42D6">
        <w:t>to</w:t>
      </w:r>
      <w:r w:rsidRPr="006B42D6">
        <w:t xml:space="preserve"> </w:t>
      </w:r>
      <w:r w:rsidR="00EF04A4" w:rsidRPr="006B42D6">
        <w:t xml:space="preserve">neighbor </w:t>
      </w:r>
      <w:r w:rsidRPr="006B42D6">
        <w:t>(</w:t>
      </w:r>
      <w:r w:rsidR="00EF04A4" w:rsidRPr="006B42D6">
        <w:t>38,878</w:t>
      </w:r>
      <w:r w:rsidRPr="006B42D6">
        <w:t xml:space="preserve">; </w:t>
      </w:r>
      <w:r w:rsidR="00EF04A4" w:rsidRPr="006B42D6">
        <w:t>59.1</w:t>
      </w:r>
      <w:r w:rsidRPr="006B42D6">
        <w:t xml:space="preserve"> percent), followed by those </w:t>
      </w:r>
      <w:r w:rsidR="00EF04A4" w:rsidRPr="006B42D6">
        <w:t>traded at farm</w:t>
      </w:r>
      <w:r w:rsidRPr="006B42D6">
        <w:t xml:space="preserve"> (</w:t>
      </w:r>
      <w:r w:rsidR="00EF04A4" w:rsidRPr="006B42D6">
        <w:t>12,523</w:t>
      </w:r>
      <w:r w:rsidRPr="006B42D6">
        <w:t xml:space="preserve">; </w:t>
      </w:r>
      <w:r w:rsidR="00EF04A4" w:rsidRPr="006B42D6">
        <w:t>19.0</w:t>
      </w:r>
      <w:r w:rsidRPr="006B42D6">
        <w:t xml:space="preserve"> percent). The least number of households reported to sell their chicken to secondary market (</w:t>
      </w:r>
      <w:r w:rsidR="00EF04A4" w:rsidRPr="006B42D6">
        <w:t>409</w:t>
      </w:r>
      <w:r w:rsidRPr="006B42D6">
        <w:t xml:space="preserve">; </w:t>
      </w:r>
      <w:r w:rsidR="00EF04A4" w:rsidRPr="006B42D6">
        <w:t>0.6</w:t>
      </w:r>
      <w:r w:rsidRPr="006B42D6">
        <w:t xml:space="preserve"> percent) (Figure </w:t>
      </w:r>
      <w:r w:rsidR="00F149FC" w:rsidRPr="006B42D6">
        <w:t>4.39</w:t>
      </w:r>
      <w:r w:rsidRPr="006B42D6">
        <w:t>).</w:t>
      </w:r>
    </w:p>
    <w:p w14:paraId="4C5C1424" w14:textId="45B04A59" w:rsidR="00C4159B" w:rsidRDefault="00135766" w:rsidP="000663F1">
      <w:bookmarkStart w:id="615" w:name="_Toc79605946"/>
      <w:bookmarkStart w:id="616" w:name="_Toc79989928"/>
      <w:r w:rsidRPr="006B42D6">
        <w:rPr>
          <w:noProof/>
        </w:rPr>
        <w:drawing>
          <wp:anchor distT="0" distB="0" distL="114300" distR="114300" simplePos="0" relativeHeight="251706368" behindDoc="1" locked="0" layoutInCell="1" allowOverlap="1" wp14:anchorId="50442A67" wp14:editId="0315726F">
            <wp:simplePos x="0" y="0"/>
            <wp:positionH relativeFrom="column">
              <wp:posOffset>2947670</wp:posOffset>
            </wp:positionH>
            <wp:positionV relativeFrom="paragraph">
              <wp:posOffset>1016000</wp:posOffset>
            </wp:positionV>
            <wp:extent cx="2947035" cy="2361565"/>
            <wp:effectExtent l="0" t="0" r="12065" b="13335"/>
            <wp:wrapTight wrapText="bothSides">
              <wp:wrapPolygon edited="0">
                <wp:start x="0" y="0"/>
                <wp:lineTo x="0" y="21606"/>
                <wp:lineTo x="21595" y="21606"/>
                <wp:lineTo x="21595" y="0"/>
                <wp:lineTo x="0" y="0"/>
              </wp:wrapPolygon>
            </wp:wrapTight>
            <wp:docPr id="203" name="Chart 203">
              <a:extLst xmlns:a="http://schemas.openxmlformats.org/drawingml/2006/main">
                <a:ext uri="{FF2B5EF4-FFF2-40B4-BE49-F238E27FC236}">
                  <a16:creationId xmlns:a16="http://schemas.microsoft.com/office/drawing/2014/main" id="{F048F9F6-F111-8346-AF58-19715C0475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4"/>
              </a:graphicData>
            </a:graphic>
            <wp14:sizeRelH relativeFrom="page">
              <wp14:pctWidth>0</wp14:pctWidth>
            </wp14:sizeRelH>
            <wp14:sizeRelV relativeFrom="page">
              <wp14:pctHeight>0</wp14:pctHeight>
            </wp14:sizeRelV>
          </wp:anchor>
        </w:drawing>
      </w:r>
      <w:r w:rsidRPr="006B42D6">
        <w:rPr>
          <w:noProof/>
        </w:rPr>
        <w:drawing>
          <wp:anchor distT="0" distB="0" distL="114300" distR="114300" simplePos="0" relativeHeight="251705344" behindDoc="1" locked="0" layoutInCell="1" allowOverlap="1" wp14:anchorId="16B186CB" wp14:editId="7E5CA12B">
            <wp:simplePos x="0" y="0"/>
            <wp:positionH relativeFrom="column">
              <wp:posOffset>-110490</wp:posOffset>
            </wp:positionH>
            <wp:positionV relativeFrom="paragraph">
              <wp:posOffset>1016000</wp:posOffset>
            </wp:positionV>
            <wp:extent cx="3011170" cy="2362200"/>
            <wp:effectExtent l="0" t="0" r="11430" b="12700"/>
            <wp:wrapTight wrapText="bothSides">
              <wp:wrapPolygon edited="0">
                <wp:start x="0" y="0"/>
                <wp:lineTo x="0" y="21600"/>
                <wp:lineTo x="21591" y="21600"/>
                <wp:lineTo x="21591" y="0"/>
                <wp:lineTo x="0" y="0"/>
              </wp:wrapPolygon>
            </wp:wrapTight>
            <wp:docPr id="201" name="Chart 201">
              <a:extLst xmlns:a="http://schemas.openxmlformats.org/drawingml/2006/main">
                <a:ext uri="{FF2B5EF4-FFF2-40B4-BE49-F238E27FC236}">
                  <a16:creationId xmlns:a16="http://schemas.microsoft.com/office/drawing/2014/main" id="{03BE2932-307A-6F44-A537-8A256593BA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5"/>
              </a:graphicData>
            </a:graphic>
            <wp14:sizeRelH relativeFrom="page">
              <wp14:pctWidth>0</wp14:pctWidth>
            </wp14:sizeRelH>
            <wp14:sizeRelV relativeFrom="page">
              <wp14:pctHeight>0</wp14:pctHeight>
            </wp14:sizeRelV>
          </wp:anchor>
        </w:drawing>
      </w:r>
      <w:bookmarkEnd w:id="615"/>
      <w:bookmarkEnd w:id="616"/>
      <w:r w:rsidR="00BE2060" w:rsidRPr="006B42D6">
        <w:rPr>
          <w:noProof/>
        </w:rPr>
        <mc:AlternateContent>
          <mc:Choice Requires="wps">
            <w:drawing>
              <wp:anchor distT="0" distB="0" distL="114300" distR="114300" simplePos="0" relativeHeight="251708416" behindDoc="1" locked="0" layoutInCell="1" allowOverlap="1" wp14:anchorId="731A9B0F" wp14:editId="2FE47A87">
                <wp:simplePos x="0" y="0"/>
                <wp:positionH relativeFrom="column">
                  <wp:posOffset>3079115</wp:posOffset>
                </wp:positionH>
                <wp:positionV relativeFrom="paragraph">
                  <wp:posOffset>201930</wp:posOffset>
                </wp:positionV>
                <wp:extent cx="2813050" cy="724535"/>
                <wp:effectExtent l="0" t="0" r="6350" b="0"/>
                <wp:wrapTight wrapText="bothSides">
                  <wp:wrapPolygon edited="0">
                    <wp:start x="0" y="0"/>
                    <wp:lineTo x="0" y="21202"/>
                    <wp:lineTo x="21551" y="21202"/>
                    <wp:lineTo x="21551" y="0"/>
                    <wp:lineTo x="0" y="0"/>
                  </wp:wrapPolygon>
                </wp:wrapTight>
                <wp:docPr id="205" name="Text Box 205"/>
                <wp:cNvGraphicFramePr/>
                <a:graphic xmlns:a="http://schemas.openxmlformats.org/drawingml/2006/main">
                  <a:graphicData uri="http://schemas.microsoft.com/office/word/2010/wordprocessingShape">
                    <wps:wsp>
                      <wps:cNvSpPr txBox="1"/>
                      <wps:spPr>
                        <a:xfrm>
                          <a:off x="0" y="0"/>
                          <a:ext cx="2813050" cy="724535"/>
                        </a:xfrm>
                        <a:prstGeom prst="rect">
                          <a:avLst/>
                        </a:prstGeom>
                        <a:solidFill>
                          <a:prstClr val="white"/>
                        </a:solidFill>
                        <a:ln>
                          <a:noFill/>
                        </a:ln>
                      </wps:spPr>
                      <wps:txbx>
                        <w:txbxContent>
                          <w:p w14:paraId="62685202" w14:textId="59515002" w:rsidR="00933456" w:rsidRPr="00D70B23" w:rsidRDefault="00933456" w:rsidP="004333AA">
                            <w:pPr>
                              <w:pStyle w:val="Caption"/>
                              <w:rPr>
                                <w:bCs/>
                                <w:noProof/>
                                <w:sz w:val="24"/>
                                <w:szCs w:val="22"/>
                              </w:rPr>
                            </w:pPr>
                            <w:bookmarkStart w:id="617" w:name="_Toc80120311"/>
                            <w:bookmarkStart w:id="618" w:name="_Toc80884187"/>
                            <w:bookmarkStart w:id="619" w:name="_Toc80884558"/>
                            <w:bookmarkStart w:id="620" w:name="_Toc82386409"/>
                            <w:r>
                              <w:t>Figure 4.39:</w:t>
                            </w:r>
                            <w:r>
                              <w:tab/>
                            </w:r>
                            <w:r w:rsidRPr="00EA6578">
                              <w:t xml:space="preserve">Percentage Distribution of Households Reported Outlet for Sale of </w:t>
                            </w:r>
                            <w:r>
                              <w:t>Chicken</w:t>
                            </w:r>
                            <w:r w:rsidRPr="00EA6578">
                              <w:t xml:space="preserve"> During 2019/20 Agricultural Year, Tanzania</w:t>
                            </w:r>
                            <w:r>
                              <w:t xml:space="preserve"> Zanzibar</w:t>
                            </w:r>
                            <w:bookmarkEnd w:id="617"/>
                            <w:bookmarkEnd w:id="618"/>
                            <w:bookmarkEnd w:id="619"/>
                            <w:bookmarkEnd w:id="62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1A9B0F" id="Text Box 205" o:spid="_x0000_s1097" type="#_x0000_t202" style="position:absolute;left:0;text-align:left;margin-left:242.45pt;margin-top:15.9pt;width:221.5pt;height:57.0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" stroked="f">
                <v:textbox inset="0,0,0,0">
                  <w:txbxContent>
                    <w:p w14:paraId="62685202" w14:textId="59515002" w:rsidR="00933456" w:rsidRPr="00D70B23" w:rsidRDefault="00933456" w:rsidP="004333AA">
                      <w:pPr>
                        <w:pStyle w:val="Caption"/>
                        <w:rPr>
                          <w:bCs/>
                          <w:noProof/>
                          <w:sz w:val="24"/>
                          <w:szCs w:val="22"/>
                        </w:rPr>
                      </w:pPr>
                      <w:bookmarkStart w:id="878" w:name="_Toc80120311"/>
                      <w:bookmarkStart w:id="879" w:name="_Toc80884187"/>
                      <w:bookmarkStart w:id="880" w:name="_Toc80884558"/>
                      <w:bookmarkStart w:id="881" w:name="_Toc82386409"/>
                      <w:r>
                        <w:t>Figure 4.39:</w:t>
                      </w:r>
                      <w:r>
                        <w:tab/>
                      </w:r>
                      <w:r w:rsidRPr="00EA6578">
                        <w:t xml:space="preserve">Percentage Distribution of Households Reported Outlet for Sale of </w:t>
                      </w:r>
                      <w:r>
                        <w:t>Chicken</w:t>
                      </w:r>
                      <w:r w:rsidRPr="00EA6578">
                        <w:t xml:space="preserve"> During 2019/20 Agricultural Year, Tanzania</w:t>
                      </w:r>
                      <w:r>
                        <w:t xml:space="preserve"> Zanzibar</w:t>
                      </w:r>
                      <w:bookmarkEnd w:id="878"/>
                      <w:bookmarkEnd w:id="879"/>
                      <w:bookmarkEnd w:id="880"/>
                      <w:bookmarkEnd w:id="881"/>
                    </w:p>
                  </w:txbxContent>
                </v:textbox>
                <w10:wrap type="tight"/>
              </v:shape>
            </w:pict>
          </mc:Fallback>
        </mc:AlternateContent>
      </w:r>
      <w:r w:rsidR="00D91877" w:rsidRPr="006B42D6">
        <w:rPr>
          <w:noProof/>
        </w:rPr>
        <mc:AlternateContent>
          <mc:Choice Requires="wps">
            <w:drawing>
              <wp:anchor distT="0" distB="0" distL="114300" distR="114300" simplePos="0" relativeHeight="251707392" behindDoc="1" locked="0" layoutInCell="1" allowOverlap="1" wp14:anchorId="6DE53BE3" wp14:editId="6B3D4F5A">
                <wp:simplePos x="0" y="0"/>
                <wp:positionH relativeFrom="column">
                  <wp:posOffset>36195</wp:posOffset>
                </wp:positionH>
                <wp:positionV relativeFrom="paragraph">
                  <wp:posOffset>201930</wp:posOffset>
                </wp:positionV>
                <wp:extent cx="3002280" cy="724535"/>
                <wp:effectExtent l="0" t="0" r="0" b="0"/>
                <wp:wrapTight wrapText="bothSides">
                  <wp:wrapPolygon edited="0">
                    <wp:start x="0" y="0"/>
                    <wp:lineTo x="0" y="21202"/>
                    <wp:lineTo x="21472" y="21202"/>
                    <wp:lineTo x="21472" y="0"/>
                    <wp:lineTo x="0" y="0"/>
                  </wp:wrapPolygon>
                </wp:wrapTight>
                <wp:docPr id="204" name="Text Box 204"/>
                <wp:cNvGraphicFramePr/>
                <a:graphic xmlns:a="http://schemas.openxmlformats.org/drawingml/2006/main">
                  <a:graphicData uri="http://schemas.microsoft.com/office/word/2010/wordprocessingShape">
                    <wps:wsp>
                      <wps:cNvSpPr txBox="1"/>
                      <wps:spPr>
                        <a:xfrm>
                          <a:off x="0" y="0"/>
                          <a:ext cx="3002280" cy="724535"/>
                        </a:xfrm>
                        <a:prstGeom prst="rect">
                          <a:avLst/>
                        </a:prstGeom>
                        <a:solidFill>
                          <a:prstClr val="white"/>
                        </a:solidFill>
                        <a:ln>
                          <a:noFill/>
                        </a:ln>
                      </wps:spPr>
                      <wps:txbx>
                        <w:txbxContent>
                          <w:p w14:paraId="60F19073" w14:textId="036DAD20" w:rsidR="00933456" w:rsidRPr="00F05E87" w:rsidRDefault="00933456" w:rsidP="004333AA">
                            <w:pPr>
                              <w:pStyle w:val="Caption"/>
                              <w:rPr>
                                <w:bCs/>
                                <w:noProof/>
                                <w:sz w:val="24"/>
                                <w:szCs w:val="22"/>
                              </w:rPr>
                            </w:pPr>
                            <w:bookmarkStart w:id="621" w:name="_Toc80120312"/>
                            <w:bookmarkStart w:id="622" w:name="_Toc80884188"/>
                            <w:bookmarkStart w:id="623" w:name="_Toc80884559"/>
                            <w:bookmarkStart w:id="624" w:name="_Toc82386410"/>
                            <w:r>
                              <w:t>Figure 4.38:</w:t>
                            </w:r>
                            <w:r>
                              <w:tab/>
                            </w:r>
                            <w:r w:rsidRPr="00EA6578">
                              <w:t xml:space="preserve">Percentage Distribution of Households Reported Outlet for Sale of </w:t>
                            </w:r>
                            <w:r>
                              <w:t>Chicken</w:t>
                            </w:r>
                            <w:r w:rsidRPr="00EA6578">
                              <w:t xml:space="preserve"> During 2019/20 Agricultural Year, </w:t>
                            </w:r>
                            <w:r>
                              <w:t>Mainland Tanzania</w:t>
                            </w:r>
                            <w:bookmarkEnd w:id="621"/>
                            <w:bookmarkEnd w:id="622"/>
                            <w:bookmarkEnd w:id="623"/>
                            <w:bookmarkEnd w:id="62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E53BE3" id="Text Box 204" o:spid="_x0000_s1098" type="#_x0000_t202" style="position:absolute;left:0;text-align:left;margin-left:2.85pt;margin-top:15.9pt;width:236.4pt;height:57.0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" stroked="f">
                <v:textbox inset="0,0,0,0">
                  <w:txbxContent>
                    <w:p w14:paraId="60F19073" w14:textId="036DAD20" w:rsidR="00933456" w:rsidRPr="00F05E87" w:rsidRDefault="00933456" w:rsidP="004333AA">
                      <w:pPr>
                        <w:pStyle w:val="Caption"/>
                        <w:rPr>
                          <w:bCs/>
                          <w:noProof/>
                          <w:sz w:val="24"/>
                          <w:szCs w:val="22"/>
                        </w:rPr>
                      </w:pPr>
                      <w:bookmarkStart w:id="886" w:name="_Toc80120312"/>
                      <w:bookmarkStart w:id="887" w:name="_Toc80884188"/>
                      <w:bookmarkStart w:id="888" w:name="_Toc80884559"/>
                      <w:bookmarkStart w:id="889" w:name="_Toc82386410"/>
                      <w:r>
                        <w:t>Figure 4.38:</w:t>
                      </w:r>
                      <w:r>
                        <w:tab/>
                      </w:r>
                      <w:r w:rsidRPr="00EA6578">
                        <w:t xml:space="preserve">Percentage Distribution of Households Reported Outlet for Sale of </w:t>
                      </w:r>
                      <w:r>
                        <w:t>Chicken</w:t>
                      </w:r>
                      <w:r w:rsidRPr="00EA6578">
                        <w:t xml:space="preserve"> During 2019/20 Agricultural Year, </w:t>
                      </w:r>
                      <w:r>
                        <w:t>Mainland Tanzania</w:t>
                      </w:r>
                      <w:bookmarkEnd w:id="886"/>
                      <w:bookmarkEnd w:id="887"/>
                      <w:bookmarkEnd w:id="888"/>
                      <w:bookmarkEnd w:id="889"/>
                    </w:p>
                  </w:txbxContent>
                </v:textbox>
                <w10:wrap type="tight"/>
              </v:shape>
            </w:pict>
          </mc:Fallback>
        </mc:AlternateContent>
      </w:r>
    </w:p>
    <w:p w14:paraId="0DA837FD" w14:textId="4E8DDB9B" w:rsidR="00204915" w:rsidRPr="00C4159B" w:rsidRDefault="00204915" w:rsidP="00135766"/>
    <w:p w14:paraId="118C5D7A" w14:textId="5FB68D2D" w:rsidR="004333AA" w:rsidRPr="006B42D6" w:rsidRDefault="00F149FC" w:rsidP="0000454F">
      <w:pPr>
        <w:pStyle w:val="Heading3"/>
      </w:pPr>
      <w:bookmarkStart w:id="625" w:name="_Toc82385755"/>
      <w:r w:rsidRPr="006B42D6">
        <w:t>4.</w:t>
      </w:r>
      <w:r w:rsidR="00C4159B">
        <w:t>4</w:t>
      </w:r>
      <w:r w:rsidRPr="006B42D6">
        <w:t>.4</w:t>
      </w:r>
      <w:r w:rsidRPr="006B42D6">
        <w:tab/>
      </w:r>
      <w:r w:rsidR="004333AA" w:rsidRPr="006B42D6">
        <w:t xml:space="preserve">Milk </w:t>
      </w:r>
      <w:r w:rsidR="004333AA" w:rsidRPr="0000454F">
        <w:t>Outlets</w:t>
      </w:r>
      <w:bookmarkEnd w:id="625"/>
    </w:p>
    <w:p w14:paraId="50EAD2CF" w14:textId="390569EA" w:rsidR="004333AA" w:rsidRPr="006B42D6" w:rsidRDefault="004333AA" w:rsidP="004333AA">
      <w:r w:rsidRPr="006B42D6">
        <w:t xml:space="preserve">In Tanzania, majority of the households reported </w:t>
      </w:r>
      <w:r w:rsidR="00F149FC" w:rsidRPr="006B42D6">
        <w:t xml:space="preserve">to sell </w:t>
      </w:r>
      <w:r w:rsidRPr="006B42D6">
        <w:t>milk to neighbo</w:t>
      </w:r>
      <w:r w:rsidR="00F149FC" w:rsidRPr="006B42D6">
        <w:t>u</w:t>
      </w:r>
      <w:r w:rsidRPr="006B42D6">
        <w:t>r</w:t>
      </w:r>
      <w:r w:rsidR="00F149FC" w:rsidRPr="006B42D6">
        <w:t>s</w:t>
      </w:r>
      <w:r w:rsidRPr="006B42D6">
        <w:t xml:space="preserve"> (246,886; 55.4 percent), followed by those who </w:t>
      </w:r>
      <w:r w:rsidR="00F149FC" w:rsidRPr="006B42D6">
        <w:t xml:space="preserve">sell to the </w:t>
      </w:r>
      <w:r w:rsidRPr="006B42D6">
        <w:t>local market/trade store (70,149; 15.7 percent) and at farm (47,456; 10.6 percent). The least number of households reported to sell milk to large scale farm</w:t>
      </w:r>
      <w:r w:rsidR="00BB58DA" w:rsidRPr="006B42D6">
        <w:t>s</w:t>
      </w:r>
      <w:r w:rsidRPr="006B42D6">
        <w:t xml:space="preserve"> (1,574; 0.4 percent).</w:t>
      </w:r>
    </w:p>
    <w:p w14:paraId="5BA61F99" w14:textId="77777777" w:rsidR="004333AA" w:rsidRPr="006B42D6" w:rsidRDefault="004333AA" w:rsidP="00D56B0E">
      <w:pPr>
        <w:spacing w:line="240" w:lineRule="auto"/>
      </w:pPr>
    </w:p>
    <w:p w14:paraId="0F17069A" w14:textId="0B629B80" w:rsidR="004333AA" w:rsidRPr="006B42D6" w:rsidRDefault="004333AA" w:rsidP="004333AA">
      <w:r w:rsidRPr="006B42D6">
        <w:t xml:space="preserve">In </w:t>
      </w:r>
      <w:r w:rsidR="00EA1552">
        <w:t>Mainland Tanzania</w:t>
      </w:r>
      <w:r w:rsidRPr="006B42D6">
        <w:t>, most of households sold their milk to neighbor (239,348; 56.4 percent), followed by local market/trade store (68,065; 16.0 percent) and private milk collection centers (41,953; 9.9 percent). The least number of households reported to sell their milk to large scale farm</w:t>
      </w:r>
      <w:r w:rsidR="00BB58DA" w:rsidRPr="006B42D6">
        <w:t>s</w:t>
      </w:r>
      <w:r w:rsidRPr="006B42D6">
        <w:t xml:space="preserve"> (1,201; 0.3 percent) (Figure </w:t>
      </w:r>
      <w:r w:rsidR="00F149FC" w:rsidRPr="006B42D6">
        <w:t>4.40</w:t>
      </w:r>
      <w:r w:rsidRPr="006B42D6">
        <w:t>).</w:t>
      </w:r>
    </w:p>
    <w:p w14:paraId="01650982" w14:textId="68D3C14C" w:rsidR="00135766" w:rsidRDefault="00135766">
      <w:pPr>
        <w:spacing w:line="240" w:lineRule="auto"/>
        <w:contextualSpacing w:val="0"/>
        <w:jc w:val="left"/>
      </w:pPr>
      <w:r>
        <w:br w:type="page"/>
      </w:r>
    </w:p>
    <w:p w14:paraId="2094D55F" w14:textId="587B9F36" w:rsidR="004333AA" w:rsidRDefault="004333AA" w:rsidP="004333AA">
      <w:r w:rsidRPr="006B42D6">
        <w:lastRenderedPageBreak/>
        <w:t xml:space="preserve">In Tanzania Zanzibar, most of the households traded their milk to trade at farm (8,236; 38.8 percent), followed by those who sold to neighbor (7,538; 35.5 percent). The least number of households reported to sell their milk to </w:t>
      </w:r>
      <w:r w:rsidR="00BB58DA" w:rsidRPr="006B42D6">
        <w:t>other places</w:t>
      </w:r>
      <w:r w:rsidRPr="006B42D6">
        <w:t xml:space="preserve"> (</w:t>
      </w:r>
      <w:r w:rsidR="00BB58DA" w:rsidRPr="006B42D6">
        <w:t>51</w:t>
      </w:r>
      <w:r w:rsidRPr="006B42D6">
        <w:t>; 0.</w:t>
      </w:r>
      <w:r w:rsidR="00BB58DA" w:rsidRPr="006B42D6">
        <w:t>2</w:t>
      </w:r>
      <w:r w:rsidRPr="006B42D6">
        <w:t xml:space="preserve"> percent) (Figure </w:t>
      </w:r>
      <w:r w:rsidR="00F149FC" w:rsidRPr="006B42D6">
        <w:t>4.41</w:t>
      </w:r>
      <w:r w:rsidRPr="006B42D6">
        <w:t>).</w:t>
      </w:r>
    </w:p>
    <w:p w14:paraId="1997C7DE" w14:textId="3806695A" w:rsidR="002261ED" w:rsidRPr="006B42D6" w:rsidRDefault="00135766" w:rsidP="004333AA">
      <w:r w:rsidRPr="006B42D6">
        <w:rPr>
          <w:noProof/>
        </w:rPr>
        <w:drawing>
          <wp:anchor distT="0" distB="0" distL="114300" distR="114300" simplePos="0" relativeHeight="251710464" behindDoc="1" locked="0" layoutInCell="1" allowOverlap="1" wp14:anchorId="6D1D96E0" wp14:editId="640479F4">
            <wp:simplePos x="0" y="0"/>
            <wp:positionH relativeFrom="column">
              <wp:posOffset>3025140</wp:posOffset>
            </wp:positionH>
            <wp:positionV relativeFrom="paragraph">
              <wp:posOffset>1134110</wp:posOffset>
            </wp:positionV>
            <wp:extent cx="2862580" cy="2095500"/>
            <wp:effectExtent l="25400" t="0" r="7620" b="12700"/>
            <wp:wrapTight wrapText="bothSides">
              <wp:wrapPolygon edited="0">
                <wp:start x="-192" y="0"/>
                <wp:lineTo x="-192" y="21600"/>
                <wp:lineTo x="21562" y="21600"/>
                <wp:lineTo x="21562" y="0"/>
                <wp:lineTo x="-192" y="0"/>
              </wp:wrapPolygon>
            </wp:wrapTight>
            <wp:docPr id="207" name="Chart 207">
              <a:extLst xmlns:a="http://schemas.openxmlformats.org/drawingml/2006/main">
                <a:ext uri="{FF2B5EF4-FFF2-40B4-BE49-F238E27FC236}">
                  <a16:creationId xmlns:a16="http://schemas.microsoft.com/office/drawing/2014/main" id="{B3315592-3F03-A14B-A23A-19171B9A7F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6"/>
              </a:graphicData>
            </a:graphic>
            <wp14:sizeRelH relativeFrom="page">
              <wp14:pctWidth>0</wp14:pctWidth>
            </wp14:sizeRelH>
            <wp14:sizeRelV relativeFrom="page">
              <wp14:pctHeight>0</wp14:pctHeight>
            </wp14:sizeRelV>
          </wp:anchor>
        </w:drawing>
      </w:r>
    </w:p>
    <w:bookmarkStart w:id="626" w:name="_Toc79605949"/>
    <w:bookmarkStart w:id="627" w:name="_Toc79605948"/>
    <w:bookmarkStart w:id="628" w:name="_Toc79989930"/>
    <w:p w14:paraId="18281A0A" w14:textId="032831AD" w:rsidR="00DC1FE7" w:rsidRPr="006B42D6" w:rsidRDefault="00BE2060" w:rsidP="00D56B0E">
      <w:r w:rsidRPr="006B42D6">
        <w:rPr>
          <w:noProof/>
        </w:rPr>
        <mc:AlternateContent>
          <mc:Choice Requires="wps">
            <w:drawing>
              <wp:anchor distT="0" distB="0" distL="114300" distR="114300" simplePos="0" relativeHeight="251712512" behindDoc="1" locked="0" layoutInCell="1" allowOverlap="1" wp14:anchorId="34A7E2DF" wp14:editId="3F6C6E59">
                <wp:simplePos x="0" y="0"/>
                <wp:positionH relativeFrom="margin">
                  <wp:posOffset>3094990</wp:posOffset>
                </wp:positionH>
                <wp:positionV relativeFrom="paragraph">
                  <wp:posOffset>67945</wp:posOffset>
                </wp:positionV>
                <wp:extent cx="2790825" cy="748665"/>
                <wp:effectExtent l="0" t="0" r="3175" b="635"/>
                <wp:wrapTight wrapText="bothSides">
                  <wp:wrapPolygon edited="0">
                    <wp:start x="0" y="0"/>
                    <wp:lineTo x="0" y="21252"/>
                    <wp:lineTo x="21526" y="21252"/>
                    <wp:lineTo x="21526" y="0"/>
                    <wp:lineTo x="0" y="0"/>
                  </wp:wrapPolygon>
                </wp:wrapTight>
                <wp:docPr id="209" name="Text Box 209"/>
                <wp:cNvGraphicFramePr/>
                <a:graphic xmlns:a="http://schemas.openxmlformats.org/drawingml/2006/main">
                  <a:graphicData uri="http://schemas.microsoft.com/office/word/2010/wordprocessingShape">
                    <wps:wsp>
                      <wps:cNvSpPr txBox="1"/>
                      <wps:spPr>
                        <a:xfrm>
                          <a:off x="0" y="0"/>
                          <a:ext cx="2790825" cy="748665"/>
                        </a:xfrm>
                        <a:prstGeom prst="rect">
                          <a:avLst/>
                        </a:prstGeom>
                        <a:solidFill>
                          <a:prstClr val="white"/>
                        </a:solidFill>
                        <a:ln>
                          <a:noFill/>
                        </a:ln>
                      </wps:spPr>
                      <wps:txbx>
                        <w:txbxContent>
                          <w:p w14:paraId="28AE667D" w14:textId="208AE25C" w:rsidR="00933456" w:rsidRPr="000B7AE2" w:rsidRDefault="00933456" w:rsidP="00DC1FE7">
                            <w:pPr>
                              <w:pStyle w:val="Caption"/>
                              <w:rPr>
                                <w:bCs/>
                                <w:noProof/>
                                <w:sz w:val="24"/>
                                <w:szCs w:val="22"/>
                              </w:rPr>
                            </w:pPr>
                            <w:bookmarkStart w:id="629" w:name="_Toc80120313"/>
                            <w:bookmarkStart w:id="630" w:name="_Toc80884189"/>
                            <w:bookmarkStart w:id="631" w:name="_Toc80884560"/>
                            <w:bookmarkStart w:id="632" w:name="_Toc82386411"/>
                            <w:r>
                              <w:t>Figure 4.41:</w:t>
                            </w:r>
                            <w:r>
                              <w:tab/>
                            </w:r>
                            <w:r w:rsidRPr="00EA6578">
                              <w:t xml:space="preserve">Percentage Distribution of Households Reported Outlet for Sale of </w:t>
                            </w:r>
                            <w:r>
                              <w:t>Milk</w:t>
                            </w:r>
                            <w:r w:rsidRPr="00EA6578">
                              <w:t xml:space="preserve"> During 2019/20 Agricultural Year, </w:t>
                            </w:r>
                            <w:r>
                              <w:t>Mainland Tanzania</w:t>
                            </w:r>
                            <w:bookmarkEnd w:id="629"/>
                            <w:bookmarkEnd w:id="630"/>
                            <w:bookmarkEnd w:id="631"/>
                            <w:bookmarkEnd w:id="63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A7E2DF" id="Text Box 209" o:spid="_x0000_s1099" type="#_x0000_t202" style="position:absolute;left:0;text-align:left;margin-left:243.7pt;margin-top:5.35pt;width:219.75pt;height:58.95pt;z-index:-251603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" stroked="f">
                <v:textbox inset="0,0,0,0">
                  <w:txbxContent>
                    <w:p w14:paraId="28AE667D" w14:textId="208AE25C" w:rsidR="00933456" w:rsidRPr="000B7AE2" w:rsidRDefault="00933456" w:rsidP="00DC1FE7">
                      <w:pPr>
                        <w:pStyle w:val="Caption"/>
                        <w:rPr>
                          <w:bCs/>
                          <w:noProof/>
                          <w:sz w:val="24"/>
                          <w:szCs w:val="22"/>
                        </w:rPr>
                      </w:pPr>
                      <w:bookmarkStart w:id="898" w:name="_Toc80120313"/>
                      <w:bookmarkStart w:id="899" w:name="_Toc80884189"/>
                      <w:bookmarkStart w:id="900" w:name="_Toc80884560"/>
                      <w:bookmarkStart w:id="901" w:name="_Toc82386411"/>
                      <w:r>
                        <w:t>Figure 4.41:</w:t>
                      </w:r>
                      <w:r>
                        <w:tab/>
                      </w:r>
                      <w:r w:rsidRPr="00EA6578">
                        <w:t xml:space="preserve">Percentage Distribution of Households Reported Outlet for Sale of </w:t>
                      </w:r>
                      <w:r>
                        <w:t>Milk</w:t>
                      </w:r>
                      <w:r w:rsidRPr="00EA6578">
                        <w:t xml:space="preserve"> During 2019/20 Agricultural Year, </w:t>
                      </w:r>
                      <w:r>
                        <w:t>Mainland Tanzania</w:t>
                      </w:r>
                      <w:bookmarkEnd w:id="898"/>
                      <w:bookmarkEnd w:id="899"/>
                      <w:bookmarkEnd w:id="900"/>
                      <w:bookmarkEnd w:id="901"/>
                    </w:p>
                  </w:txbxContent>
                </v:textbox>
                <w10:wrap type="tight" anchorx="margin"/>
              </v:shape>
            </w:pict>
          </mc:Fallback>
        </mc:AlternateContent>
      </w:r>
      <w:r w:rsidRPr="006B42D6">
        <w:rPr>
          <w:noProof/>
        </w:rPr>
        <w:drawing>
          <wp:anchor distT="0" distB="0" distL="114300" distR="114300" simplePos="0" relativeHeight="251709440" behindDoc="1" locked="0" layoutInCell="1" allowOverlap="1" wp14:anchorId="389B9926" wp14:editId="6E351414">
            <wp:simplePos x="0" y="0"/>
            <wp:positionH relativeFrom="column">
              <wp:posOffset>-43815</wp:posOffset>
            </wp:positionH>
            <wp:positionV relativeFrom="paragraph">
              <wp:posOffset>871220</wp:posOffset>
            </wp:positionV>
            <wp:extent cx="3070860" cy="2094865"/>
            <wp:effectExtent l="0" t="0" r="15240" b="13335"/>
            <wp:wrapTight wrapText="bothSides">
              <wp:wrapPolygon edited="0">
                <wp:start x="0" y="0"/>
                <wp:lineTo x="0" y="21607"/>
                <wp:lineTo x="21618" y="21607"/>
                <wp:lineTo x="21618" y="0"/>
                <wp:lineTo x="0" y="0"/>
              </wp:wrapPolygon>
            </wp:wrapTight>
            <wp:docPr id="206" name="Chart 206">
              <a:extLst xmlns:a="http://schemas.openxmlformats.org/drawingml/2006/main">
                <a:ext uri="{FF2B5EF4-FFF2-40B4-BE49-F238E27FC236}">
                  <a16:creationId xmlns:a16="http://schemas.microsoft.com/office/drawing/2014/main" id="{187FCF8D-3042-5245-AF8A-D9D32B5049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7"/>
              </a:graphicData>
            </a:graphic>
            <wp14:sizeRelH relativeFrom="page">
              <wp14:pctWidth>0</wp14:pctWidth>
            </wp14:sizeRelH>
            <wp14:sizeRelV relativeFrom="page">
              <wp14:pctHeight>0</wp14:pctHeight>
            </wp14:sizeRelV>
          </wp:anchor>
        </w:drawing>
      </w:r>
      <w:r w:rsidR="00D56B0E" w:rsidRPr="006B42D6">
        <w:rPr>
          <w:noProof/>
        </w:rPr>
        <mc:AlternateContent>
          <mc:Choice Requires="wps">
            <w:drawing>
              <wp:anchor distT="0" distB="0" distL="114300" distR="114300" simplePos="0" relativeHeight="251711488" behindDoc="1" locked="0" layoutInCell="1" allowOverlap="1" wp14:anchorId="522E4CD5" wp14:editId="1C6003D2">
                <wp:simplePos x="0" y="0"/>
                <wp:positionH relativeFrom="margin">
                  <wp:posOffset>19050</wp:posOffset>
                </wp:positionH>
                <wp:positionV relativeFrom="paragraph">
                  <wp:posOffset>122555</wp:posOffset>
                </wp:positionV>
                <wp:extent cx="3009900" cy="651510"/>
                <wp:effectExtent l="0" t="0" r="0" b="0"/>
                <wp:wrapTight wrapText="bothSides">
                  <wp:wrapPolygon edited="0">
                    <wp:start x="0" y="0"/>
                    <wp:lineTo x="0" y="21053"/>
                    <wp:lineTo x="21509" y="21053"/>
                    <wp:lineTo x="21509" y="0"/>
                    <wp:lineTo x="0" y="0"/>
                  </wp:wrapPolygon>
                </wp:wrapTight>
                <wp:docPr id="208" name="Text Box 208"/>
                <wp:cNvGraphicFramePr/>
                <a:graphic xmlns:a="http://schemas.openxmlformats.org/drawingml/2006/main">
                  <a:graphicData uri="http://schemas.microsoft.com/office/word/2010/wordprocessingShape">
                    <wps:wsp>
                      <wps:cNvSpPr txBox="1"/>
                      <wps:spPr>
                        <a:xfrm>
                          <a:off x="0" y="0"/>
                          <a:ext cx="3009900" cy="651510"/>
                        </a:xfrm>
                        <a:prstGeom prst="rect">
                          <a:avLst/>
                        </a:prstGeom>
                        <a:solidFill>
                          <a:prstClr val="white"/>
                        </a:solidFill>
                        <a:ln>
                          <a:noFill/>
                        </a:ln>
                      </wps:spPr>
                      <wps:txbx>
                        <w:txbxContent>
                          <w:p w14:paraId="31B2EF14" w14:textId="19D8FC2A" w:rsidR="00933456" w:rsidRPr="007044A9" w:rsidRDefault="00933456" w:rsidP="00DC1FE7">
                            <w:pPr>
                              <w:pStyle w:val="Caption"/>
                              <w:rPr>
                                <w:bCs/>
                                <w:noProof/>
                                <w:sz w:val="24"/>
                                <w:szCs w:val="22"/>
                              </w:rPr>
                            </w:pPr>
                            <w:bookmarkStart w:id="633" w:name="_Toc80120314"/>
                            <w:bookmarkStart w:id="634" w:name="_Toc80884190"/>
                            <w:bookmarkStart w:id="635" w:name="_Toc80884561"/>
                            <w:bookmarkStart w:id="636" w:name="_Toc82386412"/>
                            <w:r>
                              <w:t>Figure 4.40:</w:t>
                            </w:r>
                            <w:r>
                              <w:tab/>
                            </w:r>
                            <w:r w:rsidRPr="00EA6578">
                              <w:t xml:space="preserve">Percentage Distribution of Households Reported Outlet for Sale of </w:t>
                            </w:r>
                            <w:r>
                              <w:t>Milk</w:t>
                            </w:r>
                            <w:r w:rsidRPr="00EA6578">
                              <w:t xml:space="preserve"> During 2019/20 Agricultural Year, </w:t>
                            </w:r>
                            <w:r>
                              <w:t>Mainland Tanzania</w:t>
                            </w:r>
                            <w:bookmarkEnd w:id="633"/>
                            <w:bookmarkEnd w:id="634"/>
                            <w:bookmarkEnd w:id="635"/>
                            <w:bookmarkEnd w:id="63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E4CD5" id="Text Box 208" o:spid="_x0000_s1100" type="#_x0000_t202" style="position:absolute;left:0;text-align:left;margin-left:1.5pt;margin-top:9.65pt;width:237pt;height:51.3pt;z-index:-251604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" stroked="f">
                <v:textbox inset="0,0,0,0">
                  <w:txbxContent>
                    <w:p w14:paraId="31B2EF14" w14:textId="19D8FC2A" w:rsidR="00933456" w:rsidRPr="007044A9" w:rsidRDefault="00933456" w:rsidP="00DC1FE7">
                      <w:pPr>
                        <w:pStyle w:val="Caption"/>
                        <w:rPr>
                          <w:bCs/>
                          <w:noProof/>
                          <w:sz w:val="24"/>
                          <w:szCs w:val="22"/>
                        </w:rPr>
                      </w:pPr>
                      <w:bookmarkStart w:id="906" w:name="_Toc80120314"/>
                      <w:bookmarkStart w:id="907" w:name="_Toc80884190"/>
                      <w:bookmarkStart w:id="908" w:name="_Toc80884561"/>
                      <w:bookmarkStart w:id="909" w:name="_Toc82386412"/>
                      <w:r>
                        <w:t>Figure 4.40:</w:t>
                      </w:r>
                      <w:r>
                        <w:tab/>
                      </w:r>
                      <w:r w:rsidRPr="00EA6578">
                        <w:t xml:space="preserve">Percentage Distribution of Households Reported Outlet for Sale of </w:t>
                      </w:r>
                      <w:r>
                        <w:t>Milk</w:t>
                      </w:r>
                      <w:r w:rsidRPr="00EA6578">
                        <w:t xml:space="preserve"> During 2019/20 Agricultural Year, </w:t>
                      </w:r>
                      <w:r>
                        <w:t>Mainland Tanzania</w:t>
                      </w:r>
                      <w:bookmarkEnd w:id="906"/>
                      <w:bookmarkEnd w:id="907"/>
                      <w:bookmarkEnd w:id="908"/>
                      <w:bookmarkEnd w:id="909"/>
                    </w:p>
                  </w:txbxContent>
                </v:textbox>
                <w10:wrap type="tight" anchorx="margin"/>
              </v:shape>
            </w:pict>
          </mc:Fallback>
        </mc:AlternateContent>
      </w:r>
      <w:bookmarkEnd w:id="626"/>
      <w:bookmarkEnd w:id="627"/>
      <w:bookmarkEnd w:id="628"/>
    </w:p>
    <w:p w14:paraId="11590F50" w14:textId="2FCE1534" w:rsidR="000E1363" w:rsidRPr="006B42D6" w:rsidRDefault="000E1363" w:rsidP="005C2EFC">
      <w:pPr>
        <w:pStyle w:val="Heading2"/>
      </w:pPr>
      <w:bookmarkStart w:id="637" w:name="_Toc82385756"/>
      <w:r w:rsidRPr="006B42D6">
        <w:t>4.</w:t>
      </w:r>
      <w:r w:rsidR="00C4159B">
        <w:t>5</w:t>
      </w:r>
      <w:r w:rsidRPr="006B42D6">
        <w:tab/>
        <w:t>Livestock Pests and Parasites Control</w:t>
      </w:r>
      <w:bookmarkEnd w:id="637"/>
    </w:p>
    <w:p w14:paraId="0545DC9A" w14:textId="2A48DE7A" w:rsidR="000872A9" w:rsidRPr="006B42D6" w:rsidRDefault="000872A9" w:rsidP="000872A9">
      <w:pPr>
        <w:rPr>
          <w:spacing w:val="-1"/>
        </w:rPr>
      </w:pPr>
      <w:r w:rsidRPr="006B42D6">
        <w:rPr>
          <w:w w:val="107"/>
        </w:rPr>
        <w:t xml:space="preserve">Livestock pests and parasites pose a great threat to </w:t>
      </w:r>
      <w:r w:rsidR="00BD33E1" w:rsidRPr="006B42D6">
        <w:rPr>
          <w:w w:val="107"/>
        </w:rPr>
        <w:t>livestock</w:t>
      </w:r>
      <w:r w:rsidRPr="006B42D6">
        <w:rPr>
          <w:w w:val="107"/>
        </w:rPr>
        <w:t xml:space="preserve"> causing illness and hence reduced production, growth and sometimes deaths. Their control is most important in livestock rearing. In the 2019/20 </w:t>
      </w:r>
      <w:r w:rsidR="00F149FC" w:rsidRPr="006B42D6">
        <w:rPr>
          <w:w w:val="107"/>
        </w:rPr>
        <w:t>a</w:t>
      </w:r>
      <w:r w:rsidRPr="006B42D6">
        <w:rPr>
          <w:w w:val="107"/>
        </w:rPr>
        <w:t xml:space="preserve">gricultural year, the results on pests and disease control is presented in two segments. The first segment presents the results on common </w:t>
      </w:r>
      <w:r w:rsidRPr="006B42D6">
        <w:t xml:space="preserve">livestock diseases whilst the second segment presents the results on the control methods of specific types of </w:t>
      </w:r>
      <w:r w:rsidRPr="006B42D6">
        <w:rPr>
          <w:spacing w:val="-1"/>
        </w:rPr>
        <w:t xml:space="preserve">pests and parasites. </w:t>
      </w:r>
    </w:p>
    <w:p w14:paraId="287CA833" w14:textId="77777777" w:rsidR="00C46537" w:rsidRPr="006B42D6" w:rsidRDefault="00C46537" w:rsidP="00D56B0E">
      <w:pPr>
        <w:spacing w:line="240" w:lineRule="auto"/>
        <w:rPr>
          <w:spacing w:val="-1"/>
        </w:rPr>
      </w:pPr>
    </w:p>
    <w:p w14:paraId="30F0AC00" w14:textId="58506B22" w:rsidR="000E1363" w:rsidRPr="006B42D6" w:rsidRDefault="000E1363" w:rsidP="005C2EFC">
      <w:pPr>
        <w:pStyle w:val="Heading3"/>
      </w:pPr>
      <w:bookmarkStart w:id="638" w:name="_Toc82385757"/>
      <w:r w:rsidRPr="006B42D6">
        <w:t>4.</w:t>
      </w:r>
      <w:r w:rsidR="00C4159B">
        <w:t>5</w:t>
      </w:r>
      <w:r w:rsidRPr="006B42D6">
        <w:t>.1</w:t>
      </w:r>
      <w:r w:rsidR="0000655E" w:rsidRPr="006B42D6">
        <w:tab/>
      </w:r>
      <w:r w:rsidRPr="006B42D6">
        <w:rPr>
          <w:spacing w:val="-3"/>
        </w:rPr>
        <w:t>Common</w:t>
      </w:r>
      <w:r w:rsidRPr="006B42D6">
        <w:t xml:space="preserve"> Livestock Diseases</w:t>
      </w:r>
      <w:bookmarkEnd w:id="638"/>
      <w:r w:rsidRPr="006B42D6">
        <w:t xml:space="preserve"> </w:t>
      </w:r>
    </w:p>
    <w:p w14:paraId="54C2CA92" w14:textId="15B2C296" w:rsidR="00833238" w:rsidRDefault="00833238" w:rsidP="00833238">
      <w:pPr>
        <w:rPr>
          <w:spacing w:val="-3"/>
        </w:rPr>
      </w:pPr>
      <w:r w:rsidRPr="006B42D6">
        <w:rPr>
          <w:w w:val="105"/>
        </w:rPr>
        <w:t xml:space="preserve">The livestock diseases and pests control focused on species of cattle, goats, sheep, pigs and chickens. The most common </w:t>
      </w:r>
      <w:r w:rsidRPr="006B42D6">
        <w:t>livestock</w:t>
      </w:r>
      <w:r w:rsidRPr="006B42D6">
        <w:rPr>
          <w:w w:val="105"/>
        </w:rPr>
        <w:t xml:space="preserve"> diseases </w:t>
      </w:r>
      <w:r w:rsidRPr="006B42D6">
        <w:rPr>
          <w:w w:val="104"/>
        </w:rPr>
        <w:t xml:space="preserve">reported for these animals include Tick Borne </w:t>
      </w:r>
      <w:r w:rsidR="00F149FC" w:rsidRPr="006B42D6">
        <w:rPr>
          <w:w w:val="104"/>
        </w:rPr>
        <w:t>D</w:t>
      </w:r>
      <w:r w:rsidRPr="006B42D6">
        <w:rPr>
          <w:w w:val="104"/>
        </w:rPr>
        <w:t xml:space="preserve">iseases, Contagious Bovine Pleura Pneumonia (CBPP), Contagious Caprine Pleuropneumonia (CCPP), </w:t>
      </w:r>
      <w:r w:rsidR="00287863" w:rsidRPr="006B42D6">
        <w:rPr>
          <w:w w:val="104"/>
        </w:rPr>
        <w:t xml:space="preserve">trypanosomiasis, lumpy skin disease, helmenthioitis, Foot </w:t>
      </w:r>
      <w:r w:rsidRPr="006B42D6">
        <w:rPr>
          <w:w w:val="104"/>
        </w:rPr>
        <w:t xml:space="preserve">and Mouth Disease (FMD), </w:t>
      </w:r>
      <w:r w:rsidR="00287863" w:rsidRPr="006B42D6">
        <w:rPr>
          <w:w w:val="104"/>
        </w:rPr>
        <w:t xml:space="preserve">brucellosis, black quarter, anthrax, and </w:t>
      </w:r>
      <w:r w:rsidRPr="006B42D6">
        <w:rPr>
          <w:spacing w:val="-3"/>
        </w:rPr>
        <w:t xml:space="preserve">Newcastle </w:t>
      </w:r>
      <w:r w:rsidR="00F149FC" w:rsidRPr="006B42D6">
        <w:rPr>
          <w:spacing w:val="-3"/>
        </w:rPr>
        <w:t>D</w:t>
      </w:r>
      <w:r w:rsidRPr="006B42D6">
        <w:rPr>
          <w:spacing w:val="-3"/>
        </w:rPr>
        <w:t xml:space="preserve">isease (NCD). </w:t>
      </w:r>
    </w:p>
    <w:p w14:paraId="05DFA533" w14:textId="5303DEB6" w:rsidR="00135766" w:rsidRDefault="00135766">
      <w:pPr>
        <w:spacing w:line="240" w:lineRule="auto"/>
        <w:contextualSpacing w:val="0"/>
        <w:jc w:val="left"/>
        <w:rPr>
          <w:spacing w:val="-3"/>
        </w:rPr>
      </w:pPr>
      <w:r>
        <w:rPr>
          <w:spacing w:val="-3"/>
        </w:rPr>
        <w:br w:type="page"/>
      </w:r>
    </w:p>
    <w:p w14:paraId="2F314F80" w14:textId="29820A1E" w:rsidR="000E1363" w:rsidRPr="006B42D6" w:rsidRDefault="000E1363" w:rsidP="005C2EFC">
      <w:pPr>
        <w:pStyle w:val="Heading4"/>
      </w:pPr>
      <w:bookmarkStart w:id="639" w:name="_Toc82385758"/>
      <w:r w:rsidRPr="006B42D6">
        <w:lastRenderedPageBreak/>
        <w:t>4.</w:t>
      </w:r>
      <w:r w:rsidR="00C4159B">
        <w:t>5</w:t>
      </w:r>
      <w:r w:rsidRPr="006B42D6">
        <w:t>.1.1</w:t>
      </w:r>
      <w:r w:rsidR="0000655E" w:rsidRPr="006B42D6">
        <w:tab/>
      </w:r>
      <w:r w:rsidRPr="006B42D6">
        <w:t xml:space="preserve">Cattle </w:t>
      </w:r>
      <w:r w:rsidR="00287863" w:rsidRPr="006B42D6">
        <w:t>D</w:t>
      </w:r>
      <w:r w:rsidRPr="006B42D6">
        <w:t>iseases</w:t>
      </w:r>
      <w:bookmarkEnd w:id="639"/>
    </w:p>
    <w:p w14:paraId="11C3B5CC" w14:textId="41A88657" w:rsidR="000E1363" w:rsidRPr="006B42D6" w:rsidRDefault="000E1363" w:rsidP="005C2EFC">
      <w:pPr>
        <w:pStyle w:val="ColorfulList-Accent11"/>
        <w:widowControl w:val="0"/>
        <w:numPr>
          <w:ilvl w:val="0"/>
          <w:numId w:val="3"/>
        </w:numPr>
        <w:autoSpaceDE w:val="0"/>
        <w:autoSpaceDN w:val="0"/>
        <w:adjustRightInd w:val="0"/>
        <w:spacing w:before="20" w:after="0" w:line="360" w:lineRule="auto"/>
        <w:rPr>
          <w:rFonts w:ascii="Times New Roman" w:hAnsi="Times New Roman"/>
          <w:b/>
          <w:w w:val="105"/>
          <w:sz w:val="24"/>
          <w:szCs w:val="24"/>
        </w:rPr>
      </w:pPr>
      <w:r w:rsidRPr="006B42D6">
        <w:rPr>
          <w:rFonts w:ascii="Times New Roman" w:hAnsi="Times New Roman"/>
          <w:b/>
          <w:w w:val="105"/>
          <w:sz w:val="24"/>
          <w:szCs w:val="24"/>
        </w:rPr>
        <w:t xml:space="preserve">Tick Borne </w:t>
      </w:r>
      <w:r w:rsidR="00F149FC" w:rsidRPr="006B42D6">
        <w:rPr>
          <w:rFonts w:ascii="Times New Roman" w:hAnsi="Times New Roman"/>
          <w:b/>
          <w:w w:val="105"/>
          <w:sz w:val="24"/>
          <w:szCs w:val="24"/>
        </w:rPr>
        <w:t>D</w:t>
      </w:r>
      <w:r w:rsidRPr="006B42D6">
        <w:rPr>
          <w:rFonts w:ascii="Times New Roman" w:hAnsi="Times New Roman"/>
          <w:b/>
          <w:w w:val="105"/>
          <w:sz w:val="24"/>
          <w:szCs w:val="24"/>
        </w:rPr>
        <w:t>iseases</w:t>
      </w:r>
    </w:p>
    <w:p w14:paraId="2A189B6C" w14:textId="13CE0F92" w:rsidR="000872A9" w:rsidRPr="006B42D6" w:rsidRDefault="000872A9" w:rsidP="00833238">
      <w:pPr>
        <w:tabs>
          <w:tab w:val="left" w:pos="1702"/>
        </w:tabs>
        <w:adjustRightInd w:val="0"/>
        <w:spacing w:before="20"/>
        <w:ind w:left="360"/>
        <w:rPr>
          <w:w w:val="105"/>
        </w:rPr>
      </w:pPr>
      <w:r w:rsidRPr="006B42D6">
        <w:rPr>
          <w:w w:val="105"/>
        </w:rPr>
        <w:t xml:space="preserve">The total number of households reported encountering tick borne diseases to their cattle was 428,637 (417,517 in </w:t>
      </w:r>
      <w:r w:rsidR="00EA1552">
        <w:rPr>
          <w:lang w:eastAsia="en-GB"/>
        </w:rPr>
        <w:t>Mainland Tanzania</w:t>
      </w:r>
      <w:r w:rsidRPr="006B42D6">
        <w:rPr>
          <w:w w:val="105"/>
        </w:rPr>
        <w:t xml:space="preserve"> and 11,120 in </w:t>
      </w:r>
      <w:r w:rsidR="00327632" w:rsidRPr="006B42D6">
        <w:rPr>
          <w:lang w:eastAsia="en-GB"/>
        </w:rPr>
        <w:t xml:space="preserve">Tanzania </w:t>
      </w:r>
      <w:r w:rsidRPr="006B42D6">
        <w:rPr>
          <w:w w:val="105"/>
        </w:rPr>
        <w:t xml:space="preserve">Zanzibar), which represents 21.7 percent of the total cattle rearing households during </w:t>
      </w:r>
      <w:r w:rsidR="005E72D5" w:rsidRPr="006B42D6">
        <w:rPr>
          <w:w w:val="105"/>
        </w:rPr>
        <w:t>the 2019/20 a</w:t>
      </w:r>
      <w:r w:rsidRPr="006B42D6">
        <w:rPr>
          <w:w w:val="105"/>
        </w:rPr>
        <w:t xml:space="preserve">gricultural year. </w:t>
      </w:r>
    </w:p>
    <w:p w14:paraId="0D0F4C3D" w14:textId="77777777" w:rsidR="000872A9" w:rsidRPr="00DE782F" w:rsidRDefault="000872A9" w:rsidP="00D56B0E">
      <w:pPr>
        <w:spacing w:line="240" w:lineRule="auto"/>
        <w:rPr>
          <w:w w:val="105"/>
        </w:rPr>
      </w:pPr>
    </w:p>
    <w:p w14:paraId="388CEA10" w14:textId="77777777" w:rsidR="000C32CB" w:rsidRDefault="000872A9" w:rsidP="000C32CB">
      <w:pPr>
        <w:tabs>
          <w:tab w:val="left" w:pos="1702"/>
        </w:tabs>
        <w:adjustRightInd w:val="0"/>
        <w:spacing w:before="20"/>
        <w:ind w:left="360"/>
        <w:rPr>
          <w:w w:val="105"/>
        </w:rPr>
      </w:pPr>
      <w:r w:rsidRPr="006B42D6">
        <w:rPr>
          <w:w w:val="103"/>
        </w:rPr>
        <w:t xml:space="preserve">A total of </w:t>
      </w:r>
      <w:r w:rsidRPr="006B42D6">
        <w:rPr>
          <w:w w:val="105"/>
        </w:rPr>
        <w:t>4,359,545 cattle were infected with tick borne disease</w:t>
      </w:r>
      <w:r w:rsidR="00E560F5" w:rsidRPr="006B42D6">
        <w:rPr>
          <w:w w:val="105"/>
        </w:rPr>
        <w:t>s</w:t>
      </w:r>
      <w:r w:rsidRPr="006B42D6">
        <w:rPr>
          <w:w w:val="105"/>
        </w:rPr>
        <w:t xml:space="preserve">, of which 4,333,180 cattle were in </w:t>
      </w:r>
      <w:r w:rsidR="00EA1552">
        <w:rPr>
          <w:w w:val="105"/>
        </w:rPr>
        <w:t>Mainland Tanzania</w:t>
      </w:r>
      <w:r w:rsidRPr="006B42D6">
        <w:rPr>
          <w:w w:val="105"/>
        </w:rPr>
        <w:t xml:space="preserve"> and 26,365 in </w:t>
      </w:r>
      <w:r w:rsidR="00327632" w:rsidRPr="006B42D6">
        <w:rPr>
          <w:lang w:eastAsia="en-GB"/>
        </w:rPr>
        <w:t xml:space="preserve">Tanzania </w:t>
      </w:r>
      <w:r w:rsidRPr="006B42D6">
        <w:rPr>
          <w:w w:val="105"/>
        </w:rPr>
        <w:t xml:space="preserve">Zanzibar. In </w:t>
      </w:r>
      <w:r w:rsidR="00EA1552">
        <w:rPr>
          <w:lang w:eastAsia="en-GB"/>
        </w:rPr>
        <w:t>Mainland Tanzania</w:t>
      </w:r>
      <w:r w:rsidRPr="006B42D6">
        <w:rPr>
          <w:w w:val="105"/>
        </w:rPr>
        <w:t>, Pwani region had the highest proportion of cattle infected with tick borne disease</w:t>
      </w:r>
      <w:r w:rsidR="00E560F5" w:rsidRPr="006B42D6">
        <w:rPr>
          <w:w w:val="105"/>
        </w:rPr>
        <w:t>s</w:t>
      </w:r>
      <w:r w:rsidRPr="006B42D6">
        <w:rPr>
          <w:w w:val="103"/>
        </w:rPr>
        <w:t xml:space="preserve"> </w:t>
      </w:r>
      <w:r w:rsidRPr="006B42D6">
        <w:rPr>
          <w:spacing w:val="-2"/>
        </w:rPr>
        <w:t xml:space="preserve">(409,825 heads; 9.5 percent), </w:t>
      </w:r>
      <w:r w:rsidRPr="006B42D6">
        <w:rPr>
          <w:w w:val="105"/>
        </w:rPr>
        <w:t>followed by Arusha (365,918 heads; 8.4 percent) and Shinyanga (364,340 heads; 8.4 percent). The lowest proportion of cattle infected was reported in Dar es Salaam region (424; 0.01 percent).</w:t>
      </w:r>
    </w:p>
    <w:p w14:paraId="34DA7E99" w14:textId="77777777" w:rsidR="000C32CB" w:rsidRDefault="000C32CB" w:rsidP="00D56B0E">
      <w:pPr>
        <w:tabs>
          <w:tab w:val="left" w:pos="1702"/>
        </w:tabs>
        <w:adjustRightInd w:val="0"/>
        <w:spacing w:before="20" w:line="240" w:lineRule="auto"/>
        <w:ind w:left="360"/>
        <w:rPr>
          <w:spacing w:val="-2"/>
        </w:rPr>
      </w:pPr>
    </w:p>
    <w:p w14:paraId="20FCA361" w14:textId="0ACF954E" w:rsidR="0085694C" w:rsidRDefault="000872A9" w:rsidP="0085694C">
      <w:pPr>
        <w:tabs>
          <w:tab w:val="left" w:pos="1702"/>
        </w:tabs>
        <w:adjustRightInd w:val="0"/>
        <w:spacing w:before="20"/>
        <w:ind w:left="360"/>
        <w:rPr>
          <w:w w:val="105"/>
        </w:rPr>
      </w:pPr>
      <w:r w:rsidRPr="006B42D6">
        <w:rPr>
          <w:spacing w:val="-2"/>
        </w:rPr>
        <w:t xml:space="preserve">In </w:t>
      </w:r>
      <w:r w:rsidR="00327632" w:rsidRPr="006B42D6">
        <w:rPr>
          <w:lang w:eastAsia="en-GB"/>
        </w:rPr>
        <w:t xml:space="preserve">Tanzania </w:t>
      </w:r>
      <w:r w:rsidRPr="006B42D6">
        <w:rPr>
          <w:spacing w:val="-2"/>
        </w:rPr>
        <w:t xml:space="preserve">Zanzibar, Kusini Pemba Region had the highest number of cattle infected by </w:t>
      </w:r>
      <w:r w:rsidRPr="006B42D6">
        <w:rPr>
          <w:w w:val="105"/>
        </w:rPr>
        <w:t>tick borne disease</w:t>
      </w:r>
      <w:r w:rsidR="00E560F5" w:rsidRPr="006B42D6">
        <w:rPr>
          <w:w w:val="105"/>
        </w:rPr>
        <w:t>s</w:t>
      </w:r>
      <w:r w:rsidRPr="006B42D6">
        <w:rPr>
          <w:spacing w:val="-2"/>
        </w:rPr>
        <w:t xml:space="preserve"> (6,895;</w:t>
      </w:r>
      <w:r w:rsidR="00E560F5" w:rsidRPr="006B42D6">
        <w:rPr>
          <w:spacing w:val="-2"/>
        </w:rPr>
        <w:t xml:space="preserve"> </w:t>
      </w:r>
      <w:r w:rsidRPr="006B42D6">
        <w:rPr>
          <w:spacing w:val="-2"/>
        </w:rPr>
        <w:t xml:space="preserve">26.2 percent), followed by Kusini Unguja (6,829; 25.9 percent) and Kaskazini Unguja (5,820; 22.1 percent). </w:t>
      </w:r>
      <w:r w:rsidRPr="006B42D6">
        <w:rPr>
          <w:w w:val="105"/>
        </w:rPr>
        <w:t>The lowest proportion was reported in Kaskazini Pemba region (2,975; 11.3 percent)</w:t>
      </w:r>
      <w:r w:rsidR="0010146D" w:rsidRPr="006B42D6">
        <w:rPr>
          <w:w w:val="105"/>
        </w:rPr>
        <w:t xml:space="preserve"> (Map 4.</w:t>
      </w:r>
      <w:r w:rsidR="00C423EA" w:rsidRPr="006B42D6">
        <w:rPr>
          <w:w w:val="105"/>
        </w:rPr>
        <w:t>11</w:t>
      </w:r>
      <w:r w:rsidR="0010146D" w:rsidRPr="006B42D6">
        <w:rPr>
          <w:w w:val="105"/>
        </w:rPr>
        <w:t>).</w:t>
      </w:r>
    </w:p>
    <w:p w14:paraId="589F8E1A" w14:textId="56AE3EE4" w:rsidR="00135766" w:rsidRDefault="00135766">
      <w:pPr>
        <w:spacing w:line="240" w:lineRule="auto"/>
        <w:contextualSpacing w:val="0"/>
        <w:jc w:val="left"/>
        <w:rPr>
          <w:rStyle w:val="BookTitle"/>
          <w:rFonts w:ascii="Times New Roman" w:hAnsi="Times New Roman"/>
          <w:b w:val="0"/>
          <w:bCs w:val="0"/>
          <w:iCs w:val="0"/>
          <w:color w:val="auto"/>
          <w:spacing w:val="0"/>
          <w:w w:val="105"/>
          <w:sz w:val="24"/>
        </w:rPr>
      </w:pPr>
      <w:r>
        <w:rPr>
          <w:rStyle w:val="BookTitle"/>
          <w:rFonts w:ascii="Times New Roman" w:hAnsi="Times New Roman"/>
          <w:b w:val="0"/>
          <w:bCs w:val="0"/>
          <w:iCs w:val="0"/>
          <w:color w:val="auto"/>
          <w:spacing w:val="0"/>
          <w:w w:val="105"/>
          <w:sz w:val="24"/>
        </w:rPr>
        <w:br w:type="page"/>
      </w:r>
    </w:p>
    <w:p w14:paraId="1DC6683C" w14:textId="705EBFA0" w:rsidR="000E1363" w:rsidRPr="006B42D6" w:rsidRDefault="000E1363" w:rsidP="00BE2060">
      <w:pPr>
        <w:pStyle w:val="MapNew"/>
        <w:ind w:hanging="996"/>
        <w:rPr>
          <w:rStyle w:val="BookTitle"/>
          <w:color w:val="auto"/>
        </w:rPr>
      </w:pPr>
      <w:bookmarkStart w:id="640" w:name="_Toc80902566"/>
      <w:bookmarkStart w:id="641" w:name="_Toc82386484"/>
      <w:r w:rsidRPr="002261ED">
        <w:lastRenderedPageBreak/>
        <w:t xml:space="preserve">Map </w:t>
      </w:r>
      <w:r w:rsidR="00303D63" w:rsidRPr="002261ED">
        <w:t>4.</w:t>
      </w:r>
      <w:r w:rsidR="00C423EA" w:rsidRPr="002261ED">
        <w:t>11</w:t>
      </w:r>
      <w:r w:rsidR="001A31F1">
        <w:rPr>
          <w:rStyle w:val="BookTitle"/>
        </w:rPr>
        <w:t>:</w:t>
      </w:r>
      <w:r w:rsidR="00D56B0E">
        <w:rPr>
          <w:rStyle w:val="BookTitle"/>
          <w:color w:val="auto"/>
        </w:rPr>
        <w:tab/>
      </w:r>
      <w:r w:rsidRPr="002261ED">
        <w:t>Number of Households</w:t>
      </w:r>
      <w:r w:rsidRPr="006B42D6">
        <w:rPr>
          <w:rStyle w:val="BookTitle"/>
          <w:color w:val="auto"/>
        </w:rPr>
        <w:t xml:space="preserve"> </w:t>
      </w:r>
      <w:r w:rsidR="00F149FC" w:rsidRPr="002261ED">
        <w:t>Reported</w:t>
      </w:r>
      <w:r w:rsidRPr="002261ED">
        <w:t xml:space="preserve"> Tick Borne </w:t>
      </w:r>
      <w:r w:rsidR="00303D63" w:rsidRPr="002261ED">
        <w:t>D</w:t>
      </w:r>
      <w:r w:rsidRPr="002261ED">
        <w:t>iseases</w:t>
      </w:r>
      <w:r w:rsidR="00F149FC" w:rsidRPr="002261ED">
        <w:t xml:space="preserve"> Infections</w:t>
      </w:r>
      <w:r w:rsidRPr="002261ED">
        <w:t xml:space="preserve"> During 2019/20 Agricultural </w:t>
      </w:r>
      <w:r w:rsidR="00303D63" w:rsidRPr="002261ED">
        <w:t>Y</w:t>
      </w:r>
      <w:r w:rsidRPr="002261ED">
        <w:t>ear</w:t>
      </w:r>
      <w:r w:rsidR="00327632" w:rsidRPr="002261ED">
        <w:t>, Tanzania</w:t>
      </w:r>
      <w:bookmarkEnd w:id="640"/>
      <w:bookmarkEnd w:id="641"/>
    </w:p>
    <w:p w14:paraId="5F999119" w14:textId="188B815C" w:rsidR="000E1363" w:rsidRPr="006B42D6" w:rsidRDefault="00890203" w:rsidP="005C2EFC">
      <w:pPr>
        <w:adjustRightInd w:val="0"/>
        <w:spacing w:before="48"/>
        <w:ind w:left="142" w:right="-472"/>
        <w:rPr>
          <w:spacing w:val="-2"/>
        </w:rPr>
      </w:pPr>
      <w:r>
        <w:rPr>
          <w:noProof/>
        </w:rPr>
        <w:drawing>
          <wp:inline distT="0" distB="0" distL="0" distR="0" wp14:anchorId="3AEE55B4" wp14:editId="2CAD2907">
            <wp:extent cx="5801711" cy="4221085"/>
            <wp:effectExtent l="0" t="0" r="2540" b="0"/>
            <wp:docPr id="4322" name="Picture 4322"/>
            <wp:cNvGraphicFramePr/>
            <a:graphic xmlns:a="http://schemas.openxmlformats.org/drawingml/2006/main">
              <a:graphicData uri="http://schemas.openxmlformats.org/drawingml/2006/picture">
                <pic:pic xmlns:pic="http://schemas.openxmlformats.org/drawingml/2006/picture">
                  <pic:nvPicPr>
                    <pic:cNvPr id="4322" name="Picture 4322"/>
                    <pic:cNvPicPr/>
                  </pic:nvPicPr>
                  <pic:blipFill>
                    <a:blip r:embed="rId298"/>
                    <a:stretch>
                      <a:fillRect/>
                    </a:stretch>
                  </pic:blipFill>
                  <pic:spPr>
                    <a:xfrm>
                      <a:off x="0" y="0"/>
                      <a:ext cx="5811886" cy="4228488"/>
                    </a:xfrm>
                    <a:prstGeom prst="rect">
                      <a:avLst/>
                    </a:prstGeom>
                  </pic:spPr>
                </pic:pic>
              </a:graphicData>
            </a:graphic>
          </wp:inline>
        </w:drawing>
      </w:r>
    </w:p>
    <w:p w14:paraId="3F837724" w14:textId="317E72E0" w:rsidR="006C676D" w:rsidRPr="006B42D6" w:rsidRDefault="006C676D" w:rsidP="005C2EFC">
      <w:pPr>
        <w:adjustRightInd w:val="0"/>
        <w:spacing w:before="48"/>
        <w:ind w:left="142" w:right="-472"/>
        <w:rPr>
          <w:spacing w:val="-2"/>
        </w:rPr>
      </w:pPr>
    </w:p>
    <w:p w14:paraId="7068EA72" w14:textId="77777777" w:rsidR="000E1363" w:rsidRPr="006B42D6" w:rsidRDefault="000E1363" w:rsidP="005C2EFC">
      <w:pPr>
        <w:pStyle w:val="ColorfulList-Accent11"/>
        <w:widowControl w:val="0"/>
        <w:numPr>
          <w:ilvl w:val="0"/>
          <w:numId w:val="3"/>
        </w:numPr>
        <w:autoSpaceDE w:val="0"/>
        <w:autoSpaceDN w:val="0"/>
        <w:adjustRightInd w:val="0"/>
        <w:spacing w:before="20" w:after="0" w:line="360" w:lineRule="auto"/>
        <w:rPr>
          <w:rFonts w:ascii="Times New Roman" w:hAnsi="Times New Roman"/>
          <w:b/>
          <w:w w:val="105"/>
          <w:sz w:val="24"/>
          <w:szCs w:val="24"/>
        </w:rPr>
      </w:pPr>
      <w:r w:rsidRPr="006B42D6">
        <w:rPr>
          <w:rFonts w:ascii="Times New Roman" w:hAnsi="Times New Roman"/>
          <w:b/>
          <w:w w:val="105"/>
          <w:sz w:val="24"/>
          <w:szCs w:val="24"/>
        </w:rPr>
        <w:t>Contagious Bovine Pleura Pneumonia (CBPP)</w:t>
      </w:r>
    </w:p>
    <w:p w14:paraId="61EDC12F" w14:textId="6B4EF39B" w:rsidR="00833238" w:rsidRPr="006B42D6" w:rsidRDefault="00833238" w:rsidP="00833238">
      <w:pPr>
        <w:tabs>
          <w:tab w:val="left" w:pos="1702"/>
        </w:tabs>
        <w:adjustRightInd w:val="0"/>
        <w:spacing w:before="20"/>
        <w:ind w:left="360"/>
        <w:rPr>
          <w:w w:val="105"/>
        </w:rPr>
      </w:pPr>
      <w:r w:rsidRPr="006B42D6">
        <w:rPr>
          <w:w w:val="105"/>
        </w:rPr>
        <w:t xml:space="preserve">The total number of households reported to encounter CBPP disease to their cattle was 318,908 (314,214 in </w:t>
      </w:r>
      <w:r w:rsidR="00EA1552">
        <w:rPr>
          <w:lang w:eastAsia="en-GB"/>
        </w:rPr>
        <w:t>Mainland Tanzania</w:t>
      </w:r>
      <w:r w:rsidRPr="006B42D6">
        <w:rPr>
          <w:w w:val="105"/>
        </w:rPr>
        <w:t xml:space="preserve"> and 4,694 in </w:t>
      </w:r>
      <w:r w:rsidR="00327632" w:rsidRPr="006B42D6">
        <w:rPr>
          <w:lang w:eastAsia="en-GB"/>
        </w:rPr>
        <w:t xml:space="preserve">Tanzania </w:t>
      </w:r>
      <w:r w:rsidRPr="006B42D6">
        <w:rPr>
          <w:w w:val="105"/>
        </w:rPr>
        <w:t xml:space="preserve">Zanzibar), which represents 16.2 percent of the cattle rearing households during </w:t>
      </w:r>
      <w:r w:rsidR="005E72D5" w:rsidRPr="006B42D6">
        <w:rPr>
          <w:w w:val="105"/>
        </w:rPr>
        <w:t xml:space="preserve">the 2019/20 </w:t>
      </w:r>
      <w:r w:rsidR="00F149FC" w:rsidRPr="006B42D6">
        <w:rPr>
          <w:w w:val="105"/>
        </w:rPr>
        <w:t>a</w:t>
      </w:r>
      <w:r w:rsidRPr="006B42D6">
        <w:rPr>
          <w:w w:val="105"/>
        </w:rPr>
        <w:t xml:space="preserve">gricultural year. </w:t>
      </w:r>
    </w:p>
    <w:p w14:paraId="7919067B" w14:textId="77777777" w:rsidR="00833238" w:rsidRPr="006B42D6" w:rsidRDefault="00833238" w:rsidP="003F3E75">
      <w:pPr>
        <w:tabs>
          <w:tab w:val="left" w:pos="1702"/>
        </w:tabs>
        <w:adjustRightInd w:val="0"/>
        <w:spacing w:before="20" w:line="240" w:lineRule="auto"/>
        <w:ind w:left="360"/>
        <w:rPr>
          <w:w w:val="105"/>
        </w:rPr>
      </w:pPr>
    </w:p>
    <w:p w14:paraId="501A97CA" w14:textId="10E50061" w:rsidR="00833238" w:rsidRPr="006B42D6" w:rsidRDefault="00833238" w:rsidP="00833238">
      <w:pPr>
        <w:tabs>
          <w:tab w:val="left" w:pos="1702"/>
        </w:tabs>
        <w:adjustRightInd w:val="0"/>
        <w:spacing w:before="20"/>
        <w:ind w:left="360"/>
        <w:rPr>
          <w:w w:val="105"/>
        </w:rPr>
      </w:pPr>
      <w:r w:rsidRPr="006B42D6">
        <w:rPr>
          <w:w w:val="103"/>
        </w:rPr>
        <w:t xml:space="preserve">A total of </w:t>
      </w:r>
      <w:r w:rsidRPr="006B42D6">
        <w:rPr>
          <w:w w:val="105"/>
        </w:rPr>
        <w:t xml:space="preserve">3,516,887 cattle </w:t>
      </w:r>
      <w:r w:rsidRPr="006B42D6">
        <w:rPr>
          <w:w w:val="103"/>
        </w:rPr>
        <w:t xml:space="preserve">were </w:t>
      </w:r>
      <w:r w:rsidRPr="006B42D6">
        <w:rPr>
          <w:w w:val="105"/>
        </w:rPr>
        <w:t>reported to be infected with CBPP disease,</w:t>
      </w:r>
      <w:r w:rsidRPr="006B42D6">
        <w:rPr>
          <w:w w:val="103"/>
        </w:rPr>
        <w:t xml:space="preserve"> of which </w:t>
      </w:r>
      <w:r w:rsidRPr="006B42D6">
        <w:rPr>
          <w:w w:val="105"/>
        </w:rPr>
        <w:t xml:space="preserve">3,506,466 cattle </w:t>
      </w:r>
      <w:r w:rsidRPr="006B42D6">
        <w:rPr>
          <w:spacing w:val="-2"/>
        </w:rPr>
        <w:t xml:space="preserve">in </w:t>
      </w:r>
      <w:r w:rsidR="00EA1552">
        <w:rPr>
          <w:lang w:eastAsia="en-GB"/>
        </w:rPr>
        <w:t>Mainland Tanzania</w:t>
      </w:r>
      <w:r w:rsidRPr="006B42D6">
        <w:rPr>
          <w:spacing w:val="-2"/>
        </w:rPr>
        <w:t xml:space="preserve"> and 10,421 in Zanzibar. In </w:t>
      </w:r>
      <w:r w:rsidR="00EA1552">
        <w:rPr>
          <w:lang w:eastAsia="en-GB"/>
        </w:rPr>
        <w:t>Mainland Tanzania</w:t>
      </w:r>
      <w:r w:rsidRPr="006B42D6">
        <w:rPr>
          <w:spacing w:val="-2"/>
        </w:rPr>
        <w:t xml:space="preserve">, Manyara region had the highest </w:t>
      </w:r>
      <w:r w:rsidRPr="006B42D6">
        <w:rPr>
          <w:w w:val="105"/>
        </w:rPr>
        <w:t>proportion of cattle infected with CCBP disease</w:t>
      </w:r>
      <w:r w:rsidRPr="006B42D6">
        <w:rPr>
          <w:spacing w:val="-2"/>
        </w:rPr>
        <w:t xml:space="preserve"> (709,514; 20.2 percent), </w:t>
      </w:r>
      <w:r w:rsidRPr="006B42D6">
        <w:rPr>
          <w:w w:val="105"/>
        </w:rPr>
        <w:t>followed by Pwani (365,125; 10.4 percent) and Arusha (315,681; 9.0 percent). The lowest proportion of cattle infected was reported in Dar es Salaam region (424; 0.01 percent)</w:t>
      </w:r>
      <w:r w:rsidR="0010146D" w:rsidRPr="006B42D6">
        <w:rPr>
          <w:w w:val="105"/>
        </w:rPr>
        <w:t>.</w:t>
      </w:r>
    </w:p>
    <w:p w14:paraId="273E0B02" w14:textId="0A0BC9F6" w:rsidR="00135766" w:rsidRDefault="00135766">
      <w:pPr>
        <w:spacing w:line="240" w:lineRule="auto"/>
        <w:contextualSpacing w:val="0"/>
        <w:jc w:val="left"/>
        <w:rPr>
          <w:w w:val="105"/>
        </w:rPr>
      </w:pPr>
      <w:r>
        <w:rPr>
          <w:w w:val="105"/>
        </w:rPr>
        <w:br w:type="page"/>
      </w:r>
    </w:p>
    <w:p w14:paraId="1239116A" w14:textId="4825AC19" w:rsidR="00833238" w:rsidRPr="006B42D6" w:rsidRDefault="00833238" w:rsidP="00833238">
      <w:pPr>
        <w:tabs>
          <w:tab w:val="left" w:pos="1702"/>
        </w:tabs>
        <w:adjustRightInd w:val="0"/>
        <w:spacing w:before="20"/>
        <w:ind w:left="360"/>
        <w:rPr>
          <w:w w:val="105"/>
        </w:rPr>
      </w:pPr>
      <w:r w:rsidRPr="006B42D6">
        <w:rPr>
          <w:spacing w:val="-2"/>
        </w:rPr>
        <w:lastRenderedPageBreak/>
        <w:t xml:space="preserve">In </w:t>
      </w:r>
      <w:r w:rsidR="00327632" w:rsidRPr="006B42D6">
        <w:rPr>
          <w:lang w:eastAsia="en-GB"/>
        </w:rPr>
        <w:t xml:space="preserve">Tanzania </w:t>
      </w:r>
      <w:r w:rsidRPr="006B42D6">
        <w:rPr>
          <w:spacing w:val="-2"/>
        </w:rPr>
        <w:t xml:space="preserve">Zanzibar, Kaskazini Pemba region had the highest number of cattle infected with </w:t>
      </w:r>
      <w:r w:rsidRPr="006B42D6">
        <w:rPr>
          <w:w w:val="105"/>
        </w:rPr>
        <w:t>CBPP disease (</w:t>
      </w:r>
      <w:r w:rsidRPr="006B42D6">
        <w:rPr>
          <w:spacing w:val="-2"/>
        </w:rPr>
        <w:t xml:space="preserve">5,652; 54.2 percent), followed by Mjini Magharibi (1,918; 18.4 percent) and Kusini Pemba (1,614; 15.5 percent). </w:t>
      </w:r>
      <w:r w:rsidRPr="006B42D6">
        <w:rPr>
          <w:w w:val="105"/>
        </w:rPr>
        <w:t>The lowest proportion was reported in Kaskazini Unguja region (609; 5.8 percent)</w:t>
      </w:r>
      <w:r w:rsidR="0010146D" w:rsidRPr="006B42D6">
        <w:rPr>
          <w:w w:val="105"/>
        </w:rPr>
        <w:t xml:space="preserve"> (Map 4.1</w:t>
      </w:r>
      <w:r w:rsidR="00C423EA" w:rsidRPr="006B42D6">
        <w:rPr>
          <w:w w:val="105"/>
        </w:rPr>
        <w:t>2</w:t>
      </w:r>
      <w:r w:rsidR="0010146D" w:rsidRPr="006B42D6">
        <w:rPr>
          <w:w w:val="105"/>
        </w:rPr>
        <w:t>).</w:t>
      </w:r>
    </w:p>
    <w:p w14:paraId="15A8A310" w14:textId="77777777" w:rsidR="000E1363" w:rsidRPr="006B42D6" w:rsidRDefault="000E1363" w:rsidP="005C2EFC">
      <w:pPr>
        <w:tabs>
          <w:tab w:val="left" w:pos="1702"/>
        </w:tabs>
        <w:adjustRightInd w:val="0"/>
        <w:spacing w:before="20"/>
        <w:rPr>
          <w:spacing w:val="-2"/>
        </w:rPr>
      </w:pPr>
    </w:p>
    <w:p w14:paraId="46724D7B" w14:textId="66509CB4" w:rsidR="000E1363" w:rsidRPr="003F3E75" w:rsidRDefault="000E1363" w:rsidP="00BE2060">
      <w:pPr>
        <w:pStyle w:val="MapNew"/>
        <w:ind w:hanging="996"/>
        <w:rPr>
          <w:rStyle w:val="BookTitle"/>
          <w:rFonts w:ascii="Times New Roman" w:hAnsi="Times New Roman"/>
          <w:b/>
          <w:bCs w:val="0"/>
          <w:iCs/>
          <w:spacing w:val="0"/>
        </w:rPr>
      </w:pPr>
      <w:bookmarkStart w:id="642" w:name="_Toc80902567"/>
      <w:bookmarkStart w:id="643" w:name="_Toc82386485"/>
      <w:r w:rsidRPr="003F3E75">
        <w:rPr>
          <w:rStyle w:val="BookTitle"/>
          <w:rFonts w:ascii="Times New Roman" w:hAnsi="Times New Roman"/>
          <w:b/>
          <w:bCs w:val="0"/>
          <w:iCs/>
          <w:spacing w:val="0"/>
        </w:rPr>
        <w:t xml:space="preserve">Map </w:t>
      </w:r>
      <w:r w:rsidR="00303D63" w:rsidRPr="003F3E75">
        <w:rPr>
          <w:rStyle w:val="BookTitle"/>
          <w:rFonts w:ascii="Times New Roman" w:hAnsi="Times New Roman"/>
          <w:b/>
          <w:bCs w:val="0"/>
          <w:iCs/>
          <w:spacing w:val="0"/>
        </w:rPr>
        <w:t>4.1</w:t>
      </w:r>
      <w:r w:rsidR="00C423EA" w:rsidRPr="003F3E75">
        <w:rPr>
          <w:rStyle w:val="BookTitle"/>
          <w:rFonts w:ascii="Times New Roman" w:hAnsi="Times New Roman"/>
          <w:b/>
          <w:bCs w:val="0"/>
          <w:iCs/>
          <w:spacing w:val="0"/>
        </w:rPr>
        <w:t>2</w:t>
      </w:r>
      <w:r w:rsidR="003F3E75" w:rsidRPr="003F3E75">
        <w:rPr>
          <w:rStyle w:val="BookTitle"/>
          <w:rFonts w:ascii="Times New Roman" w:hAnsi="Times New Roman"/>
          <w:b/>
          <w:bCs w:val="0"/>
          <w:iCs/>
          <w:spacing w:val="0"/>
        </w:rPr>
        <w:t>:</w:t>
      </w:r>
      <w:r w:rsidR="003F3E75" w:rsidRPr="003F3E75">
        <w:rPr>
          <w:rStyle w:val="BookTitle"/>
          <w:rFonts w:ascii="Times New Roman" w:hAnsi="Times New Roman"/>
          <w:b/>
          <w:bCs w:val="0"/>
          <w:iCs/>
          <w:spacing w:val="0"/>
        </w:rPr>
        <w:tab/>
      </w:r>
      <w:r w:rsidRPr="003F3E75">
        <w:rPr>
          <w:rStyle w:val="BookTitle"/>
          <w:rFonts w:ascii="Times New Roman" w:hAnsi="Times New Roman"/>
          <w:b/>
          <w:bCs w:val="0"/>
          <w:iCs/>
          <w:spacing w:val="0"/>
        </w:rPr>
        <w:t xml:space="preserve">Number of Households </w:t>
      </w:r>
      <w:r w:rsidR="00F149FC" w:rsidRPr="003F3E75">
        <w:rPr>
          <w:rStyle w:val="BookTitle"/>
          <w:rFonts w:ascii="Times New Roman" w:hAnsi="Times New Roman"/>
          <w:b/>
          <w:bCs w:val="0"/>
          <w:iCs/>
          <w:spacing w:val="0"/>
        </w:rPr>
        <w:t>Reported</w:t>
      </w:r>
      <w:r w:rsidRPr="003F3E75">
        <w:rPr>
          <w:rStyle w:val="BookTitle"/>
          <w:rFonts w:ascii="Times New Roman" w:hAnsi="Times New Roman"/>
          <w:b/>
          <w:bCs w:val="0"/>
          <w:iCs/>
          <w:spacing w:val="0"/>
        </w:rPr>
        <w:t xml:space="preserve"> CBPP </w:t>
      </w:r>
      <w:r w:rsidR="00F149FC" w:rsidRPr="003F3E75">
        <w:rPr>
          <w:rStyle w:val="BookTitle"/>
          <w:rFonts w:ascii="Times New Roman" w:hAnsi="Times New Roman"/>
          <w:b/>
          <w:bCs w:val="0"/>
          <w:iCs/>
          <w:spacing w:val="0"/>
        </w:rPr>
        <w:t>D</w:t>
      </w:r>
      <w:r w:rsidRPr="003F3E75">
        <w:rPr>
          <w:rStyle w:val="BookTitle"/>
          <w:rFonts w:ascii="Times New Roman" w:hAnsi="Times New Roman"/>
          <w:b/>
          <w:bCs w:val="0"/>
          <w:iCs/>
          <w:spacing w:val="0"/>
        </w:rPr>
        <w:t xml:space="preserve">isease </w:t>
      </w:r>
      <w:r w:rsidR="00F149FC" w:rsidRPr="003F3E75">
        <w:rPr>
          <w:rStyle w:val="BookTitle"/>
          <w:rFonts w:ascii="Times New Roman" w:hAnsi="Times New Roman"/>
          <w:b/>
          <w:bCs w:val="0"/>
          <w:iCs/>
          <w:spacing w:val="0"/>
        </w:rPr>
        <w:t xml:space="preserve">Infections </w:t>
      </w:r>
      <w:r w:rsidRPr="003F3E75">
        <w:rPr>
          <w:rStyle w:val="BookTitle"/>
          <w:rFonts w:ascii="Times New Roman" w:hAnsi="Times New Roman"/>
          <w:b/>
          <w:bCs w:val="0"/>
          <w:iCs/>
          <w:spacing w:val="0"/>
        </w:rPr>
        <w:t xml:space="preserve">During 2019/20 Agricultural </w:t>
      </w:r>
      <w:r w:rsidR="00F149FC" w:rsidRPr="003F3E75">
        <w:rPr>
          <w:rStyle w:val="BookTitle"/>
          <w:rFonts w:ascii="Times New Roman" w:hAnsi="Times New Roman"/>
          <w:b/>
          <w:bCs w:val="0"/>
          <w:iCs/>
          <w:spacing w:val="0"/>
        </w:rPr>
        <w:t>Y</w:t>
      </w:r>
      <w:r w:rsidRPr="003F3E75">
        <w:rPr>
          <w:rStyle w:val="BookTitle"/>
          <w:rFonts w:ascii="Times New Roman" w:hAnsi="Times New Roman"/>
          <w:b/>
          <w:bCs w:val="0"/>
          <w:iCs/>
          <w:spacing w:val="0"/>
        </w:rPr>
        <w:t>ear</w:t>
      </w:r>
      <w:r w:rsidR="00327632" w:rsidRPr="003F3E75">
        <w:rPr>
          <w:rStyle w:val="BookTitle"/>
          <w:rFonts w:ascii="Times New Roman" w:hAnsi="Times New Roman"/>
          <w:b/>
          <w:bCs w:val="0"/>
          <w:iCs/>
          <w:spacing w:val="0"/>
        </w:rPr>
        <w:t>, Tanzania</w:t>
      </w:r>
      <w:bookmarkEnd w:id="642"/>
      <w:bookmarkEnd w:id="643"/>
    </w:p>
    <w:p w14:paraId="0ECB8C9F" w14:textId="01D25E03" w:rsidR="003F3E75" w:rsidRPr="003F3E75" w:rsidRDefault="00F00389" w:rsidP="0081496B">
      <w:pPr>
        <w:rPr>
          <w:rStyle w:val="BookTitle"/>
          <w:rFonts w:ascii="Times New Roman" w:hAnsi="Times New Roman"/>
          <w:b w:val="0"/>
          <w:bCs w:val="0"/>
          <w:iCs w:val="0"/>
          <w:spacing w:val="0"/>
        </w:rPr>
      </w:pPr>
      <w:r>
        <w:rPr>
          <w:noProof/>
        </w:rPr>
        <w:drawing>
          <wp:inline distT="0" distB="0" distL="0" distR="0" wp14:anchorId="7E6D58C7" wp14:editId="3AD845CF">
            <wp:extent cx="5727700" cy="3953405"/>
            <wp:effectExtent l="0" t="0" r="0" b="0"/>
            <wp:docPr id="4307" name="Picture 4307"/>
            <wp:cNvGraphicFramePr/>
            <a:graphic xmlns:a="http://schemas.openxmlformats.org/drawingml/2006/main">
              <a:graphicData uri="http://schemas.openxmlformats.org/drawingml/2006/picture">
                <pic:pic xmlns:pic="http://schemas.openxmlformats.org/drawingml/2006/picture">
                  <pic:nvPicPr>
                    <pic:cNvPr id="4307" name="Picture 4307"/>
                    <pic:cNvPicPr/>
                  </pic:nvPicPr>
                  <pic:blipFill>
                    <a:blip r:embed="rId299"/>
                    <a:stretch>
                      <a:fillRect/>
                    </a:stretch>
                  </pic:blipFill>
                  <pic:spPr>
                    <a:xfrm>
                      <a:off x="0" y="0"/>
                      <a:ext cx="5727700" cy="3953405"/>
                    </a:xfrm>
                    <a:prstGeom prst="rect">
                      <a:avLst/>
                    </a:prstGeom>
                  </pic:spPr>
                </pic:pic>
              </a:graphicData>
            </a:graphic>
          </wp:inline>
        </w:drawing>
      </w:r>
    </w:p>
    <w:p w14:paraId="483D6FD8" w14:textId="77777777" w:rsidR="00B85E2D" w:rsidRPr="006B42D6" w:rsidRDefault="00B85E2D" w:rsidP="00B85E2D">
      <w:pPr>
        <w:pStyle w:val="ColorfulList-Accent11"/>
        <w:widowControl w:val="0"/>
        <w:autoSpaceDE w:val="0"/>
        <w:autoSpaceDN w:val="0"/>
        <w:adjustRightInd w:val="0"/>
        <w:spacing w:before="20" w:after="0" w:line="360" w:lineRule="auto"/>
        <w:ind w:left="0"/>
        <w:rPr>
          <w:rFonts w:ascii="Times New Roman" w:hAnsi="Times New Roman"/>
          <w:b/>
          <w:w w:val="105"/>
          <w:sz w:val="24"/>
          <w:szCs w:val="24"/>
        </w:rPr>
      </w:pPr>
    </w:p>
    <w:p w14:paraId="41D94B6D" w14:textId="27E5E507" w:rsidR="000E1363" w:rsidRPr="006B42D6" w:rsidRDefault="000E1363" w:rsidP="005C2EFC">
      <w:pPr>
        <w:pStyle w:val="ColorfulList-Accent11"/>
        <w:widowControl w:val="0"/>
        <w:numPr>
          <w:ilvl w:val="0"/>
          <w:numId w:val="3"/>
        </w:numPr>
        <w:autoSpaceDE w:val="0"/>
        <w:autoSpaceDN w:val="0"/>
        <w:adjustRightInd w:val="0"/>
        <w:spacing w:before="20" w:after="0" w:line="360" w:lineRule="auto"/>
        <w:rPr>
          <w:rFonts w:ascii="Times New Roman" w:hAnsi="Times New Roman"/>
          <w:b/>
          <w:w w:val="105"/>
          <w:sz w:val="24"/>
          <w:szCs w:val="24"/>
        </w:rPr>
      </w:pPr>
      <w:r w:rsidRPr="006B42D6">
        <w:rPr>
          <w:rFonts w:ascii="Times New Roman" w:hAnsi="Times New Roman"/>
          <w:b/>
          <w:w w:val="105"/>
          <w:sz w:val="24"/>
          <w:szCs w:val="24"/>
        </w:rPr>
        <w:t>Trypanosomiasis</w:t>
      </w:r>
    </w:p>
    <w:p w14:paraId="5E0F0616" w14:textId="180572A5" w:rsidR="00833238" w:rsidRPr="006B42D6" w:rsidRDefault="00833238" w:rsidP="00833238">
      <w:pPr>
        <w:tabs>
          <w:tab w:val="left" w:pos="1702"/>
        </w:tabs>
        <w:adjustRightInd w:val="0"/>
        <w:spacing w:before="20"/>
        <w:ind w:left="360"/>
        <w:rPr>
          <w:w w:val="105"/>
        </w:rPr>
      </w:pPr>
      <w:r w:rsidRPr="006B42D6">
        <w:rPr>
          <w:w w:val="105"/>
        </w:rPr>
        <w:t xml:space="preserve">The total number of households reported to encounter </w:t>
      </w:r>
      <w:r w:rsidR="000778C6">
        <w:rPr>
          <w:w w:val="105"/>
        </w:rPr>
        <w:t>t</w:t>
      </w:r>
      <w:r w:rsidRPr="006B42D6">
        <w:rPr>
          <w:w w:val="105"/>
        </w:rPr>
        <w:t xml:space="preserve">rypanosomiasis disease in their animals was 191,846 (191,407 in </w:t>
      </w:r>
      <w:r w:rsidR="00EA1552">
        <w:rPr>
          <w:w w:val="105"/>
        </w:rPr>
        <w:t>Mainland Tanzania</w:t>
      </w:r>
      <w:r w:rsidRPr="006B42D6">
        <w:rPr>
          <w:w w:val="105"/>
        </w:rPr>
        <w:t xml:space="preserve"> and 439 in </w:t>
      </w:r>
      <w:r w:rsidR="002D175B" w:rsidRPr="006B42D6">
        <w:rPr>
          <w:w w:val="105"/>
        </w:rPr>
        <w:t xml:space="preserve">Tanzania </w:t>
      </w:r>
      <w:r w:rsidRPr="006B42D6">
        <w:rPr>
          <w:w w:val="105"/>
        </w:rPr>
        <w:t xml:space="preserve">Zanzibar); which represents 9.7 percent of the total cattle keeping households during </w:t>
      </w:r>
      <w:r w:rsidR="005E72D5" w:rsidRPr="006B42D6">
        <w:rPr>
          <w:w w:val="105"/>
        </w:rPr>
        <w:t xml:space="preserve">the 2019/20 </w:t>
      </w:r>
      <w:r w:rsidR="00F149FC" w:rsidRPr="006B42D6">
        <w:rPr>
          <w:w w:val="105"/>
        </w:rPr>
        <w:t>a</w:t>
      </w:r>
      <w:r w:rsidRPr="006B42D6">
        <w:rPr>
          <w:w w:val="105"/>
        </w:rPr>
        <w:t xml:space="preserve">gricultural year. </w:t>
      </w:r>
    </w:p>
    <w:p w14:paraId="01696059" w14:textId="77777777" w:rsidR="00833238" w:rsidRPr="006B42D6" w:rsidRDefault="00833238" w:rsidP="00135766">
      <w:pPr>
        <w:spacing w:line="240" w:lineRule="auto"/>
        <w:rPr>
          <w:w w:val="105"/>
        </w:rPr>
      </w:pPr>
    </w:p>
    <w:p w14:paraId="42A1EE74" w14:textId="2B116A4D" w:rsidR="00833238" w:rsidRDefault="00833238" w:rsidP="00833238">
      <w:pPr>
        <w:tabs>
          <w:tab w:val="left" w:pos="1702"/>
        </w:tabs>
        <w:adjustRightInd w:val="0"/>
        <w:spacing w:before="20"/>
        <w:ind w:left="360"/>
        <w:rPr>
          <w:w w:val="105"/>
        </w:rPr>
      </w:pPr>
      <w:r w:rsidRPr="006B42D6">
        <w:rPr>
          <w:w w:val="103"/>
        </w:rPr>
        <w:t xml:space="preserve">A total number of </w:t>
      </w:r>
      <w:r w:rsidRPr="006B42D6">
        <w:rPr>
          <w:w w:val="105"/>
        </w:rPr>
        <w:t xml:space="preserve">1,685,215 cattle </w:t>
      </w:r>
      <w:r w:rsidRPr="006B42D6">
        <w:rPr>
          <w:w w:val="103"/>
        </w:rPr>
        <w:t xml:space="preserve">were </w:t>
      </w:r>
      <w:r w:rsidRPr="006B42D6">
        <w:rPr>
          <w:w w:val="105"/>
        </w:rPr>
        <w:t xml:space="preserve">infected with </w:t>
      </w:r>
      <w:r w:rsidR="000778C6">
        <w:rPr>
          <w:w w:val="105"/>
        </w:rPr>
        <w:t>t</w:t>
      </w:r>
      <w:r w:rsidRPr="006B42D6">
        <w:rPr>
          <w:w w:val="105"/>
        </w:rPr>
        <w:t>rypanosomiasis disease,</w:t>
      </w:r>
      <w:r w:rsidRPr="006B42D6">
        <w:rPr>
          <w:w w:val="103"/>
        </w:rPr>
        <w:t xml:space="preserve"> of which </w:t>
      </w:r>
      <w:r w:rsidRPr="006B42D6">
        <w:rPr>
          <w:w w:val="105"/>
        </w:rPr>
        <w:t>1,684,467 cattle</w:t>
      </w:r>
      <w:r w:rsidR="00F149FC" w:rsidRPr="006B42D6">
        <w:rPr>
          <w:w w:val="105"/>
        </w:rPr>
        <w:t xml:space="preserve"> were</w:t>
      </w:r>
      <w:r w:rsidRPr="006B42D6">
        <w:rPr>
          <w:w w:val="105"/>
        </w:rPr>
        <w:t xml:space="preserve"> </w:t>
      </w:r>
      <w:r w:rsidRPr="006B42D6">
        <w:rPr>
          <w:spacing w:val="-2"/>
        </w:rPr>
        <w:t xml:space="preserve">in </w:t>
      </w:r>
      <w:r w:rsidR="00EA1552">
        <w:rPr>
          <w:lang w:eastAsia="en-GB"/>
        </w:rPr>
        <w:t>Mainland Tanzania</w:t>
      </w:r>
      <w:r w:rsidRPr="006B42D6">
        <w:rPr>
          <w:spacing w:val="-2"/>
        </w:rPr>
        <w:t xml:space="preserve"> and 748 in </w:t>
      </w:r>
      <w:r w:rsidR="00327632" w:rsidRPr="006B42D6">
        <w:rPr>
          <w:lang w:eastAsia="en-GB"/>
        </w:rPr>
        <w:t xml:space="preserve">Tanzania </w:t>
      </w:r>
      <w:r w:rsidRPr="006B42D6">
        <w:rPr>
          <w:spacing w:val="-2"/>
        </w:rPr>
        <w:t xml:space="preserve">Zanzibar. In </w:t>
      </w:r>
      <w:r w:rsidR="00EA1552">
        <w:rPr>
          <w:lang w:eastAsia="en-GB"/>
        </w:rPr>
        <w:t>Mainland Tanzania</w:t>
      </w:r>
      <w:r w:rsidRPr="006B42D6">
        <w:rPr>
          <w:spacing w:val="-2"/>
        </w:rPr>
        <w:t xml:space="preserve">, Kilimanjaro region had the highest </w:t>
      </w:r>
      <w:r w:rsidRPr="006B42D6">
        <w:rPr>
          <w:w w:val="105"/>
        </w:rPr>
        <w:t xml:space="preserve">proportion of cattle infected with </w:t>
      </w:r>
      <w:r w:rsidR="000778C6">
        <w:rPr>
          <w:w w:val="105"/>
        </w:rPr>
        <w:t>t</w:t>
      </w:r>
      <w:r w:rsidRPr="006B42D6">
        <w:rPr>
          <w:w w:val="105"/>
        </w:rPr>
        <w:t>rypanosomiasis disease</w:t>
      </w:r>
      <w:r w:rsidRPr="006B42D6">
        <w:rPr>
          <w:spacing w:val="-2"/>
        </w:rPr>
        <w:t xml:space="preserve"> (256,077 heads; 15.2 percent), </w:t>
      </w:r>
      <w:r w:rsidRPr="006B42D6">
        <w:rPr>
          <w:w w:val="105"/>
        </w:rPr>
        <w:t xml:space="preserve">followed by Arusha (247,040; </w:t>
      </w:r>
      <w:r w:rsidRPr="006B42D6">
        <w:rPr>
          <w:w w:val="105"/>
        </w:rPr>
        <w:lastRenderedPageBreak/>
        <w:t>14.7 percent) and Tanga (233,321; 13.9 percent). The lowest proportion was reported in Njombe region (774</w:t>
      </w:r>
      <w:r w:rsidR="005E72D5" w:rsidRPr="006B42D6">
        <w:rPr>
          <w:w w:val="105"/>
        </w:rPr>
        <w:t xml:space="preserve"> </w:t>
      </w:r>
      <w:r w:rsidR="005E72D5" w:rsidRPr="006B42D6">
        <w:rPr>
          <w:spacing w:val="-2"/>
        </w:rPr>
        <w:t>heads</w:t>
      </w:r>
      <w:r w:rsidRPr="006B42D6">
        <w:rPr>
          <w:w w:val="105"/>
        </w:rPr>
        <w:t>; 0.05 percent)</w:t>
      </w:r>
      <w:r w:rsidR="00287863" w:rsidRPr="006B42D6">
        <w:rPr>
          <w:w w:val="105"/>
        </w:rPr>
        <w:t>.</w:t>
      </w:r>
    </w:p>
    <w:p w14:paraId="5627CF42" w14:textId="77777777" w:rsidR="000C32CB" w:rsidRPr="006B42D6" w:rsidRDefault="000C32CB" w:rsidP="003F3E75">
      <w:pPr>
        <w:tabs>
          <w:tab w:val="left" w:pos="1702"/>
        </w:tabs>
        <w:adjustRightInd w:val="0"/>
        <w:spacing w:before="20" w:line="240" w:lineRule="auto"/>
        <w:ind w:left="360"/>
        <w:rPr>
          <w:w w:val="105"/>
        </w:rPr>
      </w:pPr>
    </w:p>
    <w:p w14:paraId="6211A416" w14:textId="408D2498" w:rsidR="00833238" w:rsidRPr="006B42D6" w:rsidRDefault="00833238" w:rsidP="00833238">
      <w:pPr>
        <w:tabs>
          <w:tab w:val="left" w:pos="1702"/>
        </w:tabs>
        <w:adjustRightInd w:val="0"/>
        <w:spacing w:before="20"/>
        <w:ind w:left="360"/>
        <w:rPr>
          <w:w w:val="105"/>
        </w:rPr>
      </w:pPr>
      <w:r w:rsidRPr="006B42D6">
        <w:rPr>
          <w:spacing w:val="-2"/>
        </w:rPr>
        <w:t xml:space="preserve">In </w:t>
      </w:r>
      <w:r w:rsidR="00327632" w:rsidRPr="006B42D6">
        <w:rPr>
          <w:lang w:eastAsia="en-GB"/>
        </w:rPr>
        <w:t xml:space="preserve">Tanzania </w:t>
      </w:r>
      <w:r w:rsidRPr="006B42D6">
        <w:rPr>
          <w:spacing w:val="-2"/>
        </w:rPr>
        <w:t xml:space="preserve">Zanzibar, Mjini Magharibi </w:t>
      </w:r>
      <w:r w:rsidR="0010146D" w:rsidRPr="006B42D6">
        <w:rPr>
          <w:spacing w:val="-2"/>
        </w:rPr>
        <w:t>r</w:t>
      </w:r>
      <w:r w:rsidRPr="006B42D6">
        <w:rPr>
          <w:spacing w:val="-2"/>
        </w:rPr>
        <w:t xml:space="preserve">egion had the highest number of cattle infected with </w:t>
      </w:r>
      <w:r w:rsidR="00287863" w:rsidRPr="006B42D6">
        <w:rPr>
          <w:w w:val="105"/>
        </w:rPr>
        <w:t>t</w:t>
      </w:r>
      <w:r w:rsidRPr="006B42D6">
        <w:rPr>
          <w:w w:val="105"/>
        </w:rPr>
        <w:t>rypanosomiasis disease (</w:t>
      </w:r>
      <w:r w:rsidRPr="006B42D6">
        <w:rPr>
          <w:spacing w:val="-2"/>
        </w:rPr>
        <w:t xml:space="preserve">339; 45.3 percent), followed by Kusini Unguja (235; 31.4 percent) and </w:t>
      </w:r>
      <w:r w:rsidR="00F9307A" w:rsidRPr="006B42D6">
        <w:rPr>
          <w:spacing w:val="-2"/>
        </w:rPr>
        <w:t xml:space="preserve">the lowest </w:t>
      </w:r>
      <w:r w:rsidR="00F9307A" w:rsidRPr="006B42D6">
        <w:rPr>
          <w:w w:val="105"/>
        </w:rPr>
        <w:t xml:space="preserve">proportion was reported in </w:t>
      </w:r>
      <w:r w:rsidRPr="006B42D6">
        <w:rPr>
          <w:spacing w:val="-2"/>
        </w:rPr>
        <w:t xml:space="preserve">Kaskazini Unguja (174 heads; 23.3 </w:t>
      </w:r>
      <w:r w:rsidR="00F9307A" w:rsidRPr="006B42D6">
        <w:rPr>
          <w:spacing w:val="-2"/>
        </w:rPr>
        <w:t>percent) (</w:t>
      </w:r>
      <w:r w:rsidRPr="006B42D6">
        <w:rPr>
          <w:w w:val="105"/>
        </w:rPr>
        <w:t>Table 4.</w:t>
      </w:r>
      <w:r w:rsidR="00303D63" w:rsidRPr="006B42D6">
        <w:rPr>
          <w:w w:val="105"/>
        </w:rPr>
        <w:t>1</w:t>
      </w:r>
      <w:r w:rsidR="00B70154">
        <w:rPr>
          <w:w w:val="105"/>
        </w:rPr>
        <w:t>4</w:t>
      </w:r>
      <w:r w:rsidRPr="006B42D6">
        <w:rPr>
          <w:w w:val="105"/>
        </w:rPr>
        <w:t>).</w:t>
      </w:r>
    </w:p>
    <w:p w14:paraId="39C73CF7" w14:textId="77777777" w:rsidR="002261ED" w:rsidRPr="006B42D6" w:rsidRDefault="002261ED" w:rsidP="000B4646">
      <w:pPr>
        <w:spacing w:line="240" w:lineRule="auto"/>
      </w:pPr>
    </w:p>
    <w:p w14:paraId="3FFA72A1" w14:textId="3F1440FD" w:rsidR="00833238" w:rsidRPr="006B42D6" w:rsidRDefault="00833238" w:rsidP="007200F6">
      <w:pPr>
        <w:pStyle w:val="Heading7"/>
      </w:pPr>
      <w:bookmarkStart w:id="644" w:name="_Toc82386222"/>
      <w:r w:rsidRPr="006B42D6">
        <w:t>Table 4.</w:t>
      </w:r>
      <w:r w:rsidR="00303D63" w:rsidRPr="006B42D6">
        <w:t>1</w:t>
      </w:r>
      <w:r w:rsidR="00B70154">
        <w:t>4</w:t>
      </w:r>
      <w:r w:rsidR="003F3E75">
        <w:t>:</w:t>
      </w:r>
      <w:r w:rsidR="002261ED">
        <w:tab/>
      </w:r>
      <w:r w:rsidRPr="006B42D6">
        <w:t xml:space="preserve">Number of </w:t>
      </w:r>
      <w:r w:rsidR="00303D63" w:rsidRPr="006B42D6">
        <w:t>R</w:t>
      </w:r>
      <w:r w:rsidRPr="006B42D6">
        <w:t xml:space="preserve">eported </w:t>
      </w:r>
      <w:r w:rsidR="00303D63" w:rsidRPr="006B42D6">
        <w:t>C</w:t>
      </w:r>
      <w:r w:rsidRPr="006B42D6">
        <w:t xml:space="preserve">ases of Cattle </w:t>
      </w:r>
      <w:r w:rsidR="005E72D5" w:rsidRPr="006B42D6">
        <w:t>D</w:t>
      </w:r>
      <w:r w:rsidRPr="006B42D6">
        <w:t xml:space="preserve">iseases </w:t>
      </w:r>
      <w:r w:rsidR="00303D63" w:rsidRPr="006B42D6">
        <w:t>O</w:t>
      </w:r>
      <w:r w:rsidRPr="006B42D6">
        <w:t xml:space="preserve">ccurrence by </w:t>
      </w:r>
      <w:r w:rsidR="00303D63" w:rsidRPr="006B42D6">
        <w:t>T</w:t>
      </w:r>
      <w:r w:rsidRPr="006B42D6">
        <w:t xml:space="preserve">ype and Region </w:t>
      </w:r>
      <w:r w:rsidR="00303D63" w:rsidRPr="006B42D6">
        <w:t>D</w:t>
      </w:r>
      <w:r w:rsidRPr="006B42D6">
        <w:t xml:space="preserve">uring 2019/20 Agricultural </w:t>
      </w:r>
      <w:r w:rsidR="00474890" w:rsidRPr="006B42D6">
        <w:t>Y</w:t>
      </w:r>
      <w:r w:rsidRPr="006B42D6">
        <w:t>ear</w:t>
      </w:r>
      <w:bookmarkEnd w:id="644"/>
    </w:p>
    <w:tbl>
      <w:tblPr>
        <w:tblW w:w="4938" w:type="pct"/>
        <w:tblLook w:val="04A0" w:firstRow="1" w:lastRow="0" w:firstColumn="1" w:lastColumn="0" w:noHBand="0" w:noVBand="1"/>
      </w:tblPr>
      <w:tblGrid>
        <w:gridCol w:w="1479"/>
        <w:gridCol w:w="927"/>
        <w:gridCol w:w="666"/>
        <w:gridCol w:w="848"/>
        <w:gridCol w:w="1005"/>
        <w:gridCol w:w="956"/>
        <w:gridCol w:w="1093"/>
        <w:gridCol w:w="1059"/>
        <w:gridCol w:w="1088"/>
      </w:tblGrid>
      <w:tr w:rsidR="006B42D6" w:rsidRPr="0085694C" w14:paraId="483378B0" w14:textId="77777777" w:rsidTr="0085694C">
        <w:trPr>
          <w:trHeight w:val="283"/>
        </w:trPr>
        <w:tc>
          <w:tcPr>
            <w:tcW w:w="771" w:type="pct"/>
            <w:vMerge w:val="restart"/>
            <w:tcBorders>
              <w:top w:val="single" w:sz="4" w:space="0" w:color="auto"/>
              <w:left w:val="nil"/>
              <w:bottom w:val="single" w:sz="4" w:space="0" w:color="000000"/>
              <w:right w:val="single" w:sz="4" w:space="0" w:color="auto"/>
            </w:tcBorders>
            <w:shd w:val="clear" w:color="auto" w:fill="E2EFD9" w:themeFill="accent6" w:themeFillTint="33"/>
            <w:vAlign w:val="center"/>
            <w:hideMark/>
          </w:tcPr>
          <w:p w14:paraId="580BD6DA" w14:textId="77777777" w:rsidR="00833238" w:rsidRPr="00135766" w:rsidRDefault="00833238" w:rsidP="00135766">
            <w:pPr>
              <w:spacing w:line="276" w:lineRule="auto"/>
              <w:rPr>
                <w:bCs/>
                <w:sz w:val="15"/>
                <w:szCs w:val="15"/>
              </w:rPr>
            </w:pPr>
            <w:r w:rsidRPr="00135766">
              <w:rPr>
                <w:bCs/>
                <w:sz w:val="15"/>
                <w:szCs w:val="15"/>
              </w:rPr>
              <w:t>Region</w:t>
            </w:r>
          </w:p>
        </w:tc>
        <w:tc>
          <w:tcPr>
            <w:tcW w:w="4229" w:type="pct"/>
            <w:gridSpan w:val="8"/>
            <w:tcBorders>
              <w:top w:val="single" w:sz="4" w:space="0" w:color="auto"/>
              <w:left w:val="nil"/>
              <w:bottom w:val="single" w:sz="4" w:space="0" w:color="auto"/>
              <w:right w:val="nil"/>
            </w:tcBorders>
            <w:shd w:val="clear" w:color="auto" w:fill="E2EFD9" w:themeFill="accent6" w:themeFillTint="33"/>
            <w:noWrap/>
            <w:vAlign w:val="center"/>
            <w:hideMark/>
          </w:tcPr>
          <w:p w14:paraId="593E5AEF" w14:textId="77777777" w:rsidR="00833238" w:rsidRPr="00135766" w:rsidRDefault="00833238" w:rsidP="00135766">
            <w:pPr>
              <w:spacing w:line="276" w:lineRule="auto"/>
              <w:jc w:val="center"/>
              <w:rPr>
                <w:bCs/>
                <w:sz w:val="15"/>
                <w:szCs w:val="15"/>
              </w:rPr>
            </w:pPr>
            <w:r w:rsidRPr="00135766">
              <w:rPr>
                <w:bCs/>
                <w:sz w:val="15"/>
                <w:szCs w:val="15"/>
              </w:rPr>
              <w:t>Diseases</w:t>
            </w:r>
          </w:p>
        </w:tc>
      </w:tr>
      <w:tr w:rsidR="006B42D6" w:rsidRPr="0085694C" w14:paraId="65C97B00" w14:textId="77777777" w:rsidTr="0085694C">
        <w:trPr>
          <w:trHeight w:val="283"/>
        </w:trPr>
        <w:tc>
          <w:tcPr>
            <w:tcW w:w="771" w:type="pct"/>
            <w:vMerge/>
            <w:tcBorders>
              <w:top w:val="single" w:sz="4" w:space="0" w:color="auto"/>
              <w:left w:val="nil"/>
              <w:bottom w:val="single" w:sz="4" w:space="0" w:color="000000"/>
              <w:right w:val="single" w:sz="4" w:space="0" w:color="auto"/>
            </w:tcBorders>
            <w:shd w:val="clear" w:color="auto" w:fill="E2EFD9" w:themeFill="accent6" w:themeFillTint="33"/>
            <w:vAlign w:val="center"/>
            <w:hideMark/>
          </w:tcPr>
          <w:p w14:paraId="79A9C70F" w14:textId="77777777" w:rsidR="00833238" w:rsidRPr="00135766" w:rsidRDefault="00833238" w:rsidP="00135766">
            <w:pPr>
              <w:spacing w:line="276" w:lineRule="auto"/>
              <w:rPr>
                <w:bCs/>
                <w:sz w:val="15"/>
                <w:szCs w:val="15"/>
              </w:rPr>
            </w:pPr>
          </w:p>
        </w:tc>
        <w:tc>
          <w:tcPr>
            <w:tcW w:w="806" w:type="pct"/>
            <w:gridSpan w:val="2"/>
            <w:tcBorders>
              <w:top w:val="single" w:sz="4" w:space="0" w:color="auto"/>
              <w:left w:val="nil"/>
              <w:bottom w:val="single" w:sz="4" w:space="0" w:color="auto"/>
              <w:right w:val="nil"/>
            </w:tcBorders>
            <w:shd w:val="clear" w:color="auto" w:fill="E2EFD9" w:themeFill="accent6" w:themeFillTint="33"/>
            <w:vAlign w:val="center"/>
            <w:hideMark/>
          </w:tcPr>
          <w:p w14:paraId="01468376" w14:textId="77777777" w:rsidR="00833238" w:rsidRPr="00135766" w:rsidRDefault="00833238" w:rsidP="00135766">
            <w:pPr>
              <w:spacing w:line="276" w:lineRule="auto"/>
              <w:jc w:val="center"/>
              <w:rPr>
                <w:bCs/>
                <w:sz w:val="15"/>
                <w:szCs w:val="15"/>
              </w:rPr>
            </w:pPr>
            <w:r w:rsidRPr="00135766">
              <w:rPr>
                <w:bCs/>
                <w:sz w:val="15"/>
                <w:szCs w:val="15"/>
              </w:rPr>
              <w:t>Trypanosomiasis</w:t>
            </w:r>
          </w:p>
        </w:tc>
        <w:tc>
          <w:tcPr>
            <w:tcW w:w="1051" w:type="pct"/>
            <w:gridSpan w:val="2"/>
            <w:tcBorders>
              <w:top w:val="single" w:sz="4" w:space="0" w:color="auto"/>
              <w:left w:val="single" w:sz="4" w:space="0" w:color="auto"/>
              <w:bottom w:val="single" w:sz="4" w:space="0" w:color="auto"/>
              <w:right w:val="single" w:sz="4" w:space="0" w:color="000000"/>
            </w:tcBorders>
            <w:shd w:val="clear" w:color="auto" w:fill="E2EFD9" w:themeFill="accent6" w:themeFillTint="33"/>
            <w:vAlign w:val="center"/>
            <w:hideMark/>
          </w:tcPr>
          <w:p w14:paraId="092E06D5" w14:textId="77777777" w:rsidR="00833238" w:rsidRPr="00135766" w:rsidRDefault="00833238" w:rsidP="00135766">
            <w:pPr>
              <w:spacing w:line="276" w:lineRule="auto"/>
              <w:jc w:val="center"/>
              <w:rPr>
                <w:bCs/>
                <w:sz w:val="15"/>
                <w:szCs w:val="15"/>
              </w:rPr>
            </w:pPr>
            <w:r w:rsidRPr="00135766">
              <w:rPr>
                <w:bCs/>
                <w:sz w:val="15"/>
                <w:szCs w:val="15"/>
              </w:rPr>
              <w:t>Lumpy Skin Disease</w:t>
            </w:r>
          </w:p>
        </w:tc>
        <w:tc>
          <w:tcPr>
            <w:tcW w:w="1159" w:type="pct"/>
            <w:gridSpan w:val="2"/>
            <w:tcBorders>
              <w:top w:val="single" w:sz="4" w:space="0" w:color="auto"/>
              <w:left w:val="nil"/>
              <w:bottom w:val="single" w:sz="4" w:space="0" w:color="auto"/>
              <w:right w:val="single" w:sz="4" w:space="0" w:color="000000"/>
            </w:tcBorders>
            <w:shd w:val="clear" w:color="auto" w:fill="E2EFD9" w:themeFill="accent6" w:themeFillTint="33"/>
            <w:vAlign w:val="center"/>
            <w:hideMark/>
          </w:tcPr>
          <w:p w14:paraId="45C8DF5D" w14:textId="4AB8BE3A" w:rsidR="00833238" w:rsidRPr="00135766" w:rsidRDefault="00833238" w:rsidP="00135766">
            <w:pPr>
              <w:spacing w:line="276" w:lineRule="auto"/>
              <w:jc w:val="center"/>
              <w:rPr>
                <w:bCs/>
                <w:sz w:val="15"/>
                <w:szCs w:val="15"/>
              </w:rPr>
            </w:pPr>
            <w:r w:rsidRPr="00135766">
              <w:rPr>
                <w:bCs/>
                <w:sz w:val="15"/>
                <w:szCs w:val="15"/>
              </w:rPr>
              <w:t>Helmenthio</w:t>
            </w:r>
            <w:r w:rsidR="00C423EA" w:rsidRPr="00135766">
              <w:rPr>
                <w:bCs/>
                <w:sz w:val="15"/>
                <w:szCs w:val="15"/>
              </w:rPr>
              <w:t>sis</w:t>
            </w:r>
          </w:p>
        </w:tc>
        <w:tc>
          <w:tcPr>
            <w:tcW w:w="1212" w:type="pct"/>
            <w:gridSpan w:val="2"/>
            <w:tcBorders>
              <w:top w:val="single" w:sz="4" w:space="0" w:color="auto"/>
              <w:left w:val="nil"/>
              <w:bottom w:val="single" w:sz="4" w:space="0" w:color="auto"/>
              <w:right w:val="nil"/>
            </w:tcBorders>
            <w:shd w:val="clear" w:color="auto" w:fill="E2EFD9" w:themeFill="accent6" w:themeFillTint="33"/>
            <w:vAlign w:val="center"/>
            <w:hideMark/>
          </w:tcPr>
          <w:p w14:paraId="462DCACA" w14:textId="77777777" w:rsidR="00833238" w:rsidRPr="00135766" w:rsidRDefault="00833238" w:rsidP="00135766">
            <w:pPr>
              <w:spacing w:line="276" w:lineRule="auto"/>
              <w:jc w:val="center"/>
              <w:rPr>
                <w:bCs/>
                <w:sz w:val="15"/>
                <w:szCs w:val="15"/>
              </w:rPr>
            </w:pPr>
            <w:r w:rsidRPr="00135766">
              <w:rPr>
                <w:bCs/>
                <w:sz w:val="15"/>
                <w:szCs w:val="15"/>
              </w:rPr>
              <w:t>Black Quarter</w:t>
            </w:r>
          </w:p>
        </w:tc>
      </w:tr>
      <w:tr w:rsidR="006B42D6" w:rsidRPr="0085694C" w14:paraId="3EB65CD9" w14:textId="77777777" w:rsidTr="00135766">
        <w:trPr>
          <w:trHeight w:val="332"/>
        </w:trPr>
        <w:tc>
          <w:tcPr>
            <w:tcW w:w="771" w:type="pct"/>
            <w:vMerge/>
            <w:tcBorders>
              <w:top w:val="single" w:sz="4" w:space="0" w:color="auto"/>
              <w:left w:val="nil"/>
              <w:bottom w:val="single" w:sz="4" w:space="0" w:color="000000"/>
              <w:right w:val="single" w:sz="4" w:space="0" w:color="auto"/>
            </w:tcBorders>
            <w:shd w:val="clear" w:color="auto" w:fill="E2EFD9" w:themeFill="accent6" w:themeFillTint="33"/>
            <w:vAlign w:val="center"/>
            <w:hideMark/>
          </w:tcPr>
          <w:p w14:paraId="7D80A41C" w14:textId="77777777" w:rsidR="00833238" w:rsidRPr="00135766" w:rsidRDefault="00833238" w:rsidP="00135766">
            <w:pPr>
              <w:spacing w:line="276" w:lineRule="auto"/>
              <w:rPr>
                <w:bCs/>
                <w:sz w:val="15"/>
                <w:szCs w:val="15"/>
              </w:rPr>
            </w:pPr>
          </w:p>
        </w:tc>
        <w:tc>
          <w:tcPr>
            <w:tcW w:w="526" w:type="pct"/>
            <w:tcBorders>
              <w:top w:val="nil"/>
              <w:left w:val="nil"/>
              <w:bottom w:val="single" w:sz="4" w:space="0" w:color="auto"/>
              <w:right w:val="nil"/>
            </w:tcBorders>
            <w:shd w:val="clear" w:color="auto" w:fill="E2EFD9" w:themeFill="accent6" w:themeFillTint="33"/>
            <w:vAlign w:val="center"/>
            <w:hideMark/>
          </w:tcPr>
          <w:p w14:paraId="4B24C2B4" w14:textId="77777777" w:rsidR="00833238" w:rsidRPr="00135766" w:rsidRDefault="00833238" w:rsidP="00135766">
            <w:pPr>
              <w:spacing w:line="276" w:lineRule="auto"/>
              <w:jc w:val="center"/>
              <w:rPr>
                <w:bCs/>
                <w:sz w:val="15"/>
                <w:szCs w:val="15"/>
              </w:rPr>
            </w:pPr>
            <w:r w:rsidRPr="00135766">
              <w:rPr>
                <w:bCs/>
                <w:sz w:val="15"/>
                <w:szCs w:val="15"/>
              </w:rPr>
              <w:t>Number Infected</w:t>
            </w:r>
          </w:p>
        </w:tc>
        <w:tc>
          <w:tcPr>
            <w:tcW w:w="279" w:type="pct"/>
            <w:tcBorders>
              <w:top w:val="nil"/>
              <w:left w:val="nil"/>
              <w:bottom w:val="single" w:sz="4" w:space="0" w:color="auto"/>
              <w:right w:val="nil"/>
            </w:tcBorders>
            <w:shd w:val="clear" w:color="auto" w:fill="E2EFD9" w:themeFill="accent6" w:themeFillTint="33"/>
            <w:vAlign w:val="center"/>
            <w:hideMark/>
          </w:tcPr>
          <w:p w14:paraId="5C4E4908" w14:textId="77541697" w:rsidR="00833238" w:rsidRPr="00135766" w:rsidRDefault="00303D63" w:rsidP="00135766">
            <w:pPr>
              <w:spacing w:line="276" w:lineRule="auto"/>
              <w:jc w:val="center"/>
              <w:rPr>
                <w:bCs/>
                <w:sz w:val="15"/>
                <w:szCs w:val="15"/>
              </w:rPr>
            </w:pPr>
            <w:r w:rsidRPr="00135766">
              <w:rPr>
                <w:bCs/>
                <w:sz w:val="15"/>
                <w:szCs w:val="15"/>
              </w:rPr>
              <w:t>Percent</w:t>
            </w:r>
          </w:p>
        </w:tc>
        <w:tc>
          <w:tcPr>
            <w:tcW w:w="483" w:type="pct"/>
            <w:tcBorders>
              <w:top w:val="nil"/>
              <w:left w:val="single" w:sz="4" w:space="0" w:color="auto"/>
              <w:bottom w:val="single" w:sz="4" w:space="0" w:color="auto"/>
              <w:right w:val="nil"/>
            </w:tcBorders>
            <w:shd w:val="clear" w:color="auto" w:fill="E2EFD9" w:themeFill="accent6" w:themeFillTint="33"/>
            <w:vAlign w:val="center"/>
            <w:hideMark/>
          </w:tcPr>
          <w:p w14:paraId="4254A959" w14:textId="77777777" w:rsidR="00833238" w:rsidRPr="00135766" w:rsidRDefault="00833238" w:rsidP="00135766">
            <w:pPr>
              <w:spacing w:line="276" w:lineRule="auto"/>
              <w:jc w:val="center"/>
              <w:rPr>
                <w:bCs/>
                <w:sz w:val="15"/>
                <w:szCs w:val="15"/>
              </w:rPr>
            </w:pPr>
            <w:r w:rsidRPr="00135766">
              <w:rPr>
                <w:bCs/>
                <w:sz w:val="15"/>
                <w:szCs w:val="15"/>
              </w:rPr>
              <w:t>Number Infected</w:t>
            </w:r>
          </w:p>
        </w:tc>
        <w:tc>
          <w:tcPr>
            <w:tcW w:w="569" w:type="pct"/>
            <w:tcBorders>
              <w:top w:val="nil"/>
              <w:left w:val="nil"/>
              <w:bottom w:val="single" w:sz="4" w:space="0" w:color="auto"/>
              <w:right w:val="single" w:sz="4" w:space="0" w:color="auto"/>
            </w:tcBorders>
            <w:shd w:val="clear" w:color="auto" w:fill="E2EFD9" w:themeFill="accent6" w:themeFillTint="33"/>
            <w:vAlign w:val="center"/>
            <w:hideMark/>
          </w:tcPr>
          <w:p w14:paraId="44F19552" w14:textId="5E624844" w:rsidR="00833238" w:rsidRPr="00135766" w:rsidRDefault="00303D63" w:rsidP="00135766">
            <w:pPr>
              <w:spacing w:line="276" w:lineRule="auto"/>
              <w:jc w:val="center"/>
              <w:rPr>
                <w:bCs/>
                <w:sz w:val="15"/>
                <w:szCs w:val="15"/>
              </w:rPr>
            </w:pPr>
            <w:r w:rsidRPr="00135766">
              <w:rPr>
                <w:bCs/>
                <w:sz w:val="15"/>
                <w:szCs w:val="15"/>
              </w:rPr>
              <w:t>Percent</w:t>
            </w:r>
          </w:p>
        </w:tc>
        <w:tc>
          <w:tcPr>
            <w:tcW w:w="542" w:type="pct"/>
            <w:tcBorders>
              <w:top w:val="nil"/>
              <w:left w:val="nil"/>
              <w:bottom w:val="single" w:sz="4" w:space="0" w:color="auto"/>
              <w:right w:val="nil"/>
            </w:tcBorders>
            <w:shd w:val="clear" w:color="auto" w:fill="E2EFD9" w:themeFill="accent6" w:themeFillTint="33"/>
            <w:vAlign w:val="center"/>
            <w:hideMark/>
          </w:tcPr>
          <w:p w14:paraId="02FA4A67" w14:textId="77777777" w:rsidR="00833238" w:rsidRPr="00135766" w:rsidRDefault="00833238" w:rsidP="00135766">
            <w:pPr>
              <w:spacing w:line="276" w:lineRule="auto"/>
              <w:jc w:val="center"/>
              <w:rPr>
                <w:bCs/>
                <w:sz w:val="15"/>
                <w:szCs w:val="15"/>
              </w:rPr>
            </w:pPr>
            <w:r w:rsidRPr="00135766">
              <w:rPr>
                <w:bCs/>
                <w:sz w:val="15"/>
                <w:szCs w:val="15"/>
              </w:rPr>
              <w:t>Number Infected</w:t>
            </w:r>
          </w:p>
        </w:tc>
        <w:tc>
          <w:tcPr>
            <w:tcW w:w="616" w:type="pct"/>
            <w:tcBorders>
              <w:top w:val="nil"/>
              <w:left w:val="nil"/>
              <w:bottom w:val="single" w:sz="4" w:space="0" w:color="auto"/>
              <w:right w:val="nil"/>
            </w:tcBorders>
            <w:shd w:val="clear" w:color="auto" w:fill="E2EFD9" w:themeFill="accent6" w:themeFillTint="33"/>
            <w:vAlign w:val="center"/>
            <w:hideMark/>
          </w:tcPr>
          <w:p w14:paraId="5704FC33" w14:textId="0AB13CDC" w:rsidR="00833238" w:rsidRPr="00135766" w:rsidRDefault="00303D63" w:rsidP="00135766">
            <w:pPr>
              <w:spacing w:line="276" w:lineRule="auto"/>
              <w:jc w:val="center"/>
              <w:rPr>
                <w:bCs/>
                <w:sz w:val="15"/>
                <w:szCs w:val="15"/>
              </w:rPr>
            </w:pPr>
            <w:r w:rsidRPr="00135766">
              <w:rPr>
                <w:bCs/>
                <w:sz w:val="15"/>
                <w:szCs w:val="15"/>
              </w:rPr>
              <w:t>Percent</w:t>
            </w:r>
          </w:p>
        </w:tc>
        <w:tc>
          <w:tcPr>
            <w:tcW w:w="598" w:type="pct"/>
            <w:tcBorders>
              <w:top w:val="nil"/>
              <w:left w:val="single" w:sz="4" w:space="0" w:color="auto"/>
              <w:bottom w:val="single" w:sz="4" w:space="0" w:color="auto"/>
              <w:right w:val="nil"/>
            </w:tcBorders>
            <w:shd w:val="clear" w:color="auto" w:fill="E2EFD9" w:themeFill="accent6" w:themeFillTint="33"/>
            <w:vAlign w:val="center"/>
            <w:hideMark/>
          </w:tcPr>
          <w:p w14:paraId="754C25DD" w14:textId="77777777" w:rsidR="00833238" w:rsidRPr="00135766" w:rsidRDefault="00833238" w:rsidP="00135766">
            <w:pPr>
              <w:spacing w:line="276" w:lineRule="auto"/>
              <w:jc w:val="center"/>
              <w:rPr>
                <w:bCs/>
                <w:sz w:val="15"/>
                <w:szCs w:val="15"/>
              </w:rPr>
            </w:pPr>
            <w:r w:rsidRPr="00135766">
              <w:rPr>
                <w:bCs/>
                <w:sz w:val="15"/>
                <w:szCs w:val="15"/>
              </w:rPr>
              <w:t>Number Infected</w:t>
            </w:r>
          </w:p>
        </w:tc>
        <w:tc>
          <w:tcPr>
            <w:tcW w:w="615" w:type="pct"/>
            <w:tcBorders>
              <w:top w:val="nil"/>
              <w:left w:val="nil"/>
              <w:bottom w:val="single" w:sz="4" w:space="0" w:color="auto"/>
              <w:right w:val="nil"/>
            </w:tcBorders>
            <w:shd w:val="clear" w:color="auto" w:fill="E2EFD9" w:themeFill="accent6" w:themeFillTint="33"/>
            <w:vAlign w:val="center"/>
            <w:hideMark/>
          </w:tcPr>
          <w:p w14:paraId="0555915D" w14:textId="44D6F23C" w:rsidR="00833238" w:rsidRPr="00135766" w:rsidRDefault="00303D63" w:rsidP="00135766">
            <w:pPr>
              <w:spacing w:line="276" w:lineRule="auto"/>
              <w:jc w:val="center"/>
              <w:rPr>
                <w:bCs/>
                <w:sz w:val="15"/>
                <w:szCs w:val="15"/>
              </w:rPr>
            </w:pPr>
            <w:r w:rsidRPr="00135766">
              <w:rPr>
                <w:bCs/>
                <w:sz w:val="15"/>
                <w:szCs w:val="15"/>
              </w:rPr>
              <w:t>Percent</w:t>
            </w:r>
          </w:p>
        </w:tc>
      </w:tr>
      <w:tr w:rsidR="006B42D6" w:rsidRPr="0085694C" w14:paraId="3BC4BCA4" w14:textId="77777777" w:rsidTr="00563226">
        <w:trPr>
          <w:trHeight w:val="147"/>
        </w:trPr>
        <w:tc>
          <w:tcPr>
            <w:tcW w:w="771" w:type="pct"/>
            <w:tcBorders>
              <w:top w:val="nil"/>
              <w:left w:val="nil"/>
              <w:bottom w:val="nil"/>
              <w:right w:val="nil"/>
            </w:tcBorders>
            <w:shd w:val="clear" w:color="auto" w:fill="auto"/>
            <w:noWrap/>
            <w:vAlign w:val="center"/>
            <w:hideMark/>
          </w:tcPr>
          <w:p w14:paraId="7514D648" w14:textId="77777777" w:rsidR="00833238" w:rsidRPr="0085694C" w:rsidRDefault="00833238" w:rsidP="00833238">
            <w:pPr>
              <w:rPr>
                <w:sz w:val="15"/>
                <w:szCs w:val="15"/>
              </w:rPr>
            </w:pPr>
            <w:r w:rsidRPr="0085694C">
              <w:rPr>
                <w:sz w:val="15"/>
                <w:szCs w:val="15"/>
              </w:rPr>
              <w:t>Dodoma</w:t>
            </w:r>
          </w:p>
        </w:tc>
        <w:tc>
          <w:tcPr>
            <w:tcW w:w="526" w:type="pct"/>
            <w:tcBorders>
              <w:top w:val="nil"/>
              <w:left w:val="single" w:sz="4" w:space="0" w:color="auto"/>
              <w:bottom w:val="nil"/>
              <w:right w:val="nil"/>
            </w:tcBorders>
            <w:shd w:val="clear" w:color="auto" w:fill="auto"/>
            <w:noWrap/>
            <w:vAlign w:val="bottom"/>
            <w:hideMark/>
          </w:tcPr>
          <w:p w14:paraId="3B6D861C" w14:textId="77777777" w:rsidR="00833238" w:rsidRPr="0085694C" w:rsidRDefault="00833238" w:rsidP="00833238">
            <w:pPr>
              <w:jc w:val="right"/>
              <w:rPr>
                <w:sz w:val="15"/>
                <w:szCs w:val="15"/>
              </w:rPr>
            </w:pPr>
            <w:r w:rsidRPr="0085694C">
              <w:rPr>
                <w:sz w:val="15"/>
                <w:szCs w:val="15"/>
              </w:rPr>
              <w:t>74,135</w:t>
            </w:r>
          </w:p>
        </w:tc>
        <w:tc>
          <w:tcPr>
            <w:tcW w:w="279" w:type="pct"/>
            <w:tcBorders>
              <w:top w:val="nil"/>
              <w:left w:val="nil"/>
              <w:bottom w:val="nil"/>
              <w:right w:val="nil"/>
            </w:tcBorders>
            <w:shd w:val="clear" w:color="auto" w:fill="auto"/>
            <w:noWrap/>
            <w:vAlign w:val="bottom"/>
            <w:hideMark/>
          </w:tcPr>
          <w:p w14:paraId="73BEC70C" w14:textId="77777777" w:rsidR="00833238" w:rsidRPr="0085694C" w:rsidRDefault="00833238" w:rsidP="00833238">
            <w:pPr>
              <w:jc w:val="right"/>
              <w:rPr>
                <w:sz w:val="15"/>
                <w:szCs w:val="15"/>
              </w:rPr>
            </w:pPr>
            <w:r w:rsidRPr="0085694C">
              <w:rPr>
                <w:sz w:val="15"/>
                <w:szCs w:val="15"/>
              </w:rPr>
              <w:t>4.4</w:t>
            </w:r>
          </w:p>
        </w:tc>
        <w:tc>
          <w:tcPr>
            <w:tcW w:w="483" w:type="pct"/>
            <w:tcBorders>
              <w:top w:val="nil"/>
              <w:left w:val="single" w:sz="4" w:space="0" w:color="auto"/>
              <w:bottom w:val="nil"/>
              <w:right w:val="nil"/>
            </w:tcBorders>
            <w:shd w:val="clear" w:color="auto" w:fill="auto"/>
            <w:noWrap/>
            <w:vAlign w:val="bottom"/>
            <w:hideMark/>
          </w:tcPr>
          <w:p w14:paraId="78E70041" w14:textId="77777777" w:rsidR="00833238" w:rsidRPr="0085694C" w:rsidRDefault="00833238" w:rsidP="00833238">
            <w:pPr>
              <w:jc w:val="right"/>
              <w:rPr>
                <w:sz w:val="15"/>
                <w:szCs w:val="15"/>
              </w:rPr>
            </w:pPr>
            <w:r w:rsidRPr="0085694C">
              <w:rPr>
                <w:sz w:val="15"/>
                <w:szCs w:val="15"/>
              </w:rPr>
              <w:t>95,682</w:t>
            </w:r>
          </w:p>
        </w:tc>
        <w:tc>
          <w:tcPr>
            <w:tcW w:w="569" w:type="pct"/>
            <w:tcBorders>
              <w:top w:val="nil"/>
              <w:left w:val="nil"/>
              <w:bottom w:val="nil"/>
              <w:right w:val="single" w:sz="4" w:space="0" w:color="auto"/>
            </w:tcBorders>
            <w:shd w:val="clear" w:color="auto" w:fill="auto"/>
            <w:noWrap/>
            <w:vAlign w:val="bottom"/>
            <w:hideMark/>
          </w:tcPr>
          <w:p w14:paraId="5101C934" w14:textId="77777777" w:rsidR="00833238" w:rsidRPr="0085694C" w:rsidRDefault="00833238" w:rsidP="00833238">
            <w:pPr>
              <w:jc w:val="right"/>
              <w:rPr>
                <w:sz w:val="15"/>
                <w:szCs w:val="15"/>
              </w:rPr>
            </w:pPr>
            <w:r w:rsidRPr="0085694C">
              <w:rPr>
                <w:sz w:val="15"/>
                <w:szCs w:val="15"/>
              </w:rPr>
              <w:t>5.3</w:t>
            </w:r>
          </w:p>
        </w:tc>
        <w:tc>
          <w:tcPr>
            <w:tcW w:w="542" w:type="pct"/>
            <w:tcBorders>
              <w:top w:val="nil"/>
              <w:left w:val="nil"/>
              <w:bottom w:val="nil"/>
              <w:right w:val="nil"/>
            </w:tcBorders>
            <w:shd w:val="clear" w:color="auto" w:fill="auto"/>
            <w:noWrap/>
            <w:vAlign w:val="bottom"/>
            <w:hideMark/>
          </w:tcPr>
          <w:p w14:paraId="4C90B904" w14:textId="77777777" w:rsidR="00833238" w:rsidRPr="0085694C" w:rsidRDefault="00833238" w:rsidP="00833238">
            <w:pPr>
              <w:jc w:val="right"/>
              <w:rPr>
                <w:sz w:val="15"/>
                <w:szCs w:val="15"/>
              </w:rPr>
            </w:pPr>
            <w:r w:rsidRPr="0085694C">
              <w:rPr>
                <w:sz w:val="15"/>
                <w:szCs w:val="15"/>
              </w:rPr>
              <w:t>113,577</w:t>
            </w:r>
          </w:p>
        </w:tc>
        <w:tc>
          <w:tcPr>
            <w:tcW w:w="616" w:type="pct"/>
            <w:tcBorders>
              <w:top w:val="nil"/>
              <w:left w:val="nil"/>
              <w:bottom w:val="nil"/>
              <w:right w:val="nil"/>
            </w:tcBorders>
            <w:shd w:val="clear" w:color="auto" w:fill="auto"/>
            <w:noWrap/>
            <w:vAlign w:val="bottom"/>
            <w:hideMark/>
          </w:tcPr>
          <w:p w14:paraId="6716A239" w14:textId="77777777" w:rsidR="00833238" w:rsidRPr="0085694C" w:rsidRDefault="00833238" w:rsidP="00833238">
            <w:pPr>
              <w:jc w:val="right"/>
              <w:rPr>
                <w:sz w:val="15"/>
                <w:szCs w:val="15"/>
              </w:rPr>
            </w:pPr>
            <w:r w:rsidRPr="0085694C">
              <w:rPr>
                <w:sz w:val="15"/>
                <w:szCs w:val="15"/>
              </w:rPr>
              <w:t>3.0</w:t>
            </w:r>
          </w:p>
        </w:tc>
        <w:tc>
          <w:tcPr>
            <w:tcW w:w="598" w:type="pct"/>
            <w:tcBorders>
              <w:top w:val="nil"/>
              <w:left w:val="single" w:sz="4" w:space="0" w:color="auto"/>
              <w:bottom w:val="nil"/>
              <w:right w:val="nil"/>
            </w:tcBorders>
            <w:shd w:val="clear" w:color="auto" w:fill="auto"/>
            <w:noWrap/>
            <w:vAlign w:val="bottom"/>
            <w:hideMark/>
          </w:tcPr>
          <w:p w14:paraId="6A5A4164" w14:textId="77777777" w:rsidR="00833238" w:rsidRPr="0085694C" w:rsidRDefault="00833238" w:rsidP="00833238">
            <w:pPr>
              <w:jc w:val="right"/>
              <w:rPr>
                <w:sz w:val="15"/>
                <w:szCs w:val="15"/>
              </w:rPr>
            </w:pPr>
            <w:r w:rsidRPr="0085694C">
              <w:rPr>
                <w:sz w:val="15"/>
                <w:szCs w:val="15"/>
              </w:rPr>
              <w:t>9,495</w:t>
            </w:r>
          </w:p>
        </w:tc>
        <w:tc>
          <w:tcPr>
            <w:tcW w:w="615" w:type="pct"/>
            <w:tcBorders>
              <w:top w:val="nil"/>
              <w:left w:val="nil"/>
              <w:bottom w:val="nil"/>
              <w:right w:val="nil"/>
            </w:tcBorders>
            <w:shd w:val="clear" w:color="auto" w:fill="auto"/>
            <w:noWrap/>
            <w:vAlign w:val="bottom"/>
            <w:hideMark/>
          </w:tcPr>
          <w:p w14:paraId="238B8D9E" w14:textId="77777777" w:rsidR="00833238" w:rsidRPr="0085694C" w:rsidRDefault="00833238" w:rsidP="00833238">
            <w:pPr>
              <w:jc w:val="right"/>
              <w:rPr>
                <w:sz w:val="15"/>
                <w:szCs w:val="15"/>
              </w:rPr>
            </w:pPr>
            <w:r w:rsidRPr="0085694C">
              <w:rPr>
                <w:sz w:val="15"/>
                <w:szCs w:val="15"/>
              </w:rPr>
              <w:t>1.5</w:t>
            </w:r>
          </w:p>
        </w:tc>
      </w:tr>
      <w:tr w:rsidR="006B42D6" w:rsidRPr="0085694C" w14:paraId="08675A91" w14:textId="77777777" w:rsidTr="00563226">
        <w:trPr>
          <w:trHeight w:val="169"/>
        </w:trPr>
        <w:tc>
          <w:tcPr>
            <w:tcW w:w="771" w:type="pct"/>
            <w:tcBorders>
              <w:top w:val="nil"/>
              <w:left w:val="nil"/>
              <w:bottom w:val="nil"/>
              <w:right w:val="nil"/>
            </w:tcBorders>
            <w:shd w:val="clear" w:color="auto" w:fill="auto"/>
            <w:noWrap/>
            <w:vAlign w:val="center"/>
            <w:hideMark/>
          </w:tcPr>
          <w:p w14:paraId="0585BC0B" w14:textId="77777777" w:rsidR="00833238" w:rsidRPr="0085694C" w:rsidRDefault="00833238" w:rsidP="00833238">
            <w:pPr>
              <w:rPr>
                <w:sz w:val="15"/>
                <w:szCs w:val="15"/>
              </w:rPr>
            </w:pPr>
            <w:r w:rsidRPr="0085694C">
              <w:rPr>
                <w:sz w:val="15"/>
                <w:szCs w:val="15"/>
              </w:rPr>
              <w:t>Arusha</w:t>
            </w:r>
          </w:p>
        </w:tc>
        <w:tc>
          <w:tcPr>
            <w:tcW w:w="526" w:type="pct"/>
            <w:tcBorders>
              <w:top w:val="nil"/>
              <w:left w:val="single" w:sz="4" w:space="0" w:color="auto"/>
              <w:bottom w:val="nil"/>
              <w:right w:val="nil"/>
            </w:tcBorders>
            <w:shd w:val="clear" w:color="auto" w:fill="auto"/>
            <w:noWrap/>
            <w:vAlign w:val="bottom"/>
            <w:hideMark/>
          </w:tcPr>
          <w:p w14:paraId="768BAB03" w14:textId="77777777" w:rsidR="00833238" w:rsidRPr="0085694C" w:rsidRDefault="00833238" w:rsidP="00833238">
            <w:pPr>
              <w:jc w:val="right"/>
              <w:rPr>
                <w:sz w:val="15"/>
                <w:szCs w:val="15"/>
              </w:rPr>
            </w:pPr>
            <w:r w:rsidRPr="0085694C">
              <w:rPr>
                <w:sz w:val="15"/>
                <w:szCs w:val="15"/>
              </w:rPr>
              <w:t>247,040</w:t>
            </w:r>
          </w:p>
        </w:tc>
        <w:tc>
          <w:tcPr>
            <w:tcW w:w="279" w:type="pct"/>
            <w:tcBorders>
              <w:top w:val="nil"/>
              <w:left w:val="nil"/>
              <w:bottom w:val="nil"/>
              <w:right w:val="nil"/>
            </w:tcBorders>
            <w:shd w:val="clear" w:color="auto" w:fill="auto"/>
            <w:noWrap/>
            <w:vAlign w:val="bottom"/>
            <w:hideMark/>
          </w:tcPr>
          <w:p w14:paraId="672C9B0F" w14:textId="77777777" w:rsidR="00833238" w:rsidRPr="0085694C" w:rsidRDefault="00833238" w:rsidP="00833238">
            <w:pPr>
              <w:jc w:val="right"/>
              <w:rPr>
                <w:sz w:val="15"/>
                <w:szCs w:val="15"/>
              </w:rPr>
            </w:pPr>
            <w:r w:rsidRPr="0085694C">
              <w:rPr>
                <w:sz w:val="15"/>
                <w:szCs w:val="15"/>
              </w:rPr>
              <w:t>14.7</w:t>
            </w:r>
          </w:p>
        </w:tc>
        <w:tc>
          <w:tcPr>
            <w:tcW w:w="483" w:type="pct"/>
            <w:tcBorders>
              <w:top w:val="nil"/>
              <w:left w:val="single" w:sz="4" w:space="0" w:color="auto"/>
              <w:bottom w:val="nil"/>
              <w:right w:val="nil"/>
            </w:tcBorders>
            <w:shd w:val="clear" w:color="auto" w:fill="auto"/>
            <w:noWrap/>
            <w:vAlign w:val="bottom"/>
            <w:hideMark/>
          </w:tcPr>
          <w:p w14:paraId="354569CA" w14:textId="77777777" w:rsidR="00833238" w:rsidRPr="0085694C" w:rsidRDefault="00833238" w:rsidP="00833238">
            <w:pPr>
              <w:jc w:val="right"/>
              <w:rPr>
                <w:sz w:val="15"/>
                <w:szCs w:val="15"/>
              </w:rPr>
            </w:pPr>
            <w:r w:rsidRPr="0085694C">
              <w:rPr>
                <w:sz w:val="15"/>
                <w:szCs w:val="15"/>
              </w:rPr>
              <w:t>129,323</w:t>
            </w:r>
          </w:p>
        </w:tc>
        <w:tc>
          <w:tcPr>
            <w:tcW w:w="569" w:type="pct"/>
            <w:tcBorders>
              <w:top w:val="nil"/>
              <w:left w:val="nil"/>
              <w:bottom w:val="nil"/>
              <w:right w:val="single" w:sz="4" w:space="0" w:color="auto"/>
            </w:tcBorders>
            <w:shd w:val="clear" w:color="auto" w:fill="auto"/>
            <w:noWrap/>
            <w:vAlign w:val="bottom"/>
            <w:hideMark/>
          </w:tcPr>
          <w:p w14:paraId="42F82DF8" w14:textId="77777777" w:rsidR="00833238" w:rsidRPr="0085694C" w:rsidRDefault="00833238" w:rsidP="00833238">
            <w:pPr>
              <w:jc w:val="right"/>
              <w:rPr>
                <w:sz w:val="15"/>
                <w:szCs w:val="15"/>
              </w:rPr>
            </w:pPr>
            <w:r w:rsidRPr="0085694C">
              <w:rPr>
                <w:sz w:val="15"/>
                <w:szCs w:val="15"/>
              </w:rPr>
              <w:t>7.2</w:t>
            </w:r>
          </w:p>
        </w:tc>
        <w:tc>
          <w:tcPr>
            <w:tcW w:w="542" w:type="pct"/>
            <w:tcBorders>
              <w:top w:val="nil"/>
              <w:left w:val="nil"/>
              <w:bottom w:val="nil"/>
              <w:right w:val="nil"/>
            </w:tcBorders>
            <w:shd w:val="clear" w:color="auto" w:fill="auto"/>
            <w:noWrap/>
            <w:vAlign w:val="bottom"/>
            <w:hideMark/>
          </w:tcPr>
          <w:p w14:paraId="460856CA" w14:textId="77777777" w:rsidR="00833238" w:rsidRPr="0085694C" w:rsidRDefault="00833238" w:rsidP="00833238">
            <w:pPr>
              <w:jc w:val="right"/>
              <w:rPr>
                <w:sz w:val="15"/>
                <w:szCs w:val="15"/>
              </w:rPr>
            </w:pPr>
            <w:r w:rsidRPr="0085694C">
              <w:rPr>
                <w:sz w:val="15"/>
                <w:szCs w:val="15"/>
              </w:rPr>
              <w:t>333,918</w:t>
            </w:r>
          </w:p>
        </w:tc>
        <w:tc>
          <w:tcPr>
            <w:tcW w:w="616" w:type="pct"/>
            <w:tcBorders>
              <w:top w:val="nil"/>
              <w:left w:val="nil"/>
              <w:bottom w:val="nil"/>
              <w:right w:val="nil"/>
            </w:tcBorders>
            <w:shd w:val="clear" w:color="auto" w:fill="auto"/>
            <w:noWrap/>
            <w:vAlign w:val="bottom"/>
            <w:hideMark/>
          </w:tcPr>
          <w:p w14:paraId="48F6591A" w14:textId="77777777" w:rsidR="00833238" w:rsidRPr="0085694C" w:rsidRDefault="00833238" w:rsidP="00833238">
            <w:pPr>
              <w:jc w:val="right"/>
              <w:rPr>
                <w:sz w:val="15"/>
                <w:szCs w:val="15"/>
              </w:rPr>
            </w:pPr>
            <w:r w:rsidRPr="0085694C">
              <w:rPr>
                <w:sz w:val="15"/>
                <w:szCs w:val="15"/>
              </w:rPr>
              <w:t>8.8</w:t>
            </w:r>
          </w:p>
        </w:tc>
        <w:tc>
          <w:tcPr>
            <w:tcW w:w="598" w:type="pct"/>
            <w:tcBorders>
              <w:top w:val="nil"/>
              <w:left w:val="single" w:sz="4" w:space="0" w:color="auto"/>
              <w:bottom w:val="nil"/>
              <w:right w:val="nil"/>
            </w:tcBorders>
            <w:shd w:val="clear" w:color="auto" w:fill="auto"/>
            <w:noWrap/>
            <w:vAlign w:val="bottom"/>
            <w:hideMark/>
          </w:tcPr>
          <w:p w14:paraId="2DC50C7E" w14:textId="77777777" w:rsidR="00833238" w:rsidRPr="0085694C" w:rsidRDefault="00833238" w:rsidP="00833238">
            <w:pPr>
              <w:jc w:val="right"/>
              <w:rPr>
                <w:sz w:val="15"/>
                <w:szCs w:val="15"/>
              </w:rPr>
            </w:pPr>
            <w:r w:rsidRPr="0085694C">
              <w:rPr>
                <w:sz w:val="15"/>
                <w:szCs w:val="15"/>
              </w:rPr>
              <w:t>10,943</w:t>
            </w:r>
          </w:p>
        </w:tc>
        <w:tc>
          <w:tcPr>
            <w:tcW w:w="615" w:type="pct"/>
            <w:tcBorders>
              <w:top w:val="nil"/>
              <w:left w:val="nil"/>
              <w:bottom w:val="nil"/>
              <w:right w:val="nil"/>
            </w:tcBorders>
            <w:shd w:val="clear" w:color="auto" w:fill="auto"/>
            <w:noWrap/>
            <w:vAlign w:val="bottom"/>
            <w:hideMark/>
          </w:tcPr>
          <w:p w14:paraId="7B7D13A3" w14:textId="77777777" w:rsidR="00833238" w:rsidRPr="0085694C" w:rsidRDefault="00833238" w:rsidP="00833238">
            <w:pPr>
              <w:jc w:val="right"/>
              <w:rPr>
                <w:sz w:val="15"/>
                <w:szCs w:val="15"/>
              </w:rPr>
            </w:pPr>
            <w:r w:rsidRPr="0085694C">
              <w:rPr>
                <w:sz w:val="15"/>
                <w:szCs w:val="15"/>
              </w:rPr>
              <w:t>1.7</w:t>
            </w:r>
          </w:p>
        </w:tc>
      </w:tr>
      <w:tr w:rsidR="006B42D6" w:rsidRPr="0085694C" w14:paraId="3A5E3E2F" w14:textId="77777777" w:rsidTr="00563226">
        <w:trPr>
          <w:trHeight w:val="169"/>
        </w:trPr>
        <w:tc>
          <w:tcPr>
            <w:tcW w:w="771" w:type="pct"/>
            <w:tcBorders>
              <w:top w:val="nil"/>
              <w:left w:val="nil"/>
              <w:bottom w:val="nil"/>
              <w:right w:val="nil"/>
            </w:tcBorders>
            <w:shd w:val="clear" w:color="auto" w:fill="auto"/>
            <w:noWrap/>
            <w:vAlign w:val="center"/>
            <w:hideMark/>
          </w:tcPr>
          <w:p w14:paraId="000A1404" w14:textId="77777777" w:rsidR="00833238" w:rsidRPr="0085694C" w:rsidRDefault="00833238" w:rsidP="00833238">
            <w:pPr>
              <w:rPr>
                <w:sz w:val="15"/>
                <w:szCs w:val="15"/>
              </w:rPr>
            </w:pPr>
            <w:r w:rsidRPr="0085694C">
              <w:rPr>
                <w:sz w:val="15"/>
                <w:szCs w:val="15"/>
              </w:rPr>
              <w:t>Kilimanjaro</w:t>
            </w:r>
          </w:p>
        </w:tc>
        <w:tc>
          <w:tcPr>
            <w:tcW w:w="526" w:type="pct"/>
            <w:tcBorders>
              <w:top w:val="nil"/>
              <w:left w:val="single" w:sz="4" w:space="0" w:color="auto"/>
              <w:bottom w:val="nil"/>
              <w:right w:val="nil"/>
            </w:tcBorders>
            <w:shd w:val="clear" w:color="auto" w:fill="auto"/>
            <w:noWrap/>
            <w:vAlign w:val="bottom"/>
            <w:hideMark/>
          </w:tcPr>
          <w:p w14:paraId="1DAE9ECB" w14:textId="77777777" w:rsidR="00833238" w:rsidRPr="0085694C" w:rsidRDefault="00833238" w:rsidP="00833238">
            <w:pPr>
              <w:jc w:val="right"/>
              <w:rPr>
                <w:sz w:val="15"/>
                <w:szCs w:val="15"/>
              </w:rPr>
            </w:pPr>
            <w:r w:rsidRPr="0085694C">
              <w:rPr>
                <w:sz w:val="15"/>
                <w:szCs w:val="15"/>
              </w:rPr>
              <w:t>256,077</w:t>
            </w:r>
          </w:p>
        </w:tc>
        <w:tc>
          <w:tcPr>
            <w:tcW w:w="279" w:type="pct"/>
            <w:tcBorders>
              <w:top w:val="nil"/>
              <w:left w:val="nil"/>
              <w:bottom w:val="nil"/>
              <w:right w:val="nil"/>
            </w:tcBorders>
            <w:shd w:val="clear" w:color="auto" w:fill="auto"/>
            <w:noWrap/>
            <w:vAlign w:val="bottom"/>
            <w:hideMark/>
          </w:tcPr>
          <w:p w14:paraId="4F0E9435" w14:textId="77777777" w:rsidR="00833238" w:rsidRPr="0085694C" w:rsidRDefault="00833238" w:rsidP="00833238">
            <w:pPr>
              <w:jc w:val="right"/>
              <w:rPr>
                <w:sz w:val="15"/>
                <w:szCs w:val="15"/>
              </w:rPr>
            </w:pPr>
            <w:r w:rsidRPr="0085694C">
              <w:rPr>
                <w:sz w:val="15"/>
                <w:szCs w:val="15"/>
              </w:rPr>
              <w:t>15.2</w:t>
            </w:r>
          </w:p>
        </w:tc>
        <w:tc>
          <w:tcPr>
            <w:tcW w:w="483" w:type="pct"/>
            <w:tcBorders>
              <w:top w:val="nil"/>
              <w:left w:val="single" w:sz="4" w:space="0" w:color="auto"/>
              <w:bottom w:val="nil"/>
              <w:right w:val="nil"/>
            </w:tcBorders>
            <w:shd w:val="clear" w:color="auto" w:fill="auto"/>
            <w:noWrap/>
            <w:vAlign w:val="bottom"/>
            <w:hideMark/>
          </w:tcPr>
          <w:p w14:paraId="7D58A126" w14:textId="77777777" w:rsidR="00833238" w:rsidRPr="0085694C" w:rsidRDefault="00833238" w:rsidP="00833238">
            <w:pPr>
              <w:jc w:val="right"/>
              <w:rPr>
                <w:sz w:val="15"/>
                <w:szCs w:val="15"/>
              </w:rPr>
            </w:pPr>
            <w:r w:rsidRPr="0085694C">
              <w:rPr>
                <w:sz w:val="15"/>
                <w:szCs w:val="15"/>
              </w:rPr>
              <w:t>37,979</w:t>
            </w:r>
          </w:p>
        </w:tc>
        <w:tc>
          <w:tcPr>
            <w:tcW w:w="569" w:type="pct"/>
            <w:tcBorders>
              <w:top w:val="nil"/>
              <w:left w:val="nil"/>
              <w:bottom w:val="nil"/>
              <w:right w:val="single" w:sz="4" w:space="0" w:color="auto"/>
            </w:tcBorders>
            <w:shd w:val="clear" w:color="auto" w:fill="auto"/>
            <w:noWrap/>
            <w:vAlign w:val="bottom"/>
            <w:hideMark/>
          </w:tcPr>
          <w:p w14:paraId="4C2B1E39" w14:textId="77777777" w:rsidR="00833238" w:rsidRPr="0085694C" w:rsidRDefault="00833238" w:rsidP="00833238">
            <w:pPr>
              <w:jc w:val="right"/>
              <w:rPr>
                <w:sz w:val="15"/>
                <w:szCs w:val="15"/>
              </w:rPr>
            </w:pPr>
            <w:r w:rsidRPr="0085694C">
              <w:rPr>
                <w:sz w:val="15"/>
                <w:szCs w:val="15"/>
              </w:rPr>
              <w:t>2.1</w:t>
            </w:r>
          </w:p>
        </w:tc>
        <w:tc>
          <w:tcPr>
            <w:tcW w:w="542" w:type="pct"/>
            <w:tcBorders>
              <w:top w:val="nil"/>
              <w:left w:val="nil"/>
              <w:bottom w:val="nil"/>
              <w:right w:val="nil"/>
            </w:tcBorders>
            <w:shd w:val="clear" w:color="auto" w:fill="auto"/>
            <w:noWrap/>
            <w:vAlign w:val="bottom"/>
            <w:hideMark/>
          </w:tcPr>
          <w:p w14:paraId="2D334E72" w14:textId="77777777" w:rsidR="00833238" w:rsidRPr="0085694C" w:rsidRDefault="00833238" w:rsidP="00833238">
            <w:pPr>
              <w:jc w:val="right"/>
              <w:rPr>
                <w:sz w:val="15"/>
                <w:szCs w:val="15"/>
              </w:rPr>
            </w:pPr>
            <w:r w:rsidRPr="0085694C">
              <w:rPr>
                <w:sz w:val="15"/>
                <w:szCs w:val="15"/>
              </w:rPr>
              <w:t>285,172</w:t>
            </w:r>
          </w:p>
        </w:tc>
        <w:tc>
          <w:tcPr>
            <w:tcW w:w="616" w:type="pct"/>
            <w:tcBorders>
              <w:top w:val="nil"/>
              <w:left w:val="nil"/>
              <w:bottom w:val="nil"/>
              <w:right w:val="nil"/>
            </w:tcBorders>
            <w:shd w:val="clear" w:color="auto" w:fill="auto"/>
            <w:noWrap/>
            <w:vAlign w:val="bottom"/>
            <w:hideMark/>
          </w:tcPr>
          <w:p w14:paraId="245527CF" w14:textId="77777777" w:rsidR="00833238" w:rsidRPr="0085694C" w:rsidRDefault="00833238" w:rsidP="00833238">
            <w:pPr>
              <w:jc w:val="right"/>
              <w:rPr>
                <w:sz w:val="15"/>
                <w:szCs w:val="15"/>
              </w:rPr>
            </w:pPr>
            <w:r w:rsidRPr="0085694C">
              <w:rPr>
                <w:sz w:val="15"/>
                <w:szCs w:val="15"/>
              </w:rPr>
              <w:t>7.5</w:t>
            </w:r>
          </w:p>
        </w:tc>
        <w:tc>
          <w:tcPr>
            <w:tcW w:w="598" w:type="pct"/>
            <w:tcBorders>
              <w:top w:val="nil"/>
              <w:left w:val="single" w:sz="4" w:space="0" w:color="auto"/>
              <w:bottom w:val="nil"/>
              <w:right w:val="nil"/>
            </w:tcBorders>
            <w:shd w:val="clear" w:color="auto" w:fill="auto"/>
            <w:noWrap/>
            <w:vAlign w:val="bottom"/>
            <w:hideMark/>
          </w:tcPr>
          <w:p w14:paraId="71E4F31C" w14:textId="77777777" w:rsidR="00833238" w:rsidRPr="0085694C" w:rsidRDefault="00833238" w:rsidP="00833238">
            <w:pPr>
              <w:jc w:val="right"/>
              <w:rPr>
                <w:sz w:val="15"/>
                <w:szCs w:val="15"/>
              </w:rPr>
            </w:pPr>
            <w:r w:rsidRPr="0085694C">
              <w:rPr>
                <w:sz w:val="15"/>
                <w:szCs w:val="15"/>
              </w:rPr>
              <w:t>4,220</w:t>
            </w:r>
          </w:p>
        </w:tc>
        <w:tc>
          <w:tcPr>
            <w:tcW w:w="615" w:type="pct"/>
            <w:tcBorders>
              <w:top w:val="nil"/>
              <w:left w:val="nil"/>
              <w:bottom w:val="nil"/>
              <w:right w:val="nil"/>
            </w:tcBorders>
            <w:shd w:val="clear" w:color="auto" w:fill="auto"/>
            <w:noWrap/>
            <w:vAlign w:val="bottom"/>
            <w:hideMark/>
          </w:tcPr>
          <w:p w14:paraId="774F5AE0" w14:textId="77777777" w:rsidR="00833238" w:rsidRPr="0085694C" w:rsidRDefault="00833238" w:rsidP="00833238">
            <w:pPr>
              <w:jc w:val="right"/>
              <w:rPr>
                <w:sz w:val="15"/>
                <w:szCs w:val="15"/>
              </w:rPr>
            </w:pPr>
            <w:r w:rsidRPr="0085694C">
              <w:rPr>
                <w:sz w:val="15"/>
                <w:szCs w:val="15"/>
              </w:rPr>
              <w:t>0.7</w:t>
            </w:r>
          </w:p>
        </w:tc>
      </w:tr>
      <w:tr w:rsidR="006B42D6" w:rsidRPr="0085694C" w14:paraId="575E19F1" w14:textId="77777777" w:rsidTr="00563226">
        <w:trPr>
          <w:trHeight w:val="169"/>
        </w:trPr>
        <w:tc>
          <w:tcPr>
            <w:tcW w:w="771" w:type="pct"/>
            <w:tcBorders>
              <w:top w:val="nil"/>
              <w:left w:val="nil"/>
              <w:bottom w:val="nil"/>
              <w:right w:val="nil"/>
            </w:tcBorders>
            <w:shd w:val="clear" w:color="auto" w:fill="auto"/>
            <w:noWrap/>
            <w:vAlign w:val="center"/>
            <w:hideMark/>
          </w:tcPr>
          <w:p w14:paraId="4C845FD3" w14:textId="77777777" w:rsidR="00833238" w:rsidRPr="0085694C" w:rsidRDefault="00833238" w:rsidP="00833238">
            <w:pPr>
              <w:rPr>
                <w:sz w:val="15"/>
                <w:szCs w:val="15"/>
              </w:rPr>
            </w:pPr>
            <w:r w:rsidRPr="0085694C">
              <w:rPr>
                <w:sz w:val="15"/>
                <w:szCs w:val="15"/>
              </w:rPr>
              <w:t>Tanga</w:t>
            </w:r>
          </w:p>
        </w:tc>
        <w:tc>
          <w:tcPr>
            <w:tcW w:w="526" w:type="pct"/>
            <w:tcBorders>
              <w:top w:val="nil"/>
              <w:left w:val="single" w:sz="4" w:space="0" w:color="auto"/>
              <w:bottom w:val="nil"/>
              <w:right w:val="nil"/>
            </w:tcBorders>
            <w:shd w:val="clear" w:color="auto" w:fill="auto"/>
            <w:noWrap/>
            <w:vAlign w:val="bottom"/>
            <w:hideMark/>
          </w:tcPr>
          <w:p w14:paraId="0D5CF7D3" w14:textId="77777777" w:rsidR="00833238" w:rsidRPr="0085694C" w:rsidRDefault="00833238" w:rsidP="00833238">
            <w:pPr>
              <w:jc w:val="right"/>
              <w:rPr>
                <w:sz w:val="15"/>
                <w:szCs w:val="15"/>
              </w:rPr>
            </w:pPr>
            <w:r w:rsidRPr="0085694C">
              <w:rPr>
                <w:sz w:val="15"/>
                <w:szCs w:val="15"/>
              </w:rPr>
              <w:t>233,321</w:t>
            </w:r>
          </w:p>
        </w:tc>
        <w:tc>
          <w:tcPr>
            <w:tcW w:w="279" w:type="pct"/>
            <w:tcBorders>
              <w:top w:val="nil"/>
              <w:left w:val="nil"/>
              <w:bottom w:val="nil"/>
              <w:right w:val="nil"/>
            </w:tcBorders>
            <w:shd w:val="clear" w:color="auto" w:fill="auto"/>
            <w:noWrap/>
            <w:vAlign w:val="bottom"/>
            <w:hideMark/>
          </w:tcPr>
          <w:p w14:paraId="429C08C8" w14:textId="77777777" w:rsidR="00833238" w:rsidRPr="0085694C" w:rsidRDefault="00833238" w:rsidP="00833238">
            <w:pPr>
              <w:jc w:val="right"/>
              <w:rPr>
                <w:sz w:val="15"/>
                <w:szCs w:val="15"/>
              </w:rPr>
            </w:pPr>
            <w:r w:rsidRPr="0085694C">
              <w:rPr>
                <w:sz w:val="15"/>
                <w:szCs w:val="15"/>
              </w:rPr>
              <w:t>13.9</w:t>
            </w:r>
          </w:p>
        </w:tc>
        <w:tc>
          <w:tcPr>
            <w:tcW w:w="483" w:type="pct"/>
            <w:tcBorders>
              <w:top w:val="nil"/>
              <w:left w:val="single" w:sz="4" w:space="0" w:color="auto"/>
              <w:bottom w:val="nil"/>
              <w:right w:val="nil"/>
            </w:tcBorders>
            <w:shd w:val="clear" w:color="auto" w:fill="auto"/>
            <w:noWrap/>
            <w:vAlign w:val="bottom"/>
            <w:hideMark/>
          </w:tcPr>
          <w:p w14:paraId="7709C428" w14:textId="77777777" w:rsidR="00833238" w:rsidRPr="0085694C" w:rsidRDefault="00833238" w:rsidP="00833238">
            <w:pPr>
              <w:jc w:val="right"/>
              <w:rPr>
                <w:sz w:val="15"/>
                <w:szCs w:val="15"/>
              </w:rPr>
            </w:pPr>
            <w:r w:rsidRPr="0085694C">
              <w:rPr>
                <w:sz w:val="15"/>
                <w:szCs w:val="15"/>
              </w:rPr>
              <w:t>61,772</w:t>
            </w:r>
          </w:p>
        </w:tc>
        <w:tc>
          <w:tcPr>
            <w:tcW w:w="569" w:type="pct"/>
            <w:tcBorders>
              <w:top w:val="nil"/>
              <w:left w:val="nil"/>
              <w:bottom w:val="nil"/>
              <w:right w:val="single" w:sz="4" w:space="0" w:color="auto"/>
            </w:tcBorders>
            <w:shd w:val="clear" w:color="auto" w:fill="auto"/>
            <w:noWrap/>
            <w:vAlign w:val="bottom"/>
            <w:hideMark/>
          </w:tcPr>
          <w:p w14:paraId="4CB73B20" w14:textId="77777777" w:rsidR="00833238" w:rsidRPr="0085694C" w:rsidRDefault="00833238" w:rsidP="00833238">
            <w:pPr>
              <w:jc w:val="right"/>
              <w:rPr>
                <w:sz w:val="15"/>
                <w:szCs w:val="15"/>
              </w:rPr>
            </w:pPr>
            <w:r w:rsidRPr="0085694C">
              <w:rPr>
                <w:sz w:val="15"/>
                <w:szCs w:val="15"/>
              </w:rPr>
              <w:t>3.4</w:t>
            </w:r>
          </w:p>
        </w:tc>
        <w:tc>
          <w:tcPr>
            <w:tcW w:w="542" w:type="pct"/>
            <w:tcBorders>
              <w:top w:val="nil"/>
              <w:left w:val="nil"/>
              <w:bottom w:val="nil"/>
              <w:right w:val="nil"/>
            </w:tcBorders>
            <w:shd w:val="clear" w:color="auto" w:fill="auto"/>
            <w:noWrap/>
            <w:vAlign w:val="bottom"/>
            <w:hideMark/>
          </w:tcPr>
          <w:p w14:paraId="2C641990" w14:textId="77777777" w:rsidR="00833238" w:rsidRPr="0085694C" w:rsidRDefault="00833238" w:rsidP="00833238">
            <w:pPr>
              <w:jc w:val="right"/>
              <w:rPr>
                <w:sz w:val="15"/>
                <w:szCs w:val="15"/>
              </w:rPr>
            </w:pPr>
            <w:r w:rsidRPr="0085694C">
              <w:rPr>
                <w:sz w:val="15"/>
                <w:szCs w:val="15"/>
              </w:rPr>
              <w:t>340,980</w:t>
            </w:r>
          </w:p>
        </w:tc>
        <w:tc>
          <w:tcPr>
            <w:tcW w:w="616" w:type="pct"/>
            <w:tcBorders>
              <w:top w:val="nil"/>
              <w:left w:val="nil"/>
              <w:bottom w:val="nil"/>
              <w:right w:val="nil"/>
            </w:tcBorders>
            <w:shd w:val="clear" w:color="auto" w:fill="auto"/>
            <w:noWrap/>
            <w:vAlign w:val="bottom"/>
            <w:hideMark/>
          </w:tcPr>
          <w:p w14:paraId="1735621C" w14:textId="77777777" w:rsidR="00833238" w:rsidRPr="0085694C" w:rsidRDefault="00833238" w:rsidP="00833238">
            <w:pPr>
              <w:jc w:val="right"/>
              <w:rPr>
                <w:sz w:val="15"/>
                <w:szCs w:val="15"/>
              </w:rPr>
            </w:pPr>
            <w:r w:rsidRPr="0085694C">
              <w:rPr>
                <w:sz w:val="15"/>
                <w:szCs w:val="15"/>
              </w:rPr>
              <w:t>8.9</w:t>
            </w:r>
          </w:p>
        </w:tc>
        <w:tc>
          <w:tcPr>
            <w:tcW w:w="598" w:type="pct"/>
            <w:tcBorders>
              <w:top w:val="nil"/>
              <w:left w:val="single" w:sz="4" w:space="0" w:color="auto"/>
              <w:bottom w:val="nil"/>
              <w:right w:val="nil"/>
            </w:tcBorders>
            <w:shd w:val="clear" w:color="auto" w:fill="auto"/>
            <w:noWrap/>
            <w:vAlign w:val="bottom"/>
            <w:hideMark/>
          </w:tcPr>
          <w:p w14:paraId="760199DF" w14:textId="77777777" w:rsidR="00833238" w:rsidRPr="0085694C" w:rsidRDefault="00833238" w:rsidP="00833238">
            <w:pPr>
              <w:jc w:val="right"/>
              <w:rPr>
                <w:sz w:val="15"/>
                <w:szCs w:val="15"/>
              </w:rPr>
            </w:pPr>
            <w:r w:rsidRPr="0085694C">
              <w:rPr>
                <w:sz w:val="15"/>
                <w:szCs w:val="15"/>
              </w:rPr>
              <w:t>16,590</w:t>
            </w:r>
          </w:p>
        </w:tc>
        <w:tc>
          <w:tcPr>
            <w:tcW w:w="615" w:type="pct"/>
            <w:tcBorders>
              <w:top w:val="nil"/>
              <w:left w:val="nil"/>
              <w:bottom w:val="nil"/>
              <w:right w:val="nil"/>
            </w:tcBorders>
            <w:shd w:val="clear" w:color="auto" w:fill="auto"/>
            <w:noWrap/>
            <w:vAlign w:val="bottom"/>
            <w:hideMark/>
          </w:tcPr>
          <w:p w14:paraId="3678E7B7" w14:textId="77777777" w:rsidR="00833238" w:rsidRPr="0085694C" w:rsidRDefault="00833238" w:rsidP="00833238">
            <w:pPr>
              <w:jc w:val="right"/>
              <w:rPr>
                <w:sz w:val="15"/>
                <w:szCs w:val="15"/>
              </w:rPr>
            </w:pPr>
            <w:r w:rsidRPr="0085694C">
              <w:rPr>
                <w:sz w:val="15"/>
                <w:szCs w:val="15"/>
              </w:rPr>
              <w:t>2.6</w:t>
            </w:r>
          </w:p>
        </w:tc>
      </w:tr>
      <w:tr w:rsidR="006B42D6" w:rsidRPr="0085694C" w14:paraId="3B31E18E" w14:textId="77777777" w:rsidTr="00563226">
        <w:trPr>
          <w:trHeight w:val="169"/>
        </w:trPr>
        <w:tc>
          <w:tcPr>
            <w:tcW w:w="771" w:type="pct"/>
            <w:tcBorders>
              <w:top w:val="nil"/>
              <w:left w:val="nil"/>
              <w:bottom w:val="nil"/>
              <w:right w:val="nil"/>
            </w:tcBorders>
            <w:shd w:val="clear" w:color="auto" w:fill="auto"/>
            <w:noWrap/>
            <w:vAlign w:val="center"/>
            <w:hideMark/>
          </w:tcPr>
          <w:p w14:paraId="501610CF" w14:textId="77777777" w:rsidR="00833238" w:rsidRPr="0085694C" w:rsidRDefault="00833238" w:rsidP="00833238">
            <w:pPr>
              <w:rPr>
                <w:sz w:val="15"/>
                <w:szCs w:val="15"/>
              </w:rPr>
            </w:pPr>
            <w:r w:rsidRPr="0085694C">
              <w:rPr>
                <w:sz w:val="15"/>
                <w:szCs w:val="15"/>
              </w:rPr>
              <w:t>Morogoro</w:t>
            </w:r>
          </w:p>
        </w:tc>
        <w:tc>
          <w:tcPr>
            <w:tcW w:w="526" w:type="pct"/>
            <w:tcBorders>
              <w:top w:val="nil"/>
              <w:left w:val="single" w:sz="4" w:space="0" w:color="auto"/>
              <w:bottom w:val="nil"/>
              <w:right w:val="nil"/>
            </w:tcBorders>
            <w:shd w:val="clear" w:color="auto" w:fill="auto"/>
            <w:noWrap/>
            <w:vAlign w:val="bottom"/>
            <w:hideMark/>
          </w:tcPr>
          <w:p w14:paraId="798FC25E" w14:textId="77777777" w:rsidR="00833238" w:rsidRPr="0085694C" w:rsidRDefault="00833238" w:rsidP="00833238">
            <w:pPr>
              <w:jc w:val="right"/>
              <w:rPr>
                <w:sz w:val="15"/>
                <w:szCs w:val="15"/>
              </w:rPr>
            </w:pPr>
            <w:r w:rsidRPr="0085694C">
              <w:rPr>
                <w:sz w:val="15"/>
                <w:szCs w:val="15"/>
              </w:rPr>
              <w:t>98,249</w:t>
            </w:r>
          </w:p>
        </w:tc>
        <w:tc>
          <w:tcPr>
            <w:tcW w:w="279" w:type="pct"/>
            <w:tcBorders>
              <w:top w:val="nil"/>
              <w:left w:val="nil"/>
              <w:bottom w:val="nil"/>
              <w:right w:val="nil"/>
            </w:tcBorders>
            <w:shd w:val="clear" w:color="auto" w:fill="auto"/>
            <w:noWrap/>
            <w:vAlign w:val="bottom"/>
            <w:hideMark/>
          </w:tcPr>
          <w:p w14:paraId="1B2082F1" w14:textId="77777777" w:rsidR="00833238" w:rsidRPr="0085694C" w:rsidRDefault="00833238" w:rsidP="00833238">
            <w:pPr>
              <w:jc w:val="right"/>
              <w:rPr>
                <w:sz w:val="15"/>
                <w:szCs w:val="15"/>
              </w:rPr>
            </w:pPr>
            <w:r w:rsidRPr="0085694C">
              <w:rPr>
                <w:sz w:val="15"/>
                <w:szCs w:val="15"/>
              </w:rPr>
              <w:t>5.8</w:t>
            </w:r>
          </w:p>
        </w:tc>
        <w:tc>
          <w:tcPr>
            <w:tcW w:w="483" w:type="pct"/>
            <w:tcBorders>
              <w:top w:val="nil"/>
              <w:left w:val="single" w:sz="4" w:space="0" w:color="auto"/>
              <w:bottom w:val="nil"/>
              <w:right w:val="nil"/>
            </w:tcBorders>
            <w:shd w:val="clear" w:color="auto" w:fill="auto"/>
            <w:noWrap/>
            <w:vAlign w:val="bottom"/>
            <w:hideMark/>
          </w:tcPr>
          <w:p w14:paraId="494C1584" w14:textId="77777777" w:rsidR="00833238" w:rsidRPr="0085694C" w:rsidRDefault="00833238" w:rsidP="00833238">
            <w:pPr>
              <w:jc w:val="right"/>
              <w:rPr>
                <w:sz w:val="15"/>
                <w:szCs w:val="15"/>
              </w:rPr>
            </w:pPr>
            <w:r w:rsidRPr="0085694C">
              <w:rPr>
                <w:sz w:val="15"/>
                <w:szCs w:val="15"/>
              </w:rPr>
              <w:t>106,586</w:t>
            </w:r>
          </w:p>
        </w:tc>
        <w:tc>
          <w:tcPr>
            <w:tcW w:w="569" w:type="pct"/>
            <w:tcBorders>
              <w:top w:val="nil"/>
              <w:left w:val="nil"/>
              <w:bottom w:val="nil"/>
              <w:right w:val="single" w:sz="4" w:space="0" w:color="auto"/>
            </w:tcBorders>
            <w:shd w:val="clear" w:color="auto" w:fill="auto"/>
            <w:noWrap/>
            <w:vAlign w:val="bottom"/>
            <w:hideMark/>
          </w:tcPr>
          <w:p w14:paraId="06E24B1D" w14:textId="77777777" w:rsidR="00833238" w:rsidRPr="0085694C" w:rsidRDefault="00833238" w:rsidP="00833238">
            <w:pPr>
              <w:jc w:val="right"/>
              <w:rPr>
                <w:sz w:val="15"/>
                <w:szCs w:val="15"/>
              </w:rPr>
            </w:pPr>
            <w:r w:rsidRPr="0085694C">
              <w:rPr>
                <w:sz w:val="15"/>
                <w:szCs w:val="15"/>
              </w:rPr>
              <w:t>5.9</w:t>
            </w:r>
          </w:p>
        </w:tc>
        <w:tc>
          <w:tcPr>
            <w:tcW w:w="542" w:type="pct"/>
            <w:tcBorders>
              <w:top w:val="nil"/>
              <w:left w:val="nil"/>
              <w:bottom w:val="nil"/>
              <w:right w:val="nil"/>
            </w:tcBorders>
            <w:shd w:val="clear" w:color="auto" w:fill="auto"/>
            <w:noWrap/>
            <w:vAlign w:val="bottom"/>
            <w:hideMark/>
          </w:tcPr>
          <w:p w14:paraId="32684910" w14:textId="77777777" w:rsidR="00833238" w:rsidRPr="0085694C" w:rsidRDefault="00833238" w:rsidP="00833238">
            <w:pPr>
              <w:jc w:val="right"/>
              <w:rPr>
                <w:sz w:val="15"/>
                <w:szCs w:val="15"/>
              </w:rPr>
            </w:pPr>
            <w:r w:rsidRPr="0085694C">
              <w:rPr>
                <w:sz w:val="15"/>
                <w:szCs w:val="15"/>
              </w:rPr>
              <w:t>105,395</w:t>
            </w:r>
          </w:p>
        </w:tc>
        <w:tc>
          <w:tcPr>
            <w:tcW w:w="616" w:type="pct"/>
            <w:tcBorders>
              <w:top w:val="nil"/>
              <w:left w:val="nil"/>
              <w:bottom w:val="nil"/>
              <w:right w:val="nil"/>
            </w:tcBorders>
            <w:shd w:val="clear" w:color="auto" w:fill="auto"/>
            <w:noWrap/>
            <w:vAlign w:val="bottom"/>
            <w:hideMark/>
          </w:tcPr>
          <w:p w14:paraId="65C7C71F" w14:textId="77777777" w:rsidR="00833238" w:rsidRPr="0085694C" w:rsidRDefault="00833238" w:rsidP="00833238">
            <w:pPr>
              <w:jc w:val="right"/>
              <w:rPr>
                <w:sz w:val="15"/>
                <w:szCs w:val="15"/>
              </w:rPr>
            </w:pPr>
            <w:r w:rsidRPr="0085694C">
              <w:rPr>
                <w:sz w:val="15"/>
                <w:szCs w:val="15"/>
              </w:rPr>
              <w:t>2.8</w:t>
            </w:r>
          </w:p>
        </w:tc>
        <w:tc>
          <w:tcPr>
            <w:tcW w:w="598" w:type="pct"/>
            <w:tcBorders>
              <w:top w:val="nil"/>
              <w:left w:val="single" w:sz="4" w:space="0" w:color="auto"/>
              <w:bottom w:val="nil"/>
              <w:right w:val="nil"/>
            </w:tcBorders>
            <w:shd w:val="clear" w:color="auto" w:fill="auto"/>
            <w:noWrap/>
            <w:vAlign w:val="bottom"/>
            <w:hideMark/>
          </w:tcPr>
          <w:p w14:paraId="3C2EE813" w14:textId="77777777" w:rsidR="00833238" w:rsidRPr="0085694C" w:rsidRDefault="00833238" w:rsidP="00833238">
            <w:pPr>
              <w:jc w:val="right"/>
              <w:rPr>
                <w:sz w:val="15"/>
                <w:szCs w:val="15"/>
              </w:rPr>
            </w:pPr>
            <w:r w:rsidRPr="0085694C">
              <w:rPr>
                <w:sz w:val="15"/>
                <w:szCs w:val="15"/>
              </w:rPr>
              <w:t>19,054</w:t>
            </w:r>
          </w:p>
        </w:tc>
        <w:tc>
          <w:tcPr>
            <w:tcW w:w="615" w:type="pct"/>
            <w:tcBorders>
              <w:top w:val="nil"/>
              <w:left w:val="nil"/>
              <w:bottom w:val="nil"/>
              <w:right w:val="nil"/>
            </w:tcBorders>
            <w:shd w:val="clear" w:color="auto" w:fill="auto"/>
            <w:noWrap/>
            <w:vAlign w:val="bottom"/>
            <w:hideMark/>
          </w:tcPr>
          <w:p w14:paraId="6E89E562" w14:textId="77777777" w:rsidR="00833238" w:rsidRPr="0085694C" w:rsidRDefault="00833238" w:rsidP="00833238">
            <w:pPr>
              <w:jc w:val="right"/>
              <w:rPr>
                <w:sz w:val="15"/>
                <w:szCs w:val="15"/>
              </w:rPr>
            </w:pPr>
            <w:r w:rsidRPr="0085694C">
              <w:rPr>
                <w:sz w:val="15"/>
                <w:szCs w:val="15"/>
              </w:rPr>
              <w:t>3.0</w:t>
            </w:r>
          </w:p>
        </w:tc>
      </w:tr>
      <w:tr w:rsidR="006B42D6" w:rsidRPr="0085694C" w14:paraId="7575D5AD" w14:textId="77777777" w:rsidTr="00563226">
        <w:trPr>
          <w:trHeight w:val="169"/>
        </w:trPr>
        <w:tc>
          <w:tcPr>
            <w:tcW w:w="771" w:type="pct"/>
            <w:tcBorders>
              <w:top w:val="nil"/>
              <w:left w:val="nil"/>
              <w:bottom w:val="nil"/>
              <w:right w:val="nil"/>
            </w:tcBorders>
            <w:shd w:val="clear" w:color="auto" w:fill="auto"/>
            <w:noWrap/>
            <w:vAlign w:val="center"/>
            <w:hideMark/>
          </w:tcPr>
          <w:p w14:paraId="03A6CF4B" w14:textId="77777777" w:rsidR="00833238" w:rsidRPr="0085694C" w:rsidRDefault="00833238" w:rsidP="00833238">
            <w:pPr>
              <w:rPr>
                <w:sz w:val="15"/>
                <w:szCs w:val="15"/>
              </w:rPr>
            </w:pPr>
            <w:r w:rsidRPr="0085694C">
              <w:rPr>
                <w:sz w:val="15"/>
                <w:szCs w:val="15"/>
              </w:rPr>
              <w:t>Pwani</w:t>
            </w:r>
          </w:p>
        </w:tc>
        <w:tc>
          <w:tcPr>
            <w:tcW w:w="526" w:type="pct"/>
            <w:tcBorders>
              <w:top w:val="nil"/>
              <w:left w:val="single" w:sz="4" w:space="0" w:color="auto"/>
              <w:bottom w:val="nil"/>
              <w:right w:val="nil"/>
            </w:tcBorders>
            <w:shd w:val="clear" w:color="auto" w:fill="auto"/>
            <w:noWrap/>
            <w:vAlign w:val="bottom"/>
            <w:hideMark/>
          </w:tcPr>
          <w:p w14:paraId="316B2765" w14:textId="77777777" w:rsidR="00833238" w:rsidRPr="0085694C" w:rsidRDefault="00833238" w:rsidP="00833238">
            <w:pPr>
              <w:jc w:val="right"/>
              <w:rPr>
                <w:sz w:val="15"/>
                <w:szCs w:val="15"/>
              </w:rPr>
            </w:pPr>
            <w:r w:rsidRPr="0085694C">
              <w:rPr>
                <w:sz w:val="15"/>
                <w:szCs w:val="15"/>
              </w:rPr>
              <w:t>97,367</w:t>
            </w:r>
          </w:p>
        </w:tc>
        <w:tc>
          <w:tcPr>
            <w:tcW w:w="279" w:type="pct"/>
            <w:tcBorders>
              <w:top w:val="nil"/>
              <w:left w:val="nil"/>
              <w:bottom w:val="nil"/>
              <w:right w:val="nil"/>
            </w:tcBorders>
            <w:shd w:val="clear" w:color="auto" w:fill="auto"/>
            <w:noWrap/>
            <w:vAlign w:val="bottom"/>
            <w:hideMark/>
          </w:tcPr>
          <w:p w14:paraId="76D31B8A" w14:textId="77777777" w:rsidR="00833238" w:rsidRPr="0085694C" w:rsidRDefault="00833238" w:rsidP="00833238">
            <w:pPr>
              <w:jc w:val="right"/>
              <w:rPr>
                <w:sz w:val="15"/>
                <w:szCs w:val="15"/>
              </w:rPr>
            </w:pPr>
            <w:r w:rsidRPr="0085694C">
              <w:rPr>
                <w:sz w:val="15"/>
                <w:szCs w:val="15"/>
              </w:rPr>
              <w:t>5.8</w:t>
            </w:r>
          </w:p>
        </w:tc>
        <w:tc>
          <w:tcPr>
            <w:tcW w:w="483" w:type="pct"/>
            <w:tcBorders>
              <w:top w:val="nil"/>
              <w:left w:val="single" w:sz="4" w:space="0" w:color="auto"/>
              <w:bottom w:val="nil"/>
              <w:right w:val="nil"/>
            </w:tcBorders>
            <w:shd w:val="clear" w:color="auto" w:fill="auto"/>
            <w:noWrap/>
            <w:vAlign w:val="bottom"/>
            <w:hideMark/>
          </w:tcPr>
          <w:p w14:paraId="1BD472C6" w14:textId="77777777" w:rsidR="00833238" w:rsidRPr="0085694C" w:rsidRDefault="00833238" w:rsidP="00833238">
            <w:pPr>
              <w:jc w:val="right"/>
              <w:rPr>
                <w:sz w:val="15"/>
                <w:szCs w:val="15"/>
              </w:rPr>
            </w:pPr>
            <w:r w:rsidRPr="0085694C">
              <w:rPr>
                <w:sz w:val="15"/>
                <w:szCs w:val="15"/>
              </w:rPr>
              <w:t>44,036</w:t>
            </w:r>
          </w:p>
        </w:tc>
        <w:tc>
          <w:tcPr>
            <w:tcW w:w="569" w:type="pct"/>
            <w:tcBorders>
              <w:top w:val="nil"/>
              <w:left w:val="nil"/>
              <w:bottom w:val="nil"/>
              <w:right w:val="single" w:sz="4" w:space="0" w:color="auto"/>
            </w:tcBorders>
            <w:shd w:val="clear" w:color="auto" w:fill="auto"/>
            <w:noWrap/>
            <w:vAlign w:val="bottom"/>
            <w:hideMark/>
          </w:tcPr>
          <w:p w14:paraId="4043D04D" w14:textId="77777777" w:rsidR="00833238" w:rsidRPr="0085694C" w:rsidRDefault="00833238" w:rsidP="00833238">
            <w:pPr>
              <w:jc w:val="right"/>
              <w:rPr>
                <w:sz w:val="15"/>
                <w:szCs w:val="15"/>
              </w:rPr>
            </w:pPr>
            <w:r w:rsidRPr="0085694C">
              <w:rPr>
                <w:sz w:val="15"/>
                <w:szCs w:val="15"/>
              </w:rPr>
              <w:t>2.4</w:t>
            </w:r>
          </w:p>
        </w:tc>
        <w:tc>
          <w:tcPr>
            <w:tcW w:w="542" w:type="pct"/>
            <w:tcBorders>
              <w:top w:val="nil"/>
              <w:left w:val="nil"/>
              <w:bottom w:val="nil"/>
              <w:right w:val="nil"/>
            </w:tcBorders>
            <w:shd w:val="clear" w:color="auto" w:fill="auto"/>
            <w:noWrap/>
            <w:vAlign w:val="bottom"/>
            <w:hideMark/>
          </w:tcPr>
          <w:p w14:paraId="049AE08F" w14:textId="77777777" w:rsidR="00833238" w:rsidRPr="0085694C" w:rsidRDefault="00833238" w:rsidP="00833238">
            <w:pPr>
              <w:jc w:val="right"/>
              <w:rPr>
                <w:sz w:val="15"/>
                <w:szCs w:val="15"/>
              </w:rPr>
            </w:pPr>
            <w:r w:rsidRPr="0085694C">
              <w:rPr>
                <w:sz w:val="15"/>
                <w:szCs w:val="15"/>
              </w:rPr>
              <w:t>127,241</w:t>
            </w:r>
          </w:p>
        </w:tc>
        <w:tc>
          <w:tcPr>
            <w:tcW w:w="616" w:type="pct"/>
            <w:tcBorders>
              <w:top w:val="nil"/>
              <w:left w:val="nil"/>
              <w:bottom w:val="nil"/>
              <w:right w:val="nil"/>
            </w:tcBorders>
            <w:shd w:val="clear" w:color="auto" w:fill="auto"/>
            <w:noWrap/>
            <w:vAlign w:val="bottom"/>
            <w:hideMark/>
          </w:tcPr>
          <w:p w14:paraId="44A58579" w14:textId="77777777" w:rsidR="00833238" w:rsidRPr="0085694C" w:rsidRDefault="00833238" w:rsidP="00833238">
            <w:pPr>
              <w:jc w:val="right"/>
              <w:rPr>
                <w:sz w:val="15"/>
                <w:szCs w:val="15"/>
              </w:rPr>
            </w:pPr>
            <w:r w:rsidRPr="0085694C">
              <w:rPr>
                <w:sz w:val="15"/>
                <w:szCs w:val="15"/>
              </w:rPr>
              <w:t>3.3</w:t>
            </w:r>
          </w:p>
        </w:tc>
        <w:tc>
          <w:tcPr>
            <w:tcW w:w="598" w:type="pct"/>
            <w:tcBorders>
              <w:top w:val="nil"/>
              <w:left w:val="single" w:sz="4" w:space="0" w:color="auto"/>
              <w:bottom w:val="nil"/>
              <w:right w:val="nil"/>
            </w:tcBorders>
            <w:shd w:val="clear" w:color="auto" w:fill="auto"/>
            <w:noWrap/>
            <w:vAlign w:val="bottom"/>
            <w:hideMark/>
          </w:tcPr>
          <w:p w14:paraId="1CFE3D4A" w14:textId="77777777" w:rsidR="00833238" w:rsidRPr="0085694C" w:rsidRDefault="00833238" w:rsidP="00833238">
            <w:pPr>
              <w:jc w:val="right"/>
              <w:rPr>
                <w:sz w:val="15"/>
                <w:szCs w:val="15"/>
              </w:rPr>
            </w:pPr>
            <w:r w:rsidRPr="0085694C">
              <w:rPr>
                <w:sz w:val="15"/>
                <w:szCs w:val="15"/>
              </w:rPr>
              <w:t>313,786</w:t>
            </w:r>
          </w:p>
        </w:tc>
        <w:tc>
          <w:tcPr>
            <w:tcW w:w="615" w:type="pct"/>
            <w:tcBorders>
              <w:top w:val="nil"/>
              <w:left w:val="nil"/>
              <w:bottom w:val="nil"/>
              <w:right w:val="nil"/>
            </w:tcBorders>
            <w:shd w:val="clear" w:color="auto" w:fill="auto"/>
            <w:noWrap/>
            <w:vAlign w:val="bottom"/>
            <w:hideMark/>
          </w:tcPr>
          <w:p w14:paraId="6081FA8D" w14:textId="77777777" w:rsidR="00833238" w:rsidRPr="0085694C" w:rsidRDefault="00833238" w:rsidP="00833238">
            <w:pPr>
              <w:jc w:val="right"/>
              <w:rPr>
                <w:sz w:val="15"/>
                <w:szCs w:val="15"/>
              </w:rPr>
            </w:pPr>
            <w:r w:rsidRPr="0085694C">
              <w:rPr>
                <w:sz w:val="15"/>
                <w:szCs w:val="15"/>
              </w:rPr>
              <w:t>48.7</w:t>
            </w:r>
          </w:p>
        </w:tc>
      </w:tr>
      <w:tr w:rsidR="006B42D6" w:rsidRPr="0085694C" w14:paraId="2B59DA4B" w14:textId="77777777" w:rsidTr="00563226">
        <w:trPr>
          <w:trHeight w:val="169"/>
        </w:trPr>
        <w:tc>
          <w:tcPr>
            <w:tcW w:w="771" w:type="pct"/>
            <w:tcBorders>
              <w:top w:val="nil"/>
              <w:left w:val="nil"/>
              <w:bottom w:val="nil"/>
              <w:right w:val="nil"/>
            </w:tcBorders>
            <w:shd w:val="clear" w:color="auto" w:fill="auto"/>
            <w:noWrap/>
            <w:vAlign w:val="center"/>
            <w:hideMark/>
          </w:tcPr>
          <w:p w14:paraId="4493419D" w14:textId="77777777" w:rsidR="00833238" w:rsidRPr="0085694C" w:rsidRDefault="00833238" w:rsidP="00833238">
            <w:pPr>
              <w:rPr>
                <w:sz w:val="15"/>
                <w:szCs w:val="15"/>
              </w:rPr>
            </w:pPr>
            <w:r w:rsidRPr="0085694C">
              <w:rPr>
                <w:sz w:val="15"/>
                <w:szCs w:val="15"/>
              </w:rPr>
              <w:t>Dar Es Salaam</w:t>
            </w:r>
          </w:p>
        </w:tc>
        <w:tc>
          <w:tcPr>
            <w:tcW w:w="526" w:type="pct"/>
            <w:tcBorders>
              <w:top w:val="nil"/>
              <w:left w:val="single" w:sz="4" w:space="0" w:color="auto"/>
              <w:bottom w:val="nil"/>
              <w:right w:val="nil"/>
            </w:tcBorders>
            <w:shd w:val="clear" w:color="auto" w:fill="auto"/>
            <w:noWrap/>
            <w:vAlign w:val="bottom"/>
            <w:hideMark/>
          </w:tcPr>
          <w:p w14:paraId="6048EFF0" w14:textId="77777777" w:rsidR="00833238" w:rsidRPr="0085694C" w:rsidRDefault="00833238" w:rsidP="00833238">
            <w:pPr>
              <w:jc w:val="right"/>
              <w:rPr>
                <w:sz w:val="15"/>
                <w:szCs w:val="15"/>
              </w:rPr>
            </w:pPr>
            <w:r w:rsidRPr="0085694C">
              <w:rPr>
                <w:sz w:val="15"/>
                <w:szCs w:val="15"/>
              </w:rPr>
              <w:t>3,388</w:t>
            </w:r>
          </w:p>
        </w:tc>
        <w:tc>
          <w:tcPr>
            <w:tcW w:w="279" w:type="pct"/>
            <w:tcBorders>
              <w:top w:val="nil"/>
              <w:left w:val="nil"/>
              <w:bottom w:val="nil"/>
              <w:right w:val="nil"/>
            </w:tcBorders>
            <w:shd w:val="clear" w:color="auto" w:fill="auto"/>
            <w:noWrap/>
            <w:vAlign w:val="bottom"/>
            <w:hideMark/>
          </w:tcPr>
          <w:p w14:paraId="6929A419" w14:textId="77777777" w:rsidR="00833238" w:rsidRPr="0085694C" w:rsidRDefault="00833238" w:rsidP="00833238">
            <w:pPr>
              <w:jc w:val="right"/>
              <w:rPr>
                <w:sz w:val="15"/>
                <w:szCs w:val="15"/>
              </w:rPr>
            </w:pPr>
            <w:r w:rsidRPr="0085694C">
              <w:rPr>
                <w:sz w:val="15"/>
                <w:szCs w:val="15"/>
              </w:rPr>
              <w:t>0.2</w:t>
            </w:r>
          </w:p>
        </w:tc>
        <w:tc>
          <w:tcPr>
            <w:tcW w:w="483" w:type="pct"/>
            <w:tcBorders>
              <w:top w:val="nil"/>
              <w:left w:val="single" w:sz="4" w:space="0" w:color="auto"/>
              <w:bottom w:val="nil"/>
              <w:right w:val="nil"/>
            </w:tcBorders>
            <w:shd w:val="clear" w:color="auto" w:fill="auto"/>
            <w:noWrap/>
            <w:vAlign w:val="bottom"/>
            <w:hideMark/>
          </w:tcPr>
          <w:p w14:paraId="7D895215" w14:textId="77777777" w:rsidR="00833238" w:rsidRPr="0085694C" w:rsidRDefault="00833238" w:rsidP="00833238">
            <w:pPr>
              <w:jc w:val="right"/>
              <w:rPr>
                <w:sz w:val="15"/>
                <w:szCs w:val="15"/>
              </w:rPr>
            </w:pPr>
            <w:r w:rsidRPr="0085694C">
              <w:rPr>
                <w:sz w:val="15"/>
                <w:szCs w:val="15"/>
              </w:rPr>
              <w:t>424</w:t>
            </w:r>
          </w:p>
        </w:tc>
        <w:tc>
          <w:tcPr>
            <w:tcW w:w="569" w:type="pct"/>
            <w:tcBorders>
              <w:top w:val="nil"/>
              <w:left w:val="nil"/>
              <w:bottom w:val="nil"/>
              <w:right w:val="single" w:sz="4" w:space="0" w:color="auto"/>
            </w:tcBorders>
            <w:shd w:val="clear" w:color="auto" w:fill="auto"/>
            <w:noWrap/>
            <w:vAlign w:val="bottom"/>
            <w:hideMark/>
          </w:tcPr>
          <w:p w14:paraId="181EEB43" w14:textId="77777777" w:rsidR="00833238" w:rsidRPr="0085694C" w:rsidRDefault="00833238" w:rsidP="00833238">
            <w:pPr>
              <w:jc w:val="right"/>
              <w:rPr>
                <w:sz w:val="15"/>
                <w:szCs w:val="15"/>
              </w:rPr>
            </w:pPr>
            <w:r w:rsidRPr="0085694C">
              <w:rPr>
                <w:sz w:val="15"/>
                <w:szCs w:val="15"/>
              </w:rPr>
              <w:t>0.0</w:t>
            </w:r>
          </w:p>
        </w:tc>
        <w:tc>
          <w:tcPr>
            <w:tcW w:w="542" w:type="pct"/>
            <w:tcBorders>
              <w:top w:val="nil"/>
              <w:left w:val="nil"/>
              <w:bottom w:val="nil"/>
              <w:right w:val="nil"/>
            </w:tcBorders>
            <w:shd w:val="clear" w:color="auto" w:fill="auto"/>
            <w:noWrap/>
            <w:vAlign w:val="bottom"/>
            <w:hideMark/>
          </w:tcPr>
          <w:p w14:paraId="75343816" w14:textId="77777777" w:rsidR="00833238" w:rsidRPr="0085694C" w:rsidRDefault="00833238" w:rsidP="00833238">
            <w:pPr>
              <w:jc w:val="right"/>
              <w:rPr>
                <w:sz w:val="15"/>
                <w:szCs w:val="15"/>
              </w:rPr>
            </w:pPr>
            <w:r w:rsidRPr="0085694C">
              <w:rPr>
                <w:sz w:val="15"/>
                <w:szCs w:val="15"/>
              </w:rPr>
              <w:t>847</w:t>
            </w:r>
          </w:p>
        </w:tc>
        <w:tc>
          <w:tcPr>
            <w:tcW w:w="616" w:type="pct"/>
            <w:tcBorders>
              <w:top w:val="nil"/>
              <w:left w:val="nil"/>
              <w:bottom w:val="nil"/>
              <w:right w:val="nil"/>
            </w:tcBorders>
            <w:shd w:val="clear" w:color="auto" w:fill="auto"/>
            <w:noWrap/>
            <w:vAlign w:val="bottom"/>
            <w:hideMark/>
          </w:tcPr>
          <w:p w14:paraId="6F58A085" w14:textId="77777777" w:rsidR="00833238" w:rsidRPr="0085694C" w:rsidRDefault="00833238" w:rsidP="00833238">
            <w:pPr>
              <w:jc w:val="right"/>
              <w:rPr>
                <w:sz w:val="15"/>
                <w:szCs w:val="15"/>
              </w:rPr>
            </w:pPr>
            <w:r w:rsidRPr="0085694C">
              <w:rPr>
                <w:sz w:val="15"/>
                <w:szCs w:val="15"/>
              </w:rPr>
              <w:t>0.0</w:t>
            </w:r>
          </w:p>
        </w:tc>
        <w:tc>
          <w:tcPr>
            <w:tcW w:w="598" w:type="pct"/>
            <w:tcBorders>
              <w:top w:val="nil"/>
              <w:left w:val="single" w:sz="4" w:space="0" w:color="auto"/>
              <w:bottom w:val="nil"/>
              <w:right w:val="nil"/>
            </w:tcBorders>
            <w:shd w:val="clear" w:color="auto" w:fill="auto"/>
            <w:noWrap/>
            <w:vAlign w:val="bottom"/>
            <w:hideMark/>
          </w:tcPr>
          <w:p w14:paraId="36130A53" w14:textId="77777777" w:rsidR="00833238" w:rsidRPr="0085694C" w:rsidRDefault="00833238" w:rsidP="00833238">
            <w:pPr>
              <w:jc w:val="right"/>
              <w:rPr>
                <w:sz w:val="15"/>
                <w:szCs w:val="15"/>
              </w:rPr>
            </w:pPr>
            <w:r w:rsidRPr="0085694C">
              <w:rPr>
                <w:sz w:val="15"/>
                <w:szCs w:val="15"/>
              </w:rPr>
              <w:t>-</w:t>
            </w:r>
          </w:p>
        </w:tc>
        <w:tc>
          <w:tcPr>
            <w:tcW w:w="615" w:type="pct"/>
            <w:tcBorders>
              <w:top w:val="nil"/>
              <w:left w:val="nil"/>
              <w:bottom w:val="nil"/>
              <w:right w:val="nil"/>
            </w:tcBorders>
            <w:shd w:val="clear" w:color="auto" w:fill="auto"/>
            <w:noWrap/>
            <w:vAlign w:val="bottom"/>
            <w:hideMark/>
          </w:tcPr>
          <w:p w14:paraId="137FDD4F" w14:textId="77777777" w:rsidR="00833238" w:rsidRPr="0085694C" w:rsidRDefault="00833238" w:rsidP="00833238">
            <w:pPr>
              <w:jc w:val="right"/>
              <w:rPr>
                <w:sz w:val="15"/>
                <w:szCs w:val="15"/>
              </w:rPr>
            </w:pPr>
            <w:r w:rsidRPr="0085694C">
              <w:rPr>
                <w:sz w:val="15"/>
                <w:szCs w:val="15"/>
              </w:rPr>
              <w:t>-</w:t>
            </w:r>
          </w:p>
        </w:tc>
      </w:tr>
      <w:tr w:rsidR="006B42D6" w:rsidRPr="0085694C" w14:paraId="01B4A6E2" w14:textId="77777777" w:rsidTr="00563226">
        <w:trPr>
          <w:trHeight w:val="169"/>
        </w:trPr>
        <w:tc>
          <w:tcPr>
            <w:tcW w:w="771" w:type="pct"/>
            <w:tcBorders>
              <w:top w:val="nil"/>
              <w:left w:val="nil"/>
              <w:bottom w:val="nil"/>
              <w:right w:val="nil"/>
            </w:tcBorders>
            <w:shd w:val="clear" w:color="auto" w:fill="auto"/>
            <w:noWrap/>
            <w:vAlign w:val="center"/>
            <w:hideMark/>
          </w:tcPr>
          <w:p w14:paraId="31184ABC" w14:textId="77777777" w:rsidR="00833238" w:rsidRPr="0085694C" w:rsidRDefault="00833238" w:rsidP="00833238">
            <w:pPr>
              <w:rPr>
                <w:sz w:val="15"/>
                <w:szCs w:val="15"/>
              </w:rPr>
            </w:pPr>
            <w:r w:rsidRPr="0085694C">
              <w:rPr>
                <w:sz w:val="15"/>
                <w:szCs w:val="15"/>
              </w:rPr>
              <w:t>Lindi</w:t>
            </w:r>
          </w:p>
        </w:tc>
        <w:tc>
          <w:tcPr>
            <w:tcW w:w="526" w:type="pct"/>
            <w:tcBorders>
              <w:top w:val="nil"/>
              <w:left w:val="single" w:sz="4" w:space="0" w:color="auto"/>
              <w:bottom w:val="nil"/>
              <w:right w:val="nil"/>
            </w:tcBorders>
            <w:shd w:val="clear" w:color="auto" w:fill="auto"/>
            <w:noWrap/>
            <w:vAlign w:val="bottom"/>
            <w:hideMark/>
          </w:tcPr>
          <w:p w14:paraId="0BF7DFD3" w14:textId="77777777" w:rsidR="00833238" w:rsidRPr="0085694C" w:rsidRDefault="00833238" w:rsidP="00833238">
            <w:pPr>
              <w:jc w:val="right"/>
              <w:rPr>
                <w:sz w:val="15"/>
                <w:szCs w:val="15"/>
              </w:rPr>
            </w:pPr>
            <w:r w:rsidRPr="0085694C">
              <w:rPr>
                <w:sz w:val="15"/>
                <w:szCs w:val="15"/>
              </w:rPr>
              <w:t>72,357</w:t>
            </w:r>
          </w:p>
        </w:tc>
        <w:tc>
          <w:tcPr>
            <w:tcW w:w="279" w:type="pct"/>
            <w:tcBorders>
              <w:top w:val="nil"/>
              <w:left w:val="nil"/>
              <w:bottom w:val="nil"/>
              <w:right w:val="nil"/>
            </w:tcBorders>
            <w:shd w:val="clear" w:color="auto" w:fill="auto"/>
            <w:noWrap/>
            <w:vAlign w:val="bottom"/>
            <w:hideMark/>
          </w:tcPr>
          <w:p w14:paraId="3F5246BE" w14:textId="77777777" w:rsidR="00833238" w:rsidRPr="0085694C" w:rsidRDefault="00833238" w:rsidP="00833238">
            <w:pPr>
              <w:jc w:val="right"/>
              <w:rPr>
                <w:sz w:val="15"/>
                <w:szCs w:val="15"/>
              </w:rPr>
            </w:pPr>
            <w:r w:rsidRPr="0085694C">
              <w:rPr>
                <w:sz w:val="15"/>
                <w:szCs w:val="15"/>
              </w:rPr>
              <w:t>4.3</w:t>
            </w:r>
          </w:p>
        </w:tc>
        <w:tc>
          <w:tcPr>
            <w:tcW w:w="483" w:type="pct"/>
            <w:tcBorders>
              <w:top w:val="nil"/>
              <w:left w:val="single" w:sz="4" w:space="0" w:color="auto"/>
              <w:bottom w:val="nil"/>
              <w:right w:val="nil"/>
            </w:tcBorders>
            <w:shd w:val="clear" w:color="auto" w:fill="auto"/>
            <w:noWrap/>
            <w:vAlign w:val="bottom"/>
            <w:hideMark/>
          </w:tcPr>
          <w:p w14:paraId="5270BD7D" w14:textId="77777777" w:rsidR="00833238" w:rsidRPr="0085694C" w:rsidRDefault="00833238" w:rsidP="00833238">
            <w:pPr>
              <w:jc w:val="right"/>
              <w:rPr>
                <w:sz w:val="15"/>
                <w:szCs w:val="15"/>
              </w:rPr>
            </w:pPr>
            <w:r w:rsidRPr="0085694C">
              <w:rPr>
                <w:sz w:val="15"/>
                <w:szCs w:val="15"/>
              </w:rPr>
              <w:t>-</w:t>
            </w:r>
          </w:p>
        </w:tc>
        <w:tc>
          <w:tcPr>
            <w:tcW w:w="569" w:type="pct"/>
            <w:tcBorders>
              <w:top w:val="nil"/>
              <w:left w:val="nil"/>
              <w:bottom w:val="nil"/>
              <w:right w:val="single" w:sz="4" w:space="0" w:color="auto"/>
            </w:tcBorders>
            <w:shd w:val="clear" w:color="auto" w:fill="auto"/>
            <w:noWrap/>
            <w:vAlign w:val="bottom"/>
            <w:hideMark/>
          </w:tcPr>
          <w:p w14:paraId="4A2255C7" w14:textId="77777777" w:rsidR="00833238" w:rsidRPr="0085694C" w:rsidRDefault="00833238" w:rsidP="00833238">
            <w:pPr>
              <w:jc w:val="right"/>
              <w:rPr>
                <w:sz w:val="15"/>
                <w:szCs w:val="15"/>
              </w:rPr>
            </w:pPr>
            <w:r w:rsidRPr="0085694C">
              <w:rPr>
                <w:sz w:val="15"/>
                <w:szCs w:val="15"/>
              </w:rPr>
              <w:t>-</w:t>
            </w:r>
          </w:p>
        </w:tc>
        <w:tc>
          <w:tcPr>
            <w:tcW w:w="542" w:type="pct"/>
            <w:tcBorders>
              <w:top w:val="nil"/>
              <w:left w:val="nil"/>
              <w:bottom w:val="nil"/>
              <w:right w:val="nil"/>
            </w:tcBorders>
            <w:shd w:val="clear" w:color="auto" w:fill="auto"/>
            <w:noWrap/>
            <w:vAlign w:val="bottom"/>
            <w:hideMark/>
          </w:tcPr>
          <w:p w14:paraId="22418651" w14:textId="77777777" w:rsidR="00833238" w:rsidRPr="0085694C" w:rsidRDefault="00833238" w:rsidP="00833238">
            <w:pPr>
              <w:jc w:val="right"/>
              <w:rPr>
                <w:sz w:val="15"/>
                <w:szCs w:val="15"/>
              </w:rPr>
            </w:pPr>
            <w:r w:rsidRPr="0085694C">
              <w:rPr>
                <w:sz w:val="15"/>
                <w:szCs w:val="15"/>
              </w:rPr>
              <w:t>14,096</w:t>
            </w:r>
          </w:p>
        </w:tc>
        <w:tc>
          <w:tcPr>
            <w:tcW w:w="616" w:type="pct"/>
            <w:tcBorders>
              <w:top w:val="nil"/>
              <w:left w:val="nil"/>
              <w:bottom w:val="nil"/>
              <w:right w:val="nil"/>
            </w:tcBorders>
            <w:shd w:val="clear" w:color="auto" w:fill="auto"/>
            <w:noWrap/>
            <w:vAlign w:val="bottom"/>
            <w:hideMark/>
          </w:tcPr>
          <w:p w14:paraId="46CA8ECB" w14:textId="77777777" w:rsidR="00833238" w:rsidRPr="0085694C" w:rsidRDefault="00833238" w:rsidP="00833238">
            <w:pPr>
              <w:jc w:val="right"/>
              <w:rPr>
                <w:sz w:val="15"/>
                <w:szCs w:val="15"/>
              </w:rPr>
            </w:pPr>
            <w:r w:rsidRPr="0085694C">
              <w:rPr>
                <w:sz w:val="15"/>
                <w:szCs w:val="15"/>
              </w:rPr>
              <w:t>0.4</w:t>
            </w:r>
          </w:p>
        </w:tc>
        <w:tc>
          <w:tcPr>
            <w:tcW w:w="598" w:type="pct"/>
            <w:tcBorders>
              <w:top w:val="nil"/>
              <w:left w:val="single" w:sz="4" w:space="0" w:color="auto"/>
              <w:bottom w:val="nil"/>
              <w:right w:val="nil"/>
            </w:tcBorders>
            <w:shd w:val="clear" w:color="auto" w:fill="auto"/>
            <w:noWrap/>
            <w:vAlign w:val="bottom"/>
            <w:hideMark/>
          </w:tcPr>
          <w:p w14:paraId="63D4D284" w14:textId="77777777" w:rsidR="00833238" w:rsidRPr="0085694C" w:rsidRDefault="00833238" w:rsidP="00833238">
            <w:pPr>
              <w:jc w:val="right"/>
              <w:rPr>
                <w:sz w:val="15"/>
                <w:szCs w:val="15"/>
              </w:rPr>
            </w:pPr>
            <w:r w:rsidRPr="0085694C">
              <w:rPr>
                <w:sz w:val="15"/>
                <w:szCs w:val="15"/>
              </w:rPr>
              <w:t>-</w:t>
            </w:r>
          </w:p>
        </w:tc>
        <w:tc>
          <w:tcPr>
            <w:tcW w:w="615" w:type="pct"/>
            <w:tcBorders>
              <w:top w:val="nil"/>
              <w:left w:val="nil"/>
              <w:bottom w:val="nil"/>
              <w:right w:val="nil"/>
            </w:tcBorders>
            <w:shd w:val="clear" w:color="auto" w:fill="auto"/>
            <w:noWrap/>
            <w:vAlign w:val="bottom"/>
            <w:hideMark/>
          </w:tcPr>
          <w:p w14:paraId="769D0ACF" w14:textId="77777777" w:rsidR="00833238" w:rsidRPr="0085694C" w:rsidRDefault="00833238" w:rsidP="00833238">
            <w:pPr>
              <w:jc w:val="right"/>
              <w:rPr>
                <w:sz w:val="15"/>
                <w:szCs w:val="15"/>
              </w:rPr>
            </w:pPr>
            <w:r w:rsidRPr="0085694C">
              <w:rPr>
                <w:sz w:val="15"/>
                <w:szCs w:val="15"/>
              </w:rPr>
              <w:t>-</w:t>
            </w:r>
          </w:p>
        </w:tc>
      </w:tr>
      <w:tr w:rsidR="006B42D6" w:rsidRPr="0085694C" w14:paraId="10CF6C12" w14:textId="77777777" w:rsidTr="00563226">
        <w:trPr>
          <w:trHeight w:val="169"/>
        </w:trPr>
        <w:tc>
          <w:tcPr>
            <w:tcW w:w="771" w:type="pct"/>
            <w:tcBorders>
              <w:top w:val="nil"/>
              <w:left w:val="nil"/>
              <w:bottom w:val="nil"/>
              <w:right w:val="nil"/>
            </w:tcBorders>
            <w:shd w:val="clear" w:color="auto" w:fill="auto"/>
            <w:noWrap/>
            <w:vAlign w:val="center"/>
            <w:hideMark/>
          </w:tcPr>
          <w:p w14:paraId="0A72CD00" w14:textId="77777777" w:rsidR="00833238" w:rsidRPr="0085694C" w:rsidRDefault="00833238" w:rsidP="00833238">
            <w:pPr>
              <w:rPr>
                <w:sz w:val="15"/>
                <w:szCs w:val="15"/>
              </w:rPr>
            </w:pPr>
            <w:r w:rsidRPr="0085694C">
              <w:rPr>
                <w:sz w:val="15"/>
                <w:szCs w:val="15"/>
              </w:rPr>
              <w:t>Mtwara</w:t>
            </w:r>
          </w:p>
        </w:tc>
        <w:tc>
          <w:tcPr>
            <w:tcW w:w="526" w:type="pct"/>
            <w:tcBorders>
              <w:top w:val="nil"/>
              <w:left w:val="single" w:sz="4" w:space="0" w:color="auto"/>
              <w:bottom w:val="nil"/>
              <w:right w:val="nil"/>
            </w:tcBorders>
            <w:shd w:val="clear" w:color="auto" w:fill="auto"/>
            <w:noWrap/>
            <w:vAlign w:val="bottom"/>
            <w:hideMark/>
          </w:tcPr>
          <w:p w14:paraId="712F2283" w14:textId="77777777" w:rsidR="00833238" w:rsidRPr="0085694C" w:rsidRDefault="00833238" w:rsidP="00833238">
            <w:pPr>
              <w:jc w:val="right"/>
              <w:rPr>
                <w:sz w:val="15"/>
                <w:szCs w:val="15"/>
              </w:rPr>
            </w:pPr>
            <w:r w:rsidRPr="0085694C">
              <w:rPr>
                <w:sz w:val="15"/>
                <w:szCs w:val="15"/>
              </w:rPr>
              <w:t>7,628</w:t>
            </w:r>
          </w:p>
        </w:tc>
        <w:tc>
          <w:tcPr>
            <w:tcW w:w="279" w:type="pct"/>
            <w:tcBorders>
              <w:top w:val="nil"/>
              <w:left w:val="nil"/>
              <w:bottom w:val="nil"/>
              <w:right w:val="nil"/>
            </w:tcBorders>
            <w:shd w:val="clear" w:color="auto" w:fill="auto"/>
            <w:noWrap/>
            <w:vAlign w:val="bottom"/>
            <w:hideMark/>
          </w:tcPr>
          <w:p w14:paraId="384BDE30" w14:textId="77777777" w:rsidR="00833238" w:rsidRPr="0085694C" w:rsidRDefault="00833238" w:rsidP="00833238">
            <w:pPr>
              <w:jc w:val="right"/>
              <w:rPr>
                <w:sz w:val="15"/>
                <w:szCs w:val="15"/>
              </w:rPr>
            </w:pPr>
            <w:r w:rsidRPr="0085694C">
              <w:rPr>
                <w:sz w:val="15"/>
                <w:szCs w:val="15"/>
              </w:rPr>
              <w:t>0.5</w:t>
            </w:r>
          </w:p>
        </w:tc>
        <w:tc>
          <w:tcPr>
            <w:tcW w:w="483" w:type="pct"/>
            <w:tcBorders>
              <w:top w:val="nil"/>
              <w:left w:val="single" w:sz="4" w:space="0" w:color="auto"/>
              <w:bottom w:val="nil"/>
              <w:right w:val="nil"/>
            </w:tcBorders>
            <w:shd w:val="clear" w:color="auto" w:fill="auto"/>
            <w:noWrap/>
            <w:vAlign w:val="bottom"/>
            <w:hideMark/>
          </w:tcPr>
          <w:p w14:paraId="5197A3A4" w14:textId="77777777" w:rsidR="00833238" w:rsidRPr="0085694C" w:rsidRDefault="00833238" w:rsidP="00833238">
            <w:pPr>
              <w:jc w:val="right"/>
              <w:rPr>
                <w:sz w:val="15"/>
                <w:szCs w:val="15"/>
              </w:rPr>
            </w:pPr>
            <w:r w:rsidRPr="0085694C">
              <w:rPr>
                <w:sz w:val="15"/>
                <w:szCs w:val="15"/>
              </w:rPr>
              <w:t>9,154</w:t>
            </w:r>
          </w:p>
        </w:tc>
        <w:tc>
          <w:tcPr>
            <w:tcW w:w="569" w:type="pct"/>
            <w:tcBorders>
              <w:top w:val="nil"/>
              <w:left w:val="nil"/>
              <w:bottom w:val="nil"/>
              <w:right w:val="single" w:sz="4" w:space="0" w:color="auto"/>
            </w:tcBorders>
            <w:shd w:val="clear" w:color="auto" w:fill="auto"/>
            <w:noWrap/>
            <w:vAlign w:val="bottom"/>
            <w:hideMark/>
          </w:tcPr>
          <w:p w14:paraId="416D9A01" w14:textId="77777777" w:rsidR="00833238" w:rsidRPr="0085694C" w:rsidRDefault="00833238" w:rsidP="00833238">
            <w:pPr>
              <w:jc w:val="right"/>
              <w:rPr>
                <w:sz w:val="15"/>
                <w:szCs w:val="15"/>
              </w:rPr>
            </w:pPr>
            <w:r w:rsidRPr="0085694C">
              <w:rPr>
                <w:sz w:val="15"/>
                <w:szCs w:val="15"/>
              </w:rPr>
              <w:t>0.5</w:t>
            </w:r>
          </w:p>
        </w:tc>
        <w:tc>
          <w:tcPr>
            <w:tcW w:w="542" w:type="pct"/>
            <w:tcBorders>
              <w:top w:val="nil"/>
              <w:left w:val="nil"/>
              <w:bottom w:val="nil"/>
              <w:right w:val="nil"/>
            </w:tcBorders>
            <w:shd w:val="clear" w:color="auto" w:fill="auto"/>
            <w:noWrap/>
            <w:vAlign w:val="bottom"/>
            <w:hideMark/>
          </w:tcPr>
          <w:p w14:paraId="24B9E085" w14:textId="77777777" w:rsidR="00833238" w:rsidRPr="0085694C" w:rsidRDefault="00833238" w:rsidP="00833238">
            <w:pPr>
              <w:jc w:val="right"/>
              <w:rPr>
                <w:sz w:val="15"/>
                <w:szCs w:val="15"/>
              </w:rPr>
            </w:pPr>
            <w:r w:rsidRPr="0085694C">
              <w:rPr>
                <w:sz w:val="15"/>
                <w:szCs w:val="15"/>
              </w:rPr>
              <w:t>9,154</w:t>
            </w:r>
          </w:p>
        </w:tc>
        <w:tc>
          <w:tcPr>
            <w:tcW w:w="616" w:type="pct"/>
            <w:tcBorders>
              <w:top w:val="nil"/>
              <w:left w:val="nil"/>
              <w:bottom w:val="nil"/>
              <w:right w:val="nil"/>
            </w:tcBorders>
            <w:shd w:val="clear" w:color="auto" w:fill="auto"/>
            <w:noWrap/>
            <w:vAlign w:val="bottom"/>
            <w:hideMark/>
          </w:tcPr>
          <w:p w14:paraId="09E72516" w14:textId="77777777" w:rsidR="00833238" w:rsidRPr="0085694C" w:rsidRDefault="00833238" w:rsidP="00833238">
            <w:pPr>
              <w:jc w:val="right"/>
              <w:rPr>
                <w:sz w:val="15"/>
                <w:szCs w:val="15"/>
              </w:rPr>
            </w:pPr>
            <w:r w:rsidRPr="0085694C">
              <w:rPr>
                <w:sz w:val="15"/>
                <w:szCs w:val="15"/>
              </w:rPr>
              <w:t>0.2</w:t>
            </w:r>
          </w:p>
        </w:tc>
        <w:tc>
          <w:tcPr>
            <w:tcW w:w="598" w:type="pct"/>
            <w:tcBorders>
              <w:top w:val="nil"/>
              <w:left w:val="single" w:sz="4" w:space="0" w:color="auto"/>
              <w:bottom w:val="nil"/>
              <w:right w:val="nil"/>
            </w:tcBorders>
            <w:shd w:val="clear" w:color="auto" w:fill="auto"/>
            <w:noWrap/>
            <w:vAlign w:val="bottom"/>
            <w:hideMark/>
          </w:tcPr>
          <w:p w14:paraId="03867D82" w14:textId="77777777" w:rsidR="00833238" w:rsidRPr="0085694C" w:rsidRDefault="00833238" w:rsidP="00833238">
            <w:pPr>
              <w:jc w:val="right"/>
              <w:rPr>
                <w:sz w:val="15"/>
                <w:szCs w:val="15"/>
              </w:rPr>
            </w:pPr>
            <w:r w:rsidRPr="0085694C">
              <w:rPr>
                <w:sz w:val="15"/>
                <w:szCs w:val="15"/>
              </w:rPr>
              <w:t>-</w:t>
            </w:r>
          </w:p>
        </w:tc>
        <w:tc>
          <w:tcPr>
            <w:tcW w:w="615" w:type="pct"/>
            <w:tcBorders>
              <w:top w:val="nil"/>
              <w:left w:val="nil"/>
              <w:bottom w:val="nil"/>
              <w:right w:val="nil"/>
            </w:tcBorders>
            <w:shd w:val="clear" w:color="auto" w:fill="auto"/>
            <w:noWrap/>
            <w:vAlign w:val="bottom"/>
            <w:hideMark/>
          </w:tcPr>
          <w:p w14:paraId="5989A6C3" w14:textId="77777777" w:rsidR="00833238" w:rsidRPr="0085694C" w:rsidRDefault="00833238" w:rsidP="00833238">
            <w:pPr>
              <w:jc w:val="right"/>
              <w:rPr>
                <w:sz w:val="15"/>
                <w:szCs w:val="15"/>
              </w:rPr>
            </w:pPr>
            <w:r w:rsidRPr="0085694C">
              <w:rPr>
                <w:sz w:val="15"/>
                <w:szCs w:val="15"/>
              </w:rPr>
              <w:t>-</w:t>
            </w:r>
          </w:p>
        </w:tc>
      </w:tr>
      <w:tr w:rsidR="006B42D6" w:rsidRPr="0085694C" w14:paraId="6A6F6893" w14:textId="77777777" w:rsidTr="00563226">
        <w:trPr>
          <w:trHeight w:val="179"/>
        </w:trPr>
        <w:tc>
          <w:tcPr>
            <w:tcW w:w="771" w:type="pct"/>
            <w:tcBorders>
              <w:top w:val="nil"/>
              <w:left w:val="nil"/>
              <w:bottom w:val="nil"/>
              <w:right w:val="nil"/>
            </w:tcBorders>
            <w:shd w:val="clear" w:color="auto" w:fill="auto"/>
            <w:noWrap/>
            <w:vAlign w:val="center"/>
            <w:hideMark/>
          </w:tcPr>
          <w:p w14:paraId="0071B13B" w14:textId="77777777" w:rsidR="00833238" w:rsidRPr="0085694C" w:rsidRDefault="00833238" w:rsidP="00833238">
            <w:pPr>
              <w:rPr>
                <w:sz w:val="15"/>
                <w:szCs w:val="15"/>
              </w:rPr>
            </w:pPr>
            <w:r w:rsidRPr="0085694C">
              <w:rPr>
                <w:sz w:val="15"/>
                <w:szCs w:val="15"/>
              </w:rPr>
              <w:t>Ruvuma</w:t>
            </w:r>
          </w:p>
        </w:tc>
        <w:tc>
          <w:tcPr>
            <w:tcW w:w="526" w:type="pct"/>
            <w:tcBorders>
              <w:top w:val="nil"/>
              <w:left w:val="single" w:sz="4" w:space="0" w:color="auto"/>
              <w:bottom w:val="nil"/>
              <w:right w:val="nil"/>
            </w:tcBorders>
            <w:shd w:val="clear" w:color="auto" w:fill="auto"/>
            <w:noWrap/>
            <w:vAlign w:val="bottom"/>
            <w:hideMark/>
          </w:tcPr>
          <w:p w14:paraId="24A8CAE0" w14:textId="77777777" w:rsidR="00833238" w:rsidRPr="0085694C" w:rsidRDefault="00833238" w:rsidP="00833238">
            <w:pPr>
              <w:jc w:val="right"/>
              <w:rPr>
                <w:sz w:val="15"/>
                <w:szCs w:val="15"/>
              </w:rPr>
            </w:pPr>
            <w:r w:rsidRPr="0085694C">
              <w:rPr>
                <w:sz w:val="15"/>
                <w:szCs w:val="15"/>
              </w:rPr>
              <w:t>19,136</w:t>
            </w:r>
          </w:p>
        </w:tc>
        <w:tc>
          <w:tcPr>
            <w:tcW w:w="279" w:type="pct"/>
            <w:tcBorders>
              <w:top w:val="nil"/>
              <w:left w:val="nil"/>
              <w:bottom w:val="nil"/>
              <w:right w:val="nil"/>
            </w:tcBorders>
            <w:shd w:val="clear" w:color="auto" w:fill="auto"/>
            <w:noWrap/>
            <w:vAlign w:val="bottom"/>
            <w:hideMark/>
          </w:tcPr>
          <w:p w14:paraId="7A7BADD1" w14:textId="77777777" w:rsidR="00833238" w:rsidRPr="0085694C" w:rsidRDefault="00833238" w:rsidP="00833238">
            <w:pPr>
              <w:jc w:val="right"/>
              <w:rPr>
                <w:sz w:val="15"/>
                <w:szCs w:val="15"/>
              </w:rPr>
            </w:pPr>
            <w:r w:rsidRPr="0085694C">
              <w:rPr>
                <w:sz w:val="15"/>
                <w:szCs w:val="15"/>
              </w:rPr>
              <w:t>1.1</w:t>
            </w:r>
          </w:p>
        </w:tc>
        <w:tc>
          <w:tcPr>
            <w:tcW w:w="483" w:type="pct"/>
            <w:tcBorders>
              <w:top w:val="nil"/>
              <w:left w:val="single" w:sz="4" w:space="0" w:color="auto"/>
              <w:bottom w:val="nil"/>
              <w:right w:val="nil"/>
            </w:tcBorders>
            <w:shd w:val="clear" w:color="auto" w:fill="auto"/>
            <w:noWrap/>
            <w:vAlign w:val="bottom"/>
            <w:hideMark/>
          </w:tcPr>
          <w:p w14:paraId="75C82A57" w14:textId="77777777" w:rsidR="00833238" w:rsidRPr="0085694C" w:rsidRDefault="00833238" w:rsidP="00833238">
            <w:pPr>
              <w:jc w:val="right"/>
              <w:rPr>
                <w:sz w:val="15"/>
                <w:szCs w:val="15"/>
              </w:rPr>
            </w:pPr>
            <w:r w:rsidRPr="0085694C">
              <w:rPr>
                <w:sz w:val="15"/>
                <w:szCs w:val="15"/>
              </w:rPr>
              <w:t>41,106</w:t>
            </w:r>
          </w:p>
        </w:tc>
        <w:tc>
          <w:tcPr>
            <w:tcW w:w="569" w:type="pct"/>
            <w:tcBorders>
              <w:top w:val="nil"/>
              <w:left w:val="nil"/>
              <w:bottom w:val="nil"/>
              <w:right w:val="single" w:sz="4" w:space="0" w:color="auto"/>
            </w:tcBorders>
            <w:shd w:val="clear" w:color="auto" w:fill="auto"/>
            <w:noWrap/>
            <w:vAlign w:val="bottom"/>
            <w:hideMark/>
          </w:tcPr>
          <w:p w14:paraId="1B0D3422" w14:textId="77777777" w:rsidR="00833238" w:rsidRPr="0085694C" w:rsidRDefault="00833238" w:rsidP="00833238">
            <w:pPr>
              <w:jc w:val="right"/>
              <w:rPr>
                <w:sz w:val="15"/>
                <w:szCs w:val="15"/>
              </w:rPr>
            </w:pPr>
            <w:r w:rsidRPr="0085694C">
              <w:rPr>
                <w:sz w:val="15"/>
                <w:szCs w:val="15"/>
              </w:rPr>
              <w:t>2.3</w:t>
            </w:r>
          </w:p>
        </w:tc>
        <w:tc>
          <w:tcPr>
            <w:tcW w:w="542" w:type="pct"/>
            <w:tcBorders>
              <w:top w:val="nil"/>
              <w:left w:val="nil"/>
              <w:bottom w:val="nil"/>
              <w:right w:val="nil"/>
            </w:tcBorders>
            <w:shd w:val="clear" w:color="auto" w:fill="auto"/>
            <w:noWrap/>
            <w:vAlign w:val="bottom"/>
            <w:hideMark/>
          </w:tcPr>
          <w:p w14:paraId="6495BED0" w14:textId="77777777" w:rsidR="00833238" w:rsidRPr="0085694C" w:rsidRDefault="00833238" w:rsidP="00833238">
            <w:pPr>
              <w:jc w:val="right"/>
              <w:rPr>
                <w:sz w:val="15"/>
                <w:szCs w:val="15"/>
              </w:rPr>
            </w:pPr>
            <w:r w:rsidRPr="0085694C">
              <w:rPr>
                <w:sz w:val="15"/>
                <w:szCs w:val="15"/>
              </w:rPr>
              <w:t>60,242</w:t>
            </w:r>
          </w:p>
        </w:tc>
        <w:tc>
          <w:tcPr>
            <w:tcW w:w="616" w:type="pct"/>
            <w:tcBorders>
              <w:top w:val="nil"/>
              <w:left w:val="nil"/>
              <w:bottom w:val="nil"/>
              <w:right w:val="nil"/>
            </w:tcBorders>
            <w:shd w:val="clear" w:color="auto" w:fill="auto"/>
            <w:noWrap/>
            <w:vAlign w:val="bottom"/>
            <w:hideMark/>
          </w:tcPr>
          <w:p w14:paraId="5FC60FD2" w14:textId="77777777" w:rsidR="00833238" w:rsidRPr="0085694C" w:rsidRDefault="00833238" w:rsidP="00833238">
            <w:pPr>
              <w:jc w:val="right"/>
              <w:rPr>
                <w:sz w:val="15"/>
                <w:szCs w:val="15"/>
              </w:rPr>
            </w:pPr>
            <w:r w:rsidRPr="0085694C">
              <w:rPr>
                <w:sz w:val="15"/>
                <w:szCs w:val="15"/>
              </w:rPr>
              <w:t>1.6</w:t>
            </w:r>
          </w:p>
        </w:tc>
        <w:tc>
          <w:tcPr>
            <w:tcW w:w="598" w:type="pct"/>
            <w:tcBorders>
              <w:top w:val="nil"/>
              <w:left w:val="single" w:sz="4" w:space="0" w:color="auto"/>
              <w:bottom w:val="nil"/>
              <w:right w:val="nil"/>
            </w:tcBorders>
            <w:shd w:val="clear" w:color="auto" w:fill="auto"/>
            <w:noWrap/>
            <w:vAlign w:val="bottom"/>
            <w:hideMark/>
          </w:tcPr>
          <w:p w14:paraId="4C59D876" w14:textId="77777777" w:rsidR="00833238" w:rsidRPr="0085694C" w:rsidRDefault="00833238" w:rsidP="00833238">
            <w:pPr>
              <w:jc w:val="right"/>
              <w:rPr>
                <w:sz w:val="15"/>
                <w:szCs w:val="15"/>
              </w:rPr>
            </w:pPr>
            <w:r w:rsidRPr="0085694C">
              <w:rPr>
                <w:sz w:val="15"/>
                <w:szCs w:val="15"/>
              </w:rPr>
              <w:t>19,844</w:t>
            </w:r>
          </w:p>
        </w:tc>
        <w:tc>
          <w:tcPr>
            <w:tcW w:w="615" w:type="pct"/>
            <w:tcBorders>
              <w:top w:val="nil"/>
              <w:left w:val="nil"/>
              <w:bottom w:val="nil"/>
              <w:right w:val="nil"/>
            </w:tcBorders>
            <w:shd w:val="clear" w:color="auto" w:fill="auto"/>
            <w:noWrap/>
            <w:vAlign w:val="bottom"/>
            <w:hideMark/>
          </w:tcPr>
          <w:p w14:paraId="2DD1F34C" w14:textId="77777777" w:rsidR="00833238" w:rsidRPr="0085694C" w:rsidRDefault="00833238" w:rsidP="00833238">
            <w:pPr>
              <w:jc w:val="right"/>
              <w:rPr>
                <w:sz w:val="15"/>
                <w:szCs w:val="15"/>
              </w:rPr>
            </w:pPr>
            <w:r w:rsidRPr="0085694C">
              <w:rPr>
                <w:sz w:val="15"/>
                <w:szCs w:val="15"/>
              </w:rPr>
              <w:t>3.1</w:t>
            </w:r>
          </w:p>
        </w:tc>
      </w:tr>
      <w:tr w:rsidR="006B42D6" w:rsidRPr="0085694C" w14:paraId="41C470B8" w14:textId="77777777" w:rsidTr="00563226">
        <w:trPr>
          <w:trHeight w:val="169"/>
        </w:trPr>
        <w:tc>
          <w:tcPr>
            <w:tcW w:w="771" w:type="pct"/>
            <w:tcBorders>
              <w:top w:val="nil"/>
              <w:left w:val="nil"/>
              <w:bottom w:val="nil"/>
              <w:right w:val="nil"/>
            </w:tcBorders>
            <w:shd w:val="clear" w:color="auto" w:fill="auto"/>
            <w:noWrap/>
            <w:vAlign w:val="center"/>
            <w:hideMark/>
          </w:tcPr>
          <w:p w14:paraId="4F0BB18F" w14:textId="77777777" w:rsidR="00833238" w:rsidRPr="0085694C" w:rsidRDefault="00833238" w:rsidP="00833238">
            <w:pPr>
              <w:rPr>
                <w:sz w:val="15"/>
                <w:szCs w:val="15"/>
              </w:rPr>
            </w:pPr>
            <w:r w:rsidRPr="0085694C">
              <w:rPr>
                <w:sz w:val="15"/>
                <w:szCs w:val="15"/>
              </w:rPr>
              <w:t>Iringa</w:t>
            </w:r>
          </w:p>
        </w:tc>
        <w:tc>
          <w:tcPr>
            <w:tcW w:w="526" w:type="pct"/>
            <w:tcBorders>
              <w:top w:val="nil"/>
              <w:left w:val="single" w:sz="4" w:space="0" w:color="auto"/>
              <w:bottom w:val="nil"/>
              <w:right w:val="nil"/>
            </w:tcBorders>
            <w:shd w:val="clear" w:color="auto" w:fill="auto"/>
            <w:noWrap/>
            <w:vAlign w:val="bottom"/>
            <w:hideMark/>
          </w:tcPr>
          <w:p w14:paraId="0EA792D8" w14:textId="77777777" w:rsidR="00833238" w:rsidRPr="0085694C" w:rsidRDefault="00833238" w:rsidP="00833238">
            <w:pPr>
              <w:jc w:val="right"/>
              <w:rPr>
                <w:sz w:val="15"/>
                <w:szCs w:val="15"/>
              </w:rPr>
            </w:pPr>
            <w:r w:rsidRPr="0085694C">
              <w:rPr>
                <w:sz w:val="15"/>
                <w:szCs w:val="15"/>
              </w:rPr>
              <w:t>17,682</w:t>
            </w:r>
          </w:p>
        </w:tc>
        <w:tc>
          <w:tcPr>
            <w:tcW w:w="279" w:type="pct"/>
            <w:tcBorders>
              <w:top w:val="nil"/>
              <w:left w:val="nil"/>
              <w:bottom w:val="nil"/>
              <w:right w:val="nil"/>
            </w:tcBorders>
            <w:shd w:val="clear" w:color="auto" w:fill="auto"/>
            <w:noWrap/>
            <w:vAlign w:val="bottom"/>
            <w:hideMark/>
          </w:tcPr>
          <w:p w14:paraId="4DB91E6B" w14:textId="77777777" w:rsidR="00833238" w:rsidRPr="0085694C" w:rsidRDefault="00833238" w:rsidP="00833238">
            <w:pPr>
              <w:jc w:val="right"/>
              <w:rPr>
                <w:sz w:val="15"/>
                <w:szCs w:val="15"/>
              </w:rPr>
            </w:pPr>
            <w:r w:rsidRPr="0085694C">
              <w:rPr>
                <w:sz w:val="15"/>
                <w:szCs w:val="15"/>
              </w:rPr>
              <w:t>1.0</w:t>
            </w:r>
          </w:p>
        </w:tc>
        <w:tc>
          <w:tcPr>
            <w:tcW w:w="483" w:type="pct"/>
            <w:tcBorders>
              <w:top w:val="nil"/>
              <w:left w:val="single" w:sz="4" w:space="0" w:color="auto"/>
              <w:bottom w:val="nil"/>
              <w:right w:val="nil"/>
            </w:tcBorders>
            <w:shd w:val="clear" w:color="auto" w:fill="auto"/>
            <w:noWrap/>
            <w:vAlign w:val="bottom"/>
            <w:hideMark/>
          </w:tcPr>
          <w:p w14:paraId="51D0C051" w14:textId="77777777" w:rsidR="00833238" w:rsidRPr="0085694C" w:rsidRDefault="00833238" w:rsidP="00833238">
            <w:pPr>
              <w:jc w:val="right"/>
              <w:rPr>
                <w:sz w:val="15"/>
                <w:szCs w:val="15"/>
              </w:rPr>
            </w:pPr>
            <w:r w:rsidRPr="0085694C">
              <w:rPr>
                <w:sz w:val="15"/>
                <w:szCs w:val="15"/>
              </w:rPr>
              <w:t>30,059</w:t>
            </w:r>
          </w:p>
        </w:tc>
        <w:tc>
          <w:tcPr>
            <w:tcW w:w="569" w:type="pct"/>
            <w:tcBorders>
              <w:top w:val="nil"/>
              <w:left w:val="nil"/>
              <w:bottom w:val="nil"/>
              <w:right w:val="single" w:sz="4" w:space="0" w:color="auto"/>
            </w:tcBorders>
            <w:shd w:val="clear" w:color="auto" w:fill="auto"/>
            <w:noWrap/>
            <w:vAlign w:val="bottom"/>
            <w:hideMark/>
          </w:tcPr>
          <w:p w14:paraId="506ECE46" w14:textId="77777777" w:rsidR="00833238" w:rsidRPr="0085694C" w:rsidRDefault="00833238" w:rsidP="00833238">
            <w:pPr>
              <w:jc w:val="right"/>
              <w:rPr>
                <w:sz w:val="15"/>
                <w:szCs w:val="15"/>
              </w:rPr>
            </w:pPr>
            <w:r w:rsidRPr="0085694C">
              <w:rPr>
                <w:sz w:val="15"/>
                <w:szCs w:val="15"/>
              </w:rPr>
              <w:t>1.7</w:t>
            </w:r>
          </w:p>
        </w:tc>
        <w:tc>
          <w:tcPr>
            <w:tcW w:w="542" w:type="pct"/>
            <w:tcBorders>
              <w:top w:val="nil"/>
              <w:left w:val="nil"/>
              <w:bottom w:val="nil"/>
              <w:right w:val="nil"/>
            </w:tcBorders>
            <w:shd w:val="clear" w:color="auto" w:fill="auto"/>
            <w:noWrap/>
            <w:vAlign w:val="bottom"/>
            <w:hideMark/>
          </w:tcPr>
          <w:p w14:paraId="45EC2E05" w14:textId="77777777" w:rsidR="00833238" w:rsidRPr="0085694C" w:rsidRDefault="00833238" w:rsidP="00833238">
            <w:pPr>
              <w:jc w:val="right"/>
              <w:rPr>
                <w:sz w:val="15"/>
                <w:szCs w:val="15"/>
              </w:rPr>
            </w:pPr>
            <w:r w:rsidRPr="0085694C">
              <w:rPr>
                <w:sz w:val="15"/>
                <w:szCs w:val="15"/>
              </w:rPr>
              <w:t>93,713</w:t>
            </w:r>
          </w:p>
        </w:tc>
        <w:tc>
          <w:tcPr>
            <w:tcW w:w="616" w:type="pct"/>
            <w:tcBorders>
              <w:top w:val="nil"/>
              <w:left w:val="nil"/>
              <w:bottom w:val="nil"/>
              <w:right w:val="nil"/>
            </w:tcBorders>
            <w:shd w:val="clear" w:color="auto" w:fill="auto"/>
            <w:noWrap/>
            <w:vAlign w:val="bottom"/>
            <w:hideMark/>
          </w:tcPr>
          <w:p w14:paraId="10AE4073" w14:textId="77777777" w:rsidR="00833238" w:rsidRPr="0085694C" w:rsidRDefault="00833238" w:rsidP="00833238">
            <w:pPr>
              <w:jc w:val="right"/>
              <w:rPr>
                <w:sz w:val="15"/>
                <w:szCs w:val="15"/>
              </w:rPr>
            </w:pPr>
            <w:r w:rsidRPr="0085694C">
              <w:rPr>
                <w:sz w:val="15"/>
                <w:szCs w:val="15"/>
              </w:rPr>
              <w:t>2.5</w:t>
            </w:r>
          </w:p>
        </w:tc>
        <w:tc>
          <w:tcPr>
            <w:tcW w:w="598" w:type="pct"/>
            <w:tcBorders>
              <w:top w:val="nil"/>
              <w:left w:val="single" w:sz="4" w:space="0" w:color="auto"/>
              <w:bottom w:val="nil"/>
              <w:right w:val="nil"/>
            </w:tcBorders>
            <w:shd w:val="clear" w:color="auto" w:fill="auto"/>
            <w:noWrap/>
            <w:vAlign w:val="bottom"/>
            <w:hideMark/>
          </w:tcPr>
          <w:p w14:paraId="07EB2BF6" w14:textId="77777777" w:rsidR="00833238" w:rsidRPr="0085694C" w:rsidRDefault="00833238" w:rsidP="00833238">
            <w:pPr>
              <w:jc w:val="right"/>
              <w:rPr>
                <w:sz w:val="15"/>
                <w:szCs w:val="15"/>
              </w:rPr>
            </w:pPr>
            <w:r w:rsidRPr="0085694C">
              <w:rPr>
                <w:sz w:val="15"/>
                <w:szCs w:val="15"/>
              </w:rPr>
              <w:t>8,251</w:t>
            </w:r>
          </w:p>
        </w:tc>
        <w:tc>
          <w:tcPr>
            <w:tcW w:w="615" w:type="pct"/>
            <w:tcBorders>
              <w:top w:val="nil"/>
              <w:left w:val="nil"/>
              <w:bottom w:val="nil"/>
              <w:right w:val="nil"/>
            </w:tcBorders>
            <w:shd w:val="clear" w:color="auto" w:fill="auto"/>
            <w:noWrap/>
            <w:vAlign w:val="bottom"/>
            <w:hideMark/>
          </w:tcPr>
          <w:p w14:paraId="640227F9" w14:textId="77777777" w:rsidR="00833238" w:rsidRPr="0085694C" w:rsidRDefault="00833238" w:rsidP="00833238">
            <w:pPr>
              <w:jc w:val="right"/>
              <w:rPr>
                <w:sz w:val="15"/>
                <w:szCs w:val="15"/>
              </w:rPr>
            </w:pPr>
            <w:r w:rsidRPr="0085694C">
              <w:rPr>
                <w:sz w:val="15"/>
                <w:szCs w:val="15"/>
              </w:rPr>
              <w:t>1.3</w:t>
            </w:r>
          </w:p>
        </w:tc>
      </w:tr>
      <w:tr w:rsidR="006B42D6" w:rsidRPr="0085694C" w14:paraId="143A5EE9" w14:textId="77777777" w:rsidTr="00563226">
        <w:trPr>
          <w:trHeight w:val="310"/>
        </w:trPr>
        <w:tc>
          <w:tcPr>
            <w:tcW w:w="771" w:type="pct"/>
            <w:tcBorders>
              <w:top w:val="nil"/>
              <w:left w:val="nil"/>
              <w:bottom w:val="nil"/>
              <w:right w:val="nil"/>
            </w:tcBorders>
            <w:shd w:val="clear" w:color="auto" w:fill="auto"/>
            <w:noWrap/>
            <w:vAlign w:val="center"/>
            <w:hideMark/>
          </w:tcPr>
          <w:p w14:paraId="282526F3" w14:textId="77777777" w:rsidR="00833238" w:rsidRPr="0085694C" w:rsidRDefault="00833238" w:rsidP="00833238">
            <w:pPr>
              <w:rPr>
                <w:sz w:val="15"/>
                <w:szCs w:val="15"/>
              </w:rPr>
            </w:pPr>
            <w:r w:rsidRPr="0085694C">
              <w:rPr>
                <w:sz w:val="15"/>
                <w:szCs w:val="15"/>
              </w:rPr>
              <w:t>Mbeya</w:t>
            </w:r>
          </w:p>
        </w:tc>
        <w:tc>
          <w:tcPr>
            <w:tcW w:w="526" w:type="pct"/>
            <w:tcBorders>
              <w:top w:val="nil"/>
              <w:left w:val="single" w:sz="4" w:space="0" w:color="auto"/>
              <w:bottom w:val="nil"/>
              <w:right w:val="nil"/>
            </w:tcBorders>
            <w:shd w:val="clear" w:color="auto" w:fill="auto"/>
            <w:noWrap/>
            <w:vAlign w:val="bottom"/>
            <w:hideMark/>
          </w:tcPr>
          <w:p w14:paraId="34540588" w14:textId="77777777" w:rsidR="00833238" w:rsidRPr="0085694C" w:rsidRDefault="00833238" w:rsidP="00833238">
            <w:pPr>
              <w:jc w:val="right"/>
              <w:rPr>
                <w:sz w:val="15"/>
                <w:szCs w:val="15"/>
              </w:rPr>
            </w:pPr>
            <w:r w:rsidRPr="0085694C">
              <w:rPr>
                <w:sz w:val="15"/>
                <w:szCs w:val="15"/>
              </w:rPr>
              <w:t>33,837</w:t>
            </w:r>
          </w:p>
        </w:tc>
        <w:tc>
          <w:tcPr>
            <w:tcW w:w="279" w:type="pct"/>
            <w:tcBorders>
              <w:top w:val="nil"/>
              <w:left w:val="nil"/>
              <w:bottom w:val="nil"/>
              <w:right w:val="nil"/>
            </w:tcBorders>
            <w:shd w:val="clear" w:color="auto" w:fill="auto"/>
            <w:noWrap/>
            <w:vAlign w:val="bottom"/>
            <w:hideMark/>
          </w:tcPr>
          <w:p w14:paraId="1664F04D" w14:textId="77777777" w:rsidR="00833238" w:rsidRPr="0085694C" w:rsidRDefault="00833238" w:rsidP="00833238">
            <w:pPr>
              <w:jc w:val="right"/>
              <w:rPr>
                <w:sz w:val="15"/>
                <w:szCs w:val="15"/>
              </w:rPr>
            </w:pPr>
            <w:r w:rsidRPr="0085694C">
              <w:rPr>
                <w:sz w:val="15"/>
                <w:szCs w:val="15"/>
              </w:rPr>
              <w:t>2.0</w:t>
            </w:r>
          </w:p>
        </w:tc>
        <w:tc>
          <w:tcPr>
            <w:tcW w:w="483" w:type="pct"/>
            <w:tcBorders>
              <w:top w:val="nil"/>
              <w:left w:val="single" w:sz="4" w:space="0" w:color="auto"/>
              <w:bottom w:val="nil"/>
              <w:right w:val="nil"/>
            </w:tcBorders>
            <w:shd w:val="clear" w:color="auto" w:fill="auto"/>
            <w:noWrap/>
            <w:vAlign w:val="bottom"/>
            <w:hideMark/>
          </w:tcPr>
          <w:p w14:paraId="39636ECC" w14:textId="77777777" w:rsidR="00833238" w:rsidRPr="0085694C" w:rsidRDefault="00833238" w:rsidP="00833238">
            <w:pPr>
              <w:jc w:val="right"/>
              <w:rPr>
                <w:sz w:val="15"/>
                <w:szCs w:val="15"/>
              </w:rPr>
            </w:pPr>
            <w:r w:rsidRPr="0085694C">
              <w:rPr>
                <w:sz w:val="15"/>
                <w:szCs w:val="15"/>
              </w:rPr>
              <w:t>63,548</w:t>
            </w:r>
          </w:p>
        </w:tc>
        <w:tc>
          <w:tcPr>
            <w:tcW w:w="569" w:type="pct"/>
            <w:tcBorders>
              <w:top w:val="nil"/>
              <w:left w:val="nil"/>
              <w:bottom w:val="nil"/>
              <w:right w:val="single" w:sz="4" w:space="0" w:color="auto"/>
            </w:tcBorders>
            <w:shd w:val="clear" w:color="auto" w:fill="auto"/>
            <w:noWrap/>
            <w:vAlign w:val="bottom"/>
            <w:hideMark/>
          </w:tcPr>
          <w:p w14:paraId="369E641F" w14:textId="77777777" w:rsidR="00833238" w:rsidRPr="0085694C" w:rsidRDefault="00833238" w:rsidP="00833238">
            <w:pPr>
              <w:jc w:val="right"/>
              <w:rPr>
                <w:sz w:val="15"/>
                <w:szCs w:val="15"/>
              </w:rPr>
            </w:pPr>
            <w:r w:rsidRPr="0085694C">
              <w:rPr>
                <w:sz w:val="15"/>
                <w:szCs w:val="15"/>
              </w:rPr>
              <w:t>3.5</w:t>
            </w:r>
          </w:p>
        </w:tc>
        <w:tc>
          <w:tcPr>
            <w:tcW w:w="542" w:type="pct"/>
            <w:tcBorders>
              <w:top w:val="nil"/>
              <w:left w:val="nil"/>
              <w:bottom w:val="nil"/>
              <w:right w:val="nil"/>
            </w:tcBorders>
            <w:shd w:val="clear" w:color="auto" w:fill="auto"/>
            <w:noWrap/>
            <w:vAlign w:val="bottom"/>
            <w:hideMark/>
          </w:tcPr>
          <w:p w14:paraId="7573D532" w14:textId="77777777" w:rsidR="00833238" w:rsidRPr="0085694C" w:rsidRDefault="00833238" w:rsidP="00833238">
            <w:pPr>
              <w:jc w:val="right"/>
              <w:rPr>
                <w:sz w:val="15"/>
                <w:szCs w:val="15"/>
              </w:rPr>
            </w:pPr>
            <w:r w:rsidRPr="0085694C">
              <w:rPr>
                <w:sz w:val="15"/>
                <w:szCs w:val="15"/>
              </w:rPr>
              <w:t>151,579</w:t>
            </w:r>
          </w:p>
        </w:tc>
        <w:tc>
          <w:tcPr>
            <w:tcW w:w="616" w:type="pct"/>
            <w:tcBorders>
              <w:top w:val="nil"/>
              <w:left w:val="nil"/>
              <w:bottom w:val="nil"/>
              <w:right w:val="nil"/>
            </w:tcBorders>
            <w:shd w:val="clear" w:color="auto" w:fill="auto"/>
            <w:noWrap/>
            <w:vAlign w:val="bottom"/>
            <w:hideMark/>
          </w:tcPr>
          <w:p w14:paraId="77C6DA7E" w14:textId="77777777" w:rsidR="00833238" w:rsidRPr="0085694C" w:rsidRDefault="00833238" w:rsidP="00833238">
            <w:pPr>
              <w:jc w:val="right"/>
              <w:rPr>
                <w:sz w:val="15"/>
                <w:szCs w:val="15"/>
              </w:rPr>
            </w:pPr>
            <w:r w:rsidRPr="0085694C">
              <w:rPr>
                <w:sz w:val="15"/>
                <w:szCs w:val="15"/>
              </w:rPr>
              <w:t>4.0</w:t>
            </w:r>
          </w:p>
        </w:tc>
        <w:tc>
          <w:tcPr>
            <w:tcW w:w="598" w:type="pct"/>
            <w:tcBorders>
              <w:top w:val="nil"/>
              <w:left w:val="single" w:sz="4" w:space="0" w:color="auto"/>
              <w:bottom w:val="nil"/>
              <w:right w:val="nil"/>
            </w:tcBorders>
            <w:shd w:val="clear" w:color="auto" w:fill="auto"/>
            <w:noWrap/>
            <w:vAlign w:val="bottom"/>
            <w:hideMark/>
          </w:tcPr>
          <w:p w14:paraId="22B91361" w14:textId="77777777" w:rsidR="00833238" w:rsidRPr="0085694C" w:rsidRDefault="00833238" w:rsidP="00833238">
            <w:pPr>
              <w:jc w:val="right"/>
              <w:rPr>
                <w:sz w:val="15"/>
                <w:szCs w:val="15"/>
              </w:rPr>
            </w:pPr>
            <w:r w:rsidRPr="0085694C">
              <w:rPr>
                <w:sz w:val="15"/>
                <w:szCs w:val="15"/>
              </w:rPr>
              <w:t>18,982</w:t>
            </w:r>
          </w:p>
        </w:tc>
        <w:tc>
          <w:tcPr>
            <w:tcW w:w="615" w:type="pct"/>
            <w:tcBorders>
              <w:top w:val="nil"/>
              <w:left w:val="nil"/>
              <w:bottom w:val="nil"/>
              <w:right w:val="nil"/>
            </w:tcBorders>
            <w:shd w:val="clear" w:color="auto" w:fill="auto"/>
            <w:noWrap/>
            <w:vAlign w:val="bottom"/>
            <w:hideMark/>
          </w:tcPr>
          <w:p w14:paraId="3129309A" w14:textId="77777777" w:rsidR="00833238" w:rsidRPr="0085694C" w:rsidRDefault="00833238" w:rsidP="00833238">
            <w:pPr>
              <w:jc w:val="right"/>
              <w:rPr>
                <w:sz w:val="15"/>
                <w:szCs w:val="15"/>
              </w:rPr>
            </w:pPr>
            <w:r w:rsidRPr="0085694C">
              <w:rPr>
                <w:sz w:val="15"/>
                <w:szCs w:val="15"/>
              </w:rPr>
              <w:t>2.9</w:t>
            </w:r>
          </w:p>
        </w:tc>
      </w:tr>
      <w:tr w:rsidR="006B42D6" w:rsidRPr="0085694C" w14:paraId="43E0F772" w14:textId="77777777" w:rsidTr="00563226">
        <w:trPr>
          <w:trHeight w:val="196"/>
        </w:trPr>
        <w:tc>
          <w:tcPr>
            <w:tcW w:w="771" w:type="pct"/>
            <w:tcBorders>
              <w:top w:val="nil"/>
              <w:left w:val="nil"/>
              <w:bottom w:val="nil"/>
              <w:right w:val="nil"/>
            </w:tcBorders>
            <w:shd w:val="clear" w:color="auto" w:fill="auto"/>
            <w:noWrap/>
            <w:vAlign w:val="center"/>
            <w:hideMark/>
          </w:tcPr>
          <w:p w14:paraId="1E57D7C1" w14:textId="77777777" w:rsidR="00833238" w:rsidRPr="0085694C" w:rsidRDefault="00833238" w:rsidP="00833238">
            <w:pPr>
              <w:rPr>
                <w:sz w:val="15"/>
                <w:szCs w:val="15"/>
              </w:rPr>
            </w:pPr>
            <w:r w:rsidRPr="0085694C">
              <w:rPr>
                <w:sz w:val="15"/>
                <w:szCs w:val="15"/>
              </w:rPr>
              <w:t>Singida</w:t>
            </w:r>
          </w:p>
        </w:tc>
        <w:tc>
          <w:tcPr>
            <w:tcW w:w="526" w:type="pct"/>
            <w:tcBorders>
              <w:top w:val="nil"/>
              <w:left w:val="single" w:sz="4" w:space="0" w:color="auto"/>
              <w:bottom w:val="nil"/>
              <w:right w:val="nil"/>
            </w:tcBorders>
            <w:shd w:val="clear" w:color="auto" w:fill="auto"/>
            <w:noWrap/>
            <w:vAlign w:val="bottom"/>
            <w:hideMark/>
          </w:tcPr>
          <w:p w14:paraId="2AFCC90D" w14:textId="77777777" w:rsidR="00833238" w:rsidRPr="0085694C" w:rsidRDefault="00833238" w:rsidP="00833238">
            <w:pPr>
              <w:jc w:val="right"/>
              <w:rPr>
                <w:sz w:val="15"/>
                <w:szCs w:val="15"/>
              </w:rPr>
            </w:pPr>
            <w:r w:rsidRPr="0085694C">
              <w:rPr>
                <w:sz w:val="15"/>
                <w:szCs w:val="15"/>
              </w:rPr>
              <w:t>61,804</w:t>
            </w:r>
          </w:p>
        </w:tc>
        <w:tc>
          <w:tcPr>
            <w:tcW w:w="279" w:type="pct"/>
            <w:tcBorders>
              <w:top w:val="nil"/>
              <w:left w:val="nil"/>
              <w:bottom w:val="nil"/>
              <w:right w:val="nil"/>
            </w:tcBorders>
            <w:shd w:val="clear" w:color="auto" w:fill="auto"/>
            <w:noWrap/>
            <w:vAlign w:val="bottom"/>
            <w:hideMark/>
          </w:tcPr>
          <w:p w14:paraId="3EB9CB91" w14:textId="77777777" w:rsidR="00833238" w:rsidRPr="0085694C" w:rsidRDefault="00833238" w:rsidP="00833238">
            <w:pPr>
              <w:jc w:val="right"/>
              <w:rPr>
                <w:sz w:val="15"/>
                <w:szCs w:val="15"/>
              </w:rPr>
            </w:pPr>
            <w:r w:rsidRPr="0085694C">
              <w:rPr>
                <w:sz w:val="15"/>
                <w:szCs w:val="15"/>
              </w:rPr>
              <w:t>3.7</w:t>
            </w:r>
          </w:p>
        </w:tc>
        <w:tc>
          <w:tcPr>
            <w:tcW w:w="483" w:type="pct"/>
            <w:tcBorders>
              <w:top w:val="nil"/>
              <w:left w:val="single" w:sz="4" w:space="0" w:color="auto"/>
              <w:bottom w:val="nil"/>
              <w:right w:val="nil"/>
            </w:tcBorders>
            <w:shd w:val="clear" w:color="auto" w:fill="auto"/>
            <w:noWrap/>
            <w:vAlign w:val="bottom"/>
            <w:hideMark/>
          </w:tcPr>
          <w:p w14:paraId="78C35D54" w14:textId="77777777" w:rsidR="00833238" w:rsidRPr="0085694C" w:rsidRDefault="00833238" w:rsidP="00833238">
            <w:pPr>
              <w:jc w:val="right"/>
              <w:rPr>
                <w:sz w:val="15"/>
                <w:szCs w:val="15"/>
              </w:rPr>
            </w:pPr>
            <w:r w:rsidRPr="0085694C">
              <w:rPr>
                <w:sz w:val="15"/>
                <w:szCs w:val="15"/>
              </w:rPr>
              <w:t>88,866</w:t>
            </w:r>
          </w:p>
        </w:tc>
        <w:tc>
          <w:tcPr>
            <w:tcW w:w="569" w:type="pct"/>
            <w:tcBorders>
              <w:top w:val="nil"/>
              <w:left w:val="nil"/>
              <w:bottom w:val="nil"/>
              <w:right w:val="single" w:sz="4" w:space="0" w:color="auto"/>
            </w:tcBorders>
            <w:shd w:val="clear" w:color="auto" w:fill="auto"/>
            <w:noWrap/>
            <w:vAlign w:val="bottom"/>
            <w:hideMark/>
          </w:tcPr>
          <w:p w14:paraId="79E04FAE" w14:textId="77777777" w:rsidR="00833238" w:rsidRPr="0085694C" w:rsidRDefault="00833238" w:rsidP="00833238">
            <w:pPr>
              <w:jc w:val="right"/>
              <w:rPr>
                <w:sz w:val="15"/>
                <w:szCs w:val="15"/>
              </w:rPr>
            </w:pPr>
            <w:r w:rsidRPr="0085694C">
              <w:rPr>
                <w:sz w:val="15"/>
                <w:szCs w:val="15"/>
              </w:rPr>
              <w:t>4.9</w:t>
            </w:r>
          </w:p>
        </w:tc>
        <w:tc>
          <w:tcPr>
            <w:tcW w:w="542" w:type="pct"/>
            <w:tcBorders>
              <w:top w:val="nil"/>
              <w:left w:val="nil"/>
              <w:bottom w:val="nil"/>
              <w:right w:val="nil"/>
            </w:tcBorders>
            <w:shd w:val="clear" w:color="auto" w:fill="auto"/>
            <w:noWrap/>
            <w:vAlign w:val="bottom"/>
            <w:hideMark/>
          </w:tcPr>
          <w:p w14:paraId="2D5DC345" w14:textId="77777777" w:rsidR="00833238" w:rsidRPr="0085694C" w:rsidRDefault="00833238" w:rsidP="00833238">
            <w:pPr>
              <w:jc w:val="right"/>
              <w:rPr>
                <w:sz w:val="15"/>
                <w:szCs w:val="15"/>
              </w:rPr>
            </w:pPr>
            <w:r w:rsidRPr="0085694C">
              <w:rPr>
                <w:sz w:val="15"/>
                <w:szCs w:val="15"/>
              </w:rPr>
              <w:t>132,385</w:t>
            </w:r>
          </w:p>
        </w:tc>
        <w:tc>
          <w:tcPr>
            <w:tcW w:w="616" w:type="pct"/>
            <w:tcBorders>
              <w:top w:val="nil"/>
              <w:left w:val="nil"/>
              <w:bottom w:val="nil"/>
              <w:right w:val="nil"/>
            </w:tcBorders>
            <w:shd w:val="clear" w:color="auto" w:fill="auto"/>
            <w:noWrap/>
            <w:vAlign w:val="bottom"/>
            <w:hideMark/>
          </w:tcPr>
          <w:p w14:paraId="0118E7B1" w14:textId="77777777" w:rsidR="00833238" w:rsidRPr="0085694C" w:rsidRDefault="00833238" w:rsidP="00833238">
            <w:pPr>
              <w:jc w:val="right"/>
              <w:rPr>
                <w:sz w:val="15"/>
                <w:szCs w:val="15"/>
              </w:rPr>
            </w:pPr>
            <w:r w:rsidRPr="0085694C">
              <w:rPr>
                <w:sz w:val="15"/>
                <w:szCs w:val="15"/>
              </w:rPr>
              <w:t>3.5</w:t>
            </w:r>
          </w:p>
        </w:tc>
        <w:tc>
          <w:tcPr>
            <w:tcW w:w="598" w:type="pct"/>
            <w:tcBorders>
              <w:top w:val="nil"/>
              <w:left w:val="single" w:sz="4" w:space="0" w:color="auto"/>
              <w:bottom w:val="nil"/>
              <w:right w:val="nil"/>
            </w:tcBorders>
            <w:shd w:val="clear" w:color="auto" w:fill="auto"/>
            <w:noWrap/>
            <w:vAlign w:val="bottom"/>
            <w:hideMark/>
          </w:tcPr>
          <w:p w14:paraId="337D1890" w14:textId="77777777" w:rsidR="00833238" w:rsidRPr="0085694C" w:rsidRDefault="00833238" w:rsidP="00833238">
            <w:pPr>
              <w:jc w:val="right"/>
              <w:rPr>
                <w:sz w:val="15"/>
                <w:szCs w:val="15"/>
              </w:rPr>
            </w:pPr>
            <w:r w:rsidRPr="0085694C">
              <w:rPr>
                <w:sz w:val="15"/>
                <w:szCs w:val="15"/>
              </w:rPr>
              <w:t>20,480</w:t>
            </w:r>
          </w:p>
        </w:tc>
        <w:tc>
          <w:tcPr>
            <w:tcW w:w="615" w:type="pct"/>
            <w:tcBorders>
              <w:top w:val="nil"/>
              <w:left w:val="nil"/>
              <w:bottom w:val="nil"/>
              <w:right w:val="nil"/>
            </w:tcBorders>
            <w:shd w:val="clear" w:color="auto" w:fill="auto"/>
            <w:noWrap/>
            <w:vAlign w:val="bottom"/>
            <w:hideMark/>
          </w:tcPr>
          <w:p w14:paraId="61242D0B" w14:textId="77777777" w:rsidR="00833238" w:rsidRPr="0085694C" w:rsidRDefault="00833238" w:rsidP="00833238">
            <w:pPr>
              <w:jc w:val="right"/>
              <w:rPr>
                <w:sz w:val="15"/>
                <w:szCs w:val="15"/>
              </w:rPr>
            </w:pPr>
            <w:r w:rsidRPr="0085694C">
              <w:rPr>
                <w:sz w:val="15"/>
                <w:szCs w:val="15"/>
              </w:rPr>
              <w:t>3.2</w:t>
            </w:r>
          </w:p>
        </w:tc>
      </w:tr>
      <w:tr w:rsidR="006B42D6" w:rsidRPr="0085694C" w14:paraId="72CDD129" w14:textId="77777777" w:rsidTr="00563226">
        <w:trPr>
          <w:trHeight w:val="169"/>
        </w:trPr>
        <w:tc>
          <w:tcPr>
            <w:tcW w:w="771" w:type="pct"/>
            <w:tcBorders>
              <w:top w:val="nil"/>
              <w:left w:val="nil"/>
              <w:bottom w:val="nil"/>
              <w:right w:val="nil"/>
            </w:tcBorders>
            <w:shd w:val="clear" w:color="auto" w:fill="auto"/>
            <w:noWrap/>
            <w:vAlign w:val="center"/>
            <w:hideMark/>
          </w:tcPr>
          <w:p w14:paraId="2881968C" w14:textId="77777777" w:rsidR="00833238" w:rsidRPr="0085694C" w:rsidRDefault="00833238" w:rsidP="00833238">
            <w:pPr>
              <w:rPr>
                <w:sz w:val="15"/>
                <w:szCs w:val="15"/>
              </w:rPr>
            </w:pPr>
            <w:r w:rsidRPr="0085694C">
              <w:rPr>
                <w:sz w:val="15"/>
                <w:szCs w:val="15"/>
              </w:rPr>
              <w:t>Tabora</w:t>
            </w:r>
          </w:p>
        </w:tc>
        <w:tc>
          <w:tcPr>
            <w:tcW w:w="526" w:type="pct"/>
            <w:tcBorders>
              <w:top w:val="nil"/>
              <w:left w:val="single" w:sz="4" w:space="0" w:color="auto"/>
              <w:bottom w:val="nil"/>
              <w:right w:val="nil"/>
            </w:tcBorders>
            <w:shd w:val="clear" w:color="auto" w:fill="auto"/>
            <w:noWrap/>
            <w:vAlign w:val="bottom"/>
            <w:hideMark/>
          </w:tcPr>
          <w:p w14:paraId="0E79534D" w14:textId="77777777" w:rsidR="00833238" w:rsidRPr="0085694C" w:rsidRDefault="00833238" w:rsidP="00833238">
            <w:pPr>
              <w:jc w:val="right"/>
              <w:rPr>
                <w:sz w:val="15"/>
                <w:szCs w:val="15"/>
              </w:rPr>
            </w:pPr>
            <w:r w:rsidRPr="0085694C">
              <w:rPr>
                <w:sz w:val="15"/>
                <w:szCs w:val="15"/>
              </w:rPr>
              <w:t>24,418</w:t>
            </w:r>
          </w:p>
        </w:tc>
        <w:tc>
          <w:tcPr>
            <w:tcW w:w="279" w:type="pct"/>
            <w:tcBorders>
              <w:top w:val="nil"/>
              <w:left w:val="nil"/>
              <w:bottom w:val="nil"/>
              <w:right w:val="nil"/>
            </w:tcBorders>
            <w:shd w:val="clear" w:color="auto" w:fill="auto"/>
            <w:noWrap/>
            <w:vAlign w:val="bottom"/>
            <w:hideMark/>
          </w:tcPr>
          <w:p w14:paraId="5F7D6DAA" w14:textId="77777777" w:rsidR="00833238" w:rsidRPr="0085694C" w:rsidRDefault="00833238" w:rsidP="00833238">
            <w:pPr>
              <w:jc w:val="right"/>
              <w:rPr>
                <w:sz w:val="15"/>
                <w:szCs w:val="15"/>
              </w:rPr>
            </w:pPr>
            <w:r w:rsidRPr="0085694C">
              <w:rPr>
                <w:sz w:val="15"/>
                <w:szCs w:val="15"/>
              </w:rPr>
              <w:t>1.4</w:t>
            </w:r>
          </w:p>
        </w:tc>
        <w:tc>
          <w:tcPr>
            <w:tcW w:w="483" w:type="pct"/>
            <w:tcBorders>
              <w:top w:val="nil"/>
              <w:left w:val="single" w:sz="4" w:space="0" w:color="auto"/>
              <w:bottom w:val="nil"/>
              <w:right w:val="nil"/>
            </w:tcBorders>
            <w:shd w:val="clear" w:color="auto" w:fill="auto"/>
            <w:noWrap/>
            <w:vAlign w:val="bottom"/>
            <w:hideMark/>
          </w:tcPr>
          <w:p w14:paraId="69E4F18A" w14:textId="77777777" w:rsidR="00833238" w:rsidRPr="0085694C" w:rsidRDefault="00833238" w:rsidP="00833238">
            <w:pPr>
              <w:jc w:val="right"/>
              <w:rPr>
                <w:sz w:val="15"/>
                <w:szCs w:val="15"/>
              </w:rPr>
            </w:pPr>
            <w:r w:rsidRPr="0085694C">
              <w:rPr>
                <w:sz w:val="15"/>
                <w:szCs w:val="15"/>
              </w:rPr>
              <w:t>206,389</w:t>
            </w:r>
          </w:p>
        </w:tc>
        <w:tc>
          <w:tcPr>
            <w:tcW w:w="569" w:type="pct"/>
            <w:tcBorders>
              <w:top w:val="nil"/>
              <w:left w:val="nil"/>
              <w:bottom w:val="nil"/>
              <w:right w:val="single" w:sz="4" w:space="0" w:color="auto"/>
            </w:tcBorders>
            <w:shd w:val="clear" w:color="auto" w:fill="auto"/>
            <w:noWrap/>
            <w:vAlign w:val="bottom"/>
            <w:hideMark/>
          </w:tcPr>
          <w:p w14:paraId="0F1332B9" w14:textId="77777777" w:rsidR="00833238" w:rsidRPr="0085694C" w:rsidRDefault="00833238" w:rsidP="00833238">
            <w:pPr>
              <w:jc w:val="right"/>
              <w:rPr>
                <w:sz w:val="15"/>
                <w:szCs w:val="15"/>
              </w:rPr>
            </w:pPr>
            <w:r w:rsidRPr="0085694C">
              <w:rPr>
                <w:sz w:val="15"/>
                <w:szCs w:val="15"/>
              </w:rPr>
              <w:t>11.4</w:t>
            </w:r>
          </w:p>
        </w:tc>
        <w:tc>
          <w:tcPr>
            <w:tcW w:w="542" w:type="pct"/>
            <w:tcBorders>
              <w:top w:val="nil"/>
              <w:left w:val="nil"/>
              <w:bottom w:val="nil"/>
              <w:right w:val="nil"/>
            </w:tcBorders>
            <w:shd w:val="clear" w:color="auto" w:fill="auto"/>
            <w:noWrap/>
            <w:vAlign w:val="bottom"/>
            <w:hideMark/>
          </w:tcPr>
          <w:p w14:paraId="6E8D92C9" w14:textId="77777777" w:rsidR="00833238" w:rsidRPr="0085694C" w:rsidRDefault="00833238" w:rsidP="00833238">
            <w:pPr>
              <w:jc w:val="right"/>
              <w:rPr>
                <w:sz w:val="15"/>
                <w:szCs w:val="15"/>
              </w:rPr>
            </w:pPr>
            <w:r w:rsidRPr="0085694C">
              <w:rPr>
                <w:sz w:val="15"/>
                <w:szCs w:val="15"/>
              </w:rPr>
              <w:t>136,042</w:t>
            </w:r>
          </w:p>
        </w:tc>
        <w:tc>
          <w:tcPr>
            <w:tcW w:w="616" w:type="pct"/>
            <w:tcBorders>
              <w:top w:val="nil"/>
              <w:left w:val="nil"/>
              <w:bottom w:val="nil"/>
              <w:right w:val="nil"/>
            </w:tcBorders>
            <w:shd w:val="clear" w:color="auto" w:fill="auto"/>
            <w:noWrap/>
            <w:vAlign w:val="bottom"/>
            <w:hideMark/>
          </w:tcPr>
          <w:p w14:paraId="48450FF9" w14:textId="77777777" w:rsidR="00833238" w:rsidRPr="0085694C" w:rsidRDefault="00833238" w:rsidP="00833238">
            <w:pPr>
              <w:jc w:val="right"/>
              <w:rPr>
                <w:sz w:val="15"/>
                <w:szCs w:val="15"/>
              </w:rPr>
            </w:pPr>
            <w:r w:rsidRPr="0085694C">
              <w:rPr>
                <w:sz w:val="15"/>
                <w:szCs w:val="15"/>
              </w:rPr>
              <w:t>3.6</w:t>
            </w:r>
          </w:p>
        </w:tc>
        <w:tc>
          <w:tcPr>
            <w:tcW w:w="598" w:type="pct"/>
            <w:tcBorders>
              <w:top w:val="nil"/>
              <w:left w:val="single" w:sz="4" w:space="0" w:color="auto"/>
              <w:bottom w:val="nil"/>
              <w:right w:val="nil"/>
            </w:tcBorders>
            <w:shd w:val="clear" w:color="auto" w:fill="auto"/>
            <w:noWrap/>
            <w:vAlign w:val="bottom"/>
            <w:hideMark/>
          </w:tcPr>
          <w:p w14:paraId="1C828D1D" w14:textId="77777777" w:rsidR="00833238" w:rsidRPr="0085694C" w:rsidRDefault="00833238" w:rsidP="00833238">
            <w:pPr>
              <w:jc w:val="right"/>
              <w:rPr>
                <w:sz w:val="15"/>
                <w:szCs w:val="15"/>
              </w:rPr>
            </w:pPr>
            <w:r w:rsidRPr="0085694C">
              <w:rPr>
                <w:sz w:val="15"/>
                <w:szCs w:val="15"/>
              </w:rPr>
              <w:t>83,428</w:t>
            </w:r>
          </w:p>
        </w:tc>
        <w:tc>
          <w:tcPr>
            <w:tcW w:w="615" w:type="pct"/>
            <w:tcBorders>
              <w:top w:val="nil"/>
              <w:left w:val="nil"/>
              <w:bottom w:val="nil"/>
              <w:right w:val="nil"/>
            </w:tcBorders>
            <w:shd w:val="clear" w:color="auto" w:fill="auto"/>
            <w:noWrap/>
            <w:vAlign w:val="bottom"/>
            <w:hideMark/>
          </w:tcPr>
          <w:p w14:paraId="576C5A37" w14:textId="77777777" w:rsidR="00833238" w:rsidRPr="0085694C" w:rsidRDefault="00833238" w:rsidP="00833238">
            <w:pPr>
              <w:jc w:val="right"/>
              <w:rPr>
                <w:sz w:val="15"/>
                <w:szCs w:val="15"/>
              </w:rPr>
            </w:pPr>
            <w:r w:rsidRPr="0085694C">
              <w:rPr>
                <w:sz w:val="15"/>
                <w:szCs w:val="15"/>
              </w:rPr>
              <w:t>13.0</w:t>
            </w:r>
          </w:p>
        </w:tc>
      </w:tr>
      <w:tr w:rsidR="006B42D6" w:rsidRPr="0085694C" w14:paraId="4141CAC6" w14:textId="77777777" w:rsidTr="00563226">
        <w:trPr>
          <w:trHeight w:val="169"/>
        </w:trPr>
        <w:tc>
          <w:tcPr>
            <w:tcW w:w="771" w:type="pct"/>
            <w:tcBorders>
              <w:top w:val="nil"/>
              <w:left w:val="nil"/>
              <w:bottom w:val="nil"/>
              <w:right w:val="nil"/>
            </w:tcBorders>
            <w:shd w:val="clear" w:color="auto" w:fill="auto"/>
            <w:noWrap/>
            <w:vAlign w:val="center"/>
            <w:hideMark/>
          </w:tcPr>
          <w:p w14:paraId="5CDE0249" w14:textId="77777777" w:rsidR="00833238" w:rsidRPr="0085694C" w:rsidRDefault="00833238" w:rsidP="00833238">
            <w:pPr>
              <w:rPr>
                <w:sz w:val="15"/>
                <w:szCs w:val="15"/>
              </w:rPr>
            </w:pPr>
            <w:r w:rsidRPr="0085694C">
              <w:rPr>
                <w:sz w:val="15"/>
                <w:szCs w:val="15"/>
              </w:rPr>
              <w:t>Rukwa</w:t>
            </w:r>
          </w:p>
        </w:tc>
        <w:tc>
          <w:tcPr>
            <w:tcW w:w="526" w:type="pct"/>
            <w:tcBorders>
              <w:top w:val="nil"/>
              <w:left w:val="single" w:sz="4" w:space="0" w:color="auto"/>
              <w:bottom w:val="nil"/>
              <w:right w:val="nil"/>
            </w:tcBorders>
            <w:shd w:val="clear" w:color="auto" w:fill="auto"/>
            <w:noWrap/>
            <w:vAlign w:val="bottom"/>
            <w:hideMark/>
          </w:tcPr>
          <w:p w14:paraId="4C0A960B" w14:textId="77777777" w:rsidR="00833238" w:rsidRPr="0085694C" w:rsidRDefault="00833238" w:rsidP="00833238">
            <w:pPr>
              <w:jc w:val="right"/>
              <w:rPr>
                <w:sz w:val="15"/>
                <w:szCs w:val="15"/>
              </w:rPr>
            </w:pPr>
            <w:r w:rsidRPr="0085694C">
              <w:rPr>
                <w:sz w:val="15"/>
                <w:szCs w:val="15"/>
              </w:rPr>
              <w:t>8,448</w:t>
            </w:r>
          </w:p>
        </w:tc>
        <w:tc>
          <w:tcPr>
            <w:tcW w:w="279" w:type="pct"/>
            <w:tcBorders>
              <w:top w:val="nil"/>
              <w:left w:val="nil"/>
              <w:bottom w:val="nil"/>
              <w:right w:val="nil"/>
            </w:tcBorders>
            <w:shd w:val="clear" w:color="auto" w:fill="auto"/>
            <w:noWrap/>
            <w:vAlign w:val="bottom"/>
            <w:hideMark/>
          </w:tcPr>
          <w:p w14:paraId="4D2AF093" w14:textId="77777777" w:rsidR="00833238" w:rsidRPr="0085694C" w:rsidRDefault="00833238" w:rsidP="00833238">
            <w:pPr>
              <w:jc w:val="right"/>
              <w:rPr>
                <w:sz w:val="15"/>
                <w:szCs w:val="15"/>
              </w:rPr>
            </w:pPr>
            <w:r w:rsidRPr="0085694C">
              <w:rPr>
                <w:sz w:val="15"/>
                <w:szCs w:val="15"/>
              </w:rPr>
              <w:t>0.5</w:t>
            </w:r>
          </w:p>
        </w:tc>
        <w:tc>
          <w:tcPr>
            <w:tcW w:w="483" w:type="pct"/>
            <w:tcBorders>
              <w:top w:val="nil"/>
              <w:left w:val="single" w:sz="4" w:space="0" w:color="auto"/>
              <w:bottom w:val="nil"/>
              <w:right w:val="nil"/>
            </w:tcBorders>
            <w:shd w:val="clear" w:color="auto" w:fill="auto"/>
            <w:noWrap/>
            <w:vAlign w:val="bottom"/>
            <w:hideMark/>
          </w:tcPr>
          <w:p w14:paraId="035C034F" w14:textId="77777777" w:rsidR="00833238" w:rsidRPr="0085694C" w:rsidRDefault="00833238" w:rsidP="00833238">
            <w:pPr>
              <w:jc w:val="right"/>
              <w:rPr>
                <w:sz w:val="15"/>
                <w:szCs w:val="15"/>
              </w:rPr>
            </w:pPr>
            <w:r w:rsidRPr="0085694C">
              <w:rPr>
                <w:sz w:val="15"/>
                <w:szCs w:val="15"/>
              </w:rPr>
              <w:t>58,937</w:t>
            </w:r>
          </w:p>
        </w:tc>
        <w:tc>
          <w:tcPr>
            <w:tcW w:w="569" w:type="pct"/>
            <w:tcBorders>
              <w:top w:val="nil"/>
              <w:left w:val="nil"/>
              <w:bottom w:val="nil"/>
              <w:right w:val="single" w:sz="4" w:space="0" w:color="auto"/>
            </w:tcBorders>
            <w:shd w:val="clear" w:color="auto" w:fill="auto"/>
            <w:noWrap/>
            <w:vAlign w:val="bottom"/>
            <w:hideMark/>
          </w:tcPr>
          <w:p w14:paraId="7BF7A13F" w14:textId="77777777" w:rsidR="00833238" w:rsidRPr="0085694C" w:rsidRDefault="00833238" w:rsidP="00833238">
            <w:pPr>
              <w:jc w:val="right"/>
              <w:rPr>
                <w:sz w:val="15"/>
                <w:szCs w:val="15"/>
              </w:rPr>
            </w:pPr>
            <w:r w:rsidRPr="0085694C">
              <w:rPr>
                <w:sz w:val="15"/>
                <w:szCs w:val="15"/>
              </w:rPr>
              <w:t>3.3</w:t>
            </w:r>
          </w:p>
        </w:tc>
        <w:tc>
          <w:tcPr>
            <w:tcW w:w="542" w:type="pct"/>
            <w:tcBorders>
              <w:top w:val="nil"/>
              <w:left w:val="nil"/>
              <w:bottom w:val="nil"/>
              <w:right w:val="nil"/>
            </w:tcBorders>
            <w:shd w:val="clear" w:color="auto" w:fill="auto"/>
            <w:noWrap/>
            <w:vAlign w:val="bottom"/>
            <w:hideMark/>
          </w:tcPr>
          <w:p w14:paraId="65F1ECE3" w14:textId="77777777" w:rsidR="00833238" w:rsidRPr="0085694C" w:rsidRDefault="00833238" w:rsidP="00833238">
            <w:pPr>
              <w:jc w:val="right"/>
              <w:rPr>
                <w:sz w:val="15"/>
                <w:szCs w:val="15"/>
              </w:rPr>
            </w:pPr>
            <w:r w:rsidRPr="0085694C">
              <w:rPr>
                <w:sz w:val="15"/>
                <w:szCs w:val="15"/>
              </w:rPr>
              <w:t>53,830</w:t>
            </w:r>
          </w:p>
        </w:tc>
        <w:tc>
          <w:tcPr>
            <w:tcW w:w="616" w:type="pct"/>
            <w:tcBorders>
              <w:top w:val="nil"/>
              <w:left w:val="nil"/>
              <w:bottom w:val="nil"/>
              <w:right w:val="nil"/>
            </w:tcBorders>
            <w:shd w:val="clear" w:color="auto" w:fill="auto"/>
            <w:noWrap/>
            <w:vAlign w:val="bottom"/>
            <w:hideMark/>
          </w:tcPr>
          <w:p w14:paraId="0D19BC2D" w14:textId="77777777" w:rsidR="00833238" w:rsidRPr="0085694C" w:rsidRDefault="00833238" w:rsidP="00833238">
            <w:pPr>
              <w:jc w:val="right"/>
              <w:rPr>
                <w:sz w:val="15"/>
                <w:szCs w:val="15"/>
              </w:rPr>
            </w:pPr>
            <w:r w:rsidRPr="0085694C">
              <w:rPr>
                <w:sz w:val="15"/>
                <w:szCs w:val="15"/>
              </w:rPr>
              <w:t>1.4</w:t>
            </w:r>
          </w:p>
        </w:tc>
        <w:tc>
          <w:tcPr>
            <w:tcW w:w="598" w:type="pct"/>
            <w:tcBorders>
              <w:top w:val="nil"/>
              <w:left w:val="single" w:sz="4" w:space="0" w:color="auto"/>
              <w:bottom w:val="nil"/>
              <w:right w:val="nil"/>
            </w:tcBorders>
            <w:shd w:val="clear" w:color="auto" w:fill="auto"/>
            <w:noWrap/>
            <w:vAlign w:val="bottom"/>
            <w:hideMark/>
          </w:tcPr>
          <w:p w14:paraId="2F54B98E" w14:textId="77777777" w:rsidR="00833238" w:rsidRPr="0085694C" w:rsidRDefault="00833238" w:rsidP="00833238">
            <w:pPr>
              <w:jc w:val="right"/>
              <w:rPr>
                <w:sz w:val="15"/>
                <w:szCs w:val="15"/>
              </w:rPr>
            </w:pPr>
            <w:r w:rsidRPr="0085694C">
              <w:rPr>
                <w:sz w:val="15"/>
                <w:szCs w:val="15"/>
              </w:rPr>
              <w:t>2,750</w:t>
            </w:r>
          </w:p>
        </w:tc>
        <w:tc>
          <w:tcPr>
            <w:tcW w:w="615" w:type="pct"/>
            <w:tcBorders>
              <w:top w:val="nil"/>
              <w:left w:val="nil"/>
              <w:bottom w:val="nil"/>
              <w:right w:val="nil"/>
            </w:tcBorders>
            <w:shd w:val="clear" w:color="auto" w:fill="auto"/>
            <w:noWrap/>
            <w:vAlign w:val="bottom"/>
            <w:hideMark/>
          </w:tcPr>
          <w:p w14:paraId="605F40B2" w14:textId="77777777" w:rsidR="00833238" w:rsidRPr="0085694C" w:rsidRDefault="00833238" w:rsidP="00833238">
            <w:pPr>
              <w:jc w:val="right"/>
              <w:rPr>
                <w:sz w:val="15"/>
                <w:szCs w:val="15"/>
              </w:rPr>
            </w:pPr>
            <w:r w:rsidRPr="0085694C">
              <w:rPr>
                <w:sz w:val="15"/>
                <w:szCs w:val="15"/>
              </w:rPr>
              <w:t>0.4</w:t>
            </w:r>
          </w:p>
        </w:tc>
      </w:tr>
      <w:tr w:rsidR="006B42D6" w:rsidRPr="0085694C" w14:paraId="574D2107" w14:textId="77777777" w:rsidTr="00563226">
        <w:trPr>
          <w:trHeight w:val="242"/>
        </w:trPr>
        <w:tc>
          <w:tcPr>
            <w:tcW w:w="771" w:type="pct"/>
            <w:tcBorders>
              <w:top w:val="nil"/>
              <w:left w:val="nil"/>
              <w:bottom w:val="nil"/>
              <w:right w:val="nil"/>
            </w:tcBorders>
            <w:shd w:val="clear" w:color="auto" w:fill="auto"/>
            <w:noWrap/>
            <w:vAlign w:val="center"/>
            <w:hideMark/>
          </w:tcPr>
          <w:p w14:paraId="140CED2B" w14:textId="77777777" w:rsidR="00833238" w:rsidRPr="0085694C" w:rsidRDefault="00833238" w:rsidP="00833238">
            <w:pPr>
              <w:rPr>
                <w:sz w:val="15"/>
                <w:szCs w:val="15"/>
              </w:rPr>
            </w:pPr>
            <w:r w:rsidRPr="0085694C">
              <w:rPr>
                <w:sz w:val="15"/>
                <w:szCs w:val="15"/>
              </w:rPr>
              <w:t>Kigoma</w:t>
            </w:r>
          </w:p>
        </w:tc>
        <w:tc>
          <w:tcPr>
            <w:tcW w:w="526" w:type="pct"/>
            <w:tcBorders>
              <w:top w:val="nil"/>
              <w:left w:val="single" w:sz="4" w:space="0" w:color="auto"/>
              <w:bottom w:val="nil"/>
              <w:right w:val="nil"/>
            </w:tcBorders>
            <w:shd w:val="clear" w:color="auto" w:fill="auto"/>
            <w:noWrap/>
            <w:vAlign w:val="bottom"/>
            <w:hideMark/>
          </w:tcPr>
          <w:p w14:paraId="4EF338ED" w14:textId="77777777" w:rsidR="00833238" w:rsidRPr="0085694C" w:rsidRDefault="00833238" w:rsidP="00833238">
            <w:pPr>
              <w:jc w:val="right"/>
              <w:rPr>
                <w:sz w:val="15"/>
                <w:szCs w:val="15"/>
              </w:rPr>
            </w:pPr>
            <w:r w:rsidRPr="0085694C">
              <w:rPr>
                <w:sz w:val="15"/>
                <w:szCs w:val="15"/>
              </w:rPr>
              <w:t>38,159</w:t>
            </w:r>
          </w:p>
        </w:tc>
        <w:tc>
          <w:tcPr>
            <w:tcW w:w="279" w:type="pct"/>
            <w:tcBorders>
              <w:top w:val="nil"/>
              <w:left w:val="nil"/>
              <w:bottom w:val="nil"/>
              <w:right w:val="nil"/>
            </w:tcBorders>
            <w:shd w:val="clear" w:color="auto" w:fill="auto"/>
            <w:noWrap/>
            <w:vAlign w:val="bottom"/>
            <w:hideMark/>
          </w:tcPr>
          <w:p w14:paraId="63DBBFAD" w14:textId="77777777" w:rsidR="00833238" w:rsidRPr="0085694C" w:rsidRDefault="00833238" w:rsidP="00833238">
            <w:pPr>
              <w:jc w:val="right"/>
              <w:rPr>
                <w:sz w:val="15"/>
                <w:szCs w:val="15"/>
              </w:rPr>
            </w:pPr>
            <w:r w:rsidRPr="0085694C">
              <w:rPr>
                <w:sz w:val="15"/>
                <w:szCs w:val="15"/>
              </w:rPr>
              <w:t>2.3</w:t>
            </w:r>
          </w:p>
        </w:tc>
        <w:tc>
          <w:tcPr>
            <w:tcW w:w="483" w:type="pct"/>
            <w:tcBorders>
              <w:top w:val="nil"/>
              <w:left w:val="single" w:sz="4" w:space="0" w:color="auto"/>
              <w:bottom w:val="nil"/>
              <w:right w:val="nil"/>
            </w:tcBorders>
            <w:shd w:val="clear" w:color="auto" w:fill="auto"/>
            <w:noWrap/>
            <w:vAlign w:val="bottom"/>
            <w:hideMark/>
          </w:tcPr>
          <w:p w14:paraId="0055390D" w14:textId="77777777" w:rsidR="00833238" w:rsidRPr="0085694C" w:rsidRDefault="00833238" w:rsidP="00833238">
            <w:pPr>
              <w:jc w:val="right"/>
              <w:rPr>
                <w:sz w:val="15"/>
                <w:szCs w:val="15"/>
              </w:rPr>
            </w:pPr>
            <w:r w:rsidRPr="0085694C">
              <w:rPr>
                <w:sz w:val="15"/>
                <w:szCs w:val="15"/>
              </w:rPr>
              <w:t>38,159</w:t>
            </w:r>
          </w:p>
        </w:tc>
        <w:tc>
          <w:tcPr>
            <w:tcW w:w="569" w:type="pct"/>
            <w:tcBorders>
              <w:top w:val="nil"/>
              <w:left w:val="nil"/>
              <w:bottom w:val="nil"/>
              <w:right w:val="single" w:sz="4" w:space="0" w:color="auto"/>
            </w:tcBorders>
            <w:shd w:val="clear" w:color="auto" w:fill="auto"/>
            <w:noWrap/>
            <w:vAlign w:val="bottom"/>
            <w:hideMark/>
          </w:tcPr>
          <w:p w14:paraId="607A5C19" w14:textId="77777777" w:rsidR="00833238" w:rsidRPr="0085694C" w:rsidRDefault="00833238" w:rsidP="00833238">
            <w:pPr>
              <w:jc w:val="right"/>
              <w:rPr>
                <w:sz w:val="15"/>
                <w:szCs w:val="15"/>
              </w:rPr>
            </w:pPr>
            <w:r w:rsidRPr="0085694C">
              <w:rPr>
                <w:sz w:val="15"/>
                <w:szCs w:val="15"/>
              </w:rPr>
              <w:t>2.1</w:t>
            </w:r>
          </w:p>
        </w:tc>
        <w:tc>
          <w:tcPr>
            <w:tcW w:w="542" w:type="pct"/>
            <w:tcBorders>
              <w:top w:val="nil"/>
              <w:left w:val="nil"/>
              <w:bottom w:val="nil"/>
              <w:right w:val="nil"/>
            </w:tcBorders>
            <w:shd w:val="clear" w:color="auto" w:fill="auto"/>
            <w:noWrap/>
            <w:vAlign w:val="bottom"/>
            <w:hideMark/>
          </w:tcPr>
          <w:p w14:paraId="512C03A6" w14:textId="77777777" w:rsidR="00833238" w:rsidRPr="0085694C" w:rsidRDefault="00833238" w:rsidP="00833238">
            <w:pPr>
              <w:jc w:val="right"/>
              <w:rPr>
                <w:sz w:val="15"/>
                <w:szCs w:val="15"/>
              </w:rPr>
            </w:pPr>
            <w:r w:rsidRPr="0085694C">
              <w:rPr>
                <w:sz w:val="15"/>
                <w:szCs w:val="15"/>
              </w:rPr>
              <w:t>136,002</w:t>
            </w:r>
          </w:p>
        </w:tc>
        <w:tc>
          <w:tcPr>
            <w:tcW w:w="616" w:type="pct"/>
            <w:tcBorders>
              <w:top w:val="nil"/>
              <w:left w:val="nil"/>
              <w:bottom w:val="nil"/>
              <w:right w:val="nil"/>
            </w:tcBorders>
            <w:shd w:val="clear" w:color="auto" w:fill="auto"/>
            <w:noWrap/>
            <w:vAlign w:val="bottom"/>
            <w:hideMark/>
          </w:tcPr>
          <w:p w14:paraId="2094D3FE" w14:textId="77777777" w:rsidR="00833238" w:rsidRPr="0085694C" w:rsidRDefault="00833238" w:rsidP="00833238">
            <w:pPr>
              <w:jc w:val="right"/>
              <w:rPr>
                <w:sz w:val="15"/>
                <w:szCs w:val="15"/>
              </w:rPr>
            </w:pPr>
            <w:r w:rsidRPr="0085694C">
              <w:rPr>
                <w:sz w:val="15"/>
                <w:szCs w:val="15"/>
              </w:rPr>
              <w:t>3.6</w:t>
            </w:r>
          </w:p>
        </w:tc>
        <w:tc>
          <w:tcPr>
            <w:tcW w:w="598" w:type="pct"/>
            <w:tcBorders>
              <w:top w:val="nil"/>
              <w:left w:val="single" w:sz="4" w:space="0" w:color="auto"/>
              <w:bottom w:val="nil"/>
              <w:right w:val="nil"/>
            </w:tcBorders>
            <w:shd w:val="clear" w:color="auto" w:fill="auto"/>
            <w:noWrap/>
            <w:vAlign w:val="bottom"/>
            <w:hideMark/>
          </w:tcPr>
          <w:p w14:paraId="08958534" w14:textId="77777777" w:rsidR="00833238" w:rsidRPr="0085694C" w:rsidRDefault="00833238" w:rsidP="00833238">
            <w:pPr>
              <w:jc w:val="right"/>
              <w:rPr>
                <w:sz w:val="15"/>
                <w:szCs w:val="15"/>
              </w:rPr>
            </w:pPr>
            <w:r w:rsidRPr="0085694C">
              <w:rPr>
                <w:sz w:val="15"/>
                <w:szCs w:val="15"/>
              </w:rPr>
              <w:t>-</w:t>
            </w:r>
          </w:p>
        </w:tc>
        <w:tc>
          <w:tcPr>
            <w:tcW w:w="615" w:type="pct"/>
            <w:tcBorders>
              <w:top w:val="nil"/>
              <w:left w:val="nil"/>
              <w:bottom w:val="nil"/>
              <w:right w:val="nil"/>
            </w:tcBorders>
            <w:shd w:val="clear" w:color="auto" w:fill="auto"/>
            <w:noWrap/>
            <w:vAlign w:val="bottom"/>
            <w:hideMark/>
          </w:tcPr>
          <w:p w14:paraId="6B23CBC4" w14:textId="77777777" w:rsidR="00833238" w:rsidRPr="0085694C" w:rsidRDefault="00833238" w:rsidP="00833238">
            <w:pPr>
              <w:jc w:val="right"/>
              <w:rPr>
                <w:sz w:val="15"/>
                <w:szCs w:val="15"/>
              </w:rPr>
            </w:pPr>
            <w:r w:rsidRPr="0085694C">
              <w:rPr>
                <w:sz w:val="15"/>
                <w:szCs w:val="15"/>
              </w:rPr>
              <w:t>-</w:t>
            </w:r>
          </w:p>
        </w:tc>
      </w:tr>
      <w:tr w:rsidR="006B42D6" w:rsidRPr="0085694C" w14:paraId="56E4A98C" w14:textId="77777777" w:rsidTr="00563226">
        <w:trPr>
          <w:trHeight w:val="169"/>
        </w:trPr>
        <w:tc>
          <w:tcPr>
            <w:tcW w:w="771" w:type="pct"/>
            <w:tcBorders>
              <w:top w:val="nil"/>
              <w:left w:val="nil"/>
              <w:bottom w:val="nil"/>
              <w:right w:val="nil"/>
            </w:tcBorders>
            <w:shd w:val="clear" w:color="auto" w:fill="auto"/>
            <w:noWrap/>
            <w:vAlign w:val="center"/>
            <w:hideMark/>
          </w:tcPr>
          <w:p w14:paraId="44F8E914" w14:textId="77777777" w:rsidR="00833238" w:rsidRPr="0085694C" w:rsidRDefault="00833238" w:rsidP="00833238">
            <w:pPr>
              <w:rPr>
                <w:sz w:val="15"/>
                <w:szCs w:val="15"/>
              </w:rPr>
            </w:pPr>
            <w:r w:rsidRPr="0085694C">
              <w:rPr>
                <w:sz w:val="15"/>
                <w:szCs w:val="15"/>
              </w:rPr>
              <w:t>Shinyanga</w:t>
            </w:r>
          </w:p>
        </w:tc>
        <w:tc>
          <w:tcPr>
            <w:tcW w:w="526" w:type="pct"/>
            <w:tcBorders>
              <w:top w:val="nil"/>
              <w:left w:val="single" w:sz="4" w:space="0" w:color="auto"/>
              <w:bottom w:val="nil"/>
              <w:right w:val="nil"/>
            </w:tcBorders>
            <w:shd w:val="clear" w:color="auto" w:fill="auto"/>
            <w:noWrap/>
            <w:vAlign w:val="bottom"/>
            <w:hideMark/>
          </w:tcPr>
          <w:p w14:paraId="1C126E72" w14:textId="77777777" w:rsidR="00833238" w:rsidRPr="0085694C" w:rsidRDefault="00833238" w:rsidP="00833238">
            <w:pPr>
              <w:jc w:val="right"/>
              <w:rPr>
                <w:sz w:val="15"/>
                <w:szCs w:val="15"/>
              </w:rPr>
            </w:pPr>
            <w:r w:rsidRPr="0085694C">
              <w:rPr>
                <w:sz w:val="15"/>
                <w:szCs w:val="15"/>
              </w:rPr>
              <w:t>25,949</w:t>
            </w:r>
          </w:p>
        </w:tc>
        <w:tc>
          <w:tcPr>
            <w:tcW w:w="279" w:type="pct"/>
            <w:tcBorders>
              <w:top w:val="nil"/>
              <w:left w:val="nil"/>
              <w:bottom w:val="nil"/>
              <w:right w:val="nil"/>
            </w:tcBorders>
            <w:shd w:val="clear" w:color="auto" w:fill="auto"/>
            <w:noWrap/>
            <w:vAlign w:val="bottom"/>
            <w:hideMark/>
          </w:tcPr>
          <w:p w14:paraId="0A23DE83" w14:textId="77777777" w:rsidR="00833238" w:rsidRPr="0085694C" w:rsidRDefault="00833238" w:rsidP="00833238">
            <w:pPr>
              <w:jc w:val="right"/>
              <w:rPr>
                <w:sz w:val="15"/>
                <w:szCs w:val="15"/>
              </w:rPr>
            </w:pPr>
            <w:r w:rsidRPr="0085694C">
              <w:rPr>
                <w:sz w:val="15"/>
                <w:szCs w:val="15"/>
              </w:rPr>
              <w:t>1.5</w:t>
            </w:r>
          </w:p>
        </w:tc>
        <w:tc>
          <w:tcPr>
            <w:tcW w:w="483" w:type="pct"/>
            <w:tcBorders>
              <w:top w:val="nil"/>
              <w:left w:val="single" w:sz="4" w:space="0" w:color="auto"/>
              <w:bottom w:val="nil"/>
              <w:right w:val="nil"/>
            </w:tcBorders>
            <w:shd w:val="clear" w:color="auto" w:fill="auto"/>
            <w:noWrap/>
            <w:vAlign w:val="bottom"/>
            <w:hideMark/>
          </w:tcPr>
          <w:p w14:paraId="1D1C0BED" w14:textId="77777777" w:rsidR="00833238" w:rsidRPr="0085694C" w:rsidRDefault="00833238" w:rsidP="00833238">
            <w:pPr>
              <w:jc w:val="right"/>
              <w:rPr>
                <w:sz w:val="15"/>
                <w:szCs w:val="15"/>
              </w:rPr>
            </w:pPr>
            <w:r w:rsidRPr="0085694C">
              <w:rPr>
                <w:sz w:val="15"/>
                <w:szCs w:val="15"/>
              </w:rPr>
              <w:t>48,753</w:t>
            </w:r>
          </w:p>
        </w:tc>
        <w:tc>
          <w:tcPr>
            <w:tcW w:w="569" w:type="pct"/>
            <w:tcBorders>
              <w:top w:val="nil"/>
              <w:left w:val="nil"/>
              <w:bottom w:val="nil"/>
              <w:right w:val="single" w:sz="4" w:space="0" w:color="auto"/>
            </w:tcBorders>
            <w:shd w:val="clear" w:color="auto" w:fill="auto"/>
            <w:noWrap/>
            <w:vAlign w:val="bottom"/>
            <w:hideMark/>
          </w:tcPr>
          <w:p w14:paraId="58024FC0" w14:textId="77777777" w:rsidR="00833238" w:rsidRPr="0085694C" w:rsidRDefault="00833238" w:rsidP="00833238">
            <w:pPr>
              <w:jc w:val="right"/>
              <w:rPr>
                <w:sz w:val="15"/>
                <w:szCs w:val="15"/>
              </w:rPr>
            </w:pPr>
            <w:r w:rsidRPr="0085694C">
              <w:rPr>
                <w:sz w:val="15"/>
                <w:szCs w:val="15"/>
              </w:rPr>
              <w:t>2.7</w:t>
            </w:r>
          </w:p>
        </w:tc>
        <w:tc>
          <w:tcPr>
            <w:tcW w:w="542" w:type="pct"/>
            <w:tcBorders>
              <w:top w:val="nil"/>
              <w:left w:val="nil"/>
              <w:bottom w:val="nil"/>
              <w:right w:val="nil"/>
            </w:tcBorders>
            <w:shd w:val="clear" w:color="auto" w:fill="auto"/>
            <w:noWrap/>
            <w:vAlign w:val="bottom"/>
            <w:hideMark/>
          </w:tcPr>
          <w:p w14:paraId="6BBA4B9E" w14:textId="77777777" w:rsidR="00833238" w:rsidRPr="0085694C" w:rsidRDefault="00833238" w:rsidP="00833238">
            <w:pPr>
              <w:jc w:val="right"/>
              <w:rPr>
                <w:sz w:val="15"/>
                <w:szCs w:val="15"/>
              </w:rPr>
            </w:pPr>
            <w:r w:rsidRPr="0085694C">
              <w:rPr>
                <w:sz w:val="15"/>
                <w:szCs w:val="15"/>
              </w:rPr>
              <w:t>83,353</w:t>
            </w:r>
          </w:p>
        </w:tc>
        <w:tc>
          <w:tcPr>
            <w:tcW w:w="616" w:type="pct"/>
            <w:tcBorders>
              <w:top w:val="nil"/>
              <w:left w:val="nil"/>
              <w:bottom w:val="nil"/>
              <w:right w:val="nil"/>
            </w:tcBorders>
            <w:shd w:val="clear" w:color="auto" w:fill="auto"/>
            <w:noWrap/>
            <w:vAlign w:val="bottom"/>
            <w:hideMark/>
          </w:tcPr>
          <w:p w14:paraId="64F3E88D" w14:textId="77777777" w:rsidR="00833238" w:rsidRPr="0085694C" w:rsidRDefault="00833238" w:rsidP="00833238">
            <w:pPr>
              <w:jc w:val="right"/>
              <w:rPr>
                <w:sz w:val="15"/>
                <w:szCs w:val="15"/>
              </w:rPr>
            </w:pPr>
            <w:r w:rsidRPr="0085694C">
              <w:rPr>
                <w:sz w:val="15"/>
                <w:szCs w:val="15"/>
              </w:rPr>
              <w:t>2.2</w:t>
            </w:r>
          </w:p>
        </w:tc>
        <w:tc>
          <w:tcPr>
            <w:tcW w:w="598" w:type="pct"/>
            <w:tcBorders>
              <w:top w:val="nil"/>
              <w:left w:val="single" w:sz="4" w:space="0" w:color="auto"/>
              <w:bottom w:val="nil"/>
              <w:right w:val="nil"/>
            </w:tcBorders>
            <w:shd w:val="clear" w:color="auto" w:fill="auto"/>
            <w:noWrap/>
            <w:vAlign w:val="bottom"/>
            <w:hideMark/>
          </w:tcPr>
          <w:p w14:paraId="7C2D68AC" w14:textId="77777777" w:rsidR="00833238" w:rsidRPr="0085694C" w:rsidRDefault="00833238" w:rsidP="00833238">
            <w:pPr>
              <w:jc w:val="right"/>
              <w:rPr>
                <w:sz w:val="15"/>
                <w:szCs w:val="15"/>
              </w:rPr>
            </w:pPr>
            <w:r w:rsidRPr="0085694C">
              <w:rPr>
                <w:sz w:val="15"/>
                <w:szCs w:val="15"/>
              </w:rPr>
              <w:t>9,698</w:t>
            </w:r>
          </w:p>
        </w:tc>
        <w:tc>
          <w:tcPr>
            <w:tcW w:w="615" w:type="pct"/>
            <w:tcBorders>
              <w:top w:val="nil"/>
              <w:left w:val="nil"/>
              <w:bottom w:val="nil"/>
              <w:right w:val="nil"/>
            </w:tcBorders>
            <w:shd w:val="clear" w:color="auto" w:fill="auto"/>
            <w:noWrap/>
            <w:vAlign w:val="bottom"/>
            <w:hideMark/>
          </w:tcPr>
          <w:p w14:paraId="75158D8F" w14:textId="77777777" w:rsidR="00833238" w:rsidRPr="0085694C" w:rsidRDefault="00833238" w:rsidP="00833238">
            <w:pPr>
              <w:jc w:val="right"/>
              <w:rPr>
                <w:sz w:val="15"/>
                <w:szCs w:val="15"/>
              </w:rPr>
            </w:pPr>
            <w:r w:rsidRPr="0085694C">
              <w:rPr>
                <w:sz w:val="15"/>
                <w:szCs w:val="15"/>
              </w:rPr>
              <w:t>1.5</w:t>
            </w:r>
          </w:p>
        </w:tc>
      </w:tr>
      <w:tr w:rsidR="006B42D6" w:rsidRPr="0085694C" w14:paraId="3584CB81" w14:textId="77777777" w:rsidTr="00563226">
        <w:trPr>
          <w:trHeight w:val="169"/>
        </w:trPr>
        <w:tc>
          <w:tcPr>
            <w:tcW w:w="771" w:type="pct"/>
            <w:tcBorders>
              <w:top w:val="nil"/>
              <w:left w:val="nil"/>
              <w:bottom w:val="nil"/>
              <w:right w:val="nil"/>
            </w:tcBorders>
            <w:shd w:val="clear" w:color="auto" w:fill="auto"/>
            <w:noWrap/>
            <w:vAlign w:val="center"/>
            <w:hideMark/>
          </w:tcPr>
          <w:p w14:paraId="1D4950C7" w14:textId="77777777" w:rsidR="00833238" w:rsidRPr="0085694C" w:rsidRDefault="00833238" w:rsidP="00833238">
            <w:pPr>
              <w:rPr>
                <w:sz w:val="15"/>
                <w:szCs w:val="15"/>
              </w:rPr>
            </w:pPr>
            <w:r w:rsidRPr="0085694C">
              <w:rPr>
                <w:sz w:val="15"/>
                <w:szCs w:val="15"/>
              </w:rPr>
              <w:t>Kagera</w:t>
            </w:r>
          </w:p>
        </w:tc>
        <w:tc>
          <w:tcPr>
            <w:tcW w:w="526" w:type="pct"/>
            <w:tcBorders>
              <w:top w:val="nil"/>
              <w:left w:val="single" w:sz="4" w:space="0" w:color="auto"/>
              <w:bottom w:val="nil"/>
              <w:right w:val="nil"/>
            </w:tcBorders>
            <w:shd w:val="clear" w:color="auto" w:fill="auto"/>
            <w:noWrap/>
            <w:vAlign w:val="bottom"/>
            <w:hideMark/>
          </w:tcPr>
          <w:p w14:paraId="20ACB1DE" w14:textId="77777777" w:rsidR="00833238" w:rsidRPr="0085694C" w:rsidRDefault="00833238" w:rsidP="00833238">
            <w:pPr>
              <w:jc w:val="right"/>
              <w:rPr>
                <w:sz w:val="15"/>
                <w:szCs w:val="15"/>
              </w:rPr>
            </w:pPr>
            <w:r w:rsidRPr="0085694C">
              <w:rPr>
                <w:sz w:val="15"/>
                <w:szCs w:val="15"/>
              </w:rPr>
              <w:t>33,775</w:t>
            </w:r>
          </w:p>
        </w:tc>
        <w:tc>
          <w:tcPr>
            <w:tcW w:w="279" w:type="pct"/>
            <w:tcBorders>
              <w:top w:val="nil"/>
              <w:left w:val="nil"/>
              <w:bottom w:val="nil"/>
              <w:right w:val="nil"/>
            </w:tcBorders>
            <w:shd w:val="clear" w:color="auto" w:fill="auto"/>
            <w:noWrap/>
            <w:vAlign w:val="bottom"/>
            <w:hideMark/>
          </w:tcPr>
          <w:p w14:paraId="1C3067BE" w14:textId="77777777" w:rsidR="00833238" w:rsidRPr="0085694C" w:rsidRDefault="00833238" w:rsidP="00833238">
            <w:pPr>
              <w:jc w:val="right"/>
              <w:rPr>
                <w:sz w:val="15"/>
                <w:szCs w:val="15"/>
              </w:rPr>
            </w:pPr>
            <w:r w:rsidRPr="0085694C">
              <w:rPr>
                <w:sz w:val="15"/>
                <w:szCs w:val="15"/>
              </w:rPr>
              <w:t>2.0</w:t>
            </w:r>
          </w:p>
        </w:tc>
        <w:tc>
          <w:tcPr>
            <w:tcW w:w="483" w:type="pct"/>
            <w:tcBorders>
              <w:top w:val="nil"/>
              <w:left w:val="single" w:sz="4" w:space="0" w:color="auto"/>
              <w:bottom w:val="nil"/>
              <w:right w:val="nil"/>
            </w:tcBorders>
            <w:shd w:val="clear" w:color="auto" w:fill="auto"/>
            <w:noWrap/>
            <w:vAlign w:val="bottom"/>
            <w:hideMark/>
          </w:tcPr>
          <w:p w14:paraId="0808B28D" w14:textId="77777777" w:rsidR="00833238" w:rsidRPr="0085694C" w:rsidRDefault="00833238" w:rsidP="00833238">
            <w:pPr>
              <w:jc w:val="right"/>
              <w:rPr>
                <w:sz w:val="15"/>
                <w:szCs w:val="15"/>
              </w:rPr>
            </w:pPr>
            <w:r w:rsidRPr="0085694C">
              <w:rPr>
                <w:sz w:val="15"/>
                <w:szCs w:val="15"/>
              </w:rPr>
              <w:t>103,655</w:t>
            </w:r>
          </w:p>
        </w:tc>
        <w:tc>
          <w:tcPr>
            <w:tcW w:w="569" w:type="pct"/>
            <w:tcBorders>
              <w:top w:val="nil"/>
              <w:left w:val="nil"/>
              <w:bottom w:val="nil"/>
              <w:right w:val="single" w:sz="4" w:space="0" w:color="auto"/>
            </w:tcBorders>
            <w:shd w:val="clear" w:color="auto" w:fill="auto"/>
            <w:noWrap/>
            <w:vAlign w:val="bottom"/>
            <w:hideMark/>
          </w:tcPr>
          <w:p w14:paraId="50B68C7C" w14:textId="77777777" w:rsidR="00833238" w:rsidRPr="0085694C" w:rsidRDefault="00833238" w:rsidP="00833238">
            <w:pPr>
              <w:jc w:val="right"/>
              <w:rPr>
                <w:sz w:val="15"/>
                <w:szCs w:val="15"/>
              </w:rPr>
            </w:pPr>
            <w:r w:rsidRPr="0085694C">
              <w:rPr>
                <w:sz w:val="15"/>
                <w:szCs w:val="15"/>
              </w:rPr>
              <w:t>5.7</w:t>
            </w:r>
          </w:p>
        </w:tc>
        <w:tc>
          <w:tcPr>
            <w:tcW w:w="542" w:type="pct"/>
            <w:tcBorders>
              <w:top w:val="nil"/>
              <w:left w:val="nil"/>
              <w:bottom w:val="nil"/>
              <w:right w:val="nil"/>
            </w:tcBorders>
            <w:shd w:val="clear" w:color="auto" w:fill="auto"/>
            <w:noWrap/>
            <w:vAlign w:val="bottom"/>
            <w:hideMark/>
          </w:tcPr>
          <w:p w14:paraId="063852E8" w14:textId="77777777" w:rsidR="00833238" w:rsidRPr="0085694C" w:rsidRDefault="00833238" w:rsidP="00833238">
            <w:pPr>
              <w:jc w:val="right"/>
              <w:rPr>
                <w:sz w:val="15"/>
                <w:szCs w:val="15"/>
              </w:rPr>
            </w:pPr>
            <w:r w:rsidRPr="0085694C">
              <w:rPr>
                <w:sz w:val="15"/>
                <w:szCs w:val="15"/>
              </w:rPr>
              <w:t>173,535</w:t>
            </w:r>
          </w:p>
        </w:tc>
        <w:tc>
          <w:tcPr>
            <w:tcW w:w="616" w:type="pct"/>
            <w:tcBorders>
              <w:top w:val="nil"/>
              <w:left w:val="nil"/>
              <w:bottom w:val="nil"/>
              <w:right w:val="nil"/>
            </w:tcBorders>
            <w:shd w:val="clear" w:color="auto" w:fill="auto"/>
            <w:noWrap/>
            <w:vAlign w:val="bottom"/>
            <w:hideMark/>
          </w:tcPr>
          <w:p w14:paraId="39D14A4D" w14:textId="77777777" w:rsidR="00833238" w:rsidRPr="0085694C" w:rsidRDefault="00833238" w:rsidP="00833238">
            <w:pPr>
              <w:jc w:val="right"/>
              <w:rPr>
                <w:sz w:val="15"/>
                <w:szCs w:val="15"/>
              </w:rPr>
            </w:pPr>
            <w:r w:rsidRPr="0085694C">
              <w:rPr>
                <w:sz w:val="15"/>
                <w:szCs w:val="15"/>
              </w:rPr>
              <w:t>4.6</w:t>
            </w:r>
          </w:p>
        </w:tc>
        <w:tc>
          <w:tcPr>
            <w:tcW w:w="598" w:type="pct"/>
            <w:tcBorders>
              <w:top w:val="nil"/>
              <w:left w:val="single" w:sz="4" w:space="0" w:color="auto"/>
              <w:bottom w:val="nil"/>
              <w:right w:val="nil"/>
            </w:tcBorders>
            <w:shd w:val="clear" w:color="auto" w:fill="auto"/>
            <w:noWrap/>
            <w:vAlign w:val="bottom"/>
            <w:hideMark/>
          </w:tcPr>
          <w:p w14:paraId="2D1C3268" w14:textId="77777777" w:rsidR="00833238" w:rsidRPr="0085694C" w:rsidRDefault="00833238" w:rsidP="00833238">
            <w:pPr>
              <w:jc w:val="right"/>
              <w:rPr>
                <w:sz w:val="15"/>
                <w:szCs w:val="15"/>
              </w:rPr>
            </w:pPr>
            <w:r w:rsidRPr="0085694C">
              <w:rPr>
                <w:sz w:val="15"/>
                <w:szCs w:val="15"/>
              </w:rPr>
              <w:t>-</w:t>
            </w:r>
          </w:p>
        </w:tc>
        <w:tc>
          <w:tcPr>
            <w:tcW w:w="615" w:type="pct"/>
            <w:tcBorders>
              <w:top w:val="nil"/>
              <w:left w:val="nil"/>
              <w:bottom w:val="nil"/>
              <w:right w:val="nil"/>
            </w:tcBorders>
            <w:shd w:val="clear" w:color="auto" w:fill="auto"/>
            <w:noWrap/>
            <w:vAlign w:val="bottom"/>
            <w:hideMark/>
          </w:tcPr>
          <w:p w14:paraId="2DC68FBB" w14:textId="77777777" w:rsidR="00833238" w:rsidRPr="0085694C" w:rsidRDefault="00833238" w:rsidP="00833238">
            <w:pPr>
              <w:jc w:val="right"/>
              <w:rPr>
                <w:sz w:val="15"/>
                <w:szCs w:val="15"/>
              </w:rPr>
            </w:pPr>
            <w:r w:rsidRPr="0085694C">
              <w:rPr>
                <w:sz w:val="15"/>
                <w:szCs w:val="15"/>
              </w:rPr>
              <w:t>-</w:t>
            </w:r>
          </w:p>
        </w:tc>
      </w:tr>
      <w:tr w:rsidR="006B42D6" w:rsidRPr="0085694C" w14:paraId="27916058" w14:textId="77777777" w:rsidTr="00563226">
        <w:trPr>
          <w:trHeight w:val="169"/>
        </w:trPr>
        <w:tc>
          <w:tcPr>
            <w:tcW w:w="771" w:type="pct"/>
            <w:tcBorders>
              <w:top w:val="nil"/>
              <w:left w:val="nil"/>
              <w:bottom w:val="nil"/>
              <w:right w:val="nil"/>
            </w:tcBorders>
            <w:shd w:val="clear" w:color="auto" w:fill="auto"/>
            <w:noWrap/>
            <w:vAlign w:val="center"/>
            <w:hideMark/>
          </w:tcPr>
          <w:p w14:paraId="427FF425" w14:textId="77777777" w:rsidR="00833238" w:rsidRPr="0085694C" w:rsidRDefault="00833238" w:rsidP="00833238">
            <w:pPr>
              <w:rPr>
                <w:sz w:val="15"/>
                <w:szCs w:val="15"/>
              </w:rPr>
            </w:pPr>
            <w:r w:rsidRPr="0085694C">
              <w:rPr>
                <w:sz w:val="15"/>
                <w:szCs w:val="15"/>
              </w:rPr>
              <w:t>Mwanza</w:t>
            </w:r>
          </w:p>
        </w:tc>
        <w:tc>
          <w:tcPr>
            <w:tcW w:w="526" w:type="pct"/>
            <w:tcBorders>
              <w:top w:val="nil"/>
              <w:left w:val="single" w:sz="4" w:space="0" w:color="auto"/>
              <w:bottom w:val="nil"/>
              <w:right w:val="nil"/>
            </w:tcBorders>
            <w:shd w:val="clear" w:color="auto" w:fill="auto"/>
            <w:noWrap/>
            <w:vAlign w:val="bottom"/>
            <w:hideMark/>
          </w:tcPr>
          <w:p w14:paraId="41C618F1" w14:textId="77777777" w:rsidR="00833238" w:rsidRPr="0085694C" w:rsidRDefault="00833238" w:rsidP="00833238">
            <w:pPr>
              <w:jc w:val="right"/>
              <w:rPr>
                <w:sz w:val="15"/>
                <w:szCs w:val="15"/>
              </w:rPr>
            </w:pPr>
            <w:r w:rsidRPr="0085694C">
              <w:rPr>
                <w:sz w:val="15"/>
                <w:szCs w:val="15"/>
              </w:rPr>
              <w:t>20,975</w:t>
            </w:r>
          </w:p>
        </w:tc>
        <w:tc>
          <w:tcPr>
            <w:tcW w:w="279" w:type="pct"/>
            <w:tcBorders>
              <w:top w:val="nil"/>
              <w:left w:val="nil"/>
              <w:bottom w:val="nil"/>
              <w:right w:val="nil"/>
            </w:tcBorders>
            <w:shd w:val="clear" w:color="auto" w:fill="auto"/>
            <w:noWrap/>
            <w:vAlign w:val="bottom"/>
            <w:hideMark/>
          </w:tcPr>
          <w:p w14:paraId="67B7A5CC" w14:textId="77777777" w:rsidR="00833238" w:rsidRPr="0085694C" w:rsidRDefault="00833238" w:rsidP="00833238">
            <w:pPr>
              <w:jc w:val="right"/>
              <w:rPr>
                <w:sz w:val="15"/>
                <w:szCs w:val="15"/>
              </w:rPr>
            </w:pPr>
            <w:r w:rsidRPr="0085694C">
              <w:rPr>
                <w:sz w:val="15"/>
                <w:szCs w:val="15"/>
              </w:rPr>
              <w:t>1.2</w:t>
            </w:r>
          </w:p>
        </w:tc>
        <w:tc>
          <w:tcPr>
            <w:tcW w:w="483" w:type="pct"/>
            <w:tcBorders>
              <w:top w:val="nil"/>
              <w:left w:val="single" w:sz="4" w:space="0" w:color="auto"/>
              <w:bottom w:val="nil"/>
              <w:right w:val="nil"/>
            </w:tcBorders>
            <w:shd w:val="clear" w:color="auto" w:fill="auto"/>
            <w:noWrap/>
            <w:vAlign w:val="bottom"/>
            <w:hideMark/>
          </w:tcPr>
          <w:p w14:paraId="0B60718F" w14:textId="77777777" w:rsidR="00833238" w:rsidRPr="0085694C" w:rsidRDefault="00833238" w:rsidP="00833238">
            <w:pPr>
              <w:jc w:val="right"/>
              <w:rPr>
                <w:sz w:val="15"/>
                <w:szCs w:val="15"/>
              </w:rPr>
            </w:pPr>
            <w:r w:rsidRPr="0085694C">
              <w:rPr>
                <w:sz w:val="15"/>
                <w:szCs w:val="15"/>
              </w:rPr>
              <w:t>50,656</w:t>
            </w:r>
          </w:p>
        </w:tc>
        <w:tc>
          <w:tcPr>
            <w:tcW w:w="569" w:type="pct"/>
            <w:tcBorders>
              <w:top w:val="nil"/>
              <w:left w:val="nil"/>
              <w:bottom w:val="nil"/>
              <w:right w:val="single" w:sz="4" w:space="0" w:color="auto"/>
            </w:tcBorders>
            <w:shd w:val="clear" w:color="auto" w:fill="auto"/>
            <w:noWrap/>
            <w:vAlign w:val="bottom"/>
            <w:hideMark/>
          </w:tcPr>
          <w:p w14:paraId="0DF12463" w14:textId="77777777" w:rsidR="00833238" w:rsidRPr="0085694C" w:rsidRDefault="00833238" w:rsidP="00833238">
            <w:pPr>
              <w:jc w:val="right"/>
              <w:rPr>
                <w:sz w:val="15"/>
                <w:szCs w:val="15"/>
              </w:rPr>
            </w:pPr>
            <w:r w:rsidRPr="0085694C">
              <w:rPr>
                <w:sz w:val="15"/>
                <w:szCs w:val="15"/>
              </w:rPr>
              <w:t>2.8</w:t>
            </w:r>
          </w:p>
        </w:tc>
        <w:tc>
          <w:tcPr>
            <w:tcW w:w="542" w:type="pct"/>
            <w:tcBorders>
              <w:top w:val="nil"/>
              <w:left w:val="nil"/>
              <w:bottom w:val="nil"/>
              <w:right w:val="nil"/>
            </w:tcBorders>
            <w:shd w:val="clear" w:color="auto" w:fill="auto"/>
            <w:noWrap/>
            <w:vAlign w:val="bottom"/>
            <w:hideMark/>
          </w:tcPr>
          <w:p w14:paraId="770DAE99" w14:textId="77777777" w:rsidR="00833238" w:rsidRPr="0085694C" w:rsidRDefault="00833238" w:rsidP="00833238">
            <w:pPr>
              <w:jc w:val="right"/>
              <w:rPr>
                <w:sz w:val="15"/>
                <w:szCs w:val="15"/>
              </w:rPr>
            </w:pPr>
            <w:r w:rsidRPr="0085694C">
              <w:rPr>
                <w:sz w:val="15"/>
                <w:szCs w:val="15"/>
              </w:rPr>
              <w:t>306,707</w:t>
            </w:r>
          </w:p>
        </w:tc>
        <w:tc>
          <w:tcPr>
            <w:tcW w:w="616" w:type="pct"/>
            <w:tcBorders>
              <w:top w:val="nil"/>
              <w:left w:val="nil"/>
              <w:bottom w:val="nil"/>
              <w:right w:val="nil"/>
            </w:tcBorders>
            <w:shd w:val="clear" w:color="auto" w:fill="auto"/>
            <w:noWrap/>
            <w:vAlign w:val="bottom"/>
            <w:hideMark/>
          </w:tcPr>
          <w:p w14:paraId="62F00C1B" w14:textId="77777777" w:rsidR="00833238" w:rsidRPr="0085694C" w:rsidRDefault="00833238" w:rsidP="00833238">
            <w:pPr>
              <w:jc w:val="right"/>
              <w:rPr>
                <w:sz w:val="15"/>
                <w:szCs w:val="15"/>
              </w:rPr>
            </w:pPr>
            <w:r w:rsidRPr="0085694C">
              <w:rPr>
                <w:sz w:val="15"/>
                <w:szCs w:val="15"/>
              </w:rPr>
              <w:t>8.0</w:t>
            </w:r>
          </w:p>
        </w:tc>
        <w:tc>
          <w:tcPr>
            <w:tcW w:w="598" w:type="pct"/>
            <w:tcBorders>
              <w:top w:val="nil"/>
              <w:left w:val="single" w:sz="4" w:space="0" w:color="auto"/>
              <w:bottom w:val="nil"/>
              <w:right w:val="nil"/>
            </w:tcBorders>
            <w:shd w:val="clear" w:color="auto" w:fill="auto"/>
            <w:noWrap/>
            <w:vAlign w:val="bottom"/>
            <w:hideMark/>
          </w:tcPr>
          <w:p w14:paraId="2E0D50A2" w14:textId="77777777" w:rsidR="00833238" w:rsidRPr="0085694C" w:rsidRDefault="00833238" w:rsidP="00833238">
            <w:pPr>
              <w:jc w:val="right"/>
              <w:rPr>
                <w:sz w:val="15"/>
                <w:szCs w:val="15"/>
              </w:rPr>
            </w:pPr>
            <w:r w:rsidRPr="0085694C">
              <w:rPr>
                <w:sz w:val="15"/>
                <w:szCs w:val="15"/>
              </w:rPr>
              <w:t>9,498</w:t>
            </w:r>
          </w:p>
        </w:tc>
        <w:tc>
          <w:tcPr>
            <w:tcW w:w="615" w:type="pct"/>
            <w:tcBorders>
              <w:top w:val="nil"/>
              <w:left w:val="nil"/>
              <w:bottom w:val="nil"/>
              <w:right w:val="nil"/>
            </w:tcBorders>
            <w:shd w:val="clear" w:color="auto" w:fill="auto"/>
            <w:noWrap/>
            <w:vAlign w:val="bottom"/>
            <w:hideMark/>
          </w:tcPr>
          <w:p w14:paraId="4FDB351C" w14:textId="77777777" w:rsidR="00833238" w:rsidRPr="0085694C" w:rsidRDefault="00833238" w:rsidP="00833238">
            <w:pPr>
              <w:jc w:val="right"/>
              <w:rPr>
                <w:sz w:val="15"/>
                <w:szCs w:val="15"/>
              </w:rPr>
            </w:pPr>
            <w:r w:rsidRPr="0085694C">
              <w:rPr>
                <w:sz w:val="15"/>
                <w:szCs w:val="15"/>
              </w:rPr>
              <w:t>1.5</w:t>
            </w:r>
          </w:p>
        </w:tc>
      </w:tr>
      <w:tr w:rsidR="006B42D6" w:rsidRPr="0085694C" w14:paraId="63DD6DA6" w14:textId="77777777" w:rsidTr="00563226">
        <w:trPr>
          <w:trHeight w:val="174"/>
        </w:trPr>
        <w:tc>
          <w:tcPr>
            <w:tcW w:w="771" w:type="pct"/>
            <w:tcBorders>
              <w:top w:val="nil"/>
              <w:left w:val="nil"/>
              <w:bottom w:val="nil"/>
              <w:right w:val="nil"/>
            </w:tcBorders>
            <w:shd w:val="clear" w:color="auto" w:fill="auto"/>
            <w:noWrap/>
            <w:vAlign w:val="center"/>
            <w:hideMark/>
          </w:tcPr>
          <w:p w14:paraId="0F29DC66" w14:textId="77777777" w:rsidR="00833238" w:rsidRPr="0085694C" w:rsidRDefault="00833238" w:rsidP="00833238">
            <w:pPr>
              <w:rPr>
                <w:sz w:val="15"/>
                <w:szCs w:val="15"/>
              </w:rPr>
            </w:pPr>
            <w:r w:rsidRPr="0085694C">
              <w:rPr>
                <w:sz w:val="15"/>
                <w:szCs w:val="15"/>
              </w:rPr>
              <w:t>Mara</w:t>
            </w:r>
          </w:p>
        </w:tc>
        <w:tc>
          <w:tcPr>
            <w:tcW w:w="526" w:type="pct"/>
            <w:tcBorders>
              <w:top w:val="nil"/>
              <w:left w:val="single" w:sz="4" w:space="0" w:color="auto"/>
              <w:bottom w:val="nil"/>
              <w:right w:val="nil"/>
            </w:tcBorders>
            <w:shd w:val="clear" w:color="auto" w:fill="auto"/>
            <w:noWrap/>
            <w:vAlign w:val="bottom"/>
            <w:hideMark/>
          </w:tcPr>
          <w:p w14:paraId="53F8F305" w14:textId="77777777" w:rsidR="00833238" w:rsidRPr="0085694C" w:rsidRDefault="00833238" w:rsidP="00833238">
            <w:pPr>
              <w:jc w:val="right"/>
              <w:rPr>
                <w:sz w:val="15"/>
                <w:szCs w:val="15"/>
              </w:rPr>
            </w:pPr>
            <w:r w:rsidRPr="0085694C">
              <w:rPr>
                <w:sz w:val="15"/>
                <w:szCs w:val="15"/>
              </w:rPr>
              <w:t>93,571</w:t>
            </w:r>
          </w:p>
        </w:tc>
        <w:tc>
          <w:tcPr>
            <w:tcW w:w="279" w:type="pct"/>
            <w:tcBorders>
              <w:top w:val="nil"/>
              <w:left w:val="nil"/>
              <w:bottom w:val="nil"/>
              <w:right w:val="nil"/>
            </w:tcBorders>
            <w:shd w:val="clear" w:color="auto" w:fill="auto"/>
            <w:noWrap/>
            <w:vAlign w:val="bottom"/>
            <w:hideMark/>
          </w:tcPr>
          <w:p w14:paraId="108FE8FA" w14:textId="77777777" w:rsidR="00833238" w:rsidRPr="0085694C" w:rsidRDefault="00833238" w:rsidP="00833238">
            <w:pPr>
              <w:jc w:val="right"/>
              <w:rPr>
                <w:sz w:val="15"/>
                <w:szCs w:val="15"/>
              </w:rPr>
            </w:pPr>
            <w:r w:rsidRPr="0085694C">
              <w:rPr>
                <w:sz w:val="15"/>
                <w:szCs w:val="15"/>
              </w:rPr>
              <w:t>5.6</w:t>
            </w:r>
          </w:p>
        </w:tc>
        <w:tc>
          <w:tcPr>
            <w:tcW w:w="483" w:type="pct"/>
            <w:tcBorders>
              <w:top w:val="nil"/>
              <w:left w:val="single" w:sz="4" w:space="0" w:color="auto"/>
              <w:bottom w:val="nil"/>
              <w:right w:val="nil"/>
            </w:tcBorders>
            <w:shd w:val="clear" w:color="auto" w:fill="auto"/>
            <w:noWrap/>
            <w:vAlign w:val="bottom"/>
            <w:hideMark/>
          </w:tcPr>
          <w:p w14:paraId="7BE97058" w14:textId="77777777" w:rsidR="00833238" w:rsidRPr="0085694C" w:rsidRDefault="00833238" w:rsidP="00833238">
            <w:pPr>
              <w:jc w:val="right"/>
              <w:rPr>
                <w:sz w:val="15"/>
                <w:szCs w:val="15"/>
              </w:rPr>
            </w:pPr>
            <w:r w:rsidRPr="0085694C">
              <w:rPr>
                <w:sz w:val="15"/>
                <w:szCs w:val="15"/>
              </w:rPr>
              <w:t>143,678</w:t>
            </w:r>
          </w:p>
        </w:tc>
        <w:tc>
          <w:tcPr>
            <w:tcW w:w="569" w:type="pct"/>
            <w:tcBorders>
              <w:top w:val="nil"/>
              <w:left w:val="nil"/>
              <w:bottom w:val="nil"/>
              <w:right w:val="single" w:sz="4" w:space="0" w:color="auto"/>
            </w:tcBorders>
            <w:shd w:val="clear" w:color="auto" w:fill="auto"/>
            <w:noWrap/>
            <w:vAlign w:val="bottom"/>
            <w:hideMark/>
          </w:tcPr>
          <w:p w14:paraId="4587E2A5" w14:textId="77777777" w:rsidR="00833238" w:rsidRPr="0085694C" w:rsidRDefault="00833238" w:rsidP="00833238">
            <w:pPr>
              <w:jc w:val="right"/>
              <w:rPr>
                <w:sz w:val="15"/>
                <w:szCs w:val="15"/>
              </w:rPr>
            </w:pPr>
            <w:r w:rsidRPr="0085694C">
              <w:rPr>
                <w:sz w:val="15"/>
                <w:szCs w:val="15"/>
              </w:rPr>
              <w:t>8.0</w:t>
            </w:r>
          </w:p>
        </w:tc>
        <w:tc>
          <w:tcPr>
            <w:tcW w:w="542" w:type="pct"/>
            <w:tcBorders>
              <w:top w:val="nil"/>
              <w:left w:val="nil"/>
              <w:bottom w:val="nil"/>
              <w:right w:val="nil"/>
            </w:tcBorders>
            <w:shd w:val="clear" w:color="auto" w:fill="auto"/>
            <w:noWrap/>
            <w:vAlign w:val="bottom"/>
            <w:hideMark/>
          </w:tcPr>
          <w:p w14:paraId="090EA564" w14:textId="77777777" w:rsidR="00833238" w:rsidRPr="0085694C" w:rsidRDefault="00833238" w:rsidP="00833238">
            <w:pPr>
              <w:jc w:val="right"/>
              <w:rPr>
                <w:sz w:val="15"/>
                <w:szCs w:val="15"/>
              </w:rPr>
            </w:pPr>
            <w:r w:rsidRPr="0085694C">
              <w:rPr>
                <w:sz w:val="15"/>
                <w:szCs w:val="15"/>
              </w:rPr>
              <w:t>550,629</w:t>
            </w:r>
          </w:p>
        </w:tc>
        <w:tc>
          <w:tcPr>
            <w:tcW w:w="616" w:type="pct"/>
            <w:tcBorders>
              <w:top w:val="nil"/>
              <w:left w:val="nil"/>
              <w:bottom w:val="nil"/>
              <w:right w:val="nil"/>
            </w:tcBorders>
            <w:shd w:val="clear" w:color="auto" w:fill="auto"/>
            <w:noWrap/>
            <w:vAlign w:val="bottom"/>
            <w:hideMark/>
          </w:tcPr>
          <w:p w14:paraId="11EBB1D1" w14:textId="77777777" w:rsidR="00833238" w:rsidRPr="0085694C" w:rsidRDefault="00833238" w:rsidP="00833238">
            <w:pPr>
              <w:jc w:val="right"/>
              <w:rPr>
                <w:sz w:val="15"/>
                <w:szCs w:val="15"/>
              </w:rPr>
            </w:pPr>
            <w:r w:rsidRPr="0085694C">
              <w:rPr>
                <w:sz w:val="15"/>
                <w:szCs w:val="15"/>
              </w:rPr>
              <w:t>14.4</w:t>
            </w:r>
          </w:p>
        </w:tc>
        <w:tc>
          <w:tcPr>
            <w:tcW w:w="598" w:type="pct"/>
            <w:tcBorders>
              <w:top w:val="nil"/>
              <w:left w:val="single" w:sz="4" w:space="0" w:color="auto"/>
              <w:bottom w:val="nil"/>
              <w:right w:val="nil"/>
            </w:tcBorders>
            <w:shd w:val="clear" w:color="auto" w:fill="auto"/>
            <w:noWrap/>
            <w:vAlign w:val="bottom"/>
            <w:hideMark/>
          </w:tcPr>
          <w:p w14:paraId="1A115327" w14:textId="77777777" w:rsidR="00833238" w:rsidRPr="0085694C" w:rsidRDefault="00833238" w:rsidP="00833238">
            <w:pPr>
              <w:jc w:val="right"/>
              <w:rPr>
                <w:sz w:val="15"/>
                <w:szCs w:val="15"/>
              </w:rPr>
            </w:pPr>
            <w:r w:rsidRPr="0085694C">
              <w:rPr>
                <w:sz w:val="15"/>
                <w:szCs w:val="15"/>
              </w:rPr>
              <w:t>11,073</w:t>
            </w:r>
          </w:p>
        </w:tc>
        <w:tc>
          <w:tcPr>
            <w:tcW w:w="615" w:type="pct"/>
            <w:tcBorders>
              <w:top w:val="nil"/>
              <w:left w:val="nil"/>
              <w:bottom w:val="nil"/>
              <w:right w:val="nil"/>
            </w:tcBorders>
            <w:shd w:val="clear" w:color="auto" w:fill="auto"/>
            <w:noWrap/>
            <w:vAlign w:val="bottom"/>
            <w:hideMark/>
          </w:tcPr>
          <w:p w14:paraId="25AFC9CC" w14:textId="77777777" w:rsidR="00833238" w:rsidRPr="0085694C" w:rsidRDefault="00833238" w:rsidP="00833238">
            <w:pPr>
              <w:jc w:val="right"/>
              <w:rPr>
                <w:sz w:val="15"/>
                <w:szCs w:val="15"/>
              </w:rPr>
            </w:pPr>
            <w:r w:rsidRPr="0085694C">
              <w:rPr>
                <w:sz w:val="15"/>
                <w:szCs w:val="15"/>
              </w:rPr>
              <w:t>1.7</w:t>
            </w:r>
          </w:p>
        </w:tc>
      </w:tr>
      <w:tr w:rsidR="006B42D6" w:rsidRPr="0085694C" w14:paraId="21227279" w14:textId="77777777" w:rsidTr="00563226">
        <w:trPr>
          <w:trHeight w:val="169"/>
        </w:trPr>
        <w:tc>
          <w:tcPr>
            <w:tcW w:w="771" w:type="pct"/>
            <w:tcBorders>
              <w:top w:val="nil"/>
              <w:left w:val="nil"/>
              <w:bottom w:val="nil"/>
              <w:right w:val="nil"/>
            </w:tcBorders>
            <w:shd w:val="clear" w:color="auto" w:fill="auto"/>
            <w:noWrap/>
            <w:vAlign w:val="center"/>
            <w:hideMark/>
          </w:tcPr>
          <w:p w14:paraId="40C471A4" w14:textId="77777777" w:rsidR="00833238" w:rsidRPr="0085694C" w:rsidRDefault="00833238" w:rsidP="00833238">
            <w:pPr>
              <w:rPr>
                <w:sz w:val="15"/>
                <w:szCs w:val="15"/>
              </w:rPr>
            </w:pPr>
            <w:r w:rsidRPr="0085694C">
              <w:rPr>
                <w:sz w:val="15"/>
                <w:szCs w:val="15"/>
              </w:rPr>
              <w:t>Manyara</w:t>
            </w:r>
          </w:p>
        </w:tc>
        <w:tc>
          <w:tcPr>
            <w:tcW w:w="526" w:type="pct"/>
            <w:tcBorders>
              <w:top w:val="nil"/>
              <w:left w:val="single" w:sz="4" w:space="0" w:color="auto"/>
              <w:bottom w:val="nil"/>
              <w:right w:val="nil"/>
            </w:tcBorders>
            <w:shd w:val="clear" w:color="auto" w:fill="auto"/>
            <w:noWrap/>
            <w:vAlign w:val="bottom"/>
            <w:hideMark/>
          </w:tcPr>
          <w:p w14:paraId="4B486F7A" w14:textId="77777777" w:rsidR="00833238" w:rsidRPr="0085694C" w:rsidRDefault="00833238" w:rsidP="00833238">
            <w:pPr>
              <w:jc w:val="right"/>
              <w:rPr>
                <w:sz w:val="15"/>
                <w:szCs w:val="15"/>
              </w:rPr>
            </w:pPr>
            <w:r w:rsidRPr="0085694C">
              <w:rPr>
                <w:sz w:val="15"/>
                <w:szCs w:val="15"/>
              </w:rPr>
              <w:t>171,005</w:t>
            </w:r>
          </w:p>
        </w:tc>
        <w:tc>
          <w:tcPr>
            <w:tcW w:w="279" w:type="pct"/>
            <w:tcBorders>
              <w:top w:val="nil"/>
              <w:left w:val="nil"/>
              <w:bottom w:val="nil"/>
              <w:right w:val="nil"/>
            </w:tcBorders>
            <w:shd w:val="clear" w:color="auto" w:fill="auto"/>
            <w:noWrap/>
            <w:vAlign w:val="bottom"/>
            <w:hideMark/>
          </w:tcPr>
          <w:p w14:paraId="34E97F6D" w14:textId="77777777" w:rsidR="00833238" w:rsidRPr="0085694C" w:rsidRDefault="00833238" w:rsidP="00833238">
            <w:pPr>
              <w:jc w:val="right"/>
              <w:rPr>
                <w:sz w:val="15"/>
                <w:szCs w:val="15"/>
              </w:rPr>
            </w:pPr>
            <w:r w:rsidRPr="0085694C">
              <w:rPr>
                <w:sz w:val="15"/>
                <w:szCs w:val="15"/>
              </w:rPr>
              <w:t>10.2</w:t>
            </w:r>
          </w:p>
        </w:tc>
        <w:tc>
          <w:tcPr>
            <w:tcW w:w="483" w:type="pct"/>
            <w:tcBorders>
              <w:top w:val="nil"/>
              <w:left w:val="single" w:sz="4" w:space="0" w:color="auto"/>
              <w:bottom w:val="nil"/>
              <w:right w:val="nil"/>
            </w:tcBorders>
            <w:shd w:val="clear" w:color="auto" w:fill="auto"/>
            <w:noWrap/>
            <w:vAlign w:val="bottom"/>
            <w:hideMark/>
          </w:tcPr>
          <w:p w14:paraId="7CCA45D8" w14:textId="77777777" w:rsidR="00833238" w:rsidRPr="0085694C" w:rsidRDefault="00833238" w:rsidP="00833238">
            <w:pPr>
              <w:jc w:val="right"/>
              <w:rPr>
                <w:sz w:val="15"/>
                <w:szCs w:val="15"/>
              </w:rPr>
            </w:pPr>
            <w:r w:rsidRPr="0085694C">
              <w:rPr>
                <w:sz w:val="15"/>
                <w:szCs w:val="15"/>
              </w:rPr>
              <w:t>184,474</w:t>
            </w:r>
          </w:p>
        </w:tc>
        <w:tc>
          <w:tcPr>
            <w:tcW w:w="569" w:type="pct"/>
            <w:tcBorders>
              <w:top w:val="nil"/>
              <w:left w:val="nil"/>
              <w:bottom w:val="nil"/>
              <w:right w:val="single" w:sz="4" w:space="0" w:color="auto"/>
            </w:tcBorders>
            <w:shd w:val="clear" w:color="auto" w:fill="auto"/>
            <w:noWrap/>
            <w:vAlign w:val="bottom"/>
            <w:hideMark/>
          </w:tcPr>
          <w:p w14:paraId="76E67A15" w14:textId="77777777" w:rsidR="00833238" w:rsidRPr="0085694C" w:rsidRDefault="00833238" w:rsidP="00833238">
            <w:pPr>
              <w:jc w:val="right"/>
              <w:rPr>
                <w:sz w:val="15"/>
                <w:szCs w:val="15"/>
              </w:rPr>
            </w:pPr>
            <w:r w:rsidRPr="0085694C">
              <w:rPr>
                <w:sz w:val="15"/>
                <w:szCs w:val="15"/>
              </w:rPr>
              <w:t>10.2</w:t>
            </w:r>
          </w:p>
        </w:tc>
        <w:tc>
          <w:tcPr>
            <w:tcW w:w="542" w:type="pct"/>
            <w:tcBorders>
              <w:top w:val="nil"/>
              <w:left w:val="nil"/>
              <w:bottom w:val="nil"/>
              <w:right w:val="nil"/>
            </w:tcBorders>
            <w:shd w:val="clear" w:color="auto" w:fill="auto"/>
            <w:noWrap/>
            <w:vAlign w:val="bottom"/>
            <w:hideMark/>
          </w:tcPr>
          <w:p w14:paraId="02E67955" w14:textId="77777777" w:rsidR="00833238" w:rsidRPr="0085694C" w:rsidRDefault="00833238" w:rsidP="00833238">
            <w:pPr>
              <w:jc w:val="right"/>
              <w:rPr>
                <w:sz w:val="15"/>
                <w:szCs w:val="15"/>
              </w:rPr>
            </w:pPr>
            <w:r w:rsidRPr="0085694C">
              <w:rPr>
                <w:sz w:val="15"/>
                <w:szCs w:val="15"/>
              </w:rPr>
              <w:t>202,512</w:t>
            </w:r>
          </w:p>
        </w:tc>
        <w:tc>
          <w:tcPr>
            <w:tcW w:w="616" w:type="pct"/>
            <w:tcBorders>
              <w:top w:val="nil"/>
              <w:left w:val="nil"/>
              <w:bottom w:val="nil"/>
              <w:right w:val="nil"/>
            </w:tcBorders>
            <w:shd w:val="clear" w:color="auto" w:fill="auto"/>
            <w:noWrap/>
            <w:vAlign w:val="bottom"/>
            <w:hideMark/>
          </w:tcPr>
          <w:p w14:paraId="5EC9758A" w14:textId="77777777" w:rsidR="00833238" w:rsidRPr="0085694C" w:rsidRDefault="00833238" w:rsidP="00833238">
            <w:pPr>
              <w:jc w:val="right"/>
              <w:rPr>
                <w:sz w:val="15"/>
                <w:szCs w:val="15"/>
              </w:rPr>
            </w:pPr>
            <w:r w:rsidRPr="0085694C">
              <w:rPr>
                <w:sz w:val="15"/>
                <w:szCs w:val="15"/>
              </w:rPr>
              <w:t>5.3</w:t>
            </w:r>
          </w:p>
        </w:tc>
        <w:tc>
          <w:tcPr>
            <w:tcW w:w="598" w:type="pct"/>
            <w:tcBorders>
              <w:top w:val="nil"/>
              <w:left w:val="single" w:sz="4" w:space="0" w:color="auto"/>
              <w:bottom w:val="nil"/>
              <w:right w:val="nil"/>
            </w:tcBorders>
            <w:shd w:val="clear" w:color="auto" w:fill="auto"/>
            <w:noWrap/>
            <w:vAlign w:val="bottom"/>
            <w:hideMark/>
          </w:tcPr>
          <w:p w14:paraId="71AF09CC" w14:textId="77777777" w:rsidR="00833238" w:rsidRPr="0085694C" w:rsidRDefault="00833238" w:rsidP="00833238">
            <w:pPr>
              <w:jc w:val="right"/>
              <w:rPr>
                <w:sz w:val="15"/>
                <w:szCs w:val="15"/>
              </w:rPr>
            </w:pPr>
            <w:r w:rsidRPr="0085694C">
              <w:rPr>
                <w:sz w:val="15"/>
                <w:szCs w:val="15"/>
              </w:rPr>
              <w:t>8,899</w:t>
            </w:r>
          </w:p>
        </w:tc>
        <w:tc>
          <w:tcPr>
            <w:tcW w:w="615" w:type="pct"/>
            <w:tcBorders>
              <w:top w:val="nil"/>
              <w:left w:val="nil"/>
              <w:bottom w:val="nil"/>
              <w:right w:val="nil"/>
            </w:tcBorders>
            <w:shd w:val="clear" w:color="auto" w:fill="auto"/>
            <w:noWrap/>
            <w:vAlign w:val="bottom"/>
            <w:hideMark/>
          </w:tcPr>
          <w:p w14:paraId="6317BFB5" w14:textId="77777777" w:rsidR="00833238" w:rsidRPr="0085694C" w:rsidRDefault="00833238" w:rsidP="00833238">
            <w:pPr>
              <w:jc w:val="right"/>
              <w:rPr>
                <w:sz w:val="15"/>
                <w:szCs w:val="15"/>
              </w:rPr>
            </w:pPr>
            <w:r w:rsidRPr="0085694C">
              <w:rPr>
                <w:sz w:val="15"/>
                <w:szCs w:val="15"/>
              </w:rPr>
              <w:t>1.4</w:t>
            </w:r>
          </w:p>
        </w:tc>
      </w:tr>
      <w:tr w:rsidR="006B42D6" w:rsidRPr="0085694C" w14:paraId="6A73F2D8" w14:textId="77777777" w:rsidTr="00563226">
        <w:trPr>
          <w:trHeight w:val="169"/>
        </w:trPr>
        <w:tc>
          <w:tcPr>
            <w:tcW w:w="771" w:type="pct"/>
            <w:tcBorders>
              <w:top w:val="nil"/>
              <w:left w:val="nil"/>
              <w:bottom w:val="nil"/>
              <w:right w:val="nil"/>
            </w:tcBorders>
            <w:shd w:val="clear" w:color="auto" w:fill="auto"/>
            <w:noWrap/>
            <w:vAlign w:val="center"/>
            <w:hideMark/>
          </w:tcPr>
          <w:p w14:paraId="418E5F21" w14:textId="77777777" w:rsidR="00833238" w:rsidRPr="0085694C" w:rsidRDefault="00833238" w:rsidP="00833238">
            <w:pPr>
              <w:rPr>
                <w:sz w:val="15"/>
                <w:szCs w:val="15"/>
              </w:rPr>
            </w:pPr>
            <w:r w:rsidRPr="0085694C">
              <w:rPr>
                <w:sz w:val="15"/>
                <w:szCs w:val="15"/>
              </w:rPr>
              <w:t>Njombe</w:t>
            </w:r>
          </w:p>
        </w:tc>
        <w:tc>
          <w:tcPr>
            <w:tcW w:w="526" w:type="pct"/>
            <w:tcBorders>
              <w:top w:val="nil"/>
              <w:left w:val="single" w:sz="4" w:space="0" w:color="auto"/>
              <w:bottom w:val="nil"/>
              <w:right w:val="nil"/>
            </w:tcBorders>
            <w:shd w:val="clear" w:color="auto" w:fill="auto"/>
            <w:noWrap/>
            <w:vAlign w:val="bottom"/>
            <w:hideMark/>
          </w:tcPr>
          <w:p w14:paraId="0DE4404B" w14:textId="77777777" w:rsidR="00833238" w:rsidRPr="0085694C" w:rsidRDefault="00833238" w:rsidP="00833238">
            <w:pPr>
              <w:jc w:val="right"/>
              <w:rPr>
                <w:sz w:val="15"/>
                <w:szCs w:val="15"/>
              </w:rPr>
            </w:pPr>
            <w:r w:rsidRPr="0085694C">
              <w:rPr>
                <w:sz w:val="15"/>
                <w:szCs w:val="15"/>
              </w:rPr>
              <w:t>774</w:t>
            </w:r>
          </w:p>
        </w:tc>
        <w:tc>
          <w:tcPr>
            <w:tcW w:w="279" w:type="pct"/>
            <w:tcBorders>
              <w:top w:val="nil"/>
              <w:left w:val="nil"/>
              <w:bottom w:val="nil"/>
              <w:right w:val="nil"/>
            </w:tcBorders>
            <w:shd w:val="clear" w:color="auto" w:fill="auto"/>
            <w:noWrap/>
            <w:vAlign w:val="bottom"/>
            <w:hideMark/>
          </w:tcPr>
          <w:p w14:paraId="088345C8" w14:textId="77777777" w:rsidR="00833238" w:rsidRPr="0085694C" w:rsidRDefault="00833238" w:rsidP="00833238">
            <w:pPr>
              <w:jc w:val="right"/>
              <w:rPr>
                <w:sz w:val="15"/>
                <w:szCs w:val="15"/>
              </w:rPr>
            </w:pPr>
            <w:r w:rsidRPr="0085694C">
              <w:rPr>
                <w:sz w:val="15"/>
                <w:szCs w:val="15"/>
              </w:rPr>
              <w:t>0.0</w:t>
            </w:r>
          </w:p>
        </w:tc>
        <w:tc>
          <w:tcPr>
            <w:tcW w:w="483" w:type="pct"/>
            <w:tcBorders>
              <w:top w:val="nil"/>
              <w:left w:val="single" w:sz="4" w:space="0" w:color="auto"/>
              <w:bottom w:val="nil"/>
              <w:right w:val="nil"/>
            </w:tcBorders>
            <w:shd w:val="clear" w:color="auto" w:fill="auto"/>
            <w:noWrap/>
            <w:vAlign w:val="bottom"/>
            <w:hideMark/>
          </w:tcPr>
          <w:p w14:paraId="2F18B68A" w14:textId="77777777" w:rsidR="00833238" w:rsidRPr="0085694C" w:rsidRDefault="00833238" w:rsidP="00833238">
            <w:pPr>
              <w:jc w:val="right"/>
              <w:rPr>
                <w:sz w:val="15"/>
                <w:szCs w:val="15"/>
              </w:rPr>
            </w:pPr>
            <w:r w:rsidRPr="0085694C">
              <w:rPr>
                <w:sz w:val="15"/>
                <w:szCs w:val="15"/>
              </w:rPr>
              <w:t>15,084</w:t>
            </w:r>
          </w:p>
        </w:tc>
        <w:tc>
          <w:tcPr>
            <w:tcW w:w="569" w:type="pct"/>
            <w:tcBorders>
              <w:top w:val="nil"/>
              <w:left w:val="nil"/>
              <w:bottom w:val="nil"/>
              <w:right w:val="single" w:sz="4" w:space="0" w:color="auto"/>
            </w:tcBorders>
            <w:shd w:val="clear" w:color="auto" w:fill="auto"/>
            <w:noWrap/>
            <w:vAlign w:val="bottom"/>
            <w:hideMark/>
          </w:tcPr>
          <w:p w14:paraId="621F9E67" w14:textId="77777777" w:rsidR="00833238" w:rsidRPr="0085694C" w:rsidRDefault="00833238" w:rsidP="00833238">
            <w:pPr>
              <w:jc w:val="right"/>
              <w:rPr>
                <w:sz w:val="15"/>
                <w:szCs w:val="15"/>
              </w:rPr>
            </w:pPr>
            <w:r w:rsidRPr="0085694C">
              <w:rPr>
                <w:sz w:val="15"/>
                <w:szCs w:val="15"/>
              </w:rPr>
              <w:t>0.8</w:t>
            </w:r>
          </w:p>
        </w:tc>
        <w:tc>
          <w:tcPr>
            <w:tcW w:w="542" w:type="pct"/>
            <w:tcBorders>
              <w:top w:val="nil"/>
              <w:left w:val="nil"/>
              <w:bottom w:val="nil"/>
              <w:right w:val="nil"/>
            </w:tcBorders>
            <w:shd w:val="clear" w:color="auto" w:fill="auto"/>
            <w:noWrap/>
            <w:vAlign w:val="bottom"/>
            <w:hideMark/>
          </w:tcPr>
          <w:p w14:paraId="720CC030" w14:textId="77777777" w:rsidR="00833238" w:rsidRPr="0085694C" w:rsidRDefault="00833238" w:rsidP="00833238">
            <w:pPr>
              <w:jc w:val="right"/>
              <w:rPr>
                <w:sz w:val="15"/>
                <w:szCs w:val="15"/>
              </w:rPr>
            </w:pPr>
            <w:r w:rsidRPr="0085694C">
              <w:rPr>
                <w:sz w:val="15"/>
                <w:szCs w:val="15"/>
              </w:rPr>
              <w:t>30,943</w:t>
            </w:r>
          </w:p>
        </w:tc>
        <w:tc>
          <w:tcPr>
            <w:tcW w:w="616" w:type="pct"/>
            <w:tcBorders>
              <w:top w:val="nil"/>
              <w:left w:val="nil"/>
              <w:bottom w:val="nil"/>
              <w:right w:val="nil"/>
            </w:tcBorders>
            <w:shd w:val="clear" w:color="auto" w:fill="auto"/>
            <w:noWrap/>
            <w:vAlign w:val="bottom"/>
            <w:hideMark/>
          </w:tcPr>
          <w:p w14:paraId="6E35EB6B" w14:textId="77777777" w:rsidR="00833238" w:rsidRPr="0085694C" w:rsidRDefault="00833238" w:rsidP="00833238">
            <w:pPr>
              <w:jc w:val="right"/>
              <w:rPr>
                <w:sz w:val="15"/>
                <w:szCs w:val="15"/>
              </w:rPr>
            </w:pPr>
            <w:r w:rsidRPr="0085694C">
              <w:rPr>
                <w:sz w:val="15"/>
                <w:szCs w:val="15"/>
              </w:rPr>
              <w:t>0.8</w:t>
            </w:r>
          </w:p>
        </w:tc>
        <w:tc>
          <w:tcPr>
            <w:tcW w:w="598" w:type="pct"/>
            <w:tcBorders>
              <w:top w:val="nil"/>
              <w:left w:val="single" w:sz="4" w:space="0" w:color="auto"/>
              <w:bottom w:val="nil"/>
              <w:right w:val="nil"/>
            </w:tcBorders>
            <w:shd w:val="clear" w:color="auto" w:fill="auto"/>
            <w:noWrap/>
            <w:vAlign w:val="bottom"/>
            <w:hideMark/>
          </w:tcPr>
          <w:p w14:paraId="25955CFC" w14:textId="77777777" w:rsidR="00833238" w:rsidRPr="0085694C" w:rsidRDefault="00833238" w:rsidP="00833238">
            <w:pPr>
              <w:jc w:val="right"/>
              <w:rPr>
                <w:sz w:val="15"/>
                <w:szCs w:val="15"/>
              </w:rPr>
            </w:pPr>
            <w:r w:rsidRPr="0085694C">
              <w:rPr>
                <w:sz w:val="15"/>
                <w:szCs w:val="15"/>
              </w:rPr>
              <w:t>35,197</w:t>
            </w:r>
          </w:p>
        </w:tc>
        <w:tc>
          <w:tcPr>
            <w:tcW w:w="615" w:type="pct"/>
            <w:tcBorders>
              <w:top w:val="nil"/>
              <w:left w:val="nil"/>
              <w:bottom w:val="nil"/>
              <w:right w:val="nil"/>
            </w:tcBorders>
            <w:shd w:val="clear" w:color="auto" w:fill="auto"/>
            <w:noWrap/>
            <w:vAlign w:val="bottom"/>
            <w:hideMark/>
          </w:tcPr>
          <w:p w14:paraId="6E1D05C9" w14:textId="77777777" w:rsidR="00833238" w:rsidRPr="0085694C" w:rsidRDefault="00833238" w:rsidP="00833238">
            <w:pPr>
              <w:jc w:val="right"/>
              <w:rPr>
                <w:sz w:val="15"/>
                <w:szCs w:val="15"/>
              </w:rPr>
            </w:pPr>
            <w:r w:rsidRPr="0085694C">
              <w:rPr>
                <w:sz w:val="15"/>
                <w:szCs w:val="15"/>
              </w:rPr>
              <w:t>5.5</w:t>
            </w:r>
          </w:p>
        </w:tc>
      </w:tr>
      <w:tr w:rsidR="006B42D6" w:rsidRPr="0085694C" w14:paraId="71660E49" w14:textId="77777777" w:rsidTr="00563226">
        <w:trPr>
          <w:trHeight w:val="169"/>
        </w:trPr>
        <w:tc>
          <w:tcPr>
            <w:tcW w:w="771" w:type="pct"/>
            <w:tcBorders>
              <w:top w:val="nil"/>
              <w:left w:val="nil"/>
              <w:bottom w:val="nil"/>
              <w:right w:val="nil"/>
            </w:tcBorders>
            <w:shd w:val="clear" w:color="auto" w:fill="auto"/>
            <w:noWrap/>
            <w:vAlign w:val="center"/>
            <w:hideMark/>
          </w:tcPr>
          <w:p w14:paraId="7D382800" w14:textId="77777777" w:rsidR="00833238" w:rsidRPr="0085694C" w:rsidRDefault="00833238" w:rsidP="00833238">
            <w:pPr>
              <w:rPr>
                <w:sz w:val="15"/>
                <w:szCs w:val="15"/>
              </w:rPr>
            </w:pPr>
            <w:r w:rsidRPr="0085694C">
              <w:rPr>
                <w:sz w:val="15"/>
                <w:szCs w:val="15"/>
              </w:rPr>
              <w:t>Katavi</w:t>
            </w:r>
          </w:p>
        </w:tc>
        <w:tc>
          <w:tcPr>
            <w:tcW w:w="526" w:type="pct"/>
            <w:tcBorders>
              <w:top w:val="nil"/>
              <w:left w:val="single" w:sz="4" w:space="0" w:color="auto"/>
              <w:bottom w:val="nil"/>
              <w:right w:val="nil"/>
            </w:tcBorders>
            <w:shd w:val="clear" w:color="auto" w:fill="auto"/>
            <w:noWrap/>
            <w:vAlign w:val="bottom"/>
            <w:hideMark/>
          </w:tcPr>
          <w:p w14:paraId="6E63788A" w14:textId="77777777" w:rsidR="00833238" w:rsidRPr="0085694C" w:rsidRDefault="00833238" w:rsidP="00833238">
            <w:pPr>
              <w:jc w:val="right"/>
              <w:rPr>
                <w:sz w:val="15"/>
                <w:szCs w:val="15"/>
              </w:rPr>
            </w:pPr>
            <w:r w:rsidRPr="0085694C">
              <w:rPr>
                <w:sz w:val="15"/>
                <w:szCs w:val="15"/>
              </w:rPr>
              <w:t>10,708</w:t>
            </w:r>
          </w:p>
        </w:tc>
        <w:tc>
          <w:tcPr>
            <w:tcW w:w="279" w:type="pct"/>
            <w:tcBorders>
              <w:top w:val="nil"/>
              <w:left w:val="nil"/>
              <w:bottom w:val="nil"/>
              <w:right w:val="nil"/>
            </w:tcBorders>
            <w:shd w:val="clear" w:color="auto" w:fill="auto"/>
            <w:noWrap/>
            <w:vAlign w:val="bottom"/>
            <w:hideMark/>
          </w:tcPr>
          <w:p w14:paraId="79143FBD" w14:textId="77777777" w:rsidR="00833238" w:rsidRPr="0085694C" w:rsidRDefault="00833238" w:rsidP="00833238">
            <w:pPr>
              <w:jc w:val="right"/>
              <w:rPr>
                <w:sz w:val="15"/>
                <w:szCs w:val="15"/>
              </w:rPr>
            </w:pPr>
            <w:r w:rsidRPr="0085694C">
              <w:rPr>
                <w:sz w:val="15"/>
                <w:szCs w:val="15"/>
              </w:rPr>
              <w:t>0.6</w:t>
            </w:r>
          </w:p>
        </w:tc>
        <w:tc>
          <w:tcPr>
            <w:tcW w:w="483" w:type="pct"/>
            <w:tcBorders>
              <w:top w:val="nil"/>
              <w:left w:val="single" w:sz="4" w:space="0" w:color="auto"/>
              <w:bottom w:val="nil"/>
              <w:right w:val="nil"/>
            </w:tcBorders>
            <w:shd w:val="clear" w:color="auto" w:fill="auto"/>
            <w:noWrap/>
            <w:vAlign w:val="bottom"/>
            <w:hideMark/>
          </w:tcPr>
          <w:p w14:paraId="18DE2E5F" w14:textId="77777777" w:rsidR="00833238" w:rsidRPr="0085694C" w:rsidRDefault="00833238" w:rsidP="00833238">
            <w:pPr>
              <w:jc w:val="right"/>
              <w:rPr>
                <w:sz w:val="15"/>
                <w:szCs w:val="15"/>
              </w:rPr>
            </w:pPr>
            <w:r w:rsidRPr="0085694C">
              <w:rPr>
                <w:sz w:val="15"/>
                <w:szCs w:val="15"/>
              </w:rPr>
              <w:t>19,768</w:t>
            </w:r>
          </w:p>
        </w:tc>
        <w:tc>
          <w:tcPr>
            <w:tcW w:w="569" w:type="pct"/>
            <w:tcBorders>
              <w:top w:val="nil"/>
              <w:left w:val="nil"/>
              <w:bottom w:val="nil"/>
              <w:right w:val="single" w:sz="4" w:space="0" w:color="auto"/>
            </w:tcBorders>
            <w:shd w:val="clear" w:color="auto" w:fill="auto"/>
            <w:noWrap/>
            <w:vAlign w:val="bottom"/>
            <w:hideMark/>
          </w:tcPr>
          <w:p w14:paraId="1EA5BDF8" w14:textId="77777777" w:rsidR="00833238" w:rsidRPr="0085694C" w:rsidRDefault="00833238" w:rsidP="00833238">
            <w:pPr>
              <w:jc w:val="right"/>
              <w:rPr>
                <w:sz w:val="15"/>
                <w:szCs w:val="15"/>
              </w:rPr>
            </w:pPr>
            <w:r w:rsidRPr="0085694C">
              <w:rPr>
                <w:sz w:val="15"/>
                <w:szCs w:val="15"/>
              </w:rPr>
              <w:t>1.1</w:t>
            </w:r>
          </w:p>
        </w:tc>
        <w:tc>
          <w:tcPr>
            <w:tcW w:w="542" w:type="pct"/>
            <w:tcBorders>
              <w:top w:val="nil"/>
              <w:left w:val="nil"/>
              <w:bottom w:val="nil"/>
              <w:right w:val="nil"/>
            </w:tcBorders>
            <w:shd w:val="clear" w:color="auto" w:fill="auto"/>
            <w:noWrap/>
            <w:vAlign w:val="bottom"/>
            <w:hideMark/>
          </w:tcPr>
          <w:p w14:paraId="57758332" w14:textId="77777777" w:rsidR="00833238" w:rsidRPr="0085694C" w:rsidRDefault="00833238" w:rsidP="00833238">
            <w:pPr>
              <w:jc w:val="right"/>
              <w:rPr>
                <w:sz w:val="15"/>
                <w:szCs w:val="15"/>
              </w:rPr>
            </w:pPr>
            <w:r w:rsidRPr="0085694C">
              <w:rPr>
                <w:sz w:val="15"/>
                <w:szCs w:val="15"/>
              </w:rPr>
              <w:t>17,091</w:t>
            </w:r>
          </w:p>
        </w:tc>
        <w:tc>
          <w:tcPr>
            <w:tcW w:w="616" w:type="pct"/>
            <w:tcBorders>
              <w:top w:val="nil"/>
              <w:left w:val="nil"/>
              <w:bottom w:val="nil"/>
              <w:right w:val="nil"/>
            </w:tcBorders>
            <w:shd w:val="clear" w:color="auto" w:fill="auto"/>
            <w:noWrap/>
            <w:vAlign w:val="bottom"/>
            <w:hideMark/>
          </w:tcPr>
          <w:p w14:paraId="52370688" w14:textId="77777777" w:rsidR="00833238" w:rsidRPr="0085694C" w:rsidRDefault="00833238" w:rsidP="00833238">
            <w:pPr>
              <w:jc w:val="right"/>
              <w:rPr>
                <w:sz w:val="15"/>
                <w:szCs w:val="15"/>
              </w:rPr>
            </w:pPr>
            <w:r w:rsidRPr="0085694C">
              <w:rPr>
                <w:sz w:val="15"/>
                <w:szCs w:val="15"/>
              </w:rPr>
              <w:t>0.4</w:t>
            </w:r>
          </w:p>
        </w:tc>
        <w:tc>
          <w:tcPr>
            <w:tcW w:w="598" w:type="pct"/>
            <w:tcBorders>
              <w:top w:val="nil"/>
              <w:left w:val="single" w:sz="4" w:space="0" w:color="auto"/>
              <w:bottom w:val="nil"/>
              <w:right w:val="nil"/>
            </w:tcBorders>
            <w:shd w:val="clear" w:color="auto" w:fill="auto"/>
            <w:noWrap/>
            <w:vAlign w:val="bottom"/>
            <w:hideMark/>
          </w:tcPr>
          <w:p w14:paraId="2402626E" w14:textId="77777777" w:rsidR="00833238" w:rsidRPr="0085694C" w:rsidRDefault="00833238" w:rsidP="00833238">
            <w:pPr>
              <w:jc w:val="right"/>
              <w:rPr>
                <w:sz w:val="15"/>
                <w:szCs w:val="15"/>
              </w:rPr>
            </w:pPr>
            <w:r w:rsidRPr="0085694C">
              <w:rPr>
                <w:sz w:val="15"/>
                <w:szCs w:val="15"/>
              </w:rPr>
              <w:t>1,030</w:t>
            </w:r>
          </w:p>
        </w:tc>
        <w:tc>
          <w:tcPr>
            <w:tcW w:w="615" w:type="pct"/>
            <w:tcBorders>
              <w:top w:val="nil"/>
              <w:left w:val="nil"/>
              <w:bottom w:val="nil"/>
              <w:right w:val="nil"/>
            </w:tcBorders>
            <w:shd w:val="clear" w:color="auto" w:fill="auto"/>
            <w:noWrap/>
            <w:vAlign w:val="bottom"/>
            <w:hideMark/>
          </w:tcPr>
          <w:p w14:paraId="0A86D355" w14:textId="77777777" w:rsidR="00833238" w:rsidRPr="0085694C" w:rsidRDefault="00833238" w:rsidP="00833238">
            <w:pPr>
              <w:jc w:val="right"/>
              <w:rPr>
                <w:sz w:val="15"/>
                <w:szCs w:val="15"/>
              </w:rPr>
            </w:pPr>
            <w:r w:rsidRPr="0085694C">
              <w:rPr>
                <w:sz w:val="15"/>
                <w:szCs w:val="15"/>
              </w:rPr>
              <w:t>0.2</w:t>
            </w:r>
          </w:p>
        </w:tc>
      </w:tr>
      <w:tr w:rsidR="006B42D6" w:rsidRPr="0085694C" w14:paraId="0EDDC124" w14:textId="77777777" w:rsidTr="00563226">
        <w:trPr>
          <w:trHeight w:val="169"/>
        </w:trPr>
        <w:tc>
          <w:tcPr>
            <w:tcW w:w="771" w:type="pct"/>
            <w:tcBorders>
              <w:top w:val="nil"/>
              <w:left w:val="nil"/>
              <w:bottom w:val="nil"/>
              <w:right w:val="nil"/>
            </w:tcBorders>
            <w:shd w:val="clear" w:color="auto" w:fill="auto"/>
            <w:noWrap/>
            <w:vAlign w:val="center"/>
            <w:hideMark/>
          </w:tcPr>
          <w:p w14:paraId="733EFF60" w14:textId="77777777" w:rsidR="00833238" w:rsidRPr="0085694C" w:rsidRDefault="00833238" w:rsidP="00833238">
            <w:pPr>
              <w:rPr>
                <w:sz w:val="15"/>
                <w:szCs w:val="15"/>
              </w:rPr>
            </w:pPr>
            <w:r w:rsidRPr="0085694C">
              <w:rPr>
                <w:sz w:val="15"/>
                <w:szCs w:val="15"/>
              </w:rPr>
              <w:t>Simiyu</w:t>
            </w:r>
          </w:p>
        </w:tc>
        <w:tc>
          <w:tcPr>
            <w:tcW w:w="526" w:type="pct"/>
            <w:tcBorders>
              <w:top w:val="nil"/>
              <w:left w:val="single" w:sz="4" w:space="0" w:color="auto"/>
              <w:bottom w:val="nil"/>
              <w:right w:val="nil"/>
            </w:tcBorders>
            <w:shd w:val="clear" w:color="auto" w:fill="auto"/>
            <w:noWrap/>
            <w:vAlign w:val="bottom"/>
            <w:hideMark/>
          </w:tcPr>
          <w:p w14:paraId="52D805A0" w14:textId="77777777" w:rsidR="00833238" w:rsidRPr="0085694C" w:rsidRDefault="00833238" w:rsidP="00833238">
            <w:pPr>
              <w:jc w:val="right"/>
              <w:rPr>
                <w:sz w:val="15"/>
                <w:szCs w:val="15"/>
              </w:rPr>
            </w:pPr>
            <w:r w:rsidRPr="0085694C">
              <w:rPr>
                <w:sz w:val="15"/>
                <w:szCs w:val="15"/>
              </w:rPr>
              <w:t>9,762</w:t>
            </w:r>
          </w:p>
        </w:tc>
        <w:tc>
          <w:tcPr>
            <w:tcW w:w="279" w:type="pct"/>
            <w:tcBorders>
              <w:top w:val="nil"/>
              <w:left w:val="nil"/>
              <w:bottom w:val="nil"/>
              <w:right w:val="nil"/>
            </w:tcBorders>
            <w:shd w:val="clear" w:color="auto" w:fill="auto"/>
            <w:noWrap/>
            <w:vAlign w:val="bottom"/>
            <w:hideMark/>
          </w:tcPr>
          <w:p w14:paraId="445CBFCA" w14:textId="77777777" w:rsidR="00833238" w:rsidRPr="0085694C" w:rsidRDefault="00833238" w:rsidP="00833238">
            <w:pPr>
              <w:jc w:val="right"/>
              <w:rPr>
                <w:sz w:val="15"/>
                <w:szCs w:val="15"/>
              </w:rPr>
            </w:pPr>
            <w:r w:rsidRPr="0085694C">
              <w:rPr>
                <w:sz w:val="15"/>
                <w:szCs w:val="15"/>
              </w:rPr>
              <w:t>0.6</w:t>
            </w:r>
          </w:p>
        </w:tc>
        <w:tc>
          <w:tcPr>
            <w:tcW w:w="483" w:type="pct"/>
            <w:tcBorders>
              <w:top w:val="nil"/>
              <w:left w:val="single" w:sz="4" w:space="0" w:color="auto"/>
              <w:bottom w:val="nil"/>
              <w:right w:val="nil"/>
            </w:tcBorders>
            <w:shd w:val="clear" w:color="auto" w:fill="auto"/>
            <w:noWrap/>
            <w:vAlign w:val="bottom"/>
            <w:hideMark/>
          </w:tcPr>
          <w:p w14:paraId="35367B1B" w14:textId="77777777" w:rsidR="00833238" w:rsidRPr="0085694C" w:rsidRDefault="00833238" w:rsidP="00833238">
            <w:pPr>
              <w:jc w:val="right"/>
              <w:rPr>
                <w:sz w:val="15"/>
                <w:szCs w:val="15"/>
              </w:rPr>
            </w:pPr>
            <w:r w:rsidRPr="0085694C">
              <w:rPr>
                <w:sz w:val="15"/>
                <w:szCs w:val="15"/>
              </w:rPr>
              <w:t>110,363</w:t>
            </w:r>
          </w:p>
        </w:tc>
        <w:tc>
          <w:tcPr>
            <w:tcW w:w="569" w:type="pct"/>
            <w:tcBorders>
              <w:top w:val="nil"/>
              <w:left w:val="nil"/>
              <w:bottom w:val="nil"/>
              <w:right w:val="single" w:sz="4" w:space="0" w:color="auto"/>
            </w:tcBorders>
            <w:shd w:val="clear" w:color="auto" w:fill="auto"/>
            <w:noWrap/>
            <w:vAlign w:val="bottom"/>
            <w:hideMark/>
          </w:tcPr>
          <w:p w14:paraId="061D82AB" w14:textId="77777777" w:rsidR="00833238" w:rsidRPr="0085694C" w:rsidRDefault="00833238" w:rsidP="00833238">
            <w:pPr>
              <w:jc w:val="right"/>
              <w:rPr>
                <w:sz w:val="15"/>
                <w:szCs w:val="15"/>
              </w:rPr>
            </w:pPr>
            <w:r w:rsidRPr="0085694C">
              <w:rPr>
                <w:sz w:val="15"/>
                <w:szCs w:val="15"/>
              </w:rPr>
              <w:t>6.1</w:t>
            </w:r>
          </w:p>
        </w:tc>
        <w:tc>
          <w:tcPr>
            <w:tcW w:w="542" w:type="pct"/>
            <w:tcBorders>
              <w:top w:val="nil"/>
              <w:left w:val="nil"/>
              <w:bottom w:val="nil"/>
              <w:right w:val="nil"/>
            </w:tcBorders>
            <w:shd w:val="clear" w:color="auto" w:fill="auto"/>
            <w:noWrap/>
            <w:vAlign w:val="bottom"/>
            <w:hideMark/>
          </w:tcPr>
          <w:p w14:paraId="352A9504" w14:textId="77777777" w:rsidR="00833238" w:rsidRPr="0085694C" w:rsidRDefault="00833238" w:rsidP="00833238">
            <w:pPr>
              <w:jc w:val="right"/>
              <w:rPr>
                <w:sz w:val="15"/>
                <w:szCs w:val="15"/>
              </w:rPr>
            </w:pPr>
            <w:r w:rsidRPr="0085694C">
              <w:rPr>
                <w:sz w:val="15"/>
                <w:szCs w:val="15"/>
              </w:rPr>
              <w:t>36,336</w:t>
            </w:r>
          </w:p>
        </w:tc>
        <w:tc>
          <w:tcPr>
            <w:tcW w:w="616" w:type="pct"/>
            <w:tcBorders>
              <w:top w:val="nil"/>
              <w:left w:val="nil"/>
              <w:bottom w:val="nil"/>
              <w:right w:val="nil"/>
            </w:tcBorders>
            <w:shd w:val="clear" w:color="auto" w:fill="auto"/>
            <w:noWrap/>
            <w:vAlign w:val="bottom"/>
            <w:hideMark/>
          </w:tcPr>
          <w:p w14:paraId="3DA38B73" w14:textId="77777777" w:rsidR="00833238" w:rsidRPr="0085694C" w:rsidRDefault="00833238" w:rsidP="00833238">
            <w:pPr>
              <w:jc w:val="right"/>
              <w:rPr>
                <w:sz w:val="15"/>
                <w:szCs w:val="15"/>
              </w:rPr>
            </w:pPr>
            <w:r w:rsidRPr="0085694C">
              <w:rPr>
                <w:sz w:val="15"/>
                <w:szCs w:val="15"/>
              </w:rPr>
              <w:t>1.0</w:t>
            </w:r>
          </w:p>
        </w:tc>
        <w:tc>
          <w:tcPr>
            <w:tcW w:w="598" w:type="pct"/>
            <w:tcBorders>
              <w:top w:val="nil"/>
              <w:left w:val="single" w:sz="4" w:space="0" w:color="auto"/>
              <w:bottom w:val="nil"/>
              <w:right w:val="nil"/>
            </w:tcBorders>
            <w:shd w:val="clear" w:color="auto" w:fill="auto"/>
            <w:noWrap/>
            <w:vAlign w:val="bottom"/>
            <w:hideMark/>
          </w:tcPr>
          <w:p w14:paraId="4629A22E" w14:textId="77777777" w:rsidR="00833238" w:rsidRPr="0085694C" w:rsidRDefault="00833238" w:rsidP="00833238">
            <w:pPr>
              <w:jc w:val="right"/>
              <w:rPr>
                <w:sz w:val="15"/>
                <w:szCs w:val="15"/>
              </w:rPr>
            </w:pPr>
            <w:r w:rsidRPr="0085694C">
              <w:rPr>
                <w:sz w:val="15"/>
                <w:szCs w:val="15"/>
              </w:rPr>
              <w:t>3,796</w:t>
            </w:r>
          </w:p>
        </w:tc>
        <w:tc>
          <w:tcPr>
            <w:tcW w:w="615" w:type="pct"/>
            <w:tcBorders>
              <w:top w:val="nil"/>
              <w:left w:val="nil"/>
              <w:bottom w:val="nil"/>
              <w:right w:val="nil"/>
            </w:tcBorders>
            <w:shd w:val="clear" w:color="auto" w:fill="auto"/>
            <w:noWrap/>
            <w:vAlign w:val="bottom"/>
            <w:hideMark/>
          </w:tcPr>
          <w:p w14:paraId="463F8BAA" w14:textId="77777777" w:rsidR="00833238" w:rsidRPr="0085694C" w:rsidRDefault="00833238" w:rsidP="00833238">
            <w:pPr>
              <w:jc w:val="right"/>
              <w:rPr>
                <w:sz w:val="15"/>
                <w:szCs w:val="15"/>
              </w:rPr>
            </w:pPr>
            <w:r w:rsidRPr="0085694C">
              <w:rPr>
                <w:sz w:val="15"/>
                <w:szCs w:val="15"/>
              </w:rPr>
              <w:t>0.6</w:t>
            </w:r>
          </w:p>
        </w:tc>
      </w:tr>
      <w:tr w:rsidR="006B42D6" w:rsidRPr="0085694C" w14:paraId="4742D29B" w14:textId="77777777" w:rsidTr="00563226">
        <w:trPr>
          <w:trHeight w:val="169"/>
        </w:trPr>
        <w:tc>
          <w:tcPr>
            <w:tcW w:w="771" w:type="pct"/>
            <w:tcBorders>
              <w:top w:val="nil"/>
              <w:left w:val="nil"/>
              <w:bottom w:val="nil"/>
              <w:right w:val="nil"/>
            </w:tcBorders>
            <w:shd w:val="clear" w:color="auto" w:fill="auto"/>
            <w:noWrap/>
            <w:vAlign w:val="center"/>
            <w:hideMark/>
          </w:tcPr>
          <w:p w14:paraId="6C474762" w14:textId="77777777" w:rsidR="00833238" w:rsidRPr="0085694C" w:rsidRDefault="00833238" w:rsidP="00833238">
            <w:pPr>
              <w:rPr>
                <w:sz w:val="15"/>
                <w:szCs w:val="15"/>
              </w:rPr>
            </w:pPr>
            <w:r w:rsidRPr="0085694C">
              <w:rPr>
                <w:sz w:val="15"/>
                <w:szCs w:val="15"/>
              </w:rPr>
              <w:t>Geita</w:t>
            </w:r>
          </w:p>
        </w:tc>
        <w:tc>
          <w:tcPr>
            <w:tcW w:w="526" w:type="pct"/>
            <w:tcBorders>
              <w:top w:val="nil"/>
              <w:left w:val="single" w:sz="4" w:space="0" w:color="auto"/>
              <w:bottom w:val="nil"/>
              <w:right w:val="nil"/>
            </w:tcBorders>
            <w:shd w:val="clear" w:color="auto" w:fill="auto"/>
            <w:noWrap/>
            <w:vAlign w:val="bottom"/>
            <w:hideMark/>
          </w:tcPr>
          <w:p w14:paraId="058A7B7B" w14:textId="77777777" w:rsidR="00833238" w:rsidRPr="0085694C" w:rsidRDefault="00833238" w:rsidP="00833238">
            <w:pPr>
              <w:jc w:val="right"/>
              <w:rPr>
                <w:sz w:val="15"/>
                <w:szCs w:val="15"/>
              </w:rPr>
            </w:pPr>
            <w:r w:rsidRPr="0085694C">
              <w:rPr>
                <w:sz w:val="15"/>
                <w:szCs w:val="15"/>
              </w:rPr>
              <w:t>22,474</w:t>
            </w:r>
          </w:p>
        </w:tc>
        <w:tc>
          <w:tcPr>
            <w:tcW w:w="279" w:type="pct"/>
            <w:tcBorders>
              <w:top w:val="nil"/>
              <w:left w:val="nil"/>
              <w:bottom w:val="nil"/>
              <w:right w:val="nil"/>
            </w:tcBorders>
            <w:shd w:val="clear" w:color="auto" w:fill="auto"/>
            <w:noWrap/>
            <w:vAlign w:val="bottom"/>
            <w:hideMark/>
          </w:tcPr>
          <w:p w14:paraId="2CAFE158" w14:textId="77777777" w:rsidR="00833238" w:rsidRPr="0085694C" w:rsidRDefault="00833238" w:rsidP="00833238">
            <w:pPr>
              <w:jc w:val="right"/>
              <w:rPr>
                <w:sz w:val="15"/>
                <w:szCs w:val="15"/>
              </w:rPr>
            </w:pPr>
            <w:r w:rsidRPr="0085694C">
              <w:rPr>
                <w:sz w:val="15"/>
                <w:szCs w:val="15"/>
              </w:rPr>
              <w:t>1.3</w:t>
            </w:r>
          </w:p>
        </w:tc>
        <w:tc>
          <w:tcPr>
            <w:tcW w:w="483" w:type="pct"/>
            <w:tcBorders>
              <w:top w:val="nil"/>
              <w:left w:val="single" w:sz="4" w:space="0" w:color="auto"/>
              <w:bottom w:val="nil"/>
              <w:right w:val="nil"/>
            </w:tcBorders>
            <w:shd w:val="clear" w:color="auto" w:fill="auto"/>
            <w:noWrap/>
            <w:vAlign w:val="bottom"/>
            <w:hideMark/>
          </w:tcPr>
          <w:p w14:paraId="7264C7A1" w14:textId="77777777" w:rsidR="00833238" w:rsidRPr="0085694C" w:rsidRDefault="00833238" w:rsidP="00833238">
            <w:pPr>
              <w:jc w:val="right"/>
              <w:rPr>
                <w:sz w:val="15"/>
                <w:szCs w:val="15"/>
              </w:rPr>
            </w:pPr>
            <w:r w:rsidRPr="0085694C">
              <w:rPr>
                <w:sz w:val="15"/>
                <w:szCs w:val="15"/>
              </w:rPr>
              <w:t>77,228</w:t>
            </w:r>
          </w:p>
        </w:tc>
        <w:tc>
          <w:tcPr>
            <w:tcW w:w="569" w:type="pct"/>
            <w:tcBorders>
              <w:top w:val="nil"/>
              <w:left w:val="nil"/>
              <w:bottom w:val="nil"/>
              <w:right w:val="single" w:sz="4" w:space="0" w:color="auto"/>
            </w:tcBorders>
            <w:shd w:val="clear" w:color="auto" w:fill="auto"/>
            <w:noWrap/>
            <w:vAlign w:val="bottom"/>
            <w:hideMark/>
          </w:tcPr>
          <w:p w14:paraId="1F4B6373" w14:textId="77777777" w:rsidR="00833238" w:rsidRPr="0085694C" w:rsidRDefault="00833238" w:rsidP="00833238">
            <w:pPr>
              <w:jc w:val="right"/>
              <w:rPr>
                <w:sz w:val="15"/>
                <w:szCs w:val="15"/>
              </w:rPr>
            </w:pPr>
            <w:r w:rsidRPr="0085694C">
              <w:rPr>
                <w:sz w:val="15"/>
                <w:szCs w:val="15"/>
              </w:rPr>
              <w:t>4.3</w:t>
            </w:r>
          </w:p>
        </w:tc>
        <w:tc>
          <w:tcPr>
            <w:tcW w:w="542" w:type="pct"/>
            <w:tcBorders>
              <w:top w:val="nil"/>
              <w:left w:val="nil"/>
              <w:bottom w:val="nil"/>
              <w:right w:val="nil"/>
            </w:tcBorders>
            <w:shd w:val="clear" w:color="auto" w:fill="auto"/>
            <w:noWrap/>
            <w:vAlign w:val="bottom"/>
            <w:hideMark/>
          </w:tcPr>
          <w:p w14:paraId="2A330546" w14:textId="77777777" w:rsidR="00833238" w:rsidRPr="0085694C" w:rsidRDefault="00833238" w:rsidP="00833238">
            <w:pPr>
              <w:jc w:val="right"/>
              <w:rPr>
                <w:sz w:val="15"/>
                <w:szCs w:val="15"/>
              </w:rPr>
            </w:pPr>
            <w:r w:rsidRPr="0085694C">
              <w:rPr>
                <w:sz w:val="15"/>
                <w:szCs w:val="15"/>
              </w:rPr>
              <w:t>282,761</w:t>
            </w:r>
          </w:p>
        </w:tc>
        <w:tc>
          <w:tcPr>
            <w:tcW w:w="616" w:type="pct"/>
            <w:tcBorders>
              <w:top w:val="nil"/>
              <w:left w:val="nil"/>
              <w:bottom w:val="nil"/>
              <w:right w:val="nil"/>
            </w:tcBorders>
            <w:shd w:val="clear" w:color="auto" w:fill="auto"/>
            <w:noWrap/>
            <w:vAlign w:val="bottom"/>
            <w:hideMark/>
          </w:tcPr>
          <w:p w14:paraId="025E27C0" w14:textId="77777777" w:rsidR="00833238" w:rsidRPr="0085694C" w:rsidRDefault="00833238" w:rsidP="00833238">
            <w:pPr>
              <w:jc w:val="right"/>
              <w:rPr>
                <w:sz w:val="15"/>
                <w:szCs w:val="15"/>
              </w:rPr>
            </w:pPr>
            <w:r w:rsidRPr="0085694C">
              <w:rPr>
                <w:sz w:val="15"/>
                <w:szCs w:val="15"/>
              </w:rPr>
              <w:t>7.4</w:t>
            </w:r>
          </w:p>
        </w:tc>
        <w:tc>
          <w:tcPr>
            <w:tcW w:w="598" w:type="pct"/>
            <w:tcBorders>
              <w:top w:val="nil"/>
              <w:left w:val="single" w:sz="4" w:space="0" w:color="auto"/>
              <w:bottom w:val="nil"/>
              <w:right w:val="nil"/>
            </w:tcBorders>
            <w:shd w:val="clear" w:color="auto" w:fill="auto"/>
            <w:noWrap/>
            <w:vAlign w:val="bottom"/>
            <w:hideMark/>
          </w:tcPr>
          <w:p w14:paraId="712791A4" w14:textId="77777777" w:rsidR="00833238" w:rsidRPr="0085694C" w:rsidRDefault="00833238" w:rsidP="00833238">
            <w:pPr>
              <w:jc w:val="right"/>
              <w:rPr>
                <w:sz w:val="15"/>
                <w:szCs w:val="15"/>
              </w:rPr>
            </w:pPr>
            <w:r w:rsidRPr="0085694C">
              <w:rPr>
                <w:sz w:val="15"/>
                <w:szCs w:val="15"/>
              </w:rPr>
              <w:t>5,312</w:t>
            </w:r>
          </w:p>
        </w:tc>
        <w:tc>
          <w:tcPr>
            <w:tcW w:w="615" w:type="pct"/>
            <w:tcBorders>
              <w:top w:val="nil"/>
              <w:left w:val="nil"/>
              <w:bottom w:val="nil"/>
              <w:right w:val="nil"/>
            </w:tcBorders>
            <w:shd w:val="clear" w:color="auto" w:fill="auto"/>
            <w:noWrap/>
            <w:vAlign w:val="bottom"/>
            <w:hideMark/>
          </w:tcPr>
          <w:p w14:paraId="160B36D2" w14:textId="77777777" w:rsidR="00833238" w:rsidRPr="0085694C" w:rsidRDefault="00833238" w:rsidP="00833238">
            <w:pPr>
              <w:jc w:val="right"/>
              <w:rPr>
                <w:sz w:val="15"/>
                <w:szCs w:val="15"/>
              </w:rPr>
            </w:pPr>
            <w:r w:rsidRPr="0085694C">
              <w:rPr>
                <w:sz w:val="15"/>
                <w:szCs w:val="15"/>
              </w:rPr>
              <w:t>0.8</w:t>
            </w:r>
          </w:p>
        </w:tc>
      </w:tr>
      <w:tr w:rsidR="006B42D6" w:rsidRPr="0085694C" w14:paraId="76981EF3" w14:textId="77777777" w:rsidTr="00563226">
        <w:trPr>
          <w:trHeight w:val="267"/>
        </w:trPr>
        <w:tc>
          <w:tcPr>
            <w:tcW w:w="771" w:type="pct"/>
            <w:tcBorders>
              <w:top w:val="nil"/>
              <w:left w:val="nil"/>
              <w:bottom w:val="nil"/>
              <w:right w:val="nil"/>
            </w:tcBorders>
            <w:shd w:val="clear" w:color="auto" w:fill="auto"/>
            <w:noWrap/>
            <w:vAlign w:val="center"/>
            <w:hideMark/>
          </w:tcPr>
          <w:p w14:paraId="6996669D" w14:textId="77777777" w:rsidR="00833238" w:rsidRPr="0085694C" w:rsidRDefault="00833238" w:rsidP="00833238">
            <w:pPr>
              <w:rPr>
                <w:sz w:val="15"/>
                <w:szCs w:val="15"/>
              </w:rPr>
            </w:pPr>
            <w:r w:rsidRPr="0085694C">
              <w:rPr>
                <w:sz w:val="15"/>
                <w:szCs w:val="15"/>
              </w:rPr>
              <w:t>Songwe</w:t>
            </w:r>
          </w:p>
        </w:tc>
        <w:tc>
          <w:tcPr>
            <w:tcW w:w="526" w:type="pct"/>
            <w:tcBorders>
              <w:top w:val="nil"/>
              <w:left w:val="single" w:sz="4" w:space="0" w:color="auto"/>
              <w:bottom w:val="nil"/>
              <w:right w:val="nil"/>
            </w:tcBorders>
            <w:shd w:val="clear" w:color="auto" w:fill="auto"/>
            <w:noWrap/>
            <w:vAlign w:val="bottom"/>
            <w:hideMark/>
          </w:tcPr>
          <w:p w14:paraId="49EB7ADD" w14:textId="77777777" w:rsidR="00833238" w:rsidRPr="0085694C" w:rsidRDefault="00833238" w:rsidP="00833238">
            <w:pPr>
              <w:jc w:val="right"/>
              <w:rPr>
                <w:sz w:val="15"/>
                <w:szCs w:val="15"/>
              </w:rPr>
            </w:pPr>
            <w:r w:rsidRPr="0085694C">
              <w:rPr>
                <w:sz w:val="15"/>
                <w:szCs w:val="15"/>
              </w:rPr>
              <w:t>2,428</w:t>
            </w:r>
          </w:p>
        </w:tc>
        <w:tc>
          <w:tcPr>
            <w:tcW w:w="279" w:type="pct"/>
            <w:tcBorders>
              <w:top w:val="nil"/>
              <w:left w:val="nil"/>
              <w:bottom w:val="nil"/>
              <w:right w:val="nil"/>
            </w:tcBorders>
            <w:shd w:val="clear" w:color="auto" w:fill="auto"/>
            <w:noWrap/>
            <w:vAlign w:val="bottom"/>
            <w:hideMark/>
          </w:tcPr>
          <w:p w14:paraId="69D5445A" w14:textId="77777777" w:rsidR="00833238" w:rsidRPr="0085694C" w:rsidRDefault="00833238" w:rsidP="00833238">
            <w:pPr>
              <w:jc w:val="right"/>
              <w:rPr>
                <w:sz w:val="15"/>
                <w:szCs w:val="15"/>
              </w:rPr>
            </w:pPr>
            <w:r w:rsidRPr="0085694C">
              <w:rPr>
                <w:sz w:val="15"/>
                <w:szCs w:val="15"/>
              </w:rPr>
              <w:t>0.1</w:t>
            </w:r>
          </w:p>
        </w:tc>
        <w:tc>
          <w:tcPr>
            <w:tcW w:w="483" w:type="pct"/>
            <w:tcBorders>
              <w:top w:val="nil"/>
              <w:left w:val="single" w:sz="4" w:space="0" w:color="auto"/>
              <w:bottom w:val="nil"/>
              <w:right w:val="nil"/>
            </w:tcBorders>
            <w:shd w:val="clear" w:color="auto" w:fill="auto"/>
            <w:noWrap/>
            <w:vAlign w:val="bottom"/>
            <w:hideMark/>
          </w:tcPr>
          <w:p w14:paraId="35AC2942" w14:textId="77777777" w:rsidR="00833238" w:rsidRPr="0085694C" w:rsidRDefault="00833238" w:rsidP="00833238">
            <w:pPr>
              <w:jc w:val="right"/>
              <w:rPr>
                <w:sz w:val="15"/>
                <w:szCs w:val="15"/>
              </w:rPr>
            </w:pPr>
            <w:r w:rsidRPr="0085694C">
              <w:rPr>
                <w:sz w:val="15"/>
                <w:szCs w:val="15"/>
              </w:rPr>
              <w:t>39,073</w:t>
            </w:r>
          </w:p>
        </w:tc>
        <w:tc>
          <w:tcPr>
            <w:tcW w:w="569" w:type="pct"/>
            <w:tcBorders>
              <w:top w:val="nil"/>
              <w:left w:val="nil"/>
              <w:bottom w:val="nil"/>
              <w:right w:val="single" w:sz="4" w:space="0" w:color="auto"/>
            </w:tcBorders>
            <w:shd w:val="clear" w:color="auto" w:fill="auto"/>
            <w:noWrap/>
            <w:vAlign w:val="bottom"/>
            <w:hideMark/>
          </w:tcPr>
          <w:p w14:paraId="28B7866B" w14:textId="77777777" w:rsidR="00833238" w:rsidRPr="0085694C" w:rsidRDefault="00833238" w:rsidP="00833238">
            <w:pPr>
              <w:jc w:val="right"/>
              <w:rPr>
                <w:sz w:val="15"/>
                <w:szCs w:val="15"/>
              </w:rPr>
            </w:pPr>
            <w:r w:rsidRPr="0085694C">
              <w:rPr>
                <w:sz w:val="15"/>
                <w:szCs w:val="15"/>
              </w:rPr>
              <w:t>2.2</w:t>
            </w:r>
          </w:p>
        </w:tc>
        <w:tc>
          <w:tcPr>
            <w:tcW w:w="542" w:type="pct"/>
            <w:tcBorders>
              <w:top w:val="nil"/>
              <w:left w:val="nil"/>
              <w:bottom w:val="nil"/>
              <w:right w:val="nil"/>
            </w:tcBorders>
            <w:shd w:val="clear" w:color="auto" w:fill="auto"/>
            <w:noWrap/>
            <w:vAlign w:val="bottom"/>
            <w:hideMark/>
          </w:tcPr>
          <w:p w14:paraId="23AC8E9D" w14:textId="77777777" w:rsidR="00833238" w:rsidRPr="0085694C" w:rsidRDefault="00833238" w:rsidP="00833238">
            <w:pPr>
              <w:jc w:val="right"/>
              <w:rPr>
                <w:sz w:val="15"/>
                <w:szCs w:val="15"/>
              </w:rPr>
            </w:pPr>
            <w:r w:rsidRPr="0085694C">
              <w:rPr>
                <w:sz w:val="15"/>
                <w:szCs w:val="15"/>
              </w:rPr>
              <w:t>35,761</w:t>
            </w:r>
          </w:p>
        </w:tc>
        <w:tc>
          <w:tcPr>
            <w:tcW w:w="616" w:type="pct"/>
            <w:tcBorders>
              <w:top w:val="nil"/>
              <w:left w:val="nil"/>
              <w:bottom w:val="nil"/>
              <w:right w:val="nil"/>
            </w:tcBorders>
            <w:shd w:val="clear" w:color="auto" w:fill="auto"/>
            <w:noWrap/>
            <w:vAlign w:val="bottom"/>
            <w:hideMark/>
          </w:tcPr>
          <w:p w14:paraId="2DE7EB69" w14:textId="77777777" w:rsidR="00833238" w:rsidRPr="0085694C" w:rsidRDefault="00833238" w:rsidP="00833238">
            <w:pPr>
              <w:jc w:val="right"/>
              <w:rPr>
                <w:sz w:val="15"/>
                <w:szCs w:val="15"/>
              </w:rPr>
            </w:pPr>
            <w:r w:rsidRPr="0085694C">
              <w:rPr>
                <w:sz w:val="15"/>
                <w:szCs w:val="15"/>
              </w:rPr>
              <w:t>0.9</w:t>
            </w:r>
          </w:p>
        </w:tc>
        <w:tc>
          <w:tcPr>
            <w:tcW w:w="598" w:type="pct"/>
            <w:tcBorders>
              <w:top w:val="nil"/>
              <w:left w:val="single" w:sz="4" w:space="0" w:color="auto"/>
              <w:bottom w:val="nil"/>
              <w:right w:val="nil"/>
            </w:tcBorders>
            <w:shd w:val="clear" w:color="auto" w:fill="auto"/>
            <w:noWrap/>
            <w:vAlign w:val="bottom"/>
            <w:hideMark/>
          </w:tcPr>
          <w:p w14:paraId="353EF4D6" w14:textId="77777777" w:rsidR="00833238" w:rsidRPr="0085694C" w:rsidRDefault="00833238" w:rsidP="00833238">
            <w:pPr>
              <w:jc w:val="right"/>
              <w:rPr>
                <w:sz w:val="15"/>
                <w:szCs w:val="15"/>
              </w:rPr>
            </w:pPr>
            <w:r w:rsidRPr="0085694C">
              <w:rPr>
                <w:sz w:val="15"/>
                <w:szCs w:val="15"/>
              </w:rPr>
              <w:t>31,567</w:t>
            </w:r>
          </w:p>
        </w:tc>
        <w:tc>
          <w:tcPr>
            <w:tcW w:w="615" w:type="pct"/>
            <w:tcBorders>
              <w:top w:val="nil"/>
              <w:left w:val="nil"/>
              <w:bottom w:val="nil"/>
              <w:right w:val="nil"/>
            </w:tcBorders>
            <w:shd w:val="clear" w:color="auto" w:fill="auto"/>
            <w:noWrap/>
            <w:vAlign w:val="bottom"/>
            <w:hideMark/>
          </w:tcPr>
          <w:p w14:paraId="4B43797A" w14:textId="77777777" w:rsidR="00833238" w:rsidRPr="0085694C" w:rsidRDefault="00833238" w:rsidP="00833238">
            <w:pPr>
              <w:jc w:val="right"/>
              <w:rPr>
                <w:sz w:val="15"/>
                <w:szCs w:val="15"/>
              </w:rPr>
            </w:pPr>
            <w:r w:rsidRPr="0085694C">
              <w:rPr>
                <w:sz w:val="15"/>
                <w:szCs w:val="15"/>
              </w:rPr>
              <w:t>4.9</w:t>
            </w:r>
          </w:p>
        </w:tc>
      </w:tr>
      <w:tr w:rsidR="006B42D6" w:rsidRPr="0085694C" w14:paraId="0072D824" w14:textId="77777777" w:rsidTr="0085694C">
        <w:trPr>
          <w:trHeight w:val="147"/>
        </w:trPr>
        <w:tc>
          <w:tcPr>
            <w:tcW w:w="771" w:type="pct"/>
            <w:tcBorders>
              <w:top w:val="single" w:sz="4" w:space="0" w:color="auto"/>
              <w:left w:val="nil"/>
              <w:bottom w:val="single" w:sz="4" w:space="0" w:color="auto"/>
              <w:right w:val="nil"/>
            </w:tcBorders>
            <w:shd w:val="clear" w:color="auto" w:fill="E2EFD9" w:themeFill="accent6" w:themeFillTint="33"/>
            <w:noWrap/>
            <w:vAlign w:val="center"/>
            <w:hideMark/>
          </w:tcPr>
          <w:p w14:paraId="44E8441E" w14:textId="487D4E57" w:rsidR="00833238" w:rsidRPr="0085694C" w:rsidRDefault="00EA1552" w:rsidP="00833238">
            <w:pPr>
              <w:rPr>
                <w:b/>
                <w:bCs/>
                <w:sz w:val="15"/>
                <w:szCs w:val="15"/>
              </w:rPr>
            </w:pPr>
            <w:r w:rsidRPr="0085694C">
              <w:rPr>
                <w:b/>
                <w:bCs/>
                <w:sz w:val="15"/>
                <w:szCs w:val="15"/>
              </w:rPr>
              <w:t>Mainland Tanzania</w:t>
            </w:r>
          </w:p>
        </w:tc>
        <w:tc>
          <w:tcPr>
            <w:tcW w:w="526" w:type="pct"/>
            <w:tcBorders>
              <w:top w:val="single" w:sz="4" w:space="0" w:color="auto"/>
              <w:left w:val="single" w:sz="4" w:space="0" w:color="auto"/>
              <w:bottom w:val="single" w:sz="4" w:space="0" w:color="auto"/>
              <w:right w:val="nil"/>
            </w:tcBorders>
            <w:shd w:val="clear" w:color="auto" w:fill="E2EFD9" w:themeFill="accent6" w:themeFillTint="33"/>
            <w:noWrap/>
            <w:vAlign w:val="bottom"/>
            <w:hideMark/>
          </w:tcPr>
          <w:p w14:paraId="1D8A05D9" w14:textId="77777777" w:rsidR="00833238" w:rsidRPr="0085694C" w:rsidRDefault="00833238" w:rsidP="00833238">
            <w:pPr>
              <w:jc w:val="right"/>
              <w:rPr>
                <w:b/>
                <w:bCs/>
                <w:sz w:val="15"/>
                <w:szCs w:val="15"/>
              </w:rPr>
            </w:pPr>
            <w:r w:rsidRPr="0085694C">
              <w:rPr>
                <w:b/>
                <w:bCs/>
                <w:sz w:val="15"/>
                <w:szCs w:val="15"/>
              </w:rPr>
              <w:t>1,684,467</w:t>
            </w:r>
          </w:p>
        </w:tc>
        <w:tc>
          <w:tcPr>
            <w:tcW w:w="279" w:type="pct"/>
            <w:tcBorders>
              <w:top w:val="single" w:sz="4" w:space="0" w:color="auto"/>
              <w:left w:val="nil"/>
              <w:bottom w:val="single" w:sz="4" w:space="0" w:color="auto"/>
              <w:right w:val="nil"/>
            </w:tcBorders>
            <w:shd w:val="clear" w:color="auto" w:fill="E2EFD9" w:themeFill="accent6" w:themeFillTint="33"/>
            <w:noWrap/>
            <w:vAlign w:val="bottom"/>
            <w:hideMark/>
          </w:tcPr>
          <w:p w14:paraId="530F0C3B" w14:textId="2B413751" w:rsidR="00833238" w:rsidRPr="0085694C" w:rsidRDefault="00833238" w:rsidP="00833238">
            <w:pPr>
              <w:jc w:val="right"/>
              <w:rPr>
                <w:b/>
                <w:bCs/>
                <w:sz w:val="15"/>
                <w:szCs w:val="15"/>
              </w:rPr>
            </w:pPr>
            <w:r w:rsidRPr="0085694C">
              <w:rPr>
                <w:b/>
                <w:bCs/>
                <w:sz w:val="15"/>
                <w:szCs w:val="15"/>
              </w:rPr>
              <w:t>100</w:t>
            </w:r>
            <w:r w:rsidR="0085694C">
              <w:rPr>
                <w:b/>
                <w:bCs/>
                <w:sz w:val="15"/>
                <w:szCs w:val="15"/>
              </w:rPr>
              <w:t>.0</w:t>
            </w:r>
          </w:p>
        </w:tc>
        <w:tc>
          <w:tcPr>
            <w:tcW w:w="483" w:type="pct"/>
            <w:tcBorders>
              <w:top w:val="single" w:sz="4" w:space="0" w:color="auto"/>
              <w:left w:val="single" w:sz="4" w:space="0" w:color="auto"/>
              <w:bottom w:val="single" w:sz="4" w:space="0" w:color="auto"/>
              <w:right w:val="nil"/>
            </w:tcBorders>
            <w:shd w:val="clear" w:color="auto" w:fill="E2EFD9" w:themeFill="accent6" w:themeFillTint="33"/>
            <w:noWrap/>
            <w:vAlign w:val="bottom"/>
            <w:hideMark/>
          </w:tcPr>
          <w:p w14:paraId="03550855" w14:textId="77777777" w:rsidR="00833238" w:rsidRPr="0085694C" w:rsidRDefault="00833238" w:rsidP="00833238">
            <w:pPr>
              <w:jc w:val="right"/>
              <w:rPr>
                <w:b/>
                <w:bCs/>
                <w:sz w:val="15"/>
                <w:szCs w:val="15"/>
              </w:rPr>
            </w:pPr>
            <w:r w:rsidRPr="0085694C">
              <w:rPr>
                <w:b/>
                <w:bCs/>
                <w:sz w:val="15"/>
                <w:szCs w:val="15"/>
              </w:rPr>
              <w:t>1,804,752</w:t>
            </w:r>
          </w:p>
        </w:tc>
        <w:tc>
          <w:tcPr>
            <w:tcW w:w="569" w:type="pct"/>
            <w:tcBorders>
              <w:top w:val="single" w:sz="4" w:space="0" w:color="auto"/>
              <w:left w:val="nil"/>
              <w:bottom w:val="single" w:sz="4" w:space="0" w:color="auto"/>
              <w:right w:val="single" w:sz="4" w:space="0" w:color="auto"/>
            </w:tcBorders>
            <w:shd w:val="clear" w:color="auto" w:fill="E2EFD9" w:themeFill="accent6" w:themeFillTint="33"/>
            <w:noWrap/>
            <w:vAlign w:val="bottom"/>
            <w:hideMark/>
          </w:tcPr>
          <w:p w14:paraId="702D50A2" w14:textId="4C5A48DF" w:rsidR="00833238" w:rsidRPr="0085694C" w:rsidRDefault="00833238" w:rsidP="00833238">
            <w:pPr>
              <w:jc w:val="right"/>
              <w:rPr>
                <w:b/>
                <w:bCs/>
                <w:sz w:val="15"/>
                <w:szCs w:val="15"/>
              </w:rPr>
            </w:pPr>
            <w:r w:rsidRPr="0085694C">
              <w:rPr>
                <w:b/>
                <w:bCs/>
                <w:sz w:val="15"/>
                <w:szCs w:val="15"/>
              </w:rPr>
              <w:t>100</w:t>
            </w:r>
            <w:r w:rsidR="0085694C">
              <w:rPr>
                <w:b/>
                <w:bCs/>
                <w:sz w:val="15"/>
                <w:szCs w:val="15"/>
              </w:rPr>
              <w:t>.0</w:t>
            </w:r>
          </w:p>
        </w:tc>
        <w:tc>
          <w:tcPr>
            <w:tcW w:w="542" w:type="pct"/>
            <w:tcBorders>
              <w:top w:val="single" w:sz="4" w:space="0" w:color="auto"/>
              <w:left w:val="nil"/>
              <w:bottom w:val="single" w:sz="4" w:space="0" w:color="auto"/>
              <w:right w:val="nil"/>
            </w:tcBorders>
            <w:shd w:val="clear" w:color="auto" w:fill="E2EFD9" w:themeFill="accent6" w:themeFillTint="33"/>
            <w:noWrap/>
            <w:vAlign w:val="bottom"/>
            <w:hideMark/>
          </w:tcPr>
          <w:p w14:paraId="157B5A0E" w14:textId="77777777" w:rsidR="00833238" w:rsidRPr="0085694C" w:rsidRDefault="00833238" w:rsidP="00833238">
            <w:pPr>
              <w:jc w:val="right"/>
              <w:rPr>
                <w:b/>
                <w:bCs/>
                <w:sz w:val="15"/>
                <w:szCs w:val="15"/>
              </w:rPr>
            </w:pPr>
            <w:r w:rsidRPr="0085694C">
              <w:rPr>
                <w:b/>
                <w:bCs/>
                <w:sz w:val="15"/>
                <w:szCs w:val="15"/>
              </w:rPr>
              <w:t>3,813,801</w:t>
            </w:r>
          </w:p>
        </w:tc>
        <w:tc>
          <w:tcPr>
            <w:tcW w:w="616" w:type="pct"/>
            <w:tcBorders>
              <w:top w:val="single" w:sz="4" w:space="0" w:color="auto"/>
              <w:left w:val="nil"/>
              <w:bottom w:val="single" w:sz="4" w:space="0" w:color="auto"/>
              <w:right w:val="nil"/>
            </w:tcBorders>
            <w:shd w:val="clear" w:color="auto" w:fill="E2EFD9" w:themeFill="accent6" w:themeFillTint="33"/>
            <w:noWrap/>
            <w:vAlign w:val="bottom"/>
            <w:hideMark/>
          </w:tcPr>
          <w:p w14:paraId="383A9797" w14:textId="085C37A9" w:rsidR="00833238" w:rsidRPr="0085694C" w:rsidRDefault="00833238" w:rsidP="00833238">
            <w:pPr>
              <w:jc w:val="right"/>
              <w:rPr>
                <w:b/>
                <w:bCs/>
                <w:sz w:val="15"/>
                <w:szCs w:val="15"/>
              </w:rPr>
            </w:pPr>
            <w:r w:rsidRPr="0085694C">
              <w:rPr>
                <w:b/>
                <w:bCs/>
                <w:sz w:val="15"/>
                <w:szCs w:val="15"/>
              </w:rPr>
              <w:t>100</w:t>
            </w:r>
            <w:r w:rsidR="0085694C">
              <w:rPr>
                <w:b/>
                <w:bCs/>
                <w:sz w:val="15"/>
                <w:szCs w:val="15"/>
              </w:rPr>
              <w:t>.0</w:t>
            </w:r>
          </w:p>
        </w:tc>
        <w:tc>
          <w:tcPr>
            <w:tcW w:w="598" w:type="pct"/>
            <w:tcBorders>
              <w:top w:val="single" w:sz="4" w:space="0" w:color="auto"/>
              <w:left w:val="single" w:sz="4" w:space="0" w:color="auto"/>
              <w:bottom w:val="single" w:sz="4" w:space="0" w:color="auto"/>
              <w:right w:val="nil"/>
            </w:tcBorders>
            <w:shd w:val="clear" w:color="auto" w:fill="E2EFD9" w:themeFill="accent6" w:themeFillTint="33"/>
            <w:noWrap/>
            <w:vAlign w:val="bottom"/>
            <w:hideMark/>
          </w:tcPr>
          <w:p w14:paraId="3AD640CA" w14:textId="77777777" w:rsidR="00833238" w:rsidRPr="0085694C" w:rsidRDefault="00833238" w:rsidP="00833238">
            <w:pPr>
              <w:jc w:val="right"/>
              <w:rPr>
                <w:b/>
                <w:bCs/>
                <w:sz w:val="15"/>
                <w:szCs w:val="15"/>
              </w:rPr>
            </w:pPr>
            <w:r w:rsidRPr="0085694C">
              <w:rPr>
                <w:b/>
                <w:bCs/>
                <w:sz w:val="15"/>
                <w:szCs w:val="15"/>
              </w:rPr>
              <w:t>643,893</w:t>
            </w:r>
          </w:p>
        </w:tc>
        <w:tc>
          <w:tcPr>
            <w:tcW w:w="615" w:type="pct"/>
            <w:tcBorders>
              <w:top w:val="single" w:sz="4" w:space="0" w:color="auto"/>
              <w:left w:val="nil"/>
              <w:bottom w:val="single" w:sz="4" w:space="0" w:color="auto"/>
              <w:right w:val="nil"/>
            </w:tcBorders>
            <w:shd w:val="clear" w:color="auto" w:fill="E2EFD9" w:themeFill="accent6" w:themeFillTint="33"/>
            <w:noWrap/>
            <w:vAlign w:val="bottom"/>
            <w:hideMark/>
          </w:tcPr>
          <w:p w14:paraId="4880636B" w14:textId="6AB49529" w:rsidR="00833238" w:rsidRPr="0085694C" w:rsidRDefault="00833238" w:rsidP="00833238">
            <w:pPr>
              <w:jc w:val="right"/>
              <w:rPr>
                <w:b/>
                <w:bCs/>
                <w:sz w:val="15"/>
                <w:szCs w:val="15"/>
              </w:rPr>
            </w:pPr>
            <w:r w:rsidRPr="0085694C">
              <w:rPr>
                <w:b/>
                <w:bCs/>
                <w:sz w:val="15"/>
                <w:szCs w:val="15"/>
              </w:rPr>
              <w:t>100</w:t>
            </w:r>
            <w:r w:rsidR="0085694C">
              <w:rPr>
                <w:b/>
                <w:bCs/>
                <w:sz w:val="15"/>
                <w:szCs w:val="15"/>
              </w:rPr>
              <w:t>.0</w:t>
            </w:r>
          </w:p>
        </w:tc>
      </w:tr>
      <w:tr w:rsidR="006B42D6" w:rsidRPr="0085694C" w14:paraId="139E6498" w14:textId="77777777" w:rsidTr="00563226">
        <w:trPr>
          <w:trHeight w:val="147"/>
        </w:trPr>
        <w:tc>
          <w:tcPr>
            <w:tcW w:w="771" w:type="pct"/>
            <w:tcBorders>
              <w:top w:val="nil"/>
              <w:left w:val="nil"/>
              <w:bottom w:val="nil"/>
              <w:right w:val="nil"/>
            </w:tcBorders>
            <w:shd w:val="clear" w:color="auto" w:fill="auto"/>
            <w:noWrap/>
            <w:vAlign w:val="center"/>
            <w:hideMark/>
          </w:tcPr>
          <w:p w14:paraId="50DA8F81" w14:textId="77777777" w:rsidR="00833238" w:rsidRPr="0085694C" w:rsidRDefault="00833238" w:rsidP="00833238">
            <w:pPr>
              <w:rPr>
                <w:sz w:val="15"/>
                <w:szCs w:val="15"/>
              </w:rPr>
            </w:pPr>
            <w:r w:rsidRPr="0085694C">
              <w:rPr>
                <w:sz w:val="15"/>
                <w:szCs w:val="15"/>
              </w:rPr>
              <w:t>Kaskazini Unguja</w:t>
            </w:r>
          </w:p>
        </w:tc>
        <w:tc>
          <w:tcPr>
            <w:tcW w:w="526" w:type="pct"/>
            <w:tcBorders>
              <w:top w:val="nil"/>
              <w:left w:val="single" w:sz="4" w:space="0" w:color="auto"/>
              <w:bottom w:val="nil"/>
              <w:right w:val="nil"/>
            </w:tcBorders>
            <w:shd w:val="clear" w:color="auto" w:fill="auto"/>
            <w:noWrap/>
            <w:vAlign w:val="bottom"/>
            <w:hideMark/>
          </w:tcPr>
          <w:p w14:paraId="6BC02B11" w14:textId="77777777" w:rsidR="00833238" w:rsidRPr="0085694C" w:rsidRDefault="00833238" w:rsidP="00833238">
            <w:pPr>
              <w:jc w:val="right"/>
              <w:rPr>
                <w:sz w:val="15"/>
                <w:szCs w:val="15"/>
              </w:rPr>
            </w:pPr>
            <w:r w:rsidRPr="0085694C">
              <w:rPr>
                <w:sz w:val="15"/>
                <w:szCs w:val="15"/>
              </w:rPr>
              <w:t>174</w:t>
            </w:r>
          </w:p>
        </w:tc>
        <w:tc>
          <w:tcPr>
            <w:tcW w:w="279" w:type="pct"/>
            <w:tcBorders>
              <w:top w:val="nil"/>
              <w:left w:val="nil"/>
              <w:bottom w:val="nil"/>
              <w:right w:val="nil"/>
            </w:tcBorders>
            <w:shd w:val="clear" w:color="auto" w:fill="auto"/>
            <w:noWrap/>
            <w:vAlign w:val="bottom"/>
            <w:hideMark/>
          </w:tcPr>
          <w:p w14:paraId="4641235C" w14:textId="77777777" w:rsidR="00833238" w:rsidRPr="0085694C" w:rsidRDefault="00833238" w:rsidP="00833238">
            <w:pPr>
              <w:jc w:val="right"/>
              <w:rPr>
                <w:sz w:val="15"/>
                <w:szCs w:val="15"/>
              </w:rPr>
            </w:pPr>
            <w:r w:rsidRPr="0085694C">
              <w:rPr>
                <w:sz w:val="15"/>
                <w:szCs w:val="15"/>
              </w:rPr>
              <w:t>23.3</w:t>
            </w:r>
          </w:p>
        </w:tc>
        <w:tc>
          <w:tcPr>
            <w:tcW w:w="483" w:type="pct"/>
            <w:tcBorders>
              <w:top w:val="nil"/>
              <w:left w:val="single" w:sz="4" w:space="0" w:color="auto"/>
              <w:bottom w:val="nil"/>
              <w:right w:val="nil"/>
            </w:tcBorders>
            <w:shd w:val="clear" w:color="auto" w:fill="auto"/>
            <w:noWrap/>
            <w:vAlign w:val="bottom"/>
            <w:hideMark/>
          </w:tcPr>
          <w:p w14:paraId="4BF667BF" w14:textId="77777777" w:rsidR="00833238" w:rsidRPr="0085694C" w:rsidRDefault="00833238" w:rsidP="00833238">
            <w:pPr>
              <w:jc w:val="right"/>
              <w:rPr>
                <w:sz w:val="15"/>
                <w:szCs w:val="15"/>
              </w:rPr>
            </w:pPr>
            <w:r w:rsidRPr="0085694C">
              <w:rPr>
                <w:sz w:val="15"/>
                <w:szCs w:val="15"/>
              </w:rPr>
              <w:t>4,785</w:t>
            </w:r>
          </w:p>
        </w:tc>
        <w:tc>
          <w:tcPr>
            <w:tcW w:w="569" w:type="pct"/>
            <w:tcBorders>
              <w:top w:val="nil"/>
              <w:left w:val="nil"/>
              <w:bottom w:val="nil"/>
              <w:right w:val="single" w:sz="4" w:space="0" w:color="auto"/>
            </w:tcBorders>
            <w:shd w:val="clear" w:color="auto" w:fill="auto"/>
            <w:noWrap/>
            <w:vAlign w:val="bottom"/>
            <w:hideMark/>
          </w:tcPr>
          <w:p w14:paraId="46F6F6BC" w14:textId="77777777" w:rsidR="00833238" w:rsidRPr="0085694C" w:rsidRDefault="00833238" w:rsidP="00833238">
            <w:pPr>
              <w:jc w:val="right"/>
              <w:rPr>
                <w:sz w:val="15"/>
                <w:szCs w:val="15"/>
              </w:rPr>
            </w:pPr>
            <w:r w:rsidRPr="0085694C">
              <w:rPr>
                <w:sz w:val="15"/>
                <w:szCs w:val="15"/>
              </w:rPr>
              <w:t>16.1</w:t>
            </w:r>
          </w:p>
        </w:tc>
        <w:tc>
          <w:tcPr>
            <w:tcW w:w="542" w:type="pct"/>
            <w:tcBorders>
              <w:top w:val="nil"/>
              <w:left w:val="nil"/>
              <w:bottom w:val="nil"/>
              <w:right w:val="nil"/>
            </w:tcBorders>
            <w:shd w:val="clear" w:color="auto" w:fill="auto"/>
            <w:noWrap/>
            <w:vAlign w:val="bottom"/>
            <w:hideMark/>
          </w:tcPr>
          <w:p w14:paraId="0B6456CD" w14:textId="77777777" w:rsidR="00833238" w:rsidRPr="0085694C" w:rsidRDefault="00833238" w:rsidP="00833238">
            <w:pPr>
              <w:jc w:val="right"/>
              <w:rPr>
                <w:sz w:val="15"/>
                <w:szCs w:val="15"/>
              </w:rPr>
            </w:pPr>
            <w:r w:rsidRPr="0085694C">
              <w:rPr>
                <w:sz w:val="15"/>
                <w:szCs w:val="15"/>
              </w:rPr>
              <w:t>5,308</w:t>
            </w:r>
          </w:p>
        </w:tc>
        <w:tc>
          <w:tcPr>
            <w:tcW w:w="616" w:type="pct"/>
            <w:tcBorders>
              <w:top w:val="nil"/>
              <w:left w:val="nil"/>
              <w:bottom w:val="nil"/>
              <w:right w:val="nil"/>
            </w:tcBorders>
            <w:shd w:val="clear" w:color="auto" w:fill="auto"/>
            <w:noWrap/>
            <w:vAlign w:val="bottom"/>
            <w:hideMark/>
          </w:tcPr>
          <w:p w14:paraId="2362BB69" w14:textId="77777777" w:rsidR="00833238" w:rsidRPr="0085694C" w:rsidRDefault="00833238" w:rsidP="00833238">
            <w:pPr>
              <w:jc w:val="right"/>
              <w:rPr>
                <w:sz w:val="15"/>
                <w:szCs w:val="15"/>
              </w:rPr>
            </w:pPr>
            <w:r w:rsidRPr="0085694C">
              <w:rPr>
                <w:sz w:val="15"/>
                <w:szCs w:val="15"/>
              </w:rPr>
              <w:t>9.0</w:t>
            </w:r>
          </w:p>
        </w:tc>
        <w:tc>
          <w:tcPr>
            <w:tcW w:w="598" w:type="pct"/>
            <w:tcBorders>
              <w:top w:val="nil"/>
              <w:left w:val="single" w:sz="4" w:space="0" w:color="auto"/>
              <w:bottom w:val="nil"/>
              <w:right w:val="nil"/>
            </w:tcBorders>
            <w:shd w:val="clear" w:color="auto" w:fill="auto"/>
            <w:noWrap/>
            <w:vAlign w:val="bottom"/>
            <w:hideMark/>
          </w:tcPr>
          <w:p w14:paraId="1DBC62D2" w14:textId="77777777" w:rsidR="00833238" w:rsidRPr="0085694C" w:rsidRDefault="00833238" w:rsidP="00833238">
            <w:pPr>
              <w:jc w:val="right"/>
              <w:rPr>
                <w:sz w:val="15"/>
                <w:szCs w:val="15"/>
              </w:rPr>
            </w:pPr>
            <w:r w:rsidRPr="0085694C">
              <w:rPr>
                <w:sz w:val="15"/>
                <w:szCs w:val="15"/>
              </w:rPr>
              <w:t>2,958</w:t>
            </w:r>
          </w:p>
        </w:tc>
        <w:tc>
          <w:tcPr>
            <w:tcW w:w="615" w:type="pct"/>
            <w:tcBorders>
              <w:top w:val="nil"/>
              <w:left w:val="nil"/>
              <w:bottom w:val="nil"/>
              <w:right w:val="nil"/>
            </w:tcBorders>
            <w:shd w:val="clear" w:color="auto" w:fill="auto"/>
            <w:noWrap/>
            <w:vAlign w:val="bottom"/>
            <w:hideMark/>
          </w:tcPr>
          <w:p w14:paraId="5F27C431" w14:textId="77777777" w:rsidR="00833238" w:rsidRPr="0085694C" w:rsidRDefault="00833238" w:rsidP="00833238">
            <w:pPr>
              <w:jc w:val="right"/>
              <w:rPr>
                <w:sz w:val="15"/>
                <w:szCs w:val="15"/>
              </w:rPr>
            </w:pPr>
            <w:r w:rsidRPr="0085694C">
              <w:rPr>
                <w:sz w:val="15"/>
                <w:szCs w:val="15"/>
              </w:rPr>
              <w:t>39.4</w:t>
            </w:r>
          </w:p>
        </w:tc>
      </w:tr>
      <w:tr w:rsidR="006B42D6" w:rsidRPr="0085694C" w14:paraId="33A6C904" w14:textId="77777777" w:rsidTr="00563226">
        <w:trPr>
          <w:trHeight w:val="169"/>
        </w:trPr>
        <w:tc>
          <w:tcPr>
            <w:tcW w:w="771" w:type="pct"/>
            <w:tcBorders>
              <w:top w:val="nil"/>
              <w:left w:val="nil"/>
              <w:bottom w:val="nil"/>
              <w:right w:val="nil"/>
            </w:tcBorders>
            <w:shd w:val="clear" w:color="auto" w:fill="auto"/>
            <w:noWrap/>
            <w:vAlign w:val="center"/>
            <w:hideMark/>
          </w:tcPr>
          <w:p w14:paraId="3E85D810" w14:textId="77777777" w:rsidR="00833238" w:rsidRPr="0085694C" w:rsidRDefault="00833238" w:rsidP="00833238">
            <w:pPr>
              <w:rPr>
                <w:sz w:val="15"/>
                <w:szCs w:val="15"/>
              </w:rPr>
            </w:pPr>
            <w:r w:rsidRPr="0085694C">
              <w:rPr>
                <w:sz w:val="15"/>
                <w:szCs w:val="15"/>
              </w:rPr>
              <w:t>Kusini Unguja</w:t>
            </w:r>
          </w:p>
        </w:tc>
        <w:tc>
          <w:tcPr>
            <w:tcW w:w="526" w:type="pct"/>
            <w:tcBorders>
              <w:top w:val="nil"/>
              <w:left w:val="single" w:sz="4" w:space="0" w:color="auto"/>
              <w:bottom w:val="nil"/>
              <w:right w:val="nil"/>
            </w:tcBorders>
            <w:shd w:val="clear" w:color="auto" w:fill="auto"/>
            <w:noWrap/>
            <w:vAlign w:val="bottom"/>
            <w:hideMark/>
          </w:tcPr>
          <w:p w14:paraId="2FBEA42C" w14:textId="77777777" w:rsidR="00833238" w:rsidRPr="0085694C" w:rsidRDefault="00833238" w:rsidP="00833238">
            <w:pPr>
              <w:jc w:val="right"/>
              <w:rPr>
                <w:sz w:val="15"/>
                <w:szCs w:val="15"/>
              </w:rPr>
            </w:pPr>
            <w:r w:rsidRPr="0085694C">
              <w:rPr>
                <w:sz w:val="15"/>
                <w:szCs w:val="15"/>
              </w:rPr>
              <w:t>235</w:t>
            </w:r>
          </w:p>
        </w:tc>
        <w:tc>
          <w:tcPr>
            <w:tcW w:w="279" w:type="pct"/>
            <w:tcBorders>
              <w:top w:val="nil"/>
              <w:left w:val="nil"/>
              <w:bottom w:val="nil"/>
              <w:right w:val="nil"/>
            </w:tcBorders>
            <w:shd w:val="clear" w:color="auto" w:fill="auto"/>
            <w:noWrap/>
            <w:vAlign w:val="bottom"/>
            <w:hideMark/>
          </w:tcPr>
          <w:p w14:paraId="3FACF4F7" w14:textId="77777777" w:rsidR="00833238" w:rsidRPr="0085694C" w:rsidRDefault="00833238" w:rsidP="00833238">
            <w:pPr>
              <w:jc w:val="right"/>
              <w:rPr>
                <w:sz w:val="15"/>
                <w:szCs w:val="15"/>
              </w:rPr>
            </w:pPr>
            <w:r w:rsidRPr="0085694C">
              <w:rPr>
                <w:sz w:val="15"/>
                <w:szCs w:val="15"/>
              </w:rPr>
              <w:t>31.4</w:t>
            </w:r>
          </w:p>
        </w:tc>
        <w:tc>
          <w:tcPr>
            <w:tcW w:w="483" w:type="pct"/>
            <w:tcBorders>
              <w:top w:val="nil"/>
              <w:left w:val="single" w:sz="4" w:space="0" w:color="auto"/>
              <w:bottom w:val="nil"/>
              <w:right w:val="nil"/>
            </w:tcBorders>
            <w:shd w:val="clear" w:color="auto" w:fill="auto"/>
            <w:noWrap/>
            <w:vAlign w:val="bottom"/>
            <w:hideMark/>
          </w:tcPr>
          <w:p w14:paraId="693E7E6C" w14:textId="77777777" w:rsidR="00833238" w:rsidRPr="0085694C" w:rsidRDefault="00833238" w:rsidP="00833238">
            <w:pPr>
              <w:jc w:val="right"/>
              <w:rPr>
                <w:sz w:val="15"/>
                <w:szCs w:val="15"/>
              </w:rPr>
            </w:pPr>
            <w:r w:rsidRPr="0085694C">
              <w:rPr>
                <w:sz w:val="15"/>
                <w:szCs w:val="15"/>
              </w:rPr>
              <w:t>5,337</w:t>
            </w:r>
          </w:p>
        </w:tc>
        <w:tc>
          <w:tcPr>
            <w:tcW w:w="569" w:type="pct"/>
            <w:tcBorders>
              <w:top w:val="nil"/>
              <w:left w:val="nil"/>
              <w:bottom w:val="nil"/>
              <w:right w:val="single" w:sz="4" w:space="0" w:color="auto"/>
            </w:tcBorders>
            <w:shd w:val="clear" w:color="auto" w:fill="auto"/>
            <w:noWrap/>
            <w:vAlign w:val="bottom"/>
            <w:hideMark/>
          </w:tcPr>
          <w:p w14:paraId="1D84D525" w14:textId="77777777" w:rsidR="00833238" w:rsidRPr="0085694C" w:rsidRDefault="00833238" w:rsidP="00833238">
            <w:pPr>
              <w:jc w:val="right"/>
              <w:rPr>
                <w:sz w:val="15"/>
                <w:szCs w:val="15"/>
              </w:rPr>
            </w:pPr>
            <w:r w:rsidRPr="0085694C">
              <w:rPr>
                <w:sz w:val="15"/>
                <w:szCs w:val="15"/>
              </w:rPr>
              <w:t>17.9</w:t>
            </w:r>
          </w:p>
        </w:tc>
        <w:tc>
          <w:tcPr>
            <w:tcW w:w="542" w:type="pct"/>
            <w:tcBorders>
              <w:top w:val="nil"/>
              <w:left w:val="nil"/>
              <w:bottom w:val="nil"/>
              <w:right w:val="nil"/>
            </w:tcBorders>
            <w:shd w:val="clear" w:color="auto" w:fill="auto"/>
            <w:noWrap/>
            <w:vAlign w:val="bottom"/>
            <w:hideMark/>
          </w:tcPr>
          <w:p w14:paraId="0BF1B31A" w14:textId="77777777" w:rsidR="00833238" w:rsidRPr="0085694C" w:rsidRDefault="00833238" w:rsidP="00833238">
            <w:pPr>
              <w:jc w:val="right"/>
              <w:rPr>
                <w:sz w:val="15"/>
                <w:szCs w:val="15"/>
              </w:rPr>
            </w:pPr>
            <w:r w:rsidRPr="0085694C">
              <w:rPr>
                <w:sz w:val="15"/>
                <w:szCs w:val="15"/>
              </w:rPr>
              <w:t>7,221</w:t>
            </w:r>
          </w:p>
        </w:tc>
        <w:tc>
          <w:tcPr>
            <w:tcW w:w="616" w:type="pct"/>
            <w:tcBorders>
              <w:top w:val="nil"/>
              <w:left w:val="nil"/>
              <w:bottom w:val="nil"/>
              <w:right w:val="nil"/>
            </w:tcBorders>
            <w:shd w:val="clear" w:color="auto" w:fill="auto"/>
            <w:noWrap/>
            <w:vAlign w:val="bottom"/>
            <w:hideMark/>
          </w:tcPr>
          <w:p w14:paraId="5270AAEF" w14:textId="77777777" w:rsidR="00833238" w:rsidRPr="0085694C" w:rsidRDefault="00833238" w:rsidP="00833238">
            <w:pPr>
              <w:jc w:val="right"/>
              <w:rPr>
                <w:sz w:val="15"/>
                <w:szCs w:val="15"/>
              </w:rPr>
            </w:pPr>
            <w:r w:rsidRPr="0085694C">
              <w:rPr>
                <w:sz w:val="15"/>
                <w:szCs w:val="15"/>
              </w:rPr>
              <w:t>12.3</w:t>
            </w:r>
          </w:p>
        </w:tc>
        <w:tc>
          <w:tcPr>
            <w:tcW w:w="598" w:type="pct"/>
            <w:tcBorders>
              <w:top w:val="nil"/>
              <w:left w:val="single" w:sz="4" w:space="0" w:color="auto"/>
              <w:bottom w:val="nil"/>
              <w:right w:val="nil"/>
            </w:tcBorders>
            <w:shd w:val="clear" w:color="auto" w:fill="auto"/>
            <w:noWrap/>
            <w:vAlign w:val="bottom"/>
            <w:hideMark/>
          </w:tcPr>
          <w:p w14:paraId="475A7F65" w14:textId="77777777" w:rsidR="00833238" w:rsidRPr="0085694C" w:rsidRDefault="00833238" w:rsidP="00833238">
            <w:pPr>
              <w:jc w:val="right"/>
              <w:rPr>
                <w:sz w:val="15"/>
                <w:szCs w:val="15"/>
              </w:rPr>
            </w:pPr>
            <w:r w:rsidRPr="0085694C">
              <w:rPr>
                <w:sz w:val="15"/>
                <w:szCs w:val="15"/>
              </w:rPr>
              <w:t>1,256</w:t>
            </w:r>
          </w:p>
        </w:tc>
        <w:tc>
          <w:tcPr>
            <w:tcW w:w="615" w:type="pct"/>
            <w:tcBorders>
              <w:top w:val="nil"/>
              <w:left w:val="nil"/>
              <w:bottom w:val="nil"/>
              <w:right w:val="nil"/>
            </w:tcBorders>
            <w:shd w:val="clear" w:color="auto" w:fill="auto"/>
            <w:noWrap/>
            <w:vAlign w:val="bottom"/>
            <w:hideMark/>
          </w:tcPr>
          <w:p w14:paraId="75D62718" w14:textId="77777777" w:rsidR="00833238" w:rsidRPr="0085694C" w:rsidRDefault="00833238" w:rsidP="00833238">
            <w:pPr>
              <w:jc w:val="right"/>
              <w:rPr>
                <w:sz w:val="15"/>
                <w:szCs w:val="15"/>
              </w:rPr>
            </w:pPr>
            <w:r w:rsidRPr="0085694C">
              <w:rPr>
                <w:sz w:val="15"/>
                <w:szCs w:val="15"/>
              </w:rPr>
              <w:t>16.7</w:t>
            </w:r>
          </w:p>
        </w:tc>
      </w:tr>
      <w:tr w:rsidR="006B42D6" w:rsidRPr="0085694C" w14:paraId="743ABBEE" w14:textId="77777777" w:rsidTr="00563226">
        <w:trPr>
          <w:trHeight w:val="169"/>
        </w:trPr>
        <w:tc>
          <w:tcPr>
            <w:tcW w:w="771" w:type="pct"/>
            <w:tcBorders>
              <w:top w:val="nil"/>
              <w:left w:val="nil"/>
              <w:bottom w:val="nil"/>
              <w:right w:val="nil"/>
            </w:tcBorders>
            <w:shd w:val="clear" w:color="auto" w:fill="auto"/>
            <w:noWrap/>
            <w:vAlign w:val="center"/>
            <w:hideMark/>
          </w:tcPr>
          <w:p w14:paraId="207A7DB0" w14:textId="77777777" w:rsidR="00833238" w:rsidRPr="0085694C" w:rsidRDefault="00833238" w:rsidP="00833238">
            <w:pPr>
              <w:rPr>
                <w:sz w:val="15"/>
                <w:szCs w:val="15"/>
              </w:rPr>
            </w:pPr>
            <w:r w:rsidRPr="0085694C">
              <w:rPr>
                <w:sz w:val="15"/>
                <w:szCs w:val="15"/>
              </w:rPr>
              <w:t>Mjini Magharibi</w:t>
            </w:r>
          </w:p>
        </w:tc>
        <w:tc>
          <w:tcPr>
            <w:tcW w:w="526" w:type="pct"/>
            <w:tcBorders>
              <w:top w:val="nil"/>
              <w:left w:val="single" w:sz="4" w:space="0" w:color="auto"/>
              <w:bottom w:val="nil"/>
              <w:right w:val="nil"/>
            </w:tcBorders>
            <w:shd w:val="clear" w:color="auto" w:fill="auto"/>
            <w:noWrap/>
            <w:vAlign w:val="bottom"/>
            <w:hideMark/>
          </w:tcPr>
          <w:p w14:paraId="16349D9C" w14:textId="77777777" w:rsidR="00833238" w:rsidRPr="0085694C" w:rsidRDefault="00833238" w:rsidP="00833238">
            <w:pPr>
              <w:jc w:val="right"/>
              <w:rPr>
                <w:sz w:val="15"/>
                <w:szCs w:val="15"/>
              </w:rPr>
            </w:pPr>
            <w:r w:rsidRPr="0085694C">
              <w:rPr>
                <w:sz w:val="15"/>
                <w:szCs w:val="15"/>
              </w:rPr>
              <w:t>339</w:t>
            </w:r>
          </w:p>
        </w:tc>
        <w:tc>
          <w:tcPr>
            <w:tcW w:w="279" w:type="pct"/>
            <w:tcBorders>
              <w:top w:val="nil"/>
              <w:left w:val="nil"/>
              <w:bottom w:val="nil"/>
              <w:right w:val="nil"/>
            </w:tcBorders>
            <w:shd w:val="clear" w:color="auto" w:fill="auto"/>
            <w:noWrap/>
            <w:vAlign w:val="bottom"/>
            <w:hideMark/>
          </w:tcPr>
          <w:p w14:paraId="7B8F26E3" w14:textId="77777777" w:rsidR="00833238" w:rsidRPr="0085694C" w:rsidRDefault="00833238" w:rsidP="00833238">
            <w:pPr>
              <w:jc w:val="right"/>
              <w:rPr>
                <w:sz w:val="15"/>
                <w:szCs w:val="15"/>
              </w:rPr>
            </w:pPr>
            <w:r w:rsidRPr="0085694C">
              <w:rPr>
                <w:sz w:val="15"/>
                <w:szCs w:val="15"/>
              </w:rPr>
              <w:t>45.3</w:t>
            </w:r>
          </w:p>
        </w:tc>
        <w:tc>
          <w:tcPr>
            <w:tcW w:w="483" w:type="pct"/>
            <w:tcBorders>
              <w:top w:val="nil"/>
              <w:left w:val="single" w:sz="4" w:space="0" w:color="auto"/>
              <w:bottom w:val="nil"/>
              <w:right w:val="nil"/>
            </w:tcBorders>
            <w:shd w:val="clear" w:color="auto" w:fill="auto"/>
            <w:noWrap/>
            <w:vAlign w:val="bottom"/>
            <w:hideMark/>
          </w:tcPr>
          <w:p w14:paraId="3DD3BBAA" w14:textId="77777777" w:rsidR="00833238" w:rsidRPr="0085694C" w:rsidRDefault="00833238" w:rsidP="00833238">
            <w:pPr>
              <w:jc w:val="right"/>
              <w:rPr>
                <w:sz w:val="15"/>
                <w:szCs w:val="15"/>
              </w:rPr>
            </w:pPr>
            <w:r w:rsidRPr="0085694C">
              <w:rPr>
                <w:sz w:val="15"/>
                <w:szCs w:val="15"/>
              </w:rPr>
              <w:t>5,078</w:t>
            </w:r>
          </w:p>
        </w:tc>
        <w:tc>
          <w:tcPr>
            <w:tcW w:w="569" w:type="pct"/>
            <w:tcBorders>
              <w:top w:val="nil"/>
              <w:left w:val="nil"/>
              <w:bottom w:val="nil"/>
              <w:right w:val="single" w:sz="4" w:space="0" w:color="auto"/>
            </w:tcBorders>
            <w:shd w:val="clear" w:color="auto" w:fill="auto"/>
            <w:noWrap/>
            <w:vAlign w:val="bottom"/>
            <w:hideMark/>
          </w:tcPr>
          <w:p w14:paraId="7ED3437E" w14:textId="77777777" w:rsidR="00833238" w:rsidRPr="0085694C" w:rsidRDefault="00833238" w:rsidP="00833238">
            <w:pPr>
              <w:jc w:val="right"/>
              <w:rPr>
                <w:sz w:val="15"/>
                <w:szCs w:val="15"/>
              </w:rPr>
            </w:pPr>
            <w:r w:rsidRPr="0085694C">
              <w:rPr>
                <w:sz w:val="15"/>
                <w:szCs w:val="15"/>
              </w:rPr>
              <w:t>17.0</w:t>
            </w:r>
          </w:p>
        </w:tc>
        <w:tc>
          <w:tcPr>
            <w:tcW w:w="542" w:type="pct"/>
            <w:tcBorders>
              <w:top w:val="nil"/>
              <w:left w:val="nil"/>
              <w:bottom w:val="nil"/>
              <w:right w:val="nil"/>
            </w:tcBorders>
            <w:shd w:val="clear" w:color="auto" w:fill="auto"/>
            <w:noWrap/>
            <w:vAlign w:val="bottom"/>
            <w:hideMark/>
          </w:tcPr>
          <w:p w14:paraId="09D137B5" w14:textId="77777777" w:rsidR="00833238" w:rsidRPr="0085694C" w:rsidRDefault="00833238" w:rsidP="00833238">
            <w:pPr>
              <w:jc w:val="right"/>
              <w:rPr>
                <w:sz w:val="15"/>
                <w:szCs w:val="15"/>
              </w:rPr>
            </w:pPr>
            <w:r w:rsidRPr="0085694C">
              <w:rPr>
                <w:sz w:val="15"/>
                <w:szCs w:val="15"/>
              </w:rPr>
              <w:t>13,428</w:t>
            </w:r>
          </w:p>
        </w:tc>
        <w:tc>
          <w:tcPr>
            <w:tcW w:w="616" w:type="pct"/>
            <w:tcBorders>
              <w:top w:val="nil"/>
              <w:left w:val="nil"/>
              <w:bottom w:val="nil"/>
              <w:right w:val="nil"/>
            </w:tcBorders>
            <w:shd w:val="clear" w:color="auto" w:fill="auto"/>
            <w:noWrap/>
            <w:vAlign w:val="bottom"/>
            <w:hideMark/>
          </w:tcPr>
          <w:p w14:paraId="3A52C2D7" w14:textId="77777777" w:rsidR="00833238" w:rsidRPr="0085694C" w:rsidRDefault="00833238" w:rsidP="00833238">
            <w:pPr>
              <w:jc w:val="right"/>
              <w:rPr>
                <w:sz w:val="15"/>
                <w:szCs w:val="15"/>
              </w:rPr>
            </w:pPr>
            <w:r w:rsidRPr="0085694C">
              <w:rPr>
                <w:sz w:val="15"/>
                <w:szCs w:val="15"/>
              </w:rPr>
              <w:t>22.9</w:t>
            </w:r>
          </w:p>
        </w:tc>
        <w:tc>
          <w:tcPr>
            <w:tcW w:w="598" w:type="pct"/>
            <w:tcBorders>
              <w:top w:val="nil"/>
              <w:left w:val="single" w:sz="4" w:space="0" w:color="auto"/>
              <w:bottom w:val="nil"/>
              <w:right w:val="nil"/>
            </w:tcBorders>
            <w:shd w:val="clear" w:color="auto" w:fill="auto"/>
            <w:noWrap/>
            <w:vAlign w:val="bottom"/>
            <w:hideMark/>
          </w:tcPr>
          <w:p w14:paraId="140992C4" w14:textId="77777777" w:rsidR="00833238" w:rsidRPr="0085694C" w:rsidRDefault="00833238" w:rsidP="00833238">
            <w:pPr>
              <w:jc w:val="right"/>
              <w:rPr>
                <w:sz w:val="15"/>
                <w:szCs w:val="15"/>
              </w:rPr>
            </w:pPr>
            <w:r w:rsidRPr="0085694C">
              <w:rPr>
                <w:sz w:val="15"/>
                <w:szCs w:val="15"/>
              </w:rPr>
              <w:t>2,708</w:t>
            </w:r>
          </w:p>
        </w:tc>
        <w:tc>
          <w:tcPr>
            <w:tcW w:w="615" w:type="pct"/>
            <w:tcBorders>
              <w:top w:val="nil"/>
              <w:left w:val="nil"/>
              <w:bottom w:val="nil"/>
              <w:right w:val="nil"/>
            </w:tcBorders>
            <w:shd w:val="clear" w:color="auto" w:fill="auto"/>
            <w:noWrap/>
            <w:vAlign w:val="bottom"/>
            <w:hideMark/>
          </w:tcPr>
          <w:p w14:paraId="4E5028D1" w14:textId="77777777" w:rsidR="00833238" w:rsidRPr="0085694C" w:rsidRDefault="00833238" w:rsidP="00833238">
            <w:pPr>
              <w:jc w:val="right"/>
              <w:rPr>
                <w:sz w:val="15"/>
                <w:szCs w:val="15"/>
              </w:rPr>
            </w:pPr>
            <w:r w:rsidRPr="0085694C">
              <w:rPr>
                <w:sz w:val="15"/>
                <w:szCs w:val="15"/>
              </w:rPr>
              <w:t>36.0</w:t>
            </w:r>
          </w:p>
        </w:tc>
      </w:tr>
      <w:tr w:rsidR="006B42D6" w:rsidRPr="0085694C" w14:paraId="62F3DDB1" w14:textId="77777777" w:rsidTr="00563226">
        <w:trPr>
          <w:trHeight w:val="169"/>
        </w:trPr>
        <w:tc>
          <w:tcPr>
            <w:tcW w:w="771" w:type="pct"/>
            <w:tcBorders>
              <w:top w:val="nil"/>
              <w:left w:val="nil"/>
              <w:bottom w:val="nil"/>
              <w:right w:val="nil"/>
            </w:tcBorders>
            <w:shd w:val="clear" w:color="auto" w:fill="auto"/>
            <w:noWrap/>
            <w:vAlign w:val="center"/>
            <w:hideMark/>
          </w:tcPr>
          <w:p w14:paraId="0C4889C8" w14:textId="77777777" w:rsidR="00833238" w:rsidRPr="0085694C" w:rsidRDefault="00833238" w:rsidP="00833238">
            <w:pPr>
              <w:rPr>
                <w:sz w:val="15"/>
                <w:szCs w:val="15"/>
              </w:rPr>
            </w:pPr>
            <w:r w:rsidRPr="0085694C">
              <w:rPr>
                <w:sz w:val="15"/>
                <w:szCs w:val="15"/>
              </w:rPr>
              <w:t>Kaskazini Pemba</w:t>
            </w:r>
          </w:p>
        </w:tc>
        <w:tc>
          <w:tcPr>
            <w:tcW w:w="526" w:type="pct"/>
            <w:tcBorders>
              <w:top w:val="nil"/>
              <w:left w:val="single" w:sz="4" w:space="0" w:color="auto"/>
              <w:bottom w:val="nil"/>
              <w:right w:val="nil"/>
            </w:tcBorders>
            <w:shd w:val="clear" w:color="auto" w:fill="auto"/>
            <w:noWrap/>
            <w:vAlign w:val="bottom"/>
            <w:hideMark/>
          </w:tcPr>
          <w:p w14:paraId="55DA7BEC" w14:textId="77777777" w:rsidR="00833238" w:rsidRPr="0085694C" w:rsidRDefault="00833238" w:rsidP="00833238">
            <w:pPr>
              <w:jc w:val="right"/>
              <w:rPr>
                <w:sz w:val="15"/>
                <w:szCs w:val="15"/>
              </w:rPr>
            </w:pPr>
            <w:r w:rsidRPr="0085694C">
              <w:rPr>
                <w:sz w:val="15"/>
                <w:szCs w:val="15"/>
              </w:rPr>
              <w:t>-</w:t>
            </w:r>
          </w:p>
        </w:tc>
        <w:tc>
          <w:tcPr>
            <w:tcW w:w="279" w:type="pct"/>
            <w:tcBorders>
              <w:top w:val="nil"/>
              <w:left w:val="nil"/>
              <w:bottom w:val="nil"/>
              <w:right w:val="nil"/>
            </w:tcBorders>
            <w:shd w:val="clear" w:color="auto" w:fill="auto"/>
            <w:noWrap/>
            <w:vAlign w:val="bottom"/>
            <w:hideMark/>
          </w:tcPr>
          <w:p w14:paraId="39D0E467" w14:textId="77777777" w:rsidR="00833238" w:rsidRPr="0085694C" w:rsidRDefault="00833238" w:rsidP="00833238">
            <w:pPr>
              <w:jc w:val="right"/>
              <w:rPr>
                <w:sz w:val="15"/>
                <w:szCs w:val="15"/>
              </w:rPr>
            </w:pPr>
            <w:r w:rsidRPr="0085694C">
              <w:rPr>
                <w:sz w:val="15"/>
                <w:szCs w:val="15"/>
              </w:rPr>
              <w:t>-</w:t>
            </w:r>
          </w:p>
        </w:tc>
        <w:tc>
          <w:tcPr>
            <w:tcW w:w="483" w:type="pct"/>
            <w:tcBorders>
              <w:top w:val="nil"/>
              <w:left w:val="single" w:sz="4" w:space="0" w:color="auto"/>
              <w:bottom w:val="nil"/>
              <w:right w:val="nil"/>
            </w:tcBorders>
            <w:shd w:val="clear" w:color="auto" w:fill="auto"/>
            <w:noWrap/>
            <w:vAlign w:val="bottom"/>
            <w:hideMark/>
          </w:tcPr>
          <w:p w14:paraId="1DD70AD4" w14:textId="77777777" w:rsidR="00833238" w:rsidRPr="0085694C" w:rsidRDefault="00833238" w:rsidP="00833238">
            <w:pPr>
              <w:jc w:val="right"/>
              <w:rPr>
                <w:sz w:val="15"/>
                <w:szCs w:val="15"/>
              </w:rPr>
            </w:pPr>
            <w:r w:rsidRPr="0085694C">
              <w:rPr>
                <w:sz w:val="15"/>
                <w:szCs w:val="15"/>
              </w:rPr>
              <w:t>5,652</w:t>
            </w:r>
          </w:p>
        </w:tc>
        <w:tc>
          <w:tcPr>
            <w:tcW w:w="569" w:type="pct"/>
            <w:tcBorders>
              <w:top w:val="nil"/>
              <w:left w:val="nil"/>
              <w:bottom w:val="nil"/>
              <w:right w:val="single" w:sz="4" w:space="0" w:color="auto"/>
            </w:tcBorders>
            <w:shd w:val="clear" w:color="auto" w:fill="auto"/>
            <w:noWrap/>
            <w:vAlign w:val="bottom"/>
            <w:hideMark/>
          </w:tcPr>
          <w:p w14:paraId="5DC71E76" w14:textId="77777777" w:rsidR="00833238" w:rsidRPr="0085694C" w:rsidRDefault="00833238" w:rsidP="00833238">
            <w:pPr>
              <w:jc w:val="right"/>
              <w:rPr>
                <w:sz w:val="15"/>
                <w:szCs w:val="15"/>
              </w:rPr>
            </w:pPr>
            <w:r w:rsidRPr="0085694C">
              <w:rPr>
                <w:sz w:val="15"/>
                <w:szCs w:val="15"/>
              </w:rPr>
              <w:t>19.0</w:t>
            </w:r>
          </w:p>
        </w:tc>
        <w:tc>
          <w:tcPr>
            <w:tcW w:w="542" w:type="pct"/>
            <w:tcBorders>
              <w:top w:val="nil"/>
              <w:left w:val="nil"/>
              <w:bottom w:val="nil"/>
              <w:right w:val="nil"/>
            </w:tcBorders>
            <w:shd w:val="clear" w:color="auto" w:fill="auto"/>
            <w:noWrap/>
            <w:vAlign w:val="bottom"/>
            <w:hideMark/>
          </w:tcPr>
          <w:p w14:paraId="3AE87E97" w14:textId="77777777" w:rsidR="00833238" w:rsidRPr="0085694C" w:rsidRDefault="00833238" w:rsidP="00833238">
            <w:pPr>
              <w:jc w:val="right"/>
              <w:rPr>
                <w:sz w:val="15"/>
                <w:szCs w:val="15"/>
              </w:rPr>
            </w:pPr>
            <w:r w:rsidRPr="0085694C">
              <w:rPr>
                <w:sz w:val="15"/>
                <w:szCs w:val="15"/>
              </w:rPr>
              <w:t>22,904</w:t>
            </w:r>
          </w:p>
        </w:tc>
        <w:tc>
          <w:tcPr>
            <w:tcW w:w="616" w:type="pct"/>
            <w:tcBorders>
              <w:top w:val="nil"/>
              <w:left w:val="nil"/>
              <w:bottom w:val="nil"/>
              <w:right w:val="nil"/>
            </w:tcBorders>
            <w:shd w:val="clear" w:color="auto" w:fill="auto"/>
            <w:noWrap/>
            <w:vAlign w:val="bottom"/>
            <w:hideMark/>
          </w:tcPr>
          <w:p w14:paraId="044D4C03" w14:textId="77777777" w:rsidR="00833238" w:rsidRPr="0085694C" w:rsidRDefault="00833238" w:rsidP="00833238">
            <w:pPr>
              <w:jc w:val="right"/>
              <w:rPr>
                <w:sz w:val="15"/>
                <w:szCs w:val="15"/>
              </w:rPr>
            </w:pPr>
            <w:r w:rsidRPr="0085694C">
              <w:rPr>
                <w:sz w:val="15"/>
                <w:szCs w:val="15"/>
              </w:rPr>
              <w:t>39.0</w:t>
            </w:r>
          </w:p>
        </w:tc>
        <w:tc>
          <w:tcPr>
            <w:tcW w:w="598" w:type="pct"/>
            <w:tcBorders>
              <w:top w:val="nil"/>
              <w:left w:val="single" w:sz="4" w:space="0" w:color="auto"/>
              <w:bottom w:val="nil"/>
              <w:right w:val="nil"/>
            </w:tcBorders>
            <w:shd w:val="clear" w:color="auto" w:fill="auto"/>
            <w:noWrap/>
            <w:vAlign w:val="bottom"/>
            <w:hideMark/>
          </w:tcPr>
          <w:p w14:paraId="2469CACF" w14:textId="77777777" w:rsidR="00833238" w:rsidRPr="0085694C" w:rsidRDefault="00833238" w:rsidP="00833238">
            <w:pPr>
              <w:jc w:val="right"/>
              <w:rPr>
                <w:sz w:val="15"/>
                <w:szCs w:val="15"/>
              </w:rPr>
            </w:pPr>
            <w:r w:rsidRPr="0085694C">
              <w:rPr>
                <w:sz w:val="15"/>
                <w:szCs w:val="15"/>
              </w:rPr>
              <w:t>595</w:t>
            </w:r>
          </w:p>
        </w:tc>
        <w:tc>
          <w:tcPr>
            <w:tcW w:w="615" w:type="pct"/>
            <w:tcBorders>
              <w:top w:val="nil"/>
              <w:left w:val="nil"/>
              <w:bottom w:val="nil"/>
              <w:right w:val="nil"/>
            </w:tcBorders>
            <w:shd w:val="clear" w:color="auto" w:fill="auto"/>
            <w:noWrap/>
            <w:vAlign w:val="bottom"/>
            <w:hideMark/>
          </w:tcPr>
          <w:p w14:paraId="09963820" w14:textId="77777777" w:rsidR="00833238" w:rsidRPr="0085694C" w:rsidRDefault="00833238" w:rsidP="00833238">
            <w:pPr>
              <w:jc w:val="right"/>
              <w:rPr>
                <w:sz w:val="15"/>
                <w:szCs w:val="15"/>
              </w:rPr>
            </w:pPr>
            <w:r w:rsidRPr="0085694C">
              <w:rPr>
                <w:sz w:val="15"/>
                <w:szCs w:val="15"/>
              </w:rPr>
              <w:t>7.9</w:t>
            </w:r>
          </w:p>
        </w:tc>
      </w:tr>
      <w:tr w:rsidR="006B42D6" w:rsidRPr="0085694C" w14:paraId="2EEACB0B" w14:textId="77777777" w:rsidTr="00563226">
        <w:trPr>
          <w:trHeight w:val="169"/>
        </w:trPr>
        <w:tc>
          <w:tcPr>
            <w:tcW w:w="771" w:type="pct"/>
            <w:tcBorders>
              <w:top w:val="nil"/>
              <w:left w:val="nil"/>
              <w:bottom w:val="nil"/>
              <w:right w:val="nil"/>
            </w:tcBorders>
            <w:shd w:val="clear" w:color="auto" w:fill="auto"/>
            <w:noWrap/>
            <w:vAlign w:val="center"/>
            <w:hideMark/>
          </w:tcPr>
          <w:p w14:paraId="408CC6BD" w14:textId="502240C2" w:rsidR="00833238" w:rsidRPr="0085694C" w:rsidRDefault="00833238" w:rsidP="00833238">
            <w:pPr>
              <w:rPr>
                <w:sz w:val="15"/>
                <w:szCs w:val="15"/>
              </w:rPr>
            </w:pPr>
            <w:r w:rsidRPr="0085694C">
              <w:rPr>
                <w:sz w:val="15"/>
                <w:szCs w:val="15"/>
              </w:rPr>
              <w:t>Kusini Pemba</w:t>
            </w:r>
          </w:p>
        </w:tc>
        <w:tc>
          <w:tcPr>
            <w:tcW w:w="526" w:type="pct"/>
            <w:tcBorders>
              <w:top w:val="nil"/>
              <w:left w:val="single" w:sz="4" w:space="0" w:color="auto"/>
              <w:bottom w:val="nil"/>
              <w:right w:val="nil"/>
            </w:tcBorders>
            <w:shd w:val="clear" w:color="auto" w:fill="auto"/>
            <w:noWrap/>
            <w:vAlign w:val="bottom"/>
            <w:hideMark/>
          </w:tcPr>
          <w:p w14:paraId="73B108AA" w14:textId="77777777" w:rsidR="00833238" w:rsidRPr="0085694C" w:rsidRDefault="00833238" w:rsidP="00833238">
            <w:pPr>
              <w:jc w:val="right"/>
              <w:rPr>
                <w:sz w:val="15"/>
                <w:szCs w:val="15"/>
              </w:rPr>
            </w:pPr>
            <w:r w:rsidRPr="0085694C">
              <w:rPr>
                <w:sz w:val="15"/>
                <w:szCs w:val="15"/>
              </w:rPr>
              <w:t>-</w:t>
            </w:r>
          </w:p>
        </w:tc>
        <w:tc>
          <w:tcPr>
            <w:tcW w:w="279" w:type="pct"/>
            <w:tcBorders>
              <w:top w:val="nil"/>
              <w:left w:val="nil"/>
              <w:bottom w:val="nil"/>
              <w:right w:val="nil"/>
            </w:tcBorders>
            <w:shd w:val="clear" w:color="auto" w:fill="auto"/>
            <w:noWrap/>
            <w:vAlign w:val="bottom"/>
            <w:hideMark/>
          </w:tcPr>
          <w:p w14:paraId="69A650F3" w14:textId="77777777" w:rsidR="00833238" w:rsidRPr="0085694C" w:rsidRDefault="00833238" w:rsidP="00833238">
            <w:pPr>
              <w:jc w:val="right"/>
              <w:rPr>
                <w:sz w:val="15"/>
                <w:szCs w:val="15"/>
              </w:rPr>
            </w:pPr>
            <w:r w:rsidRPr="0085694C">
              <w:rPr>
                <w:sz w:val="15"/>
                <w:szCs w:val="15"/>
              </w:rPr>
              <w:t>-</w:t>
            </w:r>
          </w:p>
        </w:tc>
        <w:tc>
          <w:tcPr>
            <w:tcW w:w="483" w:type="pct"/>
            <w:tcBorders>
              <w:top w:val="nil"/>
              <w:left w:val="single" w:sz="4" w:space="0" w:color="auto"/>
              <w:bottom w:val="nil"/>
              <w:right w:val="nil"/>
            </w:tcBorders>
            <w:shd w:val="clear" w:color="auto" w:fill="auto"/>
            <w:noWrap/>
            <w:vAlign w:val="bottom"/>
            <w:hideMark/>
          </w:tcPr>
          <w:p w14:paraId="2C7C6966" w14:textId="77777777" w:rsidR="00833238" w:rsidRPr="0085694C" w:rsidRDefault="00833238" w:rsidP="00833238">
            <w:pPr>
              <w:jc w:val="right"/>
              <w:rPr>
                <w:sz w:val="15"/>
                <w:szCs w:val="15"/>
              </w:rPr>
            </w:pPr>
            <w:r w:rsidRPr="0085694C">
              <w:rPr>
                <w:sz w:val="15"/>
                <w:szCs w:val="15"/>
              </w:rPr>
              <w:t>8,949</w:t>
            </w:r>
          </w:p>
        </w:tc>
        <w:tc>
          <w:tcPr>
            <w:tcW w:w="569" w:type="pct"/>
            <w:tcBorders>
              <w:top w:val="nil"/>
              <w:left w:val="nil"/>
              <w:bottom w:val="nil"/>
              <w:right w:val="single" w:sz="4" w:space="0" w:color="auto"/>
            </w:tcBorders>
            <w:shd w:val="clear" w:color="auto" w:fill="auto"/>
            <w:noWrap/>
            <w:vAlign w:val="bottom"/>
            <w:hideMark/>
          </w:tcPr>
          <w:p w14:paraId="3BE42FD8" w14:textId="77777777" w:rsidR="00833238" w:rsidRPr="0085694C" w:rsidRDefault="00833238" w:rsidP="00833238">
            <w:pPr>
              <w:jc w:val="right"/>
              <w:rPr>
                <w:sz w:val="15"/>
                <w:szCs w:val="15"/>
              </w:rPr>
            </w:pPr>
            <w:r w:rsidRPr="0085694C">
              <w:rPr>
                <w:sz w:val="15"/>
                <w:szCs w:val="15"/>
              </w:rPr>
              <w:t>30.0</w:t>
            </w:r>
          </w:p>
        </w:tc>
        <w:tc>
          <w:tcPr>
            <w:tcW w:w="542" w:type="pct"/>
            <w:tcBorders>
              <w:top w:val="nil"/>
              <w:left w:val="nil"/>
              <w:bottom w:val="nil"/>
              <w:right w:val="nil"/>
            </w:tcBorders>
            <w:shd w:val="clear" w:color="auto" w:fill="auto"/>
            <w:noWrap/>
            <w:vAlign w:val="bottom"/>
            <w:hideMark/>
          </w:tcPr>
          <w:p w14:paraId="3C0C3761" w14:textId="77777777" w:rsidR="00833238" w:rsidRPr="0085694C" w:rsidRDefault="00833238" w:rsidP="00833238">
            <w:pPr>
              <w:jc w:val="right"/>
              <w:rPr>
                <w:sz w:val="15"/>
                <w:szCs w:val="15"/>
              </w:rPr>
            </w:pPr>
            <w:r w:rsidRPr="0085694C">
              <w:rPr>
                <w:sz w:val="15"/>
                <w:szCs w:val="15"/>
              </w:rPr>
              <w:t>9,829</w:t>
            </w:r>
          </w:p>
        </w:tc>
        <w:tc>
          <w:tcPr>
            <w:tcW w:w="616" w:type="pct"/>
            <w:tcBorders>
              <w:top w:val="nil"/>
              <w:left w:val="nil"/>
              <w:bottom w:val="nil"/>
              <w:right w:val="nil"/>
            </w:tcBorders>
            <w:shd w:val="clear" w:color="auto" w:fill="auto"/>
            <w:noWrap/>
            <w:vAlign w:val="bottom"/>
            <w:hideMark/>
          </w:tcPr>
          <w:p w14:paraId="3BB549C6" w14:textId="77777777" w:rsidR="00833238" w:rsidRPr="0085694C" w:rsidRDefault="00833238" w:rsidP="00833238">
            <w:pPr>
              <w:jc w:val="right"/>
              <w:rPr>
                <w:sz w:val="15"/>
                <w:szCs w:val="15"/>
              </w:rPr>
            </w:pPr>
            <w:r w:rsidRPr="0085694C">
              <w:rPr>
                <w:sz w:val="15"/>
                <w:szCs w:val="15"/>
              </w:rPr>
              <w:t>16.7</w:t>
            </w:r>
          </w:p>
        </w:tc>
        <w:tc>
          <w:tcPr>
            <w:tcW w:w="598" w:type="pct"/>
            <w:tcBorders>
              <w:top w:val="nil"/>
              <w:left w:val="single" w:sz="4" w:space="0" w:color="auto"/>
              <w:bottom w:val="nil"/>
              <w:right w:val="nil"/>
            </w:tcBorders>
            <w:shd w:val="clear" w:color="auto" w:fill="auto"/>
            <w:noWrap/>
            <w:vAlign w:val="bottom"/>
            <w:hideMark/>
          </w:tcPr>
          <w:p w14:paraId="34DBF9FC" w14:textId="77777777" w:rsidR="00833238" w:rsidRPr="0085694C" w:rsidRDefault="00833238" w:rsidP="00833238">
            <w:pPr>
              <w:jc w:val="right"/>
              <w:rPr>
                <w:sz w:val="15"/>
                <w:szCs w:val="15"/>
              </w:rPr>
            </w:pPr>
            <w:r w:rsidRPr="0085694C">
              <w:rPr>
                <w:sz w:val="15"/>
                <w:szCs w:val="15"/>
              </w:rPr>
              <w:t>-</w:t>
            </w:r>
          </w:p>
        </w:tc>
        <w:tc>
          <w:tcPr>
            <w:tcW w:w="615" w:type="pct"/>
            <w:tcBorders>
              <w:top w:val="nil"/>
              <w:left w:val="nil"/>
              <w:bottom w:val="nil"/>
              <w:right w:val="nil"/>
            </w:tcBorders>
            <w:shd w:val="clear" w:color="auto" w:fill="auto"/>
            <w:noWrap/>
            <w:vAlign w:val="bottom"/>
            <w:hideMark/>
          </w:tcPr>
          <w:p w14:paraId="76121634" w14:textId="77777777" w:rsidR="00833238" w:rsidRPr="0085694C" w:rsidRDefault="00833238" w:rsidP="00833238">
            <w:pPr>
              <w:jc w:val="right"/>
              <w:rPr>
                <w:sz w:val="15"/>
                <w:szCs w:val="15"/>
              </w:rPr>
            </w:pPr>
            <w:r w:rsidRPr="0085694C">
              <w:rPr>
                <w:sz w:val="15"/>
                <w:szCs w:val="15"/>
              </w:rPr>
              <w:t>-</w:t>
            </w:r>
          </w:p>
        </w:tc>
      </w:tr>
      <w:tr w:rsidR="006B42D6" w:rsidRPr="0085694C" w14:paraId="348B3BF3" w14:textId="77777777" w:rsidTr="0085694C">
        <w:trPr>
          <w:trHeight w:val="147"/>
        </w:trPr>
        <w:tc>
          <w:tcPr>
            <w:tcW w:w="771" w:type="pct"/>
            <w:tcBorders>
              <w:top w:val="single" w:sz="4" w:space="0" w:color="auto"/>
              <w:left w:val="nil"/>
              <w:bottom w:val="single" w:sz="4" w:space="0" w:color="auto"/>
              <w:right w:val="nil"/>
            </w:tcBorders>
            <w:shd w:val="clear" w:color="auto" w:fill="E2EFD9" w:themeFill="accent6" w:themeFillTint="33"/>
            <w:noWrap/>
            <w:vAlign w:val="center"/>
            <w:hideMark/>
          </w:tcPr>
          <w:p w14:paraId="007C2C1B" w14:textId="428A7F58" w:rsidR="00833238" w:rsidRPr="0085694C" w:rsidRDefault="00287863" w:rsidP="00833238">
            <w:pPr>
              <w:rPr>
                <w:b/>
                <w:bCs/>
                <w:sz w:val="15"/>
                <w:szCs w:val="15"/>
              </w:rPr>
            </w:pPr>
            <w:r w:rsidRPr="0085694C">
              <w:rPr>
                <w:b/>
                <w:bCs/>
                <w:sz w:val="15"/>
                <w:szCs w:val="15"/>
              </w:rPr>
              <w:t xml:space="preserve">Tanzania </w:t>
            </w:r>
            <w:r w:rsidR="00833238" w:rsidRPr="0085694C">
              <w:rPr>
                <w:b/>
                <w:bCs/>
                <w:sz w:val="15"/>
                <w:szCs w:val="15"/>
              </w:rPr>
              <w:t>Zanzibar</w:t>
            </w:r>
          </w:p>
        </w:tc>
        <w:tc>
          <w:tcPr>
            <w:tcW w:w="526" w:type="pct"/>
            <w:tcBorders>
              <w:top w:val="single" w:sz="4" w:space="0" w:color="auto"/>
              <w:left w:val="single" w:sz="4" w:space="0" w:color="auto"/>
              <w:bottom w:val="single" w:sz="4" w:space="0" w:color="auto"/>
              <w:right w:val="nil"/>
            </w:tcBorders>
            <w:shd w:val="clear" w:color="auto" w:fill="E2EFD9" w:themeFill="accent6" w:themeFillTint="33"/>
            <w:noWrap/>
            <w:vAlign w:val="bottom"/>
            <w:hideMark/>
          </w:tcPr>
          <w:p w14:paraId="36B4C9BF" w14:textId="77777777" w:rsidR="00833238" w:rsidRPr="0085694C" w:rsidRDefault="00833238" w:rsidP="00833238">
            <w:pPr>
              <w:jc w:val="right"/>
              <w:rPr>
                <w:b/>
                <w:bCs/>
                <w:sz w:val="15"/>
                <w:szCs w:val="15"/>
              </w:rPr>
            </w:pPr>
            <w:r w:rsidRPr="0085694C">
              <w:rPr>
                <w:b/>
                <w:bCs/>
                <w:sz w:val="15"/>
                <w:szCs w:val="15"/>
              </w:rPr>
              <w:t>748</w:t>
            </w:r>
          </w:p>
        </w:tc>
        <w:tc>
          <w:tcPr>
            <w:tcW w:w="279" w:type="pct"/>
            <w:tcBorders>
              <w:top w:val="single" w:sz="4" w:space="0" w:color="auto"/>
              <w:left w:val="nil"/>
              <w:bottom w:val="single" w:sz="4" w:space="0" w:color="auto"/>
              <w:right w:val="nil"/>
            </w:tcBorders>
            <w:shd w:val="clear" w:color="auto" w:fill="E2EFD9" w:themeFill="accent6" w:themeFillTint="33"/>
            <w:noWrap/>
            <w:vAlign w:val="bottom"/>
            <w:hideMark/>
          </w:tcPr>
          <w:p w14:paraId="50AC783B" w14:textId="60EA9E23" w:rsidR="00833238" w:rsidRPr="0085694C" w:rsidRDefault="00833238" w:rsidP="00833238">
            <w:pPr>
              <w:jc w:val="right"/>
              <w:rPr>
                <w:b/>
                <w:bCs/>
                <w:sz w:val="15"/>
                <w:szCs w:val="15"/>
              </w:rPr>
            </w:pPr>
            <w:r w:rsidRPr="0085694C">
              <w:rPr>
                <w:b/>
                <w:bCs/>
                <w:sz w:val="15"/>
                <w:szCs w:val="15"/>
              </w:rPr>
              <w:t>100</w:t>
            </w:r>
            <w:r w:rsidR="0085694C">
              <w:rPr>
                <w:b/>
                <w:bCs/>
                <w:sz w:val="15"/>
                <w:szCs w:val="15"/>
              </w:rPr>
              <w:t>.0</w:t>
            </w:r>
          </w:p>
        </w:tc>
        <w:tc>
          <w:tcPr>
            <w:tcW w:w="483" w:type="pct"/>
            <w:tcBorders>
              <w:top w:val="single" w:sz="4" w:space="0" w:color="auto"/>
              <w:left w:val="single" w:sz="4" w:space="0" w:color="auto"/>
              <w:bottom w:val="single" w:sz="4" w:space="0" w:color="auto"/>
              <w:right w:val="nil"/>
            </w:tcBorders>
            <w:shd w:val="clear" w:color="auto" w:fill="E2EFD9" w:themeFill="accent6" w:themeFillTint="33"/>
            <w:noWrap/>
            <w:vAlign w:val="bottom"/>
            <w:hideMark/>
          </w:tcPr>
          <w:p w14:paraId="038D5E8E" w14:textId="77777777" w:rsidR="00833238" w:rsidRPr="0085694C" w:rsidRDefault="00833238" w:rsidP="00833238">
            <w:pPr>
              <w:jc w:val="right"/>
              <w:rPr>
                <w:b/>
                <w:bCs/>
                <w:sz w:val="15"/>
                <w:szCs w:val="15"/>
              </w:rPr>
            </w:pPr>
            <w:r w:rsidRPr="0085694C">
              <w:rPr>
                <w:b/>
                <w:bCs/>
                <w:sz w:val="15"/>
                <w:szCs w:val="15"/>
              </w:rPr>
              <w:t>29,801</w:t>
            </w:r>
          </w:p>
        </w:tc>
        <w:tc>
          <w:tcPr>
            <w:tcW w:w="569" w:type="pct"/>
            <w:tcBorders>
              <w:top w:val="single" w:sz="4" w:space="0" w:color="auto"/>
              <w:left w:val="nil"/>
              <w:bottom w:val="single" w:sz="4" w:space="0" w:color="auto"/>
              <w:right w:val="single" w:sz="4" w:space="0" w:color="auto"/>
            </w:tcBorders>
            <w:shd w:val="clear" w:color="auto" w:fill="E2EFD9" w:themeFill="accent6" w:themeFillTint="33"/>
            <w:noWrap/>
            <w:vAlign w:val="bottom"/>
            <w:hideMark/>
          </w:tcPr>
          <w:p w14:paraId="61712F5F" w14:textId="416CAEA1" w:rsidR="00833238" w:rsidRPr="0085694C" w:rsidRDefault="00833238" w:rsidP="00833238">
            <w:pPr>
              <w:jc w:val="right"/>
              <w:rPr>
                <w:b/>
                <w:bCs/>
                <w:sz w:val="15"/>
                <w:szCs w:val="15"/>
              </w:rPr>
            </w:pPr>
            <w:r w:rsidRPr="0085694C">
              <w:rPr>
                <w:b/>
                <w:bCs/>
                <w:sz w:val="15"/>
                <w:szCs w:val="15"/>
              </w:rPr>
              <w:t>100</w:t>
            </w:r>
            <w:r w:rsidR="0085694C">
              <w:rPr>
                <w:b/>
                <w:bCs/>
                <w:sz w:val="15"/>
                <w:szCs w:val="15"/>
              </w:rPr>
              <w:t>.0</w:t>
            </w:r>
          </w:p>
        </w:tc>
        <w:tc>
          <w:tcPr>
            <w:tcW w:w="542" w:type="pct"/>
            <w:tcBorders>
              <w:top w:val="single" w:sz="4" w:space="0" w:color="auto"/>
              <w:left w:val="nil"/>
              <w:bottom w:val="single" w:sz="4" w:space="0" w:color="auto"/>
              <w:right w:val="nil"/>
            </w:tcBorders>
            <w:shd w:val="clear" w:color="auto" w:fill="E2EFD9" w:themeFill="accent6" w:themeFillTint="33"/>
            <w:noWrap/>
            <w:vAlign w:val="bottom"/>
            <w:hideMark/>
          </w:tcPr>
          <w:p w14:paraId="4E333BC8" w14:textId="77777777" w:rsidR="00833238" w:rsidRPr="0085694C" w:rsidRDefault="00833238" w:rsidP="00833238">
            <w:pPr>
              <w:jc w:val="right"/>
              <w:rPr>
                <w:b/>
                <w:bCs/>
                <w:sz w:val="15"/>
                <w:szCs w:val="15"/>
              </w:rPr>
            </w:pPr>
            <w:r w:rsidRPr="0085694C">
              <w:rPr>
                <w:b/>
                <w:bCs/>
                <w:sz w:val="15"/>
                <w:szCs w:val="15"/>
              </w:rPr>
              <w:t>58,690</w:t>
            </w:r>
          </w:p>
        </w:tc>
        <w:tc>
          <w:tcPr>
            <w:tcW w:w="616" w:type="pct"/>
            <w:tcBorders>
              <w:top w:val="single" w:sz="4" w:space="0" w:color="auto"/>
              <w:left w:val="nil"/>
              <w:bottom w:val="single" w:sz="4" w:space="0" w:color="auto"/>
              <w:right w:val="nil"/>
            </w:tcBorders>
            <w:shd w:val="clear" w:color="auto" w:fill="E2EFD9" w:themeFill="accent6" w:themeFillTint="33"/>
            <w:noWrap/>
            <w:vAlign w:val="bottom"/>
            <w:hideMark/>
          </w:tcPr>
          <w:p w14:paraId="1E89538E" w14:textId="50B96F60" w:rsidR="00833238" w:rsidRPr="0085694C" w:rsidRDefault="00833238" w:rsidP="00833238">
            <w:pPr>
              <w:jc w:val="right"/>
              <w:rPr>
                <w:b/>
                <w:bCs/>
                <w:sz w:val="15"/>
                <w:szCs w:val="15"/>
              </w:rPr>
            </w:pPr>
            <w:r w:rsidRPr="0085694C">
              <w:rPr>
                <w:b/>
                <w:bCs/>
                <w:sz w:val="15"/>
                <w:szCs w:val="15"/>
              </w:rPr>
              <w:t>100</w:t>
            </w:r>
            <w:r w:rsidR="0085694C">
              <w:rPr>
                <w:b/>
                <w:bCs/>
                <w:sz w:val="15"/>
                <w:szCs w:val="15"/>
              </w:rPr>
              <w:t>.0</w:t>
            </w:r>
          </w:p>
        </w:tc>
        <w:tc>
          <w:tcPr>
            <w:tcW w:w="598" w:type="pct"/>
            <w:tcBorders>
              <w:top w:val="single" w:sz="4" w:space="0" w:color="auto"/>
              <w:left w:val="single" w:sz="4" w:space="0" w:color="auto"/>
              <w:bottom w:val="single" w:sz="4" w:space="0" w:color="auto"/>
              <w:right w:val="nil"/>
            </w:tcBorders>
            <w:shd w:val="clear" w:color="auto" w:fill="E2EFD9" w:themeFill="accent6" w:themeFillTint="33"/>
            <w:noWrap/>
            <w:vAlign w:val="bottom"/>
            <w:hideMark/>
          </w:tcPr>
          <w:p w14:paraId="155737A5" w14:textId="77777777" w:rsidR="00833238" w:rsidRPr="0085694C" w:rsidRDefault="00833238" w:rsidP="00833238">
            <w:pPr>
              <w:jc w:val="right"/>
              <w:rPr>
                <w:b/>
                <w:bCs/>
                <w:sz w:val="15"/>
                <w:szCs w:val="15"/>
              </w:rPr>
            </w:pPr>
            <w:r w:rsidRPr="0085694C">
              <w:rPr>
                <w:b/>
                <w:bCs/>
                <w:sz w:val="15"/>
                <w:szCs w:val="15"/>
              </w:rPr>
              <w:t>7,517</w:t>
            </w:r>
          </w:p>
        </w:tc>
        <w:tc>
          <w:tcPr>
            <w:tcW w:w="615" w:type="pct"/>
            <w:tcBorders>
              <w:top w:val="single" w:sz="4" w:space="0" w:color="auto"/>
              <w:left w:val="nil"/>
              <w:bottom w:val="single" w:sz="4" w:space="0" w:color="auto"/>
              <w:right w:val="nil"/>
            </w:tcBorders>
            <w:shd w:val="clear" w:color="auto" w:fill="E2EFD9" w:themeFill="accent6" w:themeFillTint="33"/>
            <w:noWrap/>
            <w:vAlign w:val="bottom"/>
            <w:hideMark/>
          </w:tcPr>
          <w:p w14:paraId="4DFE6C3D" w14:textId="1C37A659" w:rsidR="00833238" w:rsidRPr="0085694C" w:rsidRDefault="00833238" w:rsidP="00833238">
            <w:pPr>
              <w:jc w:val="right"/>
              <w:rPr>
                <w:b/>
                <w:bCs/>
                <w:sz w:val="15"/>
                <w:szCs w:val="15"/>
              </w:rPr>
            </w:pPr>
            <w:r w:rsidRPr="0085694C">
              <w:rPr>
                <w:b/>
                <w:bCs/>
                <w:sz w:val="15"/>
                <w:szCs w:val="15"/>
              </w:rPr>
              <w:t>100</w:t>
            </w:r>
            <w:r w:rsidR="0085694C">
              <w:rPr>
                <w:b/>
                <w:bCs/>
                <w:sz w:val="15"/>
                <w:szCs w:val="15"/>
              </w:rPr>
              <w:t>.0</w:t>
            </w:r>
          </w:p>
        </w:tc>
      </w:tr>
      <w:tr w:rsidR="006B42D6" w:rsidRPr="0085694C" w14:paraId="7D031EFE" w14:textId="77777777" w:rsidTr="0048652C">
        <w:trPr>
          <w:trHeight w:val="147"/>
        </w:trPr>
        <w:tc>
          <w:tcPr>
            <w:tcW w:w="771" w:type="pct"/>
            <w:tcBorders>
              <w:top w:val="nil"/>
              <w:left w:val="nil"/>
              <w:bottom w:val="single" w:sz="4" w:space="0" w:color="auto"/>
              <w:right w:val="nil"/>
            </w:tcBorders>
            <w:shd w:val="clear" w:color="auto" w:fill="E2EFD9" w:themeFill="accent6" w:themeFillTint="33"/>
            <w:noWrap/>
            <w:vAlign w:val="center"/>
            <w:hideMark/>
          </w:tcPr>
          <w:p w14:paraId="5C87A04F" w14:textId="77777777" w:rsidR="00833238" w:rsidRPr="0085694C" w:rsidRDefault="00833238" w:rsidP="00833238">
            <w:pPr>
              <w:rPr>
                <w:b/>
                <w:bCs/>
                <w:sz w:val="15"/>
                <w:szCs w:val="15"/>
              </w:rPr>
            </w:pPr>
            <w:r w:rsidRPr="0085694C">
              <w:rPr>
                <w:b/>
                <w:bCs/>
                <w:sz w:val="15"/>
                <w:szCs w:val="15"/>
              </w:rPr>
              <w:t>Tanzania</w:t>
            </w:r>
          </w:p>
        </w:tc>
        <w:tc>
          <w:tcPr>
            <w:tcW w:w="526" w:type="pct"/>
            <w:tcBorders>
              <w:top w:val="nil"/>
              <w:left w:val="single" w:sz="4" w:space="0" w:color="auto"/>
              <w:bottom w:val="single" w:sz="4" w:space="0" w:color="auto"/>
              <w:right w:val="nil"/>
            </w:tcBorders>
            <w:shd w:val="clear" w:color="auto" w:fill="E2EFD9" w:themeFill="accent6" w:themeFillTint="33"/>
            <w:noWrap/>
            <w:vAlign w:val="bottom"/>
            <w:hideMark/>
          </w:tcPr>
          <w:p w14:paraId="5A1DD808" w14:textId="77777777" w:rsidR="00833238" w:rsidRPr="0085694C" w:rsidRDefault="00833238" w:rsidP="00833238">
            <w:pPr>
              <w:jc w:val="right"/>
              <w:rPr>
                <w:b/>
                <w:bCs/>
                <w:sz w:val="15"/>
                <w:szCs w:val="15"/>
              </w:rPr>
            </w:pPr>
            <w:r w:rsidRPr="0085694C">
              <w:rPr>
                <w:b/>
                <w:bCs/>
                <w:sz w:val="15"/>
                <w:szCs w:val="15"/>
              </w:rPr>
              <w:t>1,685,215</w:t>
            </w:r>
          </w:p>
        </w:tc>
        <w:tc>
          <w:tcPr>
            <w:tcW w:w="279" w:type="pct"/>
            <w:tcBorders>
              <w:top w:val="nil"/>
              <w:left w:val="nil"/>
              <w:bottom w:val="single" w:sz="4" w:space="0" w:color="auto"/>
              <w:right w:val="nil"/>
            </w:tcBorders>
            <w:shd w:val="clear" w:color="auto" w:fill="595959" w:themeFill="text1" w:themeFillTint="A6"/>
            <w:noWrap/>
            <w:vAlign w:val="bottom"/>
            <w:hideMark/>
          </w:tcPr>
          <w:p w14:paraId="45F582DF" w14:textId="77777777" w:rsidR="00833238" w:rsidRPr="0085694C" w:rsidRDefault="00833238" w:rsidP="00833238">
            <w:pPr>
              <w:jc w:val="right"/>
              <w:rPr>
                <w:b/>
                <w:bCs/>
                <w:sz w:val="15"/>
                <w:szCs w:val="15"/>
              </w:rPr>
            </w:pPr>
          </w:p>
        </w:tc>
        <w:tc>
          <w:tcPr>
            <w:tcW w:w="483" w:type="pct"/>
            <w:tcBorders>
              <w:top w:val="nil"/>
              <w:left w:val="single" w:sz="4" w:space="0" w:color="auto"/>
              <w:bottom w:val="single" w:sz="4" w:space="0" w:color="auto"/>
              <w:right w:val="nil"/>
            </w:tcBorders>
            <w:shd w:val="clear" w:color="auto" w:fill="E2EFD9" w:themeFill="accent6" w:themeFillTint="33"/>
            <w:noWrap/>
            <w:vAlign w:val="bottom"/>
            <w:hideMark/>
          </w:tcPr>
          <w:p w14:paraId="76AA884A" w14:textId="77777777" w:rsidR="00833238" w:rsidRPr="0085694C" w:rsidRDefault="00833238" w:rsidP="00833238">
            <w:pPr>
              <w:jc w:val="right"/>
              <w:rPr>
                <w:b/>
                <w:bCs/>
                <w:sz w:val="15"/>
                <w:szCs w:val="15"/>
              </w:rPr>
            </w:pPr>
            <w:r w:rsidRPr="0085694C">
              <w:rPr>
                <w:b/>
                <w:bCs/>
                <w:sz w:val="15"/>
                <w:szCs w:val="15"/>
              </w:rPr>
              <w:t>1,834,553</w:t>
            </w:r>
          </w:p>
        </w:tc>
        <w:tc>
          <w:tcPr>
            <w:tcW w:w="569" w:type="pct"/>
            <w:tcBorders>
              <w:top w:val="nil"/>
              <w:left w:val="nil"/>
              <w:bottom w:val="single" w:sz="4" w:space="0" w:color="auto"/>
              <w:right w:val="single" w:sz="4" w:space="0" w:color="auto"/>
            </w:tcBorders>
            <w:shd w:val="clear" w:color="auto" w:fill="595959" w:themeFill="text1" w:themeFillTint="A6"/>
            <w:noWrap/>
            <w:vAlign w:val="bottom"/>
            <w:hideMark/>
          </w:tcPr>
          <w:p w14:paraId="073B7293" w14:textId="77777777" w:rsidR="00833238" w:rsidRPr="0085694C" w:rsidRDefault="00833238" w:rsidP="00833238">
            <w:pPr>
              <w:jc w:val="right"/>
              <w:rPr>
                <w:b/>
                <w:bCs/>
                <w:sz w:val="15"/>
                <w:szCs w:val="15"/>
              </w:rPr>
            </w:pPr>
          </w:p>
        </w:tc>
        <w:tc>
          <w:tcPr>
            <w:tcW w:w="542" w:type="pct"/>
            <w:tcBorders>
              <w:top w:val="nil"/>
              <w:left w:val="nil"/>
              <w:bottom w:val="single" w:sz="4" w:space="0" w:color="auto"/>
              <w:right w:val="nil"/>
            </w:tcBorders>
            <w:shd w:val="clear" w:color="auto" w:fill="E2EFD9" w:themeFill="accent6" w:themeFillTint="33"/>
            <w:noWrap/>
            <w:vAlign w:val="bottom"/>
            <w:hideMark/>
          </w:tcPr>
          <w:p w14:paraId="0EA73644" w14:textId="77777777" w:rsidR="00833238" w:rsidRPr="0085694C" w:rsidRDefault="00833238" w:rsidP="00833238">
            <w:pPr>
              <w:jc w:val="right"/>
              <w:rPr>
                <w:b/>
                <w:bCs/>
                <w:sz w:val="15"/>
                <w:szCs w:val="15"/>
              </w:rPr>
            </w:pPr>
            <w:r w:rsidRPr="0085694C">
              <w:rPr>
                <w:b/>
                <w:bCs/>
                <w:sz w:val="15"/>
                <w:szCs w:val="15"/>
              </w:rPr>
              <w:t>3,872,491</w:t>
            </w:r>
          </w:p>
        </w:tc>
        <w:tc>
          <w:tcPr>
            <w:tcW w:w="616" w:type="pct"/>
            <w:tcBorders>
              <w:top w:val="nil"/>
              <w:left w:val="nil"/>
              <w:bottom w:val="single" w:sz="4" w:space="0" w:color="auto"/>
              <w:right w:val="nil"/>
            </w:tcBorders>
            <w:shd w:val="clear" w:color="auto" w:fill="595959" w:themeFill="text1" w:themeFillTint="A6"/>
            <w:noWrap/>
            <w:vAlign w:val="bottom"/>
            <w:hideMark/>
          </w:tcPr>
          <w:p w14:paraId="3FD97F68" w14:textId="77777777" w:rsidR="00833238" w:rsidRPr="0085694C" w:rsidRDefault="00833238" w:rsidP="00833238">
            <w:pPr>
              <w:jc w:val="right"/>
              <w:rPr>
                <w:b/>
                <w:bCs/>
                <w:sz w:val="15"/>
                <w:szCs w:val="15"/>
              </w:rPr>
            </w:pPr>
          </w:p>
        </w:tc>
        <w:tc>
          <w:tcPr>
            <w:tcW w:w="598" w:type="pct"/>
            <w:tcBorders>
              <w:top w:val="nil"/>
              <w:left w:val="single" w:sz="4" w:space="0" w:color="auto"/>
              <w:bottom w:val="single" w:sz="4" w:space="0" w:color="auto"/>
              <w:right w:val="nil"/>
            </w:tcBorders>
            <w:shd w:val="clear" w:color="auto" w:fill="E2EFD9" w:themeFill="accent6" w:themeFillTint="33"/>
            <w:noWrap/>
            <w:vAlign w:val="bottom"/>
            <w:hideMark/>
          </w:tcPr>
          <w:p w14:paraId="15F9952C" w14:textId="77777777" w:rsidR="00833238" w:rsidRPr="0085694C" w:rsidRDefault="00833238" w:rsidP="00833238">
            <w:pPr>
              <w:jc w:val="right"/>
              <w:rPr>
                <w:b/>
                <w:bCs/>
                <w:sz w:val="15"/>
                <w:szCs w:val="15"/>
              </w:rPr>
            </w:pPr>
            <w:r w:rsidRPr="0085694C">
              <w:rPr>
                <w:b/>
                <w:bCs/>
                <w:sz w:val="15"/>
                <w:szCs w:val="15"/>
              </w:rPr>
              <w:t>651,410</w:t>
            </w:r>
          </w:p>
        </w:tc>
        <w:tc>
          <w:tcPr>
            <w:tcW w:w="615" w:type="pct"/>
            <w:tcBorders>
              <w:top w:val="nil"/>
              <w:left w:val="nil"/>
              <w:bottom w:val="single" w:sz="4" w:space="0" w:color="auto"/>
              <w:right w:val="nil"/>
            </w:tcBorders>
            <w:shd w:val="clear" w:color="auto" w:fill="595959" w:themeFill="text1" w:themeFillTint="A6"/>
            <w:noWrap/>
            <w:vAlign w:val="bottom"/>
            <w:hideMark/>
          </w:tcPr>
          <w:p w14:paraId="22DC6B0A" w14:textId="77777777" w:rsidR="00833238" w:rsidRPr="0085694C" w:rsidRDefault="00833238" w:rsidP="00833238">
            <w:pPr>
              <w:jc w:val="right"/>
              <w:rPr>
                <w:b/>
                <w:bCs/>
                <w:sz w:val="15"/>
                <w:szCs w:val="15"/>
              </w:rPr>
            </w:pPr>
          </w:p>
        </w:tc>
      </w:tr>
    </w:tbl>
    <w:p w14:paraId="4148A7EE" w14:textId="77777777" w:rsidR="00135766" w:rsidRDefault="00135766">
      <w:pPr>
        <w:spacing w:line="240" w:lineRule="auto"/>
        <w:contextualSpacing w:val="0"/>
        <w:jc w:val="left"/>
        <w:rPr>
          <w:b/>
          <w:w w:val="105"/>
          <w:lang w:val="en-GB" w:eastAsia="en-GB"/>
        </w:rPr>
      </w:pPr>
      <w:r>
        <w:rPr>
          <w:b/>
          <w:w w:val="105"/>
        </w:rPr>
        <w:br w:type="page"/>
      </w:r>
    </w:p>
    <w:p w14:paraId="40281A4C" w14:textId="3C060428" w:rsidR="000E1363" w:rsidRPr="006B42D6" w:rsidRDefault="000E1363" w:rsidP="005C2EFC">
      <w:pPr>
        <w:pStyle w:val="ColorfulList-Accent11"/>
        <w:widowControl w:val="0"/>
        <w:numPr>
          <w:ilvl w:val="0"/>
          <w:numId w:val="3"/>
        </w:numPr>
        <w:autoSpaceDE w:val="0"/>
        <w:autoSpaceDN w:val="0"/>
        <w:adjustRightInd w:val="0"/>
        <w:spacing w:before="20" w:after="0" w:line="360" w:lineRule="auto"/>
        <w:rPr>
          <w:rFonts w:ascii="Times New Roman" w:hAnsi="Times New Roman"/>
          <w:b/>
          <w:w w:val="105"/>
          <w:sz w:val="24"/>
          <w:szCs w:val="24"/>
        </w:rPr>
      </w:pPr>
      <w:r w:rsidRPr="006B42D6">
        <w:rPr>
          <w:rFonts w:ascii="Times New Roman" w:hAnsi="Times New Roman"/>
          <w:b/>
          <w:w w:val="105"/>
          <w:sz w:val="24"/>
          <w:szCs w:val="24"/>
        </w:rPr>
        <w:lastRenderedPageBreak/>
        <w:t>Lumpy Skin</w:t>
      </w:r>
    </w:p>
    <w:p w14:paraId="70B82E32" w14:textId="6CC414CA" w:rsidR="00EF7BCA" w:rsidRPr="006B42D6" w:rsidRDefault="00EF7BCA" w:rsidP="00EF7BCA">
      <w:pPr>
        <w:tabs>
          <w:tab w:val="left" w:pos="1702"/>
        </w:tabs>
        <w:adjustRightInd w:val="0"/>
        <w:spacing w:before="20"/>
        <w:ind w:left="360"/>
        <w:rPr>
          <w:w w:val="105"/>
        </w:rPr>
      </w:pPr>
      <w:r w:rsidRPr="006B42D6">
        <w:rPr>
          <w:w w:val="105"/>
        </w:rPr>
        <w:t xml:space="preserve">The total number of households reported </w:t>
      </w:r>
      <w:r w:rsidR="000778C6">
        <w:rPr>
          <w:w w:val="105"/>
        </w:rPr>
        <w:t>l</w:t>
      </w:r>
      <w:r w:rsidRPr="006B42D6">
        <w:rPr>
          <w:w w:val="105"/>
        </w:rPr>
        <w:t xml:space="preserve">umpy </w:t>
      </w:r>
      <w:r w:rsidR="000778C6">
        <w:rPr>
          <w:w w:val="105"/>
        </w:rPr>
        <w:t>s</w:t>
      </w:r>
      <w:r w:rsidRPr="006B42D6">
        <w:rPr>
          <w:w w:val="105"/>
        </w:rPr>
        <w:t xml:space="preserve">kin disease infection in their cattle was 321,874 (308,468 in </w:t>
      </w:r>
      <w:r w:rsidR="00EA1552">
        <w:rPr>
          <w:w w:val="105"/>
        </w:rPr>
        <w:t>Mainland Tanzania</w:t>
      </w:r>
      <w:r w:rsidRPr="006B42D6">
        <w:rPr>
          <w:w w:val="105"/>
        </w:rPr>
        <w:t xml:space="preserve"> and 13,406 in </w:t>
      </w:r>
      <w:r w:rsidR="00327632" w:rsidRPr="006B42D6">
        <w:rPr>
          <w:lang w:eastAsia="en-GB"/>
        </w:rPr>
        <w:t xml:space="preserve">Tanzania </w:t>
      </w:r>
      <w:r w:rsidRPr="006B42D6">
        <w:rPr>
          <w:w w:val="105"/>
        </w:rPr>
        <w:t xml:space="preserve">Zanzibar), which represents 16.3 percent of the total cattle keeping households during </w:t>
      </w:r>
      <w:r w:rsidR="005E72D5" w:rsidRPr="006B42D6">
        <w:rPr>
          <w:w w:val="105"/>
        </w:rPr>
        <w:t xml:space="preserve">the 2019/20 </w:t>
      </w:r>
      <w:r w:rsidR="00F149FC" w:rsidRPr="006B42D6">
        <w:rPr>
          <w:w w:val="105"/>
        </w:rPr>
        <w:t>a</w:t>
      </w:r>
      <w:r w:rsidRPr="006B42D6">
        <w:rPr>
          <w:w w:val="105"/>
        </w:rPr>
        <w:t xml:space="preserve">gricultural year. </w:t>
      </w:r>
    </w:p>
    <w:p w14:paraId="64D13065" w14:textId="77777777" w:rsidR="00EF7BCA" w:rsidRPr="006B42D6" w:rsidRDefault="00EF7BCA" w:rsidP="0085694C">
      <w:pPr>
        <w:tabs>
          <w:tab w:val="left" w:pos="1702"/>
        </w:tabs>
        <w:adjustRightInd w:val="0"/>
        <w:spacing w:before="20" w:line="240" w:lineRule="auto"/>
        <w:ind w:left="360"/>
        <w:rPr>
          <w:w w:val="105"/>
        </w:rPr>
      </w:pPr>
    </w:p>
    <w:p w14:paraId="483A72D3" w14:textId="04C28BFD" w:rsidR="00EF7BCA" w:rsidRPr="006B42D6" w:rsidRDefault="00EF7BCA" w:rsidP="00EF7BCA">
      <w:pPr>
        <w:tabs>
          <w:tab w:val="left" w:pos="1702"/>
        </w:tabs>
        <w:adjustRightInd w:val="0"/>
        <w:spacing w:before="20"/>
        <w:ind w:left="360"/>
        <w:rPr>
          <w:w w:val="105"/>
        </w:rPr>
      </w:pPr>
      <w:r w:rsidRPr="006B42D6">
        <w:rPr>
          <w:w w:val="103"/>
        </w:rPr>
        <w:t xml:space="preserve">A total number of </w:t>
      </w:r>
      <w:r w:rsidRPr="006B42D6">
        <w:rPr>
          <w:w w:val="105"/>
        </w:rPr>
        <w:t xml:space="preserve">1,834,553 cattle </w:t>
      </w:r>
      <w:r w:rsidRPr="006B42D6">
        <w:rPr>
          <w:w w:val="103"/>
        </w:rPr>
        <w:t xml:space="preserve">were </w:t>
      </w:r>
      <w:r w:rsidRPr="006B42D6">
        <w:rPr>
          <w:w w:val="105"/>
        </w:rPr>
        <w:t xml:space="preserve">reported to be infected with </w:t>
      </w:r>
      <w:r w:rsidR="000778C6" w:rsidRPr="006B42D6">
        <w:rPr>
          <w:w w:val="105"/>
        </w:rPr>
        <w:t>lumpy s</w:t>
      </w:r>
      <w:r w:rsidRPr="006B42D6">
        <w:rPr>
          <w:w w:val="105"/>
        </w:rPr>
        <w:t>kin problem;</w:t>
      </w:r>
      <w:r w:rsidRPr="006B42D6">
        <w:rPr>
          <w:w w:val="103"/>
        </w:rPr>
        <w:t xml:space="preserve"> of which </w:t>
      </w:r>
      <w:r w:rsidRPr="006B42D6">
        <w:rPr>
          <w:w w:val="105"/>
        </w:rPr>
        <w:t>1,804,752 cattle</w:t>
      </w:r>
      <w:r w:rsidR="00F149FC" w:rsidRPr="006B42D6">
        <w:rPr>
          <w:w w:val="105"/>
        </w:rPr>
        <w:t xml:space="preserve"> were</w:t>
      </w:r>
      <w:r w:rsidRPr="006B42D6">
        <w:rPr>
          <w:w w:val="105"/>
        </w:rPr>
        <w:t xml:space="preserve"> </w:t>
      </w:r>
      <w:r w:rsidRPr="006B42D6">
        <w:rPr>
          <w:spacing w:val="-2"/>
        </w:rPr>
        <w:t xml:space="preserve">in </w:t>
      </w:r>
      <w:r w:rsidR="00EA1552">
        <w:rPr>
          <w:spacing w:val="-2"/>
        </w:rPr>
        <w:t>Mainland Tanzania</w:t>
      </w:r>
      <w:r w:rsidRPr="006B42D6">
        <w:rPr>
          <w:spacing w:val="-2"/>
        </w:rPr>
        <w:t xml:space="preserve"> and 29,801 in </w:t>
      </w:r>
      <w:r w:rsidR="00327632" w:rsidRPr="006B42D6">
        <w:rPr>
          <w:lang w:eastAsia="en-GB"/>
        </w:rPr>
        <w:t xml:space="preserve">Tanzania </w:t>
      </w:r>
      <w:r w:rsidRPr="006B42D6">
        <w:rPr>
          <w:spacing w:val="-2"/>
        </w:rPr>
        <w:t xml:space="preserve">Zanzibar. In </w:t>
      </w:r>
      <w:r w:rsidR="00EA1552">
        <w:rPr>
          <w:lang w:eastAsia="en-GB"/>
        </w:rPr>
        <w:t>Mainland Tanzania</w:t>
      </w:r>
      <w:r w:rsidRPr="006B42D6">
        <w:rPr>
          <w:spacing w:val="-2"/>
        </w:rPr>
        <w:t xml:space="preserve">, Tabora region had the highest </w:t>
      </w:r>
      <w:r w:rsidRPr="006B42D6">
        <w:rPr>
          <w:w w:val="105"/>
        </w:rPr>
        <w:t xml:space="preserve">proportion of cattle infected with </w:t>
      </w:r>
      <w:r w:rsidR="000778C6" w:rsidRPr="006B42D6">
        <w:rPr>
          <w:w w:val="105"/>
        </w:rPr>
        <w:t xml:space="preserve">lumpy skin </w:t>
      </w:r>
      <w:r w:rsidRPr="006B42D6">
        <w:rPr>
          <w:w w:val="105"/>
        </w:rPr>
        <w:t>disease</w:t>
      </w:r>
      <w:r w:rsidRPr="006B42D6">
        <w:rPr>
          <w:spacing w:val="-2"/>
        </w:rPr>
        <w:t xml:space="preserve"> (206,389; 11.4 percent), </w:t>
      </w:r>
      <w:r w:rsidRPr="006B42D6">
        <w:rPr>
          <w:w w:val="105"/>
        </w:rPr>
        <w:t>followed by Manyara (184,474; 10.2 percent) and Mara (143,678; 8.0 percent). The lowest proportion of cattle infected was reported in Dar es Salaam region (424</w:t>
      </w:r>
      <w:r w:rsidR="00287863" w:rsidRPr="006B42D6">
        <w:rPr>
          <w:w w:val="105"/>
        </w:rPr>
        <w:t xml:space="preserve"> </w:t>
      </w:r>
      <w:r w:rsidR="00287863" w:rsidRPr="006B42D6">
        <w:rPr>
          <w:spacing w:val="-2"/>
        </w:rPr>
        <w:t>heads</w:t>
      </w:r>
      <w:r w:rsidRPr="006B42D6">
        <w:rPr>
          <w:w w:val="105"/>
        </w:rPr>
        <w:t>; 0.02 percent).</w:t>
      </w:r>
    </w:p>
    <w:p w14:paraId="0553E438" w14:textId="77777777" w:rsidR="00EF7BCA" w:rsidRPr="006B42D6" w:rsidRDefault="00EF7BCA" w:rsidP="0085694C">
      <w:pPr>
        <w:tabs>
          <w:tab w:val="left" w:pos="1702"/>
        </w:tabs>
        <w:adjustRightInd w:val="0"/>
        <w:spacing w:before="20" w:line="240" w:lineRule="auto"/>
        <w:ind w:left="360"/>
        <w:rPr>
          <w:w w:val="105"/>
        </w:rPr>
      </w:pPr>
      <w:r w:rsidRPr="006B42D6">
        <w:rPr>
          <w:w w:val="105"/>
        </w:rPr>
        <w:t xml:space="preserve"> </w:t>
      </w:r>
    </w:p>
    <w:p w14:paraId="7E66EA78" w14:textId="7E491DC2" w:rsidR="00EF7BCA" w:rsidRPr="006B42D6" w:rsidRDefault="00EF7BCA" w:rsidP="00EF7BCA">
      <w:pPr>
        <w:tabs>
          <w:tab w:val="left" w:pos="1702"/>
        </w:tabs>
        <w:adjustRightInd w:val="0"/>
        <w:spacing w:before="20"/>
        <w:ind w:left="360"/>
        <w:rPr>
          <w:w w:val="105"/>
        </w:rPr>
      </w:pPr>
      <w:r w:rsidRPr="006B42D6">
        <w:rPr>
          <w:spacing w:val="-2"/>
        </w:rPr>
        <w:t xml:space="preserve">In </w:t>
      </w:r>
      <w:r w:rsidR="00327632" w:rsidRPr="006B42D6">
        <w:rPr>
          <w:lang w:eastAsia="en-GB"/>
        </w:rPr>
        <w:t xml:space="preserve">Tanzania </w:t>
      </w:r>
      <w:r w:rsidRPr="006B42D6">
        <w:rPr>
          <w:spacing w:val="-2"/>
        </w:rPr>
        <w:t xml:space="preserve">Zanzibar, Kusini Pemba region had the highest number of cattle infected by </w:t>
      </w:r>
      <w:r w:rsidRPr="006B42D6">
        <w:rPr>
          <w:w w:val="105"/>
        </w:rPr>
        <w:t>Lumpy Skin disease</w:t>
      </w:r>
      <w:r w:rsidRPr="006B42D6">
        <w:rPr>
          <w:spacing w:val="-2"/>
        </w:rPr>
        <w:t xml:space="preserve"> (8,949</w:t>
      </w:r>
      <w:r w:rsidR="00287863" w:rsidRPr="006B42D6">
        <w:rPr>
          <w:spacing w:val="-2"/>
        </w:rPr>
        <w:t xml:space="preserve"> heads</w:t>
      </w:r>
      <w:r w:rsidRPr="006B42D6">
        <w:rPr>
          <w:spacing w:val="-2"/>
        </w:rPr>
        <w:t xml:space="preserve">; 30 percent), followed by Kaskazini Pemba (5,652; 19.0 percent) and </w:t>
      </w:r>
      <w:r w:rsidR="001C6040" w:rsidRPr="006B42D6">
        <w:rPr>
          <w:spacing w:val="-2"/>
        </w:rPr>
        <w:t>Kusini</w:t>
      </w:r>
      <w:r w:rsidRPr="006B42D6">
        <w:rPr>
          <w:spacing w:val="-2"/>
        </w:rPr>
        <w:t xml:space="preserve"> Unguja (5,337; 17.9 percent). </w:t>
      </w:r>
      <w:r w:rsidRPr="006B42D6">
        <w:rPr>
          <w:w w:val="105"/>
        </w:rPr>
        <w:t>The lowest proportion of cattle infected was reported in Kaskazini Unguja region (4,785; 16.1</w:t>
      </w:r>
      <w:r w:rsidR="00287863" w:rsidRPr="006B42D6">
        <w:rPr>
          <w:w w:val="105"/>
        </w:rPr>
        <w:t xml:space="preserve"> </w:t>
      </w:r>
      <w:r w:rsidRPr="006B42D6">
        <w:rPr>
          <w:w w:val="105"/>
        </w:rPr>
        <w:t>percent) (Table 4.</w:t>
      </w:r>
      <w:r w:rsidR="00303D63" w:rsidRPr="006B42D6">
        <w:rPr>
          <w:w w:val="105"/>
        </w:rPr>
        <w:t>1</w:t>
      </w:r>
      <w:r w:rsidR="00B70154">
        <w:rPr>
          <w:w w:val="105"/>
        </w:rPr>
        <w:t>4</w:t>
      </w:r>
      <w:r w:rsidRPr="006B42D6">
        <w:rPr>
          <w:w w:val="105"/>
        </w:rPr>
        <w:t>).</w:t>
      </w:r>
    </w:p>
    <w:p w14:paraId="670D149F" w14:textId="77777777" w:rsidR="00EF7BCA" w:rsidRPr="006B42D6" w:rsidRDefault="00EF7BCA" w:rsidP="00C4159B"/>
    <w:p w14:paraId="6165D961" w14:textId="5265A9A5" w:rsidR="000E1363" w:rsidRPr="006B42D6" w:rsidRDefault="000E1363" w:rsidP="005C2EFC">
      <w:pPr>
        <w:pStyle w:val="ColorfulList-Accent11"/>
        <w:widowControl w:val="0"/>
        <w:numPr>
          <w:ilvl w:val="0"/>
          <w:numId w:val="3"/>
        </w:numPr>
        <w:autoSpaceDE w:val="0"/>
        <w:autoSpaceDN w:val="0"/>
        <w:adjustRightInd w:val="0"/>
        <w:spacing w:before="20" w:after="0" w:line="360" w:lineRule="auto"/>
        <w:rPr>
          <w:rFonts w:ascii="Times New Roman" w:hAnsi="Times New Roman"/>
          <w:b/>
          <w:w w:val="105"/>
          <w:sz w:val="24"/>
          <w:szCs w:val="24"/>
        </w:rPr>
      </w:pPr>
      <w:r w:rsidRPr="006B42D6">
        <w:rPr>
          <w:rFonts w:ascii="Times New Roman" w:hAnsi="Times New Roman"/>
          <w:b/>
          <w:w w:val="105"/>
          <w:sz w:val="24"/>
          <w:szCs w:val="24"/>
        </w:rPr>
        <w:t>Helmenthio</w:t>
      </w:r>
      <w:r w:rsidR="000778C6">
        <w:rPr>
          <w:rFonts w:ascii="Times New Roman" w:hAnsi="Times New Roman"/>
          <w:b/>
          <w:w w:val="105"/>
          <w:sz w:val="24"/>
          <w:szCs w:val="24"/>
        </w:rPr>
        <w:t>s</w:t>
      </w:r>
      <w:r w:rsidRPr="006B42D6">
        <w:rPr>
          <w:rFonts w:ascii="Times New Roman" w:hAnsi="Times New Roman"/>
          <w:b/>
          <w:w w:val="105"/>
          <w:sz w:val="24"/>
          <w:szCs w:val="24"/>
        </w:rPr>
        <w:t>is</w:t>
      </w:r>
    </w:p>
    <w:p w14:paraId="686EC932" w14:textId="620064EA" w:rsidR="00EF7BCA" w:rsidRPr="006B42D6" w:rsidRDefault="00EF7BCA" w:rsidP="00EF7BCA">
      <w:pPr>
        <w:tabs>
          <w:tab w:val="left" w:pos="1702"/>
        </w:tabs>
        <w:adjustRightInd w:val="0"/>
        <w:spacing w:before="20"/>
        <w:ind w:left="360"/>
        <w:rPr>
          <w:w w:val="105"/>
        </w:rPr>
      </w:pPr>
      <w:r w:rsidRPr="006B42D6">
        <w:rPr>
          <w:w w:val="105"/>
        </w:rPr>
        <w:t xml:space="preserve">The total number of households reported </w:t>
      </w:r>
      <w:r w:rsidR="000778C6">
        <w:rPr>
          <w:w w:val="105"/>
        </w:rPr>
        <w:t>h</w:t>
      </w:r>
      <w:r w:rsidRPr="006B42D6">
        <w:rPr>
          <w:w w:val="105"/>
        </w:rPr>
        <w:t>elmenthio</w:t>
      </w:r>
      <w:r w:rsidR="000778C6">
        <w:rPr>
          <w:w w:val="105"/>
        </w:rPr>
        <w:t>s</w:t>
      </w:r>
      <w:r w:rsidRPr="006B42D6">
        <w:rPr>
          <w:w w:val="105"/>
        </w:rPr>
        <w:t xml:space="preserve">is disease infections in their cattle was 473,638 (456,343 in </w:t>
      </w:r>
      <w:r w:rsidR="00EA1552">
        <w:rPr>
          <w:lang w:eastAsia="en-GB"/>
        </w:rPr>
        <w:t>Mainland Tanzania</w:t>
      </w:r>
      <w:r w:rsidRPr="006B42D6">
        <w:rPr>
          <w:w w:val="105"/>
        </w:rPr>
        <w:t xml:space="preserve"> and 17,295 in </w:t>
      </w:r>
      <w:r w:rsidR="00327632" w:rsidRPr="006B42D6">
        <w:rPr>
          <w:lang w:eastAsia="en-GB"/>
        </w:rPr>
        <w:t xml:space="preserve">Tanzania </w:t>
      </w:r>
      <w:r w:rsidRPr="006B42D6">
        <w:rPr>
          <w:w w:val="105"/>
        </w:rPr>
        <w:t xml:space="preserve">Zanzibar), which represents 24.0 percent of the total cattle keeping households during </w:t>
      </w:r>
      <w:r w:rsidR="00F149FC" w:rsidRPr="006B42D6">
        <w:rPr>
          <w:w w:val="105"/>
        </w:rPr>
        <w:t>2019/20 a</w:t>
      </w:r>
      <w:r w:rsidRPr="006B42D6">
        <w:rPr>
          <w:w w:val="105"/>
        </w:rPr>
        <w:t xml:space="preserve">gricultural year. </w:t>
      </w:r>
    </w:p>
    <w:p w14:paraId="7D2970C8" w14:textId="77777777" w:rsidR="00EF7BCA" w:rsidRPr="006B42D6" w:rsidRDefault="00EF7BCA" w:rsidP="0085694C">
      <w:pPr>
        <w:tabs>
          <w:tab w:val="left" w:pos="1702"/>
        </w:tabs>
        <w:adjustRightInd w:val="0"/>
        <w:spacing w:before="20" w:line="240" w:lineRule="auto"/>
        <w:ind w:left="360"/>
        <w:rPr>
          <w:w w:val="105"/>
        </w:rPr>
      </w:pPr>
    </w:p>
    <w:p w14:paraId="39D89EE5" w14:textId="0334353F" w:rsidR="00EF7BCA" w:rsidRPr="006B42D6" w:rsidRDefault="00EF7BCA" w:rsidP="00EF7BCA">
      <w:pPr>
        <w:tabs>
          <w:tab w:val="left" w:pos="1702"/>
        </w:tabs>
        <w:adjustRightInd w:val="0"/>
        <w:spacing w:before="20"/>
        <w:ind w:left="360"/>
        <w:rPr>
          <w:spacing w:val="-2"/>
        </w:rPr>
      </w:pPr>
      <w:r w:rsidRPr="006B42D6">
        <w:rPr>
          <w:w w:val="103"/>
        </w:rPr>
        <w:t xml:space="preserve">A total number of </w:t>
      </w:r>
      <w:r w:rsidRPr="006B42D6">
        <w:rPr>
          <w:w w:val="105"/>
        </w:rPr>
        <w:t>3,872,491 cattle</w:t>
      </w:r>
      <w:r w:rsidR="00310836" w:rsidRPr="006B42D6">
        <w:rPr>
          <w:w w:val="105"/>
        </w:rPr>
        <w:t xml:space="preserve"> </w:t>
      </w:r>
      <w:r w:rsidRPr="006B42D6">
        <w:rPr>
          <w:w w:val="103"/>
        </w:rPr>
        <w:t xml:space="preserve">were </w:t>
      </w:r>
      <w:r w:rsidRPr="006B42D6">
        <w:rPr>
          <w:w w:val="105"/>
        </w:rPr>
        <w:t xml:space="preserve">reported to be infected with </w:t>
      </w:r>
      <w:r w:rsidR="000778C6">
        <w:rPr>
          <w:w w:val="105"/>
        </w:rPr>
        <w:t>h</w:t>
      </w:r>
      <w:r w:rsidRPr="006B42D6">
        <w:rPr>
          <w:w w:val="105"/>
        </w:rPr>
        <w:t>elmenthio</w:t>
      </w:r>
      <w:r w:rsidR="000778C6">
        <w:rPr>
          <w:w w:val="105"/>
        </w:rPr>
        <w:t>s</w:t>
      </w:r>
      <w:r w:rsidRPr="006B42D6">
        <w:rPr>
          <w:w w:val="105"/>
        </w:rPr>
        <w:t xml:space="preserve">is disease, </w:t>
      </w:r>
      <w:r w:rsidRPr="006B42D6">
        <w:rPr>
          <w:w w:val="103"/>
        </w:rPr>
        <w:t xml:space="preserve">of which </w:t>
      </w:r>
      <w:r w:rsidRPr="006B42D6">
        <w:rPr>
          <w:w w:val="105"/>
        </w:rPr>
        <w:t>3,813,801 cattle</w:t>
      </w:r>
      <w:r w:rsidR="00F149FC" w:rsidRPr="006B42D6">
        <w:rPr>
          <w:w w:val="105"/>
        </w:rPr>
        <w:t xml:space="preserve"> were</w:t>
      </w:r>
      <w:r w:rsidRPr="006B42D6">
        <w:rPr>
          <w:w w:val="105"/>
        </w:rPr>
        <w:t xml:space="preserve"> </w:t>
      </w:r>
      <w:r w:rsidRPr="006B42D6">
        <w:rPr>
          <w:spacing w:val="-2"/>
        </w:rPr>
        <w:t xml:space="preserve">in </w:t>
      </w:r>
      <w:r w:rsidR="00EA1552">
        <w:rPr>
          <w:lang w:eastAsia="en-GB"/>
        </w:rPr>
        <w:t>Mainland Tanzania</w:t>
      </w:r>
      <w:r w:rsidRPr="006B42D6">
        <w:rPr>
          <w:spacing w:val="-2"/>
        </w:rPr>
        <w:t xml:space="preserve"> and 58,690 in </w:t>
      </w:r>
      <w:r w:rsidR="00327632" w:rsidRPr="006B42D6">
        <w:rPr>
          <w:lang w:eastAsia="en-GB"/>
        </w:rPr>
        <w:t xml:space="preserve">Tanzania </w:t>
      </w:r>
      <w:r w:rsidRPr="006B42D6">
        <w:rPr>
          <w:spacing w:val="-2"/>
        </w:rPr>
        <w:t xml:space="preserve">Zanzibar. In </w:t>
      </w:r>
      <w:r w:rsidR="00EA1552">
        <w:rPr>
          <w:lang w:eastAsia="en-GB"/>
        </w:rPr>
        <w:t>Mainland Tanzania</w:t>
      </w:r>
      <w:r w:rsidRPr="006B42D6">
        <w:rPr>
          <w:spacing w:val="-2"/>
        </w:rPr>
        <w:t xml:space="preserve">, Mara region had the highest </w:t>
      </w:r>
      <w:r w:rsidRPr="006B42D6">
        <w:rPr>
          <w:w w:val="105"/>
        </w:rPr>
        <w:t xml:space="preserve">proportion of cattle infected with </w:t>
      </w:r>
      <w:r w:rsidR="005E72D5" w:rsidRPr="006B42D6">
        <w:rPr>
          <w:w w:val="105"/>
        </w:rPr>
        <w:t>helmenthio</w:t>
      </w:r>
      <w:r w:rsidR="000778C6">
        <w:rPr>
          <w:w w:val="105"/>
        </w:rPr>
        <w:t>s</w:t>
      </w:r>
      <w:r w:rsidR="005E72D5" w:rsidRPr="006B42D6">
        <w:rPr>
          <w:w w:val="105"/>
        </w:rPr>
        <w:t xml:space="preserve">is </w:t>
      </w:r>
      <w:r w:rsidRPr="006B42D6">
        <w:rPr>
          <w:w w:val="105"/>
        </w:rPr>
        <w:t>diseases</w:t>
      </w:r>
      <w:r w:rsidRPr="006B42D6">
        <w:rPr>
          <w:spacing w:val="-2"/>
        </w:rPr>
        <w:t xml:space="preserve"> (550,629; 14.4 percent), </w:t>
      </w:r>
      <w:r w:rsidRPr="006B42D6">
        <w:rPr>
          <w:w w:val="105"/>
        </w:rPr>
        <w:t>followed by Tanga (340,980; 8.9 percent) and Arusha (333,918; 8.8 percent). The lowest proportion of cattle infected was reported in Dar es Salaam (847; 0.02 percent)</w:t>
      </w:r>
    </w:p>
    <w:p w14:paraId="465482F2" w14:textId="77777777" w:rsidR="00EF7BCA" w:rsidRPr="006B42D6" w:rsidRDefault="00EF7BCA" w:rsidP="0085694C">
      <w:pPr>
        <w:tabs>
          <w:tab w:val="left" w:pos="1702"/>
        </w:tabs>
        <w:adjustRightInd w:val="0"/>
        <w:spacing w:before="20" w:line="240" w:lineRule="auto"/>
        <w:ind w:left="360"/>
        <w:rPr>
          <w:w w:val="105"/>
        </w:rPr>
      </w:pPr>
      <w:r w:rsidRPr="006B42D6">
        <w:rPr>
          <w:w w:val="105"/>
        </w:rPr>
        <w:t xml:space="preserve"> </w:t>
      </w:r>
    </w:p>
    <w:p w14:paraId="72471519" w14:textId="7AF261A5" w:rsidR="000E1363" w:rsidRPr="006B42D6" w:rsidRDefault="00EF7BCA" w:rsidP="00B85E2D">
      <w:pPr>
        <w:tabs>
          <w:tab w:val="left" w:pos="1702"/>
        </w:tabs>
        <w:adjustRightInd w:val="0"/>
        <w:spacing w:before="20"/>
        <w:ind w:left="360"/>
        <w:rPr>
          <w:spacing w:val="-2"/>
        </w:rPr>
      </w:pPr>
      <w:r w:rsidRPr="006B42D6">
        <w:rPr>
          <w:spacing w:val="-2"/>
        </w:rPr>
        <w:t xml:space="preserve">In </w:t>
      </w:r>
      <w:r w:rsidR="00327632" w:rsidRPr="006B42D6">
        <w:rPr>
          <w:lang w:eastAsia="en-GB"/>
        </w:rPr>
        <w:t xml:space="preserve">Tanzania </w:t>
      </w:r>
      <w:r w:rsidRPr="006B42D6">
        <w:rPr>
          <w:spacing w:val="-2"/>
        </w:rPr>
        <w:t xml:space="preserve">Zanzibar, Kaskazini Pemba region had the highest number of cattle infected by </w:t>
      </w:r>
      <w:r w:rsidR="005E72D5" w:rsidRPr="006B42D6">
        <w:rPr>
          <w:w w:val="105"/>
        </w:rPr>
        <w:t>helmenthio</w:t>
      </w:r>
      <w:r w:rsidR="000778C6">
        <w:rPr>
          <w:w w:val="105"/>
        </w:rPr>
        <w:t>s</w:t>
      </w:r>
      <w:r w:rsidR="005E72D5" w:rsidRPr="006B42D6">
        <w:rPr>
          <w:w w:val="105"/>
        </w:rPr>
        <w:t xml:space="preserve">is </w:t>
      </w:r>
      <w:r w:rsidRPr="006B42D6">
        <w:rPr>
          <w:w w:val="105"/>
        </w:rPr>
        <w:t>disease (</w:t>
      </w:r>
      <w:r w:rsidR="00310836" w:rsidRPr="006B42D6">
        <w:rPr>
          <w:spacing w:val="-2"/>
        </w:rPr>
        <w:t>22,904;</w:t>
      </w:r>
      <w:r w:rsidRPr="006B42D6">
        <w:rPr>
          <w:spacing w:val="-2"/>
        </w:rPr>
        <w:t xml:space="preserve"> 39.0 percent), followed by Mjini Magharibi (13,428; 22.9 percent) and Kusini Pemba (9,829; 16.7 percent). </w:t>
      </w:r>
      <w:r w:rsidRPr="006B42D6">
        <w:rPr>
          <w:w w:val="105"/>
        </w:rPr>
        <w:t xml:space="preserve">The lowest proportion of cattle </w:t>
      </w:r>
      <w:r w:rsidRPr="006B42D6">
        <w:rPr>
          <w:w w:val="105"/>
        </w:rPr>
        <w:lastRenderedPageBreak/>
        <w:t>infected was reported in Kaskazini Unguja region (5,308 heads; 0.9 percent) (Table 4.</w:t>
      </w:r>
      <w:r w:rsidR="00310836" w:rsidRPr="006B42D6">
        <w:rPr>
          <w:w w:val="105"/>
        </w:rPr>
        <w:t>1</w:t>
      </w:r>
      <w:r w:rsidR="00B70154">
        <w:rPr>
          <w:w w:val="105"/>
        </w:rPr>
        <w:t>4</w:t>
      </w:r>
      <w:r w:rsidRPr="006B42D6">
        <w:rPr>
          <w:w w:val="105"/>
        </w:rPr>
        <w:t>).</w:t>
      </w:r>
    </w:p>
    <w:p w14:paraId="61A0568E" w14:textId="77777777" w:rsidR="0085694C" w:rsidRPr="006B42D6" w:rsidRDefault="0085694C" w:rsidP="008D15E1">
      <w:pPr>
        <w:spacing w:line="240" w:lineRule="auto"/>
      </w:pPr>
    </w:p>
    <w:p w14:paraId="7877CC19" w14:textId="77777777" w:rsidR="00310836" w:rsidRPr="006B42D6" w:rsidRDefault="00310836" w:rsidP="00310836">
      <w:pPr>
        <w:pStyle w:val="ColorfulList-Accent11"/>
        <w:widowControl w:val="0"/>
        <w:numPr>
          <w:ilvl w:val="0"/>
          <w:numId w:val="3"/>
        </w:numPr>
        <w:autoSpaceDE w:val="0"/>
        <w:autoSpaceDN w:val="0"/>
        <w:adjustRightInd w:val="0"/>
        <w:spacing w:before="20" w:after="0" w:line="360" w:lineRule="auto"/>
        <w:rPr>
          <w:rFonts w:ascii="Times New Roman" w:hAnsi="Times New Roman"/>
          <w:b/>
          <w:w w:val="105"/>
          <w:sz w:val="24"/>
          <w:szCs w:val="24"/>
        </w:rPr>
      </w:pPr>
      <w:r w:rsidRPr="006B42D6">
        <w:rPr>
          <w:rFonts w:ascii="Times New Roman" w:hAnsi="Times New Roman"/>
          <w:b/>
          <w:w w:val="105"/>
          <w:sz w:val="24"/>
          <w:szCs w:val="24"/>
        </w:rPr>
        <w:t xml:space="preserve">Black Quarter Disease </w:t>
      </w:r>
    </w:p>
    <w:p w14:paraId="26DDE1CE" w14:textId="3B859A1F" w:rsidR="00310836" w:rsidRPr="006B42D6" w:rsidRDefault="00310836" w:rsidP="00310836">
      <w:pPr>
        <w:tabs>
          <w:tab w:val="left" w:pos="1702"/>
        </w:tabs>
        <w:adjustRightInd w:val="0"/>
        <w:spacing w:before="20"/>
        <w:ind w:left="360"/>
        <w:rPr>
          <w:w w:val="105"/>
        </w:rPr>
      </w:pPr>
      <w:r w:rsidRPr="006B42D6">
        <w:rPr>
          <w:w w:val="105"/>
        </w:rPr>
        <w:t xml:space="preserve">The total number of households reported </w:t>
      </w:r>
      <w:r w:rsidR="005E72D5" w:rsidRPr="006B42D6">
        <w:rPr>
          <w:w w:val="105"/>
        </w:rPr>
        <w:t>black q</w:t>
      </w:r>
      <w:r w:rsidRPr="006B42D6">
        <w:rPr>
          <w:w w:val="105"/>
        </w:rPr>
        <w:t xml:space="preserve">uarter disease infections to their cattle was 52,019 (49,534 in </w:t>
      </w:r>
      <w:r w:rsidR="00EA1552">
        <w:rPr>
          <w:lang w:eastAsia="en-GB"/>
        </w:rPr>
        <w:t>Mainland Tanzania</w:t>
      </w:r>
      <w:r w:rsidRPr="006B42D6">
        <w:rPr>
          <w:w w:val="105"/>
        </w:rPr>
        <w:t xml:space="preserve"> and 2,485 in </w:t>
      </w:r>
      <w:r w:rsidR="00327632" w:rsidRPr="006B42D6">
        <w:rPr>
          <w:lang w:eastAsia="en-GB"/>
        </w:rPr>
        <w:t xml:space="preserve">Tanzania </w:t>
      </w:r>
      <w:r w:rsidRPr="006B42D6">
        <w:rPr>
          <w:w w:val="105"/>
        </w:rPr>
        <w:t xml:space="preserve">Zanzibar), which represents 2.6 percent of the total cattle keeping households during </w:t>
      </w:r>
      <w:r w:rsidR="005E72D5" w:rsidRPr="006B42D6">
        <w:rPr>
          <w:w w:val="105"/>
        </w:rPr>
        <w:t xml:space="preserve">2019/20 </w:t>
      </w:r>
      <w:r w:rsidR="00F149FC" w:rsidRPr="006B42D6">
        <w:rPr>
          <w:w w:val="105"/>
        </w:rPr>
        <w:t>a</w:t>
      </w:r>
      <w:r w:rsidRPr="006B42D6">
        <w:rPr>
          <w:w w:val="105"/>
        </w:rPr>
        <w:t xml:space="preserve">gricultural year. </w:t>
      </w:r>
    </w:p>
    <w:p w14:paraId="292C6617" w14:textId="77777777" w:rsidR="00310836" w:rsidRPr="006B42D6" w:rsidRDefault="00310836" w:rsidP="0085694C">
      <w:pPr>
        <w:tabs>
          <w:tab w:val="left" w:pos="1702"/>
        </w:tabs>
        <w:adjustRightInd w:val="0"/>
        <w:spacing w:before="20" w:line="240" w:lineRule="auto"/>
        <w:ind w:left="360"/>
        <w:rPr>
          <w:w w:val="105"/>
        </w:rPr>
      </w:pPr>
    </w:p>
    <w:p w14:paraId="27555A6C" w14:textId="6E1B5E44" w:rsidR="00310836" w:rsidRPr="006B42D6" w:rsidRDefault="00310836" w:rsidP="00310836">
      <w:pPr>
        <w:tabs>
          <w:tab w:val="left" w:pos="1702"/>
        </w:tabs>
        <w:adjustRightInd w:val="0"/>
        <w:spacing w:before="20"/>
        <w:ind w:left="360"/>
        <w:rPr>
          <w:spacing w:val="-2"/>
        </w:rPr>
      </w:pPr>
      <w:r w:rsidRPr="006B42D6">
        <w:rPr>
          <w:w w:val="103"/>
        </w:rPr>
        <w:t xml:space="preserve">A total number of </w:t>
      </w:r>
      <w:r w:rsidRPr="006B42D6">
        <w:rPr>
          <w:w w:val="105"/>
        </w:rPr>
        <w:t xml:space="preserve">651,410 cattle </w:t>
      </w:r>
      <w:r w:rsidRPr="006B42D6">
        <w:rPr>
          <w:w w:val="103"/>
        </w:rPr>
        <w:t xml:space="preserve">were </w:t>
      </w:r>
      <w:r w:rsidRPr="006B42D6">
        <w:rPr>
          <w:w w:val="105"/>
        </w:rPr>
        <w:t xml:space="preserve">infected </w:t>
      </w:r>
      <w:r w:rsidR="005E72D5" w:rsidRPr="006B42D6">
        <w:rPr>
          <w:w w:val="105"/>
        </w:rPr>
        <w:t>with black quarter disease</w:t>
      </w:r>
      <w:r w:rsidRPr="006B42D6">
        <w:rPr>
          <w:w w:val="105"/>
        </w:rPr>
        <w:t>,</w:t>
      </w:r>
      <w:r w:rsidRPr="006B42D6">
        <w:rPr>
          <w:w w:val="103"/>
        </w:rPr>
        <w:t xml:space="preserve"> of which </w:t>
      </w:r>
      <w:r w:rsidRPr="006B42D6">
        <w:rPr>
          <w:w w:val="105"/>
        </w:rPr>
        <w:t xml:space="preserve">643,893 heads </w:t>
      </w:r>
      <w:r w:rsidRPr="006B42D6">
        <w:rPr>
          <w:spacing w:val="-2"/>
        </w:rPr>
        <w:t xml:space="preserve">in </w:t>
      </w:r>
      <w:r w:rsidR="00EA1552">
        <w:rPr>
          <w:lang w:eastAsia="en-GB"/>
        </w:rPr>
        <w:t>Mainland Tanzania</w:t>
      </w:r>
      <w:r w:rsidRPr="006B42D6">
        <w:rPr>
          <w:spacing w:val="-2"/>
        </w:rPr>
        <w:t xml:space="preserve"> and 7,517 heads in </w:t>
      </w:r>
      <w:r w:rsidR="00327632" w:rsidRPr="006B42D6">
        <w:rPr>
          <w:lang w:eastAsia="en-GB"/>
        </w:rPr>
        <w:t xml:space="preserve">Tanzania </w:t>
      </w:r>
      <w:r w:rsidRPr="006B42D6">
        <w:rPr>
          <w:spacing w:val="-2"/>
        </w:rPr>
        <w:t xml:space="preserve">Zanzibar. In </w:t>
      </w:r>
      <w:r w:rsidR="00EA1552">
        <w:rPr>
          <w:lang w:eastAsia="en-GB"/>
        </w:rPr>
        <w:t>Mainland Tanzania</w:t>
      </w:r>
      <w:r w:rsidRPr="006B42D6">
        <w:rPr>
          <w:spacing w:val="-2"/>
        </w:rPr>
        <w:t xml:space="preserve">, Pwani region had the highest </w:t>
      </w:r>
      <w:r w:rsidRPr="006B42D6">
        <w:rPr>
          <w:w w:val="105"/>
        </w:rPr>
        <w:t xml:space="preserve">proportion of cattle infected with </w:t>
      </w:r>
      <w:r w:rsidR="005E72D5" w:rsidRPr="006B42D6">
        <w:t>black quarter</w:t>
      </w:r>
      <w:r w:rsidR="005E72D5" w:rsidRPr="006B42D6">
        <w:rPr>
          <w:w w:val="105"/>
        </w:rPr>
        <w:t xml:space="preserve"> </w:t>
      </w:r>
      <w:r w:rsidRPr="006B42D6">
        <w:rPr>
          <w:w w:val="105"/>
        </w:rPr>
        <w:t>disease (</w:t>
      </w:r>
      <w:r w:rsidR="00DE482E" w:rsidRPr="006B42D6">
        <w:rPr>
          <w:spacing w:val="-2"/>
        </w:rPr>
        <w:t>313,786;</w:t>
      </w:r>
      <w:r w:rsidRPr="006B42D6">
        <w:rPr>
          <w:spacing w:val="-2"/>
        </w:rPr>
        <w:t xml:space="preserve"> 48.7 percent), </w:t>
      </w:r>
      <w:r w:rsidRPr="006B42D6">
        <w:rPr>
          <w:w w:val="105"/>
        </w:rPr>
        <w:t>followed by Tabora (83,428; 13.0 percent) and Njombe (35,197; 5.5 percent). The lowest proportion of cattle infected was reported in Katavi region (1,030; 0.2 percent)</w:t>
      </w:r>
    </w:p>
    <w:p w14:paraId="107AA173" w14:textId="77777777" w:rsidR="00310836" w:rsidRPr="006B42D6" w:rsidRDefault="00310836" w:rsidP="0085694C">
      <w:pPr>
        <w:tabs>
          <w:tab w:val="left" w:pos="1702"/>
        </w:tabs>
        <w:adjustRightInd w:val="0"/>
        <w:spacing w:before="20" w:line="240" w:lineRule="auto"/>
        <w:ind w:left="360"/>
        <w:rPr>
          <w:w w:val="105"/>
        </w:rPr>
      </w:pPr>
    </w:p>
    <w:p w14:paraId="4C7D2817" w14:textId="68570EBE" w:rsidR="00310836" w:rsidRPr="006B42D6" w:rsidRDefault="00310836" w:rsidP="00310836">
      <w:pPr>
        <w:tabs>
          <w:tab w:val="left" w:pos="1702"/>
        </w:tabs>
        <w:adjustRightInd w:val="0"/>
        <w:spacing w:before="20"/>
        <w:ind w:left="360"/>
        <w:rPr>
          <w:w w:val="105"/>
        </w:rPr>
      </w:pPr>
      <w:r w:rsidRPr="006B42D6">
        <w:rPr>
          <w:spacing w:val="-2"/>
        </w:rPr>
        <w:t xml:space="preserve">In </w:t>
      </w:r>
      <w:r w:rsidR="00327632" w:rsidRPr="006B42D6">
        <w:rPr>
          <w:lang w:eastAsia="en-GB"/>
        </w:rPr>
        <w:t xml:space="preserve">Tanzania </w:t>
      </w:r>
      <w:r w:rsidRPr="006B42D6">
        <w:rPr>
          <w:spacing w:val="-2"/>
        </w:rPr>
        <w:t xml:space="preserve">Zanzibar, Kaskazini Unguja region had the highest number of cattle infected by </w:t>
      </w:r>
      <w:r w:rsidR="005E72D5" w:rsidRPr="006B42D6">
        <w:rPr>
          <w:w w:val="105"/>
        </w:rPr>
        <w:t>black quarter diasese</w:t>
      </w:r>
      <w:r w:rsidRPr="006B42D6">
        <w:rPr>
          <w:w w:val="105"/>
        </w:rPr>
        <w:t xml:space="preserve"> (</w:t>
      </w:r>
      <w:r w:rsidRPr="006B42D6">
        <w:rPr>
          <w:spacing w:val="-2"/>
        </w:rPr>
        <w:t xml:space="preserve">2,958; 39.4 percent), followed by Mjini Magharibi (2,708; 36.0 percent) and Kusini Unguja (1,256; 16.7 percent). </w:t>
      </w:r>
      <w:r w:rsidRPr="006B42D6">
        <w:rPr>
          <w:w w:val="105"/>
        </w:rPr>
        <w:t>The lowest proportion of cattle infected was reported in Kaskazini Pemba region (595; 7.9 percent) (Table 4.1</w:t>
      </w:r>
      <w:r w:rsidR="00B70154">
        <w:rPr>
          <w:w w:val="105"/>
        </w:rPr>
        <w:t>4</w:t>
      </w:r>
      <w:r w:rsidRPr="006B42D6">
        <w:rPr>
          <w:w w:val="105"/>
        </w:rPr>
        <w:t>).</w:t>
      </w:r>
    </w:p>
    <w:p w14:paraId="325BD8CE" w14:textId="77777777" w:rsidR="00DE482E" w:rsidRPr="006B42D6" w:rsidRDefault="00DE482E" w:rsidP="0085694C">
      <w:pPr>
        <w:tabs>
          <w:tab w:val="left" w:pos="1702"/>
        </w:tabs>
        <w:adjustRightInd w:val="0"/>
        <w:spacing w:before="20" w:line="240" w:lineRule="auto"/>
        <w:ind w:left="360"/>
        <w:rPr>
          <w:spacing w:val="-2"/>
        </w:rPr>
      </w:pPr>
    </w:p>
    <w:p w14:paraId="2C01501A" w14:textId="6D72142E" w:rsidR="000E1363" w:rsidRPr="006B42D6" w:rsidRDefault="000E1363" w:rsidP="005C2EFC">
      <w:pPr>
        <w:pStyle w:val="ColorfulList-Accent11"/>
        <w:widowControl w:val="0"/>
        <w:numPr>
          <w:ilvl w:val="0"/>
          <w:numId w:val="3"/>
        </w:numPr>
        <w:autoSpaceDE w:val="0"/>
        <w:autoSpaceDN w:val="0"/>
        <w:adjustRightInd w:val="0"/>
        <w:spacing w:before="20" w:after="0" w:line="360" w:lineRule="auto"/>
        <w:rPr>
          <w:rFonts w:ascii="Times New Roman" w:hAnsi="Times New Roman"/>
          <w:b/>
          <w:w w:val="105"/>
          <w:sz w:val="24"/>
          <w:szCs w:val="24"/>
        </w:rPr>
      </w:pPr>
      <w:r w:rsidRPr="006B42D6">
        <w:rPr>
          <w:rFonts w:ascii="Times New Roman" w:hAnsi="Times New Roman"/>
          <w:b/>
          <w:w w:val="105"/>
          <w:sz w:val="24"/>
          <w:szCs w:val="24"/>
        </w:rPr>
        <w:t>Foot Mouth Disease (FMD)</w:t>
      </w:r>
    </w:p>
    <w:p w14:paraId="36D21DA7" w14:textId="2D261976" w:rsidR="00EF7BCA" w:rsidRPr="006B42D6" w:rsidRDefault="00EF7BCA" w:rsidP="00EF7BCA">
      <w:pPr>
        <w:tabs>
          <w:tab w:val="left" w:pos="1702"/>
        </w:tabs>
        <w:adjustRightInd w:val="0"/>
        <w:spacing w:before="20"/>
        <w:ind w:left="360"/>
        <w:rPr>
          <w:w w:val="105"/>
        </w:rPr>
      </w:pPr>
      <w:r w:rsidRPr="006B42D6">
        <w:rPr>
          <w:w w:val="105"/>
        </w:rPr>
        <w:t xml:space="preserve">The total number of households reported FMD infection </w:t>
      </w:r>
      <w:r w:rsidRPr="006B42D6">
        <w:rPr>
          <w:spacing w:val="-2"/>
        </w:rPr>
        <w:t>in their cattle</w:t>
      </w:r>
      <w:r w:rsidRPr="006B42D6">
        <w:rPr>
          <w:w w:val="105"/>
        </w:rPr>
        <w:t xml:space="preserve"> was 389,136 (384,651 in </w:t>
      </w:r>
      <w:r w:rsidR="00EA1552">
        <w:rPr>
          <w:lang w:eastAsia="en-GB"/>
        </w:rPr>
        <w:t>Mainland Tanzania</w:t>
      </w:r>
      <w:r w:rsidRPr="006B42D6">
        <w:rPr>
          <w:w w:val="105"/>
        </w:rPr>
        <w:t xml:space="preserve"> and 4,485 in </w:t>
      </w:r>
      <w:r w:rsidR="00327632" w:rsidRPr="006B42D6">
        <w:rPr>
          <w:lang w:eastAsia="en-GB"/>
        </w:rPr>
        <w:t xml:space="preserve">Tanzania </w:t>
      </w:r>
      <w:r w:rsidRPr="006B42D6">
        <w:rPr>
          <w:w w:val="105"/>
        </w:rPr>
        <w:t xml:space="preserve">Zanzibar), which represents 19.7 percent of the total cattle keeping households during </w:t>
      </w:r>
      <w:r w:rsidR="005E72D5" w:rsidRPr="006B42D6">
        <w:rPr>
          <w:w w:val="105"/>
        </w:rPr>
        <w:t xml:space="preserve">2019/20 </w:t>
      </w:r>
      <w:r w:rsidR="00F149FC" w:rsidRPr="006B42D6">
        <w:rPr>
          <w:w w:val="105"/>
        </w:rPr>
        <w:t>a</w:t>
      </w:r>
      <w:r w:rsidRPr="006B42D6">
        <w:rPr>
          <w:w w:val="105"/>
        </w:rPr>
        <w:t xml:space="preserve">gricultural year. </w:t>
      </w:r>
    </w:p>
    <w:p w14:paraId="35C85221" w14:textId="77777777" w:rsidR="00EF7BCA" w:rsidRPr="006B42D6" w:rsidRDefault="00EF7BCA" w:rsidP="0085694C">
      <w:pPr>
        <w:spacing w:line="240" w:lineRule="auto"/>
        <w:rPr>
          <w:w w:val="105"/>
        </w:rPr>
      </w:pPr>
    </w:p>
    <w:p w14:paraId="6241500E" w14:textId="38B254BB" w:rsidR="00EF7BCA" w:rsidRDefault="00EF7BCA" w:rsidP="000C32CB">
      <w:pPr>
        <w:tabs>
          <w:tab w:val="left" w:pos="1702"/>
        </w:tabs>
        <w:adjustRightInd w:val="0"/>
        <w:spacing w:before="20"/>
        <w:ind w:left="360"/>
        <w:rPr>
          <w:w w:val="105"/>
        </w:rPr>
      </w:pPr>
      <w:r w:rsidRPr="006B42D6">
        <w:rPr>
          <w:w w:val="103"/>
        </w:rPr>
        <w:t xml:space="preserve">A total number of </w:t>
      </w:r>
      <w:r w:rsidRPr="006B42D6">
        <w:rPr>
          <w:w w:val="105"/>
        </w:rPr>
        <w:t xml:space="preserve">4,297,145 cattle </w:t>
      </w:r>
      <w:r w:rsidRPr="006B42D6">
        <w:rPr>
          <w:w w:val="103"/>
        </w:rPr>
        <w:t xml:space="preserve">were </w:t>
      </w:r>
      <w:r w:rsidRPr="006B42D6">
        <w:rPr>
          <w:w w:val="105"/>
        </w:rPr>
        <w:t xml:space="preserve">reported to be infected with FMD, </w:t>
      </w:r>
      <w:r w:rsidRPr="006B42D6">
        <w:rPr>
          <w:w w:val="103"/>
        </w:rPr>
        <w:t xml:space="preserve">of which </w:t>
      </w:r>
      <w:r w:rsidRPr="006B42D6">
        <w:rPr>
          <w:w w:val="105"/>
        </w:rPr>
        <w:t xml:space="preserve">4,285,542 heads </w:t>
      </w:r>
      <w:r w:rsidRPr="006B42D6">
        <w:rPr>
          <w:spacing w:val="-2"/>
        </w:rPr>
        <w:t xml:space="preserve">in </w:t>
      </w:r>
      <w:r w:rsidR="00EA1552">
        <w:rPr>
          <w:lang w:eastAsia="en-GB"/>
        </w:rPr>
        <w:t>Mainland Tanzania</w:t>
      </w:r>
      <w:r w:rsidRPr="006B42D6">
        <w:rPr>
          <w:spacing w:val="-2"/>
        </w:rPr>
        <w:t xml:space="preserve"> and 11,603 heads in </w:t>
      </w:r>
      <w:r w:rsidR="00327632" w:rsidRPr="006B42D6">
        <w:rPr>
          <w:lang w:eastAsia="en-GB"/>
        </w:rPr>
        <w:t xml:space="preserve">Tanzania </w:t>
      </w:r>
      <w:r w:rsidRPr="006B42D6">
        <w:rPr>
          <w:spacing w:val="-2"/>
        </w:rPr>
        <w:t xml:space="preserve">Zanzibar. In </w:t>
      </w:r>
      <w:r w:rsidR="00EA1552">
        <w:rPr>
          <w:lang w:eastAsia="en-GB"/>
        </w:rPr>
        <w:t>Mainland Tanzania</w:t>
      </w:r>
      <w:r w:rsidRPr="006B42D6">
        <w:rPr>
          <w:spacing w:val="-2"/>
        </w:rPr>
        <w:t xml:space="preserve">, Simiyu region had the highest </w:t>
      </w:r>
      <w:r w:rsidRPr="006B42D6">
        <w:rPr>
          <w:w w:val="105"/>
        </w:rPr>
        <w:t>proportion of cattle infected with FMD problem (</w:t>
      </w:r>
      <w:r w:rsidRPr="006B42D6">
        <w:rPr>
          <w:spacing w:val="-2"/>
        </w:rPr>
        <w:t xml:space="preserve">399,150; 9.3 percent), </w:t>
      </w:r>
      <w:r w:rsidRPr="006B42D6">
        <w:rPr>
          <w:w w:val="105"/>
        </w:rPr>
        <w:t>followed by Singida (346,323; 8.1 percent) and Dodoma (324,662; 7.6 percent). The lowest proportion of cattle infected was reported in Lindi region (940; 0.02 percent)</w:t>
      </w:r>
    </w:p>
    <w:p w14:paraId="2C694F65" w14:textId="77777777" w:rsidR="000C32CB" w:rsidRPr="000C32CB" w:rsidRDefault="000C32CB" w:rsidP="0085694C">
      <w:pPr>
        <w:tabs>
          <w:tab w:val="left" w:pos="1702"/>
        </w:tabs>
        <w:adjustRightInd w:val="0"/>
        <w:spacing w:before="20" w:line="240" w:lineRule="auto"/>
        <w:ind w:left="360"/>
        <w:rPr>
          <w:w w:val="105"/>
        </w:rPr>
      </w:pPr>
    </w:p>
    <w:p w14:paraId="7EA91BDF" w14:textId="593BE07A" w:rsidR="00EF7BCA" w:rsidRPr="006B42D6" w:rsidRDefault="00EF7BCA" w:rsidP="00EF7BCA">
      <w:pPr>
        <w:tabs>
          <w:tab w:val="left" w:pos="1702"/>
        </w:tabs>
        <w:adjustRightInd w:val="0"/>
        <w:spacing w:before="20"/>
        <w:ind w:left="360"/>
        <w:rPr>
          <w:w w:val="105"/>
        </w:rPr>
      </w:pPr>
      <w:r w:rsidRPr="006B42D6">
        <w:rPr>
          <w:spacing w:val="-2"/>
        </w:rPr>
        <w:t xml:space="preserve">In </w:t>
      </w:r>
      <w:r w:rsidR="00327632" w:rsidRPr="006B42D6">
        <w:rPr>
          <w:lang w:eastAsia="en-GB"/>
        </w:rPr>
        <w:t xml:space="preserve">Tanzania </w:t>
      </w:r>
      <w:r w:rsidRPr="006B42D6">
        <w:rPr>
          <w:spacing w:val="-2"/>
        </w:rPr>
        <w:t xml:space="preserve">Zanzibar, Kaskazini Unguja region had the highest number of cattle infected by </w:t>
      </w:r>
      <w:r w:rsidRPr="006B42D6">
        <w:rPr>
          <w:w w:val="105"/>
        </w:rPr>
        <w:t>FMD problem</w:t>
      </w:r>
      <w:r w:rsidRPr="006B42D6">
        <w:rPr>
          <w:spacing w:val="-2"/>
        </w:rPr>
        <w:t xml:space="preserve"> (5,569; 48.0 percent), followed by Mjini Magharibi (4,175; 36.0 </w:t>
      </w:r>
      <w:r w:rsidRPr="006B42D6">
        <w:rPr>
          <w:spacing w:val="-2"/>
        </w:rPr>
        <w:lastRenderedPageBreak/>
        <w:t xml:space="preserve">percent) and Kusini Pemba (880; 7.6 percent). </w:t>
      </w:r>
      <w:r w:rsidRPr="006B42D6">
        <w:rPr>
          <w:w w:val="105"/>
        </w:rPr>
        <w:t>The lowest proportion of cattle infected was reported in Kusini Unguja region (23</w:t>
      </w:r>
      <w:r w:rsidR="00DE482E" w:rsidRPr="006B42D6">
        <w:rPr>
          <w:w w:val="105"/>
        </w:rPr>
        <w:t>5</w:t>
      </w:r>
      <w:r w:rsidRPr="006B42D6">
        <w:rPr>
          <w:w w:val="105"/>
        </w:rPr>
        <w:t>; 2</w:t>
      </w:r>
      <w:r w:rsidR="00DE482E" w:rsidRPr="006B42D6">
        <w:rPr>
          <w:w w:val="105"/>
        </w:rPr>
        <w:t>.0</w:t>
      </w:r>
      <w:r w:rsidRPr="006B42D6">
        <w:rPr>
          <w:w w:val="105"/>
        </w:rPr>
        <w:t xml:space="preserve"> percent)</w:t>
      </w:r>
      <w:r w:rsidR="00303D63" w:rsidRPr="006B42D6">
        <w:rPr>
          <w:w w:val="105"/>
        </w:rPr>
        <w:t xml:space="preserve"> (Map 4.1</w:t>
      </w:r>
      <w:r w:rsidR="00F149FC" w:rsidRPr="006B42D6">
        <w:rPr>
          <w:w w:val="105"/>
        </w:rPr>
        <w:t>3</w:t>
      </w:r>
      <w:r w:rsidR="00303D63" w:rsidRPr="006B42D6">
        <w:rPr>
          <w:w w:val="105"/>
        </w:rPr>
        <w:t>)</w:t>
      </w:r>
      <w:r w:rsidRPr="006B42D6">
        <w:rPr>
          <w:w w:val="105"/>
        </w:rPr>
        <w:t>.</w:t>
      </w:r>
    </w:p>
    <w:p w14:paraId="10E3F0E9" w14:textId="1C4F31A3" w:rsidR="00C46537" w:rsidRDefault="00C46537" w:rsidP="00EF7BCA">
      <w:pPr>
        <w:tabs>
          <w:tab w:val="left" w:pos="1702"/>
        </w:tabs>
        <w:adjustRightInd w:val="0"/>
        <w:spacing w:before="20"/>
        <w:ind w:left="360"/>
        <w:rPr>
          <w:spacing w:val="-2"/>
        </w:rPr>
      </w:pPr>
    </w:p>
    <w:p w14:paraId="5E1E7328" w14:textId="2400F947" w:rsidR="000E1363" w:rsidRPr="00AC6872" w:rsidRDefault="000E1363" w:rsidP="00AC6872">
      <w:pPr>
        <w:pStyle w:val="MapNew"/>
        <w:rPr>
          <w:rStyle w:val="BookTitle"/>
          <w:color w:val="auto"/>
          <w:sz w:val="24"/>
          <w:szCs w:val="24"/>
        </w:rPr>
      </w:pPr>
      <w:bookmarkStart w:id="645" w:name="_Toc80902568"/>
      <w:bookmarkStart w:id="646" w:name="_Toc82386486"/>
      <w:r w:rsidRPr="00AC6872">
        <w:t>Map</w:t>
      </w:r>
      <w:r w:rsidR="00CC2F05" w:rsidRPr="00AC6872">
        <w:t xml:space="preserve"> 4.1</w:t>
      </w:r>
      <w:r w:rsidR="00F149FC" w:rsidRPr="00AC6872">
        <w:t>3</w:t>
      </w:r>
      <w:r w:rsidR="0085694C">
        <w:t>:</w:t>
      </w:r>
      <w:r w:rsidR="0085694C">
        <w:tab/>
      </w:r>
      <w:r w:rsidRPr="00AC6872">
        <w:rPr>
          <w:rStyle w:val="BookTitle"/>
          <w:rFonts w:ascii="Times New Roman" w:hAnsi="Times New Roman"/>
          <w:b/>
          <w:bCs w:val="0"/>
          <w:iCs/>
          <w:color w:val="auto"/>
          <w:spacing w:val="0"/>
          <w:szCs w:val="20"/>
        </w:rPr>
        <w:t>Number</w:t>
      </w:r>
      <w:r w:rsidRPr="00AC6872">
        <w:rPr>
          <w:rStyle w:val="BookTitle"/>
          <w:color w:val="auto"/>
          <w:sz w:val="24"/>
          <w:szCs w:val="24"/>
        </w:rPr>
        <w:t xml:space="preserve"> </w:t>
      </w:r>
      <w:r w:rsidRPr="00AC6872">
        <w:t xml:space="preserve">of Households </w:t>
      </w:r>
      <w:r w:rsidR="00F149FC" w:rsidRPr="00AC6872">
        <w:t>Reported</w:t>
      </w:r>
      <w:r w:rsidRPr="00AC6872">
        <w:t xml:space="preserve"> FMD </w:t>
      </w:r>
      <w:r w:rsidR="00F149FC" w:rsidRPr="00AC6872">
        <w:t xml:space="preserve">Infections </w:t>
      </w:r>
      <w:r w:rsidR="00CC2F05" w:rsidRPr="00AC6872">
        <w:t>D</w:t>
      </w:r>
      <w:r w:rsidRPr="00AC6872">
        <w:t xml:space="preserve">uring 2019/20 Agricultural </w:t>
      </w:r>
      <w:r w:rsidR="00F149FC" w:rsidRPr="00AC6872">
        <w:t>Y</w:t>
      </w:r>
      <w:r w:rsidRPr="00AC6872">
        <w:t>ear</w:t>
      </w:r>
      <w:r w:rsidR="00327632" w:rsidRPr="00AC6872">
        <w:t>, Tanzania</w:t>
      </w:r>
      <w:bookmarkEnd w:id="645"/>
      <w:bookmarkEnd w:id="646"/>
    </w:p>
    <w:p w14:paraId="7706C09A" w14:textId="414F7650" w:rsidR="00B85E2D" w:rsidRPr="006B42D6" w:rsidRDefault="00890203" w:rsidP="00CC2F05">
      <w:pPr>
        <w:tabs>
          <w:tab w:val="left" w:pos="1702"/>
        </w:tabs>
        <w:adjustRightInd w:val="0"/>
        <w:spacing w:before="20"/>
        <w:rPr>
          <w:b/>
          <w:spacing w:val="-2"/>
        </w:rPr>
      </w:pPr>
      <w:r>
        <w:rPr>
          <w:noProof/>
        </w:rPr>
        <w:drawing>
          <wp:inline distT="0" distB="0" distL="0" distR="0" wp14:anchorId="207AC16B" wp14:editId="6D46F60D">
            <wp:extent cx="5809593" cy="4221480"/>
            <wp:effectExtent l="0" t="0" r="0" b="0"/>
            <wp:docPr id="4363" name="Picture 4363"/>
            <wp:cNvGraphicFramePr/>
            <a:graphic xmlns:a="http://schemas.openxmlformats.org/drawingml/2006/main">
              <a:graphicData uri="http://schemas.openxmlformats.org/drawingml/2006/picture">
                <pic:pic xmlns:pic="http://schemas.openxmlformats.org/drawingml/2006/picture">
                  <pic:nvPicPr>
                    <pic:cNvPr id="4363" name="Picture 4363"/>
                    <pic:cNvPicPr/>
                  </pic:nvPicPr>
                  <pic:blipFill>
                    <a:blip r:embed="rId300"/>
                    <a:stretch>
                      <a:fillRect/>
                    </a:stretch>
                  </pic:blipFill>
                  <pic:spPr>
                    <a:xfrm>
                      <a:off x="0" y="0"/>
                      <a:ext cx="5818772" cy="4228150"/>
                    </a:xfrm>
                    <a:prstGeom prst="rect">
                      <a:avLst/>
                    </a:prstGeom>
                  </pic:spPr>
                </pic:pic>
              </a:graphicData>
            </a:graphic>
          </wp:inline>
        </w:drawing>
      </w:r>
    </w:p>
    <w:p w14:paraId="7B007C91" w14:textId="77777777" w:rsidR="000C32CB" w:rsidRPr="006B42D6" w:rsidRDefault="000C32CB" w:rsidP="00CC2F05">
      <w:pPr>
        <w:tabs>
          <w:tab w:val="left" w:pos="1702"/>
        </w:tabs>
        <w:adjustRightInd w:val="0"/>
        <w:spacing w:before="20"/>
        <w:rPr>
          <w:b/>
          <w:spacing w:val="-2"/>
        </w:rPr>
      </w:pPr>
    </w:p>
    <w:p w14:paraId="6DC10F6D" w14:textId="77777777" w:rsidR="000E1363" w:rsidRPr="006B42D6" w:rsidRDefault="000E1363" w:rsidP="005C2EFC">
      <w:pPr>
        <w:pStyle w:val="ColorfulList-Accent11"/>
        <w:widowControl w:val="0"/>
        <w:numPr>
          <w:ilvl w:val="0"/>
          <w:numId w:val="3"/>
        </w:numPr>
        <w:autoSpaceDE w:val="0"/>
        <w:autoSpaceDN w:val="0"/>
        <w:adjustRightInd w:val="0"/>
        <w:spacing w:before="20" w:after="0" w:line="360" w:lineRule="auto"/>
        <w:rPr>
          <w:rFonts w:ascii="Times New Roman" w:hAnsi="Times New Roman"/>
          <w:b/>
          <w:w w:val="105"/>
          <w:sz w:val="24"/>
          <w:szCs w:val="24"/>
        </w:rPr>
      </w:pPr>
      <w:r w:rsidRPr="006B42D6">
        <w:rPr>
          <w:rFonts w:ascii="Times New Roman" w:hAnsi="Times New Roman"/>
          <w:b/>
          <w:w w:val="105"/>
          <w:sz w:val="24"/>
          <w:szCs w:val="24"/>
        </w:rPr>
        <w:t xml:space="preserve">Brucellosis Disease </w:t>
      </w:r>
    </w:p>
    <w:p w14:paraId="15265828" w14:textId="30BDA25A" w:rsidR="00EF10A4" w:rsidRPr="006B42D6" w:rsidRDefault="00EF10A4" w:rsidP="00EF10A4">
      <w:pPr>
        <w:tabs>
          <w:tab w:val="left" w:pos="1702"/>
        </w:tabs>
        <w:adjustRightInd w:val="0"/>
        <w:spacing w:before="20"/>
        <w:ind w:left="360"/>
        <w:rPr>
          <w:w w:val="105"/>
        </w:rPr>
      </w:pPr>
      <w:r w:rsidRPr="006B42D6">
        <w:rPr>
          <w:w w:val="105"/>
        </w:rPr>
        <w:t xml:space="preserve">The total number of households reported </w:t>
      </w:r>
      <w:r w:rsidR="000778C6">
        <w:rPr>
          <w:w w:val="105"/>
        </w:rPr>
        <w:t>b</w:t>
      </w:r>
      <w:r w:rsidRPr="006B42D6">
        <w:rPr>
          <w:w w:val="105"/>
        </w:rPr>
        <w:t xml:space="preserve">rucellosis infections in their cattle was 103,080 (100,583 in </w:t>
      </w:r>
      <w:r w:rsidR="00EA1552">
        <w:rPr>
          <w:lang w:eastAsia="en-GB"/>
        </w:rPr>
        <w:t>Mainland Tanzania</w:t>
      </w:r>
      <w:r w:rsidRPr="006B42D6">
        <w:rPr>
          <w:w w:val="105"/>
        </w:rPr>
        <w:t xml:space="preserve"> and 2,497 in </w:t>
      </w:r>
      <w:r w:rsidR="00327632" w:rsidRPr="006B42D6">
        <w:rPr>
          <w:lang w:eastAsia="en-GB"/>
        </w:rPr>
        <w:t xml:space="preserve">Tanzania </w:t>
      </w:r>
      <w:r w:rsidRPr="006B42D6">
        <w:rPr>
          <w:w w:val="105"/>
        </w:rPr>
        <w:t xml:space="preserve">Zanzibar), which represents 5.2 percent of the total cattle keeping households during </w:t>
      </w:r>
      <w:r w:rsidR="005E72D5" w:rsidRPr="006B42D6">
        <w:rPr>
          <w:w w:val="105"/>
        </w:rPr>
        <w:t xml:space="preserve">the </w:t>
      </w:r>
      <w:r w:rsidR="00F149FC" w:rsidRPr="006B42D6">
        <w:rPr>
          <w:w w:val="105"/>
        </w:rPr>
        <w:t>2019/20 a</w:t>
      </w:r>
      <w:r w:rsidRPr="006B42D6">
        <w:rPr>
          <w:w w:val="105"/>
        </w:rPr>
        <w:t xml:space="preserve">gricultural year. </w:t>
      </w:r>
    </w:p>
    <w:p w14:paraId="7B10B9E3" w14:textId="77777777" w:rsidR="00EF10A4" w:rsidRPr="006B42D6" w:rsidRDefault="00EF10A4" w:rsidP="0085694C">
      <w:pPr>
        <w:tabs>
          <w:tab w:val="left" w:pos="1702"/>
        </w:tabs>
        <w:adjustRightInd w:val="0"/>
        <w:spacing w:before="20" w:line="240" w:lineRule="auto"/>
        <w:ind w:left="360"/>
        <w:rPr>
          <w:w w:val="105"/>
        </w:rPr>
      </w:pPr>
    </w:p>
    <w:p w14:paraId="4BB844FB" w14:textId="0A83DE0F" w:rsidR="00EF10A4" w:rsidRPr="006B42D6" w:rsidRDefault="00EF10A4" w:rsidP="00EF10A4">
      <w:pPr>
        <w:tabs>
          <w:tab w:val="left" w:pos="1702"/>
        </w:tabs>
        <w:adjustRightInd w:val="0"/>
        <w:spacing w:before="20"/>
        <w:ind w:left="360"/>
        <w:rPr>
          <w:spacing w:val="-2"/>
        </w:rPr>
      </w:pPr>
      <w:r w:rsidRPr="006B42D6">
        <w:rPr>
          <w:w w:val="103"/>
        </w:rPr>
        <w:t>The report revealed that</w:t>
      </w:r>
      <w:r w:rsidR="00DE482E" w:rsidRPr="006B42D6">
        <w:rPr>
          <w:w w:val="103"/>
        </w:rPr>
        <w:t>,</w:t>
      </w:r>
      <w:r w:rsidRPr="006B42D6">
        <w:rPr>
          <w:w w:val="103"/>
        </w:rPr>
        <w:t xml:space="preserve"> a total number of </w:t>
      </w:r>
      <w:r w:rsidRPr="006B42D6">
        <w:rPr>
          <w:w w:val="105"/>
        </w:rPr>
        <w:t xml:space="preserve">393,563 cattle </w:t>
      </w:r>
      <w:r w:rsidRPr="006B42D6">
        <w:rPr>
          <w:w w:val="103"/>
        </w:rPr>
        <w:t xml:space="preserve">were </w:t>
      </w:r>
      <w:r w:rsidRPr="006B42D6">
        <w:rPr>
          <w:w w:val="105"/>
        </w:rPr>
        <w:t xml:space="preserve">infected with </w:t>
      </w:r>
      <w:r w:rsidR="000778C6">
        <w:rPr>
          <w:w w:val="105"/>
        </w:rPr>
        <w:t>b</w:t>
      </w:r>
      <w:r w:rsidRPr="006B42D6">
        <w:rPr>
          <w:w w:val="105"/>
        </w:rPr>
        <w:t>rucellosis disease,</w:t>
      </w:r>
      <w:r w:rsidRPr="006B42D6">
        <w:rPr>
          <w:w w:val="103"/>
        </w:rPr>
        <w:t xml:space="preserve"> of which</w:t>
      </w:r>
      <w:r w:rsidRPr="006B42D6">
        <w:rPr>
          <w:w w:val="105"/>
        </w:rPr>
        <w:t xml:space="preserve"> 390,245 cattle </w:t>
      </w:r>
      <w:r w:rsidR="00F149FC" w:rsidRPr="006B42D6">
        <w:rPr>
          <w:w w:val="105"/>
        </w:rPr>
        <w:t xml:space="preserve">were </w:t>
      </w:r>
      <w:r w:rsidRPr="006B42D6">
        <w:rPr>
          <w:spacing w:val="-2"/>
        </w:rPr>
        <w:t xml:space="preserve">in </w:t>
      </w:r>
      <w:r w:rsidR="00EA1552">
        <w:rPr>
          <w:lang w:eastAsia="en-GB"/>
        </w:rPr>
        <w:t>Mainland Tanzania</w:t>
      </w:r>
      <w:r w:rsidRPr="006B42D6">
        <w:rPr>
          <w:spacing w:val="-2"/>
        </w:rPr>
        <w:t xml:space="preserve"> and 3,318 in </w:t>
      </w:r>
      <w:r w:rsidR="00327632" w:rsidRPr="006B42D6">
        <w:rPr>
          <w:lang w:eastAsia="en-GB"/>
        </w:rPr>
        <w:t xml:space="preserve">Tanzania </w:t>
      </w:r>
      <w:r w:rsidRPr="006B42D6">
        <w:rPr>
          <w:spacing w:val="-2"/>
        </w:rPr>
        <w:t xml:space="preserve">Zanzibar. In </w:t>
      </w:r>
      <w:r w:rsidR="00EA1552">
        <w:rPr>
          <w:lang w:eastAsia="en-GB"/>
        </w:rPr>
        <w:t>Mainland Tanzania</w:t>
      </w:r>
      <w:r w:rsidRPr="006B42D6">
        <w:rPr>
          <w:spacing w:val="-2"/>
        </w:rPr>
        <w:t xml:space="preserve">, Tanga region had the highest </w:t>
      </w:r>
      <w:r w:rsidRPr="006B42D6">
        <w:rPr>
          <w:w w:val="105"/>
        </w:rPr>
        <w:t>proportion of cattle infected with</w:t>
      </w:r>
      <w:r w:rsidR="000778C6">
        <w:rPr>
          <w:w w:val="105"/>
        </w:rPr>
        <w:t xml:space="preserve"> b</w:t>
      </w:r>
      <w:r w:rsidRPr="006B42D6">
        <w:rPr>
          <w:w w:val="105"/>
        </w:rPr>
        <w:t>rucellosis disease (</w:t>
      </w:r>
      <w:r w:rsidRPr="006B42D6">
        <w:rPr>
          <w:spacing w:val="-2"/>
        </w:rPr>
        <w:t xml:space="preserve">69,184 heads; 17.7 percent), </w:t>
      </w:r>
      <w:r w:rsidRPr="006B42D6">
        <w:rPr>
          <w:w w:val="105"/>
        </w:rPr>
        <w:t>followed by Kilimanjaro (63,298; 16.2 percent) and Arusha (34,320; 8.8 percent). The lowest proportion of cattle infected was reported in Njombe region (774; 0.2 percent)</w:t>
      </w:r>
      <w:r w:rsidR="005E72D5" w:rsidRPr="006B42D6">
        <w:rPr>
          <w:w w:val="105"/>
        </w:rPr>
        <w:t>.</w:t>
      </w:r>
    </w:p>
    <w:p w14:paraId="773B3369" w14:textId="77777777" w:rsidR="00EF10A4" w:rsidRPr="006B42D6" w:rsidRDefault="00EF10A4" w:rsidP="0085694C">
      <w:pPr>
        <w:tabs>
          <w:tab w:val="left" w:pos="1702"/>
        </w:tabs>
        <w:adjustRightInd w:val="0"/>
        <w:spacing w:before="20" w:line="240" w:lineRule="auto"/>
        <w:ind w:left="360"/>
        <w:rPr>
          <w:w w:val="105"/>
        </w:rPr>
      </w:pPr>
    </w:p>
    <w:p w14:paraId="27FBB2C9" w14:textId="26F6A84E" w:rsidR="000E1363" w:rsidRPr="006B42D6" w:rsidRDefault="00EF10A4" w:rsidP="00B85E2D">
      <w:pPr>
        <w:tabs>
          <w:tab w:val="left" w:pos="1702"/>
        </w:tabs>
        <w:adjustRightInd w:val="0"/>
        <w:spacing w:before="20"/>
        <w:ind w:left="360"/>
        <w:rPr>
          <w:w w:val="105"/>
        </w:rPr>
      </w:pPr>
      <w:r w:rsidRPr="006B42D6">
        <w:rPr>
          <w:spacing w:val="-2"/>
        </w:rPr>
        <w:t xml:space="preserve">In </w:t>
      </w:r>
      <w:r w:rsidR="00327632" w:rsidRPr="006B42D6">
        <w:rPr>
          <w:lang w:eastAsia="en-GB"/>
        </w:rPr>
        <w:t xml:space="preserve">Tanzania </w:t>
      </w:r>
      <w:r w:rsidRPr="006B42D6">
        <w:rPr>
          <w:spacing w:val="-2"/>
        </w:rPr>
        <w:t xml:space="preserve">Zanzibar, Kusini Pemba region had the highest number of cattle infected by </w:t>
      </w:r>
      <w:r w:rsidR="000778C6">
        <w:rPr>
          <w:w w:val="105"/>
        </w:rPr>
        <w:t>b</w:t>
      </w:r>
      <w:r w:rsidRPr="006B42D6">
        <w:rPr>
          <w:w w:val="105"/>
        </w:rPr>
        <w:t>rucellosis disease</w:t>
      </w:r>
      <w:r w:rsidRPr="006B42D6">
        <w:rPr>
          <w:spacing w:val="-2"/>
        </w:rPr>
        <w:t xml:space="preserve"> (1,614; 48.6 percent), followed by Kaskazini Unguja (870; 26.2 percent) and Mjini Magharibi (677; 20.4 percent). </w:t>
      </w:r>
      <w:r w:rsidRPr="006B42D6">
        <w:rPr>
          <w:w w:val="105"/>
        </w:rPr>
        <w:t>The lowest proportion of cattle infected was reported in Kusini Unguja region (157; 4.7 percent)</w:t>
      </w:r>
      <w:r w:rsidR="00C423EA" w:rsidRPr="006B42D6">
        <w:rPr>
          <w:w w:val="105"/>
        </w:rPr>
        <w:t xml:space="preserve"> (Map 4.1</w:t>
      </w:r>
      <w:r w:rsidR="00F149FC" w:rsidRPr="006B42D6">
        <w:rPr>
          <w:w w:val="105"/>
        </w:rPr>
        <w:t>4</w:t>
      </w:r>
      <w:r w:rsidR="00C423EA" w:rsidRPr="006B42D6">
        <w:rPr>
          <w:w w:val="105"/>
        </w:rPr>
        <w:t>)</w:t>
      </w:r>
      <w:r w:rsidRPr="006B42D6">
        <w:rPr>
          <w:w w:val="105"/>
        </w:rPr>
        <w:t>.</w:t>
      </w:r>
    </w:p>
    <w:p w14:paraId="5DAC5636" w14:textId="77777777" w:rsidR="00135766" w:rsidRDefault="00135766">
      <w:pPr>
        <w:spacing w:line="240" w:lineRule="auto"/>
        <w:contextualSpacing w:val="0"/>
        <w:jc w:val="left"/>
        <w:rPr>
          <w:spacing w:val="-2"/>
        </w:rPr>
      </w:pPr>
    </w:p>
    <w:p w14:paraId="3724F638" w14:textId="167A9928" w:rsidR="000E1363" w:rsidRPr="006B42D6" w:rsidRDefault="000E1363" w:rsidP="002261ED">
      <w:pPr>
        <w:pStyle w:val="MapNew"/>
        <w:rPr>
          <w:spacing w:val="-2"/>
        </w:rPr>
      </w:pPr>
      <w:bookmarkStart w:id="647" w:name="_Toc80902569"/>
      <w:bookmarkStart w:id="648" w:name="_Toc82386487"/>
      <w:r w:rsidRPr="006B42D6">
        <w:rPr>
          <w:spacing w:val="-2"/>
        </w:rPr>
        <w:t xml:space="preserve">Map </w:t>
      </w:r>
      <w:r w:rsidR="00CC2F05" w:rsidRPr="006B42D6">
        <w:rPr>
          <w:spacing w:val="-2"/>
        </w:rPr>
        <w:t>4.1</w:t>
      </w:r>
      <w:r w:rsidR="00F149FC" w:rsidRPr="006B42D6">
        <w:rPr>
          <w:spacing w:val="-2"/>
        </w:rPr>
        <w:t>4</w:t>
      </w:r>
      <w:r w:rsidR="00B73FF3">
        <w:rPr>
          <w:spacing w:val="-2"/>
        </w:rPr>
        <w:t>:</w:t>
      </w:r>
      <w:r w:rsidR="000C32CB">
        <w:rPr>
          <w:spacing w:val="-2"/>
        </w:rPr>
        <w:tab/>
      </w:r>
      <w:r w:rsidR="002261ED">
        <w:rPr>
          <w:spacing w:val="-2"/>
        </w:rPr>
        <w:tab/>
      </w:r>
      <w:r w:rsidRPr="006B42D6">
        <w:rPr>
          <w:spacing w:val="-2"/>
        </w:rPr>
        <w:t xml:space="preserve">Number of Households </w:t>
      </w:r>
      <w:r w:rsidR="002D175B" w:rsidRPr="006B42D6">
        <w:rPr>
          <w:spacing w:val="-2"/>
        </w:rPr>
        <w:t>Reported</w:t>
      </w:r>
      <w:r w:rsidRPr="006B42D6">
        <w:rPr>
          <w:spacing w:val="-2"/>
        </w:rPr>
        <w:t xml:space="preserve"> </w:t>
      </w:r>
      <w:r w:rsidRPr="006B42D6">
        <w:rPr>
          <w:w w:val="105"/>
        </w:rPr>
        <w:t xml:space="preserve">Brucellosis </w:t>
      </w:r>
      <w:r w:rsidR="00CC2F05" w:rsidRPr="006B42D6">
        <w:rPr>
          <w:w w:val="105"/>
        </w:rPr>
        <w:t>D</w:t>
      </w:r>
      <w:r w:rsidRPr="006B42D6">
        <w:rPr>
          <w:w w:val="105"/>
        </w:rPr>
        <w:t xml:space="preserve">isease </w:t>
      </w:r>
      <w:r w:rsidR="00F149FC" w:rsidRPr="006B42D6">
        <w:rPr>
          <w:w w:val="105"/>
        </w:rPr>
        <w:t xml:space="preserve">Infections </w:t>
      </w:r>
      <w:r w:rsidR="00CC2F05" w:rsidRPr="006B42D6">
        <w:rPr>
          <w:w w:val="105"/>
        </w:rPr>
        <w:t>D</w:t>
      </w:r>
      <w:r w:rsidRPr="006B42D6">
        <w:rPr>
          <w:w w:val="105"/>
        </w:rPr>
        <w:t xml:space="preserve">uring 2019/20 Agricultural </w:t>
      </w:r>
      <w:r w:rsidR="002D175B" w:rsidRPr="006B42D6">
        <w:rPr>
          <w:w w:val="105"/>
        </w:rPr>
        <w:t>Y</w:t>
      </w:r>
      <w:r w:rsidRPr="006B42D6">
        <w:rPr>
          <w:w w:val="105"/>
        </w:rPr>
        <w:t>ear</w:t>
      </w:r>
      <w:r w:rsidR="00327632" w:rsidRPr="006B42D6">
        <w:rPr>
          <w:w w:val="105"/>
        </w:rPr>
        <w:t>, Tanzania</w:t>
      </w:r>
      <w:bookmarkEnd w:id="647"/>
      <w:bookmarkEnd w:id="648"/>
    </w:p>
    <w:p w14:paraId="31458146" w14:textId="18A90E44" w:rsidR="00CC2F05" w:rsidRPr="006B42D6" w:rsidRDefault="00890203" w:rsidP="005C2EFC">
      <w:pPr>
        <w:tabs>
          <w:tab w:val="left" w:pos="1702"/>
        </w:tabs>
        <w:adjustRightInd w:val="0"/>
        <w:spacing w:before="20"/>
        <w:rPr>
          <w:b/>
          <w:spacing w:val="-2"/>
        </w:rPr>
      </w:pPr>
      <w:r>
        <w:rPr>
          <w:noProof/>
        </w:rPr>
        <w:drawing>
          <wp:inline distT="0" distB="0" distL="0" distR="0" wp14:anchorId="2895160E" wp14:editId="30AFD79B">
            <wp:extent cx="6116320" cy="4221640"/>
            <wp:effectExtent l="0" t="0" r="5080" b="0"/>
            <wp:docPr id="4402" name="Picture 4402"/>
            <wp:cNvGraphicFramePr/>
            <a:graphic xmlns:a="http://schemas.openxmlformats.org/drawingml/2006/main">
              <a:graphicData uri="http://schemas.openxmlformats.org/drawingml/2006/picture">
                <pic:pic xmlns:pic="http://schemas.openxmlformats.org/drawingml/2006/picture">
                  <pic:nvPicPr>
                    <pic:cNvPr id="4402" name="Picture 4402"/>
                    <pic:cNvPicPr/>
                  </pic:nvPicPr>
                  <pic:blipFill>
                    <a:blip r:embed="rId301"/>
                    <a:stretch>
                      <a:fillRect/>
                    </a:stretch>
                  </pic:blipFill>
                  <pic:spPr>
                    <a:xfrm>
                      <a:off x="0" y="0"/>
                      <a:ext cx="6116320" cy="4221640"/>
                    </a:xfrm>
                    <a:prstGeom prst="rect">
                      <a:avLst/>
                    </a:prstGeom>
                  </pic:spPr>
                </pic:pic>
              </a:graphicData>
            </a:graphic>
          </wp:inline>
        </w:drawing>
      </w:r>
    </w:p>
    <w:p w14:paraId="0A697C40" w14:textId="0B4A5B0C" w:rsidR="00C423EA" w:rsidRDefault="00C423EA" w:rsidP="005C2EFC">
      <w:pPr>
        <w:tabs>
          <w:tab w:val="left" w:pos="1702"/>
        </w:tabs>
        <w:adjustRightInd w:val="0"/>
        <w:spacing w:before="20"/>
        <w:rPr>
          <w:b/>
          <w:spacing w:val="-2"/>
        </w:rPr>
      </w:pPr>
    </w:p>
    <w:p w14:paraId="0A18347D" w14:textId="3352D225" w:rsidR="000E1363" w:rsidRPr="006B42D6" w:rsidRDefault="00A850C6" w:rsidP="00D468A7">
      <w:pPr>
        <w:pStyle w:val="Heading4"/>
      </w:pPr>
      <w:bookmarkStart w:id="649" w:name="_Toc82385759"/>
      <w:r w:rsidRPr="006B42D6">
        <w:t>4</w:t>
      </w:r>
      <w:r w:rsidR="000E1363" w:rsidRPr="006B42D6">
        <w:t>.</w:t>
      </w:r>
      <w:r w:rsidR="00C4159B">
        <w:t>5</w:t>
      </w:r>
      <w:r w:rsidR="000E1363" w:rsidRPr="006B42D6">
        <w:t>.</w:t>
      </w:r>
      <w:r w:rsidR="00D468A7" w:rsidRPr="006B42D6">
        <w:t>1.</w:t>
      </w:r>
      <w:r w:rsidR="000E1363" w:rsidRPr="006B42D6">
        <w:t>2</w:t>
      </w:r>
      <w:r w:rsidR="000C32CB">
        <w:tab/>
      </w:r>
      <w:r w:rsidR="000E1363" w:rsidRPr="006B42D6">
        <w:t>Goat diseases</w:t>
      </w:r>
      <w:bookmarkEnd w:id="649"/>
    </w:p>
    <w:p w14:paraId="5DA247A5" w14:textId="77777777" w:rsidR="000E1363" w:rsidRPr="006B42D6" w:rsidRDefault="000E1363" w:rsidP="005C2EFC">
      <w:pPr>
        <w:pStyle w:val="ColorfulList-Accent11"/>
        <w:widowControl w:val="0"/>
        <w:numPr>
          <w:ilvl w:val="0"/>
          <w:numId w:val="4"/>
        </w:numPr>
        <w:autoSpaceDE w:val="0"/>
        <w:autoSpaceDN w:val="0"/>
        <w:adjustRightInd w:val="0"/>
        <w:spacing w:before="20" w:after="0" w:line="360" w:lineRule="auto"/>
        <w:rPr>
          <w:rFonts w:ascii="Times New Roman" w:hAnsi="Times New Roman"/>
          <w:b/>
          <w:w w:val="105"/>
          <w:sz w:val="24"/>
          <w:szCs w:val="24"/>
        </w:rPr>
      </w:pPr>
      <w:r w:rsidRPr="006B42D6">
        <w:rPr>
          <w:rFonts w:ascii="Times New Roman Bold" w:hAnsi="Times New Roman Bold" w:cs="Times New Roman Bold"/>
          <w:b/>
          <w:sz w:val="24"/>
          <w:szCs w:val="24"/>
        </w:rPr>
        <w:t xml:space="preserve">Foot Rot Disease </w:t>
      </w:r>
    </w:p>
    <w:p w14:paraId="020266D9" w14:textId="38043733" w:rsidR="00EF10A4" w:rsidRPr="006B42D6" w:rsidRDefault="00EF10A4" w:rsidP="00EF10A4">
      <w:pPr>
        <w:tabs>
          <w:tab w:val="left" w:pos="1702"/>
        </w:tabs>
        <w:adjustRightInd w:val="0"/>
        <w:spacing w:before="20"/>
        <w:ind w:left="360"/>
        <w:rPr>
          <w:w w:val="105"/>
        </w:rPr>
      </w:pPr>
      <w:r w:rsidRPr="006B42D6">
        <w:rPr>
          <w:w w:val="105"/>
        </w:rPr>
        <w:t xml:space="preserve">The total number of households reported </w:t>
      </w:r>
      <w:r w:rsidR="000778C6">
        <w:rPr>
          <w:w w:val="105"/>
        </w:rPr>
        <w:t>f</w:t>
      </w:r>
      <w:r w:rsidRPr="006B42D6">
        <w:rPr>
          <w:w w:val="105"/>
        </w:rPr>
        <w:t xml:space="preserve">oot </w:t>
      </w:r>
      <w:r w:rsidR="000778C6">
        <w:rPr>
          <w:w w:val="105"/>
        </w:rPr>
        <w:t>r</w:t>
      </w:r>
      <w:r w:rsidRPr="006B42D6">
        <w:rPr>
          <w:w w:val="105"/>
        </w:rPr>
        <w:t xml:space="preserve">ot disease infections in their goats was 214,118 (213,611 in </w:t>
      </w:r>
      <w:r w:rsidR="00EA1552">
        <w:rPr>
          <w:lang w:eastAsia="en-GB"/>
        </w:rPr>
        <w:t>Mainland Tanzania</w:t>
      </w:r>
      <w:r w:rsidRPr="006B42D6">
        <w:rPr>
          <w:w w:val="105"/>
        </w:rPr>
        <w:t xml:space="preserve"> and 507 in </w:t>
      </w:r>
      <w:r w:rsidR="00327632" w:rsidRPr="006B42D6">
        <w:rPr>
          <w:lang w:eastAsia="en-GB"/>
        </w:rPr>
        <w:t xml:space="preserve">Tanzania </w:t>
      </w:r>
      <w:r w:rsidRPr="006B42D6">
        <w:rPr>
          <w:w w:val="105"/>
        </w:rPr>
        <w:t xml:space="preserve">Zanzibar, which represents 11.8 percent of the total goat rearing households during </w:t>
      </w:r>
      <w:r w:rsidR="002D175B" w:rsidRPr="006B42D6">
        <w:rPr>
          <w:w w:val="105"/>
        </w:rPr>
        <w:t>2019/20 a</w:t>
      </w:r>
      <w:r w:rsidRPr="006B42D6">
        <w:rPr>
          <w:w w:val="105"/>
        </w:rPr>
        <w:t xml:space="preserve">gricultural year. </w:t>
      </w:r>
    </w:p>
    <w:p w14:paraId="0DB94EEA" w14:textId="09A38F50" w:rsidR="00135766" w:rsidRDefault="00EF10A4" w:rsidP="00EF10A4">
      <w:pPr>
        <w:tabs>
          <w:tab w:val="left" w:pos="1702"/>
        </w:tabs>
        <w:adjustRightInd w:val="0"/>
        <w:spacing w:before="20"/>
        <w:ind w:left="360"/>
        <w:rPr>
          <w:spacing w:val="-2"/>
        </w:rPr>
      </w:pPr>
      <w:r w:rsidRPr="006B42D6">
        <w:rPr>
          <w:w w:val="103"/>
        </w:rPr>
        <w:t xml:space="preserve">A total number of </w:t>
      </w:r>
      <w:r w:rsidRPr="006B42D6">
        <w:rPr>
          <w:w w:val="105"/>
        </w:rPr>
        <w:t xml:space="preserve">2,006,290 goats </w:t>
      </w:r>
      <w:r w:rsidRPr="006B42D6">
        <w:rPr>
          <w:w w:val="103"/>
        </w:rPr>
        <w:t xml:space="preserve">were </w:t>
      </w:r>
      <w:r w:rsidRPr="006B42D6">
        <w:rPr>
          <w:w w:val="105"/>
        </w:rPr>
        <w:t xml:space="preserve">reported to be infected with </w:t>
      </w:r>
      <w:r w:rsidR="000778C6" w:rsidRPr="006B42D6">
        <w:rPr>
          <w:w w:val="105"/>
        </w:rPr>
        <w:t>foot r</w:t>
      </w:r>
      <w:r w:rsidRPr="006B42D6">
        <w:rPr>
          <w:w w:val="105"/>
        </w:rPr>
        <w:t>ot disease,</w:t>
      </w:r>
      <w:r w:rsidRPr="006B42D6">
        <w:rPr>
          <w:w w:val="103"/>
        </w:rPr>
        <w:t xml:space="preserve"> of which </w:t>
      </w:r>
      <w:r w:rsidRPr="006B42D6">
        <w:rPr>
          <w:w w:val="105"/>
        </w:rPr>
        <w:t xml:space="preserve">2,004,896 goats </w:t>
      </w:r>
      <w:r w:rsidRPr="006B42D6">
        <w:rPr>
          <w:spacing w:val="-2"/>
        </w:rPr>
        <w:t xml:space="preserve">in </w:t>
      </w:r>
      <w:r w:rsidR="00EA1552">
        <w:rPr>
          <w:lang w:eastAsia="en-GB"/>
        </w:rPr>
        <w:t>Mainland Tanzania</w:t>
      </w:r>
      <w:r w:rsidRPr="006B42D6">
        <w:rPr>
          <w:spacing w:val="-2"/>
        </w:rPr>
        <w:t xml:space="preserve"> and 1,394 in </w:t>
      </w:r>
      <w:r w:rsidR="00327632" w:rsidRPr="006B42D6">
        <w:rPr>
          <w:lang w:eastAsia="en-GB"/>
        </w:rPr>
        <w:t xml:space="preserve">Tanzania </w:t>
      </w:r>
      <w:r w:rsidRPr="006B42D6">
        <w:rPr>
          <w:spacing w:val="-2"/>
        </w:rPr>
        <w:t>Zanzibar.</w:t>
      </w:r>
    </w:p>
    <w:p w14:paraId="62BD9F31" w14:textId="77777777" w:rsidR="00135766" w:rsidRDefault="00135766">
      <w:pPr>
        <w:spacing w:line="240" w:lineRule="auto"/>
        <w:contextualSpacing w:val="0"/>
        <w:jc w:val="left"/>
        <w:rPr>
          <w:spacing w:val="-2"/>
        </w:rPr>
      </w:pPr>
      <w:r>
        <w:rPr>
          <w:spacing w:val="-2"/>
        </w:rPr>
        <w:br w:type="page"/>
      </w:r>
    </w:p>
    <w:p w14:paraId="23D6A882" w14:textId="1F90FE4F" w:rsidR="00EF10A4" w:rsidRDefault="00EF10A4" w:rsidP="00EF10A4">
      <w:pPr>
        <w:tabs>
          <w:tab w:val="left" w:pos="1702"/>
        </w:tabs>
        <w:adjustRightInd w:val="0"/>
        <w:spacing w:before="20"/>
        <w:ind w:left="360"/>
        <w:rPr>
          <w:w w:val="105"/>
        </w:rPr>
      </w:pPr>
      <w:r w:rsidRPr="006B42D6">
        <w:rPr>
          <w:spacing w:val="-2"/>
        </w:rPr>
        <w:lastRenderedPageBreak/>
        <w:t xml:space="preserve">In </w:t>
      </w:r>
      <w:r w:rsidR="00EA1552">
        <w:rPr>
          <w:lang w:eastAsia="en-GB"/>
        </w:rPr>
        <w:t>Mainland Tanzania</w:t>
      </w:r>
      <w:r w:rsidRPr="006B42D6">
        <w:rPr>
          <w:spacing w:val="-2"/>
        </w:rPr>
        <w:t xml:space="preserve">, Arusha region had the highest </w:t>
      </w:r>
      <w:r w:rsidRPr="006B42D6">
        <w:rPr>
          <w:w w:val="105"/>
        </w:rPr>
        <w:t xml:space="preserve">number of goats infected with </w:t>
      </w:r>
      <w:r w:rsidR="000778C6" w:rsidRPr="006B42D6">
        <w:rPr>
          <w:w w:val="105"/>
        </w:rPr>
        <w:t>foot r</w:t>
      </w:r>
      <w:r w:rsidRPr="006B42D6">
        <w:rPr>
          <w:w w:val="105"/>
        </w:rPr>
        <w:t>ot disease (</w:t>
      </w:r>
      <w:r w:rsidRPr="006B42D6">
        <w:rPr>
          <w:spacing w:val="-2"/>
        </w:rPr>
        <w:t xml:space="preserve">258,726; 12.9 percent), </w:t>
      </w:r>
      <w:r w:rsidRPr="006B42D6">
        <w:rPr>
          <w:w w:val="105"/>
        </w:rPr>
        <w:t>followed by Dodoma (210,248; 10.5 percent) and Tanga (180,919; 9.0 percent). The lowest number of goats infected was reported in Ruvuma region (4,301; 0.2 percent).</w:t>
      </w:r>
    </w:p>
    <w:p w14:paraId="38B56CC1" w14:textId="77777777" w:rsidR="000C32CB" w:rsidRPr="00135766" w:rsidRDefault="000C32CB" w:rsidP="0085694C">
      <w:pPr>
        <w:tabs>
          <w:tab w:val="left" w:pos="1702"/>
        </w:tabs>
        <w:adjustRightInd w:val="0"/>
        <w:spacing w:before="20" w:line="240" w:lineRule="auto"/>
        <w:ind w:left="360"/>
        <w:rPr>
          <w:spacing w:val="-2"/>
          <w:sz w:val="20"/>
          <w:szCs w:val="20"/>
        </w:rPr>
      </w:pPr>
    </w:p>
    <w:p w14:paraId="3730A018" w14:textId="439323D7" w:rsidR="00EF10A4" w:rsidRPr="006B42D6" w:rsidRDefault="00EF10A4" w:rsidP="00EF10A4">
      <w:pPr>
        <w:tabs>
          <w:tab w:val="left" w:pos="1702"/>
        </w:tabs>
        <w:adjustRightInd w:val="0"/>
        <w:spacing w:before="20"/>
        <w:ind w:left="360"/>
        <w:rPr>
          <w:w w:val="105"/>
        </w:rPr>
      </w:pPr>
      <w:r w:rsidRPr="006B42D6">
        <w:rPr>
          <w:spacing w:val="-2"/>
        </w:rPr>
        <w:t xml:space="preserve">In </w:t>
      </w:r>
      <w:r w:rsidR="00327632" w:rsidRPr="006B42D6">
        <w:rPr>
          <w:lang w:eastAsia="en-GB"/>
        </w:rPr>
        <w:t xml:space="preserve">Tanzania </w:t>
      </w:r>
      <w:r w:rsidRPr="006B42D6">
        <w:rPr>
          <w:spacing w:val="-2"/>
        </w:rPr>
        <w:t xml:space="preserve">Zanzibar, Kusini Unguja region had the highest number of goats infected with </w:t>
      </w:r>
      <w:r w:rsidR="000778C6" w:rsidRPr="006B42D6">
        <w:rPr>
          <w:w w:val="105"/>
        </w:rPr>
        <w:t xml:space="preserve">foot rot </w:t>
      </w:r>
      <w:r w:rsidRPr="006B42D6">
        <w:rPr>
          <w:w w:val="105"/>
        </w:rPr>
        <w:t>disease (</w:t>
      </w:r>
      <w:r w:rsidRPr="006B42D6">
        <w:rPr>
          <w:spacing w:val="-2"/>
        </w:rPr>
        <w:t xml:space="preserve">529; 37.9 percent), followed by Kaskazini Unguja (400; 28.7 percent) and Kaskazini Pemba (330; 23.7 percent). </w:t>
      </w:r>
      <w:r w:rsidRPr="006B42D6">
        <w:rPr>
          <w:w w:val="105"/>
        </w:rPr>
        <w:t>The lowest proportion of goats infected was reported in Mjini Magharibi region (135; 9.7 percent) (Table 4.</w:t>
      </w:r>
      <w:r w:rsidR="00CC2F05" w:rsidRPr="006B42D6">
        <w:rPr>
          <w:w w:val="105"/>
        </w:rPr>
        <w:t>1</w:t>
      </w:r>
      <w:r w:rsidR="00B70154">
        <w:rPr>
          <w:w w:val="105"/>
        </w:rPr>
        <w:t>5</w:t>
      </w:r>
      <w:r w:rsidRPr="006B42D6">
        <w:rPr>
          <w:w w:val="105"/>
        </w:rPr>
        <w:t>).</w:t>
      </w:r>
    </w:p>
    <w:p w14:paraId="4ACC8F37" w14:textId="77777777" w:rsidR="00C4159B" w:rsidRDefault="00C4159B" w:rsidP="000C32CB">
      <w:pPr>
        <w:spacing w:line="240" w:lineRule="auto"/>
        <w:contextualSpacing w:val="0"/>
        <w:jc w:val="left"/>
        <w:rPr>
          <w:spacing w:val="-2"/>
        </w:rPr>
      </w:pPr>
    </w:p>
    <w:p w14:paraId="02F61286" w14:textId="53BF94F5" w:rsidR="000E1363" w:rsidRPr="006B42D6" w:rsidRDefault="00DE10F8" w:rsidP="000B4646">
      <w:pPr>
        <w:pStyle w:val="Heading7"/>
        <w:rPr>
          <w:w w:val="105"/>
        </w:rPr>
      </w:pPr>
      <w:bookmarkStart w:id="650" w:name="_Toc82386223"/>
      <w:r w:rsidRPr="006B42D6">
        <w:rPr>
          <w:w w:val="105"/>
        </w:rPr>
        <w:t>Table 4.</w:t>
      </w:r>
      <w:r w:rsidR="00CC2F05" w:rsidRPr="006B42D6">
        <w:rPr>
          <w:w w:val="105"/>
        </w:rPr>
        <w:t>1</w:t>
      </w:r>
      <w:r w:rsidR="00B70154">
        <w:rPr>
          <w:w w:val="105"/>
        </w:rPr>
        <w:t>5</w:t>
      </w:r>
      <w:r w:rsidR="0085694C">
        <w:rPr>
          <w:w w:val="105"/>
        </w:rPr>
        <w:t>:</w:t>
      </w:r>
      <w:r w:rsidR="000B4646">
        <w:rPr>
          <w:w w:val="105"/>
        </w:rPr>
        <w:tab/>
      </w:r>
      <w:r w:rsidRPr="006B42D6">
        <w:rPr>
          <w:w w:val="105"/>
        </w:rPr>
        <w:t xml:space="preserve">Number of </w:t>
      </w:r>
      <w:r w:rsidR="00CC2F05" w:rsidRPr="006B42D6">
        <w:rPr>
          <w:w w:val="105"/>
        </w:rPr>
        <w:t>R</w:t>
      </w:r>
      <w:r w:rsidRPr="006B42D6">
        <w:rPr>
          <w:w w:val="105"/>
        </w:rPr>
        <w:t xml:space="preserve">eported </w:t>
      </w:r>
      <w:r w:rsidR="00CC2F05" w:rsidRPr="006B42D6">
        <w:rPr>
          <w:w w:val="105"/>
        </w:rPr>
        <w:t>C</w:t>
      </w:r>
      <w:r w:rsidRPr="006B42D6">
        <w:rPr>
          <w:w w:val="105"/>
        </w:rPr>
        <w:t xml:space="preserve">ases of Goat </w:t>
      </w:r>
      <w:r w:rsidR="00CC2F05" w:rsidRPr="006B42D6">
        <w:rPr>
          <w:w w:val="105"/>
        </w:rPr>
        <w:t>D</w:t>
      </w:r>
      <w:r w:rsidRPr="006B42D6">
        <w:rPr>
          <w:w w:val="105"/>
        </w:rPr>
        <w:t xml:space="preserve">isease </w:t>
      </w:r>
      <w:r w:rsidR="00CC2F05" w:rsidRPr="006B42D6">
        <w:rPr>
          <w:w w:val="105"/>
        </w:rPr>
        <w:t>O</w:t>
      </w:r>
      <w:r w:rsidRPr="006B42D6">
        <w:rPr>
          <w:w w:val="105"/>
        </w:rPr>
        <w:t xml:space="preserve">ccurrences by </w:t>
      </w:r>
      <w:r w:rsidR="00CC2F05" w:rsidRPr="006B42D6">
        <w:rPr>
          <w:w w:val="105"/>
        </w:rPr>
        <w:t>T</w:t>
      </w:r>
      <w:r w:rsidRPr="006B42D6">
        <w:rPr>
          <w:w w:val="105"/>
        </w:rPr>
        <w:t xml:space="preserve">ype and Region </w:t>
      </w:r>
      <w:r w:rsidR="00CC2F05" w:rsidRPr="006B42D6">
        <w:rPr>
          <w:w w:val="105"/>
        </w:rPr>
        <w:t>D</w:t>
      </w:r>
      <w:r w:rsidRPr="006B42D6">
        <w:rPr>
          <w:w w:val="105"/>
        </w:rPr>
        <w:t xml:space="preserve">uring 2019/20 Agricultural </w:t>
      </w:r>
      <w:r w:rsidR="00CC2F05" w:rsidRPr="006B42D6">
        <w:rPr>
          <w:w w:val="105"/>
        </w:rPr>
        <w:t>Y</w:t>
      </w:r>
      <w:r w:rsidRPr="006B42D6">
        <w:rPr>
          <w:w w:val="105"/>
        </w:rPr>
        <w:t>ear</w:t>
      </w:r>
      <w:r w:rsidR="002D175B" w:rsidRPr="006B42D6">
        <w:rPr>
          <w:w w:val="105"/>
        </w:rPr>
        <w:t>, Tanzania</w:t>
      </w:r>
      <w:bookmarkEnd w:id="650"/>
      <w:r w:rsidR="002D175B" w:rsidRPr="006B42D6">
        <w:rPr>
          <w:w w:val="105"/>
        </w:rPr>
        <w:t xml:space="preserve"> </w:t>
      </w:r>
    </w:p>
    <w:tbl>
      <w:tblPr>
        <w:tblW w:w="5261" w:type="pct"/>
        <w:tblLook w:val="04A0" w:firstRow="1" w:lastRow="0" w:firstColumn="1" w:lastColumn="0" w:noHBand="0" w:noVBand="1"/>
      </w:tblPr>
      <w:tblGrid>
        <w:gridCol w:w="1564"/>
        <w:gridCol w:w="859"/>
        <w:gridCol w:w="742"/>
        <w:gridCol w:w="1168"/>
        <w:gridCol w:w="744"/>
        <w:gridCol w:w="785"/>
        <w:gridCol w:w="748"/>
        <w:gridCol w:w="786"/>
        <w:gridCol w:w="749"/>
        <w:gridCol w:w="839"/>
        <w:gridCol w:w="734"/>
      </w:tblGrid>
      <w:tr w:rsidR="006B42D6" w:rsidRPr="006B42D6" w14:paraId="064FC02E" w14:textId="77777777" w:rsidTr="0085694C">
        <w:trPr>
          <w:trHeight w:hRule="exact" w:val="227"/>
        </w:trPr>
        <w:tc>
          <w:tcPr>
            <w:tcW w:w="776" w:type="pct"/>
            <w:vMerge w:val="restart"/>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70E6116F" w14:textId="77777777" w:rsidR="00DE10F8" w:rsidRPr="00135766" w:rsidRDefault="00DE10F8" w:rsidP="0085694C">
            <w:pPr>
              <w:jc w:val="left"/>
              <w:rPr>
                <w:bCs/>
                <w:sz w:val="16"/>
                <w:szCs w:val="16"/>
              </w:rPr>
            </w:pPr>
            <w:r w:rsidRPr="00135766">
              <w:rPr>
                <w:bCs/>
                <w:sz w:val="16"/>
                <w:szCs w:val="16"/>
              </w:rPr>
              <w:t>Region</w:t>
            </w:r>
          </w:p>
        </w:tc>
        <w:tc>
          <w:tcPr>
            <w:tcW w:w="4221" w:type="pct"/>
            <w:gridSpan w:val="10"/>
            <w:tcBorders>
              <w:top w:val="single" w:sz="4" w:space="0" w:color="auto"/>
              <w:left w:val="nil"/>
              <w:bottom w:val="single" w:sz="4" w:space="0" w:color="auto"/>
              <w:right w:val="nil"/>
            </w:tcBorders>
            <w:shd w:val="clear" w:color="auto" w:fill="E2EFD9" w:themeFill="accent6" w:themeFillTint="33"/>
            <w:noWrap/>
            <w:hideMark/>
          </w:tcPr>
          <w:p w14:paraId="4537BCB8" w14:textId="77777777" w:rsidR="00DE10F8" w:rsidRPr="00135766" w:rsidRDefault="00DE10F8" w:rsidP="006C676D">
            <w:pPr>
              <w:jc w:val="center"/>
              <w:rPr>
                <w:bCs/>
                <w:sz w:val="16"/>
                <w:szCs w:val="16"/>
              </w:rPr>
            </w:pPr>
            <w:r w:rsidRPr="00135766">
              <w:rPr>
                <w:bCs/>
                <w:sz w:val="16"/>
                <w:szCs w:val="16"/>
              </w:rPr>
              <w:t>Goat Disease</w:t>
            </w:r>
          </w:p>
        </w:tc>
      </w:tr>
      <w:tr w:rsidR="006B42D6" w:rsidRPr="006B42D6" w14:paraId="2065242B" w14:textId="77777777" w:rsidTr="0085694C">
        <w:trPr>
          <w:trHeight w:hRule="exact" w:val="227"/>
        </w:trPr>
        <w:tc>
          <w:tcPr>
            <w:tcW w:w="776" w:type="pct"/>
            <w:vMerge/>
            <w:tcBorders>
              <w:top w:val="single" w:sz="4" w:space="0" w:color="auto"/>
              <w:left w:val="nil"/>
              <w:bottom w:val="single" w:sz="4" w:space="0" w:color="auto"/>
              <w:right w:val="single" w:sz="4" w:space="0" w:color="auto"/>
            </w:tcBorders>
            <w:shd w:val="clear" w:color="auto" w:fill="E2EFD9" w:themeFill="accent6" w:themeFillTint="33"/>
            <w:hideMark/>
          </w:tcPr>
          <w:p w14:paraId="3C8C5650" w14:textId="77777777" w:rsidR="005E72D5" w:rsidRPr="00135766" w:rsidRDefault="005E72D5" w:rsidP="006C676D">
            <w:pPr>
              <w:jc w:val="center"/>
              <w:rPr>
                <w:bCs/>
                <w:sz w:val="16"/>
                <w:szCs w:val="16"/>
              </w:rPr>
            </w:pPr>
          </w:p>
        </w:tc>
        <w:tc>
          <w:tcPr>
            <w:tcW w:w="830" w:type="pct"/>
            <w:gridSpan w:val="2"/>
            <w:tcBorders>
              <w:top w:val="nil"/>
              <w:left w:val="nil"/>
              <w:bottom w:val="single" w:sz="4" w:space="0" w:color="auto"/>
              <w:right w:val="nil"/>
            </w:tcBorders>
            <w:shd w:val="clear" w:color="auto" w:fill="E2EFD9" w:themeFill="accent6" w:themeFillTint="33"/>
            <w:noWrap/>
            <w:hideMark/>
          </w:tcPr>
          <w:p w14:paraId="7410E34B" w14:textId="79F35F10" w:rsidR="005E72D5" w:rsidRPr="00135766" w:rsidRDefault="005E72D5" w:rsidP="005E72D5">
            <w:pPr>
              <w:jc w:val="center"/>
              <w:rPr>
                <w:bCs/>
                <w:sz w:val="16"/>
                <w:szCs w:val="16"/>
              </w:rPr>
            </w:pPr>
            <w:r w:rsidRPr="00135766">
              <w:rPr>
                <w:bCs/>
                <w:sz w:val="16"/>
                <w:szCs w:val="16"/>
              </w:rPr>
              <w:t>Foot Rot</w:t>
            </w:r>
          </w:p>
        </w:tc>
        <w:tc>
          <w:tcPr>
            <w:tcW w:w="990" w:type="pct"/>
            <w:gridSpan w:val="2"/>
            <w:tcBorders>
              <w:top w:val="nil"/>
              <w:left w:val="single" w:sz="4" w:space="0" w:color="auto"/>
              <w:bottom w:val="single" w:sz="4" w:space="0" w:color="auto"/>
              <w:right w:val="single" w:sz="4" w:space="0" w:color="auto"/>
            </w:tcBorders>
            <w:shd w:val="clear" w:color="auto" w:fill="E2EFD9" w:themeFill="accent6" w:themeFillTint="33"/>
            <w:noWrap/>
            <w:hideMark/>
          </w:tcPr>
          <w:p w14:paraId="7EAE95BB" w14:textId="0E3EE4B0" w:rsidR="005E72D5" w:rsidRPr="00135766" w:rsidRDefault="005E72D5" w:rsidP="005E72D5">
            <w:pPr>
              <w:jc w:val="center"/>
              <w:rPr>
                <w:bCs/>
                <w:sz w:val="16"/>
                <w:szCs w:val="16"/>
              </w:rPr>
            </w:pPr>
            <w:r w:rsidRPr="00135766">
              <w:rPr>
                <w:bCs/>
                <w:sz w:val="16"/>
                <w:szCs w:val="16"/>
              </w:rPr>
              <w:t>Helminthiosis</w:t>
            </w:r>
          </w:p>
        </w:tc>
        <w:tc>
          <w:tcPr>
            <w:tcW w:w="795" w:type="pct"/>
            <w:gridSpan w:val="2"/>
            <w:tcBorders>
              <w:top w:val="nil"/>
              <w:left w:val="nil"/>
              <w:bottom w:val="single" w:sz="4" w:space="0" w:color="auto"/>
              <w:right w:val="nil"/>
            </w:tcBorders>
            <w:shd w:val="clear" w:color="auto" w:fill="E2EFD9" w:themeFill="accent6" w:themeFillTint="33"/>
            <w:noWrap/>
            <w:hideMark/>
          </w:tcPr>
          <w:p w14:paraId="175E4B1D" w14:textId="5D76310F" w:rsidR="005E72D5" w:rsidRPr="00135766" w:rsidRDefault="005E72D5" w:rsidP="005E72D5">
            <w:pPr>
              <w:jc w:val="center"/>
              <w:rPr>
                <w:bCs/>
                <w:sz w:val="16"/>
                <w:szCs w:val="16"/>
              </w:rPr>
            </w:pPr>
            <w:r w:rsidRPr="00135766">
              <w:rPr>
                <w:bCs/>
                <w:sz w:val="16"/>
                <w:szCs w:val="16"/>
              </w:rPr>
              <w:t>Tetanus</w:t>
            </w:r>
          </w:p>
        </w:tc>
        <w:tc>
          <w:tcPr>
            <w:tcW w:w="795" w:type="pct"/>
            <w:gridSpan w:val="2"/>
            <w:tcBorders>
              <w:top w:val="nil"/>
              <w:left w:val="single" w:sz="4" w:space="0" w:color="auto"/>
              <w:bottom w:val="single" w:sz="4" w:space="0" w:color="auto"/>
              <w:right w:val="single" w:sz="4" w:space="0" w:color="auto"/>
            </w:tcBorders>
            <w:shd w:val="clear" w:color="auto" w:fill="E2EFD9" w:themeFill="accent6" w:themeFillTint="33"/>
            <w:noWrap/>
            <w:hideMark/>
          </w:tcPr>
          <w:p w14:paraId="6781F4D0" w14:textId="01218033" w:rsidR="005E72D5" w:rsidRPr="00135766" w:rsidRDefault="005E72D5" w:rsidP="005E72D5">
            <w:pPr>
              <w:jc w:val="center"/>
              <w:rPr>
                <w:bCs/>
                <w:sz w:val="16"/>
                <w:szCs w:val="16"/>
              </w:rPr>
            </w:pPr>
            <w:r w:rsidRPr="00135766">
              <w:rPr>
                <w:bCs/>
                <w:sz w:val="16"/>
                <w:szCs w:val="16"/>
              </w:rPr>
              <w:t>Mange</w:t>
            </w:r>
          </w:p>
        </w:tc>
        <w:tc>
          <w:tcPr>
            <w:tcW w:w="812" w:type="pct"/>
            <w:gridSpan w:val="2"/>
            <w:tcBorders>
              <w:top w:val="nil"/>
              <w:left w:val="nil"/>
              <w:bottom w:val="single" w:sz="4" w:space="0" w:color="auto"/>
              <w:right w:val="nil"/>
            </w:tcBorders>
            <w:shd w:val="clear" w:color="auto" w:fill="E2EFD9" w:themeFill="accent6" w:themeFillTint="33"/>
            <w:noWrap/>
            <w:hideMark/>
          </w:tcPr>
          <w:p w14:paraId="4ABBC443" w14:textId="1F4DD43B" w:rsidR="005E72D5" w:rsidRPr="00135766" w:rsidRDefault="005E72D5" w:rsidP="006C676D">
            <w:pPr>
              <w:jc w:val="center"/>
              <w:rPr>
                <w:bCs/>
                <w:sz w:val="16"/>
                <w:szCs w:val="16"/>
              </w:rPr>
            </w:pPr>
            <w:r w:rsidRPr="00135766">
              <w:rPr>
                <w:bCs/>
                <w:sz w:val="16"/>
                <w:szCs w:val="16"/>
              </w:rPr>
              <w:t>Black Quarter</w:t>
            </w:r>
          </w:p>
        </w:tc>
      </w:tr>
      <w:tr w:rsidR="0085694C" w:rsidRPr="006B42D6" w14:paraId="0E618EE3" w14:textId="77777777" w:rsidTr="0085694C">
        <w:trPr>
          <w:trHeight w:hRule="exact" w:val="227"/>
        </w:trPr>
        <w:tc>
          <w:tcPr>
            <w:tcW w:w="776" w:type="pct"/>
            <w:vMerge/>
            <w:tcBorders>
              <w:top w:val="single" w:sz="4" w:space="0" w:color="auto"/>
              <w:left w:val="nil"/>
              <w:bottom w:val="single" w:sz="4" w:space="0" w:color="auto"/>
              <w:right w:val="single" w:sz="4" w:space="0" w:color="auto"/>
            </w:tcBorders>
            <w:shd w:val="clear" w:color="auto" w:fill="E2EFD9" w:themeFill="accent6" w:themeFillTint="33"/>
            <w:hideMark/>
          </w:tcPr>
          <w:p w14:paraId="632959B0" w14:textId="77777777" w:rsidR="00DE10F8" w:rsidRPr="00135766" w:rsidRDefault="00DE10F8" w:rsidP="006C676D">
            <w:pPr>
              <w:jc w:val="center"/>
              <w:rPr>
                <w:bCs/>
                <w:sz w:val="16"/>
                <w:szCs w:val="16"/>
              </w:rPr>
            </w:pPr>
          </w:p>
        </w:tc>
        <w:tc>
          <w:tcPr>
            <w:tcW w:w="445" w:type="pct"/>
            <w:tcBorders>
              <w:top w:val="nil"/>
              <w:left w:val="nil"/>
              <w:bottom w:val="single" w:sz="4" w:space="0" w:color="auto"/>
              <w:right w:val="nil"/>
            </w:tcBorders>
            <w:shd w:val="clear" w:color="auto" w:fill="E2EFD9" w:themeFill="accent6" w:themeFillTint="33"/>
            <w:hideMark/>
          </w:tcPr>
          <w:p w14:paraId="4462AD7F" w14:textId="77777777" w:rsidR="00DE10F8" w:rsidRPr="00135766" w:rsidRDefault="00DE10F8" w:rsidP="006C676D">
            <w:pPr>
              <w:jc w:val="center"/>
              <w:rPr>
                <w:bCs/>
                <w:sz w:val="16"/>
                <w:szCs w:val="16"/>
              </w:rPr>
            </w:pPr>
            <w:r w:rsidRPr="00135766">
              <w:rPr>
                <w:bCs/>
                <w:sz w:val="16"/>
                <w:szCs w:val="16"/>
              </w:rPr>
              <w:t>Number Infected</w:t>
            </w:r>
          </w:p>
        </w:tc>
        <w:tc>
          <w:tcPr>
            <w:tcW w:w="385" w:type="pct"/>
            <w:tcBorders>
              <w:top w:val="nil"/>
              <w:left w:val="nil"/>
              <w:bottom w:val="single" w:sz="4" w:space="0" w:color="auto"/>
              <w:right w:val="nil"/>
            </w:tcBorders>
            <w:shd w:val="clear" w:color="auto" w:fill="E2EFD9" w:themeFill="accent6" w:themeFillTint="33"/>
            <w:hideMark/>
          </w:tcPr>
          <w:p w14:paraId="18A6C4F2" w14:textId="1466484F" w:rsidR="00DE10F8" w:rsidRPr="00135766" w:rsidRDefault="00CC2F05" w:rsidP="006C676D">
            <w:pPr>
              <w:jc w:val="center"/>
              <w:rPr>
                <w:bCs/>
                <w:sz w:val="16"/>
                <w:szCs w:val="16"/>
              </w:rPr>
            </w:pPr>
            <w:r w:rsidRPr="00135766">
              <w:rPr>
                <w:bCs/>
                <w:sz w:val="16"/>
                <w:szCs w:val="16"/>
              </w:rPr>
              <w:t>Percent</w:t>
            </w:r>
          </w:p>
        </w:tc>
        <w:tc>
          <w:tcPr>
            <w:tcW w:w="604" w:type="pct"/>
            <w:tcBorders>
              <w:top w:val="nil"/>
              <w:left w:val="single" w:sz="4" w:space="0" w:color="auto"/>
              <w:bottom w:val="single" w:sz="4" w:space="0" w:color="auto"/>
              <w:right w:val="nil"/>
            </w:tcBorders>
            <w:shd w:val="clear" w:color="auto" w:fill="E2EFD9" w:themeFill="accent6" w:themeFillTint="33"/>
            <w:hideMark/>
          </w:tcPr>
          <w:p w14:paraId="50DE294B" w14:textId="77777777" w:rsidR="00DE10F8" w:rsidRPr="00135766" w:rsidRDefault="00DE10F8" w:rsidP="006C676D">
            <w:pPr>
              <w:jc w:val="center"/>
              <w:rPr>
                <w:bCs/>
                <w:sz w:val="16"/>
                <w:szCs w:val="16"/>
              </w:rPr>
            </w:pPr>
            <w:r w:rsidRPr="00135766">
              <w:rPr>
                <w:bCs/>
                <w:sz w:val="16"/>
                <w:szCs w:val="16"/>
              </w:rPr>
              <w:t>Number Infected</w:t>
            </w:r>
          </w:p>
        </w:tc>
        <w:tc>
          <w:tcPr>
            <w:tcW w:w="386" w:type="pct"/>
            <w:tcBorders>
              <w:top w:val="nil"/>
              <w:left w:val="nil"/>
              <w:bottom w:val="single" w:sz="4" w:space="0" w:color="auto"/>
              <w:right w:val="single" w:sz="4" w:space="0" w:color="auto"/>
            </w:tcBorders>
            <w:shd w:val="clear" w:color="auto" w:fill="E2EFD9" w:themeFill="accent6" w:themeFillTint="33"/>
            <w:hideMark/>
          </w:tcPr>
          <w:p w14:paraId="75E2F09E" w14:textId="03202846" w:rsidR="00DE10F8" w:rsidRPr="00135766" w:rsidRDefault="00CC2F05" w:rsidP="006C676D">
            <w:pPr>
              <w:jc w:val="center"/>
              <w:rPr>
                <w:bCs/>
                <w:sz w:val="16"/>
                <w:szCs w:val="16"/>
              </w:rPr>
            </w:pPr>
            <w:r w:rsidRPr="00135766">
              <w:rPr>
                <w:bCs/>
                <w:sz w:val="16"/>
                <w:szCs w:val="16"/>
              </w:rPr>
              <w:t>Percent</w:t>
            </w:r>
          </w:p>
        </w:tc>
        <w:tc>
          <w:tcPr>
            <w:tcW w:w="407" w:type="pct"/>
            <w:tcBorders>
              <w:top w:val="nil"/>
              <w:left w:val="nil"/>
              <w:bottom w:val="single" w:sz="4" w:space="0" w:color="auto"/>
              <w:right w:val="nil"/>
            </w:tcBorders>
            <w:shd w:val="clear" w:color="auto" w:fill="E2EFD9" w:themeFill="accent6" w:themeFillTint="33"/>
            <w:hideMark/>
          </w:tcPr>
          <w:p w14:paraId="1E35DD74" w14:textId="77777777" w:rsidR="00DE10F8" w:rsidRPr="00135766" w:rsidRDefault="00DE10F8" w:rsidP="006C676D">
            <w:pPr>
              <w:jc w:val="center"/>
              <w:rPr>
                <w:bCs/>
                <w:sz w:val="16"/>
                <w:szCs w:val="16"/>
              </w:rPr>
            </w:pPr>
            <w:r w:rsidRPr="00135766">
              <w:rPr>
                <w:bCs/>
                <w:sz w:val="16"/>
                <w:szCs w:val="16"/>
              </w:rPr>
              <w:t>Number Infected</w:t>
            </w:r>
          </w:p>
        </w:tc>
        <w:tc>
          <w:tcPr>
            <w:tcW w:w="388" w:type="pct"/>
            <w:tcBorders>
              <w:top w:val="nil"/>
              <w:left w:val="nil"/>
              <w:bottom w:val="single" w:sz="4" w:space="0" w:color="auto"/>
              <w:right w:val="nil"/>
            </w:tcBorders>
            <w:shd w:val="clear" w:color="auto" w:fill="E2EFD9" w:themeFill="accent6" w:themeFillTint="33"/>
            <w:hideMark/>
          </w:tcPr>
          <w:p w14:paraId="137D6EF4" w14:textId="6A787100" w:rsidR="00DE10F8" w:rsidRPr="00135766" w:rsidRDefault="00CC2F05" w:rsidP="006C676D">
            <w:pPr>
              <w:jc w:val="center"/>
              <w:rPr>
                <w:bCs/>
                <w:sz w:val="16"/>
                <w:szCs w:val="16"/>
              </w:rPr>
            </w:pPr>
            <w:r w:rsidRPr="00135766">
              <w:rPr>
                <w:bCs/>
                <w:sz w:val="16"/>
                <w:szCs w:val="16"/>
              </w:rPr>
              <w:t>Percent</w:t>
            </w:r>
          </w:p>
        </w:tc>
        <w:tc>
          <w:tcPr>
            <w:tcW w:w="407" w:type="pct"/>
            <w:tcBorders>
              <w:top w:val="nil"/>
              <w:left w:val="single" w:sz="4" w:space="0" w:color="auto"/>
              <w:bottom w:val="single" w:sz="4" w:space="0" w:color="auto"/>
              <w:right w:val="nil"/>
            </w:tcBorders>
            <w:shd w:val="clear" w:color="auto" w:fill="E2EFD9" w:themeFill="accent6" w:themeFillTint="33"/>
            <w:hideMark/>
          </w:tcPr>
          <w:p w14:paraId="4E1648E0" w14:textId="77777777" w:rsidR="00DE10F8" w:rsidRPr="00135766" w:rsidRDefault="00DE10F8" w:rsidP="006C676D">
            <w:pPr>
              <w:jc w:val="center"/>
              <w:rPr>
                <w:bCs/>
                <w:sz w:val="16"/>
                <w:szCs w:val="16"/>
              </w:rPr>
            </w:pPr>
            <w:r w:rsidRPr="00135766">
              <w:rPr>
                <w:bCs/>
                <w:sz w:val="16"/>
                <w:szCs w:val="16"/>
              </w:rPr>
              <w:t>Number Infected</w:t>
            </w:r>
          </w:p>
        </w:tc>
        <w:tc>
          <w:tcPr>
            <w:tcW w:w="388" w:type="pct"/>
            <w:tcBorders>
              <w:top w:val="nil"/>
              <w:left w:val="nil"/>
              <w:bottom w:val="single" w:sz="4" w:space="0" w:color="auto"/>
              <w:right w:val="single" w:sz="4" w:space="0" w:color="auto"/>
            </w:tcBorders>
            <w:shd w:val="clear" w:color="auto" w:fill="E2EFD9" w:themeFill="accent6" w:themeFillTint="33"/>
            <w:hideMark/>
          </w:tcPr>
          <w:p w14:paraId="47F6A918" w14:textId="2E104D78" w:rsidR="00DE10F8" w:rsidRPr="00135766" w:rsidRDefault="00CC2F05" w:rsidP="006C676D">
            <w:pPr>
              <w:jc w:val="center"/>
              <w:rPr>
                <w:bCs/>
                <w:sz w:val="16"/>
                <w:szCs w:val="16"/>
              </w:rPr>
            </w:pPr>
            <w:r w:rsidRPr="00135766">
              <w:rPr>
                <w:bCs/>
                <w:sz w:val="16"/>
                <w:szCs w:val="16"/>
              </w:rPr>
              <w:t>Percent</w:t>
            </w:r>
          </w:p>
        </w:tc>
        <w:tc>
          <w:tcPr>
            <w:tcW w:w="434" w:type="pct"/>
            <w:tcBorders>
              <w:top w:val="nil"/>
              <w:left w:val="nil"/>
              <w:bottom w:val="single" w:sz="4" w:space="0" w:color="auto"/>
              <w:right w:val="nil"/>
            </w:tcBorders>
            <w:shd w:val="clear" w:color="auto" w:fill="E2EFD9" w:themeFill="accent6" w:themeFillTint="33"/>
            <w:hideMark/>
          </w:tcPr>
          <w:p w14:paraId="5CC1D0E3" w14:textId="77777777" w:rsidR="00DE10F8" w:rsidRPr="00135766" w:rsidRDefault="00DE10F8" w:rsidP="006C676D">
            <w:pPr>
              <w:jc w:val="center"/>
              <w:rPr>
                <w:bCs/>
                <w:sz w:val="16"/>
                <w:szCs w:val="16"/>
              </w:rPr>
            </w:pPr>
            <w:r w:rsidRPr="00135766">
              <w:rPr>
                <w:bCs/>
                <w:sz w:val="16"/>
                <w:szCs w:val="16"/>
              </w:rPr>
              <w:t>Number Infected</w:t>
            </w:r>
          </w:p>
        </w:tc>
        <w:tc>
          <w:tcPr>
            <w:tcW w:w="381" w:type="pct"/>
            <w:tcBorders>
              <w:top w:val="nil"/>
              <w:left w:val="nil"/>
              <w:bottom w:val="single" w:sz="4" w:space="0" w:color="auto"/>
              <w:right w:val="nil"/>
            </w:tcBorders>
            <w:shd w:val="clear" w:color="auto" w:fill="E2EFD9" w:themeFill="accent6" w:themeFillTint="33"/>
            <w:hideMark/>
          </w:tcPr>
          <w:p w14:paraId="12778622" w14:textId="2C91ECA8" w:rsidR="00DE10F8" w:rsidRPr="00135766" w:rsidRDefault="00CC2F05" w:rsidP="006C676D">
            <w:pPr>
              <w:jc w:val="center"/>
              <w:rPr>
                <w:bCs/>
                <w:sz w:val="16"/>
                <w:szCs w:val="16"/>
              </w:rPr>
            </w:pPr>
            <w:r w:rsidRPr="00135766">
              <w:rPr>
                <w:bCs/>
                <w:sz w:val="16"/>
                <w:szCs w:val="16"/>
              </w:rPr>
              <w:t>Percent</w:t>
            </w:r>
          </w:p>
        </w:tc>
      </w:tr>
      <w:tr w:rsidR="0085694C" w:rsidRPr="006B42D6" w14:paraId="57FD6027" w14:textId="77777777" w:rsidTr="0085694C">
        <w:trPr>
          <w:trHeight w:hRule="exact" w:val="255"/>
        </w:trPr>
        <w:tc>
          <w:tcPr>
            <w:tcW w:w="776" w:type="pct"/>
            <w:tcBorders>
              <w:top w:val="nil"/>
              <w:left w:val="nil"/>
              <w:bottom w:val="nil"/>
              <w:right w:val="nil"/>
            </w:tcBorders>
            <w:shd w:val="clear" w:color="auto" w:fill="auto"/>
            <w:noWrap/>
            <w:hideMark/>
          </w:tcPr>
          <w:p w14:paraId="4FB34759" w14:textId="77777777" w:rsidR="00DE10F8" w:rsidRPr="006B42D6" w:rsidRDefault="00DE10F8" w:rsidP="006C676D">
            <w:pPr>
              <w:rPr>
                <w:sz w:val="16"/>
                <w:szCs w:val="16"/>
              </w:rPr>
            </w:pPr>
            <w:r w:rsidRPr="006B42D6">
              <w:rPr>
                <w:sz w:val="16"/>
                <w:szCs w:val="16"/>
              </w:rPr>
              <w:t>Dodoma</w:t>
            </w:r>
          </w:p>
        </w:tc>
        <w:tc>
          <w:tcPr>
            <w:tcW w:w="445" w:type="pct"/>
            <w:tcBorders>
              <w:top w:val="nil"/>
              <w:left w:val="single" w:sz="4" w:space="0" w:color="auto"/>
              <w:bottom w:val="nil"/>
              <w:right w:val="nil"/>
            </w:tcBorders>
            <w:shd w:val="clear" w:color="auto" w:fill="auto"/>
            <w:noWrap/>
            <w:hideMark/>
          </w:tcPr>
          <w:p w14:paraId="2BC4F39B" w14:textId="77777777" w:rsidR="00DE10F8" w:rsidRPr="006B42D6" w:rsidRDefault="00DE10F8" w:rsidP="006C676D">
            <w:pPr>
              <w:jc w:val="right"/>
              <w:rPr>
                <w:sz w:val="16"/>
                <w:szCs w:val="16"/>
              </w:rPr>
            </w:pPr>
            <w:r w:rsidRPr="006B42D6">
              <w:rPr>
                <w:sz w:val="16"/>
                <w:szCs w:val="16"/>
              </w:rPr>
              <w:t>210,248</w:t>
            </w:r>
          </w:p>
        </w:tc>
        <w:tc>
          <w:tcPr>
            <w:tcW w:w="385" w:type="pct"/>
            <w:tcBorders>
              <w:top w:val="nil"/>
              <w:left w:val="nil"/>
              <w:bottom w:val="nil"/>
              <w:right w:val="nil"/>
            </w:tcBorders>
            <w:shd w:val="clear" w:color="auto" w:fill="auto"/>
            <w:noWrap/>
            <w:hideMark/>
          </w:tcPr>
          <w:p w14:paraId="3DC245B8" w14:textId="77777777" w:rsidR="00DE10F8" w:rsidRPr="006B42D6" w:rsidRDefault="00DE10F8" w:rsidP="006C676D">
            <w:pPr>
              <w:jc w:val="right"/>
              <w:rPr>
                <w:sz w:val="16"/>
                <w:szCs w:val="16"/>
              </w:rPr>
            </w:pPr>
            <w:r w:rsidRPr="006B42D6">
              <w:rPr>
                <w:sz w:val="16"/>
                <w:szCs w:val="16"/>
              </w:rPr>
              <w:t>10.5</w:t>
            </w:r>
          </w:p>
        </w:tc>
        <w:tc>
          <w:tcPr>
            <w:tcW w:w="604" w:type="pct"/>
            <w:tcBorders>
              <w:top w:val="nil"/>
              <w:left w:val="single" w:sz="4" w:space="0" w:color="auto"/>
              <w:bottom w:val="nil"/>
              <w:right w:val="nil"/>
            </w:tcBorders>
            <w:shd w:val="clear" w:color="auto" w:fill="auto"/>
            <w:noWrap/>
            <w:hideMark/>
          </w:tcPr>
          <w:p w14:paraId="60F97776" w14:textId="77777777" w:rsidR="00DE10F8" w:rsidRPr="006B42D6" w:rsidRDefault="00DE10F8" w:rsidP="006C676D">
            <w:pPr>
              <w:jc w:val="right"/>
              <w:rPr>
                <w:sz w:val="16"/>
                <w:szCs w:val="16"/>
              </w:rPr>
            </w:pPr>
            <w:r w:rsidRPr="006B42D6">
              <w:rPr>
                <w:sz w:val="16"/>
                <w:szCs w:val="16"/>
              </w:rPr>
              <w:t>117,657</w:t>
            </w:r>
          </w:p>
        </w:tc>
        <w:tc>
          <w:tcPr>
            <w:tcW w:w="386" w:type="pct"/>
            <w:tcBorders>
              <w:top w:val="nil"/>
              <w:left w:val="nil"/>
              <w:bottom w:val="nil"/>
              <w:right w:val="single" w:sz="4" w:space="0" w:color="auto"/>
            </w:tcBorders>
            <w:shd w:val="clear" w:color="auto" w:fill="auto"/>
            <w:noWrap/>
            <w:hideMark/>
          </w:tcPr>
          <w:p w14:paraId="5D68DEFB" w14:textId="77777777" w:rsidR="00DE10F8" w:rsidRPr="006B42D6" w:rsidRDefault="00DE10F8" w:rsidP="006C676D">
            <w:pPr>
              <w:jc w:val="right"/>
              <w:rPr>
                <w:sz w:val="16"/>
                <w:szCs w:val="16"/>
              </w:rPr>
            </w:pPr>
            <w:r w:rsidRPr="006B42D6">
              <w:rPr>
                <w:sz w:val="16"/>
                <w:szCs w:val="16"/>
              </w:rPr>
              <w:t>3.0</w:t>
            </w:r>
          </w:p>
        </w:tc>
        <w:tc>
          <w:tcPr>
            <w:tcW w:w="407" w:type="pct"/>
            <w:tcBorders>
              <w:top w:val="nil"/>
              <w:left w:val="nil"/>
              <w:bottom w:val="nil"/>
              <w:right w:val="nil"/>
            </w:tcBorders>
            <w:shd w:val="clear" w:color="auto" w:fill="auto"/>
            <w:noWrap/>
            <w:hideMark/>
          </w:tcPr>
          <w:p w14:paraId="1B3F195B" w14:textId="77777777" w:rsidR="00DE10F8" w:rsidRPr="006B42D6" w:rsidRDefault="00DE10F8" w:rsidP="006C676D">
            <w:pPr>
              <w:jc w:val="right"/>
              <w:rPr>
                <w:sz w:val="16"/>
                <w:szCs w:val="16"/>
              </w:rPr>
            </w:pPr>
            <w:r w:rsidRPr="006B42D6">
              <w:rPr>
                <w:sz w:val="16"/>
                <w:szCs w:val="16"/>
              </w:rPr>
              <w:t>11,653</w:t>
            </w:r>
          </w:p>
        </w:tc>
        <w:tc>
          <w:tcPr>
            <w:tcW w:w="388" w:type="pct"/>
            <w:tcBorders>
              <w:top w:val="nil"/>
              <w:left w:val="nil"/>
              <w:bottom w:val="nil"/>
              <w:right w:val="nil"/>
            </w:tcBorders>
            <w:shd w:val="clear" w:color="auto" w:fill="auto"/>
            <w:noWrap/>
            <w:hideMark/>
          </w:tcPr>
          <w:p w14:paraId="5EBC6730" w14:textId="77777777" w:rsidR="00DE10F8" w:rsidRPr="006B42D6" w:rsidRDefault="00DE10F8" w:rsidP="006C676D">
            <w:pPr>
              <w:jc w:val="right"/>
              <w:rPr>
                <w:sz w:val="16"/>
                <w:szCs w:val="16"/>
              </w:rPr>
            </w:pPr>
            <w:r w:rsidRPr="006B42D6">
              <w:rPr>
                <w:sz w:val="16"/>
                <w:szCs w:val="16"/>
              </w:rPr>
              <w:t>3.9</w:t>
            </w:r>
          </w:p>
        </w:tc>
        <w:tc>
          <w:tcPr>
            <w:tcW w:w="407" w:type="pct"/>
            <w:tcBorders>
              <w:top w:val="nil"/>
              <w:left w:val="single" w:sz="4" w:space="0" w:color="auto"/>
              <w:bottom w:val="nil"/>
              <w:right w:val="nil"/>
            </w:tcBorders>
            <w:shd w:val="clear" w:color="auto" w:fill="auto"/>
            <w:noWrap/>
            <w:hideMark/>
          </w:tcPr>
          <w:p w14:paraId="7CCF7FF0" w14:textId="77777777" w:rsidR="00DE10F8" w:rsidRPr="006B42D6" w:rsidRDefault="00DE10F8" w:rsidP="006C676D">
            <w:pPr>
              <w:jc w:val="right"/>
              <w:rPr>
                <w:sz w:val="16"/>
                <w:szCs w:val="16"/>
              </w:rPr>
            </w:pPr>
            <w:r w:rsidRPr="006B42D6">
              <w:rPr>
                <w:sz w:val="16"/>
                <w:szCs w:val="16"/>
              </w:rPr>
              <w:t>30,279</w:t>
            </w:r>
          </w:p>
        </w:tc>
        <w:tc>
          <w:tcPr>
            <w:tcW w:w="388" w:type="pct"/>
            <w:tcBorders>
              <w:top w:val="nil"/>
              <w:left w:val="nil"/>
              <w:bottom w:val="nil"/>
              <w:right w:val="single" w:sz="4" w:space="0" w:color="auto"/>
            </w:tcBorders>
            <w:shd w:val="clear" w:color="auto" w:fill="auto"/>
            <w:noWrap/>
            <w:hideMark/>
          </w:tcPr>
          <w:p w14:paraId="3F6C22C8" w14:textId="77777777" w:rsidR="00DE10F8" w:rsidRPr="006B42D6" w:rsidRDefault="00DE10F8" w:rsidP="006C676D">
            <w:pPr>
              <w:jc w:val="right"/>
              <w:rPr>
                <w:sz w:val="16"/>
                <w:szCs w:val="16"/>
              </w:rPr>
            </w:pPr>
            <w:r w:rsidRPr="006B42D6">
              <w:rPr>
                <w:sz w:val="16"/>
                <w:szCs w:val="16"/>
              </w:rPr>
              <w:t>4.3</w:t>
            </w:r>
          </w:p>
        </w:tc>
        <w:tc>
          <w:tcPr>
            <w:tcW w:w="434" w:type="pct"/>
            <w:tcBorders>
              <w:top w:val="nil"/>
              <w:left w:val="nil"/>
              <w:bottom w:val="nil"/>
              <w:right w:val="nil"/>
            </w:tcBorders>
            <w:shd w:val="clear" w:color="auto" w:fill="auto"/>
            <w:noWrap/>
            <w:hideMark/>
          </w:tcPr>
          <w:p w14:paraId="327F3197" w14:textId="77777777" w:rsidR="00DE10F8" w:rsidRPr="006B42D6" w:rsidRDefault="00DE10F8" w:rsidP="006C676D">
            <w:pPr>
              <w:jc w:val="right"/>
              <w:rPr>
                <w:sz w:val="16"/>
                <w:szCs w:val="16"/>
              </w:rPr>
            </w:pPr>
            <w:r w:rsidRPr="006B42D6">
              <w:rPr>
                <w:sz w:val="16"/>
                <w:szCs w:val="16"/>
              </w:rPr>
              <w:t>18,853</w:t>
            </w:r>
          </w:p>
        </w:tc>
        <w:tc>
          <w:tcPr>
            <w:tcW w:w="381" w:type="pct"/>
            <w:tcBorders>
              <w:top w:val="nil"/>
              <w:left w:val="nil"/>
              <w:bottom w:val="nil"/>
              <w:right w:val="nil"/>
            </w:tcBorders>
            <w:shd w:val="clear" w:color="auto" w:fill="auto"/>
            <w:noWrap/>
            <w:hideMark/>
          </w:tcPr>
          <w:p w14:paraId="549E4D03" w14:textId="77777777" w:rsidR="00DE10F8" w:rsidRPr="006B42D6" w:rsidRDefault="00DE10F8" w:rsidP="006C676D">
            <w:pPr>
              <w:jc w:val="right"/>
              <w:rPr>
                <w:sz w:val="16"/>
                <w:szCs w:val="16"/>
              </w:rPr>
            </w:pPr>
            <w:r w:rsidRPr="006B42D6">
              <w:rPr>
                <w:sz w:val="16"/>
                <w:szCs w:val="16"/>
              </w:rPr>
              <w:t>6.7</w:t>
            </w:r>
          </w:p>
        </w:tc>
      </w:tr>
      <w:tr w:rsidR="0085694C" w:rsidRPr="006B42D6" w14:paraId="668D9371" w14:textId="77777777" w:rsidTr="0085694C">
        <w:trPr>
          <w:trHeight w:hRule="exact" w:val="255"/>
        </w:trPr>
        <w:tc>
          <w:tcPr>
            <w:tcW w:w="776" w:type="pct"/>
            <w:tcBorders>
              <w:top w:val="nil"/>
              <w:left w:val="nil"/>
              <w:bottom w:val="nil"/>
              <w:right w:val="nil"/>
            </w:tcBorders>
            <w:shd w:val="clear" w:color="auto" w:fill="auto"/>
            <w:noWrap/>
            <w:hideMark/>
          </w:tcPr>
          <w:p w14:paraId="2E5E9FDF" w14:textId="77777777" w:rsidR="00DE10F8" w:rsidRPr="006B42D6" w:rsidRDefault="00DE10F8" w:rsidP="006C676D">
            <w:pPr>
              <w:rPr>
                <w:sz w:val="16"/>
                <w:szCs w:val="16"/>
              </w:rPr>
            </w:pPr>
            <w:r w:rsidRPr="006B42D6">
              <w:rPr>
                <w:sz w:val="16"/>
                <w:szCs w:val="16"/>
              </w:rPr>
              <w:t>Arusha</w:t>
            </w:r>
          </w:p>
        </w:tc>
        <w:tc>
          <w:tcPr>
            <w:tcW w:w="445" w:type="pct"/>
            <w:tcBorders>
              <w:top w:val="nil"/>
              <w:left w:val="single" w:sz="4" w:space="0" w:color="auto"/>
              <w:bottom w:val="nil"/>
              <w:right w:val="nil"/>
            </w:tcBorders>
            <w:shd w:val="clear" w:color="auto" w:fill="auto"/>
            <w:noWrap/>
            <w:hideMark/>
          </w:tcPr>
          <w:p w14:paraId="7F27F078" w14:textId="77777777" w:rsidR="00DE10F8" w:rsidRPr="006B42D6" w:rsidRDefault="00DE10F8" w:rsidP="006C676D">
            <w:pPr>
              <w:jc w:val="right"/>
              <w:rPr>
                <w:sz w:val="16"/>
                <w:szCs w:val="16"/>
              </w:rPr>
            </w:pPr>
            <w:r w:rsidRPr="006B42D6">
              <w:rPr>
                <w:sz w:val="16"/>
                <w:szCs w:val="16"/>
              </w:rPr>
              <w:t>258,726</w:t>
            </w:r>
          </w:p>
        </w:tc>
        <w:tc>
          <w:tcPr>
            <w:tcW w:w="385" w:type="pct"/>
            <w:tcBorders>
              <w:top w:val="nil"/>
              <w:left w:val="nil"/>
              <w:bottom w:val="nil"/>
              <w:right w:val="nil"/>
            </w:tcBorders>
            <w:shd w:val="clear" w:color="auto" w:fill="auto"/>
            <w:noWrap/>
            <w:hideMark/>
          </w:tcPr>
          <w:p w14:paraId="3A413038" w14:textId="77777777" w:rsidR="00DE10F8" w:rsidRPr="006B42D6" w:rsidRDefault="00DE10F8" w:rsidP="006C676D">
            <w:pPr>
              <w:jc w:val="right"/>
              <w:rPr>
                <w:sz w:val="16"/>
                <w:szCs w:val="16"/>
              </w:rPr>
            </w:pPr>
            <w:r w:rsidRPr="006B42D6">
              <w:rPr>
                <w:sz w:val="16"/>
                <w:szCs w:val="16"/>
              </w:rPr>
              <w:t>12.9</w:t>
            </w:r>
          </w:p>
        </w:tc>
        <w:tc>
          <w:tcPr>
            <w:tcW w:w="604" w:type="pct"/>
            <w:tcBorders>
              <w:top w:val="nil"/>
              <w:left w:val="single" w:sz="4" w:space="0" w:color="auto"/>
              <w:bottom w:val="nil"/>
              <w:right w:val="nil"/>
            </w:tcBorders>
            <w:shd w:val="clear" w:color="auto" w:fill="auto"/>
            <w:noWrap/>
            <w:hideMark/>
          </w:tcPr>
          <w:p w14:paraId="71E39B4C" w14:textId="77777777" w:rsidR="00DE10F8" w:rsidRPr="006B42D6" w:rsidRDefault="00DE10F8" w:rsidP="006C676D">
            <w:pPr>
              <w:jc w:val="right"/>
              <w:rPr>
                <w:sz w:val="16"/>
                <w:szCs w:val="16"/>
              </w:rPr>
            </w:pPr>
            <w:r w:rsidRPr="006B42D6">
              <w:rPr>
                <w:sz w:val="16"/>
                <w:szCs w:val="16"/>
              </w:rPr>
              <w:t>382,450</w:t>
            </w:r>
          </w:p>
        </w:tc>
        <w:tc>
          <w:tcPr>
            <w:tcW w:w="386" w:type="pct"/>
            <w:tcBorders>
              <w:top w:val="nil"/>
              <w:left w:val="nil"/>
              <w:bottom w:val="nil"/>
              <w:right w:val="single" w:sz="4" w:space="0" w:color="auto"/>
            </w:tcBorders>
            <w:shd w:val="clear" w:color="auto" w:fill="auto"/>
            <w:noWrap/>
            <w:hideMark/>
          </w:tcPr>
          <w:p w14:paraId="43C9B356" w14:textId="77777777" w:rsidR="00DE10F8" w:rsidRPr="006B42D6" w:rsidRDefault="00DE10F8" w:rsidP="006C676D">
            <w:pPr>
              <w:jc w:val="right"/>
              <w:rPr>
                <w:sz w:val="16"/>
                <w:szCs w:val="16"/>
              </w:rPr>
            </w:pPr>
            <w:r w:rsidRPr="006B42D6">
              <w:rPr>
                <w:sz w:val="16"/>
                <w:szCs w:val="16"/>
              </w:rPr>
              <w:t>9.9</w:t>
            </w:r>
          </w:p>
        </w:tc>
        <w:tc>
          <w:tcPr>
            <w:tcW w:w="407" w:type="pct"/>
            <w:tcBorders>
              <w:top w:val="nil"/>
              <w:left w:val="nil"/>
              <w:bottom w:val="nil"/>
              <w:right w:val="nil"/>
            </w:tcBorders>
            <w:shd w:val="clear" w:color="auto" w:fill="auto"/>
            <w:noWrap/>
            <w:hideMark/>
          </w:tcPr>
          <w:p w14:paraId="2BF1C67B" w14:textId="77777777" w:rsidR="00DE10F8" w:rsidRPr="006B42D6" w:rsidRDefault="00DE10F8" w:rsidP="006C676D">
            <w:pPr>
              <w:jc w:val="right"/>
              <w:rPr>
                <w:sz w:val="16"/>
                <w:szCs w:val="16"/>
              </w:rPr>
            </w:pPr>
            <w:r w:rsidRPr="006B42D6">
              <w:rPr>
                <w:sz w:val="16"/>
                <w:szCs w:val="16"/>
              </w:rPr>
              <w:t>16,341</w:t>
            </w:r>
          </w:p>
        </w:tc>
        <w:tc>
          <w:tcPr>
            <w:tcW w:w="388" w:type="pct"/>
            <w:tcBorders>
              <w:top w:val="nil"/>
              <w:left w:val="nil"/>
              <w:bottom w:val="nil"/>
              <w:right w:val="nil"/>
            </w:tcBorders>
            <w:shd w:val="clear" w:color="auto" w:fill="auto"/>
            <w:noWrap/>
            <w:hideMark/>
          </w:tcPr>
          <w:p w14:paraId="75582729" w14:textId="77777777" w:rsidR="00DE10F8" w:rsidRPr="006B42D6" w:rsidRDefault="00DE10F8" w:rsidP="006C676D">
            <w:pPr>
              <w:jc w:val="right"/>
              <w:rPr>
                <w:sz w:val="16"/>
                <w:szCs w:val="16"/>
              </w:rPr>
            </w:pPr>
            <w:r w:rsidRPr="006B42D6">
              <w:rPr>
                <w:sz w:val="16"/>
                <w:szCs w:val="16"/>
              </w:rPr>
              <w:t>5.5</w:t>
            </w:r>
          </w:p>
        </w:tc>
        <w:tc>
          <w:tcPr>
            <w:tcW w:w="407" w:type="pct"/>
            <w:tcBorders>
              <w:top w:val="nil"/>
              <w:left w:val="single" w:sz="4" w:space="0" w:color="auto"/>
              <w:bottom w:val="nil"/>
              <w:right w:val="nil"/>
            </w:tcBorders>
            <w:shd w:val="clear" w:color="auto" w:fill="auto"/>
            <w:noWrap/>
            <w:hideMark/>
          </w:tcPr>
          <w:p w14:paraId="51E33EDD" w14:textId="77777777" w:rsidR="00DE10F8" w:rsidRPr="006B42D6" w:rsidRDefault="00DE10F8" w:rsidP="006C676D">
            <w:pPr>
              <w:jc w:val="right"/>
              <w:rPr>
                <w:sz w:val="16"/>
                <w:szCs w:val="16"/>
              </w:rPr>
            </w:pPr>
            <w:r w:rsidRPr="006B42D6">
              <w:rPr>
                <w:sz w:val="16"/>
                <w:szCs w:val="16"/>
              </w:rPr>
              <w:t>33,465</w:t>
            </w:r>
          </w:p>
        </w:tc>
        <w:tc>
          <w:tcPr>
            <w:tcW w:w="388" w:type="pct"/>
            <w:tcBorders>
              <w:top w:val="nil"/>
              <w:left w:val="nil"/>
              <w:bottom w:val="nil"/>
              <w:right w:val="single" w:sz="4" w:space="0" w:color="auto"/>
            </w:tcBorders>
            <w:shd w:val="clear" w:color="auto" w:fill="auto"/>
            <w:noWrap/>
            <w:hideMark/>
          </w:tcPr>
          <w:p w14:paraId="15EF7E94" w14:textId="77777777" w:rsidR="00DE10F8" w:rsidRPr="006B42D6" w:rsidRDefault="00DE10F8" w:rsidP="006C676D">
            <w:pPr>
              <w:jc w:val="right"/>
              <w:rPr>
                <w:sz w:val="16"/>
                <w:szCs w:val="16"/>
              </w:rPr>
            </w:pPr>
            <w:r w:rsidRPr="006B42D6">
              <w:rPr>
                <w:sz w:val="16"/>
                <w:szCs w:val="16"/>
              </w:rPr>
              <w:t>4.8</w:t>
            </w:r>
          </w:p>
        </w:tc>
        <w:tc>
          <w:tcPr>
            <w:tcW w:w="434" w:type="pct"/>
            <w:tcBorders>
              <w:top w:val="nil"/>
              <w:left w:val="nil"/>
              <w:bottom w:val="nil"/>
              <w:right w:val="nil"/>
            </w:tcBorders>
            <w:shd w:val="clear" w:color="auto" w:fill="auto"/>
            <w:noWrap/>
            <w:hideMark/>
          </w:tcPr>
          <w:p w14:paraId="1FD7A286" w14:textId="77777777" w:rsidR="00DE10F8" w:rsidRPr="006B42D6" w:rsidRDefault="00DE10F8" w:rsidP="006C676D">
            <w:pPr>
              <w:jc w:val="right"/>
              <w:rPr>
                <w:sz w:val="16"/>
                <w:szCs w:val="16"/>
              </w:rPr>
            </w:pPr>
            <w:r w:rsidRPr="006B42D6">
              <w:rPr>
                <w:sz w:val="16"/>
                <w:szCs w:val="16"/>
              </w:rPr>
              <w:t>14,316</w:t>
            </w:r>
          </w:p>
        </w:tc>
        <w:tc>
          <w:tcPr>
            <w:tcW w:w="381" w:type="pct"/>
            <w:tcBorders>
              <w:top w:val="nil"/>
              <w:left w:val="nil"/>
              <w:bottom w:val="nil"/>
              <w:right w:val="nil"/>
            </w:tcBorders>
            <w:shd w:val="clear" w:color="auto" w:fill="auto"/>
            <w:noWrap/>
            <w:hideMark/>
          </w:tcPr>
          <w:p w14:paraId="2E82AF58" w14:textId="77777777" w:rsidR="00DE10F8" w:rsidRPr="006B42D6" w:rsidRDefault="00DE10F8" w:rsidP="006C676D">
            <w:pPr>
              <w:jc w:val="right"/>
              <w:rPr>
                <w:sz w:val="16"/>
                <w:szCs w:val="16"/>
              </w:rPr>
            </w:pPr>
            <w:r w:rsidRPr="006B42D6">
              <w:rPr>
                <w:sz w:val="16"/>
                <w:szCs w:val="16"/>
              </w:rPr>
              <w:t>5.1</w:t>
            </w:r>
          </w:p>
        </w:tc>
      </w:tr>
      <w:tr w:rsidR="0085694C" w:rsidRPr="006B42D6" w14:paraId="103438AC" w14:textId="77777777" w:rsidTr="0085694C">
        <w:trPr>
          <w:trHeight w:hRule="exact" w:val="255"/>
        </w:trPr>
        <w:tc>
          <w:tcPr>
            <w:tcW w:w="776" w:type="pct"/>
            <w:tcBorders>
              <w:top w:val="nil"/>
              <w:left w:val="nil"/>
              <w:bottom w:val="nil"/>
              <w:right w:val="nil"/>
            </w:tcBorders>
            <w:shd w:val="clear" w:color="auto" w:fill="auto"/>
            <w:noWrap/>
            <w:hideMark/>
          </w:tcPr>
          <w:p w14:paraId="605E3309" w14:textId="77777777" w:rsidR="00DE10F8" w:rsidRPr="006B42D6" w:rsidRDefault="00DE10F8" w:rsidP="006C676D">
            <w:pPr>
              <w:rPr>
                <w:sz w:val="16"/>
                <w:szCs w:val="16"/>
              </w:rPr>
            </w:pPr>
            <w:r w:rsidRPr="006B42D6">
              <w:rPr>
                <w:sz w:val="16"/>
                <w:szCs w:val="16"/>
              </w:rPr>
              <w:t>Kilimanjaro</w:t>
            </w:r>
          </w:p>
        </w:tc>
        <w:tc>
          <w:tcPr>
            <w:tcW w:w="445" w:type="pct"/>
            <w:tcBorders>
              <w:top w:val="nil"/>
              <w:left w:val="single" w:sz="4" w:space="0" w:color="auto"/>
              <w:bottom w:val="nil"/>
              <w:right w:val="nil"/>
            </w:tcBorders>
            <w:shd w:val="clear" w:color="auto" w:fill="auto"/>
            <w:noWrap/>
            <w:hideMark/>
          </w:tcPr>
          <w:p w14:paraId="18D8CA12" w14:textId="77777777" w:rsidR="00DE10F8" w:rsidRPr="006B42D6" w:rsidRDefault="00DE10F8" w:rsidP="006C676D">
            <w:pPr>
              <w:jc w:val="right"/>
              <w:rPr>
                <w:sz w:val="16"/>
                <w:szCs w:val="16"/>
              </w:rPr>
            </w:pPr>
            <w:r w:rsidRPr="006B42D6">
              <w:rPr>
                <w:sz w:val="16"/>
                <w:szCs w:val="16"/>
              </w:rPr>
              <w:t>171,198</w:t>
            </w:r>
          </w:p>
        </w:tc>
        <w:tc>
          <w:tcPr>
            <w:tcW w:w="385" w:type="pct"/>
            <w:tcBorders>
              <w:top w:val="nil"/>
              <w:left w:val="nil"/>
              <w:bottom w:val="nil"/>
              <w:right w:val="nil"/>
            </w:tcBorders>
            <w:shd w:val="clear" w:color="auto" w:fill="auto"/>
            <w:noWrap/>
            <w:hideMark/>
          </w:tcPr>
          <w:p w14:paraId="4FCCDA4C" w14:textId="77777777" w:rsidR="00DE10F8" w:rsidRPr="006B42D6" w:rsidRDefault="00DE10F8" w:rsidP="006C676D">
            <w:pPr>
              <w:jc w:val="right"/>
              <w:rPr>
                <w:sz w:val="16"/>
                <w:szCs w:val="16"/>
              </w:rPr>
            </w:pPr>
            <w:r w:rsidRPr="006B42D6">
              <w:rPr>
                <w:sz w:val="16"/>
                <w:szCs w:val="16"/>
              </w:rPr>
              <w:t>8.5</w:t>
            </w:r>
          </w:p>
        </w:tc>
        <w:tc>
          <w:tcPr>
            <w:tcW w:w="604" w:type="pct"/>
            <w:tcBorders>
              <w:top w:val="nil"/>
              <w:left w:val="single" w:sz="4" w:space="0" w:color="auto"/>
              <w:bottom w:val="nil"/>
              <w:right w:val="nil"/>
            </w:tcBorders>
            <w:shd w:val="clear" w:color="auto" w:fill="auto"/>
            <w:noWrap/>
            <w:hideMark/>
          </w:tcPr>
          <w:p w14:paraId="00DF7393" w14:textId="77777777" w:rsidR="00DE10F8" w:rsidRPr="006B42D6" w:rsidRDefault="00DE10F8" w:rsidP="006C676D">
            <w:pPr>
              <w:jc w:val="right"/>
              <w:rPr>
                <w:sz w:val="16"/>
                <w:szCs w:val="16"/>
              </w:rPr>
            </w:pPr>
            <w:r w:rsidRPr="006B42D6">
              <w:rPr>
                <w:sz w:val="16"/>
                <w:szCs w:val="16"/>
              </w:rPr>
              <w:t>401,325</w:t>
            </w:r>
          </w:p>
        </w:tc>
        <w:tc>
          <w:tcPr>
            <w:tcW w:w="386" w:type="pct"/>
            <w:tcBorders>
              <w:top w:val="nil"/>
              <w:left w:val="nil"/>
              <w:bottom w:val="nil"/>
              <w:right w:val="single" w:sz="4" w:space="0" w:color="auto"/>
            </w:tcBorders>
            <w:shd w:val="clear" w:color="auto" w:fill="auto"/>
            <w:noWrap/>
            <w:hideMark/>
          </w:tcPr>
          <w:p w14:paraId="17617957" w14:textId="77777777" w:rsidR="00DE10F8" w:rsidRPr="006B42D6" w:rsidRDefault="00DE10F8" w:rsidP="006C676D">
            <w:pPr>
              <w:jc w:val="right"/>
              <w:rPr>
                <w:sz w:val="16"/>
                <w:szCs w:val="16"/>
              </w:rPr>
            </w:pPr>
            <w:r w:rsidRPr="006B42D6">
              <w:rPr>
                <w:sz w:val="16"/>
                <w:szCs w:val="16"/>
              </w:rPr>
              <w:t>10.3</w:t>
            </w:r>
          </w:p>
        </w:tc>
        <w:tc>
          <w:tcPr>
            <w:tcW w:w="407" w:type="pct"/>
            <w:tcBorders>
              <w:top w:val="nil"/>
              <w:left w:val="nil"/>
              <w:bottom w:val="nil"/>
              <w:right w:val="nil"/>
            </w:tcBorders>
            <w:shd w:val="clear" w:color="auto" w:fill="auto"/>
            <w:noWrap/>
            <w:hideMark/>
          </w:tcPr>
          <w:p w14:paraId="1178B528" w14:textId="77777777" w:rsidR="00DE10F8" w:rsidRPr="006B42D6" w:rsidRDefault="00DE10F8" w:rsidP="006C676D">
            <w:pPr>
              <w:jc w:val="right"/>
              <w:rPr>
                <w:sz w:val="16"/>
                <w:szCs w:val="16"/>
              </w:rPr>
            </w:pPr>
            <w:r w:rsidRPr="006B42D6">
              <w:rPr>
                <w:sz w:val="16"/>
                <w:szCs w:val="16"/>
              </w:rPr>
              <w:t>12,687</w:t>
            </w:r>
          </w:p>
        </w:tc>
        <w:tc>
          <w:tcPr>
            <w:tcW w:w="388" w:type="pct"/>
            <w:tcBorders>
              <w:top w:val="nil"/>
              <w:left w:val="nil"/>
              <w:bottom w:val="nil"/>
              <w:right w:val="nil"/>
            </w:tcBorders>
            <w:shd w:val="clear" w:color="auto" w:fill="auto"/>
            <w:noWrap/>
            <w:hideMark/>
          </w:tcPr>
          <w:p w14:paraId="5ECA8780" w14:textId="77777777" w:rsidR="00DE10F8" w:rsidRPr="006B42D6" w:rsidRDefault="00DE10F8" w:rsidP="006C676D">
            <w:pPr>
              <w:jc w:val="right"/>
              <w:rPr>
                <w:sz w:val="16"/>
                <w:szCs w:val="16"/>
              </w:rPr>
            </w:pPr>
            <w:r w:rsidRPr="006B42D6">
              <w:rPr>
                <w:sz w:val="16"/>
                <w:szCs w:val="16"/>
              </w:rPr>
              <w:t>4.2</w:t>
            </w:r>
          </w:p>
        </w:tc>
        <w:tc>
          <w:tcPr>
            <w:tcW w:w="407" w:type="pct"/>
            <w:tcBorders>
              <w:top w:val="nil"/>
              <w:left w:val="single" w:sz="4" w:space="0" w:color="auto"/>
              <w:bottom w:val="nil"/>
              <w:right w:val="nil"/>
            </w:tcBorders>
            <w:shd w:val="clear" w:color="auto" w:fill="auto"/>
            <w:noWrap/>
            <w:hideMark/>
          </w:tcPr>
          <w:p w14:paraId="1ABD1208" w14:textId="77777777" w:rsidR="00DE10F8" w:rsidRPr="006B42D6" w:rsidRDefault="00DE10F8" w:rsidP="006C676D">
            <w:pPr>
              <w:jc w:val="right"/>
              <w:rPr>
                <w:sz w:val="16"/>
                <w:szCs w:val="16"/>
              </w:rPr>
            </w:pPr>
            <w:r w:rsidRPr="006B42D6">
              <w:rPr>
                <w:sz w:val="16"/>
                <w:szCs w:val="16"/>
              </w:rPr>
              <w:t>40,717</w:t>
            </w:r>
          </w:p>
        </w:tc>
        <w:tc>
          <w:tcPr>
            <w:tcW w:w="388" w:type="pct"/>
            <w:tcBorders>
              <w:top w:val="nil"/>
              <w:left w:val="nil"/>
              <w:bottom w:val="nil"/>
              <w:right w:val="single" w:sz="4" w:space="0" w:color="auto"/>
            </w:tcBorders>
            <w:shd w:val="clear" w:color="auto" w:fill="auto"/>
            <w:noWrap/>
            <w:hideMark/>
          </w:tcPr>
          <w:p w14:paraId="62697480" w14:textId="77777777" w:rsidR="00DE10F8" w:rsidRPr="006B42D6" w:rsidRDefault="00DE10F8" w:rsidP="006C676D">
            <w:pPr>
              <w:jc w:val="right"/>
              <w:rPr>
                <w:sz w:val="16"/>
                <w:szCs w:val="16"/>
              </w:rPr>
            </w:pPr>
            <w:r w:rsidRPr="006B42D6">
              <w:rPr>
                <w:sz w:val="16"/>
                <w:szCs w:val="16"/>
              </w:rPr>
              <w:t>5.8</w:t>
            </w:r>
          </w:p>
        </w:tc>
        <w:tc>
          <w:tcPr>
            <w:tcW w:w="434" w:type="pct"/>
            <w:tcBorders>
              <w:top w:val="nil"/>
              <w:left w:val="nil"/>
              <w:bottom w:val="nil"/>
              <w:right w:val="nil"/>
            </w:tcBorders>
            <w:shd w:val="clear" w:color="auto" w:fill="auto"/>
            <w:noWrap/>
            <w:hideMark/>
          </w:tcPr>
          <w:p w14:paraId="02A74A2A" w14:textId="77777777" w:rsidR="00DE10F8" w:rsidRPr="006B42D6" w:rsidRDefault="00DE10F8" w:rsidP="006C676D">
            <w:pPr>
              <w:jc w:val="right"/>
              <w:rPr>
                <w:sz w:val="16"/>
                <w:szCs w:val="16"/>
              </w:rPr>
            </w:pPr>
            <w:r w:rsidRPr="006B42D6">
              <w:rPr>
                <w:sz w:val="16"/>
                <w:szCs w:val="16"/>
              </w:rPr>
              <w:t>29,780</w:t>
            </w:r>
          </w:p>
        </w:tc>
        <w:tc>
          <w:tcPr>
            <w:tcW w:w="381" w:type="pct"/>
            <w:tcBorders>
              <w:top w:val="nil"/>
              <w:left w:val="nil"/>
              <w:bottom w:val="nil"/>
              <w:right w:val="nil"/>
            </w:tcBorders>
            <w:shd w:val="clear" w:color="auto" w:fill="auto"/>
            <w:noWrap/>
            <w:hideMark/>
          </w:tcPr>
          <w:p w14:paraId="66D4E3CE" w14:textId="77777777" w:rsidR="00DE10F8" w:rsidRPr="006B42D6" w:rsidRDefault="00DE10F8" w:rsidP="006C676D">
            <w:pPr>
              <w:jc w:val="right"/>
              <w:rPr>
                <w:sz w:val="16"/>
                <w:szCs w:val="16"/>
              </w:rPr>
            </w:pPr>
            <w:r w:rsidRPr="006B42D6">
              <w:rPr>
                <w:sz w:val="16"/>
                <w:szCs w:val="16"/>
              </w:rPr>
              <w:t>10.6</w:t>
            </w:r>
          </w:p>
        </w:tc>
      </w:tr>
      <w:tr w:rsidR="0085694C" w:rsidRPr="006B42D6" w14:paraId="677409D4" w14:textId="77777777" w:rsidTr="0085694C">
        <w:trPr>
          <w:trHeight w:hRule="exact" w:val="255"/>
        </w:trPr>
        <w:tc>
          <w:tcPr>
            <w:tcW w:w="776" w:type="pct"/>
            <w:tcBorders>
              <w:top w:val="nil"/>
              <w:left w:val="nil"/>
              <w:bottom w:val="nil"/>
              <w:right w:val="nil"/>
            </w:tcBorders>
            <w:shd w:val="clear" w:color="auto" w:fill="auto"/>
            <w:noWrap/>
            <w:hideMark/>
          </w:tcPr>
          <w:p w14:paraId="3E6ED901" w14:textId="77777777" w:rsidR="00DE10F8" w:rsidRPr="006B42D6" w:rsidRDefault="00DE10F8" w:rsidP="006C676D">
            <w:pPr>
              <w:rPr>
                <w:sz w:val="16"/>
                <w:szCs w:val="16"/>
              </w:rPr>
            </w:pPr>
            <w:r w:rsidRPr="006B42D6">
              <w:rPr>
                <w:sz w:val="16"/>
                <w:szCs w:val="16"/>
              </w:rPr>
              <w:t>Tanga</w:t>
            </w:r>
          </w:p>
        </w:tc>
        <w:tc>
          <w:tcPr>
            <w:tcW w:w="445" w:type="pct"/>
            <w:tcBorders>
              <w:top w:val="nil"/>
              <w:left w:val="single" w:sz="4" w:space="0" w:color="auto"/>
              <w:bottom w:val="nil"/>
              <w:right w:val="nil"/>
            </w:tcBorders>
            <w:shd w:val="clear" w:color="auto" w:fill="auto"/>
            <w:noWrap/>
            <w:hideMark/>
          </w:tcPr>
          <w:p w14:paraId="3D87CFE2" w14:textId="77777777" w:rsidR="00DE10F8" w:rsidRPr="006B42D6" w:rsidRDefault="00DE10F8" w:rsidP="006C676D">
            <w:pPr>
              <w:jc w:val="right"/>
              <w:rPr>
                <w:sz w:val="16"/>
                <w:szCs w:val="16"/>
              </w:rPr>
            </w:pPr>
            <w:r w:rsidRPr="006B42D6">
              <w:rPr>
                <w:sz w:val="16"/>
                <w:szCs w:val="16"/>
              </w:rPr>
              <w:t>180,919</w:t>
            </w:r>
          </w:p>
        </w:tc>
        <w:tc>
          <w:tcPr>
            <w:tcW w:w="385" w:type="pct"/>
            <w:tcBorders>
              <w:top w:val="nil"/>
              <w:left w:val="nil"/>
              <w:bottom w:val="nil"/>
              <w:right w:val="nil"/>
            </w:tcBorders>
            <w:shd w:val="clear" w:color="auto" w:fill="auto"/>
            <w:noWrap/>
            <w:hideMark/>
          </w:tcPr>
          <w:p w14:paraId="1E3EE6BF" w14:textId="77777777" w:rsidR="00DE10F8" w:rsidRPr="006B42D6" w:rsidRDefault="00DE10F8" w:rsidP="006C676D">
            <w:pPr>
              <w:jc w:val="right"/>
              <w:rPr>
                <w:sz w:val="16"/>
                <w:szCs w:val="16"/>
              </w:rPr>
            </w:pPr>
            <w:r w:rsidRPr="006B42D6">
              <w:rPr>
                <w:sz w:val="16"/>
                <w:szCs w:val="16"/>
              </w:rPr>
              <w:t>9.0</w:t>
            </w:r>
          </w:p>
        </w:tc>
        <w:tc>
          <w:tcPr>
            <w:tcW w:w="604" w:type="pct"/>
            <w:tcBorders>
              <w:top w:val="nil"/>
              <w:left w:val="single" w:sz="4" w:space="0" w:color="auto"/>
              <w:bottom w:val="nil"/>
              <w:right w:val="nil"/>
            </w:tcBorders>
            <w:shd w:val="clear" w:color="auto" w:fill="auto"/>
            <w:noWrap/>
            <w:hideMark/>
          </w:tcPr>
          <w:p w14:paraId="6E26F876" w14:textId="77777777" w:rsidR="00DE10F8" w:rsidRPr="006B42D6" w:rsidRDefault="00DE10F8" w:rsidP="006C676D">
            <w:pPr>
              <w:jc w:val="right"/>
              <w:rPr>
                <w:sz w:val="16"/>
                <w:szCs w:val="16"/>
              </w:rPr>
            </w:pPr>
            <w:r w:rsidRPr="006B42D6">
              <w:rPr>
                <w:sz w:val="16"/>
                <w:szCs w:val="16"/>
              </w:rPr>
              <w:t>430,276</w:t>
            </w:r>
          </w:p>
        </w:tc>
        <w:tc>
          <w:tcPr>
            <w:tcW w:w="386" w:type="pct"/>
            <w:tcBorders>
              <w:top w:val="nil"/>
              <w:left w:val="nil"/>
              <w:bottom w:val="nil"/>
              <w:right w:val="single" w:sz="4" w:space="0" w:color="auto"/>
            </w:tcBorders>
            <w:shd w:val="clear" w:color="auto" w:fill="auto"/>
            <w:noWrap/>
            <w:hideMark/>
          </w:tcPr>
          <w:p w14:paraId="6816C738" w14:textId="77777777" w:rsidR="00DE10F8" w:rsidRPr="006B42D6" w:rsidRDefault="00DE10F8" w:rsidP="006C676D">
            <w:pPr>
              <w:jc w:val="right"/>
              <w:rPr>
                <w:sz w:val="16"/>
                <w:szCs w:val="16"/>
              </w:rPr>
            </w:pPr>
            <w:r w:rsidRPr="006B42D6">
              <w:rPr>
                <w:sz w:val="16"/>
                <w:szCs w:val="16"/>
              </w:rPr>
              <w:t>11.1</w:t>
            </w:r>
          </w:p>
        </w:tc>
        <w:tc>
          <w:tcPr>
            <w:tcW w:w="407" w:type="pct"/>
            <w:tcBorders>
              <w:top w:val="nil"/>
              <w:left w:val="nil"/>
              <w:bottom w:val="nil"/>
              <w:right w:val="nil"/>
            </w:tcBorders>
            <w:shd w:val="clear" w:color="auto" w:fill="auto"/>
            <w:noWrap/>
            <w:hideMark/>
          </w:tcPr>
          <w:p w14:paraId="4CE58F07" w14:textId="77777777" w:rsidR="00DE10F8" w:rsidRPr="006B42D6" w:rsidRDefault="00DE10F8" w:rsidP="006C676D">
            <w:pPr>
              <w:jc w:val="right"/>
              <w:rPr>
                <w:sz w:val="16"/>
                <w:szCs w:val="16"/>
              </w:rPr>
            </w:pPr>
            <w:r w:rsidRPr="006B42D6">
              <w:rPr>
                <w:sz w:val="16"/>
                <w:szCs w:val="16"/>
              </w:rPr>
              <w:t>47,219</w:t>
            </w:r>
          </w:p>
        </w:tc>
        <w:tc>
          <w:tcPr>
            <w:tcW w:w="388" w:type="pct"/>
            <w:tcBorders>
              <w:top w:val="nil"/>
              <w:left w:val="nil"/>
              <w:bottom w:val="nil"/>
              <w:right w:val="nil"/>
            </w:tcBorders>
            <w:shd w:val="clear" w:color="auto" w:fill="auto"/>
            <w:noWrap/>
            <w:hideMark/>
          </w:tcPr>
          <w:p w14:paraId="1DACD7A9" w14:textId="77777777" w:rsidR="00DE10F8" w:rsidRPr="006B42D6" w:rsidRDefault="00DE10F8" w:rsidP="006C676D">
            <w:pPr>
              <w:jc w:val="right"/>
              <w:rPr>
                <w:sz w:val="16"/>
                <w:szCs w:val="16"/>
              </w:rPr>
            </w:pPr>
            <w:r w:rsidRPr="006B42D6">
              <w:rPr>
                <w:sz w:val="16"/>
                <w:szCs w:val="16"/>
              </w:rPr>
              <w:t>15.8</w:t>
            </w:r>
          </w:p>
        </w:tc>
        <w:tc>
          <w:tcPr>
            <w:tcW w:w="407" w:type="pct"/>
            <w:tcBorders>
              <w:top w:val="nil"/>
              <w:left w:val="single" w:sz="4" w:space="0" w:color="auto"/>
              <w:bottom w:val="nil"/>
              <w:right w:val="nil"/>
            </w:tcBorders>
            <w:shd w:val="clear" w:color="auto" w:fill="auto"/>
            <w:noWrap/>
            <w:hideMark/>
          </w:tcPr>
          <w:p w14:paraId="0ADA3940" w14:textId="77777777" w:rsidR="00DE10F8" w:rsidRPr="006B42D6" w:rsidRDefault="00DE10F8" w:rsidP="006C676D">
            <w:pPr>
              <w:jc w:val="right"/>
              <w:rPr>
                <w:sz w:val="16"/>
                <w:szCs w:val="16"/>
              </w:rPr>
            </w:pPr>
            <w:r w:rsidRPr="006B42D6">
              <w:rPr>
                <w:sz w:val="16"/>
                <w:szCs w:val="16"/>
              </w:rPr>
              <w:t>102,998</w:t>
            </w:r>
          </w:p>
        </w:tc>
        <w:tc>
          <w:tcPr>
            <w:tcW w:w="388" w:type="pct"/>
            <w:tcBorders>
              <w:top w:val="nil"/>
              <w:left w:val="nil"/>
              <w:bottom w:val="nil"/>
              <w:right w:val="single" w:sz="4" w:space="0" w:color="auto"/>
            </w:tcBorders>
            <w:shd w:val="clear" w:color="auto" w:fill="auto"/>
            <w:noWrap/>
            <w:hideMark/>
          </w:tcPr>
          <w:p w14:paraId="70D31155" w14:textId="77777777" w:rsidR="00DE10F8" w:rsidRPr="006B42D6" w:rsidRDefault="00DE10F8" w:rsidP="006C676D">
            <w:pPr>
              <w:jc w:val="right"/>
              <w:rPr>
                <w:sz w:val="16"/>
                <w:szCs w:val="16"/>
              </w:rPr>
            </w:pPr>
            <w:r w:rsidRPr="006B42D6">
              <w:rPr>
                <w:sz w:val="16"/>
                <w:szCs w:val="16"/>
              </w:rPr>
              <w:t>14.7</w:t>
            </w:r>
          </w:p>
        </w:tc>
        <w:tc>
          <w:tcPr>
            <w:tcW w:w="434" w:type="pct"/>
            <w:tcBorders>
              <w:top w:val="nil"/>
              <w:left w:val="nil"/>
              <w:bottom w:val="nil"/>
              <w:right w:val="nil"/>
            </w:tcBorders>
            <w:shd w:val="clear" w:color="auto" w:fill="auto"/>
            <w:noWrap/>
            <w:hideMark/>
          </w:tcPr>
          <w:p w14:paraId="6C4CD5D9" w14:textId="77777777" w:rsidR="00DE10F8" w:rsidRPr="006B42D6" w:rsidRDefault="00DE10F8" w:rsidP="006C676D">
            <w:pPr>
              <w:jc w:val="right"/>
              <w:rPr>
                <w:sz w:val="16"/>
                <w:szCs w:val="16"/>
              </w:rPr>
            </w:pPr>
            <w:r w:rsidRPr="006B42D6">
              <w:rPr>
                <w:sz w:val="16"/>
                <w:szCs w:val="16"/>
              </w:rPr>
              <w:t>21,483</w:t>
            </w:r>
          </w:p>
        </w:tc>
        <w:tc>
          <w:tcPr>
            <w:tcW w:w="381" w:type="pct"/>
            <w:tcBorders>
              <w:top w:val="nil"/>
              <w:left w:val="nil"/>
              <w:bottom w:val="nil"/>
              <w:right w:val="nil"/>
            </w:tcBorders>
            <w:shd w:val="clear" w:color="auto" w:fill="auto"/>
            <w:noWrap/>
            <w:hideMark/>
          </w:tcPr>
          <w:p w14:paraId="5AB4DC4B" w14:textId="77777777" w:rsidR="00DE10F8" w:rsidRPr="006B42D6" w:rsidRDefault="00DE10F8" w:rsidP="006C676D">
            <w:pPr>
              <w:jc w:val="right"/>
              <w:rPr>
                <w:sz w:val="16"/>
                <w:szCs w:val="16"/>
              </w:rPr>
            </w:pPr>
            <w:r w:rsidRPr="006B42D6">
              <w:rPr>
                <w:sz w:val="16"/>
                <w:szCs w:val="16"/>
              </w:rPr>
              <w:t>7.6</w:t>
            </w:r>
          </w:p>
        </w:tc>
      </w:tr>
      <w:tr w:rsidR="0085694C" w:rsidRPr="006B42D6" w14:paraId="49BC780A" w14:textId="77777777" w:rsidTr="0085694C">
        <w:trPr>
          <w:trHeight w:hRule="exact" w:val="255"/>
        </w:trPr>
        <w:tc>
          <w:tcPr>
            <w:tcW w:w="776" w:type="pct"/>
            <w:tcBorders>
              <w:top w:val="nil"/>
              <w:left w:val="nil"/>
              <w:bottom w:val="nil"/>
              <w:right w:val="nil"/>
            </w:tcBorders>
            <w:shd w:val="clear" w:color="auto" w:fill="auto"/>
            <w:noWrap/>
            <w:hideMark/>
          </w:tcPr>
          <w:p w14:paraId="69A9E906" w14:textId="77777777" w:rsidR="00DE10F8" w:rsidRPr="006B42D6" w:rsidRDefault="00DE10F8" w:rsidP="006C676D">
            <w:pPr>
              <w:rPr>
                <w:sz w:val="16"/>
                <w:szCs w:val="16"/>
              </w:rPr>
            </w:pPr>
            <w:r w:rsidRPr="006B42D6">
              <w:rPr>
                <w:sz w:val="16"/>
                <w:szCs w:val="16"/>
              </w:rPr>
              <w:t>Morogoro</w:t>
            </w:r>
          </w:p>
        </w:tc>
        <w:tc>
          <w:tcPr>
            <w:tcW w:w="445" w:type="pct"/>
            <w:tcBorders>
              <w:top w:val="nil"/>
              <w:left w:val="single" w:sz="4" w:space="0" w:color="auto"/>
              <w:bottom w:val="nil"/>
              <w:right w:val="nil"/>
            </w:tcBorders>
            <w:shd w:val="clear" w:color="auto" w:fill="auto"/>
            <w:noWrap/>
            <w:hideMark/>
          </w:tcPr>
          <w:p w14:paraId="365D714F" w14:textId="77777777" w:rsidR="00DE10F8" w:rsidRPr="006B42D6" w:rsidRDefault="00DE10F8" w:rsidP="006C676D">
            <w:pPr>
              <w:jc w:val="right"/>
              <w:rPr>
                <w:sz w:val="16"/>
                <w:szCs w:val="16"/>
              </w:rPr>
            </w:pPr>
            <w:r w:rsidRPr="006B42D6">
              <w:rPr>
                <w:sz w:val="16"/>
                <w:szCs w:val="16"/>
              </w:rPr>
              <w:t>87,400</w:t>
            </w:r>
          </w:p>
        </w:tc>
        <w:tc>
          <w:tcPr>
            <w:tcW w:w="385" w:type="pct"/>
            <w:tcBorders>
              <w:top w:val="nil"/>
              <w:left w:val="nil"/>
              <w:bottom w:val="nil"/>
              <w:right w:val="nil"/>
            </w:tcBorders>
            <w:shd w:val="clear" w:color="auto" w:fill="auto"/>
            <w:noWrap/>
            <w:hideMark/>
          </w:tcPr>
          <w:p w14:paraId="39D0AD48" w14:textId="77777777" w:rsidR="00DE10F8" w:rsidRPr="006B42D6" w:rsidRDefault="00DE10F8" w:rsidP="006C676D">
            <w:pPr>
              <w:jc w:val="right"/>
              <w:rPr>
                <w:sz w:val="16"/>
                <w:szCs w:val="16"/>
              </w:rPr>
            </w:pPr>
            <w:r w:rsidRPr="006B42D6">
              <w:rPr>
                <w:sz w:val="16"/>
                <w:szCs w:val="16"/>
              </w:rPr>
              <w:t>4.4</w:t>
            </w:r>
          </w:p>
        </w:tc>
        <w:tc>
          <w:tcPr>
            <w:tcW w:w="604" w:type="pct"/>
            <w:tcBorders>
              <w:top w:val="nil"/>
              <w:left w:val="single" w:sz="4" w:space="0" w:color="auto"/>
              <w:bottom w:val="nil"/>
              <w:right w:val="nil"/>
            </w:tcBorders>
            <w:shd w:val="clear" w:color="auto" w:fill="auto"/>
            <w:noWrap/>
            <w:hideMark/>
          </w:tcPr>
          <w:p w14:paraId="159464DF" w14:textId="77777777" w:rsidR="00DE10F8" w:rsidRPr="006B42D6" w:rsidRDefault="00DE10F8" w:rsidP="006C676D">
            <w:pPr>
              <w:jc w:val="right"/>
              <w:rPr>
                <w:sz w:val="16"/>
                <w:szCs w:val="16"/>
              </w:rPr>
            </w:pPr>
            <w:r w:rsidRPr="006B42D6">
              <w:rPr>
                <w:sz w:val="16"/>
                <w:szCs w:val="16"/>
              </w:rPr>
              <w:t>117,007</w:t>
            </w:r>
          </w:p>
        </w:tc>
        <w:tc>
          <w:tcPr>
            <w:tcW w:w="386" w:type="pct"/>
            <w:tcBorders>
              <w:top w:val="nil"/>
              <w:left w:val="nil"/>
              <w:bottom w:val="nil"/>
              <w:right w:val="single" w:sz="4" w:space="0" w:color="auto"/>
            </w:tcBorders>
            <w:shd w:val="clear" w:color="auto" w:fill="auto"/>
            <w:noWrap/>
            <w:hideMark/>
          </w:tcPr>
          <w:p w14:paraId="78EE7DF3" w14:textId="77777777" w:rsidR="00DE10F8" w:rsidRPr="006B42D6" w:rsidRDefault="00DE10F8" w:rsidP="006C676D">
            <w:pPr>
              <w:jc w:val="right"/>
              <w:rPr>
                <w:sz w:val="16"/>
                <w:szCs w:val="16"/>
              </w:rPr>
            </w:pPr>
            <w:r w:rsidRPr="006B42D6">
              <w:rPr>
                <w:sz w:val="16"/>
                <w:szCs w:val="16"/>
              </w:rPr>
              <w:t>3.0</w:t>
            </w:r>
          </w:p>
        </w:tc>
        <w:tc>
          <w:tcPr>
            <w:tcW w:w="407" w:type="pct"/>
            <w:tcBorders>
              <w:top w:val="nil"/>
              <w:left w:val="nil"/>
              <w:bottom w:val="nil"/>
              <w:right w:val="nil"/>
            </w:tcBorders>
            <w:shd w:val="clear" w:color="auto" w:fill="auto"/>
            <w:noWrap/>
            <w:hideMark/>
          </w:tcPr>
          <w:p w14:paraId="7062C34B" w14:textId="77777777" w:rsidR="00DE10F8" w:rsidRPr="006B42D6" w:rsidRDefault="00DE10F8" w:rsidP="006C676D">
            <w:pPr>
              <w:jc w:val="right"/>
              <w:rPr>
                <w:sz w:val="16"/>
                <w:szCs w:val="16"/>
              </w:rPr>
            </w:pPr>
            <w:r w:rsidRPr="006B42D6">
              <w:rPr>
                <w:sz w:val="16"/>
                <w:szCs w:val="16"/>
              </w:rPr>
              <w:t>10,469</w:t>
            </w:r>
          </w:p>
        </w:tc>
        <w:tc>
          <w:tcPr>
            <w:tcW w:w="388" w:type="pct"/>
            <w:tcBorders>
              <w:top w:val="nil"/>
              <w:left w:val="nil"/>
              <w:bottom w:val="nil"/>
              <w:right w:val="nil"/>
            </w:tcBorders>
            <w:shd w:val="clear" w:color="auto" w:fill="auto"/>
            <w:noWrap/>
            <w:hideMark/>
          </w:tcPr>
          <w:p w14:paraId="17EB035E" w14:textId="77777777" w:rsidR="00DE10F8" w:rsidRPr="006B42D6" w:rsidRDefault="00DE10F8" w:rsidP="006C676D">
            <w:pPr>
              <w:jc w:val="right"/>
              <w:rPr>
                <w:sz w:val="16"/>
                <w:szCs w:val="16"/>
              </w:rPr>
            </w:pPr>
            <w:r w:rsidRPr="006B42D6">
              <w:rPr>
                <w:sz w:val="16"/>
                <w:szCs w:val="16"/>
              </w:rPr>
              <w:t>3.5</w:t>
            </w:r>
          </w:p>
        </w:tc>
        <w:tc>
          <w:tcPr>
            <w:tcW w:w="407" w:type="pct"/>
            <w:tcBorders>
              <w:top w:val="nil"/>
              <w:left w:val="single" w:sz="4" w:space="0" w:color="auto"/>
              <w:bottom w:val="nil"/>
              <w:right w:val="nil"/>
            </w:tcBorders>
            <w:shd w:val="clear" w:color="auto" w:fill="auto"/>
            <w:noWrap/>
            <w:hideMark/>
          </w:tcPr>
          <w:p w14:paraId="2DECEF03" w14:textId="77777777" w:rsidR="00DE10F8" w:rsidRPr="006B42D6" w:rsidRDefault="00DE10F8" w:rsidP="006C676D">
            <w:pPr>
              <w:jc w:val="right"/>
              <w:rPr>
                <w:sz w:val="16"/>
                <w:szCs w:val="16"/>
              </w:rPr>
            </w:pPr>
            <w:r w:rsidRPr="006B42D6">
              <w:rPr>
                <w:sz w:val="16"/>
                <w:szCs w:val="16"/>
              </w:rPr>
              <w:t>45,183</w:t>
            </w:r>
          </w:p>
        </w:tc>
        <w:tc>
          <w:tcPr>
            <w:tcW w:w="388" w:type="pct"/>
            <w:tcBorders>
              <w:top w:val="nil"/>
              <w:left w:val="nil"/>
              <w:bottom w:val="nil"/>
              <w:right w:val="single" w:sz="4" w:space="0" w:color="auto"/>
            </w:tcBorders>
            <w:shd w:val="clear" w:color="auto" w:fill="auto"/>
            <w:noWrap/>
            <w:hideMark/>
          </w:tcPr>
          <w:p w14:paraId="759A12F7" w14:textId="77777777" w:rsidR="00DE10F8" w:rsidRPr="006B42D6" w:rsidRDefault="00DE10F8" w:rsidP="006C676D">
            <w:pPr>
              <w:jc w:val="right"/>
              <w:rPr>
                <w:sz w:val="16"/>
                <w:szCs w:val="16"/>
              </w:rPr>
            </w:pPr>
            <w:r w:rsidRPr="006B42D6">
              <w:rPr>
                <w:sz w:val="16"/>
                <w:szCs w:val="16"/>
              </w:rPr>
              <w:t>6.4</w:t>
            </w:r>
          </w:p>
        </w:tc>
        <w:tc>
          <w:tcPr>
            <w:tcW w:w="434" w:type="pct"/>
            <w:tcBorders>
              <w:top w:val="nil"/>
              <w:left w:val="nil"/>
              <w:bottom w:val="nil"/>
              <w:right w:val="nil"/>
            </w:tcBorders>
            <w:shd w:val="clear" w:color="auto" w:fill="auto"/>
            <w:noWrap/>
            <w:hideMark/>
          </w:tcPr>
          <w:p w14:paraId="32D67582" w14:textId="77777777" w:rsidR="00DE10F8" w:rsidRPr="006B42D6" w:rsidRDefault="00DE10F8" w:rsidP="006C676D">
            <w:pPr>
              <w:jc w:val="right"/>
              <w:rPr>
                <w:sz w:val="16"/>
                <w:szCs w:val="16"/>
              </w:rPr>
            </w:pPr>
            <w:r w:rsidRPr="006B42D6">
              <w:rPr>
                <w:sz w:val="16"/>
                <w:szCs w:val="16"/>
              </w:rPr>
              <w:t>34,153</w:t>
            </w:r>
          </w:p>
        </w:tc>
        <w:tc>
          <w:tcPr>
            <w:tcW w:w="381" w:type="pct"/>
            <w:tcBorders>
              <w:top w:val="nil"/>
              <w:left w:val="nil"/>
              <w:bottom w:val="nil"/>
              <w:right w:val="nil"/>
            </w:tcBorders>
            <w:shd w:val="clear" w:color="auto" w:fill="auto"/>
            <w:noWrap/>
            <w:hideMark/>
          </w:tcPr>
          <w:p w14:paraId="6866C5BB" w14:textId="77777777" w:rsidR="00DE10F8" w:rsidRPr="006B42D6" w:rsidRDefault="00DE10F8" w:rsidP="006C676D">
            <w:pPr>
              <w:jc w:val="right"/>
              <w:rPr>
                <w:sz w:val="16"/>
                <w:szCs w:val="16"/>
              </w:rPr>
            </w:pPr>
            <w:r w:rsidRPr="006B42D6">
              <w:rPr>
                <w:sz w:val="16"/>
                <w:szCs w:val="16"/>
              </w:rPr>
              <w:t>12.1</w:t>
            </w:r>
          </w:p>
        </w:tc>
      </w:tr>
      <w:tr w:rsidR="0085694C" w:rsidRPr="006B42D6" w14:paraId="3A840E33" w14:textId="77777777" w:rsidTr="0085694C">
        <w:trPr>
          <w:trHeight w:hRule="exact" w:val="255"/>
        </w:trPr>
        <w:tc>
          <w:tcPr>
            <w:tcW w:w="776" w:type="pct"/>
            <w:tcBorders>
              <w:top w:val="nil"/>
              <w:left w:val="nil"/>
              <w:bottom w:val="nil"/>
              <w:right w:val="nil"/>
            </w:tcBorders>
            <w:shd w:val="clear" w:color="auto" w:fill="auto"/>
            <w:noWrap/>
            <w:hideMark/>
          </w:tcPr>
          <w:p w14:paraId="5E56010E" w14:textId="77777777" w:rsidR="00DE10F8" w:rsidRPr="006B42D6" w:rsidRDefault="00DE10F8" w:rsidP="006C676D">
            <w:pPr>
              <w:rPr>
                <w:sz w:val="16"/>
                <w:szCs w:val="16"/>
              </w:rPr>
            </w:pPr>
            <w:r w:rsidRPr="006B42D6">
              <w:rPr>
                <w:sz w:val="16"/>
                <w:szCs w:val="16"/>
              </w:rPr>
              <w:t>Pwani</w:t>
            </w:r>
          </w:p>
        </w:tc>
        <w:tc>
          <w:tcPr>
            <w:tcW w:w="445" w:type="pct"/>
            <w:tcBorders>
              <w:top w:val="nil"/>
              <w:left w:val="single" w:sz="4" w:space="0" w:color="auto"/>
              <w:bottom w:val="nil"/>
              <w:right w:val="nil"/>
            </w:tcBorders>
            <w:shd w:val="clear" w:color="auto" w:fill="auto"/>
            <w:noWrap/>
            <w:hideMark/>
          </w:tcPr>
          <w:p w14:paraId="247365BB" w14:textId="77777777" w:rsidR="00DE10F8" w:rsidRPr="006B42D6" w:rsidRDefault="00DE10F8" w:rsidP="006C676D">
            <w:pPr>
              <w:jc w:val="right"/>
              <w:rPr>
                <w:sz w:val="16"/>
                <w:szCs w:val="16"/>
              </w:rPr>
            </w:pPr>
            <w:r w:rsidRPr="006B42D6">
              <w:rPr>
                <w:sz w:val="16"/>
                <w:szCs w:val="16"/>
              </w:rPr>
              <w:t>112,878</w:t>
            </w:r>
          </w:p>
        </w:tc>
        <w:tc>
          <w:tcPr>
            <w:tcW w:w="385" w:type="pct"/>
            <w:tcBorders>
              <w:top w:val="nil"/>
              <w:left w:val="nil"/>
              <w:bottom w:val="nil"/>
              <w:right w:val="nil"/>
            </w:tcBorders>
            <w:shd w:val="clear" w:color="auto" w:fill="auto"/>
            <w:noWrap/>
            <w:hideMark/>
          </w:tcPr>
          <w:p w14:paraId="7A128322" w14:textId="77777777" w:rsidR="00DE10F8" w:rsidRPr="006B42D6" w:rsidRDefault="00DE10F8" w:rsidP="006C676D">
            <w:pPr>
              <w:jc w:val="right"/>
              <w:rPr>
                <w:sz w:val="16"/>
                <w:szCs w:val="16"/>
              </w:rPr>
            </w:pPr>
            <w:r w:rsidRPr="006B42D6">
              <w:rPr>
                <w:sz w:val="16"/>
                <w:szCs w:val="16"/>
              </w:rPr>
              <w:t>5.6</w:t>
            </w:r>
          </w:p>
        </w:tc>
        <w:tc>
          <w:tcPr>
            <w:tcW w:w="604" w:type="pct"/>
            <w:tcBorders>
              <w:top w:val="nil"/>
              <w:left w:val="single" w:sz="4" w:space="0" w:color="auto"/>
              <w:bottom w:val="nil"/>
              <w:right w:val="nil"/>
            </w:tcBorders>
            <w:shd w:val="clear" w:color="auto" w:fill="auto"/>
            <w:noWrap/>
            <w:hideMark/>
          </w:tcPr>
          <w:p w14:paraId="333DA524" w14:textId="77777777" w:rsidR="00DE10F8" w:rsidRPr="006B42D6" w:rsidRDefault="00DE10F8" w:rsidP="006C676D">
            <w:pPr>
              <w:jc w:val="right"/>
              <w:rPr>
                <w:sz w:val="16"/>
                <w:szCs w:val="16"/>
              </w:rPr>
            </w:pPr>
            <w:r w:rsidRPr="006B42D6">
              <w:rPr>
                <w:sz w:val="16"/>
                <w:szCs w:val="16"/>
              </w:rPr>
              <w:t>147,465</w:t>
            </w:r>
          </w:p>
        </w:tc>
        <w:tc>
          <w:tcPr>
            <w:tcW w:w="386" w:type="pct"/>
            <w:tcBorders>
              <w:top w:val="nil"/>
              <w:left w:val="nil"/>
              <w:bottom w:val="nil"/>
              <w:right w:val="single" w:sz="4" w:space="0" w:color="auto"/>
            </w:tcBorders>
            <w:shd w:val="clear" w:color="auto" w:fill="auto"/>
            <w:noWrap/>
            <w:hideMark/>
          </w:tcPr>
          <w:p w14:paraId="5EF51E3C" w14:textId="77777777" w:rsidR="00DE10F8" w:rsidRPr="006B42D6" w:rsidRDefault="00DE10F8" w:rsidP="006C676D">
            <w:pPr>
              <w:jc w:val="right"/>
              <w:rPr>
                <w:sz w:val="16"/>
                <w:szCs w:val="16"/>
              </w:rPr>
            </w:pPr>
            <w:r w:rsidRPr="006B42D6">
              <w:rPr>
                <w:sz w:val="16"/>
                <w:szCs w:val="16"/>
              </w:rPr>
              <w:t>3.8</w:t>
            </w:r>
          </w:p>
        </w:tc>
        <w:tc>
          <w:tcPr>
            <w:tcW w:w="407" w:type="pct"/>
            <w:tcBorders>
              <w:top w:val="nil"/>
              <w:left w:val="nil"/>
              <w:bottom w:val="nil"/>
              <w:right w:val="nil"/>
            </w:tcBorders>
            <w:shd w:val="clear" w:color="auto" w:fill="auto"/>
            <w:noWrap/>
            <w:hideMark/>
          </w:tcPr>
          <w:p w14:paraId="7C95BA8F" w14:textId="77777777" w:rsidR="00DE10F8" w:rsidRPr="006B42D6" w:rsidRDefault="00DE10F8" w:rsidP="006C676D">
            <w:pPr>
              <w:jc w:val="right"/>
              <w:rPr>
                <w:sz w:val="16"/>
                <w:szCs w:val="16"/>
              </w:rPr>
            </w:pPr>
            <w:r w:rsidRPr="006B42D6">
              <w:rPr>
                <w:sz w:val="16"/>
                <w:szCs w:val="16"/>
              </w:rPr>
              <w:t>16,305</w:t>
            </w:r>
          </w:p>
        </w:tc>
        <w:tc>
          <w:tcPr>
            <w:tcW w:w="388" w:type="pct"/>
            <w:tcBorders>
              <w:top w:val="nil"/>
              <w:left w:val="nil"/>
              <w:bottom w:val="nil"/>
              <w:right w:val="nil"/>
            </w:tcBorders>
            <w:shd w:val="clear" w:color="auto" w:fill="auto"/>
            <w:noWrap/>
            <w:hideMark/>
          </w:tcPr>
          <w:p w14:paraId="17230D31" w14:textId="77777777" w:rsidR="00DE10F8" w:rsidRPr="006B42D6" w:rsidRDefault="00DE10F8" w:rsidP="006C676D">
            <w:pPr>
              <w:jc w:val="right"/>
              <w:rPr>
                <w:sz w:val="16"/>
                <w:szCs w:val="16"/>
              </w:rPr>
            </w:pPr>
            <w:r w:rsidRPr="006B42D6">
              <w:rPr>
                <w:sz w:val="16"/>
                <w:szCs w:val="16"/>
              </w:rPr>
              <w:t>5.4</w:t>
            </w:r>
          </w:p>
        </w:tc>
        <w:tc>
          <w:tcPr>
            <w:tcW w:w="407" w:type="pct"/>
            <w:tcBorders>
              <w:top w:val="nil"/>
              <w:left w:val="single" w:sz="4" w:space="0" w:color="auto"/>
              <w:bottom w:val="nil"/>
              <w:right w:val="nil"/>
            </w:tcBorders>
            <w:shd w:val="clear" w:color="auto" w:fill="auto"/>
            <w:noWrap/>
            <w:hideMark/>
          </w:tcPr>
          <w:p w14:paraId="36BDD36A" w14:textId="77777777" w:rsidR="00DE10F8" w:rsidRPr="006B42D6" w:rsidRDefault="00DE10F8" w:rsidP="006C676D">
            <w:pPr>
              <w:jc w:val="right"/>
              <w:rPr>
                <w:sz w:val="16"/>
                <w:szCs w:val="16"/>
              </w:rPr>
            </w:pPr>
            <w:r w:rsidRPr="006B42D6">
              <w:rPr>
                <w:sz w:val="16"/>
                <w:szCs w:val="16"/>
              </w:rPr>
              <w:t>21,418</w:t>
            </w:r>
          </w:p>
        </w:tc>
        <w:tc>
          <w:tcPr>
            <w:tcW w:w="388" w:type="pct"/>
            <w:tcBorders>
              <w:top w:val="nil"/>
              <w:left w:val="nil"/>
              <w:bottom w:val="nil"/>
              <w:right w:val="single" w:sz="4" w:space="0" w:color="auto"/>
            </w:tcBorders>
            <w:shd w:val="clear" w:color="auto" w:fill="auto"/>
            <w:noWrap/>
            <w:hideMark/>
          </w:tcPr>
          <w:p w14:paraId="2B644F58" w14:textId="77777777" w:rsidR="00DE10F8" w:rsidRPr="006B42D6" w:rsidRDefault="00DE10F8" w:rsidP="006C676D">
            <w:pPr>
              <w:jc w:val="right"/>
              <w:rPr>
                <w:sz w:val="16"/>
                <w:szCs w:val="16"/>
              </w:rPr>
            </w:pPr>
            <w:r w:rsidRPr="006B42D6">
              <w:rPr>
                <w:sz w:val="16"/>
                <w:szCs w:val="16"/>
              </w:rPr>
              <w:t>3.0</w:t>
            </w:r>
          </w:p>
        </w:tc>
        <w:tc>
          <w:tcPr>
            <w:tcW w:w="434" w:type="pct"/>
            <w:tcBorders>
              <w:top w:val="nil"/>
              <w:left w:val="nil"/>
              <w:bottom w:val="nil"/>
              <w:right w:val="nil"/>
            </w:tcBorders>
            <w:shd w:val="clear" w:color="auto" w:fill="auto"/>
            <w:noWrap/>
            <w:hideMark/>
          </w:tcPr>
          <w:p w14:paraId="4244A189" w14:textId="77777777" w:rsidR="00DE10F8" w:rsidRPr="006B42D6" w:rsidRDefault="00DE10F8" w:rsidP="006C676D">
            <w:pPr>
              <w:jc w:val="right"/>
              <w:rPr>
                <w:sz w:val="16"/>
                <w:szCs w:val="16"/>
              </w:rPr>
            </w:pPr>
            <w:r w:rsidRPr="006B42D6">
              <w:rPr>
                <w:sz w:val="16"/>
                <w:szCs w:val="16"/>
              </w:rPr>
              <w:t>33,989</w:t>
            </w:r>
          </w:p>
        </w:tc>
        <w:tc>
          <w:tcPr>
            <w:tcW w:w="381" w:type="pct"/>
            <w:tcBorders>
              <w:top w:val="nil"/>
              <w:left w:val="nil"/>
              <w:bottom w:val="nil"/>
              <w:right w:val="nil"/>
            </w:tcBorders>
            <w:shd w:val="clear" w:color="auto" w:fill="auto"/>
            <w:noWrap/>
            <w:hideMark/>
          </w:tcPr>
          <w:p w14:paraId="5DF5D1F2" w14:textId="77777777" w:rsidR="00DE10F8" w:rsidRPr="006B42D6" w:rsidRDefault="00DE10F8" w:rsidP="006C676D">
            <w:pPr>
              <w:jc w:val="right"/>
              <w:rPr>
                <w:sz w:val="16"/>
                <w:szCs w:val="16"/>
              </w:rPr>
            </w:pPr>
            <w:r w:rsidRPr="006B42D6">
              <w:rPr>
                <w:sz w:val="16"/>
                <w:szCs w:val="16"/>
              </w:rPr>
              <w:t>12.1</w:t>
            </w:r>
          </w:p>
        </w:tc>
      </w:tr>
      <w:tr w:rsidR="0085694C" w:rsidRPr="006B42D6" w14:paraId="58789B92" w14:textId="77777777" w:rsidTr="0085694C">
        <w:trPr>
          <w:trHeight w:hRule="exact" w:val="255"/>
        </w:trPr>
        <w:tc>
          <w:tcPr>
            <w:tcW w:w="776" w:type="pct"/>
            <w:tcBorders>
              <w:top w:val="nil"/>
              <w:left w:val="nil"/>
              <w:bottom w:val="nil"/>
              <w:right w:val="nil"/>
            </w:tcBorders>
            <w:shd w:val="clear" w:color="auto" w:fill="auto"/>
            <w:noWrap/>
            <w:hideMark/>
          </w:tcPr>
          <w:p w14:paraId="772199D5" w14:textId="77777777" w:rsidR="00DE10F8" w:rsidRPr="006B42D6" w:rsidRDefault="00DE10F8" w:rsidP="006C676D">
            <w:pPr>
              <w:rPr>
                <w:sz w:val="16"/>
                <w:szCs w:val="16"/>
              </w:rPr>
            </w:pPr>
            <w:r w:rsidRPr="006B42D6">
              <w:rPr>
                <w:sz w:val="16"/>
                <w:szCs w:val="16"/>
              </w:rPr>
              <w:t>Dar Es Salaam</w:t>
            </w:r>
          </w:p>
        </w:tc>
        <w:tc>
          <w:tcPr>
            <w:tcW w:w="445" w:type="pct"/>
            <w:tcBorders>
              <w:top w:val="nil"/>
              <w:left w:val="single" w:sz="4" w:space="0" w:color="auto"/>
              <w:bottom w:val="nil"/>
              <w:right w:val="nil"/>
            </w:tcBorders>
            <w:shd w:val="clear" w:color="auto" w:fill="auto"/>
            <w:noWrap/>
            <w:hideMark/>
          </w:tcPr>
          <w:p w14:paraId="5F178261" w14:textId="77777777" w:rsidR="00DE10F8" w:rsidRPr="006B42D6" w:rsidRDefault="00DE10F8" w:rsidP="006C676D">
            <w:pPr>
              <w:jc w:val="right"/>
              <w:rPr>
                <w:sz w:val="16"/>
                <w:szCs w:val="16"/>
              </w:rPr>
            </w:pPr>
            <w:r w:rsidRPr="006B42D6">
              <w:rPr>
                <w:sz w:val="16"/>
                <w:szCs w:val="16"/>
              </w:rPr>
              <w:t>4,839</w:t>
            </w:r>
          </w:p>
        </w:tc>
        <w:tc>
          <w:tcPr>
            <w:tcW w:w="385" w:type="pct"/>
            <w:tcBorders>
              <w:top w:val="nil"/>
              <w:left w:val="nil"/>
              <w:bottom w:val="nil"/>
              <w:right w:val="nil"/>
            </w:tcBorders>
            <w:shd w:val="clear" w:color="auto" w:fill="auto"/>
            <w:noWrap/>
            <w:hideMark/>
          </w:tcPr>
          <w:p w14:paraId="23F1A2C6" w14:textId="77777777" w:rsidR="00DE10F8" w:rsidRPr="006B42D6" w:rsidRDefault="00DE10F8" w:rsidP="006C676D">
            <w:pPr>
              <w:jc w:val="right"/>
              <w:rPr>
                <w:sz w:val="16"/>
                <w:szCs w:val="16"/>
              </w:rPr>
            </w:pPr>
            <w:r w:rsidRPr="006B42D6">
              <w:rPr>
                <w:sz w:val="16"/>
                <w:szCs w:val="16"/>
              </w:rPr>
              <w:t>0.2</w:t>
            </w:r>
          </w:p>
        </w:tc>
        <w:tc>
          <w:tcPr>
            <w:tcW w:w="604" w:type="pct"/>
            <w:tcBorders>
              <w:top w:val="nil"/>
              <w:left w:val="single" w:sz="4" w:space="0" w:color="auto"/>
              <w:bottom w:val="nil"/>
              <w:right w:val="nil"/>
            </w:tcBorders>
            <w:shd w:val="clear" w:color="auto" w:fill="auto"/>
            <w:noWrap/>
            <w:hideMark/>
          </w:tcPr>
          <w:p w14:paraId="07FE501D" w14:textId="77777777" w:rsidR="00DE10F8" w:rsidRPr="006B42D6" w:rsidRDefault="00DE10F8" w:rsidP="006C676D">
            <w:pPr>
              <w:jc w:val="right"/>
              <w:rPr>
                <w:sz w:val="16"/>
                <w:szCs w:val="16"/>
              </w:rPr>
            </w:pPr>
            <w:r w:rsidRPr="006B42D6">
              <w:rPr>
                <w:sz w:val="16"/>
                <w:szCs w:val="16"/>
              </w:rPr>
              <w:t>7,253</w:t>
            </w:r>
          </w:p>
        </w:tc>
        <w:tc>
          <w:tcPr>
            <w:tcW w:w="386" w:type="pct"/>
            <w:tcBorders>
              <w:top w:val="nil"/>
              <w:left w:val="nil"/>
              <w:bottom w:val="nil"/>
              <w:right w:val="single" w:sz="4" w:space="0" w:color="auto"/>
            </w:tcBorders>
            <w:shd w:val="clear" w:color="auto" w:fill="auto"/>
            <w:noWrap/>
            <w:hideMark/>
          </w:tcPr>
          <w:p w14:paraId="42541544" w14:textId="77777777" w:rsidR="00DE10F8" w:rsidRPr="006B42D6" w:rsidRDefault="00DE10F8" w:rsidP="006C676D">
            <w:pPr>
              <w:jc w:val="right"/>
              <w:rPr>
                <w:sz w:val="16"/>
                <w:szCs w:val="16"/>
              </w:rPr>
            </w:pPr>
            <w:r w:rsidRPr="006B42D6">
              <w:rPr>
                <w:sz w:val="16"/>
                <w:szCs w:val="16"/>
              </w:rPr>
              <w:t>0.2</w:t>
            </w:r>
          </w:p>
        </w:tc>
        <w:tc>
          <w:tcPr>
            <w:tcW w:w="407" w:type="pct"/>
            <w:tcBorders>
              <w:top w:val="nil"/>
              <w:left w:val="nil"/>
              <w:bottom w:val="nil"/>
              <w:right w:val="nil"/>
            </w:tcBorders>
            <w:shd w:val="clear" w:color="auto" w:fill="auto"/>
            <w:noWrap/>
            <w:hideMark/>
          </w:tcPr>
          <w:p w14:paraId="2EC0BC67" w14:textId="77777777" w:rsidR="00DE10F8" w:rsidRPr="006B42D6" w:rsidRDefault="00DE10F8" w:rsidP="006C676D">
            <w:pPr>
              <w:jc w:val="right"/>
              <w:rPr>
                <w:sz w:val="16"/>
                <w:szCs w:val="16"/>
              </w:rPr>
            </w:pPr>
            <w:r w:rsidRPr="006B42D6">
              <w:rPr>
                <w:sz w:val="16"/>
                <w:szCs w:val="16"/>
              </w:rPr>
              <w:t>-</w:t>
            </w:r>
          </w:p>
        </w:tc>
        <w:tc>
          <w:tcPr>
            <w:tcW w:w="388" w:type="pct"/>
            <w:tcBorders>
              <w:top w:val="nil"/>
              <w:left w:val="nil"/>
              <w:bottom w:val="nil"/>
              <w:right w:val="nil"/>
            </w:tcBorders>
            <w:shd w:val="clear" w:color="auto" w:fill="auto"/>
            <w:noWrap/>
            <w:hideMark/>
          </w:tcPr>
          <w:p w14:paraId="33088812" w14:textId="77777777" w:rsidR="00DE10F8" w:rsidRPr="006B42D6" w:rsidRDefault="00DE10F8" w:rsidP="006C676D">
            <w:pPr>
              <w:jc w:val="right"/>
              <w:rPr>
                <w:sz w:val="16"/>
                <w:szCs w:val="16"/>
              </w:rPr>
            </w:pPr>
            <w:r w:rsidRPr="006B42D6">
              <w:rPr>
                <w:sz w:val="16"/>
                <w:szCs w:val="16"/>
              </w:rPr>
              <w:t>-</w:t>
            </w:r>
          </w:p>
        </w:tc>
        <w:tc>
          <w:tcPr>
            <w:tcW w:w="407" w:type="pct"/>
            <w:tcBorders>
              <w:top w:val="nil"/>
              <w:left w:val="single" w:sz="4" w:space="0" w:color="auto"/>
              <w:bottom w:val="nil"/>
              <w:right w:val="nil"/>
            </w:tcBorders>
            <w:shd w:val="clear" w:color="auto" w:fill="auto"/>
            <w:noWrap/>
            <w:hideMark/>
          </w:tcPr>
          <w:p w14:paraId="6958ED68" w14:textId="77777777" w:rsidR="00DE10F8" w:rsidRPr="006B42D6" w:rsidRDefault="00DE10F8" w:rsidP="006C676D">
            <w:pPr>
              <w:jc w:val="right"/>
              <w:rPr>
                <w:sz w:val="16"/>
                <w:szCs w:val="16"/>
              </w:rPr>
            </w:pPr>
            <w:r w:rsidRPr="006B42D6">
              <w:rPr>
                <w:sz w:val="16"/>
                <w:szCs w:val="16"/>
              </w:rPr>
              <w:t>847</w:t>
            </w:r>
          </w:p>
        </w:tc>
        <w:tc>
          <w:tcPr>
            <w:tcW w:w="388" w:type="pct"/>
            <w:tcBorders>
              <w:top w:val="nil"/>
              <w:left w:val="nil"/>
              <w:bottom w:val="nil"/>
              <w:right w:val="single" w:sz="4" w:space="0" w:color="auto"/>
            </w:tcBorders>
            <w:shd w:val="clear" w:color="auto" w:fill="auto"/>
            <w:noWrap/>
            <w:hideMark/>
          </w:tcPr>
          <w:p w14:paraId="1398AAF1" w14:textId="77777777" w:rsidR="00DE10F8" w:rsidRPr="006B42D6" w:rsidRDefault="00DE10F8" w:rsidP="006C676D">
            <w:pPr>
              <w:jc w:val="right"/>
              <w:rPr>
                <w:sz w:val="16"/>
                <w:szCs w:val="16"/>
              </w:rPr>
            </w:pPr>
            <w:r w:rsidRPr="006B42D6">
              <w:rPr>
                <w:sz w:val="16"/>
                <w:szCs w:val="16"/>
              </w:rPr>
              <w:t>0.1</w:t>
            </w:r>
          </w:p>
        </w:tc>
        <w:tc>
          <w:tcPr>
            <w:tcW w:w="434" w:type="pct"/>
            <w:tcBorders>
              <w:top w:val="nil"/>
              <w:left w:val="nil"/>
              <w:bottom w:val="nil"/>
              <w:right w:val="nil"/>
            </w:tcBorders>
            <w:shd w:val="clear" w:color="auto" w:fill="auto"/>
            <w:noWrap/>
            <w:hideMark/>
          </w:tcPr>
          <w:p w14:paraId="62E29233" w14:textId="77777777" w:rsidR="00DE10F8" w:rsidRPr="006B42D6" w:rsidRDefault="00DE10F8" w:rsidP="006C676D">
            <w:pPr>
              <w:jc w:val="right"/>
              <w:rPr>
                <w:sz w:val="16"/>
                <w:szCs w:val="16"/>
              </w:rPr>
            </w:pPr>
            <w:r w:rsidRPr="006B42D6">
              <w:rPr>
                <w:sz w:val="16"/>
                <w:szCs w:val="16"/>
              </w:rPr>
              <w:t>-</w:t>
            </w:r>
          </w:p>
        </w:tc>
        <w:tc>
          <w:tcPr>
            <w:tcW w:w="381" w:type="pct"/>
            <w:tcBorders>
              <w:top w:val="nil"/>
              <w:left w:val="nil"/>
              <w:bottom w:val="nil"/>
              <w:right w:val="nil"/>
            </w:tcBorders>
            <w:shd w:val="clear" w:color="auto" w:fill="auto"/>
            <w:noWrap/>
            <w:hideMark/>
          </w:tcPr>
          <w:p w14:paraId="290FA6A4" w14:textId="77777777" w:rsidR="00DE10F8" w:rsidRPr="006B42D6" w:rsidRDefault="00DE10F8" w:rsidP="006C676D">
            <w:pPr>
              <w:jc w:val="right"/>
              <w:rPr>
                <w:sz w:val="16"/>
                <w:szCs w:val="16"/>
              </w:rPr>
            </w:pPr>
            <w:r w:rsidRPr="006B42D6">
              <w:rPr>
                <w:sz w:val="16"/>
                <w:szCs w:val="16"/>
              </w:rPr>
              <w:t>-</w:t>
            </w:r>
          </w:p>
        </w:tc>
      </w:tr>
      <w:tr w:rsidR="0085694C" w:rsidRPr="006B42D6" w14:paraId="6CD651C2" w14:textId="77777777" w:rsidTr="0085694C">
        <w:trPr>
          <w:trHeight w:hRule="exact" w:val="255"/>
        </w:trPr>
        <w:tc>
          <w:tcPr>
            <w:tcW w:w="776" w:type="pct"/>
            <w:tcBorders>
              <w:top w:val="nil"/>
              <w:left w:val="nil"/>
              <w:bottom w:val="nil"/>
              <w:right w:val="nil"/>
            </w:tcBorders>
            <w:shd w:val="clear" w:color="auto" w:fill="auto"/>
            <w:noWrap/>
            <w:hideMark/>
          </w:tcPr>
          <w:p w14:paraId="25F52082" w14:textId="77777777" w:rsidR="00DE10F8" w:rsidRPr="006B42D6" w:rsidRDefault="00DE10F8" w:rsidP="006C676D">
            <w:pPr>
              <w:rPr>
                <w:sz w:val="16"/>
                <w:szCs w:val="16"/>
              </w:rPr>
            </w:pPr>
            <w:r w:rsidRPr="006B42D6">
              <w:rPr>
                <w:sz w:val="16"/>
                <w:szCs w:val="16"/>
              </w:rPr>
              <w:t>Lindi</w:t>
            </w:r>
          </w:p>
        </w:tc>
        <w:tc>
          <w:tcPr>
            <w:tcW w:w="445" w:type="pct"/>
            <w:tcBorders>
              <w:top w:val="nil"/>
              <w:left w:val="single" w:sz="4" w:space="0" w:color="auto"/>
              <w:bottom w:val="nil"/>
              <w:right w:val="nil"/>
            </w:tcBorders>
            <w:shd w:val="clear" w:color="auto" w:fill="auto"/>
            <w:noWrap/>
            <w:hideMark/>
          </w:tcPr>
          <w:p w14:paraId="47ECE75B" w14:textId="77777777" w:rsidR="00DE10F8" w:rsidRPr="006B42D6" w:rsidRDefault="00DE10F8" w:rsidP="006C676D">
            <w:pPr>
              <w:jc w:val="right"/>
              <w:rPr>
                <w:sz w:val="16"/>
                <w:szCs w:val="16"/>
              </w:rPr>
            </w:pPr>
            <w:r w:rsidRPr="006B42D6">
              <w:rPr>
                <w:sz w:val="16"/>
                <w:szCs w:val="16"/>
              </w:rPr>
              <w:t>30,367</w:t>
            </w:r>
          </w:p>
        </w:tc>
        <w:tc>
          <w:tcPr>
            <w:tcW w:w="385" w:type="pct"/>
            <w:tcBorders>
              <w:top w:val="nil"/>
              <w:left w:val="nil"/>
              <w:bottom w:val="nil"/>
              <w:right w:val="nil"/>
            </w:tcBorders>
            <w:shd w:val="clear" w:color="auto" w:fill="auto"/>
            <w:noWrap/>
            <w:hideMark/>
          </w:tcPr>
          <w:p w14:paraId="66745683" w14:textId="77777777" w:rsidR="00DE10F8" w:rsidRPr="006B42D6" w:rsidRDefault="00DE10F8" w:rsidP="006C676D">
            <w:pPr>
              <w:jc w:val="right"/>
              <w:rPr>
                <w:sz w:val="16"/>
                <w:szCs w:val="16"/>
              </w:rPr>
            </w:pPr>
            <w:r w:rsidRPr="006B42D6">
              <w:rPr>
                <w:sz w:val="16"/>
                <w:szCs w:val="16"/>
              </w:rPr>
              <w:t>1.5</w:t>
            </w:r>
          </w:p>
        </w:tc>
        <w:tc>
          <w:tcPr>
            <w:tcW w:w="604" w:type="pct"/>
            <w:tcBorders>
              <w:top w:val="nil"/>
              <w:left w:val="single" w:sz="4" w:space="0" w:color="auto"/>
              <w:bottom w:val="nil"/>
              <w:right w:val="nil"/>
            </w:tcBorders>
            <w:shd w:val="clear" w:color="auto" w:fill="auto"/>
            <w:noWrap/>
            <w:hideMark/>
          </w:tcPr>
          <w:p w14:paraId="1827D23C" w14:textId="77777777" w:rsidR="00DE10F8" w:rsidRPr="006B42D6" w:rsidRDefault="00DE10F8" w:rsidP="006C676D">
            <w:pPr>
              <w:jc w:val="right"/>
              <w:rPr>
                <w:sz w:val="16"/>
                <w:szCs w:val="16"/>
              </w:rPr>
            </w:pPr>
            <w:r w:rsidRPr="006B42D6">
              <w:rPr>
                <w:sz w:val="16"/>
                <w:szCs w:val="16"/>
              </w:rPr>
              <w:t>68,861</w:t>
            </w:r>
          </w:p>
        </w:tc>
        <w:tc>
          <w:tcPr>
            <w:tcW w:w="386" w:type="pct"/>
            <w:tcBorders>
              <w:top w:val="nil"/>
              <w:left w:val="nil"/>
              <w:bottom w:val="nil"/>
              <w:right w:val="single" w:sz="4" w:space="0" w:color="auto"/>
            </w:tcBorders>
            <w:shd w:val="clear" w:color="auto" w:fill="auto"/>
            <w:noWrap/>
            <w:hideMark/>
          </w:tcPr>
          <w:p w14:paraId="4AB8F7D3" w14:textId="77777777" w:rsidR="00DE10F8" w:rsidRPr="006B42D6" w:rsidRDefault="00DE10F8" w:rsidP="006C676D">
            <w:pPr>
              <w:jc w:val="right"/>
              <w:rPr>
                <w:sz w:val="16"/>
                <w:szCs w:val="16"/>
              </w:rPr>
            </w:pPr>
            <w:r w:rsidRPr="006B42D6">
              <w:rPr>
                <w:sz w:val="16"/>
                <w:szCs w:val="16"/>
              </w:rPr>
              <w:t>1.8</w:t>
            </w:r>
          </w:p>
        </w:tc>
        <w:tc>
          <w:tcPr>
            <w:tcW w:w="407" w:type="pct"/>
            <w:tcBorders>
              <w:top w:val="nil"/>
              <w:left w:val="nil"/>
              <w:bottom w:val="nil"/>
              <w:right w:val="nil"/>
            </w:tcBorders>
            <w:shd w:val="clear" w:color="auto" w:fill="auto"/>
            <w:noWrap/>
            <w:hideMark/>
          </w:tcPr>
          <w:p w14:paraId="3508440D" w14:textId="77777777" w:rsidR="00DE10F8" w:rsidRPr="006B42D6" w:rsidRDefault="00DE10F8" w:rsidP="006C676D">
            <w:pPr>
              <w:jc w:val="right"/>
              <w:rPr>
                <w:sz w:val="16"/>
                <w:szCs w:val="16"/>
              </w:rPr>
            </w:pPr>
            <w:r w:rsidRPr="006B42D6">
              <w:rPr>
                <w:sz w:val="16"/>
                <w:szCs w:val="16"/>
              </w:rPr>
              <w:t>-</w:t>
            </w:r>
          </w:p>
        </w:tc>
        <w:tc>
          <w:tcPr>
            <w:tcW w:w="388" w:type="pct"/>
            <w:tcBorders>
              <w:top w:val="nil"/>
              <w:left w:val="nil"/>
              <w:bottom w:val="nil"/>
              <w:right w:val="nil"/>
            </w:tcBorders>
            <w:shd w:val="clear" w:color="auto" w:fill="auto"/>
            <w:noWrap/>
            <w:hideMark/>
          </w:tcPr>
          <w:p w14:paraId="19277DDE" w14:textId="77777777" w:rsidR="00DE10F8" w:rsidRPr="006B42D6" w:rsidRDefault="00DE10F8" w:rsidP="006C676D">
            <w:pPr>
              <w:jc w:val="right"/>
              <w:rPr>
                <w:sz w:val="16"/>
                <w:szCs w:val="16"/>
              </w:rPr>
            </w:pPr>
            <w:r w:rsidRPr="006B42D6">
              <w:rPr>
                <w:sz w:val="16"/>
                <w:szCs w:val="16"/>
              </w:rPr>
              <w:t>-</w:t>
            </w:r>
          </w:p>
        </w:tc>
        <w:tc>
          <w:tcPr>
            <w:tcW w:w="407" w:type="pct"/>
            <w:tcBorders>
              <w:top w:val="nil"/>
              <w:left w:val="single" w:sz="4" w:space="0" w:color="auto"/>
              <w:bottom w:val="nil"/>
              <w:right w:val="nil"/>
            </w:tcBorders>
            <w:shd w:val="clear" w:color="auto" w:fill="auto"/>
            <w:noWrap/>
            <w:hideMark/>
          </w:tcPr>
          <w:p w14:paraId="1B146AA5" w14:textId="77777777" w:rsidR="00DE10F8" w:rsidRPr="006B42D6" w:rsidRDefault="00DE10F8" w:rsidP="006C676D">
            <w:pPr>
              <w:jc w:val="right"/>
              <w:rPr>
                <w:sz w:val="16"/>
                <w:szCs w:val="16"/>
              </w:rPr>
            </w:pPr>
            <w:r w:rsidRPr="006B42D6">
              <w:rPr>
                <w:sz w:val="16"/>
                <w:szCs w:val="16"/>
              </w:rPr>
              <w:t>-</w:t>
            </w:r>
          </w:p>
        </w:tc>
        <w:tc>
          <w:tcPr>
            <w:tcW w:w="388" w:type="pct"/>
            <w:tcBorders>
              <w:top w:val="nil"/>
              <w:left w:val="nil"/>
              <w:bottom w:val="nil"/>
              <w:right w:val="single" w:sz="4" w:space="0" w:color="auto"/>
            </w:tcBorders>
            <w:shd w:val="clear" w:color="auto" w:fill="auto"/>
            <w:noWrap/>
            <w:hideMark/>
          </w:tcPr>
          <w:p w14:paraId="794BE9DF" w14:textId="77777777" w:rsidR="00DE10F8" w:rsidRPr="006B42D6" w:rsidRDefault="00DE10F8" w:rsidP="006C676D">
            <w:pPr>
              <w:jc w:val="right"/>
              <w:rPr>
                <w:sz w:val="16"/>
                <w:szCs w:val="16"/>
              </w:rPr>
            </w:pPr>
            <w:r w:rsidRPr="006B42D6">
              <w:rPr>
                <w:sz w:val="16"/>
                <w:szCs w:val="16"/>
              </w:rPr>
              <w:t>-</w:t>
            </w:r>
          </w:p>
        </w:tc>
        <w:tc>
          <w:tcPr>
            <w:tcW w:w="434" w:type="pct"/>
            <w:tcBorders>
              <w:top w:val="nil"/>
              <w:left w:val="nil"/>
              <w:bottom w:val="nil"/>
              <w:right w:val="nil"/>
            </w:tcBorders>
            <w:shd w:val="clear" w:color="auto" w:fill="auto"/>
            <w:noWrap/>
            <w:hideMark/>
          </w:tcPr>
          <w:p w14:paraId="7057F71C" w14:textId="77777777" w:rsidR="00DE10F8" w:rsidRPr="006B42D6" w:rsidRDefault="00DE10F8" w:rsidP="006C676D">
            <w:pPr>
              <w:jc w:val="right"/>
              <w:rPr>
                <w:sz w:val="16"/>
                <w:szCs w:val="16"/>
              </w:rPr>
            </w:pPr>
            <w:r w:rsidRPr="006B42D6">
              <w:rPr>
                <w:sz w:val="16"/>
                <w:szCs w:val="16"/>
              </w:rPr>
              <w:t>-</w:t>
            </w:r>
          </w:p>
        </w:tc>
        <w:tc>
          <w:tcPr>
            <w:tcW w:w="381" w:type="pct"/>
            <w:tcBorders>
              <w:top w:val="nil"/>
              <w:left w:val="nil"/>
              <w:bottom w:val="nil"/>
              <w:right w:val="nil"/>
            </w:tcBorders>
            <w:shd w:val="clear" w:color="auto" w:fill="auto"/>
            <w:noWrap/>
            <w:hideMark/>
          </w:tcPr>
          <w:p w14:paraId="79AFEAF9" w14:textId="77777777" w:rsidR="00DE10F8" w:rsidRPr="006B42D6" w:rsidRDefault="00DE10F8" w:rsidP="006C676D">
            <w:pPr>
              <w:jc w:val="right"/>
              <w:rPr>
                <w:sz w:val="16"/>
                <w:szCs w:val="16"/>
              </w:rPr>
            </w:pPr>
            <w:r w:rsidRPr="006B42D6">
              <w:rPr>
                <w:sz w:val="16"/>
                <w:szCs w:val="16"/>
              </w:rPr>
              <w:t>-</w:t>
            </w:r>
          </w:p>
        </w:tc>
      </w:tr>
      <w:tr w:rsidR="0085694C" w:rsidRPr="006B42D6" w14:paraId="6594EF86" w14:textId="77777777" w:rsidTr="0085694C">
        <w:trPr>
          <w:trHeight w:hRule="exact" w:val="255"/>
        </w:trPr>
        <w:tc>
          <w:tcPr>
            <w:tcW w:w="776" w:type="pct"/>
            <w:tcBorders>
              <w:top w:val="nil"/>
              <w:left w:val="nil"/>
              <w:bottom w:val="nil"/>
              <w:right w:val="nil"/>
            </w:tcBorders>
            <w:shd w:val="clear" w:color="auto" w:fill="auto"/>
            <w:noWrap/>
            <w:hideMark/>
          </w:tcPr>
          <w:p w14:paraId="750B70B1" w14:textId="77777777" w:rsidR="00DE10F8" w:rsidRPr="006B42D6" w:rsidRDefault="00DE10F8" w:rsidP="006C676D">
            <w:pPr>
              <w:rPr>
                <w:sz w:val="16"/>
                <w:szCs w:val="16"/>
              </w:rPr>
            </w:pPr>
            <w:r w:rsidRPr="006B42D6">
              <w:rPr>
                <w:sz w:val="16"/>
                <w:szCs w:val="16"/>
              </w:rPr>
              <w:t>Mtwara</w:t>
            </w:r>
          </w:p>
        </w:tc>
        <w:tc>
          <w:tcPr>
            <w:tcW w:w="445" w:type="pct"/>
            <w:tcBorders>
              <w:top w:val="nil"/>
              <w:left w:val="single" w:sz="4" w:space="0" w:color="auto"/>
              <w:bottom w:val="nil"/>
              <w:right w:val="nil"/>
            </w:tcBorders>
            <w:shd w:val="clear" w:color="auto" w:fill="auto"/>
            <w:noWrap/>
            <w:hideMark/>
          </w:tcPr>
          <w:p w14:paraId="52EF21D2" w14:textId="77777777" w:rsidR="00DE10F8" w:rsidRPr="006B42D6" w:rsidRDefault="00DE10F8" w:rsidP="006C676D">
            <w:pPr>
              <w:jc w:val="right"/>
              <w:rPr>
                <w:sz w:val="16"/>
                <w:szCs w:val="16"/>
              </w:rPr>
            </w:pPr>
            <w:r w:rsidRPr="006B42D6">
              <w:rPr>
                <w:sz w:val="16"/>
                <w:szCs w:val="16"/>
              </w:rPr>
              <w:t>11,721</w:t>
            </w:r>
          </w:p>
        </w:tc>
        <w:tc>
          <w:tcPr>
            <w:tcW w:w="385" w:type="pct"/>
            <w:tcBorders>
              <w:top w:val="nil"/>
              <w:left w:val="nil"/>
              <w:bottom w:val="nil"/>
              <w:right w:val="nil"/>
            </w:tcBorders>
            <w:shd w:val="clear" w:color="auto" w:fill="auto"/>
            <w:noWrap/>
            <w:hideMark/>
          </w:tcPr>
          <w:p w14:paraId="3AF1684E" w14:textId="77777777" w:rsidR="00DE10F8" w:rsidRPr="006B42D6" w:rsidRDefault="00DE10F8" w:rsidP="006C676D">
            <w:pPr>
              <w:jc w:val="right"/>
              <w:rPr>
                <w:sz w:val="16"/>
                <w:szCs w:val="16"/>
              </w:rPr>
            </w:pPr>
            <w:r w:rsidRPr="006B42D6">
              <w:rPr>
                <w:sz w:val="16"/>
                <w:szCs w:val="16"/>
              </w:rPr>
              <w:t>0.6</w:t>
            </w:r>
          </w:p>
        </w:tc>
        <w:tc>
          <w:tcPr>
            <w:tcW w:w="604" w:type="pct"/>
            <w:tcBorders>
              <w:top w:val="nil"/>
              <w:left w:val="single" w:sz="4" w:space="0" w:color="auto"/>
              <w:bottom w:val="nil"/>
              <w:right w:val="nil"/>
            </w:tcBorders>
            <w:shd w:val="clear" w:color="auto" w:fill="auto"/>
            <w:noWrap/>
            <w:hideMark/>
          </w:tcPr>
          <w:p w14:paraId="5A3B4B35" w14:textId="77777777" w:rsidR="00DE10F8" w:rsidRPr="006B42D6" w:rsidRDefault="00DE10F8" w:rsidP="006C676D">
            <w:pPr>
              <w:jc w:val="right"/>
              <w:rPr>
                <w:sz w:val="16"/>
                <w:szCs w:val="16"/>
              </w:rPr>
            </w:pPr>
            <w:r w:rsidRPr="006B42D6">
              <w:rPr>
                <w:sz w:val="16"/>
                <w:szCs w:val="16"/>
              </w:rPr>
              <w:t>37,265</w:t>
            </w:r>
          </w:p>
        </w:tc>
        <w:tc>
          <w:tcPr>
            <w:tcW w:w="386" w:type="pct"/>
            <w:tcBorders>
              <w:top w:val="nil"/>
              <w:left w:val="nil"/>
              <w:bottom w:val="nil"/>
              <w:right w:val="single" w:sz="4" w:space="0" w:color="auto"/>
            </w:tcBorders>
            <w:shd w:val="clear" w:color="auto" w:fill="auto"/>
            <w:noWrap/>
            <w:hideMark/>
          </w:tcPr>
          <w:p w14:paraId="2FC1060C" w14:textId="77777777" w:rsidR="00DE10F8" w:rsidRPr="006B42D6" w:rsidRDefault="00DE10F8" w:rsidP="006C676D">
            <w:pPr>
              <w:jc w:val="right"/>
              <w:rPr>
                <w:sz w:val="16"/>
                <w:szCs w:val="16"/>
              </w:rPr>
            </w:pPr>
            <w:r w:rsidRPr="006B42D6">
              <w:rPr>
                <w:sz w:val="16"/>
                <w:szCs w:val="16"/>
              </w:rPr>
              <w:t>1.0</w:t>
            </w:r>
          </w:p>
        </w:tc>
        <w:tc>
          <w:tcPr>
            <w:tcW w:w="407" w:type="pct"/>
            <w:tcBorders>
              <w:top w:val="nil"/>
              <w:left w:val="nil"/>
              <w:bottom w:val="nil"/>
              <w:right w:val="nil"/>
            </w:tcBorders>
            <w:shd w:val="clear" w:color="auto" w:fill="auto"/>
            <w:noWrap/>
            <w:hideMark/>
          </w:tcPr>
          <w:p w14:paraId="1B11D360" w14:textId="77777777" w:rsidR="00DE10F8" w:rsidRPr="006B42D6" w:rsidRDefault="00DE10F8" w:rsidP="006C676D">
            <w:pPr>
              <w:jc w:val="right"/>
              <w:rPr>
                <w:sz w:val="16"/>
                <w:szCs w:val="16"/>
              </w:rPr>
            </w:pPr>
            <w:r w:rsidRPr="006B42D6">
              <w:rPr>
                <w:sz w:val="16"/>
                <w:szCs w:val="16"/>
              </w:rPr>
              <w:t>-</w:t>
            </w:r>
          </w:p>
        </w:tc>
        <w:tc>
          <w:tcPr>
            <w:tcW w:w="388" w:type="pct"/>
            <w:tcBorders>
              <w:top w:val="nil"/>
              <w:left w:val="nil"/>
              <w:bottom w:val="nil"/>
              <w:right w:val="nil"/>
            </w:tcBorders>
            <w:shd w:val="clear" w:color="auto" w:fill="auto"/>
            <w:noWrap/>
            <w:hideMark/>
          </w:tcPr>
          <w:p w14:paraId="15E6DBA0" w14:textId="77777777" w:rsidR="00DE10F8" w:rsidRPr="006B42D6" w:rsidRDefault="00DE10F8" w:rsidP="006C676D">
            <w:pPr>
              <w:jc w:val="right"/>
              <w:rPr>
                <w:sz w:val="16"/>
                <w:szCs w:val="16"/>
              </w:rPr>
            </w:pPr>
            <w:r w:rsidRPr="006B42D6">
              <w:rPr>
                <w:sz w:val="16"/>
                <w:szCs w:val="16"/>
              </w:rPr>
              <w:t>-</w:t>
            </w:r>
          </w:p>
        </w:tc>
        <w:tc>
          <w:tcPr>
            <w:tcW w:w="407" w:type="pct"/>
            <w:tcBorders>
              <w:top w:val="nil"/>
              <w:left w:val="single" w:sz="4" w:space="0" w:color="auto"/>
              <w:bottom w:val="nil"/>
              <w:right w:val="nil"/>
            </w:tcBorders>
            <w:shd w:val="clear" w:color="auto" w:fill="auto"/>
            <w:noWrap/>
            <w:hideMark/>
          </w:tcPr>
          <w:p w14:paraId="5484431E" w14:textId="77777777" w:rsidR="00DE10F8" w:rsidRPr="006B42D6" w:rsidRDefault="00DE10F8" w:rsidP="006C676D">
            <w:pPr>
              <w:jc w:val="right"/>
              <w:rPr>
                <w:sz w:val="16"/>
                <w:szCs w:val="16"/>
              </w:rPr>
            </w:pPr>
            <w:r w:rsidRPr="006B42D6">
              <w:rPr>
                <w:sz w:val="16"/>
                <w:szCs w:val="16"/>
              </w:rPr>
              <w:t>8,961</w:t>
            </w:r>
          </w:p>
        </w:tc>
        <w:tc>
          <w:tcPr>
            <w:tcW w:w="388" w:type="pct"/>
            <w:tcBorders>
              <w:top w:val="nil"/>
              <w:left w:val="nil"/>
              <w:bottom w:val="nil"/>
              <w:right w:val="single" w:sz="4" w:space="0" w:color="auto"/>
            </w:tcBorders>
            <w:shd w:val="clear" w:color="auto" w:fill="auto"/>
            <w:noWrap/>
            <w:hideMark/>
          </w:tcPr>
          <w:p w14:paraId="710FC65D" w14:textId="77777777" w:rsidR="00DE10F8" w:rsidRPr="006B42D6" w:rsidRDefault="00DE10F8" w:rsidP="006C676D">
            <w:pPr>
              <w:jc w:val="right"/>
              <w:rPr>
                <w:sz w:val="16"/>
                <w:szCs w:val="16"/>
              </w:rPr>
            </w:pPr>
            <w:r w:rsidRPr="006B42D6">
              <w:rPr>
                <w:sz w:val="16"/>
                <w:szCs w:val="16"/>
              </w:rPr>
              <w:t>1.3</w:t>
            </w:r>
          </w:p>
        </w:tc>
        <w:tc>
          <w:tcPr>
            <w:tcW w:w="434" w:type="pct"/>
            <w:tcBorders>
              <w:top w:val="nil"/>
              <w:left w:val="nil"/>
              <w:bottom w:val="nil"/>
              <w:right w:val="nil"/>
            </w:tcBorders>
            <w:shd w:val="clear" w:color="auto" w:fill="auto"/>
            <w:noWrap/>
            <w:hideMark/>
          </w:tcPr>
          <w:p w14:paraId="0539D048" w14:textId="77777777" w:rsidR="00DE10F8" w:rsidRPr="006B42D6" w:rsidRDefault="00DE10F8" w:rsidP="006C676D">
            <w:pPr>
              <w:jc w:val="right"/>
              <w:rPr>
                <w:sz w:val="16"/>
                <w:szCs w:val="16"/>
              </w:rPr>
            </w:pPr>
            <w:r w:rsidRPr="006B42D6">
              <w:rPr>
                <w:sz w:val="16"/>
                <w:szCs w:val="16"/>
              </w:rPr>
              <w:t>4,338</w:t>
            </w:r>
          </w:p>
        </w:tc>
        <w:tc>
          <w:tcPr>
            <w:tcW w:w="381" w:type="pct"/>
            <w:tcBorders>
              <w:top w:val="nil"/>
              <w:left w:val="nil"/>
              <w:bottom w:val="nil"/>
              <w:right w:val="nil"/>
            </w:tcBorders>
            <w:shd w:val="clear" w:color="auto" w:fill="auto"/>
            <w:noWrap/>
            <w:hideMark/>
          </w:tcPr>
          <w:p w14:paraId="15F7FC40" w14:textId="77777777" w:rsidR="00DE10F8" w:rsidRPr="006B42D6" w:rsidRDefault="00DE10F8" w:rsidP="006C676D">
            <w:pPr>
              <w:jc w:val="right"/>
              <w:rPr>
                <w:sz w:val="16"/>
                <w:szCs w:val="16"/>
              </w:rPr>
            </w:pPr>
            <w:r w:rsidRPr="006B42D6">
              <w:rPr>
                <w:sz w:val="16"/>
                <w:szCs w:val="16"/>
              </w:rPr>
              <w:t>1.5</w:t>
            </w:r>
          </w:p>
        </w:tc>
      </w:tr>
      <w:tr w:rsidR="0085694C" w:rsidRPr="006B42D6" w14:paraId="0A71B7CB" w14:textId="77777777" w:rsidTr="0085694C">
        <w:trPr>
          <w:trHeight w:hRule="exact" w:val="255"/>
        </w:trPr>
        <w:tc>
          <w:tcPr>
            <w:tcW w:w="776" w:type="pct"/>
            <w:tcBorders>
              <w:top w:val="nil"/>
              <w:left w:val="nil"/>
              <w:bottom w:val="nil"/>
              <w:right w:val="nil"/>
            </w:tcBorders>
            <w:shd w:val="clear" w:color="auto" w:fill="auto"/>
            <w:noWrap/>
            <w:hideMark/>
          </w:tcPr>
          <w:p w14:paraId="1DB5E470" w14:textId="77777777" w:rsidR="00DE10F8" w:rsidRPr="006B42D6" w:rsidRDefault="00DE10F8" w:rsidP="006C676D">
            <w:pPr>
              <w:rPr>
                <w:sz w:val="16"/>
                <w:szCs w:val="16"/>
              </w:rPr>
            </w:pPr>
            <w:r w:rsidRPr="006B42D6">
              <w:rPr>
                <w:sz w:val="16"/>
                <w:szCs w:val="16"/>
              </w:rPr>
              <w:t>Ruvuma</w:t>
            </w:r>
          </w:p>
        </w:tc>
        <w:tc>
          <w:tcPr>
            <w:tcW w:w="445" w:type="pct"/>
            <w:tcBorders>
              <w:top w:val="nil"/>
              <w:left w:val="single" w:sz="4" w:space="0" w:color="auto"/>
              <w:bottom w:val="nil"/>
              <w:right w:val="nil"/>
            </w:tcBorders>
            <w:shd w:val="clear" w:color="auto" w:fill="auto"/>
            <w:noWrap/>
            <w:hideMark/>
          </w:tcPr>
          <w:p w14:paraId="660960B8" w14:textId="77777777" w:rsidR="00DE10F8" w:rsidRPr="006B42D6" w:rsidRDefault="00DE10F8" w:rsidP="006C676D">
            <w:pPr>
              <w:jc w:val="right"/>
              <w:rPr>
                <w:sz w:val="16"/>
                <w:szCs w:val="16"/>
              </w:rPr>
            </w:pPr>
            <w:r w:rsidRPr="006B42D6">
              <w:rPr>
                <w:sz w:val="16"/>
                <w:szCs w:val="16"/>
              </w:rPr>
              <w:t>4,301</w:t>
            </w:r>
          </w:p>
        </w:tc>
        <w:tc>
          <w:tcPr>
            <w:tcW w:w="385" w:type="pct"/>
            <w:tcBorders>
              <w:top w:val="nil"/>
              <w:left w:val="nil"/>
              <w:bottom w:val="nil"/>
              <w:right w:val="nil"/>
            </w:tcBorders>
            <w:shd w:val="clear" w:color="auto" w:fill="auto"/>
            <w:noWrap/>
            <w:hideMark/>
          </w:tcPr>
          <w:p w14:paraId="10D0705A" w14:textId="77777777" w:rsidR="00DE10F8" w:rsidRPr="006B42D6" w:rsidRDefault="00DE10F8" w:rsidP="006C676D">
            <w:pPr>
              <w:jc w:val="right"/>
              <w:rPr>
                <w:sz w:val="16"/>
                <w:szCs w:val="16"/>
              </w:rPr>
            </w:pPr>
            <w:r w:rsidRPr="006B42D6">
              <w:rPr>
                <w:sz w:val="16"/>
                <w:szCs w:val="16"/>
              </w:rPr>
              <w:t>0.2</w:t>
            </w:r>
          </w:p>
        </w:tc>
        <w:tc>
          <w:tcPr>
            <w:tcW w:w="604" w:type="pct"/>
            <w:tcBorders>
              <w:top w:val="nil"/>
              <w:left w:val="single" w:sz="4" w:space="0" w:color="auto"/>
              <w:bottom w:val="nil"/>
              <w:right w:val="nil"/>
            </w:tcBorders>
            <w:shd w:val="clear" w:color="auto" w:fill="auto"/>
            <w:noWrap/>
            <w:hideMark/>
          </w:tcPr>
          <w:p w14:paraId="2772E9B0" w14:textId="77777777" w:rsidR="00DE10F8" w:rsidRPr="006B42D6" w:rsidRDefault="00DE10F8" w:rsidP="006C676D">
            <w:pPr>
              <w:jc w:val="right"/>
              <w:rPr>
                <w:sz w:val="16"/>
                <w:szCs w:val="16"/>
              </w:rPr>
            </w:pPr>
            <w:r w:rsidRPr="006B42D6">
              <w:rPr>
                <w:sz w:val="16"/>
                <w:szCs w:val="16"/>
              </w:rPr>
              <w:t>82,223</w:t>
            </w:r>
          </w:p>
        </w:tc>
        <w:tc>
          <w:tcPr>
            <w:tcW w:w="386" w:type="pct"/>
            <w:tcBorders>
              <w:top w:val="nil"/>
              <w:left w:val="nil"/>
              <w:bottom w:val="nil"/>
              <w:right w:val="single" w:sz="4" w:space="0" w:color="auto"/>
            </w:tcBorders>
            <w:shd w:val="clear" w:color="auto" w:fill="auto"/>
            <w:noWrap/>
            <w:hideMark/>
          </w:tcPr>
          <w:p w14:paraId="7E7BD93A" w14:textId="77777777" w:rsidR="00DE10F8" w:rsidRPr="006B42D6" w:rsidRDefault="00DE10F8" w:rsidP="006C676D">
            <w:pPr>
              <w:jc w:val="right"/>
              <w:rPr>
                <w:sz w:val="16"/>
                <w:szCs w:val="16"/>
              </w:rPr>
            </w:pPr>
            <w:r w:rsidRPr="006B42D6">
              <w:rPr>
                <w:sz w:val="16"/>
                <w:szCs w:val="16"/>
              </w:rPr>
              <w:t>2.1</w:t>
            </w:r>
          </w:p>
        </w:tc>
        <w:tc>
          <w:tcPr>
            <w:tcW w:w="407" w:type="pct"/>
            <w:tcBorders>
              <w:top w:val="nil"/>
              <w:left w:val="nil"/>
              <w:bottom w:val="nil"/>
              <w:right w:val="nil"/>
            </w:tcBorders>
            <w:shd w:val="clear" w:color="auto" w:fill="auto"/>
            <w:noWrap/>
            <w:hideMark/>
          </w:tcPr>
          <w:p w14:paraId="70499388" w14:textId="77777777" w:rsidR="00DE10F8" w:rsidRPr="006B42D6" w:rsidRDefault="00DE10F8" w:rsidP="006C676D">
            <w:pPr>
              <w:jc w:val="right"/>
              <w:rPr>
                <w:sz w:val="16"/>
                <w:szCs w:val="16"/>
              </w:rPr>
            </w:pPr>
            <w:r w:rsidRPr="006B42D6">
              <w:rPr>
                <w:sz w:val="16"/>
                <w:szCs w:val="16"/>
              </w:rPr>
              <w:t>648</w:t>
            </w:r>
          </w:p>
        </w:tc>
        <w:tc>
          <w:tcPr>
            <w:tcW w:w="388" w:type="pct"/>
            <w:tcBorders>
              <w:top w:val="nil"/>
              <w:left w:val="nil"/>
              <w:bottom w:val="nil"/>
              <w:right w:val="nil"/>
            </w:tcBorders>
            <w:shd w:val="clear" w:color="auto" w:fill="auto"/>
            <w:noWrap/>
            <w:hideMark/>
          </w:tcPr>
          <w:p w14:paraId="51ADC636" w14:textId="77777777" w:rsidR="00DE10F8" w:rsidRPr="006B42D6" w:rsidRDefault="00DE10F8" w:rsidP="006C676D">
            <w:pPr>
              <w:jc w:val="right"/>
              <w:rPr>
                <w:sz w:val="16"/>
                <w:szCs w:val="16"/>
              </w:rPr>
            </w:pPr>
            <w:r w:rsidRPr="006B42D6">
              <w:rPr>
                <w:sz w:val="16"/>
                <w:szCs w:val="16"/>
              </w:rPr>
              <w:t>0.2</w:t>
            </w:r>
          </w:p>
        </w:tc>
        <w:tc>
          <w:tcPr>
            <w:tcW w:w="407" w:type="pct"/>
            <w:tcBorders>
              <w:top w:val="nil"/>
              <w:left w:val="single" w:sz="4" w:space="0" w:color="auto"/>
              <w:bottom w:val="nil"/>
              <w:right w:val="nil"/>
            </w:tcBorders>
            <w:shd w:val="clear" w:color="auto" w:fill="auto"/>
            <w:noWrap/>
            <w:hideMark/>
          </w:tcPr>
          <w:p w14:paraId="1299DE8F" w14:textId="77777777" w:rsidR="00DE10F8" w:rsidRPr="006B42D6" w:rsidRDefault="00DE10F8" w:rsidP="006C676D">
            <w:pPr>
              <w:jc w:val="right"/>
              <w:rPr>
                <w:sz w:val="16"/>
                <w:szCs w:val="16"/>
              </w:rPr>
            </w:pPr>
            <w:r w:rsidRPr="006B42D6">
              <w:rPr>
                <w:sz w:val="16"/>
                <w:szCs w:val="16"/>
              </w:rPr>
              <w:t>43,821</w:t>
            </w:r>
          </w:p>
        </w:tc>
        <w:tc>
          <w:tcPr>
            <w:tcW w:w="388" w:type="pct"/>
            <w:tcBorders>
              <w:top w:val="nil"/>
              <w:left w:val="nil"/>
              <w:bottom w:val="nil"/>
              <w:right w:val="single" w:sz="4" w:space="0" w:color="auto"/>
            </w:tcBorders>
            <w:shd w:val="clear" w:color="auto" w:fill="auto"/>
            <w:noWrap/>
            <w:hideMark/>
          </w:tcPr>
          <w:p w14:paraId="33FBDEBB" w14:textId="77777777" w:rsidR="00DE10F8" w:rsidRPr="006B42D6" w:rsidRDefault="00DE10F8" w:rsidP="006C676D">
            <w:pPr>
              <w:jc w:val="right"/>
              <w:rPr>
                <w:sz w:val="16"/>
                <w:szCs w:val="16"/>
              </w:rPr>
            </w:pPr>
            <w:r w:rsidRPr="006B42D6">
              <w:rPr>
                <w:sz w:val="16"/>
                <w:szCs w:val="16"/>
              </w:rPr>
              <w:t>6.2</w:t>
            </w:r>
          </w:p>
        </w:tc>
        <w:tc>
          <w:tcPr>
            <w:tcW w:w="434" w:type="pct"/>
            <w:tcBorders>
              <w:top w:val="nil"/>
              <w:left w:val="nil"/>
              <w:bottom w:val="nil"/>
              <w:right w:val="nil"/>
            </w:tcBorders>
            <w:shd w:val="clear" w:color="auto" w:fill="auto"/>
            <w:noWrap/>
            <w:hideMark/>
          </w:tcPr>
          <w:p w14:paraId="609C6A0C" w14:textId="77777777" w:rsidR="00DE10F8" w:rsidRPr="006B42D6" w:rsidRDefault="00DE10F8" w:rsidP="006C676D">
            <w:pPr>
              <w:jc w:val="right"/>
              <w:rPr>
                <w:sz w:val="16"/>
                <w:szCs w:val="16"/>
              </w:rPr>
            </w:pPr>
            <w:r w:rsidRPr="006B42D6">
              <w:rPr>
                <w:sz w:val="16"/>
                <w:szCs w:val="16"/>
              </w:rPr>
              <w:t>5,253</w:t>
            </w:r>
          </w:p>
        </w:tc>
        <w:tc>
          <w:tcPr>
            <w:tcW w:w="381" w:type="pct"/>
            <w:tcBorders>
              <w:top w:val="nil"/>
              <w:left w:val="nil"/>
              <w:bottom w:val="nil"/>
              <w:right w:val="nil"/>
            </w:tcBorders>
            <w:shd w:val="clear" w:color="auto" w:fill="auto"/>
            <w:noWrap/>
            <w:hideMark/>
          </w:tcPr>
          <w:p w14:paraId="6B9D3E73" w14:textId="77777777" w:rsidR="00DE10F8" w:rsidRPr="006B42D6" w:rsidRDefault="00DE10F8" w:rsidP="006C676D">
            <w:pPr>
              <w:jc w:val="right"/>
              <w:rPr>
                <w:sz w:val="16"/>
                <w:szCs w:val="16"/>
              </w:rPr>
            </w:pPr>
            <w:r w:rsidRPr="006B42D6">
              <w:rPr>
                <w:sz w:val="16"/>
                <w:szCs w:val="16"/>
              </w:rPr>
              <w:t>1.9</w:t>
            </w:r>
          </w:p>
        </w:tc>
      </w:tr>
      <w:tr w:rsidR="0085694C" w:rsidRPr="006B42D6" w14:paraId="2FCAC28D" w14:textId="77777777" w:rsidTr="0085694C">
        <w:trPr>
          <w:trHeight w:hRule="exact" w:val="255"/>
        </w:trPr>
        <w:tc>
          <w:tcPr>
            <w:tcW w:w="776" w:type="pct"/>
            <w:tcBorders>
              <w:top w:val="nil"/>
              <w:left w:val="nil"/>
              <w:bottom w:val="nil"/>
              <w:right w:val="nil"/>
            </w:tcBorders>
            <w:shd w:val="clear" w:color="auto" w:fill="auto"/>
            <w:noWrap/>
            <w:hideMark/>
          </w:tcPr>
          <w:p w14:paraId="47A49D85" w14:textId="77777777" w:rsidR="00DE10F8" w:rsidRPr="006B42D6" w:rsidRDefault="00DE10F8" w:rsidP="006C676D">
            <w:pPr>
              <w:rPr>
                <w:sz w:val="16"/>
                <w:szCs w:val="16"/>
              </w:rPr>
            </w:pPr>
            <w:r w:rsidRPr="006B42D6">
              <w:rPr>
                <w:sz w:val="16"/>
                <w:szCs w:val="16"/>
              </w:rPr>
              <w:t>Iringa</w:t>
            </w:r>
          </w:p>
        </w:tc>
        <w:tc>
          <w:tcPr>
            <w:tcW w:w="445" w:type="pct"/>
            <w:tcBorders>
              <w:top w:val="nil"/>
              <w:left w:val="single" w:sz="4" w:space="0" w:color="auto"/>
              <w:bottom w:val="nil"/>
              <w:right w:val="nil"/>
            </w:tcBorders>
            <w:shd w:val="clear" w:color="auto" w:fill="auto"/>
            <w:noWrap/>
            <w:hideMark/>
          </w:tcPr>
          <w:p w14:paraId="113BC8B1" w14:textId="77777777" w:rsidR="00DE10F8" w:rsidRPr="006B42D6" w:rsidRDefault="00DE10F8" w:rsidP="006C676D">
            <w:pPr>
              <w:jc w:val="right"/>
              <w:rPr>
                <w:sz w:val="16"/>
                <w:szCs w:val="16"/>
              </w:rPr>
            </w:pPr>
            <w:r w:rsidRPr="006B42D6">
              <w:rPr>
                <w:sz w:val="16"/>
                <w:szCs w:val="16"/>
              </w:rPr>
              <w:t>88,844</w:t>
            </w:r>
          </w:p>
        </w:tc>
        <w:tc>
          <w:tcPr>
            <w:tcW w:w="385" w:type="pct"/>
            <w:tcBorders>
              <w:top w:val="nil"/>
              <w:left w:val="nil"/>
              <w:bottom w:val="nil"/>
              <w:right w:val="nil"/>
            </w:tcBorders>
            <w:shd w:val="clear" w:color="auto" w:fill="auto"/>
            <w:noWrap/>
            <w:hideMark/>
          </w:tcPr>
          <w:p w14:paraId="3D8EEBD1" w14:textId="77777777" w:rsidR="00DE10F8" w:rsidRPr="006B42D6" w:rsidRDefault="00DE10F8" w:rsidP="006C676D">
            <w:pPr>
              <w:jc w:val="right"/>
              <w:rPr>
                <w:sz w:val="16"/>
                <w:szCs w:val="16"/>
              </w:rPr>
            </w:pPr>
            <w:r w:rsidRPr="006B42D6">
              <w:rPr>
                <w:sz w:val="16"/>
                <w:szCs w:val="16"/>
              </w:rPr>
              <w:t>4.4</w:t>
            </w:r>
          </w:p>
        </w:tc>
        <w:tc>
          <w:tcPr>
            <w:tcW w:w="604" w:type="pct"/>
            <w:tcBorders>
              <w:top w:val="nil"/>
              <w:left w:val="single" w:sz="4" w:space="0" w:color="auto"/>
              <w:bottom w:val="nil"/>
              <w:right w:val="nil"/>
            </w:tcBorders>
            <w:shd w:val="clear" w:color="auto" w:fill="auto"/>
            <w:noWrap/>
            <w:hideMark/>
          </w:tcPr>
          <w:p w14:paraId="2EF98FA3" w14:textId="77777777" w:rsidR="00DE10F8" w:rsidRPr="006B42D6" w:rsidRDefault="00DE10F8" w:rsidP="006C676D">
            <w:pPr>
              <w:jc w:val="right"/>
              <w:rPr>
                <w:sz w:val="16"/>
                <w:szCs w:val="16"/>
              </w:rPr>
            </w:pPr>
            <w:r w:rsidRPr="006B42D6">
              <w:rPr>
                <w:sz w:val="16"/>
                <w:szCs w:val="16"/>
              </w:rPr>
              <w:t>58,192</w:t>
            </w:r>
          </w:p>
        </w:tc>
        <w:tc>
          <w:tcPr>
            <w:tcW w:w="386" w:type="pct"/>
            <w:tcBorders>
              <w:top w:val="nil"/>
              <w:left w:val="nil"/>
              <w:bottom w:val="nil"/>
              <w:right w:val="single" w:sz="4" w:space="0" w:color="auto"/>
            </w:tcBorders>
            <w:shd w:val="clear" w:color="auto" w:fill="auto"/>
            <w:noWrap/>
            <w:hideMark/>
          </w:tcPr>
          <w:p w14:paraId="37082A78" w14:textId="77777777" w:rsidR="00DE10F8" w:rsidRPr="006B42D6" w:rsidRDefault="00DE10F8" w:rsidP="006C676D">
            <w:pPr>
              <w:jc w:val="right"/>
              <w:rPr>
                <w:sz w:val="16"/>
                <w:szCs w:val="16"/>
              </w:rPr>
            </w:pPr>
            <w:r w:rsidRPr="006B42D6">
              <w:rPr>
                <w:sz w:val="16"/>
                <w:szCs w:val="16"/>
              </w:rPr>
              <w:t>1.5</w:t>
            </w:r>
          </w:p>
        </w:tc>
        <w:tc>
          <w:tcPr>
            <w:tcW w:w="407" w:type="pct"/>
            <w:tcBorders>
              <w:top w:val="nil"/>
              <w:left w:val="nil"/>
              <w:bottom w:val="nil"/>
              <w:right w:val="nil"/>
            </w:tcBorders>
            <w:shd w:val="clear" w:color="auto" w:fill="auto"/>
            <w:noWrap/>
            <w:hideMark/>
          </w:tcPr>
          <w:p w14:paraId="4F5217A8" w14:textId="77777777" w:rsidR="00DE10F8" w:rsidRPr="006B42D6" w:rsidRDefault="00DE10F8" w:rsidP="006C676D">
            <w:pPr>
              <w:jc w:val="right"/>
              <w:rPr>
                <w:sz w:val="16"/>
                <w:szCs w:val="16"/>
              </w:rPr>
            </w:pPr>
            <w:r w:rsidRPr="006B42D6">
              <w:rPr>
                <w:sz w:val="16"/>
                <w:szCs w:val="16"/>
              </w:rPr>
              <w:t>-</w:t>
            </w:r>
          </w:p>
        </w:tc>
        <w:tc>
          <w:tcPr>
            <w:tcW w:w="388" w:type="pct"/>
            <w:tcBorders>
              <w:top w:val="nil"/>
              <w:left w:val="nil"/>
              <w:bottom w:val="nil"/>
              <w:right w:val="nil"/>
            </w:tcBorders>
            <w:shd w:val="clear" w:color="auto" w:fill="auto"/>
            <w:noWrap/>
            <w:hideMark/>
          </w:tcPr>
          <w:p w14:paraId="1B626E9C" w14:textId="77777777" w:rsidR="00DE10F8" w:rsidRPr="006B42D6" w:rsidRDefault="00DE10F8" w:rsidP="006C676D">
            <w:pPr>
              <w:jc w:val="right"/>
              <w:rPr>
                <w:sz w:val="16"/>
                <w:szCs w:val="16"/>
              </w:rPr>
            </w:pPr>
            <w:r w:rsidRPr="006B42D6">
              <w:rPr>
                <w:sz w:val="16"/>
                <w:szCs w:val="16"/>
              </w:rPr>
              <w:t>-</w:t>
            </w:r>
          </w:p>
        </w:tc>
        <w:tc>
          <w:tcPr>
            <w:tcW w:w="407" w:type="pct"/>
            <w:tcBorders>
              <w:top w:val="nil"/>
              <w:left w:val="single" w:sz="4" w:space="0" w:color="auto"/>
              <w:bottom w:val="nil"/>
              <w:right w:val="nil"/>
            </w:tcBorders>
            <w:shd w:val="clear" w:color="auto" w:fill="auto"/>
            <w:noWrap/>
            <w:hideMark/>
          </w:tcPr>
          <w:p w14:paraId="2A3A23B3" w14:textId="77777777" w:rsidR="00DE10F8" w:rsidRPr="006B42D6" w:rsidRDefault="00DE10F8" w:rsidP="006C676D">
            <w:pPr>
              <w:jc w:val="right"/>
              <w:rPr>
                <w:sz w:val="16"/>
                <w:szCs w:val="16"/>
              </w:rPr>
            </w:pPr>
            <w:r w:rsidRPr="006B42D6">
              <w:rPr>
                <w:sz w:val="16"/>
                <w:szCs w:val="16"/>
              </w:rPr>
              <w:t>5,270</w:t>
            </w:r>
          </w:p>
        </w:tc>
        <w:tc>
          <w:tcPr>
            <w:tcW w:w="388" w:type="pct"/>
            <w:tcBorders>
              <w:top w:val="nil"/>
              <w:left w:val="nil"/>
              <w:bottom w:val="nil"/>
              <w:right w:val="single" w:sz="4" w:space="0" w:color="auto"/>
            </w:tcBorders>
            <w:shd w:val="clear" w:color="auto" w:fill="auto"/>
            <w:noWrap/>
            <w:hideMark/>
          </w:tcPr>
          <w:p w14:paraId="13785961" w14:textId="77777777" w:rsidR="00DE10F8" w:rsidRPr="006B42D6" w:rsidRDefault="00DE10F8" w:rsidP="006C676D">
            <w:pPr>
              <w:jc w:val="right"/>
              <w:rPr>
                <w:sz w:val="16"/>
                <w:szCs w:val="16"/>
              </w:rPr>
            </w:pPr>
            <w:r w:rsidRPr="006B42D6">
              <w:rPr>
                <w:sz w:val="16"/>
                <w:szCs w:val="16"/>
              </w:rPr>
              <w:t>0.8</w:t>
            </w:r>
          </w:p>
        </w:tc>
        <w:tc>
          <w:tcPr>
            <w:tcW w:w="434" w:type="pct"/>
            <w:tcBorders>
              <w:top w:val="nil"/>
              <w:left w:val="nil"/>
              <w:bottom w:val="nil"/>
              <w:right w:val="nil"/>
            </w:tcBorders>
            <w:shd w:val="clear" w:color="auto" w:fill="auto"/>
            <w:noWrap/>
            <w:hideMark/>
          </w:tcPr>
          <w:p w14:paraId="0B099F6E" w14:textId="77777777" w:rsidR="00DE10F8" w:rsidRPr="006B42D6" w:rsidRDefault="00DE10F8" w:rsidP="006C676D">
            <w:pPr>
              <w:jc w:val="right"/>
              <w:rPr>
                <w:sz w:val="16"/>
                <w:szCs w:val="16"/>
              </w:rPr>
            </w:pPr>
            <w:r w:rsidRPr="006B42D6">
              <w:rPr>
                <w:sz w:val="16"/>
                <w:szCs w:val="16"/>
              </w:rPr>
              <w:t>662</w:t>
            </w:r>
          </w:p>
        </w:tc>
        <w:tc>
          <w:tcPr>
            <w:tcW w:w="381" w:type="pct"/>
            <w:tcBorders>
              <w:top w:val="nil"/>
              <w:left w:val="nil"/>
              <w:bottom w:val="nil"/>
              <w:right w:val="nil"/>
            </w:tcBorders>
            <w:shd w:val="clear" w:color="auto" w:fill="auto"/>
            <w:noWrap/>
            <w:hideMark/>
          </w:tcPr>
          <w:p w14:paraId="0B35F37D" w14:textId="77777777" w:rsidR="00DE10F8" w:rsidRPr="006B42D6" w:rsidRDefault="00DE10F8" w:rsidP="006C676D">
            <w:pPr>
              <w:jc w:val="right"/>
              <w:rPr>
                <w:sz w:val="16"/>
                <w:szCs w:val="16"/>
              </w:rPr>
            </w:pPr>
            <w:r w:rsidRPr="006B42D6">
              <w:rPr>
                <w:sz w:val="16"/>
                <w:szCs w:val="16"/>
              </w:rPr>
              <w:t>0.2</w:t>
            </w:r>
          </w:p>
        </w:tc>
      </w:tr>
      <w:tr w:rsidR="0085694C" w:rsidRPr="006B42D6" w14:paraId="4197F8B4" w14:textId="77777777" w:rsidTr="0085694C">
        <w:trPr>
          <w:trHeight w:hRule="exact" w:val="255"/>
        </w:trPr>
        <w:tc>
          <w:tcPr>
            <w:tcW w:w="776" w:type="pct"/>
            <w:tcBorders>
              <w:top w:val="nil"/>
              <w:left w:val="nil"/>
              <w:bottom w:val="nil"/>
              <w:right w:val="nil"/>
            </w:tcBorders>
            <w:shd w:val="clear" w:color="auto" w:fill="auto"/>
            <w:noWrap/>
            <w:hideMark/>
          </w:tcPr>
          <w:p w14:paraId="10966149" w14:textId="77777777" w:rsidR="00DE10F8" w:rsidRPr="006B42D6" w:rsidRDefault="00DE10F8" w:rsidP="006C676D">
            <w:pPr>
              <w:rPr>
                <w:sz w:val="16"/>
                <w:szCs w:val="16"/>
              </w:rPr>
            </w:pPr>
            <w:r w:rsidRPr="006B42D6">
              <w:rPr>
                <w:sz w:val="16"/>
                <w:szCs w:val="16"/>
              </w:rPr>
              <w:t>Mbeya</w:t>
            </w:r>
          </w:p>
        </w:tc>
        <w:tc>
          <w:tcPr>
            <w:tcW w:w="445" w:type="pct"/>
            <w:tcBorders>
              <w:top w:val="nil"/>
              <w:left w:val="single" w:sz="4" w:space="0" w:color="auto"/>
              <w:bottom w:val="nil"/>
              <w:right w:val="nil"/>
            </w:tcBorders>
            <w:shd w:val="clear" w:color="auto" w:fill="auto"/>
            <w:noWrap/>
            <w:hideMark/>
          </w:tcPr>
          <w:p w14:paraId="741EDAA0" w14:textId="77777777" w:rsidR="00DE10F8" w:rsidRPr="006B42D6" w:rsidRDefault="00DE10F8" w:rsidP="006C676D">
            <w:pPr>
              <w:jc w:val="right"/>
              <w:rPr>
                <w:sz w:val="16"/>
                <w:szCs w:val="16"/>
              </w:rPr>
            </w:pPr>
            <w:r w:rsidRPr="006B42D6">
              <w:rPr>
                <w:sz w:val="16"/>
                <w:szCs w:val="16"/>
              </w:rPr>
              <w:t>60,869</w:t>
            </w:r>
          </w:p>
        </w:tc>
        <w:tc>
          <w:tcPr>
            <w:tcW w:w="385" w:type="pct"/>
            <w:tcBorders>
              <w:top w:val="nil"/>
              <w:left w:val="nil"/>
              <w:bottom w:val="nil"/>
              <w:right w:val="nil"/>
            </w:tcBorders>
            <w:shd w:val="clear" w:color="auto" w:fill="auto"/>
            <w:noWrap/>
            <w:hideMark/>
          </w:tcPr>
          <w:p w14:paraId="5EB6134D" w14:textId="77777777" w:rsidR="00DE10F8" w:rsidRPr="006B42D6" w:rsidRDefault="00DE10F8" w:rsidP="006C676D">
            <w:pPr>
              <w:jc w:val="right"/>
              <w:rPr>
                <w:sz w:val="16"/>
                <w:szCs w:val="16"/>
              </w:rPr>
            </w:pPr>
            <w:r w:rsidRPr="006B42D6">
              <w:rPr>
                <w:sz w:val="16"/>
                <w:szCs w:val="16"/>
              </w:rPr>
              <w:t>3.0</w:t>
            </w:r>
          </w:p>
        </w:tc>
        <w:tc>
          <w:tcPr>
            <w:tcW w:w="604" w:type="pct"/>
            <w:tcBorders>
              <w:top w:val="nil"/>
              <w:left w:val="single" w:sz="4" w:space="0" w:color="auto"/>
              <w:bottom w:val="nil"/>
              <w:right w:val="nil"/>
            </w:tcBorders>
            <w:shd w:val="clear" w:color="auto" w:fill="auto"/>
            <w:noWrap/>
            <w:hideMark/>
          </w:tcPr>
          <w:p w14:paraId="0A0F4F76" w14:textId="77777777" w:rsidR="00DE10F8" w:rsidRPr="006B42D6" w:rsidRDefault="00DE10F8" w:rsidP="006C676D">
            <w:pPr>
              <w:jc w:val="right"/>
              <w:rPr>
                <w:sz w:val="16"/>
                <w:szCs w:val="16"/>
              </w:rPr>
            </w:pPr>
            <w:r w:rsidRPr="006B42D6">
              <w:rPr>
                <w:sz w:val="16"/>
                <w:szCs w:val="16"/>
              </w:rPr>
              <w:t>77,731</w:t>
            </w:r>
          </w:p>
        </w:tc>
        <w:tc>
          <w:tcPr>
            <w:tcW w:w="386" w:type="pct"/>
            <w:tcBorders>
              <w:top w:val="nil"/>
              <w:left w:val="nil"/>
              <w:bottom w:val="nil"/>
              <w:right w:val="single" w:sz="4" w:space="0" w:color="auto"/>
            </w:tcBorders>
            <w:shd w:val="clear" w:color="auto" w:fill="auto"/>
            <w:noWrap/>
            <w:hideMark/>
          </w:tcPr>
          <w:p w14:paraId="08681738" w14:textId="77777777" w:rsidR="00DE10F8" w:rsidRPr="006B42D6" w:rsidRDefault="00DE10F8" w:rsidP="006C676D">
            <w:pPr>
              <w:jc w:val="right"/>
              <w:rPr>
                <w:sz w:val="16"/>
                <w:szCs w:val="16"/>
              </w:rPr>
            </w:pPr>
            <w:r w:rsidRPr="006B42D6">
              <w:rPr>
                <w:sz w:val="16"/>
                <w:szCs w:val="16"/>
              </w:rPr>
              <w:t>2.0</w:t>
            </w:r>
          </w:p>
        </w:tc>
        <w:tc>
          <w:tcPr>
            <w:tcW w:w="407" w:type="pct"/>
            <w:tcBorders>
              <w:top w:val="nil"/>
              <w:left w:val="nil"/>
              <w:bottom w:val="nil"/>
              <w:right w:val="nil"/>
            </w:tcBorders>
            <w:shd w:val="clear" w:color="auto" w:fill="auto"/>
            <w:noWrap/>
            <w:hideMark/>
          </w:tcPr>
          <w:p w14:paraId="1C4F7F69" w14:textId="77777777" w:rsidR="00DE10F8" w:rsidRPr="006B42D6" w:rsidRDefault="00DE10F8" w:rsidP="006C676D">
            <w:pPr>
              <w:jc w:val="right"/>
              <w:rPr>
                <w:sz w:val="16"/>
                <w:szCs w:val="16"/>
              </w:rPr>
            </w:pPr>
            <w:r w:rsidRPr="006B42D6">
              <w:rPr>
                <w:sz w:val="16"/>
                <w:szCs w:val="16"/>
              </w:rPr>
              <w:t>6,040</w:t>
            </w:r>
          </w:p>
        </w:tc>
        <w:tc>
          <w:tcPr>
            <w:tcW w:w="388" w:type="pct"/>
            <w:tcBorders>
              <w:top w:val="nil"/>
              <w:left w:val="nil"/>
              <w:bottom w:val="nil"/>
              <w:right w:val="nil"/>
            </w:tcBorders>
            <w:shd w:val="clear" w:color="auto" w:fill="auto"/>
            <w:noWrap/>
            <w:hideMark/>
          </w:tcPr>
          <w:p w14:paraId="30D79E3C" w14:textId="77777777" w:rsidR="00DE10F8" w:rsidRPr="006B42D6" w:rsidRDefault="00DE10F8" w:rsidP="006C676D">
            <w:pPr>
              <w:jc w:val="right"/>
              <w:rPr>
                <w:sz w:val="16"/>
                <w:szCs w:val="16"/>
              </w:rPr>
            </w:pPr>
            <w:r w:rsidRPr="006B42D6">
              <w:rPr>
                <w:sz w:val="16"/>
                <w:szCs w:val="16"/>
              </w:rPr>
              <w:t>2.0</w:t>
            </w:r>
          </w:p>
        </w:tc>
        <w:tc>
          <w:tcPr>
            <w:tcW w:w="407" w:type="pct"/>
            <w:tcBorders>
              <w:top w:val="nil"/>
              <w:left w:val="single" w:sz="4" w:space="0" w:color="auto"/>
              <w:bottom w:val="nil"/>
              <w:right w:val="nil"/>
            </w:tcBorders>
            <w:shd w:val="clear" w:color="auto" w:fill="auto"/>
            <w:noWrap/>
            <w:hideMark/>
          </w:tcPr>
          <w:p w14:paraId="5ADE3B63" w14:textId="77777777" w:rsidR="00DE10F8" w:rsidRPr="006B42D6" w:rsidRDefault="00DE10F8" w:rsidP="006C676D">
            <w:pPr>
              <w:jc w:val="right"/>
              <w:rPr>
                <w:sz w:val="16"/>
                <w:szCs w:val="16"/>
              </w:rPr>
            </w:pPr>
            <w:r w:rsidRPr="006B42D6">
              <w:rPr>
                <w:sz w:val="16"/>
                <w:szCs w:val="16"/>
              </w:rPr>
              <w:t>22,967</w:t>
            </w:r>
          </w:p>
        </w:tc>
        <w:tc>
          <w:tcPr>
            <w:tcW w:w="388" w:type="pct"/>
            <w:tcBorders>
              <w:top w:val="nil"/>
              <w:left w:val="nil"/>
              <w:bottom w:val="nil"/>
              <w:right w:val="single" w:sz="4" w:space="0" w:color="auto"/>
            </w:tcBorders>
            <w:shd w:val="clear" w:color="auto" w:fill="auto"/>
            <w:noWrap/>
            <w:hideMark/>
          </w:tcPr>
          <w:p w14:paraId="1A992BC5" w14:textId="77777777" w:rsidR="00DE10F8" w:rsidRPr="006B42D6" w:rsidRDefault="00DE10F8" w:rsidP="006C676D">
            <w:pPr>
              <w:jc w:val="right"/>
              <w:rPr>
                <w:sz w:val="16"/>
                <w:szCs w:val="16"/>
              </w:rPr>
            </w:pPr>
            <w:r w:rsidRPr="006B42D6">
              <w:rPr>
                <w:sz w:val="16"/>
                <w:szCs w:val="16"/>
              </w:rPr>
              <w:t>3.3</w:t>
            </w:r>
          </w:p>
        </w:tc>
        <w:tc>
          <w:tcPr>
            <w:tcW w:w="434" w:type="pct"/>
            <w:tcBorders>
              <w:top w:val="nil"/>
              <w:left w:val="nil"/>
              <w:bottom w:val="nil"/>
              <w:right w:val="nil"/>
            </w:tcBorders>
            <w:shd w:val="clear" w:color="auto" w:fill="auto"/>
            <w:noWrap/>
            <w:hideMark/>
          </w:tcPr>
          <w:p w14:paraId="0130E023" w14:textId="77777777" w:rsidR="00DE10F8" w:rsidRPr="006B42D6" w:rsidRDefault="00DE10F8" w:rsidP="006C676D">
            <w:pPr>
              <w:jc w:val="right"/>
              <w:rPr>
                <w:sz w:val="16"/>
                <w:szCs w:val="16"/>
              </w:rPr>
            </w:pPr>
            <w:r w:rsidRPr="006B42D6">
              <w:rPr>
                <w:sz w:val="16"/>
                <w:szCs w:val="16"/>
              </w:rPr>
              <w:t>6,040</w:t>
            </w:r>
          </w:p>
        </w:tc>
        <w:tc>
          <w:tcPr>
            <w:tcW w:w="381" w:type="pct"/>
            <w:tcBorders>
              <w:top w:val="nil"/>
              <w:left w:val="nil"/>
              <w:bottom w:val="nil"/>
              <w:right w:val="nil"/>
            </w:tcBorders>
            <w:shd w:val="clear" w:color="auto" w:fill="auto"/>
            <w:noWrap/>
            <w:hideMark/>
          </w:tcPr>
          <w:p w14:paraId="4B1361B3" w14:textId="77777777" w:rsidR="00DE10F8" w:rsidRPr="006B42D6" w:rsidRDefault="00DE10F8" w:rsidP="006C676D">
            <w:pPr>
              <w:jc w:val="right"/>
              <w:rPr>
                <w:sz w:val="16"/>
                <w:szCs w:val="16"/>
              </w:rPr>
            </w:pPr>
            <w:r w:rsidRPr="006B42D6">
              <w:rPr>
                <w:sz w:val="16"/>
                <w:szCs w:val="16"/>
              </w:rPr>
              <w:t>2.1</w:t>
            </w:r>
          </w:p>
        </w:tc>
      </w:tr>
      <w:tr w:rsidR="0085694C" w:rsidRPr="006B42D6" w14:paraId="692D25C9" w14:textId="77777777" w:rsidTr="0085694C">
        <w:trPr>
          <w:trHeight w:hRule="exact" w:val="255"/>
        </w:trPr>
        <w:tc>
          <w:tcPr>
            <w:tcW w:w="776" w:type="pct"/>
            <w:tcBorders>
              <w:top w:val="nil"/>
              <w:left w:val="nil"/>
              <w:bottom w:val="nil"/>
              <w:right w:val="nil"/>
            </w:tcBorders>
            <w:shd w:val="clear" w:color="auto" w:fill="auto"/>
            <w:noWrap/>
            <w:hideMark/>
          </w:tcPr>
          <w:p w14:paraId="7E2CED2D" w14:textId="77777777" w:rsidR="00DE10F8" w:rsidRPr="006B42D6" w:rsidRDefault="00DE10F8" w:rsidP="006C676D">
            <w:pPr>
              <w:rPr>
                <w:sz w:val="16"/>
                <w:szCs w:val="16"/>
              </w:rPr>
            </w:pPr>
            <w:r w:rsidRPr="006B42D6">
              <w:rPr>
                <w:sz w:val="16"/>
                <w:szCs w:val="16"/>
              </w:rPr>
              <w:t>Singida</w:t>
            </w:r>
          </w:p>
        </w:tc>
        <w:tc>
          <w:tcPr>
            <w:tcW w:w="445" w:type="pct"/>
            <w:tcBorders>
              <w:top w:val="nil"/>
              <w:left w:val="single" w:sz="4" w:space="0" w:color="auto"/>
              <w:bottom w:val="nil"/>
              <w:right w:val="nil"/>
            </w:tcBorders>
            <w:shd w:val="clear" w:color="auto" w:fill="auto"/>
            <w:noWrap/>
            <w:hideMark/>
          </w:tcPr>
          <w:p w14:paraId="1C93C4BF" w14:textId="77777777" w:rsidR="00DE10F8" w:rsidRPr="006B42D6" w:rsidRDefault="00DE10F8" w:rsidP="006C676D">
            <w:pPr>
              <w:jc w:val="right"/>
              <w:rPr>
                <w:sz w:val="16"/>
                <w:szCs w:val="16"/>
              </w:rPr>
            </w:pPr>
            <w:r w:rsidRPr="006B42D6">
              <w:rPr>
                <w:sz w:val="16"/>
                <w:szCs w:val="16"/>
              </w:rPr>
              <w:t>143,828</w:t>
            </w:r>
          </w:p>
        </w:tc>
        <w:tc>
          <w:tcPr>
            <w:tcW w:w="385" w:type="pct"/>
            <w:tcBorders>
              <w:top w:val="nil"/>
              <w:left w:val="nil"/>
              <w:bottom w:val="nil"/>
              <w:right w:val="nil"/>
            </w:tcBorders>
            <w:shd w:val="clear" w:color="auto" w:fill="auto"/>
            <w:noWrap/>
            <w:hideMark/>
          </w:tcPr>
          <w:p w14:paraId="6BEF8E5A" w14:textId="77777777" w:rsidR="00DE10F8" w:rsidRPr="006B42D6" w:rsidRDefault="00DE10F8" w:rsidP="006C676D">
            <w:pPr>
              <w:jc w:val="right"/>
              <w:rPr>
                <w:sz w:val="16"/>
                <w:szCs w:val="16"/>
              </w:rPr>
            </w:pPr>
            <w:r w:rsidRPr="006B42D6">
              <w:rPr>
                <w:sz w:val="16"/>
                <w:szCs w:val="16"/>
              </w:rPr>
              <w:t>7.2</w:t>
            </w:r>
          </w:p>
        </w:tc>
        <w:tc>
          <w:tcPr>
            <w:tcW w:w="604" w:type="pct"/>
            <w:tcBorders>
              <w:top w:val="nil"/>
              <w:left w:val="single" w:sz="4" w:space="0" w:color="auto"/>
              <w:bottom w:val="nil"/>
              <w:right w:val="nil"/>
            </w:tcBorders>
            <w:shd w:val="clear" w:color="auto" w:fill="auto"/>
            <w:noWrap/>
            <w:hideMark/>
          </w:tcPr>
          <w:p w14:paraId="60351106" w14:textId="77777777" w:rsidR="00DE10F8" w:rsidRPr="006B42D6" w:rsidRDefault="00DE10F8" w:rsidP="006C676D">
            <w:pPr>
              <w:jc w:val="right"/>
              <w:rPr>
                <w:sz w:val="16"/>
                <w:szCs w:val="16"/>
              </w:rPr>
            </w:pPr>
            <w:r w:rsidRPr="006B42D6">
              <w:rPr>
                <w:sz w:val="16"/>
                <w:szCs w:val="16"/>
              </w:rPr>
              <w:t>60,422</w:t>
            </w:r>
          </w:p>
        </w:tc>
        <w:tc>
          <w:tcPr>
            <w:tcW w:w="386" w:type="pct"/>
            <w:tcBorders>
              <w:top w:val="nil"/>
              <w:left w:val="nil"/>
              <w:bottom w:val="nil"/>
              <w:right w:val="single" w:sz="4" w:space="0" w:color="auto"/>
            </w:tcBorders>
            <w:shd w:val="clear" w:color="auto" w:fill="auto"/>
            <w:noWrap/>
            <w:hideMark/>
          </w:tcPr>
          <w:p w14:paraId="6EDAF69B" w14:textId="77777777" w:rsidR="00DE10F8" w:rsidRPr="006B42D6" w:rsidRDefault="00DE10F8" w:rsidP="006C676D">
            <w:pPr>
              <w:jc w:val="right"/>
              <w:rPr>
                <w:sz w:val="16"/>
                <w:szCs w:val="16"/>
              </w:rPr>
            </w:pPr>
            <w:r w:rsidRPr="006B42D6">
              <w:rPr>
                <w:sz w:val="16"/>
                <w:szCs w:val="16"/>
              </w:rPr>
              <w:t>1.6</w:t>
            </w:r>
          </w:p>
        </w:tc>
        <w:tc>
          <w:tcPr>
            <w:tcW w:w="407" w:type="pct"/>
            <w:tcBorders>
              <w:top w:val="nil"/>
              <w:left w:val="nil"/>
              <w:bottom w:val="nil"/>
              <w:right w:val="nil"/>
            </w:tcBorders>
            <w:shd w:val="clear" w:color="auto" w:fill="auto"/>
            <w:noWrap/>
            <w:hideMark/>
          </w:tcPr>
          <w:p w14:paraId="613399EF" w14:textId="77777777" w:rsidR="00DE10F8" w:rsidRPr="006B42D6" w:rsidRDefault="00DE10F8" w:rsidP="006C676D">
            <w:pPr>
              <w:jc w:val="right"/>
              <w:rPr>
                <w:sz w:val="16"/>
                <w:szCs w:val="16"/>
              </w:rPr>
            </w:pPr>
            <w:r w:rsidRPr="006B42D6">
              <w:rPr>
                <w:sz w:val="16"/>
                <w:szCs w:val="16"/>
              </w:rPr>
              <w:t>8,649</w:t>
            </w:r>
          </w:p>
        </w:tc>
        <w:tc>
          <w:tcPr>
            <w:tcW w:w="388" w:type="pct"/>
            <w:tcBorders>
              <w:top w:val="nil"/>
              <w:left w:val="nil"/>
              <w:bottom w:val="nil"/>
              <w:right w:val="nil"/>
            </w:tcBorders>
            <w:shd w:val="clear" w:color="auto" w:fill="auto"/>
            <w:noWrap/>
            <w:hideMark/>
          </w:tcPr>
          <w:p w14:paraId="13A548F5" w14:textId="77777777" w:rsidR="00DE10F8" w:rsidRPr="006B42D6" w:rsidRDefault="00DE10F8" w:rsidP="006C676D">
            <w:pPr>
              <w:jc w:val="right"/>
              <w:rPr>
                <w:sz w:val="16"/>
                <w:szCs w:val="16"/>
              </w:rPr>
            </w:pPr>
            <w:r w:rsidRPr="006B42D6">
              <w:rPr>
                <w:sz w:val="16"/>
                <w:szCs w:val="16"/>
              </w:rPr>
              <w:t>2.9</w:t>
            </w:r>
          </w:p>
        </w:tc>
        <w:tc>
          <w:tcPr>
            <w:tcW w:w="407" w:type="pct"/>
            <w:tcBorders>
              <w:top w:val="nil"/>
              <w:left w:val="single" w:sz="4" w:space="0" w:color="auto"/>
              <w:bottom w:val="nil"/>
              <w:right w:val="nil"/>
            </w:tcBorders>
            <w:shd w:val="clear" w:color="auto" w:fill="auto"/>
            <w:noWrap/>
            <w:hideMark/>
          </w:tcPr>
          <w:p w14:paraId="46EC9E65" w14:textId="77777777" w:rsidR="00DE10F8" w:rsidRPr="006B42D6" w:rsidRDefault="00DE10F8" w:rsidP="006C676D">
            <w:pPr>
              <w:jc w:val="right"/>
              <w:rPr>
                <w:sz w:val="16"/>
                <w:szCs w:val="16"/>
              </w:rPr>
            </w:pPr>
            <w:r w:rsidRPr="006B42D6">
              <w:rPr>
                <w:sz w:val="16"/>
                <w:szCs w:val="16"/>
              </w:rPr>
              <w:t>16,597</w:t>
            </w:r>
          </w:p>
        </w:tc>
        <w:tc>
          <w:tcPr>
            <w:tcW w:w="388" w:type="pct"/>
            <w:tcBorders>
              <w:top w:val="nil"/>
              <w:left w:val="nil"/>
              <w:bottom w:val="nil"/>
              <w:right w:val="single" w:sz="4" w:space="0" w:color="auto"/>
            </w:tcBorders>
            <w:shd w:val="clear" w:color="auto" w:fill="auto"/>
            <w:noWrap/>
            <w:hideMark/>
          </w:tcPr>
          <w:p w14:paraId="7E8555CA" w14:textId="77777777" w:rsidR="00DE10F8" w:rsidRPr="006B42D6" w:rsidRDefault="00DE10F8" w:rsidP="006C676D">
            <w:pPr>
              <w:jc w:val="right"/>
              <w:rPr>
                <w:sz w:val="16"/>
                <w:szCs w:val="16"/>
              </w:rPr>
            </w:pPr>
            <w:r w:rsidRPr="006B42D6">
              <w:rPr>
                <w:sz w:val="16"/>
                <w:szCs w:val="16"/>
              </w:rPr>
              <w:t>2.4</w:t>
            </w:r>
          </w:p>
        </w:tc>
        <w:tc>
          <w:tcPr>
            <w:tcW w:w="434" w:type="pct"/>
            <w:tcBorders>
              <w:top w:val="nil"/>
              <w:left w:val="nil"/>
              <w:bottom w:val="nil"/>
              <w:right w:val="nil"/>
            </w:tcBorders>
            <w:shd w:val="clear" w:color="auto" w:fill="auto"/>
            <w:noWrap/>
            <w:hideMark/>
          </w:tcPr>
          <w:p w14:paraId="5C392310" w14:textId="77777777" w:rsidR="00DE10F8" w:rsidRPr="006B42D6" w:rsidRDefault="00DE10F8" w:rsidP="006C676D">
            <w:pPr>
              <w:jc w:val="right"/>
              <w:rPr>
                <w:sz w:val="16"/>
                <w:szCs w:val="16"/>
              </w:rPr>
            </w:pPr>
            <w:r w:rsidRPr="006B42D6">
              <w:rPr>
                <w:sz w:val="16"/>
                <w:szCs w:val="16"/>
              </w:rPr>
              <w:t>-</w:t>
            </w:r>
          </w:p>
        </w:tc>
        <w:tc>
          <w:tcPr>
            <w:tcW w:w="381" w:type="pct"/>
            <w:tcBorders>
              <w:top w:val="nil"/>
              <w:left w:val="nil"/>
              <w:bottom w:val="nil"/>
              <w:right w:val="nil"/>
            </w:tcBorders>
            <w:shd w:val="clear" w:color="auto" w:fill="auto"/>
            <w:noWrap/>
            <w:hideMark/>
          </w:tcPr>
          <w:p w14:paraId="1703003F" w14:textId="77777777" w:rsidR="00DE10F8" w:rsidRPr="006B42D6" w:rsidRDefault="00DE10F8" w:rsidP="006C676D">
            <w:pPr>
              <w:jc w:val="right"/>
              <w:rPr>
                <w:sz w:val="16"/>
                <w:szCs w:val="16"/>
              </w:rPr>
            </w:pPr>
            <w:r w:rsidRPr="006B42D6">
              <w:rPr>
                <w:sz w:val="16"/>
                <w:szCs w:val="16"/>
              </w:rPr>
              <w:t>-</w:t>
            </w:r>
          </w:p>
        </w:tc>
      </w:tr>
      <w:tr w:rsidR="0085694C" w:rsidRPr="006B42D6" w14:paraId="4881F4DB" w14:textId="77777777" w:rsidTr="0085694C">
        <w:trPr>
          <w:trHeight w:hRule="exact" w:val="255"/>
        </w:trPr>
        <w:tc>
          <w:tcPr>
            <w:tcW w:w="776" w:type="pct"/>
            <w:tcBorders>
              <w:top w:val="nil"/>
              <w:left w:val="nil"/>
              <w:bottom w:val="nil"/>
              <w:right w:val="nil"/>
            </w:tcBorders>
            <w:shd w:val="clear" w:color="auto" w:fill="auto"/>
            <w:noWrap/>
            <w:hideMark/>
          </w:tcPr>
          <w:p w14:paraId="040F7301" w14:textId="77777777" w:rsidR="00DE10F8" w:rsidRPr="006B42D6" w:rsidRDefault="00DE10F8" w:rsidP="006C676D">
            <w:pPr>
              <w:rPr>
                <w:sz w:val="16"/>
                <w:szCs w:val="16"/>
              </w:rPr>
            </w:pPr>
            <w:r w:rsidRPr="006B42D6">
              <w:rPr>
                <w:sz w:val="16"/>
                <w:szCs w:val="16"/>
              </w:rPr>
              <w:t>Tabora</w:t>
            </w:r>
          </w:p>
        </w:tc>
        <w:tc>
          <w:tcPr>
            <w:tcW w:w="445" w:type="pct"/>
            <w:tcBorders>
              <w:top w:val="nil"/>
              <w:left w:val="single" w:sz="4" w:space="0" w:color="auto"/>
              <w:bottom w:val="nil"/>
              <w:right w:val="nil"/>
            </w:tcBorders>
            <w:shd w:val="clear" w:color="auto" w:fill="auto"/>
            <w:noWrap/>
            <w:hideMark/>
          </w:tcPr>
          <w:p w14:paraId="5FBB9ED0" w14:textId="77777777" w:rsidR="00DE10F8" w:rsidRPr="006B42D6" w:rsidRDefault="00DE10F8" w:rsidP="006C676D">
            <w:pPr>
              <w:jc w:val="right"/>
              <w:rPr>
                <w:sz w:val="16"/>
                <w:szCs w:val="16"/>
              </w:rPr>
            </w:pPr>
            <w:r w:rsidRPr="006B42D6">
              <w:rPr>
                <w:sz w:val="16"/>
                <w:szCs w:val="16"/>
              </w:rPr>
              <w:t>47,909</w:t>
            </w:r>
          </w:p>
        </w:tc>
        <w:tc>
          <w:tcPr>
            <w:tcW w:w="385" w:type="pct"/>
            <w:tcBorders>
              <w:top w:val="nil"/>
              <w:left w:val="nil"/>
              <w:bottom w:val="nil"/>
              <w:right w:val="nil"/>
            </w:tcBorders>
            <w:shd w:val="clear" w:color="auto" w:fill="auto"/>
            <w:noWrap/>
            <w:hideMark/>
          </w:tcPr>
          <w:p w14:paraId="3BC88D45" w14:textId="77777777" w:rsidR="00DE10F8" w:rsidRPr="006B42D6" w:rsidRDefault="00DE10F8" w:rsidP="006C676D">
            <w:pPr>
              <w:jc w:val="right"/>
              <w:rPr>
                <w:sz w:val="16"/>
                <w:szCs w:val="16"/>
              </w:rPr>
            </w:pPr>
            <w:r w:rsidRPr="006B42D6">
              <w:rPr>
                <w:sz w:val="16"/>
                <w:szCs w:val="16"/>
              </w:rPr>
              <w:t>2.4</w:t>
            </w:r>
          </w:p>
        </w:tc>
        <w:tc>
          <w:tcPr>
            <w:tcW w:w="604" w:type="pct"/>
            <w:tcBorders>
              <w:top w:val="nil"/>
              <w:left w:val="single" w:sz="4" w:space="0" w:color="auto"/>
              <w:bottom w:val="nil"/>
              <w:right w:val="nil"/>
            </w:tcBorders>
            <w:shd w:val="clear" w:color="auto" w:fill="auto"/>
            <w:noWrap/>
            <w:hideMark/>
          </w:tcPr>
          <w:p w14:paraId="17E065A3" w14:textId="77777777" w:rsidR="00DE10F8" w:rsidRPr="006B42D6" w:rsidRDefault="00DE10F8" w:rsidP="006C676D">
            <w:pPr>
              <w:jc w:val="right"/>
              <w:rPr>
                <w:sz w:val="16"/>
                <w:szCs w:val="16"/>
              </w:rPr>
            </w:pPr>
            <w:r w:rsidRPr="006B42D6">
              <w:rPr>
                <w:sz w:val="16"/>
                <w:szCs w:val="16"/>
              </w:rPr>
              <w:t>52,951</w:t>
            </w:r>
          </w:p>
        </w:tc>
        <w:tc>
          <w:tcPr>
            <w:tcW w:w="386" w:type="pct"/>
            <w:tcBorders>
              <w:top w:val="nil"/>
              <w:left w:val="nil"/>
              <w:bottom w:val="nil"/>
              <w:right w:val="single" w:sz="4" w:space="0" w:color="auto"/>
            </w:tcBorders>
            <w:shd w:val="clear" w:color="auto" w:fill="auto"/>
            <w:noWrap/>
            <w:hideMark/>
          </w:tcPr>
          <w:p w14:paraId="16A7E254" w14:textId="77777777" w:rsidR="00DE10F8" w:rsidRPr="006B42D6" w:rsidRDefault="00DE10F8" w:rsidP="006C676D">
            <w:pPr>
              <w:jc w:val="right"/>
              <w:rPr>
                <w:sz w:val="16"/>
                <w:szCs w:val="16"/>
              </w:rPr>
            </w:pPr>
            <w:r w:rsidRPr="006B42D6">
              <w:rPr>
                <w:sz w:val="16"/>
                <w:szCs w:val="16"/>
              </w:rPr>
              <w:t>1.4</w:t>
            </w:r>
          </w:p>
        </w:tc>
        <w:tc>
          <w:tcPr>
            <w:tcW w:w="407" w:type="pct"/>
            <w:tcBorders>
              <w:top w:val="nil"/>
              <w:left w:val="nil"/>
              <w:bottom w:val="nil"/>
              <w:right w:val="nil"/>
            </w:tcBorders>
            <w:shd w:val="clear" w:color="auto" w:fill="auto"/>
            <w:noWrap/>
            <w:hideMark/>
          </w:tcPr>
          <w:p w14:paraId="41A26843" w14:textId="77777777" w:rsidR="00DE10F8" w:rsidRPr="006B42D6" w:rsidRDefault="00DE10F8" w:rsidP="006C676D">
            <w:pPr>
              <w:jc w:val="right"/>
              <w:rPr>
                <w:sz w:val="16"/>
                <w:szCs w:val="16"/>
              </w:rPr>
            </w:pPr>
            <w:r w:rsidRPr="006B42D6">
              <w:rPr>
                <w:sz w:val="16"/>
                <w:szCs w:val="16"/>
              </w:rPr>
              <w:t>13,781</w:t>
            </w:r>
          </w:p>
        </w:tc>
        <w:tc>
          <w:tcPr>
            <w:tcW w:w="388" w:type="pct"/>
            <w:tcBorders>
              <w:top w:val="nil"/>
              <w:left w:val="nil"/>
              <w:bottom w:val="nil"/>
              <w:right w:val="nil"/>
            </w:tcBorders>
            <w:shd w:val="clear" w:color="auto" w:fill="auto"/>
            <w:noWrap/>
            <w:hideMark/>
          </w:tcPr>
          <w:p w14:paraId="0E86B194" w14:textId="77777777" w:rsidR="00DE10F8" w:rsidRPr="006B42D6" w:rsidRDefault="00DE10F8" w:rsidP="006C676D">
            <w:pPr>
              <w:jc w:val="right"/>
              <w:rPr>
                <w:sz w:val="16"/>
                <w:szCs w:val="16"/>
              </w:rPr>
            </w:pPr>
            <w:r w:rsidRPr="006B42D6">
              <w:rPr>
                <w:sz w:val="16"/>
                <w:szCs w:val="16"/>
              </w:rPr>
              <w:t>4.6</w:t>
            </w:r>
          </w:p>
        </w:tc>
        <w:tc>
          <w:tcPr>
            <w:tcW w:w="407" w:type="pct"/>
            <w:tcBorders>
              <w:top w:val="nil"/>
              <w:left w:val="single" w:sz="4" w:space="0" w:color="auto"/>
              <w:bottom w:val="nil"/>
              <w:right w:val="nil"/>
            </w:tcBorders>
            <w:shd w:val="clear" w:color="auto" w:fill="auto"/>
            <w:noWrap/>
            <w:hideMark/>
          </w:tcPr>
          <w:p w14:paraId="60572912" w14:textId="77777777" w:rsidR="00DE10F8" w:rsidRPr="006B42D6" w:rsidRDefault="00DE10F8" w:rsidP="006C676D">
            <w:pPr>
              <w:jc w:val="right"/>
              <w:rPr>
                <w:sz w:val="16"/>
                <w:szCs w:val="16"/>
              </w:rPr>
            </w:pPr>
            <w:r w:rsidRPr="006B42D6">
              <w:rPr>
                <w:sz w:val="16"/>
                <w:szCs w:val="16"/>
              </w:rPr>
              <w:t>31,488</w:t>
            </w:r>
          </w:p>
        </w:tc>
        <w:tc>
          <w:tcPr>
            <w:tcW w:w="388" w:type="pct"/>
            <w:tcBorders>
              <w:top w:val="nil"/>
              <w:left w:val="nil"/>
              <w:bottom w:val="nil"/>
              <w:right w:val="single" w:sz="4" w:space="0" w:color="auto"/>
            </w:tcBorders>
            <w:shd w:val="clear" w:color="auto" w:fill="auto"/>
            <w:noWrap/>
            <w:hideMark/>
          </w:tcPr>
          <w:p w14:paraId="0ACF7B1F" w14:textId="77777777" w:rsidR="00DE10F8" w:rsidRPr="006B42D6" w:rsidRDefault="00DE10F8" w:rsidP="006C676D">
            <w:pPr>
              <w:jc w:val="right"/>
              <w:rPr>
                <w:sz w:val="16"/>
                <w:szCs w:val="16"/>
              </w:rPr>
            </w:pPr>
            <w:r w:rsidRPr="006B42D6">
              <w:rPr>
                <w:sz w:val="16"/>
                <w:szCs w:val="16"/>
              </w:rPr>
              <w:t>4.5</w:t>
            </w:r>
          </w:p>
        </w:tc>
        <w:tc>
          <w:tcPr>
            <w:tcW w:w="434" w:type="pct"/>
            <w:tcBorders>
              <w:top w:val="nil"/>
              <w:left w:val="nil"/>
              <w:bottom w:val="nil"/>
              <w:right w:val="nil"/>
            </w:tcBorders>
            <w:shd w:val="clear" w:color="auto" w:fill="auto"/>
            <w:noWrap/>
            <w:hideMark/>
          </w:tcPr>
          <w:p w14:paraId="54B31719" w14:textId="77777777" w:rsidR="00DE10F8" w:rsidRPr="006B42D6" w:rsidRDefault="00DE10F8" w:rsidP="006C676D">
            <w:pPr>
              <w:jc w:val="right"/>
              <w:rPr>
                <w:sz w:val="16"/>
                <w:szCs w:val="16"/>
              </w:rPr>
            </w:pPr>
            <w:r w:rsidRPr="006B42D6">
              <w:rPr>
                <w:sz w:val="16"/>
                <w:szCs w:val="16"/>
              </w:rPr>
              <w:t>6,603</w:t>
            </w:r>
          </w:p>
        </w:tc>
        <w:tc>
          <w:tcPr>
            <w:tcW w:w="381" w:type="pct"/>
            <w:tcBorders>
              <w:top w:val="nil"/>
              <w:left w:val="nil"/>
              <w:bottom w:val="nil"/>
              <w:right w:val="nil"/>
            </w:tcBorders>
            <w:shd w:val="clear" w:color="auto" w:fill="auto"/>
            <w:noWrap/>
            <w:hideMark/>
          </w:tcPr>
          <w:p w14:paraId="7589F4D1" w14:textId="77777777" w:rsidR="00DE10F8" w:rsidRPr="006B42D6" w:rsidRDefault="00DE10F8" w:rsidP="006C676D">
            <w:pPr>
              <w:jc w:val="right"/>
              <w:rPr>
                <w:sz w:val="16"/>
                <w:szCs w:val="16"/>
              </w:rPr>
            </w:pPr>
            <w:r w:rsidRPr="006B42D6">
              <w:rPr>
                <w:sz w:val="16"/>
                <w:szCs w:val="16"/>
              </w:rPr>
              <w:t>2.3</w:t>
            </w:r>
          </w:p>
        </w:tc>
      </w:tr>
      <w:tr w:rsidR="0085694C" w:rsidRPr="006B42D6" w14:paraId="493936DE" w14:textId="77777777" w:rsidTr="0085694C">
        <w:trPr>
          <w:trHeight w:hRule="exact" w:val="255"/>
        </w:trPr>
        <w:tc>
          <w:tcPr>
            <w:tcW w:w="776" w:type="pct"/>
            <w:tcBorders>
              <w:top w:val="nil"/>
              <w:left w:val="nil"/>
              <w:bottom w:val="nil"/>
              <w:right w:val="nil"/>
            </w:tcBorders>
            <w:shd w:val="clear" w:color="auto" w:fill="auto"/>
            <w:noWrap/>
            <w:hideMark/>
          </w:tcPr>
          <w:p w14:paraId="3C9B4402" w14:textId="77777777" w:rsidR="00DE10F8" w:rsidRPr="006B42D6" w:rsidRDefault="00DE10F8" w:rsidP="006C676D">
            <w:pPr>
              <w:rPr>
                <w:sz w:val="16"/>
                <w:szCs w:val="16"/>
              </w:rPr>
            </w:pPr>
            <w:r w:rsidRPr="006B42D6">
              <w:rPr>
                <w:sz w:val="16"/>
                <w:szCs w:val="16"/>
              </w:rPr>
              <w:t>Rukwa</w:t>
            </w:r>
          </w:p>
        </w:tc>
        <w:tc>
          <w:tcPr>
            <w:tcW w:w="445" w:type="pct"/>
            <w:tcBorders>
              <w:top w:val="nil"/>
              <w:left w:val="single" w:sz="4" w:space="0" w:color="auto"/>
              <w:bottom w:val="nil"/>
              <w:right w:val="nil"/>
            </w:tcBorders>
            <w:shd w:val="clear" w:color="auto" w:fill="auto"/>
            <w:noWrap/>
            <w:hideMark/>
          </w:tcPr>
          <w:p w14:paraId="2B8CE163" w14:textId="77777777" w:rsidR="00DE10F8" w:rsidRPr="006B42D6" w:rsidRDefault="00DE10F8" w:rsidP="006C676D">
            <w:pPr>
              <w:jc w:val="right"/>
              <w:rPr>
                <w:sz w:val="16"/>
                <w:szCs w:val="16"/>
              </w:rPr>
            </w:pPr>
            <w:r w:rsidRPr="006B42D6">
              <w:rPr>
                <w:sz w:val="16"/>
                <w:szCs w:val="16"/>
              </w:rPr>
              <w:t>31,154</w:t>
            </w:r>
          </w:p>
        </w:tc>
        <w:tc>
          <w:tcPr>
            <w:tcW w:w="385" w:type="pct"/>
            <w:tcBorders>
              <w:top w:val="nil"/>
              <w:left w:val="nil"/>
              <w:bottom w:val="nil"/>
              <w:right w:val="nil"/>
            </w:tcBorders>
            <w:shd w:val="clear" w:color="auto" w:fill="auto"/>
            <w:noWrap/>
            <w:hideMark/>
          </w:tcPr>
          <w:p w14:paraId="56AF5294" w14:textId="77777777" w:rsidR="00DE10F8" w:rsidRPr="006B42D6" w:rsidRDefault="00DE10F8" w:rsidP="006C676D">
            <w:pPr>
              <w:jc w:val="right"/>
              <w:rPr>
                <w:sz w:val="16"/>
                <w:szCs w:val="16"/>
              </w:rPr>
            </w:pPr>
            <w:r w:rsidRPr="006B42D6">
              <w:rPr>
                <w:sz w:val="16"/>
                <w:szCs w:val="16"/>
              </w:rPr>
              <w:t>1.6</w:t>
            </w:r>
          </w:p>
        </w:tc>
        <w:tc>
          <w:tcPr>
            <w:tcW w:w="604" w:type="pct"/>
            <w:tcBorders>
              <w:top w:val="nil"/>
              <w:left w:val="single" w:sz="4" w:space="0" w:color="auto"/>
              <w:bottom w:val="nil"/>
              <w:right w:val="nil"/>
            </w:tcBorders>
            <w:shd w:val="clear" w:color="auto" w:fill="auto"/>
            <w:noWrap/>
            <w:hideMark/>
          </w:tcPr>
          <w:p w14:paraId="1EFFD9C6" w14:textId="77777777" w:rsidR="00DE10F8" w:rsidRPr="006B42D6" w:rsidRDefault="00DE10F8" w:rsidP="006C676D">
            <w:pPr>
              <w:jc w:val="right"/>
              <w:rPr>
                <w:sz w:val="16"/>
                <w:szCs w:val="16"/>
              </w:rPr>
            </w:pPr>
            <w:r w:rsidRPr="006B42D6">
              <w:rPr>
                <w:sz w:val="16"/>
                <w:szCs w:val="16"/>
              </w:rPr>
              <w:t>46,281</w:t>
            </w:r>
          </w:p>
        </w:tc>
        <w:tc>
          <w:tcPr>
            <w:tcW w:w="386" w:type="pct"/>
            <w:tcBorders>
              <w:top w:val="nil"/>
              <w:left w:val="nil"/>
              <w:bottom w:val="nil"/>
              <w:right w:val="single" w:sz="4" w:space="0" w:color="auto"/>
            </w:tcBorders>
            <w:shd w:val="clear" w:color="auto" w:fill="auto"/>
            <w:noWrap/>
            <w:hideMark/>
          </w:tcPr>
          <w:p w14:paraId="58524AE2" w14:textId="77777777" w:rsidR="00DE10F8" w:rsidRPr="006B42D6" w:rsidRDefault="00DE10F8" w:rsidP="006C676D">
            <w:pPr>
              <w:jc w:val="right"/>
              <w:rPr>
                <w:sz w:val="16"/>
                <w:szCs w:val="16"/>
              </w:rPr>
            </w:pPr>
            <w:r w:rsidRPr="006B42D6">
              <w:rPr>
                <w:sz w:val="16"/>
                <w:szCs w:val="16"/>
              </w:rPr>
              <w:t>1.2</w:t>
            </w:r>
          </w:p>
        </w:tc>
        <w:tc>
          <w:tcPr>
            <w:tcW w:w="407" w:type="pct"/>
            <w:tcBorders>
              <w:top w:val="nil"/>
              <w:left w:val="nil"/>
              <w:bottom w:val="nil"/>
              <w:right w:val="nil"/>
            </w:tcBorders>
            <w:shd w:val="clear" w:color="auto" w:fill="auto"/>
            <w:noWrap/>
            <w:hideMark/>
          </w:tcPr>
          <w:p w14:paraId="680FA4A7" w14:textId="77777777" w:rsidR="00DE10F8" w:rsidRPr="006B42D6" w:rsidRDefault="00DE10F8" w:rsidP="006C676D">
            <w:pPr>
              <w:jc w:val="right"/>
              <w:rPr>
                <w:sz w:val="16"/>
                <w:szCs w:val="16"/>
              </w:rPr>
            </w:pPr>
            <w:r w:rsidRPr="006B42D6">
              <w:rPr>
                <w:sz w:val="16"/>
                <w:szCs w:val="16"/>
              </w:rPr>
              <w:t>3,519</w:t>
            </w:r>
          </w:p>
        </w:tc>
        <w:tc>
          <w:tcPr>
            <w:tcW w:w="388" w:type="pct"/>
            <w:tcBorders>
              <w:top w:val="nil"/>
              <w:left w:val="nil"/>
              <w:bottom w:val="nil"/>
              <w:right w:val="nil"/>
            </w:tcBorders>
            <w:shd w:val="clear" w:color="auto" w:fill="auto"/>
            <w:noWrap/>
            <w:hideMark/>
          </w:tcPr>
          <w:p w14:paraId="3B2C91BB" w14:textId="77777777" w:rsidR="00DE10F8" w:rsidRPr="006B42D6" w:rsidRDefault="00DE10F8" w:rsidP="006C676D">
            <w:pPr>
              <w:jc w:val="right"/>
              <w:rPr>
                <w:sz w:val="16"/>
                <w:szCs w:val="16"/>
              </w:rPr>
            </w:pPr>
            <w:r w:rsidRPr="006B42D6">
              <w:rPr>
                <w:sz w:val="16"/>
                <w:szCs w:val="16"/>
              </w:rPr>
              <w:t>1.2</w:t>
            </w:r>
          </w:p>
        </w:tc>
        <w:tc>
          <w:tcPr>
            <w:tcW w:w="407" w:type="pct"/>
            <w:tcBorders>
              <w:top w:val="nil"/>
              <w:left w:val="single" w:sz="4" w:space="0" w:color="auto"/>
              <w:bottom w:val="nil"/>
              <w:right w:val="nil"/>
            </w:tcBorders>
            <w:shd w:val="clear" w:color="auto" w:fill="auto"/>
            <w:noWrap/>
            <w:hideMark/>
          </w:tcPr>
          <w:p w14:paraId="37DF7E76" w14:textId="77777777" w:rsidR="00DE10F8" w:rsidRPr="006B42D6" w:rsidRDefault="00DE10F8" w:rsidP="006C676D">
            <w:pPr>
              <w:jc w:val="right"/>
              <w:rPr>
                <w:sz w:val="16"/>
                <w:szCs w:val="16"/>
              </w:rPr>
            </w:pPr>
            <w:r w:rsidRPr="006B42D6">
              <w:rPr>
                <w:sz w:val="16"/>
                <w:szCs w:val="16"/>
              </w:rPr>
              <w:t>19,056</w:t>
            </w:r>
          </w:p>
        </w:tc>
        <w:tc>
          <w:tcPr>
            <w:tcW w:w="388" w:type="pct"/>
            <w:tcBorders>
              <w:top w:val="nil"/>
              <w:left w:val="nil"/>
              <w:bottom w:val="nil"/>
              <w:right w:val="single" w:sz="4" w:space="0" w:color="auto"/>
            </w:tcBorders>
            <w:shd w:val="clear" w:color="auto" w:fill="auto"/>
            <w:noWrap/>
            <w:hideMark/>
          </w:tcPr>
          <w:p w14:paraId="1403524E" w14:textId="77777777" w:rsidR="00DE10F8" w:rsidRPr="006B42D6" w:rsidRDefault="00DE10F8" w:rsidP="006C676D">
            <w:pPr>
              <w:jc w:val="right"/>
              <w:rPr>
                <w:sz w:val="16"/>
                <w:szCs w:val="16"/>
              </w:rPr>
            </w:pPr>
            <w:r w:rsidRPr="006B42D6">
              <w:rPr>
                <w:sz w:val="16"/>
                <w:szCs w:val="16"/>
              </w:rPr>
              <w:t>2.7</w:t>
            </w:r>
          </w:p>
        </w:tc>
        <w:tc>
          <w:tcPr>
            <w:tcW w:w="434" w:type="pct"/>
            <w:tcBorders>
              <w:top w:val="nil"/>
              <w:left w:val="nil"/>
              <w:bottom w:val="nil"/>
              <w:right w:val="nil"/>
            </w:tcBorders>
            <w:shd w:val="clear" w:color="auto" w:fill="auto"/>
            <w:noWrap/>
            <w:hideMark/>
          </w:tcPr>
          <w:p w14:paraId="5E794137" w14:textId="77777777" w:rsidR="00DE10F8" w:rsidRPr="006B42D6" w:rsidRDefault="00DE10F8" w:rsidP="006C676D">
            <w:pPr>
              <w:jc w:val="right"/>
              <w:rPr>
                <w:sz w:val="16"/>
                <w:szCs w:val="16"/>
              </w:rPr>
            </w:pPr>
            <w:r w:rsidRPr="006B42D6">
              <w:rPr>
                <w:sz w:val="16"/>
                <w:szCs w:val="16"/>
              </w:rPr>
              <w:t>3,614</w:t>
            </w:r>
          </w:p>
        </w:tc>
        <w:tc>
          <w:tcPr>
            <w:tcW w:w="381" w:type="pct"/>
            <w:tcBorders>
              <w:top w:val="nil"/>
              <w:left w:val="nil"/>
              <w:bottom w:val="nil"/>
              <w:right w:val="nil"/>
            </w:tcBorders>
            <w:shd w:val="clear" w:color="auto" w:fill="auto"/>
            <w:noWrap/>
            <w:hideMark/>
          </w:tcPr>
          <w:p w14:paraId="6CC7D4BD" w14:textId="77777777" w:rsidR="00DE10F8" w:rsidRPr="006B42D6" w:rsidRDefault="00DE10F8" w:rsidP="006C676D">
            <w:pPr>
              <w:jc w:val="right"/>
              <w:rPr>
                <w:sz w:val="16"/>
                <w:szCs w:val="16"/>
              </w:rPr>
            </w:pPr>
            <w:r w:rsidRPr="006B42D6">
              <w:rPr>
                <w:sz w:val="16"/>
                <w:szCs w:val="16"/>
              </w:rPr>
              <w:t>1.3</w:t>
            </w:r>
          </w:p>
        </w:tc>
      </w:tr>
      <w:tr w:rsidR="0085694C" w:rsidRPr="006B42D6" w14:paraId="3A522160" w14:textId="77777777" w:rsidTr="0085694C">
        <w:trPr>
          <w:trHeight w:hRule="exact" w:val="255"/>
        </w:trPr>
        <w:tc>
          <w:tcPr>
            <w:tcW w:w="776" w:type="pct"/>
            <w:tcBorders>
              <w:top w:val="nil"/>
              <w:left w:val="nil"/>
              <w:bottom w:val="nil"/>
              <w:right w:val="nil"/>
            </w:tcBorders>
            <w:shd w:val="clear" w:color="auto" w:fill="auto"/>
            <w:noWrap/>
            <w:hideMark/>
          </w:tcPr>
          <w:p w14:paraId="32FAC52E" w14:textId="77777777" w:rsidR="00DE10F8" w:rsidRPr="006B42D6" w:rsidRDefault="00DE10F8" w:rsidP="006C676D">
            <w:pPr>
              <w:rPr>
                <w:sz w:val="16"/>
                <w:szCs w:val="16"/>
              </w:rPr>
            </w:pPr>
            <w:r w:rsidRPr="006B42D6">
              <w:rPr>
                <w:sz w:val="16"/>
                <w:szCs w:val="16"/>
              </w:rPr>
              <w:t>Kigoma</w:t>
            </w:r>
          </w:p>
        </w:tc>
        <w:tc>
          <w:tcPr>
            <w:tcW w:w="445" w:type="pct"/>
            <w:tcBorders>
              <w:top w:val="nil"/>
              <w:left w:val="single" w:sz="4" w:space="0" w:color="auto"/>
              <w:bottom w:val="nil"/>
              <w:right w:val="nil"/>
            </w:tcBorders>
            <w:shd w:val="clear" w:color="auto" w:fill="auto"/>
            <w:noWrap/>
            <w:hideMark/>
          </w:tcPr>
          <w:p w14:paraId="596B4A14" w14:textId="77777777" w:rsidR="00DE10F8" w:rsidRPr="006B42D6" w:rsidRDefault="00DE10F8" w:rsidP="006C676D">
            <w:pPr>
              <w:jc w:val="right"/>
              <w:rPr>
                <w:sz w:val="16"/>
                <w:szCs w:val="16"/>
              </w:rPr>
            </w:pPr>
            <w:r w:rsidRPr="006B42D6">
              <w:rPr>
                <w:sz w:val="16"/>
                <w:szCs w:val="16"/>
              </w:rPr>
              <w:t>86,135</w:t>
            </w:r>
          </w:p>
        </w:tc>
        <w:tc>
          <w:tcPr>
            <w:tcW w:w="385" w:type="pct"/>
            <w:tcBorders>
              <w:top w:val="nil"/>
              <w:left w:val="nil"/>
              <w:bottom w:val="nil"/>
              <w:right w:val="nil"/>
            </w:tcBorders>
            <w:shd w:val="clear" w:color="auto" w:fill="auto"/>
            <w:noWrap/>
            <w:hideMark/>
          </w:tcPr>
          <w:p w14:paraId="0405CF57" w14:textId="77777777" w:rsidR="00DE10F8" w:rsidRPr="006B42D6" w:rsidRDefault="00DE10F8" w:rsidP="006C676D">
            <w:pPr>
              <w:jc w:val="right"/>
              <w:rPr>
                <w:sz w:val="16"/>
                <w:szCs w:val="16"/>
              </w:rPr>
            </w:pPr>
            <w:r w:rsidRPr="006B42D6">
              <w:rPr>
                <w:sz w:val="16"/>
                <w:szCs w:val="16"/>
              </w:rPr>
              <w:t>4.3</w:t>
            </w:r>
          </w:p>
        </w:tc>
        <w:tc>
          <w:tcPr>
            <w:tcW w:w="604" w:type="pct"/>
            <w:tcBorders>
              <w:top w:val="nil"/>
              <w:left w:val="single" w:sz="4" w:space="0" w:color="auto"/>
              <w:bottom w:val="nil"/>
              <w:right w:val="nil"/>
            </w:tcBorders>
            <w:shd w:val="clear" w:color="auto" w:fill="auto"/>
            <w:noWrap/>
            <w:hideMark/>
          </w:tcPr>
          <w:p w14:paraId="6DEFE98F" w14:textId="77777777" w:rsidR="00DE10F8" w:rsidRPr="006B42D6" w:rsidRDefault="00DE10F8" w:rsidP="006C676D">
            <w:pPr>
              <w:jc w:val="right"/>
              <w:rPr>
                <w:sz w:val="16"/>
                <w:szCs w:val="16"/>
              </w:rPr>
            </w:pPr>
            <w:r w:rsidRPr="006B42D6">
              <w:rPr>
                <w:sz w:val="16"/>
                <w:szCs w:val="16"/>
              </w:rPr>
              <w:t>485,819</w:t>
            </w:r>
          </w:p>
        </w:tc>
        <w:tc>
          <w:tcPr>
            <w:tcW w:w="386" w:type="pct"/>
            <w:tcBorders>
              <w:top w:val="nil"/>
              <w:left w:val="nil"/>
              <w:bottom w:val="nil"/>
              <w:right w:val="single" w:sz="4" w:space="0" w:color="auto"/>
            </w:tcBorders>
            <w:shd w:val="clear" w:color="auto" w:fill="auto"/>
            <w:noWrap/>
            <w:hideMark/>
          </w:tcPr>
          <w:p w14:paraId="27E0128E" w14:textId="77777777" w:rsidR="00DE10F8" w:rsidRPr="006B42D6" w:rsidRDefault="00DE10F8" w:rsidP="006C676D">
            <w:pPr>
              <w:jc w:val="right"/>
              <w:rPr>
                <w:sz w:val="16"/>
                <w:szCs w:val="16"/>
              </w:rPr>
            </w:pPr>
            <w:r w:rsidRPr="006B42D6">
              <w:rPr>
                <w:sz w:val="16"/>
                <w:szCs w:val="16"/>
              </w:rPr>
              <w:t>12.5</w:t>
            </w:r>
          </w:p>
        </w:tc>
        <w:tc>
          <w:tcPr>
            <w:tcW w:w="407" w:type="pct"/>
            <w:tcBorders>
              <w:top w:val="nil"/>
              <w:left w:val="nil"/>
              <w:bottom w:val="nil"/>
              <w:right w:val="nil"/>
            </w:tcBorders>
            <w:shd w:val="clear" w:color="auto" w:fill="auto"/>
            <w:noWrap/>
            <w:hideMark/>
          </w:tcPr>
          <w:p w14:paraId="5A3491F3" w14:textId="77777777" w:rsidR="00DE10F8" w:rsidRPr="006B42D6" w:rsidRDefault="00DE10F8" w:rsidP="006C676D">
            <w:pPr>
              <w:jc w:val="right"/>
              <w:rPr>
                <w:sz w:val="16"/>
                <w:szCs w:val="16"/>
              </w:rPr>
            </w:pPr>
            <w:r w:rsidRPr="006B42D6">
              <w:rPr>
                <w:sz w:val="16"/>
                <w:szCs w:val="16"/>
              </w:rPr>
              <w:t>-</w:t>
            </w:r>
          </w:p>
        </w:tc>
        <w:tc>
          <w:tcPr>
            <w:tcW w:w="388" w:type="pct"/>
            <w:tcBorders>
              <w:top w:val="nil"/>
              <w:left w:val="nil"/>
              <w:bottom w:val="nil"/>
              <w:right w:val="nil"/>
            </w:tcBorders>
            <w:shd w:val="clear" w:color="auto" w:fill="auto"/>
            <w:noWrap/>
            <w:hideMark/>
          </w:tcPr>
          <w:p w14:paraId="2DCFF23E" w14:textId="77777777" w:rsidR="00DE10F8" w:rsidRPr="006B42D6" w:rsidRDefault="00DE10F8" w:rsidP="006C676D">
            <w:pPr>
              <w:jc w:val="right"/>
              <w:rPr>
                <w:sz w:val="16"/>
                <w:szCs w:val="16"/>
              </w:rPr>
            </w:pPr>
            <w:r w:rsidRPr="006B42D6">
              <w:rPr>
                <w:sz w:val="16"/>
                <w:szCs w:val="16"/>
              </w:rPr>
              <w:t>-</w:t>
            </w:r>
          </w:p>
        </w:tc>
        <w:tc>
          <w:tcPr>
            <w:tcW w:w="407" w:type="pct"/>
            <w:tcBorders>
              <w:top w:val="nil"/>
              <w:left w:val="single" w:sz="4" w:space="0" w:color="auto"/>
              <w:bottom w:val="nil"/>
              <w:right w:val="nil"/>
            </w:tcBorders>
            <w:shd w:val="clear" w:color="auto" w:fill="auto"/>
            <w:noWrap/>
            <w:hideMark/>
          </w:tcPr>
          <w:p w14:paraId="1D8CFBA2" w14:textId="77777777" w:rsidR="00DE10F8" w:rsidRPr="006B42D6" w:rsidRDefault="00DE10F8" w:rsidP="006C676D">
            <w:pPr>
              <w:jc w:val="right"/>
              <w:rPr>
                <w:sz w:val="16"/>
                <w:szCs w:val="16"/>
              </w:rPr>
            </w:pPr>
            <w:r w:rsidRPr="006B42D6">
              <w:rPr>
                <w:sz w:val="16"/>
                <w:szCs w:val="16"/>
              </w:rPr>
              <w:t>23,401</w:t>
            </w:r>
          </w:p>
        </w:tc>
        <w:tc>
          <w:tcPr>
            <w:tcW w:w="388" w:type="pct"/>
            <w:tcBorders>
              <w:top w:val="nil"/>
              <w:left w:val="nil"/>
              <w:bottom w:val="nil"/>
              <w:right w:val="single" w:sz="4" w:space="0" w:color="auto"/>
            </w:tcBorders>
            <w:shd w:val="clear" w:color="auto" w:fill="auto"/>
            <w:noWrap/>
            <w:hideMark/>
          </w:tcPr>
          <w:p w14:paraId="449E37CA" w14:textId="77777777" w:rsidR="00DE10F8" w:rsidRPr="006B42D6" w:rsidRDefault="00DE10F8" w:rsidP="006C676D">
            <w:pPr>
              <w:jc w:val="right"/>
              <w:rPr>
                <w:sz w:val="16"/>
                <w:szCs w:val="16"/>
              </w:rPr>
            </w:pPr>
            <w:r w:rsidRPr="006B42D6">
              <w:rPr>
                <w:sz w:val="16"/>
                <w:szCs w:val="16"/>
              </w:rPr>
              <w:t>3.3</w:t>
            </w:r>
          </w:p>
        </w:tc>
        <w:tc>
          <w:tcPr>
            <w:tcW w:w="434" w:type="pct"/>
            <w:tcBorders>
              <w:top w:val="nil"/>
              <w:left w:val="nil"/>
              <w:bottom w:val="nil"/>
              <w:right w:val="nil"/>
            </w:tcBorders>
            <w:shd w:val="clear" w:color="auto" w:fill="auto"/>
            <w:noWrap/>
            <w:hideMark/>
          </w:tcPr>
          <w:p w14:paraId="04CF143B" w14:textId="77777777" w:rsidR="00DE10F8" w:rsidRPr="006B42D6" w:rsidRDefault="00DE10F8" w:rsidP="006C676D">
            <w:pPr>
              <w:jc w:val="right"/>
              <w:rPr>
                <w:sz w:val="16"/>
                <w:szCs w:val="16"/>
              </w:rPr>
            </w:pPr>
            <w:r w:rsidRPr="006B42D6">
              <w:rPr>
                <w:sz w:val="16"/>
                <w:szCs w:val="16"/>
              </w:rPr>
              <w:t>17,339</w:t>
            </w:r>
          </w:p>
        </w:tc>
        <w:tc>
          <w:tcPr>
            <w:tcW w:w="381" w:type="pct"/>
            <w:tcBorders>
              <w:top w:val="nil"/>
              <w:left w:val="nil"/>
              <w:bottom w:val="nil"/>
              <w:right w:val="nil"/>
            </w:tcBorders>
            <w:shd w:val="clear" w:color="auto" w:fill="auto"/>
            <w:noWrap/>
            <w:hideMark/>
          </w:tcPr>
          <w:p w14:paraId="1747D8BA" w14:textId="77777777" w:rsidR="00DE10F8" w:rsidRPr="006B42D6" w:rsidRDefault="00DE10F8" w:rsidP="006C676D">
            <w:pPr>
              <w:jc w:val="right"/>
              <w:rPr>
                <w:sz w:val="16"/>
                <w:szCs w:val="16"/>
              </w:rPr>
            </w:pPr>
            <w:r w:rsidRPr="006B42D6">
              <w:rPr>
                <w:sz w:val="16"/>
                <w:szCs w:val="16"/>
              </w:rPr>
              <w:t>6.2</w:t>
            </w:r>
          </w:p>
        </w:tc>
      </w:tr>
      <w:tr w:rsidR="0085694C" w:rsidRPr="006B42D6" w14:paraId="7C3A73C9" w14:textId="77777777" w:rsidTr="0085694C">
        <w:trPr>
          <w:trHeight w:hRule="exact" w:val="255"/>
        </w:trPr>
        <w:tc>
          <w:tcPr>
            <w:tcW w:w="776" w:type="pct"/>
            <w:tcBorders>
              <w:top w:val="nil"/>
              <w:left w:val="nil"/>
              <w:bottom w:val="nil"/>
              <w:right w:val="nil"/>
            </w:tcBorders>
            <w:shd w:val="clear" w:color="auto" w:fill="auto"/>
            <w:noWrap/>
            <w:hideMark/>
          </w:tcPr>
          <w:p w14:paraId="7BD7367D" w14:textId="77777777" w:rsidR="00DE10F8" w:rsidRPr="006B42D6" w:rsidRDefault="00DE10F8" w:rsidP="006C676D">
            <w:pPr>
              <w:rPr>
                <w:sz w:val="16"/>
                <w:szCs w:val="16"/>
              </w:rPr>
            </w:pPr>
            <w:r w:rsidRPr="006B42D6">
              <w:rPr>
                <w:sz w:val="16"/>
                <w:szCs w:val="16"/>
              </w:rPr>
              <w:t>Shinyanga</w:t>
            </w:r>
          </w:p>
        </w:tc>
        <w:tc>
          <w:tcPr>
            <w:tcW w:w="445" w:type="pct"/>
            <w:tcBorders>
              <w:top w:val="nil"/>
              <w:left w:val="single" w:sz="4" w:space="0" w:color="auto"/>
              <w:bottom w:val="nil"/>
              <w:right w:val="nil"/>
            </w:tcBorders>
            <w:shd w:val="clear" w:color="auto" w:fill="auto"/>
            <w:noWrap/>
            <w:hideMark/>
          </w:tcPr>
          <w:p w14:paraId="0A5258B8" w14:textId="77777777" w:rsidR="00DE10F8" w:rsidRPr="006B42D6" w:rsidRDefault="00DE10F8" w:rsidP="006C676D">
            <w:pPr>
              <w:jc w:val="right"/>
              <w:rPr>
                <w:sz w:val="16"/>
                <w:szCs w:val="16"/>
              </w:rPr>
            </w:pPr>
            <w:r w:rsidRPr="006B42D6">
              <w:rPr>
                <w:sz w:val="16"/>
                <w:szCs w:val="16"/>
              </w:rPr>
              <w:t>62,810</w:t>
            </w:r>
          </w:p>
        </w:tc>
        <w:tc>
          <w:tcPr>
            <w:tcW w:w="385" w:type="pct"/>
            <w:tcBorders>
              <w:top w:val="nil"/>
              <w:left w:val="nil"/>
              <w:bottom w:val="nil"/>
              <w:right w:val="nil"/>
            </w:tcBorders>
            <w:shd w:val="clear" w:color="auto" w:fill="auto"/>
            <w:noWrap/>
            <w:hideMark/>
          </w:tcPr>
          <w:p w14:paraId="14222F56" w14:textId="77777777" w:rsidR="00DE10F8" w:rsidRPr="006B42D6" w:rsidRDefault="00DE10F8" w:rsidP="006C676D">
            <w:pPr>
              <w:jc w:val="right"/>
              <w:rPr>
                <w:sz w:val="16"/>
                <w:szCs w:val="16"/>
              </w:rPr>
            </w:pPr>
            <w:r w:rsidRPr="006B42D6">
              <w:rPr>
                <w:sz w:val="16"/>
                <w:szCs w:val="16"/>
              </w:rPr>
              <w:t>3.1</w:t>
            </w:r>
          </w:p>
        </w:tc>
        <w:tc>
          <w:tcPr>
            <w:tcW w:w="604" w:type="pct"/>
            <w:tcBorders>
              <w:top w:val="nil"/>
              <w:left w:val="single" w:sz="4" w:space="0" w:color="auto"/>
              <w:bottom w:val="nil"/>
              <w:right w:val="nil"/>
            </w:tcBorders>
            <w:shd w:val="clear" w:color="auto" w:fill="auto"/>
            <w:noWrap/>
            <w:hideMark/>
          </w:tcPr>
          <w:p w14:paraId="7E7EBB53" w14:textId="77777777" w:rsidR="00DE10F8" w:rsidRPr="006B42D6" w:rsidRDefault="00DE10F8" w:rsidP="006C676D">
            <w:pPr>
              <w:jc w:val="right"/>
              <w:rPr>
                <w:sz w:val="16"/>
                <w:szCs w:val="16"/>
              </w:rPr>
            </w:pPr>
            <w:r w:rsidRPr="006B42D6">
              <w:rPr>
                <w:sz w:val="16"/>
                <w:szCs w:val="16"/>
              </w:rPr>
              <w:t>71,948</w:t>
            </w:r>
          </w:p>
        </w:tc>
        <w:tc>
          <w:tcPr>
            <w:tcW w:w="386" w:type="pct"/>
            <w:tcBorders>
              <w:top w:val="nil"/>
              <w:left w:val="nil"/>
              <w:bottom w:val="nil"/>
              <w:right w:val="single" w:sz="4" w:space="0" w:color="auto"/>
            </w:tcBorders>
            <w:shd w:val="clear" w:color="auto" w:fill="auto"/>
            <w:noWrap/>
            <w:hideMark/>
          </w:tcPr>
          <w:p w14:paraId="5EE54B1F" w14:textId="77777777" w:rsidR="00DE10F8" w:rsidRPr="006B42D6" w:rsidRDefault="00DE10F8" w:rsidP="006C676D">
            <w:pPr>
              <w:jc w:val="right"/>
              <w:rPr>
                <w:sz w:val="16"/>
                <w:szCs w:val="16"/>
              </w:rPr>
            </w:pPr>
            <w:r w:rsidRPr="006B42D6">
              <w:rPr>
                <w:sz w:val="16"/>
                <w:szCs w:val="16"/>
              </w:rPr>
              <w:t>1.9</w:t>
            </w:r>
          </w:p>
        </w:tc>
        <w:tc>
          <w:tcPr>
            <w:tcW w:w="407" w:type="pct"/>
            <w:tcBorders>
              <w:top w:val="nil"/>
              <w:left w:val="nil"/>
              <w:bottom w:val="nil"/>
              <w:right w:val="nil"/>
            </w:tcBorders>
            <w:shd w:val="clear" w:color="auto" w:fill="auto"/>
            <w:noWrap/>
            <w:hideMark/>
          </w:tcPr>
          <w:p w14:paraId="1D7FDABA" w14:textId="77777777" w:rsidR="00DE10F8" w:rsidRPr="006B42D6" w:rsidRDefault="00DE10F8" w:rsidP="006C676D">
            <w:pPr>
              <w:jc w:val="right"/>
              <w:rPr>
                <w:sz w:val="16"/>
                <w:szCs w:val="16"/>
              </w:rPr>
            </w:pPr>
            <w:r w:rsidRPr="006B42D6">
              <w:rPr>
                <w:sz w:val="16"/>
                <w:szCs w:val="16"/>
              </w:rPr>
              <w:t>11,479</w:t>
            </w:r>
          </w:p>
        </w:tc>
        <w:tc>
          <w:tcPr>
            <w:tcW w:w="388" w:type="pct"/>
            <w:tcBorders>
              <w:top w:val="nil"/>
              <w:left w:val="nil"/>
              <w:bottom w:val="nil"/>
              <w:right w:val="nil"/>
            </w:tcBorders>
            <w:shd w:val="clear" w:color="auto" w:fill="auto"/>
            <w:noWrap/>
            <w:hideMark/>
          </w:tcPr>
          <w:p w14:paraId="4CF6CBB7" w14:textId="77777777" w:rsidR="00DE10F8" w:rsidRPr="006B42D6" w:rsidRDefault="00DE10F8" w:rsidP="006C676D">
            <w:pPr>
              <w:jc w:val="right"/>
              <w:rPr>
                <w:sz w:val="16"/>
                <w:szCs w:val="16"/>
              </w:rPr>
            </w:pPr>
            <w:r w:rsidRPr="006B42D6">
              <w:rPr>
                <w:sz w:val="16"/>
                <w:szCs w:val="16"/>
              </w:rPr>
              <w:t>3.8</w:t>
            </w:r>
          </w:p>
        </w:tc>
        <w:tc>
          <w:tcPr>
            <w:tcW w:w="407" w:type="pct"/>
            <w:tcBorders>
              <w:top w:val="nil"/>
              <w:left w:val="single" w:sz="4" w:space="0" w:color="auto"/>
              <w:bottom w:val="nil"/>
              <w:right w:val="nil"/>
            </w:tcBorders>
            <w:shd w:val="clear" w:color="auto" w:fill="auto"/>
            <w:noWrap/>
            <w:hideMark/>
          </w:tcPr>
          <w:p w14:paraId="32F20386" w14:textId="77777777" w:rsidR="00DE10F8" w:rsidRPr="006B42D6" w:rsidRDefault="00DE10F8" w:rsidP="006C676D">
            <w:pPr>
              <w:jc w:val="right"/>
              <w:rPr>
                <w:sz w:val="16"/>
                <w:szCs w:val="16"/>
              </w:rPr>
            </w:pPr>
            <w:r w:rsidRPr="006B42D6">
              <w:rPr>
                <w:sz w:val="16"/>
                <w:szCs w:val="16"/>
              </w:rPr>
              <w:t>43,108</w:t>
            </w:r>
          </w:p>
        </w:tc>
        <w:tc>
          <w:tcPr>
            <w:tcW w:w="388" w:type="pct"/>
            <w:tcBorders>
              <w:top w:val="nil"/>
              <w:left w:val="nil"/>
              <w:bottom w:val="nil"/>
              <w:right w:val="single" w:sz="4" w:space="0" w:color="auto"/>
            </w:tcBorders>
            <w:shd w:val="clear" w:color="auto" w:fill="auto"/>
            <w:noWrap/>
            <w:hideMark/>
          </w:tcPr>
          <w:p w14:paraId="097DEF92" w14:textId="77777777" w:rsidR="00DE10F8" w:rsidRPr="006B42D6" w:rsidRDefault="00DE10F8" w:rsidP="006C676D">
            <w:pPr>
              <w:jc w:val="right"/>
              <w:rPr>
                <w:sz w:val="16"/>
                <w:szCs w:val="16"/>
              </w:rPr>
            </w:pPr>
            <w:r w:rsidRPr="006B42D6">
              <w:rPr>
                <w:sz w:val="16"/>
                <w:szCs w:val="16"/>
              </w:rPr>
              <w:t>6.1</w:t>
            </w:r>
          </w:p>
        </w:tc>
        <w:tc>
          <w:tcPr>
            <w:tcW w:w="434" w:type="pct"/>
            <w:tcBorders>
              <w:top w:val="nil"/>
              <w:left w:val="nil"/>
              <w:bottom w:val="nil"/>
              <w:right w:val="nil"/>
            </w:tcBorders>
            <w:shd w:val="clear" w:color="auto" w:fill="auto"/>
            <w:noWrap/>
            <w:hideMark/>
          </w:tcPr>
          <w:p w14:paraId="3F5C56E2" w14:textId="77777777" w:rsidR="00DE10F8" w:rsidRPr="006B42D6" w:rsidRDefault="00DE10F8" w:rsidP="006C676D">
            <w:pPr>
              <w:jc w:val="right"/>
              <w:rPr>
                <w:sz w:val="16"/>
                <w:szCs w:val="16"/>
              </w:rPr>
            </w:pPr>
            <w:r w:rsidRPr="006B42D6">
              <w:rPr>
                <w:sz w:val="16"/>
                <w:szCs w:val="16"/>
              </w:rPr>
              <w:t>7,008</w:t>
            </w:r>
          </w:p>
        </w:tc>
        <w:tc>
          <w:tcPr>
            <w:tcW w:w="381" w:type="pct"/>
            <w:tcBorders>
              <w:top w:val="nil"/>
              <w:left w:val="nil"/>
              <w:bottom w:val="nil"/>
              <w:right w:val="nil"/>
            </w:tcBorders>
            <w:shd w:val="clear" w:color="auto" w:fill="auto"/>
            <w:noWrap/>
            <w:hideMark/>
          </w:tcPr>
          <w:p w14:paraId="547DE156" w14:textId="77777777" w:rsidR="00DE10F8" w:rsidRPr="006B42D6" w:rsidRDefault="00DE10F8" w:rsidP="006C676D">
            <w:pPr>
              <w:jc w:val="right"/>
              <w:rPr>
                <w:sz w:val="16"/>
                <w:szCs w:val="16"/>
              </w:rPr>
            </w:pPr>
            <w:r w:rsidRPr="006B42D6">
              <w:rPr>
                <w:sz w:val="16"/>
                <w:szCs w:val="16"/>
              </w:rPr>
              <w:t>2.5</w:t>
            </w:r>
          </w:p>
        </w:tc>
      </w:tr>
      <w:tr w:rsidR="0085694C" w:rsidRPr="006B42D6" w14:paraId="1F295624" w14:textId="77777777" w:rsidTr="0085694C">
        <w:trPr>
          <w:trHeight w:hRule="exact" w:val="255"/>
        </w:trPr>
        <w:tc>
          <w:tcPr>
            <w:tcW w:w="776" w:type="pct"/>
            <w:tcBorders>
              <w:top w:val="nil"/>
              <w:left w:val="nil"/>
              <w:bottom w:val="nil"/>
              <w:right w:val="nil"/>
            </w:tcBorders>
            <w:shd w:val="clear" w:color="auto" w:fill="auto"/>
            <w:noWrap/>
            <w:hideMark/>
          </w:tcPr>
          <w:p w14:paraId="6978D429" w14:textId="77777777" w:rsidR="00DE10F8" w:rsidRPr="006B42D6" w:rsidRDefault="00DE10F8" w:rsidP="006C676D">
            <w:pPr>
              <w:rPr>
                <w:sz w:val="16"/>
                <w:szCs w:val="16"/>
              </w:rPr>
            </w:pPr>
            <w:r w:rsidRPr="006B42D6">
              <w:rPr>
                <w:sz w:val="16"/>
                <w:szCs w:val="16"/>
              </w:rPr>
              <w:t>Kagera</w:t>
            </w:r>
          </w:p>
        </w:tc>
        <w:tc>
          <w:tcPr>
            <w:tcW w:w="445" w:type="pct"/>
            <w:tcBorders>
              <w:top w:val="nil"/>
              <w:left w:val="single" w:sz="4" w:space="0" w:color="auto"/>
              <w:bottom w:val="nil"/>
              <w:right w:val="nil"/>
            </w:tcBorders>
            <w:shd w:val="clear" w:color="auto" w:fill="auto"/>
            <w:noWrap/>
            <w:hideMark/>
          </w:tcPr>
          <w:p w14:paraId="5B7029B2" w14:textId="77777777" w:rsidR="00DE10F8" w:rsidRPr="006B42D6" w:rsidRDefault="00DE10F8" w:rsidP="006C676D">
            <w:pPr>
              <w:jc w:val="right"/>
              <w:rPr>
                <w:sz w:val="16"/>
                <w:szCs w:val="16"/>
              </w:rPr>
            </w:pPr>
            <w:r w:rsidRPr="006B42D6">
              <w:rPr>
                <w:sz w:val="16"/>
                <w:szCs w:val="16"/>
              </w:rPr>
              <w:t>52,527</w:t>
            </w:r>
          </w:p>
        </w:tc>
        <w:tc>
          <w:tcPr>
            <w:tcW w:w="385" w:type="pct"/>
            <w:tcBorders>
              <w:top w:val="nil"/>
              <w:left w:val="nil"/>
              <w:bottom w:val="nil"/>
              <w:right w:val="nil"/>
            </w:tcBorders>
            <w:shd w:val="clear" w:color="auto" w:fill="auto"/>
            <w:noWrap/>
            <w:hideMark/>
          </w:tcPr>
          <w:p w14:paraId="78FC74B7" w14:textId="77777777" w:rsidR="00DE10F8" w:rsidRPr="006B42D6" w:rsidRDefault="00DE10F8" w:rsidP="006C676D">
            <w:pPr>
              <w:jc w:val="right"/>
              <w:rPr>
                <w:sz w:val="16"/>
                <w:szCs w:val="16"/>
              </w:rPr>
            </w:pPr>
            <w:r w:rsidRPr="006B42D6">
              <w:rPr>
                <w:sz w:val="16"/>
                <w:szCs w:val="16"/>
              </w:rPr>
              <w:t>2.6</w:t>
            </w:r>
          </w:p>
        </w:tc>
        <w:tc>
          <w:tcPr>
            <w:tcW w:w="604" w:type="pct"/>
            <w:tcBorders>
              <w:top w:val="nil"/>
              <w:left w:val="single" w:sz="4" w:space="0" w:color="auto"/>
              <w:bottom w:val="nil"/>
              <w:right w:val="nil"/>
            </w:tcBorders>
            <w:shd w:val="clear" w:color="auto" w:fill="auto"/>
            <w:noWrap/>
            <w:hideMark/>
          </w:tcPr>
          <w:p w14:paraId="081695A2" w14:textId="77777777" w:rsidR="00DE10F8" w:rsidRPr="006B42D6" w:rsidRDefault="00DE10F8" w:rsidP="006C676D">
            <w:pPr>
              <w:jc w:val="right"/>
              <w:rPr>
                <w:sz w:val="16"/>
                <w:szCs w:val="16"/>
              </w:rPr>
            </w:pPr>
            <w:r w:rsidRPr="006B42D6">
              <w:rPr>
                <w:sz w:val="16"/>
                <w:szCs w:val="16"/>
              </w:rPr>
              <w:t>310,635</w:t>
            </w:r>
          </w:p>
        </w:tc>
        <w:tc>
          <w:tcPr>
            <w:tcW w:w="386" w:type="pct"/>
            <w:tcBorders>
              <w:top w:val="nil"/>
              <w:left w:val="nil"/>
              <w:bottom w:val="nil"/>
              <w:right w:val="single" w:sz="4" w:space="0" w:color="auto"/>
            </w:tcBorders>
            <w:shd w:val="clear" w:color="auto" w:fill="auto"/>
            <w:noWrap/>
            <w:hideMark/>
          </w:tcPr>
          <w:p w14:paraId="657712C9" w14:textId="77777777" w:rsidR="00DE10F8" w:rsidRPr="006B42D6" w:rsidRDefault="00DE10F8" w:rsidP="006C676D">
            <w:pPr>
              <w:jc w:val="right"/>
              <w:rPr>
                <w:sz w:val="16"/>
                <w:szCs w:val="16"/>
              </w:rPr>
            </w:pPr>
            <w:r w:rsidRPr="006B42D6">
              <w:rPr>
                <w:sz w:val="16"/>
                <w:szCs w:val="16"/>
              </w:rPr>
              <w:t>8.0</w:t>
            </w:r>
          </w:p>
        </w:tc>
        <w:tc>
          <w:tcPr>
            <w:tcW w:w="407" w:type="pct"/>
            <w:tcBorders>
              <w:top w:val="nil"/>
              <w:left w:val="nil"/>
              <w:bottom w:val="nil"/>
              <w:right w:val="nil"/>
            </w:tcBorders>
            <w:shd w:val="clear" w:color="auto" w:fill="auto"/>
            <w:noWrap/>
            <w:hideMark/>
          </w:tcPr>
          <w:p w14:paraId="241885EF" w14:textId="77777777" w:rsidR="00DE10F8" w:rsidRPr="006B42D6" w:rsidRDefault="00DE10F8" w:rsidP="006C676D">
            <w:pPr>
              <w:jc w:val="right"/>
              <w:rPr>
                <w:sz w:val="16"/>
                <w:szCs w:val="16"/>
              </w:rPr>
            </w:pPr>
            <w:r w:rsidRPr="006B42D6">
              <w:rPr>
                <w:sz w:val="16"/>
                <w:szCs w:val="16"/>
              </w:rPr>
              <w:t>9,050</w:t>
            </w:r>
          </w:p>
        </w:tc>
        <w:tc>
          <w:tcPr>
            <w:tcW w:w="388" w:type="pct"/>
            <w:tcBorders>
              <w:top w:val="nil"/>
              <w:left w:val="nil"/>
              <w:bottom w:val="nil"/>
              <w:right w:val="nil"/>
            </w:tcBorders>
            <w:shd w:val="clear" w:color="auto" w:fill="auto"/>
            <w:noWrap/>
            <w:hideMark/>
          </w:tcPr>
          <w:p w14:paraId="5BD6DE4A" w14:textId="77777777" w:rsidR="00DE10F8" w:rsidRPr="006B42D6" w:rsidRDefault="00DE10F8" w:rsidP="006C676D">
            <w:pPr>
              <w:jc w:val="right"/>
              <w:rPr>
                <w:sz w:val="16"/>
                <w:szCs w:val="16"/>
              </w:rPr>
            </w:pPr>
            <w:r w:rsidRPr="006B42D6">
              <w:rPr>
                <w:sz w:val="16"/>
                <w:szCs w:val="16"/>
              </w:rPr>
              <w:t>3.0</w:t>
            </w:r>
          </w:p>
        </w:tc>
        <w:tc>
          <w:tcPr>
            <w:tcW w:w="407" w:type="pct"/>
            <w:tcBorders>
              <w:top w:val="nil"/>
              <w:left w:val="single" w:sz="4" w:space="0" w:color="auto"/>
              <w:bottom w:val="nil"/>
              <w:right w:val="nil"/>
            </w:tcBorders>
            <w:shd w:val="clear" w:color="auto" w:fill="auto"/>
            <w:noWrap/>
            <w:hideMark/>
          </w:tcPr>
          <w:p w14:paraId="5D1AAD20" w14:textId="77777777" w:rsidR="00DE10F8" w:rsidRPr="006B42D6" w:rsidRDefault="00DE10F8" w:rsidP="006C676D">
            <w:pPr>
              <w:jc w:val="right"/>
              <w:rPr>
                <w:sz w:val="16"/>
                <w:szCs w:val="16"/>
              </w:rPr>
            </w:pPr>
            <w:r w:rsidRPr="006B42D6">
              <w:rPr>
                <w:sz w:val="16"/>
                <w:szCs w:val="16"/>
              </w:rPr>
              <w:t>64,399</w:t>
            </w:r>
          </w:p>
        </w:tc>
        <w:tc>
          <w:tcPr>
            <w:tcW w:w="388" w:type="pct"/>
            <w:tcBorders>
              <w:top w:val="nil"/>
              <w:left w:val="nil"/>
              <w:bottom w:val="nil"/>
              <w:right w:val="single" w:sz="4" w:space="0" w:color="auto"/>
            </w:tcBorders>
            <w:shd w:val="clear" w:color="auto" w:fill="auto"/>
            <w:noWrap/>
            <w:hideMark/>
          </w:tcPr>
          <w:p w14:paraId="63708235" w14:textId="77777777" w:rsidR="00DE10F8" w:rsidRPr="006B42D6" w:rsidRDefault="00DE10F8" w:rsidP="006C676D">
            <w:pPr>
              <w:jc w:val="right"/>
              <w:rPr>
                <w:sz w:val="16"/>
                <w:szCs w:val="16"/>
              </w:rPr>
            </w:pPr>
            <w:r w:rsidRPr="006B42D6">
              <w:rPr>
                <w:sz w:val="16"/>
                <w:szCs w:val="16"/>
              </w:rPr>
              <w:t>9.2</w:t>
            </w:r>
          </w:p>
        </w:tc>
        <w:tc>
          <w:tcPr>
            <w:tcW w:w="434" w:type="pct"/>
            <w:tcBorders>
              <w:top w:val="nil"/>
              <w:left w:val="nil"/>
              <w:bottom w:val="nil"/>
              <w:right w:val="nil"/>
            </w:tcBorders>
            <w:shd w:val="clear" w:color="auto" w:fill="auto"/>
            <w:noWrap/>
            <w:hideMark/>
          </w:tcPr>
          <w:p w14:paraId="6E40266F" w14:textId="77777777" w:rsidR="00DE10F8" w:rsidRPr="006B42D6" w:rsidRDefault="00DE10F8" w:rsidP="006C676D">
            <w:pPr>
              <w:jc w:val="right"/>
              <w:rPr>
                <w:sz w:val="16"/>
                <w:szCs w:val="16"/>
              </w:rPr>
            </w:pPr>
            <w:r w:rsidRPr="006B42D6">
              <w:rPr>
                <w:sz w:val="16"/>
                <w:szCs w:val="16"/>
              </w:rPr>
              <w:t>41,436</w:t>
            </w:r>
          </w:p>
        </w:tc>
        <w:tc>
          <w:tcPr>
            <w:tcW w:w="381" w:type="pct"/>
            <w:tcBorders>
              <w:top w:val="nil"/>
              <w:left w:val="nil"/>
              <w:bottom w:val="nil"/>
              <w:right w:val="nil"/>
            </w:tcBorders>
            <w:shd w:val="clear" w:color="auto" w:fill="auto"/>
            <w:noWrap/>
            <w:hideMark/>
          </w:tcPr>
          <w:p w14:paraId="2E0F61D8" w14:textId="77777777" w:rsidR="00DE10F8" w:rsidRPr="006B42D6" w:rsidRDefault="00DE10F8" w:rsidP="006C676D">
            <w:pPr>
              <w:jc w:val="right"/>
              <w:rPr>
                <w:sz w:val="16"/>
                <w:szCs w:val="16"/>
              </w:rPr>
            </w:pPr>
            <w:r w:rsidRPr="006B42D6">
              <w:rPr>
                <w:sz w:val="16"/>
                <w:szCs w:val="16"/>
              </w:rPr>
              <w:t>14.7</w:t>
            </w:r>
          </w:p>
        </w:tc>
      </w:tr>
      <w:tr w:rsidR="0085694C" w:rsidRPr="006B42D6" w14:paraId="5351475C" w14:textId="77777777" w:rsidTr="0085694C">
        <w:trPr>
          <w:trHeight w:hRule="exact" w:val="255"/>
        </w:trPr>
        <w:tc>
          <w:tcPr>
            <w:tcW w:w="776" w:type="pct"/>
            <w:tcBorders>
              <w:top w:val="nil"/>
              <w:left w:val="nil"/>
              <w:bottom w:val="nil"/>
              <w:right w:val="nil"/>
            </w:tcBorders>
            <w:shd w:val="clear" w:color="auto" w:fill="auto"/>
            <w:noWrap/>
            <w:hideMark/>
          </w:tcPr>
          <w:p w14:paraId="0FDA5F2D" w14:textId="77777777" w:rsidR="00DE10F8" w:rsidRPr="006B42D6" w:rsidRDefault="00DE10F8" w:rsidP="006C676D">
            <w:pPr>
              <w:rPr>
                <w:sz w:val="16"/>
                <w:szCs w:val="16"/>
              </w:rPr>
            </w:pPr>
            <w:r w:rsidRPr="006B42D6">
              <w:rPr>
                <w:sz w:val="16"/>
                <w:szCs w:val="16"/>
              </w:rPr>
              <w:t>Mwanza</w:t>
            </w:r>
          </w:p>
        </w:tc>
        <w:tc>
          <w:tcPr>
            <w:tcW w:w="445" w:type="pct"/>
            <w:tcBorders>
              <w:top w:val="nil"/>
              <w:left w:val="single" w:sz="4" w:space="0" w:color="auto"/>
              <w:bottom w:val="nil"/>
              <w:right w:val="nil"/>
            </w:tcBorders>
            <w:shd w:val="clear" w:color="auto" w:fill="auto"/>
            <w:noWrap/>
            <w:hideMark/>
          </w:tcPr>
          <w:p w14:paraId="4781E863" w14:textId="77777777" w:rsidR="00DE10F8" w:rsidRPr="006B42D6" w:rsidRDefault="00DE10F8" w:rsidP="006C676D">
            <w:pPr>
              <w:jc w:val="right"/>
              <w:rPr>
                <w:sz w:val="16"/>
                <w:szCs w:val="16"/>
              </w:rPr>
            </w:pPr>
            <w:r w:rsidRPr="006B42D6">
              <w:rPr>
                <w:sz w:val="16"/>
                <w:szCs w:val="16"/>
              </w:rPr>
              <w:t>30,868</w:t>
            </w:r>
          </w:p>
        </w:tc>
        <w:tc>
          <w:tcPr>
            <w:tcW w:w="385" w:type="pct"/>
            <w:tcBorders>
              <w:top w:val="nil"/>
              <w:left w:val="nil"/>
              <w:bottom w:val="nil"/>
              <w:right w:val="nil"/>
            </w:tcBorders>
            <w:shd w:val="clear" w:color="auto" w:fill="auto"/>
            <w:noWrap/>
            <w:hideMark/>
          </w:tcPr>
          <w:p w14:paraId="5DBCE9CA" w14:textId="77777777" w:rsidR="00DE10F8" w:rsidRPr="006B42D6" w:rsidRDefault="00DE10F8" w:rsidP="006C676D">
            <w:pPr>
              <w:jc w:val="right"/>
              <w:rPr>
                <w:sz w:val="16"/>
                <w:szCs w:val="16"/>
              </w:rPr>
            </w:pPr>
            <w:r w:rsidRPr="006B42D6">
              <w:rPr>
                <w:sz w:val="16"/>
                <w:szCs w:val="16"/>
              </w:rPr>
              <w:t>1.5</w:t>
            </w:r>
          </w:p>
        </w:tc>
        <w:tc>
          <w:tcPr>
            <w:tcW w:w="604" w:type="pct"/>
            <w:tcBorders>
              <w:top w:val="nil"/>
              <w:left w:val="single" w:sz="4" w:space="0" w:color="auto"/>
              <w:bottom w:val="nil"/>
              <w:right w:val="nil"/>
            </w:tcBorders>
            <w:shd w:val="clear" w:color="auto" w:fill="auto"/>
            <w:noWrap/>
            <w:hideMark/>
          </w:tcPr>
          <w:p w14:paraId="3361E3B1" w14:textId="77777777" w:rsidR="00DE10F8" w:rsidRPr="006B42D6" w:rsidRDefault="00DE10F8" w:rsidP="006C676D">
            <w:pPr>
              <w:jc w:val="right"/>
              <w:rPr>
                <w:sz w:val="16"/>
                <w:szCs w:val="16"/>
              </w:rPr>
            </w:pPr>
            <w:r w:rsidRPr="006B42D6">
              <w:rPr>
                <w:sz w:val="16"/>
                <w:szCs w:val="16"/>
              </w:rPr>
              <w:t>251,180</w:t>
            </w:r>
          </w:p>
        </w:tc>
        <w:tc>
          <w:tcPr>
            <w:tcW w:w="386" w:type="pct"/>
            <w:tcBorders>
              <w:top w:val="nil"/>
              <w:left w:val="nil"/>
              <w:bottom w:val="nil"/>
              <w:right w:val="single" w:sz="4" w:space="0" w:color="auto"/>
            </w:tcBorders>
            <w:shd w:val="clear" w:color="auto" w:fill="auto"/>
            <w:noWrap/>
            <w:hideMark/>
          </w:tcPr>
          <w:p w14:paraId="4D68DA10" w14:textId="77777777" w:rsidR="00DE10F8" w:rsidRPr="006B42D6" w:rsidRDefault="00DE10F8" w:rsidP="006C676D">
            <w:pPr>
              <w:jc w:val="right"/>
              <w:rPr>
                <w:sz w:val="16"/>
                <w:szCs w:val="16"/>
              </w:rPr>
            </w:pPr>
            <w:r w:rsidRPr="006B42D6">
              <w:rPr>
                <w:sz w:val="16"/>
                <w:szCs w:val="16"/>
              </w:rPr>
              <w:t>6.5</w:t>
            </w:r>
          </w:p>
        </w:tc>
        <w:tc>
          <w:tcPr>
            <w:tcW w:w="407" w:type="pct"/>
            <w:tcBorders>
              <w:top w:val="nil"/>
              <w:left w:val="nil"/>
              <w:bottom w:val="nil"/>
              <w:right w:val="nil"/>
            </w:tcBorders>
            <w:shd w:val="clear" w:color="auto" w:fill="auto"/>
            <w:noWrap/>
            <w:hideMark/>
          </w:tcPr>
          <w:p w14:paraId="4A826CB5" w14:textId="77777777" w:rsidR="00DE10F8" w:rsidRPr="006B42D6" w:rsidRDefault="00DE10F8" w:rsidP="006C676D">
            <w:pPr>
              <w:jc w:val="right"/>
              <w:rPr>
                <w:sz w:val="16"/>
                <w:szCs w:val="16"/>
              </w:rPr>
            </w:pPr>
            <w:r w:rsidRPr="006B42D6">
              <w:rPr>
                <w:sz w:val="16"/>
                <w:szCs w:val="16"/>
              </w:rPr>
              <w:t>3,900</w:t>
            </w:r>
          </w:p>
        </w:tc>
        <w:tc>
          <w:tcPr>
            <w:tcW w:w="388" w:type="pct"/>
            <w:tcBorders>
              <w:top w:val="nil"/>
              <w:left w:val="nil"/>
              <w:bottom w:val="nil"/>
              <w:right w:val="nil"/>
            </w:tcBorders>
            <w:shd w:val="clear" w:color="auto" w:fill="auto"/>
            <w:noWrap/>
            <w:hideMark/>
          </w:tcPr>
          <w:p w14:paraId="08912DE1" w14:textId="77777777" w:rsidR="00DE10F8" w:rsidRPr="006B42D6" w:rsidRDefault="00DE10F8" w:rsidP="006C676D">
            <w:pPr>
              <w:jc w:val="right"/>
              <w:rPr>
                <w:sz w:val="16"/>
                <w:szCs w:val="16"/>
              </w:rPr>
            </w:pPr>
            <w:r w:rsidRPr="006B42D6">
              <w:rPr>
                <w:sz w:val="16"/>
                <w:szCs w:val="16"/>
              </w:rPr>
              <w:t>1.3</w:t>
            </w:r>
          </w:p>
        </w:tc>
        <w:tc>
          <w:tcPr>
            <w:tcW w:w="407" w:type="pct"/>
            <w:tcBorders>
              <w:top w:val="nil"/>
              <w:left w:val="single" w:sz="4" w:space="0" w:color="auto"/>
              <w:bottom w:val="nil"/>
              <w:right w:val="nil"/>
            </w:tcBorders>
            <w:shd w:val="clear" w:color="auto" w:fill="auto"/>
            <w:noWrap/>
            <w:hideMark/>
          </w:tcPr>
          <w:p w14:paraId="4499C736" w14:textId="77777777" w:rsidR="00DE10F8" w:rsidRPr="006B42D6" w:rsidRDefault="00DE10F8" w:rsidP="006C676D">
            <w:pPr>
              <w:jc w:val="right"/>
              <w:rPr>
                <w:sz w:val="16"/>
                <w:szCs w:val="16"/>
              </w:rPr>
            </w:pPr>
            <w:r w:rsidRPr="006B42D6">
              <w:rPr>
                <w:sz w:val="16"/>
                <w:szCs w:val="16"/>
              </w:rPr>
              <w:t>25,475</w:t>
            </w:r>
          </w:p>
        </w:tc>
        <w:tc>
          <w:tcPr>
            <w:tcW w:w="388" w:type="pct"/>
            <w:tcBorders>
              <w:top w:val="nil"/>
              <w:left w:val="nil"/>
              <w:bottom w:val="nil"/>
              <w:right w:val="single" w:sz="4" w:space="0" w:color="auto"/>
            </w:tcBorders>
            <w:shd w:val="clear" w:color="auto" w:fill="auto"/>
            <w:noWrap/>
            <w:hideMark/>
          </w:tcPr>
          <w:p w14:paraId="5A7C3E7A" w14:textId="77777777" w:rsidR="00DE10F8" w:rsidRPr="006B42D6" w:rsidRDefault="00DE10F8" w:rsidP="006C676D">
            <w:pPr>
              <w:jc w:val="right"/>
              <w:rPr>
                <w:sz w:val="16"/>
                <w:szCs w:val="16"/>
              </w:rPr>
            </w:pPr>
            <w:r w:rsidRPr="006B42D6">
              <w:rPr>
                <w:sz w:val="16"/>
                <w:szCs w:val="16"/>
              </w:rPr>
              <w:t>3.6</w:t>
            </w:r>
          </w:p>
        </w:tc>
        <w:tc>
          <w:tcPr>
            <w:tcW w:w="434" w:type="pct"/>
            <w:tcBorders>
              <w:top w:val="nil"/>
              <w:left w:val="nil"/>
              <w:bottom w:val="nil"/>
              <w:right w:val="nil"/>
            </w:tcBorders>
            <w:shd w:val="clear" w:color="auto" w:fill="auto"/>
            <w:noWrap/>
            <w:hideMark/>
          </w:tcPr>
          <w:p w14:paraId="6B75C2AE" w14:textId="77777777" w:rsidR="00DE10F8" w:rsidRPr="006B42D6" w:rsidRDefault="00DE10F8" w:rsidP="006C676D">
            <w:pPr>
              <w:jc w:val="right"/>
              <w:rPr>
                <w:sz w:val="16"/>
                <w:szCs w:val="16"/>
              </w:rPr>
            </w:pPr>
            <w:r w:rsidRPr="006B42D6">
              <w:rPr>
                <w:sz w:val="16"/>
                <w:szCs w:val="16"/>
              </w:rPr>
              <w:t>14,534</w:t>
            </w:r>
          </w:p>
        </w:tc>
        <w:tc>
          <w:tcPr>
            <w:tcW w:w="381" w:type="pct"/>
            <w:tcBorders>
              <w:top w:val="nil"/>
              <w:left w:val="nil"/>
              <w:bottom w:val="nil"/>
              <w:right w:val="nil"/>
            </w:tcBorders>
            <w:shd w:val="clear" w:color="auto" w:fill="auto"/>
            <w:noWrap/>
            <w:hideMark/>
          </w:tcPr>
          <w:p w14:paraId="1FBA90CA" w14:textId="77777777" w:rsidR="00DE10F8" w:rsidRPr="006B42D6" w:rsidRDefault="00DE10F8" w:rsidP="006C676D">
            <w:pPr>
              <w:jc w:val="right"/>
              <w:rPr>
                <w:sz w:val="16"/>
                <w:szCs w:val="16"/>
              </w:rPr>
            </w:pPr>
            <w:r w:rsidRPr="006B42D6">
              <w:rPr>
                <w:sz w:val="16"/>
                <w:szCs w:val="16"/>
              </w:rPr>
              <w:t>5.2</w:t>
            </w:r>
          </w:p>
        </w:tc>
      </w:tr>
      <w:tr w:rsidR="0085694C" w:rsidRPr="006B42D6" w14:paraId="5BF2F0E0" w14:textId="77777777" w:rsidTr="0085694C">
        <w:trPr>
          <w:trHeight w:hRule="exact" w:val="255"/>
        </w:trPr>
        <w:tc>
          <w:tcPr>
            <w:tcW w:w="776" w:type="pct"/>
            <w:tcBorders>
              <w:top w:val="nil"/>
              <w:left w:val="nil"/>
              <w:bottom w:val="nil"/>
              <w:right w:val="nil"/>
            </w:tcBorders>
            <w:shd w:val="clear" w:color="auto" w:fill="auto"/>
            <w:noWrap/>
            <w:hideMark/>
          </w:tcPr>
          <w:p w14:paraId="702B742D" w14:textId="77777777" w:rsidR="00DE10F8" w:rsidRPr="006B42D6" w:rsidRDefault="00DE10F8" w:rsidP="006C676D">
            <w:pPr>
              <w:rPr>
                <w:sz w:val="16"/>
                <w:szCs w:val="16"/>
              </w:rPr>
            </w:pPr>
            <w:r w:rsidRPr="006B42D6">
              <w:rPr>
                <w:sz w:val="16"/>
                <w:szCs w:val="16"/>
              </w:rPr>
              <w:t>Mara</w:t>
            </w:r>
          </w:p>
        </w:tc>
        <w:tc>
          <w:tcPr>
            <w:tcW w:w="445" w:type="pct"/>
            <w:tcBorders>
              <w:top w:val="nil"/>
              <w:left w:val="single" w:sz="4" w:space="0" w:color="auto"/>
              <w:bottom w:val="nil"/>
              <w:right w:val="nil"/>
            </w:tcBorders>
            <w:shd w:val="clear" w:color="auto" w:fill="auto"/>
            <w:noWrap/>
            <w:hideMark/>
          </w:tcPr>
          <w:p w14:paraId="4E14E7CB" w14:textId="77777777" w:rsidR="00DE10F8" w:rsidRPr="006B42D6" w:rsidRDefault="00DE10F8" w:rsidP="006C676D">
            <w:pPr>
              <w:jc w:val="right"/>
              <w:rPr>
                <w:sz w:val="16"/>
                <w:szCs w:val="16"/>
              </w:rPr>
            </w:pPr>
            <w:r w:rsidRPr="006B42D6">
              <w:rPr>
                <w:sz w:val="16"/>
                <w:szCs w:val="16"/>
              </w:rPr>
              <w:t>59,020</w:t>
            </w:r>
          </w:p>
        </w:tc>
        <w:tc>
          <w:tcPr>
            <w:tcW w:w="385" w:type="pct"/>
            <w:tcBorders>
              <w:top w:val="nil"/>
              <w:left w:val="nil"/>
              <w:bottom w:val="nil"/>
              <w:right w:val="nil"/>
            </w:tcBorders>
            <w:shd w:val="clear" w:color="auto" w:fill="auto"/>
            <w:noWrap/>
            <w:hideMark/>
          </w:tcPr>
          <w:p w14:paraId="130D43EB" w14:textId="77777777" w:rsidR="00DE10F8" w:rsidRPr="006B42D6" w:rsidRDefault="00DE10F8" w:rsidP="006C676D">
            <w:pPr>
              <w:jc w:val="right"/>
              <w:rPr>
                <w:sz w:val="16"/>
                <w:szCs w:val="16"/>
              </w:rPr>
            </w:pPr>
            <w:r w:rsidRPr="006B42D6">
              <w:rPr>
                <w:sz w:val="16"/>
                <w:szCs w:val="16"/>
              </w:rPr>
              <w:t>2.9</w:t>
            </w:r>
          </w:p>
        </w:tc>
        <w:tc>
          <w:tcPr>
            <w:tcW w:w="604" w:type="pct"/>
            <w:tcBorders>
              <w:top w:val="nil"/>
              <w:left w:val="single" w:sz="4" w:space="0" w:color="auto"/>
              <w:bottom w:val="nil"/>
              <w:right w:val="nil"/>
            </w:tcBorders>
            <w:shd w:val="clear" w:color="auto" w:fill="auto"/>
            <w:noWrap/>
            <w:hideMark/>
          </w:tcPr>
          <w:p w14:paraId="7EF35ACB" w14:textId="77777777" w:rsidR="00DE10F8" w:rsidRPr="006B42D6" w:rsidRDefault="00DE10F8" w:rsidP="006C676D">
            <w:pPr>
              <w:jc w:val="right"/>
              <w:rPr>
                <w:sz w:val="16"/>
                <w:szCs w:val="16"/>
              </w:rPr>
            </w:pPr>
            <w:r w:rsidRPr="006B42D6">
              <w:rPr>
                <w:sz w:val="16"/>
                <w:szCs w:val="16"/>
              </w:rPr>
              <w:t>251,333</w:t>
            </w:r>
          </w:p>
        </w:tc>
        <w:tc>
          <w:tcPr>
            <w:tcW w:w="386" w:type="pct"/>
            <w:tcBorders>
              <w:top w:val="nil"/>
              <w:left w:val="nil"/>
              <w:bottom w:val="nil"/>
              <w:right w:val="single" w:sz="4" w:space="0" w:color="auto"/>
            </w:tcBorders>
            <w:shd w:val="clear" w:color="auto" w:fill="auto"/>
            <w:noWrap/>
            <w:hideMark/>
          </w:tcPr>
          <w:p w14:paraId="58EF2870" w14:textId="77777777" w:rsidR="00DE10F8" w:rsidRPr="006B42D6" w:rsidRDefault="00DE10F8" w:rsidP="006C676D">
            <w:pPr>
              <w:jc w:val="right"/>
              <w:rPr>
                <w:sz w:val="16"/>
                <w:szCs w:val="16"/>
              </w:rPr>
            </w:pPr>
            <w:r w:rsidRPr="006B42D6">
              <w:rPr>
                <w:sz w:val="16"/>
                <w:szCs w:val="16"/>
              </w:rPr>
              <w:t>6.5</w:t>
            </w:r>
          </w:p>
        </w:tc>
        <w:tc>
          <w:tcPr>
            <w:tcW w:w="407" w:type="pct"/>
            <w:tcBorders>
              <w:top w:val="nil"/>
              <w:left w:val="nil"/>
              <w:bottom w:val="nil"/>
              <w:right w:val="nil"/>
            </w:tcBorders>
            <w:shd w:val="clear" w:color="auto" w:fill="auto"/>
            <w:noWrap/>
            <w:hideMark/>
          </w:tcPr>
          <w:p w14:paraId="69EF32EB" w14:textId="77777777" w:rsidR="00DE10F8" w:rsidRPr="006B42D6" w:rsidRDefault="00DE10F8" w:rsidP="006C676D">
            <w:pPr>
              <w:jc w:val="right"/>
              <w:rPr>
                <w:sz w:val="16"/>
                <w:szCs w:val="16"/>
              </w:rPr>
            </w:pPr>
            <w:r w:rsidRPr="006B42D6">
              <w:rPr>
                <w:sz w:val="16"/>
                <w:szCs w:val="16"/>
              </w:rPr>
              <w:t>2,004</w:t>
            </w:r>
          </w:p>
        </w:tc>
        <w:tc>
          <w:tcPr>
            <w:tcW w:w="388" w:type="pct"/>
            <w:tcBorders>
              <w:top w:val="nil"/>
              <w:left w:val="nil"/>
              <w:bottom w:val="nil"/>
              <w:right w:val="nil"/>
            </w:tcBorders>
            <w:shd w:val="clear" w:color="auto" w:fill="auto"/>
            <w:noWrap/>
            <w:hideMark/>
          </w:tcPr>
          <w:p w14:paraId="1881403C" w14:textId="77777777" w:rsidR="00DE10F8" w:rsidRPr="006B42D6" w:rsidRDefault="00DE10F8" w:rsidP="006C676D">
            <w:pPr>
              <w:jc w:val="right"/>
              <w:rPr>
                <w:sz w:val="16"/>
                <w:szCs w:val="16"/>
              </w:rPr>
            </w:pPr>
            <w:r w:rsidRPr="006B42D6">
              <w:rPr>
                <w:sz w:val="16"/>
                <w:szCs w:val="16"/>
              </w:rPr>
              <w:t>0.7</w:t>
            </w:r>
          </w:p>
        </w:tc>
        <w:tc>
          <w:tcPr>
            <w:tcW w:w="407" w:type="pct"/>
            <w:tcBorders>
              <w:top w:val="nil"/>
              <w:left w:val="single" w:sz="4" w:space="0" w:color="auto"/>
              <w:bottom w:val="nil"/>
              <w:right w:val="nil"/>
            </w:tcBorders>
            <w:shd w:val="clear" w:color="auto" w:fill="auto"/>
            <w:noWrap/>
            <w:hideMark/>
          </w:tcPr>
          <w:p w14:paraId="3189EFA0" w14:textId="77777777" w:rsidR="00DE10F8" w:rsidRPr="006B42D6" w:rsidRDefault="00DE10F8" w:rsidP="006C676D">
            <w:pPr>
              <w:jc w:val="right"/>
              <w:rPr>
                <w:sz w:val="16"/>
                <w:szCs w:val="16"/>
              </w:rPr>
            </w:pPr>
            <w:r w:rsidRPr="006B42D6">
              <w:rPr>
                <w:sz w:val="16"/>
                <w:szCs w:val="16"/>
              </w:rPr>
              <w:t>20,400</w:t>
            </w:r>
          </w:p>
        </w:tc>
        <w:tc>
          <w:tcPr>
            <w:tcW w:w="388" w:type="pct"/>
            <w:tcBorders>
              <w:top w:val="nil"/>
              <w:left w:val="nil"/>
              <w:bottom w:val="nil"/>
              <w:right w:val="single" w:sz="4" w:space="0" w:color="auto"/>
            </w:tcBorders>
            <w:shd w:val="clear" w:color="auto" w:fill="auto"/>
            <w:noWrap/>
            <w:hideMark/>
          </w:tcPr>
          <w:p w14:paraId="13BA9EF3" w14:textId="77777777" w:rsidR="00DE10F8" w:rsidRPr="006B42D6" w:rsidRDefault="00DE10F8" w:rsidP="006C676D">
            <w:pPr>
              <w:jc w:val="right"/>
              <w:rPr>
                <w:sz w:val="16"/>
                <w:szCs w:val="16"/>
              </w:rPr>
            </w:pPr>
            <w:r w:rsidRPr="006B42D6">
              <w:rPr>
                <w:sz w:val="16"/>
                <w:szCs w:val="16"/>
              </w:rPr>
              <w:t>2.9</w:t>
            </w:r>
          </w:p>
        </w:tc>
        <w:tc>
          <w:tcPr>
            <w:tcW w:w="434" w:type="pct"/>
            <w:tcBorders>
              <w:top w:val="nil"/>
              <w:left w:val="nil"/>
              <w:bottom w:val="nil"/>
              <w:right w:val="nil"/>
            </w:tcBorders>
            <w:shd w:val="clear" w:color="auto" w:fill="auto"/>
            <w:noWrap/>
            <w:hideMark/>
          </w:tcPr>
          <w:p w14:paraId="7970913D" w14:textId="77777777" w:rsidR="00DE10F8" w:rsidRPr="006B42D6" w:rsidRDefault="00DE10F8" w:rsidP="006C676D">
            <w:pPr>
              <w:jc w:val="right"/>
              <w:rPr>
                <w:sz w:val="16"/>
                <w:szCs w:val="16"/>
              </w:rPr>
            </w:pPr>
            <w:r w:rsidRPr="006B42D6">
              <w:rPr>
                <w:sz w:val="16"/>
                <w:szCs w:val="16"/>
              </w:rPr>
              <w:t>438</w:t>
            </w:r>
          </w:p>
        </w:tc>
        <w:tc>
          <w:tcPr>
            <w:tcW w:w="381" w:type="pct"/>
            <w:tcBorders>
              <w:top w:val="nil"/>
              <w:left w:val="nil"/>
              <w:bottom w:val="nil"/>
              <w:right w:val="nil"/>
            </w:tcBorders>
            <w:shd w:val="clear" w:color="auto" w:fill="auto"/>
            <w:noWrap/>
            <w:hideMark/>
          </w:tcPr>
          <w:p w14:paraId="6E80BD81" w14:textId="77777777" w:rsidR="00DE10F8" w:rsidRPr="006B42D6" w:rsidRDefault="00DE10F8" w:rsidP="006C676D">
            <w:pPr>
              <w:jc w:val="right"/>
              <w:rPr>
                <w:sz w:val="16"/>
                <w:szCs w:val="16"/>
              </w:rPr>
            </w:pPr>
            <w:r w:rsidRPr="006B42D6">
              <w:rPr>
                <w:sz w:val="16"/>
                <w:szCs w:val="16"/>
              </w:rPr>
              <w:t>0.2</w:t>
            </w:r>
          </w:p>
        </w:tc>
      </w:tr>
      <w:tr w:rsidR="0085694C" w:rsidRPr="006B42D6" w14:paraId="5BF910FE" w14:textId="77777777" w:rsidTr="0085694C">
        <w:trPr>
          <w:trHeight w:hRule="exact" w:val="255"/>
        </w:trPr>
        <w:tc>
          <w:tcPr>
            <w:tcW w:w="776" w:type="pct"/>
            <w:tcBorders>
              <w:top w:val="nil"/>
              <w:left w:val="nil"/>
              <w:bottom w:val="nil"/>
              <w:right w:val="nil"/>
            </w:tcBorders>
            <w:shd w:val="clear" w:color="auto" w:fill="auto"/>
            <w:noWrap/>
            <w:hideMark/>
          </w:tcPr>
          <w:p w14:paraId="120FBAB0" w14:textId="77777777" w:rsidR="00DE10F8" w:rsidRPr="006B42D6" w:rsidRDefault="00DE10F8" w:rsidP="006C676D">
            <w:pPr>
              <w:rPr>
                <w:sz w:val="16"/>
                <w:szCs w:val="16"/>
              </w:rPr>
            </w:pPr>
            <w:r w:rsidRPr="006B42D6">
              <w:rPr>
                <w:sz w:val="16"/>
                <w:szCs w:val="16"/>
              </w:rPr>
              <w:t>Manyara</w:t>
            </w:r>
          </w:p>
        </w:tc>
        <w:tc>
          <w:tcPr>
            <w:tcW w:w="445" w:type="pct"/>
            <w:tcBorders>
              <w:top w:val="nil"/>
              <w:left w:val="single" w:sz="4" w:space="0" w:color="auto"/>
              <w:bottom w:val="nil"/>
              <w:right w:val="nil"/>
            </w:tcBorders>
            <w:shd w:val="clear" w:color="auto" w:fill="auto"/>
            <w:noWrap/>
            <w:hideMark/>
          </w:tcPr>
          <w:p w14:paraId="0079A857" w14:textId="77777777" w:rsidR="00DE10F8" w:rsidRPr="006B42D6" w:rsidRDefault="00DE10F8" w:rsidP="006C676D">
            <w:pPr>
              <w:jc w:val="right"/>
              <w:rPr>
                <w:sz w:val="16"/>
                <w:szCs w:val="16"/>
              </w:rPr>
            </w:pPr>
            <w:r w:rsidRPr="006B42D6">
              <w:rPr>
                <w:sz w:val="16"/>
                <w:szCs w:val="16"/>
              </w:rPr>
              <w:t>82,883</w:t>
            </w:r>
          </w:p>
        </w:tc>
        <w:tc>
          <w:tcPr>
            <w:tcW w:w="385" w:type="pct"/>
            <w:tcBorders>
              <w:top w:val="nil"/>
              <w:left w:val="nil"/>
              <w:bottom w:val="nil"/>
              <w:right w:val="nil"/>
            </w:tcBorders>
            <w:shd w:val="clear" w:color="auto" w:fill="auto"/>
            <w:noWrap/>
            <w:hideMark/>
          </w:tcPr>
          <w:p w14:paraId="563BC023" w14:textId="77777777" w:rsidR="00DE10F8" w:rsidRPr="006B42D6" w:rsidRDefault="00DE10F8" w:rsidP="006C676D">
            <w:pPr>
              <w:jc w:val="right"/>
              <w:rPr>
                <w:sz w:val="16"/>
                <w:szCs w:val="16"/>
              </w:rPr>
            </w:pPr>
            <w:r w:rsidRPr="006B42D6">
              <w:rPr>
                <w:sz w:val="16"/>
                <w:szCs w:val="16"/>
              </w:rPr>
              <w:t>4.1</w:t>
            </w:r>
          </w:p>
        </w:tc>
        <w:tc>
          <w:tcPr>
            <w:tcW w:w="604" w:type="pct"/>
            <w:tcBorders>
              <w:top w:val="nil"/>
              <w:left w:val="single" w:sz="4" w:space="0" w:color="auto"/>
              <w:bottom w:val="nil"/>
              <w:right w:val="nil"/>
            </w:tcBorders>
            <w:shd w:val="clear" w:color="auto" w:fill="auto"/>
            <w:noWrap/>
            <w:hideMark/>
          </w:tcPr>
          <w:p w14:paraId="4D46D0D6" w14:textId="77777777" w:rsidR="00DE10F8" w:rsidRPr="006B42D6" w:rsidRDefault="00DE10F8" w:rsidP="006C676D">
            <w:pPr>
              <w:jc w:val="right"/>
              <w:rPr>
                <w:sz w:val="16"/>
                <w:szCs w:val="16"/>
              </w:rPr>
            </w:pPr>
            <w:r w:rsidRPr="006B42D6">
              <w:rPr>
                <w:sz w:val="16"/>
                <w:szCs w:val="16"/>
              </w:rPr>
              <w:t>182,464</w:t>
            </w:r>
          </w:p>
        </w:tc>
        <w:tc>
          <w:tcPr>
            <w:tcW w:w="386" w:type="pct"/>
            <w:tcBorders>
              <w:top w:val="nil"/>
              <w:left w:val="nil"/>
              <w:bottom w:val="nil"/>
              <w:right w:val="single" w:sz="4" w:space="0" w:color="auto"/>
            </w:tcBorders>
            <w:shd w:val="clear" w:color="auto" w:fill="auto"/>
            <w:noWrap/>
            <w:hideMark/>
          </w:tcPr>
          <w:p w14:paraId="30C68A0B" w14:textId="77777777" w:rsidR="00DE10F8" w:rsidRPr="006B42D6" w:rsidRDefault="00DE10F8" w:rsidP="006C676D">
            <w:pPr>
              <w:jc w:val="right"/>
              <w:rPr>
                <w:sz w:val="16"/>
                <w:szCs w:val="16"/>
              </w:rPr>
            </w:pPr>
            <w:r w:rsidRPr="006B42D6">
              <w:rPr>
                <w:sz w:val="16"/>
                <w:szCs w:val="16"/>
              </w:rPr>
              <w:t>4.7</w:t>
            </w:r>
          </w:p>
        </w:tc>
        <w:tc>
          <w:tcPr>
            <w:tcW w:w="407" w:type="pct"/>
            <w:tcBorders>
              <w:top w:val="nil"/>
              <w:left w:val="nil"/>
              <w:bottom w:val="nil"/>
              <w:right w:val="nil"/>
            </w:tcBorders>
            <w:shd w:val="clear" w:color="auto" w:fill="auto"/>
            <w:noWrap/>
            <w:hideMark/>
          </w:tcPr>
          <w:p w14:paraId="4BAA9BD7" w14:textId="77777777" w:rsidR="00DE10F8" w:rsidRPr="006B42D6" w:rsidRDefault="00DE10F8" w:rsidP="006C676D">
            <w:pPr>
              <w:jc w:val="right"/>
              <w:rPr>
                <w:sz w:val="16"/>
                <w:szCs w:val="16"/>
              </w:rPr>
            </w:pPr>
            <w:r w:rsidRPr="006B42D6">
              <w:rPr>
                <w:sz w:val="16"/>
                <w:szCs w:val="16"/>
              </w:rPr>
              <w:t>70,574</w:t>
            </w:r>
          </w:p>
        </w:tc>
        <w:tc>
          <w:tcPr>
            <w:tcW w:w="388" w:type="pct"/>
            <w:tcBorders>
              <w:top w:val="nil"/>
              <w:left w:val="nil"/>
              <w:bottom w:val="nil"/>
              <w:right w:val="nil"/>
            </w:tcBorders>
            <w:shd w:val="clear" w:color="auto" w:fill="auto"/>
            <w:noWrap/>
            <w:hideMark/>
          </w:tcPr>
          <w:p w14:paraId="6B296AC2" w14:textId="77777777" w:rsidR="00DE10F8" w:rsidRPr="006B42D6" w:rsidRDefault="00DE10F8" w:rsidP="006C676D">
            <w:pPr>
              <w:jc w:val="right"/>
              <w:rPr>
                <w:sz w:val="16"/>
                <w:szCs w:val="16"/>
              </w:rPr>
            </w:pPr>
            <w:r w:rsidRPr="006B42D6">
              <w:rPr>
                <w:sz w:val="16"/>
                <w:szCs w:val="16"/>
              </w:rPr>
              <w:t>23.5</w:t>
            </w:r>
          </w:p>
        </w:tc>
        <w:tc>
          <w:tcPr>
            <w:tcW w:w="407" w:type="pct"/>
            <w:tcBorders>
              <w:top w:val="nil"/>
              <w:left w:val="single" w:sz="4" w:space="0" w:color="auto"/>
              <w:bottom w:val="nil"/>
              <w:right w:val="nil"/>
            </w:tcBorders>
            <w:shd w:val="clear" w:color="auto" w:fill="auto"/>
            <w:noWrap/>
            <w:hideMark/>
          </w:tcPr>
          <w:p w14:paraId="2EF184A5" w14:textId="77777777" w:rsidR="00DE10F8" w:rsidRPr="006B42D6" w:rsidRDefault="00DE10F8" w:rsidP="006C676D">
            <w:pPr>
              <w:jc w:val="right"/>
              <w:rPr>
                <w:sz w:val="16"/>
                <w:szCs w:val="16"/>
              </w:rPr>
            </w:pPr>
            <w:r w:rsidRPr="006B42D6">
              <w:rPr>
                <w:sz w:val="16"/>
                <w:szCs w:val="16"/>
              </w:rPr>
              <w:t>49,321</w:t>
            </w:r>
          </w:p>
        </w:tc>
        <w:tc>
          <w:tcPr>
            <w:tcW w:w="388" w:type="pct"/>
            <w:tcBorders>
              <w:top w:val="nil"/>
              <w:left w:val="nil"/>
              <w:bottom w:val="nil"/>
              <w:right w:val="single" w:sz="4" w:space="0" w:color="auto"/>
            </w:tcBorders>
            <w:shd w:val="clear" w:color="auto" w:fill="auto"/>
            <w:noWrap/>
            <w:hideMark/>
          </w:tcPr>
          <w:p w14:paraId="027A84A3" w14:textId="77777777" w:rsidR="00DE10F8" w:rsidRPr="006B42D6" w:rsidRDefault="00DE10F8" w:rsidP="006C676D">
            <w:pPr>
              <w:jc w:val="right"/>
              <w:rPr>
                <w:sz w:val="16"/>
                <w:szCs w:val="16"/>
              </w:rPr>
            </w:pPr>
            <w:r w:rsidRPr="006B42D6">
              <w:rPr>
                <w:sz w:val="16"/>
                <w:szCs w:val="16"/>
              </w:rPr>
              <w:t>7.0</w:t>
            </w:r>
          </w:p>
        </w:tc>
        <w:tc>
          <w:tcPr>
            <w:tcW w:w="434" w:type="pct"/>
            <w:tcBorders>
              <w:top w:val="nil"/>
              <w:left w:val="nil"/>
              <w:bottom w:val="nil"/>
              <w:right w:val="nil"/>
            </w:tcBorders>
            <w:shd w:val="clear" w:color="auto" w:fill="auto"/>
            <w:noWrap/>
            <w:hideMark/>
          </w:tcPr>
          <w:p w14:paraId="313F1AC3" w14:textId="77777777" w:rsidR="00DE10F8" w:rsidRPr="006B42D6" w:rsidRDefault="00DE10F8" w:rsidP="006C676D">
            <w:pPr>
              <w:jc w:val="right"/>
              <w:rPr>
                <w:sz w:val="16"/>
                <w:szCs w:val="16"/>
              </w:rPr>
            </w:pPr>
            <w:r w:rsidRPr="006B42D6">
              <w:rPr>
                <w:sz w:val="16"/>
                <w:szCs w:val="16"/>
              </w:rPr>
              <w:t>4,974</w:t>
            </w:r>
          </w:p>
        </w:tc>
        <w:tc>
          <w:tcPr>
            <w:tcW w:w="381" w:type="pct"/>
            <w:tcBorders>
              <w:top w:val="nil"/>
              <w:left w:val="nil"/>
              <w:bottom w:val="nil"/>
              <w:right w:val="nil"/>
            </w:tcBorders>
            <w:shd w:val="clear" w:color="auto" w:fill="auto"/>
            <w:noWrap/>
            <w:hideMark/>
          </w:tcPr>
          <w:p w14:paraId="5CF27180" w14:textId="77777777" w:rsidR="00DE10F8" w:rsidRPr="006B42D6" w:rsidRDefault="00DE10F8" w:rsidP="006C676D">
            <w:pPr>
              <w:jc w:val="right"/>
              <w:rPr>
                <w:sz w:val="16"/>
                <w:szCs w:val="16"/>
              </w:rPr>
            </w:pPr>
            <w:r w:rsidRPr="006B42D6">
              <w:rPr>
                <w:sz w:val="16"/>
                <w:szCs w:val="16"/>
              </w:rPr>
              <w:t>1.8</w:t>
            </w:r>
          </w:p>
        </w:tc>
      </w:tr>
      <w:tr w:rsidR="0085694C" w:rsidRPr="006B42D6" w14:paraId="1C65D71A" w14:textId="77777777" w:rsidTr="0085694C">
        <w:trPr>
          <w:trHeight w:hRule="exact" w:val="255"/>
        </w:trPr>
        <w:tc>
          <w:tcPr>
            <w:tcW w:w="776" w:type="pct"/>
            <w:tcBorders>
              <w:top w:val="nil"/>
              <w:left w:val="nil"/>
              <w:bottom w:val="nil"/>
              <w:right w:val="nil"/>
            </w:tcBorders>
            <w:shd w:val="clear" w:color="auto" w:fill="auto"/>
            <w:noWrap/>
            <w:hideMark/>
          </w:tcPr>
          <w:p w14:paraId="7D0DC3C6" w14:textId="77777777" w:rsidR="00DE10F8" w:rsidRPr="006B42D6" w:rsidRDefault="00DE10F8" w:rsidP="006C676D">
            <w:pPr>
              <w:rPr>
                <w:sz w:val="16"/>
                <w:szCs w:val="16"/>
              </w:rPr>
            </w:pPr>
            <w:r w:rsidRPr="006B42D6">
              <w:rPr>
                <w:sz w:val="16"/>
                <w:szCs w:val="16"/>
              </w:rPr>
              <w:t>Njombe</w:t>
            </w:r>
          </w:p>
        </w:tc>
        <w:tc>
          <w:tcPr>
            <w:tcW w:w="445" w:type="pct"/>
            <w:tcBorders>
              <w:top w:val="nil"/>
              <w:left w:val="single" w:sz="4" w:space="0" w:color="auto"/>
              <w:bottom w:val="nil"/>
              <w:right w:val="nil"/>
            </w:tcBorders>
            <w:shd w:val="clear" w:color="auto" w:fill="auto"/>
            <w:noWrap/>
            <w:hideMark/>
          </w:tcPr>
          <w:p w14:paraId="141C8B87" w14:textId="77777777" w:rsidR="00DE10F8" w:rsidRPr="006B42D6" w:rsidRDefault="00DE10F8" w:rsidP="006C676D">
            <w:pPr>
              <w:jc w:val="right"/>
              <w:rPr>
                <w:sz w:val="16"/>
                <w:szCs w:val="16"/>
              </w:rPr>
            </w:pPr>
            <w:r w:rsidRPr="006B42D6">
              <w:rPr>
                <w:sz w:val="16"/>
                <w:szCs w:val="16"/>
              </w:rPr>
              <w:t>8,191</w:t>
            </w:r>
          </w:p>
        </w:tc>
        <w:tc>
          <w:tcPr>
            <w:tcW w:w="385" w:type="pct"/>
            <w:tcBorders>
              <w:top w:val="nil"/>
              <w:left w:val="nil"/>
              <w:bottom w:val="nil"/>
              <w:right w:val="nil"/>
            </w:tcBorders>
            <w:shd w:val="clear" w:color="auto" w:fill="auto"/>
            <w:noWrap/>
            <w:hideMark/>
          </w:tcPr>
          <w:p w14:paraId="2621729E" w14:textId="77777777" w:rsidR="00DE10F8" w:rsidRPr="006B42D6" w:rsidRDefault="00DE10F8" w:rsidP="006C676D">
            <w:pPr>
              <w:jc w:val="right"/>
              <w:rPr>
                <w:sz w:val="16"/>
                <w:szCs w:val="16"/>
              </w:rPr>
            </w:pPr>
            <w:r w:rsidRPr="006B42D6">
              <w:rPr>
                <w:sz w:val="16"/>
                <w:szCs w:val="16"/>
              </w:rPr>
              <w:t>0.4</w:t>
            </w:r>
          </w:p>
        </w:tc>
        <w:tc>
          <w:tcPr>
            <w:tcW w:w="604" w:type="pct"/>
            <w:tcBorders>
              <w:top w:val="nil"/>
              <w:left w:val="single" w:sz="4" w:space="0" w:color="auto"/>
              <w:bottom w:val="nil"/>
              <w:right w:val="nil"/>
            </w:tcBorders>
            <w:shd w:val="clear" w:color="auto" w:fill="auto"/>
            <w:noWrap/>
            <w:hideMark/>
          </w:tcPr>
          <w:p w14:paraId="6C36D031" w14:textId="77777777" w:rsidR="00DE10F8" w:rsidRPr="006B42D6" w:rsidRDefault="00DE10F8" w:rsidP="006C676D">
            <w:pPr>
              <w:jc w:val="right"/>
              <w:rPr>
                <w:sz w:val="16"/>
                <w:szCs w:val="16"/>
              </w:rPr>
            </w:pPr>
            <w:r w:rsidRPr="006B42D6">
              <w:rPr>
                <w:sz w:val="16"/>
                <w:szCs w:val="16"/>
              </w:rPr>
              <w:t>11,505</w:t>
            </w:r>
          </w:p>
        </w:tc>
        <w:tc>
          <w:tcPr>
            <w:tcW w:w="386" w:type="pct"/>
            <w:tcBorders>
              <w:top w:val="nil"/>
              <w:left w:val="nil"/>
              <w:bottom w:val="nil"/>
              <w:right w:val="single" w:sz="4" w:space="0" w:color="auto"/>
            </w:tcBorders>
            <w:shd w:val="clear" w:color="auto" w:fill="auto"/>
            <w:noWrap/>
            <w:hideMark/>
          </w:tcPr>
          <w:p w14:paraId="0DDDDBDE" w14:textId="77777777" w:rsidR="00DE10F8" w:rsidRPr="006B42D6" w:rsidRDefault="00DE10F8" w:rsidP="006C676D">
            <w:pPr>
              <w:jc w:val="right"/>
              <w:rPr>
                <w:sz w:val="16"/>
                <w:szCs w:val="16"/>
              </w:rPr>
            </w:pPr>
            <w:r w:rsidRPr="006B42D6">
              <w:rPr>
                <w:sz w:val="16"/>
                <w:szCs w:val="16"/>
              </w:rPr>
              <w:t>0.3</w:t>
            </w:r>
          </w:p>
        </w:tc>
        <w:tc>
          <w:tcPr>
            <w:tcW w:w="407" w:type="pct"/>
            <w:tcBorders>
              <w:top w:val="nil"/>
              <w:left w:val="nil"/>
              <w:bottom w:val="nil"/>
              <w:right w:val="nil"/>
            </w:tcBorders>
            <w:shd w:val="clear" w:color="auto" w:fill="auto"/>
            <w:noWrap/>
            <w:hideMark/>
          </w:tcPr>
          <w:p w14:paraId="13489510" w14:textId="77777777" w:rsidR="00DE10F8" w:rsidRPr="006B42D6" w:rsidRDefault="00DE10F8" w:rsidP="006C676D">
            <w:pPr>
              <w:jc w:val="right"/>
              <w:rPr>
                <w:sz w:val="16"/>
                <w:szCs w:val="16"/>
              </w:rPr>
            </w:pPr>
            <w:r w:rsidRPr="006B42D6">
              <w:rPr>
                <w:sz w:val="16"/>
                <w:szCs w:val="16"/>
              </w:rPr>
              <w:t>-</w:t>
            </w:r>
          </w:p>
        </w:tc>
        <w:tc>
          <w:tcPr>
            <w:tcW w:w="388" w:type="pct"/>
            <w:tcBorders>
              <w:top w:val="nil"/>
              <w:left w:val="nil"/>
              <w:bottom w:val="nil"/>
              <w:right w:val="nil"/>
            </w:tcBorders>
            <w:shd w:val="clear" w:color="auto" w:fill="auto"/>
            <w:noWrap/>
            <w:hideMark/>
          </w:tcPr>
          <w:p w14:paraId="628B503E" w14:textId="77777777" w:rsidR="00DE10F8" w:rsidRPr="006B42D6" w:rsidRDefault="00DE10F8" w:rsidP="006C676D">
            <w:pPr>
              <w:jc w:val="right"/>
              <w:rPr>
                <w:sz w:val="16"/>
                <w:szCs w:val="16"/>
              </w:rPr>
            </w:pPr>
            <w:r w:rsidRPr="006B42D6">
              <w:rPr>
                <w:sz w:val="16"/>
                <w:szCs w:val="16"/>
              </w:rPr>
              <w:t>-</w:t>
            </w:r>
          </w:p>
        </w:tc>
        <w:tc>
          <w:tcPr>
            <w:tcW w:w="407" w:type="pct"/>
            <w:tcBorders>
              <w:top w:val="nil"/>
              <w:left w:val="single" w:sz="4" w:space="0" w:color="auto"/>
              <w:bottom w:val="nil"/>
              <w:right w:val="nil"/>
            </w:tcBorders>
            <w:shd w:val="clear" w:color="auto" w:fill="auto"/>
            <w:noWrap/>
            <w:hideMark/>
          </w:tcPr>
          <w:p w14:paraId="159234AA" w14:textId="77777777" w:rsidR="00DE10F8" w:rsidRPr="006B42D6" w:rsidRDefault="00DE10F8" w:rsidP="006C676D">
            <w:pPr>
              <w:jc w:val="right"/>
              <w:rPr>
                <w:sz w:val="16"/>
                <w:szCs w:val="16"/>
              </w:rPr>
            </w:pPr>
            <w:r w:rsidRPr="006B42D6">
              <w:rPr>
                <w:sz w:val="16"/>
                <w:szCs w:val="16"/>
              </w:rPr>
              <w:t>4,439</w:t>
            </w:r>
          </w:p>
        </w:tc>
        <w:tc>
          <w:tcPr>
            <w:tcW w:w="388" w:type="pct"/>
            <w:tcBorders>
              <w:top w:val="nil"/>
              <w:left w:val="nil"/>
              <w:bottom w:val="nil"/>
              <w:right w:val="single" w:sz="4" w:space="0" w:color="auto"/>
            </w:tcBorders>
            <w:shd w:val="clear" w:color="auto" w:fill="auto"/>
            <w:noWrap/>
            <w:hideMark/>
          </w:tcPr>
          <w:p w14:paraId="24FB24F1" w14:textId="77777777" w:rsidR="00DE10F8" w:rsidRPr="006B42D6" w:rsidRDefault="00DE10F8" w:rsidP="006C676D">
            <w:pPr>
              <w:jc w:val="right"/>
              <w:rPr>
                <w:sz w:val="16"/>
                <w:szCs w:val="16"/>
              </w:rPr>
            </w:pPr>
            <w:r w:rsidRPr="006B42D6">
              <w:rPr>
                <w:sz w:val="16"/>
                <w:szCs w:val="16"/>
              </w:rPr>
              <w:t>0.6</w:t>
            </w:r>
          </w:p>
        </w:tc>
        <w:tc>
          <w:tcPr>
            <w:tcW w:w="434" w:type="pct"/>
            <w:tcBorders>
              <w:top w:val="nil"/>
              <w:left w:val="nil"/>
              <w:bottom w:val="nil"/>
              <w:right w:val="nil"/>
            </w:tcBorders>
            <w:shd w:val="clear" w:color="auto" w:fill="auto"/>
            <w:noWrap/>
            <w:hideMark/>
          </w:tcPr>
          <w:p w14:paraId="51C4FA75" w14:textId="77777777" w:rsidR="00DE10F8" w:rsidRPr="006B42D6" w:rsidRDefault="00DE10F8" w:rsidP="006C676D">
            <w:pPr>
              <w:jc w:val="right"/>
              <w:rPr>
                <w:sz w:val="16"/>
                <w:szCs w:val="16"/>
              </w:rPr>
            </w:pPr>
            <w:r w:rsidRPr="006B42D6">
              <w:rPr>
                <w:sz w:val="16"/>
                <w:szCs w:val="16"/>
              </w:rPr>
              <w:t>379</w:t>
            </w:r>
          </w:p>
        </w:tc>
        <w:tc>
          <w:tcPr>
            <w:tcW w:w="381" w:type="pct"/>
            <w:tcBorders>
              <w:top w:val="nil"/>
              <w:left w:val="nil"/>
              <w:bottom w:val="nil"/>
              <w:right w:val="nil"/>
            </w:tcBorders>
            <w:shd w:val="clear" w:color="auto" w:fill="auto"/>
            <w:noWrap/>
            <w:hideMark/>
          </w:tcPr>
          <w:p w14:paraId="0CC92A3B" w14:textId="77777777" w:rsidR="00DE10F8" w:rsidRPr="006B42D6" w:rsidRDefault="00DE10F8" w:rsidP="006C676D">
            <w:pPr>
              <w:jc w:val="right"/>
              <w:rPr>
                <w:sz w:val="16"/>
                <w:szCs w:val="16"/>
              </w:rPr>
            </w:pPr>
            <w:r w:rsidRPr="006B42D6">
              <w:rPr>
                <w:sz w:val="16"/>
                <w:szCs w:val="16"/>
              </w:rPr>
              <w:t>0.1</w:t>
            </w:r>
          </w:p>
        </w:tc>
      </w:tr>
      <w:tr w:rsidR="0085694C" w:rsidRPr="006B42D6" w14:paraId="58187FD5" w14:textId="77777777" w:rsidTr="0085694C">
        <w:trPr>
          <w:trHeight w:hRule="exact" w:val="255"/>
        </w:trPr>
        <w:tc>
          <w:tcPr>
            <w:tcW w:w="776" w:type="pct"/>
            <w:tcBorders>
              <w:top w:val="nil"/>
              <w:left w:val="nil"/>
              <w:bottom w:val="nil"/>
              <w:right w:val="nil"/>
            </w:tcBorders>
            <w:shd w:val="clear" w:color="auto" w:fill="auto"/>
            <w:noWrap/>
            <w:hideMark/>
          </w:tcPr>
          <w:p w14:paraId="09F9C6BB" w14:textId="77777777" w:rsidR="00DE10F8" w:rsidRPr="006B42D6" w:rsidRDefault="00DE10F8" w:rsidP="006C676D">
            <w:pPr>
              <w:rPr>
                <w:sz w:val="16"/>
                <w:szCs w:val="16"/>
              </w:rPr>
            </w:pPr>
            <w:r w:rsidRPr="006B42D6">
              <w:rPr>
                <w:sz w:val="16"/>
                <w:szCs w:val="16"/>
              </w:rPr>
              <w:t>Katavi</w:t>
            </w:r>
          </w:p>
        </w:tc>
        <w:tc>
          <w:tcPr>
            <w:tcW w:w="445" w:type="pct"/>
            <w:tcBorders>
              <w:top w:val="nil"/>
              <w:left w:val="single" w:sz="4" w:space="0" w:color="auto"/>
              <w:bottom w:val="nil"/>
              <w:right w:val="nil"/>
            </w:tcBorders>
            <w:shd w:val="clear" w:color="auto" w:fill="auto"/>
            <w:noWrap/>
            <w:hideMark/>
          </w:tcPr>
          <w:p w14:paraId="4E49B5F2" w14:textId="77777777" w:rsidR="00DE10F8" w:rsidRPr="006B42D6" w:rsidRDefault="00DE10F8" w:rsidP="006C676D">
            <w:pPr>
              <w:jc w:val="right"/>
              <w:rPr>
                <w:sz w:val="16"/>
                <w:szCs w:val="16"/>
              </w:rPr>
            </w:pPr>
            <w:r w:rsidRPr="006B42D6">
              <w:rPr>
                <w:sz w:val="16"/>
                <w:szCs w:val="16"/>
              </w:rPr>
              <w:t>11,243</w:t>
            </w:r>
          </w:p>
        </w:tc>
        <w:tc>
          <w:tcPr>
            <w:tcW w:w="385" w:type="pct"/>
            <w:tcBorders>
              <w:top w:val="nil"/>
              <w:left w:val="nil"/>
              <w:bottom w:val="nil"/>
              <w:right w:val="nil"/>
            </w:tcBorders>
            <w:shd w:val="clear" w:color="auto" w:fill="auto"/>
            <w:noWrap/>
            <w:hideMark/>
          </w:tcPr>
          <w:p w14:paraId="7CD5DFB9" w14:textId="77777777" w:rsidR="00DE10F8" w:rsidRPr="006B42D6" w:rsidRDefault="00DE10F8" w:rsidP="006C676D">
            <w:pPr>
              <w:jc w:val="right"/>
              <w:rPr>
                <w:sz w:val="16"/>
                <w:szCs w:val="16"/>
              </w:rPr>
            </w:pPr>
            <w:r w:rsidRPr="006B42D6">
              <w:rPr>
                <w:sz w:val="16"/>
                <w:szCs w:val="16"/>
              </w:rPr>
              <w:t>0.6</w:t>
            </w:r>
          </w:p>
        </w:tc>
        <w:tc>
          <w:tcPr>
            <w:tcW w:w="604" w:type="pct"/>
            <w:tcBorders>
              <w:top w:val="nil"/>
              <w:left w:val="single" w:sz="4" w:space="0" w:color="auto"/>
              <w:bottom w:val="nil"/>
              <w:right w:val="nil"/>
            </w:tcBorders>
            <w:shd w:val="clear" w:color="auto" w:fill="auto"/>
            <w:noWrap/>
            <w:hideMark/>
          </w:tcPr>
          <w:p w14:paraId="33F4C21B" w14:textId="77777777" w:rsidR="00DE10F8" w:rsidRPr="006B42D6" w:rsidRDefault="00DE10F8" w:rsidP="006C676D">
            <w:pPr>
              <w:jc w:val="right"/>
              <w:rPr>
                <w:sz w:val="16"/>
                <w:szCs w:val="16"/>
              </w:rPr>
            </w:pPr>
            <w:r w:rsidRPr="006B42D6">
              <w:rPr>
                <w:sz w:val="16"/>
                <w:szCs w:val="16"/>
              </w:rPr>
              <w:t>12,111</w:t>
            </w:r>
          </w:p>
        </w:tc>
        <w:tc>
          <w:tcPr>
            <w:tcW w:w="386" w:type="pct"/>
            <w:tcBorders>
              <w:top w:val="nil"/>
              <w:left w:val="nil"/>
              <w:bottom w:val="nil"/>
              <w:right w:val="single" w:sz="4" w:space="0" w:color="auto"/>
            </w:tcBorders>
            <w:shd w:val="clear" w:color="auto" w:fill="auto"/>
            <w:noWrap/>
            <w:hideMark/>
          </w:tcPr>
          <w:p w14:paraId="4FC75010" w14:textId="77777777" w:rsidR="00DE10F8" w:rsidRPr="006B42D6" w:rsidRDefault="00DE10F8" w:rsidP="006C676D">
            <w:pPr>
              <w:jc w:val="right"/>
              <w:rPr>
                <w:sz w:val="16"/>
                <w:szCs w:val="16"/>
              </w:rPr>
            </w:pPr>
            <w:r w:rsidRPr="006B42D6">
              <w:rPr>
                <w:sz w:val="16"/>
                <w:szCs w:val="16"/>
              </w:rPr>
              <w:t>0.3</w:t>
            </w:r>
          </w:p>
        </w:tc>
        <w:tc>
          <w:tcPr>
            <w:tcW w:w="407" w:type="pct"/>
            <w:tcBorders>
              <w:top w:val="nil"/>
              <w:left w:val="nil"/>
              <w:bottom w:val="nil"/>
              <w:right w:val="nil"/>
            </w:tcBorders>
            <w:shd w:val="clear" w:color="auto" w:fill="auto"/>
            <w:noWrap/>
            <w:hideMark/>
          </w:tcPr>
          <w:p w14:paraId="2C574FE1" w14:textId="77777777" w:rsidR="00DE10F8" w:rsidRPr="006B42D6" w:rsidRDefault="00DE10F8" w:rsidP="006C676D">
            <w:pPr>
              <w:jc w:val="right"/>
              <w:rPr>
                <w:sz w:val="16"/>
                <w:szCs w:val="16"/>
              </w:rPr>
            </w:pPr>
            <w:r w:rsidRPr="006B42D6">
              <w:rPr>
                <w:sz w:val="16"/>
                <w:szCs w:val="16"/>
              </w:rPr>
              <w:t>5,965</w:t>
            </w:r>
          </w:p>
        </w:tc>
        <w:tc>
          <w:tcPr>
            <w:tcW w:w="388" w:type="pct"/>
            <w:tcBorders>
              <w:top w:val="nil"/>
              <w:left w:val="nil"/>
              <w:bottom w:val="nil"/>
              <w:right w:val="nil"/>
            </w:tcBorders>
            <w:shd w:val="clear" w:color="auto" w:fill="auto"/>
            <w:noWrap/>
            <w:hideMark/>
          </w:tcPr>
          <w:p w14:paraId="2CA02AF4" w14:textId="77777777" w:rsidR="00DE10F8" w:rsidRPr="006B42D6" w:rsidRDefault="00DE10F8" w:rsidP="006C676D">
            <w:pPr>
              <w:jc w:val="right"/>
              <w:rPr>
                <w:sz w:val="16"/>
                <w:szCs w:val="16"/>
              </w:rPr>
            </w:pPr>
            <w:r w:rsidRPr="006B42D6">
              <w:rPr>
                <w:sz w:val="16"/>
                <w:szCs w:val="16"/>
              </w:rPr>
              <w:t>2.0</w:t>
            </w:r>
          </w:p>
        </w:tc>
        <w:tc>
          <w:tcPr>
            <w:tcW w:w="407" w:type="pct"/>
            <w:tcBorders>
              <w:top w:val="nil"/>
              <w:left w:val="single" w:sz="4" w:space="0" w:color="auto"/>
              <w:bottom w:val="nil"/>
              <w:right w:val="nil"/>
            </w:tcBorders>
            <w:shd w:val="clear" w:color="auto" w:fill="auto"/>
            <w:noWrap/>
            <w:hideMark/>
          </w:tcPr>
          <w:p w14:paraId="179C9FAB" w14:textId="77777777" w:rsidR="00DE10F8" w:rsidRPr="006B42D6" w:rsidRDefault="00DE10F8" w:rsidP="006C676D">
            <w:pPr>
              <w:jc w:val="right"/>
              <w:rPr>
                <w:sz w:val="16"/>
                <w:szCs w:val="16"/>
              </w:rPr>
            </w:pPr>
            <w:r w:rsidRPr="006B42D6">
              <w:rPr>
                <w:sz w:val="16"/>
                <w:szCs w:val="16"/>
              </w:rPr>
              <w:t>5,930</w:t>
            </w:r>
          </w:p>
        </w:tc>
        <w:tc>
          <w:tcPr>
            <w:tcW w:w="388" w:type="pct"/>
            <w:tcBorders>
              <w:top w:val="nil"/>
              <w:left w:val="nil"/>
              <w:bottom w:val="nil"/>
              <w:right w:val="single" w:sz="4" w:space="0" w:color="auto"/>
            </w:tcBorders>
            <w:shd w:val="clear" w:color="auto" w:fill="auto"/>
            <w:noWrap/>
            <w:hideMark/>
          </w:tcPr>
          <w:p w14:paraId="6EA63278" w14:textId="77777777" w:rsidR="00DE10F8" w:rsidRPr="006B42D6" w:rsidRDefault="00DE10F8" w:rsidP="006C676D">
            <w:pPr>
              <w:jc w:val="right"/>
              <w:rPr>
                <w:sz w:val="16"/>
                <w:szCs w:val="16"/>
              </w:rPr>
            </w:pPr>
            <w:r w:rsidRPr="006B42D6">
              <w:rPr>
                <w:sz w:val="16"/>
                <w:szCs w:val="16"/>
              </w:rPr>
              <w:t>0.8</w:t>
            </w:r>
          </w:p>
        </w:tc>
        <w:tc>
          <w:tcPr>
            <w:tcW w:w="434" w:type="pct"/>
            <w:tcBorders>
              <w:top w:val="nil"/>
              <w:left w:val="nil"/>
              <w:bottom w:val="nil"/>
              <w:right w:val="nil"/>
            </w:tcBorders>
            <w:shd w:val="clear" w:color="auto" w:fill="auto"/>
            <w:noWrap/>
            <w:hideMark/>
          </w:tcPr>
          <w:p w14:paraId="78EB0D24" w14:textId="77777777" w:rsidR="00DE10F8" w:rsidRPr="006B42D6" w:rsidRDefault="00DE10F8" w:rsidP="006C676D">
            <w:pPr>
              <w:jc w:val="right"/>
              <w:rPr>
                <w:sz w:val="16"/>
                <w:szCs w:val="16"/>
              </w:rPr>
            </w:pPr>
            <w:r w:rsidRPr="006B42D6">
              <w:rPr>
                <w:sz w:val="16"/>
                <w:szCs w:val="16"/>
              </w:rPr>
              <w:t>3,893</w:t>
            </w:r>
          </w:p>
        </w:tc>
        <w:tc>
          <w:tcPr>
            <w:tcW w:w="381" w:type="pct"/>
            <w:tcBorders>
              <w:top w:val="nil"/>
              <w:left w:val="nil"/>
              <w:bottom w:val="nil"/>
              <w:right w:val="nil"/>
            </w:tcBorders>
            <w:shd w:val="clear" w:color="auto" w:fill="auto"/>
            <w:noWrap/>
            <w:hideMark/>
          </w:tcPr>
          <w:p w14:paraId="6C641F7A" w14:textId="77777777" w:rsidR="00DE10F8" w:rsidRPr="006B42D6" w:rsidRDefault="00DE10F8" w:rsidP="006C676D">
            <w:pPr>
              <w:jc w:val="right"/>
              <w:rPr>
                <w:sz w:val="16"/>
                <w:szCs w:val="16"/>
              </w:rPr>
            </w:pPr>
            <w:r w:rsidRPr="006B42D6">
              <w:rPr>
                <w:sz w:val="16"/>
                <w:szCs w:val="16"/>
              </w:rPr>
              <w:t>1.4</w:t>
            </w:r>
          </w:p>
        </w:tc>
      </w:tr>
      <w:tr w:rsidR="0085694C" w:rsidRPr="006B42D6" w14:paraId="4E327CCB" w14:textId="77777777" w:rsidTr="0085694C">
        <w:trPr>
          <w:trHeight w:hRule="exact" w:val="255"/>
        </w:trPr>
        <w:tc>
          <w:tcPr>
            <w:tcW w:w="776" w:type="pct"/>
            <w:tcBorders>
              <w:top w:val="nil"/>
              <w:left w:val="nil"/>
              <w:bottom w:val="nil"/>
              <w:right w:val="nil"/>
            </w:tcBorders>
            <w:shd w:val="clear" w:color="auto" w:fill="auto"/>
            <w:noWrap/>
            <w:hideMark/>
          </w:tcPr>
          <w:p w14:paraId="3EECF99A" w14:textId="77777777" w:rsidR="00DE10F8" w:rsidRPr="006B42D6" w:rsidRDefault="00DE10F8" w:rsidP="006C676D">
            <w:pPr>
              <w:rPr>
                <w:sz w:val="16"/>
                <w:szCs w:val="16"/>
              </w:rPr>
            </w:pPr>
            <w:r w:rsidRPr="006B42D6">
              <w:rPr>
                <w:sz w:val="16"/>
                <w:szCs w:val="16"/>
              </w:rPr>
              <w:t>Simiyu</w:t>
            </w:r>
          </w:p>
        </w:tc>
        <w:tc>
          <w:tcPr>
            <w:tcW w:w="445" w:type="pct"/>
            <w:tcBorders>
              <w:top w:val="nil"/>
              <w:left w:val="single" w:sz="4" w:space="0" w:color="auto"/>
              <w:bottom w:val="nil"/>
              <w:right w:val="nil"/>
            </w:tcBorders>
            <w:shd w:val="clear" w:color="auto" w:fill="auto"/>
            <w:noWrap/>
            <w:hideMark/>
          </w:tcPr>
          <w:p w14:paraId="24306004" w14:textId="77777777" w:rsidR="00DE10F8" w:rsidRPr="006B42D6" w:rsidRDefault="00DE10F8" w:rsidP="006C676D">
            <w:pPr>
              <w:jc w:val="right"/>
              <w:rPr>
                <w:sz w:val="16"/>
                <w:szCs w:val="16"/>
              </w:rPr>
            </w:pPr>
            <w:r w:rsidRPr="006B42D6">
              <w:rPr>
                <w:sz w:val="16"/>
                <w:szCs w:val="16"/>
              </w:rPr>
              <w:t>98,354</w:t>
            </w:r>
          </w:p>
        </w:tc>
        <w:tc>
          <w:tcPr>
            <w:tcW w:w="385" w:type="pct"/>
            <w:tcBorders>
              <w:top w:val="nil"/>
              <w:left w:val="nil"/>
              <w:bottom w:val="nil"/>
              <w:right w:val="nil"/>
            </w:tcBorders>
            <w:shd w:val="clear" w:color="auto" w:fill="auto"/>
            <w:noWrap/>
            <w:hideMark/>
          </w:tcPr>
          <w:p w14:paraId="6EE02F79" w14:textId="77777777" w:rsidR="00DE10F8" w:rsidRPr="006B42D6" w:rsidRDefault="00DE10F8" w:rsidP="006C676D">
            <w:pPr>
              <w:jc w:val="right"/>
              <w:rPr>
                <w:sz w:val="16"/>
                <w:szCs w:val="16"/>
              </w:rPr>
            </w:pPr>
            <w:r w:rsidRPr="006B42D6">
              <w:rPr>
                <w:sz w:val="16"/>
                <w:szCs w:val="16"/>
              </w:rPr>
              <w:t>4.9</w:t>
            </w:r>
          </w:p>
        </w:tc>
        <w:tc>
          <w:tcPr>
            <w:tcW w:w="604" w:type="pct"/>
            <w:tcBorders>
              <w:top w:val="nil"/>
              <w:left w:val="single" w:sz="4" w:space="0" w:color="auto"/>
              <w:bottom w:val="nil"/>
              <w:right w:val="nil"/>
            </w:tcBorders>
            <w:shd w:val="clear" w:color="auto" w:fill="auto"/>
            <w:noWrap/>
            <w:hideMark/>
          </w:tcPr>
          <w:p w14:paraId="298A33BD" w14:textId="77777777" w:rsidR="00DE10F8" w:rsidRPr="006B42D6" w:rsidRDefault="00DE10F8" w:rsidP="006C676D">
            <w:pPr>
              <w:jc w:val="right"/>
              <w:rPr>
                <w:sz w:val="16"/>
                <w:szCs w:val="16"/>
              </w:rPr>
            </w:pPr>
            <w:r w:rsidRPr="006B42D6">
              <w:rPr>
                <w:sz w:val="16"/>
                <w:szCs w:val="16"/>
              </w:rPr>
              <w:t>26,618</w:t>
            </w:r>
          </w:p>
        </w:tc>
        <w:tc>
          <w:tcPr>
            <w:tcW w:w="386" w:type="pct"/>
            <w:tcBorders>
              <w:top w:val="nil"/>
              <w:left w:val="nil"/>
              <w:bottom w:val="nil"/>
              <w:right w:val="single" w:sz="4" w:space="0" w:color="auto"/>
            </w:tcBorders>
            <w:shd w:val="clear" w:color="auto" w:fill="auto"/>
            <w:noWrap/>
            <w:hideMark/>
          </w:tcPr>
          <w:p w14:paraId="35EF9A06" w14:textId="77777777" w:rsidR="00DE10F8" w:rsidRPr="006B42D6" w:rsidRDefault="00DE10F8" w:rsidP="006C676D">
            <w:pPr>
              <w:jc w:val="right"/>
              <w:rPr>
                <w:sz w:val="16"/>
                <w:szCs w:val="16"/>
              </w:rPr>
            </w:pPr>
            <w:r w:rsidRPr="006B42D6">
              <w:rPr>
                <w:sz w:val="16"/>
                <w:szCs w:val="16"/>
              </w:rPr>
              <w:t>0.7</w:t>
            </w:r>
          </w:p>
        </w:tc>
        <w:tc>
          <w:tcPr>
            <w:tcW w:w="407" w:type="pct"/>
            <w:tcBorders>
              <w:top w:val="nil"/>
              <w:left w:val="nil"/>
              <w:bottom w:val="nil"/>
              <w:right w:val="nil"/>
            </w:tcBorders>
            <w:shd w:val="clear" w:color="auto" w:fill="auto"/>
            <w:noWrap/>
            <w:hideMark/>
          </w:tcPr>
          <w:p w14:paraId="43F4B325" w14:textId="77777777" w:rsidR="00DE10F8" w:rsidRPr="006B42D6" w:rsidRDefault="00DE10F8" w:rsidP="006C676D">
            <w:pPr>
              <w:jc w:val="right"/>
              <w:rPr>
                <w:sz w:val="16"/>
                <w:szCs w:val="16"/>
              </w:rPr>
            </w:pPr>
            <w:r w:rsidRPr="006B42D6">
              <w:rPr>
                <w:sz w:val="16"/>
                <w:szCs w:val="16"/>
              </w:rPr>
              <w:t>26,345</w:t>
            </w:r>
          </w:p>
        </w:tc>
        <w:tc>
          <w:tcPr>
            <w:tcW w:w="388" w:type="pct"/>
            <w:tcBorders>
              <w:top w:val="nil"/>
              <w:left w:val="nil"/>
              <w:bottom w:val="nil"/>
              <w:right w:val="nil"/>
            </w:tcBorders>
            <w:shd w:val="clear" w:color="auto" w:fill="auto"/>
            <w:noWrap/>
            <w:hideMark/>
          </w:tcPr>
          <w:p w14:paraId="1D89598D" w14:textId="77777777" w:rsidR="00DE10F8" w:rsidRPr="006B42D6" w:rsidRDefault="00DE10F8" w:rsidP="006C676D">
            <w:pPr>
              <w:jc w:val="right"/>
              <w:rPr>
                <w:sz w:val="16"/>
                <w:szCs w:val="16"/>
              </w:rPr>
            </w:pPr>
            <w:r w:rsidRPr="006B42D6">
              <w:rPr>
                <w:sz w:val="16"/>
                <w:szCs w:val="16"/>
              </w:rPr>
              <w:t>8.8</w:t>
            </w:r>
          </w:p>
        </w:tc>
        <w:tc>
          <w:tcPr>
            <w:tcW w:w="407" w:type="pct"/>
            <w:tcBorders>
              <w:top w:val="nil"/>
              <w:left w:val="single" w:sz="4" w:space="0" w:color="auto"/>
              <w:bottom w:val="nil"/>
              <w:right w:val="nil"/>
            </w:tcBorders>
            <w:shd w:val="clear" w:color="auto" w:fill="auto"/>
            <w:noWrap/>
            <w:hideMark/>
          </w:tcPr>
          <w:p w14:paraId="393D3829" w14:textId="77777777" w:rsidR="00DE10F8" w:rsidRPr="006B42D6" w:rsidRDefault="00DE10F8" w:rsidP="006C676D">
            <w:pPr>
              <w:jc w:val="right"/>
              <w:rPr>
                <w:sz w:val="16"/>
                <w:szCs w:val="16"/>
              </w:rPr>
            </w:pPr>
            <w:r w:rsidRPr="006B42D6">
              <w:rPr>
                <w:sz w:val="16"/>
                <w:szCs w:val="16"/>
              </w:rPr>
              <w:t>30,751</w:t>
            </w:r>
          </w:p>
        </w:tc>
        <w:tc>
          <w:tcPr>
            <w:tcW w:w="388" w:type="pct"/>
            <w:tcBorders>
              <w:top w:val="nil"/>
              <w:left w:val="nil"/>
              <w:bottom w:val="nil"/>
              <w:right w:val="single" w:sz="4" w:space="0" w:color="auto"/>
            </w:tcBorders>
            <w:shd w:val="clear" w:color="auto" w:fill="auto"/>
            <w:noWrap/>
            <w:hideMark/>
          </w:tcPr>
          <w:p w14:paraId="7CA050BC" w14:textId="77777777" w:rsidR="00DE10F8" w:rsidRPr="006B42D6" w:rsidRDefault="00DE10F8" w:rsidP="006C676D">
            <w:pPr>
              <w:jc w:val="right"/>
              <w:rPr>
                <w:sz w:val="16"/>
                <w:szCs w:val="16"/>
              </w:rPr>
            </w:pPr>
            <w:r w:rsidRPr="006B42D6">
              <w:rPr>
                <w:sz w:val="16"/>
                <w:szCs w:val="16"/>
              </w:rPr>
              <w:t>4.4</w:t>
            </w:r>
          </w:p>
        </w:tc>
        <w:tc>
          <w:tcPr>
            <w:tcW w:w="434" w:type="pct"/>
            <w:tcBorders>
              <w:top w:val="nil"/>
              <w:left w:val="nil"/>
              <w:bottom w:val="nil"/>
              <w:right w:val="nil"/>
            </w:tcBorders>
            <w:shd w:val="clear" w:color="auto" w:fill="auto"/>
            <w:noWrap/>
            <w:hideMark/>
          </w:tcPr>
          <w:p w14:paraId="2D464651" w14:textId="77777777" w:rsidR="00DE10F8" w:rsidRPr="006B42D6" w:rsidRDefault="00DE10F8" w:rsidP="006C676D">
            <w:pPr>
              <w:jc w:val="right"/>
              <w:rPr>
                <w:sz w:val="16"/>
                <w:szCs w:val="16"/>
              </w:rPr>
            </w:pPr>
            <w:r w:rsidRPr="006B42D6">
              <w:rPr>
                <w:sz w:val="16"/>
                <w:szCs w:val="16"/>
              </w:rPr>
              <w:t>7,325</w:t>
            </w:r>
          </w:p>
        </w:tc>
        <w:tc>
          <w:tcPr>
            <w:tcW w:w="381" w:type="pct"/>
            <w:tcBorders>
              <w:top w:val="nil"/>
              <w:left w:val="nil"/>
              <w:bottom w:val="nil"/>
              <w:right w:val="nil"/>
            </w:tcBorders>
            <w:shd w:val="clear" w:color="auto" w:fill="auto"/>
            <w:noWrap/>
            <w:hideMark/>
          </w:tcPr>
          <w:p w14:paraId="7C045B60" w14:textId="77777777" w:rsidR="00DE10F8" w:rsidRPr="006B42D6" w:rsidRDefault="00DE10F8" w:rsidP="006C676D">
            <w:pPr>
              <w:jc w:val="right"/>
              <w:rPr>
                <w:sz w:val="16"/>
                <w:szCs w:val="16"/>
              </w:rPr>
            </w:pPr>
            <w:r w:rsidRPr="006B42D6">
              <w:rPr>
                <w:sz w:val="16"/>
                <w:szCs w:val="16"/>
              </w:rPr>
              <w:t>2.6</w:t>
            </w:r>
          </w:p>
        </w:tc>
      </w:tr>
      <w:tr w:rsidR="0085694C" w:rsidRPr="006B42D6" w14:paraId="0F0108B5" w14:textId="77777777" w:rsidTr="0085694C">
        <w:trPr>
          <w:trHeight w:hRule="exact" w:val="255"/>
        </w:trPr>
        <w:tc>
          <w:tcPr>
            <w:tcW w:w="776" w:type="pct"/>
            <w:tcBorders>
              <w:top w:val="nil"/>
              <w:left w:val="nil"/>
              <w:bottom w:val="nil"/>
              <w:right w:val="nil"/>
            </w:tcBorders>
            <w:shd w:val="clear" w:color="auto" w:fill="auto"/>
            <w:noWrap/>
            <w:hideMark/>
          </w:tcPr>
          <w:p w14:paraId="01EA4899" w14:textId="77777777" w:rsidR="00DE10F8" w:rsidRPr="006B42D6" w:rsidRDefault="00DE10F8" w:rsidP="006C676D">
            <w:pPr>
              <w:rPr>
                <w:sz w:val="16"/>
                <w:szCs w:val="16"/>
              </w:rPr>
            </w:pPr>
            <w:r w:rsidRPr="006B42D6">
              <w:rPr>
                <w:sz w:val="16"/>
                <w:szCs w:val="16"/>
              </w:rPr>
              <w:t>Geita</w:t>
            </w:r>
          </w:p>
        </w:tc>
        <w:tc>
          <w:tcPr>
            <w:tcW w:w="445" w:type="pct"/>
            <w:tcBorders>
              <w:top w:val="nil"/>
              <w:left w:val="single" w:sz="4" w:space="0" w:color="auto"/>
              <w:bottom w:val="nil"/>
              <w:right w:val="nil"/>
            </w:tcBorders>
            <w:shd w:val="clear" w:color="auto" w:fill="auto"/>
            <w:noWrap/>
            <w:hideMark/>
          </w:tcPr>
          <w:p w14:paraId="13EFC8B0" w14:textId="77777777" w:rsidR="00DE10F8" w:rsidRPr="006B42D6" w:rsidRDefault="00DE10F8" w:rsidP="006C676D">
            <w:pPr>
              <w:jc w:val="right"/>
              <w:rPr>
                <w:sz w:val="16"/>
                <w:szCs w:val="16"/>
              </w:rPr>
            </w:pPr>
            <w:r w:rsidRPr="006B42D6">
              <w:rPr>
                <w:sz w:val="16"/>
                <w:szCs w:val="16"/>
              </w:rPr>
              <w:t>57,601</w:t>
            </w:r>
          </w:p>
        </w:tc>
        <w:tc>
          <w:tcPr>
            <w:tcW w:w="385" w:type="pct"/>
            <w:tcBorders>
              <w:top w:val="nil"/>
              <w:left w:val="nil"/>
              <w:bottom w:val="nil"/>
              <w:right w:val="nil"/>
            </w:tcBorders>
            <w:shd w:val="clear" w:color="auto" w:fill="auto"/>
            <w:noWrap/>
            <w:hideMark/>
          </w:tcPr>
          <w:p w14:paraId="70F2B6C4" w14:textId="77777777" w:rsidR="00DE10F8" w:rsidRPr="006B42D6" w:rsidRDefault="00DE10F8" w:rsidP="006C676D">
            <w:pPr>
              <w:jc w:val="right"/>
              <w:rPr>
                <w:sz w:val="16"/>
                <w:szCs w:val="16"/>
              </w:rPr>
            </w:pPr>
            <w:r w:rsidRPr="006B42D6">
              <w:rPr>
                <w:sz w:val="16"/>
                <w:szCs w:val="16"/>
              </w:rPr>
              <w:t>2.9</w:t>
            </w:r>
          </w:p>
        </w:tc>
        <w:tc>
          <w:tcPr>
            <w:tcW w:w="604" w:type="pct"/>
            <w:tcBorders>
              <w:top w:val="nil"/>
              <w:left w:val="single" w:sz="4" w:space="0" w:color="auto"/>
              <w:bottom w:val="nil"/>
              <w:right w:val="nil"/>
            </w:tcBorders>
            <w:shd w:val="clear" w:color="auto" w:fill="auto"/>
            <w:noWrap/>
            <w:hideMark/>
          </w:tcPr>
          <w:p w14:paraId="2A5A8234" w14:textId="77777777" w:rsidR="00DE10F8" w:rsidRPr="006B42D6" w:rsidRDefault="00DE10F8" w:rsidP="006C676D">
            <w:pPr>
              <w:jc w:val="right"/>
              <w:rPr>
                <w:sz w:val="16"/>
                <w:szCs w:val="16"/>
              </w:rPr>
            </w:pPr>
            <w:r w:rsidRPr="006B42D6">
              <w:rPr>
                <w:sz w:val="16"/>
                <w:szCs w:val="16"/>
              </w:rPr>
              <w:t>168,834</w:t>
            </w:r>
          </w:p>
        </w:tc>
        <w:tc>
          <w:tcPr>
            <w:tcW w:w="386" w:type="pct"/>
            <w:tcBorders>
              <w:top w:val="nil"/>
              <w:left w:val="nil"/>
              <w:bottom w:val="nil"/>
              <w:right w:val="single" w:sz="4" w:space="0" w:color="auto"/>
            </w:tcBorders>
            <w:shd w:val="clear" w:color="auto" w:fill="auto"/>
            <w:noWrap/>
            <w:hideMark/>
          </w:tcPr>
          <w:p w14:paraId="6D41C840" w14:textId="77777777" w:rsidR="00DE10F8" w:rsidRPr="006B42D6" w:rsidRDefault="00DE10F8" w:rsidP="006C676D">
            <w:pPr>
              <w:jc w:val="right"/>
              <w:rPr>
                <w:sz w:val="16"/>
                <w:szCs w:val="16"/>
              </w:rPr>
            </w:pPr>
            <w:r w:rsidRPr="006B42D6">
              <w:rPr>
                <w:sz w:val="16"/>
                <w:szCs w:val="16"/>
              </w:rPr>
              <w:t>4.4</w:t>
            </w:r>
          </w:p>
        </w:tc>
        <w:tc>
          <w:tcPr>
            <w:tcW w:w="407" w:type="pct"/>
            <w:tcBorders>
              <w:top w:val="nil"/>
              <w:left w:val="nil"/>
              <w:bottom w:val="nil"/>
              <w:right w:val="nil"/>
            </w:tcBorders>
            <w:shd w:val="clear" w:color="auto" w:fill="auto"/>
            <w:noWrap/>
            <w:hideMark/>
          </w:tcPr>
          <w:p w14:paraId="0FAC2468" w14:textId="77777777" w:rsidR="00DE10F8" w:rsidRPr="006B42D6" w:rsidRDefault="00DE10F8" w:rsidP="006C676D">
            <w:pPr>
              <w:jc w:val="right"/>
              <w:rPr>
                <w:sz w:val="16"/>
                <w:szCs w:val="16"/>
              </w:rPr>
            </w:pPr>
            <w:r w:rsidRPr="006B42D6">
              <w:rPr>
                <w:sz w:val="16"/>
                <w:szCs w:val="16"/>
              </w:rPr>
              <w:t>15,237</w:t>
            </w:r>
          </w:p>
        </w:tc>
        <w:tc>
          <w:tcPr>
            <w:tcW w:w="388" w:type="pct"/>
            <w:tcBorders>
              <w:top w:val="nil"/>
              <w:left w:val="nil"/>
              <w:bottom w:val="nil"/>
              <w:right w:val="nil"/>
            </w:tcBorders>
            <w:shd w:val="clear" w:color="auto" w:fill="auto"/>
            <w:noWrap/>
            <w:hideMark/>
          </w:tcPr>
          <w:p w14:paraId="59FD65A6" w14:textId="77777777" w:rsidR="00DE10F8" w:rsidRPr="006B42D6" w:rsidRDefault="00DE10F8" w:rsidP="006C676D">
            <w:pPr>
              <w:jc w:val="right"/>
              <w:rPr>
                <w:sz w:val="16"/>
                <w:szCs w:val="16"/>
              </w:rPr>
            </w:pPr>
            <w:r w:rsidRPr="006B42D6">
              <w:rPr>
                <w:sz w:val="16"/>
                <w:szCs w:val="16"/>
              </w:rPr>
              <w:t>5.1</w:t>
            </w:r>
          </w:p>
        </w:tc>
        <w:tc>
          <w:tcPr>
            <w:tcW w:w="407" w:type="pct"/>
            <w:tcBorders>
              <w:top w:val="nil"/>
              <w:left w:val="single" w:sz="4" w:space="0" w:color="auto"/>
              <w:bottom w:val="nil"/>
              <w:right w:val="nil"/>
            </w:tcBorders>
            <w:shd w:val="clear" w:color="auto" w:fill="auto"/>
            <w:noWrap/>
            <w:hideMark/>
          </w:tcPr>
          <w:p w14:paraId="69317029" w14:textId="77777777" w:rsidR="00DE10F8" w:rsidRPr="006B42D6" w:rsidRDefault="00DE10F8" w:rsidP="006C676D">
            <w:pPr>
              <w:jc w:val="right"/>
              <w:rPr>
                <w:sz w:val="16"/>
                <w:szCs w:val="16"/>
              </w:rPr>
            </w:pPr>
            <w:r w:rsidRPr="006B42D6">
              <w:rPr>
                <w:sz w:val="16"/>
                <w:szCs w:val="16"/>
              </w:rPr>
              <w:t>6,886</w:t>
            </w:r>
          </w:p>
        </w:tc>
        <w:tc>
          <w:tcPr>
            <w:tcW w:w="388" w:type="pct"/>
            <w:tcBorders>
              <w:top w:val="nil"/>
              <w:left w:val="nil"/>
              <w:bottom w:val="nil"/>
              <w:right w:val="single" w:sz="4" w:space="0" w:color="auto"/>
            </w:tcBorders>
            <w:shd w:val="clear" w:color="auto" w:fill="auto"/>
            <w:noWrap/>
            <w:hideMark/>
          </w:tcPr>
          <w:p w14:paraId="28A8D373" w14:textId="77777777" w:rsidR="00DE10F8" w:rsidRPr="006B42D6" w:rsidRDefault="00DE10F8" w:rsidP="006C676D">
            <w:pPr>
              <w:jc w:val="right"/>
              <w:rPr>
                <w:sz w:val="16"/>
                <w:szCs w:val="16"/>
              </w:rPr>
            </w:pPr>
            <w:r w:rsidRPr="006B42D6">
              <w:rPr>
                <w:sz w:val="16"/>
                <w:szCs w:val="16"/>
              </w:rPr>
              <w:t>1.0</w:t>
            </w:r>
          </w:p>
        </w:tc>
        <w:tc>
          <w:tcPr>
            <w:tcW w:w="434" w:type="pct"/>
            <w:tcBorders>
              <w:top w:val="nil"/>
              <w:left w:val="nil"/>
              <w:bottom w:val="nil"/>
              <w:right w:val="nil"/>
            </w:tcBorders>
            <w:shd w:val="clear" w:color="auto" w:fill="auto"/>
            <w:noWrap/>
            <w:hideMark/>
          </w:tcPr>
          <w:p w14:paraId="6FC4B499" w14:textId="77777777" w:rsidR="00DE10F8" w:rsidRPr="006B42D6" w:rsidRDefault="00DE10F8" w:rsidP="006C676D">
            <w:pPr>
              <w:jc w:val="right"/>
              <w:rPr>
                <w:sz w:val="16"/>
                <w:szCs w:val="16"/>
              </w:rPr>
            </w:pPr>
            <w:r w:rsidRPr="006B42D6">
              <w:rPr>
                <w:sz w:val="16"/>
                <w:szCs w:val="16"/>
              </w:rPr>
              <w:t>2,436</w:t>
            </w:r>
          </w:p>
        </w:tc>
        <w:tc>
          <w:tcPr>
            <w:tcW w:w="381" w:type="pct"/>
            <w:tcBorders>
              <w:top w:val="nil"/>
              <w:left w:val="nil"/>
              <w:bottom w:val="nil"/>
              <w:right w:val="nil"/>
            </w:tcBorders>
            <w:shd w:val="clear" w:color="auto" w:fill="auto"/>
            <w:noWrap/>
            <w:hideMark/>
          </w:tcPr>
          <w:p w14:paraId="685138E8" w14:textId="77777777" w:rsidR="00DE10F8" w:rsidRPr="006B42D6" w:rsidRDefault="00DE10F8" w:rsidP="006C676D">
            <w:pPr>
              <w:jc w:val="right"/>
              <w:rPr>
                <w:sz w:val="16"/>
                <w:szCs w:val="16"/>
              </w:rPr>
            </w:pPr>
            <w:r w:rsidRPr="006B42D6">
              <w:rPr>
                <w:sz w:val="16"/>
                <w:szCs w:val="16"/>
              </w:rPr>
              <w:t>0.9</w:t>
            </w:r>
          </w:p>
        </w:tc>
      </w:tr>
      <w:tr w:rsidR="0085694C" w:rsidRPr="006B42D6" w14:paraId="45AF53E9" w14:textId="77777777" w:rsidTr="0085694C">
        <w:trPr>
          <w:trHeight w:hRule="exact" w:val="255"/>
        </w:trPr>
        <w:tc>
          <w:tcPr>
            <w:tcW w:w="776" w:type="pct"/>
            <w:tcBorders>
              <w:top w:val="nil"/>
              <w:left w:val="nil"/>
              <w:bottom w:val="nil"/>
              <w:right w:val="nil"/>
            </w:tcBorders>
            <w:shd w:val="clear" w:color="auto" w:fill="auto"/>
            <w:noWrap/>
            <w:hideMark/>
          </w:tcPr>
          <w:p w14:paraId="35B7B4DD" w14:textId="77777777" w:rsidR="00DE10F8" w:rsidRPr="006B42D6" w:rsidRDefault="00DE10F8" w:rsidP="006C676D">
            <w:pPr>
              <w:rPr>
                <w:sz w:val="16"/>
                <w:szCs w:val="16"/>
              </w:rPr>
            </w:pPr>
            <w:r w:rsidRPr="006B42D6">
              <w:rPr>
                <w:sz w:val="16"/>
                <w:szCs w:val="16"/>
              </w:rPr>
              <w:t>Songwe</w:t>
            </w:r>
          </w:p>
        </w:tc>
        <w:tc>
          <w:tcPr>
            <w:tcW w:w="445" w:type="pct"/>
            <w:tcBorders>
              <w:top w:val="nil"/>
              <w:left w:val="single" w:sz="4" w:space="0" w:color="auto"/>
              <w:bottom w:val="nil"/>
              <w:right w:val="nil"/>
            </w:tcBorders>
            <w:shd w:val="clear" w:color="auto" w:fill="auto"/>
            <w:noWrap/>
            <w:hideMark/>
          </w:tcPr>
          <w:p w14:paraId="63A24319" w14:textId="77777777" w:rsidR="00DE10F8" w:rsidRPr="006B42D6" w:rsidRDefault="00DE10F8" w:rsidP="006C676D">
            <w:pPr>
              <w:jc w:val="right"/>
              <w:rPr>
                <w:sz w:val="16"/>
                <w:szCs w:val="16"/>
              </w:rPr>
            </w:pPr>
            <w:r w:rsidRPr="006B42D6">
              <w:rPr>
                <w:sz w:val="16"/>
                <w:szCs w:val="16"/>
              </w:rPr>
              <w:t>10,063</w:t>
            </w:r>
          </w:p>
        </w:tc>
        <w:tc>
          <w:tcPr>
            <w:tcW w:w="385" w:type="pct"/>
            <w:tcBorders>
              <w:top w:val="nil"/>
              <w:left w:val="nil"/>
              <w:bottom w:val="nil"/>
              <w:right w:val="nil"/>
            </w:tcBorders>
            <w:shd w:val="clear" w:color="auto" w:fill="auto"/>
            <w:noWrap/>
            <w:hideMark/>
          </w:tcPr>
          <w:p w14:paraId="62F4F47D" w14:textId="77777777" w:rsidR="00DE10F8" w:rsidRPr="006B42D6" w:rsidRDefault="00DE10F8" w:rsidP="006C676D">
            <w:pPr>
              <w:jc w:val="right"/>
              <w:rPr>
                <w:sz w:val="16"/>
                <w:szCs w:val="16"/>
              </w:rPr>
            </w:pPr>
            <w:r w:rsidRPr="006B42D6">
              <w:rPr>
                <w:sz w:val="16"/>
                <w:szCs w:val="16"/>
              </w:rPr>
              <w:t>0.5</w:t>
            </w:r>
          </w:p>
        </w:tc>
        <w:tc>
          <w:tcPr>
            <w:tcW w:w="604" w:type="pct"/>
            <w:tcBorders>
              <w:top w:val="nil"/>
              <w:left w:val="single" w:sz="4" w:space="0" w:color="auto"/>
              <w:bottom w:val="nil"/>
              <w:right w:val="nil"/>
            </w:tcBorders>
            <w:shd w:val="clear" w:color="auto" w:fill="auto"/>
            <w:noWrap/>
            <w:hideMark/>
          </w:tcPr>
          <w:p w14:paraId="6A545A84" w14:textId="77777777" w:rsidR="00DE10F8" w:rsidRPr="006B42D6" w:rsidRDefault="00DE10F8" w:rsidP="006C676D">
            <w:pPr>
              <w:jc w:val="right"/>
              <w:rPr>
                <w:sz w:val="16"/>
                <w:szCs w:val="16"/>
              </w:rPr>
            </w:pPr>
            <w:r w:rsidRPr="006B42D6">
              <w:rPr>
                <w:sz w:val="16"/>
                <w:szCs w:val="16"/>
              </w:rPr>
              <w:t>18,198</w:t>
            </w:r>
          </w:p>
        </w:tc>
        <w:tc>
          <w:tcPr>
            <w:tcW w:w="386" w:type="pct"/>
            <w:tcBorders>
              <w:top w:val="nil"/>
              <w:left w:val="nil"/>
              <w:bottom w:val="nil"/>
              <w:right w:val="single" w:sz="4" w:space="0" w:color="auto"/>
            </w:tcBorders>
            <w:shd w:val="clear" w:color="auto" w:fill="auto"/>
            <w:noWrap/>
            <w:hideMark/>
          </w:tcPr>
          <w:p w14:paraId="41216480" w14:textId="77777777" w:rsidR="00DE10F8" w:rsidRPr="006B42D6" w:rsidRDefault="00DE10F8" w:rsidP="006C676D">
            <w:pPr>
              <w:jc w:val="right"/>
              <w:rPr>
                <w:sz w:val="16"/>
                <w:szCs w:val="16"/>
              </w:rPr>
            </w:pPr>
            <w:r w:rsidRPr="006B42D6">
              <w:rPr>
                <w:sz w:val="16"/>
                <w:szCs w:val="16"/>
              </w:rPr>
              <w:t>0.5</w:t>
            </w:r>
          </w:p>
        </w:tc>
        <w:tc>
          <w:tcPr>
            <w:tcW w:w="407" w:type="pct"/>
            <w:tcBorders>
              <w:top w:val="nil"/>
              <w:left w:val="nil"/>
              <w:bottom w:val="nil"/>
              <w:right w:val="nil"/>
            </w:tcBorders>
            <w:shd w:val="clear" w:color="auto" w:fill="auto"/>
            <w:noWrap/>
            <w:hideMark/>
          </w:tcPr>
          <w:p w14:paraId="39196794" w14:textId="77777777" w:rsidR="00DE10F8" w:rsidRPr="006B42D6" w:rsidRDefault="00DE10F8" w:rsidP="006C676D">
            <w:pPr>
              <w:jc w:val="right"/>
              <w:rPr>
                <w:sz w:val="16"/>
                <w:szCs w:val="16"/>
              </w:rPr>
            </w:pPr>
            <w:r w:rsidRPr="006B42D6">
              <w:rPr>
                <w:sz w:val="16"/>
                <w:szCs w:val="16"/>
              </w:rPr>
              <w:t>7,823</w:t>
            </w:r>
          </w:p>
        </w:tc>
        <w:tc>
          <w:tcPr>
            <w:tcW w:w="388" w:type="pct"/>
            <w:tcBorders>
              <w:top w:val="nil"/>
              <w:left w:val="nil"/>
              <w:bottom w:val="nil"/>
              <w:right w:val="nil"/>
            </w:tcBorders>
            <w:shd w:val="clear" w:color="auto" w:fill="auto"/>
            <w:noWrap/>
            <w:hideMark/>
          </w:tcPr>
          <w:p w14:paraId="1EA773E1" w14:textId="77777777" w:rsidR="00DE10F8" w:rsidRPr="006B42D6" w:rsidRDefault="00DE10F8" w:rsidP="006C676D">
            <w:pPr>
              <w:jc w:val="right"/>
              <w:rPr>
                <w:sz w:val="16"/>
                <w:szCs w:val="16"/>
              </w:rPr>
            </w:pPr>
            <w:r w:rsidRPr="006B42D6">
              <w:rPr>
                <w:sz w:val="16"/>
                <w:szCs w:val="16"/>
              </w:rPr>
              <w:t>2.6</w:t>
            </w:r>
          </w:p>
        </w:tc>
        <w:tc>
          <w:tcPr>
            <w:tcW w:w="407" w:type="pct"/>
            <w:tcBorders>
              <w:top w:val="nil"/>
              <w:left w:val="single" w:sz="4" w:space="0" w:color="auto"/>
              <w:bottom w:val="nil"/>
              <w:right w:val="nil"/>
            </w:tcBorders>
            <w:shd w:val="clear" w:color="auto" w:fill="auto"/>
            <w:noWrap/>
            <w:hideMark/>
          </w:tcPr>
          <w:p w14:paraId="191553C9" w14:textId="77777777" w:rsidR="00DE10F8" w:rsidRPr="006B42D6" w:rsidRDefault="00DE10F8" w:rsidP="006C676D">
            <w:pPr>
              <w:jc w:val="right"/>
              <w:rPr>
                <w:sz w:val="16"/>
                <w:szCs w:val="16"/>
              </w:rPr>
            </w:pPr>
            <w:r w:rsidRPr="006B42D6">
              <w:rPr>
                <w:sz w:val="16"/>
                <w:szCs w:val="16"/>
              </w:rPr>
              <w:t>5,305</w:t>
            </w:r>
          </w:p>
        </w:tc>
        <w:tc>
          <w:tcPr>
            <w:tcW w:w="388" w:type="pct"/>
            <w:tcBorders>
              <w:top w:val="nil"/>
              <w:left w:val="nil"/>
              <w:bottom w:val="nil"/>
              <w:right w:val="single" w:sz="4" w:space="0" w:color="auto"/>
            </w:tcBorders>
            <w:shd w:val="clear" w:color="auto" w:fill="auto"/>
            <w:noWrap/>
            <w:hideMark/>
          </w:tcPr>
          <w:p w14:paraId="623BFFB6" w14:textId="77777777" w:rsidR="00DE10F8" w:rsidRPr="006B42D6" w:rsidRDefault="00DE10F8" w:rsidP="006C676D">
            <w:pPr>
              <w:jc w:val="right"/>
              <w:rPr>
                <w:sz w:val="16"/>
                <w:szCs w:val="16"/>
              </w:rPr>
            </w:pPr>
            <w:r w:rsidRPr="006B42D6">
              <w:rPr>
                <w:sz w:val="16"/>
                <w:szCs w:val="16"/>
              </w:rPr>
              <w:t>0.8</w:t>
            </w:r>
          </w:p>
        </w:tc>
        <w:tc>
          <w:tcPr>
            <w:tcW w:w="434" w:type="pct"/>
            <w:tcBorders>
              <w:top w:val="nil"/>
              <w:left w:val="nil"/>
              <w:bottom w:val="nil"/>
              <w:right w:val="nil"/>
            </w:tcBorders>
            <w:shd w:val="clear" w:color="auto" w:fill="auto"/>
            <w:noWrap/>
            <w:hideMark/>
          </w:tcPr>
          <w:p w14:paraId="32CDE413" w14:textId="77777777" w:rsidR="00DE10F8" w:rsidRPr="006B42D6" w:rsidRDefault="00DE10F8" w:rsidP="006C676D">
            <w:pPr>
              <w:jc w:val="right"/>
              <w:rPr>
                <w:sz w:val="16"/>
                <w:szCs w:val="16"/>
              </w:rPr>
            </w:pPr>
            <w:r w:rsidRPr="006B42D6">
              <w:rPr>
                <w:sz w:val="16"/>
                <w:szCs w:val="16"/>
              </w:rPr>
              <w:t>2,311</w:t>
            </w:r>
          </w:p>
        </w:tc>
        <w:tc>
          <w:tcPr>
            <w:tcW w:w="381" w:type="pct"/>
            <w:tcBorders>
              <w:top w:val="nil"/>
              <w:left w:val="nil"/>
              <w:bottom w:val="nil"/>
              <w:right w:val="nil"/>
            </w:tcBorders>
            <w:shd w:val="clear" w:color="auto" w:fill="auto"/>
            <w:noWrap/>
            <w:hideMark/>
          </w:tcPr>
          <w:p w14:paraId="1FB38984" w14:textId="77777777" w:rsidR="00DE10F8" w:rsidRPr="006B42D6" w:rsidRDefault="00DE10F8" w:rsidP="006C676D">
            <w:pPr>
              <w:jc w:val="right"/>
              <w:rPr>
                <w:sz w:val="16"/>
                <w:szCs w:val="16"/>
              </w:rPr>
            </w:pPr>
            <w:r w:rsidRPr="006B42D6">
              <w:rPr>
                <w:sz w:val="16"/>
                <w:szCs w:val="16"/>
              </w:rPr>
              <w:t>0.8</w:t>
            </w:r>
          </w:p>
        </w:tc>
      </w:tr>
      <w:tr w:rsidR="0085694C" w:rsidRPr="006B42D6" w14:paraId="6BBC15F7" w14:textId="77777777" w:rsidTr="0085694C">
        <w:trPr>
          <w:trHeight w:hRule="exact" w:val="255"/>
        </w:trPr>
        <w:tc>
          <w:tcPr>
            <w:tcW w:w="776" w:type="pct"/>
            <w:tcBorders>
              <w:top w:val="single" w:sz="4" w:space="0" w:color="auto"/>
              <w:left w:val="nil"/>
              <w:bottom w:val="single" w:sz="4" w:space="0" w:color="auto"/>
              <w:right w:val="nil"/>
            </w:tcBorders>
            <w:shd w:val="clear" w:color="auto" w:fill="E2EFD9" w:themeFill="accent6" w:themeFillTint="33"/>
            <w:noWrap/>
            <w:hideMark/>
          </w:tcPr>
          <w:p w14:paraId="7232EC01" w14:textId="46FBF5C1" w:rsidR="00DE10F8" w:rsidRPr="006B42D6" w:rsidRDefault="00DE10F8" w:rsidP="006C676D">
            <w:pPr>
              <w:rPr>
                <w:b/>
                <w:bCs/>
                <w:sz w:val="16"/>
                <w:szCs w:val="16"/>
              </w:rPr>
            </w:pPr>
            <w:r w:rsidRPr="006B42D6">
              <w:rPr>
                <w:b/>
                <w:bCs/>
                <w:sz w:val="16"/>
                <w:szCs w:val="16"/>
              </w:rPr>
              <w:t>Mainland</w:t>
            </w:r>
            <w:r w:rsidR="000778C6">
              <w:rPr>
                <w:b/>
                <w:bCs/>
                <w:sz w:val="16"/>
                <w:szCs w:val="16"/>
              </w:rPr>
              <w:t xml:space="preserve"> Tanzania</w:t>
            </w:r>
          </w:p>
        </w:tc>
        <w:tc>
          <w:tcPr>
            <w:tcW w:w="445" w:type="pct"/>
            <w:tcBorders>
              <w:top w:val="single" w:sz="4" w:space="0" w:color="auto"/>
              <w:left w:val="single" w:sz="4" w:space="0" w:color="auto"/>
              <w:bottom w:val="single" w:sz="4" w:space="0" w:color="auto"/>
              <w:right w:val="nil"/>
            </w:tcBorders>
            <w:shd w:val="clear" w:color="auto" w:fill="E2EFD9" w:themeFill="accent6" w:themeFillTint="33"/>
            <w:noWrap/>
            <w:hideMark/>
          </w:tcPr>
          <w:p w14:paraId="2694E4D1" w14:textId="77777777" w:rsidR="00DE10F8" w:rsidRPr="006B42D6" w:rsidRDefault="00DE10F8" w:rsidP="006C676D">
            <w:pPr>
              <w:jc w:val="right"/>
              <w:rPr>
                <w:b/>
                <w:bCs/>
                <w:sz w:val="16"/>
                <w:szCs w:val="16"/>
              </w:rPr>
            </w:pPr>
            <w:r w:rsidRPr="006B42D6">
              <w:rPr>
                <w:b/>
                <w:bCs/>
                <w:sz w:val="16"/>
                <w:szCs w:val="16"/>
              </w:rPr>
              <w:t>2,004,896</w:t>
            </w:r>
          </w:p>
        </w:tc>
        <w:tc>
          <w:tcPr>
            <w:tcW w:w="385" w:type="pct"/>
            <w:tcBorders>
              <w:top w:val="single" w:sz="4" w:space="0" w:color="auto"/>
              <w:left w:val="nil"/>
              <w:bottom w:val="single" w:sz="4" w:space="0" w:color="auto"/>
              <w:right w:val="single" w:sz="4" w:space="0" w:color="auto"/>
            </w:tcBorders>
            <w:shd w:val="clear" w:color="auto" w:fill="E2EFD9" w:themeFill="accent6" w:themeFillTint="33"/>
            <w:noWrap/>
            <w:hideMark/>
          </w:tcPr>
          <w:p w14:paraId="391AE28B" w14:textId="77777777" w:rsidR="00DE10F8" w:rsidRPr="006B42D6" w:rsidRDefault="00DE10F8" w:rsidP="006C676D">
            <w:pPr>
              <w:jc w:val="right"/>
              <w:rPr>
                <w:b/>
                <w:bCs/>
                <w:sz w:val="16"/>
                <w:szCs w:val="16"/>
              </w:rPr>
            </w:pPr>
          </w:p>
        </w:tc>
        <w:tc>
          <w:tcPr>
            <w:tcW w:w="604" w:type="pct"/>
            <w:tcBorders>
              <w:top w:val="single" w:sz="4" w:space="0" w:color="auto"/>
              <w:left w:val="nil"/>
              <w:bottom w:val="single" w:sz="4" w:space="0" w:color="auto"/>
              <w:right w:val="nil"/>
            </w:tcBorders>
            <w:shd w:val="clear" w:color="auto" w:fill="E2EFD9" w:themeFill="accent6" w:themeFillTint="33"/>
            <w:noWrap/>
            <w:hideMark/>
          </w:tcPr>
          <w:p w14:paraId="5771C650" w14:textId="77777777" w:rsidR="00DE10F8" w:rsidRPr="006B42D6" w:rsidRDefault="00DE10F8" w:rsidP="006C676D">
            <w:pPr>
              <w:jc w:val="right"/>
              <w:rPr>
                <w:b/>
                <w:bCs/>
                <w:sz w:val="16"/>
                <w:szCs w:val="16"/>
              </w:rPr>
            </w:pPr>
            <w:r w:rsidRPr="006B42D6">
              <w:rPr>
                <w:b/>
                <w:bCs/>
                <w:sz w:val="16"/>
                <w:szCs w:val="16"/>
              </w:rPr>
              <w:t>3,878,004</w:t>
            </w:r>
          </w:p>
        </w:tc>
        <w:tc>
          <w:tcPr>
            <w:tcW w:w="386" w:type="pct"/>
            <w:tcBorders>
              <w:top w:val="single" w:sz="4" w:space="0" w:color="auto"/>
              <w:left w:val="nil"/>
              <w:bottom w:val="single" w:sz="4" w:space="0" w:color="auto"/>
              <w:right w:val="single" w:sz="4" w:space="0" w:color="auto"/>
            </w:tcBorders>
            <w:shd w:val="clear" w:color="auto" w:fill="E2EFD9" w:themeFill="accent6" w:themeFillTint="33"/>
            <w:noWrap/>
            <w:hideMark/>
          </w:tcPr>
          <w:p w14:paraId="42D1C068" w14:textId="77777777" w:rsidR="00DE10F8" w:rsidRPr="006B42D6" w:rsidRDefault="00DE10F8" w:rsidP="006C676D">
            <w:pPr>
              <w:jc w:val="right"/>
              <w:rPr>
                <w:sz w:val="16"/>
                <w:szCs w:val="16"/>
              </w:rPr>
            </w:pPr>
            <w:r w:rsidRPr="006B42D6">
              <w:rPr>
                <w:sz w:val="16"/>
                <w:szCs w:val="16"/>
              </w:rPr>
              <w:t>100.0</w:t>
            </w:r>
          </w:p>
        </w:tc>
        <w:tc>
          <w:tcPr>
            <w:tcW w:w="407" w:type="pct"/>
            <w:tcBorders>
              <w:top w:val="single" w:sz="4" w:space="0" w:color="auto"/>
              <w:left w:val="nil"/>
              <w:bottom w:val="single" w:sz="4" w:space="0" w:color="auto"/>
              <w:right w:val="nil"/>
            </w:tcBorders>
            <w:shd w:val="clear" w:color="auto" w:fill="E2EFD9" w:themeFill="accent6" w:themeFillTint="33"/>
            <w:noWrap/>
            <w:hideMark/>
          </w:tcPr>
          <w:p w14:paraId="03CF2B5A" w14:textId="77777777" w:rsidR="00DE10F8" w:rsidRPr="006B42D6" w:rsidRDefault="00DE10F8" w:rsidP="006C676D">
            <w:pPr>
              <w:jc w:val="right"/>
              <w:rPr>
                <w:b/>
                <w:bCs/>
                <w:sz w:val="16"/>
                <w:szCs w:val="16"/>
              </w:rPr>
            </w:pPr>
            <w:r w:rsidRPr="006B42D6">
              <w:rPr>
                <w:b/>
                <w:bCs/>
                <w:sz w:val="16"/>
                <w:szCs w:val="16"/>
              </w:rPr>
              <w:t>299,688</w:t>
            </w:r>
          </w:p>
        </w:tc>
        <w:tc>
          <w:tcPr>
            <w:tcW w:w="388" w:type="pct"/>
            <w:tcBorders>
              <w:top w:val="single" w:sz="4" w:space="0" w:color="auto"/>
              <w:left w:val="nil"/>
              <w:bottom w:val="single" w:sz="4" w:space="0" w:color="auto"/>
              <w:right w:val="nil"/>
            </w:tcBorders>
            <w:shd w:val="clear" w:color="auto" w:fill="E2EFD9" w:themeFill="accent6" w:themeFillTint="33"/>
            <w:noWrap/>
            <w:hideMark/>
          </w:tcPr>
          <w:p w14:paraId="3DBEDFCE" w14:textId="77777777" w:rsidR="00DE10F8" w:rsidRPr="006B42D6" w:rsidRDefault="00DE10F8" w:rsidP="006C676D">
            <w:pPr>
              <w:jc w:val="right"/>
              <w:rPr>
                <w:sz w:val="16"/>
                <w:szCs w:val="16"/>
              </w:rPr>
            </w:pPr>
            <w:r w:rsidRPr="006B42D6">
              <w:rPr>
                <w:sz w:val="16"/>
                <w:szCs w:val="16"/>
              </w:rPr>
              <w:t>100.0</w:t>
            </w:r>
          </w:p>
        </w:tc>
        <w:tc>
          <w:tcPr>
            <w:tcW w:w="407" w:type="pct"/>
            <w:tcBorders>
              <w:top w:val="single" w:sz="4" w:space="0" w:color="auto"/>
              <w:left w:val="single" w:sz="4" w:space="0" w:color="auto"/>
              <w:bottom w:val="single" w:sz="4" w:space="0" w:color="auto"/>
              <w:right w:val="nil"/>
            </w:tcBorders>
            <w:shd w:val="clear" w:color="auto" w:fill="E2EFD9" w:themeFill="accent6" w:themeFillTint="33"/>
            <w:noWrap/>
            <w:hideMark/>
          </w:tcPr>
          <w:p w14:paraId="5E9CBFF2" w14:textId="77777777" w:rsidR="00DE10F8" w:rsidRPr="006B42D6" w:rsidRDefault="00DE10F8" w:rsidP="006C676D">
            <w:pPr>
              <w:jc w:val="right"/>
              <w:rPr>
                <w:b/>
                <w:bCs/>
                <w:sz w:val="16"/>
                <w:szCs w:val="16"/>
              </w:rPr>
            </w:pPr>
            <w:r w:rsidRPr="006B42D6">
              <w:rPr>
                <w:b/>
                <w:bCs/>
                <w:sz w:val="16"/>
                <w:szCs w:val="16"/>
              </w:rPr>
              <w:t>702,482</w:t>
            </w:r>
          </w:p>
        </w:tc>
        <w:tc>
          <w:tcPr>
            <w:tcW w:w="388" w:type="pct"/>
            <w:tcBorders>
              <w:top w:val="single" w:sz="4" w:space="0" w:color="auto"/>
              <w:left w:val="nil"/>
              <w:bottom w:val="single" w:sz="4" w:space="0" w:color="auto"/>
              <w:right w:val="single" w:sz="4" w:space="0" w:color="auto"/>
            </w:tcBorders>
            <w:shd w:val="clear" w:color="auto" w:fill="E2EFD9" w:themeFill="accent6" w:themeFillTint="33"/>
            <w:noWrap/>
            <w:hideMark/>
          </w:tcPr>
          <w:p w14:paraId="3E7C8626" w14:textId="77777777" w:rsidR="00DE10F8" w:rsidRPr="006B42D6" w:rsidRDefault="00DE10F8" w:rsidP="006C676D">
            <w:pPr>
              <w:jc w:val="right"/>
              <w:rPr>
                <w:sz w:val="16"/>
                <w:szCs w:val="16"/>
              </w:rPr>
            </w:pPr>
            <w:r w:rsidRPr="006B42D6">
              <w:rPr>
                <w:sz w:val="16"/>
                <w:szCs w:val="16"/>
              </w:rPr>
              <w:t>100.0</w:t>
            </w:r>
          </w:p>
        </w:tc>
        <w:tc>
          <w:tcPr>
            <w:tcW w:w="434" w:type="pct"/>
            <w:tcBorders>
              <w:top w:val="single" w:sz="4" w:space="0" w:color="auto"/>
              <w:left w:val="nil"/>
              <w:bottom w:val="single" w:sz="4" w:space="0" w:color="auto"/>
              <w:right w:val="nil"/>
            </w:tcBorders>
            <w:shd w:val="clear" w:color="auto" w:fill="E2EFD9" w:themeFill="accent6" w:themeFillTint="33"/>
            <w:noWrap/>
            <w:hideMark/>
          </w:tcPr>
          <w:p w14:paraId="4A333479" w14:textId="77777777" w:rsidR="00DE10F8" w:rsidRPr="006B42D6" w:rsidRDefault="00DE10F8" w:rsidP="006C676D">
            <w:pPr>
              <w:jc w:val="right"/>
              <w:rPr>
                <w:b/>
                <w:bCs/>
                <w:sz w:val="16"/>
                <w:szCs w:val="16"/>
              </w:rPr>
            </w:pPr>
            <w:r w:rsidRPr="006B42D6">
              <w:rPr>
                <w:b/>
                <w:bCs/>
                <w:sz w:val="16"/>
                <w:szCs w:val="16"/>
              </w:rPr>
              <w:t>281,157</w:t>
            </w:r>
          </w:p>
        </w:tc>
        <w:tc>
          <w:tcPr>
            <w:tcW w:w="381" w:type="pct"/>
            <w:tcBorders>
              <w:top w:val="single" w:sz="4" w:space="0" w:color="auto"/>
              <w:left w:val="nil"/>
              <w:bottom w:val="single" w:sz="4" w:space="0" w:color="auto"/>
              <w:right w:val="nil"/>
            </w:tcBorders>
            <w:shd w:val="clear" w:color="auto" w:fill="E2EFD9" w:themeFill="accent6" w:themeFillTint="33"/>
            <w:noWrap/>
            <w:hideMark/>
          </w:tcPr>
          <w:p w14:paraId="2970E98A" w14:textId="77777777" w:rsidR="00DE10F8" w:rsidRPr="006B42D6" w:rsidRDefault="00DE10F8" w:rsidP="006C676D">
            <w:pPr>
              <w:jc w:val="right"/>
              <w:rPr>
                <w:sz w:val="16"/>
                <w:szCs w:val="16"/>
              </w:rPr>
            </w:pPr>
            <w:r w:rsidRPr="006B42D6">
              <w:rPr>
                <w:sz w:val="16"/>
                <w:szCs w:val="16"/>
              </w:rPr>
              <w:t>100.0</w:t>
            </w:r>
          </w:p>
        </w:tc>
      </w:tr>
      <w:tr w:rsidR="0085694C" w:rsidRPr="006B42D6" w14:paraId="5C471814" w14:textId="77777777" w:rsidTr="0085694C">
        <w:trPr>
          <w:trHeight w:hRule="exact" w:val="255"/>
        </w:trPr>
        <w:tc>
          <w:tcPr>
            <w:tcW w:w="776" w:type="pct"/>
            <w:tcBorders>
              <w:top w:val="nil"/>
              <w:left w:val="nil"/>
              <w:bottom w:val="nil"/>
              <w:right w:val="nil"/>
            </w:tcBorders>
            <w:shd w:val="clear" w:color="auto" w:fill="auto"/>
            <w:noWrap/>
            <w:hideMark/>
          </w:tcPr>
          <w:p w14:paraId="29A3A5D5" w14:textId="77777777" w:rsidR="00DE10F8" w:rsidRPr="006B42D6" w:rsidRDefault="00DE10F8" w:rsidP="006C676D">
            <w:pPr>
              <w:rPr>
                <w:sz w:val="16"/>
                <w:szCs w:val="16"/>
              </w:rPr>
            </w:pPr>
            <w:r w:rsidRPr="006B42D6">
              <w:rPr>
                <w:sz w:val="16"/>
                <w:szCs w:val="16"/>
              </w:rPr>
              <w:t>Kaskazini Unguja</w:t>
            </w:r>
          </w:p>
        </w:tc>
        <w:tc>
          <w:tcPr>
            <w:tcW w:w="445" w:type="pct"/>
            <w:tcBorders>
              <w:top w:val="nil"/>
              <w:left w:val="single" w:sz="4" w:space="0" w:color="auto"/>
              <w:bottom w:val="nil"/>
              <w:right w:val="nil"/>
            </w:tcBorders>
            <w:shd w:val="clear" w:color="auto" w:fill="auto"/>
            <w:noWrap/>
            <w:hideMark/>
          </w:tcPr>
          <w:p w14:paraId="061DB506" w14:textId="77777777" w:rsidR="00DE10F8" w:rsidRPr="006B42D6" w:rsidRDefault="00DE10F8" w:rsidP="006C676D">
            <w:pPr>
              <w:jc w:val="right"/>
              <w:rPr>
                <w:sz w:val="16"/>
                <w:szCs w:val="16"/>
              </w:rPr>
            </w:pPr>
            <w:r w:rsidRPr="006B42D6">
              <w:rPr>
                <w:sz w:val="16"/>
                <w:szCs w:val="16"/>
              </w:rPr>
              <w:t>400</w:t>
            </w:r>
          </w:p>
        </w:tc>
        <w:tc>
          <w:tcPr>
            <w:tcW w:w="385" w:type="pct"/>
            <w:tcBorders>
              <w:top w:val="nil"/>
              <w:left w:val="nil"/>
              <w:bottom w:val="nil"/>
              <w:right w:val="nil"/>
            </w:tcBorders>
            <w:shd w:val="clear" w:color="auto" w:fill="auto"/>
            <w:noWrap/>
            <w:hideMark/>
          </w:tcPr>
          <w:p w14:paraId="3CB65616" w14:textId="77777777" w:rsidR="00DE10F8" w:rsidRPr="006B42D6" w:rsidRDefault="00DE10F8" w:rsidP="006C676D">
            <w:pPr>
              <w:jc w:val="right"/>
              <w:rPr>
                <w:sz w:val="16"/>
                <w:szCs w:val="16"/>
              </w:rPr>
            </w:pPr>
            <w:r w:rsidRPr="006B42D6">
              <w:rPr>
                <w:sz w:val="16"/>
                <w:szCs w:val="16"/>
              </w:rPr>
              <w:t>28.7</w:t>
            </w:r>
          </w:p>
        </w:tc>
        <w:tc>
          <w:tcPr>
            <w:tcW w:w="604" w:type="pct"/>
            <w:tcBorders>
              <w:top w:val="nil"/>
              <w:left w:val="single" w:sz="4" w:space="0" w:color="auto"/>
              <w:bottom w:val="nil"/>
              <w:right w:val="nil"/>
            </w:tcBorders>
            <w:shd w:val="clear" w:color="auto" w:fill="auto"/>
            <w:noWrap/>
            <w:hideMark/>
          </w:tcPr>
          <w:p w14:paraId="3A115898" w14:textId="77777777" w:rsidR="00DE10F8" w:rsidRPr="006B42D6" w:rsidRDefault="00DE10F8" w:rsidP="006C676D">
            <w:pPr>
              <w:jc w:val="right"/>
              <w:rPr>
                <w:sz w:val="16"/>
                <w:szCs w:val="16"/>
              </w:rPr>
            </w:pPr>
            <w:r w:rsidRPr="006B42D6">
              <w:rPr>
                <w:sz w:val="16"/>
                <w:szCs w:val="16"/>
              </w:rPr>
              <w:t>673</w:t>
            </w:r>
          </w:p>
        </w:tc>
        <w:tc>
          <w:tcPr>
            <w:tcW w:w="386" w:type="pct"/>
            <w:tcBorders>
              <w:top w:val="nil"/>
              <w:left w:val="nil"/>
              <w:bottom w:val="nil"/>
              <w:right w:val="single" w:sz="4" w:space="0" w:color="auto"/>
            </w:tcBorders>
            <w:shd w:val="clear" w:color="auto" w:fill="auto"/>
            <w:noWrap/>
            <w:hideMark/>
          </w:tcPr>
          <w:p w14:paraId="46808773" w14:textId="77777777" w:rsidR="00DE10F8" w:rsidRPr="006B42D6" w:rsidRDefault="00DE10F8" w:rsidP="006C676D">
            <w:pPr>
              <w:jc w:val="right"/>
              <w:rPr>
                <w:sz w:val="16"/>
                <w:szCs w:val="16"/>
              </w:rPr>
            </w:pPr>
            <w:r w:rsidRPr="006B42D6">
              <w:rPr>
                <w:sz w:val="16"/>
                <w:szCs w:val="16"/>
              </w:rPr>
              <w:t>3.9</w:t>
            </w:r>
          </w:p>
        </w:tc>
        <w:tc>
          <w:tcPr>
            <w:tcW w:w="407" w:type="pct"/>
            <w:tcBorders>
              <w:top w:val="nil"/>
              <w:left w:val="nil"/>
              <w:bottom w:val="nil"/>
              <w:right w:val="nil"/>
            </w:tcBorders>
            <w:shd w:val="clear" w:color="auto" w:fill="auto"/>
            <w:noWrap/>
            <w:hideMark/>
          </w:tcPr>
          <w:p w14:paraId="4BD92483" w14:textId="77777777" w:rsidR="00DE10F8" w:rsidRPr="006B42D6" w:rsidRDefault="00DE10F8" w:rsidP="006C676D">
            <w:pPr>
              <w:jc w:val="right"/>
              <w:rPr>
                <w:sz w:val="16"/>
                <w:szCs w:val="16"/>
              </w:rPr>
            </w:pPr>
            <w:r w:rsidRPr="006B42D6">
              <w:rPr>
                <w:sz w:val="16"/>
                <w:szCs w:val="16"/>
              </w:rPr>
              <w:t>-</w:t>
            </w:r>
          </w:p>
        </w:tc>
        <w:tc>
          <w:tcPr>
            <w:tcW w:w="388" w:type="pct"/>
            <w:tcBorders>
              <w:top w:val="nil"/>
              <w:left w:val="nil"/>
              <w:bottom w:val="nil"/>
              <w:right w:val="nil"/>
            </w:tcBorders>
            <w:shd w:val="clear" w:color="auto" w:fill="auto"/>
            <w:noWrap/>
            <w:hideMark/>
          </w:tcPr>
          <w:p w14:paraId="645A9858" w14:textId="77777777" w:rsidR="00DE10F8" w:rsidRPr="006B42D6" w:rsidRDefault="00DE10F8" w:rsidP="006C676D">
            <w:pPr>
              <w:jc w:val="right"/>
              <w:rPr>
                <w:sz w:val="16"/>
                <w:szCs w:val="16"/>
              </w:rPr>
            </w:pPr>
            <w:r w:rsidRPr="006B42D6">
              <w:rPr>
                <w:sz w:val="16"/>
                <w:szCs w:val="16"/>
              </w:rPr>
              <w:t>-</w:t>
            </w:r>
          </w:p>
        </w:tc>
        <w:tc>
          <w:tcPr>
            <w:tcW w:w="407" w:type="pct"/>
            <w:tcBorders>
              <w:top w:val="nil"/>
              <w:left w:val="single" w:sz="4" w:space="0" w:color="auto"/>
              <w:bottom w:val="nil"/>
              <w:right w:val="nil"/>
            </w:tcBorders>
            <w:shd w:val="clear" w:color="auto" w:fill="auto"/>
            <w:noWrap/>
            <w:hideMark/>
          </w:tcPr>
          <w:p w14:paraId="0293513F" w14:textId="77777777" w:rsidR="00DE10F8" w:rsidRPr="006B42D6" w:rsidRDefault="00DE10F8" w:rsidP="006C676D">
            <w:pPr>
              <w:jc w:val="right"/>
              <w:rPr>
                <w:sz w:val="16"/>
                <w:szCs w:val="16"/>
              </w:rPr>
            </w:pPr>
            <w:r w:rsidRPr="006B42D6">
              <w:rPr>
                <w:sz w:val="16"/>
                <w:szCs w:val="16"/>
              </w:rPr>
              <w:t>553</w:t>
            </w:r>
          </w:p>
        </w:tc>
        <w:tc>
          <w:tcPr>
            <w:tcW w:w="388" w:type="pct"/>
            <w:tcBorders>
              <w:top w:val="nil"/>
              <w:left w:val="nil"/>
              <w:bottom w:val="nil"/>
              <w:right w:val="single" w:sz="4" w:space="0" w:color="auto"/>
            </w:tcBorders>
            <w:shd w:val="clear" w:color="auto" w:fill="auto"/>
            <w:noWrap/>
            <w:hideMark/>
          </w:tcPr>
          <w:p w14:paraId="68A0993A" w14:textId="77777777" w:rsidR="00DE10F8" w:rsidRPr="006B42D6" w:rsidRDefault="00DE10F8" w:rsidP="006C676D">
            <w:pPr>
              <w:jc w:val="right"/>
              <w:rPr>
                <w:sz w:val="16"/>
                <w:szCs w:val="16"/>
              </w:rPr>
            </w:pPr>
            <w:r w:rsidRPr="006B42D6">
              <w:rPr>
                <w:sz w:val="16"/>
                <w:szCs w:val="16"/>
              </w:rPr>
              <w:t>23.9</w:t>
            </w:r>
          </w:p>
        </w:tc>
        <w:tc>
          <w:tcPr>
            <w:tcW w:w="434" w:type="pct"/>
            <w:tcBorders>
              <w:top w:val="nil"/>
              <w:left w:val="nil"/>
              <w:bottom w:val="nil"/>
              <w:right w:val="nil"/>
            </w:tcBorders>
            <w:shd w:val="clear" w:color="auto" w:fill="auto"/>
            <w:noWrap/>
            <w:hideMark/>
          </w:tcPr>
          <w:p w14:paraId="742340E1" w14:textId="77777777" w:rsidR="00DE10F8" w:rsidRPr="006B42D6" w:rsidRDefault="00DE10F8" w:rsidP="006C676D">
            <w:pPr>
              <w:jc w:val="right"/>
              <w:rPr>
                <w:sz w:val="16"/>
                <w:szCs w:val="16"/>
              </w:rPr>
            </w:pPr>
            <w:r w:rsidRPr="006B42D6">
              <w:rPr>
                <w:sz w:val="16"/>
                <w:szCs w:val="16"/>
              </w:rPr>
              <w:t>-</w:t>
            </w:r>
          </w:p>
        </w:tc>
        <w:tc>
          <w:tcPr>
            <w:tcW w:w="381" w:type="pct"/>
            <w:tcBorders>
              <w:top w:val="nil"/>
              <w:left w:val="nil"/>
              <w:bottom w:val="nil"/>
              <w:right w:val="nil"/>
            </w:tcBorders>
            <w:shd w:val="clear" w:color="auto" w:fill="auto"/>
            <w:noWrap/>
            <w:hideMark/>
          </w:tcPr>
          <w:p w14:paraId="077CDD6B" w14:textId="77777777" w:rsidR="00DE10F8" w:rsidRPr="006B42D6" w:rsidRDefault="00DE10F8" w:rsidP="006C676D">
            <w:pPr>
              <w:jc w:val="right"/>
              <w:rPr>
                <w:sz w:val="16"/>
                <w:szCs w:val="16"/>
              </w:rPr>
            </w:pPr>
            <w:r w:rsidRPr="006B42D6">
              <w:rPr>
                <w:sz w:val="16"/>
                <w:szCs w:val="16"/>
              </w:rPr>
              <w:t>-</w:t>
            </w:r>
          </w:p>
        </w:tc>
      </w:tr>
      <w:tr w:rsidR="0085694C" w:rsidRPr="006B42D6" w14:paraId="2CBAD6A1" w14:textId="77777777" w:rsidTr="0085694C">
        <w:trPr>
          <w:trHeight w:hRule="exact" w:val="255"/>
        </w:trPr>
        <w:tc>
          <w:tcPr>
            <w:tcW w:w="776" w:type="pct"/>
            <w:tcBorders>
              <w:top w:val="nil"/>
              <w:left w:val="nil"/>
              <w:bottom w:val="nil"/>
              <w:right w:val="nil"/>
            </w:tcBorders>
            <w:shd w:val="clear" w:color="auto" w:fill="auto"/>
            <w:noWrap/>
            <w:hideMark/>
          </w:tcPr>
          <w:p w14:paraId="2E7398AC" w14:textId="77777777" w:rsidR="00DE10F8" w:rsidRPr="006B42D6" w:rsidRDefault="00DE10F8" w:rsidP="006C676D">
            <w:pPr>
              <w:rPr>
                <w:sz w:val="16"/>
                <w:szCs w:val="16"/>
              </w:rPr>
            </w:pPr>
            <w:r w:rsidRPr="006B42D6">
              <w:rPr>
                <w:sz w:val="16"/>
                <w:szCs w:val="16"/>
              </w:rPr>
              <w:t>Kusini Unguja</w:t>
            </w:r>
          </w:p>
        </w:tc>
        <w:tc>
          <w:tcPr>
            <w:tcW w:w="445" w:type="pct"/>
            <w:tcBorders>
              <w:top w:val="nil"/>
              <w:left w:val="single" w:sz="4" w:space="0" w:color="auto"/>
              <w:bottom w:val="nil"/>
              <w:right w:val="nil"/>
            </w:tcBorders>
            <w:shd w:val="clear" w:color="auto" w:fill="auto"/>
            <w:noWrap/>
            <w:hideMark/>
          </w:tcPr>
          <w:p w14:paraId="23B4DD6C" w14:textId="77777777" w:rsidR="00DE10F8" w:rsidRPr="006B42D6" w:rsidRDefault="00DE10F8" w:rsidP="006C676D">
            <w:pPr>
              <w:jc w:val="right"/>
              <w:rPr>
                <w:sz w:val="16"/>
                <w:szCs w:val="16"/>
              </w:rPr>
            </w:pPr>
            <w:r w:rsidRPr="006B42D6">
              <w:rPr>
                <w:sz w:val="16"/>
                <w:szCs w:val="16"/>
              </w:rPr>
              <w:t>529</w:t>
            </w:r>
          </w:p>
        </w:tc>
        <w:tc>
          <w:tcPr>
            <w:tcW w:w="385" w:type="pct"/>
            <w:tcBorders>
              <w:top w:val="nil"/>
              <w:left w:val="nil"/>
              <w:bottom w:val="nil"/>
              <w:right w:val="nil"/>
            </w:tcBorders>
            <w:shd w:val="clear" w:color="auto" w:fill="auto"/>
            <w:noWrap/>
            <w:hideMark/>
          </w:tcPr>
          <w:p w14:paraId="6C9F3107" w14:textId="77777777" w:rsidR="00DE10F8" w:rsidRPr="006B42D6" w:rsidRDefault="00DE10F8" w:rsidP="006C676D">
            <w:pPr>
              <w:jc w:val="right"/>
              <w:rPr>
                <w:sz w:val="16"/>
                <w:szCs w:val="16"/>
              </w:rPr>
            </w:pPr>
            <w:r w:rsidRPr="006B42D6">
              <w:rPr>
                <w:sz w:val="16"/>
                <w:szCs w:val="16"/>
              </w:rPr>
              <w:t>37.9</w:t>
            </w:r>
          </w:p>
        </w:tc>
        <w:tc>
          <w:tcPr>
            <w:tcW w:w="604" w:type="pct"/>
            <w:tcBorders>
              <w:top w:val="nil"/>
              <w:left w:val="single" w:sz="4" w:space="0" w:color="auto"/>
              <w:bottom w:val="nil"/>
              <w:right w:val="nil"/>
            </w:tcBorders>
            <w:shd w:val="clear" w:color="auto" w:fill="auto"/>
            <w:noWrap/>
            <w:hideMark/>
          </w:tcPr>
          <w:p w14:paraId="3228CD9C" w14:textId="77777777" w:rsidR="00DE10F8" w:rsidRPr="006B42D6" w:rsidRDefault="00DE10F8" w:rsidP="006C676D">
            <w:pPr>
              <w:jc w:val="right"/>
              <w:rPr>
                <w:sz w:val="16"/>
                <w:szCs w:val="16"/>
              </w:rPr>
            </w:pPr>
            <w:r w:rsidRPr="006B42D6">
              <w:rPr>
                <w:sz w:val="16"/>
                <w:szCs w:val="16"/>
              </w:rPr>
              <w:t>4,711</w:t>
            </w:r>
          </w:p>
        </w:tc>
        <w:tc>
          <w:tcPr>
            <w:tcW w:w="386" w:type="pct"/>
            <w:tcBorders>
              <w:top w:val="nil"/>
              <w:left w:val="nil"/>
              <w:bottom w:val="nil"/>
              <w:right w:val="single" w:sz="4" w:space="0" w:color="auto"/>
            </w:tcBorders>
            <w:shd w:val="clear" w:color="auto" w:fill="auto"/>
            <w:noWrap/>
            <w:hideMark/>
          </w:tcPr>
          <w:p w14:paraId="62649B15" w14:textId="77777777" w:rsidR="00DE10F8" w:rsidRPr="006B42D6" w:rsidRDefault="00DE10F8" w:rsidP="006C676D">
            <w:pPr>
              <w:jc w:val="right"/>
              <w:rPr>
                <w:sz w:val="16"/>
                <w:szCs w:val="16"/>
              </w:rPr>
            </w:pPr>
            <w:r w:rsidRPr="006B42D6">
              <w:rPr>
                <w:sz w:val="16"/>
                <w:szCs w:val="16"/>
              </w:rPr>
              <w:t>27.4</w:t>
            </w:r>
          </w:p>
        </w:tc>
        <w:tc>
          <w:tcPr>
            <w:tcW w:w="407" w:type="pct"/>
            <w:tcBorders>
              <w:top w:val="nil"/>
              <w:left w:val="nil"/>
              <w:bottom w:val="nil"/>
              <w:right w:val="nil"/>
            </w:tcBorders>
            <w:shd w:val="clear" w:color="auto" w:fill="auto"/>
            <w:noWrap/>
            <w:hideMark/>
          </w:tcPr>
          <w:p w14:paraId="489E646C" w14:textId="77777777" w:rsidR="00DE10F8" w:rsidRPr="006B42D6" w:rsidRDefault="00DE10F8" w:rsidP="006C676D">
            <w:pPr>
              <w:jc w:val="right"/>
              <w:rPr>
                <w:sz w:val="16"/>
                <w:szCs w:val="16"/>
              </w:rPr>
            </w:pPr>
            <w:r w:rsidRPr="006B42D6">
              <w:rPr>
                <w:sz w:val="16"/>
                <w:szCs w:val="16"/>
              </w:rPr>
              <w:t>141</w:t>
            </w:r>
          </w:p>
        </w:tc>
        <w:tc>
          <w:tcPr>
            <w:tcW w:w="388" w:type="pct"/>
            <w:tcBorders>
              <w:top w:val="nil"/>
              <w:left w:val="nil"/>
              <w:bottom w:val="nil"/>
              <w:right w:val="nil"/>
            </w:tcBorders>
            <w:shd w:val="clear" w:color="auto" w:fill="auto"/>
            <w:noWrap/>
            <w:hideMark/>
          </w:tcPr>
          <w:p w14:paraId="7F7F5D5F" w14:textId="77777777" w:rsidR="00DE10F8" w:rsidRPr="006B42D6" w:rsidRDefault="00DE10F8" w:rsidP="006C676D">
            <w:pPr>
              <w:jc w:val="right"/>
              <w:rPr>
                <w:sz w:val="16"/>
                <w:szCs w:val="16"/>
              </w:rPr>
            </w:pPr>
            <w:r w:rsidRPr="006B42D6">
              <w:rPr>
                <w:sz w:val="16"/>
                <w:szCs w:val="16"/>
              </w:rPr>
              <w:t>100.0</w:t>
            </w:r>
          </w:p>
        </w:tc>
        <w:tc>
          <w:tcPr>
            <w:tcW w:w="407" w:type="pct"/>
            <w:tcBorders>
              <w:top w:val="nil"/>
              <w:left w:val="single" w:sz="4" w:space="0" w:color="auto"/>
              <w:bottom w:val="nil"/>
              <w:right w:val="nil"/>
            </w:tcBorders>
            <w:shd w:val="clear" w:color="auto" w:fill="auto"/>
            <w:noWrap/>
            <w:hideMark/>
          </w:tcPr>
          <w:p w14:paraId="542DF30E" w14:textId="77777777" w:rsidR="00DE10F8" w:rsidRPr="006B42D6" w:rsidRDefault="00DE10F8" w:rsidP="006C676D">
            <w:pPr>
              <w:jc w:val="right"/>
              <w:rPr>
                <w:sz w:val="16"/>
                <w:szCs w:val="16"/>
              </w:rPr>
            </w:pPr>
            <w:r w:rsidRPr="006B42D6">
              <w:rPr>
                <w:sz w:val="16"/>
                <w:szCs w:val="16"/>
              </w:rPr>
              <w:t>150</w:t>
            </w:r>
          </w:p>
        </w:tc>
        <w:tc>
          <w:tcPr>
            <w:tcW w:w="388" w:type="pct"/>
            <w:tcBorders>
              <w:top w:val="nil"/>
              <w:left w:val="nil"/>
              <w:bottom w:val="nil"/>
              <w:right w:val="single" w:sz="4" w:space="0" w:color="auto"/>
            </w:tcBorders>
            <w:shd w:val="clear" w:color="auto" w:fill="auto"/>
            <w:noWrap/>
            <w:hideMark/>
          </w:tcPr>
          <w:p w14:paraId="01D24F82" w14:textId="77777777" w:rsidR="00DE10F8" w:rsidRPr="006B42D6" w:rsidRDefault="00DE10F8" w:rsidP="006C676D">
            <w:pPr>
              <w:jc w:val="right"/>
              <w:rPr>
                <w:sz w:val="16"/>
                <w:szCs w:val="16"/>
              </w:rPr>
            </w:pPr>
            <w:r w:rsidRPr="006B42D6">
              <w:rPr>
                <w:sz w:val="16"/>
                <w:szCs w:val="16"/>
              </w:rPr>
              <w:t>6.5</w:t>
            </w:r>
          </w:p>
        </w:tc>
        <w:tc>
          <w:tcPr>
            <w:tcW w:w="434" w:type="pct"/>
            <w:tcBorders>
              <w:top w:val="nil"/>
              <w:left w:val="nil"/>
              <w:bottom w:val="nil"/>
              <w:right w:val="nil"/>
            </w:tcBorders>
            <w:shd w:val="clear" w:color="auto" w:fill="auto"/>
            <w:noWrap/>
            <w:hideMark/>
          </w:tcPr>
          <w:p w14:paraId="7C40E585" w14:textId="77777777" w:rsidR="00DE10F8" w:rsidRPr="006B42D6" w:rsidRDefault="00DE10F8" w:rsidP="006C676D">
            <w:pPr>
              <w:jc w:val="right"/>
              <w:rPr>
                <w:sz w:val="16"/>
                <w:szCs w:val="16"/>
              </w:rPr>
            </w:pPr>
            <w:r w:rsidRPr="006B42D6">
              <w:rPr>
                <w:sz w:val="16"/>
                <w:szCs w:val="16"/>
              </w:rPr>
              <w:t>982</w:t>
            </w:r>
          </w:p>
        </w:tc>
        <w:tc>
          <w:tcPr>
            <w:tcW w:w="381" w:type="pct"/>
            <w:tcBorders>
              <w:top w:val="nil"/>
              <w:left w:val="nil"/>
              <w:bottom w:val="nil"/>
              <w:right w:val="nil"/>
            </w:tcBorders>
            <w:shd w:val="clear" w:color="auto" w:fill="auto"/>
            <w:noWrap/>
            <w:hideMark/>
          </w:tcPr>
          <w:p w14:paraId="60B22178" w14:textId="77777777" w:rsidR="00DE10F8" w:rsidRPr="006B42D6" w:rsidRDefault="00DE10F8" w:rsidP="006C676D">
            <w:pPr>
              <w:jc w:val="right"/>
              <w:rPr>
                <w:sz w:val="16"/>
                <w:szCs w:val="16"/>
              </w:rPr>
            </w:pPr>
            <w:r w:rsidRPr="006B42D6">
              <w:rPr>
                <w:sz w:val="16"/>
                <w:szCs w:val="16"/>
              </w:rPr>
              <w:t>47.6</w:t>
            </w:r>
          </w:p>
        </w:tc>
      </w:tr>
      <w:tr w:rsidR="0085694C" w:rsidRPr="006B42D6" w14:paraId="28E187D5" w14:textId="77777777" w:rsidTr="0085694C">
        <w:trPr>
          <w:trHeight w:hRule="exact" w:val="255"/>
        </w:trPr>
        <w:tc>
          <w:tcPr>
            <w:tcW w:w="776" w:type="pct"/>
            <w:tcBorders>
              <w:top w:val="nil"/>
              <w:left w:val="nil"/>
              <w:bottom w:val="nil"/>
              <w:right w:val="nil"/>
            </w:tcBorders>
            <w:shd w:val="clear" w:color="auto" w:fill="auto"/>
            <w:noWrap/>
            <w:hideMark/>
          </w:tcPr>
          <w:p w14:paraId="16C8B6C2" w14:textId="77777777" w:rsidR="00DE10F8" w:rsidRPr="006B42D6" w:rsidRDefault="00DE10F8" w:rsidP="006C676D">
            <w:pPr>
              <w:rPr>
                <w:sz w:val="16"/>
                <w:szCs w:val="16"/>
              </w:rPr>
            </w:pPr>
            <w:r w:rsidRPr="006B42D6">
              <w:rPr>
                <w:sz w:val="16"/>
                <w:szCs w:val="16"/>
              </w:rPr>
              <w:t>Mjini Magharibi</w:t>
            </w:r>
          </w:p>
        </w:tc>
        <w:tc>
          <w:tcPr>
            <w:tcW w:w="445" w:type="pct"/>
            <w:tcBorders>
              <w:top w:val="nil"/>
              <w:left w:val="single" w:sz="4" w:space="0" w:color="auto"/>
              <w:bottom w:val="nil"/>
              <w:right w:val="nil"/>
            </w:tcBorders>
            <w:shd w:val="clear" w:color="auto" w:fill="auto"/>
            <w:noWrap/>
            <w:hideMark/>
          </w:tcPr>
          <w:p w14:paraId="2D17E2E8" w14:textId="77777777" w:rsidR="00DE10F8" w:rsidRPr="006B42D6" w:rsidRDefault="00DE10F8" w:rsidP="006C676D">
            <w:pPr>
              <w:jc w:val="right"/>
              <w:rPr>
                <w:sz w:val="16"/>
                <w:szCs w:val="16"/>
              </w:rPr>
            </w:pPr>
            <w:r w:rsidRPr="006B42D6">
              <w:rPr>
                <w:sz w:val="16"/>
                <w:szCs w:val="16"/>
              </w:rPr>
              <w:t>135</w:t>
            </w:r>
          </w:p>
        </w:tc>
        <w:tc>
          <w:tcPr>
            <w:tcW w:w="385" w:type="pct"/>
            <w:tcBorders>
              <w:top w:val="nil"/>
              <w:left w:val="nil"/>
              <w:bottom w:val="nil"/>
              <w:right w:val="nil"/>
            </w:tcBorders>
            <w:shd w:val="clear" w:color="auto" w:fill="auto"/>
            <w:noWrap/>
            <w:hideMark/>
          </w:tcPr>
          <w:p w14:paraId="08689B20" w14:textId="77777777" w:rsidR="00DE10F8" w:rsidRPr="006B42D6" w:rsidRDefault="00DE10F8" w:rsidP="006C676D">
            <w:pPr>
              <w:jc w:val="right"/>
              <w:rPr>
                <w:sz w:val="16"/>
                <w:szCs w:val="16"/>
              </w:rPr>
            </w:pPr>
            <w:r w:rsidRPr="006B42D6">
              <w:rPr>
                <w:sz w:val="16"/>
                <w:szCs w:val="16"/>
              </w:rPr>
              <w:t>9.7</w:t>
            </w:r>
          </w:p>
        </w:tc>
        <w:tc>
          <w:tcPr>
            <w:tcW w:w="604" w:type="pct"/>
            <w:tcBorders>
              <w:top w:val="nil"/>
              <w:left w:val="single" w:sz="4" w:space="0" w:color="auto"/>
              <w:bottom w:val="nil"/>
              <w:right w:val="nil"/>
            </w:tcBorders>
            <w:shd w:val="clear" w:color="auto" w:fill="auto"/>
            <w:noWrap/>
            <w:hideMark/>
          </w:tcPr>
          <w:p w14:paraId="3013E0FC" w14:textId="77777777" w:rsidR="00DE10F8" w:rsidRPr="006B42D6" w:rsidRDefault="00DE10F8" w:rsidP="006C676D">
            <w:pPr>
              <w:jc w:val="right"/>
              <w:rPr>
                <w:sz w:val="16"/>
                <w:szCs w:val="16"/>
              </w:rPr>
            </w:pPr>
            <w:r w:rsidRPr="006B42D6">
              <w:rPr>
                <w:sz w:val="16"/>
                <w:szCs w:val="16"/>
              </w:rPr>
              <w:t>347</w:t>
            </w:r>
          </w:p>
        </w:tc>
        <w:tc>
          <w:tcPr>
            <w:tcW w:w="386" w:type="pct"/>
            <w:tcBorders>
              <w:top w:val="nil"/>
              <w:left w:val="nil"/>
              <w:bottom w:val="nil"/>
              <w:right w:val="single" w:sz="4" w:space="0" w:color="auto"/>
            </w:tcBorders>
            <w:shd w:val="clear" w:color="auto" w:fill="auto"/>
            <w:noWrap/>
            <w:hideMark/>
          </w:tcPr>
          <w:p w14:paraId="05AAEC88" w14:textId="77777777" w:rsidR="00DE10F8" w:rsidRPr="006B42D6" w:rsidRDefault="00DE10F8" w:rsidP="006C676D">
            <w:pPr>
              <w:jc w:val="right"/>
              <w:rPr>
                <w:sz w:val="16"/>
                <w:szCs w:val="16"/>
              </w:rPr>
            </w:pPr>
            <w:r w:rsidRPr="006B42D6">
              <w:rPr>
                <w:sz w:val="16"/>
                <w:szCs w:val="16"/>
              </w:rPr>
              <w:t>2.0</w:t>
            </w:r>
          </w:p>
        </w:tc>
        <w:tc>
          <w:tcPr>
            <w:tcW w:w="407" w:type="pct"/>
            <w:tcBorders>
              <w:top w:val="nil"/>
              <w:left w:val="nil"/>
              <w:bottom w:val="nil"/>
              <w:right w:val="nil"/>
            </w:tcBorders>
            <w:shd w:val="clear" w:color="auto" w:fill="auto"/>
            <w:noWrap/>
            <w:hideMark/>
          </w:tcPr>
          <w:p w14:paraId="0940CDBD" w14:textId="77777777" w:rsidR="00DE10F8" w:rsidRPr="006B42D6" w:rsidRDefault="00DE10F8" w:rsidP="006C676D">
            <w:pPr>
              <w:jc w:val="right"/>
              <w:rPr>
                <w:sz w:val="16"/>
                <w:szCs w:val="16"/>
              </w:rPr>
            </w:pPr>
            <w:r w:rsidRPr="006B42D6">
              <w:rPr>
                <w:sz w:val="16"/>
                <w:szCs w:val="16"/>
              </w:rPr>
              <w:t>-</w:t>
            </w:r>
          </w:p>
        </w:tc>
        <w:tc>
          <w:tcPr>
            <w:tcW w:w="388" w:type="pct"/>
            <w:tcBorders>
              <w:top w:val="nil"/>
              <w:left w:val="nil"/>
              <w:bottom w:val="nil"/>
              <w:right w:val="nil"/>
            </w:tcBorders>
            <w:shd w:val="clear" w:color="auto" w:fill="auto"/>
            <w:noWrap/>
            <w:hideMark/>
          </w:tcPr>
          <w:p w14:paraId="16218535" w14:textId="77777777" w:rsidR="00DE10F8" w:rsidRPr="006B42D6" w:rsidRDefault="00DE10F8" w:rsidP="006C676D">
            <w:pPr>
              <w:jc w:val="right"/>
              <w:rPr>
                <w:sz w:val="16"/>
                <w:szCs w:val="16"/>
              </w:rPr>
            </w:pPr>
            <w:r w:rsidRPr="006B42D6">
              <w:rPr>
                <w:sz w:val="16"/>
                <w:szCs w:val="16"/>
              </w:rPr>
              <w:t>-</w:t>
            </w:r>
          </w:p>
        </w:tc>
        <w:tc>
          <w:tcPr>
            <w:tcW w:w="407" w:type="pct"/>
            <w:tcBorders>
              <w:top w:val="nil"/>
              <w:left w:val="single" w:sz="4" w:space="0" w:color="auto"/>
              <w:bottom w:val="nil"/>
              <w:right w:val="nil"/>
            </w:tcBorders>
            <w:shd w:val="clear" w:color="auto" w:fill="auto"/>
            <w:noWrap/>
            <w:hideMark/>
          </w:tcPr>
          <w:p w14:paraId="1F0008EA" w14:textId="77777777" w:rsidR="00DE10F8" w:rsidRPr="006B42D6" w:rsidRDefault="00DE10F8" w:rsidP="006C676D">
            <w:pPr>
              <w:jc w:val="right"/>
              <w:rPr>
                <w:sz w:val="16"/>
                <w:szCs w:val="16"/>
              </w:rPr>
            </w:pPr>
            <w:r w:rsidRPr="006B42D6">
              <w:rPr>
                <w:sz w:val="16"/>
                <w:szCs w:val="16"/>
              </w:rPr>
              <w:t>-</w:t>
            </w:r>
          </w:p>
        </w:tc>
        <w:tc>
          <w:tcPr>
            <w:tcW w:w="388" w:type="pct"/>
            <w:tcBorders>
              <w:top w:val="nil"/>
              <w:left w:val="nil"/>
              <w:bottom w:val="nil"/>
              <w:right w:val="single" w:sz="4" w:space="0" w:color="auto"/>
            </w:tcBorders>
            <w:shd w:val="clear" w:color="auto" w:fill="auto"/>
            <w:noWrap/>
            <w:hideMark/>
          </w:tcPr>
          <w:p w14:paraId="5F62B77F" w14:textId="77777777" w:rsidR="00DE10F8" w:rsidRPr="006B42D6" w:rsidRDefault="00DE10F8" w:rsidP="006C676D">
            <w:pPr>
              <w:jc w:val="right"/>
              <w:rPr>
                <w:sz w:val="16"/>
                <w:szCs w:val="16"/>
              </w:rPr>
            </w:pPr>
            <w:r w:rsidRPr="006B42D6">
              <w:rPr>
                <w:sz w:val="16"/>
                <w:szCs w:val="16"/>
              </w:rPr>
              <w:t>-</w:t>
            </w:r>
          </w:p>
        </w:tc>
        <w:tc>
          <w:tcPr>
            <w:tcW w:w="434" w:type="pct"/>
            <w:tcBorders>
              <w:top w:val="nil"/>
              <w:left w:val="nil"/>
              <w:bottom w:val="nil"/>
              <w:right w:val="nil"/>
            </w:tcBorders>
            <w:shd w:val="clear" w:color="auto" w:fill="auto"/>
            <w:noWrap/>
            <w:hideMark/>
          </w:tcPr>
          <w:p w14:paraId="69266FB5" w14:textId="77777777" w:rsidR="00DE10F8" w:rsidRPr="006B42D6" w:rsidRDefault="00DE10F8" w:rsidP="006C676D">
            <w:pPr>
              <w:jc w:val="right"/>
              <w:rPr>
                <w:sz w:val="16"/>
                <w:szCs w:val="16"/>
              </w:rPr>
            </w:pPr>
            <w:r w:rsidRPr="006B42D6">
              <w:rPr>
                <w:sz w:val="16"/>
                <w:szCs w:val="16"/>
              </w:rPr>
              <w:t>130</w:t>
            </w:r>
          </w:p>
        </w:tc>
        <w:tc>
          <w:tcPr>
            <w:tcW w:w="381" w:type="pct"/>
            <w:tcBorders>
              <w:top w:val="nil"/>
              <w:left w:val="nil"/>
              <w:bottom w:val="nil"/>
              <w:right w:val="nil"/>
            </w:tcBorders>
            <w:shd w:val="clear" w:color="auto" w:fill="auto"/>
            <w:noWrap/>
            <w:hideMark/>
          </w:tcPr>
          <w:p w14:paraId="0298542A" w14:textId="77777777" w:rsidR="00DE10F8" w:rsidRPr="006B42D6" w:rsidRDefault="00DE10F8" w:rsidP="006C676D">
            <w:pPr>
              <w:jc w:val="right"/>
              <w:rPr>
                <w:sz w:val="16"/>
                <w:szCs w:val="16"/>
              </w:rPr>
            </w:pPr>
            <w:r w:rsidRPr="006B42D6">
              <w:rPr>
                <w:sz w:val="16"/>
                <w:szCs w:val="16"/>
              </w:rPr>
              <w:t>6.3</w:t>
            </w:r>
          </w:p>
        </w:tc>
      </w:tr>
      <w:tr w:rsidR="0085694C" w:rsidRPr="006B42D6" w14:paraId="366EE137" w14:textId="77777777" w:rsidTr="0085694C">
        <w:trPr>
          <w:trHeight w:hRule="exact" w:val="255"/>
        </w:trPr>
        <w:tc>
          <w:tcPr>
            <w:tcW w:w="776" w:type="pct"/>
            <w:tcBorders>
              <w:top w:val="nil"/>
              <w:left w:val="nil"/>
              <w:bottom w:val="nil"/>
              <w:right w:val="nil"/>
            </w:tcBorders>
            <w:shd w:val="clear" w:color="auto" w:fill="auto"/>
            <w:noWrap/>
            <w:hideMark/>
          </w:tcPr>
          <w:p w14:paraId="6F24AF2D" w14:textId="77777777" w:rsidR="00DE10F8" w:rsidRPr="006B42D6" w:rsidRDefault="00DE10F8" w:rsidP="006C676D">
            <w:pPr>
              <w:rPr>
                <w:sz w:val="16"/>
                <w:szCs w:val="16"/>
              </w:rPr>
            </w:pPr>
            <w:r w:rsidRPr="006B42D6">
              <w:rPr>
                <w:sz w:val="16"/>
                <w:szCs w:val="16"/>
              </w:rPr>
              <w:t>Kaskazini Pemba</w:t>
            </w:r>
          </w:p>
        </w:tc>
        <w:tc>
          <w:tcPr>
            <w:tcW w:w="445" w:type="pct"/>
            <w:tcBorders>
              <w:top w:val="nil"/>
              <w:left w:val="single" w:sz="4" w:space="0" w:color="auto"/>
              <w:bottom w:val="nil"/>
              <w:right w:val="nil"/>
            </w:tcBorders>
            <w:shd w:val="clear" w:color="auto" w:fill="auto"/>
            <w:noWrap/>
            <w:hideMark/>
          </w:tcPr>
          <w:p w14:paraId="6D61360D" w14:textId="77777777" w:rsidR="00DE10F8" w:rsidRPr="006B42D6" w:rsidRDefault="00DE10F8" w:rsidP="006C676D">
            <w:pPr>
              <w:jc w:val="right"/>
              <w:rPr>
                <w:sz w:val="16"/>
                <w:szCs w:val="16"/>
              </w:rPr>
            </w:pPr>
            <w:r w:rsidRPr="006B42D6">
              <w:rPr>
                <w:sz w:val="16"/>
                <w:szCs w:val="16"/>
              </w:rPr>
              <w:t>330</w:t>
            </w:r>
          </w:p>
        </w:tc>
        <w:tc>
          <w:tcPr>
            <w:tcW w:w="385" w:type="pct"/>
            <w:tcBorders>
              <w:top w:val="nil"/>
              <w:left w:val="nil"/>
              <w:bottom w:val="nil"/>
              <w:right w:val="nil"/>
            </w:tcBorders>
            <w:shd w:val="clear" w:color="auto" w:fill="auto"/>
            <w:noWrap/>
            <w:hideMark/>
          </w:tcPr>
          <w:p w14:paraId="45636F5B" w14:textId="77777777" w:rsidR="00DE10F8" w:rsidRPr="006B42D6" w:rsidRDefault="00DE10F8" w:rsidP="006C676D">
            <w:pPr>
              <w:jc w:val="right"/>
              <w:rPr>
                <w:sz w:val="16"/>
                <w:szCs w:val="16"/>
              </w:rPr>
            </w:pPr>
            <w:r w:rsidRPr="006B42D6">
              <w:rPr>
                <w:sz w:val="16"/>
                <w:szCs w:val="16"/>
              </w:rPr>
              <w:t>23.7</w:t>
            </w:r>
          </w:p>
        </w:tc>
        <w:tc>
          <w:tcPr>
            <w:tcW w:w="604" w:type="pct"/>
            <w:tcBorders>
              <w:top w:val="nil"/>
              <w:left w:val="single" w:sz="4" w:space="0" w:color="auto"/>
              <w:bottom w:val="nil"/>
              <w:right w:val="nil"/>
            </w:tcBorders>
            <w:shd w:val="clear" w:color="auto" w:fill="auto"/>
            <w:noWrap/>
            <w:hideMark/>
          </w:tcPr>
          <w:p w14:paraId="12B3DFC9" w14:textId="77777777" w:rsidR="00DE10F8" w:rsidRPr="006B42D6" w:rsidRDefault="00DE10F8" w:rsidP="006C676D">
            <w:pPr>
              <w:jc w:val="right"/>
              <w:rPr>
                <w:sz w:val="16"/>
                <w:szCs w:val="16"/>
              </w:rPr>
            </w:pPr>
            <w:r w:rsidRPr="006B42D6">
              <w:rPr>
                <w:sz w:val="16"/>
                <w:szCs w:val="16"/>
              </w:rPr>
              <w:t>5,559</w:t>
            </w:r>
          </w:p>
        </w:tc>
        <w:tc>
          <w:tcPr>
            <w:tcW w:w="386" w:type="pct"/>
            <w:tcBorders>
              <w:top w:val="nil"/>
              <w:left w:val="nil"/>
              <w:bottom w:val="nil"/>
              <w:right w:val="single" w:sz="4" w:space="0" w:color="auto"/>
            </w:tcBorders>
            <w:shd w:val="clear" w:color="auto" w:fill="auto"/>
            <w:noWrap/>
            <w:hideMark/>
          </w:tcPr>
          <w:p w14:paraId="199CE0D0" w14:textId="77777777" w:rsidR="00DE10F8" w:rsidRPr="006B42D6" w:rsidRDefault="00DE10F8" w:rsidP="006C676D">
            <w:pPr>
              <w:jc w:val="right"/>
              <w:rPr>
                <w:sz w:val="16"/>
                <w:szCs w:val="16"/>
              </w:rPr>
            </w:pPr>
            <w:r w:rsidRPr="006B42D6">
              <w:rPr>
                <w:sz w:val="16"/>
                <w:szCs w:val="16"/>
              </w:rPr>
              <w:t>32.4</w:t>
            </w:r>
          </w:p>
        </w:tc>
        <w:tc>
          <w:tcPr>
            <w:tcW w:w="407" w:type="pct"/>
            <w:tcBorders>
              <w:top w:val="nil"/>
              <w:left w:val="nil"/>
              <w:bottom w:val="nil"/>
              <w:right w:val="nil"/>
            </w:tcBorders>
            <w:shd w:val="clear" w:color="auto" w:fill="auto"/>
            <w:noWrap/>
            <w:hideMark/>
          </w:tcPr>
          <w:p w14:paraId="32694748" w14:textId="77777777" w:rsidR="00DE10F8" w:rsidRPr="006B42D6" w:rsidRDefault="00DE10F8" w:rsidP="006C676D">
            <w:pPr>
              <w:jc w:val="right"/>
              <w:rPr>
                <w:sz w:val="16"/>
                <w:szCs w:val="16"/>
              </w:rPr>
            </w:pPr>
            <w:r w:rsidRPr="006B42D6">
              <w:rPr>
                <w:sz w:val="16"/>
                <w:szCs w:val="16"/>
              </w:rPr>
              <w:t>-</w:t>
            </w:r>
          </w:p>
        </w:tc>
        <w:tc>
          <w:tcPr>
            <w:tcW w:w="388" w:type="pct"/>
            <w:tcBorders>
              <w:top w:val="nil"/>
              <w:left w:val="nil"/>
              <w:bottom w:val="nil"/>
              <w:right w:val="nil"/>
            </w:tcBorders>
            <w:shd w:val="clear" w:color="auto" w:fill="auto"/>
            <w:noWrap/>
            <w:hideMark/>
          </w:tcPr>
          <w:p w14:paraId="0BE06615" w14:textId="77777777" w:rsidR="00DE10F8" w:rsidRPr="006B42D6" w:rsidRDefault="00DE10F8" w:rsidP="006C676D">
            <w:pPr>
              <w:jc w:val="right"/>
              <w:rPr>
                <w:sz w:val="16"/>
                <w:szCs w:val="16"/>
              </w:rPr>
            </w:pPr>
            <w:r w:rsidRPr="006B42D6">
              <w:rPr>
                <w:sz w:val="16"/>
                <w:szCs w:val="16"/>
              </w:rPr>
              <w:t>-</w:t>
            </w:r>
          </w:p>
        </w:tc>
        <w:tc>
          <w:tcPr>
            <w:tcW w:w="407" w:type="pct"/>
            <w:tcBorders>
              <w:top w:val="nil"/>
              <w:left w:val="single" w:sz="4" w:space="0" w:color="auto"/>
              <w:bottom w:val="nil"/>
              <w:right w:val="nil"/>
            </w:tcBorders>
            <w:shd w:val="clear" w:color="auto" w:fill="auto"/>
            <w:noWrap/>
            <w:hideMark/>
          </w:tcPr>
          <w:p w14:paraId="3AB8EDB3" w14:textId="77777777" w:rsidR="00DE10F8" w:rsidRPr="006B42D6" w:rsidRDefault="00DE10F8" w:rsidP="006C676D">
            <w:pPr>
              <w:jc w:val="right"/>
              <w:rPr>
                <w:sz w:val="16"/>
                <w:szCs w:val="16"/>
              </w:rPr>
            </w:pPr>
            <w:r w:rsidRPr="006B42D6">
              <w:rPr>
                <w:sz w:val="16"/>
                <w:szCs w:val="16"/>
              </w:rPr>
              <w:t>1,268</w:t>
            </w:r>
          </w:p>
        </w:tc>
        <w:tc>
          <w:tcPr>
            <w:tcW w:w="388" w:type="pct"/>
            <w:tcBorders>
              <w:top w:val="nil"/>
              <w:left w:val="nil"/>
              <w:bottom w:val="nil"/>
              <w:right w:val="single" w:sz="4" w:space="0" w:color="auto"/>
            </w:tcBorders>
            <w:shd w:val="clear" w:color="auto" w:fill="auto"/>
            <w:noWrap/>
            <w:hideMark/>
          </w:tcPr>
          <w:p w14:paraId="6383BD19" w14:textId="77777777" w:rsidR="00DE10F8" w:rsidRPr="006B42D6" w:rsidRDefault="00DE10F8" w:rsidP="006C676D">
            <w:pPr>
              <w:jc w:val="right"/>
              <w:rPr>
                <w:sz w:val="16"/>
                <w:szCs w:val="16"/>
              </w:rPr>
            </w:pPr>
            <w:r w:rsidRPr="006B42D6">
              <w:rPr>
                <w:sz w:val="16"/>
                <w:szCs w:val="16"/>
              </w:rPr>
              <w:t>54.9</w:t>
            </w:r>
          </w:p>
        </w:tc>
        <w:tc>
          <w:tcPr>
            <w:tcW w:w="434" w:type="pct"/>
            <w:tcBorders>
              <w:top w:val="nil"/>
              <w:left w:val="nil"/>
              <w:bottom w:val="nil"/>
              <w:right w:val="nil"/>
            </w:tcBorders>
            <w:shd w:val="clear" w:color="auto" w:fill="auto"/>
            <w:noWrap/>
            <w:hideMark/>
          </w:tcPr>
          <w:p w14:paraId="4FFA5673" w14:textId="77777777" w:rsidR="00DE10F8" w:rsidRPr="006B42D6" w:rsidRDefault="00DE10F8" w:rsidP="006C676D">
            <w:pPr>
              <w:jc w:val="right"/>
              <w:rPr>
                <w:sz w:val="16"/>
                <w:szCs w:val="16"/>
              </w:rPr>
            </w:pPr>
            <w:r w:rsidRPr="006B42D6">
              <w:rPr>
                <w:sz w:val="16"/>
                <w:szCs w:val="16"/>
              </w:rPr>
              <w:t>825</w:t>
            </w:r>
          </w:p>
        </w:tc>
        <w:tc>
          <w:tcPr>
            <w:tcW w:w="381" w:type="pct"/>
            <w:tcBorders>
              <w:top w:val="nil"/>
              <w:left w:val="nil"/>
              <w:bottom w:val="nil"/>
              <w:right w:val="nil"/>
            </w:tcBorders>
            <w:shd w:val="clear" w:color="auto" w:fill="auto"/>
            <w:noWrap/>
            <w:hideMark/>
          </w:tcPr>
          <w:p w14:paraId="51D368F8" w14:textId="77777777" w:rsidR="00DE10F8" w:rsidRPr="006B42D6" w:rsidRDefault="00DE10F8" w:rsidP="006C676D">
            <w:pPr>
              <w:jc w:val="right"/>
              <w:rPr>
                <w:sz w:val="16"/>
                <w:szCs w:val="16"/>
              </w:rPr>
            </w:pPr>
            <w:r w:rsidRPr="006B42D6">
              <w:rPr>
                <w:sz w:val="16"/>
                <w:szCs w:val="16"/>
              </w:rPr>
              <w:t>40.0</w:t>
            </w:r>
          </w:p>
        </w:tc>
      </w:tr>
      <w:tr w:rsidR="0085694C" w:rsidRPr="006B42D6" w14:paraId="0652D4DD" w14:textId="77777777" w:rsidTr="0085694C">
        <w:trPr>
          <w:trHeight w:hRule="exact" w:val="255"/>
        </w:trPr>
        <w:tc>
          <w:tcPr>
            <w:tcW w:w="776" w:type="pct"/>
            <w:tcBorders>
              <w:top w:val="nil"/>
              <w:left w:val="nil"/>
              <w:bottom w:val="nil"/>
              <w:right w:val="nil"/>
            </w:tcBorders>
            <w:shd w:val="clear" w:color="auto" w:fill="auto"/>
            <w:noWrap/>
            <w:hideMark/>
          </w:tcPr>
          <w:p w14:paraId="56C2BCC4" w14:textId="2F1F0C35" w:rsidR="00DE10F8" w:rsidRPr="006B42D6" w:rsidRDefault="00DE10F8" w:rsidP="006C676D">
            <w:pPr>
              <w:rPr>
                <w:sz w:val="16"/>
                <w:szCs w:val="16"/>
              </w:rPr>
            </w:pPr>
            <w:r w:rsidRPr="006B42D6">
              <w:rPr>
                <w:sz w:val="16"/>
                <w:szCs w:val="16"/>
              </w:rPr>
              <w:t>Kusini Pemba</w:t>
            </w:r>
          </w:p>
        </w:tc>
        <w:tc>
          <w:tcPr>
            <w:tcW w:w="445" w:type="pct"/>
            <w:tcBorders>
              <w:top w:val="nil"/>
              <w:left w:val="single" w:sz="4" w:space="0" w:color="auto"/>
              <w:bottom w:val="nil"/>
              <w:right w:val="nil"/>
            </w:tcBorders>
            <w:shd w:val="clear" w:color="auto" w:fill="auto"/>
            <w:noWrap/>
            <w:hideMark/>
          </w:tcPr>
          <w:p w14:paraId="07D0977A" w14:textId="77777777" w:rsidR="00DE10F8" w:rsidRPr="006B42D6" w:rsidRDefault="00DE10F8" w:rsidP="006C676D">
            <w:pPr>
              <w:jc w:val="right"/>
              <w:rPr>
                <w:sz w:val="16"/>
                <w:szCs w:val="16"/>
              </w:rPr>
            </w:pPr>
            <w:r w:rsidRPr="006B42D6">
              <w:rPr>
                <w:sz w:val="16"/>
                <w:szCs w:val="16"/>
              </w:rPr>
              <w:t>-</w:t>
            </w:r>
          </w:p>
        </w:tc>
        <w:tc>
          <w:tcPr>
            <w:tcW w:w="385" w:type="pct"/>
            <w:tcBorders>
              <w:top w:val="nil"/>
              <w:left w:val="nil"/>
              <w:bottom w:val="nil"/>
              <w:right w:val="nil"/>
            </w:tcBorders>
            <w:shd w:val="clear" w:color="auto" w:fill="auto"/>
            <w:noWrap/>
            <w:hideMark/>
          </w:tcPr>
          <w:p w14:paraId="684FE8DA" w14:textId="77777777" w:rsidR="00DE10F8" w:rsidRPr="006B42D6" w:rsidRDefault="00DE10F8" w:rsidP="006C676D">
            <w:pPr>
              <w:jc w:val="right"/>
              <w:rPr>
                <w:sz w:val="16"/>
                <w:szCs w:val="16"/>
              </w:rPr>
            </w:pPr>
            <w:r w:rsidRPr="006B42D6">
              <w:rPr>
                <w:sz w:val="16"/>
                <w:szCs w:val="16"/>
              </w:rPr>
              <w:t>-</w:t>
            </w:r>
          </w:p>
        </w:tc>
        <w:tc>
          <w:tcPr>
            <w:tcW w:w="604" w:type="pct"/>
            <w:tcBorders>
              <w:top w:val="nil"/>
              <w:left w:val="single" w:sz="4" w:space="0" w:color="auto"/>
              <w:bottom w:val="nil"/>
              <w:right w:val="nil"/>
            </w:tcBorders>
            <w:shd w:val="clear" w:color="auto" w:fill="auto"/>
            <w:noWrap/>
            <w:hideMark/>
          </w:tcPr>
          <w:p w14:paraId="5CA4E29D" w14:textId="77777777" w:rsidR="00DE10F8" w:rsidRPr="006B42D6" w:rsidRDefault="00DE10F8" w:rsidP="006C676D">
            <w:pPr>
              <w:jc w:val="right"/>
              <w:rPr>
                <w:sz w:val="16"/>
                <w:szCs w:val="16"/>
              </w:rPr>
            </w:pPr>
            <w:r w:rsidRPr="006B42D6">
              <w:rPr>
                <w:sz w:val="16"/>
                <w:szCs w:val="16"/>
              </w:rPr>
              <w:t>5,879</w:t>
            </w:r>
          </w:p>
        </w:tc>
        <w:tc>
          <w:tcPr>
            <w:tcW w:w="386" w:type="pct"/>
            <w:tcBorders>
              <w:top w:val="nil"/>
              <w:left w:val="nil"/>
              <w:bottom w:val="nil"/>
              <w:right w:val="single" w:sz="4" w:space="0" w:color="auto"/>
            </w:tcBorders>
            <w:shd w:val="clear" w:color="auto" w:fill="auto"/>
            <w:noWrap/>
            <w:hideMark/>
          </w:tcPr>
          <w:p w14:paraId="3C967EB2" w14:textId="77777777" w:rsidR="00DE10F8" w:rsidRPr="006B42D6" w:rsidRDefault="00DE10F8" w:rsidP="006C676D">
            <w:pPr>
              <w:jc w:val="right"/>
              <w:rPr>
                <w:sz w:val="16"/>
                <w:szCs w:val="16"/>
              </w:rPr>
            </w:pPr>
            <w:r w:rsidRPr="006B42D6">
              <w:rPr>
                <w:sz w:val="16"/>
                <w:szCs w:val="16"/>
              </w:rPr>
              <w:t>34.2</w:t>
            </w:r>
          </w:p>
        </w:tc>
        <w:tc>
          <w:tcPr>
            <w:tcW w:w="407" w:type="pct"/>
            <w:tcBorders>
              <w:top w:val="nil"/>
              <w:left w:val="nil"/>
              <w:bottom w:val="nil"/>
              <w:right w:val="nil"/>
            </w:tcBorders>
            <w:shd w:val="clear" w:color="auto" w:fill="auto"/>
            <w:noWrap/>
            <w:hideMark/>
          </w:tcPr>
          <w:p w14:paraId="74874E73" w14:textId="77777777" w:rsidR="00DE10F8" w:rsidRPr="006B42D6" w:rsidRDefault="00DE10F8" w:rsidP="006C676D">
            <w:pPr>
              <w:jc w:val="right"/>
              <w:rPr>
                <w:sz w:val="16"/>
                <w:szCs w:val="16"/>
              </w:rPr>
            </w:pPr>
            <w:r w:rsidRPr="006B42D6">
              <w:rPr>
                <w:sz w:val="16"/>
                <w:szCs w:val="16"/>
              </w:rPr>
              <w:t>-</w:t>
            </w:r>
          </w:p>
        </w:tc>
        <w:tc>
          <w:tcPr>
            <w:tcW w:w="388" w:type="pct"/>
            <w:tcBorders>
              <w:top w:val="nil"/>
              <w:left w:val="nil"/>
              <w:bottom w:val="nil"/>
              <w:right w:val="nil"/>
            </w:tcBorders>
            <w:shd w:val="clear" w:color="auto" w:fill="auto"/>
            <w:noWrap/>
            <w:hideMark/>
          </w:tcPr>
          <w:p w14:paraId="05D97F2D" w14:textId="77777777" w:rsidR="00DE10F8" w:rsidRPr="006B42D6" w:rsidRDefault="00DE10F8" w:rsidP="006C676D">
            <w:pPr>
              <w:jc w:val="right"/>
              <w:rPr>
                <w:sz w:val="16"/>
                <w:szCs w:val="16"/>
              </w:rPr>
            </w:pPr>
            <w:r w:rsidRPr="006B42D6">
              <w:rPr>
                <w:sz w:val="16"/>
                <w:szCs w:val="16"/>
              </w:rPr>
              <w:t>-</w:t>
            </w:r>
          </w:p>
        </w:tc>
        <w:tc>
          <w:tcPr>
            <w:tcW w:w="407" w:type="pct"/>
            <w:tcBorders>
              <w:top w:val="nil"/>
              <w:left w:val="single" w:sz="4" w:space="0" w:color="auto"/>
              <w:bottom w:val="nil"/>
              <w:right w:val="nil"/>
            </w:tcBorders>
            <w:shd w:val="clear" w:color="auto" w:fill="auto"/>
            <w:noWrap/>
            <w:hideMark/>
          </w:tcPr>
          <w:p w14:paraId="03F09C52" w14:textId="77777777" w:rsidR="00DE10F8" w:rsidRPr="006B42D6" w:rsidRDefault="00DE10F8" w:rsidP="006C676D">
            <w:pPr>
              <w:jc w:val="right"/>
              <w:rPr>
                <w:sz w:val="16"/>
                <w:szCs w:val="16"/>
              </w:rPr>
            </w:pPr>
            <w:r w:rsidRPr="006B42D6">
              <w:rPr>
                <w:sz w:val="16"/>
                <w:szCs w:val="16"/>
              </w:rPr>
              <w:t>339</w:t>
            </w:r>
          </w:p>
        </w:tc>
        <w:tc>
          <w:tcPr>
            <w:tcW w:w="388" w:type="pct"/>
            <w:tcBorders>
              <w:top w:val="nil"/>
              <w:left w:val="nil"/>
              <w:bottom w:val="nil"/>
              <w:right w:val="single" w:sz="4" w:space="0" w:color="auto"/>
            </w:tcBorders>
            <w:shd w:val="clear" w:color="auto" w:fill="auto"/>
            <w:noWrap/>
            <w:hideMark/>
          </w:tcPr>
          <w:p w14:paraId="40A9A764" w14:textId="77777777" w:rsidR="00DE10F8" w:rsidRPr="006B42D6" w:rsidRDefault="00DE10F8" w:rsidP="006C676D">
            <w:pPr>
              <w:jc w:val="right"/>
              <w:rPr>
                <w:sz w:val="16"/>
                <w:szCs w:val="16"/>
              </w:rPr>
            </w:pPr>
            <w:r w:rsidRPr="006B42D6">
              <w:rPr>
                <w:sz w:val="16"/>
                <w:szCs w:val="16"/>
              </w:rPr>
              <w:t>14.7</w:t>
            </w:r>
          </w:p>
        </w:tc>
        <w:tc>
          <w:tcPr>
            <w:tcW w:w="434" w:type="pct"/>
            <w:tcBorders>
              <w:top w:val="nil"/>
              <w:left w:val="nil"/>
              <w:bottom w:val="nil"/>
              <w:right w:val="nil"/>
            </w:tcBorders>
            <w:shd w:val="clear" w:color="auto" w:fill="auto"/>
            <w:noWrap/>
            <w:hideMark/>
          </w:tcPr>
          <w:p w14:paraId="47878A9C" w14:textId="77777777" w:rsidR="00DE10F8" w:rsidRPr="006B42D6" w:rsidRDefault="00DE10F8" w:rsidP="006C676D">
            <w:pPr>
              <w:jc w:val="right"/>
              <w:rPr>
                <w:sz w:val="16"/>
                <w:szCs w:val="16"/>
              </w:rPr>
            </w:pPr>
            <w:r w:rsidRPr="006B42D6">
              <w:rPr>
                <w:sz w:val="16"/>
                <w:szCs w:val="16"/>
              </w:rPr>
              <w:t>127</w:t>
            </w:r>
          </w:p>
        </w:tc>
        <w:tc>
          <w:tcPr>
            <w:tcW w:w="381" w:type="pct"/>
            <w:tcBorders>
              <w:top w:val="nil"/>
              <w:left w:val="nil"/>
              <w:bottom w:val="nil"/>
              <w:right w:val="nil"/>
            </w:tcBorders>
            <w:shd w:val="clear" w:color="auto" w:fill="auto"/>
            <w:noWrap/>
            <w:hideMark/>
          </w:tcPr>
          <w:p w14:paraId="35DD5000" w14:textId="77777777" w:rsidR="00DE10F8" w:rsidRPr="006B42D6" w:rsidRDefault="00DE10F8" w:rsidP="006C676D">
            <w:pPr>
              <w:jc w:val="right"/>
              <w:rPr>
                <w:sz w:val="16"/>
                <w:szCs w:val="16"/>
              </w:rPr>
            </w:pPr>
            <w:r w:rsidRPr="006B42D6">
              <w:rPr>
                <w:sz w:val="16"/>
                <w:szCs w:val="16"/>
              </w:rPr>
              <w:t>6.2</w:t>
            </w:r>
          </w:p>
        </w:tc>
      </w:tr>
      <w:tr w:rsidR="0085694C" w:rsidRPr="006B42D6" w14:paraId="4EB33388" w14:textId="77777777" w:rsidTr="0085694C">
        <w:trPr>
          <w:trHeight w:hRule="exact" w:val="255"/>
        </w:trPr>
        <w:tc>
          <w:tcPr>
            <w:tcW w:w="776" w:type="pct"/>
            <w:tcBorders>
              <w:top w:val="single" w:sz="4" w:space="0" w:color="auto"/>
              <w:left w:val="nil"/>
              <w:bottom w:val="single" w:sz="4" w:space="0" w:color="auto"/>
              <w:right w:val="nil"/>
            </w:tcBorders>
            <w:shd w:val="clear" w:color="auto" w:fill="E2EFD9" w:themeFill="accent6" w:themeFillTint="33"/>
            <w:noWrap/>
            <w:hideMark/>
          </w:tcPr>
          <w:p w14:paraId="32BCD2FD" w14:textId="77777777" w:rsidR="00DE10F8" w:rsidRPr="006B42D6" w:rsidRDefault="00DE10F8" w:rsidP="006C676D">
            <w:pPr>
              <w:rPr>
                <w:b/>
                <w:bCs/>
                <w:sz w:val="16"/>
                <w:szCs w:val="16"/>
              </w:rPr>
            </w:pPr>
            <w:r w:rsidRPr="006B42D6">
              <w:rPr>
                <w:b/>
                <w:bCs/>
                <w:sz w:val="16"/>
                <w:szCs w:val="16"/>
              </w:rPr>
              <w:t>Zanzibar</w:t>
            </w:r>
          </w:p>
        </w:tc>
        <w:tc>
          <w:tcPr>
            <w:tcW w:w="445" w:type="pct"/>
            <w:tcBorders>
              <w:top w:val="single" w:sz="4" w:space="0" w:color="auto"/>
              <w:left w:val="single" w:sz="4" w:space="0" w:color="auto"/>
              <w:bottom w:val="single" w:sz="4" w:space="0" w:color="auto"/>
              <w:right w:val="nil"/>
            </w:tcBorders>
            <w:shd w:val="clear" w:color="auto" w:fill="E2EFD9" w:themeFill="accent6" w:themeFillTint="33"/>
            <w:noWrap/>
            <w:hideMark/>
          </w:tcPr>
          <w:p w14:paraId="10F7104D" w14:textId="77777777" w:rsidR="00DE10F8" w:rsidRPr="006B42D6" w:rsidRDefault="00DE10F8" w:rsidP="006C676D">
            <w:pPr>
              <w:jc w:val="right"/>
              <w:rPr>
                <w:b/>
                <w:bCs/>
                <w:sz w:val="16"/>
                <w:szCs w:val="16"/>
              </w:rPr>
            </w:pPr>
            <w:r w:rsidRPr="006B42D6">
              <w:rPr>
                <w:b/>
                <w:bCs/>
                <w:sz w:val="16"/>
                <w:szCs w:val="16"/>
              </w:rPr>
              <w:t>1,394</w:t>
            </w:r>
          </w:p>
        </w:tc>
        <w:tc>
          <w:tcPr>
            <w:tcW w:w="385" w:type="pct"/>
            <w:tcBorders>
              <w:top w:val="single" w:sz="4" w:space="0" w:color="auto"/>
              <w:left w:val="nil"/>
              <w:bottom w:val="single" w:sz="4" w:space="0" w:color="auto"/>
              <w:right w:val="single" w:sz="4" w:space="0" w:color="auto"/>
            </w:tcBorders>
            <w:shd w:val="clear" w:color="auto" w:fill="E2EFD9" w:themeFill="accent6" w:themeFillTint="33"/>
            <w:noWrap/>
            <w:hideMark/>
          </w:tcPr>
          <w:p w14:paraId="71390C06" w14:textId="77777777" w:rsidR="00DE10F8" w:rsidRPr="006B42D6" w:rsidRDefault="00DE10F8" w:rsidP="006C676D">
            <w:pPr>
              <w:jc w:val="right"/>
              <w:rPr>
                <w:b/>
                <w:bCs/>
                <w:sz w:val="16"/>
                <w:szCs w:val="16"/>
              </w:rPr>
            </w:pPr>
            <w:r w:rsidRPr="006B42D6">
              <w:rPr>
                <w:b/>
                <w:bCs/>
                <w:sz w:val="16"/>
                <w:szCs w:val="16"/>
              </w:rPr>
              <w:t>100</w:t>
            </w:r>
          </w:p>
        </w:tc>
        <w:tc>
          <w:tcPr>
            <w:tcW w:w="604" w:type="pct"/>
            <w:tcBorders>
              <w:top w:val="single" w:sz="4" w:space="0" w:color="auto"/>
              <w:left w:val="nil"/>
              <w:bottom w:val="nil"/>
              <w:right w:val="nil"/>
            </w:tcBorders>
            <w:shd w:val="clear" w:color="auto" w:fill="E2EFD9" w:themeFill="accent6" w:themeFillTint="33"/>
            <w:noWrap/>
            <w:hideMark/>
          </w:tcPr>
          <w:p w14:paraId="348F28E8" w14:textId="77777777" w:rsidR="00DE10F8" w:rsidRPr="006B42D6" w:rsidRDefault="00DE10F8" w:rsidP="006C676D">
            <w:pPr>
              <w:jc w:val="right"/>
              <w:rPr>
                <w:b/>
                <w:bCs/>
                <w:sz w:val="16"/>
                <w:szCs w:val="16"/>
              </w:rPr>
            </w:pPr>
            <w:r w:rsidRPr="006B42D6">
              <w:rPr>
                <w:b/>
                <w:bCs/>
                <w:sz w:val="16"/>
                <w:szCs w:val="16"/>
              </w:rPr>
              <w:t>17,169</w:t>
            </w:r>
          </w:p>
        </w:tc>
        <w:tc>
          <w:tcPr>
            <w:tcW w:w="386" w:type="pct"/>
            <w:tcBorders>
              <w:top w:val="single" w:sz="4" w:space="0" w:color="auto"/>
              <w:left w:val="nil"/>
              <w:bottom w:val="nil"/>
              <w:right w:val="single" w:sz="4" w:space="0" w:color="auto"/>
            </w:tcBorders>
            <w:shd w:val="clear" w:color="auto" w:fill="E2EFD9" w:themeFill="accent6" w:themeFillTint="33"/>
            <w:noWrap/>
            <w:hideMark/>
          </w:tcPr>
          <w:p w14:paraId="73212751" w14:textId="77777777" w:rsidR="00DE10F8" w:rsidRPr="006B42D6" w:rsidRDefault="00DE10F8" w:rsidP="006C676D">
            <w:pPr>
              <w:jc w:val="right"/>
              <w:rPr>
                <w:sz w:val="16"/>
                <w:szCs w:val="16"/>
              </w:rPr>
            </w:pPr>
            <w:r w:rsidRPr="006B42D6">
              <w:rPr>
                <w:sz w:val="16"/>
                <w:szCs w:val="16"/>
              </w:rPr>
              <w:t>100.0</w:t>
            </w:r>
          </w:p>
        </w:tc>
        <w:tc>
          <w:tcPr>
            <w:tcW w:w="407" w:type="pct"/>
            <w:tcBorders>
              <w:top w:val="single" w:sz="4" w:space="0" w:color="auto"/>
              <w:left w:val="nil"/>
              <w:bottom w:val="nil"/>
              <w:right w:val="nil"/>
            </w:tcBorders>
            <w:shd w:val="clear" w:color="auto" w:fill="E2EFD9" w:themeFill="accent6" w:themeFillTint="33"/>
            <w:noWrap/>
            <w:hideMark/>
          </w:tcPr>
          <w:p w14:paraId="59EE42DD" w14:textId="77777777" w:rsidR="00DE10F8" w:rsidRPr="006B42D6" w:rsidRDefault="00DE10F8" w:rsidP="006C676D">
            <w:pPr>
              <w:jc w:val="right"/>
              <w:rPr>
                <w:b/>
                <w:bCs/>
                <w:sz w:val="16"/>
                <w:szCs w:val="16"/>
              </w:rPr>
            </w:pPr>
            <w:r w:rsidRPr="006B42D6">
              <w:rPr>
                <w:b/>
                <w:bCs/>
                <w:sz w:val="16"/>
                <w:szCs w:val="16"/>
              </w:rPr>
              <w:t>141</w:t>
            </w:r>
          </w:p>
        </w:tc>
        <w:tc>
          <w:tcPr>
            <w:tcW w:w="388" w:type="pct"/>
            <w:tcBorders>
              <w:top w:val="single" w:sz="4" w:space="0" w:color="auto"/>
              <w:left w:val="nil"/>
              <w:bottom w:val="nil"/>
              <w:right w:val="nil"/>
            </w:tcBorders>
            <w:shd w:val="clear" w:color="auto" w:fill="E2EFD9" w:themeFill="accent6" w:themeFillTint="33"/>
            <w:noWrap/>
            <w:hideMark/>
          </w:tcPr>
          <w:p w14:paraId="2487FC9E" w14:textId="77777777" w:rsidR="00DE10F8" w:rsidRPr="006B42D6" w:rsidRDefault="00DE10F8" w:rsidP="006C676D">
            <w:pPr>
              <w:jc w:val="right"/>
              <w:rPr>
                <w:sz w:val="16"/>
                <w:szCs w:val="16"/>
              </w:rPr>
            </w:pPr>
            <w:r w:rsidRPr="006B42D6">
              <w:rPr>
                <w:sz w:val="16"/>
                <w:szCs w:val="16"/>
              </w:rPr>
              <w:t>100.0</w:t>
            </w:r>
          </w:p>
        </w:tc>
        <w:tc>
          <w:tcPr>
            <w:tcW w:w="407" w:type="pct"/>
            <w:tcBorders>
              <w:top w:val="single" w:sz="4" w:space="0" w:color="auto"/>
              <w:left w:val="single" w:sz="4" w:space="0" w:color="auto"/>
              <w:bottom w:val="nil"/>
              <w:right w:val="nil"/>
            </w:tcBorders>
            <w:shd w:val="clear" w:color="auto" w:fill="E2EFD9" w:themeFill="accent6" w:themeFillTint="33"/>
            <w:noWrap/>
            <w:hideMark/>
          </w:tcPr>
          <w:p w14:paraId="0FF2F532" w14:textId="77777777" w:rsidR="00DE10F8" w:rsidRPr="006B42D6" w:rsidRDefault="00DE10F8" w:rsidP="006C676D">
            <w:pPr>
              <w:jc w:val="right"/>
              <w:rPr>
                <w:b/>
                <w:bCs/>
                <w:sz w:val="16"/>
                <w:szCs w:val="16"/>
              </w:rPr>
            </w:pPr>
            <w:r w:rsidRPr="006B42D6">
              <w:rPr>
                <w:b/>
                <w:bCs/>
                <w:sz w:val="16"/>
                <w:szCs w:val="16"/>
              </w:rPr>
              <w:t>2,310</w:t>
            </w:r>
          </w:p>
        </w:tc>
        <w:tc>
          <w:tcPr>
            <w:tcW w:w="388" w:type="pct"/>
            <w:tcBorders>
              <w:top w:val="single" w:sz="4" w:space="0" w:color="auto"/>
              <w:left w:val="nil"/>
              <w:bottom w:val="nil"/>
              <w:right w:val="single" w:sz="4" w:space="0" w:color="auto"/>
            </w:tcBorders>
            <w:shd w:val="clear" w:color="auto" w:fill="E2EFD9" w:themeFill="accent6" w:themeFillTint="33"/>
            <w:noWrap/>
            <w:hideMark/>
          </w:tcPr>
          <w:p w14:paraId="76B530B0" w14:textId="77777777" w:rsidR="00DE10F8" w:rsidRPr="006B42D6" w:rsidRDefault="00DE10F8" w:rsidP="006C676D">
            <w:pPr>
              <w:jc w:val="right"/>
              <w:rPr>
                <w:sz w:val="16"/>
                <w:szCs w:val="16"/>
              </w:rPr>
            </w:pPr>
            <w:r w:rsidRPr="006B42D6">
              <w:rPr>
                <w:sz w:val="16"/>
                <w:szCs w:val="16"/>
              </w:rPr>
              <w:t>100.0</w:t>
            </w:r>
          </w:p>
        </w:tc>
        <w:tc>
          <w:tcPr>
            <w:tcW w:w="434" w:type="pct"/>
            <w:tcBorders>
              <w:top w:val="single" w:sz="4" w:space="0" w:color="auto"/>
              <w:left w:val="nil"/>
              <w:bottom w:val="single" w:sz="4" w:space="0" w:color="auto"/>
              <w:right w:val="nil"/>
            </w:tcBorders>
            <w:shd w:val="clear" w:color="auto" w:fill="E2EFD9" w:themeFill="accent6" w:themeFillTint="33"/>
            <w:noWrap/>
            <w:hideMark/>
          </w:tcPr>
          <w:p w14:paraId="2019D29D" w14:textId="77777777" w:rsidR="00DE10F8" w:rsidRPr="006B42D6" w:rsidRDefault="00DE10F8" w:rsidP="006C676D">
            <w:pPr>
              <w:jc w:val="right"/>
              <w:rPr>
                <w:b/>
                <w:bCs/>
                <w:sz w:val="16"/>
                <w:szCs w:val="16"/>
              </w:rPr>
            </w:pPr>
            <w:r w:rsidRPr="006B42D6">
              <w:rPr>
                <w:b/>
                <w:bCs/>
                <w:sz w:val="16"/>
                <w:szCs w:val="16"/>
              </w:rPr>
              <w:t>2,064</w:t>
            </w:r>
          </w:p>
        </w:tc>
        <w:tc>
          <w:tcPr>
            <w:tcW w:w="381" w:type="pct"/>
            <w:tcBorders>
              <w:top w:val="single" w:sz="4" w:space="0" w:color="auto"/>
              <w:left w:val="nil"/>
              <w:bottom w:val="single" w:sz="4" w:space="0" w:color="auto"/>
              <w:right w:val="nil"/>
            </w:tcBorders>
            <w:shd w:val="clear" w:color="auto" w:fill="E2EFD9" w:themeFill="accent6" w:themeFillTint="33"/>
            <w:noWrap/>
            <w:hideMark/>
          </w:tcPr>
          <w:p w14:paraId="19B1A27C" w14:textId="77777777" w:rsidR="00DE10F8" w:rsidRPr="006B42D6" w:rsidRDefault="00DE10F8" w:rsidP="006C676D">
            <w:pPr>
              <w:jc w:val="right"/>
              <w:rPr>
                <w:sz w:val="16"/>
                <w:szCs w:val="16"/>
              </w:rPr>
            </w:pPr>
            <w:r w:rsidRPr="006B42D6">
              <w:rPr>
                <w:sz w:val="16"/>
                <w:szCs w:val="16"/>
              </w:rPr>
              <w:t>100.0</w:t>
            </w:r>
          </w:p>
        </w:tc>
      </w:tr>
      <w:tr w:rsidR="0085694C" w:rsidRPr="006B42D6" w14:paraId="7E69AD88" w14:textId="77777777" w:rsidTr="0085694C">
        <w:trPr>
          <w:trHeight w:hRule="exact" w:val="255"/>
        </w:trPr>
        <w:tc>
          <w:tcPr>
            <w:tcW w:w="776" w:type="pct"/>
            <w:tcBorders>
              <w:top w:val="nil"/>
              <w:left w:val="nil"/>
              <w:bottom w:val="single" w:sz="4" w:space="0" w:color="auto"/>
              <w:right w:val="nil"/>
            </w:tcBorders>
            <w:shd w:val="clear" w:color="auto" w:fill="E2EFD9" w:themeFill="accent6" w:themeFillTint="33"/>
            <w:noWrap/>
            <w:hideMark/>
          </w:tcPr>
          <w:p w14:paraId="4BCCC2FF" w14:textId="77777777" w:rsidR="00DE10F8" w:rsidRPr="006B42D6" w:rsidRDefault="00DE10F8" w:rsidP="006C676D">
            <w:pPr>
              <w:rPr>
                <w:b/>
                <w:bCs/>
                <w:sz w:val="16"/>
                <w:szCs w:val="16"/>
              </w:rPr>
            </w:pPr>
            <w:r w:rsidRPr="006B42D6">
              <w:rPr>
                <w:b/>
                <w:bCs/>
                <w:sz w:val="16"/>
                <w:szCs w:val="16"/>
              </w:rPr>
              <w:t>Tanzania</w:t>
            </w:r>
          </w:p>
        </w:tc>
        <w:tc>
          <w:tcPr>
            <w:tcW w:w="445" w:type="pct"/>
            <w:tcBorders>
              <w:top w:val="nil"/>
              <w:left w:val="single" w:sz="4" w:space="0" w:color="auto"/>
              <w:bottom w:val="single" w:sz="4" w:space="0" w:color="auto"/>
              <w:right w:val="nil"/>
            </w:tcBorders>
            <w:shd w:val="clear" w:color="auto" w:fill="E2EFD9" w:themeFill="accent6" w:themeFillTint="33"/>
            <w:noWrap/>
            <w:hideMark/>
          </w:tcPr>
          <w:p w14:paraId="09617B45" w14:textId="77777777" w:rsidR="00DE10F8" w:rsidRPr="006B42D6" w:rsidRDefault="00DE10F8" w:rsidP="006C676D">
            <w:pPr>
              <w:jc w:val="right"/>
              <w:rPr>
                <w:b/>
                <w:bCs/>
                <w:sz w:val="16"/>
                <w:szCs w:val="16"/>
              </w:rPr>
            </w:pPr>
            <w:r w:rsidRPr="006B42D6">
              <w:rPr>
                <w:b/>
                <w:bCs/>
                <w:sz w:val="16"/>
                <w:szCs w:val="16"/>
              </w:rPr>
              <w:t>2,006,290</w:t>
            </w:r>
          </w:p>
        </w:tc>
        <w:tc>
          <w:tcPr>
            <w:tcW w:w="385" w:type="pct"/>
            <w:tcBorders>
              <w:top w:val="nil"/>
              <w:left w:val="nil"/>
              <w:bottom w:val="single" w:sz="4" w:space="0" w:color="auto"/>
              <w:right w:val="single" w:sz="4" w:space="0" w:color="auto"/>
            </w:tcBorders>
            <w:shd w:val="clear" w:color="000000" w:fill="A6A6A6"/>
            <w:noWrap/>
            <w:hideMark/>
          </w:tcPr>
          <w:p w14:paraId="7BC2B63E" w14:textId="77777777" w:rsidR="00DE10F8" w:rsidRPr="006B42D6" w:rsidRDefault="00DE10F8" w:rsidP="006C676D">
            <w:pPr>
              <w:jc w:val="right"/>
              <w:rPr>
                <w:b/>
                <w:bCs/>
                <w:sz w:val="16"/>
                <w:szCs w:val="16"/>
              </w:rPr>
            </w:pPr>
          </w:p>
        </w:tc>
        <w:tc>
          <w:tcPr>
            <w:tcW w:w="604" w:type="pct"/>
            <w:tcBorders>
              <w:top w:val="single" w:sz="4" w:space="0" w:color="auto"/>
              <w:left w:val="nil"/>
              <w:bottom w:val="single" w:sz="4" w:space="0" w:color="auto"/>
              <w:right w:val="nil"/>
            </w:tcBorders>
            <w:shd w:val="clear" w:color="auto" w:fill="E2EFD9" w:themeFill="accent6" w:themeFillTint="33"/>
            <w:noWrap/>
            <w:hideMark/>
          </w:tcPr>
          <w:p w14:paraId="77D660DB" w14:textId="77777777" w:rsidR="00DE10F8" w:rsidRPr="006B42D6" w:rsidRDefault="00DE10F8" w:rsidP="006C676D">
            <w:pPr>
              <w:jc w:val="right"/>
              <w:rPr>
                <w:b/>
                <w:bCs/>
                <w:sz w:val="16"/>
                <w:szCs w:val="16"/>
              </w:rPr>
            </w:pPr>
            <w:r w:rsidRPr="006B42D6">
              <w:rPr>
                <w:b/>
                <w:bCs/>
                <w:sz w:val="16"/>
                <w:szCs w:val="16"/>
              </w:rPr>
              <w:t>3,895,173</w:t>
            </w:r>
          </w:p>
        </w:tc>
        <w:tc>
          <w:tcPr>
            <w:tcW w:w="386" w:type="pct"/>
            <w:tcBorders>
              <w:top w:val="single" w:sz="4" w:space="0" w:color="auto"/>
              <w:left w:val="nil"/>
              <w:bottom w:val="single" w:sz="4" w:space="0" w:color="auto"/>
              <w:right w:val="single" w:sz="4" w:space="0" w:color="auto"/>
            </w:tcBorders>
            <w:shd w:val="clear" w:color="000000" w:fill="A6A6A6"/>
            <w:noWrap/>
            <w:hideMark/>
          </w:tcPr>
          <w:p w14:paraId="764EA6F8" w14:textId="77777777" w:rsidR="00DE10F8" w:rsidRPr="006B42D6" w:rsidRDefault="00DE10F8" w:rsidP="006C676D">
            <w:pPr>
              <w:jc w:val="right"/>
              <w:rPr>
                <w:b/>
                <w:bCs/>
                <w:sz w:val="16"/>
                <w:szCs w:val="16"/>
              </w:rPr>
            </w:pPr>
          </w:p>
        </w:tc>
        <w:tc>
          <w:tcPr>
            <w:tcW w:w="407" w:type="pct"/>
            <w:tcBorders>
              <w:top w:val="single" w:sz="4" w:space="0" w:color="auto"/>
              <w:left w:val="nil"/>
              <w:bottom w:val="single" w:sz="4" w:space="0" w:color="auto"/>
              <w:right w:val="nil"/>
            </w:tcBorders>
            <w:shd w:val="clear" w:color="auto" w:fill="E2EFD9" w:themeFill="accent6" w:themeFillTint="33"/>
            <w:noWrap/>
            <w:hideMark/>
          </w:tcPr>
          <w:p w14:paraId="42686A36" w14:textId="77777777" w:rsidR="00DE10F8" w:rsidRPr="006B42D6" w:rsidRDefault="00DE10F8" w:rsidP="006C676D">
            <w:pPr>
              <w:jc w:val="right"/>
              <w:rPr>
                <w:b/>
                <w:bCs/>
                <w:sz w:val="16"/>
                <w:szCs w:val="16"/>
              </w:rPr>
            </w:pPr>
            <w:r w:rsidRPr="006B42D6">
              <w:rPr>
                <w:b/>
                <w:bCs/>
                <w:sz w:val="16"/>
                <w:szCs w:val="16"/>
              </w:rPr>
              <w:t>299,829</w:t>
            </w:r>
          </w:p>
        </w:tc>
        <w:tc>
          <w:tcPr>
            <w:tcW w:w="388" w:type="pct"/>
            <w:tcBorders>
              <w:top w:val="single" w:sz="4" w:space="0" w:color="auto"/>
              <w:left w:val="nil"/>
              <w:bottom w:val="single" w:sz="4" w:space="0" w:color="auto"/>
              <w:right w:val="single" w:sz="4" w:space="0" w:color="auto"/>
            </w:tcBorders>
            <w:shd w:val="clear" w:color="000000" w:fill="A6A6A6"/>
            <w:noWrap/>
            <w:hideMark/>
          </w:tcPr>
          <w:p w14:paraId="3ABF65AC" w14:textId="77777777" w:rsidR="00DE10F8" w:rsidRPr="006B42D6" w:rsidRDefault="00DE10F8" w:rsidP="006C676D">
            <w:pPr>
              <w:jc w:val="right"/>
              <w:rPr>
                <w:b/>
                <w:bCs/>
                <w:sz w:val="16"/>
                <w:szCs w:val="16"/>
              </w:rPr>
            </w:pPr>
          </w:p>
        </w:tc>
        <w:tc>
          <w:tcPr>
            <w:tcW w:w="407" w:type="pct"/>
            <w:tcBorders>
              <w:top w:val="single" w:sz="4" w:space="0" w:color="auto"/>
              <w:left w:val="nil"/>
              <w:bottom w:val="single" w:sz="4" w:space="0" w:color="auto"/>
              <w:right w:val="nil"/>
            </w:tcBorders>
            <w:shd w:val="clear" w:color="auto" w:fill="E2EFD9" w:themeFill="accent6" w:themeFillTint="33"/>
            <w:noWrap/>
            <w:hideMark/>
          </w:tcPr>
          <w:p w14:paraId="5BAC38F8" w14:textId="77777777" w:rsidR="00DE10F8" w:rsidRPr="006B42D6" w:rsidRDefault="00DE10F8" w:rsidP="006C676D">
            <w:pPr>
              <w:jc w:val="right"/>
              <w:rPr>
                <w:b/>
                <w:bCs/>
                <w:sz w:val="16"/>
                <w:szCs w:val="16"/>
              </w:rPr>
            </w:pPr>
            <w:r w:rsidRPr="006B42D6">
              <w:rPr>
                <w:b/>
                <w:bCs/>
                <w:sz w:val="16"/>
                <w:szCs w:val="16"/>
              </w:rPr>
              <w:t>704,792</w:t>
            </w:r>
          </w:p>
        </w:tc>
        <w:tc>
          <w:tcPr>
            <w:tcW w:w="388" w:type="pct"/>
            <w:tcBorders>
              <w:top w:val="single" w:sz="4" w:space="0" w:color="auto"/>
              <w:left w:val="nil"/>
              <w:bottom w:val="single" w:sz="4" w:space="0" w:color="auto"/>
              <w:right w:val="single" w:sz="4" w:space="0" w:color="auto"/>
            </w:tcBorders>
            <w:shd w:val="clear" w:color="000000" w:fill="A6A6A6"/>
            <w:noWrap/>
            <w:hideMark/>
          </w:tcPr>
          <w:p w14:paraId="791278DA" w14:textId="77777777" w:rsidR="00DE10F8" w:rsidRPr="006B42D6" w:rsidRDefault="00DE10F8" w:rsidP="006C676D">
            <w:pPr>
              <w:jc w:val="right"/>
              <w:rPr>
                <w:b/>
                <w:bCs/>
                <w:sz w:val="16"/>
                <w:szCs w:val="16"/>
              </w:rPr>
            </w:pPr>
          </w:p>
        </w:tc>
        <w:tc>
          <w:tcPr>
            <w:tcW w:w="434" w:type="pct"/>
            <w:tcBorders>
              <w:top w:val="nil"/>
              <w:left w:val="nil"/>
              <w:bottom w:val="single" w:sz="4" w:space="0" w:color="auto"/>
              <w:right w:val="nil"/>
            </w:tcBorders>
            <w:shd w:val="clear" w:color="auto" w:fill="E2EFD9" w:themeFill="accent6" w:themeFillTint="33"/>
            <w:noWrap/>
            <w:hideMark/>
          </w:tcPr>
          <w:p w14:paraId="54B33F93" w14:textId="77777777" w:rsidR="00DE10F8" w:rsidRPr="006B42D6" w:rsidRDefault="00DE10F8" w:rsidP="006C676D">
            <w:pPr>
              <w:jc w:val="right"/>
              <w:rPr>
                <w:b/>
                <w:bCs/>
                <w:sz w:val="16"/>
                <w:szCs w:val="16"/>
              </w:rPr>
            </w:pPr>
            <w:r w:rsidRPr="006B42D6">
              <w:rPr>
                <w:b/>
                <w:bCs/>
                <w:sz w:val="16"/>
                <w:szCs w:val="16"/>
              </w:rPr>
              <w:t>283,221</w:t>
            </w:r>
          </w:p>
        </w:tc>
        <w:tc>
          <w:tcPr>
            <w:tcW w:w="381" w:type="pct"/>
            <w:tcBorders>
              <w:top w:val="single" w:sz="4" w:space="0" w:color="auto"/>
              <w:left w:val="nil"/>
              <w:bottom w:val="single" w:sz="4" w:space="0" w:color="auto"/>
            </w:tcBorders>
            <w:shd w:val="clear" w:color="000000" w:fill="A6A6A6"/>
            <w:noWrap/>
            <w:hideMark/>
          </w:tcPr>
          <w:p w14:paraId="7B9AD852" w14:textId="77777777" w:rsidR="00DE10F8" w:rsidRPr="006B42D6" w:rsidRDefault="00DE10F8" w:rsidP="006C676D">
            <w:pPr>
              <w:jc w:val="right"/>
              <w:rPr>
                <w:b/>
                <w:bCs/>
                <w:sz w:val="16"/>
                <w:szCs w:val="16"/>
              </w:rPr>
            </w:pPr>
          </w:p>
        </w:tc>
      </w:tr>
    </w:tbl>
    <w:p w14:paraId="1D6BDD9B" w14:textId="22A7F08B" w:rsidR="005A5465" w:rsidRPr="006B42D6" w:rsidRDefault="005A5465" w:rsidP="005A5465">
      <w:pPr>
        <w:pStyle w:val="ColorfulList-Accent11"/>
        <w:widowControl w:val="0"/>
        <w:numPr>
          <w:ilvl w:val="0"/>
          <w:numId w:val="4"/>
        </w:numPr>
        <w:autoSpaceDE w:val="0"/>
        <w:autoSpaceDN w:val="0"/>
        <w:adjustRightInd w:val="0"/>
        <w:spacing w:before="20" w:after="0" w:line="360" w:lineRule="auto"/>
        <w:rPr>
          <w:rFonts w:ascii="Times New Roman Bold" w:hAnsi="Times New Roman Bold" w:cs="Times New Roman Bold"/>
          <w:b/>
          <w:sz w:val="24"/>
          <w:szCs w:val="24"/>
        </w:rPr>
      </w:pPr>
      <w:r w:rsidRPr="006B42D6">
        <w:rPr>
          <w:rFonts w:ascii="Times New Roman Bold" w:hAnsi="Times New Roman Bold" w:cs="Times New Roman Bold"/>
          <w:b/>
          <w:sz w:val="24"/>
          <w:szCs w:val="24"/>
        </w:rPr>
        <w:lastRenderedPageBreak/>
        <w:t>Helminth</w:t>
      </w:r>
      <w:r w:rsidR="000778C6">
        <w:rPr>
          <w:rFonts w:ascii="Times New Roman Bold" w:hAnsi="Times New Roman Bold" w:cs="Times New Roman Bold"/>
          <w:b/>
          <w:sz w:val="24"/>
          <w:szCs w:val="24"/>
        </w:rPr>
        <w:t>iosi</w:t>
      </w:r>
      <w:r w:rsidRPr="006B42D6">
        <w:rPr>
          <w:rFonts w:ascii="Times New Roman Bold" w:hAnsi="Times New Roman Bold" w:cs="Times New Roman Bold"/>
          <w:b/>
          <w:sz w:val="24"/>
          <w:szCs w:val="24"/>
        </w:rPr>
        <w:t xml:space="preserve">s </w:t>
      </w:r>
    </w:p>
    <w:p w14:paraId="1306CAEA" w14:textId="249F16BC" w:rsidR="002261ED" w:rsidRDefault="005A5465" w:rsidP="002261ED">
      <w:pPr>
        <w:ind w:left="426"/>
        <w:rPr>
          <w:w w:val="105"/>
        </w:rPr>
      </w:pPr>
      <w:r w:rsidRPr="006B42D6">
        <w:rPr>
          <w:w w:val="105"/>
        </w:rPr>
        <w:t xml:space="preserve">The total number of households reported </w:t>
      </w:r>
      <w:r w:rsidR="000778C6">
        <w:rPr>
          <w:w w:val="105"/>
        </w:rPr>
        <w:t>h</w:t>
      </w:r>
      <w:r w:rsidRPr="006B42D6">
        <w:rPr>
          <w:w w:val="105"/>
        </w:rPr>
        <w:t xml:space="preserve">elminthiosis problem in their goats was 421,516 (417,597 in </w:t>
      </w:r>
      <w:r w:rsidR="00EA1552">
        <w:rPr>
          <w:lang w:eastAsia="en-GB"/>
        </w:rPr>
        <w:t>Mainland Tanzania</w:t>
      </w:r>
      <w:r w:rsidRPr="006B42D6">
        <w:rPr>
          <w:w w:val="105"/>
        </w:rPr>
        <w:t xml:space="preserve"> and 3,919 in </w:t>
      </w:r>
      <w:r w:rsidR="00327632" w:rsidRPr="006B42D6">
        <w:rPr>
          <w:lang w:eastAsia="en-GB"/>
        </w:rPr>
        <w:t xml:space="preserve">Tanzania </w:t>
      </w:r>
      <w:r w:rsidRPr="006B42D6">
        <w:rPr>
          <w:w w:val="105"/>
        </w:rPr>
        <w:t xml:space="preserve">Zanzibar), which represents 23.2 percent of the total goat keeping households during </w:t>
      </w:r>
      <w:r w:rsidR="005E72D5" w:rsidRPr="006B42D6">
        <w:rPr>
          <w:w w:val="105"/>
        </w:rPr>
        <w:t>the 2019/20 a</w:t>
      </w:r>
      <w:r w:rsidRPr="006B42D6">
        <w:rPr>
          <w:w w:val="105"/>
        </w:rPr>
        <w:t>gricultural year.</w:t>
      </w:r>
      <w:r w:rsidRPr="006B42D6">
        <w:rPr>
          <w:w w:val="103"/>
        </w:rPr>
        <w:t xml:space="preserve"> A total number of </w:t>
      </w:r>
      <w:r w:rsidRPr="006B42D6">
        <w:rPr>
          <w:w w:val="105"/>
        </w:rPr>
        <w:t xml:space="preserve">3,895,173 goats </w:t>
      </w:r>
      <w:r w:rsidRPr="006B42D6">
        <w:rPr>
          <w:w w:val="103"/>
        </w:rPr>
        <w:t xml:space="preserve">were </w:t>
      </w:r>
      <w:r w:rsidRPr="006B42D6">
        <w:rPr>
          <w:w w:val="105"/>
        </w:rPr>
        <w:t xml:space="preserve">reported to be infected with </w:t>
      </w:r>
      <w:r w:rsidR="000778C6">
        <w:rPr>
          <w:w w:val="105"/>
        </w:rPr>
        <w:t>h</w:t>
      </w:r>
      <w:r w:rsidRPr="006B42D6">
        <w:rPr>
          <w:w w:val="105"/>
        </w:rPr>
        <w:t>elminth</w:t>
      </w:r>
      <w:r w:rsidR="000778C6">
        <w:rPr>
          <w:w w:val="105"/>
        </w:rPr>
        <w:t>io</w:t>
      </w:r>
      <w:r w:rsidRPr="006B42D6">
        <w:rPr>
          <w:w w:val="105"/>
        </w:rPr>
        <w:t>s</w:t>
      </w:r>
      <w:r w:rsidR="000778C6">
        <w:rPr>
          <w:w w:val="105"/>
        </w:rPr>
        <w:t>is</w:t>
      </w:r>
      <w:r w:rsidRPr="006B42D6">
        <w:rPr>
          <w:w w:val="105"/>
        </w:rPr>
        <w:t xml:space="preserve">, </w:t>
      </w:r>
      <w:r w:rsidRPr="006B42D6">
        <w:rPr>
          <w:w w:val="103"/>
        </w:rPr>
        <w:t xml:space="preserve">of which </w:t>
      </w:r>
      <w:r w:rsidRPr="006B42D6">
        <w:rPr>
          <w:w w:val="105"/>
        </w:rPr>
        <w:t xml:space="preserve">3,878,004 heads </w:t>
      </w:r>
      <w:r w:rsidRPr="006B42D6">
        <w:rPr>
          <w:spacing w:val="-2"/>
        </w:rPr>
        <w:t xml:space="preserve">in </w:t>
      </w:r>
      <w:r w:rsidR="00EA1552">
        <w:rPr>
          <w:lang w:eastAsia="en-GB"/>
        </w:rPr>
        <w:t>Mainland Tanzania</w:t>
      </w:r>
      <w:r w:rsidRPr="006B42D6">
        <w:rPr>
          <w:spacing w:val="-2"/>
        </w:rPr>
        <w:t xml:space="preserve"> and 17,169 heads in </w:t>
      </w:r>
      <w:r w:rsidR="00327632" w:rsidRPr="006B42D6">
        <w:rPr>
          <w:lang w:eastAsia="en-GB"/>
        </w:rPr>
        <w:t xml:space="preserve">Tanzania </w:t>
      </w:r>
      <w:r w:rsidRPr="006B42D6">
        <w:rPr>
          <w:spacing w:val="-2"/>
        </w:rPr>
        <w:t xml:space="preserve">Zanzibar. In </w:t>
      </w:r>
      <w:r w:rsidR="00EA1552">
        <w:rPr>
          <w:lang w:eastAsia="en-GB"/>
        </w:rPr>
        <w:t>Mainland Tanzania</w:t>
      </w:r>
      <w:r w:rsidRPr="006B42D6">
        <w:rPr>
          <w:spacing w:val="-2"/>
        </w:rPr>
        <w:t xml:space="preserve">, Kigoma region had the highest </w:t>
      </w:r>
      <w:r w:rsidRPr="006B42D6">
        <w:rPr>
          <w:w w:val="105"/>
        </w:rPr>
        <w:t xml:space="preserve">number of goats infected with </w:t>
      </w:r>
      <w:r w:rsidR="005E72D5" w:rsidRPr="006B42D6">
        <w:rPr>
          <w:w w:val="105"/>
        </w:rPr>
        <w:t xml:space="preserve">helminthiosis </w:t>
      </w:r>
      <w:r w:rsidRPr="006B42D6">
        <w:rPr>
          <w:w w:val="105"/>
        </w:rPr>
        <w:t>disease (</w:t>
      </w:r>
      <w:r w:rsidRPr="006B42D6">
        <w:rPr>
          <w:spacing w:val="-2"/>
        </w:rPr>
        <w:t xml:space="preserve">485,819; 12.5 percent), </w:t>
      </w:r>
      <w:r w:rsidRPr="006B42D6">
        <w:rPr>
          <w:w w:val="105"/>
        </w:rPr>
        <w:t xml:space="preserve">followed by Tanga (430,276; 11.1 percent) and Kilimanjaro (401,325; 10.3 percent). </w:t>
      </w:r>
      <w:r w:rsidR="002D175B" w:rsidRPr="006B42D6">
        <w:rPr>
          <w:w w:val="105"/>
        </w:rPr>
        <w:t xml:space="preserve">The lowest proportion of goats infections were reported in Dar es Salaam region </w:t>
      </w:r>
      <w:r w:rsidRPr="006B42D6">
        <w:rPr>
          <w:w w:val="105"/>
        </w:rPr>
        <w:t>(7,253; 0.2 percent)</w:t>
      </w:r>
      <w:r w:rsidR="002261ED">
        <w:rPr>
          <w:w w:val="105"/>
        </w:rPr>
        <w:t>.</w:t>
      </w:r>
    </w:p>
    <w:p w14:paraId="0637F767" w14:textId="77777777" w:rsidR="00C4159B" w:rsidRPr="00135766" w:rsidRDefault="00C4159B" w:rsidP="0085694C">
      <w:pPr>
        <w:spacing w:line="240" w:lineRule="auto"/>
        <w:ind w:left="426"/>
        <w:rPr>
          <w:w w:val="105"/>
          <w:sz w:val="20"/>
          <w:szCs w:val="20"/>
        </w:rPr>
      </w:pPr>
    </w:p>
    <w:p w14:paraId="7070B8CC" w14:textId="794FDF7D" w:rsidR="005A5465" w:rsidRPr="006B42D6" w:rsidRDefault="005A5465" w:rsidP="002261ED">
      <w:pPr>
        <w:ind w:left="426"/>
        <w:rPr>
          <w:w w:val="105"/>
        </w:rPr>
      </w:pPr>
      <w:r w:rsidRPr="006B42D6">
        <w:rPr>
          <w:spacing w:val="-2"/>
        </w:rPr>
        <w:t xml:space="preserve">In </w:t>
      </w:r>
      <w:r w:rsidR="00327632" w:rsidRPr="006B42D6">
        <w:rPr>
          <w:lang w:eastAsia="en-GB"/>
        </w:rPr>
        <w:t xml:space="preserve">Tanzania </w:t>
      </w:r>
      <w:r w:rsidRPr="006B42D6">
        <w:rPr>
          <w:spacing w:val="-2"/>
        </w:rPr>
        <w:t xml:space="preserve">Zanzibar, Kusini Pemba region had the highest number of goats infected with </w:t>
      </w:r>
      <w:r w:rsidR="005E72D5" w:rsidRPr="006B42D6">
        <w:rPr>
          <w:w w:val="105"/>
        </w:rPr>
        <w:t xml:space="preserve">helminthiosis </w:t>
      </w:r>
      <w:r w:rsidRPr="006B42D6">
        <w:rPr>
          <w:w w:val="105"/>
        </w:rPr>
        <w:t>disease (</w:t>
      </w:r>
      <w:r w:rsidRPr="006B42D6">
        <w:rPr>
          <w:spacing w:val="-2"/>
        </w:rPr>
        <w:t xml:space="preserve">5,879; 34.2 percent), followed by Kaskazini Pemba (5,559; 32.4 percent) and Kusini Unguja (4,711; 27.4 percent). </w:t>
      </w:r>
      <w:r w:rsidRPr="006B42D6">
        <w:rPr>
          <w:w w:val="105"/>
        </w:rPr>
        <w:t>The lowest proportion of goats infected was reported in Mjini Magharibi region (347; 2 percent) (Table 4.1</w:t>
      </w:r>
      <w:r w:rsidR="00B70154">
        <w:rPr>
          <w:w w:val="105"/>
        </w:rPr>
        <w:t>5</w:t>
      </w:r>
      <w:r w:rsidRPr="006B42D6">
        <w:rPr>
          <w:w w:val="105"/>
        </w:rPr>
        <w:t>).</w:t>
      </w:r>
    </w:p>
    <w:p w14:paraId="2F6E56D5" w14:textId="77777777" w:rsidR="005A5465" w:rsidRPr="00135766" w:rsidRDefault="005A5465" w:rsidP="00BE2060">
      <w:pPr>
        <w:tabs>
          <w:tab w:val="left" w:pos="1702"/>
        </w:tabs>
        <w:adjustRightInd w:val="0"/>
        <w:spacing w:before="20" w:line="240" w:lineRule="auto"/>
        <w:rPr>
          <w:spacing w:val="-2"/>
          <w:sz w:val="20"/>
          <w:szCs w:val="20"/>
        </w:rPr>
      </w:pPr>
    </w:p>
    <w:p w14:paraId="3705F26F" w14:textId="77777777" w:rsidR="005A5465" w:rsidRPr="006B42D6" w:rsidRDefault="005A5465" w:rsidP="005A5465">
      <w:pPr>
        <w:pStyle w:val="ColorfulList-Accent11"/>
        <w:widowControl w:val="0"/>
        <w:numPr>
          <w:ilvl w:val="0"/>
          <w:numId w:val="4"/>
        </w:numPr>
        <w:autoSpaceDE w:val="0"/>
        <w:autoSpaceDN w:val="0"/>
        <w:adjustRightInd w:val="0"/>
        <w:spacing w:before="20" w:after="0" w:line="360" w:lineRule="auto"/>
        <w:rPr>
          <w:rFonts w:ascii="Times New Roman Bold" w:hAnsi="Times New Roman Bold" w:cs="Times New Roman Bold"/>
          <w:b/>
          <w:sz w:val="24"/>
          <w:szCs w:val="24"/>
        </w:rPr>
      </w:pPr>
      <w:r w:rsidRPr="006B42D6">
        <w:rPr>
          <w:rFonts w:ascii="Times New Roman Bold" w:hAnsi="Times New Roman Bold" w:cs="Times New Roman Bold"/>
          <w:b/>
          <w:sz w:val="24"/>
          <w:szCs w:val="24"/>
        </w:rPr>
        <w:t xml:space="preserve">Tetanus Disease </w:t>
      </w:r>
    </w:p>
    <w:p w14:paraId="7A3269FB" w14:textId="67DF3634" w:rsidR="005A5465" w:rsidRPr="006B42D6" w:rsidRDefault="005A5465" w:rsidP="005A5465">
      <w:pPr>
        <w:tabs>
          <w:tab w:val="left" w:pos="1702"/>
        </w:tabs>
        <w:adjustRightInd w:val="0"/>
        <w:spacing w:before="20"/>
        <w:ind w:left="360"/>
        <w:rPr>
          <w:w w:val="105"/>
        </w:rPr>
      </w:pPr>
      <w:r w:rsidRPr="006B42D6">
        <w:rPr>
          <w:w w:val="105"/>
        </w:rPr>
        <w:t xml:space="preserve">The total number of households reported </w:t>
      </w:r>
      <w:r w:rsidR="005E72D5" w:rsidRPr="006B42D6">
        <w:rPr>
          <w:w w:val="105"/>
        </w:rPr>
        <w:t>t</w:t>
      </w:r>
      <w:r w:rsidRPr="006B42D6">
        <w:rPr>
          <w:w w:val="105"/>
        </w:rPr>
        <w:t xml:space="preserve">etanus disease infections to their goats was 38,987 (38,883 in </w:t>
      </w:r>
      <w:r w:rsidR="00EA1552">
        <w:rPr>
          <w:lang w:eastAsia="en-GB"/>
        </w:rPr>
        <w:t>Mainland Tanzania</w:t>
      </w:r>
      <w:r w:rsidRPr="006B42D6">
        <w:rPr>
          <w:w w:val="105"/>
        </w:rPr>
        <w:t xml:space="preserve"> and 104 in </w:t>
      </w:r>
      <w:r w:rsidR="00327632" w:rsidRPr="006B42D6">
        <w:rPr>
          <w:lang w:eastAsia="en-GB"/>
        </w:rPr>
        <w:t xml:space="preserve">Tanzania </w:t>
      </w:r>
      <w:r w:rsidRPr="006B42D6">
        <w:rPr>
          <w:w w:val="105"/>
        </w:rPr>
        <w:t xml:space="preserve">Zanzibar), which represents 2.1 percent of the total goat keeping households during </w:t>
      </w:r>
      <w:r w:rsidR="005E72D5" w:rsidRPr="006B42D6">
        <w:rPr>
          <w:w w:val="105"/>
        </w:rPr>
        <w:t xml:space="preserve">the 2019/20 </w:t>
      </w:r>
      <w:r w:rsidR="002D175B" w:rsidRPr="006B42D6">
        <w:rPr>
          <w:w w:val="105"/>
        </w:rPr>
        <w:t>a</w:t>
      </w:r>
      <w:r w:rsidRPr="006B42D6">
        <w:rPr>
          <w:w w:val="105"/>
        </w:rPr>
        <w:t xml:space="preserve">gricultural year. </w:t>
      </w:r>
    </w:p>
    <w:p w14:paraId="7B18C455" w14:textId="77777777" w:rsidR="005A5465" w:rsidRPr="006B42D6" w:rsidRDefault="005A5465" w:rsidP="0085694C">
      <w:pPr>
        <w:tabs>
          <w:tab w:val="left" w:pos="1702"/>
        </w:tabs>
        <w:adjustRightInd w:val="0"/>
        <w:spacing w:before="20" w:line="240" w:lineRule="auto"/>
        <w:ind w:left="360"/>
        <w:rPr>
          <w:w w:val="105"/>
        </w:rPr>
      </w:pPr>
    </w:p>
    <w:p w14:paraId="0030DE5A" w14:textId="43FCFC66" w:rsidR="005A5465" w:rsidRPr="006B42D6" w:rsidRDefault="005A5465" w:rsidP="005A5465">
      <w:pPr>
        <w:tabs>
          <w:tab w:val="left" w:pos="1702"/>
        </w:tabs>
        <w:adjustRightInd w:val="0"/>
        <w:spacing w:before="20"/>
        <w:ind w:left="360"/>
        <w:rPr>
          <w:w w:val="105"/>
        </w:rPr>
      </w:pPr>
      <w:r w:rsidRPr="006B42D6">
        <w:rPr>
          <w:w w:val="103"/>
        </w:rPr>
        <w:t xml:space="preserve">A total number of </w:t>
      </w:r>
      <w:r w:rsidRPr="006B42D6">
        <w:rPr>
          <w:w w:val="105"/>
        </w:rPr>
        <w:t xml:space="preserve">299,829 goats </w:t>
      </w:r>
      <w:r w:rsidRPr="006B42D6">
        <w:rPr>
          <w:w w:val="103"/>
        </w:rPr>
        <w:t xml:space="preserve">were </w:t>
      </w:r>
      <w:r w:rsidRPr="006B42D6">
        <w:rPr>
          <w:w w:val="105"/>
        </w:rPr>
        <w:t xml:space="preserve">reported to be infected with </w:t>
      </w:r>
      <w:r w:rsidR="005E72D5" w:rsidRPr="006B42D6">
        <w:rPr>
          <w:w w:val="105"/>
        </w:rPr>
        <w:t>t</w:t>
      </w:r>
      <w:r w:rsidRPr="006B42D6">
        <w:rPr>
          <w:w w:val="105"/>
        </w:rPr>
        <w:t xml:space="preserve">etanus disease, </w:t>
      </w:r>
      <w:r w:rsidRPr="006B42D6">
        <w:rPr>
          <w:w w:val="103"/>
        </w:rPr>
        <w:t xml:space="preserve">of which </w:t>
      </w:r>
      <w:r w:rsidRPr="006B42D6">
        <w:rPr>
          <w:w w:val="105"/>
        </w:rPr>
        <w:t xml:space="preserve">299,688 goats </w:t>
      </w:r>
      <w:r w:rsidRPr="006B42D6">
        <w:rPr>
          <w:spacing w:val="-2"/>
        </w:rPr>
        <w:t xml:space="preserve">in </w:t>
      </w:r>
      <w:r w:rsidR="00EA1552">
        <w:rPr>
          <w:lang w:eastAsia="en-GB"/>
        </w:rPr>
        <w:t>Mainland Tanzania</w:t>
      </w:r>
      <w:r w:rsidRPr="006B42D6">
        <w:rPr>
          <w:spacing w:val="-2"/>
        </w:rPr>
        <w:t xml:space="preserve"> and 141 in </w:t>
      </w:r>
      <w:r w:rsidR="00327632" w:rsidRPr="006B42D6">
        <w:rPr>
          <w:lang w:eastAsia="en-GB"/>
        </w:rPr>
        <w:t xml:space="preserve">Tanzania </w:t>
      </w:r>
      <w:r w:rsidRPr="006B42D6">
        <w:rPr>
          <w:spacing w:val="-2"/>
        </w:rPr>
        <w:t xml:space="preserve">Zanzibar. In </w:t>
      </w:r>
      <w:r w:rsidR="00EA1552">
        <w:rPr>
          <w:lang w:eastAsia="en-GB"/>
        </w:rPr>
        <w:t>Mainland Tanzania</w:t>
      </w:r>
      <w:r w:rsidRPr="006B42D6">
        <w:rPr>
          <w:spacing w:val="-2"/>
        </w:rPr>
        <w:t xml:space="preserve">, Manyara region had the largest </w:t>
      </w:r>
      <w:r w:rsidRPr="006B42D6">
        <w:rPr>
          <w:w w:val="105"/>
        </w:rPr>
        <w:t xml:space="preserve">number of goats infected with </w:t>
      </w:r>
      <w:r w:rsidR="005E72D5" w:rsidRPr="006B42D6">
        <w:rPr>
          <w:w w:val="105"/>
        </w:rPr>
        <w:t>t</w:t>
      </w:r>
      <w:r w:rsidRPr="006B42D6">
        <w:rPr>
          <w:w w:val="105"/>
        </w:rPr>
        <w:t>etanus disease (</w:t>
      </w:r>
      <w:r w:rsidRPr="006B42D6">
        <w:rPr>
          <w:spacing w:val="-2"/>
        </w:rPr>
        <w:t xml:space="preserve">70,574; 23.5 percent) </w:t>
      </w:r>
      <w:r w:rsidRPr="006B42D6">
        <w:rPr>
          <w:w w:val="105"/>
        </w:rPr>
        <w:t>followed by Tanga (47,219; 15.8 percent) and Simiyu (26,345; 8.8 percent). The lowest proportion of goat</w:t>
      </w:r>
      <w:r w:rsidR="002D175B" w:rsidRPr="006B42D6">
        <w:rPr>
          <w:w w:val="105"/>
        </w:rPr>
        <w:t>’</w:t>
      </w:r>
      <w:r w:rsidRPr="006B42D6">
        <w:rPr>
          <w:w w:val="105"/>
        </w:rPr>
        <w:t xml:space="preserve">s infections was reported in Ruvuma region (648; 2 percent). </w:t>
      </w:r>
      <w:r w:rsidRPr="006B42D6">
        <w:rPr>
          <w:spacing w:val="-2"/>
        </w:rPr>
        <w:t xml:space="preserve">In </w:t>
      </w:r>
      <w:r w:rsidR="00327632" w:rsidRPr="006B42D6">
        <w:rPr>
          <w:lang w:eastAsia="en-GB"/>
        </w:rPr>
        <w:t xml:space="preserve">Tanzania </w:t>
      </w:r>
      <w:r w:rsidRPr="006B42D6">
        <w:rPr>
          <w:spacing w:val="-2"/>
        </w:rPr>
        <w:t xml:space="preserve">Zanzibar, Kusini Unguja region with 141 heads (100 percent) was the only area that had some goats infected by </w:t>
      </w:r>
      <w:r w:rsidRPr="006B42D6">
        <w:rPr>
          <w:w w:val="105"/>
        </w:rPr>
        <w:t>Tetanus problem</w:t>
      </w:r>
      <w:r w:rsidRPr="006B42D6">
        <w:rPr>
          <w:spacing w:val="-2"/>
        </w:rPr>
        <w:t xml:space="preserve"> </w:t>
      </w:r>
      <w:r w:rsidRPr="006B42D6">
        <w:rPr>
          <w:w w:val="105"/>
        </w:rPr>
        <w:t>(Table 4.1</w:t>
      </w:r>
      <w:r w:rsidR="00B70154">
        <w:rPr>
          <w:w w:val="105"/>
        </w:rPr>
        <w:t>5</w:t>
      </w:r>
      <w:r w:rsidRPr="006B42D6">
        <w:rPr>
          <w:w w:val="105"/>
        </w:rPr>
        <w:t>).</w:t>
      </w:r>
    </w:p>
    <w:p w14:paraId="6DCEE4B4" w14:textId="77777777" w:rsidR="005A5465" w:rsidRPr="00135766" w:rsidRDefault="005A5465" w:rsidP="00BE2060">
      <w:pPr>
        <w:tabs>
          <w:tab w:val="left" w:pos="1702"/>
        </w:tabs>
        <w:adjustRightInd w:val="0"/>
        <w:spacing w:before="20" w:line="240" w:lineRule="auto"/>
        <w:rPr>
          <w:spacing w:val="-2"/>
          <w:sz w:val="20"/>
          <w:szCs w:val="20"/>
        </w:rPr>
      </w:pPr>
    </w:p>
    <w:p w14:paraId="3528CE92" w14:textId="77777777" w:rsidR="005A5465" w:rsidRPr="006B42D6" w:rsidRDefault="005A5465" w:rsidP="005A5465">
      <w:pPr>
        <w:pStyle w:val="ColorfulList-Accent11"/>
        <w:widowControl w:val="0"/>
        <w:numPr>
          <w:ilvl w:val="0"/>
          <w:numId w:val="4"/>
        </w:numPr>
        <w:autoSpaceDE w:val="0"/>
        <w:autoSpaceDN w:val="0"/>
        <w:adjustRightInd w:val="0"/>
        <w:spacing w:before="20" w:after="0" w:line="360" w:lineRule="auto"/>
        <w:rPr>
          <w:rFonts w:ascii="Times New Roman Bold" w:hAnsi="Times New Roman Bold" w:cs="Times New Roman Bold"/>
          <w:b/>
          <w:sz w:val="24"/>
          <w:szCs w:val="24"/>
        </w:rPr>
      </w:pPr>
      <w:r w:rsidRPr="006B42D6">
        <w:rPr>
          <w:rFonts w:ascii="Times New Roman Bold" w:hAnsi="Times New Roman Bold" w:cs="Times New Roman Bold"/>
          <w:b/>
          <w:sz w:val="24"/>
          <w:szCs w:val="24"/>
        </w:rPr>
        <w:t xml:space="preserve">Mange Disease </w:t>
      </w:r>
    </w:p>
    <w:p w14:paraId="4EE8E9AF" w14:textId="76BB7B4C" w:rsidR="00617341" w:rsidRPr="006B42D6" w:rsidRDefault="005A5465" w:rsidP="005A5465">
      <w:pPr>
        <w:tabs>
          <w:tab w:val="left" w:pos="1702"/>
        </w:tabs>
        <w:adjustRightInd w:val="0"/>
        <w:spacing w:before="20"/>
        <w:ind w:left="360"/>
        <w:rPr>
          <w:w w:val="105"/>
        </w:rPr>
      </w:pPr>
      <w:r w:rsidRPr="006B42D6">
        <w:rPr>
          <w:w w:val="105"/>
        </w:rPr>
        <w:t xml:space="preserve">The total number of households reported </w:t>
      </w:r>
      <w:r w:rsidR="000778C6">
        <w:rPr>
          <w:w w:val="105"/>
        </w:rPr>
        <w:t>m</w:t>
      </w:r>
      <w:r w:rsidRPr="006B42D6">
        <w:rPr>
          <w:w w:val="105"/>
        </w:rPr>
        <w:t xml:space="preserve">ange disease infections to their goats was 111,034 (110,073 in </w:t>
      </w:r>
      <w:r w:rsidR="00EA1552">
        <w:rPr>
          <w:lang w:eastAsia="en-GB"/>
        </w:rPr>
        <w:t>Mainland Tanzania</w:t>
      </w:r>
      <w:r w:rsidRPr="006B42D6">
        <w:rPr>
          <w:w w:val="105"/>
        </w:rPr>
        <w:t xml:space="preserve"> and 961 in </w:t>
      </w:r>
      <w:r w:rsidR="00327632" w:rsidRPr="006B42D6">
        <w:rPr>
          <w:lang w:eastAsia="en-GB"/>
        </w:rPr>
        <w:t xml:space="preserve">Tanzania </w:t>
      </w:r>
      <w:r w:rsidRPr="006B42D6">
        <w:rPr>
          <w:w w:val="105"/>
        </w:rPr>
        <w:t xml:space="preserve">Zanzibar), which represents 6.1 percent of the total goat keeping households during </w:t>
      </w:r>
      <w:r w:rsidR="005E72D5" w:rsidRPr="006B42D6">
        <w:rPr>
          <w:w w:val="105"/>
        </w:rPr>
        <w:t xml:space="preserve">the </w:t>
      </w:r>
      <w:r w:rsidR="00617341" w:rsidRPr="006B42D6">
        <w:rPr>
          <w:w w:val="105"/>
        </w:rPr>
        <w:t xml:space="preserve">2019/20 </w:t>
      </w:r>
      <w:r w:rsidR="002D175B" w:rsidRPr="006B42D6">
        <w:rPr>
          <w:w w:val="105"/>
        </w:rPr>
        <w:t>a</w:t>
      </w:r>
      <w:r w:rsidRPr="006B42D6">
        <w:rPr>
          <w:w w:val="105"/>
        </w:rPr>
        <w:t xml:space="preserve">gricultural year. </w:t>
      </w:r>
    </w:p>
    <w:p w14:paraId="79897E98" w14:textId="5C9A57CB" w:rsidR="005A5465" w:rsidRPr="006B42D6" w:rsidRDefault="005A5465" w:rsidP="005A5465">
      <w:pPr>
        <w:tabs>
          <w:tab w:val="left" w:pos="1702"/>
        </w:tabs>
        <w:adjustRightInd w:val="0"/>
        <w:spacing w:before="20"/>
        <w:ind w:left="360"/>
        <w:rPr>
          <w:w w:val="105"/>
        </w:rPr>
      </w:pPr>
      <w:r w:rsidRPr="006B42D6">
        <w:rPr>
          <w:w w:val="103"/>
        </w:rPr>
        <w:lastRenderedPageBreak/>
        <w:t xml:space="preserve">A total number of </w:t>
      </w:r>
      <w:r w:rsidRPr="006B42D6">
        <w:rPr>
          <w:w w:val="105"/>
        </w:rPr>
        <w:t xml:space="preserve">704,792 goats </w:t>
      </w:r>
      <w:r w:rsidRPr="006B42D6">
        <w:rPr>
          <w:w w:val="103"/>
        </w:rPr>
        <w:t xml:space="preserve">were </w:t>
      </w:r>
      <w:r w:rsidRPr="006B42D6">
        <w:rPr>
          <w:w w:val="105"/>
        </w:rPr>
        <w:t xml:space="preserve">reported to be infected with </w:t>
      </w:r>
      <w:r w:rsidR="000778C6">
        <w:rPr>
          <w:w w:val="105"/>
        </w:rPr>
        <w:t>m</w:t>
      </w:r>
      <w:r w:rsidRPr="006B42D6">
        <w:rPr>
          <w:w w:val="105"/>
        </w:rPr>
        <w:t>ange disease,</w:t>
      </w:r>
      <w:r w:rsidRPr="006B42D6">
        <w:rPr>
          <w:w w:val="103"/>
        </w:rPr>
        <w:t xml:space="preserve"> of which </w:t>
      </w:r>
      <w:r w:rsidRPr="006B42D6">
        <w:rPr>
          <w:w w:val="105"/>
        </w:rPr>
        <w:t xml:space="preserve">702,482 goats </w:t>
      </w:r>
      <w:r w:rsidRPr="006B42D6">
        <w:rPr>
          <w:spacing w:val="-2"/>
        </w:rPr>
        <w:t xml:space="preserve">in Mainland and 2,310 in </w:t>
      </w:r>
      <w:r w:rsidR="00327632" w:rsidRPr="006B42D6">
        <w:rPr>
          <w:lang w:eastAsia="en-GB"/>
        </w:rPr>
        <w:t xml:space="preserve">Tanzania </w:t>
      </w:r>
      <w:r w:rsidRPr="006B42D6">
        <w:rPr>
          <w:spacing w:val="-2"/>
        </w:rPr>
        <w:t xml:space="preserve">Zanzibar. In </w:t>
      </w:r>
      <w:r w:rsidR="00EA1552">
        <w:rPr>
          <w:lang w:eastAsia="en-GB"/>
        </w:rPr>
        <w:t>Mainland Tanzania</w:t>
      </w:r>
      <w:r w:rsidRPr="006B42D6">
        <w:rPr>
          <w:spacing w:val="-2"/>
        </w:rPr>
        <w:t xml:space="preserve">, Tanga region had the highest </w:t>
      </w:r>
      <w:r w:rsidRPr="006B42D6">
        <w:rPr>
          <w:w w:val="105"/>
        </w:rPr>
        <w:t xml:space="preserve">proportion of goats infected with </w:t>
      </w:r>
      <w:r w:rsidR="000778C6">
        <w:rPr>
          <w:w w:val="105"/>
        </w:rPr>
        <w:t>m</w:t>
      </w:r>
      <w:r w:rsidRPr="006B42D6">
        <w:rPr>
          <w:w w:val="105"/>
        </w:rPr>
        <w:t>ange problem</w:t>
      </w:r>
      <w:r w:rsidRPr="006B42D6">
        <w:rPr>
          <w:spacing w:val="-2"/>
        </w:rPr>
        <w:t xml:space="preserve"> (102,998; 14.7 percent), </w:t>
      </w:r>
      <w:r w:rsidRPr="006B42D6">
        <w:rPr>
          <w:w w:val="105"/>
        </w:rPr>
        <w:t>followed by Kagera (64,399; 9.2 percent) and Manyara (49,321; 7.0 percent). The lowest proportion of goats infected was reported in Dar es Salaam region (847; 0.1 percent).</w:t>
      </w:r>
    </w:p>
    <w:p w14:paraId="2ACA78F8" w14:textId="77777777" w:rsidR="005A5465" w:rsidRPr="006B42D6" w:rsidRDefault="005A5465" w:rsidP="0085694C">
      <w:pPr>
        <w:tabs>
          <w:tab w:val="left" w:pos="1702"/>
        </w:tabs>
        <w:adjustRightInd w:val="0"/>
        <w:spacing w:before="20" w:line="240" w:lineRule="auto"/>
        <w:ind w:left="360"/>
        <w:rPr>
          <w:w w:val="105"/>
        </w:rPr>
      </w:pPr>
    </w:p>
    <w:p w14:paraId="348F7D5D" w14:textId="1878D892" w:rsidR="005A5465" w:rsidRDefault="005A5465" w:rsidP="005A5465">
      <w:pPr>
        <w:tabs>
          <w:tab w:val="left" w:pos="1702"/>
        </w:tabs>
        <w:adjustRightInd w:val="0"/>
        <w:spacing w:before="20"/>
        <w:ind w:left="360"/>
        <w:rPr>
          <w:w w:val="105"/>
        </w:rPr>
      </w:pPr>
      <w:r w:rsidRPr="006B42D6">
        <w:rPr>
          <w:spacing w:val="-2"/>
        </w:rPr>
        <w:t xml:space="preserve">In </w:t>
      </w:r>
      <w:r w:rsidR="00327632" w:rsidRPr="006B42D6">
        <w:rPr>
          <w:lang w:eastAsia="en-GB"/>
        </w:rPr>
        <w:t xml:space="preserve">Tanzania </w:t>
      </w:r>
      <w:r w:rsidRPr="006B42D6">
        <w:rPr>
          <w:spacing w:val="-2"/>
        </w:rPr>
        <w:t xml:space="preserve">Zanzibar, Kaskazini Pemba region had the highest number of goats infected by </w:t>
      </w:r>
      <w:r w:rsidR="000778C6">
        <w:rPr>
          <w:w w:val="105"/>
        </w:rPr>
        <w:t>m</w:t>
      </w:r>
      <w:r w:rsidRPr="006B42D6">
        <w:rPr>
          <w:w w:val="105"/>
        </w:rPr>
        <w:t xml:space="preserve">ange disease </w:t>
      </w:r>
      <w:r w:rsidRPr="006B42D6">
        <w:rPr>
          <w:spacing w:val="-2"/>
        </w:rPr>
        <w:t xml:space="preserve">(1,268; 54.9 percent), followed by Kaskazini Unguja (553; 23.9 percent) and Kusini Pemba (339; 14.7 percent). </w:t>
      </w:r>
      <w:r w:rsidRPr="006B42D6">
        <w:rPr>
          <w:w w:val="105"/>
        </w:rPr>
        <w:t>The lowest proportion of goats infected was reported in Kusini Unguja region (150; 6.5 percent) (Table 4.1</w:t>
      </w:r>
      <w:r w:rsidR="00B70154">
        <w:rPr>
          <w:w w:val="105"/>
        </w:rPr>
        <w:t>5</w:t>
      </w:r>
      <w:r w:rsidRPr="006B42D6">
        <w:rPr>
          <w:w w:val="105"/>
        </w:rPr>
        <w:t>).</w:t>
      </w:r>
    </w:p>
    <w:p w14:paraId="6F191188" w14:textId="77777777" w:rsidR="00135766" w:rsidRPr="006B42D6" w:rsidRDefault="00135766" w:rsidP="005A5465">
      <w:pPr>
        <w:tabs>
          <w:tab w:val="left" w:pos="1702"/>
        </w:tabs>
        <w:adjustRightInd w:val="0"/>
        <w:spacing w:before="20"/>
        <w:ind w:left="360"/>
        <w:rPr>
          <w:w w:val="105"/>
        </w:rPr>
      </w:pPr>
    </w:p>
    <w:p w14:paraId="4BAF0D9A" w14:textId="77777777" w:rsidR="005A5465" w:rsidRPr="006B42D6" w:rsidRDefault="005A5465" w:rsidP="005A5465">
      <w:pPr>
        <w:pStyle w:val="ColorfulList-Accent11"/>
        <w:widowControl w:val="0"/>
        <w:numPr>
          <w:ilvl w:val="0"/>
          <w:numId w:val="4"/>
        </w:numPr>
        <w:autoSpaceDE w:val="0"/>
        <w:autoSpaceDN w:val="0"/>
        <w:adjustRightInd w:val="0"/>
        <w:spacing w:before="20" w:after="0" w:line="360" w:lineRule="auto"/>
        <w:rPr>
          <w:rFonts w:ascii="Times New Roman Bold" w:hAnsi="Times New Roman Bold" w:cs="Times New Roman Bold"/>
          <w:b/>
          <w:sz w:val="24"/>
          <w:szCs w:val="24"/>
        </w:rPr>
      </w:pPr>
      <w:r w:rsidRPr="006B42D6">
        <w:rPr>
          <w:rFonts w:ascii="Times New Roman Bold" w:hAnsi="Times New Roman Bold" w:cs="Times New Roman Bold"/>
          <w:b/>
          <w:sz w:val="24"/>
          <w:szCs w:val="24"/>
        </w:rPr>
        <w:t xml:space="preserve">Black Quarter Disease </w:t>
      </w:r>
    </w:p>
    <w:p w14:paraId="2D0B1E4E" w14:textId="2A43C163" w:rsidR="00617341" w:rsidRPr="006B42D6" w:rsidRDefault="005A5465" w:rsidP="005A5465">
      <w:pPr>
        <w:tabs>
          <w:tab w:val="left" w:pos="1702"/>
        </w:tabs>
        <w:adjustRightInd w:val="0"/>
        <w:spacing w:before="20"/>
        <w:ind w:left="360"/>
        <w:rPr>
          <w:w w:val="105"/>
        </w:rPr>
      </w:pPr>
      <w:r w:rsidRPr="006B42D6">
        <w:rPr>
          <w:w w:val="105"/>
        </w:rPr>
        <w:t xml:space="preserve">The total number of households reported Black Quarter infections in their goats was 30,077 (29,670 in </w:t>
      </w:r>
      <w:r w:rsidR="00EA1552">
        <w:rPr>
          <w:lang w:eastAsia="en-GB"/>
        </w:rPr>
        <w:t>Mainland Tanzania</w:t>
      </w:r>
      <w:r w:rsidRPr="006B42D6">
        <w:rPr>
          <w:w w:val="105"/>
        </w:rPr>
        <w:t xml:space="preserve"> and 407 in </w:t>
      </w:r>
      <w:r w:rsidR="00327632" w:rsidRPr="006B42D6">
        <w:rPr>
          <w:lang w:eastAsia="en-GB"/>
        </w:rPr>
        <w:t xml:space="preserve">Tanzania </w:t>
      </w:r>
      <w:r w:rsidRPr="006B42D6">
        <w:rPr>
          <w:w w:val="105"/>
        </w:rPr>
        <w:t>Zanzibar), which represents 1.7 percent of the total goat keeping households during</w:t>
      </w:r>
      <w:r w:rsidR="005E72D5" w:rsidRPr="006B42D6">
        <w:rPr>
          <w:w w:val="105"/>
        </w:rPr>
        <w:t xml:space="preserve"> the</w:t>
      </w:r>
      <w:r w:rsidRPr="006B42D6">
        <w:rPr>
          <w:w w:val="105"/>
        </w:rPr>
        <w:t xml:space="preserve"> </w:t>
      </w:r>
      <w:r w:rsidR="00617341" w:rsidRPr="006B42D6">
        <w:rPr>
          <w:w w:val="105"/>
        </w:rPr>
        <w:t>2019/20 a</w:t>
      </w:r>
      <w:r w:rsidRPr="006B42D6">
        <w:rPr>
          <w:w w:val="105"/>
        </w:rPr>
        <w:t xml:space="preserve">gricultural year. </w:t>
      </w:r>
    </w:p>
    <w:p w14:paraId="07A2F657" w14:textId="77777777" w:rsidR="00617341" w:rsidRPr="006B42D6" w:rsidRDefault="00617341" w:rsidP="0085694C">
      <w:pPr>
        <w:tabs>
          <w:tab w:val="left" w:pos="1702"/>
        </w:tabs>
        <w:adjustRightInd w:val="0"/>
        <w:spacing w:before="20" w:line="240" w:lineRule="auto"/>
        <w:ind w:left="360"/>
        <w:rPr>
          <w:w w:val="105"/>
        </w:rPr>
      </w:pPr>
    </w:p>
    <w:p w14:paraId="715BDAA6" w14:textId="2F0F5E50" w:rsidR="00FF10A4" w:rsidRPr="006B42D6" w:rsidRDefault="005A5465" w:rsidP="00DE782F">
      <w:pPr>
        <w:tabs>
          <w:tab w:val="left" w:pos="1702"/>
        </w:tabs>
        <w:adjustRightInd w:val="0"/>
        <w:spacing w:before="20"/>
        <w:ind w:left="360"/>
        <w:rPr>
          <w:w w:val="105"/>
        </w:rPr>
      </w:pPr>
      <w:r w:rsidRPr="006B42D6">
        <w:rPr>
          <w:w w:val="103"/>
        </w:rPr>
        <w:t xml:space="preserve">A total number of </w:t>
      </w:r>
      <w:r w:rsidRPr="006B42D6">
        <w:rPr>
          <w:w w:val="105"/>
        </w:rPr>
        <w:t xml:space="preserve">283,221 goats </w:t>
      </w:r>
      <w:r w:rsidRPr="006B42D6">
        <w:rPr>
          <w:w w:val="103"/>
        </w:rPr>
        <w:t xml:space="preserve">were </w:t>
      </w:r>
      <w:r w:rsidRPr="006B42D6">
        <w:rPr>
          <w:w w:val="105"/>
        </w:rPr>
        <w:t>reported to be infected with Black Quarter disease,</w:t>
      </w:r>
      <w:r w:rsidRPr="006B42D6">
        <w:rPr>
          <w:w w:val="103"/>
        </w:rPr>
        <w:t xml:space="preserve"> of which </w:t>
      </w:r>
      <w:r w:rsidRPr="006B42D6">
        <w:rPr>
          <w:w w:val="105"/>
        </w:rPr>
        <w:t xml:space="preserve">281,157 heads </w:t>
      </w:r>
      <w:r w:rsidRPr="006B42D6">
        <w:rPr>
          <w:spacing w:val="-2"/>
        </w:rPr>
        <w:t xml:space="preserve">in </w:t>
      </w:r>
      <w:r w:rsidR="00EA1552">
        <w:rPr>
          <w:spacing w:val="-2"/>
        </w:rPr>
        <w:t>Mainland Tanzania</w:t>
      </w:r>
      <w:r w:rsidRPr="006B42D6">
        <w:rPr>
          <w:spacing w:val="-2"/>
        </w:rPr>
        <w:t xml:space="preserve"> and 2,064 in </w:t>
      </w:r>
      <w:r w:rsidR="00617341" w:rsidRPr="006B42D6">
        <w:rPr>
          <w:spacing w:val="-2"/>
        </w:rPr>
        <w:t xml:space="preserve">Tanzania </w:t>
      </w:r>
      <w:r w:rsidRPr="006B42D6">
        <w:rPr>
          <w:spacing w:val="-2"/>
        </w:rPr>
        <w:t xml:space="preserve">Zanzibar. In </w:t>
      </w:r>
      <w:r w:rsidR="00EA1552">
        <w:rPr>
          <w:lang w:eastAsia="en-GB"/>
        </w:rPr>
        <w:t>Mainland Tanzania</w:t>
      </w:r>
      <w:r w:rsidRPr="006B42D6">
        <w:rPr>
          <w:spacing w:val="-2"/>
        </w:rPr>
        <w:t xml:space="preserve">, Kagera region had the largest </w:t>
      </w:r>
      <w:r w:rsidRPr="006B42D6">
        <w:rPr>
          <w:w w:val="105"/>
        </w:rPr>
        <w:t>number of goats infected with Black Quarter disease (</w:t>
      </w:r>
      <w:r w:rsidRPr="006B42D6">
        <w:rPr>
          <w:spacing w:val="-2"/>
        </w:rPr>
        <w:t xml:space="preserve">41,436; 14.7 percent), </w:t>
      </w:r>
      <w:r w:rsidRPr="006B42D6">
        <w:rPr>
          <w:w w:val="105"/>
        </w:rPr>
        <w:t>followed by Morogoro (34,153; 12.2 percent) and Pwani (33,989; 12.1 percent). The lowest proportion of goats’ infections was reported in Njombe region (379; 0.1 percent).</w:t>
      </w:r>
      <w:r w:rsidR="00FF10A4" w:rsidRPr="006B42D6">
        <w:rPr>
          <w:w w:val="105"/>
        </w:rPr>
        <w:t xml:space="preserve"> </w:t>
      </w:r>
      <w:r w:rsidRPr="006B42D6">
        <w:rPr>
          <w:spacing w:val="-2"/>
        </w:rPr>
        <w:t xml:space="preserve">In </w:t>
      </w:r>
      <w:r w:rsidR="00327632" w:rsidRPr="006B42D6">
        <w:rPr>
          <w:lang w:eastAsia="en-GB"/>
        </w:rPr>
        <w:t xml:space="preserve">Tanzania </w:t>
      </w:r>
      <w:r w:rsidRPr="006B42D6">
        <w:rPr>
          <w:spacing w:val="-2"/>
        </w:rPr>
        <w:t xml:space="preserve">Zanzibar, Kusini Unguja region had the largest number of goats infected with </w:t>
      </w:r>
      <w:r w:rsidRPr="006B42D6">
        <w:rPr>
          <w:w w:val="105"/>
        </w:rPr>
        <w:t>Black Quarter disease</w:t>
      </w:r>
      <w:r w:rsidRPr="006B42D6">
        <w:rPr>
          <w:spacing w:val="-2"/>
        </w:rPr>
        <w:t xml:space="preserve"> (982 heads; 47.6 percent), followed by Kaskazini Pemba (825 </w:t>
      </w:r>
      <w:r w:rsidRPr="006B42D6">
        <w:rPr>
          <w:w w:val="105"/>
        </w:rPr>
        <w:t>heads</w:t>
      </w:r>
      <w:r w:rsidRPr="006B42D6">
        <w:rPr>
          <w:spacing w:val="-2"/>
        </w:rPr>
        <w:t xml:space="preserve">; 40.0 percent) and Mjini Magharibi (130 </w:t>
      </w:r>
      <w:r w:rsidRPr="006B42D6">
        <w:rPr>
          <w:w w:val="105"/>
        </w:rPr>
        <w:t>heads</w:t>
      </w:r>
      <w:r w:rsidRPr="006B42D6">
        <w:rPr>
          <w:spacing w:val="-2"/>
        </w:rPr>
        <w:t xml:space="preserve">; 6.3 percent). </w:t>
      </w:r>
      <w:r w:rsidRPr="006B42D6">
        <w:rPr>
          <w:w w:val="105"/>
        </w:rPr>
        <w:t>The lowest proportion of goats’ infections was reported in Kusini Pemba region (127 heads; 6.2 percent) (Table 4.1</w:t>
      </w:r>
      <w:r w:rsidR="00B70154">
        <w:rPr>
          <w:w w:val="105"/>
        </w:rPr>
        <w:t>5</w:t>
      </w:r>
      <w:r w:rsidRPr="006B42D6">
        <w:rPr>
          <w:w w:val="105"/>
        </w:rPr>
        <w:t>).</w:t>
      </w:r>
    </w:p>
    <w:p w14:paraId="6C8F2C9A" w14:textId="77777777" w:rsidR="005A5465" w:rsidRPr="006B42D6" w:rsidRDefault="005A5465" w:rsidP="0085694C">
      <w:pPr>
        <w:tabs>
          <w:tab w:val="left" w:pos="1702"/>
        </w:tabs>
        <w:adjustRightInd w:val="0"/>
        <w:spacing w:before="20" w:line="240" w:lineRule="auto"/>
        <w:ind w:left="360"/>
        <w:rPr>
          <w:spacing w:val="-2"/>
        </w:rPr>
      </w:pPr>
    </w:p>
    <w:p w14:paraId="72DEF0BF" w14:textId="4937E8F1" w:rsidR="000E1363" w:rsidRPr="006B42D6" w:rsidRDefault="000E1363" w:rsidP="005A5465">
      <w:pPr>
        <w:pStyle w:val="ColorfulList-Accent11"/>
        <w:widowControl w:val="0"/>
        <w:numPr>
          <w:ilvl w:val="0"/>
          <w:numId w:val="4"/>
        </w:numPr>
        <w:autoSpaceDE w:val="0"/>
        <w:autoSpaceDN w:val="0"/>
        <w:adjustRightInd w:val="0"/>
        <w:spacing w:before="20" w:after="0" w:line="360" w:lineRule="auto"/>
        <w:rPr>
          <w:rFonts w:ascii="Times New Roman Bold" w:hAnsi="Times New Roman Bold" w:cs="Times New Roman Bold"/>
          <w:b/>
          <w:sz w:val="24"/>
          <w:szCs w:val="24"/>
        </w:rPr>
      </w:pPr>
      <w:r w:rsidRPr="006B42D6">
        <w:rPr>
          <w:rFonts w:ascii="Times New Roman Bold" w:hAnsi="Times New Roman Bold" w:cs="Times New Roman Bold"/>
          <w:b/>
          <w:sz w:val="24"/>
          <w:szCs w:val="24"/>
        </w:rPr>
        <w:t xml:space="preserve">Contagious Caprine Pleuropneumonia (CCPP) Disease </w:t>
      </w:r>
    </w:p>
    <w:p w14:paraId="1C57A5A0" w14:textId="52298BA5" w:rsidR="00DE10F8" w:rsidRDefault="00DE10F8" w:rsidP="00DE10F8">
      <w:pPr>
        <w:tabs>
          <w:tab w:val="left" w:pos="1702"/>
        </w:tabs>
        <w:adjustRightInd w:val="0"/>
        <w:spacing w:before="20"/>
        <w:ind w:left="360"/>
        <w:rPr>
          <w:w w:val="105"/>
        </w:rPr>
      </w:pPr>
      <w:r w:rsidRPr="006B42D6">
        <w:rPr>
          <w:w w:val="105"/>
        </w:rPr>
        <w:t xml:space="preserve">The </w:t>
      </w:r>
      <w:r w:rsidRPr="00141395">
        <w:t>total</w:t>
      </w:r>
      <w:r w:rsidRPr="006B42D6">
        <w:rPr>
          <w:w w:val="105"/>
        </w:rPr>
        <w:t xml:space="preserve"> number of households reporting infection of CCPP disease to their goats was 274,874 (274,016 in </w:t>
      </w:r>
      <w:r w:rsidR="00EA1552">
        <w:rPr>
          <w:lang w:eastAsia="en-GB"/>
        </w:rPr>
        <w:t>Mainland Tanzania</w:t>
      </w:r>
      <w:r w:rsidRPr="006B42D6">
        <w:rPr>
          <w:w w:val="105"/>
        </w:rPr>
        <w:t xml:space="preserve"> and 858 in </w:t>
      </w:r>
      <w:r w:rsidR="00327632" w:rsidRPr="006B42D6">
        <w:rPr>
          <w:lang w:eastAsia="en-GB"/>
        </w:rPr>
        <w:t xml:space="preserve">Tanzania </w:t>
      </w:r>
      <w:r w:rsidRPr="006B42D6">
        <w:rPr>
          <w:w w:val="105"/>
        </w:rPr>
        <w:t xml:space="preserve">Zanzibar), which represents 15.1 percent of the total goat keeping households during </w:t>
      </w:r>
      <w:r w:rsidR="005E72D5" w:rsidRPr="006B42D6">
        <w:rPr>
          <w:w w:val="105"/>
        </w:rPr>
        <w:t xml:space="preserve">the </w:t>
      </w:r>
      <w:r w:rsidR="00617341" w:rsidRPr="006B42D6">
        <w:rPr>
          <w:w w:val="105"/>
        </w:rPr>
        <w:t>2019/20 a</w:t>
      </w:r>
      <w:r w:rsidRPr="006B42D6">
        <w:rPr>
          <w:w w:val="105"/>
        </w:rPr>
        <w:t xml:space="preserve">gricultural year. </w:t>
      </w:r>
    </w:p>
    <w:p w14:paraId="1EDF20CB" w14:textId="77777777" w:rsidR="000C32CB" w:rsidRPr="006B42D6" w:rsidRDefault="000C32CB" w:rsidP="00141395">
      <w:pPr>
        <w:tabs>
          <w:tab w:val="left" w:pos="1702"/>
        </w:tabs>
        <w:adjustRightInd w:val="0"/>
        <w:spacing w:before="20" w:line="240" w:lineRule="auto"/>
        <w:ind w:left="360"/>
        <w:rPr>
          <w:w w:val="105"/>
        </w:rPr>
      </w:pPr>
    </w:p>
    <w:p w14:paraId="7CFF467F" w14:textId="09D33DD3" w:rsidR="00DE10F8" w:rsidRPr="006B42D6" w:rsidRDefault="00DE10F8" w:rsidP="00DE10F8">
      <w:pPr>
        <w:tabs>
          <w:tab w:val="left" w:pos="1702"/>
        </w:tabs>
        <w:adjustRightInd w:val="0"/>
        <w:spacing w:before="20"/>
        <w:ind w:left="360"/>
        <w:rPr>
          <w:w w:val="105"/>
        </w:rPr>
      </w:pPr>
      <w:r w:rsidRPr="006B42D6">
        <w:rPr>
          <w:w w:val="103"/>
        </w:rPr>
        <w:lastRenderedPageBreak/>
        <w:t xml:space="preserve">A total number of </w:t>
      </w:r>
      <w:r w:rsidRPr="006B42D6">
        <w:rPr>
          <w:w w:val="105"/>
        </w:rPr>
        <w:t xml:space="preserve">3,314,888 goats </w:t>
      </w:r>
      <w:r w:rsidRPr="006B42D6">
        <w:rPr>
          <w:w w:val="103"/>
        </w:rPr>
        <w:t xml:space="preserve">were </w:t>
      </w:r>
      <w:r w:rsidRPr="006B42D6">
        <w:rPr>
          <w:w w:val="105"/>
        </w:rPr>
        <w:t>reported to be infected with CCPP disease,</w:t>
      </w:r>
      <w:r w:rsidRPr="006B42D6">
        <w:rPr>
          <w:w w:val="103"/>
        </w:rPr>
        <w:t xml:space="preserve"> of which </w:t>
      </w:r>
      <w:r w:rsidRPr="006B42D6">
        <w:rPr>
          <w:w w:val="105"/>
        </w:rPr>
        <w:t xml:space="preserve">3,311,890 goats </w:t>
      </w:r>
      <w:r w:rsidRPr="006B42D6">
        <w:rPr>
          <w:spacing w:val="-2"/>
        </w:rPr>
        <w:t xml:space="preserve">in </w:t>
      </w:r>
      <w:r w:rsidR="00EA1552">
        <w:rPr>
          <w:lang w:eastAsia="en-GB"/>
        </w:rPr>
        <w:t>Mainland Tanzania</w:t>
      </w:r>
      <w:r w:rsidRPr="006B42D6">
        <w:rPr>
          <w:spacing w:val="-2"/>
        </w:rPr>
        <w:t xml:space="preserve"> and 2,998 in </w:t>
      </w:r>
      <w:r w:rsidR="00327632" w:rsidRPr="006B42D6">
        <w:rPr>
          <w:lang w:eastAsia="en-GB"/>
        </w:rPr>
        <w:t xml:space="preserve">Tanzania </w:t>
      </w:r>
      <w:r w:rsidRPr="006B42D6">
        <w:rPr>
          <w:spacing w:val="-2"/>
        </w:rPr>
        <w:t xml:space="preserve">Zanzibar. In </w:t>
      </w:r>
      <w:r w:rsidR="00EA1552">
        <w:rPr>
          <w:lang w:eastAsia="en-GB"/>
        </w:rPr>
        <w:t>Mainland Tanzania</w:t>
      </w:r>
      <w:r w:rsidRPr="006B42D6">
        <w:rPr>
          <w:spacing w:val="-2"/>
        </w:rPr>
        <w:t xml:space="preserve">, Arusha region had the highest </w:t>
      </w:r>
      <w:r w:rsidRPr="006B42D6">
        <w:rPr>
          <w:w w:val="105"/>
        </w:rPr>
        <w:t>proportion of goats infected with CCPP disease (</w:t>
      </w:r>
      <w:r w:rsidRPr="006B42D6">
        <w:rPr>
          <w:spacing w:val="-2"/>
        </w:rPr>
        <w:t xml:space="preserve">510,165; 15.4 percent), </w:t>
      </w:r>
      <w:r w:rsidRPr="006B42D6">
        <w:rPr>
          <w:w w:val="105"/>
        </w:rPr>
        <w:t>followed by Manyara (402,315; 12.1 percent) and Dodoma (365,234; 11.0 percent). The lowest proportion of goats infected was reported in Njombe region (551; 0.02 percent)</w:t>
      </w:r>
    </w:p>
    <w:p w14:paraId="68407C68" w14:textId="1A89F878" w:rsidR="00DE10F8" w:rsidRPr="006B42D6" w:rsidRDefault="00DE10F8" w:rsidP="00BE2060">
      <w:pPr>
        <w:tabs>
          <w:tab w:val="left" w:pos="1702"/>
        </w:tabs>
        <w:adjustRightInd w:val="0"/>
        <w:spacing w:before="20" w:line="240" w:lineRule="auto"/>
        <w:ind w:left="360"/>
        <w:rPr>
          <w:w w:val="105"/>
        </w:rPr>
      </w:pPr>
    </w:p>
    <w:p w14:paraId="544ED37A" w14:textId="5BC8A884" w:rsidR="00637709" w:rsidRPr="006B42D6" w:rsidRDefault="00DE10F8" w:rsidP="00637709">
      <w:pPr>
        <w:tabs>
          <w:tab w:val="left" w:pos="1702"/>
        </w:tabs>
        <w:adjustRightInd w:val="0"/>
        <w:spacing w:before="20"/>
        <w:ind w:left="360"/>
        <w:rPr>
          <w:w w:val="105"/>
        </w:rPr>
      </w:pPr>
      <w:r w:rsidRPr="006B42D6">
        <w:rPr>
          <w:spacing w:val="-2"/>
        </w:rPr>
        <w:t xml:space="preserve">In </w:t>
      </w:r>
      <w:r w:rsidR="00327632" w:rsidRPr="006B42D6">
        <w:rPr>
          <w:lang w:eastAsia="en-GB"/>
        </w:rPr>
        <w:t xml:space="preserve">Tanzania </w:t>
      </w:r>
      <w:r w:rsidRPr="006B42D6">
        <w:rPr>
          <w:spacing w:val="-2"/>
        </w:rPr>
        <w:t xml:space="preserve">Zanzibar, Kusini Unguja region had the highest number of goats infected with </w:t>
      </w:r>
      <w:r w:rsidRPr="006B42D6">
        <w:rPr>
          <w:w w:val="105"/>
        </w:rPr>
        <w:t>CCPP disease (</w:t>
      </w:r>
      <w:r w:rsidRPr="006B42D6">
        <w:rPr>
          <w:spacing w:val="-2"/>
        </w:rPr>
        <w:t xml:space="preserve">1,185; 39.5 percent), followed by Kaskazini Unguja (998; 33.3 percent) and Mjini Magharibi (592; 19.7 percent). </w:t>
      </w:r>
      <w:r w:rsidRPr="006B42D6">
        <w:rPr>
          <w:w w:val="105"/>
        </w:rPr>
        <w:t>The lowest proportion of goats infect</w:t>
      </w:r>
      <w:r w:rsidR="00637709" w:rsidRPr="006B42D6">
        <w:rPr>
          <w:w w:val="105"/>
        </w:rPr>
        <w:t>ed</w:t>
      </w:r>
      <w:r w:rsidRPr="006B42D6">
        <w:rPr>
          <w:w w:val="105"/>
        </w:rPr>
        <w:t xml:space="preserve"> was reported in Kaskazini Pemba region (223; 7.4 percent)</w:t>
      </w:r>
      <w:r w:rsidR="00CC2F05" w:rsidRPr="006B42D6">
        <w:rPr>
          <w:w w:val="105"/>
        </w:rPr>
        <w:t xml:space="preserve"> (Map 4.1</w:t>
      </w:r>
      <w:r w:rsidR="00617341" w:rsidRPr="006B42D6">
        <w:rPr>
          <w:w w:val="105"/>
        </w:rPr>
        <w:t>5</w:t>
      </w:r>
      <w:r w:rsidR="00CC2F05" w:rsidRPr="006B42D6">
        <w:rPr>
          <w:w w:val="105"/>
        </w:rPr>
        <w:t>).</w:t>
      </w:r>
    </w:p>
    <w:p w14:paraId="0BDCF1E0" w14:textId="77777777" w:rsidR="00FF10A4" w:rsidRPr="006B42D6" w:rsidRDefault="00FF10A4" w:rsidP="00637709">
      <w:pPr>
        <w:tabs>
          <w:tab w:val="left" w:pos="1702"/>
        </w:tabs>
        <w:adjustRightInd w:val="0"/>
        <w:spacing w:before="20"/>
        <w:ind w:left="360"/>
        <w:rPr>
          <w:w w:val="105"/>
        </w:rPr>
      </w:pPr>
    </w:p>
    <w:p w14:paraId="12A2B308" w14:textId="1E9AFBE9" w:rsidR="000E1363" w:rsidRPr="002261ED" w:rsidRDefault="000E1363" w:rsidP="00BE2060">
      <w:pPr>
        <w:pStyle w:val="MapNew"/>
        <w:ind w:hanging="996"/>
      </w:pPr>
      <w:bookmarkStart w:id="651" w:name="_Toc80902570"/>
      <w:bookmarkStart w:id="652" w:name="_Toc82386488"/>
      <w:r w:rsidRPr="002261ED">
        <w:t xml:space="preserve">Map </w:t>
      </w:r>
      <w:r w:rsidR="00CC2F05" w:rsidRPr="002261ED">
        <w:t>4.1</w:t>
      </w:r>
      <w:r w:rsidR="00617341" w:rsidRPr="002261ED">
        <w:t>5</w:t>
      </w:r>
      <w:r w:rsidR="00141395">
        <w:t>:</w:t>
      </w:r>
      <w:r w:rsidR="00141395">
        <w:tab/>
      </w:r>
      <w:r w:rsidRPr="002261ED">
        <w:t xml:space="preserve">Number of Households </w:t>
      </w:r>
      <w:r w:rsidR="00617341" w:rsidRPr="002261ED">
        <w:t>Reported</w:t>
      </w:r>
      <w:r w:rsidRPr="002261ED">
        <w:t xml:space="preserve"> CCPP </w:t>
      </w:r>
      <w:r w:rsidR="00CC2F05" w:rsidRPr="002261ED">
        <w:t>D</w:t>
      </w:r>
      <w:r w:rsidRPr="002261ED">
        <w:t xml:space="preserve">isease </w:t>
      </w:r>
      <w:r w:rsidR="00617341" w:rsidRPr="002261ED">
        <w:t xml:space="preserve">Infections </w:t>
      </w:r>
      <w:r w:rsidR="00CC2F05" w:rsidRPr="002261ED">
        <w:t>D</w:t>
      </w:r>
      <w:r w:rsidRPr="002261ED">
        <w:t xml:space="preserve">uring 2019/20 Agricultural </w:t>
      </w:r>
      <w:r w:rsidR="00CC2F05" w:rsidRPr="002261ED">
        <w:t>Y</w:t>
      </w:r>
      <w:r w:rsidRPr="002261ED">
        <w:t>ear</w:t>
      </w:r>
      <w:r w:rsidR="00327632" w:rsidRPr="002261ED">
        <w:t>, Tanzania</w:t>
      </w:r>
      <w:bookmarkEnd w:id="651"/>
      <w:bookmarkEnd w:id="652"/>
    </w:p>
    <w:p w14:paraId="605C19E3" w14:textId="68D1AEFD" w:rsidR="000E1363" w:rsidRPr="006B42D6" w:rsidRDefault="00890203" w:rsidP="00637709">
      <w:pPr>
        <w:tabs>
          <w:tab w:val="left" w:pos="1702"/>
        </w:tabs>
        <w:adjustRightInd w:val="0"/>
        <w:spacing w:before="20"/>
        <w:rPr>
          <w:b/>
          <w:spacing w:val="-2"/>
        </w:rPr>
      </w:pPr>
      <w:r>
        <w:rPr>
          <w:noProof/>
        </w:rPr>
        <w:drawing>
          <wp:inline distT="0" distB="0" distL="0" distR="0" wp14:anchorId="4F32FFD1" wp14:editId="252F8CC1">
            <wp:extent cx="5912069" cy="4221480"/>
            <wp:effectExtent l="0" t="0" r="6350" b="0"/>
            <wp:docPr id="4377" name="Picture 4377"/>
            <wp:cNvGraphicFramePr/>
            <a:graphic xmlns:a="http://schemas.openxmlformats.org/drawingml/2006/main">
              <a:graphicData uri="http://schemas.openxmlformats.org/drawingml/2006/picture">
                <pic:pic xmlns:pic="http://schemas.openxmlformats.org/drawingml/2006/picture">
                  <pic:nvPicPr>
                    <pic:cNvPr id="4377" name="Picture 4377"/>
                    <pic:cNvPicPr/>
                  </pic:nvPicPr>
                  <pic:blipFill>
                    <a:blip r:embed="rId302"/>
                    <a:stretch>
                      <a:fillRect/>
                    </a:stretch>
                  </pic:blipFill>
                  <pic:spPr>
                    <a:xfrm>
                      <a:off x="0" y="0"/>
                      <a:ext cx="5915462" cy="4223903"/>
                    </a:xfrm>
                    <a:prstGeom prst="rect">
                      <a:avLst/>
                    </a:prstGeom>
                  </pic:spPr>
                </pic:pic>
              </a:graphicData>
            </a:graphic>
          </wp:inline>
        </w:drawing>
      </w:r>
    </w:p>
    <w:p w14:paraId="197147BA" w14:textId="1FAA55CF" w:rsidR="00135766" w:rsidRDefault="00135766">
      <w:pPr>
        <w:spacing w:line="240" w:lineRule="auto"/>
        <w:contextualSpacing w:val="0"/>
        <w:jc w:val="left"/>
        <w:rPr>
          <w:b/>
          <w:spacing w:val="-2"/>
        </w:rPr>
      </w:pPr>
      <w:r>
        <w:rPr>
          <w:b/>
          <w:spacing w:val="-2"/>
        </w:rPr>
        <w:br w:type="page"/>
      </w:r>
    </w:p>
    <w:p w14:paraId="4EB58398" w14:textId="77777777" w:rsidR="000E1363" w:rsidRPr="006B42D6" w:rsidRDefault="000E1363" w:rsidP="005A5465">
      <w:pPr>
        <w:pStyle w:val="ColorfulList-Accent11"/>
        <w:widowControl w:val="0"/>
        <w:numPr>
          <w:ilvl w:val="0"/>
          <w:numId w:val="4"/>
        </w:numPr>
        <w:autoSpaceDE w:val="0"/>
        <w:autoSpaceDN w:val="0"/>
        <w:adjustRightInd w:val="0"/>
        <w:spacing w:before="20" w:after="0" w:line="360" w:lineRule="auto"/>
        <w:rPr>
          <w:rFonts w:ascii="Times New Roman Bold" w:hAnsi="Times New Roman Bold" w:cs="Times New Roman Bold"/>
          <w:b/>
          <w:sz w:val="24"/>
          <w:szCs w:val="24"/>
        </w:rPr>
      </w:pPr>
      <w:r w:rsidRPr="006B42D6">
        <w:rPr>
          <w:rFonts w:ascii="Times New Roman Bold" w:hAnsi="Times New Roman Bold" w:cs="Times New Roman Bold"/>
          <w:b/>
          <w:sz w:val="24"/>
          <w:szCs w:val="24"/>
        </w:rPr>
        <w:lastRenderedPageBreak/>
        <w:t xml:space="preserve">Brucellosis Disease </w:t>
      </w:r>
    </w:p>
    <w:p w14:paraId="2EF568E0" w14:textId="324E17D1" w:rsidR="00617341" w:rsidRDefault="00543A1E" w:rsidP="00543A1E">
      <w:pPr>
        <w:tabs>
          <w:tab w:val="left" w:pos="1702"/>
        </w:tabs>
        <w:adjustRightInd w:val="0"/>
        <w:spacing w:before="20"/>
        <w:ind w:left="360"/>
        <w:rPr>
          <w:w w:val="105"/>
        </w:rPr>
      </w:pPr>
      <w:r w:rsidRPr="006B42D6">
        <w:rPr>
          <w:w w:val="105"/>
        </w:rPr>
        <w:t xml:space="preserve">The total number of households reported Brucellosis disease infections to their goats was 134,999 (133,989 in </w:t>
      </w:r>
      <w:r w:rsidR="00EA1552">
        <w:rPr>
          <w:lang w:eastAsia="en-GB"/>
        </w:rPr>
        <w:t>Mainland Tanzania</w:t>
      </w:r>
      <w:r w:rsidRPr="006B42D6">
        <w:rPr>
          <w:w w:val="105"/>
        </w:rPr>
        <w:t xml:space="preserve"> and 1,010 in </w:t>
      </w:r>
      <w:r w:rsidR="00327632" w:rsidRPr="006B42D6">
        <w:rPr>
          <w:lang w:eastAsia="en-GB"/>
        </w:rPr>
        <w:t xml:space="preserve">Tanzania </w:t>
      </w:r>
      <w:r w:rsidRPr="006B42D6">
        <w:rPr>
          <w:w w:val="105"/>
        </w:rPr>
        <w:t>Zanzibar), which represents 7.4 percent of the total goat keeping households during</w:t>
      </w:r>
      <w:r w:rsidR="00617341" w:rsidRPr="006B42D6">
        <w:rPr>
          <w:w w:val="105"/>
        </w:rPr>
        <w:t xml:space="preserve"> </w:t>
      </w:r>
      <w:r w:rsidR="005E72D5" w:rsidRPr="006B42D6">
        <w:rPr>
          <w:w w:val="105"/>
        </w:rPr>
        <w:t xml:space="preserve">the </w:t>
      </w:r>
      <w:r w:rsidR="00617341" w:rsidRPr="006B42D6">
        <w:rPr>
          <w:w w:val="105"/>
        </w:rPr>
        <w:t>2019/20</w:t>
      </w:r>
      <w:r w:rsidRPr="006B42D6">
        <w:rPr>
          <w:w w:val="105"/>
        </w:rPr>
        <w:t xml:space="preserve"> </w:t>
      </w:r>
      <w:r w:rsidR="00617341" w:rsidRPr="006B42D6">
        <w:rPr>
          <w:w w:val="105"/>
        </w:rPr>
        <w:t>a</w:t>
      </w:r>
      <w:r w:rsidRPr="006B42D6">
        <w:rPr>
          <w:w w:val="105"/>
        </w:rPr>
        <w:t xml:space="preserve">gricultural year. </w:t>
      </w:r>
    </w:p>
    <w:p w14:paraId="78F47A66" w14:textId="77777777" w:rsidR="000C32CB" w:rsidRPr="00135766" w:rsidRDefault="000C32CB" w:rsidP="00141395">
      <w:pPr>
        <w:tabs>
          <w:tab w:val="left" w:pos="1702"/>
        </w:tabs>
        <w:adjustRightInd w:val="0"/>
        <w:spacing w:before="20" w:line="240" w:lineRule="auto"/>
        <w:ind w:left="360"/>
        <w:rPr>
          <w:w w:val="105"/>
        </w:rPr>
      </w:pPr>
    </w:p>
    <w:p w14:paraId="6132294F" w14:textId="56089436" w:rsidR="00543A1E" w:rsidRDefault="00543A1E" w:rsidP="00543A1E">
      <w:pPr>
        <w:tabs>
          <w:tab w:val="left" w:pos="1702"/>
        </w:tabs>
        <w:adjustRightInd w:val="0"/>
        <w:spacing w:before="20"/>
        <w:ind w:left="360"/>
        <w:rPr>
          <w:w w:val="105"/>
        </w:rPr>
      </w:pPr>
      <w:r w:rsidRPr="006B42D6">
        <w:rPr>
          <w:w w:val="103"/>
        </w:rPr>
        <w:t xml:space="preserve">A total number of </w:t>
      </w:r>
      <w:r w:rsidRPr="006B42D6">
        <w:rPr>
          <w:w w:val="105"/>
        </w:rPr>
        <w:t xml:space="preserve">579,250 goats </w:t>
      </w:r>
      <w:r w:rsidRPr="006B42D6">
        <w:rPr>
          <w:w w:val="103"/>
        </w:rPr>
        <w:t xml:space="preserve">were </w:t>
      </w:r>
      <w:r w:rsidRPr="006B42D6">
        <w:rPr>
          <w:w w:val="105"/>
        </w:rPr>
        <w:t xml:space="preserve">reported to be affected with </w:t>
      </w:r>
      <w:r w:rsidR="006A3706">
        <w:rPr>
          <w:w w:val="105"/>
        </w:rPr>
        <w:t>b</w:t>
      </w:r>
      <w:r w:rsidRPr="006B42D6">
        <w:rPr>
          <w:w w:val="105"/>
        </w:rPr>
        <w:t>rucellosis problem,</w:t>
      </w:r>
      <w:r w:rsidRPr="006B42D6">
        <w:rPr>
          <w:w w:val="103"/>
        </w:rPr>
        <w:t xml:space="preserve"> of which </w:t>
      </w:r>
      <w:r w:rsidRPr="006B42D6">
        <w:rPr>
          <w:w w:val="105"/>
        </w:rPr>
        <w:t xml:space="preserve">577,695 goats </w:t>
      </w:r>
      <w:r w:rsidRPr="006B42D6">
        <w:rPr>
          <w:spacing w:val="-2"/>
        </w:rPr>
        <w:t xml:space="preserve">in </w:t>
      </w:r>
      <w:r w:rsidR="00EA1552">
        <w:rPr>
          <w:lang w:eastAsia="en-GB"/>
        </w:rPr>
        <w:t>Mainland Tanzania</w:t>
      </w:r>
      <w:r w:rsidRPr="006B42D6">
        <w:rPr>
          <w:spacing w:val="-2"/>
        </w:rPr>
        <w:t xml:space="preserve"> and 1,555 in </w:t>
      </w:r>
      <w:r w:rsidR="00327632" w:rsidRPr="006B42D6">
        <w:rPr>
          <w:lang w:eastAsia="en-GB"/>
        </w:rPr>
        <w:t xml:space="preserve">Tanzania </w:t>
      </w:r>
      <w:r w:rsidRPr="006B42D6">
        <w:rPr>
          <w:spacing w:val="-2"/>
        </w:rPr>
        <w:t xml:space="preserve">Zanzibar. In </w:t>
      </w:r>
      <w:r w:rsidR="00EA1552">
        <w:rPr>
          <w:lang w:eastAsia="en-GB"/>
        </w:rPr>
        <w:t>Mainland Tanzania</w:t>
      </w:r>
      <w:r w:rsidRPr="006B42D6">
        <w:rPr>
          <w:spacing w:val="-2"/>
        </w:rPr>
        <w:t xml:space="preserve">, Kilimanjaro region had the highest </w:t>
      </w:r>
      <w:r w:rsidRPr="006B42D6">
        <w:rPr>
          <w:w w:val="105"/>
        </w:rPr>
        <w:t xml:space="preserve">proportion of goats infected with </w:t>
      </w:r>
      <w:r w:rsidR="006A3706">
        <w:rPr>
          <w:w w:val="105"/>
        </w:rPr>
        <w:t>b</w:t>
      </w:r>
      <w:r w:rsidRPr="006B42D6">
        <w:rPr>
          <w:w w:val="105"/>
        </w:rPr>
        <w:t>rucellosis disease (</w:t>
      </w:r>
      <w:r w:rsidRPr="006B42D6">
        <w:rPr>
          <w:spacing w:val="-2"/>
        </w:rPr>
        <w:t xml:space="preserve">71,811; 12.4 percent), </w:t>
      </w:r>
      <w:r w:rsidRPr="006B42D6">
        <w:rPr>
          <w:w w:val="105"/>
        </w:rPr>
        <w:t>followed by Arusha (65,804; 11.4 percent) and Tanga (63,211; 10.9 percent). The lowest proportion of goats’ infections was reported in Katavi region (948; 0.2 percent).</w:t>
      </w:r>
    </w:p>
    <w:p w14:paraId="5C67B383" w14:textId="77777777" w:rsidR="00543A1E" w:rsidRPr="00135766" w:rsidRDefault="00543A1E" w:rsidP="00BE2060">
      <w:pPr>
        <w:spacing w:line="240" w:lineRule="auto"/>
        <w:rPr>
          <w:w w:val="105"/>
        </w:rPr>
      </w:pPr>
    </w:p>
    <w:p w14:paraId="59CF0792" w14:textId="2C37990A" w:rsidR="005A5465" w:rsidRDefault="00543A1E" w:rsidP="00AC6872">
      <w:pPr>
        <w:tabs>
          <w:tab w:val="left" w:pos="1702"/>
        </w:tabs>
        <w:adjustRightInd w:val="0"/>
        <w:spacing w:before="20"/>
        <w:ind w:left="360"/>
        <w:rPr>
          <w:w w:val="105"/>
        </w:rPr>
      </w:pPr>
      <w:r w:rsidRPr="006B42D6">
        <w:rPr>
          <w:spacing w:val="-2"/>
        </w:rPr>
        <w:t xml:space="preserve">In </w:t>
      </w:r>
      <w:r w:rsidR="00327632" w:rsidRPr="006B42D6">
        <w:rPr>
          <w:lang w:eastAsia="en-GB"/>
        </w:rPr>
        <w:t xml:space="preserve">Tanzania </w:t>
      </w:r>
      <w:r w:rsidRPr="006B42D6">
        <w:rPr>
          <w:spacing w:val="-2"/>
        </w:rPr>
        <w:t xml:space="preserve">Zanzibar, Kusini Pemba region had the largest number of goats infected with </w:t>
      </w:r>
      <w:r w:rsidR="006A3706">
        <w:rPr>
          <w:w w:val="105"/>
        </w:rPr>
        <w:t>b</w:t>
      </w:r>
      <w:r w:rsidRPr="006B42D6">
        <w:rPr>
          <w:w w:val="105"/>
        </w:rPr>
        <w:t>rucellosis disease</w:t>
      </w:r>
      <w:r w:rsidRPr="006B42D6">
        <w:rPr>
          <w:spacing w:val="-2"/>
        </w:rPr>
        <w:t xml:space="preserve"> (605; 38.9 percent), followed by Kusini Unguja (376; 24.2 percent) and Mjini Magharibi (296; 19.0 percent). </w:t>
      </w:r>
      <w:r w:rsidRPr="006B42D6">
        <w:rPr>
          <w:w w:val="105"/>
        </w:rPr>
        <w:t>The lowest proportion of goats infected was reported in Kaskazini Pemba region (105; 6.8 percent)</w:t>
      </w:r>
      <w:r w:rsidR="00CC2F05" w:rsidRPr="006B42D6">
        <w:rPr>
          <w:w w:val="105"/>
        </w:rPr>
        <w:t xml:space="preserve"> (Map 4.1</w:t>
      </w:r>
      <w:r w:rsidR="00617341" w:rsidRPr="006B42D6">
        <w:rPr>
          <w:w w:val="105"/>
        </w:rPr>
        <w:t>6</w:t>
      </w:r>
      <w:r w:rsidR="00CC2F05" w:rsidRPr="006B42D6">
        <w:rPr>
          <w:w w:val="105"/>
        </w:rPr>
        <w:t>)</w:t>
      </w:r>
      <w:r w:rsidRPr="006B42D6">
        <w:rPr>
          <w:w w:val="105"/>
        </w:rPr>
        <w:t>.</w:t>
      </w:r>
    </w:p>
    <w:p w14:paraId="6BF6CEB3" w14:textId="6CBE3D67" w:rsidR="00135766" w:rsidRDefault="00135766">
      <w:pPr>
        <w:spacing w:line="240" w:lineRule="auto"/>
        <w:contextualSpacing w:val="0"/>
        <w:jc w:val="left"/>
        <w:rPr>
          <w:w w:val="105"/>
        </w:rPr>
      </w:pPr>
      <w:r>
        <w:rPr>
          <w:w w:val="105"/>
        </w:rPr>
        <w:br w:type="page"/>
      </w:r>
    </w:p>
    <w:p w14:paraId="159E65BA" w14:textId="03DF4EDE" w:rsidR="000E1363" w:rsidRPr="00A33C6E" w:rsidRDefault="000E1363" w:rsidP="00A33C6E">
      <w:pPr>
        <w:pStyle w:val="MapNew"/>
      </w:pPr>
      <w:bookmarkStart w:id="653" w:name="_Toc80902571"/>
      <w:bookmarkStart w:id="654" w:name="_Toc82386489"/>
      <w:r w:rsidRPr="00A33C6E">
        <w:lastRenderedPageBreak/>
        <w:t xml:space="preserve">Map </w:t>
      </w:r>
      <w:r w:rsidR="00CC2F05" w:rsidRPr="00A33C6E">
        <w:t>4.1</w:t>
      </w:r>
      <w:r w:rsidR="00617341" w:rsidRPr="00A33C6E">
        <w:t>6</w:t>
      </w:r>
      <w:r w:rsidR="00141395" w:rsidRPr="00A33C6E">
        <w:t>:</w:t>
      </w:r>
      <w:r w:rsidR="000C32CB" w:rsidRPr="00A33C6E">
        <w:tab/>
      </w:r>
      <w:r w:rsidR="002261ED" w:rsidRPr="00A33C6E">
        <w:tab/>
      </w:r>
      <w:r w:rsidRPr="00A33C6E">
        <w:t xml:space="preserve">Number of Households </w:t>
      </w:r>
      <w:r w:rsidR="00617341" w:rsidRPr="00A33C6E">
        <w:t>Reported</w:t>
      </w:r>
      <w:r w:rsidRPr="00A33C6E">
        <w:t xml:space="preserve"> Brucellosis </w:t>
      </w:r>
      <w:r w:rsidR="00617341" w:rsidRPr="00A33C6E">
        <w:t>D</w:t>
      </w:r>
      <w:r w:rsidRPr="00A33C6E">
        <w:t>isease</w:t>
      </w:r>
      <w:r w:rsidR="00617341" w:rsidRPr="00A33C6E">
        <w:t xml:space="preserve"> Infections</w:t>
      </w:r>
      <w:r w:rsidRPr="00A33C6E">
        <w:t xml:space="preserve"> </w:t>
      </w:r>
      <w:r w:rsidR="00617341" w:rsidRPr="00A33C6E">
        <w:t>D</w:t>
      </w:r>
      <w:r w:rsidRPr="00A33C6E">
        <w:t xml:space="preserve">uring 2019/20 Agricultural </w:t>
      </w:r>
      <w:r w:rsidR="00327632" w:rsidRPr="00A33C6E">
        <w:t>Y</w:t>
      </w:r>
      <w:r w:rsidRPr="00A33C6E">
        <w:t>ear</w:t>
      </w:r>
      <w:r w:rsidR="00327632" w:rsidRPr="00A33C6E">
        <w:t>, Tanzania</w:t>
      </w:r>
      <w:bookmarkEnd w:id="653"/>
      <w:bookmarkEnd w:id="654"/>
    </w:p>
    <w:p w14:paraId="078AA825" w14:textId="20556173" w:rsidR="00D00A0B" w:rsidRPr="006B42D6" w:rsidRDefault="00890203" w:rsidP="00A33C6E">
      <w:pPr>
        <w:tabs>
          <w:tab w:val="left" w:pos="5993"/>
          <w:tab w:val="left" w:pos="8355"/>
        </w:tabs>
        <w:adjustRightInd w:val="0"/>
        <w:spacing w:before="106"/>
        <w:ind w:right="-472"/>
      </w:pPr>
      <w:r>
        <w:rPr>
          <w:noProof/>
        </w:rPr>
        <w:drawing>
          <wp:inline distT="0" distB="0" distL="0" distR="0" wp14:anchorId="068833AD" wp14:editId="547F04AA">
            <wp:extent cx="5707117" cy="4221108"/>
            <wp:effectExtent l="0" t="0" r="0" b="0"/>
            <wp:docPr id="4392" name="Picture 4392"/>
            <wp:cNvGraphicFramePr/>
            <a:graphic xmlns:a="http://schemas.openxmlformats.org/drawingml/2006/main">
              <a:graphicData uri="http://schemas.openxmlformats.org/drawingml/2006/picture">
                <pic:pic xmlns:pic="http://schemas.openxmlformats.org/drawingml/2006/picture">
                  <pic:nvPicPr>
                    <pic:cNvPr id="4392" name="Picture 4392"/>
                    <pic:cNvPicPr/>
                  </pic:nvPicPr>
                  <pic:blipFill>
                    <a:blip r:embed="rId303"/>
                    <a:stretch>
                      <a:fillRect/>
                    </a:stretch>
                  </pic:blipFill>
                  <pic:spPr>
                    <a:xfrm>
                      <a:off x="0" y="0"/>
                      <a:ext cx="5716690" cy="4228188"/>
                    </a:xfrm>
                    <a:prstGeom prst="rect">
                      <a:avLst/>
                    </a:prstGeom>
                  </pic:spPr>
                </pic:pic>
              </a:graphicData>
            </a:graphic>
          </wp:inline>
        </w:drawing>
      </w:r>
    </w:p>
    <w:p w14:paraId="6485B30C" w14:textId="77777777" w:rsidR="00617341" w:rsidRPr="006B42D6" w:rsidRDefault="00617341" w:rsidP="00141395">
      <w:pPr>
        <w:tabs>
          <w:tab w:val="left" w:pos="1702"/>
        </w:tabs>
        <w:adjustRightInd w:val="0"/>
        <w:spacing w:before="20" w:line="240" w:lineRule="auto"/>
        <w:ind w:left="360"/>
        <w:rPr>
          <w:w w:val="105"/>
        </w:rPr>
      </w:pPr>
    </w:p>
    <w:p w14:paraId="2193E78D" w14:textId="77777777" w:rsidR="000E1363" w:rsidRPr="006B42D6" w:rsidRDefault="000E1363" w:rsidP="005A5465">
      <w:pPr>
        <w:pStyle w:val="ColorfulList-Accent11"/>
        <w:widowControl w:val="0"/>
        <w:numPr>
          <w:ilvl w:val="0"/>
          <w:numId w:val="4"/>
        </w:numPr>
        <w:autoSpaceDE w:val="0"/>
        <w:autoSpaceDN w:val="0"/>
        <w:adjustRightInd w:val="0"/>
        <w:spacing w:before="20" w:after="0" w:line="360" w:lineRule="auto"/>
        <w:rPr>
          <w:rFonts w:ascii="Times New Roman Bold" w:hAnsi="Times New Roman Bold" w:cs="Times New Roman Bold"/>
          <w:b/>
          <w:sz w:val="24"/>
          <w:szCs w:val="24"/>
        </w:rPr>
      </w:pPr>
      <w:r w:rsidRPr="006B42D6">
        <w:rPr>
          <w:rFonts w:ascii="Times New Roman Bold" w:hAnsi="Times New Roman Bold" w:cs="Times New Roman Bold"/>
          <w:b/>
          <w:sz w:val="24"/>
          <w:szCs w:val="24"/>
        </w:rPr>
        <w:t>Foot and Mouth Disease (FMD)</w:t>
      </w:r>
    </w:p>
    <w:p w14:paraId="2B324FD7" w14:textId="77777777" w:rsidR="002261ED" w:rsidRDefault="0027533D" w:rsidP="002261ED">
      <w:pPr>
        <w:tabs>
          <w:tab w:val="left" w:pos="1702"/>
        </w:tabs>
        <w:adjustRightInd w:val="0"/>
        <w:spacing w:before="20"/>
        <w:ind w:left="360"/>
        <w:rPr>
          <w:spacing w:val="-2"/>
        </w:rPr>
      </w:pPr>
      <w:r w:rsidRPr="002261ED">
        <w:t>The total number of households reported FMD infections in their goats was 132,315 (129,562 in</w:t>
      </w:r>
      <w:r w:rsidRPr="006B42D6">
        <w:rPr>
          <w:w w:val="105"/>
        </w:rPr>
        <w:t xml:space="preserve"> </w:t>
      </w:r>
      <w:r w:rsidR="00EA1552" w:rsidRPr="002261ED">
        <w:t>Mainland Tanzania</w:t>
      </w:r>
      <w:r w:rsidRPr="002261ED">
        <w:t xml:space="preserve"> and 2,753 in </w:t>
      </w:r>
      <w:r w:rsidR="00327632" w:rsidRPr="002261ED">
        <w:t xml:space="preserve">Tanzania </w:t>
      </w:r>
      <w:r w:rsidRPr="002261ED">
        <w:t xml:space="preserve">Zanzibar), which represents 7.3 percent of the total goat keeping households during </w:t>
      </w:r>
      <w:r w:rsidR="005E72D5" w:rsidRPr="002261ED">
        <w:t xml:space="preserve">the </w:t>
      </w:r>
      <w:r w:rsidR="00617341" w:rsidRPr="002261ED">
        <w:t>2019/20 a</w:t>
      </w:r>
      <w:r w:rsidRPr="002261ED">
        <w:t xml:space="preserve">gricultural year. A total number of 1,252,315 goats were reported to be infected with FMD disease, of which 1,243,225 heads in </w:t>
      </w:r>
      <w:r w:rsidR="00EA1552" w:rsidRPr="002261ED">
        <w:t>Mainland Tanzania</w:t>
      </w:r>
      <w:r w:rsidRPr="002261ED">
        <w:t xml:space="preserve"> and 9,090 heads in </w:t>
      </w:r>
      <w:r w:rsidR="00327632" w:rsidRPr="002261ED">
        <w:t xml:space="preserve">Tanzania </w:t>
      </w:r>
      <w:r w:rsidRPr="002261ED">
        <w:t>Zanzibar.</w:t>
      </w:r>
      <w:r w:rsidRPr="006B42D6">
        <w:rPr>
          <w:spacing w:val="-2"/>
        </w:rPr>
        <w:t xml:space="preserve"> </w:t>
      </w:r>
    </w:p>
    <w:p w14:paraId="276B51CF" w14:textId="77777777" w:rsidR="002261ED" w:rsidRDefault="002261ED" w:rsidP="00141395">
      <w:pPr>
        <w:tabs>
          <w:tab w:val="left" w:pos="1702"/>
        </w:tabs>
        <w:adjustRightInd w:val="0"/>
        <w:spacing w:before="20" w:line="240" w:lineRule="auto"/>
        <w:ind w:left="360"/>
        <w:rPr>
          <w:spacing w:val="-2"/>
        </w:rPr>
      </w:pPr>
    </w:p>
    <w:p w14:paraId="2EE18934" w14:textId="27E2E02D" w:rsidR="000C32CB" w:rsidRPr="00135766" w:rsidRDefault="0027533D" w:rsidP="00135766">
      <w:pPr>
        <w:tabs>
          <w:tab w:val="left" w:pos="1702"/>
        </w:tabs>
        <w:adjustRightInd w:val="0"/>
        <w:spacing w:before="20"/>
        <w:ind w:left="360"/>
        <w:rPr>
          <w:spacing w:val="-2"/>
        </w:rPr>
      </w:pPr>
      <w:r w:rsidRPr="006B42D6">
        <w:rPr>
          <w:spacing w:val="-2"/>
        </w:rPr>
        <w:t xml:space="preserve">In </w:t>
      </w:r>
      <w:r w:rsidR="00EA1552">
        <w:rPr>
          <w:lang w:eastAsia="en-GB"/>
        </w:rPr>
        <w:t>Mainland Tanzania</w:t>
      </w:r>
      <w:r w:rsidRPr="006B42D6">
        <w:rPr>
          <w:spacing w:val="-2"/>
        </w:rPr>
        <w:t xml:space="preserve">, Arusha region had the largest </w:t>
      </w:r>
      <w:r w:rsidRPr="006B42D6">
        <w:rPr>
          <w:w w:val="105"/>
        </w:rPr>
        <w:t>number of goats infected with FMD disease</w:t>
      </w:r>
      <w:r w:rsidRPr="006B42D6">
        <w:rPr>
          <w:spacing w:val="-2"/>
        </w:rPr>
        <w:t xml:space="preserve"> (171,200; 13.8 percent), </w:t>
      </w:r>
      <w:r w:rsidRPr="006B42D6">
        <w:rPr>
          <w:w w:val="105"/>
        </w:rPr>
        <w:t>followed by Manyara (131,829; 10.6 percent) and Pwani (122,528; 9.9 percent). The lowest proportion of goats’ infections was reported in Njombe region (3,321; 0.3 percent).</w:t>
      </w:r>
      <w:r w:rsidR="00A26815" w:rsidRPr="006B42D6">
        <w:rPr>
          <w:w w:val="105"/>
        </w:rPr>
        <w:t xml:space="preserve"> </w:t>
      </w:r>
      <w:r w:rsidRPr="006B42D6">
        <w:rPr>
          <w:spacing w:val="-2"/>
        </w:rPr>
        <w:t xml:space="preserve">In </w:t>
      </w:r>
      <w:r w:rsidR="005E72D5" w:rsidRPr="006B42D6">
        <w:rPr>
          <w:spacing w:val="-2"/>
        </w:rPr>
        <w:t xml:space="preserve">Tanzania </w:t>
      </w:r>
      <w:r w:rsidRPr="006B42D6">
        <w:rPr>
          <w:spacing w:val="-2"/>
        </w:rPr>
        <w:t xml:space="preserve">Zanzibar, Kusini Pemba region had the largest number of goats infected by </w:t>
      </w:r>
      <w:r w:rsidRPr="006B42D6">
        <w:rPr>
          <w:w w:val="105"/>
        </w:rPr>
        <w:t>FMD disease</w:t>
      </w:r>
      <w:r w:rsidRPr="006B42D6">
        <w:rPr>
          <w:spacing w:val="-2"/>
        </w:rPr>
        <w:t xml:space="preserve"> (5,977; 65.8 percent), followed by Kaskazini Unguja (2,038; 22.4 percent) and Kaskazini Pemba (927; 10.2 percent). </w:t>
      </w:r>
      <w:r w:rsidRPr="006B42D6">
        <w:rPr>
          <w:w w:val="105"/>
        </w:rPr>
        <w:t>The lowest proportion of goats’ infections was reported in Kusini Unguja region (148; 1.6 percent)</w:t>
      </w:r>
      <w:r w:rsidR="00A26815" w:rsidRPr="006B42D6">
        <w:rPr>
          <w:w w:val="105"/>
        </w:rPr>
        <w:t xml:space="preserve"> (Map 4.1</w:t>
      </w:r>
      <w:r w:rsidR="00617341" w:rsidRPr="006B42D6">
        <w:rPr>
          <w:w w:val="105"/>
        </w:rPr>
        <w:t>7</w:t>
      </w:r>
      <w:r w:rsidR="00A26815" w:rsidRPr="006B42D6">
        <w:rPr>
          <w:w w:val="105"/>
        </w:rPr>
        <w:t>).</w:t>
      </w:r>
      <w:r w:rsidR="000C32CB">
        <w:rPr>
          <w:b/>
          <w:spacing w:val="-2"/>
          <w:sz w:val="20"/>
          <w:szCs w:val="20"/>
        </w:rPr>
        <w:br w:type="page"/>
      </w:r>
    </w:p>
    <w:p w14:paraId="545A3B07" w14:textId="68EA6987" w:rsidR="000E1363" w:rsidRPr="002261ED" w:rsidRDefault="000E1363" w:rsidP="00135766">
      <w:pPr>
        <w:pStyle w:val="MapNew"/>
        <w:ind w:left="1140" w:right="-113" w:hanging="998"/>
      </w:pPr>
      <w:bookmarkStart w:id="655" w:name="_Toc80902572"/>
      <w:bookmarkStart w:id="656" w:name="_Toc82386490"/>
      <w:r w:rsidRPr="002261ED">
        <w:lastRenderedPageBreak/>
        <w:t xml:space="preserve">Map </w:t>
      </w:r>
      <w:r w:rsidR="00CC2F05" w:rsidRPr="002261ED">
        <w:t>4.1</w:t>
      </w:r>
      <w:r w:rsidR="00617341" w:rsidRPr="002261ED">
        <w:t>7</w:t>
      </w:r>
      <w:r w:rsidR="00141395">
        <w:t>:</w:t>
      </w:r>
      <w:r w:rsidR="00141395">
        <w:tab/>
      </w:r>
      <w:r w:rsidRPr="002261ED">
        <w:t xml:space="preserve">Number of Households </w:t>
      </w:r>
      <w:r w:rsidR="00617341" w:rsidRPr="002261ED">
        <w:t>Reported</w:t>
      </w:r>
      <w:r w:rsidRPr="002261ED">
        <w:t xml:space="preserve"> FMD </w:t>
      </w:r>
      <w:r w:rsidR="00617341" w:rsidRPr="002261ED">
        <w:t xml:space="preserve">Infections </w:t>
      </w:r>
      <w:r w:rsidR="00327632" w:rsidRPr="002261ED">
        <w:t>D</w:t>
      </w:r>
      <w:r w:rsidRPr="002261ED">
        <w:t xml:space="preserve">uring 2019/20 Agricultural </w:t>
      </w:r>
      <w:r w:rsidR="00327632" w:rsidRPr="002261ED">
        <w:t>Y</w:t>
      </w:r>
      <w:r w:rsidRPr="002261ED">
        <w:t>ear</w:t>
      </w:r>
      <w:r w:rsidR="00327632" w:rsidRPr="002261ED">
        <w:t>, Tanzania</w:t>
      </w:r>
      <w:bookmarkEnd w:id="655"/>
      <w:bookmarkEnd w:id="656"/>
    </w:p>
    <w:p w14:paraId="46659531" w14:textId="7F38B5ED" w:rsidR="00D00A0B" w:rsidRPr="006B42D6" w:rsidRDefault="00890203" w:rsidP="005C2EFC">
      <w:pPr>
        <w:tabs>
          <w:tab w:val="left" w:pos="5993"/>
          <w:tab w:val="left" w:pos="8355"/>
        </w:tabs>
        <w:adjustRightInd w:val="0"/>
        <w:spacing w:before="106"/>
        <w:ind w:left="142" w:right="-472"/>
      </w:pPr>
      <w:r>
        <w:rPr>
          <w:noProof/>
        </w:rPr>
        <w:drawing>
          <wp:inline distT="0" distB="0" distL="0" distR="0" wp14:anchorId="3DA83318" wp14:editId="7643E139">
            <wp:extent cx="5770180" cy="4221235"/>
            <wp:effectExtent l="0" t="0" r="0" b="0"/>
            <wp:docPr id="4489" name="Picture 4489"/>
            <wp:cNvGraphicFramePr/>
            <a:graphic xmlns:a="http://schemas.openxmlformats.org/drawingml/2006/main">
              <a:graphicData uri="http://schemas.openxmlformats.org/drawingml/2006/picture">
                <pic:pic xmlns:pic="http://schemas.openxmlformats.org/drawingml/2006/picture">
                  <pic:nvPicPr>
                    <pic:cNvPr id="4489" name="Picture 4489"/>
                    <pic:cNvPicPr/>
                  </pic:nvPicPr>
                  <pic:blipFill>
                    <a:blip r:embed="rId304"/>
                    <a:stretch>
                      <a:fillRect/>
                    </a:stretch>
                  </pic:blipFill>
                  <pic:spPr>
                    <a:xfrm>
                      <a:off x="0" y="0"/>
                      <a:ext cx="5779280" cy="4227892"/>
                    </a:xfrm>
                    <a:prstGeom prst="rect">
                      <a:avLst/>
                    </a:prstGeom>
                  </pic:spPr>
                </pic:pic>
              </a:graphicData>
            </a:graphic>
          </wp:inline>
        </w:drawing>
      </w:r>
    </w:p>
    <w:p w14:paraId="3114E233" w14:textId="77777777" w:rsidR="006A3706" w:rsidRPr="006B42D6" w:rsidRDefault="006A3706" w:rsidP="00141395">
      <w:pPr>
        <w:tabs>
          <w:tab w:val="left" w:pos="5993"/>
          <w:tab w:val="left" w:pos="8355"/>
        </w:tabs>
        <w:adjustRightInd w:val="0"/>
        <w:spacing w:before="106" w:line="240" w:lineRule="auto"/>
        <w:ind w:right="-472"/>
      </w:pPr>
    </w:p>
    <w:p w14:paraId="5EEC88AA" w14:textId="5C7DDEF7" w:rsidR="000E1363" w:rsidRPr="006B42D6" w:rsidRDefault="000E1363" w:rsidP="00D468A7">
      <w:pPr>
        <w:pStyle w:val="Heading4"/>
      </w:pPr>
      <w:bookmarkStart w:id="657" w:name="_Toc82385760"/>
      <w:r w:rsidRPr="006B42D6">
        <w:t>4.</w:t>
      </w:r>
      <w:r w:rsidR="00AC6872">
        <w:t>5</w:t>
      </w:r>
      <w:r w:rsidRPr="006B42D6">
        <w:t>.</w:t>
      </w:r>
      <w:r w:rsidR="00D468A7" w:rsidRPr="006B42D6">
        <w:t>1.</w:t>
      </w:r>
      <w:r w:rsidRPr="006B42D6">
        <w:t>3</w:t>
      </w:r>
      <w:r w:rsidR="0000655E" w:rsidRPr="006B42D6">
        <w:tab/>
      </w:r>
      <w:r w:rsidRPr="006B42D6">
        <w:t xml:space="preserve">Sheep </w:t>
      </w:r>
      <w:r w:rsidR="00327632" w:rsidRPr="006B42D6">
        <w:t>D</w:t>
      </w:r>
      <w:r w:rsidRPr="006B42D6">
        <w:t>iseases</w:t>
      </w:r>
      <w:bookmarkEnd w:id="657"/>
    </w:p>
    <w:p w14:paraId="3343D72C" w14:textId="77777777" w:rsidR="000E1363" w:rsidRPr="006B42D6" w:rsidRDefault="000E1363" w:rsidP="000C32CB">
      <w:pPr>
        <w:pStyle w:val="ColorfulList-Accent11"/>
        <w:widowControl w:val="0"/>
        <w:numPr>
          <w:ilvl w:val="0"/>
          <w:numId w:val="5"/>
        </w:numPr>
        <w:tabs>
          <w:tab w:val="left" w:pos="567"/>
        </w:tabs>
        <w:autoSpaceDE w:val="0"/>
        <w:autoSpaceDN w:val="0"/>
        <w:adjustRightInd w:val="0"/>
        <w:spacing w:before="20" w:after="0" w:line="360" w:lineRule="auto"/>
        <w:ind w:left="567" w:hanging="141"/>
        <w:rPr>
          <w:rFonts w:ascii="Times New Roman" w:hAnsi="Times New Roman"/>
          <w:b/>
          <w:w w:val="105"/>
          <w:sz w:val="24"/>
          <w:szCs w:val="24"/>
        </w:rPr>
      </w:pPr>
      <w:r w:rsidRPr="006B42D6">
        <w:rPr>
          <w:rFonts w:ascii="Times New Roman Bold" w:hAnsi="Times New Roman Bold" w:cs="Times New Roman Bold"/>
          <w:b/>
          <w:sz w:val="24"/>
          <w:szCs w:val="24"/>
        </w:rPr>
        <w:t xml:space="preserve">Foot Rot Disease </w:t>
      </w:r>
    </w:p>
    <w:p w14:paraId="27D473EB" w14:textId="77777777" w:rsidR="002261ED" w:rsidRDefault="0027533D" w:rsidP="002261ED">
      <w:pPr>
        <w:ind w:left="426"/>
        <w:rPr>
          <w:w w:val="105"/>
        </w:rPr>
      </w:pPr>
      <w:r w:rsidRPr="006B42D6">
        <w:rPr>
          <w:w w:val="105"/>
        </w:rPr>
        <w:t xml:space="preserve">The total number of households reported to encounter </w:t>
      </w:r>
      <w:r w:rsidR="006A3706" w:rsidRPr="006B42D6">
        <w:rPr>
          <w:w w:val="105"/>
        </w:rPr>
        <w:t xml:space="preserve">foot rot </w:t>
      </w:r>
      <w:r w:rsidRPr="006B42D6">
        <w:rPr>
          <w:w w:val="105"/>
        </w:rPr>
        <w:t xml:space="preserve">disease in their sheep was 65,942 (65,942 in </w:t>
      </w:r>
      <w:r w:rsidR="00EA1552">
        <w:rPr>
          <w:lang w:eastAsia="en-GB"/>
        </w:rPr>
        <w:t>Mainland Tanzania</w:t>
      </w:r>
      <w:r w:rsidRPr="006B42D6">
        <w:rPr>
          <w:w w:val="105"/>
        </w:rPr>
        <w:t xml:space="preserve">, while there </w:t>
      </w:r>
      <w:r w:rsidR="00130466" w:rsidRPr="006B42D6">
        <w:rPr>
          <w:w w:val="105"/>
        </w:rPr>
        <w:t>was</w:t>
      </w:r>
      <w:r w:rsidRPr="006B42D6">
        <w:rPr>
          <w:w w:val="105"/>
        </w:rPr>
        <w:t xml:space="preserve"> no such disease in </w:t>
      </w:r>
      <w:r w:rsidR="00327632" w:rsidRPr="006B42D6">
        <w:rPr>
          <w:lang w:eastAsia="en-GB"/>
        </w:rPr>
        <w:t xml:space="preserve">Tanzania </w:t>
      </w:r>
      <w:r w:rsidRPr="006B42D6">
        <w:rPr>
          <w:w w:val="105"/>
        </w:rPr>
        <w:t xml:space="preserve">Zanzibar), which represents 9.7 percent of the total sheep keeping households during </w:t>
      </w:r>
      <w:r w:rsidR="00617341" w:rsidRPr="006B42D6">
        <w:rPr>
          <w:w w:val="105"/>
        </w:rPr>
        <w:t>2019/20 a</w:t>
      </w:r>
      <w:r w:rsidRPr="006B42D6">
        <w:rPr>
          <w:w w:val="105"/>
        </w:rPr>
        <w:t xml:space="preserve">gricultural year. </w:t>
      </w:r>
    </w:p>
    <w:p w14:paraId="088FEF43" w14:textId="77777777" w:rsidR="002261ED" w:rsidRDefault="002261ED" w:rsidP="00141395">
      <w:pPr>
        <w:spacing w:line="240" w:lineRule="auto"/>
        <w:ind w:left="426"/>
        <w:rPr>
          <w:w w:val="103"/>
        </w:rPr>
      </w:pPr>
    </w:p>
    <w:p w14:paraId="52689BF3" w14:textId="10A69923" w:rsidR="000C32CB" w:rsidRDefault="0027533D" w:rsidP="002261ED">
      <w:pPr>
        <w:ind w:left="426"/>
        <w:rPr>
          <w:w w:val="105"/>
        </w:rPr>
      </w:pPr>
      <w:r w:rsidRPr="006B42D6">
        <w:rPr>
          <w:w w:val="103"/>
        </w:rPr>
        <w:t xml:space="preserve">A total number of </w:t>
      </w:r>
      <w:r w:rsidRPr="006B42D6">
        <w:rPr>
          <w:w w:val="105"/>
        </w:rPr>
        <w:t xml:space="preserve">661,653 sheep </w:t>
      </w:r>
      <w:r w:rsidRPr="006B42D6">
        <w:rPr>
          <w:w w:val="103"/>
        </w:rPr>
        <w:t xml:space="preserve">were </w:t>
      </w:r>
      <w:r w:rsidRPr="006B42D6">
        <w:rPr>
          <w:w w:val="105"/>
        </w:rPr>
        <w:t xml:space="preserve">reported to be infected </w:t>
      </w:r>
      <w:r w:rsidR="005E72D5" w:rsidRPr="006B42D6">
        <w:rPr>
          <w:w w:val="105"/>
        </w:rPr>
        <w:t xml:space="preserve">with foot rot </w:t>
      </w:r>
      <w:r w:rsidRPr="006B42D6">
        <w:rPr>
          <w:w w:val="105"/>
        </w:rPr>
        <w:t>disease</w:t>
      </w:r>
      <w:r w:rsidR="00617341" w:rsidRPr="006B42D6">
        <w:rPr>
          <w:w w:val="105"/>
        </w:rPr>
        <w:t xml:space="preserve"> i</w:t>
      </w:r>
      <w:r w:rsidRPr="006B42D6">
        <w:rPr>
          <w:spacing w:val="-2"/>
        </w:rPr>
        <w:t xml:space="preserve">n </w:t>
      </w:r>
      <w:r w:rsidR="00EA1552">
        <w:rPr>
          <w:lang w:eastAsia="en-GB"/>
        </w:rPr>
        <w:t>Mainland Tanzania</w:t>
      </w:r>
      <w:r w:rsidR="00617341" w:rsidRPr="006B42D6">
        <w:rPr>
          <w:spacing w:val="-2"/>
        </w:rPr>
        <w:t>.</w:t>
      </w:r>
      <w:r w:rsidRPr="006B42D6">
        <w:rPr>
          <w:spacing w:val="-2"/>
        </w:rPr>
        <w:t xml:space="preserve"> Arusha region had the largest </w:t>
      </w:r>
      <w:r w:rsidRPr="006B42D6">
        <w:rPr>
          <w:w w:val="105"/>
        </w:rPr>
        <w:t xml:space="preserve">number of sheep infected with </w:t>
      </w:r>
      <w:r w:rsidR="006A3706">
        <w:rPr>
          <w:w w:val="105"/>
        </w:rPr>
        <w:t>f</w:t>
      </w:r>
      <w:r w:rsidRPr="006B42D6">
        <w:rPr>
          <w:w w:val="105"/>
        </w:rPr>
        <w:t xml:space="preserve">oot </w:t>
      </w:r>
      <w:r w:rsidR="006A3706">
        <w:rPr>
          <w:w w:val="105"/>
        </w:rPr>
        <w:t>r</w:t>
      </w:r>
      <w:r w:rsidRPr="006B42D6">
        <w:rPr>
          <w:w w:val="105"/>
        </w:rPr>
        <w:t>ot disease (</w:t>
      </w:r>
      <w:r w:rsidRPr="006B42D6">
        <w:rPr>
          <w:spacing w:val="-2"/>
        </w:rPr>
        <w:t xml:space="preserve">173,133; 26.2 percent), </w:t>
      </w:r>
      <w:r w:rsidRPr="006B42D6">
        <w:rPr>
          <w:w w:val="105"/>
        </w:rPr>
        <w:t>followed by Kilimanjaro (76,916; 11.6 percent) and Pwani (75,956; 11.5 percent). The lowest proportion of sheep infections was reported in Rukwa region (2,020; 0.3 percent) (Table 4.</w:t>
      </w:r>
      <w:r w:rsidR="00CC2F05" w:rsidRPr="006B42D6">
        <w:rPr>
          <w:w w:val="105"/>
        </w:rPr>
        <w:t>1</w:t>
      </w:r>
      <w:r w:rsidR="00B70154">
        <w:rPr>
          <w:w w:val="105"/>
        </w:rPr>
        <w:t>6</w:t>
      </w:r>
      <w:r w:rsidRPr="006B42D6">
        <w:rPr>
          <w:w w:val="105"/>
        </w:rPr>
        <w:t>).</w:t>
      </w:r>
    </w:p>
    <w:p w14:paraId="56470712" w14:textId="4F9EEB82" w:rsidR="0027533D" w:rsidRPr="006B42D6" w:rsidRDefault="000C32CB" w:rsidP="000C32CB">
      <w:pPr>
        <w:spacing w:line="240" w:lineRule="auto"/>
        <w:contextualSpacing w:val="0"/>
        <w:jc w:val="left"/>
        <w:rPr>
          <w:w w:val="105"/>
        </w:rPr>
      </w:pPr>
      <w:r>
        <w:rPr>
          <w:w w:val="105"/>
        </w:rPr>
        <w:br w:type="page"/>
      </w:r>
    </w:p>
    <w:p w14:paraId="6F5ECF0C" w14:textId="52FD77D6" w:rsidR="00674EEB" w:rsidRPr="006B42D6" w:rsidRDefault="00674EEB" w:rsidP="007200F6">
      <w:pPr>
        <w:pStyle w:val="Heading7"/>
      </w:pPr>
      <w:bookmarkStart w:id="658" w:name="_Toc82386224"/>
      <w:r w:rsidRPr="006B42D6">
        <w:lastRenderedPageBreak/>
        <w:t>Table 4.</w:t>
      </w:r>
      <w:r w:rsidR="00CC2F05" w:rsidRPr="006B42D6">
        <w:t>1</w:t>
      </w:r>
      <w:r w:rsidR="00B70154">
        <w:t>6</w:t>
      </w:r>
      <w:r w:rsidR="00141395">
        <w:t>:</w:t>
      </w:r>
      <w:r w:rsidR="00EB33FA">
        <w:tab/>
      </w:r>
      <w:r w:rsidRPr="006B42D6">
        <w:t xml:space="preserve">Number of </w:t>
      </w:r>
      <w:r w:rsidR="00617341" w:rsidRPr="006B42D6">
        <w:t>R</w:t>
      </w:r>
      <w:r w:rsidRPr="006B42D6">
        <w:t xml:space="preserve">eported </w:t>
      </w:r>
      <w:r w:rsidR="00617341" w:rsidRPr="006B42D6">
        <w:t>C</w:t>
      </w:r>
      <w:r w:rsidRPr="006B42D6">
        <w:t xml:space="preserve">ases of Sheep </w:t>
      </w:r>
      <w:r w:rsidR="00327632" w:rsidRPr="006B42D6">
        <w:t>D</w:t>
      </w:r>
      <w:r w:rsidRPr="006B42D6">
        <w:t xml:space="preserve">iseases </w:t>
      </w:r>
      <w:r w:rsidR="00327632" w:rsidRPr="006B42D6">
        <w:t>O</w:t>
      </w:r>
      <w:r w:rsidRPr="006B42D6">
        <w:t xml:space="preserve">ccurrences by </w:t>
      </w:r>
      <w:r w:rsidR="00327632" w:rsidRPr="006B42D6">
        <w:t>T</w:t>
      </w:r>
      <w:r w:rsidRPr="006B42D6">
        <w:t xml:space="preserve">ype and Region </w:t>
      </w:r>
      <w:r w:rsidR="00327632" w:rsidRPr="006B42D6">
        <w:t>D</w:t>
      </w:r>
      <w:r w:rsidRPr="006B42D6">
        <w:t xml:space="preserve">uring 2019/20 Agricultural </w:t>
      </w:r>
      <w:r w:rsidR="00327632" w:rsidRPr="006B42D6">
        <w:t>Y</w:t>
      </w:r>
      <w:r w:rsidRPr="006B42D6">
        <w:t>ear</w:t>
      </w:r>
      <w:r w:rsidR="00327632" w:rsidRPr="006B42D6">
        <w:t xml:space="preserve">, </w:t>
      </w:r>
      <w:r w:rsidR="00EA1552">
        <w:t>Mainland Tanzania</w:t>
      </w:r>
      <w:bookmarkEnd w:id="658"/>
      <w:r w:rsidRPr="006B42D6">
        <w:t xml:space="preserve"> </w:t>
      </w:r>
    </w:p>
    <w:tbl>
      <w:tblPr>
        <w:tblW w:w="5000" w:type="pct"/>
        <w:tblLook w:val="04A0" w:firstRow="1" w:lastRow="0" w:firstColumn="1" w:lastColumn="0" w:noHBand="0" w:noVBand="1"/>
      </w:tblPr>
      <w:tblGrid>
        <w:gridCol w:w="1564"/>
        <w:gridCol w:w="949"/>
        <w:gridCol w:w="947"/>
        <w:gridCol w:w="1036"/>
        <w:gridCol w:w="942"/>
        <w:gridCol w:w="953"/>
        <w:gridCol w:w="946"/>
        <w:gridCol w:w="955"/>
        <w:gridCol w:w="944"/>
      </w:tblGrid>
      <w:tr w:rsidR="006B42D6" w:rsidRPr="006B42D6" w14:paraId="2A248B88" w14:textId="77777777" w:rsidTr="00141395">
        <w:trPr>
          <w:trHeight w:val="172"/>
        </w:trPr>
        <w:tc>
          <w:tcPr>
            <w:tcW w:w="758" w:type="pct"/>
            <w:vMerge w:val="restart"/>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2240BB8B" w14:textId="77777777" w:rsidR="0027533D" w:rsidRPr="00135766" w:rsidRDefault="0027533D" w:rsidP="00135766">
            <w:pPr>
              <w:spacing w:line="276" w:lineRule="auto"/>
              <w:rPr>
                <w:bCs/>
                <w:sz w:val="16"/>
                <w:szCs w:val="16"/>
              </w:rPr>
            </w:pPr>
            <w:r w:rsidRPr="00135766">
              <w:rPr>
                <w:bCs/>
                <w:sz w:val="16"/>
                <w:szCs w:val="16"/>
              </w:rPr>
              <w:t>Region</w:t>
            </w:r>
          </w:p>
        </w:tc>
        <w:tc>
          <w:tcPr>
            <w:tcW w:w="1049" w:type="pct"/>
            <w:gridSpan w:val="2"/>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28678788" w14:textId="77777777" w:rsidR="0027533D" w:rsidRPr="00135766" w:rsidRDefault="0027533D" w:rsidP="00135766">
            <w:pPr>
              <w:spacing w:line="276" w:lineRule="auto"/>
              <w:jc w:val="center"/>
              <w:rPr>
                <w:bCs/>
                <w:sz w:val="16"/>
                <w:szCs w:val="16"/>
              </w:rPr>
            </w:pPr>
            <w:r w:rsidRPr="00135766">
              <w:rPr>
                <w:bCs/>
                <w:sz w:val="16"/>
                <w:szCs w:val="16"/>
              </w:rPr>
              <w:t>Foot Rot</w:t>
            </w:r>
          </w:p>
        </w:tc>
        <w:tc>
          <w:tcPr>
            <w:tcW w:w="1093" w:type="pct"/>
            <w:gridSpan w:val="2"/>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26C7438D" w14:textId="77777777" w:rsidR="0027533D" w:rsidRPr="00135766" w:rsidRDefault="0027533D" w:rsidP="00135766">
            <w:pPr>
              <w:spacing w:line="276" w:lineRule="auto"/>
              <w:jc w:val="center"/>
              <w:rPr>
                <w:bCs/>
                <w:sz w:val="16"/>
                <w:szCs w:val="16"/>
              </w:rPr>
            </w:pPr>
            <w:r w:rsidRPr="00135766">
              <w:rPr>
                <w:bCs/>
                <w:sz w:val="16"/>
                <w:szCs w:val="16"/>
              </w:rPr>
              <w:t>Helminthiosis</w:t>
            </w:r>
          </w:p>
        </w:tc>
        <w:tc>
          <w:tcPr>
            <w:tcW w:w="1050" w:type="pct"/>
            <w:gridSpan w:val="2"/>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45773537" w14:textId="77777777" w:rsidR="0027533D" w:rsidRPr="00135766" w:rsidRDefault="0027533D" w:rsidP="00135766">
            <w:pPr>
              <w:spacing w:line="276" w:lineRule="auto"/>
              <w:jc w:val="center"/>
              <w:rPr>
                <w:bCs/>
                <w:sz w:val="16"/>
                <w:szCs w:val="16"/>
              </w:rPr>
            </w:pPr>
            <w:r w:rsidRPr="00135766">
              <w:rPr>
                <w:bCs/>
                <w:sz w:val="16"/>
                <w:szCs w:val="16"/>
              </w:rPr>
              <w:t>Trypanosomiasis</w:t>
            </w:r>
          </w:p>
        </w:tc>
        <w:tc>
          <w:tcPr>
            <w:tcW w:w="1050" w:type="pct"/>
            <w:gridSpan w:val="2"/>
            <w:tcBorders>
              <w:top w:val="single" w:sz="4" w:space="0" w:color="auto"/>
              <w:left w:val="single" w:sz="4" w:space="0" w:color="auto"/>
              <w:bottom w:val="single" w:sz="4" w:space="0" w:color="auto"/>
              <w:right w:val="nil"/>
            </w:tcBorders>
            <w:shd w:val="clear" w:color="auto" w:fill="E2EFD9" w:themeFill="accent6" w:themeFillTint="33"/>
            <w:noWrap/>
            <w:vAlign w:val="center"/>
            <w:hideMark/>
          </w:tcPr>
          <w:p w14:paraId="09415347" w14:textId="77777777" w:rsidR="0027533D" w:rsidRPr="00135766" w:rsidRDefault="0027533D" w:rsidP="00135766">
            <w:pPr>
              <w:spacing w:line="276" w:lineRule="auto"/>
              <w:jc w:val="center"/>
              <w:rPr>
                <w:bCs/>
                <w:sz w:val="16"/>
                <w:szCs w:val="16"/>
              </w:rPr>
            </w:pPr>
            <w:r w:rsidRPr="00135766">
              <w:rPr>
                <w:bCs/>
                <w:sz w:val="16"/>
                <w:szCs w:val="16"/>
              </w:rPr>
              <w:t>Black Quarter</w:t>
            </w:r>
          </w:p>
        </w:tc>
      </w:tr>
      <w:tr w:rsidR="006B42D6" w:rsidRPr="006B42D6" w14:paraId="2FEF1E3A" w14:textId="77777777" w:rsidTr="00141395">
        <w:trPr>
          <w:trHeight w:val="260"/>
        </w:trPr>
        <w:tc>
          <w:tcPr>
            <w:tcW w:w="758" w:type="pct"/>
            <w:vMerge/>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709B7D9" w14:textId="77777777" w:rsidR="0027533D" w:rsidRPr="00135766" w:rsidRDefault="0027533D" w:rsidP="00135766">
            <w:pPr>
              <w:spacing w:line="276" w:lineRule="auto"/>
              <w:jc w:val="center"/>
              <w:rPr>
                <w:bCs/>
                <w:sz w:val="16"/>
                <w:szCs w:val="16"/>
              </w:rPr>
            </w:pPr>
          </w:p>
        </w:tc>
        <w:tc>
          <w:tcPr>
            <w:tcW w:w="525" w:type="pct"/>
            <w:tcBorders>
              <w:top w:val="nil"/>
              <w:left w:val="single" w:sz="4" w:space="0" w:color="auto"/>
              <w:bottom w:val="single" w:sz="4" w:space="0" w:color="auto"/>
              <w:right w:val="nil"/>
            </w:tcBorders>
            <w:shd w:val="clear" w:color="auto" w:fill="E2EFD9" w:themeFill="accent6" w:themeFillTint="33"/>
            <w:vAlign w:val="center"/>
            <w:hideMark/>
          </w:tcPr>
          <w:p w14:paraId="2ADED8B3" w14:textId="77777777" w:rsidR="0027533D" w:rsidRPr="00135766" w:rsidRDefault="0027533D" w:rsidP="00135766">
            <w:pPr>
              <w:spacing w:line="276" w:lineRule="auto"/>
              <w:jc w:val="center"/>
              <w:rPr>
                <w:bCs/>
                <w:sz w:val="16"/>
                <w:szCs w:val="16"/>
              </w:rPr>
            </w:pPr>
            <w:r w:rsidRPr="00135766">
              <w:rPr>
                <w:bCs/>
                <w:sz w:val="16"/>
                <w:szCs w:val="16"/>
              </w:rPr>
              <w:t>Number Infected</w:t>
            </w:r>
          </w:p>
        </w:tc>
        <w:tc>
          <w:tcPr>
            <w:tcW w:w="524" w:type="pct"/>
            <w:tcBorders>
              <w:top w:val="nil"/>
              <w:left w:val="nil"/>
              <w:bottom w:val="single" w:sz="4" w:space="0" w:color="auto"/>
              <w:right w:val="single" w:sz="4" w:space="0" w:color="auto"/>
            </w:tcBorders>
            <w:shd w:val="clear" w:color="auto" w:fill="E2EFD9" w:themeFill="accent6" w:themeFillTint="33"/>
            <w:vAlign w:val="center"/>
            <w:hideMark/>
          </w:tcPr>
          <w:p w14:paraId="422C0ED6" w14:textId="14589A8C" w:rsidR="0027533D" w:rsidRPr="00135766" w:rsidRDefault="00CC2F05" w:rsidP="00135766">
            <w:pPr>
              <w:spacing w:line="276" w:lineRule="auto"/>
              <w:jc w:val="center"/>
              <w:rPr>
                <w:bCs/>
                <w:sz w:val="16"/>
                <w:szCs w:val="16"/>
              </w:rPr>
            </w:pPr>
            <w:r w:rsidRPr="00135766">
              <w:rPr>
                <w:bCs/>
                <w:sz w:val="16"/>
                <w:szCs w:val="16"/>
              </w:rPr>
              <w:t>Percent</w:t>
            </w:r>
          </w:p>
        </w:tc>
        <w:tc>
          <w:tcPr>
            <w:tcW w:w="572" w:type="pct"/>
            <w:tcBorders>
              <w:top w:val="nil"/>
              <w:left w:val="single" w:sz="4" w:space="0" w:color="auto"/>
              <w:bottom w:val="single" w:sz="4" w:space="0" w:color="auto"/>
              <w:right w:val="nil"/>
            </w:tcBorders>
            <w:shd w:val="clear" w:color="auto" w:fill="E2EFD9" w:themeFill="accent6" w:themeFillTint="33"/>
            <w:vAlign w:val="center"/>
            <w:hideMark/>
          </w:tcPr>
          <w:p w14:paraId="2F421058" w14:textId="77777777" w:rsidR="0027533D" w:rsidRPr="00135766" w:rsidRDefault="0027533D" w:rsidP="00135766">
            <w:pPr>
              <w:spacing w:line="276" w:lineRule="auto"/>
              <w:jc w:val="center"/>
              <w:rPr>
                <w:bCs/>
                <w:sz w:val="16"/>
                <w:szCs w:val="16"/>
              </w:rPr>
            </w:pPr>
            <w:r w:rsidRPr="00135766">
              <w:rPr>
                <w:bCs/>
                <w:sz w:val="16"/>
                <w:szCs w:val="16"/>
              </w:rPr>
              <w:t>Number Infected</w:t>
            </w:r>
          </w:p>
        </w:tc>
        <w:tc>
          <w:tcPr>
            <w:tcW w:w="521" w:type="pct"/>
            <w:tcBorders>
              <w:top w:val="nil"/>
              <w:left w:val="nil"/>
              <w:bottom w:val="single" w:sz="4" w:space="0" w:color="auto"/>
              <w:right w:val="single" w:sz="4" w:space="0" w:color="auto"/>
            </w:tcBorders>
            <w:shd w:val="clear" w:color="auto" w:fill="E2EFD9" w:themeFill="accent6" w:themeFillTint="33"/>
            <w:vAlign w:val="center"/>
            <w:hideMark/>
          </w:tcPr>
          <w:p w14:paraId="1479C954" w14:textId="462F8ADD" w:rsidR="0027533D" w:rsidRPr="00135766" w:rsidRDefault="00CC2F05" w:rsidP="00135766">
            <w:pPr>
              <w:spacing w:line="276" w:lineRule="auto"/>
              <w:jc w:val="center"/>
              <w:rPr>
                <w:bCs/>
                <w:sz w:val="16"/>
                <w:szCs w:val="16"/>
              </w:rPr>
            </w:pPr>
            <w:r w:rsidRPr="00135766">
              <w:rPr>
                <w:bCs/>
                <w:sz w:val="16"/>
                <w:szCs w:val="16"/>
              </w:rPr>
              <w:t>Percent</w:t>
            </w:r>
          </w:p>
        </w:tc>
        <w:tc>
          <w:tcPr>
            <w:tcW w:w="527" w:type="pct"/>
            <w:tcBorders>
              <w:top w:val="nil"/>
              <w:left w:val="single" w:sz="4" w:space="0" w:color="auto"/>
              <w:bottom w:val="single" w:sz="4" w:space="0" w:color="auto"/>
              <w:right w:val="nil"/>
            </w:tcBorders>
            <w:shd w:val="clear" w:color="auto" w:fill="E2EFD9" w:themeFill="accent6" w:themeFillTint="33"/>
            <w:vAlign w:val="center"/>
            <w:hideMark/>
          </w:tcPr>
          <w:p w14:paraId="1F2D4853" w14:textId="77777777" w:rsidR="0027533D" w:rsidRPr="00135766" w:rsidRDefault="0027533D" w:rsidP="00135766">
            <w:pPr>
              <w:spacing w:line="276" w:lineRule="auto"/>
              <w:jc w:val="center"/>
              <w:rPr>
                <w:bCs/>
                <w:sz w:val="16"/>
                <w:szCs w:val="16"/>
              </w:rPr>
            </w:pPr>
            <w:r w:rsidRPr="00135766">
              <w:rPr>
                <w:bCs/>
                <w:sz w:val="16"/>
                <w:szCs w:val="16"/>
              </w:rPr>
              <w:t>Number Infected</w:t>
            </w:r>
          </w:p>
        </w:tc>
        <w:tc>
          <w:tcPr>
            <w:tcW w:w="523" w:type="pct"/>
            <w:tcBorders>
              <w:top w:val="nil"/>
              <w:left w:val="nil"/>
              <w:bottom w:val="single" w:sz="4" w:space="0" w:color="auto"/>
              <w:right w:val="single" w:sz="4" w:space="0" w:color="auto"/>
            </w:tcBorders>
            <w:shd w:val="clear" w:color="auto" w:fill="E2EFD9" w:themeFill="accent6" w:themeFillTint="33"/>
            <w:vAlign w:val="center"/>
            <w:hideMark/>
          </w:tcPr>
          <w:p w14:paraId="273C6375" w14:textId="7A900F5A" w:rsidR="0027533D" w:rsidRPr="00135766" w:rsidRDefault="00CC2F05" w:rsidP="00135766">
            <w:pPr>
              <w:spacing w:line="276" w:lineRule="auto"/>
              <w:jc w:val="center"/>
              <w:rPr>
                <w:bCs/>
                <w:sz w:val="16"/>
                <w:szCs w:val="16"/>
              </w:rPr>
            </w:pPr>
            <w:r w:rsidRPr="00135766">
              <w:rPr>
                <w:bCs/>
                <w:sz w:val="16"/>
                <w:szCs w:val="16"/>
              </w:rPr>
              <w:t>Percent</w:t>
            </w:r>
          </w:p>
        </w:tc>
        <w:tc>
          <w:tcPr>
            <w:tcW w:w="528" w:type="pct"/>
            <w:tcBorders>
              <w:top w:val="nil"/>
              <w:left w:val="single" w:sz="4" w:space="0" w:color="auto"/>
              <w:bottom w:val="single" w:sz="4" w:space="0" w:color="auto"/>
              <w:right w:val="nil"/>
            </w:tcBorders>
            <w:shd w:val="clear" w:color="auto" w:fill="E2EFD9" w:themeFill="accent6" w:themeFillTint="33"/>
            <w:vAlign w:val="center"/>
            <w:hideMark/>
          </w:tcPr>
          <w:p w14:paraId="52C04809" w14:textId="77777777" w:rsidR="0027533D" w:rsidRPr="00135766" w:rsidRDefault="0027533D" w:rsidP="00135766">
            <w:pPr>
              <w:spacing w:line="276" w:lineRule="auto"/>
              <w:jc w:val="center"/>
              <w:rPr>
                <w:bCs/>
                <w:sz w:val="16"/>
                <w:szCs w:val="16"/>
              </w:rPr>
            </w:pPr>
            <w:r w:rsidRPr="00135766">
              <w:rPr>
                <w:bCs/>
                <w:sz w:val="16"/>
                <w:szCs w:val="16"/>
              </w:rPr>
              <w:t>Number Infected</w:t>
            </w:r>
          </w:p>
        </w:tc>
        <w:tc>
          <w:tcPr>
            <w:tcW w:w="522" w:type="pct"/>
            <w:tcBorders>
              <w:top w:val="nil"/>
              <w:left w:val="nil"/>
              <w:bottom w:val="single" w:sz="4" w:space="0" w:color="auto"/>
              <w:right w:val="nil"/>
            </w:tcBorders>
            <w:shd w:val="clear" w:color="auto" w:fill="E2EFD9" w:themeFill="accent6" w:themeFillTint="33"/>
            <w:vAlign w:val="center"/>
            <w:hideMark/>
          </w:tcPr>
          <w:p w14:paraId="35985484" w14:textId="2643204F" w:rsidR="0027533D" w:rsidRPr="00135766" w:rsidRDefault="00CC2F05" w:rsidP="00135766">
            <w:pPr>
              <w:spacing w:line="276" w:lineRule="auto"/>
              <w:jc w:val="center"/>
              <w:rPr>
                <w:bCs/>
                <w:sz w:val="16"/>
                <w:szCs w:val="16"/>
              </w:rPr>
            </w:pPr>
            <w:r w:rsidRPr="00135766">
              <w:rPr>
                <w:bCs/>
                <w:sz w:val="16"/>
                <w:szCs w:val="16"/>
              </w:rPr>
              <w:t>Percent</w:t>
            </w:r>
          </w:p>
        </w:tc>
      </w:tr>
      <w:tr w:rsidR="006B42D6" w:rsidRPr="006B42D6" w14:paraId="2FD3CB89" w14:textId="77777777" w:rsidTr="00617341">
        <w:trPr>
          <w:trHeight w:val="70"/>
        </w:trPr>
        <w:tc>
          <w:tcPr>
            <w:tcW w:w="758" w:type="pct"/>
            <w:tcBorders>
              <w:top w:val="nil"/>
              <w:left w:val="nil"/>
              <w:bottom w:val="nil"/>
              <w:right w:val="single" w:sz="4" w:space="0" w:color="auto"/>
            </w:tcBorders>
            <w:shd w:val="clear" w:color="auto" w:fill="auto"/>
            <w:noWrap/>
            <w:vAlign w:val="center"/>
            <w:hideMark/>
          </w:tcPr>
          <w:p w14:paraId="03675B7C" w14:textId="77777777" w:rsidR="0027533D" w:rsidRPr="006B42D6" w:rsidRDefault="0027533D" w:rsidP="006C676D">
            <w:pPr>
              <w:rPr>
                <w:sz w:val="16"/>
                <w:szCs w:val="16"/>
              </w:rPr>
            </w:pPr>
            <w:r w:rsidRPr="006B42D6">
              <w:rPr>
                <w:sz w:val="16"/>
                <w:szCs w:val="16"/>
              </w:rPr>
              <w:t>Dodoma</w:t>
            </w:r>
          </w:p>
        </w:tc>
        <w:tc>
          <w:tcPr>
            <w:tcW w:w="525" w:type="pct"/>
            <w:tcBorders>
              <w:top w:val="single" w:sz="4" w:space="0" w:color="auto"/>
              <w:left w:val="nil"/>
              <w:right w:val="nil"/>
            </w:tcBorders>
            <w:shd w:val="clear" w:color="auto" w:fill="auto"/>
            <w:noWrap/>
            <w:vAlign w:val="bottom"/>
            <w:hideMark/>
          </w:tcPr>
          <w:p w14:paraId="2F2D514E" w14:textId="77777777" w:rsidR="0027533D" w:rsidRPr="006B42D6" w:rsidRDefault="0027533D" w:rsidP="006C676D">
            <w:pPr>
              <w:jc w:val="right"/>
              <w:rPr>
                <w:sz w:val="16"/>
                <w:szCs w:val="16"/>
              </w:rPr>
            </w:pPr>
            <w:r w:rsidRPr="006B42D6">
              <w:rPr>
                <w:sz w:val="16"/>
                <w:szCs w:val="16"/>
              </w:rPr>
              <w:t>19,746</w:t>
            </w:r>
          </w:p>
        </w:tc>
        <w:tc>
          <w:tcPr>
            <w:tcW w:w="524" w:type="pct"/>
            <w:tcBorders>
              <w:top w:val="single" w:sz="4" w:space="0" w:color="auto"/>
              <w:left w:val="nil"/>
              <w:right w:val="single" w:sz="4" w:space="0" w:color="auto"/>
            </w:tcBorders>
            <w:shd w:val="clear" w:color="auto" w:fill="auto"/>
            <w:noWrap/>
            <w:vAlign w:val="bottom"/>
            <w:hideMark/>
          </w:tcPr>
          <w:p w14:paraId="7894EC15" w14:textId="77777777" w:rsidR="0027533D" w:rsidRPr="006B42D6" w:rsidRDefault="0027533D" w:rsidP="006C676D">
            <w:pPr>
              <w:jc w:val="right"/>
              <w:rPr>
                <w:sz w:val="16"/>
                <w:szCs w:val="16"/>
              </w:rPr>
            </w:pPr>
            <w:r w:rsidRPr="006B42D6">
              <w:rPr>
                <w:sz w:val="16"/>
                <w:szCs w:val="16"/>
              </w:rPr>
              <w:t>3.0</w:t>
            </w:r>
          </w:p>
        </w:tc>
        <w:tc>
          <w:tcPr>
            <w:tcW w:w="572" w:type="pct"/>
            <w:tcBorders>
              <w:top w:val="single" w:sz="4" w:space="0" w:color="auto"/>
              <w:left w:val="nil"/>
              <w:right w:val="nil"/>
            </w:tcBorders>
            <w:shd w:val="clear" w:color="auto" w:fill="auto"/>
            <w:noWrap/>
            <w:vAlign w:val="bottom"/>
            <w:hideMark/>
          </w:tcPr>
          <w:p w14:paraId="0431DE2A" w14:textId="77777777" w:rsidR="0027533D" w:rsidRPr="006B42D6" w:rsidRDefault="0027533D" w:rsidP="006C676D">
            <w:pPr>
              <w:jc w:val="right"/>
              <w:rPr>
                <w:sz w:val="16"/>
                <w:szCs w:val="16"/>
              </w:rPr>
            </w:pPr>
            <w:r w:rsidRPr="006B42D6">
              <w:rPr>
                <w:sz w:val="16"/>
                <w:szCs w:val="16"/>
              </w:rPr>
              <w:t>16,339</w:t>
            </w:r>
          </w:p>
        </w:tc>
        <w:tc>
          <w:tcPr>
            <w:tcW w:w="521" w:type="pct"/>
            <w:tcBorders>
              <w:top w:val="single" w:sz="4" w:space="0" w:color="auto"/>
              <w:left w:val="nil"/>
              <w:right w:val="single" w:sz="4" w:space="0" w:color="auto"/>
            </w:tcBorders>
            <w:shd w:val="clear" w:color="auto" w:fill="auto"/>
            <w:noWrap/>
            <w:vAlign w:val="bottom"/>
            <w:hideMark/>
          </w:tcPr>
          <w:p w14:paraId="0824A08B" w14:textId="77777777" w:rsidR="0027533D" w:rsidRPr="006B42D6" w:rsidRDefault="0027533D" w:rsidP="006C676D">
            <w:pPr>
              <w:jc w:val="right"/>
              <w:rPr>
                <w:sz w:val="16"/>
                <w:szCs w:val="16"/>
              </w:rPr>
            </w:pPr>
            <w:r w:rsidRPr="006B42D6">
              <w:rPr>
                <w:sz w:val="16"/>
                <w:szCs w:val="16"/>
              </w:rPr>
              <w:t>1.3</w:t>
            </w:r>
          </w:p>
        </w:tc>
        <w:tc>
          <w:tcPr>
            <w:tcW w:w="527" w:type="pct"/>
            <w:tcBorders>
              <w:top w:val="single" w:sz="4" w:space="0" w:color="auto"/>
              <w:left w:val="nil"/>
              <w:right w:val="nil"/>
            </w:tcBorders>
            <w:shd w:val="clear" w:color="auto" w:fill="auto"/>
            <w:noWrap/>
            <w:vAlign w:val="bottom"/>
            <w:hideMark/>
          </w:tcPr>
          <w:p w14:paraId="002F9937" w14:textId="77777777" w:rsidR="0027533D" w:rsidRPr="006B42D6" w:rsidRDefault="0027533D" w:rsidP="006C676D">
            <w:pPr>
              <w:jc w:val="right"/>
              <w:rPr>
                <w:sz w:val="16"/>
                <w:szCs w:val="16"/>
              </w:rPr>
            </w:pPr>
            <w:r w:rsidRPr="006B42D6">
              <w:rPr>
                <w:sz w:val="16"/>
                <w:szCs w:val="16"/>
              </w:rPr>
              <w:t>-</w:t>
            </w:r>
          </w:p>
        </w:tc>
        <w:tc>
          <w:tcPr>
            <w:tcW w:w="523" w:type="pct"/>
            <w:tcBorders>
              <w:top w:val="single" w:sz="4" w:space="0" w:color="auto"/>
              <w:left w:val="nil"/>
              <w:right w:val="single" w:sz="4" w:space="0" w:color="auto"/>
            </w:tcBorders>
            <w:shd w:val="clear" w:color="auto" w:fill="auto"/>
            <w:noWrap/>
            <w:vAlign w:val="bottom"/>
            <w:hideMark/>
          </w:tcPr>
          <w:p w14:paraId="3D15869B" w14:textId="77777777" w:rsidR="0027533D" w:rsidRPr="006B42D6" w:rsidRDefault="0027533D" w:rsidP="006C676D">
            <w:pPr>
              <w:jc w:val="right"/>
              <w:rPr>
                <w:sz w:val="16"/>
                <w:szCs w:val="16"/>
              </w:rPr>
            </w:pPr>
            <w:r w:rsidRPr="006B42D6">
              <w:rPr>
                <w:sz w:val="16"/>
                <w:szCs w:val="16"/>
              </w:rPr>
              <w:t>-</w:t>
            </w:r>
          </w:p>
        </w:tc>
        <w:tc>
          <w:tcPr>
            <w:tcW w:w="528" w:type="pct"/>
            <w:tcBorders>
              <w:top w:val="single" w:sz="4" w:space="0" w:color="auto"/>
              <w:left w:val="nil"/>
              <w:right w:val="nil"/>
            </w:tcBorders>
            <w:shd w:val="clear" w:color="auto" w:fill="auto"/>
            <w:noWrap/>
            <w:vAlign w:val="bottom"/>
            <w:hideMark/>
          </w:tcPr>
          <w:p w14:paraId="7DD9C7EA" w14:textId="77777777" w:rsidR="0027533D" w:rsidRPr="006B42D6" w:rsidRDefault="0027533D" w:rsidP="006C676D">
            <w:pPr>
              <w:jc w:val="right"/>
              <w:rPr>
                <w:sz w:val="16"/>
                <w:szCs w:val="16"/>
              </w:rPr>
            </w:pPr>
            <w:r w:rsidRPr="006B42D6">
              <w:rPr>
                <w:sz w:val="16"/>
                <w:szCs w:val="16"/>
              </w:rPr>
              <w:t>220</w:t>
            </w:r>
          </w:p>
        </w:tc>
        <w:tc>
          <w:tcPr>
            <w:tcW w:w="522" w:type="pct"/>
            <w:tcBorders>
              <w:top w:val="single" w:sz="4" w:space="0" w:color="auto"/>
              <w:left w:val="nil"/>
              <w:right w:val="nil"/>
            </w:tcBorders>
            <w:shd w:val="clear" w:color="auto" w:fill="auto"/>
            <w:noWrap/>
            <w:vAlign w:val="bottom"/>
            <w:hideMark/>
          </w:tcPr>
          <w:p w14:paraId="26D761E8" w14:textId="77777777" w:rsidR="0027533D" w:rsidRPr="006B42D6" w:rsidRDefault="0027533D" w:rsidP="006C676D">
            <w:pPr>
              <w:jc w:val="right"/>
              <w:rPr>
                <w:sz w:val="16"/>
                <w:szCs w:val="16"/>
              </w:rPr>
            </w:pPr>
            <w:r w:rsidRPr="006B42D6">
              <w:rPr>
                <w:sz w:val="16"/>
                <w:szCs w:val="16"/>
              </w:rPr>
              <w:t>0.3</w:t>
            </w:r>
          </w:p>
        </w:tc>
      </w:tr>
      <w:tr w:rsidR="006B42D6" w:rsidRPr="006B42D6" w14:paraId="4845F332" w14:textId="77777777" w:rsidTr="00617341">
        <w:trPr>
          <w:trHeight w:val="70"/>
        </w:trPr>
        <w:tc>
          <w:tcPr>
            <w:tcW w:w="758" w:type="pct"/>
            <w:tcBorders>
              <w:top w:val="nil"/>
              <w:left w:val="nil"/>
              <w:bottom w:val="nil"/>
              <w:right w:val="single" w:sz="4" w:space="0" w:color="auto"/>
            </w:tcBorders>
            <w:shd w:val="clear" w:color="auto" w:fill="auto"/>
            <w:noWrap/>
            <w:vAlign w:val="center"/>
            <w:hideMark/>
          </w:tcPr>
          <w:p w14:paraId="6B3420D5" w14:textId="77777777" w:rsidR="0027533D" w:rsidRPr="006B42D6" w:rsidRDefault="0027533D" w:rsidP="006C676D">
            <w:pPr>
              <w:rPr>
                <w:sz w:val="16"/>
                <w:szCs w:val="16"/>
              </w:rPr>
            </w:pPr>
            <w:r w:rsidRPr="006B42D6">
              <w:rPr>
                <w:sz w:val="16"/>
                <w:szCs w:val="16"/>
              </w:rPr>
              <w:t>Arusha</w:t>
            </w:r>
          </w:p>
        </w:tc>
        <w:tc>
          <w:tcPr>
            <w:tcW w:w="525" w:type="pct"/>
            <w:tcBorders>
              <w:top w:val="nil"/>
              <w:left w:val="nil"/>
              <w:right w:val="nil"/>
            </w:tcBorders>
            <w:shd w:val="clear" w:color="auto" w:fill="auto"/>
            <w:noWrap/>
            <w:vAlign w:val="bottom"/>
            <w:hideMark/>
          </w:tcPr>
          <w:p w14:paraId="49DC71F5" w14:textId="77777777" w:rsidR="0027533D" w:rsidRPr="006B42D6" w:rsidRDefault="0027533D" w:rsidP="006C676D">
            <w:pPr>
              <w:jc w:val="right"/>
              <w:rPr>
                <w:sz w:val="16"/>
                <w:szCs w:val="16"/>
              </w:rPr>
            </w:pPr>
            <w:r w:rsidRPr="006B42D6">
              <w:rPr>
                <w:sz w:val="16"/>
                <w:szCs w:val="16"/>
              </w:rPr>
              <w:t>173,133</w:t>
            </w:r>
          </w:p>
        </w:tc>
        <w:tc>
          <w:tcPr>
            <w:tcW w:w="524" w:type="pct"/>
            <w:tcBorders>
              <w:top w:val="nil"/>
              <w:left w:val="nil"/>
              <w:right w:val="single" w:sz="4" w:space="0" w:color="auto"/>
            </w:tcBorders>
            <w:shd w:val="clear" w:color="auto" w:fill="auto"/>
            <w:noWrap/>
            <w:vAlign w:val="bottom"/>
            <w:hideMark/>
          </w:tcPr>
          <w:p w14:paraId="290C911B" w14:textId="77777777" w:rsidR="0027533D" w:rsidRPr="006B42D6" w:rsidRDefault="0027533D" w:rsidP="006C676D">
            <w:pPr>
              <w:jc w:val="right"/>
              <w:rPr>
                <w:sz w:val="16"/>
                <w:szCs w:val="16"/>
              </w:rPr>
            </w:pPr>
            <w:r w:rsidRPr="006B42D6">
              <w:rPr>
                <w:sz w:val="16"/>
                <w:szCs w:val="16"/>
              </w:rPr>
              <w:t>26.2</w:t>
            </w:r>
          </w:p>
        </w:tc>
        <w:tc>
          <w:tcPr>
            <w:tcW w:w="572" w:type="pct"/>
            <w:tcBorders>
              <w:top w:val="nil"/>
              <w:left w:val="nil"/>
              <w:right w:val="nil"/>
            </w:tcBorders>
            <w:shd w:val="clear" w:color="auto" w:fill="auto"/>
            <w:noWrap/>
            <w:vAlign w:val="bottom"/>
            <w:hideMark/>
          </w:tcPr>
          <w:p w14:paraId="62278F20" w14:textId="77777777" w:rsidR="0027533D" w:rsidRPr="006B42D6" w:rsidRDefault="0027533D" w:rsidP="006C676D">
            <w:pPr>
              <w:jc w:val="right"/>
              <w:rPr>
                <w:sz w:val="16"/>
                <w:szCs w:val="16"/>
              </w:rPr>
            </w:pPr>
            <w:r w:rsidRPr="006B42D6">
              <w:rPr>
                <w:sz w:val="16"/>
                <w:szCs w:val="16"/>
              </w:rPr>
              <w:t>408,558</w:t>
            </w:r>
          </w:p>
        </w:tc>
        <w:tc>
          <w:tcPr>
            <w:tcW w:w="521" w:type="pct"/>
            <w:tcBorders>
              <w:top w:val="nil"/>
              <w:left w:val="nil"/>
              <w:right w:val="single" w:sz="4" w:space="0" w:color="auto"/>
            </w:tcBorders>
            <w:shd w:val="clear" w:color="auto" w:fill="auto"/>
            <w:noWrap/>
            <w:vAlign w:val="bottom"/>
            <w:hideMark/>
          </w:tcPr>
          <w:p w14:paraId="22AAA20F" w14:textId="77777777" w:rsidR="0027533D" w:rsidRPr="006B42D6" w:rsidRDefault="0027533D" w:rsidP="006C676D">
            <w:pPr>
              <w:jc w:val="right"/>
              <w:rPr>
                <w:sz w:val="16"/>
                <w:szCs w:val="16"/>
              </w:rPr>
            </w:pPr>
            <w:r w:rsidRPr="006B42D6">
              <w:rPr>
                <w:sz w:val="16"/>
                <w:szCs w:val="16"/>
              </w:rPr>
              <w:t>32.3</w:t>
            </w:r>
          </w:p>
        </w:tc>
        <w:tc>
          <w:tcPr>
            <w:tcW w:w="527" w:type="pct"/>
            <w:tcBorders>
              <w:top w:val="nil"/>
              <w:left w:val="nil"/>
              <w:right w:val="nil"/>
            </w:tcBorders>
            <w:shd w:val="clear" w:color="auto" w:fill="auto"/>
            <w:noWrap/>
            <w:vAlign w:val="bottom"/>
            <w:hideMark/>
          </w:tcPr>
          <w:p w14:paraId="0717CE5A" w14:textId="77777777" w:rsidR="0027533D" w:rsidRPr="006B42D6" w:rsidRDefault="0027533D" w:rsidP="006C676D">
            <w:pPr>
              <w:jc w:val="right"/>
              <w:rPr>
                <w:sz w:val="16"/>
                <w:szCs w:val="16"/>
              </w:rPr>
            </w:pPr>
            <w:r w:rsidRPr="006B42D6">
              <w:rPr>
                <w:sz w:val="16"/>
                <w:szCs w:val="16"/>
              </w:rPr>
              <w:t>113,481</w:t>
            </w:r>
          </w:p>
        </w:tc>
        <w:tc>
          <w:tcPr>
            <w:tcW w:w="523" w:type="pct"/>
            <w:tcBorders>
              <w:top w:val="nil"/>
              <w:left w:val="nil"/>
              <w:right w:val="single" w:sz="4" w:space="0" w:color="auto"/>
            </w:tcBorders>
            <w:shd w:val="clear" w:color="auto" w:fill="auto"/>
            <w:noWrap/>
            <w:vAlign w:val="bottom"/>
            <w:hideMark/>
          </w:tcPr>
          <w:p w14:paraId="37540F50" w14:textId="77777777" w:rsidR="0027533D" w:rsidRPr="006B42D6" w:rsidRDefault="0027533D" w:rsidP="006C676D">
            <w:pPr>
              <w:jc w:val="right"/>
              <w:rPr>
                <w:sz w:val="16"/>
                <w:szCs w:val="16"/>
              </w:rPr>
            </w:pPr>
            <w:r w:rsidRPr="006B42D6">
              <w:rPr>
                <w:sz w:val="16"/>
                <w:szCs w:val="16"/>
              </w:rPr>
              <w:t>71.6</w:t>
            </w:r>
          </w:p>
        </w:tc>
        <w:tc>
          <w:tcPr>
            <w:tcW w:w="528" w:type="pct"/>
            <w:tcBorders>
              <w:top w:val="nil"/>
              <w:left w:val="nil"/>
              <w:right w:val="nil"/>
            </w:tcBorders>
            <w:shd w:val="clear" w:color="auto" w:fill="auto"/>
            <w:noWrap/>
            <w:vAlign w:val="bottom"/>
            <w:hideMark/>
          </w:tcPr>
          <w:p w14:paraId="2EDC47E1" w14:textId="77777777" w:rsidR="0027533D" w:rsidRPr="006B42D6" w:rsidRDefault="0027533D" w:rsidP="006C676D">
            <w:pPr>
              <w:jc w:val="right"/>
              <w:rPr>
                <w:sz w:val="16"/>
                <w:szCs w:val="16"/>
              </w:rPr>
            </w:pPr>
            <w:r w:rsidRPr="006B42D6">
              <w:rPr>
                <w:sz w:val="16"/>
                <w:szCs w:val="16"/>
              </w:rPr>
              <w:t>1,496</w:t>
            </w:r>
          </w:p>
        </w:tc>
        <w:tc>
          <w:tcPr>
            <w:tcW w:w="522" w:type="pct"/>
            <w:tcBorders>
              <w:top w:val="nil"/>
              <w:left w:val="nil"/>
              <w:right w:val="nil"/>
            </w:tcBorders>
            <w:shd w:val="clear" w:color="auto" w:fill="auto"/>
            <w:noWrap/>
            <w:vAlign w:val="bottom"/>
            <w:hideMark/>
          </w:tcPr>
          <w:p w14:paraId="53BE5815" w14:textId="77777777" w:rsidR="0027533D" w:rsidRPr="006B42D6" w:rsidRDefault="0027533D" w:rsidP="006C676D">
            <w:pPr>
              <w:jc w:val="right"/>
              <w:rPr>
                <w:sz w:val="16"/>
                <w:szCs w:val="16"/>
              </w:rPr>
            </w:pPr>
            <w:r w:rsidRPr="006B42D6">
              <w:rPr>
                <w:sz w:val="16"/>
                <w:szCs w:val="16"/>
              </w:rPr>
              <w:t>2.1</w:t>
            </w:r>
          </w:p>
        </w:tc>
      </w:tr>
      <w:tr w:rsidR="006B42D6" w:rsidRPr="006B42D6" w14:paraId="680DE1B4" w14:textId="77777777" w:rsidTr="00617341">
        <w:trPr>
          <w:trHeight w:val="70"/>
        </w:trPr>
        <w:tc>
          <w:tcPr>
            <w:tcW w:w="758" w:type="pct"/>
            <w:tcBorders>
              <w:top w:val="nil"/>
              <w:left w:val="nil"/>
              <w:bottom w:val="nil"/>
              <w:right w:val="single" w:sz="4" w:space="0" w:color="auto"/>
            </w:tcBorders>
            <w:shd w:val="clear" w:color="auto" w:fill="auto"/>
            <w:noWrap/>
            <w:vAlign w:val="center"/>
            <w:hideMark/>
          </w:tcPr>
          <w:p w14:paraId="3E8FAFA3" w14:textId="77777777" w:rsidR="0027533D" w:rsidRPr="006B42D6" w:rsidRDefault="0027533D" w:rsidP="006C676D">
            <w:pPr>
              <w:rPr>
                <w:sz w:val="16"/>
                <w:szCs w:val="16"/>
              </w:rPr>
            </w:pPr>
            <w:r w:rsidRPr="006B42D6">
              <w:rPr>
                <w:sz w:val="16"/>
                <w:szCs w:val="16"/>
              </w:rPr>
              <w:t>Kilimanjaro</w:t>
            </w:r>
          </w:p>
        </w:tc>
        <w:tc>
          <w:tcPr>
            <w:tcW w:w="525" w:type="pct"/>
            <w:tcBorders>
              <w:top w:val="nil"/>
              <w:left w:val="nil"/>
              <w:right w:val="nil"/>
            </w:tcBorders>
            <w:shd w:val="clear" w:color="auto" w:fill="auto"/>
            <w:noWrap/>
            <w:vAlign w:val="bottom"/>
            <w:hideMark/>
          </w:tcPr>
          <w:p w14:paraId="2951DE54" w14:textId="77777777" w:rsidR="0027533D" w:rsidRPr="006B42D6" w:rsidRDefault="0027533D" w:rsidP="006C676D">
            <w:pPr>
              <w:jc w:val="right"/>
              <w:rPr>
                <w:sz w:val="16"/>
                <w:szCs w:val="16"/>
              </w:rPr>
            </w:pPr>
            <w:r w:rsidRPr="006B42D6">
              <w:rPr>
                <w:sz w:val="16"/>
                <w:szCs w:val="16"/>
              </w:rPr>
              <w:t>76,916</w:t>
            </w:r>
          </w:p>
        </w:tc>
        <w:tc>
          <w:tcPr>
            <w:tcW w:w="524" w:type="pct"/>
            <w:tcBorders>
              <w:top w:val="nil"/>
              <w:left w:val="nil"/>
              <w:right w:val="single" w:sz="4" w:space="0" w:color="auto"/>
            </w:tcBorders>
            <w:shd w:val="clear" w:color="auto" w:fill="auto"/>
            <w:noWrap/>
            <w:vAlign w:val="bottom"/>
            <w:hideMark/>
          </w:tcPr>
          <w:p w14:paraId="44CAF563" w14:textId="77777777" w:rsidR="0027533D" w:rsidRPr="006B42D6" w:rsidRDefault="0027533D" w:rsidP="006C676D">
            <w:pPr>
              <w:jc w:val="right"/>
              <w:rPr>
                <w:sz w:val="16"/>
                <w:szCs w:val="16"/>
              </w:rPr>
            </w:pPr>
            <w:r w:rsidRPr="006B42D6">
              <w:rPr>
                <w:sz w:val="16"/>
                <w:szCs w:val="16"/>
              </w:rPr>
              <w:t>11.6</w:t>
            </w:r>
          </w:p>
        </w:tc>
        <w:tc>
          <w:tcPr>
            <w:tcW w:w="572" w:type="pct"/>
            <w:tcBorders>
              <w:top w:val="nil"/>
              <w:left w:val="nil"/>
              <w:right w:val="nil"/>
            </w:tcBorders>
            <w:shd w:val="clear" w:color="auto" w:fill="auto"/>
            <w:noWrap/>
            <w:vAlign w:val="bottom"/>
            <w:hideMark/>
          </w:tcPr>
          <w:p w14:paraId="3934ABA2" w14:textId="77777777" w:rsidR="0027533D" w:rsidRPr="006B42D6" w:rsidRDefault="0027533D" w:rsidP="006C676D">
            <w:pPr>
              <w:jc w:val="right"/>
              <w:rPr>
                <w:sz w:val="16"/>
                <w:szCs w:val="16"/>
              </w:rPr>
            </w:pPr>
            <w:r w:rsidRPr="006B42D6">
              <w:rPr>
                <w:sz w:val="16"/>
                <w:szCs w:val="16"/>
              </w:rPr>
              <w:t>113,849</w:t>
            </w:r>
          </w:p>
        </w:tc>
        <w:tc>
          <w:tcPr>
            <w:tcW w:w="521" w:type="pct"/>
            <w:tcBorders>
              <w:top w:val="nil"/>
              <w:left w:val="nil"/>
              <w:right w:val="single" w:sz="4" w:space="0" w:color="auto"/>
            </w:tcBorders>
            <w:shd w:val="clear" w:color="auto" w:fill="auto"/>
            <w:noWrap/>
            <w:vAlign w:val="bottom"/>
            <w:hideMark/>
          </w:tcPr>
          <w:p w14:paraId="34A9496F" w14:textId="77777777" w:rsidR="0027533D" w:rsidRPr="006B42D6" w:rsidRDefault="0027533D" w:rsidP="006C676D">
            <w:pPr>
              <w:jc w:val="right"/>
              <w:rPr>
                <w:sz w:val="16"/>
                <w:szCs w:val="16"/>
              </w:rPr>
            </w:pPr>
            <w:r w:rsidRPr="006B42D6">
              <w:rPr>
                <w:sz w:val="16"/>
                <w:szCs w:val="16"/>
              </w:rPr>
              <w:t>9.0</w:t>
            </w:r>
          </w:p>
        </w:tc>
        <w:tc>
          <w:tcPr>
            <w:tcW w:w="527" w:type="pct"/>
            <w:tcBorders>
              <w:top w:val="nil"/>
              <w:left w:val="nil"/>
              <w:right w:val="nil"/>
            </w:tcBorders>
            <w:shd w:val="clear" w:color="auto" w:fill="auto"/>
            <w:noWrap/>
            <w:vAlign w:val="bottom"/>
            <w:hideMark/>
          </w:tcPr>
          <w:p w14:paraId="5D72EA29" w14:textId="77777777" w:rsidR="0027533D" w:rsidRPr="006B42D6" w:rsidRDefault="0027533D" w:rsidP="006C676D">
            <w:pPr>
              <w:jc w:val="right"/>
              <w:rPr>
                <w:sz w:val="16"/>
                <w:szCs w:val="16"/>
              </w:rPr>
            </w:pPr>
            <w:r w:rsidRPr="006B42D6">
              <w:rPr>
                <w:sz w:val="16"/>
                <w:szCs w:val="16"/>
              </w:rPr>
              <w:t>10,170</w:t>
            </w:r>
          </w:p>
        </w:tc>
        <w:tc>
          <w:tcPr>
            <w:tcW w:w="523" w:type="pct"/>
            <w:tcBorders>
              <w:top w:val="nil"/>
              <w:left w:val="nil"/>
              <w:right w:val="single" w:sz="4" w:space="0" w:color="auto"/>
            </w:tcBorders>
            <w:shd w:val="clear" w:color="auto" w:fill="auto"/>
            <w:noWrap/>
            <w:vAlign w:val="bottom"/>
            <w:hideMark/>
          </w:tcPr>
          <w:p w14:paraId="1C8E01A3" w14:textId="77777777" w:rsidR="0027533D" w:rsidRPr="006B42D6" w:rsidRDefault="0027533D" w:rsidP="006C676D">
            <w:pPr>
              <w:jc w:val="right"/>
              <w:rPr>
                <w:sz w:val="16"/>
                <w:szCs w:val="16"/>
              </w:rPr>
            </w:pPr>
            <w:r w:rsidRPr="006B42D6">
              <w:rPr>
                <w:sz w:val="16"/>
                <w:szCs w:val="16"/>
              </w:rPr>
              <w:t>6.4</w:t>
            </w:r>
          </w:p>
        </w:tc>
        <w:tc>
          <w:tcPr>
            <w:tcW w:w="528" w:type="pct"/>
            <w:tcBorders>
              <w:top w:val="nil"/>
              <w:left w:val="nil"/>
              <w:right w:val="nil"/>
            </w:tcBorders>
            <w:shd w:val="clear" w:color="auto" w:fill="auto"/>
            <w:noWrap/>
            <w:vAlign w:val="bottom"/>
            <w:hideMark/>
          </w:tcPr>
          <w:p w14:paraId="0EE17C6C" w14:textId="77777777" w:rsidR="0027533D" w:rsidRPr="006B42D6" w:rsidRDefault="0027533D" w:rsidP="006C676D">
            <w:pPr>
              <w:jc w:val="right"/>
              <w:rPr>
                <w:sz w:val="16"/>
                <w:szCs w:val="16"/>
              </w:rPr>
            </w:pPr>
            <w:r w:rsidRPr="006B42D6">
              <w:rPr>
                <w:sz w:val="16"/>
                <w:szCs w:val="16"/>
              </w:rPr>
              <w:t>4,924</w:t>
            </w:r>
          </w:p>
        </w:tc>
        <w:tc>
          <w:tcPr>
            <w:tcW w:w="522" w:type="pct"/>
            <w:tcBorders>
              <w:top w:val="nil"/>
              <w:left w:val="nil"/>
              <w:right w:val="nil"/>
            </w:tcBorders>
            <w:shd w:val="clear" w:color="auto" w:fill="auto"/>
            <w:noWrap/>
            <w:vAlign w:val="bottom"/>
            <w:hideMark/>
          </w:tcPr>
          <w:p w14:paraId="7B6EE32B" w14:textId="77777777" w:rsidR="0027533D" w:rsidRPr="006B42D6" w:rsidRDefault="0027533D" w:rsidP="006C676D">
            <w:pPr>
              <w:jc w:val="right"/>
              <w:rPr>
                <w:sz w:val="16"/>
                <w:szCs w:val="16"/>
              </w:rPr>
            </w:pPr>
            <w:r w:rsidRPr="006B42D6">
              <w:rPr>
                <w:sz w:val="16"/>
                <w:szCs w:val="16"/>
              </w:rPr>
              <w:t>6.8</w:t>
            </w:r>
          </w:p>
        </w:tc>
      </w:tr>
      <w:tr w:rsidR="006B42D6" w:rsidRPr="006B42D6" w14:paraId="4F3592E4" w14:textId="77777777" w:rsidTr="00617341">
        <w:trPr>
          <w:trHeight w:val="147"/>
        </w:trPr>
        <w:tc>
          <w:tcPr>
            <w:tcW w:w="758" w:type="pct"/>
            <w:tcBorders>
              <w:top w:val="nil"/>
              <w:left w:val="nil"/>
              <w:bottom w:val="nil"/>
              <w:right w:val="single" w:sz="4" w:space="0" w:color="auto"/>
            </w:tcBorders>
            <w:shd w:val="clear" w:color="auto" w:fill="auto"/>
            <w:noWrap/>
            <w:vAlign w:val="center"/>
            <w:hideMark/>
          </w:tcPr>
          <w:p w14:paraId="7798A49B" w14:textId="77777777" w:rsidR="0027533D" w:rsidRPr="006B42D6" w:rsidRDefault="0027533D" w:rsidP="006C676D">
            <w:pPr>
              <w:rPr>
                <w:sz w:val="16"/>
                <w:szCs w:val="16"/>
              </w:rPr>
            </w:pPr>
            <w:r w:rsidRPr="006B42D6">
              <w:rPr>
                <w:sz w:val="16"/>
                <w:szCs w:val="16"/>
              </w:rPr>
              <w:t>Tanga</w:t>
            </w:r>
          </w:p>
        </w:tc>
        <w:tc>
          <w:tcPr>
            <w:tcW w:w="525" w:type="pct"/>
            <w:tcBorders>
              <w:top w:val="nil"/>
              <w:left w:val="nil"/>
              <w:right w:val="nil"/>
            </w:tcBorders>
            <w:shd w:val="clear" w:color="auto" w:fill="auto"/>
            <w:noWrap/>
            <w:vAlign w:val="bottom"/>
            <w:hideMark/>
          </w:tcPr>
          <w:p w14:paraId="35EFD5EE" w14:textId="77777777" w:rsidR="0027533D" w:rsidRPr="006B42D6" w:rsidRDefault="0027533D" w:rsidP="006C676D">
            <w:pPr>
              <w:jc w:val="right"/>
              <w:rPr>
                <w:sz w:val="16"/>
                <w:szCs w:val="16"/>
              </w:rPr>
            </w:pPr>
            <w:r w:rsidRPr="006B42D6">
              <w:rPr>
                <w:sz w:val="16"/>
                <w:szCs w:val="16"/>
              </w:rPr>
              <w:t>42,489</w:t>
            </w:r>
          </w:p>
        </w:tc>
        <w:tc>
          <w:tcPr>
            <w:tcW w:w="524" w:type="pct"/>
            <w:tcBorders>
              <w:top w:val="nil"/>
              <w:left w:val="nil"/>
              <w:right w:val="single" w:sz="4" w:space="0" w:color="auto"/>
            </w:tcBorders>
            <w:shd w:val="clear" w:color="auto" w:fill="auto"/>
            <w:noWrap/>
            <w:vAlign w:val="bottom"/>
            <w:hideMark/>
          </w:tcPr>
          <w:p w14:paraId="4CEEDC9C" w14:textId="77777777" w:rsidR="0027533D" w:rsidRPr="006B42D6" w:rsidRDefault="0027533D" w:rsidP="006C676D">
            <w:pPr>
              <w:jc w:val="right"/>
              <w:rPr>
                <w:sz w:val="16"/>
                <w:szCs w:val="16"/>
              </w:rPr>
            </w:pPr>
            <w:r w:rsidRPr="006B42D6">
              <w:rPr>
                <w:sz w:val="16"/>
                <w:szCs w:val="16"/>
              </w:rPr>
              <w:t>6.4</w:t>
            </w:r>
          </w:p>
        </w:tc>
        <w:tc>
          <w:tcPr>
            <w:tcW w:w="572" w:type="pct"/>
            <w:tcBorders>
              <w:top w:val="nil"/>
              <w:left w:val="nil"/>
              <w:right w:val="nil"/>
            </w:tcBorders>
            <w:shd w:val="clear" w:color="auto" w:fill="auto"/>
            <w:noWrap/>
            <w:vAlign w:val="bottom"/>
            <w:hideMark/>
          </w:tcPr>
          <w:p w14:paraId="02921BA6" w14:textId="77777777" w:rsidR="0027533D" w:rsidRPr="006B42D6" w:rsidRDefault="0027533D" w:rsidP="006C676D">
            <w:pPr>
              <w:jc w:val="right"/>
              <w:rPr>
                <w:sz w:val="16"/>
                <w:szCs w:val="16"/>
              </w:rPr>
            </w:pPr>
            <w:r w:rsidRPr="006B42D6">
              <w:rPr>
                <w:sz w:val="16"/>
                <w:szCs w:val="16"/>
              </w:rPr>
              <w:t>98,236</w:t>
            </w:r>
          </w:p>
        </w:tc>
        <w:tc>
          <w:tcPr>
            <w:tcW w:w="521" w:type="pct"/>
            <w:tcBorders>
              <w:top w:val="nil"/>
              <w:left w:val="nil"/>
              <w:right w:val="single" w:sz="4" w:space="0" w:color="auto"/>
            </w:tcBorders>
            <w:shd w:val="clear" w:color="auto" w:fill="auto"/>
            <w:noWrap/>
            <w:vAlign w:val="bottom"/>
            <w:hideMark/>
          </w:tcPr>
          <w:p w14:paraId="3A3B7404" w14:textId="77777777" w:rsidR="0027533D" w:rsidRPr="006B42D6" w:rsidRDefault="0027533D" w:rsidP="006C676D">
            <w:pPr>
              <w:jc w:val="right"/>
              <w:rPr>
                <w:sz w:val="16"/>
                <w:szCs w:val="16"/>
              </w:rPr>
            </w:pPr>
            <w:r w:rsidRPr="006B42D6">
              <w:rPr>
                <w:sz w:val="16"/>
                <w:szCs w:val="16"/>
              </w:rPr>
              <w:t>7.8</w:t>
            </w:r>
          </w:p>
        </w:tc>
        <w:tc>
          <w:tcPr>
            <w:tcW w:w="527" w:type="pct"/>
            <w:tcBorders>
              <w:top w:val="nil"/>
              <w:left w:val="nil"/>
              <w:right w:val="nil"/>
            </w:tcBorders>
            <w:shd w:val="clear" w:color="auto" w:fill="auto"/>
            <w:noWrap/>
            <w:vAlign w:val="bottom"/>
            <w:hideMark/>
          </w:tcPr>
          <w:p w14:paraId="15DE8697" w14:textId="77777777" w:rsidR="0027533D" w:rsidRPr="006B42D6" w:rsidRDefault="0027533D" w:rsidP="006C676D">
            <w:pPr>
              <w:jc w:val="right"/>
              <w:rPr>
                <w:sz w:val="16"/>
                <w:szCs w:val="16"/>
              </w:rPr>
            </w:pPr>
            <w:r w:rsidRPr="006B42D6">
              <w:rPr>
                <w:sz w:val="16"/>
                <w:szCs w:val="16"/>
              </w:rPr>
              <w:t>7,031</w:t>
            </w:r>
          </w:p>
        </w:tc>
        <w:tc>
          <w:tcPr>
            <w:tcW w:w="523" w:type="pct"/>
            <w:tcBorders>
              <w:top w:val="nil"/>
              <w:left w:val="nil"/>
              <w:right w:val="single" w:sz="4" w:space="0" w:color="auto"/>
            </w:tcBorders>
            <w:shd w:val="clear" w:color="auto" w:fill="auto"/>
            <w:noWrap/>
            <w:vAlign w:val="bottom"/>
            <w:hideMark/>
          </w:tcPr>
          <w:p w14:paraId="14DDFDC3" w14:textId="77777777" w:rsidR="0027533D" w:rsidRPr="006B42D6" w:rsidRDefault="0027533D" w:rsidP="006C676D">
            <w:pPr>
              <w:jc w:val="right"/>
              <w:rPr>
                <w:sz w:val="16"/>
                <w:szCs w:val="16"/>
              </w:rPr>
            </w:pPr>
            <w:r w:rsidRPr="006B42D6">
              <w:rPr>
                <w:sz w:val="16"/>
                <w:szCs w:val="16"/>
              </w:rPr>
              <w:t>4.4</w:t>
            </w:r>
          </w:p>
        </w:tc>
        <w:tc>
          <w:tcPr>
            <w:tcW w:w="528" w:type="pct"/>
            <w:tcBorders>
              <w:top w:val="nil"/>
              <w:left w:val="nil"/>
              <w:right w:val="nil"/>
            </w:tcBorders>
            <w:shd w:val="clear" w:color="auto" w:fill="auto"/>
            <w:noWrap/>
            <w:vAlign w:val="bottom"/>
            <w:hideMark/>
          </w:tcPr>
          <w:p w14:paraId="235CF071" w14:textId="77777777" w:rsidR="0027533D" w:rsidRPr="006B42D6" w:rsidRDefault="0027533D" w:rsidP="006C676D">
            <w:pPr>
              <w:jc w:val="right"/>
              <w:rPr>
                <w:sz w:val="16"/>
                <w:szCs w:val="16"/>
              </w:rPr>
            </w:pPr>
            <w:r w:rsidRPr="006B42D6">
              <w:rPr>
                <w:sz w:val="16"/>
                <w:szCs w:val="16"/>
              </w:rPr>
              <w:t>-</w:t>
            </w:r>
          </w:p>
        </w:tc>
        <w:tc>
          <w:tcPr>
            <w:tcW w:w="522" w:type="pct"/>
            <w:tcBorders>
              <w:top w:val="nil"/>
              <w:left w:val="nil"/>
              <w:right w:val="nil"/>
            </w:tcBorders>
            <w:shd w:val="clear" w:color="auto" w:fill="auto"/>
            <w:noWrap/>
            <w:vAlign w:val="bottom"/>
            <w:hideMark/>
          </w:tcPr>
          <w:p w14:paraId="3F80E748" w14:textId="77777777" w:rsidR="0027533D" w:rsidRPr="006B42D6" w:rsidRDefault="0027533D" w:rsidP="006C676D">
            <w:pPr>
              <w:jc w:val="right"/>
              <w:rPr>
                <w:sz w:val="16"/>
                <w:szCs w:val="16"/>
              </w:rPr>
            </w:pPr>
            <w:r w:rsidRPr="006B42D6">
              <w:rPr>
                <w:sz w:val="16"/>
                <w:szCs w:val="16"/>
              </w:rPr>
              <w:t>-</w:t>
            </w:r>
          </w:p>
        </w:tc>
      </w:tr>
      <w:tr w:rsidR="006B42D6" w:rsidRPr="006B42D6" w14:paraId="40FE7523" w14:textId="77777777" w:rsidTr="00617341">
        <w:trPr>
          <w:trHeight w:val="70"/>
        </w:trPr>
        <w:tc>
          <w:tcPr>
            <w:tcW w:w="758" w:type="pct"/>
            <w:tcBorders>
              <w:top w:val="nil"/>
              <w:left w:val="nil"/>
              <w:bottom w:val="nil"/>
              <w:right w:val="single" w:sz="4" w:space="0" w:color="auto"/>
            </w:tcBorders>
            <w:shd w:val="clear" w:color="auto" w:fill="auto"/>
            <w:noWrap/>
            <w:vAlign w:val="center"/>
            <w:hideMark/>
          </w:tcPr>
          <w:p w14:paraId="55511795" w14:textId="77777777" w:rsidR="0027533D" w:rsidRPr="006B42D6" w:rsidRDefault="0027533D" w:rsidP="006C676D">
            <w:pPr>
              <w:rPr>
                <w:sz w:val="16"/>
                <w:szCs w:val="16"/>
              </w:rPr>
            </w:pPr>
            <w:r w:rsidRPr="006B42D6">
              <w:rPr>
                <w:sz w:val="16"/>
                <w:szCs w:val="16"/>
              </w:rPr>
              <w:t>Morogoro</w:t>
            </w:r>
          </w:p>
        </w:tc>
        <w:tc>
          <w:tcPr>
            <w:tcW w:w="525" w:type="pct"/>
            <w:tcBorders>
              <w:top w:val="nil"/>
              <w:left w:val="nil"/>
              <w:right w:val="nil"/>
            </w:tcBorders>
            <w:shd w:val="clear" w:color="auto" w:fill="auto"/>
            <w:noWrap/>
            <w:vAlign w:val="bottom"/>
            <w:hideMark/>
          </w:tcPr>
          <w:p w14:paraId="23029868" w14:textId="77777777" w:rsidR="0027533D" w:rsidRPr="006B42D6" w:rsidRDefault="0027533D" w:rsidP="006C676D">
            <w:pPr>
              <w:jc w:val="right"/>
              <w:rPr>
                <w:sz w:val="16"/>
                <w:szCs w:val="16"/>
              </w:rPr>
            </w:pPr>
            <w:r w:rsidRPr="006B42D6">
              <w:rPr>
                <w:sz w:val="16"/>
                <w:szCs w:val="16"/>
              </w:rPr>
              <w:t>45,703</w:t>
            </w:r>
          </w:p>
        </w:tc>
        <w:tc>
          <w:tcPr>
            <w:tcW w:w="524" w:type="pct"/>
            <w:tcBorders>
              <w:top w:val="nil"/>
              <w:left w:val="nil"/>
              <w:right w:val="single" w:sz="4" w:space="0" w:color="auto"/>
            </w:tcBorders>
            <w:shd w:val="clear" w:color="auto" w:fill="auto"/>
            <w:noWrap/>
            <w:vAlign w:val="bottom"/>
            <w:hideMark/>
          </w:tcPr>
          <w:p w14:paraId="359D8920" w14:textId="77777777" w:rsidR="0027533D" w:rsidRPr="006B42D6" w:rsidRDefault="0027533D" w:rsidP="006C676D">
            <w:pPr>
              <w:jc w:val="right"/>
              <w:rPr>
                <w:sz w:val="16"/>
                <w:szCs w:val="16"/>
              </w:rPr>
            </w:pPr>
            <w:r w:rsidRPr="006B42D6">
              <w:rPr>
                <w:sz w:val="16"/>
                <w:szCs w:val="16"/>
              </w:rPr>
              <w:t>6.9</w:t>
            </w:r>
          </w:p>
        </w:tc>
        <w:tc>
          <w:tcPr>
            <w:tcW w:w="572" w:type="pct"/>
            <w:tcBorders>
              <w:top w:val="nil"/>
              <w:left w:val="nil"/>
              <w:right w:val="nil"/>
            </w:tcBorders>
            <w:shd w:val="clear" w:color="auto" w:fill="auto"/>
            <w:noWrap/>
            <w:vAlign w:val="bottom"/>
            <w:hideMark/>
          </w:tcPr>
          <w:p w14:paraId="77A26511" w14:textId="77777777" w:rsidR="0027533D" w:rsidRPr="006B42D6" w:rsidRDefault="0027533D" w:rsidP="006C676D">
            <w:pPr>
              <w:jc w:val="right"/>
              <w:rPr>
                <w:sz w:val="16"/>
                <w:szCs w:val="16"/>
              </w:rPr>
            </w:pPr>
            <w:r w:rsidRPr="006B42D6">
              <w:rPr>
                <w:sz w:val="16"/>
                <w:szCs w:val="16"/>
              </w:rPr>
              <w:t>36,635</w:t>
            </w:r>
          </w:p>
        </w:tc>
        <w:tc>
          <w:tcPr>
            <w:tcW w:w="521" w:type="pct"/>
            <w:tcBorders>
              <w:top w:val="nil"/>
              <w:left w:val="nil"/>
              <w:right w:val="single" w:sz="4" w:space="0" w:color="auto"/>
            </w:tcBorders>
            <w:shd w:val="clear" w:color="auto" w:fill="auto"/>
            <w:noWrap/>
            <w:vAlign w:val="bottom"/>
            <w:hideMark/>
          </w:tcPr>
          <w:p w14:paraId="2C0C3237" w14:textId="77777777" w:rsidR="0027533D" w:rsidRPr="006B42D6" w:rsidRDefault="0027533D" w:rsidP="006C676D">
            <w:pPr>
              <w:jc w:val="right"/>
              <w:rPr>
                <w:sz w:val="16"/>
                <w:szCs w:val="16"/>
              </w:rPr>
            </w:pPr>
            <w:r w:rsidRPr="006B42D6">
              <w:rPr>
                <w:sz w:val="16"/>
                <w:szCs w:val="16"/>
              </w:rPr>
              <w:t>2.9</w:t>
            </w:r>
          </w:p>
        </w:tc>
        <w:tc>
          <w:tcPr>
            <w:tcW w:w="527" w:type="pct"/>
            <w:tcBorders>
              <w:top w:val="nil"/>
              <w:left w:val="nil"/>
              <w:right w:val="nil"/>
            </w:tcBorders>
            <w:shd w:val="clear" w:color="auto" w:fill="auto"/>
            <w:noWrap/>
            <w:vAlign w:val="bottom"/>
            <w:hideMark/>
          </w:tcPr>
          <w:p w14:paraId="6AEF3754" w14:textId="77777777" w:rsidR="0027533D" w:rsidRPr="006B42D6" w:rsidRDefault="0027533D" w:rsidP="006C676D">
            <w:pPr>
              <w:jc w:val="right"/>
              <w:rPr>
                <w:sz w:val="16"/>
                <w:szCs w:val="16"/>
              </w:rPr>
            </w:pPr>
            <w:r w:rsidRPr="006B42D6">
              <w:rPr>
                <w:sz w:val="16"/>
                <w:szCs w:val="16"/>
              </w:rPr>
              <w:t>-</w:t>
            </w:r>
          </w:p>
        </w:tc>
        <w:tc>
          <w:tcPr>
            <w:tcW w:w="523" w:type="pct"/>
            <w:tcBorders>
              <w:top w:val="nil"/>
              <w:left w:val="nil"/>
              <w:right w:val="single" w:sz="4" w:space="0" w:color="auto"/>
            </w:tcBorders>
            <w:shd w:val="clear" w:color="auto" w:fill="auto"/>
            <w:noWrap/>
            <w:vAlign w:val="bottom"/>
            <w:hideMark/>
          </w:tcPr>
          <w:p w14:paraId="762A7910" w14:textId="77777777" w:rsidR="0027533D" w:rsidRPr="006B42D6" w:rsidRDefault="0027533D" w:rsidP="006C676D">
            <w:pPr>
              <w:jc w:val="right"/>
              <w:rPr>
                <w:sz w:val="16"/>
                <w:szCs w:val="16"/>
              </w:rPr>
            </w:pPr>
            <w:r w:rsidRPr="006B42D6">
              <w:rPr>
                <w:sz w:val="16"/>
                <w:szCs w:val="16"/>
              </w:rPr>
              <w:t>-</w:t>
            </w:r>
          </w:p>
        </w:tc>
        <w:tc>
          <w:tcPr>
            <w:tcW w:w="528" w:type="pct"/>
            <w:tcBorders>
              <w:top w:val="nil"/>
              <w:left w:val="nil"/>
              <w:right w:val="nil"/>
            </w:tcBorders>
            <w:shd w:val="clear" w:color="auto" w:fill="auto"/>
            <w:noWrap/>
            <w:vAlign w:val="bottom"/>
            <w:hideMark/>
          </w:tcPr>
          <w:p w14:paraId="56735C36" w14:textId="77777777" w:rsidR="0027533D" w:rsidRPr="006B42D6" w:rsidRDefault="0027533D" w:rsidP="006C676D">
            <w:pPr>
              <w:jc w:val="right"/>
              <w:rPr>
                <w:sz w:val="16"/>
                <w:szCs w:val="16"/>
              </w:rPr>
            </w:pPr>
            <w:r w:rsidRPr="006B42D6">
              <w:rPr>
                <w:sz w:val="16"/>
                <w:szCs w:val="16"/>
              </w:rPr>
              <w:t>971</w:t>
            </w:r>
          </w:p>
        </w:tc>
        <w:tc>
          <w:tcPr>
            <w:tcW w:w="522" w:type="pct"/>
            <w:tcBorders>
              <w:top w:val="nil"/>
              <w:left w:val="nil"/>
              <w:right w:val="nil"/>
            </w:tcBorders>
            <w:shd w:val="clear" w:color="auto" w:fill="auto"/>
            <w:noWrap/>
            <w:vAlign w:val="bottom"/>
            <w:hideMark/>
          </w:tcPr>
          <w:p w14:paraId="22A57822" w14:textId="77777777" w:rsidR="0027533D" w:rsidRPr="006B42D6" w:rsidRDefault="0027533D" w:rsidP="006C676D">
            <w:pPr>
              <w:jc w:val="right"/>
              <w:rPr>
                <w:sz w:val="16"/>
                <w:szCs w:val="16"/>
              </w:rPr>
            </w:pPr>
            <w:r w:rsidRPr="006B42D6">
              <w:rPr>
                <w:sz w:val="16"/>
                <w:szCs w:val="16"/>
              </w:rPr>
              <w:t>1.3</w:t>
            </w:r>
          </w:p>
        </w:tc>
      </w:tr>
      <w:tr w:rsidR="006B42D6" w:rsidRPr="006B42D6" w14:paraId="2EF1C936" w14:textId="77777777" w:rsidTr="00617341">
        <w:trPr>
          <w:trHeight w:val="70"/>
        </w:trPr>
        <w:tc>
          <w:tcPr>
            <w:tcW w:w="758" w:type="pct"/>
            <w:tcBorders>
              <w:top w:val="nil"/>
              <w:left w:val="nil"/>
              <w:bottom w:val="nil"/>
              <w:right w:val="single" w:sz="4" w:space="0" w:color="auto"/>
            </w:tcBorders>
            <w:shd w:val="clear" w:color="auto" w:fill="auto"/>
            <w:noWrap/>
            <w:vAlign w:val="center"/>
            <w:hideMark/>
          </w:tcPr>
          <w:p w14:paraId="7CE08FCF" w14:textId="77777777" w:rsidR="0027533D" w:rsidRPr="006B42D6" w:rsidRDefault="0027533D" w:rsidP="006C676D">
            <w:pPr>
              <w:rPr>
                <w:sz w:val="16"/>
                <w:szCs w:val="16"/>
              </w:rPr>
            </w:pPr>
            <w:r w:rsidRPr="006B42D6">
              <w:rPr>
                <w:sz w:val="16"/>
                <w:szCs w:val="16"/>
              </w:rPr>
              <w:t>Pwani</w:t>
            </w:r>
          </w:p>
        </w:tc>
        <w:tc>
          <w:tcPr>
            <w:tcW w:w="525" w:type="pct"/>
            <w:tcBorders>
              <w:top w:val="nil"/>
              <w:left w:val="nil"/>
              <w:right w:val="nil"/>
            </w:tcBorders>
            <w:shd w:val="clear" w:color="auto" w:fill="auto"/>
            <w:noWrap/>
            <w:vAlign w:val="bottom"/>
            <w:hideMark/>
          </w:tcPr>
          <w:p w14:paraId="4DF9FF12" w14:textId="77777777" w:rsidR="0027533D" w:rsidRPr="006B42D6" w:rsidRDefault="0027533D" w:rsidP="006C676D">
            <w:pPr>
              <w:jc w:val="right"/>
              <w:rPr>
                <w:sz w:val="16"/>
                <w:szCs w:val="16"/>
              </w:rPr>
            </w:pPr>
            <w:r w:rsidRPr="006B42D6">
              <w:rPr>
                <w:sz w:val="16"/>
                <w:szCs w:val="16"/>
              </w:rPr>
              <w:t>75,956</w:t>
            </w:r>
          </w:p>
        </w:tc>
        <w:tc>
          <w:tcPr>
            <w:tcW w:w="524" w:type="pct"/>
            <w:tcBorders>
              <w:top w:val="nil"/>
              <w:left w:val="nil"/>
              <w:right w:val="single" w:sz="4" w:space="0" w:color="auto"/>
            </w:tcBorders>
            <w:shd w:val="clear" w:color="auto" w:fill="auto"/>
            <w:noWrap/>
            <w:vAlign w:val="bottom"/>
            <w:hideMark/>
          </w:tcPr>
          <w:p w14:paraId="0ABB2D95" w14:textId="77777777" w:rsidR="0027533D" w:rsidRPr="006B42D6" w:rsidRDefault="0027533D" w:rsidP="006C676D">
            <w:pPr>
              <w:jc w:val="right"/>
              <w:rPr>
                <w:sz w:val="16"/>
                <w:szCs w:val="16"/>
              </w:rPr>
            </w:pPr>
            <w:r w:rsidRPr="006B42D6">
              <w:rPr>
                <w:sz w:val="16"/>
                <w:szCs w:val="16"/>
              </w:rPr>
              <w:t>11.5</w:t>
            </w:r>
          </w:p>
        </w:tc>
        <w:tc>
          <w:tcPr>
            <w:tcW w:w="572" w:type="pct"/>
            <w:tcBorders>
              <w:top w:val="nil"/>
              <w:left w:val="nil"/>
              <w:right w:val="nil"/>
            </w:tcBorders>
            <w:shd w:val="clear" w:color="auto" w:fill="auto"/>
            <w:noWrap/>
            <w:vAlign w:val="bottom"/>
            <w:hideMark/>
          </w:tcPr>
          <w:p w14:paraId="49D07103" w14:textId="77777777" w:rsidR="0027533D" w:rsidRPr="006B42D6" w:rsidRDefault="0027533D" w:rsidP="006C676D">
            <w:pPr>
              <w:jc w:val="right"/>
              <w:rPr>
                <w:sz w:val="16"/>
                <w:szCs w:val="16"/>
              </w:rPr>
            </w:pPr>
            <w:r w:rsidRPr="006B42D6">
              <w:rPr>
                <w:sz w:val="16"/>
                <w:szCs w:val="16"/>
              </w:rPr>
              <w:t>84,190</w:t>
            </w:r>
          </w:p>
        </w:tc>
        <w:tc>
          <w:tcPr>
            <w:tcW w:w="521" w:type="pct"/>
            <w:tcBorders>
              <w:top w:val="nil"/>
              <w:left w:val="nil"/>
              <w:right w:val="single" w:sz="4" w:space="0" w:color="auto"/>
            </w:tcBorders>
            <w:shd w:val="clear" w:color="auto" w:fill="auto"/>
            <w:noWrap/>
            <w:vAlign w:val="bottom"/>
            <w:hideMark/>
          </w:tcPr>
          <w:p w14:paraId="5C8C6FA8" w14:textId="77777777" w:rsidR="0027533D" w:rsidRPr="006B42D6" w:rsidRDefault="0027533D" w:rsidP="006C676D">
            <w:pPr>
              <w:jc w:val="right"/>
              <w:rPr>
                <w:sz w:val="16"/>
                <w:szCs w:val="16"/>
              </w:rPr>
            </w:pPr>
            <w:r w:rsidRPr="006B42D6">
              <w:rPr>
                <w:sz w:val="16"/>
                <w:szCs w:val="16"/>
              </w:rPr>
              <w:t>6.6</w:t>
            </w:r>
          </w:p>
        </w:tc>
        <w:tc>
          <w:tcPr>
            <w:tcW w:w="527" w:type="pct"/>
            <w:tcBorders>
              <w:top w:val="nil"/>
              <w:left w:val="nil"/>
              <w:right w:val="nil"/>
            </w:tcBorders>
            <w:shd w:val="clear" w:color="auto" w:fill="auto"/>
            <w:noWrap/>
            <w:vAlign w:val="bottom"/>
            <w:hideMark/>
          </w:tcPr>
          <w:p w14:paraId="12A46BA2" w14:textId="77777777" w:rsidR="0027533D" w:rsidRPr="006B42D6" w:rsidRDefault="0027533D" w:rsidP="006C676D">
            <w:pPr>
              <w:jc w:val="right"/>
              <w:rPr>
                <w:sz w:val="16"/>
                <w:szCs w:val="16"/>
              </w:rPr>
            </w:pPr>
            <w:r w:rsidRPr="006B42D6">
              <w:rPr>
                <w:sz w:val="16"/>
                <w:szCs w:val="16"/>
              </w:rPr>
              <w:t>3,728</w:t>
            </w:r>
          </w:p>
        </w:tc>
        <w:tc>
          <w:tcPr>
            <w:tcW w:w="523" w:type="pct"/>
            <w:tcBorders>
              <w:top w:val="nil"/>
              <w:left w:val="nil"/>
              <w:right w:val="single" w:sz="4" w:space="0" w:color="auto"/>
            </w:tcBorders>
            <w:shd w:val="clear" w:color="auto" w:fill="auto"/>
            <w:noWrap/>
            <w:vAlign w:val="bottom"/>
            <w:hideMark/>
          </w:tcPr>
          <w:p w14:paraId="48C1D308" w14:textId="77777777" w:rsidR="0027533D" w:rsidRPr="006B42D6" w:rsidRDefault="0027533D" w:rsidP="006C676D">
            <w:pPr>
              <w:jc w:val="right"/>
              <w:rPr>
                <w:sz w:val="16"/>
                <w:szCs w:val="16"/>
              </w:rPr>
            </w:pPr>
            <w:r w:rsidRPr="006B42D6">
              <w:rPr>
                <w:sz w:val="16"/>
                <w:szCs w:val="16"/>
              </w:rPr>
              <w:t>2.4</w:t>
            </w:r>
          </w:p>
        </w:tc>
        <w:tc>
          <w:tcPr>
            <w:tcW w:w="528" w:type="pct"/>
            <w:tcBorders>
              <w:top w:val="nil"/>
              <w:left w:val="nil"/>
              <w:right w:val="nil"/>
            </w:tcBorders>
            <w:shd w:val="clear" w:color="auto" w:fill="auto"/>
            <w:noWrap/>
            <w:vAlign w:val="bottom"/>
            <w:hideMark/>
          </w:tcPr>
          <w:p w14:paraId="4EC9C80D" w14:textId="77777777" w:rsidR="0027533D" w:rsidRPr="006B42D6" w:rsidRDefault="0027533D" w:rsidP="006C676D">
            <w:pPr>
              <w:jc w:val="right"/>
              <w:rPr>
                <w:sz w:val="16"/>
                <w:szCs w:val="16"/>
              </w:rPr>
            </w:pPr>
            <w:r w:rsidRPr="006B42D6">
              <w:rPr>
                <w:sz w:val="16"/>
                <w:szCs w:val="16"/>
              </w:rPr>
              <w:t>20,006</w:t>
            </w:r>
          </w:p>
        </w:tc>
        <w:tc>
          <w:tcPr>
            <w:tcW w:w="522" w:type="pct"/>
            <w:tcBorders>
              <w:top w:val="nil"/>
              <w:left w:val="nil"/>
              <w:right w:val="nil"/>
            </w:tcBorders>
            <w:shd w:val="clear" w:color="auto" w:fill="auto"/>
            <w:noWrap/>
            <w:vAlign w:val="bottom"/>
            <w:hideMark/>
          </w:tcPr>
          <w:p w14:paraId="2E0C7503" w14:textId="77777777" w:rsidR="0027533D" w:rsidRPr="006B42D6" w:rsidRDefault="0027533D" w:rsidP="006C676D">
            <w:pPr>
              <w:jc w:val="right"/>
              <w:rPr>
                <w:sz w:val="16"/>
                <w:szCs w:val="16"/>
              </w:rPr>
            </w:pPr>
            <w:r w:rsidRPr="006B42D6">
              <w:rPr>
                <w:sz w:val="16"/>
                <w:szCs w:val="16"/>
              </w:rPr>
              <w:t>27.8</w:t>
            </w:r>
          </w:p>
        </w:tc>
      </w:tr>
      <w:tr w:rsidR="006B42D6" w:rsidRPr="006B42D6" w14:paraId="6C952436" w14:textId="77777777" w:rsidTr="00617341">
        <w:trPr>
          <w:trHeight w:val="70"/>
        </w:trPr>
        <w:tc>
          <w:tcPr>
            <w:tcW w:w="758" w:type="pct"/>
            <w:tcBorders>
              <w:top w:val="nil"/>
              <w:left w:val="nil"/>
              <w:bottom w:val="nil"/>
              <w:right w:val="single" w:sz="4" w:space="0" w:color="auto"/>
            </w:tcBorders>
            <w:shd w:val="clear" w:color="auto" w:fill="auto"/>
            <w:noWrap/>
            <w:vAlign w:val="center"/>
            <w:hideMark/>
          </w:tcPr>
          <w:p w14:paraId="0CC0DD49" w14:textId="77777777" w:rsidR="0027533D" w:rsidRPr="006B42D6" w:rsidRDefault="0027533D" w:rsidP="006C676D">
            <w:pPr>
              <w:rPr>
                <w:sz w:val="16"/>
                <w:szCs w:val="16"/>
              </w:rPr>
            </w:pPr>
            <w:r w:rsidRPr="006B42D6">
              <w:rPr>
                <w:sz w:val="16"/>
                <w:szCs w:val="16"/>
              </w:rPr>
              <w:t>Dar Es Salaam</w:t>
            </w:r>
          </w:p>
        </w:tc>
        <w:tc>
          <w:tcPr>
            <w:tcW w:w="525" w:type="pct"/>
            <w:tcBorders>
              <w:top w:val="nil"/>
              <w:left w:val="nil"/>
              <w:right w:val="nil"/>
            </w:tcBorders>
            <w:shd w:val="clear" w:color="auto" w:fill="auto"/>
            <w:noWrap/>
            <w:vAlign w:val="bottom"/>
            <w:hideMark/>
          </w:tcPr>
          <w:p w14:paraId="5DF5E3A1" w14:textId="77777777" w:rsidR="0027533D" w:rsidRPr="006B42D6" w:rsidRDefault="0027533D" w:rsidP="006C676D">
            <w:pPr>
              <w:jc w:val="right"/>
              <w:rPr>
                <w:sz w:val="16"/>
                <w:szCs w:val="16"/>
              </w:rPr>
            </w:pPr>
            <w:r w:rsidRPr="006B42D6">
              <w:rPr>
                <w:sz w:val="16"/>
                <w:szCs w:val="16"/>
              </w:rPr>
              <w:t>-</w:t>
            </w:r>
          </w:p>
        </w:tc>
        <w:tc>
          <w:tcPr>
            <w:tcW w:w="524" w:type="pct"/>
            <w:tcBorders>
              <w:top w:val="nil"/>
              <w:left w:val="nil"/>
              <w:right w:val="single" w:sz="4" w:space="0" w:color="auto"/>
            </w:tcBorders>
            <w:shd w:val="clear" w:color="auto" w:fill="auto"/>
            <w:noWrap/>
            <w:vAlign w:val="bottom"/>
            <w:hideMark/>
          </w:tcPr>
          <w:p w14:paraId="3D2A747A" w14:textId="77777777" w:rsidR="0027533D" w:rsidRPr="006B42D6" w:rsidRDefault="0027533D" w:rsidP="006C676D">
            <w:pPr>
              <w:jc w:val="right"/>
              <w:rPr>
                <w:sz w:val="16"/>
                <w:szCs w:val="16"/>
              </w:rPr>
            </w:pPr>
            <w:r w:rsidRPr="006B42D6">
              <w:rPr>
                <w:sz w:val="16"/>
                <w:szCs w:val="16"/>
              </w:rPr>
              <w:t>-</w:t>
            </w:r>
          </w:p>
        </w:tc>
        <w:tc>
          <w:tcPr>
            <w:tcW w:w="572" w:type="pct"/>
            <w:tcBorders>
              <w:top w:val="nil"/>
              <w:left w:val="nil"/>
              <w:right w:val="nil"/>
            </w:tcBorders>
            <w:shd w:val="clear" w:color="auto" w:fill="auto"/>
            <w:noWrap/>
            <w:vAlign w:val="bottom"/>
            <w:hideMark/>
          </w:tcPr>
          <w:p w14:paraId="20C32FC2" w14:textId="77777777" w:rsidR="0027533D" w:rsidRPr="006B42D6" w:rsidRDefault="0027533D" w:rsidP="006C676D">
            <w:pPr>
              <w:jc w:val="right"/>
              <w:rPr>
                <w:sz w:val="16"/>
                <w:szCs w:val="16"/>
              </w:rPr>
            </w:pPr>
            <w:r w:rsidRPr="006B42D6">
              <w:rPr>
                <w:sz w:val="16"/>
                <w:szCs w:val="16"/>
              </w:rPr>
              <w:t>1,593</w:t>
            </w:r>
          </w:p>
        </w:tc>
        <w:tc>
          <w:tcPr>
            <w:tcW w:w="521" w:type="pct"/>
            <w:tcBorders>
              <w:top w:val="nil"/>
              <w:left w:val="nil"/>
              <w:right w:val="single" w:sz="4" w:space="0" w:color="auto"/>
            </w:tcBorders>
            <w:shd w:val="clear" w:color="auto" w:fill="auto"/>
            <w:noWrap/>
            <w:vAlign w:val="bottom"/>
            <w:hideMark/>
          </w:tcPr>
          <w:p w14:paraId="7B0BEB3B" w14:textId="77777777" w:rsidR="0027533D" w:rsidRPr="006B42D6" w:rsidRDefault="0027533D" w:rsidP="006C676D">
            <w:pPr>
              <w:jc w:val="right"/>
              <w:rPr>
                <w:sz w:val="16"/>
                <w:szCs w:val="16"/>
              </w:rPr>
            </w:pPr>
            <w:r w:rsidRPr="006B42D6">
              <w:rPr>
                <w:sz w:val="16"/>
                <w:szCs w:val="16"/>
              </w:rPr>
              <w:t>0.1</w:t>
            </w:r>
          </w:p>
        </w:tc>
        <w:tc>
          <w:tcPr>
            <w:tcW w:w="527" w:type="pct"/>
            <w:tcBorders>
              <w:top w:val="nil"/>
              <w:left w:val="nil"/>
              <w:right w:val="nil"/>
            </w:tcBorders>
            <w:shd w:val="clear" w:color="auto" w:fill="auto"/>
            <w:noWrap/>
            <w:vAlign w:val="bottom"/>
            <w:hideMark/>
          </w:tcPr>
          <w:p w14:paraId="134C3AC3" w14:textId="77777777" w:rsidR="0027533D" w:rsidRPr="006B42D6" w:rsidRDefault="0027533D" w:rsidP="006C676D">
            <w:pPr>
              <w:jc w:val="right"/>
              <w:rPr>
                <w:sz w:val="16"/>
                <w:szCs w:val="16"/>
              </w:rPr>
            </w:pPr>
            <w:r w:rsidRPr="006B42D6">
              <w:rPr>
                <w:sz w:val="16"/>
                <w:szCs w:val="16"/>
              </w:rPr>
              <w:t>-</w:t>
            </w:r>
          </w:p>
        </w:tc>
        <w:tc>
          <w:tcPr>
            <w:tcW w:w="523" w:type="pct"/>
            <w:tcBorders>
              <w:top w:val="nil"/>
              <w:left w:val="nil"/>
              <w:right w:val="single" w:sz="4" w:space="0" w:color="auto"/>
            </w:tcBorders>
            <w:shd w:val="clear" w:color="auto" w:fill="auto"/>
            <w:noWrap/>
            <w:vAlign w:val="bottom"/>
            <w:hideMark/>
          </w:tcPr>
          <w:p w14:paraId="6E76F5EC" w14:textId="77777777" w:rsidR="0027533D" w:rsidRPr="006B42D6" w:rsidRDefault="0027533D" w:rsidP="006C676D">
            <w:pPr>
              <w:jc w:val="right"/>
              <w:rPr>
                <w:sz w:val="16"/>
                <w:szCs w:val="16"/>
              </w:rPr>
            </w:pPr>
            <w:r w:rsidRPr="006B42D6">
              <w:rPr>
                <w:sz w:val="16"/>
                <w:szCs w:val="16"/>
              </w:rPr>
              <w:t>-</w:t>
            </w:r>
          </w:p>
        </w:tc>
        <w:tc>
          <w:tcPr>
            <w:tcW w:w="528" w:type="pct"/>
            <w:tcBorders>
              <w:top w:val="nil"/>
              <w:left w:val="nil"/>
              <w:right w:val="nil"/>
            </w:tcBorders>
            <w:shd w:val="clear" w:color="auto" w:fill="auto"/>
            <w:noWrap/>
            <w:vAlign w:val="bottom"/>
            <w:hideMark/>
          </w:tcPr>
          <w:p w14:paraId="64C54995" w14:textId="77777777" w:rsidR="0027533D" w:rsidRPr="006B42D6" w:rsidRDefault="0027533D" w:rsidP="006C676D">
            <w:pPr>
              <w:jc w:val="right"/>
              <w:rPr>
                <w:sz w:val="16"/>
                <w:szCs w:val="16"/>
              </w:rPr>
            </w:pPr>
            <w:r w:rsidRPr="006B42D6">
              <w:rPr>
                <w:sz w:val="16"/>
                <w:szCs w:val="16"/>
              </w:rPr>
              <w:t>-</w:t>
            </w:r>
          </w:p>
        </w:tc>
        <w:tc>
          <w:tcPr>
            <w:tcW w:w="522" w:type="pct"/>
            <w:tcBorders>
              <w:top w:val="nil"/>
              <w:left w:val="nil"/>
              <w:right w:val="nil"/>
            </w:tcBorders>
            <w:shd w:val="clear" w:color="auto" w:fill="auto"/>
            <w:noWrap/>
            <w:vAlign w:val="bottom"/>
            <w:hideMark/>
          </w:tcPr>
          <w:p w14:paraId="7FA4B3DD" w14:textId="77777777" w:rsidR="0027533D" w:rsidRPr="006B42D6" w:rsidRDefault="0027533D" w:rsidP="006C676D">
            <w:pPr>
              <w:jc w:val="right"/>
              <w:rPr>
                <w:sz w:val="16"/>
                <w:szCs w:val="16"/>
              </w:rPr>
            </w:pPr>
            <w:r w:rsidRPr="006B42D6">
              <w:rPr>
                <w:sz w:val="16"/>
                <w:szCs w:val="16"/>
              </w:rPr>
              <w:t>-</w:t>
            </w:r>
          </w:p>
        </w:tc>
      </w:tr>
      <w:tr w:rsidR="006B42D6" w:rsidRPr="006B42D6" w14:paraId="37D5BB88" w14:textId="77777777" w:rsidTr="00617341">
        <w:trPr>
          <w:trHeight w:val="70"/>
        </w:trPr>
        <w:tc>
          <w:tcPr>
            <w:tcW w:w="758" w:type="pct"/>
            <w:tcBorders>
              <w:top w:val="nil"/>
              <w:left w:val="nil"/>
              <w:bottom w:val="nil"/>
              <w:right w:val="single" w:sz="4" w:space="0" w:color="auto"/>
            </w:tcBorders>
            <w:shd w:val="clear" w:color="auto" w:fill="auto"/>
            <w:noWrap/>
            <w:vAlign w:val="center"/>
            <w:hideMark/>
          </w:tcPr>
          <w:p w14:paraId="309B206F" w14:textId="77777777" w:rsidR="0027533D" w:rsidRPr="006B42D6" w:rsidRDefault="0027533D" w:rsidP="006C676D">
            <w:pPr>
              <w:rPr>
                <w:sz w:val="16"/>
                <w:szCs w:val="16"/>
              </w:rPr>
            </w:pPr>
            <w:r w:rsidRPr="006B42D6">
              <w:rPr>
                <w:sz w:val="16"/>
                <w:szCs w:val="16"/>
              </w:rPr>
              <w:t>Lindi</w:t>
            </w:r>
          </w:p>
        </w:tc>
        <w:tc>
          <w:tcPr>
            <w:tcW w:w="525" w:type="pct"/>
            <w:tcBorders>
              <w:top w:val="nil"/>
              <w:left w:val="nil"/>
              <w:right w:val="nil"/>
            </w:tcBorders>
            <w:shd w:val="clear" w:color="auto" w:fill="auto"/>
            <w:noWrap/>
            <w:vAlign w:val="bottom"/>
            <w:hideMark/>
          </w:tcPr>
          <w:p w14:paraId="4A37FCB1" w14:textId="77777777" w:rsidR="0027533D" w:rsidRPr="006B42D6" w:rsidRDefault="0027533D" w:rsidP="006C676D">
            <w:pPr>
              <w:jc w:val="right"/>
              <w:rPr>
                <w:sz w:val="16"/>
                <w:szCs w:val="16"/>
              </w:rPr>
            </w:pPr>
            <w:r w:rsidRPr="006B42D6">
              <w:rPr>
                <w:sz w:val="16"/>
                <w:szCs w:val="16"/>
              </w:rPr>
              <w:t>-</w:t>
            </w:r>
          </w:p>
        </w:tc>
        <w:tc>
          <w:tcPr>
            <w:tcW w:w="524" w:type="pct"/>
            <w:tcBorders>
              <w:top w:val="nil"/>
              <w:left w:val="nil"/>
              <w:right w:val="single" w:sz="4" w:space="0" w:color="auto"/>
            </w:tcBorders>
            <w:shd w:val="clear" w:color="auto" w:fill="auto"/>
            <w:noWrap/>
            <w:vAlign w:val="bottom"/>
            <w:hideMark/>
          </w:tcPr>
          <w:p w14:paraId="60E5FF3F" w14:textId="77777777" w:rsidR="0027533D" w:rsidRPr="006B42D6" w:rsidRDefault="0027533D" w:rsidP="006C676D">
            <w:pPr>
              <w:jc w:val="right"/>
              <w:rPr>
                <w:sz w:val="16"/>
                <w:szCs w:val="16"/>
              </w:rPr>
            </w:pPr>
            <w:r w:rsidRPr="006B42D6">
              <w:rPr>
                <w:sz w:val="16"/>
                <w:szCs w:val="16"/>
              </w:rPr>
              <w:t>-</w:t>
            </w:r>
          </w:p>
        </w:tc>
        <w:tc>
          <w:tcPr>
            <w:tcW w:w="572" w:type="pct"/>
            <w:tcBorders>
              <w:top w:val="nil"/>
              <w:left w:val="nil"/>
              <w:right w:val="nil"/>
            </w:tcBorders>
            <w:shd w:val="clear" w:color="auto" w:fill="auto"/>
            <w:noWrap/>
            <w:vAlign w:val="bottom"/>
            <w:hideMark/>
          </w:tcPr>
          <w:p w14:paraId="727DF1C5" w14:textId="77777777" w:rsidR="0027533D" w:rsidRPr="006B42D6" w:rsidRDefault="0027533D" w:rsidP="006C676D">
            <w:pPr>
              <w:jc w:val="right"/>
              <w:rPr>
                <w:sz w:val="16"/>
                <w:szCs w:val="16"/>
              </w:rPr>
            </w:pPr>
            <w:r w:rsidRPr="006B42D6">
              <w:rPr>
                <w:sz w:val="16"/>
                <w:szCs w:val="16"/>
              </w:rPr>
              <w:t>-</w:t>
            </w:r>
          </w:p>
        </w:tc>
        <w:tc>
          <w:tcPr>
            <w:tcW w:w="521" w:type="pct"/>
            <w:tcBorders>
              <w:top w:val="nil"/>
              <w:left w:val="nil"/>
              <w:right w:val="single" w:sz="4" w:space="0" w:color="auto"/>
            </w:tcBorders>
            <w:shd w:val="clear" w:color="auto" w:fill="auto"/>
            <w:noWrap/>
            <w:vAlign w:val="bottom"/>
            <w:hideMark/>
          </w:tcPr>
          <w:p w14:paraId="64B10342" w14:textId="77777777" w:rsidR="0027533D" w:rsidRPr="006B42D6" w:rsidRDefault="0027533D" w:rsidP="006C676D">
            <w:pPr>
              <w:jc w:val="right"/>
              <w:rPr>
                <w:sz w:val="16"/>
                <w:szCs w:val="16"/>
              </w:rPr>
            </w:pPr>
            <w:r w:rsidRPr="006B42D6">
              <w:rPr>
                <w:sz w:val="16"/>
                <w:szCs w:val="16"/>
              </w:rPr>
              <w:t>-</w:t>
            </w:r>
          </w:p>
        </w:tc>
        <w:tc>
          <w:tcPr>
            <w:tcW w:w="527" w:type="pct"/>
            <w:tcBorders>
              <w:top w:val="nil"/>
              <w:left w:val="nil"/>
              <w:right w:val="nil"/>
            </w:tcBorders>
            <w:shd w:val="clear" w:color="auto" w:fill="auto"/>
            <w:noWrap/>
            <w:vAlign w:val="bottom"/>
            <w:hideMark/>
          </w:tcPr>
          <w:p w14:paraId="75D6DC01" w14:textId="77777777" w:rsidR="0027533D" w:rsidRPr="006B42D6" w:rsidRDefault="0027533D" w:rsidP="006C676D">
            <w:pPr>
              <w:jc w:val="right"/>
              <w:rPr>
                <w:sz w:val="16"/>
                <w:szCs w:val="16"/>
              </w:rPr>
            </w:pPr>
            <w:r w:rsidRPr="006B42D6">
              <w:rPr>
                <w:sz w:val="16"/>
                <w:szCs w:val="16"/>
              </w:rPr>
              <w:t>-</w:t>
            </w:r>
          </w:p>
        </w:tc>
        <w:tc>
          <w:tcPr>
            <w:tcW w:w="523" w:type="pct"/>
            <w:tcBorders>
              <w:top w:val="nil"/>
              <w:left w:val="nil"/>
              <w:right w:val="single" w:sz="4" w:space="0" w:color="auto"/>
            </w:tcBorders>
            <w:shd w:val="clear" w:color="auto" w:fill="auto"/>
            <w:noWrap/>
            <w:vAlign w:val="bottom"/>
            <w:hideMark/>
          </w:tcPr>
          <w:p w14:paraId="4EC31B2F" w14:textId="77777777" w:rsidR="0027533D" w:rsidRPr="006B42D6" w:rsidRDefault="0027533D" w:rsidP="006C676D">
            <w:pPr>
              <w:jc w:val="right"/>
              <w:rPr>
                <w:sz w:val="16"/>
                <w:szCs w:val="16"/>
              </w:rPr>
            </w:pPr>
            <w:r w:rsidRPr="006B42D6">
              <w:rPr>
                <w:sz w:val="16"/>
                <w:szCs w:val="16"/>
              </w:rPr>
              <w:t>-</w:t>
            </w:r>
          </w:p>
        </w:tc>
        <w:tc>
          <w:tcPr>
            <w:tcW w:w="528" w:type="pct"/>
            <w:tcBorders>
              <w:top w:val="nil"/>
              <w:left w:val="nil"/>
              <w:right w:val="nil"/>
            </w:tcBorders>
            <w:shd w:val="clear" w:color="auto" w:fill="auto"/>
            <w:noWrap/>
            <w:vAlign w:val="bottom"/>
            <w:hideMark/>
          </w:tcPr>
          <w:p w14:paraId="2DF6A7A0" w14:textId="77777777" w:rsidR="0027533D" w:rsidRPr="006B42D6" w:rsidRDefault="0027533D" w:rsidP="006C676D">
            <w:pPr>
              <w:jc w:val="right"/>
              <w:rPr>
                <w:sz w:val="16"/>
                <w:szCs w:val="16"/>
              </w:rPr>
            </w:pPr>
            <w:r w:rsidRPr="006B42D6">
              <w:rPr>
                <w:sz w:val="16"/>
                <w:szCs w:val="16"/>
              </w:rPr>
              <w:t>-</w:t>
            </w:r>
          </w:p>
        </w:tc>
        <w:tc>
          <w:tcPr>
            <w:tcW w:w="522" w:type="pct"/>
            <w:tcBorders>
              <w:top w:val="nil"/>
              <w:left w:val="nil"/>
              <w:right w:val="nil"/>
            </w:tcBorders>
            <w:shd w:val="clear" w:color="auto" w:fill="auto"/>
            <w:noWrap/>
            <w:vAlign w:val="bottom"/>
            <w:hideMark/>
          </w:tcPr>
          <w:p w14:paraId="6A897EE3" w14:textId="77777777" w:rsidR="0027533D" w:rsidRPr="006B42D6" w:rsidRDefault="0027533D" w:rsidP="006C676D">
            <w:pPr>
              <w:jc w:val="right"/>
              <w:rPr>
                <w:sz w:val="16"/>
                <w:szCs w:val="16"/>
              </w:rPr>
            </w:pPr>
            <w:r w:rsidRPr="006B42D6">
              <w:rPr>
                <w:sz w:val="16"/>
                <w:szCs w:val="16"/>
              </w:rPr>
              <w:t>-</w:t>
            </w:r>
          </w:p>
        </w:tc>
      </w:tr>
      <w:tr w:rsidR="006B42D6" w:rsidRPr="006B42D6" w14:paraId="56B780BB" w14:textId="77777777" w:rsidTr="00617341">
        <w:trPr>
          <w:trHeight w:val="161"/>
        </w:trPr>
        <w:tc>
          <w:tcPr>
            <w:tcW w:w="758" w:type="pct"/>
            <w:tcBorders>
              <w:top w:val="nil"/>
              <w:left w:val="nil"/>
              <w:bottom w:val="nil"/>
              <w:right w:val="single" w:sz="4" w:space="0" w:color="auto"/>
            </w:tcBorders>
            <w:shd w:val="clear" w:color="auto" w:fill="auto"/>
            <w:noWrap/>
            <w:vAlign w:val="center"/>
            <w:hideMark/>
          </w:tcPr>
          <w:p w14:paraId="1D882DEB" w14:textId="77777777" w:rsidR="0027533D" w:rsidRPr="006B42D6" w:rsidRDefault="0027533D" w:rsidP="006C676D">
            <w:pPr>
              <w:rPr>
                <w:sz w:val="16"/>
                <w:szCs w:val="16"/>
              </w:rPr>
            </w:pPr>
            <w:r w:rsidRPr="006B42D6">
              <w:rPr>
                <w:sz w:val="16"/>
                <w:szCs w:val="16"/>
              </w:rPr>
              <w:t>Mtwara</w:t>
            </w:r>
          </w:p>
        </w:tc>
        <w:tc>
          <w:tcPr>
            <w:tcW w:w="525" w:type="pct"/>
            <w:tcBorders>
              <w:top w:val="nil"/>
              <w:left w:val="nil"/>
              <w:right w:val="nil"/>
            </w:tcBorders>
            <w:shd w:val="clear" w:color="auto" w:fill="auto"/>
            <w:noWrap/>
            <w:vAlign w:val="bottom"/>
            <w:hideMark/>
          </w:tcPr>
          <w:p w14:paraId="0C565E3A" w14:textId="77777777" w:rsidR="0027533D" w:rsidRPr="006B42D6" w:rsidRDefault="0027533D" w:rsidP="006C676D">
            <w:pPr>
              <w:jc w:val="right"/>
              <w:rPr>
                <w:sz w:val="16"/>
                <w:szCs w:val="16"/>
              </w:rPr>
            </w:pPr>
            <w:r w:rsidRPr="006B42D6">
              <w:rPr>
                <w:sz w:val="16"/>
                <w:szCs w:val="16"/>
              </w:rPr>
              <w:t>-</w:t>
            </w:r>
          </w:p>
        </w:tc>
        <w:tc>
          <w:tcPr>
            <w:tcW w:w="524" w:type="pct"/>
            <w:tcBorders>
              <w:top w:val="nil"/>
              <w:left w:val="nil"/>
              <w:right w:val="single" w:sz="4" w:space="0" w:color="auto"/>
            </w:tcBorders>
            <w:shd w:val="clear" w:color="auto" w:fill="auto"/>
            <w:noWrap/>
            <w:vAlign w:val="bottom"/>
            <w:hideMark/>
          </w:tcPr>
          <w:p w14:paraId="68697FFB" w14:textId="77777777" w:rsidR="0027533D" w:rsidRPr="006B42D6" w:rsidRDefault="0027533D" w:rsidP="006C676D">
            <w:pPr>
              <w:jc w:val="right"/>
              <w:rPr>
                <w:sz w:val="16"/>
                <w:szCs w:val="16"/>
              </w:rPr>
            </w:pPr>
            <w:r w:rsidRPr="006B42D6">
              <w:rPr>
                <w:sz w:val="16"/>
                <w:szCs w:val="16"/>
              </w:rPr>
              <w:t>-</w:t>
            </w:r>
          </w:p>
        </w:tc>
        <w:tc>
          <w:tcPr>
            <w:tcW w:w="572" w:type="pct"/>
            <w:tcBorders>
              <w:top w:val="nil"/>
              <w:left w:val="nil"/>
              <w:right w:val="nil"/>
            </w:tcBorders>
            <w:shd w:val="clear" w:color="auto" w:fill="auto"/>
            <w:noWrap/>
            <w:vAlign w:val="bottom"/>
            <w:hideMark/>
          </w:tcPr>
          <w:p w14:paraId="325FA0C4" w14:textId="77777777" w:rsidR="0027533D" w:rsidRPr="006B42D6" w:rsidRDefault="0027533D" w:rsidP="006C676D">
            <w:pPr>
              <w:jc w:val="right"/>
              <w:rPr>
                <w:sz w:val="16"/>
                <w:szCs w:val="16"/>
              </w:rPr>
            </w:pPr>
            <w:r w:rsidRPr="006B42D6">
              <w:rPr>
                <w:sz w:val="16"/>
                <w:szCs w:val="16"/>
              </w:rPr>
              <w:t>-</w:t>
            </w:r>
          </w:p>
        </w:tc>
        <w:tc>
          <w:tcPr>
            <w:tcW w:w="521" w:type="pct"/>
            <w:tcBorders>
              <w:top w:val="nil"/>
              <w:left w:val="nil"/>
              <w:right w:val="single" w:sz="4" w:space="0" w:color="auto"/>
            </w:tcBorders>
            <w:shd w:val="clear" w:color="auto" w:fill="auto"/>
            <w:noWrap/>
            <w:vAlign w:val="bottom"/>
            <w:hideMark/>
          </w:tcPr>
          <w:p w14:paraId="19A75E37" w14:textId="77777777" w:rsidR="0027533D" w:rsidRPr="006B42D6" w:rsidRDefault="0027533D" w:rsidP="006C676D">
            <w:pPr>
              <w:jc w:val="right"/>
              <w:rPr>
                <w:sz w:val="16"/>
                <w:szCs w:val="16"/>
              </w:rPr>
            </w:pPr>
            <w:r w:rsidRPr="006B42D6">
              <w:rPr>
                <w:sz w:val="16"/>
                <w:szCs w:val="16"/>
              </w:rPr>
              <w:t>-</w:t>
            </w:r>
          </w:p>
        </w:tc>
        <w:tc>
          <w:tcPr>
            <w:tcW w:w="527" w:type="pct"/>
            <w:tcBorders>
              <w:top w:val="nil"/>
              <w:left w:val="nil"/>
              <w:right w:val="nil"/>
            </w:tcBorders>
            <w:shd w:val="clear" w:color="auto" w:fill="auto"/>
            <w:noWrap/>
            <w:vAlign w:val="bottom"/>
            <w:hideMark/>
          </w:tcPr>
          <w:p w14:paraId="44D623BF" w14:textId="77777777" w:rsidR="0027533D" w:rsidRPr="006B42D6" w:rsidRDefault="0027533D" w:rsidP="006C676D">
            <w:pPr>
              <w:jc w:val="right"/>
              <w:rPr>
                <w:sz w:val="16"/>
                <w:szCs w:val="16"/>
              </w:rPr>
            </w:pPr>
            <w:r w:rsidRPr="006B42D6">
              <w:rPr>
                <w:sz w:val="16"/>
                <w:szCs w:val="16"/>
              </w:rPr>
              <w:t>-</w:t>
            </w:r>
          </w:p>
        </w:tc>
        <w:tc>
          <w:tcPr>
            <w:tcW w:w="523" w:type="pct"/>
            <w:tcBorders>
              <w:top w:val="nil"/>
              <w:left w:val="nil"/>
              <w:right w:val="single" w:sz="4" w:space="0" w:color="auto"/>
            </w:tcBorders>
            <w:shd w:val="clear" w:color="auto" w:fill="auto"/>
            <w:noWrap/>
            <w:vAlign w:val="bottom"/>
            <w:hideMark/>
          </w:tcPr>
          <w:p w14:paraId="66261FF7" w14:textId="77777777" w:rsidR="0027533D" w:rsidRPr="006B42D6" w:rsidRDefault="0027533D" w:rsidP="006C676D">
            <w:pPr>
              <w:jc w:val="right"/>
              <w:rPr>
                <w:sz w:val="16"/>
                <w:szCs w:val="16"/>
              </w:rPr>
            </w:pPr>
            <w:r w:rsidRPr="006B42D6">
              <w:rPr>
                <w:sz w:val="16"/>
                <w:szCs w:val="16"/>
              </w:rPr>
              <w:t>-</w:t>
            </w:r>
          </w:p>
        </w:tc>
        <w:tc>
          <w:tcPr>
            <w:tcW w:w="528" w:type="pct"/>
            <w:tcBorders>
              <w:top w:val="nil"/>
              <w:left w:val="nil"/>
              <w:right w:val="nil"/>
            </w:tcBorders>
            <w:shd w:val="clear" w:color="auto" w:fill="auto"/>
            <w:noWrap/>
            <w:vAlign w:val="bottom"/>
            <w:hideMark/>
          </w:tcPr>
          <w:p w14:paraId="5FA52ECE" w14:textId="77777777" w:rsidR="0027533D" w:rsidRPr="006B42D6" w:rsidRDefault="0027533D" w:rsidP="006C676D">
            <w:pPr>
              <w:jc w:val="right"/>
              <w:rPr>
                <w:sz w:val="16"/>
                <w:szCs w:val="16"/>
              </w:rPr>
            </w:pPr>
            <w:r w:rsidRPr="006B42D6">
              <w:rPr>
                <w:sz w:val="16"/>
                <w:szCs w:val="16"/>
              </w:rPr>
              <w:t>2,976</w:t>
            </w:r>
          </w:p>
        </w:tc>
        <w:tc>
          <w:tcPr>
            <w:tcW w:w="522" w:type="pct"/>
            <w:tcBorders>
              <w:top w:val="nil"/>
              <w:left w:val="nil"/>
              <w:right w:val="nil"/>
            </w:tcBorders>
            <w:shd w:val="clear" w:color="auto" w:fill="auto"/>
            <w:noWrap/>
            <w:vAlign w:val="bottom"/>
            <w:hideMark/>
          </w:tcPr>
          <w:p w14:paraId="5F017A23" w14:textId="77777777" w:rsidR="0027533D" w:rsidRPr="006B42D6" w:rsidRDefault="0027533D" w:rsidP="006C676D">
            <w:pPr>
              <w:jc w:val="right"/>
              <w:rPr>
                <w:sz w:val="16"/>
                <w:szCs w:val="16"/>
              </w:rPr>
            </w:pPr>
            <w:r w:rsidRPr="006B42D6">
              <w:rPr>
                <w:sz w:val="16"/>
                <w:szCs w:val="16"/>
              </w:rPr>
              <w:t>4.1</w:t>
            </w:r>
          </w:p>
        </w:tc>
      </w:tr>
      <w:tr w:rsidR="006B42D6" w:rsidRPr="006B42D6" w14:paraId="21B1B2E6" w14:textId="77777777" w:rsidTr="00617341">
        <w:trPr>
          <w:trHeight w:val="70"/>
        </w:trPr>
        <w:tc>
          <w:tcPr>
            <w:tcW w:w="758" w:type="pct"/>
            <w:tcBorders>
              <w:top w:val="nil"/>
              <w:left w:val="nil"/>
              <w:bottom w:val="nil"/>
              <w:right w:val="single" w:sz="4" w:space="0" w:color="auto"/>
            </w:tcBorders>
            <w:shd w:val="clear" w:color="auto" w:fill="auto"/>
            <w:noWrap/>
            <w:vAlign w:val="center"/>
            <w:hideMark/>
          </w:tcPr>
          <w:p w14:paraId="58D274FA" w14:textId="77777777" w:rsidR="0027533D" w:rsidRPr="006B42D6" w:rsidRDefault="0027533D" w:rsidP="006C676D">
            <w:pPr>
              <w:rPr>
                <w:sz w:val="16"/>
                <w:szCs w:val="16"/>
              </w:rPr>
            </w:pPr>
            <w:r w:rsidRPr="006B42D6">
              <w:rPr>
                <w:sz w:val="16"/>
                <w:szCs w:val="16"/>
              </w:rPr>
              <w:t>Ruvuma</w:t>
            </w:r>
          </w:p>
        </w:tc>
        <w:tc>
          <w:tcPr>
            <w:tcW w:w="525" w:type="pct"/>
            <w:tcBorders>
              <w:top w:val="nil"/>
              <w:left w:val="nil"/>
              <w:right w:val="nil"/>
            </w:tcBorders>
            <w:shd w:val="clear" w:color="auto" w:fill="auto"/>
            <w:noWrap/>
            <w:vAlign w:val="bottom"/>
            <w:hideMark/>
          </w:tcPr>
          <w:p w14:paraId="1CDE7C01" w14:textId="77777777" w:rsidR="0027533D" w:rsidRPr="006B42D6" w:rsidRDefault="0027533D" w:rsidP="006C676D">
            <w:pPr>
              <w:jc w:val="right"/>
              <w:rPr>
                <w:sz w:val="16"/>
                <w:szCs w:val="16"/>
              </w:rPr>
            </w:pPr>
            <w:r w:rsidRPr="006B42D6">
              <w:rPr>
                <w:sz w:val="16"/>
                <w:szCs w:val="16"/>
              </w:rPr>
              <w:t>-</w:t>
            </w:r>
          </w:p>
        </w:tc>
        <w:tc>
          <w:tcPr>
            <w:tcW w:w="524" w:type="pct"/>
            <w:tcBorders>
              <w:top w:val="nil"/>
              <w:left w:val="nil"/>
              <w:right w:val="single" w:sz="4" w:space="0" w:color="auto"/>
            </w:tcBorders>
            <w:shd w:val="clear" w:color="auto" w:fill="auto"/>
            <w:noWrap/>
            <w:vAlign w:val="bottom"/>
            <w:hideMark/>
          </w:tcPr>
          <w:p w14:paraId="1E47FC65" w14:textId="77777777" w:rsidR="0027533D" w:rsidRPr="006B42D6" w:rsidRDefault="0027533D" w:rsidP="006C676D">
            <w:pPr>
              <w:jc w:val="right"/>
              <w:rPr>
                <w:sz w:val="16"/>
                <w:szCs w:val="16"/>
              </w:rPr>
            </w:pPr>
            <w:r w:rsidRPr="006B42D6">
              <w:rPr>
                <w:sz w:val="16"/>
                <w:szCs w:val="16"/>
              </w:rPr>
              <w:t>-</w:t>
            </w:r>
          </w:p>
        </w:tc>
        <w:tc>
          <w:tcPr>
            <w:tcW w:w="572" w:type="pct"/>
            <w:tcBorders>
              <w:top w:val="nil"/>
              <w:left w:val="nil"/>
              <w:right w:val="nil"/>
            </w:tcBorders>
            <w:shd w:val="clear" w:color="auto" w:fill="auto"/>
            <w:noWrap/>
            <w:vAlign w:val="bottom"/>
            <w:hideMark/>
          </w:tcPr>
          <w:p w14:paraId="4AAA73DA" w14:textId="77777777" w:rsidR="0027533D" w:rsidRPr="006B42D6" w:rsidRDefault="0027533D" w:rsidP="006C676D">
            <w:pPr>
              <w:jc w:val="right"/>
              <w:rPr>
                <w:sz w:val="16"/>
                <w:szCs w:val="16"/>
              </w:rPr>
            </w:pPr>
            <w:r w:rsidRPr="006B42D6">
              <w:rPr>
                <w:sz w:val="16"/>
                <w:szCs w:val="16"/>
              </w:rPr>
              <w:t>989</w:t>
            </w:r>
          </w:p>
        </w:tc>
        <w:tc>
          <w:tcPr>
            <w:tcW w:w="521" w:type="pct"/>
            <w:tcBorders>
              <w:top w:val="nil"/>
              <w:left w:val="nil"/>
              <w:right w:val="single" w:sz="4" w:space="0" w:color="auto"/>
            </w:tcBorders>
            <w:shd w:val="clear" w:color="auto" w:fill="auto"/>
            <w:noWrap/>
            <w:vAlign w:val="bottom"/>
            <w:hideMark/>
          </w:tcPr>
          <w:p w14:paraId="082B3EC7" w14:textId="77777777" w:rsidR="0027533D" w:rsidRPr="006B42D6" w:rsidRDefault="0027533D" w:rsidP="006C676D">
            <w:pPr>
              <w:jc w:val="right"/>
              <w:rPr>
                <w:sz w:val="16"/>
                <w:szCs w:val="16"/>
              </w:rPr>
            </w:pPr>
            <w:r w:rsidRPr="006B42D6">
              <w:rPr>
                <w:sz w:val="16"/>
                <w:szCs w:val="16"/>
              </w:rPr>
              <w:t>0.1</w:t>
            </w:r>
          </w:p>
        </w:tc>
        <w:tc>
          <w:tcPr>
            <w:tcW w:w="527" w:type="pct"/>
            <w:tcBorders>
              <w:top w:val="nil"/>
              <w:left w:val="nil"/>
              <w:right w:val="nil"/>
            </w:tcBorders>
            <w:shd w:val="clear" w:color="auto" w:fill="auto"/>
            <w:noWrap/>
            <w:vAlign w:val="bottom"/>
            <w:hideMark/>
          </w:tcPr>
          <w:p w14:paraId="7E13FDD4" w14:textId="77777777" w:rsidR="0027533D" w:rsidRPr="006B42D6" w:rsidRDefault="0027533D" w:rsidP="006C676D">
            <w:pPr>
              <w:jc w:val="right"/>
              <w:rPr>
                <w:sz w:val="16"/>
                <w:szCs w:val="16"/>
              </w:rPr>
            </w:pPr>
            <w:r w:rsidRPr="006B42D6">
              <w:rPr>
                <w:sz w:val="16"/>
                <w:szCs w:val="16"/>
              </w:rPr>
              <w:t>-</w:t>
            </w:r>
          </w:p>
        </w:tc>
        <w:tc>
          <w:tcPr>
            <w:tcW w:w="523" w:type="pct"/>
            <w:tcBorders>
              <w:top w:val="nil"/>
              <w:left w:val="nil"/>
              <w:right w:val="single" w:sz="4" w:space="0" w:color="auto"/>
            </w:tcBorders>
            <w:shd w:val="clear" w:color="auto" w:fill="auto"/>
            <w:noWrap/>
            <w:vAlign w:val="bottom"/>
            <w:hideMark/>
          </w:tcPr>
          <w:p w14:paraId="5FFDAE4B" w14:textId="77777777" w:rsidR="0027533D" w:rsidRPr="006B42D6" w:rsidRDefault="0027533D" w:rsidP="006C676D">
            <w:pPr>
              <w:jc w:val="right"/>
              <w:rPr>
                <w:sz w:val="16"/>
                <w:szCs w:val="16"/>
              </w:rPr>
            </w:pPr>
            <w:r w:rsidRPr="006B42D6">
              <w:rPr>
                <w:sz w:val="16"/>
                <w:szCs w:val="16"/>
              </w:rPr>
              <w:t>-</w:t>
            </w:r>
          </w:p>
        </w:tc>
        <w:tc>
          <w:tcPr>
            <w:tcW w:w="528" w:type="pct"/>
            <w:tcBorders>
              <w:top w:val="nil"/>
              <w:left w:val="nil"/>
              <w:right w:val="nil"/>
            </w:tcBorders>
            <w:shd w:val="clear" w:color="auto" w:fill="auto"/>
            <w:noWrap/>
            <w:vAlign w:val="bottom"/>
            <w:hideMark/>
          </w:tcPr>
          <w:p w14:paraId="22144BE3" w14:textId="77777777" w:rsidR="0027533D" w:rsidRPr="006B42D6" w:rsidRDefault="0027533D" w:rsidP="006C676D">
            <w:pPr>
              <w:jc w:val="right"/>
              <w:rPr>
                <w:sz w:val="16"/>
                <w:szCs w:val="16"/>
              </w:rPr>
            </w:pPr>
            <w:r w:rsidRPr="006B42D6">
              <w:rPr>
                <w:sz w:val="16"/>
                <w:szCs w:val="16"/>
              </w:rPr>
              <w:t>-</w:t>
            </w:r>
          </w:p>
        </w:tc>
        <w:tc>
          <w:tcPr>
            <w:tcW w:w="522" w:type="pct"/>
            <w:tcBorders>
              <w:top w:val="nil"/>
              <w:left w:val="nil"/>
              <w:right w:val="nil"/>
            </w:tcBorders>
            <w:shd w:val="clear" w:color="auto" w:fill="auto"/>
            <w:noWrap/>
            <w:vAlign w:val="bottom"/>
            <w:hideMark/>
          </w:tcPr>
          <w:p w14:paraId="7FB018BB" w14:textId="77777777" w:rsidR="0027533D" w:rsidRPr="006B42D6" w:rsidRDefault="0027533D" w:rsidP="006C676D">
            <w:pPr>
              <w:jc w:val="right"/>
              <w:rPr>
                <w:sz w:val="16"/>
                <w:szCs w:val="16"/>
              </w:rPr>
            </w:pPr>
            <w:r w:rsidRPr="006B42D6">
              <w:rPr>
                <w:sz w:val="16"/>
                <w:szCs w:val="16"/>
              </w:rPr>
              <w:t>-</w:t>
            </w:r>
          </w:p>
        </w:tc>
      </w:tr>
      <w:tr w:rsidR="006B42D6" w:rsidRPr="006B42D6" w14:paraId="76A7E60C" w14:textId="77777777" w:rsidTr="00617341">
        <w:trPr>
          <w:trHeight w:val="70"/>
        </w:trPr>
        <w:tc>
          <w:tcPr>
            <w:tcW w:w="758" w:type="pct"/>
            <w:tcBorders>
              <w:top w:val="nil"/>
              <w:left w:val="nil"/>
              <w:bottom w:val="nil"/>
              <w:right w:val="single" w:sz="4" w:space="0" w:color="auto"/>
            </w:tcBorders>
            <w:shd w:val="clear" w:color="auto" w:fill="auto"/>
            <w:noWrap/>
            <w:vAlign w:val="center"/>
            <w:hideMark/>
          </w:tcPr>
          <w:p w14:paraId="3928E9DC" w14:textId="77777777" w:rsidR="0027533D" w:rsidRPr="006B42D6" w:rsidRDefault="0027533D" w:rsidP="006C676D">
            <w:pPr>
              <w:rPr>
                <w:sz w:val="16"/>
                <w:szCs w:val="16"/>
              </w:rPr>
            </w:pPr>
            <w:r w:rsidRPr="006B42D6">
              <w:rPr>
                <w:sz w:val="16"/>
                <w:szCs w:val="16"/>
              </w:rPr>
              <w:t>Iringa</w:t>
            </w:r>
          </w:p>
        </w:tc>
        <w:tc>
          <w:tcPr>
            <w:tcW w:w="525" w:type="pct"/>
            <w:tcBorders>
              <w:top w:val="nil"/>
              <w:left w:val="nil"/>
              <w:right w:val="nil"/>
            </w:tcBorders>
            <w:shd w:val="clear" w:color="auto" w:fill="auto"/>
            <w:noWrap/>
            <w:vAlign w:val="bottom"/>
            <w:hideMark/>
          </w:tcPr>
          <w:p w14:paraId="71A0819F" w14:textId="77777777" w:rsidR="0027533D" w:rsidRPr="006B42D6" w:rsidRDefault="0027533D" w:rsidP="006C676D">
            <w:pPr>
              <w:jc w:val="right"/>
              <w:rPr>
                <w:sz w:val="16"/>
                <w:szCs w:val="16"/>
              </w:rPr>
            </w:pPr>
            <w:r w:rsidRPr="006B42D6">
              <w:rPr>
                <w:sz w:val="16"/>
                <w:szCs w:val="16"/>
              </w:rPr>
              <w:t>-</w:t>
            </w:r>
          </w:p>
        </w:tc>
        <w:tc>
          <w:tcPr>
            <w:tcW w:w="524" w:type="pct"/>
            <w:tcBorders>
              <w:top w:val="nil"/>
              <w:left w:val="nil"/>
              <w:right w:val="single" w:sz="4" w:space="0" w:color="auto"/>
            </w:tcBorders>
            <w:shd w:val="clear" w:color="auto" w:fill="auto"/>
            <w:noWrap/>
            <w:vAlign w:val="bottom"/>
            <w:hideMark/>
          </w:tcPr>
          <w:p w14:paraId="3599B5C3" w14:textId="77777777" w:rsidR="0027533D" w:rsidRPr="006B42D6" w:rsidRDefault="0027533D" w:rsidP="006C676D">
            <w:pPr>
              <w:jc w:val="right"/>
              <w:rPr>
                <w:sz w:val="16"/>
                <w:szCs w:val="16"/>
              </w:rPr>
            </w:pPr>
            <w:r w:rsidRPr="006B42D6">
              <w:rPr>
                <w:sz w:val="16"/>
                <w:szCs w:val="16"/>
              </w:rPr>
              <w:t>-</w:t>
            </w:r>
          </w:p>
        </w:tc>
        <w:tc>
          <w:tcPr>
            <w:tcW w:w="572" w:type="pct"/>
            <w:tcBorders>
              <w:top w:val="nil"/>
              <w:left w:val="nil"/>
              <w:right w:val="nil"/>
            </w:tcBorders>
            <w:shd w:val="clear" w:color="auto" w:fill="auto"/>
            <w:noWrap/>
            <w:vAlign w:val="bottom"/>
            <w:hideMark/>
          </w:tcPr>
          <w:p w14:paraId="64DEBD33" w14:textId="77777777" w:rsidR="0027533D" w:rsidRPr="006B42D6" w:rsidRDefault="0027533D" w:rsidP="006C676D">
            <w:pPr>
              <w:jc w:val="right"/>
              <w:rPr>
                <w:sz w:val="16"/>
                <w:szCs w:val="16"/>
              </w:rPr>
            </w:pPr>
            <w:r w:rsidRPr="006B42D6">
              <w:rPr>
                <w:sz w:val="16"/>
                <w:szCs w:val="16"/>
              </w:rPr>
              <w:t>4,633</w:t>
            </w:r>
          </w:p>
        </w:tc>
        <w:tc>
          <w:tcPr>
            <w:tcW w:w="521" w:type="pct"/>
            <w:tcBorders>
              <w:top w:val="nil"/>
              <w:left w:val="nil"/>
              <w:right w:val="single" w:sz="4" w:space="0" w:color="auto"/>
            </w:tcBorders>
            <w:shd w:val="clear" w:color="auto" w:fill="auto"/>
            <w:noWrap/>
            <w:vAlign w:val="bottom"/>
            <w:hideMark/>
          </w:tcPr>
          <w:p w14:paraId="500D32AE" w14:textId="77777777" w:rsidR="0027533D" w:rsidRPr="006B42D6" w:rsidRDefault="0027533D" w:rsidP="006C676D">
            <w:pPr>
              <w:jc w:val="right"/>
              <w:rPr>
                <w:sz w:val="16"/>
                <w:szCs w:val="16"/>
              </w:rPr>
            </w:pPr>
            <w:r w:rsidRPr="006B42D6">
              <w:rPr>
                <w:sz w:val="16"/>
                <w:szCs w:val="16"/>
              </w:rPr>
              <w:t>0.4</w:t>
            </w:r>
          </w:p>
        </w:tc>
        <w:tc>
          <w:tcPr>
            <w:tcW w:w="527" w:type="pct"/>
            <w:tcBorders>
              <w:top w:val="nil"/>
              <w:left w:val="nil"/>
              <w:right w:val="nil"/>
            </w:tcBorders>
            <w:shd w:val="clear" w:color="auto" w:fill="auto"/>
            <w:noWrap/>
            <w:vAlign w:val="bottom"/>
            <w:hideMark/>
          </w:tcPr>
          <w:p w14:paraId="255E1F4B" w14:textId="77777777" w:rsidR="0027533D" w:rsidRPr="006B42D6" w:rsidRDefault="0027533D" w:rsidP="006C676D">
            <w:pPr>
              <w:jc w:val="right"/>
              <w:rPr>
                <w:sz w:val="16"/>
                <w:szCs w:val="16"/>
              </w:rPr>
            </w:pPr>
            <w:r w:rsidRPr="006B42D6">
              <w:rPr>
                <w:sz w:val="16"/>
                <w:szCs w:val="16"/>
              </w:rPr>
              <w:t>-</w:t>
            </w:r>
          </w:p>
        </w:tc>
        <w:tc>
          <w:tcPr>
            <w:tcW w:w="523" w:type="pct"/>
            <w:tcBorders>
              <w:top w:val="nil"/>
              <w:left w:val="nil"/>
              <w:right w:val="single" w:sz="4" w:space="0" w:color="auto"/>
            </w:tcBorders>
            <w:shd w:val="clear" w:color="auto" w:fill="auto"/>
            <w:noWrap/>
            <w:vAlign w:val="bottom"/>
            <w:hideMark/>
          </w:tcPr>
          <w:p w14:paraId="26E3512C" w14:textId="77777777" w:rsidR="0027533D" w:rsidRPr="006B42D6" w:rsidRDefault="0027533D" w:rsidP="006C676D">
            <w:pPr>
              <w:jc w:val="right"/>
              <w:rPr>
                <w:sz w:val="16"/>
                <w:szCs w:val="16"/>
              </w:rPr>
            </w:pPr>
            <w:r w:rsidRPr="006B42D6">
              <w:rPr>
                <w:sz w:val="16"/>
                <w:szCs w:val="16"/>
              </w:rPr>
              <w:t>-</w:t>
            </w:r>
          </w:p>
        </w:tc>
        <w:tc>
          <w:tcPr>
            <w:tcW w:w="528" w:type="pct"/>
            <w:tcBorders>
              <w:top w:val="nil"/>
              <w:left w:val="nil"/>
              <w:right w:val="nil"/>
            </w:tcBorders>
            <w:shd w:val="clear" w:color="auto" w:fill="auto"/>
            <w:noWrap/>
            <w:vAlign w:val="bottom"/>
            <w:hideMark/>
          </w:tcPr>
          <w:p w14:paraId="79ADBF0D" w14:textId="77777777" w:rsidR="0027533D" w:rsidRPr="006B42D6" w:rsidRDefault="0027533D" w:rsidP="006C676D">
            <w:pPr>
              <w:jc w:val="right"/>
              <w:rPr>
                <w:sz w:val="16"/>
                <w:szCs w:val="16"/>
              </w:rPr>
            </w:pPr>
            <w:r w:rsidRPr="006B42D6">
              <w:rPr>
                <w:sz w:val="16"/>
                <w:szCs w:val="16"/>
              </w:rPr>
              <w:t>1,324</w:t>
            </w:r>
          </w:p>
        </w:tc>
        <w:tc>
          <w:tcPr>
            <w:tcW w:w="522" w:type="pct"/>
            <w:tcBorders>
              <w:top w:val="nil"/>
              <w:left w:val="nil"/>
              <w:right w:val="nil"/>
            </w:tcBorders>
            <w:shd w:val="clear" w:color="auto" w:fill="auto"/>
            <w:noWrap/>
            <w:vAlign w:val="bottom"/>
            <w:hideMark/>
          </w:tcPr>
          <w:p w14:paraId="19874D29" w14:textId="77777777" w:rsidR="0027533D" w:rsidRPr="006B42D6" w:rsidRDefault="0027533D" w:rsidP="006C676D">
            <w:pPr>
              <w:jc w:val="right"/>
              <w:rPr>
                <w:sz w:val="16"/>
                <w:szCs w:val="16"/>
              </w:rPr>
            </w:pPr>
            <w:r w:rsidRPr="006B42D6">
              <w:rPr>
                <w:sz w:val="16"/>
                <w:szCs w:val="16"/>
              </w:rPr>
              <w:t>1.8</w:t>
            </w:r>
          </w:p>
        </w:tc>
      </w:tr>
      <w:tr w:rsidR="006B42D6" w:rsidRPr="006B42D6" w14:paraId="03FF694D" w14:textId="77777777" w:rsidTr="00617341">
        <w:trPr>
          <w:trHeight w:val="70"/>
        </w:trPr>
        <w:tc>
          <w:tcPr>
            <w:tcW w:w="758" w:type="pct"/>
            <w:tcBorders>
              <w:top w:val="nil"/>
              <w:left w:val="nil"/>
              <w:bottom w:val="nil"/>
              <w:right w:val="single" w:sz="4" w:space="0" w:color="auto"/>
            </w:tcBorders>
            <w:shd w:val="clear" w:color="auto" w:fill="auto"/>
            <w:noWrap/>
            <w:vAlign w:val="center"/>
            <w:hideMark/>
          </w:tcPr>
          <w:p w14:paraId="2231577E" w14:textId="77777777" w:rsidR="0027533D" w:rsidRPr="006B42D6" w:rsidRDefault="0027533D" w:rsidP="006C676D">
            <w:pPr>
              <w:rPr>
                <w:sz w:val="16"/>
                <w:szCs w:val="16"/>
              </w:rPr>
            </w:pPr>
            <w:r w:rsidRPr="006B42D6">
              <w:rPr>
                <w:sz w:val="16"/>
                <w:szCs w:val="16"/>
              </w:rPr>
              <w:t>Mbeya</w:t>
            </w:r>
          </w:p>
        </w:tc>
        <w:tc>
          <w:tcPr>
            <w:tcW w:w="525" w:type="pct"/>
            <w:tcBorders>
              <w:top w:val="nil"/>
              <w:left w:val="nil"/>
              <w:right w:val="nil"/>
            </w:tcBorders>
            <w:shd w:val="clear" w:color="auto" w:fill="auto"/>
            <w:noWrap/>
            <w:vAlign w:val="bottom"/>
            <w:hideMark/>
          </w:tcPr>
          <w:p w14:paraId="59F63D6F" w14:textId="77777777" w:rsidR="0027533D" w:rsidRPr="006B42D6" w:rsidRDefault="0027533D" w:rsidP="006C676D">
            <w:pPr>
              <w:jc w:val="right"/>
              <w:rPr>
                <w:sz w:val="16"/>
                <w:szCs w:val="16"/>
              </w:rPr>
            </w:pPr>
            <w:r w:rsidRPr="006B42D6">
              <w:rPr>
                <w:sz w:val="16"/>
                <w:szCs w:val="16"/>
              </w:rPr>
              <w:t>46,881</w:t>
            </w:r>
          </w:p>
        </w:tc>
        <w:tc>
          <w:tcPr>
            <w:tcW w:w="524" w:type="pct"/>
            <w:tcBorders>
              <w:top w:val="nil"/>
              <w:left w:val="nil"/>
              <w:right w:val="single" w:sz="4" w:space="0" w:color="auto"/>
            </w:tcBorders>
            <w:shd w:val="clear" w:color="auto" w:fill="auto"/>
            <w:noWrap/>
            <w:vAlign w:val="bottom"/>
            <w:hideMark/>
          </w:tcPr>
          <w:p w14:paraId="569FC229" w14:textId="77777777" w:rsidR="0027533D" w:rsidRPr="006B42D6" w:rsidRDefault="0027533D" w:rsidP="006C676D">
            <w:pPr>
              <w:jc w:val="right"/>
              <w:rPr>
                <w:sz w:val="16"/>
                <w:szCs w:val="16"/>
              </w:rPr>
            </w:pPr>
            <w:r w:rsidRPr="006B42D6">
              <w:rPr>
                <w:sz w:val="16"/>
                <w:szCs w:val="16"/>
              </w:rPr>
              <w:t>7.1</w:t>
            </w:r>
          </w:p>
        </w:tc>
        <w:tc>
          <w:tcPr>
            <w:tcW w:w="572" w:type="pct"/>
            <w:tcBorders>
              <w:top w:val="nil"/>
              <w:left w:val="nil"/>
              <w:right w:val="nil"/>
            </w:tcBorders>
            <w:shd w:val="clear" w:color="auto" w:fill="auto"/>
            <w:noWrap/>
            <w:vAlign w:val="bottom"/>
            <w:hideMark/>
          </w:tcPr>
          <w:p w14:paraId="49E87BE1" w14:textId="77777777" w:rsidR="0027533D" w:rsidRPr="006B42D6" w:rsidRDefault="0027533D" w:rsidP="006C676D">
            <w:pPr>
              <w:jc w:val="right"/>
              <w:rPr>
                <w:sz w:val="16"/>
                <w:szCs w:val="16"/>
              </w:rPr>
            </w:pPr>
            <w:r w:rsidRPr="006B42D6">
              <w:rPr>
                <w:sz w:val="16"/>
                <w:szCs w:val="16"/>
              </w:rPr>
              <w:t>9,861</w:t>
            </w:r>
          </w:p>
        </w:tc>
        <w:tc>
          <w:tcPr>
            <w:tcW w:w="521" w:type="pct"/>
            <w:tcBorders>
              <w:top w:val="nil"/>
              <w:left w:val="nil"/>
              <w:right w:val="single" w:sz="4" w:space="0" w:color="auto"/>
            </w:tcBorders>
            <w:shd w:val="clear" w:color="auto" w:fill="auto"/>
            <w:noWrap/>
            <w:vAlign w:val="bottom"/>
            <w:hideMark/>
          </w:tcPr>
          <w:p w14:paraId="76E55089" w14:textId="77777777" w:rsidR="0027533D" w:rsidRPr="006B42D6" w:rsidRDefault="0027533D" w:rsidP="006C676D">
            <w:pPr>
              <w:jc w:val="right"/>
              <w:rPr>
                <w:sz w:val="16"/>
                <w:szCs w:val="16"/>
              </w:rPr>
            </w:pPr>
            <w:r w:rsidRPr="006B42D6">
              <w:rPr>
                <w:sz w:val="16"/>
                <w:szCs w:val="16"/>
              </w:rPr>
              <w:t>0.8</w:t>
            </w:r>
          </w:p>
        </w:tc>
        <w:tc>
          <w:tcPr>
            <w:tcW w:w="527" w:type="pct"/>
            <w:tcBorders>
              <w:top w:val="nil"/>
              <w:left w:val="nil"/>
              <w:right w:val="nil"/>
            </w:tcBorders>
            <w:shd w:val="clear" w:color="auto" w:fill="auto"/>
            <w:noWrap/>
            <w:vAlign w:val="bottom"/>
            <w:hideMark/>
          </w:tcPr>
          <w:p w14:paraId="564F83E4" w14:textId="77777777" w:rsidR="0027533D" w:rsidRPr="006B42D6" w:rsidRDefault="0027533D" w:rsidP="006C676D">
            <w:pPr>
              <w:jc w:val="right"/>
              <w:rPr>
                <w:sz w:val="16"/>
                <w:szCs w:val="16"/>
              </w:rPr>
            </w:pPr>
            <w:r w:rsidRPr="006B42D6">
              <w:rPr>
                <w:sz w:val="16"/>
                <w:szCs w:val="16"/>
              </w:rPr>
              <w:t>-</w:t>
            </w:r>
          </w:p>
        </w:tc>
        <w:tc>
          <w:tcPr>
            <w:tcW w:w="523" w:type="pct"/>
            <w:tcBorders>
              <w:top w:val="nil"/>
              <w:left w:val="nil"/>
              <w:right w:val="single" w:sz="4" w:space="0" w:color="auto"/>
            </w:tcBorders>
            <w:shd w:val="clear" w:color="auto" w:fill="auto"/>
            <w:noWrap/>
            <w:vAlign w:val="bottom"/>
            <w:hideMark/>
          </w:tcPr>
          <w:p w14:paraId="43839FDD" w14:textId="77777777" w:rsidR="0027533D" w:rsidRPr="006B42D6" w:rsidRDefault="0027533D" w:rsidP="006C676D">
            <w:pPr>
              <w:jc w:val="right"/>
              <w:rPr>
                <w:sz w:val="16"/>
                <w:szCs w:val="16"/>
              </w:rPr>
            </w:pPr>
            <w:r w:rsidRPr="006B42D6">
              <w:rPr>
                <w:sz w:val="16"/>
                <w:szCs w:val="16"/>
              </w:rPr>
              <w:t>-</w:t>
            </w:r>
          </w:p>
        </w:tc>
        <w:tc>
          <w:tcPr>
            <w:tcW w:w="528" w:type="pct"/>
            <w:tcBorders>
              <w:top w:val="nil"/>
              <w:left w:val="nil"/>
              <w:right w:val="nil"/>
            </w:tcBorders>
            <w:shd w:val="clear" w:color="auto" w:fill="auto"/>
            <w:noWrap/>
            <w:vAlign w:val="bottom"/>
            <w:hideMark/>
          </w:tcPr>
          <w:p w14:paraId="2B98B98D" w14:textId="77777777" w:rsidR="0027533D" w:rsidRPr="006B42D6" w:rsidRDefault="0027533D" w:rsidP="006C676D">
            <w:pPr>
              <w:jc w:val="right"/>
              <w:rPr>
                <w:sz w:val="16"/>
                <w:szCs w:val="16"/>
              </w:rPr>
            </w:pPr>
            <w:r w:rsidRPr="006B42D6">
              <w:rPr>
                <w:sz w:val="16"/>
                <w:szCs w:val="16"/>
              </w:rPr>
              <w:t>7,766</w:t>
            </w:r>
          </w:p>
        </w:tc>
        <w:tc>
          <w:tcPr>
            <w:tcW w:w="522" w:type="pct"/>
            <w:tcBorders>
              <w:top w:val="nil"/>
              <w:left w:val="nil"/>
              <w:right w:val="nil"/>
            </w:tcBorders>
            <w:shd w:val="clear" w:color="auto" w:fill="auto"/>
            <w:noWrap/>
            <w:vAlign w:val="bottom"/>
            <w:hideMark/>
          </w:tcPr>
          <w:p w14:paraId="1D132F04" w14:textId="77777777" w:rsidR="0027533D" w:rsidRPr="006B42D6" w:rsidRDefault="0027533D" w:rsidP="006C676D">
            <w:pPr>
              <w:jc w:val="right"/>
              <w:rPr>
                <w:sz w:val="16"/>
                <w:szCs w:val="16"/>
              </w:rPr>
            </w:pPr>
            <w:r w:rsidRPr="006B42D6">
              <w:rPr>
                <w:sz w:val="16"/>
                <w:szCs w:val="16"/>
              </w:rPr>
              <w:t>10.8</w:t>
            </w:r>
          </w:p>
        </w:tc>
      </w:tr>
      <w:tr w:rsidR="006B42D6" w:rsidRPr="006B42D6" w14:paraId="39F25D11" w14:textId="77777777" w:rsidTr="00617341">
        <w:trPr>
          <w:trHeight w:val="70"/>
        </w:trPr>
        <w:tc>
          <w:tcPr>
            <w:tcW w:w="758" w:type="pct"/>
            <w:tcBorders>
              <w:top w:val="nil"/>
              <w:left w:val="nil"/>
              <w:bottom w:val="nil"/>
              <w:right w:val="single" w:sz="4" w:space="0" w:color="auto"/>
            </w:tcBorders>
            <w:shd w:val="clear" w:color="auto" w:fill="auto"/>
            <w:noWrap/>
            <w:vAlign w:val="center"/>
            <w:hideMark/>
          </w:tcPr>
          <w:p w14:paraId="78774EF7" w14:textId="77777777" w:rsidR="0027533D" w:rsidRPr="006B42D6" w:rsidRDefault="0027533D" w:rsidP="006C676D">
            <w:pPr>
              <w:rPr>
                <w:sz w:val="16"/>
                <w:szCs w:val="16"/>
              </w:rPr>
            </w:pPr>
            <w:r w:rsidRPr="006B42D6">
              <w:rPr>
                <w:sz w:val="16"/>
                <w:szCs w:val="16"/>
              </w:rPr>
              <w:t>Singida</w:t>
            </w:r>
          </w:p>
        </w:tc>
        <w:tc>
          <w:tcPr>
            <w:tcW w:w="525" w:type="pct"/>
            <w:tcBorders>
              <w:top w:val="nil"/>
              <w:left w:val="nil"/>
              <w:right w:val="nil"/>
            </w:tcBorders>
            <w:shd w:val="clear" w:color="auto" w:fill="auto"/>
            <w:noWrap/>
            <w:vAlign w:val="bottom"/>
            <w:hideMark/>
          </w:tcPr>
          <w:p w14:paraId="141D4914" w14:textId="77777777" w:rsidR="0027533D" w:rsidRPr="006B42D6" w:rsidRDefault="0027533D" w:rsidP="006C676D">
            <w:pPr>
              <w:jc w:val="right"/>
              <w:rPr>
                <w:sz w:val="16"/>
                <w:szCs w:val="16"/>
              </w:rPr>
            </w:pPr>
            <w:r w:rsidRPr="006B42D6">
              <w:rPr>
                <w:sz w:val="16"/>
                <w:szCs w:val="16"/>
              </w:rPr>
              <w:t>17,942</w:t>
            </w:r>
          </w:p>
        </w:tc>
        <w:tc>
          <w:tcPr>
            <w:tcW w:w="524" w:type="pct"/>
            <w:tcBorders>
              <w:top w:val="nil"/>
              <w:left w:val="nil"/>
              <w:right w:val="single" w:sz="4" w:space="0" w:color="auto"/>
            </w:tcBorders>
            <w:shd w:val="clear" w:color="auto" w:fill="auto"/>
            <w:noWrap/>
            <w:vAlign w:val="bottom"/>
            <w:hideMark/>
          </w:tcPr>
          <w:p w14:paraId="428934BF" w14:textId="77777777" w:rsidR="0027533D" w:rsidRPr="006B42D6" w:rsidRDefault="0027533D" w:rsidP="006C676D">
            <w:pPr>
              <w:jc w:val="right"/>
              <w:rPr>
                <w:sz w:val="16"/>
                <w:szCs w:val="16"/>
              </w:rPr>
            </w:pPr>
            <w:r w:rsidRPr="006B42D6">
              <w:rPr>
                <w:sz w:val="16"/>
                <w:szCs w:val="16"/>
              </w:rPr>
              <w:t>2.7</w:t>
            </w:r>
          </w:p>
        </w:tc>
        <w:tc>
          <w:tcPr>
            <w:tcW w:w="572" w:type="pct"/>
            <w:tcBorders>
              <w:top w:val="nil"/>
              <w:left w:val="nil"/>
              <w:right w:val="nil"/>
            </w:tcBorders>
            <w:shd w:val="clear" w:color="auto" w:fill="auto"/>
            <w:noWrap/>
            <w:vAlign w:val="bottom"/>
            <w:hideMark/>
          </w:tcPr>
          <w:p w14:paraId="24B94ADF" w14:textId="77777777" w:rsidR="0027533D" w:rsidRPr="006B42D6" w:rsidRDefault="0027533D" w:rsidP="006C676D">
            <w:pPr>
              <w:jc w:val="right"/>
              <w:rPr>
                <w:sz w:val="16"/>
                <w:szCs w:val="16"/>
              </w:rPr>
            </w:pPr>
            <w:r w:rsidRPr="006B42D6">
              <w:rPr>
                <w:sz w:val="16"/>
                <w:szCs w:val="16"/>
              </w:rPr>
              <w:t>24,315</w:t>
            </w:r>
          </w:p>
        </w:tc>
        <w:tc>
          <w:tcPr>
            <w:tcW w:w="521" w:type="pct"/>
            <w:tcBorders>
              <w:top w:val="nil"/>
              <w:left w:val="nil"/>
              <w:right w:val="single" w:sz="4" w:space="0" w:color="auto"/>
            </w:tcBorders>
            <w:shd w:val="clear" w:color="auto" w:fill="auto"/>
            <w:noWrap/>
            <w:vAlign w:val="bottom"/>
            <w:hideMark/>
          </w:tcPr>
          <w:p w14:paraId="737A0B6D" w14:textId="77777777" w:rsidR="0027533D" w:rsidRPr="006B42D6" w:rsidRDefault="0027533D" w:rsidP="006C676D">
            <w:pPr>
              <w:jc w:val="right"/>
              <w:rPr>
                <w:sz w:val="16"/>
                <w:szCs w:val="16"/>
              </w:rPr>
            </w:pPr>
            <w:r w:rsidRPr="006B42D6">
              <w:rPr>
                <w:sz w:val="16"/>
                <w:szCs w:val="16"/>
              </w:rPr>
              <w:t>1.9</w:t>
            </w:r>
          </w:p>
        </w:tc>
        <w:tc>
          <w:tcPr>
            <w:tcW w:w="527" w:type="pct"/>
            <w:tcBorders>
              <w:top w:val="nil"/>
              <w:left w:val="nil"/>
              <w:right w:val="nil"/>
            </w:tcBorders>
            <w:shd w:val="clear" w:color="auto" w:fill="auto"/>
            <w:noWrap/>
            <w:vAlign w:val="bottom"/>
            <w:hideMark/>
          </w:tcPr>
          <w:p w14:paraId="2C153A34" w14:textId="77777777" w:rsidR="0027533D" w:rsidRPr="006B42D6" w:rsidRDefault="0027533D" w:rsidP="006C676D">
            <w:pPr>
              <w:jc w:val="right"/>
              <w:rPr>
                <w:sz w:val="16"/>
                <w:szCs w:val="16"/>
              </w:rPr>
            </w:pPr>
            <w:r w:rsidRPr="006B42D6">
              <w:rPr>
                <w:sz w:val="16"/>
                <w:szCs w:val="16"/>
              </w:rPr>
              <w:t>-</w:t>
            </w:r>
          </w:p>
        </w:tc>
        <w:tc>
          <w:tcPr>
            <w:tcW w:w="523" w:type="pct"/>
            <w:tcBorders>
              <w:top w:val="nil"/>
              <w:left w:val="nil"/>
              <w:right w:val="single" w:sz="4" w:space="0" w:color="auto"/>
            </w:tcBorders>
            <w:shd w:val="clear" w:color="auto" w:fill="auto"/>
            <w:noWrap/>
            <w:vAlign w:val="bottom"/>
            <w:hideMark/>
          </w:tcPr>
          <w:p w14:paraId="45669C0E" w14:textId="77777777" w:rsidR="0027533D" w:rsidRPr="006B42D6" w:rsidRDefault="0027533D" w:rsidP="006C676D">
            <w:pPr>
              <w:jc w:val="right"/>
              <w:rPr>
                <w:sz w:val="16"/>
                <w:szCs w:val="16"/>
              </w:rPr>
            </w:pPr>
            <w:r w:rsidRPr="006B42D6">
              <w:rPr>
                <w:sz w:val="16"/>
                <w:szCs w:val="16"/>
              </w:rPr>
              <w:t>-</w:t>
            </w:r>
          </w:p>
        </w:tc>
        <w:tc>
          <w:tcPr>
            <w:tcW w:w="528" w:type="pct"/>
            <w:tcBorders>
              <w:top w:val="nil"/>
              <w:left w:val="nil"/>
              <w:right w:val="nil"/>
            </w:tcBorders>
            <w:shd w:val="clear" w:color="auto" w:fill="auto"/>
            <w:noWrap/>
            <w:vAlign w:val="bottom"/>
            <w:hideMark/>
          </w:tcPr>
          <w:p w14:paraId="0C7DA3A6" w14:textId="77777777" w:rsidR="0027533D" w:rsidRPr="006B42D6" w:rsidRDefault="0027533D" w:rsidP="006C676D">
            <w:pPr>
              <w:jc w:val="right"/>
              <w:rPr>
                <w:sz w:val="16"/>
                <w:szCs w:val="16"/>
              </w:rPr>
            </w:pPr>
            <w:r w:rsidRPr="006B42D6">
              <w:rPr>
                <w:sz w:val="16"/>
                <w:szCs w:val="16"/>
              </w:rPr>
              <w:t>10,537</w:t>
            </w:r>
          </w:p>
        </w:tc>
        <w:tc>
          <w:tcPr>
            <w:tcW w:w="522" w:type="pct"/>
            <w:tcBorders>
              <w:top w:val="nil"/>
              <w:left w:val="nil"/>
              <w:right w:val="nil"/>
            </w:tcBorders>
            <w:shd w:val="clear" w:color="auto" w:fill="auto"/>
            <w:noWrap/>
            <w:vAlign w:val="bottom"/>
            <w:hideMark/>
          </w:tcPr>
          <w:p w14:paraId="4AFBD39F" w14:textId="77777777" w:rsidR="0027533D" w:rsidRPr="006B42D6" w:rsidRDefault="0027533D" w:rsidP="006C676D">
            <w:pPr>
              <w:jc w:val="right"/>
              <w:rPr>
                <w:sz w:val="16"/>
                <w:szCs w:val="16"/>
              </w:rPr>
            </w:pPr>
            <w:r w:rsidRPr="006B42D6">
              <w:rPr>
                <w:sz w:val="16"/>
                <w:szCs w:val="16"/>
              </w:rPr>
              <w:t>14.6</w:t>
            </w:r>
          </w:p>
        </w:tc>
      </w:tr>
      <w:tr w:rsidR="006B42D6" w:rsidRPr="006B42D6" w14:paraId="467075B2" w14:textId="77777777" w:rsidTr="00617341">
        <w:trPr>
          <w:trHeight w:val="70"/>
        </w:trPr>
        <w:tc>
          <w:tcPr>
            <w:tcW w:w="758" w:type="pct"/>
            <w:tcBorders>
              <w:top w:val="nil"/>
              <w:left w:val="nil"/>
              <w:bottom w:val="nil"/>
              <w:right w:val="single" w:sz="4" w:space="0" w:color="auto"/>
            </w:tcBorders>
            <w:shd w:val="clear" w:color="auto" w:fill="auto"/>
            <w:noWrap/>
            <w:vAlign w:val="center"/>
            <w:hideMark/>
          </w:tcPr>
          <w:p w14:paraId="21E93B01" w14:textId="77777777" w:rsidR="0027533D" w:rsidRPr="006B42D6" w:rsidRDefault="0027533D" w:rsidP="006C676D">
            <w:pPr>
              <w:rPr>
                <w:sz w:val="16"/>
                <w:szCs w:val="16"/>
              </w:rPr>
            </w:pPr>
            <w:r w:rsidRPr="006B42D6">
              <w:rPr>
                <w:sz w:val="16"/>
                <w:szCs w:val="16"/>
              </w:rPr>
              <w:t>Tabora</w:t>
            </w:r>
          </w:p>
        </w:tc>
        <w:tc>
          <w:tcPr>
            <w:tcW w:w="525" w:type="pct"/>
            <w:tcBorders>
              <w:top w:val="nil"/>
              <w:left w:val="nil"/>
              <w:right w:val="nil"/>
            </w:tcBorders>
            <w:shd w:val="clear" w:color="auto" w:fill="auto"/>
            <w:noWrap/>
            <w:vAlign w:val="bottom"/>
            <w:hideMark/>
          </w:tcPr>
          <w:p w14:paraId="0B896970" w14:textId="77777777" w:rsidR="0027533D" w:rsidRPr="006B42D6" w:rsidRDefault="0027533D" w:rsidP="006C676D">
            <w:pPr>
              <w:jc w:val="right"/>
              <w:rPr>
                <w:sz w:val="16"/>
                <w:szCs w:val="16"/>
              </w:rPr>
            </w:pPr>
            <w:r w:rsidRPr="006B42D6">
              <w:rPr>
                <w:sz w:val="16"/>
                <w:szCs w:val="16"/>
              </w:rPr>
              <w:t>3,577</w:t>
            </w:r>
          </w:p>
        </w:tc>
        <w:tc>
          <w:tcPr>
            <w:tcW w:w="524" w:type="pct"/>
            <w:tcBorders>
              <w:top w:val="nil"/>
              <w:left w:val="nil"/>
              <w:right w:val="single" w:sz="4" w:space="0" w:color="auto"/>
            </w:tcBorders>
            <w:shd w:val="clear" w:color="auto" w:fill="auto"/>
            <w:noWrap/>
            <w:vAlign w:val="bottom"/>
            <w:hideMark/>
          </w:tcPr>
          <w:p w14:paraId="319E9986" w14:textId="77777777" w:rsidR="0027533D" w:rsidRPr="006B42D6" w:rsidRDefault="0027533D" w:rsidP="006C676D">
            <w:pPr>
              <w:jc w:val="right"/>
              <w:rPr>
                <w:sz w:val="16"/>
                <w:szCs w:val="16"/>
              </w:rPr>
            </w:pPr>
            <w:r w:rsidRPr="006B42D6">
              <w:rPr>
                <w:sz w:val="16"/>
                <w:szCs w:val="16"/>
              </w:rPr>
              <w:t>0.5</w:t>
            </w:r>
          </w:p>
        </w:tc>
        <w:tc>
          <w:tcPr>
            <w:tcW w:w="572" w:type="pct"/>
            <w:tcBorders>
              <w:top w:val="nil"/>
              <w:left w:val="nil"/>
              <w:right w:val="nil"/>
            </w:tcBorders>
            <w:shd w:val="clear" w:color="auto" w:fill="auto"/>
            <w:noWrap/>
            <w:vAlign w:val="bottom"/>
            <w:hideMark/>
          </w:tcPr>
          <w:p w14:paraId="2C74671F" w14:textId="77777777" w:rsidR="0027533D" w:rsidRPr="006B42D6" w:rsidRDefault="0027533D" w:rsidP="006C676D">
            <w:pPr>
              <w:jc w:val="right"/>
              <w:rPr>
                <w:sz w:val="16"/>
                <w:szCs w:val="16"/>
              </w:rPr>
            </w:pPr>
            <w:r w:rsidRPr="006B42D6">
              <w:rPr>
                <w:sz w:val="16"/>
                <w:szCs w:val="16"/>
              </w:rPr>
              <w:t>8,283</w:t>
            </w:r>
          </w:p>
        </w:tc>
        <w:tc>
          <w:tcPr>
            <w:tcW w:w="521" w:type="pct"/>
            <w:tcBorders>
              <w:top w:val="nil"/>
              <w:left w:val="nil"/>
              <w:right w:val="single" w:sz="4" w:space="0" w:color="auto"/>
            </w:tcBorders>
            <w:shd w:val="clear" w:color="auto" w:fill="auto"/>
            <w:noWrap/>
            <w:vAlign w:val="bottom"/>
            <w:hideMark/>
          </w:tcPr>
          <w:p w14:paraId="08A4E802" w14:textId="77777777" w:rsidR="0027533D" w:rsidRPr="006B42D6" w:rsidRDefault="0027533D" w:rsidP="006C676D">
            <w:pPr>
              <w:jc w:val="right"/>
              <w:rPr>
                <w:sz w:val="16"/>
                <w:szCs w:val="16"/>
              </w:rPr>
            </w:pPr>
            <w:r w:rsidRPr="006B42D6">
              <w:rPr>
                <w:sz w:val="16"/>
                <w:szCs w:val="16"/>
              </w:rPr>
              <w:t>0.7</w:t>
            </w:r>
          </w:p>
        </w:tc>
        <w:tc>
          <w:tcPr>
            <w:tcW w:w="527" w:type="pct"/>
            <w:tcBorders>
              <w:top w:val="nil"/>
              <w:left w:val="nil"/>
              <w:right w:val="nil"/>
            </w:tcBorders>
            <w:shd w:val="clear" w:color="auto" w:fill="auto"/>
            <w:noWrap/>
            <w:vAlign w:val="bottom"/>
            <w:hideMark/>
          </w:tcPr>
          <w:p w14:paraId="39653CBD" w14:textId="77777777" w:rsidR="0027533D" w:rsidRPr="006B42D6" w:rsidRDefault="0027533D" w:rsidP="006C676D">
            <w:pPr>
              <w:jc w:val="right"/>
              <w:rPr>
                <w:sz w:val="16"/>
                <w:szCs w:val="16"/>
              </w:rPr>
            </w:pPr>
            <w:r w:rsidRPr="006B42D6">
              <w:rPr>
                <w:sz w:val="16"/>
                <w:szCs w:val="16"/>
              </w:rPr>
              <w:t>2,225</w:t>
            </w:r>
          </w:p>
        </w:tc>
        <w:tc>
          <w:tcPr>
            <w:tcW w:w="523" w:type="pct"/>
            <w:tcBorders>
              <w:top w:val="nil"/>
              <w:left w:val="nil"/>
              <w:right w:val="single" w:sz="4" w:space="0" w:color="auto"/>
            </w:tcBorders>
            <w:shd w:val="clear" w:color="auto" w:fill="auto"/>
            <w:noWrap/>
            <w:vAlign w:val="bottom"/>
            <w:hideMark/>
          </w:tcPr>
          <w:p w14:paraId="7BD7F859" w14:textId="77777777" w:rsidR="0027533D" w:rsidRPr="006B42D6" w:rsidRDefault="0027533D" w:rsidP="006C676D">
            <w:pPr>
              <w:jc w:val="right"/>
              <w:rPr>
                <w:sz w:val="16"/>
                <w:szCs w:val="16"/>
              </w:rPr>
            </w:pPr>
            <w:r w:rsidRPr="006B42D6">
              <w:rPr>
                <w:sz w:val="16"/>
                <w:szCs w:val="16"/>
              </w:rPr>
              <w:t>1.4</w:t>
            </w:r>
          </w:p>
        </w:tc>
        <w:tc>
          <w:tcPr>
            <w:tcW w:w="528" w:type="pct"/>
            <w:tcBorders>
              <w:top w:val="nil"/>
              <w:left w:val="nil"/>
              <w:right w:val="nil"/>
            </w:tcBorders>
            <w:shd w:val="clear" w:color="auto" w:fill="auto"/>
            <w:noWrap/>
            <w:vAlign w:val="bottom"/>
            <w:hideMark/>
          </w:tcPr>
          <w:p w14:paraId="275F586F" w14:textId="77777777" w:rsidR="0027533D" w:rsidRPr="006B42D6" w:rsidRDefault="0027533D" w:rsidP="006C676D">
            <w:pPr>
              <w:jc w:val="right"/>
              <w:rPr>
                <w:sz w:val="16"/>
                <w:szCs w:val="16"/>
              </w:rPr>
            </w:pPr>
            <w:r w:rsidRPr="006B42D6">
              <w:rPr>
                <w:sz w:val="16"/>
                <w:szCs w:val="16"/>
              </w:rPr>
              <w:t>3,448</w:t>
            </w:r>
          </w:p>
        </w:tc>
        <w:tc>
          <w:tcPr>
            <w:tcW w:w="522" w:type="pct"/>
            <w:tcBorders>
              <w:top w:val="nil"/>
              <w:left w:val="nil"/>
              <w:right w:val="nil"/>
            </w:tcBorders>
            <w:shd w:val="clear" w:color="auto" w:fill="auto"/>
            <w:noWrap/>
            <w:vAlign w:val="bottom"/>
            <w:hideMark/>
          </w:tcPr>
          <w:p w14:paraId="0FD05599" w14:textId="77777777" w:rsidR="0027533D" w:rsidRPr="006B42D6" w:rsidRDefault="0027533D" w:rsidP="006C676D">
            <w:pPr>
              <w:jc w:val="right"/>
              <w:rPr>
                <w:sz w:val="16"/>
                <w:szCs w:val="16"/>
              </w:rPr>
            </w:pPr>
            <w:r w:rsidRPr="006B42D6">
              <w:rPr>
                <w:sz w:val="16"/>
                <w:szCs w:val="16"/>
              </w:rPr>
              <w:t>4.8</w:t>
            </w:r>
          </w:p>
        </w:tc>
      </w:tr>
      <w:tr w:rsidR="006B42D6" w:rsidRPr="006B42D6" w14:paraId="35214222" w14:textId="77777777" w:rsidTr="00617341">
        <w:trPr>
          <w:trHeight w:val="70"/>
        </w:trPr>
        <w:tc>
          <w:tcPr>
            <w:tcW w:w="758" w:type="pct"/>
            <w:tcBorders>
              <w:top w:val="nil"/>
              <w:left w:val="nil"/>
              <w:bottom w:val="nil"/>
              <w:right w:val="single" w:sz="4" w:space="0" w:color="auto"/>
            </w:tcBorders>
            <w:shd w:val="clear" w:color="auto" w:fill="auto"/>
            <w:noWrap/>
            <w:vAlign w:val="center"/>
            <w:hideMark/>
          </w:tcPr>
          <w:p w14:paraId="63600075" w14:textId="77777777" w:rsidR="0027533D" w:rsidRPr="006B42D6" w:rsidRDefault="0027533D" w:rsidP="006C676D">
            <w:pPr>
              <w:rPr>
                <w:sz w:val="16"/>
                <w:szCs w:val="16"/>
              </w:rPr>
            </w:pPr>
            <w:r w:rsidRPr="006B42D6">
              <w:rPr>
                <w:sz w:val="16"/>
                <w:szCs w:val="16"/>
              </w:rPr>
              <w:t>Rukwa</w:t>
            </w:r>
          </w:p>
        </w:tc>
        <w:tc>
          <w:tcPr>
            <w:tcW w:w="525" w:type="pct"/>
            <w:tcBorders>
              <w:top w:val="nil"/>
              <w:left w:val="nil"/>
              <w:right w:val="nil"/>
            </w:tcBorders>
            <w:shd w:val="clear" w:color="auto" w:fill="auto"/>
            <w:noWrap/>
            <w:vAlign w:val="bottom"/>
            <w:hideMark/>
          </w:tcPr>
          <w:p w14:paraId="74FE7DB0" w14:textId="77777777" w:rsidR="0027533D" w:rsidRPr="006B42D6" w:rsidRDefault="0027533D" w:rsidP="006C676D">
            <w:pPr>
              <w:jc w:val="right"/>
              <w:rPr>
                <w:sz w:val="16"/>
                <w:szCs w:val="16"/>
              </w:rPr>
            </w:pPr>
            <w:r w:rsidRPr="006B42D6">
              <w:rPr>
                <w:sz w:val="16"/>
                <w:szCs w:val="16"/>
              </w:rPr>
              <w:t>2,020</w:t>
            </w:r>
          </w:p>
        </w:tc>
        <w:tc>
          <w:tcPr>
            <w:tcW w:w="524" w:type="pct"/>
            <w:tcBorders>
              <w:top w:val="nil"/>
              <w:left w:val="nil"/>
              <w:right w:val="single" w:sz="4" w:space="0" w:color="auto"/>
            </w:tcBorders>
            <w:shd w:val="clear" w:color="auto" w:fill="auto"/>
            <w:noWrap/>
            <w:vAlign w:val="bottom"/>
            <w:hideMark/>
          </w:tcPr>
          <w:p w14:paraId="6228CC6F" w14:textId="77777777" w:rsidR="0027533D" w:rsidRPr="006B42D6" w:rsidRDefault="0027533D" w:rsidP="006C676D">
            <w:pPr>
              <w:jc w:val="right"/>
              <w:rPr>
                <w:sz w:val="16"/>
                <w:szCs w:val="16"/>
              </w:rPr>
            </w:pPr>
            <w:r w:rsidRPr="006B42D6">
              <w:rPr>
                <w:sz w:val="16"/>
                <w:szCs w:val="16"/>
              </w:rPr>
              <w:t>0.3</w:t>
            </w:r>
          </w:p>
        </w:tc>
        <w:tc>
          <w:tcPr>
            <w:tcW w:w="572" w:type="pct"/>
            <w:tcBorders>
              <w:top w:val="nil"/>
              <w:left w:val="nil"/>
              <w:right w:val="nil"/>
            </w:tcBorders>
            <w:shd w:val="clear" w:color="auto" w:fill="auto"/>
            <w:noWrap/>
            <w:vAlign w:val="bottom"/>
            <w:hideMark/>
          </w:tcPr>
          <w:p w14:paraId="5237B622" w14:textId="77777777" w:rsidR="0027533D" w:rsidRPr="006B42D6" w:rsidRDefault="0027533D" w:rsidP="006C676D">
            <w:pPr>
              <w:jc w:val="right"/>
              <w:rPr>
                <w:sz w:val="16"/>
                <w:szCs w:val="16"/>
              </w:rPr>
            </w:pPr>
            <w:r w:rsidRPr="006B42D6">
              <w:rPr>
                <w:sz w:val="16"/>
                <w:szCs w:val="16"/>
              </w:rPr>
              <w:t>12,471</w:t>
            </w:r>
          </w:p>
        </w:tc>
        <w:tc>
          <w:tcPr>
            <w:tcW w:w="521" w:type="pct"/>
            <w:tcBorders>
              <w:top w:val="nil"/>
              <w:left w:val="nil"/>
              <w:right w:val="single" w:sz="4" w:space="0" w:color="auto"/>
            </w:tcBorders>
            <w:shd w:val="clear" w:color="auto" w:fill="auto"/>
            <w:noWrap/>
            <w:vAlign w:val="bottom"/>
            <w:hideMark/>
          </w:tcPr>
          <w:p w14:paraId="3E532133" w14:textId="77777777" w:rsidR="0027533D" w:rsidRPr="006B42D6" w:rsidRDefault="0027533D" w:rsidP="006C676D">
            <w:pPr>
              <w:jc w:val="right"/>
              <w:rPr>
                <w:sz w:val="16"/>
                <w:szCs w:val="16"/>
              </w:rPr>
            </w:pPr>
            <w:r w:rsidRPr="006B42D6">
              <w:rPr>
                <w:sz w:val="16"/>
                <w:szCs w:val="16"/>
              </w:rPr>
              <w:t>1.0</w:t>
            </w:r>
          </w:p>
        </w:tc>
        <w:tc>
          <w:tcPr>
            <w:tcW w:w="527" w:type="pct"/>
            <w:tcBorders>
              <w:top w:val="nil"/>
              <w:left w:val="nil"/>
              <w:right w:val="nil"/>
            </w:tcBorders>
            <w:shd w:val="clear" w:color="auto" w:fill="auto"/>
            <w:noWrap/>
            <w:vAlign w:val="bottom"/>
            <w:hideMark/>
          </w:tcPr>
          <w:p w14:paraId="162D7C1E" w14:textId="77777777" w:rsidR="0027533D" w:rsidRPr="006B42D6" w:rsidRDefault="0027533D" w:rsidP="006C676D">
            <w:pPr>
              <w:jc w:val="right"/>
              <w:rPr>
                <w:sz w:val="16"/>
                <w:szCs w:val="16"/>
              </w:rPr>
            </w:pPr>
            <w:r w:rsidRPr="006B42D6">
              <w:rPr>
                <w:sz w:val="16"/>
                <w:szCs w:val="16"/>
              </w:rPr>
              <w:t>1,949</w:t>
            </w:r>
          </w:p>
        </w:tc>
        <w:tc>
          <w:tcPr>
            <w:tcW w:w="523" w:type="pct"/>
            <w:tcBorders>
              <w:top w:val="nil"/>
              <w:left w:val="nil"/>
              <w:right w:val="single" w:sz="4" w:space="0" w:color="auto"/>
            </w:tcBorders>
            <w:shd w:val="clear" w:color="auto" w:fill="auto"/>
            <w:noWrap/>
            <w:vAlign w:val="bottom"/>
            <w:hideMark/>
          </w:tcPr>
          <w:p w14:paraId="69FF5586" w14:textId="77777777" w:rsidR="0027533D" w:rsidRPr="006B42D6" w:rsidRDefault="0027533D" w:rsidP="006C676D">
            <w:pPr>
              <w:jc w:val="right"/>
              <w:rPr>
                <w:sz w:val="16"/>
                <w:szCs w:val="16"/>
              </w:rPr>
            </w:pPr>
            <w:r w:rsidRPr="006B42D6">
              <w:rPr>
                <w:sz w:val="16"/>
                <w:szCs w:val="16"/>
              </w:rPr>
              <w:t>1.2</w:t>
            </w:r>
          </w:p>
        </w:tc>
        <w:tc>
          <w:tcPr>
            <w:tcW w:w="528" w:type="pct"/>
            <w:tcBorders>
              <w:top w:val="nil"/>
              <w:left w:val="nil"/>
              <w:right w:val="nil"/>
            </w:tcBorders>
            <w:shd w:val="clear" w:color="auto" w:fill="auto"/>
            <w:noWrap/>
            <w:vAlign w:val="bottom"/>
            <w:hideMark/>
          </w:tcPr>
          <w:p w14:paraId="0380F297" w14:textId="77777777" w:rsidR="0027533D" w:rsidRPr="006B42D6" w:rsidRDefault="0027533D" w:rsidP="006C676D">
            <w:pPr>
              <w:jc w:val="right"/>
              <w:rPr>
                <w:sz w:val="16"/>
                <w:szCs w:val="16"/>
              </w:rPr>
            </w:pPr>
            <w:r w:rsidRPr="006B42D6">
              <w:rPr>
                <w:sz w:val="16"/>
                <w:szCs w:val="16"/>
              </w:rPr>
              <w:t>-</w:t>
            </w:r>
          </w:p>
        </w:tc>
        <w:tc>
          <w:tcPr>
            <w:tcW w:w="522" w:type="pct"/>
            <w:tcBorders>
              <w:top w:val="nil"/>
              <w:left w:val="nil"/>
              <w:right w:val="nil"/>
            </w:tcBorders>
            <w:shd w:val="clear" w:color="auto" w:fill="auto"/>
            <w:noWrap/>
            <w:vAlign w:val="bottom"/>
            <w:hideMark/>
          </w:tcPr>
          <w:p w14:paraId="04E73678" w14:textId="77777777" w:rsidR="0027533D" w:rsidRPr="006B42D6" w:rsidRDefault="0027533D" w:rsidP="006C676D">
            <w:pPr>
              <w:jc w:val="right"/>
              <w:rPr>
                <w:sz w:val="16"/>
                <w:szCs w:val="16"/>
              </w:rPr>
            </w:pPr>
            <w:r w:rsidRPr="006B42D6">
              <w:rPr>
                <w:sz w:val="16"/>
                <w:szCs w:val="16"/>
              </w:rPr>
              <w:t>-</w:t>
            </w:r>
          </w:p>
        </w:tc>
      </w:tr>
      <w:tr w:rsidR="006B42D6" w:rsidRPr="006B42D6" w14:paraId="08DB3A54" w14:textId="77777777" w:rsidTr="00617341">
        <w:trPr>
          <w:trHeight w:val="95"/>
        </w:trPr>
        <w:tc>
          <w:tcPr>
            <w:tcW w:w="758" w:type="pct"/>
            <w:tcBorders>
              <w:top w:val="nil"/>
              <w:left w:val="nil"/>
              <w:bottom w:val="nil"/>
              <w:right w:val="single" w:sz="4" w:space="0" w:color="auto"/>
            </w:tcBorders>
            <w:shd w:val="clear" w:color="auto" w:fill="auto"/>
            <w:noWrap/>
            <w:vAlign w:val="center"/>
            <w:hideMark/>
          </w:tcPr>
          <w:p w14:paraId="57F2D017" w14:textId="77777777" w:rsidR="0027533D" w:rsidRPr="006B42D6" w:rsidRDefault="0027533D" w:rsidP="006C676D">
            <w:pPr>
              <w:rPr>
                <w:sz w:val="16"/>
                <w:szCs w:val="16"/>
              </w:rPr>
            </w:pPr>
            <w:r w:rsidRPr="006B42D6">
              <w:rPr>
                <w:sz w:val="16"/>
                <w:szCs w:val="16"/>
              </w:rPr>
              <w:t>Kigoma</w:t>
            </w:r>
          </w:p>
        </w:tc>
        <w:tc>
          <w:tcPr>
            <w:tcW w:w="525" w:type="pct"/>
            <w:tcBorders>
              <w:top w:val="nil"/>
              <w:left w:val="nil"/>
              <w:right w:val="nil"/>
            </w:tcBorders>
            <w:shd w:val="clear" w:color="auto" w:fill="auto"/>
            <w:noWrap/>
            <w:vAlign w:val="bottom"/>
            <w:hideMark/>
          </w:tcPr>
          <w:p w14:paraId="1925F5F9" w14:textId="77777777" w:rsidR="0027533D" w:rsidRPr="006B42D6" w:rsidRDefault="0027533D" w:rsidP="006C676D">
            <w:pPr>
              <w:jc w:val="right"/>
              <w:rPr>
                <w:sz w:val="16"/>
                <w:szCs w:val="16"/>
              </w:rPr>
            </w:pPr>
            <w:r w:rsidRPr="006B42D6">
              <w:rPr>
                <w:sz w:val="16"/>
                <w:szCs w:val="16"/>
              </w:rPr>
              <w:t>2,810</w:t>
            </w:r>
          </w:p>
        </w:tc>
        <w:tc>
          <w:tcPr>
            <w:tcW w:w="524" w:type="pct"/>
            <w:tcBorders>
              <w:top w:val="nil"/>
              <w:left w:val="nil"/>
              <w:right w:val="single" w:sz="4" w:space="0" w:color="auto"/>
            </w:tcBorders>
            <w:shd w:val="clear" w:color="auto" w:fill="auto"/>
            <w:noWrap/>
            <w:vAlign w:val="bottom"/>
            <w:hideMark/>
          </w:tcPr>
          <w:p w14:paraId="605A0F59" w14:textId="77777777" w:rsidR="0027533D" w:rsidRPr="006B42D6" w:rsidRDefault="0027533D" w:rsidP="006C676D">
            <w:pPr>
              <w:jc w:val="right"/>
              <w:rPr>
                <w:sz w:val="16"/>
                <w:szCs w:val="16"/>
              </w:rPr>
            </w:pPr>
            <w:r w:rsidRPr="006B42D6">
              <w:rPr>
                <w:sz w:val="16"/>
                <w:szCs w:val="16"/>
              </w:rPr>
              <w:t>0.4</w:t>
            </w:r>
          </w:p>
        </w:tc>
        <w:tc>
          <w:tcPr>
            <w:tcW w:w="572" w:type="pct"/>
            <w:tcBorders>
              <w:top w:val="nil"/>
              <w:left w:val="nil"/>
              <w:right w:val="nil"/>
            </w:tcBorders>
            <w:shd w:val="clear" w:color="auto" w:fill="auto"/>
            <w:noWrap/>
            <w:vAlign w:val="bottom"/>
            <w:hideMark/>
          </w:tcPr>
          <w:p w14:paraId="7A0BA484" w14:textId="77777777" w:rsidR="0027533D" w:rsidRPr="006B42D6" w:rsidRDefault="0027533D" w:rsidP="006C676D">
            <w:pPr>
              <w:jc w:val="right"/>
              <w:rPr>
                <w:sz w:val="16"/>
                <w:szCs w:val="16"/>
              </w:rPr>
            </w:pPr>
            <w:r w:rsidRPr="006B42D6">
              <w:rPr>
                <w:sz w:val="16"/>
                <w:szCs w:val="16"/>
              </w:rPr>
              <w:t>48,654</w:t>
            </w:r>
          </w:p>
        </w:tc>
        <w:tc>
          <w:tcPr>
            <w:tcW w:w="521" w:type="pct"/>
            <w:tcBorders>
              <w:top w:val="nil"/>
              <w:left w:val="nil"/>
              <w:right w:val="single" w:sz="4" w:space="0" w:color="auto"/>
            </w:tcBorders>
            <w:shd w:val="clear" w:color="auto" w:fill="auto"/>
            <w:noWrap/>
            <w:vAlign w:val="bottom"/>
            <w:hideMark/>
          </w:tcPr>
          <w:p w14:paraId="2BB35E54" w14:textId="77777777" w:rsidR="0027533D" w:rsidRPr="006B42D6" w:rsidRDefault="0027533D" w:rsidP="006C676D">
            <w:pPr>
              <w:jc w:val="right"/>
              <w:rPr>
                <w:sz w:val="16"/>
                <w:szCs w:val="16"/>
              </w:rPr>
            </w:pPr>
            <w:r w:rsidRPr="006B42D6">
              <w:rPr>
                <w:sz w:val="16"/>
                <w:szCs w:val="16"/>
              </w:rPr>
              <w:t>3.8</w:t>
            </w:r>
          </w:p>
        </w:tc>
        <w:tc>
          <w:tcPr>
            <w:tcW w:w="527" w:type="pct"/>
            <w:tcBorders>
              <w:top w:val="nil"/>
              <w:left w:val="nil"/>
              <w:right w:val="nil"/>
            </w:tcBorders>
            <w:shd w:val="clear" w:color="auto" w:fill="auto"/>
            <w:noWrap/>
            <w:vAlign w:val="bottom"/>
            <w:hideMark/>
          </w:tcPr>
          <w:p w14:paraId="1B369875" w14:textId="77777777" w:rsidR="0027533D" w:rsidRPr="006B42D6" w:rsidRDefault="0027533D" w:rsidP="006C676D">
            <w:pPr>
              <w:jc w:val="right"/>
              <w:rPr>
                <w:sz w:val="16"/>
                <w:szCs w:val="16"/>
              </w:rPr>
            </w:pPr>
            <w:r w:rsidRPr="006B42D6">
              <w:rPr>
                <w:sz w:val="16"/>
                <w:szCs w:val="16"/>
              </w:rPr>
              <w:t>6,229</w:t>
            </w:r>
          </w:p>
        </w:tc>
        <w:tc>
          <w:tcPr>
            <w:tcW w:w="523" w:type="pct"/>
            <w:tcBorders>
              <w:top w:val="nil"/>
              <w:left w:val="nil"/>
              <w:right w:val="single" w:sz="4" w:space="0" w:color="auto"/>
            </w:tcBorders>
            <w:shd w:val="clear" w:color="auto" w:fill="auto"/>
            <w:noWrap/>
            <w:vAlign w:val="bottom"/>
            <w:hideMark/>
          </w:tcPr>
          <w:p w14:paraId="18836F1D" w14:textId="77777777" w:rsidR="0027533D" w:rsidRPr="006B42D6" w:rsidRDefault="0027533D" w:rsidP="006C676D">
            <w:pPr>
              <w:jc w:val="right"/>
              <w:rPr>
                <w:sz w:val="16"/>
                <w:szCs w:val="16"/>
              </w:rPr>
            </w:pPr>
            <w:r w:rsidRPr="006B42D6">
              <w:rPr>
                <w:sz w:val="16"/>
                <w:szCs w:val="16"/>
              </w:rPr>
              <w:t>3.9</w:t>
            </w:r>
          </w:p>
        </w:tc>
        <w:tc>
          <w:tcPr>
            <w:tcW w:w="528" w:type="pct"/>
            <w:tcBorders>
              <w:top w:val="nil"/>
              <w:left w:val="nil"/>
              <w:right w:val="nil"/>
            </w:tcBorders>
            <w:shd w:val="clear" w:color="auto" w:fill="auto"/>
            <w:noWrap/>
            <w:vAlign w:val="bottom"/>
            <w:hideMark/>
          </w:tcPr>
          <w:p w14:paraId="054A5E44" w14:textId="77777777" w:rsidR="0027533D" w:rsidRPr="006B42D6" w:rsidRDefault="0027533D" w:rsidP="006C676D">
            <w:pPr>
              <w:jc w:val="right"/>
              <w:rPr>
                <w:sz w:val="16"/>
                <w:szCs w:val="16"/>
              </w:rPr>
            </w:pPr>
            <w:r w:rsidRPr="006B42D6">
              <w:rPr>
                <w:sz w:val="16"/>
                <w:szCs w:val="16"/>
              </w:rPr>
              <w:t>-</w:t>
            </w:r>
          </w:p>
        </w:tc>
        <w:tc>
          <w:tcPr>
            <w:tcW w:w="522" w:type="pct"/>
            <w:tcBorders>
              <w:top w:val="nil"/>
              <w:left w:val="nil"/>
              <w:right w:val="nil"/>
            </w:tcBorders>
            <w:shd w:val="clear" w:color="auto" w:fill="auto"/>
            <w:noWrap/>
            <w:vAlign w:val="bottom"/>
            <w:hideMark/>
          </w:tcPr>
          <w:p w14:paraId="110F090F" w14:textId="77777777" w:rsidR="0027533D" w:rsidRPr="006B42D6" w:rsidRDefault="0027533D" w:rsidP="006C676D">
            <w:pPr>
              <w:jc w:val="right"/>
              <w:rPr>
                <w:sz w:val="16"/>
                <w:szCs w:val="16"/>
              </w:rPr>
            </w:pPr>
            <w:r w:rsidRPr="006B42D6">
              <w:rPr>
                <w:sz w:val="16"/>
                <w:szCs w:val="16"/>
              </w:rPr>
              <w:t>-</w:t>
            </w:r>
          </w:p>
        </w:tc>
      </w:tr>
      <w:tr w:rsidR="006B42D6" w:rsidRPr="006B42D6" w14:paraId="1AC6523E" w14:textId="77777777" w:rsidTr="00617341">
        <w:trPr>
          <w:trHeight w:val="104"/>
        </w:trPr>
        <w:tc>
          <w:tcPr>
            <w:tcW w:w="758" w:type="pct"/>
            <w:tcBorders>
              <w:top w:val="nil"/>
              <w:left w:val="nil"/>
              <w:bottom w:val="nil"/>
              <w:right w:val="single" w:sz="4" w:space="0" w:color="auto"/>
            </w:tcBorders>
            <w:shd w:val="clear" w:color="auto" w:fill="auto"/>
            <w:noWrap/>
            <w:vAlign w:val="center"/>
            <w:hideMark/>
          </w:tcPr>
          <w:p w14:paraId="5D594CA1" w14:textId="77777777" w:rsidR="0027533D" w:rsidRPr="006B42D6" w:rsidRDefault="0027533D" w:rsidP="006C676D">
            <w:pPr>
              <w:rPr>
                <w:sz w:val="16"/>
                <w:szCs w:val="16"/>
              </w:rPr>
            </w:pPr>
            <w:r w:rsidRPr="006B42D6">
              <w:rPr>
                <w:sz w:val="16"/>
                <w:szCs w:val="16"/>
              </w:rPr>
              <w:t>Shinyanga</w:t>
            </w:r>
          </w:p>
        </w:tc>
        <w:tc>
          <w:tcPr>
            <w:tcW w:w="525" w:type="pct"/>
            <w:tcBorders>
              <w:top w:val="nil"/>
              <w:left w:val="nil"/>
              <w:right w:val="nil"/>
            </w:tcBorders>
            <w:shd w:val="clear" w:color="auto" w:fill="auto"/>
            <w:noWrap/>
            <w:vAlign w:val="bottom"/>
            <w:hideMark/>
          </w:tcPr>
          <w:p w14:paraId="45DDAB75" w14:textId="77777777" w:rsidR="0027533D" w:rsidRPr="006B42D6" w:rsidRDefault="0027533D" w:rsidP="006C676D">
            <w:pPr>
              <w:jc w:val="right"/>
              <w:rPr>
                <w:sz w:val="16"/>
                <w:szCs w:val="16"/>
              </w:rPr>
            </w:pPr>
            <w:r w:rsidRPr="006B42D6">
              <w:rPr>
                <w:sz w:val="16"/>
                <w:szCs w:val="16"/>
              </w:rPr>
              <w:t>15,502</w:t>
            </w:r>
          </w:p>
        </w:tc>
        <w:tc>
          <w:tcPr>
            <w:tcW w:w="524" w:type="pct"/>
            <w:tcBorders>
              <w:top w:val="nil"/>
              <w:left w:val="nil"/>
              <w:right w:val="single" w:sz="4" w:space="0" w:color="auto"/>
            </w:tcBorders>
            <w:shd w:val="clear" w:color="auto" w:fill="auto"/>
            <w:noWrap/>
            <w:vAlign w:val="bottom"/>
            <w:hideMark/>
          </w:tcPr>
          <w:p w14:paraId="640781B7" w14:textId="77777777" w:rsidR="0027533D" w:rsidRPr="006B42D6" w:rsidRDefault="0027533D" w:rsidP="006C676D">
            <w:pPr>
              <w:jc w:val="right"/>
              <w:rPr>
                <w:sz w:val="16"/>
                <w:szCs w:val="16"/>
              </w:rPr>
            </w:pPr>
            <w:r w:rsidRPr="006B42D6">
              <w:rPr>
                <w:sz w:val="16"/>
                <w:szCs w:val="16"/>
              </w:rPr>
              <w:t>2.3</w:t>
            </w:r>
          </w:p>
        </w:tc>
        <w:tc>
          <w:tcPr>
            <w:tcW w:w="572" w:type="pct"/>
            <w:tcBorders>
              <w:top w:val="nil"/>
              <w:left w:val="nil"/>
              <w:right w:val="nil"/>
            </w:tcBorders>
            <w:shd w:val="clear" w:color="auto" w:fill="auto"/>
            <w:noWrap/>
            <w:vAlign w:val="bottom"/>
            <w:hideMark/>
          </w:tcPr>
          <w:p w14:paraId="0F083DFF" w14:textId="77777777" w:rsidR="0027533D" w:rsidRPr="006B42D6" w:rsidRDefault="0027533D" w:rsidP="006C676D">
            <w:pPr>
              <w:jc w:val="right"/>
              <w:rPr>
                <w:sz w:val="16"/>
                <w:szCs w:val="16"/>
              </w:rPr>
            </w:pPr>
            <w:r w:rsidRPr="006B42D6">
              <w:rPr>
                <w:sz w:val="16"/>
                <w:szCs w:val="16"/>
              </w:rPr>
              <w:t>14,565</w:t>
            </w:r>
          </w:p>
        </w:tc>
        <w:tc>
          <w:tcPr>
            <w:tcW w:w="521" w:type="pct"/>
            <w:tcBorders>
              <w:top w:val="nil"/>
              <w:left w:val="nil"/>
              <w:right w:val="single" w:sz="4" w:space="0" w:color="auto"/>
            </w:tcBorders>
            <w:shd w:val="clear" w:color="auto" w:fill="auto"/>
            <w:noWrap/>
            <w:vAlign w:val="bottom"/>
            <w:hideMark/>
          </w:tcPr>
          <w:p w14:paraId="4A3F246C" w14:textId="77777777" w:rsidR="0027533D" w:rsidRPr="006B42D6" w:rsidRDefault="0027533D" w:rsidP="006C676D">
            <w:pPr>
              <w:jc w:val="right"/>
              <w:rPr>
                <w:sz w:val="16"/>
                <w:szCs w:val="16"/>
              </w:rPr>
            </w:pPr>
            <w:r w:rsidRPr="006B42D6">
              <w:rPr>
                <w:sz w:val="16"/>
                <w:szCs w:val="16"/>
              </w:rPr>
              <w:t>1.2</w:t>
            </w:r>
          </w:p>
        </w:tc>
        <w:tc>
          <w:tcPr>
            <w:tcW w:w="527" w:type="pct"/>
            <w:tcBorders>
              <w:top w:val="nil"/>
              <w:left w:val="nil"/>
              <w:right w:val="nil"/>
            </w:tcBorders>
            <w:shd w:val="clear" w:color="auto" w:fill="auto"/>
            <w:noWrap/>
            <w:vAlign w:val="bottom"/>
            <w:hideMark/>
          </w:tcPr>
          <w:p w14:paraId="73651354" w14:textId="77777777" w:rsidR="0027533D" w:rsidRPr="006B42D6" w:rsidRDefault="0027533D" w:rsidP="006C676D">
            <w:pPr>
              <w:jc w:val="right"/>
              <w:rPr>
                <w:sz w:val="16"/>
                <w:szCs w:val="16"/>
              </w:rPr>
            </w:pPr>
            <w:r w:rsidRPr="006B42D6">
              <w:rPr>
                <w:sz w:val="16"/>
                <w:szCs w:val="16"/>
              </w:rPr>
              <w:t>-</w:t>
            </w:r>
          </w:p>
        </w:tc>
        <w:tc>
          <w:tcPr>
            <w:tcW w:w="523" w:type="pct"/>
            <w:tcBorders>
              <w:top w:val="nil"/>
              <w:left w:val="nil"/>
              <w:right w:val="single" w:sz="4" w:space="0" w:color="auto"/>
            </w:tcBorders>
            <w:shd w:val="clear" w:color="auto" w:fill="auto"/>
            <w:noWrap/>
            <w:vAlign w:val="bottom"/>
            <w:hideMark/>
          </w:tcPr>
          <w:p w14:paraId="07A38464" w14:textId="77777777" w:rsidR="0027533D" w:rsidRPr="006B42D6" w:rsidRDefault="0027533D" w:rsidP="006C676D">
            <w:pPr>
              <w:jc w:val="right"/>
              <w:rPr>
                <w:sz w:val="16"/>
                <w:szCs w:val="16"/>
              </w:rPr>
            </w:pPr>
            <w:r w:rsidRPr="006B42D6">
              <w:rPr>
                <w:sz w:val="16"/>
                <w:szCs w:val="16"/>
              </w:rPr>
              <w:t>-</w:t>
            </w:r>
          </w:p>
        </w:tc>
        <w:tc>
          <w:tcPr>
            <w:tcW w:w="528" w:type="pct"/>
            <w:tcBorders>
              <w:top w:val="nil"/>
              <w:left w:val="nil"/>
              <w:right w:val="nil"/>
            </w:tcBorders>
            <w:shd w:val="clear" w:color="auto" w:fill="auto"/>
            <w:noWrap/>
            <w:vAlign w:val="bottom"/>
            <w:hideMark/>
          </w:tcPr>
          <w:p w14:paraId="271AA202" w14:textId="77777777" w:rsidR="0027533D" w:rsidRPr="006B42D6" w:rsidRDefault="0027533D" w:rsidP="006C676D">
            <w:pPr>
              <w:jc w:val="right"/>
              <w:rPr>
                <w:sz w:val="16"/>
                <w:szCs w:val="16"/>
              </w:rPr>
            </w:pPr>
            <w:r w:rsidRPr="006B42D6">
              <w:rPr>
                <w:sz w:val="16"/>
                <w:szCs w:val="16"/>
              </w:rPr>
              <w:t>619</w:t>
            </w:r>
          </w:p>
        </w:tc>
        <w:tc>
          <w:tcPr>
            <w:tcW w:w="522" w:type="pct"/>
            <w:tcBorders>
              <w:top w:val="nil"/>
              <w:left w:val="nil"/>
              <w:right w:val="nil"/>
            </w:tcBorders>
            <w:shd w:val="clear" w:color="auto" w:fill="auto"/>
            <w:noWrap/>
            <w:vAlign w:val="bottom"/>
            <w:hideMark/>
          </w:tcPr>
          <w:p w14:paraId="43C5EA9D" w14:textId="77777777" w:rsidR="0027533D" w:rsidRPr="006B42D6" w:rsidRDefault="0027533D" w:rsidP="006C676D">
            <w:pPr>
              <w:jc w:val="right"/>
              <w:rPr>
                <w:sz w:val="16"/>
                <w:szCs w:val="16"/>
              </w:rPr>
            </w:pPr>
            <w:r w:rsidRPr="006B42D6">
              <w:rPr>
                <w:sz w:val="16"/>
                <w:szCs w:val="16"/>
              </w:rPr>
              <w:t>0.9</w:t>
            </w:r>
          </w:p>
        </w:tc>
      </w:tr>
      <w:tr w:rsidR="006B42D6" w:rsidRPr="006B42D6" w14:paraId="46C14BFF" w14:textId="77777777" w:rsidTr="00617341">
        <w:trPr>
          <w:trHeight w:val="70"/>
        </w:trPr>
        <w:tc>
          <w:tcPr>
            <w:tcW w:w="758" w:type="pct"/>
            <w:tcBorders>
              <w:top w:val="nil"/>
              <w:left w:val="nil"/>
              <w:bottom w:val="nil"/>
              <w:right w:val="single" w:sz="4" w:space="0" w:color="auto"/>
            </w:tcBorders>
            <w:shd w:val="clear" w:color="auto" w:fill="auto"/>
            <w:noWrap/>
            <w:vAlign w:val="center"/>
            <w:hideMark/>
          </w:tcPr>
          <w:p w14:paraId="454DD9C2" w14:textId="77777777" w:rsidR="0027533D" w:rsidRPr="006B42D6" w:rsidRDefault="0027533D" w:rsidP="006C676D">
            <w:pPr>
              <w:rPr>
                <w:sz w:val="16"/>
                <w:szCs w:val="16"/>
              </w:rPr>
            </w:pPr>
            <w:r w:rsidRPr="006B42D6">
              <w:rPr>
                <w:sz w:val="16"/>
                <w:szCs w:val="16"/>
              </w:rPr>
              <w:t>Kagera</w:t>
            </w:r>
          </w:p>
        </w:tc>
        <w:tc>
          <w:tcPr>
            <w:tcW w:w="525" w:type="pct"/>
            <w:tcBorders>
              <w:top w:val="nil"/>
              <w:left w:val="nil"/>
              <w:right w:val="nil"/>
            </w:tcBorders>
            <w:shd w:val="clear" w:color="auto" w:fill="auto"/>
            <w:noWrap/>
            <w:vAlign w:val="bottom"/>
            <w:hideMark/>
          </w:tcPr>
          <w:p w14:paraId="56A7BB05" w14:textId="77777777" w:rsidR="0027533D" w:rsidRPr="006B42D6" w:rsidRDefault="0027533D" w:rsidP="006C676D">
            <w:pPr>
              <w:jc w:val="right"/>
              <w:rPr>
                <w:sz w:val="16"/>
                <w:szCs w:val="16"/>
              </w:rPr>
            </w:pPr>
            <w:r w:rsidRPr="006B42D6">
              <w:rPr>
                <w:sz w:val="16"/>
                <w:szCs w:val="16"/>
              </w:rPr>
              <w:t>3,155</w:t>
            </w:r>
          </w:p>
        </w:tc>
        <w:tc>
          <w:tcPr>
            <w:tcW w:w="524" w:type="pct"/>
            <w:tcBorders>
              <w:top w:val="nil"/>
              <w:left w:val="nil"/>
              <w:right w:val="single" w:sz="4" w:space="0" w:color="auto"/>
            </w:tcBorders>
            <w:shd w:val="clear" w:color="auto" w:fill="auto"/>
            <w:noWrap/>
            <w:vAlign w:val="bottom"/>
            <w:hideMark/>
          </w:tcPr>
          <w:p w14:paraId="7BBE9CF5" w14:textId="77777777" w:rsidR="0027533D" w:rsidRPr="006B42D6" w:rsidRDefault="0027533D" w:rsidP="006C676D">
            <w:pPr>
              <w:jc w:val="right"/>
              <w:rPr>
                <w:sz w:val="16"/>
                <w:szCs w:val="16"/>
              </w:rPr>
            </w:pPr>
            <w:r w:rsidRPr="006B42D6">
              <w:rPr>
                <w:sz w:val="16"/>
                <w:szCs w:val="16"/>
              </w:rPr>
              <w:t>0.5</w:t>
            </w:r>
          </w:p>
        </w:tc>
        <w:tc>
          <w:tcPr>
            <w:tcW w:w="572" w:type="pct"/>
            <w:tcBorders>
              <w:top w:val="nil"/>
              <w:left w:val="nil"/>
              <w:right w:val="nil"/>
            </w:tcBorders>
            <w:shd w:val="clear" w:color="auto" w:fill="auto"/>
            <w:noWrap/>
            <w:vAlign w:val="bottom"/>
            <w:hideMark/>
          </w:tcPr>
          <w:p w14:paraId="5A9863A8" w14:textId="77777777" w:rsidR="0027533D" w:rsidRPr="006B42D6" w:rsidRDefault="0027533D" w:rsidP="006C676D">
            <w:pPr>
              <w:jc w:val="right"/>
              <w:rPr>
                <w:sz w:val="16"/>
                <w:szCs w:val="16"/>
              </w:rPr>
            </w:pPr>
            <w:r w:rsidRPr="006B42D6">
              <w:rPr>
                <w:sz w:val="16"/>
                <w:szCs w:val="16"/>
              </w:rPr>
              <w:t>19,109</w:t>
            </w:r>
          </w:p>
        </w:tc>
        <w:tc>
          <w:tcPr>
            <w:tcW w:w="521" w:type="pct"/>
            <w:tcBorders>
              <w:top w:val="nil"/>
              <w:left w:val="nil"/>
              <w:right w:val="single" w:sz="4" w:space="0" w:color="auto"/>
            </w:tcBorders>
            <w:shd w:val="clear" w:color="auto" w:fill="auto"/>
            <w:noWrap/>
            <w:vAlign w:val="bottom"/>
            <w:hideMark/>
          </w:tcPr>
          <w:p w14:paraId="2333F93A" w14:textId="77777777" w:rsidR="0027533D" w:rsidRPr="006B42D6" w:rsidRDefault="0027533D" w:rsidP="006C676D">
            <w:pPr>
              <w:jc w:val="right"/>
              <w:rPr>
                <w:sz w:val="16"/>
                <w:szCs w:val="16"/>
              </w:rPr>
            </w:pPr>
            <w:r w:rsidRPr="006B42D6">
              <w:rPr>
                <w:sz w:val="16"/>
                <w:szCs w:val="16"/>
              </w:rPr>
              <w:t>1.5</w:t>
            </w:r>
          </w:p>
        </w:tc>
        <w:tc>
          <w:tcPr>
            <w:tcW w:w="527" w:type="pct"/>
            <w:tcBorders>
              <w:top w:val="nil"/>
              <w:left w:val="nil"/>
              <w:right w:val="nil"/>
            </w:tcBorders>
            <w:shd w:val="clear" w:color="auto" w:fill="auto"/>
            <w:noWrap/>
            <w:vAlign w:val="bottom"/>
            <w:hideMark/>
          </w:tcPr>
          <w:p w14:paraId="1BECEDB4" w14:textId="77777777" w:rsidR="0027533D" w:rsidRPr="006B42D6" w:rsidRDefault="0027533D" w:rsidP="006C676D">
            <w:pPr>
              <w:jc w:val="right"/>
              <w:rPr>
                <w:sz w:val="16"/>
                <w:szCs w:val="16"/>
              </w:rPr>
            </w:pPr>
            <w:r w:rsidRPr="006B42D6">
              <w:rPr>
                <w:sz w:val="16"/>
                <w:szCs w:val="16"/>
              </w:rPr>
              <w:t>821</w:t>
            </w:r>
          </w:p>
        </w:tc>
        <w:tc>
          <w:tcPr>
            <w:tcW w:w="523" w:type="pct"/>
            <w:tcBorders>
              <w:top w:val="nil"/>
              <w:left w:val="nil"/>
              <w:right w:val="single" w:sz="4" w:space="0" w:color="auto"/>
            </w:tcBorders>
            <w:shd w:val="clear" w:color="auto" w:fill="auto"/>
            <w:noWrap/>
            <w:vAlign w:val="bottom"/>
            <w:hideMark/>
          </w:tcPr>
          <w:p w14:paraId="6B67DEBD" w14:textId="77777777" w:rsidR="0027533D" w:rsidRPr="006B42D6" w:rsidRDefault="0027533D" w:rsidP="006C676D">
            <w:pPr>
              <w:jc w:val="right"/>
              <w:rPr>
                <w:sz w:val="16"/>
                <w:szCs w:val="16"/>
              </w:rPr>
            </w:pPr>
            <w:r w:rsidRPr="006B42D6">
              <w:rPr>
                <w:sz w:val="16"/>
                <w:szCs w:val="16"/>
              </w:rPr>
              <w:t>0.5</w:t>
            </w:r>
          </w:p>
        </w:tc>
        <w:tc>
          <w:tcPr>
            <w:tcW w:w="528" w:type="pct"/>
            <w:tcBorders>
              <w:top w:val="nil"/>
              <w:left w:val="nil"/>
              <w:right w:val="nil"/>
            </w:tcBorders>
            <w:shd w:val="clear" w:color="auto" w:fill="auto"/>
            <w:noWrap/>
            <w:vAlign w:val="bottom"/>
            <w:hideMark/>
          </w:tcPr>
          <w:p w14:paraId="0AD8FC63" w14:textId="77777777" w:rsidR="0027533D" w:rsidRPr="006B42D6" w:rsidRDefault="0027533D" w:rsidP="006C676D">
            <w:pPr>
              <w:jc w:val="right"/>
              <w:rPr>
                <w:sz w:val="16"/>
                <w:szCs w:val="16"/>
              </w:rPr>
            </w:pPr>
            <w:r w:rsidRPr="006B42D6">
              <w:rPr>
                <w:sz w:val="16"/>
                <w:szCs w:val="16"/>
              </w:rPr>
              <w:t>-</w:t>
            </w:r>
          </w:p>
        </w:tc>
        <w:tc>
          <w:tcPr>
            <w:tcW w:w="522" w:type="pct"/>
            <w:tcBorders>
              <w:top w:val="nil"/>
              <w:left w:val="nil"/>
              <w:right w:val="nil"/>
            </w:tcBorders>
            <w:shd w:val="clear" w:color="auto" w:fill="auto"/>
            <w:noWrap/>
            <w:vAlign w:val="bottom"/>
            <w:hideMark/>
          </w:tcPr>
          <w:p w14:paraId="41572207" w14:textId="77777777" w:rsidR="0027533D" w:rsidRPr="006B42D6" w:rsidRDefault="0027533D" w:rsidP="006C676D">
            <w:pPr>
              <w:jc w:val="right"/>
              <w:rPr>
                <w:sz w:val="16"/>
                <w:szCs w:val="16"/>
              </w:rPr>
            </w:pPr>
            <w:r w:rsidRPr="006B42D6">
              <w:rPr>
                <w:sz w:val="16"/>
                <w:szCs w:val="16"/>
              </w:rPr>
              <w:t>-</w:t>
            </w:r>
          </w:p>
        </w:tc>
      </w:tr>
      <w:tr w:rsidR="006B42D6" w:rsidRPr="006B42D6" w14:paraId="65B174C3" w14:textId="77777777" w:rsidTr="00617341">
        <w:trPr>
          <w:trHeight w:val="137"/>
        </w:trPr>
        <w:tc>
          <w:tcPr>
            <w:tcW w:w="758" w:type="pct"/>
            <w:tcBorders>
              <w:top w:val="nil"/>
              <w:left w:val="nil"/>
              <w:bottom w:val="nil"/>
              <w:right w:val="single" w:sz="4" w:space="0" w:color="auto"/>
            </w:tcBorders>
            <w:shd w:val="clear" w:color="auto" w:fill="auto"/>
            <w:noWrap/>
            <w:vAlign w:val="center"/>
            <w:hideMark/>
          </w:tcPr>
          <w:p w14:paraId="008D4D3B" w14:textId="77777777" w:rsidR="0027533D" w:rsidRPr="006B42D6" w:rsidRDefault="0027533D" w:rsidP="006C676D">
            <w:pPr>
              <w:rPr>
                <w:sz w:val="16"/>
                <w:szCs w:val="16"/>
              </w:rPr>
            </w:pPr>
            <w:r w:rsidRPr="006B42D6">
              <w:rPr>
                <w:sz w:val="16"/>
                <w:szCs w:val="16"/>
              </w:rPr>
              <w:t>Mwanza</w:t>
            </w:r>
          </w:p>
        </w:tc>
        <w:tc>
          <w:tcPr>
            <w:tcW w:w="525" w:type="pct"/>
            <w:tcBorders>
              <w:top w:val="nil"/>
              <w:left w:val="nil"/>
              <w:right w:val="nil"/>
            </w:tcBorders>
            <w:shd w:val="clear" w:color="auto" w:fill="auto"/>
            <w:noWrap/>
            <w:vAlign w:val="bottom"/>
            <w:hideMark/>
          </w:tcPr>
          <w:p w14:paraId="47D890DF" w14:textId="77777777" w:rsidR="0027533D" w:rsidRPr="006B42D6" w:rsidRDefault="0027533D" w:rsidP="006C676D">
            <w:pPr>
              <w:jc w:val="right"/>
              <w:rPr>
                <w:sz w:val="16"/>
                <w:szCs w:val="16"/>
              </w:rPr>
            </w:pPr>
            <w:r w:rsidRPr="006B42D6">
              <w:rPr>
                <w:sz w:val="16"/>
                <w:szCs w:val="16"/>
              </w:rPr>
              <w:t>22,670</w:t>
            </w:r>
          </w:p>
        </w:tc>
        <w:tc>
          <w:tcPr>
            <w:tcW w:w="524" w:type="pct"/>
            <w:tcBorders>
              <w:top w:val="nil"/>
              <w:left w:val="nil"/>
              <w:right w:val="single" w:sz="4" w:space="0" w:color="auto"/>
            </w:tcBorders>
            <w:shd w:val="clear" w:color="auto" w:fill="auto"/>
            <w:noWrap/>
            <w:vAlign w:val="bottom"/>
            <w:hideMark/>
          </w:tcPr>
          <w:p w14:paraId="5A3A9CF1" w14:textId="77777777" w:rsidR="0027533D" w:rsidRPr="006B42D6" w:rsidRDefault="0027533D" w:rsidP="006C676D">
            <w:pPr>
              <w:jc w:val="right"/>
              <w:rPr>
                <w:sz w:val="16"/>
                <w:szCs w:val="16"/>
              </w:rPr>
            </w:pPr>
            <w:r w:rsidRPr="006B42D6">
              <w:rPr>
                <w:sz w:val="16"/>
                <w:szCs w:val="16"/>
              </w:rPr>
              <w:t>3.4</w:t>
            </w:r>
          </w:p>
        </w:tc>
        <w:tc>
          <w:tcPr>
            <w:tcW w:w="572" w:type="pct"/>
            <w:tcBorders>
              <w:top w:val="nil"/>
              <w:left w:val="nil"/>
              <w:right w:val="nil"/>
            </w:tcBorders>
            <w:shd w:val="clear" w:color="auto" w:fill="auto"/>
            <w:noWrap/>
            <w:vAlign w:val="bottom"/>
            <w:hideMark/>
          </w:tcPr>
          <w:p w14:paraId="15A3BE5E" w14:textId="77777777" w:rsidR="0027533D" w:rsidRPr="006B42D6" w:rsidRDefault="0027533D" w:rsidP="006C676D">
            <w:pPr>
              <w:jc w:val="right"/>
              <w:rPr>
                <w:sz w:val="16"/>
                <w:szCs w:val="16"/>
              </w:rPr>
            </w:pPr>
            <w:r w:rsidRPr="006B42D6">
              <w:rPr>
                <w:sz w:val="16"/>
                <w:szCs w:val="16"/>
              </w:rPr>
              <w:t>79,970</w:t>
            </w:r>
          </w:p>
        </w:tc>
        <w:tc>
          <w:tcPr>
            <w:tcW w:w="521" w:type="pct"/>
            <w:tcBorders>
              <w:top w:val="nil"/>
              <w:left w:val="nil"/>
              <w:right w:val="single" w:sz="4" w:space="0" w:color="auto"/>
            </w:tcBorders>
            <w:shd w:val="clear" w:color="auto" w:fill="auto"/>
            <w:noWrap/>
            <w:vAlign w:val="bottom"/>
            <w:hideMark/>
          </w:tcPr>
          <w:p w14:paraId="45CAD671" w14:textId="77777777" w:rsidR="0027533D" w:rsidRPr="006B42D6" w:rsidRDefault="0027533D" w:rsidP="006C676D">
            <w:pPr>
              <w:jc w:val="right"/>
              <w:rPr>
                <w:sz w:val="16"/>
                <w:szCs w:val="16"/>
              </w:rPr>
            </w:pPr>
            <w:r w:rsidRPr="006B42D6">
              <w:rPr>
                <w:sz w:val="16"/>
                <w:szCs w:val="16"/>
              </w:rPr>
              <w:t>6.3</w:t>
            </w:r>
          </w:p>
        </w:tc>
        <w:tc>
          <w:tcPr>
            <w:tcW w:w="527" w:type="pct"/>
            <w:tcBorders>
              <w:top w:val="nil"/>
              <w:left w:val="nil"/>
              <w:right w:val="nil"/>
            </w:tcBorders>
            <w:shd w:val="clear" w:color="auto" w:fill="auto"/>
            <w:noWrap/>
            <w:vAlign w:val="bottom"/>
            <w:hideMark/>
          </w:tcPr>
          <w:p w14:paraId="11919308" w14:textId="77777777" w:rsidR="0027533D" w:rsidRPr="006B42D6" w:rsidRDefault="0027533D" w:rsidP="006C676D">
            <w:pPr>
              <w:jc w:val="right"/>
              <w:rPr>
                <w:sz w:val="16"/>
                <w:szCs w:val="16"/>
              </w:rPr>
            </w:pPr>
            <w:r w:rsidRPr="006B42D6">
              <w:rPr>
                <w:sz w:val="16"/>
                <w:szCs w:val="16"/>
              </w:rPr>
              <w:t>-</w:t>
            </w:r>
          </w:p>
        </w:tc>
        <w:tc>
          <w:tcPr>
            <w:tcW w:w="523" w:type="pct"/>
            <w:tcBorders>
              <w:top w:val="nil"/>
              <w:left w:val="nil"/>
              <w:right w:val="single" w:sz="4" w:space="0" w:color="auto"/>
            </w:tcBorders>
            <w:shd w:val="clear" w:color="auto" w:fill="auto"/>
            <w:noWrap/>
            <w:vAlign w:val="bottom"/>
            <w:hideMark/>
          </w:tcPr>
          <w:p w14:paraId="18C2558D" w14:textId="77777777" w:rsidR="0027533D" w:rsidRPr="006B42D6" w:rsidRDefault="0027533D" w:rsidP="006C676D">
            <w:pPr>
              <w:jc w:val="right"/>
              <w:rPr>
                <w:sz w:val="16"/>
                <w:szCs w:val="16"/>
              </w:rPr>
            </w:pPr>
            <w:r w:rsidRPr="006B42D6">
              <w:rPr>
                <w:sz w:val="16"/>
                <w:szCs w:val="16"/>
              </w:rPr>
              <w:t>-</w:t>
            </w:r>
          </w:p>
        </w:tc>
        <w:tc>
          <w:tcPr>
            <w:tcW w:w="528" w:type="pct"/>
            <w:tcBorders>
              <w:top w:val="nil"/>
              <w:left w:val="nil"/>
              <w:right w:val="nil"/>
            </w:tcBorders>
            <w:shd w:val="clear" w:color="auto" w:fill="auto"/>
            <w:noWrap/>
            <w:vAlign w:val="bottom"/>
            <w:hideMark/>
          </w:tcPr>
          <w:p w14:paraId="7258CC2D" w14:textId="77777777" w:rsidR="0027533D" w:rsidRPr="006B42D6" w:rsidRDefault="0027533D" w:rsidP="006C676D">
            <w:pPr>
              <w:jc w:val="right"/>
              <w:rPr>
                <w:sz w:val="16"/>
                <w:szCs w:val="16"/>
              </w:rPr>
            </w:pPr>
            <w:r w:rsidRPr="006B42D6">
              <w:rPr>
                <w:sz w:val="16"/>
                <w:szCs w:val="16"/>
              </w:rPr>
              <w:t>-</w:t>
            </w:r>
          </w:p>
        </w:tc>
        <w:tc>
          <w:tcPr>
            <w:tcW w:w="522" w:type="pct"/>
            <w:tcBorders>
              <w:top w:val="nil"/>
              <w:left w:val="nil"/>
              <w:right w:val="nil"/>
            </w:tcBorders>
            <w:shd w:val="clear" w:color="auto" w:fill="auto"/>
            <w:noWrap/>
            <w:vAlign w:val="bottom"/>
            <w:hideMark/>
          </w:tcPr>
          <w:p w14:paraId="539DBEE7" w14:textId="77777777" w:rsidR="0027533D" w:rsidRPr="006B42D6" w:rsidRDefault="0027533D" w:rsidP="006C676D">
            <w:pPr>
              <w:jc w:val="right"/>
              <w:rPr>
                <w:sz w:val="16"/>
                <w:szCs w:val="16"/>
              </w:rPr>
            </w:pPr>
            <w:r w:rsidRPr="006B42D6">
              <w:rPr>
                <w:sz w:val="16"/>
                <w:szCs w:val="16"/>
              </w:rPr>
              <w:t>-</w:t>
            </w:r>
          </w:p>
        </w:tc>
      </w:tr>
      <w:tr w:rsidR="006B42D6" w:rsidRPr="006B42D6" w14:paraId="05ED4CD3" w14:textId="77777777" w:rsidTr="00617341">
        <w:trPr>
          <w:trHeight w:val="84"/>
        </w:trPr>
        <w:tc>
          <w:tcPr>
            <w:tcW w:w="758" w:type="pct"/>
            <w:tcBorders>
              <w:top w:val="nil"/>
              <w:left w:val="nil"/>
              <w:bottom w:val="nil"/>
              <w:right w:val="single" w:sz="4" w:space="0" w:color="auto"/>
            </w:tcBorders>
            <w:shd w:val="clear" w:color="auto" w:fill="auto"/>
            <w:noWrap/>
            <w:vAlign w:val="center"/>
            <w:hideMark/>
          </w:tcPr>
          <w:p w14:paraId="63D95CAA" w14:textId="77777777" w:rsidR="0027533D" w:rsidRPr="006B42D6" w:rsidRDefault="0027533D" w:rsidP="006C676D">
            <w:pPr>
              <w:rPr>
                <w:sz w:val="16"/>
                <w:szCs w:val="16"/>
              </w:rPr>
            </w:pPr>
            <w:r w:rsidRPr="006B42D6">
              <w:rPr>
                <w:sz w:val="16"/>
                <w:szCs w:val="16"/>
              </w:rPr>
              <w:t>Mara</w:t>
            </w:r>
          </w:p>
        </w:tc>
        <w:tc>
          <w:tcPr>
            <w:tcW w:w="525" w:type="pct"/>
            <w:tcBorders>
              <w:top w:val="nil"/>
              <w:left w:val="nil"/>
              <w:right w:val="nil"/>
            </w:tcBorders>
            <w:shd w:val="clear" w:color="auto" w:fill="auto"/>
            <w:noWrap/>
            <w:vAlign w:val="bottom"/>
            <w:hideMark/>
          </w:tcPr>
          <w:p w14:paraId="24C4E151" w14:textId="77777777" w:rsidR="0027533D" w:rsidRPr="006B42D6" w:rsidRDefault="0027533D" w:rsidP="006C676D">
            <w:pPr>
              <w:jc w:val="right"/>
              <w:rPr>
                <w:sz w:val="16"/>
                <w:szCs w:val="16"/>
              </w:rPr>
            </w:pPr>
            <w:r w:rsidRPr="006B42D6">
              <w:rPr>
                <w:sz w:val="16"/>
                <w:szCs w:val="16"/>
              </w:rPr>
              <w:t>16,430</w:t>
            </w:r>
          </w:p>
        </w:tc>
        <w:tc>
          <w:tcPr>
            <w:tcW w:w="524" w:type="pct"/>
            <w:tcBorders>
              <w:top w:val="nil"/>
              <w:left w:val="nil"/>
              <w:right w:val="single" w:sz="4" w:space="0" w:color="auto"/>
            </w:tcBorders>
            <w:shd w:val="clear" w:color="auto" w:fill="auto"/>
            <w:noWrap/>
            <w:vAlign w:val="bottom"/>
            <w:hideMark/>
          </w:tcPr>
          <w:p w14:paraId="3004A80F" w14:textId="77777777" w:rsidR="0027533D" w:rsidRPr="006B42D6" w:rsidRDefault="0027533D" w:rsidP="006C676D">
            <w:pPr>
              <w:jc w:val="right"/>
              <w:rPr>
                <w:sz w:val="16"/>
                <w:szCs w:val="16"/>
              </w:rPr>
            </w:pPr>
            <w:r w:rsidRPr="006B42D6">
              <w:rPr>
                <w:sz w:val="16"/>
                <w:szCs w:val="16"/>
              </w:rPr>
              <w:t>2.5</w:t>
            </w:r>
          </w:p>
        </w:tc>
        <w:tc>
          <w:tcPr>
            <w:tcW w:w="572" w:type="pct"/>
            <w:tcBorders>
              <w:top w:val="nil"/>
              <w:left w:val="nil"/>
              <w:right w:val="nil"/>
            </w:tcBorders>
            <w:shd w:val="clear" w:color="auto" w:fill="auto"/>
            <w:noWrap/>
            <w:vAlign w:val="bottom"/>
            <w:hideMark/>
          </w:tcPr>
          <w:p w14:paraId="3DB013CD" w14:textId="77777777" w:rsidR="0027533D" w:rsidRPr="006B42D6" w:rsidRDefault="0027533D" w:rsidP="006C676D">
            <w:pPr>
              <w:jc w:val="right"/>
              <w:rPr>
                <w:sz w:val="16"/>
                <w:szCs w:val="16"/>
              </w:rPr>
            </w:pPr>
            <w:r w:rsidRPr="006B42D6">
              <w:rPr>
                <w:sz w:val="16"/>
                <w:szCs w:val="16"/>
              </w:rPr>
              <w:t>154,367</w:t>
            </w:r>
          </w:p>
        </w:tc>
        <w:tc>
          <w:tcPr>
            <w:tcW w:w="521" w:type="pct"/>
            <w:tcBorders>
              <w:top w:val="nil"/>
              <w:left w:val="nil"/>
              <w:right w:val="single" w:sz="4" w:space="0" w:color="auto"/>
            </w:tcBorders>
            <w:shd w:val="clear" w:color="auto" w:fill="auto"/>
            <w:noWrap/>
            <w:vAlign w:val="bottom"/>
            <w:hideMark/>
          </w:tcPr>
          <w:p w14:paraId="26F47CD6" w14:textId="77777777" w:rsidR="0027533D" w:rsidRPr="006B42D6" w:rsidRDefault="0027533D" w:rsidP="006C676D">
            <w:pPr>
              <w:jc w:val="right"/>
              <w:rPr>
                <w:sz w:val="16"/>
                <w:szCs w:val="16"/>
              </w:rPr>
            </w:pPr>
            <w:r w:rsidRPr="006B42D6">
              <w:rPr>
                <w:sz w:val="16"/>
                <w:szCs w:val="16"/>
              </w:rPr>
              <w:t>12.2</w:t>
            </w:r>
          </w:p>
        </w:tc>
        <w:tc>
          <w:tcPr>
            <w:tcW w:w="527" w:type="pct"/>
            <w:tcBorders>
              <w:top w:val="nil"/>
              <w:left w:val="nil"/>
              <w:right w:val="nil"/>
            </w:tcBorders>
            <w:shd w:val="clear" w:color="auto" w:fill="auto"/>
            <w:noWrap/>
            <w:vAlign w:val="bottom"/>
            <w:hideMark/>
          </w:tcPr>
          <w:p w14:paraId="0C65DDA9" w14:textId="77777777" w:rsidR="0027533D" w:rsidRPr="006B42D6" w:rsidRDefault="0027533D" w:rsidP="006C676D">
            <w:pPr>
              <w:jc w:val="right"/>
              <w:rPr>
                <w:sz w:val="16"/>
                <w:szCs w:val="16"/>
              </w:rPr>
            </w:pPr>
            <w:r w:rsidRPr="006B42D6">
              <w:rPr>
                <w:sz w:val="16"/>
                <w:szCs w:val="16"/>
              </w:rPr>
              <w:t>4,764</w:t>
            </w:r>
          </w:p>
        </w:tc>
        <w:tc>
          <w:tcPr>
            <w:tcW w:w="523" w:type="pct"/>
            <w:tcBorders>
              <w:top w:val="nil"/>
              <w:left w:val="nil"/>
              <w:right w:val="single" w:sz="4" w:space="0" w:color="auto"/>
            </w:tcBorders>
            <w:shd w:val="clear" w:color="auto" w:fill="auto"/>
            <w:noWrap/>
            <w:vAlign w:val="bottom"/>
            <w:hideMark/>
          </w:tcPr>
          <w:p w14:paraId="3AF54D8C" w14:textId="77777777" w:rsidR="0027533D" w:rsidRPr="006B42D6" w:rsidRDefault="0027533D" w:rsidP="006C676D">
            <w:pPr>
              <w:jc w:val="right"/>
              <w:rPr>
                <w:sz w:val="16"/>
                <w:szCs w:val="16"/>
              </w:rPr>
            </w:pPr>
            <w:r w:rsidRPr="006B42D6">
              <w:rPr>
                <w:sz w:val="16"/>
                <w:szCs w:val="16"/>
              </w:rPr>
              <w:t>3.0</w:t>
            </w:r>
          </w:p>
        </w:tc>
        <w:tc>
          <w:tcPr>
            <w:tcW w:w="528" w:type="pct"/>
            <w:tcBorders>
              <w:top w:val="nil"/>
              <w:left w:val="nil"/>
              <w:right w:val="nil"/>
            </w:tcBorders>
            <w:shd w:val="clear" w:color="auto" w:fill="auto"/>
            <w:noWrap/>
            <w:vAlign w:val="bottom"/>
            <w:hideMark/>
          </w:tcPr>
          <w:p w14:paraId="6FACD3B1" w14:textId="77777777" w:rsidR="0027533D" w:rsidRPr="006B42D6" w:rsidRDefault="0027533D" w:rsidP="006C676D">
            <w:pPr>
              <w:jc w:val="right"/>
              <w:rPr>
                <w:sz w:val="16"/>
                <w:szCs w:val="16"/>
              </w:rPr>
            </w:pPr>
            <w:r w:rsidRPr="006B42D6">
              <w:rPr>
                <w:sz w:val="16"/>
                <w:szCs w:val="16"/>
              </w:rPr>
              <w:t>13,565</w:t>
            </w:r>
          </w:p>
        </w:tc>
        <w:tc>
          <w:tcPr>
            <w:tcW w:w="522" w:type="pct"/>
            <w:tcBorders>
              <w:top w:val="nil"/>
              <w:left w:val="nil"/>
              <w:right w:val="nil"/>
            </w:tcBorders>
            <w:shd w:val="clear" w:color="auto" w:fill="auto"/>
            <w:noWrap/>
            <w:vAlign w:val="bottom"/>
            <w:hideMark/>
          </w:tcPr>
          <w:p w14:paraId="5442135A" w14:textId="77777777" w:rsidR="0027533D" w:rsidRPr="006B42D6" w:rsidRDefault="0027533D" w:rsidP="006C676D">
            <w:pPr>
              <w:jc w:val="right"/>
              <w:rPr>
                <w:sz w:val="16"/>
                <w:szCs w:val="16"/>
              </w:rPr>
            </w:pPr>
            <w:r w:rsidRPr="006B42D6">
              <w:rPr>
                <w:sz w:val="16"/>
                <w:szCs w:val="16"/>
              </w:rPr>
              <w:t>18.8</w:t>
            </w:r>
          </w:p>
        </w:tc>
      </w:tr>
      <w:tr w:rsidR="006B42D6" w:rsidRPr="006B42D6" w14:paraId="75491C39" w14:textId="77777777" w:rsidTr="00617341">
        <w:trPr>
          <w:trHeight w:val="70"/>
        </w:trPr>
        <w:tc>
          <w:tcPr>
            <w:tcW w:w="758" w:type="pct"/>
            <w:tcBorders>
              <w:top w:val="nil"/>
              <w:left w:val="nil"/>
              <w:bottom w:val="nil"/>
              <w:right w:val="single" w:sz="4" w:space="0" w:color="auto"/>
            </w:tcBorders>
            <w:shd w:val="clear" w:color="auto" w:fill="auto"/>
            <w:noWrap/>
            <w:vAlign w:val="center"/>
            <w:hideMark/>
          </w:tcPr>
          <w:p w14:paraId="7BA8E80E" w14:textId="77777777" w:rsidR="0027533D" w:rsidRPr="006B42D6" w:rsidRDefault="0027533D" w:rsidP="006C676D">
            <w:pPr>
              <w:rPr>
                <w:sz w:val="16"/>
                <w:szCs w:val="16"/>
              </w:rPr>
            </w:pPr>
            <w:r w:rsidRPr="006B42D6">
              <w:rPr>
                <w:sz w:val="16"/>
                <w:szCs w:val="16"/>
              </w:rPr>
              <w:t>Manyara</w:t>
            </w:r>
          </w:p>
        </w:tc>
        <w:tc>
          <w:tcPr>
            <w:tcW w:w="525" w:type="pct"/>
            <w:tcBorders>
              <w:top w:val="nil"/>
              <w:left w:val="nil"/>
              <w:right w:val="nil"/>
            </w:tcBorders>
            <w:shd w:val="clear" w:color="auto" w:fill="auto"/>
            <w:noWrap/>
            <w:vAlign w:val="bottom"/>
            <w:hideMark/>
          </w:tcPr>
          <w:p w14:paraId="19DB6423" w14:textId="77777777" w:rsidR="0027533D" w:rsidRPr="006B42D6" w:rsidRDefault="0027533D" w:rsidP="006C676D">
            <w:pPr>
              <w:jc w:val="right"/>
              <w:rPr>
                <w:sz w:val="16"/>
                <w:szCs w:val="16"/>
              </w:rPr>
            </w:pPr>
            <w:r w:rsidRPr="006B42D6">
              <w:rPr>
                <w:sz w:val="16"/>
                <w:szCs w:val="16"/>
              </w:rPr>
              <w:t>43,373</w:t>
            </w:r>
          </w:p>
        </w:tc>
        <w:tc>
          <w:tcPr>
            <w:tcW w:w="524" w:type="pct"/>
            <w:tcBorders>
              <w:top w:val="nil"/>
              <w:left w:val="nil"/>
              <w:right w:val="single" w:sz="4" w:space="0" w:color="auto"/>
            </w:tcBorders>
            <w:shd w:val="clear" w:color="auto" w:fill="auto"/>
            <w:noWrap/>
            <w:vAlign w:val="bottom"/>
            <w:hideMark/>
          </w:tcPr>
          <w:p w14:paraId="109D60B8" w14:textId="77777777" w:rsidR="0027533D" w:rsidRPr="006B42D6" w:rsidRDefault="0027533D" w:rsidP="006C676D">
            <w:pPr>
              <w:jc w:val="right"/>
              <w:rPr>
                <w:sz w:val="16"/>
                <w:szCs w:val="16"/>
              </w:rPr>
            </w:pPr>
            <w:r w:rsidRPr="006B42D6">
              <w:rPr>
                <w:sz w:val="16"/>
                <w:szCs w:val="16"/>
              </w:rPr>
              <w:t>6.6</w:t>
            </w:r>
          </w:p>
        </w:tc>
        <w:tc>
          <w:tcPr>
            <w:tcW w:w="572" w:type="pct"/>
            <w:tcBorders>
              <w:top w:val="nil"/>
              <w:left w:val="nil"/>
              <w:right w:val="nil"/>
            </w:tcBorders>
            <w:shd w:val="clear" w:color="auto" w:fill="auto"/>
            <w:noWrap/>
            <w:vAlign w:val="bottom"/>
            <w:hideMark/>
          </w:tcPr>
          <w:p w14:paraId="009429B2" w14:textId="77777777" w:rsidR="0027533D" w:rsidRPr="006B42D6" w:rsidRDefault="0027533D" w:rsidP="006C676D">
            <w:pPr>
              <w:jc w:val="right"/>
              <w:rPr>
                <w:sz w:val="16"/>
                <w:szCs w:val="16"/>
              </w:rPr>
            </w:pPr>
            <w:r w:rsidRPr="006B42D6">
              <w:rPr>
                <w:sz w:val="16"/>
                <w:szCs w:val="16"/>
              </w:rPr>
              <w:t>82,602</w:t>
            </w:r>
          </w:p>
        </w:tc>
        <w:tc>
          <w:tcPr>
            <w:tcW w:w="521" w:type="pct"/>
            <w:tcBorders>
              <w:top w:val="nil"/>
              <w:left w:val="nil"/>
              <w:right w:val="single" w:sz="4" w:space="0" w:color="auto"/>
            </w:tcBorders>
            <w:shd w:val="clear" w:color="auto" w:fill="auto"/>
            <w:noWrap/>
            <w:vAlign w:val="bottom"/>
            <w:hideMark/>
          </w:tcPr>
          <w:p w14:paraId="4F1043A4" w14:textId="77777777" w:rsidR="0027533D" w:rsidRPr="006B42D6" w:rsidRDefault="0027533D" w:rsidP="006C676D">
            <w:pPr>
              <w:jc w:val="right"/>
              <w:rPr>
                <w:sz w:val="16"/>
                <w:szCs w:val="16"/>
              </w:rPr>
            </w:pPr>
            <w:r w:rsidRPr="006B42D6">
              <w:rPr>
                <w:sz w:val="16"/>
                <w:szCs w:val="16"/>
              </w:rPr>
              <w:t>6.5</w:t>
            </w:r>
          </w:p>
        </w:tc>
        <w:tc>
          <w:tcPr>
            <w:tcW w:w="527" w:type="pct"/>
            <w:tcBorders>
              <w:top w:val="nil"/>
              <w:left w:val="nil"/>
              <w:right w:val="nil"/>
            </w:tcBorders>
            <w:shd w:val="clear" w:color="auto" w:fill="auto"/>
            <w:noWrap/>
            <w:vAlign w:val="bottom"/>
            <w:hideMark/>
          </w:tcPr>
          <w:p w14:paraId="3DFFCA57" w14:textId="77777777" w:rsidR="0027533D" w:rsidRPr="006B42D6" w:rsidRDefault="0027533D" w:rsidP="006C676D">
            <w:pPr>
              <w:jc w:val="right"/>
              <w:rPr>
                <w:sz w:val="16"/>
                <w:szCs w:val="16"/>
              </w:rPr>
            </w:pPr>
            <w:r w:rsidRPr="006B42D6">
              <w:rPr>
                <w:sz w:val="16"/>
                <w:szCs w:val="16"/>
              </w:rPr>
              <w:t>985</w:t>
            </w:r>
          </w:p>
        </w:tc>
        <w:tc>
          <w:tcPr>
            <w:tcW w:w="523" w:type="pct"/>
            <w:tcBorders>
              <w:top w:val="nil"/>
              <w:left w:val="nil"/>
              <w:right w:val="single" w:sz="4" w:space="0" w:color="auto"/>
            </w:tcBorders>
            <w:shd w:val="clear" w:color="auto" w:fill="auto"/>
            <w:noWrap/>
            <w:vAlign w:val="bottom"/>
            <w:hideMark/>
          </w:tcPr>
          <w:p w14:paraId="19022FCB" w14:textId="77777777" w:rsidR="0027533D" w:rsidRPr="006B42D6" w:rsidRDefault="0027533D" w:rsidP="006C676D">
            <w:pPr>
              <w:jc w:val="right"/>
              <w:rPr>
                <w:sz w:val="16"/>
                <w:szCs w:val="16"/>
              </w:rPr>
            </w:pPr>
            <w:r w:rsidRPr="006B42D6">
              <w:rPr>
                <w:sz w:val="16"/>
                <w:szCs w:val="16"/>
              </w:rPr>
              <w:t>0.6</w:t>
            </w:r>
          </w:p>
        </w:tc>
        <w:tc>
          <w:tcPr>
            <w:tcW w:w="528" w:type="pct"/>
            <w:tcBorders>
              <w:top w:val="nil"/>
              <w:left w:val="nil"/>
              <w:right w:val="nil"/>
            </w:tcBorders>
            <w:shd w:val="clear" w:color="auto" w:fill="auto"/>
            <w:noWrap/>
            <w:vAlign w:val="bottom"/>
            <w:hideMark/>
          </w:tcPr>
          <w:p w14:paraId="03F03D77" w14:textId="77777777" w:rsidR="0027533D" w:rsidRPr="006B42D6" w:rsidRDefault="0027533D" w:rsidP="006C676D">
            <w:pPr>
              <w:jc w:val="right"/>
              <w:rPr>
                <w:sz w:val="16"/>
                <w:szCs w:val="16"/>
              </w:rPr>
            </w:pPr>
            <w:r w:rsidRPr="006B42D6">
              <w:rPr>
                <w:sz w:val="16"/>
                <w:szCs w:val="16"/>
              </w:rPr>
              <w:t>232</w:t>
            </w:r>
          </w:p>
        </w:tc>
        <w:tc>
          <w:tcPr>
            <w:tcW w:w="522" w:type="pct"/>
            <w:tcBorders>
              <w:top w:val="nil"/>
              <w:left w:val="nil"/>
              <w:right w:val="nil"/>
            </w:tcBorders>
            <w:shd w:val="clear" w:color="auto" w:fill="auto"/>
            <w:noWrap/>
            <w:vAlign w:val="bottom"/>
            <w:hideMark/>
          </w:tcPr>
          <w:p w14:paraId="3272B2FB" w14:textId="77777777" w:rsidR="0027533D" w:rsidRPr="006B42D6" w:rsidRDefault="0027533D" w:rsidP="006C676D">
            <w:pPr>
              <w:jc w:val="right"/>
              <w:rPr>
                <w:sz w:val="16"/>
                <w:szCs w:val="16"/>
              </w:rPr>
            </w:pPr>
            <w:r w:rsidRPr="006B42D6">
              <w:rPr>
                <w:sz w:val="16"/>
                <w:szCs w:val="16"/>
              </w:rPr>
              <w:t>0.3</w:t>
            </w:r>
          </w:p>
        </w:tc>
      </w:tr>
      <w:tr w:rsidR="006B42D6" w:rsidRPr="006B42D6" w14:paraId="73D4567B" w14:textId="77777777" w:rsidTr="00617341">
        <w:trPr>
          <w:trHeight w:val="70"/>
        </w:trPr>
        <w:tc>
          <w:tcPr>
            <w:tcW w:w="758" w:type="pct"/>
            <w:tcBorders>
              <w:top w:val="nil"/>
              <w:left w:val="nil"/>
              <w:bottom w:val="nil"/>
              <w:right w:val="single" w:sz="4" w:space="0" w:color="auto"/>
            </w:tcBorders>
            <w:shd w:val="clear" w:color="auto" w:fill="auto"/>
            <w:noWrap/>
            <w:vAlign w:val="center"/>
            <w:hideMark/>
          </w:tcPr>
          <w:p w14:paraId="10CCBD22" w14:textId="77777777" w:rsidR="0027533D" w:rsidRPr="006B42D6" w:rsidRDefault="0027533D" w:rsidP="006C676D">
            <w:pPr>
              <w:rPr>
                <w:sz w:val="16"/>
                <w:szCs w:val="16"/>
              </w:rPr>
            </w:pPr>
            <w:r w:rsidRPr="006B42D6">
              <w:rPr>
                <w:sz w:val="16"/>
                <w:szCs w:val="16"/>
              </w:rPr>
              <w:t>Njombe</w:t>
            </w:r>
          </w:p>
        </w:tc>
        <w:tc>
          <w:tcPr>
            <w:tcW w:w="525" w:type="pct"/>
            <w:tcBorders>
              <w:top w:val="nil"/>
              <w:left w:val="nil"/>
              <w:right w:val="nil"/>
            </w:tcBorders>
            <w:shd w:val="clear" w:color="auto" w:fill="auto"/>
            <w:noWrap/>
            <w:vAlign w:val="bottom"/>
            <w:hideMark/>
          </w:tcPr>
          <w:p w14:paraId="19806FBC" w14:textId="77777777" w:rsidR="0027533D" w:rsidRPr="006B42D6" w:rsidRDefault="0027533D" w:rsidP="006C676D">
            <w:pPr>
              <w:jc w:val="right"/>
              <w:rPr>
                <w:sz w:val="16"/>
                <w:szCs w:val="16"/>
              </w:rPr>
            </w:pPr>
            <w:r w:rsidRPr="006B42D6">
              <w:rPr>
                <w:sz w:val="16"/>
                <w:szCs w:val="16"/>
              </w:rPr>
              <w:t>-</w:t>
            </w:r>
          </w:p>
        </w:tc>
        <w:tc>
          <w:tcPr>
            <w:tcW w:w="524" w:type="pct"/>
            <w:tcBorders>
              <w:top w:val="nil"/>
              <w:left w:val="nil"/>
              <w:right w:val="single" w:sz="4" w:space="0" w:color="auto"/>
            </w:tcBorders>
            <w:shd w:val="clear" w:color="auto" w:fill="auto"/>
            <w:noWrap/>
            <w:vAlign w:val="bottom"/>
            <w:hideMark/>
          </w:tcPr>
          <w:p w14:paraId="6F4B437B" w14:textId="77777777" w:rsidR="0027533D" w:rsidRPr="006B42D6" w:rsidRDefault="0027533D" w:rsidP="006C676D">
            <w:pPr>
              <w:jc w:val="right"/>
              <w:rPr>
                <w:sz w:val="16"/>
                <w:szCs w:val="16"/>
              </w:rPr>
            </w:pPr>
            <w:r w:rsidRPr="006B42D6">
              <w:rPr>
                <w:sz w:val="16"/>
                <w:szCs w:val="16"/>
              </w:rPr>
              <w:t>-</w:t>
            </w:r>
          </w:p>
        </w:tc>
        <w:tc>
          <w:tcPr>
            <w:tcW w:w="572" w:type="pct"/>
            <w:tcBorders>
              <w:top w:val="nil"/>
              <w:left w:val="nil"/>
              <w:right w:val="nil"/>
            </w:tcBorders>
            <w:shd w:val="clear" w:color="auto" w:fill="auto"/>
            <w:noWrap/>
            <w:vAlign w:val="bottom"/>
            <w:hideMark/>
          </w:tcPr>
          <w:p w14:paraId="3568AAC3" w14:textId="77777777" w:rsidR="0027533D" w:rsidRPr="006B42D6" w:rsidRDefault="0027533D" w:rsidP="006C676D">
            <w:pPr>
              <w:jc w:val="right"/>
              <w:rPr>
                <w:sz w:val="16"/>
                <w:szCs w:val="16"/>
              </w:rPr>
            </w:pPr>
            <w:r w:rsidRPr="006B42D6">
              <w:rPr>
                <w:sz w:val="16"/>
                <w:szCs w:val="16"/>
              </w:rPr>
              <w:t>-</w:t>
            </w:r>
          </w:p>
        </w:tc>
        <w:tc>
          <w:tcPr>
            <w:tcW w:w="521" w:type="pct"/>
            <w:tcBorders>
              <w:top w:val="nil"/>
              <w:left w:val="nil"/>
              <w:right w:val="single" w:sz="4" w:space="0" w:color="auto"/>
            </w:tcBorders>
            <w:shd w:val="clear" w:color="auto" w:fill="auto"/>
            <w:noWrap/>
            <w:vAlign w:val="bottom"/>
            <w:hideMark/>
          </w:tcPr>
          <w:p w14:paraId="0B6BD608" w14:textId="77777777" w:rsidR="0027533D" w:rsidRPr="006B42D6" w:rsidRDefault="0027533D" w:rsidP="006C676D">
            <w:pPr>
              <w:jc w:val="right"/>
              <w:rPr>
                <w:sz w:val="16"/>
                <w:szCs w:val="16"/>
              </w:rPr>
            </w:pPr>
            <w:r w:rsidRPr="006B42D6">
              <w:rPr>
                <w:sz w:val="16"/>
                <w:szCs w:val="16"/>
              </w:rPr>
              <w:t>-</w:t>
            </w:r>
          </w:p>
        </w:tc>
        <w:tc>
          <w:tcPr>
            <w:tcW w:w="527" w:type="pct"/>
            <w:tcBorders>
              <w:top w:val="nil"/>
              <w:left w:val="nil"/>
              <w:right w:val="nil"/>
            </w:tcBorders>
            <w:shd w:val="clear" w:color="auto" w:fill="auto"/>
            <w:noWrap/>
            <w:vAlign w:val="bottom"/>
            <w:hideMark/>
          </w:tcPr>
          <w:p w14:paraId="42FEA68E" w14:textId="77777777" w:rsidR="0027533D" w:rsidRPr="006B42D6" w:rsidRDefault="0027533D" w:rsidP="006C676D">
            <w:pPr>
              <w:jc w:val="right"/>
              <w:rPr>
                <w:sz w:val="16"/>
                <w:szCs w:val="16"/>
              </w:rPr>
            </w:pPr>
            <w:r w:rsidRPr="006B42D6">
              <w:rPr>
                <w:sz w:val="16"/>
                <w:szCs w:val="16"/>
              </w:rPr>
              <w:t>-</w:t>
            </w:r>
          </w:p>
        </w:tc>
        <w:tc>
          <w:tcPr>
            <w:tcW w:w="523" w:type="pct"/>
            <w:tcBorders>
              <w:top w:val="nil"/>
              <w:left w:val="nil"/>
              <w:right w:val="single" w:sz="4" w:space="0" w:color="auto"/>
            </w:tcBorders>
            <w:shd w:val="clear" w:color="auto" w:fill="auto"/>
            <w:noWrap/>
            <w:vAlign w:val="bottom"/>
            <w:hideMark/>
          </w:tcPr>
          <w:p w14:paraId="3E487186" w14:textId="77777777" w:rsidR="0027533D" w:rsidRPr="006B42D6" w:rsidRDefault="0027533D" w:rsidP="006C676D">
            <w:pPr>
              <w:jc w:val="right"/>
              <w:rPr>
                <w:sz w:val="16"/>
                <w:szCs w:val="16"/>
              </w:rPr>
            </w:pPr>
            <w:r w:rsidRPr="006B42D6">
              <w:rPr>
                <w:sz w:val="16"/>
                <w:szCs w:val="16"/>
              </w:rPr>
              <w:t>-</w:t>
            </w:r>
          </w:p>
        </w:tc>
        <w:tc>
          <w:tcPr>
            <w:tcW w:w="528" w:type="pct"/>
            <w:tcBorders>
              <w:top w:val="nil"/>
              <w:left w:val="nil"/>
              <w:right w:val="nil"/>
            </w:tcBorders>
            <w:shd w:val="clear" w:color="auto" w:fill="auto"/>
            <w:noWrap/>
            <w:vAlign w:val="bottom"/>
            <w:hideMark/>
          </w:tcPr>
          <w:p w14:paraId="7C37F6A5" w14:textId="77777777" w:rsidR="0027533D" w:rsidRPr="006B42D6" w:rsidRDefault="0027533D" w:rsidP="006C676D">
            <w:pPr>
              <w:jc w:val="right"/>
              <w:rPr>
                <w:sz w:val="16"/>
                <w:szCs w:val="16"/>
              </w:rPr>
            </w:pPr>
            <w:r w:rsidRPr="006B42D6">
              <w:rPr>
                <w:sz w:val="16"/>
                <w:szCs w:val="16"/>
              </w:rPr>
              <w:t>-</w:t>
            </w:r>
          </w:p>
        </w:tc>
        <w:tc>
          <w:tcPr>
            <w:tcW w:w="522" w:type="pct"/>
            <w:tcBorders>
              <w:top w:val="nil"/>
              <w:left w:val="nil"/>
              <w:right w:val="nil"/>
            </w:tcBorders>
            <w:shd w:val="clear" w:color="auto" w:fill="auto"/>
            <w:noWrap/>
            <w:vAlign w:val="bottom"/>
            <w:hideMark/>
          </w:tcPr>
          <w:p w14:paraId="09FE1766" w14:textId="77777777" w:rsidR="0027533D" w:rsidRPr="006B42D6" w:rsidRDefault="0027533D" w:rsidP="006C676D">
            <w:pPr>
              <w:jc w:val="right"/>
              <w:rPr>
                <w:sz w:val="16"/>
                <w:szCs w:val="16"/>
              </w:rPr>
            </w:pPr>
            <w:r w:rsidRPr="006B42D6">
              <w:rPr>
                <w:sz w:val="16"/>
                <w:szCs w:val="16"/>
              </w:rPr>
              <w:t>-</w:t>
            </w:r>
          </w:p>
        </w:tc>
      </w:tr>
      <w:tr w:rsidR="006B42D6" w:rsidRPr="006B42D6" w14:paraId="6FEBEBD7" w14:textId="77777777" w:rsidTr="00617341">
        <w:trPr>
          <w:trHeight w:val="70"/>
        </w:trPr>
        <w:tc>
          <w:tcPr>
            <w:tcW w:w="758" w:type="pct"/>
            <w:tcBorders>
              <w:top w:val="nil"/>
              <w:left w:val="nil"/>
              <w:bottom w:val="nil"/>
              <w:right w:val="single" w:sz="4" w:space="0" w:color="auto"/>
            </w:tcBorders>
            <w:shd w:val="clear" w:color="auto" w:fill="auto"/>
            <w:noWrap/>
            <w:vAlign w:val="center"/>
            <w:hideMark/>
          </w:tcPr>
          <w:p w14:paraId="34068FE4" w14:textId="77777777" w:rsidR="0027533D" w:rsidRPr="006B42D6" w:rsidRDefault="0027533D" w:rsidP="006C676D">
            <w:pPr>
              <w:rPr>
                <w:sz w:val="16"/>
                <w:szCs w:val="16"/>
              </w:rPr>
            </w:pPr>
            <w:r w:rsidRPr="006B42D6">
              <w:rPr>
                <w:sz w:val="16"/>
                <w:szCs w:val="16"/>
              </w:rPr>
              <w:t>Katavi</w:t>
            </w:r>
          </w:p>
        </w:tc>
        <w:tc>
          <w:tcPr>
            <w:tcW w:w="525" w:type="pct"/>
            <w:tcBorders>
              <w:top w:val="nil"/>
              <w:left w:val="nil"/>
              <w:right w:val="nil"/>
            </w:tcBorders>
            <w:shd w:val="clear" w:color="auto" w:fill="auto"/>
            <w:noWrap/>
            <w:vAlign w:val="bottom"/>
            <w:hideMark/>
          </w:tcPr>
          <w:p w14:paraId="7ACAE42F" w14:textId="77777777" w:rsidR="0027533D" w:rsidRPr="006B42D6" w:rsidRDefault="0027533D" w:rsidP="006C676D">
            <w:pPr>
              <w:jc w:val="right"/>
              <w:rPr>
                <w:sz w:val="16"/>
                <w:szCs w:val="16"/>
              </w:rPr>
            </w:pPr>
            <w:r w:rsidRPr="006B42D6">
              <w:rPr>
                <w:sz w:val="16"/>
                <w:szCs w:val="16"/>
              </w:rPr>
              <w:t>-</w:t>
            </w:r>
          </w:p>
        </w:tc>
        <w:tc>
          <w:tcPr>
            <w:tcW w:w="524" w:type="pct"/>
            <w:tcBorders>
              <w:top w:val="nil"/>
              <w:left w:val="nil"/>
              <w:right w:val="single" w:sz="4" w:space="0" w:color="auto"/>
            </w:tcBorders>
            <w:shd w:val="clear" w:color="auto" w:fill="auto"/>
            <w:noWrap/>
            <w:vAlign w:val="bottom"/>
            <w:hideMark/>
          </w:tcPr>
          <w:p w14:paraId="54A0CE6B" w14:textId="77777777" w:rsidR="0027533D" w:rsidRPr="006B42D6" w:rsidRDefault="0027533D" w:rsidP="006C676D">
            <w:pPr>
              <w:jc w:val="right"/>
              <w:rPr>
                <w:sz w:val="16"/>
                <w:szCs w:val="16"/>
              </w:rPr>
            </w:pPr>
            <w:r w:rsidRPr="006B42D6">
              <w:rPr>
                <w:sz w:val="16"/>
                <w:szCs w:val="16"/>
              </w:rPr>
              <w:t>-</w:t>
            </w:r>
          </w:p>
        </w:tc>
        <w:tc>
          <w:tcPr>
            <w:tcW w:w="572" w:type="pct"/>
            <w:tcBorders>
              <w:top w:val="nil"/>
              <w:left w:val="nil"/>
              <w:right w:val="nil"/>
            </w:tcBorders>
            <w:shd w:val="clear" w:color="auto" w:fill="auto"/>
            <w:noWrap/>
            <w:vAlign w:val="bottom"/>
            <w:hideMark/>
          </w:tcPr>
          <w:p w14:paraId="381BB5B7" w14:textId="77777777" w:rsidR="0027533D" w:rsidRPr="006B42D6" w:rsidRDefault="0027533D" w:rsidP="006C676D">
            <w:pPr>
              <w:jc w:val="right"/>
              <w:rPr>
                <w:sz w:val="16"/>
                <w:szCs w:val="16"/>
              </w:rPr>
            </w:pPr>
            <w:r w:rsidRPr="006B42D6">
              <w:rPr>
                <w:sz w:val="16"/>
                <w:szCs w:val="16"/>
              </w:rPr>
              <w:t>-</w:t>
            </w:r>
          </w:p>
        </w:tc>
        <w:tc>
          <w:tcPr>
            <w:tcW w:w="521" w:type="pct"/>
            <w:tcBorders>
              <w:top w:val="nil"/>
              <w:left w:val="nil"/>
              <w:right w:val="single" w:sz="4" w:space="0" w:color="auto"/>
            </w:tcBorders>
            <w:shd w:val="clear" w:color="auto" w:fill="auto"/>
            <w:noWrap/>
            <w:vAlign w:val="bottom"/>
            <w:hideMark/>
          </w:tcPr>
          <w:p w14:paraId="1A16F4F7" w14:textId="77777777" w:rsidR="0027533D" w:rsidRPr="006B42D6" w:rsidRDefault="0027533D" w:rsidP="006C676D">
            <w:pPr>
              <w:jc w:val="right"/>
              <w:rPr>
                <w:sz w:val="16"/>
                <w:szCs w:val="16"/>
              </w:rPr>
            </w:pPr>
            <w:r w:rsidRPr="006B42D6">
              <w:rPr>
                <w:sz w:val="16"/>
                <w:szCs w:val="16"/>
              </w:rPr>
              <w:t>-</w:t>
            </w:r>
          </w:p>
        </w:tc>
        <w:tc>
          <w:tcPr>
            <w:tcW w:w="527" w:type="pct"/>
            <w:tcBorders>
              <w:top w:val="nil"/>
              <w:left w:val="nil"/>
              <w:right w:val="nil"/>
            </w:tcBorders>
            <w:shd w:val="clear" w:color="auto" w:fill="auto"/>
            <w:noWrap/>
            <w:vAlign w:val="bottom"/>
            <w:hideMark/>
          </w:tcPr>
          <w:p w14:paraId="7DC06624" w14:textId="77777777" w:rsidR="0027533D" w:rsidRPr="006B42D6" w:rsidRDefault="0027533D" w:rsidP="006C676D">
            <w:pPr>
              <w:jc w:val="right"/>
              <w:rPr>
                <w:sz w:val="16"/>
                <w:szCs w:val="16"/>
              </w:rPr>
            </w:pPr>
            <w:r w:rsidRPr="006B42D6">
              <w:rPr>
                <w:sz w:val="16"/>
                <w:szCs w:val="16"/>
              </w:rPr>
              <w:t>-</w:t>
            </w:r>
          </w:p>
        </w:tc>
        <w:tc>
          <w:tcPr>
            <w:tcW w:w="523" w:type="pct"/>
            <w:tcBorders>
              <w:top w:val="nil"/>
              <w:left w:val="nil"/>
              <w:right w:val="single" w:sz="4" w:space="0" w:color="auto"/>
            </w:tcBorders>
            <w:shd w:val="clear" w:color="auto" w:fill="auto"/>
            <w:noWrap/>
            <w:vAlign w:val="bottom"/>
            <w:hideMark/>
          </w:tcPr>
          <w:p w14:paraId="591B7F0B" w14:textId="77777777" w:rsidR="0027533D" w:rsidRPr="006B42D6" w:rsidRDefault="0027533D" w:rsidP="006C676D">
            <w:pPr>
              <w:jc w:val="right"/>
              <w:rPr>
                <w:sz w:val="16"/>
                <w:szCs w:val="16"/>
              </w:rPr>
            </w:pPr>
            <w:r w:rsidRPr="006B42D6">
              <w:rPr>
                <w:sz w:val="16"/>
                <w:szCs w:val="16"/>
              </w:rPr>
              <w:t>-</w:t>
            </w:r>
          </w:p>
        </w:tc>
        <w:tc>
          <w:tcPr>
            <w:tcW w:w="528" w:type="pct"/>
            <w:tcBorders>
              <w:top w:val="nil"/>
              <w:left w:val="nil"/>
              <w:right w:val="nil"/>
            </w:tcBorders>
            <w:shd w:val="clear" w:color="auto" w:fill="auto"/>
            <w:noWrap/>
            <w:vAlign w:val="bottom"/>
            <w:hideMark/>
          </w:tcPr>
          <w:p w14:paraId="0EE5AE87" w14:textId="77777777" w:rsidR="0027533D" w:rsidRPr="006B42D6" w:rsidRDefault="0027533D" w:rsidP="006C676D">
            <w:pPr>
              <w:jc w:val="right"/>
              <w:rPr>
                <w:sz w:val="16"/>
                <w:szCs w:val="16"/>
              </w:rPr>
            </w:pPr>
            <w:r w:rsidRPr="006B42D6">
              <w:rPr>
                <w:sz w:val="16"/>
                <w:szCs w:val="16"/>
              </w:rPr>
              <w:t>-</w:t>
            </w:r>
          </w:p>
        </w:tc>
        <w:tc>
          <w:tcPr>
            <w:tcW w:w="522" w:type="pct"/>
            <w:tcBorders>
              <w:top w:val="nil"/>
              <w:left w:val="nil"/>
              <w:right w:val="nil"/>
            </w:tcBorders>
            <w:shd w:val="clear" w:color="auto" w:fill="auto"/>
            <w:noWrap/>
            <w:vAlign w:val="bottom"/>
            <w:hideMark/>
          </w:tcPr>
          <w:p w14:paraId="1C65293E" w14:textId="77777777" w:rsidR="0027533D" w:rsidRPr="006B42D6" w:rsidRDefault="0027533D" w:rsidP="006C676D">
            <w:pPr>
              <w:jc w:val="right"/>
              <w:rPr>
                <w:sz w:val="16"/>
                <w:szCs w:val="16"/>
              </w:rPr>
            </w:pPr>
            <w:r w:rsidRPr="006B42D6">
              <w:rPr>
                <w:sz w:val="16"/>
                <w:szCs w:val="16"/>
              </w:rPr>
              <w:t>-</w:t>
            </w:r>
          </w:p>
        </w:tc>
      </w:tr>
      <w:tr w:rsidR="006B42D6" w:rsidRPr="006B42D6" w14:paraId="3D34195C" w14:textId="77777777" w:rsidTr="00617341">
        <w:trPr>
          <w:trHeight w:val="70"/>
        </w:trPr>
        <w:tc>
          <w:tcPr>
            <w:tcW w:w="758" w:type="pct"/>
            <w:tcBorders>
              <w:top w:val="nil"/>
              <w:left w:val="nil"/>
              <w:bottom w:val="nil"/>
              <w:right w:val="single" w:sz="4" w:space="0" w:color="auto"/>
            </w:tcBorders>
            <w:shd w:val="clear" w:color="auto" w:fill="auto"/>
            <w:noWrap/>
            <w:vAlign w:val="center"/>
            <w:hideMark/>
          </w:tcPr>
          <w:p w14:paraId="48C37969" w14:textId="77777777" w:rsidR="0027533D" w:rsidRPr="006B42D6" w:rsidRDefault="0027533D" w:rsidP="006C676D">
            <w:pPr>
              <w:rPr>
                <w:sz w:val="16"/>
                <w:szCs w:val="16"/>
              </w:rPr>
            </w:pPr>
            <w:r w:rsidRPr="006B42D6">
              <w:rPr>
                <w:sz w:val="16"/>
                <w:szCs w:val="16"/>
              </w:rPr>
              <w:t>Simiyu</w:t>
            </w:r>
          </w:p>
        </w:tc>
        <w:tc>
          <w:tcPr>
            <w:tcW w:w="525" w:type="pct"/>
            <w:tcBorders>
              <w:top w:val="nil"/>
              <w:left w:val="nil"/>
              <w:right w:val="nil"/>
            </w:tcBorders>
            <w:shd w:val="clear" w:color="auto" w:fill="auto"/>
            <w:noWrap/>
            <w:vAlign w:val="bottom"/>
            <w:hideMark/>
          </w:tcPr>
          <w:p w14:paraId="0E1596FA" w14:textId="77777777" w:rsidR="0027533D" w:rsidRPr="006B42D6" w:rsidRDefault="0027533D" w:rsidP="006C676D">
            <w:pPr>
              <w:jc w:val="right"/>
              <w:rPr>
                <w:sz w:val="16"/>
                <w:szCs w:val="16"/>
              </w:rPr>
            </w:pPr>
            <w:r w:rsidRPr="006B42D6">
              <w:rPr>
                <w:sz w:val="16"/>
                <w:szCs w:val="16"/>
              </w:rPr>
              <w:t>47,811</w:t>
            </w:r>
          </w:p>
        </w:tc>
        <w:tc>
          <w:tcPr>
            <w:tcW w:w="524" w:type="pct"/>
            <w:tcBorders>
              <w:top w:val="nil"/>
              <w:left w:val="nil"/>
              <w:right w:val="single" w:sz="4" w:space="0" w:color="auto"/>
            </w:tcBorders>
            <w:shd w:val="clear" w:color="auto" w:fill="auto"/>
            <w:noWrap/>
            <w:vAlign w:val="bottom"/>
            <w:hideMark/>
          </w:tcPr>
          <w:p w14:paraId="6D4DA286" w14:textId="77777777" w:rsidR="0027533D" w:rsidRPr="006B42D6" w:rsidRDefault="0027533D" w:rsidP="006C676D">
            <w:pPr>
              <w:jc w:val="right"/>
              <w:rPr>
                <w:sz w:val="16"/>
                <w:szCs w:val="16"/>
              </w:rPr>
            </w:pPr>
            <w:r w:rsidRPr="006B42D6">
              <w:rPr>
                <w:sz w:val="16"/>
                <w:szCs w:val="16"/>
              </w:rPr>
              <w:t>7.2</w:t>
            </w:r>
          </w:p>
        </w:tc>
        <w:tc>
          <w:tcPr>
            <w:tcW w:w="572" w:type="pct"/>
            <w:tcBorders>
              <w:top w:val="nil"/>
              <w:left w:val="nil"/>
              <w:right w:val="nil"/>
            </w:tcBorders>
            <w:shd w:val="clear" w:color="auto" w:fill="auto"/>
            <w:noWrap/>
            <w:vAlign w:val="bottom"/>
            <w:hideMark/>
          </w:tcPr>
          <w:p w14:paraId="5660E73D" w14:textId="77777777" w:rsidR="0027533D" w:rsidRPr="006B42D6" w:rsidRDefault="0027533D" w:rsidP="006C676D">
            <w:pPr>
              <w:jc w:val="right"/>
              <w:rPr>
                <w:sz w:val="16"/>
                <w:szCs w:val="16"/>
              </w:rPr>
            </w:pPr>
            <w:r w:rsidRPr="006B42D6">
              <w:rPr>
                <w:sz w:val="16"/>
                <w:szCs w:val="16"/>
              </w:rPr>
              <w:t>20,462</w:t>
            </w:r>
          </w:p>
        </w:tc>
        <w:tc>
          <w:tcPr>
            <w:tcW w:w="521" w:type="pct"/>
            <w:tcBorders>
              <w:top w:val="nil"/>
              <w:left w:val="nil"/>
              <w:right w:val="single" w:sz="4" w:space="0" w:color="auto"/>
            </w:tcBorders>
            <w:shd w:val="clear" w:color="auto" w:fill="auto"/>
            <w:noWrap/>
            <w:vAlign w:val="bottom"/>
            <w:hideMark/>
          </w:tcPr>
          <w:p w14:paraId="5E93F30A" w14:textId="77777777" w:rsidR="0027533D" w:rsidRPr="006B42D6" w:rsidRDefault="0027533D" w:rsidP="006C676D">
            <w:pPr>
              <w:jc w:val="right"/>
              <w:rPr>
                <w:sz w:val="16"/>
                <w:szCs w:val="16"/>
              </w:rPr>
            </w:pPr>
            <w:r w:rsidRPr="006B42D6">
              <w:rPr>
                <w:sz w:val="16"/>
                <w:szCs w:val="16"/>
              </w:rPr>
              <w:t>1.6</w:t>
            </w:r>
          </w:p>
        </w:tc>
        <w:tc>
          <w:tcPr>
            <w:tcW w:w="527" w:type="pct"/>
            <w:tcBorders>
              <w:top w:val="nil"/>
              <w:left w:val="nil"/>
              <w:right w:val="nil"/>
            </w:tcBorders>
            <w:shd w:val="clear" w:color="auto" w:fill="auto"/>
            <w:noWrap/>
            <w:vAlign w:val="bottom"/>
            <w:hideMark/>
          </w:tcPr>
          <w:p w14:paraId="6CDFA557" w14:textId="77777777" w:rsidR="0027533D" w:rsidRPr="006B42D6" w:rsidRDefault="0027533D" w:rsidP="006C676D">
            <w:pPr>
              <w:jc w:val="right"/>
              <w:rPr>
                <w:sz w:val="16"/>
                <w:szCs w:val="16"/>
              </w:rPr>
            </w:pPr>
            <w:r w:rsidRPr="006B42D6">
              <w:rPr>
                <w:sz w:val="16"/>
                <w:szCs w:val="16"/>
              </w:rPr>
              <w:t>1,569</w:t>
            </w:r>
          </w:p>
        </w:tc>
        <w:tc>
          <w:tcPr>
            <w:tcW w:w="523" w:type="pct"/>
            <w:tcBorders>
              <w:top w:val="nil"/>
              <w:left w:val="nil"/>
              <w:right w:val="single" w:sz="4" w:space="0" w:color="auto"/>
            </w:tcBorders>
            <w:shd w:val="clear" w:color="auto" w:fill="auto"/>
            <w:noWrap/>
            <w:vAlign w:val="bottom"/>
            <w:hideMark/>
          </w:tcPr>
          <w:p w14:paraId="5AD6EB39" w14:textId="77777777" w:rsidR="0027533D" w:rsidRPr="006B42D6" w:rsidRDefault="0027533D" w:rsidP="006C676D">
            <w:pPr>
              <w:jc w:val="right"/>
              <w:rPr>
                <w:sz w:val="16"/>
                <w:szCs w:val="16"/>
              </w:rPr>
            </w:pPr>
            <w:r w:rsidRPr="006B42D6">
              <w:rPr>
                <w:sz w:val="16"/>
                <w:szCs w:val="16"/>
              </w:rPr>
              <w:t>1.0</w:t>
            </w:r>
          </w:p>
        </w:tc>
        <w:tc>
          <w:tcPr>
            <w:tcW w:w="528" w:type="pct"/>
            <w:tcBorders>
              <w:top w:val="nil"/>
              <w:left w:val="nil"/>
              <w:right w:val="nil"/>
            </w:tcBorders>
            <w:shd w:val="clear" w:color="auto" w:fill="auto"/>
            <w:noWrap/>
            <w:vAlign w:val="bottom"/>
            <w:hideMark/>
          </w:tcPr>
          <w:p w14:paraId="020AC3DA" w14:textId="77777777" w:rsidR="0027533D" w:rsidRPr="006B42D6" w:rsidRDefault="0027533D" w:rsidP="006C676D">
            <w:pPr>
              <w:jc w:val="right"/>
              <w:rPr>
                <w:sz w:val="16"/>
                <w:szCs w:val="16"/>
              </w:rPr>
            </w:pPr>
            <w:r w:rsidRPr="006B42D6">
              <w:rPr>
                <w:sz w:val="16"/>
                <w:szCs w:val="16"/>
              </w:rPr>
              <w:t>3,931</w:t>
            </w:r>
          </w:p>
        </w:tc>
        <w:tc>
          <w:tcPr>
            <w:tcW w:w="522" w:type="pct"/>
            <w:tcBorders>
              <w:top w:val="nil"/>
              <w:left w:val="nil"/>
              <w:right w:val="nil"/>
            </w:tcBorders>
            <w:shd w:val="clear" w:color="auto" w:fill="auto"/>
            <w:noWrap/>
            <w:vAlign w:val="bottom"/>
            <w:hideMark/>
          </w:tcPr>
          <w:p w14:paraId="72082303" w14:textId="77777777" w:rsidR="0027533D" w:rsidRPr="006B42D6" w:rsidRDefault="0027533D" w:rsidP="006C676D">
            <w:pPr>
              <w:jc w:val="right"/>
              <w:rPr>
                <w:sz w:val="16"/>
                <w:szCs w:val="16"/>
              </w:rPr>
            </w:pPr>
            <w:r w:rsidRPr="006B42D6">
              <w:rPr>
                <w:sz w:val="16"/>
                <w:szCs w:val="16"/>
              </w:rPr>
              <w:t>5.5</w:t>
            </w:r>
          </w:p>
        </w:tc>
      </w:tr>
      <w:tr w:rsidR="006B42D6" w:rsidRPr="006B42D6" w14:paraId="0840C0ED" w14:textId="77777777" w:rsidTr="00617341">
        <w:trPr>
          <w:trHeight w:val="96"/>
        </w:trPr>
        <w:tc>
          <w:tcPr>
            <w:tcW w:w="758" w:type="pct"/>
            <w:tcBorders>
              <w:top w:val="nil"/>
              <w:left w:val="nil"/>
              <w:bottom w:val="nil"/>
              <w:right w:val="single" w:sz="4" w:space="0" w:color="auto"/>
            </w:tcBorders>
            <w:shd w:val="clear" w:color="auto" w:fill="auto"/>
            <w:noWrap/>
            <w:vAlign w:val="center"/>
            <w:hideMark/>
          </w:tcPr>
          <w:p w14:paraId="12BDC527" w14:textId="77777777" w:rsidR="0027533D" w:rsidRPr="006B42D6" w:rsidRDefault="0027533D" w:rsidP="006C676D">
            <w:pPr>
              <w:rPr>
                <w:sz w:val="16"/>
                <w:szCs w:val="16"/>
              </w:rPr>
            </w:pPr>
            <w:r w:rsidRPr="006B42D6">
              <w:rPr>
                <w:sz w:val="16"/>
                <w:szCs w:val="16"/>
              </w:rPr>
              <w:t>Geita</w:t>
            </w:r>
          </w:p>
        </w:tc>
        <w:tc>
          <w:tcPr>
            <w:tcW w:w="525" w:type="pct"/>
            <w:tcBorders>
              <w:top w:val="nil"/>
              <w:left w:val="nil"/>
              <w:right w:val="nil"/>
            </w:tcBorders>
            <w:shd w:val="clear" w:color="auto" w:fill="auto"/>
            <w:noWrap/>
            <w:vAlign w:val="bottom"/>
            <w:hideMark/>
          </w:tcPr>
          <w:p w14:paraId="15411DC5" w14:textId="77777777" w:rsidR="0027533D" w:rsidRPr="006B42D6" w:rsidRDefault="0027533D" w:rsidP="006C676D">
            <w:pPr>
              <w:jc w:val="right"/>
              <w:rPr>
                <w:sz w:val="16"/>
                <w:szCs w:val="16"/>
              </w:rPr>
            </w:pPr>
            <w:r w:rsidRPr="006B42D6">
              <w:rPr>
                <w:sz w:val="16"/>
                <w:szCs w:val="16"/>
              </w:rPr>
              <w:t>5,539</w:t>
            </w:r>
          </w:p>
        </w:tc>
        <w:tc>
          <w:tcPr>
            <w:tcW w:w="524" w:type="pct"/>
            <w:tcBorders>
              <w:top w:val="nil"/>
              <w:left w:val="nil"/>
              <w:right w:val="single" w:sz="4" w:space="0" w:color="auto"/>
            </w:tcBorders>
            <w:shd w:val="clear" w:color="auto" w:fill="auto"/>
            <w:noWrap/>
            <w:vAlign w:val="bottom"/>
            <w:hideMark/>
          </w:tcPr>
          <w:p w14:paraId="7E1FD5AB" w14:textId="77777777" w:rsidR="0027533D" w:rsidRPr="006B42D6" w:rsidRDefault="0027533D" w:rsidP="006C676D">
            <w:pPr>
              <w:jc w:val="right"/>
              <w:rPr>
                <w:sz w:val="16"/>
                <w:szCs w:val="16"/>
              </w:rPr>
            </w:pPr>
            <w:r w:rsidRPr="006B42D6">
              <w:rPr>
                <w:sz w:val="16"/>
                <w:szCs w:val="16"/>
              </w:rPr>
              <w:t>0.8</w:t>
            </w:r>
          </w:p>
        </w:tc>
        <w:tc>
          <w:tcPr>
            <w:tcW w:w="572" w:type="pct"/>
            <w:tcBorders>
              <w:top w:val="nil"/>
              <w:left w:val="nil"/>
              <w:right w:val="nil"/>
            </w:tcBorders>
            <w:shd w:val="clear" w:color="auto" w:fill="auto"/>
            <w:noWrap/>
            <w:vAlign w:val="bottom"/>
            <w:hideMark/>
          </w:tcPr>
          <w:p w14:paraId="26550FC9" w14:textId="77777777" w:rsidR="0027533D" w:rsidRPr="006B42D6" w:rsidRDefault="0027533D" w:rsidP="006C676D">
            <w:pPr>
              <w:jc w:val="right"/>
              <w:rPr>
                <w:sz w:val="16"/>
                <w:szCs w:val="16"/>
              </w:rPr>
            </w:pPr>
            <w:r w:rsidRPr="006B42D6">
              <w:rPr>
                <w:sz w:val="16"/>
                <w:szCs w:val="16"/>
              </w:rPr>
              <w:t>26,337</w:t>
            </w:r>
          </w:p>
        </w:tc>
        <w:tc>
          <w:tcPr>
            <w:tcW w:w="521" w:type="pct"/>
            <w:tcBorders>
              <w:top w:val="nil"/>
              <w:left w:val="nil"/>
              <w:right w:val="single" w:sz="4" w:space="0" w:color="auto"/>
            </w:tcBorders>
            <w:shd w:val="clear" w:color="auto" w:fill="auto"/>
            <w:noWrap/>
            <w:vAlign w:val="bottom"/>
            <w:hideMark/>
          </w:tcPr>
          <w:p w14:paraId="284B65DE" w14:textId="77777777" w:rsidR="0027533D" w:rsidRPr="006B42D6" w:rsidRDefault="0027533D" w:rsidP="006C676D">
            <w:pPr>
              <w:jc w:val="right"/>
              <w:rPr>
                <w:sz w:val="16"/>
                <w:szCs w:val="16"/>
              </w:rPr>
            </w:pPr>
            <w:r w:rsidRPr="006B42D6">
              <w:rPr>
                <w:sz w:val="16"/>
                <w:szCs w:val="16"/>
              </w:rPr>
              <w:t>2.1</w:t>
            </w:r>
          </w:p>
        </w:tc>
        <w:tc>
          <w:tcPr>
            <w:tcW w:w="527" w:type="pct"/>
            <w:tcBorders>
              <w:top w:val="nil"/>
              <w:left w:val="nil"/>
              <w:right w:val="nil"/>
            </w:tcBorders>
            <w:shd w:val="clear" w:color="auto" w:fill="auto"/>
            <w:noWrap/>
            <w:vAlign w:val="bottom"/>
            <w:hideMark/>
          </w:tcPr>
          <w:p w14:paraId="6F8FB2F0" w14:textId="77777777" w:rsidR="0027533D" w:rsidRPr="006B42D6" w:rsidRDefault="0027533D" w:rsidP="006C676D">
            <w:pPr>
              <w:jc w:val="right"/>
              <w:rPr>
                <w:sz w:val="16"/>
                <w:szCs w:val="16"/>
              </w:rPr>
            </w:pPr>
            <w:r w:rsidRPr="006B42D6">
              <w:rPr>
                <w:sz w:val="16"/>
                <w:szCs w:val="16"/>
              </w:rPr>
              <w:t>-</w:t>
            </w:r>
          </w:p>
        </w:tc>
        <w:tc>
          <w:tcPr>
            <w:tcW w:w="523" w:type="pct"/>
            <w:tcBorders>
              <w:top w:val="nil"/>
              <w:left w:val="nil"/>
              <w:right w:val="single" w:sz="4" w:space="0" w:color="auto"/>
            </w:tcBorders>
            <w:shd w:val="clear" w:color="auto" w:fill="auto"/>
            <w:noWrap/>
            <w:vAlign w:val="bottom"/>
            <w:hideMark/>
          </w:tcPr>
          <w:p w14:paraId="76D0915A" w14:textId="77777777" w:rsidR="0027533D" w:rsidRPr="006B42D6" w:rsidRDefault="0027533D" w:rsidP="006C676D">
            <w:pPr>
              <w:jc w:val="right"/>
              <w:rPr>
                <w:sz w:val="16"/>
                <w:szCs w:val="16"/>
              </w:rPr>
            </w:pPr>
            <w:r w:rsidRPr="006B42D6">
              <w:rPr>
                <w:sz w:val="16"/>
                <w:szCs w:val="16"/>
              </w:rPr>
              <w:t>-</w:t>
            </w:r>
          </w:p>
        </w:tc>
        <w:tc>
          <w:tcPr>
            <w:tcW w:w="528" w:type="pct"/>
            <w:tcBorders>
              <w:top w:val="nil"/>
              <w:left w:val="nil"/>
              <w:right w:val="nil"/>
            </w:tcBorders>
            <w:shd w:val="clear" w:color="auto" w:fill="auto"/>
            <w:noWrap/>
            <w:vAlign w:val="bottom"/>
            <w:hideMark/>
          </w:tcPr>
          <w:p w14:paraId="3A6526C0" w14:textId="77777777" w:rsidR="0027533D" w:rsidRPr="006B42D6" w:rsidRDefault="0027533D" w:rsidP="006C676D">
            <w:pPr>
              <w:jc w:val="right"/>
              <w:rPr>
                <w:sz w:val="16"/>
                <w:szCs w:val="16"/>
              </w:rPr>
            </w:pPr>
            <w:r w:rsidRPr="006B42D6">
              <w:rPr>
                <w:sz w:val="16"/>
                <w:szCs w:val="16"/>
              </w:rPr>
              <w:t>-</w:t>
            </w:r>
          </w:p>
        </w:tc>
        <w:tc>
          <w:tcPr>
            <w:tcW w:w="522" w:type="pct"/>
            <w:tcBorders>
              <w:top w:val="nil"/>
              <w:left w:val="nil"/>
              <w:right w:val="nil"/>
            </w:tcBorders>
            <w:shd w:val="clear" w:color="auto" w:fill="auto"/>
            <w:noWrap/>
            <w:vAlign w:val="bottom"/>
            <w:hideMark/>
          </w:tcPr>
          <w:p w14:paraId="558C73BB" w14:textId="77777777" w:rsidR="0027533D" w:rsidRPr="006B42D6" w:rsidRDefault="0027533D" w:rsidP="006C676D">
            <w:pPr>
              <w:jc w:val="right"/>
              <w:rPr>
                <w:sz w:val="16"/>
                <w:szCs w:val="16"/>
              </w:rPr>
            </w:pPr>
            <w:r w:rsidRPr="006B42D6">
              <w:rPr>
                <w:sz w:val="16"/>
                <w:szCs w:val="16"/>
              </w:rPr>
              <w:t>-</w:t>
            </w:r>
          </w:p>
        </w:tc>
      </w:tr>
      <w:tr w:rsidR="006B42D6" w:rsidRPr="006B42D6" w14:paraId="1E05FB31" w14:textId="77777777" w:rsidTr="00617341">
        <w:trPr>
          <w:trHeight w:val="70"/>
        </w:trPr>
        <w:tc>
          <w:tcPr>
            <w:tcW w:w="758" w:type="pct"/>
            <w:tcBorders>
              <w:top w:val="nil"/>
              <w:left w:val="nil"/>
              <w:bottom w:val="nil"/>
              <w:right w:val="single" w:sz="4" w:space="0" w:color="auto"/>
            </w:tcBorders>
            <w:shd w:val="clear" w:color="auto" w:fill="auto"/>
            <w:noWrap/>
            <w:vAlign w:val="center"/>
            <w:hideMark/>
          </w:tcPr>
          <w:p w14:paraId="3735FE78" w14:textId="77777777" w:rsidR="0027533D" w:rsidRPr="006B42D6" w:rsidRDefault="0027533D" w:rsidP="006C676D">
            <w:pPr>
              <w:rPr>
                <w:sz w:val="16"/>
                <w:szCs w:val="16"/>
              </w:rPr>
            </w:pPr>
            <w:r w:rsidRPr="006B42D6">
              <w:rPr>
                <w:sz w:val="16"/>
                <w:szCs w:val="16"/>
              </w:rPr>
              <w:t>Songwe</w:t>
            </w:r>
          </w:p>
        </w:tc>
        <w:tc>
          <w:tcPr>
            <w:tcW w:w="525" w:type="pct"/>
            <w:tcBorders>
              <w:top w:val="nil"/>
              <w:left w:val="nil"/>
              <w:bottom w:val="single" w:sz="4" w:space="0" w:color="auto"/>
              <w:right w:val="nil"/>
            </w:tcBorders>
            <w:shd w:val="clear" w:color="auto" w:fill="auto"/>
            <w:noWrap/>
            <w:vAlign w:val="bottom"/>
            <w:hideMark/>
          </w:tcPr>
          <w:p w14:paraId="2D70082D" w14:textId="77777777" w:rsidR="0027533D" w:rsidRPr="006B42D6" w:rsidRDefault="0027533D" w:rsidP="006C676D">
            <w:pPr>
              <w:jc w:val="right"/>
              <w:rPr>
                <w:sz w:val="16"/>
                <w:szCs w:val="16"/>
              </w:rPr>
            </w:pPr>
            <w:r w:rsidRPr="006B42D6">
              <w:rPr>
                <w:sz w:val="16"/>
                <w:szCs w:val="16"/>
              </w:rPr>
              <w:t>-</w:t>
            </w:r>
          </w:p>
        </w:tc>
        <w:tc>
          <w:tcPr>
            <w:tcW w:w="524" w:type="pct"/>
            <w:tcBorders>
              <w:top w:val="nil"/>
              <w:left w:val="nil"/>
              <w:bottom w:val="single" w:sz="4" w:space="0" w:color="auto"/>
              <w:right w:val="single" w:sz="4" w:space="0" w:color="auto"/>
            </w:tcBorders>
            <w:shd w:val="clear" w:color="auto" w:fill="auto"/>
            <w:noWrap/>
            <w:vAlign w:val="bottom"/>
            <w:hideMark/>
          </w:tcPr>
          <w:p w14:paraId="3DF6843C" w14:textId="77777777" w:rsidR="0027533D" w:rsidRPr="006B42D6" w:rsidRDefault="0027533D" w:rsidP="006C676D">
            <w:pPr>
              <w:jc w:val="right"/>
              <w:rPr>
                <w:sz w:val="16"/>
                <w:szCs w:val="16"/>
              </w:rPr>
            </w:pPr>
            <w:r w:rsidRPr="006B42D6">
              <w:rPr>
                <w:sz w:val="16"/>
                <w:szCs w:val="16"/>
              </w:rPr>
              <w:t>-</w:t>
            </w:r>
          </w:p>
        </w:tc>
        <w:tc>
          <w:tcPr>
            <w:tcW w:w="572" w:type="pct"/>
            <w:tcBorders>
              <w:top w:val="nil"/>
              <w:left w:val="nil"/>
              <w:bottom w:val="single" w:sz="4" w:space="0" w:color="auto"/>
              <w:right w:val="nil"/>
            </w:tcBorders>
            <w:shd w:val="clear" w:color="auto" w:fill="auto"/>
            <w:noWrap/>
            <w:vAlign w:val="bottom"/>
            <w:hideMark/>
          </w:tcPr>
          <w:p w14:paraId="353BBC20" w14:textId="77777777" w:rsidR="0027533D" w:rsidRPr="006B42D6" w:rsidRDefault="0027533D" w:rsidP="006C676D">
            <w:pPr>
              <w:jc w:val="right"/>
              <w:rPr>
                <w:sz w:val="16"/>
                <w:szCs w:val="16"/>
              </w:rPr>
            </w:pPr>
            <w:r w:rsidRPr="006B42D6">
              <w:rPr>
                <w:sz w:val="16"/>
                <w:szCs w:val="16"/>
              </w:rPr>
              <w:t>-</w:t>
            </w:r>
          </w:p>
        </w:tc>
        <w:tc>
          <w:tcPr>
            <w:tcW w:w="521" w:type="pct"/>
            <w:tcBorders>
              <w:top w:val="nil"/>
              <w:left w:val="nil"/>
              <w:bottom w:val="single" w:sz="4" w:space="0" w:color="auto"/>
              <w:right w:val="single" w:sz="4" w:space="0" w:color="auto"/>
            </w:tcBorders>
            <w:shd w:val="clear" w:color="auto" w:fill="auto"/>
            <w:noWrap/>
            <w:vAlign w:val="bottom"/>
            <w:hideMark/>
          </w:tcPr>
          <w:p w14:paraId="4FACF8A8" w14:textId="77777777" w:rsidR="0027533D" w:rsidRPr="006B42D6" w:rsidRDefault="0027533D" w:rsidP="006C676D">
            <w:pPr>
              <w:jc w:val="right"/>
              <w:rPr>
                <w:sz w:val="16"/>
                <w:szCs w:val="16"/>
              </w:rPr>
            </w:pPr>
            <w:r w:rsidRPr="006B42D6">
              <w:rPr>
                <w:sz w:val="16"/>
                <w:szCs w:val="16"/>
              </w:rPr>
              <w:t>-</w:t>
            </w:r>
          </w:p>
        </w:tc>
        <w:tc>
          <w:tcPr>
            <w:tcW w:w="527" w:type="pct"/>
            <w:tcBorders>
              <w:top w:val="nil"/>
              <w:left w:val="nil"/>
              <w:bottom w:val="single" w:sz="4" w:space="0" w:color="auto"/>
              <w:right w:val="nil"/>
            </w:tcBorders>
            <w:shd w:val="clear" w:color="auto" w:fill="auto"/>
            <w:noWrap/>
            <w:vAlign w:val="bottom"/>
            <w:hideMark/>
          </w:tcPr>
          <w:p w14:paraId="39CC277D" w14:textId="77777777" w:rsidR="0027533D" w:rsidRPr="006B42D6" w:rsidRDefault="0027533D" w:rsidP="006C676D">
            <w:pPr>
              <w:jc w:val="right"/>
              <w:rPr>
                <w:sz w:val="16"/>
                <w:szCs w:val="16"/>
              </w:rPr>
            </w:pPr>
            <w:r w:rsidRPr="006B42D6">
              <w:rPr>
                <w:sz w:val="16"/>
                <w:szCs w:val="16"/>
              </w:rPr>
              <w:t>5,596</w:t>
            </w:r>
          </w:p>
        </w:tc>
        <w:tc>
          <w:tcPr>
            <w:tcW w:w="523" w:type="pct"/>
            <w:tcBorders>
              <w:top w:val="nil"/>
              <w:left w:val="nil"/>
              <w:bottom w:val="single" w:sz="4" w:space="0" w:color="auto"/>
              <w:right w:val="single" w:sz="4" w:space="0" w:color="auto"/>
            </w:tcBorders>
            <w:shd w:val="clear" w:color="auto" w:fill="auto"/>
            <w:noWrap/>
            <w:vAlign w:val="bottom"/>
            <w:hideMark/>
          </w:tcPr>
          <w:p w14:paraId="6813B3CF" w14:textId="77777777" w:rsidR="0027533D" w:rsidRPr="006B42D6" w:rsidRDefault="0027533D" w:rsidP="006C676D">
            <w:pPr>
              <w:jc w:val="right"/>
              <w:rPr>
                <w:sz w:val="16"/>
                <w:szCs w:val="16"/>
              </w:rPr>
            </w:pPr>
            <w:r w:rsidRPr="006B42D6">
              <w:rPr>
                <w:sz w:val="16"/>
                <w:szCs w:val="16"/>
              </w:rPr>
              <w:t>3.5</w:t>
            </w:r>
          </w:p>
        </w:tc>
        <w:tc>
          <w:tcPr>
            <w:tcW w:w="528" w:type="pct"/>
            <w:tcBorders>
              <w:top w:val="nil"/>
              <w:left w:val="nil"/>
              <w:bottom w:val="single" w:sz="4" w:space="0" w:color="auto"/>
              <w:right w:val="nil"/>
            </w:tcBorders>
            <w:shd w:val="clear" w:color="auto" w:fill="auto"/>
            <w:noWrap/>
            <w:vAlign w:val="bottom"/>
            <w:hideMark/>
          </w:tcPr>
          <w:p w14:paraId="56E5FE64" w14:textId="77777777" w:rsidR="0027533D" w:rsidRPr="006B42D6" w:rsidRDefault="0027533D" w:rsidP="006C676D">
            <w:pPr>
              <w:jc w:val="right"/>
              <w:rPr>
                <w:sz w:val="16"/>
                <w:szCs w:val="16"/>
              </w:rPr>
            </w:pPr>
            <w:r w:rsidRPr="006B42D6">
              <w:rPr>
                <w:sz w:val="16"/>
                <w:szCs w:val="16"/>
              </w:rPr>
              <w:t>-</w:t>
            </w:r>
          </w:p>
        </w:tc>
        <w:tc>
          <w:tcPr>
            <w:tcW w:w="522" w:type="pct"/>
            <w:tcBorders>
              <w:top w:val="nil"/>
              <w:left w:val="nil"/>
              <w:bottom w:val="single" w:sz="4" w:space="0" w:color="auto"/>
              <w:right w:val="nil"/>
            </w:tcBorders>
            <w:shd w:val="clear" w:color="auto" w:fill="auto"/>
            <w:noWrap/>
            <w:vAlign w:val="bottom"/>
            <w:hideMark/>
          </w:tcPr>
          <w:p w14:paraId="505D1546" w14:textId="77777777" w:rsidR="0027533D" w:rsidRPr="006B42D6" w:rsidRDefault="0027533D" w:rsidP="006C676D">
            <w:pPr>
              <w:jc w:val="right"/>
              <w:rPr>
                <w:sz w:val="16"/>
                <w:szCs w:val="16"/>
              </w:rPr>
            </w:pPr>
            <w:r w:rsidRPr="006B42D6">
              <w:rPr>
                <w:sz w:val="16"/>
                <w:szCs w:val="16"/>
              </w:rPr>
              <w:t>-</w:t>
            </w:r>
          </w:p>
        </w:tc>
      </w:tr>
      <w:tr w:rsidR="006B42D6" w:rsidRPr="006B42D6" w14:paraId="1D56B331" w14:textId="77777777" w:rsidTr="00141395">
        <w:trPr>
          <w:trHeight w:val="70"/>
        </w:trPr>
        <w:tc>
          <w:tcPr>
            <w:tcW w:w="758" w:type="pct"/>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66825BB1" w14:textId="3D65CD4A" w:rsidR="0027533D" w:rsidRPr="006B42D6" w:rsidRDefault="00EA1552" w:rsidP="006C676D">
            <w:pPr>
              <w:rPr>
                <w:b/>
                <w:bCs/>
                <w:sz w:val="16"/>
                <w:szCs w:val="16"/>
              </w:rPr>
            </w:pPr>
            <w:r>
              <w:rPr>
                <w:b/>
                <w:bCs/>
                <w:sz w:val="16"/>
                <w:szCs w:val="16"/>
              </w:rPr>
              <w:t>Mainland Tanzania</w:t>
            </w:r>
          </w:p>
        </w:tc>
        <w:tc>
          <w:tcPr>
            <w:tcW w:w="525" w:type="pct"/>
            <w:tcBorders>
              <w:top w:val="single" w:sz="4" w:space="0" w:color="auto"/>
              <w:left w:val="nil"/>
              <w:bottom w:val="single" w:sz="4" w:space="0" w:color="auto"/>
              <w:right w:val="nil"/>
            </w:tcBorders>
            <w:shd w:val="clear" w:color="auto" w:fill="E2EFD9" w:themeFill="accent6" w:themeFillTint="33"/>
            <w:noWrap/>
            <w:vAlign w:val="bottom"/>
            <w:hideMark/>
          </w:tcPr>
          <w:p w14:paraId="32048DC9" w14:textId="77777777" w:rsidR="0027533D" w:rsidRPr="006B42D6" w:rsidRDefault="0027533D" w:rsidP="006C676D">
            <w:pPr>
              <w:jc w:val="right"/>
              <w:rPr>
                <w:b/>
                <w:bCs/>
                <w:sz w:val="16"/>
                <w:szCs w:val="16"/>
              </w:rPr>
            </w:pPr>
            <w:r w:rsidRPr="006B42D6">
              <w:rPr>
                <w:b/>
                <w:bCs/>
                <w:sz w:val="16"/>
                <w:szCs w:val="16"/>
              </w:rPr>
              <w:t>661,653</w:t>
            </w:r>
          </w:p>
        </w:tc>
        <w:tc>
          <w:tcPr>
            <w:tcW w:w="524" w:type="pct"/>
            <w:tcBorders>
              <w:top w:val="single" w:sz="4" w:space="0" w:color="auto"/>
              <w:left w:val="nil"/>
              <w:bottom w:val="single" w:sz="4" w:space="0" w:color="auto"/>
              <w:right w:val="single" w:sz="4" w:space="0" w:color="auto"/>
            </w:tcBorders>
            <w:shd w:val="clear" w:color="auto" w:fill="E2EFD9" w:themeFill="accent6" w:themeFillTint="33"/>
            <w:noWrap/>
            <w:vAlign w:val="bottom"/>
            <w:hideMark/>
          </w:tcPr>
          <w:p w14:paraId="73C034DA" w14:textId="77777777" w:rsidR="0027533D" w:rsidRPr="006B42D6" w:rsidRDefault="0027533D" w:rsidP="006C676D">
            <w:pPr>
              <w:jc w:val="right"/>
              <w:rPr>
                <w:sz w:val="16"/>
                <w:szCs w:val="16"/>
              </w:rPr>
            </w:pPr>
            <w:r w:rsidRPr="006B42D6">
              <w:rPr>
                <w:sz w:val="16"/>
                <w:szCs w:val="16"/>
              </w:rPr>
              <w:t>100</w:t>
            </w:r>
          </w:p>
        </w:tc>
        <w:tc>
          <w:tcPr>
            <w:tcW w:w="572" w:type="pct"/>
            <w:tcBorders>
              <w:top w:val="single" w:sz="4" w:space="0" w:color="auto"/>
              <w:left w:val="nil"/>
              <w:bottom w:val="single" w:sz="4" w:space="0" w:color="auto"/>
              <w:right w:val="nil"/>
            </w:tcBorders>
            <w:shd w:val="clear" w:color="auto" w:fill="E2EFD9" w:themeFill="accent6" w:themeFillTint="33"/>
            <w:noWrap/>
            <w:vAlign w:val="bottom"/>
            <w:hideMark/>
          </w:tcPr>
          <w:p w14:paraId="2FB8916C" w14:textId="77777777" w:rsidR="0027533D" w:rsidRPr="006B42D6" w:rsidRDefault="0027533D" w:rsidP="006C676D">
            <w:pPr>
              <w:jc w:val="right"/>
              <w:rPr>
                <w:b/>
                <w:bCs/>
                <w:sz w:val="16"/>
                <w:szCs w:val="16"/>
              </w:rPr>
            </w:pPr>
            <w:r w:rsidRPr="006B42D6">
              <w:rPr>
                <w:b/>
                <w:bCs/>
                <w:sz w:val="16"/>
                <w:szCs w:val="16"/>
              </w:rPr>
              <w:t>1,266,018</w:t>
            </w:r>
          </w:p>
        </w:tc>
        <w:tc>
          <w:tcPr>
            <w:tcW w:w="521" w:type="pct"/>
            <w:tcBorders>
              <w:top w:val="single" w:sz="4" w:space="0" w:color="auto"/>
              <w:left w:val="nil"/>
              <w:bottom w:val="single" w:sz="4" w:space="0" w:color="auto"/>
              <w:right w:val="single" w:sz="4" w:space="0" w:color="auto"/>
            </w:tcBorders>
            <w:shd w:val="clear" w:color="auto" w:fill="E2EFD9" w:themeFill="accent6" w:themeFillTint="33"/>
            <w:noWrap/>
            <w:vAlign w:val="bottom"/>
            <w:hideMark/>
          </w:tcPr>
          <w:p w14:paraId="56AFAA62" w14:textId="77777777" w:rsidR="0027533D" w:rsidRPr="006B42D6" w:rsidRDefault="0027533D" w:rsidP="006C676D">
            <w:pPr>
              <w:jc w:val="right"/>
              <w:rPr>
                <w:sz w:val="16"/>
                <w:szCs w:val="16"/>
              </w:rPr>
            </w:pPr>
            <w:r w:rsidRPr="006B42D6">
              <w:rPr>
                <w:sz w:val="16"/>
                <w:szCs w:val="16"/>
              </w:rPr>
              <w:t>100</w:t>
            </w:r>
          </w:p>
        </w:tc>
        <w:tc>
          <w:tcPr>
            <w:tcW w:w="527" w:type="pct"/>
            <w:tcBorders>
              <w:top w:val="single" w:sz="4" w:space="0" w:color="auto"/>
              <w:left w:val="nil"/>
              <w:bottom w:val="single" w:sz="4" w:space="0" w:color="auto"/>
              <w:right w:val="nil"/>
            </w:tcBorders>
            <w:shd w:val="clear" w:color="auto" w:fill="E2EFD9" w:themeFill="accent6" w:themeFillTint="33"/>
            <w:noWrap/>
            <w:vAlign w:val="bottom"/>
            <w:hideMark/>
          </w:tcPr>
          <w:p w14:paraId="2C285CC0" w14:textId="77777777" w:rsidR="0027533D" w:rsidRPr="006B42D6" w:rsidRDefault="0027533D" w:rsidP="006C676D">
            <w:pPr>
              <w:jc w:val="right"/>
              <w:rPr>
                <w:b/>
                <w:bCs/>
                <w:sz w:val="16"/>
                <w:szCs w:val="16"/>
              </w:rPr>
            </w:pPr>
            <w:r w:rsidRPr="006B42D6">
              <w:rPr>
                <w:b/>
                <w:bCs/>
                <w:sz w:val="16"/>
                <w:szCs w:val="16"/>
              </w:rPr>
              <w:t>158,548</w:t>
            </w:r>
          </w:p>
        </w:tc>
        <w:tc>
          <w:tcPr>
            <w:tcW w:w="523" w:type="pct"/>
            <w:tcBorders>
              <w:top w:val="single" w:sz="4" w:space="0" w:color="auto"/>
              <w:left w:val="nil"/>
              <w:bottom w:val="single" w:sz="4" w:space="0" w:color="auto"/>
              <w:right w:val="single" w:sz="4" w:space="0" w:color="auto"/>
            </w:tcBorders>
            <w:shd w:val="clear" w:color="auto" w:fill="E2EFD9" w:themeFill="accent6" w:themeFillTint="33"/>
            <w:noWrap/>
            <w:vAlign w:val="bottom"/>
            <w:hideMark/>
          </w:tcPr>
          <w:p w14:paraId="237B01DA" w14:textId="77777777" w:rsidR="0027533D" w:rsidRPr="006B42D6" w:rsidRDefault="0027533D" w:rsidP="006C676D">
            <w:pPr>
              <w:jc w:val="right"/>
              <w:rPr>
                <w:sz w:val="16"/>
                <w:szCs w:val="16"/>
              </w:rPr>
            </w:pPr>
            <w:r w:rsidRPr="006B42D6">
              <w:rPr>
                <w:sz w:val="16"/>
                <w:szCs w:val="16"/>
              </w:rPr>
              <w:t>100</w:t>
            </w:r>
          </w:p>
        </w:tc>
        <w:tc>
          <w:tcPr>
            <w:tcW w:w="528" w:type="pct"/>
            <w:tcBorders>
              <w:top w:val="single" w:sz="4" w:space="0" w:color="auto"/>
              <w:left w:val="nil"/>
              <w:bottom w:val="single" w:sz="4" w:space="0" w:color="auto"/>
              <w:right w:val="nil"/>
            </w:tcBorders>
            <w:shd w:val="clear" w:color="auto" w:fill="E2EFD9" w:themeFill="accent6" w:themeFillTint="33"/>
            <w:noWrap/>
            <w:vAlign w:val="bottom"/>
            <w:hideMark/>
          </w:tcPr>
          <w:p w14:paraId="4102C257" w14:textId="77777777" w:rsidR="0027533D" w:rsidRPr="006B42D6" w:rsidRDefault="0027533D" w:rsidP="006C676D">
            <w:pPr>
              <w:jc w:val="right"/>
              <w:rPr>
                <w:b/>
                <w:bCs/>
                <w:sz w:val="16"/>
                <w:szCs w:val="16"/>
              </w:rPr>
            </w:pPr>
            <w:r w:rsidRPr="006B42D6">
              <w:rPr>
                <w:b/>
                <w:bCs/>
                <w:sz w:val="16"/>
                <w:szCs w:val="16"/>
              </w:rPr>
              <w:t>72,015</w:t>
            </w:r>
          </w:p>
        </w:tc>
        <w:tc>
          <w:tcPr>
            <w:tcW w:w="522" w:type="pct"/>
            <w:tcBorders>
              <w:top w:val="single" w:sz="4" w:space="0" w:color="auto"/>
              <w:left w:val="nil"/>
              <w:bottom w:val="single" w:sz="4" w:space="0" w:color="auto"/>
              <w:right w:val="nil"/>
            </w:tcBorders>
            <w:shd w:val="clear" w:color="auto" w:fill="E2EFD9" w:themeFill="accent6" w:themeFillTint="33"/>
            <w:noWrap/>
            <w:vAlign w:val="bottom"/>
            <w:hideMark/>
          </w:tcPr>
          <w:p w14:paraId="21E65BA6" w14:textId="77777777" w:rsidR="0027533D" w:rsidRPr="006B42D6" w:rsidRDefault="0027533D" w:rsidP="006C676D">
            <w:pPr>
              <w:jc w:val="right"/>
              <w:rPr>
                <w:sz w:val="16"/>
                <w:szCs w:val="16"/>
              </w:rPr>
            </w:pPr>
            <w:r w:rsidRPr="006B42D6">
              <w:rPr>
                <w:sz w:val="16"/>
                <w:szCs w:val="16"/>
              </w:rPr>
              <w:t>100</w:t>
            </w:r>
          </w:p>
        </w:tc>
      </w:tr>
    </w:tbl>
    <w:p w14:paraId="17E9C733" w14:textId="77777777" w:rsidR="000E1363" w:rsidRPr="006B42D6" w:rsidRDefault="000E1363" w:rsidP="000C32CB"/>
    <w:p w14:paraId="43E21E0C" w14:textId="77777777" w:rsidR="00897158" w:rsidRPr="006B42D6" w:rsidRDefault="00897158" w:rsidP="00897158">
      <w:pPr>
        <w:pStyle w:val="ColorfulList-Accent11"/>
        <w:widowControl w:val="0"/>
        <w:numPr>
          <w:ilvl w:val="0"/>
          <w:numId w:val="5"/>
        </w:numPr>
        <w:tabs>
          <w:tab w:val="left" w:pos="567"/>
        </w:tabs>
        <w:autoSpaceDE w:val="0"/>
        <w:autoSpaceDN w:val="0"/>
        <w:adjustRightInd w:val="0"/>
        <w:spacing w:before="20" w:after="0" w:line="360" w:lineRule="auto"/>
        <w:ind w:left="567" w:hanging="425"/>
        <w:rPr>
          <w:rFonts w:ascii="Times New Roman Bold" w:hAnsi="Times New Roman Bold" w:cs="Times New Roman Bold"/>
          <w:b/>
          <w:sz w:val="24"/>
          <w:szCs w:val="24"/>
        </w:rPr>
      </w:pPr>
      <w:r w:rsidRPr="006B42D6">
        <w:rPr>
          <w:rFonts w:ascii="Times New Roman Bold" w:hAnsi="Times New Roman Bold" w:cs="Times New Roman Bold"/>
          <w:b/>
          <w:sz w:val="24"/>
          <w:szCs w:val="24"/>
        </w:rPr>
        <w:t xml:space="preserve">Helminthiosis Disease </w:t>
      </w:r>
    </w:p>
    <w:p w14:paraId="66E61A55" w14:textId="77777777" w:rsidR="00EB33FA" w:rsidRDefault="00897158" w:rsidP="00EB33FA">
      <w:pPr>
        <w:ind w:left="426"/>
        <w:rPr>
          <w:w w:val="105"/>
        </w:rPr>
      </w:pPr>
      <w:r w:rsidRPr="006B42D6">
        <w:rPr>
          <w:w w:val="105"/>
        </w:rPr>
        <w:t xml:space="preserve">The total number of households reported problem of </w:t>
      </w:r>
      <w:r w:rsidR="00BA6B5C" w:rsidRPr="006B42D6">
        <w:rPr>
          <w:w w:val="105"/>
        </w:rPr>
        <w:t>h</w:t>
      </w:r>
      <w:r w:rsidRPr="006B42D6">
        <w:rPr>
          <w:w w:val="105"/>
        </w:rPr>
        <w:t>elminthiosis disease to their sheep was 123,203 which, represents 18.2 percent of the total sheep keeping households during</w:t>
      </w:r>
      <w:r w:rsidR="00617341" w:rsidRPr="006B42D6">
        <w:rPr>
          <w:w w:val="105"/>
        </w:rPr>
        <w:t xml:space="preserve"> 2019/20</w:t>
      </w:r>
      <w:r w:rsidRPr="006B42D6">
        <w:rPr>
          <w:w w:val="105"/>
        </w:rPr>
        <w:t xml:space="preserve"> </w:t>
      </w:r>
      <w:r w:rsidR="00617341" w:rsidRPr="006B42D6">
        <w:rPr>
          <w:w w:val="105"/>
        </w:rPr>
        <w:t>a</w:t>
      </w:r>
      <w:r w:rsidRPr="006B42D6">
        <w:rPr>
          <w:w w:val="105"/>
        </w:rPr>
        <w:t xml:space="preserve">gricultural year. On the other hand, none of the infections were reported in </w:t>
      </w:r>
      <w:r w:rsidR="00327632" w:rsidRPr="006B42D6">
        <w:rPr>
          <w:lang w:eastAsia="en-GB"/>
        </w:rPr>
        <w:t xml:space="preserve">Tanzania </w:t>
      </w:r>
      <w:r w:rsidRPr="006B42D6">
        <w:rPr>
          <w:w w:val="105"/>
        </w:rPr>
        <w:t xml:space="preserve">Zanzibar, </w:t>
      </w:r>
    </w:p>
    <w:p w14:paraId="54DE869F" w14:textId="77777777" w:rsidR="00EB33FA" w:rsidRDefault="00EB33FA" w:rsidP="00141395">
      <w:pPr>
        <w:spacing w:line="240" w:lineRule="auto"/>
        <w:ind w:left="426"/>
        <w:rPr>
          <w:w w:val="105"/>
        </w:rPr>
      </w:pPr>
    </w:p>
    <w:p w14:paraId="61FBBEA1" w14:textId="36F20249" w:rsidR="00897158" w:rsidRDefault="00897158" w:rsidP="00EB33FA">
      <w:pPr>
        <w:ind w:left="426"/>
        <w:rPr>
          <w:w w:val="105"/>
        </w:rPr>
      </w:pPr>
      <w:r w:rsidRPr="006B42D6">
        <w:rPr>
          <w:w w:val="105"/>
        </w:rPr>
        <w:t xml:space="preserve">A total number of 1,266,018 sheep were reported to be infected with </w:t>
      </w:r>
      <w:r w:rsidR="006A3706">
        <w:rPr>
          <w:w w:val="105"/>
        </w:rPr>
        <w:t>h</w:t>
      </w:r>
      <w:r w:rsidRPr="006B42D6">
        <w:rPr>
          <w:w w:val="105"/>
        </w:rPr>
        <w:t xml:space="preserve">elminthiosis disease in </w:t>
      </w:r>
      <w:r w:rsidR="00EA1552">
        <w:rPr>
          <w:lang w:eastAsia="en-GB"/>
        </w:rPr>
        <w:t>Mainland Tanzania</w:t>
      </w:r>
      <w:r w:rsidRPr="006B42D6">
        <w:rPr>
          <w:w w:val="105"/>
        </w:rPr>
        <w:t xml:space="preserve">. Arusha region had the largest number of sheep infected with </w:t>
      </w:r>
      <w:r w:rsidR="006A3706">
        <w:rPr>
          <w:w w:val="105"/>
        </w:rPr>
        <w:t>h</w:t>
      </w:r>
      <w:r w:rsidRPr="006B42D6">
        <w:rPr>
          <w:w w:val="105"/>
        </w:rPr>
        <w:t>elminthiosis disease (408,558; 32.3 percent), followed by Mara (154,367; 12.2 percent) and Kilimanjaro (113,849; 9.0 percent). The lowest proportion of sheep infections was reported in Ruvuma region (989; 0.1 percent) (Table 4.1</w:t>
      </w:r>
      <w:r w:rsidR="00B70154">
        <w:rPr>
          <w:w w:val="105"/>
        </w:rPr>
        <w:t>6</w:t>
      </w:r>
      <w:r w:rsidRPr="006B42D6">
        <w:rPr>
          <w:w w:val="105"/>
        </w:rPr>
        <w:t>).</w:t>
      </w:r>
    </w:p>
    <w:p w14:paraId="04D3D72D" w14:textId="77777777" w:rsidR="00897158" w:rsidRPr="006B42D6" w:rsidRDefault="00897158" w:rsidP="00897158">
      <w:pPr>
        <w:pStyle w:val="ColorfulList-Accent11"/>
        <w:widowControl w:val="0"/>
        <w:numPr>
          <w:ilvl w:val="0"/>
          <w:numId w:val="5"/>
        </w:numPr>
        <w:tabs>
          <w:tab w:val="left" w:pos="567"/>
        </w:tabs>
        <w:autoSpaceDE w:val="0"/>
        <w:autoSpaceDN w:val="0"/>
        <w:adjustRightInd w:val="0"/>
        <w:spacing w:before="20" w:after="0" w:line="360" w:lineRule="auto"/>
        <w:ind w:left="567" w:hanging="425"/>
        <w:rPr>
          <w:rFonts w:ascii="Times New Roman Bold" w:hAnsi="Times New Roman Bold" w:cs="Times New Roman Bold"/>
          <w:b/>
          <w:sz w:val="24"/>
          <w:szCs w:val="24"/>
        </w:rPr>
      </w:pPr>
      <w:r w:rsidRPr="006B42D6">
        <w:rPr>
          <w:rFonts w:ascii="Times New Roman Bold" w:hAnsi="Times New Roman Bold" w:cs="Times New Roman Bold"/>
          <w:b/>
          <w:sz w:val="24"/>
          <w:szCs w:val="24"/>
        </w:rPr>
        <w:lastRenderedPageBreak/>
        <w:t xml:space="preserve">Trypanosomiasis Disease </w:t>
      </w:r>
    </w:p>
    <w:p w14:paraId="4DF29763" w14:textId="62D32915" w:rsidR="00897158" w:rsidRPr="006B42D6" w:rsidRDefault="00897158" w:rsidP="00897158">
      <w:pPr>
        <w:tabs>
          <w:tab w:val="left" w:pos="1702"/>
        </w:tabs>
        <w:adjustRightInd w:val="0"/>
        <w:spacing w:before="20"/>
        <w:ind w:left="360"/>
        <w:rPr>
          <w:w w:val="105"/>
        </w:rPr>
      </w:pPr>
      <w:r w:rsidRPr="006B42D6">
        <w:rPr>
          <w:w w:val="105"/>
        </w:rPr>
        <w:t xml:space="preserve">During the </w:t>
      </w:r>
      <w:r w:rsidR="0020141D">
        <w:rPr>
          <w:w w:val="105"/>
        </w:rPr>
        <w:t>a</w:t>
      </w:r>
      <w:r w:rsidRPr="006B42D6">
        <w:rPr>
          <w:w w:val="105"/>
        </w:rPr>
        <w:t xml:space="preserve">gricultural year 2019/20, the total number of households reported </w:t>
      </w:r>
      <w:r w:rsidR="006A3706">
        <w:rPr>
          <w:w w:val="105"/>
        </w:rPr>
        <w:t>t</w:t>
      </w:r>
      <w:r w:rsidRPr="006B42D6">
        <w:rPr>
          <w:w w:val="105"/>
        </w:rPr>
        <w:t xml:space="preserve">rypanosomiasis disease infections in their sheep was 18,417 in </w:t>
      </w:r>
      <w:r w:rsidR="00EA1552">
        <w:rPr>
          <w:lang w:eastAsia="en-GB"/>
        </w:rPr>
        <w:t>Mainland Tanzania</w:t>
      </w:r>
      <w:r w:rsidR="00617341" w:rsidRPr="006B42D6">
        <w:rPr>
          <w:w w:val="105"/>
        </w:rPr>
        <w:t>,</w:t>
      </w:r>
      <w:r w:rsidRPr="006B42D6">
        <w:rPr>
          <w:w w:val="105"/>
        </w:rPr>
        <w:t xml:space="preserve"> which represents 2.7 percent of the total sheep keeping households and </w:t>
      </w:r>
      <w:r w:rsidR="0020141D">
        <w:rPr>
          <w:w w:val="105"/>
        </w:rPr>
        <w:t xml:space="preserve">Tanzania </w:t>
      </w:r>
      <w:r w:rsidRPr="006B42D6">
        <w:rPr>
          <w:w w:val="105"/>
        </w:rPr>
        <w:t xml:space="preserve">Zanzibar reported no disease infections. </w:t>
      </w:r>
    </w:p>
    <w:p w14:paraId="6EA69A16" w14:textId="77777777" w:rsidR="00897158" w:rsidRPr="00135766" w:rsidRDefault="00897158" w:rsidP="00141395">
      <w:pPr>
        <w:tabs>
          <w:tab w:val="left" w:pos="1702"/>
        </w:tabs>
        <w:adjustRightInd w:val="0"/>
        <w:spacing w:before="20" w:line="240" w:lineRule="auto"/>
        <w:ind w:left="360"/>
        <w:rPr>
          <w:w w:val="105"/>
          <w:sz w:val="20"/>
          <w:szCs w:val="20"/>
        </w:rPr>
      </w:pPr>
    </w:p>
    <w:p w14:paraId="08723821" w14:textId="48554DCD" w:rsidR="00897158" w:rsidRPr="006B42D6" w:rsidRDefault="00897158" w:rsidP="00897158">
      <w:pPr>
        <w:tabs>
          <w:tab w:val="left" w:pos="1702"/>
        </w:tabs>
        <w:adjustRightInd w:val="0"/>
        <w:spacing w:before="20"/>
        <w:ind w:left="360"/>
        <w:rPr>
          <w:w w:val="105"/>
        </w:rPr>
      </w:pPr>
      <w:r w:rsidRPr="006B42D6">
        <w:rPr>
          <w:w w:val="103"/>
        </w:rPr>
        <w:t xml:space="preserve">A total number of </w:t>
      </w:r>
      <w:r w:rsidRPr="006B42D6">
        <w:rPr>
          <w:w w:val="105"/>
        </w:rPr>
        <w:t xml:space="preserve">158,548 sheep </w:t>
      </w:r>
      <w:r w:rsidRPr="006B42D6">
        <w:rPr>
          <w:w w:val="103"/>
        </w:rPr>
        <w:t xml:space="preserve">were </w:t>
      </w:r>
      <w:r w:rsidRPr="006B42D6">
        <w:rPr>
          <w:w w:val="105"/>
        </w:rPr>
        <w:t xml:space="preserve">reported to be infected with </w:t>
      </w:r>
      <w:r w:rsidR="006A3706">
        <w:rPr>
          <w:w w:val="105"/>
        </w:rPr>
        <w:t>t</w:t>
      </w:r>
      <w:r w:rsidRPr="006B42D6">
        <w:rPr>
          <w:w w:val="105"/>
        </w:rPr>
        <w:t>rypanosomiasis disease</w:t>
      </w:r>
      <w:r w:rsidRPr="006B42D6">
        <w:rPr>
          <w:w w:val="103"/>
        </w:rPr>
        <w:t xml:space="preserve"> </w:t>
      </w:r>
      <w:r w:rsidRPr="006B42D6">
        <w:rPr>
          <w:spacing w:val="-2"/>
        </w:rPr>
        <w:t xml:space="preserve">in </w:t>
      </w:r>
      <w:r w:rsidR="00EA1552">
        <w:rPr>
          <w:lang w:eastAsia="en-GB"/>
        </w:rPr>
        <w:t>Mainland Tanzania</w:t>
      </w:r>
      <w:r w:rsidRPr="006B42D6">
        <w:rPr>
          <w:spacing w:val="-2"/>
        </w:rPr>
        <w:t xml:space="preserve">. Arusha region had the largest </w:t>
      </w:r>
      <w:r w:rsidRPr="006B42D6">
        <w:rPr>
          <w:w w:val="105"/>
        </w:rPr>
        <w:t xml:space="preserve">number of sheep infected with </w:t>
      </w:r>
      <w:r w:rsidR="006A3706">
        <w:rPr>
          <w:w w:val="105"/>
        </w:rPr>
        <w:t>t</w:t>
      </w:r>
      <w:r w:rsidRPr="006B42D6">
        <w:rPr>
          <w:w w:val="105"/>
        </w:rPr>
        <w:t>rypanosomiasis disease (</w:t>
      </w:r>
      <w:r w:rsidRPr="006B42D6">
        <w:rPr>
          <w:spacing w:val="-2"/>
        </w:rPr>
        <w:t xml:space="preserve">113,481; 71.6 percent), </w:t>
      </w:r>
      <w:r w:rsidRPr="006B42D6">
        <w:rPr>
          <w:w w:val="105"/>
        </w:rPr>
        <w:t>followed by Kilimanjaro (10,170; 6.4 percent) and Tanga (7,031; 4.4 percent). The lowest proportion of sheep infections was reported in Kagera region (821; 0.5 percent) (Table 4.1</w:t>
      </w:r>
      <w:r w:rsidR="00B70154">
        <w:rPr>
          <w:w w:val="105"/>
        </w:rPr>
        <w:t>6</w:t>
      </w:r>
      <w:r w:rsidRPr="006B42D6">
        <w:rPr>
          <w:w w:val="105"/>
        </w:rPr>
        <w:t>).</w:t>
      </w:r>
    </w:p>
    <w:p w14:paraId="6CC5ED9E" w14:textId="77777777" w:rsidR="00897158" w:rsidRPr="00135766" w:rsidRDefault="00897158" w:rsidP="00141395">
      <w:pPr>
        <w:tabs>
          <w:tab w:val="left" w:pos="1702"/>
        </w:tabs>
        <w:adjustRightInd w:val="0"/>
        <w:spacing w:before="20" w:line="240" w:lineRule="auto"/>
        <w:ind w:left="360"/>
        <w:rPr>
          <w:w w:val="105"/>
          <w:sz w:val="20"/>
          <w:szCs w:val="20"/>
        </w:rPr>
      </w:pPr>
    </w:p>
    <w:p w14:paraId="71F4CC61" w14:textId="77777777" w:rsidR="00897158" w:rsidRPr="006B42D6" w:rsidRDefault="00897158" w:rsidP="00897158">
      <w:pPr>
        <w:pStyle w:val="ColorfulList-Accent11"/>
        <w:widowControl w:val="0"/>
        <w:numPr>
          <w:ilvl w:val="0"/>
          <w:numId w:val="5"/>
        </w:numPr>
        <w:tabs>
          <w:tab w:val="left" w:pos="567"/>
        </w:tabs>
        <w:autoSpaceDE w:val="0"/>
        <w:autoSpaceDN w:val="0"/>
        <w:adjustRightInd w:val="0"/>
        <w:spacing w:before="20" w:after="0" w:line="360" w:lineRule="auto"/>
        <w:ind w:left="567" w:hanging="425"/>
        <w:rPr>
          <w:rFonts w:ascii="Times New Roman Bold" w:hAnsi="Times New Roman Bold" w:cs="Times New Roman Bold"/>
          <w:b/>
          <w:sz w:val="24"/>
          <w:szCs w:val="24"/>
        </w:rPr>
      </w:pPr>
      <w:r w:rsidRPr="006B42D6">
        <w:rPr>
          <w:rFonts w:ascii="Times New Roman Bold" w:hAnsi="Times New Roman Bold" w:cs="Times New Roman Bold"/>
          <w:b/>
          <w:sz w:val="24"/>
          <w:szCs w:val="24"/>
        </w:rPr>
        <w:t xml:space="preserve">Black Quarter Disease </w:t>
      </w:r>
    </w:p>
    <w:p w14:paraId="57518A2A" w14:textId="04E27448" w:rsidR="00897158" w:rsidRPr="006B42D6" w:rsidRDefault="00897158" w:rsidP="00897158">
      <w:pPr>
        <w:tabs>
          <w:tab w:val="left" w:pos="1702"/>
        </w:tabs>
        <w:adjustRightInd w:val="0"/>
        <w:spacing w:before="20"/>
        <w:ind w:left="360"/>
        <w:rPr>
          <w:w w:val="105"/>
        </w:rPr>
      </w:pPr>
      <w:r w:rsidRPr="006B42D6">
        <w:rPr>
          <w:w w:val="105"/>
        </w:rPr>
        <w:t xml:space="preserve">The total number of households reported Black Quarter disease infections in their sheep was 5,868 (5,868 in </w:t>
      </w:r>
      <w:r w:rsidR="00EA1552">
        <w:rPr>
          <w:lang w:eastAsia="en-GB"/>
        </w:rPr>
        <w:t>Mainland Tanzania</w:t>
      </w:r>
      <w:r w:rsidRPr="006B42D6">
        <w:rPr>
          <w:w w:val="105"/>
        </w:rPr>
        <w:t xml:space="preserve">, which represents 0.9 percent of the total sheep keeping households during </w:t>
      </w:r>
      <w:r w:rsidR="00617341" w:rsidRPr="006B42D6">
        <w:rPr>
          <w:w w:val="105"/>
        </w:rPr>
        <w:t>2019/20 a</w:t>
      </w:r>
      <w:r w:rsidRPr="006B42D6">
        <w:rPr>
          <w:w w:val="105"/>
        </w:rPr>
        <w:t xml:space="preserve">gricultural year), and there </w:t>
      </w:r>
      <w:r w:rsidR="00130466" w:rsidRPr="006B42D6">
        <w:rPr>
          <w:w w:val="105"/>
        </w:rPr>
        <w:t>was</w:t>
      </w:r>
      <w:r w:rsidRPr="006B42D6">
        <w:rPr>
          <w:w w:val="105"/>
        </w:rPr>
        <w:t xml:space="preserve"> no infection reported in </w:t>
      </w:r>
      <w:r w:rsidR="00327632" w:rsidRPr="006B42D6">
        <w:rPr>
          <w:lang w:eastAsia="en-GB"/>
        </w:rPr>
        <w:t xml:space="preserve">Tanzania </w:t>
      </w:r>
      <w:r w:rsidRPr="006B42D6">
        <w:rPr>
          <w:w w:val="105"/>
        </w:rPr>
        <w:t xml:space="preserve">Zanzibar, </w:t>
      </w:r>
    </w:p>
    <w:p w14:paraId="6E2E60DF" w14:textId="77777777" w:rsidR="00897158" w:rsidRPr="00135766" w:rsidRDefault="00897158" w:rsidP="00141395">
      <w:pPr>
        <w:tabs>
          <w:tab w:val="left" w:pos="1702"/>
        </w:tabs>
        <w:adjustRightInd w:val="0"/>
        <w:spacing w:before="20" w:line="240" w:lineRule="auto"/>
        <w:ind w:left="360"/>
        <w:rPr>
          <w:w w:val="105"/>
          <w:sz w:val="20"/>
          <w:szCs w:val="20"/>
        </w:rPr>
      </w:pPr>
    </w:p>
    <w:p w14:paraId="04472F45" w14:textId="28ECD36D" w:rsidR="00897158" w:rsidRPr="006B42D6" w:rsidRDefault="00897158" w:rsidP="00897158">
      <w:pPr>
        <w:tabs>
          <w:tab w:val="left" w:pos="1702"/>
        </w:tabs>
        <w:adjustRightInd w:val="0"/>
        <w:spacing w:before="20"/>
        <w:ind w:left="360"/>
        <w:rPr>
          <w:w w:val="105"/>
        </w:rPr>
      </w:pPr>
      <w:r w:rsidRPr="006B42D6">
        <w:rPr>
          <w:w w:val="103"/>
        </w:rPr>
        <w:t xml:space="preserve">A total number of </w:t>
      </w:r>
      <w:r w:rsidRPr="006B42D6">
        <w:rPr>
          <w:w w:val="105"/>
        </w:rPr>
        <w:t xml:space="preserve">72,015 sheep </w:t>
      </w:r>
      <w:r w:rsidRPr="006B42D6">
        <w:rPr>
          <w:w w:val="103"/>
        </w:rPr>
        <w:t xml:space="preserve">were </w:t>
      </w:r>
      <w:r w:rsidRPr="006B42D6">
        <w:rPr>
          <w:w w:val="105"/>
        </w:rPr>
        <w:t xml:space="preserve">reported to be infected with Black Quarter disease </w:t>
      </w:r>
      <w:r w:rsidRPr="006B42D6">
        <w:rPr>
          <w:spacing w:val="-2"/>
        </w:rPr>
        <w:t xml:space="preserve">in </w:t>
      </w:r>
      <w:r w:rsidR="00EA1552">
        <w:rPr>
          <w:lang w:eastAsia="en-GB"/>
        </w:rPr>
        <w:t>Mainland Tanzania</w:t>
      </w:r>
      <w:r w:rsidRPr="006B42D6">
        <w:rPr>
          <w:spacing w:val="-2"/>
        </w:rPr>
        <w:t xml:space="preserve">. Pwani region had the largest </w:t>
      </w:r>
      <w:r w:rsidRPr="006B42D6">
        <w:rPr>
          <w:w w:val="105"/>
        </w:rPr>
        <w:t>number of sheep infected with Black Quarter problem</w:t>
      </w:r>
      <w:r w:rsidRPr="006B42D6">
        <w:rPr>
          <w:spacing w:val="-2"/>
        </w:rPr>
        <w:t xml:space="preserve"> (20,006; 27.8 percent), </w:t>
      </w:r>
      <w:r w:rsidRPr="006B42D6">
        <w:rPr>
          <w:w w:val="105"/>
        </w:rPr>
        <w:t>followed by Mara (13,565; 18.8 percent) and Singida (10,537; 14.6 percent). The lowest proportion of sheep infections was reported in Dodoma region (220; 0.3 percent) (Table 4.1</w:t>
      </w:r>
      <w:r w:rsidR="00B70154">
        <w:rPr>
          <w:w w:val="105"/>
        </w:rPr>
        <w:t>6</w:t>
      </w:r>
      <w:r w:rsidRPr="006B42D6">
        <w:rPr>
          <w:w w:val="105"/>
        </w:rPr>
        <w:t>).</w:t>
      </w:r>
    </w:p>
    <w:p w14:paraId="545E61FE" w14:textId="77777777" w:rsidR="00897158" w:rsidRPr="00135766" w:rsidRDefault="00897158" w:rsidP="00141395">
      <w:pPr>
        <w:pStyle w:val="ColorfulList-Accent11"/>
        <w:widowControl w:val="0"/>
        <w:tabs>
          <w:tab w:val="left" w:pos="567"/>
        </w:tabs>
        <w:autoSpaceDE w:val="0"/>
        <w:autoSpaceDN w:val="0"/>
        <w:adjustRightInd w:val="0"/>
        <w:spacing w:before="20" w:after="0" w:line="240" w:lineRule="auto"/>
        <w:ind w:left="0"/>
        <w:rPr>
          <w:rFonts w:ascii="Times New Roman Bold" w:hAnsi="Times New Roman Bold" w:cs="Times New Roman Bold"/>
          <w:b/>
          <w:sz w:val="20"/>
          <w:szCs w:val="20"/>
        </w:rPr>
      </w:pPr>
    </w:p>
    <w:p w14:paraId="7ED32B37" w14:textId="66E0AD1F" w:rsidR="000E1363" w:rsidRPr="006B42D6" w:rsidRDefault="000E1363" w:rsidP="00897158">
      <w:pPr>
        <w:pStyle w:val="ColorfulList-Accent11"/>
        <w:widowControl w:val="0"/>
        <w:numPr>
          <w:ilvl w:val="0"/>
          <w:numId w:val="5"/>
        </w:numPr>
        <w:tabs>
          <w:tab w:val="left" w:pos="567"/>
        </w:tabs>
        <w:autoSpaceDE w:val="0"/>
        <w:autoSpaceDN w:val="0"/>
        <w:adjustRightInd w:val="0"/>
        <w:spacing w:before="20" w:after="0" w:line="360" w:lineRule="auto"/>
        <w:ind w:left="567" w:hanging="425"/>
        <w:rPr>
          <w:rFonts w:ascii="Times New Roman Bold" w:hAnsi="Times New Roman Bold" w:cs="Times New Roman Bold"/>
          <w:b/>
          <w:sz w:val="24"/>
          <w:szCs w:val="24"/>
        </w:rPr>
      </w:pPr>
      <w:r w:rsidRPr="006B42D6">
        <w:rPr>
          <w:rFonts w:ascii="Times New Roman Bold" w:hAnsi="Times New Roman Bold" w:cs="Times New Roman Bold"/>
          <w:b/>
          <w:sz w:val="24"/>
          <w:szCs w:val="24"/>
        </w:rPr>
        <w:t xml:space="preserve">CCPP Disease </w:t>
      </w:r>
    </w:p>
    <w:p w14:paraId="29E57BEC" w14:textId="2408569B" w:rsidR="003E5AD4" w:rsidRPr="006B42D6" w:rsidRDefault="003E5AD4" w:rsidP="00EB33FA">
      <w:pPr>
        <w:ind w:left="426"/>
        <w:rPr>
          <w:w w:val="105"/>
        </w:rPr>
      </w:pPr>
      <w:r w:rsidRPr="006B42D6">
        <w:rPr>
          <w:w w:val="105"/>
        </w:rPr>
        <w:t>The total number of households reported CCPP disease infections in their sheep was 81,172</w:t>
      </w:r>
      <w:r w:rsidR="003B5BED" w:rsidRPr="006B42D6">
        <w:rPr>
          <w:w w:val="105"/>
        </w:rPr>
        <w:t xml:space="preserve"> (81,122</w:t>
      </w:r>
      <w:r w:rsidRPr="006B42D6">
        <w:rPr>
          <w:w w:val="105"/>
        </w:rPr>
        <w:t xml:space="preserve"> in </w:t>
      </w:r>
      <w:r w:rsidR="00EA1552">
        <w:rPr>
          <w:lang w:eastAsia="en-GB"/>
        </w:rPr>
        <w:t>Mainland Tanzania</w:t>
      </w:r>
      <w:r w:rsidRPr="006B42D6">
        <w:rPr>
          <w:w w:val="105"/>
        </w:rPr>
        <w:t xml:space="preserve"> and 50 in </w:t>
      </w:r>
      <w:r w:rsidR="00327632" w:rsidRPr="006B42D6">
        <w:rPr>
          <w:lang w:eastAsia="en-GB"/>
        </w:rPr>
        <w:t xml:space="preserve">Tanzania </w:t>
      </w:r>
      <w:r w:rsidRPr="006B42D6">
        <w:rPr>
          <w:w w:val="105"/>
        </w:rPr>
        <w:t>Zanzibar</w:t>
      </w:r>
      <w:r w:rsidR="003B5BED" w:rsidRPr="006B42D6">
        <w:rPr>
          <w:w w:val="105"/>
        </w:rPr>
        <w:t>)</w:t>
      </w:r>
      <w:r w:rsidRPr="006B42D6">
        <w:rPr>
          <w:w w:val="105"/>
        </w:rPr>
        <w:t xml:space="preserve">, which represents 12.0 percent of the total sheep keeping households during </w:t>
      </w:r>
      <w:r w:rsidR="00B61939" w:rsidRPr="006B42D6">
        <w:rPr>
          <w:w w:val="105"/>
        </w:rPr>
        <w:t xml:space="preserve">the </w:t>
      </w:r>
      <w:r w:rsidR="00617341" w:rsidRPr="006B42D6">
        <w:rPr>
          <w:w w:val="105"/>
        </w:rPr>
        <w:t>2019/20 a</w:t>
      </w:r>
      <w:r w:rsidRPr="006B42D6">
        <w:rPr>
          <w:w w:val="105"/>
        </w:rPr>
        <w:t xml:space="preserve">gricultural year. </w:t>
      </w:r>
    </w:p>
    <w:p w14:paraId="63CFE778" w14:textId="77777777" w:rsidR="003E5AD4" w:rsidRPr="006B42D6" w:rsidRDefault="003E5AD4" w:rsidP="00141395">
      <w:pPr>
        <w:tabs>
          <w:tab w:val="left" w:pos="1702"/>
        </w:tabs>
        <w:adjustRightInd w:val="0"/>
        <w:spacing w:before="20" w:line="240" w:lineRule="auto"/>
        <w:ind w:left="426"/>
        <w:rPr>
          <w:w w:val="105"/>
        </w:rPr>
      </w:pPr>
    </w:p>
    <w:p w14:paraId="449817EA" w14:textId="494A8D95" w:rsidR="003E5AD4" w:rsidRDefault="003E5AD4" w:rsidP="00EB33FA">
      <w:pPr>
        <w:ind w:left="426"/>
        <w:rPr>
          <w:w w:val="105"/>
        </w:rPr>
      </w:pPr>
      <w:r w:rsidRPr="006B42D6">
        <w:rPr>
          <w:w w:val="103"/>
        </w:rPr>
        <w:t xml:space="preserve">A total number of </w:t>
      </w:r>
      <w:r w:rsidRPr="006B42D6">
        <w:rPr>
          <w:w w:val="105"/>
        </w:rPr>
        <w:t xml:space="preserve">807,227 sheep </w:t>
      </w:r>
      <w:r w:rsidRPr="006B42D6">
        <w:rPr>
          <w:w w:val="103"/>
        </w:rPr>
        <w:t xml:space="preserve">were </w:t>
      </w:r>
      <w:r w:rsidRPr="006B42D6">
        <w:rPr>
          <w:w w:val="105"/>
        </w:rPr>
        <w:t>reported to be infected with CCPP disease</w:t>
      </w:r>
      <w:r w:rsidRPr="006B42D6">
        <w:rPr>
          <w:w w:val="103"/>
        </w:rPr>
        <w:t xml:space="preserve"> of which </w:t>
      </w:r>
      <w:r w:rsidRPr="006B42D6">
        <w:rPr>
          <w:w w:val="105"/>
        </w:rPr>
        <w:t xml:space="preserve">807,127 </w:t>
      </w:r>
      <w:r w:rsidRPr="00EB33FA">
        <w:t>heads</w:t>
      </w:r>
      <w:r w:rsidR="00617341" w:rsidRPr="00EB33FA">
        <w:t xml:space="preserve"> were</w:t>
      </w:r>
      <w:r w:rsidRPr="00EB33FA">
        <w:t xml:space="preserve"> in </w:t>
      </w:r>
      <w:r w:rsidR="00EA1552" w:rsidRPr="00EB33FA">
        <w:t>Mainland Tanzania</w:t>
      </w:r>
      <w:r w:rsidRPr="00EB33FA">
        <w:t xml:space="preserve"> and 100 heads in </w:t>
      </w:r>
      <w:r w:rsidR="00327632" w:rsidRPr="00EB33FA">
        <w:t xml:space="preserve">Tanzania </w:t>
      </w:r>
      <w:r w:rsidRPr="00EB33FA">
        <w:t xml:space="preserve">Zanzibar. In </w:t>
      </w:r>
      <w:r w:rsidR="00EA1552" w:rsidRPr="00EB33FA">
        <w:t>Mainland Tanzania</w:t>
      </w:r>
      <w:r w:rsidRPr="00EB33FA">
        <w:t>, Arusha region had the largest</w:t>
      </w:r>
      <w:r w:rsidRPr="006B42D6">
        <w:rPr>
          <w:spacing w:val="-2"/>
        </w:rPr>
        <w:t xml:space="preserve"> </w:t>
      </w:r>
      <w:r w:rsidRPr="006B42D6">
        <w:rPr>
          <w:w w:val="105"/>
        </w:rPr>
        <w:t>number of sheep infected with CCPP disease</w:t>
      </w:r>
      <w:r w:rsidRPr="006B42D6">
        <w:rPr>
          <w:spacing w:val="-2"/>
        </w:rPr>
        <w:t xml:space="preserve"> (248,199; 30.8 percent), </w:t>
      </w:r>
      <w:r w:rsidRPr="006B42D6">
        <w:rPr>
          <w:w w:val="105"/>
        </w:rPr>
        <w:t xml:space="preserve">followed by Pwani (103,195; 12.8 percent) and Manyara (86,008; 10.7 percent). The lowest proportion of sheep infections was </w:t>
      </w:r>
      <w:r w:rsidRPr="006B42D6">
        <w:rPr>
          <w:w w:val="105"/>
        </w:rPr>
        <w:lastRenderedPageBreak/>
        <w:t xml:space="preserve">reported in Katavi region (3,037; 0.4 percent). </w:t>
      </w:r>
      <w:r w:rsidRPr="006B42D6">
        <w:rPr>
          <w:spacing w:val="-2"/>
        </w:rPr>
        <w:t xml:space="preserve">In </w:t>
      </w:r>
      <w:r w:rsidR="00327632" w:rsidRPr="006B42D6">
        <w:rPr>
          <w:lang w:eastAsia="en-GB"/>
        </w:rPr>
        <w:t xml:space="preserve">Tanzania </w:t>
      </w:r>
      <w:r w:rsidRPr="006B42D6">
        <w:rPr>
          <w:spacing w:val="-2"/>
        </w:rPr>
        <w:t xml:space="preserve">Zanzibar, Mjini Magharibi </w:t>
      </w:r>
      <w:r w:rsidR="00130466" w:rsidRPr="006B42D6">
        <w:rPr>
          <w:spacing w:val="-2"/>
        </w:rPr>
        <w:t xml:space="preserve">is the only </w:t>
      </w:r>
      <w:r w:rsidRPr="006B42D6">
        <w:rPr>
          <w:spacing w:val="-2"/>
        </w:rPr>
        <w:t xml:space="preserve">region </w:t>
      </w:r>
      <w:r w:rsidR="00617341" w:rsidRPr="006B42D6">
        <w:rPr>
          <w:spacing w:val="-2"/>
        </w:rPr>
        <w:t xml:space="preserve">reported </w:t>
      </w:r>
      <w:r w:rsidRPr="006B42D6">
        <w:rPr>
          <w:spacing w:val="-2"/>
        </w:rPr>
        <w:t xml:space="preserve">sheep </w:t>
      </w:r>
      <w:r w:rsidR="00617341" w:rsidRPr="006B42D6">
        <w:rPr>
          <w:spacing w:val="-2"/>
        </w:rPr>
        <w:t xml:space="preserve">with </w:t>
      </w:r>
      <w:r w:rsidRPr="006B42D6">
        <w:rPr>
          <w:w w:val="105"/>
        </w:rPr>
        <w:t>CCPP disease</w:t>
      </w:r>
      <w:r w:rsidR="003B5BED" w:rsidRPr="006B42D6">
        <w:rPr>
          <w:w w:val="105"/>
        </w:rPr>
        <w:t xml:space="preserve"> </w:t>
      </w:r>
      <w:r w:rsidR="00617341" w:rsidRPr="006B42D6">
        <w:rPr>
          <w:spacing w:val="-2"/>
        </w:rPr>
        <w:t xml:space="preserve">infections </w:t>
      </w:r>
      <w:r w:rsidR="00130466" w:rsidRPr="006B42D6">
        <w:rPr>
          <w:spacing w:val="-2"/>
        </w:rPr>
        <w:t xml:space="preserve">(100 </w:t>
      </w:r>
      <w:r w:rsidR="00130466" w:rsidRPr="006B42D6">
        <w:rPr>
          <w:w w:val="105"/>
        </w:rPr>
        <w:t>heads</w:t>
      </w:r>
      <w:r w:rsidR="00130466" w:rsidRPr="006B42D6">
        <w:rPr>
          <w:spacing w:val="-2"/>
        </w:rPr>
        <w:t xml:space="preserve">) </w:t>
      </w:r>
      <w:r w:rsidR="003B5BED" w:rsidRPr="006B42D6">
        <w:rPr>
          <w:w w:val="105"/>
        </w:rPr>
        <w:t>(Map 4.1</w:t>
      </w:r>
      <w:r w:rsidR="00C90C5D">
        <w:rPr>
          <w:w w:val="105"/>
        </w:rPr>
        <w:t>8</w:t>
      </w:r>
      <w:r w:rsidR="003B5BED" w:rsidRPr="006B42D6">
        <w:rPr>
          <w:w w:val="105"/>
        </w:rPr>
        <w:t>).</w:t>
      </w:r>
    </w:p>
    <w:p w14:paraId="4C266D1D" w14:textId="77777777" w:rsidR="00135766" w:rsidRDefault="00135766" w:rsidP="00EB33FA">
      <w:pPr>
        <w:ind w:left="426"/>
        <w:rPr>
          <w:w w:val="105"/>
        </w:rPr>
      </w:pPr>
    </w:p>
    <w:p w14:paraId="4D71BA0E" w14:textId="0D2AA3EF" w:rsidR="000E1363" w:rsidRPr="00141395" w:rsidRDefault="000E1363" w:rsidP="0048652C">
      <w:pPr>
        <w:pStyle w:val="MapNew"/>
        <w:ind w:left="1140" w:right="1758" w:hanging="1140"/>
      </w:pPr>
      <w:bookmarkStart w:id="659" w:name="_Toc80902573"/>
      <w:bookmarkStart w:id="660" w:name="_Toc82386491"/>
      <w:r w:rsidRPr="00141395">
        <w:t xml:space="preserve">Map </w:t>
      </w:r>
      <w:r w:rsidR="00CC2F05" w:rsidRPr="00141395">
        <w:t>4.1</w:t>
      </w:r>
      <w:r w:rsidR="00C90C5D">
        <w:t>8</w:t>
      </w:r>
      <w:r w:rsidR="00141395" w:rsidRPr="00141395">
        <w:t>:</w:t>
      </w:r>
      <w:r w:rsidR="00141395" w:rsidRPr="00141395">
        <w:tab/>
      </w:r>
      <w:r w:rsidRPr="00141395">
        <w:t xml:space="preserve">Number of Households </w:t>
      </w:r>
      <w:r w:rsidR="00130466" w:rsidRPr="00141395">
        <w:t>Reported</w:t>
      </w:r>
      <w:r w:rsidRPr="00141395">
        <w:t xml:space="preserve"> CCPP </w:t>
      </w:r>
      <w:r w:rsidR="00327632" w:rsidRPr="00141395">
        <w:t>D</w:t>
      </w:r>
      <w:r w:rsidRPr="00141395">
        <w:t>isease</w:t>
      </w:r>
      <w:r w:rsidR="00130466" w:rsidRPr="00141395">
        <w:t xml:space="preserve"> Infections</w:t>
      </w:r>
      <w:r w:rsidRPr="00141395">
        <w:t xml:space="preserve"> </w:t>
      </w:r>
      <w:r w:rsidR="00327632" w:rsidRPr="00141395">
        <w:t>D</w:t>
      </w:r>
      <w:r w:rsidRPr="00141395">
        <w:t xml:space="preserve">uring 2019/20 Agricultural </w:t>
      </w:r>
      <w:r w:rsidR="00C423EA" w:rsidRPr="00141395">
        <w:t>Y</w:t>
      </w:r>
      <w:r w:rsidRPr="00141395">
        <w:t>ear</w:t>
      </w:r>
      <w:r w:rsidR="00327632" w:rsidRPr="00141395">
        <w:t>, Tanzania</w:t>
      </w:r>
      <w:bookmarkEnd w:id="659"/>
      <w:bookmarkEnd w:id="660"/>
    </w:p>
    <w:p w14:paraId="57DB4F04" w14:textId="06D03FF4" w:rsidR="000E1363" w:rsidRPr="006B42D6" w:rsidRDefault="00890203" w:rsidP="00B61939">
      <w:pPr>
        <w:tabs>
          <w:tab w:val="left" w:pos="1702"/>
        </w:tabs>
        <w:adjustRightInd w:val="0"/>
        <w:spacing w:before="20"/>
        <w:rPr>
          <w:b/>
          <w:spacing w:val="-2"/>
        </w:rPr>
      </w:pPr>
      <w:r>
        <w:rPr>
          <w:noProof/>
        </w:rPr>
        <w:drawing>
          <wp:inline distT="0" distB="0" distL="0" distR="0" wp14:anchorId="7E322C95" wp14:editId="41BA5F61">
            <wp:extent cx="6116320" cy="4221640"/>
            <wp:effectExtent l="0" t="0" r="5080" b="0"/>
            <wp:docPr id="4410" name="Picture 4410"/>
            <wp:cNvGraphicFramePr/>
            <a:graphic xmlns:a="http://schemas.openxmlformats.org/drawingml/2006/main">
              <a:graphicData uri="http://schemas.openxmlformats.org/drawingml/2006/picture">
                <pic:pic xmlns:pic="http://schemas.openxmlformats.org/drawingml/2006/picture">
                  <pic:nvPicPr>
                    <pic:cNvPr id="4410" name="Picture 4410"/>
                    <pic:cNvPicPr/>
                  </pic:nvPicPr>
                  <pic:blipFill>
                    <a:blip r:embed="rId305"/>
                    <a:stretch>
                      <a:fillRect/>
                    </a:stretch>
                  </pic:blipFill>
                  <pic:spPr>
                    <a:xfrm>
                      <a:off x="0" y="0"/>
                      <a:ext cx="6116320" cy="4221640"/>
                    </a:xfrm>
                    <a:prstGeom prst="rect">
                      <a:avLst/>
                    </a:prstGeom>
                  </pic:spPr>
                </pic:pic>
              </a:graphicData>
            </a:graphic>
          </wp:inline>
        </w:drawing>
      </w:r>
    </w:p>
    <w:p w14:paraId="70B1EE67" w14:textId="77777777" w:rsidR="000E1363" w:rsidRPr="006B42D6" w:rsidRDefault="000E1363" w:rsidP="00141395">
      <w:pPr>
        <w:tabs>
          <w:tab w:val="left" w:pos="1702"/>
        </w:tabs>
        <w:adjustRightInd w:val="0"/>
        <w:spacing w:before="20" w:line="240" w:lineRule="auto"/>
        <w:rPr>
          <w:w w:val="105"/>
        </w:rPr>
      </w:pPr>
    </w:p>
    <w:p w14:paraId="01B7C477" w14:textId="77777777" w:rsidR="000E1363" w:rsidRPr="006B42D6" w:rsidRDefault="000E1363" w:rsidP="00897158">
      <w:pPr>
        <w:pStyle w:val="ColorfulList-Accent11"/>
        <w:widowControl w:val="0"/>
        <w:numPr>
          <w:ilvl w:val="0"/>
          <w:numId w:val="5"/>
        </w:numPr>
        <w:tabs>
          <w:tab w:val="left" w:pos="567"/>
        </w:tabs>
        <w:autoSpaceDE w:val="0"/>
        <w:autoSpaceDN w:val="0"/>
        <w:adjustRightInd w:val="0"/>
        <w:spacing w:before="20" w:after="0" w:line="360" w:lineRule="auto"/>
        <w:ind w:left="567" w:hanging="425"/>
        <w:rPr>
          <w:rFonts w:ascii="Times New Roman Bold" w:hAnsi="Times New Roman Bold" w:cs="Times New Roman Bold"/>
          <w:b/>
          <w:sz w:val="24"/>
          <w:szCs w:val="24"/>
        </w:rPr>
      </w:pPr>
      <w:r w:rsidRPr="006B42D6">
        <w:rPr>
          <w:rFonts w:ascii="Times New Roman Bold" w:hAnsi="Times New Roman Bold" w:cs="Times New Roman Bold"/>
          <w:b/>
          <w:sz w:val="24"/>
          <w:szCs w:val="24"/>
        </w:rPr>
        <w:t xml:space="preserve">Foot and Mouth Disease (FMD) </w:t>
      </w:r>
    </w:p>
    <w:p w14:paraId="7C35F9D0" w14:textId="5A0AE952" w:rsidR="003E5AD4" w:rsidRPr="006B42D6" w:rsidRDefault="003E5AD4" w:rsidP="003E5AD4">
      <w:pPr>
        <w:tabs>
          <w:tab w:val="left" w:pos="1702"/>
        </w:tabs>
        <w:adjustRightInd w:val="0"/>
        <w:spacing w:before="20"/>
        <w:ind w:left="360"/>
        <w:rPr>
          <w:w w:val="105"/>
        </w:rPr>
      </w:pPr>
      <w:r w:rsidRPr="006B42D6">
        <w:rPr>
          <w:w w:val="105"/>
        </w:rPr>
        <w:t xml:space="preserve">The total number of households reported FMD infections in their sheep was 39,168 (39,168 in </w:t>
      </w:r>
      <w:r w:rsidR="00EA1552">
        <w:rPr>
          <w:lang w:eastAsia="en-GB"/>
        </w:rPr>
        <w:t>Mainland Tanzania</w:t>
      </w:r>
      <w:r w:rsidRPr="006B42D6">
        <w:rPr>
          <w:w w:val="105"/>
        </w:rPr>
        <w:t xml:space="preserve">, which represents 5.8 percent of the total sheep keeping households during </w:t>
      </w:r>
      <w:r w:rsidR="00130466" w:rsidRPr="006B42D6">
        <w:rPr>
          <w:w w:val="105"/>
        </w:rPr>
        <w:t>2019/20 a</w:t>
      </w:r>
      <w:r w:rsidRPr="006B42D6">
        <w:rPr>
          <w:w w:val="105"/>
        </w:rPr>
        <w:t xml:space="preserve">gricultural year, and there </w:t>
      </w:r>
      <w:r w:rsidR="00130466" w:rsidRPr="006B42D6">
        <w:rPr>
          <w:w w:val="105"/>
        </w:rPr>
        <w:t>was</w:t>
      </w:r>
      <w:r w:rsidRPr="006B42D6">
        <w:rPr>
          <w:w w:val="105"/>
        </w:rPr>
        <w:t xml:space="preserve"> no </w:t>
      </w:r>
      <w:r w:rsidR="00130466" w:rsidRPr="006B42D6">
        <w:rPr>
          <w:w w:val="105"/>
        </w:rPr>
        <w:t>household reportd FMD infection</w:t>
      </w:r>
      <w:r w:rsidRPr="006B42D6">
        <w:rPr>
          <w:w w:val="105"/>
        </w:rPr>
        <w:t xml:space="preserve"> in </w:t>
      </w:r>
      <w:r w:rsidR="00327632" w:rsidRPr="006B42D6">
        <w:rPr>
          <w:lang w:eastAsia="en-GB"/>
        </w:rPr>
        <w:t xml:space="preserve">Tanzania </w:t>
      </w:r>
      <w:r w:rsidRPr="006B42D6">
        <w:rPr>
          <w:w w:val="105"/>
        </w:rPr>
        <w:t>Zanzibar)</w:t>
      </w:r>
      <w:r w:rsidR="00130466" w:rsidRPr="006B42D6">
        <w:rPr>
          <w:w w:val="105"/>
        </w:rPr>
        <w:t>.</w:t>
      </w:r>
    </w:p>
    <w:p w14:paraId="3DBD90F5" w14:textId="77777777" w:rsidR="003E5AD4" w:rsidRPr="006B42D6" w:rsidRDefault="003E5AD4" w:rsidP="00141395">
      <w:pPr>
        <w:tabs>
          <w:tab w:val="left" w:pos="1702"/>
        </w:tabs>
        <w:adjustRightInd w:val="0"/>
        <w:spacing w:before="20" w:line="240" w:lineRule="auto"/>
        <w:ind w:left="360"/>
        <w:rPr>
          <w:w w:val="105"/>
        </w:rPr>
      </w:pPr>
    </w:p>
    <w:p w14:paraId="47923474" w14:textId="38CAB5F0" w:rsidR="00C423EA" w:rsidRDefault="003E5AD4" w:rsidP="00C423EA">
      <w:pPr>
        <w:tabs>
          <w:tab w:val="left" w:pos="1702"/>
        </w:tabs>
        <w:adjustRightInd w:val="0"/>
        <w:spacing w:before="20"/>
        <w:ind w:left="360"/>
        <w:rPr>
          <w:w w:val="105"/>
        </w:rPr>
      </w:pPr>
      <w:r w:rsidRPr="006B42D6">
        <w:rPr>
          <w:w w:val="103"/>
        </w:rPr>
        <w:t xml:space="preserve">A total number of </w:t>
      </w:r>
      <w:r w:rsidRPr="006B42D6">
        <w:rPr>
          <w:w w:val="105"/>
        </w:rPr>
        <w:t xml:space="preserve">559,177 sheep </w:t>
      </w:r>
      <w:r w:rsidRPr="006B42D6">
        <w:rPr>
          <w:w w:val="103"/>
        </w:rPr>
        <w:t xml:space="preserve">were </w:t>
      </w:r>
      <w:r w:rsidRPr="006B42D6">
        <w:rPr>
          <w:w w:val="105"/>
        </w:rPr>
        <w:t xml:space="preserve">reported to have been infected with FMD disease </w:t>
      </w:r>
      <w:r w:rsidRPr="006B42D6">
        <w:rPr>
          <w:spacing w:val="-2"/>
        </w:rPr>
        <w:t xml:space="preserve">in </w:t>
      </w:r>
      <w:r w:rsidR="00EA1552">
        <w:rPr>
          <w:lang w:eastAsia="en-GB"/>
        </w:rPr>
        <w:t>Mainland Tanzania</w:t>
      </w:r>
      <w:r w:rsidRPr="006B42D6">
        <w:rPr>
          <w:spacing w:val="-2"/>
        </w:rPr>
        <w:t xml:space="preserve">. Arusha region had the largest </w:t>
      </w:r>
      <w:r w:rsidRPr="006B42D6">
        <w:rPr>
          <w:w w:val="105"/>
        </w:rPr>
        <w:t>number of sheep infected with FMD disease (</w:t>
      </w:r>
      <w:r w:rsidRPr="006B42D6">
        <w:rPr>
          <w:spacing w:val="-2"/>
        </w:rPr>
        <w:t xml:space="preserve">247,020; 44.2 percent), </w:t>
      </w:r>
      <w:r w:rsidRPr="006B42D6">
        <w:rPr>
          <w:w w:val="105"/>
        </w:rPr>
        <w:t>followed by Pwani (84,492; 15.1 percent) and Kilimanjaro (59,683; 10.7 percent). The lowest proportion of sheep infections was reported in Rukwa region (768; 0.1 percent)</w:t>
      </w:r>
      <w:r w:rsidR="003B5BED" w:rsidRPr="006B42D6">
        <w:rPr>
          <w:w w:val="105"/>
        </w:rPr>
        <w:t xml:space="preserve"> (Map 4.1</w:t>
      </w:r>
      <w:r w:rsidR="00C90C5D">
        <w:rPr>
          <w:w w:val="105"/>
        </w:rPr>
        <w:t>9</w:t>
      </w:r>
      <w:r w:rsidR="003B5BED" w:rsidRPr="006B42D6">
        <w:rPr>
          <w:w w:val="105"/>
        </w:rPr>
        <w:t>).</w:t>
      </w:r>
    </w:p>
    <w:p w14:paraId="22432643" w14:textId="77777777" w:rsidR="00DE782F" w:rsidRPr="006B42D6" w:rsidRDefault="00DE782F" w:rsidP="00C423EA">
      <w:pPr>
        <w:tabs>
          <w:tab w:val="left" w:pos="1702"/>
        </w:tabs>
        <w:adjustRightInd w:val="0"/>
        <w:spacing w:before="20"/>
        <w:ind w:left="360"/>
        <w:rPr>
          <w:w w:val="105"/>
        </w:rPr>
      </w:pPr>
    </w:p>
    <w:p w14:paraId="52F6397E" w14:textId="77777777" w:rsidR="00071777" w:rsidRDefault="00071777">
      <w:pPr>
        <w:spacing w:line="240" w:lineRule="auto"/>
        <w:contextualSpacing w:val="0"/>
        <w:jc w:val="left"/>
        <w:rPr>
          <w:b/>
          <w:spacing w:val="-2"/>
          <w:sz w:val="20"/>
          <w:szCs w:val="20"/>
        </w:rPr>
      </w:pPr>
      <w:r>
        <w:rPr>
          <w:b/>
          <w:spacing w:val="-2"/>
          <w:sz w:val="20"/>
          <w:szCs w:val="20"/>
        </w:rPr>
        <w:br w:type="page"/>
      </w:r>
    </w:p>
    <w:p w14:paraId="14A4418C" w14:textId="33B6D432" w:rsidR="000E1363" w:rsidRPr="00A33C6E" w:rsidRDefault="000E1363" w:rsidP="00135766">
      <w:pPr>
        <w:pStyle w:val="MapNew"/>
        <w:ind w:left="1140" w:right="-170" w:hanging="1140"/>
      </w:pPr>
      <w:bookmarkStart w:id="661" w:name="_Toc80902574"/>
      <w:bookmarkStart w:id="662" w:name="_Toc82386492"/>
      <w:r w:rsidRPr="00A33C6E">
        <w:lastRenderedPageBreak/>
        <w:t xml:space="preserve">Map </w:t>
      </w:r>
      <w:r w:rsidR="00912C90" w:rsidRPr="00A33C6E">
        <w:t>4.1</w:t>
      </w:r>
      <w:r w:rsidR="00C90C5D" w:rsidRPr="00A33C6E">
        <w:t>9</w:t>
      </w:r>
      <w:r w:rsidR="00141395" w:rsidRPr="00A33C6E">
        <w:t>:</w:t>
      </w:r>
      <w:r w:rsidR="00141395" w:rsidRPr="00A33C6E">
        <w:tab/>
      </w:r>
      <w:r w:rsidR="00C90C5D" w:rsidRPr="00A33C6E">
        <w:tab/>
      </w:r>
      <w:r w:rsidR="00C52E05" w:rsidRPr="00A33C6E">
        <w:t>N</w:t>
      </w:r>
      <w:r w:rsidRPr="00A33C6E">
        <w:t xml:space="preserve">umber of Households </w:t>
      </w:r>
      <w:r w:rsidR="00912C90" w:rsidRPr="00A33C6E">
        <w:t>R</w:t>
      </w:r>
      <w:r w:rsidRPr="00A33C6E">
        <w:t>eport</w:t>
      </w:r>
      <w:r w:rsidR="00130466" w:rsidRPr="00A33C6E">
        <w:t>ed</w:t>
      </w:r>
      <w:r w:rsidRPr="00A33C6E">
        <w:t xml:space="preserve"> FMD </w:t>
      </w:r>
      <w:r w:rsidR="00130466" w:rsidRPr="00A33C6E">
        <w:t xml:space="preserve">Infections </w:t>
      </w:r>
      <w:r w:rsidR="00912C90" w:rsidRPr="00A33C6E">
        <w:t>D</w:t>
      </w:r>
      <w:r w:rsidRPr="00A33C6E">
        <w:t xml:space="preserve">uring 2019/20 Agricultural </w:t>
      </w:r>
      <w:r w:rsidR="00912C90" w:rsidRPr="00A33C6E">
        <w:t>Y</w:t>
      </w:r>
      <w:r w:rsidRPr="00A33C6E">
        <w:t>ear</w:t>
      </w:r>
      <w:r w:rsidR="00327632" w:rsidRPr="00A33C6E">
        <w:t>, Tanzania</w:t>
      </w:r>
      <w:bookmarkEnd w:id="661"/>
      <w:bookmarkEnd w:id="662"/>
    </w:p>
    <w:p w14:paraId="22923C6D" w14:textId="235868A0" w:rsidR="000D674E" w:rsidRPr="006B42D6" w:rsidRDefault="00890203" w:rsidP="005C2EFC">
      <w:pPr>
        <w:tabs>
          <w:tab w:val="left" w:pos="1702"/>
        </w:tabs>
        <w:adjustRightInd w:val="0"/>
        <w:spacing w:before="20"/>
        <w:rPr>
          <w:b/>
          <w:spacing w:val="-2"/>
        </w:rPr>
      </w:pPr>
      <w:r>
        <w:rPr>
          <w:noProof/>
        </w:rPr>
        <w:drawing>
          <wp:inline distT="0" distB="0" distL="0" distR="0" wp14:anchorId="11B282DE" wp14:editId="4E81DFAF">
            <wp:extent cx="5864772" cy="4221480"/>
            <wp:effectExtent l="0" t="0" r="3175" b="0"/>
            <wp:docPr id="4478" name="Picture 4478"/>
            <wp:cNvGraphicFramePr/>
            <a:graphic xmlns:a="http://schemas.openxmlformats.org/drawingml/2006/main">
              <a:graphicData uri="http://schemas.openxmlformats.org/drawingml/2006/picture">
                <pic:pic xmlns:pic="http://schemas.openxmlformats.org/drawingml/2006/picture">
                  <pic:nvPicPr>
                    <pic:cNvPr id="4478" name="Picture 4478"/>
                    <pic:cNvPicPr/>
                  </pic:nvPicPr>
                  <pic:blipFill>
                    <a:blip r:embed="rId306"/>
                    <a:stretch>
                      <a:fillRect/>
                    </a:stretch>
                  </pic:blipFill>
                  <pic:spPr>
                    <a:xfrm>
                      <a:off x="0" y="0"/>
                      <a:ext cx="5871095" cy="4226031"/>
                    </a:xfrm>
                    <a:prstGeom prst="rect">
                      <a:avLst/>
                    </a:prstGeom>
                  </pic:spPr>
                </pic:pic>
              </a:graphicData>
            </a:graphic>
          </wp:inline>
        </w:drawing>
      </w:r>
    </w:p>
    <w:p w14:paraId="1036768C" w14:textId="77777777" w:rsidR="000E1363" w:rsidRPr="006B42D6" w:rsidRDefault="000E1363" w:rsidP="00141395">
      <w:pPr>
        <w:tabs>
          <w:tab w:val="left" w:pos="1702"/>
        </w:tabs>
        <w:adjustRightInd w:val="0"/>
        <w:spacing w:before="20" w:line="240" w:lineRule="auto"/>
        <w:rPr>
          <w:b/>
          <w:spacing w:val="-2"/>
        </w:rPr>
      </w:pPr>
    </w:p>
    <w:p w14:paraId="6DE47680" w14:textId="77777777" w:rsidR="000E1363" w:rsidRPr="006B42D6" w:rsidRDefault="000E1363" w:rsidP="00897158">
      <w:pPr>
        <w:pStyle w:val="ColorfulList-Accent11"/>
        <w:widowControl w:val="0"/>
        <w:numPr>
          <w:ilvl w:val="0"/>
          <w:numId w:val="5"/>
        </w:numPr>
        <w:tabs>
          <w:tab w:val="left" w:pos="567"/>
        </w:tabs>
        <w:autoSpaceDE w:val="0"/>
        <w:autoSpaceDN w:val="0"/>
        <w:adjustRightInd w:val="0"/>
        <w:spacing w:before="20" w:after="0" w:line="360" w:lineRule="auto"/>
        <w:ind w:left="567" w:hanging="425"/>
        <w:rPr>
          <w:rFonts w:ascii="Times New Roman Bold" w:hAnsi="Times New Roman Bold" w:cs="Times New Roman Bold"/>
          <w:b/>
          <w:sz w:val="24"/>
          <w:szCs w:val="24"/>
        </w:rPr>
      </w:pPr>
      <w:r w:rsidRPr="006B42D6">
        <w:rPr>
          <w:rFonts w:ascii="Times New Roman Bold" w:hAnsi="Times New Roman Bold" w:cs="Times New Roman Bold"/>
          <w:b/>
          <w:sz w:val="24"/>
          <w:szCs w:val="24"/>
        </w:rPr>
        <w:t xml:space="preserve">Brucellosis Disease </w:t>
      </w:r>
    </w:p>
    <w:p w14:paraId="71F7CF9F" w14:textId="668D3587" w:rsidR="003E5AD4" w:rsidRPr="006B42D6" w:rsidRDefault="003E5AD4" w:rsidP="003E5AD4">
      <w:pPr>
        <w:tabs>
          <w:tab w:val="left" w:pos="1702"/>
        </w:tabs>
        <w:adjustRightInd w:val="0"/>
        <w:spacing w:before="20"/>
        <w:ind w:left="360"/>
        <w:rPr>
          <w:w w:val="105"/>
        </w:rPr>
      </w:pPr>
      <w:r w:rsidRPr="006B42D6">
        <w:rPr>
          <w:w w:val="105"/>
        </w:rPr>
        <w:t xml:space="preserve">The total number of households reporting </w:t>
      </w:r>
      <w:r w:rsidR="00B61939" w:rsidRPr="006B42D6">
        <w:rPr>
          <w:w w:val="105"/>
        </w:rPr>
        <w:t xml:space="preserve">brucellosis </w:t>
      </w:r>
      <w:r w:rsidRPr="006B42D6">
        <w:rPr>
          <w:w w:val="105"/>
        </w:rPr>
        <w:t xml:space="preserve">disease infections in their sheep was 34,705 (34,705 in </w:t>
      </w:r>
      <w:r w:rsidR="00EA1552">
        <w:rPr>
          <w:lang w:eastAsia="en-GB"/>
        </w:rPr>
        <w:t>Mainland Tanzania</w:t>
      </w:r>
      <w:r w:rsidRPr="006B42D6">
        <w:rPr>
          <w:w w:val="105"/>
        </w:rPr>
        <w:t xml:space="preserve">, which represents 5.1 percent of the total sheep keeping households during </w:t>
      </w:r>
      <w:r w:rsidR="00B61939" w:rsidRPr="006B42D6">
        <w:rPr>
          <w:w w:val="105"/>
        </w:rPr>
        <w:t xml:space="preserve">the </w:t>
      </w:r>
      <w:r w:rsidR="00130466" w:rsidRPr="006B42D6">
        <w:rPr>
          <w:w w:val="105"/>
        </w:rPr>
        <w:t>2019/20 a</w:t>
      </w:r>
      <w:r w:rsidRPr="006B42D6">
        <w:rPr>
          <w:w w:val="105"/>
        </w:rPr>
        <w:t>gricultural year), and there w</w:t>
      </w:r>
      <w:r w:rsidR="00897158" w:rsidRPr="006B42D6">
        <w:rPr>
          <w:w w:val="105"/>
        </w:rPr>
        <w:t>as</w:t>
      </w:r>
      <w:r w:rsidRPr="006B42D6">
        <w:rPr>
          <w:w w:val="105"/>
        </w:rPr>
        <w:t xml:space="preserve"> no</w:t>
      </w:r>
      <w:r w:rsidR="00130466" w:rsidRPr="006B42D6">
        <w:rPr>
          <w:w w:val="105"/>
        </w:rPr>
        <w:t xml:space="preserve"> reported</w:t>
      </w:r>
      <w:r w:rsidRPr="006B42D6">
        <w:rPr>
          <w:w w:val="105"/>
        </w:rPr>
        <w:t xml:space="preserve"> infection in </w:t>
      </w:r>
      <w:r w:rsidR="00327632" w:rsidRPr="006B42D6">
        <w:rPr>
          <w:lang w:eastAsia="en-GB"/>
        </w:rPr>
        <w:t xml:space="preserve">Tanzania </w:t>
      </w:r>
      <w:r w:rsidRPr="006B42D6">
        <w:rPr>
          <w:w w:val="105"/>
        </w:rPr>
        <w:t>Zanzibar</w:t>
      </w:r>
      <w:r w:rsidR="00B61939" w:rsidRPr="006B42D6">
        <w:rPr>
          <w:w w:val="105"/>
        </w:rPr>
        <w:t>.</w:t>
      </w:r>
      <w:r w:rsidRPr="006B42D6">
        <w:rPr>
          <w:w w:val="105"/>
        </w:rPr>
        <w:t xml:space="preserve"> </w:t>
      </w:r>
    </w:p>
    <w:p w14:paraId="4AE4EA44" w14:textId="77777777" w:rsidR="003E5AD4" w:rsidRPr="006B42D6" w:rsidRDefault="003E5AD4" w:rsidP="00141395">
      <w:pPr>
        <w:tabs>
          <w:tab w:val="left" w:pos="1702"/>
        </w:tabs>
        <w:adjustRightInd w:val="0"/>
        <w:spacing w:before="20" w:line="240" w:lineRule="auto"/>
        <w:ind w:left="360"/>
        <w:rPr>
          <w:w w:val="105"/>
        </w:rPr>
      </w:pPr>
    </w:p>
    <w:p w14:paraId="4AFC14EF" w14:textId="02255ABD" w:rsidR="003E5AD4" w:rsidRPr="006B42D6" w:rsidRDefault="003E5AD4" w:rsidP="003E5AD4">
      <w:pPr>
        <w:tabs>
          <w:tab w:val="left" w:pos="1702"/>
        </w:tabs>
        <w:adjustRightInd w:val="0"/>
        <w:spacing w:before="20"/>
        <w:ind w:left="360"/>
        <w:rPr>
          <w:w w:val="105"/>
        </w:rPr>
      </w:pPr>
      <w:r w:rsidRPr="006B42D6">
        <w:rPr>
          <w:w w:val="103"/>
        </w:rPr>
        <w:t xml:space="preserve">A total number of </w:t>
      </w:r>
      <w:r w:rsidRPr="006B42D6">
        <w:rPr>
          <w:w w:val="105"/>
        </w:rPr>
        <w:t xml:space="preserve">176,612 sheep </w:t>
      </w:r>
      <w:r w:rsidRPr="006B42D6">
        <w:rPr>
          <w:w w:val="103"/>
        </w:rPr>
        <w:t xml:space="preserve">were </w:t>
      </w:r>
      <w:r w:rsidRPr="006B42D6">
        <w:rPr>
          <w:w w:val="105"/>
        </w:rPr>
        <w:t xml:space="preserve">reported to be infected with </w:t>
      </w:r>
      <w:r w:rsidR="00B61939" w:rsidRPr="006B42D6">
        <w:rPr>
          <w:w w:val="105"/>
        </w:rPr>
        <w:t xml:space="preserve">brucellosis </w:t>
      </w:r>
      <w:r w:rsidRPr="006B42D6">
        <w:rPr>
          <w:w w:val="105"/>
        </w:rPr>
        <w:t xml:space="preserve">disease </w:t>
      </w:r>
      <w:r w:rsidRPr="006B42D6">
        <w:rPr>
          <w:spacing w:val="-2"/>
        </w:rPr>
        <w:t xml:space="preserve">in </w:t>
      </w:r>
      <w:r w:rsidR="00EA1552">
        <w:rPr>
          <w:lang w:eastAsia="en-GB"/>
        </w:rPr>
        <w:t>Mainland Tanzania</w:t>
      </w:r>
      <w:r w:rsidRPr="006B42D6">
        <w:rPr>
          <w:spacing w:val="-2"/>
        </w:rPr>
        <w:t xml:space="preserve">. Kilimanjaro region had the largest </w:t>
      </w:r>
      <w:r w:rsidRPr="006B42D6">
        <w:rPr>
          <w:w w:val="105"/>
        </w:rPr>
        <w:t xml:space="preserve">number of sheep infected with </w:t>
      </w:r>
      <w:r w:rsidR="006A3706">
        <w:rPr>
          <w:w w:val="105"/>
        </w:rPr>
        <w:t>b</w:t>
      </w:r>
      <w:r w:rsidRPr="006B42D6">
        <w:rPr>
          <w:w w:val="105"/>
        </w:rPr>
        <w:t>rucellosis disease (</w:t>
      </w:r>
      <w:r w:rsidRPr="006B42D6">
        <w:rPr>
          <w:spacing w:val="-2"/>
        </w:rPr>
        <w:t xml:space="preserve">53,648; 30.4 percent), </w:t>
      </w:r>
      <w:r w:rsidRPr="006B42D6">
        <w:rPr>
          <w:w w:val="105"/>
        </w:rPr>
        <w:t>followed by Arusha (34,246; 19.4 percent) and Pwani (25,085; 14.2 percent). The lowest proportion of sheep infections was reported in Songwe region (243; 0.1 percent)</w:t>
      </w:r>
      <w:r w:rsidR="00897158" w:rsidRPr="006B42D6">
        <w:rPr>
          <w:w w:val="105"/>
        </w:rPr>
        <w:t xml:space="preserve"> (Map 4.</w:t>
      </w:r>
      <w:r w:rsidR="00C90C5D">
        <w:rPr>
          <w:w w:val="105"/>
        </w:rPr>
        <w:t>20</w:t>
      </w:r>
      <w:r w:rsidR="00897158" w:rsidRPr="006B42D6">
        <w:rPr>
          <w:w w:val="105"/>
        </w:rPr>
        <w:t>).</w:t>
      </w:r>
    </w:p>
    <w:p w14:paraId="729CD34C" w14:textId="5B690A08" w:rsidR="000D674E" w:rsidRPr="006B42D6" w:rsidRDefault="000D674E">
      <w:pPr>
        <w:rPr>
          <w:w w:val="105"/>
        </w:rPr>
      </w:pPr>
      <w:r w:rsidRPr="006B42D6">
        <w:rPr>
          <w:w w:val="105"/>
        </w:rPr>
        <w:br w:type="page"/>
      </w:r>
    </w:p>
    <w:p w14:paraId="0D2EA964" w14:textId="540E7E6B" w:rsidR="000E1363" w:rsidRPr="006B42D6" w:rsidRDefault="000E1363" w:rsidP="00135766">
      <w:pPr>
        <w:pStyle w:val="MapNew"/>
        <w:ind w:left="1140" w:right="-227" w:hanging="998"/>
        <w:rPr>
          <w:spacing w:val="-2"/>
        </w:rPr>
      </w:pPr>
      <w:bookmarkStart w:id="663" w:name="_Toc80902575"/>
      <w:bookmarkStart w:id="664" w:name="_Toc82386493"/>
      <w:r w:rsidRPr="006B42D6">
        <w:rPr>
          <w:spacing w:val="-2"/>
        </w:rPr>
        <w:lastRenderedPageBreak/>
        <w:t xml:space="preserve">Map </w:t>
      </w:r>
      <w:r w:rsidR="00912C90" w:rsidRPr="006B42D6">
        <w:rPr>
          <w:spacing w:val="-2"/>
        </w:rPr>
        <w:t>4.</w:t>
      </w:r>
      <w:r w:rsidR="00C90C5D">
        <w:rPr>
          <w:spacing w:val="-2"/>
        </w:rPr>
        <w:t>20</w:t>
      </w:r>
      <w:r w:rsidR="00141395">
        <w:rPr>
          <w:spacing w:val="-2"/>
        </w:rPr>
        <w:t>:</w:t>
      </w:r>
      <w:r w:rsidR="00141395">
        <w:rPr>
          <w:spacing w:val="-2"/>
        </w:rPr>
        <w:tab/>
      </w:r>
      <w:r w:rsidRPr="006B42D6">
        <w:rPr>
          <w:spacing w:val="-2"/>
        </w:rPr>
        <w:t xml:space="preserve">Number of Households </w:t>
      </w:r>
      <w:r w:rsidR="00130466" w:rsidRPr="006B42D6">
        <w:rPr>
          <w:spacing w:val="-2"/>
        </w:rPr>
        <w:t>Reported</w:t>
      </w:r>
      <w:r w:rsidRPr="006B42D6">
        <w:rPr>
          <w:spacing w:val="-2"/>
        </w:rPr>
        <w:t xml:space="preserve"> </w:t>
      </w:r>
      <w:r w:rsidRPr="006B42D6">
        <w:rPr>
          <w:w w:val="105"/>
        </w:rPr>
        <w:t xml:space="preserve">Brucellosis </w:t>
      </w:r>
      <w:r w:rsidR="00C423EA" w:rsidRPr="006B42D6">
        <w:rPr>
          <w:w w:val="105"/>
        </w:rPr>
        <w:t>D</w:t>
      </w:r>
      <w:r w:rsidRPr="006B42D6">
        <w:rPr>
          <w:w w:val="105"/>
        </w:rPr>
        <w:t xml:space="preserve">isease </w:t>
      </w:r>
      <w:r w:rsidR="00130466" w:rsidRPr="006B42D6">
        <w:rPr>
          <w:w w:val="105"/>
        </w:rPr>
        <w:t>Infections D</w:t>
      </w:r>
      <w:r w:rsidRPr="006B42D6">
        <w:rPr>
          <w:w w:val="105"/>
        </w:rPr>
        <w:t xml:space="preserve">uring 2019/20 Agricultural </w:t>
      </w:r>
      <w:r w:rsidR="00327632" w:rsidRPr="006B42D6">
        <w:rPr>
          <w:w w:val="105"/>
        </w:rPr>
        <w:t>Y</w:t>
      </w:r>
      <w:r w:rsidRPr="006B42D6">
        <w:rPr>
          <w:w w:val="105"/>
        </w:rPr>
        <w:t>ear</w:t>
      </w:r>
      <w:r w:rsidR="00327632" w:rsidRPr="006B42D6">
        <w:rPr>
          <w:w w:val="105"/>
        </w:rPr>
        <w:t>, Tanzania</w:t>
      </w:r>
      <w:bookmarkEnd w:id="663"/>
      <w:bookmarkEnd w:id="664"/>
    </w:p>
    <w:p w14:paraId="29DE537A" w14:textId="6F00B3BF" w:rsidR="000D674E" w:rsidRPr="006B42D6" w:rsidRDefault="00890203" w:rsidP="005C2EFC">
      <w:pPr>
        <w:tabs>
          <w:tab w:val="left" w:pos="5993"/>
          <w:tab w:val="left" w:pos="8355"/>
        </w:tabs>
        <w:adjustRightInd w:val="0"/>
        <w:spacing w:before="106"/>
        <w:ind w:left="142" w:right="-472"/>
      </w:pPr>
      <w:r>
        <w:rPr>
          <w:noProof/>
        </w:rPr>
        <w:drawing>
          <wp:inline distT="0" distB="0" distL="0" distR="0" wp14:anchorId="08FC931D" wp14:editId="30D736F0">
            <wp:extent cx="5880538" cy="4221480"/>
            <wp:effectExtent l="0" t="0" r="0" b="0"/>
            <wp:docPr id="4446" name="Picture 4446"/>
            <wp:cNvGraphicFramePr/>
            <a:graphic xmlns:a="http://schemas.openxmlformats.org/drawingml/2006/main">
              <a:graphicData uri="http://schemas.openxmlformats.org/drawingml/2006/picture">
                <pic:pic xmlns:pic="http://schemas.openxmlformats.org/drawingml/2006/picture">
                  <pic:nvPicPr>
                    <pic:cNvPr id="4446" name="Picture 4446"/>
                    <pic:cNvPicPr/>
                  </pic:nvPicPr>
                  <pic:blipFill>
                    <a:blip r:embed="rId307"/>
                    <a:stretch>
                      <a:fillRect/>
                    </a:stretch>
                  </pic:blipFill>
                  <pic:spPr>
                    <a:xfrm>
                      <a:off x="0" y="0"/>
                      <a:ext cx="5882799" cy="4223103"/>
                    </a:xfrm>
                    <a:prstGeom prst="rect">
                      <a:avLst/>
                    </a:prstGeom>
                  </pic:spPr>
                </pic:pic>
              </a:graphicData>
            </a:graphic>
          </wp:inline>
        </w:drawing>
      </w:r>
    </w:p>
    <w:p w14:paraId="4029A9A3" w14:textId="77777777" w:rsidR="000E1363" w:rsidRPr="006B42D6" w:rsidRDefault="000E1363" w:rsidP="005C2EFC">
      <w:pPr>
        <w:tabs>
          <w:tab w:val="left" w:pos="5993"/>
          <w:tab w:val="left" w:pos="8355"/>
        </w:tabs>
        <w:adjustRightInd w:val="0"/>
        <w:spacing w:before="106"/>
        <w:ind w:left="142" w:right="-472"/>
      </w:pPr>
    </w:p>
    <w:p w14:paraId="72358765" w14:textId="11C9FE13" w:rsidR="000E1363" w:rsidRPr="006B42D6" w:rsidRDefault="000E1363" w:rsidP="00D468A7">
      <w:pPr>
        <w:pStyle w:val="Heading4"/>
      </w:pPr>
      <w:bookmarkStart w:id="665" w:name="_Toc82385761"/>
      <w:r w:rsidRPr="006B42D6">
        <w:t>4.</w:t>
      </w:r>
      <w:r w:rsidR="00AC6872">
        <w:t>5</w:t>
      </w:r>
      <w:r w:rsidRPr="006B42D6">
        <w:t>.</w:t>
      </w:r>
      <w:r w:rsidR="00D468A7" w:rsidRPr="006B42D6">
        <w:t>1.</w:t>
      </w:r>
      <w:r w:rsidRPr="006B42D6">
        <w:t>4</w:t>
      </w:r>
      <w:r w:rsidR="0000655E" w:rsidRPr="006B42D6">
        <w:tab/>
      </w:r>
      <w:r w:rsidRPr="006B42D6">
        <w:t xml:space="preserve">Pig </w:t>
      </w:r>
      <w:r w:rsidR="005111E5" w:rsidRPr="006B42D6">
        <w:t>D</w:t>
      </w:r>
      <w:r w:rsidRPr="006B42D6">
        <w:t>iseases</w:t>
      </w:r>
      <w:bookmarkEnd w:id="665"/>
    </w:p>
    <w:p w14:paraId="0A981C5D" w14:textId="401D6AD2" w:rsidR="000E1363" w:rsidRPr="006B42D6" w:rsidRDefault="000E1363" w:rsidP="005C2EFC">
      <w:pPr>
        <w:pStyle w:val="ColorfulList-Accent11"/>
        <w:widowControl w:val="0"/>
        <w:numPr>
          <w:ilvl w:val="0"/>
          <w:numId w:val="7"/>
        </w:numPr>
        <w:autoSpaceDE w:val="0"/>
        <w:autoSpaceDN w:val="0"/>
        <w:adjustRightInd w:val="0"/>
        <w:spacing w:before="20" w:after="0" w:line="360" w:lineRule="auto"/>
        <w:rPr>
          <w:rFonts w:ascii="Times New Roman" w:hAnsi="Times New Roman"/>
          <w:w w:val="105"/>
          <w:sz w:val="24"/>
          <w:szCs w:val="24"/>
        </w:rPr>
      </w:pPr>
      <w:r w:rsidRPr="006B42D6">
        <w:rPr>
          <w:rFonts w:ascii="Times New Roman Bold" w:hAnsi="Times New Roman Bold" w:cs="Times New Roman Bold"/>
          <w:sz w:val="24"/>
          <w:szCs w:val="24"/>
        </w:rPr>
        <w:t>African Sw</w:t>
      </w:r>
      <w:r w:rsidR="006A3706">
        <w:rPr>
          <w:rFonts w:ascii="Times New Roman Bold" w:hAnsi="Times New Roman Bold" w:cs="Times New Roman Bold"/>
          <w:sz w:val="24"/>
          <w:szCs w:val="24"/>
        </w:rPr>
        <w:t>i</w:t>
      </w:r>
      <w:r w:rsidRPr="006B42D6">
        <w:rPr>
          <w:rFonts w:ascii="Times New Roman Bold" w:hAnsi="Times New Roman Bold" w:cs="Times New Roman Bold"/>
          <w:sz w:val="24"/>
          <w:szCs w:val="24"/>
        </w:rPr>
        <w:t>n</w:t>
      </w:r>
      <w:r w:rsidR="006A3706">
        <w:rPr>
          <w:rFonts w:ascii="Times New Roman Bold" w:hAnsi="Times New Roman Bold" w:cs="Times New Roman Bold"/>
          <w:sz w:val="24"/>
          <w:szCs w:val="24"/>
        </w:rPr>
        <w:t>e</w:t>
      </w:r>
      <w:r w:rsidRPr="006B42D6">
        <w:rPr>
          <w:rFonts w:ascii="Times New Roman Bold" w:hAnsi="Times New Roman Bold" w:cs="Times New Roman Bold"/>
          <w:sz w:val="24"/>
          <w:szCs w:val="24"/>
        </w:rPr>
        <w:t xml:space="preserve"> Fever (ASF)</w:t>
      </w:r>
    </w:p>
    <w:p w14:paraId="08E8F6F9" w14:textId="0E19F36A" w:rsidR="00C15144" w:rsidRPr="006B42D6" w:rsidRDefault="00C15144" w:rsidP="00C15144">
      <w:pPr>
        <w:tabs>
          <w:tab w:val="left" w:pos="1702"/>
        </w:tabs>
        <w:adjustRightInd w:val="0"/>
        <w:spacing w:before="20"/>
        <w:ind w:left="567"/>
        <w:rPr>
          <w:w w:val="105"/>
        </w:rPr>
      </w:pPr>
      <w:r w:rsidRPr="006B42D6">
        <w:rPr>
          <w:w w:val="105"/>
        </w:rPr>
        <w:t xml:space="preserve">During </w:t>
      </w:r>
      <w:r w:rsidR="00BA6B5C" w:rsidRPr="006B42D6">
        <w:rPr>
          <w:w w:val="105"/>
        </w:rPr>
        <w:t>2019/20 a</w:t>
      </w:r>
      <w:r w:rsidRPr="006B42D6">
        <w:rPr>
          <w:w w:val="105"/>
        </w:rPr>
        <w:t xml:space="preserve">gricultural year, the total number of households which reported </w:t>
      </w:r>
      <w:r w:rsidR="00BA6B5C" w:rsidRPr="006B42D6">
        <w:rPr>
          <w:w w:val="105"/>
        </w:rPr>
        <w:t xml:space="preserve">African </w:t>
      </w:r>
      <w:r w:rsidR="006A3706">
        <w:rPr>
          <w:w w:val="105"/>
        </w:rPr>
        <w:t>Swine</w:t>
      </w:r>
      <w:r w:rsidR="00BA6B5C" w:rsidRPr="006B42D6">
        <w:rPr>
          <w:w w:val="105"/>
        </w:rPr>
        <w:t xml:space="preserve"> Fever (</w:t>
      </w:r>
      <w:r w:rsidRPr="006B42D6">
        <w:rPr>
          <w:w w:val="105"/>
        </w:rPr>
        <w:t>ASF</w:t>
      </w:r>
      <w:r w:rsidR="00BA6B5C" w:rsidRPr="006B42D6">
        <w:rPr>
          <w:w w:val="105"/>
        </w:rPr>
        <w:t>)</w:t>
      </w:r>
      <w:r w:rsidRPr="006B42D6">
        <w:rPr>
          <w:w w:val="105"/>
        </w:rPr>
        <w:t xml:space="preserve"> disease infections in their pigs was 27,304 in </w:t>
      </w:r>
      <w:r w:rsidR="00EA1552">
        <w:rPr>
          <w:lang w:eastAsia="en-GB"/>
        </w:rPr>
        <w:t>Mainland Tanzania</w:t>
      </w:r>
      <w:r w:rsidRPr="006B42D6">
        <w:rPr>
          <w:w w:val="105"/>
        </w:rPr>
        <w:t xml:space="preserve">. This is 5.1 percent of the total pig keeping households, and no ASF infection was reported in </w:t>
      </w:r>
      <w:r w:rsidR="00327632" w:rsidRPr="006B42D6">
        <w:rPr>
          <w:lang w:eastAsia="en-GB"/>
        </w:rPr>
        <w:t xml:space="preserve">Tanzania </w:t>
      </w:r>
      <w:r w:rsidRPr="006B42D6">
        <w:rPr>
          <w:w w:val="105"/>
        </w:rPr>
        <w:t>Zanzibar.</w:t>
      </w:r>
    </w:p>
    <w:p w14:paraId="6C57612E" w14:textId="726A9D5D" w:rsidR="00C15144" w:rsidRPr="006B42D6" w:rsidRDefault="00C15144" w:rsidP="00141395">
      <w:pPr>
        <w:tabs>
          <w:tab w:val="left" w:pos="1702"/>
        </w:tabs>
        <w:adjustRightInd w:val="0"/>
        <w:spacing w:before="20" w:line="240" w:lineRule="auto"/>
        <w:ind w:left="567"/>
        <w:rPr>
          <w:w w:val="105"/>
        </w:rPr>
      </w:pPr>
    </w:p>
    <w:p w14:paraId="6F3820C9" w14:textId="2EC6AB3E" w:rsidR="00C15144" w:rsidRPr="006B42D6" w:rsidRDefault="00C15144" w:rsidP="00C15144">
      <w:pPr>
        <w:tabs>
          <w:tab w:val="left" w:pos="1702"/>
        </w:tabs>
        <w:adjustRightInd w:val="0"/>
        <w:spacing w:before="20"/>
        <w:ind w:left="567"/>
        <w:rPr>
          <w:w w:val="105"/>
        </w:rPr>
      </w:pPr>
      <w:r w:rsidRPr="006B42D6">
        <w:rPr>
          <w:w w:val="103"/>
        </w:rPr>
        <w:t xml:space="preserve">A total number of </w:t>
      </w:r>
      <w:r w:rsidRPr="006B42D6">
        <w:rPr>
          <w:w w:val="105"/>
        </w:rPr>
        <w:t xml:space="preserve">197,836 pigs </w:t>
      </w:r>
      <w:r w:rsidRPr="006B42D6">
        <w:rPr>
          <w:w w:val="103"/>
        </w:rPr>
        <w:t xml:space="preserve">were </w:t>
      </w:r>
      <w:r w:rsidRPr="006B42D6">
        <w:rPr>
          <w:w w:val="105"/>
        </w:rPr>
        <w:t>infected with ASF disease</w:t>
      </w:r>
      <w:r w:rsidR="00130466" w:rsidRPr="006B42D6">
        <w:rPr>
          <w:w w:val="105"/>
        </w:rPr>
        <w:t xml:space="preserve"> in </w:t>
      </w:r>
      <w:r w:rsidR="00EA1552">
        <w:rPr>
          <w:w w:val="105"/>
        </w:rPr>
        <w:t>Mainland Tanzania</w:t>
      </w:r>
      <w:r w:rsidRPr="006B42D6">
        <w:rPr>
          <w:w w:val="105"/>
        </w:rPr>
        <w:t xml:space="preserve">. </w:t>
      </w:r>
      <w:r w:rsidRPr="006B42D6">
        <w:rPr>
          <w:spacing w:val="-2"/>
        </w:rPr>
        <w:t xml:space="preserve">Mbeya region had the largest </w:t>
      </w:r>
      <w:r w:rsidRPr="006B42D6">
        <w:rPr>
          <w:w w:val="105"/>
        </w:rPr>
        <w:t>number of pigs infected with ASF disease (</w:t>
      </w:r>
      <w:r w:rsidRPr="006B42D6">
        <w:rPr>
          <w:spacing w:val="-2"/>
        </w:rPr>
        <w:t xml:space="preserve">63,501; 32.1 percent), </w:t>
      </w:r>
      <w:r w:rsidRPr="006B42D6">
        <w:rPr>
          <w:w w:val="105"/>
        </w:rPr>
        <w:t xml:space="preserve">followed by Songwe (32,374; 16.4 percent) and Morogoro (31,309; 15.8 percent). The lowest proportion of </w:t>
      </w:r>
      <w:r w:rsidR="00A61255" w:rsidRPr="006B42D6">
        <w:rPr>
          <w:w w:val="105"/>
        </w:rPr>
        <w:t>pig’s</w:t>
      </w:r>
      <w:r w:rsidRPr="006B42D6">
        <w:rPr>
          <w:w w:val="105"/>
        </w:rPr>
        <w:t xml:space="preserve"> infections was reported in Njombe region (1,702; 0.9 percent) (Table 4.</w:t>
      </w:r>
      <w:r w:rsidR="00912C90" w:rsidRPr="006B42D6">
        <w:rPr>
          <w:w w:val="105"/>
        </w:rPr>
        <w:t>1</w:t>
      </w:r>
      <w:r w:rsidR="00B70154">
        <w:rPr>
          <w:w w:val="105"/>
        </w:rPr>
        <w:t>7</w:t>
      </w:r>
      <w:r w:rsidRPr="006B42D6">
        <w:rPr>
          <w:w w:val="105"/>
        </w:rPr>
        <w:t>).</w:t>
      </w:r>
    </w:p>
    <w:p w14:paraId="1DC32D25" w14:textId="7F16509A" w:rsidR="00C423EA" w:rsidRPr="006B42D6" w:rsidRDefault="000E1363" w:rsidP="005C2EFC">
      <w:pPr>
        <w:tabs>
          <w:tab w:val="left" w:pos="1702"/>
        </w:tabs>
        <w:adjustRightInd w:val="0"/>
        <w:spacing w:before="20"/>
        <w:rPr>
          <w:w w:val="105"/>
        </w:rPr>
      </w:pPr>
      <w:r w:rsidRPr="006B42D6">
        <w:rPr>
          <w:w w:val="105"/>
        </w:rPr>
        <w:t xml:space="preserve"> </w:t>
      </w:r>
    </w:p>
    <w:p w14:paraId="161F2B45" w14:textId="77777777" w:rsidR="00C423EA" w:rsidRPr="006B42D6" w:rsidRDefault="00C423EA">
      <w:pPr>
        <w:rPr>
          <w:w w:val="105"/>
        </w:rPr>
      </w:pPr>
      <w:r w:rsidRPr="006B42D6">
        <w:rPr>
          <w:w w:val="105"/>
        </w:rPr>
        <w:br w:type="page"/>
      </w:r>
    </w:p>
    <w:p w14:paraId="0A5EE183" w14:textId="34D62E2F" w:rsidR="000E1363" w:rsidRPr="006B42D6" w:rsidRDefault="00A61255" w:rsidP="00AC6872">
      <w:pPr>
        <w:pStyle w:val="Heading7"/>
      </w:pPr>
      <w:bookmarkStart w:id="666" w:name="_Toc82386225"/>
      <w:r w:rsidRPr="006B42D6">
        <w:lastRenderedPageBreak/>
        <w:t>Table 4.</w:t>
      </w:r>
      <w:r w:rsidR="00912C90" w:rsidRPr="006B42D6">
        <w:t>1</w:t>
      </w:r>
      <w:r w:rsidR="00B70154">
        <w:t>7</w:t>
      </w:r>
      <w:r w:rsidR="00141395">
        <w:t>:</w:t>
      </w:r>
      <w:r w:rsidR="00141395">
        <w:tab/>
      </w:r>
      <w:r w:rsidRPr="006B42D6">
        <w:t xml:space="preserve">Number of </w:t>
      </w:r>
      <w:r w:rsidR="004D395F">
        <w:t>R</w:t>
      </w:r>
      <w:r w:rsidRPr="006B42D6">
        <w:t xml:space="preserve">eported </w:t>
      </w:r>
      <w:r w:rsidR="00327632" w:rsidRPr="006B42D6">
        <w:t>C</w:t>
      </w:r>
      <w:r w:rsidRPr="006B42D6">
        <w:t xml:space="preserve">ases of Pig </w:t>
      </w:r>
      <w:r w:rsidR="00912C90" w:rsidRPr="006B42D6">
        <w:t>D</w:t>
      </w:r>
      <w:r w:rsidRPr="006B42D6">
        <w:t xml:space="preserve">iseases </w:t>
      </w:r>
      <w:r w:rsidR="00912C90" w:rsidRPr="006B42D6">
        <w:t>O</w:t>
      </w:r>
      <w:r w:rsidRPr="006B42D6">
        <w:t xml:space="preserve">ccurrences by </w:t>
      </w:r>
      <w:r w:rsidR="00912C90" w:rsidRPr="006B42D6">
        <w:t>T</w:t>
      </w:r>
      <w:r w:rsidRPr="006B42D6">
        <w:t xml:space="preserve">ype and Region </w:t>
      </w:r>
      <w:r w:rsidR="00912C90" w:rsidRPr="006B42D6">
        <w:t>D</w:t>
      </w:r>
      <w:r w:rsidRPr="006B42D6">
        <w:t xml:space="preserve">uring 2019/20 Agricultural </w:t>
      </w:r>
      <w:r w:rsidR="00912C90" w:rsidRPr="006B42D6">
        <w:t>Y</w:t>
      </w:r>
      <w:r w:rsidRPr="006B42D6">
        <w:t>ear</w:t>
      </w:r>
      <w:r w:rsidR="00327632" w:rsidRPr="006B42D6">
        <w:t>, Tanzania</w:t>
      </w:r>
      <w:bookmarkEnd w:id="666"/>
      <w:r w:rsidRPr="006B42D6">
        <w:t xml:space="preserve"> </w:t>
      </w:r>
    </w:p>
    <w:tbl>
      <w:tblPr>
        <w:tblW w:w="5096" w:type="pct"/>
        <w:tblLook w:val="04A0" w:firstRow="1" w:lastRow="0" w:firstColumn="1" w:lastColumn="0" w:noHBand="0" w:noVBand="1"/>
      </w:tblPr>
      <w:tblGrid>
        <w:gridCol w:w="1601"/>
        <w:gridCol w:w="803"/>
        <w:gridCol w:w="759"/>
        <w:gridCol w:w="804"/>
        <w:gridCol w:w="759"/>
        <w:gridCol w:w="804"/>
        <w:gridCol w:w="759"/>
        <w:gridCol w:w="804"/>
        <w:gridCol w:w="759"/>
        <w:gridCol w:w="804"/>
        <w:gridCol w:w="757"/>
      </w:tblGrid>
      <w:tr w:rsidR="006B42D6" w:rsidRPr="006B42D6" w14:paraId="6F5657D0" w14:textId="77777777" w:rsidTr="00141395">
        <w:trPr>
          <w:trHeight w:val="70"/>
        </w:trPr>
        <w:tc>
          <w:tcPr>
            <w:tcW w:w="851" w:type="pct"/>
            <w:vMerge w:val="restart"/>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1005BA5A" w14:textId="77777777" w:rsidR="00A61255" w:rsidRPr="00135766" w:rsidRDefault="00A61255" w:rsidP="009834FA">
            <w:pPr>
              <w:spacing w:line="276" w:lineRule="auto"/>
              <w:rPr>
                <w:bCs/>
                <w:sz w:val="16"/>
                <w:szCs w:val="16"/>
              </w:rPr>
            </w:pPr>
            <w:r w:rsidRPr="00135766">
              <w:rPr>
                <w:bCs/>
                <w:sz w:val="16"/>
                <w:szCs w:val="16"/>
              </w:rPr>
              <w:t>Region</w:t>
            </w:r>
          </w:p>
        </w:tc>
        <w:tc>
          <w:tcPr>
            <w:tcW w:w="4149" w:type="pct"/>
            <w:gridSpan w:val="10"/>
            <w:tcBorders>
              <w:top w:val="single" w:sz="4" w:space="0" w:color="auto"/>
              <w:left w:val="nil"/>
              <w:bottom w:val="single" w:sz="4" w:space="0" w:color="auto"/>
              <w:right w:val="nil"/>
            </w:tcBorders>
            <w:shd w:val="clear" w:color="auto" w:fill="E2EFD9" w:themeFill="accent6" w:themeFillTint="33"/>
            <w:noWrap/>
            <w:vAlign w:val="center"/>
            <w:hideMark/>
          </w:tcPr>
          <w:p w14:paraId="46CADB92" w14:textId="0CDA533D" w:rsidR="00A61255" w:rsidRPr="00135766" w:rsidRDefault="00A61255" w:rsidP="009834FA">
            <w:pPr>
              <w:spacing w:line="276" w:lineRule="auto"/>
              <w:jc w:val="center"/>
              <w:rPr>
                <w:bCs/>
                <w:sz w:val="16"/>
                <w:szCs w:val="16"/>
              </w:rPr>
            </w:pPr>
            <w:r w:rsidRPr="00135766">
              <w:rPr>
                <w:bCs/>
                <w:sz w:val="16"/>
                <w:szCs w:val="16"/>
              </w:rPr>
              <w:t xml:space="preserve">Pig </w:t>
            </w:r>
            <w:r w:rsidR="00474890" w:rsidRPr="00135766">
              <w:rPr>
                <w:bCs/>
                <w:sz w:val="16"/>
                <w:szCs w:val="16"/>
              </w:rPr>
              <w:t>D</w:t>
            </w:r>
            <w:r w:rsidRPr="00135766">
              <w:rPr>
                <w:bCs/>
                <w:sz w:val="16"/>
                <w:szCs w:val="16"/>
              </w:rPr>
              <w:t>isease</w:t>
            </w:r>
            <w:r w:rsidR="009834FA">
              <w:rPr>
                <w:bCs/>
                <w:sz w:val="16"/>
                <w:szCs w:val="16"/>
              </w:rPr>
              <w:t>s</w:t>
            </w:r>
          </w:p>
        </w:tc>
      </w:tr>
      <w:tr w:rsidR="006B42D6" w:rsidRPr="006B42D6" w14:paraId="1FB44F90" w14:textId="77777777" w:rsidTr="00141395">
        <w:trPr>
          <w:trHeight w:val="123"/>
        </w:trPr>
        <w:tc>
          <w:tcPr>
            <w:tcW w:w="851" w:type="pct"/>
            <w:vMerge/>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E73B65B" w14:textId="77777777" w:rsidR="00A61255" w:rsidRPr="00135766" w:rsidRDefault="00A61255" w:rsidP="009834FA">
            <w:pPr>
              <w:spacing w:line="276" w:lineRule="auto"/>
              <w:jc w:val="center"/>
              <w:rPr>
                <w:bCs/>
                <w:sz w:val="16"/>
                <w:szCs w:val="16"/>
              </w:rPr>
            </w:pPr>
          </w:p>
        </w:tc>
        <w:tc>
          <w:tcPr>
            <w:tcW w:w="830" w:type="pct"/>
            <w:gridSpan w:val="2"/>
            <w:tcBorders>
              <w:top w:val="single" w:sz="4" w:space="0" w:color="auto"/>
              <w:left w:val="nil"/>
              <w:bottom w:val="single" w:sz="4" w:space="0" w:color="auto"/>
              <w:right w:val="single" w:sz="4" w:space="0" w:color="000000"/>
            </w:tcBorders>
            <w:shd w:val="clear" w:color="auto" w:fill="E2EFD9" w:themeFill="accent6" w:themeFillTint="33"/>
            <w:vAlign w:val="center"/>
            <w:hideMark/>
          </w:tcPr>
          <w:p w14:paraId="18279B33" w14:textId="110531BC" w:rsidR="00A61255" w:rsidRPr="00135766" w:rsidRDefault="00A61255" w:rsidP="009834FA">
            <w:pPr>
              <w:spacing w:line="276" w:lineRule="auto"/>
              <w:jc w:val="center"/>
              <w:rPr>
                <w:bCs/>
                <w:sz w:val="16"/>
                <w:szCs w:val="16"/>
              </w:rPr>
            </w:pPr>
            <w:r w:rsidRPr="00135766">
              <w:rPr>
                <w:bCs/>
                <w:sz w:val="16"/>
                <w:szCs w:val="16"/>
              </w:rPr>
              <w:t>ASF</w:t>
            </w:r>
          </w:p>
        </w:tc>
        <w:tc>
          <w:tcPr>
            <w:tcW w:w="830" w:type="pct"/>
            <w:gridSpan w:val="2"/>
            <w:tcBorders>
              <w:top w:val="single" w:sz="4" w:space="0" w:color="auto"/>
              <w:left w:val="nil"/>
              <w:bottom w:val="single" w:sz="4" w:space="0" w:color="auto"/>
              <w:right w:val="nil"/>
            </w:tcBorders>
            <w:shd w:val="clear" w:color="auto" w:fill="E2EFD9" w:themeFill="accent6" w:themeFillTint="33"/>
            <w:vAlign w:val="center"/>
            <w:hideMark/>
          </w:tcPr>
          <w:p w14:paraId="4279BAB6" w14:textId="77777777" w:rsidR="00A61255" w:rsidRPr="00135766" w:rsidRDefault="00A61255" w:rsidP="009834FA">
            <w:pPr>
              <w:spacing w:line="276" w:lineRule="auto"/>
              <w:jc w:val="center"/>
              <w:rPr>
                <w:bCs/>
                <w:sz w:val="16"/>
                <w:szCs w:val="16"/>
              </w:rPr>
            </w:pPr>
            <w:r w:rsidRPr="00135766">
              <w:rPr>
                <w:bCs/>
                <w:sz w:val="16"/>
                <w:szCs w:val="16"/>
              </w:rPr>
              <w:t>Anaemia</w:t>
            </w:r>
          </w:p>
        </w:tc>
        <w:tc>
          <w:tcPr>
            <w:tcW w:w="830" w:type="pct"/>
            <w:gridSpan w:val="2"/>
            <w:tcBorders>
              <w:top w:val="single" w:sz="4" w:space="0" w:color="auto"/>
              <w:left w:val="single" w:sz="4" w:space="0" w:color="auto"/>
              <w:bottom w:val="single" w:sz="4" w:space="0" w:color="auto"/>
              <w:right w:val="single" w:sz="4" w:space="0" w:color="000000"/>
            </w:tcBorders>
            <w:shd w:val="clear" w:color="auto" w:fill="E2EFD9" w:themeFill="accent6" w:themeFillTint="33"/>
            <w:vAlign w:val="center"/>
            <w:hideMark/>
          </w:tcPr>
          <w:p w14:paraId="52FCA106" w14:textId="77777777" w:rsidR="00A61255" w:rsidRPr="00135766" w:rsidRDefault="00A61255" w:rsidP="009834FA">
            <w:pPr>
              <w:spacing w:line="276" w:lineRule="auto"/>
              <w:jc w:val="center"/>
              <w:rPr>
                <w:bCs/>
                <w:sz w:val="16"/>
                <w:szCs w:val="16"/>
              </w:rPr>
            </w:pPr>
            <w:r w:rsidRPr="00135766">
              <w:rPr>
                <w:bCs/>
                <w:sz w:val="16"/>
                <w:szCs w:val="16"/>
              </w:rPr>
              <w:t>Brucellosis</w:t>
            </w:r>
          </w:p>
        </w:tc>
        <w:tc>
          <w:tcPr>
            <w:tcW w:w="830" w:type="pct"/>
            <w:gridSpan w:val="2"/>
            <w:tcBorders>
              <w:top w:val="single" w:sz="4" w:space="0" w:color="auto"/>
              <w:left w:val="nil"/>
              <w:bottom w:val="single" w:sz="4" w:space="0" w:color="auto"/>
              <w:right w:val="nil"/>
            </w:tcBorders>
            <w:shd w:val="clear" w:color="auto" w:fill="E2EFD9" w:themeFill="accent6" w:themeFillTint="33"/>
            <w:vAlign w:val="center"/>
            <w:hideMark/>
          </w:tcPr>
          <w:p w14:paraId="40BA32E7" w14:textId="77777777" w:rsidR="00A61255" w:rsidRPr="00135766" w:rsidRDefault="00A61255" w:rsidP="009834FA">
            <w:pPr>
              <w:spacing w:line="276" w:lineRule="auto"/>
              <w:jc w:val="center"/>
              <w:rPr>
                <w:bCs/>
                <w:sz w:val="16"/>
                <w:szCs w:val="16"/>
              </w:rPr>
            </w:pPr>
            <w:r w:rsidRPr="00135766">
              <w:rPr>
                <w:bCs/>
                <w:sz w:val="16"/>
                <w:szCs w:val="16"/>
              </w:rPr>
              <w:t>Mange</w:t>
            </w:r>
          </w:p>
        </w:tc>
        <w:tc>
          <w:tcPr>
            <w:tcW w:w="830" w:type="pct"/>
            <w:gridSpan w:val="2"/>
            <w:tcBorders>
              <w:top w:val="single" w:sz="4" w:space="0" w:color="auto"/>
              <w:left w:val="single" w:sz="4" w:space="0" w:color="auto"/>
              <w:bottom w:val="single" w:sz="4" w:space="0" w:color="auto"/>
              <w:right w:val="nil"/>
            </w:tcBorders>
            <w:shd w:val="clear" w:color="auto" w:fill="E2EFD9" w:themeFill="accent6" w:themeFillTint="33"/>
            <w:vAlign w:val="center"/>
            <w:hideMark/>
          </w:tcPr>
          <w:p w14:paraId="423FABF3" w14:textId="77777777" w:rsidR="00A61255" w:rsidRPr="00135766" w:rsidRDefault="00A61255" w:rsidP="009834FA">
            <w:pPr>
              <w:spacing w:line="276" w:lineRule="auto"/>
              <w:jc w:val="center"/>
              <w:rPr>
                <w:bCs/>
                <w:sz w:val="16"/>
                <w:szCs w:val="16"/>
              </w:rPr>
            </w:pPr>
            <w:r w:rsidRPr="00135766">
              <w:rPr>
                <w:bCs/>
                <w:sz w:val="16"/>
                <w:szCs w:val="16"/>
              </w:rPr>
              <w:t>FMD</w:t>
            </w:r>
          </w:p>
        </w:tc>
      </w:tr>
      <w:tr w:rsidR="006B42D6" w:rsidRPr="006B42D6" w14:paraId="3306CF5C" w14:textId="77777777" w:rsidTr="00141395">
        <w:trPr>
          <w:trHeight w:val="70"/>
        </w:trPr>
        <w:tc>
          <w:tcPr>
            <w:tcW w:w="851" w:type="pct"/>
            <w:vMerge/>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35D0953" w14:textId="77777777" w:rsidR="00A61255" w:rsidRPr="00135766" w:rsidRDefault="00A61255" w:rsidP="009834FA">
            <w:pPr>
              <w:spacing w:line="276" w:lineRule="auto"/>
              <w:jc w:val="center"/>
              <w:rPr>
                <w:bCs/>
                <w:sz w:val="16"/>
                <w:szCs w:val="16"/>
              </w:rPr>
            </w:pPr>
          </w:p>
        </w:tc>
        <w:tc>
          <w:tcPr>
            <w:tcW w:w="427" w:type="pct"/>
            <w:tcBorders>
              <w:top w:val="nil"/>
              <w:left w:val="nil"/>
              <w:bottom w:val="single" w:sz="4" w:space="0" w:color="auto"/>
              <w:right w:val="nil"/>
            </w:tcBorders>
            <w:shd w:val="clear" w:color="auto" w:fill="E2EFD9" w:themeFill="accent6" w:themeFillTint="33"/>
            <w:vAlign w:val="center"/>
            <w:hideMark/>
          </w:tcPr>
          <w:p w14:paraId="033B8FF8" w14:textId="77777777" w:rsidR="00A61255" w:rsidRPr="00135766" w:rsidRDefault="00A61255" w:rsidP="009834FA">
            <w:pPr>
              <w:spacing w:line="276" w:lineRule="auto"/>
              <w:jc w:val="center"/>
              <w:rPr>
                <w:bCs/>
                <w:sz w:val="16"/>
                <w:szCs w:val="16"/>
              </w:rPr>
            </w:pPr>
            <w:r w:rsidRPr="00135766">
              <w:rPr>
                <w:bCs/>
                <w:sz w:val="16"/>
                <w:szCs w:val="16"/>
              </w:rPr>
              <w:t>Number Infected</w:t>
            </w:r>
          </w:p>
        </w:tc>
        <w:tc>
          <w:tcPr>
            <w:tcW w:w="403" w:type="pct"/>
            <w:tcBorders>
              <w:top w:val="nil"/>
              <w:left w:val="nil"/>
              <w:bottom w:val="single" w:sz="4" w:space="0" w:color="auto"/>
              <w:right w:val="single" w:sz="4" w:space="0" w:color="auto"/>
            </w:tcBorders>
            <w:shd w:val="clear" w:color="auto" w:fill="E2EFD9" w:themeFill="accent6" w:themeFillTint="33"/>
            <w:vAlign w:val="center"/>
            <w:hideMark/>
          </w:tcPr>
          <w:p w14:paraId="1F0ED644" w14:textId="231EB222" w:rsidR="00A61255" w:rsidRPr="00135766" w:rsidRDefault="00AB41B2" w:rsidP="009834FA">
            <w:pPr>
              <w:spacing w:line="276" w:lineRule="auto"/>
              <w:jc w:val="center"/>
              <w:rPr>
                <w:bCs/>
                <w:sz w:val="16"/>
                <w:szCs w:val="16"/>
              </w:rPr>
            </w:pPr>
            <w:r w:rsidRPr="00135766">
              <w:rPr>
                <w:bCs/>
                <w:sz w:val="16"/>
                <w:szCs w:val="16"/>
              </w:rPr>
              <w:t>Percent</w:t>
            </w:r>
          </w:p>
        </w:tc>
        <w:tc>
          <w:tcPr>
            <w:tcW w:w="427" w:type="pct"/>
            <w:tcBorders>
              <w:top w:val="nil"/>
              <w:left w:val="nil"/>
              <w:bottom w:val="single" w:sz="4" w:space="0" w:color="auto"/>
              <w:right w:val="nil"/>
            </w:tcBorders>
            <w:shd w:val="clear" w:color="auto" w:fill="E2EFD9" w:themeFill="accent6" w:themeFillTint="33"/>
            <w:vAlign w:val="center"/>
            <w:hideMark/>
          </w:tcPr>
          <w:p w14:paraId="173EB8E3" w14:textId="77777777" w:rsidR="00A61255" w:rsidRPr="00135766" w:rsidRDefault="00A61255" w:rsidP="009834FA">
            <w:pPr>
              <w:spacing w:line="276" w:lineRule="auto"/>
              <w:jc w:val="center"/>
              <w:rPr>
                <w:bCs/>
                <w:sz w:val="16"/>
                <w:szCs w:val="16"/>
              </w:rPr>
            </w:pPr>
            <w:r w:rsidRPr="00135766">
              <w:rPr>
                <w:bCs/>
                <w:sz w:val="16"/>
                <w:szCs w:val="16"/>
              </w:rPr>
              <w:t>Number Infected</w:t>
            </w:r>
          </w:p>
        </w:tc>
        <w:tc>
          <w:tcPr>
            <w:tcW w:w="403" w:type="pct"/>
            <w:tcBorders>
              <w:top w:val="nil"/>
              <w:left w:val="nil"/>
              <w:bottom w:val="single" w:sz="4" w:space="0" w:color="auto"/>
              <w:right w:val="nil"/>
            </w:tcBorders>
            <w:shd w:val="clear" w:color="auto" w:fill="E2EFD9" w:themeFill="accent6" w:themeFillTint="33"/>
            <w:vAlign w:val="center"/>
            <w:hideMark/>
          </w:tcPr>
          <w:p w14:paraId="5C47A033" w14:textId="1648F09C" w:rsidR="00A61255" w:rsidRPr="00135766" w:rsidRDefault="00AB41B2" w:rsidP="009834FA">
            <w:pPr>
              <w:spacing w:line="276" w:lineRule="auto"/>
              <w:jc w:val="center"/>
              <w:rPr>
                <w:bCs/>
                <w:sz w:val="16"/>
                <w:szCs w:val="16"/>
              </w:rPr>
            </w:pPr>
            <w:r w:rsidRPr="00135766">
              <w:rPr>
                <w:bCs/>
                <w:sz w:val="16"/>
                <w:szCs w:val="16"/>
              </w:rPr>
              <w:t>Percent</w:t>
            </w:r>
          </w:p>
        </w:tc>
        <w:tc>
          <w:tcPr>
            <w:tcW w:w="427" w:type="pct"/>
            <w:tcBorders>
              <w:top w:val="nil"/>
              <w:left w:val="single" w:sz="4" w:space="0" w:color="auto"/>
              <w:bottom w:val="single" w:sz="4" w:space="0" w:color="auto"/>
              <w:right w:val="nil"/>
            </w:tcBorders>
            <w:shd w:val="clear" w:color="auto" w:fill="E2EFD9" w:themeFill="accent6" w:themeFillTint="33"/>
            <w:vAlign w:val="center"/>
            <w:hideMark/>
          </w:tcPr>
          <w:p w14:paraId="42D9A629" w14:textId="77777777" w:rsidR="00A61255" w:rsidRPr="00135766" w:rsidRDefault="00A61255" w:rsidP="009834FA">
            <w:pPr>
              <w:spacing w:line="276" w:lineRule="auto"/>
              <w:jc w:val="center"/>
              <w:rPr>
                <w:bCs/>
                <w:sz w:val="16"/>
                <w:szCs w:val="16"/>
              </w:rPr>
            </w:pPr>
            <w:r w:rsidRPr="00135766">
              <w:rPr>
                <w:bCs/>
                <w:sz w:val="16"/>
                <w:szCs w:val="16"/>
              </w:rPr>
              <w:t>Number Infected</w:t>
            </w:r>
          </w:p>
        </w:tc>
        <w:tc>
          <w:tcPr>
            <w:tcW w:w="403" w:type="pct"/>
            <w:tcBorders>
              <w:top w:val="nil"/>
              <w:left w:val="nil"/>
              <w:bottom w:val="single" w:sz="4" w:space="0" w:color="auto"/>
              <w:right w:val="single" w:sz="4" w:space="0" w:color="auto"/>
            </w:tcBorders>
            <w:shd w:val="clear" w:color="auto" w:fill="E2EFD9" w:themeFill="accent6" w:themeFillTint="33"/>
            <w:vAlign w:val="center"/>
            <w:hideMark/>
          </w:tcPr>
          <w:p w14:paraId="32C8405F" w14:textId="3C60630B" w:rsidR="00A61255" w:rsidRPr="00135766" w:rsidRDefault="00AB41B2" w:rsidP="009834FA">
            <w:pPr>
              <w:spacing w:line="276" w:lineRule="auto"/>
              <w:jc w:val="center"/>
              <w:rPr>
                <w:bCs/>
                <w:sz w:val="16"/>
                <w:szCs w:val="16"/>
              </w:rPr>
            </w:pPr>
            <w:r w:rsidRPr="00135766">
              <w:rPr>
                <w:bCs/>
                <w:sz w:val="16"/>
                <w:szCs w:val="16"/>
              </w:rPr>
              <w:t>Percent</w:t>
            </w:r>
          </w:p>
        </w:tc>
        <w:tc>
          <w:tcPr>
            <w:tcW w:w="427" w:type="pct"/>
            <w:tcBorders>
              <w:top w:val="nil"/>
              <w:left w:val="nil"/>
              <w:bottom w:val="single" w:sz="4" w:space="0" w:color="auto"/>
              <w:right w:val="nil"/>
            </w:tcBorders>
            <w:shd w:val="clear" w:color="auto" w:fill="E2EFD9" w:themeFill="accent6" w:themeFillTint="33"/>
            <w:vAlign w:val="center"/>
            <w:hideMark/>
          </w:tcPr>
          <w:p w14:paraId="475A4F4F" w14:textId="77777777" w:rsidR="00A61255" w:rsidRPr="00135766" w:rsidRDefault="00A61255" w:rsidP="009834FA">
            <w:pPr>
              <w:spacing w:line="276" w:lineRule="auto"/>
              <w:jc w:val="center"/>
              <w:rPr>
                <w:bCs/>
                <w:sz w:val="16"/>
                <w:szCs w:val="16"/>
              </w:rPr>
            </w:pPr>
            <w:r w:rsidRPr="00135766">
              <w:rPr>
                <w:bCs/>
                <w:sz w:val="16"/>
                <w:szCs w:val="16"/>
              </w:rPr>
              <w:t>Number Infected</w:t>
            </w:r>
          </w:p>
        </w:tc>
        <w:tc>
          <w:tcPr>
            <w:tcW w:w="403" w:type="pct"/>
            <w:tcBorders>
              <w:top w:val="nil"/>
              <w:left w:val="nil"/>
              <w:bottom w:val="single" w:sz="4" w:space="0" w:color="auto"/>
              <w:right w:val="nil"/>
            </w:tcBorders>
            <w:shd w:val="clear" w:color="auto" w:fill="E2EFD9" w:themeFill="accent6" w:themeFillTint="33"/>
            <w:vAlign w:val="center"/>
            <w:hideMark/>
          </w:tcPr>
          <w:p w14:paraId="6EA15885" w14:textId="0426C062" w:rsidR="00A61255" w:rsidRPr="00135766" w:rsidRDefault="00AB41B2" w:rsidP="009834FA">
            <w:pPr>
              <w:spacing w:line="276" w:lineRule="auto"/>
              <w:jc w:val="center"/>
              <w:rPr>
                <w:bCs/>
                <w:sz w:val="16"/>
                <w:szCs w:val="16"/>
              </w:rPr>
            </w:pPr>
            <w:r w:rsidRPr="00135766">
              <w:rPr>
                <w:bCs/>
                <w:sz w:val="16"/>
                <w:szCs w:val="16"/>
              </w:rPr>
              <w:t>Percent</w:t>
            </w:r>
          </w:p>
        </w:tc>
        <w:tc>
          <w:tcPr>
            <w:tcW w:w="427" w:type="pct"/>
            <w:tcBorders>
              <w:top w:val="nil"/>
              <w:left w:val="single" w:sz="4" w:space="0" w:color="auto"/>
              <w:bottom w:val="single" w:sz="4" w:space="0" w:color="auto"/>
              <w:right w:val="nil"/>
            </w:tcBorders>
            <w:shd w:val="clear" w:color="auto" w:fill="E2EFD9" w:themeFill="accent6" w:themeFillTint="33"/>
            <w:vAlign w:val="center"/>
            <w:hideMark/>
          </w:tcPr>
          <w:p w14:paraId="3ECDE9D1" w14:textId="77777777" w:rsidR="00A61255" w:rsidRPr="00135766" w:rsidRDefault="00A61255" w:rsidP="009834FA">
            <w:pPr>
              <w:spacing w:line="276" w:lineRule="auto"/>
              <w:jc w:val="center"/>
              <w:rPr>
                <w:bCs/>
                <w:sz w:val="16"/>
                <w:szCs w:val="16"/>
              </w:rPr>
            </w:pPr>
            <w:r w:rsidRPr="00135766">
              <w:rPr>
                <w:bCs/>
                <w:sz w:val="16"/>
                <w:szCs w:val="16"/>
              </w:rPr>
              <w:t>Number Infected</w:t>
            </w:r>
          </w:p>
        </w:tc>
        <w:tc>
          <w:tcPr>
            <w:tcW w:w="403" w:type="pct"/>
            <w:tcBorders>
              <w:top w:val="nil"/>
              <w:left w:val="nil"/>
              <w:bottom w:val="single" w:sz="4" w:space="0" w:color="auto"/>
              <w:right w:val="nil"/>
            </w:tcBorders>
            <w:shd w:val="clear" w:color="auto" w:fill="E2EFD9" w:themeFill="accent6" w:themeFillTint="33"/>
            <w:vAlign w:val="center"/>
            <w:hideMark/>
          </w:tcPr>
          <w:p w14:paraId="7C8FC85F" w14:textId="239F3F67" w:rsidR="00A61255" w:rsidRPr="00135766" w:rsidRDefault="00AB41B2" w:rsidP="009834FA">
            <w:pPr>
              <w:spacing w:line="276" w:lineRule="auto"/>
              <w:jc w:val="center"/>
              <w:rPr>
                <w:bCs/>
                <w:sz w:val="16"/>
                <w:szCs w:val="16"/>
              </w:rPr>
            </w:pPr>
            <w:r w:rsidRPr="00135766">
              <w:rPr>
                <w:bCs/>
                <w:sz w:val="16"/>
                <w:szCs w:val="16"/>
              </w:rPr>
              <w:t>Percent</w:t>
            </w:r>
          </w:p>
        </w:tc>
      </w:tr>
      <w:tr w:rsidR="006B42D6" w:rsidRPr="006B42D6" w14:paraId="01A2F691" w14:textId="77777777" w:rsidTr="00BA6B5C">
        <w:trPr>
          <w:trHeight w:val="70"/>
        </w:trPr>
        <w:tc>
          <w:tcPr>
            <w:tcW w:w="851" w:type="pct"/>
            <w:tcBorders>
              <w:top w:val="nil"/>
              <w:left w:val="nil"/>
              <w:bottom w:val="nil"/>
              <w:right w:val="single" w:sz="4" w:space="0" w:color="auto"/>
            </w:tcBorders>
            <w:shd w:val="clear" w:color="auto" w:fill="auto"/>
            <w:noWrap/>
            <w:vAlign w:val="center"/>
            <w:hideMark/>
          </w:tcPr>
          <w:p w14:paraId="274DD729" w14:textId="77777777" w:rsidR="00A61255" w:rsidRPr="006B42D6" w:rsidRDefault="00A61255" w:rsidP="006C676D">
            <w:pPr>
              <w:rPr>
                <w:sz w:val="16"/>
                <w:szCs w:val="16"/>
              </w:rPr>
            </w:pPr>
            <w:r w:rsidRPr="006B42D6">
              <w:rPr>
                <w:sz w:val="16"/>
                <w:szCs w:val="16"/>
              </w:rPr>
              <w:t>Dodoma</w:t>
            </w:r>
          </w:p>
        </w:tc>
        <w:tc>
          <w:tcPr>
            <w:tcW w:w="427" w:type="pct"/>
            <w:tcBorders>
              <w:top w:val="nil"/>
              <w:left w:val="nil"/>
              <w:bottom w:val="nil"/>
              <w:right w:val="nil"/>
            </w:tcBorders>
            <w:shd w:val="clear" w:color="auto" w:fill="auto"/>
            <w:noWrap/>
            <w:vAlign w:val="bottom"/>
            <w:hideMark/>
          </w:tcPr>
          <w:p w14:paraId="70441875" w14:textId="77777777" w:rsidR="00A61255" w:rsidRPr="006B42D6" w:rsidRDefault="00A61255" w:rsidP="006C676D">
            <w:pPr>
              <w:jc w:val="right"/>
              <w:rPr>
                <w:sz w:val="16"/>
                <w:szCs w:val="16"/>
              </w:rPr>
            </w:pPr>
            <w:r w:rsidRPr="006B42D6">
              <w:rPr>
                <w:sz w:val="16"/>
                <w:szCs w:val="16"/>
              </w:rPr>
              <w:t>4,554</w:t>
            </w:r>
          </w:p>
        </w:tc>
        <w:tc>
          <w:tcPr>
            <w:tcW w:w="403" w:type="pct"/>
            <w:tcBorders>
              <w:top w:val="nil"/>
              <w:left w:val="nil"/>
              <w:bottom w:val="nil"/>
              <w:right w:val="single" w:sz="4" w:space="0" w:color="auto"/>
            </w:tcBorders>
            <w:shd w:val="clear" w:color="auto" w:fill="auto"/>
            <w:noWrap/>
            <w:vAlign w:val="bottom"/>
            <w:hideMark/>
          </w:tcPr>
          <w:p w14:paraId="7F6B352A" w14:textId="77777777" w:rsidR="00A61255" w:rsidRPr="006B42D6" w:rsidRDefault="00A61255" w:rsidP="006C676D">
            <w:pPr>
              <w:jc w:val="right"/>
              <w:rPr>
                <w:sz w:val="16"/>
                <w:szCs w:val="16"/>
              </w:rPr>
            </w:pPr>
            <w:r w:rsidRPr="006B42D6">
              <w:rPr>
                <w:sz w:val="16"/>
                <w:szCs w:val="16"/>
              </w:rPr>
              <w:t>2.3</w:t>
            </w:r>
          </w:p>
        </w:tc>
        <w:tc>
          <w:tcPr>
            <w:tcW w:w="427" w:type="pct"/>
            <w:tcBorders>
              <w:top w:val="nil"/>
              <w:left w:val="nil"/>
              <w:bottom w:val="nil"/>
              <w:right w:val="nil"/>
            </w:tcBorders>
            <w:shd w:val="clear" w:color="auto" w:fill="auto"/>
            <w:noWrap/>
            <w:vAlign w:val="bottom"/>
            <w:hideMark/>
          </w:tcPr>
          <w:p w14:paraId="4EE3856B"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098228C6" w14:textId="77777777" w:rsidR="00A61255" w:rsidRPr="006B42D6" w:rsidRDefault="00A61255" w:rsidP="006C676D">
            <w:pPr>
              <w:jc w:val="right"/>
              <w:rPr>
                <w:sz w:val="16"/>
                <w:szCs w:val="16"/>
              </w:rPr>
            </w:pPr>
            <w:r w:rsidRPr="006B42D6">
              <w:rPr>
                <w:sz w:val="16"/>
                <w:szCs w:val="16"/>
              </w:rPr>
              <w:t>-</w:t>
            </w:r>
          </w:p>
        </w:tc>
        <w:tc>
          <w:tcPr>
            <w:tcW w:w="427" w:type="pct"/>
            <w:tcBorders>
              <w:top w:val="nil"/>
              <w:left w:val="single" w:sz="4" w:space="0" w:color="auto"/>
              <w:bottom w:val="nil"/>
              <w:right w:val="nil"/>
            </w:tcBorders>
            <w:shd w:val="clear" w:color="auto" w:fill="auto"/>
            <w:noWrap/>
            <w:vAlign w:val="bottom"/>
            <w:hideMark/>
          </w:tcPr>
          <w:p w14:paraId="6162F1AB" w14:textId="77777777" w:rsidR="00A61255" w:rsidRPr="006B42D6" w:rsidRDefault="00A61255" w:rsidP="006C676D">
            <w:pPr>
              <w:jc w:val="right"/>
              <w:rPr>
                <w:sz w:val="16"/>
                <w:szCs w:val="16"/>
              </w:rPr>
            </w:pPr>
            <w:r w:rsidRPr="006B42D6">
              <w:rPr>
                <w:sz w:val="16"/>
                <w:szCs w:val="16"/>
              </w:rPr>
              <w:t>885</w:t>
            </w:r>
          </w:p>
        </w:tc>
        <w:tc>
          <w:tcPr>
            <w:tcW w:w="403" w:type="pct"/>
            <w:tcBorders>
              <w:top w:val="nil"/>
              <w:left w:val="nil"/>
              <w:bottom w:val="nil"/>
              <w:right w:val="single" w:sz="4" w:space="0" w:color="auto"/>
            </w:tcBorders>
            <w:shd w:val="clear" w:color="auto" w:fill="auto"/>
            <w:noWrap/>
            <w:vAlign w:val="bottom"/>
            <w:hideMark/>
          </w:tcPr>
          <w:p w14:paraId="2BDE20BD" w14:textId="77777777" w:rsidR="00A61255" w:rsidRPr="006B42D6" w:rsidRDefault="00A61255" w:rsidP="006C676D">
            <w:pPr>
              <w:jc w:val="right"/>
              <w:rPr>
                <w:sz w:val="16"/>
                <w:szCs w:val="16"/>
              </w:rPr>
            </w:pPr>
            <w:r w:rsidRPr="006B42D6">
              <w:rPr>
                <w:sz w:val="16"/>
                <w:szCs w:val="16"/>
              </w:rPr>
              <w:t>8.1</w:t>
            </w:r>
          </w:p>
        </w:tc>
        <w:tc>
          <w:tcPr>
            <w:tcW w:w="427" w:type="pct"/>
            <w:tcBorders>
              <w:top w:val="nil"/>
              <w:left w:val="nil"/>
              <w:bottom w:val="nil"/>
              <w:right w:val="nil"/>
            </w:tcBorders>
            <w:shd w:val="clear" w:color="auto" w:fill="auto"/>
            <w:noWrap/>
            <w:vAlign w:val="bottom"/>
            <w:hideMark/>
          </w:tcPr>
          <w:p w14:paraId="039AB08E" w14:textId="77777777" w:rsidR="00A61255" w:rsidRPr="006B42D6" w:rsidRDefault="00A61255" w:rsidP="006C676D">
            <w:pPr>
              <w:jc w:val="right"/>
              <w:rPr>
                <w:sz w:val="16"/>
                <w:szCs w:val="16"/>
              </w:rPr>
            </w:pPr>
            <w:r w:rsidRPr="006B42D6">
              <w:rPr>
                <w:sz w:val="16"/>
                <w:szCs w:val="16"/>
              </w:rPr>
              <w:t>8,334</w:t>
            </w:r>
          </w:p>
        </w:tc>
        <w:tc>
          <w:tcPr>
            <w:tcW w:w="403" w:type="pct"/>
            <w:tcBorders>
              <w:top w:val="nil"/>
              <w:left w:val="nil"/>
              <w:bottom w:val="nil"/>
              <w:right w:val="nil"/>
            </w:tcBorders>
            <w:shd w:val="clear" w:color="auto" w:fill="auto"/>
            <w:noWrap/>
            <w:vAlign w:val="bottom"/>
            <w:hideMark/>
          </w:tcPr>
          <w:p w14:paraId="6073EC69" w14:textId="77777777" w:rsidR="00A61255" w:rsidRPr="006B42D6" w:rsidRDefault="00A61255" w:rsidP="006C676D">
            <w:pPr>
              <w:jc w:val="right"/>
              <w:rPr>
                <w:sz w:val="16"/>
                <w:szCs w:val="16"/>
              </w:rPr>
            </w:pPr>
            <w:r w:rsidRPr="006B42D6">
              <w:rPr>
                <w:sz w:val="16"/>
                <w:szCs w:val="16"/>
              </w:rPr>
              <w:t>3.0</w:t>
            </w:r>
          </w:p>
        </w:tc>
        <w:tc>
          <w:tcPr>
            <w:tcW w:w="427" w:type="pct"/>
            <w:tcBorders>
              <w:top w:val="nil"/>
              <w:left w:val="single" w:sz="4" w:space="0" w:color="auto"/>
              <w:bottom w:val="nil"/>
              <w:right w:val="nil"/>
            </w:tcBorders>
            <w:shd w:val="clear" w:color="auto" w:fill="auto"/>
            <w:noWrap/>
            <w:vAlign w:val="bottom"/>
            <w:hideMark/>
          </w:tcPr>
          <w:p w14:paraId="5A415428"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17465E79" w14:textId="77777777" w:rsidR="00A61255" w:rsidRPr="006B42D6" w:rsidRDefault="00A61255" w:rsidP="006C676D">
            <w:pPr>
              <w:jc w:val="right"/>
              <w:rPr>
                <w:sz w:val="16"/>
                <w:szCs w:val="16"/>
              </w:rPr>
            </w:pPr>
            <w:r w:rsidRPr="006B42D6">
              <w:rPr>
                <w:sz w:val="16"/>
                <w:szCs w:val="16"/>
              </w:rPr>
              <w:t>-</w:t>
            </w:r>
          </w:p>
        </w:tc>
      </w:tr>
      <w:tr w:rsidR="006B42D6" w:rsidRPr="006B42D6" w14:paraId="462D518D" w14:textId="77777777" w:rsidTr="00BA6B5C">
        <w:trPr>
          <w:trHeight w:val="80"/>
        </w:trPr>
        <w:tc>
          <w:tcPr>
            <w:tcW w:w="851" w:type="pct"/>
            <w:tcBorders>
              <w:top w:val="nil"/>
              <w:left w:val="nil"/>
              <w:bottom w:val="nil"/>
              <w:right w:val="single" w:sz="4" w:space="0" w:color="auto"/>
            </w:tcBorders>
            <w:shd w:val="clear" w:color="auto" w:fill="auto"/>
            <w:noWrap/>
            <w:vAlign w:val="center"/>
            <w:hideMark/>
          </w:tcPr>
          <w:p w14:paraId="63D9CB66" w14:textId="77777777" w:rsidR="00A61255" w:rsidRPr="006B42D6" w:rsidRDefault="00A61255" w:rsidP="006C676D">
            <w:pPr>
              <w:rPr>
                <w:sz w:val="16"/>
                <w:szCs w:val="16"/>
              </w:rPr>
            </w:pPr>
            <w:r w:rsidRPr="006B42D6">
              <w:rPr>
                <w:sz w:val="16"/>
                <w:szCs w:val="16"/>
              </w:rPr>
              <w:t>Arusha</w:t>
            </w:r>
          </w:p>
        </w:tc>
        <w:tc>
          <w:tcPr>
            <w:tcW w:w="427" w:type="pct"/>
            <w:tcBorders>
              <w:top w:val="nil"/>
              <w:left w:val="nil"/>
              <w:bottom w:val="nil"/>
              <w:right w:val="nil"/>
            </w:tcBorders>
            <w:shd w:val="clear" w:color="auto" w:fill="auto"/>
            <w:noWrap/>
            <w:vAlign w:val="bottom"/>
            <w:hideMark/>
          </w:tcPr>
          <w:p w14:paraId="355D0723"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single" w:sz="4" w:space="0" w:color="auto"/>
            </w:tcBorders>
            <w:shd w:val="clear" w:color="auto" w:fill="auto"/>
            <w:noWrap/>
            <w:vAlign w:val="bottom"/>
            <w:hideMark/>
          </w:tcPr>
          <w:p w14:paraId="4CE78B0D" w14:textId="77777777" w:rsidR="00A61255" w:rsidRPr="006B42D6" w:rsidRDefault="00A61255" w:rsidP="006C676D">
            <w:pPr>
              <w:jc w:val="right"/>
              <w:rPr>
                <w:sz w:val="16"/>
                <w:szCs w:val="16"/>
              </w:rPr>
            </w:pPr>
            <w:r w:rsidRPr="006B42D6">
              <w:rPr>
                <w:sz w:val="16"/>
                <w:szCs w:val="16"/>
              </w:rPr>
              <w:t>-</w:t>
            </w:r>
          </w:p>
        </w:tc>
        <w:tc>
          <w:tcPr>
            <w:tcW w:w="427" w:type="pct"/>
            <w:tcBorders>
              <w:top w:val="nil"/>
              <w:left w:val="nil"/>
              <w:bottom w:val="nil"/>
              <w:right w:val="nil"/>
            </w:tcBorders>
            <w:shd w:val="clear" w:color="auto" w:fill="auto"/>
            <w:noWrap/>
            <w:vAlign w:val="bottom"/>
            <w:hideMark/>
          </w:tcPr>
          <w:p w14:paraId="69CE5A8C"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2C748B1F" w14:textId="77777777" w:rsidR="00A61255" w:rsidRPr="006B42D6" w:rsidRDefault="00A61255" w:rsidP="006C676D">
            <w:pPr>
              <w:jc w:val="right"/>
              <w:rPr>
                <w:sz w:val="16"/>
                <w:szCs w:val="16"/>
              </w:rPr>
            </w:pPr>
            <w:r w:rsidRPr="006B42D6">
              <w:rPr>
                <w:sz w:val="16"/>
                <w:szCs w:val="16"/>
              </w:rPr>
              <w:t>-</w:t>
            </w:r>
          </w:p>
        </w:tc>
        <w:tc>
          <w:tcPr>
            <w:tcW w:w="427" w:type="pct"/>
            <w:tcBorders>
              <w:top w:val="nil"/>
              <w:left w:val="single" w:sz="4" w:space="0" w:color="auto"/>
              <w:bottom w:val="nil"/>
              <w:right w:val="nil"/>
            </w:tcBorders>
            <w:shd w:val="clear" w:color="auto" w:fill="auto"/>
            <w:noWrap/>
            <w:vAlign w:val="bottom"/>
            <w:hideMark/>
          </w:tcPr>
          <w:p w14:paraId="0E09EB13"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single" w:sz="4" w:space="0" w:color="auto"/>
            </w:tcBorders>
            <w:shd w:val="clear" w:color="auto" w:fill="auto"/>
            <w:noWrap/>
            <w:vAlign w:val="bottom"/>
            <w:hideMark/>
          </w:tcPr>
          <w:p w14:paraId="2D8BDDF8" w14:textId="77777777" w:rsidR="00A61255" w:rsidRPr="006B42D6" w:rsidRDefault="00A61255" w:rsidP="006C676D">
            <w:pPr>
              <w:jc w:val="right"/>
              <w:rPr>
                <w:sz w:val="16"/>
                <w:szCs w:val="16"/>
              </w:rPr>
            </w:pPr>
            <w:r w:rsidRPr="006B42D6">
              <w:rPr>
                <w:sz w:val="16"/>
                <w:szCs w:val="16"/>
              </w:rPr>
              <w:t>-</w:t>
            </w:r>
          </w:p>
        </w:tc>
        <w:tc>
          <w:tcPr>
            <w:tcW w:w="427" w:type="pct"/>
            <w:tcBorders>
              <w:top w:val="nil"/>
              <w:left w:val="nil"/>
              <w:bottom w:val="nil"/>
              <w:right w:val="nil"/>
            </w:tcBorders>
            <w:shd w:val="clear" w:color="auto" w:fill="auto"/>
            <w:noWrap/>
            <w:vAlign w:val="bottom"/>
            <w:hideMark/>
          </w:tcPr>
          <w:p w14:paraId="69CF310F" w14:textId="77777777" w:rsidR="00A61255" w:rsidRPr="006B42D6" w:rsidRDefault="00A61255" w:rsidP="006C676D">
            <w:pPr>
              <w:jc w:val="right"/>
              <w:rPr>
                <w:sz w:val="16"/>
                <w:szCs w:val="16"/>
              </w:rPr>
            </w:pPr>
            <w:r w:rsidRPr="006B42D6">
              <w:rPr>
                <w:sz w:val="16"/>
                <w:szCs w:val="16"/>
              </w:rPr>
              <w:t>521</w:t>
            </w:r>
          </w:p>
        </w:tc>
        <w:tc>
          <w:tcPr>
            <w:tcW w:w="403" w:type="pct"/>
            <w:tcBorders>
              <w:top w:val="nil"/>
              <w:left w:val="nil"/>
              <w:bottom w:val="nil"/>
              <w:right w:val="nil"/>
            </w:tcBorders>
            <w:shd w:val="clear" w:color="auto" w:fill="auto"/>
            <w:noWrap/>
            <w:vAlign w:val="bottom"/>
            <w:hideMark/>
          </w:tcPr>
          <w:p w14:paraId="4C99EE9B" w14:textId="77777777" w:rsidR="00A61255" w:rsidRPr="006B42D6" w:rsidRDefault="00A61255" w:rsidP="006C676D">
            <w:pPr>
              <w:jc w:val="right"/>
              <w:rPr>
                <w:sz w:val="16"/>
                <w:szCs w:val="16"/>
              </w:rPr>
            </w:pPr>
            <w:r w:rsidRPr="006B42D6">
              <w:rPr>
                <w:sz w:val="16"/>
                <w:szCs w:val="16"/>
              </w:rPr>
              <w:t>0.2</w:t>
            </w:r>
          </w:p>
        </w:tc>
        <w:tc>
          <w:tcPr>
            <w:tcW w:w="427" w:type="pct"/>
            <w:tcBorders>
              <w:top w:val="nil"/>
              <w:left w:val="single" w:sz="4" w:space="0" w:color="auto"/>
              <w:bottom w:val="nil"/>
              <w:right w:val="nil"/>
            </w:tcBorders>
            <w:shd w:val="clear" w:color="auto" w:fill="auto"/>
            <w:noWrap/>
            <w:vAlign w:val="bottom"/>
            <w:hideMark/>
          </w:tcPr>
          <w:p w14:paraId="48638833" w14:textId="77777777" w:rsidR="00A61255" w:rsidRPr="006B42D6" w:rsidRDefault="00A61255" w:rsidP="006C676D">
            <w:pPr>
              <w:jc w:val="right"/>
              <w:rPr>
                <w:sz w:val="16"/>
                <w:szCs w:val="16"/>
              </w:rPr>
            </w:pPr>
            <w:r w:rsidRPr="006B42D6">
              <w:rPr>
                <w:sz w:val="16"/>
                <w:szCs w:val="16"/>
              </w:rPr>
              <w:t>351</w:t>
            </w:r>
          </w:p>
        </w:tc>
        <w:tc>
          <w:tcPr>
            <w:tcW w:w="403" w:type="pct"/>
            <w:tcBorders>
              <w:top w:val="nil"/>
              <w:left w:val="nil"/>
              <w:bottom w:val="nil"/>
              <w:right w:val="nil"/>
            </w:tcBorders>
            <w:shd w:val="clear" w:color="auto" w:fill="auto"/>
            <w:noWrap/>
            <w:vAlign w:val="bottom"/>
            <w:hideMark/>
          </w:tcPr>
          <w:p w14:paraId="2D6CE8D7" w14:textId="77777777" w:rsidR="00A61255" w:rsidRPr="006B42D6" w:rsidRDefault="00A61255" w:rsidP="006C676D">
            <w:pPr>
              <w:jc w:val="right"/>
              <w:rPr>
                <w:sz w:val="16"/>
                <w:szCs w:val="16"/>
              </w:rPr>
            </w:pPr>
            <w:r w:rsidRPr="006B42D6">
              <w:rPr>
                <w:sz w:val="16"/>
                <w:szCs w:val="16"/>
              </w:rPr>
              <w:t>2.9</w:t>
            </w:r>
          </w:p>
        </w:tc>
      </w:tr>
      <w:tr w:rsidR="006B42D6" w:rsidRPr="006B42D6" w14:paraId="7D394D52" w14:textId="77777777" w:rsidTr="00BA6B5C">
        <w:trPr>
          <w:trHeight w:val="80"/>
        </w:trPr>
        <w:tc>
          <w:tcPr>
            <w:tcW w:w="851" w:type="pct"/>
            <w:tcBorders>
              <w:top w:val="nil"/>
              <w:left w:val="nil"/>
              <w:bottom w:val="nil"/>
              <w:right w:val="single" w:sz="4" w:space="0" w:color="auto"/>
            </w:tcBorders>
            <w:shd w:val="clear" w:color="auto" w:fill="auto"/>
            <w:noWrap/>
            <w:vAlign w:val="center"/>
            <w:hideMark/>
          </w:tcPr>
          <w:p w14:paraId="539E7912" w14:textId="77777777" w:rsidR="00A61255" w:rsidRPr="006B42D6" w:rsidRDefault="00A61255" w:rsidP="006C676D">
            <w:pPr>
              <w:rPr>
                <w:sz w:val="16"/>
                <w:szCs w:val="16"/>
              </w:rPr>
            </w:pPr>
            <w:r w:rsidRPr="006B42D6">
              <w:rPr>
                <w:sz w:val="16"/>
                <w:szCs w:val="16"/>
              </w:rPr>
              <w:t>Kilimanjaro</w:t>
            </w:r>
          </w:p>
        </w:tc>
        <w:tc>
          <w:tcPr>
            <w:tcW w:w="427" w:type="pct"/>
            <w:tcBorders>
              <w:top w:val="nil"/>
              <w:left w:val="nil"/>
              <w:bottom w:val="nil"/>
              <w:right w:val="nil"/>
            </w:tcBorders>
            <w:shd w:val="clear" w:color="auto" w:fill="auto"/>
            <w:noWrap/>
            <w:vAlign w:val="bottom"/>
            <w:hideMark/>
          </w:tcPr>
          <w:p w14:paraId="01978222"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single" w:sz="4" w:space="0" w:color="auto"/>
            </w:tcBorders>
            <w:shd w:val="clear" w:color="auto" w:fill="auto"/>
            <w:noWrap/>
            <w:vAlign w:val="bottom"/>
            <w:hideMark/>
          </w:tcPr>
          <w:p w14:paraId="2C67F69E" w14:textId="77777777" w:rsidR="00A61255" w:rsidRPr="006B42D6" w:rsidRDefault="00A61255" w:rsidP="006C676D">
            <w:pPr>
              <w:jc w:val="right"/>
              <w:rPr>
                <w:sz w:val="16"/>
                <w:szCs w:val="16"/>
              </w:rPr>
            </w:pPr>
            <w:r w:rsidRPr="006B42D6">
              <w:rPr>
                <w:sz w:val="16"/>
                <w:szCs w:val="16"/>
              </w:rPr>
              <w:t>-</w:t>
            </w:r>
          </w:p>
        </w:tc>
        <w:tc>
          <w:tcPr>
            <w:tcW w:w="427" w:type="pct"/>
            <w:tcBorders>
              <w:top w:val="nil"/>
              <w:left w:val="nil"/>
              <w:bottom w:val="nil"/>
              <w:right w:val="nil"/>
            </w:tcBorders>
            <w:shd w:val="clear" w:color="auto" w:fill="auto"/>
            <w:noWrap/>
            <w:vAlign w:val="bottom"/>
            <w:hideMark/>
          </w:tcPr>
          <w:p w14:paraId="2B6CE1F2"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0B24B807" w14:textId="77777777" w:rsidR="00A61255" w:rsidRPr="006B42D6" w:rsidRDefault="00A61255" w:rsidP="006C676D">
            <w:pPr>
              <w:jc w:val="right"/>
              <w:rPr>
                <w:sz w:val="16"/>
                <w:szCs w:val="16"/>
              </w:rPr>
            </w:pPr>
            <w:r w:rsidRPr="006B42D6">
              <w:rPr>
                <w:sz w:val="16"/>
                <w:szCs w:val="16"/>
              </w:rPr>
              <w:t>-</w:t>
            </w:r>
          </w:p>
        </w:tc>
        <w:tc>
          <w:tcPr>
            <w:tcW w:w="427" w:type="pct"/>
            <w:tcBorders>
              <w:top w:val="nil"/>
              <w:left w:val="single" w:sz="4" w:space="0" w:color="auto"/>
              <w:bottom w:val="nil"/>
              <w:right w:val="nil"/>
            </w:tcBorders>
            <w:shd w:val="clear" w:color="auto" w:fill="auto"/>
            <w:noWrap/>
            <w:vAlign w:val="bottom"/>
            <w:hideMark/>
          </w:tcPr>
          <w:p w14:paraId="1AB49BBB" w14:textId="77777777" w:rsidR="00A61255" w:rsidRPr="006B42D6" w:rsidRDefault="00A61255" w:rsidP="006C676D">
            <w:pPr>
              <w:jc w:val="right"/>
              <w:rPr>
                <w:sz w:val="16"/>
                <w:szCs w:val="16"/>
              </w:rPr>
            </w:pPr>
            <w:r w:rsidRPr="006B42D6">
              <w:rPr>
                <w:sz w:val="16"/>
                <w:szCs w:val="16"/>
              </w:rPr>
              <w:t>208</w:t>
            </w:r>
          </w:p>
        </w:tc>
        <w:tc>
          <w:tcPr>
            <w:tcW w:w="403" w:type="pct"/>
            <w:tcBorders>
              <w:top w:val="nil"/>
              <w:left w:val="nil"/>
              <w:bottom w:val="nil"/>
              <w:right w:val="single" w:sz="4" w:space="0" w:color="auto"/>
            </w:tcBorders>
            <w:shd w:val="clear" w:color="auto" w:fill="auto"/>
            <w:noWrap/>
            <w:vAlign w:val="bottom"/>
            <w:hideMark/>
          </w:tcPr>
          <w:p w14:paraId="1DC71317" w14:textId="77777777" w:rsidR="00A61255" w:rsidRPr="006B42D6" w:rsidRDefault="00A61255" w:rsidP="006C676D">
            <w:pPr>
              <w:jc w:val="right"/>
              <w:rPr>
                <w:sz w:val="16"/>
                <w:szCs w:val="16"/>
              </w:rPr>
            </w:pPr>
            <w:r w:rsidRPr="006B42D6">
              <w:rPr>
                <w:sz w:val="16"/>
                <w:szCs w:val="16"/>
              </w:rPr>
              <w:t>1.9</w:t>
            </w:r>
          </w:p>
        </w:tc>
        <w:tc>
          <w:tcPr>
            <w:tcW w:w="427" w:type="pct"/>
            <w:tcBorders>
              <w:top w:val="nil"/>
              <w:left w:val="nil"/>
              <w:bottom w:val="nil"/>
              <w:right w:val="nil"/>
            </w:tcBorders>
            <w:shd w:val="clear" w:color="auto" w:fill="auto"/>
            <w:noWrap/>
            <w:vAlign w:val="bottom"/>
            <w:hideMark/>
          </w:tcPr>
          <w:p w14:paraId="79341362" w14:textId="77777777" w:rsidR="00A61255" w:rsidRPr="006B42D6" w:rsidRDefault="00A61255" w:rsidP="006C676D">
            <w:pPr>
              <w:jc w:val="right"/>
              <w:rPr>
                <w:sz w:val="16"/>
                <w:szCs w:val="16"/>
              </w:rPr>
            </w:pPr>
            <w:r w:rsidRPr="006B42D6">
              <w:rPr>
                <w:sz w:val="16"/>
                <w:szCs w:val="16"/>
              </w:rPr>
              <w:t>18,926</w:t>
            </w:r>
          </w:p>
        </w:tc>
        <w:tc>
          <w:tcPr>
            <w:tcW w:w="403" w:type="pct"/>
            <w:tcBorders>
              <w:top w:val="nil"/>
              <w:left w:val="nil"/>
              <w:bottom w:val="nil"/>
              <w:right w:val="nil"/>
            </w:tcBorders>
            <w:shd w:val="clear" w:color="auto" w:fill="auto"/>
            <w:noWrap/>
            <w:vAlign w:val="bottom"/>
            <w:hideMark/>
          </w:tcPr>
          <w:p w14:paraId="5DD89DBC" w14:textId="77777777" w:rsidR="00A61255" w:rsidRPr="006B42D6" w:rsidRDefault="00A61255" w:rsidP="006C676D">
            <w:pPr>
              <w:jc w:val="right"/>
              <w:rPr>
                <w:sz w:val="16"/>
                <w:szCs w:val="16"/>
              </w:rPr>
            </w:pPr>
            <w:r w:rsidRPr="006B42D6">
              <w:rPr>
                <w:sz w:val="16"/>
                <w:szCs w:val="16"/>
              </w:rPr>
              <w:t>6.9</w:t>
            </w:r>
          </w:p>
        </w:tc>
        <w:tc>
          <w:tcPr>
            <w:tcW w:w="427" w:type="pct"/>
            <w:tcBorders>
              <w:top w:val="nil"/>
              <w:left w:val="single" w:sz="4" w:space="0" w:color="auto"/>
              <w:bottom w:val="nil"/>
              <w:right w:val="nil"/>
            </w:tcBorders>
            <w:shd w:val="clear" w:color="auto" w:fill="auto"/>
            <w:noWrap/>
            <w:vAlign w:val="bottom"/>
            <w:hideMark/>
          </w:tcPr>
          <w:p w14:paraId="5A281295"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4E5DBD70" w14:textId="77777777" w:rsidR="00A61255" w:rsidRPr="006B42D6" w:rsidRDefault="00A61255" w:rsidP="006C676D">
            <w:pPr>
              <w:jc w:val="right"/>
              <w:rPr>
                <w:sz w:val="16"/>
                <w:szCs w:val="16"/>
              </w:rPr>
            </w:pPr>
            <w:r w:rsidRPr="006B42D6">
              <w:rPr>
                <w:sz w:val="16"/>
                <w:szCs w:val="16"/>
              </w:rPr>
              <w:t>-</w:t>
            </w:r>
          </w:p>
        </w:tc>
      </w:tr>
      <w:tr w:rsidR="006B42D6" w:rsidRPr="006B42D6" w14:paraId="6E016DCA" w14:textId="77777777" w:rsidTr="00BA6B5C">
        <w:trPr>
          <w:trHeight w:val="80"/>
        </w:trPr>
        <w:tc>
          <w:tcPr>
            <w:tcW w:w="851" w:type="pct"/>
            <w:tcBorders>
              <w:top w:val="nil"/>
              <w:left w:val="nil"/>
              <w:bottom w:val="nil"/>
              <w:right w:val="single" w:sz="4" w:space="0" w:color="auto"/>
            </w:tcBorders>
            <w:shd w:val="clear" w:color="auto" w:fill="auto"/>
            <w:noWrap/>
            <w:vAlign w:val="center"/>
            <w:hideMark/>
          </w:tcPr>
          <w:p w14:paraId="1A58489D" w14:textId="77777777" w:rsidR="00A61255" w:rsidRPr="006B42D6" w:rsidRDefault="00A61255" w:rsidP="006C676D">
            <w:pPr>
              <w:rPr>
                <w:sz w:val="16"/>
                <w:szCs w:val="16"/>
              </w:rPr>
            </w:pPr>
            <w:r w:rsidRPr="006B42D6">
              <w:rPr>
                <w:sz w:val="16"/>
                <w:szCs w:val="16"/>
              </w:rPr>
              <w:t>Tanga</w:t>
            </w:r>
          </w:p>
        </w:tc>
        <w:tc>
          <w:tcPr>
            <w:tcW w:w="427" w:type="pct"/>
            <w:tcBorders>
              <w:top w:val="nil"/>
              <w:left w:val="nil"/>
              <w:bottom w:val="nil"/>
              <w:right w:val="nil"/>
            </w:tcBorders>
            <w:shd w:val="clear" w:color="auto" w:fill="auto"/>
            <w:noWrap/>
            <w:vAlign w:val="bottom"/>
            <w:hideMark/>
          </w:tcPr>
          <w:p w14:paraId="47E67265"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single" w:sz="4" w:space="0" w:color="auto"/>
            </w:tcBorders>
            <w:shd w:val="clear" w:color="auto" w:fill="auto"/>
            <w:noWrap/>
            <w:vAlign w:val="bottom"/>
            <w:hideMark/>
          </w:tcPr>
          <w:p w14:paraId="6EBF71D8" w14:textId="77777777" w:rsidR="00A61255" w:rsidRPr="006B42D6" w:rsidRDefault="00A61255" w:rsidP="006C676D">
            <w:pPr>
              <w:jc w:val="right"/>
              <w:rPr>
                <w:sz w:val="16"/>
                <w:szCs w:val="16"/>
              </w:rPr>
            </w:pPr>
            <w:r w:rsidRPr="006B42D6">
              <w:rPr>
                <w:sz w:val="16"/>
                <w:szCs w:val="16"/>
              </w:rPr>
              <w:t>-</w:t>
            </w:r>
          </w:p>
        </w:tc>
        <w:tc>
          <w:tcPr>
            <w:tcW w:w="427" w:type="pct"/>
            <w:tcBorders>
              <w:top w:val="nil"/>
              <w:left w:val="nil"/>
              <w:bottom w:val="nil"/>
              <w:right w:val="nil"/>
            </w:tcBorders>
            <w:shd w:val="clear" w:color="auto" w:fill="auto"/>
            <w:noWrap/>
            <w:vAlign w:val="bottom"/>
            <w:hideMark/>
          </w:tcPr>
          <w:p w14:paraId="417F4D8D"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4BCEEB38" w14:textId="77777777" w:rsidR="00A61255" w:rsidRPr="006B42D6" w:rsidRDefault="00A61255" w:rsidP="006C676D">
            <w:pPr>
              <w:jc w:val="right"/>
              <w:rPr>
                <w:sz w:val="16"/>
                <w:szCs w:val="16"/>
              </w:rPr>
            </w:pPr>
            <w:r w:rsidRPr="006B42D6">
              <w:rPr>
                <w:sz w:val="16"/>
                <w:szCs w:val="16"/>
              </w:rPr>
              <w:t>-</w:t>
            </w:r>
          </w:p>
        </w:tc>
        <w:tc>
          <w:tcPr>
            <w:tcW w:w="427" w:type="pct"/>
            <w:tcBorders>
              <w:top w:val="nil"/>
              <w:left w:val="single" w:sz="4" w:space="0" w:color="auto"/>
              <w:bottom w:val="nil"/>
              <w:right w:val="nil"/>
            </w:tcBorders>
            <w:shd w:val="clear" w:color="auto" w:fill="auto"/>
            <w:noWrap/>
            <w:vAlign w:val="bottom"/>
            <w:hideMark/>
          </w:tcPr>
          <w:p w14:paraId="5C22AABE"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single" w:sz="4" w:space="0" w:color="auto"/>
            </w:tcBorders>
            <w:shd w:val="clear" w:color="auto" w:fill="auto"/>
            <w:noWrap/>
            <w:vAlign w:val="bottom"/>
            <w:hideMark/>
          </w:tcPr>
          <w:p w14:paraId="38FD2E57" w14:textId="77777777" w:rsidR="00A61255" w:rsidRPr="006B42D6" w:rsidRDefault="00A61255" w:rsidP="006C676D">
            <w:pPr>
              <w:jc w:val="right"/>
              <w:rPr>
                <w:sz w:val="16"/>
                <w:szCs w:val="16"/>
              </w:rPr>
            </w:pPr>
            <w:r w:rsidRPr="006B42D6">
              <w:rPr>
                <w:sz w:val="16"/>
                <w:szCs w:val="16"/>
              </w:rPr>
              <w:t>-</w:t>
            </w:r>
          </w:p>
        </w:tc>
        <w:tc>
          <w:tcPr>
            <w:tcW w:w="427" w:type="pct"/>
            <w:tcBorders>
              <w:top w:val="nil"/>
              <w:left w:val="nil"/>
              <w:bottom w:val="nil"/>
              <w:right w:val="nil"/>
            </w:tcBorders>
            <w:shd w:val="clear" w:color="auto" w:fill="auto"/>
            <w:noWrap/>
            <w:vAlign w:val="bottom"/>
            <w:hideMark/>
          </w:tcPr>
          <w:p w14:paraId="63E787FC" w14:textId="77777777" w:rsidR="00A61255" w:rsidRPr="006B42D6" w:rsidRDefault="00A61255" w:rsidP="006C676D">
            <w:pPr>
              <w:jc w:val="right"/>
              <w:rPr>
                <w:sz w:val="16"/>
                <w:szCs w:val="16"/>
              </w:rPr>
            </w:pPr>
            <w:r w:rsidRPr="006B42D6">
              <w:rPr>
                <w:sz w:val="16"/>
                <w:szCs w:val="16"/>
              </w:rPr>
              <w:t>924</w:t>
            </w:r>
          </w:p>
        </w:tc>
        <w:tc>
          <w:tcPr>
            <w:tcW w:w="403" w:type="pct"/>
            <w:tcBorders>
              <w:top w:val="nil"/>
              <w:left w:val="nil"/>
              <w:bottom w:val="nil"/>
              <w:right w:val="nil"/>
            </w:tcBorders>
            <w:shd w:val="clear" w:color="auto" w:fill="auto"/>
            <w:noWrap/>
            <w:vAlign w:val="bottom"/>
            <w:hideMark/>
          </w:tcPr>
          <w:p w14:paraId="4458BA38" w14:textId="77777777" w:rsidR="00A61255" w:rsidRPr="006B42D6" w:rsidRDefault="00A61255" w:rsidP="006C676D">
            <w:pPr>
              <w:jc w:val="right"/>
              <w:rPr>
                <w:sz w:val="16"/>
                <w:szCs w:val="16"/>
              </w:rPr>
            </w:pPr>
            <w:r w:rsidRPr="006B42D6">
              <w:rPr>
                <w:sz w:val="16"/>
                <w:szCs w:val="16"/>
              </w:rPr>
              <w:t>0.3</w:t>
            </w:r>
          </w:p>
        </w:tc>
        <w:tc>
          <w:tcPr>
            <w:tcW w:w="427" w:type="pct"/>
            <w:tcBorders>
              <w:top w:val="nil"/>
              <w:left w:val="single" w:sz="4" w:space="0" w:color="auto"/>
              <w:bottom w:val="nil"/>
              <w:right w:val="nil"/>
            </w:tcBorders>
            <w:shd w:val="clear" w:color="auto" w:fill="auto"/>
            <w:noWrap/>
            <w:vAlign w:val="bottom"/>
            <w:hideMark/>
          </w:tcPr>
          <w:p w14:paraId="1AECD0DC"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0A154B96" w14:textId="77777777" w:rsidR="00A61255" w:rsidRPr="006B42D6" w:rsidRDefault="00A61255" w:rsidP="006C676D">
            <w:pPr>
              <w:jc w:val="right"/>
              <w:rPr>
                <w:sz w:val="16"/>
                <w:szCs w:val="16"/>
              </w:rPr>
            </w:pPr>
            <w:r w:rsidRPr="006B42D6">
              <w:rPr>
                <w:sz w:val="16"/>
                <w:szCs w:val="16"/>
              </w:rPr>
              <w:t>-</w:t>
            </w:r>
          </w:p>
        </w:tc>
      </w:tr>
      <w:tr w:rsidR="006B42D6" w:rsidRPr="006B42D6" w14:paraId="4472A923" w14:textId="77777777" w:rsidTr="00BA6B5C">
        <w:trPr>
          <w:trHeight w:val="80"/>
        </w:trPr>
        <w:tc>
          <w:tcPr>
            <w:tcW w:w="851" w:type="pct"/>
            <w:tcBorders>
              <w:top w:val="nil"/>
              <w:left w:val="nil"/>
              <w:bottom w:val="nil"/>
              <w:right w:val="single" w:sz="4" w:space="0" w:color="auto"/>
            </w:tcBorders>
            <w:shd w:val="clear" w:color="auto" w:fill="auto"/>
            <w:noWrap/>
            <w:vAlign w:val="center"/>
            <w:hideMark/>
          </w:tcPr>
          <w:p w14:paraId="47DDD658" w14:textId="77777777" w:rsidR="00A61255" w:rsidRPr="006B42D6" w:rsidRDefault="00A61255" w:rsidP="006C676D">
            <w:pPr>
              <w:rPr>
                <w:sz w:val="16"/>
                <w:szCs w:val="16"/>
              </w:rPr>
            </w:pPr>
            <w:r w:rsidRPr="006B42D6">
              <w:rPr>
                <w:sz w:val="16"/>
                <w:szCs w:val="16"/>
              </w:rPr>
              <w:t>Morogoro</w:t>
            </w:r>
          </w:p>
        </w:tc>
        <w:tc>
          <w:tcPr>
            <w:tcW w:w="427" w:type="pct"/>
            <w:tcBorders>
              <w:top w:val="nil"/>
              <w:left w:val="nil"/>
              <w:bottom w:val="nil"/>
              <w:right w:val="nil"/>
            </w:tcBorders>
            <w:shd w:val="clear" w:color="auto" w:fill="auto"/>
            <w:noWrap/>
            <w:vAlign w:val="bottom"/>
            <w:hideMark/>
          </w:tcPr>
          <w:p w14:paraId="2474C078" w14:textId="77777777" w:rsidR="00A61255" w:rsidRPr="006B42D6" w:rsidRDefault="00A61255" w:rsidP="006C676D">
            <w:pPr>
              <w:jc w:val="right"/>
              <w:rPr>
                <w:sz w:val="16"/>
                <w:szCs w:val="16"/>
              </w:rPr>
            </w:pPr>
            <w:r w:rsidRPr="006B42D6">
              <w:rPr>
                <w:sz w:val="16"/>
                <w:szCs w:val="16"/>
              </w:rPr>
              <w:t>31,309</w:t>
            </w:r>
          </w:p>
        </w:tc>
        <w:tc>
          <w:tcPr>
            <w:tcW w:w="403" w:type="pct"/>
            <w:tcBorders>
              <w:top w:val="nil"/>
              <w:left w:val="nil"/>
              <w:bottom w:val="nil"/>
              <w:right w:val="single" w:sz="4" w:space="0" w:color="auto"/>
            </w:tcBorders>
            <w:shd w:val="clear" w:color="auto" w:fill="auto"/>
            <w:noWrap/>
            <w:vAlign w:val="bottom"/>
            <w:hideMark/>
          </w:tcPr>
          <w:p w14:paraId="2E086E8C" w14:textId="77777777" w:rsidR="00A61255" w:rsidRPr="006B42D6" w:rsidRDefault="00A61255" w:rsidP="006C676D">
            <w:pPr>
              <w:jc w:val="right"/>
              <w:rPr>
                <w:sz w:val="16"/>
                <w:szCs w:val="16"/>
              </w:rPr>
            </w:pPr>
            <w:r w:rsidRPr="006B42D6">
              <w:rPr>
                <w:sz w:val="16"/>
                <w:szCs w:val="16"/>
              </w:rPr>
              <w:t>15.8</w:t>
            </w:r>
          </w:p>
        </w:tc>
        <w:tc>
          <w:tcPr>
            <w:tcW w:w="427" w:type="pct"/>
            <w:tcBorders>
              <w:top w:val="nil"/>
              <w:left w:val="nil"/>
              <w:bottom w:val="nil"/>
              <w:right w:val="nil"/>
            </w:tcBorders>
            <w:shd w:val="clear" w:color="auto" w:fill="auto"/>
            <w:noWrap/>
            <w:vAlign w:val="bottom"/>
            <w:hideMark/>
          </w:tcPr>
          <w:p w14:paraId="1485B81F" w14:textId="77777777" w:rsidR="00A61255" w:rsidRPr="006B42D6" w:rsidRDefault="00A61255" w:rsidP="006C676D">
            <w:pPr>
              <w:jc w:val="right"/>
              <w:rPr>
                <w:sz w:val="16"/>
                <w:szCs w:val="16"/>
              </w:rPr>
            </w:pPr>
            <w:r w:rsidRPr="006B42D6">
              <w:rPr>
                <w:sz w:val="16"/>
                <w:szCs w:val="16"/>
              </w:rPr>
              <w:t>1,637</w:t>
            </w:r>
          </w:p>
        </w:tc>
        <w:tc>
          <w:tcPr>
            <w:tcW w:w="403" w:type="pct"/>
            <w:tcBorders>
              <w:top w:val="nil"/>
              <w:left w:val="nil"/>
              <w:bottom w:val="nil"/>
              <w:right w:val="nil"/>
            </w:tcBorders>
            <w:shd w:val="clear" w:color="auto" w:fill="auto"/>
            <w:noWrap/>
            <w:vAlign w:val="bottom"/>
            <w:hideMark/>
          </w:tcPr>
          <w:p w14:paraId="68F526C5" w14:textId="77777777" w:rsidR="00A61255" w:rsidRPr="006B42D6" w:rsidRDefault="00A61255" w:rsidP="006C676D">
            <w:pPr>
              <w:jc w:val="right"/>
              <w:rPr>
                <w:sz w:val="16"/>
                <w:szCs w:val="16"/>
              </w:rPr>
            </w:pPr>
            <w:r w:rsidRPr="006B42D6">
              <w:rPr>
                <w:sz w:val="16"/>
                <w:szCs w:val="16"/>
              </w:rPr>
              <w:t>26.9</w:t>
            </w:r>
          </w:p>
        </w:tc>
        <w:tc>
          <w:tcPr>
            <w:tcW w:w="427" w:type="pct"/>
            <w:tcBorders>
              <w:top w:val="nil"/>
              <w:left w:val="single" w:sz="4" w:space="0" w:color="auto"/>
              <w:bottom w:val="nil"/>
              <w:right w:val="nil"/>
            </w:tcBorders>
            <w:shd w:val="clear" w:color="auto" w:fill="auto"/>
            <w:noWrap/>
            <w:vAlign w:val="bottom"/>
            <w:hideMark/>
          </w:tcPr>
          <w:p w14:paraId="1FDD4589" w14:textId="77777777" w:rsidR="00A61255" w:rsidRPr="006B42D6" w:rsidRDefault="00A61255" w:rsidP="006C676D">
            <w:pPr>
              <w:jc w:val="right"/>
              <w:rPr>
                <w:sz w:val="16"/>
                <w:szCs w:val="16"/>
              </w:rPr>
            </w:pPr>
            <w:r w:rsidRPr="006B42D6">
              <w:rPr>
                <w:sz w:val="16"/>
                <w:szCs w:val="16"/>
              </w:rPr>
              <w:t>1,913</w:t>
            </w:r>
          </w:p>
        </w:tc>
        <w:tc>
          <w:tcPr>
            <w:tcW w:w="403" w:type="pct"/>
            <w:tcBorders>
              <w:top w:val="nil"/>
              <w:left w:val="nil"/>
              <w:bottom w:val="nil"/>
              <w:right w:val="single" w:sz="4" w:space="0" w:color="auto"/>
            </w:tcBorders>
            <w:shd w:val="clear" w:color="auto" w:fill="auto"/>
            <w:noWrap/>
            <w:vAlign w:val="bottom"/>
            <w:hideMark/>
          </w:tcPr>
          <w:p w14:paraId="06C156D0" w14:textId="77777777" w:rsidR="00A61255" w:rsidRPr="006B42D6" w:rsidRDefault="00A61255" w:rsidP="006C676D">
            <w:pPr>
              <w:jc w:val="right"/>
              <w:rPr>
                <w:sz w:val="16"/>
                <w:szCs w:val="16"/>
              </w:rPr>
            </w:pPr>
            <w:r w:rsidRPr="006B42D6">
              <w:rPr>
                <w:sz w:val="16"/>
                <w:szCs w:val="16"/>
              </w:rPr>
              <w:t>17.4</w:t>
            </w:r>
          </w:p>
        </w:tc>
        <w:tc>
          <w:tcPr>
            <w:tcW w:w="427" w:type="pct"/>
            <w:tcBorders>
              <w:top w:val="nil"/>
              <w:left w:val="nil"/>
              <w:bottom w:val="nil"/>
              <w:right w:val="nil"/>
            </w:tcBorders>
            <w:shd w:val="clear" w:color="auto" w:fill="auto"/>
            <w:noWrap/>
            <w:vAlign w:val="bottom"/>
            <w:hideMark/>
          </w:tcPr>
          <w:p w14:paraId="422C2C53" w14:textId="77777777" w:rsidR="00A61255" w:rsidRPr="006B42D6" w:rsidRDefault="00A61255" w:rsidP="006C676D">
            <w:pPr>
              <w:jc w:val="right"/>
              <w:rPr>
                <w:sz w:val="16"/>
                <w:szCs w:val="16"/>
              </w:rPr>
            </w:pPr>
            <w:r w:rsidRPr="006B42D6">
              <w:rPr>
                <w:sz w:val="16"/>
                <w:szCs w:val="16"/>
              </w:rPr>
              <w:t>57,125</w:t>
            </w:r>
          </w:p>
        </w:tc>
        <w:tc>
          <w:tcPr>
            <w:tcW w:w="403" w:type="pct"/>
            <w:tcBorders>
              <w:top w:val="nil"/>
              <w:left w:val="nil"/>
              <w:bottom w:val="nil"/>
              <w:right w:val="nil"/>
            </w:tcBorders>
            <w:shd w:val="clear" w:color="auto" w:fill="auto"/>
            <w:noWrap/>
            <w:vAlign w:val="bottom"/>
            <w:hideMark/>
          </w:tcPr>
          <w:p w14:paraId="33AD3FEC" w14:textId="77777777" w:rsidR="00A61255" w:rsidRPr="006B42D6" w:rsidRDefault="00A61255" w:rsidP="006C676D">
            <w:pPr>
              <w:jc w:val="right"/>
              <w:rPr>
                <w:sz w:val="16"/>
                <w:szCs w:val="16"/>
              </w:rPr>
            </w:pPr>
            <w:r w:rsidRPr="006B42D6">
              <w:rPr>
                <w:sz w:val="16"/>
                <w:szCs w:val="16"/>
              </w:rPr>
              <w:t>20.7</w:t>
            </w:r>
          </w:p>
        </w:tc>
        <w:tc>
          <w:tcPr>
            <w:tcW w:w="427" w:type="pct"/>
            <w:tcBorders>
              <w:top w:val="nil"/>
              <w:left w:val="single" w:sz="4" w:space="0" w:color="auto"/>
              <w:bottom w:val="nil"/>
              <w:right w:val="nil"/>
            </w:tcBorders>
            <w:shd w:val="clear" w:color="auto" w:fill="auto"/>
            <w:noWrap/>
            <w:vAlign w:val="bottom"/>
            <w:hideMark/>
          </w:tcPr>
          <w:p w14:paraId="187A1D6C"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1FC78629" w14:textId="77777777" w:rsidR="00A61255" w:rsidRPr="006B42D6" w:rsidRDefault="00A61255" w:rsidP="006C676D">
            <w:pPr>
              <w:jc w:val="right"/>
              <w:rPr>
                <w:sz w:val="16"/>
                <w:szCs w:val="16"/>
              </w:rPr>
            </w:pPr>
            <w:r w:rsidRPr="006B42D6">
              <w:rPr>
                <w:sz w:val="16"/>
                <w:szCs w:val="16"/>
              </w:rPr>
              <w:t>-</w:t>
            </w:r>
          </w:p>
        </w:tc>
      </w:tr>
      <w:tr w:rsidR="006B42D6" w:rsidRPr="006B42D6" w14:paraId="174E5085" w14:textId="77777777" w:rsidTr="00BA6B5C">
        <w:trPr>
          <w:trHeight w:val="80"/>
        </w:trPr>
        <w:tc>
          <w:tcPr>
            <w:tcW w:w="851" w:type="pct"/>
            <w:tcBorders>
              <w:top w:val="nil"/>
              <w:left w:val="nil"/>
              <w:bottom w:val="nil"/>
              <w:right w:val="single" w:sz="4" w:space="0" w:color="auto"/>
            </w:tcBorders>
            <w:shd w:val="clear" w:color="auto" w:fill="auto"/>
            <w:noWrap/>
            <w:vAlign w:val="center"/>
            <w:hideMark/>
          </w:tcPr>
          <w:p w14:paraId="7DCF802C" w14:textId="77777777" w:rsidR="00A61255" w:rsidRPr="006B42D6" w:rsidRDefault="00A61255" w:rsidP="006C676D">
            <w:pPr>
              <w:rPr>
                <w:sz w:val="16"/>
                <w:szCs w:val="16"/>
              </w:rPr>
            </w:pPr>
            <w:r w:rsidRPr="006B42D6">
              <w:rPr>
                <w:sz w:val="16"/>
                <w:szCs w:val="16"/>
              </w:rPr>
              <w:t>Pwani</w:t>
            </w:r>
          </w:p>
        </w:tc>
        <w:tc>
          <w:tcPr>
            <w:tcW w:w="427" w:type="pct"/>
            <w:tcBorders>
              <w:top w:val="nil"/>
              <w:left w:val="nil"/>
              <w:bottom w:val="nil"/>
              <w:right w:val="nil"/>
            </w:tcBorders>
            <w:shd w:val="clear" w:color="auto" w:fill="auto"/>
            <w:noWrap/>
            <w:vAlign w:val="bottom"/>
            <w:hideMark/>
          </w:tcPr>
          <w:p w14:paraId="1C751DBC" w14:textId="77777777" w:rsidR="00A61255" w:rsidRPr="006B42D6" w:rsidRDefault="00A61255" w:rsidP="006C676D">
            <w:pPr>
              <w:jc w:val="right"/>
              <w:rPr>
                <w:sz w:val="16"/>
                <w:szCs w:val="16"/>
              </w:rPr>
            </w:pPr>
            <w:r w:rsidRPr="006B42D6">
              <w:rPr>
                <w:sz w:val="16"/>
                <w:szCs w:val="16"/>
              </w:rPr>
              <w:t>4,958</w:t>
            </w:r>
          </w:p>
        </w:tc>
        <w:tc>
          <w:tcPr>
            <w:tcW w:w="403" w:type="pct"/>
            <w:tcBorders>
              <w:top w:val="nil"/>
              <w:left w:val="nil"/>
              <w:bottom w:val="nil"/>
              <w:right w:val="single" w:sz="4" w:space="0" w:color="auto"/>
            </w:tcBorders>
            <w:shd w:val="clear" w:color="auto" w:fill="auto"/>
            <w:noWrap/>
            <w:vAlign w:val="bottom"/>
            <w:hideMark/>
          </w:tcPr>
          <w:p w14:paraId="5402719D" w14:textId="77777777" w:rsidR="00A61255" w:rsidRPr="006B42D6" w:rsidRDefault="00A61255" w:rsidP="006C676D">
            <w:pPr>
              <w:jc w:val="right"/>
              <w:rPr>
                <w:sz w:val="16"/>
                <w:szCs w:val="16"/>
              </w:rPr>
            </w:pPr>
            <w:r w:rsidRPr="006B42D6">
              <w:rPr>
                <w:sz w:val="16"/>
                <w:szCs w:val="16"/>
              </w:rPr>
              <w:t>2.5</w:t>
            </w:r>
          </w:p>
        </w:tc>
        <w:tc>
          <w:tcPr>
            <w:tcW w:w="427" w:type="pct"/>
            <w:tcBorders>
              <w:top w:val="nil"/>
              <w:left w:val="nil"/>
              <w:bottom w:val="nil"/>
              <w:right w:val="nil"/>
            </w:tcBorders>
            <w:shd w:val="clear" w:color="auto" w:fill="auto"/>
            <w:noWrap/>
            <w:vAlign w:val="bottom"/>
            <w:hideMark/>
          </w:tcPr>
          <w:p w14:paraId="7CCD7656"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7141CD6E" w14:textId="77777777" w:rsidR="00A61255" w:rsidRPr="006B42D6" w:rsidRDefault="00A61255" w:rsidP="006C676D">
            <w:pPr>
              <w:jc w:val="right"/>
              <w:rPr>
                <w:sz w:val="16"/>
                <w:szCs w:val="16"/>
              </w:rPr>
            </w:pPr>
            <w:r w:rsidRPr="006B42D6">
              <w:rPr>
                <w:sz w:val="16"/>
                <w:szCs w:val="16"/>
              </w:rPr>
              <w:t>-</w:t>
            </w:r>
          </w:p>
        </w:tc>
        <w:tc>
          <w:tcPr>
            <w:tcW w:w="427" w:type="pct"/>
            <w:tcBorders>
              <w:top w:val="nil"/>
              <w:left w:val="single" w:sz="4" w:space="0" w:color="auto"/>
              <w:bottom w:val="nil"/>
              <w:right w:val="nil"/>
            </w:tcBorders>
            <w:shd w:val="clear" w:color="auto" w:fill="auto"/>
            <w:noWrap/>
            <w:vAlign w:val="bottom"/>
            <w:hideMark/>
          </w:tcPr>
          <w:p w14:paraId="0472EF79"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single" w:sz="4" w:space="0" w:color="auto"/>
            </w:tcBorders>
            <w:shd w:val="clear" w:color="auto" w:fill="auto"/>
            <w:noWrap/>
            <w:vAlign w:val="bottom"/>
            <w:hideMark/>
          </w:tcPr>
          <w:p w14:paraId="4859A7D5" w14:textId="77777777" w:rsidR="00A61255" w:rsidRPr="006B42D6" w:rsidRDefault="00A61255" w:rsidP="006C676D">
            <w:pPr>
              <w:jc w:val="right"/>
              <w:rPr>
                <w:sz w:val="16"/>
                <w:szCs w:val="16"/>
              </w:rPr>
            </w:pPr>
            <w:r w:rsidRPr="006B42D6">
              <w:rPr>
                <w:sz w:val="16"/>
                <w:szCs w:val="16"/>
              </w:rPr>
              <w:t>-</w:t>
            </w:r>
          </w:p>
        </w:tc>
        <w:tc>
          <w:tcPr>
            <w:tcW w:w="427" w:type="pct"/>
            <w:tcBorders>
              <w:top w:val="nil"/>
              <w:left w:val="nil"/>
              <w:bottom w:val="nil"/>
              <w:right w:val="nil"/>
            </w:tcBorders>
            <w:shd w:val="clear" w:color="auto" w:fill="auto"/>
            <w:noWrap/>
            <w:vAlign w:val="bottom"/>
            <w:hideMark/>
          </w:tcPr>
          <w:p w14:paraId="32887D08" w14:textId="77777777" w:rsidR="00A61255" w:rsidRPr="006B42D6" w:rsidRDefault="00A61255" w:rsidP="006C676D">
            <w:pPr>
              <w:jc w:val="right"/>
              <w:rPr>
                <w:sz w:val="16"/>
                <w:szCs w:val="16"/>
              </w:rPr>
            </w:pPr>
            <w:r w:rsidRPr="006B42D6">
              <w:rPr>
                <w:sz w:val="16"/>
                <w:szCs w:val="16"/>
              </w:rPr>
              <w:t>5,657</w:t>
            </w:r>
          </w:p>
        </w:tc>
        <w:tc>
          <w:tcPr>
            <w:tcW w:w="403" w:type="pct"/>
            <w:tcBorders>
              <w:top w:val="nil"/>
              <w:left w:val="nil"/>
              <w:bottom w:val="nil"/>
              <w:right w:val="nil"/>
            </w:tcBorders>
            <w:shd w:val="clear" w:color="auto" w:fill="auto"/>
            <w:noWrap/>
            <w:vAlign w:val="bottom"/>
            <w:hideMark/>
          </w:tcPr>
          <w:p w14:paraId="39316FE7" w14:textId="77777777" w:rsidR="00A61255" w:rsidRPr="006B42D6" w:rsidRDefault="00A61255" w:rsidP="006C676D">
            <w:pPr>
              <w:jc w:val="right"/>
              <w:rPr>
                <w:sz w:val="16"/>
                <w:szCs w:val="16"/>
              </w:rPr>
            </w:pPr>
            <w:r w:rsidRPr="006B42D6">
              <w:rPr>
                <w:sz w:val="16"/>
                <w:szCs w:val="16"/>
              </w:rPr>
              <w:t>2.1</w:t>
            </w:r>
          </w:p>
        </w:tc>
        <w:tc>
          <w:tcPr>
            <w:tcW w:w="427" w:type="pct"/>
            <w:tcBorders>
              <w:top w:val="nil"/>
              <w:left w:val="single" w:sz="4" w:space="0" w:color="auto"/>
              <w:bottom w:val="nil"/>
              <w:right w:val="nil"/>
            </w:tcBorders>
            <w:shd w:val="clear" w:color="auto" w:fill="auto"/>
            <w:noWrap/>
            <w:vAlign w:val="bottom"/>
            <w:hideMark/>
          </w:tcPr>
          <w:p w14:paraId="389EBC26" w14:textId="77777777" w:rsidR="00A61255" w:rsidRPr="006B42D6" w:rsidRDefault="00A61255" w:rsidP="006C676D">
            <w:pPr>
              <w:jc w:val="right"/>
              <w:rPr>
                <w:sz w:val="16"/>
                <w:szCs w:val="16"/>
              </w:rPr>
            </w:pPr>
            <w:r w:rsidRPr="006B42D6">
              <w:rPr>
                <w:sz w:val="16"/>
                <w:szCs w:val="16"/>
              </w:rPr>
              <w:t>620</w:t>
            </w:r>
          </w:p>
        </w:tc>
        <w:tc>
          <w:tcPr>
            <w:tcW w:w="403" w:type="pct"/>
            <w:tcBorders>
              <w:top w:val="nil"/>
              <w:left w:val="nil"/>
              <w:bottom w:val="nil"/>
              <w:right w:val="nil"/>
            </w:tcBorders>
            <w:shd w:val="clear" w:color="auto" w:fill="auto"/>
            <w:noWrap/>
            <w:vAlign w:val="bottom"/>
            <w:hideMark/>
          </w:tcPr>
          <w:p w14:paraId="3CA4BF5E" w14:textId="77777777" w:rsidR="00A61255" w:rsidRPr="006B42D6" w:rsidRDefault="00A61255" w:rsidP="006C676D">
            <w:pPr>
              <w:jc w:val="right"/>
              <w:rPr>
                <w:sz w:val="16"/>
                <w:szCs w:val="16"/>
              </w:rPr>
            </w:pPr>
            <w:r w:rsidRPr="006B42D6">
              <w:rPr>
                <w:sz w:val="16"/>
                <w:szCs w:val="16"/>
              </w:rPr>
              <w:t>5.1</w:t>
            </w:r>
          </w:p>
        </w:tc>
      </w:tr>
      <w:tr w:rsidR="006B42D6" w:rsidRPr="006B42D6" w14:paraId="3951926E" w14:textId="77777777" w:rsidTr="00BA6B5C">
        <w:trPr>
          <w:trHeight w:val="80"/>
        </w:trPr>
        <w:tc>
          <w:tcPr>
            <w:tcW w:w="851" w:type="pct"/>
            <w:tcBorders>
              <w:top w:val="nil"/>
              <w:left w:val="nil"/>
              <w:bottom w:val="nil"/>
              <w:right w:val="single" w:sz="4" w:space="0" w:color="auto"/>
            </w:tcBorders>
            <w:shd w:val="clear" w:color="auto" w:fill="auto"/>
            <w:noWrap/>
            <w:vAlign w:val="center"/>
            <w:hideMark/>
          </w:tcPr>
          <w:p w14:paraId="3273A9DA" w14:textId="77777777" w:rsidR="00A61255" w:rsidRPr="006B42D6" w:rsidRDefault="00A61255" w:rsidP="006C676D">
            <w:pPr>
              <w:rPr>
                <w:sz w:val="16"/>
                <w:szCs w:val="16"/>
              </w:rPr>
            </w:pPr>
            <w:r w:rsidRPr="006B42D6">
              <w:rPr>
                <w:sz w:val="16"/>
                <w:szCs w:val="16"/>
              </w:rPr>
              <w:t>Dar Es Salaam</w:t>
            </w:r>
          </w:p>
        </w:tc>
        <w:tc>
          <w:tcPr>
            <w:tcW w:w="427" w:type="pct"/>
            <w:tcBorders>
              <w:top w:val="nil"/>
              <w:left w:val="nil"/>
              <w:bottom w:val="nil"/>
              <w:right w:val="nil"/>
            </w:tcBorders>
            <w:shd w:val="clear" w:color="auto" w:fill="auto"/>
            <w:noWrap/>
            <w:vAlign w:val="bottom"/>
            <w:hideMark/>
          </w:tcPr>
          <w:p w14:paraId="1A47D821"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single" w:sz="4" w:space="0" w:color="auto"/>
            </w:tcBorders>
            <w:shd w:val="clear" w:color="auto" w:fill="auto"/>
            <w:noWrap/>
            <w:vAlign w:val="bottom"/>
            <w:hideMark/>
          </w:tcPr>
          <w:p w14:paraId="513B2BD9" w14:textId="77777777" w:rsidR="00A61255" w:rsidRPr="006B42D6" w:rsidRDefault="00A61255" w:rsidP="006C676D">
            <w:pPr>
              <w:jc w:val="right"/>
              <w:rPr>
                <w:sz w:val="16"/>
                <w:szCs w:val="16"/>
              </w:rPr>
            </w:pPr>
            <w:r w:rsidRPr="006B42D6">
              <w:rPr>
                <w:sz w:val="16"/>
                <w:szCs w:val="16"/>
              </w:rPr>
              <w:t>-</w:t>
            </w:r>
          </w:p>
        </w:tc>
        <w:tc>
          <w:tcPr>
            <w:tcW w:w="427" w:type="pct"/>
            <w:tcBorders>
              <w:top w:val="nil"/>
              <w:left w:val="nil"/>
              <w:bottom w:val="nil"/>
              <w:right w:val="nil"/>
            </w:tcBorders>
            <w:shd w:val="clear" w:color="auto" w:fill="auto"/>
            <w:noWrap/>
            <w:vAlign w:val="bottom"/>
            <w:hideMark/>
          </w:tcPr>
          <w:p w14:paraId="660E1712"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4597F551" w14:textId="77777777" w:rsidR="00A61255" w:rsidRPr="006B42D6" w:rsidRDefault="00A61255" w:rsidP="006C676D">
            <w:pPr>
              <w:jc w:val="right"/>
              <w:rPr>
                <w:sz w:val="16"/>
                <w:szCs w:val="16"/>
              </w:rPr>
            </w:pPr>
            <w:r w:rsidRPr="006B42D6">
              <w:rPr>
                <w:sz w:val="16"/>
                <w:szCs w:val="16"/>
              </w:rPr>
              <w:t>-</w:t>
            </w:r>
          </w:p>
        </w:tc>
        <w:tc>
          <w:tcPr>
            <w:tcW w:w="427" w:type="pct"/>
            <w:tcBorders>
              <w:top w:val="nil"/>
              <w:left w:val="single" w:sz="4" w:space="0" w:color="auto"/>
              <w:bottom w:val="nil"/>
              <w:right w:val="nil"/>
            </w:tcBorders>
            <w:shd w:val="clear" w:color="auto" w:fill="auto"/>
            <w:noWrap/>
            <w:vAlign w:val="bottom"/>
            <w:hideMark/>
          </w:tcPr>
          <w:p w14:paraId="71AAEDDA"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single" w:sz="4" w:space="0" w:color="auto"/>
            </w:tcBorders>
            <w:shd w:val="clear" w:color="auto" w:fill="auto"/>
            <w:noWrap/>
            <w:vAlign w:val="bottom"/>
            <w:hideMark/>
          </w:tcPr>
          <w:p w14:paraId="4573C4B3" w14:textId="77777777" w:rsidR="00A61255" w:rsidRPr="006B42D6" w:rsidRDefault="00A61255" w:rsidP="006C676D">
            <w:pPr>
              <w:jc w:val="right"/>
              <w:rPr>
                <w:sz w:val="16"/>
                <w:szCs w:val="16"/>
              </w:rPr>
            </w:pPr>
            <w:r w:rsidRPr="006B42D6">
              <w:rPr>
                <w:sz w:val="16"/>
                <w:szCs w:val="16"/>
              </w:rPr>
              <w:t>-</w:t>
            </w:r>
          </w:p>
        </w:tc>
        <w:tc>
          <w:tcPr>
            <w:tcW w:w="427" w:type="pct"/>
            <w:tcBorders>
              <w:top w:val="nil"/>
              <w:left w:val="nil"/>
              <w:bottom w:val="nil"/>
              <w:right w:val="nil"/>
            </w:tcBorders>
            <w:shd w:val="clear" w:color="auto" w:fill="auto"/>
            <w:noWrap/>
            <w:vAlign w:val="bottom"/>
            <w:hideMark/>
          </w:tcPr>
          <w:p w14:paraId="054DCE4A"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14EF9665" w14:textId="77777777" w:rsidR="00A61255" w:rsidRPr="006B42D6" w:rsidRDefault="00A61255" w:rsidP="006C676D">
            <w:pPr>
              <w:jc w:val="right"/>
              <w:rPr>
                <w:sz w:val="16"/>
                <w:szCs w:val="16"/>
              </w:rPr>
            </w:pPr>
            <w:r w:rsidRPr="006B42D6">
              <w:rPr>
                <w:sz w:val="16"/>
                <w:szCs w:val="16"/>
              </w:rPr>
              <w:t>-</w:t>
            </w:r>
          </w:p>
        </w:tc>
        <w:tc>
          <w:tcPr>
            <w:tcW w:w="427" w:type="pct"/>
            <w:tcBorders>
              <w:top w:val="nil"/>
              <w:left w:val="single" w:sz="4" w:space="0" w:color="auto"/>
              <w:bottom w:val="nil"/>
              <w:right w:val="nil"/>
            </w:tcBorders>
            <w:shd w:val="clear" w:color="auto" w:fill="auto"/>
            <w:noWrap/>
            <w:vAlign w:val="bottom"/>
            <w:hideMark/>
          </w:tcPr>
          <w:p w14:paraId="46696C4B"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556C5DA6" w14:textId="77777777" w:rsidR="00A61255" w:rsidRPr="006B42D6" w:rsidRDefault="00A61255" w:rsidP="006C676D">
            <w:pPr>
              <w:jc w:val="right"/>
              <w:rPr>
                <w:sz w:val="16"/>
                <w:szCs w:val="16"/>
              </w:rPr>
            </w:pPr>
            <w:r w:rsidRPr="006B42D6">
              <w:rPr>
                <w:sz w:val="16"/>
                <w:szCs w:val="16"/>
              </w:rPr>
              <w:t>-</w:t>
            </w:r>
          </w:p>
        </w:tc>
      </w:tr>
      <w:tr w:rsidR="006B42D6" w:rsidRPr="006B42D6" w14:paraId="7CB79896" w14:textId="77777777" w:rsidTr="00BA6B5C">
        <w:trPr>
          <w:trHeight w:val="80"/>
        </w:trPr>
        <w:tc>
          <w:tcPr>
            <w:tcW w:w="851" w:type="pct"/>
            <w:tcBorders>
              <w:top w:val="nil"/>
              <w:left w:val="nil"/>
              <w:bottom w:val="nil"/>
              <w:right w:val="single" w:sz="4" w:space="0" w:color="auto"/>
            </w:tcBorders>
            <w:shd w:val="clear" w:color="auto" w:fill="auto"/>
            <w:noWrap/>
            <w:vAlign w:val="center"/>
            <w:hideMark/>
          </w:tcPr>
          <w:p w14:paraId="096B59BC" w14:textId="77777777" w:rsidR="00A61255" w:rsidRPr="006B42D6" w:rsidRDefault="00A61255" w:rsidP="006C676D">
            <w:pPr>
              <w:rPr>
                <w:sz w:val="16"/>
                <w:szCs w:val="16"/>
              </w:rPr>
            </w:pPr>
            <w:r w:rsidRPr="006B42D6">
              <w:rPr>
                <w:sz w:val="16"/>
                <w:szCs w:val="16"/>
              </w:rPr>
              <w:t>Lindi</w:t>
            </w:r>
          </w:p>
        </w:tc>
        <w:tc>
          <w:tcPr>
            <w:tcW w:w="427" w:type="pct"/>
            <w:tcBorders>
              <w:top w:val="nil"/>
              <w:left w:val="nil"/>
              <w:bottom w:val="nil"/>
              <w:right w:val="nil"/>
            </w:tcBorders>
            <w:shd w:val="clear" w:color="auto" w:fill="auto"/>
            <w:noWrap/>
            <w:vAlign w:val="bottom"/>
            <w:hideMark/>
          </w:tcPr>
          <w:p w14:paraId="765E379E"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single" w:sz="4" w:space="0" w:color="auto"/>
            </w:tcBorders>
            <w:shd w:val="clear" w:color="auto" w:fill="auto"/>
            <w:noWrap/>
            <w:vAlign w:val="bottom"/>
            <w:hideMark/>
          </w:tcPr>
          <w:p w14:paraId="17889CB1" w14:textId="77777777" w:rsidR="00A61255" w:rsidRPr="006B42D6" w:rsidRDefault="00A61255" w:rsidP="006C676D">
            <w:pPr>
              <w:jc w:val="right"/>
              <w:rPr>
                <w:sz w:val="16"/>
                <w:szCs w:val="16"/>
              </w:rPr>
            </w:pPr>
            <w:r w:rsidRPr="006B42D6">
              <w:rPr>
                <w:sz w:val="16"/>
                <w:szCs w:val="16"/>
              </w:rPr>
              <w:t>-</w:t>
            </w:r>
          </w:p>
        </w:tc>
        <w:tc>
          <w:tcPr>
            <w:tcW w:w="427" w:type="pct"/>
            <w:tcBorders>
              <w:top w:val="nil"/>
              <w:left w:val="nil"/>
              <w:bottom w:val="nil"/>
              <w:right w:val="nil"/>
            </w:tcBorders>
            <w:shd w:val="clear" w:color="auto" w:fill="auto"/>
            <w:noWrap/>
            <w:vAlign w:val="bottom"/>
            <w:hideMark/>
          </w:tcPr>
          <w:p w14:paraId="6EEFE22D"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03C4DB2D" w14:textId="77777777" w:rsidR="00A61255" w:rsidRPr="006B42D6" w:rsidRDefault="00A61255" w:rsidP="006C676D">
            <w:pPr>
              <w:jc w:val="right"/>
              <w:rPr>
                <w:sz w:val="16"/>
                <w:szCs w:val="16"/>
              </w:rPr>
            </w:pPr>
            <w:r w:rsidRPr="006B42D6">
              <w:rPr>
                <w:sz w:val="16"/>
                <w:szCs w:val="16"/>
              </w:rPr>
              <w:t>-</w:t>
            </w:r>
          </w:p>
        </w:tc>
        <w:tc>
          <w:tcPr>
            <w:tcW w:w="427" w:type="pct"/>
            <w:tcBorders>
              <w:top w:val="nil"/>
              <w:left w:val="single" w:sz="4" w:space="0" w:color="auto"/>
              <w:bottom w:val="nil"/>
              <w:right w:val="nil"/>
            </w:tcBorders>
            <w:shd w:val="clear" w:color="auto" w:fill="auto"/>
            <w:noWrap/>
            <w:vAlign w:val="bottom"/>
            <w:hideMark/>
          </w:tcPr>
          <w:p w14:paraId="32190685"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single" w:sz="4" w:space="0" w:color="auto"/>
            </w:tcBorders>
            <w:shd w:val="clear" w:color="auto" w:fill="auto"/>
            <w:noWrap/>
            <w:vAlign w:val="bottom"/>
            <w:hideMark/>
          </w:tcPr>
          <w:p w14:paraId="051BE680" w14:textId="77777777" w:rsidR="00A61255" w:rsidRPr="006B42D6" w:rsidRDefault="00A61255" w:rsidP="006C676D">
            <w:pPr>
              <w:jc w:val="right"/>
              <w:rPr>
                <w:sz w:val="16"/>
                <w:szCs w:val="16"/>
              </w:rPr>
            </w:pPr>
            <w:r w:rsidRPr="006B42D6">
              <w:rPr>
                <w:sz w:val="16"/>
                <w:szCs w:val="16"/>
              </w:rPr>
              <w:t>-</w:t>
            </w:r>
          </w:p>
        </w:tc>
        <w:tc>
          <w:tcPr>
            <w:tcW w:w="427" w:type="pct"/>
            <w:tcBorders>
              <w:top w:val="nil"/>
              <w:left w:val="nil"/>
              <w:bottom w:val="nil"/>
              <w:right w:val="nil"/>
            </w:tcBorders>
            <w:shd w:val="clear" w:color="auto" w:fill="auto"/>
            <w:noWrap/>
            <w:vAlign w:val="bottom"/>
            <w:hideMark/>
          </w:tcPr>
          <w:p w14:paraId="1A66693C" w14:textId="77777777" w:rsidR="00A61255" w:rsidRPr="006B42D6" w:rsidRDefault="00A61255" w:rsidP="006C676D">
            <w:pPr>
              <w:jc w:val="right"/>
              <w:rPr>
                <w:sz w:val="16"/>
                <w:szCs w:val="16"/>
              </w:rPr>
            </w:pPr>
            <w:r w:rsidRPr="006B42D6">
              <w:rPr>
                <w:sz w:val="16"/>
                <w:szCs w:val="16"/>
              </w:rPr>
              <w:t>5,219</w:t>
            </w:r>
          </w:p>
        </w:tc>
        <w:tc>
          <w:tcPr>
            <w:tcW w:w="403" w:type="pct"/>
            <w:tcBorders>
              <w:top w:val="nil"/>
              <w:left w:val="nil"/>
              <w:bottom w:val="nil"/>
              <w:right w:val="nil"/>
            </w:tcBorders>
            <w:shd w:val="clear" w:color="auto" w:fill="auto"/>
            <w:noWrap/>
            <w:vAlign w:val="bottom"/>
            <w:hideMark/>
          </w:tcPr>
          <w:p w14:paraId="65DFE721" w14:textId="77777777" w:rsidR="00A61255" w:rsidRPr="006B42D6" w:rsidRDefault="00A61255" w:rsidP="006C676D">
            <w:pPr>
              <w:jc w:val="right"/>
              <w:rPr>
                <w:sz w:val="16"/>
                <w:szCs w:val="16"/>
              </w:rPr>
            </w:pPr>
            <w:r w:rsidRPr="006B42D6">
              <w:rPr>
                <w:sz w:val="16"/>
                <w:szCs w:val="16"/>
              </w:rPr>
              <w:t>1.9</w:t>
            </w:r>
          </w:p>
        </w:tc>
        <w:tc>
          <w:tcPr>
            <w:tcW w:w="427" w:type="pct"/>
            <w:tcBorders>
              <w:top w:val="nil"/>
              <w:left w:val="single" w:sz="4" w:space="0" w:color="auto"/>
              <w:bottom w:val="nil"/>
              <w:right w:val="nil"/>
            </w:tcBorders>
            <w:shd w:val="clear" w:color="auto" w:fill="auto"/>
            <w:noWrap/>
            <w:vAlign w:val="bottom"/>
            <w:hideMark/>
          </w:tcPr>
          <w:p w14:paraId="59B2D001" w14:textId="77777777" w:rsidR="00A61255" w:rsidRPr="006B42D6" w:rsidRDefault="00A61255" w:rsidP="006C676D">
            <w:pPr>
              <w:jc w:val="right"/>
              <w:rPr>
                <w:sz w:val="16"/>
                <w:szCs w:val="16"/>
              </w:rPr>
            </w:pPr>
            <w:r w:rsidRPr="006B42D6">
              <w:rPr>
                <w:sz w:val="16"/>
                <w:szCs w:val="16"/>
              </w:rPr>
              <w:t>1,041</w:t>
            </w:r>
          </w:p>
        </w:tc>
        <w:tc>
          <w:tcPr>
            <w:tcW w:w="403" w:type="pct"/>
            <w:tcBorders>
              <w:top w:val="nil"/>
              <w:left w:val="nil"/>
              <w:bottom w:val="nil"/>
              <w:right w:val="nil"/>
            </w:tcBorders>
            <w:shd w:val="clear" w:color="auto" w:fill="auto"/>
            <w:noWrap/>
            <w:vAlign w:val="bottom"/>
            <w:hideMark/>
          </w:tcPr>
          <w:p w14:paraId="3BE2893C" w14:textId="77777777" w:rsidR="00A61255" w:rsidRPr="006B42D6" w:rsidRDefault="00A61255" w:rsidP="006C676D">
            <w:pPr>
              <w:jc w:val="right"/>
              <w:rPr>
                <w:sz w:val="16"/>
                <w:szCs w:val="16"/>
              </w:rPr>
            </w:pPr>
            <w:r w:rsidRPr="006B42D6">
              <w:rPr>
                <w:sz w:val="16"/>
                <w:szCs w:val="16"/>
              </w:rPr>
              <w:t>8.6</w:t>
            </w:r>
          </w:p>
        </w:tc>
      </w:tr>
      <w:tr w:rsidR="006B42D6" w:rsidRPr="006B42D6" w14:paraId="7F847E95" w14:textId="77777777" w:rsidTr="00BA6B5C">
        <w:trPr>
          <w:trHeight w:val="82"/>
        </w:trPr>
        <w:tc>
          <w:tcPr>
            <w:tcW w:w="851" w:type="pct"/>
            <w:tcBorders>
              <w:top w:val="nil"/>
              <w:left w:val="nil"/>
              <w:bottom w:val="nil"/>
              <w:right w:val="single" w:sz="4" w:space="0" w:color="auto"/>
            </w:tcBorders>
            <w:shd w:val="clear" w:color="auto" w:fill="auto"/>
            <w:noWrap/>
            <w:vAlign w:val="center"/>
            <w:hideMark/>
          </w:tcPr>
          <w:p w14:paraId="2A65B1DF" w14:textId="77777777" w:rsidR="00A61255" w:rsidRPr="006B42D6" w:rsidRDefault="00A61255" w:rsidP="006C676D">
            <w:pPr>
              <w:rPr>
                <w:sz w:val="16"/>
                <w:szCs w:val="16"/>
              </w:rPr>
            </w:pPr>
            <w:r w:rsidRPr="006B42D6">
              <w:rPr>
                <w:sz w:val="16"/>
                <w:szCs w:val="16"/>
              </w:rPr>
              <w:t>Mtwara</w:t>
            </w:r>
          </w:p>
        </w:tc>
        <w:tc>
          <w:tcPr>
            <w:tcW w:w="427" w:type="pct"/>
            <w:tcBorders>
              <w:top w:val="nil"/>
              <w:left w:val="nil"/>
              <w:bottom w:val="nil"/>
              <w:right w:val="nil"/>
            </w:tcBorders>
            <w:shd w:val="clear" w:color="auto" w:fill="auto"/>
            <w:noWrap/>
            <w:vAlign w:val="bottom"/>
            <w:hideMark/>
          </w:tcPr>
          <w:p w14:paraId="1A6589C3"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single" w:sz="4" w:space="0" w:color="auto"/>
            </w:tcBorders>
            <w:shd w:val="clear" w:color="auto" w:fill="auto"/>
            <w:noWrap/>
            <w:vAlign w:val="bottom"/>
            <w:hideMark/>
          </w:tcPr>
          <w:p w14:paraId="4462B7D6" w14:textId="77777777" w:rsidR="00A61255" w:rsidRPr="006B42D6" w:rsidRDefault="00A61255" w:rsidP="006C676D">
            <w:pPr>
              <w:jc w:val="right"/>
              <w:rPr>
                <w:sz w:val="16"/>
                <w:szCs w:val="16"/>
              </w:rPr>
            </w:pPr>
            <w:r w:rsidRPr="006B42D6">
              <w:rPr>
                <w:sz w:val="16"/>
                <w:szCs w:val="16"/>
              </w:rPr>
              <w:t>-</w:t>
            </w:r>
          </w:p>
        </w:tc>
        <w:tc>
          <w:tcPr>
            <w:tcW w:w="427" w:type="pct"/>
            <w:tcBorders>
              <w:top w:val="nil"/>
              <w:left w:val="nil"/>
              <w:bottom w:val="nil"/>
              <w:right w:val="nil"/>
            </w:tcBorders>
            <w:shd w:val="clear" w:color="auto" w:fill="auto"/>
            <w:noWrap/>
            <w:vAlign w:val="bottom"/>
            <w:hideMark/>
          </w:tcPr>
          <w:p w14:paraId="1A3356D9"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3E978EF6" w14:textId="77777777" w:rsidR="00A61255" w:rsidRPr="006B42D6" w:rsidRDefault="00A61255" w:rsidP="006C676D">
            <w:pPr>
              <w:jc w:val="right"/>
              <w:rPr>
                <w:sz w:val="16"/>
                <w:szCs w:val="16"/>
              </w:rPr>
            </w:pPr>
            <w:r w:rsidRPr="006B42D6">
              <w:rPr>
                <w:sz w:val="16"/>
                <w:szCs w:val="16"/>
              </w:rPr>
              <w:t>-</w:t>
            </w:r>
          </w:p>
        </w:tc>
        <w:tc>
          <w:tcPr>
            <w:tcW w:w="427" w:type="pct"/>
            <w:tcBorders>
              <w:top w:val="nil"/>
              <w:left w:val="single" w:sz="4" w:space="0" w:color="auto"/>
              <w:bottom w:val="nil"/>
              <w:right w:val="nil"/>
            </w:tcBorders>
            <w:shd w:val="clear" w:color="auto" w:fill="auto"/>
            <w:noWrap/>
            <w:vAlign w:val="bottom"/>
            <w:hideMark/>
          </w:tcPr>
          <w:p w14:paraId="57543BD2" w14:textId="77777777" w:rsidR="00A61255" w:rsidRPr="006B42D6" w:rsidRDefault="00A61255" w:rsidP="006C676D">
            <w:pPr>
              <w:jc w:val="right"/>
              <w:rPr>
                <w:sz w:val="16"/>
                <w:szCs w:val="16"/>
              </w:rPr>
            </w:pPr>
            <w:r w:rsidRPr="006B42D6">
              <w:rPr>
                <w:sz w:val="16"/>
                <w:szCs w:val="16"/>
              </w:rPr>
              <w:t>631</w:t>
            </w:r>
          </w:p>
        </w:tc>
        <w:tc>
          <w:tcPr>
            <w:tcW w:w="403" w:type="pct"/>
            <w:tcBorders>
              <w:top w:val="nil"/>
              <w:left w:val="nil"/>
              <w:bottom w:val="nil"/>
              <w:right w:val="single" w:sz="4" w:space="0" w:color="auto"/>
            </w:tcBorders>
            <w:shd w:val="clear" w:color="auto" w:fill="auto"/>
            <w:noWrap/>
            <w:vAlign w:val="bottom"/>
            <w:hideMark/>
          </w:tcPr>
          <w:p w14:paraId="5587D9EE" w14:textId="77777777" w:rsidR="00A61255" w:rsidRPr="006B42D6" w:rsidRDefault="00A61255" w:rsidP="006C676D">
            <w:pPr>
              <w:jc w:val="right"/>
              <w:rPr>
                <w:sz w:val="16"/>
                <w:szCs w:val="16"/>
              </w:rPr>
            </w:pPr>
            <w:r w:rsidRPr="006B42D6">
              <w:rPr>
                <w:sz w:val="16"/>
                <w:szCs w:val="16"/>
              </w:rPr>
              <w:t>5.8</w:t>
            </w:r>
          </w:p>
        </w:tc>
        <w:tc>
          <w:tcPr>
            <w:tcW w:w="427" w:type="pct"/>
            <w:tcBorders>
              <w:top w:val="nil"/>
              <w:left w:val="nil"/>
              <w:bottom w:val="nil"/>
              <w:right w:val="nil"/>
            </w:tcBorders>
            <w:shd w:val="clear" w:color="auto" w:fill="auto"/>
            <w:noWrap/>
            <w:vAlign w:val="bottom"/>
            <w:hideMark/>
          </w:tcPr>
          <w:p w14:paraId="57C055DA"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08AA7699" w14:textId="77777777" w:rsidR="00A61255" w:rsidRPr="006B42D6" w:rsidRDefault="00A61255" w:rsidP="006C676D">
            <w:pPr>
              <w:jc w:val="right"/>
              <w:rPr>
                <w:sz w:val="16"/>
                <w:szCs w:val="16"/>
              </w:rPr>
            </w:pPr>
            <w:r w:rsidRPr="006B42D6">
              <w:rPr>
                <w:sz w:val="16"/>
                <w:szCs w:val="16"/>
              </w:rPr>
              <w:t>-</w:t>
            </w:r>
          </w:p>
        </w:tc>
        <w:tc>
          <w:tcPr>
            <w:tcW w:w="427" w:type="pct"/>
            <w:tcBorders>
              <w:top w:val="nil"/>
              <w:left w:val="single" w:sz="4" w:space="0" w:color="auto"/>
              <w:bottom w:val="nil"/>
              <w:right w:val="nil"/>
            </w:tcBorders>
            <w:shd w:val="clear" w:color="auto" w:fill="auto"/>
            <w:noWrap/>
            <w:vAlign w:val="bottom"/>
            <w:hideMark/>
          </w:tcPr>
          <w:p w14:paraId="0E947C5D"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7173B8C6" w14:textId="77777777" w:rsidR="00A61255" w:rsidRPr="006B42D6" w:rsidRDefault="00A61255" w:rsidP="006C676D">
            <w:pPr>
              <w:jc w:val="right"/>
              <w:rPr>
                <w:sz w:val="16"/>
                <w:szCs w:val="16"/>
              </w:rPr>
            </w:pPr>
            <w:r w:rsidRPr="006B42D6">
              <w:rPr>
                <w:sz w:val="16"/>
                <w:szCs w:val="16"/>
              </w:rPr>
              <w:t>-</w:t>
            </w:r>
          </w:p>
        </w:tc>
      </w:tr>
      <w:tr w:rsidR="006B42D6" w:rsidRPr="006B42D6" w14:paraId="6D29E3FC" w14:textId="77777777" w:rsidTr="00BA6B5C">
        <w:trPr>
          <w:trHeight w:val="80"/>
        </w:trPr>
        <w:tc>
          <w:tcPr>
            <w:tcW w:w="851" w:type="pct"/>
            <w:tcBorders>
              <w:top w:val="nil"/>
              <w:left w:val="nil"/>
              <w:bottom w:val="nil"/>
              <w:right w:val="single" w:sz="4" w:space="0" w:color="auto"/>
            </w:tcBorders>
            <w:shd w:val="clear" w:color="auto" w:fill="auto"/>
            <w:noWrap/>
            <w:vAlign w:val="center"/>
            <w:hideMark/>
          </w:tcPr>
          <w:p w14:paraId="18F927AC" w14:textId="77777777" w:rsidR="00A61255" w:rsidRPr="006B42D6" w:rsidRDefault="00A61255" w:rsidP="006C676D">
            <w:pPr>
              <w:rPr>
                <w:sz w:val="16"/>
                <w:szCs w:val="16"/>
              </w:rPr>
            </w:pPr>
            <w:r w:rsidRPr="006B42D6">
              <w:rPr>
                <w:sz w:val="16"/>
                <w:szCs w:val="16"/>
              </w:rPr>
              <w:t>Ruvuma</w:t>
            </w:r>
          </w:p>
        </w:tc>
        <w:tc>
          <w:tcPr>
            <w:tcW w:w="427" w:type="pct"/>
            <w:tcBorders>
              <w:top w:val="nil"/>
              <w:left w:val="nil"/>
              <w:bottom w:val="nil"/>
              <w:right w:val="nil"/>
            </w:tcBorders>
            <w:shd w:val="clear" w:color="auto" w:fill="auto"/>
            <w:noWrap/>
            <w:vAlign w:val="bottom"/>
            <w:hideMark/>
          </w:tcPr>
          <w:p w14:paraId="2973A99B" w14:textId="77777777" w:rsidR="00A61255" w:rsidRPr="006B42D6" w:rsidRDefault="00A61255" w:rsidP="006C676D">
            <w:pPr>
              <w:jc w:val="right"/>
              <w:rPr>
                <w:sz w:val="16"/>
                <w:szCs w:val="16"/>
              </w:rPr>
            </w:pPr>
            <w:r w:rsidRPr="006B42D6">
              <w:rPr>
                <w:sz w:val="16"/>
                <w:szCs w:val="16"/>
              </w:rPr>
              <w:t>4,766</w:t>
            </w:r>
          </w:p>
        </w:tc>
        <w:tc>
          <w:tcPr>
            <w:tcW w:w="403" w:type="pct"/>
            <w:tcBorders>
              <w:top w:val="nil"/>
              <w:left w:val="nil"/>
              <w:bottom w:val="nil"/>
              <w:right w:val="single" w:sz="4" w:space="0" w:color="auto"/>
            </w:tcBorders>
            <w:shd w:val="clear" w:color="auto" w:fill="auto"/>
            <w:noWrap/>
            <w:vAlign w:val="bottom"/>
            <w:hideMark/>
          </w:tcPr>
          <w:p w14:paraId="553E7B05" w14:textId="77777777" w:rsidR="00A61255" w:rsidRPr="006B42D6" w:rsidRDefault="00A61255" w:rsidP="006C676D">
            <w:pPr>
              <w:jc w:val="right"/>
              <w:rPr>
                <w:sz w:val="16"/>
                <w:szCs w:val="16"/>
              </w:rPr>
            </w:pPr>
            <w:r w:rsidRPr="006B42D6">
              <w:rPr>
                <w:sz w:val="16"/>
                <w:szCs w:val="16"/>
              </w:rPr>
              <w:t>2.4</w:t>
            </w:r>
          </w:p>
        </w:tc>
        <w:tc>
          <w:tcPr>
            <w:tcW w:w="427" w:type="pct"/>
            <w:tcBorders>
              <w:top w:val="nil"/>
              <w:left w:val="nil"/>
              <w:bottom w:val="nil"/>
              <w:right w:val="nil"/>
            </w:tcBorders>
            <w:shd w:val="clear" w:color="auto" w:fill="auto"/>
            <w:noWrap/>
            <w:vAlign w:val="bottom"/>
            <w:hideMark/>
          </w:tcPr>
          <w:p w14:paraId="5902553E"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498D10FA" w14:textId="77777777" w:rsidR="00A61255" w:rsidRPr="006B42D6" w:rsidRDefault="00A61255" w:rsidP="006C676D">
            <w:pPr>
              <w:jc w:val="right"/>
              <w:rPr>
                <w:sz w:val="16"/>
                <w:szCs w:val="16"/>
              </w:rPr>
            </w:pPr>
            <w:r w:rsidRPr="006B42D6">
              <w:rPr>
                <w:sz w:val="16"/>
                <w:szCs w:val="16"/>
              </w:rPr>
              <w:t>-</w:t>
            </w:r>
          </w:p>
        </w:tc>
        <w:tc>
          <w:tcPr>
            <w:tcW w:w="427" w:type="pct"/>
            <w:tcBorders>
              <w:top w:val="nil"/>
              <w:left w:val="single" w:sz="4" w:space="0" w:color="auto"/>
              <w:bottom w:val="nil"/>
              <w:right w:val="nil"/>
            </w:tcBorders>
            <w:shd w:val="clear" w:color="auto" w:fill="auto"/>
            <w:noWrap/>
            <w:vAlign w:val="bottom"/>
            <w:hideMark/>
          </w:tcPr>
          <w:p w14:paraId="43D11E69" w14:textId="77777777" w:rsidR="00A61255" w:rsidRPr="006B42D6" w:rsidRDefault="00A61255" w:rsidP="006C676D">
            <w:pPr>
              <w:jc w:val="right"/>
              <w:rPr>
                <w:sz w:val="16"/>
                <w:szCs w:val="16"/>
              </w:rPr>
            </w:pPr>
            <w:r w:rsidRPr="006B42D6">
              <w:rPr>
                <w:sz w:val="16"/>
                <w:szCs w:val="16"/>
              </w:rPr>
              <w:t>669</w:t>
            </w:r>
          </w:p>
        </w:tc>
        <w:tc>
          <w:tcPr>
            <w:tcW w:w="403" w:type="pct"/>
            <w:tcBorders>
              <w:top w:val="nil"/>
              <w:left w:val="nil"/>
              <w:bottom w:val="nil"/>
              <w:right w:val="single" w:sz="4" w:space="0" w:color="auto"/>
            </w:tcBorders>
            <w:shd w:val="clear" w:color="auto" w:fill="auto"/>
            <w:noWrap/>
            <w:vAlign w:val="bottom"/>
            <w:hideMark/>
          </w:tcPr>
          <w:p w14:paraId="488888F2" w14:textId="77777777" w:rsidR="00A61255" w:rsidRPr="006B42D6" w:rsidRDefault="00A61255" w:rsidP="006C676D">
            <w:pPr>
              <w:jc w:val="right"/>
              <w:rPr>
                <w:sz w:val="16"/>
                <w:szCs w:val="16"/>
              </w:rPr>
            </w:pPr>
            <w:r w:rsidRPr="006B42D6">
              <w:rPr>
                <w:sz w:val="16"/>
                <w:szCs w:val="16"/>
              </w:rPr>
              <w:t>6.1</w:t>
            </w:r>
          </w:p>
        </w:tc>
        <w:tc>
          <w:tcPr>
            <w:tcW w:w="427" w:type="pct"/>
            <w:tcBorders>
              <w:top w:val="nil"/>
              <w:left w:val="nil"/>
              <w:bottom w:val="nil"/>
              <w:right w:val="nil"/>
            </w:tcBorders>
            <w:shd w:val="clear" w:color="auto" w:fill="auto"/>
            <w:noWrap/>
            <w:vAlign w:val="bottom"/>
            <w:hideMark/>
          </w:tcPr>
          <w:p w14:paraId="38FA8DD9" w14:textId="77777777" w:rsidR="00A61255" w:rsidRPr="006B42D6" w:rsidRDefault="00A61255" w:rsidP="006C676D">
            <w:pPr>
              <w:jc w:val="right"/>
              <w:rPr>
                <w:sz w:val="16"/>
                <w:szCs w:val="16"/>
              </w:rPr>
            </w:pPr>
            <w:r w:rsidRPr="006B42D6">
              <w:rPr>
                <w:sz w:val="16"/>
                <w:szCs w:val="16"/>
              </w:rPr>
              <w:t>56,253</w:t>
            </w:r>
          </w:p>
        </w:tc>
        <w:tc>
          <w:tcPr>
            <w:tcW w:w="403" w:type="pct"/>
            <w:tcBorders>
              <w:top w:val="nil"/>
              <w:left w:val="nil"/>
              <w:bottom w:val="nil"/>
              <w:right w:val="nil"/>
            </w:tcBorders>
            <w:shd w:val="clear" w:color="auto" w:fill="auto"/>
            <w:noWrap/>
            <w:vAlign w:val="bottom"/>
            <w:hideMark/>
          </w:tcPr>
          <w:p w14:paraId="7F2080D0" w14:textId="77777777" w:rsidR="00A61255" w:rsidRPr="006B42D6" w:rsidRDefault="00A61255" w:rsidP="006C676D">
            <w:pPr>
              <w:jc w:val="right"/>
              <w:rPr>
                <w:sz w:val="16"/>
                <w:szCs w:val="16"/>
              </w:rPr>
            </w:pPr>
            <w:r w:rsidRPr="006B42D6">
              <w:rPr>
                <w:sz w:val="16"/>
                <w:szCs w:val="16"/>
              </w:rPr>
              <w:t>20.4</w:t>
            </w:r>
          </w:p>
        </w:tc>
        <w:tc>
          <w:tcPr>
            <w:tcW w:w="427" w:type="pct"/>
            <w:tcBorders>
              <w:top w:val="nil"/>
              <w:left w:val="single" w:sz="4" w:space="0" w:color="auto"/>
              <w:bottom w:val="nil"/>
              <w:right w:val="nil"/>
            </w:tcBorders>
            <w:shd w:val="clear" w:color="auto" w:fill="auto"/>
            <w:noWrap/>
            <w:vAlign w:val="bottom"/>
            <w:hideMark/>
          </w:tcPr>
          <w:p w14:paraId="1CFABA9A" w14:textId="77777777" w:rsidR="00A61255" w:rsidRPr="006B42D6" w:rsidRDefault="00A61255" w:rsidP="006C676D">
            <w:pPr>
              <w:jc w:val="right"/>
              <w:rPr>
                <w:sz w:val="16"/>
                <w:szCs w:val="16"/>
              </w:rPr>
            </w:pPr>
            <w:r w:rsidRPr="006B42D6">
              <w:rPr>
                <w:sz w:val="16"/>
                <w:szCs w:val="16"/>
              </w:rPr>
              <w:t>385</w:t>
            </w:r>
          </w:p>
        </w:tc>
        <w:tc>
          <w:tcPr>
            <w:tcW w:w="403" w:type="pct"/>
            <w:tcBorders>
              <w:top w:val="nil"/>
              <w:left w:val="nil"/>
              <w:bottom w:val="nil"/>
              <w:right w:val="nil"/>
            </w:tcBorders>
            <w:shd w:val="clear" w:color="auto" w:fill="auto"/>
            <w:noWrap/>
            <w:vAlign w:val="bottom"/>
            <w:hideMark/>
          </w:tcPr>
          <w:p w14:paraId="59D57658" w14:textId="77777777" w:rsidR="00A61255" w:rsidRPr="006B42D6" w:rsidRDefault="00A61255" w:rsidP="006C676D">
            <w:pPr>
              <w:jc w:val="right"/>
              <w:rPr>
                <w:sz w:val="16"/>
                <w:szCs w:val="16"/>
              </w:rPr>
            </w:pPr>
            <w:r w:rsidRPr="006B42D6">
              <w:rPr>
                <w:sz w:val="16"/>
                <w:szCs w:val="16"/>
              </w:rPr>
              <w:t>3.2</w:t>
            </w:r>
          </w:p>
        </w:tc>
      </w:tr>
      <w:tr w:rsidR="006B42D6" w:rsidRPr="006B42D6" w14:paraId="77D0FB22" w14:textId="77777777" w:rsidTr="00BA6B5C">
        <w:trPr>
          <w:trHeight w:val="80"/>
        </w:trPr>
        <w:tc>
          <w:tcPr>
            <w:tcW w:w="851" w:type="pct"/>
            <w:tcBorders>
              <w:top w:val="nil"/>
              <w:left w:val="nil"/>
              <w:bottom w:val="nil"/>
              <w:right w:val="single" w:sz="4" w:space="0" w:color="auto"/>
            </w:tcBorders>
            <w:shd w:val="clear" w:color="auto" w:fill="auto"/>
            <w:noWrap/>
            <w:vAlign w:val="center"/>
            <w:hideMark/>
          </w:tcPr>
          <w:p w14:paraId="7B1C2877" w14:textId="77777777" w:rsidR="00A61255" w:rsidRPr="006B42D6" w:rsidRDefault="00A61255" w:rsidP="006C676D">
            <w:pPr>
              <w:rPr>
                <w:sz w:val="16"/>
                <w:szCs w:val="16"/>
              </w:rPr>
            </w:pPr>
            <w:r w:rsidRPr="006B42D6">
              <w:rPr>
                <w:sz w:val="16"/>
                <w:szCs w:val="16"/>
              </w:rPr>
              <w:t>Iringa</w:t>
            </w:r>
          </w:p>
        </w:tc>
        <w:tc>
          <w:tcPr>
            <w:tcW w:w="427" w:type="pct"/>
            <w:tcBorders>
              <w:top w:val="nil"/>
              <w:left w:val="nil"/>
              <w:bottom w:val="nil"/>
              <w:right w:val="nil"/>
            </w:tcBorders>
            <w:shd w:val="clear" w:color="auto" w:fill="auto"/>
            <w:noWrap/>
            <w:vAlign w:val="bottom"/>
            <w:hideMark/>
          </w:tcPr>
          <w:p w14:paraId="0249490E" w14:textId="77777777" w:rsidR="00A61255" w:rsidRPr="006B42D6" w:rsidRDefault="00A61255" w:rsidP="006C676D">
            <w:pPr>
              <w:jc w:val="right"/>
              <w:rPr>
                <w:sz w:val="16"/>
                <w:szCs w:val="16"/>
              </w:rPr>
            </w:pPr>
            <w:r w:rsidRPr="006B42D6">
              <w:rPr>
                <w:sz w:val="16"/>
                <w:szCs w:val="16"/>
              </w:rPr>
              <w:t>14,542</w:t>
            </w:r>
          </w:p>
        </w:tc>
        <w:tc>
          <w:tcPr>
            <w:tcW w:w="403" w:type="pct"/>
            <w:tcBorders>
              <w:top w:val="nil"/>
              <w:left w:val="nil"/>
              <w:bottom w:val="nil"/>
              <w:right w:val="single" w:sz="4" w:space="0" w:color="auto"/>
            </w:tcBorders>
            <w:shd w:val="clear" w:color="auto" w:fill="auto"/>
            <w:noWrap/>
            <w:vAlign w:val="bottom"/>
            <w:hideMark/>
          </w:tcPr>
          <w:p w14:paraId="5084603F" w14:textId="77777777" w:rsidR="00A61255" w:rsidRPr="006B42D6" w:rsidRDefault="00A61255" w:rsidP="006C676D">
            <w:pPr>
              <w:jc w:val="right"/>
              <w:rPr>
                <w:sz w:val="16"/>
                <w:szCs w:val="16"/>
              </w:rPr>
            </w:pPr>
            <w:r w:rsidRPr="006B42D6">
              <w:rPr>
                <w:sz w:val="16"/>
                <w:szCs w:val="16"/>
              </w:rPr>
              <w:t>7.4</w:t>
            </w:r>
          </w:p>
        </w:tc>
        <w:tc>
          <w:tcPr>
            <w:tcW w:w="427" w:type="pct"/>
            <w:tcBorders>
              <w:top w:val="nil"/>
              <w:left w:val="nil"/>
              <w:bottom w:val="nil"/>
              <w:right w:val="nil"/>
            </w:tcBorders>
            <w:shd w:val="clear" w:color="auto" w:fill="auto"/>
            <w:noWrap/>
            <w:vAlign w:val="bottom"/>
            <w:hideMark/>
          </w:tcPr>
          <w:p w14:paraId="016D39A5"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56491082" w14:textId="77777777" w:rsidR="00A61255" w:rsidRPr="006B42D6" w:rsidRDefault="00A61255" w:rsidP="006C676D">
            <w:pPr>
              <w:jc w:val="right"/>
              <w:rPr>
                <w:sz w:val="16"/>
                <w:szCs w:val="16"/>
              </w:rPr>
            </w:pPr>
            <w:r w:rsidRPr="006B42D6">
              <w:rPr>
                <w:sz w:val="16"/>
                <w:szCs w:val="16"/>
              </w:rPr>
              <w:t>-</w:t>
            </w:r>
          </w:p>
        </w:tc>
        <w:tc>
          <w:tcPr>
            <w:tcW w:w="427" w:type="pct"/>
            <w:tcBorders>
              <w:top w:val="nil"/>
              <w:left w:val="single" w:sz="4" w:space="0" w:color="auto"/>
              <w:bottom w:val="nil"/>
              <w:right w:val="nil"/>
            </w:tcBorders>
            <w:shd w:val="clear" w:color="auto" w:fill="auto"/>
            <w:noWrap/>
            <w:vAlign w:val="bottom"/>
            <w:hideMark/>
          </w:tcPr>
          <w:p w14:paraId="4C0B3374" w14:textId="77777777" w:rsidR="00A61255" w:rsidRPr="006B42D6" w:rsidRDefault="00A61255" w:rsidP="006C676D">
            <w:pPr>
              <w:jc w:val="right"/>
              <w:rPr>
                <w:sz w:val="16"/>
                <w:szCs w:val="16"/>
              </w:rPr>
            </w:pPr>
            <w:r w:rsidRPr="006B42D6">
              <w:rPr>
                <w:sz w:val="16"/>
                <w:szCs w:val="16"/>
              </w:rPr>
              <w:t>931</w:t>
            </w:r>
          </w:p>
        </w:tc>
        <w:tc>
          <w:tcPr>
            <w:tcW w:w="403" w:type="pct"/>
            <w:tcBorders>
              <w:top w:val="nil"/>
              <w:left w:val="nil"/>
              <w:bottom w:val="nil"/>
              <w:right w:val="single" w:sz="4" w:space="0" w:color="auto"/>
            </w:tcBorders>
            <w:shd w:val="clear" w:color="auto" w:fill="auto"/>
            <w:noWrap/>
            <w:vAlign w:val="bottom"/>
            <w:hideMark/>
          </w:tcPr>
          <w:p w14:paraId="64C1C17B" w14:textId="77777777" w:rsidR="00A61255" w:rsidRPr="006B42D6" w:rsidRDefault="00A61255" w:rsidP="006C676D">
            <w:pPr>
              <w:jc w:val="right"/>
              <w:rPr>
                <w:sz w:val="16"/>
                <w:szCs w:val="16"/>
              </w:rPr>
            </w:pPr>
            <w:r w:rsidRPr="006B42D6">
              <w:rPr>
                <w:sz w:val="16"/>
                <w:szCs w:val="16"/>
              </w:rPr>
              <w:t>8.5</w:t>
            </w:r>
          </w:p>
        </w:tc>
        <w:tc>
          <w:tcPr>
            <w:tcW w:w="427" w:type="pct"/>
            <w:tcBorders>
              <w:top w:val="nil"/>
              <w:left w:val="nil"/>
              <w:bottom w:val="nil"/>
              <w:right w:val="nil"/>
            </w:tcBorders>
            <w:shd w:val="clear" w:color="auto" w:fill="auto"/>
            <w:noWrap/>
            <w:vAlign w:val="bottom"/>
            <w:hideMark/>
          </w:tcPr>
          <w:p w14:paraId="78286B70" w14:textId="77777777" w:rsidR="00A61255" w:rsidRPr="006B42D6" w:rsidRDefault="00A61255" w:rsidP="006C676D">
            <w:pPr>
              <w:jc w:val="right"/>
              <w:rPr>
                <w:sz w:val="16"/>
                <w:szCs w:val="16"/>
              </w:rPr>
            </w:pPr>
            <w:r w:rsidRPr="006B42D6">
              <w:rPr>
                <w:sz w:val="16"/>
                <w:szCs w:val="16"/>
              </w:rPr>
              <w:t>13,661</w:t>
            </w:r>
          </w:p>
        </w:tc>
        <w:tc>
          <w:tcPr>
            <w:tcW w:w="403" w:type="pct"/>
            <w:tcBorders>
              <w:top w:val="nil"/>
              <w:left w:val="nil"/>
              <w:bottom w:val="nil"/>
              <w:right w:val="nil"/>
            </w:tcBorders>
            <w:shd w:val="clear" w:color="auto" w:fill="auto"/>
            <w:noWrap/>
            <w:vAlign w:val="bottom"/>
            <w:hideMark/>
          </w:tcPr>
          <w:p w14:paraId="41AEAD23" w14:textId="77777777" w:rsidR="00A61255" w:rsidRPr="006B42D6" w:rsidRDefault="00A61255" w:rsidP="006C676D">
            <w:pPr>
              <w:jc w:val="right"/>
              <w:rPr>
                <w:sz w:val="16"/>
                <w:szCs w:val="16"/>
              </w:rPr>
            </w:pPr>
            <w:r w:rsidRPr="006B42D6">
              <w:rPr>
                <w:sz w:val="16"/>
                <w:szCs w:val="16"/>
              </w:rPr>
              <w:t>5.0</w:t>
            </w:r>
          </w:p>
        </w:tc>
        <w:tc>
          <w:tcPr>
            <w:tcW w:w="427" w:type="pct"/>
            <w:tcBorders>
              <w:top w:val="nil"/>
              <w:left w:val="single" w:sz="4" w:space="0" w:color="auto"/>
              <w:bottom w:val="nil"/>
              <w:right w:val="nil"/>
            </w:tcBorders>
            <w:shd w:val="clear" w:color="auto" w:fill="auto"/>
            <w:noWrap/>
            <w:vAlign w:val="bottom"/>
            <w:hideMark/>
          </w:tcPr>
          <w:p w14:paraId="6534DE85" w14:textId="77777777" w:rsidR="00A61255" w:rsidRPr="006B42D6" w:rsidRDefault="00A61255" w:rsidP="006C676D">
            <w:pPr>
              <w:jc w:val="right"/>
              <w:rPr>
                <w:sz w:val="16"/>
                <w:szCs w:val="16"/>
              </w:rPr>
            </w:pPr>
            <w:r w:rsidRPr="006B42D6">
              <w:rPr>
                <w:sz w:val="16"/>
                <w:szCs w:val="16"/>
              </w:rPr>
              <w:t>2,837</w:t>
            </w:r>
          </w:p>
        </w:tc>
        <w:tc>
          <w:tcPr>
            <w:tcW w:w="403" w:type="pct"/>
            <w:tcBorders>
              <w:top w:val="nil"/>
              <w:left w:val="nil"/>
              <w:bottom w:val="nil"/>
              <w:right w:val="nil"/>
            </w:tcBorders>
            <w:shd w:val="clear" w:color="auto" w:fill="auto"/>
            <w:noWrap/>
            <w:vAlign w:val="bottom"/>
            <w:hideMark/>
          </w:tcPr>
          <w:p w14:paraId="3849871B" w14:textId="77777777" w:rsidR="00A61255" w:rsidRPr="006B42D6" w:rsidRDefault="00A61255" w:rsidP="006C676D">
            <w:pPr>
              <w:jc w:val="right"/>
              <w:rPr>
                <w:sz w:val="16"/>
                <w:szCs w:val="16"/>
              </w:rPr>
            </w:pPr>
            <w:r w:rsidRPr="006B42D6">
              <w:rPr>
                <w:sz w:val="16"/>
                <w:szCs w:val="16"/>
              </w:rPr>
              <w:t>23.4</w:t>
            </w:r>
          </w:p>
        </w:tc>
      </w:tr>
      <w:tr w:rsidR="006B42D6" w:rsidRPr="006B42D6" w14:paraId="50AB891B" w14:textId="77777777" w:rsidTr="00BA6B5C">
        <w:trPr>
          <w:trHeight w:val="89"/>
        </w:trPr>
        <w:tc>
          <w:tcPr>
            <w:tcW w:w="851" w:type="pct"/>
            <w:tcBorders>
              <w:top w:val="nil"/>
              <w:left w:val="nil"/>
              <w:bottom w:val="nil"/>
              <w:right w:val="single" w:sz="4" w:space="0" w:color="auto"/>
            </w:tcBorders>
            <w:shd w:val="clear" w:color="auto" w:fill="auto"/>
            <w:noWrap/>
            <w:vAlign w:val="center"/>
            <w:hideMark/>
          </w:tcPr>
          <w:p w14:paraId="273F4FDF" w14:textId="77777777" w:rsidR="00A61255" w:rsidRPr="006B42D6" w:rsidRDefault="00A61255" w:rsidP="006C676D">
            <w:pPr>
              <w:rPr>
                <w:sz w:val="16"/>
                <w:szCs w:val="16"/>
              </w:rPr>
            </w:pPr>
            <w:r w:rsidRPr="006B42D6">
              <w:rPr>
                <w:sz w:val="16"/>
                <w:szCs w:val="16"/>
              </w:rPr>
              <w:t>Mbeya</w:t>
            </w:r>
          </w:p>
        </w:tc>
        <w:tc>
          <w:tcPr>
            <w:tcW w:w="427" w:type="pct"/>
            <w:tcBorders>
              <w:top w:val="nil"/>
              <w:left w:val="nil"/>
              <w:bottom w:val="nil"/>
              <w:right w:val="nil"/>
            </w:tcBorders>
            <w:shd w:val="clear" w:color="auto" w:fill="auto"/>
            <w:noWrap/>
            <w:vAlign w:val="bottom"/>
            <w:hideMark/>
          </w:tcPr>
          <w:p w14:paraId="42E7F60D" w14:textId="77777777" w:rsidR="00A61255" w:rsidRPr="006B42D6" w:rsidRDefault="00A61255" w:rsidP="006C676D">
            <w:pPr>
              <w:jc w:val="right"/>
              <w:rPr>
                <w:sz w:val="16"/>
                <w:szCs w:val="16"/>
              </w:rPr>
            </w:pPr>
            <w:r w:rsidRPr="006B42D6">
              <w:rPr>
                <w:sz w:val="16"/>
                <w:szCs w:val="16"/>
              </w:rPr>
              <w:t>63,501</w:t>
            </w:r>
          </w:p>
        </w:tc>
        <w:tc>
          <w:tcPr>
            <w:tcW w:w="403" w:type="pct"/>
            <w:tcBorders>
              <w:top w:val="nil"/>
              <w:left w:val="nil"/>
              <w:bottom w:val="nil"/>
              <w:right w:val="single" w:sz="4" w:space="0" w:color="auto"/>
            </w:tcBorders>
            <w:shd w:val="clear" w:color="auto" w:fill="auto"/>
            <w:noWrap/>
            <w:vAlign w:val="bottom"/>
            <w:hideMark/>
          </w:tcPr>
          <w:p w14:paraId="57D73AF8" w14:textId="77777777" w:rsidR="00A61255" w:rsidRPr="006B42D6" w:rsidRDefault="00A61255" w:rsidP="006C676D">
            <w:pPr>
              <w:jc w:val="right"/>
              <w:rPr>
                <w:sz w:val="16"/>
                <w:szCs w:val="16"/>
              </w:rPr>
            </w:pPr>
            <w:r w:rsidRPr="006B42D6">
              <w:rPr>
                <w:sz w:val="16"/>
                <w:szCs w:val="16"/>
              </w:rPr>
              <w:t>32.1</w:t>
            </w:r>
          </w:p>
        </w:tc>
        <w:tc>
          <w:tcPr>
            <w:tcW w:w="427" w:type="pct"/>
            <w:tcBorders>
              <w:top w:val="nil"/>
              <w:left w:val="nil"/>
              <w:bottom w:val="nil"/>
              <w:right w:val="nil"/>
            </w:tcBorders>
            <w:shd w:val="clear" w:color="auto" w:fill="auto"/>
            <w:noWrap/>
            <w:vAlign w:val="bottom"/>
            <w:hideMark/>
          </w:tcPr>
          <w:p w14:paraId="76FE2BA9" w14:textId="77777777" w:rsidR="00A61255" w:rsidRPr="006B42D6" w:rsidRDefault="00A61255" w:rsidP="006C676D">
            <w:pPr>
              <w:jc w:val="right"/>
              <w:rPr>
                <w:sz w:val="16"/>
                <w:szCs w:val="16"/>
              </w:rPr>
            </w:pPr>
            <w:r w:rsidRPr="006B42D6">
              <w:rPr>
                <w:sz w:val="16"/>
                <w:szCs w:val="16"/>
              </w:rPr>
              <w:t>1,647</w:t>
            </w:r>
          </w:p>
        </w:tc>
        <w:tc>
          <w:tcPr>
            <w:tcW w:w="403" w:type="pct"/>
            <w:tcBorders>
              <w:top w:val="nil"/>
              <w:left w:val="nil"/>
              <w:bottom w:val="nil"/>
              <w:right w:val="nil"/>
            </w:tcBorders>
            <w:shd w:val="clear" w:color="auto" w:fill="auto"/>
            <w:noWrap/>
            <w:vAlign w:val="bottom"/>
            <w:hideMark/>
          </w:tcPr>
          <w:p w14:paraId="0FDDDDFF" w14:textId="77777777" w:rsidR="00A61255" w:rsidRPr="006B42D6" w:rsidRDefault="00A61255" w:rsidP="006C676D">
            <w:pPr>
              <w:jc w:val="right"/>
              <w:rPr>
                <w:sz w:val="16"/>
                <w:szCs w:val="16"/>
              </w:rPr>
            </w:pPr>
            <w:r w:rsidRPr="006B42D6">
              <w:rPr>
                <w:sz w:val="16"/>
                <w:szCs w:val="16"/>
              </w:rPr>
              <w:t>27.0</w:t>
            </w:r>
          </w:p>
        </w:tc>
        <w:tc>
          <w:tcPr>
            <w:tcW w:w="427" w:type="pct"/>
            <w:tcBorders>
              <w:top w:val="nil"/>
              <w:left w:val="single" w:sz="4" w:space="0" w:color="auto"/>
              <w:bottom w:val="nil"/>
              <w:right w:val="nil"/>
            </w:tcBorders>
            <w:shd w:val="clear" w:color="auto" w:fill="auto"/>
            <w:noWrap/>
            <w:vAlign w:val="bottom"/>
            <w:hideMark/>
          </w:tcPr>
          <w:p w14:paraId="4D9A2CD1" w14:textId="77777777" w:rsidR="00A61255" w:rsidRPr="006B42D6" w:rsidRDefault="00A61255" w:rsidP="006C676D">
            <w:pPr>
              <w:jc w:val="right"/>
              <w:rPr>
                <w:sz w:val="16"/>
                <w:szCs w:val="16"/>
              </w:rPr>
            </w:pPr>
            <w:r w:rsidRPr="006B42D6">
              <w:rPr>
                <w:sz w:val="16"/>
                <w:szCs w:val="16"/>
              </w:rPr>
              <w:t>419</w:t>
            </w:r>
          </w:p>
        </w:tc>
        <w:tc>
          <w:tcPr>
            <w:tcW w:w="403" w:type="pct"/>
            <w:tcBorders>
              <w:top w:val="nil"/>
              <w:left w:val="nil"/>
              <w:bottom w:val="nil"/>
              <w:right w:val="single" w:sz="4" w:space="0" w:color="auto"/>
            </w:tcBorders>
            <w:shd w:val="clear" w:color="auto" w:fill="auto"/>
            <w:noWrap/>
            <w:vAlign w:val="bottom"/>
            <w:hideMark/>
          </w:tcPr>
          <w:p w14:paraId="2EB63C12" w14:textId="77777777" w:rsidR="00A61255" w:rsidRPr="006B42D6" w:rsidRDefault="00A61255" w:rsidP="006C676D">
            <w:pPr>
              <w:jc w:val="right"/>
              <w:rPr>
                <w:sz w:val="16"/>
                <w:szCs w:val="16"/>
              </w:rPr>
            </w:pPr>
            <w:r w:rsidRPr="006B42D6">
              <w:rPr>
                <w:sz w:val="16"/>
                <w:szCs w:val="16"/>
              </w:rPr>
              <w:t>3.8</w:t>
            </w:r>
          </w:p>
        </w:tc>
        <w:tc>
          <w:tcPr>
            <w:tcW w:w="427" w:type="pct"/>
            <w:tcBorders>
              <w:top w:val="nil"/>
              <w:left w:val="nil"/>
              <w:bottom w:val="nil"/>
              <w:right w:val="nil"/>
            </w:tcBorders>
            <w:shd w:val="clear" w:color="auto" w:fill="auto"/>
            <w:noWrap/>
            <w:vAlign w:val="bottom"/>
            <w:hideMark/>
          </w:tcPr>
          <w:p w14:paraId="202B58D4" w14:textId="77777777" w:rsidR="00A61255" w:rsidRPr="006B42D6" w:rsidRDefault="00A61255" w:rsidP="006C676D">
            <w:pPr>
              <w:jc w:val="right"/>
              <w:rPr>
                <w:sz w:val="16"/>
                <w:szCs w:val="16"/>
              </w:rPr>
            </w:pPr>
            <w:r w:rsidRPr="006B42D6">
              <w:rPr>
                <w:sz w:val="16"/>
                <w:szCs w:val="16"/>
              </w:rPr>
              <w:t>19,291</w:t>
            </w:r>
          </w:p>
        </w:tc>
        <w:tc>
          <w:tcPr>
            <w:tcW w:w="403" w:type="pct"/>
            <w:tcBorders>
              <w:top w:val="nil"/>
              <w:left w:val="nil"/>
              <w:bottom w:val="nil"/>
              <w:right w:val="nil"/>
            </w:tcBorders>
            <w:shd w:val="clear" w:color="auto" w:fill="auto"/>
            <w:noWrap/>
            <w:vAlign w:val="bottom"/>
            <w:hideMark/>
          </w:tcPr>
          <w:p w14:paraId="39FB9223" w14:textId="77777777" w:rsidR="00A61255" w:rsidRPr="006B42D6" w:rsidRDefault="00A61255" w:rsidP="006C676D">
            <w:pPr>
              <w:jc w:val="right"/>
              <w:rPr>
                <w:sz w:val="16"/>
                <w:szCs w:val="16"/>
              </w:rPr>
            </w:pPr>
            <w:r w:rsidRPr="006B42D6">
              <w:rPr>
                <w:sz w:val="16"/>
                <w:szCs w:val="16"/>
              </w:rPr>
              <w:t>7.0</w:t>
            </w:r>
          </w:p>
        </w:tc>
        <w:tc>
          <w:tcPr>
            <w:tcW w:w="427" w:type="pct"/>
            <w:tcBorders>
              <w:top w:val="nil"/>
              <w:left w:val="single" w:sz="4" w:space="0" w:color="auto"/>
              <w:bottom w:val="nil"/>
              <w:right w:val="nil"/>
            </w:tcBorders>
            <w:shd w:val="clear" w:color="auto" w:fill="auto"/>
            <w:noWrap/>
            <w:vAlign w:val="bottom"/>
            <w:hideMark/>
          </w:tcPr>
          <w:p w14:paraId="03220962" w14:textId="77777777" w:rsidR="00A61255" w:rsidRPr="006B42D6" w:rsidRDefault="00A61255" w:rsidP="006C676D">
            <w:pPr>
              <w:jc w:val="right"/>
              <w:rPr>
                <w:sz w:val="16"/>
                <w:szCs w:val="16"/>
              </w:rPr>
            </w:pPr>
            <w:r w:rsidRPr="006B42D6">
              <w:rPr>
                <w:sz w:val="16"/>
                <w:szCs w:val="16"/>
              </w:rPr>
              <w:t>3,284</w:t>
            </w:r>
          </w:p>
        </w:tc>
        <w:tc>
          <w:tcPr>
            <w:tcW w:w="403" w:type="pct"/>
            <w:tcBorders>
              <w:top w:val="nil"/>
              <w:left w:val="nil"/>
              <w:bottom w:val="nil"/>
              <w:right w:val="nil"/>
            </w:tcBorders>
            <w:shd w:val="clear" w:color="auto" w:fill="auto"/>
            <w:noWrap/>
            <w:vAlign w:val="bottom"/>
            <w:hideMark/>
          </w:tcPr>
          <w:p w14:paraId="4BCE9EB6" w14:textId="77777777" w:rsidR="00A61255" w:rsidRPr="006B42D6" w:rsidRDefault="00A61255" w:rsidP="006C676D">
            <w:pPr>
              <w:jc w:val="right"/>
              <w:rPr>
                <w:sz w:val="16"/>
                <w:szCs w:val="16"/>
              </w:rPr>
            </w:pPr>
            <w:r w:rsidRPr="006B42D6">
              <w:rPr>
                <w:sz w:val="16"/>
                <w:szCs w:val="16"/>
              </w:rPr>
              <w:t>27.1</w:t>
            </w:r>
          </w:p>
        </w:tc>
      </w:tr>
      <w:tr w:rsidR="006B42D6" w:rsidRPr="006B42D6" w14:paraId="2E5EF9E2" w14:textId="77777777" w:rsidTr="00BA6B5C">
        <w:trPr>
          <w:trHeight w:val="80"/>
        </w:trPr>
        <w:tc>
          <w:tcPr>
            <w:tcW w:w="851" w:type="pct"/>
            <w:tcBorders>
              <w:top w:val="nil"/>
              <w:left w:val="nil"/>
              <w:bottom w:val="nil"/>
              <w:right w:val="single" w:sz="4" w:space="0" w:color="auto"/>
            </w:tcBorders>
            <w:shd w:val="clear" w:color="auto" w:fill="auto"/>
            <w:noWrap/>
            <w:vAlign w:val="center"/>
            <w:hideMark/>
          </w:tcPr>
          <w:p w14:paraId="5FB7AB3F" w14:textId="77777777" w:rsidR="00A61255" w:rsidRPr="006B42D6" w:rsidRDefault="00A61255" w:rsidP="006C676D">
            <w:pPr>
              <w:rPr>
                <w:sz w:val="16"/>
                <w:szCs w:val="16"/>
              </w:rPr>
            </w:pPr>
            <w:r w:rsidRPr="006B42D6">
              <w:rPr>
                <w:sz w:val="16"/>
                <w:szCs w:val="16"/>
              </w:rPr>
              <w:t>Singida</w:t>
            </w:r>
          </w:p>
        </w:tc>
        <w:tc>
          <w:tcPr>
            <w:tcW w:w="427" w:type="pct"/>
            <w:tcBorders>
              <w:top w:val="nil"/>
              <w:left w:val="nil"/>
              <w:bottom w:val="nil"/>
              <w:right w:val="nil"/>
            </w:tcBorders>
            <w:shd w:val="clear" w:color="auto" w:fill="auto"/>
            <w:noWrap/>
            <w:vAlign w:val="bottom"/>
            <w:hideMark/>
          </w:tcPr>
          <w:p w14:paraId="243172F2"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single" w:sz="4" w:space="0" w:color="auto"/>
            </w:tcBorders>
            <w:shd w:val="clear" w:color="auto" w:fill="auto"/>
            <w:noWrap/>
            <w:vAlign w:val="bottom"/>
            <w:hideMark/>
          </w:tcPr>
          <w:p w14:paraId="18136656" w14:textId="77777777" w:rsidR="00A61255" w:rsidRPr="006B42D6" w:rsidRDefault="00A61255" w:rsidP="006C676D">
            <w:pPr>
              <w:jc w:val="right"/>
              <w:rPr>
                <w:sz w:val="16"/>
                <w:szCs w:val="16"/>
              </w:rPr>
            </w:pPr>
            <w:r w:rsidRPr="006B42D6">
              <w:rPr>
                <w:sz w:val="16"/>
                <w:szCs w:val="16"/>
              </w:rPr>
              <w:t>-</w:t>
            </w:r>
          </w:p>
        </w:tc>
        <w:tc>
          <w:tcPr>
            <w:tcW w:w="427" w:type="pct"/>
            <w:tcBorders>
              <w:top w:val="nil"/>
              <w:left w:val="nil"/>
              <w:bottom w:val="nil"/>
              <w:right w:val="nil"/>
            </w:tcBorders>
            <w:shd w:val="clear" w:color="auto" w:fill="auto"/>
            <w:noWrap/>
            <w:vAlign w:val="bottom"/>
            <w:hideMark/>
          </w:tcPr>
          <w:p w14:paraId="3B49C277"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17B6252D" w14:textId="77777777" w:rsidR="00A61255" w:rsidRPr="006B42D6" w:rsidRDefault="00A61255" w:rsidP="006C676D">
            <w:pPr>
              <w:jc w:val="right"/>
              <w:rPr>
                <w:sz w:val="16"/>
                <w:szCs w:val="16"/>
              </w:rPr>
            </w:pPr>
            <w:r w:rsidRPr="006B42D6">
              <w:rPr>
                <w:sz w:val="16"/>
                <w:szCs w:val="16"/>
              </w:rPr>
              <w:t>-</w:t>
            </w:r>
          </w:p>
        </w:tc>
        <w:tc>
          <w:tcPr>
            <w:tcW w:w="427" w:type="pct"/>
            <w:tcBorders>
              <w:top w:val="nil"/>
              <w:left w:val="single" w:sz="4" w:space="0" w:color="auto"/>
              <w:bottom w:val="nil"/>
              <w:right w:val="nil"/>
            </w:tcBorders>
            <w:shd w:val="clear" w:color="auto" w:fill="auto"/>
            <w:noWrap/>
            <w:vAlign w:val="bottom"/>
            <w:hideMark/>
          </w:tcPr>
          <w:p w14:paraId="41BCEFF0"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single" w:sz="4" w:space="0" w:color="auto"/>
            </w:tcBorders>
            <w:shd w:val="clear" w:color="auto" w:fill="auto"/>
            <w:noWrap/>
            <w:vAlign w:val="bottom"/>
            <w:hideMark/>
          </w:tcPr>
          <w:p w14:paraId="084D93B2" w14:textId="77777777" w:rsidR="00A61255" w:rsidRPr="006B42D6" w:rsidRDefault="00A61255" w:rsidP="006C676D">
            <w:pPr>
              <w:jc w:val="right"/>
              <w:rPr>
                <w:sz w:val="16"/>
                <w:szCs w:val="16"/>
              </w:rPr>
            </w:pPr>
            <w:r w:rsidRPr="006B42D6">
              <w:rPr>
                <w:sz w:val="16"/>
                <w:szCs w:val="16"/>
              </w:rPr>
              <w:t>-</w:t>
            </w:r>
          </w:p>
        </w:tc>
        <w:tc>
          <w:tcPr>
            <w:tcW w:w="427" w:type="pct"/>
            <w:tcBorders>
              <w:top w:val="nil"/>
              <w:left w:val="nil"/>
              <w:bottom w:val="nil"/>
              <w:right w:val="nil"/>
            </w:tcBorders>
            <w:shd w:val="clear" w:color="auto" w:fill="auto"/>
            <w:noWrap/>
            <w:vAlign w:val="bottom"/>
            <w:hideMark/>
          </w:tcPr>
          <w:p w14:paraId="2327CE69" w14:textId="77777777" w:rsidR="00A61255" w:rsidRPr="006B42D6" w:rsidRDefault="00A61255" w:rsidP="006C676D">
            <w:pPr>
              <w:jc w:val="right"/>
              <w:rPr>
                <w:sz w:val="16"/>
                <w:szCs w:val="16"/>
              </w:rPr>
            </w:pPr>
            <w:r w:rsidRPr="006B42D6">
              <w:rPr>
                <w:sz w:val="16"/>
                <w:szCs w:val="16"/>
              </w:rPr>
              <w:t>2,224</w:t>
            </w:r>
          </w:p>
        </w:tc>
        <w:tc>
          <w:tcPr>
            <w:tcW w:w="403" w:type="pct"/>
            <w:tcBorders>
              <w:top w:val="nil"/>
              <w:left w:val="nil"/>
              <w:bottom w:val="nil"/>
              <w:right w:val="nil"/>
            </w:tcBorders>
            <w:shd w:val="clear" w:color="auto" w:fill="auto"/>
            <w:noWrap/>
            <w:vAlign w:val="bottom"/>
            <w:hideMark/>
          </w:tcPr>
          <w:p w14:paraId="49265535" w14:textId="77777777" w:rsidR="00A61255" w:rsidRPr="006B42D6" w:rsidRDefault="00A61255" w:rsidP="006C676D">
            <w:pPr>
              <w:jc w:val="right"/>
              <w:rPr>
                <w:sz w:val="16"/>
                <w:szCs w:val="16"/>
              </w:rPr>
            </w:pPr>
            <w:r w:rsidRPr="006B42D6">
              <w:rPr>
                <w:sz w:val="16"/>
                <w:szCs w:val="16"/>
              </w:rPr>
              <w:t>0.8</w:t>
            </w:r>
          </w:p>
        </w:tc>
        <w:tc>
          <w:tcPr>
            <w:tcW w:w="427" w:type="pct"/>
            <w:tcBorders>
              <w:top w:val="nil"/>
              <w:left w:val="single" w:sz="4" w:space="0" w:color="auto"/>
              <w:bottom w:val="nil"/>
              <w:right w:val="nil"/>
            </w:tcBorders>
            <w:shd w:val="clear" w:color="auto" w:fill="auto"/>
            <w:noWrap/>
            <w:vAlign w:val="bottom"/>
            <w:hideMark/>
          </w:tcPr>
          <w:p w14:paraId="5E9F9B88" w14:textId="77777777" w:rsidR="00A61255" w:rsidRPr="006B42D6" w:rsidRDefault="00A61255" w:rsidP="006C676D">
            <w:pPr>
              <w:jc w:val="right"/>
              <w:rPr>
                <w:sz w:val="16"/>
                <w:szCs w:val="16"/>
              </w:rPr>
            </w:pPr>
            <w:r w:rsidRPr="006B42D6">
              <w:rPr>
                <w:sz w:val="16"/>
                <w:szCs w:val="16"/>
              </w:rPr>
              <w:t>547</w:t>
            </w:r>
          </w:p>
        </w:tc>
        <w:tc>
          <w:tcPr>
            <w:tcW w:w="403" w:type="pct"/>
            <w:tcBorders>
              <w:top w:val="nil"/>
              <w:left w:val="nil"/>
              <w:bottom w:val="nil"/>
              <w:right w:val="nil"/>
            </w:tcBorders>
            <w:shd w:val="clear" w:color="auto" w:fill="auto"/>
            <w:noWrap/>
            <w:vAlign w:val="bottom"/>
            <w:hideMark/>
          </w:tcPr>
          <w:p w14:paraId="2C1EA2F9" w14:textId="77777777" w:rsidR="00A61255" w:rsidRPr="006B42D6" w:rsidRDefault="00A61255" w:rsidP="006C676D">
            <w:pPr>
              <w:jc w:val="right"/>
              <w:rPr>
                <w:sz w:val="16"/>
                <w:szCs w:val="16"/>
              </w:rPr>
            </w:pPr>
            <w:r w:rsidRPr="006B42D6">
              <w:rPr>
                <w:sz w:val="16"/>
                <w:szCs w:val="16"/>
              </w:rPr>
              <w:t>4.5</w:t>
            </w:r>
          </w:p>
        </w:tc>
      </w:tr>
      <w:tr w:rsidR="006B42D6" w:rsidRPr="006B42D6" w14:paraId="2FAC315F" w14:textId="77777777" w:rsidTr="00BA6B5C">
        <w:trPr>
          <w:trHeight w:val="80"/>
        </w:trPr>
        <w:tc>
          <w:tcPr>
            <w:tcW w:w="851" w:type="pct"/>
            <w:tcBorders>
              <w:top w:val="nil"/>
              <w:left w:val="nil"/>
              <w:bottom w:val="nil"/>
              <w:right w:val="single" w:sz="4" w:space="0" w:color="auto"/>
            </w:tcBorders>
            <w:shd w:val="clear" w:color="auto" w:fill="auto"/>
            <w:noWrap/>
            <w:vAlign w:val="center"/>
            <w:hideMark/>
          </w:tcPr>
          <w:p w14:paraId="0CA51B43" w14:textId="77777777" w:rsidR="00A61255" w:rsidRPr="006B42D6" w:rsidRDefault="00A61255" w:rsidP="006C676D">
            <w:pPr>
              <w:rPr>
                <w:sz w:val="16"/>
                <w:szCs w:val="16"/>
              </w:rPr>
            </w:pPr>
            <w:r w:rsidRPr="006B42D6">
              <w:rPr>
                <w:sz w:val="16"/>
                <w:szCs w:val="16"/>
              </w:rPr>
              <w:t>Tabora</w:t>
            </w:r>
          </w:p>
        </w:tc>
        <w:tc>
          <w:tcPr>
            <w:tcW w:w="427" w:type="pct"/>
            <w:tcBorders>
              <w:top w:val="nil"/>
              <w:left w:val="nil"/>
              <w:bottom w:val="nil"/>
              <w:right w:val="nil"/>
            </w:tcBorders>
            <w:shd w:val="clear" w:color="auto" w:fill="auto"/>
            <w:noWrap/>
            <w:vAlign w:val="bottom"/>
            <w:hideMark/>
          </w:tcPr>
          <w:p w14:paraId="351389BF" w14:textId="77777777" w:rsidR="00A61255" w:rsidRPr="006B42D6" w:rsidRDefault="00A61255" w:rsidP="006C676D">
            <w:pPr>
              <w:jc w:val="right"/>
              <w:rPr>
                <w:sz w:val="16"/>
                <w:szCs w:val="16"/>
              </w:rPr>
            </w:pPr>
            <w:r w:rsidRPr="006B42D6">
              <w:rPr>
                <w:sz w:val="16"/>
                <w:szCs w:val="16"/>
              </w:rPr>
              <w:t>2,289</w:t>
            </w:r>
          </w:p>
        </w:tc>
        <w:tc>
          <w:tcPr>
            <w:tcW w:w="403" w:type="pct"/>
            <w:tcBorders>
              <w:top w:val="nil"/>
              <w:left w:val="nil"/>
              <w:bottom w:val="nil"/>
              <w:right w:val="single" w:sz="4" w:space="0" w:color="auto"/>
            </w:tcBorders>
            <w:shd w:val="clear" w:color="auto" w:fill="auto"/>
            <w:noWrap/>
            <w:vAlign w:val="bottom"/>
            <w:hideMark/>
          </w:tcPr>
          <w:p w14:paraId="499824E6" w14:textId="77777777" w:rsidR="00A61255" w:rsidRPr="006B42D6" w:rsidRDefault="00A61255" w:rsidP="006C676D">
            <w:pPr>
              <w:jc w:val="right"/>
              <w:rPr>
                <w:sz w:val="16"/>
                <w:szCs w:val="16"/>
              </w:rPr>
            </w:pPr>
            <w:r w:rsidRPr="006B42D6">
              <w:rPr>
                <w:sz w:val="16"/>
                <w:szCs w:val="16"/>
              </w:rPr>
              <w:t>1.2</w:t>
            </w:r>
          </w:p>
        </w:tc>
        <w:tc>
          <w:tcPr>
            <w:tcW w:w="427" w:type="pct"/>
            <w:tcBorders>
              <w:top w:val="nil"/>
              <w:left w:val="nil"/>
              <w:bottom w:val="nil"/>
              <w:right w:val="nil"/>
            </w:tcBorders>
            <w:shd w:val="clear" w:color="auto" w:fill="auto"/>
            <w:noWrap/>
            <w:vAlign w:val="bottom"/>
            <w:hideMark/>
          </w:tcPr>
          <w:p w14:paraId="6CCC7474" w14:textId="77777777" w:rsidR="00A61255" w:rsidRPr="006B42D6" w:rsidRDefault="00A61255" w:rsidP="006C676D">
            <w:pPr>
              <w:jc w:val="right"/>
              <w:rPr>
                <w:sz w:val="16"/>
                <w:szCs w:val="16"/>
              </w:rPr>
            </w:pPr>
            <w:r w:rsidRPr="006B42D6">
              <w:rPr>
                <w:sz w:val="16"/>
                <w:szCs w:val="16"/>
              </w:rPr>
              <w:t>539</w:t>
            </w:r>
          </w:p>
        </w:tc>
        <w:tc>
          <w:tcPr>
            <w:tcW w:w="403" w:type="pct"/>
            <w:tcBorders>
              <w:top w:val="nil"/>
              <w:left w:val="nil"/>
              <w:bottom w:val="nil"/>
              <w:right w:val="nil"/>
            </w:tcBorders>
            <w:shd w:val="clear" w:color="auto" w:fill="auto"/>
            <w:noWrap/>
            <w:vAlign w:val="bottom"/>
            <w:hideMark/>
          </w:tcPr>
          <w:p w14:paraId="7A9C6B5E" w14:textId="77777777" w:rsidR="00A61255" w:rsidRPr="006B42D6" w:rsidRDefault="00A61255" w:rsidP="006C676D">
            <w:pPr>
              <w:jc w:val="right"/>
              <w:rPr>
                <w:sz w:val="16"/>
                <w:szCs w:val="16"/>
              </w:rPr>
            </w:pPr>
            <w:r w:rsidRPr="006B42D6">
              <w:rPr>
                <w:sz w:val="16"/>
                <w:szCs w:val="16"/>
              </w:rPr>
              <w:t>8.8</w:t>
            </w:r>
          </w:p>
        </w:tc>
        <w:tc>
          <w:tcPr>
            <w:tcW w:w="427" w:type="pct"/>
            <w:tcBorders>
              <w:top w:val="nil"/>
              <w:left w:val="single" w:sz="4" w:space="0" w:color="auto"/>
              <w:bottom w:val="nil"/>
              <w:right w:val="nil"/>
            </w:tcBorders>
            <w:shd w:val="clear" w:color="auto" w:fill="auto"/>
            <w:noWrap/>
            <w:vAlign w:val="bottom"/>
            <w:hideMark/>
          </w:tcPr>
          <w:p w14:paraId="5DCFDE45" w14:textId="77777777" w:rsidR="00A61255" w:rsidRPr="006B42D6" w:rsidRDefault="00A61255" w:rsidP="006C676D">
            <w:pPr>
              <w:jc w:val="right"/>
              <w:rPr>
                <w:sz w:val="16"/>
                <w:szCs w:val="16"/>
              </w:rPr>
            </w:pPr>
            <w:r w:rsidRPr="006B42D6">
              <w:rPr>
                <w:sz w:val="16"/>
                <w:szCs w:val="16"/>
              </w:rPr>
              <w:t>180</w:t>
            </w:r>
          </w:p>
        </w:tc>
        <w:tc>
          <w:tcPr>
            <w:tcW w:w="403" w:type="pct"/>
            <w:tcBorders>
              <w:top w:val="nil"/>
              <w:left w:val="nil"/>
              <w:bottom w:val="nil"/>
              <w:right w:val="single" w:sz="4" w:space="0" w:color="auto"/>
            </w:tcBorders>
            <w:shd w:val="clear" w:color="auto" w:fill="auto"/>
            <w:noWrap/>
            <w:vAlign w:val="bottom"/>
            <w:hideMark/>
          </w:tcPr>
          <w:p w14:paraId="0A8EF747" w14:textId="77777777" w:rsidR="00A61255" w:rsidRPr="006B42D6" w:rsidRDefault="00A61255" w:rsidP="006C676D">
            <w:pPr>
              <w:jc w:val="right"/>
              <w:rPr>
                <w:sz w:val="16"/>
                <w:szCs w:val="16"/>
              </w:rPr>
            </w:pPr>
            <w:r w:rsidRPr="006B42D6">
              <w:rPr>
                <w:sz w:val="16"/>
                <w:szCs w:val="16"/>
              </w:rPr>
              <w:t>1.6</w:t>
            </w:r>
          </w:p>
        </w:tc>
        <w:tc>
          <w:tcPr>
            <w:tcW w:w="427" w:type="pct"/>
            <w:tcBorders>
              <w:top w:val="nil"/>
              <w:left w:val="nil"/>
              <w:bottom w:val="nil"/>
              <w:right w:val="nil"/>
            </w:tcBorders>
            <w:shd w:val="clear" w:color="auto" w:fill="auto"/>
            <w:noWrap/>
            <w:vAlign w:val="bottom"/>
            <w:hideMark/>
          </w:tcPr>
          <w:p w14:paraId="29B11C16"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0A8F41CD" w14:textId="77777777" w:rsidR="00A61255" w:rsidRPr="006B42D6" w:rsidRDefault="00A61255" w:rsidP="006C676D">
            <w:pPr>
              <w:jc w:val="right"/>
              <w:rPr>
                <w:sz w:val="16"/>
                <w:szCs w:val="16"/>
              </w:rPr>
            </w:pPr>
            <w:r w:rsidRPr="006B42D6">
              <w:rPr>
                <w:sz w:val="16"/>
                <w:szCs w:val="16"/>
              </w:rPr>
              <w:t>-</w:t>
            </w:r>
          </w:p>
        </w:tc>
        <w:tc>
          <w:tcPr>
            <w:tcW w:w="427" w:type="pct"/>
            <w:tcBorders>
              <w:top w:val="nil"/>
              <w:left w:val="single" w:sz="4" w:space="0" w:color="auto"/>
              <w:bottom w:val="nil"/>
              <w:right w:val="nil"/>
            </w:tcBorders>
            <w:shd w:val="clear" w:color="auto" w:fill="auto"/>
            <w:noWrap/>
            <w:vAlign w:val="bottom"/>
            <w:hideMark/>
          </w:tcPr>
          <w:p w14:paraId="34DC05BA" w14:textId="77777777" w:rsidR="00A61255" w:rsidRPr="006B42D6" w:rsidRDefault="00A61255" w:rsidP="006C676D">
            <w:pPr>
              <w:jc w:val="right"/>
              <w:rPr>
                <w:sz w:val="16"/>
                <w:szCs w:val="16"/>
              </w:rPr>
            </w:pPr>
            <w:r w:rsidRPr="006B42D6">
              <w:rPr>
                <w:sz w:val="16"/>
                <w:szCs w:val="16"/>
              </w:rPr>
              <w:t>599</w:t>
            </w:r>
          </w:p>
        </w:tc>
        <w:tc>
          <w:tcPr>
            <w:tcW w:w="403" w:type="pct"/>
            <w:tcBorders>
              <w:top w:val="nil"/>
              <w:left w:val="nil"/>
              <w:bottom w:val="nil"/>
              <w:right w:val="nil"/>
            </w:tcBorders>
            <w:shd w:val="clear" w:color="auto" w:fill="auto"/>
            <w:noWrap/>
            <w:vAlign w:val="bottom"/>
            <w:hideMark/>
          </w:tcPr>
          <w:p w14:paraId="77D48982" w14:textId="77777777" w:rsidR="00A61255" w:rsidRPr="006B42D6" w:rsidRDefault="00A61255" w:rsidP="006C676D">
            <w:pPr>
              <w:jc w:val="right"/>
              <w:rPr>
                <w:sz w:val="16"/>
                <w:szCs w:val="16"/>
              </w:rPr>
            </w:pPr>
            <w:r w:rsidRPr="006B42D6">
              <w:rPr>
                <w:sz w:val="16"/>
                <w:szCs w:val="16"/>
              </w:rPr>
              <w:t>4.9</w:t>
            </w:r>
          </w:p>
        </w:tc>
      </w:tr>
      <w:tr w:rsidR="006B42D6" w:rsidRPr="006B42D6" w14:paraId="5DBCDB72" w14:textId="77777777" w:rsidTr="00BA6B5C">
        <w:trPr>
          <w:trHeight w:val="111"/>
        </w:trPr>
        <w:tc>
          <w:tcPr>
            <w:tcW w:w="851" w:type="pct"/>
            <w:tcBorders>
              <w:top w:val="nil"/>
              <w:left w:val="nil"/>
              <w:bottom w:val="nil"/>
              <w:right w:val="single" w:sz="4" w:space="0" w:color="auto"/>
            </w:tcBorders>
            <w:shd w:val="clear" w:color="auto" w:fill="auto"/>
            <w:noWrap/>
            <w:vAlign w:val="center"/>
            <w:hideMark/>
          </w:tcPr>
          <w:p w14:paraId="7BEEC7C6" w14:textId="77777777" w:rsidR="00A61255" w:rsidRPr="006B42D6" w:rsidRDefault="00A61255" w:rsidP="006C676D">
            <w:pPr>
              <w:rPr>
                <w:sz w:val="16"/>
                <w:szCs w:val="16"/>
              </w:rPr>
            </w:pPr>
            <w:r w:rsidRPr="006B42D6">
              <w:rPr>
                <w:sz w:val="16"/>
                <w:szCs w:val="16"/>
              </w:rPr>
              <w:t>Rukwa</w:t>
            </w:r>
          </w:p>
        </w:tc>
        <w:tc>
          <w:tcPr>
            <w:tcW w:w="427" w:type="pct"/>
            <w:tcBorders>
              <w:top w:val="nil"/>
              <w:left w:val="nil"/>
              <w:bottom w:val="nil"/>
              <w:right w:val="nil"/>
            </w:tcBorders>
            <w:shd w:val="clear" w:color="auto" w:fill="auto"/>
            <w:noWrap/>
            <w:vAlign w:val="bottom"/>
            <w:hideMark/>
          </w:tcPr>
          <w:p w14:paraId="1272F4F6"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single" w:sz="4" w:space="0" w:color="auto"/>
            </w:tcBorders>
            <w:shd w:val="clear" w:color="auto" w:fill="auto"/>
            <w:noWrap/>
            <w:vAlign w:val="bottom"/>
            <w:hideMark/>
          </w:tcPr>
          <w:p w14:paraId="5F2C48EC" w14:textId="77777777" w:rsidR="00A61255" w:rsidRPr="006B42D6" w:rsidRDefault="00A61255" w:rsidP="006C676D">
            <w:pPr>
              <w:jc w:val="right"/>
              <w:rPr>
                <w:sz w:val="16"/>
                <w:szCs w:val="16"/>
              </w:rPr>
            </w:pPr>
            <w:r w:rsidRPr="006B42D6">
              <w:rPr>
                <w:sz w:val="16"/>
                <w:szCs w:val="16"/>
              </w:rPr>
              <w:t>-</w:t>
            </w:r>
          </w:p>
        </w:tc>
        <w:tc>
          <w:tcPr>
            <w:tcW w:w="427" w:type="pct"/>
            <w:tcBorders>
              <w:top w:val="nil"/>
              <w:left w:val="nil"/>
              <w:bottom w:val="nil"/>
              <w:right w:val="nil"/>
            </w:tcBorders>
            <w:shd w:val="clear" w:color="auto" w:fill="auto"/>
            <w:noWrap/>
            <w:vAlign w:val="bottom"/>
            <w:hideMark/>
          </w:tcPr>
          <w:p w14:paraId="40F6717B"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496C5D2A" w14:textId="77777777" w:rsidR="00A61255" w:rsidRPr="006B42D6" w:rsidRDefault="00A61255" w:rsidP="006C676D">
            <w:pPr>
              <w:jc w:val="right"/>
              <w:rPr>
                <w:sz w:val="16"/>
                <w:szCs w:val="16"/>
              </w:rPr>
            </w:pPr>
            <w:r w:rsidRPr="006B42D6">
              <w:rPr>
                <w:sz w:val="16"/>
                <w:szCs w:val="16"/>
              </w:rPr>
              <w:t>-</w:t>
            </w:r>
          </w:p>
        </w:tc>
        <w:tc>
          <w:tcPr>
            <w:tcW w:w="427" w:type="pct"/>
            <w:tcBorders>
              <w:top w:val="nil"/>
              <w:left w:val="single" w:sz="4" w:space="0" w:color="auto"/>
              <w:bottom w:val="nil"/>
              <w:right w:val="nil"/>
            </w:tcBorders>
            <w:shd w:val="clear" w:color="auto" w:fill="auto"/>
            <w:noWrap/>
            <w:vAlign w:val="bottom"/>
            <w:hideMark/>
          </w:tcPr>
          <w:p w14:paraId="5D3EFA29" w14:textId="77777777" w:rsidR="00A61255" w:rsidRPr="006B42D6" w:rsidRDefault="00A61255" w:rsidP="006C676D">
            <w:pPr>
              <w:jc w:val="right"/>
              <w:rPr>
                <w:sz w:val="16"/>
                <w:szCs w:val="16"/>
              </w:rPr>
            </w:pPr>
            <w:r w:rsidRPr="006B42D6">
              <w:rPr>
                <w:sz w:val="16"/>
                <w:szCs w:val="16"/>
              </w:rPr>
              <w:t>639</w:t>
            </w:r>
          </w:p>
        </w:tc>
        <w:tc>
          <w:tcPr>
            <w:tcW w:w="403" w:type="pct"/>
            <w:tcBorders>
              <w:top w:val="nil"/>
              <w:left w:val="nil"/>
              <w:bottom w:val="nil"/>
              <w:right w:val="single" w:sz="4" w:space="0" w:color="auto"/>
            </w:tcBorders>
            <w:shd w:val="clear" w:color="auto" w:fill="auto"/>
            <w:noWrap/>
            <w:vAlign w:val="bottom"/>
            <w:hideMark/>
          </w:tcPr>
          <w:p w14:paraId="540FD1EE" w14:textId="77777777" w:rsidR="00A61255" w:rsidRPr="006B42D6" w:rsidRDefault="00A61255" w:rsidP="006C676D">
            <w:pPr>
              <w:jc w:val="right"/>
              <w:rPr>
                <w:sz w:val="16"/>
                <w:szCs w:val="16"/>
              </w:rPr>
            </w:pPr>
            <w:r w:rsidRPr="006B42D6">
              <w:rPr>
                <w:sz w:val="16"/>
                <w:szCs w:val="16"/>
              </w:rPr>
              <w:t>5.8</w:t>
            </w:r>
          </w:p>
        </w:tc>
        <w:tc>
          <w:tcPr>
            <w:tcW w:w="427" w:type="pct"/>
            <w:tcBorders>
              <w:top w:val="nil"/>
              <w:left w:val="nil"/>
              <w:bottom w:val="nil"/>
              <w:right w:val="nil"/>
            </w:tcBorders>
            <w:shd w:val="clear" w:color="auto" w:fill="auto"/>
            <w:noWrap/>
            <w:vAlign w:val="bottom"/>
            <w:hideMark/>
          </w:tcPr>
          <w:p w14:paraId="7DF58BE5" w14:textId="77777777" w:rsidR="00A61255" w:rsidRPr="006B42D6" w:rsidRDefault="00A61255" w:rsidP="006C676D">
            <w:pPr>
              <w:jc w:val="right"/>
              <w:rPr>
                <w:sz w:val="16"/>
                <w:szCs w:val="16"/>
              </w:rPr>
            </w:pPr>
            <w:r w:rsidRPr="006B42D6">
              <w:rPr>
                <w:sz w:val="16"/>
                <w:szCs w:val="16"/>
              </w:rPr>
              <w:t>9,521</w:t>
            </w:r>
          </w:p>
        </w:tc>
        <w:tc>
          <w:tcPr>
            <w:tcW w:w="403" w:type="pct"/>
            <w:tcBorders>
              <w:top w:val="nil"/>
              <w:left w:val="nil"/>
              <w:bottom w:val="nil"/>
              <w:right w:val="nil"/>
            </w:tcBorders>
            <w:shd w:val="clear" w:color="auto" w:fill="auto"/>
            <w:noWrap/>
            <w:vAlign w:val="bottom"/>
            <w:hideMark/>
          </w:tcPr>
          <w:p w14:paraId="5004DABC" w14:textId="77777777" w:rsidR="00A61255" w:rsidRPr="006B42D6" w:rsidRDefault="00A61255" w:rsidP="006C676D">
            <w:pPr>
              <w:jc w:val="right"/>
              <w:rPr>
                <w:sz w:val="16"/>
                <w:szCs w:val="16"/>
              </w:rPr>
            </w:pPr>
            <w:r w:rsidRPr="006B42D6">
              <w:rPr>
                <w:sz w:val="16"/>
                <w:szCs w:val="16"/>
              </w:rPr>
              <w:t>3.5</w:t>
            </w:r>
          </w:p>
        </w:tc>
        <w:tc>
          <w:tcPr>
            <w:tcW w:w="427" w:type="pct"/>
            <w:tcBorders>
              <w:top w:val="nil"/>
              <w:left w:val="single" w:sz="4" w:space="0" w:color="auto"/>
              <w:bottom w:val="nil"/>
              <w:right w:val="nil"/>
            </w:tcBorders>
            <w:shd w:val="clear" w:color="auto" w:fill="auto"/>
            <w:noWrap/>
            <w:vAlign w:val="bottom"/>
            <w:hideMark/>
          </w:tcPr>
          <w:p w14:paraId="65483297"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1DC9B1F6" w14:textId="77777777" w:rsidR="00A61255" w:rsidRPr="006B42D6" w:rsidRDefault="00A61255" w:rsidP="006C676D">
            <w:pPr>
              <w:jc w:val="right"/>
              <w:rPr>
                <w:sz w:val="16"/>
                <w:szCs w:val="16"/>
              </w:rPr>
            </w:pPr>
            <w:r w:rsidRPr="006B42D6">
              <w:rPr>
                <w:sz w:val="16"/>
                <w:szCs w:val="16"/>
              </w:rPr>
              <w:t>-</w:t>
            </w:r>
          </w:p>
        </w:tc>
      </w:tr>
      <w:tr w:rsidR="006B42D6" w:rsidRPr="006B42D6" w14:paraId="7E2D216A" w14:textId="77777777" w:rsidTr="00BA6B5C">
        <w:trPr>
          <w:trHeight w:val="80"/>
        </w:trPr>
        <w:tc>
          <w:tcPr>
            <w:tcW w:w="851" w:type="pct"/>
            <w:tcBorders>
              <w:top w:val="nil"/>
              <w:left w:val="nil"/>
              <w:bottom w:val="nil"/>
              <w:right w:val="single" w:sz="4" w:space="0" w:color="auto"/>
            </w:tcBorders>
            <w:shd w:val="clear" w:color="auto" w:fill="auto"/>
            <w:noWrap/>
            <w:vAlign w:val="center"/>
            <w:hideMark/>
          </w:tcPr>
          <w:p w14:paraId="313B7D48" w14:textId="77777777" w:rsidR="00A61255" w:rsidRPr="006B42D6" w:rsidRDefault="00A61255" w:rsidP="006C676D">
            <w:pPr>
              <w:rPr>
                <w:sz w:val="16"/>
                <w:szCs w:val="16"/>
              </w:rPr>
            </w:pPr>
            <w:r w:rsidRPr="006B42D6">
              <w:rPr>
                <w:sz w:val="16"/>
                <w:szCs w:val="16"/>
              </w:rPr>
              <w:t>Kigoma</w:t>
            </w:r>
          </w:p>
        </w:tc>
        <w:tc>
          <w:tcPr>
            <w:tcW w:w="427" w:type="pct"/>
            <w:tcBorders>
              <w:top w:val="nil"/>
              <w:left w:val="nil"/>
              <w:bottom w:val="nil"/>
              <w:right w:val="nil"/>
            </w:tcBorders>
            <w:shd w:val="clear" w:color="auto" w:fill="auto"/>
            <w:noWrap/>
            <w:vAlign w:val="bottom"/>
            <w:hideMark/>
          </w:tcPr>
          <w:p w14:paraId="5241F6F7"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single" w:sz="4" w:space="0" w:color="auto"/>
            </w:tcBorders>
            <w:shd w:val="clear" w:color="auto" w:fill="auto"/>
            <w:noWrap/>
            <w:vAlign w:val="bottom"/>
            <w:hideMark/>
          </w:tcPr>
          <w:p w14:paraId="47AC4A55" w14:textId="77777777" w:rsidR="00A61255" w:rsidRPr="006B42D6" w:rsidRDefault="00A61255" w:rsidP="006C676D">
            <w:pPr>
              <w:jc w:val="right"/>
              <w:rPr>
                <w:sz w:val="16"/>
                <w:szCs w:val="16"/>
              </w:rPr>
            </w:pPr>
            <w:r w:rsidRPr="006B42D6">
              <w:rPr>
                <w:sz w:val="16"/>
                <w:szCs w:val="16"/>
              </w:rPr>
              <w:t>-</w:t>
            </w:r>
          </w:p>
        </w:tc>
        <w:tc>
          <w:tcPr>
            <w:tcW w:w="427" w:type="pct"/>
            <w:tcBorders>
              <w:top w:val="nil"/>
              <w:left w:val="nil"/>
              <w:bottom w:val="nil"/>
              <w:right w:val="nil"/>
            </w:tcBorders>
            <w:shd w:val="clear" w:color="auto" w:fill="auto"/>
            <w:noWrap/>
            <w:vAlign w:val="bottom"/>
            <w:hideMark/>
          </w:tcPr>
          <w:p w14:paraId="37AC683C"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6C2798F7" w14:textId="77777777" w:rsidR="00A61255" w:rsidRPr="006B42D6" w:rsidRDefault="00A61255" w:rsidP="006C676D">
            <w:pPr>
              <w:jc w:val="right"/>
              <w:rPr>
                <w:sz w:val="16"/>
                <w:szCs w:val="16"/>
              </w:rPr>
            </w:pPr>
            <w:r w:rsidRPr="006B42D6">
              <w:rPr>
                <w:sz w:val="16"/>
                <w:szCs w:val="16"/>
              </w:rPr>
              <w:t>-</w:t>
            </w:r>
          </w:p>
        </w:tc>
        <w:tc>
          <w:tcPr>
            <w:tcW w:w="427" w:type="pct"/>
            <w:tcBorders>
              <w:top w:val="nil"/>
              <w:left w:val="single" w:sz="4" w:space="0" w:color="auto"/>
              <w:bottom w:val="nil"/>
              <w:right w:val="nil"/>
            </w:tcBorders>
            <w:shd w:val="clear" w:color="auto" w:fill="auto"/>
            <w:noWrap/>
            <w:vAlign w:val="bottom"/>
            <w:hideMark/>
          </w:tcPr>
          <w:p w14:paraId="46242D66"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single" w:sz="4" w:space="0" w:color="auto"/>
            </w:tcBorders>
            <w:shd w:val="clear" w:color="auto" w:fill="auto"/>
            <w:noWrap/>
            <w:vAlign w:val="bottom"/>
            <w:hideMark/>
          </w:tcPr>
          <w:p w14:paraId="74EE6AA8" w14:textId="77777777" w:rsidR="00A61255" w:rsidRPr="006B42D6" w:rsidRDefault="00A61255" w:rsidP="006C676D">
            <w:pPr>
              <w:jc w:val="right"/>
              <w:rPr>
                <w:sz w:val="16"/>
                <w:szCs w:val="16"/>
              </w:rPr>
            </w:pPr>
            <w:r w:rsidRPr="006B42D6">
              <w:rPr>
                <w:sz w:val="16"/>
                <w:szCs w:val="16"/>
              </w:rPr>
              <w:t>-</w:t>
            </w:r>
          </w:p>
        </w:tc>
        <w:tc>
          <w:tcPr>
            <w:tcW w:w="427" w:type="pct"/>
            <w:tcBorders>
              <w:top w:val="nil"/>
              <w:left w:val="nil"/>
              <w:bottom w:val="nil"/>
              <w:right w:val="nil"/>
            </w:tcBorders>
            <w:shd w:val="clear" w:color="auto" w:fill="auto"/>
            <w:noWrap/>
            <w:vAlign w:val="bottom"/>
            <w:hideMark/>
          </w:tcPr>
          <w:p w14:paraId="797EAF9B" w14:textId="77777777" w:rsidR="00A61255" w:rsidRPr="006B42D6" w:rsidRDefault="00A61255" w:rsidP="006C676D">
            <w:pPr>
              <w:jc w:val="right"/>
              <w:rPr>
                <w:sz w:val="16"/>
                <w:szCs w:val="16"/>
              </w:rPr>
            </w:pPr>
            <w:r w:rsidRPr="006B42D6">
              <w:rPr>
                <w:sz w:val="16"/>
                <w:szCs w:val="16"/>
              </w:rPr>
              <w:t>9,633</w:t>
            </w:r>
          </w:p>
        </w:tc>
        <w:tc>
          <w:tcPr>
            <w:tcW w:w="403" w:type="pct"/>
            <w:tcBorders>
              <w:top w:val="nil"/>
              <w:left w:val="nil"/>
              <w:bottom w:val="nil"/>
              <w:right w:val="nil"/>
            </w:tcBorders>
            <w:shd w:val="clear" w:color="auto" w:fill="auto"/>
            <w:noWrap/>
            <w:vAlign w:val="bottom"/>
            <w:hideMark/>
          </w:tcPr>
          <w:p w14:paraId="0C23C1D3" w14:textId="77777777" w:rsidR="00A61255" w:rsidRPr="006B42D6" w:rsidRDefault="00A61255" w:rsidP="006C676D">
            <w:pPr>
              <w:jc w:val="right"/>
              <w:rPr>
                <w:sz w:val="16"/>
                <w:szCs w:val="16"/>
              </w:rPr>
            </w:pPr>
            <w:r w:rsidRPr="006B42D6">
              <w:rPr>
                <w:sz w:val="16"/>
                <w:szCs w:val="16"/>
              </w:rPr>
              <w:t>3.5</w:t>
            </w:r>
          </w:p>
        </w:tc>
        <w:tc>
          <w:tcPr>
            <w:tcW w:w="427" w:type="pct"/>
            <w:tcBorders>
              <w:top w:val="nil"/>
              <w:left w:val="single" w:sz="4" w:space="0" w:color="auto"/>
              <w:bottom w:val="nil"/>
              <w:right w:val="nil"/>
            </w:tcBorders>
            <w:shd w:val="clear" w:color="auto" w:fill="auto"/>
            <w:noWrap/>
            <w:vAlign w:val="bottom"/>
            <w:hideMark/>
          </w:tcPr>
          <w:p w14:paraId="52CF8083" w14:textId="77777777" w:rsidR="00A61255" w:rsidRPr="006B42D6" w:rsidRDefault="00A61255" w:rsidP="006C676D">
            <w:pPr>
              <w:jc w:val="right"/>
              <w:rPr>
                <w:sz w:val="16"/>
                <w:szCs w:val="16"/>
              </w:rPr>
            </w:pPr>
            <w:r w:rsidRPr="006B42D6">
              <w:rPr>
                <w:sz w:val="16"/>
                <w:szCs w:val="16"/>
              </w:rPr>
              <w:t>2,138</w:t>
            </w:r>
          </w:p>
        </w:tc>
        <w:tc>
          <w:tcPr>
            <w:tcW w:w="403" w:type="pct"/>
            <w:tcBorders>
              <w:top w:val="nil"/>
              <w:left w:val="nil"/>
              <w:bottom w:val="nil"/>
              <w:right w:val="nil"/>
            </w:tcBorders>
            <w:shd w:val="clear" w:color="auto" w:fill="auto"/>
            <w:noWrap/>
            <w:vAlign w:val="bottom"/>
            <w:hideMark/>
          </w:tcPr>
          <w:p w14:paraId="7D81F8A7" w14:textId="77777777" w:rsidR="00A61255" w:rsidRPr="006B42D6" w:rsidRDefault="00A61255" w:rsidP="006C676D">
            <w:pPr>
              <w:jc w:val="right"/>
              <w:rPr>
                <w:sz w:val="16"/>
                <w:szCs w:val="16"/>
              </w:rPr>
            </w:pPr>
            <w:r w:rsidRPr="006B42D6">
              <w:rPr>
                <w:sz w:val="16"/>
                <w:szCs w:val="16"/>
              </w:rPr>
              <w:t>17.6</w:t>
            </w:r>
          </w:p>
        </w:tc>
      </w:tr>
      <w:tr w:rsidR="006B42D6" w:rsidRPr="006B42D6" w14:paraId="68B96862" w14:textId="77777777" w:rsidTr="00BA6B5C">
        <w:trPr>
          <w:trHeight w:val="80"/>
        </w:trPr>
        <w:tc>
          <w:tcPr>
            <w:tcW w:w="851" w:type="pct"/>
            <w:tcBorders>
              <w:top w:val="nil"/>
              <w:left w:val="nil"/>
              <w:bottom w:val="nil"/>
              <w:right w:val="single" w:sz="4" w:space="0" w:color="auto"/>
            </w:tcBorders>
            <w:shd w:val="clear" w:color="auto" w:fill="auto"/>
            <w:noWrap/>
            <w:vAlign w:val="center"/>
            <w:hideMark/>
          </w:tcPr>
          <w:p w14:paraId="2467DE5D" w14:textId="77777777" w:rsidR="00A61255" w:rsidRPr="006B42D6" w:rsidRDefault="00A61255" w:rsidP="006C676D">
            <w:pPr>
              <w:rPr>
                <w:sz w:val="16"/>
                <w:szCs w:val="16"/>
              </w:rPr>
            </w:pPr>
            <w:r w:rsidRPr="006B42D6">
              <w:rPr>
                <w:sz w:val="16"/>
                <w:szCs w:val="16"/>
              </w:rPr>
              <w:t>Shinyanga</w:t>
            </w:r>
          </w:p>
        </w:tc>
        <w:tc>
          <w:tcPr>
            <w:tcW w:w="427" w:type="pct"/>
            <w:tcBorders>
              <w:top w:val="nil"/>
              <w:left w:val="nil"/>
              <w:bottom w:val="nil"/>
              <w:right w:val="nil"/>
            </w:tcBorders>
            <w:shd w:val="clear" w:color="auto" w:fill="auto"/>
            <w:noWrap/>
            <w:vAlign w:val="bottom"/>
            <w:hideMark/>
          </w:tcPr>
          <w:p w14:paraId="3FCA5D31" w14:textId="77777777" w:rsidR="00A61255" w:rsidRPr="006B42D6" w:rsidRDefault="00A61255" w:rsidP="006C676D">
            <w:pPr>
              <w:jc w:val="right"/>
              <w:rPr>
                <w:sz w:val="16"/>
                <w:szCs w:val="16"/>
              </w:rPr>
            </w:pPr>
            <w:r w:rsidRPr="006B42D6">
              <w:rPr>
                <w:sz w:val="16"/>
                <w:szCs w:val="16"/>
              </w:rPr>
              <w:t>8,336</w:t>
            </w:r>
          </w:p>
        </w:tc>
        <w:tc>
          <w:tcPr>
            <w:tcW w:w="403" w:type="pct"/>
            <w:tcBorders>
              <w:top w:val="nil"/>
              <w:left w:val="nil"/>
              <w:bottom w:val="nil"/>
              <w:right w:val="single" w:sz="4" w:space="0" w:color="auto"/>
            </w:tcBorders>
            <w:shd w:val="clear" w:color="auto" w:fill="auto"/>
            <w:noWrap/>
            <w:vAlign w:val="bottom"/>
            <w:hideMark/>
          </w:tcPr>
          <w:p w14:paraId="5165FE9C" w14:textId="77777777" w:rsidR="00A61255" w:rsidRPr="006B42D6" w:rsidRDefault="00A61255" w:rsidP="006C676D">
            <w:pPr>
              <w:jc w:val="right"/>
              <w:rPr>
                <w:sz w:val="16"/>
                <w:szCs w:val="16"/>
              </w:rPr>
            </w:pPr>
            <w:r w:rsidRPr="006B42D6">
              <w:rPr>
                <w:sz w:val="16"/>
                <w:szCs w:val="16"/>
              </w:rPr>
              <w:t>4.2</w:t>
            </w:r>
          </w:p>
        </w:tc>
        <w:tc>
          <w:tcPr>
            <w:tcW w:w="427" w:type="pct"/>
            <w:tcBorders>
              <w:top w:val="nil"/>
              <w:left w:val="nil"/>
              <w:bottom w:val="nil"/>
              <w:right w:val="nil"/>
            </w:tcBorders>
            <w:shd w:val="clear" w:color="auto" w:fill="auto"/>
            <w:noWrap/>
            <w:vAlign w:val="bottom"/>
            <w:hideMark/>
          </w:tcPr>
          <w:p w14:paraId="50E59065"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11E157D9" w14:textId="77777777" w:rsidR="00A61255" w:rsidRPr="006B42D6" w:rsidRDefault="00A61255" w:rsidP="006C676D">
            <w:pPr>
              <w:jc w:val="right"/>
              <w:rPr>
                <w:sz w:val="16"/>
                <w:szCs w:val="16"/>
              </w:rPr>
            </w:pPr>
            <w:r w:rsidRPr="006B42D6">
              <w:rPr>
                <w:sz w:val="16"/>
                <w:szCs w:val="16"/>
              </w:rPr>
              <w:t>-</w:t>
            </w:r>
          </w:p>
        </w:tc>
        <w:tc>
          <w:tcPr>
            <w:tcW w:w="427" w:type="pct"/>
            <w:tcBorders>
              <w:top w:val="nil"/>
              <w:left w:val="single" w:sz="4" w:space="0" w:color="auto"/>
              <w:bottom w:val="nil"/>
              <w:right w:val="nil"/>
            </w:tcBorders>
            <w:shd w:val="clear" w:color="auto" w:fill="auto"/>
            <w:noWrap/>
            <w:vAlign w:val="bottom"/>
            <w:hideMark/>
          </w:tcPr>
          <w:p w14:paraId="0CF3DB8E"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single" w:sz="4" w:space="0" w:color="auto"/>
            </w:tcBorders>
            <w:shd w:val="clear" w:color="auto" w:fill="auto"/>
            <w:noWrap/>
            <w:vAlign w:val="bottom"/>
            <w:hideMark/>
          </w:tcPr>
          <w:p w14:paraId="023A8126" w14:textId="77777777" w:rsidR="00A61255" w:rsidRPr="006B42D6" w:rsidRDefault="00A61255" w:rsidP="006C676D">
            <w:pPr>
              <w:jc w:val="right"/>
              <w:rPr>
                <w:sz w:val="16"/>
                <w:szCs w:val="16"/>
              </w:rPr>
            </w:pPr>
            <w:r w:rsidRPr="006B42D6">
              <w:rPr>
                <w:sz w:val="16"/>
                <w:szCs w:val="16"/>
              </w:rPr>
              <w:t>-</w:t>
            </w:r>
          </w:p>
        </w:tc>
        <w:tc>
          <w:tcPr>
            <w:tcW w:w="427" w:type="pct"/>
            <w:tcBorders>
              <w:top w:val="nil"/>
              <w:left w:val="nil"/>
              <w:bottom w:val="nil"/>
              <w:right w:val="nil"/>
            </w:tcBorders>
            <w:shd w:val="clear" w:color="auto" w:fill="auto"/>
            <w:noWrap/>
            <w:vAlign w:val="bottom"/>
            <w:hideMark/>
          </w:tcPr>
          <w:p w14:paraId="197948E0" w14:textId="77777777" w:rsidR="00A61255" w:rsidRPr="006B42D6" w:rsidRDefault="00A61255" w:rsidP="006C676D">
            <w:pPr>
              <w:jc w:val="right"/>
              <w:rPr>
                <w:sz w:val="16"/>
                <w:szCs w:val="16"/>
              </w:rPr>
            </w:pPr>
            <w:r w:rsidRPr="006B42D6">
              <w:rPr>
                <w:sz w:val="16"/>
                <w:szCs w:val="16"/>
              </w:rPr>
              <w:t>1,570</w:t>
            </w:r>
          </w:p>
        </w:tc>
        <w:tc>
          <w:tcPr>
            <w:tcW w:w="403" w:type="pct"/>
            <w:tcBorders>
              <w:top w:val="nil"/>
              <w:left w:val="nil"/>
              <w:bottom w:val="nil"/>
              <w:right w:val="nil"/>
            </w:tcBorders>
            <w:shd w:val="clear" w:color="auto" w:fill="auto"/>
            <w:noWrap/>
            <w:vAlign w:val="bottom"/>
            <w:hideMark/>
          </w:tcPr>
          <w:p w14:paraId="5CED8A73" w14:textId="77777777" w:rsidR="00A61255" w:rsidRPr="006B42D6" w:rsidRDefault="00A61255" w:rsidP="006C676D">
            <w:pPr>
              <w:jc w:val="right"/>
              <w:rPr>
                <w:sz w:val="16"/>
                <w:szCs w:val="16"/>
              </w:rPr>
            </w:pPr>
            <w:r w:rsidRPr="006B42D6">
              <w:rPr>
                <w:sz w:val="16"/>
                <w:szCs w:val="16"/>
              </w:rPr>
              <w:t>0.6</w:t>
            </w:r>
          </w:p>
        </w:tc>
        <w:tc>
          <w:tcPr>
            <w:tcW w:w="427" w:type="pct"/>
            <w:tcBorders>
              <w:top w:val="nil"/>
              <w:left w:val="single" w:sz="4" w:space="0" w:color="auto"/>
              <w:bottom w:val="nil"/>
              <w:right w:val="nil"/>
            </w:tcBorders>
            <w:shd w:val="clear" w:color="auto" w:fill="auto"/>
            <w:noWrap/>
            <w:vAlign w:val="bottom"/>
            <w:hideMark/>
          </w:tcPr>
          <w:p w14:paraId="1FE53CCA"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3859D126" w14:textId="77777777" w:rsidR="00A61255" w:rsidRPr="006B42D6" w:rsidRDefault="00A61255" w:rsidP="006C676D">
            <w:pPr>
              <w:jc w:val="right"/>
              <w:rPr>
                <w:sz w:val="16"/>
                <w:szCs w:val="16"/>
              </w:rPr>
            </w:pPr>
            <w:r w:rsidRPr="006B42D6">
              <w:rPr>
                <w:sz w:val="16"/>
                <w:szCs w:val="16"/>
              </w:rPr>
              <w:t>-</w:t>
            </w:r>
          </w:p>
        </w:tc>
      </w:tr>
      <w:tr w:rsidR="006B42D6" w:rsidRPr="006B42D6" w14:paraId="34264081" w14:textId="77777777" w:rsidTr="00BA6B5C">
        <w:trPr>
          <w:trHeight w:val="80"/>
        </w:trPr>
        <w:tc>
          <w:tcPr>
            <w:tcW w:w="851" w:type="pct"/>
            <w:tcBorders>
              <w:top w:val="nil"/>
              <w:left w:val="nil"/>
              <w:bottom w:val="nil"/>
              <w:right w:val="single" w:sz="4" w:space="0" w:color="auto"/>
            </w:tcBorders>
            <w:shd w:val="clear" w:color="auto" w:fill="auto"/>
            <w:noWrap/>
            <w:vAlign w:val="center"/>
            <w:hideMark/>
          </w:tcPr>
          <w:p w14:paraId="2BE65FAE" w14:textId="77777777" w:rsidR="00A61255" w:rsidRPr="006B42D6" w:rsidRDefault="00A61255" w:rsidP="006C676D">
            <w:pPr>
              <w:rPr>
                <w:sz w:val="16"/>
                <w:szCs w:val="16"/>
              </w:rPr>
            </w:pPr>
            <w:r w:rsidRPr="006B42D6">
              <w:rPr>
                <w:sz w:val="16"/>
                <w:szCs w:val="16"/>
              </w:rPr>
              <w:t>Kagera</w:t>
            </w:r>
          </w:p>
        </w:tc>
        <w:tc>
          <w:tcPr>
            <w:tcW w:w="427" w:type="pct"/>
            <w:tcBorders>
              <w:top w:val="nil"/>
              <w:left w:val="nil"/>
              <w:bottom w:val="nil"/>
              <w:right w:val="nil"/>
            </w:tcBorders>
            <w:shd w:val="clear" w:color="auto" w:fill="auto"/>
            <w:noWrap/>
            <w:vAlign w:val="bottom"/>
            <w:hideMark/>
          </w:tcPr>
          <w:p w14:paraId="3FF15527" w14:textId="77777777" w:rsidR="00A61255" w:rsidRPr="006B42D6" w:rsidRDefault="00A61255" w:rsidP="006C676D">
            <w:pPr>
              <w:jc w:val="right"/>
              <w:rPr>
                <w:sz w:val="16"/>
                <w:szCs w:val="16"/>
              </w:rPr>
            </w:pPr>
            <w:r w:rsidRPr="006B42D6">
              <w:rPr>
                <w:sz w:val="16"/>
                <w:szCs w:val="16"/>
              </w:rPr>
              <w:t>18,746</w:t>
            </w:r>
          </w:p>
        </w:tc>
        <w:tc>
          <w:tcPr>
            <w:tcW w:w="403" w:type="pct"/>
            <w:tcBorders>
              <w:top w:val="nil"/>
              <w:left w:val="nil"/>
              <w:bottom w:val="nil"/>
              <w:right w:val="single" w:sz="4" w:space="0" w:color="auto"/>
            </w:tcBorders>
            <w:shd w:val="clear" w:color="auto" w:fill="auto"/>
            <w:noWrap/>
            <w:vAlign w:val="bottom"/>
            <w:hideMark/>
          </w:tcPr>
          <w:p w14:paraId="285C82D3" w14:textId="77777777" w:rsidR="00A61255" w:rsidRPr="006B42D6" w:rsidRDefault="00A61255" w:rsidP="006C676D">
            <w:pPr>
              <w:jc w:val="right"/>
              <w:rPr>
                <w:sz w:val="16"/>
                <w:szCs w:val="16"/>
              </w:rPr>
            </w:pPr>
            <w:r w:rsidRPr="006B42D6">
              <w:rPr>
                <w:sz w:val="16"/>
                <w:szCs w:val="16"/>
              </w:rPr>
              <w:t>9.5</w:t>
            </w:r>
          </w:p>
        </w:tc>
        <w:tc>
          <w:tcPr>
            <w:tcW w:w="427" w:type="pct"/>
            <w:tcBorders>
              <w:top w:val="nil"/>
              <w:left w:val="nil"/>
              <w:bottom w:val="nil"/>
              <w:right w:val="nil"/>
            </w:tcBorders>
            <w:shd w:val="clear" w:color="auto" w:fill="auto"/>
            <w:noWrap/>
            <w:vAlign w:val="bottom"/>
            <w:hideMark/>
          </w:tcPr>
          <w:p w14:paraId="0013A156" w14:textId="77777777" w:rsidR="00A61255" w:rsidRPr="006B42D6" w:rsidRDefault="00A61255" w:rsidP="006C676D">
            <w:pPr>
              <w:jc w:val="right"/>
              <w:rPr>
                <w:sz w:val="16"/>
                <w:szCs w:val="16"/>
              </w:rPr>
            </w:pPr>
            <w:r w:rsidRPr="006B42D6">
              <w:rPr>
                <w:sz w:val="16"/>
                <w:szCs w:val="16"/>
              </w:rPr>
              <w:t>1,074</w:t>
            </w:r>
          </w:p>
        </w:tc>
        <w:tc>
          <w:tcPr>
            <w:tcW w:w="403" w:type="pct"/>
            <w:tcBorders>
              <w:top w:val="nil"/>
              <w:left w:val="nil"/>
              <w:bottom w:val="nil"/>
              <w:right w:val="nil"/>
            </w:tcBorders>
            <w:shd w:val="clear" w:color="auto" w:fill="auto"/>
            <w:noWrap/>
            <w:vAlign w:val="bottom"/>
            <w:hideMark/>
          </w:tcPr>
          <w:p w14:paraId="0C211B10" w14:textId="77777777" w:rsidR="00A61255" w:rsidRPr="006B42D6" w:rsidRDefault="00A61255" w:rsidP="006C676D">
            <w:pPr>
              <w:jc w:val="right"/>
              <w:rPr>
                <w:sz w:val="16"/>
                <w:szCs w:val="16"/>
              </w:rPr>
            </w:pPr>
            <w:r w:rsidRPr="006B42D6">
              <w:rPr>
                <w:sz w:val="16"/>
                <w:szCs w:val="16"/>
              </w:rPr>
              <w:t>17.6</w:t>
            </w:r>
          </w:p>
        </w:tc>
        <w:tc>
          <w:tcPr>
            <w:tcW w:w="427" w:type="pct"/>
            <w:tcBorders>
              <w:top w:val="nil"/>
              <w:left w:val="single" w:sz="4" w:space="0" w:color="auto"/>
              <w:bottom w:val="nil"/>
              <w:right w:val="nil"/>
            </w:tcBorders>
            <w:shd w:val="clear" w:color="auto" w:fill="auto"/>
            <w:noWrap/>
            <w:vAlign w:val="bottom"/>
            <w:hideMark/>
          </w:tcPr>
          <w:p w14:paraId="6D17FED7" w14:textId="77777777" w:rsidR="00A61255" w:rsidRPr="006B42D6" w:rsidRDefault="00A61255" w:rsidP="006C676D">
            <w:pPr>
              <w:jc w:val="right"/>
              <w:rPr>
                <w:sz w:val="16"/>
                <w:szCs w:val="16"/>
              </w:rPr>
            </w:pPr>
            <w:r w:rsidRPr="006B42D6">
              <w:rPr>
                <w:sz w:val="16"/>
                <w:szCs w:val="16"/>
              </w:rPr>
              <w:t>2,164</w:t>
            </w:r>
          </w:p>
        </w:tc>
        <w:tc>
          <w:tcPr>
            <w:tcW w:w="403" w:type="pct"/>
            <w:tcBorders>
              <w:top w:val="nil"/>
              <w:left w:val="nil"/>
              <w:bottom w:val="nil"/>
              <w:right w:val="single" w:sz="4" w:space="0" w:color="auto"/>
            </w:tcBorders>
            <w:shd w:val="clear" w:color="auto" w:fill="auto"/>
            <w:noWrap/>
            <w:vAlign w:val="bottom"/>
            <w:hideMark/>
          </w:tcPr>
          <w:p w14:paraId="4C987748" w14:textId="77777777" w:rsidR="00A61255" w:rsidRPr="006B42D6" w:rsidRDefault="00A61255" w:rsidP="006C676D">
            <w:pPr>
              <w:jc w:val="right"/>
              <w:rPr>
                <w:sz w:val="16"/>
                <w:szCs w:val="16"/>
              </w:rPr>
            </w:pPr>
            <w:r w:rsidRPr="006B42D6">
              <w:rPr>
                <w:sz w:val="16"/>
                <w:szCs w:val="16"/>
              </w:rPr>
              <w:t>19.7</w:t>
            </w:r>
          </w:p>
        </w:tc>
        <w:tc>
          <w:tcPr>
            <w:tcW w:w="427" w:type="pct"/>
            <w:tcBorders>
              <w:top w:val="nil"/>
              <w:left w:val="nil"/>
              <w:bottom w:val="nil"/>
              <w:right w:val="nil"/>
            </w:tcBorders>
            <w:shd w:val="clear" w:color="auto" w:fill="auto"/>
            <w:noWrap/>
            <w:vAlign w:val="bottom"/>
            <w:hideMark/>
          </w:tcPr>
          <w:p w14:paraId="1024F2A1" w14:textId="77777777" w:rsidR="00A61255" w:rsidRPr="006B42D6" w:rsidRDefault="00A61255" w:rsidP="006C676D">
            <w:pPr>
              <w:jc w:val="right"/>
              <w:rPr>
                <w:sz w:val="16"/>
                <w:szCs w:val="16"/>
              </w:rPr>
            </w:pPr>
            <w:r w:rsidRPr="006B42D6">
              <w:rPr>
                <w:sz w:val="16"/>
                <w:szCs w:val="16"/>
              </w:rPr>
              <w:t>22,313</w:t>
            </w:r>
          </w:p>
        </w:tc>
        <w:tc>
          <w:tcPr>
            <w:tcW w:w="403" w:type="pct"/>
            <w:tcBorders>
              <w:top w:val="nil"/>
              <w:left w:val="nil"/>
              <w:bottom w:val="nil"/>
              <w:right w:val="nil"/>
            </w:tcBorders>
            <w:shd w:val="clear" w:color="auto" w:fill="auto"/>
            <w:noWrap/>
            <w:vAlign w:val="bottom"/>
            <w:hideMark/>
          </w:tcPr>
          <w:p w14:paraId="747CCC6C" w14:textId="77777777" w:rsidR="00A61255" w:rsidRPr="006B42D6" w:rsidRDefault="00A61255" w:rsidP="006C676D">
            <w:pPr>
              <w:jc w:val="right"/>
              <w:rPr>
                <w:sz w:val="16"/>
                <w:szCs w:val="16"/>
              </w:rPr>
            </w:pPr>
            <w:r w:rsidRPr="006B42D6">
              <w:rPr>
                <w:sz w:val="16"/>
                <w:szCs w:val="16"/>
              </w:rPr>
              <w:t>8.1</w:t>
            </w:r>
          </w:p>
        </w:tc>
        <w:tc>
          <w:tcPr>
            <w:tcW w:w="427" w:type="pct"/>
            <w:tcBorders>
              <w:top w:val="nil"/>
              <w:left w:val="single" w:sz="4" w:space="0" w:color="auto"/>
              <w:bottom w:val="nil"/>
              <w:right w:val="nil"/>
            </w:tcBorders>
            <w:shd w:val="clear" w:color="auto" w:fill="auto"/>
            <w:noWrap/>
            <w:vAlign w:val="bottom"/>
            <w:hideMark/>
          </w:tcPr>
          <w:p w14:paraId="72BB4571"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1563E3C9" w14:textId="77777777" w:rsidR="00A61255" w:rsidRPr="006B42D6" w:rsidRDefault="00A61255" w:rsidP="006C676D">
            <w:pPr>
              <w:jc w:val="right"/>
              <w:rPr>
                <w:sz w:val="16"/>
                <w:szCs w:val="16"/>
              </w:rPr>
            </w:pPr>
            <w:r w:rsidRPr="006B42D6">
              <w:rPr>
                <w:sz w:val="16"/>
                <w:szCs w:val="16"/>
              </w:rPr>
              <w:t>-</w:t>
            </w:r>
          </w:p>
        </w:tc>
      </w:tr>
      <w:tr w:rsidR="006B42D6" w:rsidRPr="006B42D6" w14:paraId="65E418C7" w14:textId="77777777" w:rsidTr="00BA6B5C">
        <w:trPr>
          <w:trHeight w:val="80"/>
        </w:trPr>
        <w:tc>
          <w:tcPr>
            <w:tcW w:w="851" w:type="pct"/>
            <w:tcBorders>
              <w:top w:val="nil"/>
              <w:left w:val="nil"/>
              <w:bottom w:val="nil"/>
              <w:right w:val="single" w:sz="4" w:space="0" w:color="auto"/>
            </w:tcBorders>
            <w:shd w:val="clear" w:color="auto" w:fill="auto"/>
            <w:noWrap/>
            <w:vAlign w:val="center"/>
            <w:hideMark/>
          </w:tcPr>
          <w:p w14:paraId="3A856E54" w14:textId="77777777" w:rsidR="00A61255" w:rsidRPr="006B42D6" w:rsidRDefault="00A61255" w:rsidP="006C676D">
            <w:pPr>
              <w:rPr>
                <w:sz w:val="16"/>
                <w:szCs w:val="16"/>
              </w:rPr>
            </w:pPr>
            <w:r w:rsidRPr="006B42D6">
              <w:rPr>
                <w:sz w:val="16"/>
                <w:szCs w:val="16"/>
              </w:rPr>
              <w:t>Mwanza</w:t>
            </w:r>
          </w:p>
        </w:tc>
        <w:tc>
          <w:tcPr>
            <w:tcW w:w="427" w:type="pct"/>
            <w:tcBorders>
              <w:top w:val="nil"/>
              <w:left w:val="nil"/>
              <w:bottom w:val="nil"/>
              <w:right w:val="nil"/>
            </w:tcBorders>
            <w:shd w:val="clear" w:color="auto" w:fill="auto"/>
            <w:noWrap/>
            <w:vAlign w:val="bottom"/>
            <w:hideMark/>
          </w:tcPr>
          <w:p w14:paraId="2BE661B6"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single" w:sz="4" w:space="0" w:color="auto"/>
            </w:tcBorders>
            <w:shd w:val="clear" w:color="auto" w:fill="auto"/>
            <w:noWrap/>
            <w:vAlign w:val="bottom"/>
            <w:hideMark/>
          </w:tcPr>
          <w:p w14:paraId="403F4AC0" w14:textId="77777777" w:rsidR="00A61255" w:rsidRPr="006B42D6" w:rsidRDefault="00A61255" w:rsidP="006C676D">
            <w:pPr>
              <w:jc w:val="right"/>
              <w:rPr>
                <w:sz w:val="16"/>
                <w:szCs w:val="16"/>
              </w:rPr>
            </w:pPr>
            <w:r w:rsidRPr="006B42D6">
              <w:rPr>
                <w:sz w:val="16"/>
                <w:szCs w:val="16"/>
              </w:rPr>
              <w:t>-</w:t>
            </w:r>
          </w:p>
        </w:tc>
        <w:tc>
          <w:tcPr>
            <w:tcW w:w="427" w:type="pct"/>
            <w:tcBorders>
              <w:top w:val="nil"/>
              <w:left w:val="nil"/>
              <w:bottom w:val="nil"/>
              <w:right w:val="nil"/>
            </w:tcBorders>
            <w:shd w:val="clear" w:color="auto" w:fill="auto"/>
            <w:noWrap/>
            <w:vAlign w:val="bottom"/>
            <w:hideMark/>
          </w:tcPr>
          <w:p w14:paraId="5723741A"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0629E6CF" w14:textId="77777777" w:rsidR="00A61255" w:rsidRPr="006B42D6" w:rsidRDefault="00A61255" w:rsidP="006C676D">
            <w:pPr>
              <w:jc w:val="right"/>
              <w:rPr>
                <w:sz w:val="16"/>
                <w:szCs w:val="16"/>
              </w:rPr>
            </w:pPr>
            <w:r w:rsidRPr="006B42D6">
              <w:rPr>
                <w:sz w:val="16"/>
                <w:szCs w:val="16"/>
              </w:rPr>
              <w:t>-</w:t>
            </w:r>
          </w:p>
        </w:tc>
        <w:tc>
          <w:tcPr>
            <w:tcW w:w="427" w:type="pct"/>
            <w:tcBorders>
              <w:top w:val="nil"/>
              <w:left w:val="single" w:sz="4" w:space="0" w:color="auto"/>
              <w:bottom w:val="nil"/>
              <w:right w:val="nil"/>
            </w:tcBorders>
            <w:shd w:val="clear" w:color="auto" w:fill="auto"/>
            <w:noWrap/>
            <w:vAlign w:val="bottom"/>
            <w:hideMark/>
          </w:tcPr>
          <w:p w14:paraId="1088531E" w14:textId="77777777" w:rsidR="00A61255" w:rsidRPr="006B42D6" w:rsidRDefault="00A61255" w:rsidP="006C676D">
            <w:pPr>
              <w:jc w:val="right"/>
              <w:rPr>
                <w:sz w:val="16"/>
                <w:szCs w:val="16"/>
              </w:rPr>
            </w:pPr>
            <w:r w:rsidRPr="006B42D6">
              <w:rPr>
                <w:sz w:val="16"/>
                <w:szCs w:val="16"/>
              </w:rPr>
              <w:t>1,010</w:t>
            </w:r>
          </w:p>
        </w:tc>
        <w:tc>
          <w:tcPr>
            <w:tcW w:w="403" w:type="pct"/>
            <w:tcBorders>
              <w:top w:val="nil"/>
              <w:left w:val="nil"/>
              <w:bottom w:val="nil"/>
              <w:right w:val="single" w:sz="4" w:space="0" w:color="auto"/>
            </w:tcBorders>
            <w:shd w:val="clear" w:color="auto" w:fill="auto"/>
            <w:noWrap/>
            <w:vAlign w:val="bottom"/>
            <w:hideMark/>
          </w:tcPr>
          <w:p w14:paraId="58E9570D" w14:textId="77777777" w:rsidR="00A61255" w:rsidRPr="006B42D6" w:rsidRDefault="00A61255" w:rsidP="006C676D">
            <w:pPr>
              <w:jc w:val="right"/>
              <w:rPr>
                <w:sz w:val="16"/>
                <w:szCs w:val="16"/>
              </w:rPr>
            </w:pPr>
            <w:r w:rsidRPr="006B42D6">
              <w:rPr>
                <w:sz w:val="16"/>
                <w:szCs w:val="16"/>
              </w:rPr>
              <w:t>9.2</w:t>
            </w:r>
          </w:p>
        </w:tc>
        <w:tc>
          <w:tcPr>
            <w:tcW w:w="427" w:type="pct"/>
            <w:tcBorders>
              <w:top w:val="nil"/>
              <w:left w:val="nil"/>
              <w:bottom w:val="nil"/>
              <w:right w:val="nil"/>
            </w:tcBorders>
            <w:shd w:val="clear" w:color="auto" w:fill="auto"/>
            <w:noWrap/>
            <w:vAlign w:val="bottom"/>
            <w:hideMark/>
          </w:tcPr>
          <w:p w14:paraId="0ABD6D8F" w14:textId="77777777" w:rsidR="00A61255" w:rsidRPr="006B42D6" w:rsidRDefault="00A61255" w:rsidP="006C676D">
            <w:pPr>
              <w:jc w:val="right"/>
              <w:rPr>
                <w:sz w:val="16"/>
                <w:szCs w:val="16"/>
              </w:rPr>
            </w:pPr>
            <w:r w:rsidRPr="006B42D6">
              <w:rPr>
                <w:sz w:val="16"/>
                <w:szCs w:val="16"/>
              </w:rPr>
              <w:t>5,924</w:t>
            </w:r>
          </w:p>
        </w:tc>
        <w:tc>
          <w:tcPr>
            <w:tcW w:w="403" w:type="pct"/>
            <w:tcBorders>
              <w:top w:val="nil"/>
              <w:left w:val="nil"/>
              <w:bottom w:val="nil"/>
              <w:right w:val="nil"/>
            </w:tcBorders>
            <w:shd w:val="clear" w:color="auto" w:fill="auto"/>
            <w:noWrap/>
            <w:vAlign w:val="bottom"/>
            <w:hideMark/>
          </w:tcPr>
          <w:p w14:paraId="2020C6A4" w14:textId="77777777" w:rsidR="00A61255" w:rsidRPr="006B42D6" w:rsidRDefault="00A61255" w:rsidP="006C676D">
            <w:pPr>
              <w:jc w:val="right"/>
              <w:rPr>
                <w:sz w:val="16"/>
                <w:szCs w:val="16"/>
              </w:rPr>
            </w:pPr>
            <w:r w:rsidRPr="006B42D6">
              <w:rPr>
                <w:sz w:val="16"/>
                <w:szCs w:val="16"/>
              </w:rPr>
              <w:t>2.2</w:t>
            </w:r>
          </w:p>
        </w:tc>
        <w:tc>
          <w:tcPr>
            <w:tcW w:w="427" w:type="pct"/>
            <w:tcBorders>
              <w:top w:val="nil"/>
              <w:left w:val="single" w:sz="4" w:space="0" w:color="auto"/>
              <w:bottom w:val="nil"/>
              <w:right w:val="nil"/>
            </w:tcBorders>
            <w:shd w:val="clear" w:color="auto" w:fill="auto"/>
            <w:noWrap/>
            <w:vAlign w:val="bottom"/>
            <w:hideMark/>
          </w:tcPr>
          <w:p w14:paraId="24714431"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2851D1A3" w14:textId="77777777" w:rsidR="00A61255" w:rsidRPr="006B42D6" w:rsidRDefault="00A61255" w:rsidP="006C676D">
            <w:pPr>
              <w:jc w:val="right"/>
              <w:rPr>
                <w:sz w:val="16"/>
                <w:szCs w:val="16"/>
              </w:rPr>
            </w:pPr>
            <w:r w:rsidRPr="006B42D6">
              <w:rPr>
                <w:sz w:val="16"/>
                <w:szCs w:val="16"/>
              </w:rPr>
              <w:t>-</w:t>
            </w:r>
          </w:p>
        </w:tc>
      </w:tr>
      <w:tr w:rsidR="006B42D6" w:rsidRPr="006B42D6" w14:paraId="282C9C75" w14:textId="77777777" w:rsidTr="00BA6B5C">
        <w:trPr>
          <w:trHeight w:val="80"/>
        </w:trPr>
        <w:tc>
          <w:tcPr>
            <w:tcW w:w="851" w:type="pct"/>
            <w:tcBorders>
              <w:top w:val="nil"/>
              <w:left w:val="nil"/>
              <w:bottom w:val="nil"/>
              <w:right w:val="single" w:sz="4" w:space="0" w:color="auto"/>
            </w:tcBorders>
            <w:shd w:val="clear" w:color="auto" w:fill="auto"/>
            <w:noWrap/>
            <w:vAlign w:val="center"/>
            <w:hideMark/>
          </w:tcPr>
          <w:p w14:paraId="7A977DD4" w14:textId="77777777" w:rsidR="00A61255" w:rsidRPr="006B42D6" w:rsidRDefault="00A61255" w:rsidP="006C676D">
            <w:pPr>
              <w:rPr>
                <w:sz w:val="16"/>
                <w:szCs w:val="16"/>
              </w:rPr>
            </w:pPr>
            <w:r w:rsidRPr="006B42D6">
              <w:rPr>
                <w:sz w:val="16"/>
                <w:szCs w:val="16"/>
              </w:rPr>
              <w:t>Mara</w:t>
            </w:r>
          </w:p>
        </w:tc>
        <w:tc>
          <w:tcPr>
            <w:tcW w:w="427" w:type="pct"/>
            <w:tcBorders>
              <w:top w:val="nil"/>
              <w:left w:val="nil"/>
              <w:bottom w:val="nil"/>
              <w:right w:val="nil"/>
            </w:tcBorders>
            <w:shd w:val="clear" w:color="auto" w:fill="auto"/>
            <w:noWrap/>
            <w:vAlign w:val="bottom"/>
            <w:hideMark/>
          </w:tcPr>
          <w:p w14:paraId="20C331AB"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single" w:sz="4" w:space="0" w:color="auto"/>
            </w:tcBorders>
            <w:shd w:val="clear" w:color="auto" w:fill="auto"/>
            <w:noWrap/>
            <w:vAlign w:val="bottom"/>
            <w:hideMark/>
          </w:tcPr>
          <w:p w14:paraId="7B552623" w14:textId="77777777" w:rsidR="00A61255" w:rsidRPr="006B42D6" w:rsidRDefault="00A61255" w:rsidP="006C676D">
            <w:pPr>
              <w:jc w:val="right"/>
              <w:rPr>
                <w:sz w:val="16"/>
                <w:szCs w:val="16"/>
              </w:rPr>
            </w:pPr>
            <w:r w:rsidRPr="006B42D6">
              <w:rPr>
                <w:sz w:val="16"/>
                <w:szCs w:val="16"/>
              </w:rPr>
              <w:t>-</w:t>
            </w:r>
          </w:p>
        </w:tc>
        <w:tc>
          <w:tcPr>
            <w:tcW w:w="427" w:type="pct"/>
            <w:tcBorders>
              <w:top w:val="nil"/>
              <w:left w:val="nil"/>
              <w:bottom w:val="nil"/>
              <w:right w:val="nil"/>
            </w:tcBorders>
            <w:shd w:val="clear" w:color="auto" w:fill="auto"/>
            <w:noWrap/>
            <w:vAlign w:val="bottom"/>
            <w:hideMark/>
          </w:tcPr>
          <w:p w14:paraId="0CA515B0"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343DB5EA" w14:textId="77777777" w:rsidR="00A61255" w:rsidRPr="006B42D6" w:rsidRDefault="00A61255" w:rsidP="006C676D">
            <w:pPr>
              <w:jc w:val="right"/>
              <w:rPr>
                <w:sz w:val="16"/>
                <w:szCs w:val="16"/>
              </w:rPr>
            </w:pPr>
            <w:r w:rsidRPr="006B42D6">
              <w:rPr>
                <w:sz w:val="16"/>
                <w:szCs w:val="16"/>
              </w:rPr>
              <w:t>-</w:t>
            </w:r>
          </w:p>
        </w:tc>
        <w:tc>
          <w:tcPr>
            <w:tcW w:w="427" w:type="pct"/>
            <w:tcBorders>
              <w:top w:val="nil"/>
              <w:left w:val="single" w:sz="4" w:space="0" w:color="auto"/>
              <w:bottom w:val="nil"/>
              <w:right w:val="nil"/>
            </w:tcBorders>
            <w:shd w:val="clear" w:color="auto" w:fill="auto"/>
            <w:noWrap/>
            <w:vAlign w:val="bottom"/>
            <w:hideMark/>
          </w:tcPr>
          <w:p w14:paraId="3E789598"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single" w:sz="4" w:space="0" w:color="auto"/>
            </w:tcBorders>
            <w:shd w:val="clear" w:color="auto" w:fill="auto"/>
            <w:noWrap/>
            <w:vAlign w:val="bottom"/>
            <w:hideMark/>
          </w:tcPr>
          <w:p w14:paraId="330FBBEA" w14:textId="77777777" w:rsidR="00A61255" w:rsidRPr="006B42D6" w:rsidRDefault="00A61255" w:rsidP="006C676D">
            <w:pPr>
              <w:jc w:val="right"/>
              <w:rPr>
                <w:sz w:val="16"/>
                <w:szCs w:val="16"/>
              </w:rPr>
            </w:pPr>
            <w:r w:rsidRPr="006B42D6">
              <w:rPr>
                <w:sz w:val="16"/>
                <w:szCs w:val="16"/>
              </w:rPr>
              <w:t>-</w:t>
            </w:r>
          </w:p>
        </w:tc>
        <w:tc>
          <w:tcPr>
            <w:tcW w:w="427" w:type="pct"/>
            <w:tcBorders>
              <w:top w:val="nil"/>
              <w:left w:val="nil"/>
              <w:bottom w:val="nil"/>
              <w:right w:val="nil"/>
            </w:tcBorders>
            <w:shd w:val="clear" w:color="auto" w:fill="auto"/>
            <w:noWrap/>
            <w:vAlign w:val="bottom"/>
            <w:hideMark/>
          </w:tcPr>
          <w:p w14:paraId="7DA8D5B9"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511C129E" w14:textId="77777777" w:rsidR="00A61255" w:rsidRPr="006B42D6" w:rsidRDefault="00A61255" w:rsidP="006C676D">
            <w:pPr>
              <w:jc w:val="right"/>
              <w:rPr>
                <w:sz w:val="16"/>
                <w:szCs w:val="16"/>
              </w:rPr>
            </w:pPr>
            <w:r w:rsidRPr="006B42D6">
              <w:rPr>
                <w:sz w:val="16"/>
                <w:szCs w:val="16"/>
              </w:rPr>
              <w:t>-</w:t>
            </w:r>
          </w:p>
        </w:tc>
        <w:tc>
          <w:tcPr>
            <w:tcW w:w="427" w:type="pct"/>
            <w:tcBorders>
              <w:top w:val="nil"/>
              <w:left w:val="single" w:sz="4" w:space="0" w:color="auto"/>
              <w:bottom w:val="nil"/>
              <w:right w:val="nil"/>
            </w:tcBorders>
            <w:shd w:val="clear" w:color="auto" w:fill="auto"/>
            <w:noWrap/>
            <w:vAlign w:val="bottom"/>
            <w:hideMark/>
          </w:tcPr>
          <w:p w14:paraId="3D030D57"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3923A98F" w14:textId="77777777" w:rsidR="00A61255" w:rsidRPr="006B42D6" w:rsidRDefault="00A61255" w:rsidP="006C676D">
            <w:pPr>
              <w:jc w:val="right"/>
              <w:rPr>
                <w:sz w:val="16"/>
                <w:szCs w:val="16"/>
              </w:rPr>
            </w:pPr>
            <w:r w:rsidRPr="006B42D6">
              <w:rPr>
                <w:sz w:val="16"/>
                <w:szCs w:val="16"/>
              </w:rPr>
              <w:t>-</w:t>
            </w:r>
          </w:p>
        </w:tc>
      </w:tr>
      <w:tr w:rsidR="006B42D6" w:rsidRPr="006B42D6" w14:paraId="22D69E50" w14:textId="77777777" w:rsidTr="00BA6B5C">
        <w:trPr>
          <w:trHeight w:val="80"/>
        </w:trPr>
        <w:tc>
          <w:tcPr>
            <w:tcW w:w="851" w:type="pct"/>
            <w:tcBorders>
              <w:top w:val="nil"/>
              <w:left w:val="nil"/>
              <w:bottom w:val="nil"/>
              <w:right w:val="single" w:sz="4" w:space="0" w:color="auto"/>
            </w:tcBorders>
            <w:shd w:val="clear" w:color="auto" w:fill="auto"/>
            <w:noWrap/>
            <w:vAlign w:val="center"/>
            <w:hideMark/>
          </w:tcPr>
          <w:p w14:paraId="527AEF3F" w14:textId="77777777" w:rsidR="00A61255" w:rsidRPr="006B42D6" w:rsidRDefault="00A61255" w:rsidP="006C676D">
            <w:pPr>
              <w:rPr>
                <w:sz w:val="16"/>
                <w:szCs w:val="16"/>
              </w:rPr>
            </w:pPr>
            <w:r w:rsidRPr="006B42D6">
              <w:rPr>
                <w:sz w:val="16"/>
                <w:szCs w:val="16"/>
              </w:rPr>
              <w:t>Manyara</w:t>
            </w:r>
          </w:p>
        </w:tc>
        <w:tc>
          <w:tcPr>
            <w:tcW w:w="427" w:type="pct"/>
            <w:tcBorders>
              <w:top w:val="nil"/>
              <w:left w:val="nil"/>
              <w:bottom w:val="nil"/>
              <w:right w:val="nil"/>
            </w:tcBorders>
            <w:shd w:val="clear" w:color="auto" w:fill="auto"/>
            <w:noWrap/>
            <w:vAlign w:val="bottom"/>
            <w:hideMark/>
          </w:tcPr>
          <w:p w14:paraId="51392D4F" w14:textId="77777777" w:rsidR="00A61255" w:rsidRPr="006B42D6" w:rsidRDefault="00A61255" w:rsidP="006C676D">
            <w:pPr>
              <w:jc w:val="right"/>
              <w:rPr>
                <w:sz w:val="16"/>
                <w:szCs w:val="16"/>
              </w:rPr>
            </w:pPr>
            <w:r w:rsidRPr="006B42D6">
              <w:rPr>
                <w:sz w:val="16"/>
                <w:szCs w:val="16"/>
              </w:rPr>
              <w:t>4,401</w:t>
            </w:r>
          </w:p>
        </w:tc>
        <w:tc>
          <w:tcPr>
            <w:tcW w:w="403" w:type="pct"/>
            <w:tcBorders>
              <w:top w:val="nil"/>
              <w:left w:val="nil"/>
              <w:bottom w:val="nil"/>
              <w:right w:val="single" w:sz="4" w:space="0" w:color="auto"/>
            </w:tcBorders>
            <w:shd w:val="clear" w:color="auto" w:fill="auto"/>
            <w:noWrap/>
            <w:vAlign w:val="bottom"/>
            <w:hideMark/>
          </w:tcPr>
          <w:p w14:paraId="198C1F58" w14:textId="77777777" w:rsidR="00A61255" w:rsidRPr="006B42D6" w:rsidRDefault="00A61255" w:rsidP="006C676D">
            <w:pPr>
              <w:jc w:val="right"/>
              <w:rPr>
                <w:sz w:val="16"/>
                <w:szCs w:val="16"/>
              </w:rPr>
            </w:pPr>
            <w:r w:rsidRPr="006B42D6">
              <w:rPr>
                <w:sz w:val="16"/>
                <w:szCs w:val="16"/>
              </w:rPr>
              <w:t>2.2</w:t>
            </w:r>
          </w:p>
        </w:tc>
        <w:tc>
          <w:tcPr>
            <w:tcW w:w="427" w:type="pct"/>
            <w:tcBorders>
              <w:top w:val="nil"/>
              <w:left w:val="nil"/>
              <w:bottom w:val="nil"/>
              <w:right w:val="nil"/>
            </w:tcBorders>
            <w:shd w:val="clear" w:color="auto" w:fill="auto"/>
            <w:noWrap/>
            <w:vAlign w:val="bottom"/>
            <w:hideMark/>
          </w:tcPr>
          <w:p w14:paraId="2F9B3F2C"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71D34A68" w14:textId="77777777" w:rsidR="00A61255" w:rsidRPr="006B42D6" w:rsidRDefault="00A61255" w:rsidP="006C676D">
            <w:pPr>
              <w:jc w:val="right"/>
              <w:rPr>
                <w:sz w:val="16"/>
                <w:szCs w:val="16"/>
              </w:rPr>
            </w:pPr>
            <w:r w:rsidRPr="006B42D6">
              <w:rPr>
                <w:sz w:val="16"/>
                <w:szCs w:val="16"/>
              </w:rPr>
              <w:t>-</w:t>
            </w:r>
          </w:p>
        </w:tc>
        <w:tc>
          <w:tcPr>
            <w:tcW w:w="427" w:type="pct"/>
            <w:tcBorders>
              <w:top w:val="nil"/>
              <w:left w:val="single" w:sz="4" w:space="0" w:color="auto"/>
              <w:bottom w:val="nil"/>
              <w:right w:val="nil"/>
            </w:tcBorders>
            <w:shd w:val="clear" w:color="auto" w:fill="auto"/>
            <w:noWrap/>
            <w:vAlign w:val="bottom"/>
            <w:hideMark/>
          </w:tcPr>
          <w:p w14:paraId="51DA664D"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single" w:sz="4" w:space="0" w:color="auto"/>
            </w:tcBorders>
            <w:shd w:val="clear" w:color="auto" w:fill="auto"/>
            <w:noWrap/>
            <w:vAlign w:val="bottom"/>
            <w:hideMark/>
          </w:tcPr>
          <w:p w14:paraId="42936ED1" w14:textId="77777777" w:rsidR="00A61255" w:rsidRPr="006B42D6" w:rsidRDefault="00A61255" w:rsidP="006C676D">
            <w:pPr>
              <w:jc w:val="right"/>
              <w:rPr>
                <w:sz w:val="16"/>
                <w:szCs w:val="16"/>
              </w:rPr>
            </w:pPr>
            <w:r w:rsidRPr="006B42D6">
              <w:rPr>
                <w:sz w:val="16"/>
                <w:szCs w:val="16"/>
              </w:rPr>
              <w:t>-</w:t>
            </w:r>
          </w:p>
        </w:tc>
        <w:tc>
          <w:tcPr>
            <w:tcW w:w="427" w:type="pct"/>
            <w:tcBorders>
              <w:top w:val="nil"/>
              <w:left w:val="nil"/>
              <w:bottom w:val="nil"/>
              <w:right w:val="nil"/>
            </w:tcBorders>
            <w:shd w:val="clear" w:color="auto" w:fill="auto"/>
            <w:noWrap/>
            <w:vAlign w:val="bottom"/>
            <w:hideMark/>
          </w:tcPr>
          <w:p w14:paraId="2D0F0F69" w14:textId="77777777" w:rsidR="00A61255" w:rsidRPr="006B42D6" w:rsidRDefault="00A61255" w:rsidP="006C676D">
            <w:pPr>
              <w:jc w:val="right"/>
              <w:rPr>
                <w:sz w:val="16"/>
                <w:szCs w:val="16"/>
              </w:rPr>
            </w:pPr>
            <w:r w:rsidRPr="006B42D6">
              <w:rPr>
                <w:sz w:val="16"/>
                <w:szCs w:val="16"/>
              </w:rPr>
              <w:t>16,807</w:t>
            </w:r>
          </w:p>
        </w:tc>
        <w:tc>
          <w:tcPr>
            <w:tcW w:w="403" w:type="pct"/>
            <w:tcBorders>
              <w:top w:val="nil"/>
              <w:left w:val="nil"/>
              <w:bottom w:val="nil"/>
              <w:right w:val="nil"/>
            </w:tcBorders>
            <w:shd w:val="clear" w:color="auto" w:fill="auto"/>
            <w:noWrap/>
            <w:vAlign w:val="bottom"/>
            <w:hideMark/>
          </w:tcPr>
          <w:p w14:paraId="35CEED90" w14:textId="77777777" w:rsidR="00A61255" w:rsidRPr="006B42D6" w:rsidRDefault="00A61255" w:rsidP="006C676D">
            <w:pPr>
              <w:jc w:val="right"/>
              <w:rPr>
                <w:sz w:val="16"/>
                <w:szCs w:val="16"/>
              </w:rPr>
            </w:pPr>
            <w:r w:rsidRPr="006B42D6">
              <w:rPr>
                <w:sz w:val="16"/>
                <w:szCs w:val="16"/>
              </w:rPr>
              <w:t>6.1</w:t>
            </w:r>
          </w:p>
        </w:tc>
        <w:tc>
          <w:tcPr>
            <w:tcW w:w="427" w:type="pct"/>
            <w:tcBorders>
              <w:top w:val="nil"/>
              <w:left w:val="single" w:sz="4" w:space="0" w:color="auto"/>
              <w:bottom w:val="nil"/>
              <w:right w:val="nil"/>
            </w:tcBorders>
            <w:shd w:val="clear" w:color="auto" w:fill="auto"/>
            <w:noWrap/>
            <w:vAlign w:val="bottom"/>
            <w:hideMark/>
          </w:tcPr>
          <w:p w14:paraId="5E7C6C8D"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665D42C0" w14:textId="77777777" w:rsidR="00A61255" w:rsidRPr="006B42D6" w:rsidRDefault="00A61255" w:rsidP="006C676D">
            <w:pPr>
              <w:jc w:val="right"/>
              <w:rPr>
                <w:sz w:val="16"/>
                <w:szCs w:val="16"/>
              </w:rPr>
            </w:pPr>
            <w:r w:rsidRPr="006B42D6">
              <w:rPr>
                <w:sz w:val="16"/>
                <w:szCs w:val="16"/>
              </w:rPr>
              <w:t>-</w:t>
            </w:r>
          </w:p>
        </w:tc>
      </w:tr>
      <w:tr w:rsidR="006B42D6" w:rsidRPr="006B42D6" w14:paraId="6AEAAEBB" w14:textId="77777777" w:rsidTr="00BA6B5C">
        <w:trPr>
          <w:trHeight w:val="80"/>
        </w:trPr>
        <w:tc>
          <w:tcPr>
            <w:tcW w:w="851" w:type="pct"/>
            <w:tcBorders>
              <w:top w:val="nil"/>
              <w:left w:val="nil"/>
              <w:bottom w:val="nil"/>
              <w:right w:val="single" w:sz="4" w:space="0" w:color="auto"/>
            </w:tcBorders>
            <w:shd w:val="clear" w:color="auto" w:fill="auto"/>
            <w:noWrap/>
            <w:vAlign w:val="center"/>
            <w:hideMark/>
          </w:tcPr>
          <w:p w14:paraId="1E841F62" w14:textId="77777777" w:rsidR="00A61255" w:rsidRPr="006B42D6" w:rsidRDefault="00A61255" w:rsidP="006C676D">
            <w:pPr>
              <w:rPr>
                <w:sz w:val="16"/>
                <w:szCs w:val="16"/>
              </w:rPr>
            </w:pPr>
            <w:r w:rsidRPr="006B42D6">
              <w:rPr>
                <w:sz w:val="16"/>
                <w:szCs w:val="16"/>
              </w:rPr>
              <w:t>Njombe</w:t>
            </w:r>
          </w:p>
        </w:tc>
        <w:tc>
          <w:tcPr>
            <w:tcW w:w="427" w:type="pct"/>
            <w:tcBorders>
              <w:top w:val="nil"/>
              <w:left w:val="nil"/>
              <w:bottom w:val="nil"/>
              <w:right w:val="nil"/>
            </w:tcBorders>
            <w:shd w:val="clear" w:color="auto" w:fill="auto"/>
            <w:noWrap/>
            <w:vAlign w:val="bottom"/>
            <w:hideMark/>
          </w:tcPr>
          <w:p w14:paraId="4DB4AE8B" w14:textId="77777777" w:rsidR="00A61255" w:rsidRPr="006B42D6" w:rsidRDefault="00A61255" w:rsidP="006C676D">
            <w:pPr>
              <w:jc w:val="right"/>
              <w:rPr>
                <w:sz w:val="16"/>
                <w:szCs w:val="16"/>
              </w:rPr>
            </w:pPr>
            <w:r w:rsidRPr="006B42D6">
              <w:rPr>
                <w:sz w:val="16"/>
                <w:szCs w:val="16"/>
              </w:rPr>
              <w:t>1,702</w:t>
            </w:r>
          </w:p>
        </w:tc>
        <w:tc>
          <w:tcPr>
            <w:tcW w:w="403" w:type="pct"/>
            <w:tcBorders>
              <w:top w:val="nil"/>
              <w:left w:val="nil"/>
              <w:bottom w:val="nil"/>
              <w:right w:val="single" w:sz="4" w:space="0" w:color="auto"/>
            </w:tcBorders>
            <w:shd w:val="clear" w:color="auto" w:fill="auto"/>
            <w:noWrap/>
            <w:vAlign w:val="bottom"/>
            <w:hideMark/>
          </w:tcPr>
          <w:p w14:paraId="2798F053" w14:textId="77777777" w:rsidR="00A61255" w:rsidRPr="006B42D6" w:rsidRDefault="00A61255" w:rsidP="006C676D">
            <w:pPr>
              <w:jc w:val="right"/>
              <w:rPr>
                <w:sz w:val="16"/>
                <w:szCs w:val="16"/>
              </w:rPr>
            </w:pPr>
            <w:r w:rsidRPr="006B42D6">
              <w:rPr>
                <w:sz w:val="16"/>
                <w:szCs w:val="16"/>
              </w:rPr>
              <w:t>0.9</w:t>
            </w:r>
          </w:p>
        </w:tc>
        <w:tc>
          <w:tcPr>
            <w:tcW w:w="427" w:type="pct"/>
            <w:tcBorders>
              <w:top w:val="nil"/>
              <w:left w:val="nil"/>
              <w:bottom w:val="nil"/>
              <w:right w:val="nil"/>
            </w:tcBorders>
            <w:shd w:val="clear" w:color="auto" w:fill="auto"/>
            <w:noWrap/>
            <w:vAlign w:val="bottom"/>
            <w:hideMark/>
          </w:tcPr>
          <w:p w14:paraId="31487439"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439F80E7" w14:textId="77777777" w:rsidR="00A61255" w:rsidRPr="006B42D6" w:rsidRDefault="00A61255" w:rsidP="006C676D">
            <w:pPr>
              <w:jc w:val="right"/>
              <w:rPr>
                <w:sz w:val="16"/>
                <w:szCs w:val="16"/>
              </w:rPr>
            </w:pPr>
            <w:r w:rsidRPr="006B42D6">
              <w:rPr>
                <w:sz w:val="16"/>
                <w:szCs w:val="16"/>
              </w:rPr>
              <w:t>-</w:t>
            </w:r>
          </w:p>
        </w:tc>
        <w:tc>
          <w:tcPr>
            <w:tcW w:w="427" w:type="pct"/>
            <w:tcBorders>
              <w:top w:val="nil"/>
              <w:left w:val="single" w:sz="4" w:space="0" w:color="auto"/>
              <w:bottom w:val="nil"/>
              <w:right w:val="nil"/>
            </w:tcBorders>
            <w:shd w:val="clear" w:color="auto" w:fill="auto"/>
            <w:noWrap/>
            <w:vAlign w:val="bottom"/>
            <w:hideMark/>
          </w:tcPr>
          <w:p w14:paraId="592101B9"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single" w:sz="4" w:space="0" w:color="auto"/>
            </w:tcBorders>
            <w:shd w:val="clear" w:color="auto" w:fill="auto"/>
            <w:noWrap/>
            <w:vAlign w:val="bottom"/>
            <w:hideMark/>
          </w:tcPr>
          <w:p w14:paraId="624BEDF2" w14:textId="77777777" w:rsidR="00A61255" w:rsidRPr="006B42D6" w:rsidRDefault="00A61255" w:rsidP="006C676D">
            <w:pPr>
              <w:jc w:val="right"/>
              <w:rPr>
                <w:sz w:val="16"/>
                <w:szCs w:val="16"/>
              </w:rPr>
            </w:pPr>
            <w:r w:rsidRPr="006B42D6">
              <w:rPr>
                <w:sz w:val="16"/>
                <w:szCs w:val="16"/>
              </w:rPr>
              <w:t>-</w:t>
            </w:r>
          </w:p>
        </w:tc>
        <w:tc>
          <w:tcPr>
            <w:tcW w:w="427" w:type="pct"/>
            <w:tcBorders>
              <w:top w:val="nil"/>
              <w:left w:val="nil"/>
              <w:bottom w:val="nil"/>
              <w:right w:val="nil"/>
            </w:tcBorders>
            <w:shd w:val="clear" w:color="auto" w:fill="auto"/>
            <w:noWrap/>
            <w:vAlign w:val="bottom"/>
            <w:hideMark/>
          </w:tcPr>
          <w:p w14:paraId="15F451A8" w14:textId="77777777" w:rsidR="00A61255" w:rsidRPr="006B42D6" w:rsidRDefault="00A61255" w:rsidP="006C676D">
            <w:pPr>
              <w:jc w:val="right"/>
              <w:rPr>
                <w:sz w:val="16"/>
                <w:szCs w:val="16"/>
              </w:rPr>
            </w:pPr>
            <w:r w:rsidRPr="006B42D6">
              <w:rPr>
                <w:sz w:val="16"/>
                <w:szCs w:val="16"/>
              </w:rPr>
              <w:t>9,391</w:t>
            </w:r>
          </w:p>
        </w:tc>
        <w:tc>
          <w:tcPr>
            <w:tcW w:w="403" w:type="pct"/>
            <w:tcBorders>
              <w:top w:val="nil"/>
              <w:left w:val="nil"/>
              <w:bottom w:val="nil"/>
              <w:right w:val="nil"/>
            </w:tcBorders>
            <w:shd w:val="clear" w:color="auto" w:fill="auto"/>
            <w:noWrap/>
            <w:vAlign w:val="bottom"/>
            <w:hideMark/>
          </w:tcPr>
          <w:p w14:paraId="58ED4D5B" w14:textId="77777777" w:rsidR="00A61255" w:rsidRPr="006B42D6" w:rsidRDefault="00A61255" w:rsidP="006C676D">
            <w:pPr>
              <w:jc w:val="right"/>
              <w:rPr>
                <w:sz w:val="16"/>
                <w:szCs w:val="16"/>
              </w:rPr>
            </w:pPr>
            <w:r w:rsidRPr="006B42D6">
              <w:rPr>
                <w:sz w:val="16"/>
                <w:szCs w:val="16"/>
              </w:rPr>
              <w:t>3.4</w:t>
            </w:r>
          </w:p>
        </w:tc>
        <w:tc>
          <w:tcPr>
            <w:tcW w:w="427" w:type="pct"/>
            <w:tcBorders>
              <w:top w:val="nil"/>
              <w:left w:val="single" w:sz="4" w:space="0" w:color="auto"/>
              <w:bottom w:val="nil"/>
              <w:right w:val="nil"/>
            </w:tcBorders>
            <w:shd w:val="clear" w:color="auto" w:fill="auto"/>
            <w:noWrap/>
            <w:vAlign w:val="bottom"/>
            <w:hideMark/>
          </w:tcPr>
          <w:p w14:paraId="22BD8629" w14:textId="77777777" w:rsidR="00A61255" w:rsidRPr="006B42D6" w:rsidRDefault="00A61255" w:rsidP="006C676D">
            <w:pPr>
              <w:jc w:val="right"/>
              <w:rPr>
                <w:sz w:val="16"/>
                <w:szCs w:val="16"/>
              </w:rPr>
            </w:pPr>
            <w:r w:rsidRPr="006B42D6">
              <w:rPr>
                <w:sz w:val="16"/>
                <w:szCs w:val="16"/>
              </w:rPr>
              <w:t>323</w:t>
            </w:r>
          </w:p>
        </w:tc>
        <w:tc>
          <w:tcPr>
            <w:tcW w:w="403" w:type="pct"/>
            <w:tcBorders>
              <w:top w:val="nil"/>
              <w:left w:val="nil"/>
              <w:bottom w:val="nil"/>
              <w:right w:val="nil"/>
            </w:tcBorders>
            <w:shd w:val="clear" w:color="auto" w:fill="auto"/>
            <w:noWrap/>
            <w:vAlign w:val="bottom"/>
            <w:hideMark/>
          </w:tcPr>
          <w:p w14:paraId="5BD08E29" w14:textId="77777777" w:rsidR="00A61255" w:rsidRPr="006B42D6" w:rsidRDefault="00A61255" w:rsidP="006C676D">
            <w:pPr>
              <w:jc w:val="right"/>
              <w:rPr>
                <w:sz w:val="16"/>
                <w:szCs w:val="16"/>
              </w:rPr>
            </w:pPr>
            <w:r w:rsidRPr="006B42D6">
              <w:rPr>
                <w:sz w:val="16"/>
                <w:szCs w:val="16"/>
              </w:rPr>
              <w:t>2.7</w:t>
            </w:r>
          </w:p>
        </w:tc>
      </w:tr>
      <w:tr w:rsidR="006B42D6" w:rsidRPr="006B42D6" w14:paraId="7B5BEA97" w14:textId="77777777" w:rsidTr="00BA6B5C">
        <w:trPr>
          <w:trHeight w:val="80"/>
        </w:trPr>
        <w:tc>
          <w:tcPr>
            <w:tcW w:w="851" w:type="pct"/>
            <w:tcBorders>
              <w:top w:val="nil"/>
              <w:left w:val="nil"/>
              <w:bottom w:val="nil"/>
              <w:right w:val="single" w:sz="4" w:space="0" w:color="auto"/>
            </w:tcBorders>
            <w:shd w:val="clear" w:color="auto" w:fill="auto"/>
            <w:noWrap/>
            <w:vAlign w:val="center"/>
            <w:hideMark/>
          </w:tcPr>
          <w:p w14:paraId="483E3518" w14:textId="77777777" w:rsidR="00A61255" w:rsidRPr="006B42D6" w:rsidRDefault="00A61255" w:rsidP="006C676D">
            <w:pPr>
              <w:rPr>
                <w:sz w:val="16"/>
                <w:szCs w:val="16"/>
              </w:rPr>
            </w:pPr>
            <w:r w:rsidRPr="006B42D6">
              <w:rPr>
                <w:sz w:val="16"/>
                <w:szCs w:val="16"/>
              </w:rPr>
              <w:t>Katavi</w:t>
            </w:r>
          </w:p>
        </w:tc>
        <w:tc>
          <w:tcPr>
            <w:tcW w:w="427" w:type="pct"/>
            <w:tcBorders>
              <w:top w:val="nil"/>
              <w:left w:val="nil"/>
              <w:bottom w:val="nil"/>
              <w:right w:val="nil"/>
            </w:tcBorders>
            <w:shd w:val="clear" w:color="auto" w:fill="auto"/>
            <w:noWrap/>
            <w:vAlign w:val="bottom"/>
            <w:hideMark/>
          </w:tcPr>
          <w:p w14:paraId="1587A89F"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single" w:sz="4" w:space="0" w:color="auto"/>
            </w:tcBorders>
            <w:shd w:val="clear" w:color="auto" w:fill="auto"/>
            <w:noWrap/>
            <w:vAlign w:val="bottom"/>
            <w:hideMark/>
          </w:tcPr>
          <w:p w14:paraId="105C9982" w14:textId="77777777" w:rsidR="00A61255" w:rsidRPr="006B42D6" w:rsidRDefault="00A61255" w:rsidP="006C676D">
            <w:pPr>
              <w:jc w:val="right"/>
              <w:rPr>
                <w:sz w:val="16"/>
                <w:szCs w:val="16"/>
              </w:rPr>
            </w:pPr>
            <w:r w:rsidRPr="006B42D6">
              <w:rPr>
                <w:sz w:val="16"/>
                <w:szCs w:val="16"/>
              </w:rPr>
              <w:t>-</w:t>
            </w:r>
          </w:p>
        </w:tc>
        <w:tc>
          <w:tcPr>
            <w:tcW w:w="427" w:type="pct"/>
            <w:tcBorders>
              <w:top w:val="nil"/>
              <w:left w:val="nil"/>
              <w:bottom w:val="nil"/>
              <w:right w:val="nil"/>
            </w:tcBorders>
            <w:shd w:val="clear" w:color="auto" w:fill="auto"/>
            <w:noWrap/>
            <w:vAlign w:val="bottom"/>
            <w:hideMark/>
          </w:tcPr>
          <w:p w14:paraId="4B79B71D"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1772B7CB" w14:textId="77777777" w:rsidR="00A61255" w:rsidRPr="006B42D6" w:rsidRDefault="00A61255" w:rsidP="006C676D">
            <w:pPr>
              <w:jc w:val="right"/>
              <w:rPr>
                <w:sz w:val="16"/>
                <w:szCs w:val="16"/>
              </w:rPr>
            </w:pPr>
            <w:r w:rsidRPr="006B42D6">
              <w:rPr>
                <w:sz w:val="16"/>
                <w:szCs w:val="16"/>
              </w:rPr>
              <w:t>-</w:t>
            </w:r>
          </w:p>
        </w:tc>
        <w:tc>
          <w:tcPr>
            <w:tcW w:w="427" w:type="pct"/>
            <w:tcBorders>
              <w:top w:val="nil"/>
              <w:left w:val="single" w:sz="4" w:space="0" w:color="auto"/>
              <w:bottom w:val="nil"/>
              <w:right w:val="nil"/>
            </w:tcBorders>
            <w:shd w:val="clear" w:color="auto" w:fill="auto"/>
            <w:noWrap/>
            <w:vAlign w:val="bottom"/>
            <w:hideMark/>
          </w:tcPr>
          <w:p w14:paraId="27019B93" w14:textId="77777777" w:rsidR="00A61255" w:rsidRPr="006B42D6" w:rsidRDefault="00A61255" w:rsidP="006C676D">
            <w:pPr>
              <w:jc w:val="right"/>
              <w:rPr>
                <w:sz w:val="16"/>
                <w:szCs w:val="16"/>
              </w:rPr>
            </w:pPr>
            <w:r w:rsidRPr="006B42D6">
              <w:rPr>
                <w:sz w:val="16"/>
                <w:szCs w:val="16"/>
              </w:rPr>
              <w:t>226</w:t>
            </w:r>
          </w:p>
        </w:tc>
        <w:tc>
          <w:tcPr>
            <w:tcW w:w="403" w:type="pct"/>
            <w:tcBorders>
              <w:top w:val="nil"/>
              <w:left w:val="nil"/>
              <w:bottom w:val="nil"/>
              <w:right w:val="single" w:sz="4" w:space="0" w:color="auto"/>
            </w:tcBorders>
            <w:shd w:val="clear" w:color="auto" w:fill="auto"/>
            <w:noWrap/>
            <w:vAlign w:val="bottom"/>
            <w:hideMark/>
          </w:tcPr>
          <w:p w14:paraId="03BA0C0E" w14:textId="77777777" w:rsidR="00A61255" w:rsidRPr="006B42D6" w:rsidRDefault="00A61255" w:rsidP="006C676D">
            <w:pPr>
              <w:jc w:val="right"/>
              <w:rPr>
                <w:sz w:val="16"/>
                <w:szCs w:val="16"/>
              </w:rPr>
            </w:pPr>
            <w:r w:rsidRPr="006B42D6">
              <w:rPr>
                <w:sz w:val="16"/>
                <w:szCs w:val="16"/>
              </w:rPr>
              <w:t>2.1</w:t>
            </w:r>
          </w:p>
        </w:tc>
        <w:tc>
          <w:tcPr>
            <w:tcW w:w="427" w:type="pct"/>
            <w:tcBorders>
              <w:top w:val="nil"/>
              <w:left w:val="nil"/>
              <w:bottom w:val="nil"/>
              <w:right w:val="nil"/>
            </w:tcBorders>
            <w:shd w:val="clear" w:color="auto" w:fill="auto"/>
            <w:noWrap/>
            <w:vAlign w:val="bottom"/>
            <w:hideMark/>
          </w:tcPr>
          <w:p w14:paraId="136D2AAA"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5E0A6A5D" w14:textId="77777777" w:rsidR="00A61255" w:rsidRPr="006B42D6" w:rsidRDefault="00A61255" w:rsidP="006C676D">
            <w:pPr>
              <w:jc w:val="right"/>
              <w:rPr>
                <w:sz w:val="16"/>
                <w:szCs w:val="16"/>
              </w:rPr>
            </w:pPr>
            <w:r w:rsidRPr="006B42D6">
              <w:rPr>
                <w:sz w:val="16"/>
                <w:szCs w:val="16"/>
              </w:rPr>
              <w:t>-</w:t>
            </w:r>
          </w:p>
        </w:tc>
        <w:tc>
          <w:tcPr>
            <w:tcW w:w="427" w:type="pct"/>
            <w:tcBorders>
              <w:top w:val="nil"/>
              <w:left w:val="single" w:sz="4" w:space="0" w:color="auto"/>
              <w:bottom w:val="nil"/>
              <w:right w:val="nil"/>
            </w:tcBorders>
            <w:shd w:val="clear" w:color="auto" w:fill="auto"/>
            <w:noWrap/>
            <w:vAlign w:val="bottom"/>
            <w:hideMark/>
          </w:tcPr>
          <w:p w14:paraId="509F4AE0"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0A084C18" w14:textId="77777777" w:rsidR="00A61255" w:rsidRPr="006B42D6" w:rsidRDefault="00A61255" w:rsidP="006C676D">
            <w:pPr>
              <w:jc w:val="right"/>
              <w:rPr>
                <w:sz w:val="16"/>
                <w:szCs w:val="16"/>
              </w:rPr>
            </w:pPr>
            <w:r w:rsidRPr="006B42D6">
              <w:rPr>
                <w:sz w:val="16"/>
                <w:szCs w:val="16"/>
              </w:rPr>
              <w:t>-</w:t>
            </w:r>
          </w:p>
        </w:tc>
      </w:tr>
      <w:tr w:rsidR="006B42D6" w:rsidRPr="006B42D6" w14:paraId="6F91E57D" w14:textId="77777777" w:rsidTr="00BA6B5C">
        <w:trPr>
          <w:trHeight w:val="80"/>
        </w:trPr>
        <w:tc>
          <w:tcPr>
            <w:tcW w:w="851" w:type="pct"/>
            <w:tcBorders>
              <w:top w:val="nil"/>
              <w:left w:val="nil"/>
              <w:bottom w:val="nil"/>
              <w:right w:val="single" w:sz="4" w:space="0" w:color="auto"/>
            </w:tcBorders>
            <w:shd w:val="clear" w:color="auto" w:fill="auto"/>
            <w:noWrap/>
            <w:vAlign w:val="center"/>
            <w:hideMark/>
          </w:tcPr>
          <w:p w14:paraId="104393B3" w14:textId="77777777" w:rsidR="00A61255" w:rsidRPr="006B42D6" w:rsidRDefault="00A61255" w:rsidP="006C676D">
            <w:pPr>
              <w:rPr>
                <w:sz w:val="16"/>
                <w:szCs w:val="16"/>
              </w:rPr>
            </w:pPr>
            <w:r w:rsidRPr="006B42D6">
              <w:rPr>
                <w:sz w:val="16"/>
                <w:szCs w:val="16"/>
              </w:rPr>
              <w:t>Simiyu</w:t>
            </w:r>
          </w:p>
        </w:tc>
        <w:tc>
          <w:tcPr>
            <w:tcW w:w="427" w:type="pct"/>
            <w:tcBorders>
              <w:top w:val="nil"/>
              <w:left w:val="nil"/>
              <w:bottom w:val="nil"/>
              <w:right w:val="nil"/>
            </w:tcBorders>
            <w:shd w:val="clear" w:color="auto" w:fill="auto"/>
            <w:noWrap/>
            <w:vAlign w:val="bottom"/>
            <w:hideMark/>
          </w:tcPr>
          <w:p w14:paraId="0B8602C9"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single" w:sz="4" w:space="0" w:color="auto"/>
            </w:tcBorders>
            <w:shd w:val="clear" w:color="auto" w:fill="auto"/>
            <w:noWrap/>
            <w:vAlign w:val="bottom"/>
            <w:hideMark/>
          </w:tcPr>
          <w:p w14:paraId="2F259ACF" w14:textId="77777777" w:rsidR="00A61255" w:rsidRPr="006B42D6" w:rsidRDefault="00A61255" w:rsidP="006C676D">
            <w:pPr>
              <w:jc w:val="right"/>
              <w:rPr>
                <w:sz w:val="16"/>
                <w:szCs w:val="16"/>
              </w:rPr>
            </w:pPr>
            <w:r w:rsidRPr="006B42D6">
              <w:rPr>
                <w:sz w:val="16"/>
                <w:szCs w:val="16"/>
              </w:rPr>
              <w:t>-</w:t>
            </w:r>
          </w:p>
        </w:tc>
        <w:tc>
          <w:tcPr>
            <w:tcW w:w="427" w:type="pct"/>
            <w:tcBorders>
              <w:top w:val="nil"/>
              <w:left w:val="nil"/>
              <w:bottom w:val="nil"/>
              <w:right w:val="nil"/>
            </w:tcBorders>
            <w:shd w:val="clear" w:color="auto" w:fill="auto"/>
            <w:noWrap/>
            <w:vAlign w:val="bottom"/>
            <w:hideMark/>
          </w:tcPr>
          <w:p w14:paraId="50B0BD1B"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2753A0B5" w14:textId="77777777" w:rsidR="00A61255" w:rsidRPr="006B42D6" w:rsidRDefault="00A61255" w:rsidP="006C676D">
            <w:pPr>
              <w:jc w:val="right"/>
              <w:rPr>
                <w:sz w:val="16"/>
                <w:szCs w:val="16"/>
              </w:rPr>
            </w:pPr>
            <w:r w:rsidRPr="006B42D6">
              <w:rPr>
                <w:sz w:val="16"/>
                <w:szCs w:val="16"/>
              </w:rPr>
              <w:t>-</w:t>
            </w:r>
          </w:p>
        </w:tc>
        <w:tc>
          <w:tcPr>
            <w:tcW w:w="427" w:type="pct"/>
            <w:tcBorders>
              <w:top w:val="nil"/>
              <w:left w:val="single" w:sz="4" w:space="0" w:color="auto"/>
              <w:bottom w:val="nil"/>
              <w:right w:val="nil"/>
            </w:tcBorders>
            <w:shd w:val="clear" w:color="auto" w:fill="auto"/>
            <w:noWrap/>
            <w:vAlign w:val="bottom"/>
            <w:hideMark/>
          </w:tcPr>
          <w:p w14:paraId="4E4908CF" w14:textId="77777777" w:rsidR="00A61255" w:rsidRPr="006B42D6" w:rsidRDefault="00A61255" w:rsidP="006C676D">
            <w:pPr>
              <w:jc w:val="right"/>
              <w:rPr>
                <w:sz w:val="16"/>
                <w:szCs w:val="16"/>
              </w:rPr>
            </w:pPr>
            <w:r w:rsidRPr="006B42D6">
              <w:rPr>
                <w:sz w:val="16"/>
                <w:szCs w:val="16"/>
              </w:rPr>
              <w:t>1,096</w:t>
            </w:r>
          </w:p>
        </w:tc>
        <w:tc>
          <w:tcPr>
            <w:tcW w:w="403" w:type="pct"/>
            <w:tcBorders>
              <w:top w:val="nil"/>
              <w:left w:val="nil"/>
              <w:bottom w:val="nil"/>
              <w:right w:val="single" w:sz="4" w:space="0" w:color="auto"/>
            </w:tcBorders>
            <w:shd w:val="clear" w:color="auto" w:fill="auto"/>
            <w:noWrap/>
            <w:vAlign w:val="bottom"/>
            <w:hideMark/>
          </w:tcPr>
          <w:p w14:paraId="62E3CADC" w14:textId="77777777" w:rsidR="00A61255" w:rsidRPr="006B42D6" w:rsidRDefault="00A61255" w:rsidP="006C676D">
            <w:pPr>
              <w:jc w:val="right"/>
              <w:rPr>
                <w:sz w:val="16"/>
                <w:szCs w:val="16"/>
              </w:rPr>
            </w:pPr>
            <w:r w:rsidRPr="006B42D6">
              <w:rPr>
                <w:sz w:val="16"/>
                <w:szCs w:val="16"/>
              </w:rPr>
              <w:t>10.0</w:t>
            </w:r>
          </w:p>
        </w:tc>
        <w:tc>
          <w:tcPr>
            <w:tcW w:w="427" w:type="pct"/>
            <w:tcBorders>
              <w:top w:val="nil"/>
              <w:left w:val="nil"/>
              <w:bottom w:val="nil"/>
              <w:right w:val="nil"/>
            </w:tcBorders>
            <w:shd w:val="clear" w:color="auto" w:fill="auto"/>
            <w:noWrap/>
            <w:vAlign w:val="bottom"/>
            <w:hideMark/>
          </w:tcPr>
          <w:p w14:paraId="57EA35B5"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4F1B4E26" w14:textId="77777777" w:rsidR="00A61255" w:rsidRPr="006B42D6" w:rsidRDefault="00A61255" w:rsidP="006C676D">
            <w:pPr>
              <w:jc w:val="right"/>
              <w:rPr>
                <w:sz w:val="16"/>
                <w:szCs w:val="16"/>
              </w:rPr>
            </w:pPr>
            <w:r w:rsidRPr="006B42D6">
              <w:rPr>
                <w:sz w:val="16"/>
                <w:szCs w:val="16"/>
              </w:rPr>
              <w:t>-</w:t>
            </w:r>
          </w:p>
        </w:tc>
        <w:tc>
          <w:tcPr>
            <w:tcW w:w="427" w:type="pct"/>
            <w:tcBorders>
              <w:top w:val="nil"/>
              <w:left w:val="single" w:sz="4" w:space="0" w:color="auto"/>
              <w:bottom w:val="nil"/>
              <w:right w:val="nil"/>
            </w:tcBorders>
            <w:shd w:val="clear" w:color="auto" w:fill="auto"/>
            <w:noWrap/>
            <w:vAlign w:val="bottom"/>
            <w:hideMark/>
          </w:tcPr>
          <w:p w14:paraId="6591E922"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29A9BBAF" w14:textId="77777777" w:rsidR="00A61255" w:rsidRPr="006B42D6" w:rsidRDefault="00A61255" w:rsidP="006C676D">
            <w:pPr>
              <w:jc w:val="right"/>
              <w:rPr>
                <w:sz w:val="16"/>
                <w:szCs w:val="16"/>
              </w:rPr>
            </w:pPr>
            <w:r w:rsidRPr="006B42D6">
              <w:rPr>
                <w:sz w:val="16"/>
                <w:szCs w:val="16"/>
              </w:rPr>
              <w:t>-</w:t>
            </w:r>
          </w:p>
        </w:tc>
      </w:tr>
      <w:tr w:rsidR="006B42D6" w:rsidRPr="006B42D6" w14:paraId="3334110F" w14:textId="77777777" w:rsidTr="00BA6B5C">
        <w:trPr>
          <w:trHeight w:val="80"/>
        </w:trPr>
        <w:tc>
          <w:tcPr>
            <w:tcW w:w="851" w:type="pct"/>
            <w:tcBorders>
              <w:top w:val="nil"/>
              <w:left w:val="nil"/>
              <w:bottom w:val="nil"/>
              <w:right w:val="single" w:sz="4" w:space="0" w:color="auto"/>
            </w:tcBorders>
            <w:shd w:val="clear" w:color="auto" w:fill="auto"/>
            <w:noWrap/>
            <w:vAlign w:val="center"/>
            <w:hideMark/>
          </w:tcPr>
          <w:p w14:paraId="4B1DE019" w14:textId="77777777" w:rsidR="00A61255" w:rsidRPr="006B42D6" w:rsidRDefault="00A61255" w:rsidP="006C676D">
            <w:pPr>
              <w:rPr>
                <w:sz w:val="16"/>
                <w:szCs w:val="16"/>
              </w:rPr>
            </w:pPr>
            <w:r w:rsidRPr="006B42D6">
              <w:rPr>
                <w:sz w:val="16"/>
                <w:szCs w:val="16"/>
              </w:rPr>
              <w:t>Geita</w:t>
            </w:r>
          </w:p>
        </w:tc>
        <w:tc>
          <w:tcPr>
            <w:tcW w:w="427" w:type="pct"/>
            <w:tcBorders>
              <w:top w:val="nil"/>
              <w:left w:val="nil"/>
              <w:bottom w:val="nil"/>
              <w:right w:val="nil"/>
            </w:tcBorders>
            <w:shd w:val="clear" w:color="auto" w:fill="auto"/>
            <w:noWrap/>
            <w:vAlign w:val="bottom"/>
            <w:hideMark/>
          </w:tcPr>
          <w:p w14:paraId="542B0A4E" w14:textId="77777777" w:rsidR="00A61255" w:rsidRPr="006B42D6" w:rsidRDefault="00A61255" w:rsidP="006C676D">
            <w:pPr>
              <w:jc w:val="right"/>
              <w:rPr>
                <w:sz w:val="16"/>
                <w:szCs w:val="16"/>
              </w:rPr>
            </w:pPr>
            <w:r w:rsidRPr="006B42D6">
              <w:rPr>
                <w:sz w:val="16"/>
                <w:szCs w:val="16"/>
              </w:rPr>
              <w:t>6,358</w:t>
            </w:r>
          </w:p>
        </w:tc>
        <w:tc>
          <w:tcPr>
            <w:tcW w:w="403" w:type="pct"/>
            <w:tcBorders>
              <w:top w:val="nil"/>
              <w:left w:val="nil"/>
              <w:bottom w:val="nil"/>
              <w:right w:val="single" w:sz="4" w:space="0" w:color="auto"/>
            </w:tcBorders>
            <w:shd w:val="clear" w:color="auto" w:fill="auto"/>
            <w:noWrap/>
            <w:vAlign w:val="bottom"/>
            <w:hideMark/>
          </w:tcPr>
          <w:p w14:paraId="12372968" w14:textId="77777777" w:rsidR="00A61255" w:rsidRPr="006B42D6" w:rsidRDefault="00A61255" w:rsidP="006C676D">
            <w:pPr>
              <w:jc w:val="right"/>
              <w:rPr>
                <w:sz w:val="16"/>
                <w:szCs w:val="16"/>
              </w:rPr>
            </w:pPr>
            <w:r w:rsidRPr="006B42D6">
              <w:rPr>
                <w:sz w:val="16"/>
                <w:szCs w:val="16"/>
              </w:rPr>
              <w:t>3.2</w:t>
            </w:r>
          </w:p>
        </w:tc>
        <w:tc>
          <w:tcPr>
            <w:tcW w:w="427" w:type="pct"/>
            <w:tcBorders>
              <w:top w:val="nil"/>
              <w:left w:val="nil"/>
              <w:bottom w:val="nil"/>
              <w:right w:val="nil"/>
            </w:tcBorders>
            <w:shd w:val="clear" w:color="auto" w:fill="auto"/>
            <w:noWrap/>
            <w:vAlign w:val="bottom"/>
            <w:hideMark/>
          </w:tcPr>
          <w:p w14:paraId="693C30CD"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45292740" w14:textId="77777777" w:rsidR="00A61255" w:rsidRPr="006B42D6" w:rsidRDefault="00A61255" w:rsidP="006C676D">
            <w:pPr>
              <w:jc w:val="right"/>
              <w:rPr>
                <w:sz w:val="16"/>
                <w:szCs w:val="16"/>
              </w:rPr>
            </w:pPr>
            <w:r w:rsidRPr="006B42D6">
              <w:rPr>
                <w:sz w:val="16"/>
                <w:szCs w:val="16"/>
              </w:rPr>
              <w:t>-</w:t>
            </w:r>
          </w:p>
        </w:tc>
        <w:tc>
          <w:tcPr>
            <w:tcW w:w="427" w:type="pct"/>
            <w:tcBorders>
              <w:top w:val="nil"/>
              <w:left w:val="single" w:sz="4" w:space="0" w:color="auto"/>
              <w:bottom w:val="nil"/>
              <w:right w:val="nil"/>
            </w:tcBorders>
            <w:shd w:val="clear" w:color="auto" w:fill="auto"/>
            <w:noWrap/>
            <w:vAlign w:val="bottom"/>
            <w:hideMark/>
          </w:tcPr>
          <w:p w14:paraId="56D3A8FA"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single" w:sz="4" w:space="0" w:color="auto"/>
            </w:tcBorders>
            <w:shd w:val="clear" w:color="auto" w:fill="auto"/>
            <w:noWrap/>
            <w:vAlign w:val="bottom"/>
            <w:hideMark/>
          </w:tcPr>
          <w:p w14:paraId="110659C9" w14:textId="77777777" w:rsidR="00A61255" w:rsidRPr="006B42D6" w:rsidRDefault="00A61255" w:rsidP="006C676D">
            <w:pPr>
              <w:jc w:val="right"/>
              <w:rPr>
                <w:sz w:val="16"/>
                <w:szCs w:val="16"/>
              </w:rPr>
            </w:pPr>
            <w:r w:rsidRPr="006B42D6">
              <w:rPr>
                <w:sz w:val="16"/>
                <w:szCs w:val="16"/>
              </w:rPr>
              <w:t>-</w:t>
            </w:r>
          </w:p>
        </w:tc>
        <w:tc>
          <w:tcPr>
            <w:tcW w:w="427" w:type="pct"/>
            <w:tcBorders>
              <w:top w:val="nil"/>
              <w:left w:val="nil"/>
              <w:bottom w:val="nil"/>
              <w:right w:val="nil"/>
            </w:tcBorders>
            <w:shd w:val="clear" w:color="auto" w:fill="auto"/>
            <w:noWrap/>
            <w:vAlign w:val="bottom"/>
            <w:hideMark/>
          </w:tcPr>
          <w:p w14:paraId="3BAF3B21" w14:textId="77777777" w:rsidR="00A61255" w:rsidRPr="006B42D6" w:rsidRDefault="00A61255" w:rsidP="006C676D">
            <w:pPr>
              <w:jc w:val="right"/>
              <w:rPr>
                <w:sz w:val="16"/>
                <w:szCs w:val="16"/>
              </w:rPr>
            </w:pPr>
            <w:r w:rsidRPr="006B42D6">
              <w:rPr>
                <w:sz w:val="16"/>
                <w:szCs w:val="16"/>
              </w:rPr>
              <w:t>4,624</w:t>
            </w:r>
          </w:p>
        </w:tc>
        <w:tc>
          <w:tcPr>
            <w:tcW w:w="403" w:type="pct"/>
            <w:tcBorders>
              <w:top w:val="nil"/>
              <w:left w:val="nil"/>
              <w:bottom w:val="nil"/>
              <w:right w:val="nil"/>
            </w:tcBorders>
            <w:shd w:val="clear" w:color="auto" w:fill="auto"/>
            <w:noWrap/>
            <w:vAlign w:val="bottom"/>
            <w:hideMark/>
          </w:tcPr>
          <w:p w14:paraId="4C7C22ED" w14:textId="77777777" w:rsidR="00A61255" w:rsidRPr="006B42D6" w:rsidRDefault="00A61255" w:rsidP="006C676D">
            <w:pPr>
              <w:jc w:val="right"/>
              <w:rPr>
                <w:sz w:val="16"/>
                <w:szCs w:val="16"/>
              </w:rPr>
            </w:pPr>
            <w:r w:rsidRPr="006B42D6">
              <w:rPr>
                <w:sz w:val="16"/>
                <w:szCs w:val="16"/>
              </w:rPr>
              <w:t>1.7</w:t>
            </w:r>
          </w:p>
        </w:tc>
        <w:tc>
          <w:tcPr>
            <w:tcW w:w="427" w:type="pct"/>
            <w:tcBorders>
              <w:top w:val="nil"/>
              <w:left w:val="single" w:sz="4" w:space="0" w:color="auto"/>
              <w:bottom w:val="nil"/>
              <w:right w:val="nil"/>
            </w:tcBorders>
            <w:shd w:val="clear" w:color="auto" w:fill="auto"/>
            <w:noWrap/>
            <w:vAlign w:val="bottom"/>
            <w:hideMark/>
          </w:tcPr>
          <w:p w14:paraId="5154B1F1"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393B4E35" w14:textId="77777777" w:rsidR="00A61255" w:rsidRPr="006B42D6" w:rsidRDefault="00A61255" w:rsidP="006C676D">
            <w:pPr>
              <w:jc w:val="right"/>
              <w:rPr>
                <w:sz w:val="16"/>
                <w:szCs w:val="16"/>
              </w:rPr>
            </w:pPr>
            <w:r w:rsidRPr="006B42D6">
              <w:rPr>
                <w:sz w:val="16"/>
                <w:szCs w:val="16"/>
              </w:rPr>
              <w:t>-</w:t>
            </w:r>
          </w:p>
        </w:tc>
      </w:tr>
      <w:tr w:rsidR="006B42D6" w:rsidRPr="006B42D6" w14:paraId="2FBA9A44" w14:textId="77777777" w:rsidTr="00BA6B5C">
        <w:trPr>
          <w:trHeight w:val="80"/>
        </w:trPr>
        <w:tc>
          <w:tcPr>
            <w:tcW w:w="851" w:type="pct"/>
            <w:tcBorders>
              <w:top w:val="nil"/>
              <w:left w:val="nil"/>
              <w:bottom w:val="nil"/>
              <w:right w:val="single" w:sz="4" w:space="0" w:color="auto"/>
            </w:tcBorders>
            <w:shd w:val="clear" w:color="auto" w:fill="auto"/>
            <w:noWrap/>
            <w:vAlign w:val="center"/>
            <w:hideMark/>
          </w:tcPr>
          <w:p w14:paraId="6F7F4310" w14:textId="77777777" w:rsidR="00A61255" w:rsidRPr="006B42D6" w:rsidRDefault="00A61255" w:rsidP="006C676D">
            <w:pPr>
              <w:rPr>
                <w:sz w:val="16"/>
                <w:szCs w:val="16"/>
              </w:rPr>
            </w:pPr>
            <w:r w:rsidRPr="006B42D6">
              <w:rPr>
                <w:sz w:val="16"/>
                <w:szCs w:val="16"/>
              </w:rPr>
              <w:t>Songwe</w:t>
            </w:r>
          </w:p>
        </w:tc>
        <w:tc>
          <w:tcPr>
            <w:tcW w:w="427" w:type="pct"/>
            <w:tcBorders>
              <w:top w:val="nil"/>
              <w:left w:val="nil"/>
              <w:bottom w:val="nil"/>
              <w:right w:val="nil"/>
            </w:tcBorders>
            <w:shd w:val="clear" w:color="auto" w:fill="auto"/>
            <w:noWrap/>
            <w:vAlign w:val="bottom"/>
            <w:hideMark/>
          </w:tcPr>
          <w:p w14:paraId="003CBC1F" w14:textId="77777777" w:rsidR="00A61255" w:rsidRPr="006B42D6" w:rsidRDefault="00A61255" w:rsidP="006C676D">
            <w:pPr>
              <w:jc w:val="right"/>
              <w:rPr>
                <w:sz w:val="16"/>
                <w:szCs w:val="16"/>
              </w:rPr>
            </w:pPr>
            <w:r w:rsidRPr="006B42D6">
              <w:rPr>
                <w:sz w:val="16"/>
                <w:szCs w:val="16"/>
              </w:rPr>
              <w:t>32,374</w:t>
            </w:r>
          </w:p>
        </w:tc>
        <w:tc>
          <w:tcPr>
            <w:tcW w:w="403" w:type="pct"/>
            <w:tcBorders>
              <w:top w:val="nil"/>
              <w:left w:val="nil"/>
              <w:bottom w:val="nil"/>
              <w:right w:val="single" w:sz="4" w:space="0" w:color="auto"/>
            </w:tcBorders>
            <w:shd w:val="clear" w:color="auto" w:fill="auto"/>
            <w:noWrap/>
            <w:vAlign w:val="bottom"/>
            <w:hideMark/>
          </w:tcPr>
          <w:p w14:paraId="350995C1" w14:textId="77777777" w:rsidR="00A61255" w:rsidRPr="006B42D6" w:rsidRDefault="00A61255" w:rsidP="006C676D">
            <w:pPr>
              <w:jc w:val="right"/>
              <w:rPr>
                <w:sz w:val="16"/>
                <w:szCs w:val="16"/>
              </w:rPr>
            </w:pPr>
            <w:r w:rsidRPr="006B42D6">
              <w:rPr>
                <w:sz w:val="16"/>
                <w:szCs w:val="16"/>
              </w:rPr>
              <w:t>16.4</w:t>
            </w:r>
          </w:p>
        </w:tc>
        <w:tc>
          <w:tcPr>
            <w:tcW w:w="427" w:type="pct"/>
            <w:tcBorders>
              <w:top w:val="nil"/>
              <w:left w:val="nil"/>
              <w:bottom w:val="nil"/>
              <w:right w:val="nil"/>
            </w:tcBorders>
            <w:shd w:val="clear" w:color="auto" w:fill="auto"/>
            <w:noWrap/>
            <w:vAlign w:val="bottom"/>
            <w:hideMark/>
          </w:tcPr>
          <w:p w14:paraId="4BC2D233" w14:textId="77777777" w:rsidR="00A61255" w:rsidRPr="006B42D6" w:rsidRDefault="00A61255" w:rsidP="006C676D">
            <w:pPr>
              <w:jc w:val="right"/>
              <w:rPr>
                <w:sz w:val="16"/>
                <w:szCs w:val="16"/>
              </w:rPr>
            </w:pPr>
            <w:r w:rsidRPr="006B42D6">
              <w:rPr>
                <w:sz w:val="16"/>
                <w:szCs w:val="16"/>
              </w:rPr>
              <w:t>1,198</w:t>
            </w:r>
          </w:p>
        </w:tc>
        <w:tc>
          <w:tcPr>
            <w:tcW w:w="403" w:type="pct"/>
            <w:tcBorders>
              <w:top w:val="nil"/>
              <w:left w:val="nil"/>
              <w:bottom w:val="nil"/>
              <w:right w:val="nil"/>
            </w:tcBorders>
            <w:shd w:val="clear" w:color="auto" w:fill="auto"/>
            <w:noWrap/>
            <w:vAlign w:val="bottom"/>
            <w:hideMark/>
          </w:tcPr>
          <w:p w14:paraId="0C06C287" w14:textId="77777777" w:rsidR="00A61255" w:rsidRPr="006B42D6" w:rsidRDefault="00A61255" w:rsidP="006C676D">
            <w:pPr>
              <w:jc w:val="right"/>
              <w:rPr>
                <w:sz w:val="16"/>
                <w:szCs w:val="16"/>
              </w:rPr>
            </w:pPr>
            <w:r w:rsidRPr="006B42D6">
              <w:rPr>
                <w:sz w:val="16"/>
                <w:szCs w:val="16"/>
              </w:rPr>
              <w:t>19.7</w:t>
            </w:r>
          </w:p>
        </w:tc>
        <w:tc>
          <w:tcPr>
            <w:tcW w:w="427" w:type="pct"/>
            <w:tcBorders>
              <w:top w:val="nil"/>
              <w:left w:val="single" w:sz="4" w:space="0" w:color="auto"/>
              <w:bottom w:val="nil"/>
              <w:right w:val="nil"/>
            </w:tcBorders>
            <w:shd w:val="clear" w:color="auto" w:fill="auto"/>
            <w:noWrap/>
            <w:vAlign w:val="bottom"/>
            <w:hideMark/>
          </w:tcPr>
          <w:p w14:paraId="7A6159E8"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single" w:sz="4" w:space="0" w:color="auto"/>
            </w:tcBorders>
            <w:shd w:val="clear" w:color="auto" w:fill="auto"/>
            <w:noWrap/>
            <w:vAlign w:val="bottom"/>
            <w:hideMark/>
          </w:tcPr>
          <w:p w14:paraId="03C30136" w14:textId="77777777" w:rsidR="00A61255" w:rsidRPr="006B42D6" w:rsidRDefault="00A61255" w:rsidP="006C676D">
            <w:pPr>
              <w:jc w:val="right"/>
              <w:rPr>
                <w:sz w:val="16"/>
                <w:szCs w:val="16"/>
              </w:rPr>
            </w:pPr>
            <w:r w:rsidRPr="006B42D6">
              <w:rPr>
                <w:sz w:val="16"/>
                <w:szCs w:val="16"/>
              </w:rPr>
              <w:t>-</w:t>
            </w:r>
          </w:p>
        </w:tc>
        <w:tc>
          <w:tcPr>
            <w:tcW w:w="427" w:type="pct"/>
            <w:tcBorders>
              <w:top w:val="nil"/>
              <w:left w:val="nil"/>
              <w:bottom w:val="nil"/>
              <w:right w:val="nil"/>
            </w:tcBorders>
            <w:shd w:val="clear" w:color="auto" w:fill="auto"/>
            <w:noWrap/>
            <w:vAlign w:val="bottom"/>
            <w:hideMark/>
          </w:tcPr>
          <w:p w14:paraId="6B1225B1" w14:textId="77777777" w:rsidR="00A61255" w:rsidRPr="006B42D6" w:rsidRDefault="00A61255" w:rsidP="006C676D">
            <w:pPr>
              <w:jc w:val="right"/>
              <w:rPr>
                <w:sz w:val="16"/>
                <w:szCs w:val="16"/>
              </w:rPr>
            </w:pPr>
            <w:r w:rsidRPr="006B42D6">
              <w:rPr>
                <w:sz w:val="16"/>
                <w:szCs w:val="16"/>
              </w:rPr>
              <w:t>7,487</w:t>
            </w:r>
          </w:p>
        </w:tc>
        <w:tc>
          <w:tcPr>
            <w:tcW w:w="403" w:type="pct"/>
            <w:tcBorders>
              <w:top w:val="nil"/>
              <w:left w:val="nil"/>
              <w:bottom w:val="nil"/>
              <w:right w:val="nil"/>
            </w:tcBorders>
            <w:shd w:val="clear" w:color="auto" w:fill="auto"/>
            <w:noWrap/>
            <w:vAlign w:val="bottom"/>
            <w:hideMark/>
          </w:tcPr>
          <w:p w14:paraId="323CF688" w14:textId="77777777" w:rsidR="00A61255" w:rsidRPr="006B42D6" w:rsidRDefault="00A61255" w:rsidP="006C676D">
            <w:pPr>
              <w:jc w:val="right"/>
              <w:rPr>
                <w:sz w:val="16"/>
                <w:szCs w:val="16"/>
              </w:rPr>
            </w:pPr>
            <w:r w:rsidRPr="006B42D6">
              <w:rPr>
                <w:sz w:val="16"/>
                <w:szCs w:val="16"/>
              </w:rPr>
              <w:t>2.7</w:t>
            </w:r>
          </w:p>
        </w:tc>
        <w:tc>
          <w:tcPr>
            <w:tcW w:w="427" w:type="pct"/>
            <w:tcBorders>
              <w:top w:val="nil"/>
              <w:left w:val="single" w:sz="4" w:space="0" w:color="auto"/>
              <w:bottom w:val="nil"/>
              <w:right w:val="nil"/>
            </w:tcBorders>
            <w:shd w:val="clear" w:color="auto" w:fill="auto"/>
            <w:noWrap/>
            <w:vAlign w:val="bottom"/>
            <w:hideMark/>
          </w:tcPr>
          <w:p w14:paraId="67CA835D"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5F1E7D52" w14:textId="77777777" w:rsidR="00A61255" w:rsidRPr="006B42D6" w:rsidRDefault="00A61255" w:rsidP="006C676D">
            <w:pPr>
              <w:jc w:val="right"/>
              <w:rPr>
                <w:sz w:val="16"/>
                <w:szCs w:val="16"/>
              </w:rPr>
            </w:pPr>
            <w:r w:rsidRPr="006B42D6">
              <w:rPr>
                <w:sz w:val="16"/>
                <w:szCs w:val="16"/>
              </w:rPr>
              <w:t>-</w:t>
            </w:r>
          </w:p>
        </w:tc>
      </w:tr>
      <w:tr w:rsidR="006B42D6" w:rsidRPr="006B42D6" w14:paraId="0B679A3E" w14:textId="77777777" w:rsidTr="00141395">
        <w:trPr>
          <w:trHeight w:val="70"/>
        </w:trPr>
        <w:tc>
          <w:tcPr>
            <w:tcW w:w="851" w:type="pct"/>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24BCF6A0" w14:textId="5B65B272" w:rsidR="00A61255" w:rsidRPr="006B42D6" w:rsidRDefault="00EA1552" w:rsidP="006C676D">
            <w:pPr>
              <w:rPr>
                <w:b/>
                <w:bCs/>
                <w:sz w:val="16"/>
                <w:szCs w:val="16"/>
              </w:rPr>
            </w:pPr>
            <w:r>
              <w:rPr>
                <w:b/>
                <w:bCs/>
                <w:sz w:val="16"/>
                <w:szCs w:val="16"/>
              </w:rPr>
              <w:t>Mainland Tanzania</w:t>
            </w:r>
          </w:p>
        </w:tc>
        <w:tc>
          <w:tcPr>
            <w:tcW w:w="427" w:type="pct"/>
            <w:tcBorders>
              <w:top w:val="single" w:sz="4" w:space="0" w:color="auto"/>
              <w:left w:val="nil"/>
              <w:bottom w:val="single" w:sz="4" w:space="0" w:color="auto"/>
              <w:right w:val="nil"/>
            </w:tcBorders>
            <w:shd w:val="clear" w:color="auto" w:fill="E2EFD9" w:themeFill="accent6" w:themeFillTint="33"/>
            <w:noWrap/>
            <w:vAlign w:val="bottom"/>
            <w:hideMark/>
          </w:tcPr>
          <w:p w14:paraId="004E1C64" w14:textId="77777777" w:rsidR="00A61255" w:rsidRPr="006B42D6" w:rsidRDefault="00A61255" w:rsidP="006C676D">
            <w:pPr>
              <w:jc w:val="right"/>
              <w:rPr>
                <w:b/>
                <w:bCs/>
                <w:sz w:val="16"/>
                <w:szCs w:val="16"/>
              </w:rPr>
            </w:pPr>
            <w:r w:rsidRPr="006B42D6">
              <w:rPr>
                <w:b/>
                <w:bCs/>
                <w:sz w:val="16"/>
                <w:szCs w:val="16"/>
              </w:rPr>
              <w:t>197,836</w:t>
            </w:r>
          </w:p>
        </w:tc>
        <w:tc>
          <w:tcPr>
            <w:tcW w:w="403" w:type="pct"/>
            <w:tcBorders>
              <w:top w:val="single" w:sz="4" w:space="0" w:color="auto"/>
              <w:left w:val="nil"/>
              <w:bottom w:val="single" w:sz="4" w:space="0" w:color="auto"/>
              <w:right w:val="single" w:sz="4" w:space="0" w:color="auto"/>
            </w:tcBorders>
            <w:shd w:val="clear" w:color="auto" w:fill="E2EFD9" w:themeFill="accent6" w:themeFillTint="33"/>
            <w:noWrap/>
            <w:vAlign w:val="bottom"/>
            <w:hideMark/>
          </w:tcPr>
          <w:p w14:paraId="4FA3C7A6" w14:textId="77777777" w:rsidR="00A61255" w:rsidRPr="006B42D6" w:rsidRDefault="00A61255" w:rsidP="006C676D">
            <w:pPr>
              <w:jc w:val="right"/>
              <w:rPr>
                <w:sz w:val="16"/>
                <w:szCs w:val="16"/>
              </w:rPr>
            </w:pPr>
            <w:r w:rsidRPr="006B42D6">
              <w:rPr>
                <w:sz w:val="16"/>
                <w:szCs w:val="16"/>
              </w:rPr>
              <w:t>100</w:t>
            </w:r>
          </w:p>
        </w:tc>
        <w:tc>
          <w:tcPr>
            <w:tcW w:w="427" w:type="pct"/>
            <w:tcBorders>
              <w:top w:val="single" w:sz="4" w:space="0" w:color="auto"/>
              <w:left w:val="nil"/>
              <w:bottom w:val="single" w:sz="4" w:space="0" w:color="auto"/>
              <w:right w:val="nil"/>
            </w:tcBorders>
            <w:shd w:val="clear" w:color="auto" w:fill="E2EFD9" w:themeFill="accent6" w:themeFillTint="33"/>
            <w:noWrap/>
            <w:vAlign w:val="bottom"/>
            <w:hideMark/>
          </w:tcPr>
          <w:p w14:paraId="592F024C" w14:textId="77777777" w:rsidR="00A61255" w:rsidRPr="006B42D6" w:rsidRDefault="00A61255" w:rsidP="006C676D">
            <w:pPr>
              <w:jc w:val="right"/>
              <w:rPr>
                <w:b/>
                <w:bCs/>
                <w:sz w:val="16"/>
                <w:szCs w:val="16"/>
              </w:rPr>
            </w:pPr>
            <w:r w:rsidRPr="006B42D6">
              <w:rPr>
                <w:b/>
                <w:bCs/>
                <w:sz w:val="16"/>
                <w:szCs w:val="16"/>
              </w:rPr>
              <w:t>6,095</w:t>
            </w:r>
          </w:p>
        </w:tc>
        <w:tc>
          <w:tcPr>
            <w:tcW w:w="403" w:type="pct"/>
            <w:tcBorders>
              <w:top w:val="single" w:sz="4" w:space="0" w:color="auto"/>
              <w:left w:val="nil"/>
              <w:bottom w:val="single" w:sz="4" w:space="0" w:color="auto"/>
              <w:right w:val="nil"/>
            </w:tcBorders>
            <w:shd w:val="clear" w:color="auto" w:fill="E2EFD9" w:themeFill="accent6" w:themeFillTint="33"/>
            <w:noWrap/>
            <w:vAlign w:val="bottom"/>
            <w:hideMark/>
          </w:tcPr>
          <w:p w14:paraId="7B780169" w14:textId="77777777" w:rsidR="00A61255" w:rsidRPr="006B42D6" w:rsidRDefault="00A61255" w:rsidP="006C676D">
            <w:pPr>
              <w:jc w:val="right"/>
              <w:rPr>
                <w:sz w:val="16"/>
                <w:szCs w:val="16"/>
              </w:rPr>
            </w:pPr>
            <w:r w:rsidRPr="006B42D6">
              <w:rPr>
                <w:sz w:val="16"/>
                <w:szCs w:val="16"/>
              </w:rPr>
              <w:t>100</w:t>
            </w:r>
          </w:p>
        </w:tc>
        <w:tc>
          <w:tcPr>
            <w:tcW w:w="427" w:type="pct"/>
            <w:tcBorders>
              <w:top w:val="single" w:sz="4" w:space="0" w:color="auto"/>
              <w:left w:val="single" w:sz="4" w:space="0" w:color="auto"/>
              <w:bottom w:val="single" w:sz="4" w:space="0" w:color="auto"/>
              <w:right w:val="nil"/>
            </w:tcBorders>
            <w:shd w:val="clear" w:color="auto" w:fill="E2EFD9" w:themeFill="accent6" w:themeFillTint="33"/>
            <w:noWrap/>
            <w:vAlign w:val="bottom"/>
            <w:hideMark/>
          </w:tcPr>
          <w:p w14:paraId="45DB1740" w14:textId="77777777" w:rsidR="00A61255" w:rsidRPr="006B42D6" w:rsidRDefault="00A61255" w:rsidP="006C676D">
            <w:pPr>
              <w:jc w:val="right"/>
              <w:rPr>
                <w:b/>
                <w:bCs/>
                <w:sz w:val="16"/>
                <w:szCs w:val="16"/>
              </w:rPr>
            </w:pPr>
            <w:r w:rsidRPr="006B42D6">
              <w:rPr>
                <w:b/>
                <w:bCs/>
                <w:sz w:val="16"/>
                <w:szCs w:val="16"/>
              </w:rPr>
              <w:t>10,971</w:t>
            </w:r>
          </w:p>
        </w:tc>
        <w:tc>
          <w:tcPr>
            <w:tcW w:w="403" w:type="pct"/>
            <w:tcBorders>
              <w:top w:val="single" w:sz="4" w:space="0" w:color="auto"/>
              <w:left w:val="nil"/>
              <w:bottom w:val="single" w:sz="4" w:space="0" w:color="auto"/>
              <w:right w:val="single" w:sz="4" w:space="0" w:color="auto"/>
            </w:tcBorders>
            <w:shd w:val="clear" w:color="auto" w:fill="E2EFD9" w:themeFill="accent6" w:themeFillTint="33"/>
            <w:noWrap/>
            <w:vAlign w:val="bottom"/>
            <w:hideMark/>
          </w:tcPr>
          <w:p w14:paraId="0117C0B4" w14:textId="77777777" w:rsidR="00A61255" w:rsidRPr="006B42D6" w:rsidRDefault="00A61255" w:rsidP="006C676D">
            <w:pPr>
              <w:jc w:val="right"/>
              <w:rPr>
                <w:sz w:val="16"/>
                <w:szCs w:val="16"/>
              </w:rPr>
            </w:pPr>
            <w:r w:rsidRPr="006B42D6">
              <w:rPr>
                <w:sz w:val="16"/>
                <w:szCs w:val="16"/>
              </w:rPr>
              <w:t>100</w:t>
            </w:r>
          </w:p>
        </w:tc>
        <w:tc>
          <w:tcPr>
            <w:tcW w:w="427" w:type="pct"/>
            <w:tcBorders>
              <w:top w:val="single" w:sz="4" w:space="0" w:color="auto"/>
              <w:left w:val="nil"/>
              <w:bottom w:val="single" w:sz="4" w:space="0" w:color="auto"/>
              <w:right w:val="nil"/>
            </w:tcBorders>
            <w:shd w:val="clear" w:color="auto" w:fill="E2EFD9" w:themeFill="accent6" w:themeFillTint="33"/>
            <w:noWrap/>
            <w:vAlign w:val="bottom"/>
            <w:hideMark/>
          </w:tcPr>
          <w:p w14:paraId="074873B0" w14:textId="77777777" w:rsidR="00A61255" w:rsidRPr="006B42D6" w:rsidRDefault="00A61255" w:rsidP="006C676D">
            <w:pPr>
              <w:jc w:val="right"/>
              <w:rPr>
                <w:b/>
                <w:bCs/>
                <w:sz w:val="16"/>
                <w:szCs w:val="16"/>
              </w:rPr>
            </w:pPr>
            <w:r w:rsidRPr="006B42D6">
              <w:rPr>
                <w:b/>
                <w:bCs/>
                <w:sz w:val="16"/>
                <w:szCs w:val="16"/>
              </w:rPr>
              <w:t>275,405</w:t>
            </w:r>
          </w:p>
        </w:tc>
        <w:tc>
          <w:tcPr>
            <w:tcW w:w="403" w:type="pct"/>
            <w:tcBorders>
              <w:top w:val="single" w:sz="4" w:space="0" w:color="auto"/>
              <w:left w:val="nil"/>
              <w:bottom w:val="single" w:sz="4" w:space="0" w:color="auto"/>
              <w:right w:val="nil"/>
            </w:tcBorders>
            <w:shd w:val="clear" w:color="auto" w:fill="E2EFD9" w:themeFill="accent6" w:themeFillTint="33"/>
            <w:noWrap/>
            <w:vAlign w:val="bottom"/>
            <w:hideMark/>
          </w:tcPr>
          <w:p w14:paraId="018AE68F" w14:textId="77777777" w:rsidR="00A61255" w:rsidRPr="006B42D6" w:rsidRDefault="00A61255" w:rsidP="006C676D">
            <w:pPr>
              <w:jc w:val="right"/>
              <w:rPr>
                <w:sz w:val="16"/>
                <w:szCs w:val="16"/>
              </w:rPr>
            </w:pPr>
            <w:r w:rsidRPr="006B42D6">
              <w:rPr>
                <w:sz w:val="16"/>
                <w:szCs w:val="16"/>
              </w:rPr>
              <w:t>100</w:t>
            </w:r>
          </w:p>
        </w:tc>
        <w:tc>
          <w:tcPr>
            <w:tcW w:w="427" w:type="pct"/>
            <w:tcBorders>
              <w:top w:val="single" w:sz="4" w:space="0" w:color="auto"/>
              <w:left w:val="single" w:sz="4" w:space="0" w:color="auto"/>
              <w:bottom w:val="single" w:sz="4" w:space="0" w:color="auto"/>
              <w:right w:val="nil"/>
            </w:tcBorders>
            <w:shd w:val="clear" w:color="auto" w:fill="E2EFD9" w:themeFill="accent6" w:themeFillTint="33"/>
            <w:noWrap/>
            <w:vAlign w:val="bottom"/>
            <w:hideMark/>
          </w:tcPr>
          <w:p w14:paraId="48BB9CBB" w14:textId="77777777" w:rsidR="00A61255" w:rsidRPr="006B42D6" w:rsidRDefault="00A61255" w:rsidP="006C676D">
            <w:pPr>
              <w:jc w:val="right"/>
              <w:rPr>
                <w:b/>
                <w:bCs/>
                <w:sz w:val="16"/>
                <w:szCs w:val="16"/>
              </w:rPr>
            </w:pPr>
            <w:r w:rsidRPr="006B42D6">
              <w:rPr>
                <w:b/>
                <w:bCs/>
                <w:sz w:val="16"/>
                <w:szCs w:val="16"/>
              </w:rPr>
              <w:t>12,125</w:t>
            </w:r>
          </w:p>
        </w:tc>
        <w:tc>
          <w:tcPr>
            <w:tcW w:w="403" w:type="pct"/>
            <w:tcBorders>
              <w:top w:val="single" w:sz="4" w:space="0" w:color="auto"/>
              <w:left w:val="nil"/>
              <w:bottom w:val="single" w:sz="4" w:space="0" w:color="auto"/>
              <w:right w:val="nil"/>
            </w:tcBorders>
            <w:shd w:val="clear" w:color="auto" w:fill="E2EFD9" w:themeFill="accent6" w:themeFillTint="33"/>
            <w:noWrap/>
            <w:vAlign w:val="bottom"/>
            <w:hideMark/>
          </w:tcPr>
          <w:p w14:paraId="60788A89" w14:textId="77777777" w:rsidR="00A61255" w:rsidRPr="006B42D6" w:rsidRDefault="00A61255" w:rsidP="006C676D">
            <w:pPr>
              <w:jc w:val="right"/>
              <w:rPr>
                <w:sz w:val="16"/>
                <w:szCs w:val="16"/>
              </w:rPr>
            </w:pPr>
            <w:r w:rsidRPr="006B42D6">
              <w:rPr>
                <w:sz w:val="16"/>
                <w:szCs w:val="16"/>
              </w:rPr>
              <w:t>100</w:t>
            </w:r>
          </w:p>
        </w:tc>
      </w:tr>
      <w:tr w:rsidR="006B42D6" w:rsidRPr="006B42D6" w14:paraId="716EA24A" w14:textId="77777777" w:rsidTr="00BA6B5C">
        <w:trPr>
          <w:trHeight w:val="70"/>
        </w:trPr>
        <w:tc>
          <w:tcPr>
            <w:tcW w:w="851" w:type="pct"/>
            <w:tcBorders>
              <w:top w:val="nil"/>
              <w:left w:val="nil"/>
              <w:bottom w:val="nil"/>
              <w:right w:val="single" w:sz="4" w:space="0" w:color="auto"/>
            </w:tcBorders>
            <w:shd w:val="clear" w:color="auto" w:fill="auto"/>
            <w:noWrap/>
            <w:vAlign w:val="center"/>
            <w:hideMark/>
          </w:tcPr>
          <w:p w14:paraId="2094E24A" w14:textId="77777777" w:rsidR="00A61255" w:rsidRPr="006B42D6" w:rsidRDefault="00A61255" w:rsidP="006C676D">
            <w:pPr>
              <w:rPr>
                <w:sz w:val="16"/>
                <w:szCs w:val="16"/>
              </w:rPr>
            </w:pPr>
            <w:r w:rsidRPr="006B42D6">
              <w:rPr>
                <w:sz w:val="16"/>
                <w:szCs w:val="16"/>
              </w:rPr>
              <w:t>Kaskazini Unguja</w:t>
            </w:r>
          </w:p>
        </w:tc>
        <w:tc>
          <w:tcPr>
            <w:tcW w:w="427" w:type="pct"/>
            <w:tcBorders>
              <w:top w:val="nil"/>
              <w:left w:val="nil"/>
              <w:bottom w:val="nil"/>
              <w:right w:val="nil"/>
            </w:tcBorders>
            <w:shd w:val="clear" w:color="auto" w:fill="auto"/>
            <w:noWrap/>
            <w:vAlign w:val="bottom"/>
            <w:hideMark/>
          </w:tcPr>
          <w:p w14:paraId="0AB9F958"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single" w:sz="4" w:space="0" w:color="auto"/>
            </w:tcBorders>
            <w:shd w:val="clear" w:color="auto" w:fill="auto"/>
            <w:noWrap/>
            <w:vAlign w:val="bottom"/>
            <w:hideMark/>
          </w:tcPr>
          <w:p w14:paraId="1B9F4AE3" w14:textId="77777777" w:rsidR="00A61255" w:rsidRPr="006B42D6" w:rsidRDefault="00A61255" w:rsidP="006C676D">
            <w:pPr>
              <w:jc w:val="right"/>
              <w:rPr>
                <w:sz w:val="16"/>
                <w:szCs w:val="16"/>
              </w:rPr>
            </w:pPr>
          </w:p>
        </w:tc>
        <w:tc>
          <w:tcPr>
            <w:tcW w:w="427" w:type="pct"/>
            <w:tcBorders>
              <w:top w:val="nil"/>
              <w:left w:val="nil"/>
              <w:bottom w:val="nil"/>
              <w:right w:val="nil"/>
            </w:tcBorders>
            <w:shd w:val="clear" w:color="auto" w:fill="auto"/>
            <w:noWrap/>
            <w:vAlign w:val="bottom"/>
            <w:hideMark/>
          </w:tcPr>
          <w:p w14:paraId="4908967E"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69824A2B" w14:textId="77777777" w:rsidR="00A61255" w:rsidRPr="006B42D6" w:rsidRDefault="00A61255" w:rsidP="006C676D">
            <w:pPr>
              <w:jc w:val="right"/>
              <w:rPr>
                <w:sz w:val="16"/>
                <w:szCs w:val="16"/>
              </w:rPr>
            </w:pPr>
            <w:r w:rsidRPr="006B42D6">
              <w:rPr>
                <w:sz w:val="16"/>
                <w:szCs w:val="16"/>
              </w:rPr>
              <w:t>-</w:t>
            </w:r>
          </w:p>
        </w:tc>
        <w:tc>
          <w:tcPr>
            <w:tcW w:w="427" w:type="pct"/>
            <w:tcBorders>
              <w:top w:val="nil"/>
              <w:left w:val="single" w:sz="4" w:space="0" w:color="auto"/>
              <w:bottom w:val="nil"/>
              <w:right w:val="nil"/>
            </w:tcBorders>
            <w:shd w:val="clear" w:color="auto" w:fill="auto"/>
            <w:noWrap/>
            <w:vAlign w:val="bottom"/>
            <w:hideMark/>
          </w:tcPr>
          <w:p w14:paraId="46645120"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single" w:sz="4" w:space="0" w:color="auto"/>
            </w:tcBorders>
            <w:shd w:val="clear" w:color="auto" w:fill="auto"/>
            <w:noWrap/>
            <w:vAlign w:val="bottom"/>
            <w:hideMark/>
          </w:tcPr>
          <w:p w14:paraId="11891BFC" w14:textId="77777777" w:rsidR="00A61255" w:rsidRPr="006B42D6" w:rsidRDefault="00A61255" w:rsidP="006C676D">
            <w:pPr>
              <w:jc w:val="right"/>
              <w:rPr>
                <w:sz w:val="16"/>
                <w:szCs w:val="16"/>
              </w:rPr>
            </w:pPr>
          </w:p>
        </w:tc>
        <w:tc>
          <w:tcPr>
            <w:tcW w:w="427" w:type="pct"/>
            <w:tcBorders>
              <w:top w:val="nil"/>
              <w:left w:val="nil"/>
              <w:bottom w:val="nil"/>
              <w:right w:val="nil"/>
            </w:tcBorders>
            <w:shd w:val="clear" w:color="auto" w:fill="auto"/>
            <w:noWrap/>
            <w:vAlign w:val="bottom"/>
            <w:hideMark/>
          </w:tcPr>
          <w:p w14:paraId="5403407A"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1BCD6F6D" w14:textId="77777777" w:rsidR="00A61255" w:rsidRPr="006B42D6" w:rsidRDefault="00A61255" w:rsidP="006C676D">
            <w:pPr>
              <w:jc w:val="right"/>
              <w:rPr>
                <w:sz w:val="16"/>
                <w:szCs w:val="16"/>
              </w:rPr>
            </w:pPr>
            <w:r w:rsidRPr="006B42D6">
              <w:rPr>
                <w:sz w:val="16"/>
                <w:szCs w:val="16"/>
              </w:rPr>
              <w:t>-</w:t>
            </w:r>
          </w:p>
        </w:tc>
        <w:tc>
          <w:tcPr>
            <w:tcW w:w="427" w:type="pct"/>
            <w:tcBorders>
              <w:top w:val="nil"/>
              <w:left w:val="single" w:sz="4" w:space="0" w:color="auto"/>
              <w:bottom w:val="nil"/>
              <w:right w:val="nil"/>
            </w:tcBorders>
            <w:shd w:val="clear" w:color="auto" w:fill="auto"/>
            <w:noWrap/>
            <w:vAlign w:val="bottom"/>
            <w:hideMark/>
          </w:tcPr>
          <w:p w14:paraId="333859AD"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13D51AB7" w14:textId="77777777" w:rsidR="00A61255" w:rsidRPr="006B42D6" w:rsidRDefault="00A61255" w:rsidP="006C676D">
            <w:pPr>
              <w:jc w:val="right"/>
              <w:rPr>
                <w:sz w:val="16"/>
                <w:szCs w:val="16"/>
              </w:rPr>
            </w:pPr>
          </w:p>
        </w:tc>
      </w:tr>
      <w:tr w:rsidR="006B42D6" w:rsidRPr="006B42D6" w14:paraId="6480CD54" w14:textId="77777777" w:rsidTr="00BA6B5C">
        <w:trPr>
          <w:trHeight w:val="80"/>
        </w:trPr>
        <w:tc>
          <w:tcPr>
            <w:tcW w:w="851" w:type="pct"/>
            <w:tcBorders>
              <w:top w:val="nil"/>
              <w:left w:val="nil"/>
              <w:bottom w:val="nil"/>
              <w:right w:val="single" w:sz="4" w:space="0" w:color="auto"/>
            </w:tcBorders>
            <w:shd w:val="clear" w:color="auto" w:fill="auto"/>
            <w:noWrap/>
            <w:vAlign w:val="center"/>
            <w:hideMark/>
          </w:tcPr>
          <w:p w14:paraId="3C54D97C" w14:textId="77777777" w:rsidR="00A61255" w:rsidRPr="006B42D6" w:rsidRDefault="00A61255" w:rsidP="006C676D">
            <w:pPr>
              <w:rPr>
                <w:sz w:val="16"/>
                <w:szCs w:val="16"/>
              </w:rPr>
            </w:pPr>
            <w:r w:rsidRPr="006B42D6">
              <w:rPr>
                <w:sz w:val="16"/>
                <w:szCs w:val="16"/>
              </w:rPr>
              <w:t>Kusini Unguja</w:t>
            </w:r>
          </w:p>
        </w:tc>
        <w:tc>
          <w:tcPr>
            <w:tcW w:w="427" w:type="pct"/>
            <w:tcBorders>
              <w:top w:val="nil"/>
              <w:left w:val="nil"/>
              <w:bottom w:val="nil"/>
              <w:right w:val="nil"/>
            </w:tcBorders>
            <w:shd w:val="clear" w:color="auto" w:fill="auto"/>
            <w:noWrap/>
            <w:vAlign w:val="bottom"/>
            <w:hideMark/>
          </w:tcPr>
          <w:p w14:paraId="1E283367"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single" w:sz="4" w:space="0" w:color="auto"/>
            </w:tcBorders>
            <w:shd w:val="clear" w:color="auto" w:fill="auto"/>
            <w:noWrap/>
            <w:vAlign w:val="bottom"/>
            <w:hideMark/>
          </w:tcPr>
          <w:p w14:paraId="0748C998" w14:textId="77777777" w:rsidR="00A61255" w:rsidRPr="006B42D6" w:rsidRDefault="00A61255" w:rsidP="006C676D">
            <w:pPr>
              <w:jc w:val="right"/>
              <w:rPr>
                <w:sz w:val="16"/>
                <w:szCs w:val="16"/>
              </w:rPr>
            </w:pPr>
          </w:p>
        </w:tc>
        <w:tc>
          <w:tcPr>
            <w:tcW w:w="427" w:type="pct"/>
            <w:tcBorders>
              <w:top w:val="nil"/>
              <w:left w:val="nil"/>
              <w:bottom w:val="nil"/>
              <w:right w:val="nil"/>
            </w:tcBorders>
            <w:shd w:val="clear" w:color="auto" w:fill="auto"/>
            <w:noWrap/>
            <w:vAlign w:val="bottom"/>
            <w:hideMark/>
          </w:tcPr>
          <w:p w14:paraId="0E6A7129" w14:textId="77777777" w:rsidR="00A61255" w:rsidRPr="006B42D6" w:rsidRDefault="00A61255" w:rsidP="006C676D">
            <w:pPr>
              <w:jc w:val="right"/>
              <w:rPr>
                <w:sz w:val="16"/>
                <w:szCs w:val="16"/>
              </w:rPr>
            </w:pPr>
            <w:r w:rsidRPr="006B42D6">
              <w:rPr>
                <w:sz w:val="16"/>
                <w:szCs w:val="16"/>
              </w:rPr>
              <w:t>5,114</w:t>
            </w:r>
          </w:p>
        </w:tc>
        <w:tc>
          <w:tcPr>
            <w:tcW w:w="403" w:type="pct"/>
            <w:tcBorders>
              <w:top w:val="nil"/>
              <w:left w:val="nil"/>
              <w:bottom w:val="nil"/>
              <w:right w:val="nil"/>
            </w:tcBorders>
            <w:shd w:val="clear" w:color="auto" w:fill="auto"/>
            <w:noWrap/>
            <w:vAlign w:val="bottom"/>
            <w:hideMark/>
          </w:tcPr>
          <w:p w14:paraId="2483FA6D" w14:textId="77777777" w:rsidR="00A61255" w:rsidRPr="006B42D6" w:rsidRDefault="00A61255" w:rsidP="006C676D">
            <w:pPr>
              <w:jc w:val="right"/>
              <w:rPr>
                <w:sz w:val="16"/>
                <w:szCs w:val="16"/>
              </w:rPr>
            </w:pPr>
            <w:r w:rsidRPr="006B42D6">
              <w:rPr>
                <w:sz w:val="16"/>
                <w:szCs w:val="16"/>
              </w:rPr>
              <w:t>100</w:t>
            </w:r>
          </w:p>
        </w:tc>
        <w:tc>
          <w:tcPr>
            <w:tcW w:w="427" w:type="pct"/>
            <w:tcBorders>
              <w:top w:val="nil"/>
              <w:left w:val="single" w:sz="4" w:space="0" w:color="auto"/>
              <w:bottom w:val="nil"/>
              <w:right w:val="nil"/>
            </w:tcBorders>
            <w:shd w:val="clear" w:color="auto" w:fill="auto"/>
            <w:noWrap/>
            <w:vAlign w:val="bottom"/>
            <w:hideMark/>
          </w:tcPr>
          <w:p w14:paraId="762AFAD7"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single" w:sz="4" w:space="0" w:color="auto"/>
            </w:tcBorders>
            <w:shd w:val="clear" w:color="auto" w:fill="auto"/>
            <w:noWrap/>
            <w:vAlign w:val="bottom"/>
            <w:hideMark/>
          </w:tcPr>
          <w:p w14:paraId="69E602BD" w14:textId="77777777" w:rsidR="00A61255" w:rsidRPr="006B42D6" w:rsidRDefault="00A61255" w:rsidP="006C676D">
            <w:pPr>
              <w:jc w:val="right"/>
              <w:rPr>
                <w:sz w:val="16"/>
                <w:szCs w:val="16"/>
              </w:rPr>
            </w:pPr>
          </w:p>
        </w:tc>
        <w:tc>
          <w:tcPr>
            <w:tcW w:w="427" w:type="pct"/>
            <w:tcBorders>
              <w:top w:val="nil"/>
              <w:left w:val="nil"/>
              <w:bottom w:val="nil"/>
              <w:right w:val="nil"/>
            </w:tcBorders>
            <w:shd w:val="clear" w:color="auto" w:fill="auto"/>
            <w:noWrap/>
            <w:vAlign w:val="bottom"/>
            <w:hideMark/>
          </w:tcPr>
          <w:p w14:paraId="3803F795" w14:textId="77777777" w:rsidR="00A61255" w:rsidRPr="006B42D6" w:rsidRDefault="00A61255" w:rsidP="006C676D">
            <w:pPr>
              <w:jc w:val="right"/>
              <w:rPr>
                <w:sz w:val="16"/>
                <w:szCs w:val="16"/>
              </w:rPr>
            </w:pPr>
            <w:r w:rsidRPr="006B42D6">
              <w:rPr>
                <w:sz w:val="16"/>
                <w:szCs w:val="16"/>
              </w:rPr>
              <w:t>77</w:t>
            </w:r>
          </w:p>
        </w:tc>
        <w:tc>
          <w:tcPr>
            <w:tcW w:w="403" w:type="pct"/>
            <w:tcBorders>
              <w:top w:val="nil"/>
              <w:left w:val="nil"/>
              <w:bottom w:val="nil"/>
              <w:right w:val="nil"/>
            </w:tcBorders>
            <w:shd w:val="clear" w:color="auto" w:fill="auto"/>
            <w:noWrap/>
            <w:vAlign w:val="bottom"/>
            <w:hideMark/>
          </w:tcPr>
          <w:p w14:paraId="0B3DF0B0" w14:textId="77777777" w:rsidR="00A61255" w:rsidRPr="006B42D6" w:rsidRDefault="00A61255" w:rsidP="006C676D">
            <w:pPr>
              <w:jc w:val="right"/>
              <w:rPr>
                <w:sz w:val="16"/>
                <w:szCs w:val="16"/>
              </w:rPr>
            </w:pPr>
            <w:r w:rsidRPr="006B42D6">
              <w:rPr>
                <w:sz w:val="16"/>
                <w:szCs w:val="16"/>
              </w:rPr>
              <w:t>100</w:t>
            </w:r>
          </w:p>
        </w:tc>
        <w:tc>
          <w:tcPr>
            <w:tcW w:w="427" w:type="pct"/>
            <w:tcBorders>
              <w:top w:val="nil"/>
              <w:left w:val="single" w:sz="4" w:space="0" w:color="auto"/>
              <w:bottom w:val="nil"/>
              <w:right w:val="nil"/>
            </w:tcBorders>
            <w:shd w:val="clear" w:color="auto" w:fill="auto"/>
            <w:noWrap/>
            <w:vAlign w:val="bottom"/>
            <w:hideMark/>
          </w:tcPr>
          <w:p w14:paraId="62475671"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65CC2A54" w14:textId="77777777" w:rsidR="00A61255" w:rsidRPr="006B42D6" w:rsidRDefault="00A61255" w:rsidP="006C676D">
            <w:pPr>
              <w:jc w:val="right"/>
              <w:rPr>
                <w:sz w:val="16"/>
                <w:szCs w:val="16"/>
              </w:rPr>
            </w:pPr>
          </w:p>
        </w:tc>
      </w:tr>
      <w:tr w:rsidR="006B42D6" w:rsidRPr="006B42D6" w14:paraId="3688BEAC" w14:textId="77777777" w:rsidTr="00BA6B5C">
        <w:trPr>
          <w:trHeight w:val="80"/>
        </w:trPr>
        <w:tc>
          <w:tcPr>
            <w:tcW w:w="851" w:type="pct"/>
            <w:tcBorders>
              <w:top w:val="nil"/>
              <w:left w:val="nil"/>
              <w:bottom w:val="nil"/>
              <w:right w:val="single" w:sz="4" w:space="0" w:color="auto"/>
            </w:tcBorders>
            <w:shd w:val="clear" w:color="auto" w:fill="auto"/>
            <w:noWrap/>
            <w:vAlign w:val="center"/>
            <w:hideMark/>
          </w:tcPr>
          <w:p w14:paraId="3C51F02C" w14:textId="77777777" w:rsidR="00A61255" w:rsidRPr="006B42D6" w:rsidRDefault="00A61255" w:rsidP="006C676D">
            <w:pPr>
              <w:rPr>
                <w:sz w:val="16"/>
                <w:szCs w:val="16"/>
              </w:rPr>
            </w:pPr>
            <w:r w:rsidRPr="006B42D6">
              <w:rPr>
                <w:sz w:val="16"/>
                <w:szCs w:val="16"/>
              </w:rPr>
              <w:t>Mjini Magharibi</w:t>
            </w:r>
          </w:p>
        </w:tc>
        <w:tc>
          <w:tcPr>
            <w:tcW w:w="427" w:type="pct"/>
            <w:tcBorders>
              <w:top w:val="nil"/>
              <w:left w:val="nil"/>
              <w:bottom w:val="nil"/>
              <w:right w:val="nil"/>
            </w:tcBorders>
            <w:shd w:val="clear" w:color="auto" w:fill="auto"/>
            <w:noWrap/>
            <w:vAlign w:val="bottom"/>
            <w:hideMark/>
          </w:tcPr>
          <w:p w14:paraId="2E77ADF7"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single" w:sz="4" w:space="0" w:color="auto"/>
            </w:tcBorders>
            <w:shd w:val="clear" w:color="auto" w:fill="auto"/>
            <w:noWrap/>
            <w:vAlign w:val="bottom"/>
            <w:hideMark/>
          </w:tcPr>
          <w:p w14:paraId="40599860" w14:textId="77777777" w:rsidR="00A61255" w:rsidRPr="006B42D6" w:rsidRDefault="00A61255" w:rsidP="006C676D">
            <w:pPr>
              <w:jc w:val="right"/>
              <w:rPr>
                <w:sz w:val="16"/>
                <w:szCs w:val="16"/>
              </w:rPr>
            </w:pPr>
          </w:p>
        </w:tc>
        <w:tc>
          <w:tcPr>
            <w:tcW w:w="427" w:type="pct"/>
            <w:tcBorders>
              <w:top w:val="nil"/>
              <w:left w:val="nil"/>
              <w:bottom w:val="nil"/>
              <w:right w:val="nil"/>
            </w:tcBorders>
            <w:shd w:val="clear" w:color="auto" w:fill="auto"/>
            <w:noWrap/>
            <w:vAlign w:val="bottom"/>
            <w:hideMark/>
          </w:tcPr>
          <w:p w14:paraId="483764D4"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1023FD93" w14:textId="77777777" w:rsidR="00A61255" w:rsidRPr="006B42D6" w:rsidRDefault="00A61255" w:rsidP="006C676D">
            <w:pPr>
              <w:jc w:val="right"/>
              <w:rPr>
                <w:sz w:val="16"/>
                <w:szCs w:val="16"/>
              </w:rPr>
            </w:pPr>
            <w:r w:rsidRPr="006B42D6">
              <w:rPr>
                <w:sz w:val="16"/>
                <w:szCs w:val="16"/>
              </w:rPr>
              <w:t>-</w:t>
            </w:r>
          </w:p>
        </w:tc>
        <w:tc>
          <w:tcPr>
            <w:tcW w:w="427" w:type="pct"/>
            <w:tcBorders>
              <w:top w:val="nil"/>
              <w:left w:val="single" w:sz="4" w:space="0" w:color="auto"/>
              <w:bottom w:val="nil"/>
              <w:right w:val="nil"/>
            </w:tcBorders>
            <w:shd w:val="clear" w:color="auto" w:fill="auto"/>
            <w:noWrap/>
            <w:vAlign w:val="bottom"/>
            <w:hideMark/>
          </w:tcPr>
          <w:p w14:paraId="4FC39ABC"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single" w:sz="4" w:space="0" w:color="auto"/>
            </w:tcBorders>
            <w:shd w:val="clear" w:color="auto" w:fill="auto"/>
            <w:noWrap/>
            <w:vAlign w:val="bottom"/>
            <w:hideMark/>
          </w:tcPr>
          <w:p w14:paraId="1E141031" w14:textId="77777777" w:rsidR="00A61255" w:rsidRPr="006B42D6" w:rsidRDefault="00A61255" w:rsidP="006C676D">
            <w:pPr>
              <w:jc w:val="right"/>
              <w:rPr>
                <w:sz w:val="16"/>
                <w:szCs w:val="16"/>
              </w:rPr>
            </w:pPr>
          </w:p>
        </w:tc>
        <w:tc>
          <w:tcPr>
            <w:tcW w:w="427" w:type="pct"/>
            <w:tcBorders>
              <w:top w:val="nil"/>
              <w:left w:val="nil"/>
              <w:bottom w:val="nil"/>
              <w:right w:val="nil"/>
            </w:tcBorders>
            <w:shd w:val="clear" w:color="auto" w:fill="auto"/>
            <w:noWrap/>
            <w:vAlign w:val="bottom"/>
            <w:hideMark/>
          </w:tcPr>
          <w:p w14:paraId="02BDDEE1"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491BFE42" w14:textId="77777777" w:rsidR="00A61255" w:rsidRPr="006B42D6" w:rsidRDefault="00A61255" w:rsidP="006C676D">
            <w:pPr>
              <w:jc w:val="right"/>
              <w:rPr>
                <w:sz w:val="16"/>
                <w:szCs w:val="16"/>
              </w:rPr>
            </w:pPr>
            <w:r w:rsidRPr="006B42D6">
              <w:rPr>
                <w:sz w:val="16"/>
                <w:szCs w:val="16"/>
              </w:rPr>
              <w:t>-</w:t>
            </w:r>
          </w:p>
        </w:tc>
        <w:tc>
          <w:tcPr>
            <w:tcW w:w="427" w:type="pct"/>
            <w:tcBorders>
              <w:top w:val="nil"/>
              <w:left w:val="single" w:sz="4" w:space="0" w:color="auto"/>
              <w:bottom w:val="nil"/>
              <w:right w:val="nil"/>
            </w:tcBorders>
            <w:shd w:val="clear" w:color="auto" w:fill="auto"/>
            <w:noWrap/>
            <w:vAlign w:val="bottom"/>
            <w:hideMark/>
          </w:tcPr>
          <w:p w14:paraId="51F5FD60"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65061CB8" w14:textId="77777777" w:rsidR="00A61255" w:rsidRPr="006B42D6" w:rsidRDefault="00A61255" w:rsidP="006C676D">
            <w:pPr>
              <w:jc w:val="right"/>
              <w:rPr>
                <w:sz w:val="16"/>
                <w:szCs w:val="16"/>
              </w:rPr>
            </w:pPr>
          </w:p>
        </w:tc>
      </w:tr>
      <w:tr w:rsidR="006B42D6" w:rsidRPr="006B42D6" w14:paraId="605FFA66" w14:textId="77777777" w:rsidTr="00BA6B5C">
        <w:trPr>
          <w:trHeight w:val="80"/>
        </w:trPr>
        <w:tc>
          <w:tcPr>
            <w:tcW w:w="851" w:type="pct"/>
            <w:tcBorders>
              <w:top w:val="nil"/>
              <w:left w:val="nil"/>
              <w:bottom w:val="nil"/>
              <w:right w:val="single" w:sz="4" w:space="0" w:color="auto"/>
            </w:tcBorders>
            <w:shd w:val="clear" w:color="auto" w:fill="auto"/>
            <w:noWrap/>
            <w:vAlign w:val="center"/>
            <w:hideMark/>
          </w:tcPr>
          <w:p w14:paraId="3707A1AE" w14:textId="77777777" w:rsidR="00A61255" w:rsidRPr="006B42D6" w:rsidRDefault="00A61255" w:rsidP="006C676D">
            <w:pPr>
              <w:rPr>
                <w:sz w:val="16"/>
                <w:szCs w:val="16"/>
              </w:rPr>
            </w:pPr>
            <w:r w:rsidRPr="006B42D6">
              <w:rPr>
                <w:sz w:val="16"/>
                <w:szCs w:val="16"/>
              </w:rPr>
              <w:t>Kaskazini Pemba</w:t>
            </w:r>
          </w:p>
        </w:tc>
        <w:tc>
          <w:tcPr>
            <w:tcW w:w="427" w:type="pct"/>
            <w:tcBorders>
              <w:top w:val="nil"/>
              <w:left w:val="nil"/>
              <w:bottom w:val="nil"/>
              <w:right w:val="nil"/>
            </w:tcBorders>
            <w:shd w:val="clear" w:color="auto" w:fill="auto"/>
            <w:noWrap/>
            <w:vAlign w:val="bottom"/>
            <w:hideMark/>
          </w:tcPr>
          <w:p w14:paraId="3AD257D8"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single" w:sz="4" w:space="0" w:color="auto"/>
            </w:tcBorders>
            <w:shd w:val="clear" w:color="auto" w:fill="auto"/>
            <w:noWrap/>
            <w:vAlign w:val="bottom"/>
            <w:hideMark/>
          </w:tcPr>
          <w:p w14:paraId="3280C5D2" w14:textId="77777777" w:rsidR="00A61255" w:rsidRPr="006B42D6" w:rsidRDefault="00A61255" w:rsidP="006C676D">
            <w:pPr>
              <w:jc w:val="right"/>
              <w:rPr>
                <w:sz w:val="16"/>
                <w:szCs w:val="16"/>
              </w:rPr>
            </w:pPr>
          </w:p>
        </w:tc>
        <w:tc>
          <w:tcPr>
            <w:tcW w:w="427" w:type="pct"/>
            <w:tcBorders>
              <w:top w:val="nil"/>
              <w:left w:val="nil"/>
              <w:bottom w:val="nil"/>
              <w:right w:val="nil"/>
            </w:tcBorders>
            <w:shd w:val="clear" w:color="auto" w:fill="auto"/>
            <w:noWrap/>
            <w:vAlign w:val="bottom"/>
            <w:hideMark/>
          </w:tcPr>
          <w:p w14:paraId="1131E6A7"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426A5495" w14:textId="77777777" w:rsidR="00A61255" w:rsidRPr="006B42D6" w:rsidRDefault="00A61255" w:rsidP="006C676D">
            <w:pPr>
              <w:jc w:val="right"/>
              <w:rPr>
                <w:sz w:val="16"/>
                <w:szCs w:val="16"/>
              </w:rPr>
            </w:pPr>
            <w:r w:rsidRPr="006B42D6">
              <w:rPr>
                <w:sz w:val="16"/>
                <w:szCs w:val="16"/>
              </w:rPr>
              <w:t>-</w:t>
            </w:r>
          </w:p>
        </w:tc>
        <w:tc>
          <w:tcPr>
            <w:tcW w:w="427" w:type="pct"/>
            <w:tcBorders>
              <w:top w:val="nil"/>
              <w:left w:val="single" w:sz="4" w:space="0" w:color="auto"/>
              <w:bottom w:val="nil"/>
              <w:right w:val="nil"/>
            </w:tcBorders>
            <w:shd w:val="clear" w:color="auto" w:fill="auto"/>
            <w:noWrap/>
            <w:vAlign w:val="bottom"/>
            <w:hideMark/>
          </w:tcPr>
          <w:p w14:paraId="043BAFA6"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single" w:sz="4" w:space="0" w:color="auto"/>
            </w:tcBorders>
            <w:shd w:val="clear" w:color="auto" w:fill="auto"/>
            <w:noWrap/>
            <w:vAlign w:val="bottom"/>
            <w:hideMark/>
          </w:tcPr>
          <w:p w14:paraId="00CE2CC7" w14:textId="77777777" w:rsidR="00A61255" w:rsidRPr="006B42D6" w:rsidRDefault="00A61255" w:rsidP="006C676D">
            <w:pPr>
              <w:jc w:val="right"/>
              <w:rPr>
                <w:sz w:val="16"/>
                <w:szCs w:val="16"/>
              </w:rPr>
            </w:pPr>
          </w:p>
        </w:tc>
        <w:tc>
          <w:tcPr>
            <w:tcW w:w="427" w:type="pct"/>
            <w:tcBorders>
              <w:top w:val="nil"/>
              <w:left w:val="nil"/>
              <w:bottom w:val="nil"/>
              <w:right w:val="nil"/>
            </w:tcBorders>
            <w:shd w:val="clear" w:color="auto" w:fill="auto"/>
            <w:noWrap/>
            <w:vAlign w:val="bottom"/>
            <w:hideMark/>
          </w:tcPr>
          <w:p w14:paraId="00988DFC"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778BBF28" w14:textId="77777777" w:rsidR="00A61255" w:rsidRPr="006B42D6" w:rsidRDefault="00A61255" w:rsidP="006C676D">
            <w:pPr>
              <w:jc w:val="right"/>
              <w:rPr>
                <w:sz w:val="16"/>
                <w:szCs w:val="16"/>
              </w:rPr>
            </w:pPr>
            <w:r w:rsidRPr="006B42D6">
              <w:rPr>
                <w:sz w:val="16"/>
                <w:szCs w:val="16"/>
              </w:rPr>
              <w:t>-</w:t>
            </w:r>
          </w:p>
        </w:tc>
        <w:tc>
          <w:tcPr>
            <w:tcW w:w="427" w:type="pct"/>
            <w:tcBorders>
              <w:top w:val="nil"/>
              <w:left w:val="single" w:sz="4" w:space="0" w:color="auto"/>
              <w:bottom w:val="nil"/>
              <w:right w:val="nil"/>
            </w:tcBorders>
            <w:shd w:val="clear" w:color="auto" w:fill="auto"/>
            <w:noWrap/>
            <w:vAlign w:val="bottom"/>
            <w:hideMark/>
          </w:tcPr>
          <w:p w14:paraId="4731593A"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4B38E2C2" w14:textId="77777777" w:rsidR="00A61255" w:rsidRPr="006B42D6" w:rsidRDefault="00A61255" w:rsidP="006C676D">
            <w:pPr>
              <w:jc w:val="right"/>
              <w:rPr>
                <w:sz w:val="16"/>
                <w:szCs w:val="16"/>
              </w:rPr>
            </w:pPr>
          </w:p>
        </w:tc>
      </w:tr>
      <w:tr w:rsidR="006B42D6" w:rsidRPr="006B42D6" w14:paraId="00517BA1" w14:textId="77777777" w:rsidTr="00BA6B5C">
        <w:trPr>
          <w:trHeight w:val="80"/>
        </w:trPr>
        <w:tc>
          <w:tcPr>
            <w:tcW w:w="851" w:type="pct"/>
            <w:tcBorders>
              <w:top w:val="nil"/>
              <w:left w:val="nil"/>
              <w:bottom w:val="nil"/>
              <w:right w:val="single" w:sz="4" w:space="0" w:color="auto"/>
            </w:tcBorders>
            <w:shd w:val="clear" w:color="auto" w:fill="auto"/>
            <w:noWrap/>
            <w:vAlign w:val="center"/>
            <w:hideMark/>
          </w:tcPr>
          <w:p w14:paraId="5D1617A9" w14:textId="65D90581" w:rsidR="00A61255" w:rsidRPr="006B42D6" w:rsidRDefault="00A61255" w:rsidP="006C676D">
            <w:pPr>
              <w:rPr>
                <w:sz w:val="16"/>
                <w:szCs w:val="16"/>
              </w:rPr>
            </w:pPr>
            <w:r w:rsidRPr="006B42D6">
              <w:rPr>
                <w:sz w:val="16"/>
                <w:szCs w:val="16"/>
              </w:rPr>
              <w:t>Kusini Pemba</w:t>
            </w:r>
          </w:p>
        </w:tc>
        <w:tc>
          <w:tcPr>
            <w:tcW w:w="427" w:type="pct"/>
            <w:tcBorders>
              <w:top w:val="nil"/>
              <w:left w:val="nil"/>
              <w:bottom w:val="nil"/>
              <w:right w:val="nil"/>
            </w:tcBorders>
            <w:shd w:val="clear" w:color="auto" w:fill="auto"/>
            <w:noWrap/>
            <w:vAlign w:val="bottom"/>
            <w:hideMark/>
          </w:tcPr>
          <w:p w14:paraId="33968ADB"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single" w:sz="4" w:space="0" w:color="auto"/>
            </w:tcBorders>
            <w:shd w:val="clear" w:color="auto" w:fill="auto"/>
            <w:noWrap/>
            <w:vAlign w:val="bottom"/>
            <w:hideMark/>
          </w:tcPr>
          <w:p w14:paraId="3159D2F2" w14:textId="77777777" w:rsidR="00A61255" w:rsidRPr="006B42D6" w:rsidRDefault="00A61255" w:rsidP="006C676D">
            <w:pPr>
              <w:jc w:val="right"/>
              <w:rPr>
                <w:sz w:val="16"/>
                <w:szCs w:val="16"/>
              </w:rPr>
            </w:pPr>
          </w:p>
        </w:tc>
        <w:tc>
          <w:tcPr>
            <w:tcW w:w="427" w:type="pct"/>
            <w:tcBorders>
              <w:top w:val="nil"/>
              <w:left w:val="nil"/>
              <w:bottom w:val="nil"/>
              <w:right w:val="nil"/>
            </w:tcBorders>
            <w:shd w:val="clear" w:color="auto" w:fill="auto"/>
            <w:noWrap/>
            <w:vAlign w:val="bottom"/>
            <w:hideMark/>
          </w:tcPr>
          <w:p w14:paraId="5DFE4A28"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7F6FBBDE" w14:textId="77777777" w:rsidR="00A61255" w:rsidRPr="006B42D6" w:rsidRDefault="00A61255" w:rsidP="006C676D">
            <w:pPr>
              <w:jc w:val="right"/>
              <w:rPr>
                <w:sz w:val="16"/>
                <w:szCs w:val="16"/>
              </w:rPr>
            </w:pPr>
            <w:r w:rsidRPr="006B42D6">
              <w:rPr>
                <w:sz w:val="16"/>
                <w:szCs w:val="16"/>
              </w:rPr>
              <w:t>-</w:t>
            </w:r>
          </w:p>
        </w:tc>
        <w:tc>
          <w:tcPr>
            <w:tcW w:w="427" w:type="pct"/>
            <w:tcBorders>
              <w:top w:val="nil"/>
              <w:left w:val="single" w:sz="4" w:space="0" w:color="auto"/>
              <w:bottom w:val="nil"/>
              <w:right w:val="nil"/>
            </w:tcBorders>
            <w:shd w:val="clear" w:color="auto" w:fill="auto"/>
            <w:noWrap/>
            <w:vAlign w:val="bottom"/>
            <w:hideMark/>
          </w:tcPr>
          <w:p w14:paraId="7C871D98"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single" w:sz="4" w:space="0" w:color="auto"/>
            </w:tcBorders>
            <w:shd w:val="clear" w:color="auto" w:fill="auto"/>
            <w:noWrap/>
            <w:vAlign w:val="bottom"/>
            <w:hideMark/>
          </w:tcPr>
          <w:p w14:paraId="66874A6D" w14:textId="77777777" w:rsidR="00A61255" w:rsidRPr="006B42D6" w:rsidRDefault="00A61255" w:rsidP="006C676D">
            <w:pPr>
              <w:jc w:val="right"/>
              <w:rPr>
                <w:sz w:val="16"/>
                <w:szCs w:val="16"/>
              </w:rPr>
            </w:pPr>
          </w:p>
        </w:tc>
        <w:tc>
          <w:tcPr>
            <w:tcW w:w="427" w:type="pct"/>
            <w:tcBorders>
              <w:top w:val="nil"/>
              <w:left w:val="nil"/>
              <w:bottom w:val="nil"/>
              <w:right w:val="nil"/>
            </w:tcBorders>
            <w:shd w:val="clear" w:color="auto" w:fill="auto"/>
            <w:noWrap/>
            <w:vAlign w:val="bottom"/>
            <w:hideMark/>
          </w:tcPr>
          <w:p w14:paraId="6F3F1B53"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63083649" w14:textId="77777777" w:rsidR="00A61255" w:rsidRPr="006B42D6" w:rsidRDefault="00A61255" w:rsidP="006C676D">
            <w:pPr>
              <w:jc w:val="right"/>
              <w:rPr>
                <w:sz w:val="16"/>
                <w:szCs w:val="16"/>
              </w:rPr>
            </w:pPr>
            <w:r w:rsidRPr="006B42D6">
              <w:rPr>
                <w:sz w:val="16"/>
                <w:szCs w:val="16"/>
              </w:rPr>
              <w:t>-</w:t>
            </w:r>
          </w:p>
        </w:tc>
        <w:tc>
          <w:tcPr>
            <w:tcW w:w="427" w:type="pct"/>
            <w:tcBorders>
              <w:top w:val="nil"/>
              <w:left w:val="single" w:sz="4" w:space="0" w:color="auto"/>
              <w:bottom w:val="nil"/>
              <w:right w:val="nil"/>
            </w:tcBorders>
            <w:shd w:val="clear" w:color="auto" w:fill="auto"/>
            <w:noWrap/>
            <w:vAlign w:val="bottom"/>
            <w:hideMark/>
          </w:tcPr>
          <w:p w14:paraId="4D178787" w14:textId="77777777" w:rsidR="00A61255" w:rsidRPr="006B42D6" w:rsidRDefault="00A61255" w:rsidP="006C676D">
            <w:pPr>
              <w:jc w:val="right"/>
              <w:rPr>
                <w:sz w:val="16"/>
                <w:szCs w:val="16"/>
              </w:rPr>
            </w:pPr>
            <w:r w:rsidRPr="006B42D6">
              <w:rPr>
                <w:sz w:val="16"/>
                <w:szCs w:val="16"/>
              </w:rPr>
              <w:t>-</w:t>
            </w:r>
          </w:p>
        </w:tc>
        <w:tc>
          <w:tcPr>
            <w:tcW w:w="403" w:type="pct"/>
            <w:tcBorders>
              <w:top w:val="nil"/>
              <w:left w:val="nil"/>
              <w:bottom w:val="nil"/>
              <w:right w:val="nil"/>
            </w:tcBorders>
            <w:shd w:val="clear" w:color="auto" w:fill="auto"/>
            <w:noWrap/>
            <w:vAlign w:val="bottom"/>
            <w:hideMark/>
          </w:tcPr>
          <w:p w14:paraId="1AB72D4C" w14:textId="77777777" w:rsidR="00A61255" w:rsidRPr="006B42D6" w:rsidRDefault="00A61255" w:rsidP="006C676D">
            <w:pPr>
              <w:jc w:val="right"/>
              <w:rPr>
                <w:sz w:val="16"/>
                <w:szCs w:val="16"/>
              </w:rPr>
            </w:pPr>
          </w:p>
        </w:tc>
      </w:tr>
      <w:tr w:rsidR="006B42D6" w:rsidRPr="006B42D6" w14:paraId="2CE5DC1A" w14:textId="77777777" w:rsidTr="00141395">
        <w:trPr>
          <w:trHeight w:val="70"/>
        </w:trPr>
        <w:tc>
          <w:tcPr>
            <w:tcW w:w="851" w:type="pct"/>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510079BF" w14:textId="11039E73" w:rsidR="00A61255" w:rsidRPr="006B42D6" w:rsidRDefault="00BA6B5C" w:rsidP="006C676D">
            <w:pPr>
              <w:rPr>
                <w:b/>
                <w:bCs/>
                <w:sz w:val="16"/>
                <w:szCs w:val="16"/>
              </w:rPr>
            </w:pPr>
            <w:r w:rsidRPr="006B42D6">
              <w:rPr>
                <w:b/>
                <w:bCs/>
                <w:sz w:val="16"/>
                <w:szCs w:val="16"/>
              </w:rPr>
              <w:t xml:space="preserve">Tanzania </w:t>
            </w:r>
            <w:r w:rsidR="00A61255" w:rsidRPr="006B42D6">
              <w:rPr>
                <w:b/>
                <w:bCs/>
                <w:sz w:val="16"/>
                <w:szCs w:val="16"/>
              </w:rPr>
              <w:t>Zanzibar</w:t>
            </w:r>
          </w:p>
        </w:tc>
        <w:tc>
          <w:tcPr>
            <w:tcW w:w="427" w:type="pct"/>
            <w:tcBorders>
              <w:top w:val="single" w:sz="4" w:space="0" w:color="auto"/>
              <w:left w:val="nil"/>
              <w:bottom w:val="single" w:sz="4" w:space="0" w:color="auto"/>
              <w:right w:val="nil"/>
            </w:tcBorders>
            <w:shd w:val="clear" w:color="auto" w:fill="E2EFD9" w:themeFill="accent6" w:themeFillTint="33"/>
            <w:noWrap/>
            <w:vAlign w:val="bottom"/>
            <w:hideMark/>
          </w:tcPr>
          <w:p w14:paraId="1A4B7F50" w14:textId="77777777" w:rsidR="00A61255" w:rsidRPr="006B42D6" w:rsidRDefault="00A61255" w:rsidP="006C676D">
            <w:pPr>
              <w:jc w:val="right"/>
              <w:rPr>
                <w:b/>
                <w:bCs/>
                <w:sz w:val="16"/>
                <w:szCs w:val="16"/>
              </w:rPr>
            </w:pPr>
            <w:r w:rsidRPr="006B42D6">
              <w:rPr>
                <w:b/>
                <w:bCs/>
                <w:sz w:val="16"/>
                <w:szCs w:val="16"/>
              </w:rPr>
              <w:t>-</w:t>
            </w:r>
          </w:p>
        </w:tc>
        <w:tc>
          <w:tcPr>
            <w:tcW w:w="403" w:type="pct"/>
            <w:tcBorders>
              <w:top w:val="single" w:sz="4" w:space="0" w:color="auto"/>
              <w:left w:val="nil"/>
              <w:bottom w:val="single" w:sz="4" w:space="0" w:color="auto"/>
              <w:right w:val="single" w:sz="4" w:space="0" w:color="auto"/>
            </w:tcBorders>
            <w:shd w:val="clear" w:color="auto" w:fill="E2EFD9" w:themeFill="accent6" w:themeFillTint="33"/>
            <w:noWrap/>
            <w:vAlign w:val="bottom"/>
            <w:hideMark/>
          </w:tcPr>
          <w:p w14:paraId="5D5FE9A4" w14:textId="77777777" w:rsidR="00A61255" w:rsidRPr="006B42D6" w:rsidRDefault="00A61255" w:rsidP="006C676D">
            <w:pPr>
              <w:jc w:val="right"/>
              <w:rPr>
                <w:b/>
                <w:bCs/>
                <w:sz w:val="16"/>
                <w:szCs w:val="16"/>
              </w:rPr>
            </w:pPr>
          </w:p>
        </w:tc>
        <w:tc>
          <w:tcPr>
            <w:tcW w:w="427" w:type="pct"/>
            <w:tcBorders>
              <w:top w:val="single" w:sz="4" w:space="0" w:color="auto"/>
              <w:left w:val="nil"/>
              <w:bottom w:val="single" w:sz="4" w:space="0" w:color="auto"/>
              <w:right w:val="nil"/>
            </w:tcBorders>
            <w:shd w:val="clear" w:color="auto" w:fill="E2EFD9" w:themeFill="accent6" w:themeFillTint="33"/>
            <w:noWrap/>
            <w:vAlign w:val="bottom"/>
            <w:hideMark/>
          </w:tcPr>
          <w:p w14:paraId="439320A7" w14:textId="77777777" w:rsidR="00A61255" w:rsidRPr="006B42D6" w:rsidRDefault="00A61255" w:rsidP="006C676D">
            <w:pPr>
              <w:jc w:val="right"/>
              <w:rPr>
                <w:b/>
                <w:bCs/>
                <w:sz w:val="16"/>
                <w:szCs w:val="16"/>
              </w:rPr>
            </w:pPr>
            <w:r w:rsidRPr="006B42D6">
              <w:rPr>
                <w:b/>
                <w:bCs/>
                <w:sz w:val="16"/>
                <w:szCs w:val="16"/>
              </w:rPr>
              <w:t>5,114</w:t>
            </w:r>
          </w:p>
        </w:tc>
        <w:tc>
          <w:tcPr>
            <w:tcW w:w="403" w:type="pct"/>
            <w:tcBorders>
              <w:top w:val="single" w:sz="4" w:space="0" w:color="auto"/>
              <w:left w:val="nil"/>
              <w:bottom w:val="single" w:sz="4" w:space="0" w:color="auto"/>
              <w:right w:val="nil"/>
            </w:tcBorders>
            <w:shd w:val="clear" w:color="auto" w:fill="E2EFD9" w:themeFill="accent6" w:themeFillTint="33"/>
            <w:noWrap/>
            <w:vAlign w:val="bottom"/>
            <w:hideMark/>
          </w:tcPr>
          <w:p w14:paraId="7E588BF8" w14:textId="77777777" w:rsidR="00A61255" w:rsidRPr="006B42D6" w:rsidRDefault="00A61255" w:rsidP="006C676D">
            <w:pPr>
              <w:jc w:val="right"/>
              <w:rPr>
                <w:sz w:val="16"/>
                <w:szCs w:val="16"/>
              </w:rPr>
            </w:pPr>
            <w:r w:rsidRPr="006B42D6">
              <w:rPr>
                <w:sz w:val="16"/>
                <w:szCs w:val="16"/>
              </w:rPr>
              <w:t>100</w:t>
            </w:r>
          </w:p>
        </w:tc>
        <w:tc>
          <w:tcPr>
            <w:tcW w:w="427" w:type="pct"/>
            <w:tcBorders>
              <w:top w:val="single" w:sz="4" w:space="0" w:color="auto"/>
              <w:left w:val="single" w:sz="4" w:space="0" w:color="auto"/>
              <w:bottom w:val="single" w:sz="4" w:space="0" w:color="auto"/>
              <w:right w:val="nil"/>
            </w:tcBorders>
            <w:shd w:val="clear" w:color="auto" w:fill="E2EFD9" w:themeFill="accent6" w:themeFillTint="33"/>
            <w:noWrap/>
            <w:vAlign w:val="bottom"/>
            <w:hideMark/>
          </w:tcPr>
          <w:p w14:paraId="25FE991D" w14:textId="77777777" w:rsidR="00A61255" w:rsidRPr="006B42D6" w:rsidRDefault="00A61255" w:rsidP="006C676D">
            <w:pPr>
              <w:jc w:val="right"/>
              <w:rPr>
                <w:b/>
                <w:bCs/>
                <w:sz w:val="16"/>
                <w:szCs w:val="16"/>
              </w:rPr>
            </w:pPr>
            <w:r w:rsidRPr="006B42D6">
              <w:rPr>
                <w:b/>
                <w:bCs/>
                <w:sz w:val="16"/>
                <w:szCs w:val="16"/>
              </w:rPr>
              <w:t>-</w:t>
            </w:r>
          </w:p>
        </w:tc>
        <w:tc>
          <w:tcPr>
            <w:tcW w:w="403" w:type="pct"/>
            <w:tcBorders>
              <w:top w:val="single" w:sz="4" w:space="0" w:color="auto"/>
              <w:left w:val="nil"/>
              <w:bottom w:val="single" w:sz="4" w:space="0" w:color="auto"/>
              <w:right w:val="single" w:sz="4" w:space="0" w:color="auto"/>
            </w:tcBorders>
            <w:shd w:val="clear" w:color="auto" w:fill="E2EFD9" w:themeFill="accent6" w:themeFillTint="33"/>
            <w:noWrap/>
            <w:vAlign w:val="bottom"/>
            <w:hideMark/>
          </w:tcPr>
          <w:p w14:paraId="3344B64B" w14:textId="77777777" w:rsidR="00A61255" w:rsidRPr="006B42D6" w:rsidRDefault="00A61255" w:rsidP="006C676D">
            <w:pPr>
              <w:jc w:val="right"/>
              <w:rPr>
                <w:b/>
                <w:bCs/>
                <w:sz w:val="16"/>
                <w:szCs w:val="16"/>
              </w:rPr>
            </w:pPr>
          </w:p>
        </w:tc>
        <w:tc>
          <w:tcPr>
            <w:tcW w:w="427" w:type="pct"/>
            <w:tcBorders>
              <w:top w:val="single" w:sz="4" w:space="0" w:color="auto"/>
              <w:left w:val="nil"/>
              <w:bottom w:val="single" w:sz="4" w:space="0" w:color="auto"/>
              <w:right w:val="nil"/>
            </w:tcBorders>
            <w:shd w:val="clear" w:color="auto" w:fill="E2EFD9" w:themeFill="accent6" w:themeFillTint="33"/>
            <w:noWrap/>
            <w:vAlign w:val="bottom"/>
            <w:hideMark/>
          </w:tcPr>
          <w:p w14:paraId="6E121D08" w14:textId="77777777" w:rsidR="00A61255" w:rsidRPr="006B42D6" w:rsidRDefault="00A61255" w:rsidP="006C676D">
            <w:pPr>
              <w:jc w:val="right"/>
              <w:rPr>
                <w:b/>
                <w:bCs/>
                <w:sz w:val="16"/>
                <w:szCs w:val="16"/>
              </w:rPr>
            </w:pPr>
            <w:r w:rsidRPr="006B42D6">
              <w:rPr>
                <w:b/>
                <w:bCs/>
                <w:sz w:val="16"/>
                <w:szCs w:val="16"/>
              </w:rPr>
              <w:t>77</w:t>
            </w:r>
          </w:p>
        </w:tc>
        <w:tc>
          <w:tcPr>
            <w:tcW w:w="403" w:type="pct"/>
            <w:tcBorders>
              <w:top w:val="single" w:sz="4" w:space="0" w:color="auto"/>
              <w:left w:val="nil"/>
              <w:bottom w:val="single" w:sz="4" w:space="0" w:color="auto"/>
              <w:right w:val="nil"/>
            </w:tcBorders>
            <w:shd w:val="clear" w:color="auto" w:fill="E2EFD9" w:themeFill="accent6" w:themeFillTint="33"/>
            <w:noWrap/>
            <w:vAlign w:val="bottom"/>
            <w:hideMark/>
          </w:tcPr>
          <w:p w14:paraId="47F0A82D" w14:textId="77777777" w:rsidR="00A61255" w:rsidRPr="006B42D6" w:rsidRDefault="00A61255" w:rsidP="006C676D">
            <w:pPr>
              <w:jc w:val="right"/>
              <w:rPr>
                <w:sz w:val="16"/>
                <w:szCs w:val="16"/>
              </w:rPr>
            </w:pPr>
            <w:r w:rsidRPr="006B42D6">
              <w:rPr>
                <w:sz w:val="16"/>
                <w:szCs w:val="16"/>
              </w:rPr>
              <w:t>100</w:t>
            </w:r>
          </w:p>
        </w:tc>
        <w:tc>
          <w:tcPr>
            <w:tcW w:w="427" w:type="pct"/>
            <w:tcBorders>
              <w:top w:val="single" w:sz="4" w:space="0" w:color="auto"/>
              <w:left w:val="single" w:sz="4" w:space="0" w:color="auto"/>
              <w:bottom w:val="single" w:sz="4" w:space="0" w:color="auto"/>
              <w:right w:val="nil"/>
            </w:tcBorders>
            <w:shd w:val="clear" w:color="auto" w:fill="E2EFD9" w:themeFill="accent6" w:themeFillTint="33"/>
            <w:noWrap/>
            <w:vAlign w:val="bottom"/>
            <w:hideMark/>
          </w:tcPr>
          <w:p w14:paraId="7670B251" w14:textId="77777777" w:rsidR="00A61255" w:rsidRPr="006B42D6" w:rsidRDefault="00A61255" w:rsidP="006C676D">
            <w:pPr>
              <w:jc w:val="right"/>
              <w:rPr>
                <w:b/>
                <w:bCs/>
                <w:sz w:val="16"/>
                <w:szCs w:val="16"/>
              </w:rPr>
            </w:pPr>
            <w:r w:rsidRPr="006B42D6">
              <w:rPr>
                <w:b/>
                <w:bCs/>
                <w:sz w:val="16"/>
                <w:szCs w:val="16"/>
              </w:rPr>
              <w:t>-</w:t>
            </w:r>
          </w:p>
        </w:tc>
        <w:tc>
          <w:tcPr>
            <w:tcW w:w="403" w:type="pct"/>
            <w:tcBorders>
              <w:top w:val="single" w:sz="4" w:space="0" w:color="auto"/>
              <w:left w:val="nil"/>
              <w:bottom w:val="single" w:sz="4" w:space="0" w:color="auto"/>
              <w:right w:val="nil"/>
            </w:tcBorders>
            <w:shd w:val="clear" w:color="auto" w:fill="E2EFD9" w:themeFill="accent6" w:themeFillTint="33"/>
            <w:noWrap/>
            <w:vAlign w:val="bottom"/>
            <w:hideMark/>
          </w:tcPr>
          <w:p w14:paraId="5C75C3D0" w14:textId="77777777" w:rsidR="00A61255" w:rsidRPr="006B42D6" w:rsidRDefault="00A61255" w:rsidP="006C676D">
            <w:pPr>
              <w:jc w:val="right"/>
              <w:rPr>
                <w:b/>
                <w:bCs/>
                <w:sz w:val="16"/>
                <w:szCs w:val="16"/>
              </w:rPr>
            </w:pPr>
          </w:p>
        </w:tc>
      </w:tr>
      <w:tr w:rsidR="006B42D6" w:rsidRPr="006B42D6" w14:paraId="72B558F0" w14:textId="77777777" w:rsidTr="00141395">
        <w:trPr>
          <w:trHeight w:val="70"/>
        </w:trPr>
        <w:tc>
          <w:tcPr>
            <w:tcW w:w="851" w:type="pct"/>
            <w:tcBorders>
              <w:top w:val="nil"/>
              <w:left w:val="nil"/>
              <w:bottom w:val="single" w:sz="4" w:space="0" w:color="auto"/>
              <w:right w:val="single" w:sz="4" w:space="0" w:color="auto"/>
            </w:tcBorders>
            <w:shd w:val="clear" w:color="auto" w:fill="E2EFD9" w:themeFill="accent6" w:themeFillTint="33"/>
            <w:noWrap/>
            <w:vAlign w:val="center"/>
            <w:hideMark/>
          </w:tcPr>
          <w:p w14:paraId="0939AD9C" w14:textId="77777777" w:rsidR="00A61255" w:rsidRPr="006B42D6" w:rsidRDefault="00A61255" w:rsidP="006C676D">
            <w:pPr>
              <w:rPr>
                <w:b/>
                <w:bCs/>
                <w:sz w:val="16"/>
                <w:szCs w:val="16"/>
              </w:rPr>
            </w:pPr>
            <w:r w:rsidRPr="006B42D6">
              <w:rPr>
                <w:b/>
                <w:bCs/>
                <w:sz w:val="16"/>
                <w:szCs w:val="16"/>
              </w:rPr>
              <w:t>Tanzania</w:t>
            </w:r>
          </w:p>
        </w:tc>
        <w:tc>
          <w:tcPr>
            <w:tcW w:w="427" w:type="pct"/>
            <w:tcBorders>
              <w:top w:val="nil"/>
              <w:left w:val="nil"/>
              <w:bottom w:val="single" w:sz="4" w:space="0" w:color="auto"/>
              <w:right w:val="nil"/>
            </w:tcBorders>
            <w:shd w:val="clear" w:color="auto" w:fill="E2EFD9" w:themeFill="accent6" w:themeFillTint="33"/>
            <w:noWrap/>
            <w:vAlign w:val="bottom"/>
            <w:hideMark/>
          </w:tcPr>
          <w:p w14:paraId="04C5FD30" w14:textId="77777777" w:rsidR="00A61255" w:rsidRPr="006B42D6" w:rsidRDefault="00A61255" w:rsidP="006C676D">
            <w:pPr>
              <w:jc w:val="right"/>
              <w:rPr>
                <w:b/>
                <w:bCs/>
                <w:sz w:val="16"/>
                <w:szCs w:val="16"/>
              </w:rPr>
            </w:pPr>
            <w:r w:rsidRPr="006B42D6">
              <w:rPr>
                <w:b/>
                <w:bCs/>
                <w:sz w:val="16"/>
                <w:szCs w:val="16"/>
              </w:rPr>
              <w:t>197,836</w:t>
            </w:r>
          </w:p>
        </w:tc>
        <w:tc>
          <w:tcPr>
            <w:tcW w:w="403" w:type="pct"/>
            <w:tcBorders>
              <w:top w:val="nil"/>
              <w:left w:val="nil"/>
              <w:bottom w:val="single" w:sz="4" w:space="0" w:color="auto"/>
              <w:right w:val="single" w:sz="4" w:space="0" w:color="auto"/>
            </w:tcBorders>
            <w:shd w:val="clear" w:color="000000" w:fill="BFBFBF"/>
            <w:noWrap/>
            <w:vAlign w:val="bottom"/>
            <w:hideMark/>
          </w:tcPr>
          <w:p w14:paraId="3A8EC0CD" w14:textId="77777777" w:rsidR="00A61255" w:rsidRPr="006B42D6" w:rsidRDefault="00A61255" w:rsidP="006C676D">
            <w:pPr>
              <w:jc w:val="right"/>
              <w:rPr>
                <w:b/>
                <w:bCs/>
                <w:sz w:val="16"/>
                <w:szCs w:val="16"/>
              </w:rPr>
            </w:pPr>
          </w:p>
        </w:tc>
        <w:tc>
          <w:tcPr>
            <w:tcW w:w="427" w:type="pct"/>
            <w:tcBorders>
              <w:top w:val="nil"/>
              <w:left w:val="nil"/>
              <w:bottom w:val="single" w:sz="4" w:space="0" w:color="auto"/>
              <w:right w:val="nil"/>
            </w:tcBorders>
            <w:shd w:val="clear" w:color="auto" w:fill="E2EFD9" w:themeFill="accent6" w:themeFillTint="33"/>
            <w:noWrap/>
            <w:vAlign w:val="bottom"/>
            <w:hideMark/>
          </w:tcPr>
          <w:p w14:paraId="11875251" w14:textId="77777777" w:rsidR="00A61255" w:rsidRPr="006B42D6" w:rsidRDefault="00A61255" w:rsidP="006C676D">
            <w:pPr>
              <w:jc w:val="right"/>
              <w:rPr>
                <w:b/>
                <w:bCs/>
                <w:sz w:val="16"/>
                <w:szCs w:val="16"/>
              </w:rPr>
            </w:pPr>
            <w:r w:rsidRPr="006B42D6">
              <w:rPr>
                <w:b/>
                <w:bCs/>
                <w:sz w:val="16"/>
                <w:szCs w:val="16"/>
              </w:rPr>
              <w:t>11,209</w:t>
            </w:r>
          </w:p>
        </w:tc>
        <w:tc>
          <w:tcPr>
            <w:tcW w:w="403" w:type="pct"/>
            <w:tcBorders>
              <w:top w:val="nil"/>
              <w:left w:val="nil"/>
              <w:bottom w:val="single" w:sz="4" w:space="0" w:color="auto"/>
              <w:right w:val="nil"/>
            </w:tcBorders>
            <w:shd w:val="clear" w:color="000000" w:fill="BFBFBF"/>
            <w:noWrap/>
            <w:vAlign w:val="bottom"/>
            <w:hideMark/>
          </w:tcPr>
          <w:p w14:paraId="0F6D98BD" w14:textId="77777777" w:rsidR="00A61255" w:rsidRPr="006B42D6" w:rsidRDefault="00A61255" w:rsidP="006C676D">
            <w:pPr>
              <w:jc w:val="right"/>
              <w:rPr>
                <w:b/>
                <w:bCs/>
                <w:sz w:val="16"/>
                <w:szCs w:val="16"/>
              </w:rPr>
            </w:pPr>
          </w:p>
        </w:tc>
        <w:tc>
          <w:tcPr>
            <w:tcW w:w="427" w:type="pct"/>
            <w:tcBorders>
              <w:top w:val="nil"/>
              <w:left w:val="single" w:sz="4" w:space="0" w:color="auto"/>
              <w:bottom w:val="single" w:sz="4" w:space="0" w:color="auto"/>
              <w:right w:val="nil"/>
            </w:tcBorders>
            <w:shd w:val="clear" w:color="auto" w:fill="E2EFD9" w:themeFill="accent6" w:themeFillTint="33"/>
            <w:noWrap/>
            <w:vAlign w:val="bottom"/>
            <w:hideMark/>
          </w:tcPr>
          <w:p w14:paraId="7A893DAF" w14:textId="77777777" w:rsidR="00A61255" w:rsidRPr="006B42D6" w:rsidRDefault="00A61255" w:rsidP="006C676D">
            <w:pPr>
              <w:jc w:val="right"/>
              <w:rPr>
                <w:b/>
                <w:bCs/>
                <w:sz w:val="16"/>
                <w:szCs w:val="16"/>
              </w:rPr>
            </w:pPr>
            <w:r w:rsidRPr="006B42D6">
              <w:rPr>
                <w:b/>
                <w:bCs/>
                <w:sz w:val="16"/>
                <w:szCs w:val="16"/>
              </w:rPr>
              <w:t>10,971</w:t>
            </w:r>
          </w:p>
        </w:tc>
        <w:tc>
          <w:tcPr>
            <w:tcW w:w="403" w:type="pct"/>
            <w:tcBorders>
              <w:top w:val="nil"/>
              <w:left w:val="nil"/>
              <w:bottom w:val="single" w:sz="4" w:space="0" w:color="auto"/>
              <w:right w:val="single" w:sz="4" w:space="0" w:color="auto"/>
            </w:tcBorders>
            <w:shd w:val="clear" w:color="000000" w:fill="BFBFBF"/>
            <w:noWrap/>
            <w:vAlign w:val="bottom"/>
            <w:hideMark/>
          </w:tcPr>
          <w:p w14:paraId="7E105729" w14:textId="77777777" w:rsidR="00A61255" w:rsidRPr="006B42D6" w:rsidRDefault="00A61255" w:rsidP="006C676D">
            <w:pPr>
              <w:jc w:val="right"/>
              <w:rPr>
                <w:b/>
                <w:bCs/>
                <w:sz w:val="16"/>
                <w:szCs w:val="16"/>
              </w:rPr>
            </w:pPr>
          </w:p>
        </w:tc>
        <w:tc>
          <w:tcPr>
            <w:tcW w:w="427" w:type="pct"/>
            <w:tcBorders>
              <w:top w:val="nil"/>
              <w:left w:val="nil"/>
              <w:bottom w:val="single" w:sz="4" w:space="0" w:color="auto"/>
              <w:right w:val="nil"/>
            </w:tcBorders>
            <w:shd w:val="clear" w:color="auto" w:fill="E2EFD9" w:themeFill="accent6" w:themeFillTint="33"/>
            <w:noWrap/>
            <w:vAlign w:val="bottom"/>
            <w:hideMark/>
          </w:tcPr>
          <w:p w14:paraId="53ECB202" w14:textId="77777777" w:rsidR="00A61255" w:rsidRPr="006B42D6" w:rsidRDefault="00A61255" w:rsidP="006C676D">
            <w:pPr>
              <w:jc w:val="right"/>
              <w:rPr>
                <w:b/>
                <w:bCs/>
                <w:sz w:val="16"/>
                <w:szCs w:val="16"/>
              </w:rPr>
            </w:pPr>
            <w:r w:rsidRPr="006B42D6">
              <w:rPr>
                <w:b/>
                <w:bCs/>
                <w:sz w:val="16"/>
                <w:szCs w:val="16"/>
              </w:rPr>
              <w:t>275,482</w:t>
            </w:r>
          </w:p>
        </w:tc>
        <w:tc>
          <w:tcPr>
            <w:tcW w:w="403" w:type="pct"/>
            <w:tcBorders>
              <w:top w:val="nil"/>
              <w:left w:val="nil"/>
              <w:bottom w:val="single" w:sz="4" w:space="0" w:color="auto"/>
              <w:right w:val="nil"/>
            </w:tcBorders>
            <w:shd w:val="clear" w:color="000000" w:fill="BFBFBF"/>
            <w:noWrap/>
            <w:vAlign w:val="bottom"/>
            <w:hideMark/>
          </w:tcPr>
          <w:p w14:paraId="3A75E925" w14:textId="77777777" w:rsidR="00A61255" w:rsidRPr="006B42D6" w:rsidRDefault="00A61255" w:rsidP="006C676D">
            <w:pPr>
              <w:jc w:val="right"/>
              <w:rPr>
                <w:b/>
                <w:bCs/>
                <w:sz w:val="16"/>
                <w:szCs w:val="16"/>
              </w:rPr>
            </w:pPr>
          </w:p>
        </w:tc>
        <w:tc>
          <w:tcPr>
            <w:tcW w:w="427" w:type="pct"/>
            <w:tcBorders>
              <w:top w:val="nil"/>
              <w:left w:val="single" w:sz="4" w:space="0" w:color="auto"/>
              <w:bottom w:val="single" w:sz="4" w:space="0" w:color="auto"/>
              <w:right w:val="nil"/>
            </w:tcBorders>
            <w:shd w:val="clear" w:color="auto" w:fill="E2EFD9" w:themeFill="accent6" w:themeFillTint="33"/>
            <w:noWrap/>
            <w:vAlign w:val="bottom"/>
            <w:hideMark/>
          </w:tcPr>
          <w:p w14:paraId="587DF1ED" w14:textId="77777777" w:rsidR="00A61255" w:rsidRPr="006B42D6" w:rsidRDefault="00A61255" w:rsidP="006C676D">
            <w:pPr>
              <w:jc w:val="right"/>
              <w:rPr>
                <w:b/>
                <w:bCs/>
                <w:sz w:val="16"/>
                <w:szCs w:val="16"/>
              </w:rPr>
            </w:pPr>
            <w:r w:rsidRPr="006B42D6">
              <w:rPr>
                <w:b/>
                <w:bCs/>
                <w:sz w:val="16"/>
                <w:szCs w:val="16"/>
              </w:rPr>
              <w:t>12,125</w:t>
            </w:r>
          </w:p>
        </w:tc>
        <w:tc>
          <w:tcPr>
            <w:tcW w:w="403" w:type="pct"/>
            <w:tcBorders>
              <w:top w:val="nil"/>
              <w:left w:val="nil"/>
              <w:bottom w:val="single" w:sz="4" w:space="0" w:color="auto"/>
              <w:right w:val="nil"/>
            </w:tcBorders>
            <w:shd w:val="clear" w:color="000000" w:fill="BFBFBF"/>
            <w:noWrap/>
            <w:vAlign w:val="bottom"/>
            <w:hideMark/>
          </w:tcPr>
          <w:p w14:paraId="72B707DB" w14:textId="77777777" w:rsidR="00A61255" w:rsidRPr="006B42D6" w:rsidRDefault="00A61255" w:rsidP="006C676D">
            <w:pPr>
              <w:jc w:val="right"/>
              <w:rPr>
                <w:b/>
                <w:bCs/>
                <w:sz w:val="16"/>
                <w:szCs w:val="16"/>
              </w:rPr>
            </w:pPr>
          </w:p>
        </w:tc>
      </w:tr>
    </w:tbl>
    <w:p w14:paraId="4DA6B8A0" w14:textId="4C5417FE" w:rsidR="000D674E" w:rsidRPr="006B42D6" w:rsidRDefault="000D674E" w:rsidP="005C2EFC">
      <w:pPr>
        <w:tabs>
          <w:tab w:val="left" w:pos="1702"/>
        </w:tabs>
        <w:adjustRightInd w:val="0"/>
        <w:spacing w:before="20"/>
        <w:rPr>
          <w:w w:val="105"/>
        </w:rPr>
      </w:pPr>
    </w:p>
    <w:p w14:paraId="63A79C43" w14:textId="77777777" w:rsidR="000E1363" w:rsidRPr="00AC6872" w:rsidRDefault="000E1363" w:rsidP="005C2EFC">
      <w:pPr>
        <w:pStyle w:val="ColorfulList-Accent11"/>
        <w:widowControl w:val="0"/>
        <w:numPr>
          <w:ilvl w:val="0"/>
          <w:numId w:val="7"/>
        </w:numPr>
        <w:autoSpaceDE w:val="0"/>
        <w:autoSpaceDN w:val="0"/>
        <w:adjustRightInd w:val="0"/>
        <w:spacing w:before="20" w:after="0" w:line="360" w:lineRule="auto"/>
        <w:rPr>
          <w:rFonts w:ascii="Times New Roman Bold" w:hAnsi="Times New Roman Bold" w:cs="Times New Roman Bold"/>
          <w:b/>
          <w:sz w:val="24"/>
          <w:szCs w:val="24"/>
        </w:rPr>
      </w:pPr>
      <w:r w:rsidRPr="00AC6872">
        <w:rPr>
          <w:rFonts w:ascii="Times New Roman Bold" w:hAnsi="Times New Roman Bold" w:cs="Times New Roman Bold"/>
          <w:b/>
          <w:sz w:val="24"/>
          <w:szCs w:val="24"/>
        </w:rPr>
        <w:t>Anaemia</w:t>
      </w:r>
    </w:p>
    <w:p w14:paraId="7FA75890" w14:textId="39BBC9C1" w:rsidR="00A61255" w:rsidRPr="006B42D6" w:rsidRDefault="00A61255" w:rsidP="00A61255">
      <w:pPr>
        <w:tabs>
          <w:tab w:val="left" w:pos="1702"/>
        </w:tabs>
        <w:adjustRightInd w:val="0"/>
        <w:spacing w:before="20"/>
        <w:ind w:left="567"/>
        <w:rPr>
          <w:w w:val="105"/>
        </w:rPr>
      </w:pPr>
      <w:r w:rsidRPr="006B42D6">
        <w:rPr>
          <w:w w:val="105"/>
        </w:rPr>
        <w:t xml:space="preserve">The total number of households reported </w:t>
      </w:r>
      <w:r w:rsidR="006A3706">
        <w:rPr>
          <w:w w:val="105"/>
        </w:rPr>
        <w:t>a</w:t>
      </w:r>
      <w:r w:rsidRPr="006B42D6">
        <w:rPr>
          <w:w w:val="105"/>
        </w:rPr>
        <w:t xml:space="preserve">naemia infections to their pigs was 1,545 (1,488 in </w:t>
      </w:r>
      <w:r w:rsidR="00EA1552">
        <w:rPr>
          <w:lang w:eastAsia="en-GB"/>
        </w:rPr>
        <w:t>Mainland Tanzania</w:t>
      </w:r>
      <w:r w:rsidRPr="006B42D6">
        <w:rPr>
          <w:w w:val="105"/>
        </w:rPr>
        <w:t xml:space="preserve"> and 57 in </w:t>
      </w:r>
      <w:r w:rsidR="00327632" w:rsidRPr="006B42D6">
        <w:rPr>
          <w:lang w:eastAsia="en-GB"/>
        </w:rPr>
        <w:t xml:space="preserve">Tanzania </w:t>
      </w:r>
      <w:r w:rsidRPr="006B42D6">
        <w:rPr>
          <w:w w:val="105"/>
        </w:rPr>
        <w:t xml:space="preserve">Zanzibar), which represents 0.3 percent of the total pig keeping households during </w:t>
      </w:r>
      <w:r w:rsidR="00130466" w:rsidRPr="006B42D6">
        <w:rPr>
          <w:w w:val="105"/>
        </w:rPr>
        <w:t>2019/20 a</w:t>
      </w:r>
      <w:r w:rsidRPr="006B42D6">
        <w:rPr>
          <w:w w:val="105"/>
        </w:rPr>
        <w:t xml:space="preserve">gricultural year. </w:t>
      </w:r>
    </w:p>
    <w:p w14:paraId="51FD9A4D" w14:textId="77777777" w:rsidR="00A61255" w:rsidRPr="006B42D6" w:rsidRDefault="00A61255" w:rsidP="00A61255">
      <w:pPr>
        <w:tabs>
          <w:tab w:val="left" w:pos="1702"/>
        </w:tabs>
        <w:adjustRightInd w:val="0"/>
        <w:spacing w:before="20"/>
        <w:ind w:left="567"/>
        <w:rPr>
          <w:w w:val="105"/>
        </w:rPr>
      </w:pPr>
    </w:p>
    <w:p w14:paraId="140B6B57" w14:textId="5395925A" w:rsidR="000B0919" w:rsidRPr="006B42D6" w:rsidRDefault="00A61255" w:rsidP="006A3706">
      <w:pPr>
        <w:tabs>
          <w:tab w:val="left" w:pos="1702"/>
        </w:tabs>
        <w:adjustRightInd w:val="0"/>
        <w:spacing w:before="20"/>
        <w:ind w:left="567"/>
        <w:rPr>
          <w:w w:val="105"/>
        </w:rPr>
      </w:pPr>
      <w:r w:rsidRPr="006B42D6">
        <w:rPr>
          <w:w w:val="103"/>
        </w:rPr>
        <w:lastRenderedPageBreak/>
        <w:t xml:space="preserve">A total number of </w:t>
      </w:r>
      <w:r w:rsidRPr="006B42D6">
        <w:rPr>
          <w:w w:val="105"/>
        </w:rPr>
        <w:t xml:space="preserve">11,209 pigs </w:t>
      </w:r>
      <w:r w:rsidRPr="006B42D6">
        <w:rPr>
          <w:w w:val="103"/>
        </w:rPr>
        <w:t xml:space="preserve">were </w:t>
      </w:r>
      <w:r w:rsidRPr="006B42D6">
        <w:rPr>
          <w:w w:val="105"/>
        </w:rPr>
        <w:t xml:space="preserve">reported to encounter </w:t>
      </w:r>
      <w:r w:rsidR="006A3706">
        <w:rPr>
          <w:w w:val="105"/>
        </w:rPr>
        <w:t>a</w:t>
      </w:r>
      <w:r w:rsidRPr="006B42D6">
        <w:rPr>
          <w:w w:val="105"/>
        </w:rPr>
        <w:t>naemia,</w:t>
      </w:r>
      <w:r w:rsidRPr="006B42D6">
        <w:rPr>
          <w:w w:val="103"/>
        </w:rPr>
        <w:t xml:space="preserve"> of which </w:t>
      </w:r>
      <w:r w:rsidRPr="006B42D6">
        <w:rPr>
          <w:w w:val="105"/>
        </w:rPr>
        <w:t xml:space="preserve">6,095 pigs were </w:t>
      </w:r>
      <w:r w:rsidRPr="006B42D6">
        <w:rPr>
          <w:spacing w:val="-2"/>
        </w:rPr>
        <w:t xml:space="preserve">in </w:t>
      </w:r>
      <w:r w:rsidR="00EA1552">
        <w:rPr>
          <w:lang w:eastAsia="en-GB"/>
        </w:rPr>
        <w:t>Mainland Tanzania</w:t>
      </w:r>
      <w:r w:rsidRPr="006B42D6">
        <w:rPr>
          <w:spacing w:val="-2"/>
        </w:rPr>
        <w:t xml:space="preserve"> and 5,114 in </w:t>
      </w:r>
      <w:r w:rsidR="00327632" w:rsidRPr="006B42D6">
        <w:rPr>
          <w:lang w:eastAsia="en-GB"/>
        </w:rPr>
        <w:t xml:space="preserve">Tanzania </w:t>
      </w:r>
      <w:r w:rsidRPr="006B42D6">
        <w:rPr>
          <w:spacing w:val="-2"/>
        </w:rPr>
        <w:t xml:space="preserve">Zanzibar. In </w:t>
      </w:r>
      <w:r w:rsidR="00EA1552">
        <w:rPr>
          <w:lang w:eastAsia="en-GB"/>
        </w:rPr>
        <w:t>Mainland Tanzania</w:t>
      </w:r>
      <w:r w:rsidRPr="006B42D6">
        <w:rPr>
          <w:spacing w:val="-2"/>
        </w:rPr>
        <w:t xml:space="preserve">, Mbeya region had the largest </w:t>
      </w:r>
      <w:r w:rsidRPr="006B42D6">
        <w:rPr>
          <w:w w:val="105"/>
        </w:rPr>
        <w:t>number of pigs reported anaemic condition (</w:t>
      </w:r>
      <w:r w:rsidRPr="006B42D6">
        <w:rPr>
          <w:spacing w:val="-2"/>
        </w:rPr>
        <w:t xml:space="preserve">1,647; 27.0 percent), </w:t>
      </w:r>
      <w:r w:rsidRPr="006B42D6">
        <w:rPr>
          <w:w w:val="105"/>
        </w:rPr>
        <w:t xml:space="preserve">followed by Morogoro (1,637; 26.9 percent) and Songwe (1,198; 19.7 percent). The lowest proportion of pigs showing anaemia was reported in Tabora region (539; 8.8 percent). </w:t>
      </w:r>
      <w:r w:rsidRPr="006B42D6">
        <w:rPr>
          <w:spacing w:val="-2"/>
        </w:rPr>
        <w:t xml:space="preserve">In </w:t>
      </w:r>
      <w:r w:rsidR="00327632" w:rsidRPr="006B42D6">
        <w:rPr>
          <w:lang w:eastAsia="en-GB"/>
        </w:rPr>
        <w:t xml:space="preserve">Tanzania </w:t>
      </w:r>
      <w:r w:rsidRPr="006B42D6">
        <w:rPr>
          <w:spacing w:val="-2"/>
        </w:rPr>
        <w:t xml:space="preserve">Zanzibar, Kusini Unguja </w:t>
      </w:r>
      <w:r w:rsidRPr="006B42D6">
        <w:rPr>
          <w:w w:val="105"/>
        </w:rPr>
        <w:t>region was the only region reported anaemia condition in about 5,114 pigs (100 percent) (Table 4.</w:t>
      </w:r>
      <w:r w:rsidR="00912C90" w:rsidRPr="006B42D6">
        <w:rPr>
          <w:w w:val="105"/>
        </w:rPr>
        <w:t>1</w:t>
      </w:r>
      <w:r w:rsidR="00B70154">
        <w:rPr>
          <w:w w:val="105"/>
        </w:rPr>
        <w:t>7</w:t>
      </w:r>
      <w:r w:rsidRPr="006B42D6">
        <w:rPr>
          <w:w w:val="105"/>
        </w:rPr>
        <w:t>).</w:t>
      </w:r>
    </w:p>
    <w:p w14:paraId="5B54A82E" w14:textId="77777777" w:rsidR="00C423EA" w:rsidRPr="009834FA" w:rsidRDefault="00C423EA" w:rsidP="00141395">
      <w:pPr>
        <w:tabs>
          <w:tab w:val="left" w:pos="1702"/>
        </w:tabs>
        <w:adjustRightInd w:val="0"/>
        <w:spacing w:before="20" w:line="240" w:lineRule="auto"/>
        <w:ind w:left="567"/>
        <w:rPr>
          <w:w w:val="105"/>
          <w:sz w:val="20"/>
          <w:szCs w:val="20"/>
        </w:rPr>
      </w:pPr>
    </w:p>
    <w:p w14:paraId="784168E1" w14:textId="77777777" w:rsidR="000B0919" w:rsidRPr="00AC6872" w:rsidRDefault="000B0919" w:rsidP="000B0919">
      <w:pPr>
        <w:pStyle w:val="ColorfulList-Accent11"/>
        <w:widowControl w:val="0"/>
        <w:numPr>
          <w:ilvl w:val="0"/>
          <w:numId w:val="7"/>
        </w:numPr>
        <w:autoSpaceDE w:val="0"/>
        <w:autoSpaceDN w:val="0"/>
        <w:adjustRightInd w:val="0"/>
        <w:spacing w:before="20" w:after="0" w:line="360" w:lineRule="auto"/>
        <w:rPr>
          <w:rFonts w:ascii="Times New Roman Bold" w:hAnsi="Times New Roman Bold" w:cs="Times New Roman Bold"/>
          <w:b/>
          <w:sz w:val="24"/>
          <w:szCs w:val="24"/>
        </w:rPr>
      </w:pPr>
      <w:r w:rsidRPr="00AC6872">
        <w:rPr>
          <w:rFonts w:ascii="Times New Roman Bold" w:hAnsi="Times New Roman Bold" w:cs="Times New Roman Bold"/>
          <w:b/>
          <w:sz w:val="24"/>
          <w:szCs w:val="24"/>
        </w:rPr>
        <w:t xml:space="preserve">Brucellosis </w:t>
      </w:r>
      <w:r w:rsidRPr="00AC6872">
        <w:rPr>
          <w:rFonts w:ascii="Times New Roman Bold" w:hAnsi="Times New Roman Bold" w:cs="Times New Roman Bold"/>
          <w:b/>
          <w:sz w:val="24"/>
          <w:szCs w:val="24"/>
        </w:rPr>
        <w:tab/>
      </w:r>
    </w:p>
    <w:p w14:paraId="00616652" w14:textId="13FC4AE7" w:rsidR="000B0919" w:rsidRPr="006B42D6" w:rsidRDefault="000B0919" w:rsidP="000B0919">
      <w:pPr>
        <w:tabs>
          <w:tab w:val="left" w:pos="1702"/>
        </w:tabs>
        <w:adjustRightInd w:val="0"/>
        <w:spacing w:before="20"/>
        <w:ind w:left="567"/>
        <w:rPr>
          <w:w w:val="105"/>
        </w:rPr>
      </w:pPr>
      <w:r w:rsidRPr="006B42D6">
        <w:rPr>
          <w:w w:val="105"/>
        </w:rPr>
        <w:t xml:space="preserve">The total number of households reported infection of </w:t>
      </w:r>
      <w:r w:rsidR="00BA6B5C" w:rsidRPr="006B42D6">
        <w:rPr>
          <w:w w:val="105"/>
        </w:rPr>
        <w:t>b</w:t>
      </w:r>
      <w:r w:rsidRPr="006B42D6">
        <w:rPr>
          <w:w w:val="105"/>
        </w:rPr>
        <w:t xml:space="preserve">rucellosis disease in their pigs was 6,038 in </w:t>
      </w:r>
      <w:r w:rsidR="00EA1552">
        <w:rPr>
          <w:lang w:eastAsia="en-GB"/>
        </w:rPr>
        <w:t>Mainland Tanzania</w:t>
      </w:r>
      <w:r w:rsidRPr="006B42D6">
        <w:rPr>
          <w:w w:val="105"/>
        </w:rPr>
        <w:t xml:space="preserve">, which represents 1.1 percent of the total pig keeping households during 2019/20 </w:t>
      </w:r>
      <w:r w:rsidR="00130466" w:rsidRPr="006B42D6">
        <w:rPr>
          <w:w w:val="105"/>
        </w:rPr>
        <w:t>a</w:t>
      </w:r>
      <w:r w:rsidRPr="006B42D6">
        <w:rPr>
          <w:w w:val="105"/>
        </w:rPr>
        <w:t xml:space="preserve">gricultural year, and nothing was reported in </w:t>
      </w:r>
      <w:r w:rsidR="00327632" w:rsidRPr="006B42D6">
        <w:rPr>
          <w:lang w:eastAsia="en-GB"/>
        </w:rPr>
        <w:t xml:space="preserve">Tanzania </w:t>
      </w:r>
      <w:r w:rsidRPr="006B42D6">
        <w:rPr>
          <w:w w:val="105"/>
        </w:rPr>
        <w:t>Zanzibar</w:t>
      </w:r>
      <w:r w:rsidR="00BA6B5C" w:rsidRPr="006B42D6">
        <w:rPr>
          <w:w w:val="105"/>
        </w:rPr>
        <w:t>.</w:t>
      </w:r>
    </w:p>
    <w:p w14:paraId="339EFE87" w14:textId="77777777" w:rsidR="000B0919" w:rsidRPr="009834FA" w:rsidRDefault="000B0919" w:rsidP="00141395">
      <w:pPr>
        <w:tabs>
          <w:tab w:val="left" w:pos="1702"/>
        </w:tabs>
        <w:adjustRightInd w:val="0"/>
        <w:spacing w:before="20" w:line="240" w:lineRule="auto"/>
        <w:ind w:left="567"/>
        <w:rPr>
          <w:w w:val="105"/>
          <w:sz w:val="20"/>
          <w:szCs w:val="20"/>
        </w:rPr>
      </w:pPr>
    </w:p>
    <w:p w14:paraId="7597575C" w14:textId="5800B5D2" w:rsidR="000B0919" w:rsidRPr="006B42D6" w:rsidRDefault="000B0919" w:rsidP="000B0919">
      <w:pPr>
        <w:tabs>
          <w:tab w:val="left" w:pos="1702"/>
        </w:tabs>
        <w:adjustRightInd w:val="0"/>
        <w:spacing w:before="20"/>
        <w:ind w:left="567"/>
        <w:rPr>
          <w:w w:val="105"/>
        </w:rPr>
      </w:pPr>
      <w:r w:rsidRPr="006B42D6">
        <w:rPr>
          <w:w w:val="103"/>
        </w:rPr>
        <w:t xml:space="preserve">A total number of </w:t>
      </w:r>
      <w:r w:rsidRPr="006B42D6">
        <w:rPr>
          <w:w w:val="105"/>
        </w:rPr>
        <w:t xml:space="preserve">10,971 pigs </w:t>
      </w:r>
      <w:r w:rsidRPr="006B42D6">
        <w:rPr>
          <w:w w:val="103"/>
        </w:rPr>
        <w:t xml:space="preserve">were </w:t>
      </w:r>
      <w:r w:rsidRPr="006B42D6">
        <w:rPr>
          <w:w w:val="105"/>
        </w:rPr>
        <w:t xml:space="preserve">reported to be infected with </w:t>
      </w:r>
      <w:r w:rsidR="00BA6B5C" w:rsidRPr="006B42D6">
        <w:rPr>
          <w:w w:val="105"/>
        </w:rPr>
        <w:t>b</w:t>
      </w:r>
      <w:r w:rsidRPr="006B42D6">
        <w:rPr>
          <w:w w:val="105"/>
        </w:rPr>
        <w:t>rucellosis disease</w:t>
      </w:r>
      <w:r w:rsidR="00130466" w:rsidRPr="006B42D6">
        <w:rPr>
          <w:w w:val="105"/>
        </w:rPr>
        <w:t xml:space="preserve"> in </w:t>
      </w:r>
      <w:r w:rsidR="00EA1552">
        <w:rPr>
          <w:w w:val="105"/>
        </w:rPr>
        <w:t>Mainland Tanzania</w:t>
      </w:r>
      <w:r w:rsidRPr="006B42D6">
        <w:rPr>
          <w:w w:val="103"/>
        </w:rPr>
        <w:t>.</w:t>
      </w:r>
      <w:r w:rsidRPr="006B42D6">
        <w:rPr>
          <w:spacing w:val="-2"/>
        </w:rPr>
        <w:t xml:space="preserve"> Kagera region had the largest </w:t>
      </w:r>
      <w:r w:rsidRPr="006B42D6">
        <w:rPr>
          <w:w w:val="105"/>
        </w:rPr>
        <w:t xml:space="preserve">number of pigs infected with </w:t>
      </w:r>
      <w:r w:rsidR="006A3706">
        <w:rPr>
          <w:w w:val="105"/>
        </w:rPr>
        <w:t>b</w:t>
      </w:r>
      <w:r w:rsidRPr="006B42D6">
        <w:rPr>
          <w:w w:val="105"/>
        </w:rPr>
        <w:t>rucellosis disease (</w:t>
      </w:r>
      <w:r w:rsidRPr="006B42D6">
        <w:rPr>
          <w:spacing w:val="-2"/>
        </w:rPr>
        <w:t xml:space="preserve">2,164; 19.7 percent), </w:t>
      </w:r>
      <w:r w:rsidRPr="006B42D6">
        <w:rPr>
          <w:w w:val="105"/>
        </w:rPr>
        <w:t>followed by Morogoro (1,913; 17.4 percent) and Simiyu (1,096; 10.0 percent). The lowest proportion of pig infections was reported in Tabora region (180; 1.6 percent) (Table 4.1</w:t>
      </w:r>
      <w:r w:rsidR="00B70154">
        <w:rPr>
          <w:w w:val="105"/>
        </w:rPr>
        <w:t>7</w:t>
      </w:r>
      <w:r w:rsidRPr="006B42D6">
        <w:rPr>
          <w:w w:val="105"/>
        </w:rPr>
        <w:t>).</w:t>
      </w:r>
    </w:p>
    <w:p w14:paraId="49FF563D" w14:textId="77777777" w:rsidR="000B0919" w:rsidRPr="009834FA" w:rsidRDefault="000B0919" w:rsidP="00141395">
      <w:pPr>
        <w:tabs>
          <w:tab w:val="left" w:pos="1702"/>
        </w:tabs>
        <w:adjustRightInd w:val="0"/>
        <w:spacing w:before="20" w:line="240" w:lineRule="auto"/>
        <w:rPr>
          <w:w w:val="105"/>
          <w:sz w:val="20"/>
          <w:szCs w:val="20"/>
        </w:rPr>
      </w:pPr>
      <w:r w:rsidRPr="006B42D6">
        <w:rPr>
          <w:w w:val="105"/>
        </w:rPr>
        <w:t xml:space="preserve"> </w:t>
      </w:r>
    </w:p>
    <w:p w14:paraId="639C38B3" w14:textId="77777777" w:rsidR="000B0919" w:rsidRPr="00AC6872" w:rsidRDefault="000B0919" w:rsidP="000B0919">
      <w:pPr>
        <w:pStyle w:val="ColorfulList-Accent11"/>
        <w:widowControl w:val="0"/>
        <w:numPr>
          <w:ilvl w:val="0"/>
          <w:numId w:val="7"/>
        </w:numPr>
        <w:autoSpaceDE w:val="0"/>
        <w:autoSpaceDN w:val="0"/>
        <w:adjustRightInd w:val="0"/>
        <w:spacing w:before="20" w:after="0" w:line="360" w:lineRule="auto"/>
        <w:rPr>
          <w:rFonts w:ascii="Times New Roman Bold" w:hAnsi="Times New Roman Bold" w:cs="Times New Roman Bold"/>
          <w:b/>
          <w:sz w:val="24"/>
          <w:szCs w:val="24"/>
        </w:rPr>
      </w:pPr>
      <w:r w:rsidRPr="00AC6872">
        <w:rPr>
          <w:rFonts w:ascii="Times New Roman Bold" w:hAnsi="Times New Roman Bold" w:cs="Times New Roman Bold"/>
          <w:b/>
          <w:sz w:val="24"/>
          <w:szCs w:val="24"/>
        </w:rPr>
        <w:t>Mange</w:t>
      </w:r>
      <w:r w:rsidRPr="00AC6872">
        <w:rPr>
          <w:rFonts w:ascii="Times New Roman Bold" w:hAnsi="Times New Roman Bold" w:cs="Times New Roman Bold"/>
          <w:b/>
          <w:sz w:val="24"/>
          <w:szCs w:val="24"/>
        </w:rPr>
        <w:tab/>
      </w:r>
    </w:p>
    <w:p w14:paraId="7B38235C" w14:textId="0372AEDD" w:rsidR="000B0919" w:rsidRPr="006B42D6" w:rsidRDefault="000B0919" w:rsidP="000B0919">
      <w:pPr>
        <w:tabs>
          <w:tab w:val="left" w:pos="1702"/>
        </w:tabs>
        <w:adjustRightInd w:val="0"/>
        <w:spacing w:before="20"/>
        <w:ind w:left="567"/>
        <w:rPr>
          <w:w w:val="105"/>
        </w:rPr>
      </w:pPr>
      <w:r w:rsidRPr="006B42D6">
        <w:rPr>
          <w:w w:val="105"/>
        </w:rPr>
        <w:t xml:space="preserve">The total number of households reported infection with </w:t>
      </w:r>
      <w:r w:rsidR="006A3706">
        <w:rPr>
          <w:w w:val="105"/>
        </w:rPr>
        <w:t>m</w:t>
      </w:r>
      <w:r w:rsidRPr="006B42D6">
        <w:rPr>
          <w:w w:val="105"/>
        </w:rPr>
        <w:t xml:space="preserve">ange disease in their pigs was 54,103 (54,046 in </w:t>
      </w:r>
      <w:r w:rsidR="00EA1552">
        <w:rPr>
          <w:lang w:eastAsia="en-GB"/>
        </w:rPr>
        <w:t>Mainland Tanzania</w:t>
      </w:r>
      <w:r w:rsidRPr="006B42D6">
        <w:rPr>
          <w:w w:val="105"/>
        </w:rPr>
        <w:t xml:space="preserve"> and 57 in </w:t>
      </w:r>
      <w:r w:rsidR="00327632" w:rsidRPr="006B42D6">
        <w:rPr>
          <w:lang w:eastAsia="en-GB"/>
        </w:rPr>
        <w:t xml:space="preserve">Tanzania </w:t>
      </w:r>
      <w:r w:rsidRPr="006B42D6">
        <w:rPr>
          <w:w w:val="105"/>
        </w:rPr>
        <w:t xml:space="preserve">Zanzibar), which represents 10.1 percent of the total pig keeping households during 2019/20 </w:t>
      </w:r>
      <w:r w:rsidR="00130466" w:rsidRPr="006B42D6">
        <w:rPr>
          <w:w w:val="105"/>
        </w:rPr>
        <w:t>a</w:t>
      </w:r>
      <w:r w:rsidRPr="006B42D6">
        <w:rPr>
          <w:w w:val="105"/>
        </w:rPr>
        <w:t xml:space="preserve">gricultural year. </w:t>
      </w:r>
    </w:p>
    <w:p w14:paraId="33B175B0" w14:textId="77777777" w:rsidR="000B0919" w:rsidRPr="009834FA" w:rsidRDefault="000B0919" w:rsidP="00141395">
      <w:pPr>
        <w:tabs>
          <w:tab w:val="left" w:pos="1702"/>
        </w:tabs>
        <w:adjustRightInd w:val="0"/>
        <w:spacing w:before="20" w:line="240" w:lineRule="auto"/>
        <w:ind w:left="567"/>
        <w:rPr>
          <w:w w:val="105"/>
          <w:sz w:val="20"/>
          <w:szCs w:val="20"/>
        </w:rPr>
      </w:pPr>
    </w:p>
    <w:p w14:paraId="39FC9EC1" w14:textId="3769EBF4" w:rsidR="000B0919" w:rsidRDefault="000B0919" w:rsidP="000B0919">
      <w:pPr>
        <w:tabs>
          <w:tab w:val="left" w:pos="1702"/>
        </w:tabs>
        <w:adjustRightInd w:val="0"/>
        <w:spacing w:before="20"/>
        <w:ind w:left="567"/>
        <w:rPr>
          <w:spacing w:val="-2"/>
        </w:rPr>
      </w:pPr>
      <w:r w:rsidRPr="006B42D6">
        <w:rPr>
          <w:w w:val="103"/>
        </w:rPr>
        <w:t xml:space="preserve">A total number of </w:t>
      </w:r>
      <w:r w:rsidRPr="006B42D6">
        <w:rPr>
          <w:w w:val="105"/>
        </w:rPr>
        <w:t xml:space="preserve">275,482 pigs </w:t>
      </w:r>
      <w:r w:rsidRPr="006B42D6">
        <w:rPr>
          <w:w w:val="103"/>
        </w:rPr>
        <w:t xml:space="preserve">were </w:t>
      </w:r>
      <w:r w:rsidRPr="006B42D6">
        <w:rPr>
          <w:w w:val="105"/>
        </w:rPr>
        <w:t xml:space="preserve">reported to be infected with </w:t>
      </w:r>
      <w:r w:rsidR="006A3706">
        <w:rPr>
          <w:w w:val="105"/>
        </w:rPr>
        <w:t>m</w:t>
      </w:r>
      <w:r w:rsidRPr="006B42D6">
        <w:rPr>
          <w:w w:val="105"/>
        </w:rPr>
        <w:t>ange disease,</w:t>
      </w:r>
      <w:r w:rsidRPr="006B42D6">
        <w:rPr>
          <w:w w:val="103"/>
        </w:rPr>
        <w:t xml:space="preserve"> of which </w:t>
      </w:r>
      <w:r w:rsidRPr="006B42D6">
        <w:rPr>
          <w:w w:val="105"/>
        </w:rPr>
        <w:t xml:space="preserve">275,405 pigs </w:t>
      </w:r>
      <w:r w:rsidRPr="006B42D6">
        <w:rPr>
          <w:spacing w:val="-2"/>
        </w:rPr>
        <w:t xml:space="preserve">in </w:t>
      </w:r>
      <w:r w:rsidR="00EA1552">
        <w:rPr>
          <w:lang w:eastAsia="en-GB"/>
        </w:rPr>
        <w:t>Mainland Tanzania</w:t>
      </w:r>
      <w:r w:rsidRPr="006B42D6">
        <w:rPr>
          <w:spacing w:val="-2"/>
        </w:rPr>
        <w:t xml:space="preserve"> and 77 in </w:t>
      </w:r>
      <w:r w:rsidR="00327632" w:rsidRPr="006B42D6">
        <w:rPr>
          <w:lang w:eastAsia="en-GB"/>
        </w:rPr>
        <w:t xml:space="preserve">Tanzania </w:t>
      </w:r>
      <w:r w:rsidRPr="006B42D6">
        <w:rPr>
          <w:spacing w:val="-2"/>
        </w:rPr>
        <w:t xml:space="preserve">Zanzibar. In </w:t>
      </w:r>
      <w:r w:rsidR="00EA1552">
        <w:rPr>
          <w:lang w:eastAsia="en-GB"/>
        </w:rPr>
        <w:t>Mainland Tanzania</w:t>
      </w:r>
      <w:r w:rsidRPr="006B42D6">
        <w:rPr>
          <w:spacing w:val="-2"/>
        </w:rPr>
        <w:t xml:space="preserve">, Morogoro region had the largest </w:t>
      </w:r>
      <w:r w:rsidRPr="006B42D6">
        <w:rPr>
          <w:w w:val="105"/>
        </w:rPr>
        <w:t xml:space="preserve">number of pigs infected with </w:t>
      </w:r>
      <w:r w:rsidR="00BA6B5C" w:rsidRPr="006B42D6">
        <w:rPr>
          <w:w w:val="105"/>
        </w:rPr>
        <w:t>m</w:t>
      </w:r>
      <w:r w:rsidRPr="006B42D6">
        <w:rPr>
          <w:w w:val="105"/>
        </w:rPr>
        <w:t xml:space="preserve">ange </w:t>
      </w:r>
      <w:r w:rsidR="00BA6B5C" w:rsidRPr="006B42D6">
        <w:rPr>
          <w:w w:val="105"/>
        </w:rPr>
        <w:t xml:space="preserve">disease </w:t>
      </w:r>
      <w:r w:rsidRPr="006B42D6">
        <w:rPr>
          <w:spacing w:val="-2"/>
        </w:rPr>
        <w:t xml:space="preserve">(57,125; 20.7 percent), </w:t>
      </w:r>
      <w:r w:rsidRPr="006B42D6">
        <w:rPr>
          <w:w w:val="105"/>
        </w:rPr>
        <w:t xml:space="preserve">followed by Ruvuma (56,253; 20.4 percent) and Kagera (22,313; 8.1 percent). The lowest proportion of pigs’ infections was reported in Arusha region (521; 0.2 percent). </w:t>
      </w:r>
      <w:r w:rsidRPr="006B42D6">
        <w:rPr>
          <w:spacing w:val="-2"/>
        </w:rPr>
        <w:t xml:space="preserve">In </w:t>
      </w:r>
      <w:r w:rsidR="00327632" w:rsidRPr="006B42D6">
        <w:rPr>
          <w:lang w:eastAsia="en-GB"/>
        </w:rPr>
        <w:t xml:space="preserve">Tanzania </w:t>
      </w:r>
      <w:r w:rsidRPr="006B42D6">
        <w:rPr>
          <w:spacing w:val="-2"/>
        </w:rPr>
        <w:t>Zanzibar, Kusini Unguja region with 77 heads (100</w:t>
      </w:r>
      <w:r w:rsidR="00BA6B5C" w:rsidRPr="006B42D6">
        <w:rPr>
          <w:spacing w:val="-2"/>
        </w:rPr>
        <w:t>.0</w:t>
      </w:r>
      <w:r w:rsidRPr="006B42D6">
        <w:rPr>
          <w:spacing w:val="-2"/>
        </w:rPr>
        <w:t xml:space="preserve"> percent) was the only region infected by </w:t>
      </w:r>
      <w:r w:rsidR="00BA6B5C" w:rsidRPr="006B42D6">
        <w:rPr>
          <w:w w:val="105"/>
        </w:rPr>
        <w:t>m</w:t>
      </w:r>
      <w:r w:rsidRPr="006B42D6">
        <w:rPr>
          <w:w w:val="105"/>
        </w:rPr>
        <w:t xml:space="preserve">ange </w:t>
      </w:r>
      <w:r w:rsidR="00BA6B5C" w:rsidRPr="006B42D6">
        <w:rPr>
          <w:w w:val="105"/>
        </w:rPr>
        <w:t>disease</w:t>
      </w:r>
      <w:r w:rsidRPr="006B42D6">
        <w:rPr>
          <w:w w:val="105"/>
        </w:rPr>
        <w:t xml:space="preserve"> (Table 4.1</w:t>
      </w:r>
      <w:r w:rsidR="00B70154">
        <w:rPr>
          <w:w w:val="105"/>
        </w:rPr>
        <w:t>7</w:t>
      </w:r>
      <w:r w:rsidRPr="006B42D6">
        <w:rPr>
          <w:w w:val="105"/>
        </w:rPr>
        <w:t>).</w:t>
      </w:r>
      <w:r w:rsidRPr="006B42D6">
        <w:rPr>
          <w:spacing w:val="-2"/>
        </w:rPr>
        <w:t xml:space="preserve"> </w:t>
      </w:r>
    </w:p>
    <w:p w14:paraId="15C26B04" w14:textId="0871720D" w:rsidR="000B0919" w:rsidRPr="00B70154" w:rsidRDefault="000B0919" w:rsidP="000B0919">
      <w:pPr>
        <w:pStyle w:val="ColorfulList-Accent11"/>
        <w:widowControl w:val="0"/>
        <w:numPr>
          <w:ilvl w:val="0"/>
          <w:numId w:val="7"/>
        </w:numPr>
        <w:autoSpaceDE w:val="0"/>
        <w:autoSpaceDN w:val="0"/>
        <w:adjustRightInd w:val="0"/>
        <w:spacing w:before="20" w:after="0" w:line="360" w:lineRule="auto"/>
        <w:rPr>
          <w:rFonts w:ascii="Times New Roman Bold" w:hAnsi="Times New Roman Bold" w:cs="Times New Roman Bold"/>
          <w:b/>
          <w:sz w:val="24"/>
          <w:szCs w:val="24"/>
        </w:rPr>
      </w:pPr>
      <w:r w:rsidRPr="00B70154">
        <w:rPr>
          <w:rFonts w:ascii="Times New Roman Bold" w:hAnsi="Times New Roman Bold" w:cs="Times New Roman Bold"/>
          <w:b/>
          <w:sz w:val="24"/>
          <w:szCs w:val="24"/>
        </w:rPr>
        <w:lastRenderedPageBreak/>
        <w:t>Foot and Mouth Disease (FMD)</w:t>
      </w:r>
      <w:r w:rsidRPr="00B70154">
        <w:rPr>
          <w:rFonts w:ascii="Times New Roman Bold" w:hAnsi="Times New Roman Bold" w:cs="Times New Roman Bold"/>
          <w:b/>
          <w:sz w:val="24"/>
          <w:szCs w:val="24"/>
        </w:rPr>
        <w:tab/>
      </w:r>
    </w:p>
    <w:p w14:paraId="5E902DA7" w14:textId="091965CD" w:rsidR="000B0919" w:rsidRPr="006B42D6" w:rsidRDefault="000B0919" w:rsidP="000B0919">
      <w:pPr>
        <w:tabs>
          <w:tab w:val="left" w:pos="1702"/>
        </w:tabs>
        <w:adjustRightInd w:val="0"/>
        <w:spacing w:before="20"/>
        <w:ind w:left="567"/>
        <w:rPr>
          <w:w w:val="105"/>
        </w:rPr>
      </w:pPr>
      <w:r w:rsidRPr="006B42D6">
        <w:rPr>
          <w:w w:val="105"/>
        </w:rPr>
        <w:t xml:space="preserve">The total number of households reported infection with </w:t>
      </w:r>
      <w:r w:rsidR="00BA6B5C" w:rsidRPr="006B42D6">
        <w:rPr>
          <w:w w:val="105"/>
        </w:rPr>
        <w:t>Foot and Mouth Disease (</w:t>
      </w:r>
      <w:r w:rsidRPr="006B42D6">
        <w:rPr>
          <w:w w:val="105"/>
        </w:rPr>
        <w:t>FMD</w:t>
      </w:r>
      <w:r w:rsidR="00BA6B5C" w:rsidRPr="006B42D6">
        <w:rPr>
          <w:w w:val="105"/>
        </w:rPr>
        <w:t>)</w:t>
      </w:r>
      <w:r w:rsidRPr="006B42D6">
        <w:rPr>
          <w:w w:val="105"/>
        </w:rPr>
        <w:t xml:space="preserve"> in their pigs was 5,078 in </w:t>
      </w:r>
      <w:r w:rsidR="00EA1552">
        <w:rPr>
          <w:lang w:eastAsia="en-GB"/>
        </w:rPr>
        <w:t>Mainland Tanzania</w:t>
      </w:r>
      <w:r w:rsidRPr="006B42D6">
        <w:rPr>
          <w:w w:val="105"/>
        </w:rPr>
        <w:t xml:space="preserve">, which represents 0.9 percent of the total pig rearing households during 2019/20 </w:t>
      </w:r>
      <w:r w:rsidR="00130466" w:rsidRPr="006B42D6">
        <w:rPr>
          <w:w w:val="105"/>
        </w:rPr>
        <w:t>a</w:t>
      </w:r>
      <w:r w:rsidRPr="006B42D6">
        <w:rPr>
          <w:w w:val="105"/>
        </w:rPr>
        <w:t xml:space="preserve">gricultural year, and there was no infection reported in </w:t>
      </w:r>
      <w:r w:rsidR="00327632" w:rsidRPr="006B42D6">
        <w:rPr>
          <w:lang w:eastAsia="en-GB"/>
        </w:rPr>
        <w:t xml:space="preserve">Tanzania </w:t>
      </w:r>
      <w:r w:rsidRPr="006B42D6">
        <w:rPr>
          <w:w w:val="105"/>
        </w:rPr>
        <w:t>Zanzibar</w:t>
      </w:r>
      <w:r w:rsidR="00BA6B5C" w:rsidRPr="006B42D6">
        <w:rPr>
          <w:w w:val="105"/>
        </w:rPr>
        <w:t>.</w:t>
      </w:r>
      <w:r w:rsidRPr="006B42D6">
        <w:rPr>
          <w:w w:val="105"/>
        </w:rPr>
        <w:t xml:space="preserve"> </w:t>
      </w:r>
    </w:p>
    <w:p w14:paraId="5C343828" w14:textId="77777777" w:rsidR="000B0919" w:rsidRPr="006B42D6" w:rsidRDefault="000B0919" w:rsidP="00141395">
      <w:pPr>
        <w:tabs>
          <w:tab w:val="left" w:pos="1702"/>
        </w:tabs>
        <w:adjustRightInd w:val="0"/>
        <w:spacing w:before="20" w:line="240" w:lineRule="auto"/>
        <w:ind w:left="567"/>
        <w:rPr>
          <w:w w:val="105"/>
        </w:rPr>
      </w:pPr>
    </w:p>
    <w:p w14:paraId="5A5B443A" w14:textId="5BD34137" w:rsidR="000B0919" w:rsidRPr="006B42D6" w:rsidRDefault="00BA6B5C" w:rsidP="000B0919">
      <w:pPr>
        <w:tabs>
          <w:tab w:val="left" w:pos="1702"/>
        </w:tabs>
        <w:adjustRightInd w:val="0"/>
        <w:spacing w:before="20"/>
        <w:ind w:left="567"/>
        <w:rPr>
          <w:w w:val="105"/>
        </w:rPr>
      </w:pPr>
      <w:r w:rsidRPr="006B42D6">
        <w:rPr>
          <w:w w:val="103"/>
        </w:rPr>
        <w:t>Furthermore, a</w:t>
      </w:r>
      <w:r w:rsidR="000B0919" w:rsidRPr="006B42D6">
        <w:rPr>
          <w:w w:val="103"/>
        </w:rPr>
        <w:t xml:space="preserve"> total of </w:t>
      </w:r>
      <w:r w:rsidR="000B0919" w:rsidRPr="006B42D6">
        <w:rPr>
          <w:w w:val="105"/>
        </w:rPr>
        <w:t xml:space="preserve">12,125 pigs </w:t>
      </w:r>
      <w:r w:rsidR="000B0919" w:rsidRPr="006B42D6">
        <w:rPr>
          <w:w w:val="103"/>
        </w:rPr>
        <w:t xml:space="preserve">were </w:t>
      </w:r>
      <w:r w:rsidR="000B0919" w:rsidRPr="006B42D6">
        <w:rPr>
          <w:w w:val="105"/>
        </w:rPr>
        <w:t xml:space="preserve">reported to be infected with FMD. </w:t>
      </w:r>
      <w:r w:rsidR="000B0919" w:rsidRPr="006B42D6">
        <w:rPr>
          <w:spacing w:val="-2"/>
        </w:rPr>
        <w:t xml:space="preserve">Mbeya region had the largest </w:t>
      </w:r>
      <w:r w:rsidR="000B0919" w:rsidRPr="006B42D6">
        <w:rPr>
          <w:w w:val="105"/>
        </w:rPr>
        <w:t xml:space="preserve">number of pigs infected with FMD </w:t>
      </w:r>
      <w:r w:rsidR="000B0919" w:rsidRPr="006B42D6">
        <w:rPr>
          <w:spacing w:val="-2"/>
        </w:rPr>
        <w:t xml:space="preserve">(3,284; 27.0 percent), </w:t>
      </w:r>
      <w:r w:rsidR="000B0919" w:rsidRPr="006B42D6">
        <w:rPr>
          <w:w w:val="105"/>
        </w:rPr>
        <w:t>followed by Iringa (2,837; 23.4 percent) and Kigoma (2,138; 17.6 percent). The lowest proportion of pigs’ infections was reported in Njombe region (323; 2.7 percent) (Table 4.1</w:t>
      </w:r>
      <w:r w:rsidR="00B70154">
        <w:rPr>
          <w:w w:val="105"/>
        </w:rPr>
        <w:t>7</w:t>
      </w:r>
      <w:r w:rsidR="000B0919" w:rsidRPr="006B42D6">
        <w:rPr>
          <w:w w:val="105"/>
        </w:rPr>
        <w:t>).</w:t>
      </w:r>
    </w:p>
    <w:p w14:paraId="62411446" w14:textId="77777777" w:rsidR="00130466" w:rsidRPr="006B42D6" w:rsidRDefault="00130466" w:rsidP="00141395">
      <w:pPr>
        <w:tabs>
          <w:tab w:val="left" w:pos="1702"/>
        </w:tabs>
        <w:adjustRightInd w:val="0"/>
        <w:spacing w:before="20" w:line="240" w:lineRule="auto"/>
        <w:ind w:left="567"/>
        <w:rPr>
          <w:w w:val="105"/>
        </w:rPr>
      </w:pPr>
    </w:p>
    <w:p w14:paraId="06F95624" w14:textId="77777777" w:rsidR="000E1363" w:rsidRPr="00AC6872" w:rsidRDefault="000E1363" w:rsidP="005C2EFC">
      <w:pPr>
        <w:pStyle w:val="ColorfulList-Accent11"/>
        <w:widowControl w:val="0"/>
        <w:numPr>
          <w:ilvl w:val="0"/>
          <w:numId w:val="7"/>
        </w:numPr>
        <w:autoSpaceDE w:val="0"/>
        <w:autoSpaceDN w:val="0"/>
        <w:adjustRightInd w:val="0"/>
        <w:spacing w:before="20" w:after="0" w:line="360" w:lineRule="auto"/>
        <w:rPr>
          <w:rFonts w:ascii="Times New Roman Bold" w:hAnsi="Times New Roman Bold" w:cs="Times New Roman Bold"/>
          <w:b/>
          <w:sz w:val="24"/>
          <w:szCs w:val="24"/>
        </w:rPr>
      </w:pPr>
      <w:r w:rsidRPr="00AC6872">
        <w:rPr>
          <w:rFonts w:ascii="Times New Roman Bold" w:hAnsi="Times New Roman Bold" w:cs="Times New Roman Bold"/>
          <w:b/>
          <w:sz w:val="24"/>
          <w:szCs w:val="24"/>
        </w:rPr>
        <w:t>Helminthiosis</w:t>
      </w:r>
    </w:p>
    <w:p w14:paraId="2EE79A0E" w14:textId="29972AA2" w:rsidR="00A61255" w:rsidRPr="006B42D6" w:rsidRDefault="00A61255" w:rsidP="00A61255">
      <w:pPr>
        <w:tabs>
          <w:tab w:val="left" w:pos="1702"/>
        </w:tabs>
        <w:adjustRightInd w:val="0"/>
        <w:spacing w:before="20"/>
        <w:ind w:left="567"/>
        <w:rPr>
          <w:w w:val="105"/>
        </w:rPr>
      </w:pPr>
      <w:r w:rsidRPr="006B42D6">
        <w:rPr>
          <w:w w:val="105"/>
        </w:rPr>
        <w:t xml:space="preserve">The total number of households reported </w:t>
      </w:r>
      <w:r w:rsidR="00BA6B5C" w:rsidRPr="006B42D6">
        <w:rPr>
          <w:w w:val="105"/>
        </w:rPr>
        <w:t>h</w:t>
      </w:r>
      <w:r w:rsidRPr="006B42D6">
        <w:rPr>
          <w:w w:val="105"/>
        </w:rPr>
        <w:t xml:space="preserve">elminthiosis infections in their pigs was 133,022 (132,965 in the </w:t>
      </w:r>
      <w:r w:rsidR="00EA1552">
        <w:rPr>
          <w:lang w:eastAsia="en-GB"/>
        </w:rPr>
        <w:t>Mainland Tanzania</w:t>
      </w:r>
      <w:r w:rsidRPr="006B42D6">
        <w:rPr>
          <w:w w:val="105"/>
        </w:rPr>
        <w:t xml:space="preserve"> and 57 in </w:t>
      </w:r>
      <w:r w:rsidR="00327632" w:rsidRPr="006B42D6">
        <w:rPr>
          <w:lang w:eastAsia="en-GB"/>
        </w:rPr>
        <w:t xml:space="preserve">Tanzania </w:t>
      </w:r>
      <w:r w:rsidRPr="006B42D6">
        <w:rPr>
          <w:w w:val="105"/>
        </w:rPr>
        <w:t xml:space="preserve">Zanzibar) which represents 24.8 percent of the total pig keeping households during </w:t>
      </w:r>
      <w:r w:rsidR="000120C9" w:rsidRPr="006B42D6">
        <w:rPr>
          <w:w w:val="105"/>
        </w:rPr>
        <w:t xml:space="preserve">2019/20 </w:t>
      </w:r>
      <w:r w:rsidR="00130466" w:rsidRPr="006B42D6">
        <w:rPr>
          <w:w w:val="105"/>
        </w:rPr>
        <w:t>a</w:t>
      </w:r>
      <w:r w:rsidRPr="006B42D6">
        <w:rPr>
          <w:w w:val="105"/>
        </w:rPr>
        <w:t xml:space="preserve">gricultural year. </w:t>
      </w:r>
    </w:p>
    <w:p w14:paraId="060DD0B3" w14:textId="77777777" w:rsidR="00A61255" w:rsidRPr="006B42D6" w:rsidRDefault="00A61255" w:rsidP="00141395">
      <w:pPr>
        <w:tabs>
          <w:tab w:val="left" w:pos="1702"/>
        </w:tabs>
        <w:adjustRightInd w:val="0"/>
        <w:spacing w:before="20" w:line="240" w:lineRule="auto"/>
        <w:ind w:left="567"/>
        <w:rPr>
          <w:w w:val="105"/>
        </w:rPr>
      </w:pPr>
    </w:p>
    <w:p w14:paraId="5B0C1B13" w14:textId="3BE54361" w:rsidR="00A61255" w:rsidRPr="006B42D6" w:rsidRDefault="00A61255" w:rsidP="00A61255">
      <w:pPr>
        <w:tabs>
          <w:tab w:val="left" w:pos="1702"/>
        </w:tabs>
        <w:adjustRightInd w:val="0"/>
        <w:spacing w:before="20"/>
        <w:ind w:left="567"/>
        <w:rPr>
          <w:spacing w:val="-2"/>
        </w:rPr>
      </w:pPr>
      <w:r w:rsidRPr="006B42D6">
        <w:rPr>
          <w:w w:val="103"/>
        </w:rPr>
        <w:t xml:space="preserve">A total number of </w:t>
      </w:r>
      <w:r w:rsidRPr="006B42D6">
        <w:rPr>
          <w:w w:val="105"/>
        </w:rPr>
        <w:t xml:space="preserve">808,803 pigs </w:t>
      </w:r>
      <w:r w:rsidRPr="006B42D6">
        <w:rPr>
          <w:w w:val="103"/>
        </w:rPr>
        <w:t xml:space="preserve">were </w:t>
      </w:r>
      <w:r w:rsidRPr="006B42D6">
        <w:rPr>
          <w:w w:val="105"/>
        </w:rPr>
        <w:t xml:space="preserve">reported to be infected with </w:t>
      </w:r>
      <w:r w:rsidR="00BA6B5C" w:rsidRPr="006B42D6">
        <w:rPr>
          <w:w w:val="105"/>
        </w:rPr>
        <w:t>h</w:t>
      </w:r>
      <w:r w:rsidRPr="006B42D6">
        <w:rPr>
          <w:w w:val="105"/>
        </w:rPr>
        <w:t>elminthiosis,</w:t>
      </w:r>
      <w:r w:rsidRPr="006B42D6">
        <w:rPr>
          <w:w w:val="103"/>
        </w:rPr>
        <w:t xml:space="preserve"> of which </w:t>
      </w:r>
      <w:r w:rsidRPr="006B42D6">
        <w:rPr>
          <w:w w:val="105"/>
        </w:rPr>
        <w:t xml:space="preserve">808,183 heads </w:t>
      </w:r>
      <w:r w:rsidRPr="006B42D6">
        <w:rPr>
          <w:spacing w:val="-2"/>
        </w:rPr>
        <w:t xml:space="preserve">in </w:t>
      </w:r>
      <w:r w:rsidR="00EA1552">
        <w:rPr>
          <w:lang w:eastAsia="en-GB"/>
        </w:rPr>
        <w:t>Mainland Tanzania</w:t>
      </w:r>
      <w:r w:rsidRPr="006B42D6">
        <w:rPr>
          <w:spacing w:val="-2"/>
        </w:rPr>
        <w:t xml:space="preserve"> and 620 heads in </w:t>
      </w:r>
      <w:r w:rsidR="00327632" w:rsidRPr="006B42D6">
        <w:rPr>
          <w:lang w:eastAsia="en-GB"/>
        </w:rPr>
        <w:t xml:space="preserve">Tanzania </w:t>
      </w:r>
      <w:r w:rsidRPr="006B42D6">
        <w:rPr>
          <w:spacing w:val="-2"/>
        </w:rPr>
        <w:t xml:space="preserve">Zanzibar. In </w:t>
      </w:r>
      <w:r w:rsidR="00EA1552">
        <w:rPr>
          <w:lang w:eastAsia="en-GB"/>
        </w:rPr>
        <w:t>Mainland Tanzania</w:t>
      </w:r>
      <w:r w:rsidRPr="006B42D6">
        <w:rPr>
          <w:spacing w:val="-2"/>
        </w:rPr>
        <w:t xml:space="preserve">, Ruvuma region had the largest </w:t>
      </w:r>
      <w:r w:rsidRPr="006B42D6">
        <w:rPr>
          <w:w w:val="105"/>
        </w:rPr>
        <w:t xml:space="preserve">number of pigs infected with </w:t>
      </w:r>
      <w:r w:rsidR="00BA6B5C" w:rsidRPr="006B42D6">
        <w:rPr>
          <w:w w:val="105"/>
        </w:rPr>
        <w:t>h</w:t>
      </w:r>
      <w:r w:rsidRPr="006B42D6">
        <w:rPr>
          <w:w w:val="105"/>
        </w:rPr>
        <w:t>elminthiosis (</w:t>
      </w:r>
      <w:r w:rsidRPr="006B42D6">
        <w:rPr>
          <w:spacing w:val="-2"/>
        </w:rPr>
        <w:t xml:space="preserve">102,971; 12.7 percent), </w:t>
      </w:r>
      <w:r w:rsidRPr="006B42D6">
        <w:rPr>
          <w:w w:val="105"/>
        </w:rPr>
        <w:t xml:space="preserve">followed by Kigoma (99,848; 12.4 percent) and Morogoro (92,941; 11.5 percent). The lowest proportion of pig infections was reported in Dar es Salaam region (1,139; 0.1percent). </w:t>
      </w:r>
      <w:r w:rsidRPr="006B42D6">
        <w:rPr>
          <w:spacing w:val="-2"/>
        </w:rPr>
        <w:t xml:space="preserve">In </w:t>
      </w:r>
      <w:r w:rsidR="00327632" w:rsidRPr="006B42D6">
        <w:rPr>
          <w:lang w:eastAsia="en-GB"/>
        </w:rPr>
        <w:t xml:space="preserve">Tanzania </w:t>
      </w:r>
      <w:r w:rsidRPr="006B42D6">
        <w:rPr>
          <w:spacing w:val="-2"/>
        </w:rPr>
        <w:t>Zanzibar, Kusini Unguja region with 620 heads (100</w:t>
      </w:r>
      <w:r w:rsidR="00BA6B5C" w:rsidRPr="006B42D6">
        <w:rPr>
          <w:spacing w:val="-2"/>
        </w:rPr>
        <w:t>.0</w:t>
      </w:r>
      <w:r w:rsidRPr="006B42D6">
        <w:rPr>
          <w:spacing w:val="-2"/>
        </w:rPr>
        <w:t xml:space="preserve"> percent) was the only region infected by </w:t>
      </w:r>
      <w:r w:rsidR="00BA6B5C" w:rsidRPr="006B42D6">
        <w:rPr>
          <w:w w:val="105"/>
        </w:rPr>
        <w:t>h</w:t>
      </w:r>
      <w:r w:rsidRPr="006B42D6">
        <w:rPr>
          <w:w w:val="105"/>
        </w:rPr>
        <w:t>elminthiosis</w:t>
      </w:r>
      <w:r w:rsidR="00FC74D9" w:rsidRPr="006B42D6">
        <w:rPr>
          <w:spacing w:val="-2"/>
        </w:rPr>
        <w:t xml:space="preserve"> (Map 4.</w:t>
      </w:r>
      <w:r w:rsidR="00C423EA" w:rsidRPr="006B42D6">
        <w:rPr>
          <w:spacing w:val="-2"/>
        </w:rPr>
        <w:t>2</w:t>
      </w:r>
      <w:r w:rsidR="00C90C5D">
        <w:rPr>
          <w:spacing w:val="-2"/>
        </w:rPr>
        <w:t>1</w:t>
      </w:r>
      <w:r w:rsidR="00FC74D9" w:rsidRPr="006B42D6">
        <w:rPr>
          <w:spacing w:val="-2"/>
        </w:rPr>
        <w:t>)</w:t>
      </w:r>
      <w:r w:rsidR="00C423EA" w:rsidRPr="006B42D6">
        <w:rPr>
          <w:spacing w:val="-2"/>
        </w:rPr>
        <w:t>.</w:t>
      </w:r>
    </w:p>
    <w:p w14:paraId="20B8BBF2" w14:textId="165FBF96" w:rsidR="00130466" w:rsidRPr="006B42D6" w:rsidRDefault="00130466">
      <w:pPr>
        <w:rPr>
          <w:w w:val="105"/>
        </w:rPr>
      </w:pPr>
      <w:r w:rsidRPr="006B42D6">
        <w:rPr>
          <w:w w:val="105"/>
        </w:rPr>
        <w:br w:type="page"/>
      </w:r>
    </w:p>
    <w:p w14:paraId="63BED594" w14:textId="58229A37" w:rsidR="000E1363" w:rsidRPr="00141395" w:rsidRDefault="000E1363" w:rsidP="009834FA">
      <w:pPr>
        <w:pStyle w:val="MapNew"/>
        <w:tabs>
          <w:tab w:val="left" w:pos="426"/>
        </w:tabs>
        <w:ind w:left="1140" w:right="-57" w:hanging="998"/>
      </w:pPr>
      <w:bookmarkStart w:id="667" w:name="_Toc80902576"/>
      <w:bookmarkStart w:id="668" w:name="_Toc82386494"/>
      <w:r w:rsidRPr="00141395">
        <w:lastRenderedPageBreak/>
        <w:t xml:space="preserve">Map </w:t>
      </w:r>
      <w:r w:rsidR="00912C90" w:rsidRPr="00141395">
        <w:t>4.</w:t>
      </w:r>
      <w:r w:rsidR="00C423EA" w:rsidRPr="00141395">
        <w:t>2</w:t>
      </w:r>
      <w:r w:rsidR="00C90C5D">
        <w:t>1</w:t>
      </w:r>
      <w:r w:rsidR="00141395">
        <w:t>:</w:t>
      </w:r>
      <w:r w:rsidR="00141395">
        <w:tab/>
      </w:r>
      <w:r w:rsidRPr="00141395">
        <w:t xml:space="preserve">Number of Households </w:t>
      </w:r>
      <w:r w:rsidR="00327632" w:rsidRPr="00141395">
        <w:t>R</w:t>
      </w:r>
      <w:r w:rsidRPr="00141395">
        <w:t>eport</w:t>
      </w:r>
      <w:r w:rsidR="00130466" w:rsidRPr="00141395">
        <w:t>ed</w:t>
      </w:r>
      <w:r w:rsidRPr="00141395">
        <w:t xml:space="preserve"> Helminthiosis </w:t>
      </w:r>
      <w:r w:rsidR="00327632" w:rsidRPr="00141395">
        <w:t>D</w:t>
      </w:r>
      <w:r w:rsidRPr="00141395">
        <w:t xml:space="preserve">isease </w:t>
      </w:r>
      <w:r w:rsidR="00130466" w:rsidRPr="00141395">
        <w:t xml:space="preserve">Infections </w:t>
      </w:r>
      <w:r w:rsidR="00327632" w:rsidRPr="00141395">
        <w:t>D</w:t>
      </w:r>
      <w:r w:rsidRPr="00141395">
        <w:t>uring 2019/20 Agricultural</w:t>
      </w:r>
      <w:r w:rsidR="0059202E" w:rsidRPr="00141395">
        <w:t xml:space="preserve"> </w:t>
      </w:r>
      <w:r w:rsidR="00912C90" w:rsidRPr="00141395">
        <w:t>Y</w:t>
      </w:r>
      <w:r w:rsidRPr="00141395">
        <w:t>ear</w:t>
      </w:r>
      <w:r w:rsidR="00327632" w:rsidRPr="00141395">
        <w:t>, Tanzania</w:t>
      </w:r>
      <w:bookmarkEnd w:id="667"/>
      <w:bookmarkEnd w:id="668"/>
    </w:p>
    <w:p w14:paraId="719E0A2D" w14:textId="51C0378C" w:rsidR="000D674E" w:rsidRPr="006B42D6" w:rsidRDefault="00890203" w:rsidP="005C2EFC">
      <w:pPr>
        <w:tabs>
          <w:tab w:val="left" w:pos="5993"/>
          <w:tab w:val="left" w:pos="8355"/>
        </w:tabs>
        <w:adjustRightInd w:val="0"/>
        <w:spacing w:before="106"/>
        <w:ind w:left="142" w:right="-472"/>
      </w:pPr>
      <w:r>
        <w:rPr>
          <w:noProof/>
        </w:rPr>
        <w:drawing>
          <wp:inline distT="0" distB="0" distL="0" distR="0" wp14:anchorId="561FD791" wp14:editId="1780738D">
            <wp:extent cx="5880538" cy="4221480"/>
            <wp:effectExtent l="0" t="0" r="0" b="0"/>
            <wp:docPr id="4386" name="Picture 4386"/>
            <wp:cNvGraphicFramePr/>
            <a:graphic xmlns:a="http://schemas.openxmlformats.org/drawingml/2006/main">
              <a:graphicData uri="http://schemas.openxmlformats.org/drawingml/2006/picture">
                <pic:pic xmlns:pic="http://schemas.openxmlformats.org/drawingml/2006/picture">
                  <pic:nvPicPr>
                    <pic:cNvPr id="4386" name="Picture 4386"/>
                    <pic:cNvPicPr/>
                  </pic:nvPicPr>
                  <pic:blipFill>
                    <a:blip r:embed="rId308"/>
                    <a:stretch>
                      <a:fillRect/>
                    </a:stretch>
                  </pic:blipFill>
                  <pic:spPr>
                    <a:xfrm>
                      <a:off x="0" y="0"/>
                      <a:ext cx="5886643" cy="4225863"/>
                    </a:xfrm>
                    <a:prstGeom prst="rect">
                      <a:avLst/>
                    </a:prstGeom>
                  </pic:spPr>
                </pic:pic>
              </a:graphicData>
            </a:graphic>
          </wp:inline>
        </w:drawing>
      </w:r>
    </w:p>
    <w:p w14:paraId="33B57254" w14:textId="77777777" w:rsidR="000E1363" w:rsidRPr="006B42D6" w:rsidRDefault="000E1363" w:rsidP="009834FA">
      <w:pPr>
        <w:tabs>
          <w:tab w:val="left" w:pos="5993"/>
          <w:tab w:val="left" w:pos="8355"/>
        </w:tabs>
        <w:adjustRightInd w:val="0"/>
        <w:spacing w:before="106" w:line="240" w:lineRule="auto"/>
        <w:ind w:left="142" w:right="-472"/>
      </w:pPr>
    </w:p>
    <w:p w14:paraId="725D3955" w14:textId="543DE196" w:rsidR="00EB71E9" w:rsidRPr="006B42D6" w:rsidRDefault="00893F80" w:rsidP="00893F80">
      <w:pPr>
        <w:pStyle w:val="Heading4"/>
      </w:pPr>
      <w:bookmarkStart w:id="669" w:name="_Toc82385762"/>
      <w:r w:rsidRPr="006B42D6">
        <w:t>4.</w:t>
      </w:r>
      <w:r w:rsidR="00130466" w:rsidRPr="006B42D6">
        <w:t>5</w:t>
      </w:r>
      <w:r w:rsidRPr="006B42D6">
        <w:t>.1.5</w:t>
      </w:r>
      <w:r w:rsidRPr="006B42D6">
        <w:tab/>
      </w:r>
      <w:r w:rsidR="00EB71E9" w:rsidRPr="006B42D6">
        <w:t xml:space="preserve">Poultry </w:t>
      </w:r>
      <w:r w:rsidR="00912C90" w:rsidRPr="006B42D6">
        <w:t>D</w:t>
      </w:r>
      <w:r w:rsidR="00EB71E9" w:rsidRPr="006B42D6">
        <w:t>iseases</w:t>
      </w:r>
      <w:bookmarkEnd w:id="669"/>
    </w:p>
    <w:p w14:paraId="68C19857" w14:textId="03311BBE" w:rsidR="00EB71E9" w:rsidRPr="006B42D6" w:rsidRDefault="00EB71E9" w:rsidP="00EB71E9">
      <w:pPr>
        <w:tabs>
          <w:tab w:val="left" w:pos="1702"/>
        </w:tabs>
        <w:adjustRightInd w:val="0"/>
        <w:spacing w:before="20"/>
        <w:rPr>
          <w:w w:val="103"/>
          <w:lang w:val="en-GB" w:eastAsia="en-GB"/>
        </w:rPr>
      </w:pPr>
      <w:r w:rsidRPr="006B42D6">
        <w:rPr>
          <w:w w:val="103"/>
          <w:lang w:val="en-GB" w:eastAsia="en-GB"/>
        </w:rPr>
        <w:t xml:space="preserve">The census results show that, in Tanzania Newcastle </w:t>
      </w:r>
      <w:r w:rsidR="00BA6B5C" w:rsidRPr="006B42D6">
        <w:rPr>
          <w:w w:val="103"/>
          <w:lang w:val="en-GB" w:eastAsia="en-GB"/>
        </w:rPr>
        <w:t>D</w:t>
      </w:r>
      <w:r w:rsidRPr="006B42D6">
        <w:rPr>
          <w:w w:val="103"/>
          <w:lang w:val="en-GB" w:eastAsia="en-GB"/>
        </w:rPr>
        <w:t>isease</w:t>
      </w:r>
      <w:r w:rsidR="00BA6B5C" w:rsidRPr="006B42D6">
        <w:rPr>
          <w:w w:val="103"/>
          <w:lang w:val="en-GB" w:eastAsia="en-GB"/>
        </w:rPr>
        <w:t xml:space="preserve"> (NCD)</w:t>
      </w:r>
      <w:r w:rsidRPr="006B42D6">
        <w:rPr>
          <w:w w:val="103"/>
          <w:lang w:val="en-GB" w:eastAsia="en-GB"/>
        </w:rPr>
        <w:t xml:space="preserve"> was highly reported by poultry keeping households (1,918,622; 42.1 percent), followed by fowl pox (560,008; 12.3 percent) and coryza (429,622; 9.4 percent). Fowl typhoid had least number of households (89,195; 2.0 percent) reported to affect poultry. Similarly, the number of poultry infected by Newcastle </w:t>
      </w:r>
      <w:r w:rsidR="00BA6B5C" w:rsidRPr="006B42D6">
        <w:rPr>
          <w:w w:val="103"/>
          <w:lang w:val="en-GB" w:eastAsia="en-GB"/>
        </w:rPr>
        <w:t>D</w:t>
      </w:r>
      <w:r w:rsidRPr="006B42D6">
        <w:rPr>
          <w:w w:val="103"/>
          <w:lang w:val="en-GB" w:eastAsia="en-GB"/>
        </w:rPr>
        <w:t>isease was highe</w:t>
      </w:r>
      <w:r w:rsidR="006E59C1" w:rsidRPr="006B42D6">
        <w:rPr>
          <w:w w:val="103"/>
          <w:lang w:val="en-GB" w:eastAsia="en-GB"/>
        </w:rPr>
        <w:t>st</w:t>
      </w:r>
      <w:r w:rsidRPr="006B42D6">
        <w:rPr>
          <w:w w:val="103"/>
          <w:lang w:val="en-GB" w:eastAsia="en-GB"/>
        </w:rPr>
        <w:t xml:space="preserve"> (48,195,341)</w:t>
      </w:r>
      <w:r w:rsidR="006E59C1" w:rsidRPr="006B42D6">
        <w:rPr>
          <w:w w:val="103"/>
          <w:lang w:val="en-GB" w:eastAsia="en-GB"/>
        </w:rPr>
        <w:t>, followed by</w:t>
      </w:r>
      <w:r w:rsidRPr="006B42D6">
        <w:rPr>
          <w:w w:val="103"/>
          <w:lang w:val="en-GB" w:eastAsia="en-GB"/>
        </w:rPr>
        <w:t xml:space="preserve"> </w:t>
      </w:r>
      <w:r w:rsidR="00BA6B5C" w:rsidRPr="006B42D6">
        <w:rPr>
          <w:w w:val="103"/>
          <w:lang w:val="en-GB" w:eastAsia="en-GB"/>
        </w:rPr>
        <w:t>f</w:t>
      </w:r>
      <w:r w:rsidRPr="006B42D6">
        <w:rPr>
          <w:w w:val="103"/>
          <w:lang w:val="en-GB" w:eastAsia="en-GB"/>
        </w:rPr>
        <w:t>owl pox (13,897,171)</w:t>
      </w:r>
      <w:r w:rsidR="006E59C1" w:rsidRPr="006B42D6">
        <w:rPr>
          <w:w w:val="103"/>
          <w:lang w:val="en-GB" w:eastAsia="en-GB"/>
        </w:rPr>
        <w:t xml:space="preserve"> </w:t>
      </w:r>
      <w:r w:rsidR="009914CB" w:rsidRPr="006B42D6">
        <w:rPr>
          <w:w w:val="103"/>
          <w:lang w:val="en-GB" w:eastAsia="en-GB"/>
        </w:rPr>
        <w:t>and coryza</w:t>
      </w:r>
      <w:r w:rsidRPr="006B42D6">
        <w:rPr>
          <w:w w:val="103"/>
          <w:lang w:val="en-GB" w:eastAsia="en-GB"/>
        </w:rPr>
        <w:t xml:space="preserve"> (9,388,535)</w:t>
      </w:r>
      <w:r w:rsidR="006E59C1" w:rsidRPr="006B42D6">
        <w:rPr>
          <w:w w:val="103"/>
          <w:lang w:val="en-GB" w:eastAsia="en-GB"/>
        </w:rPr>
        <w:t>,</w:t>
      </w:r>
      <w:r w:rsidRPr="006B42D6">
        <w:rPr>
          <w:w w:val="103"/>
          <w:lang w:val="en-GB" w:eastAsia="en-GB"/>
        </w:rPr>
        <w:t xml:space="preserve"> while </w:t>
      </w:r>
      <w:r w:rsidR="00BA6B5C" w:rsidRPr="006B42D6">
        <w:rPr>
          <w:w w:val="103"/>
          <w:lang w:val="en-GB" w:eastAsia="en-GB"/>
        </w:rPr>
        <w:t>f</w:t>
      </w:r>
      <w:r w:rsidRPr="006B42D6">
        <w:rPr>
          <w:w w:val="103"/>
          <w:lang w:val="en-GB" w:eastAsia="en-GB"/>
        </w:rPr>
        <w:t>owl typhoid (2,136,03</w:t>
      </w:r>
      <w:r w:rsidR="006A3706">
        <w:rPr>
          <w:w w:val="103"/>
          <w:lang w:val="en-GB" w:eastAsia="en-GB"/>
        </w:rPr>
        <w:t>1</w:t>
      </w:r>
      <w:r w:rsidRPr="006B42D6">
        <w:rPr>
          <w:w w:val="103"/>
          <w:lang w:val="en-GB" w:eastAsia="en-GB"/>
        </w:rPr>
        <w:t>) had the least number of poultry infected</w:t>
      </w:r>
      <w:r w:rsidR="006E59C1" w:rsidRPr="006B42D6">
        <w:rPr>
          <w:w w:val="103"/>
          <w:lang w:val="en-GB" w:eastAsia="en-GB"/>
        </w:rPr>
        <w:t>.</w:t>
      </w:r>
    </w:p>
    <w:p w14:paraId="65FE2987" w14:textId="77777777" w:rsidR="00EB71E9" w:rsidRPr="006B42D6" w:rsidRDefault="00EB71E9" w:rsidP="00141395">
      <w:pPr>
        <w:tabs>
          <w:tab w:val="left" w:pos="1702"/>
        </w:tabs>
        <w:adjustRightInd w:val="0"/>
        <w:spacing w:before="20" w:line="240" w:lineRule="auto"/>
        <w:rPr>
          <w:w w:val="103"/>
          <w:lang w:val="en-GB" w:eastAsia="en-GB"/>
        </w:rPr>
      </w:pPr>
    </w:p>
    <w:p w14:paraId="628C1DC5" w14:textId="6AA65828" w:rsidR="00EB71E9" w:rsidRDefault="00EB71E9" w:rsidP="00EB71E9">
      <w:pPr>
        <w:tabs>
          <w:tab w:val="left" w:pos="1702"/>
        </w:tabs>
        <w:adjustRightInd w:val="0"/>
        <w:spacing w:before="20"/>
        <w:rPr>
          <w:w w:val="103"/>
          <w:lang w:val="en-GB" w:eastAsia="en-GB"/>
        </w:rPr>
      </w:pPr>
      <w:r w:rsidRPr="006B42D6">
        <w:rPr>
          <w:w w:val="103"/>
          <w:lang w:val="en-GB" w:eastAsia="en-GB"/>
        </w:rPr>
        <w:t xml:space="preserve">In </w:t>
      </w:r>
      <w:r w:rsidR="00EA1552">
        <w:rPr>
          <w:lang w:eastAsia="en-GB"/>
        </w:rPr>
        <w:t>Mainland Tanzania</w:t>
      </w:r>
      <w:r w:rsidRPr="006B42D6">
        <w:rPr>
          <w:w w:val="103"/>
          <w:lang w:val="en-GB" w:eastAsia="en-GB"/>
        </w:rPr>
        <w:t xml:space="preserve">, Newcastle </w:t>
      </w:r>
      <w:r w:rsidR="00BA6B5C" w:rsidRPr="006B42D6">
        <w:rPr>
          <w:w w:val="103"/>
          <w:lang w:val="en-GB" w:eastAsia="en-GB"/>
        </w:rPr>
        <w:t>D</w:t>
      </w:r>
      <w:r w:rsidRPr="006B42D6">
        <w:rPr>
          <w:w w:val="103"/>
          <w:lang w:val="en-GB" w:eastAsia="en-GB"/>
        </w:rPr>
        <w:t>isease was mostly reported</w:t>
      </w:r>
      <w:r w:rsidR="00CD2179" w:rsidRPr="006B42D6">
        <w:rPr>
          <w:w w:val="103"/>
          <w:lang w:val="en-GB" w:eastAsia="en-GB"/>
        </w:rPr>
        <w:t xml:space="preserve"> by</w:t>
      </w:r>
      <w:r w:rsidRPr="006B42D6">
        <w:rPr>
          <w:w w:val="103"/>
          <w:lang w:val="en-GB" w:eastAsia="en-GB"/>
        </w:rPr>
        <w:t xml:space="preserve"> </w:t>
      </w:r>
      <w:r w:rsidR="00CD2179" w:rsidRPr="006B42D6">
        <w:rPr>
          <w:w w:val="103"/>
          <w:lang w:val="en-GB" w:eastAsia="en-GB"/>
        </w:rPr>
        <w:t xml:space="preserve">households </w:t>
      </w:r>
      <w:r w:rsidRPr="006B42D6">
        <w:rPr>
          <w:w w:val="103"/>
          <w:lang w:val="en-GB" w:eastAsia="en-GB"/>
        </w:rPr>
        <w:t xml:space="preserve">(1,858,311; 41.8 percent) to affect </w:t>
      </w:r>
      <w:r w:rsidR="009914CB" w:rsidRPr="006B42D6">
        <w:rPr>
          <w:w w:val="103"/>
          <w:lang w:val="en-GB" w:eastAsia="en-GB"/>
        </w:rPr>
        <w:t>poultry</w:t>
      </w:r>
      <w:r w:rsidRPr="006B42D6">
        <w:rPr>
          <w:w w:val="103"/>
          <w:lang w:val="en-GB" w:eastAsia="en-GB"/>
        </w:rPr>
        <w:t xml:space="preserve"> during 2019/20 agriculture year, followed by fowl pox (551,508; 12.4 percent) and coryza (411,533; 9.2 percent). Fowl typhoid (86,758; 1.9 percent) had least number of households reported to affect poultry, followed by gumboro (100,416 households; 2.2 percent). Similarly, the number of poultry infected by Newcastle </w:t>
      </w:r>
      <w:r w:rsidR="00BA6B5C" w:rsidRPr="006B42D6">
        <w:rPr>
          <w:w w:val="103"/>
          <w:lang w:val="en-GB" w:eastAsia="en-GB"/>
        </w:rPr>
        <w:t>D</w:t>
      </w:r>
      <w:r w:rsidRPr="006B42D6">
        <w:rPr>
          <w:w w:val="103"/>
          <w:lang w:val="en-GB" w:eastAsia="en-GB"/>
        </w:rPr>
        <w:t xml:space="preserve">isease was higher (47,073,133 birds) compared to other diseases. Fowl pox was the </w:t>
      </w:r>
      <w:r w:rsidRPr="006B42D6">
        <w:rPr>
          <w:w w:val="103"/>
          <w:lang w:val="en-GB" w:eastAsia="en-GB"/>
        </w:rPr>
        <w:lastRenderedPageBreak/>
        <w:t>second disease with large number (13,823,946 birds) of poultry infected, followed by coryza (9,041,801 birds)</w:t>
      </w:r>
      <w:r w:rsidR="00BA6B5C" w:rsidRPr="006B42D6">
        <w:rPr>
          <w:w w:val="103"/>
          <w:lang w:val="en-GB" w:eastAsia="en-GB"/>
        </w:rPr>
        <w:t>,</w:t>
      </w:r>
      <w:r w:rsidRPr="006B42D6">
        <w:rPr>
          <w:w w:val="103"/>
          <w:lang w:val="en-GB" w:eastAsia="en-GB"/>
        </w:rPr>
        <w:t xml:space="preserve"> while </w:t>
      </w:r>
      <w:r w:rsidR="00BA6B5C" w:rsidRPr="006B42D6">
        <w:rPr>
          <w:w w:val="103"/>
          <w:lang w:val="en-GB" w:eastAsia="en-GB"/>
        </w:rPr>
        <w:t>f</w:t>
      </w:r>
      <w:r w:rsidRPr="006B42D6">
        <w:rPr>
          <w:w w:val="103"/>
          <w:lang w:val="en-GB" w:eastAsia="en-GB"/>
        </w:rPr>
        <w:t>owl typhoid (2,104,320) had the least number of poultry infected</w:t>
      </w:r>
      <w:r w:rsidR="00BA6B5C" w:rsidRPr="006B42D6">
        <w:rPr>
          <w:w w:val="103"/>
          <w:lang w:val="en-GB" w:eastAsia="en-GB"/>
        </w:rPr>
        <w:t>.</w:t>
      </w:r>
      <w:r w:rsidRPr="006B42D6">
        <w:rPr>
          <w:w w:val="103"/>
          <w:lang w:val="en-GB" w:eastAsia="en-GB"/>
        </w:rPr>
        <w:t xml:space="preserve"> </w:t>
      </w:r>
    </w:p>
    <w:p w14:paraId="0A90F3BD" w14:textId="77777777" w:rsidR="009834FA" w:rsidRDefault="009834FA" w:rsidP="00EB71E9">
      <w:pPr>
        <w:tabs>
          <w:tab w:val="left" w:pos="1702"/>
        </w:tabs>
        <w:adjustRightInd w:val="0"/>
        <w:spacing w:before="20"/>
        <w:rPr>
          <w:w w:val="103"/>
          <w:lang w:val="en-GB" w:eastAsia="en-GB"/>
        </w:rPr>
      </w:pPr>
    </w:p>
    <w:p w14:paraId="3C95BAF3" w14:textId="254B093C" w:rsidR="00EB71E9" w:rsidRPr="006B42D6" w:rsidRDefault="00EB71E9" w:rsidP="00EB71E9">
      <w:pPr>
        <w:tabs>
          <w:tab w:val="left" w:pos="1702"/>
        </w:tabs>
        <w:adjustRightInd w:val="0"/>
        <w:spacing w:before="20"/>
        <w:rPr>
          <w:w w:val="103"/>
          <w:lang w:val="en-GB" w:eastAsia="en-GB"/>
        </w:rPr>
      </w:pPr>
      <w:r w:rsidRPr="006B42D6">
        <w:rPr>
          <w:w w:val="103"/>
          <w:lang w:val="en-GB" w:eastAsia="en-GB"/>
        </w:rPr>
        <w:t xml:space="preserve">In </w:t>
      </w:r>
      <w:r w:rsidR="00327632" w:rsidRPr="006B42D6">
        <w:rPr>
          <w:lang w:eastAsia="en-GB"/>
        </w:rPr>
        <w:t xml:space="preserve">Tanzania </w:t>
      </w:r>
      <w:r w:rsidRPr="006B42D6">
        <w:rPr>
          <w:w w:val="103"/>
          <w:lang w:val="en-GB" w:eastAsia="en-GB"/>
        </w:rPr>
        <w:t xml:space="preserve">Zanzibar, Newcastle </w:t>
      </w:r>
      <w:r w:rsidR="00BA6B5C" w:rsidRPr="006B42D6">
        <w:rPr>
          <w:w w:val="103"/>
          <w:lang w:val="en-GB" w:eastAsia="en-GB"/>
        </w:rPr>
        <w:t>D</w:t>
      </w:r>
      <w:r w:rsidRPr="006B42D6">
        <w:rPr>
          <w:w w:val="103"/>
          <w:lang w:val="en-GB" w:eastAsia="en-GB"/>
        </w:rPr>
        <w:t>isease was mostly reported</w:t>
      </w:r>
      <w:r w:rsidR="009914CB" w:rsidRPr="006B42D6">
        <w:rPr>
          <w:w w:val="103"/>
          <w:lang w:val="en-GB" w:eastAsia="en-GB"/>
        </w:rPr>
        <w:t xml:space="preserve"> by households </w:t>
      </w:r>
      <w:r w:rsidRPr="006B42D6">
        <w:rPr>
          <w:w w:val="103"/>
          <w:lang w:val="en-GB" w:eastAsia="en-GB"/>
        </w:rPr>
        <w:t>(60,312</w:t>
      </w:r>
      <w:r w:rsidR="009914CB" w:rsidRPr="006B42D6">
        <w:rPr>
          <w:w w:val="103"/>
          <w:lang w:val="en-GB" w:eastAsia="en-GB"/>
        </w:rPr>
        <w:t>;</w:t>
      </w:r>
      <w:r w:rsidRPr="006B42D6">
        <w:rPr>
          <w:w w:val="103"/>
          <w:lang w:val="en-GB" w:eastAsia="en-GB"/>
        </w:rPr>
        <w:t xml:space="preserve"> 58.3 percent) to affect </w:t>
      </w:r>
      <w:r w:rsidR="009914CB" w:rsidRPr="006B42D6">
        <w:rPr>
          <w:w w:val="103"/>
          <w:lang w:val="en-GB" w:eastAsia="en-GB"/>
        </w:rPr>
        <w:t>poultry</w:t>
      </w:r>
      <w:r w:rsidRPr="006B42D6">
        <w:rPr>
          <w:w w:val="103"/>
          <w:lang w:val="en-GB" w:eastAsia="en-GB"/>
        </w:rPr>
        <w:t xml:space="preserve"> during 2019/20 agriculture year, followed by coryza (18,088; 17.5 percent) and fowl pox (8,500; 8.2 percent). Coccidiosis (430; 0.4 percent) had the least number of households reported to affect poultry</w:t>
      </w:r>
      <w:r w:rsidR="00BA6B5C" w:rsidRPr="006B42D6">
        <w:rPr>
          <w:w w:val="103"/>
          <w:lang w:val="en-GB" w:eastAsia="en-GB"/>
        </w:rPr>
        <w:t>,</w:t>
      </w:r>
      <w:r w:rsidRPr="006B42D6">
        <w:rPr>
          <w:w w:val="103"/>
          <w:lang w:val="en-GB" w:eastAsia="en-GB"/>
        </w:rPr>
        <w:t xml:space="preserve"> followed by fowl pox (8,500; 8.2 percent Similarly, the number of poultry infected by Newcastle </w:t>
      </w:r>
      <w:r w:rsidR="00BA6B5C" w:rsidRPr="006B42D6">
        <w:rPr>
          <w:w w:val="103"/>
          <w:lang w:val="en-GB" w:eastAsia="en-GB"/>
        </w:rPr>
        <w:t>D</w:t>
      </w:r>
      <w:r w:rsidRPr="006B42D6">
        <w:rPr>
          <w:w w:val="103"/>
          <w:lang w:val="en-GB" w:eastAsia="en-GB"/>
        </w:rPr>
        <w:t>isease was higher (1,122,208) compared to other diseases. Coryza was the second disease with large number (346,734 birds) of poultry infected</w:t>
      </w:r>
      <w:r w:rsidR="00BA6B5C" w:rsidRPr="006B42D6">
        <w:rPr>
          <w:w w:val="103"/>
          <w:lang w:val="en-GB" w:eastAsia="en-GB"/>
        </w:rPr>
        <w:t>,</w:t>
      </w:r>
      <w:r w:rsidRPr="006B42D6">
        <w:rPr>
          <w:w w:val="103"/>
          <w:lang w:val="en-GB" w:eastAsia="en-GB"/>
        </w:rPr>
        <w:t xml:space="preserve"> followed by fowl pox (73,255)</w:t>
      </w:r>
      <w:r w:rsidR="00BA6B5C" w:rsidRPr="006B42D6">
        <w:rPr>
          <w:w w:val="103"/>
          <w:lang w:val="en-GB" w:eastAsia="en-GB"/>
        </w:rPr>
        <w:t>,</w:t>
      </w:r>
      <w:r w:rsidRPr="006B42D6">
        <w:rPr>
          <w:w w:val="103"/>
          <w:lang w:val="en-GB" w:eastAsia="en-GB"/>
        </w:rPr>
        <w:t xml:space="preserve"> while coccidiosis (5,211) had the least number of poultry infected (Table </w:t>
      </w:r>
      <w:r w:rsidR="00912C90" w:rsidRPr="006B42D6">
        <w:rPr>
          <w:w w:val="103"/>
          <w:lang w:val="en-GB" w:eastAsia="en-GB"/>
        </w:rPr>
        <w:t>4.1</w:t>
      </w:r>
      <w:r w:rsidR="00B70154">
        <w:rPr>
          <w:w w:val="103"/>
          <w:lang w:val="en-GB" w:eastAsia="en-GB"/>
        </w:rPr>
        <w:t>8</w:t>
      </w:r>
      <w:r w:rsidRPr="006B42D6">
        <w:rPr>
          <w:w w:val="103"/>
          <w:lang w:val="en-GB" w:eastAsia="en-GB"/>
        </w:rPr>
        <w:t>)</w:t>
      </w:r>
      <w:r w:rsidR="00BA6B5C" w:rsidRPr="006B42D6">
        <w:rPr>
          <w:w w:val="103"/>
          <w:lang w:val="en-GB" w:eastAsia="en-GB"/>
        </w:rPr>
        <w:t>.</w:t>
      </w:r>
    </w:p>
    <w:p w14:paraId="5731BE23" w14:textId="77777777" w:rsidR="00EB71E9" w:rsidRPr="006B42D6" w:rsidRDefault="00EB71E9" w:rsidP="000B4646">
      <w:pPr>
        <w:spacing w:line="240" w:lineRule="auto"/>
        <w:rPr>
          <w:w w:val="103"/>
          <w:lang w:val="en-GB" w:eastAsia="en-GB"/>
        </w:rPr>
      </w:pPr>
    </w:p>
    <w:p w14:paraId="2A5837F5" w14:textId="2F09C99B" w:rsidR="00EB71E9" w:rsidRPr="006B42D6" w:rsidRDefault="00EB71E9" w:rsidP="00141395">
      <w:pPr>
        <w:pStyle w:val="Heading7"/>
        <w:rPr>
          <w:w w:val="103"/>
          <w:lang w:val="en-GB" w:eastAsia="en-GB"/>
        </w:rPr>
      </w:pPr>
      <w:bookmarkStart w:id="670" w:name="_Toc82386226"/>
      <w:r w:rsidRPr="006B42D6">
        <w:rPr>
          <w:w w:val="103"/>
          <w:lang w:val="en-GB" w:eastAsia="en-GB"/>
        </w:rPr>
        <w:t xml:space="preserve">Table </w:t>
      </w:r>
      <w:r w:rsidR="00912C90" w:rsidRPr="006B42D6">
        <w:rPr>
          <w:w w:val="103"/>
          <w:lang w:val="en-GB" w:eastAsia="en-GB"/>
        </w:rPr>
        <w:t>4.1</w:t>
      </w:r>
      <w:r w:rsidR="002C0E50">
        <w:rPr>
          <w:w w:val="103"/>
          <w:lang w:val="en-GB" w:eastAsia="en-GB"/>
        </w:rPr>
        <w:t>8</w:t>
      </w:r>
      <w:r w:rsidR="00141395">
        <w:rPr>
          <w:w w:val="103"/>
          <w:lang w:val="en-GB" w:eastAsia="en-GB"/>
        </w:rPr>
        <w:t>:</w:t>
      </w:r>
      <w:r w:rsidR="00141395">
        <w:rPr>
          <w:w w:val="103"/>
          <w:lang w:val="en-GB" w:eastAsia="en-GB"/>
        </w:rPr>
        <w:tab/>
      </w:r>
      <w:r w:rsidRPr="006B42D6">
        <w:rPr>
          <w:w w:val="103"/>
          <w:lang w:val="en-GB" w:eastAsia="en-GB"/>
        </w:rPr>
        <w:t xml:space="preserve">Number of Households Reported Occurrence of Diseases and Number </w:t>
      </w:r>
      <w:r w:rsidR="00991B4F" w:rsidRPr="006B42D6">
        <w:rPr>
          <w:w w:val="103"/>
          <w:lang w:val="en-GB" w:eastAsia="en-GB"/>
        </w:rPr>
        <w:t xml:space="preserve">of Poultry </w:t>
      </w:r>
      <w:r w:rsidR="00912C90" w:rsidRPr="006B42D6">
        <w:rPr>
          <w:w w:val="103"/>
          <w:lang w:val="en-GB" w:eastAsia="en-GB"/>
        </w:rPr>
        <w:t>I</w:t>
      </w:r>
      <w:r w:rsidRPr="006B42D6">
        <w:rPr>
          <w:w w:val="103"/>
          <w:lang w:val="en-GB" w:eastAsia="en-GB"/>
        </w:rPr>
        <w:t>nfected by Type of Disease</w:t>
      </w:r>
      <w:r w:rsidR="00327632" w:rsidRPr="006B42D6">
        <w:rPr>
          <w:w w:val="103"/>
          <w:lang w:val="en-GB" w:eastAsia="en-GB"/>
        </w:rPr>
        <w:t xml:space="preserve"> During 2019/20 Agricultural Year, Tanzania</w:t>
      </w:r>
      <w:bookmarkEnd w:id="670"/>
    </w:p>
    <w:tbl>
      <w:tblPr>
        <w:tblW w:w="5000" w:type="pct"/>
        <w:tblLook w:val="04A0" w:firstRow="1" w:lastRow="0" w:firstColumn="1" w:lastColumn="0" w:noHBand="0" w:noVBand="1"/>
      </w:tblPr>
      <w:tblGrid>
        <w:gridCol w:w="1576"/>
        <w:gridCol w:w="911"/>
        <w:gridCol w:w="674"/>
        <w:gridCol w:w="1086"/>
        <w:gridCol w:w="996"/>
        <w:gridCol w:w="674"/>
        <w:gridCol w:w="913"/>
        <w:gridCol w:w="890"/>
        <w:gridCol w:w="674"/>
        <w:gridCol w:w="842"/>
      </w:tblGrid>
      <w:tr w:rsidR="006B42D6" w:rsidRPr="006B42D6" w14:paraId="794F1FBF" w14:textId="77777777" w:rsidTr="00141395">
        <w:trPr>
          <w:trHeight w:val="203"/>
        </w:trPr>
        <w:tc>
          <w:tcPr>
            <w:tcW w:w="853" w:type="pct"/>
            <w:vMerge w:val="restart"/>
            <w:tcBorders>
              <w:top w:val="single" w:sz="4" w:space="0" w:color="auto"/>
              <w:left w:val="nil"/>
              <w:bottom w:val="single" w:sz="4" w:space="0" w:color="000000"/>
              <w:right w:val="nil"/>
            </w:tcBorders>
            <w:shd w:val="clear" w:color="auto" w:fill="E2EFD9" w:themeFill="accent6" w:themeFillTint="33"/>
            <w:noWrap/>
            <w:vAlign w:val="center"/>
            <w:hideMark/>
          </w:tcPr>
          <w:p w14:paraId="1567736B" w14:textId="0CCFA98B" w:rsidR="00EB71E9" w:rsidRPr="006B42D6" w:rsidRDefault="00EB71E9" w:rsidP="009834FA">
            <w:pPr>
              <w:spacing w:line="240" w:lineRule="auto"/>
              <w:rPr>
                <w:sz w:val="15"/>
                <w:szCs w:val="15"/>
              </w:rPr>
            </w:pPr>
            <w:r w:rsidRPr="006B42D6">
              <w:rPr>
                <w:sz w:val="15"/>
                <w:szCs w:val="15"/>
              </w:rPr>
              <w:t xml:space="preserve">Disease </w:t>
            </w:r>
            <w:r w:rsidR="00893F80" w:rsidRPr="006B42D6">
              <w:rPr>
                <w:sz w:val="15"/>
                <w:szCs w:val="15"/>
              </w:rPr>
              <w:t>T</w:t>
            </w:r>
            <w:r w:rsidRPr="006B42D6">
              <w:rPr>
                <w:sz w:val="15"/>
                <w:szCs w:val="15"/>
              </w:rPr>
              <w:t>ype</w:t>
            </w:r>
          </w:p>
        </w:tc>
        <w:tc>
          <w:tcPr>
            <w:tcW w:w="1446" w:type="pct"/>
            <w:gridSpan w:val="3"/>
            <w:tcBorders>
              <w:top w:val="single" w:sz="4" w:space="0" w:color="auto"/>
              <w:left w:val="nil"/>
              <w:bottom w:val="single" w:sz="4" w:space="0" w:color="auto"/>
              <w:right w:val="nil"/>
            </w:tcBorders>
            <w:shd w:val="clear" w:color="auto" w:fill="E2EFD9" w:themeFill="accent6" w:themeFillTint="33"/>
            <w:noWrap/>
            <w:vAlign w:val="center"/>
            <w:hideMark/>
          </w:tcPr>
          <w:p w14:paraId="3CC3994D" w14:textId="77777777" w:rsidR="00EB71E9" w:rsidRPr="006B42D6" w:rsidRDefault="00EB71E9" w:rsidP="009834FA">
            <w:pPr>
              <w:spacing w:line="240" w:lineRule="auto"/>
              <w:jc w:val="center"/>
              <w:rPr>
                <w:sz w:val="15"/>
                <w:szCs w:val="15"/>
              </w:rPr>
            </w:pPr>
            <w:r w:rsidRPr="006B42D6">
              <w:rPr>
                <w:sz w:val="15"/>
                <w:szCs w:val="15"/>
              </w:rPr>
              <w:t>Tanzania</w:t>
            </w:r>
          </w:p>
        </w:tc>
        <w:tc>
          <w:tcPr>
            <w:tcW w:w="1398" w:type="pct"/>
            <w:gridSpan w:val="3"/>
            <w:tcBorders>
              <w:top w:val="single" w:sz="4" w:space="0" w:color="auto"/>
              <w:left w:val="single" w:sz="4" w:space="0" w:color="auto"/>
              <w:bottom w:val="single" w:sz="4" w:space="0" w:color="auto"/>
              <w:right w:val="single" w:sz="4" w:space="0" w:color="000000"/>
            </w:tcBorders>
            <w:shd w:val="clear" w:color="auto" w:fill="E2EFD9" w:themeFill="accent6" w:themeFillTint="33"/>
            <w:noWrap/>
            <w:vAlign w:val="center"/>
            <w:hideMark/>
          </w:tcPr>
          <w:p w14:paraId="36DCF91D" w14:textId="19F7C289" w:rsidR="00EB71E9" w:rsidRPr="006B42D6" w:rsidRDefault="00EA1552" w:rsidP="009834FA">
            <w:pPr>
              <w:spacing w:line="240" w:lineRule="auto"/>
              <w:jc w:val="center"/>
              <w:rPr>
                <w:sz w:val="15"/>
                <w:szCs w:val="15"/>
              </w:rPr>
            </w:pPr>
            <w:r>
              <w:rPr>
                <w:sz w:val="15"/>
                <w:szCs w:val="15"/>
              </w:rPr>
              <w:t>Mainland Tanzania</w:t>
            </w:r>
          </w:p>
        </w:tc>
        <w:tc>
          <w:tcPr>
            <w:tcW w:w="1303" w:type="pct"/>
            <w:gridSpan w:val="3"/>
            <w:tcBorders>
              <w:top w:val="single" w:sz="4" w:space="0" w:color="auto"/>
              <w:left w:val="nil"/>
              <w:bottom w:val="single" w:sz="4" w:space="0" w:color="auto"/>
              <w:right w:val="nil"/>
            </w:tcBorders>
            <w:shd w:val="clear" w:color="auto" w:fill="E2EFD9" w:themeFill="accent6" w:themeFillTint="33"/>
            <w:noWrap/>
            <w:vAlign w:val="center"/>
            <w:hideMark/>
          </w:tcPr>
          <w:p w14:paraId="564D94B7" w14:textId="19B3E57E" w:rsidR="00EB71E9" w:rsidRPr="006B42D6" w:rsidRDefault="00327632" w:rsidP="009834FA">
            <w:pPr>
              <w:spacing w:line="240" w:lineRule="auto"/>
              <w:jc w:val="center"/>
              <w:rPr>
                <w:sz w:val="15"/>
                <w:szCs w:val="15"/>
              </w:rPr>
            </w:pPr>
            <w:r w:rsidRPr="006B42D6">
              <w:rPr>
                <w:sz w:val="15"/>
                <w:szCs w:val="15"/>
              </w:rPr>
              <w:t xml:space="preserve">Tanzania </w:t>
            </w:r>
            <w:r w:rsidR="00EB71E9" w:rsidRPr="006B42D6">
              <w:rPr>
                <w:sz w:val="15"/>
                <w:szCs w:val="15"/>
              </w:rPr>
              <w:t>Zanzibar</w:t>
            </w:r>
          </w:p>
        </w:tc>
      </w:tr>
      <w:tr w:rsidR="006B42D6" w:rsidRPr="006B42D6" w14:paraId="5EFBF8D6" w14:textId="77777777" w:rsidTr="00141395">
        <w:trPr>
          <w:trHeight w:val="660"/>
        </w:trPr>
        <w:tc>
          <w:tcPr>
            <w:tcW w:w="853" w:type="pct"/>
            <w:vMerge/>
            <w:tcBorders>
              <w:top w:val="single" w:sz="4" w:space="0" w:color="auto"/>
              <w:left w:val="nil"/>
              <w:bottom w:val="single" w:sz="4" w:space="0" w:color="000000"/>
              <w:right w:val="nil"/>
            </w:tcBorders>
            <w:shd w:val="clear" w:color="auto" w:fill="E2EFD9" w:themeFill="accent6" w:themeFillTint="33"/>
            <w:vAlign w:val="center"/>
            <w:hideMark/>
          </w:tcPr>
          <w:p w14:paraId="6B81D879" w14:textId="77777777" w:rsidR="00EB71E9" w:rsidRPr="006B42D6" w:rsidRDefault="00EB71E9" w:rsidP="009834FA">
            <w:pPr>
              <w:spacing w:line="240" w:lineRule="auto"/>
              <w:rPr>
                <w:sz w:val="15"/>
                <w:szCs w:val="15"/>
              </w:rPr>
            </w:pPr>
          </w:p>
        </w:tc>
        <w:tc>
          <w:tcPr>
            <w:tcW w:w="493" w:type="pct"/>
            <w:tcBorders>
              <w:top w:val="nil"/>
              <w:left w:val="nil"/>
              <w:bottom w:val="single" w:sz="4" w:space="0" w:color="auto"/>
              <w:right w:val="nil"/>
            </w:tcBorders>
            <w:shd w:val="clear" w:color="auto" w:fill="E2EFD9" w:themeFill="accent6" w:themeFillTint="33"/>
            <w:vAlign w:val="center"/>
            <w:hideMark/>
          </w:tcPr>
          <w:p w14:paraId="6F5A7DFC" w14:textId="77777777" w:rsidR="00EB71E9" w:rsidRPr="006B42D6" w:rsidRDefault="00EB71E9" w:rsidP="009834FA">
            <w:pPr>
              <w:spacing w:line="240" w:lineRule="auto"/>
              <w:rPr>
                <w:sz w:val="15"/>
                <w:szCs w:val="15"/>
              </w:rPr>
            </w:pPr>
            <w:r w:rsidRPr="006B42D6">
              <w:rPr>
                <w:sz w:val="15"/>
                <w:szCs w:val="15"/>
              </w:rPr>
              <w:t>Household reported occurrence of disease</w:t>
            </w:r>
          </w:p>
        </w:tc>
        <w:tc>
          <w:tcPr>
            <w:tcW w:w="365" w:type="pct"/>
            <w:tcBorders>
              <w:top w:val="nil"/>
              <w:left w:val="nil"/>
              <w:bottom w:val="single" w:sz="4" w:space="0" w:color="auto"/>
              <w:right w:val="nil"/>
            </w:tcBorders>
            <w:shd w:val="clear" w:color="auto" w:fill="E2EFD9" w:themeFill="accent6" w:themeFillTint="33"/>
            <w:noWrap/>
            <w:vAlign w:val="center"/>
            <w:hideMark/>
          </w:tcPr>
          <w:p w14:paraId="7DA01944" w14:textId="77777777" w:rsidR="00EB71E9" w:rsidRPr="006B42D6" w:rsidRDefault="00EB71E9" w:rsidP="009834FA">
            <w:pPr>
              <w:spacing w:line="240" w:lineRule="auto"/>
              <w:rPr>
                <w:sz w:val="15"/>
                <w:szCs w:val="15"/>
              </w:rPr>
            </w:pPr>
            <w:r w:rsidRPr="006B42D6">
              <w:rPr>
                <w:sz w:val="15"/>
                <w:szCs w:val="15"/>
              </w:rPr>
              <w:t>Percent</w:t>
            </w:r>
          </w:p>
        </w:tc>
        <w:tc>
          <w:tcPr>
            <w:tcW w:w="588" w:type="pct"/>
            <w:tcBorders>
              <w:top w:val="nil"/>
              <w:left w:val="nil"/>
              <w:bottom w:val="single" w:sz="4" w:space="0" w:color="auto"/>
              <w:right w:val="nil"/>
            </w:tcBorders>
            <w:shd w:val="clear" w:color="auto" w:fill="E2EFD9" w:themeFill="accent6" w:themeFillTint="33"/>
            <w:vAlign w:val="center"/>
            <w:hideMark/>
          </w:tcPr>
          <w:p w14:paraId="01F63520" w14:textId="77777777" w:rsidR="00EB71E9" w:rsidRPr="006B42D6" w:rsidRDefault="00EB71E9" w:rsidP="009834FA">
            <w:pPr>
              <w:spacing w:line="240" w:lineRule="auto"/>
              <w:rPr>
                <w:sz w:val="15"/>
                <w:szCs w:val="15"/>
              </w:rPr>
            </w:pPr>
            <w:r w:rsidRPr="006B42D6">
              <w:rPr>
                <w:sz w:val="15"/>
                <w:szCs w:val="15"/>
              </w:rPr>
              <w:t>Number of Poultry Infected</w:t>
            </w:r>
          </w:p>
        </w:tc>
        <w:tc>
          <w:tcPr>
            <w:tcW w:w="539" w:type="pct"/>
            <w:tcBorders>
              <w:top w:val="nil"/>
              <w:left w:val="single" w:sz="4" w:space="0" w:color="auto"/>
              <w:bottom w:val="single" w:sz="4" w:space="0" w:color="auto"/>
              <w:right w:val="nil"/>
            </w:tcBorders>
            <w:shd w:val="clear" w:color="auto" w:fill="E2EFD9" w:themeFill="accent6" w:themeFillTint="33"/>
            <w:vAlign w:val="center"/>
            <w:hideMark/>
          </w:tcPr>
          <w:p w14:paraId="5D60C3FF" w14:textId="77777777" w:rsidR="00EB71E9" w:rsidRPr="006B42D6" w:rsidRDefault="00EB71E9" w:rsidP="009834FA">
            <w:pPr>
              <w:spacing w:line="240" w:lineRule="auto"/>
              <w:rPr>
                <w:sz w:val="15"/>
                <w:szCs w:val="15"/>
              </w:rPr>
            </w:pPr>
            <w:r w:rsidRPr="006B42D6">
              <w:rPr>
                <w:sz w:val="15"/>
                <w:szCs w:val="15"/>
              </w:rPr>
              <w:t>Household reported occurrence of disease</w:t>
            </w:r>
          </w:p>
        </w:tc>
        <w:tc>
          <w:tcPr>
            <w:tcW w:w="365" w:type="pct"/>
            <w:tcBorders>
              <w:top w:val="nil"/>
              <w:left w:val="nil"/>
              <w:bottom w:val="single" w:sz="4" w:space="0" w:color="auto"/>
              <w:right w:val="nil"/>
            </w:tcBorders>
            <w:shd w:val="clear" w:color="auto" w:fill="E2EFD9" w:themeFill="accent6" w:themeFillTint="33"/>
            <w:noWrap/>
            <w:vAlign w:val="center"/>
            <w:hideMark/>
          </w:tcPr>
          <w:p w14:paraId="644BF065" w14:textId="77777777" w:rsidR="00EB71E9" w:rsidRPr="006B42D6" w:rsidRDefault="00EB71E9" w:rsidP="009834FA">
            <w:pPr>
              <w:spacing w:line="240" w:lineRule="auto"/>
              <w:rPr>
                <w:sz w:val="15"/>
                <w:szCs w:val="15"/>
              </w:rPr>
            </w:pPr>
            <w:r w:rsidRPr="006B42D6">
              <w:rPr>
                <w:sz w:val="15"/>
                <w:szCs w:val="15"/>
              </w:rPr>
              <w:t>Percent</w:t>
            </w:r>
          </w:p>
        </w:tc>
        <w:tc>
          <w:tcPr>
            <w:tcW w:w="494" w:type="pct"/>
            <w:tcBorders>
              <w:top w:val="nil"/>
              <w:left w:val="nil"/>
              <w:bottom w:val="single" w:sz="4" w:space="0" w:color="auto"/>
              <w:right w:val="single" w:sz="4" w:space="0" w:color="auto"/>
            </w:tcBorders>
            <w:shd w:val="clear" w:color="auto" w:fill="E2EFD9" w:themeFill="accent6" w:themeFillTint="33"/>
            <w:vAlign w:val="center"/>
            <w:hideMark/>
          </w:tcPr>
          <w:p w14:paraId="50522C9B" w14:textId="77777777" w:rsidR="00EB71E9" w:rsidRPr="006B42D6" w:rsidRDefault="00EB71E9" w:rsidP="009834FA">
            <w:pPr>
              <w:spacing w:line="240" w:lineRule="auto"/>
              <w:rPr>
                <w:sz w:val="15"/>
                <w:szCs w:val="15"/>
              </w:rPr>
            </w:pPr>
            <w:r w:rsidRPr="006B42D6">
              <w:rPr>
                <w:sz w:val="15"/>
                <w:szCs w:val="15"/>
              </w:rPr>
              <w:t>Number of Poultry Infected</w:t>
            </w:r>
          </w:p>
        </w:tc>
        <w:tc>
          <w:tcPr>
            <w:tcW w:w="482" w:type="pct"/>
            <w:tcBorders>
              <w:top w:val="nil"/>
              <w:left w:val="nil"/>
              <w:bottom w:val="single" w:sz="4" w:space="0" w:color="auto"/>
              <w:right w:val="nil"/>
            </w:tcBorders>
            <w:shd w:val="clear" w:color="auto" w:fill="E2EFD9" w:themeFill="accent6" w:themeFillTint="33"/>
            <w:vAlign w:val="center"/>
            <w:hideMark/>
          </w:tcPr>
          <w:p w14:paraId="7B860EF2" w14:textId="77777777" w:rsidR="00EB71E9" w:rsidRPr="006B42D6" w:rsidRDefault="00EB71E9" w:rsidP="009834FA">
            <w:pPr>
              <w:spacing w:line="240" w:lineRule="auto"/>
              <w:rPr>
                <w:sz w:val="15"/>
                <w:szCs w:val="15"/>
              </w:rPr>
            </w:pPr>
            <w:r w:rsidRPr="006B42D6">
              <w:rPr>
                <w:sz w:val="15"/>
                <w:szCs w:val="15"/>
              </w:rPr>
              <w:t>Household reported occurrence of disease</w:t>
            </w:r>
          </w:p>
        </w:tc>
        <w:tc>
          <w:tcPr>
            <w:tcW w:w="365" w:type="pct"/>
            <w:tcBorders>
              <w:top w:val="nil"/>
              <w:left w:val="nil"/>
              <w:bottom w:val="single" w:sz="4" w:space="0" w:color="auto"/>
              <w:right w:val="nil"/>
            </w:tcBorders>
            <w:shd w:val="clear" w:color="auto" w:fill="E2EFD9" w:themeFill="accent6" w:themeFillTint="33"/>
            <w:noWrap/>
            <w:vAlign w:val="center"/>
            <w:hideMark/>
          </w:tcPr>
          <w:p w14:paraId="60F8558B" w14:textId="77777777" w:rsidR="00EB71E9" w:rsidRPr="006B42D6" w:rsidRDefault="00EB71E9" w:rsidP="009834FA">
            <w:pPr>
              <w:spacing w:line="240" w:lineRule="auto"/>
              <w:rPr>
                <w:sz w:val="15"/>
                <w:szCs w:val="15"/>
              </w:rPr>
            </w:pPr>
            <w:r w:rsidRPr="006B42D6">
              <w:rPr>
                <w:sz w:val="15"/>
                <w:szCs w:val="15"/>
              </w:rPr>
              <w:t>Percent</w:t>
            </w:r>
          </w:p>
        </w:tc>
        <w:tc>
          <w:tcPr>
            <w:tcW w:w="456" w:type="pct"/>
            <w:tcBorders>
              <w:top w:val="nil"/>
              <w:left w:val="nil"/>
              <w:bottom w:val="single" w:sz="4" w:space="0" w:color="auto"/>
              <w:right w:val="nil"/>
            </w:tcBorders>
            <w:shd w:val="clear" w:color="auto" w:fill="E2EFD9" w:themeFill="accent6" w:themeFillTint="33"/>
            <w:vAlign w:val="center"/>
            <w:hideMark/>
          </w:tcPr>
          <w:p w14:paraId="31F6AA9C" w14:textId="77777777" w:rsidR="00EB71E9" w:rsidRPr="006B42D6" w:rsidRDefault="00EB71E9" w:rsidP="009834FA">
            <w:pPr>
              <w:spacing w:line="240" w:lineRule="auto"/>
              <w:rPr>
                <w:sz w:val="15"/>
                <w:szCs w:val="15"/>
              </w:rPr>
            </w:pPr>
            <w:r w:rsidRPr="006B42D6">
              <w:rPr>
                <w:sz w:val="15"/>
                <w:szCs w:val="15"/>
              </w:rPr>
              <w:t>Number of Poultry Infected</w:t>
            </w:r>
          </w:p>
        </w:tc>
      </w:tr>
      <w:tr w:rsidR="006B42D6" w:rsidRPr="006B42D6" w14:paraId="2C890ABD" w14:textId="77777777" w:rsidTr="00141395">
        <w:trPr>
          <w:trHeight w:val="340"/>
        </w:trPr>
        <w:tc>
          <w:tcPr>
            <w:tcW w:w="853" w:type="pct"/>
            <w:tcBorders>
              <w:top w:val="nil"/>
              <w:left w:val="nil"/>
              <w:bottom w:val="nil"/>
              <w:right w:val="nil"/>
            </w:tcBorders>
            <w:shd w:val="clear" w:color="auto" w:fill="auto"/>
            <w:noWrap/>
            <w:vAlign w:val="bottom"/>
            <w:hideMark/>
          </w:tcPr>
          <w:p w14:paraId="0386259A" w14:textId="77777777" w:rsidR="00EB71E9" w:rsidRPr="006B42D6" w:rsidRDefault="00EB71E9" w:rsidP="00515B1A">
            <w:pPr>
              <w:rPr>
                <w:sz w:val="15"/>
                <w:szCs w:val="15"/>
              </w:rPr>
            </w:pPr>
            <w:r w:rsidRPr="006B42D6">
              <w:rPr>
                <w:sz w:val="15"/>
                <w:szCs w:val="15"/>
              </w:rPr>
              <w:t>Newcastle Disease</w:t>
            </w:r>
          </w:p>
        </w:tc>
        <w:tc>
          <w:tcPr>
            <w:tcW w:w="493" w:type="pct"/>
            <w:tcBorders>
              <w:top w:val="nil"/>
              <w:left w:val="nil"/>
              <w:bottom w:val="nil"/>
              <w:right w:val="nil"/>
            </w:tcBorders>
            <w:shd w:val="clear" w:color="auto" w:fill="auto"/>
            <w:noWrap/>
            <w:vAlign w:val="bottom"/>
            <w:hideMark/>
          </w:tcPr>
          <w:p w14:paraId="4C5D4216" w14:textId="77777777" w:rsidR="00EB71E9" w:rsidRPr="006B42D6" w:rsidRDefault="00EB71E9" w:rsidP="00515B1A">
            <w:pPr>
              <w:jc w:val="right"/>
              <w:rPr>
                <w:sz w:val="15"/>
                <w:szCs w:val="15"/>
              </w:rPr>
            </w:pPr>
            <w:r w:rsidRPr="006B42D6">
              <w:rPr>
                <w:sz w:val="15"/>
                <w:szCs w:val="15"/>
              </w:rPr>
              <w:t>1,918,622</w:t>
            </w:r>
          </w:p>
        </w:tc>
        <w:tc>
          <w:tcPr>
            <w:tcW w:w="365" w:type="pct"/>
            <w:tcBorders>
              <w:top w:val="nil"/>
              <w:left w:val="nil"/>
              <w:bottom w:val="nil"/>
              <w:right w:val="nil"/>
            </w:tcBorders>
            <w:shd w:val="clear" w:color="auto" w:fill="auto"/>
            <w:noWrap/>
            <w:vAlign w:val="bottom"/>
            <w:hideMark/>
          </w:tcPr>
          <w:p w14:paraId="30BD2839" w14:textId="77777777" w:rsidR="00EB71E9" w:rsidRPr="006B42D6" w:rsidRDefault="00EB71E9" w:rsidP="00515B1A">
            <w:pPr>
              <w:jc w:val="right"/>
              <w:rPr>
                <w:sz w:val="15"/>
                <w:szCs w:val="15"/>
              </w:rPr>
            </w:pPr>
            <w:r w:rsidRPr="006B42D6">
              <w:rPr>
                <w:sz w:val="15"/>
                <w:szCs w:val="15"/>
              </w:rPr>
              <w:t>42.1</w:t>
            </w:r>
          </w:p>
        </w:tc>
        <w:tc>
          <w:tcPr>
            <w:tcW w:w="588" w:type="pct"/>
            <w:tcBorders>
              <w:top w:val="nil"/>
              <w:left w:val="nil"/>
              <w:bottom w:val="nil"/>
              <w:right w:val="nil"/>
            </w:tcBorders>
            <w:shd w:val="clear" w:color="auto" w:fill="auto"/>
            <w:noWrap/>
            <w:vAlign w:val="bottom"/>
            <w:hideMark/>
          </w:tcPr>
          <w:p w14:paraId="63BCF190" w14:textId="77777777" w:rsidR="00EB71E9" w:rsidRPr="006B42D6" w:rsidRDefault="00EB71E9" w:rsidP="00515B1A">
            <w:pPr>
              <w:jc w:val="right"/>
              <w:rPr>
                <w:sz w:val="15"/>
                <w:szCs w:val="15"/>
              </w:rPr>
            </w:pPr>
            <w:r w:rsidRPr="006B42D6">
              <w:rPr>
                <w:sz w:val="15"/>
                <w:szCs w:val="15"/>
              </w:rPr>
              <w:t>48,195,341</w:t>
            </w:r>
          </w:p>
        </w:tc>
        <w:tc>
          <w:tcPr>
            <w:tcW w:w="539" w:type="pct"/>
            <w:tcBorders>
              <w:top w:val="nil"/>
              <w:left w:val="single" w:sz="4" w:space="0" w:color="auto"/>
              <w:bottom w:val="nil"/>
              <w:right w:val="nil"/>
            </w:tcBorders>
            <w:shd w:val="clear" w:color="auto" w:fill="auto"/>
            <w:noWrap/>
            <w:vAlign w:val="bottom"/>
            <w:hideMark/>
          </w:tcPr>
          <w:p w14:paraId="628C1FDD" w14:textId="77777777" w:rsidR="00EB71E9" w:rsidRPr="006B42D6" w:rsidRDefault="00EB71E9" w:rsidP="00515B1A">
            <w:pPr>
              <w:jc w:val="right"/>
              <w:rPr>
                <w:sz w:val="15"/>
                <w:szCs w:val="15"/>
              </w:rPr>
            </w:pPr>
            <w:r w:rsidRPr="006B42D6">
              <w:rPr>
                <w:sz w:val="15"/>
                <w:szCs w:val="15"/>
              </w:rPr>
              <w:t>1,858,311</w:t>
            </w:r>
          </w:p>
        </w:tc>
        <w:tc>
          <w:tcPr>
            <w:tcW w:w="365" w:type="pct"/>
            <w:tcBorders>
              <w:top w:val="nil"/>
              <w:left w:val="nil"/>
              <w:bottom w:val="nil"/>
              <w:right w:val="nil"/>
            </w:tcBorders>
            <w:shd w:val="clear" w:color="auto" w:fill="auto"/>
            <w:noWrap/>
            <w:vAlign w:val="bottom"/>
            <w:hideMark/>
          </w:tcPr>
          <w:p w14:paraId="34AF5979" w14:textId="77777777" w:rsidR="00EB71E9" w:rsidRPr="006B42D6" w:rsidRDefault="00EB71E9" w:rsidP="00515B1A">
            <w:pPr>
              <w:jc w:val="right"/>
              <w:rPr>
                <w:sz w:val="15"/>
                <w:szCs w:val="15"/>
              </w:rPr>
            </w:pPr>
            <w:r w:rsidRPr="006B42D6">
              <w:rPr>
                <w:sz w:val="15"/>
                <w:szCs w:val="15"/>
              </w:rPr>
              <w:t>41.8</w:t>
            </w:r>
          </w:p>
        </w:tc>
        <w:tc>
          <w:tcPr>
            <w:tcW w:w="494" w:type="pct"/>
            <w:tcBorders>
              <w:top w:val="nil"/>
              <w:left w:val="nil"/>
              <w:bottom w:val="nil"/>
              <w:right w:val="single" w:sz="4" w:space="0" w:color="auto"/>
            </w:tcBorders>
            <w:shd w:val="clear" w:color="auto" w:fill="auto"/>
            <w:noWrap/>
            <w:vAlign w:val="bottom"/>
            <w:hideMark/>
          </w:tcPr>
          <w:p w14:paraId="460837EB" w14:textId="77777777" w:rsidR="00EB71E9" w:rsidRPr="006B42D6" w:rsidRDefault="00EB71E9" w:rsidP="00515B1A">
            <w:pPr>
              <w:jc w:val="right"/>
              <w:rPr>
                <w:sz w:val="15"/>
                <w:szCs w:val="15"/>
              </w:rPr>
            </w:pPr>
            <w:r w:rsidRPr="006B42D6">
              <w:rPr>
                <w:sz w:val="15"/>
                <w:szCs w:val="15"/>
              </w:rPr>
              <w:t>47,073,133</w:t>
            </w:r>
          </w:p>
        </w:tc>
        <w:tc>
          <w:tcPr>
            <w:tcW w:w="482" w:type="pct"/>
            <w:tcBorders>
              <w:top w:val="nil"/>
              <w:left w:val="nil"/>
              <w:bottom w:val="nil"/>
              <w:right w:val="nil"/>
            </w:tcBorders>
            <w:shd w:val="clear" w:color="auto" w:fill="auto"/>
            <w:noWrap/>
            <w:vAlign w:val="bottom"/>
            <w:hideMark/>
          </w:tcPr>
          <w:p w14:paraId="44561EB8" w14:textId="77777777" w:rsidR="00EB71E9" w:rsidRPr="006B42D6" w:rsidRDefault="00EB71E9" w:rsidP="00515B1A">
            <w:pPr>
              <w:jc w:val="right"/>
              <w:rPr>
                <w:sz w:val="15"/>
                <w:szCs w:val="15"/>
              </w:rPr>
            </w:pPr>
            <w:r w:rsidRPr="006B42D6">
              <w:rPr>
                <w:sz w:val="15"/>
                <w:szCs w:val="15"/>
              </w:rPr>
              <w:t>60,312</w:t>
            </w:r>
          </w:p>
        </w:tc>
        <w:tc>
          <w:tcPr>
            <w:tcW w:w="365" w:type="pct"/>
            <w:tcBorders>
              <w:top w:val="nil"/>
              <w:left w:val="nil"/>
              <w:bottom w:val="nil"/>
              <w:right w:val="nil"/>
            </w:tcBorders>
            <w:shd w:val="clear" w:color="auto" w:fill="auto"/>
            <w:noWrap/>
            <w:vAlign w:val="bottom"/>
            <w:hideMark/>
          </w:tcPr>
          <w:p w14:paraId="36E54559" w14:textId="77777777" w:rsidR="00EB71E9" w:rsidRPr="006B42D6" w:rsidRDefault="00EB71E9" w:rsidP="00515B1A">
            <w:pPr>
              <w:jc w:val="right"/>
              <w:rPr>
                <w:sz w:val="15"/>
                <w:szCs w:val="15"/>
              </w:rPr>
            </w:pPr>
            <w:r w:rsidRPr="006B42D6">
              <w:rPr>
                <w:sz w:val="15"/>
                <w:szCs w:val="15"/>
              </w:rPr>
              <w:t>58.3</w:t>
            </w:r>
          </w:p>
        </w:tc>
        <w:tc>
          <w:tcPr>
            <w:tcW w:w="456" w:type="pct"/>
            <w:tcBorders>
              <w:top w:val="nil"/>
              <w:left w:val="nil"/>
              <w:bottom w:val="nil"/>
              <w:right w:val="nil"/>
            </w:tcBorders>
            <w:shd w:val="clear" w:color="auto" w:fill="auto"/>
            <w:noWrap/>
            <w:vAlign w:val="bottom"/>
            <w:hideMark/>
          </w:tcPr>
          <w:p w14:paraId="14A22C45" w14:textId="77777777" w:rsidR="00EB71E9" w:rsidRPr="006B42D6" w:rsidRDefault="00EB71E9" w:rsidP="00515B1A">
            <w:pPr>
              <w:jc w:val="right"/>
              <w:rPr>
                <w:sz w:val="15"/>
                <w:szCs w:val="15"/>
              </w:rPr>
            </w:pPr>
            <w:r w:rsidRPr="006B42D6">
              <w:rPr>
                <w:sz w:val="15"/>
                <w:szCs w:val="15"/>
              </w:rPr>
              <w:t>1,122,208</w:t>
            </w:r>
          </w:p>
        </w:tc>
      </w:tr>
      <w:tr w:rsidR="006B42D6" w:rsidRPr="006B42D6" w14:paraId="497FEFF3" w14:textId="77777777" w:rsidTr="00141395">
        <w:trPr>
          <w:trHeight w:val="340"/>
        </w:trPr>
        <w:tc>
          <w:tcPr>
            <w:tcW w:w="853" w:type="pct"/>
            <w:tcBorders>
              <w:top w:val="nil"/>
              <w:left w:val="nil"/>
              <w:bottom w:val="nil"/>
              <w:right w:val="nil"/>
            </w:tcBorders>
            <w:shd w:val="clear" w:color="auto" w:fill="auto"/>
            <w:noWrap/>
            <w:vAlign w:val="bottom"/>
            <w:hideMark/>
          </w:tcPr>
          <w:p w14:paraId="206DCCEE" w14:textId="77777777" w:rsidR="00EB71E9" w:rsidRPr="006B42D6" w:rsidRDefault="00EB71E9" w:rsidP="00515B1A">
            <w:pPr>
              <w:rPr>
                <w:sz w:val="15"/>
                <w:szCs w:val="15"/>
              </w:rPr>
            </w:pPr>
            <w:r w:rsidRPr="006B42D6">
              <w:rPr>
                <w:sz w:val="15"/>
                <w:szCs w:val="15"/>
              </w:rPr>
              <w:t>Gumboro</w:t>
            </w:r>
          </w:p>
        </w:tc>
        <w:tc>
          <w:tcPr>
            <w:tcW w:w="493" w:type="pct"/>
            <w:tcBorders>
              <w:top w:val="nil"/>
              <w:left w:val="nil"/>
              <w:bottom w:val="nil"/>
              <w:right w:val="nil"/>
            </w:tcBorders>
            <w:shd w:val="clear" w:color="auto" w:fill="auto"/>
            <w:noWrap/>
            <w:vAlign w:val="bottom"/>
            <w:hideMark/>
          </w:tcPr>
          <w:p w14:paraId="2F5B78E4" w14:textId="77777777" w:rsidR="00EB71E9" w:rsidRPr="006B42D6" w:rsidRDefault="00EB71E9" w:rsidP="00515B1A">
            <w:pPr>
              <w:jc w:val="right"/>
              <w:rPr>
                <w:sz w:val="15"/>
                <w:szCs w:val="15"/>
              </w:rPr>
            </w:pPr>
            <w:r w:rsidRPr="006B42D6">
              <w:rPr>
                <w:sz w:val="15"/>
                <w:szCs w:val="15"/>
              </w:rPr>
              <w:t>101,811</w:t>
            </w:r>
          </w:p>
        </w:tc>
        <w:tc>
          <w:tcPr>
            <w:tcW w:w="365" w:type="pct"/>
            <w:tcBorders>
              <w:top w:val="nil"/>
              <w:left w:val="nil"/>
              <w:bottom w:val="nil"/>
              <w:right w:val="nil"/>
            </w:tcBorders>
            <w:shd w:val="clear" w:color="auto" w:fill="auto"/>
            <w:noWrap/>
            <w:vAlign w:val="bottom"/>
            <w:hideMark/>
          </w:tcPr>
          <w:p w14:paraId="63397FAB" w14:textId="77777777" w:rsidR="00EB71E9" w:rsidRPr="006B42D6" w:rsidRDefault="00EB71E9" w:rsidP="00515B1A">
            <w:pPr>
              <w:jc w:val="right"/>
              <w:rPr>
                <w:sz w:val="15"/>
                <w:szCs w:val="15"/>
              </w:rPr>
            </w:pPr>
            <w:r w:rsidRPr="006B42D6">
              <w:rPr>
                <w:sz w:val="15"/>
                <w:szCs w:val="15"/>
              </w:rPr>
              <w:t>2.2</w:t>
            </w:r>
          </w:p>
        </w:tc>
        <w:tc>
          <w:tcPr>
            <w:tcW w:w="588" w:type="pct"/>
            <w:tcBorders>
              <w:top w:val="nil"/>
              <w:left w:val="nil"/>
              <w:bottom w:val="nil"/>
              <w:right w:val="nil"/>
            </w:tcBorders>
            <w:shd w:val="clear" w:color="auto" w:fill="auto"/>
            <w:noWrap/>
            <w:vAlign w:val="bottom"/>
            <w:hideMark/>
          </w:tcPr>
          <w:p w14:paraId="2FE3AFD8" w14:textId="77777777" w:rsidR="00EB71E9" w:rsidRPr="006B42D6" w:rsidRDefault="00EB71E9" w:rsidP="00515B1A">
            <w:pPr>
              <w:jc w:val="right"/>
              <w:rPr>
                <w:sz w:val="15"/>
                <w:szCs w:val="15"/>
              </w:rPr>
            </w:pPr>
            <w:r w:rsidRPr="006B42D6">
              <w:rPr>
                <w:sz w:val="15"/>
                <w:szCs w:val="15"/>
              </w:rPr>
              <w:t>2,290,024</w:t>
            </w:r>
          </w:p>
        </w:tc>
        <w:tc>
          <w:tcPr>
            <w:tcW w:w="539" w:type="pct"/>
            <w:tcBorders>
              <w:top w:val="nil"/>
              <w:left w:val="single" w:sz="4" w:space="0" w:color="auto"/>
              <w:bottom w:val="nil"/>
              <w:right w:val="nil"/>
            </w:tcBorders>
            <w:shd w:val="clear" w:color="auto" w:fill="auto"/>
            <w:noWrap/>
            <w:vAlign w:val="bottom"/>
            <w:hideMark/>
          </w:tcPr>
          <w:p w14:paraId="4CDDBA73" w14:textId="77777777" w:rsidR="00EB71E9" w:rsidRPr="006B42D6" w:rsidRDefault="00EB71E9" w:rsidP="00515B1A">
            <w:pPr>
              <w:jc w:val="right"/>
              <w:rPr>
                <w:sz w:val="15"/>
                <w:szCs w:val="15"/>
              </w:rPr>
            </w:pPr>
            <w:r w:rsidRPr="006B42D6">
              <w:rPr>
                <w:sz w:val="15"/>
                <w:szCs w:val="15"/>
              </w:rPr>
              <w:t>100,416</w:t>
            </w:r>
          </w:p>
        </w:tc>
        <w:tc>
          <w:tcPr>
            <w:tcW w:w="365" w:type="pct"/>
            <w:tcBorders>
              <w:top w:val="nil"/>
              <w:left w:val="nil"/>
              <w:bottom w:val="nil"/>
              <w:right w:val="nil"/>
            </w:tcBorders>
            <w:shd w:val="clear" w:color="auto" w:fill="auto"/>
            <w:noWrap/>
            <w:vAlign w:val="bottom"/>
            <w:hideMark/>
          </w:tcPr>
          <w:p w14:paraId="7146A477" w14:textId="77777777" w:rsidR="00EB71E9" w:rsidRPr="006B42D6" w:rsidRDefault="00EB71E9" w:rsidP="00515B1A">
            <w:pPr>
              <w:jc w:val="right"/>
              <w:rPr>
                <w:sz w:val="15"/>
                <w:szCs w:val="15"/>
              </w:rPr>
            </w:pPr>
            <w:r w:rsidRPr="006B42D6">
              <w:rPr>
                <w:sz w:val="15"/>
                <w:szCs w:val="15"/>
              </w:rPr>
              <w:t>2.3</w:t>
            </w:r>
          </w:p>
        </w:tc>
        <w:tc>
          <w:tcPr>
            <w:tcW w:w="494" w:type="pct"/>
            <w:tcBorders>
              <w:top w:val="nil"/>
              <w:left w:val="nil"/>
              <w:bottom w:val="nil"/>
              <w:right w:val="single" w:sz="4" w:space="0" w:color="auto"/>
            </w:tcBorders>
            <w:shd w:val="clear" w:color="auto" w:fill="auto"/>
            <w:noWrap/>
            <w:vAlign w:val="bottom"/>
            <w:hideMark/>
          </w:tcPr>
          <w:p w14:paraId="3E206F81" w14:textId="77777777" w:rsidR="00EB71E9" w:rsidRPr="006B42D6" w:rsidRDefault="00EB71E9" w:rsidP="00515B1A">
            <w:pPr>
              <w:jc w:val="right"/>
              <w:rPr>
                <w:sz w:val="15"/>
                <w:szCs w:val="15"/>
              </w:rPr>
            </w:pPr>
            <w:r w:rsidRPr="006B42D6">
              <w:rPr>
                <w:sz w:val="15"/>
                <w:szCs w:val="15"/>
              </w:rPr>
              <w:t>2,277,828</w:t>
            </w:r>
          </w:p>
        </w:tc>
        <w:tc>
          <w:tcPr>
            <w:tcW w:w="482" w:type="pct"/>
            <w:tcBorders>
              <w:top w:val="nil"/>
              <w:left w:val="nil"/>
              <w:bottom w:val="nil"/>
              <w:right w:val="nil"/>
            </w:tcBorders>
            <w:shd w:val="clear" w:color="auto" w:fill="auto"/>
            <w:noWrap/>
            <w:vAlign w:val="bottom"/>
            <w:hideMark/>
          </w:tcPr>
          <w:p w14:paraId="7D626E84" w14:textId="77777777" w:rsidR="00EB71E9" w:rsidRPr="006B42D6" w:rsidRDefault="00EB71E9" w:rsidP="00515B1A">
            <w:pPr>
              <w:jc w:val="right"/>
              <w:rPr>
                <w:sz w:val="15"/>
                <w:szCs w:val="15"/>
              </w:rPr>
            </w:pPr>
            <w:r w:rsidRPr="006B42D6">
              <w:rPr>
                <w:sz w:val="15"/>
                <w:szCs w:val="15"/>
              </w:rPr>
              <w:t>1,394</w:t>
            </w:r>
          </w:p>
        </w:tc>
        <w:tc>
          <w:tcPr>
            <w:tcW w:w="365" w:type="pct"/>
            <w:tcBorders>
              <w:top w:val="nil"/>
              <w:left w:val="nil"/>
              <w:bottom w:val="nil"/>
              <w:right w:val="nil"/>
            </w:tcBorders>
            <w:shd w:val="clear" w:color="auto" w:fill="auto"/>
            <w:noWrap/>
            <w:vAlign w:val="bottom"/>
            <w:hideMark/>
          </w:tcPr>
          <w:p w14:paraId="4436C92C" w14:textId="77777777" w:rsidR="00EB71E9" w:rsidRPr="006B42D6" w:rsidRDefault="00EB71E9" w:rsidP="00515B1A">
            <w:pPr>
              <w:jc w:val="right"/>
              <w:rPr>
                <w:sz w:val="15"/>
                <w:szCs w:val="15"/>
              </w:rPr>
            </w:pPr>
            <w:r w:rsidRPr="006B42D6">
              <w:rPr>
                <w:sz w:val="15"/>
                <w:szCs w:val="15"/>
              </w:rPr>
              <w:t>1.3</w:t>
            </w:r>
          </w:p>
        </w:tc>
        <w:tc>
          <w:tcPr>
            <w:tcW w:w="456" w:type="pct"/>
            <w:tcBorders>
              <w:top w:val="nil"/>
              <w:left w:val="nil"/>
              <w:bottom w:val="nil"/>
              <w:right w:val="nil"/>
            </w:tcBorders>
            <w:shd w:val="clear" w:color="auto" w:fill="auto"/>
            <w:noWrap/>
            <w:vAlign w:val="bottom"/>
            <w:hideMark/>
          </w:tcPr>
          <w:p w14:paraId="04D06359" w14:textId="77777777" w:rsidR="00EB71E9" w:rsidRPr="006B42D6" w:rsidRDefault="00EB71E9" w:rsidP="00515B1A">
            <w:pPr>
              <w:jc w:val="right"/>
              <w:rPr>
                <w:sz w:val="15"/>
                <w:szCs w:val="15"/>
              </w:rPr>
            </w:pPr>
            <w:r w:rsidRPr="006B42D6">
              <w:rPr>
                <w:sz w:val="15"/>
                <w:szCs w:val="15"/>
              </w:rPr>
              <w:t>12,196</w:t>
            </w:r>
          </w:p>
        </w:tc>
      </w:tr>
      <w:tr w:rsidR="006B42D6" w:rsidRPr="006B42D6" w14:paraId="66BB79AA" w14:textId="77777777" w:rsidTr="00141395">
        <w:trPr>
          <w:trHeight w:val="340"/>
        </w:trPr>
        <w:tc>
          <w:tcPr>
            <w:tcW w:w="853" w:type="pct"/>
            <w:tcBorders>
              <w:top w:val="nil"/>
              <w:left w:val="nil"/>
              <w:bottom w:val="nil"/>
              <w:right w:val="nil"/>
            </w:tcBorders>
            <w:shd w:val="clear" w:color="auto" w:fill="auto"/>
            <w:noWrap/>
            <w:vAlign w:val="bottom"/>
            <w:hideMark/>
          </w:tcPr>
          <w:p w14:paraId="4C2513F8" w14:textId="77777777" w:rsidR="00EB71E9" w:rsidRPr="006B42D6" w:rsidRDefault="00EB71E9" w:rsidP="00515B1A">
            <w:pPr>
              <w:rPr>
                <w:sz w:val="15"/>
                <w:szCs w:val="15"/>
              </w:rPr>
            </w:pPr>
            <w:r w:rsidRPr="006B42D6">
              <w:rPr>
                <w:sz w:val="15"/>
                <w:szCs w:val="15"/>
              </w:rPr>
              <w:t>Coccidiosis</w:t>
            </w:r>
          </w:p>
        </w:tc>
        <w:tc>
          <w:tcPr>
            <w:tcW w:w="493" w:type="pct"/>
            <w:tcBorders>
              <w:top w:val="nil"/>
              <w:left w:val="nil"/>
              <w:bottom w:val="nil"/>
              <w:right w:val="nil"/>
            </w:tcBorders>
            <w:shd w:val="clear" w:color="auto" w:fill="auto"/>
            <w:noWrap/>
            <w:vAlign w:val="bottom"/>
            <w:hideMark/>
          </w:tcPr>
          <w:p w14:paraId="457BF101" w14:textId="77777777" w:rsidR="00EB71E9" w:rsidRPr="006B42D6" w:rsidRDefault="00EB71E9" w:rsidP="00515B1A">
            <w:pPr>
              <w:jc w:val="right"/>
              <w:rPr>
                <w:sz w:val="15"/>
                <w:szCs w:val="15"/>
              </w:rPr>
            </w:pPr>
            <w:r w:rsidRPr="006B42D6">
              <w:rPr>
                <w:sz w:val="15"/>
                <w:szCs w:val="15"/>
              </w:rPr>
              <w:t>152,236</w:t>
            </w:r>
          </w:p>
        </w:tc>
        <w:tc>
          <w:tcPr>
            <w:tcW w:w="365" w:type="pct"/>
            <w:tcBorders>
              <w:top w:val="nil"/>
              <w:left w:val="nil"/>
              <w:bottom w:val="nil"/>
              <w:right w:val="nil"/>
            </w:tcBorders>
            <w:shd w:val="clear" w:color="auto" w:fill="auto"/>
            <w:noWrap/>
            <w:vAlign w:val="bottom"/>
            <w:hideMark/>
          </w:tcPr>
          <w:p w14:paraId="3ED97A05" w14:textId="77777777" w:rsidR="00EB71E9" w:rsidRPr="006B42D6" w:rsidRDefault="00EB71E9" w:rsidP="00515B1A">
            <w:pPr>
              <w:jc w:val="right"/>
              <w:rPr>
                <w:sz w:val="15"/>
                <w:szCs w:val="15"/>
              </w:rPr>
            </w:pPr>
            <w:r w:rsidRPr="006B42D6">
              <w:rPr>
                <w:sz w:val="15"/>
                <w:szCs w:val="15"/>
              </w:rPr>
              <w:t>3.3</w:t>
            </w:r>
          </w:p>
        </w:tc>
        <w:tc>
          <w:tcPr>
            <w:tcW w:w="588" w:type="pct"/>
            <w:tcBorders>
              <w:top w:val="nil"/>
              <w:left w:val="nil"/>
              <w:bottom w:val="nil"/>
              <w:right w:val="nil"/>
            </w:tcBorders>
            <w:shd w:val="clear" w:color="auto" w:fill="auto"/>
            <w:noWrap/>
            <w:vAlign w:val="bottom"/>
            <w:hideMark/>
          </w:tcPr>
          <w:p w14:paraId="382AF6AC" w14:textId="77777777" w:rsidR="00EB71E9" w:rsidRPr="006B42D6" w:rsidRDefault="00EB71E9" w:rsidP="00515B1A">
            <w:pPr>
              <w:jc w:val="right"/>
              <w:rPr>
                <w:sz w:val="15"/>
                <w:szCs w:val="15"/>
              </w:rPr>
            </w:pPr>
            <w:r w:rsidRPr="006B42D6">
              <w:rPr>
                <w:sz w:val="15"/>
                <w:szCs w:val="15"/>
              </w:rPr>
              <w:t>3,379,982</w:t>
            </w:r>
          </w:p>
        </w:tc>
        <w:tc>
          <w:tcPr>
            <w:tcW w:w="539" w:type="pct"/>
            <w:tcBorders>
              <w:top w:val="nil"/>
              <w:left w:val="single" w:sz="4" w:space="0" w:color="auto"/>
              <w:bottom w:val="nil"/>
              <w:right w:val="nil"/>
            </w:tcBorders>
            <w:shd w:val="clear" w:color="auto" w:fill="auto"/>
            <w:noWrap/>
            <w:vAlign w:val="bottom"/>
            <w:hideMark/>
          </w:tcPr>
          <w:p w14:paraId="6345EAB1" w14:textId="77777777" w:rsidR="00EB71E9" w:rsidRPr="006B42D6" w:rsidRDefault="00EB71E9" w:rsidP="00515B1A">
            <w:pPr>
              <w:jc w:val="right"/>
              <w:rPr>
                <w:sz w:val="15"/>
                <w:szCs w:val="15"/>
              </w:rPr>
            </w:pPr>
            <w:r w:rsidRPr="006B42D6">
              <w:rPr>
                <w:sz w:val="15"/>
                <w:szCs w:val="15"/>
              </w:rPr>
              <w:t>151,806</w:t>
            </w:r>
          </w:p>
        </w:tc>
        <w:tc>
          <w:tcPr>
            <w:tcW w:w="365" w:type="pct"/>
            <w:tcBorders>
              <w:top w:val="nil"/>
              <w:left w:val="nil"/>
              <w:bottom w:val="nil"/>
              <w:right w:val="nil"/>
            </w:tcBorders>
            <w:shd w:val="clear" w:color="auto" w:fill="auto"/>
            <w:noWrap/>
            <w:vAlign w:val="bottom"/>
            <w:hideMark/>
          </w:tcPr>
          <w:p w14:paraId="0C4969B6" w14:textId="77777777" w:rsidR="00EB71E9" w:rsidRPr="006B42D6" w:rsidRDefault="00EB71E9" w:rsidP="00515B1A">
            <w:pPr>
              <w:jc w:val="right"/>
              <w:rPr>
                <w:sz w:val="15"/>
                <w:szCs w:val="15"/>
              </w:rPr>
            </w:pPr>
            <w:r w:rsidRPr="006B42D6">
              <w:rPr>
                <w:sz w:val="15"/>
                <w:szCs w:val="15"/>
              </w:rPr>
              <w:t>3.4</w:t>
            </w:r>
          </w:p>
        </w:tc>
        <w:tc>
          <w:tcPr>
            <w:tcW w:w="494" w:type="pct"/>
            <w:tcBorders>
              <w:top w:val="nil"/>
              <w:left w:val="nil"/>
              <w:bottom w:val="nil"/>
              <w:right w:val="single" w:sz="4" w:space="0" w:color="auto"/>
            </w:tcBorders>
            <w:shd w:val="clear" w:color="auto" w:fill="auto"/>
            <w:noWrap/>
            <w:vAlign w:val="bottom"/>
            <w:hideMark/>
          </w:tcPr>
          <w:p w14:paraId="776923AF" w14:textId="77777777" w:rsidR="00EB71E9" w:rsidRPr="006B42D6" w:rsidRDefault="00EB71E9" w:rsidP="00515B1A">
            <w:pPr>
              <w:jc w:val="right"/>
              <w:rPr>
                <w:sz w:val="15"/>
                <w:szCs w:val="15"/>
              </w:rPr>
            </w:pPr>
            <w:r w:rsidRPr="006B42D6">
              <w:rPr>
                <w:sz w:val="15"/>
                <w:szCs w:val="15"/>
              </w:rPr>
              <w:t>3,374,771</w:t>
            </w:r>
          </w:p>
        </w:tc>
        <w:tc>
          <w:tcPr>
            <w:tcW w:w="482" w:type="pct"/>
            <w:tcBorders>
              <w:top w:val="nil"/>
              <w:left w:val="nil"/>
              <w:bottom w:val="nil"/>
              <w:right w:val="nil"/>
            </w:tcBorders>
            <w:shd w:val="clear" w:color="auto" w:fill="auto"/>
            <w:noWrap/>
            <w:vAlign w:val="bottom"/>
            <w:hideMark/>
          </w:tcPr>
          <w:p w14:paraId="178AF619" w14:textId="77777777" w:rsidR="00EB71E9" w:rsidRPr="006B42D6" w:rsidRDefault="00EB71E9" w:rsidP="00515B1A">
            <w:pPr>
              <w:jc w:val="right"/>
              <w:rPr>
                <w:sz w:val="15"/>
                <w:szCs w:val="15"/>
              </w:rPr>
            </w:pPr>
            <w:r w:rsidRPr="006B42D6">
              <w:rPr>
                <w:sz w:val="15"/>
                <w:szCs w:val="15"/>
              </w:rPr>
              <w:t>430</w:t>
            </w:r>
          </w:p>
        </w:tc>
        <w:tc>
          <w:tcPr>
            <w:tcW w:w="365" w:type="pct"/>
            <w:tcBorders>
              <w:top w:val="nil"/>
              <w:left w:val="nil"/>
              <w:bottom w:val="nil"/>
              <w:right w:val="nil"/>
            </w:tcBorders>
            <w:shd w:val="clear" w:color="auto" w:fill="auto"/>
            <w:noWrap/>
            <w:vAlign w:val="bottom"/>
            <w:hideMark/>
          </w:tcPr>
          <w:p w14:paraId="490FEAEF" w14:textId="77777777" w:rsidR="00EB71E9" w:rsidRPr="006B42D6" w:rsidRDefault="00EB71E9" w:rsidP="00515B1A">
            <w:pPr>
              <w:jc w:val="right"/>
              <w:rPr>
                <w:sz w:val="15"/>
                <w:szCs w:val="15"/>
              </w:rPr>
            </w:pPr>
            <w:r w:rsidRPr="006B42D6">
              <w:rPr>
                <w:sz w:val="15"/>
                <w:szCs w:val="15"/>
              </w:rPr>
              <w:t>0.4</w:t>
            </w:r>
          </w:p>
        </w:tc>
        <w:tc>
          <w:tcPr>
            <w:tcW w:w="456" w:type="pct"/>
            <w:tcBorders>
              <w:top w:val="nil"/>
              <w:left w:val="nil"/>
              <w:bottom w:val="nil"/>
              <w:right w:val="nil"/>
            </w:tcBorders>
            <w:shd w:val="clear" w:color="auto" w:fill="auto"/>
            <w:noWrap/>
            <w:vAlign w:val="bottom"/>
            <w:hideMark/>
          </w:tcPr>
          <w:p w14:paraId="02B4A21A" w14:textId="77777777" w:rsidR="00EB71E9" w:rsidRPr="006B42D6" w:rsidRDefault="00EB71E9" w:rsidP="00515B1A">
            <w:pPr>
              <w:jc w:val="right"/>
              <w:rPr>
                <w:sz w:val="15"/>
                <w:szCs w:val="15"/>
              </w:rPr>
            </w:pPr>
            <w:r w:rsidRPr="006B42D6">
              <w:rPr>
                <w:sz w:val="15"/>
                <w:szCs w:val="15"/>
              </w:rPr>
              <w:t>5,211</w:t>
            </w:r>
          </w:p>
        </w:tc>
      </w:tr>
      <w:tr w:rsidR="006B42D6" w:rsidRPr="006B42D6" w14:paraId="0A9E71A2" w14:textId="77777777" w:rsidTr="00141395">
        <w:trPr>
          <w:trHeight w:val="340"/>
        </w:trPr>
        <w:tc>
          <w:tcPr>
            <w:tcW w:w="853" w:type="pct"/>
            <w:tcBorders>
              <w:top w:val="nil"/>
              <w:left w:val="nil"/>
              <w:bottom w:val="nil"/>
              <w:right w:val="nil"/>
            </w:tcBorders>
            <w:shd w:val="clear" w:color="auto" w:fill="auto"/>
            <w:noWrap/>
            <w:vAlign w:val="bottom"/>
            <w:hideMark/>
          </w:tcPr>
          <w:p w14:paraId="41374DC5" w14:textId="77777777" w:rsidR="00EB71E9" w:rsidRPr="006B42D6" w:rsidRDefault="00EB71E9" w:rsidP="00515B1A">
            <w:pPr>
              <w:rPr>
                <w:sz w:val="15"/>
                <w:szCs w:val="15"/>
              </w:rPr>
            </w:pPr>
            <w:r w:rsidRPr="006B42D6">
              <w:rPr>
                <w:sz w:val="15"/>
                <w:szCs w:val="15"/>
              </w:rPr>
              <w:t>Coryza</w:t>
            </w:r>
          </w:p>
        </w:tc>
        <w:tc>
          <w:tcPr>
            <w:tcW w:w="493" w:type="pct"/>
            <w:tcBorders>
              <w:top w:val="nil"/>
              <w:left w:val="nil"/>
              <w:bottom w:val="nil"/>
              <w:right w:val="nil"/>
            </w:tcBorders>
            <w:shd w:val="clear" w:color="auto" w:fill="auto"/>
            <w:noWrap/>
            <w:vAlign w:val="bottom"/>
            <w:hideMark/>
          </w:tcPr>
          <w:p w14:paraId="01AF5556" w14:textId="77777777" w:rsidR="00EB71E9" w:rsidRPr="006B42D6" w:rsidRDefault="00EB71E9" w:rsidP="00515B1A">
            <w:pPr>
              <w:jc w:val="right"/>
              <w:rPr>
                <w:sz w:val="15"/>
                <w:szCs w:val="15"/>
              </w:rPr>
            </w:pPr>
            <w:r w:rsidRPr="006B42D6">
              <w:rPr>
                <w:sz w:val="15"/>
                <w:szCs w:val="15"/>
              </w:rPr>
              <w:t>429,622</w:t>
            </w:r>
          </w:p>
        </w:tc>
        <w:tc>
          <w:tcPr>
            <w:tcW w:w="365" w:type="pct"/>
            <w:tcBorders>
              <w:top w:val="nil"/>
              <w:left w:val="nil"/>
              <w:bottom w:val="nil"/>
              <w:right w:val="nil"/>
            </w:tcBorders>
            <w:shd w:val="clear" w:color="auto" w:fill="auto"/>
            <w:noWrap/>
            <w:vAlign w:val="bottom"/>
            <w:hideMark/>
          </w:tcPr>
          <w:p w14:paraId="3E6984C2" w14:textId="77777777" w:rsidR="00EB71E9" w:rsidRPr="006B42D6" w:rsidRDefault="00EB71E9" w:rsidP="00515B1A">
            <w:pPr>
              <w:jc w:val="right"/>
              <w:rPr>
                <w:sz w:val="15"/>
                <w:szCs w:val="15"/>
              </w:rPr>
            </w:pPr>
            <w:r w:rsidRPr="006B42D6">
              <w:rPr>
                <w:sz w:val="15"/>
                <w:szCs w:val="15"/>
              </w:rPr>
              <w:t>9.4</w:t>
            </w:r>
          </w:p>
        </w:tc>
        <w:tc>
          <w:tcPr>
            <w:tcW w:w="588" w:type="pct"/>
            <w:tcBorders>
              <w:top w:val="nil"/>
              <w:left w:val="nil"/>
              <w:bottom w:val="nil"/>
              <w:right w:val="nil"/>
            </w:tcBorders>
            <w:shd w:val="clear" w:color="auto" w:fill="auto"/>
            <w:noWrap/>
            <w:vAlign w:val="bottom"/>
            <w:hideMark/>
          </w:tcPr>
          <w:p w14:paraId="7116C903" w14:textId="77777777" w:rsidR="00EB71E9" w:rsidRPr="006B42D6" w:rsidRDefault="00EB71E9" w:rsidP="00515B1A">
            <w:pPr>
              <w:jc w:val="right"/>
              <w:rPr>
                <w:sz w:val="15"/>
                <w:szCs w:val="15"/>
              </w:rPr>
            </w:pPr>
            <w:r w:rsidRPr="006B42D6">
              <w:rPr>
                <w:sz w:val="15"/>
                <w:szCs w:val="15"/>
              </w:rPr>
              <w:t>9,388,535</w:t>
            </w:r>
          </w:p>
        </w:tc>
        <w:tc>
          <w:tcPr>
            <w:tcW w:w="539" w:type="pct"/>
            <w:tcBorders>
              <w:top w:val="nil"/>
              <w:left w:val="single" w:sz="4" w:space="0" w:color="auto"/>
              <w:bottom w:val="nil"/>
              <w:right w:val="nil"/>
            </w:tcBorders>
            <w:shd w:val="clear" w:color="auto" w:fill="auto"/>
            <w:noWrap/>
            <w:vAlign w:val="bottom"/>
            <w:hideMark/>
          </w:tcPr>
          <w:p w14:paraId="122A7453" w14:textId="77777777" w:rsidR="00EB71E9" w:rsidRPr="006B42D6" w:rsidRDefault="00EB71E9" w:rsidP="00515B1A">
            <w:pPr>
              <w:jc w:val="right"/>
              <w:rPr>
                <w:sz w:val="15"/>
                <w:szCs w:val="15"/>
              </w:rPr>
            </w:pPr>
            <w:r w:rsidRPr="006B42D6">
              <w:rPr>
                <w:sz w:val="15"/>
                <w:szCs w:val="15"/>
              </w:rPr>
              <w:t>411,533</w:t>
            </w:r>
          </w:p>
        </w:tc>
        <w:tc>
          <w:tcPr>
            <w:tcW w:w="365" w:type="pct"/>
            <w:tcBorders>
              <w:top w:val="nil"/>
              <w:left w:val="nil"/>
              <w:bottom w:val="nil"/>
              <w:right w:val="nil"/>
            </w:tcBorders>
            <w:shd w:val="clear" w:color="auto" w:fill="auto"/>
            <w:noWrap/>
            <w:vAlign w:val="bottom"/>
            <w:hideMark/>
          </w:tcPr>
          <w:p w14:paraId="01BD4DED" w14:textId="77777777" w:rsidR="00EB71E9" w:rsidRPr="006B42D6" w:rsidRDefault="00EB71E9" w:rsidP="00515B1A">
            <w:pPr>
              <w:jc w:val="right"/>
              <w:rPr>
                <w:sz w:val="15"/>
                <w:szCs w:val="15"/>
              </w:rPr>
            </w:pPr>
            <w:r w:rsidRPr="006B42D6">
              <w:rPr>
                <w:sz w:val="15"/>
                <w:szCs w:val="15"/>
              </w:rPr>
              <w:t>9.2</w:t>
            </w:r>
          </w:p>
        </w:tc>
        <w:tc>
          <w:tcPr>
            <w:tcW w:w="494" w:type="pct"/>
            <w:tcBorders>
              <w:top w:val="nil"/>
              <w:left w:val="nil"/>
              <w:bottom w:val="nil"/>
              <w:right w:val="single" w:sz="4" w:space="0" w:color="auto"/>
            </w:tcBorders>
            <w:shd w:val="clear" w:color="auto" w:fill="auto"/>
            <w:noWrap/>
            <w:vAlign w:val="bottom"/>
            <w:hideMark/>
          </w:tcPr>
          <w:p w14:paraId="5663324C" w14:textId="77777777" w:rsidR="00EB71E9" w:rsidRPr="006B42D6" w:rsidRDefault="00EB71E9" w:rsidP="00515B1A">
            <w:pPr>
              <w:jc w:val="right"/>
              <w:rPr>
                <w:sz w:val="15"/>
                <w:szCs w:val="15"/>
              </w:rPr>
            </w:pPr>
            <w:r w:rsidRPr="006B42D6">
              <w:rPr>
                <w:sz w:val="15"/>
                <w:szCs w:val="15"/>
              </w:rPr>
              <w:t>9,041,801</w:t>
            </w:r>
          </w:p>
        </w:tc>
        <w:tc>
          <w:tcPr>
            <w:tcW w:w="482" w:type="pct"/>
            <w:tcBorders>
              <w:top w:val="nil"/>
              <w:left w:val="nil"/>
              <w:bottom w:val="nil"/>
              <w:right w:val="nil"/>
            </w:tcBorders>
            <w:shd w:val="clear" w:color="auto" w:fill="auto"/>
            <w:noWrap/>
            <w:vAlign w:val="bottom"/>
            <w:hideMark/>
          </w:tcPr>
          <w:p w14:paraId="368D661A" w14:textId="77777777" w:rsidR="00EB71E9" w:rsidRPr="006B42D6" w:rsidRDefault="00EB71E9" w:rsidP="00515B1A">
            <w:pPr>
              <w:jc w:val="right"/>
              <w:rPr>
                <w:sz w:val="15"/>
                <w:szCs w:val="15"/>
              </w:rPr>
            </w:pPr>
            <w:r w:rsidRPr="006B42D6">
              <w:rPr>
                <w:sz w:val="15"/>
                <w:szCs w:val="15"/>
              </w:rPr>
              <w:t>18,088</w:t>
            </w:r>
          </w:p>
        </w:tc>
        <w:tc>
          <w:tcPr>
            <w:tcW w:w="365" w:type="pct"/>
            <w:tcBorders>
              <w:top w:val="nil"/>
              <w:left w:val="nil"/>
              <w:bottom w:val="nil"/>
              <w:right w:val="nil"/>
            </w:tcBorders>
            <w:shd w:val="clear" w:color="auto" w:fill="auto"/>
            <w:noWrap/>
            <w:vAlign w:val="bottom"/>
            <w:hideMark/>
          </w:tcPr>
          <w:p w14:paraId="6992D1C7" w14:textId="77777777" w:rsidR="00EB71E9" w:rsidRPr="006B42D6" w:rsidRDefault="00EB71E9" w:rsidP="00515B1A">
            <w:pPr>
              <w:jc w:val="right"/>
              <w:rPr>
                <w:sz w:val="15"/>
                <w:szCs w:val="15"/>
              </w:rPr>
            </w:pPr>
            <w:r w:rsidRPr="006B42D6">
              <w:rPr>
                <w:sz w:val="15"/>
                <w:szCs w:val="15"/>
              </w:rPr>
              <w:t>17.5</w:t>
            </w:r>
          </w:p>
        </w:tc>
        <w:tc>
          <w:tcPr>
            <w:tcW w:w="456" w:type="pct"/>
            <w:tcBorders>
              <w:top w:val="nil"/>
              <w:left w:val="nil"/>
              <w:bottom w:val="nil"/>
              <w:right w:val="nil"/>
            </w:tcBorders>
            <w:shd w:val="clear" w:color="auto" w:fill="auto"/>
            <w:noWrap/>
            <w:vAlign w:val="bottom"/>
            <w:hideMark/>
          </w:tcPr>
          <w:p w14:paraId="4086B36F" w14:textId="77777777" w:rsidR="00EB71E9" w:rsidRPr="006B42D6" w:rsidRDefault="00EB71E9" w:rsidP="00515B1A">
            <w:pPr>
              <w:jc w:val="right"/>
              <w:rPr>
                <w:sz w:val="15"/>
                <w:szCs w:val="15"/>
              </w:rPr>
            </w:pPr>
            <w:r w:rsidRPr="006B42D6">
              <w:rPr>
                <w:sz w:val="15"/>
                <w:szCs w:val="15"/>
              </w:rPr>
              <w:t>346,734</w:t>
            </w:r>
          </w:p>
        </w:tc>
      </w:tr>
      <w:tr w:rsidR="006B42D6" w:rsidRPr="006B42D6" w14:paraId="47873232" w14:textId="77777777" w:rsidTr="00141395">
        <w:trPr>
          <w:trHeight w:val="340"/>
        </w:trPr>
        <w:tc>
          <w:tcPr>
            <w:tcW w:w="853" w:type="pct"/>
            <w:tcBorders>
              <w:top w:val="nil"/>
              <w:left w:val="nil"/>
              <w:bottom w:val="nil"/>
              <w:right w:val="nil"/>
            </w:tcBorders>
            <w:shd w:val="clear" w:color="auto" w:fill="auto"/>
            <w:noWrap/>
            <w:vAlign w:val="bottom"/>
            <w:hideMark/>
          </w:tcPr>
          <w:p w14:paraId="7B7A1230" w14:textId="77777777" w:rsidR="00EB71E9" w:rsidRPr="006B42D6" w:rsidRDefault="00EB71E9" w:rsidP="00515B1A">
            <w:pPr>
              <w:rPr>
                <w:sz w:val="15"/>
                <w:szCs w:val="15"/>
              </w:rPr>
            </w:pPr>
            <w:r w:rsidRPr="006B42D6">
              <w:rPr>
                <w:sz w:val="15"/>
                <w:szCs w:val="15"/>
              </w:rPr>
              <w:t>Fowl pox</w:t>
            </w:r>
          </w:p>
        </w:tc>
        <w:tc>
          <w:tcPr>
            <w:tcW w:w="493" w:type="pct"/>
            <w:tcBorders>
              <w:top w:val="nil"/>
              <w:left w:val="nil"/>
              <w:bottom w:val="nil"/>
              <w:right w:val="nil"/>
            </w:tcBorders>
            <w:shd w:val="clear" w:color="auto" w:fill="auto"/>
            <w:noWrap/>
            <w:vAlign w:val="bottom"/>
            <w:hideMark/>
          </w:tcPr>
          <w:p w14:paraId="1518C070" w14:textId="77777777" w:rsidR="00EB71E9" w:rsidRPr="006B42D6" w:rsidRDefault="00EB71E9" w:rsidP="00515B1A">
            <w:pPr>
              <w:jc w:val="right"/>
              <w:rPr>
                <w:sz w:val="15"/>
                <w:szCs w:val="15"/>
              </w:rPr>
            </w:pPr>
            <w:r w:rsidRPr="006B42D6">
              <w:rPr>
                <w:sz w:val="15"/>
                <w:szCs w:val="15"/>
              </w:rPr>
              <w:t>560,008</w:t>
            </w:r>
          </w:p>
        </w:tc>
        <w:tc>
          <w:tcPr>
            <w:tcW w:w="365" w:type="pct"/>
            <w:tcBorders>
              <w:top w:val="nil"/>
              <w:left w:val="nil"/>
              <w:bottom w:val="nil"/>
              <w:right w:val="nil"/>
            </w:tcBorders>
            <w:shd w:val="clear" w:color="auto" w:fill="auto"/>
            <w:noWrap/>
            <w:vAlign w:val="bottom"/>
            <w:hideMark/>
          </w:tcPr>
          <w:p w14:paraId="719B4C0C" w14:textId="77777777" w:rsidR="00EB71E9" w:rsidRPr="006B42D6" w:rsidRDefault="00EB71E9" w:rsidP="00515B1A">
            <w:pPr>
              <w:jc w:val="right"/>
              <w:rPr>
                <w:sz w:val="15"/>
                <w:szCs w:val="15"/>
              </w:rPr>
            </w:pPr>
            <w:r w:rsidRPr="006B42D6">
              <w:rPr>
                <w:sz w:val="15"/>
                <w:szCs w:val="15"/>
              </w:rPr>
              <w:t>12.3</w:t>
            </w:r>
          </w:p>
        </w:tc>
        <w:tc>
          <w:tcPr>
            <w:tcW w:w="588" w:type="pct"/>
            <w:tcBorders>
              <w:top w:val="nil"/>
              <w:left w:val="nil"/>
              <w:bottom w:val="nil"/>
              <w:right w:val="nil"/>
            </w:tcBorders>
            <w:shd w:val="clear" w:color="auto" w:fill="auto"/>
            <w:noWrap/>
            <w:vAlign w:val="bottom"/>
            <w:hideMark/>
          </w:tcPr>
          <w:p w14:paraId="6DC14D83" w14:textId="77777777" w:rsidR="00EB71E9" w:rsidRPr="006B42D6" w:rsidRDefault="00EB71E9" w:rsidP="00515B1A">
            <w:pPr>
              <w:jc w:val="right"/>
              <w:rPr>
                <w:sz w:val="15"/>
                <w:szCs w:val="15"/>
              </w:rPr>
            </w:pPr>
            <w:r w:rsidRPr="006B42D6">
              <w:rPr>
                <w:sz w:val="15"/>
                <w:szCs w:val="15"/>
              </w:rPr>
              <w:t>13,897,171</w:t>
            </w:r>
          </w:p>
        </w:tc>
        <w:tc>
          <w:tcPr>
            <w:tcW w:w="539" w:type="pct"/>
            <w:tcBorders>
              <w:top w:val="nil"/>
              <w:left w:val="single" w:sz="4" w:space="0" w:color="auto"/>
              <w:bottom w:val="nil"/>
              <w:right w:val="nil"/>
            </w:tcBorders>
            <w:shd w:val="clear" w:color="auto" w:fill="auto"/>
            <w:noWrap/>
            <w:vAlign w:val="bottom"/>
            <w:hideMark/>
          </w:tcPr>
          <w:p w14:paraId="2BC77CD3" w14:textId="77777777" w:rsidR="00EB71E9" w:rsidRPr="006B42D6" w:rsidRDefault="00EB71E9" w:rsidP="00515B1A">
            <w:pPr>
              <w:jc w:val="right"/>
              <w:rPr>
                <w:sz w:val="15"/>
                <w:szCs w:val="15"/>
              </w:rPr>
            </w:pPr>
            <w:r w:rsidRPr="006B42D6">
              <w:rPr>
                <w:sz w:val="15"/>
                <w:szCs w:val="15"/>
              </w:rPr>
              <w:t>551,508</w:t>
            </w:r>
          </w:p>
        </w:tc>
        <w:tc>
          <w:tcPr>
            <w:tcW w:w="365" w:type="pct"/>
            <w:tcBorders>
              <w:top w:val="nil"/>
              <w:left w:val="nil"/>
              <w:bottom w:val="nil"/>
              <w:right w:val="nil"/>
            </w:tcBorders>
            <w:shd w:val="clear" w:color="auto" w:fill="auto"/>
            <w:noWrap/>
            <w:vAlign w:val="bottom"/>
            <w:hideMark/>
          </w:tcPr>
          <w:p w14:paraId="1F0C633A" w14:textId="77777777" w:rsidR="00EB71E9" w:rsidRPr="006B42D6" w:rsidRDefault="00EB71E9" w:rsidP="00515B1A">
            <w:pPr>
              <w:jc w:val="right"/>
              <w:rPr>
                <w:sz w:val="15"/>
                <w:szCs w:val="15"/>
              </w:rPr>
            </w:pPr>
            <w:r w:rsidRPr="006B42D6">
              <w:rPr>
                <w:sz w:val="15"/>
                <w:szCs w:val="15"/>
              </w:rPr>
              <w:t>12.4</w:t>
            </w:r>
          </w:p>
        </w:tc>
        <w:tc>
          <w:tcPr>
            <w:tcW w:w="494" w:type="pct"/>
            <w:tcBorders>
              <w:top w:val="nil"/>
              <w:left w:val="nil"/>
              <w:bottom w:val="nil"/>
              <w:right w:val="single" w:sz="4" w:space="0" w:color="auto"/>
            </w:tcBorders>
            <w:shd w:val="clear" w:color="auto" w:fill="auto"/>
            <w:noWrap/>
            <w:vAlign w:val="bottom"/>
            <w:hideMark/>
          </w:tcPr>
          <w:p w14:paraId="394760DE" w14:textId="77777777" w:rsidR="00EB71E9" w:rsidRPr="006B42D6" w:rsidRDefault="00EB71E9" w:rsidP="00515B1A">
            <w:pPr>
              <w:jc w:val="right"/>
              <w:rPr>
                <w:sz w:val="15"/>
                <w:szCs w:val="15"/>
              </w:rPr>
            </w:pPr>
            <w:r w:rsidRPr="006B42D6">
              <w:rPr>
                <w:sz w:val="15"/>
                <w:szCs w:val="15"/>
              </w:rPr>
              <w:t>13,823,946</w:t>
            </w:r>
          </w:p>
        </w:tc>
        <w:tc>
          <w:tcPr>
            <w:tcW w:w="482" w:type="pct"/>
            <w:tcBorders>
              <w:top w:val="nil"/>
              <w:left w:val="nil"/>
              <w:bottom w:val="nil"/>
              <w:right w:val="nil"/>
            </w:tcBorders>
            <w:shd w:val="clear" w:color="auto" w:fill="auto"/>
            <w:noWrap/>
            <w:vAlign w:val="bottom"/>
            <w:hideMark/>
          </w:tcPr>
          <w:p w14:paraId="025BF25A" w14:textId="77777777" w:rsidR="00EB71E9" w:rsidRPr="006B42D6" w:rsidRDefault="00EB71E9" w:rsidP="00515B1A">
            <w:pPr>
              <w:jc w:val="right"/>
              <w:rPr>
                <w:sz w:val="15"/>
                <w:szCs w:val="15"/>
              </w:rPr>
            </w:pPr>
            <w:r w:rsidRPr="006B42D6">
              <w:rPr>
                <w:sz w:val="15"/>
                <w:szCs w:val="15"/>
              </w:rPr>
              <w:t>8,500</w:t>
            </w:r>
          </w:p>
        </w:tc>
        <w:tc>
          <w:tcPr>
            <w:tcW w:w="365" w:type="pct"/>
            <w:tcBorders>
              <w:top w:val="nil"/>
              <w:left w:val="nil"/>
              <w:bottom w:val="nil"/>
              <w:right w:val="nil"/>
            </w:tcBorders>
            <w:shd w:val="clear" w:color="auto" w:fill="auto"/>
            <w:noWrap/>
            <w:vAlign w:val="bottom"/>
            <w:hideMark/>
          </w:tcPr>
          <w:p w14:paraId="1C6D2809" w14:textId="77777777" w:rsidR="00EB71E9" w:rsidRPr="006B42D6" w:rsidRDefault="00EB71E9" w:rsidP="00515B1A">
            <w:pPr>
              <w:jc w:val="right"/>
              <w:rPr>
                <w:sz w:val="15"/>
                <w:szCs w:val="15"/>
              </w:rPr>
            </w:pPr>
            <w:r w:rsidRPr="006B42D6">
              <w:rPr>
                <w:sz w:val="15"/>
                <w:szCs w:val="15"/>
              </w:rPr>
              <w:t>8.2</w:t>
            </w:r>
          </w:p>
        </w:tc>
        <w:tc>
          <w:tcPr>
            <w:tcW w:w="456" w:type="pct"/>
            <w:tcBorders>
              <w:top w:val="nil"/>
              <w:left w:val="nil"/>
              <w:bottom w:val="nil"/>
              <w:right w:val="nil"/>
            </w:tcBorders>
            <w:shd w:val="clear" w:color="auto" w:fill="auto"/>
            <w:noWrap/>
            <w:vAlign w:val="bottom"/>
            <w:hideMark/>
          </w:tcPr>
          <w:p w14:paraId="22A5A3BC" w14:textId="77777777" w:rsidR="00EB71E9" w:rsidRPr="006B42D6" w:rsidRDefault="00EB71E9" w:rsidP="00515B1A">
            <w:pPr>
              <w:jc w:val="right"/>
              <w:rPr>
                <w:sz w:val="15"/>
                <w:szCs w:val="15"/>
              </w:rPr>
            </w:pPr>
            <w:r w:rsidRPr="006B42D6">
              <w:rPr>
                <w:sz w:val="15"/>
                <w:szCs w:val="15"/>
              </w:rPr>
              <w:t>73,225</w:t>
            </w:r>
          </w:p>
        </w:tc>
      </w:tr>
      <w:tr w:rsidR="006B42D6" w:rsidRPr="006B42D6" w14:paraId="704FD27E" w14:textId="77777777" w:rsidTr="00141395">
        <w:trPr>
          <w:trHeight w:val="340"/>
        </w:trPr>
        <w:tc>
          <w:tcPr>
            <w:tcW w:w="853" w:type="pct"/>
            <w:tcBorders>
              <w:top w:val="nil"/>
              <w:left w:val="nil"/>
              <w:bottom w:val="nil"/>
              <w:right w:val="nil"/>
            </w:tcBorders>
            <w:shd w:val="clear" w:color="auto" w:fill="auto"/>
            <w:noWrap/>
            <w:vAlign w:val="bottom"/>
            <w:hideMark/>
          </w:tcPr>
          <w:p w14:paraId="289D8C45" w14:textId="77777777" w:rsidR="00EB71E9" w:rsidRPr="006B42D6" w:rsidRDefault="00EB71E9" w:rsidP="00515B1A">
            <w:pPr>
              <w:rPr>
                <w:sz w:val="15"/>
                <w:szCs w:val="15"/>
              </w:rPr>
            </w:pPr>
            <w:r w:rsidRPr="006B42D6">
              <w:rPr>
                <w:sz w:val="15"/>
                <w:szCs w:val="15"/>
              </w:rPr>
              <w:t>Fowl typhoid</w:t>
            </w:r>
          </w:p>
        </w:tc>
        <w:tc>
          <w:tcPr>
            <w:tcW w:w="493" w:type="pct"/>
            <w:tcBorders>
              <w:top w:val="nil"/>
              <w:left w:val="nil"/>
              <w:bottom w:val="nil"/>
              <w:right w:val="nil"/>
            </w:tcBorders>
            <w:shd w:val="clear" w:color="auto" w:fill="auto"/>
            <w:noWrap/>
            <w:vAlign w:val="bottom"/>
            <w:hideMark/>
          </w:tcPr>
          <w:p w14:paraId="3F1B0051" w14:textId="77777777" w:rsidR="00EB71E9" w:rsidRPr="006B42D6" w:rsidRDefault="00EB71E9" w:rsidP="00515B1A">
            <w:pPr>
              <w:jc w:val="right"/>
              <w:rPr>
                <w:sz w:val="15"/>
                <w:szCs w:val="15"/>
              </w:rPr>
            </w:pPr>
            <w:r w:rsidRPr="006B42D6">
              <w:rPr>
                <w:sz w:val="15"/>
                <w:szCs w:val="15"/>
              </w:rPr>
              <w:t>89,195</w:t>
            </w:r>
          </w:p>
        </w:tc>
        <w:tc>
          <w:tcPr>
            <w:tcW w:w="365" w:type="pct"/>
            <w:tcBorders>
              <w:top w:val="nil"/>
              <w:left w:val="nil"/>
              <w:bottom w:val="nil"/>
              <w:right w:val="nil"/>
            </w:tcBorders>
            <w:shd w:val="clear" w:color="auto" w:fill="auto"/>
            <w:noWrap/>
            <w:vAlign w:val="bottom"/>
            <w:hideMark/>
          </w:tcPr>
          <w:p w14:paraId="09E807AF" w14:textId="77777777" w:rsidR="00EB71E9" w:rsidRPr="006B42D6" w:rsidRDefault="00EB71E9" w:rsidP="00515B1A">
            <w:pPr>
              <w:jc w:val="right"/>
              <w:rPr>
                <w:sz w:val="15"/>
                <w:szCs w:val="15"/>
              </w:rPr>
            </w:pPr>
            <w:r w:rsidRPr="006B42D6">
              <w:rPr>
                <w:sz w:val="15"/>
                <w:szCs w:val="15"/>
              </w:rPr>
              <w:t>2.0</w:t>
            </w:r>
          </w:p>
        </w:tc>
        <w:tc>
          <w:tcPr>
            <w:tcW w:w="588" w:type="pct"/>
            <w:tcBorders>
              <w:top w:val="nil"/>
              <w:left w:val="nil"/>
              <w:bottom w:val="nil"/>
              <w:right w:val="nil"/>
            </w:tcBorders>
            <w:shd w:val="clear" w:color="auto" w:fill="auto"/>
            <w:noWrap/>
            <w:vAlign w:val="bottom"/>
            <w:hideMark/>
          </w:tcPr>
          <w:p w14:paraId="257B7967" w14:textId="77777777" w:rsidR="00EB71E9" w:rsidRPr="006B42D6" w:rsidRDefault="00EB71E9" w:rsidP="00515B1A">
            <w:pPr>
              <w:jc w:val="right"/>
              <w:rPr>
                <w:sz w:val="15"/>
                <w:szCs w:val="15"/>
              </w:rPr>
            </w:pPr>
            <w:r w:rsidRPr="006B42D6">
              <w:rPr>
                <w:sz w:val="15"/>
                <w:szCs w:val="15"/>
              </w:rPr>
              <w:t>2,136,031</w:t>
            </w:r>
          </w:p>
        </w:tc>
        <w:tc>
          <w:tcPr>
            <w:tcW w:w="539" w:type="pct"/>
            <w:tcBorders>
              <w:top w:val="nil"/>
              <w:left w:val="single" w:sz="4" w:space="0" w:color="auto"/>
              <w:bottom w:val="nil"/>
              <w:right w:val="nil"/>
            </w:tcBorders>
            <w:shd w:val="clear" w:color="auto" w:fill="auto"/>
            <w:noWrap/>
            <w:vAlign w:val="bottom"/>
            <w:hideMark/>
          </w:tcPr>
          <w:p w14:paraId="0CED1A12" w14:textId="77777777" w:rsidR="00EB71E9" w:rsidRPr="006B42D6" w:rsidRDefault="00EB71E9" w:rsidP="00515B1A">
            <w:pPr>
              <w:jc w:val="right"/>
              <w:rPr>
                <w:sz w:val="15"/>
                <w:szCs w:val="15"/>
              </w:rPr>
            </w:pPr>
            <w:r w:rsidRPr="006B42D6">
              <w:rPr>
                <w:sz w:val="15"/>
                <w:szCs w:val="15"/>
              </w:rPr>
              <w:t>86,758</w:t>
            </w:r>
          </w:p>
        </w:tc>
        <w:tc>
          <w:tcPr>
            <w:tcW w:w="365" w:type="pct"/>
            <w:tcBorders>
              <w:top w:val="nil"/>
              <w:left w:val="nil"/>
              <w:bottom w:val="nil"/>
              <w:right w:val="nil"/>
            </w:tcBorders>
            <w:shd w:val="clear" w:color="auto" w:fill="auto"/>
            <w:noWrap/>
            <w:vAlign w:val="bottom"/>
            <w:hideMark/>
          </w:tcPr>
          <w:p w14:paraId="7F0DDA1C" w14:textId="77777777" w:rsidR="00EB71E9" w:rsidRPr="006B42D6" w:rsidRDefault="00EB71E9" w:rsidP="00515B1A">
            <w:pPr>
              <w:jc w:val="right"/>
              <w:rPr>
                <w:sz w:val="15"/>
                <w:szCs w:val="15"/>
              </w:rPr>
            </w:pPr>
            <w:r w:rsidRPr="006B42D6">
              <w:rPr>
                <w:sz w:val="15"/>
                <w:szCs w:val="15"/>
              </w:rPr>
              <w:t>1.9</w:t>
            </w:r>
          </w:p>
        </w:tc>
        <w:tc>
          <w:tcPr>
            <w:tcW w:w="494" w:type="pct"/>
            <w:tcBorders>
              <w:top w:val="nil"/>
              <w:left w:val="nil"/>
              <w:bottom w:val="nil"/>
              <w:right w:val="single" w:sz="4" w:space="0" w:color="auto"/>
            </w:tcBorders>
            <w:shd w:val="clear" w:color="auto" w:fill="auto"/>
            <w:noWrap/>
            <w:vAlign w:val="bottom"/>
            <w:hideMark/>
          </w:tcPr>
          <w:p w14:paraId="51755F81" w14:textId="77777777" w:rsidR="00EB71E9" w:rsidRPr="006B42D6" w:rsidRDefault="00EB71E9" w:rsidP="00515B1A">
            <w:pPr>
              <w:jc w:val="right"/>
              <w:rPr>
                <w:sz w:val="15"/>
                <w:szCs w:val="15"/>
              </w:rPr>
            </w:pPr>
            <w:r w:rsidRPr="006B42D6">
              <w:rPr>
                <w:sz w:val="15"/>
                <w:szCs w:val="15"/>
              </w:rPr>
              <w:t>2,104,320</w:t>
            </w:r>
          </w:p>
        </w:tc>
        <w:tc>
          <w:tcPr>
            <w:tcW w:w="482" w:type="pct"/>
            <w:tcBorders>
              <w:top w:val="nil"/>
              <w:left w:val="nil"/>
              <w:bottom w:val="nil"/>
              <w:right w:val="nil"/>
            </w:tcBorders>
            <w:shd w:val="clear" w:color="auto" w:fill="auto"/>
            <w:noWrap/>
            <w:vAlign w:val="bottom"/>
            <w:hideMark/>
          </w:tcPr>
          <w:p w14:paraId="1EDDB11B" w14:textId="77777777" w:rsidR="00EB71E9" w:rsidRPr="006B42D6" w:rsidRDefault="00EB71E9" w:rsidP="00515B1A">
            <w:pPr>
              <w:jc w:val="right"/>
              <w:rPr>
                <w:sz w:val="15"/>
                <w:szCs w:val="15"/>
              </w:rPr>
            </w:pPr>
            <w:r w:rsidRPr="006B42D6">
              <w:rPr>
                <w:sz w:val="15"/>
                <w:szCs w:val="15"/>
              </w:rPr>
              <w:t>2,439</w:t>
            </w:r>
          </w:p>
        </w:tc>
        <w:tc>
          <w:tcPr>
            <w:tcW w:w="365" w:type="pct"/>
            <w:tcBorders>
              <w:top w:val="nil"/>
              <w:left w:val="nil"/>
              <w:bottom w:val="nil"/>
              <w:right w:val="nil"/>
            </w:tcBorders>
            <w:shd w:val="clear" w:color="auto" w:fill="auto"/>
            <w:noWrap/>
            <w:vAlign w:val="bottom"/>
            <w:hideMark/>
          </w:tcPr>
          <w:p w14:paraId="39E01919" w14:textId="77777777" w:rsidR="00EB71E9" w:rsidRPr="006B42D6" w:rsidRDefault="00EB71E9" w:rsidP="00515B1A">
            <w:pPr>
              <w:jc w:val="right"/>
              <w:rPr>
                <w:sz w:val="15"/>
                <w:szCs w:val="15"/>
              </w:rPr>
            </w:pPr>
            <w:r w:rsidRPr="006B42D6">
              <w:rPr>
                <w:sz w:val="15"/>
                <w:szCs w:val="15"/>
              </w:rPr>
              <w:t>2.4</w:t>
            </w:r>
          </w:p>
        </w:tc>
        <w:tc>
          <w:tcPr>
            <w:tcW w:w="456" w:type="pct"/>
            <w:tcBorders>
              <w:top w:val="nil"/>
              <w:left w:val="nil"/>
              <w:bottom w:val="nil"/>
              <w:right w:val="nil"/>
            </w:tcBorders>
            <w:shd w:val="clear" w:color="auto" w:fill="auto"/>
            <w:noWrap/>
            <w:vAlign w:val="bottom"/>
            <w:hideMark/>
          </w:tcPr>
          <w:p w14:paraId="652FA813" w14:textId="77777777" w:rsidR="00EB71E9" w:rsidRPr="006B42D6" w:rsidRDefault="00EB71E9" w:rsidP="00515B1A">
            <w:pPr>
              <w:jc w:val="right"/>
              <w:rPr>
                <w:sz w:val="15"/>
                <w:szCs w:val="15"/>
              </w:rPr>
            </w:pPr>
            <w:r w:rsidRPr="006B42D6">
              <w:rPr>
                <w:sz w:val="15"/>
                <w:szCs w:val="15"/>
              </w:rPr>
              <w:t>31,709</w:t>
            </w:r>
          </w:p>
        </w:tc>
      </w:tr>
      <w:tr w:rsidR="006B42D6" w:rsidRPr="006B42D6" w14:paraId="6EAAE273" w14:textId="77777777" w:rsidTr="009834FA">
        <w:trPr>
          <w:trHeight w:val="227"/>
        </w:trPr>
        <w:tc>
          <w:tcPr>
            <w:tcW w:w="853" w:type="pct"/>
            <w:tcBorders>
              <w:top w:val="nil"/>
              <w:left w:val="nil"/>
              <w:bottom w:val="single" w:sz="4" w:space="0" w:color="auto"/>
              <w:right w:val="nil"/>
            </w:tcBorders>
            <w:shd w:val="clear" w:color="auto" w:fill="E2EFD9" w:themeFill="accent6" w:themeFillTint="33"/>
            <w:vAlign w:val="center"/>
            <w:hideMark/>
          </w:tcPr>
          <w:p w14:paraId="414B13B3" w14:textId="77777777" w:rsidR="00EB71E9" w:rsidRPr="006B42D6" w:rsidRDefault="00EB71E9" w:rsidP="00141395">
            <w:pPr>
              <w:jc w:val="left"/>
              <w:rPr>
                <w:sz w:val="15"/>
                <w:szCs w:val="15"/>
              </w:rPr>
            </w:pPr>
            <w:r w:rsidRPr="006B42D6">
              <w:rPr>
                <w:sz w:val="15"/>
                <w:szCs w:val="15"/>
              </w:rPr>
              <w:t>Total Poultry Keeping Households</w:t>
            </w:r>
          </w:p>
        </w:tc>
        <w:tc>
          <w:tcPr>
            <w:tcW w:w="493" w:type="pct"/>
            <w:tcBorders>
              <w:top w:val="nil"/>
              <w:left w:val="nil"/>
              <w:bottom w:val="single" w:sz="4" w:space="0" w:color="auto"/>
              <w:right w:val="nil"/>
            </w:tcBorders>
            <w:shd w:val="clear" w:color="auto" w:fill="E2EFD9" w:themeFill="accent6" w:themeFillTint="33"/>
            <w:noWrap/>
            <w:vAlign w:val="center"/>
            <w:hideMark/>
          </w:tcPr>
          <w:p w14:paraId="783F9177" w14:textId="77777777" w:rsidR="00EB71E9" w:rsidRPr="006B42D6" w:rsidRDefault="00EB71E9" w:rsidP="00141395">
            <w:pPr>
              <w:jc w:val="right"/>
              <w:rPr>
                <w:sz w:val="15"/>
                <w:szCs w:val="15"/>
              </w:rPr>
            </w:pPr>
            <w:r w:rsidRPr="006B42D6">
              <w:rPr>
                <w:sz w:val="15"/>
                <w:szCs w:val="15"/>
              </w:rPr>
              <w:t>4,552,945</w:t>
            </w:r>
          </w:p>
        </w:tc>
        <w:tc>
          <w:tcPr>
            <w:tcW w:w="365" w:type="pct"/>
            <w:tcBorders>
              <w:top w:val="nil"/>
              <w:left w:val="nil"/>
              <w:bottom w:val="single" w:sz="4" w:space="0" w:color="auto"/>
              <w:right w:val="nil"/>
            </w:tcBorders>
            <w:shd w:val="clear" w:color="auto" w:fill="7F7F7F" w:themeFill="text1" w:themeFillTint="80"/>
            <w:noWrap/>
            <w:vAlign w:val="center"/>
            <w:hideMark/>
          </w:tcPr>
          <w:p w14:paraId="39BC8176" w14:textId="04044398" w:rsidR="00EB71E9" w:rsidRPr="006B42D6" w:rsidRDefault="00EB71E9" w:rsidP="00141395">
            <w:pPr>
              <w:jc w:val="right"/>
              <w:rPr>
                <w:sz w:val="15"/>
                <w:szCs w:val="15"/>
              </w:rPr>
            </w:pPr>
          </w:p>
        </w:tc>
        <w:tc>
          <w:tcPr>
            <w:tcW w:w="588" w:type="pct"/>
            <w:tcBorders>
              <w:top w:val="nil"/>
              <w:left w:val="nil"/>
              <w:bottom w:val="single" w:sz="4" w:space="0" w:color="auto"/>
              <w:right w:val="nil"/>
            </w:tcBorders>
            <w:shd w:val="clear" w:color="auto" w:fill="7F7F7F" w:themeFill="text1" w:themeFillTint="80"/>
            <w:noWrap/>
            <w:vAlign w:val="center"/>
            <w:hideMark/>
          </w:tcPr>
          <w:p w14:paraId="0FBF4FD5" w14:textId="77777777" w:rsidR="00EB71E9" w:rsidRPr="006B42D6" w:rsidRDefault="00EB71E9" w:rsidP="00141395">
            <w:pPr>
              <w:jc w:val="right"/>
              <w:rPr>
                <w:sz w:val="15"/>
                <w:szCs w:val="15"/>
              </w:rPr>
            </w:pPr>
          </w:p>
        </w:tc>
        <w:tc>
          <w:tcPr>
            <w:tcW w:w="539" w:type="pct"/>
            <w:tcBorders>
              <w:top w:val="nil"/>
              <w:left w:val="single" w:sz="4" w:space="0" w:color="auto"/>
              <w:bottom w:val="single" w:sz="4" w:space="0" w:color="auto"/>
              <w:right w:val="nil"/>
            </w:tcBorders>
            <w:shd w:val="clear" w:color="auto" w:fill="E2EFD9" w:themeFill="accent6" w:themeFillTint="33"/>
            <w:noWrap/>
            <w:vAlign w:val="center"/>
            <w:hideMark/>
          </w:tcPr>
          <w:p w14:paraId="39664831" w14:textId="77777777" w:rsidR="00EB71E9" w:rsidRPr="006B42D6" w:rsidRDefault="00EB71E9" w:rsidP="00141395">
            <w:pPr>
              <w:jc w:val="right"/>
              <w:rPr>
                <w:sz w:val="15"/>
                <w:szCs w:val="15"/>
              </w:rPr>
            </w:pPr>
            <w:r w:rsidRPr="006B42D6">
              <w:rPr>
                <w:sz w:val="15"/>
                <w:szCs w:val="15"/>
              </w:rPr>
              <w:t>4,449,563</w:t>
            </w:r>
          </w:p>
        </w:tc>
        <w:tc>
          <w:tcPr>
            <w:tcW w:w="365" w:type="pct"/>
            <w:tcBorders>
              <w:top w:val="nil"/>
              <w:left w:val="nil"/>
              <w:bottom w:val="single" w:sz="4" w:space="0" w:color="auto"/>
              <w:right w:val="nil"/>
            </w:tcBorders>
            <w:shd w:val="clear" w:color="auto" w:fill="7F7F7F" w:themeFill="text1" w:themeFillTint="80"/>
            <w:noWrap/>
            <w:vAlign w:val="center"/>
            <w:hideMark/>
          </w:tcPr>
          <w:p w14:paraId="23EC40EA" w14:textId="32A1D5D1" w:rsidR="00EB71E9" w:rsidRPr="006B42D6" w:rsidRDefault="00EB71E9" w:rsidP="00141395">
            <w:pPr>
              <w:jc w:val="right"/>
              <w:rPr>
                <w:sz w:val="15"/>
                <w:szCs w:val="15"/>
              </w:rPr>
            </w:pPr>
          </w:p>
        </w:tc>
        <w:tc>
          <w:tcPr>
            <w:tcW w:w="494" w:type="pct"/>
            <w:tcBorders>
              <w:top w:val="nil"/>
              <w:left w:val="nil"/>
              <w:bottom w:val="single" w:sz="4" w:space="0" w:color="auto"/>
              <w:right w:val="single" w:sz="4" w:space="0" w:color="auto"/>
            </w:tcBorders>
            <w:shd w:val="clear" w:color="auto" w:fill="7F7F7F" w:themeFill="text1" w:themeFillTint="80"/>
            <w:noWrap/>
            <w:vAlign w:val="center"/>
            <w:hideMark/>
          </w:tcPr>
          <w:p w14:paraId="398324EE" w14:textId="77777777" w:rsidR="00EB71E9" w:rsidRPr="006B42D6" w:rsidRDefault="00EB71E9" w:rsidP="00141395">
            <w:pPr>
              <w:jc w:val="right"/>
              <w:rPr>
                <w:sz w:val="15"/>
                <w:szCs w:val="15"/>
              </w:rPr>
            </w:pPr>
          </w:p>
        </w:tc>
        <w:tc>
          <w:tcPr>
            <w:tcW w:w="482" w:type="pct"/>
            <w:tcBorders>
              <w:top w:val="nil"/>
              <w:left w:val="nil"/>
              <w:bottom w:val="single" w:sz="4" w:space="0" w:color="auto"/>
              <w:right w:val="nil"/>
            </w:tcBorders>
            <w:shd w:val="clear" w:color="auto" w:fill="E2EFD9" w:themeFill="accent6" w:themeFillTint="33"/>
            <w:noWrap/>
            <w:vAlign w:val="center"/>
            <w:hideMark/>
          </w:tcPr>
          <w:p w14:paraId="772C82B8" w14:textId="77777777" w:rsidR="00EB71E9" w:rsidRPr="006B42D6" w:rsidRDefault="00EB71E9" w:rsidP="00141395">
            <w:pPr>
              <w:jc w:val="right"/>
              <w:rPr>
                <w:sz w:val="15"/>
                <w:szCs w:val="15"/>
              </w:rPr>
            </w:pPr>
            <w:r w:rsidRPr="006B42D6">
              <w:rPr>
                <w:sz w:val="15"/>
                <w:szCs w:val="15"/>
              </w:rPr>
              <w:t>103,382</w:t>
            </w:r>
          </w:p>
        </w:tc>
        <w:tc>
          <w:tcPr>
            <w:tcW w:w="365" w:type="pct"/>
            <w:tcBorders>
              <w:top w:val="nil"/>
              <w:left w:val="nil"/>
              <w:bottom w:val="single" w:sz="4" w:space="0" w:color="auto"/>
              <w:right w:val="nil"/>
            </w:tcBorders>
            <w:shd w:val="clear" w:color="auto" w:fill="7F7F7F" w:themeFill="text1" w:themeFillTint="80"/>
            <w:noWrap/>
            <w:vAlign w:val="center"/>
            <w:hideMark/>
          </w:tcPr>
          <w:p w14:paraId="019FB8E5" w14:textId="0594843A" w:rsidR="00EB71E9" w:rsidRPr="006B42D6" w:rsidRDefault="00EB71E9" w:rsidP="00141395">
            <w:pPr>
              <w:jc w:val="right"/>
              <w:rPr>
                <w:sz w:val="15"/>
                <w:szCs w:val="15"/>
              </w:rPr>
            </w:pPr>
          </w:p>
        </w:tc>
        <w:tc>
          <w:tcPr>
            <w:tcW w:w="456" w:type="pct"/>
            <w:tcBorders>
              <w:top w:val="nil"/>
              <w:left w:val="nil"/>
              <w:bottom w:val="single" w:sz="4" w:space="0" w:color="auto"/>
              <w:right w:val="nil"/>
            </w:tcBorders>
            <w:shd w:val="clear" w:color="auto" w:fill="7F7F7F" w:themeFill="text1" w:themeFillTint="80"/>
            <w:noWrap/>
            <w:vAlign w:val="center"/>
            <w:hideMark/>
          </w:tcPr>
          <w:p w14:paraId="6784D9F8" w14:textId="77777777" w:rsidR="00EB71E9" w:rsidRPr="006B42D6" w:rsidRDefault="00EB71E9" w:rsidP="00141395">
            <w:pPr>
              <w:jc w:val="right"/>
              <w:rPr>
                <w:sz w:val="15"/>
                <w:szCs w:val="15"/>
              </w:rPr>
            </w:pPr>
          </w:p>
        </w:tc>
      </w:tr>
    </w:tbl>
    <w:p w14:paraId="7BB89F14" w14:textId="77777777" w:rsidR="006A3706" w:rsidRDefault="006A3706" w:rsidP="00C11F1D">
      <w:pPr>
        <w:spacing w:line="480" w:lineRule="auto"/>
      </w:pPr>
    </w:p>
    <w:p w14:paraId="1B0E1741" w14:textId="089CE298" w:rsidR="000E1363" w:rsidRPr="006B42D6" w:rsidRDefault="00A850C6" w:rsidP="008E0611">
      <w:pPr>
        <w:pStyle w:val="Heading3"/>
      </w:pPr>
      <w:bookmarkStart w:id="671" w:name="_Toc82385763"/>
      <w:r w:rsidRPr="006B42D6">
        <w:t>4.</w:t>
      </w:r>
      <w:r w:rsidR="00022347">
        <w:t>5</w:t>
      </w:r>
      <w:r w:rsidR="008E0611" w:rsidRPr="006B42D6">
        <w:t>.2</w:t>
      </w:r>
      <w:r w:rsidRPr="006B42D6">
        <w:tab/>
      </w:r>
      <w:r w:rsidR="000E1363" w:rsidRPr="006B42D6">
        <w:t>Livestock Vaccination</w:t>
      </w:r>
      <w:bookmarkEnd w:id="671"/>
    </w:p>
    <w:p w14:paraId="0CAFB372" w14:textId="6DEC50D1" w:rsidR="009400E5" w:rsidRPr="006B42D6" w:rsidRDefault="009400E5" w:rsidP="009400E5">
      <w:pPr>
        <w:pStyle w:val="Heading4"/>
      </w:pPr>
      <w:bookmarkStart w:id="672" w:name="_Toc82385764"/>
      <w:r w:rsidRPr="006B42D6">
        <w:t>4.</w:t>
      </w:r>
      <w:r w:rsidR="00022347">
        <w:t>5</w:t>
      </w:r>
      <w:r w:rsidRPr="006B42D6">
        <w:t>.2.1</w:t>
      </w:r>
      <w:r w:rsidRPr="006B42D6">
        <w:tab/>
        <w:t>Vaccine Against Various Livestock Diseases</w:t>
      </w:r>
      <w:bookmarkEnd w:id="672"/>
    </w:p>
    <w:p w14:paraId="069ED60F" w14:textId="45C8E1A1" w:rsidR="000E1363" w:rsidRDefault="000E1363" w:rsidP="005B1E36">
      <w:pPr>
        <w:pStyle w:val="ColorfulList-Accent11"/>
        <w:widowControl w:val="0"/>
        <w:numPr>
          <w:ilvl w:val="0"/>
          <w:numId w:val="19"/>
        </w:numPr>
        <w:tabs>
          <w:tab w:val="left" w:pos="709"/>
          <w:tab w:val="left" w:pos="8355"/>
        </w:tabs>
        <w:autoSpaceDE w:val="0"/>
        <w:autoSpaceDN w:val="0"/>
        <w:adjustRightInd w:val="0"/>
        <w:spacing w:before="106" w:after="0" w:line="360" w:lineRule="auto"/>
        <w:ind w:right="-472" w:hanging="578"/>
        <w:rPr>
          <w:rFonts w:ascii="Times New Roman" w:hAnsi="Times New Roman"/>
          <w:b/>
          <w:sz w:val="24"/>
          <w:szCs w:val="24"/>
        </w:rPr>
      </w:pPr>
      <w:r w:rsidRPr="006B42D6">
        <w:rPr>
          <w:rFonts w:ascii="Times New Roman" w:hAnsi="Times New Roman"/>
          <w:b/>
          <w:sz w:val="24"/>
          <w:szCs w:val="24"/>
        </w:rPr>
        <w:t>Foot and Mouth Disease (FMD)</w:t>
      </w:r>
    </w:p>
    <w:p w14:paraId="46E22BA4" w14:textId="77777777" w:rsidR="009834FA" w:rsidRPr="006B42D6" w:rsidRDefault="009834FA" w:rsidP="009834FA">
      <w:pPr>
        <w:tabs>
          <w:tab w:val="left" w:pos="5993"/>
          <w:tab w:val="left" w:pos="8355"/>
        </w:tabs>
        <w:adjustRightInd w:val="0"/>
        <w:spacing w:before="106"/>
        <w:ind w:left="142" w:right="-472"/>
      </w:pPr>
      <w:r w:rsidRPr="006B42D6">
        <w:t xml:space="preserve">The census results show that, 187,365 livestock rearing households reported to receive vaccination on Foot and Mouth Disease </w:t>
      </w:r>
      <w:r w:rsidRPr="009834FA">
        <w:rPr>
          <w:b/>
        </w:rPr>
        <w:t>(</w:t>
      </w:r>
      <w:r w:rsidRPr="006B42D6">
        <w:t xml:space="preserve">FMD), of which 184,008 households were in </w:t>
      </w:r>
      <w:r>
        <w:rPr>
          <w:lang w:eastAsia="en-GB"/>
        </w:rPr>
        <w:t>Mainland Tanzania</w:t>
      </w:r>
      <w:r w:rsidRPr="006B42D6">
        <w:t xml:space="preserve"> and 3,357 in </w:t>
      </w:r>
      <w:r w:rsidRPr="006B42D6">
        <w:rPr>
          <w:lang w:eastAsia="en-GB"/>
        </w:rPr>
        <w:t xml:space="preserve">Tanzania </w:t>
      </w:r>
      <w:r w:rsidRPr="006B42D6">
        <w:t xml:space="preserve">Zanzibar. In </w:t>
      </w:r>
      <w:r>
        <w:rPr>
          <w:lang w:eastAsia="en-GB"/>
        </w:rPr>
        <w:t>Mainland Tanzania</w:t>
      </w:r>
      <w:r w:rsidRPr="006B42D6">
        <w:t xml:space="preserve">, the region with the largest proportion of livestock rearing households that vaccinated their livestock against FMD was Tabora (14,559; 33.2 percent), followed by Iringa (12,876; 23.1 percent) and Dodoma (12,753; </w:t>
      </w:r>
      <w:r w:rsidRPr="006B42D6">
        <w:lastRenderedPageBreak/>
        <w:t>28.0 percent). Region with the least number of households that vaccinated their animals against FMD was Lindi (266; 2.0 percent) (Figure 4.42).</w:t>
      </w:r>
    </w:p>
    <w:p w14:paraId="5DDA489E" w14:textId="1A20AD5E" w:rsidR="009834FA" w:rsidRDefault="009834FA" w:rsidP="009834FA">
      <w:pPr>
        <w:pStyle w:val="ColorfulList-Accent11"/>
        <w:widowControl w:val="0"/>
        <w:tabs>
          <w:tab w:val="left" w:pos="709"/>
          <w:tab w:val="left" w:pos="8355"/>
        </w:tabs>
        <w:autoSpaceDE w:val="0"/>
        <w:autoSpaceDN w:val="0"/>
        <w:adjustRightInd w:val="0"/>
        <w:spacing w:before="106" w:after="0" w:line="360" w:lineRule="auto"/>
        <w:ind w:right="-472"/>
        <w:rPr>
          <w:rFonts w:ascii="Times New Roman" w:hAnsi="Times New Roman"/>
          <w:b/>
          <w:sz w:val="24"/>
          <w:szCs w:val="24"/>
        </w:rPr>
      </w:pPr>
    </w:p>
    <w:p w14:paraId="2580D581" w14:textId="6CAAA3C0" w:rsidR="009834FA" w:rsidRPr="00D5199C" w:rsidRDefault="009834FA" w:rsidP="00D5199C">
      <w:pPr>
        <w:pStyle w:val="Caption"/>
      </w:pPr>
      <w:bookmarkStart w:id="673" w:name="_Toc80120315"/>
      <w:bookmarkStart w:id="674" w:name="_Toc80884191"/>
      <w:bookmarkStart w:id="675" w:name="_Toc80884562"/>
      <w:bookmarkStart w:id="676" w:name="_Toc82386413"/>
      <w:r w:rsidRPr="00D5199C">
        <w:t>Figure 4.42:</w:t>
      </w:r>
      <w:r w:rsidRPr="00D5199C">
        <w:tab/>
        <w:t>Number and Percent of Households Reported to Vaccinate Livestock Against FMD by Region During 2019/20 Agricultural Year, Mainland Tanzania</w:t>
      </w:r>
      <w:bookmarkEnd w:id="673"/>
      <w:bookmarkEnd w:id="674"/>
      <w:bookmarkEnd w:id="675"/>
      <w:bookmarkEnd w:id="676"/>
    </w:p>
    <w:p w14:paraId="72A7AC10" w14:textId="2D1AF298" w:rsidR="009834FA" w:rsidRPr="006B42D6" w:rsidRDefault="009834FA" w:rsidP="009834FA">
      <w:pPr>
        <w:pStyle w:val="ColorfulList-Accent11"/>
        <w:widowControl w:val="0"/>
        <w:tabs>
          <w:tab w:val="left" w:pos="709"/>
          <w:tab w:val="left" w:pos="8355"/>
        </w:tabs>
        <w:autoSpaceDE w:val="0"/>
        <w:autoSpaceDN w:val="0"/>
        <w:adjustRightInd w:val="0"/>
        <w:spacing w:before="106" w:after="0" w:line="360" w:lineRule="auto"/>
        <w:ind w:right="-472" w:hanging="578"/>
        <w:rPr>
          <w:rFonts w:ascii="Times New Roman" w:hAnsi="Times New Roman"/>
          <w:b/>
          <w:sz w:val="24"/>
          <w:szCs w:val="24"/>
        </w:rPr>
      </w:pPr>
      <w:r>
        <w:rPr>
          <w:noProof/>
        </w:rPr>
        <w:drawing>
          <wp:inline distT="0" distB="0" distL="0" distR="0" wp14:anchorId="7DD975C6" wp14:editId="1D7A5875">
            <wp:extent cx="5588635" cy="2971800"/>
            <wp:effectExtent l="0" t="0" r="12065" b="12700"/>
            <wp:docPr id="189"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9"/>
              </a:graphicData>
            </a:graphic>
          </wp:inline>
        </w:drawing>
      </w:r>
    </w:p>
    <w:p w14:paraId="125BD5C2" w14:textId="77777777" w:rsidR="002D6350" w:rsidRPr="006B42D6" w:rsidRDefault="002D6350" w:rsidP="00141395">
      <w:pPr>
        <w:tabs>
          <w:tab w:val="left" w:pos="5993"/>
          <w:tab w:val="left" w:pos="8355"/>
        </w:tabs>
        <w:adjustRightInd w:val="0"/>
        <w:spacing w:before="106" w:line="240" w:lineRule="auto"/>
        <w:ind w:left="142" w:right="-472"/>
      </w:pPr>
    </w:p>
    <w:p w14:paraId="795EE9FF" w14:textId="5D3A3767" w:rsidR="000E1363" w:rsidRDefault="00D958BF" w:rsidP="005C2EFC">
      <w:pPr>
        <w:tabs>
          <w:tab w:val="left" w:pos="5993"/>
          <w:tab w:val="left" w:pos="8355"/>
        </w:tabs>
        <w:adjustRightInd w:val="0"/>
        <w:spacing w:before="106"/>
        <w:ind w:left="142" w:right="-472"/>
      </w:pPr>
      <w:r w:rsidRPr="006B42D6">
        <w:t xml:space="preserve">In </w:t>
      </w:r>
      <w:r w:rsidR="00327632" w:rsidRPr="006B42D6">
        <w:rPr>
          <w:lang w:eastAsia="en-GB"/>
        </w:rPr>
        <w:t xml:space="preserve">Tanzania </w:t>
      </w:r>
      <w:r w:rsidRPr="006B42D6">
        <w:t xml:space="preserve">Zanzibar, the region with the largest number of livestock rearing households, that vaccinated their livestock against FMD, was Kusini Pemba (1,338; 39.1 percent), followed by Kusini Unguja (731; 17.9 percent) and Kaskazini Unguja (598; 13.8 percent). The region with the least proportion was Mjini Magharibi (133; 2.1 percent) </w:t>
      </w:r>
      <w:r w:rsidR="00A72DA7" w:rsidRPr="006B42D6">
        <w:t>(</w:t>
      </w:r>
      <w:r w:rsidR="000E1363" w:rsidRPr="006B42D6">
        <w:t>Figure 4.</w:t>
      </w:r>
      <w:r w:rsidR="00991B4F" w:rsidRPr="006B42D6">
        <w:t>43</w:t>
      </w:r>
      <w:r w:rsidR="00A72DA7" w:rsidRPr="006B42D6">
        <w:t>).</w:t>
      </w:r>
    </w:p>
    <w:p w14:paraId="1D6C48C1" w14:textId="77777777" w:rsidR="006A3706" w:rsidRPr="006B42D6" w:rsidRDefault="006A3706" w:rsidP="005C2EFC">
      <w:pPr>
        <w:tabs>
          <w:tab w:val="left" w:pos="5993"/>
          <w:tab w:val="left" w:pos="8355"/>
        </w:tabs>
        <w:adjustRightInd w:val="0"/>
        <w:spacing w:before="106"/>
        <w:ind w:left="142" w:right="-472"/>
      </w:pPr>
    </w:p>
    <w:p w14:paraId="2E0BE602" w14:textId="653026FE" w:rsidR="00A850C6" w:rsidRPr="00D5199C" w:rsidRDefault="006A3706" w:rsidP="00D5199C">
      <w:pPr>
        <w:pStyle w:val="Caption"/>
      </w:pPr>
      <w:bookmarkStart w:id="677" w:name="_Toc82386414"/>
      <w:r w:rsidRPr="00D5199C">
        <w:t>Figure 4.43</w:t>
      </w:r>
      <w:r w:rsidR="00141395" w:rsidRPr="00D5199C">
        <w:t>:</w:t>
      </w:r>
      <w:r w:rsidRPr="00D5199C">
        <w:tab/>
        <w:t>Number and Percent of Households Reported to Vaccinate Livestock Against FMD by Region During 2019/20 Agricultural Year, Tanzania Zanzibar</w:t>
      </w:r>
      <w:bookmarkEnd w:id="677"/>
    </w:p>
    <w:p w14:paraId="4A5CBC39" w14:textId="15D050BA" w:rsidR="006A3706" w:rsidRPr="006B42D6" w:rsidRDefault="006A3706" w:rsidP="005C2EFC">
      <w:pPr>
        <w:tabs>
          <w:tab w:val="left" w:pos="5993"/>
          <w:tab w:val="left" w:pos="8355"/>
        </w:tabs>
        <w:adjustRightInd w:val="0"/>
        <w:spacing w:before="106"/>
        <w:ind w:left="142" w:right="-472"/>
      </w:pPr>
      <w:r>
        <w:rPr>
          <w:noProof/>
        </w:rPr>
        <w:drawing>
          <wp:inline distT="0" distB="0" distL="0" distR="0" wp14:anchorId="73B5B660" wp14:editId="68DF24E5">
            <wp:extent cx="5218387" cy="2309495"/>
            <wp:effectExtent l="0" t="0" r="14605" b="14605"/>
            <wp:docPr id="19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0"/>
              </a:graphicData>
            </a:graphic>
          </wp:inline>
        </w:drawing>
      </w:r>
    </w:p>
    <w:p w14:paraId="4EA1DD2B" w14:textId="6958E379" w:rsidR="009834FA" w:rsidRDefault="009834FA">
      <w:pPr>
        <w:spacing w:line="240" w:lineRule="auto"/>
        <w:contextualSpacing w:val="0"/>
        <w:jc w:val="left"/>
      </w:pPr>
      <w:r>
        <w:br w:type="page"/>
      </w:r>
    </w:p>
    <w:p w14:paraId="23421BA3" w14:textId="1E3EE67A" w:rsidR="000E1363" w:rsidRDefault="000E1363" w:rsidP="00D20E0C">
      <w:pPr>
        <w:pStyle w:val="ColorfulList-Accent11"/>
        <w:widowControl w:val="0"/>
        <w:numPr>
          <w:ilvl w:val="0"/>
          <w:numId w:val="19"/>
        </w:numPr>
        <w:tabs>
          <w:tab w:val="left" w:pos="567"/>
          <w:tab w:val="left" w:pos="8355"/>
        </w:tabs>
        <w:autoSpaceDE w:val="0"/>
        <w:autoSpaceDN w:val="0"/>
        <w:adjustRightInd w:val="0"/>
        <w:spacing w:before="106" w:after="0" w:line="360" w:lineRule="auto"/>
        <w:ind w:left="0" w:right="-472" w:firstLine="0"/>
        <w:rPr>
          <w:rFonts w:ascii="Times New Roman" w:hAnsi="Times New Roman"/>
          <w:b/>
          <w:sz w:val="24"/>
          <w:szCs w:val="24"/>
        </w:rPr>
      </w:pPr>
      <w:r w:rsidRPr="006B42D6">
        <w:rPr>
          <w:rFonts w:ascii="Times New Roman" w:hAnsi="Times New Roman"/>
          <w:b/>
          <w:sz w:val="24"/>
          <w:szCs w:val="24"/>
        </w:rPr>
        <w:lastRenderedPageBreak/>
        <w:t>Rabies</w:t>
      </w:r>
    </w:p>
    <w:p w14:paraId="1333CFCB" w14:textId="4701E0B2" w:rsidR="00D20E0C" w:rsidRPr="006B42D6" w:rsidRDefault="00D20E0C" w:rsidP="00D20E0C">
      <w:r w:rsidRPr="006B42D6">
        <w:t xml:space="preserve">The census results show that, 96,356 livestock rearing households vaccinated their animals against rabies, of which 95,337 were in </w:t>
      </w:r>
      <w:r>
        <w:rPr>
          <w:lang w:eastAsia="en-GB"/>
        </w:rPr>
        <w:t>Mainland Tanzania</w:t>
      </w:r>
      <w:r w:rsidRPr="006B42D6">
        <w:t xml:space="preserve"> and 1,019 in </w:t>
      </w:r>
      <w:r w:rsidRPr="006B42D6">
        <w:rPr>
          <w:lang w:eastAsia="en-GB"/>
        </w:rPr>
        <w:t xml:space="preserve">Tanzania </w:t>
      </w:r>
      <w:r w:rsidRPr="006B42D6">
        <w:t xml:space="preserve">Zanzibar. In </w:t>
      </w:r>
      <w:r>
        <w:rPr>
          <w:lang w:eastAsia="en-GB"/>
        </w:rPr>
        <w:t>Mainland Tanzania</w:t>
      </w:r>
      <w:r w:rsidRPr="006B42D6">
        <w:t xml:space="preserve">, the region with the largest proportion of livestock rearing households that vaccinated their livestock against Rabies was Iringa (13,512; 34.5 percent); followed by Kilimanjaro (8,035; 16.2 percent) and Tabora (7,744; 26.6 percent). The region with the least number of households which vaccinated their animals against Rabies was Lindi (225; 3.3 percent) (Figure 4.44). </w:t>
      </w:r>
    </w:p>
    <w:p w14:paraId="6E1C9795" w14:textId="4A66B1A2" w:rsidR="00D20E0C" w:rsidRDefault="00D20E0C" w:rsidP="00D20E0C">
      <w:pPr>
        <w:pStyle w:val="ColorfulList-Accent11"/>
        <w:widowControl w:val="0"/>
        <w:tabs>
          <w:tab w:val="left" w:pos="709"/>
          <w:tab w:val="left" w:pos="8355"/>
        </w:tabs>
        <w:autoSpaceDE w:val="0"/>
        <w:autoSpaceDN w:val="0"/>
        <w:adjustRightInd w:val="0"/>
        <w:spacing w:before="106" w:after="0" w:line="240" w:lineRule="auto"/>
        <w:ind w:right="-472" w:hanging="720"/>
        <w:rPr>
          <w:rFonts w:ascii="Times New Roman" w:hAnsi="Times New Roman"/>
          <w:b/>
          <w:sz w:val="24"/>
          <w:szCs w:val="24"/>
        </w:rPr>
      </w:pPr>
    </w:p>
    <w:p w14:paraId="70BD0E9B" w14:textId="183B824E" w:rsidR="00D20E0C" w:rsidRDefault="00D20E0C" w:rsidP="00D20E0C">
      <w:pPr>
        <w:pStyle w:val="Caption"/>
      </w:pPr>
      <w:bookmarkStart w:id="678" w:name="_Toc80120317"/>
      <w:bookmarkStart w:id="679" w:name="_Toc80884193"/>
      <w:bookmarkStart w:id="680" w:name="_Toc80884564"/>
      <w:bookmarkStart w:id="681" w:name="_Toc82386415"/>
      <w:r w:rsidRPr="007737F4">
        <w:t>Figure 4.44:</w:t>
      </w:r>
      <w:r>
        <w:tab/>
      </w:r>
      <w:r w:rsidRPr="007737F4">
        <w:t>Number and Percent of Households Reported to Vaccinate Livestock Against Rabies by Region During 2019/20 Agricultural Year, Mainland Tanzania</w:t>
      </w:r>
      <w:bookmarkEnd w:id="678"/>
      <w:bookmarkEnd w:id="679"/>
      <w:bookmarkEnd w:id="680"/>
      <w:bookmarkEnd w:id="681"/>
    </w:p>
    <w:p w14:paraId="3E02A4C8" w14:textId="77777777" w:rsidR="00D20E0C" w:rsidRPr="00D20E0C" w:rsidRDefault="00D20E0C" w:rsidP="00D20E0C">
      <w:pPr>
        <w:rPr>
          <w:sz w:val="6"/>
          <w:szCs w:val="6"/>
        </w:rPr>
      </w:pPr>
    </w:p>
    <w:p w14:paraId="5CD07E9B" w14:textId="263D0E5B" w:rsidR="00DE560D" w:rsidRPr="006B42D6" w:rsidRDefault="007737F4" w:rsidP="00D20E0C">
      <w:pPr>
        <w:tabs>
          <w:tab w:val="left" w:pos="5993"/>
          <w:tab w:val="left" w:pos="8355"/>
        </w:tabs>
        <w:adjustRightInd w:val="0"/>
        <w:spacing w:before="106"/>
        <w:ind w:right="-472"/>
      </w:pPr>
      <w:r>
        <w:rPr>
          <w:noProof/>
        </w:rPr>
        <w:drawing>
          <wp:inline distT="0" distB="0" distL="0" distR="0" wp14:anchorId="6EA2191B" wp14:editId="02147C80">
            <wp:extent cx="5422900" cy="2538248"/>
            <wp:effectExtent l="0" t="0" r="12700" b="14605"/>
            <wp:docPr id="560"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1"/>
              </a:graphicData>
            </a:graphic>
          </wp:inline>
        </w:drawing>
      </w:r>
      <w:r w:rsidR="00DE560D" w:rsidRPr="006B42D6">
        <w:t xml:space="preserve"> </w:t>
      </w:r>
    </w:p>
    <w:p w14:paraId="6CF309E2" w14:textId="5A44E902" w:rsidR="000E1363" w:rsidRPr="006B42D6" w:rsidRDefault="00C5166C" w:rsidP="00D20E0C">
      <w:pPr>
        <w:tabs>
          <w:tab w:val="left" w:pos="5993"/>
          <w:tab w:val="left" w:pos="8355"/>
        </w:tabs>
        <w:adjustRightInd w:val="0"/>
        <w:spacing w:before="106"/>
        <w:ind w:left="142" w:right="-472"/>
      </w:pPr>
      <w:r>
        <w:rPr>
          <w:noProof/>
        </w:rPr>
        <mc:AlternateContent>
          <mc:Choice Requires="wps">
            <w:drawing>
              <wp:anchor distT="0" distB="0" distL="114300" distR="114300" simplePos="0" relativeHeight="251613184" behindDoc="0" locked="0" layoutInCell="1" allowOverlap="1" wp14:anchorId="008045D8" wp14:editId="5089D95B">
                <wp:simplePos x="0" y="0"/>
                <wp:positionH relativeFrom="column">
                  <wp:posOffset>2477770</wp:posOffset>
                </wp:positionH>
                <wp:positionV relativeFrom="paragraph">
                  <wp:posOffset>253737</wp:posOffset>
                </wp:positionV>
                <wp:extent cx="3286125" cy="622300"/>
                <wp:effectExtent l="0" t="0" r="3175" b="0"/>
                <wp:wrapTight wrapText="bothSides">
                  <wp:wrapPolygon edited="0">
                    <wp:start x="0" y="0"/>
                    <wp:lineTo x="0" y="21159"/>
                    <wp:lineTo x="21537" y="21159"/>
                    <wp:lineTo x="21537" y="0"/>
                    <wp:lineTo x="0" y="0"/>
                  </wp:wrapPolygon>
                </wp:wrapTight>
                <wp:docPr id="55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86125" cy="622300"/>
                        </a:xfrm>
                        <a:prstGeom prst="rect">
                          <a:avLst/>
                        </a:prstGeom>
                        <a:solidFill>
                          <a:prstClr val="white"/>
                        </a:solidFill>
                        <a:ln>
                          <a:noFill/>
                        </a:ln>
                        <a:effectLst/>
                      </wps:spPr>
                      <wps:txbx>
                        <w:txbxContent>
                          <w:p w14:paraId="42E8E270" w14:textId="7FB6C73B" w:rsidR="00933456" w:rsidRPr="007737F4" w:rsidRDefault="00933456" w:rsidP="007737F4">
                            <w:pPr>
                              <w:pStyle w:val="Caption"/>
                            </w:pPr>
                            <w:bookmarkStart w:id="682" w:name="_Toc80120318"/>
                            <w:bookmarkStart w:id="683" w:name="_Toc80884194"/>
                            <w:bookmarkStart w:id="684" w:name="_Toc80884565"/>
                            <w:bookmarkStart w:id="685" w:name="_Toc82386416"/>
                            <w:r w:rsidRPr="007737F4">
                              <w:t>Figure 4.45:</w:t>
                            </w:r>
                            <w:r>
                              <w:tab/>
                            </w:r>
                            <w:r w:rsidRPr="007737F4">
                              <w:t>Number and Percent of Households Reported to Vaccinate Livestock Against Rabies by Region During 2019/20 Agricultural Year, Tanzania Zanzibar</w:t>
                            </w:r>
                            <w:bookmarkEnd w:id="682"/>
                            <w:bookmarkEnd w:id="683"/>
                            <w:bookmarkEnd w:id="684"/>
                            <w:bookmarkEnd w:id="68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8045D8" id="Text Box 6" o:spid="_x0000_s1101" type="#_x0000_t202" style="position:absolute;left:0;text-align:left;margin-left:195.1pt;margin-top:20pt;width:258.75pt;height:49pt;z-index:251613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" stroked="f">
                <v:textbox inset="0,0,0,0">
                  <w:txbxContent>
                    <w:p w14:paraId="42E8E270" w14:textId="7FB6C73B" w:rsidR="00933456" w:rsidRPr="007737F4" w:rsidRDefault="00933456" w:rsidP="007737F4">
                      <w:pPr>
                        <w:pStyle w:val="Caption"/>
                      </w:pPr>
                      <w:bookmarkStart w:id="959" w:name="_Toc80120318"/>
                      <w:bookmarkStart w:id="960" w:name="_Toc80884194"/>
                      <w:bookmarkStart w:id="961" w:name="_Toc80884565"/>
                      <w:bookmarkStart w:id="962" w:name="_Toc82386416"/>
                      <w:r w:rsidRPr="007737F4">
                        <w:t>Figure 4.45:</w:t>
                      </w:r>
                      <w:r>
                        <w:tab/>
                      </w:r>
                      <w:r w:rsidRPr="007737F4">
                        <w:t>Number and Percent of Households Reported to Vaccinate Livestock Against Rabies by Region During 2019/20 Agricultural Year, Tanzania Zanzibar</w:t>
                      </w:r>
                      <w:bookmarkEnd w:id="959"/>
                      <w:bookmarkEnd w:id="960"/>
                      <w:bookmarkEnd w:id="961"/>
                      <w:bookmarkEnd w:id="962"/>
                    </w:p>
                  </w:txbxContent>
                </v:textbox>
                <w10:wrap type="tight"/>
              </v:shape>
            </w:pict>
          </mc:Fallback>
        </mc:AlternateContent>
      </w:r>
    </w:p>
    <w:p w14:paraId="5B101F45" w14:textId="1320540B" w:rsidR="00CE236F" w:rsidRDefault="00C5166C" w:rsidP="00141395">
      <w:pPr>
        <w:tabs>
          <w:tab w:val="left" w:pos="5993"/>
          <w:tab w:val="left" w:pos="8355"/>
        </w:tabs>
        <w:adjustRightInd w:val="0"/>
        <w:spacing w:before="106"/>
        <w:ind w:right="-472"/>
      </w:pPr>
      <w:r>
        <w:rPr>
          <w:noProof/>
        </w:rPr>
        <w:drawing>
          <wp:anchor distT="0" distB="0" distL="114300" distR="114300" simplePos="0" relativeHeight="251823104" behindDoc="1" locked="0" layoutInCell="1" allowOverlap="1" wp14:anchorId="300C8315" wp14:editId="0192058C">
            <wp:simplePos x="0" y="0"/>
            <wp:positionH relativeFrom="column">
              <wp:posOffset>2451100</wp:posOffset>
            </wp:positionH>
            <wp:positionV relativeFrom="paragraph">
              <wp:posOffset>733425</wp:posOffset>
            </wp:positionV>
            <wp:extent cx="3184525" cy="2151380"/>
            <wp:effectExtent l="0" t="0" r="15875" b="7620"/>
            <wp:wrapTight wrapText="bothSides">
              <wp:wrapPolygon edited="0">
                <wp:start x="0" y="0"/>
                <wp:lineTo x="0" y="21549"/>
                <wp:lineTo x="21622" y="21549"/>
                <wp:lineTo x="21622" y="0"/>
                <wp:lineTo x="0" y="0"/>
              </wp:wrapPolygon>
            </wp:wrapTight>
            <wp:docPr id="45" name="Chart 45">
              <a:extLst xmlns:a="http://schemas.openxmlformats.org/drawingml/2006/main">
                <a:ext uri="{FF2B5EF4-FFF2-40B4-BE49-F238E27FC236}">
                  <a16:creationId xmlns:a16="http://schemas.microsoft.com/office/drawing/2014/main" id="{FD2F4E8F-6BC3-EE45-861E-A5B4DDBDA9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2"/>
              </a:graphicData>
            </a:graphic>
            <wp14:sizeRelH relativeFrom="page">
              <wp14:pctWidth>0</wp14:pctWidth>
            </wp14:sizeRelH>
            <wp14:sizeRelV relativeFrom="page">
              <wp14:pctHeight>0</wp14:pctHeight>
            </wp14:sizeRelV>
          </wp:anchor>
        </w:drawing>
      </w:r>
      <w:r w:rsidR="000E1363" w:rsidRPr="006B42D6">
        <w:t xml:space="preserve">In </w:t>
      </w:r>
      <w:r w:rsidR="00327632" w:rsidRPr="006B42D6">
        <w:rPr>
          <w:lang w:eastAsia="en-GB"/>
        </w:rPr>
        <w:t xml:space="preserve">Tanzania </w:t>
      </w:r>
      <w:r w:rsidR="000E1363" w:rsidRPr="006B42D6">
        <w:t xml:space="preserve">Zanzibar, </w:t>
      </w:r>
      <w:r w:rsidR="00CE236F" w:rsidRPr="006B42D6">
        <w:t xml:space="preserve">the vaccination was </w:t>
      </w:r>
      <w:r w:rsidR="00027323" w:rsidRPr="006B42D6">
        <w:t>reported</w:t>
      </w:r>
      <w:r w:rsidR="00CE236F" w:rsidRPr="006B42D6">
        <w:t xml:space="preserve"> in three regions only. The region with the largest number of livestock rearing households which vaccinated their livestock against rabies, was Mjini Magharibi (680; 20.6 percent), followed by Kusini Unguja (197; 6.3 percent). The region with the least proportion was Kusini Pemba (142; 4.6 percent) </w:t>
      </w:r>
      <w:r w:rsidR="00912C90" w:rsidRPr="006B42D6">
        <w:t>(</w:t>
      </w:r>
      <w:r w:rsidR="00CE236F" w:rsidRPr="006B42D6">
        <w:t>Figure 4.</w:t>
      </w:r>
      <w:r w:rsidR="00991B4F" w:rsidRPr="006B42D6">
        <w:t>45</w:t>
      </w:r>
      <w:r w:rsidR="00912C90" w:rsidRPr="006B42D6">
        <w:t>)</w:t>
      </w:r>
      <w:r w:rsidR="00CE236F" w:rsidRPr="006B42D6">
        <w:t xml:space="preserve">. </w:t>
      </w:r>
    </w:p>
    <w:p w14:paraId="625FC275" w14:textId="3E5FB80E" w:rsidR="00D20E0C" w:rsidRDefault="00D20E0C">
      <w:pPr>
        <w:spacing w:line="240" w:lineRule="auto"/>
        <w:contextualSpacing w:val="0"/>
        <w:jc w:val="left"/>
      </w:pPr>
      <w:r>
        <w:br w:type="page"/>
      </w:r>
    </w:p>
    <w:p w14:paraId="017BB75D" w14:textId="6EF4FFDB" w:rsidR="000E1363" w:rsidRPr="006B42D6" w:rsidRDefault="007737F4" w:rsidP="00BA6B5C">
      <w:pPr>
        <w:tabs>
          <w:tab w:val="left" w:pos="567"/>
          <w:tab w:val="left" w:pos="8355"/>
        </w:tabs>
        <w:adjustRightInd w:val="0"/>
        <w:spacing w:before="106"/>
        <w:ind w:left="142" w:right="-472"/>
        <w:rPr>
          <w:b/>
        </w:rPr>
      </w:pPr>
      <w:r>
        <w:rPr>
          <w:b/>
          <w:noProof/>
        </w:rPr>
        <w:lastRenderedPageBreak/>
        <mc:AlternateContent>
          <mc:Choice Requires="wps">
            <w:drawing>
              <wp:anchor distT="0" distB="0" distL="114300" distR="114300" simplePos="0" relativeHeight="251583488" behindDoc="0" locked="0" layoutInCell="1" allowOverlap="1" wp14:anchorId="48085B49" wp14:editId="0305A2BB">
                <wp:simplePos x="0" y="0"/>
                <wp:positionH relativeFrom="column">
                  <wp:posOffset>2600960</wp:posOffset>
                </wp:positionH>
                <wp:positionV relativeFrom="paragraph">
                  <wp:posOffset>236220</wp:posOffset>
                </wp:positionV>
                <wp:extent cx="3594100" cy="606425"/>
                <wp:effectExtent l="0" t="0" r="0" b="3175"/>
                <wp:wrapTight wrapText="bothSides">
                  <wp:wrapPolygon edited="0">
                    <wp:start x="0" y="0"/>
                    <wp:lineTo x="0" y="21261"/>
                    <wp:lineTo x="21524" y="21261"/>
                    <wp:lineTo x="21524" y="0"/>
                    <wp:lineTo x="0" y="0"/>
                  </wp:wrapPolygon>
                </wp:wrapTight>
                <wp:docPr id="555"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94100" cy="606425"/>
                        </a:xfrm>
                        <a:prstGeom prst="rect">
                          <a:avLst/>
                        </a:prstGeom>
                        <a:solidFill>
                          <a:prstClr val="white"/>
                        </a:solidFill>
                        <a:ln>
                          <a:noFill/>
                        </a:ln>
                        <a:effectLst/>
                      </wps:spPr>
                      <wps:txbx>
                        <w:txbxContent>
                          <w:p w14:paraId="7B43BBB3" w14:textId="04F70725" w:rsidR="00933456" w:rsidRPr="007737F4" w:rsidRDefault="00933456" w:rsidP="007737F4">
                            <w:pPr>
                              <w:pStyle w:val="Caption"/>
                            </w:pPr>
                            <w:bookmarkStart w:id="686" w:name="_Toc80120319"/>
                            <w:bookmarkStart w:id="687" w:name="_Toc80884195"/>
                            <w:bookmarkStart w:id="688" w:name="_Toc80884566"/>
                            <w:bookmarkStart w:id="689" w:name="_Toc82386417"/>
                            <w:r w:rsidRPr="007737F4">
                              <w:t>Figure 4.46:</w:t>
                            </w:r>
                            <w:r>
                              <w:tab/>
                            </w:r>
                            <w:r w:rsidRPr="007737F4">
                              <w:t>Number and Percent of Households Reported to Vaccinate Livestock Against Black Quarter by Region During 2019/20 Agricultural Year, Mainland Tanzania</w:t>
                            </w:r>
                            <w:bookmarkEnd w:id="686"/>
                            <w:bookmarkEnd w:id="687"/>
                            <w:bookmarkEnd w:id="688"/>
                            <w:bookmarkEnd w:id="689"/>
                          </w:p>
                          <w:p w14:paraId="7084BA22" w14:textId="77777777" w:rsidR="00933456" w:rsidRPr="007737F4" w:rsidRDefault="00933456" w:rsidP="007737F4">
                            <w:pPr>
                              <w:pStyle w:val="Caption"/>
                            </w:pPr>
                          </w:p>
                          <w:p w14:paraId="2EE5B126" w14:textId="77777777" w:rsidR="00933456" w:rsidRPr="007737F4" w:rsidRDefault="00933456" w:rsidP="007737F4">
                            <w:pPr>
                              <w:pStyle w:val="Caption"/>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085B49" id="Text Box 73" o:spid="_x0000_s1102" type="#_x0000_t202" style="position:absolute;left:0;text-align:left;margin-left:204.8pt;margin-top:18.6pt;width:283pt;height:47.75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" stroked="f">
                <v:textbox inset="0,0,0,0">
                  <w:txbxContent>
                    <w:p w14:paraId="7B43BBB3" w14:textId="04F70725" w:rsidR="00933456" w:rsidRPr="007737F4" w:rsidRDefault="00933456" w:rsidP="007737F4">
                      <w:pPr>
                        <w:pStyle w:val="Caption"/>
                      </w:pPr>
                      <w:bookmarkStart w:id="967" w:name="_Toc80120319"/>
                      <w:bookmarkStart w:id="968" w:name="_Toc80884195"/>
                      <w:bookmarkStart w:id="969" w:name="_Toc80884566"/>
                      <w:bookmarkStart w:id="970" w:name="_Toc82386417"/>
                      <w:r w:rsidRPr="007737F4">
                        <w:t>Figure 4.46:</w:t>
                      </w:r>
                      <w:r>
                        <w:tab/>
                      </w:r>
                      <w:r w:rsidRPr="007737F4">
                        <w:t>Number and Percent of Households Reported to Vaccinate Livestock Against Black Quarter by Region During 2019/20 Agricultural Year, Mainland Tanzania</w:t>
                      </w:r>
                      <w:bookmarkEnd w:id="967"/>
                      <w:bookmarkEnd w:id="968"/>
                      <w:bookmarkEnd w:id="969"/>
                      <w:bookmarkEnd w:id="970"/>
                    </w:p>
                    <w:p w14:paraId="7084BA22" w14:textId="77777777" w:rsidR="00933456" w:rsidRPr="007737F4" w:rsidRDefault="00933456" w:rsidP="007737F4">
                      <w:pPr>
                        <w:pStyle w:val="Caption"/>
                      </w:pPr>
                    </w:p>
                    <w:p w14:paraId="2EE5B126" w14:textId="77777777" w:rsidR="00933456" w:rsidRPr="007737F4" w:rsidRDefault="00933456" w:rsidP="007737F4">
                      <w:pPr>
                        <w:pStyle w:val="Caption"/>
                      </w:pPr>
                    </w:p>
                  </w:txbxContent>
                </v:textbox>
                <w10:wrap type="tight"/>
              </v:shape>
            </w:pict>
          </mc:Fallback>
        </mc:AlternateContent>
      </w:r>
      <w:r w:rsidR="005B1E36" w:rsidRPr="006B42D6">
        <w:rPr>
          <w:b/>
          <w:lang w:val="en-GB" w:eastAsia="en-GB"/>
        </w:rPr>
        <w:t>c)</w:t>
      </w:r>
      <w:r w:rsidR="005B1E36" w:rsidRPr="006B42D6">
        <w:rPr>
          <w:b/>
          <w:lang w:val="en-GB" w:eastAsia="en-GB"/>
        </w:rPr>
        <w:tab/>
      </w:r>
      <w:r w:rsidR="000E1363" w:rsidRPr="006B42D6">
        <w:rPr>
          <w:b/>
          <w:lang w:val="en-GB" w:eastAsia="en-GB"/>
        </w:rPr>
        <w:t>Black Quarter</w:t>
      </w:r>
    </w:p>
    <w:p w14:paraId="02362CCD" w14:textId="3A0841D6" w:rsidR="000E1363" w:rsidRDefault="007737F4" w:rsidP="005C2EFC">
      <w:pPr>
        <w:tabs>
          <w:tab w:val="left" w:pos="5993"/>
          <w:tab w:val="left" w:pos="8355"/>
        </w:tabs>
        <w:adjustRightInd w:val="0"/>
        <w:spacing w:before="106"/>
        <w:ind w:left="142" w:right="-472"/>
      </w:pPr>
      <w:r>
        <w:rPr>
          <w:noProof/>
        </w:rPr>
        <w:drawing>
          <wp:anchor distT="0" distB="0" distL="114300" distR="114300" simplePos="0" relativeHeight="251584512" behindDoc="0" locked="0" layoutInCell="1" allowOverlap="1" wp14:anchorId="7D69EF4A" wp14:editId="369775B5">
            <wp:simplePos x="0" y="0"/>
            <wp:positionH relativeFrom="column">
              <wp:posOffset>2598420</wp:posOffset>
            </wp:positionH>
            <wp:positionV relativeFrom="paragraph">
              <wp:posOffset>648335</wp:posOffset>
            </wp:positionV>
            <wp:extent cx="3431540" cy="2465705"/>
            <wp:effectExtent l="0" t="0" r="10160" b="10795"/>
            <wp:wrapTight wrapText="bothSides">
              <wp:wrapPolygon edited="0">
                <wp:start x="0" y="0"/>
                <wp:lineTo x="0" y="21583"/>
                <wp:lineTo x="21584" y="21583"/>
                <wp:lineTo x="21584" y="0"/>
                <wp:lineTo x="0" y="0"/>
              </wp:wrapPolygon>
            </wp:wrapTight>
            <wp:docPr id="554"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13"/>
              </a:graphicData>
            </a:graphic>
            <wp14:sizeRelV relativeFrom="margin">
              <wp14:pctHeight>0</wp14:pctHeight>
            </wp14:sizeRelV>
          </wp:anchor>
        </w:drawing>
      </w:r>
      <w:r w:rsidR="00C56D51" w:rsidRPr="006B42D6">
        <w:t xml:space="preserve">Black </w:t>
      </w:r>
      <w:r w:rsidR="00BA6B5C" w:rsidRPr="006B42D6">
        <w:t>q</w:t>
      </w:r>
      <w:r w:rsidR="00C56D51" w:rsidRPr="006B42D6">
        <w:t xml:space="preserve">uarter vaccination was applied in cattle, goats, sheep, and pigs during 2019/20 </w:t>
      </w:r>
      <w:r w:rsidR="00991B4F" w:rsidRPr="006B42D6">
        <w:t>a</w:t>
      </w:r>
      <w:r w:rsidR="00C56D51" w:rsidRPr="006B42D6">
        <w:t xml:space="preserve">gricultural year. The census results show that, 82,029 livestock rearing households reported applying vaccination on Black Quarter disease, of which 79,860 were in </w:t>
      </w:r>
      <w:r w:rsidR="00EA1552">
        <w:rPr>
          <w:lang w:eastAsia="en-GB"/>
        </w:rPr>
        <w:t>Mainland Tanzania</w:t>
      </w:r>
      <w:r w:rsidR="00C56D51" w:rsidRPr="006B42D6">
        <w:t xml:space="preserve"> and 2,169 in </w:t>
      </w:r>
      <w:r w:rsidR="00645B2E" w:rsidRPr="006B42D6">
        <w:rPr>
          <w:lang w:eastAsia="en-GB"/>
        </w:rPr>
        <w:t xml:space="preserve">Tanzania </w:t>
      </w:r>
      <w:r w:rsidR="00C56D51" w:rsidRPr="006B42D6">
        <w:t xml:space="preserve">Zanzibar. </w:t>
      </w:r>
      <w:r w:rsidR="000E1363" w:rsidRPr="006B42D6">
        <w:t xml:space="preserve"> </w:t>
      </w:r>
    </w:p>
    <w:p w14:paraId="69D2715A" w14:textId="77777777" w:rsidR="00141395" w:rsidRPr="006B42D6" w:rsidRDefault="00141395" w:rsidP="00C11F1D">
      <w:pPr>
        <w:tabs>
          <w:tab w:val="left" w:pos="5993"/>
          <w:tab w:val="left" w:pos="8355"/>
        </w:tabs>
        <w:adjustRightInd w:val="0"/>
        <w:spacing w:before="106" w:line="240" w:lineRule="auto"/>
        <w:ind w:left="142" w:right="-472"/>
      </w:pPr>
    </w:p>
    <w:p w14:paraId="3033904B" w14:textId="2A499D8A" w:rsidR="00C56D51" w:rsidRPr="006B42D6" w:rsidRDefault="00C56D51" w:rsidP="00C56D51">
      <w:pPr>
        <w:tabs>
          <w:tab w:val="left" w:pos="5993"/>
          <w:tab w:val="left" w:pos="8355"/>
        </w:tabs>
        <w:adjustRightInd w:val="0"/>
        <w:spacing w:before="106"/>
        <w:ind w:left="142" w:right="-472"/>
      </w:pPr>
      <w:r w:rsidRPr="006B42D6">
        <w:t xml:space="preserve">In </w:t>
      </w:r>
      <w:r w:rsidR="00EA1552">
        <w:rPr>
          <w:lang w:eastAsia="en-GB"/>
        </w:rPr>
        <w:t>Mainland Tanzania</w:t>
      </w:r>
      <w:r w:rsidRPr="006B42D6">
        <w:t xml:space="preserve">, the region with the largest number of livestock rearing households that vaccinated their livestock against Black Quarter was Tabora (9,433; 20.4 percent), followed by Iringa (7,707; 12.4 percent) and Manyara (5,643; 11.5 percent). The region with the least proportion of households that vaccinated their animals against Black Quarter was Mtwara (153; 0.3 percent) </w:t>
      </w:r>
      <w:r w:rsidR="00912C90" w:rsidRPr="006B42D6">
        <w:t>(</w:t>
      </w:r>
      <w:r w:rsidRPr="006B42D6">
        <w:t>Figure 4.</w:t>
      </w:r>
      <w:r w:rsidR="00991B4F" w:rsidRPr="006B42D6">
        <w:t>46</w:t>
      </w:r>
      <w:r w:rsidR="00912C90" w:rsidRPr="006B42D6">
        <w:t>)</w:t>
      </w:r>
      <w:r w:rsidRPr="006B42D6">
        <w:t xml:space="preserve">. </w:t>
      </w:r>
    </w:p>
    <w:p w14:paraId="29293AF5" w14:textId="29473459" w:rsidR="000E1363" w:rsidRPr="006B42D6" w:rsidRDefault="000E1363" w:rsidP="005C2EFC">
      <w:pPr>
        <w:tabs>
          <w:tab w:val="left" w:pos="5993"/>
          <w:tab w:val="left" w:pos="8355"/>
        </w:tabs>
        <w:adjustRightInd w:val="0"/>
        <w:spacing w:before="106"/>
        <w:ind w:right="-472"/>
      </w:pPr>
    </w:p>
    <w:p w14:paraId="5EE155DB" w14:textId="18C3DC25" w:rsidR="00C56D51" w:rsidRDefault="008C6D0D" w:rsidP="00C56D51">
      <w:pPr>
        <w:tabs>
          <w:tab w:val="left" w:pos="5993"/>
          <w:tab w:val="left" w:pos="8355"/>
        </w:tabs>
        <w:adjustRightInd w:val="0"/>
        <w:spacing w:before="106"/>
        <w:ind w:left="142" w:right="-472"/>
      </w:pPr>
      <w:r>
        <w:rPr>
          <w:noProof/>
        </w:rPr>
        <w:drawing>
          <wp:anchor distT="0" distB="0" distL="114300" distR="114300" simplePos="0" relativeHeight="251830272" behindDoc="1" locked="0" layoutInCell="1" allowOverlap="1" wp14:anchorId="63334C34" wp14:editId="07646DC1">
            <wp:simplePos x="0" y="0"/>
            <wp:positionH relativeFrom="column">
              <wp:posOffset>2389505</wp:posOffset>
            </wp:positionH>
            <wp:positionV relativeFrom="paragraph">
              <wp:posOffset>389255</wp:posOffset>
            </wp:positionV>
            <wp:extent cx="3639185" cy="2335530"/>
            <wp:effectExtent l="0" t="0" r="18415" b="13970"/>
            <wp:wrapTight wrapText="bothSides">
              <wp:wrapPolygon edited="0">
                <wp:start x="0" y="0"/>
                <wp:lineTo x="0" y="21612"/>
                <wp:lineTo x="21634" y="21612"/>
                <wp:lineTo x="21634" y="0"/>
                <wp:lineTo x="0" y="0"/>
              </wp:wrapPolygon>
            </wp:wrapTight>
            <wp:docPr id="4" name="Chart 4">
              <a:extLst xmlns:a="http://schemas.openxmlformats.org/drawingml/2006/main">
                <a:ext uri="{FF2B5EF4-FFF2-40B4-BE49-F238E27FC236}">
                  <a16:creationId xmlns:a16="http://schemas.microsoft.com/office/drawing/2014/main" id="{24F18E76-213F-A240-BBA8-F99189271E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4"/>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590656" behindDoc="0" locked="0" layoutInCell="1" allowOverlap="1" wp14:anchorId="266CCAA2" wp14:editId="2CE1387B">
                <wp:simplePos x="0" y="0"/>
                <wp:positionH relativeFrom="column">
                  <wp:posOffset>2389467</wp:posOffset>
                </wp:positionH>
                <wp:positionV relativeFrom="paragraph">
                  <wp:posOffset>-189865</wp:posOffset>
                </wp:positionV>
                <wp:extent cx="3964305" cy="488315"/>
                <wp:effectExtent l="0" t="0" r="0" b="0"/>
                <wp:wrapTight wrapText="bothSides">
                  <wp:wrapPolygon edited="0">
                    <wp:start x="0" y="0"/>
                    <wp:lineTo x="0" y="20785"/>
                    <wp:lineTo x="21503" y="20785"/>
                    <wp:lineTo x="21503" y="0"/>
                    <wp:lineTo x="0" y="0"/>
                  </wp:wrapPolygon>
                </wp:wrapTight>
                <wp:docPr id="55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4305" cy="488315"/>
                        </a:xfrm>
                        <a:prstGeom prst="rect">
                          <a:avLst/>
                        </a:prstGeom>
                        <a:solidFill>
                          <a:prstClr val="white"/>
                        </a:solidFill>
                        <a:ln>
                          <a:noFill/>
                        </a:ln>
                        <a:effectLst/>
                      </wps:spPr>
                      <wps:txbx>
                        <w:txbxContent>
                          <w:p w14:paraId="253B929E" w14:textId="6B6A7791" w:rsidR="00933456" w:rsidRPr="008C6D0D" w:rsidRDefault="00933456" w:rsidP="008C6D0D">
                            <w:pPr>
                              <w:pStyle w:val="Caption"/>
                            </w:pPr>
                            <w:bookmarkStart w:id="690" w:name="_Toc80120320"/>
                            <w:bookmarkStart w:id="691" w:name="_Toc80884196"/>
                            <w:bookmarkStart w:id="692" w:name="_Toc80884567"/>
                            <w:bookmarkStart w:id="693" w:name="_Toc82386418"/>
                            <w:r w:rsidRPr="008C6D0D">
                              <w:t>Figure 4.47:</w:t>
                            </w:r>
                            <w:r w:rsidRPr="008C6D0D">
                              <w:tab/>
                              <w:t>Number and Percent of Households Reported to Vaccinate Livestock Against Black Quarter by Region During 2019/20 Agricultural Year, Tanzania Zanzibar</w:t>
                            </w:r>
                            <w:bookmarkEnd w:id="690"/>
                            <w:bookmarkEnd w:id="691"/>
                            <w:bookmarkEnd w:id="692"/>
                            <w:bookmarkEnd w:id="69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6CCAA2" id="Text Box 10" o:spid="_x0000_s1103" type="#_x0000_t202" style="position:absolute;left:0;text-align:left;margin-left:188.15pt;margin-top:-14.95pt;width:312.15pt;height:38.45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" stroked="f">
                <v:textbox inset="0,0,0,0">
                  <w:txbxContent>
                    <w:p w14:paraId="253B929E" w14:textId="6B6A7791" w:rsidR="00933456" w:rsidRPr="008C6D0D" w:rsidRDefault="00933456" w:rsidP="008C6D0D">
                      <w:pPr>
                        <w:pStyle w:val="Caption"/>
                      </w:pPr>
                      <w:bookmarkStart w:id="975" w:name="_Toc80120320"/>
                      <w:bookmarkStart w:id="976" w:name="_Toc80884196"/>
                      <w:bookmarkStart w:id="977" w:name="_Toc80884567"/>
                      <w:bookmarkStart w:id="978" w:name="_Toc82386418"/>
                      <w:r w:rsidRPr="008C6D0D">
                        <w:t>Figure 4.47:</w:t>
                      </w:r>
                      <w:r w:rsidRPr="008C6D0D">
                        <w:tab/>
                        <w:t>Number and Percent of Households Reported to Vaccinate Livestock Against Black Quarter by Region During 2019/20 Agricultural Year, Tanzania Zanzibar</w:t>
                      </w:r>
                      <w:bookmarkEnd w:id="975"/>
                      <w:bookmarkEnd w:id="976"/>
                      <w:bookmarkEnd w:id="977"/>
                      <w:bookmarkEnd w:id="978"/>
                    </w:p>
                  </w:txbxContent>
                </v:textbox>
                <w10:wrap type="tight"/>
              </v:shape>
            </w:pict>
          </mc:Fallback>
        </mc:AlternateContent>
      </w:r>
      <w:r w:rsidR="00C56D51" w:rsidRPr="006B42D6">
        <w:t xml:space="preserve">In </w:t>
      </w:r>
      <w:r w:rsidR="00645B2E" w:rsidRPr="006B42D6">
        <w:rPr>
          <w:lang w:eastAsia="en-GB"/>
        </w:rPr>
        <w:t xml:space="preserve">Tanzania </w:t>
      </w:r>
      <w:r w:rsidR="00C56D51" w:rsidRPr="006B42D6">
        <w:t xml:space="preserve">Zanzibar, the region with the largest number of livestock rearing households, which vaccinated their livestock against Black Quarter Disease, was Kusini Unguja (1,088; 35.5 percent), followed by Kaskazini Unguja (773; 18.4 percent) and Mjini Magharibi (178; 4.3 percent), whereas the region with the least number of households was Kaskazini Pemba (130; 6 percent) </w:t>
      </w:r>
      <w:r w:rsidR="00912C90" w:rsidRPr="006B42D6">
        <w:t>(</w:t>
      </w:r>
      <w:r w:rsidR="00C56D51" w:rsidRPr="006B42D6">
        <w:t>Figure 4.</w:t>
      </w:r>
      <w:r w:rsidR="00991B4F" w:rsidRPr="006B42D6">
        <w:t>47</w:t>
      </w:r>
      <w:r w:rsidR="00912C90" w:rsidRPr="006B42D6">
        <w:t>)</w:t>
      </w:r>
      <w:r w:rsidR="00C56D51" w:rsidRPr="006B42D6">
        <w:t>.</w:t>
      </w:r>
    </w:p>
    <w:p w14:paraId="24B6D2F6" w14:textId="4C2FC5D7" w:rsidR="00AB34E9" w:rsidRDefault="00AB34E9">
      <w:pPr>
        <w:spacing w:line="240" w:lineRule="auto"/>
        <w:contextualSpacing w:val="0"/>
        <w:jc w:val="left"/>
      </w:pPr>
      <w:r>
        <w:br w:type="page"/>
      </w:r>
    </w:p>
    <w:p w14:paraId="68EAEED5" w14:textId="51CBE4CE" w:rsidR="000E1363" w:rsidRPr="006B42D6" w:rsidRDefault="00141395" w:rsidP="005B1E36">
      <w:pPr>
        <w:pStyle w:val="ColorfulList-Accent11"/>
        <w:widowControl w:val="0"/>
        <w:tabs>
          <w:tab w:val="left" w:pos="709"/>
          <w:tab w:val="left" w:pos="8355"/>
        </w:tabs>
        <w:autoSpaceDE w:val="0"/>
        <w:autoSpaceDN w:val="0"/>
        <w:adjustRightInd w:val="0"/>
        <w:spacing w:before="106" w:after="0" w:line="360" w:lineRule="auto"/>
        <w:ind w:left="0" w:right="-472"/>
        <w:rPr>
          <w:rFonts w:ascii="Times New Roman" w:hAnsi="Times New Roman"/>
          <w:b/>
          <w:sz w:val="24"/>
          <w:szCs w:val="24"/>
        </w:rPr>
      </w:pPr>
      <w:r>
        <w:rPr>
          <w:rFonts w:ascii="Times New Roman" w:hAnsi="Times New Roman"/>
          <w:b/>
          <w:noProof/>
          <w:sz w:val="24"/>
          <w:szCs w:val="24"/>
          <w:lang w:val="en-US" w:eastAsia="en-US"/>
        </w:rPr>
        <w:lastRenderedPageBreak/>
        <mc:AlternateContent>
          <mc:Choice Requires="wps">
            <w:drawing>
              <wp:anchor distT="0" distB="0" distL="114300" distR="114300" simplePos="0" relativeHeight="251577344" behindDoc="0" locked="0" layoutInCell="1" allowOverlap="1" wp14:anchorId="16158316" wp14:editId="09831646">
                <wp:simplePos x="0" y="0"/>
                <wp:positionH relativeFrom="column">
                  <wp:posOffset>2518673</wp:posOffset>
                </wp:positionH>
                <wp:positionV relativeFrom="page">
                  <wp:posOffset>1009650</wp:posOffset>
                </wp:positionV>
                <wp:extent cx="3816985" cy="564515"/>
                <wp:effectExtent l="0" t="0" r="5715" b="0"/>
                <wp:wrapTight wrapText="bothSides">
                  <wp:wrapPolygon edited="0">
                    <wp:start x="0" y="0"/>
                    <wp:lineTo x="0" y="20895"/>
                    <wp:lineTo x="21560" y="20895"/>
                    <wp:lineTo x="21560" y="0"/>
                    <wp:lineTo x="0" y="0"/>
                  </wp:wrapPolygon>
                </wp:wrapTight>
                <wp:docPr id="54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6985" cy="564515"/>
                        </a:xfrm>
                        <a:prstGeom prst="rect">
                          <a:avLst/>
                        </a:prstGeom>
                        <a:solidFill>
                          <a:prstClr val="white"/>
                        </a:solidFill>
                        <a:ln>
                          <a:noFill/>
                        </a:ln>
                        <a:effectLst/>
                      </wps:spPr>
                      <wps:txbx>
                        <w:txbxContent>
                          <w:p w14:paraId="79747C1B" w14:textId="593C10CB" w:rsidR="00933456" w:rsidRPr="00141395" w:rsidRDefault="00933456" w:rsidP="00141395">
                            <w:pPr>
                              <w:pStyle w:val="Caption"/>
                            </w:pPr>
                            <w:bookmarkStart w:id="694" w:name="_Toc80120321"/>
                            <w:bookmarkStart w:id="695" w:name="_Toc80884197"/>
                            <w:bookmarkStart w:id="696" w:name="_Toc80884568"/>
                            <w:bookmarkStart w:id="697" w:name="_Toc82386419"/>
                            <w:r w:rsidRPr="00141395">
                              <w:t>Figure 4.48:</w:t>
                            </w:r>
                            <w:r w:rsidRPr="00141395">
                              <w:tab/>
                              <w:t>Number and Percent of Households Reported to Vaccinate Livestock Against Anthrax by Region During 2019/20 Agricultural Year, Mainland Tanzania</w:t>
                            </w:r>
                            <w:bookmarkEnd w:id="694"/>
                            <w:bookmarkEnd w:id="695"/>
                            <w:bookmarkEnd w:id="696"/>
                            <w:bookmarkEnd w:id="697"/>
                          </w:p>
                          <w:p w14:paraId="04CA074E" w14:textId="77777777" w:rsidR="00933456" w:rsidRPr="00622045" w:rsidRDefault="00933456" w:rsidP="000E1363">
                            <w:pPr>
                              <w:pStyle w:val="Caption"/>
                              <w:jc w:val="center"/>
                              <w:rPr>
                                <w:i/>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158316" id="Text Box 78" o:spid="_x0000_s1104" type="#_x0000_t202" style="position:absolute;left:0;text-align:left;margin-left:198.3pt;margin-top:79.5pt;width:300.55pt;height:44.45pt;z-index:251577344;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" stroked="f">
                <v:textbox inset="0,0,0,0">
                  <w:txbxContent>
                    <w:p w14:paraId="79747C1B" w14:textId="593C10CB" w:rsidR="00933456" w:rsidRPr="00141395" w:rsidRDefault="00933456" w:rsidP="00141395">
                      <w:pPr>
                        <w:pStyle w:val="Caption"/>
                      </w:pPr>
                      <w:bookmarkStart w:id="983" w:name="_Toc80120321"/>
                      <w:bookmarkStart w:id="984" w:name="_Toc80884197"/>
                      <w:bookmarkStart w:id="985" w:name="_Toc80884568"/>
                      <w:bookmarkStart w:id="986" w:name="_Toc82386419"/>
                      <w:r w:rsidRPr="00141395">
                        <w:t>Figure 4.48:</w:t>
                      </w:r>
                      <w:r w:rsidRPr="00141395">
                        <w:tab/>
                        <w:t>Number and Percent of Households Reported to Vaccinate Livestock Against Anthrax by Region During 2019/20 Agricultural Year, Mainland Tanzania</w:t>
                      </w:r>
                      <w:bookmarkEnd w:id="983"/>
                      <w:bookmarkEnd w:id="984"/>
                      <w:bookmarkEnd w:id="985"/>
                      <w:bookmarkEnd w:id="986"/>
                    </w:p>
                    <w:p w14:paraId="04CA074E" w14:textId="77777777" w:rsidR="00933456" w:rsidRPr="00622045" w:rsidRDefault="00933456" w:rsidP="000E1363">
                      <w:pPr>
                        <w:pStyle w:val="Caption"/>
                        <w:jc w:val="center"/>
                        <w:rPr>
                          <w:i/>
                          <w:noProof/>
                        </w:rPr>
                      </w:pPr>
                    </w:p>
                  </w:txbxContent>
                </v:textbox>
                <w10:wrap type="tight" anchory="page"/>
              </v:shape>
            </w:pict>
          </mc:Fallback>
        </mc:AlternateContent>
      </w:r>
      <w:r w:rsidR="005B1E36" w:rsidRPr="006B42D6">
        <w:rPr>
          <w:rFonts w:ascii="Times New Roman" w:hAnsi="Times New Roman"/>
          <w:b/>
          <w:sz w:val="24"/>
          <w:szCs w:val="24"/>
        </w:rPr>
        <w:t>d)</w:t>
      </w:r>
      <w:r w:rsidR="005B1E36" w:rsidRPr="006B42D6">
        <w:rPr>
          <w:rFonts w:ascii="Times New Roman" w:hAnsi="Times New Roman"/>
          <w:b/>
          <w:sz w:val="24"/>
          <w:szCs w:val="24"/>
        </w:rPr>
        <w:tab/>
      </w:r>
      <w:r w:rsidR="000E1363" w:rsidRPr="006B42D6">
        <w:rPr>
          <w:rFonts w:ascii="Times New Roman" w:hAnsi="Times New Roman"/>
          <w:b/>
          <w:sz w:val="24"/>
          <w:szCs w:val="24"/>
        </w:rPr>
        <w:t>Anthrax</w:t>
      </w:r>
    </w:p>
    <w:p w14:paraId="00E127B6" w14:textId="1509F828" w:rsidR="00C56D51" w:rsidRDefault="00141395" w:rsidP="00AB34E9">
      <w:pPr>
        <w:tabs>
          <w:tab w:val="left" w:pos="5993"/>
          <w:tab w:val="left" w:pos="8355"/>
        </w:tabs>
        <w:adjustRightInd w:val="0"/>
        <w:spacing w:before="106"/>
        <w:ind w:right="-472"/>
      </w:pPr>
      <w:r>
        <w:rPr>
          <w:noProof/>
        </w:rPr>
        <w:drawing>
          <wp:anchor distT="0" distB="0" distL="114300" distR="114300" simplePos="0" relativeHeight="251578368" behindDoc="0" locked="0" layoutInCell="1" allowOverlap="1" wp14:anchorId="4B7F88EF" wp14:editId="7304590F">
            <wp:simplePos x="0" y="0"/>
            <wp:positionH relativeFrom="column">
              <wp:posOffset>2506345</wp:posOffset>
            </wp:positionH>
            <wp:positionV relativeFrom="paragraph">
              <wp:posOffset>556895</wp:posOffset>
            </wp:positionV>
            <wp:extent cx="3586480" cy="2160270"/>
            <wp:effectExtent l="0" t="0" r="7620" b="11430"/>
            <wp:wrapTight wrapText="bothSides">
              <wp:wrapPolygon edited="0">
                <wp:start x="0" y="0"/>
                <wp:lineTo x="0" y="21587"/>
                <wp:lineTo x="21569" y="21587"/>
                <wp:lineTo x="21569" y="0"/>
                <wp:lineTo x="0" y="0"/>
              </wp:wrapPolygon>
            </wp:wrapTight>
            <wp:docPr id="549"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5"/>
              </a:graphicData>
            </a:graphic>
            <wp14:sizeRelH relativeFrom="margin">
              <wp14:pctWidth>0</wp14:pctWidth>
            </wp14:sizeRelH>
          </wp:anchor>
        </w:drawing>
      </w:r>
      <w:r w:rsidR="00C56D51" w:rsidRPr="006B42D6">
        <w:t xml:space="preserve">The census results show that, 102,589 livestock rearing households reported vaccinating their animals against Anthrax disease, of which 101,519 were in </w:t>
      </w:r>
      <w:r w:rsidR="00EA1552">
        <w:rPr>
          <w:lang w:eastAsia="en-GB"/>
        </w:rPr>
        <w:t>Mainland Tanzania</w:t>
      </w:r>
      <w:r w:rsidR="00C56D51" w:rsidRPr="006B42D6">
        <w:t xml:space="preserve"> and 1,070 in </w:t>
      </w:r>
      <w:r w:rsidR="00645B2E" w:rsidRPr="006B42D6">
        <w:rPr>
          <w:lang w:eastAsia="en-GB"/>
        </w:rPr>
        <w:t xml:space="preserve">Tanzania </w:t>
      </w:r>
      <w:r w:rsidR="00C56D51" w:rsidRPr="006B42D6">
        <w:t xml:space="preserve">Zanzibar. </w:t>
      </w:r>
    </w:p>
    <w:p w14:paraId="3A81D46C" w14:textId="77777777" w:rsidR="00141395" w:rsidRPr="006B42D6" w:rsidRDefault="00141395" w:rsidP="00AB34E9">
      <w:pPr>
        <w:tabs>
          <w:tab w:val="left" w:pos="5993"/>
          <w:tab w:val="left" w:pos="8355"/>
        </w:tabs>
        <w:adjustRightInd w:val="0"/>
        <w:spacing w:before="106" w:line="240" w:lineRule="auto"/>
        <w:ind w:right="-472"/>
      </w:pPr>
    </w:p>
    <w:p w14:paraId="79232867" w14:textId="2835A368" w:rsidR="000E1363" w:rsidRDefault="00C56D51" w:rsidP="00AB34E9">
      <w:pPr>
        <w:tabs>
          <w:tab w:val="left" w:pos="5993"/>
          <w:tab w:val="left" w:pos="8355"/>
        </w:tabs>
        <w:adjustRightInd w:val="0"/>
        <w:spacing w:before="106"/>
        <w:ind w:right="-472"/>
      </w:pPr>
      <w:r w:rsidRPr="006B42D6">
        <w:t xml:space="preserve">In </w:t>
      </w:r>
      <w:r w:rsidR="00EA1552">
        <w:rPr>
          <w:lang w:eastAsia="en-GB"/>
        </w:rPr>
        <w:t>Mainland Tanzania</w:t>
      </w:r>
      <w:r w:rsidRPr="006B42D6">
        <w:t xml:space="preserve">, the region with the largest number of livestock rearing households which vaccinated their livestock against </w:t>
      </w:r>
      <w:r w:rsidR="007737F4">
        <w:t>a</w:t>
      </w:r>
      <w:r w:rsidRPr="006B42D6">
        <w:t xml:space="preserve">nthrax was Kilimanjaro (14,987; 27.8 percent), followed by Arusha (13,249; 22.4 percent) and Tabora (11,502; 24.0 percent). </w:t>
      </w:r>
      <w:r w:rsidR="00027323" w:rsidRPr="006B42D6">
        <w:t>R</w:t>
      </w:r>
      <w:r w:rsidRPr="006B42D6">
        <w:t xml:space="preserve">egion with the least number of households that vaccinated their animals against </w:t>
      </w:r>
      <w:r w:rsidR="007737F4">
        <w:t>a</w:t>
      </w:r>
      <w:r w:rsidRPr="006B42D6">
        <w:t>nthrax was Mtwara (153; 0.</w:t>
      </w:r>
      <w:r w:rsidR="00FC1C62" w:rsidRPr="006B42D6">
        <w:t>2</w:t>
      </w:r>
      <w:r w:rsidRPr="006B42D6">
        <w:t xml:space="preserve"> percent) (Figure 4.</w:t>
      </w:r>
      <w:r w:rsidR="00991B4F" w:rsidRPr="006B42D6">
        <w:t>48</w:t>
      </w:r>
      <w:r w:rsidRPr="006B42D6">
        <w:t>).</w:t>
      </w:r>
    </w:p>
    <w:p w14:paraId="2CCA9623" w14:textId="3510ABFF" w:rsidR="007737F4" w:rsidRDefault="007737F4" w:rsidP="00AB34E9">
      <w:pPr>
        <w:tabs>
          <w:tab w:val="left" w:pos="5993"/>
          <w:tab w:val="left" w:pos="8355"/>
        </w:tabs>
        <w:adjustRightInd w:val="0"/>
        <w:spacing w:before="106"/>
        <w:ind w:right="-472"/>
      </w:pPr>
    </w:p>
    <w:p w14:paraId="5BA325E2" w14:textId="7A28645A" w:rsidR="007737F4" w:rsidRPr="006B42D6" w:rsidRDefault="00AB34E9" w:rsidP="00AB34E9">
      <w:pPr>
        <w:tabs>
          <w:tab w:val="left" w:pos="5993"/>
          <w:tab w:val="left" w:pos="8355"/>
        </w:tabs>
        <w:adjustRightInd w:val="0"/>
        <w:spacing w:before="106"/>
        <w:ind w:right="-472"/>
      </w:pPr>
      <w:r>
        <w:rPr>
          <w:noProof/>
        </w:rPr>
        <mc:AlternateContent>
          <mc:Choice Requires="wps">
            <w:drawing>
              <wp:anchor distT="0" distB="0" distL="114300" distR="114300" simplePos="0" relativeHeight="251588608" behindDoc="0" locked="0" layoutInCell="1" allowOverlap="1" wp14:anchorId="5AE41876" wp14:editId="104723EF">
                <wp:simplePos x="0" y="0"/>
                <wp:positionH relativeFrom="column">
                  <wp:posOffset>2648059</wp:posOffset>
                </wp:positionH>
                <wp:positionV relativeFrom="paragraph">
                  <wp:posOffset>262890</wp:posOffset>
                </wp:positionV>
                <wp:extent cx="3375660" cy="638175"/>
                <wp:effectExtent l="0" t="0" r="2540" b="0"/>
                <wp:wrapTight wrapText="bothSides">
                  <wp:wrapPolygon edited="0">
                    <wp:start x="0" y="0"/>
                    <wp:lineTo x="0" y="21063"/>
                    <wp:lineTo x="21535" y="21063"/>
                    <wp:lineTo x="21535" y="0"/>
                    <wp:lineTo x="0" y="0"/>
                  </wp:wrapPolygon>
                </wp:wrapTight>
                <wp:docPr id="546"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75660" cy="638175"/>
                        </a:xfrm>
                        <a:prstGeom prst="rect">
                          <a:avLst/>
                        </a:prstGeom>
                        <a:solidFill>
                          <a:prstClr val="white"/>
                        </a:solidFill>
                        <a:ln>
                          <a:noFill/>
                        </a:ln>
                        <a:effectLst/>
                      </wps:spPr>
                      <wps:txbx>
                        <w:txbxContent>
                          <w:p w14:paraId="5586F99A" w14:textId="23DEC029" w:rsidR="00933456" w:rsidRPr="007737F4" w:rsidRDefault="00933456" w:rsidP="007737F4">
                            <w:pPr>
                              <w:pStyle w:val="Caption"/>
                            </w:pPr>
                            <w:bookmarkStart w:id="698" w:name="_Toc80120322"/>
                            <w:bookmarkStart w:id="699" w:name="_Toc80884198"/>
                            <w:bookmarkStart w:id="700" w:name="_Toc80884569"/>
                            <w:bookmarkStart w:id="701" w:name="_Toc82386420"/>
                            <w:r w:rsidRPr="007737F4">
                              <w:t>Figure 4.49:</w:t>
                            </w:r>
                            <w:r>
                              <w:tab/>
                            </w:r>
                            <w:r w:rsidRPr="007737F4">
                              <w:t>Number and Percent of Households Reported to Vaccinate Livestock Against Anthrax by Region During 2019/20 Agricultural Year, Tanzania Zanzibar</w:t>
                            </w:r>
                            <w:bookmarkEnd w:id="698"/>
                            <w:bookmarkEnd w:id="699"/>
                            <w:bookmarkEnd w:id="700"/>
                            <w:bookmarkEnd w:id="70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41876" id="Text Box 83" o:spid="_x0000_s1105" type="#_x0000_t202" style="position:absolute;left:0;text-align:left;margin-left:208.5pt;margin-top:20.7pt;width:265.8pt;height:50.25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" stroked="f">
                <v:textbox inset="0,0,0,0">
                  <w:txbxContent>
                    <w:p w14:paraId="5586F99A" w14:textId="23DEC029" w:rsidR="00933456" w:rsidRPr="007737F4" w:rsidRDefault="00933456" w:rsidP="007737F4">
                      <w:pPr>
                        <w:pStyle w:val="Caption"/>
                      </w:pPr>
                      <w:bookmarkStart w:id="991" w:name="_Toc80120322"/>
                      <w:bookmarkStart w:id="992" w:name="_Toc80884198"/>
                      <w:bookmarkStart w:id="993" w:name="_Toc80884569"/>
                      <w:bookmarkStart w:id="994" w:name="_Toc82386420"/>
                      <w:r w:rsidRPr="007737F4">
                        <w:t>Figure 4.49:</w:t>
                      </w:r>
                      <w:r>
                        <w:tab/>
                      </w:r>
                      <w:r w:rsidRPr="007737F4">
                        <w:t>Number and Percent of Households Reported to Vaccinate Livestock Against Anthrax by Region During 2019/20 Agricultural Year, Tanzania Zanzibar</w:t>
                      </w:r>
                      <w:bookmarkEnd w:id="991"/>
                      <w:bookmarkEnd w:id="992"/>
                      <w:bookmarkEnd w:id="993"/>
                      <w:bookmarkEnd w:id="994"/>
                    </w:p>
                  </w:txbxContent>
                </v:textbox>
                <w10:wrap type="tight"/>
              </v:shape>
            </w:pict>
          </mc:Fallback>
        </mc:AlternateContent>
      </w:r>
    </w:p>
    <w:p w14:paraId="31A37096" w14:textId="01858412" w:rsidR="00C56D51" w:rsidRPr="006B42D6" w:rsidRDefault="00AB34E9" w:rsidP="00AB34E9">
      <w:pPr>
        <w:tabs>
          <w:tab w:val="left" w:pos="5993"/>
          <w:tab w:val="left" w:pos="8355"/>
        </w:tabs>
        <w:adjustRightInd w:val="0"/>
        <w:spacing w:before="106"/>
        <w:ind w:right="-472"/>
      </w:pPr>
      <w:r>
        <w:rPr>
          <w:noProof/>
        </w:rPr>
        <w:drawing>
          <wp:anchor distT="0" distB="0" distL="114300" distR="114300" simplePos="0" relativeHeight="251587584" behindDoc="0" locked="0" layoutInCell="1" allowOverlap="1" wp14:anchorId="5D775D5F" wp14:editId="7AD3A129">
            <wp:simplePos x="0" y="0"/>
            <wp:positionH relativeFrom="column">
              <wp:posOffset>2654935</wp:posOffset>
            </wp:positionH>
            <wp:positionV relativeFrom="paragraph">
              <wp:posOffset>669027</wp:posOffset>
            </wp:positionV>
            <wp:extent cx="3374390" cy="2583180"/>
            <wp:effectExtent l="0" t="0" r="16510" b="7620"/>
            <wp:wrapTight wrapText="bothSides">
              <wp:wrapPolygon edited="0">
                <wp:start x="0" y="0"/>
                <wp:lineTo x="0" y="21558"/>
                <wp:lineTo x="21624" y="21558"/>
                <wp:lineTo x="21624" y="0"/>
                <wp:lineTo x="0" y="0"/>
              </wp:wrapPolygon>
            </wp:wrapTight>
            <wp:docPr id="545"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6"/>
              </a:graphicData>
            </a:graphic>
            <wp14:sizeRelH relativeFrom="margin">
              <wp14:pctWidth>0</wp14:pctWidth>
            </wp14:sizeRelH>
            <wp14:sizeRelV relativeFrom="margin">
              <wp14:pctHeight>0</wp14:pctHeight>
            </wp14:sizeRelV>
          </wp:anchor>
        </w:drawing>
      </w:r>
      <w:r w:rsidR="00C56D51" w:rsidRPr="006B42D6">
        <w:t xml:space="preserve">In </w:t>
      </w:r>
      <w:r w:rsidR="00645B2E" w:rsidRPr="006B42D6">
        <w:rPr>
          <w:lang w:eastAsia="en-GB"/>
        </w:rPr>
        <w:t xml:space="preserve">Tanzania </w:t>
      </w:r>
      <w:r w:rsidR="00C56D51" w:rsidRPr="006B42D6">
        <w:t xml:space="preserve">Zanzibar, the vaccination was applied in three regions only. However, the region with the largest number of livestock rearing households vaccinated their livestock against </w:t>
      </w:r>
      <w:r w:rsidR="007737F4">
        <w:t>a</w:t>
      </w:r>
      <w:r w:rsidR="00C56D51" w:rsidRPr="006B42D6">
        <w:t xml:space="preserve">nthrax was Kusini Unguja (782; 73.1 percent), followed by Kaskazini Unguja (244; 22.8 percent) and Mjini Magharibi (44; 4.1 percent) </w:t>
      </w:r>
      <w:r w:rsidR="00622045" w:rsidRPr="006B42D6">
        <w:t>(</w:t>
      </w:r>
      <w:r w:rsidR="00C56D51" w:rsidRPr="006B42D6">
        <w:t>Figure 4.</w:t>
      </w:r>
      <w:r w:rsidR="00FC1C62" w:rsidRPr="006B42D6">
        <w:t>4</w:t>
      </w:r>
      <w:r w:rsidR="00991B4F" w:rsidRPr="006B42D6">
        <w:t>9</w:t>
      </w:r>
      <w:r w:rsidR="00622045" w:rsidRPr="006B42D6">
        <w:t>)</w:t>
      </w:r>
      <w:r w:rsidR="00C56D51" w:rsidRPr="006B42D6">
        <w:t>.</w:t>
      </w:r>
    </w:p>
    <w:p w14:paraId="79AA88AE" w14:textId="12840693" w:rsidR="000E1363" w:rsidRPr="006B42D6" w:rsidRDefault="000E1363" w:rsidP="005C2EFC">
      <w:pPr>
        <w:tabs>
          <w:tab w:val="left" w:pos="5993"/>
          <w:tab w:val="left" w:pos="8355"/>
        </w:tabs>
        <w:adjustRightInd w:val="0"/>
        <w:spacing w:before="106"/>
        <w:ind w:left="142" w:right="-472"/>
      </w:pPr>
    </w:p>
    <w:p w14:paraId="1E4A7EA3" w14:textId="1CF13D8C" w:rsidR="000E1363" w:rsidRDefault="000E1363" w:rsidP="005C2EFC">
      <w:pPr>
        <w:tabs>
          <w:tab w:val="left" w:pos="5993"/>
          <w:tab w:val="left" w:pos="8355"/>
        </w:tabs>
        <w:adjustRightInd w:val="0"/>
        <w:spacing w:before="106"/>
        <w:ind w:left="142" w:right="-472"/>
      </w:pPr>
    </w:p>
    <w:p w14:paraId="647C7811" w14:textId="16170CEE" w:rsidR="007737F4" w:rsidRDefault="007737F4" w:rsidP="007737F4">
      <w:pPr>
        <w:tabs>
          <w:tab w:val="left" w:pos="5993"/>
          <w:tab w:val="left" w:pos="8355"/>
        </w:tabs>
        <w:adjustRightInd w:val="0"/>
        <w:spacing w:before="106"/>
        <w:ind w:right="-472"/>
      </w:pPr>
    </w:p>
    <w:p w14:paraId="31B13186" w14:textId="23DAAD43" w:rsidR="00AB34E9" w:rsidRDefault="00AB34E9">
      <w:pPr>
        <w:spacing w:line="240" w:lineRule="auto"/>
        <w:contextualSpacing w:val="0"/>
        <w:jc w:val="left"/>
      </w:pPr>
      <w:r>
        <w:br w:type="page"/>
      </w:r>
    </w:p>
    <w:p w14:paraId="27FD6784" w14:textId="7C78F0D9" w:rsidR="000E5E14" w:rsidRDefault="002E64CB" w:rsidP="005B1E36">
      <w:pPr>
        <w:pStyle w:val="ColorfulList-Accent11"/>
        <w:widowControl w:val="0"/>
        <w:tabs>
          <w:tab w:val="left" w:pos="709"/>
          <w:tab w:val="left" w:pos="8355"/>
        </w:tabs>
        <w:autoSpaceDE w:val="0"/>
        <w:autoSpaceDN w:val="0"/>
        <w:adjustRightInd w:val="0"/>
        <w:spacing w:before="106" w:after="0" w:line="360" w:lineRule="auto"/>
        <w:ind w:left="0" w:right="-472"/>
        <w:rPr>
          <w:rFonts w:ascii="Times New Roman" w:hAnsi="Times New Roman"/>
          <w:b/>
          <w:sz w:val="24"/>
          <w:szCs w:val="24"/>
        </w:rPr>
      </w:pPr>
      <w:r>
        <w:rPr>
          <w:noProof/>
          <w:lang w:val="en-US" w:eastAsia="en-US"/>
        </w:rPr>
        <w:lastRenderedPageBreak/>
        <mc:AlternateContent>
          <mc:Choice Requires="wps">
            <w:drawing>
              <wp:anchor distT="0" distB="0" distL="114300" distR="114300" simplePos="0" relativeHeight="251615232" behindDoc="0" locked="0" layoutInCell="1" allowOverlap="1" wp14:anchorId="0FAA6CEB" wp14:editId="629B56D7">
                <wp:simplePos x="0" y="0"/>
                <wp:positionH relativeFrom="column">
                  <wp:posOffset>2634681</wp:posOffset>
                </wp:positionH>
                <wp:positionV relativeFrom="paragraph">
                  <wp:posOffset>284743</wp:posOffset>
                </wp:positionV>
                <wp:extent cx="3549650" cy="578485"/>
                <wp:effectExtent l="0" t="0" r="6350" b="5715"/>
                <wp:wrapTight wrapText="bothSides">
                  <wp:wrapPolygon edited="0">
                    <wp:start x="0" y="0"/>
                    <wp:lineTo x="0" y="21339"/>
                    <wp:lineTo x="21561" y="21339"/>
                    <wp:lineTo x="21561" y="0"/>
                    <wp:lineTo x="0" y="0"/>
                  </wp:wrapPolygon>
                </wp:wrapTight>
                <wp:docPr id="542"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9650" cy="578485"/>
                        </a:xfrm>
                        <a:prstGeom prst="rect">
                          <a:avLst/>
                        </a:prstGeom>
                        <a:solidFill>
                          <a:prstClr val="white"/>
                        </a:solidFill>
                        <a:ln>
                          <a:noFill/>
                        </a:ln>
                        <a:effectLst/>
                      </wps:spPr>
                      <wps:txbx>
                        <w:txbxContent>
                          <w:p w14:paraId="2A71442D" w14:textId="165FA5F4" w:rsidR="00933456" w:rsidRPr="00D85DF4" w:rsidRDefault="00933456" w:rsidP="00D85DF4">
                            <w:pPr>
                              <w:pStyle w:val="Caption"/>
                            </w:pPr>
                            <w:bookmarkStart w:id="702" w:name="_Toc80120323"/>
                            <w:bookmarkStart w:id="703" w:name="_Toc80884199"/>
                            <w:bookmarkStart w:id="704" w:name="_Toc80884570"/>
                            <w:bookmarkStart w:id="705" w:name="_Toc82386421"/>
                            <w:r w:rsidRPr="00D85DF4">
                              <w:t>Figure 4.50:</w:t>
                            </w:r>
                            <w:r w:rsidRPr="00D85DF4">
                              <w:tab/>
                              <w:t>Number and Percent of Households Reported to Vaccinate Livestock Against CBPP Disease by Region During 2019/20Agricultural Year, Mainland Tanzania</w:t>
                            </w:r>
                            <w:bookmarkEnd w:id="702"/>
                            <w:bookmarkEnd w:id="703"/>
                            <w:bookmarkEnd w:id="704"/>
                            <w:bookmarkEnd w:id="705"/>
                          </w:p>
                          <w:p w14:paraId="565139D4" w14:textId="77777777" w:rsidR="00933456" w:rsidRPr="00D85DF4" w:rsidRDefault="00933456" w:rsidP="00D85DF4">
                            <w:pPr>
                              <w:pStyle w:val="Caption"/>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FAA6CEB" id="Text Box 104" o:spid="_x0000_s1106" type="#_x0000_t202" style="position:absolute;left:0;text-align:left;margin-left:207.45pt;margin-top:22.4pt;width:279.5pt;height:45.55pt;z-index:251615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" stroked="f">
                <v:textbox inset="0,0,0,0">
                  <w:txbxContent>
                    <w:p w14:paraId="2A71442D" w14:textId="165FA5F4" w:rsidR="00933456" w:rsidRPr="00D85DF4" w:rsidRDefault="00933456" w:rsidP="00D85DF4">
                      <w:pPr>
                        <w:pStyle w:val="Caption"/>
                      </w:pPr>
                      <w:bookmarkStart w:id="999" w:name="_Toc80120323"/>
                      <w:bookmarkStart w:id="1000" w:name="_Toc80884199"/>
                      <w:bookmarkStart w:id="1001" w:name="_Toc80884570"/>
                      <w:bookmarkStart w:id="1002" w:name="_Toc82386421"/>
                      <w:r w:rsidRPr="00D85DF4">
                        <w:t>Figure 4.50:</w:t>
                      </w:r>
                      <w:r w:rsidRPr="00D85DF4">
                        <w:tab/>
                        <w:t>Number and Percent of Households Reported to Vaccinate Livestock Against CBPP Disease by Region During 2019/20Agricultural Year, Mainland Tanzania</w:t>
                      </w:r>
                      <w:bookmarkEnd w:id="999"/>
                      <w:bookmarkEnd w:id="1000"/>
                      <w:bookmarkEnd w:id="1001"/>
                      <w:bookmarkEnd w:id="1002"/>
                    </w:p>
                    <w:p w14:paraId="565139D4" w14:textId="77777777" w:rsidR="00933456" w:rsidRPr="00D85DF4" w:rsidRDefault="00933456" w:rsidP="00D85DF4">
                      <w:pPr>
                        <w:pStyle w:val="Caption"/>
                      </w:pPr>
                    </w:p>
                  </w:txbxContent>
                </v:textbox>
                <w10:wrap type="tight"/>
              </v:shape>
            </w:pict>
          </mc:Fallback>
        </mc:AlternateContent>
      </w:r>
      <w:r w:rsidR="005B1E36" w:rsidRPr="006B42D6">
        <w:rPr>
          <w:rFonts w:ascii="Times New Roman" w:hAnsi="Times New Roman"/>
          <w:b/>
          <w:sz w:val="24"/>
          <w:szCs w:val="24"/>
        </w:rPr>
        <w:t>d)</w:t>
      </w:r>
      <w:r w:rsidR="005B1E36" w:rsidRPr="006B42D6">
        <w:rPr>
          <w:rFonts w:ascii="Times New Roman" w:hAnsi="Times New Roman"/>
          <w:b/>
          <w:sz w:val="24"/>
          <w:szCs w:val="24"/>
        </w:rPr>
        <w:tab/>
      </w:r>
      <w:r w:rsidR="000E1363" w:rsidRPr="006B42D6">
        <w:rPr>
          <w:rFonts w:ascii="Times New Roman" w:hAnsi="Times New Roman"/>
          <w:b/>
          <w:sz w:val="24"/>
          <w:szCs w:val="24"/>
        </w:rPr>
        <w:t>Contagious Bovine Pleuro-</w:t>
      </w:r>
    </w:p>
    <w:p w14:paraId="5F798B57" w14:textId="489E503C" w:rsidR="000E1363" w:rsidRPr="006B42D6" w:rsidRDefault="000E5E14" w:rsidP="005B1E36">
      <w:pPr>
        <w:pStyle w:val="ColorfulList-Accent11"/>
        <w:widowControl w:val="0"/>
        <w:tabs>
          <w:tab w:val="left" w:pos="709"/>
          <w:tab w:val="left" w:pos="8355"/>
        </w:tabs>
        <w:autoSpaceDE w:val="0"/>
        <w:autoSpaceDN w:val="0"/>
        <w:adjustRightInd w:val="0"/>
        <w:spacing w:before="106" w:after="0" w:line="360" w:lineRule="auto"/>
        <w:ind w:left="0" w:right="-472"/>
        <w:rPr>
          <w:rFonts w:ascii="Times New Roman" w:hAnsi="Times New Roman"/>
          <w:b/>
          <w:sz w:val="24"/>
          <w:szCs w:val="24"/>
        </w:rPr>
      </w:pPr>
      <w:r>
        <w:rPr>
          <w:rFonts w:ascii="Times New Roman" w:hAnsi="Times New Roman"/>
          <w:b/>
          <w:sz w:val="24"/>
          <w:szCs w:val="24"/>
        </w:rPr>
        <w:tab/>
      </w:r>
      <w:r w:rsidR="000E1363" w:rsidRPr="006B42D6">
        <w:rPr>
          <w:rFonts w:ascii="Times New Roman" w:hAnsi="Times New Roman"/>
          <w:b/>
          <w:sz w:val="24"/>
          <w:szCs w:val="24"/>
        </w:rPr>
        <w:t>Pneumonia (CBPP)</w:t>
      </w:r>
    </w:p>
    <w:p w14:paraId="1A468F48" w14:textId="16B99AFA" w:rsidR="008F43A9" w:rsidRDefault="000E5E14" w:rsidP="008F43A9">
      <w:pPr>
        <w:tabs>
          <w:tab w:val="left" w:pos="5993"/>
          <w:tab w:val="left" w:pos="8355"/>
        </w:tabs>
        <w:adjustRightInd w:val="0"/>
        <w:spacing w:before="106"/>
        <w:ind w:left="142" w:right="-472"/>
      </w:pPr>
      <w:r>
        <w:rPr>
          <w:noProof/>
        </w:rPr>
        <w:drawing>
          <wp:anchor distT="0" distB="0" distL="114300" distR="114300" simplePos="0" relativeHeight="251616256" behindDoc="0" locked="0" layoutInCell="1" allowOverlap="1" wp14:anchorId="03D2821D" wp14:editId="554AE481">
            <wp:simplePos x="0" y="0"/>
            <wp:positionH relativeFrom="column">
              <wp:posOffset>2632710</wp:posOffset>
            </wp:positionH>
            <wp:positionV relativeFrom="paragraph">
              <wp:posOffset>474980</wp:posOffset>
            </wp:positionV>
            <wp:extent cx="3554095" cy="2340610"/>
            <wp:effectExtent l="0" t="0" r="14605" b="8890"/>
            <wp:wrapTight wrapText="bothSides">
              <wp:wrapPolygon edited="0">
                <wp:start x="0" y="0"/>
                <wp:lineTo x="0" y="21565"/>
                <wp:lineTo x="21612" y="21565"/>
                <wp:lineTo x="21612" y="0"/>
                <wp:lineTo x="0" y="0"/>
              </wp:wrapPolygon>
            </wp:wrapTight>
            <wp:docPr id="543"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17"/>
              </a:graphicData>
            </a:graphic>
            <wp14:sizeRelV relativeFrom="margin">
              <wp14:pctHeight>0</wp14:pctHeight>
            </wp14:sizeRelV>
          </wp:anchor>
        </w:drawing>
      </w:r>
      <w:r w:rsidR="008F43A9" w:rsidRPr="006B42D6">
        <w:t xml:space="preserve">The census results show that, 222,713 livestock rearing households reported to apply vaccination against CBPP disease, of which 220,637 were in Mainland and 2,076 in </w:t>
      </w:r>
      <w:r w:rsidR="00645B2E" w:rsidRPr="006B42D6">
        <w:rPr>
          <w:lang w:eastAsia="en-GB"/>
        </w:rPr>
        <w:t xml:space="preserve">Tanzania </w:t>
      </w:r>
      <w:r w:rsidR="008F43A9" w:rsidRPr="006B42D6">
        <w:t xml:space="preserve">Zanzibar. </w:t>
      </w:r>
    </w:p>
    <w:p w14:paraId="697B14F3" w14:textId="77777777" w:rsidR="000E5E14" w:rsidRPr="006B42D6" w:rsidRDefault="000E5E14" w:rsidP="000E5E14">
      <w:pPr>
        <w:tabs>
          <w:tab w:val="left" w:pos="5993"/>
          <w:tab w:val="left" w:pos="8355"/>
        </w:tabs>
        <w:adjustRightInd w:val="0"/>
        <w:spacing w:before="106" w:line="240" w:lineRule="auto"/>
        <w:ind w:left="142" w:right="-472"/>
      </w:pPr>
    </w:p>
    <w:p w14:paraId="1FF38E9B" w14:textId="59FFDA1B" w:rsidR="008F43A9" w:rsidRDefault="008F43A9" w:rsidP="008F43A9">
      <w:pPr>
        <w:tabs>
          <w:tab w:val="left" w:pos="5993"/>
          <w:tab w:val="left" w:pos="8355"/>
        </w:tabs>
        <w:adjustRightInd w:val="0"/>
        <w:spacing w:before="106"/>
        <w:ind w:left="142" w:right="-472"/>
      </w:pPr>
      <w:r w:rsidRPr="006B42D6">
        <w:t xml:space="preserve">In </w:t>
      </w:r>
      <w:r w:rsidR="00EA1552">
        <w:rPr>
          <w:lang w:eastAsia="en-GB"/>
        </w:rPr>
        <w:t>Mainland Tanzania</w:t>
      </w:r>
      <w:r w:rsidRPr="006B42D6">
        <w:t xml:space="preserve">, the region with the largest number of livestock rearing households vaccinated their livestock against CBPP was Manyara (24,594; 49.2 percent), followed by Dodoma (20,185; 33.5 percent) and Arusha (18,758; 34.7 percent). The region with the least number of households that vaccinated their animals against CBPP was Lindi (78; 0.6 percent) </w:t>
      </w:r>
      <w:r w:rsidR="00622045" w:rsidRPr="006B42D6">
        <w:t>(</w:t>
      </w:r>
      <w:r w:rsidRPr="006B42D6">
        <w:t>Figure 4.</w:t>
      </w:r>
      <w:r w:rsidR="00991B4F" w:rsidRPr="006B42D6">
        <w:t>50</w:t>
      </w:r>
      <w:r w:rsidR="00622045" w:rsidRPr="006B42D6">
        <w:t>)</w:t>
      </w:r>
      <w:r w:rsidRPr="006B42D6">
        <w:t xml:space="preserve">. </w:t>
      </w:r>
    </w:p>
    <w:p w14:paraId="6C318385" w14:textId="77777777" w:rsidR="000E5E14" w:rsidRPr="006B42D6" w:rsidRDefault="000E5E14" w:rsidP="000E5E14">
      <w:pPr>
        <w:tabs>
          <w:tab w:val="left" w:pos="5993"/>
          <w:tab w:val="left" w:pos="8355"/>
        </w:tabs>
        <w:adjustRightInd w:val="0"/>
        <w:spacing w:before="106" w:line="240" w:lineRule="auto"/>
        <w:ind w:left="142" w:right="-472"/>
      </w:pPr>
    </w:p>
    <w:p w14:paraId="05C9B149" w14:textId="352D186F" w:rsidR="008F43A9" w:rsidRDefault="008F43A9" w:rsidP="008F43A9">
      <w:pPr>
        <w:tabs>
          <w:tab w:val="left" w:pos="5993"/>
          <w:tab w:val="left" w:pos="8355"/>
        </w:tabs>
        <w:adjustRightInd w:val="0"/>
        <w:spacing w:before="106"/>
        <w:ind w:left="142" w:right="-472"/>
      </w:pPr>
      <w:r w:rsidRPr="006B42D6">
        <w:t xml:space="preserve">In </w:t>
      </w:r>
      <w:r w:rsidR="00645B2E" w:rsidRPr="006B42D6">
        <w:rPr>
          <w:lang w:eastAsia="en-GB"/>
        </w:rPr>
        <w:t xml:space="preserve">Tanzania </w:t>
      </w:r>
      <w:r w:rsidRPr="006B42D6">
        <w:t xml:space="preserve">Zanzibar, the region with the largest number of livestock rearing households, which vaccinated their livestock against CBPP was Kusini Pemba (845; 40.7 percent), followed by Kusini Unguja (820; 39.5 percent) and Kaskazini Pemba (241; 11.6 percent). The region with the least number was Mjini Magharibi (44 households; 2.1 percent) </w:t>
      </w:r>
      <w:r w:rsidR="00622045" w:rsidRPr="006B42D6">
        <w:t>(</w:t>
      </w:r>
      <w:r w:rsidRPr="006B42D6">
        <w:t>Figure 4.</w:t>
      </w:r>
      <w:r w:rsidR="00991B4F" w:rsidRPr="006B42D6">
        <w:t>51</w:t>
      </w:r>
      <w:r w:rsidR="00622045" w:rsidRPr="006B42D6">
        <w:t>)</w:t>
      </w:r>
      <w:r w:rsidRPr="006B42D6">
        <w:t>.</w:t>
      </w:r>
    </w:p>
    <w:p w14:paraId="1E0F1F8F" w14:textId="77777777" w:rsidR="00AB34E9" w:rsidRDefault="00AB34E9" w:rsidP="008F43A9">
      <w:pPr>
        <w:tabs>
          <w:tab w:val="left" w:pos="5993"/>
          <w:tab w:val="left" w:pos="8355"/>
        </w:tabs>
        <w:adjustRightInd w:val="0"/>
        <w:spacing w:before="106"/>
        <w:ind w:left="142" w:right="-472"/>
      </w:pPr>
    </w:p>
    <w:p w14:paraId="723DB274" w14:textId="040F1C72" w:rsidR="00FC1C62" w:rsidRPr="006B42D6" w:rsidRDefault="009400E5" w:rsidP="009400E5">
      <w:pPr>
        <w:pStyle w:val="Heading4"/>
      </w:pPr>
      <w:bookmarkStart w:id="706" w:name="_Toc82385765"/>
      <w:r w:rsidRPr="006B42D6">
        <w:t>4.</w:t>
      </w:r>
      <w:r w:rsidR="00022347">
        <w:t>5</w:t>
      </w:r>
      <w:r w:rsidRPr="006B42D6">
        <w:t>.2.2</w:t>
      </w:r>
      <w:r w:rsidR="00924D63" w:rsidRPr="006B42D6">
        <w:tab/>
      </w:r>
      <w:r w:rsidR="00FD6EAE" w:rsidRPr="006B42D6">
        <w:t>Source of Vaccines</w:t>
      </w:r>
      <w:bookmarkEnd w:id="706"/>
    </w:p>
    <w:p w14:paraId="46061148" w14:textId="5FA7F800" w:rsidR="00C34698" w:rsidRDefault="00DA1899" w:rsidP="00C34698">
      <w:pPr>
        <w:spacing w:after="100" w:afterAutospacing="1"/>
      </w:pPr>
      <w:r w:rsidRPr="006B42D6">
        <w:t xml:space="preserve">During 2019/20 </w:t>
      </w:r>
      <w:r w:rsidR="00991B4F" w:rsidRPr="006B42D6">
        <w:t>a</w:t>
      </w:r>
      <w:r w:rsidRPr="006B42D6">
        <w:t xml:space="preserve">gricultural year, livestock rearing households reported different sources of obtaining vaccine for their animals. The Census results show that, District Vet Office was the main source </w:t>
      </w:r>
      <w:r w:rsidR="00036453" w:rsidRPr="006B42D6">
        <w:t xml:space="preserve">of vaccine </w:t>
      </w:r>
      <w:r w:rsidRPr="006B42D6">
        <w:t xml:space="preserve">reported by </w:t>
      </w:r>
      <w:r w:rsidR="00036453" w:rsidRPr="006B42D6">
        <w:t xml:space="preserve">more than 55 percent of the households for various livestock diseases. Private Vet facilities were reported to provide vaccine by proportional of 15 to 23 percent of households among other sources used by livestock keepers. Other sources reported were NGOs/Projects (0.5 to 1.3 percent), Tanzania Vetenary Labaratory Agency Centers (TVLA) (2.8 to 4.0 percent) and other (6.3 to 17.3 percent) </w:t>
      </w:r>
      <w:r w:rsidR="00C34698" w:rsidRPr="006B42D6">
        <w:t xml:space="preserve">(Figure </w:t>
      </w:r>
      <w:r w:rsidRPr="006B42D6">
        <w:t>4.</w:t>
      </w:r>
      <w:r w:rsidR="00991B4F" w:rsidRPr="006B42D6">
        <w:t>5</w:t>
      </w:r>
      <w:r w:rsidR="00E87243">
        <w:t>1</w:t>
      </w:r>
      <w:r w:rsidR="00C34698" w:rsidRPr="006B42D6">
        <w:t xml:space="preserve">). </w:t>
      </w:r>
    </w:p>
    <w:p w14:paraId="1EFAD9FA" w14:textId="453A847F" w:rsidR="00AB34E9" w:rsidRDefault="00AB34E9">
      <w:pPr>
        <w:spacing w:line="240" w:lineRule="auto"/>
        <w:contextualSpacing w:val="0"/>
        <w:jc w:val="left"/>
      </w:pPr>
      <w:r>
        <w:br w:type="page"/>
      </w:r>
    </w:p>
    <w:p w14:paraId="1A0C2FA5" w14:textId="1F7C1D2F" w:rsidR="00C34698" w:rsidRPr="006B42D6" w:rsidRDefault="00DA1899" w:rsidP="00DA1899">
      <w:pPr>
        <w:pStyle w:val="Caption"/>
      </w:pPr>
      <w:bookmarkStart w:id="707" w:name="_Toc82386422"/>
      <w:r w:rsidRPr="006B42D6">
        <w:lastRenderedPageBreak/>
        <w:t>Figure 4.</w:t>
      </w:r>
      <w:r w:rsidR="00991B4F" w:rsidRPr="006B42D6">
        <w:t>5</w:t>
      </w:r>
      <w:r w:rsidR="00E87243">
        <w:t>1</w:t>
      </w:r>
      <w:r w:rsidR="000E5E14">
        <w:t>:</w:t>
      </w:r>
      <w:r w:rsidR="00D85DF4">
        <w:tab/>
      </w:r>
      <w:r w:rsidRPr="006B42D6">
        <w:t>Percentage of Cattle Rearing Households Reported Sources of Vaccine by Type Disease During 2019/20 Agricultural Year, Tanzania</w:t>
      </w:r>
      <w:bookmarkEnd w:id="707"/>
    </w:p>
    <w:p w14:paraId="7E044FB4" w14:textId="0BDCC9B9" w:rsidR="00FD6EAE" w:rsidRPr="006B42D6" w:rsidRDefault="00D70499" w:rsidP="00FD6EAE">
      <w:r w:rsidRPr="006B42D6">
        <w:rPr>
          <w:noProof/>
        </w:rPr>
        <w:drawing>
          <wp:inline distT="0" distB="0" distL="0" distR="0" wp14:anchorId="303369BE" wp14:editId="6F69A90F">
            <wp:extent cx="5727700" cy="2822027"/>
            <wp:effectExtent l="0" t="0" r="12700" b="10160"/>
            <wp:docPr id="73" name="Chart 73">
              <a:extLst xmlns:a="http://schemas.openxmlformats.org/drawingml/2006/main">
                <a:ext uri="{FF2B5EF4-FFF2-40B4-BE49-F238E27FC236}">
                  <a16:creationId xmlns:a16="http://schemas.microsoft.com/office/drawing/2014/main" id="{EDD0FBC8-8E5F-4B16-84F5-99121DB359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8"/>
              </a:graphicData>
            </a:graphic>
          </wp:inline>
        </w:drawing>
      </w:r>
    </w:p>
    <w:p w14:paraId="77E9B9D3" w14:textId="5C8ABA01" w:rsidR="00FD6EAE" w:rsidRPr="006B42D6" w:rsidRDefault="00FD6EAE" w:rsidP="00AB34E9">
      <w:pPr>
        <w:spacing w:line="240" w:lineRule="auto"/>
      </w:pPr>
    </w:p>
    <w:p w14:paraId="326D8D33" w14:textId="0CBA9A04" w:rsidR="000E1363" w:rsidRPr="006B42D6" w:rsidRDefault="000E1363" w:rsidP="009400E5">
      <w:pPr>
        <w:pStyle w:val="Heading3"/>
      </w:pPr>
      <w:bookmarkStart w:id="708" w:name="_Toc82385766"/>
      <w:r w:rsidRPr="006B42D6">
        <w:t>4.</w:t>
      </w:r>
      <w:r w:rsidR="00022347">
        <w:t>5</w:t>
      </w:r>
      <w:r w:rsidR="009400E5" w:rsidRPr="006B42D6">
        <w:t>.3</w:t>
      </w:r>
      <w:r w:rsidR="0000655E" w:rsidRPr="006B42D6">
        <w:tab/>
      </w:r>
      <w:r w:rsidRPr="006B42D6">
        <w:t xml:space="preserve">Livestock Pest and Parasites </w:t>
      </w:r>
      <w:r w:rsidR="000D4BB5">
        <w:t>C</w:t>
      </w:r>
      <w:r w:rsidRPr="006B42D6">
        <w:t xml:space="preserve">ontrol </w:t>
      </w:r>
      <w:r w:rsidR="000D4BB5">
        <w:t>M</w:t>
      </w:r>
      <w:r w:rsidRPr="006B42D6">
        <w:t>ethods</w:t>
      </w:r>
      <w:bookmarkEnd w:id="708"/>
      <w:r w:rsidRPr="006B42D6">
        <w:t xml:space="preserve"> </w:t>
      </w:r>
    </w:p>
    <w:p w14:paraId="18F24908" w14:textId="1A0A3AE2" w:rsidR="000E1363" w:rsidRPr="006B42D6" w:rsidRDefault="00EA3CD8" w:rsidP="005C2EFC">
      <w:pPr>
        <w:tabs>
          <w:tab w:val="left" w:pos="5993"/>
          <w:tab w:val="left" w:pos="8355"/>
        </w:tabs>
        <w:adjustRightInd w:val="0"/>
        <w:spacing w:before="106"/>
        <w:ind w:left="142" w:right="-472"/>
      </w:pPr>
      <w:r w:rsidRPr="006B42D6">
        <w:t xml:space="preserve">In the 2019/20 </w:t>
      </w:r>
      <w:r w:rsidR="009400E5" w:rsidRPr="006B42D6">
        <w:t>a</w:t>
      </w:r>
      <w:r w:rsidRPr="006B42D6">
        <w:t xml:space="preserve">gricultural year, specific livestock pest and parasites control methods were applied for the control of ticks, tsetse flies and Newcastle Disease as </w:t>
      </w:r>
      <w:r w:rsidR="00CB7680" w:rsidRPr="006B42D6">
        <w:t>follows</w:t>
      </w:r>
      <w:r w:rsidR="005331A5">
        <w:t>:-</w:t>
      </w:r>
    </w:p>
    <w:p w14:paraId="6F8AFE29" w14:textId="60D6B08D" w:rsidR="00893F80" w:rsidRPr="006B42D6" w:rsidRDefault="00893F80" w:rsidP="00AB34E9">
      <w:pPr>
        <w:tabs>
          <w:tab w:val="left" w:pos="5993"/>
          <w:tab w:val="left" w:pos="8355"/>
        </w:tabs>
        <w:adjustRightInd w:val="0"/>
        <w:spacing w:before="106" w:line="240" w:lineRule="auto"/>
        <w:ind w:left="142" w:right="-472"/>
      </w:pPr>
    </w:p>
    <w:bookmarkStart w:id="709" w:name="_Toc82385767"/>
    <w:p w14:paraId="244CD1A3" w14:textId="6CD57DFD" w:rsidR="000E1363" w:rsidRPr="006B42D6" w:rsidRDefault="00D85DF4" w:rsidP="009400E5">
      <w:pPr>
        <w:pStyle w:val="Heading4"/>
      </w:pPr>
      <w:r w:rsidRPr="006B42D6">
        <w:rPr>
          <w:noProof/>
        </w:rPr>
        <mc:AlternateContent>
          <mc:Choice Requires="wps">
            <w:drawing>
              <wp:anchor distT="0" distB="0" distL="114300" distR="114300" simplePos="0" relativeHeight="251582464" behindDoc="0" locked="0" layoutInCell="1" allowOverlap="1" wp14:anchorId="5C3B5A04" wp14:editId="2E372A06">
                <wp:simplePos x="0" y="0"/>
                <wp:positionH relativeFrom="column">
                  <wp:posOffset>3105785</wp:posOffset>
                </wp:positionH>
                <wp:positionV relativeFrom="paragraph">
                  <wp:posOffset>38998</wp:posOffset>
                </wp:positionV>
                <wp:extent cx="3152775" cy="598805"/>
                <wp:effectExtent l="0" t="0" r="0" b="0"/>
                <wp:wrapSquare wrapText="bothSides"/>
                <wp:docPr id="536"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52775" cy="598805"/>
                        </a:xfrm>
                        <a:prstGeom prst="rect">
                          <a:avLst/>
                        </a:prstGeom>
                        <a:solidFill>
                          <a:prstClr val="white"/>
                        </a:solidFill>
                        <a:ln>
                          <a:noFill/>
                        </a:ln>
                        <a:effectLst/>
                      </wps:spPr>
                      <wps:txbx>
                        <w:txbxContent>
                          <w:p w14:paraId="3A0C1BA5" w14:textId="7EFE74A2" w:rsidR="00933456" w:rsidRPr="00D85DF4" w:rsidRDefault="00933456" w:rsidP="00D85DF4">
                            <w:pPr>
                              <w:pStyle w:val="Caption"/>
                            </w:pPr>
                            <w:bookmarkStart w:id="710" w:name="_Toc80120325"/>
                            <w:bookmarkStart w:id="711" w:name="_Toc80884201"/>
                            <w:bookmarkStart w:id="712" w:name="_Toc80884572"/>
                            <w:bookmarkStart w:id="713" w:name="_Toc82386423"/>
                            <w:r w:rsidRPr="00D85DF4">
                              <w:t>Figure 4.5</w:t>
                            </w:r>
                            <w:r>
                              <w:t>2</w:t>
                            </w:r>
                            <w:r w:rsidRPr="00D85DF4">
                              <w:t>:</w:t>
                            </w:r>
                            <w:r>
                              <w:tab/>
                            </w:r>
                            <w:r w:rsidRPr="00D85DF4">
                              <w:t>Percentage Distribution of Households Reported Tick Control Methods During 2019/20 Agricultural Year, Tanzania</w:t>
                            </w:r>
                            <w:bookmarkEnd w:id="710"/>
                            <w:bookmarkEnd w:id="711"/>
                            <w:bookmarkEnd w:id="712"/>
                            <w:bookmarkEnd w:id="713"/>
                          </w:p>
                          <w:p w14:paraId="7D8D6E17" w14:textId="77777777" w:rsidR="00933456" w:rsidRPr="00D85DF4" w:rsidRDefault="00933456" w:rsidP="00D85DF4">
                            <w:pPr>
                              <w:pStyle w:val="Caption"/>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C3B5A04" id="Text Box 91" o:spid="_x0000_s1107" type="#_x0000_t202" style="position:absolute;left:0;text-align:left;margin-left:244.55pt;margin-top:3.05pt;width:248.25pt;height:47.15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" stroked="f">
                <v:textbox inset="0,0,0,0">
                  <w:txbxContent>
                    <w:p w14:paraId="3A0C1BA5" w14:textId="7EFE74A2" w:rsidR="00933456" w:rsidRPr="00D85DF4" w:rsidRDefault="00933456" w:rsidP="00D85DF4">
                      <w:pPr>
                        <w:pStyle w:val="Caption"/>
                      </w:pPr>
                      <w:bookmarkStart w:id="1011" w:name="_Toc80120325"/>
                      <w:bookmarkStart w:id="1012" w:name="_Toc80884201"/>
                      <w:bookmarkStart w:id="1013" w:name="_Toc80884572"/>
                      <w:bookmarkStart w:id="1014" w:name="_Toc82386423"/>
                      <w:r w:rsidRPr="00D85DF4">
                        <w:t>Figure 4.5</w:t>
                      </w:r>
                      <w:r>
                        <w:t>2</w:t>
                      </w:r>
                      <w:r w:rsidRPr="00D85DF4">
                        <w:t>:</w:t>
                      </w:r>
                      <w:r>
                        <w:tab/>
                      </w:r>
                      <w:r w:rsidRPr="00D85DF4">
                        <w:t>Percentage Distribution of Households Reported Tick Control Methods During 2019/20 Agricultural Year, Tanzania</w:t>
                      </w:r>
                      <w:bookmarkEnd w:id="1011"/>
                      <w:bookmarkEnd w:id="1012"/>
                      <w:bookmarkEnd w:id="1013"/>
                      <w:bookmarkEnd w:id="1014"/>
                    </w:p>
                    <w:p w14:paraId="7D8D6E17" w14:textId="77777777" w:rsidR="00933456" w:rsidRPr="00D85DF4" w:rsidRDefault="00933456" w:rsidP="00D85DF4">
                      <w:pPr>
                        <w:pStyle w:val="Caption"/>
                      </w:pPr>
                    </w:p>
                  </w:txbxContent>
                </v:textbox>
                <w10:wrap type="square"/>
              </v:shape>
            </w:pict>
          </mc:Fallback>
        </mc:AlternateContent>
      </w:r>
      <w:r w:rsidR="009400E5" w:rsidRPr="006B42D6">
        <w:t>4.</w:t>
      </w:r>
      <w:r w:rsidR="00022347">
        <w:t>5</w:t>
      </w:r>
      <w:r w:rsidR="009400E5" w:rsidRPr="006B42D6">
        <w:t>.3.1</w:t>
      </w:r>
      <w:r w:rsidR="009400E5" w:rsidRPr="006B42D6">
        <w:tab/>
      </w:r>
      <w:r w:rsidR="000E1363" w:rsidRPr="006B42D6">
        <w:t>Tick Control Methods</w:t>
      </w:r>
      <w:bookmarkEnd w:id="709"/>
    </w:p>
    <w:p w14:paraId="4A6F1EF8" w14:textId="22518DEE" w:rsidR="00EA3CD8" w:rsidRPr="006B42D6" w:rsidRDefault="001B26AC" w:rsidP="00EA3CD8">
      <w:pPr>
        <w:tabs>
          <w:tab w:val="left" w:pos="5993"/>
          <w:tab w:val="left" w:pos="8355"/>
        </w:tabs>
        <w:adjustRightInd w:val="0"/>
        <w:ind w:left="142" w:right="-472"/>
      </w:pPr>
      <w:r w:rsidRPr="006B42D6">
        <w:rPr>
          <w:noProof/>
        </w:rPr>
        <w:drawing>
          <wp:anchor distT="67056" distB="76708" distL="181356" distR="208788" simplePos="0" relativeHeight="251581440" behindDoc="0" locked="0" layoutInCell="1" allowOverlap="1" wp14:anchorId="5CEEFB9D" wp14:editId="4D6C53B5">
            <wp:simplePos x="0" y="0"/>
            <wp:positionH relativeFrom="column">
              <wp:posOffset>3105785</wp:posOffset>
            </wp:positionH>
            <wp:positionV relativeFrom="paragraph">
              <wp:posOffset>356870</wp:posOffset>
            </wp:positionV>
            <wp:extent cx="2931795" cy="2463800"/>
            <wp:effectExtent l="0" t="0" r="14605" b="12700"/>
            <wp:wrapSquare wrapText="bothSides"/>
            <wp:docPr id="537" name="Chart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9"/>
              </a:graphicData>
            </a:graphic>
            <wp14:sizeRelH relativeFrom="page">
              <wp14:pctWidth>0</wp14:pctWidth>
            </wp14:sizeRelH>
            <wp14:sizeRelV relativeFrom="page">
              <wp14:pctHeight>0</wp14:pctHeight>
            </wp14:sizeRelV>
          </wp:anchor>
        </w:drawing>
      </w:r>
      <w:r w:rsidR="00EA3CD8" w:rsidRPr="006B42D6">
        <w:t xml:space="preserve">The Census results show that, Tick Borne Diseases were amongst the common diseases infecting livestock during 2019/20 </w:t>
      </w:r>
      <w:r w:rsidR="009400E5" w:rsidRPr="006B42D6">
        <w:t>a</w:t>
      </w:r>
      <w:r w:rsidR="00EA3CD8" w:rsidRPr="006B42D6">
        <w:t xml:space="preserve">gricultural year. In </w:t>
      </w:r>
      <w:r w:rsidR="00EA1552">
        <w:t>Mainland Tanzania</w:t>
      </w:r>
      <w:r w:rsidR="00EA3CD8" w:rsidRPr="006B42D6">
        <w:t>, high number of livestock rearing households encountered tick problem were in Manyara, Dodoma, Mbeya, Shinyanga, Mwanza and Rukwa</w:t>
      </w:r>
      <w:r w:rsidR="009400E5" w:rsidRPr="006B42D6">
        <w:t xml:space="preserve"> regions</w:t>
      </w:r>
      <w:r w:rsidR="00EA3CD8" w:rsidRPr="006B42D6">
        <w:t xml:space="preserve">, while in </w:t>
      </w:r>
      <w:r w:rsidR="009400E5" w:rsidRPr="006B42D6">
        <w:t xml:space="preserve">Tanzania </w:t>
      </w:r>
      <w:r w:rsidR="00EA3CD8" w:rsidRPr="006B42D6">
        <w:t>Zanzibar were Kusini</w:t>
      </w:r>
      <w:r w:rsidR="00CB7680" w:rsidRPr="006B42D6">
        <w:t xml:space="preserve"> </w:t>
      </w:r>
      <w:r w:rsidR="00EA3CD8" w:rsidRPr="006B42D6">
        <w:t>Pemba, Kusini Unguja and Kaskazini Pemba.</w:t>
      </w:r>
      <w:r w:rsidR="009400E5" w:rsidRPr="006B42D6">
        <w:t xml:space="preserve"> </w:t>
      </w:r>
      <w:r w:rsidR="00EA3CD8" w:rsidRPr="006B42D6">
        <w:t>The control methods for Tick</w:t>
      </w:r>
      <w:r w:rsidR="00924D63" w:rsidRPr="006B42D6">
        <w:t xml:space="preserve"> </w:t>
      </w:r>
      <w:r w:rsidR="00EA3CD8" w:rsidRPr="006B42D6">
        <w:t>Born Diseases included spraying that was applied by 239,789 households (72.4 percent); dipping (69,652; 21.0 percent); smearing (6,323, 1.9 percent); others (8,396; 2.5 percent) and those which did not practice any control method for the Tick-Born Diseases were 6,818 households representing 2.1 percent (Figure 4.</w:t>
      </w:r>
      <w:r w:rsidR="009400E5" w:rsidRPr="006B42D6">
        <w:t>5</w:t>
      </w:r>
      <w:r w:rsidR="00E87243">
        <w:t>2</w:t>
      </w:r>
      <w:r w:rsidR="00EA3CD8" w:rsidRPr="006B42D6">
        <w:t>).</w:t>
      </w:r>
    </w:p>
    <w:bookmarkStart w:id="714" w:name="_Toc82385768"/>
    <w:p w14:paraId="0DAE22E6" w14:textId="2E2A43A2" w:rsidR="000E1363" w:rsidRPr="006B42D6" w:rsidRDefault="00AB34E9" w:rsidP="009400E5">
      <w:pPr>
        <w:pStyle w:val="Heading4"/>
      </w:pPr>
      <w:r w:rsidRPr="006B42D6">
        <w:rPr>
          <w:noProof/>
        </w:rPr>
        <w:lastRenderedPageBreak/>
        <mc:AlternateContent>
          <mc:Choice Requires="wps">
            <w:drawing>
              <wp:anchor distT="0" distB="0" distL="114300" distR="114300" simplePos="0" relativeHeight="251580416" behindDoc="0" locked="0" layoutInCell="1" allowOverlap="1" wp14:anchorId="6BAD624D" wp14:editId="2FB75D9C">
                <wp:simplePos x="0" y="0"/>
                <wp:positionH relativeFrom="column">
                  <wp:posOffset>2846442</wp:posOffset>
                </wp:positionH>
                <wp:positionV relativeFrom="paragraph">
                  <wp:posOffset>-106680</wp:posOffset>
                </wp:positionV>
                <wp:extent cx="3171190" cy="443230"/>
                <wp:effectExtent l="0" t="0" r="3810" b="1270"/>
                <wp:wrapSquare wrapText="bothSides"/>
                <wp:docPr id="535"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1190" cy="443230"/>
                        </a:xfrm>
                        <a:prstGeom prst="rect">
                          <a:avLst/>
                        </a:prstGeom>
                        <a:solidFill>
                          <a:prstClr val="white"/>
                        </a:solidFill>
                        <a:ln>
                          <a:noFill/>
                        </a:ln>
                        <a:effectLst/>
                      </wps:spPr>
                      <wps:txbx>
                        <w:txbxContent>
                          <w:p w14:paraId="35C570CD" w14:textId="40003D3E" w:rsidR="00933456" w:rsidRPr="00FB0E62" w:rsidRDefault="00933456" w:rsidP="00FB0E62">
                            <w:pPr>
                              <w:pStyle w:val="Caption"/>
                            </w:pPr>
                            <w:bookmarkStart w:id="715" w:name="_Toc80120326"/>
                            <w:bookmarkStart w:id="716" w:name="_Toc80884202"/>
                            <w:bookmarkStart w:id="717" w:name="_Toc80884573"/>
                            <w:bookmarkStart w:id="718" w:name="_Toc82386424"/>
                            <w:r w:rsidRPr="00FB0E62">
                              <w:t>Figure 4.5</w:t>
                            </w:r>
                            <w:r>
                              <w:t>3</w:t>
                            </w:r>
                            <w:r w:rsidRPr="00FB0E62">
                              <w:t>:</w:t>
                            </w:r>
                            <w:r w:rsidRPr="00FB0E62">
                              <w:tab/>
                              <w:t>Percent of Households Reported Tsetse Flies Control Methods During 2019/20 Agricultural Year, Tanzania</w:t>
                            </w:r>
                            <w:bookmarkEnd w:id="715"/>
                            <w:bookmarkEnd w:id="716"/>
                            <w:bookmarkEnd w:id="717"/>
                            <w:bookmarkEnd w:id="718"/>
                          </w:p>
                          <w:p w14:paraId="72853978" w14:textId="77777777" w:rsidR="00933456" w:rsidRPr="00FB0E62" w:rsidRDefault="00933456" w:rsidP="00FB0E62">
                            <w:pPr>
                              <w:pStyle w:val="Caption"/>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BAD624D" id="Text Box 92" o:spid="_x0000_s1108" type="#_x0000_t202" style="position:absolute;left:0;text-align:left;margin-left:224.15pt;margin-top:-8.4pt;width:249.7pt;height:34.9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" stroked="f">
                <v:textbox inset="0,0,0,0">
                  <w:txbxContent>
                    <w:p w14:paraId="35C570CD" w14:textId="40003D3E" w:rsidR="00933456" w:rsidRPr="00FB0E62" w:rsidRDefault="00933456" w:rsidP="00FB0E62">
                      <w:pPr>
                        <w:pStyle w:val="Caption"/>
                      </w:pPr>
                      <w:bookmarkStart w:id="1020" w:name="_Toc80120326"/>
                      <w:bookmarkStart w:id="1021" w:name="_Toc80884202"/>
                      <w:bookmarkStart w:id="1022" w:name="_Toc80884573"/>
                      <w:bookmarkStart w:id="1023" w:name="_Toc82386424"/>
                      <w:r w:rsidRPr="00FB0E62">
                        <w:t>Figure 4.5</w:t>
                      </w:r>
                      <w:r>
                        <w:t>3</w:t>
                      </w:r>
                      <w:r w:rsidRPr="00FB0E62">
                        <w:t>:</w:t>
                      </w:r>
                      <w:r w:rsidRPr="00FB0E62">
                        <w:tab/>
                        <w:t>Percent of Households Reported Tsetse Flies Control Methods During 2019/20 Agricultural Year, Tanzania</w:t>
                      </w:r>
                      <w:bookmarkEnd w:id="1020"/>
                      <w:bookmarkEnd w:id="1021"/>
                      <w:bookmarkEnd w:id="1022"/>
                      <w:bookmarkEnd w:id="1023"/>
                    </w:p>
                    <w:p w14:paraId="72853978" w14:textId="77777777" w:rsidR="00933456" w:rsidRPr="00FB0E62" w:rsidRDefault="00933456" w:rsidP="00FB0E62">
                      <w:pPr>
                        <w:pStyle w:val="Caption"/>
                      </w:pPr>
                    </w:p>
                  </w:txbxContent>
                </v:textbox>
                <w10:wrap type="square"/>
              </v:shape>
            </w:pict>
          </mc:Fallback>
        </mc:AlternateContent>
      </w:r>
      <w:r w:rsidR="009400E5" w:rsidRPr="006B42D6">
        <w:t>4.</w:t>
      </w:r>
      <w:r w:rsidR="00022347">
        <w:t>5</w:t>
      </w:r>
      <w:r w:rsidR="009400E5" w:rsidRPr="006B42D6">
        <w:t>.3.2</w:t>
      </w:r>
      <w:r w:rsidR="009400E5" w:rsidRPr="006B42D6">
        <w:tab/>
      </w:r>
      <w:r w:rsidR="000E1363" w:rsidRPr="006B42D6">
        <w:t xml:space="preserve">Tsetse </w:t>
      </w:r>
      <w:r w:rsidR="009400E5" w:rsidRPr="006B42D6">
        <w:t>F</w:t>
      </w:r>
      <w:r w:rsidR="000E1363" w:rsidRPr="006B42D6">
        <w:t>ly Control Methods</w:t>
      </w:r>
      <w:bookmarkEnd w:id="714"/>
    </w:p>
    <w:p w14:paraId="754CC30B" w14:textId="57608DBC" w:rsidR="00033F8C" w:rsidRDefault="001B26AC" w:rsidP="00033F8C">
      <w:pPr>
        <w:tabs>
          <w:tab w:val="left" w:pos="5993"/>
          <w:tab w:val="left" w:pos="8355"/>
        </w:tabs>
        <w:adjustRightInd w:val="0"/>
        <w:ind w:left="142" w:right="-472"/>
      </w:pPr>
      <w:r w:rsidRPr="006B42D6">
        <w:rPr>
          <w:noProof/>
        </w:rPr>
        <w:drawing>
          <wp:anchor distT="66652" distB="70436" distL="181443" distR="173558" simplePos="0" relativeHeight="251579392" behindDoc="0" locked="0" layoutInCell="1" allowOverlap="1" wp14:anchorId="7CFFA37A" wp14:editId="1C523748">
            <wp:simplePos x="0" y="0"/>
            <wp:positionH relativeFrom="column">
              <wp:posOffset>2795905</wp:posOffset>
            </wp:positionH>
            <wp:positionV relativeFrom="paragraph">
              <wp:posOffset>150867</wp:posOffset>
            </wp:positionV>
            <wp:extent cx="3190875" cy="2460625"/>
            <wp:effectExtent l="0" t="0" r="9525" b="15875"/>
            <wp:wrapSquare wrapText="bothSides"/>
            <wp:docPr id="534" name="Chart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0"/>
              </a:graphicData>
            </a:graphic>
            <wp14:sizeRelH relativeFrom="page">
              <wp14:pctWidth>0</wp14:pctWidth>
            </wp14:sizeRelH>
            <wp14:sizeRelV relativeFrom="page">
              <wp14:pctHeight>0</wp14:pctHeight>
            </wp14:sizeRelV>
          </wp:anchor>
        </w:drawing>
      </w:r>
      <w:r w:rsidR="00033F8C" w:rsidRPr="006B42D6">
        <w:t xml:space="preserve">The Census results show that, </w:t>
      </w:r>
      <w:r w:rsidR="00FB0E62" w:rsidRPr="006B42D6">
        <w:t xml:space="preserve">tsetse flies </w:t>
      </w:r>
      <w:r w:rsidR="00033F8C" w:rsidRPr="006B42D6">
        <w:t xml:space="preserve">problem was another challenge that infected livestock raising households during 2019/20 </w:t>
      </w:r>
      <w:r w:rsidR="009400E5" w:rsidRPr="006B42D6">
        <w:t>a</w:t>
      </w:r>
      <w:r w:rsidR="00033F8C" w:rsidRPr="006B42D6">
        <w:t xml:space="preserve">gricultural year. In </w:t>
      </w:r>
      <w:r w:rsidR="00EA1552">
        <w:rPr>
          <w:lang w:eastAsia="en-GB"/>
        </w:rPr>
        <w:t>Mainland Tanzania</w:t>
      </w:r>
      <w:r w:rsidR="00033F8C" w:rsidRPr="006B42D6">
        <w:t>,</w:t>
      </w:r>
      <w:r w:rsidR="00CB7680" w:rsidRPr="006B42D6">
        <w:t xml:space="preserve"> </w:t>
      </w:r>
      <w:r w:rsidR="00033F8C" w:rsidRPr="006B42D6">
        <w:t xml:space="preserve">high number of livestock raising households encountered </w:t>
      </w:r>
      <w:r w:rsidR="00FB0E62" w:rsidRPr="006B42D6">
        <w:t xml:space="preserve">tsetse flies </w:t>
      </w:r>
      <w:r w:rsidR="00033F8C" w:rsidRPr="006B42D6">
        <w:t>problem were in Arusha, Manyara, Dodoma, Kilimanjaro, Rukwa, Mbeya and Tanga</w:t>
      </w:r>
      <w:r w:rsidR="009400E5" w:rsidRPr="006B42D6">
        <w:t xml:space="preserve"> regions</w:t>
      </w:r>
      <w:r w:rsidR="00033F8C" w:rsidRPr="006B42D6">
        <w:t xml:space="preserve">, while in </w:t>
      </w:r>
      <w:r w:rsidR="00645B2E" w:rsidRPr="006B42D6">
        <w:rPr>
          <w:lang w:eastAsia="en-GB"/>
        </w:rPr>
        <w:t xml:space="preserve">Tanzania </w:t>
      </w:r>
      <w:r w:rsidR="00033F8C" w:rsidRPr="006B42D6">
        <w:t xml:space="preserve">Zanzibar were </w:t>
      </w:r>
      <w:r w:rsidR="009400E5" w:rsidRPr="006B42D6">
        <w:t xml:space="preserve">in </w:t>
      </w:r>
      <w:r w:rsidR="00033F8C" w:rsidRPr="006B42D6">
        <w:t>Kusini Pemba and Mjini Magharibi only.</w:t>
      </w:r>
    </w:p>
    <w:p w14:paraId="45C911DE" w14:textId="77777777" w:rsidR="00FB0E62" w:rsidRPr="006B42D6" w:rsidRDefault="00FB0E62" w:rsidP="000E5E14">
      <w:pPr>
        <w:tabs>
          <w:tab w:val="left" w:pos="5993"/>
          <w:tab w:val="left" w:pos="8355"/>
        </w:tabs>
        <w:adjustRightInd w:val="0"/>
        <w:spacing w:line="240" w:lineRule="auto"/>
        <w:ind w:left="142" w:right="-472"/>
      </w:pPr>
    </w:p>
    <w:p w14:paraId="1CE36752" w14:textId="288F0469" w:rsidR="00033F8C" w:rsidRDefault="00033F8C" w:rsidP="00033F8C">
      <w:pPr>
        <w:tabs>
          <w:tab w:val="left" w:pos="5993"/>
          <w:tab w:val="left" w:pos="8355"/>
        </w:tabs>
        <w:adjustRightInd w:val="0"/>
        <w:ind w:left="142" w:right="-472"/>
      </w:pPr>
      <w:r w:rsidRPr="006B42D6">
        <w:t>The control methods employed for the control of tsetse flies disease include spraying</w:t>
      </w:r>
      <w:r w:rsidR="00930D35" w:rsidRPr="006B42D6">
        <w:t>,</w:t>
      </w:r>
      <w:r w:rsidRPr="006B42D6">
        <w:t xml:space="preserve"> that was applied by 61,936 households (67.6 percent); dipping (14,258; 15.6 percent); trapping (355; 0.4 percent); others (8,494; 9.3 percent) and those which did not practice any control method for the </w:t>
      </w:r>
      <w:r w:rsidR="00924D63" w:rsidRPr="006B42D6">
        <w:t xml:space="preserve">tsetse flies </w:t>
      </w:r>
      <w:r w:rsidRPr="006B42D6">
        <w:t>were 6,579 households representing 7.2 percent (Figure 4.</w:t>
      </w:r>
      <w:r w:rsidR="009400E5" w:rsidRPr="006B42D6">
        <w:t>5</w:t>
      </w:r>
      <w:r w:rsidR="00E87243">
        <w:t>3</w:t>
      </w:r>
      <w:r w:rsidRPr="006B42D6">
        <w:t>).</w:t>
      </w:r>
    </w:p>
    <w:p w14:paraId="11A908B7" w14:textId="26521446" w:rsidR="00E82155" w:rsidRPr="006B42D6" w:rsidRDefault="00E82155" w:rsidP="00033F8C">
      <w:pPr>
        <w:tabs>
          <w:tab w:val="left" w:pos="5993"/>
          <w:tab w:val="left" w:pos="8355"/>
        </w:tabs>
        <w:adjustRightInd w:val="0"/>
        <w:ind w:left="142" w:right="-472"/>
      </w:pPr>
      <w:r>
        <w:rPr>
          <w:noProof/>
        </w:rPr>
        <mc:AlternateContent>
          <mc:Choice Requires="wps">
            <w:drawing>
              <wp:anchor distT="0" distB="0" distL="114300" distR="114300" simplePos="0" relativeHeight="251585536" behindDoc="1" locked="0" layoutInCell="1" allowOverlap="1" wp14:anchorId="72BCD5F9" wp14:editId="4EBBB15F">
                <wp:simplePos x="0" y="0"/>
                <wp:positionH relativeFrom="column">
                  <wp:posOffset>3034665</wp:posOffset>
                </wp:positionH>
                <wp:positionV relativeFrom="page">
                  <wp:posOffset>5742677</wp:posOffset>
                </wp:positionV>
                <wp:extent cx="3298190" cy="492760"/>
                <wp:effectExtent l="0" t="0" r="3810" b="2540"/>
                <wp:wrapTight wrapText="bothSides">
                  <wp:wrapPolygon edited="0">
                    <wp:start x="0" y="0"/>
                    <wp:lineTo x="0" y="21155"/>
                    <wp:lineTo x="21542" y="21155"/>
                    <wp:lineTo x="21542" y="0"/>
                    <wp:lineTo x="0" y="0"/>
                  </wp:wrapPolygon>
                </wp:wrapTight>
                <wp:docPr id="532"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98190" cy="492760"/>
                        </a:xfrm>
                        <a:prstGeom prst="rect">
                          <a:avLst/>
                        </a:prstGeom>
                        <a:solidFill>
                          <a:prstClr val="white"/>
                        </a:solidFill>
                        <a:ln>
                          <a:noFill/>
                        </a:ln>
                        <a:effectLst/>
                      </wps:spPr>
                      <wps:txbx>
                        <w:txbxContent>
                          <w:p w14:paraId="7BFA97FE" w14:textId="7CC09701" w:rsidR="00933456" w:rsidRPr="00FB0E62" w:rsidRDefault="00933456" w:rsidP="00FB0E62">
                            <w:pPr>
                              <w:pStyle w:val="Caption"/>
                            </w:pPr>
                            <w:bookmarkStart w:id="719" w:name="_Toc80120327"/>
                            <w:bookmarkStart w:id="720" w:name="_Toc80884203"/>
                            <w:bookmarkStart w:id="721" w:name="_Toc80884574"/>
                            <w:bookmarkStart w:id="722" w:name="_Toc82386425"/>
                            <w:r w:rsidRPr="00FB0E62">
                              <w:t>Figure 4.5</w:t>
                            </w:r>
                            <w:r>
                              <w:t>4</w:t>
                            </w:r>
                            <w:r w:rsidRPr="00FB0E62">
                              <w:t>:</w:t>
                            </w:r>
                            <w:r w:rsidRPr="00FB0E62">
                              <w:tab/>
                              <w:t>Percent of Households Reported NCD Control Methods During 2019/20 Agricultural Year, Tanzania</w:t>
                            </w:r>
                            <w:bookmarkEnd w:id="719"/>
                            <w:bookmarkEnd w:id="720"/>
                            <w:bookmarkEnd w:id="721"/>
                            <w:bookmarkEnd w:id="722"/>
                          </w:p>
                          <w:p w14:paraId="57A5DE96" w14:textId="77777777" w:rsidR="00933456" w:rsidRPr="00FB0E62" w:rsidRDefault="00933456" w:rsidP="00FB0E62">
                            <w:pPr>
                              <w:pStyle w:val="Caption"/>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BCD5F9" id="Text Box 94" o:spid="_x0000_s1109" type="#_x0000_t202" style="position:absolute;left:0;text-align:left;margin-left:238.95pt;margin-top:452.2pt;width:259.7pt;height:38.8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" stroked="f">
                <v:textbox inset="0,0,0,0">
                  <w:txbxContent>
                    <w:p w14:paraId="7BFA97FE" w14:textId="7CC09701" w:rsidR="00933456" w:rsidRPr="00FB0E62" w:rsidRDefault="00933456" w:rsidP="00FB0E62">
                      <w:pPr>
                        <w:pStyle w:val="Caption"/>
                      </w:pPr>
                      <w:bookmarkStart w:id="1028" w:name="_Toc80120327"/>
                      <w:bookmarkStart w:id="1029" w:name="_Toc80884203"/>
                      <w:bookmarkStart w:id="1030" w:name="_Toc80884574"/>
                      <w:bookmarkStart w:id="1031" w:name="_Toc82386425"/>
                      <w:r w:rsidRPr="00FB0E62">
                        <w:t>Figure 4.5</w:t>
                      </w:r>
                      <w:r>
                        <w:t>4</w:t>
                      </w:r>
                      <w:r w:rsidRPr="00FB0E62">
                        <w:t>:</w:t>
                      </w:r>
                      <w:r w:rsidRPr="00FB0E62">
                        <w:tab/>
                        <w:t>Percent of Households Reported NCD Control Methods During 2019/20 Agricultural Year, Tanzania</w:t>
                      </w:r>
                      <w:bookmarkEnd w:id="1028"/>
                      <w:bookmarkEnd w:id="1029"/>
                      <w:bookmarkEnd w:id="1030"/>
                      <w:bookmarkEnd w:id="1031"/>
                    </w:p>
                    <w:p w14:paraId="57A5DE96" w14:textId="77777777" w:rsidR="00933456" w:rsidRPr="00FB0E62" w:rsidRDefault="00933456" w:rsidP="00FB0E62">
                      <w:pPr>
                        <w:pStyle w:val="Caption"/>
                      </w:pPr>
                    </w:p>
                  </w:txbxContent>
                </v:textbox>
                <w10:wrap type="tight" anchory="page"/>
              </v:shape>
            </w:pict>
          </mc:Fallback>
        </mc:AlternateContent>
      </w:r>
    </w:p>
    <w:p w14:paraId="3A320B14" w14:textId="722F941D" w:rsidR="006A23E7" w:rsidRPr="006B42D6" w:rsidRDefault="009400E5" w:rsidP="009400E5">
      <w:pPr>
        <w:pStyle w:val="Heading4"/>
      </w:pPr>
      <w:bookmarkStart w:id="723" w:name="_Toc82385769"/>
      <w:r w:rsidRPr="006B42D6">
        <w:t>4.</w:t>
      </w:r>
      <w:r w:rsidR="00022347">
        <w:t>5</w:t>
      </w:r>
      <w:r w:rsidRPr="006B42D6">
        <w:t>.3.3</w:t>
      </w:r>
      <w:r w:rsidRPr="006B42D6">
        <w:tab/>
      </w:r>
      <w:r w:rsidR="000E1363" w:rsidRPr="006B42D6">
        <w:t>The Control Methods of New</w:t>
      </w:r>
      <w:r w:rsidR="00924D63" w:rsidRPr="006B42D6">
        <w:t>c</w:t>
      </w:r>
      <w:r w:rsidR="000E1363" w:rsidRPr="006B42D6">
        <w:t>astle Disease (NCD)</w:t>
      </w:r>
      <w:bookmarkEnd w:id="723"/>
      <w:r w:rsidR="000E1363" w:rsidRPr="006B42D6">
        <w:t xml:space="preserve"> </w:t>
      </w:r>
    </w:p>
    <w:p w14:paraId="303BB1F3" w14:textId="204A4EBA" w:rsidR="000E1363" w:rsidRDefault="00E82155" w:rsidP="005C2EFC">
      <w:pPr>
        <w:tabs>
          <w:tab w:val="left" w:pos="5993"/>
          <w:tab w:val="left" w:pos="8355"/>
        </w:tabs>
        <w:adjustRightInd w:val="0"/>
        <w:ind w:right="-472"/>
      </w:pPr>
      <w:r w:rsidRPr="00DE558D">
        <w:rPr>
          <w:noProof/>
          <w:color w:val="000000" w:themeColor="text1"/>
        </w:rPr>
        <w:drawing>
          <wp:anchor distT="0" distB="0" distL="114300" distR="114300" simplePos="0" relativeHeight="251586560" behindDoc="0" locked="0" layoutInCell="1" allowOverlap="1" wp14:anchorId="4FA72146" wp14:editId="4ED944D2">
            <wp:simplePos x="0" y="0"/>
            <wp:positionH relativeFrom="column">
              <wp:posOffset>3034665</wp:posOffset>
            </wp:positionH>
            <wp:positionV relativeFrom="paragraph">
              <wp:posOffset>14342</wp:posOffset>
            </wp:positionV>
            <wp:extent cx="2981325" cy="2072640"/>
            <wp:effectExtent l="0" t="0" r="15875" b="10160"/>
            <wp:wrapSquare wrapText="bothSides"/>
            <wp:docPr id="533"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1"/>
              </a:graphicData>
            </a:graphic>
            <wp14:sizeRelH relativeFrom="margin">
              <wp14:pctWidth>0</wp14:pctWidth>
            </wp14:sizeRelH>
            <wp14:sizeRelV relativeFrom="margin">
              <wp14:pctHeight>0</wp14:pctHeight>
            </wp14:sizeRelV>
          </wp:anchor>
        </w:drawing>
      </w:r>
      <w:r w:rsidR="00033F8C" w:rsidRPr="006B42D6">
        <w:t>The Census results show that, New</w:t>
      </w:r>
      <w:r w:rsidR="00B43F21" w:rsidRPr="006B42D6">
        <w:t>c</w:t>
      </w:r>
      <w:r w:rsidR="00033F8C" w:rsidRPr="006B42D6">
        <w:t xml:space="preserve">astle Disease was amongst the most prevalent disease infecting poultry during 2019/20 </w:t>
      </w:r>
      <w:r w:rsidR="009400E5" w:rsidRPr="006B42D6">
        <w:t>a</w:t>
      </w:r>
      <w:r w:rsidR="00033F8C" w:rsidRPr="006B42D6">
        <w:t xml:space="preserve">gricultural year. In </w:t>
      </w:r>
      <w:r w:rsidR="00EA1552">
        <w:rPr>
          <w:lang w:eastAsia="en-GB"/>
        </w:rPr>
        <w:t>Mainland Tanzania</w:t>
      </w:r>
      <w:r w:rsidR="00033F8C" w:rsidRPr="006B42D6">
        <w:t>, larg</w:t>
      </w:r>
      <w:r w:rsidR="00930D35" w:rsidRPr="006B42D6">
        <w:t>e</w:t>
      </w:r>
      <w:r w:rsidR="00033F8C" w:rsidRPr="006B42D6">
        <w:t xml:space="preserve"> number of households encountering NCD problem were in Mbeya, Tanga, Mwanza, Iringa, Geita, Dodoma and Rukwa</w:t>
      </w:r>
      <w:r w:rsidR="009400E5" w:rsidRPr="006B42D6">
        <w:t xml:space="preserve"> regions</w:t>
      </w:r>
      <w:r w:rsidR="00033F8C" w:rsidRPr="006B42D6">
        <w:t xml:space="preserve">, while in </w:t>
      </w:r>
      <w:r w:rsidR="009400E5" w:rsidRPr="006B42D6">
        <w:t xml:space="preserve">Tanzania </w:t>
      </w:r>
      <w:r w:rsidR="00033F8C" w:rsidRPr="006B42D6">
        <w:t xml:space="preserve">Zanzibar were </w:t>
      </w:r>
      <w:r w:rsidR="009400E5" w:rsidRPr="006B42D6">
        <w:t xml:space="preserve">in </w:t>
      </w:r>
      <w:r w:rsidR="00033F8C" w:rsidRPr="006B42D6">
        <w:t xml:space="preserve">Mjini Magharibi, Kusini Unguja and Kaskazini Unguja. The control methods for NCD included vaccination that was applied by 218,916 households (53.6 percent); </w:t>
      </w:r>
      <w:r w:rsidR="00924D63" w:rsidRPr="006B42D6">
        <w:t>l</w:t>
      </w:r>
      <w:r w:rsidR="00033F8C" w:rsidRPr="006B42D6">
        <w:t>ocal herbs (134,945; 33.1 percent); other (1,375; 0.3 percent); and those which did not practice any control method for the NCD constituted 52,866 households representing 13</w:t>
      </w:r>
      <w:r w:rsidR="00930D35" w:rsidRPr="006B42D6">
        <w:t>.0</w:t>
      </w:r>
      <w:r w:rsidR="00033F8C" w:rsidRPr="006B42D6">
        <w:t xml:space="preserve"> percent (Figure 4.</w:t>
      </w:r>
      <w:r w:rsidR="009400E5" w:rsidRPr="006B42D6">
        <w:t>5</w:t>
      </w:r>
      <w:r w:rsidR="00E87243">
        <w:t>4</w:t>
      </w:r>
      <w:r w:rsidR="00033F8C" w:rsidRPr="006B42D6">
        <w:t>).</w:t>
      </w:r>
    </w:p>
    <w:p w14:paraId="233793CA" w14:textId="77777777" w:rsidR="00A41AC7" w:rsidRPr="006B42D6" w:rsidRDefault="00A41AC7" w:rsidP="000E5E14">
      <w:pPr>
        <w:tabs>
          <w:tab w:val="left" w:pos="5993"/>
          <w:tab w:val="left" w:pos="8355"/>
        </w:tabs>
        <w:adjustRightInd w:val="0"/>
        <w:spacing w:line="240" w:lineRule="auto"/>
        <w:ind w:right="-472"/>
      </w:pPr>
    </w:p>
    <w:p w14:paraId="0F43CB80" w14:textId="2A956B4D" w:rsidR="00DD57F9" w:rsidRPr="006B42D6" w:rsidRDefault="009400E5" w:rsidP="009400E5">
      <w:pPr>
        <w:pStyle w:val="Heading3"/>
      </w:pPr>
      <w:bookmarkStart w:id="724" w:name="_Toc82385770"/>
      <w:r w:rsidRPr="006B42D6">
        <w:lastRenderedPageBreak/>
        <w:t>4.</w:t>
      </w:r>
      <w:r w:rsidR="00022347">
        <w:t>5</w:t>
      </w:r>
      <w:r w:rsidRPr="006B42D6">
        <w:t>.4</w:t>
      </w:r>
      <w:r w:rsidR="00DD57F9" w:rsidRPr="006B42D6">
        <w:tab/>
        <w:t xml:space="preserve">Deworming </w:t>
      </w:r>
      <w:r w:rsidRPr="006B42D6">
        <w:t>P</w:t>
      </w:r>
      <w:r w:rsidR="00DD57F9" w:rsidRPr="006B42D6">
        <w:t>ractices</w:t>
      </w:r>
      <w:bookmarkEnd w:id="724"/>
      <w:r w:rsidR="00DD57F9" w:rsidRPr="006B42D6">
        <w:t xml:space="preserve"> </w:t>
      </w:r>
    </w:p>
    <w:p w14:paraId="315470D4" w14:textId="21AD1AD0" w:rsidR="00DD57F9" w:rsidRPr="006B42D6" w:rsidRDefault="009400E5" w:rsidP="00DD57F9">
      <w:pPr>
        <w:adjustRightInd w:val="0"/>
      </w:pPr>
      <w:r w:rsidRPr="006B42D6">
        <w:t>The Census results show that, during 2019/20 agricultural year, t</w:t>
      </w:r>
      <w:r w:rsidR="00DD57F9" w:rsidRPr="006B42D6">
        <w:t xml:space="preserve">he total number of households reported to deworm their livestock in Tanzania was 664,918 representing 56.9 percent of the total households practiced pest and parasite control. Out of the total, 650,803 households were in </w:t>
      </w:r>
      <w:r w:rsidR="00EA1552">
        <w:rPr>
          <w:lang w:eastAsia="en-GB"/>
        </w:rPr>
        <w:t>Mainland Tanzania</w:t>
      </w:r>
      <w:r w:rsidR="00DD57F9" w:rsidRPr="006B42D6">
        <w:t xml:space="preserve"> and 14,115 in </w:t>
      </w:r>
      <w:r w:rsidR="00645B2E" w:rsidRPr="006B42D6">
        <w:rPr>
          <w:lang w:eastAsia="en-GB"/>
        </w:rPr>
        <w:t xml:space="preserve">Tanzania </w:t>
      </w:r>
      <w:r w:rsidR="00DD57F9" w:rsidRPr="006B42D6">
        <w:t xml:space="preserve">Zanzibar. In </w:t>
      </w:r>
      <w:r w:rsidR="00EA1552">
        <w:rPr>
          <w:lang w:eastAsia="en-GB"/>
        </w:rPr>
        <w:t>Mainland Tanzania</w:t>
      </w:r>
      <w:r w:rsidR="00DD57F9" w:rsidRPr="006B42D6">
        <w:t xml:space="preserve">, </w:t>
      </w:r>
      <w:r w:rsidR="008E6450" w:rsidRPr="006B42D6">
        <w:t xml:space="preserve">the largest number of households (412,091; 36.2 percent) reported to deworm their </w:t>
      </w:r>
      <w:r w:rsidR="00DD57F9" w:rsidRPr="006B42D6">
        <w:t>cattle</w:t>
      </w:r>
      <w:r w:rsidR="008E6450" w:rsidRPr="006B42D6">
        <w:t xml:space="preserve">, </w:t>
      </w:r>
      <w:r w:rsidR="00DD57F9" w:rsidRPr="006B42D6">
        <w:t xml:space="preserve">followed by goat (277,754; 24.1 percent) and chicken (162,607; 14.3 percent). </w:t>
      </w:r>
      <w:r w:rsidR="008E6450" w:rsidRPr="006B42D6">
        <w:t xml:space="preserve">The lowest number of households (114,192; 10.0 percent) reported to deworm </w:t>
      </w:r>
      <w:r w:rsidR="00B43F21" w:rsidRPr="006B42D6">
        <w:t>p</w:t>
      </w:r>
      <w:r w:rsidR="00DD57F9" w:rsidRPr="006B42D6">
        <w:t>ig</w:t>
      </w:r>
      <w:r w:rsidR="008E6450" w:rsidRPr="006B42D6">
        <w:t>.</w:t>
      </w:r>
      <w:r w:rsidR="00DD57F9" w:rsidRPr="006B42D6">
        <w:t xml:space="preserve"> </w:t>
      </w:r>
    </w:p>
    <w:p w14:paraId="0F793528" w14:textId="77777777" w:rsidR="00DD57F9" w:rsidRPr="006B42D6" w:rsidRDefault="00DD57F9" w:rsidP="000E5E14">
      <w:pPr>
        <w:adjustRightInd w:val="0"/>
        <w:spacing w:line="240" w:lineRule="auto"/>
      </w:pPr>
    </w:p>
    <w:p w14:paraId="37F90597" w14:textId="003203BC" w:rsidR="00DD57F9" w:rsidRDefault="00DD57F9" w:rsidP="00DD57F9">
      <w:pPr>
        <w:adjustRightInd w:val="0"/>
      </w:pPr>
      <w:r w:rsidRPr="006B42D6">
        <w:t xml:space="preserve">In </w:t>
      </w:r>
      <w:r w:rsidR="00645B2E" w:rsidRPr="006B42D6">
        <w:rPr>
          <w:lang w:eastAsia="en-GB"/>
        </w:rPr>
        <w:t xml:space="preserve">Tanzania </w:t>
      </w:r>
      <w:r w:rsidRPr="006B42D6">
        <w:t xml:space="preserve">Zanzibar, </w:t>
      </w:r>
      <w:r w:rsidR="008E6450" w:rsidRPr="006B42D6">
        <w:t xml:space="preserve">the largest number of households (11,115; 38.5 percent) reported to deworm their </w:t>
      </w:r>
      <w:r w:rsidRPr="006B42D6">
        <w:t>cattle</w:t>
      </w:r>
      <w:r w:rsidR="008E6450" w:rsidRPr="006B42D6">
        <w:t>,</w:t>
      </w:r>
      <w:r w:rsidRPr="006B42D6">
        <w:t xml:space="preserve"> followed by chicken (3,819; 13.2 percent) and goat (3,294; 11.4 percent). There were no households reported to deworm pig and sheep in </w:t>
      </w:r>
      <w:r w:rsidR="00645B2E" w:rsidRPr="006B42D6">
        <w:rPr>
          <w:lang w:eastAsia="en-GB"/>
        </w:rPr>
        <w:t xml:space="preserve">Tanzania </w:t>
      </w:r>
      <w:r w:rsidRPr="006B42D6">
        <w:t xml:space="preserve">Zanzibar (Table </w:t>
      </w:r>
      <w:r w:rsidR="00622045" w:rsidRPr="006B42D6">
        <w:t>4.1</w:t>
      </w:r>
      <w:r w:rsidR="00ED0537">
        <w:t>9</w:t>
      </w:r>
      <w:r w:rsidRPr="006B42D6">
        <w:t>)</w:t>
      </w:r>
      <w:r w:rsidR="00622045" w:rsidRPr="006B42D6">
        <w:t>.</w:t>
      </w:r>
    </w:p>
    <w:p w14:paraId="19C5F5CD" w14:textId="77777777" w:rsidR="00E82155" w:rsidRPr="006B42D6" w:rsidRDefault="00E82155" w:rsidP="00DD57F9">
      <w:pPr>
        <w:adjustRightInd w:val="0"/>
      </w:pPr>
    </w:p>
    <w:p w14:paraId="40686854" w14:textId="3D836BFA" w:rsidR="00DD57F9" w:rsidRPr="00FB0E62" w:rsidRDefault="00DD57F9" w:rsidP="002E64CB">
      <w:pPr>
        <w:pStyle w:val="Heading7"/>
        <w:ind w:right="1134"/>
      </w:pPr>
      <w:bookmarkStart w:id="725" w:name="_Toc82386227"/>
      <w:r w:rsidRPr="00FB0E62">
        <w:t xml:space="preserve">Table </w:t>
      </w:r>
      <w:r w:rsidR="00622045" w:rsidRPr="00FB0E62">
        <w:t>4.1</w:t>
      </w:r>
      <w:r w:rsidR="00ED0537">
        <w:t>9</w:t>
      </w:r>
      <w:r w:rsidR="000E5E14">
        <w:t>:</w:t>
      </w:r>
      <w:r w:rsidR="000E5E14">
        <w:tab/>
      </w:r>
      <w:r w:rsidRPr="00FB0E62">
        <w:t>Number and Percent</w:t>
      </w:r>
      <w:r w:rsidR="00C04734" w:rsidRPr="00FB0E62">
        <w:t>age</w:t>
      </w:r>
      <w:r w:rsidRPr="00FB0E62">
        <w:t xml:space="preserve"> of Households Reported to Deworm Livestock</w:t>
      </w:r>
      <w:r w:rsidR="00C04734" w:rsidRPr="00FB0E62">
        <w:t xml:space="preserve"> During 2019/20 Agriculture Year</w:t>
      </w:r>
      <w:r w:rsidR="009400E5" w:rsidRPr="00FB0E62">
        <w:t>, Tanzania</w:t>
      </w:r>
      <w:bookmarkEnd w:id="725"/>
    </w:p>
    <w:tbl>
      <w:tblPr>
        <w:tblW w:w="8861" w:type="dxa"/>
        <w:tblLook w:val="04A0" w:firstRow="1" w:lastRow="0" w:firstColumn="1" w:lastColumn="0" w:noHBand="0" w:noVBand="1"/>
      </w:tblPr>
      <w:tblGrid>
        <w:gridCol w:w="1985"/>
        <w:gridCol w:w="1206"/>
        <w:gridCol w:w="984"/>
        <w:gridCol w:w="1491"/>
        <w:gridCol w:w="982"/>
        <w:gridCol w:w="1228"/>
        <w:gridCol w:w="985"/>
      </w:tblGrid>
      <w:tr w:rsidR="00E82155" w:rsidRPr="006B42D6" w14:paraId="51B736A7" w14:textId="77777777" w:rsidTr="00DD3FC5">
        <w:trPr>
          <w:trHeight w:val="263"/>
        </w:trPr>
        <w:tc>
          <w:tcPr>
            <w:tcW w:w="1985" w:type="dxa"/>
            <w:vMerge w:val="restart"/>
            <w:tcBorders>
              <w:top w:val="single" w:sz="4" w:space="0" w:color="auto"/>
              <w:left w:val="nil"/>
              <w:right w:val="single" w:sz="4" w:space="0" w:color="auto"/>
            </w:tcBorders>
            <w:shd w:val="clear" w:color="auto" w:fill="E2EFD9" w:themeFill="accent6" w:themeFillTint="33"/>
            <w:noWrap/>
            <w:vAlign w:val="center"/>
            <w:hideMark/>
          </w:tcPr>
          <w:p w14:paraId="00773CEE" w14:textId="09AADFC2" w:rsidR="00E82155" w:rsidRPr="006B42D6" w:rsidRDefault="00E82155" w:rsidP="00515B1A">
            <w:pPr>
              <w:rPr>
                <w:sz w:val="16"/>
                <w:szCs w:val="16"/>
              </w:rPr>
            </w:pPr>
            <w:r>
              <w:rPr>
                <w:sz w:val="16"/>
                <w:szCs w:val="16"/>
              </w:rPr>
              <w:t>Selected Characteristics</w:t>
            </w:r>
          </w:p>
        </w:tc>
        <w:tc>
          <w:tcPr>
            <w:tcW w:w="6876" w:type="dxa"/>
            <w:gridSpan w:val="6"/>
            <w:tcBorders>
              <w:top w:val="single" w:sz="4" w:space="0" w:color="auto"/>
              <w:left w:val="single" w:sz="4" w:space="0" w:color="auto"/>
              <w:bottom w:val="single" w:sz="4" w:space="0" w:color="auto"/>
              <w:right w:val="nil"/>
            </w:tcBorders>
            <w:shd w:val="clear" w:color="auto" w:fill="E2EFD9" w:themeFill="accent6" w:themeFillTint="33"/>
            <w:noWrap/>
            <w:vAlign w:val="center"/>
            <w:hideMark/>
          </w:tcPr>
          <w:p w14:paraId="796924D7" w14:textId="757AF7E4" w:rsidR="00E82155" w:rsidRPr="006B42D6" w:rsidRDefault="00E82155" w:rsidP="00515B1A">
            <w:pPr>
              <w:jc w:val="center"/>
              <w:rPr>
                <w:sz w:val="16"/>
                <w:szCs w:val="16"/>
              </w:rPr>
            </w:pPr>
            <w:r w:rsidRPr="006B42D6">
              <w:rPr>
                <w:sz w:val="16"/>
                <w:szCs w:val="16"/>
              </w:rPr>
              <w:t>Households Reported to Deworm</w:t>
            </w:r>
          </w:p>
        </w:tc>
      </w:tr>
      <w:tr w:rsidR="00E82155" w:rsidRPr="006B42D6" w14:paraId="2AA678CA" w14:textId="77777777" w:rsidTr="00DD3FC5">
        <w:trPr>
          <w:trHeight w:val="301"/>
        </w:trPr>
        <w:tc>
          <w:tcPr>
            <w:tcW w:w="1985" w:type="dxa"/>
            <w:vMerge/>
            <w:tcBorders>
              <w:left w:val="nil"/>
              <w:right w:val="single" w:sz="4" w:space="0" w:color="auto"/>
            </w:tcBorders>
            <w:shd w:val="clear" w:color="auto" w:fill="E2EFD9" w:themeFill="accent6" w:themeFillTint="33"/>
            <w:vAlign w:val="center"/>
            <w:hideMark/>
          </w:tcPr>
          <w:p w14:paraId="7CB89548" w14:textId="77777777" w:rsidR="00E82155" w:rsidRPr="006B42D6" w:rsidRDefault="00E82155" w:rsidP="00515B1A">
            <w:pPr>
              <w:rPr>
                <w:sz w:val="16"/>
                <w:szCs w:val="16"/>
              </w:rPr>
            </w:pPr>
          </w:p>
        </w:tc>
        <w:tc>
          <w:tcPr>
            <w:tcW w:w="2190" w:type="dxa"/>
            <w:gridSpan w:val="2"/>
            <w:tcBorders>
              <w:top w:val="nil"/>
              <w:left w:val="single" w:sz="4" w:space="0" w:color="auto"/>
              <w:bottom w:val="single" w:sz="4" w:space="0" w:color="auto"/>
              <w:right w:val="nil"/>
            </w:tcBorders>
            <w:shd w:val="clear" w:color="auto" w:fill="E2EFD9" w:themeFill="accent6" w:themeFillTint="33"/>
            <w:vAlign w:val="center"/>
            <w:hideMark/>
          </w:tcPr>
          <w:p w14:paraId="5043EB95" w14:textId="77777777" w:rsidR="00E82155" w:rsidRPr="006B42D6" w:rsidRDefault="00E82155" w:rsidP="002E64CB">
            <w:pPr>
              <w:jc w:val="center"/>
              <w:rPr>
                <w:sz w:val="16"/>
                <w:szCs w:val="16"/>
              </w:rPr>
            </w:pPr>
            <w:r w:rsidRPr="006B42D6">
              <w:rPr>
                <w:sz w:val="16"/>
                <w:szCs w:val="16"/>
              </w:rPr>
              <w:t>Tanzania</w:t>
            </w:r>
          </w:p>
        </w:tc>
        <w:tc>
          <w:tcPr>
            <w:tcW w:w="2473" w:type="dxa"/>
            <w:gridSpan w:val="2"/>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58B199DB" w14:textId="21C34C55" w:rsidR="00E82155" w:rsidRPr="006B42D6" w:rsidRDefault="00E82155" w:rsidP="002E64CB">
            <w:pPr>
              <w:jc w:val="center"/>
              <w:rPr>
                <w:sz w:val="16"/>
                <w:szCs w:val="16"/>
              </w:rPr>
            </w:pPr>
            <w:r>
              <w:rPr>
                <w:sz w:val="16"/>
                <w:szCs w:val="16"/>
              </w:rPr>
              <w:t>Mainland Tanzania</w:t>
            </w:r>
          </w:p>
        </w:tc>
        <w:tc>
          <w:tcPr>
            <w:tcW w:w="2213" w:type="dxa"/>
            <w:gridSpan w:val="2"/>
            <w:tcBorders>
              <w:top w:val="nil"/>
              <w:left w:val="nil"/>
              <w:bottom w:val="single" w:sz="4" w:space="0" w:color="auto"/>
              <w:right w:val="nil"/>
            </w:tcBorders>
            <w:shd w:val="clear" w:color="auto" w:fill="E2EFD9" w:themeFill="accent6" w:themeFillTint="33"/>
            <w:vAlign w:val="center"/>
            <w:hideMark/>
          </w:tcPr>
          <w:p w14:paraId="30684186" w14:textId="1A3AB2B2" w:rsidR="00E82155" w:rsidRPr="006B42D6" w:rsidRDefault="00E82155" w:rsidP="002E64CB">
            <w:pPr>
              <w:jc w:val="center"/>
              <w:rPr>
                <w:sz w:val="16"/>
                <w:szCs w:val="16"/>
              </w:rPr>
            </w:pPr>
            <w:r w:rsidRPr="006B42D6">
              <w:rPr>
                <w:sz w:val="16"/>
                <w:szCs w:val="16"/>
              </w:rPr>
              <w:t>Tanzania Zanzibar</w:t>
            </w:r>
          </w:p>
        </w:tc>
      </w:tr>
      <w:tr w:rsidR="00E82155" w:rsidRPr="006B42D6" w14:paraId="180551C4" w14:textId="77777777" w:rsidTr="000D6D7E">
        <w:trPr>
          <w:trHeight w:val="271"/>
        </w:trPr>
        <w:tc>
          <w:tcPr>
            <w:tcW w:w="1985" w:type="dxa"/>
            <w:vMerge/>
            <w:tcBorders>
              <w:left w:val="nil"/>
              <w:bottom w:val="single" w:sz="4" w:space="0" w:color="auto"/>
              <w:right w:val="single" w:sz="4" w:space="0" w:color="auto"/>
            </w:tcBorders>
            <w:shd w:val="clear" w:color="auto" w:fill="E2EFD9" w:themeFill="accent6" w:themeFillTint="33"/>
            <w:vAlign w:val="center"/>
          </w:tcPr>
          <w:p w14:paraId="4F749F52" w14:textId="77777777" w:rsidR="00E82155" w:rsidRPr="006B42D6" w:rsidRDefault="00E82155" w:rsidP="000E5E14">
            <w:pPr>
              <w:jc w:val="left"/>
              <w:rPr>
                <w:sz w:val="16"/>
                <w:szCs w:val="16"/>
              </w:rPr>
            </w:pPr>
          </w:p>
        </w:tc>
        <w:tc>
          <w:tcPr>
            <w:tcW w:w="1206" w:type="dxa"/>
            <w:tcBorders>
              <w:top w:val="nil"/>
              <w:left w:val="single" w:sz="4" w:space="0" w:color="auto"/>
              <w:bottom w:val="single" w:sz="4" w:space="0" w:color="auto"/>
              <w:right w:val="nil"/>
            </w:tcBorders>
            <w:shd w:val="clear" w:color="auto" w:fill="E2EFD9" w:themeFill="accent6" w:themeFillTint="33"/>
            <w:vAlign w:val="center"/>
          </w:tcPr>
          <w:p w14:paraId="4810E0A2" w14:textId="6A767EBD" w:rsidR="00E82155" w:rsidRPr="006B42D6" w:rsidRDefault="00E82155" w:rsidP="002E64CB">
            <w:pPr>
              <w:jc w:val="center"/>
              <w:rPr>
                <w:sz w:val="16"/>
                <w:szCs w:val="16"/>
              </w:rPr>
            </w:pPr>
            <w:r w:rsidRPr="006B42D6">
              <w:rPr>
                <w:sz w:val="16"/>
                <w:szCs w:val="16"/>
              </w:rPr>
              <w:t>Number</w:t>
            </w:r>
          </w:p>
        </w:tc>
        <w:tc>
          <w:tcPr>
            <w:tcW w:w="984" w:type="dxa"/>
            <w:tcBorders>
              <w:top w:val="nil"/>
              <w:left w:val="nil"/>
              <w:bottom w:val="single" w:sz="4" w:space="0" w:color="auto"/>
              <w:right w:val="nil"/>
            </w:tcBorders>
            <w:shd w:val="clear" w:color="auto" w:fill="E2EFD9" w:themeFill="accent6" w:themeFillTint="33"/>
            <w:noWrap/>
            <w:vAlign w:val="center"/>
          </w:tcPr>
          <w:p w14:paraId="4A868A82" w14:textId="77777777" w:rsidR="00E82155" w:rsidRPr="006B42D6" w:rsidRDefault="00E82155" w:rsidP="002E64CB">
            <w:pPr>
              <w:jc w:val="center"/>
              <w:rPr>
                <w:sz w:val="16"/>
                <w:szCs w:val="16"/>
              </w:rPr>
            </w:pPr>
            <w:r w:rsidRPr="006B42D6">
              <w:rPr>
                <w:sz w:val="16"/>
                <w:szCs w:val="16"/>
              </w:rPr>
              <w:t>Percent</w:t>
            </w:r>
          </w:p>
        </w:tc>
        <w:tc>
          <w:tcPr>
            <w:tcW w:w="1491" w:type="dxa"/>
            <w:tcBorders>
              <w:top w:val="nil"/>
              <w:left w:val="single" w:sz="4" w:space="0" w:color="auto"/>
              <w:bottom w:val="single" w:sz="4" w:space="0" w:color="auto"/>
              <w:right w:val="nil"/>
            </w:tcBorders>
            <w:shd w:val="clear" w:color="auto" w:fill="E2EFD9" w:themeFill="accent6" w:themeFillTint="33"/>
            <w:vAlign w:val="center"/>
          </w:tcPr>
          <w:p w14:paraId="267C6708" w14:textId="5EE913FE" w:rsidR="00E82155" w:rsidRPr="006B42D6" w:rsidRDefault="00E82155" w:rsidP="002E64CB">
            <w:pPr>
              <w:jc w:val="center"/>
              <w:rPr>
                <w:sz w:val="16"/>
                <w:szCs w:val="16"/>
              </w:rPr>
            </w:pPr>
            <w:r w:rsidRPr="006B42D6">
              <w:rPr>
                <w:sz w:val="16"/>
                <w:szCs w:val="16"/>
              </w:rPr>
              <w:t>Number</w:t>
            </w:r>
          </w:p>
        </w:tc>
        <w:tc>
          <w:tcPr>
            <w:tcW w:w="982" w:type="dxa"/>
            <w:tcBorders>
              <w:top w:val="nil"/>
              <w:left w:val="nil"/>
              <w:bottom w:val="single" w:sz="4" w:space="0" w:color="auto"/>
              <w:right w:val="single" w:sz="4" w:space="0" w:color="auto"/>
            </w:tcBorders>
            <w:shd w:val="clear" w:color="auto" w:fill="E2EFD9" w:themeFill="accent6" w:themeFillTint="33"/>
            <w:noWrap/>
            <w:vAlign w:val="center"/>
          </w:tcPr>
          <w:p w14:paraId="0D897487" w14:textId="77777777" w:rsidR="00E82155" w:rsidRPr="006B42D6" w:rsidRDefault="00E82155" w:rsidP="002E64CB">
            <w:pPr>
              <w:jc w:val="center"/>
              <w:rPr>
                <w:sz w:val="16"/>
                <w:szCs w:val="16"/>
              </w:rPr>
            </w:pPr>
            <w:r w:rsidRPr="006B42D6">
              <w:rPr>
                <w:sz w:val="16"/>
                <w:szCs w:val="16"/>
              </w:rPr>
              <w:t>Percent</w:t>
            </w:r>
          </w:p>
        </w:tc>
        <w:tc>
          <w:tcPr>
            <w:tcW w:w="1228" w:type="dxa"/>
            <w:tcBorders>
              <w:top w:val="nil"/>
              <w:left w:val="nil"/>
              <w:bottom w:val="single" w:sz="4" w:space="0" w:color="auto"/>
              <w:right w:val="nil"/>
            </w:tcBorders>
            <w:shd w:val="clear" w:color="auto" w:fill="E2EFD9" w:themeFill="accent6" w:themeFillTint="33"/>
            <w:vAlign w:val="center"/>
          </w:tcPr>
          <w:p w14:paraId="6D48119E" w14:textId="2EB0D05D" w:rsidR="00E82155" w:rsidRPr="006B42D6" w:rsidRDefault="00E82155" w:rsidP="002E64CB">
            <w:pPr>
              <w:jc w:val="center"/>
              <w:rPr>
                <w:sz w:val="16"/>
                <w:szCs w:val="16"/>
              </w:rPr>
            </w:pPr>
            <w:r w:rsidRPr="006B42D6">
              <w:rPr>
                <w:sz w:val="16"/>
                <w:szCs w:val="16"/>
              </w:rPr>
              <w:t>Number</w:t>
            </w:r>
          </w:p>
        </w:tc>
        <w:tc>
          <w:tcPr>
            <w:tcW w:w="985" w:type="dxa"/>
            <w:tcBorders>
              <w:top w:val="nil"/>
              <w:left w:val="nil"/>
              <w:bottom w:val="single" w:sz="4" w:space="0" w:color="auto"/>
              <w:right w:val="nil"/>
            </w:tcBorders>
            <w:shd w:val="clear" w:color="auto" w:fill="E2EFD9" w:themeFill="accent6" w:themeFillTint="33"/>
            <w:noWrap/>
            <w:vAlign w:val="center"/>
          </w:tcPr>
          <w:p w14:paraId="00D8CB8B" w14:textId="77777777" w:rsidR="00E82155" w:rsidRPr="006B42D6" w:rsidRDefault="00E82155" w:rsidP="002E64CB">
            <w:pPr>
              <w:jc w:val="center"/>
              <w:rPr>
                <w:sz w:val="16"/>
                <w:szCs w:val="16"/>
              </w:rPr>
            </w:pPr>
            <w:r w:rsidRPr="006B42D6">
              <w:rPr>
                <w:sz w:val="16"/>
                <w:szCs w:val="16"/>
              </w:rPr>
              <w:t>Percent</w:t>
            </w:r>
          </w:p>
        </w:tc>
      </w:tr>
      <w:tr w:rsidR="006B42D6" w:rsidRPr="006B42D6" w14:paraId="6477D353" w14:textId="77777777" w:rsidTr="000D6D7E">
        <w:trPr>
          <w:trHeight w:val="263"/>
        </w:trPr>
        <w:tc>
          <w:tcPr>
            <w:tcW w:w="1985" w:type="dxa"/>
            <w:tcBorders>
              <w:top w:val="nil"/>
              <w:left w:val="nil"/>
              <w:bottom w:val="nil"/>
              <w:right w:val="single" w:sz="4" w:space="0" w:color="auto"/>
            </w:tcBorders>
            <w:shd w:val="clear" w:color="auto" w:fill="auto"/>
            <w:noWrap/>
            <w:vAlign w:val="bottom"/>
            <w:hideMark/>
          </w:tcPr>
          <w:p w14:paraId="5BA6013C" w14:textId="77777777" w:rsidR="00DD57F9" w:rsidRPr="006B42D6" w:rsidRDefault="00DD57F9" w:rsidP="00515B1A">
            <w:pPr>
              <w:rPr>
                <w:sz w:val="16"/>
                <w:szCs w:val="16"/>
              </w:rPr>
            </w:pPr>
            <w:r w:rsidRPr="006B42D6">
              <w:rPr>
                <w:sz w:val="16"/>
                <w:szCs w:val="16"/>
              </w:rPr>
              <w:t>Cattle</w:t>
            </w:r>
          </w:p>
        </w:tc>
        <w:tc>
          <w:tcPr>
            <w:tcW w:w="1206" w:type="dxa"/>
            <w:tcBorders>
              <w:top w:val="nil"/>
              <w:left w:val="single" w:sz="4" w:space="0" w:color="auto"/>
              <w:bottom w:val="nil"/>
              <w:right w:val="nil"/>
            </w:tcBorders>
            <w:shd w:val="clear" w:color="auto" w:fill="auto"/>
            <w:noWrap/>
            <w:vAlign w:val="bottom"/>
            <w:hideMark/>
          </w:tcPr>
          <w:p w14:paraId="0A8A3FCE" w14:textId="77777777" w:rsidR="00DD57F9" w:rsidRPr="006B42D6" w:rsidRDefault="00DD57F9" w:rsidP="00515B1A">
            <w:pPr>
              <w:jc w:val="right"/>
              <w:rPr>
                <w:sz w:val="16"/>
                <w:szCs w:val="16"/>
              </w:rPr>
            </w:pPr>
            <w:r w:rsidRPr="006B42D6">
              <w:rPr>
                <w:sz w:val="16"/>
                <w:szCs w:val="16"/>
              </w:rPr>
              <w:t>423,206</w:t>
            </w:r>
          </w:p>
        </w:tc>
        <w:tc>
          <w:tcPr>
            <w:tcW w:w="984" w:type="dxa"/>
            <w:tcBorders>
              <w:top w:val="nil"/>
              <w:left w:val="nil"/>
              <w:bottom w:val="nil"/>
              <w:right w:val="nil"/>
            </w:tcBorders>
            <w:shd w:val="clear" w:color="auto" w:fill="auto"/>
            <w:noWrap/>
            <w:vAlign w:val="bottom"/>
            <w:hideMark/>
          </w:tcPr>
          <w:p w14:paraId="74BE6F9D" w14:textId="77777777" w:rsidR="00DD57F9" w:rsidRPr="006B42D6" w:rsidRDefault="00DD57F9" w:rsidP="00515B1A">
            <w:pPr>
              <w:jc w:val="right"/>
              <w:rPr>
                <w:sz w:val="16"/>
                <w:szCs w:val="16"/>
              </w:rPr>
            </w:pPr>
            <w:r w:rsidRPr="006B42D6">
              <w:rPr>
                <w:sz w:val="16"/>
                <w:szCs w:val="16"/>
              </w:rPr>
              <w:t>36.2</w:t>
            </w:r>
          </w:p>
        </w:tc>
        <w:tc>
          <w:tcPr>
            <w:tcW w:w="1491" w:type="dxa"/>
            <w:tcBorders>
              <w:top w:val="nil"/>
              <w:left w:val="single" w:sz="4" w:space="0" w:color="auto"/>
              <w:bottom w:val="nil"/>
              <w:right w:val="nil"/>
            </w:tcBorders>
            <w:shd w:val="clear" w:color="auto" w:fill="auto"/>
            <w:noWrap/>
            <w:vAlign w:val="bottom"/>
            <w:hideMark/>
          </w:tcPr>
          <w:p w14:paraId="48CCD990" w14:textId="77777777" w:rsidR="00DD57F9" w:rsidRPr="006B42D6" w:rsidRDefault="00DD57F9" w:rsidP="00515B1A">
            <w:pPr>
              <w:jc w:val="right"/>
              <w:rPr>
                <w:sz w:val="16"/>
                <w:szCs w:val="16"/>
              </w:rPr>
            </w:pPr>
            <w:r w:rsidRPr="006B42D6">
              <w:rPr>
                <w:sz w:val="16"/>
                <w:szCs w:val="16"/>
              </w:rPr>
              <w:t>412,091</w:t>
            </w:r>
          </w:p>
        </w:tc>
        <w:tc>
          <w:tcPr>
            <w:tcW w:w="982" w:type="dxa"/>
            <w:tcBorders>
              <w:top w:val="nil"/>
              <w:left w:val="nil"/>
              <w:bottom w:val="nil"/>
              <w:right w:val="single" w:sz="4" w:space="0" w:color="auto"/>
            </w:tcBorders>
            <w:shd w:val="clear" w:color="auto" w:fill="auto"/>
            <w:noWrap/>
            <w:vAlign w:val="bottom"/>
            <w:hideMark/>
          </w:tcPr>
          <w:p w14:paraId="75C34925" w14:textId="77777777" w:rsidR="00DD57F9" w:rsidRPr="006B42D6" w:rsidRDefault="00DD57F9" w:rsidP="00515B1A">
            <w:pPr>
              <w:jc w:val="right"/>
              <w:rPr>
                <w:sz w:val="16"/>
                <w:szCs w:val="16"/>
              </w:rPr>
            </w:pPr>
            <w:r w:rsidRPr="006B42D6">
              <w:rPr>
                <w:sz w:val="16"/>
                <w:szCs w:val="16"/>
              </w:rPr>
              <w:t>36.2</w:t>
            </w:r>
          </w:p>
        </w:tc>
        <w:tc>
          <w:tcPr>
            <w:tcW w:w="1228" w:type="dxa"/>
            <w:tcBorders>
              <w:top w:val="nil"/>
              <w:left w:val="nil"/>
              <w:bottom w:val="nil"/>
              <w:right w:val="nil"/>
            </w:tcBorders>
            <w:shd w:val="clear" w:color="auto" w:fill="auto"/>
            <w:noWrap/>
            <w:vAlign w:val="bottom"/>
            <w:hideMark/>
          </w:tcPr>
          <w:p w14:paraId="5FD9F67E" w14:textId="77777777" w:rsidR="00DD57F9" w:rsidRPr="006B42D6" w:rsidRDefault="00DD57F9" w:rsidP="00515B1A">
            <w:pPr>
              <w:jc w:val="right"/>
              <w:rPr>
                <w:sz w:val="16"/>
                <w:szCs w:val="16"/>
              </w:rPr>
            </w:pPr>
            <w:r w:rsidRPr="006B42D6">
              <w:rPr>
                <w:sz w:val="16"/>
                <w:szCs w:val="16"/>
              </w:rPr>
              <w:t>11,115</w:t>
            </w:r>
          </w:p>
        </w:tc>
        <w:tc>
          <w:tcPr>
            <w:tcW w:w="985" w:type="dxa"/>
            <w:tcBorders>
              <w:top w:val="nil"/>
              <w:left w:val="nil"/>
              <w:bottom w:val="nil"/>
              <w:right w:val="nil"/>
            </w:tcBorders>
            <w:shd w:val="clear" w:color="auto" w:fill="auto"/>
            <w:noWrap/>
            <w:vAlign w:val="bottom"/>
            <w:hideMark/>
          </w:tcPr>
          <w:p w14:paraId="47D228E6" w14:textId="77777777" w:rsidR="00DD57F9" w:rsidRPr="006B42D6" w:rsidRDefault="00DD57F9" w:rsidP="00515B1A">
            <w:pPr>
              <w:jc w:val="right"/>
              <w:rPr>
                <w:sz w:val="16"/>
                <w:szCs w:val="16"/>
              </w:rPr>
            </w:pPr>
            <w:r w:rsidRPr="006B42D6">
              <w:rPr>
                <w:sz w:val="16"/>
                <w:szCs w:val="16"/>
              </w:rPr>
              <w:t>38.5</w:t>
            </w:r>
          </w:p>
        </w:tc>
      </w:tr>
      <w:tr w:rsidR="006B42D6" w:rsidRPr="006B42D6" w14:paraId="5D30D6B0" w14:textId="77777777" w:rsidTr="000D6D7E">
        <w:trPr>
          <w:trHeight w:val="263"/>
        </w:trPr>
        <w:tc>
          <w:tcPr>
            <w:tcW w:w="1985" w:type="dxa"/>
            <w:tcBorders>
              <w:top w:val="nil"/>
              <w:left w:val="nil"/>
              <w:bottom w:val="nil"/>
              <w:right w:val="single" w:sz="4" w:space="0" w:color="auto"/>
            </w:tcBorders>
            <w:shd w:val="clear" w:color="auto" w:fill="auto"/>
            <w:noWrap/>
            <w:vAlign w:val="bottom"/>
            <w:hideMark/>
          </w:tcPr>
          <w:p w14:paraId="63F2F3D6" w14:textId="77777777" w:rsidR="00DD57F9" w:rsidRPr="006B42D6" w:rsidRDefault="00DD57F9" w:rsidP="00515B1A">
            <w:pPr>
              <w:rPr>
                <w:sz w:val="16"/>
                <w:szCs w:val="16"/>
              </w:rPr>
            </w:pPr>
            <w:r w:rsidRPr="006B42D6">
              <w:rPr>
                <w:sz w:val="16"/>
                <w:szCs w:val="16"/>
              </w:rPr>
              <w:t>Goat</w:t>
            </w:r>
          </w:p>
        </w:tc>
        <w:tc>
          <w:tcPr>
            <w:tcW w:w="1206" w:type="dxa"/>
            <w:tcBorders>
              <w:top w:val="nil"/>
              <w:left w:val="single" w:sz="4" w:space="0" w:color="auto"/>
              <w:bottom w:val="nil"/>
              <w:right w:val="nil"/>
            </w:tcBorders>
            <w:shd w:val="clear" w:color="auto" w:fill="auto"/>
            <w:noWrap/>
            <w:vAlign w:val="bottom"/>
            <w:hideMark/>
          </w:tcPr>
          <w:p w14:paraId="7A814D07" w14:textId="77777777" w:rsidR="00DD57F9" w:rsidRPr="006B42D6" w:rsidRDefault="00DD57F9" w:rsidP="00515B1A">
            <w:pPr>
              <w:jc w:val="right"/>
              <w:rPr>
                <w:sz w:val="16"/>
                <w:szCs w:val="16"/>
              </w:rPr>
            </w:pPr>
            <w:r w:rsidRPr="006B42D6">
              <w:rPr>
                <w:sz w:val="16"/>
                <w:szCs w:val="16"/>
              </w:rPr>
              <w:t>281,048</w:t>
            </w:r>
          </w:p>
        </w:tc>
        <w:tc>
          <w:tcPr>
            <w:tcW w:w="984" w:type="dxa"/>
            <w:tcBorders>
              <w:top w:val="nil"/>
              <w:left w:val="nil"/>
              <w:bottom w:val="nil"/>
              <w:right w:val="nil"/>
            </w:tcBorders>
            <w:shd w:val="clear" w:color="auto" w:fill="auto"/>
            <w:noWrap/>
            <w:vAlign w:val="bottom"/>
            <w:hideMark/>
          </w:tcPr>
          <w:p w14:paraId="4D750226" w14:textId="77777777" w:rsidR="00DD57F9" w:rsidRPr="006B42D6" w:rsidRDefault="00DD57F9" w:rsidP="00515B1A">
            <w:pPr>
              <w:jc w:val="right"/>
              <w:rPr>
                <w:sz w:val="16"/>
                <w:szCs w:val="16"/>
              </w:rPr>
            </w:pPr>
            <w:r w:rsidRPr="006B42D6">
              <w:rPr>
                <w:sz w:val="16"/>
                <w:szCs w:val="16"/>
              </w:rPr>
              <w:t>24.1</w:t>
            </w:r>
          </w:p>
        </w:tc>
        <w:tc>
          <w:tcPr>
            <w:tcW w:w="1491" w:type="dxa"/>
            <w:tcBorders>
              <w:top w:val="nil"/>
              <w:left w:val="single" w:sz="4" w:space="0" w:color="auto"/>
              <w:bottom w:val="nil"/>
              <w:right w:val="nil"/>
            </w:tcBorders>
            <w:shd w:val="clear" w:color="auto" w:fill="auto"/>
            <w:noWrap/>
            <w:vAlign w:val="bottom"/>
            <w:hideMark/>
          </w:tcPr>
          <w:p w14:paraId="1CE04858" w14:textId="77777777" w:rsidR="00DD57F9" w:rsidRPr="006B42D6" w:rsidRDefault="00DD57F9" w:rsidP="00515B1A">
            <w:pPr>
              <w:jc w:val="right"/>
              <w:rPr>
                <w:sz w:val="16"/>
                <w:szCs w:val="16"/>
              </w:rPr>
            </w:pPr>
            <w:r w:rsidRPr="006B42D6">
              <w:rPr>
                <w:sz w:val="16"/>
                <w:szCs w:val="16"/>
              </w:rPr>
              <w:t>277,754</w:t>
            </w:r>
          </w:p>
        </w:tc>
        <w:tc>
          <w:tcPr>
            <w:tcW w:w="982" w:type="dxa"/>
            <w:tcBorders>
              <w:top w:val="nil"/>
              <w:left w:val="nil"/>
              <w:bottom w:val="nil"/>
              <w:right w:val="single" w:sz="4" w:space="0" w:color="auto"/>
            </w:tcBorders>
            <w:shd w:val="clear" w:color="auto" w:fill="auto"/>
            <w:noWrap/>
            <w:vAlign w:val="bottom"/>
            <w:hideMark/>
          </w:tcPr>
          <w:p w14:paraId="634417F5" w14:textId="77777777" w:rsidR="00DD57F9" w:rsidRPr="006B42D6" w:rsidRDefault="00DD57F9" w:rsidP="00515B1A">
            <w:pPr>
              <w:jc w:val="right"/>
              <w:rPr>
                <w:sz w:val="16"/>
                <w:szCs w:val="16"/>
              </w:rPr>
            </w:pPr>
            <w:r w:rsidRPr="006B42D6">
              <w:rPr>
                <w:sz w:val="16"/>
                <w:szCs w:val="16"/>
              </w:rPr>
              <w:t>24.4</w:t>
            </w:r>
          </w:p>
        </w:tc>
        <w:tc>
          <w:tcPr>
            <w:tcW w:w="1228" w:type="dxa"/>
            <w:tcBorders>
              <w:top w:val="nil"/>
              <w:left w:val="nil"/>
              <w:bottom w:val="nil"/>
              <w:right w:val="nil"/>
            </w:tcBorders>
            <w:shd w:val="clear" w:color="auto" w:fill="auto"/>
            <w:noWrap/>
            <w:vAlign w:val="bottom"/>
            <w:hideMark/>
          </w:tcPr>
          <w:p w14:paraId="4657F07D" w14:textId="77777777" w:rsidR="00DD57F9" w:rsidRPr="006B42D6" w:rsidRDefault="00DD57F9" w:rsidP="00515B1A">
            <w:pPr>
              <w:jc w:val="right"/>
              <w:rPr>
                <w:sz w:val="16"/>
                <w:szCs w:val="16"/>
              </w:rPr>
            </w:pPr>
            <w:r w:rsidRPr="006B42D6">
              <w:rPr>
                <w:sz w:val="16"/>
                <w:szCs w:val="16"/>
              </w:rPr>
              <w:t>3,294</w:t>
            </w:r>
          </w:p>
        </w:tc>
        <w:tc>
          <w:tcPr>
            <w:tcW w:w="985" w:type="dxa"/>
            <w:tcBorders>
              <w:top w:val="nil"/>
              <w:left w:val="nil"/>
              <w:bottom w:val="nil"/>
              <w:right w:val="nil"/>
            </w:tcBorders>
            <w:shd w:val="clear" w:color="auto" w:fill="auto"/>
            <w:noWrap/>
            <w:vAlign w:val="bottom"/>
            <w:hideMark/>
          </w:tcPr>
          <w:p w14:paraId="36B1C720" w14:textId="77777777" w:rsidR="00DD57F9" w:rsidRPr="006B42D6" w:rsidRDefault="00DD57F9" w:rsidP="00515B1A">
            <w:pPr>
              <w:jc w:val="right"/>
              <w:rPr>
                <w:sz w:val="16"/>
                <w:szCs w:val="16"/>
              </w:rPr>
            </w:pPr>
            <w:r w:rsidRPr="006B42D6">
              <w:rPr>
                <w:sz w:val="16"/>
                <w:szCs w:val="16"/>
              </w:rPr>
              <w:t>11.4</w:t>
            </w:r>
          </w:p>
        </w:tc>
      </w:tr>
      <w:tr w:rsidR="006B42D6" w:rsidRPr="006B42D6" w14:paraId="76D05076" w14:textId="77777777" w:rsidTr="000D6D7E">
        <w:trPr>
          <w:trHeight w:val="263"/>
        </w:trPr>
        <w:tc>
          <w:tcPr>
            <w:tcW w:w="1985" w:type="dxa"/>
            <w:tcBorders>
              <w:top w:val="nil"/>
              <w:left w:val="nil"/>
              <w:bottom w:val="nil"/>
              <w:right w:val="single" w:sz="4" w:space="0" w:color="auto"/>
            </w:tcBorders>
            <w:shd w:val="clear" w:color="auto" w:fill="auto"/>
            <w:noWrap/>
            <w:vAlign w:val="bottom"/>
            <w:hideMark/>
          </w:tcPr>
          <w:p w14:paraId="35A90364" w14:textId="77777777" w:rsidR="00DD57F9" w:rsidRPr="006B42D6" w:rsidRDefault="00DD57F9" w:rsidP="00515B1A">
            <w:pPr>
              <w:rPr>
                <w:sz w:val="16"/>
                <w:szCs w:val="16"/>
              </w:rPr>
            </w:pPr>
            <w:r w:rsidRPr="006B42D6">
              <w:rPr>
                <w:sz w:val="16"/>
                <w:szCs w:val="16"/>
              </w:rPr>
              <w:t>Sheep</w:t>
            </w:r>
          </w:p>
        </w:tc>
        <w:tc>
          <w:tcPr>
            <w:tcW w:w="1206" w:type="dxa"/>
            <w:tcBorders>
              <w:top w:val="nil"/>
              <w:left w:val="single" w:sz="4" w:space="0" w:color="auto"/>
              <w:bottom w:val="nil"/>
              <w:right w:val="nil"/>
            </w:tcBorders>
            <w:shd w:val="clear" w:color="auto" w:fill="auto"/>
            <w:noWrap/>
            <w:vAlign w:val="bottom"/>
            <w:hideMark/>
          </w:tcPr>
          <w:p w14:paraId="2FF3EAEC" w14:textId="77777777" w:rsidR="00DD57F9" w:rsidRPr="006B42D6" w:rsidRDefault="00DD57F9" w:rsidP="00515B1A">
            <w:pPr>
              <w:jc w:val="right"/>
              <w:rPr>
                <w:sz w:val="16"/>
                <w:szCs w:val="16"/>
              </w:rPr>
            </w:pPr>
            <w:r w:rsidRPr="006B42D6">
              <w:rPr>
                <w:sz w:val="16"/>
                <w:szCs w:val="16"/>
              </w:rPr>
              <w:t>132,935</w:t>
            </w:r>
          </w:p>
        </w:tc>
        <w:tc>
          <w:tcPr>
            <w:tcW w:w="984" w:type="dxa"/>
            <w:tcBorders>
              <w:top w:val="nil"/>
              <w:left w:val="nil"/>
              <w:bottom w:val="nil"/>
              <w:right w:val="nil"/>
            </w:tcBorders>
            <w:shd w:val="clear" w:color="auto" w:fill="auto"/>
            <w:noWrap/>
            <w:vAlign w:val="bottom"/>
            <w:hideMark/>
          </w:tcPr>
          <w:p w14:paraId="3B88202C" w14:textId="77777777" w:rsidR="00DD57F9" w:rsidRPr="006B42D6" w:rsidRDefault="00DD57F9" w:rsidP="00515B1A">
            <w:pPr>
              <w:jc w:val="right"/>
              <w:rPr>
                <w:sz w:val="16"/>
                <w:szCs w:val="16"/>
              </w:rPr>
            </w:pPr>
            <w:r w:rsidRPr="006B42D6">
              <w:rPr>
                <w:sz w:val="16"/>
                <w:szCs w:val="16"/>
              </w:rPr>
              <w:t>11.4</w:t>
            </w:r>
          </w:p>
        </w:tc>
        <w:tc>
          <w:tcPr>
            <w:tcW w:w="1491" w:type="dxa"/>
            <w:tcBorders>
              <w:top w:val="nil"/>
              <w:left w:val="single" w:sz="4" w:space="0" w:color="auto"/>
              <w:bottom w:val="nil"/>
              <w:right w:val="nil"/>
            </w:tcBorders>
            <w:shd w:val="clear" w:color="auto" w:fill="auto"/>
            <w:noWrap/>
            <w:vAlign w:val="bottom"/>
            <w:hideMark/>
          </w:tcPr>
          <w:p w14:paraId="704719EA" w14:textId="77777777" w:rsidR="00DD57F9" w:rsidRPr="006B42D6" w:rsidRDefault="00DD57F9" w:rsidP="00515B1A">
            <w:pPr>
              <w:jc w:val="right"/>
              <w:rPr>
                <w:sz w:val="16"/>
                <w:szCs w:val="16"/>
              </w:rPr>
            </w:pPr>
            <w:r w:rsidRPr="006B42D6">
              <w:rPr>
                <w:sz w:val="16"/>
                <w:szCs w:val="16"/>
              </w:rPr>
              <w:t>132,935</w:t>
            </w:r>
          </w:p>
        </w:tc>
        <w:tc>
          <w:tcPr>
            <w:tcW w:w="982" w:type="dxa"/>
            <w:tcBorders>
              <w:top w:val="nil"/>
              <w:left w:val="nil"/>
              <w:bottom w:val="nil"/>
              <w:right w:val="single" w:sz="4" w:space="0" w:color="auto"/>
            </w:tcBorders>
            <w:shd w:val="clear" w:color="auto" w:fill="auto"/>
            <w:noWrap/>
            <w:vAlign w:val="bottom"/>
            <w:hideMark/>
          </w:tcPr>
          <w:p w14:paraId="72BA0F5B" w14:textId="77777777" w:rsidR="00DD57F9" w:rsidRPr="006B42D6" w:rsidRDefault="00DD57F9" w:rsidP="00515B1A">
            <w:pPr>
              <w:jc w:val="right"/>
              <w:rPr>
                <w:sz w:val="16"/>
                <w:szCs w:val="16"/>
              </w:rPr>
            </w:pPr>
            <w:r w:rsidRPr="006B42D6">
              <w:rPr>
                <w:sz w:val="16"/>
                <w:szCs w:val="16"/>
              </w:rPr>
              <w:t>11.7</w:t>
            </w:r>
          </w:p>
        </w:tc>
        <w:tc>
          <w:tcPr>
            <w:tcW w:w="1228" w:type="dxa"/>
            <w:tcBorders>
              <w:top w:val="nil"/>
              <w:left w:val="nil"/>
              <w:bottom w:val="nil"/>
              <w:right w:val="nil"/>
            </w:tcBorders>
            <w:shd w:val="clear" w:color="auto" w:fill="auto"/>
            <w:noWrap/>
            <w:vAlign w:val="bottom"/>
            <w:hideMark/>
          </w:tcPr>
          <w:p w14:paraId="66EBFEE2" w14:textId="77777777" w:rsidR="00DD57F9" w:rsidRPr="006B42D6" w:rsidRDefault="00DD57F9" w:rsidP="00515B1A">
            <w:pPr>
              <w:jc w:val="right"/>
              <w:rPr>
                <w:sz w:val="16"/>
                <w:szCs w:val="16"/>
              </w:rPr>
            </w:pPr>
            <w:r w:rsidRPr="006B42D6">
              <w:rPr>
                <w:sz w:val="16"/>
                <w:szCs w:val="16"/>
              </w:rPr>
              <w:t>0</w:t>
            </w:r>
          </w:p>
        </w:tc>
        <w:tc>
          <w:tcPr>
            <w:tcW w:w="985" w:type="dxa"/>
            <w:tcBorders>
              <w:top w:val="nil"/>
              <w:left w:val="nil"/>
              <w:bottom w:val="nil"/>
              <w:right w:val="nil"/>
            </w:tcBorders>
            <w:shd w:val="clear" w:color="auto" w:fill="auto"/>
            <w:noWrap/>
            <w:vAlign w:val="bottom"/>
            <w:hideMark/>
          </w:tcPr>
          <w:p w14:paraId="069E0271" w14:textId="77777777" w:rsidR="00DD57F9" w:rsidRPr="006B42D6" w:rsidRDefault="00DD57F9" w:rsidP="00515B1A">
            <w:pPr>
              <w:jc w:val="right"/>
              <w:rPr>
                <w:sz w:val="16"/>
                <w:szCs w:val="16"/>
              </w:rPr>
            </w:pPr>
            <w:r w:rsidRPr="006B42D6">
              <w:rPr>
                <w:sz w:val="16"/>
                <w:szCs w:val="16"/>
              </w:rPr>
              <w:t>0.0</w:t>
            </w:r>
          </w:p>
        </w:tc>
      </w:tr>
      <w:tr w:rsidR="006B42D6" w:rsidRPr="006B42D6" w14:paraId="250A683C" w14:textId="77777777" w:rsidTr="000D6D7E">
        <w:trPr>
          <w:trHeight w:val="263"/>
        </w:trPr>
        <w:tc>
          <w:tcPr>
            <w:tcW w:w="1985" w:type="dxa"/>
            <w:tcBorders>
              <w:top w:val="nil"/>
              <w:left w:val="nil"/>
              <w:right w:val="single" w:sz="4" w:space="0" w:color="auto"/>
            </w:tcBorders>
            <w:shd w:val="clear" w:color="auto" w:fill="auto"/>
            <w:noWrap/>
            <w:vAlign w:val="bottom"/>
            <w:hideMark/>
          </w:tcPr>
          <w:p w14:paraId="30ABAD8A" w14:textId="77777777" w:rsidR="00DD57F9" w:rsidRPr="006B42D6" w:rsidRDefault="00DD57F9" w:rsidP="00515B1A">
            <w:pPr>
              <w:rPr>
                <w:sz w:val="16"/>
                <w:szCs w:val="16"/>
              </w:rPr>
            </w:pPr>
            <w:r w:rsidRPr="006B42D6">
              <w:rPr>
                <w:sz w:val="16"/>
                <w:szCs w:val="16"/>
              </w:rPr>
              <w:t>Pig</w:t>
            </w:r>
          </w:p>
        </w:tc>
        <w:tc>
          <w:tcPr>
            <w:tcW w:w="1206" w:type="dxa"/>
            <w:tcBorders>
              <w:top w:val="nil"/>
              <w:left w:val="single" w:sz="4" w:space="0" w:color="auto"/>
              <w:right w:val="nil"/>
            </w:tcBorders>
            <w:shd w:val="clear" w:color="auto" w:fill="auto"/>
            <w:noWrap/>
            <w:vAlign w:val="bottom"/>
            <w:hideMark/>
          </w:tcPr>
          <w:p w14:paraId="452D458C" w14:textId="77777777" w:rsidR="00DD57F9" w:rsidRPr="006B42D6" w:rsidRDefault="00DD57F9" w:rsidP="00515B1A">
            <w:pPr>
              <w:jc w:val="right"/>
              <w:rPr>
                <w:sz w:val="16"/>
                <w:szCs w:val="16"/>
              </w:rPr>
            </w:pPr>
            <w:r w:rsidRPr="006B42D6">
              <w:rPr>
                <w:sz w:val="16"/>
                <w:szCs w:val="16"/>
              </w:rPr>
              <w:t>114,192</w:t>
            </w:r>
          </w:p>
        </w:tc>
        <w:tc>
          <w:tcPr>
            <w:tcW w:w="984" w:type="dxa"/>
            <w:tcBorders>
              <w:top w:val="nil"/>
              <w:left w:val="nil"/>
              <w:right w:val="nil"/>
            </w:tcBorders>
            <w:shd w:val="clear" w:color="auto" w:fill="auto"/>
            <w:noWrap/>
            <w:vAlign w:val="bottom"/>
            <w:hideMark/>
          </w:tcPr>
          <w:p w14:paraId="74D1F176" w14:textId="77777777" w:rsidR="00DD57F9" w:rsidRPr="006B42D6" w:rsidRDefault="00DD57F9" w:rsidP="00515B1A">
            <w:pPr>
              <w:jc w:val="right"/>
              <w:rPr>
                <w:sz w:val="16"/>
                <w:szCs w:val="16"/>
              </w:rPr>
            </w:pPr>
            <w:r w:rsidRPr="006B42D6">
              <w:rPr>
                <w:sz w:val="16"/>
                <w:szCs w:val="16"/>
              </w:rPr>
              <w:t>9.8</w:t>
            </w:r>
          </w:p>
        </w:tc>
        <w:tc>
          <w:tcPr>
            <w:tcW w:w="1491" w:type="dxa"/>
            <w:tcBorders>
              <w:top w:val="nil"/>
              <w:left w:val="single" w:sz="4" w:space="0" w:color="auto"/>
              <w:right w:val="nil"/>
            </w:tcBorders>
            <w:shd w:val="clear" w:color="auto" w:fill="auto"/>
            <w:noWrap/>
            <w:vAlign w:val="bottom"/>
            <w:hideMark/>
          </w:tcPr>
          <w:p w14:paraId="35292165" w14:textId="77777777" w:rsidR="00DD57F9" w:rsidRPr="006B42D6" w:rsidRDefault="00DD57F9" w:rsidP="00515B1A">
            <w:pPr>
              <w:jc w:val="right"/>
              <w:rPr>
                <w:sz w:val="16"/>
                <w:szCs w:val="16"/>
              </w:rPr>
            </w:pPr>
            <w:r w:rsidRPr="006B42D6">
              <w:rPr>
                <w:sz w:val="16"/>
                <w:szCs w:val="16"/>
              </w:rPr>
              <w:t>114,192</w:t>
            </w:r>
          </w:p>
        </w:tc>
        <w:tc>
          <w:tcPr>
            <w:tcW w:w="982" w:type="dxa"/>
            <w:tcBorders>
              <w:top w:val="nil"/>
              <w:left w:val="nil"/>
              <w:right w:val="single" w:sz="4" w:space="0" w:color="auto"/>
            </w:tcBorders>
            <w:shd w:val="clear" w:color="auto" w:fill="auto"/>
            <w:noWrap/>
            <w:vAlign w:val="bottom"/>
            <w:hideMark/>
          </w:tcPr>
          <w:p w14:paraId="05F2FE54" w14:textId="77777777" w:rsidR="00DD57F9" w:rsidRPr="006B42D6" w:rsidRDefault="00DD57F9" w:rsidP="00515B1A">
            <w:pPr>
              <w:jc w:val="right"/>
              <w:rPr>
                <w:sz w:val="16"/>
                <w:szCs w:val="16"/>
              </w:rPr>
            </w:pPr>
            <w:r w:rsidRPr="006B42D6">
              <w:rPr>
                <w:sz w:val="16"/>
                <w:szCs w:val="16"/>
              </w:rPr>
              <w:t>10.0</w:t>
            </w:r>
          </w:p>
        </w:tc>
        <w:tc>
          <w:tcPr>
            <w:tcW w:w="1228" w:type="dxa"/>
            <w:tcBorders>
              <w:top w:val="nil"/>
              <w:left w:val="nil"/>
              <w:right w:val="nil"/>
            </w:tcBorders>
            <w:shd w:val="clear" w:color="auto" w:fill="auto"/>
            <w:noWrap/>
            <w:vAlign w:val="bottom"/>
            <w:hideMark/>
          </w:tcPr>
          <w:p w14:paraId="56139FCD" w14:textId="77777777" w:rsidR="00DD57F9" w:rsidRPr="006B42D6" w:rsidRDefault="00DD57F9" w:rsidP="00515B1A">
            <w:pPr>
              <w:jc w:val="right"/>
              <w:rPr>
                <w:sz w:val="16"/>
                <w:szCs w:val="16"/>
              </w:rPr>
            </w:pPr>
            <w:r w:rsidRPr="006B42D6">
              <w:rPr>
                <w:sz w:val="16"/>
                <w:szCs w:val="16"/>
              </w:rPr>
              <w:t>0</w:t>
            </w:r>
          </w:p>
        </w:tc>
        <w:tc>
          <w:tcPr>
            <w:tcW w:w="985" w:type="dxa"/>
            <w:tcBorders>
              <w:top w:val="nil"/>
              <w:left w:val="nil"/>
              <w:right w:val="nil"/>
            </w:tcBorders>
            <w:shd w:val="clear" w:color="auto" w:fill="auto"/>
            <w:noWrap/>
            <w:vAlign w:val="bottom"/>
            <w:hideMark/>
          </w:tcPr>
          <w:p w14:paraId="49E659A8" w14:textId="77777777" w:rsidR="00DD57F9" w:rsidRPr="006B42D6" w:rsidRDefault="00DD57F9" w:rsidP="00515B1A">
            <w:pPr>
              <w:jc w:val="right"/>
              <w:rPr>
                <w:sz w:val="16"/>
                <w:szCs w:val="16"/>
              </w:rPr>
            </w:pPr>
            <w:r w:rsidRPr="006B42D6">
              <w:rPr>
                <w:sz w:val="16"/>
                <w:szCs w:val="16"/>
              </w:rPr>
              <w:t>0.0</w:t>
            </w:r>
          </w:p>
        </w:tc>
      </w:tr>
      <w:tr w:rsidR="00DD57F9" w:rsidRPr="006B42D6" w14:paraId="1C7F9022" w14:textId="77777777" w:rsidTr="008076B9">
        <w:trPr>
          <w:trHeight w:val="263"/>
        </w:trPr>
        <w:tc>
          <w:tcPr>
            <w:tcW w:w="1985" w:type="dxa"/>
            <w:tcBorders>
              <w:top w:val="nil"/>
              <w:left w:val="nil"/>
              <w:bottom w:val="nil"/>
              <w:right w:val="single" w:sz="4" w:space="0" w:color="auto"/>
            </w:tcBorders>
            <w:shd w:val="clear" w:color="auto" w:fill="auto"/>
            <w:noWrap/>
            <w:vAlign w:val="bottom"/>
            <w:hideMark/>
          </w:tcPr>
          <w:p w14:paraId="1B4D9659" w14:textId="77777777" w:rsidR="00DD57F9" w:rsidRPr="006B42D6" w:rsidRDefault="00DD57F9" w:rsidP="00515B1A">
            <w:pPr>
              <w:rPr>
                <w:sz w:val="16"/>
                <w:szCs w:val="16"/>
              </w:rPr>
            </w:pPr>
            <w:r w:rsidRPr="006B42D6">
              <w:rPr>
                <w:sz w:val="16"/>
                <w:szCs w:val="16"/>
              </w:rPr>
              <w:t>Chicken</w:t>
            </w:r>
          </w:p>
        </w:tc>
        <w:tc>
          <w:tcPr>
            <w:tcW w:w="1206" w:type="dxa"/>
            <w:tcBorders>
              <w:top w:val="nil"/>
              <w:left w:val="single" w:sz="4" w:space="0" w:color="auto"/>
              <w:bottom w:val="nil"/>
              <w:right w:val="nil"/>
            </w:tcBorders>
            <w:shd w:val="clear" w:color="auto" w:fill="auto"/>
            <w:noWrap/>
            <w:vAlign w:val="bottom"/>
            <w:hideMark/>
          </w:tcPr>
          <w:p w14:paraId="0A8D91ED" w14:textId="77777777" w:rsidR="00DD57F9" w:rsidRPr="006B42D6" w:rsidRDefault="00DD57F9" w:rsidP="00515B1A">
            <w:pPr>
              <w:jc w:val="right"/>
              <w:rPr>
                <w:sz w:val="16"/>
                <w:szCs w:val="16"/>
              </w:rPr>
            </w:pPr>
            <w:r w:rsidRPr="006B42D6">
              <w:rPr>
                <w:sz w:val="16"/>
                <w:szCs w:val="16"/>
              </w:rPr>
              <w:t>166,426</w:t>
            </w:r>
          </w:p>
        </w:tc>
        <w:tc>
          <w:tcPr>
            <w:tcW w:w="984" w:type="dxa"/>
            <w:tcBorders>
              <w:top w:val="nil"/>
              <w:left w:val="nil"/>
              <w:bottom w:val="nil"/>
              <w:right w:val="nil"/>
            </w:tcBorders>
            <w:shd w:val="clear" w:color="auto" w:fill="auto"/>
            <w:noWrap/>
            <w:vAlign w:val="bottom"/>
            <w:hideMark/>
          </w:tcPr>
          <w:p w14:paraId="7423F069" w14:textId="77777777" w:rsidR="00DD57F9" w:rsidRPr="006B42D6" w:rsidRDefault="00DD57F9" w:rsidP="00515B1A">
            <w:pPr>
              <w:jc w:val="right"/>
              <w:rPr>
                <w:sz w:val="16"/>
                <w:szCs w:val="16"/>
              </w:rPr>
            </w:pPr>
            <w:r w:rsidRPr="006B42D6">
              <w:rPr>
                <w:sz w:val="16"/>
                <w:szCs w:val="16"/>
              </w:rPr>
              <w:t>14.2</w:t>
            </w:r>
          </w:p>
        </w:tc>
        <w:tc>
          <w:tcPr>
            <w:tcW w:w="1491" w:type="dxa"/>
            <w:tcBorders>
              <w:top w:val="nil"/>
              <w:left w:val="single" w:sz="4" w:space="0" w:color="auto"/>
              <w:bottom w:val="nil"/>
              <w:right w:val="nil"/>
            </w:tcBorders>
            <w:shd w:val="clear" w:color="auto" w:fill="auto"/>
            <w:noWrap/>
            <w:vAlign w:val="bottom"/>
            <w:hideMark/>
          </w:tcPr>
          <w:p w14:paraId="21CAD8A5" w14:textId="77777777" w:rsidR="00DD57F9" w:rsidRPr="006B42D6" w:rsidRDefault="00DD57F9" w:rsidP="00515B1A">
            <w:pPr>
              <w:jc w:val="right"/>
              <w:rPr>
                <w:sz w:val="16"/>
                <w:szCs w:val="16"/>
              </w:rPr>
            </w:pPr>
            <w:r w:rsidRPr="006B42D6">
              <w:rPr>
                <w:sz w:val="16"/>
                <w:szCs w:val="16"/>
              </w:rPr>
              <w:t>162,607</w:t>
            </w:r>
          </w:p>
        </w:tc>
        <w:tc>
          <w:tcPr>
            <w:tcW w:w="982" w:type="dxa"/>
            <w:tcBorders>
              <w:top w:val="nil"/>
              <w:left w:val="nil"/>
              <w:bottom w:val="nil"/>
              <w:right w:val="single" w:sz="4" w:space="0" w:color="auto"/>
            </w:tcBorders>
            <w:shd w:val="clear" w:color="auto" w:fill="auto"/>
            <w:noWrap/>
            <w:vAlign w:val="bottom"/>
            <w:hideMark/>
          </w:tcPr>
          <w:p w14:paraId="7DE5E603" w14:textId="77777777" w:rsidR="00DD57F9" w:rsidRPr="006B42D6" w:rsidRDefault="00DD57F9" w:rsidP="00515B1A">
            <w:pPr>
              <w:jc w:val="right"/>
              <w:rPr>
                <w:sz w:val="16"/>
                <w:szCs w:val="16"/>
              </w:rPr>
            </w:pPr>
            <w:r w:rsidRPr="006B42D6">
              <w:rPr>
                <w:sz w:val="16"/>
                <w:szCs w:val="16"/>
              </w:rPr>
              <w:t>14.3</w:t>
            </w:r>
          </w:p>
        </w:tc>
        <w:tc>
          <w:tcPr>
            <w:tcW w:w="1228" w:type="dxa"/>
            <w:tcBorders>
              <w:top w:val="nil"/>
              <w:left w:val="nil"/>
              <w:bottom w:val="nil"/>
              <w:right w:val="nil"/>
            </w:tcBorders>
            <w:shd w:val="clear" w:color="auto" w:fill="auto"/>
            <w:noWrap/>
            <w:vAlign w:val="bottom"/>
            <w:hideMark/>
          </w:tcPr>
          <w:p w14:paraId="77B60A81" w14:textId="77777777" w:rsidR="00DD57F9" w:rsidRPr="006B42D6" w:rsidRDefault="00DD57F9" w:rsidP="00515B1A">
            <w:pPr>
              <w:jc w:val="right"/>
              <w:rPr>
                <w:sz w:val="16"/>
                <w:szCs w:val="16"/>
              </w:rPr>
            </w:pPr>
            <w:r w:rsidRPr="006B42D6">
              <w:rPr>
                <w:sz w:val="16"/>
                <w:szCs w:val="16"/>
              </w:rPr>
              <w:t>3,819</w:t>
            </w:r>
          </w:p>
        </w:tc>
        <w:tc>
          <w:tcPr>
            <w:tcW w:w="985" w:type="dxa"/>
            <w:tcBorders>
              <w:top w:val="nil"/>
              <w:left w:val="nil"/>
              <w:bottom w:val="nil"/>
              <w:right w:val="nil"/>
            </w:tcBorders>
            <w:shd w:val="clear" w:color="auto" w:fill="auto"/>
            <w:noWrap/>
            <w:vAlign w:val="bottom"/>
            <w:hideMark/>
          </w:tcPr>
          <w:p w14:paraId="1DBDFC2A" w14:textId="77777777" w:rsidR="00DD57F9" w:rsidRPr="006B42D6" w:rsidRDefault="00DD57F9" w:rsidP="00515B1A">
            <w:pPr>
              <w:jc w:val="right"/>
              <w:rPr>
                <w:sz w:val="16"/>
                <w:szCs w:val="16"/>
              </w:rPr>
            </w:pPr>
            <w:r w:rsidRPr="006B42D6">
              <w:rPr>
                <w:sz w:val="16"/>
                <w:szCs w:val="16"/>
              </w:rPr>
              <w:t>13.2</w:t>
            </w:r>
          </w:p>
        </w:tc>
      </w:tr>
      <w:tr w:rsidR="008076B9" w:rsidRPr="006B42D6" w14:paraId="4B664E62" w14:textId="77777777" w:rsidTr="008076B9">
        <w:trPr>
          <w:trHeight w:val="263"/>
        </w:trPr>
        <w:tc>
          <w:tcPr>
            <w:tcW w:w="1985" w:type="dxa"/>
            <w:tcBorders>
              <w:top w:val="nil"/>
              <w:left w:val="nil"/>
              <w:bottom w:val="single" w:sz="4" w:space="0" w:color="auto"/>
              <w:right w:val="single" w:sz="4" w:space="0" w:color="auto"/>
            </w:tcBorders>
            <w:shd w:val="clear" w:color="auto" w:fill="auto"/>
            <w:noWrap/>
            <w:vAlign w:val="bottom"/>
          </w:tcPr>
          <w:p w14:paraId="109A9A08" w14:textId="725780B9" w:rsidR="008076B9" w:rsidRPr="006B42D6" w:rsidRDefault="008076B9" w:rsidP="00E82155">
            <w:pPr>
              <w:spacing w:line="276" w:lineRule="auto"/>
              <w:rPr>
                <w:sz w:val="16"/>
                <w:szCs w:val="16"/>
              </w:rPr>
            </w:pPr>
            <w:r w:rsidRPr="006B42D6">
              <w:rPr>
                <w:sz w:val="16"/>
                <w:szCs w:val="16"/>
              </w:rPr>
              <w:t>Households practiced Pest and Parasite control </w:t>
            </w:r>
          </w:p>
        </w:tc>
        <w:tc>
          <w:tcPr>
            <w:tcW w:w="1206" w:type="dxa"/>
            <w:tcBorders>
              <w:top w:val="nil"/>
              <w:left w:val="single" w:sz="4" w:space="0" w:color="auto"/>
              <w:bottom w:val="single" w:sz="4" w:space="0" w:color="auto"/>
              <w:right w:val="nil"/>
            </w:tcBorders>
            <w:shd w:val="clear" w:color="auto" w:fill="auto"/>
            <w:noWrap/>
            <w:vAlign w:val="center"/>
          </w:tcPr>
          <w:p w14:paraId="1613EE7D" w14:textId="21F2210F" w:rsidR="008076B9" w:rsidRPr="006B42D6" w:rsidRDefault="008076B9" w:rsidP="00E82155">
            <w:pPr>
              <w:spacing w:line="276" w:lineRule="auto"/>
              <w:jc w:val="right"/>
              <w:rPr>
                <w:sz w:val="16"/>
                <w:szCs w:val="16"/>
              </w:rPr>
            </w:pPr>
            <w:r w:rsidRPr="006B42D6">
              <w:rPr>
                <w:sz w:val="16"/>
                <w:szCs w:val="16"/>
              </w:rPr>
              <w:t>1,168,000</w:t>
            </w:r>
          </w:p>
        </w:tc>
        <w:tc>
          <w:tcPr>
            <w:tcW w:w="984" w:type="dxa"/>
            <w:tcBorders>
              <w:top w:val="nil"/>
              <w:left w:val="nil"/>
              <w:bottom w:val="single" w:sz="4" w:space="0" w:color="auto"/>
              <w:right w:val="nil"/>
            </w:tcBorders>
            <w:shd w:val="clear" w:color="auto" w:fill="7F7F7F" w:themeFill="text1" w:themeFillTint="80"/>
            <w:noWrap/>
            <w:vAlign w:val="center"/>
          </w:tcPr>
          <w:p w14:paraId="15B0F320" w14:textId="1A21871E" w:rsidR="008076B9" w:rsidRPr="008076B9" w:rsidRDefault="008076B9" w:rsidP="00E82155">
            <w:pPr>
              <w:spacing w:line="276" w:lineRule="auto"/>
              <w:jc w:val="right"/>
              <w:rPr>
                <w:sz w:val="16"/>
                <w:szCs w:val="16"/>
                <w:highlight w:val="darkGray"/>
              </w:rPr>
            </w:pPr>
          </w:p>
        </w:tc>
        <w:tc>
          <w:tcPr>
            <w:tcW w:w="1491" w:type="dxa"/>
            <w:tcBorders>
              <w:top w:val="nil"/>
              <w:left w:val="single" w:sz="4" w:space="0" w:color="auto"/>
              <w:bottom w:val="single" w:sz="4" w:space="0" w:color="auto"/>
              <w:right w:val="nil"/>
            </w:tcBorders>
            <w:shd w:val="clear" w:color="auto" w:fill="auto"/>
            <w:noWrap/>
            <w:vAlign w:val="center"/>
          </w:tcPr>
          <w:p w14:paraId="406BD191" w14:textId="345E7698" w:rsidR="008076B9" w:rsidRPr="006B42D6" w:rsidRDefault="008076B9" w:rsidP="00E82155">
            <w:pPr>
              <w:spacing w:line="276" w:lineRule="auto"/>
              <w:jc w:val="right"/>
              <w:rPr>
                <w:sz w:val="16"/>
                <w:szCs w:val="16"/>
              </w:rPr>
            </w:pPr>
            <w:r w:rsidRPr="006B42D6">
              <w:rPr>
                <w:sz w:val="16"/>
                <w:szCs w:val="16"/>
              </w:rPr>
              <w:t>1,139,116</w:t>
            </w:r>
          </w:p>
        </w:tc>
        <w:tc>
          <w:tcPr>
            <w:tcW w:w="982" w:type="dxa"/>
            <w:tcBorders>
              <w:top w:val="nil"/>
              <w:left w:val="nil"/>
              <w:bottom w:val="single" w:sz="4" w:space="0" w:color="auto"/>
              <w:right w:val="single" w:sz="4" w:space="0" w:color="auto"/>
            </w:tcBorders>
            <w:shd w:val="clear" w:color="auto" w:fill="7F7F7F" w:themeFill="text1" w:themeFillTint="80"/>
            <w:noWrap/>
            <w:vAlign w:val="center"/>
          </w:tcPr>
          <w:p w14:paraId="03537156" w14:textId="13494279" w:rsidR="008076B9" w:rsidRPr="006B42D6" w:rsidRDefault="008076B9" w:rsidP="00E82155">
            <w:pPr>
              <w:spacing w:line="276" w:lineRule="auto"/>
              <w:jc w:val="right"/>
              <w:rPr>
                <w:sz w:val="16"/>
                <w:szCs w:val="16"/>
              </w:rPr>
            </w:pPr>
          </w:p>
        </w:tc>
        <w:tc>
          <w:tcPr>
            <w:tcW w:w="1228" w:type="dxa"/>
            <w:tcBorders>
              <w:top w:val="nil"/>
              <w:left w:val="nil"/>
              <w:bottom w:val="single" w:sz="4" w:space="0" w:color="auto"/>
              <w:right w:val="nil"/>
            </w:tcBorders>
            <w:shd w:val="clear" w:color="auto" w:fill="auto"/>
            <w:noWrap/>
            <w:vAlign w:val="center"/>
          </w:tcPr>
          <w:p w14:paraId="332F928F" w14:textId="2235A1E8" w:rsidR="008076B9" w:rsidRPr="006B42D6" w:rsidRDefault="008076B9" w:rsidP="00E82155">
            <w:pPr>
              <w:spacing w:line="276" w:lineRule="auto"/>
              <w:jc w:val="right"/>
              <w:rPr>
                <w:sz w:val="16"/>
                <w:szCs w:val="16"/>
              </w:rPr>
            </w:pPr>
            <w:r w:rsidRPr="006B42D6">
              <w:rPr>
                <w:sz w:val="16"/>
                <w:szCs w:val="16"/>
              </w:rPr>
              <w:t>28,884</w:t>
            </w:r>
          </w:p>
        </w:tc>
        <w:tc>
          <w:tcPr>
            <w:tcW w:w="985" w:type="dxa"/>
            <w:tcBorders>
              <w:top w:val="nil"/>
              <w:left w:val="nil"/>
              <w:bottom w:val="single" w:sz="4" w:space="0" w:color="auto"/>
              <w:right w:val="nil"/>
            </w:tcBorders>
            <w:shd w:val="clear" w:color="auto" w:fill="7F7F7F" w:themeFill="text1" w:themeFillTint="80"/>
            <w:noWrap/>
            <w:vAlign w:val="center"/>
          </w:tcPr>
          <w:p w14:paraId="43165922" w14:textId="7C87D4C0" w:rsidR="008076B9" w:rsidRPr="006B42D6" w:rsidRDefault="008076B9" w:rsidP="00E82155">
            <w:pPr>
              <w:spacing w:line="276" w:lineRule="auto"/>
              <w:jc w:val="right"/>
              <w:rPr>
                <w:sz w:val="16"/>
                <w:szCs w:val="16"/>
              </w:rPr>
            </w:pPr>
          </w:p>
        </w:tc>
      </w:tr>
    </w:tbl>
    <w:p w14:paraId="64C916A8" w14:textId="77777777" w:rsidR="00DD57F9" w:rsidRPr="006B42D6" w:rsidRDefault="00DD57F9" w:rsidP="00DD57F9">
      <w:pPr>
        <w:adjustRightInd w:val="0"/>
      </w:pPr>
    </w:p>
    <w:p w14:paraId="11770E9D" w14:textId="2BA47653" w:rsidR="00DD57F9" w:rsidRPr="006B42D6" w:rsidRDefault="00DD57F9" w:rsidP="00DD57F9">
      <w:pPr>
        <w:adjustRightInd w:val="0"/>
      </w:pPr>
      <w:r w:rsidRPr="006B42D6">
        <w:t xml:space="preserve">In </w:t>
      </w:r>
      <w:r w:rsidR="00EA1552">
        <w:rPr>
          <w:lang w:eastAsia="en-GB"/>
        </w:rPr>
        <w:t>Mainland Tanzania</w:t>
      </w:r>
      <w:r w:rsidRPr="006B42D6">
        <w:t xml:space="preserve">, deworming practices was highly reported in Kilimanjaro region (66,983 households; 10.3 percent), followed by Manyara (57,268 households; 8.8 percent) and Arusha (53,816 households; 8.3 percent). Lindi region had </w:t>
      </w:r>
      <w:r w:rsidR="00E1002D" w:rsidRPr="006B42D6">
        <w:t xml:space="preserve">the </w:t>
      </w:r>
      <w:r w:rsidRPr="006B42D6">
        <w:t xml:space="preserve">lowest number of households (499; 0.1 percent) reported to practice deworming of their livestock (Figure </w:t>
      </w:r>
      <w:r w:rsidR="00622045" w:rsidRPr="006B42D6">
        <w:t>4.</w:t>
      </w:r>
      <w:r w:rsidR="009400E5" w:rsidRPr="006B42D6">
        <w:t>5</w:t>
      </w:r>
      <w:r w:rsidR="00E87243">
        <w:t>5</w:t>
      </w:r>
      <w:r w:rsidRPr="006B42D6">
        <w:t>)</w:t>
      </w:r>
      <w:r w:rsidR="003F4D1F">
        <w:t>.</w:t>
      </w:r>
    </w:p>
    <w:p w14:paraId="1F785FE0" w14:textId="6010090D" w:rsidR="00E82155" w:rsidRDefault="00E82155">
      <w:pPr>
        <w:spacing w:line="240" w:lineRule="auto"/>
        <w:contextualSpacing w:val="0"/>
        <w:jc w:val="left"/>
      </w:pPr>
      <w:r>
        <w:br w:type="page"/>
      </w:r>
    </w:p>
    <w:p w14:paraId="229F354B" w14:textId="49B74CC5" w:rsidR="00DD57F9" w:rsidRPr="006B42D6" w:rsidRDefault="00DD57F9" w:rsidP="00E82155">
      <w:pPr>
        <w:pStyle w:val="Caption"/>
        <w:ind w:left="1140" w:right="-57" w:hanging="1140"/>
      </w:pPr>
      <w:bookmarkStart w:id="726" w:name="_Toc82386426"/>
      <w:r w:rsidRPr="006B42D6">
        <w:lastRenderedPageBreak/>
        <w:t xml:space="preserve">Figure </w:t>
      </w:r>
      <w:r w:rsidR="00622045" w:rsidRPr="006B42D6">
        <w:t>4.</w:t>
      </w:r>
      <w:r w:rsidR="009400E5" w:rsidRPr="006B42D6">
        <w:t>5</w:t>
      </w:r>
      <w:r w:rsidR="00E87243">
        <w:t>5</w:t>
      </w:r>
      <w:r w:rsidR="000E5E14">
        <w:t>:</w:t>
      </w:r>
      <w:r w:rsidR="000E5E14">
        <w:tab/>
      </w:r>
      <w:r w:rsidRPr="006B42D6">
        <w:t>Percentage of Households Reported to Deworm Livestock</w:t>
      </w:r>
      <w:r w:rsidR="00E1002D" w:rsidRPr="006B42D6">
        <w:t xml:space="preserve"> During 2019/20 Agriculture Year</w:t>
      </w:r>
      <w:r w:rsidR="00645B2E" w:rsidRPr="006B42D6">
        <w:t xml:space="preserve">, </w:t>
      </w:r>
      <w:r w:rsidR="00EA1552">
        <w:t>Mainland Tanzania</w:t>
      </w:r>
      <w:bookmarkEnd w:id="726"/>
    </w:p>
    <w:p w14:paraId="50CC461A" w14:textId="25A82B48" w:rsidR="00DD57F9" w:rsidRPr="006B42D6" w:rsidRDefault="001B26AC" w:rsidP="00DD57F9">
      <w:pPr>
        <w:adjustRightInd w:val="0"/>
      </w:pPr>
      <w:r w:rsidRPr="006B42D6">
        <w:rPr>
          <w:noProof/>
        </w:rPr>
        <w:drawing>
          <wp:inline distT="0" distB="0" distL="0" distR="0" wp14:anchorId="30A11581" wp14:editId="5986C72D">
            <wp:extent cx="5752123" cy="2758440"/>
            <wp:effectExtent l="0" t="0" r="13970" b="10160"/>
            <wp:docPr id="37" name="Chart 54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2"/>
              </a:graphicData>
            </a:graphic>
          </wp:inline>
        </w:drawing>
      </w:r>
    </w:p>
    <w:p w14:paraId="47AA34B4" w14:textId="77777777" w:rsidR="00DD57F9" w:rsidRPr="006B42D6" w:rsidRDefault="00DD57F9" w:rsidP="00DD57F9">
      <w:pPr>
        <w:adjustRightInd w:val="0"/>
      </w:pPr>
    </w:p>
    <w:p w14:paraId="67B4AE63" w14:textId="6D03F044" w:rsidR="00DD57F9" w:rsidRDefault="00DD57F9" w:rsidP="00DD57F9">
      <w:pPr>
        <w:adjustRightInd w:val="0"/>
      </w:pPr>
      <w:r w:rsidRPr="006B42D6">
        <w:t xml:space="preserve">In </w:t>
      </w:r>
      <w:r w:rsidR="00645B2E" w:rsidRPr="006B42D6">
        <w:t xml:space="preserve">Tanzania </w:t>
      </w:r>
      <w:r w:rsidRPr="006B42D6">
        <w:t>Zanzibar, the highest number of households reported to practice deworming was in Kusini Unguja region (3,872; 27.4 percent)</w:t>
      </w:r>
      <w:r w:rsidR="00E1002D" w:rsidRPr="006B42D6">
        <w:t>,</w:t>
      </w:r>
      <w:r w:rsidRPr="006B42D6">
        <w:t xml:space="preserve"> followed by Kaskazini Pemba (3,449; 24.4 percent)</w:t>
      </w:r>
      <w:r w:rsidR="00E1002D" w:rsidRPr="006B42D6">
        <w:t>,</w:t>
      </w:r>
      <w:r w:rsidRPr="006B42D6">
        <w:t xml:space="preserve"> while the least was in Kaskazini Unguja region (1,359; 9.6 percent) (Figure </w:t>
      </w:r>
      <w:r w:rsidR="00622045" w:rsidRPr="006B42D6">
        <w:t>4.</w:t>
      </w:r>
      <w:r w:rsidR="009400E5" w:rsidRPr="006B42D6">
        <w:t>5</w:t>
      </w:r>
      <w:r w:rsidR="00E87243">
        <w:t>6</w:t>
      </w:r>
      <w:r w:rsidRPr="006B42D6">
        <w:t>).</w:t>
      </w:r>
    </w:p>
    <w:p w14:paraId="4B25482E" w14:textId="77777777" w:rsidR="00E82155" w:rsidRPr="006B42D6" w:rsidRDefault="00E82155" w:rsidP="00DD57F9">
      <w:pPr>
        <w:adjustRightInd w:val="0"/>
      </w:pPr>
    </w:p>
    <w:p w14:paraId="358F2A1A" w14:textId="47635731" w:rsidR="00DD57F9" w:rsidRPr="006B42D6" w:rsidRDefault="00DD57F9" w:rsidP="002E64CB">
      <w:pPr>
        <w:pStyle w:val="Caption"/>
        <w:ind w:left="1140" w:right="1247" w:hanging="1140"/>
      </w:pPr>
      <w:bookmarkStart w:id="727" w:name="_Toc82386427"/>
      <w:r w:rsidRPr="006B42D6">
        <w:t xml:space="preserve">Figure </w:t>
      </w:r>
      <w:r w:rsidR="00622045" w:rsidRPr="006B42D6">
        <w:t>4.</w:t>
      </w:r>
      <w:r w:rsidR="009400E5" w:rsidRPr="006B42D6">
        <w:t>5</w:t>
      </w:r>
      <w:r w:rsidR="00E87243">
        <w:t>6</w:t>
      </w:r>
      <w:r w:rsidR="000E5E14">
        <w:t>:</w:t>
      </w:r>
      <w:r w:rsidR="000E5E14">
        <w:tab/>
      </w:r>
      <w:r w:rsidRPr="006B42D6">
        <w:t>Percentage of Households Reported to Deworm Livestock</w:t>
      </w:r>
      <w:r w:rsidR="00E1002D" w:rsidRPr="006B42D6">
        <w:t xml:space="preserve"> During 2019/20 Agricultural Year</w:t>
      </w:r>
      <w:r w:rsidR="00645B2E" w:rsidRPr="006B42D6">
        <w:t>, Tanzania Zanzibar</w:t>
      </w:r>
      <w:bookmarkEnd w:id="727"/>
    </w:p>
    <w:p w14:paraId="504EEFD3" w14:textId="26C9219D" w:rsidR="00DD57F9" w:rsidRPr="006B42D6" w:rsidRDefault="001B26AC" w:rsidP="00DD57F9">
      <w:pPr>
        <w:rPr>
          <w:b/>
        </w:rPr>
      </w:pPr>
      <w:r w:rsidRPr="006B42D6">
        <w:rPr>
          <w:noProof/>
        </w:rPr>
        <w:drawing>
          <wp:inline distT="0" distB="0" distL="0" distR="0" wp14:anchorId="6695B5B1" wp14:editId="5A9FA42E">
            <wp:extent cx="5003800" cy="2703007"/>
            <wp:effectExtent l="0" t="0" r="12700" b="15240"/>
            <wp:docPr id="36" name="Chart 54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3"/>
              </a:graphicData>
            </a:graphic>
          </wp:inline>
        </w:drawing>
      </w:r>
    </w:p>
    <w:p w14:paraId="3C3013AB" w14:textId="77777777" w:rsidR="00DD57F9" w:rsidRPr="006B42D6" w:rsidRDefault="00DD57F9" w:rsidP="000B4646">
      <w:pPr>
        <w:spacing w:line="240" w:lineRule="auto"/>
        <w:rPr>
          <w:b/>
        </w:rPr>
      </w:pPr>
    </w:p>
    <w:p w14:paraId="4CCC748A" w14:textId="77777777" w:rsidR="00E82155" w:rsidRDefault="00E82155">
      <w:pPr>
        <w:spacing w:line="240" w:lineRule="auto"/>
        <w:contextualSpacing w:val="0"/>
        <w:jc w:val="left"/>
        <w:rPr>
          <w:b/>
        </w:rPr>
      </w:pPr>
      <w:r>
        <w:rPr>
          <w:b/>
        </w:rPr>
        <w:br w:type="page"/>
      </w:r>
    </w:p>
    <w:bookmarkStart w:id="728" w:name="_Toc82385771"/>
    <w:p w14:paraId="5A36BDC0" w14:textId="63F763A5" w:rsidR="00D163D4" w:rsidRPr="006B42D6" w:rsidRDefault="00E82155" w:rsidP="005C2EFC">
      <w:pPr>
        <w:pStyle w:val="Heading2"/>
      </w:pPr>
      <w:r>
        <w:rPr>
          <w:noProof/>
        </w:rPr>
        <w:lastRenderedPageBreak/>
        <mc:AlternateContent>
          <mc:Choice Requires="wps">
            <w:drawing>
              <wp:anchor distT="0" distB="0" distL="114300" distR="114300" simplePos="0" relativeHeight="251606016" behindDoc="0" locked="0" layoutInCell="1" allowOverlap="1" wp14:anchorId="5C7F0865" wp14:editId="5633E5C6">
                <wp:simplePos x="0" y="0"/>
                <wp:positionH relativeFrom="column">
                  <wp:posOffset>2719070</wp:posOffset>
                </wp:positionH>
                <wp:positionV relativeFrom="paragraph">
                  <wp:posOffset>23495</wp:posOffset>
                </wp:positionV>
                <wp:extent cx="3132455" cy="635635"/>
                <wp:effectExtent l="0" t="0" r="4445" b="0"/>
                <wp:wrapThrough wrapText="bothSides">
                  <wp:wrapPolygon edited="0">
                    <wp:start x="0" y="0"/>
                    <wp:lineTo x="0" y="21147"/>
                    <wp:lineTo x="21543" y="21147"/>
                    <wp:lineTo x="21543" y="0"/>
                    <wp:lineTo x="0" y="0"/>
                  </wp:wrapPolygon>
                </wp:wrapThrough>
                <wp:docPr id="529"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2455" cy="635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BBC807" w14:textId="3E14F4B5" w:rsidR="00933456" w:rsidRPr="00D34A23" w:rsidRDefault="00933456" w:rsidP="00D34A23">
                            <w:pPr>
                              <w:pStyle w:val="Caption"/>
                            </w:pPr>
                            <w:bookmarkStart w:id="729" w:name="_Toc80120330"/>
                            <w:bookmarkStart w:id="730" w:name="_Toc80884206"/>
                            <w:bookmarkStart w:id="731" w:name="_Toc80884577"/>
                            <w:bookmarkStart w:id="732" w:name="_Toc82386428"/>
                            <w:r w:rsidRPr="00D34A23">
                              <w:t>Figure 4.</w:t>
                            </w:r>
                            <w:r>
                              <w:t>57</w:t>
                            </w:r>
                            <w:r w:rsidRPr="00D34A23">
                              <w:t>:</w:t>
                            </w:r>
                            <w:r w:rsidRPr="00D34A23">
                              <w:tab/>
                              <w:t>Percentage of Households Received Extension Service Advice for Livestock During 2019/20 Agricultural Year</w:t>
                            </w:r>
                            <w:r>
                              <w:t>, Tanzania</w:t>
                            </w:r>
                            <w:bookmarkEnd w:id="729"/>
                            <w:bookmarkEnd w:id="730"/>
                            <w:bookmarkEnd w:id="731"/>
                            <w:bookmarkEnd w:id="732"/>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7F0865" id="Text Box 59" o:spid="_x0000_s1110" type="#_x0000_t202" style="position:absolute;left:0;text-align:left;margin-left:214.1pt;margin-top:1.85pt;width:246.65pt;height:50.0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" stroked="f">
                <v:textbox inset="0,0,0,0">
                  <w:txbxContent>
                    <w:p w14:paraId="1CBBC807" w14:textId="3E14F4B5" w:rsidR="00933456" w:rsidRPr="00D34A23" w:rsidRDefault="00933456" w:rsidP="00D34A23">
                      <w:pPr>
                        <w:pStyle w:val="Caption"/>
                      </w:pPr>
                      <w:bookmarkStart w:id="1042" w:name="_Toc80120330"/>
                      <w:bookmarkStart w:id="1043" w:name="_Toc80884206"/>
                      <w:bookmarkStart w:id="1044" w:name="_Toc80884577"/>
                      <w:bookmarkStart w:id="1045" w:name="_Toc82386428"/>
                      <w:r w:rsidRPr="00D34A23">
                        <w:t>Figure 4.</w:t>
                      </w:r>
                      <w:r>
                        <w:t>57</w:t>
                      </w:r>
                      <w:r w:rsidRPr="00D34A23">
                        <w:t>:</w:t>
                      </w:r>
                      <w:r w:rsidRPr="00D34A23">
                        <w:tab/>
                        <w:t>Percentage of Households Received Extension Service Advice for Livestock During 2019/20 Agricultural Year</w:t>
                      </w:r>
                      <w:r>
                        <w:t>, Tanzania</w:t>
                      </w:r>
                      <w:bookmarkEnd w:id="1042"/>
                      <w:bookmarkEnd w:id="1043"/>
                      <w:bookmarkEnd w:id="1044"/>
                      <w:bookmarkEnd w:id="1045"/>
                    </w:p>
                  </w:txbxContent>
                </v:textbox>
                <w10:wrap type="through"/>
              </v:shape>
            </w:pict>
          </mc:Fallback>
        </mc:AlternateContent>
      </w:r>
      <w:r w:rsidR="00F51B40" w:rsidRPr="006B42D6">
        <w:t>4</w:t>
      </w:r>
      <w:r w:rsidR="00D163D4" w:rsidRPr="006B42D6">
        <w:t>.</w:t>
      </w:r>
      <w:r w:rsidR="00022347">
        <w:t>6</w:t>
      </w:r>
      <w:r w:rsidR="0000655E" w:rsidRPr="006B42D6">
        <w:tab/>
      </w:r>
      <w:r w:rsidR="00BE513B" w:rsidRPr="006B42D6">
        <w:t>Livestock</w:t>
      </w:r>
      <w:r w:rsidR="00BE513B" w:rsidRPr="006B42D6">
        <w:rPr>
          <w:noProof/>
        </w:rPr>
        <w:t xml:space="preserve"> </w:t>
      </w:r>
      <w:r w:rsidR="00D163D4" w:rsidRPr="006B42D6">
        <w:t>Extension Services</w:t>
      </w:r>
      <w:bookmarkEnd w:id="728"/>
    </w:p>
    <w:p w14:paraId="17D74213" w14:textId="5CA58D64" w:rsidR="00E3366F" w:rsidRPr="006B42D6" w:rsidRDefault="00A748B3" w:rsidP="005C2EFC">
      <w:r w:rsidRPr="003E3F27">
        <w:rPr>
          <w:noProof/>
          <w:color w:val="000000" w:themeColor="text1"/>
        </w:rPr>
        <w:drawing>
          <wp:anchor distT="0" distB="0" distL="114300" distR="114300" simplePos="0" relativeHeight="251730944" behindDoc="1" locked="0" layoutInCell="1" allowOverlap="1" wp14:anchorId="5760FC18" wp14:editId="2002BEB7">
            <wp:simplePos x="0" y="0"/>
            <wp:positionH relativeFrom="column">
              <wp:posOffset>2716530</wp:posOffset>
            </wp:positionH>
            <wp:positionV relativeFrom="paragraph">
              <wp:posOffset>458163</wp:posOffset>
            </wp:positionV>
            <wp:extent cx="3132455" cy="2238375"/>
            <wp:effectExtent l="0" t="0" r="17145" b="9525"/>
            <wp:wrapTight wrapText="bothSides">
              <wp:wrapPolygon edited="0">
                <wp:start x="0" y="0"/>
                <wp:lineTo x="0" y="21569"/>
                <wp:lineTo x="21631" y="21569"/>
                <wp:lineTo x="21631" y="0"/>
                <wp:lineTo x="0" y="0"/>
              </wp:wrapPolygon>
            </wp:wrapTight>
            <wp:docPr id="22" name="Chart 22">
              <a:extLst xmlns:a="http://schemas.openxmlformats.org/drawingml/2006/main">
                <a:ext uri="{FF2B5EF4-FFF2-40B4-BE49-F238E27FC236}">
                  <a16:creationId xmlns:a16="http://schemas.microsoft.com/office/drawing/2014/main" id="{4539CDE4-8BB6-5240-BF42-2A4BBAFC9F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4"/>
              </a:graphicData>
            </a:graphic>
            <wp14:sizeRelH relativeFrom="page">
              <wp14:pctWidth>0</wp14:pctWidth>
            </wp14:sizeRelH>
            <wp14:sizeRelV relativeFrom="page">
              <wp14:pctHeight>0</wp14:pctHeight>
            </wp14:sizeRelV>
          </wp:anchor>
        </w:drawing>
      </w:r>
      <w:r w:rsidR="00D163D4" w:rsidRPr="006B42D6">
        <w:t>During 2019/20 NSCA</w:t>
      </w:r>
      <w:r w:rsidR="00C163FF" w:rsidRPr="006B42D6">
        <w:t>,</w:t>
      </w:r>
      <w:r w:rsidR="00D163D4" w:rsidRPr="006B42D6">
        <w:t xml:space="preserve"> the total number of households engaged in rearing livestock was 2,747,910, whereby 2,683,454 households were in </w:t>
      </w:r>
      <w:r w:rsidR="00EA1552">
        <w:t>Mainland Tanzania</w:t>
      </w:r>
      <w:r w:rsidR="00D163D4" w:rsidRPr="006B42D6">
        <w:t xml:space="preserve"> and 64,456 households in </w:t>
      </w:r>
      <w:r w:rsidR="00645B2E" w:rsidRPr="006B42D6">
        <w:t xml:space="preserve">Tanzania </w:t>
      </w:r>
      <w:r w:rsidR="00D163D4" w:rsidRPr="006B42D6">
        <w:t xml:space="preserve">Zanzibar. Only </w:t>
      </w:r>
      <w:r w:rsidR="00E3366F" w:rsidRPr="006B42D6">
        <w:t xml:space="preserve">few households (9.1 </w:t>
      </w:r>
      <w:r w:rsidR="00D163D4" w:rsidRPr="006B42D6">
        <w:t>percent</w:t>
      </w:r>
      <w:r w:rsidR="00D30ADA" w:rsidRPr="006B42D6">
        <w:t xml:space="preserve"> </w:t>
      </w:r>
      <w:r w:rsidR="00D163D4" w:rsidRPr="006B42D6">
        <w:t>of the total households rearing livestock</w:t>
      </w:r>
      <w:r w:rsidR="006A3942">
        <w:t>)</w:t>
      </w:r>
      <w:r w:rsidR="00D163D4" w:rsidRPr="006B42D6">
        <w:t xml:space="preserve"> received livestock extension services and 9</w:t>
      </w:r>
      <w:r w:rsidR="00D30ADA" w:rsidRPr="006B42D6">
        <w:t>0.9 percent</w:t>
      </w:r>
      <w:r w:rsidR="00D163D4" w:rsidRPr="006B42D6">
        <w:t xml:space="preserve"> did not receive extension services on livestock</w:t>
      </w:r>
      <w:r w:rsidR="00E3366F" w:rsidRPr="006B42D6">
        <w:t xml:space="preserve"> </w:t>
      </w:r>
      <w:r w:rsidR="00D163D4" w:rsidRPr="006B42D6">
        <w:t xml:space="preserve">(Figure </w:t>
      </w:r>
      <w:r w:rsidR="00622045" w:rsidRPr="006B42D6">
        <w:t>4.</w:t>
      </w:r>
      <w:r w:rsidR="00556719">
        <w:t>57</w:t>
      </w:r>
      <w:r w:rsidR="00D163D4" w:rsidRPr="006B42D6">
        <w:t>).</w:t>
      </w:r>
    </w:p>
    <w:p w14:paraId="03307E7A" w14:textId="77777777" w:rsidR="00E3366F" w:rsidRPr="006B42D6" w:rsidRDefault="00E3366F" w:rsidP="000E5E14">
      <w:pPr>
        <w:spacing w:line="240" w:lineRule="auto"/>
      </w:pPr>
    </w:p>
    <w:p w14:paraId="22ED2A63" w14:textId="245B2788" w:rsidR="00D163D4" w:rsidRDefault="00D163D4" w:rsidP="005C2EFC">
      <w:r w:rsidRPr="006B42D6">
        <w:t xml:space="preserve">In </w:t>
      </w:r>
      <w:r w:rsidR="00EA1552">
        <w:t>Mainland Tanzania</w:t>
      </w:r>
      <w:r w:rsidRPr="006B42D6">
        <w:t xml:space="preserve">, </w:t>
      </w:r>
      <w:r w:rsidR="00E3366F" w:rsidRPr="006B42D6">
        <w:t xml:space="preserve">the </w:t>
      </w:r>
      <w:r w:rsidR="00C163FF" w:rsidRPr="006B42D6">
        <w:t>largest</w:t>
      </w:r>
      <w:r w:rsidR="00E3366F" w:rsidRPr="006B42D6">
        <w:t xml:space="preserve"> </w:t>
      </w:r>
      <w:r w:rsidRPr="006B42D6">
        <w:t>number of households received extension advice was reported in Mbeya region (23,335; 9.5 percent), followed by Dar es Salaam (21,586; 8.8 percent) and Songwe (17,262; 7.1 percent). Katavi region had</w:t>
      </w:r>
      <w:r w:rsidR="00E3366F" w:rsidRPr="006B42D6">
        <w:t xml:space="preserve"> the</w:t>
      </w:r>
      <w:r w:rsidRPr="006B42D6">
        <w:t xml:space="preserve"> least number of households (850; 0.3 percent) received extension services (Figure </w:t>
      </w:r>
      <w:r w:rsidR="00E3366F" w:rsidRPr="006B42D6">
        <w:t>4.</w:t>
      </w:r>
      <w:r w:rsidR="009400E5" w:rsidRPr="006B42D6">
        <w:t>58</w:t>
      </w:r>
      <w:r w:rsidRPr="006B42D6">
        <w:t xml:space="preserve">). </w:t>
      </w:r>
    </w:p>
    <w:p w14:paraId="580856F5" w14:textId="77777777" w:rsidR="00E82155" w:rsidRPr="006B42D6" w:rsidRDefault="00E82155" w:rsidP="005C2EFC"/>
    <w:p w14:paraId="29AADD77" w14:textId="117D448C" w:rsidR="00970FB4" w:rsidRPr="00A748B3" w:rsidRDefault="00970FB4" w:rsidP="006A3942">
      <w:pPr>
        <w:pStyle w:val="Caption"/>
        <w:ind w:left="1140" w:right="57" w:hanging="1140"/>
      </w:pPr>
      <w:bookmarkStart w:id="733" w:name="_Toc82386429"/>
      <w:r w:rsidRPr="00A748B3">
        <w:t>Figure 4.5</w:t>
      </w:r>
      <w:r w:rsidR="009400E5" w:rsidRPr="00A748B3">
        <w:t>8</w:t>
      </w:r>
      <w:r w:rsidR="000E5E14">
        <w:t>:</w:t>
      </w:r>
      <w:r w:rsidR="00A748B3">
        <w:tab/>
      </w:r>
      <w:r w:rsidRPr="00A748B3">
        <w:t>Number of Households Received Extension Advices for Livestock by Region During 2019/20 Agricultural Year</w:t>
      </w:r>
      <w:r w:rsidR="00645B2E" w:rsidRPr="00A748B3">
        <w:t xml:space="preserve">, </w:t>
      </w:r>
      <w:r w:rsidR="00EA1552" w:rsidRPr="00A748B3">
        <w:t>Mainland Tanzania</w:t>
      </w:r>
      <w:bookmarkEnd w:id="733"/>
    </w:p>
    <w:p w14:paraId="66428008" w14:textId="4F204D32" w:rsidR="00B81EF6" w:rsidRPr="006B42D6" w:rsidRDefault="001B26AC" w:rsidP="005C2EFC">
      <w:r w:rsidRPr="006B42D6">
        <w:rPr>
          <w:noProof/>
        </w:rPr>
        <w:drawing>
          <wp:inline distT="0" distB="0" distL="0" distR="0" wp14:anchorId="1AEF3239" wp14:editId="3B3E73B3">
            <wp:extent cx="5722883" cy="2745740"/>
            <wp:effectExtent l="0" t="0" r="17780" b="10160"/>
            <wp:docPr id="35" name="Chart 14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5"/>
              </a:graphicData>
            </a:graphic>
          </wp:inline>
        </w:drawing>
      </w:r>
    </w:p>
    <w:p w14:paraId="6BB61F89" w14:textId="1AFEDDD9" w:rsidR="00B81EF6" w:rsidRPr="006B42D6" w:rsidRDefault="00B81EF6" w:rsidP="000E5E14">
      <w:pPr>
        <w:spacing w:line="240" w:lineRule="auto"/>
      </w:pPr>
    </w:p>
    <w:p w14:paraId="26A71A2D" w14:textId="0EB27279" w:rsidR="00D163D4" w:rsidRPr="006B42D6" w:rsidRDefault="00622045" w:rsidP="005C2EFC">
      <w:r w:rsidRPr="006B42D6">
        <w:t xml:space="preserve">In </w:t>
      </w:r>
      <w:r w:rsidR="00645B2E" w:rsidRPr="006B42D6">
        <w:t xml:space="preserve">Tanzania </w:t>
      </w:r>
      <w:r w:rsidRPr="006B42D6">
        <w:t xml:space="preserve">Zanzibar, </w:t>
      </w:r>
      <w:r w:rsidR="00D163D4" w:rsidRPr="006B42D6">
        <w:t xml:space="preserve">the </w:t>
      </w:r>
      <w:r w:rsidR="00C163FF" w:rsidRPr="006B42D6">
        <w:t>largest</w:t>
      </w:r>
      <w:r w:rsidR="00D163D4" w:rsidRPr="006B42D6">
        <w:t xml:space="preserve"> number of households reported </w:t>
      </w:r>
      <w:r w:rsidR="00EA393C" w:rsidRPr="006B42D6">
        <w:t xml:space="preserve">to receive extension services advice was </w:t>
      </w:r>
      <w:r w:rsidR="00D163D4" w:rsidRPr="006B42D6">
        <w:t xml:space="preserve">in </w:t>
      </w:r>
      <w:r w:rsidR="00EA393C" w:rsidRPr="006B42D6">
        <w:t>Kusini</w:t>
      </w:r>
      <w:r w:rsidR="00D163D4" w:rsidRPr="006B42D6">
        <w:t xml:space="preserve"> Pemba region (</w:t>
      </w:r>
      <w:r w:rsidR="00EA393C" w:rsidRPr="006B42D6">
        <w:t>1,818</w:t>
      </w:r>
      <w:r w:rsidR="00D163D4" w:rsidRPr="006B42D6">
        <w:t>; 2</w:t>
      </w:r>
      <w:r w:rsidR="00EA393C" w:rsidRPr="006B42D6">
        <w:t>9</w:t>
      </w:r>
      <w:r w:rsidR="00D163D4" w:rsidRPr="006B42D6">
        <w:t>.</w:t>
      </w:r>
      <w:r w:rsidR="00EA393C" w:rsidRPr="006B42D6">
        <w:t>6</w:t>
      </w:r>
      <w:r w:rsidR="00D163D4" w:rsidRPr="006B42D6">
        <w:t xml:space="preserve"> percent), followed by </w:t>
      </w:r>
      <w:r w:rsidR="00EA393C" w:rsidRPr="006B42D6">
        <w:t>Kaskazini</w:t>
      </w:r>
      <w:r w:rsidR="00D163D4" w:rsidRPr="006B42D6">
        <w:t xml:space="preserve"> </w:t>
      </w:r>
      <w:r w:rsidR="00EA393C" w:rsidRPr="006B42D6">
        <w:lastRenderedPageBreak/>
        <w:t>Pemba</w:t>
      </w:r>
      <w:r w:rsidR="00D163D4" w:rsidRPr="006B42D6">
        <w:t xml:space="preserve"> (</w:t>
      </w:r>
      <w:r w:rsidR="00EA393C" w:rsidRPr="006B42D6">
        <w:t>1,584</w:t>
      </w:r>
      <w:r w:rsidR="00D163D4" w:rsidRPr="006B42D6">
        <w:t>; 2</w:t>
      </w:r>
      <w:r w:rsidR="00EA393C" w:rsidRPr="006B42D6">
        <w:t>5</w:t>
      </w:r>
      <w:r w:rsidR="00D163D4" w:rsidRPr="006B42D6">
        <w:t>.</w:t>
      </w:r>
      <w:r w:rsidR="00EA393C" w:rsidRPr="006B42D6">
        <w:t>8</w:t>
      </w:r>
      <w:r w:rsidR="00D163D4" w:rsidRPr="006B42D6">
        <w:t xml:space="preserve"> percent)</w:t>
      </w:r>
      <w:r w:rsidR="00EA393C" w:rsidRPr="006B42D6">
        <w:t>, while</w:t>
      </w:r>
      <w:r w:rsidR="00D163D4" w:rsidRPr="006B42D6">
        <w:t xml:space="preserve"> </w:t>
      </w:r>
      <w:r w:rsidR="00EA393C" w:rsidRPr="006B42D6">
        <w:t>Kaskazini Unguja</w:t>
      </w:r>
      <w:r w:rsidR="00D163D4" w:rsidRPr="006B42D6">
        <w:t xml:space="preserve"> region had least number of households (</w:t>
      </w:r>
      <w:r w:rsidR="00970FB4" w:rsidRPr="006B42D6">
        <w:t>349</w:t>
      </w:r>
      <w:r w:rsidR="00D163D4" w:rsidRPr="006B42D6">
        <w:t xml:space="preserve">; </w:t>
      </w:r>
      <w:r w:rsidR="00970FB4" w:rsidRPr="006B42D6">
        <w:t>5</w:t>
      </w:r>
      <w:r w:rsidR="00D163D4" w:rsidRPr="006B42D6">
        <w:t>.</w:t>
      </w:r>
      <w:r w:rsidR="00970FB4" w:rsidRPr="006B42D6">
        <w:t>7</w:t>
      </w:r>
      <w:r w:rsidR="00D163D4" w:rsidRPr="006B42D6">
        <w:t xml:space="preserve"> percent)</w:t>
      </w:r>
      <w:r w:rsidR="00EA393C" w:rsidRPr="006B42D6">
        <w:t xml:space="preserve"> </w:t>
      </w:r>
      <w:r w:rsidR="00D163D4" w:rsidRPr="006B42D6">
        <w:t xml:space="preserve">(Figure </w:t>
      </w:r>
      <w:r w:rsidR="008C39AF" w:rsidRPr="006B42D6">
        <w:t>4.</w:t>
      </w:r>
      <w:r w:rsidR="00EA393C" w:rsidRPr="006B42D6">
        <w:t>5</w:t>
      </w:r>
      <w:r w:rsidR="009400E5" w:rsidRPr="006B42D6">
        <w:t>9</w:t>
      </w:r>
      <w:r w:rsidR="00D163D4" w:rsidRPr="006B42D6">
        <w:t>).</w:t>
      </w:r>
    </w:p>
    <w:p w14:paraId="13389544" w14:textId="77777777" w:rsidR="00492932" w:rsidRPr="006B42D6" w:rsidRDefault="00492932" w:rsidP="005C2EFC"/>
    <w:p w14:paraId="73F45E2F" w14:textId="3468FB89" w:rsidR="00970FB4" w:rsidRPr="006B42D6" w:rsidRDefault="00970FB4" w:rsidP="00492932">
      <w:pPr>
        <w:pStyle w:val="Caption"/>
        <w:jc w:val="left"/>
        <w:rPr>
          <w:bCs/>
          <w:iCs w:val="0"/>
          <w:szCs w:val="16"/>
        </w:rPr>
      </w:pPr>
      <w:bookmarkStart w:id="734" w:name="_Toc82386430"/>
      <w:r w:rsidRPr="006B42D6">
        <w:rPr>
          <w:bCs/>
          <w:iCs w:val="0"/>
          <w:szCs w:val="16"/>
        </w:rPr>
        <w:t>Figure 4.5</w:t>
      </w:r>
      <w:r w:rsidR="009400E5" w:rsidRPr="006B42D6">
        <w:rPr>
          <w:bCs/>
          <w:iCs w:val="0"/>
          <w:szCs w:val="16"/>
        </w:rPr>
        <w:t>9</w:t>
      </w:r>
      <w:r w:rsidR="000E5E14">
        <w:rPr>
          <w:bCs/>
          <w:iCs w:val="0"/>
          <w:szCs w:val="16"/>
        </w:rPr>
        <w:t>:</w:t>
      </w:r>
      <w:r w:rsidR="00A748B3">
        <w:rPr>
          <w:bCs/>
          <w:iCs w:val="0"/>
          <w:szCs w:val="16"/>
        </w:rPr>
        <w:tab/>
      </w:r>
      <w:r w:rsidRPr="006B42D6">
        <w:rPr>
          <w:bCs/>
          <w:iCs w:val="0"/>
          <w:szCs w:val="16"/>
        </w:rPr>
        <w:t>Number of Households Received Extension Service Advices for Livestock by Region During 2019/20 Agricultural Year</w:t>
      </w:r>
      <w:r w:rsidR="009400E5" w:rsidRPr="006B42D6">
        <w:rPr>
          <w:bCs/>
          <w:iCs w:val="0"/>
          <w:szCs w:val="16"/>
        </w:rPr>
        <w:t xml:space="preserve">, Tanzania </w:t>
      </w:r>
      <w:r w:rsidRPr="006B42D6">
        <w:rPr>
          <w:bCs/>
          <w:iCs w:val="0"/>
          <w:szCs w:val="16"/>
        </w:rPr>
        <w:t>Zanzibar</w:t>
      </w:r>
      <w:bookmarkEnd w:id="734"/>
    </w:p>
    <w:p w14:paraId="55206F33" w14:textId="3ED488A3" w:rsidR="00EA393C" w:rsidRPr="006B42D6" w:rsidRDefault="001B26AC" w:rsidP="005C2EFC">
      <w:r w:rsidRPr="006B42D6">
        <w:rPr>
          <w:noProof/>
        </w:rPr>
        <w:drawing>
          <wp:inline distT="0" distB="0" distL="0" distR="0" wp14:anchorId="18311A62" wp14:editId="6E0FA4D1">
            <wp:extent cx="5351228" cy="2599690"/>
            <wp:effectExtent l="0" t="0" r="8255" b="16510"/>
            <wp:docPr id="34" name="Chart 15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6"/>
              </a:graphicData>
            </a:graphic>
          </wp:inline>
        </w:drawing>
      </w:r>
    </w:p>
    <w:p w14:paraId="5A58340B" w14:textId="77777777" w:rsidR="00970FB4" w:rsidRPr="006B42D6" w:rsidRDefault="00970FB4" w:rsidP="005C2EFC"/>
    <w:p w14:paraId="2DC91A76" w14:textId="3ED74B3B" w:rsidR="00D163D4" w:rsidRPr="006B42D6" w:rsidRDefault="00F51B40" w:rsidP="005C2EFC">
      <w:pPr>
        <w:pStyle w:val="Heading3"/>
      </w:pPr>
      <w:bookmarkStart w:id="735" w:name="_Toc82385772"/>
      <w:r w:rsidRPr="006B42D6">
        <w:t>4</w:t>
      </w:r>
      <w:r w:rsidR="00D163D4" w:rsidRPr="006B42D6">
        <w:t>.</w:t>
      </w:r>
      <w:r w:rsidR="00022347">
        <w:t>6</w:t>
      </w:r>
      <w:r w:rsidR="00D163D4" w:rsidRPr="006B42D6">
        <w:t>.</w:t>
      </w:r>
      <w:r w:rsidRPr="006B42D6">
        <w:t>1</w:t>
      </w:r>
      <w:r w:rsidR="0000655E" w:rsidRPr="006B42D6">
        <w:tab/>
      </w:r>
      <w:r w:rsidR="00D163D4" w:rsidRPr="006B42D6">
        <w:t xml:space="preserve">Extension Service Received by </w:t>
      </w:r>
      <w:r w:rsidR="00492932" w:rsidRPr="006B42D6">
        <w:t>H</w:t>
      </w:r>
      <w:r w:rsidR="00D163D4" w:rsidRPr="006B42D6">
        <w:t>ouseholds</w:t>
      </w:r>
      <w:bookmarkEnd w:id="735"/>
    </w:p>
    <w:p w14:paraId="1708DF6F" w14:textId="5EC2C806" w:rsidR="00D163D4" w:rsidRPr="006B42D6" w:rsidRDefault="00D163D4" w:rsidP="005C2EFC">
      <w:r w:rsidRPr="006B42D6">
        <w:t>The 2019/20 NSCA results show that, different extension advice</w:t>
      </w:r>
      <w:r w:rsidR="00227600" w:rsidRPr="006B42D6">
        <w:t>s</w:t>
      </w:r>
      <w:r w:rsidRPr="006B42D6">
        <w:t xml:space="preserve"> were provided to households rearing livestock.</w:t>
      </w:r>
      <w:r w:rsidRPr="006B42D6">
        <w:rPr>
          <w:noProof/>
        </w:rPr>
        <w:t xml:space="preserve"> The</w:t>
      </w:r>
      <w:r w:rsidRPr="006B42D6">
        <w:t xml:space="preserve"> extension advice on disease control was provided to majority of households in Tanzania (167,374; 18.0 percent), followed by feeds </w:t>
      </w:r>
      <w:r w:rsidR="00C163FF" w:rsidRPr="006B42D6">
        <w:t>and</w:t>
      </w:r>
      <w:r w:rsidRPr="006B42D6">
        <w:t xml:space="preserve"> proper feeding (129,039; 13.9 percent) and proper housing (100,391; 10.8 percent)</w:t>
      </w:r>
      <w:r w:rsidR="00C163FF" w:rsidRPr="006B42D6">
        <w:t>, while</w:t>
      </w:r>
      <w:r w:rsidRPr="006B42D6">
        <w:t xml:space="preserve"> </w:t>
      </w:r>
      <w:r w:rsidR="00C163FF" w:rsidRPr="006B42D6">
        <w:t xml:space="preserve">the </w:t>
      </w:r>
      <w:r w:rsidRPr="006B42D6">
        <w:t xml:space="preserve">least number of households </w:t>
      </w:r>
      <w:r w:rsidR="00C163FF" w:rsidRPr="006B42D6">
        <w:t xml:space="preserve">reported to </w:t>
      </w:r>
      <w:r w:rsidRPr="006B42D6">
        <w:t>receive</w:t>
      </w:r>
      <w:r w:rsidR="00C163FF" w:rsidRPr="006B42D6">
        <w:t xml:space="preserve"> </w:t>
      </w:r>
      <w:r w:rsidRPr="006B42D6">
        <w:t>extension advice on other messages (6,827; 0.7 percent</w:t>
      </w:r>
      <w:r w:rsidR="008C39AF" w:rsidRPr="006B42D6">
        <w:t>).</w:t>
      </w:r>
    </w:p>
    <w:p w14:paraId="2ED8A3B7" w14:textId="77777777" w:rsidR="00970FB4" w:rsidRPr="006B42D6" w:rsidRDefault="00970FB4" w:rsidP="000E5E14">
      <w:pPr>
        <w:spacing w:line="240" w:lineRule="auto"/>
      </w:pPr>
    </w:p>
    <w:p w14:paraId="4A707280" w14:textId="684E52D3" w:rsidR="00D163D4" w:rsidRPr="006B42D6" w:rsidRDefault="00D163D4" w:rsidP="005C2EFC">
      <w:r w:rsidRPr="006B42D6">
        <w:t xml:space="preserve">In </w:t>
      </w:r>
      <w:r w:rsidR="00EA1552">
        <w:t>Mainland Tanzania</w:t>
      </w:r>
      <w:r w:rsidRPr="006B42D6">
        <w:t xml:space="preserve">, the extension advice on disease control was received by majority of households (163,374; 17.9 percent), followed by </w:t>
      </w:r>
      <w:r w:rsidR="009400E5" w:rsidRPr="006B42D6">
        <w:t>f</w:t>
      </w:r>
      <w:r w:rsidRPr="006B42D6">
        <w:t xml:space="preserve">eeds and proper feeding (126, 559; 13.9 percent) and housing (98,792; 10.8 percent). The least number of households received extension advice was on </w:t>
      </w:r>
      <w:r w:rsidR="009400E5" w:rsidRPr="006B42D6">
        <w:t>g</w:t>
      </w:r>
      <w:r w:rsidR="00227600" w:rsidRPr="006B42D6">
        <w:t xml:space="preserve">roup formation and strengthening </w:t>
      </w:r>
      <w:r w:rsidRPr="006B42D6">
        <w:t>(</w:t>
      </w:r>
      <w:r w:rsidR="00227600" w:rsidRPr="006B42D6">
        <w:t>21,054</w:t>
      </w:r>
      <w:r w:rsidRPr="006B42D6">
        <w:t xml:space="preserve">; </w:t>
      </w:r>
      <w:r w:rsidR="00227600" w:rsidRPr="006B42D6">
        <w:t>2.3</w:t>
      </w:r>
      <w:r w:rsidRPr="006B42D6">
        <w:t xml:space="preserve"> percent) (</w:t>
      </w:r>
      <w:r w:rsidRPr="003F4D1F">
        <w:t xml:space="preserve">Table </w:t>
      </w:r>
      <w:r w:rsidR="000C0732" w:rsidRPr="003F4D1F">
        <w:t>4</w:t>
      </w:r>
      <w:r w:rsidRPr="003F4D1F">
        <w:t>.</w:t>
      </w:r>
      <w:r w:rsidR="003F4D1F">
        <w:t>20</w:t>
      </w:r>
      <w:r w:rsidRPr="006B42D6">
        <w:t>).</w:t>
      </w:r>
    </w:p>
    <w:p w14:paraId="1F451BE5" w14:textId="77777777" w:rsidR="00970FB4" w:rsidRPr="006B42D6" w:rsidRDefault="00970FB4" w:rsidP="000E5E14">
      <w:pPr>
        <w:spacing w:line="240" w:lineRule="auto"/>
      </w:pPr>
    </w:p>
    <w:p w14:paraId="56E575C9" w14:textId="07D33262" w:rsidR="00D163D4" w:rsidRPr="006B42D6" w:rsidRDefault="00D163D4" w:rsidP="005C2EFC">
      <w:r w:rsidRPr="006B42D6">
        <w:t xml:space="preserve">In </w:t>
      </w:r>
      <w:r w:rsidR="00645B2E" w:rsidRPr="006B42D6">
        <w:t xml:space="preserve">Tanzania </w:t>
      </w:r>
      <w:r w:rsidRPr="006B42D6">
        <w:t xml:space="preserve">Zanzibar, the extension advice on disease control was received by majority of households (4,000; 22.8 percent), followed by feeds and proper feeding (2,480; 14.2 percent) and </w:t>
      </w:r>
      <w:r w:rsidR="009400E5" w:rsidRPr="006B42D6">
        <w:t>c</w:t>
      </w:r>
      <w:r w:rsidRPr="006B42D6">
        <w:t>alf rearing (2</w:t>
      </w:r>
      <w:r w:rsidR="00A748B3">
        <w:t>,</w:t>
      </w:r>
      <w:r w:rsidRPr="006B42D6">
        <w:t>198; 12.5</w:t>
      </w:r>
      <w:r w:rsidR="00A748B3">
        <w:t xml:space="preserve"> </w:t>
      </w:r>
      <w:r w:rsidRPr="006B42D6">
        <w:t xml:space="preserve">percent). The least number of households received extension advice was on </w:t>
      </w:r>
      <w:r w:rsidR="009400E5" w:rsidRPr="006B42D6">
        <w:t>l</w:t>
      </w:r>
      <w:r w:rsidR="00227600" w:rsidRPr="006B42D6">
        <w:t xml:space="preserve">ivestock branding </w:t>
      </w:r>
      <w:r w:rsidRPr="006B42D6">
        <w:t>(</w:t>
      </w:r>
      <w:r w:rsidR="00227600" w:rsidRPr="006B42D6">
        <w:t>198</w:t>
      </w:r>
      <w:r w:rsidRPr="006B42D6">
        <w:t xml:space="preserve">; </w:t>
      </w:r>
      <w:r w:rsidR="00227600" w:rsidRPr="006B42D6">
        <w:t>1.1</w:t>
      </w:r>
      <w:r w:rsidRPr="006B42D6">
        <w:t xml:space="preserve"> percent) (Table </w:t>
      </w:r>
      <w:r w:rsidR="008C39AF" w:rsidRPr="006B42D6">
        <w:t>4.</w:t>
      </w:r>
      <w:r w:rsidR="00ED0537">
        <w:t>20</w:t>
      </w:r>
      <w:r w:rsidRPr="006B42D6">
        <w:t>)</w:t>
      </w:r>
      <w:r w:rsidR="009400E5" w:rsidRPr="006B42D6">
        <w:t>.</w:t>
      </w:r>
    </w:p>
    <w:p w14:paraId="4056230C" w14:textId="62ADA37A" w:rsidR="00D163D4" w:rsidRPr="006B42D6" w:rsidRDefault="003F5E45" w:rsidP="00E82155">
      <w:pPr>
        <w:pStyle w:val="Heading7"/>
        <w:ind w:right="-454"/>
        <w:rPr>
          <w:i/>
        </w:rPr>
      </w:pPr>
      <w:bookmarkStart w:id="736" w:name="_Toc82386228"/>
      <w:r w:rsidRPr="006B42D6">
        <w:lastRenderedPageBreak/>
        <w:t xml:space="preserve">Table </w:t>
      </w:r>
      <w:r w:rsidR="008C39AF" w:rsidRPr="006B42D6">
        <w:t>4.</w:t>
      </w:r>
      <w:r w:rsidR="00ED0537">
        <w:t>20</w:t>
      </w:r>
      <w:r w:rsidR="000E5E14">
        <w:t>:</w:t>
      </w:r>
      <w:r w:rsidR="004E48B6">
        <w:tab/>
      </w:r>
      <w:r w:rsidRPr="006B42D6">
        <w:t xml:space="preserve">Number and Percentage of </w:t>
      </w:r>
      <w:r w:rsidR="000C1F76" w:rsidRPr="006B42D6">
        <w:t>H</w:t>
      </w:r>
      <w:r w:rsidRPr="006B42D6">
        <w:t xml:space="preserve">ouseholds </w:t>
      </w:r>
      <w:r w:rsidR="000C1F76" w:rsidRPr="006B42D6">
        <w:t>R</w:t>
      </w:r>
      <w:r w:rsidRPr="006B42D6">
        <w:t xml:space="preserve">eceived </w:t>
      </w:r>
      <w:r w:rsidR="000C1F76" w:rsidRPr="006B42D6">
        <w:t>E</w:t>
      </w:r>
      <w:r w:rsidRPr="006B42D6">
        <w:t xml:space="preserve">xtension Services on Livestock by Type of Extension Advice for Livestock During 2019/20 </w:t>
      </w:r>
      <w:r w:rsidR="000C1F76" w:rsidRPr="006B42D6">
        <w:t>A</w:t>
      </w:r>
      <w:r w:rsidRPr="006B42D6">
        <w:t xml:space="preserve">gricultural </w:t>
      </w:r>
      <w:r w:rsidR="000C1F76" w:rsidRPr="006B42D6">
        <w:t>Y</w:t>
      </w:r>
      <w:r w:rsidRPr="006B42D6">
        <w:t>ear</w:t>
      </w:r>
      <w:r w:rsidR="009400E5" w:rsidRPr="006B42D6">
        <w:t>, Tanzania</w:t>
      </w:r>
      <w:bookmarkEnd w:id="736"/>
    </w:p>
    <w:tbl>
      <w:tblPr>
        <w:tblW w:w="9691" w:type="dxa"/>
        <w:tblLayout w:type="fixed"/>
        <w:tblLook w:val="04A0" w:firstRow="1" w:lastRow="0" w:firstColumn="1" w:lastColumn="0" w:noHBand="0" w:noVBand="1"/>
      </w:tblPr>
      <w:tblGrid>
        <w:gridCol w:w="2835"/>
        <w:gridCol w:w="1423"/>
        <w:gridCol w:w="897"/>
        <w:gridCol w:w="1423"/>
        <w:gridCol w:w="845"/>
        <w:gridCol w:w="1423"/>
        <w:gridCol w:w="845"/>
      </w:tblGrid>
      <w:tr w:rsidR="004E48B6" w:rsidRPr="006B42D6" w14:paraId="5C894F8B" w14:textId="77777777" w:rsidTr="00AC6872">
        <w:trPr>
          <w:trHeight w:val="259"/>
        </w:trPr>
        <w:tc>
          <w:tcPr>
            <w:tcW w:w="2835" w:type="dxa"/>
            <w:vMerge w:val="restart"/>
            <w:tcBorders>
              <w:top w:val="single" w:sz="4" w:space="0" w:color="auto"/>
              <w:left w:val="nil"/>
              <w:bottom w:val="single" w:sz="4" w:space="0" w:color="auto"/>
              <w:right w:val="nil"/>
            </w:tcBorders>
            <w:shd w:val="clear" w:color="auto" w:fill="E2EFD9" w:themeFill="accent6" w:themeFillTint="33"/>
            <w:vAlign w:val="center"/>
            <w:hideMark/>
          </w:tcPr>
          <w:p w14:paraId="438B55EE" w14:textId="77777777" w:rsidR="00D163D4" w:rsidRPr="006B42D6" w:rsidRDefault="00D163D4" w:rsidP="008D15E1">
            <w:pPr>
              <w:spacing w:line="240" w:lineRule="auto"/>
              <w:rPr>
                <w:sz w:val="18"/>
                <w:szCs w:val="18"/>
                <w:lang w:eastAsia="uz-Cyrl-UZ"/>
              </w:rPr>
            </w:pPr>
            <w:r w:rsidRPr="006B42D6">
              <w:rPr>
                <w:sz w:val="18"/>
                <w:szCs w:val="18"/>
                <w:lang w:eastAsia="uz-Cyrl-UZ"/>
              </w:rPr>
              <w:t>Extension Advice</w:t>
            </w:r>
          </w:p>
        </w:tc>
        <w:tc>
          <w:tcPr>
            <w:tcW w:w="2320" w:type="dxa"/>
            <w:gridSpan w:val="2"/>
            <w:tcBorders>
              <w:top w:val="single" w:sz="4" w:space="0" w:color="auto"/>
              <w:left w:val="nil"/>
              <w:bottom w:val="single" w:sz="4" w:space="0" w:color="auto"/>
              <w:right w:val="nil"/>
            </w:tcBorders>
            <w:shd w:val="clear" w:color="auto" w:fill="E2EFD9" w:themeFill="accent6" w:themeFillTint="33"/>
            <w:vAlign w:val="center"/>
            <w:hideMark/>
          </w:tcPr>
          <w:p w14:paraId="536C6BBE" w14:textId="77777777" w:rsidR="00D163D4" w:rsidRPr="006B42D6" w:rsidRDefault="00D163D4" w:rsidP="008D15E1">
            <w:pPr>
              <w:spacing w:line="240" w:lineRule="auto"/>
              <w:jc w:val="center"/>
              <w:rPr>
                <w:sz w:val="18"/>
                <w:szCs w:val="18"/>
                <w:lang w:val="uz-Cyrl-UZ" w:eastAsia="uz-Cyrl-UZ"/>
              </w:rPr>
            </w:pPr>
            <w:r w:rsidRPr="006B42D6">
              <w:rPr>
                <w:sz w:val="18"/>
                <w:szCs w:val="18"/>
                <w:lang w:val="uz-Cyrl-UZ" w:eastAsia="uz-Cyrl-UZ"/>
              </w:rPr>
              <w:t>Tanzania</w:t>
            </w:r>
          </w:p>
        </w:tc>
        <w:tc>
          <w:tcPr>
            <w:tcW w:w="2268" w:type="dxa"/>
            <w:gridSpan w:val="2"/>
            <w:tcBorders>
              <w:top w:val="single" w:sz="4" w:space="0" w:color="auto"/>
              <w:left w:val="single" w:sz="4" w:space="0" w:color="auto"/>
              <w:bottom w:val="single" w:sz="4" w:space="0" w:color="auto"/>
              <w:right w:val="single" w:sz="4" w:space="0" w:color="000000"/>
            </w:tcBorders>
            <w:shd w:val="clear" w:color="auto" w:fill="E2EFD9" w:themeFill="accent6" w:themeFillTint="33"/>
            <w:vAlign w:val="center"/>
            <w:hideMark/>
          </w:tcPr>
          <w:p w14:paraId="016E4187" w14:textId="4C038C32" w:rsidR="00D163D4" w:rsidRPr="000D6D7E" w:rsidRDefault="00D163D4" w:rsidP="008D15E1">
            <w:pPr>
              <w:spacing w:line="240" w:lineRule="auto"/>
              <w:jc w:val="center"/>
              <w:rPr>
                <w:sz w:val="18"/>
                <w:szCs w:val="18"/>
                <w:lang w:eastAsia="uz-Cyrl-UZ"/>
              </w:rPr>
            </w:pPr>
            <w:r w:rsidRPr="006B42D6">
              <w:rPr>
                <w:sz w:val="18"/>
                <w:szCs w:val="18"/>
                <w:lang w:val="uz-Cyrl-UZ" w:eastAsia="uz-Cyrl-UZ"/>
              </w:rPr>
              <w:t>Mainland</w:t>
            </w:r>
            <w:r w:rsidR="000D6D7E">
              <w:rPr>
                <w:sz w:val="18"/>
                <w:szCs w:val="18"/>
                <w:lang w:eastAsia="uz-Cyrl-UZ"/>
              </w:rPr>
              <w:t xml:space="preserve"> Tanzania</w:t>
            </w:r>
          </w:p>
        </w:tc>
        <w:tc>
          <w:tcPr>
            <w:tcW w:w="2268" w:type="dxa"/>
            <w:gridSpan w:val="2"/>
            <w:tcBorders>
              <w:top w:val="single" w:sz="4" w:space="0" w:color="auto"/>
              <w:left w:val="nil"/>
              <w:bottom w:val="single" w:sz="4" w:space="0" w:color="auto"/>
              <w:right w:val="nil"/>
            </w:tcBorders>
            <w:shd w:val="clear" w:color="auto" w:fill="E2EFD9" w:themeFill="accent6" w:themeFillTint="33"/>
            <w:vAlign w:val="center"/>
            <w:hideMark/>
          </w:tcPr>
          <w:p w14:paraId="7DD481ED" w14:textId="50A1D62E" w:rsidR="00D163D4" w:rsidRPr="006B42D6" w:rsidRDefault="000D6D7E" w:rsidP="008D15E1">
            <w:pPr>
              <w:spacing w:line="240" w:lineRule="auto"/>
              <w:jc w:val="center"/>
              <w:rPr>
                <w:sz w:val="18"/>
                <w:szCs w:val="18"/>
                <w:lang w:val="uz-Cyrl-UZ" w:eastAsia="uz-Cyrl-UZ"/>
              </w:rPr>
            </w:pPr>
            <w:r>
              <w:rPr>
                <w:sz w:val="18"/>
                <w:szCs w:val="18"/>
                <w:lang w:eastAsia="uz-Cyrl-UZ"/>
              </w:rPr>
              <w:t xml:space="preserve">Tanzania </w:t>
            </w:r>
            <w:r w:rsidR="00D163D4" w:rsidRPr="006B42D6">
              <w:rPr>
                <w:sz w:val="18"/>
                <w:szCs w:val="18"/>
                <w:lang w:val="uz-Cyrl-UZ" w:eastAsia="uz-Cyrl-UZ"/>
              </w:rPr>
              <w:t>Zanzibar</w:t>
            </w:r>
          </w:p>
        </w:tc>
      </w:tr>
      <w:tr w:rsidR="004E48B6" w:rsidRPr="006B42D6" w14:paraId="515D0D4A" w14:textId="77777777" w:rsidTr="008D15E1">
        <w:trPr>
          <w:trHeight w:val="535"/>
        </w:trPr>
        <w:tc>
          <w:tcPr>
            <w:tcW w:w="2835" w:type="dxa"/>
            <w:vMerge/>
            <w:tcBorders>
              <w:top w:val="single" w:sz="4" w:space="0" w:color="auto"/>
              <w:left w:val="nil"/>
              <w:bottom w:val="single" w:sz="4" w:space="0" w:color="auto"/>
              <w:right w:val="nil"/>
            </w:tcBorders>
            <w:shd w:val="clear" w:color="auto" w:fill="E2EFD9" w:themeFill="accent6" w:themeFillTint="33"/>
            <w:vAlign w:val="center"/>
            <w:hideMark/>
          </w:tcPr>
          <w:p w14:paraId="1ABD62D6" w14:textId="77777777" w:rsidR="00D163D4" w:rsidRPr="006B42D6" w:rsidRDefault="00D163D4" w:rsidP="008D15E1">
            <w:pPr>
              <w:spacing w:line="240" w:lineRule="auto"/>
              <w:rPr>
                <w:sz w:val="18"/>
                <w:szCs w:val="18"/>
                <w:lang w:val="uz-Cyrl-UZ" w:eastAsia="uz-Cyrl-UZ"/>
              </w:rPr>
            </w:pPr>
          </w:p>
        </w:tc>
        <w:tc>
          <w:tcPr>
            <w:tcW w:w="1423" w:type="dxa"/>
            <w:tcBorders>
              <w:top w:val="nil"/>
              <w:left w:val="nil"/>
              <w:bottom w:val="single" w:sz="4" w:space="0" w:color="auto"/>
              <w:right w:val="nil"/>
            </w:tcBorders>
            <w:shd w:val="clear" w:color="auto" w:fill="E2EFD9" w:themeFill="accent6" w:themeFillTint="33"/>
            <w:vAlign w:val="center"/>
            <w:hideMark/>
          </w:tcPr>
          <w:p w14:paraId="6E856F53" w14:textId="3BFD7C9D" w:rsidR="00D163D4" w:rsidRPr="006B42D6" w:rsidRDefault="00D163D4" w:rsidP="008D15E1">
            <w:pPr>
              <w:spacing w:line="240" w:lineRule="auto"/>
              <w:jc w:val="center"/>
              <w:rPr>
                <w:sz w:val="18"/>
                <w:szCs w:val="18"/>
                <w:lang w:val="uz-Cyrl-UZ" w:eastAsia="uz-Cyrl-UZ"/>
              </w:rPr>
            </w:pPr>
            <w:r w:rsidRPr="006B42D6">
              <w:rPr>
                <w:sz w:val="18"/>
                <w:szCs w:val="18"/>
                <w:lang w:val="uz-Cyrl-UZ" w:eastAsia="uz-Cyrl-UZ"/>
              </w:rPr>
              <w:t>Number</w:t>
            </w:r>
            <w:r w:rsidR="00A748B3">
              <w:rPr>
                <w:sz w:val="18"/>
                <w:szCs w:val="18"/>
                <w:lang w:eastAsia="uz-Cyrl-UZ"/>
              </w:rPr>
              <w:t xml:space="preserve"> </w:t>
            </w:r>
            <w:r w:rsidRPr="006B42D6">
              <w:rPr>
                <w:sz w:val="18"/>
                <w:szCs w:val="18"/>
                <w:lang w:val="uz-Cyrl-UZ" w:eastAsia="uz-Cyrl-UZ"/>
              </w:rPr>
              <w:t>of Households</w:t>
            </w:r>
          </w:p>
        </w:tc>
        <w:tc>
          <w:tcPr>
            <w:tcW w:w="897" w:type="dxa"/>
            <w:tcBorders>
              <w:top w:val="nil"/>
              <w:left w:val="nil"/>
              <w:bottom w:val="single" w:sz="4" w:space="0" w:color="auto"/>
              <w:right w:val="nil"/>
            </w:tcBorders>
            <w:shd w:val="clear" w:color="auto" w:fill="E2EFD9" w:themeFill="accent6" w:themeFillTint="33"/>
            <w:vAlign w:val="center"/>
            <w:hideMark/>
          </w:tcPr>
          <w:p w14:paraId="100CBD37" w14:textId="77777777" w:rsidR="00D163D4" w:rsidRPr="006B42D6" w:rsidRDefault="00D163D4" w:rsidP="008D15E1">
            <w:pPr>
              <w:spacing w:line="240" w:lineRule="auto"/>
              <w:jc w:val="center"/>
              <w:rPr>
                <w:sz w:val="18"/>
                <w:szCs w:val="18"/>
                <w:lang w:val="uz-Cyrl-UZ" w:eastAsia="uz-Cyrl-UZ"/>
              </w:rPr>
            </w:pPr>
            <w:r w:rsidRPr="006B42D6">
              <w:rPr>
                <w:sz w:val="18"/>
                <w:szCs w:val="18"/>
                <w:lang w:val="uz-Cyrl-UZ" w:eastAsia="uz-Cyrl-UZ"/>
              </w:rPr>
              <w:t>Percent</w:t>
            </w:r>
          </w:p>
        </w:tc>
        <w:tc>
          <w:tcPr>
            <w:tcW w:w="1423" w:type="dxa"/>
            <w:tcBorders>
              <w:top w:val="nil"/>
              <w:left w:val="single" w:sz="4" w:space="0" w:color="auto"/>
              <w:bottom w:val="single" w:sz="4" w:space="0" w:color="auto"/>
              <w:right w:val="nil"/>
            </w:tcBorders>
            <w:shd w:val="clear" w:color="auto" w:fill="E2EFD9" w:themeFill="accent6" w:themeFillTint="33"/>
            <w:vAlign w:val="center"/>
            <w:hideMark/>
          </w:tcPr>
          <w:p w14:paraId="53C39669" w14:textId="77777777" w:rsidR="00D163D4" w:rsidRPr="006B42D6" w:rsidRDefault="00D163D4" w:rsidP="008D15E1">
            <w:pPr>
              <w:spacing w:line="240" w:lineRule="auto"/>
              <w:jc w:val="center"/>
              <w:rPr>
                <w:sz w:val="18"/>
                <w:szCs w:val="18"/>
                <w:lang w:val="uz-Cyrl-UZ" w:eastAsia="uz-Cyrl-UZ"/>
              </w:rPr>
            </w:pPr>
            <w:r w:rsidRPr="006B42D6">
              <w:rPr>
                <w:sz w:val="18"/>
                <w:szCs w:val="18"/>
                <w:lang w:val="uz-Cyrl-UZ" w:eastAsia="uz-Cyrl-UZ"/>
              </w:rPr>
              <w:t>Number of Households</w:t>
            </w:r>
          </w:p>
        </w:tc>
        <w:tc>
          <w:tcPr>
            <w:tcW w:w="845" w:type="dxa"/>
            <w:tcBorders>
              <w:top w:val="nil"/>
              <w:left w:val="nil"/>
              <w:bottom w:val="single" w:sz="4" w:space="0" w:color="auto"/>
              <w:right w:val="single" w:sz="4" w:space="0" w:color="auto"/>
            </w:tcBorders>
            <w:shd w:val="clear" w:color="auto" w:fill="E2EFD9" w:themeFill="accent6" w:themeFillTint="33"/>
            <w:vAlign w:val="center"/>
            <w:hideMark/>
          </w:tcPr>
          <w:p w14:paraId="116E132A" w14:textId="77777777" w:rsidR="00D163D4" w:rsidRPr="006B42D6" w:rsidRDefault="00D163D4" w:rsidP="008D15E1">
            <w:pPr>
              <w:spacing w:line="240" w:lineRule="auto"/>
              <w:jc w:val="center"/>
              <w:rPr>
                <w:sz w:val="18"/>
                <w:szCs w:val="18"/>
                <w:lang w:val="uz-Cyrl-UZ" w:eastAsia="uz-Cyrl-UZ"/>
              </w:rPr>
            </w:pPr>
            <w:r w:rsidRPr="006B42D6">
              <w:rPr>
                <w:sz w:val="18"/>
                <w:szCs w:val="18"/>
                <w:lang w:val="uz-Cyrl-UZ" w:eastAsia="uz-Cyrl-UZ"/>
              </w:rPr>
              <w:t>Percent</w:t>
            </w:r>
          </w:p>
        </w:tc>
        <w:tc>
          <w:tcPr>
            <w:tcW w:w="1423" w:type="dxa"/>
            <w:tcBorders>
              <w:top w:val="nil"/>
              <w:left w:val="nil"/>
              <w:bottom w:val="single" w:sz="4" w:space="0" w:color="auto"/>
              <w:right w:val="nil"/>
            </w:tcBorders>
            <w:shd w:val="clear" w:color="auto" w:fill="E2EFD9" w:themeFill="accent6" w:themeFillTint="33"/>
            <w:vAlign w:val="center"/>
            <w:hideMark/>
          </w:tcPr>
          <w:p w14:paraId="46E1DDA4" w14:textId="77777777" w:rsidR="00D163D4" w:rsidRPr="006B42D6" w:rsidRDefault="00D163D4" w:rsidP="008D15E1">
            <w:pPr>
              <w:spacing w:line="240" w:lineRule="auto"/>
              <w:jc w:val="center"/>
              <w:rPr>
                <w:sz w:val="18"/>
                <w:szCs w:val="18"/>
                <w:lang w:val="uz-Cyrl-UZ" w:eastAsia="uz-Cyrl-UZ"/>
              </w:rPr>
            </w:pPr>
            <w:r w:rsidRPr="006B42D6">
              <w:rPr>
                <w:sz w:val="18"/>
                <w:szCs w:val="18"/>
                <w:lang w:val="uz-Cyrl-UZ" w:eastAsia="uz-Cyrl-UZ"/>
              </w:rPr>
              <w:t>Number of Households</w:t>
            </w:r>
          </w:p>
        </w:tc>
        <w:tc>
          <w:tcPr>
            <w:tcW w:w="845" w:type="dxa"/>
            <w:tcBorders>
              <w:top w:val="nil"/>
              <w:left w:val="nil"/>
              <w:bottom w:val="single" w:sz="4" w:space="0" w:color="auto"/>
              <w:right w:val="nil"/>
            </w:tcBorders>
            <w:shd w:val="clear" w:color="auto" w:fill="E2EFD9" w:themeFill="accent6" w:themeFillTint="33"/>
            <w:vAlign w:val="center"/>
            <w:hideMark/>
          </w:tcPr>
          <w:p w14:paraId="6200BCEF" w14:textId="77777777" w:rsidR="00D163D4" w:rsidRPr="006B42D6" w:rsidRDefault="00D163D4" w:rsidP="008D15E1">
            <w:pPr>
              <w:spacing w:line="240" w:lineRule="auto"/>
              <w:jc w:val="center"/>
              <w:rPr>
                <w:sz w:val="18"/>
                <w:szCs w:val="18"/>
                <w:lang w:val="uz-Cyrl-UZ" w:eastAsia="uz-Cyrl-UZ"/>
              </w:rPr>
            </w:pPr>
            <w:r w:rsidRPr="006B42D6">
              <w:rPr>
                <w:sz w:val="18"/>
                <w:szCs w:val="18"/>
                <w:lang w:val="uz-Cyrl-UZ" w:eastAsia="uz-Cyrl-UZ"/>
              </w:rPr>
              <w:t>Percent</w:t>
            </w:r>
          </w:p>
        </w:tc>
      </w:tr>
      <w:tr w:rsidR="004E48B6" w:rsidRPr="006B42D6" w14:paraId="66B8AF43" w14:textId="77777777" w:rsidTr="004E48B6">
        <w:trPr>
          <w:trHeight w:hRule="exact" w:val="340"/>
        </w:trPr>
        <w:tc>
          <w:tcPr>
            <w:tcW w:w="2835" w:type="dxa"/>
            <w:tcBorders>
              <w:top w:val="nil"/>
              <w:left w:val="nil"/>
              <w:bottom w:val="nil"/>
              <w:right w:val="nil"/>
            </w:tcBorders>
            <w:shd w:val="clear" w:color="auto" w:fill="auto"/>
            <w:vAlign w:val="center"/>
            <w:hideMark/>
          </w:tcPr>
          <w:p w14:paraId="79D3C25F" w14:textId="69D10E63" w:rsidR="00D163D4" w:rsidRPr="006B42D6" w:rsidRDefault="00D163D4" w:rsidP="004E48B6">
            <w:pPr>
              <w:jc w:val="left"/>
              <w:rPr>
                <w:sz w:val="18"/>
                <w:szCs w:val="18"/>
                <w:lang w:val="uz-Cyrl-UZ" w:eastAsia="uz-Cyrl-UZ"/>
              </w:rPr>
            </w:pPr>
            <w:r w:rsidRPr="006B42D6">
              <w:rPr>
                <w:sz w:val="18"/>
                <w:szCs w:val="18"/>
                <w:lang w:val="uz-Cyrl-UZ" w:eastAsia="uz-Cyrl-UZ"/>
              </w:rPr>
              <w:t xml:space="preserve">Feeds and </w:t>
            </w:r>
            <w:r w:rsidR="000D56D1" w:rsidRPr="006B42D6">
              <w:rPr>
                <w:sz w:val="18"/>
                <w:szCs w:val="18"/>
                <w:lang w:val="uz-Cyrl-UZ" w:eastAsia="uz-Cyrl-UZ"/>
              </w:rPr>
              <w:t>proper feeding</w:t>
            </w:r>
          </w:p>
        </w:tc>
        <w:tc>
          <w:tcPr>
            <w:tcW w:w="1423" w:type="dxa"/>
            <w:tcBorders>
              <w:top w:val="nil"/>
              <w:left w:val="nil"/>
              <w:bottom w:val="nil"/>
              <w:right w:val="nil"/>
            </w:tcBorders>
            <w:shd w:val="clear" w:color="auto" w:fill="auto"/>
            <w:noWrap/>
            <w:vAlign w:val="center"/>
            <w:hideMark/>
          </w:tcPr>
          <w:p w14:paraId="4BD4A555" w14:textId="3286C641" w:rsidR="00D163D4" w:rsidRPr="006B42D6" w:rsidRDefault="00D163D4" w:rsidP="004E48B6">
            <w:pPr>
              <w:jc w:val="center"/>
              <w:rPr>
                <w:sz w:val="18"/>
                <w:szCs w:val="18"/>
                <w:lang w:val="uz-Cyrl-UZ" w:eastAsia="uz-Cyrl-UZ"/>
              </w:rPr>
            </w:pPr>
            <w:r w:rsidRPr="006B42D6">
              <w:rPr>
                <w:sz w:val="18"/>
                <w:szCs w:val="18"/>
                <w:lang w:val="uz-Cyrl-UZ" w:eastAsia="uz-Cyrl-UZ"/>
              </w:rPr>
              <w:t>129,039</w:t>
            </w:r>
          </w:p>
        </w:tc>
        <w:tc>
          <w:tcPr>
            <w:tcW w:w="897" w:type="dxa"/>
            <w:tcBorders>
              <w:top w:val="nil"/>
              <w:left w:val="nil"/>
              <w:bottom w:val="nil"/>
              <w:right w:val="single" w:sz="4" w:space="0" w:color="auto"/>
            </w:tcBorders>
            <w:shd w:val="clear" w:color="auto" w:fill="auto"/>
            <w:noWrap/>
            <w:vAlign w:val="center"/>
            <w:hideMark/>
          </w:tcPr>
          <w:p w14:paraId="37D77A3B" w14:textId="300D83B9" w:rsidR="00D163D4" w:rsidRPr="006B42D6" w:rsidRDefault="00D163D4" w:rsidP="004E48B6">
            <w:pPr>
              <w:jc w:val="center"/>
              <w:rPr>
                <w:sz w:val="18"/>
                <w:szCs w:val="18"/>
                <w:lang w:val="uz-Cyrl-UZ" w:eastAsia="uz-Cyrl-UZ"/>
              </w:rPr>
            </w:pPr>
            <w:r w:rsidRPr="006B42D6">
              <w:rPr>
                <w:sz w:val="18"/>
                <w:szCs w:val="18"/>
                <w:lang w:val="uz-Cyrl-UZ" w:eastAsia="uz-Cyrl-UZ"/>
              </w:rPr>
              <w:t>13.9</w:t>
            </w:r>
          </w:p>
        </w:tc>
        <w:tc>
          <w:tcPr>
            <w:tcW w:w="1423" w:type="dxa"/>
            <w:tcBorders>
              <w:top w:val="nil"/>
              <w:left w:val="nil"/>
              <w:bottom w:val="nil"/>
              <w:right w:val="nil"/>
            </w:tcBorders>
            <w:shd w:val="clear" w:color="auto" w:fill="auto"/>
            <w:noWrap/>
            <w:vAlign w:val="center"/>
            <w:hideMark/>
          </w:tcPr>
          <w:p w14:paraId="607906CB" w14:textId="6E027646" w:rsidR="00D163D4" w:rsidRPr="006B42D6" w:rsidRDefault="00D163D4" w:rsidP="004E48B6">
            <w:pPr>
              <w:jc w:val="center"/>
              <w:rPr>
                <w:sz w:val="18"/>
                <w:szCs w:val="18"/>
                <w:lang w:val="uz-Cyrl-UZ" w:eastAsia="uz-Cyrl-UZ"/>
              </w:rPr>
            </w:pPr>
            <w:r w:rsidRPr="006B42D6">
              <w:rPr>
                <w:sz w:val="18"/>
                <w:szCs w:val="18"/>
                <w:lang w:val="uz-Cyrl-UZ" w:eastAsia="uz-Cyrl-UZ"/>
              </w:rPr>
              <w:t>126,559</w:t>
            </w:r>
          </w:p>
        </w:tc>
        <w:tc>
          <w:tcPr>
            <w:tcW w:w="845" w:type="dxa"/>
            <w:tcBorders>
              <w:top w:val="nil"/>
              <w:left w:val="nil"/>
              <w:bottom w:val="nil"/>
              <w:right w:val="single" w:sz="4" w:space="0" w:color="auto"/>
            </w:tcBorders>
            <w:shd w:val="clear" w:color="auto" w:fill="auto"/>
            <w:noWrap/>
            <w:vAlign w:val="center"/>
            <w:hideMark/>
          </w:tcPr>
          <w:p w14:paraId="1E068007" w14:textId="27348B09" w:rsidR="00D163D4" w:rsidRPr="006B42D6" w:rsidRDefault="00D163D4" w:rsidP="004E48B6">
            <w:pPr>
              <w:jc w:val="center"/>
              <w:rPr>
                <w:sz w:val="18"/>
                <w:szCs w:val="18"/>
                <w:lang w:val="uz-Cyrl-UZ" w:eastAsia="uz-Cyrl-UZ"/>
              </w:rPr>
            </w:pPr>
            <w:r w:rsidRPr="006B42D6">
              <w:rPr>
                <w:sz w:val="18"/>
                <w:szCs w:val="18"/>
                <w:lang w:val="uz-Cyrl-UZ" w:eastAsia="uz-Cyrl-UZ"/>
              </w:rPr>
              <w:t>13.9</w:t>
            </w:r>
          </w:p>
        </w:tc>
        <w:tc>
          <w:tcPr>
            <w:tcW w:w="1423" w:type="dxa"/>
            <w:tcBorders>
              <w:top w:val="nil"/>
              <w:left w:val="nil"/>
              <w:bottom w:val="nil"/>
              <w:right w:val="nil"/>
            </w:tcBorders>
            <w:shd w:val="clear" w:color="auto" w:fill="auto"/>
            <w:noWrap/>
            <w:vAlign w:val="center"/>
            <w:hideMark/>
          </w:tcPr>
          <w:p w14:paraId="7A6A3DB1" w14:textId="506707F8" w:rsidR="00D163D4" w:rsidRPr="006B42D6" w:rsidRDefault="00D163D4" w:rsidP="004E48B6">
            <w:pPr>
              <w:jc w:val="center"/>
              <w:rPr>
                <w:sz w:val="18"/>
                <w:szCs w:val="18"/>
                <w:lang w:val="uz-Cyrl-UZ" w:eastAsia="uz-Cyrl-UZ"/>
              </w:rPr>
            </w:pPr>
            <w:r w:rsidRPr="006B42D6">
              <w:rPr>
                <w:sz w:val="18"/>
                <w:szCs w:val="18"/>
                <w:lang w:val="uz-Cyrl-UZ" w:eastAsia="uz-Cyrl-UZ"/>
              </w:rPr>
              <w:t>2,480</w:t>
            </w:r>
          </w:p>
        </w:tc>
        <w:tc>
          <w:tcPr>
            <w:tcW w:w="845" w:type="dxa"/>
            <w:tcBorders>
              <w:top w:val="nil"/>
              <w:left w:val="nil"/>
              <w:bottom w:val="nil"/>
              <w:right w:val="nil"/>
            </w:tcBorders>
            <w:shd w:val="clear" w:color="auto" w:fill="auto"/>
            <w:noWrap/>
            <w:vAlign w:val="center"/>
            <w:hideMark/>
          </w:tcPr>
          <w:p w14:paraId="58CDB57F" w14:textId="51114D30" w:rsidR="00D163D4" w:rsidRPr="006B42D6" w:rsidRDefault="00D163D4" w:rsidP="004E48B6">
            <w:pPr>
              <w:jc w:val="center"/>
              <w:rPr>
                <w:sz w:val="18"/>
                <w:szCs w:val="18"/>
                <w:lang w:val="uz-Cyrl-UZ" w:eastAsia="uz-Cyrl-UZ"/>
              </w:rPr>
            </w:pPr>
            <w:r w:rsidRPr="006B42D6">
              <w:rPr>
                <w:sz w:val="18"/>
                <w:szCs w:val="18"/>
                <w:lang w:val="uz-Cyrl-UZ" w:eastAsia="uz-Cyrl-UZ"/>
              </w:rPr>
              <w:t>14.2</w:t>
            </w:r>
          </w:p>
        </w:tc>
      </w:tr>
      <w:tr w:rsidR="004E48B6" w:rsidRPr="006B42D6" w14:paraId="5C196A7E" w14:textId="77777777" w:rsidTr="004E48B6">
        <w:trPr>
          <w:trHeight w:hRule="exact" w:val="340"/>
        </w:trPr>
        <w:tc>
          <w:tcPr>
            <w:tcW w:w="2835" w:type="dxa"/>
            <w:tcBorders>
              <w:top w:val="nil"/>
              <w:left w:val="nil"/>
              <w:bottom w:val="nil"/>
              <w:right w:val="nil"/>
            </w:tcBorders>
            <w:shd w:val="clear" w:color="auto" w:fill="auto"/>
            <w:vAlign w:val="center"/>
            <w:hideMark/>
          </w:tcPr>
          <w:p w14:paraId="56288D48" w14:textId="41B16D4C" w:rsidR="00D163D4" w:rsidRPr="006B42D6" w:rsidRDefault="00D163D4" w:rsidP="004E48B6">
            <w:pPr>
              <w:jc w:val="left"/>
              <w:rPr>
                <w:sz w:val="18"/>
                <w:szCs w:val="18"/>
                <w:lang w:val="uz-Cyrl-UZ" w:eastAsia="uz-Cyrl-UZ"/>
              </w:rPr>
            </w:pPr>
            <w:r w:rsidRPr="006B42D6">
              <w:rPr>
                <w:sz w:val="18"/>
                <w:szCs w:val="18"/>
                <w:lang w:eastAsia="uz-Cyrl-UZ"/>
              </w:rPr>
              <w:t>Proper h</w:t>
            </w:r>
            <w:r w:rsidRPr="006B42D6">
              <w:rPr>
                <w:sz w:val="18"/>
                <w:szCs w:val="18"/>
                <w:lang w:val="uz-Cyrl-UZ" w:eastAsia="uz-Cyrl-UZ"/>
              </w:rPr>
              <w:t>ousing</w:t>
            </w:r>
          </w:p>
        </w:tc>
        <w:tc>
          <w:tcPr>
            <w:tcW w:w="1423" w:type="dxa"/>
            <w:tcBorders>
              <w:top w:val="nil"/>
              <w:left w:val="nil"/>
              <w:bottom w:val="nil"/>
              <w:right w:val="nil"/>
            </w:tcBorders>
            <w:shd w:val="clear" w:color="auto" w:fill="auto"/>
            <w:noWrap/>
            <w:vAlign w:val="center"/>
            <w:hideMark/>
          </w:tcPr>
          <w:p w14:paraId="6CC0EB3B" w14:textId="4B729DD3" w:rsidR="00D163D4" w:rsidRPr="006B42D6" w:rsidRDefault="00D163D4" w:rsidP="004E48B6">
            <w:pPr>
              <w:jc w:val="center"/>
              <w:rPr>
                <w:sz w:val="18"/>
                <w:szCs w:val="18"/>
                <w:lang w:val="uz-Cyrl-UZ" w:eastAsia="uz-Cyrl-UZ"/>
              </w:rPr>
            </w:pPr>
            <w:r w:rsidRPr="006B42D6">
              <w:rPr>
                <w:sz w:val="18"/>
                <w:szCs w:val="18"/>
                <w:lang w:val="uz-Cyrl-UZ" w:eastAsia="uz-Cyrl-UZ"/>
              </w:rPr>
              <w:t>100,391</w:t>
            </w:r>
          </w:p>
        </w:tc>
        <w:tc>
          <w:tcPr>
            <w:tcW w:w="897" w:type="dxa"/>
            <w:tcBorders>
              <w:top w:val="nil"/>
              <w:left w:val="nil"/>
              <w:bottom w:val="nil"/>
              <w:right w:val="single" w:sz="4" w:space="0" w:color="auto"/>
            </w:tcBorders>
            <w:shd w:val="clear" w:color="auto" w:fill="auto"/>
            <w:noWrap/>
            <w:vAlign w:val="center"/>
            <w:hideMark/>
          </w:tcPr>
          <w:p w14:paraId="400D1BBD" w14:textId="13D4FB3D" w:rsidR="00D163D4" w:rsidRPr="006B42D6" w:rsidRDefault="00D163D4" w:rsidP="004E48B6">
            <w:pPr>
              <w:jc w:val="center"/>
              <w:rPr>
                <w:sz w:val="18"/>
                <w:szCs w:val="18"/>
                <w:lang w:val="uz-Cyrl-UZ" w:eastAsia="uz-Cyrl-UZ"/>
              </w:rPr>
            </w:pPr>
            <w:r w:rsidRPr="006B42D6">
              <w:rPr>
                <w:sz w:val="18"/>
                <w:szCs w:val="18"/>
                <w:lang w:val="uz-Cyrl-UZ" w:eastAsia="uz-Cyrl-UZ"/>
              </w:rPr>
              <w:t>10.8</w:t>
            </w:r>
          </w:p>
        </w:tc>
        <w:tc>
          <w:tcPr>
            <w:tcW w:w="1423" w:type="dxa"/>
            <w:tcBorders>
              <w:top w:val="nil"/>
              <w:left w:val="nil"/>
              <w:bottom w:val="nil"/>
              <w:right w:val="nil"/>
            </w:tcBorders>
            <w:shd w:val="clear" w:color="auto" w:fill="auto"/>
            <w:noWrap/>
            <w:vAlign w:val="center"/>
            <w:hideMark/>
          </w:tcPr>
          <w:p w14:paraId="51EDEB50" w14:textId="46A89451" w:rsidR="00D163D4" w:rsidRPr="006B42D6" w:rsidRDefault="00D163D4" w:rsidP="004E48B6">
            <w:pPr>
              <w:jc w:val="center"/>
              <w:rPr>
                <w:sz w:val="18"/>
                <w:szCs w:val="18"/>
                <w:lang w:val="uz-Cyrl-UZ" w:eastAsia="uz-Cyrl-UZ"/>
              </w:rPr>
            </w:pPr>
            <w:r w:rsidRPr="006B42D6">
              <w:rPr>
                <w:sz w:val="18"/>
                <w:szCs w:val="18"/>
                <w:lang w:val="uz-Cyrl-UZ" w:eastAsia="uz-Cyrl-UZ"/>
              </w:rPr>
              <w:t>98,792</w:t>
            </w:r>
          </w:p>
        </w:tc>
        <w:tc>
          <w:tcPr>
            <w:tcW w:w="845" w:type="dxa"/>
            <w:tcBorders>
              <w:top w:val="nil"/>
              <w:left w:val="nil"/>
              <w:bottom w:val="nil"/>
              <w:right w:val="single" w:sz="4" w:space="0" w:color="auto"/>
            </w:tcBorders>
            <w:shd w:val="clear" w:color="auto" w:fill="auto"/>
            <w:noWrap/>
            <w:vAlign w:val="center"/>
            <w:hideMark/>
          </w:tcPr>
          <w:p w14:paraId="2F694B1C" w14:textId="01EC3B50" w:rsidR="00D163D4" w:rsidRPr="006B42D6" w:rsidRDefault="00D163D4" w:rsidP="004E48B6">
            <w:pPr>
              <w:jc w:val="center"/>
              <w:rPr>
                <w:sz w:val="18"/>
                <w:szCs w:val="18"/>
                <w:lang w:val="uz-Cyrl-UZ" w:eastAsia="uz-Cyrl-UZ"/>
              </w:rPr>
            </w:pPr>
            <w:r w:rsidRPr="006B42D6">
              <w:rPr>
                <w:sz w:val="18"/>
                <w:szCs w:val="18"/>
                <w:lang w:val="uz-Cyrl-UZ" w:eastAsia="uz-Cyrl-UZ"/>
              </w:rPr>
              <w:t>10.8</w:t>
            </w:r>
          </w:p>
        </w:tc>
        <w:tc>
          <w:tcPr>
            <w:tcW w:w="1423" w:type="dxa"/>
            <w:tcBorders>
              <w:top w:val="nil"/>
              <w:left w:val="nil"/>
              <w:bottom w:val="nil"/>
              <w:right w:val="nil"/>
            </w:tcBorders>
            <w:shd w:val="clear" w:color="auto" w:fill="auto"/>
            <w:noWrap/>
            <w:vAlign w:val="center"/>
            <w:hideMark/>
          </w:tcPr>
          <w:p w14:paraId="75732BFD" w14:textId="0D5C7623" w:rsidR="00D163D4" w:rsidRPr="006B42D6" w:rsidRDefault="00D163D4" w:rsidP="004E48B6">
            <w:pPr>
              <w:jc w:val="center"/>
              <w:rPr>
                <w:sz w:val="18"/>
                <w:szCs w:val="18"/>
                <w:lang w:val="uz-Cyrl-UZ" w:eastAsia="uz-Cyrl-UZ"/>
              </w:rPr>
            </w:pPr>
            <w:r w:rsidRPr="006B42D6">
              <w:rPr>
                <w:sz w:val="18"/>
                <w:szCs w:val="18"/>
                <w:lang w:val="uz-Cyrl-UZ" w:eastAsia="uz-Cyrl-UZ"/>
              </w:rPr>
              <w:t>1,599</w:t>
            </w:r>
          </w:p>
        </w:tc>
        <w:tc>
          <w:tcPr>
            <w:tcW w:w="845" w:type="dxa"/>
            <w:tcBorders>
              <w:top w:val="nil"/>
              <w:left w:val="nil"/>
              <w:bottom w:val="nil"/>
              <w:right w:val="nil"/>
            </w:tcBorders>
            <w:shd w:val="clear" w:color="auto" w:fill="auto"/>
            <w:noWrap/>
            <w:vAlign w:val="center"/>
            <w:hideMark/>
          </w:tcPr>
          <w:p w14:paraId="5E6B794D" w14:textId="6594D576" w:rsidR="00D163D4" w:rsidRPr="006B42D6" w:rsidRDefault="00D163D4" w:rsidP="004E48B6">
            <w:pPr>
              <w:jc w:val="center"/>
              <w:rPr>
                <w:sz w:val="18"/>
                <w:szCs w:val="18"/>
                <w:lang w:val="uz-Cyrl-UZ" w:eastAsia="uz-Cyrl-UZ"/>
              </w:rPr>
            </w:pPr>
            <w:r w:rsidRPr="006B42D6">
              <w:rPr>
                <w:sz w:val="18"/>
                <w:szCs w:val="18"/>
                <w:lang w:val="uz-Cyrl-UZ" w:eastAsia="uz-Cyrl-UZ"/>
              </w:rPr>
              <w:t>9.1</w:t>
            </w:r>
          </w:p>
        </w:tc>
      </w:tr>
      <w:tr w:rsidR="004E48B6" w:rsidRPr="006B42D6" w14:paraId="462B47BA" w14:textId="77777777" w:rsidTr="004E48B6">
        <w:trPr>
          <w:trHeight w:hRule="exact" w:val="340"/>
        </w:trPr>
        <w:tc>
          <w:tcPr>
            <w:tcW w:w="2835" w:type="dxa"/>
            <w:tcBorders>
              <w:top w:val="nil"/>
              <w:left w:val="nil"/>
              <w:bottom w:val="nil"/>
              <w:right w:val="nil"/>
            </w:tcBorders>
            <w:shd w:val="clear" w:color="auto" w:fill="auto"/>
            <w:vAlign w:val="center"/>
            <w:hideMark/>
          </w:tcPr>
          <w:p w14:paraId="561756B6" w14:textId="7032500C" w:rsidR="00D163D4" w:rsidRPr="006B42D6" w:rsidRDefault="00D163D4" w:rsidP="004E48B6">
            <w:pPr>
              <w:jc w:val="left"/>
              <w:rPr>
                <w:sz w:val="18"/>
                <w:szCs w:val="18"/>
                <w:lang w:val="uz-Cyrl-UZ" w:eastAsia="uz-Cyrl-UZ"/>
              </w:rPr>
            </w:pPr>
            <w:r w:rsidRPr="006B42D6">
              <w:rPr>
                <w:sz w:val="18"/>
                <w:szCs w:val="18"/>
                <w:lang w:val="uz-Cyrl-UZ" w:eastAsia="uz-Cyrl-UZ"/>
              </w:rPr>
              <w:t xml:space="preserve">Proper </w:t>
            </w:r>
            <w:r w:rsidR="000D56D1" w:rsidRPr="006B42D6">
              <w:rPr>
                <w:sz w:val="18"/>
                <w:szCs w:val="18"/>
                <w:lang w:val="uz-Cyrl-UZ" w:eastAsia="uz-Cyrl-UZ"/>
              </w:rPr>
              <w:t>milking and milk hygiene</w:t>
            </w:r>
          </w:p>
        </w:tc>
        <w:tc>
          <w:tcPr>
            <w:tcW w:w="1423" w:type="dxa"/>
            <w:tcBorders>
              <w:top w:val="nil"/>
              <w:left w:val="nil"/>
              <w:bottom w:val="nil"/>
              <w:right w:val="nil"/>
            </w:tcBorders>
            <w:shd w:val="clear" w:color="auto" w:fill="auto"/>
            <w:noWrap/>
            <w:vAlign w:val="center"/>
            <w:hideMark/>
          </w:tcPr>
          <w:p w14:paraId="58667662" w14:textId="0F544AD9" w:rsidR="00D163D4" w:rsidRPr="006B42D6" w:rsidRDefault="00D163D4" w:rsidP="004E48B6">
            <w:pPr>
              <w:jc w:val="center"/>
              <w:rPr>
                <w:sz w:val="18"/>
                <w:szCs w:val="18"/>
                <w:lang w:val="uz-Cyrl-UZ" w:eastAsia="uz-Cyrl-UZ"/>
              </w:rPr>
            </w:pPr>
            <w:r w:rsidRPr="006B42D6">
              <w:rPr>
                <w:sz w:val="18"/>
                <w:szCs w:val="18"/>
                <w:lang w:val="uz-Cyrl-UZ" w:eastAsia="uz-Cyrl-UZ"/>
              </w:rPr>
              <w:t>68,451</w:t>
            </w:r>
          </w:p>
        </w:tc>
        <w:tc>
          <w:tcPr>
            <w:tcW w:w="897" w:type="dxa"/>
            <w:tcBorders>
              <w:top w:val="nil"/>
              <w:left w:val="nil"/>
              <w:bottom w:val="nil"/>
              <w:right w:val="single" w:sz="4" w:space="0" w:color="auto"/>
            </w:tcBorders>
            <w:shd w:val="clear" w:color="auto" w:fill="auto"/>
            <w:noWrap/>
            <w:vAlign w:val="center"/>
            <w:hideMark/>
          </w:tcPr>
          <w:p w14:paraId="6DD86783" w14:textId="296CC878" w:rsidR="00D163D4" w:rsidRPr="006B42D6" w:rsidRDefault="00D163D4" w:rsidP="004E48B6">
            <w:pPr>
              <w:jc w:val="center"/>
              <w:rPr>
                <w:sz w:val="18"/>
                <w:szCs w:val="18"/>
                <w:lang w:val="uz-Cyrl-UZ" w:eastAsia="uz-Cyrl-UZ"/>
              </w:rPr>
            </w:pPr>
            <w:r w:rsidRPr="006B42D6">
              <w:rPr>
                <w:sz w:val="18"/>
                <w:szCs w:val="18"/>
                <w:lang w:val="uz-Cyrl-UZ" w:eastAsia="uz-Cyrl-UZ"/>
              </w:rPr>
              <w:t>7.4</w:t>
            </w:r>
          </w:p>
        </w:tc>
        <w:tc>
          <w:tcPr>
            <w:tcW w:w="1423" w:type="dxa"/>
            <w:tcBorders>
              <w:top w:val="nil"/>
              <w:left w:val="nil"/>
              <w:bottom w:val="nil"/>
              <w:right w:val="nil"/>
            </w:tcBorders>
            <w:shd w:val="clear" w:color="auto" w:fill="auto"/>
            <w:noWrap/>
            <w:vAlign w:val="center"/>
            <w:hideMark/>
          </w:tcPr>
          <w:p w14:paraId="22080B98" w14:textId="1542510B" w:rsidR="00D163D4" w:rsidRPr="006B42D6" w:rsidRDefault="00D163D4" w:rsidP="004E48B6">
            <w:pPr>
              <w:jc w:val="center"/>
              <w:rPr>
                <w:sz w:val="18"/>
                <w:szCs w:val="18"/>
                <w:lang w:val="uz-Cyrl-UZ" w:eastAsia="uz-Cyrl-UZ"/>
              </w:rPr>
            </w:pPr>
            <w:r w:rsidRPr="006B42D6">
              <w:rPr>
                <w:sz w:val="18"/>
                <w:szCs w:val="18"/>
                <w:lang w:val="uz-Cyrl-UZ" w:eastAsia="uz-Cyrl-UZ"/>
              </w:rPr>
              <w:t>66,659</w:t>
            </w:r>
          </w:p>
        </w:tc>
        <w:tc>
          <w:tcPr>
            <w:tcW w:w="845" w:type="dxa"/>
            <w:tcBorders>
              <w:top w:val="nil"/>
              <w:left w:val="nil"/>
              <w:bottom w:val="nil"/>
              <w:right w:val="single" w:sz="4" w:space="0" w:color="auto"/>
            </w:tcBorders>
            <w:shd w:val="clear" w:color="auto" w:fill="auto"/>
            <w:noWrap/>
            <w:vAlign w:val="center"/>
            <w:hideMark/>
          </w:tcPr>
          <w:p w14:paraId="29B19B90" w14:textId="2A15D757" w:rsidR="00D163D4" w:rsidRPr="006B42D6" w:rsidRDefault="00D163D4" w:rsidP="004E48B6">
            <w:pPr>
              <w:jc w:val="center"/>
              <w:rPr>
                <w:sz w:val="18"/>
                <w:szCs w:val="18"/>
                <w:lang w:val="uz-Cyrl-UZ" w:eastAsia="uz-Cyrl-UZ"/>
              </w:rPr>
            </w:pPr>
            <w:r w:rsidRPr="006B42D6">
              <w:rPr>
                <w:sz w:val="18"/>
                <w:szCs w:val="18"/>
                <w:lang w:val="uz-Cyrl-UZ" w:eastAsia="uz-Cyrl-UZ"/>
              </w:rPr>
              <w:t>7.3</w:t>
            </w:r>
          </w:p>
        </w:tc>
        <w:tc>
          <w:tcPr>
            <w:tcW w:w="1423" w:type="dxa"/>
            <w:tcBorders>
              <w:top w:val="nil"/>
              <w:left w:val="nil"/>
              <w:bottom w:val="nil"/>
              <w:right w:val="nil"/>
            </w:tcBorders>
            <w:shd w:val="clear" w:color="auto" w:fill="auto"/>
            <w:noWrap/>
            <w:vAlign w:val="center"/>
            <w:hideMark/>
          </w:tcPr>
          <w:p w14:paraId="1DA9B8E2" w14:textId="5E4C1644" w:rsidR="00D163D4" w:rsidRPr="006B42D6" w:rsidRDefault="00D163D4" w:rsidP="004E48B6">
            <w:pPr>
              <w:jc w:val="center"/>
              <w:rPr>
                <w:sz w:val="18"/>
                <w:szCs w:val="18"/>
                <w:lang w:val="uz-Cyrl-UZ" w:eastAsia="uz-Cyrl-UZ"/>
              </w:rPr>
            </w:pPr>
            <w:r w:rsidRPr="006B42D6">
              <w:rPr>
                <w:sz w:val="18"/>
                <w:szCs w:val="18"/>
                <w:lang w:val="uz-Cyrl-UZ" w:eastAsia="uz-Cyrl-UZ"/>
              </w:rPr>
              <w:t>1,792</w:t>
            </w:r>
          </w:p>
        </w:tc>
        <w:tc>
          <w:tcPr>
            <w:tcW w:w="845" w:type="dxa"/>
            <w:tcBorders>
              <w:top w:val="nil"/>
              <w:left w:val="nil"/>
              <w:bottom w:val="nil"/>
              <w:right w:val="nil"/>
            </w:tcBorders>
            <w:shd w:val="clear" w:color="auto" w:fill="auto"/>
            <w:noWrap/>
            <w:vAlign w:val="center"/>
            <w:hideMark/>
          </w:tcPr>
          <w:p w14:paraId="13267A37" w14:textId="0181056F" w:rsidR="00D163D4" w:rsidRPr="006B42D6" w:rsidRDefault="00D163D4" w:rsidP="004E48B6">
            <w:pPr>
              <w:jc w:val="center"/>
              <w:rPr>
                <w:sz w:val="18"/>
                <w:szCs w:val="18"/>
                <w:lang w:val="uz-Cyrl-UZ" w:eastAsia="uz-Cyrl-UZ"/>
              </w:rPr>
            </w:pPr>
            <w:r w:rsidRPr="006B42D6">
              <w:rPr>
                <w:sz w:val="18"/>
                <w:szCs w:val="18"/>
                <w:lang w:val="uz-Cyrl-UZ" w:eastAsia="uz-Cyrl-UZ"/>
              </w:rPr>
              <w:t>10.2</w:t>
            </w:r>
          </w:p>
        </w:tc>
      </w:tr>
      <w:tr w:rsidR="004E48B6" w:rsidRPr="006B42D6" w14:paraId="09CD7D60" w14:textId="77777777" w:rsidTr="004E48B6">
        <w:trPr>
          <w:trHeight w:hRule="exact" w:val="340"/>
        </w:trPr>
        <w:tc>
          <w:tcPr>
            <w:tcW w:w="2835" w:type="dxa"/>
            <w:tcBorders>
              <w:top w:val="nil"/>
              <w:left w:val="nil"/>
              <w:bottom w:val="nil"/>
              <w:right w:val="nil"/>
            </w:tcBorders>
            <w:shd w:val="clear" w:color="auto" w:fill="auto"/>
            <w:vAlign w:val="center"/>
            <w:hideMark/>
          </w:tcPr>
          <w:p w14:paraId="056B89CF" w14:textId="77777777" w:rsidR="00D163D4" w:rsidRPr="006B42D6" w:rsidRDefault="00D163D4" w:rsidP="004E48B6">
            <w:pPr>
              <w:jc w:val="left"/>
              <w:rPr>
                <w:sz w:val="18"/>
                <w:szCs w:val="18"/>
                <w:lang w:val="uz-Cyrl-UZ" w:eastAsia="uz-Cyrl-UZ"/>
              </w:rPr>
            </w:pPr>
            <w:r w:rsidRPr="006B42D6">
              <w:rPr>
                <w:sz w:val="18"/>
                <w:szCs w:val="18"/>
                <w:lang w:val="uz-Cyrl-UZ" w:eastAsia="uz-Cyrl-UZ"/>
              </w:rPr>
              <w:t>Livestock fattening</w:t>
            </w:r>
          </w:p>
        </w:tc>
        <w:tc>
          <w:tcPr>
            <w:tcW w:w="1423" w:type="dxa"/>
            <w:tcBorders>
              <w:top w:val="nil"/>
              <w:left w:val="nil"/>
              <w:bottom w:val="nil"/>
              <w:right w:val="nil"/>
            </w:tcBorders>
            <w:shd w:val="clear" w:color="auto" w:fill="auto"/>
            <w:noWrap/>
            <w:vAlign w:val="center"/>
            <w:hideMark/>
          </w:tcPr>
          <w:p w14:paraId="09927882" w14:textId="7A4CAE2F" w:rsidR="00D163D4" w:rsidRPr="006B42D6" w:rsidRDefault="00D163D4" w:rsidP="004E48B6">
            <w:pPr>
              <w:jc w:val="center"/>
              <w:rPr>
                <w:sz w:val="18"/>
                <w:szCs w:val="18"/>
                <w:lang w:val="uz-Cyrl-UZ" w:eastAsia="uz-Cyrl-UZ"/>
              </w:rPr>
            </w:pPr>
            <w:r w:rsidRPr="006B42D6">
              <w:rPr>
                <w:sz w:val="18"/>
                <w:szCs w:val="18"/>
                <w:lang w:val="uz-Cyrl-UZ" w:eastAsia="uz-Cyrl-UZ"/>
              </w:rPr>
              <w:t>85,246</w:t>
            </w:r>
          </w:p>
        </w:tc>
        <w:tc>
          <w:tcPr>
            <w:tcW w:w="897" w:type="dxa"/>
            <w:tcBorders>
              <w:top w:val="nil"/>
              <w:left w:val="nil"/>
              <w:bottom w:val="nil"/>
              <w:right w:val="single" w:sz="4" w:space="0" w:color="auto"/>
            </w:tcBorders>
            <w:shd w:val="clear" w:color="auto" w:fill="auto"/>
            <w:noWrap/>
            <w:vAlign w:val="center"/>
            <w:hideMark/>
          </w:tcPr>
          <w:p w14:paraId="5325D071" w14:textId="5FC31181" w:rsidR="00D163D4" w:rsidRPr="006B42D6" w:rsidRDefault="00D163D4" w:rsidP="004E48B6">
            <w:pPr>
              <w:jc w:val="center"/>
              <w:rPr>
                <w:sz w:val="18"/>
                <w:szCs w:val="18"/>
                <w:lang w:val="uz-Cyrl-UZ" w:eastAsia="uz-Cyrl-UZ"/>
              </w:rPr>
            </w:pPr>
            <w:r w:rsidRPr="006B42D6">
              <w:rPr>
                <w:sz w:val="18"/>
                <w:szCs w:val="18"/>
                <w:lang w:val="uz-Cyrl-UZ" w:eastAsia="uz-Cyrl-UZ"/>
              </w:rPr>
              <w:t>9.2</w:t>
            </w:r>
          </w:p>
        </w:tc>
        <w:tc>
          <w:tcPr>
            <w:tcW w:w="1423" w:type="dxa"/>
            <w:tcBorders>
              <w:top w:val="nil"/>
              <w:left w:val="nil"/>
              <w:bottom w:val="nil"/>
              <w:right w:val="nil"/>
            </w:tcBorders>
            <w:shd w:val="clear" w:color="auto" w:fill="auto"/>
            <w:noWrap/>
            <w:vAlign w:val="center"/>
            <w:hideMark/>
          </w:tcPr>
          <w:p w14:paraId="6CBA683F" w14:textId="212AE580" w:rsidR="00D163D4" w:rsidRPr="006B42D6" w:rsidRDefault="00D163D4" w:rsidP="004E48B6">
            <w:pPr>
              <w:jc w:val="center"/>
              <w:rPr>
                <w:sz w:val="18"/>
                <w:szCs w:val="18"/>
                <w:lang w:val="uz-Cyrl-UZ" w:eastAsia="uz-Cyrl-UZ"/>
              </w:rPr>
            </w:pPr>
            <w:r w:rsidRPr="006B42D6">
              <w:rPr>
                <w:sz w:val="18"/>
                <w:szCs w:val="18"/>
                <w:lang w:val="uz-Cyrl-UZ" w:eastAsia="uz-Cyrl-UZ"/>
              </w:rPr>
              <w:t>84,457</w:t>
            </w:r>
          </w:p>
        </w:tc>
        <w:tc>
          <w:tcPr>
            <w:tcW w:w="845" w:type="dxa"/>
            <w:tcBorders>
              <w:top w:val="nil"/>
              <w:left w:val="nil"/>
              <w:bottom w:val="nil"/>
              <w:right w:val="single" w:sz="4" w:space="0" w:color="auto"/>
            </w:tcBorders>
            <w:shd w:val="clear" w:color="auto" w:fill="auto"/>
            <w:noWrap/>
            <w:vAlign w:val="center"/>
            <w:hideMark/>
          </w:tcPr>
          <w:p w14:paraId="463E39FD" w14:textId="4724765B" w:rsidR="00D163D4" w:rsidRPr="006B42D6" w:rsidRDefault="00D163D4" w:rsidP="004E48B6">
            <w:pPr>
              <w:jc w:val="center"/>
              <w:rPr>
                <w:sz w:val="18"/>
                <w:szCs w:val="18"/>
                <w:lang w:val="uz-Cyrl-UZ" w:eastAsia="uz-Cyrl-UZ"/>
              </w:rPr>
            </w:pPr>
            <w:r w:rsidRPr="006B42D6">
              <w:rPr>
                <w:sz w:val="18"/>
                <w:szCs w:val="18"/>
                <w:lang w:val="uz-Cyrl-UZ" w:eastAsia="uz-Cyrl-UZ"/>
              </w:rPr>
              <w:t>9.3</w:t>
            </w:r>
          </w:p>
        </w:tc>
        <w:tc>
          <w:tcPr>
            <w:tcW w:w="1423" w:type="dxa"/>
            <w:tcBorders>
              <w:top w:val="nil"/>
              <w:left w:val="nil"/>
              <w:bottom w:val="nil"/>
              <w:right w:val="nil"/>
            </w:tcBorders>
            <w:shd w:val="clear" w:color="auto" w:fill="auto"/>
            <w:noWrap/>
            <w:vAlign w:val="center"/>
            <w:hideMark/>
          </w:tcPr>
          <w:p w14:paraId="5C43778D" w14:textId="332B98C5" w:rsidR="00D163D4" w:rsidRPr="006B42D6" w:rsidRDefault="00D163D4" w:rsidP="004E48B6">
            <w:pPr>
              <w:jc w:val="center"/>
              <w:rPr>
                <w:sz w:val="18"/>
                <w:szCs w:val="18"/>
                <w:lang w:val="uz-Cyrl-UZ" w:eastAsia="uz-Cyrl-UZ"/>
              </w:rPr>
            </w:pPr>
            <w:r w:rsidRPr="006B42D6">
              <w:rPr>
                <w:sz w:val="18"/>
                <w:szCs w:val="18"/>
                <w:lang w:val="uz-Cyrl-UZ" w:eastAsia="uz-Cyrl-UZ"/>
              </w:rPr>
              <w:t>789</w:t>
            </w:r>
          </w:p>
        </w:tc>
        <w:tc>
          <w:tcPr>
            <w:tcW w:w="845" w:type="dxa"/>
            <w:tcBorders>
              <w:top w:val="nil"/>
              <w:left w:val="nil"/>
              <w:bottom w:val="nil"/>
              <w:right w:val="nil"/>
            </w:tcBorders>
            <w:shd w:val="clear" w:color="auto" w:fill="auto"/>
            <w:noWrap/>
            <w:vAlign w:val="center"/>
            <w:hideMark/>
          </w:tcPr>
          <w:p w14:paraId="234E317E" w14:textId="07BFA5F3" w:rsidR="00D163D4" w:rsidRPr="006B42D6" w:rsidRDefault="00D163D4" w:rsidP="004E48B6">
            <w:pPr>
              <w:jc w:val="center"/>
              <w:rPr>
                <w:sz w:val="18"/>
                <w:szCs w:val="18"/>
                <w:lang w:val="uz-Cyrl-UZ" w:eastAsia="uz-Cyrl-UZ"/>
              </w:rPr>
            </w:pPr>
            <w:r w:rsidRPr="006B42D6">
              <w:rPr>
                <w:sz w:val="18"/>
                <w:szCs w:val="18"/>
                <w:lang w:val="uz-Cyrl-UZ" w:eastAsia="uz-Cyrl-UZ"/>
              </w:rPr>
              <w:t>4.5</w:t>
            </w:r>
          </w:p>
        </w:tc>
      </w:tr>
      <w:tr w:rsidR="004E48B6" w:rsidRPr="006B42D6" w14:paraId="3EB8817D" w14:textId="77777777" w:rsidTr="004E48B6">
        <w:trPr>
          <w:trHeight w:hRule="exact" w:val="340"/>
        </w:trPr>
        <w:tc>
          <w:tcPr>
            <w:tcW w:w="2835" w:type="dxa"/>
            <w:tcBorders>
              <w:top w:val="nil"/>
              <w:left w:val="nil"/>
              <w:bottom w:val="nil"/>
              <w:right w:val="nil"/>
            </w:tcBorders>
            <w:shd w:val="clear" w:color="auto" w:fill="auto"/>
            <w:vAlign w:val="center"/>
            <w:hideMark/>
          </w:tcPr>
          <w:p w14:paraId="2B4F941C" w14:textId="77777777" w:rsidR="00D163D4" w:rsidRPr="006B42D6" w:rsidRDefault="00D163D4" w:rsidP="004E48B6">
            <w:pPr>
              <w:jc w:val="left"/>
              <w:rPr>
                <w:sz w:val="18"/>
                <w:szCs w:val="18"/>
                <w:lang w:val="uz-Cyrl-UZ" w:eastAsia="uz-Cyrl-UZ"/>
              </w:rPr>
            </w:pPr>
            <w:r w:rsidRPr="006B42D6">
              <w:rPr>
                <w:sz w:val="18"/>
                <w:szCs w:val="18"/>
                <w:lang w:val="uz-Cyrl-UZ" w:eastAsia="uz-Cyrl-UZ"/>
              </w:rPr>
              <w:t>Disease control</w:t>
            </w:r>
          </w:p>
        </w:tc>
        <w:tc>
          <w:tcPr>
            <w:tcW w:w="1423" w:type="dxa"/>
            <w:tcBorders>
              <w:top w:val="nil"/>
              <w:left w:val="nil"/>
              <w:bottom w:val="nil"/>
              <w:right w:val="nil"/>
            </w:tcBorders>
            <w:shd w:val="clear" w:color="auto" w:fill="auto"/>
            <w:noWrap/>
            <w:vAlign w:val="center"/>
            <w:hideMark/>
          </w:tcPr>
          <w:p w14:paraId="26F1AD8C" w14:textId="72F4FB27" w:rsidR="00D163D4" w:rsidRPr="006B42D6" w:rsidRDefault="00D163D4" w:rsidP="004E48B6">
            <w:pPr>
              <w:jc w:val="center"/>
              <w:rPr>
                <w:sz w:val="18"/>
                <w:szCs w:val="18"/>
                <w:lang w:val="uz-Cyrl-UZ" w:eastAsia="uz-Cyrl-UZ"/>
              </w:rPr>
            </w:pPr>
            <w:r w:rsidRPr="006B42D6">
              <w:rPr>
                <w:sz w:val="18"/>
                <w:szCs w:val="18"/>
                <w:lang w:val="uz-Cyrl-UZ" w:eastAsia="uz-Cyrl-UZ"/>
              </w:rPr>
              <w:t>167,374</w:t>
            </w:r>
          </w:p>
        </w:tc>
        <w:tc>
          <w:tcPr>
            <w:tcW w:w="897" w:type="dxa"/>
            <w:tcBorders>
              <w:top w:val="nil"/>
              <w:left w:val="nil"/>
              <w:bottom w:val="nil"/>
              <w:right w:val="single" w:sz="4" w:space="0" w:color="auto"/>
            </w:tcBorders>
            <w:shd w:val="clear" w:color="auto" w:fill="auto"/>
            <w:noWrap/>
            <w:vAlign w:val="center"/>
            <w:hideMark/>
          </w:tcPr>
          <w:p w14:paraId="209B9041" w14:textId="224F71D0" w:rsidR="00D163D4" w:rsidRPr="006B42D6" w:rsidRDefault="00D163D4" w:rsidP="004E48B6">
            <w:pPr>
              <w:jc w:val="center"/>
              <w:rPr>
                <w:sz w:val="18"/>
                <w:szCs w:val="18"/>
                <w:lang w:val="uz-Cyrl-UZ" w:eastAsia="uz-Cyrl-UZ"/>
              </w:rPr>
            </w:pPr>
            <w:r w:rsidRPr="006B42D6">
              <w:rPr>
                <w:sz w:val="18"/>
                <w:szCs w:val="18"/>
                <w:lang w:val="uz-Cyrl-UZ" w:eastAsia="uz-Cyrl-UZ"/>
              </w:rPr>
              <w:t>18.0</w:t>
            </w:r>
          </w:p>
        </w:tc>
        <w:tc>
          <w:tcPr>
            <w:tcW w:w="1423" w:type="dxa"/>
            <w:tcBorders>
              <w:top w:val="nil"/>
              <w:left w:val="nil"/>
              <w:bottom w:val="nil"/>
              <w:right w:val="nil"/>
            </w:tcBorders>
            <w:shd w:val="clear" w:color="auto" w:fill="auto"/>
            <w:noWrap/>
            <w:vAlign w:val="center"/>
            <w:hideMark/>
          </w:tcPr>
          <w:p w14:paraId="0AF9D087" w14:textId="67DE7403" w:rsidR="00D163D4" w:rsidRPr="006B42D6" w:rsidRDefault="00D163D4" w:rsidP="004E48B6">
            <w:pPr>
              <w:jc w:val="center"/>
              <w:rPr>
                <w:sz w:val="18"/>
                <w:szCs w:val="18"/>
                <w:lang w:val="uz-Cyrl-UZ" w:eastAsia="uz-Cyrl-UZ"/>
              </w:rPr>
            </w:pPr>
            <w:r w:rsidRPr="006B42D6">
              <w:rPr>
                <w:sz w:val="18"/>
                <w:szCs w:val="18"/>
                <w:lang w:val="uz-Cyrl-UZ" w:eastAsia="uz-Cyrl-UZ"/>
              </w:rPr>
              <w:t>163,374</w:t>
            </w:r>
          </w:p>
        </w:tc>
        <w:tc>
          <w:tcPr>
            <w:tcW w:w="845" w:type="dxa"/>
            <w:tcBorders>
              <w:top w:val="nil"/>
              <w:left w:val="nil"/>
              <w:bottom w:val="nil"/>
              <w:right w:val="single" w:sz="4" w:space="0" w:color="auto"/>
            </w:tcBorders>
            <w:shd w:val="clear" w:color="auto" w:fill="auto"/>
            <w:noWrap/>
            <w:vAlign w:val="center"/>
            <w:hideMark/>
          </w:tcPr>
          <w:p w14:paraId="2CC18663" w14:textId="3FE7719F" w:rsidR="00D163D4" w:rsidRPr="006B42D6" w:rsidRDefault="00D163D4" w:rsidP="004E48B6">
            <w:pPr>
              <w:jc w:val="center"/>
              <w:rPr>
                <w:sz w:val="18"/>
                <w:szCs w:val="18"/>
                <w:lang w:val="uz-Cyrl-UZ" w:eastAsia="uz-Cyrl-UZ"/>
              </w:rPr>
            </w:pPr>
            <w:r w:rsidRPr="006B42D6">
              <w:rPr>
                <w:sz w:val="18"/>
                <w:szCs w:val="18"/>
                <w:lang w:val="uz-Cyrl-UZ" w:eastAsia="uz-Cyrl-UZ"/>
              </w:rPr>
              <w:t>17.9</w:t>
            </w:r>
          </w:p>
        </w:tc>
        <w:tc>
          <w:tcPr>
            <w:tcW w:w="1423" w:type="dxa"/>
            <w:tcBorders>
              <w:top w:val="nil"/>
              <w:left w:val="nil"/>
              <w:bottom w:val="nil"/>
              <w:right w:val="nil"/>
            </w:tcBorders>
            <w:shd w:val="clear" w:color="auto" w:fill="auto"/>
            <w:noWrap/>
            <w:vAlign w:val="center"/>
            <w:hideMark/>
          </w:tcPr>
          <w:p w14:paraId="174D5869" w14:textId="431899D1" w:rsidR="00D163D4" w:rsidRPr="006B42D6" w:rsidRDefault="00D163D4" w:rsidP="004E48B6">
            <w:pPr>
              <w:jc w:val="center"/>
              <w:rPr>
                <w:sz w:val="18"/>
                <w:szCs w:val="18"/>
                <w:lang w:val="uz-Cyrl-UZ" w:eastAsia="uz-Cyrl-UZ"/>
              </w:rPr>
            </w:pPr>
            <w:r w:rsidRPr="006B42D6">
              <w:rPr>
                <w:sz w:val="18"/>
                <w:szCs w:val="18"/>
                <w:lang w:val="uz-Cyrl-UZ" w:eastAsia="uz-Cyrl-UZ"/>
              </w:rPr>
              <w:t>4,000</w:t>
            </w:r>
          </w:p>
        </w:tc>
        <w:tc>
          <w:tcPr>
            <w:tcW w:w="845" w:type="dxa"/>
            <w:tcBorders>
              <w:top w:val="nil"/>
              <w:left w:val="nil"/>
              <w:bottom w:val="nil"/>
              <w:right w:val="nil"/>
            </w:tcBorders>
            <w:shd w:val="clear" w:color="auto" w:fill="auto"/>
            <w:noWrap/>
            <w:vAlign w:val="center"/>
            <w:hideMark/>
          </w:tcPr>
          <w:p w14:paraId="0D4582D3" w14:textId="05CBDD2A" w:rsidR="00D163D4" w:rsidRPr="006B42D6" w:rsidRDefault="00D163D4" w:rsidP="004E48B6">
            <w:pPr>
              <w:jc w:val="center"/>
              <w:rPr>
                <w:sz w:val="18"/>
                <w:szCs w:val="18"/>
                <w:lang w:val="uz-Cyrl-UZ" w:eastAsia="uz-Cyrl-UZ"/>
              </w:rPr>
            </w:pPr>
            <w:r w:rsidRPr="006B42D6">
              <w:rPr>
                <w:sz w:val="18"/>
                <w:szCs w:val="18"/>
                <w:lang w:val="uz-Cyrl-UZ" w:eastAsia="uz-Cyrl-UZ"/>
              </w:rPr>
              <w:t>22.8</w:t>
            </w:r>
          </w:p>
        </w:tc>
      </w:tr>
      <w:tr w:rsidR="004E48B6" w:rsidRPr="006B42D6" w14:paraId="4C949617" w14:textId="77777777" w:rsidTr="004E48B6">
        <w:trPr>
          <w:trHeight w:hRule="exact" w:val="340"/>
        </w:trPr>
        <w:tc>
          <w:tcPr>
            <w:tcW w:w="2835" w:type="dxa"/>
            <w:tcBorders>
              <w:top w:val="nil"/>
              <w:left w:val="nil"/>
              <w:bottom w:val="nil"/>
              <w:right w:val="nil"/>
            </w:tcBorders>
            <w:shd w:val="clear" w:color="auto" w:fill="auto"/>
            <w:vAlign w:val="center"/>
            <w:hideMark/>
          </w:tcPr>
          <w:p w14:paraId="474C7206" w14:textId="465919B9" w:rsidR="00D163D4" w:rsidRPr="006B42D6" w:rsidRDefault="00D163D4" w:rsidP="004E48B6">
            <w:pPr>
              <w:jc w:val="left"/>
              <w:rPr>
                <w:sz w:val="18"/>
                <w:szCs w:val="18"/>
                <w:lang w:val="uz-Cyrl-UZ" w:eastAsia="uz-Cyrl-UZ"/>
              </w:rPr>
            </w:pPr>
            <w:r w:rsidRPr="006B42D6">
              <w:rPr>
                <w:sz w:val="18"/>
                <w:szCs w:val="18"/>
                <w:lang w:val="uz-Cyrl-UZ" w:eastAsia="uz-Cyrl-UZ"/>
              </w:rPr>
              <w:t>Herd/</w:t>
            </w:r>
            <w:r w:rsidR="000D56D1">
              <w:rPr>
                <w:sz w:val="18"/>
                <w:szCs w:val="18"/>
                <w:lang w:eastAsia="uz-Cyrl-UZ"/>
              </w:rPr>
              <w:t>f</w:t>
            </w:r>
            <w:r w:rsidRPr="006B42D6">
              <w:rPr>
                <w:sz w:val="18"/>
                <w:szCs w:val="18"/>
                <w:lang w:val="uz-Cyrl-UZ" w:eastAsia="uz-Cyrl-UZ"/>
              </w:rPr>
              <w:t>lock size and selection</w:t>
            </w:r>
          </w:p>
        </w:tc>
        <w:tc>
          <w:tcPr>
            <w:tcW w:w="1423" w:type="dxa"/>
            <w:tcBorders>
              <w:top w:val="nil"/>
              <w:left w:val="nil"/>
              <w:bottom w:val="nil"/>
              <w:right w:val="nil"/>
            </w:tcBorders>
            <w:shd w:val="clear" w:color="auto" w:fill="auto"/>
            <w:noWrap/>
            <w:vAlign w:val="center"/>
            <w:hideMark/>
          </w:tcPr>
          <w:p w14:paraId="5ABF334F" w14:textId="36195C2B" w:rsidR="00D163D4" w:rsidRPr="006B42D6" w:rsidRDefault="00D163D4" w:rsidP="004E48B6">
            <w:pPr>
              <w:jc w:val="center"/>
              <w:rPr>
                <w:sz w:val="18"/>
                <w:szCs w:val="18"/>
                <w:lang w:val="uz-Cyrl-UZ" w:eastAsia="uz-Cyrl-UZ"/>
              </w:rPr>
            </w:pPr>
            <w:r w:rsidRPr="006B42D6">
              <w:rPr>
                <w:sz w:val="18"/>
                <w:szCs w:val="18"/>
                <w:lang w:val="uz-Cyrl-UZ" w:eastAsia="uz-Cyrl-UZ"/>
              </w:rPr>
              <w:t>46,921</w:t>
            </w:r>
          </w:p>
        </w:tc>
        <w:tc>
          <w:tcPr>
            <w:tcW w:w="897" w:type="dxa"/>
            <w:tcBorders>
              <w:top w:val="nil"/>
              <w:left w:val="nil"/>
              <w:bottom w:val="nil"/>
              <w:right w:val="single" w:sz="4" w:space="0" w:color="auto"/>
            </w:tcBorders>
            <w:shd w:val="clear" w:color="auto" w:fill="auto"/>
            <w:noWrap/>
            <w:vAlign w:val="center"/>
            <w:hideMark/>
          </w:tcPr>
          <w:p w14:paraId="74204373" w14:textId="21636638" w:rsidR="00D163D4" w:rsidRPr="006B42D6" w:rsidRDefault="00D163D4" w:rsidP="004E48B6">
            <w:pPr>
              <w:jc w:val="center"/>
              <w:rPr>
                <w:sz w:val="18"/>
                <w:szCs w:val="18"/>
                <w:lang w:val="uz-Cyrl-UZ" w:eastAsia="uz-Cyrl-UZ"/>
              </w:rPr>
            </w:pPr>
            <w:r w:rsidRPr="006B42D6">
              <w:rPr>
                <w:sz w:val="18"/>
                <w:szCs w:val="18"/>
                <w:lang w:val="uz-Cyrl-UZ" w:eastAsia="uz-Cyrl-UZ"/>
              </w:rPr>
              <w:t>5.1</w:t>
            </w:r>
          </w:p>
        </w:tc>
        <w:tc>
          <w:tcPr>
            <w:tcW w:w="1423" w:type="dxa"/>
            <w:tcBorders>
              <w:top w:val="nil"/>
              <w:left w:val="nil"/>
              <w:bottom w:val="nil"/>
              <w:right w:val="nil"/>
            </w:tcBorders>
            <w:shd w:val="clear" w:color="auto" w:fill="auto"/>
            <w:noWrap/>
            <w:vAlign w:val="center"/>
            <w:hideMark/>
          </w:tcPr>
          <w:p w14:paraId="14C8863F" w14:textId="491C9DFE" w:rsidR="00D163D4" w:rsidRPr="006B42D6" w:rsidRDefault="00D163D4" w:rsidP="004E48B6">
            <w:pPr>
              <w:jc w:val="center"/>
              <w:rPr>
                <w:sz w:val="18"/>
                <w:szCs w:val="18"/>
                <w:lang w:val="uz-Cyrl-UZ" w:eastAsia="uz-Cyrl-UZ"/>
              </w:rPr>
            </w:pPr>
            <w:r w:rsidRPr="006B42D6">
              <w:rPr>
                <w:sz w:val="18"/>
                <w:szCs w:val="18"/>
                <w:lang w:val="uz-Cyrl-UZ" w:eastAsia="uz-Cyrl-UZ"/>
              </w:rPr>
              <w:t>45,894</w:t>
            </w:r>
          </w:p>
        </w:tc>
        <w:tc>
          <w:tcPr>
            <w:tcW w:w="845" w:type="dxa"/>
            <w:tcBorders>
              <w:top w:val="nil"/>
              <w:left w:val="nil"/>
              <w:bottom w:val="nil"/>
              <w:right w:val="single" w:sz="4" w:space="0" w:color="auto"/>
            </w:tcBorders>
            <w:shd w:val="clear" w:color="auto" w:fill="auto"/>
            <w:noWrap/>
            <w:vAlign w:val="center"/>
            <w:hideMark/>
          </w:tcPr>
          <w:p w14:paraId="6BD2CEEA" w14:textId="3544F5DD" w:rsidR="00D163D4" w:rsidRPr="006B42D6" w:rsidRDefault="00D163D4" w:rsidP="004E48B6">
            <w:pPr>
              <w:jc w:val="center"/>
              <w:rPr>
                <w:sz w:val="18"/>
                <w:szCs w:val="18"/>
                <w:lang w:val="uz-Cyrl-UZ" w:eastAsia="uz-Cyrl-UZ"/>
              </w:rPr>
            </w:pPr>
            <w:r w:rsidRPr="006B42D6">
              <w:rPr>
                <w:sz w:val="18"/>
                <w:szCs w:val="18"/>
                <w:lang w:val="uz-Cyrl-UZ" w:eastAsia="uz-Cyrl-UZ"/>
              </w:rPr>
              <w:t>5.0</w:t>
            </w:r>
          </w:p>
        </w:tc>
        <w:tc>
          <w:tcPr>
            <w:tcW w:w="1423" w:type="dxa"/>
            <w:tcBorders>
              <w:top w:val="nil"/>
              <w:left w:val="nil"/>
              <w:bottom w:val="nil"/>
              <w:right w:val="nil"/>
            </w:tcBorders>
            <w:shd w:val="clear" w:color="auto" w:fill="auto"/>
            <w:noWrap/>
            <w:vAlign w:val="center"/>
            <w:hideMark/>
          </w:tcPr>
          <w:p w14:paraId="1158D169" w14:textId="53C55BDE" w:rsidR="00D163D4" w:rsidRPr="006B42D6" w:rsidRDefault="00D163D4" w:rsidP="004E48B6">
            <w:pPr>
              <w:jc w:val="center"/>
              <w:rPr>
                <w:sz w:val="18"/>
                <w:szCs w:val="18"/>
                <w:lang w:val="uz-Cyrl-UZ" w:eastAsia="uz-Cyrl-UZ"/>
              </w:rPr>
            </w:pPr>
            <w:r w:rsidRPr="006B42D6">
              <w:rPr>
                <w:sz w:val="18"/>
                <w:szCs w:val="18"/>
                <w:lang w:val="uz-Cyrl-UZ" w:eastAsia="uz-Cyrl-UZ"/>
              </w:rPr>
              <w:t>1,027</w:t>
            </w:r>
          </w:p>
        </w:tc>
        <w:tc>
          <w:tcPr>
            <w:tcW w:w="845" w:type="dxa"/>
            <w:tcBorders>
              <w:top w:val="nil"/>
              <w:left w:val="nil"/>
              <w:bottom w:val="nil"/>
              <w:right w:val="nil"/>
            </w:tcBorders>
            <w:shd w:val="clear" w:color="auto" w:fill="auto"/>
            <w:noWrap/>
            <w:vAlign w:val="center"/>
            <w:hideMark/>
          </w:tcPr>
          <w:p w14:paraId="176659ED" w14:textId="321BEA39" w:rsidR="00D163D4" w:rsidRPr="006B42D6" w:rsidRDefault="00D163D4" w:rsidP="004E48B6">
            <w:pPr>
              <w:jc w:val="center"/>
              <w:rPr>
                <w:sz w:val="18"/>
                <w:szCs w:val="18"/>
                <w:lang w:val="uz-Cyrl-UZ" w:eastAsia="uz-Cyrl-UZ"/>
              </w:rPr>
            </w:pPr>
            <w:r w:rsidRPr="006B42D6">
              <w:rPr>
                <w:sz w:val="18"/>
                <w:szCs w:val="18"/>
                <w:lang w:val="uz-Cyrl-UZ" w:eastAsia="uz-Cyrl-UZ"/>
              </w:rPr>
              <w:t>5.9</w:t>
            </w:r>
          </w:p>
        </w:tc>
      </w:tr>
      <w:tr w:rsidR="004E48B6" w:rsidRPr="006B42D6" w14:paraId="30443533" w14:textId="77777777" w:rsidTr="004E48B6">
        <w:trPr>
          <w:trHeight w:hRule="exact" w:val="340"/>
        </w:trPr>
        <w:tc>
          <w:tcPr>
            <w:tcW w:w="2835" w:type="dxa"/>
            <w:tcBorders>
              <w:top w:val="nil"/>
              <w:left w:val="nil"/>
              <w:bottom w:val="nil"/>
              <w:right w:val="nil"/>
            </w:tcBorders>
            <w:shd w:val="clear" w:color="auto" w:fill="auto"/>
            <w:vAlign w:val="center"/>
            <w:hideMark/>
          </w:tcPr>
          <w:p w14:paraId="7B4EC4A6" w14:textId="77777777" w:rsidR="00D163D4" w:rsidRPr="006B42D6" w:rsidRDefault="00D163D4" w:rsidP="004E48B6">
            <w:pPr>
              <w:jc w:val="left"/>
              <w:rPr>
                <w:sz w:val="18"/>
                <w:szCs w:val="18"/>
                <w:lang w:val="uz-Cyrl-UZ" w:eastAsia="uz-Cyrl-UZ"/>
              </w:rPr>
            </w:pPr>
            <w:r w:rsidRPr="006B42D6">
              <w:rPr>
                <w:sz w:val="18"/>
                <w:szCs w:val="18"/>
                <w:lang w:val="uz-Cyrl-UZ" w:eastAsia="uz-Cyrl-UZ"/>
              </w:rPr>
              <w:t>Keeping based on carrying capacity</w:t>
            </w:r>
          </w:p>
        </w:tc>
        <w:tc>
          <w:tcPr>
            <w:tcW w:w="1423" w:type="dxa"/>
            <w:tcBorders>
              <w:top w:val="nil"/>
              <w:left w:val="nil"/>
              <w:bottom w:val="nil"/>
              <w:right w:val="nil"/>
            </w:tcBorders>
            <w:shd w:val="clear" w:color="auto" w:fill="auto"/>
            <w:noWrap/>
            <w:vAlign w:val="center"/>
            <w:hideMark/>
          </w:tcPr>
          <w:p w14:paraId="17DAFB69" w14:textId="251EC08E" w:rsidR="00D163D4" w:rsidRPr="006B42D6" w:rsidRDefault="00D163D4" w:rsidP="004E48B6">
            <w:pPr>
              <w:jc w:val="center"/>
              <w:rPr>
                <w:sz w:val="18"/>
                <w:szCs w:val="18"/>
                <w:lang w:val="uz-Cyrl-UZ" w:eastAsia="uz-Cyrl-UZ"/>
              </w:rPr>
            </w:pPr>
            <w:r w:rsidRPr="006B42D6">
              <w:rPr>
                <w:sz w:val="18"/>
                <w:szCs w:val="18"/>
                <w:lang w:val="uz-Cyrl-UZ" w:eastAsia="uz-Cyrl-UZ"/>
              </w:rPr>
              <w:t>64,204</w:t>
            </w:r>
          </w:p>
        </w:tc>
        <w:tc>
          <w:tcPr>
            <w:tcW w:w="897" w:type="dxa"/>
            <w:tcBorders>
              <w:top w:val="nil"/>
              <w:left w:val="nil"/>
              <w:bottom w:val="nil"/>
              <w:right w:val="single" w:sz="4" w:space="0" w:color="auto"/>
            </w:tcBorders>
            <w:shd w:val="clear" w:color="auto" w:fill="auto"/>
            <w:noWrap/>
            <w:vAlign w:val="center"/>
            <w:hideMark/>
          </w:tcPr>
          <w:p w14:paraId="46EB9C39" w14:textId="1DD580B9" w:rsidR="00D163D4" w:rsidRPr="006B42D6" w:rsidRDefault="00D163D4" w:rsidP="004E48B6">
            <w:pPr>
              <w:jc w:val="center"/>
              <w:rPr>
                <w:sz w:val="18"/>
                <w:szCs w:val="18"/>
                <w:lang w:val="uz-Cyrl-UZ" w:eastAsia="uz-Cyrl-UZ"/>
              </w:rPr>
            </w:pPr>
            <w:r w:rsidRPr="006B42D6">
              <w:rPr>
                <w:sz w:val="18"/>
                <w:szCs w:val="18"/>
                <w:lang w:val="uz-Cyrl-UZ" w:eastAsia="uz-Cyrl-UZ"/>
              </w:rPr>
              <w:t>6.9</w:t>
            </w:r>
          </w:p>
        </w:tc>
        <w:tc>
          <w:tcPr>
            <w:tcW w:w="1423" w:type="dxa"/>
            <w:tcBorders>
              <w:top w:val="nil"/>
              <w:left w:val="nil"/>
              <w:bottom w:val="nil"/>
              <w:right w:val="nil"/>
            </w:tcBorders>
            <w:shd w:val="clear" w:color="auto" w:fill="auto"/>
            <w:noWrap/>
            <w:vAlign w:val="center"/>
            <w:hideMark/>
          </w:tcPr>
          <w:p w14:paraId="57D50F92" w14:textId="0891DE20" w:rsidR="00D163D4" w:rsidRPr="006B42D6" w:rsidRDefault="00D163D4" w:rsidP="004E48B6">
            <w:pPr>
              <w:jc w:val="center"/>
              <w:rPr>
                <w:sz w:val="18"/>
                <w:szCs w:val="18"/>
                <w:lang w:val="uz-Cyrl-UZ" w:eastAsia="uz-Cyrl-UZ"/>
              </w:rPr>
            </w:pPr>
            <w:r w:rsidRPr="006B42D6">
              <w:rPr>
                <w:sz w:val="18"/>
                <w:szCs w:val="18"/>
                <w:lang w:val="uz-Cyrl-UZ" w:eastAsia="uz-Cyrl-UZ"/>
              </w:rPr>
              <w:t>63,079</w:t>
            </w:r>
          </w:p>
        </w:tc>
        <w:tc>
          <w:tcPr>
            <w:tcW w:w="845" w:type="dxa"/>
            <w:tcBorders>
              <w:top w:val="nil"/>
              <w:left w:val="nil"/>
              <w:bottom w:val="nil"/>
              <w:right w:val="single" w:sz="4" w:space="0" w:color="auto"/>
            </w:tcBorders>
            <w:shd w:val="clear" w:color="auto" w:fill="auto"/>
            <w:noWrap/>
            <w:vAlign w:val="center"/>
            <w:hideMark/>
          </w:tcPr>
          <w:p w14:paraId="23C33E37" w14:textId="15B63380" w:rsidR="00D163D4" w:rsidRPr="006B42D6" w:rsidRDefault="00D163D4" w:rsidP="004E48B6">
            <w:pPr>
              <w:jc w:val="center"/>
              <w:rPr>
                <w:sz w:val="18"/>
                <w:szCs w:val="18"/>
                <w:lang w:val="uz-Cyrl-UZ" w:eastAsia="uz-Cyrl-UZ"/>
              </w:rPr>
            </w:pPr>
            <w:r w:rsidRPr="006B42D6">
              <w:rPr>
                <w:sz w:val="18"/>
                <w:szCs w:val="18"/>
                <w:lang w:val="uz-Cyrl-UZ" w:eastAsia="uz-Cyrl-UZ"/>
              </w:rPr>
              <w:t>6.9</w:t>
            </w:r>
          </w:p>
        </w:tc>
        <w:tc>
          <w:tcPr>
            <w:tcW w:w="1423" w:type="dxa"/>
            <w:tcBorders>
              <w:top w:val="nil"/>
              <w:left w:val="nil"/>
              <w:bottom w:val="nil"/>
              <w:right w:val="nil"/>
            </w:tcBorders>
            <w:shd w:val="clear" w:color="auto" w:fill="auto"/>
            <w:noWrap/>
            <w:vAlign w:val="center"/>
            <w:hideMark/>
          </w:tcPr>
          <w:p w14:paraId="14368638" w14:textId="506BB344" w:rsidR="00D163D4" w:rsidRPr="006B42D6" w:rsidRDefault="00D163D4" w:rsidP="004E48B6">
            <w:pPr>
              <w:jc w:val="center"/>
              <w:rPr>
                <w:sz w:val="18"/>
                <w:szCs w:val="18"/>
                <w:lang w:val="uz-Cyrl-UZ" w:eastAsia="uz-Cyrl-UZ"/>
              </w:rPr>
            </w:pPr>
            <w:r w:rsidRPr="006B42D6">
              <w:rPr>
                <w:sz w:val="18"/>
                <w:szCs w:val="18"/>
                <w:lang w:val="uz-Cyrl-UZ" w:eastAsia="uz-Cyrl-UZ"/>
              </w:rPr>
              <w:t>1,125</w:t>
            </w:r>
          </w:p>
        </w:tc>
        <w:tc>
          <w:tcPr>
            <w:tcW w:w="845" w:type="dxa"/>
            <w:tcBorders>
              <w:top w:val="nil"/>
              <w:left w:val="nil"/>
              <w:bottom w:val="nil"/>
              <w:right w:val="nil"/>
            </w:tcBorders>
            <w:shd w:val="clear" w:color="auto" w:fill="auto"/>
            <w:noWrap/>
            <w:vAlign w:val="center"/>
            <w:hideMark/>
          </w:tcPr>
          <w:p w14:paraId="0AC7DBB4" w14:textId="11096650" w:rsidR="00D163D4" w:rsidRPr="006B42D6" w:rsidRDefault="00D163D4" w:rsidP="004E48B6">
            <w:pPr>
              <w:jc w:val="center"/>
              <w:rPr>
                <w:sz w:val="18"/>
                <w:szCs w:val="18"/>
                <w:lang w:val="uz-Cyrl-UZ" w:eastAsia="uz-Cyrl-UZ"/>
              </w:rPr>
            </w:pPr>
            <w:r w:rsidRPr="006B42D6">
              <w:rPr>
                <w:sz w:val="18"/>
                <w:szCs w:val="18"/>
                <w:lang w:val="uz-Cyrl-UZ" w:eastAsia="uz-Cyrl-UZ"/>
              </w:rPr>
              <w:t>6.4</w:t>
            </w:r>
          </w:p>
        </w:tc>
      </w:tr>
      <w:tr w:rsidR="004E48B6" w:rsidRPr="006B42D6" w14:paraId="1559D70A" w14:textId="77777777" w:rsidTr="004E48B6">
        <w:trPr>
          <w:trHeight w:hRule="exact" w:val="340"/>
        </w:trPr>
        <w:tc>
          <w:tcPr>
            <w:tcW w:w="2835" w:type="dxa"/>
            <w:tcBorders>
              <w:top w:val="nil"/>
              <w:left w:val="nil"/>
              <w:bottom w:val="nil"/>
              <w:right w:val="nil"/>
            </w:tcBorders>
            <w:shd w:val="clear" w:color="auto" w:fill="auto"/>
            <w:vAlign w:val="center"/>
            <w:hideMark/>
          </w:tcPr>
          <w:p w14:paraId="43B9B0D5" w14:textId="0B675400" w:rsidR="00D163D4" w:rsidRPr="006B42D6" w:rsidRDefault="000D56D1" w:rsidP="004E48B6">
            <w:pPr>
              <w:jc w:val="left"/>
              <w:rPr>
                <w:sz w:val="18"/>
                <w:szCs w:val="18"/>
                <w:lang w:val="uz-Cyrl-UZ" w:eastAsia="uz-Cyrl-UZ"/>
              </w:rPr>
            </w:pPr>
            <w:r w:rsidRPr="006B42D6">
              <w:rPr>
                <w:sz w:val="18"/>
                <w:szCs w:val="18"/>
                <w:lang w:val="uz-Cyrl-UZ" w:eastAsia="uz-Cyrl-UZ"/>
              </w:rPr>
              <w:t>Pasture e</w:t>
            </w:r>
            <w:r w:rsidR="00D163D4" w:rsidRPr="006B42D6">
              <w:rPr>
                <w:sz w:val="18"/>
                <w:szCs w:val="18"/>
                <w:lang w:val="uz-Cyrl-UZ" w:eastAsia="uz-Cyrl-UZ"/>
              </w:rPr>
              <w:t>stablishment</w:t>
            </w:r>
          </w:p>
        </w:tc>
        <w:tc>
          <w:tcPr>
            <w:tcW w:w="1423" w:type="dxa"/>
            <w:tcBorders>
              <w:top w:val="nil"/>
              <w:left w:val="nil"/>
              <w:bottom w:val="nil"/>
              <w:right w:val="nil"/>
            </w:tcBorders>
            <w:shd w:val="clear" w:color="auto" w:fill="auto"/>
            <w:noWrap/>
            <w:vAlign w:val="center"/>
            <w:hideMark/>
          </w:tcPr>
          <w:p w14:paraId="45C1A3E9" w14:textId="0741CD4F" w:rsidR="00D163D4" w:rsidRPr="006B42D6" w:rsidRDefault="00D163D4" w:rsidP="004E48B6">
            <w:pPr>
              <w:jc w:val="center"/>
              <w:rPr>
                <w:sz w:val="18"/>
                <w:szCs w:val="18"/>
                <w:lang w:val="uz-Cyrl-UZ" w:eastAsia="uz-Cyrl-UZ"/>
              </w:rPr>
            </w:pPr>
            <w:r w:rsidRPr="006B42D6">
              <w:rPr>
                <w:sz w:val="18"/>
                <w:szCs w:val="18"/>
                <w:lang w:val="uz-Cyrl-UZ" w:eastAsia="uz-Cyrl-UZ"/>
              </w:rPr>
              <w:t>29,278</w:t>
            </w:r>
          </w:p>
        </w:tc>
        <w:tc>
          <w:tcPr>
            <w:tcW w:w="897" w:type="dxa"/>
            <w:tcBorders>
              <w:top w:val="nil"/>
              <w:left w:val="nil"/>
              <w:bottom w:val="nil"/>
              <w:right w:val="single" w:sz="4" w:space="0" w:color="auto"/>
            </w:tcBorders>
            <w:shd w:val="clear" w:color="auto" w:fill="auto"/>
            <w:noWrap/>
            <w:vAlign w:val="center"/>
            <w:hideMark/>
          </w:tcPr>
          <w:p w14:paraId="30B9F4E4" w14:textId="52BE9889" w:rsidR="00D163D4" w:rsidRPr="006B42D6" w:rsidRDefault="00D163D4" w:rsidP="004E48B6">
            <w:pPr>
              <w:jc w:val="center"/>
              <w:rPr>
                <w:sz w:val="18"/>
                <w:szCs w:val="18"/>
                <w:lang w:val="uz-Cyrl-UZ" w:eastAsia="uz-Cyrl-UZ"/>
              </w:rPr>
            </w:pPr>
            <w:r w:rsidRPr="006B42D6">
              <w:rPr>
                <w:sz w:val="18"/>
                <w:szCs w:val="18"/>
                <w:lang w:val="uz-Cyrl-UZ" w:eastAsia="uz-Cyrl-UZ"/>
              </w:rPr>
              <w:t>3.2</w:t>
            </w:r>
          </w:p>
        </w:tc>
        <w:tc>
          <w:tcPr>
            <w:tcW w:w="1423" w:type="dxa"/>
            <w:tcBorders>
              <w:top w:val="nil"/>
              <w:left w:val="nil"/>
              <w:bottom w:val="nil"/>
              <w:right w:val="nil"/>
            </w:tcBorders>
            <w:shd w:val="clear" w:color="auto" w:fill="auto"/>
            <w:noWrap/>
            <w:vAlign w:val="center"/>
            <w:hideMark/>
          </w:tcPr>
          <w:p w14:paraId="68F4A119" w14:textId="0048A132" w:rsidR="00D163D4" w:rsidRPr="006B42D6" w:rsidRDefault="00D163D4" w:rsidP="004E48B6">
            <w:pPr>
              <w:jc w:val="center"/>
              <w:rPr>
                <w:sz w:val="18"/>
                <w:szCs w:val="18"/>
                <w:lang w:val="uz-Cyrl-UZ" w:eastAsia="uz-Cyrl-UZ"/>
              </w:rPr>
            </w:pPr>
            <w:r w:rsidRPr="006B42D6">
              <w:rPr>
                <w:sz w:val="18"/>
                <w:szCs w:val="18"/>
                <w:lang w:val="uz-Cyrl-UZ" w:eastAsia="uz-Cyrl-UZ"/>
              </w:rPr>
              <w:t>28,729</w:t>
            </w:r>
          </w:p>
        </w:tc>
        <w:tc>
          <w:tcPr>
            <w:tcW w:w="845" w:type="dxa"/>
            <w:tcBorders>
              <w:top w:val="nil"/>
              <w:left w:val="nil"/>
              <w:bottom w:val="nil"/>
              <w:right w:val="single" w:sz="4" w:space="0" w:color="auto"/>
            </w:tcBorders>
            <w:shd w:val="clear" w:color="auto" w:fill="auto"/>
            <w:noWrap/>
            <w:vAlign w:val="center"/>
            <w:hideMark/>
          </w:tcPr>
          <w:p w14:paraId="0BD526DC" w14:textId="6851137D" w:rsidR="00D163D4" w:rsidRPr="006B42D6" w:rsidRDefault="00D163D4" w:rsidP="004E48B6">
            <w:pPr>
              <w:jc w:val="center"/>
              <w:rPr>
                <w:sz w:val="18"/>
                <w:szCs w:val="18"/>
                <w:lang w:val="uz-Cyrl-UZ" w:eastAsia="uz-Cyrl-UZ"/>
              </w:rPr>
            </w:pPr>
            <w:r w:rsidRPr="006B42D6">
              <w:rPr>
                <w:sz w:val="18"/>
                <w:szCs w:val="18"/>
                <w:lang w:val="uz-Cyrl-UZ" w:eastAsia="uz-Cyrl-UZ"/>
              </w:rPr>
              <w:t>3.2</w:t>
            </w:r>
          </w:p>
        </w:tc>
        <w:tc>
          <w:tcPr>
            <w:tcW w:w="1423" w:type="dxa"/>
            <w:tcBorders>
              <w:top w:val="nil"/>
              <w:left w:val="nil"/>
              <w:bottom w:val="nil"/>
              <w:right w:val="nil"/>
            </w:tcBorders>
            <w:shd w:val="clear" w:color="auto" w:fill="auto"/>
            <w:noWrap/>
            <w:vAlign w:val="center"/>
            <w:hideMark/>
          </w:tcPr>
          <w:p w14:paraId="0B40732F" w14:textId="1AA37824" w:rsidR="00D163D4" w:rsidRPr="006B42D6" w:rsidRDefault="00D163D4" w:rsidP="004E48B6">
            <w:pPr>
              <w:jc w:val="center"/>
              <w:rPr>
                <w:sz w:val="18"/>
                <w:szCs w:val="18"/>
                <w:lang w:val="uz-Cyrl-UZ" w:eastAsia="uz-Cyrl-UZ"/>
              </w:rPr>
            </w:pPr>
            <w:r w:rsidRPr="006B42D6">
              <w:rPr>
                <w:sz w:val="18"/>
                <w:szCs w:val="18"/>
                <w:lang w:val="uz-Cyrl-UZ" w:eastAsia="uz-Cyrl-UZ"/>
              </w:rPr>
              <w:t>549</w:t>
            </w:r>
          </w:p>
        </w:tc>
        <w:tc>
          <w:tcPr>
            <w:tcW w:w="845" w:type="dxa"/>
            <w:tcBorders>
              <w:top w:val="nil"/>
              <w:left w:val="nil"/>
              <w:bottom w:val="nil"/>
              <w:right w:val="nil"/>
            </w:tcBorders>
            <w:shd w:val="clear" w:color="auto" w:fill="auto"/>
            <w:noWrap/>
            <w:vAlign w:val="center"/>
            <w:hideMark/>
          </w:tcPr>
          <w:p w14:paraId="428F7A76" w14:textId="4515E826" w:rsidR="00D163D4" w:rsidRPr="006B42D6" w:rsidRDefault="00D163D4" w:rsidP="004E48B6">
            <w:pPr>
              <w:jc w:val="center"/>
              <w:rPr>
                <w:sz w:val="18"/>
                <w:szCs w:val="18"/>
                <w:lang w:val="uz-Cyrl-UZ" w:eastAsia="uz-Cyrl-UZ"/>
              </w:rPr>
            </w:pPr>
            <w:r w:rsidRPr="006B42D6">
              <w:rPr>
                <w:sz w:val="18"/>
                <w:szCs w:val="18"/>
                <w:lang w:val="uz-Cyrl-UZ" w:eastAsia="uz-Cyrl-UZ"/>
              </w:rPr>
              <w:t>3.1</w:t>
            </w:r>
          </w:p>
        </w:tc>
      </w:tr>
      <w:tr w:rsidR="004E48B6" w:rsidRPr="006B42D6" w14:paraId="763B0C29" w14:textId="77777777" w:rsidTr="004E48B6">
        <w:trPr>
          <w:trHeight w:hRule="exact" w:val="340"/>
        </w:trPr>
        <w:tc>
          <w:tcPr>
            <w:tcW w:w="2835" w:type="dxa"/>
            <w:tcBorders>
              <w:top w:val="nil"/>
              <w:left w:val="nil"/>
              <w:bottom w:val="nil"/>
              <w:right w:val="nil"/>
            </w:tcBorders>
            <w:shd w:val="clear" w:color="auto" w:fill="auto"/>
            <w:vAlign w:val="center"/>
            <w:hideMark/>
          </w:tcPr>
          <w:p w14:paraId="329B49C4" w14:textId="77777777" w:rsidR="00D163D4" w:rsidRPr="006B42D6" w:rsidRDefault="00D163D4" w:rsidP="004E48B6">
            <w:pPr>
              <w:jc w:val="left"/>
              <w:rPr>
                <w:sz w:val="18"/>
                <w:szCs w:val="18"/>
                <w:lang w:val="uz-Cyrl-UZ" w:eastAsia="uz-Cyrl-UZ"/>
              </w:rPr>
            </w:pPr>
            <w:r w:rsidRPr="006B42D6">
              <w:rPr>
                <w:sz w:val="18"/>
                <w:szCs w:val="18"/>
                <w:lang w:val="uz-Cyrl-UZ" w:eastAsia="uz-Cyrl-UZ"/>
              </w:rPr>
              <w:t>Group formation and strengthening</w:t>
            </w:r>
          </w:p>
        </w:tc>
        <w:tc>
          <w:tcPr>
            <w:tcW w:w="1423" w:type="dxa"/>
            <w:tcBorders>
              <w:top w:val="nil"/>
              <w:left w:val="nil"/>
              <w:bottom w:val="nil"/>
              <w:right w:val="nil"/>
            </w:tcBorders>
            <w:shd w:val="clear" w:color="auto" w:fill="auto"/>
            <w:noWrap/>
            <w:vAlign w:val="center"/>
            <w:hideMark/>
          </w:tcPr>
          <w:p w14:paraId="0A69A159" w14:textId="36CDD248" w:rsidR="00D163D4" w:rsidRPr="006B42D6" w:rsidRDefault="00D163D4" w:rsidP="004E48B6">
            <w:pPr>
              <w:jc w:val="center"/>
              <w:rPr>
                <w:sz w:val="18"/>
                <w:szCs w:val="18"/>
                <w:lang w:val="uz-Cyrl-UZ" w:eastAsia="uz-Cyrl-UZ"/>
              </w:rPr>
            </w:pPr>
            <w:r w:rsidRPr="006B42D6">
              <w:rPr>
                <w:sz w:val="18"/>
                <w:szCs w:val="18"/>
                <w:lang w:val="uz-Cyrl-UZ" w:eastAsia="uz-Cyrl-UZ"/>
              </w:rPr>
              <w:t>21,601</w:t>
            </w:r>
          </w:p>
        </w:tc>
        <w:tc>
          <w:tcPr>
            <w:tcW w:w="897" w:type="dxa"/>
            <w:tcBorders>
              <w:top w:val="nil"/>
              <w:left w:val="nil"/>
              <w:bottom w:val="nil"/>
              <w:right w:val="single" w:sz="4" w:space="0" w:color="auto"/>
            </w:tcBorders>
            <w:shd w:val="clear" w:color="auto" w:fill="auto"/>
            <w:noWrap/>
            <w:vAlign w:val="center"/>
            <w:hideMark/>
          </w:tcPr>
          <w:p w14:paraId="115F8F34" w14:textId="1F629884" w:rsidR="00D163D4" w:rsidRPr="006B42D6" w:rsidRDefault="00D163D4" w:rsidP="004E48B6">
            <w:pPr>
              <w:jc w:val="center"/>
              <w:rPr>
                <w:sz w:val="18"/>
                <w:szCs w:val="18"/>
                <w:lang w:val="uz-Cyrl-UZ" w:eastAsia="uz-Cyrl-UZ"/>
              </w:rPr>
            </w:pPr>
            <w:r w:rsidRPr="006B42D6">
              <w:rPr>
                <w:sz w:val="18"/>
                <w:szCs w:val="18"/>
                <w:lang w:val="uz-Cyrl-UZ" w:eastAsia="uz-Cyrl-UZ"/>
              </w:rPr>
              <w:t>2.3</w:t>
            </w:r>
          </w:p>
        </w:tc>
        <w:tc>
          <w:tcPr>
            <w:tcW w:w="1423" w:type="dxa"/>
            <w:tcBorders>
              <w:top w:val="nil"/>
              <w:left w:val="nil"/>
              <w:bottom w:val="nil"/>
              <w:right w:val="nil"/>
            </w:tcBorders>
            <w:shd w:val="clear" w:color="auto" w:fill="auto"/>
            <w:noWrap/>
            <w:vAlign w:val="center"/>
            <w:hideMark/>
          </w:tcPr>
          <w:p w14:paraId="1A057664" w14:textId="22BB675F" w:rsidR="00D163D4" w:rsidRPr="006B42D6" w:rsidRDefault="00D163D4" w:rsidP="004E48B6">
            <w:pPr>
              <w:jc w:val="center"/>
              <w:rPr>
                <w:sz w:val="18"/>
                <w:szCs w:val="18"/>
                <w:lang w:val="uz-Cyrl-UZ" w:eastAsia="uz-Cyrl-UZ"/>
              </w:rPr>
            </w:pPr>
            <w:r w:rsidRPr="006B42D6">
              <w:rPr>
                <w:sz w:val="18"/>
                <w:szCs w:val="18"/>
                <w:lang w:val="uz-Cyrl-UZ" w:eastAsia="uz-Cyrl-UZ"/>
              </w:rPr>
              <w:t>21,054</w:t>
            </w:r>
          </w:p>
        </w:tc>
        <w:tc>
          <w:tcPr>
            <w:tcW w:w="845" w:type="dxa"/>
            <w:tcBorders>
              <w:top w:val="nil"/>
              <w:left w:val="nil"/>
              <w:bottom w:val="nil"/>
              <w:right w:val="single" w:sz="4" w:space="0" w:color="auto"/>
            </w:tcBorders>
            <w:shd w:val="clear" w:color="auto" w:fill="auto"/>
            <w:noWrap/>
            <w:vAlign w:val="center"/>
            <w:hideMark/>
          </w:tcPr>
          <w:p w14:paraId="5E9B8C27" w14:textId="6EE353B7" w:rsidR="00D163D4" w:rsidRPr="006B42D6" w:rsidRDefault="00D163D4" w:rsidP="004E48B6">
            <w:pPr>
              <w:jc w:val="center"/>
              <w:rPr>
                <w:sz w:val="18"/>
                <w:szCs w:val="18"/>
                <w:lang w:val="uz-Cyrl-UZ" w:eastAsia="uz-Cyrl-UZ"/>
              </w:rPr>
            </w:pPr>
            <w:r w:rsidRPr="006B42D6">
              <w:rPr>
                <w:sz w:val="18"/>
                <w:szCs w:val="18"/>
                <w:lang w:val="uz-Cyrl-UZ" w:eastAsia="uz-Cyrl-UZ"/>
              </w:rPr>
              <w:t>2.3</w:t>
            </w:r>
          </w:p>
        </w:tc>
        <w:tc>
          <w:tcPr>
            <w:tcW w:w="1423" w:type="dxa"/>
            <w:tcBorders>
              <w:top w:val="nil"/>
              <w:left w:val="nil"/>
              <w:bottom w:val="nil"/>
              <w:right w:val="nil"/>
            </w:tcBorders>
            <w:shd w:val="clear" w:color="auto" w:fill="auto"/>
            <w:noWrap/>
            <w:vAlign w:val="center"/>
            <w:hideMark/>
          </w:tcPr>
          <w:p w14:paraId="105CAC5B" w14:textId="47C7532B" w:rsidR="00D163D4" w:rsidRPr="006B42D6" w:rsidRDefault="00D163D4" w:rsidP="004E48B6">
            <w:pPr>
              <w:jc w:val="center"/>
              <w:rPr>
                <w:sz w:val="18"/>
                <w:szCs w:val="18"/>
                <w:lang w:val="uz-Cyrl-UZ" w:eastAsia="uz-Cyrl-UZ"/>
              </w:rPr>
            </w:pPr>
            <w:r w:rsidRPr="006B42D6">
              <w:rPr>
                <w:sz w:val="18"/>
                <w:szCs w:val="18"/>
                <w:lang w:val="uz-Cyrl-UZ" w:eastAsia="uz-Cyrl-UZ"/>
              </w:rPr>
              <w:t>547</w:t>
            </w:r>
          </w:p>
        </w:tc>
        <w:tc>
          <w:tcPr>
            <w:tcW w:w="845" w:type="dxa"/>
            <w:tcBorders>
              <w:top w:val="nil"/>
              <w:left w:val="nil"/>
              <w:bottom w:val="nil"/>
              <w:right w:val="nil"/>
            </w:tcBorders>
            <w:shd w:val="clear" w:color="auto" w:fill="auto"/>
            <w:noWrap/>
            <w:vAlign w:val="center"/>
            <w:hideMark/>
          </w:tcPr>
          <w:p w14:paraId="4E4CE005" w14:textId="41A7AC68" w:rsidR="00D163D4" w:rsidRPr="006B42D6" w:rsidRDefault="00D163D4" w:rsidP="004E48B6">
            <w:pPr>
              <w:jc w:val="center"/>
              <w:rPr>
                <w:sz w:val="18"/>
                <w:szCs w:val="18"/>
                <w:lang w:val="uz-Cyrl-UZ" w:eastAsia="uz-Cyrl-UZ"/>
              </w:rPr>
            </w:pPr>
            <w:r w:rsidRPr="006B42D6">
              <w:rPr>
                <w:sz w:val="18"/>
                <w:szCs w:val="18"/>
                <w:lang w:val="uz-Cyrl-UZ" w:eastAsia="uz-Cyrl-UZ"/>
              </w:rPr>
              <w:t>3.1</w:t>
            </w:r>
          </w:p>
        </w:tc>
      </w:tr>
      <w:tr w:rsidR="004E48B6" w:rsidRPr="006B42D6" w14:paraId="0872D33C" w14:textId="77777777" w:rsidTr="004E48B6">
        <w:trPr>
          <w:trHeight w:hRule="exact" w:val="340"/>
        </w:trPr>
        <w:tc>
          <w:tcPr>
            <w:tcW w:w="2835" w:type="dxa"/>
            <w:tcBorders>
              <w:top w:val="nil"/>
              <w:left w:val="nil"/>
              <w:bottom w:val="nil"/>
              <w:right w:val="nil"/>
            </w:tcBorders>
            <w:shd w:val="clear" w:color="auto" w:fill="auto"/>
            <w:vAlign w:val="center"/>
            <w:hideMark/>
          </w:tcPr>
          <w:p w14:paraId="524E73C2" w14:textId="77777777" w:rsidR="00D163D4" w:rsidRPr="006B42D6" w:rsidRDefault="00D163D4" w:rsidP="004E48B6">
            <w:pPr>
              <w:jc w:val="left"/>
              <w:rPr>
                <w:sz w:val="18"/>
                <w:szCs w:val="18"/>
                <w:lang w:val="uz-Cyrl-UZ" w:eastAsia="uz-Cyrl-UZ"/>
              </w:rPr>
            </w:pPr>
            <w:r w:rsidRPr="006B42D6">
              <w:rPr>
                <w:sz w:val="18"/>
                <w:szCs w:val="18"/>
                <w:lang w:val="uz-Cyrl-UZ" w:eastAsia="uz-Cyrl-UZ"/>
              </w:rPr>
              <w:t>Calf rearing</w:t>
            </w:r>
          </w:p>
        </w:tc>
        <w:tc>
          <w:tcPr>
            <w:tcW w:w="1423" w:type="dxa"/>
            <w:tcBorders>
              <w:top w:val="nil"/>
              <w:left w:val="nil"/>
              <w:bottom w:val="nil"/>
              <w:right w:val="nil"/>
            </w:tcBorders>
            <w:shd w:val="clear" w:color="auto" w:fill="auto"/>
            <w:noWrap/>
            <w:vAlign w:val="center"/>
            <w:hideMark/>
          </w:tcPr>
          <w:p w14:paraId="26BBC4DA" w14:textId="5758A726" w:rsidR="00D163D4" w:rsidRPr="006B42D6" w:rsidRDefault="00D163D4" w:rsidP="004E48B6">
            <w:pPr>
              <w:jc w:val="center"/>
              <w:rPr>
                <w:sz w:val="18"/>
                <w:szCs w:val="18"/>
                <w:lang w:val="uz-Cyrl-UZ" w:eastAsia="uz-Cyrl-UZ"/>
              </w:rPr>
            </w:pPr>
            <w:r w:rsidRPr="006B42D6">
              <w:rPr>
                <w:sz w:val="18"/>
                <w:szCs w:val="18"/>
                <w:lang w:val="uz-Cyrl-UZ" w:eastAsia="uz-Cyrl-UZ"/>
              </w:rPr>
              <w:t>63,586</w:t>
            </w:r>
          </w:p>
        </w:tc>
        <w:tc>
          <w:tcPr>
            <w:tcW w:w="897" w:type="dxa"/>
            <w:tcBorders>
              <w:top w:val="nil"/>
              <w:left w:val="nil"/>
              <w:bottom w:val="nil"/>
              <w:right w:val="single" w:sz="4" w:space="0" w:color="auto"/>
            </w:tcBorders>
            <w:shd w:val="clear" w:color="auto" w:fill="auto"/>
            <w:noWrap/>
            <w:vAlign w:val="center"/>
            <w:hideMark/>
          </w:tcPr>
          <w:p w14:paraId="0C7B9DD7" w14:textId="53D17972" w:rsidR="00D163D4" w:rsidRPr="006B42D6" w:rsidRDefault="00D163D4" w:rsidP="004E48B6">
            <w:pPr>
              <w:jc w:val="center"/>
              <w:rPr>
                <w:sz w:val="18"/>
                <w:szCs w:val="18"/>
                <w:lang w:val="uz-Cyrl-UZ" w:eastAsia="uz-Cyrl-UZ"/>
              </w:rPr>
            </w:pPr>
            <w:r w:rsidRPr="006B42D6">
              <w:rPr>
                <w:sz w:val="18"/>
                <w:szCs w:val="18"/>
                <w:lang w:val="uz-Cyrl-UZ" w:eastAsia="uz-Cyrl-UZ"/>
              </w:rPr>
              <w:t>6.8</w:t>
            </w:r>
          </w:p>
        </w:tc>
        <w:tc>
          <w:tcPr>
            <w:tcW w:w="1423" w:type="dxa"/>
            <w:tcBorders>
              <w:top w:val="nil"/>
              <w:left w:val="nil"/>
              <w:bottom w:val="nil"/>
              <w:right w:val="nil"/>
            </w:tcBorders>
            <w:shd w:val="clear" w:color="auto" w:fill="auto"/>
            <w:noWrap/>
            <w:vAlign w:val="center"/>
            <w:hideMark/>
          </w:tcPr>
          <w:p w14:paraId="7D62EEE2" w14:textId="26793E0B" w:rsidR="00D163D4" w:rsidRPr="006B42D6" w:rsidRDefault="00D163D4" w:rsidP="004E48B6">
            <w:pPr>
              <w:jc w:val="center"/>
              <w:rPr>
                <w:sz w:val="18"/>
                <w:szCs w:val="18"/>
                <w:lang w:val="uz-Cyrl-UZ" w:eastAsia="uz-Cyrl-UZ"/>
              </w:rPr>
            </w:pPr>
            <w:r w:rsidRPr="006B42D6">
              <w:rPr>
                <w:sz w:val="18"/>
                <w:szCs w:val="18"/>
                <w:lang w:val="uz-Cyrl-UZ" w:eastAsia="uz-Cyrl-UZ"/>
              </w:rPr>
              <w:t>61,388</w:t>
            </w:r>
          </w:p>
        </w:tc>
        <w:tc>
          <w:tcPr>
            <w:tcW w:w="845" w:type="dxa"/>
            <w:tcBorders>
              <w:top w:val="nil"/>
              <w:left w:val="nil"/>
              <w:bottom w:val="nil"/>
              <w:right w:val="single" w:sz="4" w:space="0" w:color="auto"/>
            </w:tcBorders>
            <w:shd w:val="clear" w:color="auto" w:fill="auto"/>
            <w:noWrap/>
            <w:vAlign w:val="center"/>
            <w:hideMark/>
          </w:tcPr>
          <w:p w14:paraId="577353A1" w14:textId="0ACDB345" w:rsidR="00D163D4" w:rsidRPr="006B42D6" w:rsidRDefault="00D163D4" w:rsidP="004E48B6">
            <w:pPr>
              <w:jc w:val="center"/>
              <w:rPr>
                <w:sz w:val="18"/>
                <w:szCs w:val="18"/>
                <w:lang w:val="uz-Cyrl-UZ" w:eastAsia="uz-Cyrl-UZ"/>
              </w:rPr>
            </w:pPr>
            <w:r w:rsidRPr="006B42D6">
              <w:rPr>
                <w:sz w:val="18"/>
                <w:szCs w:val="18"/>
                <w:lang w:val="uz-Cyrl-UZ" w:eastAsia="uz-Cyrl-UZ"/>
              </w:rPr>
              <w:t>6.7</w:t>
            </w:r>
          </w:p>
        </w:tc>
        <w:tc>
          <w:tcPr>
            <w:tcW w:w="1423" w:type="dxa"/>
            <w:tcBorders>
              <w:top w:val="nil"/>
              <w:left w:val="nil"/>
              <w:bottom w:val="nil"/>
              <w:right w:val="nil"/>
            </w:tcBorders>
            <w:shd w:val="clear" w:color="auto" w:fill="auto"/>
            <w:noWrap/>
            <w:vAlign w:val="center"/>
            <w:hideMark/>
          </w:tcPr>
          <w:p w14:paraId="7E5C2751" w14:textId="44C4463C" w:rsidR="00D163D4" w:rsidRPr="006B42D6" w:rsidRDefault="00D163D4" w:rsidP="004E48B6">
            <w:pPr>
              <w:jc w:val="center"/>
              <w:rPr>
                <w:sz w:val="18"/>
                <w:szCs w:val="18"/>
                <w:lang w:val="uz-Cyrl-UZ" w:eastAsia="uz-Cyrl-UZ"/>
              </w:rPr>
            </w:pPr>
            <w:r w:rsidRPr="006B42D6">
              <w:rPr>
                <w:sz w:val="18"/>
                <w:szCs w:val="18"/>
                <w:lang w:val="uz-Cyrl-UZ" w:eastAsia="uz-Cyrl-UZ"/>
              </w:rPr>
              <w:t>2,198</w:t>
            </w:r>
          </w:p>
        </w:tc>
        <w:tc>
          <w:tcPr>
            <w:tcW w:w="845" w:type="dxa"/>
            <w:tcBorders>
              <w:top w:val="nil"/>
              <w:left w:val="nil"/>
              <w:bottom w:val="nil"/>
              <w:right w:val="nil"/>
            </w:tcBorders>
            <w:shd w:val="clear" w:color="auto" w:fill="auto"/>
            <w:noWrap/>
            <w:vAlign w:val="center"/>
            <w:hideMark/>
          </w:tcPr>
          <w:p w14:paraId="305D5AD8" w14:textId="51317F97" w:rsidR="00D163D4" w:rsidRPr="006B42D6" w:rsidRDefault="00D163D4" w:rsidP="004E48B6">
            <w:pPr>
              <w:jc w:val="center"/>
              <w:rPr>
                <w:sz w:val="18"/>
                <w:szCs w:val="18"/>
                <w:lang w:val="uz-Cyrl-UZ" w:eastAsia="uz-Cyrl-UZ"/>
              </w:rPr>
            </w:pPr>
            <w:r w:rsidRPr="006B42D6">
              <w:rPr>
                <w:sz w:val="18"/>
                <w:szCs w:val="18"/>
                <w:lang w:val="uz-Cyrl-UZ" w:eastAsia="uz-Cyrl-UZ"/>
              </w:rPr>
              <w:t>12.5</w:t>
            </w:r>
          </w:p>
        </w:tc>
      </w:tr>
      <w:tr w:rsidR="004E48B6" w:rsidRPr="006B42D6" w14:paraId="6AB54E60" w14:textId="77777777" w:rsidTr="004E48B6">
        <w:trPr>
          <w:trHeight w:hRule="exact" w:val="340"/>
        </w:trPr>
        <w:tc>
          <w:tcPr>
            <w:tcW w:w="2835" w:type="dxa"/>
            <w:tcBorders>
              <w:top w:val="nil"/>
              <w:left w:val="nil"/>
              <w:bottom w:val="nil"/>
              <w:right w:val="nil"/>
            </w:tcBorders>
            <w:shd w:val="clear" w:color="auto" w:fill="auto"/>
            <w:vAlign w:val="center"/>
            <w:hideMark/>
          </w:tcPr>
          <w:p w14:paraId="381E5234" w14:textId="63C175F4" w:rsidR="00D163D4" w:rsidRPr="000D56D1" w:rsidRDefault="00D163D4" w:rsidP="004E48B6">
            <w:pPr>
              <w:jc w:val="left"/>
              <w:rPr>
                <w:sz w:val="18"/>
                <w:szCs w:val="18"/>
                <w:lang w:eastAsia="uz-Cyrl-UZ"/>
              </w:rPr>
            </w:pPr>
            <w:r w:rsidRPr="006B42D6">
              <w:rPr>
                <w:sz w:val="18"/>
                <w:szCs w:val="18"/>
                <w:lang w:val="uz-Cyrl-UZ" w:eastAsia="uz-Cyrl-UZ"/>
              </w:rPr>
              <w:t xml:space="preserve">Use of improved </w:t>
            </w:r>
            <w:r w:rsidR="000D56D1" w:rsidRPr="006B42D6">
              <w:rPr>
                <w:sz w:val="18"/>
                <w:szCs w:val="18"/>
                <w:lang w:val="uz-Cyrl-UZ" w:eastAsia="uz-Cyrl-UZ"/>
              </w:rPr>
              <w:t>bulls/</w:t>
            </w:r>
            <w:r w:rsidR="000D56D1">
              <w:rPr>
                <w:sz w:val="18"/>
                <w:szCs w:val="18"/>
                <w:lang w:eastAsia="uz-Cyrl-UZ"/>
              </w:rPr>
              <w:t>AI</w:t>
            </w:r>
          </w:p>
        </w:tc>
        <w:tc>
          <w:tcPr>
            <w:tcW w:w="1423" w:type="dxa"/>
            <w:tcBorders>
              <w:top w:val="nil"/>
              <w:left w:val="nil"/>
              <w:bottom w:val="nil"/>
              <w:right w:val="nil"/>
            </w:tcBorders>
            <w:shd w:val="clear" w:color="auto" w:fill="auto"/>
            <w:noWrap/>
            <w:vAlign w:val="center"/>
            <w:hideMark/>
          </w:tcPr>
          <w:p w14:paraId="7E447193" w14:textId="49616955" w:rsidR="00D163D4" w:rsidRPr="006B42D6" w:rsidRDefault="00D163D4" w:rsidP="004E48B6">
            <w:pPr>
              <w:jc w:val="center"/>
              <w:rPr>
                <w:sz w:val="18"/>
                <w:szCs w:val="18"/>
                <w:lang w:val="uz-Cyrl-UZ" w:eastAsia="uz-Cyrl-UZ"/>
              </w:rPr>
            </w:pPr>
            <w:r w:rsidRPr="006B42D6">
              <w:rPr>
                <w:sz w:val="18"/>
                <w:szCs w:val="18"/>
                <w:lang w:val="uz-Cyrl-UZ" w:eastAsia="uz-Cyrl-UZ"/>
              </w:rPr>
              <w:t>27,887</w:t>
            </w:r>
          </w:p>
        </w:tc>
        <w:tc>
          <w:tcPr>
            <w:tcW w:w="897" w:type="dxa"/>
            <w:tcBorders>
              <w:top w:val="nil"/>
              <w:left w:val="nil"/>
              <w:bottom w:val="nil"/>
              <w:right w:val="single" w:sz="4" w:space="0" w:color="auto"/>
            </w:tcBorders>
            <w:shd w:val="clear" w:color="auto" w:fill="auto"/>
            <w:noWrap/>
            <w:vAlign w:val="center"/>
            <w:hideMark/>
          </w:tcPr>
          <w:p w14:paraId="22C608B1" w14:textId="1F1FCEDD" w:rsidR="00D163D4" w:rsidRPr="006B42D6" w:rsidRDefault="00D163D4" w:rsidP="004E48B6">
            <w:pPr>
              <w:jc w:val="center"/>
              <w:rPr>
                <w:sz w:val="18"/>
                <w:szCs w:val="18"/>
                <w:lang w:val="uz-Cyrl-UZ" w:eastAsia="uz-Cyrl-UZ"/>
              </w:rPr>
            </w:pPr>
            <w:r w:rsidRPr="006B42D6">
              <w:rPr>
                <w:sz w:val="18"/>
                <w:szCs w:val="18"/>
                <w:lang w:val="uz-Cyrl-UZ" w:eastAsia="uz-Cyrl-UZ"/>
              </w:rPr>
              <w:t>3.0</w:t>
            </w:r>
          </w:p>
        </w:tc>
        <w:tc>
          <w:tcPr>
            <w:tcW w:w="1423" w:type="dxa"/>
            <w:tcBorders>
              <w:top w:val="nil"/>
              <w:left w:val="nil"/>
              <w:bottom w:val="nil"/>
              <w:right w:val="nil"/>
            </w:tcBorders>
            <w:shd w:val="clear" w:color="auto" w:fill="auto"/>
            <w:noWrap/>
            <w:vAlign w:val="center"/>
            <w:hideMark/>
          </w:tcPr>
          <w:p w14:paraId="2248448C" w14:textId="6595ED7E" w:rsidR="00D163D4" w:rsidRPr="006B42D6" w:rsidRDefault="00D163D4" w:rsidP="004E48B6">
            <w:pPr>
              <w:jc w:val="center"/>
              <w:rPr>
                <w:sz w:val="18"/>
                <w:szCs w:val="18"/>
                <w:lang w:val="uz-Cyrl-UZ" w:eastAsia="uz-Cyrl-UZ"/>
              </w:rPr>
            </w:pPr>
            <w:r w:rsidRPr="006B42D6">
              <w:rPr>
                <w:sz w:val="18"/>
                <w:szCs w:val="18"/>
                <w:lang w:val="uz-Cyrl-UZ" w:eastAsia="uz-Cyrl-UZ"/>
              </w:rPr>
              <w:t>27,178</w:t>
            </w:r>
          </w:p>
        </w:tc>
        <w:tc>
          <w:tcPr>
            <w:tcW w:w="845" w:type="dxa"/>
            <w:tcBorders>
              <w:top w:val="nil"/>
              <w:left w:val="nil"/>
              <w:bottom w:val="nil"/>
              <w:right w:val="single" w:sz="4" w:space="0" w:color="auto"/>
            </w:tcBorders>
            <w:shd w:val="clear" w:color="auto" w:fill="auto"/>
            <w:noWrap/>
            <w:vAlign w:val="center"/>
            <w:hideMark/>
          </w:tcPr>
          <w:p w14:paraId="497A64F5" w14:textId="730046FA" w:rsidR="00D163D4" w:rsidRPr="006B42D6" w:rsidRDefault="00D163D4" w:rsidP="004E48B6">
            <w:pPr>
              <w:jc w:val="center"/>
              <w:rPr>
                <w:sz w:val="18"/>
                <w:szCs w:val="18"/>
                <w:lang w:val="uz-Cyrl-UZ" w:eastAsia="uz-Cyrl-UZ"/>
              </w:rPr>
            </w:pPr>
            <w:r w:rsidRPr="006B42D6">
              <w:rPr>
                <w:sz w:val="18"/>
                <w:szCs w:val="18"/>
                <w:lang w:val="uz-Cyrl-UZ" w:eastAsia="uz-Cyrl-UZ"/>
              </w:rPr>
              <w:t>3.0</w:t>
            </w:r>
          </w:p>
        </w:tc>
        <w:tc>
          <w:tcPr>
            <w:tcW w:w="1423" w:type="dxa"/>
            <w:tcBorders>
              <w:top w:val="nil"/>
              <w:left w:val="nil"/>
              <w:bottom w:val="nil"/>
              <w:right w:val="nil"/>
            </w:tcBorders>
            <w:shd w:val="clear" w:color="auto" w:fill="auto"/>
            <w:noWrap/>
            <w:vAlign w:val="center"/>
            <w:hideMark/>
          </w:tcPr>
          <w:p w14:paraId="777FEA62" w14:textId="329BACCF" w:rsidR="00D163D4" w:rsidRPr="006B42D6" w:rsidRDefault="00D163D4" w:rsidP="004E48B6">
            <w:pPr>
              <w:jc w:val="center"/>
              <w:rPr>
                <w:sz w:val="18"/>
                <w:szCs w:val="18"/>
                <w:lang w:val="uz-Cyrl-UZ" w:eastAsia="uz-Cyrl-UZ"/>
              </w:rPr>
            </w:pPr>
            <w:r w:rsidRPr="006B42D6">
              <w:rPr>
                <w:sz w:val="18"/>
                <w:szCs w:val="18"/>
                <w:lang w:val="uz-Cyrl-UZ" w:eastAsia="uz-Cyrl-UZ"/>
              </w:rPr>
              <w:t>709</w:t>
            </w:r>
          </w:p>
        </w:tc>
        <w:tc>
          <w:tcPr>
            <w:tcW w:w="845" w:type="dxa"/>
            <w:tcBorders>
              <w:top w:val="nil"/>
              <w:left w:val="nil"/>
              <w:bottom w:val="nil"/>
              <w:right w:val="nil"/>
            </w:tcBorders>
            <w:shd w:val="clear" w:color="auto" w:fill="auto"/>
            <w:noWrap/>
            <w:vAlign w:val="center"/>
            <w:hideMark/>
          </w:tcPr>
          <w:p w14:paraId="014FBA93" w14:textId="77D34865" w:rsidR="00D163D4" w:rsidRPr="006B42D6" w:rsidRDefault="00D163D4" w:rsidP="004E48B6">
            <w:pPr>
              <w:jc w:val="center"/>
              <w:rPr>
                <w:sz w:val="18"/>
                <w:szCs w:val="18"/>
                <w:lang w:val="uz-Cyrl-UZ" w:eastAsia="uz-Cyrl-UZ"/>
              </w:rPr>
            </w:pPr>
            <w:r w:rsidRPr="006B42D6">
              <w:rPr>
                <w:sz w:val="18"/>
                <w:szCs w:val="18"/>
                <w:lang w:val="uz-Cyrl-UZ" w:eastAsia="uz-Cyrl-UZ"/>
              </w:rPr>
              <w:t>4.0</w:t>
            </w:r>
          </w:p>
        </w:tc>
      </w:tr>
      <w:tr w:rsidR="004E48B6" w:rsidRPr="006B42D6" w14:paraId="72CFC184" w14:textId="77777777" w:rsidTr="004E48B6">
        <w:trPr>
          <w:trHeight w:hRule="exact" w:val="340"/>
        </w:trPr>
        <w:tc>
          <w:tcPr>
            <w:tcW w:w="2835" w:type="dxa"/>
            <w:tcBorders>
              <w:top w:val="nil"/>
              <w:left w:val="nil"/>
              <w:bottom w:val="nil"/>
              <w:right w:val="nil"/>
            </w:tcBorders>
            <w:shd w:val="clear" w:color="auto" w:fill="auto"/>
            <w:vAlign w:val="center"/>
            <w:hideMark/>
          </w:tcPr>
          <w:p w14:paraId="488CA2D3" w14:textId="77777777" w:rsidR="00D163D4" w:rsidRPr="006B42D6" w:rsidRDefault="00D163D4" w:rsidP="004E48B6">
            <w:pPr>
              <w:jc w:val="left"/>
              <w:rPr>
                <w:sz w:val="18"/>
                <w:szCs w:val="18"/>
                <w:lang w:val="uz-Cyrl-UZ" w:eastAsia="uz-Cyrl-UZ"/>
              </w:rPr>
            </w:pPr>
            <w:r w:rsidRPr="006B42D6">
              <w:rPr>
                <w:sz w:val="18"/>
                <w:szCs w:val="18"/>
                <w:lang w:val="uz-Cyrl-UZ" w:eastAsia="uz-Cyrl-UZ"/>
              </w:rPr>
              <w:t>Livestock branding</w:t>
            </w:r>
          </w:p>
        </w:tc>
        <w:tc>
          <w:tcPr>
            <w:tcW w:w="1423" w:type="dxa"/>
            <w:tcBorders>
              <w:top w:val="nil"/>
              <w:left w:val="nil"/>
              <w:bottom w:val="nil"/>
              <w:right w:val="nil"/>
            </w:tcBorders>
            <w:shd w:val="clear" w:color="auto" w:fill="auto"/>
            <w:noWrap/>
            <w:vAlign w:val="center"/>
            <w:hideMark/>
          </w:tcPr>
          <w:p w14:paraId="564F57CF" w14:textId="6668B403" w:rsidR="00D163D4" w:rsidRPr="006B42D6" w:rsidRDefault="00D163D4" w:rsidP="004E48B6">
            <w:pPr>
              <w:jc w:val="center"/>
              <w:rPr>
                <w:sz w:val="18"/>
                <w:szCs w:val="18"/>
                <w:lang w:val="uz-Cyrl-UZ" w:eastAsia="uz-Cyrl-UZ"/>
              </w:rPr>
            </w:pPr>
            <w:r w:rsidRPr="006B42D6">
              <w:rPr>
                <w:sz w:val="18"/>
                <w:szCs w:val="18"/>
                <w:lang w:val="uz-Cyrl-UZ" w:eastAsia="uz-Cyrl-UZ"/>
              </w:rPr>
              <w:t>75,575</w:t>
            </w:r>
          </w:p>
        </w:tc>
        <w:tc>
          <w:tcPr>
            <w:tcW w:w="897" w:type="dxa"/>
            <w:tcBorders>
              <w:top w:val="nil"/>
              <w:left w:val="nil"/>
              <w:bottom w:val="nil"/>
              <w:right w:val="single" w:sz="4" w:space="0" w:color="auto"/>
            </w:tcBorders>
            <w:shd w:val="clear" w:color="auto" w:fill="auto"/>
            <w:noWrap/>
            <w:vAlign w:val="center"/>
            <w:hideMark/>
          </w:tcPr>
          <w:p w14:paraId="3CE89443" w14:textId="6AF8DA06" w:rsidR="00D163D4" w:rsidRPr="006B42D6" w:rsidRDefault="00D163D4" w:rsidP="004E48B6">
            <w:pPr>
              <w:jc w:val="center"/>
              <w:rPr>
                <w:sz w:val="18"/>
                <w:szCs w:val="18"/>
                <w:lang w:val="uz-Cyrl-UZ" w:eastAsia="uz-Cyrl-UZ"/>
              </w:rPr>
            </w:pPr>
            <w:r w:rsidRPr="006B42D6">
              <w:rPr>
                <w:sz w:val="18"/>
                <w:szCs w:val="18"/>
                <w:lang w:val="uz-Cyrl-UZ" w:eastAsia="uz-Cyrl-UZ"/>
              </w:rPr>
              <w:t>8.1</w:t>
            </w:r>
          </w:p>
        </w:tc>
        <w:tc>
          <w:tcPr>
            <w:tcW w:w="1423" w:type="dxa"/>
            <w:tcBorders>
              <w:top w:val="nil"/>
              <w:left w:val="nil"/>
              <w:bottom w:val="nil"/>
              <w:right w:val="nil"/>
            </w:tcBorders>
            <w:shd w:val="clear" w:color="auto" w:fill="auto"/>
            <w:noWrap/>
            <w:vAlign w:val="center"/>
            <w:hideMark/>
          </w:tcPr>
          <w:p w14:paraId="418CB60A" w14:textId="5B567CB6" w:rsidR="00D163D4" w:rsidRPr="006B42D6" w:rsidRDefault="00D163D4" w:rsidP="004E48B6">
            <w:pPr>
              <w:jc w:val="center"/>
              <w:rPr>
                <w:sz w:val="18"/>
                <w:szCs w:val="18"/>
                <w:lang w:val="uz-Cyrl-UZ" w:eastAsia="uz-Cyrl-UZ"/>
              </w:rPr>
            </w:pPr>
            <w:r w:rsidRPr="006B42D6">
              <w:rPr>
                <w:sz w:val="18"/>
                <w:szCs w:val="18"/>
                <w:lang w:val="uz-Cyrl-UZ" w:eastAsia="uz-Cyrl-UZ"/>
              </w:rPr>
              <w:t>75,377</w:t>
            </w:r>
          </w:p>
        </w:tc>
        <w:tc>
          <w:tcPr>
            <w:tcW w:w="845" w:type="dxa"/>
            <w:tcBorders>
              <w:top w:val="nil"/>
              <w:left w:val="nil"/>
              <w:bottom w:val="nil"/>
              <w:right w:val="single" w:sz="4" w:space="0" w:color="auto"/>
            </w:tcBorders>
            <w:shd w:val="clear" w:color="auto" w:fill="auto"/>
            <w:noWrap/>
            <w:vAlign w:val="center"/>
            <w:hideMark/>
          </w:tcPr>
          <w:p w14:paraId="4E308675" w14:textId="019B8A23" w:rsidR="00D163D4" w:rsidRPr="006B42D6" w:rsidRDefault="00D163D4" w:rsidP="004E48B6">
            <w:pPr>
              <w:jc w:val="center"/>
              <w:rPr>
                <w:sz w:val="18"/>
                <w:szCs w:val="18"/>
                <w:lang w:val="uz-Cyrl-UZ" w:eastAsia="uz-Cyrl-UZ"/>
              </w:rPr>
            </w:pPr>
            <w:r w:rsidRPr="006B42D6">
              <w:rPr>
                <w:sz w:val="18"/>
                <w:szCs w:val="18"/>
                <w:lang w:val="uz-Cyrl-UZ" w:eastAsia="uz-Cyrl-UZ"/>
              </w:rPr>
              <w:t>8.3</w:t>
            </w:r>
          </w:p>
        </w:tc>
        <w:tc>
          <w:tcPr>
            <w:tcW w:w="1423" w:type="dxa"/>
            <w:tcBorders>
              <w:top w:val="nil"/>
              <w:left w:val="nil"/>
              <w:bottom w:val="nil"/>
              <w:right w:val="nil"/>
            </w:tcBorders>
            <w:shd w:val="clear" w:color="auto" w:fill="auto"/>
            <w:noWrap/>
            <w:vAlign w:val="center"/>
            <w:hideMark/>
          </w:tcPr>
          <w:p w14:paraId="36A314C4" w14:textId="28B18B89" w:rsidR="00D163D4" w:rsidRPr="006B42D6" w:rsidRDefault="00D163D4" w:rsidP="004E48B6">
            <w:pPr>
              <w:jc w:val="center"/>
              <w:rPr>
                <w:sz w:val="18"/>
                <w:szCs w:val="18"/>
                <w:lang w:val="uz-Cyrl-UZ" w:eastAsia="uz-Cyrl-UZ"/>
              </w:rPr>
            </w:pPr>
            <w:r w:rsidRPr="006B42D6">
              <w:rPr>
                <w:sz w:val="18"/>
                <w:szCs w:val="18"/>
                <w:lang w:val="uz-Cyrl-UZ" w:eastAsia="uz-Cyrl-UZ"/>
              </w:rPr>
              <w:t>198</w:t>
            </w:r>
          </w:p>
        </w:tc>
        <w:tc>
          <w:tcPr>
            <w:tcW w:w="845" w:type="dxa"/>
            <w:tcBorders>
              <w:top w:val="nil"/>
              <w:left w:val="nil"/>
              <w:bottom w:val="nil"/>
              <w:right w:val="nil"/>
            </w:tcBorders>
            <w:shd w:val="clear" w:color="auto" w:fill="auto"/>
            <w:noWrap/>
            <w:vAlign w:val="center"/>
            <w:hideMark/>
          </w:tcPr>
          <w:p w14:paraId="29606A03" w14:textId="24D267D0" w:rsidR="00D163D4" w:rsidRPr="006B42D6" w:rsidRDefault="00D163D4" w:rsidP="004E48B6">
            <w:pPr>
              <w:jc w:val="center"/>
              <w:rPr>
                <w:sz w:val="18"/>
                <w:szCs w:val="18"/>
                <w:lang w:val="uz-Cyrl-UZ" w:eastAsia="uz-Cyrl-UZ"/>
              </w:rPr>
            </w:pPr>
            <w:r w:rsidRPr="006B42D6">
              <w:rPr>
                <w:sz w:val="18"/>
                <w:szCs w:val="18"/>
                <w:lang w:val="uz-Cyrl-UZ" w:eastAsia="uz-Cyrl-UZ"/>
              </w:rPr>
              <w:t>1.1</w:t>
            </w:r>
          </w:p>
        </w:tc>
      </w:tr>
      <w:tr w:rsidR="004E48B6" w:rsidRPr="006B42D6" w14:paraId="2E32CA73" w14:textId="77777777" w:rsidTr="004E48B6">
        <w:trPr>
          <w:trHeight w:hRule="exact" w:val="340"/>
        </w:trPr>
        <w:tc>
          <w:tcPr>
            <w:tcW w:w="2835" w:type="dxa"/>
            <w:tcBorders>
              <w:top w:val="nil"/>
              <w:left w:val="nil"/>
              <w:bottom w:val="nil"/>
              <w:right w:val="nil"/>
            </w:tcBorders>
            <w:shd w:val="clear" w:color="auto" w:fill="auto"/>
            <w:vAlign w:val="center"/>
            <w:hideMark/>
          </w:tcPr>
          <w:p w14:paraId="273FC949" w14:textId="77777777" w:rsidR="00D163D4" w:rsidRPr="006B42D6" w:rsidRDefault="00D163D4" w:rsidP="004E48B6">
            <w:pPr>
              <w:jc w:val="left"/>
              <w:rPr>
                <w:sz w:val="18"/>
                <w:szCs w:val="18"/>
                <w:lang w:val="uz-Cyrl-UZ" w:eastAsia="uz-Cyrl-UZ"/>
              </w:rPr>
            </w:pPr>
            <w:r w:rsidRPr="006B42D6">
              <w:rPr>
                <w:sz w:val="18"/>
                <w:szCs w:val="18"/>
                <w:lang w:val="uz-Cyrl-UZ" w:eastAsia="uz-Cyrl-UZ"/>
              </w:rPr>
              <w:t>Castration</w:t>
            </w:r>
          </w:p>
        </w:tc>
        <w:tc>
          <w:tcPr>
            <w:tcW w:w="1423" w:type="dxa"/>
            <w:tcBorders>
              <w:top w:val="nil"/>
              <w:left w:val="nil"/>
              <w:bottom w:val="nil"/>
              <w:right w:val="nil"/>
            </w:tcBorders>
            <w:shd w:val="clear" w:color="auto" w:fill="auto"/>
            <w:noWrap/>
            <w:vAlign w:val="center"/>
            <w:hideMark/>
          </w:tcPr>
          <w:p w14:paraId="5519B163" w14:textId="1A0D7CFE" w:rsidR="00D163D4" w:rsidRPr="006B42D6" w:rsidRDefault="00D163D4" w:rsidP="004E48B6">
            <w:pPr>
              <w:jc w:val="center"/>
              <w:rPr>
                <w:sz w:val="18"/>
                <w:szCs w:val="18"/>
                <w:lang w:val="uz-Cyrl-UZ" w:eastAsia="uz-Cyrl-UZ"/>
              </w:rPr>
            </w:pPr>
            <w:r w:rsidRPr="006B42D6">
              <w:rPr>
                <w:sz w:val="18"/>
                <w:szCs w:val="18"/>
                <w:lang w:val="uz-Cyrl-UZ" w:eastAsia="uz-Cyrl-UZ"/>
              </w:rPr>
              <w:t>42,075</w:t>
            </w:r>
          </w:p>
        </w:tc>
        <w:tc>
          <w:tcPr>
            <w:tcW w:w="897" w:type="dxa"/>
            <w:tcBorders>
              <w:top w:val="nil"/>
              <w:left w:val="nil"/>
              <w:bottom w:val="nil"/>
              <w:right w:val="single" w:sz="4" w:space="0" w:color="auto"/>
            </w:tcBorders>
            <w:shd w:val="clear" w:color="auto" w:fill="auto"/>
            <w:noWrap/>
            <w:vAlign w:val="center"/>
            <w:hideMark/>
          </w:tcPr>
          <w:p w14:paraId="55B701D3" w14:textId="71F112F4" w:rsidR="00D163D4" w:rsidRPr="006B42D6" w:rsidRDefault="00D163D4" w:rsidP="004E48B6">
            <w:pPr>
              <w:jc w:val="center"/>
              <w:rPr>
                <w:sz w:val="18"/>
                <w:szCs w:val="18"/>
                <w:lang w:val="uz-Cyrl-UZ" w:eastAsia="uz-Cyrl-UZ"/>
              </w:rPr>
            </w:pPr>
            <w:r w:rsidRPr="006B42D6">
              <w:rPr>
                <w:sz w:val="18"/>
                <w:szCs w:val="18"/>
                <w:lang w:val="uz-Cyrl-UZ" w:eastAsia="uz-Cyrl-UZ"/>
              </w:rPr>
              <w:t>4.5</w:t>
            </w:r>
          </w:p>
        </w:tc>
        <w:tc>
          <w:tcPr>
            <w:tcW w:w="1423" w:type="dxa"/>
            <w:tcBorders>
              <w:top w:val="nil"/>
              <w:left w:val="nil"/>
              <w:bottom w:val="nil"/>
              <w:right w:val="nil"/>
            </w:tcBorders>
            <w:shd w:val="clear" w:color="auto" w:fill="auto"/>
            <w:noWrap/>
            <w:vAlign w:val="center"/>
            <w:hideMark/>
          </w:tcPr>
          <w:p w14:paraId="68CDD3D7" w14:textId="36929D0B" w:rsidR="00D163D4" w:rsidRPr="006B42D6" w:rsidRDefault="00D163D4" w:rsidP="004E48B6">
            <w:pPr>
              <w:jc w:val="center"/>
              <w:rPr>
                <w:sz w:val="18"/>
                <w:szCs w:val="18"/>
                <w:lang w:val="uz-Cyrl-UZ" w:eastAsia="uz-Cyrl-UZ"/>
              </w:rPr>
            </w:pPr>
            <w:r w:rsidRPr="006B42D6">
              <w:rPr>
                <w:sz w:val="18"/>
                <w:szCs w:val="18"/>
                <w:lang w:val="uz-Cyrl-UZ" w:eastAsia="uz-Cyrl-UZ"/>
              </w:rPr>
              <w:t>41,675</w:t>
            </w:r>
          </w:p>
        </w:tc>
        <w:tc>
          <w:tcPr>
            <w:tcW w:w="845" w:type="dxa"/>
            <w:tcBorders>
              <w:top w:val="nil"/>
              <w:left w:val="nil"/>
              <w:bottom w:val="nil"/>
              <w:right w:val="single" w:sz="4" w:space="0" w:color="auto"/>
            </w:tcBorders>
            <w:shd w:val="clear" w:color="auto" w:fill="auto"/>
            <w:noWrap/>
            <w:vAlign w:val="center"/>
            <w:hideMark/>
          </w:tcPr>
          <w:p w14:paraId="3B44D74B" w14:textId="4F9673D2" w:rsidR="00D163D4" w:rsidRPr="006B42D6" w:rsidRDefault="00D163D4" w:rsidP="004E48B6">
            <w:pPr>
              <w:jc w:val="center"/>
              <w:rPr>
                <w:sz w:val="18"/>
                <w:szCs w:val="18"/>
                <w:lang w:val="uz-Cyrl-UZ" w:eastAsia="uz-Cyrl-UZ"/>
              </w:rPr>
            </w:pPr>
            <w:r w:rsidRPr="006B42D6">
              <w:rPr>
                <w:sz w:val="18"/>
                <w:szCs w:val="18"/>
                <w:lang w:val="uz-Cyrl-UZ" w:eastAsia="uz-Cyrl-UZ"/>
              </w:rPr>
              <w:t>4.6</w:t>
            </w:r>
          </w:p>
        </w:tc>
        <w:tc>
          <w:tcPr>
            <w:tcW w:w="1423" w:type="dxa"/>
            <w:tcBorders>
              <w:top w:val="nil"/>
              <w:left w:val="nil"/>
              <w:bottom w:val="nil"/>
              <w:right w:val="nil"/>
            </w:tcBorders>
            <w:shd w:val="clear" w:color="auto" w:fill="auto"/>
            <w:noWrap/>
            <w:vAlign w:val="center"/>
            <w:hideMark/>
          </w:tcPr>
          <w:p w14:paraId="5B041935" w14:textId="6B33BA99" w:rsidR="00D163D4" w:rsidRPr="006B42D6" w:rsidRDefault="00D163D4" w:rsidP="004E48B6">
            <w:pPr>
              <w:jc w:val="center"/>
              <w:rPr>
                <w:sz w:val="18"/>
                <w:szCs w:val="18"/>
                <w:lang w:val="uz-Cyrl-UZ" w:eastAsia="uz-Cyrl-UZ"/>
              </w:rPr>
            </w:pPr>
            <w:r w:rsidRPr="006B42D6">
              <w:rPr>
                <w:sz w:val="18"/>
                <w:szCs w:val="18"/>
                <w:lang w:val="uz-Cyrl-UZ" w:eastAsia="uz-Cyrl-UZ"/>
              </w:rPr>
              <w:t>400</w:t>
            </w:r>
          </w:p>
        </w:tc>
        <w:tc>
          <w:tcPr>
            <w:tcW w:w="845" w:type="dxa"/>
            <w:tcBorders>
              <w:top w:val="nil"/>
              <w:left w:val="nil"/>
              <w:bottom w:val="nil"/>
              <w:right w:val="nil"/>
            </w:tcBorders>
            <w:shd w:val="clear" w:color="auto" w:fill="auto"/>
            <w:noWrap/>
            <w:vAlign w:val="center"/>
            <w:hideMark/>
          </w:tcPr>
          <w:p w14:paraId="4747F29A" w14:textId="6C07CE5A" w:rsidR="00D163D4" w:rsidRPr="006B42D6" w:rsidRDefault="00D163D4" w:rsidP="004E48B6">
            <w:pPr>
              <w:jc w:val="center"/>
              <w:rPr>
                <w:sz w:val="18"/>
                <w:szCs w:val="18"/>
                <w:lang w:val="uz-Cyrl-UZ" w:eastAsia="uz-Cyrl-UZ"/>
              </w:rPr>
            </w:pPr>
            <w:r w:rsidRPr="006B42D6">
              <w:rPr>
                <w:sz w:val="18"/>
                <w:szCs w:val="18"/>
                <w:lang w:val="uz-Cyrl-UZ" w:eastAsia="uz-Cyrl-UZ"/>
              </w:rPr>
              <w:t>2.3</w:t>
            </w:r>
          </w:p>
        </w:tc>
      </w:tr>
      <w:tr w:rsidR="004E48B6" w:rsidRPr="006B42D6" w14:paraId="1C5E2D23" w14:textId="77777777" w:rsidTr="004E48B6">
        <w:trPr>
          <w:trHeight w:hRule="exact" w:val="340"/>
        </w:trPr>
        <w:tc>
          <w:tcPr>
            <w:tcW w:w="2835" w:type="dxa"/>
            <w:tcBorders>
              <w:top w:val="nil"/>
              <w:left w:val="nil"/>
              <w:bottom w:val="single" w:sz="4" w:space="0" w:color="auto"/>
              <w:right w:val="nil"/>
            </w:tcBorders>
            <w:shd w:val="clear" w:color="auto" w:fill="auto"/>
            <w:vAlign w:val="center"/>
            <w:hideMark/>
          </w:tcPr>
          <w:p w14:paraId="6D8D62B5" w14:textId="3BD4A516" w:rsidR="00D163D4" w:rsidRPr="006B42D6" w:rsidRDefault="00D163D4" w:rsidP="004E48B6">
            <w:pPr>
              <w:jc w:val="left"/>
              <w:rPr>
                <w:sz w:val="18"/>
                <w:szCs w:val="18"/>
                <w:lang w:eastAsia="uz-Cyrl-UZ"/>
              </w:rPr>
            </w:pPr>
            <w:r w:rsidRPr="006B42D6">
              <w:rPr>
                <w:sz w:val="18"/>
                <w:szCs w:val="18"/>
                <w:lang w:val="uz-Cyrl-UZ" w:eastAsia="uz-Cyrl-UZ"/>
              </w:rPr>
              <w:t>Others</w:t>
            </w:r>
            <w:r w:rsidR="000D56D1" w:rsidRPr="006B42D6">
              <w:rPr>
                <w:sz w:val="18"/>
                <w:szCs w:val="18"/>
                <w:lang w:eastAsia="uz-Cyrl-UZ"/>
              </w:rPr>
              <w:t xml:space="preserve"> advices</w:t>
            </w:r>
          </w:p>
        </w:tc>
        <w:tc>
          <w:tcPr>
            <w:tcW w:w="1423" w:type="dxa"/>
            <w:tcBorders>
              <w:top w:val="nil"/>
              <w:left w:val="nil"/>
              <w:bottom w:val="single" w:sz="4" w:space="0" w:color="auto"/>
              <w:right w:val="nil"/>
            </w:tcBorders>
            <w:shd w:val="clear" w:color="auto" w:fill="auto"/>
            <w:noWrap/>
            <w:vAlign w:val="center"/>
            <w:hideMark/>
          </w:tcPr>
          <w:p w14:paraId="6410BE26" w14:textId="25D25CE4" w:rsidR="00D163D4" w:rsidRPr="006B42D6" w:rsidRDefault="00D163D4" w:rsidP="004E48B6">
            <w:pPr>
              <w:jc w:val="center"/>
              <w:rPr>
                <w:sz w:val="18"/>
                <w:szCs w:val="18"/>
                <w:lang w:val="uz-Cyrl-UZ" w:eastAsia="uz-Cyrl-UZ"/>
              </w:rPr>
            </w:pPr>
            <w:r w:rsidRPr="006B42D6">
              <w:rPr>
                <w:sz w:val="18"/>
                <w:szCs w:val="18"/>
                <w:lang w:val="uz-Cyrl-UZ" w:eastAsia="uz-Cyrl-UZ"/>
              </w:rPr>
              <w:t>6,827</w:t>
            </w:r>
          </w:p>
        </w:tc>
        <w:tc>
          <w:tcPr>
            <w:tcW w:w="897" w:type="dxa"/>
            <w:tcBorders>
              <w:top w:val="nil"/>
              <w:left w:val="nil"/>
              <w:bottom w:val="single" w:sz="4" w:space="0" w:color="auto"/>
              <w:right w:val="single" w:sz="4" w:space="0" w:color="auto"/>
            </w:tcBorders>
            <w:shd w:val="clear" w:color="auto" w:fill="auto"/>
            <w:noWrap/>
            <w:vAlign w:val="center"/>
            <w:hideMark/>
          </w:tcPr>
          <w:p w14:paraId="715BB681" w14:textId="18F4E3CB" w:rsidR="00D163D4" w:rsidRPr="006B42D6" w:rsidRDefault="00D163D4" w:rsidP="004E48B6">
            <w:pPr>
              <w:jc w:val="center"/>
              <w:rPr>
                <w:sz w:val="18"/>
                <w:szCs w:val="18"/>
                <w:lang w:val="uz-Cyrl-UZ" w:eastAsia="uz-Cyrl-UZ"/>
              </w:rPr>
            </w:pPr>
            <w:r w:rsidRPr="006B42D6">
              <w:rPr>
                <w:sz w:val="18"/>
                <w:szCs w:val="18"/>
                <w:lang w:val="uz-Cyrl-UZ" w:eastAsia="uz-Cyrl-UZ"/>
              </w:rPr>
              <w:t>0.7</w:t>
            </w:r>
          </w:p>
        </w:tc>
        <w:tc>
          <w:tcPr>
            <w:tcW w:w="1423" w:type="dxa"/>
            <w:tcBorders>
              <w:top w:val="nil"/>
              <w:left w:val="nil"/>
              <w:bottom w:val="single" w:sz="4" w:space="0" w:color="auto"/>
              <w:right w:val="nil"/>
            </w:tcBorders>
            <w:shd w:val="clear" w:color="auto" w:fill="auto"/>
            <w:noWrap/>
            <w:vAlign w:val="center"/>
            <w:hideMark/>
          </w:tcPr>
          <w:p w14:paraId="667578FC" w14:textId="208A6224" w:rsidR="00D163D4" w:rsidRPr="006B42D6" w:rsidRDefault="00D163D4" w:rsidP="004E48B6">
            <w:pPr>
              <w:jc w:val="center"/>
              <w:rPr>
                <w:sz w:val="18"/>
                <w:szCs w:val="18"/>
                <w:lang w:val="uz-Cyrl-UZ" w:eastAsia="uz-Cyrl-UZ"/>
              </w:rPr>
            </w:pPr>
            <w:r w:rsidRPr="006B42D6">
              <w:rPr>
                <w:sz w:val="18"/>
                <w:szCs w:val="18"/>
                <w:lang w:val="uz-Cyrl-UZ" w:eastAsia="uz-Cyrl-UZ"/>
              </w:rPr>
              <w:t>6,723</w:t>
            </w:r>
          </w:p>
        </w:tc>
        <w:tc>
          <w:tcPr>
            <w:tcW w:w="845" w:type="dxa"/>
            <w:tcBorders>
              <w:top w:val="nil"/>
              <w:left w:val="nil"/>
              <w:bottom w:val="single" w:sz="4" w:space="0" w:color="auto"/>
              <w:right w:val="single" w:sz="4" w:space="0" w:color="auto"/>
            </w:tcBorders>
            <w:shd w:val="clear" w:color="auto" w:fill="auto"/>
            <w:noWrap/>
            <w:vAlign w:val="center"/>
            <w:hideMark/>
          </w:tcPr>
          <w:p w14:paraId="43AF3AC8" w14:textId="77C3E68B" w:rsidR="00D163D4" w:rsidRPr="006B42D6" w:rsidRDefault="00D163D4" w:rsidP="004E48B6">
            <w:pPr>
              <w:jc w:val="center"/>
              <w:rPr>
                <w:sz w:val="18"/>
                <w:szCs w:val="18"/>
                <w:lang w:val="uz-Cyrl-UZ" w:eastAsia="uz-Cyrl-UZ"/>
              </w:rPr>
            </w:pPr>
            <w:r w:rsidRPr="006B42D6">
              <w:rPr>
                <w:sz w:val="18"/>
                <w:szCs w:val="18"/>
                <w:lang w:val="uz-Cyrl-UZ" w:eastAsia="uz-Cyrl-UZ"/>
              </w:rPr>
              <w:t>0.7</w:t>
            </w:r>
          </w:p>
        </w:tc>
        <w:tc>
          <w:tcPr>
            <w:tcW w:w="1423" w:type="dxa"/>
            <w:tcBorders>
              <w:top w:val="nil"/>
              <w:left w:val="nil"/>
              <w:bottom w:val="single" w:sz="4" w:space="0" w:color="auto"/>
              <w:right w:val="nil"/>
            </w:tcBorders>
            <w:shd w:val="clear" w:color="auto" w:fill="auto"/>
            <w:noWrap/>
            <w:vAlign w:val="center"/>
            <w:hideMark/>
          </w:tcPr>
          <w:p w14:paraId="346EDF54" w14:textId="40563577" w:rsidR="00D163D4" w:rsidRPr="006B42D6" w:rsidRDefault="00D163D4" w:rsidP="004E48B6">
            <w:pPr>
              <w:jc w:val="center"/>
              <w:rPr>
                <w:sz w:val="18"/>
                <w:szCs w:val="18"/>
                <w:lang w:val="uz-Cyrl-UZ" w:eastAsia="uz-Cyrl-UZ"/>
              </w:rPr>
            </w:pPr>
            <w:r w:rsidRPr="006B42D6">
              <w:rPr>
                <w:sz w:val="18"/>
                <w:szCs w:val="18"/>
                <w:lang w:val="uz-Cyrl-UZ" w:eastAsia="uz-Cyrl-UZ"/>
              </w:rPr>
              <w:t>104</w:t>
            </w:r>
          </w:p>
        </w:tc>
        <w:tc>
          <w:tcPr>
            <w:tcW w:w="845" w:type="dxa"/>
            <w:tcBorders>
              <w:top w:val="nil"/>
              <w:left w:val="nil"/>
              <w:bottom w:val="single" w:sz="4" w:space="0" w:color="auto"/>
              <w:right w:val="nil"/>
            </w:tcBorders>
            <w:shd w:val="clear" w:color="auto" w:fill="auto"/>
            <w:noWrap/>
            <w:vAlign w:val="center"/>
            <w:hideMark/>
          </w:tcPr>
          <w:p w14:paraId="1C7A56BC" w14:textId="33C0F996" w:rsidR="00D163D4" w:rsidRPr="006B42D6" w:rsidRDefault="00D163D4" w:rsidP="004E48B6">
            <w:pPr>
              <w:jc w:val="center"/>
              <w:rPr>
                <w:sz w:val="18"/>
                <w:szCs w:val="18"/>
                <w:lang w:val="uz-Cyrl-UZ" w:eastAsia="uz-Cyrl-UZ"/>
              </w:rPr>
            </w:pPr>
            <w:r w:rsidRPr="006B42D6">
              <w:rPr>
                <w:sz w:val="18"/>
                <w:szCs w:val="18"/>
                <w:lang w:val="uz-Cyrl-UZ" w:eastAsia="uz-Cyrl-UZ"/>
              </w:rPr>
              <w:t>0.6</w:t>
            </w:r>
          </w:p>
        </w:tc>
      </w:tr>
    </w:tbl>
    <w:p w14:paraId="6A64D441" w14:textId="77777777" w:rsidR="000E5E14" w:rsidRDefault="000E5E14" w:rsidP="005C2EFC">
      <w:pPr>
        <w:rPr>
          <w:strike/>
        </w:rPr>
      </w:pPr>
    </w:p>
    <w:p w14:paraId="7AD1E6EB" w14:textId="3B853A70" w:rsidR="00D163D4" w:rsidRDefault="00D163D4" w:rsidP="005C2EFC">
      <w:r w:rsidRPr="006B42D6">
        <w:t xml:space="preserve">For the case of advice on disease control in </w:t>
      </w:r>
      <w:r w:rsidR="00EA1552">
        <w:t>Mainland Tanzania</w:t>
      </w:r>
      <w:r w:rsidRPr="006B42D6">
        <w:t>, Mbeya was the leading region by having 17,184 households (10.5</w:t>
      </w:r>
      <w:r w:rsidR="00227600" w:rsidRPr="006B42D6">
        <w:t xml:space="preserve"> </w:t>
      </w:r>
      <w:r w:rsidRPr="006B42D6">
        <w:t xml:space="preserve">percent), followed by Dar es Salaam (13,082; 8.0 percent) and Kagera (12,735; 7.8 </w:t>
      </w:r>
      <w:r w:rsidR="009400E5" w:rsidRPr="006B42D6">
        <w:t>p</w:t>
      </w:r>
      <w:r w:rsidRPr="006B42D6">
        <w:t xml:space="preserve">ercent). The least number of households received advice on disease control </w:t>
      </w:r>
      <w:r w:rsidR="004E48B6">
        <w:t>was</w:t>
      </w:r>
      <w:r w:rsidRPr="006B42D6">
        <w:t xml:space="preserve"> reported in Lindi region (250; 0.2 percent</w:t>
      </w:r>
      <w:r w:rsidR="00E226C3" w:rsidRPr="006B42D6">
        <w:t>)</w:t>
      </w:r>
      <w:r w:rsidRPr="006B42D6">
        <w:t xml:space="preserve"> (Figure </w:t>
      </w:r>
      <w:r w:rsidR="008C39AF" w:rsidRPr="006B42D6">
        <w:t>4.</w:t>
      </w:r>
      <w:r w:rsidR="009400E5" w:rsidRPr="006B42D6">
        <w:t>60</w:t>
      </w:r>
      <w:r w:rsidRPr="006B42D6">
        <w:t>).</w:t>
      </w:r>
    </w:p>
    <w:p w14:paraId="011FB461" w14:textId="77777777" w:rsidR="00E82155" w:rsidRPr="006B42D6" w:rsidRDefault="00E82155" w:rsidP="005C2EFC"/>
    <w:p w14:paraId="049BEFF6" w14:textId="77777777" w:rsidR="00E82155" w:rsidRPr="004E48B6" w:rsidRDefault="00E82155" w:rsidP="00E82155">
      <w:pPr>
        <w:pStyle w:val="Caption"/>
      </w:pPr>
      <w:bookmarkStart w:id="737" w:name="_Toc80120334"/>
      <w:bookmarkStart w:id="738" w:name="_Toc80884210"/>
      <w:bookmarkStart w:id="739" w:name="_Toc80884581"/>
      <w:bookmarkStart w:id="740" w:name="_Toc82386431"/>
      <w:r w:rsidRPr="004E48B6">
        <w:t>Figure 4.60:</w:t>
      </w:r>
      <w:r w:rsidRPr="004E48B6">
        <w:tab/>
        <w:t>Number and Percentage of Households Received Extension Advice on Disease Control for Livestock by Region During 2019/20 Agricultural Year, Mainland Tanzania</w:t>
      </w:r>
      <w:bookmarkEnd w:id="737"/>
      <w:bookmarkEnd w:id="738"/>
      <w:bookmarkEnd w:id="739"/>
      <w:bookmarkEnd w:id="740"/>
    </w:p>
    <w:p w14:paraId="21B1BE11" w14:textId="5FEDED07" w:rsidR="00D163D4" w:rsidRPr="006B42D6" w:rsidRDefault="00E82155" w:rsidP="005C2EFC">
      <w:r>
        <w:rPr>
          <w:noProof/>
        </w:rPr>
        <w:drawing>
          <wp:inline distT="0" distB="0" distL="0" distR="0" wp14:anchorId="45AB035A" wp14:editId="04E559D8">
            <wp:extent cx="5383924" cy="2559685"/>
            <wp:effectExtent l="0" t="0" r="13970" b="18415"/>
            <wp:docPr id="527" name="Chart 487"/>
            <wp:cNvGraphicFramePr/>
            <a:graphic xmlns:a="http://schemas.openxmlformats.org/drawingml/2006/main">
              <a:graphicData uri="http://schemas.openxmlformats.org/drawingml/2006/chart">
                <c:chart xmlns:c="http://schemas.openxmlformats.org/drawingml/2006/chart" xmlns:r="http://schemas.openxmlformats.org/officeDocument/2006/relationships" r:id="rId327"/>
              </a:graphicData>
            </a:graphic>
          </wp:inline>
        </w:drawing>
      </w:r>
    </w:p>
    <w:p w14:paraId="7AEFCB55" w14:textId="6DB46059" w:rsidR="00E64D13" w:rsidRDefault="00E64D13">
      <w:pPr>
        <w:spacing w:line="240" w:lineRule="auto"/>
        <w:contextualSpacing w:val="0"/>
        <w:jc w:val="left"/>
      </w:pPr>
      <w:r>
        <w:br w:type="page"/>
      </w:r>
    </w:p>
    <w:p w14:paraId="3AD56100" w14:textId="7F08F03D" w:rsidR="00D163D4" w:rsidRPr="006B42D6" w:rsidRDefault="00D163D4" w:rsidP="005C2EFC">
      <w:pPr>
        <w:rPr>
          <w:noProof/>
        </w:rPr>
      </w:pPr>
      <w:r w:rsidRPr="006B42D6">
        <w:lastRenderedPageBreak/>
        <w:t xml:space="preserve">Likewise, Dar es Salaam region </w:t>
      </w:r>
      <w:r w:rsidR="00D62B38" w:rsidRPr="006B42D6">
        <w:t>had</w:t>
      </w:r>
      <w:r w:rsidRPr="006B42D6">
        <w:t xml:space="preserve"> the </w:t>
      </w:r>
      <w:r w:rsidR="00C63B45" w:rsidRPr="006B42D6">
        <w:t>largest</w:t>
      </w:r>
      <w:r w:rsidRPr="006B42D6">
        <w:t xml:space="preserve"> number of households received advice on feed and proper feeding (16,448; 13.0 percent), followed by Mbeya (12,380; 9.8 percent) and Songwe (10,927; 8.6 percent). The least number of households received advice on feed and proper feeding of livestock was reported in Katavi region (217; 0.2 percent) (Figure </w:t>
      </w:r>
      <w:r w:rsidR="008C39AF" w:rsidRPr="006B42D6">
        <w:t>4.</w:t>
      </w:r>
      <w:r w:rsidR="00BE513B" w:rsidRPr="006B42D6">
        <w:t>61</w:t>
      </w:r>
      <w:r w:rsidRPr="006B42D6">
        <w:t>)</w:t>
      </w:r>
      <w:r w:rsidRPr="006B42D6">
        <w:rPr>
          <w:noProof/>
        </w:rPr>
        <w:t>.</w:t>
      </w:r>
    </w:p>
    <w:p w14:paraId="26F71A23" w14:textId="77777777" w:rsidR="00D163D4" w:rsidRPr="006B42D6" w:rsidRDefault="00D163D4" w:rsidP="005C2EFC">
      <w:pPr>
        <w:rPr>
          <w:noProof/>
        </w:rPr>
      </w:pPr>
    </w:p>
    <w:p w14:paraId="1B2B6ECC" w14:textId="2D55E910" w:rsidR="00D163D4" w:rsidRPr="006B42D6" w:rsidRDefault="001B26AC" w:rsidP="005C2EFC">
      <w:pPr>
        <w:rPr>
          <w:noProof/>
        </w:rPr>
      </w:pPr>
      <w:r w:rsidRPr="006B42D6">
        <w:rPr>
          <w:noProof/>
        </w:rPr>
        <mc:AlternateContent>
          <mc:Choice Requires="wps">
            <w:drawing>
              <wp:anchor distT="0" distB="0" distL="114300" distR="114300" simplePos="0" relativeHeight="251601920" behindDoc="0" locked="0" layoutInCell="1" allowOverlap="1" wp14:anchorId="4EBA1B05" wp14:editId="600289A6">
                <wp:simplePos x="0" y="0"/>
                <wp:positionH relativeFrom="margin">
                  <wp:align>left</wp:align>
                </wp:positionH>
                <wp:positionV relativeFrom="paragraph">
                  <wp:posOffset>-377</wp:posOffset>
                </wp:positionV>
                <wp:extent cx="5801995" cy="306475"/>
                <wp:effectExtent l="0" t="0" r="8255" b="0"/>
                <wp:wrapNone/>
                <wp:docPr id="524"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01995" cy="306475"/>
                        </a:xfrm>
                        <a:prstGeom prst="rect">
                          <a:avLst/>
                        </a:prstGeom>
                        <a:solidFill>
                          <a:prstClr val="white"/>
                        </a:solidFill>
                        <a:ln>
                          <a:noFill/>
                        </a:ln>
                      </wps:spPr>
                      <wps:txbx>
                        <w:txbxContent>
                          <w:p w14:paraId="5895C246" w14:textId="4FC07160" w:rsidR="00933456" w:rsidRPr="004E48B6" w:rsidRDefault="00933456" w:rsidP="004E48B6">
                            <w:pPr>
                              <w:pStyle w:val="Caption"/>
                            </w:pPr>
                            <w:bookmarkStart w:id="741" w:name="_Toc80120335"/>
                            <w:bookmarkStart w:id="742" w:name="_Toc80884211"/>
                            <w:bookmarkStart w:id="743" w:name="_Toc80884582"/>
                            <w:bookmarkStart w:id="744" w:name="_Toc82386432"/>
                            <w:r w:rsidRPr="004E48B6">
                              <w:t>Figure 4.61:</w:t>
                            </w:r>
                            <w:r w:rsidRPr="004E48B6">
                              <w:tab/>
                              <w:t>Number and Percentage of Households Received Extension Advice on Feed and Proper Feeding for Livestock by Region During 2019/20 Agriculture Year, Mainland Tanzania</w:t>
                            </w:r>
                            <w:bookmarkEnd w:id="741"/>
                            <w:bookmarkEnd w:id="742"/>
                            <w:bookmarkEnd w:id="743"/>
                            <w:bookmarkEnd w:id="74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EBA1B05" id="Text Box 101" o:spid="_x0000_s1111" type="#_x0000_t202" style="position:absolute;left:0;text-align:left;margin-left:0;margin-top:-.05pt;width:456.85pt;height:24.15pt;z-index:2516019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" stroked="f">
                <v:textbox inset="0,0,0,0">
                  <w:txbxContent>
                    <w:p w14:paraId="5895C246" w14:textId="4FC07160" w:rsidR="00933456" w:rsidRPr="004E48B6" w:rsidRDefault="00933456" w:rsidP="004E48B6">
                      <w:pPr>
                        <w:pStyle w:val="Caption"/>
                      </w:pPr>
                      <w:bookmarkStart w:id="1058" w:name="_Toc80120335"/>
                      <w:bookmarkStart w:id="1059" w:name="_Toc80884211"/>
                      <w:bookmarkStart w:id="1060" w:name="_Toc80884582"/>
                      <w:bookmarkStart w:id="1061" w:name="_Toc82386432"/>
                      <w:r w:rsidRPr="004E48B6">
                        <w:t>Figure 4.61:</w:t>
                      </w:r>
                      <w:r w:rsidRPr="004E48B6">
                        <w:tab/>
                        <w:t>Number and Percentage of Households Received Extension Advice on Feed and Proper Feeding for Livestock by Region During 2019/20 Agriculture Year, Mainland Tanzania</w:t>
                      </w:r>
                      <w:bookmarkEnd w:id="1058"/>
                      <w:bookmarkEnd w:id="1059"/>
                      <w:bookmarkEnd w:id="1060"/>
                      <w:bookmarkEnd w:id="1061"/>
                    </w:p>
                  </w:txbxContent>
                </v:textbox>
                <w10:wrap anchorx="margin"/>
              </v:shape>
            </w:pict>
          </mc:Fallback>
        </mc:AlternateContent>
      </w:r>
    </w:p>
    <w:p w14:paraId="6C465954" w14:textId="24B0156F" w:rsidR="00D163D4" w:rsidRPr="008C1D68" w:rsidRDefault="00D163D4" w:rsidP="005C2EFC">
      <w:pPr>
        <w:rPr>
          <w:noProof/>
          <w:sz w:val="10"/>
          <w:szCs w:val="10"/>
        </w:rPr>
      </w:pPr>
    </w:p>
    <w:p w14:paraId="61DDE7D2" w14:textId="0FEE27AA" w:rsidR="00D163D4" w:rsidRPr="006B42D6" w:rsidRDefault="001B26AC" w:rsidP="005C2EFC">
      <w:pPr>
        <w:rPr>
          <w:noProof/>
        </w:rPr>
      </w:pPr>
      <w:r w:rsidRPr="006B42D6">
        <w:rPr>
          <w:noProof/>
        </w:rPr>
        <w:drawing>
          <wp:inline distT="0" distB="0" distL="0" distR="0" wp14:anchorId="368E6674" wp14:editId="04BC960B">
            <wp:extent cx="5674995" cy="3058511"/>
            <wp:effectExtent l="0" t="0" r="14605" b="15240"/>
            <wp:docPr id="32" name="Chart 9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8"/>
              </a:graphicData>
            </a:graphic>
          </wp:inline>
        </w:drawing>
      </w:r>
    </w:p>
    <w:p w14:paraId="44BB05A9" w14:textId="19DAE6D4" w:rsidR="00D163D4" w:rsidRPr="006B42D6" w:rsidRDefault="00D163D4" w:rsidP="005C2EFC">
      <w:pPr>
        <w:rPr>
          <w:noProof/>
        </w:rPr>
      </w:pPr>
    </w:p>
    <w:p w14:paraId="1416D5E7" w14:textId="380BCB4A" w:rsidR="00D163D4" w:rsidRPr="006B42D6" w:rsidRDefault="006A3942" w:rsidP="005C2EFC">
      <w:r>
        <w:rPr>
          <w:noProof/>
        </w:rPr>
        <w:drawing>
          <wp:anchor distT="0" distB="0" distL="114300" distR="114300" simplePos="0" relativeHeight="251599872" behindDoc="0" locked="0" layoutInCell="1" allowOverlap="1" wp14:anchorId="14400561" wp14:editId="6FDECA4F">
            <wp:simplePos x="0" y="0"/>
            <wp:positionH relativeFrom="column">
              <wp:posOffset>2443480</wp:posOffset>
            </wp:positionH>
            <wp:positionV relativeFrom="paragraph">
              <wp:posOffset>706755</wp:posOffset>
            </wp:positionV>
            <wp:extent cx="3491865" cy="2242820"/>
            <wp:effectExtent l="0" t="0" r="13335" b="17780"/>
            <wp:wrapSquare wrapText="bothSides"/>
            <wp:docPr id="523" name="Chart 50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9"/>
              </a:graphicData>
            </a:graphic>
            <wp14:sizeRelH relativeFrom="margin">
              <wp14:pctWidth>0</wp14:pctWidth>
            </wp14:sizeRelH>
          </wp:anchor>
        </w:drawing>
      </w:r>
      <w:r w:rsidR="000E5E14">
        <w:rPr>
          <w:noProof/>
        </w:rPr>
        <mc:AlternateContent>
          <mc:Choice Requires="wps">
            <w:drawing>
              <wp:anchor distT="0" distB="0" distL="114300" distR="114300" simplePos="0" relativeHeight="251598848" behindDoc="0" locked="0" layoutInCell="1" allowOverlap="1" wp14:anchorId="623C1C26" wp14:editId="3CF0E2C7">
                <wp:simplePos x="0" y="0"/>
                <wp:positionH relativeFrom="column">
                  <wp:posOffset>2440305</wp:posOffset>
                </wp:positionH>
                <wp:positionV relativeFrom="paragraph">
                  <wp:posOffset>20692</wp:posOffset>
                </wp:positionV>
                <wp:extent cx="3829050" cy="591185"/>
                <wp:effectExtent l="0" t="0" r="6350" b="5715"/>
                <wp:wrapSquare wrapText="bothSides"/>
                <wp:docPr id="522" name="Text Box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050" cy="5911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4AEBF2" w14:textId="7DC01711" w:rsidR="00933456" w:rsidRPr="004E48B6" w:rsidRDefault="00933456" w:rsidP="004E48B6">
                            <w:pPr>
                              <w:pStyle w:val="Caption"/>
                            </w:pPr>
                            <w:bookmarkStart w:id="745" w:name="_Toc80120336"/>
                            <w:bookmarkStart w:id="746" w:name="_Toc80884212"/>
                            <w:bookmarkStart w:id="747" w:name="_Toc80884583"/>
                            <w:bookmarkStart w:id="748" w:name="_Toc82386433"/>
                            <w:r w:rsidRPr="004E48B6">
                              <w:t>Figure 4.62:</w:t>
                            </w:r>
                            <w:r w:rsidRPr="004E48B6">
                              <w:tab/>
                              <w:t>Number and Percentage of Households Received Extension Advice on Disease Control for Livestock by Region During 2019/20 Agricultural Year, Tanzania Zanzibar</w:t>
                            </w:r>
                            <w:bookmarkEnd w:id="745"/>
                            <w:bookmarkEnd w:id="746"/>
                            <w:bookmarkEnd w:id="747"/>
                            <w:bookmarkEnd w:id="748"/>
                          </w:p>
                          <w:p w14:paraId="494A67B3" w14:textId="77777777" w:rsidR="00933456" w:rsidRPr="004E48B6" w:rsidRDefault="00933456" w:rsidP="004E48B6">
                            <w:pPr>
                              <w:pStyle w:val="Caption"/>
                            </w:pP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623C1C26" id="Text Box 500" o:spid="_x0000_s1112" type="#_x0000_t202" style="position:absolute;left:0;text-align:left;margin-left:192.15pt;margin-top:1.65pt;width:301.5pt;height:46.55pt;z-index:251598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" stroked="f">
                <v:textbox inset="0,0,0,0">
                  <w:txbxContent>
                    <w:p w14:paraId="044AEBF2" w14:textId="7DC01711" w:rsidR="00933456" w:rsidRPr="004E48B6" w:rsidRDefault="00933456" w:rsidP="004E48B6">
                      <w:pPr>
                        <w:pStyle w:val="Caption"/>
                      </w:pPr>
                      <w:bookmarkStart w:id="1066" w:name="_Toc80120336"/>
                      <w:bookmarkStart w:id="1067" w:name="_Toc80884212"/>
                      <w:bookmarkStart w:id="1068" w:name="_Toc80884583"/>
                      <w:bookmarkStart w:id="1069" w:name="_Toc82386433"/>
                      <w:r w:rsidRPr="004E48B6">
                        <w:t>Figure 4.62:</w:t>
                      </w:r>
                      <w:r w:rsidRPr="004E48B6">
                        <w:tab/>
                        <w:t>Number and Percentage of Households Received Extension Advice on Disease Control for Livestock by Region During 2019/20 Agricultural Year, Tanzania Zanzibar</w:t>
                      </w:r>
                      <w:bookmarkEnd w:id="1066"/>
                      <w:bookmarkEnd w:id="1067"/>
                      <w:bookmarkEnd w:id="1068"/>
                      <w:bookmarkEnd w:id="1069"/>
                    </w:p>
                    <w:p w14:paraId="494A67B3" w14:textId="77777777" w:rsidR="00933456" w:rsidRPr="004E48B6" w:rsidRDefault="00933456" w:rsidP="004E48B6">
                      <w:pPr>
                        <w:pStyle w:val="Caption"/>
                      </w:pPr>
                    </w:p>
                  </w:txbxContent>
                </v:textbox>
                <w10:wrap type="square"/>
              </v:shape>
            </w:pict>
          </mc:Fallback>
        </mc:AlternateContent>
      </w:r>
      <w:r w:rsidR="00D62B38" w:rsidRPr="006B42D6">
        <w:rPr>
          <w:noProof/>
        </w:rPr>
        <w:t>In</w:t>
      </w:r>
      <w:r w:rsidR="00D62B38" w:rsidRPr="006B42D6">
        <w:t xml:space="preserve"> </w:t>
      </w:r>
      <w:r w:rsidR="00645B2E" w:rsidRPr="006B42D6">
        <w:t xml:space="preserve">Tanzania </w:t>
      </w:r>
      <w:r w:rsidR="00D62B38" w:rsidRPr="006B42D6">
        <w:t xml:space="preserve">Zanzibar, </w:t>
      </w:r>
      <w:r w:rsidR="00C63B45" w:rsidRPr="006B42D6">
        <w:t xml:space="preserve">Kusini Pemba region reported </w:t>
      </w:r>
      <w:r w:rsidR="00D163D4" w:rsidRPr="006B42D6">
        <w:t xml:space="preserve">the </w:t>
      </w:r>
      <w:r w:rsidR="00C63B45" w:rsidRPr="006B42D6">
        <w:t>largest</w:t>
      </w:r>
      <w:r w:rsidR="00D163D4" w:rsidRPr="006B42D6">
        <w:t xml:space="preserve"> number of households</w:t>
      </w:r>
      <w:r w:rsidR="00C63B45" w:rsidRPr="006B42D6">
        <w:t xml:space="preserve"> (1,047; 26.2 percent)</w:t>
      </w:r>
      <w:r w:rsidR="00D163D4" w:rsidRPr="006B42D6">
        <w:t xml:space="preserve"> </w:t>
      </w:r>
      <w:r w:rsidR="00C63B45" w:rsidRPr="006B42D6">
        <w:t xml:space="preserve">that </w:t>
      </w:r>
      <w:r w:rsidR="00D163D4" w:rsidRPr="006B42D6">
        <w:t xml:space="preserve">received extension advice on disease control, followed by </w:t>
      </w:r>
      <w:r w:rsidR="00D62B38" w:rsidRPr="006B42D6">
        <w:t>Kusini</w:t>
      </w:r>
      <w:r w:rsidR="00D163D4" w:rsidRPr="006B42D6">
        <w:t xml:space="preserve"> Unguja (992; 24.8 percent) and Kaskazini Pemba </w:t>
      </w:r>
      <w:r w:rsidR="00353645" w:rsidRPr="006B42D6">
        <w:t>(</w:t>
      </w:r>
      <w:r w:rsidR="00D163D4" w:rsidRPr="006B42D6">
        <w:t xml:space="preserve">952; 23.8 </w:t>
      </w:r>
      <w:r w:rsidR="00C63B45" w:rsidRPr="006B42D6">
        <w:t>p</w:t>
      </w:r>
      <w:r w:rsidR="00D163D4" w:rsidRPr="006B42D6">
        <w:t xml:space="preserve">ercent). The least number of households received advice on disease control was reported in </w:t>
      </w:r>
      <w:r w:rsidR="00D163D4" w:rsidRPr="006B42D6">
        <w:rPr>
          <w:noProof/>
        </w:rPr>
        <w:t>Kaskazini Unguja</w:t>
      </w:r>
      <w:r w:rsidR="00D163D4" w:rsidRPr="006B42D6">
        <w:t xml:space="preserve"> region (349; 8.7 percent) (Figure </w:t>
      </w:r>
      <w:r w:rsidR="008C39AF" w:rsidRPr="006B42D6">
        <w:t>4.</w:t>
      </w:r>
      <w:r w:rsidR="00BE513B" w:rsidRPr="006B42D6">
        <w:t>62</w:t>
      </w:r>
      <w:r w:rsidR="00D163D4" w:rsidRPr="006B42D6">
        <w:t>)</w:t>
      </w:r>
      <w:r w:rsidR="00D163D4" w:rsidRPr="006B42D6">
        <w:rPr>
          <w:noProof/>
        </w:rPr>
        <w:t>.</w:t>
      </w:r>
    </w:p>
    <w:p w14:paraId="0A3070FE" w14:textId="1A558C89" w:rsidR="00D163D4" w:rsidRPr="006B42D6" w:rsidRDefault="00D163D4" w:rsidP="00307C1A">
      <w:r w:rsidRPr="006B42D6">
        <w:br w:type="page"/>
      </w:r>
    </w:p>
    <w:p w14:paraId="0DF958EF" w14:textId="3AB64FC8" w:rsidR="00D163D4" w:rsidRPr="006B42D6" w:rsidRDefault="002E64CB" w:rsidP="005C2EFC">
      <w:pPr>
        <w:rPr>
          <w:noProof/>
        </w:rPr>
      </w:pPr>
      <w:r w:rsidRPr="000B16F1">
        <w:rPr>
          <w:noProof/>
          <w:color w:val="767171" w:themeColor="background2" w:themeShade="80"/>
        </w:rPr>
        <w:lastRenderedPageBreak/>
        <w:drawing>
          <wp:anchor distT="0" distB="0" distL="114300" distR="114300" simplePos="0" relativeHeight="251603968" behindDoc="0" locked="0" layoutInCell="1" allowOverlap="1" wp14:anchorId="50E14DF0" wp14:editId="2D8865E8">
            <wp:simplePos x="0" y="0"/>
            <wp:positionH relativeFrom="column">
              <wp:posOffset>2466975</wp:posOffset>
            </wp:positionH>
            <wp:positionV relativeFrom="paragraph">
              <wp:posOffset>669925</wp:posOffset>
            </wp:positionV>
            <wp:extent cx="3474720" cy="2395855"/>
            <wp:effectExtent l="0" t="0" r="17780" b="17145"/>
            <wp:wrapSquare wrapText="bothSides"/>
            <wp:docPr id="520" name="Chart 504"/>
            <wp:cNvGraphicFramePr/>
            <a:graphic xmlns:a="http://schemas.openxmlformats.org/drawingml/2006/main">
              <a:graphicData uri="http://schemas.openxmlformats.org/drawingml/2006/chart">
                <c:chart xmlns:c="http://schemas.openxmlformats.org/drawingml/2006/chart" xmlns:r="http://schemas.openxmlformats.org/officeDocument/2006/relationships" r:id="rId330"/>
              </a:graphicData>
            </a:graphic>
            <wp14:sizeRelV relativeFrom="margin">
              <wp14:pctHeight>0</wp14:pctHeight>
            </wp14:sizeRelV>
          </wp:anchor>
        </w:drawing>
      </w:r>
      <w:r>
        <w:rPr>
          <w:noProof/>
        </w:rPr>
        <mc:AlternateContent>
          <mc:Choice Requires="wps">
            <w:drawing>
              <wp:anchor distT="0" distB="0" distL="114300" distR="114300" simplePos="0" relativeHeight="251602944" behindDoc="0" locked="0" layoutInCell="1" allowOverlap="1" wp14:anchorId="3B41A23C" wp14:editId="3AA2496C">
                <wp:simplePos x="0" y="0"/>
                <wp:positionH relativeFrom="column">
                  <wp:posOffset>2464435</wp:posOffset>
                </wp:positionH>
                <wp:positionV relativeFrom="paragraph">
                  <wp:posOffset>12700</wp:posOffset>
                </wp:positionV>
                <wp:extent cx="3502025" cy="582930"/>
                <wp:effectExtent l="0" t="0" r="3175" b="1270"/>
                <wp:wrapSquare wrapText="bothSides"/>
                <wp:docPr id="519" name="Text Box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2025" cy="5829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790E20" w14:textId="038E51F6" w:rsidR="00933456" w:rsidRPr="000E5E14" w:rsidRDefault="00933456" w:rsidP="000E5E14">
                            <w:pPr>
                              <w:pStyle w:val="Caption"/>
                            </w:pPr>
                            <w:bookmarkStart w:id="749" w:name="_Toc80120337"/>
                            <w:bookmarkStart w:id="750" w:name="_Toc80884213"/>
                            <w:bookmarkStart w:id="751" w:name="_Toc80884584"/>
                            <w:bookmarkStart w:id="752" w:name="_Toc82386434"/>
                            <w:r w:rsidRPr="000E5E14">
                              <w:t>Figure 4.63:</w:t>
                            </w:r>
                            <w:r w:rsidRPr="000E5E14">
                              <w:tab/>
                              <w:t>Number of Households Received Extension Advice Feed and Proper Feeding for Livestock by Region During 2019/20 Agricultural Year, Tanzania Zanzibar</w:t>
                            </w:r>
                            <w:bookmarkEnd w:id="749"/>
                            <w:bookmarkEnd w:id="750"/>
                            <w:bookmarkEnd w:id="751"/>
                            <w:bookmarkEnd w:id="752"/>
                          </w:p>
                          <w:p w14:paraId="2D1FC222" w14:textId="77777777" w:rsidR="00933456" w:rsidRPr="00D163D4" w:rsidRDefault="00933456" w:rsidP="00D163D4">
                            <w:pPr>
                              <w:pStyle w:val="Caption"/>
                              <w:rPr>
                                <w:noProof/>
                              </w:rPr>
                            </w:pP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3B41A23C" id="Text Box 503" o:spid="_x0000_s1113" type="#_x0000_t202" style="position:absolute;left:0;text-align:left;margin-left:194.05pt;margin-top:1pt;width:275.75pt;height:45.9pt;z-index:251602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" stroked="f">
                <v:textbox inset="0,0,0,0">
                  <w:txbxContent>
                    <w:p w14:paraId="46790E20" w14:textId="038E51F6" w:rsidR="00933456" w:rsidRPr="000E5E14" w:rsidRDefault="00933456" w:rsidP="000E5E14">
                      <w:pPr>
                        <w:pStyle w:val="Caption"/>
                      </w:pPr>
                      <w:bookmarkStart w:id="1074" w:name="_Toc80120337"/>
                      <w:bookmarkStart w:id="1075" w:name="_Toc80884213"/>
                      <w:bookmarkStart w:id="1076" w:name="_Toc80884584"/>
                      <w:bookmarkStart w:id="1077" w:name="_Toc82386434"/>
                      <w:r w:rsidRPr="000E5E14">
                        <w:t>Figure 4.63:</w:t>
                      </w:r>
                      <w:r w:rsidRPr="000E5E14">
                        <w:tab/>
                        <w:t>Number of Households Received Extension Advice Feed and Proper Feeding for Livestock by Region During 2019/20 Agricultural Year, Tanzania Zanzibar</w:t>
                      </w:r>
                      <w:bookmarkEnd w:id="1074"/>
                      <w:bookmarkEnd w:id="1075"/>
                      <w:bookmarkEnd w:id="1076"/>
                      <w:bookmarkEnd w:id="1077"/>
                    </w:p>
                    <w:p w14:paraId="2D1FC222" w14:textId="77777777" w:rsidR="00933456" w:rsidRPr="00D163D4" w:rsidRDefault="00933456" w:rsidP="00D163D4">
                      <w:pPr>
                        <w:pStyle w:val="Caption"/>
                        <w:rPr>
                          <w:noProof/>
                        </w:rPr>
                      </w:pPr>
                    </w:p>
                  </w:txbxContent>
                </v:textbox>
                <w10:wrap type="square"/>
              </v:shape>
            </w:pict>
          </mc:Fallback>
        </mc:AlternateContent>
      </w:r>
      <w:r w:rsidR="00D163D4" w:rsidRPr="006B42D6">
        <w:t xml:space="preserve">Likewise, Kusini Pemba region reported the </w:t>
      </w:r>
      <w:r w:rsidR="00C63B45" w:rsidRPr="006B42D6">
        <w:t>largest</w:t>
      </w:r>
      <w:r w:rsidR="00D163D4" w:rsidRPr="006B42D6">
        <w:t xml:space="preserve"> number of households</w:t>
      </w:r>
      <w:r w:rsidR="00353645" w:rsidRPr="006B42D6">
        <w:t xml:space="preserve"> that</w:t>
      </w:r>
      <w:r w:rsidR="00D163D4" w:rsidRPr="006B42D6">
        <w:t xml:space="preserve"> received advice on </w:t>
      </w:r>
      <w:r w:rsidR="00C63B45" w:rsidRPr="006B42D6">
        <w:t>f</w:t>
      </w:r>
      <w:r w:rsidR="00D163D4" w:rsidRPr="006B42D6">
        <w:t xml:space="preserve">eed and proper feeding (875; 35.3 percent), followed by Kaskazini Pemba (805; 32.5 percent). The least number of households received advice on feed and proper feeding of livestock was reported in Kusini Unguja region (232; 9.4 percent) (Figure </w:t>
      </w:r>
      <w:r w:rsidR="008C39AF" w:rsidRPr="006B42D6">
        <w:t>4.</w:t>
      </w:r>
      <w:r w:rsidR="00BE513B" w:rsidRPr="006B42D6">
        <w:t>63</w:t>
      </w:r>
      <w:r w:rsidR="00D163D4" w:rsidRPr="006B42D6">
        <w:t>)</w:t>
      </w:r>
      <w:r w:rsidR="00D163D4" w:rsidRPr="006B42D6">
        <w:rPr>
          <w:noProof/>
        </w:rPr>
        <w:t>.</w:t>
      </w:r>
    </w:p>
    <w:p w14:paraId="31D58E95" w14:textId="77777777" w:rsidR="00D163D4" w:rsidRPr="006B42D6" w:rsidRDefault="00D163D4" w:rsidP="005C2EFC"/>
    <w:p w14:paraId="52165976" w14:textId="23795B26" w:rsidR="00D163D4" w:rsidRPr="006B42D6" w:rsidRDefault="00F51B40" w:rsidP="005C2EFC">
      <w:pPr>
        <w:pStyle w:val="Heading3"/>
      </w:pPr>
      <w:bookmarkStart w:id="753" w:name="_Toc82385773"/>
      <w:r w:rsidRPr="006B42D6">
        <w:t>4</w:t>
      </w:r>
      <w:r w:rsidR="00D163D4" w:rsidRPr="006B42D6">
        <w:t>.</w:t>
      </w:r>
      <w:r w:rsidR="00022347">
        <w:t>6</w:t>
      </w:r>
      <w:r w:rsidR="00D163D4" w:rsidRPr="006B42D6">
        <w:t>.2</w:t>
      </w:r>
      <w:r w:rsidR="0000655E" w:rsidRPr="006B42D6">
        <w:tab/>
      </w:r>
      <w:r w:rsidR="00D163D4" w:rsidRPr="006B42D6">
        <w:t>Advice Practiced</w:t>
      </w:r>
      <w:bookmarkEnd w:id="753"/>
      <w:r w:rsidR="00D163D4" w:rsidRPr="006B42D6">
        <w:t xml:space="preserve">  </w:t>
      </w:r>
    </w:p>
    <w:p w14:paraId="2F5042AE" w14:textId="7F7CEF3F" w:rsidR="00D163D4" w:rsidRDefault="00D163D4" w:rsidP="008748CC">
      <w:r w:rsidRPr="006B42D6">
        <w:rPr>
          <w:iCs/>
          <w:noProof/>
        </w:rPr>
        <w:t>The 2019/20 NSCA results show that, among the received extensions services reported by</w:t>
      </w:r>
      <w:r w:rsidR="004F4DDD" w:rsidRPr="006B42D6">
        <w:rPr>
          <w:iCs/>
          <w:noProof/>
        </w:rPr>
        <w:t xml:space="preserve"> </w:t>
      </w:r>
      <w:r w:rsidRPr="006B42D6">
        <w:rPr>
          <w:noProof/>
        </w:rPr>
        <w:t xml:space="preserve">livestock keeping households in Tanzania, the most practiced extension service was </w:t>
      </w:r>
      <w:r w:rsidRPr="006B42D6">
        <w:t>disease control (85.4 percent)</w:t>
      </w:r>
      <w:r w:rsidR="00702E0C" w:rsidRPr="006B42D6">
        <w:t xml:space="preserve">, followed by </w:t>
      </w:r>
      <w:r w:rsidRPr="006B42D6">
        <w:t>feeds and proper feeding (84.7 percent)</w:t>
      </w:r>
      <w:r w:rsidR="00901188" w:rsidRPr="006B42D6">
        <w:t xml:space="preserve"> and </w:t>
      </w:r>
      <w:r w:rsidR="008C1D68">
        <w:t>l</w:t>
      </w:r>
      <w:r w:rsidR="00901188" w:rsidRPr="006B42D6">
        <w:t>ivestock fattening (81.5 percent).</w:t>
      </w:r>
      <w:r w:rsidRPr="006B42D6">
        <w:t xml:space="preserve"> On the other hand, the least practiced extension service reported by livestock keeping households was use of improved </w:t>
      </w:r>
      <w:r w:rsidR="008C1D68">
        <w:t>b</w:t>
      </w:r>
      <w:r w:rsidRPr="006B42D6">
        <w:t>ulls/AI (59.4 percent)</w:t>
      </w:r>
      <w:r w:rsidR="008C39AF" w:rsidRPr="006B42D6">
        <w:t xml:space="preserve"> (Figure 4.</w:t>
      </w:r>
      <w:r w:rsidR="00BE513B" w:rsidRPr="006B42D6">
        <w:t>64</w:t>
      </w:r>
      <w:r w:rsidR="008C39AF" w:rsidRPr="006B42D6">
        <w:t>)</w:t>
      </w:r>
      <w:r w:rsidRPr="006B42D6">
        <w:t>.</w:t>
      </w:r>
    </w:p>
    <w:p w14:paraId="7ACADC6C" w14:textId="77777777" w:rsidR="008C1D68" w:rsidRPr="008C1D68" w:rsidRDefault="008C1D68" w:rsidP="008C1D68">
      <w:pPr>
        <w:pStyle w:val="Caption"/>
        <w:jc w:val="left"/>
        <w:rPr>
          <w:iCs w:val="0"/>
          <w:sz w:val="24"/>
          <w:szCs w:val="24"/>
        </w:rPr>
      </w:pPr>
    </w:p>
    <w:p w14:paraId="0DCE1B42" w14:textId="6609CEDD" w:rsidR="008C1D68" w:rsidRPr="008C1D68" w:rsidRDefault="008C1D68" w:rsidP="008C1D68">
      <w:pPr>
        <w:pStyle w:val="Caption"/>
      </w:pPr>
      <w:bookmarkStart w:id="754" w:name="_Toc82386435"/>
      <w:r w:rsidRPr="008C1D68">
        <w:t>Figure 4.64</w:t>
      </w:r>
      <w:r w:rsidR="000E5E14">
        <w:t>:</w:t>
      </w:r>
      <w:r w:rsidR="000E5E14">
        <w:tab/>
      </w:r>
      <w:r w:rsidRPr="008C1D68">
        <w:t>Percentage of Households Reported to Practice Livestock Extension Services During 2019/20 Agricultural Year, Tanzania</w:t>
      </w:r>
      <w:bookmarkEnd w:id="754"/>
    </w:p>
    <w:p w14:paraId="07874D84" w14:textId="53771BE3" w:rsidR="008C1D68" w:rsidRDefault="008C1D68" w:rsidP="005C2EFC">
      <w:r w:rsidRPr="006B42D6">
        <w:rPr>
          <w:noProof/>
        </w:rPr>
        <w:drawing>
          <wp:inline distT="0" distB="0" distL="0" distR="0" wp14:anchorId="1B75A8A9" wp14:editId="7E0B9263">
            <wp:extent cx="5942023" cy="3243580"/>
            <wp:effectExtent l="0" t="0" r="14605" b="7620"/>
            <wp:docPr id="517" name="Chart 51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1"/>
              </a:graphicData>
            </a:graphic>
          </wp:inline>
        </w:drawing>
      </w:r>
    </w:p>
    <w:p w14:paraId="351AE1A8" w14:textId="324E8E78" w:rsidR="00D163D4" w:rsidRPr="006B42D6" w:rsidRDefault="006A3942" w:rsidP="005C2EFC">
      <w:r w:rsidRPr="006B42D6">
        <w:rPr>
          <w:noProof/>
        </w:rPr>
        <w:lastRenderedPageBreak/>
        <w:drawing>
          <wp:anchor distT="0" distB="0" distL="114300" distR="114300" simplePos="0" relativeHeight="251607040" behindDoc="0" locked="0" layoutInCell="1" allowOverlap="1" wp14:anchorId="3BFCD799" wp14:editId="4348C098">
            <wp:simplePos x="0" y="0"/>
            <wp:positionH relativeFrom="column">
              <wp:posOffset>2057400</wp:posOffset>
            </wp:positionH>
            <wp:positionV relativeFrom="paragraph">
              <wp:posOffset>567055</wp:posOffset>
            </wp:positionV>
            <wp:extent cx="4138295" cy="2658110"/>
            <wp:effectExtent l="0" t="0" r="14605" b="8890"/>
            <wp:wrapSquare wrapText="bothSides"/>
            <wp:docPr id="516" name="Chart 50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2"/>
              </a:graphicData>
            </a:graphic>
            <wp14:sizeRelH relativeFrom="page">
              <wp14:pctWidth>0</wp14:pctWidth>
            </wp14:sizeRelH>
            <wp14:sizeRelV relativeFrom="page">
              <wp14:pctHeight>0</wp14:pctHeight>
            </wp14:sizeRelV>
          </wp:anchor>
        </w:drawing>
      </w:r>
      <w:r w:rsidR="001B26AC" w:rsidRPr="006B42D6">
        <w:rPr>
          <w:noProof/>
        </w:rPr>
        <mc:AlternateContent>
          <mc:Choice Requires="wps">
            <w:drawing>
              <wp:anchor distT="0" distB="0" distL="114300" distR="114300" simplePos="0" relativeHeight="251608064" behindDoc="0" locked="0" layoutInCell="1" allowOverlap="1" wp14:anchorId="2B7BC23C" wp14:editId="0ABC6DD6">
                <wp:simplePos x="0" y="0"/>
                <wp:positionH relativeFrom="column">
                  <wp:posOffset>2054225</wp:posOffset>
                </wp:positionH>
                <wp:positionV relativeFrom="paragraph">
                  <wp:posOffset>52070</wp:posOffset>
                </wp:positionV>
                <wp:extent cx="4339590" cy="443865"/>
                <wp:effectExtent l="0" t="0" r="3810" b="635"/>
                <wp:wrapSquare wrapText="bothSides"/>
                <wp:docPr id="258"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39590" cy="443865"/>
                        </a:xfrm>
                        <a:prstGeom prst="rect">
                          <a:avLst/>
                        </a:prstGeom>
                        <a:solidFill>
                          <a:prstClr val="white"/>
                        </a:solidFill>
                        <a:ln>
                          <a:noFill/>
                        </a:ln>
                      </wps:spPr>
                      <wps:txbx>
                        <w:txbxContent>
                          <w:p w14:paraId="3EDDBEF9" w14:textId="232D9B57" w:rsidR="00933456" w:rsidRPr="000E5E14" w:rsidRDefault="00933456" w:rsidP="000E5E14">
                            <w:pPr>
                              <w:pStyle w:val="Caption"/>
                            </w:pPr>
                            <w:bookmarkStart w:id="755" w:name="_Toc80120339"/>
                            <w:bookmarkStart w:id="756" w:name="_Toc80884215"/>
                            <w:bookmarkStart w:id="757" w:name="_Toc80884586"/>
                            <w:bookmarkStart w:id="758" w:name="_Toc82386436"/>
                            <w:r w:rsidRPr="000E5E14">
                              <w:t>Figure 4.65:</w:t>
                            </w:r>
                            <w:r w:rsidRPr="000E5E14">
                              <w:tab/>
                              <w:t xml:space="preserve">Percentage </w:t>
                            </w:r>
                            <w:r>
                              <w:t xml:space="preserve">of </w:t>
                            </w:r>
                            <w:r w:rsidRPr="000E5E14">
                              <w:t>Households Reported to Practice Livestock Extension Services During 2019/20 Agricultural Year, Mainland Tanzania</w:t>
                            </w:r>
                            <w:bookmarkEnd w:id="755"/>
                            <w:bookmarkEnd w:id="756"/>
                            <w:bookmarkEnd w:id="757"/>
                            <w:bookmarkEnd w:id="75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B7BC23C" id="Text Box 258" o:spid="_x0000_s1114" type="#_x0000_t202" style="position:absolute;left:0;text-align:left;margin-left:161.75pt;margin-top:4.1pt;width:341.7pt;height:34.9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" stroked="f">
                <v:textbox inset="0,0,0,0">
                  <w:txbxContent>
                    <w:p w14:paraId="3EDDBEF9" w14:textId="232D9B57" w:rsidR="00933456" w:rsidRPr="000E5E14" w:rsidRDefault="00933456" w:rsidP="000E5E14">
                      <w:pPr>
                        <w:pStyle w:val="Caption"/>
                      </w:pPr>
                      <w:bookmarkStart w:id="1084" w:name="_Toc80120339"/>
                      <w:bookmarkStart w:id="1085" w:name="_Toc80884215"/>
                      <w:bookmarkStart w:id="1086" w:name="_Toc80884586"/>
                      <w:bookmarkStart w:id="1087" w:name="_Toc82386436"/>
                      <w:r w:rsidRPr="000E5E14">
                        <w:t>Figure 4.65:</w:t>
                      </w:r>
                      <w:r w:rsidRPr="000E5E14">
                        <w:tab/>
                        <w:t xml:space="preserve">Percentage </w:t>
                      </w:r>
                      <w:r>
                        <w:t xml:space="preserve">of </w:t>
                      </w:r>
                      <w:r w:rsidRPr="000E5E14">
                        <w:t>Households Reported to Practice Livestock Extension Services During 2019/20 Agricultural Year, Mainland Tanzania</w:t>
                      </w:r>
                      <w:bookmarkEnd w:id="1084"/>
                      <w:bookmarkEnd w:id="1085"/>
                      <w:bookmarkEnd w:id="1086"/>
                      <w:bookmarkEnd w:id="1087"/>
                    </w:p>
                  </w:txbxContent>
                </v:textbox>
                <w10:wrap type="square"/>
              </v:shape>
            </w:pict>
          </mc:Fallback>
        </mc:AlternateContent>
      </w:r>
      <w:r w:rsidR="00D163D4" w:rsidRPr="006B42D6">
        <w:t xml:space="preserve">In </w:t>
      </w:r>
      <w:r w:rsidR="00EA1552">
        <w:t>Mainland Tanzania</w:t>
      </w:r>
      <w:r w:rsidR="00D163D4" w:rsidRPr="006B42D6">
        <w:t xml:space="preserve">, the most practiced </w:t>
      </w:r>
      <w:r w:rsidR="00BE513B" w:rsidRPr="006B42D6">
        <w:t xml:space="preserve">livestock </w:t>
      </w:r>
      <w:r w:rsidR="00D163D4" w:rsidRPr="006B42D6">
        <w:t>extension service reported by livestock keeping households was disease control (85.4 percent</w:t>
      </w:r>
      <w:r w:rsidR="004126CE" w:rsidRPr="006B42D6">
        <w:t>), followed by</w:t>
      </w:r>
      <w:r w:rsidR="00D163D4" w:rsidRPr="006B42D6">
        <w:t xml:space="preserve"> feeds and proper feeding (84.7 percent)</w:t>
      </w:r>
      <w:r w:rsidR="004126CE" w:rsidRPr="006B42D6">
        <w:t xml:space="preserve"> and </w:t>
      </w:r>
      <w:r w:rsidR="00BE513B" w:rsidRPr="006B42D6">
        <w:t>l</w:t>
      </w:r>
      <w:r w:rsidR="004126CE" w:rsidRPr="006B42D6">
        <w:t>ivestock fattening (81.4 percent).</w:t>
      </w:r>
      <w:r w:rsidR="00D163D4" w:rsidRPr="006B42D6">
        <w:t xml:space="preserve"> On the other hand, the least practiced extension service reported by livestock keeping households was use of improved </w:t>
      </w:r>
      <w:r w:rsidR="00AB7D83">
        <w:t>b</w:t>
      </w:r>
      <w:r w:rsidR="00D163D4" w:rsidRPr="006B42D6">
        <w:t>ulls/AI (59.1 percent)</w:t>
      </w:r>
      <w:r w:rsidR="008C39AF" w:rsidRPr="006B42D6">
        <w:t xml:space="preserve"> (Figure 4.</w:t>
      </w:r>
      <w:r w:rsidR="00BE513B" w:rsidRPr="006B42D6">
        <w:t>65</w:t>
      </w:r>
      <w:r w:rsidR="008C39AF" w:rsidRPr="006B42D6">
        <w:t>)</w:t>
      </w:r>
      <w:r w:rsidR="00D163D4" w:rsidRPr="006B42D6">
        <w:t>.</w:t>
      </w:r>
    </w:p>
    <w:p w14:paraId="02765842" w14:textId="728EB99C" w:rsidR="00D163D4" w:rsidRPr="006B42D6" w:rsidRDefault="000E5E14" w:rsidP="005C2EFC">
      <w:r w:rsidRPr="006B42D6">
        <w:rPr>
          <w:noProof/>
        </w:rPr>
        <mc:AlternateContent>
          <mc:Choice Requires="wps">
            <w:drawing>
              <wp:anchor distT="0" distB="0" distL="114300" distR="114300" simplePos="0" relativeHeight="251609088" behindDoc="0" locked="0" layoutInCell="1" allowOverlap="1" wp14:anchorId="28A53576" wp14:editId="74A505BB">
                <wp:simplePos x="0" y="0"/>
                <wp:positionH relativeFrom="column">
                  <wp:posOffset>2165985</wp:posOffset>
                </wp:positionH>
                <wp:positionV relativeFrom="paragraph">
                  <wp:posOffset>242570</wp:posOffset>
                </wp:positionV>
                <wp:extent cx="4028440" cy="461010"/>
                <wp:effectExtent l="0" t="0" r="0" b="0"/>
                <wp:wrapSquare wrapText="bothSides"/>
                <wp:docPr id="261"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28440" cy="461010"/>
                        </a:xfrm>
                        <a:prstGeom prst="rect">
                          <a:avLst/>
                        </a:prstGeom>
                        <a:solidFill>
                          <a:prstClr val="white"/>
                        </a:solidFill>
                        <a:ln>
                          <a:noFill/>
                        </a:ln>
                      </wps:spPr>
                      <wps:txbx>
                        <w:txbxContent>
                          <w:p w14:paraId="5BF41BB0" w14:textId="0D4CD020" w:rsidR="00933456" w:rsidRPr="000E5E14" w:rsidRDefault="00933456" w:rsidP="000E5E14">
                            <w:pPr>
                              <w:pStyle w:val="Caption"/>
                            </w:pPr>
                            <w:bookmarkStart w:id="759" w:name="_Toc80120340"/>
                            <w:bookmarkStart w:id="760" w:name="_Toc80884216"/>
                            <w:bookmarkStart w:id="761" w:name="_Toc80884587"/>
                            <w:bookmarkStart w:id="762" w:name="_Toc82386437"/>
                            <w:r w:rsidRPr="000E5E14">
                              <w:t>Figure 4.66:</w:t>
                            </w:r>
                            <w:r w:rsidRPr="000E5E14">
                              <w:tab/>
                              <w:t xml:space="preserve">Percentage </w:t>
                            </w:r>
                            <w:r>
                              <w:t xml:space="preserve">of </w:t>
                            </w:r>
                            <w:r w:rsidRPr="000E5E14">
                              <w:t>Households Reported to Practice Livestock Extension Services During 2019/20 Agricultural Year, Tanzania Zanzibar</w:t>
                            </w:r>
                            <w:bookmarkEnd w:id="759"/>
                            <w:bookmarkEnd w:id="760"/>
                            <w:bookmarkEnd w:id="761"/>
                            <w:bookmarkEnd w:id="762"/>
                          </w:p>
                          <w:p w14:paraId="3ED728D9" w14:textId="77777777" w:rsidR="00933456" w:rsidRPr="000E5E14" w:rsidRDefault="00933456" w:rsidP="000E5E14">
                            <w:pPr>
                              <w:pStyle w:val="Caption"/>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8A53576" id="Text Box 261" o:spid="_x0000_s1115" type="#_x0000_t202" style="position:absolute;left:0;text-align:left;margin-left:170.55pt;margin-top:19.1pt;width:317.2pt;height:36.3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" stroked="f">
                <v:textbox inset="0,0,0,0">
                  <w:txbxContent>
                    <w:p w14:paraId="5BF41BB0" w14:textId="0D4CD020" w:rsidR="00933456" w:rsidRPr="000E5E14" w:rsidRDefault="00933456" w:rsidP="000E5E14">
                      <w:pPr>
                        <w:pStyle w:val="Caption"/>
                      </w:pPr>
                      <w:bookmarkStart w:id="1092" w:name="_Toc80120340"/>
                      <w:bookmarkStart w:id="1093" w:name="_Toc80884216"/>
                      <w:bookmarkStart w:id="1094" w:name="_Toc80884587"/>
                      <w:bookmarkStart w:id="1095" w:name="_Toc82386437"/>
                      <w:r w:rsidRPr="000E5E14">
                        <w:t>Figure 4.66:</w:t>
                      </w:r>
                      <w:r w:rsidRPr="000E5E14">
                        <w:tab/>
                        <w:t xml:space="preserve">Percentage </w:t>
                      </w:r>
                      <w:r>
                        <w:t xml:space="preserve">of </w:t>
                      </w:r>
                      <w:r w:rsidRPr="000E5E14">
                        <w:t>Households Reported to Practice Livestock Extension Services During 2019/20 Agricultural Year, Tanzania Zanzibar</w:t>
                      </w:r>
                      <w:bookmarkEnd w:id="1092"/>
                      <w:bookmarkEnd w:id="1093"/>
                      <w:bookmarkEnd w:id="1094"/>
                      <w:bookmarkEnd w:id="1095"/>
                    </w:p>
                    <w:p w14:paraId="3ED728D9" w14:textId="77777777" w:rsidR="00933456" w:rsidRPr="000E5E14" w:rsidRDefault="00933456" w:rsidP="000E5E14">
                      <w:pPr>
                        <w:pStyle w:val="Caption"/>
                      </w:pPr>
                    </w:p>
                  </w:txbxContent>
                </v:textbox>
                <w10:wrap type="square"/>
              </v:shape>
            </w:pict>
          </mc:Fallback>
        </mc:AlternateContent>
      </w:r>
    </w:p>
    <w:p w14:paraId="440496C7" w14:textId="04756AAA" w:rsidR="00D163D4" w:rsidRDefault="001B26AC" w:rsidP="005C2EFC">
      <w:r w:rsidRPr="006B42D6">
        <w:rPr>
          <w:noProof/>
        </w:rPr>
        <w:drawing>
          <wp:anchor distT="0" distB="0" distL="114300" distR="114300" simplePos="0" relativeHeight="251610112" behindDoc="0" locked="0" layoutInCell="1" allowOverlap="1" wp14:anchorId="43CC5C9D" wp14:editId="03142B03">
            <wp:simplePos x="0" y="0"/>
            <wp:positionH relativeFrom="column">
              <wp:posOffset>2159635</wp:posOffset>
            </wp:positionH>
            <wp:positionV relativeFrom="paragraph">
              <wp:posOffset>574040</wp:posOffset>
            </wp:positionV>
            <wp:extent cx="3949065" cy="3168650"/>
            <wp:effectExtent l="0" t="0" r="13335" b="6350"/>
            <wp:wrapSquare wrapText="bothSides"/>
            <wp:docPr id="515" name="Chart 26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3"/>
              </a:graphicData>
            </a:graphic>
            <wp14:sizeRelH relativeFrom="page">
              <wp14:pctWidth>0</wp14:pctWidth>
            </wp14:sizeRelH>
            <wp14:sizeRelV relativeFrom="page">
              <wp14:pctHeight>0</wp14:pctHeight>
            </wp14:sizeRelV>
          </wp:anchor>
        </w:drawing>
      </w:r>
      <w:r w:rsidR="00D163D4" w:rsidRPr="006B42D6">
        <w:t xml:space="preserve">In </w:t>
      </w:r>
      <w:r w:rsidR="00645B2E" w:rsidRPr="006B42D6">
        <w:t xml:space="preserve">Tanzania </w:t>
      </w:r>
      <w:r w:rsidR="00D163D4" w:rsidRPr="006B42D6">
        <w:t>Zanzibar, the most practiced extension service reported by livestock keeping households w</w:t>
      </w:r>
      <w:r w:rsidR="00ED1AEA" w:rsidRPr="006B42D6">
        <w:t>ere</w:t>
      </w:r>
      <w:r w:rsidR="00D163D4" w:rsidRPr="006B42D6">
        <w:t xml:space="preserve"> livestock branding (100.0 percent) and pasture establishment (100.0 percent), followed by herd/flock size and selection (94.0 percent) and </w:t>
      </w:r>
      <w:r w:rsidR="00AB7D83">
        <w:t>p</w:t>
      </w:r>
      <w:r w:rsidR="00D163D4" w:rsidRPr="006B42D6">
        <w:t xml:space="preserve">roper </w:t>
      </w:r>
      <w:r w:rsidR="00AB7D83">
        <w:t>m</w:t>
      </w:r>
      <w:r w:rsidR="00D163D4" w:rsidRPr="006B42D6">
        <w:t xml:space="preserve">ilking and </w:t>
      </w:r>
      <w:r w:rsidR="00AB7D83">
        <w:t>m</w:t>
      </w:r>
      <w:r w:rsidR="00D163D4" w:rsidRPr="006B42D6">
        <w:t xml:space="preserve">ilk </w:t>
      </w:r>
      <w:r w:rsidR="00AB7D83">
        <w:t>h</w:t>
      </w:r>
      <w:r w:rsidR="00D163D4" w:rsidRPr="006B42D6">
        <w:t>ygiene (91.9 percent). On the other hand, the least practiced extension service reported by livestock keeping households was castration (10.8 percent)</w:t>
      </w:r>
      <w:r w:rsidR="00E81EFE" w:rsidRPr="006B42D6">
        <w:t xml:space="preserve"> (Figure 4.</w:t>
      </w:r>
      <w:r w:rsidR="00BE513B" w:rsidRPr="006B42D6">
        <w:t>66</w:t>
      </w:r>
      <w:r w:rsidR="00E81EFE" w:rsidRPr="006B42D6">
        <w:t>).</w:t>
      </w:r>
    </w:p>
    <w:p w14:paraId="5C8E7332" w14:textId="37C2BFB9" w:rsidR="00B81175" w:rsidRDefault="00B81175">
      <w:pPr>
        <w:spacing w:line="240" w:lineRule="auto"/>
        <w:contextualSpacing w:val="0"/>
        <w:jc w:val="left"/>
      </w:pPr>
      <w:r>
        <w:br w:type="page"/>
      </w:r>
    </w:p>
    <w:p w14:paraId="7F193465" w14:textId="07A7DB2A" w:rsidR="00D163D4" w:rsidRDefault="00D163D4" w:rsidP="005C2EFC">
      <w:r w:rsidRPr="006B42D6">
        <w:lastRenderedPageBreak/>
        <w:t xml:space="preserve">In </w:t>
      </w:r>
      <w:r w:rsidR="00EA1552">
        <w:t>Mainland Tanzania</w:t>
      </w:r>
      <w:r w:rsidRPr="006B42D6">
        <w:t xml:space="preserve">, </w:t>
      </w:r>
      <w:r w:rsidR="00B81175" w:rsidRPr="006B42D6">
        <w:t>Dar es Salaam</w:t>
      </w:r>
      <w:r w:rsidR="00B81175">
        <w:t xml:space="preserve">, </w:t>
      </w:r>
      <w:r w:rsidR="00B81175" w:rsidRPr="006B42D6">
        <w:t xml:space="preserve">Kigoma </w:t>
      </w:r>
      <w:r w:rsidR="00B81175">
        <w:t xml:space="preserve">and </w:t>
      </w:r>
      <w:r w:rsidR="00B81175" w:rsidRPr="006B42D6">
        <w:t xml:space="preserve">Katavi </w:t>
      </w:r>
      <w:r w:rsidRPr="006B42D6">
        <w:t>region</w:t>
      </w:r>
      <w:r w:rsidR="00F50BA6" w:rsidRPr="006B42D6">
        <w:t>s</w:t>
      </w:r>
      <w:r w:rsidRPr="006B42D6">
        <w:t xml:space="preserve"> </w:t>
      </w:r>
      <w:r w:rsidR="00B81175">
        <w:t>had</w:t>
      </w:r>
      <w:r w:rsidRPr="006B42D6">
        <w:t xml:space="preserve"> high percentage </w:t>
      </w:r>
      <w:r w:rsidR="00B81175" w:rsidRPr="006B42D6">
        <w:t>(100.0 percent</w:t>
      </w:r>
      <w:r w:rsidR="00B81175">
        <w:t xml:space="preserve"> each</w:t>
      </w:r>
      <w:r w:rsidR="00B81175" w:rsidRPr="006B42D6">
        <w:t xml:space="preserve">) </w:t>
      </w:r>
      <w:r w:rsidRPr="006B42D6">
        <w:t xml:space="preserve">of livestock keeping households that reported to practice disease control extension </w:t>
      </w:r>
      <w:r w:rsidR="00B81175">
        <w:t xml:space="preserve">advices, </w:t>
      </w:r>
      <w:r w:rsidRPr="006B42D6">
        <w:t xml:space="preserve">followed by Mara (94.8 percent). Whilst the region with lowest percentage of livestock keeping households that reported to practice disease control extension </w:t>
      </w:r>
      <w:r w:rsidR="00B81175">
        <w:t>advices</w:t>
      </w:r>
      <w:r w:rsidRPr="006B42D6">
        <w:t xml:space="preserve"> was Lindi (69.4 percent)</w:t>
      </w:r>
      <w:r w:rsidR="00E81EFE" w:rsidRPr="006B42D6">
        <w:t xml:space="preserve"> (Figure 4</w:t>
      </w:r>
      <w:r w:rsidRPr="006B42D6">
        <w:t>.</w:t>
      </w:r>
      <w:r w:rsidR="00BE513B" w:rsidRPr="006B42D6">
        <w:t>67</w:t>
      </w:r>
      <w:r w:rsidR="00E81EFE" w:rsidRPr="006B42D6">
        <w:t>).</w:t>
      </w:r>
    </w:p>
    <w:p w14:paraId="2541EF39" w14:textId="77777777" w:rsidR="003F4D1F" w:rsidRDefault="003F4D1F" w:rsidP="005C2EFC"/>
    <w:p w14:paraId="6456A294" w14:textId="189449FF" w:rsidR="003F4D1F" w:rsidRPr="008748CC" w:rsidRDefault="003F4D1F" w:rsidP="007612D9">
      <w:pPr>
        <w:pStyle w:val="Caption"/>
        <w:ind w:left="1140" w:right="284" w:hanging="1140"/>
        <w:rPr>
          <w:b w:val="0"/>
          <w:noProof/>
        </w:rPr>
      </w:pPr>
      <w:bookmarkStart w:id="763" w:name="_Toc80120341"/>
      <w:bookmarkStart w:id="764" w:name="_Toc80884217"/>
      <w:bookmarkStart w:id="765" w:name="_Toc80884588"/>
      <w:bookmarkStart w:id="766" w:name="_Toc82386438"/>
      <w:r w:rsidRPr="008748CC">
        <w:t>Figure 4.67:</w:t>
      </w:r>
      <w:r>
        <w:tab/>
      </w:r>
      <w:r w:rsidRPr="008748CC">
        <w:t xml:space="preserve">Percentage </w:t>
      </w:r>
      <w:r w:rsidR="00B81175">
        <w:t xml:space="preserve">of </w:t>
      </w:r>
      <w:r w:rsidRPr="008748CC">
        <w:t xml:space="preserve">Households Reported to Practice Livestock Extension Services During 2019/20 Agricultural Year, </w:t>
      </w:r>
      <w:r>
        <w:t>Mainland Tanzania</w:t>
      </w:r>
      <w:bookmarkEnd w:id="763"/>
      <w:bookmarkEnd w:id="764"/>
      <w:bookmarkEnd w:id="765"/>
      <w:bookmarkEnd w:id="766"/>
    </w:p>
    <w:p w14:paraId="04FBFA4F" w14:textId="0920AF7C" w:rsidR="00D163D4" w:rsidRPr="006B42D6" w:rsidRDefault="003F4D1F" w:rsidP="005C2EFC">
      <w:r>
        <w:rPr>
          <w:noProof/>
        </w:rPr>
        <w:drawing>
          <wp:inline distT="0" distB="0" distL="0" distR="0" wp14:anchorId="45F8D740" wp14:editId="35E70C8C">
            <wp:extent cx="5525814" cy="2188210"/>
            <wp:effectExtent l="0" t="0" r="11430" b="8890"/>
            <wp:docPr id="512" name="Chart 263"/>
            <wp:cNvGraphicFramePr/>
            <a:graphic xmlns:a="http://schemas.openxmlformats.org/drawingml/2006/main">
              <a:graphicData uri="http://schemas.openxmlformats.org/drawingml/2006/chart">
                <c:chart xmlns:c="http://schemas.openxmlformats.org/drawingml/2006/chart" xmlns:r="http://schemas.openxmlformats.org/officeDocument/2006/relationships" r:id="rId334"/>
              </a:graphicData>
            </a:graphic>
          </wp:inline>
        </w:drawing>
      </w:r>
    </w:p>
    <w:p w14:paraId="4E0C5385" w14:textId="1EA67E04" w:rsidR="00D163D4" w:rsidRPr="006B42D6" w:rsidRDefault="00B81175" w:rsidP="005C2EFC">
      <w:r>
        <w:rPr>
          <w:noProof/>
        </w:rPr>
        <mc:AlternateContent>
          <mc:Choice Requires="wps">
            <w:drawing>
              <wp:anchor distT="0" distB="0" distL="114300" distR="114300" simplePos="0" relativeHeight="251612160" behindDoc="0" locked="0" layoutInCell="1" allowOverlap="1" wp14:anchorId="3C03BBEA" wp14:editId="707B120A">
                <wp:simplePos x="0" y="0"/>
                <wp:positionH relativeFrom="column">
                  <wp:posOffset>2553839</wp:posOffset>
                </wp:positionH>
                <wp:positionV relativeFrom="paragraph">
                  <wp:posOffset>252095</wp:posOffset>
                </wp:positionV>
                <wp:extent cx="3261360" cy="606425"/>
                <wp:effectExtent l="0" t="0" r="2540" b="3175"/>
                <wp:wrapSquare wrapText="bothSides"/>
                <wp:docPr id="38"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1360" cy="606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576553" w14:textId="7975851B" w:rsidR="00933456" w:rsidRPr="00A41AC7" w:rsidRDefault="00933456" w:rsidP="00D163D4">
                            <w:pPr>
                              <w:pStyle w:val="Caption"/>
                              <w:rPr>
                                <w:b w:val="0"/>
                                <w:i/>
                                <w:szCs w:val="20"/>
                              </w:rPr>
                            </w:pPr>
                            <w:bookmarkStart w:id="767" w:name="_Toc80120342"/>
                            <w:bookmarkStart w:id="768" w:name="_Toc80884218"/>
                            <w:bookmarkStart w:id="769" w:name="_Toc80884589"/>
                            <w:bookmarkStart w:id="770" w:name="_Toc82386439"/>
                            <w:r w:rsidRPr="00A41AC7">
                              <w:rPr>
                                <w:szCs w:val="14"/>
                              </w:rPr>
                              <w:t>Figure 4.68:</w:t>
                            </w:r>
                            <w:r>
                              <w:rPr>
                                <w:szCs w:val="14"/>
                              </w:rPr>
                              <w:tab/>
                            </w:r>
                            <w:r w:rsidRPr="00A41AC7">
                              <w:rPr>
                                <w:szCs w:val="14"/>
                              </w:rPr>
                              <w:t xml:space="preserve">Percentage </w:t>
                            </w:r>
                            <w:r>
                              <w:rPr>
                                <w:szCs w:val="14"/>
                              </w:rPr>
                              <w:t xml:space="preserve">of </w:t>
                            </w:r>
                            <w:r w:rsidRPr="00A41AC7">
                              <w:rPr>
                                <w:szCs w:val="14"/>
                              </w:rPr>
                              <w:t>Households Reported to Practice Livestock Extension Services by Region During 2019/20 Agricultural Year, Tanzania Zanzibar</w:t>
                            </w:r>
                            <w:bookmarkEnd w:id="767"/>
                            <w:bookmarkEnd w:id="768"/>
                            <w:bookmarkEnd w:id="769"/>
                            <w:bookmarkEnd w:id="770"/>
                          </w:p>
                          <w:p w14:paraId="22D6F646" w14:textId="77777777" w:rsidR="00933456" w:rsidRPr="008748CC" w:rsidRDefault="00933456" w:rsidP="00D163D4">
                            <w:pPr>
                              <w:pStyle w:val="Caption"/>
                              <w:rPr>
                                <w:b w:val="0"/>
                                <w:i/>
                                <w:noProof/>
                              </w:rPr>
                            </w:pP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3C03BBEA" id="Text Box 106" o:spid="_x0000_s1116" type="#_x0000_t202" style="position:absolute;left:0;text-align:left;margin-left:201.1pt;margin-top:19.85pt;width:256.8pt;height:47.75pt;z-index:251612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" stroked="f">
                <v:textbox inset="0,0,0,0">
                  <w:txbxContent>
                    <w:p w14:paraId="3B576553" w14:textId="7975851B" w:rsidR="00933456" w:rsidRPr="00A41AC7" w:rsidRDefault="00933456" w:rsidP="00D163D4">
                      <w:pPr>
                        <w:pStyle w:val="Caption"/>
                        <w:rPr>
                          <w:b w:val="0"/>
                          <w:i/>
                          <w:szCs w:val="20"/>
                        </w:rPr>
                      </w:pPr>
                      <w:bookmarkStart w:id="1104" w:name="_Toc80120342"/>
                      <w:bookmarkStart w:id="1105" w:name="_Toc80884218"/>
                      <w:bookmarkStart w:id="1106" w:name="_Toc80884589"/>
                      <w:bookmarkStart w:id="1107" w:name="_Toc82386439"/>
                      <w:r w:rsidRPr="00A41AC7">
                        <w:rPr>
                          <w:szCs w:val="14"/>
                        </w:rPr>
                        <w:t>Figure 4.68:</w:t>
                      </w:r>
                      <w:r>
                        <w:rPr>
                          <w:szCs w:val="14"/>
                        </w:rPr>
                        <w:tab/>
                      </w:r>
                      <w:r w:rsidRPr="00A41AC7">
                        <w:rPr>
                          <w:szCs w:val="14"/>
                        </w:rPr>
                        <w:t xml:space="preserve">Percentage </w:t>
                      </w:r>
                      <w:r>
                        <w:rPr>
                          <w:szCs w:val="14"/>
                        </w:rPr>
                        <w:t xml:space="preserve">of </w:t>
                      </w:r>
                      <w:r w:rsidRPr="00A41AC7">
                        <w:rPr>
                          <w:szCs w:val="14"/>
                        </w:rPr>
                        <w:t>Households Reported to Practice Livestock Extension Services by Region During 2019/20 Agricultural Year, Tanzania Zanzibar</w:t>
                      </w:r>
                      <w:bookmarkEnd w:id="1104"/>
                      <w:bookmarkEnd w:id="1105"/>
                      <w:bookmarkEnd w:id="1106"/>
                      <w:bookmarkEnd w:id="1107"/>
                    </w:p>
                    <w:p w14:paraId="22D6F646" w14:textId="77777777" w:rsidR="00933456" w:rsidRPr="008748CC" w:rsidRDefault="00933456" w:rsidP="00D163D4">
                      <w:pPr>
                        <w:pStyle w:val="Caption"/>
                        <w:rPr>
                          <w:b w:val="0"/>
                          <w:i/>
                          <w:noProof/>
                        </w:rPr>
                      </w:pPr>
                    </w:p>
                  </w:txbxContent>
                </v:textbox>
                <w10:wrap type="square"/>
              </v:shape>
            </w:pict>
          </mc:Fallback>
        </mc:AlternateContent>
      </w:r>
    </w:p>
    <w:p w14:paraId="49ED01F6" w14:textId="757DD413" w:rsidR="00D163D4" w:rsidRPr="006B42D6" w:rsidRDefault="00B81175" w:rsidP="005C2EFC">
      <w:r>
        <w:rPr>
          <w:noProof/>
        </w:rPr>
        <w:drawing>
          <wp:anchor distT="0" distB="0" distL="114300" distR="114300" simplePos="0" relativeHeight="251611136" behindDoc="0" locked="0" layoutInCell="1" allowOverlap="1" wp14:anchorId="719C2A4E" wp14:editId="41537778">
            <wp:simplePos x="0" y="0"/>
            <wp:positionH relativeFrom="column">
              <wp:posOffset>2553203</wp:posOffset>
            </wp:positionH>
            <wp:positionV relativeFrom="paragraph">
              <wp:posOffset>674370</wp:posOffset>
            </wp:positionV>
            <wp:extent cx="3273425" cy="2429510"/>
            <wp:effectExtent l="0" t="0" r="15875" b="8890"/>
            <wp:wrapSquare wrapText="bothSides"/>
            <wp:docPr id="33" name="Chart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335"/>
              </a:graphicData>
            </a:graphic>
            <wp14:sizeRelV relativeFrom="margin">
              <wp14:pctHeight>0</wp14:pctHeight>
            </wp14:sizeRelV>
          </wp:anchor>
        </w:drawing>
      </w:r>
      <w:r w:rsidR="00D163D4" w:rsidRPr="006B42D6">
        <w:t xml:space="preserve">In </w:t>
      </w:r>
      <w:r w:rsidR="00645B2E" w:rsidRPr="006B42D6">
        <w:t xml:space="preserve">Tanzania </w:t>
      </w:r>
      <w:r w:rsidR="00D163D4" w:rsidRPr="006B42D6">
        <w:t xml:space="preserve">Zanzibar, the region with highest percentage of livestock keeping households that reported to practice disease control extension </w:t>
      </w:r>
      <w:r w:rsidR="007612D9">
        <w:t>advice</w:t>
      </w:r>
      <w:r w:rsidR="00D163D4" w:rsidRPr="006B42D6">
        <w:t xml:space="preserve"> was Kusini Pemba (100.0 percent), followed by Kusini Unguja (94.8 percent). Whilst the region with lowest percentage was Mjini Magharibi (64.5 percent)</w:t>
      </w:r>
      <w:r w:rsidR="00E81EFE" w:rsidRPr="006B42D6">
        <w:t xml:space="preserve"> (Figure 4.</w:t>
      </w:r>
      <w:r w:rsidR="00BE513B" w:rsidRPr="006B42D6">
        <w:t>68</w:t>
      </w:r>
      <w:r w:rsidR="00E81EFE" w:rsidRPr="006B42D6">
        <w:t>)</w:t>
      </w:r>
      <w:r w:rsidR="00F50BA6" w:rsidRPr="006B42D6">
        <w:t>.</w:t>
      </w:r>
    </w:p>
    <w:p w14:paraId="247122BF" w14:textId="77777777" w:rsidR="00D163D4" w:rsidRPr="006B42D6" w:rsidRDefault="00D163D4" w:rsidP="005C2EFC"/>
    <w:p w14:paraId="234EADD7" w14:textId="77777777" w:rsidR="00D163D4" w:rsidRPr="006B42D6" w:rsidRDefault="00D163D4" w:rsidP="005C2EFC"/>
    <w:p w14:paraId="1C6FCA47" w14:textId="65CFB397" w:rsidR="000E5E14" w:rsidRDefault="000E5E14">
      <w:pPr>
        <w:spacing w:line="240" w:lineRule="auto"/>
        <w:contextualSpacing w:val="0"/>
        <w:jc w:val="left"/>
      </w:pPr>
      <w:r>
        <w:br w:type="page"/>
      </w:r>
    </w:p>
    <w:p w14:paraId="1C8BAF63" w14:textId="6ED6738F" w:rsidR="00D163D4" w:rsidRPr="006B42D6" w:rsidRDefault="00F51B40" w:rsidP="005C2EFC">
      <w:pPr>
        <w:pStyle w:val="Heading2"/>
      </w:pPr>
      <w:bookmarkStart w:id="771" w:name="_Toc82385774"/>
      <w:r w:rsidRPr="006B42D6">
        <w:lastRenderedPageBreak/>
        <w:t>4</w:t>
      </w:r>
      <w:r w:rsidR="00D163D4" w:rsidRPr="006B42D6">
        <w:t>.</w:t>
      </w:r>
      <w:r w:rsidR="00022347">
        <w:t>7</w:t>
      </w:r>
      <w:r w:rsidR="0000655E" w:rsidRPr="006B42D6">
        <w:tab/>
      </w:r>
      <w:r w:rsidR="00D163D4" w:rsidRPr="006B42D6">
        <w:t>Fish Farming</w:t>
      </w:r>
      <w:bookmarkEnd w:id="771"/>
      <w:r w:rsidR="00D163D4" w:rsidRPr="006B42D6">
        <w:t xml:space="preserve"> </w:t>
      </w:r>
    </w:p>
    <w:p w14:paraId="35D43BD6" w14:textId="190ED839" w:rsidR="00D163D4" w:rsidRPr="006B42D6" w:rsidRDefault="00D163D4" w:rsidP="005C2EFC">
      <w:r w:rsidRPr="006B42D6">
        <w:t xml:space="preserve">The Fisheries Sector plays an important role in the economy of Tanzania. During 2020, the sector recorded a growth of </w:t>
      </w:r>
      <w:r w:rsidR="000833A4" w:rsidRPr="006B42D6">
        <w:t>6</w:t>
      </w:r>
      <w:r w:rsidR="00F50BA6" w:rsidRPr="006B42D6">
        <w:t>.</w:t>
      </w:r>
      <w:r w:rsidR="000833A4" w:rsidRPr="006B42D6">
        <w:t xml:space="preserve">7 </w:t>
      </w:r>
      <w:r w:rsidRPr="006B42D6">
        <w:t>percent and accounted for 1.7 percent share to GDP.</w:t>
      </w:r>
      <w:r w:rsidR="00BE513B" w:rsidRPr="006B42D6">
        <w:t xml:space="preserve"> However,</w:t>
      </w:r>
      <w:r w:rsidRPr="006B42D6">
        <w:t xml:space="preserve"> </w:t>
      </w:r>
      <w:r w:rsidR="00BE513B" w:rsidRPr="006B42D6">
        <w:t>t</w:t>
      </w:r>
      <w:r w:rsidRPr="006B42D6">
        <w:t>his chapter presents census results o</w:t>
      </w:r>
      <w:r w:rsidR="00EA5076" w:rsidRPr="006B42D6">
        <w:t>n</w:t>
      </w:r>
      <w:r w:rsidRPr="006B42D6">
        <w:t xml:space="preserve"> </w:t>
      </w:r>
      <w:r w:rsidR="00F50BA6" w:rsidRPr="006B42D6">
        <w:t>fish farming for</w:t>
      </w:r>
      <w:r w:rsidRPr="006B42D6">
        <w:t xml:space="preserve"> both smallholder farmers and large-scale farms</w:t>
      </w:r>
      <w:r w:rsidR="00EA5076" w:rsidRPr="006B42D6">
        <w:t>,</w:t>
      </w:r>
      <w:r w:rsidRPr="006B42D6">
        <w:t xml:space="preserve"> </w:t>
      </w:r>
      <w:r w:rsidR="00EA5076" w:rsidRPr="006B42D6">
        <w:t>specifically</w:t>
      </w:r>
      <w:r w:rsidRPr="006B42D6">
        <w:t xml:space="preserve"> fish production, sources of fingerlings, frequency of stocking, outlet for selling fish and source of fish feeds. The species of fish considered in the census include </w:t>
      </w:r>
      <w:r w:rsidR="00114D61" w:rsidRPr="006B42D6">
        <w:t>tilapia, milk fish, prawns and african catfis</w:t>
      </w:r>
      <w:r w:rsidRPr="006B42D6">
        <w:t xml:space="preserve">h. </w:t>
      </w:r>
    </w:p>
    <w:p w14:paraId="2A085689" w14:textId="77777777" w:rsidR="00D163D4" w:rsidRPr="006B42D6" w:rsidRDefault="00D163D4" w:rsidP="007B728E">
      <w:pPr>
        <w:spacing w:line="240" w:lineRule="auto"/>
      </w:pPr>
    </w:p>
    <w:p w14:paraId="1CEC9EC9" w14:textId="37FC58AE" w:rsidR="00D163D4" w:rsidRPr="006B42D6" w:rsidRDefault="00F51B40" w:rsidP="005C2EFC">
      <w:pPr>
        <w:pStyle w:val="Heading3"/>
      </w:pPr>
      <w:bookmarkStart w:id="772" w:name="_Toc82385775"/>
      <w:r w:rsidRPr="006B42D6">
        <w:t>4</w:t>
      </w:r>
      <w:r w:rsidR="00D163D4" w:rsidRPr="006B42D6">
        <w:t>.</w:t>
      </w:r>
      <w:r w:rsidR="00022347">
        <w:t>7</w:t>
      </w:r>
      <w:r w:rsidR="00D163D4" w:rsidRPr="006B42D6">
        <w:t>.1</w:t>
      </w:r>
      <w:r w:rsidR="0000655E" w:rsidRPr="006B42D6">
        <w:tab/>
      </w:r>
      <w:r w:rsidR="00D163D4" w:rsidRPr="006B42D6">
        <w:t xml:space="preserve">Fish </w:t>
      </w:r>
      <w:r w:rsidR="00114D61">
        <w:t>F</w:t>
      </w:r>
      <w:r w:rsidR="00D163D4" w:rsidRPr="006B42D6">
        <w:t xml:space="preserve">arming </w:t>
      </w:r>
      <w:r w:rsidR="00A161E5" w:rsidRPr="006B42D6">
        <w:t>H</w:t>
      </w:r>
      <w:r w:rsidR="00D163D4" w:rsidRPr="006B42D6">
        <w:t>ouseholds</w:t>
      </w:r>
      <w:bookmarkEnd w:id="772"/>
    </w:p>
    <w:p w14:paraId="3AF6BE1F" w14:textId="388A7C6D" w:rsidR="00A972A8" w:rsidRPr="006B42D6" w:rsidRDefault="00D163D4" w:rsidP="005C2EFC">
      <w:r w:rsidRPr="006B42D6">
        <w:t xml:space="preserve">The 2019/20 NSCA results show that, total number of households </w:t>
      </w:r>
      <w:r w:rsidR="004E7646" w:rsidRPr="006B42D6">
        <w:t xml:space="preserve">reported to </w:t>
      </w:r>
      <w:r w:rsidRPr="006B42D6">
        <w:t>practic</w:t>
      </w:r>
      <w:r w:rsidR="004E7646" w:rsidRPr="006B42D6">
        <w:t>e</w:t>
      </w:r>
      <w:r w:rsidRPr="006B42D6">
        <w:t xml:space="preserve"> fish farming in Tanzania was 26,662 (26,294 in </w:t>
      </w:r>
      <w:r w:rsidR="00EA1552">
        <w:t>Mainland Tanzania</w:t>
      </w:r>
      <w:r w:rsidRPr="006B42D6">
        <w:t xml:space="preserve"> and 368 in </w:t>
      </w:r>
      <w:r w:rsidR="00645B2E" w:rsidRPr="006B42D6">
        <w:t xml:space="preserve">Tanzania </w:t>
      </w:r>
      <w:r w:rsidRPr="006B42D6">
        <w:t xml:space="preserve">Zanzibar). In </w:t>
      </w:r>
      <w:r w:rsidR="00EA1552">
        <w:t>Mainland Tanzania</w:t>
      </w:r>
      <w:r w:rsidRPr="006B42D6">
        <w:t xml:space="preserve">, region with </w:t>
      </w:r>
      <w:r w:rsidR="0068660F">
        <w:t>largest</w:t>
      </w:r>
      <w:r w:rsidRPr="006B42D6">
        <w:t xml:space="preserve"> number of households practic</w:t>
      </w:r>
      <w:r w:rsidR="00AE5F36" w:rsidRPr="006B42D6">
        <w:t>ed</w:t>
      </w:r>
      <w:r w:rsidRPr="006B42D6">
        <w:t xml:space="preserve"> fish farming </w:t>
      </w:r>
      <w:r w:rsidR="0068660F">
        <w:t>was</w:t>
      </w:r>
      <w:r w:rsidRPr="006B42D6">
        <w:t xml:space="preserve"> Ruvuma (19.0 percent)</w:t>
      </w:r>
      <w:r w:rsidR="00EA5076" w:rsidRPr="006B42D6">
        <w:t>,</w:t>
      </w:r>
      <w:r w:rsidRPr="006B42D6">
        <w:t xml:space="preserve"> followed by Dar es Salaam (11.9 percent) and Mbeya (7.7 percent). The region with </w:t>
      </w:r>
      <w:r w:rsidR="00AE5F36" w:rsidRPr="006B42D6">
        <w:t xml:space="preserve">the </w:t>
      </w:r>
      <w:r w:rsidRPr="006B42D6">
        <w:t>lowest number of households practic</w:t>
      </w:r>
      <w:r w:rsidR="00AE5F36" w:rsidRPr="006B42D6">
        <w:t>ed</w:t>
      </w:r>
      <w:r w:rsidRPr="006B42D6">
        <w:t xml:space="preserve"> fish farming was Morogoro (0.7 percent)</w:t>
      </w:r>
      <w:r w:rsidR="004D3414" w:rsidRPr="006B42D6">
        <w:t>,</w:t>
      </w:r>
      <w:r w:rsidRPr="006B42D6">
        <w:t xml:space="preserve"> </w:t>
      </w:r>
      <w:r w:rsidR="00F313A1" w:rsidRPr="006B42D6">
        <w:t>while there were no households reported to practice fish farming in Dodoma, Pwani, Lindi, Kigoma Manyara, Mara and Katavi regions</w:t>
      </w:r>
      <w:r w:rsidR="004D3414" w:rsidRPr="006B42D6">
        <w:t xml:space="preserve"> (Figure 4.69)</w:t>
      </w:r>
      <w:r w:rsidR="00F313A1" w:rsidRPr="006B42D6">
        <w:t>.</w:t>
      </w:r>
      <w:r w:rsidR="00EA5076" w:rsidRPr="006B42D6">
        <w:t xml:space="preserve"> </w:t>
      </w:r>
      <w:r w:rsidRPr="006B42D6">
        <w:t xml:space="preserve">In </w:t>
      </w:r>
      <w:r w:rsidR="00645B2E" w:rsidRPr="006B42D6">
        <w:t xml:space="preserve">Tanzania </w:t>
      </w:r>
      <w:r w:rsidRPr="006B42D6">
        <w:t xml:space="preserve">Zanzibar, only Kusini Pemba region with 368 households was reported to </w:t>
      </w:r>
      <w:r w:rsidR="00EA5076" w:rsidRPr="006B42D6">
        <w:t>practice fish</w:t>
      </w:r>
      <w:r w:rsidRPr="006B42D6">
        <w:t xml:space="preserve"> farming</w:t>
      </w:r>
      <w:r w:rsidR="004E7646" w:rsidRPr="006B42D6">
        <w:t>.</w:t>
      </w:r>
      <w:r w:rsidR="00EA5076" w:rsidRPr="006B42D6">
        <w:t xml:space="preserve"> </w:t>
      </w:r>
    </w:p>
    <w:p w14:paraId="288F1295" w14:textId="77777777" w:rsidR="00A161E5" w:rsidRPr="006B42D6" w:rsidRDefault="00A161E5" w:rsidP="005C2EFC"/>
    <w:p w14:paraId="691D90C2" w14:textId="0E3BCD33" w:rsidR="0077364F" w:rsidRPr="007B728E" w:rsidRDefault="0077364F" w:rsidP="007B728E">
      <w:pPr>
        <w:pStyle w:val="Caption"/>
      </w:pPr>
      <w:bookmarkStart w:id="773" w:name="_Toc82386440"/>
      <w:r w:rsidRPr="007B728E">
        <w:t>Figure 4.6</w:t>
      </w:r>
      <w:r w:rsidR="00BE513B" w:rsidRPr="007B728E">
        <w:t>9</w:t>
      </w:r>
      <w:r w:rsidR="007B728E" w:rsidRPr="007B728E">
        <w:t>:</w:t>
      </w:r>
      <w:r w:rsidR="007B728E" w:rsidRPr="007B728E">
        <w:tab/>
      </w:r>
      <w:r w:rsidRPr="007B728E">
        <w:t>Number of Agricultural Households Practicing Fish Farming by Region During 2019/20 Agricultural Year</w:t>
      </w:r>
      <w:r w:rsidR="00645B2E" w:rsidRPr="007B728E">
        <w:t xml:space="preserve">, </w:t>
      </w:r>
      <w:r w:rsidR="00EA1552" w:rsidRPr="007B728E">
        <w:t>Mainland Tanzania</w:t>
      </w:r>
      <w:bookmarkEnd w:id="773"/>
    </w:p>
    <w:p w14:paraId="63D7CE98" w14:textId="44AE877F" w:rsidR="0077364F" w:rsidRPr="006B42D6" w:rsidRDefault="001B26AC" w:rsidP="005C2EFC">
      <w:r w:rsidRPr="006B42D6">
        <w:rPr>
          <w:noProof/>
          <w:sz w:val="20"/>
          <w:szCs w:val="20"/>
        </w:rPr>
        <w:drawing>
          <wp:inline distT="0" distB="0" distL="0" distR="0" wp14:anchorId="6D7F2B38" wp14:editId="2F3BFEB1">
            <wp:extent cx="5541579" cy="3084830"/>
            <wp:effectExtent l="0" t="0" r="8890" b="13970"/>
            <wp:docPr id="27" name="Chart 5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6"/>
              </a:graphicData>
            </a:graphic>
          </wp:inline>
        </w:drawing>
      </w:r>
    </w:p>
    <w:p w14:paraId="7CCAC76A" w14:textId="2BA69FB3" w:rsidR="0068660F" w:rsidRDefault="0068660F">
      <w:pPr>
        <w:spacing w:line="240" w:lineRule="auto"/>
        <w:contextualSpacing w:val="0"/>
        <w:jc w:val="left"/>
        <w:rPr>
          <w:rFonts w:eastAsia="Calibri"/>
        </w:rPr>
      </w:pPr>
      <w:r>
        <w:br w:type="page"/>
      </w:r>
    </w:p>
    <w:p w14:paraId="5790262B" w14:textId="7D160CEB" w:rsidR="00645B2E" w:rsidRPr="006B42D6" w:rsidRDefault="00645B2E" w:rsidP="00645B2E">
      <w:r w:rsidRPr="006B42D6">
        <w:lastRenderedPageBreak/>
        <w:t xml:space="preserve">The number of households reported to practice fish farming in Tanzania has </w:t>
      </w:r>
      <w:r w:rsidR="0068660F">
        <w:t xml:space="preserve">slightly </w:t>
      </w:r>
      <w:r w:rsidRPr="006B42D6">
        <w:t xml:space="preserve">increased from 0.2 percent in 2007/08 to 0.3 percent in 2019/20 agricultural year. Similarly, the number of households reported to practice fish farming in </w:t>
      </w:r>
      <w:r w:rsidR="00EA1552">
        <w:t>Mainland Tanzania</w:t>
      </w:r>
      <w:r w:rsidRPr="006B42D6">
        <w:t xml:space="preserve"> has increased from 0.2 percent in 2007/08 to 0.3 percent in 2019/20, while that of Tanzania Zanzibar increased from 0.02 percent in 2007/08 to 0.2 percent in 2019/20 agricultural year.</w:t>
      </w:r>
    </w:p>
    <w:p w14:paraId="0586B70C" w14:textId="77777777" w:rsidR="00A161E5" w:rsidRPr="0068660F" w:rsidRDefault="00A161E5" w:rsidP="004F6CC5">
      <w:pPr>
        <w:spacing w:line="240" w:lineRule="auto"/>
        <w:rPr>
          <w:sz w:val="20"/>
          <w:szCs w:val="20"/>
        </w:rPr>
      </w:pPr>
    </w:p>
    <w:p w14:paraId="4CF49640" w14:textId="268037AB" w:rsidR="00D163D4" w:rsidRPr="006B42D6" w:rsidRDefault="00E01116" w:rsidP="005C2EFC">
      <w:pPr>
        <w:pStyle w:val="Heading3"/>
      </w:pPr>
      <w:bookmarkStart w:id="774" w:name="_Toc82385776"/>
      <w:r w:rsidRPr="006B42D6">
        <w:t>4</w:t>
      </w:r>
      <w:r w:rsidR="00D163D4" w:rsidRPr="006B42D6">
        <w:t>.</w:t>
      </w:r>
      <w:r w:rsidR="00022347">
        <w:t>7</w:t>
      </w:r>
      <w:r w:rsidR="00D163D4" w:rsidRPr="006B42D6">
        <w:t>.2</w:t>
      </w:r>
      <w:r w:rsidR="0000655E" w:rsidRPr="006B42D6">
        <w:tab/>
      </w:r>
      <w:r w:rsidR="00D163D4" w:rsidRPr="006B42D6">
        <w:t>Fish Production</w:t>
      </w:r>
      <w:bookmarkEnd w:id="774"/>
      <w:r w:rsidR="00D163D4" w:rsidRPr="006B42D6">
        <w:t xml:space="preserve"> </w:t>
      </w:r>
    </w:p>
    <w:p w14:paraId="5E34FFCC" w14:textId="2AEF9F3F" w:rsidR="00D163D4" w:rsidRPr="006B42D6" w:rsidRDefault="00D163D4" w:rsidP="004F6CC5">
      <w:r w:rsidRPr="006B42D6">
        <w:t xml:space="preserve">The 2019/20 NSCA results show that, a total number of stocked fish was 52,979,610 fingerlings (49,379,641 fingerlings from smallholder farmers and 3,599,969 from large scale farms). The total production of fish was 12,936 tons (12,626 tons from smallholder farmers and 310 tons from large scale farms). Whilst the total quantity </w:t>
      </w:r>
      <w:r w:rsidR="000C2202" w:rsidRPr="006B42D6">
        <w:t xml:space="preserve">of fish </w:t>
      </w:r>
      <w:r w:rsidRPr="006B42D6">
        <w:t xml:space="preserve">sold was 2,090 tons (1,847 tons from smallholder farmers and 243 tons from large scale farms). </w:t>
      </w:r>
    </w:p>
    <w:p w14:paraId="7F96E79A" w14:textId="77777777" w:rsidR="00885C94" w:rsidRPr="0068660F" w:rsidRDefault="00885C94" w:rsidP="004F6CC5">
      <w:pPr>
        <w:spacing w:line="240" w:lineRule="auto"/>
        <w:rPr>
          <w:sz w:val="20"/>
          <w:szCs w:val="20"/>
        </w:rPr>
      </w:pPr>
    </w:p>
    <w:p w14:paraId="0B6EBC45" w14:textId="71A5050F" w:rsidR="00D163D4" w:rsidRPr="006B42D6" w:rsidRDefault="00D163D4" w:rsidP="004F6CC5">
      <w:pPr>
        <w:rPr>
          <w:sz w:val="2"/>
        </w:rPr>
      </w:pPr>
      <w:r w:rsidRPr="006B42D6">
        <w:t xml:space="preserve">In </w:t>
      </w:r>
      <w:r w:rsidR="00EA1552">
        <w:t>Mainland Tanzania</w:t>
      </w:r>
      <w:r w:rsidRPr="006B42D6">
        <w:t xml:space="preserve">, a total number of stocked fish was 52,648,933 fingerlings </w:t>
      </w:r>
      <w:r w:rsidR="000C2202" w:rsidRPr="006B42D6">
        <w:t xml:space="preserve">and </w:t>
      </w:r>
      <w:r w:rsidRPr="006B42D6">
        <w:t>quantity of harvested was 12,872 ton</w:t>
      </w:r>
      <w:r w:rsidR="00BE513B" w:rsidRPr="006B42D6">
        <w:t>s and a total of</w:t>
      </w:r>
      <w:r w:rsidR="000C2202" w:rsidRPr="006B42D6">
        <w:t xml:space="preserve"> </w:t>
      </w:r>
      <w:r w:rsidRPr="006B42D6">
        <w:rPr>
          <w:rFonts w:cs="Calibri"/>
        </w:rPr>
        <w:t>2,031 tons</w:t>
      </w:r>
      <w:r w:rsidRPr="006B42D6">
        <w:t xml:space="preserve"> were sold. In </w:t>
      </w:r>
      <w:r w:rsidR="00645B2E" w:rsidRPr="006B42D6">
        <w:t xml:space="preserve">Tanzania </w:t>
      </w:r>
      <w:r w:rsidRPr="006B42D6">
        <w:t xml:space="preserve">Zanzibar, a total number of stocked fish was 330,677 fingerlings </w:t>
      </w:r>
      <w:r w:rsidR="00634AC3" w:rsidRPr="006B42D6">
        <w:t>and quantity</w:t>
      </w:r>
      <w:r w:rsidRPr="006B42D6">
        <w:t xml:space="preserve"> of harvested was 64 tons</w:t>
      </w:r>
      <w:r w:rsidR="000C2202" w:rsidRPr="006B42D6">
        <w:t>,</w:t>
      </w:r>
      <w:r w:rsidRPr="006B42D6">
        <w:t xml:space="preserve"> </w:t>
      </w:r>
      <w:r w:rsidR="00BE513B" w:rsidRPr="006B42D6">
        <w:t>and a</w:t>
      </w:r>
      <w:r w:rsidRPr="006B42D6">
        <w:t xml:space="preserve"> total of 59 tons were sold.</w:t>
      </w:r>
    </w:p>
    <w:p w14:paraId="71E3A31E" w14:textId="77777777" w:rsidR="00D163D4" w:rsidRPr="0068660F" w:rsidRDefault="00D163D4" w:rsidP="004F6CC5">
      <w:pPr>
        <w:pStyle w:val="Default"/>
        <w:jc w:val="both"/>
        <w:rPr>
          <w:color w:val="auto"/>
          <w:sz w:val="20"/>
          <w:szCs w:val="20"/>
        </w:rPr>
      </w:pPr>
    </w:p>
    <w:p w14:paraId="44F59788" w14:textId="26BA8996" w:rsidR="00D163D4" w:rsidRPr="006B42D6" w:rsidRDefault="00D163D4" w:rsidP="005C2EFC">
      <w:pPr>
        <w:pStyle w:val="Default"/>
        <w:spacing w:line="360" w:lineRule="auto"/>
        <w:jc w:val="both"/>
        <w:rPr>
          <w:color w:val="auto"/>
        </w:rPr>
      </w:pPr>
      <w:r w:rsidRPr="006B42D6">
        <w:rPr>
          <w:color w:val="auto"/>
        </w:rPr>
        <w:t xml:space="preserve">The total quantity of fish harvested by smallholder farmers was 12,626 tons (12,615 tons in </w:t>
      </w:r>
      <w:r w:rsidR="00EA1552">
        <w:rPr>
          <w:color w:val="auto"/>
        </w:rPr>
        <w:t>Mainland Tanzania</w:t>
      </w:r>
      <w:r w:rsidRPr="006B42D6">
        <w:rPr>
          <w:color w:val="auto"/>
        </w:rPr>
        <w:t xml:space="preserve"> and 11 tons in </w:t>
      </w:r>
      <w:r w:rsidR="00645B2E" w:rsidRPr="006B42D6">
        <w:rPr>
          <w:color w:val="auto"/>
        </w:rPr>
        <w:t xml:space="preserve">Tanzania </w:t>
      </w:r>
      <w:r w:rsidRPr="006B42D6">
        <w:rPr>
          <w:color w:val="auto"/>
        </w:rPr>
        <w:t>Zanzibar)</w:t>
      </w:r>
      <w:r w:rsidR="00634AC3" w:rsidRPr="006B42D6">
        <w:rPr>
          <w:color w:val="auto"/>
        </w:rPr>
        <w:t xml:space="preserve"> and </w:t>
      </w:r>
      <w:r w:rsidRPr="006B42D6">
        <w:rPr>
          <w:color w:val="auto"/>
        </w:rPr>
        <w:t>1,846 tons</w:t>
      </w:r>
      <w:r w:rsidR="00634AC3" w:rsidRPr="006B42D6">
        <w:rPr>
          <w:color w:val="auto"/>
        </w:rPr>
        <w:t xml:space="preserve"> </w:t>
      </w:r>
      <w:r w:rsidRPr="006B42D6">
        <w:rPr>
          <w:color w:val="auto"/>
        </w:rPr>
        <w:t xml:space="preserve">(1,835 tons </w:t>
      </w:r>
      <w:r w:rsidR="00BE513B" w:rsidRPr="006B42D6">
        <w:rPr>
          <w:color w:val="auto"/>
        </w:rPr>
        <w:t>in</w:t>
      </w:r>
      <w:r w:rsidRPr="006B42D6">
        <w:rPr>
          <w:color w:val="auto"/>
        </w:rPr>
        <w:t xml:space="preserve"> </w:t>
      </w:r>
      <w:r w:rsidR="00EA1552">
        <w:rPr>
          <w:color w:val="auto"/>
        </w:rPr>
        <w:t>Mainland Tanzania</w:t>
      </w:r>
      <w:r w:rsidRPr="006B42D6">
        <w:rPr>
          <w:color w:val="auto"/>
        </w:rPr>
        <w:t xml:space="preserve"> and 11 tons </w:t>
      </w:r>
      <w:r w:rsidR="00BE513B" w:rsidRPr="006B42D6">
        <w:rPr>
          <w:color w:val="auto"/>
        </w:rPr>
        <w:t>in Tanzania</w:t>
      </w:r>
      <w:r w:rsidRPr="006B42D6">
        <w:rPr>
          <w:color w:val="auto"/>
        </w:rPr>
        <w:t xml:space="preserve"> Zanzibar</w:t>
      </w:r>
      <w:r w:rsidR="00634AC3" w:rsidRPr="006B42D6">
        <w:rPr>
          <w:color w:val="auto"/>
        </w:rPr>
        <w:t>) were sold</w:t>
      </w:r>
      <w:r w:rsidR="00E81EFE" w:rsidRPr="006B42D6">
        <w:rPr>
          <w:color w:val="auto"/>
        </w:rPr>
        <w:t xml:space="preserve"> (</w:t>
      </w:r>
      <w:r w:rsidR="00885C94" w:rsidRPr="006B42D6">
        <w:rPr>
          <w:color w:val="auto"/>
        </w:rPr>
        <w:t>Table</w:t>
      </w:r>
      <w:r w:rsidR="00E81EFE" w:rsidRPr="006B42D6">
        <w:rPr>
          <w:color w:val="auto"/>
        </w:rPr>
        <w:t xml:space="preserve"> 4.</w:t>
      </w:r>
      <w:r w:rsidR="004D395F">
        <w:rPr>
          <w:color w:val="auto"/>
        </w:rPr>
        <w:t>2</w:t>
      </w:r>
      <w:r w:rsidR="00ED0537">
        <w:rPr>
          <w:color w:val="auto"/>
        </w:rPr>
        <w:t>1</w:t>
      </w:r>
      <w:r w:rsidR="00E81EFE" w:rsidRPr="006B42D6">
        <w:rPr>
          <w:color w:val="auto"/>
        </w:rPr>
        <w:t>)</w:t>
      </w:r>
      <w:r w:rsidRPr="006B42D6">
        <w:rPr>
          <w:color w:val="auto"/>
        </w:rPr>
        <w:t>.</w:t>
      </w:r>
    </w:p>
    <w:p w14:paraId="6F312E8A" w14:textId="77777777" w:rsidR="00CD4468" w:rsidRPr="006B42D6" w:rsidRDefault="00CD4468" w:rsidP="0068660F">
      <w:pPr>
        <w:pStyle w:val="Default"/>
        <w:jc w:val="both"/>
        <w:rPr>
          <w:color w:val="auto"/>
        </w:rPr>
      </w:pPr>
    </w:p>
    <w:p w14:paraId="05C62801" w14:textId="61199D86" w:rsidR="00D163D4" w:rsidRPr="006B42D6" w:rsidRDefault="00E81EFE" w:rsidP="004F6CC5">
      <w:pPr>
        <w:pStyle w:val="Heading7"/>
      </w:pPr>
      <w:bookmarkStart w:id="775" w:name="_Toc82386229"/>
      <w:r w:rsidRPr="006B42D6">
        <w:t>Table 4.</w:t>
      </w:r>
      <w:r w:rsidR="004D395F">
        <w:t>2</w:t>
      </w:r>
      <w:r w:rsidR="00ED0537">
        <w:t>1</w:t>
      </w:r>
      <w:r w:rsidR="004F6CC5">
        <w:rPr>
          <w:bCs/>
        </w:rPr>
        <w:t>:</w:t>
      </w:r>
      <w:r w:rsidR="004F6CC5">
        <w:rPr>
          <w:bCs/>
        </w:rPr>
        <w:tab/>
      </w:r>
      <w:r w:rsidR="00CD4468" w:rsidRPr="006B42D6">
        <w:t xml:space="preserve">Number </w:t>
      </w:r>
      <w:r w:rsidR="00146B47" w:rsidRPr="006B42D6">
        <w:t xml:space="preserve">of </w:t>
      </w:r>
      <w:r w:rsidR="00645B2E" w:rsidRPr="006B42D6">
        <w:t xml:space="preserve">Stocked and Harvested </w:t>
      </w:r>
      <w:r w:rsidR="00146B47" w:rsidRPr="006B42D6">
        <w:t>Fish, Weight</w:t>
      </w:r>
      <w:r w:rsidR="00645B2E" w:rsidRPr="006B42D6">
        <w:t>s of Harvested and</w:t>
      </w:r>
      <w:r w:rsidR="00146B47" w:rsidRPr="006B42D6">
        <w:t xml:space="preserve"> Sold </w:t>
      </w:r>
      <w:r w:rsidR="00116F11" w:rsidRPr="006B42D6">
        <w:t>Fish</w:t>
      </w:r>
      <w:r w:rsidR="00BE513B" w:rsidRPr="006B42D6">
        <w:t>,</w:t>
      </w:r>
      <w:r w:rsidR="00116F11" w:rsidRPr="006B42D6">
        <w:t xml:space="preserve"> </w:t>
      </w:r>
      <w:r w:rsidR="00146B47" w:rsidRPr="006B42D6">
        <w:t>During 2019/20 Agriculture Year</w:t>
      </w:r>
      <w:r w:rsidR="00116F11" w:rsidRPr="006B42D6">
        <w:t>, Tanzania</w:t>
      </w:r>
      <w:bookmarkEnd w:id="775"/>
      <w:r w:rsidR="00146B47" w:rsidRPr="006B42D6">
        <w:t xml:space="preserve"> </w:t>
      </w:r>
    </w:p>
    <w:tbl>
      <w:tblPr>
        <w:tblW w:w="9891" w:type="dxa"/>
        <w:tblLayout w:type="fixed"/>
        <w:tblLook w:val="04A0" w:firstRow="1" w:lastRow="0" w:firstColumn="1" w:lastColumn="0" w:noHBand="0" w:noVBand="1"/>
      </w:tblPr>
      <w:tblGrid>
        <w:gridCol w:w="1843"/>
        <w:gridCol w:w="891"/>
        <w:gridCol w:w="853"/>
        <w:gridCol w:w="1036"/>
        <w:gridCol w:w="891"/>
        <w:gridCol w:w="853"/>
        <w:gridCol w:w="1036"/>
        <w:gridCol w:w="704"/>
        <w:gridCol w:w="748"/>
        <w:gridCol w:w="1036"/>
      </w:tblGrid>
      <w:tr w:rsidR="006B42D6" w:rsidRPr="006B42D6" w14:paraId="2530752F" w14:textId="77777777" w:rsidTr="00AC6872">
        <w:trPr>
          <w:trHeight w:val="339"/>
        </w:trPr>
        <w:tc>
          <w:tcPr>
            <w:tcW w:w="1843" w:type="dxa"/>
            <w:vMerge w:val="restart"/>
            <w:tcBorders>
              <w:top w:val="single" w:sz="4" w:space="0" w:color="auto"/>
              <w:left w:val="nil"/>
              <w:bottom w:val="single" w:sz="4" w:space="0" w:color="000000"/>
              <w:right w:val="nil"/>
            </w:tcBorders>
            <w:shd w:val="clear" w:color="auto" w:fill="E2EFD9" w:themeFill="accent6" w:themeFillTint="33"/>
            <w:noWrap/>
            <w:vAlign w:val="center"/>
            <w:hideMark/>
          </w:tcPr>
          <w:p w14:paraId="3DBC7F32" w14:textId="77777777" w:rsidR="00A161E5" w:rsidRPr="0068660F" w:rsidRDefault="00A161E5" w:rsidP="0068660F">
            <w:pPr>
              <w:spacing w:line="240" w:lineRule="auto"/>
              <w:rPr>
                <w:bCs/>
                <w:sz w:val="15"/>
                <w:szCs w:val="15"/>
              </w:rPr>
            </w:pPr>
            <w:r w:rsidRPr="0068660F">
              <w:rPr>
                <w:bCs/>
                <w:sz w:val="15"/>
                <w:szCs w:val="15"/>
              </w:rPr>
              <w:t>Number/Quantity</w:t>
            </w:r>
          </w:p>
        </w:tc>
        <w:tc>
          <w:tcPr>
            <w:tcW w:w="2780" w:type="dxa"/>
            <w:gridSpan w:val="3"/>
            <w:tcBorders>
              <w:top w:val="single" w:sz="4" w:space="0" w:color="auto"/>
              <w:left w:val="single" w:sz="4" w:space="0" w:color="auto"/>
              <w:bottom w:val="single" w:sz="4" w:space="0" w:color="auto"/>
              <w:right w:val="single" w:sz="4" w:space="0" w:color="000000"/>
            </w:tcBorders>
            <w:shd w:val="clear" w:color="auto" w:fill="E2EFD9" w:themeFill="accent6" w:themeFillTint="33"/>
            <w:noWrap/>
            <w:vAlign w:val="center"/>
            <w:hideMark/>
          </w:tcPr>
          <w:p w14:paraId="036884D3" w14:textId="77777777" w:rsidR="00A161E5" w:rsidRPr="0068660F" w:rsidRDefault="00A161E5" w:rsidP="0068660F">
            <w:pPr>
              <w:spacing w:line="240" w:lineRule="auto"/>
              <w:jc w:val="center"/>
              <w:rPr>
                <w:bCs/>
                <w:sz w:val="15"/>
                <w:szCs w:val="15"/>
              </w:rPr>
            </w:pPr>
            <w:r w:rsidRPr="0068660F">
              <w:rPr>
                <w:bCs/>
                <w:sz w:val="15"/>
                <w:szCs w:val="15"/>
              </w:rPr>
              <w:t>Tanzania</w:t>
            </w:r>
          </w:p>
        </w:tc>
        <w:tc>
          <w:tcPr>
            <w:tcW w:w="2780" w:type="dxa"/>
            <w:gridSpan w:val="3"/>
            <w:tcBorders>
              <w:top w:val="single" w:sz="4" w:space="0" w:color="auto"/>
              <w:left w:val="nil"/>
              <w:bottom w:val="single" w:sz="4" w:space="0" w:color="auto"/>
              <w:right w:val="single" w:sz="4" w:space="0" w:color="000000"/>
            </w:tcBorders>
            <w:shd w:val="clear" w:color="auto" w:fill="E2EFD9" w:themeFill="accent6" w:themeFillTint="33"/>
            <w:noWrap/>
            <w:vAlign w:val="center"/>
            <w:hideMark/>
          </w:tcPr>
          <w:p w14:paraId="5BBC3618" w14:textId="6EEBA68B" w:rsidR="00A161E5" w:rsidRPr="0068660F" w:rsidRDefault="00EA1552" w:rsidP="0068660F">
            <w:pPr>
              <w:spacing w:line="240" w:lineRule="auto"/>
              <w:jc w:val="center"/>
              <w:rPr>
                <w:bCs/>
                <w:sz w:val="15"/>
                <w:szCs w:val="15"/>
              </w:rPr>
            </w:pPr>
            <w:r w:rsidRPr="0068660F">
              <w:rPr>
                <w:bCs/>
                <w:sz w:val="15"/>
                <w:szCs w:val="15"/>
              </w:rPr>
              <w:t>Mainland Tanzania</w:t>
            </w:r>
          </w:p>
        </w:tc>
        <w:tc>
          <w:tcPr>
            <w:tcW w:w="2488" w:type="dxa"/>
            <w:gridSpan w:val="3"/>
            <w:tcBorders>
              <w:top w:val="single" w:sz="4" w:space="0" w:color="auto"/>
              <w:left w:val="nil"/>
              <w:bottom w:val="single" w:sz="4" w:space="0" w:color="auto"/>
            </w:tcBorders>
            <w:shd w:val="clear" w:color="auto" w:fill="E2EFD9" w:themeFill="accent6" w:themeFillTint="33"/>
            <w:noWrap/>
            <w:vAlign w:val="center"/>
            <w:hideMark/>
          </w:tcPr>
          <w:p w14:paraId="5E740D56" w14:textId="749DA1AB" w:rsidR="00A161E5" w:rsidRPr="0068660F" w:rsidRDefault="00116F11" w:rsidP="0068660F">
            <w:pPr>
              <w:spacing w:line="240" w:lineRule="auto"/>
              <w:jc w:val="center"/>
              <w:rPr>
                <w:bCs/>
                <w:sz w:val="15"/>
                <w:szCs w:val="15"/>
              </w:rPr>
            </w:pPr>
            <w:r w:rsidRPr="0068660F">
              <w:rPr>
                <w:bCs/>
                <w:sz w:val="15"/>
                <w:szCs w:val="15"/>
              </w:rPr>
              <w:t xml:space="preserve">Tanzania </w:t>
            </w:r>
            <w:r w:rsidR="00A161E5" w:rsidRPr="0068660F">
              <w:rPr>
                <w:bCs/>
                <w:sz w:val="15"/>
                <w:szCs w:val="15"/>
              </w:rPr>
              <w:t>Zanzibar</w:t>
            </w:r>
          </w:p>
        </w:tc>
      </w:tr>
      <w:tr w:rsidR="006B42D6" w:rsidRPr="006B42D6" w14:paraId="267A79CD" w14:textId="77777777" w:rsidTr="00A56532">
        <w:trPr>
          <w:trHeight w:val="434"/>
        </w:trPr>
        <w:tc>
          <w:tcPr>
            <w:tcW w:w="1843" w:type="dxa"/>
            <w:vMerge/>
            <w:tcBorders>
              <w:top w:val="single" w:sz="4" w:space="0" w:color="auto"/>
              <w:left w:val="nil"/>
              <w:bottom w:val="single" w:sz="4" w:space="0" w:color="000000"/>
              <w:right w:val="nil"/>
            </w:tcBorders>
            <w:shd w:val="clear" w:color="auto" w:fill="E2EFD9" w:themeFill="accent6" w:themeFillTint="33"/>
            <w:vAlign w:val="center"/>
            <w:hideMark/>
          </w:tcPr>
          <w:p w14:paraId="4F0C56DA" w14:textId="77777777" w:rsidR="00A161E5" w:rsidRPr="0068660F" w:rsidRDefault="00A161E5" w:rsidP="0068660F">
            <w:pPr>
              <w:spacing w:line="240" w:lineRule="auto"/>
              <w:jc w:val="center"/>
              <w:rPr>
                <w:bCs/>
                <w:sz w:val="15"/>
                <w:szCs w:val="15"/>
              </w:rPr>
            </w:pPr>
          </w:p>
        </w:tc>
        <w:tc>
          <w:tcPr>
            <w:tcW w:w="891" w:type="dxa"/>
            <w:tcBorders>
              <w:top w:val="nil"/>
              <w:left w:val="single" w:sz="4" w:space="0" w:color="auto"/>
              <w:bottom w:val="single" w:sz="4" w:space="0" w:color="auto"/>
              <w:right w:val="nil"/>
            </w:tcBorders>
            <w:shd w:val="clear" w:color="auto" w:fill="E2EFD9" w:themeFill="accent6" w:themeFillTint="33"/>
            <w:noWrap/>
            <w:vAlign w:val="center"/>
            <w:hideMark/>
          </w:tcPr>
          <w:p w14:paraId="276CCDAD" w14:textId="77777777" w:rsidR="00A161E5" w:rsidRPr="0068660F" w:rsidRDefault="00A161E5" w:rsidP="0068660F">
            <w:pPr>
              <w:spacing w:line="240" w:lineRule="auto"/>
              <w:jc w:val="center"/>
              <w:rPr>
                <w:bCs/>
                <w:sz w:val="15"/>
                <w:szCs w:val="15"/>
              </w:rPr>
            </w:pPr>
            <w:r w:rsidRPr="0068660F">
              <w:rPr>
                <w:bCs/>
                <w:sz w:val="15"/>
                <w:szCs w:val="15"/>
              </w:rPr>
              <w:t>Total</w:t>
            </w:r>
          </w:p>
        </w:tc>
        <w:tc>
          <w:tcPr>
            <w:tcW w:w="853" w:type="dxa"/>
            <w:tcBorders>
              <w:top w:val="nil"/>
              <w:left w:val="nil"/>
              <w:bottom w:val="single" w:sz="4" w:space="0" w:color="auto"/>
              <w:right w:val="nil"/>
            </w:tcBorders>
            <w:shd w:val="clear" w:color="auto" w:fill="E2EFD9" w:themeFill="accent6" w:themeFillTint="33"/>
            <w:vAlign w:val="center"/>
            <w:hideMark/>
          </w:tcPr>
          <w:p w14:paraId="141B2F95" w14:textId="77777777" w:rsidR="00A161E5" w:rsidRPr="0068660F" w:rsidRDefault="00A161E5" w:rsidP="0068660F">
            <w:pPr>
              <w:spacing w:line="240" w:lineRule="auto"/>
              <w:jc w:val="center"/>
              <w:rPr>
                <w:bCs/>
                <w:sz w:val="15"/>
                <w:szCs w:val="15"/>
              </w:rPr>
            </w:pPr>
            <w:r w:rsidRPr="0068660F">
              <w:rPr>
                <w:bCs/>
                <w:sz w:val="15"/>
                <w:szCs w:val="15"/>
              </w:rPr>
              <w:t>Large Scale Farms</w:t>
            </w:r>
          </w:p>
        </w:tc>
        <w:tc>
          <w:tcPr>
            <w:tcW w:w="1036" w:type="dxa"/>
            <w:tcBorders>
              <w:top w:val="nil"/>
              <w:left w:val="nil"/>
              <w:bottom w:val="single" w:sz="4" w:space="0" w:color="auto"/>
              <w:right w:val="single" w:sz="4" w:space="0" w:color="auto"/>
            </w:tcBorders>
            <w:shd w:val="clear" w:color="auto" w:fill="E2EFD9" w:themeFill="accent6" w:themeFillTint="33"/>
            <w:vAlign w:val="center"/>
            <w:hideMark/>
          </w:tcPr>
          <w:p w14:paraId="71FD1069" w14:textId="77777777" w:rsidR="00A161E5" w:rsidRPr="0068660F" w:rsidRDefault="00A161E5" w:rsidP="0068660F">
            <w:pPr>
              <w:spacing w:line="240" w:lineRule="auto"/>
              <w:jc w:val="center"/>
              <w:rPr>
                <w:bCs/>
                <w:sz w:val="15"/>
                <w:szCs w:val="15"/>
              </w:rPr>
            </w:pPr>
            <w:r w:rsidRPr="0068660F">
              <w:rPr>
                <w:bCs/>
                <w:sz w:val="15"/>
                <w:szCs w:val="15"/>
              </w:rPr>
              <w:t>Smallholder Farmers</w:t>
            </w:r>
          </w:p>
        </w:tc>
        <w:tc>
          <w:tcPr>
            <w:tcW w:w="891" w:type="dxa"/>
            <w:tcBorders>
              <w:top w:val="nil"/>
              <w:left w:val="nil"/>
              <w:bottom w:val="single" w:sz="4" w:space="0" w:color="auto"/>
              <w:right w:val="nil"/>
            </w:tcBorders>
            <w:shd w:val="clear" w:color="auto" w:fill="E2EFD9" w:themeFill="accent6" w:themeFillTint="33"/>
            <w:noWrap/>
            <w:vAlign w:val="center"/>
            <w:hideMark/>
          </w:tcPr>
          <w:p w14:paraId="146B8F92" w14:textId="77777777" w:rsidR="00A161E5" w:rsidRPr="0068660F" w:rsidRDefault="00A161E5" w:rsidP="0068660F">
            <w:pPr>
              <w:spacing w:line="240" w:lineRule="auto"/>
              <w:jc w:val="center"/>
              <w:rPr>
                <w:bCs/>
                <w:sz w:val="15"/>
                <w:szCs w:val="15"/>
              </w:rPr>
            </w:pPr>
            <w:r w:rsidRPr="0068660F">
              <w:rPr>
                <w:bCs/>
                <w:sz w:val="15"/>
                <w:szCs w:val="15"/>
              </w:rPr>
              <w:t>Total</w:t>
            </w:r>
          </w:p>
        </w:tc>
        <w:tc>
          <w:tcPr>
            <w:tcW w:w="853" w:type="dxa"/>
            <w:tcBorders>
              <w:top w:val="nil"/>
              <w:left w:val="nil"/>
              <w:bottom w:val="single" w:sz="4" w:space="0" w:color="auto"/>
              <w:right w:val="nil"/>
            </w:tcBorders>
            <w:shd w:val="clear" w:color="auto" w:fill="E2EFD9" w:themeFill="accent6" w:themeFillTint="33"/>
            <w:vAlign w:val="center"/>
            <w:hideMark/>
          </w:tcPr>
          <w:p w14:paraId="7D6F9E97" w14:textId="77777777" w:rsidR="00A161E5" w:rsidRPr="0068660F" w:rsidRDefault="00A161E5" w:rsidP="0068660F">
            <w:pPr>
              <w:spacing w:line="240" w:lineRule="auto"/>
              <w:jc w:val="center"/>
              <w:rPr>
                <w:bCs/>
                <w:sz w:val="15"/>
                <w:szCs w:val="15"/>
              </w:rPr>
            </w:pPr>
            <w:r w:rsidRPr="0068660F">
              <w:rPr>
                <w:bCs/>
                <w:sz w:val="15"/>
                <w:szCs w:val="15"/>
              </w:rPr>
              <w:t>Large Scale Farms</w:t>
            </w:r>
          </w:p>
        </w:tc>
        <w:tc>
          <w:tcPr>
            <w:tcW w:w="1036" w:type="dxa"/>
            <w:tcBorders>
              <w:top w:val="nil"/>
              <w:left w:val="nil"/>
              <w:bottom w:val="single" w:sz="4" w:space="0" w:color="auto"/>
              <w:right w:val="single" w:sz="4" w:space="0" w:color="auto"/>
            </w:tcBorders>
            <w:shd w:val="clear" w:color="auto" w:fill="E2EFD9" w:themeFill="accent6" w:themeFillTint="33"/>
            <w:vAlign w:val="center"/>
            <w:hideMark/>
          </w:tcPr>
          <w:p w14:paraId="3E23FCCB" w14:textId="77777777" w:rsidR="00A161E5" w:rsidRPr="0068660F" w:rsidRDefault="00A161E5" w:rsidP="0068660F">
            <w:pPr>
              <w:spacing w:line="240" w:lineRule="auto"/>
              <w:jc w:val="center"/>
              <w:rPr>
                <w:bCs/>
                <w:sz w:val="15"/>
                <w:szCs w:val="15"/>
              </w:rPr>
            </w:pPr>
            <w:r w:rsidRPr="0068660F">
              <w:rPr>
                <w:bCs/>
                <w:sz w:val="15"/>
                <w:szCs w:val="15"/>
              </w:rPr>
              <w:t>Smallholder Farmers</w:t>
            </w:r>
          </w:p>
        </w:tc>
        <w:tc>
          <w:tcPr>
            <w:tcW w:w="704" w:type="dxa"/>
            <w:tcBorders>
              <w:top w:val="nil"/>
              <w:left w:val="nil"/>
              <w:bottom w:val="single" w:sz="4" w:space="0" w:color="auto"/>
              <w:right w:val="nil"/>
            </w:tcBorders>
            <w:shd w:val="clear" w:color="auto" w:fill="E2EFD9" w:themeFill="accent6" w:themeFillTint="33"/>
            <w:noWrap/>
            <w:vAlign w:val="center"/>
            <w:hideMark/>
          </w:tcPr>
          <w:p w14:paraId="05A5CDFE" w14:textId="77777777" w:rsidR="00A161E5" w:rsidRPr="0068660F" w:rsidRDefault="00A161E5" w:rsidP="0068660F">
            <w:pPr>
              <w:spacing w:line="240" w:lineRule="auto"/>
              <w:jc w:val="center"/>
              <w:rPr>
                <w:bCs/>
                <w:sz w:val="15"/>
                <w:szCs w:val="15"/>
              </w:rPr>
            </w:pPr>
            <w:r w:rsidRPr="0068660F">
              <w:rPr>
                <w:bCs/>
                <w:sz w:val="15"/>
                <w:szCs w:val="15"/>
              </w:rPr>
              <w:t>Total</w:t>
            </w:r>
          </w:p>
        </w:tc>
        <w:tc>
          <w:tcPr>
            <w:tcW w:w="748" w:type="dxa"/>
            <w:tcBorders>
              <w:top w:val="nil"/>
              <w:left w:val="nil"/>
              <w:bottom w:val="single" w:sz="4" w:space="0" w:color="auto"/>
              <w:right w:val="nil"/>
            </w:tcBorders>
            <w:shd w:val="clear" w:color="auto" w:fill="E2EFD9" w:themeFill="accent6" w:themeFillTint="33"/>
            <w:vAlign w:val="center"/>
            <w:hideMark/>
          </w:tcPr>
          <w:p w14:paraId="44DC3F5F" w14:textId="77777777" w:rsidR="00A161E5" w:rsidRPr="0068660F" w:rsidRDefault="00A161E5" w:rsidP="0068660F">
            <w:pPr>
              <w:spacing w:line="240" w:lineRule="auto"/>
              <w:jc w:val="center"/>
              <w:rPr>
                <w:bCs/>
                <w:sz w:val="15"/>
                <w:szCs w:val="15"/>
              </w:rPr>
            </w:pPr>
            <w:r w:rsidRPr="0068660F">
              <w:rPr>
                <w:bCs/>
                <w:sz w:val="15"/>
                <w:szCs w:val="15"/>
              </w:rPr>
              <w:t>Large Scale Farms</w:t>
            </w:r>
          </w:p>
        </w:tc>
        <w:tc>
          <w:tcPr>
            <w:tcW w:w="1036" w:type="dxa"/>
            <w:tcBorders>
              <w:top w:val="nil"/>
              <w:left w:val="nil"/>
              <w:bottom w:val="single" w:sz="4" w:space="0" w:color="auto"/>
            </w:tcBorders>
            <w:shd w:val="clear" w:color="auto" w:fill="E2EFD9" w:themeFill="accent6" w:themeFillTint="33"/>
            <w:vAlign w:val="center"/>
            <w:hideMark/>
          </w:tcPr>
          <w:p w14:paraId="5077FEE5" w14:textId="77777777" w:rsidR="00A161E5" w:rsidRPr="0068660F" w:rsidRDefault="00A161E5" w:rsidP="0068660F">
            <w:pPr>
              <w:spacing w:line="240" w:lineRule="auto"/>
              <w:jc w:val="center"/>
              <w:rPr>
                <w:bCs/>
                <w:sz w:val="15"/>
                <w:szCs w:val="15"/>
              </w:rPr>
            </w:pPr>
            <w:r w:rsidRPr="0068660F">
              <w:rPr>
                <w:bCs/>
                <w:sz w:val="15"/>
                <w:szCs w:val="15"/>
              </w:rPr>
              <w:t>Smallholder Farmers</w:t>
            </w:r>
          </w:p>
        </w:tc>
      </w:tr>
      <w:tr w:rsidR="006B42D6" w:rsidRPr="006B42D6" w14:paraId="3753ABC7" w14:textId="77777777" w:rsidTr="00A56532">
        <w:trPr>
          <w:trHeight w:val="340"/>
        </w:trPr>
        <w:tc>
          <w:tcPr>
            <w:tcW w:w="1843" w:type="dxa"/>
            <w:tcBorders>
              <w:top w:val="nil"/>
              <w:left w:val="nil"/>
              <w:bottom w:val="nil"/>
              <w:right w:val="nil"/>
            </w:tcBorders>
            <w:shd w:val="clear" w:color="auto" w:fill="auto"/>
            <w:vAlign w:val="center"/>
            <w:hideMark/>
          </w:tcPr>
          <w:p w14:paraId="439F6272" w14:textId="2E033A69" w:rsidR="00A161E5" w:rsidRPr="006B42D6" w:rsidRDefault="00A161E5" w:rsidP="00A56532">
            <w:pPr>
              <w:jc w:val="left"/>
              <w:rPr>
                <w:sz w:val="15"/>
                <w:szCs w:val="15"/>
              </w:rPr>
            </w:pPr>
            <w:r w:rsidRPr="006B42D6">
              <w:rPr>
                <w:sz w:val="15"/>
                <w:szCs w:val="15"/>
              </w:rPr>
              <w:t xml:space="preserve">Number of </w:t>
            </w:r>
            <w:r w:rsidR="00C33591">
              <w:rPr>
                <w:sz w:val="15"/>
                <w:szCs w:val="15"/>
              </w:rPr>
              <w:t>s</w:t>
            </w:r>
            <w:r w:rsidRPr="006B42D6">
              <w:rPr>
                <w:sz w:val="15"/>
                <w:szCs w:val="15"/>
              </w:rPr>
              <w:t xml:space="preserve">tocked </w:t>
            </w:r>
            <w:r w:rsidR="00C33591">
              <w:rPr>
                <w:sz w:val="15"/>
                <w:szCs w:val="15"/>
              </w:rPr>
              <w:t>f</w:t>
            </w:r>
            <w:r w:rsidRPr="006B42D6">
              <w:rPr>
                <w:sz w:val="15"/>
                <w:szCs w:val="15"/>
              </w:rPr>
              <w:t>ish</w:t>
            </w:r>
          </w:p>
        </w:tc>
        <w:tc>
          <w:tcPr>
            <w:tcW w:w="891" w:type="dxa"/>
            <w:tcBorders>
              <w:top w:val="nil"/>
              <w:left w:val="single" w:sz="4" w:space="0" w:color="auto"/>
              <w:bottom w:val="nil"/>
              <w:right w:val="nil"/>
            </w:tcBorders>
            <w:shd w:val="clear" w:color="auto" w:fill="auto"/>
            <w:noWrap/>
            <w:vAlign w:val="center"/>
            <w:hideMark/>
          </w:tcPr>
          <w:p w14:paraId="5490995D" w14:textId="21A22824" w:rsidR="00A161E5" w:rsidRPr="006B42D6" w:rsidRDefault="00A161E5" w:rsidP="00A56532">
            <w:pPr>
              <w:jc w:val="right"/>
              <w:rPr>
                <w:sz w:val="15"/>
                <w:szCs w:val="15"/>
              </w:rPr>
            </w:pPr>
            <w:r w:rsidRPr="006B42D6">
              <w:rPr>
                <w:sz w:val="15"/>
                <w:szCs w:val="15"/>
              </w:rPr>
              <w:t>52,979,610</w:t>
            </w:r>
          </w:p>
        </w:tc>
        <w:tc>
          <w:tcPr>
            <w:tcW w:w="853" w:type="dxa"/>
            <w:tcBorders>
              <w:top w:val="nil"/>
              <w:left w:val="nil"/>
              <w:bottom w:val="nil"/>
              <w:right w:val="nil"/>
            </w:tcBorders>
            <w:shd w:val="clear" w:color="auto" w:fill="auto"/>
            <w:noWrap/>
            <w:vAlign w:val="center"/>
            <w:hideMark/>
          </w:tcPr>
          <w:p w14:paraId="4A58587B" w14:textId="193DAC54" w:rsidR="00A161E5" w:rsidRPr="006B42D6" w:rsidRDefault="00A161E5" w:rsidP="00A56532">
            <w:pPr>
              <w:jc w:val="right"/>
              <w:rPr>
                <w:sz w:val="15"/>
                <w:szCs w:val="15"/>
              </w:rPr>
            </w:pPr>
            <w:r w:rsidRPr="006B42D6">
              <w:rPr>
                <w:sz w:val="15"/>
                <w:szCs w:val="15"/>
              </w:rPr>
              <w:t>3,599,969</w:t>
            </w:r>
          </w:p>
        </w:tc>
        <w:tc>
          <w:tcPr>
            <w:tcW w:w="1036" w:type="dxa"/>
            <w:tcBorders>
              <w:top w:val="nil"/>
              <w:left w:val="nil"/>
              <w:bottom w:val="nil"/>
              <w:right w:val="single" w:sz="4" w:space="0" w:color="auto"/>
            </w:tcBorders>
            <w:shd w:val="clear" w:color="auto" w:fill="auto"/>
            <w:noWrap/>
            <w:vAlign w:val="center"/>
            <w:hideMark/>
          </w:tcPr>
          <w:p w14:paraId="3A473C67" w14:textId="630AA2A6" w:rsidR="00A161E5" w:rsidRPr="006B42D6" w:rsidRDefault="00A161E5" w:rsidP="00A56532">
            <w:pPr>
              <w:jc w:val="right"/>
              <w:rPr>
                <w:sz w:val="15"/>
                <w:szCs w:val="15"/>
              </w:rPr>
            </w:pPr>
            <w:r w:rsidRPr="006B42D6">
              <w:rPr>
                <w:sz w:val="15"/>
                <w:szCs w:val="15"/>
              </w:rPr>
              <w:t>49,379,641</w:t>
            </w:r>
          </w:p>
        </w:tc>
        <w:tc>
          <w:tcPr>
            <w:tcW w:w="891" w:type="dxa"/>
            <w:tcBorders>
              <w:top w:val="nil"/>
              <w:left w:val="nil"/>
              <w:bottom w:val="nil"/>
              <w:right w:val="nil"/>
            </w:tcBorders>
            <w:shd w:val="clear" w:color="auto" w:fill="auto"/>
            <w:noWrap/>
            <w:vAlign w:val="center"/>
            <w:hideMark/>
          </w:tcPr>
          <w:p w14:paraId="59E50D77" w14:textId="0EF1031D" w:rsidR="00A161E5" w:rsidRPr="006B42D6" w:rsidRDefault="00A161E5" w:rsidP="00A56532">
            <w:pPr>
              <w:jc w:val="right"/>
              <w:rPr>
                <w:sz w:val="15"/>
                <w:szCs w:val="15"/>
              </w:rPr>
            </w:pPr>
            <w:r w:rsidRPr="006B42D6">
              <w:rPr>
                <w:sz w:val="15"/>
                <w:szCs w:val="15"/>
              </w:rPr>
              <w:t>52,648,933</w:t>
            </w:r>
          </w:p>
        </w:tc>
        <w:tc>
          <w:tcPr>
            <w:tcW w:w="853" w:type="dxa"/>
            <w:tcBorders>
              <w:top w:val="nil"/>
              <w:left w:val="nil"/>
              <w:bottom w:val="nil"/>
              <w:right w:val="nil"/>
            </w:tcBorders>
            <w:shd w:val="clear" w:color="auto" w:fill="auto"/>
            <w:noWrap/>
            <w:vAlign w:val="center"/>
            <w:hideMark/>
          </w:tcPr>
          <w:p w14:paraId="43426419" w14:textId="5FDAB75D" w:rsidR="00A161E5" w:rsidRPr="006B42D6" w:rsidRDefault="00A161E5" w:rsidP="00A56532">
            <w:pPr>
              <w:jc w:val="right"/>
              <w:rPr>
                <w:sz w:val="15"/>
                <w:szCs w:val="15"/>
              </w:rPr>
            </w:pPr>
            <w:r w:rsidRPr="006B42D6">
              <w:rPr>
                <w:sz w:val="15"/>
                <w:szCs w:val="15"/>
              </w:rPr>
              <w:t>3,442,578</w:t>
            </w:r>
          </w:p>
        </w:tc>
        <w:tc>
          <w:tcPr>
            <w:tcW w:w="1036" w:type="dxa"/>
            <w:tcBorders>
              <w:top w:val="nil"/>
              <w:left w:val="nil"/>
              <w:bottom w:val="nil"/>
              <w:right w:val="single" w:sz="4" w:space="0" w:color="auto"/>
            </w:tcBorders>
            <w:shd w:val="clear" w:color="auto" w:fill="auto"/>
            <w:noWrap/>
            <w:vAlign w:val="center"/>
            <w:hideMark/>
          </w:tcPr>
          <w:p w14:paraId="6506F310" w14:textId="3478E98E" w:rsidR="00A161E5" w:rsidRPr="006B42D6" w:rsidRDefault="00A161E5" w:rsidP="00A56532">
            <w:pPr>
              <w:jc w:val="right"/>
              <w:rPr>
                <w:sz w:val="15"/>
                <w:szCs w:val="15"/>
              </w:rPr>
            </w:pPr>
            <w:r w:rsidRPr="006B42D6">
              <w:rPr>
                <w:sz w:val="15"/>
                <w:szCs w:val="15"/>
              </w:rPr>
              <w:t>49,206,355</w:t>
            </w:r>
          </w:p>
        </w:tc>
        <w:tc>
          <w:tcPr>
            <w:tcW w:w="704" w:type="dxa"/>
            <w:tcBorders>
              <w:top w:val="nil"/>
              <w:left w:val="nil"/>
              <w:bottom w:val="nil"/>
              <w:right w:val="nil"/>
            </w:tcBorders>
            <w:shd w:val="clear" w:color="auto" w:fill="auto"/>
            <w:noWrap/>
            <w:vAlign w:val="center"/>
            <w:hideMark/>
          </w:tcPr>
          <w:p w14:paraId="56A7A0CD" w14:textId="528E759A" w:rsidR="00A161E5" w:rsidRPr="006B42D6" w:rsidRDefault="00A161E5" w:rsidP="00A56532">
            <w:pPr>
              <w:jc w:val="right"/>
              <w:rPr>
                <w:sz w:val="15"/>
                <w:szCs w:val="15"/>
              </w:rPr>
            </w:pPr>
            <w:r w:rsidRPr="006B42D6">
              <w:rPr>
                <w:sz w:val="15"/>
                <w:szCs w:val="15"/>
              </w:rPr>
              <w:t>330,677</w:t>
            </w:r>
          </w:p>
        </w:tc>
        <w:tc>
          <w:tcPr>
            <w:tcW w:w="748" w:type="dxa"/>
            <w:tcBorders>
              <w:top w:val="nil"/>
              <w:left w:val="nil"/>
              <w:bottom w:val="nil"/>
              <w:right w:val="nil"/>
            </w:tcBorders>
            <w:shd w:val="clear" w:color="auto" w:fill="auto"/>
            <w:noWrap/>
            <w:vAlign w:val="center"/>
            <w:hideMark/>
          </w:tcPr>
          <w:p w14:paraId="77D0B934" w14:textId="14BAF10A" w:rsidR="00A161E5" w:rsidRPr="006B42D6" w:rsidRDefault="00A161E5" w:rsidP="00A56532">
            <w:pPr>
              <w:jc w:val="right"/>
              <w:rPr>
                <w:sz w:val="15"/>
                <w:szCs w:val="15"/>
              </w:rPr>
            </w:pPr>
            <w:r w:rsidRPr="006B42D6">
              <w:rPr>
                <w:sz w:val="15"/>
                <w:szCs w:val="15"/>
              </w:rPr>
              <w:t>157,391</w:t>
            </w:r>
          </w:p>
        </w:tc>
        <w:tc>
          <w:tcPr>
            <w:tcW w:w="1036" w:type="dxa"/>
            <w:tcBorders>
              <w:top w:val="nil"/>
              <w:left w:val="nil"/>
              <w:bottom w:val="nil"/>
            </w:tcBorders>
            <w:shd w:val="clear" w:color="auto" w:fill="auto"/>
            <w:noWrap/>
            <w:vAlign w:val="center"/>
            <w:hideMark/>
          </w:tcPr>
          <w:p w14:paraId="1D5DECD7" w14:textId="27D85D4E" w:rsidR="00A161E5" w:rsidRPr="006B42D6" w:rsidRDefault="00A161E5" w:rsidP="00A56532">
            <w:pPr>
              <w:jc w:val="right"/>
              <w:rPr>
                <w:sz w:val="15"/>
                <w:szCs w:val="15"/>
              </w:rPr>
            </w:pPr>
            <w:r w:rsidRPr="006B42D6">
              <w:rPr>
                <w:sz w:val="15"/>
                <w:szCs w:val="15"/>
              </w:rPr>
              <w:t>173,286</w:t>
            </w:r>
          </w:p>
        </w:tc>
      </w:tr>
      <w:tr w:rsidR="006B42D6" w:rsidRPr="006B42D6" w14:paraId="2DA05465" w14:textId="77777777" w:rsidTr="00A56532">
        <w:trPr>
          <w:trHeight w:val="340"/>
        </w:trPr>
        <w:tc>
          <w:tcPr>
            <w:tcW w:w="1843" w:type="dxa"/>
            <w:tcBorders>
              <w:top w:val="nil"/>
              <w:left w:val="nil"/>
              <w:bottom w:val="nil"/>
              <w:right w:val="nil"/>
            </w:tcBorders>
            <w:shd w:val="clear" w:color="auto" w:fill="auto"/>
            <w:vAlign w:val="center"/>
            <w:hideMark/>
          </w:tcPr>
          <w:p w14:paraId="1FF1C990" w14:textId="145588DF" w:rsidR="00A161E5" w:rsidRPr="006B42D6" w:rsidRDefault="00A161E5" w:rsidP="00A56532">
            <w:pPr>
              <w:jc w:val="left"/>
              <w:rPr>
                <w:sz w:val="15"/>
                <w:szCs w:val="15"/>
              </w:rPr>
            </w:pPr>
            <w:r w:rsidRPr="006B42D6">
              <w:rPr>
                <w:sz w:val="15"/>
                <w:szCs w:val="15"/>
              </w:rPr>
              <w:t xml:space="preserve">Number of </w:t>
            </w:r>
            <w:r w:rsidR="00C33591">
              <w:rPr>
                <w:sz w:val="15"/>
                <w:szCs w:val="15"/>
              </w:rPr>
              <w:t>f</w:t>
            </w:r>
            <w:r w:rsidRPr="006B42D6">
              <w:rPr>
                <w:sz w:val="15"/>
                <w:szCs w:val="15"/>
              </w:rPr>
              <w:t xml:space="preserve">ish </w:t>
            </w:r>
            <w:r w:rsidR="00C33591">
              <w:rPr>
                <w:sz w:val="15"/>
                <w:szCs w:val="15"/>
              </w:rPr>
              <w:t>h</w:t>
            </w:r>
            <w:r w:rsidRPr="006B42D6">
              <w:rPr>
                <w:sz w:val="15"/>
                <w:szCs w:val="15"/>
              </w:rPr>
              <w:t>arvested</w:t>
            </w:r>
          </w:p>
        </w:tc>
        <w:tc>
          <w:tcPr>
            <w:tcW w:w="891" w:type="dxa"/>
            <w:tcBorders>
              <w:top w:val="nil"/>
              <w:left w:val="single" w:sz="4" w:space="0" w:color="auto"/>
              <w:bottom w:val="nil"/>
              <w:right w:val="nil"/>
            </w:tcBorders>
            <w:shd w:val="clear" w:color="auto" w:fill="auto"/>
            <w:noWrap/>
            <w:vAlign w:val="center"/>
            <w:hideMark/>
          </w:tcPr>
          <w:p w14:paraId="19CE4BBE" w14:textId="7FE13891" w:rsidR="00A161E5" w:rsidRPr="006B42D6" w:rsidRDefault="00A161E5" w:rsidP="00A56532">
            <w:pPr>
              <w:jc w:val="right"/>
              <w:rPr>
                <w:sz w:val="15"/>
                <w:szCs w:val="15"/>
              </w:rPr>
            </w:pPr>
            <w:r w:rsidRPr="006B42D6">
              <w:rPr>
                <w:sz w:val="15"/>
                <w:szCs w:val="15"/>
              </w:rPr>
              <w:t>9,157,037</w:t>
            </w:r>
          </w:p>
        </w:tc>
        <w:tc>
          <w:tcPr>
            <w:tcW w:w="853" w:type="dxa"/>
            <w:tcBorders>
              <w:top w:val="nil"/>
              <w:left w:val="nil"/>
              <w:bottom w:val="nil"/>
              <w:right w:val="nil"/>
            </w:tcBorders>
            <w:shd w:val="clear" w:color="auto" w:fill="auto"/>
            <w:noWrap/>
            <w:vAlign w:val="center"/>
            <w:hideMark/>
          </w:tcPr>
          <w:p w14:paraId="1A3C74DE" w14:textId="162D4120" w:rsidR="00A161E5" w:rsidRPr="006B42D6" w:rsidRDefault="00A161E5" w:rsidP="00A56532">
            <w:pPr>
              <w:jc w:val="right"/>
              <w:rPr>
                <w:sz w:val="15"/>
                <w:szCs w:val="15"/>
              </w:rPr>
            </w:pPr>
            <w:r w:rsidRPr="006B42D6">
              <w:rPr>
                <w:sz w:val="15"/>
                <w:szCs w:val="15"/>
              </w:rPr>
              <w:t>1,661,350</w:t>
            </w:r>
          </w:p>
        </w:tc>
        <w:tc>
          <w:tcPr>
            <w:tcW w:w="1036" w:type="dxa"/>
            <w:tcBorders>
              <w:top w:val="nil"/>
              <w:left w:val="nil"/>
              <w:bottom w:val="nil"/>
              <w:right w:val="single" w:sz="4" w:space="0" w:color="auto"/>
            </w:tcBorders>
            <w:shd w:val="clear" w:color="auto" w:fill="auto"/>
            <w:noWrap/>
            <w:vAlign w:val="center"/>
            <w:hideMark/>
          </w:tcPr>
          <w:p w14:paraId="1C5C2F02" w14:textId="5A52288C" w:rsidR="00A161E5" w:rsidRPr="006B42D6" w:rsidRDefault="00A161E5" w:rsidP="00A56532">
            <w:pPr>
              <w:jc w:val="right"/>
              <w:rPr>
                <w:sz w:val="15"/>
                <w:szCs w:val="15"/>
              </w:rPr>
            </w:pPr>
            <w:r w:rsidRPr="006B42D6">
              <w:rPr>
                <w:sz w:val="15"/>
                <w:szCs w:val="15"/>
              </w:rPr>
              <w:t>7,495,687</w:t>
            </w:r>
          </w:p>
        </w:tc>
        <w:tc>
          <w:tcPr>
            <w:tcW w:w="891" w:type="dxa"/>
            <w:tcBorders>
              <w:top w:val="nil"/>
              <w:left w:val="nil"/>
              <w:bottom w:val="nil"/>
              <w:right w:val="nil"/>
            </w:tcBorders>
            <w:shd w:val="clear" w:color="auto" w:fill="auto"/>
            <w:noWrap/>
            <w:vAlign w:val="center"/>
            <w:hideMark/>
          </w:tcPr>
          <w:p w14:paraId="178428B6" w14:textId="68D2EF97" w:rsidR="00A161E5" w:rsidRPr="006B42D6" w:rsidRDefault="00A161E5" w:rsidP="00A56532">
            <w:pPr>
              <w:jc w:val="right"/>
              <w:rPr>
                <w:sz w:val="15"/>
                <w:szCs w:val="15"/>
              </w:rPr>
            </w:pPr>
            <w:r w:rsidRPr="006B42D6">
              <w:rPr>
                <w:sz w:val="15"/>
                <w:szCs w:val="15"/>
              </w:rPr>
              <w:t>9,055,561</w:t>
            </w:r>
          </w:p>
        </w:tc>
        <w:tc>
          <w:tcPr>
            <w:tcW w:w="853" w:type="dxa"/>
            <w:tcBorders>
              <w:top w:val="nil"/>
              <w:left w:val="nil"/>
              <w:bottom w:val="nil"/>
              <w:right w:val="nil"/>
            </w:tcBorders>
            <w:shd w:val="clear" w:color="auto" w:fill="auto"/>
            <w:noWrap/>
            <w:vAlign w:val="center"/>
            <w:hideMark/>
          </w:tcPr>
          <w:p w14:paraId="441A7E72" w14:textId="17061702" w:rsidR="00A161E5" w:rsidRPr="006B42D6" w:rsidRDefault="00A161E5" w:rsidP="00A56532">
            <w:pPr>
              <w:jc w:val="right"/>
              <w:rPr>
                <w:sz w:val="15"/>
                <w:szCs w:val="15"/>
              </w:rPr>
            </w:pPr>
            <w:r w:rsidRPr="006B42D6">
              <w:rPr>
                <w:sz w:val="15"/>
                <w:szCs w:val="15"/>
              </w:rPr>
              <w:t>1,594,050</w:t>
            </w:r>
          </w:p>
        </w:tc>
        <w:tc>
          <w:tcPr>
            <w:tcW w:w="1036" w:type="dxa"/>
            <w:tcBorders>
              <w:top w:val="nil"/>
              <w:left w:val="nil"/>
              <w:bottom w:val="nil"/>
              <w:right w:val="single" w:sz="4" w:space="0" w:color="auto"/>
            </w:tcBorders>
            <w:shd w:val="clear" w:color="auto" w:fill="auto"/>
            <w:noWrap/>
            <w:vAlign w:val="center"/>
            <w:hideMark/>
          </w:tcPr>
          <w:p w14:paraId="4771BB52" w14:textId="195422C5" w:rsidR="00A161E5" w:rsidRPr="006B42D6" w:rsidRDefault="00A161E5" w:rsidP="00A56532">
            <w:pPr>
              <w:jc w:val="right"/>
              <w:rPr>
                <w:sz w:val="15"/>
                <w:szCs w:val="15"/>
              </w:rPr>
            </w:pPr>
            <w:r w:rsidRPr="006B42D6">
              <w:rPr>
                <w:sz w:val="15"/>
                <w:szCs w:val="15"/>
              </w:rPr>
              <w:t>7,461,511</w:t>
            </w:r>
          </w:p>
        </w:tc>
        <w:tc>
          <w:tcPr>
            <w:tcW w:w="704" w:type="dxa"/>
            <w:tcBorders>
              <w:top w:val="nil"/>
              <w:left w:val="nil"/>
              <w:bottom w:val="nil"/>
              <w:right w:val="nil"/>
            </w:tcBorders>
            <w:shd w:val="clear" w:color="auto" w:fill="auto"/>
            <w:noWrap/>
            <w:vAlign w:val="center"/>
            <w:hideMark/>
          </w:tcPr>
          <w:p w14:paraId="712C25CF" w14:textId="1FF1F168" w:rsidR="00A161E5" w:rsidRPr="006B42D6" w:rsidRDefault="00A161E5" w:rsidP="00A56532">
            <w:pPr>
              <w:jc w:val="right"/>
              <w:rPr>
                <w:sz w:val="15"/>
                <w:szCs w:val="15"/>
              </w:rPr>
            </w:pPr>
            <w:r w:rsidRPr="006B42D6">
              <w:rPr>
                <w:sz w:val="15"/>
                <w:szCs w:val="15"/>
              </w:rPr>
              <w:t>101,476</w:t>
            </w:r>
          </w:p>
        </w:tc>
        <w:tc>
          <w:tcPr>
            <w:tcW w:w="748" w:type="dxa"/>
            <w:tcBorders>
              <w:top w:val="nil"/>
              <w:left w:val="nil"/>
              <w:bottom w:val="nil"/>
              <w:right w:val="nil"/>
            </w:tcBorders>
            <w:shd w:val="clear" w:color="auto" w:fill="auto"/>
            <w:noWrap/>
            <w:vAlign w:val="center"/>
            <w:hideMark/>
          </w:tcPr>
          <w:p w14:paraId="45B35B0D" w14:textId="2C5559C9" w:rsidR="00A161E5" w:rsidRPr="006B42D6" w:rsidRDefault="00A161E5" w:rsidP="00A56532">
            <w:pPr>
              <w:jc w:val="right"/>
              <w:rPr>
                <w:sz w:val="15"/>
                <w:szCs w:val="15"/>
              </w:rPr>
            </w:pPr>
            <w:r w:rsidRPr="006B42D6">
              <w:rPr>
                <w:sz w:val="15"/>
                <w:szCs w:val="15"/>
              </w:rPr>
              <w:t>67,300</w:t>
            </w:r>
          </w:p>
        </w:tc>
        <w:tc>
          <w:tcPr>
            <w:tcW w:w="1036" w:type="dxa"/>
            <w:tcBorders>
              <w:top w:val="nil"/>
              <w:left w:val="nil"/>
              <w:bottom w:val="nil"/>
            </w:tcBorders>
            <w:shd w:val="clear" w:color="auto" w:fill="auto"/>
            <w:noWrap/>
            <w:vAlign w:val="center"/>
            <w:hideMark/>
          </w:tcPr>
          <w:p w14:paraId="0CB8EE72" w14:textId="1077A372" w:rsidR="00A161E5" w:rsidRPr="006B42D6" w:rsidRDefault="00A161E5" w:rsidP="00A56532">
            <w:pPr>
              <w:jc w:val="right"/>
              <w:rPr>
                <w:sz w:val="15"/>
                <w:szCs w:val="15"/>
              </w:rPr>
            </w:pPr>
            <w:r w:rsidRPr="006B42D6">
              <w:rPr>
                <w:sz w:val="15"/>
                <w:szCs w:val="15"/>
              </w:rPr>
              <w:t>34,176</w:t>
            </w:r>
          </w:p>
        </w:tc>
      </w:tr>
      <w:tr w:rsidR="006B42D6" w:rsidRPr="006B42D6" w14:paraId="032ABE90" w14:textId="77777777" w:rsidTr="00A56532">
        <w:trPr>
          <w:trHeight w:val="340"/>
        </w:trPr>
        <w:tc>
          <w:tcPr>
            <w:tcW w:w="1843" w:type="dxa"/>
            <w:tcBorders>
              <w:top w:val="nil"/>
              <w:left w:val="nil"/>
              <w:bottom w:val="nil"/>
              <w:right w:val="nil"/>
            </w:tcBorders>
            <w:shd w:val="clear" w:color="auto" w:fill="auto"/>
            <w:noWrap/>
            <w:vAlign w:val="center"/>
            <w:hideMark/>
          </w:tcPr>
          <w:p w14:paraId="7AD27D61" w14:textId="6A5C9EA1" w:rsidR="00A161E5" w:rsidRPr="006B42D6" w:rsidRDefault="00A161E5" w:rsidP="00A56532">
            <w:pPr>
              <w:jc w:val="left"/>
              <w:rPr>
                <w:sz w:val="15"/>
                <w:szCs w:val="15"/>
              </w:rPr>
            </w:pPr>
            <w:r w:rsidRPr="006B42D6">
              <w:rPr>
                <w:sz w:val="15"/>
                <w:szCs w:val="15"/>
              </w:rPr>
              <w:t xml:space="preserve">Weight </w:t>
            </w:r>
            <w:r w:rsidR="00C33591">
              <w:rPr>
                <w:sz w:val="15"/>
                <w:szCs w:val="15"/>
              </w:rPr>
              <w:t>h</w:t>
            </w:r>
            <w:r w:rsidRPr="006B42D6">
              <w:rPr>
                <w:sz w:val="15"/>
                <w:szCs w:val="15"/>
              </w:rPr>
              <w:t>arvested (Kg)</w:t>
            </w:r>
          </w:p>
        </w:tc>
        <w:tc>
          <w:tcPr>
            <w:tcW w:w="891" w:type="dxa"/>
            <w:tcBorders>
              <w:top w:val="nil"/>
              <w:left w:val="single" w:sz="4" w:space="0" w:color="auto"/>
              <w:bottom w:val="nil"/>
              <w:right w:val="nil"/>
            </w:tcBorders>
            <w:shd w:val="clear" w:color="auto" w:fill="auto"/>
            <w:noWrap/>
            <w:vAlign w:val="center"/>
            <w:hideMark/>
          </w:tcPr>
          <w:p w14:paraId="7820F882" w14:textId="40890D65" w:rsidR="00A161E5" w:rsidRPr="006B42D6" w:rsidRDefault="00A161E5" w:rsidP="00A56532">
            <w:pPr>
              <w:jc w:val="right"/>
              <w:rPr>
                <w:sz w:val="15"/>
                <w:szCs w:val="15"/>
              </w:rPr>
            </w:pPr>
            <w:r w:rsidRPr="006B42D6">
              <w:rPr>
                <w:sz w:val="15"/>
                <w:szCs w:val="15"/>
              </w:rPr>
              <w:t>12,936,625</w:t>
            </w:r>
          </w:p>
        </w:tc>
        <w:tc>
          <w:tcPr>
            <w:tcW w:w="853" w:type="dxa"/>
            <w:tcBorders>
              <w:top w:val="nil"/>
              <w:left w:val="nil"/>
              <w:bottom w:val="nil"/>
              <w:right w:val="nil"/>
            </w:tcBorders>
            <w:shd w:val="clear" w:color="auto" w:fill="auto"/>
            <w:noWrap/>
            <w:vAlign w:val="center"/>
            <w:hideMark/>
          </w:tcPr>
          <w:p w14:paraId="23EA8040" w14:textId="289D3771" w:rsidR="00A161E5" w:rsidRPr="006B42D6" w:rsidRDefault="00A161E5" w:rsidP="00A56532">
            <w:pPr>
              <w:jc w:val="right"/>
              <w:rPr>
                <w:sz w:val="15"/>
                <w:szCs w:val="15"/>
              </w:rPr>
            </w:pPr>
            <w:r w:rsidRPr="006B42D6">
              <w:rPr>
                <w:sz w:val="15"/>
                <w:szCs w:val="15"/>
              </w:rPr>
              <w:t>310,352</w:t>
            </w:r>
          </w:p>
        </w:tc>
        <w:tc>
          <w:tcPr>
            <w:tcW w:w="1036" w:type="dxa"/>
            <w:tcBorders>
              <w:top w:val="nil"/>
              <w:left w:val="nil"/>
              <w:bottom w:val="nil"/>
              <w:right w:val="single" w:sz="4" w:space="0" w:color="auto"/>
            </w:tcBorders>
            <w:shd w:val="clear" w:color="auto" w:fill="auto"/>
            <w:noWrap/>
            <w:vAlign w:val="center"/>
            <w:hideMark/>
          </w:tcPr>
          <w:p w14:paraId="7646D5D0" w14:textId="5D79E1FC" w:rsidR="00A161E5" w:rsidRPr="006B42D6" w:rsidRDefault="00A161E5" w:rsidP="00A56532">
            <w:pPr>
              <w:jc w:val="right"/>
              <w:rPr>
                <w:sz w:val="15"/>
                <w:szCs w:val="15"/>
              </w:rPr>
            </w:pPr>
            <w:r w:rsidRPr="006B42D6">
              <w:rPr>
                <w:sz w:val="15"/>
                <w:szCs w:val="15"/>
              </w:rPr>
              <w:t>12,626,273</w:t>
            </w:r>
          </w:p>
        </w:tc>
        <w:tc>
          <w:tcPr>
            <w:tcW w:w="891" w:type="dxa"/>
            <w:tcBorders>
              <w:top w:val="nil"/>
              <w:left w:val="nil"/>
              <w:bottom w:val="nil"/>
              <w:right w:val="nil"/>
            </w:tcBorders>
            <w:shd w:val="clear" w:color="auto" w:fill="auto"/>
            <w:noWrap/>
            <w:vAlign w:val="center"/>
            <w:hideMark/>
          </w:tcPr>
          <w:p w14:paraId="1685801B" w14:textId="3EB81858" w:rsidR="00A161E5" w:rsidRPr="006B42D6" w:rsidRDefault="00A161E5" w:rsidP="00A56532">
            <w:pPr>
              <w:jc w:val="right"/>
              <w:rPr>
                <w:sz w:val="15"/>
                <w:szCs w:val="15"/>
              </w:rPr>
            </w:pPr>
            <w:r w:rsidRPr="006B42D6">
              <w:rPr>
                <w:sz w:val="15"/>
                <w:szCs w:val="15"/>
              </w:rPr>
              <w:t>12,872,420</w:t>
            </w:r>
          </w:p>
        </w:tc>
        <w:tc>
          <w:tcPr>
            <w:tcW w:w="853" w:type="dxa"/>
            <w:tcBorders>
              <w:top w:val="nil"/>
              <w:left w:val="nil"/>
              <w:bottom w:val="nil"/>
              <w:right w:val="nil"/>
            </w:tcBorders>
            <w:shd w:val="clear" w:color="auto" w:fill="auto"/>
            <w:noWrap/>
            <w:vAlign w:val="center"/>
            <w:hideMark/>
          </w:tcPr>
          <w:p w14:paraId="1A9042E2" w14:textId="60BB798F" w:rsidR="00A161E5" w:rsidRPr="006B42D6" w:rsidRDefault="00A161E5" w:rsidP="00A56532">
            <w:pPr>
              <w:jc w:val="right"/>
              <w:rPr>
                <w:sz w:val="15"/>
                <w:szCs w:val="15"/>
              </w:rPr>
            </w:pPr>
            <w:r w:rsidRPr="006B42D6">
              <w:rPr>
                <w:sz w:val="15"/>
                <w:szCs w:val="15"/>
              </w:rPr>
              <w:t>257,539</w:t>
            </w:r>
          </w:p>
        </w:tc>
        <w:tc>
          <w:tcPr>
            <w:tcW w:w="1036" w:type="dxa"/>
            <w:tcBorders>
              <w:top w:val="nil"/>
              <w:left w:val="nil"/>
              <w:bottom w:val="nil"/>
              <w:right w:val="single" w:sz="4" w:space="0" w:color="auto"/>
            </w:tcBorders>
            <w:shd w:val="clear" w:color="auto" w:fill="auto"/>
            <w:noWrap/>
            <w:vAlign w:val="center"/>
            <w:hideMark/>
          </w:tcPr>
          <w:p w14:paraId="2B629EFC" w14:textId="33CBF3B9" w:rsidR="00A161E5" w:rsidRPr="006B42D6" w:rsidRDefault="00A161E5" w:rsidP="00A56532">
            <w:pPr>
              <w:jc w:val="right"/>
              <w:rPr>
                <w:sz w:val="15"/>
                <w:szCs w:val="15"/>
              </w:rPr>
            </w:pPr>
            <w:r w:rsidRPr="006B42D6">
              <w:rPr>
                <w:sz w:val="15"/>
                <w:szCs w:val="15"/>
              </w:rPr>
              <w:t>12,614,881</w:t>
            </w:r>
          </w:p>
        </w:tc>
        <w:tc>
          <w:tcPr>
            <w:tcW w:w="704" w:type="dxa"/>
            <w:tcBorders>
              <w:top w:val="nil"/>
              <w:left w:val="nil"/>
              <w:bottom w:val="nil"/>
              <w:right w:val="nil"/>
            </w:tcBorders>
            <w:shd w:val="clear" w:color="auto" w:fill="auto"/>
            <w:noWrap/>
            <w:vAlign w:val="center"/>
            <w:hideMark/>
          </w:tcPr>
          <w:p w14:paraId="0179FCF2" w14:textId="0743E5C3" w:rsidR="00A161E5" w:rsidRPr="006B42D6" w:rsidRDefault="00A161E5" w:rsidP="00A56532">
            <w:pPr>
              <w:jc w:val="right"/>
              <w:rPr>
                <w:sz w:val="15"/>
                <w:szCs w:val="15"/>
              </w:rPr>
            </w:pPr>
            <w:r w:rsidRPr="006B42D6">
              <w:rPr>
                <w:sz w:val="15"/>
                <w:szCs w:val="15"/>
              </w:rPr>
              <w:t>64,205</w:t>
            </w:r>
          </w:p>
        </w:tc>
        <w:tc>
          <w:tcPr>
            <w:tcW w:w="748" w:type="dxa"/>
            <w:tcBorders>
              <w:top w:val="nil"/>
              <w:left w:val="nil"/>
              <w:bottom w:val="nil"/>
              <w:right w:val="nil"/>
            </w:tcBorders>
            <w:shd w:val="clear" w:color="auto" w:fill="auto"/>
            <w:noWrap/>
            <w:vAlign w:val="center"/>
            <w:hideMark/>
          </w:tcPr>
          <w:p w14:paraId="3FE989C2" w14:textId="61EF3BC5" w:rsidR="00A161E5" w:rsidRPr="006B42D6" w:rsidRDefault="00A161E5" w:rsidP="00A56532">
            <w:pPr>
              <w:jc w:val="right"/>
              <w:rPr>
                <w:sz w:val="15"/>
                <w:szCs w:val="15"/>
              </w:rPr>
            </w:pPr>
            <w:r w:rsidRPr="006B42D6">
              <w:rPr>
                <w:sz w:val="15"/>
                <w:szCs w:val="15"/>
              </w:rPr>
              <w:t>52,813</w:t>
            </w:r>
          </w:p>
        </w:tc>
        <w:tc>
          <w:tcPr>
            <w:tcW w:w="1036" w:type="dxa"/>
            <w:tcBorders>
              <w:top w:val="nil"/>
              <w:left w:val="nil"/>
              <w:bottom w:val="nil"/>
            </w:tcBorders>
            <w:shd w:val="clear" w:color="auto" w:fill="auto"/>
            <w:noWrap/>
            <w:vAlign w:val="center"/>
            <w:hideMark/>
          </w:tcPr>
          <w:p w14:paraId="7D56BA01" w14:textId="4C4FB9D5" w:rsidR="00A161E5" w:rsidRPr="006B42D6" w:rsidRDefault="00A161E5" w:rsidP="00A56532">
            <w:pPr>
              <w:jc w:val="right"/>
              <w:rPr>
                <w:sz w:val="15"/>
                <w:szCs w:val="15"/>
              </w:rPr>
            </w:pPr>
            <w:r w:rsidRPr="006B42D6">
              <w:rPr>
                <w:sz w:val="15"/>
                <w:szCs w:val="15"/>
              </w:rPr>
              <w:t>11,392</w:t>
            </w:r>
          </w:p>
        </w:tc>
      </w:tr>
      <w:tr w:rsidR="006B42D6" w:rsidRPr="006B42D6" w14:paraId="04480F72" w14:textId="77777777" w:rsidTr="00A56532">
        <w:trPr>
          <w:trHeight w:val="340"/>
        </w:trPr>
        <w:tc>
          <w:tcPr>
            <w:tcW w:w="1843" w:type="dxa"/>
            <w:tcBorders>
              <w:top w:val="nil"/>
              <w:left w:val="nil"/>
              <w:bottom w:val="single" w:sz="4" w:space="0" w:color="auto"/>
              <w:right w:val="nil"/>
            </w:tcBorders>
            <w:shd w:val="clear" w:color="auto" w:fill="auto"/>
            <w:vAlign w:val="center"/>
            <w:hideMark/>
          </w:tcPr>
          <w:p w14:paraId="19DD5A14" w14:textId="3C0D70A7" w:rsidR="00A161E5" w:rsidRPr="006B42D6" w:rsidRDefault="00A161E5" w:rsidP="00A56532">
            <w:pPr>
              <w:jc w:val="left"/>
              <w:rPr>
                <w:sz w:val="15"/>
                <w:szCs w:val="15"/>
              </w:rPr>
            </w:pPr>
            <w:r w:rsidRPr="006B42D6">
              <w:rPr>
                <w:sz w:val="15"/>
                <w:szCs w:val="15"/>
              </w:rPr>
              <w:t xml:space="preserve">Weight of </w:t>
            </w:r>
            <w:r w:rsidR="00C33591">
              <w:rPr>
                <w:sz w:val="15"/>
                <w:szCs w:val="15"/>
              </w:rPr>
              <w:t>f</w:t>
            </w:r>
            <w:r w:rsidRPr="006B42D6">
              <w:rPr>
                <w:sz w:val="15"/>
                <w:szCs w:val="15"/>
              </w:rPr>
              <w:t>ish sold (Kg)</w:t>
            </w:r>
          </w:p>
        </w:tc>
        <w:tc>
          <w:tcPr>
            <w:tcW w:w="891" w:type="dxa"/>
            <w:tcBorders>
              <w:top w:val="nil"/>
              <w:left w:val="single" w:sz="4" w:space="0" w:color="auto"/>
              <w:bottom w:val="single" w:sz="4" w:space="0" w:color="auto"/>
              <w:right w:val="nil"/>
            </w:tcBorders>
            <w:shd w:val="clear" w:color="auto" w:fill="auto"/>
            <w:noWrap/>
            <w:vAlign w:val="center"/>
            <w:hideMark/>
          </w:tcPr>
          <w:p w14:paraId="5BD57AD9" w14:textId="6CA7494E" w:rsidR="00A161E5" w:rsidRPr="006B42D6" w:rsidRDefault="00A161E5" w:rsidP="00A56532">
            <w:pPr>
              <w:jc w:val="right"/>
              <w:rPr>
                <w:sz w:val="15"/>
                <w:szCs w:val="15"/>
              </w:rPr>
            </w:pPr>
            <w:r w:rsidRPr="006B42D6">
              <w:rPr>
                <w:sz w:val="15"/>
                <w:szCs w:val="15"/>
              </w:rPr>
              <w:t>2,089,893</w:t>
            </w:r>
          </w:p>
        </w:tc>
        <w:tc>
          <w:tcPr>
            <w:tcW w:w="853" w:type="dxa"/>
            <w:tcBorders>
              <w:top w:val="nil"/>
              <w:left w:val="nil"/>
              <w:bottom w:val="single" w:sz="4" w:space="0" w:color="auto"/>
              <w:right w:val="nil"/>
            </w:tcBorders>
            <w:shd w:val="clear" w:color="auto" w:fill="auto"/>
            <w:noWrap/>
            <w:vAlign w:val="center"/>
            <w:hideMark/>
          </w:tcPr>
          <w:p w14:paraId="27D6AF8D" w14:textId="64D2BCBD" w:rsidR="00A161E5" w:rsidRPr="006B42D6" w:rsidRDefault="00A161E5" w:rsidP="00A56532">
            <w:pPr>
              <w:jc w:val="right"/>
              <w:rPr>
                <w:sz w:val="15"/>
                <w:szCs w:val="15"/>
              </w:rPr>
            </w:pPr>
            <w:r w:rsidRPr="006B42D6">
              <w:rPr>
                <w:sz w:val="15"/>
                <w:szCs w:val="15"/>
              </w:rPr>
              <w:t>243,196</w:t>
            </w:r>
          </w:p>
        </w:tc>
        <w:tc>
          <w:tcPr>
            <w:tcW w:w="1036" w:type="dxa"/>
            <w:tcBorders>
              <w:top w:val="nil"/>
              <w:left w:val="nil"/>
              <w:bottom w:val="single" w:sz="4" w:space="0" w:color="auto"/>
              <w:right w:val="single" w:sz="4" w:space="0" w:color="auto"/>
            </w:tcBorders>
            <w:shd w:val="clear" w:color="auto" w:fill="auto"/>
            <w:noWrap/>
            <w:vAlign w:val="center"/>
            <w:hideMark/>
          </w:tcPr>
          <w:p w14:paraId="72196A18" w14:textId="1C1487AD" w:rsidR="00A161E5" w:rsidRPr="006B42D6" w:rsidRDefault="00A161E5" w:rsidP="00A56532">
            <w:pPr>
              <w:jc w:val="right"/>
              <w:rPr>
                <w:sz w:val="15"/>
                <w:szCs w:val="15"/>
              </w:rPr>
            </w:pPr>
            <w:r w:rsidRPr="006B42D6">
              <w:rPr>
                <w:sz w:val="15"/>
                <w:szCs w:val="15"/>
              </w:rPr>
              <w:t>1,846,697</w:t>
            </w:r>
          </w:p>
        </w:tc>
        <w:tc>
          <w:tcPr>
            <w:tcW w:w="891" w:type="dxa"/>
            <w:tcBorders>
              <w:top w:val="nil"/>
              <w:left w:val="nil"/>
              <w:bottom w:val="single" w:sz="4" w:space="0" w:color="auto"/>
              <w:right w:val="nil"/>
            </w:tcBorders>
            <w:shd w:val="clear" w:color="auto" w:fill="auto"/>
            <w:noWrap/>
            <w:vAlign w:val="center"/>
            <w:hideMark/>
          </w:tcPr>
          <w:p w14:paraId="54080B8F" w14:textId="24B81224" w:rsidR="00A161E5" w:rsidRPr="006B42D6" w:rsidRDefault="00A161E5" w:rsidP="00A56532">
            <w:pPr>
              <w:jc w:val="right"/>
              <w:rPr>
                <w:sz w:val="15"/>
                <w:szCs w:val="15"/>
              </w:rPr>
            </w:pPr>
            <w:r w:rsidRPr="006B42D6">
              <w:rPr>
                <w:sz w:val="15"/>
                <w:szCs w:val="15"/>
              </w:rPr>
              <w:t>2,030,526</w:t>
            </w:r>
          </w:p>
        </w:tc>
        <w:tc>
          <w:tcPr>
            <w:tcW w:w="853" w:type="dxa"/>
            <w:tcBorders>
              <w:top w:val="nil"/>
              <w:left w:val="nil"/>
              <w:bottom w:val="single" w:sz="4" w:space="0" w:color="auto"/>
              <w:right w:val="nil"/>
            </w:tcBorders>
            <w:shd w:val="clear" w:color="auto" w:fill="auto"/>
            <w:noWrap/>
            <w:vAlign w:val="center"/>
            <w:hideMark/>
          </w:tcPr>
          <w:p w14:paraId="53B05C11" w14:textId="4948856B" w:rsidR="00A161E5" w:rsidRPr="006B42D6" w:rsidRDefault="00A161E5" w:rsidP="00A56532">
            <w:pPr>
              <w:jc w:val="right"/>
              <w:rPr>
                <w:sz w:val="15"/>
                <w:szCs w:val="15"/>
              </w:rPr>
            </w:pPr>
            <w:r w:rsidRPr="006B42D6">
              <w:rPr>
                <w:sz w:val="15"/>
                <w:szCs w:val="15"/>
              </w:rPr>
              <w:t>195,221</w:t>
            </w:r>
          </w:p>
        </w:tc>
        <w:tc>
          <w:tcPr>
            <w:tcW w:w="1036" w:type="dxa"/>
            <w:tcBorders>
              <w:top w:val="nil"/>
              <w:left w:val="nil"/>
              <w:bottom w:val="single" w:sz="4" w:space="0" w:color="auto"/>
              <w:right w:val="single" w:sz="4" w:space="0" w:color="auto"/>
            </w:tcBorders>
            <w:shd w:val="clear" w:color="auto" w:fill="auto"/>
            <w:noWrap/>
            <w:vAlign w:val="center"/>
            <w:hideMark/>
          </w:tcPr>
          <w:p w14:paraId="2FC8E054" w14:textId="102ADE13" w:rsidR="00A161E5" w:rsidRPr="006B42D6" w:rsidRDefault="00A161E5" w:rsidP="00A56532">
            <w:pPr>
              <w:jc w:val="right"/>
              <w:rPr>
                <w:sz w:val="15"/>
                <w:szCs w:val="15"/>
              </w:rPr>
            </w:pPr>
            <w:r w:rsidRPr="006B42D6">
              <w:rPr>
                <w:sz w:val="15"/>
                <w:szCs w:val="15"/>
              </w:rPr>
              <w:t>1,835,305</w:t>
            </w:r>
          </w:p>
        </w:tc>
        <w:tc>
          <w:tcPr>
            <w:tcW w:w="704" w:type="dxa"/>
            <w:tcBorders>
              <w:top w:val="nil"/>
              <w:left w:val="nil"/>
              <w:bottom w:val="single" w:sz="4" w:space="0" w:color="auto"/>
              <w:right w:val="nil"/>
            </w:tcBorders>
            <w:shd w:val="clear" w:color="auto" w:fill="auto"/>
            <w:noWrap/>
            <w:vAlign w:val="center"/>
            <w:hideMark/>
          </w:tcPr>
          <w:p w14:paraId="4852BC6C" w14:textId="37039154" w:rsidR="00A161E5" w:rsidRPr="006B42D6" w:rsidRDefault="00A161E5" w:rsidP="00A56532">
            <w:pPr>
              <w:jc w:val="right"/>
              <w:rPr>
                <w:sz w:val="15"/>
                <w:szCs w:val="15"/>
              </w:rPr>
            </w:pPr>
            <w:r w:rsidRPr="006B42D6">
              <w:rPr>
                <w:sz w:val="15"/>
                <w:szCs w:val="15"/>
              </w:rPr>
              <w:t>59,367</w:t>
            </w:r>
          </w:p>
        </w:tc>
        <w:tc>
          <w:tcPr>
            <w:tcW w:w="748" w:type="dxa"/>
            <w:tcBorders>
              <w:top w:val="nil"/>
              <w:left w:val="nil"/>
              <w:bottom w:val="single" w:sz="4" w:space="0" w:color="auto"/>
              <w:right w:val="nil"/>
            </w:tcBorders>
            <w:shd w:val="clear" w:color="auto" w:fill="auto"/>
            <w:noWrap/>
            <w:vAlign w:val="center"/>
            <w:hideMark/>
          </w:tcPr>
          <w:p w14:paraId="29136722" w14:textId="38CCEC08" w:rsidR="00A161E5" w:rsidRPr="006B42D6" w:rsidRDefault="00A161E5" w:rsidP="00A56532">
            <w:pPr>
              <w:jc w:val="right"/>
              <w:rPr>
                <w:sz w:val="15"/>
                <w:szCs w:val="15"/>
              </w:rPr>
            </w:pPr>
            <w:r w:rsidRPr="006B42D6">
              <w:rPr>
                <w:sz w:val="15"/>
                <w:szCs w:val="15"/>
              </w:rPr>
              <w:t>47,975</w:t>
            </w:r>
          </w:p>
        </w:tc>
        <w:tc>
          <w:tcPr>
            <w:tcW w:w="1036" w:type="dxa"/>
            <w:tcBorders>
              <w:top w:val="nil"/>
              <w:left w:val="nil"/>
              <w:bottom w:val="single" w:sz="4" w:space="0" w:color="auto"/>
            </w:tcBorders>
            <w:shd w:val="clear" w:color="auto" w:fill="auto"/>
            <w:noWrap/>
            <w:vAlign w:val="center"/>
            <w:hideMark/>
          </w:tcPr>
          <w:p w14:paraId="68684C68" w14:textId="78FCBDC9" w:rsidR="00A161E5" w:rsidRPr="006B42D6" w:rsidRDefault="00A161E5" w:rsidP="00A56532">
            <w:pPr>
              <w:jc w:val="right"/>
              <w:rPr>
                <w:sz w:val="15"/>
                <w:szCs w:val="15"/>
              </w:rPr>
            </w:pPr>
            <w:r w:rsidRPr="006B42D6">
              <w:rPr>
                <w:sz w:val="15"/>
                <w:szCs w:val="15"/>
              </w:rPr>
              <w:t>11,392</w:t>
            </w:r>
          </w:p>
        </w:tc>
      </w:tr>
    </w:tbl>
    <w:p w14:paraId="3F7CF452" w14:textId="77777777" w:rsidR="00DD57F9" w:rsidRPr="0068660F" w:rsidRDefault="00DD57F9" w:rsidP="005C2EFC">
      <w:pPr>
        <w:pStyle w:val="Default"/>
        <w:tabs>
          <w:tab w:val="left" w:pos="2610"/>
        </w:tabs>
        <w:spacing w:line="360" w:lineRule="auto"/>
        <w:jc w:val="both"/>
        <w:rPr>
          <w:color w:val="auto"/>
          <w:sz w:val="20"/>
          <w:szCs w:val="20"/>
        </w:rPr>
      </w:pPr>
    </w:p>
    <w:p w14:paraId="3D7EB1D1" w14:textId="66016442" w:rsidR="00D163D4" w:rsidRPr="006B42D6" w:rsidRDefault="00D163D4" w:rsidP="005C2EFC">
      <w:pPr>
        <w:pStyle w:val="Default"/>
        <w:tabs>
          <w:tab w:val="left" w:pos="2610"/>
        </w:tabs>
        <w:spacing w:line="360" w:lineRule="auto"/>
        <w:jc w:val="both"/>
        <w:rPr>
          <w:color w:val="auto"/>
        </w:rPr>
      </w:pPr>
      <w:r w:rsidRPr="006B42D6">
        <w:rPr>
          <w:color w:val="auto"/>
        </w:rPr>
        <w:t xml:space="preserve">In </w:t>
      </w:r>
      <w:r w:rsidR="00EA1552">
        <w:rPr>
          <w:color w:val="auto"/>
        </w:rPr>
        <w:t>Mainland Tanzania</w:t>
      </w:r>
      <w:r w:rsidRPr="006B42D6">
        <w:rPr>
          <w:color w:val="auto"/>
        </w:rPr>
        <w:t xml:space="preserve">, </w:t>
      </w:r>
      <w:r w:rsidR="00E15035" w:rsidRPr="006B42D6">
        <w:rPr>
          <w:color w:val="auto"/>
        </w:rPr>
        <w:t xml:space="preserve">for the case of smallholder farmers, </w:t>
      </w:r>
      <w:r w:rsidRPr="006B42D6">
        <w:rPr>
          <w:color w:val="auto"/>
        </w:rPr>
        <w:t>Tanga region had largest quantity of harvested fish (3,769 tons; 29.9 percent)</w:t>
      </w:r>
      <w:r w:rsidR="00E15035" w:rsidRPr="006B42D6">
        <w:rPr>
          <w:color w:val="auto"/>
        </w:rPr>
        <w:t xml:space="preserve">, </w:t>
      </w:r>
      <w:r w:rsidRPr="006B42D6">
        <w:rPr>
          <w:color w:val="auto"/>
        </w:rPr>
        <w:t>followed by Ruvuma (2,643 tons; 21.0 percent) and Mbeya (</w:t>
      </w:r>
      <w:r w:rsidRPr="006B42D6">
        <w:rPr>
          <w:rFonts w:eastAsia="Times New Roman"/>
          <w:color w:val="auto"/>
        </w:rPr>
        <w:t xml:space="preserve">1,650 tons; </w:t>
      </w:r>
      <w:r w:rsidRPr="006B42D6">
        <w:rPr>
          <w:color w:val="auto"/>
        </w:rPr>
        <w:t xml:space="preserve">13.1 percent). </w:t>
      </w:r>
      <w:r w:rsidR="002F48E2" w:rsidRPr="006B42D6">
        <w:rPr>
          <w:color w:val="auto"/>
        </w:rPr>
        <w:t>Tabora</w:t>
      </w:r>
      <w:r w:rsidRPr="006B42D6">
        <w:rPr>
          <w:color w:val="auto"/>
        </w:rPr>
        <w:t xml:space="preserve"> region reported the least quantity </w:t>
      </w:r>
      <w:r w:rsidR="00E15035" w:rsidRPr="006B42D6">
        <w:rPr>
          <w:color w:val="auto"/>
        </w:rPr>
        <w:t xml:space="preserve">of fish </w:t>
      </w:r>
      <w:r w:rsidRPr="006B42D6">
        <w:rPr>
          <w:color w:val="auto"/>
        </w:rPr>
        <w:t>harvested (1 ton;</w:t>
      </w:r>
      <w:r w:rsidR="00E15035" w:rsidRPr="006B42D6">
        <w:rPr>
          <w:color w:val="auto"/>
        </w:rPr>
        <w:t xml:space="preserve"> 0.</w:t>
      </w:r>
      <w:r w:rsidR="002F48E2" w:rsidRPr="006B42D6">
        <w:rPr>
          <w:color w:val="auto"/>
        </w:rPr>
        <w:t>004</w:t>
      </w:r>
      <w:r w:rsidRPr="006B42D6">
        <w:rPr>
          <w:color w:val="auto"/>
        </w:rPr>
        <w:t xml:space="preserve"> percent)</w:t>
      </w:r>
      <w:r w:rsidR="002F48E2" w:rsidRPr="006B42D6">
        <w:rPr>
          <w:color w:val="auto"/>
        </w:rPr>
        <w:t xml:space="preserve"> </w:t>
      </w:r>
      <w:r w:rsidR="00E81EFE" w:rsidRPr="006B42D6">
        <w:rPr>
          <w:color w:val="auto"/>
        </w:rPr>
        <w:t>(Figure 4.</w:t>
      </w:r>
      <w:r w:rsidR="00BE513B" w:rsidRPr="006B42D6">
        <w:rPr>
          <w:color w:val="auto"/>
        </w:rPr>
        <w:t>70</w:t>
      </w:r>
      <w:r w:rsidR="00E81EFE" w:rsidRPr="006B42D6">
        <w:rPr>
          <w:color w:val="auto"/>
        </w:rPr>
        <w:t>)</w:t>
      </w:r>
      <w:r w:rsidRPr="006B42D6">
        <w:rPr>
          <w:color w:val="auto"/>
        </w:rPr>
        <w:t>.</w:t>
      </w:r>
      <w:r w:rsidR="00116F11" w:rsidRPr="006B42D6">
        <w:rPr>
          <w:color w:val="auto"/>
        </w:rPr>
        <w:t xml:space="preserve"> </w:t>
      </w:r>
      <w:r w:rsidRPr="006B42D6">
        <w:rPr>
          <w:color w:val="auto"/>
        </w:rPr>
        <w:t xml:space="preserve">In </w:t>
      </w:r>
      <w:r w:rsidR="00116F11" w:rsidRPr="006B42D6">
        <w:rPr>
          <w:color w:val="auto"/>
        </w:rPr>
        <w:t xml:space="preserve">Tanzania </w:t>
      </w:r>
      <w:r w:rsidRPr="006B42D6">
        <w:rPr>
          <w:color w:val="auto"/>
        </w:rPr>
        <w:t>Zanzibar, only Kusini Pemba region was reported to harvest a total of 11 tons</w:t>
      </w:r>
      <w:r w:rsidRPr="006B42D6">
        <w:rPr>
          <w:rFonts w:eastAsia="Times New Roman" w:cs="Calibri"/>
          <w:color w:val="auto"/>
        </w:rPr>
        <w:t xml:space="preserve"> </w:t>
      </w:r>
      <w:r w:rsidRPr="006B42D6">
        <w:rPr>
          <w:color w:val="auto"/>
        </w:rPr>
        <w:t xml:space="preserve">of fish </w:t>
      </w:r>
      <w:r w:rsidR="00E15035" w:rsidRPr="006B42D6">
        <w:rPr>
          <w:color w:val="auto"/>
        </w:rPr>
        <w:t>during</w:t>
      </w:r>
      <w:r w:rsidRPr="006B42D6">
        <w:rPr>
          <w:color w:val="auto"/>
        </w:rPr>
        <w:t xml:space="preserve"> 2019/20 agricultural year.</w:t>
      </w:r>
    </w:p>
    <w:p w14:paraId="2CD93036" w14:textId="36972E3D" w:rsidR="00A161E5" w:rsidRPr="006B42D6" w:rsidRDefault="00A161E5" w:rsidP="00A161E5">
      <w:pPr>
        <w:pStyle w:val="Caption"/>
        <w:keepNext/>
        <w:rPr>
          <w:b w:val="0"/>
          <w:i/>
          <w:szCs w:val="20"/>
        </w:rPr>
      </w:pPr>
      <w:bookmarkStart w:id="776" w:name="_Toc82386441"/>
      <w:r w:rsidRPr="006B42D6">
        <w:rPr>
          <w:szCs w:val="20"/>
        </w:rPr>
        <w:lastRenderedPageBreak/>
        <w:t>Figure 4.</w:t>
      </w:r>
      <w:r w:rsidR="00BE513B" w:rsidRPr="006B42D6">
        <w:rPr>
          <w:szCs w:val="20"/>
        </w:rPr>
        <w:t>70</w:t>
      </w:r>
      <w:r w:rsidR="00076CC3">
        <w:rPr>
          <w:szCs w:val="20"/>
        </w:rPr>
        <w:t>:</w:t>
      </w:r>
      <w:r w:rsidR="004A26A5">
        <w:rPr>
          <w:szCs w:val="20"/>
        </w:rPr>
        <w:tab/>
      </w:r>
      <w:r w:rsidRPr="006B42D6">
        <w:rPr>
          <w:szCs w:val="20"/>
        </w:rPr>
        <w:t xml:space="preserve">Weight of Fish Harvested by Smallholder Farmers </w:t>
      </w:r>
      <w:r w:rsidR="004D3414" w:rsidRPr="006B42D6">
        <w:rPr>
          <w:szCs w:val="20"/>
        </w:rPr>
        <w:t xml:space="preserve">by Region </w:t>
      </w:r>
      <w:r w:rsidRPr="006B42D6">
        <w:rPr>
          <w:szCs w:val="20"/>
        </w:rPr>
        <w:t>During 2019/20 Agricultural Year</w:t>
      </w:r>
      <w:r w:rsidR="00116F11" w:rsidRPr="006B42D6">
        <w:rPr>
          <w:szCs w:val="20"/>
        </w:rPr>
        <w:t>,</w:t>
      </w:r>
      <w:r w:rsidRPr="006B42D6">
        <w:rPr>
          <w:szCs w:val="20"/>
        </w:rPr>
        <w:t xml:space="preserve"> </w:t>
      </w:r>
      <w:r w:rsidR="00EA1552">
        <w:rPr>
          <w:szCs w:val="20"/>
        </w:rPr>
        <w:t>Mainland Tanzania</w:t>
      </w:r>
      <w:bookmarkEnd w:id="776"/>
    </w:p>
    <w:p w14:paraId="7AF34735" w14:textId="497A7956" w:rsidR="00A161E5" w:rsidRPr="006B42D6" w:rsidRDefault="001B26AC" w:rsidP="005C2EFC">
      <w:pPr>
        <w:pStyle w:val="Default"/>
        <w:tabs>
          <w:tab w:val="left" w:pos="2610"/>
        </w:tabs>
        <w:spacing w:line="360" w:lineRule="auto"/>
        <w:jc w:val="both"/>
        <w:rPr>
          <w:color w:val="auto"/>
        </w:rPr>
      </w:pPr>
      <w:r w:rsidRPr="006B42D6">
        <w:rPr>
          <w:noProof/>
          <w:color w:val="auto"/>
        </w:rPr>
        <w:drawing>
          <wp:inline distT="0" distB="0" distL="0" distR="0" wp14:anchorId="2F8A63F7" wp14:editId="20827963">
            <wp:extent cx="5727700" cy="2869324"/>
            <wp:effectExtent l="0" t="0" r="12700" b="13970"/>
            <wp:docPr id="26" name="Chart 5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7"/>
              </a:graphicData>
            </a:graphic>
          </wp:inline>
        </w:drawing>
      </w:r>
    </w:p>
    <w:p w14:paraId="55C24418" w14:textId="77777777" w:rsidR="000E3DA6" w:rsidRPr="006B42D6" w:rsidRDefault="000E3DA6" w:rsidP="00A56532"/>
    <w:p w14:paraId="6EF533A5" w14:textId="1745D720" w:rsidR="00A579C2" w:rsidRPr="006B42D6" w:rsidRDefault="00E01116" w:rsidP="007F6CED">
      <w:pPr>
        <w:pStyle w:val="Heading3"/>
      </w:pPr>
      <w:bookmarkStart w:id="777" w:name="_Toc82385777"/>
      <w:r w:rsidRPr="006B42D6">
        <w:t>4</w:t>
      </w:r>
      <w:r w:rsidR="00D163D4" w:rsidRPr="006B42D6">
        <w:t>.</w:t>
      </w:r>
      <w:r w:rsidR="00022347">
        <w:t>7</w:t>
      </w:r>
      <w:r w:rsidR="00D163D4" w:rsidRPr="006B42D6">
        <w:t>.</w:t>
      </w:r>
      <w:r w:rsidRPr="006B42D6">
        <w:t>3</w:t>
      </w:r>
      <w:r w:rsidR="0000655E" w:rsidRPr="006B42D6">
        <w:tab/>
      </w:r>
      <w:r w:rsidR="00D163D4" w:rsidRPr="006B42D6">
        <w:t xml:space="preserve">Source of </w:t>
      </w:r>
      <w:r w:rsidR="00114D61">
        <w:t>F</w:t>
      </w:r>
      <w:r w:rsidR="00D163D4" w:rsidRPr="006B42D6">
        <w:t>ingerlings</w:t>
      </w:r>
      <w:bookmarkEnd w:id="777"/>
      <w:r w:rsidR="00D163D4" w:rsidRPr="006B42D6">
        <w:t xml:space="preserve"> </w:t>
      </w:r>
    </w:p>
    <w:p w14:paraId="2F017F85" w14:textId="2631C05E" w:rsidR="00A972A8" w:rsidRDefault="00D163D4" w:rsidP="005C2EFC">
      <w:r w:rsidRPr="006B42D6">
        <w:t xml:space="preserve">In </w:t>
      </w:r>
      <w:r w:rsidR="00EA1552">
        <w:t>Mainland Tanzania</w:t>
      </w:r>
      <w:r w:rsidRPr="006B42D6">
        <w:t xml:space="preserve">, the main source of fingerlings reported by </w:t>
      </w:r>
      <w:r w:rsidR="00A579C2" w:rsidRPr="006B42D6">
        <w:t>households</w:t>
      </w:r>
      <w:r w:rsidRPr="006B42D6">
        <w:t xml:space="preserve"> </w:t>
      </w:r>
      <w:r w:rsidR="0087186A" w:rsidRPr="006B42D6">
        <w:t>was</w:t>
      </w:r>
      <w:r w:rsidRPr="006B42D6">
        <w:t xml:space="preserve"> private trade fish hatchery (8,964; 30.0 percent)</w:t>
      </w:r>
      <w:r w:rsidR="0087186A" w:rsidRPr="006B42D6">
        <w:t>, followed by</w:t>
      </w:r>
      <w:r w:rsidRPr="006B42D6">
        <w:t xml:space="preserve"> neighbo</w:t>
      </w:r>
      <w:r w:rsidR="0003283E">
        <w:t>u</w:t>
      </w:r>
      <w:r w:rsidRPr="006B42D6">
        <w:t>r fish hatchery (8,234 households; 27.5 percent). Other source</w:t>
      </w:r>
      <w:r w:rsidR="00A579C2" w:rsidRPr="006B42D6">
        <w:t>s reported by households</w:t>
      </w:r>
      <w:r w:rsidRPr="006B42D6">
        <w:t xml:space="preserve"> include natural pond (3,335; 11.2 percent), NGOs/</w:t>
      </w:r>
      <w:r w:rsidR="0003283E">
        <w:t>d</w:t>
      </w:r>
      <w:r w:rsidRPr="006B42D6">
        <w:t>evelopment projects (3,029; 10.1 percent), own fish hatchery (2,641; 8.8 percent)</w:t>
      </w:r>
      <w:r w:rsidR="00A579C2" w:rsidRPr="006B42D6">
        <w:t xml:space="preserve"> and </w:t>
      </w:r>
      <w:r w:rsidR="0068660F">
        <w:t>g</w:t>
      </w:r>
      <w:r w:rsidRPr="006B42D6">
        <w:t xml:space="preserve">overnment </w:t>
      </w:r>
      <w:r w:rsidR="0068660F">
        <w:t>i</w:t>
      </w:r>
      <w:r w:rsidRPr="006B42D6">
        <w:t>nstitution hatchery (2,350; 7.9 percent)</w:t>
      </w:r>
      <w:r w:rsidR="00A579C2" w:rsidRPr="006B42D6">
        <w:t xml:space="preserve">. </w:t>
      </w:r>
      <w:r w:rsidRPr="006B42D6">
        <w:t xml:space="preserve">In </w:t>
      </w:r>
      <w:r w:rsidR="00116F11" w:rsidRPr="006B42D6">
        <w:t xml:space="preserve">Tanzania </w:t>
      </w:r>
      <w:r w:rsidRPr="006B42D6">
        <w:t xml:space="preserve">Zanzibar, the main sources of fingerlings </w:t>
      </w:r>
      <w:r w:rsidR="007F6CED" w:rsidRPr="006B42D6">
        <w:t xml:space="preserve">reported by households </w:t>
      </w:r>
      <w:r w:rsidRPr="006B42D6">
        <w:t>were natural pond (225; 61.3 percent) and NGO/</w:t>
      </w:r>
      <w:r w:rsidR="0003283E">
        <w:t>p</w:t>
      </w:r>
      <w:r w:rsidRPr="006B42D6">
        <w:t xml:space="preserve">roject </w:t>
      </w:r>
      <w:r w:rsidR="00A579C2" w:rsidRPr="006B42D6">
        <w:t>(</w:t>
      </w:r>
      <w:r w:rsidRPr="006B42D6">
        <w:t>142; 38.7 percent)</w:t>
      </w:r>
      <w:r w:rsidR="00EA1552">
        <w:t xml:space="preserve"> </w:t>
      </w:r>
      <w:r w:rsidR="00E81EFE" w:rsidRPr="006B42D6">
        <w:t>(Figure 4.</w:t>
      </w:r>
      <w:r w:rsidR="0087186A" w:rsidRPr="006B42D6">
        <w:t>71</w:t>
      </w:r>
      <w:r w:rsidR="00E81EFE" w:rsidRPr="006B42D6">
        <w:t xml:space="preserve"> &amp; 4.</w:t>
      </w:r>
      <w:r w:rsidR="0087186A" w:rsidRPr="006B42D6">
        <w:t>72</w:t>
      </w:r>
      <w:r w:rsidR="00E81EFE" w:rsidRPr="006B42D6">
        <w:t>).</w:t>
      </w:r>
    </w:p>
    <w:p w14:paraId="2C377B58" w14:textId="62113EDF" w:rsidR="0068660F" w:rsidRDefault="0068660F">
      <w:pPr>
        <w:spacing w:line="240" w:lineRule="auto"/>
        <w:contextualSpacing w:val="0"/>
        <w:jc w:val="left"/>
      </w:pPr>
      <w:r>
        <w:br w:type="page"/>
      </w:r>
    </w:p>
    <w:p w14:paraId="6DB46484" w14:textId="2A2756F2" w:rsidR="00A56532" w:rsidRPr="006B42D6" w:rsidRDefault="0068660F" w:rsidP="005C2EFC">
      <w:r w:rsidRPr="006B42D6">
        <w:rPr>
          <w:noProof/>
        </w:rPr>
        <w:lastRenderedPageBreak/>
        <mc:AlternateContent>
          <mc:Choice Requires="wps">
            <w:drawing>
              <wp:anchor distT="0" distB="0" distL="114300" distR="114300" simplePos="0" relativeHeight="251596800" behindDoc="0" locked="0" layoutInCell="1" allowOverlap="1" wp14:anchorId="4D0634DB" wp14:editId="6FCA8B20">
                <wp:simplePos x="0" y="0"/>
                <wp:positionH relativeFrom="column">
                  <wp:posOffset>3223895</wp:posOffset>
                </wp:positionH>
                <wp:positionV relativeFrom="paragraph">
                  <wp:posOffset>7620</wp:posOffset>
                </wp:positionV>
                <wp:extent cx="3105785" cy="756285"/>
                <wp:effectExtent l="0" t="0" r="5715" b="5715"/>
                <wp:wrapSquare wrapText="bothSides"/>
                <wp:docPr id="284" name="Text 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05785" cy="756285"/>
                        </a:xfrm>
                        <a:prstGeom prst="rect">
                          <a:avLst/>
                        </a:prstGeom>
                        <a:solidFill>
                          <a:prstClr val="white"/>
                        </a:solidFill>
                        <a:ln>
                          <a:noFill/>
                        </a:ln>
                        <a:effectLst/>
                      </wps:spPr>
                      <wps:txbx>
                        <w:txbxContent>
                          <w:p w14:paraId="1DFE69E5" w14:textId="6ABC50FF" w:rsidR="00933456" w:rsidRPr="009514C8" w:rsidRDefault="00933456" w:rsidP="009514C8">
                            <w:pPr>
                              <w:pStyle w:val="Caption"/>
                            </w:pPr>
                            <w:bookmarkStart w:id="778" w:name="_Toc80120345"/>
                            <w:bookmarkStart w:id="779" w:name="_Toc80884222"/>
                            <w:bookmarkStart w:id="780" w:name="_Toc80884593"/>
                            <w:bookmarkStart w:id="781" w:name="_Toc82386442"/>
                            <w:r w:rsidRPr="009514C8">
                              <w:t>Figure 4.72:</w:t>
                            </w:r>
                            <w:r>
                              <w:tab/>
                            </w:r>
                            <w:r w:rsidRPr="009514C8">
                              <w:t>Percentage Distribution of Main Sources of Fish Fingerlings Reported by Households During 2019/20 Agricultural Year, Tanzania Zanzibar</w:t>
                            </w:r>
                            <w:bookmarkEnd w:id="778"/>
                            <w:bookmarkEnd w:id="779"/>
                            <w:bookmarkEnd w:id="780"/>
                            <w:bookmarkEnd w:id="78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D0634DB" id="Text Box 284" o:spid="_x0000_s1117" type="#_x0000_t202" style="position:absolute;left:0;text-align:left;margin-left:253.85pt;margin-top:.6pt;width:244.55pt;height:59.5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" stroked="f">
                <v:textbox inset="0,0,0,0">
                  <w:txbxContent>
                    <w:p w14:paraId="1DFE69E5" w14:textId="6ABC50FF" w:rsidR="00933456" w:rsidRPr="009514C8" w:rsidRDefault="00933456" w:rsidP="009514C8">
                      <w:pPr>
                        <w:pStyle w:val="Caption"/>
                      </w:pPr>
                      <w:bookmarkStart w:id="1119" w:name="_Toc80120345"/>
                      <w:bookmarkStart w:id="1120" w:name="_Toc80884222"/>
                      <w:bookmarkStart w:id="1121" w:name="_Toc80884593"/>
                      <w:bookmarkStart w:id="1122" w:name="_Toc82386442"/>
                      <w:r w:rsidRPr="009514C8">
                        <w:t>Figure 4.72:</w:t>
                      </w:r>
                      <w:r>
                        <w:tab/>
                      </w:r>
                      <w:r w:rsidRPr="009514C8">
                        <w:t>Percentage Distribution of Main Sources of Fish Fingerlings Reported by Households During 2019/20 Agricultural Year, Tanzania Zanzibar</w:t>
                      </w:r>
                      <w:bookmarkEnd w:id="1119"/>
                      <w:bookmarkEnd w:id="1120"/>
                      <w:bookmarkEnd w:id="1121"/>
                      <w:bookmarkEnd w:id="1122"/>
                    </w:p>
                  </w:txbxContent>
                </v:textbox>
                <w10:wrap type="square"/>
              </v:shape>
            </w:pict>
          </mc:Fallback>
        </mc:AlternateContent>
      </w:r>
      <w:r w:rsidR="002E64CB" w:rsidRPr="006B42D6">
        <w:rPr>
          <w:noProof/>
        </w:rPr>
        <mc:AlternateContent>
          <mc:Choice Requires="wps">
            <w:drawing>
              <wp:anchor distT="0" distB="0" distL="114300" distR="114300" simplePos="0" relativeHeight="251592704" behindDoc="0" locked="0" layoutInCell="1" allowOverlap="1" wp14:anchorId="10A092C7" wp14:editId="1F398B9F">
                <wp:simplePos x="0" y="0"/>
                <wp:positionH relativeFrom="column">
                  <wp:posOffset>-19050</wp:posOffset>
                </wp:positionH>
                <wp:positionV relativeFrom="paragraph">
                  <wp:posOffset>5080</wp:posOffset>
                </wp:positionV>
                <wp:extent cx="3243580" cy="713740"/>
                <wp:effectExtent l="0" t="0" r="0" b="0"/>
                <wp:wrapSquare wrapText="bothSides"/>
                <wp:docPr id="287"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43580" cy="713740"/>
                        </a:xfrm>
                        <a:prstGeom prst="rect">
                          <a:avLst/>
                        </a:prstGeom>
                        <a:solidFill>
                          <a:prstClr val="white"/>
                        </a:solidFill>
                        <a:ln>
                          <a:noFill/>
                        </a:ln>
                        <a:effectLst/>
                      </wps:spPr>
                      <wps:txbx>
                        <w:txbxContent>
                          <w:p w14:paraId="443142FE" w14:textId="18F077B9" w:rsidR="00933456" w:rsidRPr="009514C8" w:rsidRDefault="00933456" w:rsidP="009514C8">
                            <w:pPr>
                              <w:pStyle w:val="Caption"/>
                            </w:pPr>
                            <w:bookmarkStart w:id="782" w:name="_Toc80120346"/>
                            <w:bookmarkStart w:id="783" w:name="_Toc80884221"/>
                            <w:bookmarkStart w:id="784" w:name="_Toc80884592"/>
                            <w:bookmarkStart w:id="785" w:name="_Toc82386443"/>
                            <w:r w:rsidRPr="009514C8">
                              <w:t>Figure 4.71:</w:t>
                            </w:r>
                            <w:r w:rsidRPr="009514C8">
                              <w:tab/>
                              <w:t>Percentage Distribution of Main Sources of Fish Fingerlings Reported by Households During 2019/20 Agricultural Year, Mainland Tanzania</w:t>
                            </w:r>
                            <w:bookmarkEnd w:id="782"/>
                            <w:bookmarkEnd w:id="783"/>
                            <w:bookmarkEnd w:id="784"/>
                            <w:bookmarkEnd w:id="785"/>
                          </w:p>
                          <w:p w14:paraId="30E3EB15" w14:textId="77777777" w:rsidR="00933456" w:rsidRPr="009514C8" w:rsidRDefault="00933456" w:rsidP="009514C8">
                            <w:pPr>
                              <w:pStyle w:val="Caption"/>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0A092C7" id="Text Box 287" o:spid="_x0000_s1118" type="#_x0000_t202" style="position:absolute;left:0;text-align:left;margin-left:-1.5pt;margin-top:.4pt;width:255.4pt;height:56.2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" stroked="f">
                <v:textbox inset="0,0,0,0">
                  <w:txbxContent>
                    <w:p w14:paraId="443142FE" w14:textId="18F077B9" w:rsidR="00933456" w:rsidRPr="009514C8" w:rsidRDefault="00933456" w:rsidP="009514C8">
                      <w:pPr>
                        <w:pStyle w:val="Caption"/>
                      </w:pPr>
                      <w:bookmarkStart w:id="1127" w:name="_Toc80120346"/>
                      <w:bookmarkStart w:id="1128" w:name="_Toc80884221"/>
                      <w:bookmarkStart w:id="1129" w:name="_Toc80884592"/>
                      <w:bookmarkStart w:id="1130" w:name="_Toc82386443"/>
                      <w:r w:rsidRPr="009514C8">
                        <w:t>Figure 4.71:</w:t>
                      </w:r>
                      <w:r w:rsidRPr="009514C8">
                        <w:tab/>
                        <w:t>Percentage Distribution of Main Sources of Fish Fingerlings Reported by Households During 2019/20 Agricultural Year, Mainland Tanzania</w:t>
                      </w:r>
                      <w:bookmarkEnd w:id="1127"/>
                      <w:bookmarkEnd w:id="1128"/>
                      <w:bookmarkEnd w:id="1129"/>
                      <w:bookmarkEnd w:id="1130"/>
                    </w:p>
                    <w:p w14:paraId="30E3EB15" w14:textId="77777777" w:rsidR="00933456" w:rsidRPr="009514C8" w:rsidRDefault="00933456" w:rsidP="009514C8">
                      <w:pPr>
                        <w:pStyle w:val="Caption"/>
                      </w:pPr>
                    </w:p>
                  </w:txbxContent>
                </v:textbox>
                <w10:wrap type="square"/>
              </v:shape>
            </w:pict>
          </mc:Fallback>
        </mc:AlternateContent>
      </w:r>
      <w:r w:rsidR="002E64CB">
        <w:rPr>
          <w:noProof/>
        </w:rPr>
        <w:drawing>
          <wp:anchor distT="0" distB="0" distL="114300" distR="114300" simplePos="0" relativeHeight="251594752" behindDoc="0" locked="0" layoutInCell="1" allowOverlap="1" wp14:anchorId="25EC207B" wp14:editId="3BF7609A">
            <wp:simplePos x="0" y="0"/>
            <wp:positionH relativeFrom="column">
              <wp:posOffset>3175</wp:posOffset>
            </wp:positionH>
            <wp:positionV relativeFrom="paragraph">
              <wp:posOffset>806450</wp:posOffset>
            </wp:positionV>
            <wp:extent cx="3172460" cy="2552065"/>
            <wp:effectExtent l="0" t="0" r="15240" b="13335"/>
            <wp:wrapSquare wrapText="bothSides"/>
            <wp:docPr id="286" name="Chart 286"/>
            <wp:cNvGraphicFramePr/>
            <a:graphic xmlns:a="http://schemas.openxmlformats.org/drawingml/2006/main">
              <a:graphicData uri="http://schemas.openxmlformats.org/drawingml/2006/chart">
                <c:chart xmlns:c="http://schemas.openxmlformats.org/drawingml/2006/chart" xmlns:r="http://schemas.openxmlformats.org/officeDocument/2006/relationships" r:id="rId338"/>
              </a:graphicData>
            </a:graphic>
            <wp14:sizeRelH relativeFrom="margin">
              <wp14:pctWidth>0</wp14:pctWidth>
            </wp14:sizeRelH>
            <wp14:sizeRelV relativeFrom="margin">
              <wp14:pctHeight>0</wp14:pctHeight>
            </wp14:sizeRelV>
          </wp:anchor>
        </w:drawing>
      </w:r>
      <w:r w:rsidR="002E64CB">
        <w:rPr>
          <w:noProof/>
        </w:rPr>
        <w:drawing>
          <wp:anchor distT="0" distB="0" distL="114300" distR="114300" simplePos="0" relativeHeight="251595776" behindDoc="0" locked="0" layoutInCell="1" allowOverlap="1" wp14:anchorId="51F0A76D" wp14:editId="43B373B0">
            <wp:simplePos x="0" y="0"/>
            <wp:positionH relativeFrom="column">
              <wp:posOffset>3224530</wp:posOffset>
            </wp:positionH>
            <wp:positionV relativeFrom="paragraph">
              <wp:posOffset>808990</wp:posOffset>
            </wp:positionV>
            <wp:extent cx="2960370" cy="2552065"/>
            <wp:effectExtent l="0" t="0" r="11430" b="13335"/>
            <wp:wrapSquare wrapText="bothSides"/>
            <wp:docPr id="283" name="Chart 283"/>
            <wp:cNvGraphicFramePr/>
            <a:graphic xmlns:a="http://schemas.openxmlformats.org/drawingml/2006/main">
              <a:graphicData uri="http://schemas.openxmlformats.org/drawingml/2006/chart">
                <c:chart xmlns:c="http://schemas.openxmlformats.org/drawingml/2006/chart" xmlns:r="http://schemas.openxmlformats.org/officeDocument/2006/relationships" r:id="rId339"/>
              </a:graphicData>
            </a:graphic>
            <wp14:sizeRelH relativeFrom="margin">
              <wp14:pctWidth>0</wp14:pctWidth>
            </wp14:sizeRelH>
            <wp14:sizeRelV relativeFrom="margin">
              <wp14:pctHeight>0</wp14:pctHeight>
            </wp14:sizeRelV>
          </wp:anchor>
        </w:drawing>
      </w:r>
    </w:p>
    <w:bookmarkStart w:id="786" w:name="_Toc82385778"/>
    <w:p w14:paraId="59ADBE51" w14:textId="72F0817D" w:rsidR="00D163D4" w:rsidRPr="006B42D6" w:rsidRDefault="007D4BEC" w:rsidP="005C2EFC">
      <w:pPr>
        <w:pStyle w:val="Heading3"/>
      </w:pPr>
      <w:r>
        <w:rPr>
          <w:noProof/>
        </w:rPr>
        <mc:AlternateContent>
          <mc:Choice Requires="wps">
            <w:drawing>
              <wp:anchor distT="0" distB="0" distL="114300" distR="114300" simplePos="0" relativeHeight="251600896" behindDoc="0" locked="0" layoutInCell="1" allowOverlap="1" wp14:anchorId="6398B73F" wp14:editId="2483B8A4">
                <wp:simplePos x="0" y="0"/>
                <wp:positionH relativeFrom="column">
                  <wp:posOffset>2490470</wp:posOffset>
                </wp:positionH>
                <wp:positionV relativeFrom="paragraph">
                  <wp:posOffset>101600</wp:posOffset>
                </wp:positionV>
                <wp:extent cx="3499485" cy="464820"/>
                <wp:effectExtent l="0" t="0" r="5715" b="5080"/>
                <wp:wrapSquare wrapText="bothSides"/>
                <wp:docPr id="363" name="Text Box 363"/>
                <wp:cNvGraphicFramePr/>
                <a:graphic xmlns:a="http://schemas.openxmlformats.org/drawingml/2006/main">
                  <a:graphicData uri="http://schemas.microsoft.com/office/word/2010/wordprocessingShape">
                    <wps:wsp>
                      <wps:cNvSpPr txBox="1"/>
                      <wps:spPr>
                        <a:xfrm>
                          <a:off x="0" y="0"/>
                          <a:ext cx="3499485" cy="464820"/>
                        </a:xfrm>
                        <a:prstGeom prst="rect">
                          <a:avLst/>
                        </a:prstGeom>
                        <a:solidFill>
                          <a:prstClr val="white"/>
                        </a:solidFill>
                        <a:ln>
                          <a:noFill/>
                        </a:ln>
                        <a:effectLst/>
                      </wps:spPr>
                      <wps:txbx>
                        <w:txbxContent>
                          <w:p w14:paraId="32BE522E" w14:textId="3272AD3E" w:rsidR="00933456" w:rsidRPr="004D3414" w:rsidRDefault="00933456" w:rsidP="00D163D4">
                            <w:pPr>
                              <w:pStyle w:val="Caption"/>
                              <w:rPr>
                                <w:b w:val="0"/>
                                <w:i/>
                                <w:noProof/>
                              </w:rPr>
                            </w:pPr>
                            <w:bookmarkStart w:id="787" w:name="_Toc80120347"/>
                            <w:bookmarkStart w:id="788" w:name="_Toc80884223"/>
                            <w:bookmarkStart w:id="789" w:name="_Toc80884594"/>
                            <w:bookmarkStart w:id="790" w:name="_Toc82386444"/>
                            <w:r w:rsidRPr="004D3414">
                              <w:rPr>
                                <w:noProof/>
                              </w:rPr>
                              <w:t>Figure 4.</w:t>
                            </w:r>
                            <w:r>
                              <w:rPr>
                                <w:noProof/>
                              </w:rPr>
                              <w:t>73:</w:t>
                            </w:r>
                            <w:r>
                              <w:rPr>
                                <w:noProof/>
                              </w:rPr>
                              <w:tab/>
                            </w:r>
                            <w:r w:rsidRPr="004D3414">
                              <w:rPr>
                                <w:noProof/>
                              </w:rPr>
                              <w:t>Percentage of Frequ</w:t>
                            </w:r>
                            <w:r>
                              <w:rPr>
                                <w:noProof/>
                              </w:rPr>
                              <w:t>e</w:t>
                            </w:r>
                            <w:r w:rsidRPr="004D3414">
                              <w:rPr>
                                <w:noProof/>
                              </w:rPr>
                              <w:t>ncy of Stocking Fingerling During 2019/20 Agricultural Year, Tanzania</w:t>
                            </w:r>
                            <w:bookmarkEnd w:id="787"/>
                            <w:bookmarkEnd w:id="788"/>
                            <w:bookmarkEnd w:id="789"/>
                            <w:bookmarkEnd w:id="790"/>
                          </w:p>
                          <w:p w14:paraId="4A63887A" w14:textId="77777777" w:rsidR="00933456" w:rsidRPr="004D3414" w:rsidRDefault="00933456" w:rsidP="00D163D4">
                            <w:pPr>
                              <w:pStyle w:val="Caption"/>
                              <w:rPr>
                                <w:b w:val="0"/>
                                <w:i/>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98B73F" id="Text Box 363" o:spid="_x0000_s1119" type="#_x0000_t202" style="position:absolute;left:0;text-align:left;margin-left:196.1pt;margin-top:8pt;width:275.55pt;height:36.6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" stroked="f">
                <v:textbox inset="0,0,0,0">
                  <w:txbxContent>
                    <w:p w14:paraId="32BE522E" w14:textId="3272AD3E" w:rsidR="00933456" w:rsidRPr="004D3414" w:rsidRDefault="00933456" w:rsidP="00D163D4">
                      <w:pPr>
                        <w:pStyle w:val="Caption"/>
                        <w:rPr>
                          <w:b w:val="0"/>
                          <w:i/>
                          <w:noProof/>
                        </w:rPr>
                      </w:pPr>
                      <w:bookmarkStart w:id="1136" w:name="_Toc80120347"/>
                      <w:bookmarkStart w:id="1137" w:name="_Toc80884223"/>
                      <w:bookmarkStart w:id="1138" w:name="_Toc80884594"/>
                      <w:bookmarkStart w:id="1139" w:name="_Toc82386444"/>
                      <w:r w:rsidRPr="004D3414">
                        <w:rPr>
                          <w:noProof/>
                        </w:rPr>
                        <w:t>Figure 4.</w:t>
                      </w:r>
                      <w:r>
                        <w:rPr>
                          <w:noProof/>
                        </w:rPr>
                        <w:t>73:</w:t>
                      </w:r>
                      <w:r>
                        <w:rPr>
                          <w:noProof/>
                        </w:rPr>
                        <w:tab/>
                      </w:r>
                      <w:r w:rsidRPr="004D3414">
                        <w:rPr>
                          <w:noProof/>
                        </w:rPr>
                        <w:t>Percentage of Frequ</w:t>
                      </w:r>
                      <w:r>
                        <w:rPr>
                          <w:noProof/>
                        </w:rPr>
                        <w:t>e</w:t>
                      </w:r>
                      <w:r w:rsidRPr="004D3414">
                        <w:rPr>
                          <w:noProof/>
                        </w:rPr>
                        <w:t>ncy of Stocking Fingerling During 2019/20 Agricultural Year, Tanzania</w:t>
                      </w:r>
                      <w:bookmarkEnd w:id="1136"/>
                      <w:bookmarkEnd w:id="1137"/>
                      <w:bookmarkEnd w:id="1138"/>
                      <w:bookmarkEnd w:id="1139"/>
                    </w:p>
                    <w:p w14:paraId="4A63887A" w14:textId="77777777" w:rsidR="00933456" w:rsidRPr="004D3414" w:rsidRDefault="00933456" w:rsidP="00D163D4">
                      <w:pPr>
                        <w:pStyle w:val="Caption"/>
                        <w:rPr>
                          <w:b w:val="0"/>
                          <w:i/>
                          <w:noProof/>
                        </w:rPr>
                      </w:pPr>
                    </w:p>
                  </w:txbxContent>
                </v:textbox>
                <w10:wrap type="square"/>
              </v:shape>
            </w:pict>
          </mc:Fallback>
        </mc:AlternateContent>
      </w:r>
      <w:r w:rsidR="00E01116" w:rsidRPr="006B42D6">
        <w:t>4</w:t>
      </w:r>
      <w:r w:rsidR="00D163D4" w:rsidRPr="006B42D6">
        <w:t>.</w:t>
      </w:r>
      <w:r w:rsidR="00022347">
        <w:t>7</w:t>
      </w:r>
      <w:r w:rsidR="00D163D4" w:rsidRPr="006B42D6">
        <w:t>.</w:t>
      </w:r>
      <w:r w:rsidR="00224B51">
        <w:t>4</w:t>
      </w:r>
      <w:r w:rsidR="0000655E" w:rsidRPr="006B42D6">
        <w:tab/>
      </w:r>
      <w:r w:rsidR="00D163D4" w:rsidRPr="006B42D6">
        <w:t xml:space="preserve">Frequencies of </w:t>
      </w:r>
      <w:r w:rsidR="00114D61">
        <w:t>F</w:t>
      </w:r>
      <w:r w:rsidR="00B53022" w:rsidRPr="006B42D6">
        <w:t xml:space="preserve">ish </w:t>
      </w:r>
      <w:r w:rsidR="00114D61">
        <w:t>S</w:t>
      </w:r>
      <w:r w:rsidR="00D163D4" w:rsidRPr="006B42D6">
        <w:t>tocking</w:t>
      </w:r>
      <w:bookmarkEnd w:id="786"/>
      <w:r w:rsidR="00D163D4" w:rsidRPr="006B42D6">
        <w:t xml:space="preserve"> </w:t>
      </w:r>
    </w:p>
    <w:p w14:paraId="796B0A01" w14:textId="01477AF9" w:rsidR="00D163D4" w:rsidRPr="006B42D6" w:rsidRDefault="00E329DC" w:rsidP="005C2EFC">
      <w:r>
        <w:rPr>
          <w:noProof/>
        </w:rPr>
        <w:drawing>
          <wp:anchor distT="0" distB="0" distL="114300" distR="114300" simplePos="0" relativeHeight="251731968" behindDoc="1" locked="0" layoutInCell="1" allowOverlap="1" wp14:anchorId="6BC6CFF4" wp14:editId="4D789E62">
            <wp:simplePos x="0" y="0"/>
            <wp:positionH relativeFrom="column">
              <wp:posOffset>2419985</wp:posOffset>
            </wp:positionH>
            <wp:positionV relativeFrom="paragraph">
              <wp:posOffset>264795</wp:posOffset>
            </wp:positionV>
            <wp:extent cx="3326130" cy="2277745"/>
            <wp:effectExtent l="0" t="0" r="13970" b="8255"/>
            <wp:wrapTight wrapText="bothSides">
              <wp:wrapPolygon edited="0">
                <wp:start x="0" y="0"/>
                <wp:lineTo x="0" y="21558"/>
                <wp:lineTo x="21608" y="21558"/>
                <wp:lineTo x="21608" y="0"/>
                <wp:lineTo x="0" y="0"/>
              </wp:wrapPolygon>
            </wp:wrapTight>
            <wp:docPr id="472" name="Chart 472">
              <a:extLst xmlns:a="http://schemas.openxmlformats.org/drawingml/2006/main">
                <a:ext uri="{FF2B5EF4-FFF2-40B4-BE49-F238E27FC236}">
                  <a16:creationId xmlns:a16="http://schemas.microsoft.com/office/drawing/2014/main" id="{44F717A9-1EBB-6B4E-9B46-036D93DCDB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0"/>
              </a:graphicData>
            </a:graphic>
            <wp14:sizeRelH relativeFrom="page">
              <wp14:pctWidth>0</wp14:pctWidth>
            </wp14:sizeRelH>
            <wp14:sizeRelV relativeFrom="page">
              <wp14:pctHeight>0</wp14:pctHeight>
            </wp14:sizeRelV>
          </wp:anchor>
        </w:drawing>
      </w:r>
      <w:r w:rsidR="000721D8" w:rsidRPr="006B42D6">
        <w:t>During 2019/20 agricultural year, m</w:t>
      </w:r>
      <w:r w:rsidR="00D163D4" w:rsidRPr="006B42D6">
        <w:t>ost of the fish farming households in Tanzania (64.</w:t>
      </w:r>
      <w:r w:rsidR="007D4BEC">
        <w:t>7</w:t>
      </w:r>
      <w:r w:rsidR="00D163D4" w:rsidRPr="006B42D6">
        <w:t xml:space="preserve"> percent) were reported to stock fish fingerlings in their ponds once per year. </w:t>
      </w:r>
      <w:r w:rsidR="00B53022" w:rsidRPr="006B42D6">
        <w:t>The</w:t>
      </w:r>
      <w:r w:rsidR="000721D8" w:rsidRPr="006B42D6">
        <w:t>re were other</w:t>
      </w:r>
      <w:r w:rsidR="00B53022" w:rsidRPr="006B42D6">
        <w:t xml:space="preserve"> households </w:t>
      </w:r>
      <w:r w:rsidR="00D163D4" w:rsidRPr="006B42D6">
        <w:t>that stocked</w:t>
      </w:r>
      <w:r w:rsidR="00B53022" w:rsidRPr="006B42D6">
        <w:t xml:space="preserve"> fish fingerings</w:t>
      </w:r>
      <w:r w:rsidR="00D163D4" w:rsidRPr="006B42D6">
        <w:t xml:space="preserve"> twice per year </w:t>
      </w:r>
      <w:r w:rsidR="000721D8" w:rsidRPr="006B42D6">
        <w:t>(17.</w:t>
      </w:r>
      <w:r w:rsidR="007D4BEC">
        <w:t>9</w:t>
      </w:r>
      <w:r w:rsidR="00D163D4" w:rsidRPr="006B42D6">
        <w:t xml:space="preserve"> </w:t>
      </w:r>
      <w:r w:rsidR="000721D8" w:rsidRPr="006B42D6">
        <w:t>percent)</w:t>
      </w:r>
      <w:r w:rsidR="004D3414" w:rsidRPr="006B42D6">
        <w:t>,</w:t>
      </w:r>
      <w:r w:rsidR="000721D8" w:rsidRPr="006B42D6">
        <w:t xml:space="preserve"> three times per year (</w:t>
      </w:r>
      <w:r w:rsidR="00D163D4" w:rsidRPr="006B42D6">
        <w:t xml:space="preserve">12.1 </w:t>
      </w:r>
      <w:r w:rsidR="000721D8" w:rsidRPr="006B42D6">
        <w:t>percent) and more than three times (</w:t>
      </w:r>
      <w:r w:rsidR="00D163D4" w:rsidRPr="006B42D6">
        <w:t>5.</w:t>
      </w:r>
      <w:r w:rsidR="007D4BEC">
        <w:t>3</w:t>
      </w:r>
      <w:r w:rsidR="00D163D4" w:rsidRPr="006B42D6">
        <w:t xml:space="preserve"> percent</w:t>
      </w:r>
      <w:r w:rsidR="000721D8" w:rsidRPr="006B42D6">
        <w:t>)</w:t>
      </w:r>
      <w:r w:rsidR="00D163D4" w:rsidRPr="006B42D6">
        <w:t xml:space="preserve"> </w:t>
      </w:r>
      <w:r w:rsidR="00885C94" w:rsidRPr="006B42D6">
        <w:t>(Figure 4.</w:t>
      </w:r>
      <w:r>
        <w:t>73</w:t>
      </w:r>
      <w:r w:rsidR="00885C94" w:rsidRPr="006B42D6">
        <w:t>)</w:t>
      </w:r>
      <w:r w:rsidR="00D163D4" w:rsidRPr="006B42D6">
        <w:t xml:space="preserve">. </w:t>
      </w:r>
    </w:p>
    <w:p w14:paraId="324A42F2" w14:textId="0E7E362D" w:rsidR="00885C94" w:rsidRPr="006B42D6" w:rsidRDefault="00885C94" w:rsidP="00A56532">
      <w:pPr>
        <w:spacing w:line="240" w:lineRule="auto"/>
      </w:pPr>
    </w:p>
    <w:p w14:paraId="15585FA7" w14:textId="1E3B87B1" w:rsidR="00A56532" w:rsidRPr="006B42D6" w:rsidRDefault="00D163D4" w:rsidP="00A56532">
      <w:r w:rsidRPr="006B42D6">
        <w:t xml:space="preserve">In </w:t>
      </w:r>
      <w:r w:rsidR="00EA1552">
        <w:t>Mainland Tanzania</w:t>
      </w:r>
      <w:r w:rsidRPr="006B42D6">
        <w:t>, majority of households (65.</w:t>
      </w:r>
      <w:r w:rsidR="00533C81">
        <w:t>8</w:t>
      </w:r>
      <w:r w:rsidRPr="006B42D6">
        <w:t xml:space="preserve"> percent) stocked fingerlings in their ponds once per year. Those who stocked twice per year were 18.1 percent</w:t>
      </w:r>
      <w:r w:rsidR="0021592E" w:rsidRPr="006B42D6">
        <w:t>,</w:t>
      </w:r>
      <w:r w:rsidRPr="006B42D6">
        <w:t xml:space="preserve"> while 11.3 percent stocked three times per year and 4.</w:t>
      </w:r>
      <w:r w:rsidR="00533C81">
        <w:t>8</w:t>
      </w:r>
      <w:r w:rsidRPr="006B42D6">
        <w:t xml:space="preserve"> percent stocked more than three times.</w:t>
      </w:r>
      <w:r w:rsidR="00A56532">
        <w:t xml:space="preserve"> The </w:t>
      </w:r>
      <w:r w:rsidR="00A56532" w:rsidRPr="006B42D6">
        <w:t>situation was different in Tanzania Zanzibar, where most of households (61.3 percent) stocked fingerlings in their ponds three times per year and 38.</w:t>
      </w:r>
      <w:r w:rsidR="00A56532">
        <w:t>7</w:t>
      </w:r>
      <w:r w:rsidR="00A56532" w:rsidRPr="006B42D6">
        <w:t xml:space="preserve"> percent stocked five times (Figure 4.7</w:t>
      </w:r>
      <w:r w:rsidR="00C53873">
        <w:t>4</w:t>
      </w:r>
      <w:r w:rsidR="00A56532" w:rsidRPr="006B42D6">
        <w:t xml:space="preserve"> &amp; 4.7</w:t>
      </w:r>
      <w:r w:rsidR="00C53873">
        <w:t>5</w:t>
      </w:r>
      <w:r w:rsidR="00A56532" w:rsidRPr="006B42D6">
        <w:t>).</w:t>
      </w:r>
    </w:p>
    <w:p w14:paraId="34C08B6D" w14:textId="2760FD74" w:rsidR="0003283E" w:rsidRDefault="0003283E">
      <w:pPr>
        <w:spacing w:line="240" w:lineRule="auto"/>
        <w:contextualSpacing w:val="0"/>
        <w:jc w:val="left"/>
      </w:pPr>
      <w:r>
        <w:br w:type="page"/>
      </w:r>
    </w:p>
    <w:p w14:paraId="4BFF7089" w14:textId="2F0AE1C6" w:rsidR="00D163D4" w:rsidRDefault="008D15E1" w:rsidP="005C2EFC">
      <w:r>
        <w:rPr>
          <w:noProof/>
        </w:rPr>
        <w:lastRenderedPageBreak/>
        <w:drawing>
          <wp:anchor distT="0" distB="0" distL="114300" distR="114300" simplePos="0" relativeHeight="251717632" behindDoc="0" locked="0" layoutInCell="1" allowOverlap="1" wp14:anchorId="10513750" wp14:editId="3C55972F">
            <wp:simplePos x="0" y="0"/>
            <wp:positionH relativeFrom="column">
              <wp:posOffset>3076575</wp:posOffset>
            </wp:positionH>
            <wp:positionV relativeFrom="paragraph">
              <wp:posOffset>1850390</wp:posOffset>
            </wp:positionV>
            <wp:extent cx="2904490" cy="2339975"/>
            <wp:effectExtent l="0" t="0" r="16510" b="9525"/>
            <wp:wrapTight wrapText="bothSides">
              <wp:wrapPolygon edited="0">
                <wp:start x="0" y="0"/>
                <wp:lineTo x="0" y="21571"/>
                <wp:lineTo x="21628" y="21571"/>
                <wp:lineTo x="21628" y="0"/>
                <wp:lineTo x="0" y="0"/>
              </wp:wrapPolygon>
            </wp:wrapTight>
            <wp:docPr id="19" name="Chart 19">
              <a:extLst xmlns:a="http://schemas.openxmlformats.org/drawingml/2006/main">
                <a:ext uri="{FF2B5EF4-FFF2-40B4-BE49-F238E27FC236}">
                  <a16:creationId xmlns:a16="http://schemas.microsoft.com/office/drawing/2014/main" id="{E66DC034-A485-804F-92E3-5AC5EA416BA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1"/>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2992" behindDoc="1" locked="0" layoutInCell="1" allowOverlap="1" wp14:anchorId="2B8C4548" wp14:editId="4F53E4C3">
            <wp:simplePos x="0" y="0"/>
            <wp:positionH relativeFrom="column">
              <wp:posOffset>-22225</wp:posOffset>
            </wp:positionH>
            <wp:positionV relativeFrom="paragraph">
              <wp:posOffset>1850390</wp:posOffset>
            </wp:positionV>
            <wp:extent cx="3098800" cy="2339975"/>
            <wp:effectExtent l="0" t="0" r="12700" b="9525"/>
            <wp:wrapTight wrapText="bothSides">
              <wp:wrapPolygon edited="0">
                <wp:start x="0" y="0"/>
                <wp:lineTo x="0" y="21571"/>
                <wp:lineTo x="21600" y="21571"/>
                <wp:lineTo x="21600" y="0"/>
                <wp:lineTo x="0" y="0"/>
              </wp:wrapPolygon>
            </wp:wrapTight>
            <wp:docPr id="20" name="Chart 20">
              <a:extLst xmlns:a="http://schemas.openxmlformats.org/drawingml/2006/main">
                <a:ext uri="{FF2B5EF4-FFF2-40B4-BE49-F238E27FC236}">
                  <a16:creationId xmlns:a16="http://schemas.microsoft.com/office/drawing/2014/main" id="{ECEDBC4C-2487-5245-97B5-F6A466CC87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2"/>
              </a:graphicData>
            </a:graphic>
            <wp14:sizeRelH relativeFrom="page">
              <wp14:pctWidth>0</wp14:pctWidth>
            </wp14:sizeRelH>
            <wp14:sizeRelV relativeFrom="page">
              <wp14:pctHeight>0</wp14:pctHeight>
            </wp14:sizeRelV>
          </wp:anchor>
        </w:drawing>
      </w:r>
      <w:r w:rsidR="00D163D4" w:rsidRPr="006B42D6">
        <w:t>According to the 2019/20 NSCA results, the number of households that stocked fingerlings once per year had decreased from 68 percent in 2007/08 to 64.6 percent in 2019/20 agricultural year, while those who stocked fingerling</w:t>
      </w:r>
      <w:r w:rsidR="0003283E">
        <w:t>s</w:t>
      </w:r>
      <w:r w:rsidR="00D163D4" w:rsidRPr="006B42D6">
        <w:t xml:space="preserve"> more than three times had increased from 0.1 percent in 2007/08 to 5.</w:t>
      </w:r>
      <w:r w:rsidR="009514C8">
        <w:t>3</w:t>
      </w:r>
      <w:r w:rsidR="00A56532">
        <w:t xml:space="preserve"> </w:t>
      </w:r>
      <w:r w:rsidR="00D163D4" w:rsidRPr="006B42D6">
        <w:t xml:space="preserve">percent in 2019/20 agricultural year. </w:t>
      </w:r>
    </w:p>
    <w:p w14:paraId="24EF8100" w14:textId="4CCA0FE9" w:rsidR="002E64CB" w:rsidRPr="006B42D6" w:rsidRDefault="00C53873" w:rsidP="005C2EFC">
      <w:r>
        <w:rPr>
          <w:noProof/>
        </w:rPr>
        <mc:AlternateContent>
          <mc:Choice Requires="wps">
            <w:drawing>
              <wp:anchor distT="0" distB="0" distL="114300" distR="114300" simplePos="0" relativeHeight="251597824" behindDoc="0" locked="0" layoutInCell="1" allowOverlap="1" wp14:anchorId="2DA874EA" wp14:editId="5F8BD5F7">
                <wp:simplePos x="0" y="0"/>
                <wp:positionH relativeFrom="margin">
                  <wp:posOffset>-19050</wp:posOffset>
                </wp:positionH>
                <wp:positionV relativeFrom="paragraph">
                  <wp:posOffset>188595</wp:posOffset>
                </wp:positionV>
                <wp:extent cx="3168650" cy="548640"/>
                <wp:effectExtent l="0" t="0" r="6350" b="0"/>
                <wp:wrapSquare wrapText="bothSides"/>
                <wp:docPr id="365" name="Text Box 365"/>
                <wp:cNvGraphicFramePr/>
                <a:graphic xmlns:a="http://schemas.openxmlformats.org/drawingml/2006/main">
                  <a:graphicData uri="http://schemas.microsoft.com/office/word/2010/wordprocessingShape">
                    <wps:wsp>
                      <wps:cNvSpPr txBox="1"/>
                      <wps:spPr>
                        <a:xfrm>
                          <a:off x="0" y="0"/>
                          <a:ext cx="3168650" cy="548640"/>
                        </a:xfrm>
                        <a:prstGeom prst="rect">
                          <a:avLst/>
                        </a:prstGeom>
                        <a:solidFill>
                          <a:prstClr val="white"/>
                        </a:solidFill>
                        <a:ln>
                          <a:noFill/>
                        </a:ln>
                        <a:effectLst/>
                      </wps:spPr>
                      <wps:txbx>
                        <w:txbxContent>
                          <w:p w14:paraId="67777B06" w14:textId="033D64AC" w:rsidR="00933456" w:rsidRPr="005F752F" w:rsidRDefault="00933456" w:rsidP="0087186A">
                            <w:pPr>
                              <w:pStyle w:val="Caption"/>
                              <w:rPr>
                                <w:b w:val="0"/>
                                <w:i/>
                                <w:szCs w:val="16"/>
                              </w:rPr>
                            </w:pPr>
                            <w:bookmarkStart w:id="791" w:name="_Toc80120349"/>
                            <w:bookmarkStart w:id="792" w:name="_Toc80884225"/>
                            <w:bookmarkStart w:id="793" w:name="_Toc80884596"/>
                            <w:bookmarkStart w:id="794" w:name="_Toc82386445"/>
                            <w:r w:rsidRPr="005F752F">
                              <w:rPr>
                                <w:szCs w:val="16"/>
                              </w:rPr>
                              <w:t>Figure 4.7</w:t>
                            </w:r>
                            <w:r>
                              <w:rPr>
                                <w:szCs w:val="16"/>
                              </w:rPr>
                              <w:t>4</w:t>
                            </w:r>
                            <w:r w:rsidRPr="005F752F">
                              <w:rPr>
                                <w:szCs w:val="16"/>
                              </w:rPr>
                              <w:t>:</w:t>
                            </w:r>
                            <w:r>
                              <w:rPr>
                                <w:szCs w:val="16"/>
                              </w:rPr>
                              <w:tab/>
                            </w:r>
                            <w:r w:rsidRPr="005F752F">
                              <w:rPr>
                                <w:szCs w:val="16"/>
                              </w:rPr>
                              <w:t xml:space="preserve">Percentage Distribution of Frequency of Stocking Fingerlings During 2019/20 Agricultural Year, </w:t>
                            </w:r>
                            <w:r>
                              <w:rPr>
                                <w:szCs w:val="16"/>
                              </w:rPr>
                              <w:t>Mainland Tanzania</w:t>
                            </w:r>
                            <w:bookmarkEnd w:id="791"/>
                            <w:bookmarkEnd w:id="792"/>
                            <w:bookmarkEnd w:id="793"/>
                            <w:bookmarkEnd w:id="794"/>
                          </w:p>
                          <w:p w14:paraId="6DB772B0" w14:textId="77777777" w:rsidR="00933456" w:rsidRPr="005F752F" w:rsidRDefault="00933456" w:rsidP="00D163D4">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A874EA" id="Text Box 365" o:spid="_x0000_s1120" type="#_x0000_t202" style="position:absolute;left:0;text-align:left;margin-left:-1.5pt;margin-top:14.85pt;width:249.5pt;height:43.2pt;z-index:251597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" stroked="f">
                <v:textbox inset="0,0,0,0">
                  <w:txbxContent>
                    <w:p w14:paraId="67777B06" w14:textId="033D64AC" w:rsidR="00933456" w:rsidRPr="005F752F" w:rsidRDefault="00933456" w:rsidP="0087186A">
                      <w:pPr>
                        <w:pStyle w:val="Caption"/>
                        <w:rPr>
                          <w:b w:val="0"/>
                          <w:i/>
                          <w:szCs w:val="16"/>
                        </w:rPr>
                      </w:pPr>
                      <w:bookmarkStart w:id="1144" w:name="_Toc80120349"/>
                      <w:bookmarkStart w:id="1145" w:name="_Toc80884225"/>
                      <w:bookmarkStart w:id="1146" w:name="_Toc80884596"/>
                      <w:bookmarkStart w:id="1147" w:name="_Toc82386445"/>
                      <w:r w:rsidRPr="005F752F">
                        <w:rPr>
                          <w:szCs w:val="16"/>
                        </w:rPr>
                        <w:t>Figure 4.7</w:t>
                      </w:r>
                      <w:r>
                        <w:rPr>
                          <w:szCs w:val="16"/>
                        </w:rPr>
                        <w:t>4</w:t>
                      </w:r>
                      <w:r w:rsidRPr="005F752F">
                        <w:rPr>
                          <w:szCs w:val="16"/>
                        </w:rPr>
                        <w:t>:</w:t>
                      </w:r>
                      <w:r>
                        <w:rPr>
                          <w:szCs w:val="16"/>
                        </w:rPr>
                        <w:tab/>
                      </w:r>
                      <w:r w:rsidRPr="005F752F">
                        <w:rPr>
                          <w:szCs w:val="16"/>
                        </w:rPr>
                        <w:t xml:space="preserve">Percentage Distribution of Frequency of Stocking Fingerlings During 2019/20 Agricultural Year, </w:t>
                      </w:r>
                      <w:r>
                        <w:rPr>
                          <w:szCs w:val="16"/>
                        </w:rPr>
                        <w:t>Mainland Tanzania</w:t>
                      </w:r>
                      <w:bookmarkEnd w:id="1144"/>
                      <w:bookmarkEnd w:id="1145"/>
                      <w:bookmarkEnd w:id="1146"/>
                      <w:bookmarkEnd w:id="1147"/>
                    </w:p>
                    <w:p w14:paraId="6DB772B0" w14:textId="77777777" w:rsidR="00933456" w:rsidRPr="005F752F" w:rsidRDefault="00933456" w:rsidP="00D163D4">
                      <w:pPr>
                        <w:pStyle w:val="Caption"/>
                        <w:rPr>
                          <w:noProof/>
                        </w:rPr>
                      </w:pPr>
                    </w:p>
                  </w:txbxContent>
                </v:textbox>
                <w10:wrap type="square" anchorx="margin"/>
              </v:shape>
            </w:pict>
          </mc:Fallback>
        </mc:AlternateContent>
      </w:r>
      <w:r w:rsidR="002E64CB">
        <w:rPr>
          <w:noProof/>
        </w:rPr>
        <mc:AlternateContent>
          <mc:Choice Requires="wps">
            <w:drawing>
              <wp:anchor distT="0" distB="0" distL="114300" distR="114300" simplePos="0" relativeHeight="251591680" behindDoc="0" locked="0" layoutInCell="1" allowOverlap="1" wp14:anchorId="3774CF81" wp14:editId="330BAE55">
                <wp:simplePos x="0" y="0"/>
                <wp:positionH relativeFrom="column">
                  <wp:posOffset>3262958</wp:posOffset>
                </wp:positionH>
                <wp:positionV relativeFrom="paragraph">
                  <wp:posOffset>135320</wp:posOffset>
                </wp:positionV>
                <wp:extent cx="2860675" cy="603885"/>
                <wp:effectExtent l="0" t="0" r="0" b="5715"/>
                <wp:wrapSquare wrapText="bothSides"/>
                <wp:docPr id="370" name="Text Box 370"/>
                <wp:cNvGraphicFramePr/>
                <a:graphic xmlns:a="http://schemas.openxmlformats.org/drawingml/2006/main">
                  <a:graphicData uri="http://schemas.microsoft.com/office/word/2010/wordprocessingShape">
                    <wps:wsp>
                      <wps:cNvSpPr txBox="1"/>
                      <wps:spPr>
                        <a:xfrm>
                          <a:off x="0" y="0"/>
                          <a:ext cx="2860675" cy="603885"/>
                        </a:xfrm>
                        <a:prstGeom prst="rect">
                          <a:avLst/>
                        </a:prstGeom>
                        <a:solidFill>
                          <a:prstClr val="white"/>
                        </a:solidFill>
                        <a:ln>
                          <a:noFill/>
                        </a:ln>
                        <a:effectLst/>
                      </wps:spPr>
                      <wps:txbx>
                        <w:txbxContent>
                          <w:p w14:paraId="31B7BE27" w14:textId="27E14B47" w:rsidR="00933456" w:rsidRPr="005F752F" w:rsidRDefault="00933456" w:rsidP="0087186A">
                            <w:pPr>
                              <w:pStyle w:val="Caption"/>
                              <w:rPr>
                                <w:b w:val="0"/>
                                <w:i/>
                                <w:szCs w:val="16"/>
                              </w:rPr>
                            </w:pPr>
                            <w:bookmarkStart w:id="795" w:name="_Toc80120348"/>
                            <w:bookmarkStart w:id="796" w:name="_Toc80884224"/>
                            <w:bookmarkStart w:id="797" w:name="_Toc80884595"/>
                            <w:bookmarkStart w:id="798" w:name="_Toc82386446"/>
                            <w:r w:rsidRPr="005F752F">
                              <w:rPr>
                                <w:szCs w:val="16"/>
                              </w:rPr>
                              <w:t>Figure 4.7</w:t>
                            </w:r>
                            <w:r>
                              <w:rPr>
                                <w:szCs w:val="16"/>
                              </w:rPr>
                              <w:t>5</w:t>
                            </w:r>
                            <w:r w:rsidRPr="005F752F">
                              <w:rPr>
                                <w:szCs w:val="16"/>
                              </w:rPr>
                              <w:t>:</w:t>
                            </w:r>
                            <w:r>
                              <w:rPr>
                                <w:szCs w:val="16"/>
                              </w:rPr>
                              <w:tab/>
                            </w:r>
                            <w:r w:rsidRPr="005F752F">
                              <w:rPr>
                                <w:szCs w:val="16"/>
                              </w:rPr>
                              <w:t>Percentage Distribution of Frequency of Stocking Fingerlings During 2019/20 Agricultural Year, Tanzania Zanzibar</w:t>
                            </w:r>
                            <w:bookmarkEnd w:id="795"/>
                            <w:bookmarkEnd w:id="796"/>
                            <w:bookmarkEnd w:id="797"/>
                            <w:bookmarkEnd w:id="798"/>
                          </w:p>
                          <w:p w14:paraId="7106AD84" w14:textId="77777777" w:rsidR="00933456" w:rsidRPr="005F752F" w:rsidRDefault="00933456" w:rsidP="00CA73E8">
                            <w:pPr>
                              <w:pStyle w:val="Caption"/>
                              <w:jc w:val="cente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74CF81" id="Text Box 370" o:spid="_x0000_s1121" type="#_x0000_t202" style="position:absolute;left:0;text-align:left;margin-left:256.95pt;margin-top:10.65pt;width:225.25pt;height:47.5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" stroked="f">
                <v:textbox inset="0,0,0,0">
                  <w:txbxContent>
                    <w:p w14:paraId="31B7BE27" w14:textId="27E14B47" w:rsidR="00933456" w:rsidRPr="005F752F" w:rsidRDefault="00933456" w:rsidP="0087186A">
                      <w:pPr>
                        <w:pStyle w:val="Caption"/>
                        <w:rPr>
                          <w:b w:val="0"/>
                          <w:i/>
                          <w:szCs w:val="16"/>
                        </w:rPr>
                      </w:pPr>
                      <w:bookmarkStart w:id="1152" w:name="_Toc80120348"/>
                      <w:bookmarkStart w:id="1153" w:name="_Toc80884224"/>
                      <w:bookmarkStart w:id="1154" w:name="_Toc80884595"/>
                      <w:bookmarkStart w:id="1155" w:name="_Toc82386446"/>
                      <w:r w:rsidRPr="005F752F">
                        <w:rPr>
                          <w:szCs w:val="16"/>
                        </w:rPr>
                        <w:t>Figure 4.7</w:t>
                      </w:r>
                      <w:r>
                        <w:rPr>
                          <w:szCs w:val="16"/>
                        </w:rPr>
                        <w:t>5</w:t>
                      </w:r>
                      <w:r w:rsidRPr="005F752F">
                        <w:rPr>
                          <w:szCs w:val="16"/>
                        </w:rPr>
                        <w:t>:</w:t>
                      </w:r>
                      <w:r>
                        <w:rPr>
                          <w:szCs w:val="16"/>
                        </w:rPr>
                        <w:tab/>
                      </w:r>
                      <w:r w:rsidRPr="005F752F">
                        <w:rPr>
                          <w:szCs w:val="16"/>
                        </w:rPr>
                        <w:t>Percentage Distribution of Frequency of Stocking Fingerlings During 2019/20 Agricultural Year, Tanzania Zanzibar</w:t>
                      </w:r>
                      <w:bookmarkEnd w:id="1152"/>
                      <w:bookmarkEnd w:id="1153"/>
                      <w:bookmarkEnd w:id="1154"/>
                      <w:bookmarkEnd w:id="1155"/>
                    </w:p>
                    <w:p w14:paraId="7106AD84" w14:textId="77777777" w:rsidR="00933456" w:rsidRPr="005F752F" w:rsidRDefault="00933456" w:rsidP="00CA73E8">
                      <w:pPr>
                        <w:pStyle w:val="Caption"/>
                        <w:jc w:val="center"/>
                        <w:rPr>
                          <w:noProof/>
                        </w:rPr>
                      </w:pPr>
                    </w:p>
                  </w:txbxContent>
                </v:textbox>
                <w10:wrap type="square"/>
              </v:shape>
            </w:pict>
          </mc:Fallback>
        </mc:AlternateContent>
      </w:r>
    </w:p>
    <w:p w14:paraId="550316DB" w14:textId="6401A0FA" w:rsidR="00A56532" w:rsidRPr="006B42D6" w:rsidRDefault="00A56532" w:rsidP="005C2EFC"/>
    <w:p w14:paraId="3F3C3910" w14:textId="3A870186" w:rsidR="00D163D4" w:rsidRPr="006B42D6" w:rsidRDefault="00E01116" w:rsidP="005C2EFC">
      <w:pPr>
        <w:pStyle w:val="Heading3"/>
      </w:pPr>
      <w:bookmarkStart w:id="799" w:name="_Toc82385779"/>
      <w:r w:rsidRPr="006B42D6">
        <w:t>4</w:t>
      </w:r>
      <w:r w:rsidR="00D163D4" w:rsidRPr="006B42D6">
        <w:t>.</w:t>
      </w:r>
      <w:r w:rsidR="00022347">
        <w:t>7</w:t>
      </w:r>
      <w:r w:rsidR="00D163D4" w:rsidRPr="006B42D6">
        <w:t>.</w:t>
      </w:r>
      <w:r w:rsidR="00224B51">
        <w:t>5</w:t>
      </w:r>
      <w:r w:rsidR="0000655E" w:rsidRPr="006B42D6">
        <w:tab/>
      </w:r>
      <w:r w:rsidR="00D163D4" w:rsidRPr="006B42D6">
        <w:t xml:space="preserve">Outlets for </w:t>
      </w:r>
      <w:r w:rsidR="0087186A" w:rsidRPr="006B42D6">
        <w:t xml:space="preserve">Selling </w:t>
      </w:r>
      <w:r w:rsidR="005F5775" w:rsidRPr="006B42D6">
        <w:t>Fish</w:t>
      </w:r>
      <w:bookmarkEnd w:id="799"/>
      <w:r w:rsidR="005F5775" w:rsidRPr="006B42D6">
        <w:t xml:space="preserve"> </w:t>
      </w:r>
    </w:p>
    <w:p w14:paraId="0465FC00" w14:textId="37F4DEAC" w:rsidR="00D163D4" w:rsidRPr="006B42D6" w:rsidRDefault="0003283E" w:rsidP="005C2EFC">
      <w:r>
        <w:rPr>
          <w:noProof/>
        </w:rPr>
        <mc:AlternateContent>
          <mc:Choice Requires="wps">
            <w:drawing>
              <wp:anchor distT="0" distB="0" distL="114300" distR="114300" simplePos="0" relativeHeight="251759616" behindDoc="1" locked="0" layoutInCell="1" allowOverlap="1" wp14:anchorId="208BEFC3" wp14:editId="7B49EB08">
                <wp:simplePos x="0" y="0"/>
                <wp:positionH relativeFrom="column">
                  <wp:posOffset>2717428</wp:posOffset>
                </wp:positionH>
                <wp:positionV relativeFrom="page">
                  <wp:posOffset>5996940</wp:posOffset>
                </wp:positionV>
                <wp:extent cx="3331210" cy="492760"/>
                <wp:effectExtent l="0" t="0" r="0" b="2540"/>
                <wp:wrapTight wrapText="bothSides">
                  <wp:wrapPolygon edited="0">
                    <wp:start x="0" y="0"/>
                    <wp:lineTo x="0" y="21155"/>
                    <wp:lineTo x="21493" y="21155"/>
                    <wp:lineTo x="21493" y="0"/>
                    <wp:lineTo x="0" y="0"/>
                  </wp:wrapPolygon>
                </wp:wrapTight>
                <wp:docPr id="373" name="Text Box 373"/>
                <wp:cNvGraphicFramePr/>
                <a:graphic xmlns:a="http://schemas.openxmlformats.org/drawingml/2006/main">
                  <a:graphicData uri="http://schemas.microsoft.com/office/word/2010/wordprocessingShape">
                    <wps:wsp>
                      <wps:cNvSpPr txBox="1"/>
                      <wps:spPr>
                        <a:xfrm>
                          <a:off x="0" y="0"/>
                          <a:ext cx="3331210" cy="492760"/>
                        </a:xfrm>
                        <a:prstGeom prst="rect">
                          <a:avLst/>
                        </a:prstGeom>
                        <a:solidFill>
                          <a:prstClr val="white"/>
                        </a:solidFill>
                        <a:ln>
                          <a:noFill/>
                        </a:ln>
                        <a:effectLst/>
                      </wps:spPr>
                      <wps:txbx>
                        <w:txbxContent>
                          <w:p w14:paraId="39CF7047" w14:textId="35D4DA9C" w:rsidR="00933456" w:rsidRPr="00AC227B" w:rsidRDefault="00933456" w:rsidP="00AC227B">
                            <w:pPr>
                              <w:pStyle w:val="Caption"/>
                            </w:pPr>
                            <w:bookmarkStart w:id="800" w:name="_Toc80120350"/>
                            <w:bookmarkStart w:id="801" w:name="_Toc80884226"/>
                            <w:bookmarkStart w:id="802" w:name="_Toc80884597"/>
                            <w:bookmarkStart w:id="803" w:name="_Toc82386447"/>
                            <w:r w:rsidRPr="00AC227B">
                              <w:t>Figure 4.7</w:t>
                            </w:r>
                            <w:r>
                              <w:t>6</w:t>
                            </w:r>
                            <w:r w:rsidRPr="00AC227B">
                              <w:t>:</w:t>
                            </w:r>
                            <w:r>
                              <w:tab/>
                            </w:r>
                            <w:r w:rsidRPr="00AC227B">
                              <w:t>Percentage Distribution of Households Reported Outlets for Selling Fish During 2019/20 Agricultural Year, Tanzania</w:t>
                            </w:r>
                            <w:bookmarkEnd w:id="800"/>
                            <w:bookmarkEnd w:id="801"/>
                            <w:bookmarkEnd w:id="802"/>
                            <w:bookmarkEnd w:id="803"/>
                          </w:p>
                          <w:p w14:paraId="661327EF" w14:textId="77777777" w:rsidR="00933456" w:rsidRPr="00AC227B" w:rsidRDefault="00933456" w:rsidP="00AC227B">
                            <w:pPr>
                              <w:pStyle w:val="Caption"/>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8BEFC3" id="Text Box 373" o:spid="_x0000_s1122" type="#_x0000_t202" style="position:absolute;left:0;text-align:left;margin-left:213.95pt;margin-top:472.2pt;width:262.3pt;height:38.8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" stroked="f">
                <v:textbox inset="0,0,0,0">
                  <w:txbxContent>
                    <w:p w14:paraId="39CF7047" w14:textId="35D4DA9C" w:rsidR="00933456" w:rsidRPr="00AC227B" w:rsidRDefault="00933456" w:rsidP="00AC227B">
                      <w:pPr>
                        <w:pStyle w:val="Caption"/>
                      </w:pPr>
                      <w:bookmarkStart w:id="1161" w:name="_Toc80120350"/>
                      <w:bookmarkStart w:id="1162" w:name="_Toc80884226"/>
                      <w:bookmarkStart w:id="1163" w:name="_Toc80884597"/>
                      <w:bookmarkStart w:id="1164" w:name="_Toc82386447"/>
                      <w:r w:rsidRPr="00AC227B">
                        <w:t>Figure 4.7</w:t>
                      </w:r>
                      <w:r>
                        <w:t>6</w:t>
                      </w:r>
                      <w:r w:rsidRPr="00AC227B">
                        <w:t>:</w:t>
                      </w:r>
                      <w:r>
                        <w:tab/>
                      </w:r>
                      <w:r w:rsidRPr="00AC227B">
                        <w:t>Percentage Distribution of Households Reported Outlets for Selling Fish During 2019/20 Agricultural Year, Tanzania</w:t>
                      </w:r>
                      <w:bookmarkEnd w:id="1161"/>
                      <w:bookmarkEnd w:id="1162"/>
                      <w:bookmarkEnd w:id="1163"/>
                      <w:bookmarkEnd w:id="1164"/>
                    </w:p>
                    <w:p w14:paraId="661327EF" w14:textId="77777777" w:rsidR="00933456" w:rsidRPr="00AC227B" w:rsidRDefault="00933456" w:rsidP="00AC227B">
                      <w:pPr>
                        <w:pStyle w:val="Caption"/>
                      </w:pPr>
                    </w:p>
                  </w:txbxContent>
                </v:textbox>
                <w10:wrap type="tight" anchory="page"/>
              </v:shape>
            </w:pict>
          </mc:Fallback>
        </mc:AlternateContent>
      </w:r>
      <w:r w:rsidR="00AC227B">
        <w:rPr>
          <w:noProof/>
        </w:rPr>
        <w:drawing>
          <wp:anchor distT="0" distB="0" distL="114300" distR="114300" simplePos="0" relativeHeight="251760640" behindDoc="0" locked="0" layoutInCell="1" allowOverlap="1" wp14:anchorId="537C118E" wp14:editId="30E381AA">
            <wp:simplePos x="0" y="0"/>
            <wp:positionH relativeFrom="column">
              <wp:posOffset>2714625</wp:posOffset>
            </wp:positionH>
            <wp:positionV relativeFrom="paragraph">
              <wp:posOffset>536225</wp:posOffset>
            </wp:positionV>
            <wp:extent cx="3267710" cy="2138680"/>
            <wp:effectExtent l="0" t="0" r="8890" b="7620"/>
            <wp:wrapTight wrapText="bothSides">
              <wp:wrapPolygon edited="0">
                <wp:start x="0" y="0"/>
                <wp:lineTo x="0" y="21549"/>
                <wp:lineTo x="21575" y="21549"/>
                <wp:lineTo x="21575" y="0"/>
                <wp:lineTo x="0" y="0"/>
              </wp:wrapPolygon>
            </wp:wrapTight>
            <wp:docPr id="374" name="Chart 37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3"/>
              </a:graphicData>
            </a:graphic>
            <wp14:sizeRelV relativeFrom="margin">
              <wp14:pctHeight>0</wp14:pctHeight>
            </wp14:sizeRelV>
          </wp:anchor>
        </w:drawing>
      </w:r>
      <w:r w:rsidR="00D163D4" w:rsidRPr="006B42D6">
        <w:t>The 2019/20 NSCA results show that, most</w:t>
      </w:r>
      <w:r w:rsidR="005F5775" w:rsidRPr="006B42D6">
        <w:t xml:space="preserve"> of the</w:t>
      </w:r>
      <w:r w:rsidR="00D163D4" w:rsidRPr="006B42D6">
        <w:t xml:space="preserve"> households that sold fish</w:t>
      </w:r>
      <w:r w:rsidR="005F5775" w:rsidRPr="006B42D6">
        <w:t>,</w:t>
      </w:r>
      <w:r w:rsidR="00D163D4" w:rsidRPr="006B42D6">
        <w:t xml:space="preserve"> reported to sell fish to their neighbours (6,118; 62.5 percent), followed by those who sold at landing site (1,344; 13.7 percent) and trade at the farm (1,078; 11.0 percent). Other outlets reported were fish markets (740; 7.6 percent), processing industry (293; 3.0 percent) and the remaining </w:t>
      </w:r>
      <w:r w:rsidR="005F5775" w:rsidRPr="006B42D6">
        <w:t>households (</w:t>
      </w:r>
      <w:r w:rsidR="00D163D4" w:rsidRPr="006B42D6">
        <w:t>209; 2.1 percent</w:t>
      </w:r>
      <w:r w:rsidR="005F5775" w:rsidRPr="006B42D6">
        <w:t xml:space="preserve">) </w:t>
      </w:r>
      <w:r w:rsidR="00D163D4" w:rsidRPr="006B42D6">
        <w:t>reported to sell their fish to other selling locations</w:t>
      </w:r>
      <w:r w:rsidR="000C7A70" w:rsidRPr="006B42D6">
        <w:t xml:space="preserve"> (Figure 4.</w:t>
      </w:r>
      <w:r w:rsidR="0087186A" w:rsidRPr="006B42D6">
        <w:t>7</w:t>
      </w:r>
      <w:r w:rsidR="00C53873">
        <w:t>6</w:t>
      </w:r>
      <w:r w:rsidR="000C7A70" w:rsidRPr="006B42D6">
        <w:t>)</w:t>
      </w:r>
      <w:r w:rsidR="00D163D4" w:rsidRPr="006B42D6">
        <w:t>.</w:t>
      </w:r>
    </w:p>
    <w:p w14:paraId="55727033" w14:textId="29F89314" w:rsidR="00A972A8" w:rsidRDefault="00A972A8" w:rsidP="008868E8">
      <w:pPr>
        <w:spacing w:line="240" w:lineRule="auto"/>
      </w:pPr>
    </w:p>
    <w:p w14:paraId="402F3F48" w14:textId="5DCA9900" w:rsidR="0003283E" w:rsidRDefault="0003283E">
      <w:pPr>
        <w:spacing w:line="240" w:lineRule="auto"/>
        <w:contextualSpacing w:val="0"/>
        <w:jc w:val="left"/>
      </w:pPr>
      <w:r>
        <w:br w:type="page"/>
      </w:r>
    </w:p>
    <w:p w14:paraId="17821ACF" w14:textId="45D66933" w:rsidR="00D163D4" w:rsidRPr="006B42D6" w:rsidRDefault="00C53873" w:rsidP="005C2EFC">
      <w:r>
        <w:rPr>
          <w:noProof/>
        </w:rPr>
        <w:lastRenderedPageBreak/>
        <w:drawing>
          <wp:anchor distT="0" distB="0" distL="114300" distR="114300" simplePos="0" relativeHeight="251764736" behindDoc="1" locked="0" layoutInCell="1" allowOverlap="1" wp14:anchorId="4D5BA9BC" wp14:editId="48EC0719">
            <wp:simplePos x="0" y="0"/>
            <wp:positionH relativeFrom="column">
              <wp:posOffset>2483485</wp:posOffset>
            </wp:positionH>
            <wp:positionV relativeFrom="paragraph">
              <wp:posOffset>724535</wp:posOffset>
            </wp:positionV>
            <wp:extent cx="3498215" cy="2440940"/>
            <wp:effectExtent l="0" t="0" r="6985" b="10160"/>
            <wp:wrapTight wrapText="bothSides">
              <wp:wrapPolygon edited="0">
                <wp:start x="0" y="0"/>
                <wp:lineTo x="0" y="21578"/>
                <wp:lineTo x="21565" y="21578"/>
                <wp:lineTo x="21565" y="0"/>
                <wp:lineTo x="0" y="0"/>
              </wp:wrapPolygon>
            </wp:wrapTight>
            <wp:docPr id="376" name="Chart 376"/>
            <wp:cNvGraphicFramePr/>
            <a:graphic xmlns:a="http://schemas.openxmlformats.org/drawingml/2006/main">
              <a:graphicData uri="http://schemas.openxmlformats.org/drawingml/2006/chart">
                <c:chart xmlns:c="http://schemas.openxmlformats.org/drawingml/2006/chart" xmlns:r="http://schemas.openxmlformats.org/officeDocument/2006/relationships" r:id="rId344"/>
              </a:graphicData>
            </a:graphic>
            <wp14:sizeRelH relativeFrom="page">
              <wp14:pctWidth>0</wp14:pctWidth>
            </wp14:sizeRelH>
            <wp14:sizeRelV relativeFrom="page">
              <wp14:pctHeight>0</wp14:pctHeight>
            </wp14:sizeRelV>
          </wp:anchor>
        </w:drawing>
      </w:r>
      <w:r w:rsidR="00993457">
        <w:rPr>
          <w:noProof/>
        </w:rPr>
        <mc:AlternateContent>
          <mc:Choice Requires="wps">
            <w:drawing>
              <wp:anchor distT="0" distB="0" distL="114300" distR="114300" simplePos="0" relativeHeight="251763712" behindDoc="0" locked="0" layoutInCell="1" allowOverlap="1" wp14:anchorId="28548D1A" wp14:editId="21D91995">
                <wp:simplePos x="0" y="0"/>
                <wp:positionH relativeFrom="column">
                  <wp:posOffset>2473149</wp:posOffset>
                </wp:positionH>
                <wp:positionV relativeFrom="paragraph">
                  <wp:posOffset>372</wp:posOffset>
                </wp:positionV>
                <wp:extent cx="3498215" cy="612140"/>
                <wp:effectExtent l="0" t="0" r="0" b="0"/>
                <wp:wrapTight wrapText="bothSides">
                  <wp:wrapPolygon edited="0">
                    <wp:start x="0" y="0"/>
                    <wp:lineTo x="0" y="21062"/>
                    <wp:lineTo x="21486" y="21062"/>
                    <wp:lineTo x="21486" y="0"/>
                    <wp:lineTo x="0" y="0"/>
                  </wp:wrapPolygon>
                </wp:wrapTight>
                <wp:docPr id="377" name="Text Box 377"/>
                <wp:cNvGraphicFramePr/>
                <a:graphic xmlns:a="http://schemas.openxmlformats.org/drawingml/2006/main">
                  <a:graphicData uri="http://schemas.microsoft.com/office/word/2010/wordprocessingShape">
                    <wps:wsp>
                      <wps:cNvSpPr txBox="1"/>
                      <wps:spPr>
                        <a:xfrm>
                          <a:off x="0" y="0"/>
                          <a:ext cx="3498215" cy="612140"/>
                        </a:xfrm>
                        <a:prstGeom prst="rect">
                          <a:avLst/>
                        </a:prstGeom>
                        <a:solidFill>
                          <a:prstClr val="white"/>
                        </a:solidFill>
                        <a:ln>
                          <a:noFill/>
                        </a:ln>
                        <a:effectLst/>
                      </wps:spPr>
                      <wps:txbx>
                        <w:txbxContent>
                          <w:p w14:paraId="3F0046FE" w14:textId="7520D32E" w:rsidR="00933456" w:rsidRPr="008868E8" w:rsidRDefault="00933456" w:rsidP="008868E8">
                            <w:pPr>
                              <w:pStyle w:val="Caption"/>
                            </w:pPr>
                            <w:bookmarkStart w:id="804" w:name="_Toc80884227"/>
                            <w:bookmarkStart w:id="805" w:name="_Toc80884598"/>
                            <w:bookmarkStart w:id="806" w:name="_Toc82386448"/>
                            <w:r w:rsidRPr="008868E8">
                              <w:t>Figure 4.7</w:t>
                            </w:r>
                            <w:r>
                              <w:t>7</w:t>
                            </w:r>
                            <w:r w:rsidRPr="008868E8">
                              <w:t>:</w:t>
                            </w:r>
                            <w:r w:rsidRPr="008868E8">
                              <w:tab/>
                              <w:t>Percentage Distribution of Households Reported Outlet for Selling Fish During 2019/20 Agricultural Year, Mainland Tanzania</w:t>
                            </w:r>
                            <w:bookmarkEnd w:id="804"/>
                            <w:bookmarkEnd w:id="805"/>
                            <w:bookmarkEnd w:id="806"/>
                          </w:p>
                          <w:p w14:paraId="08B06275" w14:textId="77777777" w:rsidR="00933456" w:rsidRPr="008868E8" w:rsidRDefault="00933456" w:rsidP="008868E8">
                            <w:pPr>
                              <w:pStyle w:val="Caption"/>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548D1A" id="Text Box 377" o:spid="_x0000_s1123" type="#_x0000_t202" style="position:absolute;left:0;text-align:left;margin-left:194.75pt;margin-top:.05pt;width:275.45pt;height:48.2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" stroked="f">
                <v:textbox inset="0,0,0,0">
                  <w:txbxContent>
                    <w:p w14:paraId="3F0046FE" w14:textId="7520D32E" w:rsidR="00933456" w:rsidRPr="008868E8" w:rsidRDefault="00933456" w:rsidP="008868E8">
                      <w:pPr>
                        <w:pStyle w:val="Caption"/>
                      </w:pPr>
                      <w:bookmarkStart w:id="1168" w:name="_Toc80884227"/>
                      <w:bookmarkStart w:id="1169" w:name="_Toc80884598"/>
                      <w:bookmarkStart w:id="1170" w:name="_Toc82386448"/>
                      <w:r w:rsidRPr="008868E8">
                        <w:t>Figure 4.7</w:t>
                      </w:r>
                      <w:r>
                        <w:t>7</w:t>
                      </w:r>
                      <w:r w:rsidRPr="008868E8">
                        <w:t>:</w:t>
                      </w:r>
                      <w:r w:rsidRPr="008868E8">
                        <w:tab/>
                        <w:t>Percentage Distribution of Households Reported Outlet for Selling Fish During 2019/20 Agricultural Year, Mainland Tanzania</w:t>
                      </w:r>
                      <w:bookmarkEnd w:id="1168"/>
                      <w:bookmarkEnd w:id="1169"/>
                      <w:bookmarkEnd w:id="1170"/>
                    </w:p>
                    <w:p w14:paraId="08B06275" w14:textId="77777777" w:rsidR="00933456" w:rsidRPr="008868E8" w:rsidRDefault="00933456" w:rsidP="008868E8">
                      <w:pPr>
                        <w:pStyle w:val="Caption"/>
                      </w:pPr>
                    </w:p>
                  </w:txbxContent>
                </v:textbox>
                <w10:wrap type="tight"/>
              </v:shape>
            </w:pict>
          </mc:Fallback>
        </mc:AlternateContent>
      </w:r>
      <w:r w:rsidR="00D163D4" w:rsidRPr="006B42D6">
        <w:t>Similar behavior of outlets for sell</w:t>
      </w:r>
      <w:r w:rsidR="00A76720" w:rsidRPr="006B42D6">
        <w:t>ing</w:t>
      </w:r>
      <w:r w:rsidR="00D163D4" w:rsidRPr="006B42D6">
        <w:t xml:space="preserve"> fish was reported in </w:t>
      </w:r>
      <w:r w:rsidR="00EA1552">
        <w:t>Mainland Tanzania</w:t>
      </w:r>
      <w:r w:rsidR="00D163D4" w:rsidRPr="006B42D6">
        <w:t>, where most of households sold their fish to their neighbours (62.0 percent)</w:t>
      </w:r>
      <w:r w:rsidR="005F5775" w:rsidRPr="006B42D6">
        <w:t>,</w:t>
      </w:r>
      <w:r w:rsidR="00D163D4" w:rsidRPr="006B42D6">
        <w:t xml:space="preserve"> followed by landing site (13.9 percent), trade at the farm (11.2 percent), fish markets (7.7 percent), processing industry (3.0 percent) and the remaining 2.2 percent sold to other selling locations</w:t>
      </w:r>
      <w:r w:rsidR="004B4FE7" w:rsidRPr="006B42D6">
        <w:t xml:space="preserve"> </w:t>
      </w:r>
      <w:r w:rsidR="00BD1C78" w:rsidRPr="006B42D6">
        <w:t>(Figure 4.</w:t>
      </w:r>
      <w:r w:rsidR="0087186A" w:rsidRPr="006B42D6">
        <w:t>7</w:t>
      </w:r>
      <w:r>
        <w:t>7</w:t>
      </w:r>
      <w:r w:rsidR="00BD1C78" w:rsidRPr="006B42D6">
        <w:t>)</w:t>
      </w:r>
      <w:r w:rsidR="00D163D4" w:rsidRPr="006B42D6">
        <w:t>. Th</w:t>
      </w:r>
      <w:r w:rsidR="00BD1C78" w:rsidRPr="006B42D6">
        <w:t xml:space="preserve">e </w:t>
      </w:r>
      <w:r w:rsidR="00D163D4" w:rsidRPr="006B42D6">
        <w:t xml:space="preserve">situation </w:t>
      </w:r>
      <w:r w:rsidR="00BD1C78" w:rsidRPr="006B42D6">
        <w:t xml:space="preserve">was different </w:t>
      </w:r>
      <w:r w:rsidR="00D163D4" w:rsidRPr="006B42D6">
        <w:t xml:space="preserve">in </w:t>
      </w:r>
      <w:r w:rsidR="00BD1C78" w:rsidRPr="006B42D6">
        <w:t xml:space="preserve">Tanzania </w:t>
      </w:r>
      <w:r w:rsidR="00D163D4" w:rsidRPr="006B42D6">
        <w:t>Zanzibar where 100 percent of households sold their fish to neighbours</w:t>
      </w:r>
      <w:r w:rsidR="00BD1C78" w:rsidRPr="006B42D6">
        <w:t>.</w:t>
      </w:r>
      <w:r w:rsidR="000C7A70" w:rsidRPr="006B42D6">
        <w:t xml:space="preserve"> </w:t>
      </w:r>
    </w:p>
    <w:p w14:paraId="4F683A39" w14:textId="77777777" w:rsidR="008868E8" w:rsidRPr="006B42D6" w:rsidRDefault="008868E8" w:rsidP="005C2EFC"/>
    <w:p w14:paraId="68157B8A" w14:textId="49EFAD3F" w:rsidR="00D163D4" w:rsidRPr="006B42D6" w:rsidRDefault="00E01116" w:rsidP="005C2EFC">
      <w:pPr>
        <w:pStyle w:val="Heading3"/>
      </w:pPr>
      <w:bookmarkStart w:id="807" w:name="_Toc82385780"/>
      <w:r w:rsidRPr="006B42D6">
        <w:t>4</w:t>
      </w:r>
      <w:r w:rsidR="00D163D4" w:rsidRPr="006B42D6">
        <w:t>.</w:t>
      </w:r>
      <w:r w:rsidR="00022347">
        <w:t>7</w:t>
      </w:r>
      <w:r w:rsidR="00D163D4" w:rsidRPr="006B42D6">
        <w:t>.</w:t>
      </w:r>
      <w:r w:rsidR="00224B51">
        <w:t>6</w:t>
      </w:r>
      <w:r w:rsidR="0000655E" w:rsidRPr="006B42D6">
        <w:tab/>
      </w:r>
      <w:r w:rsidR="00831CCA" w:rsidRPr="006B42D6">
        <w:t>F</w:t>
      </w:r>
      <w:r w:rsidR="00D163D4" w:rsidRPr="006B42D6">
        <w:t xml:space="preserve">ish </w:t>
      </w:r>
      <w:r w:rsidR="00114D61">
        <w:t>F</w:t>
      </w:r>
      <w:r w:rsidR="00D163D4" w:rsidRPr="006B42D6">
        <w:t>eeds</w:t>
      </w:r>
      <w:bookmarkEnd w:id="807"/>
    </w:p>
    <w:p w14:paraId="1B315CBD" w14:textId="4353AD7E" w:rsidR="00D163D4" w:rsidRPr="006B42D6" w:rsidRDefault="00743987" w:rsidP="005C2EFC">
      <w:r w:rsidRPr="006B42D6">
        <w:t>The results of 2019/20 NSCA show that, t</w:t>
      </w:r>
      <w:r w:rsidR="00D163D4" w:rsidRPr="006B42D6">
        <w:t xml:space="preserve">he total amount of fish feeds </w:t>
      </w:r>
      <w:r w:rsidRPr="006B42D6">
        <w:t>reported by households</w:t>
      </w:r>
      <w:r w:rsidR="00D163D4" w:rsidRPr="006B42D6">
        <w:t xml:space="preserve"> in Tanzania was 254,038 kg</w:t>
      </w:r>
      <w:r w:rsidRPr="006B42D6">
        <w:t xml:space="preserve"> (251,278</w:t>
      </w:r>
      <w:r w:rsidR="0003283E">
        <w:t xml:space="preserve"> kgs</w:t>
      </w:r>
      <w:r w:rsidRPr="006B42D6">
        <w:t xml:space="preserve"> in </w:t>
      </w:r>
      <w:r w:rsidR="00EA1552">
        <w:t>Mainland Tanzania</w:t>
      </w:r>
      <w:r w:rsidRPr="006B42D6">
        <w:t xml:space="preserve"> and 2,760</w:t>
      </w:r>
      <w:r w:rsidR="0003283E">
        <w:t xml:space="preserve"> kg</w:t>
      </w:r>
      <w:r w:rsidRPr="006B42D6">
        <w:t xml:space="preserve"> in Tanzania Zanzibar)</w:t>
      </w:r>
      <w:r w:rsidR="00D163D4" w:rsidRPr="006B42D6">
        <w:t>.</w:t>
      </w:r>
      <w:r w:rsidR="00571E5B" w:rsidRPr="006B42D6">
        <w:t xml:space="preserve"> Moreover, fish feeds included</w:t>
      </w:r>
      <w:r w:rsidR="00D163D4" w:rsidRPr="006B42D6">
        <w:t xml:space="preserve"> </w:t>
      </w:r>
      <w:r w:rsidR="00A76720" w:rsidRPr="006B42D6">
        <w:t>h</w:t>
      </w:r>
      <w:r w:rsidR="00D163D4" w:rsidRPr="006B42D6">
        <w:t>omemade feeds (224,517 kg; 88.4 percent)</w:t>
      </w:r>
      <w:r w:rsidR="00571E5B" w:rsidRPr="006B42D6">
        <w:t>,</w:t>
      </w:r>
      <w:r w:rsidR="00D163D4" w:rsidRPr="006B42D6">
        <w:t xml:space="preserve"> locally compounded feeds (21,556 kg; 8.5 percent), imported manufactured feeds (4,045</w:t>
      </w:r>
      <w:r w:rsidR="000C7A70" w:rsidRPr="006B42D6">
        <w:t xml:space="preserve"> </w:t>
      </w:r>
      <w:r w:rsidR="00D163D4" w:rsidRPr="006B42D6">
        <w:t xml:space="preserve">kg; 1.6 percent) and other </w:t>
      </w:r>
      <w:r w:rsidR="00571E5B" w:rsidRPr="006B42D6">
        <w:t xml:space="preserve">feed </w:t>
      </w:r>
      <w:r w:rsidR="00D163D4" w:rsidRPr="006B42D6">
        <w:t>source</w:t>
      </w:r>
      <w:r w:rsidR="00571E5B" w:rsidRPr="006B42D6">
        <w:t>s</w:t>
      </w:r>
      <w:r w:rsidR="00D163D4" w:rsidRPr="006B42D6">
        <w:t xml:space="preserve"> (3,920 kg; 1.5 percent)</w:t>
      </w:r>
      <w:r w:rsidR="00831CCA" w:rsidRPr="006B42D6">
        <w:t>.</w:t>
      </w:r>
    </w:p>
    <w:p w14:paraId="4FBF7EF3" w14:textId="77777777" w:rsidR="00D163D4" w:rsidRPr="006B42D6" w:rsidRDefault="00D163D4" w:rsidP="00467D4B">
      <w:pPr>
        <w:spacing w:line="240" w:lineRule="auto"/>
      </w:pPr>
    </w:p>
    <w:p w14:paraId="48339F05" w14:textId="6B1750A6" w:rsidR="00D163D4" w:rsidRPr="006B42D6" w:rsidRDefault="00D163D4" w:rsidP="005C2EFC">
      <w:r w:rsidRPr="006B42D6">
        <w:t xml:space="preserve">In </w:t>
      </w:r>
      <w:r w:rsidR="00EA1552">
        <w:t>Mainland Tanzania</w:t>
      </w:r>
      <w:r w:rsidRPr="006B42D6">
        <w:t xml:space="preserve">, </w:t>
      </w:r>
      <w:r w:rsidR="001B7607" w:rsidRPr="006B42D6">
        <w:t xml:space="preserve">fish feeds included </w:t>
      </w:r>
      <w:r w:rsidRPr="006B42D6">
        <w:t>homemade feeds (224,457</w:t>
      </w:r>
      <w:r w:rsidR="0003283E">
        <w:t xml:space="preserve"> </w:t>
      </w:r>
      <w:r w:rsidRPr="006B42D6">
        <w:t>kg; 89.3 percent),</w:t>
      </w:r>
      <w:r w:rsidR="001B7607" w:rsidRPr="006B42D6">
        <w:t xml:space="preserve"> </w:t>
      </w:r>
      <w:r w:rsidRPr="006B42D6">
        <w:t>locally compounded feeds (18,856 kg, 7.5 percent), imported manufactured feeds (4,045 kg 1.6 percent) and other</w:t>
      </w:r>
      <w:r w:rsidR="001B7607" w:rsidRPr="006B42D6">
        <w:t xml:space="preserve"> feeds</w:t>
      </w:r>
      <w:r w:rsidRPr="006B42D6">
        <w:t xml:space="preserve"> sources (3,920 kg; 1.6 percent)</w:t>
      </w:r>
      <w:r w:rsidR="00831CCA" w:rsidRPr="006B42D6">
        <w:t xml:space="preserve">. </w:t>
      </w:r>
      <w:r w:rsidRPr="006B42D6">
        <w:t xml:space="preserve">In </w:t>
      </w:r>
      <w:r w:rsidR="001B7607" w:rsidRPr="006B42D6">
        <w:t xml:space="preserve">Tanzania </w:t>
      </w:r>
      <w:r w:rsidRPr="006B42D6">
        <w:t xml:space="preserve">Zanzibar, the main source of fish feeds was from locally compounded feeds (2,700 kg; 97.8 percent) </w:t>
      </w:r>
      <w:r w:rsidR="001B7607" w:rsidRPr="006B42D6">
        <w:t>and</w:t>
      </w:r>
      <w:r w:rsidRPr="006B42D6">
        <w:t xml:space="preserve"> homemade feeds (60 kg; 2.2 percent)</w:t>
      </w:r>
      <w:r w:rsidR="00831CCA" w:rsidRPr="006B42D6">
        <w:t xml:space="preserve"> (Table 4.</w:t>
      </w:r>
      <w:r w:rsidR="00D16BAD" w:rsidRPr="006B42D6">
        <w:t>2</w:t>
      </w:r>
      <w:r w:rsidR="00ED0537">
        <w:t>2</w:t>
      </w:r>
      <w:r w:rsidR="00D16BAD" w:rsidRPr="006B42D6">
        <w:t>).</w:t>
      </w:r>
    </w:p>
    <w:p w14:paraId="60163E5C" w14:textId="20DCA940" w:rsidR="000E3DA6" w:rsidRPr="006B42D6" w:rsidRDefault="000E3DA6" w:rsidP="005C2EFC"/>
    <w:p w14:paraId="3E6FD693" w14:textId="77777777" w:rsidR="00467D4B" w:rsidRDefault="00467D4B">
      <w:pPr>
        <w:spacing w:line="240" w:lineRule="auto"/>
        <w:contextualSpacing w:val="0"/>
        <w:jc w:val="left"/>
        <w:rPr>
          <w:b/>
          <w:sz w:val="20"/>
          <w:szCs w:val="20"/>
        </w:rPr>
      </w:pPr>
      <w:r>
        <w:rPr>
          <w:b/>
          <w:sz w:val="20"/>
          <w:szCs w:val="20"/>
        </w:rPr>
        <w:br w:type="page"/>
      </w:r>
    </w:p>
    <w:p w14:paraId="0B19FEAB" w14:textId="72109D64" w:rsidR="00831CCA" w:rsidRPr="006B42D6" w:rsidRDefault="00831CCA" w:rsidP="00467D4B">
      <w:pPr>
        <w:pStyle w:val="Heading7"/>
        <w:rPr>
          <w:shd w:val="clear" w:color="auto" w:fill="FFFFFF"/>
        </w:rPr>
      </w:pPr>
      <w:bookmarkStart w:id="808" w:name="_Toc82386230"/>
      <w:r w:rsidRPr="006B42D6">
        <w:lastRenderedPageBreak/>
        <w:t>Table 4.2</w:t>
      </w:r>
      <w:r w:rsidR="00ED0537">
        <w:t>2</w:t>
      </w:r>
      <w:r w:rsidR="00467D4B">
        <w:t>:</w:t>
      </w:r>
      <w:r w:rsidR="00467D4B">
        <w:tab/>
      </w:r>
      <w:r w:rsidRPr="006B42D6">
        <w:t>Number of Households</w:t>
      </w:r>
      <w:r w:rsidR="00A76720" w:rsidRPr="006B42D6">
        <w:t xml:space="preserve"> and</w:t>
      </w:r>
      <w:r w:rsidRPr="006B42D6">
        <w:t xml:space="preserve"> Quantity of Feeds Used by Main Source of Fish Feeds During 2019/20 Agricultural Year, Tanzania</w:t>
      </w:r>
      <w:bookmarkEnd w:id="808"/>
      <w:r w:rsidRPr="006B42D6">
        <w:rPr>
          <w:shd w:val="clear" w:color="auto" w:fill="FFFFFF"/>
        </w:rPr>
        <w:t xml:space="preserve"> </w:t>
      </w:r>
    </w:p>
    <w:tbl>
      <w:tblPr>
        <w:tblW w:w="0" w:type="auto"/>
        <w:tblLook w:val="04A0" w:firstRow="1" w:lastRow="0" w:firstColumn="1" w:lastColumn="0" w:noHBand="0" w:noVBand="1"/>
      </w:tblPr>
      <w:tblGrid>
        <w:gridCol w:w="1434"/>
        <w:gridCol w:w="1222"/>
        <w:gridCol w:w="736"/>
        <w:gridCol w:w="696"/>
        <w:gridCol w:w="1222"/>
        <w:gridCol w:w="736"/>
        <w:gridCol w:w="696"/>
        <w:gridCol w:w="1222"/>
        <w:gridCol w:w="576"/>
        <w:gridCol w:w="696"/>
      </w:tblGrid>
      <w:tr w:rsidR="006B42D6" w:rsidRPr="006B42D6" w14:paraId="412213B1" w14:textId="77777777" w:rsidTr="0003283E">
        <w:trPr>
          <w:trHeight w:val="300"/>
        </w:trPr>
        <w:tc>
          <w:tcPr>
            <w:tcW w:w="0" w:type="auto"/>
            <w:vMerge w:val="restart"/>
            <w:tcBorders>
              <w:top w:val="single" w:sz="4" w:space="0" w:color="auto"/>
              <w:left w:val="nil"/>
              <w:bottom w:val="single" w:sz="4" w:space="0" w:color="000000"/>
              <w:right w:val="nil"/>
            </w:tcBorders>
            <w:shd w:val="clear" w:color="auto" w:fill="E2EFD9" w:themeFill="accent6" w:themeFillTint="33"/>
            <w:noWrap/>
            <w:vAlign w:val="center"/>
            <w:hideMark/>
          </w:tcPr>
          <w:p w14:paraId="7F4BA535" w14:textId="77777777" w:rsidR="00831CCA" w:rsidRPr="006B42D6" w:rsidRDefault="00831CCA" w:rsidP="0003283E">
            <w:pPr>
              <w:spacing w:line="240" w:lineRule="auto"/>
              <w:rPr>
                <w:b/>
                <w:bCs/>
                <w:sz w:val="16"/>
                <w:szCs w:val="16"/>
              </w:rPr>
            </w:pPr>
            <w:r w:rsidRPr="006B42D6">
              <w:rPr>
                <w:b/>
                <w:bCs/>
                <w:sz w:val="16"/>
                <w:szCs w:val="16"/>
              </w:rPr>
              <w:t xml:space="preserve">Main Source </w:t>
            </w:r>
          </w:p>
        </w:tc>
        <w:tc>
          <w:tcPr>
            <w:tcW w:w="0" w:type="auto"/>
            <w:gridSpan w:val="3"/>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140DE036" w14:textId="77777777" w:rsidR="00831CCA" w:rsidRPr="006B42D6" w:rsidRDefault="00831CCA" w:rsidP="0003283E">
            <w:pPr>
              <w:spacing w:line="240" w:lineRule="auto"/>
              <w:jc w:val="center"/>
              <w:rPr>
                <w:b/>
                <w:bCs/>
                <w:sz w:val="16"/>
                <w:szCs w:val="16"/>
              </w:rPr>
            </w:pPr>
            <w:r w:rsidRPr="006B42D6">
              <w:rPr>
                <w:b/>
                <w:bCs/>
                <w:sz w:val="16"/>
                <w:szCs w:val="16"/>
              </w:rPr>
              <w:t>Tanzania</w:t>
            </w:r>
          </w:p>
        </w:tc>
        <w:tc>
          <w:tcPr>
            <w:tcW w:w="0" w:type="auto"/>
            <w:gridSpan w:val="3"/>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735F3821" w14:textId="6BEE6E4E" w:rsidR="00831CCA" w:rsidRPr="006B42D6" w:rsidRDefault="00EA1552" w:rsidP="0003283E">
            <w:pPr>
              <w:spacing w:line="240" w:lineRule="auto"/>
              <w:jc w:val="center"/>
              <w:rPr>
                <w:b/>
                <w:bCs/>
                <w:sz w:val="16"/>
                <w:szCs w:val="16"/>
              </w:rPr>
            </w:pPr>
            <w:r>
              <w:rPr>
                <w:b/>
                <w:bCs/>
                <w:sz w:val="16"/>
                <w:szCs w:val="16"/>
              </w:rPr>
              <w:t>Mainland Tanzania</w:t>
            </w:r>
          </w:p>
        </w:tc>
        <w:tc>
          <w:tcPr>
            <w:tcW w:w="0" w:type="auto"/>
            <w:gridSpan w:val="3"/>
            <w:tcBorders>
              <w:top w:val="single" w:sz="4" w:space="0" w:color="auto"/>
              <w:left w:val="nil"/>
              <w:bottom w:val="single" w:sz="4" w:space="0" w:color="auto"/>
            </w:tcBorders>
            <w:shd w:val="clear" w:color="auto" w:fill="E2EFD9" w:themeFill="accent6" w:themeFillTint="33"/>
            <w:noWrap/>
            <w:vAlign w:val="center"/>
            <w:hideMark/>
          </w:tcPr>
          <w:p w14:paraId="26F932E4" w14:textId="77777777" w:rsidR="00831CCA" w:rsidRPr="006B42D6" w:rsidRDefault="00831CCA" w:rsidP="0003283E">
            <w:pPr>
              <w:spacing w:line="240" w:lineRule="auto"/>
              <w:jc w:val="center"/>
              <w:rPr>
                <w:b/>
                <w:bCs/>
                <w:sz w:val="16"/>
                <w:szCs w:val="16"/>
              </w:rPr>
            </w:pPr>
            <w:r w:rsidRPr="006B42D6">
              <w:rPr>
                <w:b/>
                <w:bCs/>
                <w:sz w:val="16"/>
                <w:szCs w:val="16"/>
              </w:rPr>
              <w:t>Tanzania Zanzibar</w:t>
            </w:r>
          </w:p>
        </w:tc>
      </w:tr>
      <w:tr w:rsidR="006B42D6" w:rsidRPr="006B42D6" w14:paraId="44471288" w14:textId="77777777" w:rsidTr="0003283E">
        <w:trPr>
          <w:trHeight w:val="300"/>
        </w:trPr>
        <w:tc>
          <w:tcPr>
            <w:tcW w:w="0" w:type="auto"/>
            <w:vMerge/>
            <w:tcBorders>
              <w:top w:val="single" w:sz="4" w:space="0" w:color="auto"/>
              <w:left w:val="nil"/>
              <w:bottom w:val="single" w:sz="4" w:space="0" w:color="000000"/>
              <w:right w:val="nil"/>
            </w:tcBorders>
            <w:shd w:val="clear" w:color="auto" w:fill="E2EFD9" w:themeFill="accent6" w:themeFillTint="33"/>
            <w:vAlign w:val="center"/>
            <w:hideMark/>
          </w:tcPr>
          <w:p w14:paraId="535A5659" w14:textId="77777777" w:rsidR="00831CCA" w:rsidRPr="006B42D6" w:rsidRDefault="00831CCA" w:rsidP="0003283E">
            <w:pPr>
              <w:spacing w:line="240" w:lineRule="auto"/>
              <w:rPr>
                <w:b/>
                <w:bCs/>
                <w:sz w:val="16"/>
                <w:szCs w:val="16"/>
              </w:rPr>
            </w:pPr>
          </w:p>
        </w:tc>
        <w:tc>
          <w:tcPr>
            <w:tcW w:w="0" w:type="auto"/>
            <w:vMerge w:val="restart"/>
            <w:tcBorders>
              <w:top w:val="nil"/>
              <w:left w:val="single" w:sz="4" w:space="0" w:color="auto"/>
              <w:bottom w:val="single" w:sz="4" w:space="0" w:color="000000"/>
              <w:right w:val="nil"/>
            </w:tcBorders>
            <w:shd w:val="clear" w:color="auto" w:fill="E2EFD9" w:themeFill="accent6" w:themeFillTint="33"/>
            <w:vAlign w:val="center"/>
            <w:hideMark/>
          </w:tcPr>
          <w:p w14:paraId="4BAF877F" w14:textId="77777777" w:rsidR="00831CCA" w:rsidRPr="006B42D6" w:rsidRDefault="00831CCA" w:rsidP="0003283E">
            <w:pPr>
              <w:spacing w:line="240" w:lineRule="auto"/>
              <w:jc w:val="center"/>
              <w:rPr>
                <w:sz w:val="16"/>
                <w:szCs w:val="16"/>
              </w:rPr>
            </w:pPr>
            <w:r w:rsidRPr="006B42D6">
              <w:rPr>
                <w:sz w:val="16"/>
                <w:szCs w:val="16"/>
              </w:rPr>
              <w:t>Number of Households</w:t>
            </w:r>
          </w:p>
        </w:tc>
        <w:tc>
          <w:tcPr>
            <w:tcW w:w="0" w:type="auto"/>
            <w:gridSpan w:val="2"/>
            <w:tcBorders>
              <w:top w:val="single" w:sz="4" w:space="0" w:color="auto"/>
              <w:left w:val="nil"/>
              <w:bottom w:val="nil"/>
              <w:right w:val="nil"/>
            </w:tcBorders>
            <w:shd w:val="clear" w:color="auto" w:fill="E2EFD9" w:themeFill="accent6" w:themeFillTint="33"/>
            <w:vAlign w:val="center"/>
            <w:hideMark/>
          </w:tcPr>
          <w:p w14:paraId="27EDF3F2" w14:textId="3C94D17F" w:rsidR="00831CCA" w:rsidRPr="006B42D6" w:rsidRDefault="00831CCA" w:rsidP="0003283E">
            <w:pPr>
              <w:spacing w:line="240" w:lineRule="auto"/>
              <w:jc w:val="center"/>
              <w:rPr>
                <w:sz w:val="16"/>
                <w:szCs w:val="16"/>
              </w:rPr>
            </w:pPr>
            <w:r w:rsidRPr="006B42D6">
              <w:rPr>
                <w:sz w:val="16"/>
                <w:szCs w:val="16"/>
              </w:rPr>
              <w:t>Quantity</w:t>
            </w:r>
          </w:p>
        </w:tc>
        <w:tc>
          <w:tcPr>
            <w:tcW w:w="0" w:type="auto"/>
            <w:vMerge w:val="restart"/>
            <w:tcBorders>
              <w:top w:val="nil"/>
              <w:left w:val="single" w:sz="4" w:space="0" w:color="auto"/>
              <w:bottom w:val="single" w:sz="4" w:space="0" w:color="000000"/>
              <w:right w:val="nil"/>
            </w:tcBorders>
            <w:shd w:val="clear" w:color="auto" w:fill="E2EFD9" w:themeFill="accent6" w:themeFillTint="33"/>
            <w:vAlign w:val="center"/>
            <w:hideMark/>
          </w:tcPr>
          <w:p w14:paraId="6EB45876" w14:textId="77777777" w:rsidR="00831CCA" w:rsidRPr="006B42D6" w:rsidRDefault="00831CCA" w:rsidP="0003283E">
            <w:pPr>
              <w:spacing w:line="240" w:lineRule="auto"/>
              <w:jc w:val="center"/>
              <w:rPr>
                <w:sz w:val="16"/>
                <w:szCs w:val="16"/>
              </w:rPr>
            </w:pPr>
            <w:r w:rsidRPr="006B42D6">
              <w:rPr>
                <w:sz w:val="16"/>
                <w:szCs w:val="16"/>
              </w:rPr>
              <w:t>Number of Households</w:t>
            </w:r>
          </w:p>
        </w:tc>
        <w:tc>
          <w:tcPr>
            <w:tcW w:w="0" w:type="auto"/>
            <w:gridSpan w:val="2"/>
            <w:tcBorders>
              <w:top w:val="nil"/>
              <w:left w:val="nil"/>
              <w:bottom w:val="nil"/>
              <w:right w:val="single" w:sz="4" w:space="0" w:color="000000"/>
            </w:tcBorders>
            <w:shd w:val="clear" w:color="auto" w:fill="E2EFD9" w:themeFill="accent6" w:themeFillTint="33"/>
            <w:vAlign w:val="center"/>
            <w:hideMark/>
          </w:tcPr>
          <w:p w14:paraId="17B2A6FF" w14:textId="3435C516" w:rsidR="00831CCA" w:rsidRPr="006B42D6" w:rsidRDefault="00831CCA" w:rsidP="0003283E">
            <w:pPr>
              <w:spacing w:line="240" w:lineRule="auto"/>
              <w:jc w:val="center"/>
              <w:rPr>
                <w:sz w:val="16"/>
                <w:szCs w:val="16"/>
              </w:rPr>
            </w:pPr>
            <w:r w:rsidRPr="006B42D6">
              <w:rPr>
                <w:sz w:val="16"/>
                <w:szCs w:val="16"/>
              </w:rPr>
              <w:t>Quantity</w:t>
            </w:r>
          </w:p>
        </w:tc>
        <w:tc>
          <w:tcPr>
            <w:tcW w:w="0" w:type="auto"/>
            <w:vMerge w:val="restart"/>
            <w:tcBorders>
              <w:top w:val="nil"/>
              <w:left w:val="nil"/>
              <w:bottom w:val="single" w:sz="4" w:space="0" w:color="000000"/>
              <w:right w:val="nil"/>
            </w:tcBorders>
            <w:shd w:val="clear" w:color="auto" w:fill="E2EFD9" w:themeFill="accent6" w:themeFillTint="33"/>
            <w:vAlign w:val="center"/>
            <w:hideMark/>
          </w:tcPr>
          <w:p w14:paraId="3BBD4F7E" w14:textId="77777777" w:rsidR="00831CCA" w:rsidRPr="006B42D6" w:rsidRDefault="00831CCA" w:rsidP="0003283E">
            <w:pPr>
              <w:spacing w:line="240" w:lineRule="auto"/>
              <w:jc w:val="center"/>
              <w:rPr>
                <w:sz w:val="16"/>
                <w:szCs w:val="16"/>
              </w:rPr>
            </w:pPr>
            <w:r w:rsidRPr="006B42D6">
              <w:rPr>
                <w:sz w:val="16"/>
                <w:szCs w:val="16"/>
              </w:rPr>
              <w:t>Number of Households</w:t>
            </w:r>
          </w:p>
        </w:tc>
        <w:tc>
          <w:tcPr>
            <w:tcW w:w="0" w:type="auto"/>
            <w:gridSpan w:val="2"/>
            <w:tcBorders>
              <w:top w:val="single" w:sz="4" w:space="0" w:color="auto"/>
              <w:left w:val="nil"/>
              <w:bottom w:val="nil"/>
              <w:right w:val="nil"/>
            </w:tcBorders>
            <w:shd w:val="clear" w:color="auto" w:fill="E2EFD9" w:themeFill="accent6" w:themeFillTint="33"/>
            <w:vAlign w:val="center"/>
            <w:hideMark/>
          </w:tcPr>
          <w:p w14:paraId="689F59DB" w14:textId="0DD6AF91" w:rsidR="00831CCA" w:rsidRPr="006B42D6" w:rsidRDefault="00831CCA" w:rsidP="0003283E">
            <w:pPr>
              <w:spacing w:line="240" w:lineRule="auto"/>
              <w:jc w:val="center"/>
              <w:rPr>
                <w:sz w:val="16"/>
                <w:szCs w:val="16"/>
              </w:rPr>
            </w:pPr>
            <w:r w:rsidRPr="006B42D6">
              <w:rPr>
                <w:sz w:val="16"/>
                <w:szCs w:val="16"/>
              </w:rPr>
              <w:t>Quantity</w:t>
            </w:r>
          </w:p>
        </w:tc>
      </w:tr>
      <w:tr w:rsidR="006B42D6" w:rsidRPr="006B42D6" w14:paraId="725D9EF3" w14:textId="77777777" w:rsidTr="0003283E">
        <w:trPr>
          <w:trHeight w:val="206"/>
        </w:trPr>
        <w:tc>
          <w:tcPr>
            <w:tcW w:w="0" w:type="auto"/>
            <w:vMerge/>
            <w:tcBorders>
              <w:top w:val="single" w:sz="4" w:space="0" w:color="auto"/>
              <w:left w:val="nil"/>
              <w:bottom w:val="single" w:sz="4" w:space="0" w:color="000000"/>
              <w:right w:val="nil"/>
            </w:tcBorders>
            <w:shd w:val="clear" w:color="auto" w:fill="E2EFD9" w:themeFill="accent6" w:themeFillTint="33"/>
            <w:vAlign w:val="center"/>
            <w:hideMark/>
          </w:tcPr>
          <w:p w14:paraId="759EBB6D" w14:textId="77777777" w:rsidR="00831CCA" w:rsidRPr="006B42D6" w:rsidRDefault="00831CCA" w:rsidP="0003283E">
            <w:pPr>
              <w:spacing w:line="240" w:lineRule="auto"/>
              <w:rPr>
                <w:b/>
                <w:bCs/>
                <w:sz w:val="16"/>
                <w:szCs w:val="16"/>
              </w:rPr>
            </w:pPr>
          </w:p>
        </w:tc>
        <w:tc>
          <w:tcPr>
            <w:tcW w:w="0" w:type="auto"/>
            <w:vMerge/>
            <w:tcBorders>
              <w:top w:val="nil"/>
              <w:left w:val="single" w:sz="4" w:space="0" w:color="auto"/>
              <w:bottom w:val="single" w:sz="4" w:space="0" w:color="000000"/>
              <w:right w:val="nil"/>
            </w:tcBorders>
            <w:shd w:val="clear" w:color="auto" w:fill="E2EFD9" w:themeFill="accent6" w:themeFillTint="33"/>
            <w:vAlign w:val="center"/>
            <w:hideMark/>
          </w:tcPr>
          <w:p w14:paraId="65894480" w14:textId="77777777" w:rsidR="00831CCA" w:rsidRPr="006B42D6" w:rsidRDefault="00831CCA" w:rsidP="0003283E">
            <w:pPr>
              <w:spacing w:line="240" w:lineRule="auto"/>
              <w:jc w:val="center"/>
              <w:rPr>
                <w:sz w:val="16"/>
                <w:szCs w:val="16"/>
              </w:rPr>
            </w:pPr>
          </w:p>
        </w:tc>
        <w:tc>
          <w:tcPr>
            <w:tcW w:w="0" w:type="auto"/>
            <w:tcBorders>
              <w:top w:val="nil"/>
              <w:left w:val="nil"/>
              <w:bottom w:val="single" w:sz="4" w:space="0" w:color="auto"/>
              <w:right w:val="nil"/>
            </w:tcBorders>
            <w:shd w:val="clear" w:color="auto" w:fill="E2EFD9" w:themeFill="accent6" w:themeFillTint="33"/>
            <w:vAlign w:val="center"/>
            <w:hideMark/>
          </w:tcPr>
          <w:p w14:paraId="5E15BEBC" w14:textId="001A0799" w:rsidR="00831CCA" w:rsidRPr="006B42D6" w:rsidRDefault="00831CCA" w:rsidP="0003283E">
            <w:pPr>
              <w:spacing w:line="240" w:lineRule="auto"/>
              <w:jc w:val="center"/>
              <w:rPr>
                <w:sz w:val="16"/>
                <w:szCs w:val="16"/>
              </w:rPr>
            </w:pPr>
            <w:r w:rsidRPr="006B42D6">
              <w:rPr>
                <w:sz w:val="16"/>
                <w:szCs w:val="16"/>
              </w:rPr>
              <w:t>Kgs</w:t>
            </w:r>
          </w:p>
        </w:tc>
        <w:tc>
          <w:tcPr>
            <w:tcW w:w="0" w:type="auto"/>
            <w:tcBorders>
              <w:top w:val="nil"/>
              <w:left w:val="nil"/>
              <w:bottom w:val="single" w:sz="4" w:space="0" w:color="auto"/>
              <w:right w:val="nil"/>
            </w:tcBorders>
            <w:shd w:val="clear" w:color="auto" w:fill="E2EFD9" w:themeFill="accent6" w:themeFillTint="33"/>
            <w:vAlign w:val="center"/>
            <w:hideMark/>
          </w:tcPr>
          <w:p w14:paraId="03432325" w14:textId="77777777" w:rsidR="00831CCA" w:rsidRPr="006B42D6" w:rsidRDefault="00831CCA" w:rsidP="0003283E">
            <w:pPr>
              <w:spacing w:line="240" w:lineRule="auto"/>
              <w:jc w:val="center"/>
              <w:rPr>
                <w:sz w:val="16"/>
                <w:szCs w:val="16"/>
              </w:rPr>
            </w:pPr>
            <w:r w:rsidRPr="006B42D6">
              <w:rPr>
                <w:sz w:val="16"/>
                <w:szCs w:val="16"/>
              </w:rPr>
              <w:t>Percent</w:t>
            </w:r>
          </w:p>
        </w:tc>
        <w:tc>
          <w:tcPr>
            <w:tcW w:w="0" w:type="auto"/>
            <w:vMerge/>
            <w:tcBorders>
              <w:top w:val="nil"/>
              <w:left w:val="single" w:sz="4" w:space="0" w:color="auto"/>
              <w:bottom w:val="single" w:sz="4" w:space="0" w:color="000000"/>
              <w:right w:val="nil"/>
            </w:tcBorders>
            <w:shd w:val="clear" w:color="auto" w:fill="E2EFD9" w:themeFill="accent6" w:themeFillTint="33"/>
            <w:vAlign w:val="center"/>
            <w:hideMark/>
          </w:tcPr>
          <w:p w14:paraId="41A7E4AF" w14:textId="77777777" w:rsidR="00831CCA" w:rsidRPr="006B42D6" w:rsidRDefault="00831CCA" w:rsidP="0003283E">
            <w:pPr>
              <w:spacing w:line="240" w:lineRule="auto"/>
              <w:jc w:val="center"/>
              <w:rPr>
                <w:sz w:val="16"/>
                <w:szCs w:val="16"/>
              </w:rPr>
            </w:pPr>
          </w:p>
        </w:tc>
        <w:tc>
          <w:tcPr>
            <w:tcW w:w="0" w:type="auto"/>
            <w:tcBorders>
              <w:top w:val="nil"/>
              <w:left w:val="nil"/>
              <w:bottom w:val="single" w:sz="4" w:space="0" w:color="auto"/>
              <w:right w:val="nil"/>
            </w:tcBorders>
            <w:shd w:val="clear" w:color="auto" w:fill="E2EFD9" w:themeFill="accent6" w:themeFillTint="33"/>
            <w:vAlign w:val="center"/>
            <w:hideMark/>
          </w:tcPr>
          <w:p w14:paraId="60FCE7CA" w14:textId="01A23BB9" w:rsidR="00831CCA" w:rsidRPr="006B42D6" w:rsidRDefault="00831CCA" w:rsidP="0003283E">
            <w:pPr>
              <w:spacing w:line="240" w:lineRule="auto"/>
              <w:jc w:val="center"/>
              <w:rPr>
                <w:sz w:val="16"/>
                <w:szCs w:val="16"/>
              </w:rPr>
            </w:pPr>
            <w:r w:rsidRPr="006B42D6">
              <w:rPr>
                <w:sz w:val="16"/>
                <w:szCs w:val="16"/>
              </w:rPr>
              <w:t>Kgs</w:t>
            </w:r>
          </w:p>
        </w:tc>
        <w:tc>
          <w:tcPr>
            <w:tcW w:w="0" w:type="auto"/>
            <w:tcBorders>
              <w:top w:val="nil"/>
              <w:left w:val="nil"/>
              <w:bottom w:val="single" w:sz="4" w:space="0" w:color="auto"/>
              <w:right w:val="single" w:sz="4" w:space="0" w:color="auto"/>
            </w:tcBorders>
            <w:shd w:val="clear" w:color="auto" w:fill="E2EFD9" w:themeFill="accent6" w:themeFillTint="33"/>
            <w:vAlign w:val="center"/>
            <w:hideMark/>
          </w:tcPr>
          <w:p w14:paraId="61551589" w14:textId="77777777" w:rsidR="00831CCA" w:rsidRPr="006B42D6" w:rsidRDefault="00831CCA" w:rsidP="0003283E">
            <w:pPr>
              <w:spacing w:line="240" w:lineRule="auto"/>
              <w:jc w:val="center"/>
              <w:rPr>
                <w:sz w:val="16"/>
                <w:szCs w:val="16"/>
              </w:rPr>
            </w:pPr>
            <w:r w:rsidRPr="006B42D6">
              <w:rPr>
                <w:sz w:val="16"/>
                <w:szCs w:val="16"/>
              </w:rPr>
              <w:t>Percent</w:t>
            </w:r>
          </w:p>
        </w:tc>
        <w:tc>
          <w:tcPr>
            <w:tcW w:w="0" w:type="auto"/>
            <w:vMerge/>
            <w:tcBorders>
              <w:top w:val="nil"/>
              <w:left w:val="nil"/>
              <w:bottom w:val="single" w:sz="4" w:space="0" w:color="000000"/>
              <w:right w:val="nil"/>
            </w:tcBorders>
            <w:shd w:val="clear" w:color="auto" w:fill="E2EFD9" w:themeFill="accent6" w:themeFillTint="33"/>
            <w:vAlign w:val="center"/>
            <w:hideMark/>
          </w:tcPr>
          <w:p w14:paraId="18280ADA" w14:textId="77777777" w:rsidR="00831CCA" w:rsidRPr="006B42D6" w:rsidRDefault="00831CCA" w:rsidP="0003283E">
            <w:pPr>
              <w:spacing w:line="240" w:lineRule="auto"/>
              <w:jc w:val="center"/>
              <w:rPr>
                <w:sz w:val="16"/>
                <w:szCs w:val="16"/>
              </w:rPr>
            </w:pPr>
          </w:p>
        </w:tc>
        <w:tc>
          <w:tcPr>
            <w:tcW w:w="0" w:type="auto"/>
            <w:tcBorders>
              <w:top w:val="nil"/>
              <w:left w:val="nil"/>
              <w:bottom w:val="single" w:sz="4" w:space="0" w:color="auto"/>
              <w:right w:val="nil"/>
            </w:tcBorders>
            <w:shd w:val="clear" w:color="auto" w:fill="E2EFD9" w:themeFill="accent6" w:themeFillTint="33"/>
            <w:vAlign w:val="center"/>
            <w:hideMark/>
          </w:tcPr>
          <w:p w14:paraId="53351E1E" w14:textId="47D9D218" w:rsidR="00831CCA" w:rsidRPr="006B42D6" w:rsidRDefault="00831CCA" w:rsidP="0003283E">
            <w:pPr>
              <w:spacing w:line="240" w:lineRule="auto"/>
              <w:jc w:val="center"/>
              <w:rPr>
                <w:sz w:val="16"/>
                <w:szCs w:val="16"/>
              </w:rPr>
            </w:pPr>
            <w:r w:rsidRPr="006B42D6">
              <w:rPr>
                <w:sz w:val="16"/>
                <w:szCs w:val="16"/>
              </w:rPr>
              <w:t>Kgs</w:t>
            </w:r>
          </w:p>
        </w:tc>
        <w:tc>
          <w:tcPr>
            <w:tcW w:w="0" w:type="auto"/>
            <w:tcBorders>
              <w:top w:val="nil"/>
              <w:left w:val="nil"/>
              <w:bottom w:val="single" w:sz="4" w:space="0" w:color="auto"/>
              <w:right w:val="nil"/>
            </w:tcBorders>
            <w:shd w:val="clear" w:color="auto" w:fill="E2EFD9" w:themeFill="accent6" w:themeFillTint="33"/>
            <w:vAlign w:val="center"/>
            <w:hideMark/>
          </w:tcPr>
          <w:p w14:paraId="37D14555" w14:textId="77777777" w:rsidR="00831CCA" w:rsidRPr="006B42D6" w:rsidRDefault="00831CCA" w:rsidP="0003283E">
            <w:pPr>
              <w:spacing w:line="240" w:lineRule="auto"/>
              <w:jc w:val="center"/>
              <w:rPr>
                <w:sz w:val="16"/>
                <w:szCs w:val="16"/>
              </w:rPr>
            </w:pPr>
            <w:r w:rsidRPr="006B42D6">
              <w:rPr>
                <w:sz w:val="16"/>
                <w:szCs w:val="16"/>
              </w:rPr>
              <w:t>Percent</w:t>
            </w:r>
          </w:p>
        </w:tc>
      </w:tr>
      <w:tr w:rsidR="006B42D6" w:rsidRPr="006B42D6" w14:paraId="2ECA0557" w14:textId="77777777" w:rsidTr="0003283E">
        <w:trPr>
          <w:trHeight w:val="450"/>
        </w:trPr>
        <w:tc>
          <w:tcPr>
            <w:tcW w:w="0" w:type="auto"/>
            <w:tcBorders>
              <w:top w:val="nil"/>
              <w:left w:val="nil"/>
              <w:bottom w:val="nil"/>
              <w:right w:val="nil"/>
            </w:tcBorders>
            <w:shd w:val="clear" w:color="auto" w:fill="auto"/>
            <w:vAlign w:val="center"/>
            <w:hideMark/>
          </w:tcPr>
          <w:p w14:paraId="0CA7BEA6" w14:textId="77777777" w:rsidR="00831CCA" w:rsidRPr="006B42D6" w:rsidRDefault="00831CCA" w:rsidP="000E752A">
            <w:pPr>
              <w:jc w:val="left"/>
              <w:rPr>
                <w:sz w:val="16"/>
                <w:szCs w:val="16"/>
              </w:rPr>
            </w:pPr>
            <w:r w:rsidRPr="006B42D6">
              <w:rPr>
                <w:sz w:val="16"/>
                <w:szCs w:val="16"/>
              </w:rPr>
              <w:t>Homemade feeds</w:t>
            </w:r>
          </w:p>
        </w:tc>
        <w:tc>
          <w:tcPr>
            <w:tcW w:w="0" w:type="auto"/>
            <w:tcBorders>
              <w:top w:val="nil"/>
              <w:left w:val="single" w:sz="4" w:space="0" w:color="auto"/>
              <w:bottom w:val="nil"/>
              <w:right w:val="nil"/>
            </w:tcBorders>
            <w:shd w:val="clear" w:color="auto" w:fill="auto"/>
            <w:noWrap/>
            <w:vAlign w:val="center"/>
            <w:hideMark/>
          </w:tcPr>
          <w:p w14:paraId="1A49AF36" w14:textId="77777777" w:rsidR="00831CCA" w:rsidRPr="006B42D6" w:rsidRDefault="00831CCA" w:rsidP="000E752A">
            <w:pPr>
              <w:jc w:val="center"/>
              <w:rPr>
                <w:sz w:val="16"/>
                <w:szCs w:val="16"/>
              </w:rPr>
            </w:pPr>
            <w:r w:rsidRPr="006B42D6">
              <w:rPr>
                <w:sz w:val="16"/>
                <w:szCs w:val="16"/>
              </w:rPr>
              <w:t>19,828</w:t>
            </w:r>
          </w:p>
        </w:tc>
        <w:tc>
          <w:tcPr>
            <w:tcW w:w="0" w:type="auto"/>
            <w:tcBorders>
              <w:top w:val="nil"/>
              <w:left w:val="nil"/>
              <w:bottom w:val="nil"/>
              <w:right w:val="nil"/>
            </w:tcBorders>
            <w:shd w:val="clear" w:color="auto" w:fill="auto"/>
            <w:noWrap/>
            <w:vAlign w:val="center"/>
            <w:hideMark/>
          </w:tcPr>
          <w:p w14:paraId="17D37A58" w14:textId="77777777" w:rsidR="00831CCA" w:rsidRPr="006B42D6" w:rsidRDefault="00831CCA" w:rsidP="000E752A">
            <w:pPr>
              <w:jc w:val="center"/>
              <w:rPr>
                <w:sz w:val="16"/>
                <w:szCs w:val="16"/>
              </w:rPr>
            </w:pPr>
            <w:r w:rsidRPr="006B42D6">
              <w:rPr>
                <w:sz w:val="16"/>
                <w:szCs w:val="16"/>
              </w:rPr>
              <w:t>224,517</w:t>
            </w:r>
          </w:p>
        </w:tc>
        <w:tc>
          <w:tcPr>
            <w:tcW w:w="0" w:type="auto"/>
            <w:tcBorders>
              <w:top w:val="nil"/>
              <w:left w:val="nil"/>
              <w:bottom w:val="nil"/>
              <w:right w:val="nil"/>
            </w:tcBorders>
            <w:shd w:val="clear" w:color="auto" w:fill="auto"/>
            <w:noWrap/>
            <w:vAlign w:val="center"/>
            <w:hideMark/>
          </w:tcPr>
          <w:p w14:paraId="27093FA3" w14:textId="77777777" w:rsidR="00831CCA" w:rsidRPr="006B42D6" w:rsidRDefault="00831CCA" w:rsidP="000E752A">
            <w:pPr>
              <w:jc w:val="center"/>
              <w:rPr>
                <w:sz w:val="16"/>
                <w:szCs w:val="16"/>
              </w:rPr>
            </w:pPr>
            <w:r w:rsidRPr="006B42D6">
              <w:rPr>
                <w:sz w:val="16"/>
                <w:szCs w:val="16"/>
              </w:rPr>
              <w:t>88.4</w:t>
            </w:r>
          </w:p>
        </w:tc>
        <w:tc>
          <w:tcPr>
            <w:tcW w:w="0" w:type="auto"/>
            <w:tcBorders>
              <w:top w:val="nil"/>
              <w:left w:val="single" w:sz="4" w:space="0" w:color="auto"/>
              <w:bottom w:val="nil"/>
              <w:right w:val="nil"/>
            </w:tcBorders>
            <w:shd w:val="clear" w:color="auto" w:fill="auto"/>
            <w:noWrap/>
            <w:vAlign w:val="center"/>
            <w:hideMark/>
          </w:tcPr>
          <w:p w14:paraId="28DB1680" w14:textId="77777777" w:rsidR="00831CCA" w:rsidRPr="006B42D6" w:rsidRDefault="00831CCA" w:rsidP="000E752A">
            <w:pPr>
              <w:jc w:val="center"/>
              <w:rPr>
                <w:sz w:val="16"/>
                <w:szCs w:val="16"/>
              </w:rPr>
            </w:pPr>
            <w:r w:rsidRPr="006B42D6">
              <w:rPr>
                <w:sz w:val="16"/>
                <w:szCs w:val="16"/>
              </w:rPr>
              <w:t>19,603</w:t>
            </w:r>
          </w:p>
        </w:tc>
        <w:tc>
          <w:tcPr>
            <w:tcW w:w="0" w:type="auto"/>
            <w:tcBorders>
              <w:top w:val="nil"/>
              <w:left w:val="nil"/>
              <w:bottom w:val="nil"/>
              <w:right w:val="nil"/>
            </w:tcBorders>
            <w:shd w:val="clear" w:color="auto" w:fill="auto"/>
            <w:noWrap/>
            <w:vAlign w:val="center"/>
            <w:hideMark/>
          </w:tcPr>
          <w:p w14:paraId="77FAEE82" w14:textId="77777777" w:rsidR="00831CCA" w:rsidRPr="006B42D6" w:rsidRDefault="00831CCA" w:rsidP="000E752A">
            <w:pPr>
              <w:jc w:val="center"/>
              <w:rPr>
                <w:sz w:val="16"/>
                <w:szCs w:val="16"/>
              </w:rPr>
            </w:pPr>
            <w:r w:rsidRPr="006B42D6">
              <w:rPr>
                <w:sz w:val="16"/>
                <w:szCs w:val="16"/>
              </w:rPr>
              <w:t>224,457</w:t>
            </w:r>
          </w:p>
        </w:tc>
        <w:tc>
          <w:tcPr>
            <w:tcW w:w="0" w:type="auto"/>
            <w:tcBorders>
              <w:top w:val="nil"/>
              <w:left w:val="nil"/>
              <w:bottom w:val="nil"/>
              <w:right w:val="single" w:sz="4" w:space="0" w:color="auto"/>
            </w:tcBorders>
            <w:shd w:val="clear" w:color="auto" w:fill="auto"/>
            <w:noWrap/>
            <w:vAlign w:val="center"/>
            <w:hideMark/>
          </w:tcPr>
          <w:p w14:paraId="709CF266" w14:textId="77777777" w:rsidR="00831CCA" w:rsidRPr="006B42D6" w:rsidRDefault="00831CCA" w:rsidP="000E752A">
            <w:pPr>
              <w:jc w:val="center"/>
              <w:rPr>
                <w:sz w:val="16"/>
                <w:szCs w:val="16"/>
              </w:rPr>
            </w:pPr>
            <w:r w:rsidRPr="006B42D6">
              <w:rPr>
                <w:sz w:val="16"/>
                <w:szCs w:val="16"/>
              </w:rPr>
              <w:t>89.3</w:t>
            </w:r>
          </w:p>
        </w:tc>
        <w:tc>
          <w:tcPr>
            <w:tcW w:w="0" w:type="auto"/>
            <w:tcBorders>
              <w:top w:val="nil"/>
              <w:left w:val="nil"/>
              <w:bottom w:val="nil"/>
              <w:right w:val="nil"/>
            </w:tcBorders>
            <w:shd w:val="clear" w:color="auto" w:fill="auto"/>
            <w:noWrap/>
            <w:vAlign w:val="center"/>
            <w:hideMark/>
          </w:tcPr>
          <w:p w14:paraId="500C38F3" w14:textId="77777777" w:rsidR="00831CCA" w:rsidRPr="006B42D6" w:rsidRDefault="00831CCA" w:rsidP="000E752A">
            <w:pPr>
              <w:jc w:val="center"/>
              <w:rPr>
                <w:sz w:val="16"/>
                <w:szCs w:val="16"/>
              </w:rPr>
            </w:pPr>
            <w:r w:rsidRPr="006B42D6">
              <w:rPr>
                <w:sz w:val="16"/>
                <w:szCs w:val="16"/>
              </w:rPr>
              <w:t>225</w:t>
            </w:r>
          </w:p>
        </w:tc>
        <w:tc>
          <w:tcPr>
            <w:tcW w:w="0" w:type="auto"/>
            <w:tcBorders>
              <w:top w:val="nil"/>
              <w:left w:val="nil"/>
              <w:bottom w:val="nil"/>
              <w:right w:val="nil"/>
            </w:tcBorders>
            <w:shd w:val="clear" w:color="auto" w:fill="auto"/>
            <w:noWrap/>
            <w:vAlign w:val="center"/>
            <w:hideMark/>
          </w:tcPr>
          <w:p w14:paraId="7FF1B2E4" w14:textId="77777777" w:rsidR="00831CCA" w:rsidRPr="006B42D6" w:rsidRDefault="00831CCA" w:rsidP="000E752A">
            <w:pPr>
              <w:jc w:val="center"/>
              <w:rPr>
                <w:sz w:val="16"/>
                <w:szCs w:val="16"/>
              </w:rPr>
            </w:pPr>
            <w:r w:rsidRPr="006B42D6">
              <w:rPr>
                <w:sz w:val="16"/>
                <w:szCs w:val="16"/>
              </w:rPr>
              <w:t>60</w:t>
            </w:r>
          </w:p>
        </w:tc>
        <w:tc>
          <w:tcPr>
            <w:tcW w:w="0" w:type="auto"/>
            <w:tcBorders>
              <w:top w:val="nil"/>
              <w:left w:val="nil"/>
              <w:bottom w:val="nil"/>
              <w:right w:val="nil"/>
            </w:tcBorders>
            <w:shd w:val="clear" w:color="auto" w:fill="auto"/>
            <w:noWrap/>
            <w:vAlign w:val="center"/>
            <w:hideMark/>
          </w:tcPr>
          <w:p w14:paraId="7668D541" w14:textId="77777777" w:rsidR="00831CCA" w:rsidRPr="006B42D6" w:rsidRDefault="00831CCA" w:rsidP="000E752A">
            <w:pPr>
              <w:jc w:val="center"/>
              <w:rPr>
                <w:sz w:val="16"/>
                <w:szCs w:val="16"/>
              </w:rPr>
            </w:pPr>
            <w:r w:rsidRPr="006B42D6">
              <w:rPr>
                <w:sz w:val="16"/>
                <w:szCs w:val="16"/>
              </w:rPr>
              <w:t>2.2</w:t>
            </w:r>
          </w:p>
        </w:tc>
      </w:tr>
      <w:tr w:rsidR="006B42D6" w:rsidRPr="006B42D6" w14:paraId="328FC26F" w14:textId="77777777" w:rsidTr="0003283E">
        <w:trPr>
          <w:trHeight w:val="675"/>
        </w:trPr>
        <w:tc>
          <w:tcPr>
            <w:tcW w:w="0" w:type="auto"/>
            <w:tcBorders>
              <w:top w:val="nil"/>
              <w:left w:val="nil"/>
              <w:bottom w:val="nil"/>
              <w:right w:val="nil"/>
            </w:tcBorders>
            <w:shd w:val="clear" w:color="auto" w:fill="auto"/>
            <w:vAlign w:val="center"/>
            <w:hideMark/>
          </w:tcPr>
          <w:p w14:paraId="173BB5A5" w14:textId="77777777" w:rsidR="00831CCA" w:rsidRPr="006B42D6" w:rsidRDefault="00831CCA" w:rsidP="000E752A">
            <w:pPr>
              <w:jc w:val="left"/>
              <w:rPr>
                <w:sz w:val="16"/>
                <w:szCs w:val="16"/>
              </w:rPr>
            </w:pPr>
            <w:r w:rsidRPr="006B42D6">
              <w:rPr>
                <w:sz w:val="16"/>
                <w:szCs w:val="16"/>
              </w:rPr>
              <w:t>Locally compounded feeds</w:t>
            </w:r>
          </w:p>
        </w:tc>
        <w:tc>
          <w:tcPr>
            <w:tcW w:w="0" w:type="auto"/>
            <w:tcBorders>
              <w:top w:val="nil"/>
              <w:left w:val="single" w:sz="4" w:space="0" w:color="auto"/>
              <w:bottom w:val="nil"/>
              <w:right w:val="nil"/>
            </w:tcBorders>
            <w:shd w:val="clear" w:color="auto" w:fill="auto"/>
            <w:noWrap/>
            <w:vAlign w:val="center"/>
            <w:hideMark/>
          </w:tcPr>
          <w:p w14:paraId="68B44904" w14:textId="77777777" w:rsidR="00831CCA" w:rsidRPr="006B42D6" w:rsidRDefault="00831CCA" w:rsidP="000E752A">
            <w:pPr>
              <w:jc w:val="center"/>
              <w:rPr>
                <w:sz w:val="16"/>
                <w:szCs w:val="16"/>
              </w:rPr>
            </w:pPr>
            <w:r w:rsidRPr="006B42D6">
              <w:rPr>
                <w:sz w:val="16"/>
                <w:szCs w:val="16"/>
              </w:rPr>
              <w:t>3,568</w:t>
            </w:r>
          </w:p>
        </w:tc>
        <w:tc>
          <w:tcPr>
            <w:tcW w:w="0" w:type="auto"/>
            <w:tcBorders>
              <w:top w:val="nil"/>
              <w:left w:val="nil"/>
              <w:bottom w:val="nil"/>
              <w:right w:val="nil"/>
            </w:tcBorders>
            <w:shd w:val="clear" w:color="auto" w:fill="auto"/>
            <w:noWrap/>
            <w:vAlign w:val="center"/>
            <w:hideMark/>
          </w:tcPr>
          <w:p w14:paraId="676202A1" w14:textId="77777777" w:rsidR="00831CCA" w:rsidRPr="006B42D6" w:rsidRDefault="00831CCA" w:rsidP="000E752A">
            <w:pPr>
              <w:jc w:val="center"/>
              <w:rPr>
                <w:sz w:val="16"/>
                <w:szCs w:val="16"/>
              </w:rPr>
            </w:pPr>
            <w:r w:rsidRPr="006B42D6">
              <w:rPr>
                <w:sz w:val="16"/>
                <w:szCs w:val="16"/>
              </w:rPr>
              <w:t>21,556</w:t>
            </w:r>
          </w:p>
        </w:tc>
        <w:tc>
          <w:tcPr>
            <w:tcW w:w="0" w:type="auto"/>
            <w:tcBorders>
              <w:top w:val="nil"/>
              <w:left w:val="nil"/>
              <w:bottom w:val="nil"/>
              <w:right w:val="nil"/>
            </w:tcBorders>
            <w:shd w:val="clear" w:color="auto" w:fill="auto"/>
            <w:noWrap/>
            <w:vAlign w:val="center"/>
            <w:hideMark/>
          </w:tcPr>
          <w:p w14:paraId="360BD512" w14:textId="77777777" w:rsidR="00831CCA" w:rsidRPr="006B42D6" w:rsidRDefault="00831CCA" w:rsidP="000E752A">
            <w:pPr>
              <w:jc w:val="center"/>
              <w:rPr>
                <w:sz w:val="16"/>
                <w:szCs w:val="16"/>
              </w:rPr>
            </w:pPr>
            <w:r w:rsidRPr="006B42D6">
              <w:rPr>
                <w:sz w:val="16"/>
                <w:szCs w:val="16"/>
              </w:rPr>
              <w:t>8.5</w:t>
            </w:r>
          </w:p>
        </w:tc>
        <w:tc>
          <w:tcPr>
            <w:tcW w:w="0" w:type="auto"/>
            <w:tcBorders>
              <w:top w:val="nil"/>
              <w:left w:val="single" w:sz="4" w:space="0" w:color="auto"/>
              <w:bottom w:val="nil"/>
              <w:right w:val="nil"/>
            </w:tcBorders>
            <w:shd w:val="clear" w:color="auto" w:fill="auto"/>
            <w:noWrap/>
            <w:vAlign w:val="center"/>
            <w:hideMark/>
          </w:tcPr>
          <w:p w14:paraId="7EF9F3AB" w14:textId="77777777" w:rsidR="00831CCA" w:rsidRPr="006B42D6" w:rsidRDefault="00831CCA" w:rsidP="000E752A">
            <w:pPr>
              <w:jc w:val="center"/>
              <w:rPr>
                <w:sz w:val="16"/>
                <w:szCs w:val="16"/>
              </w:rPr>
            </w:pPr>
            <w:r w:rsidRPr="006B42D6">
              <w:rPr>
                <w:sz w:val="16"/>
                <w:szCs w:val="16"/>
              </w:rPr>
              <w:t>3,426</w:t>
            </w:r>
          </w:p>
        </w:tc>
        <w:tc>
          <w:tcPr>
            <w:tcW w:w="0" w:type="auto"/>
            <w:tcBorders>
              <w:top w:val="nil"/>
              <w:left w:val="nil"/>
              <w:bottom w:val="nil"/>
              <w:right w:val="nil"/>
            </w:tcBorders>
            <w:shd w:val="clear" w:color="auto" w:fill="auto"/>
            <w:noWrap/>
            <w:vAlign w:val="center"/>
            <w:hideMark/>
          </w:tcPr>
          <w:p w14:paraId="5605E90C" w14:textId="77777777" w:rsidR="00831CCA" w:rsidRPr="006B42D6" w:rsidRDefault="00831CCA" w:rsidP="000E752A">
            <w:pPr>
              <w:jc w:val="center"/>
              <w:rPr>
                <w:sz w:val="16"/>
                <w:szCs w:val="16"/>
              </w:rPr>
            </w:pPr>
            <w:r w:rsidRPr="006B42D6">
              <w:rPr>
                <w:sz w:val="16"/>
                <w:szCs w:val="16"/>
              </w:rPr>
              <w:t>18,856</w:t>
            </w:r>
          </w:p>
        </w:tc>
        <w:tc>
          <w:tcPr>
            <w:tcW w:w="0" w:type="auto"/>
            <w:tcBorders>
              <w:top w:val="nil"/>
              <w:left w:val="nil"/>
              <w:bottom w:val="nil"/>
              <w:right w:val="single" w:sz="4" w:space="0" w:color="auto"/>
            </w:tcBorders>
            <w:shd w:val="clear" w:color="auto" w:fill="auto"/>
            <w:noWrap/>
            <w:vAlign w:val="center"/>
            <w:hideMark/>
          </w:tcPr>
          <w:p w14:paraId="3BCA4A00" w14:textId="77777777" w:rsidR="00831CCA" w:rsidRPr="006B42D6" w:rsidRDefault="00831CCA" w:rsidP="000E752A">
            <w:pPr>
              <w:jc w:val="center"/>
              <w:rPr>
                <w:sz w:val="16"/>
                <w:szCs w:val="16"/>
              </w:rPr>
            </w:pPr>
            <w:r w:rsidRPr="006B42D6">
              <w:rPr>
                <w:sz w:val="16"/>
                <w:szCs w:val="16"/>
              </w:rPr>
              <w:t>7.5</w:t>
            </w:r>
          </w:p>
        </w:tc>
        <w:tc>
          <w:tcPr>
            <w:tcW w:w="0" w:type="auto"/>
            <w:tcBorders>
              <w:top w:val="nil"/>
              <w:left w:val="nil"/>
              <w:bottom w:val="nil"/>
              <w:right w:val="nil"/>
            </w:tcBorders>
            <w:shd w:val="clear" w:color="auto" w:fill="auto"/>
            <w:noWrap/>
            <w:vAlign w:val="center"/>
            <w:hideMark/>
          </w:tcPr>
          <w:p w14:paraId="5A85B744" w14:textId="77777777" w:rsidR="00831CCA" w:rsidRPr="006B42D6" w:rsidRDefault="00831CCA" w:rsidP="000E752A">
            <w:pPr>
              <w:jc w:val="center"/>
              <w:rPr>
                <w:sz w:val="16"/>
                <w:szCs w:val="16"/>
              </w:rPr>
            </w:pPr>
            <w:r w:rsidRPr="006B42D6">
              <w:rPr>
                <w:sz w:val="16"/>
                <w:szCs w:val="16"/>
              </w:rPr>
              <w:t>142</w:t>
            </w:r>
          </w:p>
        </w:tc>
        <w:tc>
          <w:tcPr>
            <w:tcW w:w="0" w:type="auto"/>
            <w:tcBorders>
              <w:top w:val="nil"/>
              <w:left w:val="nil"/>
              <w:bottom w:val="nil"/>
              <w:right w:val="nil"/>
            </w:tcBorders>
            <w:shd w:val="clear" w:color="auto" w:fill="auto"/>
            <w:noWrap/>
            <w:vAlign w:val="center"/>
            <w:hideMark/>
          </w:tcPr>
          <w:p w14:paraId="56D4A0AA" w14:textId="77777777" w:rsidR="00831CCA" w:rsidRPr="006B42D6" w:rsidRDefault="00831CCA" w:rsidP="000E752A">
            <w:pPr>
              <w:jc w:val="center"/>
              <w:rPr>
                <w:sz w:val="16"/>
                <w:szCs w:val="16"/>
              </w:rPr>
            </w:pPr>
            <w:r w:rsidRPr="006B42D6">
              <w:rPr>
                <w:sz w:val="16"/>
                <w:szCs w:val="16"/>
              </w:rPr>
              <w:t>2,700</w:t>
            </w:r>
          </w:p>
        </w:tc>
        <w:tc>
          <w:tcPr>
            <w:tcW w:w="0" w:type="auto"/>
            <w:tcBorders>
              <w:top w:val="nil"/>
              <w:left w:val="nil"/>
              <w:bottom w:val="nil"/>
              <w:right w:val="nil"/>
            </w:tcBorders>
            <w:shd w:val="clear" w:color="auto" w:fill="auto"/>
            <w:noWrap/>
            <w:vAlign w:val="center"/>
            <w:hideMark/>
          </w:tcPr>
          <w:p w14:paraId="3624885A" w14:textId="77777777" w:rsidR="00831CCA" w:rsidRPr="006B42D6" w:rsidRDefault="00831CCA" w:rsidP="000E752A">
            <w:pPr>
              <w:jc w:val="center"/>
              <w:rPr>
                <w:sz w:val="16"/>
                <w:szCs w:val="16"/>
              </w:rPr>
            </w:pPr>
            <w:r w:rsidRPr="006B42D6">
              <w:rPr>
                <w:sz w:val="16"/>
                <w:szCs w:val="16"/>
              </w:rPr>
              <w:t>97.8</w:t>
            </w:r>
          </w:p>
        </w:tc>
      </w:tr>
      <w:tr w:rsidR="006B42D6" w:rsidRPr="006B42D6" w14:paraId="6BC07CA6" w14:textId="77777777" w:rsidTr="0003283E">
        <w:trPr>
          <w:trHeight w:val="675"/>
        </w:trPr>
        <w:tc>
          <w:tcPr>
            <w:tcW w:w="0" w:type="auto"/>
            <w:tcBorders>
              <w:top w:val="nil"/>
              <w:left w:val="nil"/>
              <w:bottom w:val="nil"/>
              <w:right w:val="nil"/>
            </w:tcBorders>
            <w:shd w:val="clear" w:color="auto" w:fill="auto"/>
            <w:vAlign w:val="center"/>
            <w:hideMark/>
          </w:tcPr>
          <w:p w14:paraId="5022D8B7" w14:textId="77777777" w:rsidR="00831CCA" w:rsidRPr="006B42D6" w:rsidRDefault="00831CCA" w:rsidP="000E752A">
            <w:pPr>
              <w:jc w:val="left"/>
              <w:rPr>
                <w:sz w:val="16"/>
                <w:szCs w:val="16"/>
              </w:rPr>
            </w:pPr>
            <w:r w:rsidRPr="006B42D6">
              <w:rPr>
                <w:sz w:val="16"/>
                <w:szCs w:val="16"/>
              </w:rPr>
              <w:t>Imported manufactured feeds</w:t>
            </w:r>
          </w:p>
        </w:tc>
        <w:tc>
          <w:tcPr>
            <w:tcW w:w="0" w:type="auto"/>
            <w:tcBorders>
              <w:top w:val="nil"/>
              <w:left w:val="single" w:sz="4" w:space="0" w:color="auto"/>
              <w:bottom w:val="nil"/>
              <w:right w:val="nil"/>
            </w:tcBorders>
            <w:shd w:val="clear" w:color="auto" w:fill="auto"/>
            <w:noWrap/>
            <w:vAlign w:val="center"/>
            <w:hideMark/>
          </w:tcPr>
          <w:p w14:paraId="63E0CDC1" w14:textId="77777777" w:rsidR="00831CCA" w:rsidRPr="006B42D6" w:rsidRDefault="00831CCA" w:rsidP="000E752A">
            <w:pPr>
              <w:jc w:val="center"/>
              <w:rPr>
                <w:sz w:val="16"/>
                <w:szCs w:val="16"/>
              </w:rPr>
            </w:pPr>
            <w:r w:rsidRPr="006B42D6">
              <w:rPr>
                <w:sz w:val="16"/>
                <w:szCs w:val="16"/>
              </w:rPr>
              <w:t>398</w:t>
            </w:r>
          </w:p>
        </w:tc>
        <w:tc>
          <w:tcPr>
            <w:tcW w:w="0" w:type="auto"/>
            <w:tcBorders>
              <w:top w:val="nil"/>
              <w:left w:val="nil"/>
              <w:bottom w:val="nil"/>
              <w:right w:val="nil"/>
            </w:tcBorders>
            <w:shd w:val="clear" w:color="auto" w:fill="auto"/>
            <w:noWrap/>
            <w:vAlign w:val="center"/>
            <w:hideMark/>
          </w:tcPr>
          <w:p w14:paraId="424246D2" w14:textId="77777777" w:rsidR="00831CCA" w:rsidRPr="006B42D6" w:rsidRDefault="00831CCA" w:rsidP="000E752A">
            <w:pPr>
              <w:jc w:val="center"/>
              <w:rPr>
                <w:sz w:val="16"/>
                <w:szCs w:val="16"/>
              </w:rPr>
            </w:pPr>
            <w:r w:rsidRPr="006B42D6">
              <w:rPr>
                <w:sz w:val="16"/>
                <w:szCs w:val="16"/>
              </w:rPr>
              <w:t>4,045</w:t>
            </w:r>
          </w:p>
        </w:tc>
        <w:tc>
          <w:tcPr>
            <w:tcW w:w="0" w:type="auto"/>
            <w:tcBorders>
              <w:top w:val="nil"/>
              <w:left w:val="nil"/>
              <w:bottom w:val="nil"/>
              <w:right w:val="nil"/>
            </w:tcBorders>
            <w:shd w:val="clear" w:color="auto" w:fill="auto"/>
            <w:noWrap/>
            <w:vAlign w:val="center"/>
            <w:hideMark/>
          </w:tcPr>
          <w:p w14:paraId="03A3BABD" w14:textId="77777777" w:rsidR="00831CCA" w:rsidRPr="006B42D6" w:rsidRDefault="00831CCA" w:rsidP="000E752A">
            <w:pPr>
              <w:jc w:val="center"/>
              <w:rPr>
                <w:sz w:val="16"/>
                <w:szCs w:val="16"/>
              </w:rPr>
            </w:pPr>
            <w:r w:rsidRPr="006B42D6">
              <w:rPr>
                <w:sz w:val="16"/>
                <w:szCs w:val="16"/>
              </w:rPr>
              <w:t>1.6</w:t>
            </w:r>
          </w:p>
        </w:tc>
        <w:tc>
          <w:tcPr>
            <w:tcW w:w="0" w:type="auto"/>
            <w:tcBorders>
              <w:top w:val="nil"/>
              <w:left w:val="single" w:sz="4" w:space="0" w:color="auto"/>
              <w:bottom w:val="nil"/>
              <w:right w:val="nil"/>
            </w:tcBorders>
            <w:shd w:val="clear" w:color="auto" w:fill="auto"/>
            <w:noWrap/>
            <w:vAlign w:val="center"/>
            <w:hideMark/>
          </w:tcPr>
          <w:p w14:paraId="3B3F8CF9" w14:textId="77777777" w:rsidR="00831CCA" w:rsidRPr="006B42D6" w:rsidRDefault="00831CCA" w:rsidP="000E752A">
            <w:pPr>
              <w:jc w:val="center"/>
              <w:rPr>
                <w:sz w:val="16"/>
                <w:szCs w:val="16"/>
              </w:rPr>
            </w:pPr>
            <w:r w:rsidRPr="006B42D6">
              <w:rPr>
                <w:sz w:val="16"/>
                <w:szCs w:val="16"/>
              </w:rPr>
              <w:t>398</w:t>
            </w:r>
          </w:p>
        </w:tc>
        <w:tc>
          <w:tcPr>
            <w:tcW w:w="0" w:type="auto"/>
            <w:tcBorders>
              <w:top w:val="nil"/>
              <w:left w:val="nil"/>
              <w:bottom w:val="nil"/>
              <w:right w:val="nil"/>
            </w:tcBorders>
            <w:shd w:val="clear" w:color="auto" w:fill="auto"/>
            <w:noWrap/>
            <w:vAlign w:val="center"/>
            <w:hideMark/>
          </w:tcPr>
          <w:p w14:paraId="100FFBA9" w14:textId="77777777" w:rsidR="00831CCA" w:rsidRPr="006B42D6" w:rsidRDefault="00831CCA" w:rsidP="000E752A">
            <w:pPr>
              <w:jc w:val="center"/>
              <w:rPr>
                <w:sz w:val="16"/>
                <w:szCs w:val="16"/>
              </w:rPr>
            </w:pPr>
            <w:r w:rsidRPr="006B42D6">
              <w:rPr>
                <w:sz w:val="16"/>
                <w:szCs w:val="16"/>
              </w:rPr>
              <w:t>4,045</w:t>
            </w:r>
          </w:p>
        </w:tc>
        <w:tc>
          <w:tcPr>
            <w:tcW w:w="0" w:type="auto"/>
            <w:tcBorders>
              <w:top w:val="nil"/>
              <w:left w:val="nil"/>
              <w:bottom w:val="nil"/>
              <w:right w:val="single" w:sz="4" w:space="0" w:color="auto"/>
            </w:tcBorders>
            <w:shd w:val="clear" w:color="auto" w:fill="auto"/>
            <w:noWrap/>
            <w:vAlign w:val="center"/>
            <w:hideMark/>
          </w:tcPr>
          <w:p w14:paraId="503635A5" w14:textId="77777777" w:rsidR="00831CCA" w:rsidRPr="006B42D6" w:rsidRDefault="00831CCA" w:rsidP="000E752A">
            <w:pPr>
              <w:jc w:val="center"/>
              <w:rPr>
                <w:sz w:val="16"/>
                <w:szCs w:val="16"/>
              </w:rPr>
            </w:pPr>
            <w:r w:rsidRPr="006B42D6">
              <w:rPr>
                <w:sz w:val="16"/>
                <w:szCs w:val="16"/>
              </w:rPr>
              <w:t>1.6</w:t>
            </w:r>
          </w:p>
        </w:tc>
        <w:tc>
          <w:tcPr>
            <w:tcW w:w="0" w:type="auto"/>
            <w:tcBorders>
              <w:top w:val="nil"/>
              <w:left w:val="nil"/>
              <w:bottom w:val="nil"/>
              <w:right w:val="nil"/>
            </w:tcBorders>
            <w:shd w:val="clear" w:color="auto" w:fill="auto"/>
            <w:noWrap/>
            <w:vAlign w:val="center"/>
            <w:hideMark/>
          </w:tcPr>
          <w:p w14:paraId="4AB4DE12" w14:textId="77777777" w:rsidR="00831CCA" w:rsidRPr="006B42D6" w:rsidRDefault="00831CCA" w:rsidP="000E752A">
            <w:pPr>
              <w:jc w:val="center"/>
              <w:rPr>
                <w:sz w:val="16"/>
                <w:szCs w:val="16"/>
              </w:rPr>
            </w:pPr>
            <w:r w:rsidRPr="006B42D6">
              <w:rPr>
                <w:sz w:val="16"/>
                <w:szCs w:val="16"/>
              </w:rPr>
              <w:t>0</w:t>
            </w:r>
          </w:p>
        </w:tc>
        <w:tc>
          <w:tcPr>
            <w:tcW w:w="0" w:type="auto"/>
            <w:tcBorders>
              <w:top w:val="nil"/>
              <w:left w:val="nil"/>
              <w:bottom w:val="nil"/>
              <w:right w:val="nil"/>
            </w:tcBorders>
            <w:shd w:val="clear" w:color="auto" w:fill="auto"/>
            <w:noWrap/>
            <w:vAlign w:val="center"/>
            <w:hideMark/>
          </w:tcPr>
          <w:p w14:paraId="17B83E4B" w14:textId="6AED8121" w:rsidR="00831CCA" w:rsidRPr="006B42D6" w:rsidRDefault="00A76720" w:rsidP="000E752A">
            <w:pPr>
              <w:jc w:val="center"/>
              <w:rPr>
                <w:sz w:val="16"/>
                <w:szCs w:val="16"/>
              </w:rPr>
            </w:pPr>
            <w:r w:rsidRPr="006B42D6">
              <w:rPr>
                <w:sz w:val="16"/>
                <w:szCs w:val="16"/>
              </w:rPr>
              <w:t>0</w:t>
            </w:r>
          </w:p>
        </w:tc>
        <w:tc>
          <w:tcPr>
            <w:tcW w:w="0" w:type="auto"/>
            <w:tcBorders>
              <w:top w:val="nil"/>
              <w:left w:val="nil"/>
              <w:bottom w:val="nil"/>
              <w:right w:val="nil"/>
            </w:tcBorders>
            <w:shd w:val="clear" w:color="auto" w:fill="auto"/>
            <w:noWrap/>
            <w:vAlign w:val="center"/>
            <w:hideMark/>
          </w:tcPr>
          <w:p w14:paraId="123A905A" w14:textId="77777777" w:rsidR="00831CCA" w:rsidRPr="006B42D6" w:rsidRDefault="00831CCA" w:rsidP="000E752A">
            <w:pPr>
              <w:jc w:val="center"/>
              <w:rPr>
                <w:sz w:val="16"/>
                <w:szCs w:val="16"/>
              </w:rPr>
            </w:pPr>
            <w:r w:rsidRPr="006B42D6">
              <w:rPr>
                <w:sz w:val="16"/>
                <w:szCs w:val="16"/>
              </w:rPr>
              <w:t>0</w:t>
            </w:r>
          </w:p>
        </w:tc>
      </w:tr>
      <w:tr w:rsidR="006B42D6" w:rsidRPr="006B42D6" w14:paraId="5BB2B693" w14:textId="77777777" w:rsidTr="0003283E">
        <w:trPr>
          <w:trHeight w:val="450"/>
        </w:trPr>
        <w:tc>
          <w:tcPr>
            <w:tcW w:w="0" w:type="auto"/>
            <w:tcBorders>
              <w:top w:val="nil"/>
              <w:left w:val="nil"/>
              <w:bottom w:val="nil"/>
              <w:right w:val="nil"/>
            </w:tcBorders>
            <w:shd w:val="clear" w:color="auto" w:fill="auto"/>
            <w:vAlign w:val="center"/>
            <w:hideMark/>
          </w:tcPr>
          <w:p w14:paraId="527ACFBC" w14:textId="77777777" w:rsidR="00831CCA" w:rsidRPr="006B42D6" w:rsidRDefault="00831CCA" w:rsidP="000E752A">
            <w:pPr>
              <w:jc w:val="left"/>
              <w:rPr>
                <w:sz w:val="16"/>
                <w:szCs w:val="16"/>
              </w:rPr>
            </w:pPr>
            <w:r w:rsidRPr="006B42D6">
              <w:rPr>
                <w:sz w:val="16"/>
                <w:szCs w:val="16"/>
              </w:rPr>
              <w:t>Other source</w:t>
            </w:r>
          </w:p>
        </w:tc>
        <w:tc>
          <w:tcPr>
            <w:tcW w:w="0" w:type="auto"/>
            <w:tcBorders>
              <w:top w:val="nil"/>
              <w:left w:val="single" w:sz="4" w:space="0" w:color="auto"/>
              <w:bottom w:val="nil"/>
              <w:right w:val="nil"/>
            </w:tcBorders>
            <w:shd w:val="clear" w:color="auto" w:fill="auto"/>
            <w:noWrap/>
            <w:vAlign w:val="center"/>
            <w:hideMark/>
          </w:tcPr>
          <w:p w14:paraId="4C803AA2" w14:textId="77777777" w:rsidR="00831CCA" w:rsidRPr="006B42D6" w:rsidRDefault="00831CCA" w:rsidP="000E752A">
            <w:pPr>
              <w:jc w:val="center"/>
              <w:rPr>
                <w:sz w:val="16"/>
                <w:szCs w:val="16"/>
              </w:rPr>
            </w:pPr>
            <w:r w:rsidRPr="006B42D6">
              <w:rPr>
                <w:sz w:val="16"/>
                <w:szCs w:val="16"/>
              </w:rPr>
              <w:t>2,868</w:t>
            </w:r>
          </w:p>
        </w:tc>
        <w:tc>
          <w:tcPr>
            <w:tcW w:w="0" w:type="auto"/>
            <w:tcBorders>
              <w:top w:val="nil"/>
              <w:left w:val="nil"/>
              <w:bottom w:val="nil"/>
              <w:right w:val="nil"/>
            </w:tcBorders>
            <w:shd w:val="clear" w:color="auto" w:fill="auto"/>
            <w:noWrap/>
            <w:vAlign w:val="center"/>
            <w:hideMark/>
          </w:tcPr>
          <w:p w14:paraId="6E5642CC" w14:textId="77777777" w:rsidR="00831CCA" w:rsidRPr="006B42D6" w:rsidRDefault="00831CCA" w:rsidP="000E752A">
            <w:pPr>
              <w:jc w:val="center"/>
              <w:rPr>
                <w:sz w:val="16"/>
                <w:szCs w:val="16"/>
              </w:rPr>
            </w:pPr>
            <w:r w:rsidRPr="006B42D6">
              <w:rPr>
                <w:sz w:val="16"/>
                <w:szCs w:val="16"/>
              </w:rPr>
              <w:t>3,920</w:t>
            </w:r>
          </w:p>
        </w:tc>
        <w:tc>
          <w:tcPr>
            <w:tcW w:w="0" w:type="auto"/>
            <w:tcBorders>
              <w:top w:val="nil"/>
              <w:left w:val="nil"/>
              <w:bottom w:val="nil"/>
              <w:right w:val="nil"/>
            </w:tcBorders>
            <w:shd w:val="clear" w:color="auto" w:fill="auto"/>
            <w:noWrap/>
            <w:vAlign w:val="center"/>
            <w:hideMark/>
          </w:tcPr>
          <w:p w14:paraId="7E4D862A" w14:textId="77777777" w:rsidR="00831CCA" w:rsidRPr="006B42D6" w:rsidRDefault="00831CCA" w:rsidP="000E752A">
            <w:pPr>
              <w:jc w:val="center"/>
              <w:rPr>
                <w:sz w:val="16"/>
                <w:szCs w:val="16"/>
              </w:rPr>
            </w:pPr>
            <w:r w:rsidRPr="006B42D6">
              <w:rPr>
                <w:sz w:val="16"/>
                <w:szCs w:val="16"/>
              </w:rPr>
              <w:t>1.5</w:t>
            </w:r>
          </w:p>
        </w:tc>
        <w:tc>
          <w:tcPr>
            <w:tcW w:w="0" w:type="auto"/>
            <w:tcBorders>
              <w:top w:val="nil"/>
              <w:left w:val="single" w:sz="4" w:space="0" w:color="auto"/>
              <w:bottom w:val="nil"/>
              <w:right w:val="nil"/>
            </w:tcBorders>
            <w:shd w:val="clear" w:color="auto" w:fill="auto"/>
            <w:noWrap/>
            <w:vAlign w:val="center"/>
            <w:hideMark/>
          </w:tcPr>
          <w:p w14:paraId="7F20F569" w14:textId="77777777" w:rsidR="00831CCA" w:rsidRPr="006B42D6" w:rsidRDefault="00831CCA" w:rsidP="000E752A">
            <w:pPr>
              <w:jc w:val="center"/>
              <w:rPr>
                <w:sz w:val="16"/>
                <w:szCs w:val="16"/>
              </w:rPr>
            </w:pPr>
            <w:r w:rsidRPr="006B42D6">
              <w:rPr>
                <w:sz w:val="16"/>
                <w:szCs w:val="16"/>
              </w:rPr>
              <w:t>2,868</w:t>
            </w:r>
          </w:p>
        </w:tc>
        <w:tc>
          <w:tcPr>
            <w:tcW w:w="0" w:type="auto"/>
            <w:tcBorders>
              <w:top w:val="nil"/>
              <w:left w:val="nil"/>
              <w:bottom w:val="nil"/>
              <w:right w:val="nil"/>
            </w:tcBorders>
            <w:shd w:val="clear" w:color="auto" w:fill="auto"/>
            <w:noWrap/>
            <w:vAlign w:val="center"/>
            <w:hideMark/>
          </w:tcPr>
          <w:p w14:paraId="2E73BC99" w14:textId="77777777" w:rsidR="00831CCA" w:rsidRPr="006B42D6" w:rsidRDefault="00831CCA" w:rsidP="000E752A">
            <w:pPr>
              <w:jc w:val="center"/>
              <w:rPr>
                <w:sz w:val="16"/>
                <w:szCs w:val="16"/>
              </w:rPr>
            </w:pPr>
            <w:r w:rsidRPr="006B42D6">
              <w:rPr>
                <w:sz w:val="16"/>
                <w:szCs w:val="16"/>
              </w:rPr>
              <w:t>3,920</w:t>
            </w:r>
          </w:p>
        </w:tc>
        <w:tc>
          <w:tcPr>
            <w:tcW w:w="0" w:type="auto"/>
            <w:tcBorders>
              <w:top w:val="nil"/>
              <w:left w:val="nil"/>
              <w:bottom w:val="nil"/>
              <w:right w:val="single" w:sz="4" w:space="0" w:color="auto"/>
            </w:tcBorders>
            <w:shd w:val="clear" w:color="auto" w:fill="auto"/>
            <w:noWrap/>
            <w:vAlign w:val="center"/>
            <w:hideMark/>
          </w:tcPr>
          <w:p w14:paraId="29171260" w14:textId="77777777" w:rsidR="00831CCA" w:rsidRPr="006B42D6" w:rsidRDefault="00831CCA" w:rsidP="000E752A">
            <w:pPr>
              <w:jc w:val="center"/>
              <w:rPr>
                <w:sz w:val="16"/>
                <w:szCs w:val="16"/>
              </w:rPr>
            </w:pPr>
            <w:r w:rsidRPr="006B42D6">
              <w:rPr>
                <w:sz w:val="16"/>
                <w:szCs w:val="16"/>
              </w:rPr>
              <w:t>1.6</w:t>
            </w:r>
          </w:p>
        </w:tc>
        <w:tc>
          <w:tcPr>
            <w:tcW w:w="0" w:type="auto"/>
            <w:tcBorders>
              <w:top w:val="nil"/>
              <w:left w:val="nil"/>
              <w:bottom w:val="nil"/>
              <w:right w:val="nil"/>
            </w:tcBorders>
            <w:shd w:val="clear" w:color="auto" w:fill="auto"/>
            <w:noWrap/>
            <w:vAlign w:val="center"/>
            <w:hideMark/>
          </w:tcPr>
          <w:p w14:paraId="7528A9B7" w14:textId="77777777" w:rsidR="00831CCA" w:rsidRPr="006B42D6" w:rsidRDefault="00831CCA" w:rsidP="000E752A">
            <w:pPr>
              <w:jc w:val="center"/>
              <w:rPr>
                <w:sz w:val="16"/>
                <w:szCs w:val="16"/>
              </w:rPr>
            </w:pPr>
            <w:r w:rsidRPr="006B42D6">
              <w:rPr>
                <w:sz w:val="16"/>
                <w:szCs w:val="16"/>
              </w:rPr>
              <w:t>0</w:t>
            </w:r>
          </w:p>
        </w:tc>
        <w:tc>
          <w:tcPr>
            <w:tcW w:w="0" w:type="auto"/>
            <w:tcBorders>
              <w:top w:val="nil"/>
              <w:left w:val="nil"/>
              <w:bottom w:val="nil"/>
              <w:right w:val="nil"/>
            </w:tcBorders>
            <w:shd w:val="clear" w:color="auto" w:fill="auto"/>
            <w:noWrap/>
            <w:vAlign w:val="center"/>
            <w:hideMark/>
          </w:tcPr>
          <w:p w14:paraId="3403BE34" w14:textId="347FD03E" w:rsidR="00831CCA" w:rsidRPr="006B42D6" w:rsidRDefault="00A76720" w:rsidP="000E752A">
            <w:pPr>
              <w:jc w:val="center"/>
              <w:rPr>
                <w:sz w:val="16"/>
                <w:szCs w:val="16"/>
              </w:rPr>
            </w:pPr>
            <w:r w:rsidRPr="006B42D6">
              <w:rPr>
                <w:sz w:val="16"/>
                <w:szCs w:val="16"/>
              </w:rPr>
              <w:t>0</w:t>
            </w:r>
          </w:p>
        </w:tc>
        <w:tc>
          <w:tcPr>
            <w:tcW w:w="0" w:type="auto"/>
            <w:tcBorders>
              <w:top w:val="nil"/>
              <w:left w:val="nil"/>
              <w:bottom w:val="nil"/>
              <w:right w:val="nil"/>
            </w:tcBorders>
            <w:shd w:val="clear" w:color="auto" w:fill="auto"/>
            <w:noWrap/>
            <w:vAlign w:val="center"/>
            <w:hideMark/>
          </w:tcPr>
          <w:p w14:paraId="0EA499F3" w14:textId="77777777" w:rsidR="00831CCA" w:rsidRPr="006B42D6" w:rsidRDefault="00831CCA" w:rsidP="000E752A">
            <w:pPr>
              <w:jc w:val="center"/>
              <w:rPr>
                <w:sz w:val="16"/>
                <w:szCs w:val="16"/>
              </w:rPr>
            </w:pPr>
            <w:r w:rsidRPr="006B42D6">
              <w:rPr>
                <w:sz w:val="16"/>
                <w:szCs w:val="16"/>
              </w:rPr>
              <w:t>0</w:t>
            </w:r>
          </w:p>
        </w:tc>
      </w:tr>
      <w:tr w:rsidR="00831CCA" w:rsidRPr="007577BE" w14:paraId="70D228C5" w14:textId="77777777" w:rsidTr="0003283E">
        <w:trPr>
          <w:trHeight w:val="300"/>
        </w:trPr>
        <w:tc>
          <w:tcPr>
            <w:tcW w:w="0" w:type="auto"/>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2130130" w14:textId="77777777" w:rsidR="00831CCA" w:rsidRPr="007577BE" w:rsidRDefault="00831CCA" w:rsidP="000E752A">
            <w:pPr>
              <w:jc w:val="left"/>
              <w:rPr>
                <w:b/>
                <w:sz w:val="16"/>
                <w:szCs w:val="16"/>
              </w:rPr>
            </w:pPr>
            <w:r w:rsidRPr="007577BE">
              <w:rPr>
                <w:b/>
                <w:sz w:val="16"/>
                <w:szCs w:val="16"/>
              </w:rPr>
              <w:t>Total</w:t>
            </w:r>
          </w:p>
        </w:tc>
        <w:tc>
          <w:tcPr>
            <w:tcW w:w="0" w:type="auto"/>
            <w:tcBorders>
              <w:top w:val="single" w:sz="4" w:space="0" w:color="auto"/>
              <w:left w:val="nil"/>
              <w:bottom w:val="single" w:sz="4" w:space="0" w:color="auto"/>
              <w:right w:val="nil"/>
            </w:tcBorders>
            <w:shd w:val="clear" w:color="auto" w:fill="E2EFD9" w:themeFill="accent6" w:themeFillTint="33"/>
            <w:noWrap/>
            <w:vAlign w:val="center"/>
            <w:hideMark/>
          </w:tcPr>
          <w:p w14:paraId="5E217BD5" w14:textId="77777777" w:rsidR="00831CCA" w:rsidRPr="007577BE" w:rsidRDefault="00831CCA" w:rsidP="000E752A">
            <w:pPr>
              <w:jc w:val="center"/>
              <w:rPr>
                <w:b/>
                <w:sz w:val="16"/>
                <w:szCs w:val="16"/>
              </w:rPr>
            </w:pPr>
            <w:r w:rsidRPr="007577BE">
              <w:rPr>
                <w:b/>
                <w:sz w:val="16"/>
                <w:szCs w:val="16"/>
              </w:rPr>
              <w:t>26,662</w:t>
            </w:r>
          </w:p>
        </w:tc>
        <w:tc>
          <w:tcPr>
            <w:tcW w:w="0" w:type="auto"/>
            <w:tcBorders>
              <w:top w:val="single" w:sz="4" w:space="0" w:color="auto"/>
              <w:left w:val="nil"/>
              <w:bottom w:val="single" w:sz="4" w:space="0" w:color="auto"/>
              <w:right w:val="nil"/>
            </w:tcBorders>
            <w:shd w:val="clear" w:color="auto" w:fill="E2EFD9" w:themeFill="accent6" w:themeFillTint="33"/>
            <w:noWrap/>
            <w:vAlign w:val="center"/>
            <w:hideMark/>
          </w:tcPr>
          <w:p w14:paraId="45987BB6" w14:textId="77777777" w:rsidR="00831CCA" w:rsidRPr="007577BE" w:rsidRDefault="00831CCA" w:rsidP="000E752A">
            <w:pPr>
              <w:jc w:val="center"/>
              <w:rPr>
                <w:b/>
                <w:sz w:val="16"/>
                <w:szCs w:val="16"/>
              </w:rPr>
            </w:pPr>
            <w:r w:rsidRPr="007577BE">
              <w:rPr>
                <w:b/>
                <w:sz w:val="16"/>
                <w:szCs w:val="16"/>
              </w:rPr>
              <w:t>254,038</w:t>
            </w:r>
          </w:p>
        </w:tc>
        <w:tc>
          <w:tcPr>
            <w:tcW w:w="0" w:type="auto"/>
            <w:tcBorders>
              <w:top w:val="single" w:sz="4" w:space="0" w:color="auto"/>
              <w:left w:val="nil"/>
              <w:bottom w:val="single" w:sz="4" w:space="0" w:color="auto"/>
              <w:right w:val="nil"/>
            </w:tcBorders>
            <w:shd w:val="clear" w:color="auto" w:fill="E2EFD9" w:themeFill="accent6" w:themeFillTint="33"/>
            <w:noWrap/>
            <w:vAlign w:val="center"/>
            <w:hideMark/>
          </w:tcPr>
          <w:p w14:paraId="05CECD16" w14:textId="77777777" w:rsidR="00831CCA" w:rsidRPr="007577BE" w:rsidRDefault="00831CCA" w:rsidP="000E752A">
            <w:pPr>
              <w:jc w:val="center"/>
              <w:rPr>
                <w:b/>
                <w:sz w:val="16"/>
                <w:szCs w:val="16"/>
              </w:rPr>
            </w:pPr>
            <w:r w:rsidRPr="007577BE">
              <w:rPr>
                <w:b/>
                <w:sz w:val="16"/>
                <w:szCs w:val="16"/>
              </w:rPr>
              <w:t>100.0</w:t>
            </w:r>
          </w:p>
        </w:tc>
        <w:tc>
          <w:tcPr>
            <w:tcW w:w="0" w:type="auto"/>
            <w:tcBorders>
              <w:top w:val="single" w:sz="4" w:space="0" w:color="auto"/>
              <w:left w:val="single" w:sz="4" w:space="0" w:color="auto"/>
              <w:bottom w:val="single" w:sz="4" w:space="0" w:color="auto"/>
              <w:right w:val="nil"/>
            </w:tcBorders>
            <w:shd w:val="clear" w:color="auto" w:fill="E2EFD9" w:themeFill="accent6" w:themeFillTint="33"/>
            <w:noWrap/>
            <w:vAlign w:val="center"/>
            <w:hideMark/>
          </w:tcPr>
          <w:p w14:paraId="699E81E8" w14:textId="77777777" w:rsidR="00831CCA" w:rsidRPr="007577BE" w:rsidRDefault="00831CCA" w:rsidP="000E752A">
            <w:pPr>
              <w:jc w:val="center"/>
              <w:rPr>
                <w:b/>
                <w:sz w:val="16"/>
                <w:szCs w:val="16"/>
              </w:rPr>
            </w:pPr>
            <w:r w:rsidRPr="007577BE">
              <w:rPr>
                <w:b/>
                <w:sz w:val="16"/>
                <w:szCs w:val="16"/>
              </w:rPr>
              <w:t>26,295</w:t>
            </w:r>
          </w:p>
        </w:tc>
        <w:tc>
          <w:tcPr>
            <w:tcW w:w="0" w:type="auto"/>
            <w:tcBorders>
              <w:top w:val="single" w:sz="4" w:space="0" w:color="auto"/>
              <w:left w:val="nil"/>
              <w:bottom w:val="single" w:sz="4" w:space="0" w:color="auto"/>
              <w:right w:val="nil"/>
            </w:tcBorders>
            <w:shd w:val="clear" w:color="auto" w:fill="E2EFD9" w:themeFill="accent6" w:themeFillTint="33"/>
            <w:noWrap/>
            <w:vAlign w:val="center"/>
            <w:hideMark/>
          </w:tcPr>
          <w:p w14:paraId="00EA94FA" w14:textId="77777777" w:rsidR="00831CCA" w:rsidRPr="007577BE" w:rsidRDefault="00831CCA" w:rsidP="000E752A">
            <w:pPr>
              <w:jc w:val="center"/>
              <w:rPr>
                <w:b/>
                <w:sz w:val="16"/>
                <w:szCs w:val="16"/>
              </w:rPr>
            </w:pPr>
            <w:r w:rsidRPr="007577BE">
              <w:rPr>
                <w:b/>
                <w:sz w:val="16"/>
                <w:szCs w:val="16"/>
              </w:rPr>
              <w:t>251,278</w:t>
            </w:r>
          </w:p>
        </w:tc>
        <w:tc>
          <w:tcPr>
            <w:tcW w:w="0" w:type="auto"/>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4261D951" w14:textId="069233A7" w:rsidR="00831CCA" w:rsidRPr="007577BE" w:rsidRDefault="00A76720" w:rsidP="000E752A">
            <w:pPr>
              <w:jc w:val="center"/>
              <w:rPr>
                <w:b/>
                <w:sz w:val="16"/>
                <w:szCs w:val="16"/>
              </w:rPr>
            </w:pPr>
            <w:r w:rsidRPr="007577BE">
              <w:rPr>
                <w:b/>
                <w:sz w:val="16"/>
                <w:szCs w:val="16"/>
              </w:rPr>
              <w:t>100.0</w:t>
            </w:r>
          </w:p>
        </w:tc>
        <w:tc>
          <w:tcPr>
            <w:tcW w:w="0" w:type="auto"/>
            <w:tcBorders>
              <w:top w:val="single" w:sz="4" w:space="0" w:color="auto"/>
              <w:left w:val="nil"/>
              <w:bottom w:val="single" w:sz="4" w:space="0" w:color="auto"/>
              <w:right w:val="nil"/>
            </w:tcBorders>
            <w:shd w:val="clear" w:color="auto" w:fill="E2EFD9" w:themeFill="accent6" w:themeFillTint="33"/>
            <w:noWrap/>
            <w:vAlign w:val="center"/>
            <w:hideMark/>
          </w:tcPr>
          <w:p w14:paraId="3EDACF7E" w14:textId="77777777" w:rsidR="00831CCA" w:rsidRPr="007577BE" w:rsidRDefault="00831CCA" w:rsidP="000E752A">
            <w:pPr>
              <w:jc w:val="center"/>
              <w:rPr>
                <w:b/>
                <w:sz w:val="16"/>
                <w:szCs w:val="16"/>
              </w:rPr>
            </w:pPr>
            <w:r w:rsidRPr="007577BE">
              <w:rPr>
                <w:b/>
                <w:sz w:val="16"/>
                <w:szCs w:val="16"/>
              </w:rPr>
              <w:t>367</w:t>
            </w:r>
          </w:p>
        </w:tc>
        <w:tc>
          <w:tcPr>
            <w:tcW w:w="0" w:type="auto"/>
            <w:tcBorders>
              <w:top w:val="single" w:sz="4" w:space="0" w:color="auto"/>
              <w:left w:val="nil"/>
              <w:bottom w:val="single" w:sz="4" w:space="0" w:color="auto"/>
              <w:right w:val="nil"/>
            </w:tcBorders>
            <w:shd w:val="clear" w:color="auto" w:fill="E2EFD9" w:themeFill="accent6" w:themeFillTint="33"/>
            <w:noWrap/>
            <w:vAlign w:val="center"/>
            <w:hideMark/>
          </w:tcPr>
          <w:p w14:paraId="6B56FC9F" w14:textId="77777777" w:rsidR="00831CCA" w:rsidRPr="007577BE" w:rsidRDefault="00831CCA" w:rsidP="000E752A">
            <w:pPr>
              <w:jc w:val="center"/>
              <w:rPr>
                <w:b/>
                <w:sz w:val="16"/>
                <w:szCs w:val="16"/>
              </w:rPr>
            </w:pPr>
            <w:r w:rsidRPr="007577BE">
              <w:rPr>
                <w:b/>
                <w:sz w:val="16"/>
                <w:szCs w:val="16"/>
              </w:rPr>
              <w:t>2,760</w:t>
            </w:r>
          </w:p>
        </w:tc>
        <w:tc>
          <w:tcPr>
            <w:tcW w:w="0" w:type="auto"/>
            <w:tcBorders>
              <w:top w:val="single" w:sz="4" w:space="0" w:color="auto"/>
              <w:left w:val="nil"/>
              <w:bottom w:val="single" w:sz="4" w:space="0" w:color="auto"/>
              <w:right w:val="nil"/>
            </w:tcBorders>
            <w:shd w:val="clear" w:color="auto" w:fill="E2EFD9" w:themeFill="accent6" w:themeFillTint="33"/>
            <w:noWrap/>
            <w:vAlign w:val="center"/>
            <w:hideMark/>
          </w:tcPr>
          <w:p w14:paraId="03265687" w14:textId="1460214D" w:rsidR="00831CCA" w:rsidRPr="007577BE" w:rsidRDefault="00A76720" w:rsidP="000E752A">
            <w:pPr>
              <w:jc w:val="center"/>
              <w:rPr>
                <w:b/>
                <w:sz w:val="16"/>
                <w:szCs w:val="16"/>
              </w:rPr>
            </w:pPr>
            <w:r w:rsidRPr="007577BE">
              <w:rPr>
                <w:b/>
                <w:sz w:val="16"/>
                <w:szCs w:val="16"/>
              </w:rPr>
              <w:t>100.0</w:t>
            </w:r>
          </w:p>
        </w:tc>
      </w:tr>
    </w:tbl>
    <w:p w14:paraId="7F6865DE" w14:textId="6FACC542" w:rsidR="00D163D4" w:rsidRPr="006B42D6" w:rsidRDefault="00D163D4" w:rsidP="005C2EFC">
      <w:pPr>
        <w:rPr>
          <w:shd w:val="clear" w:color="auto" w:fill="FFFFFF"/>
        </w:rPr>
      </w:pPr>
    </w:p>
    <w:p w14:paraId="6318FACB" w14:textId="77777777" w:rsidR="00D163D4" w:rsidRPr="000B4646" w:rsidRDefault="00D163D4" w:rsidP="007577BE">
      <w:pPr>
        <w:spacing w:line="240" w:lineRule="auto"/>
        <w:rPr>
          <w:sz w:val="20"/>
          <w:szCs w:val="20"/>
          <w:shd w:val="clear" w:color="auto" w:fill="FFFFFF"/>
        </w:rPr>
      </w:pPr>
    </w:p>
    <w:bookmarkStart w:id="809" w:name="_Toc82385781"/>
    <w:p w14:paraId="63A3923B" w14:textId="1F0FAACE" w:rsidR="00D163D4" w:rsidRPr="006B42D6" w:rsidRDefault="00982365" w:rsidP="005C2EFC">
      <w:pPr>
        <w:pStyle w:val="Heading2"/>
      </w:pPr>
      <w:r w:rsidRPr="006B42D6">
        <w:rPr>
          <w:noProof/>
        </w:rPr>
        <mc:AlternateContent>
          <mc:Choice Requires="wps">
            <w:drawing>
              <wp:anchor distT="0" distB="0" distL="114300" distR="114300" simplePos="0" relativeHeight="251604992" behindDoc="0" locked="0" layoutInCell="1" allowOverlap="1" wp14:anchorId="7239D3F6" wp14:editId="20B73841">
                <wp:simplePos x="0" y="0"/>
                <wp:positionH relativeFrom="margin">
                  <wp:posOffset>2724150</wp:posOffset>
                </wp:positionH>
                <wp:positionV relativeFrom="paragraph">
                  <wp:posOffset>219710</wp:posOffset>
                </wp:positionV>
                <wp:extent cx="3397250" cy="496570"/>
                <wp:effectExtent l="0" t="0" r="6350" b="0"/>
                <wp:wrapSquare wrapText="bothSides"/>
                <wp:docPr id="400" name="Text Box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97250" cy="496570"/>
                        </a:xfrm>
                        <a:prstGeom prst="rect">
                          <a:avLst/>
                        </a:prstGeom>
                        <a:solidFill>
                          <a:prstClr val="white"/>
                        </a:solidFill>
                        <a:ln>
                          <a:noFill/>
                        </a:ln>
                      </wps:spPr>
                      <wps:txbx>
                        <w:txbxContent>
                          <w:p w14:paraId="2C2C698B" w14:textId="00E60EC4" w:rsidR="00933456" w:rsidRPr="00A76720" w:rsidRDefault="00933456" w:rsidP="00D163D4">
                            <w:pPr>
                              <w:pStyle w:val="Caption"/>
                              <w:rPr>
                                <w:b w:val="0"/>
                                <w:bCs/>
                                <w:i/>
                                <w:iCs w:val="0"/>
                                <w:noProof/>
                              </w:rPr>
                            </w:pPr>
                            <w:bookmarkStart w:id="810" w:name="_Toc80120353"/>
                            <w:bookmarkStart w:id="811" w:name="_Toc80884228"/>
                            <w:bookmarkStart w:id="812" w:name="_Toc80884599"/>
                            <w:bookmarkStart w:id="813" w:name="_Toc82386449"/>
                            <w:r w:rsidRPr="00A76720">
                              <w:rPr>
                                <w:bCs/>
                                <w:iCs w:val="0"/>
                              </w:rPr>
                              <w:t>Figure 4.7</w:t>
                            </w:r>
                            <w:r>
                              <w:rPr>
                                <w:bCs/>
                                <w:iCs w:val="0"/>
                              </w:rPr>
                              <w:t>8</w:t>
                            </w:r>
                            <w:r w:rsidRPr="00A76720">
                              <w:rPr>
                                <w:bCs/>
                                <w:iCs w:val="0"/>
                              </w:rPr>
                              <w:t>:</w:t>
                            </w:r>
                            <w:r>
                              <w:rPr>
                                <w:bCs/>
                                <w:iCs w:val="0"/>
                              </w:rPr>
                              <w:tab/>
                            </w:r>
                            <w:r w:rsidRPr="00A76720">
                              <w:rPr>
                                <w:bCs/>
                                <w:iCs w:val="0"/>
                              </w:rPr>
                              <w:t>Percentage Distribution of Households by Category of Bee Kept During 2019/20 Agricultural Year, Tanzania</w:t>
                            </w:r>
                            <w:bookmarkEnd w:id="810"/>
                            <w:bookmarkEnd w:id="811"/>
                            <w:bookmarkEnd w:id="812"/>
                            <w:bookmarkEnd w:id="81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39D3F6" id="Text Box 400" o:spid="_x0000_s1124" type="#_x0000_t202" style="position:absolute;left:0;text-align:left;margin-left:214.5pt;margin-top:17.3pt;width:267.5pt;height:39.1pt;z-index:251604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" stroked="f">
                <v:textbox inset="0,0,0,0">
                  <w:txbxContent>
                    <w:p w14:paraId="2C2C698B" w14:textId="00E60EC4" w:rsidR="00933456" w:rsidRPr="00A76720" w:rsidRDefault="00933456" w:rsidP="00D163D4">
                      <w:pPr>
                        <w:pStyle w:val="Caption"/>
                        <w:rPr>
                          <w:b w:val="0"/>
                          <w:bCs/>
                          <w:i/>
                          <w:iCs w:val="0"/>
                          <w:noProof/>
                        </w:rPr>
                      </w:pPr>
                      <w:bookmarkStart w:id="1178" w:name="_Toc80120353"/>
                      <w:bookmarkStart w:id="1179" w:name="_Toc80884228"/>
                      <w:bookmarkStart w:id="1180" w:name="_Toc80884599"/>
                      <w:bookmarkStart w:id="1181" w:name="_Toc82386449"/>
                      <w:r w:rsidRPr="00A76720">
                        <w:rPr>
                          <w:bCs/>
                          <w:iCs w:val="0"/>
                        </w:rPr>
                        <w:t>Figure 4.7</w:t>
                      </w:r>
                      <w:r>
                        <w:rPr>
                          <w:bCs/>
                          <w:iCs w:val="0"/>
                        </w:rPr>
                        <w:t>8</w:t>
                      </w:r>
                      <w:r w:rsidRPr="00A76720">
                        <w:rPr>
                          <w:bCs/>
                          <w:iCs w:val="0"/>
                        </w:rPr>
                        <w:t>:</w:t>
                      </w:r>
                      <w:r>
                        <w:rPr>
                          <w:bCs/>
                          <w:iCs w:val="0"/>
                        </w:rPr>
                        <w:tab/>
                      </w:r>
                      <w:r w:rsidRPr="00A76720">
                        <w:rPr>
                          <w:bCs/>
                          <w:iCs w:val="0"/>
                        </w:rPr>
                        <w:t>Percentage Distribution of Households by Category of Bee Kept During 2019/20 Agricultural Year, Tanzania</w:t>
                      </w:r>
                      <w:bookmarkEnd w:id="1178"/>
                      <w:bookmarkEnd w:id="1179"/>
                      <w:bookmarkEnd w:id="1180"/>
                      <w:bookmarkEnd w:id="1181"/>
                    </w:p>
                  </w:txbxContent>
                </v:textbox>
                <w10:wrap type="square" anchorx="margin"/>
              </v:shape>
            </w:pict>
          </mc:Fallback>
        </mc:AlternateContent>
      </w:r>
      <w:r w:rsidR="00E01116" w:rsidRPr="006B42D6">
        <w:t>4</w:t>
      </w:r>
      <w:r w:rsidR="00D163D4" w:rsidRPr="006B42D6">
        <w:t>.</w:t>
      </w:r>
      <w:r w:rsidR="00022347">
        <w:t>8</w:t>
      </w:r>
      <w:r w:rsidR="0000655E" w:rsidRPr="006B42D6">
        <w:tab/>
      </w:r>
      <w:r w:rsidR="00D163D4" w:rsidRPr="006B42D6">
        <w:t>Bee Keeping</w:t>
      </w:r>
      <w:bookmarkEnd w:id="809"/>
      <w:r w:rsidR="00D163D4" w:rsidRPr="006B42D6">
        <w:t xml:space="preserve"> </w:t>
      </w:r>
    </w:p>
    <w:p w14:paraId="152DBF06" w14:textId="1139B564" w:rsidR="00D163D4" w:rsidRDefault="00D16BAD" w:rsidP="001E6112">
      <w:r w:rsidRPr="006B42D6">
        <w:rPr>
          <w:noProof/>
        </w:rPr>
        <w:drawing>
          <wp:anchor distT="0" distB="0" distL="114300" distR="114300" simplePos="0" relativeHeight="251713536" behindDoc="1" locked="0" layoutInCell="1" allowOverlap="1" wp14:anchorId="0BE8B6FD" wp14:editId="1B5D2DA6">
            <wp:simplePos x="0" y="0"/>
            <wp:positionH relativeFrom="margin">
              <wp:posOffset>2711450</wp:posOffset>
            </wp:positionH>
            <wp:positionV relativeFrom="paragraph">
              <wp:posOffset>525145</wp:posOffset>
            </wp:positionV>
            <wp:extent cx="3160395" cy="2305050"/>
            <wp:effectExtent l="0" t="0" r="14605" b="6350"/>
            <wp:wrapTight wrapText="bothSides">
              <wp:wrapPolygon edited="0">
                <wp:start x="0" y="0"/>
                <wp:lineTo x="0" y="21540"/>
                <wp:lineTo x="21613" y="21540"/>
                <wp:lineTo x="21613" y="0"/>
                <wp:lineTo x="0" y="0"/>
              </wp:wrapPolygon>
            </wp:wrapTight>
            <wp:docPr id="14" name="Chart 14">
              <a:extLst xmlns:a="http://schemas.openxmlformats.org/drawingml/2006/main">
                <a:ext uri="{FF2B5EF4-FFF2-40B4-BE49-F238E27FC236}">
                  <a16:creationId xmlns:a16="http://schemas.microsoft.com/office/drawing/2014/main" id="{A28F9B79-DA36-49C9-8971-8FA87D7916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5"/>
              </a:graphicData>
            </a:graphic>
            <wp14:sizeRelH relativeFrom="page">
              <wp14:pctWidth>0</wp14:pctWidth>
            </wp14:sizeRelH>
            <wp14:sizeRelV relativeFrom="page">
              <wp14:pctHeight>0</wp14:pctHeight>
            </wp14:sizeRelV>
          </wp:anchor>
        </w:drawing>
      </w:r>
      <w:r w:rsidR="00D163D4" w:rsidRPr="006B42D6">
        <w:t xml:space="preserve">Bee keeping is practiced </w:t>
      </w:r>
      <w:r w:rsidR="008C6DBC" w:rsidRPr="006B42D6">
        <w:t xml:space="preserve">in </w:t>
      </w:r>
      <w:r w:rsidR="00D163D4" w:rsidRPr="006B42D6">
        <w:t xml:space="preserve">both </w:t>
      </w:r>
      <w:r w:rsidR="00EA1552">
        <w:t>Mainland Tanzania</w:t>
      </w:r>
      <w:r w:rsidR="00D163D4" w:rsidRPr="006B42D6">
        <w:t xml:space="preserve"> and </w:t>
      </w:r>
      <w:r w:rsidR="008C6DBC" w:rsidRPr="006B42D6">
        <w:t xml:space="preserve">Tanzania </w:t>
      </w:r>
      <w:r w:rsidR="00D163D4" w:rsidRPr="006B42D6">
        <w:t xml:space="preserve">Zanzibar. Two types of beehives </w:t>
      </w:r>
      <w:r w:rsidRPr="006B42D6">
        <w:t>were</w:t>
      </w:r>
      <w:r w:rsidR="00D163D4" w:rsidRPr="006B42D6">
        <w:t xml:space="preserve"> used</w:t>
      </w:r>
      <w:r w:rsidR="0003283E">
        <w:t>;</w:t>
      </w:r>
      <w:r w:rsidR="00D163D4" w:rsidRPr="006B42D6">
        <w:t xml:space="preserve"> improved and local type. Majority of </w:t>
      </w:r>
      <w:r w:rsidR="000A1869" w:rsidRPr="006B42D6">
        <w:t>agricultural households</w:t>
      </w:r>
      <w:r w:rsidR="00D163D4" w:rsidRPr="006B42D6">
        <w:t xml:space="preserve"> </w:t>
      </w:r>
      <w:r w:rsidR="000A1869" w:rsidRPr="006B42D6">
        <w:t xml:space="preserve">keeping bees </w:t>
      </w:r>
      <w:r w:rsidR="00D163D4" w:rsidRPr="006B42D6">
        <w:t xml:space="preserve">in Tanzania </w:t>
      </w:r>
      <w:r w:rsidR="008C6DBC" w:rsidRPr="006B42D6">
        <w:t>were</w:t>
      </w:r>
      <w:r w:rsidR="00D163D4" w:rsidRPr="006B42D6">
        <w:t xml:space="preserve"> keeping sting bees.</w:t>
      </w:r>
    </w:p>
    <w:p w14:paraId="1E8D8015" w14:textId="77777777" w:rsidR="001E6112" w:rsidRPr="006B42D6" w:rsidRDefault="001E6112" w:rsidP="007577BE">
      <w:pPr>
        <w:spacing w:line="240" w:lineRule="auto"/>
      </w:pPr>
    </w:p>
    <w:p w14:paraId="1705F7A3" w14:textId="34802A80" w:rsidR="00D163D4" w:rsidRPr="006B42D6" w:rsidRDefault="00D163D4" w:rsidP="005C2EFC">
      <w:r w:rsidRPr="006B42D6">
        <w:t xml:space="preserve">The Census results show that, a total of 106,549 households were involved in bee keeping, which is equivalent to 1.4 percent of </w:t>
      </w:r>
      <w:r w:rsidR="008C6DBC" w:rsidRPr="006B42D6">
        <w:t>the total</w:t>
      </w:r>
      <w:r w:rsidRPr="006B42D6">
        <w:t xml:space="preserve"> agricultural households in Tanzania. Most of households were engaged in sting beekeeping (80.2 percent) compared to stingless bees (19.8 percent) (Figure</w:t>
      </w:r>
      <w:r w:rsidR="000C7A70" w:rsidRPr="006B42D6">
        <w:t xml:space="preserve"> 4.</w:t>
      </w:r>
      <w:r w:rsidR="00D16BAD" w:rsidRPr="006B42D6">
        <w:t>7</w:t>
      </w:r>
      <w:r w:rsidR="00C53873">
        <w:t>8</w:t>
      </w:r>
      <w:r w:rsidRPr="006B42D6">
        <w:t xml:space="preserve">). </w:t>
      </w:r>
    </w:p>
    <w:p w14:paraId="5AF9F35E" w14:textId="77777777" w:rsidR="00D163D4" w:rsidRPr="006B42D6" w:rsidRDefault="00D163D4" w:rsidP="005C2EFC">
      <w:pPr>
        <w:rPr>
          <w:b/>
          <w:bCs/>
        </w:rPr>
      </w:pPr>
    </w:p>
    <w:p w14:paraId="41FA3E1B" w14:textId="3C198AB7" w:rsidR="00D163D4" w:rsidRPr="006B42D6" w:rsidRDefault="00E01116" w:rsidP="005C2EFC">
      <w:pPr>
        <w:pStyle w:val="Heading3"/>
      </w:pPr>
      <w:bookmarkStart w:id="814" w:name="_Toc82385782"/>
      <w:r w:rsidRPr="006B42D6">
        <w:t>4</w:t>
      </w:r>
      <w:r w:rsidR="00D163D4" w:rsidRPr="006B42D6">
        <w:t>.</w:t>
      </w:r>
      <w:r w:rsidR="00022347">
        <w:t>8</w:t>
      </w:r>
      <w:r w:rsidR="00D163D4" w:rsidRPr="006B42D6">
        <w:t>.1</w:t>
      </w:r>
      <w:r w:rsidR="0000655E" w:rsidRPr="006B42D6">
        <w:tab/>
      </w:r>
      <w:r w:rsidR="00D163D4" w:rsidRPr="006B42D6">
        <w:t>Honey Production</w:t>
      </w:r>
      <w:bookmarkEnd w:id="814"/>
    </w:p>
    <w:p w14:paraId="0CCEFAC7" w14:textId="690ED331" w:rsidR="00E257C1" w:rsidRPr="006B42D6" w:rsidRDefault="00D163D4" w:rsidP="005C2EFC">
      <w:r w:rsidRPr="006B42D6">
        <w:t>The total of 2,60</w:t>
      </w:r>
      <w:r w:rsidR="009727A1" w:rsidRPr="006B42D6">
        <w:t>1</w:t>
      </w:r>
      <w:r w:rsidRPr="006B42D6">
        <w:t>,</w:t>
      </w:r>
      <w:r w:rsidR="009727A1" w:rsidRPr="006B42D6">
        <w:t>9</w:t>
      </w:r>
      <w:r w:rsidRPr="006B42D6">
        <w:t>9</w:t>
      </w:r>
      <w:r w:rsidR="009727A1" w:rsidRPr="006B42D6">
        <w:t>4</w:t>
      </w:r>
      <w:r w:rsidRPr="006B42D6">
        <w:t xml:space="preserve"> litre</w:t>
      </w:r>
      <w:r w:rsidR="00D16BAD" w:rsidRPr="006B42D6">
        <w:t>s</w:t>
      </w:r>
      <w:r w:rsidRPr="006B42D6">
        <w:t xml:space="preserve"> of honey </w:t>
      </w:r>
      <w:r w:rsidR="00D16BAD" w:rsidRPr="006B42D6">
        <w:t xml:space="preserve">were </w:t>
      </w:r>
      <w:r w:rsidRPr="006B42D6">
        <w:t>produced from both sting and stingless bees during 2019/20 agricultur</w:t>
      </w:r>
      <w:r w:rsidR="00A76720" w:rsidRPr="006B42D6">
        <w:t>al</w:t>
      </w:r>
      <w:r w:rsidRPr="006B42D6">
        <w:t xml:space="preserve"> year. Out of the total, 2,59</w:t>
      </w:r>
      <w:r w:rsidR="00AE26A2" w:rsidRPr="006B42D6">
        <w:t>1</w:t>
      </w:r>
      <w:r w:rsidRPr="006B42D6">
        <w:t>,</w:t>
      </w:r>
      <w:r w:rsidR="00AE26A2" w:rsidRPr="006B42D6">
        <w:t>0</w:t>
      </w:r>
      <w:r w:rsidRPr="006B42D6">
        <w:t>3</w:t>
      </w:r>
      <w:r w:rsidR="00AE26A2" w:rsidRPr="006B42D6">
        <w:t>4</w:t>
      </w:r>
      <w:r w:rsidRPr="006B42D6">
        <w:t xml:space="preserve"> litre</w:t>
      </w:r>
      <w:r w:rsidR="00D16BAD" w:rsidRPr="006B42D6">
        <w:t xml:space="preserve">s </w:t>
      </w:r>
      <w:r w:rsidR="003F0FDF" w:rsidRPr="006B42D6">
        <w:t xml:space="preserve">(2,489,723 litres from </w:t>
      </w:r>
      <w:r w:rsidR="008975AD" w:rsidRPr="006B42D6">
        <w:t>s</w:t>
      </w:r>
      <w:r w:rsidR="003F0FDF" w:rsidRPr="006B42D6">
        <w:t xml:space="preserve">ting bee and 101,311 litres from </w:t>
      </w:r>
      <w:r w:rsidR="008975AD" w:rsidRPr="006B42D6">
        <w:t>s</w:t>
      </w:r>
      <w:r w:rsidR="003F0FDF" w:rsidRPr="006B42D6">
        <w:t xml:space="preserve">tingless bees) </w:t>
      </w:r>
      <w:r w:rsidR="00D16BAD" w:rsidRPr="006B42D6">
        <w:t>were produced</w:t>
      </w:r>
      <w:r w:rsidRPr="006B42D6">
        <w:t xml:space="preserve"> in </w:t>
      </w:r>
      <w:r w:rsidR="00EA1552">
        <w:t>Mainland Tanzania</w:t>
      </w:r>
      <w:r w:rsidRPr="006B42D6">
        <w:t xml:space="preserve"> and 10,958 litre</w:t>
      </w:r>
      <w:r w:rsidR="00D16BAD" w:rsidRPr="006B42D6">
        <w:t>s</w:t>
      </w:r>
      <w:r w:rsidRPr="006B42D6">
        <w:t xml:space="preserve"> in </w:t>
      </w:r>
      <w:r w:rsidR="009727A1" w:rsidRPr="006B42D6">
        <w:t xml:space="preserve">Tanzania </w:t>
      </w:r>
      <w:r w:rsidRPr="006B42D6">
        <w:t>Zanzibar</w:t>
      </w:r>
      <w:r w:rsidR="003F0FDF" w:rsidRPr="006B42D6">
        <w:t xml:space="preserve"> (</w:t>
      </w:r>
      <w:r w:rsidR="008975AD" w:rsidRPr="006B42D6">
        <w:t xml:space="preserve">9,765 </w:t>
      </w:r>
      <w:r w:rsidR="003F0FDF" w:rsidRPr="006B42D6">
        <w:t xml:space="preserve">litres from </w:t>
      </w:r>
      <w:r w:rsidR="008975AD" w:rsidRPr="006B42D6">
        <w:t>s</w:t>
      </w:r>
      <w:r w:rsidR="003F0FDF" w:rsidRPr="006B42D6">
        <w:t xml:space="preserve">ting bee and </w:t>
      </w:r>
      <w:r w:rsidR="008975AD" w:rsidRPr="006B42D6">
        <w:t xml:space="preserve">1,193 </w:t>
      </w:r>
      <w:r w:rsidR="003F0FDF" w:rsidRPr="006B42D6">
        <w:t xml:space="preserve">litres from </w:t>
      </w:r>
      <w:r w:rsidR="008975AD" w:rsidRPr="006B42D6">
        <w:t>s</w:t>
      </w:r>
      <w:r w:rsidR="003F0FDF" w:rsidRPr="006B42D6">
        <w:t>tingless bees)</w:t>
      </w:r>
      <w:r w:rsidR="00AE26A2" w:rsidRPr="006B42D6">
        <w:t>.</w:t>
      </w:r>
    </w:p>
    <w:p w14:paraId="00822C23" w14:textId="77777777" w:rsidR="00AE26A2" w:rsidRPr="006B42D6" w:rsidRDefault="00AE26A2" w:rsidP="005C2EFC"/>
    <w:p w14:paraId="0E08F21C" w14:textId="760D6F68" w:rsidR="00E257C1" w:rsidRPr="006B42D6" w:rsidRDefault="00E257C1" w:rsidP="005C2EFC">
      <w:r w:rsidRPr="006B42D6">
        <w:lastRenderedPageBreak/>
        <w:t xml:space="preserve">In </w:t>
      </w:r>
      <w:r w:rsidR="00EA1552">
        <w:t>Mainland Tanzania</w:t>
      </w:r>
      <w:r w:rsidRPr="006B42D6">
        <w:t xml:space="preserve">, the </w:t>
      </w:r>
      <w:r w:rsidR="00307BBB" w:rsidRPr="006B42D6">
        <w:t>largest</w:t>
      </w:r>
      <w:r w:rsidRPr="006B42D6">
        <w:t xml:space="preserve"> quantity of honey from stingless bees was reported in Singida region (13,130 litres; 12.2 percent), followed by Tanga (13,049 litres; 12.1 percent) and Dodoma (10,045 litres; 9.3 percent)</w:t>
      </w:r>
      <w:r w:rsidR="00D16BAD" w:rsidRPr="006B42D6">
        <w:t>,</w:t>
      </w:r>
      <w:r w:rsidRPr="006B42D6">
        <w:t xml:space="preserve"> </w:t>
      </w:r>
      <w:r w:rsidR="00D16BAD" w:rsidRPr="006B42D6">
        <w:t>whereas t</w:t>
      </w:r>
      <w:r w:rsidRPr="006B42D6">
        <w:t>he region with least production of honey from stingless</w:t>
      </w:r>
      <w:r w:rsidR="00D16BAD" w:rsidRPr="006B42D6">
        <w:t xml:space="preserve"> bees</w:t>
      </w:r>
      <w:r w:rsidRPr="006B42D6">
        <w:t xml:space="preserve"> was Kigoma, (228 litre; 0.2 percent). </w:t>
      </w:r>
      <w:r w:rsidR="00D16BAD" w:rsidRPr="006B42D6">
        <w:t xml:space="preserve">Furthermore, the </w:t>
      </w:r>
      <w:r w:rsidR="00307BBB" w:rsidRPr="006B42D6">
        <w:t>largest</w:t>
      </w:r>
      <w:r w:rsidR="00D16BAD" w:rsidRPr="006B42D6">
        <w:t xml:space="preserve"> quantity of honey from </w:t>
      </w:r>
      <w:r w:rsidRPr="006B42D6">
        <w:t>sting bees</w:t>
      </w:r>
      <w:r w:rsidR="00D16BAD" w:rsidRPr="006B42D6">
        <w:t xml:space="preserve"> was reported </w:t>
      </w:r>
      <w:r w:rsidRPr="006B42D6">
        <w:t>in Mbeya region (48</w:t>
      </w:r>
      <w:r w:rsidR="00AE26A2" w:rsidRPr="006B42D6">
        <w:t>0</w:t>
      </w:r>
      <w:r w:rsidRPr="006B42D6">
        <w:t xml:space="preserve">,673 litres; 19.3 percent), followed by Singida (460,316 litres; 18.5 percent) and Katavi (317,176 litres; 12.7 percent). The region with least production of honey from sting bees was Mwanza (752 litre; 0.03 percent) (Figure </w:t>
      </w:r>
      <w:r w:rsidR="000C7A70" w:rsidRPr="006B42D6">
        <w:t>4.</w:t>
      </w:r>
      <w:r w:rsidR="00AE26A2" w:rsidRPr="006B42D6">
        <w:t>7</w:t>
      </w:r>
      <w:r w:rsidR="00C53873">
        <w:t>9</w:t>
      </w:r>
      <w:r w:rsidRPr="006B42D6">
        <w:t>).</w:t>
      </w:r>
    </w:p>
    <w:p w14:paraId="0E9E3883" w14:textId="66EAA98B" w:rsidR="00E257C1" w:rsidRPr="006B42D6" w:rsidRDefault="00E257C1" w:rsidP="0003283E">
      <w:pPr>
        <w:spacing w:line="240" w:lineRule="auto"/>
      </w:pPr>
    </w:p>
    <w:p w14:paraId="67FF2573" w14:textId="1FD5B5D9" w:rsidR="00E257C1" w:rsidRPr="006B42D6" w:rsidRDefault="00E257C1" w:rsidP="00AE26A2">
      <w:pPr>
        <w:pStyle w:val="Caption"/>
        <w:jc w:val="left"/>
        <w:rPr>
          <w:b w:val="0"/>
          <w:bCs/>
          <w:i/>
          <w:iCs w:val="0"/>
          <w:szCs w:val="20"/>
        </w:rPr>
      </w:pPr>
      <w:bookmarkStart w:id="815" w:name="_Toc82386450"/>
      <w:r w:rsidRPr="006B42D6">
        <w:rPr>
          <w:bCs/>
          <w:iCs w:val="0"/>
          <w:szCs w:val="20"/>
        </w:rPr>
        <w:t xml:space="preserve">Figure </w:t>
      </w:r>
      <w:r w:rsidR="000C7A70" w:rsidRPr="006B42D6">
        <w:rPr>
          <w:bCs/>
          <w:iCs w:val="0"/>
          <w:szCs w:val="20"/>
        </w:rPr>
        <w:t>4.</w:t>
      </w:r>
      <w:r w:rsidR="00AE26A2" w:rsidRPr="006B42D6">
        <w:rPr>
          <w:bCs/>
          <w:iCs w:val="0"/>
          <w:szCs w:val="20"/>
        </w:rPr>
        <w:t>7</w:t>
      </w:r>
      <w:r w:rsidR="00C53873">
        <w:rPr>
          <w:bCs/>
          <w:iCs w:val="0"/>
          <w:szCs w:val="20"/>
        </w:rPr>
        <w:t>9</w:t>
      </w:r>
      <w:r w:rsidR="007577BE">
        <w:rPr>
          <w:bCs/>
          <w:iCs w:val="0"/>
          <w:szCs w:val="20"/>
        </w:rPr>
        <w:t>:</w:t>
      </w:r>
      <w:r w:rsidR="00982365">
        <w:rPr>
          <w:bCs/>
          <w:iCs w:val="0"/>
          <w:szCs w:val="20"/>
        </w:rPr>
        <w:tab/>
      </w:r>
      <w:r w:rsidRPr="006B42D6">
        <w:rPr>
          <w:bCs/>
          <w:iCs w:val="0"/>
          <w:szCs w:val="20"/>
        </w:rPr>
        <w:t>Quantity of Honey Produced from Stingless and Sting Bees</w:t>
      </w:r>
      <w:r w:rsidR="00AE26A2" w:rsidRPr="006B42D6">
        <w:rPr>
          <w:bCs/>
          <w:iCs w:val="0"/>
          <w:szCs w:val="20"/>
        </w:rPr>
        <w:t xml:space="preserve"> </w:t>
      </w:r>
      <w:r w:rsidR="00E5610C" w:rsidRPr="006B42D6">
        <w:rPr>
          <w:bCs/>
          <w:iCs w:val="0"/>
          <w:szCs w:val="20"/>
        </w:rPr>
        <w:t xml:space="preserve">by Region </w:t>
      </w:r>
      <w:r w:rsidR="00AE26A2" w:rsidRPr="006B42D6">
        <w:rPr>
          <w:bCs/>
          <w:iCs w:val="0"/>
          <w:szCs w:val="20"/>
        </w:rPr>
        <w:t>During 2019/20 Agriculture Year</w:t>
      </w:r>
      <w:r w:rsidR="000C7A70" w:rsidRPr="006B42D6">
        <w:rPr>
          <w:bCs/>
          <w:iCs w:val="0"/>
          <w:szCs w:val="20"/>
        </w:rPr>
        <w:t xml:space="preserve">, </w:t>
      </w:r>
      <w:r w:rsidR="00EA1552">
        <w:rPr>
          <w:bCs/>
          <w:iCs w:val="0"/>
          <w:szCs w:val="20"/>
        </w:rPr>
        <w:t>Mainland Tanzania</w:t>
      </w:r>
      <w:bookmarkEnd w:id="815"/>
    </w:p>
    <w:p w14:paraId="3E1AC045" w14:textId="6FCEE90A" w:rsidR="002A2DC6" w:rsidRDefault="00634EDB" w:rsidP="005C2EFC">
      <w:r>
        <w:rPr>
          <w:noProof/>
        </w:rPr>
        <w:drawing>
          <wp:inline distT="0" distB="0" distL="0" distR="0" wp14:anchorId="5A860CFC" wp14:editId="6ADB3C4A">
            <wp:extent cx="5738495" cy="2798379"/>
            <wp:effectExtent l="0" t="0" r="14605" b="8890"/>
            <wp:docPr id="29" name="Chart 29">
              <a:extLst xmlns:a="http://schemas.openxmlformats.org/drawingml/2006/main">
                <a:ext uri="{FF2B5EF4-FFF2-40B4-BE49-F238E27FC236}">
                  <a16:creationId xmlns:a16="http://schemas.microsoft.com/office/drawing/2014/main" id="{D48717E6-7663-AA48-B09C-9791DFEAA1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6"/>
              </a:graphicData>
            </a:graphic>
          </wp:inline>
        </w:drawing>
      </w:r>
    </w:p>
    <w:p w14:paraId="261B0A5A" w14:textId="26CDC036" w:rsidR="002A2DC6" w:rsidRPr="006B42D6" w:rsidRDefault="00C53873" w:rsidP="002940E1">
      <w:r>
        <w:rPr>
          <w:noProof/>
        </w:rPr>
        <mc:AlternateContent>
          <mc:Choice Requires="wps">
            <w:drawing>
              <wp:anchor distT="0" distB="0" distL="114300" distR="114300" simplePos="0" relativeHeight="251767808" behindDoc="1" locked="0" layoutInCell="1" allowOverlap="1" wp14:anchorId="7FD8D454" wp14:editId="12C483DF">
                <wp:simplePos x="0" y="0"/>
                <wp:positionH relativeFrom="column">
                  <wp:posOffset>2616835</wp:posOffset>
                </wp:positionH>
                <wp:positionV relativeFrom="paragraph">
                  <wp:posOffset>158115</wp:posOffset>
                </wp:positionV>
                <wp:extent cx="3436620" cy="551180"/>
                <wp:effectExtent l="0" t="0" r="5080" b="0"/>
                <wp:wrapTight wrapText="bothSides">
                  <wp:wrapPolygon edited="0">
                    <wp:start x="0" y="0"/>
                    <wp:lineTo x="0" y="20903"/>
                    <wp:lineTo x="21552" y="20903"/>
                    <wp:lineTo x="21552" y="0"/>
                    <wp:lineTo x="0" y="0"/>
                  </wp:wrapPolygon>
                </wp:wrapTight>
                <wp:docPr id="24" name="Text Box 24"/>
                <wp:cNvGraphicFramePr/>
                <a:graphic xmlns:a="http://schemas.openxmlformats.org/drawingml/2006/main">
                  <a:graphicData uri="http://schemas.microsoft.com/office/word/2010/wordprocessingShape">
                    <wps:wsp>
                      <wps:cNvSpPr txBox="1"/>
                      <wps:spPr>
                        <a:xfrm>
                          <a:off x="0" y="0"/>
                          <a:ext cx="3436620" cy="551180"/>
                        </a:xfrm>
                        <a:prstGeom prst="rect">
                          <a:avLst/>
                        </a:prstGeom>
                        <a:solidFill>
                          <a:prstClr val="white"/>
                        </a:solidFill>
                        <a:ln>
                          <a:noFill/>
                        </a:ln>
                      </wps:spPr>
                      <wps:txbx>
                        <w:txbxContent>
                          <w:p w14:paraId="3730FFA9" w14:textId="20D0EC2C" w:rsidR="00933456" w:rsidRPr="006B42D6" w:rsidRDefault="00933456" w:rsidP="002940E1">
                            <w:pPr>
                              <w:pStyle w:val="Caption"/>
                            </w:pPr>
                            <w:bookmarkStart w:id="816" w:name="_Toc80884230"/>
                            <w:bookmarkStart w:id="817" w:name="_Toc80884601"/>
                            <w:bookmarkStart w:id="818" w:name="_Toc82386451"/>
                            <w:r w:rsidRPr="006B42D6">
                              <w:t>Figure</w:t>
                            </w:r>
                            <w:r>
                              <w:t xml:space="preserve"> </w:t>
                            </w:r>
                            <w:r w:rsidRPr="006B42D6">
                              <w:t>4.</w:t>
                            </w:r>
                            <w:r>
                              <w:t>80:</w:t>
                            </w:r>
                            <w:r>
                              <w:tab/>
                            </w:r>
                            <w:r w:rsidRPr="006B42D6">
                              <w:t>Quantity of Honey Produced from Sting and Stingless Bees by Region During 2019/20 Agricultural Year, Tanzania Zanzibar</w:t>
                            </w:r>
                            <w:bookmarkEnd w:id="816"/>
                            <w:bookmarkEnd w:id="817"/>
                            <w:bookmarkEnd w:id="818"/>
                          </w:p>
                          <w:p w14:paraId="02F23D01" w14:textId="64BCB9CE" w:rsidR="00933456" w:rsidRPr="00E03EF7" w:rsidRDefault="00933456" w:rsidP="002940E1">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D8D454" id="Text Box 24" o:spid="_x0000_s1125" type="#_x0000_t202" style="position:absolute;left:0;text-align:left;margin-left:206.05pt;margin-top:12.45pt;width:270.6pt;height:43.4pt;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" stroked="f">
                <v:textbox inset="0,0,0,0">
                  <w:txbxContent>
                    <w:p w14:paraId="3730FFA9" w14:textId="20D0EC2C" w:rsidR="00933456" w:rsidRPr="006B42D6" w:rsidRDefault="00933456" w:rsidP="002940E1">
                      <w:pPr>
                        <w:pStyle w:val="Caption"/>
                      </w:pPr>
                      <w:bookmarkStart w:id="1187" w:name="_Toc80884230"/>
                      <w:bookmarkStart w:id="1188" w:name="_Toc80884601"/>
                      <w:bookmarkStart w:id="1189" w:name="_Toc82386451"/>
                      <w:r w:rsidRPr="006B42D6">
                        <w:t>Figure</w:t>
                      </w:r>
                      <w:r>
                        <w:t xml:space="preserve"> </w:t>
                      </w:r>
                      <w:r w:rsidRPr="006B42D6">
                        <w:t>4.</w:t>
                      </w:r>
                      <w:r>
                        <w:t>80:</w:t>
                      </w:r>
                      <w:r>
                        <w:tab/>
                      </w:r>
                      <w:r w:rsidRPr="006B42D6">
                        <w:t>Quantity of Honey Produced from Sting and Stingless Bees by Region During 2019/20 Agricultural Year, Tanzania Zanzibar</w:t>
                      </w:r>
                      <w:bookmarkEnd w:id="1187"/>
                      <w:bookmarkEnd w:id="1188"/>
                      <w:bookmarkEnd w:id="1189"/>
                    </w:p>
                    <w:p w14:paraId="02F23D01" w14:textId="64BCB9CE" w:rsidR="00933456" w:rsidRPr="00E03EF7" w:rsidRDefault="00933456" w:rsidP="002940E1">
                      <w:pPr>
                        <w:pStyle w:val="Caption"/>
                        <w:rPr>
                          <w:noProof/>
                        </w:rPr>
                      </w:pPr>
                    </w:p>
                  </w:txbxContent>
                </v:textbox>
                <w10:wrap type="tight"/>
              </v:shape>
            </w:pict>
          </mc:Fallback>
        </mc:AlternateContent>
      </w:r>
    </w:p>
    <w:p w14:paraId="408BB825" w14:textId="4B244645" w:rsidR="0003283E" w:rsidRDefault="002940E1" w:rsidP="0003283E">
      <w:r>
        <w:rPr>
          <w:noProof/>
        </w:rPr>
        <w:drawing>
          <wp:anchor distT="0" distB="0" distL="114300" distR="114300" simplePos="0" relativeHeight="251765760" behindDoc="1" locked="0" layoutInCell="1" allowOverlap="1" wp14:anchorId="765DCAB5" wp14:editId="75CDD502">
            <wp:simplePos x="0" y="0"/>
            <wp:positionH relativeFrom="column">
              <wp:posOffset>2616835</wp:posOffset>
            </wp:positionH>
            <wp:positionV relativeFrom="paragraph">
              <wp:posOffset>483607</wp:posOffset>
            </wp:positionV>
            <wp:extent cx="3121025" cy="2230755"/>
            <wp:effectExtent l="0" t="0" r="15875" b="17145"/>
            <wp:wrapTight wrapText="bothSides">
              <wp:wrapPolygon edited="0">
                <wp:start x="0" y="0"/>
                <wp:lineTo x="0" y="21643"/>
                <wp:lineTo x="21622" y="21643"/>
                <wp:lineTo x="21622" y="0"/>
                <wp:lineTo x="0" y="0"/>
              </wp:wrapPolygon>
            </wp:wrapTight>
            <wp:docPr id="31" name="Chart 31">
              <a:extLst xmlns:a="http://schemas.openxmlformats.org/drawingml/2006/main">
                <a:ext uri="{FF2B5EF4-FFF2-40B4-BE49-F238E27FC236}">
                  <a16:creationId xmlns:a16="http://schemas.microsoft.com/office/drawing/2014/main" id="{3824694A-42AA-514B-A8E1-74473CC289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7"/>
              </a:graphicData>
            </a:graphic>
            <wp14:sizeRelH relativeFrom="page">
              <wp14:pctWidth>0</wp14:pctWidth>
            </wp14:sizeRelH>
            <wp14:sizeRelV relativeFrom="page">
              <wp14:pctHeight>0</wp14:pctHeight>
            </wp14:sizeRelV>
          </wp:anchor>
        </w:drawing>
      </w:r>
      <w:r w:rsidR="00D163D4" w:rsidRPr="006B42D6">
        <w:t xml:space="preserve">In </w:t>
      </w:r>
      <w:r w:rsidR="00E5610C" w:rsidRPr="006B42D6">
        <w:t xml:space="preserve">Tanzania </w:t>
      </w:r>
      <w:r w:rsidR="00D163D4" w:rsidRPr="006B42D6">
        <w:t>Zanzibar, honey</w:t>
      </w:r>
      <w:r w:rsidR="00E5610C" w:rsidRPr="006B42D6">
        <w:t xml:space="preserve"> production </w:t>
      </w:r>
      <w:r w:rsidR="00D163D4" w:rsidRPr="006B42D6">
        <w:t xml:space="preserve">from stingless bees </w:t>
      </w:r>
      <w:r w:rsidR="00E5610C" w:rsidRPr="006B42D6">
        <w:t>was</w:t>
      </w:r>
      <w:r w:rsidR="00D163D4" w:rsidRPr="006B42D6">
        <w:t xml:space="preserve"> </w:t>
      </w:r>
      <w:r w:rsidR="00DF211F" w:rsidRPr="006B42D6">
        <w:t xml:space="preserve">only </w:t>
      </w:r>
      <w:r w:rsidR="00D163D4" w:rsidRPr="006B42D6">
        <w:t>reported</w:t>
      </w:r>
      <w:r w:rsidR="00307BBB" w:rsidRPr="006B42D6">
        <w:t xml:space="preserve"> </w:t>
      </w:r>
      <w:r w:rsidR="00D163D4" w:rsidRPr="006B42D6">
        <w:t>in Kusini Pemba</w:t>
      </w:r>
      <w:r w:rsidR="00307BBB" w:rsidRPr="006B42D6">
        <w:t xml:space="preserve"> (1,126 litres; 94.4 percent) </w:t>
      </w:r>
      <w:r w:rsidR="00E5610C" w:rsidRPr="006B42D6">
        <w:t xml:space="preserve">and </w:t>
      </w:r>
      <w:r w:rsidR="00D163D4" w:rsidRPr="006B42D6">
        <w:t>Kusini Unguja</w:t>
      </w:r>
      <w:r w:rsidR="00307BBB" w:rsidRPr="006B42D6">
        <w:t xml:space="preserve"> (67 litres; 5.6 percent)</w:t>
      </w:r>
      <w:r w:rsidR="00DF211F" w:rsidRPr="006B42D6">
        <w:t xml:space="preserve"> regions</w:t>
      </w:r>
      <w:r w:rsidR="00307BBB" w:rsidRPr="006B42D6">
        <w:t xml:space="preserve">. </w:t>
      </w:r>
      <w:r w:rsidR="00E5610C" w:rsidRPr="006B42D6">
        <w:t>On the other hand, p</w:t>
      </w:r>
      <w:r w:rsidR="00D163D4" w:rsidRPr="006B42D6">
        <w:t xml:space="preserve">roduction of honey from sting bees </w:t>
      </w:r>
      <w:r w:rsidR="00E5610C" w:rsidRPr="006B42D6">
        <w:t>was</w:t>
      </w:r>
      <w:r w:rsidR="00D163D4" w:rsidRPr="006B42D6">
        <w:t xml:space="preserve"> reported in Kusini Unguja region (4,180 litres; 42.8 percent), Kaskazini Pemba (2,826.0 litres; 28.9 percent) and Kusini Pemba (2,759 litres; 28.3 percent) (Figure </w:t>
      </w:r>
      <w:r w:rsidR="000C7A70" w:rsidRPr="006B42D6">
        <w:t>4.</w:t>
      </w:r>
      <w:r w:rsidR="00C53873">
        <w:t>80</w:t>
      </w:r>
      <w:r w:rsidR="00D163D4" w:rsidRPr="006B42D6">
        <w:t>).</w:t>
      </w:r>
      <w:r w:rsidR="0003283E">
        <w:br w:type="page"/>
      </w:r>
    </w:p>
    <w:p w14:paraId="1252582C" w14:textId="76FFB9AC" w:rsidR="00D163D4" w:rsidRPr="006B42D6" w:rsidRDefault="00E01116" w:rsidP="00022347">
      <w:pPr>
        <w:pStyle w:val="Heading3"/>
      </w:pPr>
      <w:bookmarkStart w:id="819" w:name="_Toc82385783"/>
      <w:r w:rsidRPr="006B42D6">
        <w:lastRenderedPageBreak/>
        <w:t>4</w:t>
      </w:r>
      <w:r w:rsidR="00D163D4" w:rsidRPr="006B42D6">
        <w:t>.</w:t>
      </w:r>
      <w:r w:rsidR="00022347">
        <w:t>8</w:t>
      </w:r>
      <w:r w:rsidR="00D163D4" w:rsidRPr="006B42D6">
        <w:t>.2</w:t>
      </w:r>
      <w:r w:rsidR="0000655E" w:rsidRPr="006B42D6">
        <w:tab/>
      </w:r>
      <w:r w:rsidR="00D163D4" w:rsidRPr="006B42D6">
        <w:t>Sales and Market of Harvested Honey</w:t>
      </w:r>
      <w:bookmarkEnd w:id="819"/>
      <w:r w:rsidR="00D163D4" w:rsidRPr="006B42D6">
        <w:t xml:space="preserve"> </w:t>
      </w:r>
    </w:p>
    <w:p w14:paraId="14EDEBFD" w14:textId="63A3C107" w:rsidR="00E16CAE" w:rsidRPr="006B42D6" w:rsidRDefault="00E16CAE" w:rsidP="00E16CAE">
      <w:r w:rsidRPr="006B42D6">
        <w:t xml:space="preserve">The results show that, the average price of honey per litre from stingless bees was TZS 13,727 and TZS 11,518 for sting bees. In </w:t>
      </w:r>
      <w:r w:rsidR="00EA1552">
        <w:t>Mainland Tanzania</w:t>
      </w:r>
      <w:r w:rsidRPr="006B42D6">
        <w:t>, the average price of honey per litre from stingless bees was TZS 13,260 and TZS 10,795 for sting bee. The average price of honey produced by stingless and sting bees varied between regions. The highest price of honey from stingless bee was reported in Tanga (24,551 TZS/litre), followed by Arusha (22,823 TZS/litre) and Dodoma (22,502 TZS/litre)</w:t>
      </w:r>
      <w:r w:rsidR="005B6EE3" w:rsidRPr="006B42D6">
        <w:t xml:space="preserve">. </w:t>
      </w:r>
      <w:r w:rsidRPr="006B42D6">
        <w:t>The lowest price of honey from stingless bees was reported in Tabora (9,800 TZS/litre). Similarly, the highest price honey by sting bees was reported in Kilimanjaro (15,000 TZS/litre), followed by Dodoma (14,156 TZS/litre) and Morog</w:t>
      </w:r>
      <w:r w:rsidR="00EE1E6E">
        <w:t>o</w:t>
      </w:r>
      <w:r w:rsidRPr="006B42D6">
        <w:t>ro (12,511 TZS/litre). The lowest price of honey from sting bees was reported in Mara region (9,867 TZS/litre) (Figure 4.8</w:t>
      </w:r>
      <w:r w:rsidR="00C53873">
        <w:t>1</w:t>
      </w:r>
      <w:r w:rsidRPr="006B42D6">
        <w:t>).</w:t>
      </w:r>
    </w:p>
    <w:p w14:paraId="4A01C59E" w14:textId="77777777" w:rsidR="006F25ED" w:rsidRPr="006B42D6" w:rsidRDefault="006F25ED" w:rsidP="002940E1">
      <w:pPr>
        <w:spacing w:line="240" w:lineRule="auto"/>
      </w:pPr>
    </w:p>
    <w:p w14:paraId="275E69F8" w14:textId="79C1D1A2" w:rsidR="002940E1" w:rsidRPr="002940E1" w:rsidRDefault="002940E1" w:rsidP="002940E1">
      <w:pPr>
        <w:pStyle w:val="Caption"/>
        <w:rPr>
          <w:b w:val="0"/>
          <w:i/>
          <w:iCs w:val="0"/>
          <w:noProof/>
          <w:szCs w:val="20"/>
        </w:rPr>
      </w:pPr>
      <w:bookmarkStart w:id="820" w:name="_Toc82386452"/>
      <w:r w:rsidRPr="006B42D6">
        <w:rPr>
          <w:noProof/>
        </w:rPr>
        <w:drawing>
          <wp:anchor distT="0" distB="0" distL="114300" distR="114300" simplePos="0" relativeHeight="251714560" behindDoc="1" locked="0" layoutInCell="1" allowOverlap="1" wp14:anchorId="58E7BAB7" wp14:editId="7DB4A663">
            <wp:simplePos x="0" y="0"/>
            <wp:positionH relativeFrom="margin">
              <wp:posOffset>3175</wp:posOffset>
            </wp:positionH>
            <wp:positionV relativeFrom="paragraph">
              <wp:posOffset>419100</wp:posOffset>
            </wp:positionV>
            <wp:extent cx="6050915" cy="2926080"/>
            <wp:effectExtent l="0" t="0" r="6985" b="7620"/>
            <wp:wrapTight wrapText="bothSides">
              <wp:wrapPolygon edited="0">
                <wp:start x="0" y="0"/>
                <wp:lineTo x="0" y="21563"/>
                <wp:lineTo x="21580" y="21563"/>
                <wp:lineTo x="21580" y="0"/>
                <wp:lineTo x="0" y="0"/>
              </wp:wrapPolygon>
            </wp:wrapTight>
            <wp:docPr id="1" name="Chart 1">
              <a:extLst xmlns:a="http://schemas.openxmlformats.org/drawingml/2006/main">
                <a:ext uri="{FF2B5EF4-FFF2-40B4-BE49-F238E27FC236}">
                  <a16:creationId xmlns:a16="http://schemas.microsoft.com/office/drawing/2014/main" id="{FA9A0413-2C18-457D-A155-DC356DCE23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8"/>
              </a:graphicData>
            </a:graphic>
            <wp14:sizeRelH relativeFrom="page">
              <wp14:pctWidth>0</wp14:pctWidth>
            </wp14:sizeRelH>
            <wp14:sizeRelV relativeFrom="page">
              <wp14:pctHeight>0</wp14:pctHeight>
            </wp14:sizeRelV>
          </wp:anchor>
        </w:drawing>
      </w:r>
      <w:r w:rsidR="006F25ED" w:rsidRPr="006B42D6">
        <w:rPr>
          <w:iCs w:val="0"/>
          <w:szCs w:val="20"/>
        </w:rPr>
        <w:t xml:space="preserve">Figure </w:t>
      </w:r>
      <w:r w:rsidR="000C7A70" w:rsidRPr="006B42D6">
        <w:rPr>
          <w:iCs w:val="0"/>
          <w:szCs w:val="20"/>
        </w:rPr>
        <w:t>4.</w:t>
      </w:r>
      <w:r w:rsidR="00D233D8" w:rsidRPr="006B42D6">
        <w:rPr>
          <w:iCs w:val="0"/>
          <w:szCs w:val="20"/>
        </w:rPr>
        <w:t>8</w:t>
      </w:r>
      <w:r w:rsidR="00C53873">
        <w:rPr>
          <w:iCs w:val="0"/>
          <w:szCs w:val="20"/>
        </w:rPr>
        <w:t>1</w:t>
      </w:r>
      <w:r w:rsidR="00982365">
        <w:rPr>
          <w:iCs w:val="0"/>
          <w:szCs w:val="20"/>
        </w:rPr>
        <w:t>:</w:t>
      </w:r>
      <w:r w:rsidR="00982365">
        <w:rPr>
          <w:iCs w:val="0"/>
          <w:szCs w:val="20"/>
        </w:rPr>
        <w:tab/>
      </w:r>
      <w:r w:rsidR="006F25ED" w:rsidRPr="006B42D6">
        <w:rPr>
          <w:iCs w:val="0"/>
          <w:szCs w:val="20"/>
        </w:rPr>
        <w:t>The Average Price of Honey</w:t>
      </w:r>
      <w:r w:rsidR="005B6EE3" w:rsidRPr="006B42D6">
        <w:rPr>
          <w:iCs w:val="0"/>
          <w:szCs w:val="20"/>
        </w:rPr>
        <w:t xml:space="preserve"> per Litre</w:t>
      </w:r>
      <w:r w:rsidR="006F25ED" w:rsidRPr="006B42D6">
        <w:rPr>
          <w:iCs w:val="0"/>
          <w:szCs w:val="20"/>
        </w:rPr>
        <w:t xml:space="preserve"> from Stingless and Sting</w:t>
      </w:r>
      <w:r w:rsidR="002D40BE" w:rsidRPr="006B42D6">
        <w:rPr>
          <w:iCs w:val="0"/>
          <w:szCs w:val="20"/>
        </w:rPr>
        <w:t xml:space="preserve"> During 2019/20 Agricultural Year</w:t>
      </w:r>
      <w:r w:rsidR="005B6EE3" w:rsidRPr="006B42D6">
        <w:rPr>
          <w:iCs w:val="0"/>
          <w:szCs w:val="20"/>
        </w:rPr>
        <w:t>,</w:t>
      </w:r>
      <w:r w:rsidR="006F25ED" w:rsidRPr="006B42D6">
        <w:rPr>
          <w:iCs w:val="0"/>
          <w:szCs w:val="20"/>
        </w:rPr>
        <w:t xml:space="preserve"> </w:t>
      </w:r>
      <w:r w:rsidR="00EA1552">
        <w:rPr>
          <w:iCs w:val="0"/>
          <w:szCs w:val="20"/>
        </w:rPr>
        <w:t>Mainland Tanzania</w:t>
      </w:r>
      <w:bookmarkEnd w:id="820"/>
      <w:r w:rsidR="006F25ED" w:rsidRPr="006B42D6">
        <w:rPr>
          <w:iCs w:val="0"/>
          <w:szCs w:val="20"/>
        </w:rPr>
        <w:t xml:space="preserve"> </w:t>
      </w:r>
    </w:p>
    <w:p w14:paraId="3CE7E2D1" w14:textId="7C2AD5E2" w:rsidR="006F25ED" w:rsidRPr="006B42D6" w:rsidRDefault="006F25ED" w:rsidP="005C2EFC"/>
    <w:p w14:paraId="04040771" w14:textId="3311DD68" w:rsidR="00E16CAE" w:rsidRDefault="00E16CAE" w:rsidP="00E16CAE">
      <w:r w:rsidRPr="006B42D6">
        <w:t>In Tanzania Zanzibar, Kusini Pemba was the only region reported to sell honey from stingless bees with the average price of TZS 21,209 per litre.</w:t>
      </w:r>
      <w:r w:rsidR="00F12273">
        <w:t xml:space="preserve"> </w:t>
      </w:r>
      <w:r w:rsidRPr="006B42D6">
        <w:t>For the case of sting bees, the average price of honey was TZS 17,307 per litre whereas Kaskazini Pemba region reported the highest price of TZS 20,000 per litre, while Kusini Pemba reported the lowest average price (13,483 TZS/litre) (Figure 4.8</w:t>
      </w:r>
      <w:r w:rsidR="00C53873">
        <w:t>2</w:t>
      </w:r>
      <w:r w:rsidRPr="006B42D6">
        <w:t>).</w:t>
      </w:r>
    </w:p>
    <w:p w14:paraId="0789FFD7" w14:textId="54287E2C" w:rsidR="00F12273" w:rsidRDefault="00F12273" w:rsidP="00E16CAE"/>
    <w:p w14:paraId="307D3820" w14:textId="4F67A31E" w:rsidR="00F12273" w:rsidRDefault="00F12273">
      <w:pPr>
        <w:spacing w:line="240" w:lineRule="auto"/>
        <w:contextualSpacing w:val="0"/>
        <w:jc w:val="left"/>
      </w:pPr>
      <w:r>
        <w:br w:type="page"/>
      </w:r>
    </w:p>
    <w:p w14:paraId="365AEC78" w14:textId="77777777" w:rsidR="00F12273" w:rsidRPr="006F64FB" w:rsidRDefault="00F12273" w:rsidP="00F12273">
      <w:pPr>
        <w:pStyle w:val="Caption"/>
        <w:rPr>
          <w:i/>
          <w:noProof/>
        </w:rPr>
      </w:pPr>
      <w:bookmarkStart w:id="821" w:name="_Toc80120356"/>
      <w:bookmarkStart w:id="822" w:name="_Toc80884232"/>
      <w:bookmarkStart w:id="823" w:name="_Toc80884603"/>
      <w:bookmarkStart w:id="824" w:name="_Toc82386453"/>
      <w:r w:rsidRPr="006F64FB">
        <w:lastRenderedPageBreak/>
        <w:t>Figure 4.8</w:t>
      </w:r>
      <w:r>
        <w:t>2</w:t>
      </w:r>
      <w:r w:rsidRPr="006F64FB">
        <w:t>:</w:t>
      </w:r>
      <w:r>
        <w:tab/>
      </w:r>
      <w:r w:rsidRPr="006F64FB">
        <w:t xml:space="preserve">The Average Price of Honey </w:t>
      </w:r>
      <w:r>
        <w:t xml:space="preserve">per Litre </w:t>
      </w:r>
      <w:r w:rsidRPr="006F64FB">
        <w:t xml:space="preserve">from Stingless and Sting </w:t>
      </w:r>
      <w:r>
        <w:t>B</w:t>
      </w:r>
      <w:r w:rsidRPr="006F64FB">
        <w:t>ee</w:t>
      </w:r>
      <w:r>
        <w:t>s</w:t>
      </w:r>
      <w:r w:rsidRPr="006F64FB">
        <w:t xml:space="preserve"> During 2019/20 Agricultural Year, Tanzania</w:t>
      </w:r>
      <w:bookmarkEnd w:id="821"/>
      <w:bookmarkEnd w:id="822"/>
      <w:bookmarkEnd w:id="823"/>
      <w:bookmarkEnd w:id="824"/>
    </w:p>
    <w:p w14:paraId="324E4D2F" w14:textId="37E82F2B" w:rsidR="00A841B2" w:rsidRDefault="00F12273" w:rsidP="002940E1">
      <w:pPr>
        <w:spacing w:line="240" w:lineRule="auto"/>
      </w:pPr>
      <w:r w:rsidRPr="006B42D6">
        <w:rPr>
          <w:noProof/>
        </w:rPr>
        <w:drawing>
          <wp:inline distT="0" distB="0" distL="0" distR="0" wp14:anchorId="67811525" wp14:editId="0BD3AD07">
            <wp:extent cx="5399690" cy="2533650"/>
            <wp:effectExtent l="0" t="0" r="10795" b="6350"/>
            <wp:docPr id="3" name="Chart 3">
              <a:extLst xmlns:a="http://schemas.openxmlformats.org/drawingml/2006/main">
                <a:ext uri="{FF2B5EF4-FFF2-40B4-BE49-F238E27FC236}">
                  <a16:creationId xmlns:a16="http://schemas.microsoft.com/office/drawing/2014/main" id="{1CE3FE65-AC93-4C38-B53F-D08387F36C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9"/>
              </a:graphicData>
            </a:graphic>
          </wp:inline>
        </w:drawing>
      </w:r>
    </w:p>
    <w:p w14:paraId="61665FA8" w14:textId="77777777" w:rsidR="00F12273" w:rsidRPr="006B42D6" w:rsidRDefault="00F12273" w:rsidP="00F12273"/>
    <w:p w14:paraId="29B6BC9E" w14:textId="492BBE44" w:rsidR="00D163D4" w:rsidRPr="006B42D6" w:rsidRDefault="00D163D4" w:rsidP="005C2EFC">
      <w:bookmarkStart w:id="825" w:name="_Hlk75969538"/>
      <w:r w:rsidRPr="006B42D6">
        <w:t xml:space="preserve">Furthermore, </w:t>
      </w:r>
      <w:r w:rsidR="003A1F1C" w:rsidRPr="006B42D6">
        <w:t>the census results reveal that, the m</w:t>
      </w:r>
      <w:r w:rsidRPr="006B42D6">
        <w:t>ajority of households</w:t>
      </w:r>
      <w:r w:rsidR="005B6EE3" w:rsidRPr="006B42D6">
        <w:t xml:space="preserve"> in </w:t>
      </w:r>
      <w:r w:rsidR="00EA1552">
        <w:t>Mainland Tanzania</w:t>
      </w:r>
      <w:r w:rsidRPr="006B42D6">
        <w:t xml:space="preserve"> repo</w:t>
      </w:r>
      <w:r w:rsidR="00D233D8" w:rsidRPr="006B42D6">
        <w:t>rted neighbo</w:t>
      </w:r>
      <w:r w:rsidR="00F12273">
        <w:t>u</w:t>
      </w:r>
      <w:r w:rsidR="00D233D8" w:rsidRPr="006B42D6">
        <w:t>rs (</w:t>
      </w:r>
      <w:r w:rsidR="0095628A">
        <w:t>4</w:t>
      </w:r>
      <w:r w:rsidR="00D233D8" w:rsidRPr="006B42D6">
        <w:t>9.</w:t>
      </w:r>
      <w:r w:rsidR="0095628A">
        <w:t>3</w:t>
      </w:r>
      <w:r w:rsidR="00D233D8" w:rsidRPr="006B42D6">
        <w:t xml:space="preserve"> percent) as their main market for honey, followed by private b</w:t>
      </w:r>
      <w:r w:rsidRPr="006B42D6">
        <w:t xml:space="preserve">usiness people </w:t>
      </w:r>
      <w:r w:rsidR="003A1F1C" w:rsidRPr="006B42D6">
        <w:t>(</w:t>
      </w:r>
      <w:r w:rsidR="0095628A">
        <w:t>30</w:t>
      </w:r>
      <w:r w:rsidRPr="006B42D6">
        <w:t>.</w:t>
      </w:r>
      <w:r w:rsidR="0095628A">
        <w:t>7</w:t>
      </w:r>
      <w:r w:rsidRPr="006B42D6">
        <w:t xml:space="preserve"> percent</w:t>
      </w:r>
      <w:r w:rsidR="003A1F1C" w:rsidRPr="006B42D6">
        <w:t>)</w:t>
      </w:r>
      <w:r w:rsidR="00D233D8" w:rsidRPr="006B42D6">
        <w:t xml:space="preserve"> and o</w:t>
      </w:r>
      <w:r w:rsidRPr="006B42D6">
        <w:t>pen market (</w:t>
      </w:r>
      <w:r w:rsidR="0095628A">
        <w:t>7</w:t>
      </w:r>
      <w:r w:rsidRPr="006B42D6">
        <w:t>.</w:t>
      </w:r>
      <w:r w:rsidR="0095628A">
        <w:t>4</w:t>
      </w:r>
      <w:r w:rsidRPr="006B42D6">
        <w:t xml:space="preserve"> percent). The least number of households (</w:t>
      </w:r>
      <w:r w:rsidR="0095628A">
        <w:t>6</w:t>
      </w:r>
      <w:r w:rsidRPr="006B42D6">
        <w:t>.</w:t>
      </w:r>
      <w:r w:rsidR="0095628A">
        <w:t>1</w:t>
      </w:r>
      <w:r w:rsidRPr="006B42D6">
        <w:t xml:space="preserve"> percent) reported other market as the main market for honey produced </w:t>
      </w:r>
      <w:bookmarkEnd w:id="825"/>
      <w:r w:rsidR="00C57633" w:rsidRPr="006B42D6">
        <w:t>(Figure 4.</w:t>
      </w:r>
      <w:r w:rsidR="00D233D8" w:rsidRPr="006B42D6">
        <w:t>8</w:t>
      </w:r>
      <w:r w:rsidR="00C53873">
        <w:t>3</w:t>
      </w:r>
      <w:r w:rsidR="00C57633" w:rsidRPr="006B42D6">
        <w:t>)</w:t>
      </w:r>
      <w:r w:rsidRPr="006B42D6">
        <w:t xml:space="preserve">. </w:t>
      </w:r>
    </w:p>
    <w:p w14:paraId="0C99882D" w14:textId="77777777" w:rsidR="002E44A4" w:rsidRPr="006B42D6" w:rsidRDefault="002E44A4" w:rsidP="00EE1E6E">
      <w:pPr>
        <w:spacing w:line="240" w:lineRule="auto"/>
      </w:pPr>
    </w:p>
    <w:p w14:paraId="096EC4B1" w14:textId="69E475EF" w:rsidR="002E44A4" w:rsidRPr="006B42D6" w:rsidRDefault="002E44A4" w:rsidP="00F12273">
      <w:pPr>
        <w:pStyle w:val="Caption"/>
        <w:ind w:left="1140" w:right="680" w:hanging="1140"/>
        <w:rPr>
          <w:b w:val="0"/>
          <w:i/>
          <w:iCs w:val="0"/>
          <w:noProof/>
          <w:szCs w:val="20"/>
        </w:rPr>
      </w:pPr>
      <w:bookmarkStart w:id="826" w:name="_Toc82386454"/>
      <w:r w:rsidRPr="006B42D6">
        <w:rPr>
          <w:iCs w:val="0"/>
          <w:szCs w:val="20"/>
        </w:rPr>
        <w:t xml:space="preserve">Figure </w:t>
      </w:r>
      <w:r w:rsidR="00C57633" w:rsidRPr="006B42D6">
        <w:rPr>
          <w:iCs w:val="0"/>
          <w:szCs w:val="20"/>
        </w:rPr>
        <w:t>4.</w:t>
      </w:r>
      <w:r w:rsidR="00D233D8" w:rsidRPr="006B42D6">
        <w:rPr>
          <w:iCs w:val="0"/>
          <w:szCs w:val="20"/>
        </w:rPr>
        <w:t>8</w:t>
      </w:r>
      <w:r w:rsidR="00C53873">
        <w:rPr>
          <w:iCs w:val="0"/>
          <w:szCs w:val="20"/>
        </w:rPr>
        <w:t>3</w:t>
      </w:r>
      <w:r w:rsidR="002940E1">
        <w:rPr>
          <w:iCs w:val="0"/>
          <w:szCs w:val="20"/>
        </w:rPr>
        <w:t>:</w:t>
      </w:r>
      <w:r w:rsidR="00982365">
        <w:rPr>
          <w:iCs w:val="0"/>
          <w:szCs w:val="20"/>
        </w:rPr>
        <w:tab/>
      </w:r>
      <w:r w:rsidRPr="006B42D6">
        <w:rPr>
          <w:iCs w:val="0"/>
          <w:szCs w:val="20"/>
        </w:rPr>
        <w:t xml:space="preserve">Percentage of </w:t>
      </w:r>
      <w:r w:rsidR="003A1F1C" w:rsidRPr="006B42D6">
        <w:rPr>
          <w:iCs w:val="0"/>
          <w:szCs w:val="20"/>
        </w:rPr>
        <w:t>H</w:t>
      </w:r>
      <w:r w:rsidRPr="006B42D6">
        <w:rPr>
          <w:iCs w:val="0"/>
          <w:szCs w:val="20"/>
        </w:rPr>
        <w:t xml:space="preserve">ouseholds </w:t>
      </w:r>
      <w:r w:rsidR="003A1F1C" w:rsidRPr="006B42D6">
        <w:rPr>
          <w:iCs w:val="0"/>
          <w:szCs w:val="20"/>
        </w:rPr>
        <w:t>R</w:t>
      </w:r>
      <w:r w:rsidRPr="006B42D6">
        <w:rPr>
          <w:iCs w:val="0"/>
          <w:szCs w:val="20"/>
        </w:rPr>
        <w:t>ep</w:t>
      </w:r>
      <w:r w:rsidR="00D233D8" w:rsidRPr="006B42D6">
        <w:rPr>
          <w:iCs w:val="0"/>
          <w:szCs w:val="20"/>
        </w:rPr>
        <w:t>orted the Main Markets of Honey During 2019/20 A</w:t>
      </w:r>
      <w:r w:rsidR="003A1F1C" w:rsidRPr="006B42D6">
        <w:rPr>
          <w:iCs w:val="0"/>
          <w:szCs w:val="20"/>
        </w:rPr>
        <w:t xml:space="preserve">gricultural </w:t>
      </w:r>
      <w:r w:rsidR="00E16CAE" w:rsidRPr="006B42D6">
        <w:rPr>
          <w:iCs w:val="0"/>
          <w:szCs w:val="20"/>
        </w:rPr>
        <w:t xml:space="preserve">Year, </w:t>
      </w:r>
      <w:r w:rsidR="00EA1552">
        <w:rPr>
          <w:iCs w:val="0"/>
          <w:szCs w:val="20"/>
        </w:rPr>
        <w:t>Mainland Tanzania</w:t>
      </w:r>
      <w:bookmarkEnd w:id="826"/>
    </w:p>
    <w:p w14:paraId="2E4486D2" w14:textId="0ED85E50" w:rsidR="002E44A4" w:rsidRPr="006B42D6" w:rsidRDefault="005C34BE" w:rsidP="005C2EFC">
      <w:r>
        <w:rPr>
          <w:noProof/>
        </w:rPr>
        <w:drawing>
          <wp:inline distT="0" distB="0" distL="0" distR="0" wp14:anchorId="1DA6EF1E" wp14:editId="355B80F0">
            <wp:extent cx="5273566" cy="2819400"/>
            <wp:effectExtent l="0" t="0" r="10160" b="12700"/>
            <wp:docPr id="566" name="Chart 566">
              <a:extLst xmlns:a="http://schemas.openxmlformats.org/drawingml/2006/main">
                <a:ext uri="{FF2B5EF4-FFF2-40B4-BE49-F238E27FC236}">
                  <a16:creationId xmlns:a16="http://schemas.microsoft.com/office/drawing/2014/main" id="{00000000-0008-0000-02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0"/>
              </a:graphicData>
            </a:graphic>
          </wp:inline>
        </w:drawing>
      </w:r>
    </w:p>
    <w:p w14:paraId="0305E7B9" w14:textId="52A1AFCC" w:rsidR="00F12273" w:rsidRDefault="00F12273">
      <w:pPr>
        <w:spacing w:line="240" w:lineRule="auto"/>
        <w:contextualSpacing w:val="0"/>
        <w:jc w:val="left"/>
      </w:pPr>
      <w:r>
        <w:br w:type="page"/>
      </w:r>
    </w:p>
    <w:p w14:paraId="10E782C3" w14:textId="7BEDBAD5" w:rsidR="00FE6DA0" w:rsidRPr="006B42D6" w:rsidRDefault="00FE6DA0" w:rsidP="005C2EFC">
      <w:r w:rsidRPr="006B42D6">
        <w:lastRenderedPageBreak/>
        <w:t>The result</w:t>
      </w:r>
      <w:r w:rsidR="005B6EE3" w:rsidRPr="006B42D6">
        <w:t>s</w:t>
      </w:r>
      <w:r w:rsidRPr="006B42D6">
        <w:t xml:space="preserve"> show that, </w:t>
      </w:r>
      <w:r w:rsidR="005B6EE3" w:rsidRPr="006B42D6">
        <w:t xml:space="preserve">Kilimanjaro </w:t>
      </w:r>
      <w:r w:rsidRPr="006B42D6">
        <w:t xml:space="preserve">region </w:t>
      </w:r>
      <w:r w:rsidR="005B6EE3" w:rsidRPr="006B42D6">
        <w:t>had the</w:t>
      </w:r>
      <w:r w:rsidRPr="006B42D6">
        <w:t xml:space="preserve"> </w:t>
      </w:r>
      <w:r w:rsidR="005B6EE3" w:rsidRPr="006B42D6">
        <w:t>largest</w:t>
      </w:r>
      <w:r w:rsidRPr="006B42D6">
        <w:t xml:space="preserve"> number of households</w:t>
      </w:r>
      <w:r w:rsidR="005B6EE3" w:rsidRPr="006B42D6">
        <w:t xml:space="preserve"> (1,054</w:t>
      </w:r>
      <w:r w:rsidR="00F12273">
        <w:t>;</w:t>
      </w:r>
      <w:r w:rsidR="005B6EE3" w:rsidRPr="006B42D6">
        <w:t xml:space="preserve"> 19.1 percent)</w:t>
      </w:r>
      <w:r w:rsidRPr="006B42D6">
        <w:t xml:space="preserve"> </w:t>
      </w:r>
      <w:r w:rsidR="005B6EE3" w:rsidRPr="006B42D6">
        <w:t xml:space="preserve">that </w:t>
      </w:r>
      <w:r w:rsidRPr="006B42D6">
        <w:t xml:space="preserve">reported neighbours as the main market of honey </w:t>
      </w:r>
      <w:r w:rsidR="000641A2" w:rsidRPr="006B42D6">
        <w:t>from</w:t>
      </w:r>
      <w:r w:rsidRPr="006B42D6">
        <w:t xml:space="preserve"> stingless bee</w:t>
      </w:r>
      <w:r w:rsidR="005B6EE3" w:rsidRPr="006B42D6">
        <w:t xml:space="preserve">, </w:t>
      </w:r>
      <w:r w:rsidRPr="006B42D6">
        <w:t xml:space="preserve">followed by Manyara (640; 11.6 percent) and </w:t>
      </w:r>
      <w:r w:rsidR="003F74D8" w:rsidRPr="006B42D6">
        <w:t>Iringa (631; 11.4 percent)</w:t>
      </w:r>
      <w:r w:rsidR="005B6EE3" w:rsidRPr="006B42D6">
        <w:t xml:space="preserve">, while the </w:t>
      </w:r>
      <w:r w:rsidRPr="006B42D6">
        <w:t>least number of households was</w:t>
      </w:r>
      <w:r w:rsidR="005B6EE3" w:rsidRPr="006B42D6">
        <w:t xml:space="preserve"> reported in</w:t>
      </w:r>
      <w:r w:rsidRPr="006B42D6">
        <w:t xml:space="preserve"> Katavi (83; 1.5 percent). </w:t>
      </w:r>
      <w:r w:rsidR="00E16CAE" w:rsidRPr="006B42D6">
        <w:t>However,</w:t>
      </w:r>
      <w:r w:rsidR="000641A2" w:rsidRPr="006B42D6">
        <w:t xml:space="preserve"> fo</w:t>
      </w:r>
      <w:r w:rsidR="00BB08C6" w:rsidRPr="006B42D6">
        <w:t>r</w:t>
      </w:r>
      <w:r w:rsidR="000641A2" w:rsidRPr="006B42D6">
        <w:t xml:space="preserve"> sting bees</w:t>
      </w:r>
      <w:r w:rsidR="005B6EE3" w:rsidRPr="006B42D6">
        <w:t>,</w:t>
      </w:r>
      <w:r w:rsidR="000641A2" w:rsidRPr="006B42D6">
        <w:t xml:space="preserve"> </w:t>
      </w:r>
      <w:r w:rsidR="00BB08C6" w:rsidRPr="006B42D6">
        <w:t xml:space="preserve">Singida region had </w:t>
      </w:r>
      <w:r w:rsidRPr="006B42D6">
        <w:t>the</w:t>
      </w:r>
      <w:r w:rsidR="00BB08C6" w:rsidRPr="006B42D6">
        <w:t xml:space="preserve"> largest number of </w:t>
      </w:r>
      <w:r w:rsidRPr="006B42D6">
        <w:t xml:space="preserve">households </w:t>
      </w:r>
      <w:r w:rsidR="00BB08C6" w:rsidRPr="006B42D6">
        <w:t xml:space="preserve">(3,659; 21.3 percent) that </w:t>
      </w:r>
      <w:r w:rsidRPr="006B42D6">
        <w:t xml:space="preserve">reported </w:t>
      </w:r>
      <w:r w:rsidR="003A1F1C" w:rsidRPr="006B42D6">
        <w:t>n</w:t>
      </w:r>
      <w:r w:rsidRPr="006B42D6">
        <w:t>eighbo</w:t>
      </w:r>
      <w:r w:rsidR="00BB08C6" w:rsidRPr="006B42D6">
        <w:t>u</w:t>
      </w:r>
      <w:r w:rsidRPr="006B42D6">
        <w:t>r</w:t>
      </w:r>
      <w:r w:rsidR="00BB08C6" w:rsidRPr="006B42D6">
        <w:t>s</w:t>
      </w:r>
      <w:r w:rsidRPr="006B42D6">
        <w:t xml:space="preserve"> as the </w:t>
      </w:r>
      <w:r w:rsidR="003A1F1C" w:rsidRPr="006B42D6">
        <w:t>m</w:t>
      </w:r>
      <w:r w:rsidRPr="006B42D6">
        <w:t xml:space="preserve">ain market </w:t>
      </w:r>
      <w:r w:rsidR="00BB08C6" w:rsidRPr="006B42D6">
        <w:t>for</w:t>
      </w:r>
      <w:r w:rsidRPr="006B42D6">
        <w:t xml:space="preserve"> honey</w:t>
      </w:r>
      <w:r w:rsidR="00BB08C6" w:rsidRPr="006B42D6">
        <w:t>,</w:t>
      </w:r>
      <w:r w:rsidRPr="006B42D6">
        <w:t xml:space="preserve"> followed by Tanga (1,849; 10.7) </w:t>
      </w:r>
      <w:r w:rsidR="00BB08C6" w:rsidRPr="006B42D6">
        <w:t>and Mbeya (1,812; 10.5 percent),</w:t>
      </w:r>
      <w:r w:rsidRPr="006B42D6">
        <w:t xml:space="preserve"> </w:t>
      </w:r>
      <w:r w:rsidR="00BB08C6" w:rsidRPr="006B42D6">
        <w:t xml:space="preserve">while the </w:t>
      </w:r>
      <w:r w:rsidRPr="006B42D6">
        <w:t>least</w:t>
      </w:r>
      <w:r w:rsidR="00BB08C6" w:rsidRPr="006B42D6">
        <w:t xml:space="preserve"> number of households was reported in </w:t>
      </w:r>
      <w:r w:rsidRPr="006B42D6">
        <w:t>Katavi (134; 0.8 percent) (Figure</w:t>
      </w:r>
      <w:r w:rsidR="00C57633" w:rsidRPr="006B42D6">
        <w:t xml:space="preserve"> 4.</w:t>
      </w:r>
      <w:r w:rsidR="00BB08C6" w:rsidRPr="006B42D6">
        <w:t>8</w:t>
      </w:r>
      <w:r w:rsidR="00C53873">
        <w:t>4</w:t>
      </w:r>
      <w:r w:rsidRPr="006B42D6">
        <w:t>)</w:t>
      </w:r>
      <w:r w:rsidR="00C57633" w:rsidRPr="006B42D6">
        <w:t>.</w:t>
      </w:r>
    </w:p>
    <w:p w14:paraId="42BDB43C" w14:textId="02B833EC" w:rsidR="002E44A4" w:rsidRPr="006B42D6" w:rsidRDefault="002E44A4" w:rsidP="002940E1">
      <w:pPr>
        <w:spacing w:line="240" w:lineRule="auto"/>
      </w:pPr>
    </w:p>
    <w:p w14:paraId="5C4C3234" w14:textId="2BEF13AB" w:rsidR="002E44A4" w:rsidRPr="006B42D6" w:rsidRDefault="00E257C1" w:rsidP="00474890">
      <w:pPr>
        <w:pStyle w:val="Caption"/>
      </w:pPr>
      <w:bookmarkStart w:id="827" w:name="_Toc82386455"/>
      <w:r w:rsidRPr="006B42D6">
        <w:t xml:space="preserve">Figure </w:t>
      </w:r>
      <w:r w:rsidR="00C57633" w:rsidRPr="006B42D6">
        <w:t>4.</w:t>
      </w:r>
      <w:r w:rsidR="00BB08C6" w:rsidRPr="006B42D6">
        <w:t>8</w:t>
      </w:r>
      <w:r w:rsidR="00C53873">
        <w:t>4</w:t>
      </w:r>
      <w:r w:rsidR="002940E1">
        <w:t>:</w:t>
      </w:r>
      <w:r w:rsidR="00982365">
        <w:tab/>
      </w:r>
      <w:r w:rsidRPr="006B42D6">
        <w:t>Number of Household</w:t>
      </w:r>
      <w:r w:rsidR="005B6EE3" w:rsidRPr="006B42D6">
        <w:t>s</w:t>
      </w:r>
      <w:r w:rsidRPr="006B42D6">
        <w:t xml:space="preserve"> Reported Neighbours as the Main Market for Honey Sales by Region</w:t>
      </w:r>
      <w:r w:rsidR="00A12BAE" w:rsidRPr="006B42D6">
        <w:t xml:space="preserve"> During 2019/20 Agricultural Year</w:t>
      </w:r>
      <w:r w:rsidR="005B6EE3" w:rsidRPr="006B42D6">
        <w:t xml:space="preserve">, </w:t>
      </w:r>
      <w:r w:rsidR="00EA1552">
        <w:t>Mainland Tanzania</w:t>
      </w:r>
      <w:bookmarkEnd w:id="827"/>
    </w:p>
    <w:p w14:paraId="10A1491D" w14:textId="29A8B003" w:rsidR="00FE6DA0" w:rsidRPr="006B42D6" w:rsidRDefault="001B26AC" w:rsidP="0095651D">
      <w:pPr>
        <w:rPr>
          <w:i/>
          <w:iCs/>
          <w:noProof/>
        </w:rPr>
      </w:pPr>
      <w:r w:rsidRPr="006B42D6">
        <w:rPr>
          <w:noProof/>
        </w:rPr>
        <w:drawing>
          <wp:inline distT="0" distB="0" distL="0" distR="0" wp14:anchorId="57D3DC41" wp14:editId="55175F66">
            <wp:extent cx="5659821" cy="2504440"/>
            <wp:effectExtent l="0" t="0" r="17145" b="10160"/>
            <wp:docPr id="17" name="Chart 5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1"/>
              </a:graphicData>
            </a:graphic>
          </wp:inline>
        </w:drawing>
      </w:r>
    </w:p>
    <w:p w14:paraId="42DDE8B5" w14:textId="77777777" w:rsidR="00D163D4" w:rsidRPr="006B42D6" w:rsidRDefault="00D163D4" w:rsidP="00F12273"/>
    <w:p w14:paraId="540F1913" w14:textId="5BE16B4D" w:rsidR="00D163D4" w:rsidRPr="006B42D6" w:rsidRDefault="00F12273" w:rsidP="005C2EFC">
      <w:r>
        <w:rPr>
          <w:noProof/>
        </w:rPr>
        <w:drawing>
          <wp:anchor distT="0" distB="0" distL="114300" distR="114300" simplePos="0" relativeHeight="251824128" behindDoc="1" locked="0" layoutInCell="1" allowOverlap="1" wp14:anchorId="3B55B7CE" wp14:editId="63E2C826">
            <wp:simplePos x="0" y="0"/>
            <wp:positionH relativeFrom="column">
              <wp:posOffset>2309495</wp:posOffset>
            </wp:positionH>
            <wp:positionV relativeFrom="paragraph">
              <wp:posOffset>568062</wp:posOffset>
            </wp:positionV>
            <wp:extent cx="3208020" cy="1883410"/>
            <wp:effectExtent l="0" t="0" r="17780" b="8890"/>
            <wp:wrapTight wrapText="bothSides">
              <wp:wrapPolygon edited="0">
                <wp:start x="0" y="0"/>
                <wp:lineTo x="0" y="21556"/>
                <wp:lineTo x="21634" y="21556"/>
                <wp:lineTo x="21634" y="0"/>
                <wp:lineTo x="0" y="0"/>
              </wp:wrapPolygon>
            </wp:wrapTight>
            <wp:docPr id="569" name="Chart 569">
              <a:extLst xmlns:a="http://schemas.openxmlformats.org/drawingml/2006/main">
                <a:ext uri="{FF2B5EF4-FFF2-40B4-BE49-F238E27FC236}">
                  <a16:creationId xmlns:a16="http://schemas.microsoft.com/office/drawing/2014/main" id="{84166B4A-7A20-4241-8308-3C7D66E3DF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2"/>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26176" behindDoc="1" locked="0" layoutInCell="1" allowOverlap="1" wp14:anchorId="6CA1A6C1" wp14:editId="71DE5A09">
                <wp:simplePos x="0" y="0"/>
                <wp:positionH relativeFrom="column">
                  <wp:posOffset>2309495</wp:posOffset>
                </wp:positionH>
                <wp:positionV relativeFrom="paragraph">
                  <wp:posOffset>7357</wp:posOffset>
                </wp:positionV>
                <wp:extent cx="3751580" cy="457200"/>
                <wp:effectExtent l="0" t="0" r="0" b="0"/>
                <wp:wrapTight wrapText="bothSides">
                  <wp:wrapPolygon edited="0">
                    <wp:start x="0" y="0"/>
                    <wp:lineTo x="0" y="21000"/>
                    <wp:lineTo x="21498" y="21000"/>
                    <wp:lineTo x="21498" y="0"/>
                    <wp:lineTo x="0" y="0"/>
                  </wp:wrapPolygon>
                </wp:wrapTight>
                <wp:docPr id="114" name="Text Box 114"/>
                <wp:cNvGraphicFramePr/>
                <a:graphic xmlns:a="http://schemas.openxmlformats.org/drawingml/2006/main">
                  <a:graphicData uri="http://schemas.microsoft.com/office/word/2010/wordprocessingShape">
                    <wps:wsp>
                      <wps:cNvSpPr txBox="1"/>
                      <wps:spPr>
                        <a:xfrm>
                          <a:off x="0" y="0"/>
                          <a:ext cx="3751580" cy="457200"/>
                        </a:xfrm>
                        <a:prstGeom prst="rect">
                          <a:avLst/>
                        </a:prstGeom>
                        <a:solidFill>
                          <a:prstClr val="white"/>
                        </a:solidFill>
                        <a:ln>
                          <a:noFill/>
                        </a:ln>
                      </wps:spPr>
                      <wps:txbx>
                        <w:txbxContent>
                          <w:p w14:paraId="7C4F5E9A" w14:textId="77777777" w:rsidR="00933456" w:rsidRPr="006B42D6" w:rsidRDefault="00933456" w:rsidP="00F12273">
                            <w:pPr>
                              <w:pStyle w:val="Caption"/>
                              <w:ind w:left="1140" w:right="1137" w:hanging="1140"/>
                              <w:rPr>
                                <w:b w:val="0"/>
                                <w:i/>
                                <w:iCs w:val="0"/>
                                <w:noProof/>
                                <w:szCs w:val="20"/>
                              </w:rPr>
                            </w:pPr>
                            <w:bookmarkStart w:id="828" w:name="_Toc82386456"/>
                            <w:r w:rsidRPr="006B42D6">
                              <w:rPr>
                                <w:iCs w:val="0"/>
                                <w:szCs w:val="20"/>
                              </w:rPr>
                              <w:t>Figure 4.8</w:t>
                            </w:r>
                            <w:r>
                              <w:rPr>
                                <w:iCs w:val="0"/>
                                <w:szCs w:val="20"/>
                              </w:rPr>
                              <w:t>5:</w:t>
                            </w:r>
                            <w:r>
                              <w:rPr>
                                <w:iCs w:val="0"/>
                                <w:szCs w:val="20"/>
                              </w:rPr>
                              <w:tab/>
                            </w:r>
                            <w:r w:rsidRPr="006B42D6">
                              <w:rPr>
                                <w:iCs w:val="0"/>
                                <w:szCs w:val="20"/>
                              </w:rPr>
                              <w:t>Percentage of Households Reported the Main Markets of Honey During 2019/20 Agricultural Year, Tanzania Zanzibar</w:t>
                            </w:r>
                            <w:bookmarkEnd w:id="828"/>
                          </w:p>
                          <w:p w14:paraId="7DDE7AB1" w14:textId="3DA19EA1" w:rsidR="00933456" w:rsidRPr="007E1B1F" w:rsidRDefault="00933456" w:rsidP="00F12273">
                            <w:pPr>
                              <w:pStyle w:val="Caption"/>
                              <w:ind w:right="1137"/>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CA1A6C1" id="Text Box 114" o:spid="_x0000_s1126" type="#_x0000_t202" style="position:absolute;left:0;text-align:left;margin-left:181.85pt;margin-top:.6pt;width:295.4pt;height:36pt;z-index:-251490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" stroked="f">
                <v:textbox inset="0,0,0,0">
                  <w:txbxContent>
                    <w:p w14:paraId="7C4F5E9A" w14:textId="77777777" w:rsidR="00933456" w:rsidRPr="006B42D6" w:rsidRDefault="00933456" w:rsidP="00F12273">
                      <w:pPr>
                        <w:pStyle w:val="Caption"/>
                        <w:ind w:left="1140" w:right="1137" w:hanging="1140"/>
                        <w:rPr>
                          <w:b w:val="0"/>
                          <w:i/>
                          <w:iCs w:val="0"/>
                          <w:noProof/>
                          <w:szCs w:val="20"/>
                        </w:rPr>
                      </w:pPr>
                      <w:bookmarkStart w:id="1200" w:name="_Toc82386456"/>
                      <w:r w:rsidRPr="006B42D6">
                        <w:rPr>
                          <w:iCs w:val="0"/>
                          <w:szCs w:val="20"/>
                        </w:rPr>
                        <w:t>Figure 4.8</w:t>
                      </w:r>
                      <w:r>
                        <w:rPr>
                          <w:iCs w:val="0"/>
                          <w:szCs w:val="20"/>
                        </w:rPr>
                        <w:t>5:</w:t>
                      </w:r>
                      <w:r>
                        <w:rPr>
                          <w:iCs w:val="0"/>
                          <w:szCs w:val="20"/>
                        </w:rPr>
                        <w:tab/>
                      </w:r>
                      <w:r w:rsidRPr="006B42D6">
                        <w:rPr>
                          <w:iCs w:val="0"/>
                          <w:szCs w:val="20"/>
                        </w:rPr>
                        <w:t>Percentage of Households Reported the Main Markets of Honey During 2019/20 Agricultural Year, Tanzania Zanzibar</w:t>
                      </w:r>
                      <w:bookmarkEnd w:id="1200"/>
                    </w:p>
                    <w:p w14:paraId="7DDE7AB1" w14:textId="3DA19EA1" w:rsidR="00933456" w:rsidRPr="007E1B1F" w:rsidRDefault="00933456" w:rsidP="00F12273">
                      <w:pPr>
                        <w:pStyle w:val="Caption"/>
                        <w:ind w:right="1137"/>
                        <w:rPr>
                          <w:noProof/>
                        </w:rPr>
                      </w:pPr>
                    </w:p>
                  </w:txbxContent>
                </v:textbox>
                <w10:wrap type="tight"/>
              </v:shape>
            </w:pict>
          </mc:Fallback>
        </mc:AlternateContent>
      </w:r>
      <w:r w:rsidR="00D163D4" w:rsidRPr="006B42D6">
        <w:t xml:space="preserve">Likewise, in </w:t>
      </w:r>
      <w:r w:rsidR="00A12BAE" w:rsidRPr="006B42D6">
        <w:t xml:space="preserve">Tanzania </w:t>
      </w:r>
      <w:r w:rsidR="00D163D4" w:rsidRPr="006B42D6">
        <w:t xml:space="preserve">Zanzibar, </w:t>
      </w:r>
      <w:r w:rsidR="00EF6271" w:rsidRPr="006B42D6">
        <w:t>t</w:t>
      </w:r>
      <w:r w:rsidR="00D163D4" w:rsidRPr="006B42D6">
        <w:t>he</w:t>
      </w:r>
      <w:r w:rsidR="005B6EE3" w:rsidRPr="006B42D6">
        <w:t xml:space="preserve"> majority of households reported neighbo</w:t>
      </w:r>
      <w:r>
        <w:t>u</w:t>
      </w:r>
      <w:r w:rsidR="005B6EE3" w:rsidRPr="006B42D6">
        <w:t xml:space="preserve">rs (52.3 percent) </w:t>
      </w:r>
      <w:r w:rsidR="00D163D4" w:rsidRPr="006B42D6">
        <w:t>and private business people</w:t>
      </w:r>
      <w:r w:rsidR="005B6EE3" w:rsidRPr="006B42D6">
        <w:t xml:space="preserve"> (17.9 percent)</w:t>
      </w:r>
      <w:r w:rsidR="00D163D4" w:rsidRPr="006B42D6">
        <w:t xml:space="preserve"> as the main market for honey</w:t>
      </w:r>
      <w:r w:rsidR="005B6EE3" w:rsidRPr="006B42D6">
        <w:t xml:space="preserve">, </w:t>
      </w:r>
      <w:r w:rsidR="002B6C6F" w:rsidRPr="006B42D6">
        <w:t>while the households who did not sell were 29.8 percent</w:t>
      </w:r>
      <w:r w:rsidR="00A12BAE" w:rsidRPr="006B42D6">
        <w:t xml:space="preserve"> </w:t>
      </w:r>
      <w:r w:rsidR="00C57633" w:rsidRPr="006B42D6">
        <w:t>(Figure 4.</w:t>
      </w:r>
      <w:r w:rsidR="002B6C6F" w:rsidRPr="006B42D6">
        <w:t>8</w:t>
      </w:r>
      <w:r w:rsidR="00C53873">
        <w:t>5</w:t>
      </w:r>
      <w:r w:rsidR="00C57633" w:rsidRPr="006B42D6">
        <w:t>)</w:t>
      </w:r>
      <w:r w:rsidR="00D163D4" w:rsidRPr="006B42D6">
        <w:t>.</w:t>
      </w:r>
    </w:p>
    <w:p w14:paraId="639DC56D" w14:textId="31923A9C" w:rsidR="005B6EE3" w:rsidRPr="006B42D6" w:rsidRDefault="005B6EE3" w:rsidP="00EE1E6E">
      <w:pPr>
        <w:spacing w:line="240" w:lineRule="auto"/>
      </w:pPr>
    </w:p>
    <w:p w14:paraId="3319247D" w14:textId="4FF43073" w:rsidR="006545D9" w:rsidRPr="00EE1E6E" w:rsidRDefault="006545D9" w:rsidP="0095651D">
      <w:pPr>
        <w:rPr>
          <w:b/>
          <w:iCs/>
          <w:noProof/>
        </w:rPr>
      </w:pPr>
    </w:p>
    <w:p w14:paraId="01FF9D0D" w14:textId="7DD5A317" w:rsidR="00F12273" w:rsidRDefault="00F12273">
      <w:pPr>
        <w:spacing w:line="240" w:lineRule="auto"/>
        <w:contextualSpacing w:val="0"/>
        <w:jc w:val="left"/>
      </w:pPr>
      <w:r>
        <w:br w:type="page"/>
      </w:r>
    </w:p>
    <w:p w14:paraId="47ECC811" w14:textId="77777777" w:rsidR="00F12273" w:rsidRDefault="00D163D4" w:rsidP="005C2EFC">
      <w:r w:rsidRPr="006B42D6">
        <w:lastRenderedPageBreak/>
        <w:t xml:space="preserve">Furthermore, </w:t>
      </w:r>
      <w:r w:rsidR="00A12BAE" w:rsidRPr="006B42D6">
        <w:t>m</w:t>
      </w:r>
      <w:r w:rsidRPr="006B42D6">
        <w:t>ajority of households</w:t>
      </w:r>
      <w:r w:rsidR="00A12BAE" w:rsidRPr="006B42D6">
        <w:t xml:space="preserve"> (101; 100 percent)</w:t>
      </w:r>
      <w:r w:rsidRPr="006B42D6">
        <w:t xml:space="preserve"> in Kaskazini Pemba region reported selling to neighbours as the main market for honey by stingless bees. Similarly, selling to neighbours was also reported as the main market of honey</w:t>
      </w:r>
      <w:r w:rsidR="00B72801" w:rsidRPr="006B42D6">
        <w:t xml:space="preserve"> produced</w:t>
      </w:r>
      <w:r w:rsidRPr="006B42D6">
        <w:t xml:space="preserve"> by sting bees, whereby Kusini Pemba region had 335</w:t>
      </w:r>
      <w:r w:rsidR="00A972A8" w:rsidRPr="006B42D6">
        <w:t xml:space="preserve"> </w:t>
      </w:r>
      <w:r w:rsidRPr="006B42D6">
        <w:t xml:space="preserve">households (64.1 percent) and </w:t>
      </w:r>
      <w:r w:rsidR="00B72801" w:rsidRPr="006B42D6">
        <w:t>188</w:t>
      </w:r>
      <w:r w:rsidR="009A050E" w:rsidRPr="006B42D6">
        <w:t xml:space="preserve"> households (35.9 percent) </w:t>
      </w:r>
      <w:r w:rsidR="00B72801" w:rsidRPr="006B42D6">
        <w:t xml:space="preserve">were </w:t>
      </w:r>
      <w:r w:rsidR="009A050E" w:rsidRPr="006B42D6">
        <w:t xml:space="preserve">reported in </w:t>
      </w:r>
      <w:r w:rsidRPr="006B42D6">
        <w:t>Kaskazini Pemba</w:t>
      </w:r>
      <w:r w:rsidR="00C57633" w:rsidRPr="006B42D6">
        <w:t>.</w:t>
      </w:r>
    </w:p>
    <w:p w14:paraId="453F6DDF" w14:textId="0E254C4C" w:rsidR="003F5E45" w:rsidRPr="00993457" w:rsidRDefault="00A36B36" w:rsidP="005C2EFC">
      <w:r w:rsidRPr="006B42D6">
        <w:rPr>
          <w:b/>
        </w:rPr>
        <w:br w:type="page"/>
      </w:r>
    </w:p>
    <w:p w14:paraId="21ADD6D3" w14:textId="5CEF9932" w:rsidR="00942A94" w:rsidRDefault="00942A94" w:rsidP="00942A94">
      <w:pPr>
        <w:pStyle w:val="Title"/>
      </w:pPr>
      <w:bookmarkStart w:id="829" w:name="_Toc82385784"/>
      <w:r>
        <w:lastRenderedPageBreak/>
        <w:t>CHAPTER FIVE</w:t>
      </w:r>
      <w:bookmarkEnd w:id="829"/>
    </w:p>
    <w:p w14:paraId="0E09E23A" w14:textId="037B0650" w:rsidR="009A050E" w:rsidRPr="006B42D6" w:rsidRDefault="009A050E" w:rsidP="00942A94">
      <w:pPr>
        <w:pStyle w:val="Subtitle"/>
      </w:pPr>
      <w:bookmarkStart w:id="830" w:name="_Toc82385785"/>
      <w:r w:rsidRPr="006B42D6">
        <w:t>AGRICULTURAL CREDIT</w:t>
      </w:r>
      <w:bookmarkEnd w:id="830"/>
    </w:p>
    <w:p w14:paraId="1B76F95C" w14:textId="756171D1" w:rsidR="00A32971" w:rsidRPr="00AC6872" w:rsidRDefault="009A050E" w:rsidP="00AC6872">
      <w:pPr>
        <w:pStyle w:val="Heading1"/>
      </w:pPr>
      <w:bookmarkStart w:id="831" w:name="_Toc82385786"/>
      <w:r w:rsidRPr="00AC6872">
        <w:t>5.</w:t>
      </w:r>
      <w:r w:rsidR="00AC6872" w:rsidRPr="00AC6872">
        <w:t>0</w:t>
      </w:r>
      <w:r w:rsidR="00A32971" w:rsidRPr="00AC6872">
        <w:tab/>
      </w:r>
      <w:r w:rsidRPr="00AC6872">
        <w:t>Introduction</w:t>
      </w:r>
      <w:bookmarkEnd w:id="831"/>
    </w:p>
    <w:p w14:paraId="3E4903E1" w14:textId="21F2E2EB" w:rsidR="00A32971" w:rsidRPr="006B42D6" w:rsidRDefault="00A32971" w:rsidP="00A32971">
      <w:r w:rsidRPr="006B42D6">
        <w:t>In any agricultural development, farmers or agricultural household members need credits</w:t>
      </w:r>
      <w:r w:rsidR="009A050E" w:rsidRPr="006B42D6">
        <w:t xml:space="preserve"> </w:t>
      </w:r>
      <w:r w:rsidRPr="006B42D6">
        <w:t>to support</w:t>
      </w:r>
      <w:r w:rsidR="009A050E" w:rsidRPr="006B42D6">
        <w:t xml:space="preserve"> </w:t>
      </w:r>
      <w:r w:rsidRPr="006B42D6">
        <w:t>their agricultural activities. This can be done by borrowing money from different sources such as bank, individuals, cooperative societies, etc to acquire productive assets, land, machinery and/or any other input in production (fertilizer, seeds, agrochemicals, labor, etc). The major objective is to enhance agricultural operation and improve production of crops, livestock, fisheries and their products.</w:t>
      </w:r>
    </w:p>
    <w:p w14:paraId="1226B731" w14:textId="77777777" w:rsidR="00A32971" w:rsidRPr="006B42D6" w:rsidRDefault="00A32971" w:rsidP="00D70D8C">
      <w:pPr>
        <w:spacing w:line="240" w:lineRule="auto"/>
        <w:rPr>
          <w:b/>
          <w:bCs/>
        </w:rPr>
      </w:pPr>
    </w:p>
    <w:p w14:paraId="724E8E37" w14:textId="75691C33" w:rsidR="00A32971" w:rsidRPr="006B42D6" w:rsidRDefault="009A050E" w:rsidP="009A050E">
      <w:pPr>
        <w:pStyle w:val="Heading2"/>
      </w:pPr>
      <w:bookmarkStart w:id="832" w:name="_Toc82385787"/>
      <w:r w:rsidRPr="006B42D6">
        <w:t>5.</w:t>
      </w:r>
      <w:r w:rsidR="00AC6872">
        <w:t>1</w:t>
      </w:r>
      <w:r w:rsidR="00A32971" w:rsidRPr="006B42D6">
        <w:tab/>
        <w:t>Agricultural Households Reported to Borrow Money</w:t>
      </w:r>
      <w:bookmarkEnd w:id="832"/>
    </w:p>
    <w:p w14:paraId="4AB2D5C2" w14:textId="5B48EC46" w:rsidR="00A32971" w:rsidRPr="006B42D6" w:rsidRDefault="00A32971" w:rsidP="00A32971">
      <w:r w:rsidRPr="006B42D6">
        <w:t>The census results show that, a total of 7,837,405 agricultural households reported to engage in agricultural activities during 2019/20 agricultural year. Out of that, 294,618 households (3.8 percent) reported their members borrowed money from different sources for agricultural activities. For the household members that borrowed money for agricultural activities, a total of 291,035 household mem</w:t>
      </w:r>
      <w:r w:rsidR="00CB2A54" w:rsidRPr="006B42D6">
        <w:t xml:space="preserve">bers were in </w:t>
      </w:r>
      <w:r w:rsidR="00EA1552">
        <w:t>Mainland Tanzania</w:t>
      </w:r>
      <w:r w:rsidR="00CB2A54" w:rsidRPr="006B42D6">
        <w:t xml:space="preserve">, while </w:t>
      </w:r>
      <w:r w:rsidRPr="006B42D6">
        <w:t xml:space="preserve">3,582 members were in Tanzania Zanzibar. Moreover, out of 294,618 household members, 3,828 received at most two credits </w:t>
      </w:r>
      <w:r w:rsidRPr="006B42D6">
        <w:rPr>
          <w:iCs/>
        </w:rPr>
        <w:t>(</w:t>
      </w:r>
      <w:r w:rsidRPr="006B42D6">
        <w:t xml:space="preserve">Table </w:t>
      </w:r>
      <w:r w:rsidR="009A050E" w:rsidRPr="006B42D6">
        <w:t>5.1</w:t>
      </w:r>
      <w:r w:rsidRPr="006B42D6">
        <w:t>).</w:t>
      </w:r>
    </w:p>
    <w:p w14:paraId="49BF3E08" w14:textId="6252EE17" w:rsidR="00A32971" w:rsidRPr="006B42D6" w:rsidRDefault="00A32971" w:rsidP="00C312C1">
      <w:pPr>
        <w:spacing w:line="240" w:lineRule="auto"/>
      </w:pPr>
    </w:p>
    <w:p w14:paraId="48BB887B" w14:textId="03B11F4F" w:rsidR="00A32971" w:rsidRPr="006B42D6" w:rsidRDefault="00A32971" w:rsidP="007200F6">
      <w:pPr>
        <w:pStyle w:val="Heading7"/>
      </w:pPr>
      <w:bookmarkStart w:id="833" w:name="_Toc82386231"/>
      <w:r w:rsidRPr="006B42D6">
        <w:t xml:space="preserve">Table </w:t>
      </w:r>
      <w:r w:rsidR="009A050E" w:rsidRPr="006B42D6">
        <w:t>5.1</w:t>
      </w:r>
      <w:r w:rsidR="0092196D">
        <w:t>:</w:t>
      </w:r>
      <w:r w:rsidR="00E17DC7">
        <w:tab/>
      </w:r>
      <w:r w:rsidRPr="006B42D6">
        <w:t xml:space="preserve">Number and Percentage of Agricultural Household Members Reported </w:t>
      </w:r>
      <w:r w:rsidR="00CB2A54" w:rsidRPr="006B42D6">
        <w:t xml:space="preserve">to </w:t>
      </w:r>
      <w:r w:rsidRPr="006B42D6">
        <w:t>Borrow Money for Agricultural Activities During 2019/20 Agricultural Year</w:t>
      </w:r>
      <w:r w:rsidR="00CB2A54" w:rsidRPr="006B42D6">
        <w:t>, Tanzania</w:t>
      </w:r>
      <w:bookmarkEnd w:id="833"/>
    </w:p>
    <w:tbl>
      <w:tblPr>
        <w:tblW w:w="9424" w:type="dxa"/>
        <w:tblLook w:val="04A0" w:firstRow="1" w:lastRow="0" w:firstColumn="1" w:lastColumn="0" w:noHBand="0" w:noVBand="1"/>
      </w:tblPr>
      <w:tblGrid>
        <w:gridCol w:w="1701"/>
        <w:gridCol w:w="2197"/>
        <w:gridCol w:w="772"/>
        <w:gridCol w:w="2192"/>
        <w:gridCol w:w="771"/>
        <w:gridCol w:w="955"/>
        <w:gridCol w:w="836"/>
      </w:tblGrid>
      <w:tr w:rsidR="006B42D6" w:rsidRPr="006B42D6" w14:paraId="70DF45CB" w14:textId="77777777" w:rsidTr="00E57C78">
        <w:trPr>
          <w:trHeight w:val="451"/>
        </w:trPr>
        <w:tc>
          <w:tcPr>
            <w:tcW w:w="1701" w:type="dxa"/>
            <w:vMerge w:val="restart"/>
            <w:tcBorders>
              <w:top w:val="single" w:sz="4" w:space="0" w:color="auto"/>
              <w:bottom w:val="single" w:sz="4" w:space="0" w:color="auto"/>
            </w:tcBorders>
            <w:shd w:val="clear" w:color="auto" w:fill="E2EFD9" w:themeFill="accent6" w:themeFillTint="33"/>
            <w:vAlign w:val="center"/>
            <w:hideMark/>
          </w:tcPr>
          <w:p w14:paraId="5D6FACC6" w14:textId="77777777" w:rsidR="00A32971" w:rsidRPr="006B42D6" w:rsidRDefault="00A32971" w:rsidP="00AF7CD1">
            <w:pPr>
              <w:rPr>
                <w:sz w:val="18"/>
                <w:szCs w:val="18"/>
              </w:rPr>
            </w:pPr>
          </w:p>
        </w:tc>
        <w:tc>
          <w:tcPr>
            <w:tcW w:w="2969" w:type="dxa"/>
            <w:gridSpan w:val="2"/>
            <w:tcBorders>
              <w:top w:val="single" w:sz="4" w:space="0" w:color="auto"/>
              <w:bottom w:val="single" w:sz="4" w:space="0" w:color="auto"/>
              <w:right w:val="single" w:sz="4" w:space="0" w:color="auto"/>
            </w:tcBorders>
            <w:shd w:val="clear" w:color="auto" w:fill="E2EFD9" w:themeFill="accent6" w:themeFillTint="33"/>
            <w:vAlign w:val="center"/>
            <w:hideMark/>
          </w:tcPr>
          <w:p w14:paraId="20441CD2" w14:textId="77777777" w:rsidR="00A32971" w:rsidRPr="006B42D6" w:rsidRDefault="00A32971" w:rsidP="00E57C78">
            <w:pPr>
              <w:spacing w:line="240" w:lineRule="auto"/>
              <w:jc w:val="center"/>
              <w:rPr>
                <w:sz w:val="18"/>
                <w:szCs w:val="18"/>
              </w:rPr>
            </w:pPr>
            <w:r w:rsidRPr="006B42D6">
              <w:rPr>
                <w:sz w:val="18"/>
                <w:szCs w:val="18"/>
              </w:rPr>
              <w:t>Borrowed Money for Agricultural Activities</w:t>
            </w:r>
          </w:p>
        </w:tc>
        <w:tc>
          <w:tcPr>
            <w:tcW w:w="2963" w:type="dxa"/>
            <w:gridSpan w:val="2"/>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7012658D" w14:textId="77777777" w:rsidR="00A32971" w:rsidRPr="006B42D6" w:rsidRDefault="00A32971" w:rsidP="00E57C78">
            <w:pPr>
              <w:spacing w:line="240" w:lineRule="auto"/>
              <w:jc w:val="center"/>
              <w:rPr>
                <w:sz w:val="18"/>
                <w:szCs w:val="18"/>
              </w:rPr>
            </w:pPr>
            <w:r w:rsidRPr="006B42D6">
              <w:rPr>
                <w:sz w:val="18"/>
                <w:szCs w:val="18"/>
              </w:rPr>
              <w:t>Did Not Borrow Money for Agricultural Activities</w:t>
            </w:r>
          </w:p>
        </w:tc>
        <w:tc>
          <w:tcPr>
            <w:tcW w:w="1791" w:type="dxa"/>
            <w:gridSpan w:val="2"/>
            <w:tcBorders>
              <w:top w:val="single" w:sz="4" w:space="0" w:color="auto"/>
              <w:left w:val="single" w:sz="4" w:space="0" w:color="auto"/>
              <w:bottom w:val="single" w:sz="4" w:space="0" w:color="auto"/>
            </w:tcBorders>
            <w:shd w:val="clear" w:color="auto" w:fill="E2EFD9" w:themeFill="accent6" w:themeFillTint="33"/>
            <w:vAlign w:val="center"/>
          </w:tcPr>
          <w:p w14:paraId="0CCEB415" w14:textId="77777777" w:rsidR="00A32971" w:rsidRPr="006B42D6" w:rsidRDefault="00A32971" w:rsidP="00E57C78">
            <w:pPr>
              <w:spacing w:line="240" w:lineRule="auto"/>
              <w:jc w:val="center"/>
              <w:rPr>
                <w:sz w:val="18"/>
                <w:szCs w:val="18"/>
              </w:rPr>
            </w:pPr>
            <w:r w:rsidRPr="006B42D6">
              <w:rPr>
                <w:sz w:val="18"/>
                <w:szCs w:val="18"/>
              </w:rPr>
              <w:t>Total Households</w:t>
            </w:r>
          </w:p>
        </w:tc>
      </w:tr>
      <w:tr w:rsidR="006B42D6" w:rsidRPr="006B42D6" w14:paraId="49A39B43" w14:textId="77777777" w:rsidTr="00E57C78">
        <w:trPr>
          <w:trHeight w:val="339"/>
        </w:trPr>
        <w:tc>
          <w:tcPr>
            <w:tcW w:w="1701" w:type="dxa"/>
            <w:vMerge/>
            <w:tcBorders>
              <w:top w:val="single" w:sz="4" w:space="0" w:color="auto"/>
              <w:bottom w:val="single" w:sz="4" w:space="0" w:color="auto"/>
            </w:tcBorders>
            <w:shd w:val="clear" w:color="auto" w:fill="E2EFD9" w:themeFill="accent6" w:themeFillTint="33"/>
            <w:vAlign w:val="center"/>
            <w:hideMark/>
          </w:tcPr>
          <w:p w14:paraId="4085777B" w14:textId="77777777" w:rsidR="00A32971" w:rsidRPr="006B42D6" w:rsidRDefault="00A32971" w:rsidP="00AF7CD1">
            <w:pPr>
              <w:rPr>
                <w:sz w:val="18"/>
                <w:szCs w:val="18"/>
              </w:rPr>
            </w:pPr>
          </w:p>
        </w:tc>
        <w:tc>
          <w:tcPr>
            <w:tcW w:w="2197" w:type="dxa"/>
            <w:tcBorders>
              <w:top w:val="single" w:sz="4" w:space="0" w:color="auto"/>
              <w:bottom w:val="single" w:sz="4" w:space="0" w:color="auto"/>
            </w:tcBorders>
            <w:shd w:val="clear" w:color="auto" w:fill="E2EFD9" w:themeFill="accent6" w:themeFillTint="33"/>
            <w:vAlign w:val="bottom"/>
            <w:hideMark/>
          </w:tcPr>
          <w:p w14:paraId="5B45718A" w14:textId="77777777" w:rsidR="00A32971" w:rsidRPr="006B42D6" w:rsidRDefault="00A32971" w:rsidP="00E57C78">
            <w:pPr>
              <w:jc w:val="left"/>
              <w:rPr>
                <w:sz w:val="18"/>
                <w:szCs w:val="18"/>
              </w:rPr>
            </w:pPr>
            <w:r w:rsidRPr="006B42D6">
              <w:rPr>
                <w:sz w:val="18"/>
                <w:szCs w:val="18"/>
              </w:rPr>
              <w:t>Number of Households</w:t>
            </w:r>
          </w:p>
        </w:tc>
        <w:tc>
          <w:tcPr>
            <w:tcW w:w="772" w:type="dxa"/>
            <w:tcBorders>
              <w:top w:val="single" w:sz="4" w:space="0" w:color="auto"/>
              <w:bottom w:val="single" w:sz="4" w:space="0" w:color="auto"/>
              <w:right w:val="single" w:sz="4" w:space="0" w:color="auto"/>
            </w:tcBorders>
            <w:shd w:val="clear" w:color="auto" w:fill="E2EFD9" w:themeFill="accent6" w:themeFillTint="33"/>
            <w:vAlign w:val="bottom"/>
            <w:hideMark/>
          </w:tcPr>
          <w:p w14:paraId="12219C65" w14:textId="77777777" w:rsidR="00A32971" w:rsidRPr="006B42D6" w:rsidRDefault="00A32971" w:rsidP="00E57C78">
            <w:pPr>
              <w:jc w:val="left"/>
              <w:rPr>
                <w:sz w:val="18"/>
                <w:szCs w:val="18"/>
              </w:rPr>
            </w:pPr>
            <w:r w:rsidRPr="006B42D6">
              <w:rPr>
                <w:sz w:val="18"/>
                <w:szCs w:val="18"/>
              </w:rPr>
              <w:t>Percent</w:t>
            </w:r>
          </w:p>
        </w:tc>
        <w:tc>
          <w:tcPr>
            <w:tcW w:w="2192" w:type="dxa"/>
            <w:tcBorders>
              <w:top w:val="single" w:sz="4" w:space="0" w:color="auto"/>
              <w:left w:val="single" w:sz="4" w:space="0" w:color="auto"/>
              <w:bottom w:val="single" w:sz="4" w:space="0" w:color="auto"/>
            </w:tcBorders>
            <w:shd w:val="clear" w:color="auto" w:fill="E2EFD9" w:themeFill="accent6" w:themeFillTint="33"/>
            <w:vAlign w:val="bottom"/>
            <w:hideMark/>
          </w:tcPr>
          <w:p w14:paraId="2E797954" w14:textId="77777777" w:rsidR="00A32971" w:rsidRPr="006B42D6" w:rsidRDefault="00A32971" w:rsidP="00E57C78">
            <w:pPr>
              <w:jc w:val="left"/>
              <w:rPr>
                <w:sz w:val="18"/>
                <w:szCs w:val="18"/>
              </w:rPr>
            </w:pPr>
            <w:r w:rsidRPr="006B42D6">
              <w:rPr>
                <w:sz w:val="18"/>
                <w:szCs w:val="18"/>
              </w:rPr>
              <w:t>Number of Households</w:t>
            </w:r>
          </w:p>
        </w:tc>
        <w:tc>
          <w:tcPr>
            <w:tcW w:w="771" w:type="dxa"/>
            <w:tcBorders>
              <w:top w:val="single" w:sz="4" w:space="0" w:color="auto"/>
              <w:bottom w:val="single" w:sz="4" w:space="0" w:color="auto"/>
              <w:right w:val="single" w:sz="4" w:space="0" w:color="auto"/>
            </w:tcBorders>
            <w:shd w:val="clear" w:color="auto" w:fill="E2EFD9" w:themeFill="accent6" w:themeFillTint="33"/>
            <w:vAlign w:val="bottom"/>
            <w:hideMark/>
          </w:tcPr>
          <w:p w14:paraId="05304C8F" w14:textId="77777777" w:rsidR="00A32971" w:rsidRPr="006B42D6" w:rsidRDefault="00A32971" w:rsidP="00E57C78">
            <w:pPr>
              <w:jc w:val="left"/>
              <w:rPr>
                <w:sz w:val="18"/>
                <w:szCs w:val="18"/>
              </w:rPr>
            </w:pPr>
            <w:r w:rsidRPr="006B42D6">
              <w:rPr>
                <w:sz w:val="18"/>
                <w:szCs w:val="18"/>
              </w:rPr>
              <w:t>Percent</w:t>
            </w:r>
          </w:p>
        </w:tc>
        <w:tc>
          <w:tcPr>
            <w:tcW w:w="955" w:type="dxa"/>
            <w:tcBorders>
              <w:top w:val="single" w:sz="4" w:space="0" w:color="auto"/>
              <w:left w:val="single" w:sz="4" w:space="0" w:color="auto"/>
              <w:bottom w:val="single" w:sz="4" w:space="0" w:color="auto"/>
            </w:tcBorders>
            <w:shd w:val="clear" w:color="auto" w:fill="E2EFD9" w:themeFill="accent6" w:themeFillTint="33"/>
            <w:vAlign w:val="bottom"/>
          </w:tcPr>
          <w:p w14:paraId="28F5B08A" w14:textId="77777777" w:rsidR="00A32971" w:rsidRPr="006B42D6" w:rsidRDefault="00A32971" w:rsidP="00E57C78">
            <w:pPr>
              <w:jc w:val="left"/>
              <w:rPr>
                <w:sz w:val="18"/>
                <w:szCs w:val="18"/>
              </w:rPr>
            </w:pPr>
            <w:r w:rsidRPr="006B42D6">
              <w:rPr>
                <w:sz w:val="18"/>
                <w:szCs w:val="18"/>
              </w:rPr>
              <w:t>Number</w:t>
            </w:r>
          </w:p>
        </w:tc>
        <w:tc>
          <w:tcPr>
            <w:tcW w:w="836" w:type="dxa"/>
            <w:tcBorders>
              <w:top w:val="single" w:sz="4" w:space="0" w:color="auto"/>
              <w:bottom w:val="single" w:sz="4" w:space="0" w:color="auto"/>
            </w:tcBorders>
            <w:shd w:val="clear" w:color="auto" w:fill="E2EFD9" w:themeFill="accent6" w:themeFillTint="33"/>
            <w:vAlign w:val="bottom"/>
          </w:tcPr>
          <w:p w14:paraId="74826683" w14:textId="77777777" w:rsidR="00A32971" w:rsidRPr="006B42D6" w:rsidRDefault="00A32971" w:rsidP="00E57C78">
            <w:pPr>
              <w:jc w:val="left"/>
              <w:rPr>
                <w:b/>
                <w:bCs/>
                <w:sz w:val="18"/>
                <w:szCs w:val="18"/>
              </w:rPr>
            </w:pPr>
            <w:r w:rsidRPr="006B42D6">
              <w:rPr>
                <w:sz w:val="18"/>
                <w:szCs w:val="18"/>
              </w:rPr>
              <w:t>Percent</w:t>
            </w:r>
          </w:p>
        </w:tc>
      </w:tr>
      <w:tr w:rsidR="006B42D6" w:rsidRPr="006B42D6" w14:paraId="39635DB5" w14:textId="77777777" w:rsidTr="00E57C78">
        <w:trPr>
          <w:trHeight w:val="397"/>
        </w:trPr>
        <w:tc>
          <w:tcPr>
            <w:tcW w:w="1701" w:type="dxa"/>
            <w:tcBorders>
              <w:top w:val="single" w:sz="4" w:space="0" w:color="auto"/>
            </w:tcBorders>
            <w:shd w:val="clear" w:color="auto" w:fill="auto"/>
            <w:vAlign w:val="center"/>
            <w:hideMark/>
          </w:tcPr>
          <w:p w14:paraId="248833EE" w14:textId="2CF5551A" w:rsidR="00A32971" w:rsidRPr="006B42D6" w:rsidRDefault="00EA1552" w:rsidP="008046CE">
            <w:pPr>
              <w:jc w:val="left"/>
              <w:rPr>
                <w:sz w:val="18"/>
                <w:szCs w:val="18"/>
              </w:rPr>
            </w:pPr>
            <w:r>
              <w:rPr>
                <w:sz w:val="18"/>
                <w:szCs w:val="18"/>
              </w:rPr>
              <w:t>Mainland Tanzania</w:t>
            </w:r>
          </w:p>
        </w:tc>
        <w:tc>
          <w:tcPr>
            <w:tcW w:w="2197" w:type="dxa"/>
            <w:tcBorders>
              <w:top w:val="single" w:sz="4" w:space="0" w:color="auto"/>
            </w:tcBorders>
            <w:shd w:val="clear" w:color="auto" w:fill="auto"/>
            <w:noWrap/>
            <w:vAlign w:val="center"/>
            <w:hideMark/>
          </w:tcPr>
          <w:p w14:paraId="183CFC18" w14:textId="77777777" w:rsidR="00A32971" w:rsidRPr="006B42D6" w:rsidRDefault="00A32971" w:rsidP="00E57C78">
            <w:pPr>
              <w:jc w:val="center"/>
              <w:rPr>
                <w:sz w:val="18"/>
                <w:szCs w:val="18"/>
              </w:rPr>
            </w:pPr>
            <w:r w:rsidRPr="006B42D6">
              <w:rPr>
                <w:sz w:val="18"/>
                <w:szCs w:val="18"/>
              </w:rPr>
              <w:t>291,035</w:t>
            </w:r>
          </w:p>
        </w:tc>
        <w:tc>
          <w:tcPr>
            <w:tcW w:w="772" w:type="dxa"/>
            <w:tcBorders>
              <w:top w:val="single" w:sz="4" w:space="0" w:color="auto"/>
              <w:right w:val="single" w:sz="4" w:space="0" w:color="auto"/>
            </w:tcBorders>
            <w:shd w:val="clear" w:color="auto" w:fill="auto"/>
            <w:vAlign w:val="center"/>
            <w:hideMark/>
          </w:tcPr>
          <w:p w14:paraId="769FD4E5" w14:textId="77777777" w:rsidR="00A32971" w:rsidRPr="006B42D6" w:rsidRDefault="00A32971" w:rsidP="00E57C78">
            <w:pPr>
              <w:jc w:val="center"/>
              <w:rPr>
                <w:sz w:val="18"/>
                <w:szCs w:val="18"/>
              </w:rPr>
            </w:pPr>
            <w:r w:rsidRPr="006B42D6">
              <w:rPr>
                <w:sz w:val="18"/>
                <w:szCs w:val="18"/>
              </w:rPr>
              <w:t>3.8</w:t>
            </w:r>
          </w:p>
        </w:tc>
        <w:tc>
          <w:tcPr>
            <w:tcW w:w="2192" w:type="dxa"/>
            <w:tcBorders>
              <w:top w:val="single" w:sz="4" w:space="0" w:color="auto"/>
              <w:left w:val="single" w:sz="4" w:space="0" w:color="auto"/>
            </w:tcBorders>
            <w:shd w:val="clear" w:color="auto" w:fill="auto"/>
            <w:noWrap/>
            <w:vAlign w:val="center"/>
            <w:hideMark/>
          </w:tcPr>
          <w:p w14:paraId="6CB74D86" w14:textId="77777777" w:rsidR="00A32971" w:rsidRPr="006B42D6" w:rsidRDefault="00A32971" w:rsidP="00E57C78">
            <w:pPr>
              <w:jc w:val="center"/>
              <w:rPr>
                <w:sz w:val="18"/>
                <w:szCs w:val="18"/>
              </w:rPr>
            </w:pPr>
            <w:r w:rsidRPr="006B42D6">
              <w:rPr>
                <w:sz w:val="18"/>
                <w:szCs w:val="18"/>
              </w:rPr>
              <w:t>7,366,153</w:t>
            </w:r>
          </w:p>
        </w:tc>
        <w:tc>
          <w:tcPr>
            <w:tcW w:w="771" w:type="dxa"/>
            <w:tcBorders>
              <w:top w:val="single" w:sz="4" w:space="0" w:color="auto"/>
              <w:right w:val="single" w:sz="4" w:space="0" w:color="auto"/>
            </w:tcBorders>
            <w:shd w:val="clear" w:color="auto" w:fill="auto"/>
            <w:vAlign w:val="center"/>
            <w:hideMark/>
          </w:tcPr>
          <w:p w14:paraId="4F260317" w14:textId="77777777" w:rsidR="00A32971" w:rsidRPr="006B42D6" w:rsidRDefault="00A32971" w:rsidP="00E57C78">
            <w:pPr>
              <w:jc w:val="center"/>
              <w:rPr>
                <w:sz w:val="18"/>
                <w:szCs w:val="18"/>
              </w:rPr>
            </w:pPr>
            <w:r w:rsidRPr="006B42D6">
              <w:rPr>
                <w:sz w:val="18"/>
                <w:szCs w:val="18"/>
              </w:rPr>
              <w:t>96.2</w:t>
            </w:r>
          </w:p>
        </w:tc>
        <w:tc>
          <w:tcPr>
            <w:tcW w:w="955" w:type="dxa"/>
            <w:tcBorders>
              <w:top w:val="single" w:sz="4" w:space="0" w:color="auto"/>
              <w:left w:val="single" w:sz="4" w:space="0" w:color="auto"/>
            </w:tcBorders>
            <w:vAlign w:val="center"/>
          </w:tcPr>
          <w:p w14:paraId="00517B7A" w14:textId="77777777" w:rsidR="00A32971" w:rsidRPr="006B42D6" w:rsidRDefault="00A32971" w:rsidP="00E57C78">
            <w:pPr>
              <w:jc w:val="center"/>
              <w:rPr>
                <w:sz w:val="18"/>
                <w:szCs w:val="18"/>
              </w:rPr>
            </w:pPr>
            <w:r w:rsidRPr="006B42D6">
              <w:rPr>
                <w:sz w:val="18"/>
                <w:szCs w:val="18"/>
              </w:rPr>
              <w:t>7,657,185</w:t>
            </w:r>
          </w:p>
        </w:tc>
        <w:tc>
          <w:tcPr>
            <w:tcW w:w="836" w:type="dxa"/>
            <w:tcBorders>
              <w:top w:val="single" w:sz="4" w:space="0" w:color="auto"/>
            </w:tcBorders>
            <w:vAlign w:val="center"/>
          </w:tcPr>
          <w:p w14:paraId="50FA9CEF" w14:textId="665FC0EA" w:rsidR="00A32971" w:rsidRPr="006B42D6" w:rsidRDefault="00A32971" w:rsidP="00E57C78">
            <w:pPr>
              <w:jc w:val="center"/>
              <w:rPr>
                <w:sz w:val="18"/>
                <w:szCs w:val="18"/>
              </w:rPr>
            </w:pPr>
            <w:r w:rsidRPr="006B42D6">
              <w:rPr>
                <w:sz w:val="18"/>
                <w:szCs w:val="18"/>
              </w:rPr>
              <w:t>100</w:t>
            </w:r>
            <w:r w:rsidR="00695AB9">
              <w:rPr>
                <w:sz w:val="18"/>
                <w:szCs w:val="18"/>
              </w:rPr>
              <w:t>.0</w:t>
            </w:r>
          </w:p>
        </w:tc>
      </w:tr>
      <w:tr w:rsidR="006B42D6" w:rsidRPr="006B42D6" w14:paraId="4B9BC7B8" w14:textId="77777777" w:rsidTr="00E57C78">
        <w:trPr>
          <w:trHeight w:val="397"/>
        </w:trPr>
        <w:tc>
          <w:tcPr>
            <w:tcW w:w="1701" w:type="dxa"/>
            <w:shd w:val="clear" w:color="auto" w:fill="auto"/>
            <w:vAlign w:val="center"/>
            <w:hideMark/>
          </w:tcPr>
          <w:p w14:paraId="340ECBA9" w14:textId="77777777" w:rsidR="00A32971" w:rsidRPr="006B42D6" w:rsidRDefault="00A32971" w:rsidP="008046CE">
            <w:pPr>
              <w:jc w:val="left"/>
              <w:rPr>
                <w:sz w:val="18"/>
                <w:szCs w:val="18"/>
              </w:rPr>
            </w:pPr>
            <w:r w:rsidRPr="006B42D6">
              <w:rPr>
                <w:sz w:val="18"/>
                <w:szCs w:val="18"/>
              </w:rPr>
              <w:t>Tanzania Zanzibar</w:t>
            </w:r>
          </w:p>
        </w:tc>
        <w:tc>
          <w:tcPr>
            <w:tcW w:w="2197" w:type="dxa"/>
            <w:shd w:val="clear" w:color="auto" w:fill="auto"/>
            <w:noWrap/>
            <w:vAlign w:val="center"/>
            <w:hideMark/>
          </w:tcPr>
          <w:p w14:paraId="36A7E33E" w14:textId="77777777" w:rsidR="00A32971" w:rsidRPr="006B42D6" w:rsidRDefault="00A32971" w:rsidP="00E57C78">
            <w:pPr>
              <w:jc w:val="center"/>
              <w:rPr>
                <w:sz w:val="18"/>
                <w:szCs w:val="18"/>
              </w:rPr>
            </w:pPr>
            <w:r w:rsidRPr="006B42D6">
              <w:rPr>
                <w:sz w:val="18"/>
                <w:szCs w:val="18"/>
              </w:rPr>
              <w:t>3,583</w:t>
            </w:r>
          </w:p>
        </w:tc>
        <w:tc>
          <w:tcPr>
            <w:tcW w:w="772" w:type="dxa"/>
            <w:tcBorders>
              <w:right w:val="single" w:sz="4" w:space="0" w:color="auto"/>
            </w:tcBorders>
            <w:shd w:val="clear" w:color="auto" w:fill="auto"/>
            <w:vAlign w:val="center"/>
            <w:hideMark/>
          </w:tcPr>
          <w:p w14:paraId="61C59AFC" w14:textId="77777777" w:rsidR="00A32971" w:rsidRPr="006B42D6" w:rsidRDefault="00A32971" w:rsidP="00E57C78">
            <w:pPr>
              <w:jc w:val="center"/>
              <w:rPr>
                <w:sz w:val="18"/>
                <w:szCs w:val="18"/>
              </w:rPr>
            </w:pPr>
            <w:r w:rsidRPr="006B42D6">
              <w:rPr>
                <w:sz w:val="18"/>
                <w:szCs w:val="18"/>
              </w:rPr>
              <w:t>2.0</w:t>
            </w:r>
          </w:p>
        </w:tc>
        <w:tc>
          <w:tcPr>
            <w:tcW w:w="2192" w:type="dxa"/>
            <w:tcBorders>
              <w:left w:val="single" w:sz="4" w:space="0" w:color="auto"/>
            </w:tcBorders>
            <w:shd w:val="clear" w:color="auto" w:fill="auto"/>
            <w:noWrap/>
            <w:vAlign w:val="center"/>
            <w:hideMark/>
          </w:tcPr>
          <w:p w14:paraId="74D7B11A" w14:textId="77777777" w:rsidR="00A32971" w:rsidRPr="006B42D6" w:rsidRDefault="00A32971" w:rsidP="00E57C78">
            <w:pPr>
              <w:jc w:val="center"/>
              <w:rPr>
                <w:sz w:val="18"/>
                <w:szCs w:val="18"/>
              </w:rPr>
            </w:pPr>
            <w:r w:rsidRPr="006B42D6">
              <w:rPr>
                <w:sz w:val="18"/>
                <w:szCs w:val="18"/>
              </w:rPr>
              <w:t>176,637</w:t>
            </w:r>
          </w:p>
        </w:tc>
        <w:tc>
          <w:tcPr>
            <w:tcW w:w="771" w:type="dxa"/>
            <w:tcBorders>
              <w:right w:val="single" w:sz="4" w:space="0" w:color="auto"/>
            </w:tcBorders>
            <w:shd w:val="clear" w:color="auto" w:fill="auto"/>
            <w:vAlign w:val="center"/>
            <w:hideMark/>
          </w:tcPr>
          <w:p w14:paraId="11B22071" w14:textId="77777777" w:rsidR="00A32971" w:rsidRPr="006B42D6" w:rsidRDefault="00A32971" w:rsidP="00E57C78">
            <w:pPr>
              <w:jc w:val="center"/>
              <w:rPr>
                <w:sz w:val="18"/>
                <w:szCs w:val="18"/>
              </w:rPr>
            </w:pPr>
            <w:r w:rsidRPr="006B42D6">
              <w:rPr>
                <w:sz w:val="18"/>
                <w:szCs w:val="18"/>
              </w:rPr>
              <w:t>98.0</w:t>
            </w:r>
          </w:p>
        </w:tc>
        <w:tc>
          <w:tcPr>
            <w:tcW w:w="955" w:type="dxa"/>
            <w:tcBorders>
              <w:left w:val="single" w:sz="4" w:space="0" w:color="auto"/>
            </w:tcBorders>
            <w:vAlign w:val="center"/>
          </w:tcPr>
          <w:p w14:paraId="79935B66" w14:textId="77777777" w:rsidR="00A32971" w:rsidRPr="006B42D6" w:rsidRDefault="00A32971" w:rsidP="00E57C78">
            <w:pPr>
              <w:jc w:val="center"/>
              <w:rPr>
                <w:sz w:val="18"/>
                <w:szCs w:val="18"/>
              </w:rPr>
            </w:pPr>
            <w:r w:rsidRPr="006B42D6">
              <w:rPr>
                <w:sz w:val="18"/>
                <w:szCs w:val="18"/>
              </w:rPr>
              <w:t>180,220</w:t>
            </w:r>
          </w:p>
        </w:tc>
        <w:tc>
          <w:tcPr>
            <w:tcW w:w="836" w:type="dxa"/>
            <w:vAlign w:val="center"/>
          </w:tcPr>
          <w:p w14:paraId="25265BC8" w14:textId="6C897E1E" w:rsidR="00A32971" w:rsidRPr="006B42D6" w:rsidRDefault="00A32971" w:rsidP="00E57C78">
            <w:pPr>
              <w:jc w:val="center"/>
              <w:rPr>
                <w:sz w:val="18"/>
                <w:szCs w:val="18"/>
              </w:rPr>
            </w:pPr>
            <w:r w:rsidRPr="006B42D6">
              <w:rPr>
                <w:sz w:val="18"/>
                <w:szCs w:val="18"/>
              </w:rPr>
              <w:t>100</w:t>
            </w:r>
            <w:r w:rsidR="00695AB9">
              <w:rPr>
                <w:sz w:val="18"/>
                <w:szCs w:val="18"/>
              </w:rPr>
              <w:t>.0</w:t>
            </w:r>
          </w:p>
        </w:tc>
      </w:tr>
      <w:tr w:rsidR="008D0622" w:rsidRPr="006B42D6" w14:paraId="0FAE7F32" w14:textId="77777777" w:rsidTr="00E57C78">
        <w:trPr>
          <w:trHeight w:val="397"/>
        </w:trPr>
        <w:tc>
          <w:tcPr>
            <w:tcW w:w="1701" w:type="dxa"/>
            <w:tcBorders>
              <w:bottom w:val="single" w:sz="4" w:space="0" w:color="auto"/>
            </w:tcBorders>
            <w:shd w:val="clear" w:color="auto" w:fill="auto"/>
            <w:vAlign w:val="center"/>
            <w:hideMark/>
          </w:tcPr>
          <w:p w14:paraId="3249C34C" w14:textId="77777777" w:rsidR="00A32971" w:rsidRPr="006B42D6" w:rsidRDefault="00A32971" w:rsidP="008046CE">
            <w:pPr>
              <w:jc w:val="left"/>
              <w:rPr>
                <w:sz w:val="18"/>
                <w:szCs w:val="18"/>
              </w:rPr>
            </w:pPr>
            <w:r w:rsidRPr="006B42D6">
              <w:rPr>
                <w:sz w:val="18"/>
                <w:szCs w:val="18"/>
              </w:rPr>
              <w:t>Tanzania</w:t>
            </w:r>
          </w:p>
        </w:tc>
        <w:tc>
          <w:tcPr>
            <w:tcW w:w="2197" w:type="dxa"/>
            <w:tcBorders>
              <w:bottom w:val="single" w:sz="4" w:space="0" w:color="auto"/>
            </w:tcBorders>
            <w:shd w:val="clear" w:color="auto" w:fill="auto"/>
            <w:noWrap/>
            <w:vAlign w:val="center"/>
            <w:hideMark/>
          </w:tcPr>
          <w:p w14:paraId="52D61233" w14:textId="77777777" w:rsidR="00A32971" w:rsidRPr="006B42D6" w:rsidRDefault="00A32971" w:rsidP="00E57C78">
            <w:pPr>
              <w:jc w:val="center"/>
              <w:rPr>
                <w:sz w:val="18"/>
                <w:szCs w:val="18"/>
              </w:rPr>
            </w:pPr>
            <w:r w:rsidRPr="006B42D6">
              <w:rPr>
                <w:sz w:val="18"/>
                <w:szCs w:val="18"/>
              </w:rPr>
              <w:t>294,618</w:t>
            </w:r>
          </w:p>
        </w:tc>
        <w:tc>
          <w:tcPr>
            <w:tcW w:w="772" w:type="dxa"/>
            <w:tcBorders>
              <w:bottom w:val="single" w:sz="4" w:space="0" w:color="auto"/>
              <w:right w:val="single" w:sz="4" w:space="0" w:color="auto"/>
            </w:tcBorders>
            <w:shd w:val="clear" w:color="auto" w:fill="auto"/>
            <w:vAlign w:val="center"/>
            <w:hideMark/>
          </w:tcPr>
          <w:p w14:paraId="79851553" w14:textId="77777777" w:rsidR="00A32971" w:rsidRPr="006B42D6" w:rsidRDefault="00A32971" w:rsidP="00E57C78">
            <w:pPr>
              <w:jc w:val="center"/>
              <w:rPr>
                <w:sz w:val="18"/>
                <w:szCs w:val="18"/>
              </w:rPr>
            </w:pPr>
            <w:r w:rsidRPr="006B42D6">
              <w:rPr>
                <w:sz w:val="18"/>
                <w:szCs w:val="18"/>
              </w:rPr>
              <w:t>3.8</w:t>
            </w:r>
          </w:p>
        </w:tc>
        <w:tc>
          <w:tcPr>
            <w:tcW w:w="2192" w:type="dxa"/>
            <w:tcBorders>
              <w:left w:val="single" w:sz="4" w:space="0" w:color="auto"/>
              <w:bottom w:val="single" w:sz="4" w:space="0" w:color="auto"/>
            </w:tcBorders>
            <w:shd w:val="clear" w:color="auto" w:fill="auto"/>
            <w:noWrap/>
            <w:vAlign w:val="center"/>
            <w:hideMark/>
          </w:tcPr>
          <w:p w14:paraId="01901973" w14:textId="77777777" w:rsidR="00A32971" w:rsidRPr="006B42D6" w:rsidRDefault="00A32971" w:rsidP="00E57C78">
            <w:pPr>
              <w:jc w:val="center"/>
              <w:rPr>
                <w:sz w:val="18"/>
                <w:szCs w:val="18"/>
              </w:rPr>
            </w:pPr>
            <w:r w:rsidRPr="006B42D6">
              <w:rPr>
                <w:sz w:val="18"/>
                <w:szCs w:val="18"/>
              </w:rPr>
              <w:t>7,542,790</w:t>
            </w:r>
          </w:p>
        </w:tc>
        <w:tc>
          <w:tcPr>
            <w:tcW w:w="771" w:type="dxa"/>
            <w:tcBorders>
              <w:bottom w:val="single" w:sz="4" w:space="0" w:color="auto"/>
              <w:right w:val="single" w:sz="4" w:space="0" w:color="auto"/>
            </w:tcBorders>
            <w:shd w:val="clear" w:color="auto" w:fill="auto"/>
            <w:vAlign w:val="center"/>
            <w:hideMark/>
          </w:tcPr>
          <w:p w14:paraId="102D13D7" w14:textId="77777777" w:rsidR="00A32971" w:rsidRPr="006B42D6" w:rsidRDefault="00A32971" w:rsidP="00E57C78">
            <w:pPr>
              <w:jc w:val="center"/>
              <w:rPr>
                <w:sz w:val="18"/>
                <w:szCs w:val="18"/>
              </w:rPr>
            </w:pPr>
            <w:r w:rsidRPr="006B42D6">
              <w:rPr>
                <w:sz w:val="18"/>
                <w:szCs w:val="18"/>
              </w:rPr>
              <w:t>96.2</w:t>
            </w:r>
          </w:p>
        </w:tc>
        <w:tc>
          <w:tcPr>
            <w:tcW w:w="955" w:type="dxa"/>
            <w:tcBorders>
              <w:left w:val="single" w:sz="4" w:space="0" w:color="auto"/>
              <w:bottom w:val="single" w:sz="4" w:space="0" w:color="auto"/>
            </w:tcBorders>
            <w:vAlign w:val="center"/>
          </w:tcPr>
          <w:p w14:paraId="2C5EE863" w14:textId="77777777" w:rsidR="00A32971" w:rsidRPr="006B42D6" w:rsidRDefault="00A32971" w:rsidP="00E57C78">
            <w:pPr>
              <w:jc w:val="center"/>
              <w:rPr>
                <w:sz w:val="18"/>
                <w:szCs w:val="18"/>
              </w:rPr>
            </w:pPr>
            <w:r w:rsidRPr="006B42D6">
              <w:rPr>
                <w:sz w:val="18"/>
                <w:szCs w:val="18"/>
              </w:rPr>
              <w:t>7,837,405</w:t>
            </w:r>
          </w:p>
        </w:tc>
        <w:tc>
          <w:tcPr>
            <w:tcW w:w="836" w:type="dxa"/>
            <w:tcBorders>
              <w:bottom w:val="single" w:sz="4" w:space="0" w:color="auto"/>
            </w:tcBorders>
            <w:vAlign w:val="center"/>
          </w:tcPr>
          <w:p w14:paraId="5005F5AB" w14:textId="45AD1A35" w:rsidR="00A32971" w:rsidRPr="006B42D6" w:rsidRDefault="00A32971" w:rsidP="00E57C78">
            <w:pPr>
              <w:jc w:val="center"/>
              <w:rPr>
                <w:sz w:val="18"/>
                <w:szCs w:val="18"/>
              </w:rPr>
            </w:pPr>
            <w:r w:rsidRPr="006B42D6">
              <w:rPr>
                <w:sz w:val="18"/>
                <w:szCs w:val="18"/>
              </w:rPr>
              <w:t>100</w:t>
            </w:r>
            <w:r w:rsidR="00695AB9">
              <w:rPr>
                <w:sz w:val="18"/>
                <w:szCs w:val="18"/>
              </w:rPr>
              <w:t>.0</w:t>
            </w:r>
          </w:p>
        </w:tc>
      </w:tr>
    </w:tbl>
    <w:p w14:paraId="345269B2" w14:textId="77777777" w:rsidR="00A32971" w:rsidRPr="006B42D6" w:rsidRDefault="00A32971" w:rsidP="00C312C1">
      <w:pPr>
        <w:spacing w:line="240" w:lineRule="auto"/>
      </w:pPr>
    </w:p>
    <w:p w14:paraId="58ADA4E9" w14:textId="47E39269" w:rsidR="00A32971" w:rsidRPr="006B42D6" w:rsidRDefault="00A32971" w:rsidP="00A32971">
      <w:r w:rsidRPr="006B42D6">
        <w:t xml:space="preserve">In </w:t>
      </w:r>
      <w:r w:rsidR="00EA1552">
        <w:t>Mainland Tanzania</w:t>
      </w:r>
      <w:r w:rsidRPr="006B42D6">
        <w:t xml:space="preserve">, Tabora region was leading with 32,359 household members (11.1 percent) that borrowed money for agricultural activities, followed by Mbeya (27,328; 9.4 percent) and Iringa (21,409; 7.4 percent). Tanga region had the least proportional of household members (957; 0.3 percent) (Figure </w:t>
      </w:r>
      <w:r w:rsidR="009A050E" w:rsidRPr="006B42D6">
        <w:t>5.</w:t>
      </w:r>
      <w:r w:rsidR="00900DAB">
        <w:t>1</w:t>
      </w:r>
      <w:r w:rsidRPr="006B42D6">
        <w:t>).</w:t>
      </w:r>
    </w:p>
    <w:p w14:paraId="189C50EB" w14:textId="77777777" w:rsidR="00A32971" w:rsidRPr="006B42D6" w:rsidRDefault="00A32971" w:rsidP="00A32971"/>
    <w:p w14:paraId="3D3FBE0C" w14:textId="77777777" w:rsidR="00067EF6" w:rsidRPr="006B42D6" w:rsidRDefault="00067EF6">
      <w:pPr>
        <w:rPr>
          <w:b/>
          <w:bCs/>
          <w:sz w:val="20"/>
          <w:szCs w:val="20"/>
        </w:rPr>
      </w:pPr>
      <w:r w:rsidRPr="006B42D6">
        <w:rPr>
          <w:b/>
          <w:bCs/>
          <w:sz w:val="20"/>
          <w:szCs w:val="20"/>
        </w:rPr>
        <w:br w:type="page"/>
      </w:r>
    </w:p>
    <w:p w14:paraId="3FD90BC8" w14:textId="22560F38" w:rsidR="00A32971" w:rsidRPr="006B42D6" w:rsidRDefault="00A32971" w:rsidP="00474890">
      <w:pPr>
        <w:pStyle w:val="Caption"/>
      </w:pPr>
      <w:bookmarkStart w:id="834" w:name="_Toc82386457"/>
      <w:r w:rsidRPr="006B42D6">
        <w:lastRenderedPageBreak/>
        <w:t xml:space="preserve">Figure </w:t>
      </w:r>
      <w:r w:rsidR="009A050E" w:rsidRPr="006B42D6">
        <w:t>5.</w:t>
      </w:r>
      <w:r w:rsidR="00900DAB">
        <w:t>1</w:t>
      </w:r>
      <w:r w:rsidR="0092196D">
        <w:t>:</w:t>
      </w:r>
      <w:r w:rsidR="005B5550">
        <w:tab/>
      </w:r>
      <w:r w:rsidRPr="006B42D6">
        <w:t xml:space="preserve">Percentage of Agricultural Households Reported </w:t>
      </w:r>
      <w:r w:rsidR="00CB2A54" w:rsidRPr="006B42D6">
        <w:t xml:space="preserve">to </w:t>
      </w:r>
      <w:r w:rsidR="00067EF6" w:rsidRPr="006B42D6">
        <w:t>Borrow</w:t>
      </w:r>
      <w:r w:rsidRPr="006B42D6">
        <w:t xml:space="preserve"> Money for Agricultural Activities During 2019/20 Agricultural Year, </w:t>
      </w:r>
      <w:r w:rsidR="00EA1552">
        <w:t>Mainland Tanzania</w:t>
      </w:r>
      <w:bookmarkEnd w:id="834"/>
    </w:p>
    <w:p w14:paraId="04A5CB48" w14:textId="77777777" w:rsidR="00A32971" w:rsidRPr="006B42D6" w:rsidRDefault="00A32971" w:rsidP="00A32971">
      <w:r w:rsidRPr="006B42D6">
        <w:rPr>
          <w:noProof/>
        </w:rPr>
        <w:drawing>
          <wp:inline distT="0" distB="0" distL="0" distR="0" wp14:anchorId="20EC7F00" wp14:editId="6D6087F4">
            <wp:extent cx="5659821" cy="2150745"/>
            <wp:effectExtent l="0" t="0" r="17145" b="8255"/>
            <wp:docPr id="82" name="Chart 26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3"/>
              </a:graphicData>
            </a:graphic>
          </wp:inline>
        </w:drawing>
      </w:r>
    </w:p>
    <w:p w14:paraId="6774318A" w14:textId="77777777" w:rsidR="00A32971" w:rsidRPr="006B42D6" w:rsidRDefault="00A32971" w:rsidP="00C312C1">
      <w:pPr>
        <w:spacing w:line="240" w:lineRule="auto"/>
      </w:pPr>
    </w:p>
    <w:p w14:paraId="2AE7CD69" w14:textId="5B770A49" w:rsidR="00A32971" w:rsidRPr="006B42D6" w:rsidRDefault="00A32971" w:rsidP="009A050E">
      <w:r w:rsidRPr="006B42D6">
        <w:t>In Tanzania Zanzibar, Kusini Unguja was the leading region having larger number of household member</w:t>
      </w:r>
      <w:r w:rsidR="00067EF6" w:rsidRPr="006B42D6">
        <w:t>s</w:t>
      </w:r>
      <w:r w:rsidRPr="006B42D6">
        <w:t xml:space="preserve"> reported to borrow money for agricultural activities (1,595; 44.5 percent), followed by Mjini Magharibi (772; 21.5 percent), whilst Kaskazini Unguja reported to have the lowest proportional of household members (350; 9.8 percent) (Figure </w:t>
      </w:r>
      <w:r w:rsidR="009A050E" w:rsidRPr="006B42D6">
        <w:t>5.</w:t>
      </w:r>
      <w:r w:rsidR="00900DAB">
        <w:t>2</w:t>
      </w:r>
      <w:r w:rsidRPr="006B42D6">
        <w:t>).</w:t>
      </w:r>
    </w:p>
    <w:p w14:paraId="19C00399" w14:textId="77777777" w:rsidR="00A32971" w:rsidRPr="006B42D6" w:rsidRDefault="00A32971" w:rsidP="00A32971">
      <w:pPr>
        <w:adjustRightInd w:val="0"/>
        <w:rPr>
          <w:b/>
          <w:bCs/>
          <w:sz w:val="20"/>
          <w:szCs w:val="20"/>
        </w:rPr>
      </w:pPr>
    </w:p>
    <w:p w14:paraId="7656BEE0" w14:textId="163B6BF0" w:rsidR="00A32971" w:rsidRPr="006B42D6" w:rsidRDefault="00A32971" w:rsidP="002C20B5">
      <w:pPr>
        <w:pStyle w:val="Caption"/>
        <w:ind w:left="1140" w:right="2722" w:hanging="1140"/>
      </w:pPr>
      <w:bookmarkStart w:id="835" w:name="_Toc82386458"/>
      <w:r w:rsidRPr="006B42D6">
        <w:t xml:space="preserve">Figure </w:t>
      </w:r>
      <w:r w:rsidR="009A050E" w:rsidRPr="006B42D6">
        <w:t>5.</w:t>
      </w:r>
      <w:r w:rsidR="00900DAB">
        <w:t>2</w:t>
      </w:r>
      <w:r w:rsidR="0092196D">
        <w:t>:</w:t>
      </w:r>
      <w:r w:rsidR="005B5550">
        <w:tab/>
      </w:r>
      <w:r w:rsidRPr="006B42D6">
        <w:t xml:space="preserve">Percentage of Agricultural Households Reported </w:t>
      </w:r>
      <w:r w:rsidR="00067EF6" w:rsidRPr="006B42D6">
        <w:t xml:space="preserve">to </w:t>
      </w:r>
      <w:r w:rsidRPr="006B42D6">
        <w:t>Borro</w:t>
      </w:r>
      <w:r w:rsidR="00067EF6" w:rsidRPr="006B42D6">
        <w:t>w</w:t>
      </w:r>
      <w:r w:rsidRPr="006B42D6">
        <w:t xml:space="preserve"> Mon</w:t>
      </w:r>
      <w:r w:rsidR="00067EF6" w:rsidRPr="006B42D6">
        <w:t>ey for Agricultural Activities D</w:t>
      </w:r>
      <w:r w:rsidRPr="006B42D6">
        <w:t>uring 2019/20 Agricultural Year, Tanzania Zanzibar</w:t>
      </w:r>
      <w:bookmarkEnd w:id="835"/>
    </w:p>
    <w:p w14:paraId="78E57D59" w14:textId="77777777" w:rsidR="00A32971" w:rsidRPr="006B42D6" w:rsidRDefault="00A32971" w:rsidP="00A32971">
      <w:r w:rsidRPr="006B42D6">
        <w:rPr>
          <w:noProof/>
        </w:rPr>
        <w:drawing>
          <wp:inline distT="0" distB="0" distL="0" distR="0" wp14:anchorId="08531A61" wp14:editId="7F928CBE">
            <wp:extent cx="4311650" cy="1978573"/>
            <wp:effectExtent l="0" t="0" r="6350" b="15875"/>
            <wp:docPr id="81" name="Chart 27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4"/>
              </a:graphicData>
            </a:graphic>
          </wp:inline>
        </w:drawing>
      </w:r>
    </w:p>
    <w:p w14:paraId="1706C7C7" w14:textId="77777777" w:rsidR="00A32971" w:rsidRPr="00C8795E" w:rsidRDefault="00A32971" w:rsidP="00A32971">
      <w:pPr>
        <w:rPr>
          <w:b/>
          <w:bCs/>
          <w:sz w:val="20"/>
          <w:szCs w:val="20"/>
        </w:rPr>
      </w:pPr>
    </w:p>
    <w:p w14:paraId="7A2AEE4A" w14:textId="30C7B775" w:rsidR="00A32971" w:rsidRPr="006B42D6" w:rsidRDefault="00612C4E" w:rsidP="00612C4E">
      <w:pPr>
        <w:pStyle w:val="Heading2"/>
      </w:pPr>
      <w:bookmarkStart w:id="836" w:name="_Toc82385788"/>
      <w:r w:rsidRPr="006B42D6">
        <w:t>5.</w:t>
      </w:r>
      <w:r w:rsidR="00AC6872">
        <w:t>2</w:t>
      </w:r>
      <w:r w:rsidR="00A32971" w:rsidRPr="006B42D6">
        <w:tab/>
        <w:t>Agricultural Household Members Received Credit by Sex</w:t>
      </w:r>
      <w:bookmarkEnd w:id="836"/>
    </w:p>
    <w:p w14:paraId="5C047448" w14:textId="77777777" w:rsidR="00A32971" w:rsidRPr="006B42D6" w:rsidRDefault="00A32971" w:rsidP="00A32971">
      <w:r w:rsidRPr="006B42D6">
        <w:t xml:space="preserve">The census results show that, a total of 294,618 household members received credits from different sources during 2019/20 agricultural year in Tanzania, of which 217,403 members (73.8 percent) were males and 77,201 (26.2 percent) were females. </w:t>
      </w:r>
    </w:p>
    <w:p w14:paraId="31EDE179" w14:textId="77777777" w:rsidR="00A32971" w:rsidRPr="006B42D6" w:rsidRDefault="00A32971" w:rsidP="00C312C1">
      <w:pPr>
        <w:spacing w:line="240" w:lineRule="auto"/>
      </w:pPr>
    </w:p>
    <w:p w14:paraId="32855BED" w14:textId="77777777" w:rsidR="00C8795E" w:rsidRDefault="00A32971" w:rsidP="00A32971">
      <w:r w:rsidRPr="006B42D6">
        <w:t xml:space="preserve">In </w:t>
      </w:r>
      <w:r w:rsidR="00EA1552">
        <w:t>Mainland Tanzania</w:t>
      </w:r>
      <w:r w:rsidRPr="006B42D6">
        <w:t>, a total of 291,035 household members received credits for agricultural activities, out of</w:t>
      </w:r>
      <w:r w:rsidR="00067EF6" w:rsidRPr="006B42D6">
        <w:t xml:space="preserve"> which</w:t>
      </w:r>
      <w:r w:rsidRPr="006B42D6">
        <w:t xml:space="preserve"> </w:t>
      </w:r>
      <w:r w:rsidR="00067EF6" w:rsidRPr="006B42D6">
        <w:t xml:space="preserve">215,683 (73.8 percent) </w:t>
      </w:r>
      <w:r w:rsidRPr="006B42D6">
        <w:t xml:space="preserve">were males </w:t>
      </w:r>
      <w:r w:rsidR="00067EF6" w:rsidRPr="006B42D6">
        <w:t>and</w:t>
      </w:r>
      <w:r w:rsidRPr="006B42D6">
        <w:t xml:space="preserve"> </w:t>
      </w:r>
      <w:r w:rsidR="00067EF6" w:rsidRPr="006B42D6">
        <w:t xml:space="preserve">77,201 </w:t>
      </w:r>
      <w:r w:rsidRPr="006B42D6">
        <w:t xml:space="preserve">females (26.2 percent). </w:t>
      </w:r>
    </w:p>
    <w:p w14:paraId="2D8DE3B2" w14:textId="77777777" w:rsidR="00C8795E" w:rsidRDefault="00C8795E">
      <w:pPr>
        <w:spacing w:line="240" w:lineRule="auto"/>
        <w:contextualSpacing w:val="0"/>
        <w:jc w:val="left"/>
      </w:pPr>
      <w:r>
        <w:br w:type="page"/>
      </w:r>
    </w:p>
    <w:p w14:paraId="0DEFA757" w14:textId="41246D9C" w:rsidR="00A32971" w:rsidRPr="006B42D6" w:rsidRDefault="00A32971" w:rsidP="00A32971">
      <w:r w:rsidRPr="006B42D6">
        <w:lastRenderedPageBreak/>
        <w:t>Furthermore, Tabora region was leading with 32,357 household members (28,192 males and 4,165 female) that received first credit, followed by Mbeya with 27,327 members (20,308 males and 7,019 females) and Iringa with 21,409 members (15,586 males and 5,823 females). Tanga region reported the smallest number, which is 957 members (352 males and 605 females)</w:t>
      </w:r>
      <w:r w:rsidR="009404B8" w:rsidRPr="006B42D6">
        <w:t xml:space="preserve"> (Figure 5.</w:t>
      </w:r>
      <w:r w:rsidR="00900DAB">
        <w:t>3</w:t>
      </w:r>
      <w:r w:rsidR="009404B8" w:rsidRPr="006B42D6">
        <w:t>)</w:t>
      </w:r>
      <w:r w:rsidRPr="006B42D6">
        <w:t>.</w:t>
      </w:r>
    </w:p>
    <w:p w14:paraId="3DF379EA" w14:textId="77777777" w:rsidR="00A32971" w:rsidRPr="006B42D6" w:rsidRDefault="00A32971" w:rsidP="002C20B5">
      <w:pPr>
        <w:spacing w:line="240" w:lineRule="auto"/>
      </w:pPr>
    </w:p>
    <w:p w14:paraId="4098E085" w14:textId="2E5AE9A2" w:rsidR="00A32971" w:rsidRPr="006B42D6" w:rsidRDefault="00A32971" w:rsidP="00A32971">
      <w:r w:rsidRPr="006B42D6">
        <w:t xml:space="preserve">In Tanzania Zanzibar, a total of 3,582 household members reported to receive credits for agricultural activities, out of which majority were females (1,862; 51.9 percent) as compared to males (1,720; 48.0 percent). Moreover, Kusini Unguja region was leading with 1,596 members (984 males and 612 females) that received first credit for agricultural activities, followed by Mjini Magharibi having 772 members (101 males and 671 females), while Kaskazini Unguja had the smallest household members 349 (males 298 and females 51) (Figure </w:t>
      </w:r>
      <w:r w:rsidR="009404B8" w:rsidRPr="006B42D6">
        <w:t>5.</w:t>
      </w:r>
      <w:r w:rsidR="00900DAB">
        <w:t>4</w:t>
      </w:r>
      <w:r w:rsidRPr="006B42D6">
        <w:t>).</w:t>
      </w:r>
    </w:p>
    <w:p w14:paraId="43EA3857" w14:textId="77777777" w:rsidR="00A32971" w:rsidRPr="006B42D6" w:rsidRDefault="00A32971" w:rsidP="002C20B5">
      <w:pPr>
        <w:adjustRightInd w:val="0"/>
        <w:spacing w:line="240" w:lineRule="auto"/>
        <w:rPr>
          <w:b/>
          <w:bCs/>
        </w:rPr>
      </w:pPr>
    </w:p>
    <w:p w14:paraId="0B803C46" w14:textId="530C5D04" w:rsidR="00A32971" w:rsidRPr="006B42D6" w:rsidRDefault="00A32971" w:rsidP="00474890">
      <w:pPr>
        <w:pStyle w:val="Caption"/>
      </w:pPr>
      <w:bookmarkStart w:id="837" w:name="_Toc82386459"/>
      <w:r w:rsidRPr="006B42D6">
        <w:t xml:space="preserve">Figure </w:t>
      </w:r>
      <w:r w:rsidR="009404B8" w:rsidRPr="006B42D6">
        <w:t>5.</w:t>
      </w:r>
      <w:r w:rsidR="00900DAB">
        <w:t>3</w:t>
      </w:r>
      <w:r w:rsidR="00E17DC7">
        <w:t>:</w:t>
      </w:r>
      <w:r w:rsidR="00E17DC7">
        <w:tab/>
      </w:r>
      <w:r w:rsidRPr="006B42D6">
        <w:t xml:space="preserve">Number of </w:t>
      </w:r>
      <w:r w:rsidR="00183944" w:rsidRPr="006B42D6">
        <w:t>Agricultural Household Members</w:t>
      </w:r>
      <w:r w:rsidRPr="006B42D6">
        <w:t xml:space="preserve"> Received </w:t>
      </w:r>
      <w:r w:rsidR="00067EF6" w:rsidRPr="006B42D6">
        <w:t>First Credit by Sex and Region D</w:t>
      </w:r>
      <w:r w:rsidRPr="006B42D6">
        <w:t>u</w:t>
      </w:r>
      <w:r w:rsidR="00183944" w:rsidRPr="006B42D6">
        <w:t xml:space="preserve">ring 2019/20 </w:t>
      </w:r>
      <w:r w:rsidR="002940E1">
        <w:t>A</w:t>
      </w:r>
      <w:r w:rsidR="00183944" w:rsidRPr="006B42D6">
        <w:t xml:space="preserve">gricultural </w:t>
      </w:r>
      <w:r w:rsidR="002940E1">
        <w:t>Y</w:t>
      </w:r>
      <w:r w:rsidR="00183944" w:rsidRPr="006B42D6">
        <w:t xml:space="preserve">ear, </w:t>
      </w:r>
      <w:r w:rsidR="00EA1552">
        <w:t>Mainland Tanzania</w:t>
      </w:r>
      <w:bookmarkEnd w:id="837"/>
    </w:p>
    <w:p w14:paraId="5194F4AA" w14:textId="77777777" w:rsidR="00A32971" w:rsidRPr="006B42D6" w:rsidRDefault="00A32971" w:rsidP="00A32971">
      <w:r w:rsidRPr="006B42D6">
        <w:rPr>
          <w:noProof/>
        </w:rPr>
        <w:drawing>
          <wp:inline distT="0" distB="0" distL="0" distR="0" wp14:anchorId="4AA27A6B" wp14:editId="0A45D015">
            <wp:extent cx="5801710" cy="2782570"/>
            <wp:effectExtent l="0" t="0" r="15240" b="11430"/>
            <wp:docPr id="80" name="Chart 27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5"/>
              </a:graphicData>
            </a:graphic>
          </wp:inline>
        </w:drawing>
      </w:r>
    </w:p>
    <w:p w14:paraId="5A7AF02D" w14:textId="2EE5AFF3" w:rsidR="0079074C" w:rsidRDefault="0079074C">
      <w:pPr>
        <w:spacing w:line="240" w:lineRule="auto"/>
        <w:contextualSpacing w:val="0"/>
        <w:jc w:val="left"/>
        <w:rPr>
          <w:b/>
          <w:bCs/>
        </w:rPr>
      </w:pPr>
      <w:r>
        <w:rPr>
          <w:b/>
          <w:bCs/>
        </w:rPr>
        <w:br w:type="page"/>
      </w:r>
    </w:p>
    <w:p w14:paraId="3C18F5D4" w14:textId="2A19B080" w:rsidR="00A32971" w:rsidRPr="006B42D6" w:rsidRDefault="00A32971" w:rsidP="00474890">
      <w:pPr>
        <w:pStyle w:val="Caption"/>
      </w:pPr>
      <w:bookmarkStart w:id="838" w:name="_Toc82386460"/>
      <w:r w:rsidRPr="006B42D6">
        <w:lastRenderedPageBreak/>
        <w:t xml:space="preserve">Figure </w:t>
      </w:r>
      <w:r w:rsidR="009404B8" w:rsidRPr="006B42D6">
        <w:t>5.</w:t>
      </w:r>
      <w:r w:rsidR="00900DAB">
        <w:t>4</w:t>
      </w:r>
      <w:r w:rsidR="00E17DC7">
        <w:t>:</w:t>
      </w:r>
      <w:r w:rsidR="00E17DC7">
        <w:tab/>
      </w:r>
      <w:r w:rsidRPr="006B42D6">
        <w:t xml:space="preserve">Number of Agricultural Household Members Received First Credit by Sex and Region </w:t>
      </w:r>
      <w:r w:rsidR="00183944" w:rsidRPr="006B42D6">
        <w:t>D</w:t>
      </w:r>
      <w:r w:rsidRPr="006B42D6">
        <w:t>uring 2019/20 agricultural year</w:t>
      </w:r>
      <w:r w:rsidR="00183944" w:rsidRPr="006B42D6">
        <w:t>, Tanzania</w:t>
      </w:r>
      <w:r w:rsidRPr="006B42D6">
        <w:t xml:space="preserve"> Zanzibar</w:t>
      </w:r>
      <w:bookmarkEnd w:id="838"/>
    </w:p>
    <w:p w14:paraId="249B9584" w14:textId="77777777" w:rsidR="00A32971" w:rsidRPr="006B42D6" w:rsidRDefault="00A32971" w:rsidP="00A32971">
      <w:r w:rsidRPr="006B42D6">
        <w:rPr>
          <w:noProof/>
        </w:rPr>
        <w:drawing>
          <wp:inline distT="0" distB="0" distL="0" distR="0" wp14:anchorId="4F9CD565" wp14:editId="4F0276CC">
            <wp:extent cx="5738648" cy="2012315"/>
            <wp:effectExtent l="0" t="0" r="14605" b="6985"/>
            <wp:docPr id="79" name="Chart 27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6"/>
              </a:graphicData>
            </a:graphic>
          </wp:inline>
        </w:drawing>
      </w:r>
    </w:p>
    <w:p w14:paraId="4AA5E93C" w14:textId="77777777" w:rsidR="0092196D" w:rsidRDefault="0092196D" w:rsidP="00A32971"/>
    <w:p w14:paraId="1279A9EA" w14:textId="5C9A16EB" w:rsidR="00A32971" w:rsidRDefault="00183944" w:rsidP="00A32971">
      <w:r w:rsidRPr="006B42D6">
        <w:t>It</w:t>
      </w:r>
      <w:r w:rsidR="00A32971" w:rsidRPr="006B42D6">
        <w:t xml:space="preserve"> should be well noted that, for all household members that received the second credit (i.e. more than one loan) for agricultural activities, there were amongst of the members that received first credit. Thus, a total of 3,828 household members equivalent to 1.3 percent reported to receive the second credit, of which males were 2,042 (53.3 percent) and females 1,786 (46.7 percent). In </w:t>
      </w:r>
      <w:r w:rsidR="00EA1552">
        <w:t>Mainland Tanzania</w:t>
      </w:r>
      <w:r w:rsidR="00A32971" w:rsidRPr="006B42D6">
        <w:t>, 3,674 household members (96.0 percent) borrowed the second credit, out of that, males were 1,693 (53.9 percent) and females 1,693 (46.1 percent). In Tanzania Zanzibar, a total of 154 household members (4.0 percent) received second credit, out of that, majority were females (93; 60.4 percent) as compared to males (61; 39.6 percent)</w:t>
      </w:r>
      <w:r w:rsidR="00C06F44" w:rsidRPr="006B42D6">
        <w:t xml:space="preserve"> </w:t>
      </w:r>
      <w:r w:rsidR="00C06F44" w:rsidRPr="006B42D6">
        <w:rPr>
          <w:iCs/>
        </w:rPr>
        <w:t>(</w:t>
      </w:r>
      <w:r w:rsidR="00C06F44" w:rsidRPr="006B42D6">
        <w:t>Table 5.</w:t>
      </w:r>
      <w:r w:rsidR="0092196D">
        <w:t>2</w:t>
      </w:r>
      <w:r w:rsidR="00C06F44" w:rsidRPr="006B42D6">
        <w:t>)</w:t>
      </w:r>
      <w:r w:rsidR="00474890" w:rsidRPr="006B42D6">
        <w:t>.</w:t>
      </w:r>
      <w:r w:rsidR="00A32971" w:rsidRPr="006B42D6">
        <w:t xml:space="preserve"> </w:t>
      </w:r>
    </w:p>
    <w:p w14:paraId="53E8F77D" w14:textId="77777777" w:rsidR="007D45B0" w:rsidRPr="006B42D6" w:rsidRDefault="007D45B0" w:rsidP="00A32971"/>
    <w:p w14:paraId="64A9B9A0" w14:textId="29CCFCFC" w:rsidR="00F86173" w:rsidRPr="006B42D6" w:rsidRDefault="00C06F44" w:rsidP="002C20B5">
      <w:pPr>
        <w:pStyle w:val="Heading7"/>
        <w:ind w:right="907"/>
      </w:pPr>
      <w:bookmarkStart w:id="839" w:name="_Toc82386232"/>
      <w:r w:rsidRPr="006B42D6">
        <w:t>Table 5.</w:t>
      </w:r>
      <w:r w:rsidR="0092196D">
        <w:t>2:</w:t>
      </w:r>
      <w:r w:rsidR="00E17DC7">
        <w:tab/>
      </w:r>
      <w:r w:rsidRPr="006B42D6">
        <w:t>Number of Agricultural Household Members Received Second Credit by Sex During 2019/20 Agricultural Year, Tanzania</w:t>
      </w:r>
      <w:bookmarkEnd w:id="839"/>
      <w:r w:rsidRPr="006B42D6">
        <w:t xml:space="preserve"> </w:t>
      </w:r>
    </w:p>
    <w:tbl>
      <w:tblPr>
        <w:tblW w:w="8480" w:type="dxa"/>
        <w:tblLook w:val="04A0" w:firstRow="1" w:lastRow="0" w:firstColumn="1" w:lastColumn="0" w:noHBand="0" w:noVBand="1"/>
      </w:tblPr>
      <w:tblGrid>
        <w:gridCol w:w="1540"/>
        <w:gridCol w:w="1522"/>
        <w:gridCol w:w="918"/>
        <w:gridCol w:w="1447"/>
        <w:gridCol w:w="853"/>
        <w:gridCol w:w="1265"/>
        <w:gridCol w:w="935"/>
      </w:tblGrid>
      <w:tr w:rsidR="006B42D6" w:rsidRPr="00695AB9" w14:paraId="4D7C494B" w14:textId="77777777" w:rsidTr="00257DF7">
        <w:trPr>
          <w:trHeight w:val="300"/>
        </w:trPr>
        <w:tc>
          <w:tcPr>
            <w:tcW w:w="1540" w:type="dxa"/>
            <w:vMerge w:val="restart"/>
            <w:tcBorders>
              <w:top w:val="single" w:sz="4" w:space="0" w:color="auto"/>
              <w:left w:val="nil"/>
              <w:bottom w:val="single" w:sz="4" w:space="0" w:color="000000"/>
              <w:right w:val="nil"/>
            </w:tcBorders>
            <w:shd w:val="clear" w:color="auto" w:fill="E2EFD9" w:themeFill="accent6" w:themeFillTint="33"/>
            <w:noWrap/>
            <w:vAlign w:val="center"/>
            <w:hideMark/>
          </w:tcPr>
          <w:p w14:paraId="14CB4ACE" w14:textId="77777777" w:rsidR="00F86173" w:rsidRPr="00695AB9" w:rsidRDefault="00F86173" w:rsidP="00F86173">
            <w:pPr>
              <w:rPr>
                <w:sz w:val="19"/>
                <w:szCs w:val="19"/>
              </w:rPr>
            </w:pPr>
            <w:r w:rsidRPr="00695AB9">
              <w:rPr>
                <w:sz w:val="19"/>
                <w:szCs w:val="19"/>
              </w:rPr>
              <w:t xml:space="preserve">Sex </w:t>
            </w:r>
          </w:p>
        </w:tc>
        <w:tc>
          <w:tcPr>
            <w:tcW w:w="2440" w:type="dxa"/>
            <w:gridSpan w:val="2"/>
            <w:tcBorders>
              <w:top w:val="single" w:sz="4" w:space="0" w:color="auto"/>
              <w:left w:val="nil"/>
              <w:bottom w:val="single" w:sz="4" w:space="0" w:color="auto"/>
              <w:right w:val="nil"/>
            </w:tcBorders>
            <w:shd w:val="clear" w:color="auto" w:fill="E2EFD9" w:themeFill="accent6" w:themeFillTint="33"/>
            <w:vAlign w:val="center"/>
            <w:hideMark/>
          </w:tcPr>
          <w:p w14:paraId="56017D3A" w14:textId="297C3955" w:rsidR="00F86173" w:rsidRPr="00695AB9" w:rsidRDefault="00EA1552" w:rsidP="002C20B5">
            <w:pPr>
              <w:jc w:val="center"/>
              <w:rPr>
                <w:sz w:val="19"/>
                <w:szCs w:val="19"/>
              </w:rPr>
            </w:pPr>
            <w:r w:rsidRPr="00695AB9">
              <w:rPr>
                <w:sz w:val="19"/>
                <w:szCs w:val="19"/>
              </w:rPr>
              <w:t>Mainland Tanzania</w:t>
            </w:r>
          </w:p>
        </w:tc>
        <w:tc>
          <w:tcPr>
            <w:tcW w:w="2300" w:type="dxa"/>
            <w:gridSpan w:val="2"/>
            <w:tcBorders>
              <w:top w:val="single" w:sz="4" w:space="0" w:color="auto"/>
              <w:left w:val="nil"/>
              <w:bottom w:val="single" w:sz="4" w:space="0" w:color="auto"/>
              <w:right w:val="nil"/>
            </w:tcBorders>
            <w:shd w:val="clear" w:color="auto" w:fill="E2EFD9" w:themeFill="accent6" w:themeFillTint="33"/>
            <w:vAlign w:val="center"/>
            <w:hideMark/>
          </w:tcPr>
          <w:p w14:paraId="122E0359" w14:textId="77777777" w:rsidR="00F86173" w:rsidRPr="00695AB9" w:rsidRDefault="00F86173" w:rsidP="002C20B5">
            <w:pPr>
              <w:jc w:val="center"/>
              <w:rPr>
                <w:sz w:val="19"/>
                <w:szCs w:val="19"/>
              </w:rPr>
            </w:pPr>
            <w:r w:rsidRPr="00695AB9">
              <w:rPr>
                <w:sz w:val="19"/>
                <w:szCs w:val="19"/>
              </w:rPr>
              <w:t>Tanzania Zanzibar</w:t>
            </w:r>
          </w:p>
        </w:tc>
        <w:tc>
          <w:tcPr>
            <w:tcW w:w="2200" w:type="dxa"/>
            <w:gridSpan w:val="2"/>
            <w:tcBorders>
              <w:top w:val="single" w:sz="4" w:space="0" w:color="auto"/>
              <w:left w:val="nil"/>
              <w:bottom w:val="single" w:sz="4" w:space="0" w:color="auto"/>
              <w:right w:val="nil"/>
            </w:tcBorders>
            <w:shd w:val="clear" w:color="auto" w:fill="E2EFD9" w:themeFill="accent6" w:themeFillTint="33"/>
            <w:vAlign w:val="center"/>
            <w:hideMark/>
          </w:tcPr>
          <w:p w14:paraId="0A4328AE" w14:textId="77777777" w:rsidR="00F86173" w:rsidRPr="00695AB9" w:rsidRDefault="00F86173" w:rsidP="002C20B5">
            <w:pPr>
              <w:jc w:val="center"/>
              <w:rPr>
                <w:sz w:val="19"/>
                <w:szCs w:val="19"/>
              </w:rPr>
            </w:pPr>
            <w:r w:rsidRPr="00695AB9">
              <w:rPr>
                <w:sz w:val="19"/>
                <w:szCs w:val="19"/>
              </w:rPr>
              <w:t>Tanzania</w:t>
            </w:r>
          </w:p>
        </w:tc>
      </w:tr>
      <w:tr w:rsidR="006B42D6" w:rsidRPr="00695AB9" w14:paraId="5CAC1FAB" w14:textId="77777777" w:rsidTr="00257DF7">
        <w:trPr>
          <w:trHeight w:val="300"/>
        </w:trPr>
        <w:tc>
          <w:tcPr>
            <w:tcW w:w="1540" w:type="dxa"/>
            <w:vMerge/>
            <w:tcBorders>
              <w:top w:val="single" w:sz="4" w:space="0" w:color="auto"/>
              <w:left w:val="nil"/>
              <w:bottom w:val="single" w:sz="4" w:space="0" w:color="000000"/>
              <w:right w:val="nil"/>
            </w:tcBorders>
            <w:shd w:val="clear" w:color="auto" w:fill="E2EFD9" w:themeFill="accent6" w:themeFillTint="33"/>
            <w:vAlign w:val="center"/>
            <w:hideMark/>
          </w:tcPr>
          <w:p w14:paraId="341490EC" w14:textId="77777777" w:rsidR="00F86173" w:rsidRPr="00695AB9" w:rsidRDefault="00F86173" w:rsidP="00F86173">
            <w:pPr>
              <w:rPr>
                <w:sz w:val="19"/>
                <w:szCs w:val="19"/>
              </w:rPr>
            </w:pPr>
          </w:p>
        </w:tc>
        <w:tc>
          <w:tcPr>
            <w:tcW w:w="1522" w:type="dxa"/>
            <w:tcBorders>
              <w:top w:val="nil"/>
              <w:left w:val="nil"/>
              <w:bottom w:val="single" w:sz="4" w:space="0" w:color="auto"/>
              <w:right w:val="nil"/>
            </w:tcBorders>
            <w:shd w:val="clear" w:color="auto" w:fill="E2EFD9" w:themeFill="accent6" w:themeFillTint="33"/>
            <w:noWrap/>
            <w:vAlign w:val="center"/>
            <w:hideMark/>
          </w:tcPr>
          <w:p w14:paraId="14087CF0" w14:textId="1EB350E2" w:rsidR="00F86173" w:rsidRPr="00695AB9" w:rsidRDefault="00F86173" w:rsidP="002C20B5">
            <w:pPr>
              <w:jc w:val="center"/>
              <w:rPr>
                <w:sz w:val="19"/>
                <w:szCs w:val="19"/>
              </w:rPr>
            </w:pPr>
            <w:r w:rsidRPr="00695AB9">
              <w:rPr>
                <w:sz w:val="19"/>
                <w:szCs w:val="19"/>
              </w:rPr>
              <w:t>Number</w:t>
            </w:r>
          </w:p>
        </w:tc>
        <w:tc>
          <w:tcPr>
            <w:tcW w:w="918" w:type="dxa"/>
            <w:tcBorders>
              <w:top w:val="nil"/>
              <w:left w:val="nil"/>
              <w:bottom w:val="single" w:sz="4" w:space="0" w:color="auto"/>
              <w:right w:val="nil"/>
            </w:tcBorders>
            <w:shd w:val="clear" w:color="auto" w:fill="E2EFD9" w:themeFill="accent6" w:themeFillTint="33"/>
            <w:noWrap/>
            <w:vAlign w:val="center"/>
            <w:hideMark/>
          </w:tcPr>
          <w:p w14:paraId="24ADB671" w14:textId="148F785C" w:rsidR="00F86173" w:rsidRPr="00695AB9" w:rsidRDefault="00F86173" w:rsidP="002C20B5">
            <w:pPr>
              <w:jc w:val="center"/>
              <w:rPr>
                <w:sz w:val="19"/>
                <w:szCs w:val="19"/>
              </w:rPr>
            </w:pPr>
            <w:r w:rsidRPr="00695AB9">
              <w:rPr>
                <w:sz w:val="19"/>
                <w:szCs w:val="19"/>
              </w:rPr>
              <w:t>Percent</w:t>
            </w:r>
          </w:p>
        </w:tc>
        <w:tc>
          <w:tcPr>
            <w:tcW w:w="1447" w:type="dxa"/>
            <w:tcBorders>
              <w:top w:val="nil"/>
              <w:left w:val="nil"/>
              <w:bottom w:val="single" w:sz="4" w:space="0" w:color="auto"/>
              <w:right w:val="nil"/>
            </w:tcBorders>
            <w:shd w:val="clear" w:color="auto" w:fill="E2EFD9" w:themeFill="accent6" w:themeFillTint="33"/>
            <w:noWrap/>
            <w:vAlign w:val="center"/>
            <w:hideMark/>
          </w:tcPr>
          <w:p w14:paraId="373CC9D2" w14:textId="7A8D6C0F" w:rsidR="00F86173" w:rsidRPr="00695AB9" w:rsidRDefault="00F86173" w:rsidP="002C20B5">
            <w:pPr>
              <w:jc w:val="center"/>
              <w:rPr>
                <w:sz w:val="19"/>
                <w:szCs w:val="19"/>
              </w:rPr>
            </w:pPr>
            <w:r w:rsidRPr="00695AB9">
              <w:rPr>
                <w:sz w:val="19"/>
                <w:szCs w:val="19"/>
              </w:rPr>
              <w:t>Number</w:t>
            </w:r>
          </w:p>
        </w:tc>
        <w:tc>
          <w:tcPr>
            <w:tcW w:w="853" w:type="dxa"/>
            <w:tcBorders>
              <w:top w:val="nil"/>
              <w:left w:val="nil"/>
              <w:bottom w:val="single" w:sz="4" w:space="0" w:color="auto"/>
              <w:right w:val="nil"/>
            </w:tcBorders>
            <w:shd w:val="clear" w:color="auto" w:fill="E2EFD9" w:themeFill="accent6" w:themeFillTint="33"/>
            <w:noWrap/>
            <w:vAlign w:val="center"/>
            <w:hideMark/>
          </w:tcPr>
          <w:p w14:paraId="32173CAE" w14:textId="68EF2611" w:rsidR="00F86173" w:rsidRPr="00695AB9" w:rsidRDefault="00F86173" w:rsidP="002C20B5">
            <w:pPr>
              <w:jc w:val="center"/>
              <w:rPr>
                <w:sz w:val="19"/>
                <w:szCs w:val="19"/>
              </w:rPr>
            </w:pPr>
            <w:r w:rsidRPr="00695AB9">
              <w:rPr>
                <w:sz w:val="19"/>
                <w:szCs w:val="19"/>
              </w:rPr>
              <w:t>Percent</w:t>
            </w:r>
          </w:p>
        </w:tc>
        <w:tc>
          <w:tcPr>
            <w:tcW w:w="1265" w:type="dxa"/>
            <w:tcBorders>
              <w:top w:val="nil"/>
              <w:left w:val="nil"/>
              <w:bottom w:val="single" w:sz="4" w:space="0" w:color="auto"/>
              <w:right w:val="nil"/>
            </w:tcBorders>
            <w:shd w:val="clear" w:color="auto" w:fill="E2EFD9" w:themeFill="accent6" w:themeFillTint="33"/>
            <w:noWrap/>
            <w:vAlign w:val="center"/>
            <w:hideMark/>
          </w:tcPr>
          <w:p w14:paraId="407FAC50" w14:textId="069663E1" w:rsidR="00F86173" w:rsidRPr="00695AB9" w:rsidRDefault="00F86173" w:rsidP="002C20B5">
            <w:pPr>
              <w:jc w:val="center"/>
              <w:rPr>
                <w:sz w:val="19"/>
                <w:szCs w:val="19"/>
              </w:rPr>
            </w:pPr>
            <w:r w:rsidRPr="00695AB9">
              <w:rPr>
                <w:sz w:val="19"/>
                <w:szCs w:val="19"/>
              </w:rPr>
              <w:t>Number</w:t>
            </w:r>
          </w:p>
        </w:tc>
        <w:tc>
          <w:tcPr>
            <w:tcW w:w="935" w:type="dxa"/>
            <w:tcBorders>
              <w:top w:val="nil"/>
              <w:left w:val="nil"/>
              <w:bottom w:val="single" w:sz="4" w:space="0" w:color="auto"/>
              <w:right w:val="nil"/>
            </w:tcBorders>
            <w:shd w:val="clear" w:color="auto" w:fill="E2EFD9" w:themeFill="accent6" w:themeFillTint="33"/>
            <w:noWrap/>
            <w:vAlign w:val="center"/>
            <w:hideMark/>
          </w:tcPr>
          <w:p w14:paraId="7D024F60" w14:textId="6CF0A151" w:rsidR="00F86173" w:rsidRPr="00695AB9" w:rsidRDefault="00F86173" w:rsidP="002C20B5">
            <w:pPr>
              <w:jc w:val="center"/>
              <w:rPr>
                <w:sz w:val="19"/>
                <w:szCs w:val="19"/>
              </w:rPr>
            </w:pPr>
            <w:r w:rsidRPr="00695AB9">
              <w:rPr>
                <w:sz w:val="19"/>
                <w:szCs w:val="19"/>
              </w:rPr>
              <w:t>Percent</w:t>
            </w:r>
          </w:p>
        </w:tc>
      </w:tr>
      <w:tr w:rsidR="006B42D6" w:rsidRPr="00695AB9" w14:paraId="7B5C1A0B" w14:textId="77777777" w:rsidTr="0092196D">
        <w:trPr>
          <w:trHeight w:val="397"/>
        </w:trPr>
        <w:tc>
          <w:tcPr>
            <w:tcW w:w="1540" w:type="dxa"/>
            <w:tcBorders>
              <w:top w:val="nil"/>
              <w:left w:val="nil"/>
              <w:bottom w:val="nil"/>
              <w:right w:val="nil"/>
            </w:tcBorders>
            <w:shd w:val="clear" w:color="auto" w:fill="auto"/>
            <w:vAlign w:val="center"/>
            <w:hideMark/>
          </w:tcPr>
          <w:p w14:paraId="5247BE75" w14:textId="77777777" w:rsidR="00F86173" w:rsidRPr="00695AB9" w:rsidRDefault="00F86173" w:rsidP="0092196D">
            <w:pPr>
              <w:jc w:val="left"/>
              <w:rPr>
                <w:sz w:val="19"/>
                <w:szCs w:val="19"/>
              </w:rPr>
            </w:pPr>
            <w:r w:rsidRPr="00695AB9">
              <w:rPr>
                <w:sz w:val="19"/>
                <w:szCs w:val="19"/>
              </w:rPr>
              <w:t>Male</w:t>
            </w:r>
          </w:p>
        </w:tc>
        <w:tc>
          <w:tcPr>
            <w:tcW w:w="1522" w:type="dxa"/>
            <w:tcBorders>
              <w:top w:val="nil"/>
              <w:left w:val="nil"/>
              <w:bottom w:val="nil"/>
              <w:right w:val="nil"/>
            </w:tcBorders>
            <w:shd w:val="clear" w:color="auto" w:fill="auto"/>
            <w:noWrap/>
            <w:vAlign w:val="center"/>
            <w:hideMark/>
          </w:tcPr>
          <w:p w14:paraId="25627874" w14:textId="58BEF8BE" w:rsidR="00F86173" w:rsidRPr="00695AB9" w:rsidRDefault="00F86173" w:rsidP="002C20B5">
            <w:pPr>
              <w:jc w:val="center"/>
              <w:rPr>
                <w:sz w:val="19"/>
                <w:szCs w:val="19"/>
              </w:rPr>
            </w:pPr>
            <w:r w:rsidRPr="00695AB9">
              <w:rPr>
                <w:sz w:val="19"/>
                <w:szCs w:val="19"/>
              </w:rPr>
              <w:t>1,981</w:t>
            </w:r>
          </w:p>
        </w:tc>
        <w:tc>
          <w:tcPr>
            <w:tcW w:w="918" w:type="dxa"/>
            <w:tcBorders>
              <w:top w:val="nil"/>
              <w:left w:val="nil"/>
              <w:bottom w:val="nil"/>
              <w:right w:val="nil"/>
            </w:tcBorders>
            <w:shd w:val="clear" w:color="auto" w:fill="auto"/>
            <w:noWrap/>
            <w:vAlign w:val="center"/>
            <w:hideMark/>
          </w:tcPr>
          <w:p w14:paraId="4DB3CDD6" w14:textId="50F1F499" w:rsidR="00F86173" w:rsidRPr="00695AB9" w:rsidRDefault="00F86173" w:rsidP="002C20B5">
            <w:pPr>
              <w:jc w:val="center"/>
              <w:rPr>
                <w:sz w:val="19"/>
                <w:szCs w:val="19"/>
              </w:rPr>
            </w:pPr>
            <w:r w:rsidRPr="00695AB9">
              <w:rPr>
                <w:sz w:val="19"/>
                <w:szCs w:val="19"/>
              </w:rPr>
              <w:t>53.9</w:t>
            </w:r>
          </w:p>
        </w:tc>
        <w:tc>
          <w:tcPr>
            <w:tcW w:w="1447" w:type="dxa"/>
            <w:tcBorders>
              <w:top w:val="nil"/>
              <w:left w:val="nil"/>
              <w:bottom w:val="nil"/>
              <w:right w:val="nil"/>
            </w:tcBorders>
            <w:shd w:val="clear" w:color="auto" w:fill="auto"/>
            <w:noWrap/>
            <w:vAlign w:val="center"/>
            <w:hideMark/>
          </w:tcPr>
          <w:p w14:paraId="05EC6077" w14:textId="053B17F3" w:rsidR="00F86173" w:rsidRPr="00695AB9" w:rsidRDefault="00F86173" w:rsidP="002C20B5">
            <w:pPr>
              <w:jc w:val="center"/>
              <w:rPr>
                <w:sz w:val="19"/>
                <w:szCs w:val="19"/>
              </w:rPr>
            </w:pPr>
            <w:r w:rsidRPr="00695AB9">
              <w:rPr>
                <w:sz w:val="19"/>
                <w:szCs w:val="19"/>
              </w:rPr>
              <w:t>61</w:t>
            </w:r>
          </w:p>
        </w:tc>
        <w:tc>
          <w:tcPr>
            <w:tcW w:w="853" w:type="dxa"/>
            <w:tcBorders>
              <w:top w:val="nil"/>
              <w:left w:val="nil"/>
              <w:bottom w:val="nil"/>
              <w:right w:val="nil"/>
            </w:tcBorders>
            <w:shd w:val="clear" w:color="auto" w:fill="auto"/>
            <w:noWrap/>
            <w:vAlign w:val="center"/>
            <w:hideMark/>
          </w:tcPr>
          <w:p w14:paraId="583D60EA" w14:textId="2984633D" w:rsidR="00F86173" w:rsidRPr="00695AB9" w:rsidRDefault="00F86173" w:rsidP="002C20B5">
            <w:pPr>
              <w:jc w:val="center"/>
              <w:rPr>
                <w:sz w:val="19"/>
                <w:szCs w:val="19"/>
              </w:rPr>
            </w:pPr>
            <w:r w:rsidRPr="00695AB9">
              <w:rPr>
                <w:sz w:val="19"/>
                <w:szCs w:val="19"/>
              </w:rPr>
              <w:t>39.6</w:t>
            </w:r>
          </w:p>
        </w:tc>
        <w:tc>
          <w:tcPr>
            <w:tcW w:w="1265" w:type="dxa"/>
            <w:tcBorders>
              <w:top w:val="nil"/>
              <w:left w:val="nil"/>
              <w:bottom w:val="nil"/>
              <w:right w:val="nil"/>
            </w:tcBorders>
            <w:shd w:val="clear" w:color="auto" w:fill="auto"/>
            <w:noWrap/>
            <w:vAlign w:val="center"/>
            <w:hideMark/>
          </w:tcPr>
          <w:p w14:paraId="45BBC6E0" w14:textId="63F2CA48" w:rsidR="00F86173" w:rsidRPr="00695AB9" w:rsidRDefault="00F86173" w:rsidP="002C20B5">
            <w:pPr>
              <w:jc w:val="center"/>
              <w:rPr>
                <w:sz w:val="19"/>
                <w:szCs w:val="19"/>
              </w:rPr>
            </w:pPr>
            <w:r w:rsidRPr="00695AB9">
              <w:rPr>
                <w:sz w:val="19"/>
                <w:szCs w:val="19"/>
              </w:rPr>
              <w:t>2,042</w:t>
            </w:r>
          </w:p>
        </w:tc>
        <w:tc>
          <w:tcPr>
            <w:tcW w:w="935" w:type="dxa"/>
            <w:tcBorders>
              <w:top w:val="nil"/>
              <w:left w:val="nil"/>
              <w:bottom w:val="nil"/>
              <w:right w:val="nil"/>
            </w:tcBorders>
            <w:shd w:val="clear" w:color="auto" w:fill="auto"/>
            <w:noWrap/>
            <w:vAlign w:val="center"/>
            <w:hideMark/>
          </w:tcPr>
          <w:p w14:paraId="4FC95F5C" w14:textId="64C64D69" w:rsidR="00F86173" w:rsidRPr="00695AB9" w:rsidRDefault="00F86173" w:rsidP="002C20B5">
            <w:pPr>
              <w:jc w:val="center"/>
              <w:rPr>
                <w:sz w:val="19"/>
                <w:szCs w:val="19"/>
              </w:rPr>
            </w:pPr>
            <w:r w:rsidRPr="00695AB9">
              <w:rPr>
                <w:sz w:val="19"/>
                <w:szCs w:val="19"/>
              </w:rPr>
              <w:t>53.3</w:t>
            </w:r>
          </w:p>
        </w:tc>
      </w:tr>
      <w:tr w:rsidR="006B42D6" w:rsidRPr="00695AB9" w14:paraId="2580CBAC" w14:textId="77777777" w:rsidTr="0092196D">
        <w:trPr>
          <w:trHeight w:val="397"/>
        </w:trPr>
        <w:tc>
          <w:tcPr>
            <w:tcW w:w="1540" w:type="dxa"/>
            <w:tcBorders>
              <w:top w:val="nil"/>
              <w:left w:val="nil"/>
              <w:bottom w:val="single" w:sz="4" w:space="0" w:color="auto"/>
              <w:right w:val="nil"/>
            </w:tcBorders>
            <w:shd w:val="clear" w:color="auto" w:fill="auto"/>
            <w:vAlign w:val="center"/>
            <w:hideMark/>
          </w:tcPr>
          <w:p w14:paraId="17601F18" w14:textId="77777777" w:rsidR="00F86173" w:rsidRPr="00695AB9" w:rsidRDefault="00F86173" w:rsidP="0092196D">
            <w:pPr>
              <w:jc w:val="left"/>
              <w:rPr>
                <w:sz w:val="19"/>
                <w:szCs w:val="19"/>
              </w:rPr>
            </w:pPr>
            <w:r w:rsidRPr="00695AB9">
              <w:rPr>
                <w:sz w:val="19"/>
                <w:szCs w:val="19"/>
              </w:rPr>
              <w:t>Female</w:t>
            </w:r>
          </w:p>
        </w:tc>
        <w:tc>
          <w:tcPr>
            <w:tcW w:w="1522" w:type="dxa"/>
            <w:tcBorders>
              <w:top w:val="nil"/>
              <w:left w:val="nil"/>
              <w:bottom w:val="single" w:sz="4" w:space="0" w:color="auto"/>
              <w:right w:val="nil"/>
            </w:tcBorders>
            <w:shd w:val="clear" w:color="auto" w:fill="auto"/>
            <w:noWrap/>
            <w:vAlign w:val="center"/>
            <w:hideMark/>
          </w:tcPr>
          <w:p w14:paraId="5D95A260" w14:textId="2CDF23FA" w:rsidR="00F86173" w:rsidRPr="00695AB9" w:rsidRDefault="00F86173" w:rsidP="002C20B5">
            <w:pPr>
              <w:jc w:val="center"/>
              <w:rPr>
                <w:sz w:val="19"/>
                <w:szCs w:val="19"/>
              </w:rPr>
            </w:pPr>
            <w:r w:rsidRPr="00695AB9">
              <w:rPr>
                <w:sz w:val="19"/>
                <w:szCs w:val="19"/>
              </w:rPr>
              <w:t>1,693</w:t>
            </w:r>
          </w:p>
        </w:tc>
        <w:tc>
          <w:tcPr>
            <w:tcW w:w="918" w:type="dxa"/>
            <w:tcBorders>
              <w:top w:val="nil"/>
              <w:left w:val="nil"/>
              <w:bottom w:val="single" w:sz="4" w:space="0" w:color="auto"/>
              <w:right w:val="nil"/>
            </w:tcBorders>
            <w:shd w:val="clear" w:color="auto" w:fill="auto"/>
            <w:noWrap/>
            <w:vAlign w:val="center"/>
            <w:hideMark/>
          </w:tcPr>
          <w:p w14:paraId="508321BA" w14:textId="092E71E1" w:rsidR="00F86173" w:rsidRPr="00695AB9" w:rsidRDefault="00F86173" w:rsidP="002C20B5">
            <w:pPr>
              <w:jc w:val="center"/>
              <w:rPr>
                <w:sz w:val="19"/>
                <w:szCs w:val="19"/>
              </w:rPr>
            </w:pPr>
            <w:r w:rsidRPr="00695AB9">
              <w:rPr>
                <w:sz w:val="19"/>
                <w:szCs w:val="19"/>
              </w:rPr>
              <w:t>46.1</w:t>
            </w:r>
          </w:p>
        </w:tc>
        <w:tc>
          <w:tcPr>
            <w:tcW w:w="1447" w:type="dxa"/>
            <w:tcBorders>
              <w:top w:val="nil"/>
              <w:left w:val="nil"/>
              <w:bottom w:val="single" w:sz="4" w:space="0" w:color="auto"/>
              <w:right w:val="nil"/>
            </w:tcBorders>
            <w:shd w:val="clear" w:color="auto" w:fill="auto"/>
            <w:noWrap/>
            <w:vAlign w:val="center"/>
            <w:hideMark/>
          </w:tcPr>
          <w:p w14:paraId="51B1C924" w14:textId="2F8C0710" w:rsidR="00F86173" w:rsidRPr="00695AB9" w:rsidRDefault="00F86173" w:rsidP="002C20B5">
            <w:pPr>
              <w:jc w:val="center"/>
              <w:rPr>
                <w:sz w:val="19"/>
                <w:szCs w:val="19"/>
              </w:rPr>
            </w:pPr>
            <w:r w:rsidRPr="00695AB9">
              <w:rPr>
                <w:sz w:val="19"/>
                <w:szCs w:val="19"/>
              </w:rPr>
              <w:t>93</w:t>
            </w:r>
          </w:p>
        </w:tc>
        <w:tc>
          <w:tcPr>
            <w:tcW w:w="853" w:type="dxa"/>
            <w:tcBorders>
              <w:top w:val="nil"/>
              <w:left w:val="nil"/>
              <w:bottom w:val="single" w:sz="4" w:space="0" w:color="auto"/>
              <w:right w:val="nil"/>
            </w:tcBorders>
            <w:shd w:val="clear" w:color="auto" w:fill="auto"/>
            <w:noWrap/>
            <w:vAlign w:val="center"/>
            <w:hideMark/>
          </w:tcPr>
          <w:p w14:paraId="2C7E4B7D" w14:textId="21AD7FC6" w:rsidR="00F86173" w:rsidRPr="00695AB9" w:rsidRDefault="00F86173" w:rsidP="002C20B5">
            <w:pPr>
              <w:jc w:val="center"/>
              <w:rPr>
                <w:sz w:val="19"/>
                <w:szCs w:val="19"/>
              </w:rPr>
            </w:pPr>
            <w:r w:rsidRPr="00695AB9">
              <w:rPr>
                <w:sz w:val="19"/>
                <w:szCs w:val="19"/>
              </w:rPr>
              <w:t>60.4</w:t>
            </w:r>
          </w:p>
        </w:tc>
        <w:tc>
          <w:tcPr>
            <w:tcW w:w="1265" w:type="dxa"/>
            <w:tcBorders>
              <w:top w:val="nil"/>
              <w:left w:val="nil"/>
              <w:bottom w:val="single" w:sz="4" w:space="0" w:color="auto"/>
              <w:right w:val="nil"/>
            </w:tcBorders>
            <w:shd w:val="clear" w:color="auto" w:fill="auto"/>
            <w:noWrap/>
            <w:vAlign w:val="center"/>
            <w:hideMark/>
          </w:tcPr>
          <w:p w14:paraId="0422B2FC" w14:textId="0F768059" w:rsidR="00F86173" w:rsidRPr="00695AB9" w:rsidRDefault="00F86173" w:rsidP="002C20B5">
            <w:pPr>
              <w:jc w:val="center"/>
              <w:rPr>
                <w:sz w:val="19"/>
                <w:szCs w:val="19"/>
              </w:rPr>
            </w:pPr>
            <w:r w:rsidRPr="00695AB9">
              <w:rPr>
                <w:sz w:val="19"/>
                <w:szCs w:val="19"/>
              </w:rPr>
              <w:t>1,786</w:t>
            </w:r>
          </w:p>
        </w:tc>
        <w:tc>
          <w:tcPr>
            <w:tcW w:w="935" w:type="dxa"/>
            <w:tcBorders>
              <w:top w:val="nil"/>
              <w:left w:val="nil"/>
              <w:bottom w:val="single" w:sz="4" w:space="0" w:color="auto"/>
              <w:right w:val="nil"/>
            </w:tcBorders>
            <w:shd w:val="clear" w:color="auto" w:fill="auto"/>
            <w:noWrap/>
            <w:vAlign w:val="center"/>
            <w:hideMark/>
          </w:tcPr>
          <w:p w14:paraId="42392658" w14:textId="74503B89" w:rsidR="00F86173" w:rsidRPr="00695AB9" w:rsidRDefault="00F86173" w:rsidP="002C20B5">
            <w:pPr>
              <w:jc w:val="center"/>
              <w:rPr>
                <w:sz w:val="19"/>
                <w:szCs w:val="19"/>
              </w:rPr>
            </w:pPr>
            <w:r w:rsidRPr="00695AB9">
              <w:rPr>
                <w:sz w:val="19"/>
                <w:szCs w:val="19"/>
              </w:rPr>
              <w:t>46.7</w:t>
            </w:r>
          </w:p>
        </w:tc>
      </w:tr>
      <w:tr w:rsidR="00F86173" w:rsidRPr="00695AB9" w14:paraId="6756BA5C" w14:textId="77777777" w:rsidTr="0092196D">
        <w:trPr>
          <w:trHeight w:val="300"/>
        </w:trPr>
        <w:tc>
          <w:tcPr>
            <w:tcW w:w="1540" w:type="dxa"/>
            <w:tcBorders>
              <w:top w:val="single" w:sz="4" w:space="0" w:color="auto"/>
              <w:left w:val="nil"/>
              <w:bottom w:val="single" w:sz="4" w:space="0" w:color="auto"/>
              <w:right w:val="nil"/>
            </w:tcBorders>
            <w:shd w:val="clear" w:color="auto" w:fill="E2EFD9" w:themeFill="accent6" w:themeFillTint="33"/>
            <w:noWrap/>
            <w:vAlign w:val="center"/>
            <w:hideMark/>
          </w:tcPr>
          <w:p w14:paraId="591246D2" w14:textId="77777777" w:rsidR="00F86173" w:rsidRPr="00695AB9" w:rsidRDefault="00F86173" w:rsidP="0092196D">
            <w:pPr>
              <w:jc w:val="left"/>
              <w:rPr>
                <w:sz w:val="19"/>
                <w:szCs w:val="19"/>
              </w:rPr>
            </w:pPr>
            <w:r w:rsidRPr="00695AB9">
              <w:rPr>
                <w:sz w:val="19"/>
                <w:szCs w:val="19"/>
              </w:rPr>
              <w:t>Total</w:t>
            </w:r>
          </w:p>
        </w:tc>
        <w:tc>
          <w:tcPr>
            <w:tcW w:w="1522" w:type="dxa"/>
            <w:tcBorders>
              <w:top w:val="single" w:sz="4" w:space="0" w:color="auto"/>
              <w:left w:val="nil"/>
              <w:bottom w:val="single" w:sz="4" w:space="0" w:color="auto"/>
              <w:right w:val="nil"/>
            </w:tcBorders>
            <w:shd w:val="clear" w:color="auto" w:fill="E2EFD9" w:themeFill="accent6" w:themeFillTint="33"/>
            <w:noWrap/>
            <w:vAlign w:val="center"/>
            <w:hideMark/>
          </w:tcPr>
          <w:p w14:paraId="2D33CF1D" w14:textId="04BAF76A" w:rsidR="00F86173" w:rsidRPr="00695AB9" w:rsidRDefault="00F86173" w:rsidP="002C20B5">
            <w:pPr>
              <w:jc w:val="center"/>
              <w:rPr>
                <w:sz w:val="19"/>
                <w:szCs w:val="19"/>
              </w:rPr>
            </w:pPr>
            <w:r w:rsidRPr="00695AB9">
              <w:rPr>
                <w:sz w:val="19"/>
                <w:szCs w:val="19"/>
              </w:rPr>
              <w:t>3,674</w:t>
            </w:r>
          </w:p>
        </w:tc>
        <w:tc>
          <w:tcPr>
            <w:tcW w:w="918" w:type="dxa"/>
            <w:tcBorders>
              <w:top w:val="single" w:sz="4" w:space="0" w:color="auto"/>
              <w:left w:val="nil"/>
              <w:bottom w:val="single" w:sz="4" w:space="0" w:color="auto"/>
              <w:right w:val="nil"/>
            </w:tcBorders>
            <w:shd w:val="clear" w:color="auto" w:fill="E2EFD9" w:themeFill="accent6" w:themeFillTint="33"/>
            <w:noWrap/>
            <w:vAlign w:val="center"/>
            <w:hideMark/>
          </w:tcPr>
          <w:p w14:paraId="379D69CC" w14:textId="3A134E25" w:rsidR="00F86173" w:rsidRPr="00695AB9" w:rsidRDefault="00F86173" w:rsidP="002C20B5">
            <w:pPr>
              <w:jc w:val="center"/>
              <w:rPr>
                <w:sz w:val="19"/>
                <w:szCs w:val="19"/>
              </w:rPr>
            </w:pPr>
            <w:r w:rsidRPr="00695AB9">
              <w:rPr>
                <w:sz w:val="19"/>
                <w:szCs w:val="19"/>
              </w:rPr>
              <w:t>100.0</w:t>
            </w:r>
          </w:p>
        </w:tc>
        <w:tc>
          <w:tcPr>
            <w:tcW w:w="1447" w:type="dxa"/>
            <w:tcBorders>
              <w:top w:val="single" w:sz="4" w:space="0" w:color="auto"/>
              <w:left w:val="nil"/>
              <w:bottom w:val="single" w:sz="4" w:space="0" w:color="auto"/>
              <w:right w:val="nil"/>
            </w:tcBorders>
            <w:shd w:val="clear" w:color="auto" w:fill="E2EFD9" w:themeFill="accent6" w:themeFillTint="33"/>
            <w:noWrap/>
            <w:vAlign w:val="center"/>
            <w:hideMark/>
          </w:tcPr>
          <w:p w14:paraId="2CF07DEB" w14:textId="34101288" w:rsidR="00F86173" w:rsidRPr="00695AB9" w:rsidRDefault="00F86173" w:rsidP="002C20B5">
            <w:pPr>
              <w:jc w:val="center"/>
              <w:rPr>
                <w:sz w:val="19"/>
                <w:szCs w:val="19"/>
              </w:rPr>
            </w:pPr>
            <w:r w:rsidRPr="00695AB9">
              <w:rPr>
                <w:sz w:val="19"/>
                <w:szCs w:val="19"/>
              </w:rPr>
              <w:t>154</w:t>
            </w:r>
          </w:p>
        </w:tc>
        <w:tc>
          <w:tcPr>
            <w:tcW w:w="853" w:type="dxa"/>
            <w:tcBorders>
              <w:top w:val="single" w:sz="4" w:space="0" w:color="auto"/>
              <w:left w:val="nil"/>
              <w:bottom w:val="single" w:sz="4" w:space="0" w:color="auto"/>
              <w:right w:val="nil"/>
            </w:tcBorders>
            <w:shd w:val="clear" w:color="auto" w:fill="E2EFD9" w:themeFill="accent6" w:themeFillTint="33"/>
            <w:noWrap/>
            <w:vAlign w:val="center"/>
            <w:hideMark/>
          </w:tcPr>
          <w:p w14:paraId="211B6CCD" w14:textId="10A1F5C3" w:rsidR="00F86173" w:rsidRPr="00695AB9" w:rsidRDefault="00F86173" w:rsidP="002C20B5">
            <w:pPr>
              <w:jc w:val="center"/>
              <w:rPr>
                <w:sz w:val="19"/>
                <w:szCs w:val="19"/>
              </w:rPr>
            </w:pPr>
            <w:r w:rsidRPr="00695AB9">
              <w:rPr>
                <w:sz w:val="19"/>
                <w:szCs w:val="19"/>
              </w:rPr>
              <w:t>100.0</w:t>
            </w:r>
          </w:p>
        </w:tc>
        <w:tc>
          <w:tcPr>
            <w:tcW w:w="1265" w:type="dxa"/>
            <w:tcBorders>
              <w:top w:val="single" w:sz="4" w:space="0" w:color="auto"/>
              <w:left w:val="nil"/>
              <w:bottom w:val="single" w:sz="4" w:space="0" w:color="auto"/>
              <w:right w:val="nil"/>
            </w:tcBorders>
            <w:shd w:val="clear" w:color="auto" w:fill="E2EFD9" w:themeFill="accent6" w:themeFillTint="33"/>
            <w:noWrap/>
            <w:vAlign w:val="center"/>
            <w:hideMark/>
          </w:tcPr>
          <w:p w14:paraId="3429B270" w14:textId="1D54FA63" w:rsidR="00F86173" w:rsidRPr="00695AB9" w:rsidRDefault="00F86173" w:rsidP="002C20B5">
            <w:pPr>
              <w:jc w:val="center"/>
              <w:rPr>
                <w:sz w:val="19"/>
                <w:szCs w:val="19"/>
              </w:rPr>
            </w:pPr>
            <w:r w:rsidRPr="00695AB9">
              <w:rPr>
                <w:sz w:val="19"/>
                <w:szCs w:val="19"/>
              </w:rPr>
              <w:t>3,828</w:t>
            </w:r>
          </w:p>
        </w:tc>
        <w:tc>
          <w:tcPr>
            <w:tcW w:w="935" w:type="dxa"/>
            <w:tcBorders>
              <w:top w:val="single" w:sz="4" w:space="0" w:color="auto"/>
              <w:left w:val="nil"/>
              <w:bottom w:val="single" w:sz="4" w:space="0" w:color="auto"/>
              <w:right w:val="nil"/>
            </w:tcBorders>
            <w:shd w:val="clear" w:color="auto" w:fill="E2EFD9" w:themeFill="accent6" w:themeFillTint="33"/>
            <w:noWrap/>
            <w:vAlign w:val="center"/>
            <w:hideMark/>
          </w:tcPr>
          <w:p w14:paraId="3EAF54D8" w14:textId="55DB62EB" w:rsidR="00F86173" w:rsidRPr="00695AB9" w:rsidRDefault="00F86173" w:rsidP="002C20B5">
            <w:pPr>
              <w:jc w:val="center"/>
              <w:rPr>
                <w:sz w:val="19"/>
                <w:szCs w:val="19"/>
              </w:rPr>
            </w:pPr>
            <w:r w:rsidRPr="00695AB9">
              <w:rPr>
                <w:sz w:val="19"/>
                <w:szCs w:val="19"/>
              </w:rPr>
              <w:t>100.0</w:t>
            </w:r>
          </w:p>
        </w:tc>
      </w:tr>
    </w:tbl>
    <w:p w14:paraId="4D7974DE" w14:textId="77777777" w:rsidR="00F86173" w:rsidRPr="006B42D6" w:rsidRDefault="00F86173" w:rsidP="0092196D"/>
    <w:p w14:paraId="7EE1B470" w14:textId="3CF5C908" w:rsidR="00A32971" w:rsidRPr="006B42D6" w:rsidRDefault="00612C4E" w:rsidP="00A32971">
      <w:pPr>
        <w:pStyle w:val="Heading3"/>
      </w:pPr>
      <w:bookmarkStart w:id="840" w:name="_Toc82385789"/>
      <w:r w:rsidRPr="006B42D6">
        <w:t>5.</w:t>
      </w:r>
      <w:r w:rsidR="00AC6872">
        <w:t>2</w:t>
      </w:r>
      <w:r w:rsidR="004C3D43">
        <w:t>.1</w:t>
      </w:r>
      <w:r w:rsidR="00A32971" w:rsidRPr="006B42D6">
        <w:tab/>
        <w:t>Source of Credits</w:t>
      </w:r>
      <w:bookmarkEnd w:id="840"/>
    </w:p>
    <w:p w14:paraId="33D41F8E" w14:textId="6E103377" w:rsidR="00A32971" w:rsidRPr="006B42D6" w:rsidRDefault="00A32971" w:rsidP="00A32971">
      <w:r w:rsidRPr="006B42D6">
        <w:t>During the 2019/20 agricultural year, sources of credit obtained by household members were categorized into family/friends/relative; bank, cooperative</w:t>
      </w:r>
      <w:r w:rsidR="001A3CC5" w:rsidRPr="006B42D6">
        <w:t>s</w:t>
      </w:r>
      <w:r w:rsidRPr="006B42D6">
        <w:t>, saving and credit societies, trade/trade store, private individual, NGO/project and other. Majority of household members received first credit from family/friends/relatives (76,214 members; 25.9 percent), out of them 63,05</w:t>
      </w:r>
      <w:r w:rsidR="001A3CC5" w:rsidRPr="006B42D6">
        <w:t>9 were males and 13,155 females</w:t>
      </w:r>
      <w:r w:rsidRPr="006B42D6">
        <w:t xml:space="preserve">. That was followed by those who received first </w:t>
      </w:r>
      <w:r w:rsidRPr="006B42D6">
        <w:lastRenderedPageBreak/>
        <w:t>credit from cooperatives (65,601 members; 22.3 percent) whereby 53,543 were males and 12,058 females, and those received from private individual (49,765; 16.9 percent)</w:t>
      </w:r>
      <w:r w:rsidR="001A3CC5" w:rsidRPr="006B42D6">
        <w:t>,</w:t>
      </w:r>
      <w:r w:rsidRPr="006B42D6">
        <w:t xml:space="preserve"> whereby 39,461 were males and 10,304 females. However, there were few household members who received their first credit from trade/trade store (7,982 members; 2.7 percent)</w:t>
      </w:r>
      <w:r w:rsidR="001A3CC5" w:rsidRPr="006B42D6">
        <w:t>,</w:t>
      </w:r>
      <w:r w:rsidRPr="006B42D6">
        <w:t xml:space="preserve"> whereby 7,</w:t>
      </w:r>
      <w:r w:rsidR="001A3CC5" w:rsidRPr="006B42D6">
        <w:t>320 were males and 662 females</w:t>
      </w:r>
      <w:r w:rsidR="009404B8" w:rsidRPr="006B42D6">
        <w:t>.</w:t>
      </w:r>
      <w:r w:rsidRPr="006B42D6">
        <w:t xml:space="preserve"> </w:t>
      </w:r>
    </w:p>
    <w:p w14:paraId="6BCB4F98" w14:textId="77777777" w:rsidR="00A32971" w:rsidRPr="006B42D6" w:rsidRDefault="00A32971" w:rsidP="0092196D">
      <w:pPr>
        <w:spacing w:line="240" w:lineRule="auto"/>
      </w:pPr>
    </w:p>
    <w:p w14:paraId="71B95F38" w14:textId="2AB47871" w:rsidR="00A32971" w:rsidRPr="006B42D6" w:rsidRDefault="00A32971" w:rsidP="00A32971">
      <w:r w:rsidRPr="006B42D6">
        <w:t xml:space="preserve">In </w:t>
      </w:r>
      <w:r w:rsidR="00EA1552">
        <w:t>Mainland Tanzania</w:t>
      </w:r>
      <w:r w:rsidRPr="006B42D6">
        <w:t>,</w:t>
      </w:r>
      <w:r w:rsidR="008D0622" w:rsidRPr="006B42D6">
        <w:t xml:space="preserve"> </w:t>
      </w:r>
      <w:r w:rsidRPr="006B42D6">
        <w:t>family/friend</w:t>
      </w:r>
      <w:r w:rsidR="009404B8" w:rsidRPr="006B42D6">
        <w:t>s</w:t>
      </w:r>
      <w:r w:rsidRPr="006B42D6">
        <w:t xml:space="preserve">/relatives </w:t>
      </w:r>
      <w:r w:rsidR="008D0622" w:rsidRPr="006B42D6">
        <w:t>was reported as the main source of credit</w:t>
      </w:r>
      <w:r w:rsidRPr="006B42D6">
        <w:t xml:space="preserve"> by majority of household members that obtained first credit (75,926; 26.1 percent) of which 62,771 were males and 13,155 females. On the other hand, trade/trade store was reported by few household members (7,777 members; 2.7 percent), of which 7,265 were males and 512 females</w:t>
      </w:r>
      <w:r w:rsidR="009404B8" w:rsidRPr="006B42D6">
        <w:t xml:space="preserve"> (Figure 5.</w:t>
      </w:r>
      <w:r w:rsidR="00565D92">
        <w:t>6</w:t>
      </w:r>
      <w:r w:rsidR="009404B8" w:rsidRPr="006B42D6">
        <w:t>)</w:t>
      </w:r>
      <w:r w:rsidRPr="006B42D6">
        <w:t>.</w:t>
      </w:r>
    </w:p>
    <w:p w14:paraId="6F86E1D9" w14:textId="77777777" w:rsidR="00A32971" w:rsidRPr="006B42D6" w:rsidRDefault="00A32971" w:rsidP="0092196D">
      <w:pPr>
        <w:spacing w:line="240" w:lineRule="auto"/>
      </w:pPr>
    </w:p>
    <w:p w14:paraId="24934170" w14:textId="0A9DC393" w:rsidR="00A32971" w:rsidRPr="006B42D6" w:rsidRDefault="00A32971" w:rsidP="00A32971">
      <w:r w:rsidRPr="006B42D6">
        <w:t>In Tanzania Zanzibar, the main source of credit was cooperatives</w:t>
      </w:r>
      <w:r w:rsidR="008D0622" w:rsidRPr="006B42D6">
        <w:t>,</w:t>
      </w:r>
      <w:r w:rsidRPr="006B42D6">
        <w:t xml:space="preserve"> which accounted for 50.7 percent of household members (1,815) obtained first credit, out of which, 581 were males and 1,234 females. Bank was recorded as the least source obtained by 161 household members (4.5 percent), of which 104 were males and 57</w:t>
      </w:r>
      <w:r w:rsidR="001A3CC5" w:rsidRPr="006B42D6">
        <w:t xml:space="preserve"> </w:t>
      </w:r>
      <w:r w:rsidRPr="006B42D6">
        <w:t xml:space="preserve">females (Figure </w:t>
      </w:r>
      <w:r w:rsidR="009404B8" w:rsidRPr="006B42D6">
        <w:t>5.</w:t>
      </w:r>
      <w:r w:rsidR="00900DAB">
        <w:t>5</w:t>
      </w:r>
      <w:r w:rsidRPr="006B42D6">
        <w:t>).</w:t>
      </w:r>
    </w:p>
    <w:p w14:paraId="4FC48E8A" w14:textId="77777777" w:rsidR="00AC6872" w:rsidRDefault="00AC6872" w:rsidP="00C312C1">
      <w:pPr>
        <w:spacing w:line="240" w:lineRule="auto"/>
      </w:pPr>
    </w:p>
    <w:p w14:paraId="44BA9BB0" w14:textId="6D3F93C0" w:rsidR="00A32971" w:rsidRPr="006B42D6" w:rsidRDefault="00A32971" w:rsidP="00EA010E">
      <w:pPr>
        <w:pStyle w:val="Caption"/>
      </w:pPr>
      <w:bookmarkStart w:id="841" w:name="_Toc82386461"/>
      <w:r w:rsidRPr="006B42D6">
        <w:t xml:space="preserve">Figure </w:t>
      </w:r>
      <w:r w:rsidR="009404B8" w:rsidRPr="006B42D6">
        <w:t>5.</w:t>
      </w:r>
      <w:r w:rsidR="00900DAB">
        <w:t>5</w:t>
      </w:r>
      <w:r w:rsidR="0092196D">
        <w:t>:</w:t>
      </w:r>
      <w:r w:rsidR="00E17DC7">
        <w:tab/>
      </w:r>
      <w:r w:rsidRPr="006B42D6">
        <w:t>Percentage of Agricultural Household Members Received First Credit by Source During 2019/20 Agricultural Year, Tanzania</w:t>
      </w:r>
      <w:bookmarkEnd w:id="841"/>
    </w:p>
    <w:p w14:paraId="45F3760B" w14:textId="6D0D45CD" w:rsidR="00A32971" w:rsidRPr="006B42D6" w:rsidRDefault="0055381D" w:rsidP="00A32971">
      <w:pPr>
        <w:adjustRightInd w:val="0"/>
        <w:rPr>
          <w:b/>
          <w:bCs/>
        </w:rPr>
      </w:pPr>
      <w:r w:rsidRPr="0055381D">
        <w:rPr>
          <w:noProof/>
          <w:sz w:val="18"/>
          <w:szCs w:val="18"/>
        </w:rPr>
        <w:drawing>
          <wp:inline distT="0" distB="0" distL="0" distR="0" wp14:anchorId="313BBB37" wp14:editId="52A567A6">
            <wp:extent cx="5762297" cy="2423160"/>
            <wp:effectExtent l="0" t="0" r="16510" b="15240"/>
            <wp:docPr id="574" name="Chart 574">
              <a:extLst xmlns:a="http://schemas.openxmlformats.org/drawingml/2006/main">
                <a:ext uri="{FF2B5EF4-FFF2-40B4-BE49-F238E27FC236}">
                  <a16:creationId xmlns:a16="http://schemas.microsoft.com/office/drawing/2014/main" id="{8685CA7A-EC7D-415E-BD3B-6296FC92CF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7"/>
              </a:graphicData>
            </a:graphic>
          </wp:inline>
        </w:drawing>
      </w:r>
    </w:p>
    <w:p w14:paraId="4534995C" w14:textId="77777777" w:rsidR="00272901" w:rsidRPr="006B42D6" w:rsidRDefault="00272901" w:rsidP="00B70471">
      <w:pPr>
        <w:spacing w:line="240" w:lineRule="auto"/>
        <w:rPr>
          <w:b/>
          <w:bCs/>
        </w:rPr>
      </w:pPr>
    </w:p>
    <w:p w14:paraId="4E490CCB" w14:textId="0B72D36A" w:rsidR="00A32971" w:rsidRDefault="00A32971" w:rsidP="00A32971">
      <w:r w:rsidRPr="006B42D6">
        <w:t>Similarly, 3,828 household members (2,042 males and 1,786 females) reported to receive the second credit during 2019/20 agricultural year in Tanzania. Majority of household members (1,739; 45.4 percent) obtained their credit from savings and credit societies, whereby 451 were males and 1,288 females. Only 3.7 percent of the household members (143 males only) received their second credit from “other sources</w:t>
      </w:r>
      <w:r w:rsidR="001A3CC5" w:rsidRPr="006B42D6">
        <w:t>”</w:t>
      </w:r>
      <w:r w:rsidRPr="006B42D6">
        <w:t xml:space="preserve"> (Figure </w:t>
      </w:r>
      <w:r w:rsidR="008D0622" w:rsidRPr="006B42D6">
        <w:t>5.</w:t>
      </w:r>
      <w:r w:rsidR="00900DAB">
        <w:t>6</w:t>
      </w:r>
      <w:r w:rsidRPr="006B42D6">
        <w:t>).</w:t>
      </w:r>
    </w:p>
    <w:p w14:paraId="370E098E" w14:textId="77777777" w:rsidR="00E17DC7" w:rsidRPr="00E17DC7" w:rsidRDefault="00E17DC7" w:rsidP="0092196D">
      <w:pPr>
        <w:spacing w:line="240" w:lineRule="auto"/>
      </w:pPr>
    </w:p>
    <w:p w14:paraId="50DC6D10" w14:textId="0459D422" w:rsidR="00A32971" w:rsidRDefault="00A32971" w:rsidP="00A32971">
      <w:r w:rsidRPr="006B42D6">
        <w:lastRenderedPageBreak/>
        <w:t xml:space="preserve">In </w:t>
      </w:r>
      <w:r w:rsidR="00EA1552">
        <w:t>Mainland Tanzania</w:t>
      </w:r>
      <w:r w:rsidRPr="006B42D6">
        <w:t xml:space="preserve">, majority of household members (1,739; 47.3 percent) reported to receive second credit from savings and credit societies, whereby 451 were males and 1,288 females, while few household members (114 males only) reported to borrow from cooperative (3.1 percent). In Tanzania Zanzibar, only 154 household members (61 males and 93 females) equivalent to 100 percent received second credit from cooperatives during 2019/20 agricultural year. </w:t>
      </w:r>
    </w:p>
    <w:p w14:paraId="212364AA" w14:textId="77777777" w:rsidR="00AC6872" w:rsidRDefault="00AC6872" w:rsidP="00EA010E">
      <w:pPr>
        <w:pStyle w:val="Caption"/>
      </w:pPr>
    </w:p>
    <w:p w14:paraId="4312481F" w14:textId="63DAB31F" w:rsidR="00A32971" w:rsidRPr="006B42D6" w:rsidRDefault="00A32971" w:rsidP="00EA010E">
      <w:pPr>
        <w:pStyle w:val="Caption"/>
      </w:pPr>
      <w:bookmarkStart w:id="842" w:name="_Toc82386462"/>
      <w:r w:rsidRPr="006B42D6">
        <w:t xml:space="preserve">Figure </w:t>
      </w:r>
      <w:r w:rsidR="008D0622" w:rsidRPr="006B42D6">
        <w:t>5.</w:t>
      </w:r>
      <w:r w:rsidR="00900DAB">
        <w:t>6</w:t>
      </w:r>
      <w:r w:rsidR="0092196D">
        <w:t>:</w:t>
      </w:r>
      <w:r w:rsidR="00E17DC7">
        <w:tab/>
      </w:r>
      <w:r w:rsidRPr="006B42D6">
        <w:t>Percentage of Agricultural Household Members Received Second Credit by Source During 2019/20 Agricultural Year, Tanzania</w:t>
      </w:r>
      <w:bookmarkEnd w:id="842"/>
    </w:p>
    <w:p w14:paraId="2F6596FE" w14:textId="2BD55F36" w:rsidR="00A32971" w:rsidRPr="006B42D6" w:rsidRDefault="007A3EC9" w:rsidP="00A32971">
      <w:r>
        <w:rPr>
          <w:noProof/>
        </w:rPr>
        <w:drawing>
          <wp:inline distT="0" distB="0" distL="0" distR="0" wp14:anchorId="33B27475" wp14:editId="5B868383">
            <wp:extent cx="5754414" cy="2948940"/>
            <wp:effectExtent l="0" t="0" r="11430" b="10160"/>
            <wp:docPr id="2" name="Chart 2">
              <a:extLst xmlns:a="http://schemas.openxmlformats.org/drawingml/2006/main">
                <a:ext uri="{FF2B5EF4-FFF2-40B4-BE49-F238E27FC236}">
                  <a16:creationId xmlns:a16="http://schemas.microsoft.com/office/drawing/2014/main" id="{2EE4B499-2D3B-46F1-BFAE-954DBEB3B5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8"/>
              </a:graphicData>
            </a:graphic>
          </wp:inline>
        </w:drawing>
      </w:r>
    </w:p>
    <w:p w14:paraId="675E5DEC" w14:textId="77777777" w:rsidR="00A32971" w:rsidRPr="006B42D6" w:rsidRDefault="00A32971" w:rsidP="00A32971">
      <w:pPr>
        <w:rPr>
          <w:b/>
          <w:bCs/>
        </w:rPr>
      </w:pPr>
    </w:p>
    <w:p w14:paraId="2A4603CC" w14:textId="55BAB602" w:rsidR="00A32971" w:rsidRPr="006B42D6" w:rsidRDefault="00612C4E" w:rsidP="00A32971">
      <w:pPr>
        <w:pStyle w:val="Heading3"/>
      </w:pPr>
      <w:bookmarkStart w:id="843" w:name="_Toc82385790"/>
      <w:r w:rsidRPr="006B42D6">
        <w:t>5.</w:t>
      </w:r>
      <w:r w:rsidR="00AC6872">
        <w:t>2</w:t>
      </w:r>
      <w:r w:rsidR="004C3D43">
        <w:t>.</w:t>
      </w:r>
      <w:r w:rsidR="00224B51">
        <w:t>2</w:t>
      </w:r>
      <w:r w:rsidR="00A32971" w:rsidRPr="006B42D6">
        <w:tab/>
        <w:t>Uses of Credits</w:t>
      </w:r>
      <w:bookmarkEnd w:id="843"/>
    </w:p>
    <w:p w14:paraId="5B0C7383" w14:textId="77777777" w:rsidR="00A32971" w:rsidRPr="006B42D6" w:rsidRDefault="00A32971" w:rsidP="00A32971">
      <w:r w:rsidRPr="006B42D6">
        <w:t>In Tanzania, majority of household members (142,809; 23.1 percent) reported to spend credits in paying labour for agricultural activities, followed by 136,650 members (22.1 percent) who spent in seeds and 125,505 members (20.3 percent) who spent in fertilizers. Nevertheless, few household members (268; 0.04 percent) spent their credit for fish farming activities.</w:t>
      </w:r>
    </w:p>
    <w:p w14:paraId="07B85098" w14:textId="77777777" w:rsidR="00A32971" w:rsidRPr="006B42D6" w:rsidRDefault="00A32971" w:rsidP="00565D92">
      <w:pPr>
        <w:spacing w:line="240" w:lineRule="auto"/>
      </w:pPr>
    </w:p>
    <w:p w14:paraId="44F88F31" w14:textId="7D214610" w:rsidR="00A32971" w:rsidRPr="006B42D6" w:rsidRDefault="00A32971" w:rsidP="00A32971">
      <w:pPr>
        <w:rPr>
          <w:strike/>
        </w:rPr>
      </w:pPr>
      <w:r w:rsidRPr="006B42D6">
        <w:t xml:space="preserve">In </w:t>
      </w:r>
      <w:r w:rsidR="00EA1552">
        <w:t>Mainland Tanzania</w:t>
      </w:r>
      <w:r w:rsidRPr="006B42D6">
        <w:t xml:space="preserve">, majority of household members (140,743; 23.1 percent) reported to spend credits in paying labour for agricultural activities. Tabora region had the highest number (12,012 members; 8.5 percent) as compared to other regions, while, Tanga region had the least (801 members; 0.6 percent). A total of 134,669 household members (22.8 percent) reported to spent their credits in seeds, of which, Tabora region had the highest number (20,057 members; 14.9 percent), while Tanga region had least members (526; 0.4 </w:t>
      </w:r>
      <w:r w:rsidRPr="006B42D6">
        <w:lastRenderedPageBreak/>
        <w:t>percent). Furthermore, 124,025 household members (20.4 percent) reported to spend credits on fertilizer, of which, Mbeya region had the highest number (20,833 members; 16.8 percent), while Tanga region had least members (156; 0.1 percent).</w:t>
      </w:r>
    </w:p>
    <w:p w14:paraId="0E9A1894" w14:textId="77777777" w:rsidR="00A32971" w:rsidRPr="006B42D6" w:rsidRDefault="00A32971" w:rsidP="00565D92">
      <w:pPr>
        <w:spacing w:line="240" w:lineRule="auto"/>
      </w:pPr>
    </w:p>
    <w:p w14:paraId="48ADAE12" w14:textId="47671097" w:rsidR="00A32971" w:rsidRDefault="00A32971" w:rsidP="00A32971">
      <w:r w:rsidRPr="006B42D6">
        <w:t xml:space="preserve">In </w:t>
      </w:r>
      <w:r w:rsidR="00EA1552">
        <w:t>Tanzania</w:t>
      </w:r>
      <w:r w:rsidR="005F683D">
        <w:t xml:space="preserve"> Zanzibar</w:t>
      </w:r>
      <w:r w:rsidRPr="006B42D6">
        <w:t>, majority of household members (2,066; 20.8 percent) reported to spend credits in paying labour for agricultural activities. Kusini Unguja region had the highest number (1,052 members; 50.9 percent) as compared to other regions, while, Kaskazini Unguja region had the least (147 members; 7.1 percent). A total of 1,981 household members (19.9 percent) reported to spent their credits in seeds, of which, Kusini Unguja region had the highest number (712 members;</w:t>
      </w:r>
      <w:r w:rsidR="007F1E1C">
        <w:t xml:space="preserve"> </w:t>
      </w:r>
      <w:r w:rsidRPr="006B42D6">
        <w:t xml:space="preserve">35.9 percent), while Kusini Pemba region had least members (101; 5.1 percent). Furthermore, 1,873 household members (18.8 percent) reported to spend credits on agro chemicals, of which Kusini Unguja region had the highest number (604 members; 32.2 percent), while Kaskazini Pemba region had least members (97; 5.2 percent) (Table </w:t>
      </w:r>
      <w:r w:rsidR="00612C4E" w:rsidRPr="006B42D6">
        <w:t>5.</w:t>
      </w:r>
      <w:r w:rsidR="00565D92">
        <w:t>3</w:t>
      </w:r>
      <w:r w:rsidRPr="006B42D6">
        <w:t>).</w:t>
      </w:r>
    </w:p>
    <w:p w14:paraId="32F83B2F" w14:textId="0C36B1AF" w:rsidR="0079074C" w:rsidRDefault="0079074C">
      <w:pPr>
        <w:spacing w:line="240" w:lineRule="auto"/>
        <w:contextualSpacing w:val="0"/>
        <w:jc w:val="left"/>
      </w:pPr>
      <w:r>
        <w:br w:type="page"/>
      </w:r>
    </w:p>
    <w:p w14:paraId="2C42C22F" w14:textId="736534F2" w:rsidR="00A32971" w:rsidRPr="006B42D6" w:rsidRDefault="00A32971" w:rsidP="007200F6">
      <w:pPr>
        <w:pStyle w:val="Heading7"/>
      </w:pPr>
      <w:bookmarkStart w:id="844" w:name="_Toc82386233"/>
      <w:r w:rsidRPr="006B42D6">
        <w:lastRenderedPageBreak/>
        <w:t xml:space="preserve">Table </w:t>
      </w:r>
      <w:r w:rsidR="00612C4E" w:rsidRPr="006B42D6">
        <w:t>5.</w:t>
      </w:r>
      <w:r w:rsidR="00565D92">
        <w:t>3</w:t>
      </w:r>
      <w:r w:rsidR="00257DF7">
        <w:tab/>
      </w:r>
      <w:r w:rsidRPr="006B42D6">
        <w:t>Percentage of Agricu</w:t>
      </w:r>
      <w:r w:rsidR="008B7534" w:rsidRPr="006B42D6">
        <w:t xml:space="preserve">ltural Household Members Reported </w:t>
      </w:r>
      <w:r w:rsidRPr="006B42D6">
        <w:t xml:space="preserve">the Use of Credit by Region During </w:t>
      </w:r>
      <w:r w:rsidR="008B7534" w:rsidRPr="006B42D6">
        <w:t>2</w:t>
      </w:r>
      <w:r w:rsidRPr="006B42D6">
        <w:t>019/20 Agricultural Year, Tanzania</w:t>
      </w:r>
      <w:bookmarkEnd w:id="844"/>
    </w:p>
    <w:tbl>
      <w:tblPr>
        <w:tblW w:w="5362" w:type="pct"/>
        <w:tblLayout w:type="fixed"/>
        <w:tblLook w:val="04A0" w:firstRow="1" w:lastRow="0" w:firstColumn="1" w:lastColumn="0" w:noHBand="0" w:noVBand="1"/>
      </w:tblPr>
      <w:tblGrid>
        <w:gridCol w:w="1808"/>
        <w:gridCol w:w="733"/>
        <w:gridCol w:w="642"/>
        <w:gridCol w:w="967"/>
        <w:gridCol w:w="961"/>
        <w:gridCol w:w="1018"/>
        <w:gridCol w:w="872"/>
        <w:gridCol w:w="723"/>
        <w:gridCol w:w="723"/>
        <w:gridCol w:w="854"/>
        <w:gridCol w:w="604"/>
      </w:tblGrid>
      <w:tr w:rsidR="006B42D6" w:rsidRPr="006B42D6" w14:paraId="7F080A3C" w14:textId="77777777" w:rsidTr="0079074C">
        <w:trPr>
          <w:trHeight w:val="57"/>
        </w:trPr>
        <w:tc>
          <w:tcPr>
            <w:tcW w:w="913" w:type="pct"/>
            <w:vMerge w:val="restart"/>
            <w:tcBorders>
              <w:top w:val="single" w:sz="4" w:space="0" w:color="auto"/>
              <w:left w:val="nil"/>
              <w:bottom w:val="single" w:sz="4" w:space="0" w:color="auto"/>
              <w:right w:val="nil"/>
            </w:tcBorders>
            <w:shd w:val="clear" w:color="auto" w:fill="E2EFD9" w:themeFill="accent6" w:themeFillTint="33"/>
            <w:vAlign w:val="center"/>
            <w:hideMark/>
          </w:tcPr>
          <w:p w14:paraId="18203CE6" w14:textId="77777777" w:rsidR="00A32971" w:rsidRPr="0079074C" w:rsidRDefault="00A32971" w:rsidP="00AF7CD1">
            <w:pPr>
              <w:rPr>
                <w:sz w:val="16"/>
                <w:szCs w:val="16"/>
              </w:rPr>
            </w:pPr>
            <w:r w:rsidRPr="0079074C">
              <w:rPr>
                <w:sz w:val="16"/>
                <w:szCs w:val="16"/>
              </w:rPr>
              <w:t>Region</w:t>
            </w:r>
          </w:p>
        </w:tc>
        <w:tc>
          <w:tcPr>
            <w:tcW w:w="4087" w:type="pct"/>
            <w:gridSpan w:val="10"/>
            <w:tcBorders>
              <w:top w:val="single" w:sz="4" w:space="0" w:color="auto"/>
              <w:left w:val="nil"/>
              <w:bottom w:val="single" w:sz="4" w:space="0" w:color="auto"/>
              <w:right w:val="nil"/>
            </w:tcBorders>
            <w:shd w:val="clear" w:color="auto" w:fill="E2EFD9" w:themeFill="accent6" w:themeFillTint="33"/>
            <w:vAlign w:val="center"/>
            <w:hideMark/>
          </w:tcPr>
          <w:p w14:paraId="27CD0365" w14:textId="77777777" w:rsidR="00A32971" w:rsidRPr="0079074C" w:rsidRDefault="00A32971" w:rsidP="00AF7CD1">
            <w:pPr>
              <w:jc w:val="center"/>
              <w:rPr>
                <w:sz w:val="16"/>
                <w:szCs w:val="16"/>
              </w:rPr>
            </w:pPr>
            <w:r w:rsidRPr="0079074C">
              <w:rPr>
                <w:sz w:val="16"/>
                <w:szCs w:val="16"/>
              </w:rPr>
              <w:t>Percentage Use of First Credit</w:t>
            </w:r>
          </w:p>
        </w:tc>
      </w:tr>
      <w:tr w:rsidR="006B42D6" w:rsidRPr="006B42D6" w14:paraId="21F7EA38" w14:textId="77777777" w:rsidTr="0079074C">
        <w:trPr>
          <w:trHeight w:val="57"/>
        </w:trPr>
        <w:tc>
          <w:tcPr>
            <w:tcW w:w="913" w:type="pct"/>
            <w:vMerge/>
            <w:tcBorders>
              <w:top w:val="single" w:sz="4" w:space="0" w:color="auto"/>
              <w:left w:val="nil"/>
              <w:bottom w:val="single" w:sz="4" w:space="0" w:color="auto"/>
              <w:right w:val="nil"/>
            </w:tcBorders>
            <w:shd w:val="clear" w:color="auto" w:fill="E2EFD9" w:themeFill="accent6" w:themeFillTint="33"/>
            <w:vAlign w:val="center"/>
            <w:hideMark/>
          </w:tcPr>
          <w:p w14:paraId="727DAA1D" w14:textId="77777777" w:rsidR="00A32971" w:rsidRPr="0079074C" w:rsidRDefault="00A32971" w:rsidP="00AF7CD1">
            <w:pPr>
              <w:rPr>
                <w:sz w:val="16"/>
                <w:szCs w:val="16"/>
              </w:rPr>
            </w:pPr>
          </w:p>
        </w:tc>
        <w:tc>
          <w:tcPr>
            <w:tcW w:w="370" w:type="pct"/>
            <w:tcBorders>
              <w:top w:val="nil"/>
              <w:left w:val="nil"/>
              <w:bottom w:val="single" w:sz="4" w:space="0" w:color="auto"/>
              <w:right w:val="nil"/>
            </w:tcBorders>
            <w:shd w:val="clear" w:color="auto" w:fill="E2EFD9" w:themeFill="accent6" w:themeFillTint="33"/>
            <w:vAlign w:val="center"/>
            <w:hideMark/>
          </w:tcPr>
          <w:p w14:paraId="59F4005D" w14:textId="77777777" w:rsidR="00A32971" w:rsidRPr="0079074C" w:rsidRDefault="00A32971" w:rsidP="00AF7CD1">
            <w:pPr>
              <w:rPr>
                <w:sz w:val="16"/>
                <w:szCs w:val="16"/>
              </w:rPr>
            </w:pPr>
            <w:r w:rsidRPr="0079074C">
              <w:rPr>
                <w:sz w:val="16"/>
                <w:szCs w:val="16"/>
              </w:rPr>
              <w:t>Labour</w:t>
            </w:r>
          </w:p>
        </w:tc>
        <w:tc>
          <w:tcPr>
            <w:tcW w:w="324" w:type="pct"/>
            <w:tcBorders>
              <w:top w:val="nil"/>
              <w:left w:val="nil"/>
              <w:bottom w:val="single" w:sz="4" w:space="0" w:color="auto"/>
              <w:right w:val="nil"/>
            </w:tcBorders>
            <w:shd w:val="clear" w:color="auto" w:fill="E2EFD9" w:themeFill="accent6" w:themeFillTint="33"/>
            <w:vAlign w:val="center"/>
            <w:hideMark/>
          </w:tcPr>
          <w:p w14:paraId="00BEC3EF" w14:textId="77777777" w:rsidR="00A32971" w:rsidRPr="0079074C" w:rsidRDefault="00A32971" w:rsidP="00AF7CD1">
            <w:pPr>
              <w:rPr>
                <w:sz w:val="16"/>
                <w:szCs w:val="16"/>
              </w:rPr>
            </w:pPr>
            <w:r w:rsidRPr="0079074C">
              <w:rPr>
                <w:sz w:val="16"/>
                <w:szCs w:val="16"/>
              </w:rPr>
              <w:t>Seeds</w:t>
            </w:r>
          </w:p>
        </w:tc>
        <w:tc>
          <w:tcPr>
            <w:tcW w:w="488" w:type="pct"/>
            <w:tcBorders>
              <w:top w:val="nil"/>
              <w:left w:val="nil"/>
              <w:bottom w:val="single" w:sz="4" w:space="0" w:color="auto"/>
              <w:right w:val="nil"/>
            </w:tcBorders>
            <w:shd w:val="clear" w:color="auto" w:fill="E2EFD9" w:themeFill="accent6" w:themeFillTint="33"/>
            <w:vAlign w:val="center"/>
            <w:hideMark/>
          </w:tcPr>
          <w:p w14:paraId="316F5AA0" w14:textId="77777777" w:rsidR="00A32971" w:rsidRPr="0079074C" w:rsidRDefault="00A32971" w:rsidP="00AF7CD1">
            <w:pPr>
              <w:rPr>
                <w:sz w:val="16"/>
                <w:szCs w:val="16"/>
              </w:rPr>
            </w:pPr>
            <w:r w:rsidRPr="0079074C">
              <w:rPr>
                <w:sz w:val="16"/>
                <w:szCs w:val="16"/>
              </w:rPr>
              <w:t>Fertilizers</w:t>
            </w:r>
          </w:p>
        </w:tc>
        <w:tc>
          <w:tcPr>
            <w:tcW w:w="485" w:type="pct"/>
            <w:tcBorders>
              <w:top w:val="nil"/>
              <w:left w:val="nil"/>
              <w:bottom w:val="single" w:sz="4" w:space="0" w:color="auto"/>
              <w:right w:val="nil"/>
            </w:tcBorders>
            <w:shd w:val="clear" w:color="auto" w:fill="E2EFD9" w:themeFill="accent6" w:themeFillTint="33"/>
            <w:vAlign w:val="center"/>
            <w:hideMark/>
          </w:tcPr>
          <w:p w14:paraId="17F48BD0" w14:textId="77777777" w:rsidR="00A32971" w:rsidRPr="0079074C" w:rsidRDefault="00A32971" w:rsidP="00AF7CD1">
            <w:pPr>
              <w:rPr>
                <w:sz w:val="16"/>
                <w:szCs w:val="16"/>
              </w:rPr>
            </w:pPr>
            <w:r w:rsidRPr="0079074C">
              <w:rPr>
                <w:sz w:val="16"/>
                <w:szCs w:val="16"/>
              </w:rPr>
              <w:t>Agro-chemicals</w:t>
            </w:r>
          </w:p>
        </w:tc>
        <w:tc>
          <w:tcPr>
            <w:tcW w:w="514" w:type="pct"/>
            <w:tcBorders>
              <w:top w:val="nil"/>
              <w:left w:val="nil"/>
              <w:bottom w:val="single" w:sz="4" w:space="0" w:color="auto"/>
              <w:right w:val="nil"/>
            </w:tcBorders>
            <w:shd w:val="clear" w:color="auto" w:fill="E2EFD9" w:themeFill="accent6" w:themeFillTint="33"/>
            <w:vAlign w:val="center"/>
            <w:hideMark/>
          </w:tcPr>
          <w:p w14:paraId="6A765AA9" w14:textId="77777777" w:rsidR="00E17DC7" w:rsidRPr="0079074C" w:rsidRDefault="00A32971" w:rsidP="00AF7CD1">
            <w:pPr>
              <w:rPr>
                <w:sz w:val="16"/>
                <w:szCs w:val="16"/>
              </w:rPr>
            </w:pPr>
            <w:r w:rsidRPr="0079074C">
              <w:rPr>
                <w:sz w:val="16"/>
                <w:szCs w:val="16"/>
              </w:rPr>
              <w:t>Tools/</w:t>
            </w:r>
          </w:p>
          <w:p w14:paraId="1BA467D2" w14:textId="73785589" w:rsidR="00A32971" w:rsidRPr="0079074C" w:rsidRDefault="00A32971" w:rsidP="00AF7CD1">
            <w:pPr>
              <w:rPr>
                <w:sz w:val="16"/>
                <w:szCs w:val="16"/>
              </w:rPr>
            </w:pPr>
            <w:r w:rsidRPr="0079074C">
              <w:rPr>
                <w:sz w:val="16"/>
                <w:szCs w:val="16"/>
              </w:rPr>
              <w:t>Equipment</w:t>
            </w:r>
          </w:p>
        </w:tc>
        <w:tc>
          <w:tcPr>
            <w:tcW w:w="440" w:type="pct"/>
            <w:tcBorders>
              <w:top w:val="nil"/>
              <w:left w:val="nil"/>
              <w:bottom w:val="single" w:sz="4" w:space="0" w:color="auto"/>
              <w:right w:val="nil"/>
            </w:tcBorders>
            <w:shd w:val="clear" w:color="auto" w:fill="E2EFD9" w:themeFill="accent6" w:themeFillTint="33"/>
            <w:vAlign w:val="center"/>
            <w:hideMark/>
          </w:tcPr>
          <w:p w14:paraId="0D2F966E" w14:textId="77777777" w:rsidR="00A32971" w:rsidRPr="0079074C" w:rsidRDefault="00A32971" w:rsidP="00AF7CD1">
            <w:pPr>
              <w:rPr>
                <w:sz w:val="16"/>
                <w:szCs w:val="16"/>
              </w:rPr>
            </w:pPr>
            <w:r w:rsidRPr="0079074C">
              <w:rPr>
                <w:sz w:val="16"/>
                <w:szCs w:val="16"/>
              </w:rPr>
              <w:t>Irrigation Structures</w:t>
            </w:r>
          </w:p>
        </w:tc>
        <w:tc>
          <w:tcPr>
            <w:tcW w:w="365" w:type="pct"/>
            <w:tcBorders>
              <w:top w:val="nil"/>
              <w:left w:val="nil"/>
              <w:bottom w:val="single" w:sz="4" w:space="0" w:color="auto"/>
              <w:right w:val="nil"/>
            </w:tcBorders>
            <w:shd w:val="clear" w:color="auto" w:fill="E2EFD9" w:themeFill="accent6" w:themeFillTint="33"/>
            <w:vAlign w:val="center"/>
            <w:hideMark/>
          </w:tcPr>
          <w:p w14:paraId="75AABF74" w14:textId="77777777" w:rsidR="00A32971" w:rsidRPr="0079074C" w:rsidRDefault="00A32971" w:rsidP="00AF7CD1">
            <w:pPr>
              <w:rPr>
                <w:sz w:val="16"/>
                <w:szCs w:val="16"/>
              </w:rPr>
            </w:pPr>
            <w:r w:rsidRPr="0079074C">
              <w:rPr>
                <w:sz w:val="16"/>
                <w:szCs w:val="16"/>
              </w:rPr>
              <w:t>Fish farming</w:t>
            </w:r>
          </w:p>
        </w:tc>
        <w:tc>
          <w:tcPr>
            <w:tcW w:w="365" w:type="pct"/>
            <w:tcBorders>
              <w:top w:val="nil"/>
              <w:left w:val="nil"/>
              <w:bottom w:val="single" w:sz="4" w:space="0" w:color="auto"/>
              <w:right w:val="nil"/>
            </w:tcBorders>
            <w:shd w:val="clear" w:color="auto" w:fill="E2EFD9" w:themeFill="accent6" w:themeFillTint="33"/>
            <w:vAlign w:val="center"/>
            <w:hideMark/>
          </w:tcPr>
          <w:p w14:paraId="327FC442" w14:textId="77777777" w:rsidR="00A32971" w:rsidRPr="0079074C" w:rsidRDefault="00A32971" w:rsidP="00AF7CD1">
            <w:pPr>
              <w:rPr>
                <w:sz w:val="16"/>
                <w:szCs w:val="16"/>
              </w:rPr>
            </w:pPr>
            <w:r w:rsidRPr="0079074C">
              <w:rPr>
                <w:sz w:val="16"/>
                <w:szCs w:val="16"/>
              </w:rPr>
              <w:t>Bee keeping</w:t>
            </w:r>
          </w:p>
        </w:tc>
        <w:tc>
          <w:tcPr>
            <w:tcW w:w="431" w:type="pct"/>
            <w:tcBorders>
              <w:top w:val="nil"/>
              <w:left w:val="nil"/>
              <w:bottom w:val="single" w:sz="4" w:space="0" w:color="auto"/>
              <w:right w:val="nil"/>
            </w:tcBorders>
            <w:shd w:val="clear" w:color="auto" w:fill="E2EFD9" w:themeFill="accent6" w:themeFillTint="33"/>
            <w:vAlign w:val="center"/>
            <w:hideMark/>
          </w:tcPr>
          <w:p w14:paraId="6A98E4A0" w14:textId="77777777" w:rsidR="00A32971" w:rsidRPr="0079074C" w:rsidRDefault="00A32971" w:rsidP="00AF7CD1">
            <w:pPr>
              <w:rPr>
                <w:sz w:val="16"/>
                <w:szCs w:val="16"/>
              </w:rPr>
            </w:pPr>
            <w:r w:rsidRPr="0079074C">
              <w:rPr>
                <w:sz w:val="16"/>
                <w:szCs w:val="16"/>
              </w:rPr>
              <w:t>Livestock</w:t>
            </w:r>
          </w:p>
        </w:tc>
        <w:tc>
          <w:tcPr>
            <w:tcW w:w="305" w:type="pct"/>
            <w:tcBorders>
              <w:top w:val="nil"/>
              <w:left w:val="nil"/>
              <w:bottom w:val="single" w:sz="4" w:space="0" w:color="auto"/>
              <w:right w:val="nil"/>
            </w:tcBorders>
            <w:shd w:val="clear" w:color="auto" w:fill="E2EFD9" w:themeFill="accent6" w:themeFillTint="33"/>
            <w:vAlign w:val="center"/>
            <w:hideMark/>
          </w:tcPr>
          <w:p w14:paraId="0687C75D" w14:textId="77777777" w:rsidR="00A32971" w:rsidRPr="0079074C" w:rsidRDefault="00A32971" w:rsidP="00AF7CD1">
            <w:pPr>
              <w:rPr>
                <w:sz w:val="16"/>
                <w:szCs w:val="16"/>
              </w:rPr>
            </w:pPr>
            <w:r w:rsidRPr="0079074C">
              <w:rPr>
                <w:sz w:val="16"/>
                <w:szCs w:val="16"/>
              </w:rPr>
              <w:t>Other</w:t>
            </w:r>
          </w:p>
        </w:tc>
      </w:tr>
      <w:tr w:rsidR="006B42D6" w:rsidRPr="006B42D6" w14:paraId="5BCFC636" w14:textId="77777777" w:rsidTr="0079074C">
        <w:trPr>
          <w:trHeight w:val="306"/>
        </w:trPr>
        <w:tc>
          <w:tcPr>
            <w:tcW w:w="913" w:type="pct"/>
            <w:tcBorders>
              <w:top w:val="nil"/>
              <w:left w:val="nil"/>
              <w:bottom w:val="nil"/>
              <w:right w:val="nil"/>
            </w:tcBorders>
            <w:shd w:val="clear" w:color="auto" w:fill="auto"/>
            <w:noWrap/>
            <w:vAlign w:val="center"/>
            <w:hideMark/>
          </w:tcPr>
          <w:p w14:paraId="3EE118FF" w14:textId="77777777" w:rsidR="00A32971" w:rsidRPr="0079074C" w:rsidRDefault="00A32971" w:rsidP="00AF7CD1">
            <w:pPr>
              <w:rPr>
                <w:sz w:val="16"/>
                <w:szCs w:val="16"/>
              </w:rPr>
            </w:pPr>
            <w:r w:rsidRPr="0079074C">
              <w:rPr>
                <w:sz w:val="16"/>
                <w:szCs w:val="16"/>
              </w:rPr>
              <w:t>Dodoma</w:t>
            </w:r>
          </w:p>
        </w:tc>
        <w:tc>
          <w:tcPr>
            <w:tcW w:w="370" w:type="pct"/>
            <w:tcBorders>
              <w:top w:val="nil"/>
              <w:left w:val="nil"/>
              <w:bottom w:val="nil"/>
              <w:right w:val="nil"/>
            </w:tcBorders>
            <w:shd w:val="clear" w:color="auto" w:fill="auto"/>
            <w:noWrap/>
            <w:vAlign w:val="center"/>
            <w:hideMark/>
          </w:tcPr>
          <w:p w14:paraId="5C88C062" w14:textId="77777777" w:rsidR="00A32971" w:rsidRPr="0079074C" w:rsidRDefault="00A32971" w:rsidP="00AF7CD1">
            <w:pPr>
              <w:jc w:val="right"/>
              <w:rPr>
                <w:sz w:val="16"/>
                <w:szCs w:val="16"/>
              </w:rPr>
            </w:pPr>
            <w:r w:rsidRPr="0079074C">
              <w:rPr>
                <w:sz w:val="16"/>
                <w:szCs w:val="16"/>
              </w:rPr>
              <w:t>3.2</w:t>
            </w:r>
          </w:p>
        </w:tc>
        <w:tc>
          <w:tcPr>
            <w:tcW w:w="324" w:type="pct"/>
            <w:tcBorders>
              <w:top w:val="nil"/>
              <w:left w:val="nil"/>
              <w:bottom w:val="nil"/>
              <w:right w:val="nil"/>
            </w:tcBorders>
            <w:shd w:val="clear" w:color="auto" w:fill="auto"/>
            <w:noWrap/>
            <w:vAlign w:val="center"/>
            <w:hideMark/>
          </w:tcPr>
          <w:p w14:paraId="05494FF7" w14:textId="77777777" w:rsidR="00A32971" w:rsidRPr="0079074C" w:rsidRDefault="00A32971" w:rsidP="00AF7CD1">
            <w:pPr>
              <w:jc w:val="right"/>
              <w:rPr>
                <w:sz w:val="16"/>
                <w:szCs w:val="16"/>
              </w:rPr>
            </w:pPr>
            <w:r w:rsidRPr="0079074C">
              <w:rPr>
                <w:sz w:val="16"/>
                <w:szCs w:val="16"/>
              </w:rPr>
              <w:t>3.8</w:t>
            </w:r>
          </w:p>
        </w:tc>
        <w:tc>
          <w:tcPr>
            <w:tcW w:w="488" w:type="pct"/>
            <w:tcBorders>
              <w:top w:val="nil"/>
              <w:left w:val="nil"/>
              <w:bottom w:val="nil"/>
              <w:right w:val="nil"/>
            </w:tcBorders>
            <w:shd w:val="clear" w:color="auto" w:fill="auto"/>
            <w:noWrap/>
            <w:vAlign w:val="center"/>
            <w:hideMark/>
          </w:tcPr>
          <w:p w14:paraId="688D5A78" w14:textId="77777777" w:rsidR="00A32971" w:rsidRPr="0079074C" w:rsidRDefault="00A32971" w:rsidP="00AF7CD1">
            <w:pPr>
              <w:jc w:val="right"/>
              <w:rPr>
                <w:sz w:val="16"/>
                <w:szCs w:val="16"/>
              </w:rPr>
            </w:pPr>
            <w:r w:rsidRPr="0079074C">
              <w:rPr>
                <w:sz w:val="16"/>
                <w:szCs w:val="16"/>
              </w:rPr>
              <w:t>-</w:t>
            </w:r>
          </w:p>
        </w:tc>
        <w:tc>
          <w:tcPr>
            <w:tcW w:w="485" w:type="pct"/>
            <w:tcBorders>
              <w:top w:val="nil"/>
              <w:left w:val="nil"/>
              <w:bottom w:val="nil"/>
              <w:right w:val="nil"/>
            </w:tcBorders>
            <w:shd w:val="clear" w:color="auto" w:fill="auto"/>
            <w:noWrap/>
            <w:vAlign w:val="center"/>
            <w:hideMark/>
          </w:tcPr>
          <w:p w14:paraId="11D4A016" w14:textId="77777777" w:rsidR="00A32971" w:rsidRPr="0079074C" w:rsidRDefault="00A32971" w:rsidP="00AF7CD1">
            <w:pPr>
              <w:jc w:val="right"/>
              <w:rPr>
                <w:sz w:val="16"/>
                <w:szCs w:val="16"/>
              </w:rPr>
            </w:pPr>
            <w:r w:rsidRPr="0079074C">
              <w:rPr>
                <w:sz w:val="16"/>
                <w:szCs w:val="16"/>
              </w:rPr>
              <w:t>0.6</w:t>
            </w:r>
          </w:p>
        </w:tc>
        <w:tc>
          <w:tcPr>
            <w:tcW w:w="514" w:type="pct"/>
            <w:tcBorders>
              <w:top w:val="nil"/>
              <w:left w:val="nil"/>
              <w:bottom w:val="nil"/>
              <w:right w:val="nil"/>
            </w:tcBorders>
            <w:shd w:val="clear" w:color="auto" w:fill="auto"/>
            <w:noWrap/>
            <w:vAlign w:val="center"/>
            <w:hideMark/>
          </w:tcPr>
          <w:p w14:paraId="250E3473" w14:textId="77777777" w:rsidR="00A32971" w:rsidRPr="0079074C" w:rsidRDefault="00A32971" w:rsidP="00AF7CD1">
            <w:pPr>
              <w:jc w:val="right"/>
              <w:rPr>
                <w:sz w:val="16"/>
                <w:szCs w:val="16"/>
              </w:rPr>
            </w:pPr>
            <w:r w:rsidRPr="0079074C">
              <w:rPr>
                <w:sz w:val="16"/>
                <w:szCs w:val="16"/>
              </w:rPr>
              <w:t>12.6</w:t>
            </w:r>
          </w:p>
        </w:tc>
        <w:tc>
          <w:tcPr>
            <w:tcW w:w="440" w:type="pct"/>
            <w:tcBorders>
              <w:top w:val="nil"/>
              <w:left w:val="nil"/>
              <w:bottom w:val="nil"/>
              <w:right w:val="nil"/>
            </w:tcBorders>
            <w:shd w:val="clear" w:color="auto" w:fill="auto"/>
            <w:noWrap/>
            <w:vAlign w:val="center"/>
            <w:hideMark/>
          </w:tcPr>
          <w:p w14:paraId="2CFEEC0E" w14:textId="77777777" w:rsidR="00A32971" w:rsidRPr="0079074C" w:rsidRDefault="00A32971" w:rsidP="00AF7CD1">
            <w:pPr>
              <w:jc w:val="right"/>
              <w:rPr>
                <w:sz w:val="16"/>
                <w:szCs w:val="16"/>
              </w:rPr>
            </w:pPr>
            <w:r w:rsidRPr="0079074C">
              <w:rPr>
                <w:sz w:val="16"/>
                <w:szCs w:val="16"/>
              </w:rPr>
              <w:t>-</w:t>
            </w:r>
          </w:p>
        </w:tc>
        <w:tc>
          <w:tcPr>
            <w:tcW w:w="365" w:type="pct"/>
            <w:tcBorders>
              <w:top w:val="nil"/>
              <w:left w:val="nil"/>
              <w:bottom w:val="nil"/>
              <w:right w:val="nil"/>
            </w:tcBorders>
            <w:shd w:val="clear" w:color="auto" w:fill="auto"/>
            <w:noWrap/>
            <w:vAlign w:val="center"/>
            <w:hideMark/>
          </w:tcPr>
          <w:p w14:paraId="4AB2AB7A" w14:textId="77777777" w:rsidR="00A32971" w:rsidRPr="0079074C" w:rsidRDefault="00A32971" w:rsidP="00AF7CD1">
            <w:pPr>
              <w:jc w:val="right"/>
              <w:rPr>
                <w:sz w:val="16"/>
                <w:szCs w:val="16"/>
              </w:rPr>
            </w:pPr>
            <w:r w:rsidRPr="0079074C">
              <w:rPr>
                <w:sz w:val="16"/>
                <w:szCs w:val="16"/>
              </w:rPr>
              <w:t>-</w:t>
            </w:r>
          </w:p>
        </w:tc>
        <w:tc>
          <w:tcPr>
            <w:tcW w:w="365" w:type="pct"/>
            <w:tcBorders>
              <w:top w:val="nil"/>
              <w:left w:val="nil"/>
              <w:bottom w:val="nil"/>
              <w:right w:val="nil"/>
            </w:tcBorders>
            <w:shd w:val="clear" w:color="auto" w:fill="auto"/>
            <w:noWrap/>
            <w:vAlign w:val="center"/>
            <w:hideMark/>
          </w:tcPr>
          <w:p w14:paraId="436951B8" w14:textId="77777777" w:rsidR="00A32971" w:rsidRPr="0079074C" w:rsidRDefault="00A32971" w:rsidP="00AF7CD1">
            <w:pPr>
              <w:jc w:val="right"/>
              <w:rPr>
                <w:sz w:val="16"/>
                <w:szCs w:val="16"/>
              </w:rPr>
            </w:pPr>
            <w:r w:rsidRPr="0079074C">
              <w:rPr>
                <w:sz w:val="16"/>
                <w:szCs w:val="16"/>
              </w:rPr>
              <w:t>-</w:t>
            </w:r>
          </w:p>
        </w:tc>
        <w:tc>
          <w:tcPr>
            <w:tcW w:w="431" w:type="pct"/>
            <w:tcBorders>
              <w:top w:val="nil"/>
              <w:left w:val="nil"/>
              <w:bottom w:val="nil"/>
              <w:right w:val="nil"/>
            </w:tcBorders>
            <w:shd w:val="clear" w:color="auto" w:fill="auto"/>
            <w:noWrap/>
            <w:vAlign w:val="center"/>
            <w:hideMark/>
          </w:tcPr>
          <w:p w14:paraId="3A70D6FC" w14:textId="77777777" w:rsidR="00A32971" w:rsidRPr="0079074C" w:rsidRDefault="00A32971" w:rsidP="00AF7CD1">
            <w:pPr>
              <w:jc w:val="right"/>
              <w:rPr>
                <w:sz w:val="16"/>
                <w:szCs w:val="16"/>
              </w:rPr>
            </w:pPr>
            <w:r w:rsidRPr="0079074C">
              <w:rPr>
                <w:sz w:val="16"/>
                <w:szCs w:val="16"/>
              </w:rPr>
              <w:t>5.7</w:t>
            </w:r>
          </w:p>
        </w:tc>
        <w:tc>
          <w:tcPr>
            <w:tcW w:w="305" w:type="pct"/>
            <w:tcBorders>
              <w:top w:val="nil"/>
              <w:left w:val="nil"/>
              <w:bottom w:val="nil"/>
              <w:right w:val="nil"/>
            </w:tcBorders>
            <w:shd w:val="clear" w:color="auto" w:fill="auto"/>
            <w:noWrap/>
            <w:vAlign w:val="center"/>
            <w:hideMark/>
          </w:tcPr>
          <w:p w14:paraId="15F464E8" w14:textId="77777777" w:rsidR="00A32971" w:rsidRPr="0079074C" w:rsidRDefault="00A32971" w:rsidP="00AF7CD1">
            <w:pPr>
              <w:jc w:val="right"/>
              <w:rPr>
                <w:sz w:val="16"/>
                <w:szCs w:val="16"/>
              </w:rPr>
            </w:pPr>
            <w:r w:rsidRPr="0079074C">
              <w:rPr>
                <w:sz w:val="16"/>
                <w:szCs w:val="16"/>
              </w:rPr>
              <w:t>5.5</w:t>
            </w:r>
          </w:p>
        </w:tc>
      </w:tr>
      <w:tr w:rsidR="006B42D6" w:rsidRPr="006B42D6" w14:paraId="2CE3F76B" w14:textId="77777777" w:rsidTr="0079074C">
        <w:trPr>
          <w:trHeight w:val="306"/>
        </w:trPr>
        <w:tc>
          <w:tcPr>
            <w:tcW w:w="913" w:type="pct"/>
            <w:tcBorders>
              <w:top w:val="nil"/>
              <w:left w:val="nil"/>
              <w:bottom w:val="nil"/>
              <w:right w:val="nil"/>
            </w:tcBorders>
            <w:shd w:val="clear" w:color="auto" w:fill="auto"/>
            <w:noWrap/>
            <w:vAlign w:val="center"/>
            <w:hideMark/>
          </w:tcPr>
          <w:p w14:paraId="4CF3ECB8" w14:textId="77777777" w:rsidR="00A32971" w:rsidRPr="0079074C" w:rsidRDefault="00A32971" w:rsidP="00AF7CD1">
            <w:pPr>
              <w:rPr>
                <w:sz w:val="16"/>
                <w:szCs w:val="16"/>
              </w:rPr>
            </w:pPr>
            <w:r w:rsidRPr="0079074C">
              <w:rPr>
                <w:sz w:val="16"/>
                <w:szCs w:val="16"/>
              </w:rPr>
              <w:t>Arusha</w:t>
            </w:r>
          </w:p>
        </w:tc>
        <w:tc>
          <w:tcPr>
            <w:tcW w:w="370" w:type="pct"/>
            <w:tcBorders>
              <w:top w:val="nil"/>
              <w:left w:val="nil"/>
              <w:bottom w:val="nil"/>
              <w:right w:val="nil"/>
            </w:tcBorders>
            <w:shd w:val="clear" w:color="auto" w:fill="auto"/>
            <w:noWrap/>
            <w:vAlign w:val="center"/>
            <w:hideMark/>
          </w:tcPr>
          <w:p w14:paraId="44CD2649" w14:textId="77777777" w:rsidR="00A32971" w:rsidRPr="0079074C" w:rsidRDefault="00A32971" w:rsidP="00AF7CD1">
            <w:pPr>
              <w:jc w:val="right"/>
              <w:rPr>
                <w:sz w:val="16"/>
                <w:szCs w:val="16"/>
              </w:rPr>
            </w:pPr>
            <w:r w:rsidRPr="0079074C">
              <w:rPr>
                <w:sz w:val="16"/>
                <w:szCs w:val="16"/>
              </w:rPr>
              <w:t>3.9</w:t>
            </w:r>
          </w:p>
        </w:tc>
        <w:tc>
          <w:tcPr>
            <w:tcW w:w="324" w:type="pct"/>
            <w:tcBorders>
              <w:top w:val="nil"/>
              <w:left w:val="nil"/>
              <w:bottom w:val="nil"/>
              <w:right w:val="nil"/>
            </w:tcBorders>
            <w:shd w:val="clear" w:color="auto" w:fill="auto"/>
            <w:noWrap/>
            <w:vAlign w:val="center"/>
            <w:hideMark/>
          </w:tcPr>
          <w:p w14:paraId="0D429763" w14:textId="77777777" w:rsidR="00A32971" w:rsidRPr="0079074C" w:rsidRDefault="00A32971" w:rsidP="00AF7CD1">
            <w:pPr>
              <w:jc w:val="right"/>
              <w:rPr>
                <w:sz w:val="16"/>
                <w:szCs w:val="16"/>
              </w:rPr>
            </w:pPr>
            <w:r w:rsidRPr="0079074C">
              <w:rPr>
                <w:sz w:val="16"/>
                <w:szCs w:val="16"/>
              </w:rPr>
              <w:t>3.7</w:t>
            </w:r>
          </w:p>
        </w:tc>
        <w:tc>
          <w:tcPr>
            <w:tcW w:w="488" w:type="pct"/>
            <w:tcBorders>
              <w:top w:val="nil"/>
              <w:left w:val="nil"/>
              <w:bottom w:val="nil"/>
              <w:right w:val="nil"/>
            </w:tcBorders>
            <w:shd w:val="clear" w:color="auto" w:fill="auto"/>
            <w:noWrap/>
            <w:vAlign w:val="center"/>
            <w:hideMark/>
          </w:tcPr>
          <w:p w14:paraId="4EB674C6" w14:textId="77777777" w:rsidR="00A32971" w:rsidRPr="0079074C" w:rsidRDefault="00A32971" w:rsidP="00AF7CD1">
            <w:pPr>
              <w:jc w:val="right"/>
              <w:rPr>
                <w:sz w:val="16"/>
                <w:szCs w:val="16"/>
              </w:rPr>
            </w:pPr>
            <w:r w:rsidRPr="0079074C">
              <w:rPr>
                <w:sz w:val="16"/>
                <w:szCs w:val="16"/>
              </w:rPr>
              <w:t>1.8</w:t>
            </w:r>
          </w:p>
        </w:tc>
        <w:tc>
          <w:tcPr>
            <w:tcW w:w="485" w:type="pct"/>
            <w:tcBorders>
              <w:top w:val="nil"/>
              <w:left w:val="nil"/>
              <w:bottom w:val="nil"/>
              <w:right w:val="nil"/>
            </w:tcBorders>
            <w:shd w:val="clear" w:color="auto" w:fill="auto"/>
            <w:noWrap/>
            <w:vAlign w:val="center"/>
            <w:hideMark/>
          </w:tcPr>
          <w:p w14:paraId="48AAB888" w14:textId="77777777" w:rsidR="00A32971" w:rsidRPr="0079074C" w:rsidRDefault="00A32971" w:rsidP="00AF7CD1">
            <w:pPr>
              <w:jc w:val="right"/>
              <w:rPr>
                <w:sz w:val="16"/>
                <w:szCs w:val="16"/>
              </w:rPr>
            </w:pPr>
            <w:r w:rsidRPr="0079074C">
              <w:rPr>
                <w:sz w:val="16"/>
                <w:szCs w:val="16"/>
              </w:rPr>
              <w:t>2.7</w:t>
            </w:r>
          </w:p>
        </w:tc>
        <w:tc>
          <w:tcPr>
            <w:tcW w:w="514" w:type="pct"/>
            <w:tcBorders>
              <w:top w:val="nil"/>
              <w:left w:val="nil"/>
              <w:bottom w:val="nil"/>
              <w:right w:val="nil"/>
            </w:tcBorders>
            <w:shd w:val="clear" w:color="auto" w:fill="auto"/>
            <w:noWrap/>
            <w:vAlign w:val="center"/>
            <w:hideMark/>
          </w:tcPr>
          <w:p w14:paraId="587602C3" w14:textId="77777777" w:rsidR="00A32971" w:rsidRPr="0079074C" w:rsidRDefault="00A32971" w:rsidP="00AF7CD1">
            <w:pPr>
              <w:jc w:val="right"/>
              <w:rPr>
                <w:sz w:val="16"/>
                <w:szCs w:val="16"/>
              </w:rPr>
            </w:pPr>
            <w:r w:rsidRPr="0079074C">
              <w:rPr>
                <w:sz w:val="16"/>
                <w:szCs w:val="16"/>
              </w:rPr>
              <w:t>4.3</w:t>
            </w:r>
          </w:p>
        </w:tc>
        <w:tc>
          <w:tcPr>
            <w:tcW w:w="440" w:type="pct"/>
            <w:tcBorders>
              <w:top w:val="nil"/>
              <w:left w:val="nil"/>
              <w:bottom w:val="nil"/>
              <w:right w:val="nil"/>
            </w:tcBorders>
            <w:shd w:val="clear" w:color="auto" w:fill="auto"/>
            <w:noWrap/>
            <w:vAlign w:val="center"/>
            <w:hideMark/>
          </w:tcPr>
          <w:p w14:paraId="4254C603" w14:textId="77777777" w:rsidR="00A32971" w:rsidRPr="0079074C" w:rsidRDefault="00A32971" w:rsidP="00AF7CD1">
            <w:pPr>
              <w:jc w:val="right"/>
              <w:rPr>
                <w:sz w:val="16"/>
                <w:szCs w:val="16"/>
              </w:rPr>
            </w:pPr>
            <w:r w:rsidRPr="0079074C">
              <w:rPr>
                <w:sz w:val="16"/>
                <w:szCs w:val="16"/>
              </w:rPr>
              <w:t>13.5</w:t>
            </w:r>
          </w:p>
        </w:tc>
        <w:tc>
          <w:tcPr>
            <w:tcW w:w="365" w:type="pct"/>
            <w:tcBorders>
              <w:top w:val="nil"/>
              <w:left w:val="nil"/>
              <w:bottom w:val="nil"/>
              <w:right w:val="nil"/>
            </w:tcBorders>
            <w:shd w:val="clear" w:color="auto" w:fill="auto"/>
            <w:noWrap/>
            <w:vAlign w:val="center"/>
            <w:hideMark/>
          </w:tcPr>
          <w:p w14:paraId="493D2C64" w14:textId="77777777" w:rsidR="00A32971" w:rsidRPr="0079074C" w:rsidRDefault="00A32971" w:rsidP="00AF7CD1">
            <w:pPr>
              <w:jc w:val="right"/>
              <w:rPr>
                <w:sz w:val="16"/>
                <w:szCs w:val="16"/>
              </w:rPr>
            </w:pPr>
            <w:r w:rsidRPr="0079074C">
              <w:rPr>
                <w:sz w:val="16"/>
                <w:szCs w:val="16"/>
              </w:rPr>
              <w:t>-</w:t>
            </w:r>
          </w:p>
        </w:tc>
        <w:tc>
          <w:tcPr>
            <w:tcW w:w="365" w:type="pct"/>
            <w:tcBorders>
              <w:top w:val="nil"/>
              <w:left w:val="nil"/>
              <w:bottom w:val="nil"/>
              <w:right w:val="nil"/>
            </w:tcBorders>
            <w:shd w:val="clear" w:color="auto" w:fill="auto"/>
            <w:noWrap/>
            <w:vAlign w:val="center"/>
            <w:hideMark/>
          </w:tcPr>
          <w:p w14:paraId="4ADCE739" w14:textId="77777777" w:rsidR="00A32971" w:rsidRPr="0079074C" w:rsidRDefault="00A32971" w:rsidP="00AF7CD1">
            <w:pPr>
              <w:jc w:val="right"/>
              <w:rPr>
                <w:sz w:val="16"/>
                <w:szCs w:val="16"/>
              </w:rPr>
            </w:pPr>
            <w:r w:rsidRPr="0079074C">
              <w:rPr>
                <w:sz w:val="16"/>
                <w:szCs w:val="16"/>
              </w:rPr>
              <w:t>-</w:t>
            </w:r>
          </w:p>
        </w:tc>
        <w:tc>
          <w:tcPr>
            <w:tcW w:w="431" w:type="pct"/>
            <w:tcBorders>
              <w:top w:val="nil"/>
              <w:left w:val="nil"/>
              <w:bottom w:val="nil"/>
              <w:right w:val="nil"/>
            </w:tcBorders>
            <w:shd w:val="clear" w:color="auto" w:fill="auto"/>
            <w:noWrap/>
            <w:vAlign w:val="center"/>
            <w:hideMark/>
          </w:tcPr>
          <w:p w14:paraId="179F48F5" w14:textId="606F0F8E" w:rsidR="00A32971" w:rsidRPr="0079074C" w:rsidRDefault="00A32971" w:rsidP="00AF7CD1">
            <w:pPr>
              <w:jc w:val="right"/>
              <w:rPr>
                <w:sz w:val="16"/>
                <w:szCs w:val="16"/>
              </w:rPr>
            </w:pPr>
            <w:r w:rsidRPr="0079074C">
              <w:rPr>
                <w:sz w:val="16"/>
                <w:szCs w:val="16"/>
              </w:rPr>
              <w:t>9</w:t>
            </w:r>
            <w:r w:rsidR="00272901" w:rsidRPr="0079074C">
              <w:rPr>
                <w:sz w:val="16"/>
                <w:szCs w:val="16"/>
              </w:rPr>
              <w:t>.0</w:t>
            </w:r>
          </w:p>
        </w:tc>
        <w:tc>
          <w:tcPr>
            <w:tcW w:w="305" w:type="pct"/>
            <w:tcBorders>
              <w:top w:val="nil"/>
              <w:left w:val="nil"/>
              <w:bottom w:val="nil"/>
              <w:right w:val="nil"/>
            </w:tcBorders>
            <w:shd w:val="clear" w:color="auto" w:fill="auto"/>
            <w:noWrap/>
            <w:vAlign w:val="center"/>
            <w:hideMark/>
          </w:tcPr>
          <w:p w14:paraId="54BE8AE9" w14:textId="77777777" w:rsidR="00A32971" w:rsidRPr="0079074C" w:rsidRDefault="00A32971" w:rsidP="00AF7CD1">
            <w:pPr>
              <w:jc w:val="right"/>
              <w:rPr>
                <w:sz w:val="16"/>
                <w:szCs w:val="16"/>
              </w:rPr>
            </w:pPr>
            <w:r w:rsidRPr="0079074C">
              <w:rPr>
                <w:sz w:val="16"/>
                <w:szCs w:val="16"/>
              </w:rPr>
              <w:t>2.1</w:t>
            </w:r>
          </w:p>
        </w:tc>
      </w:tr>
      <w:tr w:rsidR="006B42D6" w:rsidRPr="006B42D6" w14:paraId="731AF045" w14:textId="77777777" w:rsidTr="0079074C">
        <w:trPr>
          <w:trHeight w:val="306"/>
        </w:trPr>
        <w:tc>
          <w:tcPr>
            <w:tcW w:w="913" w:type="pct"/>
            <w:tcBorders>
              <w:top w:val="nil"/>
              <w:left w:val="nil"/>
              <w:bottom w:val="nil"/>
              <w:right w:val="nil"/>
            </w:tcBorders>
            <w:shd w:val="clear" w:color="auto" w:fill="auto"/>
            <w:noWrap/>
            <w:vAlign w:val="center"/>
            <w:hideMark/>
          </w:tcPr>
          <w:p w14:paraId="4097977E" w14:textId="77777777" w:rsidR="00A32971" w:rsidRPr="0079074C" w:rsidRDefault="00A32971" w:rsidP="00AF7CD1">
            <w:pPr>
              <w:rPr>
                <w:sz w:val="16"/>
                <w:szCs w:val="16"/>
              </w:rPr>
            </w:pPr>
            <w:r w:rsidRPr="0079074C">
              <w:rPr>
                <w:sz w:val="16"/>
                <w:szCs w:val="16"/>
              </w:rPr>
              <w:t>Kilimanjaro</w:t>
            </w:r>
          </w:p>
        </w:tc>
        <w:tc>
          <w:tcPr>
            <w:tcW w:w="370" w:type="pct"/>
            <w:tcBorders>
              <w:top w:val="nil"/>
              <w:left w:val="nil"/>
              <w:bottom w:val="nil"/>
              <w:right w:val="nil"/>
            </w:tcBorders>
            <w:shd w:val="clear" w:color="auto" w:fill="auto"/>
            <w:noWrap/>
            <w:vAlign w:val="center"/>
            <w:hideMark/>
          </w:tcPr>
          <w:p w14:paraId="129B8B87" w14:textId="77777777" w:rsidR="00A32971" w:rsidRPr="0079074C" w:rsidRDefault="00A32971" w:rsidP="00AF7CD1">
            <w:pPr>
              <w:jc w:val="right"/>
              <w:rPr>
                <w:sz w:val="16"/>
                <w:szCs w:val="16"/>
              </w:rPr>
            </w:pPr>
            <w:r w:rsidRPr="0079074C">
              <w:rPr>
                <w:sz w:val="16"/>
                <w:szCs w:val="16"/>
              </w:rPr>
              <w:t>4.4</w:t>
            </w:r>
          </w:p>
        </w:tc>
        <w:tc>
          <w:tcPr>
            <w:tcW w:w="324" w:type="pct"/>
            <w:tcBorders>
              <w:top w:val="nil"/>
              <w:left w:val="nil"/>
              <w:bottom w:val="nil"/>
              <w:right w:val="nil"/>
            </w:tcBorders>
            <w:shd w:val="clear" w:color="auto" w:fill="auto"/>
            <w:noWrap/>
            <w:vAlign w:val="center"/>
            <w:hideMark/>
          </w:tcPr>
          <w:p w14:paraId="744469D8" w14:textId="77777777" w:rsidR="00A32971" w:rsidRPr="0079074C" w:rsidRDefault="00A32971" w:rsidP="00AF7CD1">
            <w:pPr>
              <w:jc w:val="right"/>
              <w:rPr>
                <w:sz w:val="16"/>
                <w:szCs w:val="16"/>
              </w:rPr>
            </w:pPr>
            <w:r w:rsidRPr="0079074C">
              <w:rPr>
                <w:sz w:val="16"/>
                <w:szCs w:val="16"/>
              </w:rPr>
              <w:t>4.8</w:t>
            </w:r>
          </w:p>
        </w:tc>
        <w:tc>
          <w:tcPr>
            <w:tcW w:w="488" w:type="pct"/>
            <w:tcBorders>
              <w:top w:val="nil"/>
              <w:left w:val="nil"/>
              <w:bottom w:val="nil"/>
              <w:right w:val="nil"/>
            </w:tcBorders>
            <w:shd w:val="clear" w:color="auto" w:fill="auto"/>
            <w:noWrap/>
            <w:vAlign w:val="center"/>
            <w:hideMark/>
          </w:tcPr>
          <w:p w14:paraId="7F9D7F52" w14:textId="77777777" w:rsidR="00A32971" w:rsidRPr="0079074C" w:rsidRDefault="00A32971" w:rsidP="00AF7CD1">
            <w:pPr>
              <w:jc w:val="right"/>
              <w:rPr>
                <w:sz w:val="16"/>
                <w:szCs w:val="16"/>
              </w:rPr>
            </w:pPr>
            <w:r w:rsidRPr="0079074C">
              <w:rPr>
                <w:sz w:val="16"/>
                <w:szCs w:val="16"/>
              </w:rPr>
              <w:t>4.8</w:t>
            </w:r>
          </w:p>
        </w:tc>
        <w:tc>
          <w:tcPr>
            <w:tcW w:w="485" w:type="pct"/>
            <w:tcBorders>
              <w:top w:val="nil"/>
              <w:left w:val="nil"/>
              <w:bottom w:val="nil"/>
              <w:right w:val="nil"/>
            </w:tcBorders>
            <w:shd w:val="clear" w:color="auto" w:fill="auto"/>
            <w:noWrap/>
            <w:vAlign w:val="center"/>
            <w:hideMark/>
          </w:tcPr>
          <w:p w14:paraId="582A76BB" w14:textId="77777777" w:rsidR="00A32971" w:rsidRPr="0079074C" w:rsidRDefault="00A32971" w:rsidP="00AF7CD1">
            <w:pPr>
              <w:jc w:val="right"/>
              <w:rPr>
                <w:sz w:val="16"/>
                <w:szCs w:val="16"/>
              </w:rPr>
            </w:pPr>
            <w:r w:rsidRPr="0079074C">
              <w:rPr>
                <w:sz w:val="16"/>
                <w:szCs w:val="16"/>
              </w:rPr>
              <w:t>3.9</w:t>
            </w:r>
          </w:p>
        </w:tc>
        <w:tc>
          <w:tcPr>
            <w:tcW w:w="514" w:type="pct"/>
            <w:tcBorders>
              <w:top w:val="nil"/>
              <w:left w:val="nil"/>
              <w:bottom w:val="nil"/>
              <w:right w:val="nil"/>
            </w:tcBorders>
            <w:shd w:val="clear" w:color="auto" w:fill="auto"/>
            <w:noWrap/>
            <w:vAlign w:val="center"/>
            <w:hideMark/>
          </w:tcPr>
          <w:p w14:paraId="7019CD35" w14:textId="77777777" w:rsidR="00A32971" w:rsidRPr="0079074C" w:rsidRDefault="00A32971" w:rsidP="00AF7CD1">
            <w:pPr>
              <w:jc w:val="right"/>
              <w:rPr>
                <w:sz w:val="16"/>
                <w:szCs w:val="16"/>
              </w:rPr>
            </w:pPr>
            <w:r w:rsidRPr="0079074C">
              <w:rPr>
                <w:sz w:val="16"/>
                <w:szCs w:val="16"/>
              </w:rPr>
              <w:t>3.4</w:t>
            </w:r>
          </w:p>
        </w:tc>
        <w:tc>
          <w:tcPr>
            <w:tcW w:w="440" w:type="pct"/>
            <w:tcBorders>
              <w:top w:val="nil"/>
              <w:left w:val="nil"/>
              <w:bottom w:val="nil"/>
              <w:right w:val="nil"/>
            </w:tcBorders>
            <w:shd w:val="clear" w:color="auto" w:fill="auto"/>
            <w:noWrap/>
            <w:vAlign w:val="center"/>
            <w:hideMark/>
          </w:tcPr>
          <w:p w14:paraId="28E24BF6" w14:textId="77777777" w:rsidR="00A32971" w:rsidRPr="0079074C" w:rsidRDefault="00A32971" w:rsidP="00AF7CD1">
            <w:pPr>
              <w:jc w:val="right"/>
              <w:rPr>
                <w:sz w:val="16"/>
                <w:szCs w:val="16"/>
              </w:rPr>
            </w:pPr>
            <w:r w:rsidRPr="0079074C">
              <w:rPr>
                <w:sz w:val="16"/>
                <w:szCs w:val="16"/>
              </w:rPr>
              <w:t>1.8</w:t>
            </w:r>
          </w:p>
        </w:tc>
        <w:tc>
          <w:tcPr>
            <w:tcW w:w="365" w:type="pct"/>
            <w:tcBorders>
              <w:top w:val="nil"/>
              <w:left w:val="nil"/>
              <w:bottom w:val="nil"/>
              <w:right w:val="nil"/>
            </w:tcBorders>
            <w:shd w:val="clear" w:color="auto" w:fill="auto"/>
            <w:noWrap/>
            <w:vAlign w:val="center"/>
            <w:hideMark/>
          </w:tcPr>
          <w:p w14:paraId="0C88F0D1" w14:textId="77777777" w:rsidR="00A32971" w:rsidRPr="0079074C" w:rsidRDefault="00A32971" w:rsidP="00AF7CD1">
            <w:pPr>
              <w:jc w:val="right"/>
              <w:rPr>
                <w:sz w:val="16"/>
                <w:szCs w:val="16"/>
              </w:rPr>
            </w:pPr>
            <w:r w:rsidRPr="0079074C">
              <w:rPr>
                <w:sz w:val="16"/>
                <w:szCs w:val="16"/>
              </w:rPr>
              <w:t>-</w:t>
            </w:r>
          </w:p>
        </w:tc>
        <w:tc>
          <w:tcPr>
            <w:tcW w:w="365" w:type="pct"/>
            <w:tcBorders>
              <w:top w:val="nil"/>
              <w:left w:val="nil"/>
              <w:bottom w:val="nil"/>
              <w:right w:val="nil"/>
            </w:tcBorders>
            <w:shd w:val="clear" w:color="auto" w:fill="auto"/>
            <w:noWrap/>
            <w:vAlign w:val="center"/>
            <w:hideMark/>
          </w:tcPr>
          <w:p w14:paraId="7C8B2A3C" w14:textId="77777777" w:rsidR="00A32971" w:rsidRPr="0079074C" w:rsidRDefault="00A32971" w:rsidP="00AF7CD1">
            <w:pPr>
              <w:jc w:val="right"/>
              <w:rPr>
                <w:sz w:val="16"/>
                <w:szCs w:val="16"/>
              </w:rPr>
            </w:pPr>
            <w:r w:rsidRPr="0079074C">
              <w:rPr>
                <w:sz w:val="16"/>
                <w:szCs w:val="16"/>
              </w:rPr>
              <w:t>-</w:t>
            </w:r>
          </w:p>
        </w:tc>
        <w:tc>
          <w:tcPr>
            <w:tcW w:w="431" w:type="pct"/>
            <w:tcBorders>
              <w:top w:val="nil"/>
              <w:left w:val="nil"/>
              <w:bottom w:val="nil"/>
              <w:right w:val="nil"/>
            </w:tcBorders>
            <w:shd w:val="clear" w:color="auto" w:fill="auto"/>
            <w:noWrap/>
            <w:vAlign w:val="center"/>
            <w:hideMark/>
          </w:tcPr>
          <w:p w14:paraId="01E0355D" w14:textId="77777777" w:rsidR="00A32971" w:rsidRPr="0079074C" w:rsidRDefault="00A32971" w:rsidP="00AF7CD1">
            <w:pPr>
              <w:jc w:val="right"/>
              <w:rPr>
                <w:sz w:val="16"/>
                <w:szCs w:val="16"/>
              </w:rPr>
            </w:pPr>
            <w:r w:rsidRPr="0079074C">
              <w:rPr>
                <w:sz w:val="16"/>
                <w:szCs w:val="16"/>
              </w:rPr>
              <w:t>2.6</w:t>
            </w:r>
          </w:p>
        </w:tc>
        <w:tc>
          <w:tcPr>
            <w:tcW w:w="305" w:type="pct"/>
            <w:tcBorders>
              <w:top w:val="nil"/>
              <w:left w:val="nil"/>
              <w:bottom w:val="nil"/>
              <w:right w:val="nil"/>
            </w:tcBorders>
            <w:shd w:val="clear" w:color="auto" w:fill="auto"/>
            <w:noWrap/>
            <w:vAlign w:val="center"/>
            <w:hideMark/>
          </w:tcPr>
          <w:p w14:paraId="116BE41D" w14:textId="77777777" w:rsidR="00A32971" w:rsidRPr="0079074C" w:rsidRDefault="00A32971" w:rsidP="00AF7CD1">
            <w:pPr>
              <w:jc w:val="right"/>
              <w:rPr>
                <w:sz w:val="16"/>
                <w:szCs w:val="16"/>
              </w:rPr>
            </w:pPr>
            <w:r w:rsidRPr="0079074C">
              <w:rPr>
                <w:sz w:val="16"/>
                <w:szCs w:val="16"/>
              </w:rPr>
              <w:t>4.9</w:t>
            </w:r>
          </w:p>
        </w:tc>
      </w:tr>
      <w:tr w:rsidR="006B42D6" w:rsidRPr="006B42D6" w14:paraId="657658D7" w14:textId="77777777" w:rsidTr="0079074C">
        <w:trPr>
          <w:trHeight w:val="306"/>
        </w:trPr>
        <w:tc>
          <w:tcPr>
            <w:tcW w:w="913" w:type="pct"/>
            <w:tcBorders>
              <w:top w:val="nil"/>
              <w:left w:val="nil"/>
              <w:bottom w:val="nil"/>
              <w:right w:val="nil"/>
            </w:tcBorders>
            <w:shd w:val="clear" w:color="auto" w:fill="auto"/>
            <w:noWrap/>
            <w:vAlign w:val="center"/>
            <w:hideMark/>
          </w:tcPr>
          <w:p w14:paraId="6B807FB3" w14:textId="77777777" w:rsidR="00A32971" w:rsidRPr="0079074C" w:rsidRDefault="00A32971" w:rsidP="00AF7CD1">
            <w:pPr>
              <w:rPr>
                <w:sz w:val="16"/>
                <w:szCs w:val="16"/>
              </w:rPr>
            </w:pPr>
            <w:r w:rsidRPr="0079074C">
              <w:rPr>
                <w:sz w:val="16"/>
                <w:szCs w:val="16"/>
              </w:rPr>
              <w:t>Tanga</w:t>
            </w:r>
          </w:p>
        </w:tc>
        <w:tc>
          <w:tcPr>
            <w:tcW w:w="370" w:type="pct"/>
            <w:tcBorders>
              <w:top w:val="nil"/>
              <w:left w:val="nil"/>
              <w:bottom w:val="nil"/>
              <w:right w:val="nil"/>
            </w:tcBorders>
            <w:shd w:val="clear" w:color="auto" w:fill="auto"/>
            <w:noWrap/>
            <w:vAlign w:val="center"/>
            <w:hideMark/>
          </w:tcPr>
          <w:p w14:paraId="3BAFE0F3" w14:textId="77777777" w:rsidR="00A32971" w:rsidRPr="0079074C" w:rsidRDefault="00A32971" w:rsidP="00AF7CD1">
            <w:pPr>
              <w:jc w:val="right"/>
              <w:rPr>
                <w:sz w:val="16"/>
                <w:szCs w:val="16"/>
              </w:rPr>
            </w:pPr>
            <w:r w:rsidRPr="0079074C">
              <w:rPr>
                <w:sz w:val="16"/>
                <w:szCs w:val="16"/>
              </w:rPr>
              <w:t>0.6</w:t>
            </w:r>
          </w:p>
        </w:tc>
        <w:tc>
          <w:tcPr>
            <w:tcW w:w="324" w:type="pct"/>
            <w:tcBorders>
              <w:top w:val="nil"/>
              <w:left w:val="nil"/>
              <w:bottom w:val="nil"/>
              <w:right w:val="nil"/>
            </w:tcBorders>
            <w:shd w:val="clear" w:color="auto" w:fill="auto"/>
            <w:noWrap/>
            <w:vAlign w:val="center"/>
            <w:hideMark/>
          </w:tcPr>
          <w:p w14:paraId="6555ABE8" w14:textId="77777777" w:rsidR="00A32971" w:rsidRPr="0079074C" w:rsidRDefault="00A32971" w:rsidP="00AF7CD1">
            <w:pPr>
              <w:jc w:val="right"/>
              <w:rPr>
                <w:sz w:val="16"/>
                <w:szCs w:val="16"/>
              </w:rPr>
            </w:pPr>
            <w:r w:rsidRPr="0079074C">
              <w:rPr>
                <w:sz w:val="16"/>
                <w:szCs w:val="16"/>
              </w:rPr>
              <w:t>0.4</w:t>
            </w:r>
          </w:p>
        </w:tc>
        <w:tc>
          <w:tcPr>
            <w:tcW w:w="488" w:type="pct"/>
            <w:tcBorders>
              <w:top w:val="nil"/>
              <w:left w:val="nil"/>
              <w:bottom w:val="nil"/>
              <w:right w:val="nil"/>
            </w:tcBorders>
            <w:shd w:val="clear" w:color="auto" w:fill="auto"/>
            <w:noWrap/>
            <w:vAlign w:val="center"/>
            <w:hideMark/>
          </w:tcPr>
          <w:p w14:paraId="22B0D71F" w14:textId="77777777" w:rsidR="00A32971" w:rsidRPr="0079074C" w:rsidRDefault="00A32971" w:rsidP="00AF7CD1">
            <w:pPr>
              <w:jc w:val="right"/>
              <w:rPr>
                <w:sz w:val="16"/>
                <w:szCs w:val="16"/>
              </w:rPr>
            </w:pPr>
            <w:r w:rsidRPr="0079074C">
              <w:rPr>
                <w:sz w:val="16"/>
                <w:szCs w:val="16"/>
              </w:rPr>
              <w:t>0.1</w:t>
            </w:r>
          </w:p>
        </w:tc>
        <w:tc>
          <w:tcPr>
            <w:tcW w:w="485" w:type="pct"/>
            <w:tcBorders>
              <w:top w:val="nil"/>
              <w:left w:val="nil"/>
              <w:bottom w:val="nil"/>
              <w:right w:val="nil"/>
            </w:tcBorders>
            <w:shd w:val="clear" w:color="auto" w:fill="auto"/>
            <w:noWrap/>
            <w:vAlign w:val="center"/>
            <w:hideMark/>
          </w:tcPr>
          <w:p w14:paraId="7539930E" w14:textId="77777777" w:rsidR="00A32971" w:rsidRPr="0079074C" w:rsidRDefault="00A32971" w:rsidP="00AF7CD1">
            <w:pPr>
              <w:jc w:val="right"/>
              <w:rPr>
                <w:sz w:val="16"/>
                <w:szCs w:val="16"/>
              </w:rPr>
            </w:pPr>
            <w:r w:rsidRPr="0079074C">
              <w:rPr>
                <w:sz w:val="16"/>
                <w:szCs w:val="16"/>
              </w:rPr>
              <w:t>0.1</w:t>
            </w:r>
          </w:p>
        </w:tc>
        <w:tc>
          <w:tcPr>
            <w:tcW w:w="514" w:type="pct"/>
            <w:tcBorders>
              <w:top w:val="nil"/>
              <w:left w:val="nil"/>
              <w:bottom w:val="nil"/>
              <w:right w:val="nil"/>
            </w:tcBorders>
            <w:shd w:val="clear" w:color="auto" w:fill="auto"/>
            <w:noWrap/>
            <w:vAlign w:val="center"/>
            <w:hideMark/>
          </w:tcPr>
          <w:p w14:paraId="3CCB7546" w14:textId="77777777" w:rsidR="00A32971" w:rsidRPr="0079074C" w:rsidRDefault="00A32971" w:rsidP="00AF7CD1">
            <w:pPr>
              <w:jc w:val="right"/>
              <w:rPr>
                <w:sz w:val="16"/>
                <w:szCs w:val="16"/>
              </w:rPr>
            </w:pPr>
            <w:r w:rsidRPr="0079074C">
              <w:rPr>
                <w:sz w:val="16"/>
                <w:szCs w:val="16"/>
              </w:rPr>
              <w:t>-</w:t>
            </w:r>
          </w:p>
        </w:tc>
        <w:tc>
          <w:tcPr>
            <w:tcW w:w="440" w:type="pct"/>
            <w:tcBorders>
              <w:top w:val="nil"/>
              <w:left w:val="nil"/>
              <w:bottom w:val="nil"/>
              <w:right w:val="nil"/>
            </w:tcBorders>
            <w:shd w:val="clear" w:color="auto" w:fill="auto"/>
            <w:noWrap/>
            <w:vAlign w:val="center"/>
            <w:hideMark/>
          </w:tcPr>
          <w:p w14:paraId="645EDB90" w14:textId="77777777" w:rsidR="00A32971" w:rsidRPr="0079074C" w:rsidRDefault="00A32971" w:rsidP="00AF7CD1">
            <w:pPr>
              <w:jc w:val="right"/>
              <w:rPr>
                <w:sz w:val="16"/>
                <w:szCs w:val="16"/>
              </w:rPr>
            </w:pPr>
            <w:r w:rsidRPr="0079074C">
              <w:rPr>
                <w:sz w:val="16"/>
                <w:szCs w:val="16"/>
              </w:rPr>
              <w:t>-</w:t>
            </w:r>
          </w:p>
        </w:tc>
        <w:tc>
          <w:tcPr>
            <w:tcW w:w="365" w:type="pct"/>
            <w:tcBorders>
              <w:top w:val="nil"/>
              <w:left w:val="nil"/>
              <w:bottom w:val="nil"/>
              <w:right w:val="nil"/>
            </w:tcBorders>
            <w:shd w:val="clear" w:color="auto" w:fill="auto"/>
            <w:noWrap/>
            <w:vAlign w:val="center"/>
            <w:hideMark/>
          </w:tcPr>
          <w:p w14:paraId="261A1B0D" w14:textId="77777777" w:rsidR="00A32971" w:rsidRPr="0079074C" w:rsidRDefault="00A32971" w:rsidP="00AF7CD1">
            <w:pPr>
              <w:jc w:val="right"/>
              <w:rPr>
                <w:sz w:val="16"/>
                <w:szCs w:val="16"/>
              </w:rPr>
            </w:pPr>
            <w:r w:rsidRPr="0079074C">
              <w:rPr>
                <w:sz w:val="16"/>
                <w:szCs w:val="16"/>
              </w:rPr>
              <w:t>-</w:t>
            </w:r>
          </w:p>
        </w:tc>
        <w:tc>
          <w:tcPr>
            <w:tcW w:w="365" w:type="pct"/>
            <w:tcBorders>
              <w:top w:val="nil"/>
              <w:left w:val="nil"/>
              <w:bottom w:val="nil"/>
              <w:right w:val="nil"/>
            </w:tcBorders>
            <w:shd w:val="clear" w:color="auto" w:fill="auto"/>
            <w:noWrap/>
            <w:vAlign w:val="center"/>
            <w:hideMark/>
          </w:tcPr>
          <w:p w14:paraId="528C7F3D" w14:textId="77777777" w:rsidR="00A32971" w:rsidRPr="0079074C" w:rsidRDefault="00A32971" w:rsidP="00AF7CD1">
            <w:pPr>
              <w:jc w:val="right"/>
              <w:rPr>
                <w:sz w:val="16"/>
                <w:szCs w:val="16"/>
              </w:rPr>
            </w:pPr>
            <w:r w:rsidRPr="0079074C">
              <w:rPr>
                <w:sz w:val="16"/>
                <w:szCs w:val="16"/>
              </w:rPr>
              <w:t>-</w:t>
            </w:r>
          </w:p>
        </w:tc>
        <w:tc>
          <w:tcPr>
            <w:tcW w:w="431" w:type="pct"/>
            <w:tcBorders>
              <w:top w:val="nil"/>
              <w:left w:val="nil"/>
              <w:bottom w:val="nil"/>
              <w:right w:val="nil"/>
            </w:tcBorders>
            <w:shd w:val="clear" w:color="auto" w:fill="auto"/>
            <w:noWrap/>
            <w:vAlign w:val="center"/>
            <w:hideMark/>
          </w:tcPr>
          <w:p w14:paraId="72FA25DE" w14:textId="77777777" w:rsidR="00A32971" w:rsidRPr="0079074C" w:rsidRDefault="00A32971" w:rsidP="00AF7CD1">
            <w:pPr>
              <w:jc w:val="right"/>
              <w:rPr>
                <w:sz w:val="16"/>
                <w:szCs w:val="16"/>
              </w:rPr>
            </w:pPr>
            <w:r w:rsidRPr="0079074C">
              <w:rPr>
                <w:sz w:val="16"/>
                <w:szCs w:val="16"/>
              </w:rPr>
              <w:t>1.3</w:t>
            </w:r>
          </w:p>
        </w:tc>
        <w:tc>
          <w:tcPr>
            <w:tcW w:w="305" w:type="pct"/>
            <w:tcBorders>
              <w:top w:val="nil"/>
              <w:left w:val="nil"/>
              <w:bottom w:val="nil"/>
              <w:right w:val="nil"/>
            </w:tcBorders>
            <w:shd w:val="clear" w:color="auto" w:fill="auto"/>
            <w:noWrap/>
            <w:vAlign w:val="center"/>
            <w:hideMark/>
          </w:tcPr>
          <w:p w14:paraId="018BA645" w14:textId="77777777" w:rsidR="00A32971" w:rsidRPr="0079074C" w:rsidRDefault="00A32971" w:rsidP="00AF7CD1">
            <w:pPr>
              <w:jc w:val="right"/>
              <w:rPr>
                <w:sz w:val="16"/>
                <w:szCs w:val="16"/>
              </w:rPr>
            </w:pPr>
            <w:r w:rsidRPr="0079074C">
              <w:rPr>
                <w:sz w:val="16"/>
                <w:szCs w:val="16"/>
              </w:rPr>
              <w:t>0.6</w:t>
            </w:r>
          </w:p>
        </w:tc>
      </w:tr>
      <w:tr w:rsidR="006B42D6" w:rsidRPr="006B42D6" w14:paraId="07CA5604" w14:textId="77777777" w:rsidTr="0079074C">
        <w:trPr>
          <w:trHeight w:val="306"/>
        </w:trPr>
        <w:tc>
          <w:tcPr>
            <w:tcW w:w="913" w:type="pct"/>
            <w:tcBorders>
              <w:top w:val="nil"/>
              <w:left w:val="nil"/>
              <w:bottom w:val="nil"/>
              <w:right w:val="nil"/>
            </w:tcBorders>
            <w:shd w:val="clear" w:color="auto" w:fill="auto"/>
            <w:noWrap/>
            <w:vAlign w:val="center"/>
            <w:hideMark/>
          </w:tcPr>
          <w:p w14:paraId="083B1DA8" w14:textId="77777777" w:rsidR="00A32971" w:rsidRPr="0079074C" w:rsidRDefault="00A32971" w:rsidP="00AF7CD1">
            <w:pPr>
              <w:rPr>
                <w:sz w:val="16"/>
                <w:szCs w:val="16"/>
              </w:rPr>
            </w:pPr>
            <w:r w:rsidRPr="0079074C">
              <w:rPr>
                <w:sz w:val="16"/>
                <w:szCs w:val="16"/>
              </w:rPr>
              <w:t>Morogoro</w:t>
            </w:r>
          </w:p>
        </w:tc>
        <w:tc>
          <w:tcPr>
            <w:tcW w:w="370" w:type="pct"/>
            <w:tcBorders>
              <w:top w:val="nil"/>
              <w:left w:val="nil"/>
              <w:bottom w:val="nil"/>
              <w:right w:val="nil"/>
            </w:tcBorders>
            <w:shd w:val="clear" w:color="auto" w:fill="auto"/>
            <w:noWrap/>
            <w:vAlign w:val="center"/>
            <w:hideMark/>
          </w:tcPr>
          <w:p w14:paraId="5EED6409" w14:textId="77777777" w:rsidR="00A32971" w:rsidRPr="0079074C" w:rsidRDefault="00A32971" w:rsidP="00AF7CD1">
            <w:pPr>
              <w:jc w:val="right"/>
              <w:rPr>
                <w:sz w:val="16"/>
                <w:szCs w:val="16"/>
              </w:rPr>
            </w:pPr>
            <w:r w:rsidRPr="0079074C">
              <w:rPr>
                <w:sz w:val="16"/>
                <w:szCs w:val="16"/>
              </w:rPr>
              <w:t>7.9</w:t>
            </w:r>
          </w:p>
        </w:tc>
        <w:tc>
          <w:tcPr>
            <w:tcW w:w="324" w:type="pct"/>
            <w:tcBorders>
              <w:top w:val="nil"/>
              <w:left w:val="nil"/>
              <w:bottom w:val="nil"/>
              <w:right w:val="nil"/>
            </w:tcBorders>
            <w:shd w:val="clear" w:color="auto" w:fill="auto"/>
            <w:noWrap/>
            <w:vAlign w:val="center"/>
            <w:hideMark/>
          </w:tcPr>
          <w:p w14:paraId="54239B57" w14:textId="77777777" w:rsidR="00A32971" w:rsidRPr="0079074C" w:rsidRDefault="00A32971" w:rsidP="00AF7CD1">
            <w:pPr>
              <w:jc w:val="right"/>
              <w:rPr>
                <w:sz w:val="16"/>
                <w:szCs w:val="16"/>
              </w:rPr>
            </w:pPr>
            <w:r w:rsidRPr="0079074C">
              <w:rPr>
                <w:sz w:val="16"/>
                <w:szCs w:val="16"/>
              </w:rPr>
              <w:t>3.9</w:t>
            </w:r>
          </w:p>
        </w:tc>
        <w:tc>
          <w:tcPr>
            <w:tcW w:w="488" w:type="pct"/>
            <w:tcBorders>
              <w:top w:val="nil"/>
              <w:left w:val="nil"/>
              <w:bottom w:val="nil"/>
              <w:right w:val="nil"/>
            </w:tcBorders>
            <w:shd w:val="clear" w:color="auto" w:fill="auto"/>
            <w:noWrap/>
            <w:vAlign w:val="center"/>
            <w:hideMark/>
          </w:tcPr>
          <w:p w14:paraId="750B2BEC" w14:textId="77777777" w:rsidR="00A32971" w:rsidRPr="0079074C" w:rsidRDefault="00A32971" w:rsidP="00AF7CD1">
            <w:pPr>
              <w:jc w:val="right"/>
              <w:rPr>
                <w:sz w:val="16"/>
                <w:szCs w:val="16"/>
              </w:rPr>
            </w:pPr>
            <w:r w:rsidRPr="0079074C">
              <w:rPr>
                <w:sz w:val="16"/>
                <w:szCs w:val="16"/>
              </w:rPr>
              <w:t>2.7</w:t>
            </w:r>
          </w:p>
        </w:tc>
        <w:tc>
          <w:tcPr>
            <w:tcW w:w="485" w:type="pct"/>
            <w:tcBorders>
              <w:top w:val="nil"/>
              <w:left w:val="nil"/>
              <w:bottom w:val="nil"/>
              <w:right w:val="nil"/>
            </w:tcBorders>
            <w:shd w:val="clear" w:color="auto" w:fill="auto"/>
            <w:noWrap/>
            <w:vAlign w:val="center"/>
            <w:hideMark/>
          </w:tcPr>
          <w:p w14:paraId="48A0FC56" w14:textId="7D35E5FC" w:rsidR="00A32971" w:rsidRPr="0079074C" w:rsidRDefault="00A32971" w:rsidP="00AF7CD1">
            <w:pPr>
              <w:jc w:val="right"/>
              <w:rPr>
                <w:sz w:val="16"/>
                <w:szCs w:val="16"/>
              </w:rPr>
            </w:pPr>
            <w:r w:rsidRPr="0079074C">
              <w:rPr>
                <w:sz w:val="16"/>
                <w:szCs w:val="16"/>
              </w:rPr>
              <w:t>8</w:t>
            </w:r>
            <w:r w:rsidR="00272901" w:rsidRPr="0079074C">
              <w:rPr>
                <w:sz w:val="16"/>
                <w:szCs w:val="16"/>
              </w:rPr>
              <w:t>.0</w:t>
            </w:r>
          </w:p>
        </w:tc>
        <w:tc>
          <w:tcPr>
            <w:tcW w:w="514" w:type="pct"/>
            <w:tcBorders>
              <w:top w:val="nil"/>
              <w:left w:val="nil"/>
              <w:bottom w:val="nil"/>
              <w:right w:val="nil"/>
            </w:tcBorders>
            <w:shd w:val="clear" w:color="auto" w:fill="auto"/>
            <w:noWrap/>
            <w:vAlign w:val="center"/>
            <w:hideMark/>
          </w:tcPr>
          <w:p w14:paraId="62FD55F8" w14:textId="77777777" w:rsidR="00A32971" w:rsidRPr="0079074C" w:rsidRDefault="00A32971" w:rsidP="00AF7CD1">
            <w:pPr>
              <w:jc w:val="right"/>
              <w:rPr>
                <w:sz w:val="16"/>
                <w:szCs w:val="16"/>
              </w:rPr>
            </w:pPr>
            <w:r w:rsidRPr="0079074C">
              <w:rPr>
                <w:sz w:val="16"/>
                <w:szCs w:val="16"/>
              </w:rPr>
              <w:t>9.3</w:t>
            </w:r>
          </w:p>
        </w:tc>
        <w:tc>
          <w:tcPr>
            <w:tcW w:w="440" w:type="pct"/>
            <w:tcBorders>
              <w:top w:val="nil"/>
              <w:left w:val="nil"/>
              <w:bottom w:val="nil"/>
              <w:right w:val="nil"/>
            </w:tcBorders>
            <w:shd w:val="clear" w:color="auto" w:fill="auto"/>
            <w:noWrap/>
            <w:vAlign w:val="center"/>
            <w:hideMark/>
          </w:tcPr>
          <w:p w14:paraId="2BD7E60F" w14:textId="77777777" w:rsidR="00A32971" w:rsidRPr="0079074C" w:rsidRDefault="00A32971" w:rsidP="00AF7CD1">
            <w:pPr>
              <w:jc w:val="right"/>
              <w:rPr>
                <w:sz w:val="16"/>
                <w:szCs w:val="16"/>
              </w:rPr>
            </w:pPr>
            <w:r w:rsidRPr="0079074C">
              <w:rPr>
                <w:sz w:val="16"/>
                <w:szCs w:val="16"/>
              </w:rPr>
              <w:t>1.3</w:t>
            </w:r>
          </w:p>
        </w:tc>
        <w:tc>
          <w:tcPr>
            <w:tcW w:w="365" w:type="pct"/>
            <w:tcBorders>
              <w:top w:val="nil"/>
              <w:left w:val="nil"/>
              <w:bottom w:val="nil"/>
              <w:right w:val="nil"/>
            </w:tcBorders>
            <w:shd w:val="clear" w:color="auto" w:fill="auto"/>
            <w:noWrap/>
            <w:vAlign w:val="center"/>
            <w:hideMark/>
          </w:tcPr>
          <w:p w14:paraId="14A1948F" w14:textId="77777777" w:rsidR="00A32971" w:rsidRPr="0079074C" w:rsidRDefault="00A32971" w:rsidP="00AF7CD1">
            <w:pPr>
              <w:jc w:val="right"/>
              <w:rPr>
                <w:sz w:val="16"/>
                <w:szCs w:val="16"/>
              </w:rPr>
            </w:pPr>
            <w:r w:rsidRPr="0079074C">
              <w:rPr>
                <w:sz w:val="16"/>
                <w:szCs w:val="16"/>
              </w:rPr>
              <w:t>-</w:t>
            </w:r>
          </w:p>
        </w:tc>
        <w:tc>
          <w:tcPr>
            <w:tcW w:w="365" w:type="pct"/>
            <w:tcBorders>
              <w:top w:val="nil"/>
              <w:left w:val="nil"/>
              <w:bottom w:val="nil"/>
              <w:right w:val="nil"/>
            </w:tcBorders>
            <w:shd w:val="clear" w:color="auto" w:fill="auto"/>
            <w:noWrap/>
            <w:vAlign w:val="center"/>
            <w:hideMark/>
          </w:tcPr>
          <w:p w14:paraId="15CCF3E4" w14:textId="6F6F5718" w:rsidR="00A32971" w:rsidRPr="0079074C" w:rsidRDefault="00A32971" w:rsidP="00AF7CD1">
            <w:pPr>
              <w:jc w:val="right"/>
              <w:rPr>
                <w:sz w:val="16"/>
                <w:szCs w:val="16"/>
              </w:rPr>
            </w:pPr>
            <w:r w:rsidRPr="0079074C">
              <w:rPr>
                <w:sz w:val="16"/>
                <w:szCs w:val="16"/>
              </w:rPr>
              <w:t>100</w:t>
            </w:r>
            <w:r w:rsidR="00272901" w:rsidRPr="0079074C">
              <w:rPr>
                <w:sz w:val="16"/>
                <w:szCs w:val="16"/>
              </w:rPr>
              <w:t>.0</w:t>
            </w:r>
          </w:p>
        </w:tc>
        <w:tc>
          <w:tcPr>
            <w:tcW w:w="431" w:type="pct"/>
            <w:tcBorders>
              <w:top w:val="nil"/>
              <w:left w:val="nil"/>
              <w:bottom w:val="nil"/>
              <w:right w:val="nil"/>
            </w:tcBorders>
            <w:shd w:val="clear" w:color="auto" w:fill="auto"/>
            <w:noWrap/>
            <w:vAlign w:val="center"/>
            <w:hideMark/>
          </w:tcPr>
          <w:p w14:paraId="72B51F4F" w14:textId="1C1D06E2" w:rsidR="00A32971" w:rsidRPr="0079074C" w:rsidRDefault="00A32971" w:rsidP="00AF7CD1">
            <w:pPr>
              <w:jc w:val="right"/>
              <w:rPr>
                <w:sz w:val="16"/>
                <w:szCs w:val="16"/>
              </w:rPr>
            </w:pPr>
            <w:r w:rsidRPr="0079074C">
              <w:rPr>
                <w:sz w:val="16"/>
                <w:szCs w:val="16"/>
              </w:rPr>
              <w:t>1</w:t>
            </w:r>
            <w:r w:rsidR="00272901" w:rsidRPr="0079074C">
              <w:rPr>
                <w:sz w:val="16"/>
                <w:szCs w:val="16"/>
              </w:rPr>
              <w:t>.0</w:t>
            </w:r>
          </w:p>
        </w:tc>
        <w:tc>
          <w:tcPr>
            <w:tcW w:w="305" w:type="pct"/>
            <w:tcBorders>
              <w:top w:val="nil"/>
              <w:left w:val="nil"/>
              <w:bottom w:val="nil"/>
              <w:right w:val="nil"/>
            </w:tcBorders>
            <w:shd w:val="clear" w:color="auto" w:fill="auto"/>
            <w:noWrap/>
            <w:vAlign w:val="center"/>
            <w:hideMark/>
          </w:tcPr>
          <w:p w14:paraId="297EFD5B" w14:textId="77777777" w:rsidR="00A32971" w:rsidRPr="0079074C" w:rsidRDefault="00A32971" w:rsidP="00AF7CD1">
            <w:pPr>
              <w:jc w:val="right"/>
              <w:rPr>
                <w:sz w:val="16"/>
                <w:szCs w:val="16"/>
              </w:rPr>
            </w:pPr>
            <w:r w:rsidRPr="0079074C">
              <w:rPr>
                <w:sz w:val="16"/>
                <w:szCs w:val="16"/>
              </w:rPr>
              <w:t>6.6</w:t>
            </w:r>
          </w:p>
        </w:tc>
      </w:tr>
      <w:tr w:rsidR="006B42D6" w:rsidRPr="006B42D6" w14:paraId="3A6EF46E" w14:textId="77777777" w:rsidTr="0079074C">
        <w:trPr>
          <w:trHeight w:val="306"/>
        </w:trPr>
        <w:tc>
          <w:tcPr>
            <w:tcW w:w="913" w:type="pct"/>
            <w:tcBorders>
              <w:top w:val="nil"/>
              <w:left w:val="nil"/>
              <w:bottom w:val="nil"/>
              <w:right w:val="nil"/>
            </w:tcBorders>
            <w:shd w:val="clear" w:color="auto" w:fill="auto"/>
            <w:noWrap/>
            <w:vAlign w:val="center"/>
            <w:hideMark/>
          </w:tcPr>
          <w:p w14:paraId="785295A4" w14:textId="77777777" w:rsidR="00A32971" w:rsidRPr="0079074C" w:rsidRDefault="00A32971" w:rsidP="00AF7CD1">
            <w:pPr>
              <w:rPr>
                <w:sz w:val="16"/>
                <w:szCs w:val="16"/>
              </w:rPr>
            </w:pPr>
            <w:r w:rsidRPr="0079074C">
              <w:rPr>
                <w:sz w:val="16"/>
                <w:szCs w:val="16"/>
              </w:rPr>
              <w:t>Pwani</w:t>
            </w:r>
          </w:p>
        </w:tc>
        <w:tc>
          <w:tcPr>
            <w:tcW w:w="370" w:type="pct"/>
            <w:tcBorders>
              <w:top w:val="nil"/>
              <w:left w:val="nil"/>
              <w:bottom w:val="nil"/>
              <w:right w:val="nil"/>
            </w:tcBorders>
            <w:shd w:val="clear" w:color="auto" w:fill="auto"/>
            <w:noWrap/>
            <w:vAlign w:val="center"/>
            <w:hideMark/>
          </w:tcPr>
          <w:p w14:paraId="1343ABA4" w14:textId="77777777" w:rsidR="00A32971" w:rsidRPr="0079074C" w:rsidRDefault="00A32971" w:rsidP="00AF7CD1">
            <w:pPr>
              <w:jc w:val="right"/>
              <w:rPr>
                <w:sz w:val="16"/>
                <w:szCs w:val="16"/>
              </w:rPr>
            </w:pPr>
            <w:r w:rsidRPr="0079074C">
              <w:rPr>
                <w:sz w:val="16"/>
                <w:szCs w:val="16"/>
              </w:rPr>
              <w:t>1.5</w:t>
            </w:r>
          </w:p>
        </w:tc>
        <w:tc>
          <w:tcPr>
            <w:tcW w:w="324" w:type="pct"/>
            <w:tcBorders>
              <w:top w:val="nil"/>
              <w:left w:val="nil"/>
              <w:bottom w:val="nil"/>
              <w:right w:val="nil"/>
            </w:tcBorders>
            <w:shd w:val="clear" w:color="auto" w:fill="auto"/>
            <w:noWrap/>
            <w:vAlign w:val="center"/>
            <w:hideMark/>
          </w:tcPr>
          <w:p w14:paraId="261C7E2F" w14:textId="77777777" w:rsidR="00A32971" w:rsidRPr="0079074C" w:rsidRDefault="00A32971" w:rsidP="00AF7CD1">
            <w:pPr>
              <w:jc w:val="right"/>
              <w:rPr>
                <w:sz w:val="16"/>
                <w:szCs w:val="16"/>
              </w:rPr>
            </w:pPr>
            <w:r w:rsidRPr="0079074C">
              <w:rPr>
                <w:sz w:val="16"/>
                <w:szCs w:val="16"/>
              </w:rPr>
              <w:t>1.2</w:t>
            </w:r>
          </w:p>
        </w:tc>
        <w:tc>
          <w:tcPr>
            <w:tcW w:w="488" w:type="pct"/>
            <w:tcBorders>
              <w:top w:val="nil"/>
              <w:left w:val="nil"/>
              <w:bottom w:val="nil"/>
              <w:right w:val="nil"/>
            </w:tcBorders>
            <w:shd w:val="clear" w:color="auto" w:fill="auto"/>
            <w:noWrap/>
            <w:vAlign w:val="center"/>
            <w:hideMark/>
          </w:tcPr>
          <w:p w14:paraId="2E218F1E" w14:textId="77777777" w:rsidR="00A32971" w:rsidRPr="0079074C" w:rsidRDefault="00A32971" w:rsidP="00AF7CD1">
            <w:pPr>
              <w:jc w:val="right"/>
              <w:rPr>
                <w:sz w:val="16"/>
                <w:szCs w:val="16"/>
              </w:rPr>
            </w:pPr>
            <w:r w:rsidRPr="0079074C">
              <w:rPr>
                <w:sz w:val="16"/>
                <w:szCs w:val="16"/>
              </w:rPr>
              <w:t>1.2</w:t>
            </w:r>
          </w:p>
        </w:tc>
        <w:tc>
          <w:tcPr>
            <w:tcW w:w="485" w:type="pct"/>
            <w:tcBorders>
              <w:top w:val="nil"/>
              <w:left w:val="nil"/>
              <w:bottom w:val="nil"/>
              <w:right w:val="nil"/>
            </w:tcBorders>
            <w:shd w:val="clear" w:color="auto" w:fill="auto"/>
            <w:noWrap/>
            <w:vAlign w:val="center"/>
            <w:hideMark/>
          </w:tcPr>
          <w:p w14:paraId="587C34A9" w14:textId="77777777" w:rsidR="00A32971" w:rsidRPr="0079074C" w:rsidRDefault="00A32971" w:rsidP="00AF7CD1">
            <w:pPr>
              <w:jc w:val="right"/>
              <w:rPr>
                <w:sz w:val="16"/>
                <w:szCs w:val="16"/>
              </w:rPr>
            </w:pPr>
            <w:r w:rsidRPr="0079074C">
              <w:rPr>
                <w:sz w:val="16"/>
                <w:szCs w:val="16"/>
              </w:rPr>
              <w:t>2.1</w:t>
            </w:r>
          </w:p>
        </w:tc>
        <w:tc>
          <w:tcPr>
            <w:tcW w:w="514" w:type="pct"/>
            <w:tcBorders>
              <w:top w:val="nil"/>
              <w:left w:val="nil"/>
              <w:bottom w:val="nil"/>
              <w:right w:val="nil"/>
            </w:tcBorders>
            <w:shd w:val="clear" w:color="auto" w:fill="auto"/>
            <w:noWrap/>
            <w:vAlign w:val="center"/>
            <w:hideMark/>
          </w:tcPr>
          <w:p w14:paraId="2FFD0B2A" w14:textId="77777777" w:rsidR="00A32971" w:rsidRPr="0079074C" w:rsidRDefault="00A32971" w:rsidP="00AF7CD1">
            <w:pPr>
              <w:jc w:val="right"/>
              <w:rPr>
                <w:sz w:val="16"/>
                <w:szCs w:val="16"/>
              </w:rPr>
            </w:pPr>
            <w:r w:rsidRPr="0079074C">
              <w:rPr>
                <w:sz w:val="16"/>
                <w:szCs w:val="16"/>
              </w:rPr>
              <w:t>2.6</w:t>
            </w:r>
          </w:p>
        </w:tc>
        <w:tc>
          <w:tcPr>
            <w:tcW w:w="440" w:type="pct"/>
            <w:tcBorders>
              <w:top w:val="nil"/>
              <w:left w:val="nil"/>
              <w:bottom w:val="nil"/>
              <w:right w:val="nil"/>
            </w:tcBorders>
            <w:shd w:val="clear" w:color="auto" w:fill="auto"/>
            <w:noWrap/>
            <w:vAlign w:val="center"/>
            <w:hideMark/>
          </w:tcPr>
          <w:p w14:paraId="19A226F2" w14:textId="77777777" w:rsidR="00A32971" w:rsidRPr="0079074C" w:rsidRDefault="00A32971" w:rsidP="00AF7CD1">
            <w:pPr>
              <w:jc w:val="right"/>
              <w:rPr>
                <w:sz w:val="16"/>
                <w:szCs w:val="16"/>
              </w:rPr>
            </w:pPr>
            <w:r w:rsidRPr="0079074C">
              <w:rPr>
                <w:sz w:val="16"/>
                <w:szCs w:val="16"/>
              </w:rPr>
              <w:t>4.8</w:t>
            </w:r>
          </w:p>
        </w:tc>
        <w:tc>
          <w:tcPr>
            <w:tcW w:w="365" w:type="pct"/>
            <w:tcBorders>
              <w:top w:val="nil"/>
              <w:left w:val="nil"/>
              <w:bottom w:val="nil"/>
              <w:right w:val="nil"/>
            </w:tcBorders>
            <w:shd w:val="clear" w:color="auto" w:fill="auto"/>
            <w:noWrap/>
            <w:vAlign w:val="center"/>
            <w:hideMark/>
          </w:tcPr>
          <w:p w14:paraId="7CBCDFD6" w14:textId="77777777" w:rsidR="00A32971" w:rsidRPr="0079074C" w:rsidRDefault="00A32971" w:rsidP="00AF7CD1">
            <w:pPr>
              <w:jc w:val="right"/>
              <w:rPr>
                <w:sz w:val="16"/>
                <w:szCs w:val="16"/>
              </w:rPr>
            </w:pPr>
            <w:r w:rsidRPr="0079074C">
              <w:rPr>
                <w:sz w:val="16"/>
                <w:szCs w:val="16"/>
              </w:rPr>
              <w:t>-</w:t>
            </w:r>
          </w:p>
        </w:tc>
        <w:tc>
          <w:tcPr>
            <w:tcW w:w="365" w:type="pct"/>
            <w:tcBorders>
              <w:top w:val="nil"/>
              <w:left w:val="nil"/>
              <w:bottom w:val="nil"/>
              <w:right w:val="nil"/>
            </w:tcBorders>
            <w:shd w:val="clear" w:color="auto" w:fill="auto"/>
            <w:noWrap/>
            <w:vAlign w:val="center"/>
            <w:hideMark/>
          </w:tcPr>
          <w:p w14:paraId="74E41158" w14:textId="77777777" w:rsidR="00A32971" w:rsidRPr="0079074C" w:rsidRDefault="00A32971" w:rsidP="00AF7CD1">
            <w:pPr>
              <w:jc w:val="right"/>
              <w:rPr>
                <w:sz w:val="16"/>
                <w:szCs w:val="16"/>
              </w:rPr>
            </w:pPr>
            <w:r w:rsidRPr="0079074C">
              <w:rPr>
                <w:sz w:val="16"/>
                <w:szCs w:val="16"/>
              </w:rPr>
              <w:t>-</w:t>
            </w:r>
          </w:p>
        </w:tc>
        <w:tc>
          <w:tcPr>
            <w:tcW w:w="431" w:type="pct"/>
            <w:tcBorders>
              <w:top w:val="nil"/>
              <w:left w:val="nil"/>
              <w:bottom w:val="nil"/>
              <w:right w:val="nil"/>
            </w:tcBorders>
            <w:shd w:val="clear" w:color="auto" w:fill="auto"/>
            <w:noWrap/>
            <w:vAlign w:val="center"/>
            <w:hideMark/>
          </w:tcPr>
          <w:p w14:paraId="6C7A5FDE" w14:textId="77777777" w:rsidR="00A32971" w:rsidRPr="0079074C" w:rsidRDefault="00A32971" w:rsidP="00AF7CD1">
            <w:pPr>
              <w:jc w:val="right"/>
              <w:rPr>
                <w:sz w:val="16"/>
                <w:szCs w:val="16"/>
              </w:rPr>
            </w:pPr>
            <w:r w:rsidRPr="0079074C">
              <w:rPr>
                <w:sz w:val="16"/>
                <w:szCs w:val="16"/>
              </w:rPr>
              <w:t>-</w:t>
            </w:r>
          </w:p>
        </w:tc>
        <w:tc>
          <w:tcPr>
            <w:tcW w:w="305" w:type="pct"/>
            <w:tcBorders>
              <w:top w:val="nil"/>
              <w:left w:val="nil"/>
              <w:bottom w:val="nil"/>
              <w:right w:val="nil"/>
            </w:tcBorders>
            <w:shd w:val="clear" w:color="auto" w:fill="auto"/>
            <w:noWrap/>
            <w:vAlign w:val="center"/>
            <w:hideMark/>
          </w:tcPr>
          <w:p w14:paraId="2DBCAE14" w14:textId="77777777" w:rsidR="00A32971" w:rsidRPr="0079074C" w:rsidRDefault="00A32971" w:rsidP="00AF7CD1">
            <w:pPr>
              <w:jc w:val="right"/>
              <w:rPr>
                <w:sz w:val="16"/>
                <w:szCs w:val="16"/>
              </w:rPr>
            </w:pPr>
            <w:r w:rsidRPr="0079074C">
              <w:rPr>
                <w:sz w:val="16"/>
                <w:szCs w:val="16"/>
              </w:rPr>
              <w:t>0.8</w:t>
            </w:r>
          </w:p>
        </w:tc>
      </w:tr>
      <w:tr w:rsidR="006B42D6" w:rsidRPr="006B42D6" w14:paraId="25925AE0" w14:textId="77777777" w:rsidTr="0079074C">
        <w:trPr>
          <w:trHeight w:val="306"/>
        </w:trPr>
        <w:tc>
          <w:tcPr>
            <w:tcW w:w="913" w:type="pct"/>
            <w:tcBorders>
              <w:top w:val="nil"/>
              <w:left w:val="nil"/>
              <w:bottom w:val="nil"/>
              <w:right w:val="nil"/>
            </w:tcBorders>
            <w:shd w:val="clear" w:color="auto" w:fill="auto"/>
            <w:noWrap/>
            <w:vAlign w:val="center"/>
            <w:hideMark/>
          </w:tcPr>
          <w:p w14:paraId="4DA3FE85" w14:textId="77777777" w:rsidR="00A32971" w:rsidRPr="0079074C" w:rsidRDefault="00A32971" w:rsidP="00AF7CD1">
            <w:pPr>
              <w:rPr>
                <w:sz w:val="16"/>
                <w:szCs w:val="16"/>
              </w:rPr>
            </w:pPr>
            <w:r w:rsidRPr="0079074C">
              <w:rPr>
                <w:sz w:val="16"/>
                <w:szCs w:val="16"/>
              </w:rPr>
              <w:t>Dar-es-salaam</w:t>
            </w:r>
          </w:p>
        </w:tc>
        <w:tc>
          <w:tcPr>
            <w:tcW w:w="370" w:type="pct"/>
            <w:tcBorders>
              <w:top w:val="nil"/>
              <w:left w:val="nil"/>
              <w:bottom w:val="nil"/>
              <w:right w:val="nil"/>
            </w:tcBorders>
            <w:shd w:val="clear" w:color="auto" w:fill="auto"/>
            <w:noWrap/>
            <w:vAlign w:val="center"/>
            <w:hideMark/>
          </w:tcPr>
          <w:p w14:paraId="27681700" w14:textId="77777777" w:rsidR="00A32971" w:rsidRPr="0079074C" w:rsidRDefault="00A32971" w:rsidP="00AF7CD1">
            <w:pPr>
              <w:jc w:val="right"/>
              <w:rPr>
                <w:sz w:val="16"/>
                <w:szCs w:val="16"/>
              </w:rPr>
            </w:pPr>
            <w:r w:rsidRPr="0079074C">
              <w:rPr>
                <w:sz w:val="16"/>
                <w:szCs w:val="16"/>
              </w:rPr>
              <w:t>2.4</w:t>
            </w:r>
          </w:p>
        </w:tc>
        <w:tc>
          <w:tcPr>
            <w:tcW w:w="324" w:type="pct"/>
            <w:tcBorders>
              <w:top w:val="nil"/>
              <w:left w:val="nil"/>
              <w:bottom w:val="nil"/>
              <w:right w:val="nil"/>
            </w:tcBorders>
            <w:shd w:val="clear" w:color="auto" w:fill="auto"/>
            <w:noWrap/>
            <w:vAlign w:val="center"/>
            <w:hideMark/>
          </w:tcPr>
          <w:p w14:paraId="5F4716F1" w14:textId="77777777" w:rsidR="00A32971" w:rsidRPr="0079074C" w:rsidRDefault="00A32971" w:rsidP="00AF7CD1">
            <w:pPr>
              <w:jc w:val="right"/>
              <w:rPr>
                <w:sz w:val="16"/>
                <w:szCs w:val="16"/>
              </w:rPr>
            </w:pPr>
            <w:r w:rsidRPr="0079074C">
              <w:rPr>
                <w:sz w:val="16"/>
                <w:szCs w:val="16"/>
              </w:rPr>
              <w:t>2.9</w:t>
            </w:r>
          </w:p>
        </w:tc>
        <w:tc>
          <w:tcPr>
            <w:tcW w:w="488" w:type="pct"/>
            <w:tcBorders>
              <w:top w:val="nil"/>
              <w:left w:val="nil"/>
              <w:bottom w:val="nil"/>
              <w:right w:val="nil"/>
            </w:tcBorders>
            <w:shd w:val="clear" w:color="auto" w:fill="auto"/>
            <w:noWrap/>
            <w:vAlign w:val="center"/>
            <w:hideMark/>
          </w:tcPr>
          <w:p w14:paraId="45480161" w14:textId="77777777" w:rsidR="00A32971" w:rsidRPr="0079074C" w:rsidRDefault="00A32971" w:rsidP="00AF7CD1">
            <w:pPr>
              <w:jc w:val="right"/>
              <w:rPr>
                <w:sz w:val="16"/>
                <w:szCs w:val="16"/>
              </w:rPr>
            </w:pPr>
            <w:r w:rsidRPr="0079074C">
              <w:rPr>
                <w:sz w:val="16"/>
                <w:szCs w:val="16"/>
              </w:rPr>
              <w:t>2.3</w:t>
            </w:r>
          </w:p>
        </w:tc>
        <w:tc>
          <w:tcPr>
            <w:tcW w:w="485" w:type="pct"/>
            <w:tcBorders>
              <w:top w:val="nil"/>
              <w:left w:val="nil"/>
              <w:bottom w:val="nil"/>
              <w:right w:val="nil"/>
            </w:tcBorders>
            <w:shd w:val="clear" w:color="auto" w:fill="auto"/>
            <w:noWrap/>
            <w:vAlign w:val="center"/>
            <w:hideMark/>
          </w:tcPr>
          <w:p w14:paraId="7669BA4E" w14:textId="77777777" w:rsidR="00A32971" w:rsidRPr="0079074C" w:rsidRDefault="00A32971" w:rsidP="00AF7CD1">
            <w:pPr>
              <w:jc w:val="right"/>
              <w:rPr>
                <w:sz w:val="16"/>
                <w:szCs w:val="16"/>
              </w:rPr>
            </w:pPr>
            <w:r w:rsidRPr="0079074C">
              <w:rPr>
                <w:sz w:val="16"/>
                <w:szCs w:val="16"/>
              </w:rPr>
              <w:t>3.3</w:t>
            </w:r>
          </w:p>
        </w:tc>
        <w:tc>
          <w:tcPr>
            <w:tcW w:w="514" w:type="pct"/>
            <w:tcBorders>
              <w:top w:val="nil"/>
              <w:left w:val="nil"/>
              <w:bottom w:val="nil"/>
              <w:right w:val="nil"/>
            </w:tcBorders>
            <w:shd w:val="clear" w:color="auto" w:fill="auto"/>
            <w:noWrap/>
            <w:vAlign w:val="center"/>
            <w:hideMark/>
          </w:tcPr>
          <w:p w14:paraId="511D3AE5" w14:textId="77777777" w:rsidR="00A32971" w:rsidRPr="0079074C" w:rsidRDefault="00A32971" w:rsidP="00AF7CD1">
            <w:pPr>
              <w:jc w:val="right"/>
              <w:rPr>
                <w:sz w:val="16"/>
                <w:szCs w:val="16"/>
              </w:rPr>
            </w:pPr>
            <w:r w:rsidRPr="0079074C">
              <w:rPr>
                <w:sz w:val="16"/>
                <w:szCs w:val="16"/>
              </w:rPr>
              <w:t>2.4</w:t>
            </w:r>
          </w:p>
        </w:tc>
        <w:tc>
          <w:tcPr>
            <w:tcW w:w="440" w:type="pct"/>
            <w:tcBorders>
              <w:top w:val="nil"/>
              <w:left w:val="nil"/>
              <w:bottom w:val="nil"/>
              <w:right w:val="nil"/>
            </w:tcBorders>
            <w:shd w:val="clear" w:color="auto" w:fill="auto"/>
            <w:noWrap/>
            <w:vAlign w:val="center"/>
            <w:hideMark/>
          </w:tcPr>
          <w:p w14:paraId="69694712" w14:textId="77777777" w:rsidR="00A32971" w:rsidRPr="0079074C" w:rsidRDefault="00A32971" w:rsidP="00AF7CD1">
            <w:pPr>
              <w:jc w:val="right"/>
              <w:rPr>
                <w:sz w:val="16"/>
                <w:szCs w:val="16"/>
              </w:rPr>
            </w:pPr>
            <w:r w:rsidRPr="0079074C">
              <w:rPr>
                <w:sz w:val="16"/>
                <w:szCs w:val="16"/>
              </w:rPr>
              <w:t>8.5</w:t>
            </w:r>
          </w:p>
        </w:tc>
        <w:tc>
          <w:tcPr>
            <w:tcW w:w="365" w:type="pct"/>
            <w:tcBorders>
              <w:top w:val="nil"/>
              <w:left w:val="nil"/>
              <w:bottom w:val="nil"/>
              <w:right w:val="nil"/>
            </w:tcBorders>
            <w:shd w:val="clear" w:color="auto" w:fill="auto"/>
            <w:noWrap/>
            <w:vAlign w:val="center"/>
            <w:hideMark/>
          </w:tcPr>
          <w:p w14:paraId="06D85C41" w14:textId="77777777" w:rsidR="00A32971" w:rsidRPr="0079074C" w:rsidRDefault="00A32971" w:rsidP="00AF7CD1">
            <w:pPr>
              <w:jc w:val="right"/>
              <w:rPr>
                <w:sz w:val="16"/>
                <w:szCs w:val="16"/>
              </w:rPr>
            </w:pPr>
            <w:r w:rsidRPr="0079074C">
              <w:rPr>
                <w:sz w:val="16"/>
                <w:szCs w:val="16"/>
              </w:rPr>
              <w:t>-</w:t>
            </w:r>
          </w:p>
        </w:tc>
        <w:tc>
          <w:tcPr>
            <w:tcW w:w="365" w:type="pct"/>
            <w:tcBorders>
              <w:top w:val="nil"/>
              <w:left w:val="nil"/>
              <w:bottom w:val="nil"/>
              <w:right w:val="nil"/>
            </w:tcBorders>
            <w:shd w:val="clear" w:color="auto" w:fill="auto"/>
            <w:noWrap/>
            <w:vAlign w:val="center"/>
            <w:hideMark/>
          </w:tcPr>
          <w:p w14:paraId="3557CD81" w14:textId="77777777" w:rsidR="00A32971" w:rsidRPr="0079074C" w:rsidRDefault="00A32971" w:rsidP="00AF7CD1">
            <w:pPr>
              <w:jc w:val="right"/>
              <w:rPr>
                <w:sz w:val="16"/>
                <w:szCs w:val="16"/>
              </w:rPr>
            </w:pPr>
            <w:r w:rsidRPr="0079074C">
              <w:rPr>
                <w:sz w:val="16"/>
                <w:szCs w:val="16"/>
              </w:rPr>
              <w:t>-</w:t>
            </w:r>
          </w:p>
        </w:tc>
        <w:tc>
          <w:tcPr>
            <w:tcW w:w="431" w:type="pct"/>
            <w:tcBorders>
              <w:top w:val="nil"/>
              <w:left w:val="nil"/>
              <w:bottom w:val="nil"/>
              <w:right w:val="nil"/>
            </w:tcBorders>
            <w:shd w:val="clear" w:color="auto" w:fill="auto"/>
            <w:noWrap/>
            <w:vAlign w:val="center"/>
            <w:hideMark/>
          </w:tcPr>
          <w:p w14:paraId="0473A7EE" w14:textId="60E1EA7D" w:rsidR="00A32971" w:rsidRPr="0079074C" w:rsidRDefault="00A32971" w:rsidP="00AF7CD1">
            <w:pPr>
              <w:jc w:val="right"/>
              <w:rPr>
                <w:sz w:val="16"/>
                <w:szCs w:val="16"/>
              </w:rPr>
            </w:pPr>
            <w:r w:rsidRPr="0079074C">
              <w:rPr>
                <w:sz w:val="16"/>
                <w:szCs w:val="16"/>
              </w:rPr>
              <w:t>13</w:t>
            </w:r>
            <w:r w:rsidR="00272901" w:rsidRPr="0079074C">
              <w:rPr>
                <w:sz w:val="16"/>
                <w:szCs w:val="16"/>
              </w:rPr>
              <w:t>.0</w:t>
            </w:r>
          </w:p>
        </w:tc>
        <w:tc>
          <w:tcPr>
            <w:tcW w:w="305" w:type="pct"/>
            <w:tcBorders>
              <w:top w:val="nil"/>
              <w:left w:val="nil"/>
              <w:bottom w:val="nil"/>
              <w:right w:val="nil"/>
            </w:tcBorders>
            <w:shd w:val="clear" w:color="auto" w:fill="auto"/>
            <w:noWrap/>
            <w:vAlign w:val="center"/>
            <w:hideMark/>
          </w:tcPr>
          <w:p w14:paraId="63FE15AC" w14:textId="77777777" w:rsidR="00A32971" w:rsidRPr="0079074C" w:rsidRDefault="00A32971" w:rsidP="00AF7CD1">
            <w:pPr>
              <w:jc w:val="right"/>
              <w:rPr>
                <w:sz w:val="16"/>
                <w:szCs w:val="16"/>
              </w:rPr>
            </w:pPr>
            <w:r w:rsidRPr="0079074C">
              <w:rPr>
                <w:sz w:val="16"/>
                <w:szCs w:val="16"/>
              </w:rPr>
              <w:t>-</w:t>
            </w:r>
          </w:p>
        </w:tc>
      </w:tr>
      <w:tr w:rsidR="006B42D6" w:rsidRPr="006B42D6" w14:paraId="29EEEB6C" w14:textId="77777777" w:rsidTr="0079074C">
        <w:trPr>
          <w:trHeight w:val="306"/>
        </w:trPr>
        <w:tc>
          <w:tcPr>
            <w:tcW w:w="913" w:type="pct"/>
            <w:tcBorders>
              <w:top w:val="nil"/>
              <w:left w:val="nil"/>
              <w:bottom w:val="nil"/>
              <w:right w:val="nil"/>
            </w:tcBorders>
            <w:shd w:val="clear" w:color="auto" w:fill="auto"/>
            <w:noWrap/>
            <w:vAlign w:val="center"/>
            <w:hideMark/>
          </w:tcPr>
          <w:p w14:paraId="7AB512B9" w14:textId="77777777" w:rsidR="00A32971" w:rsidRPr="0079074C" w:rsidRDefault="00A32971" w:rsidP="00AF7CD1">
            <w:pPr>
              <w:rPr>
                <w:sz w:val="16"/>
                <w:szCs w:val="16"/>
              </w:rPr>
            </w:pPr>
            <w:r w:rsidRPr="0079074C">
              <w:rPr>
                <w:sz w:val="16"/>
                <w:szCs w:val="16"/>
              </w:rPr>
              <w:t>Lindi</w:t>
            </w:r>
          </w:p>
        </w:tc>
        <w:tc>
          <w:tcPr>
            <w:tcW w:w="370" w:type="pct"/>
            <w:tcBorders>
              <w:top w:val="nil"/>
              <w:left w:val="nil"/>
              <w:bottom w:val="nil"/>
              <w:right w:val="nil"/>
            </w:tcBorders>
            <w:shd w:val="clear" w:color="auto" w:fill="auto"/>
            <w:noWrap/>
            <w:vAlign w:val="center"/>
            <w:hideMark/>
          </w:tcPr>
          <w:p w14:paraId="0F9C2AC3" w14:textId="77777777" w:rsidR="00A32971" w:rsidRPr="0079074C" w:rsidRDefault="00A32971" w:rsidP="00AF7CD1">
            <w:pPr>
              <w:jc w:val="right"/>
              <w:rPr>
                <w:sz w:val="16"/>
                <w:szCs w:val="16"/>
              </w:rPr>
            </w:pPr>
            <w:r w:rsidRPr="0079074C">
              <w:rPr>
                <w:sz w:val="16"/>
                <w:szCs w:val="16"/>
              </w:rPr>
              <w:t>1.4</w:t>
            </w:r>
          </w:p>
        </w:tc>
        <w:tc>
          <w:tcPr>
            <w:tcW w:w="324" w:type="pct"/>
            <w:tcBorders>
              <w:top w:val="nil"/>
              <w:left w:val="nil"/>
              <w:bottom w:val="nil"/>
              <w:right w:val="nil"/>
            </w:tcBorders>
            <w:shd w:val="clear" w:color="auto" w:fill="auto"/>
            <w:noWrap/>
            <w:vAlign w:val="center"/>
            <w:hideMark/>
          </w:tcPr>
          <w:p w14:paraId="75212F83" w14:textId="77777777" w:rsidR="00A32971" w:rsidRPr="0079074C" w:rsidRDefault="00A32971" w:rsidP="00AF7CD1">
            <w:pPr>
              <w:jc w:val="right"/>
              <w:rPr>
                <w:sz w:val="16"/>
                <w:szCs w:val="16"/>
              </w:rPr>
            </w:pPr>
            <w:r w:rsidRPr="0079074C">
              <w:rPr>
                <w:sz w:val="16"/>
                <w:szCs w:val="16"/>
              </w:rPr>
              <w:t>0.8</w:t>
            </w:r>
          </w:p>
        </w:tc>
        <w:tc>
          <w:tcPr>
            <w:tcW w:w="488" w:type="pct"/>
            <w:tcBorders>
              <w:top w:val="nil"/>
              <w:left w:val="nil"/>
              <w:bottom w:val="nil"/>
              <w:right w:val="nil"/>
            </w:tcBorders>
            <w:shd w:val="clear" w:color="auto" w:fill="auto"/>
            <w:noWrap/>
            <w:vAlign w:val="center"/>
            <w:hideMark/>
          </w:tcPr>
          <w:p w14:paraId="1528A908" w14:textId="77777777" w:rsidR="00A32971" w:rsidRPr="0079074C" w:rsidRDefault="00A32971" w:rsidP="00AF7CD1">
            <w:pPr>
              <w:jc w:val="right"/>
              <w:rPr>
                <w:sz w:val="16"/>
                <w:szCs w:val="16"/>
              </w:rPr>
            </w:pPr>
            <w:r w:rsidRPr="0079074C">
              <w:rPr>
                <w:sz w:val="16"/>
                <w:szCs w:val="16"/>
              </w:rPr>
              <w:t>0.8</w:t>
            </w:r>
          </w:p>
        </w:tc>
        <w:tc>
          <w:tcPr>
            <w:tcW w:w="485" w:type="pct"/>
            <w:tcBorders>
              <w:top w:val="nil"/>
              <w:left w:val="nil"/>
              <w:bottom w:val="nil"/>
              <w:right w:val="nil"/>
            </w:tcBorders>
            <w:shd w:val="clear" w:color="auto" w:fill="auto"/>
            <w:noWrap/>
            <w:vAlign w:val="center"/>
            <w:hideMark/>
          </w:tcPr>
          <w:p w14:paraId="53E955DF" w14:textId="0AD4FD60" w:rsidR="00A32971" w:rsidRPr="0079074C" w:rsidRDefault="00A32971" w:rsidP="00AF7CD1">
            <w:pPr>
              <w:jc w:val="right"/>
              <w:rPr>
                <w:sz w:val="16"/>
                <w:szCs w:val="16"/>
              </w:rPr>
            </w:pPr>
            <w:r w:rsidRPr="0079074C">
              <w:rPr>
                <w:sz w:val="16"/>
                <w:szCs w:val="16"/>
              </w:rPr>
              <w:t>5</w:t>
            </w:r>
            <w:r w:rsidR="00272901" w:rsidRPr="0079074C">
              <w:rPr>
                <w:sz w:val="16"/>
                <w:szCs w:val="16"/>
              </w:rPr>
              <w:t>.0</w:t>
            </w:r>
          </w:p>
        </w:tc>
        <w:tc>
          <w:tcPr>
            <w:tcW w:w="514" w:type="pct"/>
            <w:tcBorders>
              <w:top w:val="nil"/>
              <w:left w:val="nil"/>
              <w:bottom w:val="nil"/>
              <w:right w:val="nil"/>
            </w:tcBorders>
            <w:shd w:val="clear" w:color="auto" w:fill="auto"/>
            <w:noWrap/>
            <w:vAlign w:val="center"/>
            <w:hideMark/>
          </w:tcPr>
          <w:p w14:paraId="39902E2B" w14:textId="77777777" w:rsidR="00A32971" w:rsidRPr="0079074C" w:rsidRDefault="00A32971" w:rsidP="00AF7CD1">
            <w:pPr>
              <w:jc w:val="right"/>
              <w:rPr>
                <w:sz w:val="16"/>
                <w:szCs w:val="16"/>
              </w:rPr>
            </w:pPr>
            <w:r w:rsidRPr="0079074C">
              <w:rPr>
                <w:sz w:val="16"/>
                <w:szCs w:val="16"/>
              </w:rPr>
              <w:t>0.7</w:t>
            </w:r>
          </w:p>
        </w:tc>
        <w:tc>
          <w:tcPr>
            <w:tcW w:w="440" w:type="pct"/>
            <w:tcBorders>
              <w:top w:val="nil"/>
              <w:left w:val="nil"/>
              <w:bottom w:val="nil"/>
              <w:right w:val="nil"/>
            </w:tcBorders>
            <w:shd w:val="clear" w:color="auto" w:fill="auto"/>
            <w:noWrap/>
            <w:vAlign w:val="center"/>
            <w:hideMark/>
          </w:tcPr>
          <w:p w14:paraId="6B47FF82" w14:textId="77777777" w:rsidR="00A32971" w:rsidRPr="0079074C" w:rsidRDefault="00A32971" w:rsidP="00AF7CD1">
            <w:pPr>
              <w:jc w:val="right"/>
              <w:rPr>
                <w:sz w:val="16"/>
                <w:szCs w:val="16"/>
              </w:rPr>
            </w:pPr>
            <w:r w:rsidRPr="0079074C">
              <w:rPr>
                <w:sz w:val="16"/>
                <w:szCs w:val="16"/>
              </w:rPr>
              <w:t>-</w:t>
            </w:r>
          </w:p>
        </w:tc>
        <w:tc>
          <w:tcPr>
            <w:tcW w:w="365" w:type="pct"/>
            <w:tcBorders>
              <w:top w:val="nil"/>
              <w:left w:val="nil"/>
              <w:bottom w:val="nil"/>
              <w:right w:val="nil"/>
            </w:tcBorders>
            <w:shd w:val="clear" w:color="auto" w:fill="auto"/>
            <w:noWrap/>
            <w:vAlign w:val="center"/>
            <w:hideMark/>
          </w:tcPr>
          <w:p w14:paraId="442220E7" w14:textId="77777777" w:rsidR="00A32971" w:rsidRPr="0079074C" w:rsidRDefault="00A32971" w:rsidP="00AF7CD1">
            <w:pPr>
              <w:jc w:val="right"/>
              <w:rPr>
                <w:sz w:val="16"/>
                <w:szCs w:val="16"/>
              </w:rPr>
            </w:pPr>
            <w:r w:rsidRPr="0079074C">
              <w:rPr>
                <w:sz w:val="16"/>
                <w:szCs w:val="16"/>
              </w:rPr>
              <w:t>-</w:t>
            </w:r>
          </w:p>
        </w:tc>
        <w:tc>
          <w:tcPr>
            <w:tcW w:w="365" w:type="pct"/>
            <w:tcBorders>
              <w:top w:val="nil"/>
              <w:left w:val="nil"/>
              <w:bottom w:val="nil"/>
              <w:right w:val="nil"/>
            </w:tcBorders>
            <w:shd w:val="clear" w:color="auto" w:fill="auto"/>
            <w:noWrap/>
            <w:vAlign w:val="center"/>
            <w:hideMark/>
          </w:tcPr>
          <w:p w14:paraId="6C550F5D" w14:textId="77777777" w:rsidR="00A32971" w:rsidRPr="0079074C" w:rsidRDefault="00A32971" w:rsidP="00AF7CD1">
            <w:pPr>
              <w:jc w:val="right"/>
              <w:rPr>
                <w:sz w:val="16"/>
                <w:szCs w:val="16"/>
              </w:rPr>
            </w:pPr>
            <w:r w:rsidRPr="0079074C">
              <w:rPr>
                <w:sz w:val="16"/>
                <w:szCs w:val="16"/>
              </w:rPr>
              <w:t>-</w:t>
            </w:r>
          </w:p>
        </w:tc>
        <w:tc>
          <w:tcPr>
            <w:tcW w:w="431" w:type="pct"/>
            <w:tcBorders>
              <w:top w:val="nil"/>
              <w:left w:val="nil"/>
              <w:bottom w:val="nil"/>
              <w:right w:val="nil"/>
            </w:tcBorders>
            <w:shd w:val="clear" w:color="auto" w:fill="auto"/>
            <w:noWrap/>
            <w:vAlign w:val="center"/>
            <w:hideMark/>
          </w:tcPr>
          <w:p w14:paraId="163B4DA3" w14:textId="77777777" w:rsidR="00A32971" w:rsidRPr="0079074C" w:rsidRDefault="00A32971" w:rsidP="00AF7CD1">
            <w:pPr>
              <w:jc w:val="right"/>
              <w:rPr>
                <w:sz w:val="16"/>
                <w:szCs w:val="16"/>
              </w:rPr>
            </w:pPr>
            <w:r w:rsidRPr="0079074C">
              <w:rPr>
                <w:sz w:val="16"/>
                <w:szCs w:val="16"/>
              </w:rPr>
              <w:t>-</w:t>
            </w:r>
          </w:p>
        </w:tc>
        <w:tc>
          <w:tcPr>
            <w:tcW w:w="305" w:type="pct"/>
            <w:tcBorders>
              <w:top w:val="nil"/>
              <w:left w:val="nil"/>
              <w:bottom w:val="nil"/>
              <w:right w:val="nil"/>
            </w:tcBorders>
            <w:shd w:val="clear" w:color="auto" w:fill="auto"/>
            <w:noWrap/>
            <w:vAlign w:val="center"/>
            <w:hideMark/>
          </w:tcPr>
          <w:p w14:paraId="7C1E1A96" w14:textId="77777777" w:rsidR="00A32971" w:rsidRPr="0079074C" w:rsidRDefault="00A32971" w:rsidP="00AF7CD1">
            <w:pPr>
              <w:jc w:val="right"/>
              <w:rPr>
                <w:sz w:val="16"/>
                <w:szCs w:val="16"/>
              </w:rPr>
            </w:pPr>
            <w:r w:rsidRPr="0079074C">
              <w:rPr>
                <w:sz w:val="16"/>
                <w:szCs w:val="16"/>
              </w:rPr>
              <w:t>2.4</w:t>
            </w:r>
          </w:p>
        </w:tc>
      </w:tr>
      <w:tr w:rsidR="006B42D6" w:rsidRPr="006B42D6" w14:paraId="79686BAF" w14:textId="77777777" w:rsidTr="0079074C">
        <w:trPr>
          <w:trHeight w:val="306"/>
        </w:trPr>
        <w:tc>
          <w:tcPr>
            <w:tcW w:w="913" w:type="pct"/>
            <w:tcBorders>
              <w:top w:val="nil"/>
              <w:left w:val="nil"/>
              <w:bottom w:val="nil"/>
              <w:right w:val="nil"/>
            </w:tcBorders>
            <w:shd w:val="clear" w:color="auto" w:fill="auto"/>
            <w:noWrap/>
            <w:vAlign w:val="center"/>
            <w:hideMark/>
          </w:tcPr>
          <w:p w14:paraId="4DCA5CAF" w14:textId="77777777" w:rsidR="00A32971" w:rsidRPr="0079074C" w:rsidRDefault="00A32971" w:rsidP="00AF7CD1">
            <w:pPr>
              <w:rPr>
                <w:sz w:val="16"/>
                <w:szCs w:val="16"/>
              </w:rPr>
            </w:pPr>
            <w:r w:rsidRPr="0079074C">
              <w:rPr>
                <w:sz w:val="16"/>
                <w:szCs w:val="16"/>
              </w:rPr>
              <w:t>Mtwara</w:t>
            </w:r>
          </w:p>
        </w:tc>
        <w:tc>
          <w:tcPr>
            <w:tcW w:w="370" w:type="pct"/>
            <w:tcBorders>
              <w:top w:val="nil"/>
              <w:left w:val="nil"/>
              <w:bottom w:val="nil"/>
              <w:right w:val="nil"/>
            </w:tcBorders>
            <w:shd w:val="clear" w:color="auto" w:fill="auto"/>
            <w:noWrap/>
            <w:vAlign w:val="center"/>
            <w:hideMark/>
          </w:tcPr>
          <w:p w14:paraId="6752863B" w14:textId="77777777" w:rsidR="00A32971" w:rsidRPr="0079074C" w:rsidRDefault="00A32971" w:rsidP="00AF7CD1">
            <w:pPr>
              <w:jc w:val="right"/>
              <w:rPr>
                <w:sz w:val="16"/>
                <w:szCs w:val="16"/>
              </w:rPr>
            </w:pPr>
            <w:r w:rsidRPr="0079074C">
              <w:rPr>
                <w:sz w:val="16"/>
                <w:szCs w:val="16"/>
              </w:rPr>
              <w:t>2.3</w:t>
            </w:r>
          </w:p>
        </w:tc>
        <w:tc>
          <w:tcPr>
            <w:tcW w:w="324" w:type="pct"/>
            <w:tcBorders>
              <w:top w:val="nil"/>
              <w:left w:val="nil"/>
              <w:bottom w:val="nil"/>
              <w:right w:val="nil"/>
            </w:tcBorders>
            <w:shd w:val="clear" w:color="auto" w:fill="auto"/>
            <w:noWrap/>
            <w:vAlign w:val="center"/>
            <w:hideMark/>
          </w:tcPr>
          <w:p w14:paraId="63F46B69" w14:textId="77777777" w:rsidR="00A32971" w:rsidRPr="0079074C" w:rsidRDefault="00A32971" w:rsidP="00AF7CD1">
            <w:pPr>
              <w:jc w:val="right"/>
              <w:rPr>
                <w:sz w:val="16"/>
                <w:szCs w:val="16"/>
              </w:rPr>
            </w:pPr>
            <w:r w:rsidRPr="0079074C">
              <w:rPr>
                <w:sz w:val="16"/>
                <w:szCs w:val="16"/>
              </w:rPr>
              <w:t>0.7</w:t>
            </w:r>
          </w:p>
        </w:tc>
        <w:tc>
          <w:tcPr>
            <w:tcW w:w="488" w:type="pct"/>
            <w:tcBorders>
              <w:top w:val="nil"/>
              <w:left w:val="nil"/>
              <w:bottom w:val="nil"/>
              <w:right w:val="nil"/>
            </w:tcBorders>
            <w:shd w:val="clear" w:color="auto" w:fill="auto"/>
            <w:noWrap/>
            <w:vAlign w:val="center"/>
            <w:hideMark/>
          </w:tcPr>
          <w:p w14:paraId="32C97D27" w14:textId="77777777" w:rsidR="00A32971" w:rsidRPr="0079074C" w:rsidRDefault="00A32971" w:rsidP="00AF7CD1">
            <w:pPr>
              <w:jc w:val="right"/>
              <w:rPr>
                <w:sz w:val="16"/>
                <w:szCs w:val="16"/>
              </w:rPr>
            </w:pPr>
            <w:r w:rsidRPr="0079074C">
              <w:rPr>
                <w:sz w:val="16"/>
                <w:szCs w:val="16"/>
              </w:rPr>
              <w:t>1.1</w:t>
            </w:r>
          </w:p>
        </w:tc>
        <w:tc>
          <w:tcPr>
            <w:tcW w:w="485" w:type="pct"/>
            <w:tcBorders>
              <w:top w:val="nil"/>
              <w:left w:val="nil"/>
              <w:bottom w:val="nil"/>
              <w:right w:val="nil"/>
            </w:tcBorders>
            <w:shd w:val="clear" w:color="auto" w:fill="auto"/>
            <w:noWrap/>
            <w:vAlign w:val="center"/>
            <w:hideMark/>
          </w:tcPr>
          <w:p w14:paraId="76D30B1F" w14:textId="77777777" w:rsidR="00A32971" w:rsidRPr="0079074C" w:rsidRDefault="00A32971" w:rsidP="00AF7CD1">
            <w:pPr>
              <w:jc w:val="right"/>
              <w:rPr>
                <w:sz w:val="16"/>
                <w:szCs w:val="16"/>
              </w:rPr>
            </w:pPr>
            <w:r w:rsidRPr="0079074C">
              <w:rPr>
                <w:sz w:val="16"/>
                <w:szCs w:val="16"/>
              </w:rPr>
              <w:t>8.3</w:t>
            </w:r>
          </w:p>
        </w:tc>
        <w:tc>
          <w:tcPr>
            <w:tcW w:w="514" w:type="pct"/>
            <w:tcBorders>
              <w:top w:val="nil"/>
              <w:left w:val="nil"/>
              <w:bottom w:val="nil"/>
              <w:right w:val="nil"/>
            </w:tcBorders>
            <w:shd w:val="clear" w:color="auto" w:fill="auto"/>
            <w:noWrap/>
            <w:vAlign w:val="center"/>
            <w:hideMark/>
          </w:tcPr>
          <w:p w14:paraId="195E88D1" w14:textId="77777777" w:rsidR="00A32971" w:rsidRPr="0079074C" w:rsidRDefault="00A32971" w:rsidP="00AF7CD1">
            <w:pPr>
              <w:jc w:val="right"/>
              <w:rPr>
                <w:sz w:val="16"/>
                <w:szCs w:val="16"/>
              </w:rPr>
            </w:pPr>
            <w:r w:rsidRPr="0079074C">
              <w:rPr>
                <w:sz w:val="16"/>
                <w:szCs w:val="16"/>
              </w:rPr>
              <w:t>5.1</w:t>
            </w:r>
          </w:p>
        </w:tc>
        <w:tc>
          <w:tcPr>
            <w:tcW w:w="440" w:type="pct"/>
            <w:tcBorders>
              <w:top w:val="nil"/>
              <w:left w:val="nil"/>
              <w:bottom w:val="nil"/>
              <w:right w:val="nil"/>
            </w:tcBorders>
            <w:shd w:val="clear" w:color="auto" w:fill="auto"/>
            <w:noWrap/>
            <w:vAlign w:val="center"/>
            <w:hideMark/>
          </w:tcPr>
          <w:p w14:paraId="5AB38AC6" w14:textId="77777777" w:rsidR="00A32971" w:rsidRPr="0079074C" w:rsidRDefault="00A32971" w:rsidP="00AF7CD1">
            <w:pPr>
              <w:jc w:val="right"/>
              <w:rPr>
                <w:sz w:val="16"/>
                <w:szCs w:val="16"/>
              </w:rPr>
            </w:pPr>
            <w:r w:rsidRPr="0079074C">
              <w:rPr>
                <w:sz w:val="16"/>
                <w:szCs w:val="16"/>
              </w:rPr>
              <w:t>-</w:t>
            </w:r>
          </w:p>
        </w:tc>
        <w:tc>
          <w:tcPr>
            <w:tcW w:w="365" w:type="pct"/>
            <w:tcBorders>
              <w:top w:val="nil"/>
              <w:left w:val="nil"/>
              <w:bottom w:val="nil"/>
              <w:right w:val="nil"/>
            </w:tcBorders>
            <w:shd w:val="clear" w:color="auto" w:fill="auto"/>
            <w:noWrap/>
            <w:vAlign w:val="center"/>
            <w:hideMark/>
          </w:tcPr>
          <w:p w14:paraId="34DFA765" w14:textId="77777777" w:rsidR="00A32971" w:rsidRPr="0079074C" w:rsidRDefault="00A32971" w:rsidP="00AF7CD1">
            <w:pPr>
              <w:jc w:val="right"/>
              <w:rPr>
                <w:sz w:val="16"/>
                <w:szCs w:val="16"/>
              </w:rPr>
            </w:pPr>
            <w:r w:rsidRPr="0079074C">
              <w:rPr>
                <w:sz w:val="16"/>
                <w:szCs w:val="16"/>
              </w:rPr>
              <w:t>-</w:t>
            </w:r>
          </w:p>
        </w:tc>
        <w:tc>
          <w:tcPr>
            <w:tcW w:w="365" w:type="pct"/>
            <w:tcBorders>
              <w:top w:val="nil"/>
              <w:left w:val="nil"/>
              <w:bottom w:val="nil"/>
              <w:right w:val="nil"/>
            </w:tcBorders>
            <w:shd w:val="clear" w:color="auto" w:fill="auto"/>
            <w:noWrap/>
            <w:vAlign w:val="center"/>
            <w:hideMark/>
          </w:tcPr>
          <w:p w14:paraId="0325A2E4" w14:textId="77777777" w:rsidR="00A32971" w:rsidRPr="0079074C" w:rsidRDefault="00A32971" w:rsidP="00AF7CD1">
            <w:pPr>
              <w:jc w:val="right"/>
              <w:rPr>
                <w:sz w:val="16"/>
                <w:szCs w:val="16"/>
              </w:rPr>
            </w:pPr>
            <w:r w:rsidRPr="0079074C">
              <w:rPr>
                <w:sz w:val="16"/>
                <w:szCs w:val="16"/>
              </w:rPr>
              <w:t>-</w:t>
            </w:r>
          </w:p>
        </w:tc>
        <w:tc>
          <w:tcPr>
            <w:tcW w:w="431" w:type="pct"/>
            <w:tcBorders>
              <w:top w:val="nil"/>
              <w:left w:val="nil"/>
              <w:bottom w:val="nil"/>
              <w:right w:val="nil"/>
            </w:tcBorders>
            <w:shd w:val="clear" w:color="auto" w:fill="auto"/>
            <w:noWrap/>
            <w:vAlign w:val="center"/>
            <w:hideMark/>
          </w:tcPr>
          <w:p w14:paraId="55E6A618" w14:textId="77777777" w:rsidR="00A32971" w:rsidRPr="0079074C" w:rsidRDefault="00A32971" w:rsidP="00AF7CD1">
            <w:pPr>
              <w:jc w:val="right"/>
              <w:rPr>
                <w:sz w:val="16"/>
                <w:szCs w:val="16"/>
              </w:rPr>
            </w:pPr>
            <w:r w:rsidRPr="0079074C">
              <w:rPr>
                <w:sz w:val="16"/>
                <w:szCs w:val="16"/>
              </w:rPr>
              <w:t>-</w:t>
            </w:r>
          </w:p>
        </w:tc>
        <w:tc>
          <w:tcPr>
            <w:tcW w:w="305" w:type="pct"/>
            <w:tcBorders>
              <w:top w:val="nil"/>
              <w:left w:val="nil"/>
              <w:bottom w:val="nil"/>
              <w:right w:val="nil"/>
            </w:tcBorders>
            <w:shd w:val="clear" w:color="auto" w:fill="auto"/>
            <w:noWrap/>
            <w:vAlign w:val="center"/>
            <w:hideMark/>
          </w:tcPr>
          <w:p w14:paraId="0C7ED971" w14:textId="67217D9C" w:rsidR="00A32971" w:rsidRPr="0079074C" w:rsidRDefault="00A32971" w:rsidP="00AF7CD1">
            <w:pPr>
              <w:jc w:val="right"/>
              <w:rPr>
                <w:sz w:val="16"/>
                <w:szCs w:val="16"/>
              </w:rPr>
            </w:pPr>
            <w:r w:rsidRPr="0079074C">
              <w:rPr>
                <w:sz w:val="16"/>
                <w:szCs w:val="16"/>
              </w:rPr>
              <w:t>2</w:t>
            </w:r>
            <w:r w:rsidR="00272901" w:rsidRPr="0079074C">
              <w:rPr>
                <w:sz w:val="16"/>
                <w:szCs w:val="16"/>
              </w:rPr>
              <w:t>.0</w:t>
            </w:r>
          </w:p>
        </w:tc>
      </w:tr>
      <w:tr w:rsidR="006B42D6" w:rsidRPr="006B42D6" w14:paraId="0BF14865" w14:textId="77777777" w:rsidTr="0079074C">
        <w:trPr>
          <w:trHeight w:val="306"/>
        </w:trPr>
        <w:tc>
          <w:tcPr>
            <w:tcW w:w="913" w:type="pct"/>
            <w:tcBorders>
              <w:top w:val="nil"/>
              <w:left w:val="nil"/>
              <w:bottom w:val="nil"/>
              <w:right w:val="nil"/>
            </w:tcBorders>
            <w:shd w:val="clear" w:color="auto" w:fill="auto"/>
            <w:noWrap/>
            <w:vAlign w:val="center"/>
            <w:hideMark/>
          </w:tcPr>
          <w:p w14:paraId="35F81C26" w14:textId="77777777" w:rsidR="00A32971" w:rsidRPr="0079074C" w:rsidRDefault="00A32971" w:rsidP="00AF7CD1">
            <w:pPr>
              <w:rPr>
                <w:sz w:val="16"/>
                <w:szCs w:val="16"/>
              </w:rPr>
            </w:pPr>
            <w:r w:rsidRPr="0079074C">
              <w:rPr>
                <w:sz w:val="16"/>
                <w:szCs w:val="16"/>
              </w:rPr>
              <w:t>Ruvuma</w:t>
            </w:r>
          </w:p>
        </w:tc>
        <w:tc>
          <w:tcPr>
            <w:tcW w:w="370" w:type="pct"/>
            <w:tcBorders>
              <w:top w:val="nil"/>
              <w:left w:val="nil"/>
              <w:bottom w:val="nil"/>
              <w:right w:val="nil"/>
            </w:tcBorders>
            <w:shd w:val="clear" w:color="auto" w:fill="auto"/>
            <w:noWrap/>
            <w:vAlign w:val="center"/>
            <w:hideMark/>
          </w:tcPr>
          <w:p w14:paraId="0A5CB626" w14:textId="77777777" w:rsidR="00A32971" w:rsidRPr="0079074C" w:rsidRDefault="00A32971" w:rsidP="00AF7CD1">
            <w:pPr>
              <w:jc w:val="right"/>
              <w:rPr>
                <w:sz w:val="16"/>
                <w:szCs w:val="16"/>
              </w:rPr>
            </w:pPr>
            <w:r w:rsidRPr="0079074C">
              <w:rPr>
                <w:sz w:val="16"/>
                <w:szCs w:val="16"/>
              </w:rPr>
              <w:t>4.3</w:t>
            </w:r>
          </w:p>
        </w:tc>
        <w:tc>
          <w:tcPr>
            <w:tcW w:w="324" w:type="pct"/>
            <w:tcBorders>
              <w:top w:val="nil"/>
              <w:left w:val="nil"/>
              <w:bottom w:val="nil"/>
              <w:right w:val="nil"/>
            </w:tcBorders>
            <w:shd w:val="clear" w:color="auto" w:fill="auto"/>
            <w:noWrap/>
            <w:vAlign w:val="center"/>
            <w:hideMark/>
          </w:tcPr>
          <w:p w14:paraId="21C48934" w14:textId="77777777" w:rsidR="00A32971" w:rsidRPr="0079074C" w:rsidRDefault="00A32971" w:rsidP="00AF7CD1">
            <w:pPr>
              <w:jc w:val="right"/>
              <w:rPr>
                <w:sz w:val="16"/>
                <w:szCs w:val="16"/>
              </w:rPr>
            </w:pPr>
            <w:r w:rsidRPr="0079074C">
              <w:rPr>
                <w:sz w:val="16"/>
                <w:szCs w:val="16"/>
              </w:rPr>
              <w:t>3.6</w:t>
            </w:r>
          </w:p>
        </w:tc>
        <w:tc>
          <w:tcPr>
            <w:tcW w:w="488" w:type="pct"/>
            <w:tcBorders>
              <w:top w:val="nil"/>
              <w:left w:val="nil"/>
              <w:bottom w:val="nil"/>
              <w:right w:val="nil"/>
            </w:tcBorders>
            <w:shd w:val="clear" w:color="auto" w:fill="auto"/>
            <w:noWrap/>
            <w:vAlign w:val="center"/>
            <w:hideMark/>
          </w:tcPr>
          <w:p w14:paraId="0BD0489D" w14:textId="77777777" w:rsidR="00A32971" w:rsidRPr="0079074C" w:rsidRDefault="00A32971" w:rsidP="00AF7CD1">
            <w:pPr>
              <w:jc w:val="right"/>
              <w:rPr>
                <w:sz w:val="16"/>
                <w:szCs w:val="16"/>
              </w:rPr>
            </w:pPr>
            <w:r w:rsidRPr="0079074C">
              <w:rPr>
                <w:sz w:val="16"/>
                <w:szCs w:val="16"/>
              </w:rPr>
              <w:t>12.3</w:t>
            </w:r>
          </w:p>
        </w:tc>
        <w:tc>
          <w:tcPr>
            <w:tcW w:w="485" w:type="pct"/>
            <w:tcBorders>
              <w:top w:val="nil"/>
              <w:left w:val="nil"/>
              <w:bottom w:val="nil"/>
              <w:right w:val="nil"/>
            </w:tcBorders>
            <w:shd w:val="clear" w:color="auto" w:fill="auto"/>
            <w:noWrap/>
            <w:vAlign w:val="center"/>
            <w:hideMark/>
          </w:tcPr>
          <w:p w14:paraId="507E75C4" w14:textId="77777777" w:rsidR="00A32971" w:rsidRPr="0079074C" w:rsidRDefault="00A32971" w:rsidP="00AF7CD1">
            <w:pPr>
              <w:jc w:val="right"/>
              <w:rPr>
                <w:sz w:val="16"/>
                <w:szCs w:val="16"/>
              </w:rPr>
            </w:pPr>
            <w:r w:rsidRPr="0079074C">
              <w:rPr>
                <w:sz w:val="16"/>
                <w:szCs w:val="16"/>
              </w:rPr>
              <w:t>4.8</w:t>
            </w:r>
          </w:p>
        </w:tc>
        <w:tc>
          <w:tcPr>
            <w:tcW w:w="514" w:type="pct"/>
            <w:tcBorders>
              <w:top w:val="nil"/>
              <w:left w:val="nil"/>
              <w:bottom w:val="nil"/>
              <w:right w:val="nil"/>
            </w:tcBorders>
            <w:shd w:val="clear" w:color="auto" w:fill="auto"/>
            <w:noWrap/>
            <w:vAlign w:val="center"/>
            <w:hideMark/>
          </w:tcPr>
          <w:p w14:paraId="1E78CC07" w14:textId="77777777" w:rsidR="00A32971" w:rsidRPr="0079074C" w:rsidRDefault="00A32971" w:rsidP="00AF7CD1">
            <w:pPr>
              <w:jc w:val="right"/>
              <w:rPr>
                <w:sz w:val="16"/>
                <w:szCs w:val="16"/>
              </w:rPr>
            </w:pPr>
            <w:r w:rsidRPr="0079074C">
              <w:rPr>
                <w:sz w:val="16"/>
                <w:szCs w:val="16"/>
              </w:rPr>
              <w:t>6.3</w:t>
            </w:r>
          </w:p>
        </w:tc>
        <w:tc>
          <w:tcPr>
            <w:tcW w:w="440" w:type="pct"/>
            <w:tcBorders>
              <w:top w:val="nil"/>
              <w:left w:val="nil"/>
              <w:bottom w:val="nil"/>
              <w:right w:val="nil"/>
            </w:tcBorders>
            <w:shd w:val="clear" w:color="auto" w:fill="auto"/>
            <w:noWrap/>
            <w:vAlign w:val="center"/>
            <w:hideMark/>
          </w:tcPr>
          <w:p w14:paraId="1B37EAA2" w14:textId="77777777" w:rsidR="00A32971" w:rsidRPr="0079074C" w:rsidRDefault="00A32971" w:rsidP="00AF7CD1">
            <w:pPr>
              <w:jc w:val="right"/>
              <w:rPr>
                <w:sz w:val="16"/>
                <w:szCs w:val="16"/>
              </w:rPr>
            </w:pPr>
            <w:r w:rsidRPr="0079074C">
              <w:rPr>
                <w:sz w:val="16"/>
                <w:szCs w:val="16"/>
              </w:rPr>
              <w:t>5.2</w:t>
            </w:r>
          </w:p>
        </w:tc>
        <w:tc>
          <w:tcPr>
            <w:tcW w:w="365" w:type="pct"/>
            <w:tcBorders>
              <w:top w:val="nil"/>
              <w:left w:val="nil"/>
              <w:bottom w:val="nil"/>
              <w:right w:val="nil"/>
            </w:tcBorders>
            <w:shd w:val="clear" w:color="auto" w:fill="auto"/>
            <w:noWrap/>
            <w:vAlign w:val="center"/>
            <w:hideMark/>
          </w:tcPr>
          <w:p w14:paraId="4B310445" w14:textId="77777777" w:rsidR="00A32971" w:rsidRPr="0079074C" w:rsidRDefault="00A32971" w:rsidP="00AF7CD1">
            <w:pPr>
              <w:jc w:val="right"/>
              <w:rPr>
                <w:sz w:val="16"/>
                <w:szCs w:val="16"/>
              </w:rPr>
            </w:pPr>
            <w:r w:rsidRPr="0079074C">
              <w:rPr>
                <w:sz w:val="16"/>
                <w:szCs w:val="16"/>
              </w:rPr>
              <w:t>-</w:t>
            </w:r>
          </w:p>
        </w:tc>
        <w:tc>
          <w:tcPr>
            <w:tcW w:w="365" w:type="pct"/>
            <w:tcBorders>
              <w:top w:val="nil"/>
              <w:left w:val="nil"/>
              <w:bottom w:val="nil"/>
              <w:right w:val="nil"/>
            </w:tcBorders>
            <w:shd w:val="clear" w:color="auto" w:fill="auto"/>
            <w:noWrap/>
            <w:vAlign w:val="center"/>
            <w:hideMark/>
          </w:tcPr>
          <w:p w14:paraId="327DA67B" w14:textId="77777777" w:rsidR="00A32971" w:rsidRPr="0079074C" w:rsidRDefault="00A32971" w:rsidP="00AF7CD1">
            <w:pPr>
              <w:jc w:val="right"/>
              <w:rPr>
                <w:sz w:val="16"/>
                <w:szCs w:val="16"/>
              </w:rPr>
            </w:pPr>
            <w:r w:rsidRPr="0079074C">
              <w:rPr>
                <w:sz w:val="16"/>
                <w:szCs w:val="16"/>
              </w:rPr>
              <w:t>-</w:t>
            </w:r>
          </w:p>
        </w:tc>
        <w:tc>
          <w:tcPr>
            <w:tcW w:w="431" w:type="pct"/>
            <w:tcBorders>
              <w:top w:val="nil"/>
              <w:left w:val="nil"/>
              <w:bottom w:val="nil"/>
              <w:right w:val="nil"/>
            </w:tcBorders>
            <w:shd w:val="clear" w:color="auto" w:fill="auto"/>
            <w:noWrap/>
            <w:vAlign w:val="center"/>
            <w:hideMark/>
          </w:tcPr>
          <w:p w14:paraId="1968873D" w14:textId="77777777" w:rsidR="00A32971" w:rsidRPr="0079074C" w:rsidRDefault="00A32971" w:rsidP="00AF7CD1">
            <w:pPr>
              <w:jc w:val="right"/>
              <w:rPr>
                <w:sz w:val="16"/>
                <w:szCs w:val="16"/>
              </w:rPr>
            </w:pPr>
            <w:r w:rsidRPr="0079074C">
              <w:rPr>
                <w:sz w:val="16"/>
                <w:szCs w:val="16"/>
              </w:rPr>
              <w:t>4.9</w:t>
            </w:r>
          </w:p>
        </w:tc>
        <w:tc>
          <w:tcPr>
            <w:tcW w:w="305" w:type="pct"/>
            <w:tcBorders>
              <w:top w:val="nil"/>
              <w:left w:val="nil"/>
              <w:bottom w:val="nil"/>
              <w:right w:val="nil"/>
            </w:tcBorders>
            <w:shd w:val="clear" w:color="auto" w:fill="auto"/>
            <w:noWrap/>
            <w:vAlign w:val="center"/>
            <w:hideMark/>
          </w:tcPr>
          <w:p w14:paraId="5A18FEBC" w14:textId="77777777" w:rsidR="00A32971" w:rsidRPr="0079074C" w:rsidRDefault="00A32971" w:rsidP="00AF7CD1">
            <w:pPr>
              <w:jc w:val="right"/>
              <w:rPr>
                <w:sz w:val="16"/>
                <w:szCs w:val="16"/>
              </w:rPr>
            </w:pPr>
            <w:r w:rsidRPr="0079074C">
              <w:rPr>
                <w:sz w:val="16"/>
                <w:szCs w:val="16"/>
              </w:rPr>
              <w:t>3.2</w:t>
            </w:r>
          </w:p>
        </w:tc>
      </w:tr>
      <w:tr w:rsidR="006B42D6" w:rsidRPr="006B42D6" w14:paraId="084C3988" w14:textId="77777777" w:rsidTr="0079074C">
        <w:trPr>
          <w:trHeight w:val="306"/>
        </w:trPr>
        <w:tc>
          <w:tcPr>
            <w:tcW w:w="913" w:type="pct"/>
            <w:tcBorders>
              <w:top w:val="nil"/>
              <w:left w:val="nil"/>
              <w:bottom w:val="nil"/>
              <w:right w:val="nil"/>
            </w:tcBorders>
            <w:shd w:val="clear" w:color="auto" w:fill="auto"/>
            <w:noWrap/>
            <w:vAlign w:val="center"/>
            <w:hideMark/>
          </w:tcPr>
          <w:p w14:paraId="4272F2DA" w14:textId="77777777" w:rsidR="00A32971" w:rsidRPr="0079074C" w:rsidRDefault="00A32971" w:rsidP="00AF7CD1">
            <w:pPr>
              <w:rPr>
                <w:sz w:val="16"/>
                <w:szCs w:val="16"/>
              </w:rPr>
            </w:pPr>
            <w:r w:rsidRPr="0079074C">
              <w:rPr>
                <w:sz w:val="16"/>
                <w:szCs w:val="16"/>
              </w:rPr>
              <w:t>Iringa</w:t>
            </w:r>
          </w:p>
        </w:tc>
        <w:tc>
          <w:tcPr>
            <w:tcW w:w="370" w:type="pct"/>
            <w:tcBorders>
              <w:top w:val="nil"/>
              <w:left w:val="nil"/>
              <w:bottom w:val="nil"/>
              <w:right w:val="nil"/>
            </w:tcBorders>
            <w:shd w:val="clear" w:color="auto" w:fill="auto"/>
            <w:noWrap/>
            <w:vAlign w:val="center"/>
            <w:hideMark/>
          </w:tcPr>
          <w:p w14:paraId="4EDB7CD2" w14:textId="77777777" w:rsidR="00A32971" w:rsidRPr="0079074C" w:rsidRDefault="00A32971" w:rsidP="00AF7CD1">
            <w:pPr>
              <w:jc w:val="right"/>
              <w:rPr>
                <w:sz w:val="16"/>
                <w:szCs w:val="16"/>
              </w:rPr>
            </w:pPr>
            <w:r w:rsidRPr="0079074C">
              <w:rPr>
                <w:sz w:val="16"/>
                <w:szCs w:val="16"/>
              </w:rPr>
              <w:t>6.1</w:t>
            </w:r>
          </w:p>
        </w:tc>
        <w:tc>
          <w:tcPr>
            <w:tcW w:w="324" w:type="pct"/>
            <w:tcBorders>
              <w:top w:val="nil"/>
              <w:left w:val="nil"/>
              <w:bottom w:val="nil"/>
              <w:right w:val="nil"/>
            </w:tcBorders>
            <w:shd w:val="clear" w:color="auto" w:fill="auto"/>
            <w:noWrap/>
            <w:vAlign w:val="center"/>
            <w:hideMark/>
          </w:tcPr>
          <w:p w14:paraId="55506625" w14:textId="77777777" w:rsidR="00A32971" w:rsidRPr="0079074C" w:rsidRDefault="00A32971" w:rsidP="00AF7CD1">
            <w:pPr>
              <w:jc w:val="right"/>
              <w:rPr>
                <w:sz w:val="16"/>
                <w:szCs w:val="16"/>
              </w:rPr>
            </w:pPr>
            <w:r w:rsidRPr="0079074C">
              <w:rPr>
                <w:sz w:val="16"/>
                <w:szCs w:val="16"/>
              </w:rPr>
              <w:t>7.8</w:t>
            </w:r>
          </w:p>
        </w:tc>
        <w:tc>
          <w:tcPr>
            <w:tcW w:w="488" w:type="pct"/>
            <w:tcBorders>
              <w:top w:val="nil"/>
              <w:left w:val="nil"/>
              <w:bottom w:val="nil"/>
              <w:right w:val="nil"/>
            </w:tcBorders>
            <w:shd w:val="clear" w:color="auto" w:fill="auto"/>
            <w:noWrap/>
            <w:vAlign w:val="center"/>
            <w:hideMark/>
          </w:tcPr>
          <w:p w14:paraId="086B7BD3" w14:textId="77777777" w:rsidR="00A32971" w:rsidRPr="0079074C" w:rsidRDefault="00A32971" w:rsidP="00AF7CD1">
            <w:pPr>
              <w:jc w:val="right"/>
              <w:rPr>
                <w:sz w:val="16"/>
                <w:szCs w:val="16"/>
              </w:rPr>
            </w:pPr>
            <w:r w:rsidRPr="0079074C">
              <w:rPr>
                <w:sz w:val="16"/>
                <w:szCs w:val="16"/>
              </w:rPr>
              <w:t>13.2</w:t>
            </w:r>
          </w:p>
        </w:tc>
        <w:tc>
          <w:tcPr>
            <w:tcW w:w="485" w:type="pct"/>
            <w:tcBorders>
              <w:top w:val="nil"/>
              <w:left w:val="nil"/>
              <w:bottom w:val="nil"/>
              <w:right w:val="nil"/>
            </w:tcBorders>
            <w:shd w:val="clear" w:color="auto" w:fill="auto"/>
            <w:noWrap/>
            <w:vAlign w:val="center"/>
            <w:hideMark/>
          </w:tcPr>
          <w:p w14:paraId="1E7A1416" w14:textId="77777777" w:rsidR="00A32971" w:rsidRPr="0079074C" w:rsidRDefault="00A32971" w:rsidP="00AF7CD1">
            <w:pPr>
              <w:jc w:val="right"/>
              <w:rPr>
                <w:sz w:val="16"/>
                <w:szCs w:val="16"/>
              </w:rPr>
            </w:pPr>
            <w:r w:rsidRPr="0079074C">
              <w:rPr>
                <w:sz w:val="16"/>
                <w:szCs w:val="16"/>
              </w:rPr>
              <w:t>7.8</w:t>
            </w:r>
          </w:p>
        </w:tc>
        <w:tc>
          <w:tcPr>
            <w:tcW w:w="514" w:type="pct"/>
            <w:tcBorders>
              <w:top w:val="nil"/>
              <w:left w:val="nil"/>
              <w:bottom w:val="nil"/>
              <w:right w:val="nil"/>
            </w:tcBorders>
            <w:shd w:val="clear" w:color="auto" w:fill="auto"/>
            <w:noWrap/>
            <w:vAlign w:val="center"/>
            <w:hideMark/>
          </w:tcPr>
          <w:p w14:paraId="4C615FF1" w14:textId="77777777" w:rsidR="00A32971" w:rsidRPr="0079074C" w:rsidRDefault="00A32971" w:rsidP="00AF7CD1">
            <w:pPr>
              <w:jc w:val="right"/>
              <w:rPr>
                <w:sz w:val="16"/>
                <w:szCs w:val="16"/>
              </w:rPr>
            </w:pPr>
            <w:r w:rsidRPr="0079074C">
              <w:rPr>
                <w:sz w:val="16"/>
                <w:szCs w:val="16"/>
              </w:rPr>
              <w:t>7.3</w:t>
            </w:r>
          </w:p>
        </w:tc>
        <w:tc>
          <w:tcPr>
            <w:tcW w:w="440" w:type="pct"/>
            <w:tcBorders>
              <w:top w:val="nil"/>
              <w:left w:val="nil"/>
              <w:bottom w:val="nil"/>
              <w:right w:val="nil"/>
            </w:tcBorders>
            <w:shd w:val="clear" w:color="auto" w:fill="auto"/>
            <w:noWrap/>
            <w:vAlign w:val="center"/>
            <w:hideMark/>
          </w:tcPr>
          <w:p w14:paraId="4EAA731F" w14:textId="77777777" w:rsidR="00A32971" w:rsidRPr="0079074C" w:rsidRDefault="00A32971" w:rsidP="00AF7CD1">
            <w:pPr>
              <w:jc w:val="right"/>
              <w:rPr>
                <w:sz w:val="16"/>
                <w:szCs w:val="16"/>
              </w:rPr>
            </w:pPr>
            <w:r w:rsidRPr="0079074C">
              <w:rPr>
                <w:sz w:val="16"/>
                <w:szCs w:val="16"/>
              </w:rPr>
              <w:t>24.1</w:t>
            </w:r>
          </w:p>
        </w:tc>
        <w:tc>
          <w:tcPr>
            <w:tcW w:w="365" w:type="pct"/>
            <w:tcBorders>
              <w:top w:val="nil"/>
              <w:left w:val="nil"/>
              <w:bottom w:val="nil"/>
              <w:right w:val="nil"/>
            </w:tcBorders>
            <w:shd w:val="clear" w:color="auto" w:fill="auto"/>
            <w:noWrap/>
            <w:vAlign w:val="center"/>
            <w:hideMark/>
          </w:tcPr>
          <w:p w14:paraId="7C0F4C8B" w14:textId="77777777" w:rsidR="00A32971" w:rsidRPr="0079074C" w:rsidRDefault="00A32971" w:rsidP="00AF7CD1">
            <w:pPr>
              <w:jc w:val="right"/>
              <w:rPr>
                <w:sz w:val="16"/>
                <w:szCs w:val="16"/>
              </w:rPr>
            </w:pPr>
            <w:r w:rsidRPr="0079074C">
              <w:rPr>
                <w:sz w:val="16"/>
                <w:szCs w:val="16"/>
              </w:rPr>
              <w:t>-</w:t>
            </w:r>
          </w:p>
        </w:tc>
        <w:tc>
          <w:tcPr>
            <w:tcW w:w="365" w:type="pct"/>
            <w:tcBorders>
              <w:top w:val="nil"/>
              <w:left w:val="nil"/>
              <w:bottom w:val="nil"/>
              <w:right w:val="nil"/>
            </w:tcBorders>
            <w:shd w:val="clear" w:color="auto" w:fill="auto"/>
            <w:noWrap/>
            <w:vAlign w:val="center"/>
            <w:hideMark/>
          </w:tcPr>
          <w:p w14:paraId="71F859FE" w14:textId="77777777" w:rsidR="00A32971" w:rsidRPr="0079074C" w:rsidRDefault="00A32971" w:rsidP="00AF7CD1">
            <w:pPr>
              <w:jc w:val="right"/>
              <w:rPr>
                <w:sz w:val="16"/>
                <w:szCs w:val="16"/>
              </w:rPr>
            </w:pPr>
            <w:r w:rsidRPr="0079074C">
              <w:rPr>
                <w:sz w:val="16"/>
                <w:szCs w:val="16"/>
              </w:rPr>
              <w:t>-</w:t>
            </w:r>
          </w:p>
        </w:tc>
        <w:tc>
          <w:tcPr>
            <w:tcW w:w="431" w:type="pct"/>
            <w:tcBorders>
              <w:top w:val="nil"/>
              <w:left w:val="nil"/>
              <w:bottom w:val="nil"/>
              <w:right w:val="nil"/>
            </w:tcBorders>
            <w:shd w:val="clear" w:color="auto" w:fill="auto"/>
            <w:noWrap/>
            <w:vAlign w:val="center"/>
            <w:hideMark/>
          </w:tcPr>
          <w:p w14:paraId="5FA15BE2" w14:textId="43CFDCFC" w:rsidR="00A32971" w:rsidRPr="0079074C" w:rsidRDefault="00A32971" w:rsidP="00AF7CD1">
            <w:pPr>
              <w:jc w:val="right"/>
              <w:rPr>
                <w:sz w:val="16"/>
                <w:szCs w:val="16"/>
              </w:rPr>
            </w:pPr>
            <w:r w:rsidRPr="0079074C">
              <w:rPr>
                <w:sz w:val="16"/>
                <w:szCs w:val="16"/>
              </w:rPr>
              <w:t>3</w:t>
            </w:r>
            <w:r w:rsidR="00272901" w:rsidRPr="0079074C">
              <w:rPr>
                <w:sz w:val="16"/>
                <w:szCs w:val="16"/>
              </w:rPr>
              <w:t>.0</w:t>
            </w:r>
          </w:p>
        </w:tc>
        <w:tc>
          <w:tcPr>
            <w:tcW w:w="305" w:type="pct"/>
            <w:tcBorders>
              <w:top w:val="nil"/>
              <w:left w:val="nil"/>
              <w:bottom w:val="nil"/>
              <w:right w:val="nil"/>
            </w:tcBorders>
            <w:shd w:val="clear" w:color="auto" w:fill="auto"/>
            <w:noWrap/>
            <w:vAlign w:val="center"/>
            <w:hideMark/>
          </w:tcPr>
          <w:p w14:paraId="4C4EDB9F" w14:textId="77777777" w:rsidR="00A32971" w:rsidRPr="0079074C" w:rsidRDefault="00A32971" w:rsidP="00AF7CD1">
            <w:pPr>
              <w:jc w:val="right"/>
              <w:rPr>
                <w:sz w:val="16"/>
                <w:szCs w:val="16"/>
              </w:rPr>
            </w:pPr>
            <w:r w:rsidRPr="0079074C">
              <w:rPr>
                <w:sz w:val="16"/>
                <w:szCs w:val="16"/>
              </w:rPr>
              <w:t>6.2</w:t>
            </w:r>
          </w:p>
        </w:tc>
      </w:tr>
      <w:tr w:rsidR="006B42D6" w:rsidRPr="006B42D6" w14:paraId="2AC4D74E" w14:textId="77777777" w:rsidTr="0079074C">
        <w:trPr>
          <w:trHeight w:val="306"/>
        </w:trPr>
        <w:tc>
          <w:tcPr>
            <w:tcW w:w="913" w:type="pct"/>
            <w:tcBorders>
              <w:top w:val="nil"/>
              <w:left w:val="nil"/>
              <w:bottom w:val="nil"/>
              <w:right w:val="nil"/>
            </w:tcBorders>
            <w:shd w:val="clear" w:color="auto" w:fill="auto"/>
            <w:noWrap/>
            <w:vAlign w:val="center"/>
            <w:hideMark/>
          </w:tcPr>
          <w:p w14:paraId="6F47D6EB" w14:textId="77777777" w:rsidR="00A32971" w:rsidRPr="0079074C" w:rsidRDefault="00A32971" w:rsidP="00AF7CD1">
            <w:pPr>
              <w:rPr>
                <w:sz w:val="16"/>
                <w:szCs w:val="16"/>
              </w:rPr>
            </w:pPr>
            <w:r w:rsidRPr="0079074C">
              <w:rPr>
                <w:sz w:val="16"/>
                <w:szCs w:val="16"/>
              </w:rPr>
              <w:t>Mbeya</w:t>
            </w:r>
          </w:p>
        </w:tc>
        <w:tc>
          <w:tcPr>
            <w:tcW w:w="370" w:type="pct"/>
            <w:tcBorders>
              <w:top w:val="nil"/>
              <w:left w:val="nil"/>
              <w:bottom w:val="nil"/>
              <w:right w:val="nil"/>
            </w:tcBorders>
            <w:shd w:val="clear" w:color="auto" w:fill="auto"/>
            <w:noWrap/>
            <w:vAlign w:val="center"/>
            <w:hideMark/>
          </w:tcPr>
          <w:p w14:paraId="320CDE46" w14:textId="77777777" w:rsidR="00A32971" w:rsidRPr="0079074C" w:rsidRDefault="00A32971" w:rsidP="00AF7CD1">
            <w:pPr>
              <w:jc w:val="right"/>
              <w:rPr>
                <w:sz w:val="16"/>
                <w:szCs w:val="16"/>
              </w:rPr>
            </w:pPr>
            <w:r w:rsidRPr="0079074C">
              <w:rPr>
                <w:sz w:val="16"/>
                <w:szCs w:val="16"/>
              </w:rPr>
              <w:t>7.9</w:t>
            </w:r>
          </w:p>
        </w:tc>
        <w:tc>
          <w:tcPr>
            <w:tcW w:w="324" w:type="pct"/>
            <w:tcBorders>
              <w:top w:val="nil"/>
              <w:left w:val="nil"/>
              <w:bottom w:val="nil"/>
              <w:right w:val="nil"/>
            </w:tcBorders>
            <w:shd w:val="clear" w:color="auto" w:fill="auto"/>
            <w:noWrap/>
            <w:vAlign w:val="center"/>
            <w:hideMark/>
          </w:tcPr>
          <w:p w14:paraId="32B7E24C" w14:textId="77777777" w:rsidR="00A32971" w:rsidRPr="0079074C" w:rsidRDefault="00A32971" w:rsidP="00AF7CD1">
            <w:pPr>
              <w:jc w:val="right"/>
              <w:rPr>
                <w:sz w:val="16"/>
                <w:szCs w:val="16"/>
              </w:rPr>
            </w:pPr>
            <w:r w:rsidRPr="0079074C">
              <w:rPr>
                <w:sz w:val="16"/>
                <w:szCs w:val="16"/>
              </w:rPr>
              <w:t>6.8</w:t>
            </w:r>
          </w:p>
        </w:tc>
        <w:tc>
          <w:tcPr>
            <w:tcW w:w="488" w:type="pct"/>
            <w:tcBorders>
              <w:top w:val="nil"/>
              <w:left w:val="nil"/>
              <w:bottom w:val="nil"/>
              <w:right w:val="nil"/>
            </w:tcBorders>
            <w:shd w:val="clear" w:color="auto" w:fill="auto"/>
            <w:noWrap/>
            <w:vAlign w:val="center"/>
            <w:hideMark/>
          </w:tcPr>
          <w:p w14:paraId="5371404B" w14:textId="77777777" w:rsidR="00A32971" w:rsidRPr="0079074C" w:rsidRDefault="00A32971" w:rsidP="00AF7CD1">
            <w:pPr>
              <w:jc w:val="right"/>
              <w:rPr>
                <w:sz w:val="16"/>
                <w:szCs w:val="16"/>
              </w:rPr>
            </w:pPr>
            <w:r w:rsidRPr="0079074C">
              <w:rPr>
                <w:sz w:val="16"/>
                <w:szCs w:val="16"/>
              </w:rPr>
              <w:t>16.8</w:t>
            </w:r>
          </w:p>
        </w:tc>
        <w:tc>
          <w:tcPr>
            <w:tcW w:w="485" w:type="pct"/>
            <w:tcBorders>
              <w:top w:val="nil"/>
              <w:left w:val="nil"/>
              <w:bottom w:val="nil"/>
              <w:right w:val="nil"/>
            </w:tcBorders>
            <w:shd w:val="clear" w:color="auto" w:fill="auto"/>
            <w:noWrap/>
            <w:vAlign w:val="center"/>
            <w:hideMark/>
          </w:tcPr>
          <w:p w14:paraId="3ABC7069" w14:textId="77777777" w:rsidR="00A32971" w:rsidRPr="0079074C" w:rsidRDefault="00A32971" w:rsidP="00AF7CD1">
            <w:pPr>
              <w:jc w:val="right"/>
              <w:rPr>
                <w:sz w:val="16"/>
                <w:szCs w:val="16"/>
              </w:rPr>
            </w:pPr>
            <w:r w:rsidRPr="0079074C">
              <w:rPr>
                <w:sz w:val="16"/>
                <w:szCs w:val="16"/>
              </w:rPr>
              <w:t>9.5</w:t>
            </w:r>
          </w:p>
        </w:tc>
        <w:tc>
          <w:tcPr>
            <w:tcW w:w="514" w:type="pct"/>
            <w:tcBorders>
              <w:top w:val="nil"/>
              <w:left w:val="nil"/>
              <w:bottom w:val="nil"/>
              <w:right w:val="nil"/>
            </w:tcBorders>
            <w:shd w:val="clear" w:color="auto" w:fill="auto"/>
            <w:noWrap/>
            <w:vAlign w:val="center"/>
            <w:hideMark/>
          </w:tcPr>
          <w:p w14:paraId="6A314CF3" w14:textId="77777777" w:rsidR="00A32971" w:rsidRPr="0079074C" w:rsidRDefault="00A32971" w:rsidP="00AF7CD1">
            <w:pPr>
              <w:jc w:val="right"/>
              <w:rPr>
                <w:sz w:val="16"/>
                <w:szCs w:val="16"/>
              </w:rPr>
            </w:pPr>
            <w:r w:rsidRPr="0079074C">
              <w:rPr>
                <w:sz w:val="16"/>
                <w:szCs w:val="16"/>
              </w:rPr>
              <w:t>12.5</w:t>
            </w:r>
          </w:p>
        </w:tc>
        <w:tc>
          <w:tcPr>
            <w:tcW w:w="440" w:type="pct"/>
            <w:tcBorders>
              <w:top w:val="nil"/>
              <w:left w:val="nil"/>
              <w:bottom w:val="nil"/>
              <w:right w:val="nil"/>
            </w:tcBorders>
            <w:shd w:val="clear" w:color="auto" w:fill="auto"/>
            <w:noWrap/>
            <w:vAlign w:val="center"/>
            <w:hideMark/>
          </w:tcPr>
          <w:p w14:paraId="0061FA32" w14:textId="77777777" w:rsidR="00A32971" w:rsidRPr="0079074C" w:rsidRDefault="00A32971" w:rsidP="00AF7CD1">
            <w:pPr>
              <w:jc w:val="right"/>
              <w:rPr>
                <w:sz w:val="16"/>
                <w:szCs w:val="16"/>
              </w:rPr>
            </w:pPr>
            <w:r w:rsidRPr="0079074C">
              <w:rPr>
                <w:sz w:val="16"/>
                <w:szCs w:val="16"/>
              </w:rPr>
              <w:t>16.2</w:t>
            </w:r>
          </w:p>
        </w:tc>
        <w:tc>
          <w:tcPr>
            <w:tcW w:w="365" w:type="pct"/>
            <w:tcBorders>
              <w:top w:val="nil"/>
              <w:left w:val="nil"/>
              <w:bottom w:val="nil"/>
              <w:right w:val="nil"/>
            </w:tcBorders>
            <w:shd w:val="clear" w:color="auto" w:fill="auto"/>
            <w:noWrap/>
            <w:vAlign w:val="center"/>
            <w:hideMark/>
          </w:tcPr>
          <w:p w14:paraId="49C80391" w14:textId="77777777" w:rsidR="00A32971" w:rsidRPr="0079074C" w:rsidRDefault="00A32971" w:rsidP="00AF7CD1">
            <w:pPr>
              <w:jc w:val="right"/>
              <w:rPr>
                <w:sz w:val="16"/>
                <w:szCs w:val="16"/>
              </w:rPr>
            </w:pPr>
            <w:r w:rsidRPr="0079074C">
              <w:rPr>
                <w:sz w:val="16"/>
                <w:szCs w:val="16"/>
              </w:rPr>
              <w:t>-</w:t>
            </w:r>
          </w:p>
        </w:tc>
        <w:tc>
          <w:tcPr>
            <w:tcW w:w="365" w:type="pct"/>
            <w:tcBorders>
              <w:top w:val="nil"/>
              <w:left w:val="nil"/>
              <w:bottom w:val="nil"/>
              <w:right w:val="nil"/>
            </w:tcBorders>
            <w:shd w:val="clear" w:color="auto" w:fill="auto"/>
            <w:noWrap/>
            <w:vAlign w:val="center"/>
            <w:hideMark/>
          </w:tcPr>
          <w:p w14:paraId="193D9C62" w14:textId="77777777" w:rsidR="00A32971" w:rsidRPr="0079074C" w:rsidRDefault="00A32971" w:rsidP="00AF7CD1">
            <w:pPr>
              <w:jc w:val="right"/>
              <w:rPr>
                <w:sz w:val="16"/>
                <w:szCs w:val="16"/>
              </w:rPr>
            </w:pPr>
            <w:r w:rsidRPr="0079074C">
              <w:rPr>
                <w:sz w:val="16"/>
                <w:szCs w:val="16"/>
              </w:rPr>
              <w:t>-</w:t>
            </w:r>
          </w:p>
        </w:tc>
        <w:tc>
          <w:tcPr>
            <w:tcW w:w="431" w:type="pct"/>
            <w:tcBorders>
              <w:top w:val="nil"/>
              <w:left w:val="nil"/>
              <w:bottom w:val="nil"/>
              <w:right w:val="nil"/>
            </w:tcBorders>
            <w:shd w:val="clear" w:color="auto" w:fill="auto"/>
            <w:noWrap/>
            <w:vAlign w:val="center"/>
            <w:hideMark/>
          </w:tcPr>
          <w:p w14:paraId="6BA52122" w14:textId="547E2E64" w:rsidR="00A32971" w:rsidRPr="0079074C" w:rsidRDefault="00A32971" w:rsidP="00AF7CD1">
            <w:pPr>
              <w:jc w:val="right"/>
              <w:rPr>
                <w:sz w:val="16"/>
                <w:szCs w:val="16"/>
              </w:rPr>
            </w:pPr>
            <w:r w:rsidRPr="0079074C">
              <w:rPr>
                <w:sz w:val="16"/>
                <w:szCs w:val="16"/>
              </w:rPr>
              <w:t>3</w:t>
            </w:r>
            <w:r w:rsidR="00272901" w:rsidRPr="0079074C">
              <w:rPr>
                <w:sz w:val="16"/>
                <w:szCs w:val="16"/>
              </w:rPr>
              <w:t>.0</w:t>
            </w:r>
          </w:p>
        </w:tc>
        <w:tc>
          <w:tcPr>
            <w:tcW w:w="305" w:type="pct"/>
            <w:tcBorders>
              <w:top w:val="nil"/>
              <w:left w:val="nil"/>
              <w:bottom w:val="nil"/>
              <w:right w:val="nil"/>
            </w:tcBorders>
            <w:shd w:val="clear" w:color="auto" w:fill="auto"/>
            <w:noWrap/>
            <w:vAlign w:val="center"/>
            <w:hideMark/>
          </w:tcPr>
          <w:p w14:paraId="38F504C5" w14:textId="77777777" w:rsidR="00A32971" w:rsidRPr="0079074C" w:rsidRDefault="00A32971" w:rsidP="00AF7CD1">
            <w:pPr>
              <w:jc w:val="right"/>
              <w:rPr>
                <w:sz w:val="16"/>
                <w:szCs w:val="16"/>
              </w:rPr>
            </w:pPr>
            <w:r w:rsidRPr="0079074C">
              <w:rPr>
                <w:sz w:val="16"/>
                <w:szCs w:val="16"/>
              </w:rPr>
              <w:t>6.8</w:t>
            </w:r>
          </w:p>
        </w:tc>
      </w:tr>
      <w:tr w:rsidR="006B42D6" w:rsidRPr="006B42D6" w14:paraId="27275338" w14:textId="77777777" w:rsidTr="0079074C">
        <w:trPr>
          <w:trHeight w:val="306"/>
        </w:trPr>
        <w:tc>
          <w:tcPr>
            <w:tcW w:w="913" w:type="pct"/>
            <w:tcBorders>
              <w:top w:val="nil"/>
              <w:left w:val="nil"/>
              <w:bottom w:val="nil"/>
              <w:right w:val="nil"/>
            </w:tcBorders>
            <w:shd w:val="clear" w:color="auto" w:fill="auto"/>
            <w:noWrap/>
            <w:vAlign w:val="center"/>
            <w:hideMark/>
          </w:tcPr>
          <w:p w14:paraId="5C8487BA" w14:textId="77777777" w:rsidR="00A32971" w:rsidRPr="0079074C" w:rsidRDefault="00A32971" w:rsidP="00AF7CD1">
            <w:pPr>
              <w:rPr>
                <w:sz w:val="16"/>
                <w:szCs w:val="16"/>
              </w:rPr>
            </w:pPr>
            <w:r w:rsidRPr="0079074C">
              <w:rPr>
                <w:sz w:val="16"/>
                <w:szCs w:val="16"/>
              </w:rPr>
              <w:t>Singida</w:t>
            </w:r>
          </w:p>
        </w:tc>
        <w:tc>
          <w:tcPr>
            <w:tcW w:w="370" w:type="pct"/>
            <w:tcBorders>
              <w:top w:val="nil"/>
              <w:left w:val="nil"/>
              <w:bottom w:val="nil"/>
              <w:right w:val="nil"/>
            </w:tcBorders>
            <w:shd w:val="clear" w:color="auto" w:fill="auto"/>
            <w:noWrap/>
            <w:vAlign w:val="center"/>
            <w:hideMark/>
          </w:tcPr>
          <w:p w14:paraId="6357D3D8" w14:textId="77777777" w:rsidR="00A32971" w:rsidRPr="0079074C" w:rsidRDefault="00A32971" w:rsidP="00AF7CD1">
            <w:pPr>
              <w:jc w:val="right"/>
              <w:rPr>
                <w:sz w:val="16"/>
                <w:szCs w:val="16"/>
              </w:rPr>
            </w:pPr>
            <w:r w:rsidRPr="0079074C">
              <w:rPr>
                <w:sz w:val="16"/>
                <w:szCs w:val="16"/>
              </w:rPr>
              <w:t>3.1</w:t>
            </w:r>
          </w:p>
        </w:tc>
        <w:tc>
          <w:tcPr>
            <w:tcW w:w="324" w:type="pct"/>
            <w:tcBorders>
              <w:top w:val="nil"/>
              <w:left w:val="nil"/>
              <w:bottom w:val="nil"/>
              <w:right w:val="nil"/>
            </w:tcBorders>
            <w:shd w:val="clear" w:color="auto" w:fill="auto"/>
            <w:noWrap/>
            <w:vAlign w:val="center"/>
            <w:hideMark/>
          </w:tcPr>
          <w:p w14:paraId="3B66E72D" w14:textId="77777777" w:rsidR="00A32971" w:rsidRPr="0079074C" w:rsidRDefault="00A32971" w:rsidP="00AF7CD1">
            <w:pPr>
              <w:jc w:val="right"/>
              <w:rPr>
                <w:sz w:val="16"/>
                <w:szCs w:val="16"/>
              </w:rPr>
            </w:pPr>
            <w:r w:rsidRPr="0079074C">
              <w:rPr>
                <w:sz w:val="16"/>
                <w:szCs w:val="16"/>
              </w:rPr>
              <w:t>3.9</w:t>
            </w:r>
          </w:p>
        </w:tc>
        <w:tc>
          <w:tcPr>
            <w:tcW w:w="488" w:type="pct"/>
            <w:tcBorders>
              <w:top w:val="nil"/>
              <w:left w:val="nil"/>
              <w:bottom w:val="nil"/>
              <w:right w:val="nil"/>
            </w:tcBorders>
            <w:shd w:val="clear" w:color="auto" w:fill="auto"/>
            <w:noWrap/>
            <w:vAlign w:val="center"/>
            <w:hideMark/>
          </w:tcPr>
          <w:p w14:paraId="75BF7DCA" w14:textId="77777777" w:rsidR="00A32971" w:rsidRPr="0079074C" w:rsidRDefault="00A32971" w:rsidP="00AF7CD1">
            <w:pPr>
              <w:jc w:val="right"/>
              <w:rPr>
                <w:sz w:val="16"/>
                <w:szCs w:val="16"/>
              </w:rPr>
            </w:pPr>
            <w:r w:rsidRPr="0079074C">
              <w:rPr>
                <w:sz w:val="16"/>
                <w:szCs w:val="16"/>
              </w:rPr>
              <w:t>2.1</w:t>
            </w:r>
          </w:p>
        </w:tc>
        <w:tc>
          <w:tcPr>
            <w:tcW w:w="485" w:type="pct"/>
            <w:tcBorders>
              <w:top w:val="nil"/>
              <w:left w:val="nil"/>
              <w:bottom w:val="nil"/>
              <w:right w:val="nil"/>
            </w:tcBorders>
            <w:shd w:val="clear" w:color="auto" w:fill="auto"/>
            <w:noWrap/>
            <w:vAlign w:val="center"/>
            <w:hideMark/>
          </w:tcPr>
          <w:p w14:paraId="4E49A36C" w14:textId="77777777" w:rsidR="00A32971" w:rsidRPr="0079074C" w:rsidRDefault="00A32971" w:rsidP="00AF7CD1">
            <w:pPr>
              <w:jc w:val="right"/>
              <w:rPr>
                <w:sz w:val="16"/>
                <w:szCs w:val="16"/>
              </w:rPr>
            </w:pPr>
            <w:r w:rsidRPr="0079074C">
              <w:rPr>
                <w:sz w:val="16"/>
                <w:szCs w:val="16"/>
              </w:rPr>
              <w:t>1.7</w:t>
            </w:r>
          </w:p>
        </w:tc>
        <w:tc>
          <w:tcPr>
            <w:tcW w:w="514" w:type="pct"/>
            <w:tcBorders>
              <w:top w:val="nil"/>
              <w:left w:val="nil"/>
              <w:bottom w:val="nil"/>
              <w:right w:val="nil"/>
            </w:tcBorders>
            <w:shd w:val="clear" w:color="auto" w:fill="auto"/>
            <w:noWrap/>
            <w:vAlign w:val="center"/>
            <w:hideMark/>
          </w:tcPr>
          <w:p w14:paraId="7A0F3595" w14:textId="77777777" w:rsidR="00A32971" w:rsidRPr="0079074C" w:rsidRDefault="00A32971" w:rsidP="00AF7CD1">
            <w:pPr>
              <w:jc w:val="right"/>
              <w:rPr>
                <w:sz w:val="16"/>
                <w:szCs w:val="16"/>
              </w:rPr>
            </w:pPr>
            <w:r w:rsidRPr="0079074C">
              <w:rPr>
                <w:sz w:val="16"/>
                <w:szCs w:val="16"/>
              </w:rPr>
              <w:t>1.8</w:t>
            </w:r>
          </w:p>
        </w:tc>
        <w:tc>
          <w:tcPr>
            <w:tcW w:w="440" w:type="pct"/>
            <w:tcBorders>
              <w:top w:val="nil"/>
              <w:left w:val="nil"/>
              <w:bottom w:val="nil"/>
              <w:right w:val="nil"/>
            </w:tcBorders>
            <w:shd w:val="clear" w:color="auto" w:fill="auto"/>
            <w:noWrap/>
            <w:vAlign w:val="center"/>
            <w:hideMark/>
          </w:tcPr>
          <w:p w14:paraId="34877CAE" w14:textId="77777777" w:rsidR="00A32971" w:rsidRPr="0079074C" w:rsidRDefault="00A32971" w:rsidP="00AF7CD1">
            <w:pPr>
              <w:jc w:val="right"/>
              <w:rPr>
                <w:sz w:val="16"/>
                <w:szCs w:val="16"/>
              </w:rPr>
            </w:pPr>
            <w:r w:rsidRPr="0079074C">
              <w:rPr>
                <w:sz w:val="16"/>
                <w:szCs w:val="16"/>
              </w:rPr>
              <w:t>-</w:t>
            </w:r>
          </w:p>
        </w:tc>
        <w:tc>
          <w:tcPr>
            <w:tcW w:w="365" w:type="pct"/>
            <w:tcBorders>
              <w:top w:val="nil"/>
              <w:left w:val="nil"/>
              <w:bottom w:val="nil"/>
              <w:right w:val="nil"/>
            </w:tcBorders>
            <w:shd w:val="clear" w:color="auto" w:fill="auto"/>
            <w:noWrap/>
            <w:vAlign w:val="center"/>
            <w:hideMark/>
          </w:tcPr>
          <w:p w14:paraId="4CC6FA40" w14:textId="77777777" w:rsidR="00A32971" w:rsidRPr="0079074C" w:rsidRDefault="00A32971" w:rsidP="00AF7CD1">
            <w:pPr>
              <w:jc w:val="right"/>
              <w:rPr>
                <w:sz w:val="16"/>
                <w:szCs w:val="16"/>
              </w:rPr>
            </w:pPr>
            <w:r w:rsidRPr="0079074C">
              <w:rPr>
                <w:sz w:val="16"/>
                <w:szCs w:val="16"/>
              </w:rPr>
              <w:t>-</w:t>
            </w:r>
          </w:p>
        </w:tc>
        <w:tc>
          <w:tcPr>
            <w:tcW w:w="365" w:type="pct"/>
            <w:tcBorders>
              <w:top w:val="nil"/>
              <w:left w:val="nil"/>
              <w:bottom w:val="nil"/>
              <w:right w:val="nil"/>
            </w:tcBorders>
            <w:shd w:val="clear" w:color="auto" w:fill="auto"/>
            <w:noWrap/>
            <w:vAlign w:val="center"/>
            <w:hideMark/>
          </w:tcPr>
          <w:p w14:paraId="087B3754" w14:textId="77777777" w:rsidR="00A32971" w:rsidRPr="0079074C" w:rsidRDefault="00A32971" w:rsidP="00AF7CD1">
            <w:pPr>
              <w:jc w:val="right"/>
              <w:rPr>
                <w:sz w:val="16"/>
                <w:szCs w:val="16"/>
              </w:rPr>
            </w:pPr>
            <w:r w:rsidRPr="0079074C">
              <w:rPr>
                <w:sz w:val="16"/>
                <w:szCs w:val="16"/>
              </w:rPr>
              <w:t>-</w:t>
            </w:r>
          </w:p>
        </w:tc>
        <w:tc>
          <w:tcPr>
            <w:tcW w:w="431" w:type="pct"/>
            <w:tcBorders>
              <w:top w:val="nil"/>
              <w:left w:val="nil"/>
              <w:bottom w:val="nil"/>
              <w:right w:val="nil"/>
            </w:tcBorders>
            <w:shd w:val="clear" w:color="auto" w:fill="auto"/>
            <w:noWrap/>
            <w:vAlign w:val="center"/>
            <w:hideMark/>
          </w:tcPr>
          <w:p w14:paraId="7A064F54" w14:textId="77777777" w:rsidR="00A32971" w:rsidRPr="0079074C" w:rsidRDefault="00A32971" w:rsidP="00AF7CD1">
            <w:pPr>
              <w:jc w:val="right"/>
              <w:rPr>
                <w:sz w:val="16"/>
                <w:szCs w:val="16"/>
              </w:rPr>
            </w:pPr>
            <w:r w:rsidRPr="0079074C">
              <w:rPr>
                <w:sz w:val="16"/>
                <w:szCs w:val="16"/>
              </w:rPr>
              <w:t>11.1</w:t>
            </w:r>
          </w:p>
        </w:tc>
        <w:tc>
          <w:tcPr>
            <w:tcW w:w="305" w:type="pct"/>
            <w:tcBorders>
              <w:top w:val="nil"/>
              <w:left w:val="nil"/>
              <w:bottom w:val="nil"/>
              <w:right w:val="nil"/>
            </w:tcBorders>
            <w:shd w:val="clear" w:color="auto" w:fill="auto"/>
            <w:noWrap/>
            <w:vAlign w:val="center"/>
            <w:hideMark/>
          </w:tcPr>
          <w:p w14:paraId="5F1E4419" w14:textId="77777777" w:rsidR="00A32971" w:rsidRPr="0079074C" w:rsidRDefault="00A32971" w:rsidP="00AF7CD1">
            <w:pPr>
              <w:jc w:val="right"/>
              <w:rPr>
                <w:sz w:val="16"/>
                <w:szCs w:val="16"/>
              </w:rPr>
            </w:pPr>
            <w:r w:rsidRPr="0079074C">
              <w:rPr>
                <w:sz w:val="16"/>
                <w:szCs w:val="16"/>
              </w:rPr>
              <w:t>5.2</w:t>
            </w:r>
          </w:p>
        </w:tc>
      </w:tr>
      <w:tr w:rsidR="006B42D6" w:rsidRPr="006B42D6" w14:paraId="3602AEFB" w14:textId="77777777" w:rsidTr="0079074C">
        <w:trPr>
          <w:trHeight w:val="306"/>
        </w:trPr>
        <w:tc>
          <w:tcPr>
            <w:tcW w:w="913" w:type="pct"/>
            <w:tcBorders>
              <w:top w:val="nil"/>
              <w:left w:val="nil"/>
              <w:bottom w:val="nil"/>
              <w:right w:val="nil"/>
            </w:tcBorders>
            <w:shd w:val="clear" w:color="auto" w:fill="auto"/>
            <w:noWrap/>
            <w:vAlign w:val="center"/>
            <w:hideMark/>
          </w:tcPr>
          <w:p w14:paraId="2AB0408B" w14:textId="77777777" w:rsidR="00A32971" w:rsidRPr="0079074C" w:rsidRDefault="00A32971" w:rsidP="00AF7CD1">
            <w:pPr>
              <w:rPr>
                <w:sz w:val="16"/>
                <w:szCs w:val="16"/>
              </w:rPr>
            </w:pPr>
            <w:r w:rsidRPr="0079074C">
              <w:rPr>
                <w:sz w:val="16"/>
                <w:szCs w:val="16"/>
              </w:rPr>
              <w:t>Tabora</w:t>
            </w:r>
          </w:p>
        </w:tc>
        <w:tc>
          <w:tcPr>
            <w:tcW w:w="370" w:type="pct"/>
            <w:tcBorders>
              <w:top w:val="nil"/>
              <w:left w:val="nil"/>
              <w:bottom w:val="nil"/>
              <w:right w:val="nil"/>
            </w:tcBorders>
            <w:shd w:val="clear" w:color="auto" w:fill="auto"/>
            <w:noWrap/>
            <w:vAlign w:val="center"/>
            <w:hideMark/>
          </w:tcPr>
          <w:p w14:paraId="46A8ECFC" w14:textId="77777777" w:rsidR="00A32971" w:rsidRPr="0079074C" w:rsidRDefault="00A32971" w:rsidP="00AF7CD1">
            <w:pPr>
              <w:jc w:val="right"/>
              <w:rPr>
                <w:sz w:val="16"/>
                <w:szCs w:val="16"/>
              </w:rPr>
            </w:pPr>
            <w:r w:rsidRPr="0079074C">
              <w:rPr>
                <w:sz w:val="16"/>
                <w:szCs w:val="16"/>
              </w:rPr>
              <w:t>8.5</w:t>
            </w:r>
          </w:p>
        </w:tc>
        <w:tc>
          <w:tcPr>
            <w:tcW w:w="324" w:type="pct"/>
            <w:tcBorders>
              <w:top w:val="nil"/>
              <w:left w:val="nil"/>
              <w:bottom w:val="nil"/>
              <w:right w:val="nil"/>
            </w:tcBorders>
            <w:shd w:val="clear" w:color="auto" w:fill="auto"/>
            <w:noWrap/>
            <w:vAlign w:val="center"/>
            <w:hideMark/>
          </w:tcPr>
          <w:p w14:paraId="59986D3E" w14:textId="77777777" w:rsidR="00A32971" w:rsidRPr="0079074C" w:rsidRDefault="00A32971" w:rsidP="00AF7CD1">
            <w:pPr>
              <w:jc w:val="right"/>
              <w:rPr>
                <w:sz w:val="16"/>
                <w:szCs w:val="16"/>
              </w:rPr>
            </w:pPr>
            <w:r w:rsidRPr="0079074C">
              <w:rPr>
                <w:sz w:val="16"/>
                <w:szCs w:val="16"/>
              </w:rPr>
              <w:t>14.9</w:t>
            </w:r>
          </w:p>
        </w:tc>
        <w:tc>
          <w:tcPr>
            <w:tcW w:w="488" w:type="pct"/>
            <w:tcBorders>
              <w:top w:val="nil"/>
              <w:left w:val="nil"/>
              <w:bottom w:val="nil"/>
              <w:right w:val="nil"/>
            </w:tcBorders>
            <w:shd w:val="clear" w:color="auto" w:fill="auto"/>
            <w:noWrap/>
            <w:vAlign w:val="center"/>
            <w:hideMark/>
          </w:tcPr>
          <w:p w14:paraId="47A3BA5D" w14:textId="77777777" w:rsidR="00A32971" w:rsidRPr="0079074C" w:rsidRDefault="00A32971" w:rsidP="00AF7CD1">
            <w:pPr>
              <w:jc w:val="right"/>
              <w:rPr>
                <w:sz w:val="16"/>
                <w:szCs w:val="16"/>
              </w:rPr>
            </w:pPr>
            <w:r w:rsidRPr="0079074C">
              <w:rPr>
                <w:sz w:val="16"/>
                <w:szCs w:val="16"/>
              </w:rPr>
              <w:t>14.9</w:t>
            </w:r>
          </w:p>
        </w:tc>
        <w:tc>
          <w:tcPr>
            <w:tcW w:w="485" w:type="pct"/>
            <w:tcBorders>
              <w:top w:val="nil"/>
              <w:left w:val="nil"/>
              <w:bottom w:val="nil"/>
              <w:right w:val="nil"/>
            </w:tcBorders>
            <w:shd w:val="clear" w:color="auto" w:fill="auto"/>
            <w:noWrap/>
            <w:vAlign w:val="center"/>
            <w:hideMark/>
          </w:tcPr>
          <w:p w14:paraId="6F316FA1" w14:textId="77777777" w:rsidR="00A32971" w:rsidRPr="0079074C" w:rsidRDefault="00A32971" w:rsidP="00AF7CD1">
            <w:pPr>
              <w:jc w:val="right"/>
              <w:rPr>
                <w:sz w:val="16"/>
                <w:szCs w:val="16"/>
              </w:rPr>
            </w:pPr>
            <w:r w:rsidRPr="0079074C">
              <w:rPr>
                <w:sz w:val="16"/>
                <w:szCs w:val="16"/>
              </w:rPr>
              <w:t>16</w:t>
            </w:r>
          </w:p>
        </w:tc>
        <w:tc>
          <w:tcPr>
            <w:tcW w:w="514" w:type="pct"/>
            <w:tcBorders>
              <w:top w:val="nil"/>
              <w:left w:val="nil"/>
              <w:bottom w:val="nil"/>
              <w:right w:val="nil"/>
            </w:tcBorders>
            <w:shd w:val="clear" w:color="auto" w:fill="auto"/>
            <w:noWrap/>
            <w:vAlign w:val="center"/>
            <w:hideMark/>
          </w:tcPr>
          <w:p w14:paraId="56945844" w14:textId="77777777" w:rsidR="00A32971" w:rsidRPr="0079074C" w:rsidRDefault="00A32971" w:rsidP="00AF7CD1">
            <w:pPr>
              <w:jc w:val="right"/>
              <w:rPr>
                <w:sz w:val="16"/>
                <w:szCs w:val="16"/>
              </w:rPr>
            </w:pPr>
            <w:r w:rsidRPr="0079074C">
              <w:rPr>
                <w:sz w:val="16"/>
                <w:szCs w:val="16"/>
              </w:rPr>
              <w:t>4.2</w:t>
            </w:r>
          </w:p>
        </w:tc>
        <w:tc>
          <w:tcPr>
            <w:tcW w:w="440" w:type="pct"/>
            <w:tcBorders>
              <w:top w:val="nil"/>
              <w:left w:val="nil"/>
              <w:bottom w:val="nil"/>
              <w:right w:val="nil"/>
            </w:tcBorders>
            <w:shd w:val="clear" w:color="auto" w:fill="auto"/>
            <w:noWrap/>
            <w:vAlign w:val="center"/>
            <w:hideMark/>
          </w:tcPr>
          <w:p w14:paraId="140B0E62" w14:textId="77777777" w:rsidR="00A32971" w:rsidRPr="0079074C" w:rsidRDefault="00A32971" w:rsidP="00AF7CD1">
            <w:pPr>
              <w:jc w:val="right"/>
              <w:rPr>
                <w:sz w:val="16"/>
                <w:szCs w:val="16"/>
              </w:rPr>
            </w:pPr>
            <w:r w:rsidRPr="0079074C">
              <w:rPr>
                <w:sz w:val="16"/>
                <w:szCs w:val="16"/>
              </w:rPr>
              <w:t>15.4</w:t>
            </w:r>
          </w:p>
        </w:tc>
        <w:tc>
          <w:tcPr>
            <w:tcW w:w="365" w:type="pct"/>
            <w:tcBorders>
              <w:top w:val="nil"/>
              <w:left w:val="nil"/>
              <w:bottom w:val="nil"/>
              <w:right w:val="nil"/>
            </w:tcBorders>
            <w:shd w:val="clear" w:color="auto" w:fill="auto"/>
            <w:noWrap/>
            <w:vAlign w:val="center"/>
            <w:hideMark/>
          </w:tcPr>
          <w:p w14:paraId="07338BBD" w14:textId="77777777" w:rsidR="00A32971" w:rsidRPr="0079074C" w:rsidRDefault="00A32971" w:rsidP="00AF7CD1">
            <w:pPr>
              <w:jc w:val="right"/>
              <w:rPr>
                <w:sz w:val="16"/>
                <w:szCs w:val="16"/>
              </w:rPr>
            </w:pPr>
            <w:r w:rsidRPr="0079074C">
              <w:rPr>
                <w:sz w:val="16"/>
                <w:szCs w:val="16"/>
              </w:rPr>
              <w:t>-</w:t>
            </w:r>
          </w:p>
        </w:tc>
        <w:tc>
          <w:tcPr>
            <w:tcW w:w="365" w:type="pct"/>
            <w:tcBorders>
              <w:top w:val="nil"/>
              <w:left w:val="nil"/>
              <w:bottom w:val="nil"/>
              <w:right w:val="nil"/>
            </w:tcBorders>
            <w:shd w:val="clear" w:color="auto" w:fill="auto"/>
            <w:noWrap/>
            <w:vAlign w:val="center"/>
            <w:hideMark/>
          </w:tcPr>
          <w:p w14:paraId="5F8485BC" w14:textId="77777777" w:rsidR="00A32971" w:rsidRPr="0079074C" w:rsidRDefault="00A32971" w:rsidP="00AF7CD1">
            <w:pPr>
              <w:jc w:val="right"/>
              <w:rPr>
                <w:sz w:val="16"/>
                <w:szCs w:val="16"/>
              </w:rPr>
            </w:pPr>
            <w:r w:rsidRPr="0079074C">
              <w:rPr>
                <w:sz w:val="16"/>
                <w:szCs w:val="16"/>
              </w:rPr>
              <w:t>-</w:t>
            </w:r>
          </w:p>
        </w:tc>
        <w:tc>
          <w:tcPr>
            <w:tcW w:w="431" w:type="pct"/>
            <w:tcBorders>
              <w:top w:val="nil"/>
              <w:left w:val="nil"/>
              <w:bottom w:val="nil"/>
              <w:right w:val="nil"/>
            </w:tcBorders>
            <w:shd w:val="clear" w:color="auto" w:fill="auto"/>
            <w:noWrap/>
            <w:vAlign w:val="center"/>
            <w:hideMark/>
          </w:tcPr>
          <w:p w14:paraId="7A0B6059" w14:textId="77777777" w:rsidR="00A32971" w:rsidRPr="0079074C" w:rsidRDefault="00A32971" w:rsidP="00AF7CD1">
            <w:pPr>
              <w:jc w:val="right"/>
              <w:rPr>
                <w:sz w:val="16"/>
                <w:szCs w:val="16"/>
              </w:rPr>
            </w:pPr>
            <w:r w:rsidRPr="0079074C">
              <w:rPr>
                <w:sz w:val="16"/>
                <w:szCs w:val="16"/>
              </w:rPr>
              <w:t>-</w:t>
            </w:r>
          </w:p>
        </w:tc>
        <w:tc>
          <w:tcPr>
            <w:tcW w:w="305" w:type="pct"/>
            <w:tcBorders>
              <w:top w:val="nil"/>
              <w:left w:val="nil"/>
              <w:bottom w:val="nil"/>
              <w:right w:val="nil"/>
            </w:tcBorders>
            <w:shd w:val="clear" w:color="auto" w:fill="auto"/>
            <w:noWrap/>
            <w:vAlign w:val="center"/>
            <w:hideMark/>
          </w:tcPr>
          <w:p w14:paraId="217C3B7B" w14:textId="77777777" w:rsidR="00A32971" w:rsidRPr="0079074C" w:rsidRDefault="00A32971" w:rsidP="00AF7CD1">
            <w:pPr>
              <w:jc w:val="right"/>
              <w:rPr>
                <w:sz w:val="16"/>
                <w:szCs w:val="16"/>
              </w:rPr>
            </w:pPr>
            <w:r w:rsidRPr="0079074C">
              <w:rPr>
                <w:sz w:val="16"/>
                <w:szCs w:val="16"/>
              </w:rPr>
              <w:t>14.1</w:t>
            </w:r>
          </w:p>
        </w:tc>
      </w:tr>
      <w:tr w:rsidR="006B42D6" w:rsidRPr="006B42D6" w14:paraId="40AC2C2B" w14:textId="77777777" w:rsidTr="0079074C">
        <w:trPr>
          <w:trHeight w:val="306"/>
        </w:trPr>
        <w:tc>
          <w:tcPr>
            <w:tcW w:w="913" w:type="pct"/>
            <w:tcBorders>
              <w:top w:val="nil"/>
              <w:left w:val="nil"/>
              <w:bottom w:val="nil"/>
              <w:right w:val="nil"/>
            </w:tcBorders>
            <w:shd w:val="clear" w:color="auto" w:fill="auto"/>
            <w:noWrap/>
            <w:vAlign w:val="center"/>
            <w:hideMark/>
          </w:tcPr>
          <w:p w14:paraId="1FFFB019" w14:textId="77777777" w:rsidR="00A32971" w:rsidRPr="0079074C" w:rsidRDefault="00A32971" w:rsidP="00AF7CD1">
            <w:pPr>
              <w:rPr>
                <w:sz w:val="16"/>
                <w:szCs w:val="16"/>
              </w:rPr>
            </w:pPr>
            <w:r w:rsidRPr="0079074C">
              <w:rPr>
                <w:sz w:val="16"/>
                <w:szCs w:val="16"/>
              </w:rPr>
              <w:t>Rukwa</w:t>
            </w:r>
          </w:p>
        </w:tc>
        <w:tc>
          <w:tcPr>
            <w:tcW w:w="370" w:type="pct"/>
            <w:tcBorders>
              <w:top w:val="nil"/>
              <w:left w:val="nil"/>
              <w:bottom w:val="nil"/>
              <w:right w:val="nil"/>
            </w:tcBorders>
            <w:shd w:val="clear" w:color="auto" w:fill="auto"/>
            <w:noWrap/>
            <w:vAlign w:val="center"/>
            <w:hideMark/>
          </w:tcPr>
          <w:p w14:paraId="2F136B8D" w14:textId="77777777" w:rsidR="00A32971" w:rsidRPr="0079074C" w:rsidRDefault="00A32971" w:rsidP="00AF7CD1">
            <w:pPr>
              <w:jc w:val="right"/>
              <w:rPr>
                <w:sz w:val="16"/>
                <w:szCs w:val="16"/>
              </w:rPr>
            </w:pPr>
            <w:r w:rsidRPr="0079074C">
              <w:rPr>
                <w:sz w:val="16"/>
                <w:szCs w:val="16"/>
              </w:rPr>
              <w:t>5.1</w:t>
            </w:r>
          </w:p>
        </w:tc>
        <w:tc>
          <w:tcPr>
            <w:tcW w:w="324" w:type="pct"/>
            <w:tcBorders>
              <w:top w:val="nil"/>
              <w:left w:val="nil"/>
              <w:bottom w:val="nil"/>
              <w:right w:val="nil"/>
            </w:tcBorders>
            <w:shd w:val="clear" w:color="auto" w:fill="auto"/>
            <w:noWrap/>
            <w:vAlign w:val="center"/>
            <w:hideMark/>
          </w:tcPr>
          <w:p w14:paraId="1711CA1B" w14:textId="77777777" w:rsidR="00A32971" w:rsidRPr="0079074C" w:rsidRDefault="00A32971" w:rsidP="00AF7CD1">
            <w:pPr>
              <w:jc w:val="right"/>
              <w:rPr>
                <w:sz w:val="16"/>
                <w:szCs w:val="16"/>
              </w:rPr>
            </w:pPr>
            <w:r w:rsidRPr="0079074C">
              <w:rPr>
                <w:sz w:val="16"/>
                <w:szCs w:val="16"/>
              </w:rPr>
              <w:t>1.8</w:t>
            </w:r>
          </w:p>
        </w:tc>
        <w:tc>
          <w:tcPr>
            <w:tcW w:w="488" w:type="pct"/>
            <w:tcBorders>
              <w:top w:val="nil"/>
              <w:left w:val="nil"/>
              <w:bottom w:val="nil"/>
              <w:right w:val="nil"/>
            </w:tcBorders>
            <w:shd w:val="clear" w:color="auto" w:fill="auto"/>
            <w:noWrap/>
            <w:vAlign w:val="center"/>
            <w:hideMark/>
          </w:tcPr>
          <w:p w14:paraId="20832508" w14:textId="77777777" w:rsidR="00A32971" w:rsidRPr="0079074C" w:rsidRDefault="00A32971" w:rsidP="00AF7CD1">
            <w:pPr>
              <w:jc w:val="right"/>
              <w:rPr>
                <w:sz w:val="16"/>
                <w:szCs w:val="16"/>
              </w:rPr>
            </w:pPr>
            <w:r w:rsidRPr="0079074C">
              <w:rPr>
                <w:sz w:val="16"/>
                <w:szCs w:val="16"/>
              </w:rPr>
              <w:t>2.4</w:t>
            </w:r>
          </w:p>
        </w:tc>
        <w:tc>
          <w:tcPr>
            <w:tcW w:w="485" w:type="pct"/>
            <w:tcBorders>
              <w:top w:val="nil"/>
              <w:left w:val="nil"/>
              <w:bottom w:val="nil"/>
              <w:right w:val="nil"/>
            </w:tcBorders>
            <w:shd w:val="clear" w:color="auto" w:fill="auto"/>
            <w:noWrap/>
            <w:vAlign w:val="center"/>
            <w:hideMark/>
          </w:tcPr>
          <w:p w14:paraId="623078B9" w14:textId="77421A46" w:rsidR="00A32971" w:rsidRPr="0079074C" w:rsidRDefault="00A32971" w:rsidP="00AF7CD1">
            <w:pPr>
              <w:jc w:val="right"/>
              <w:rPr>
                <w:sz w:val="16"/>
                <w:szCs w:val="16"/>
              </w:rPr>
            </w:pPr>
            <w:r w:rsidRPr="0079074C">
              <w:rPr>
                <w:sz w:val="16"/>
                <w:szCs w:val="16"/>
              </w:rPr>
              <w:t>2</w:t>
            </w:r>
            <w:r w:rsidR="00272901" w:rsidRPr="0079074C">
              <w:rPr>
                <w:sz w:val="16"/>
                <w:szCs w:val="16"/>
              </w:rPr>
              <w:t>.0</w:t>
            </w:r>
          </w:p>
        </w:tc>
        <w:tc>
          <w:tcPr>
            <w:tcW w:w="514" w:type="pct"/>
            <w:tcBorders>
              <w:top w:val="nil"/>
              <w:left w:val="nil"/>
              <w:bottom w:val="nil"/>
              <w:right w:val="nil"/>
            </w:tcBorders>
            <w:shd w:val="clear" w:color="auto" w:fill="auto"/>
            <w:noWrap/>
            <w:vAlign w:val="center"/>
            <w:hideMark/>
          </w:tcPr>
          <w:p w14:paraId="789442B8" w14:textId="77777777" w:rsidR="00A32971" w:rsidRPr="0079074C" w:rsidRDefault="00A32971" w:rsidP="00AF7CD1">
            <w:pPr>
              <w:jc w:val="right"/>
              <w:rPr>
                <w:sz w:val="16"/>
                <w:szCs w:val="16"/>
              </w:rPr>
            </w:pPr>
            <w:r w:rsidRPr="0079074C">
              <w:rPr>
                <w:sz w:val="16"/>
                <w:szCs w:val="16"/>
              </w:rPr>
              <w:t>1.3</w:t>
            </w:r>
          </w:p>
        </w:tc>
        <w:tc>
          <w:tcPr>
            <w:tcW w:w="440" w:type="pct"/>
            <w:tcBorders>
              <w:top w:val="nil"/>
              <w:left w:val="nil"/>
              <w:bottom w:val="nil"/>
              <w:right w:val="nil"/>
            </w:tcBorders>
            <w:shd w:val="clear" w:color="auto" w:fill="auto"/>
            <w:noWrap/>
            <w:vAlign w:val="center"/>
            <w:hideMark/>
          </w:tcPr>
          <w:p w14:paraId="6AD09429" w14:textId="77777777" w:rsidR="00A32971" w:rsidRPr="0079074C" w:rsidRDefault="00A32971" w:rsidP="00AF7CD1">
            <w:pPr>
              <w:jc w:val="right"/>
              <w:rPr>
                <w:sz w:val="16"/>
                <w:szCs w:val="16"/>
              </w:rPr>
            </w:pPr>
            <w:r w:rsidRPr="0079074C">
              <w:rPr>
                <w:sz w:val="16"/>
                <w:szCs w:val="16"/>
              </w:rPr>
              <w:t>1.1</w:t>
            </w:r>
          </w:p>
        </w:tc>
        <w:tc>
          <w:tcPr>
            <w:tcW w:w="365" w:type="pct"/>
            <w:tcBorders>
              <w:top w:val="nil"/>
              <w:left w:val="nil"/>
              <w:bottom w:val="nil"/>
              <w:right w:val="nil"/>
            </w:tcBorders>
            <w:shd w:val="clear" w:color="auto" w:fill="auto"/>
            <w:noWrap/>
            <w:vAlign w:val="center"/>
            <w:hideMark/>
          </w:tcPr>
          <w:p w14:paraId="5ED0EAE5" w14:textId="7D01296F" w:rsidR="00A32971" w:rsidRPr="0079074C" w:rsidRDefault="00A32971" w:rsidP="00AF7CD1">
            <w:pPr>
              <w:jc w:val="right"/>
              <w:rPr>
                <w:sz w:val="16"/>
                <w:szCs w:val="16"/>
              </w:rPr>
            </w:pPr>
            <w:r w:rsidRPr="0079074C">
              <w:rPr>
                <w:sz w:val="16"/>
                <w:szCs w:val="16"/>
              </w:rPr>
              <w:t>100</w:t>
            </w:r>
            <w:r w:rsidR="00272901" w:rsidRPr="0079074C">
              <w:rPr>
                <w:sz w:val="16"/>
                <w:szCs w:val="16"/>
              </w:rPr>
              <w:t>.0</w:t>
            </w:r>
          </w:p>
        </w:tc>
        <w:tc>
          <w:tcPr>
            <w:tcW w:w="365" w:type="pct"/>
            <w:tcBorders>
              <w:top w:val="nil"/>
              <w:left w:val="nil"/>
              <w:bottom w:val="nil"/>
              <w:right w:val="nil"/>
            </w:tcBorders>
            <w:shd w:val="clear" w:color="auto" w:fill="auto"/>
            <w:noWrap/>
            <w:vAlign w:val="center"/>
            <w:hideMark/>
          </w:tcPr>
          <w:p w14:paraId="0FD032BA" w14:textId="77777777" w:rsidR="00A32971" w:rsidRPr="0079074C" w:rsidRDefault="00A32971" w:rsidP="00AF7CD1">
            <w:pPr>
              <w:jc w:val="right"/>
              <w:rPr>
                <w:sz w:val="16"/>
                <w:szCs w:val="16"/>
              </w:rPr>
            </w:pPr>
            <w:r w:rsidRPr="0079074C">
              <w:rPr>
                <w:sz w:val="16"/>
                <w:szCs w:val="16"/>
              </w:rPr>
              <w:t>-</w:t>
            </w:r>
          </w:p>
        </w:tc>
        <w:tc>
          <w:tcPr>
            <w:tcW w:w="431" w:type="pct"/>
            <w:tcBorders>
              <w:top w:val="nil"/>
              <w:left w:val="nil"/>
              <w:bottom w:val="nil"/>
              <w:right w:val="nil"/>
            </w:tcBorders>
            <w:shd w:val="clear" w:color="auto" w:fill="auto"/>
            <w:noWrap/>
            <w:vAlign w:val="center"/>
            <w:hideMark/>
          </w:tcPr>
          <w:p w14:paraId="4136D3C0" w14:textId="77777777" w:rsidR="00A32971" w:rsidRPr="0079074C" w:rsidRDefault="00A32971" w:rsidP="00AF7CD1">
            <w:pPr>
              <w:jc w:val="right"/>
              <w:rPr>
                <w:sz w:val="16"/>
                <w:szCs w:val="16"/>
              </w:rPr>
            </w:pPr>
            <w:r w:rsidRPr="0079074C">
              <w:rPr>
                <w:sz w:val="16"/>
                <w:szCs w:val="16"/>
              </w:rPr>
              <w:t>2.4</w:t>
            </w:r>
          </w:p>
        </w:tc>
        <w:tc>
          <w:tcPr>
            <w:tcW w:w="305" w:type="pct"/>
            <w:tcBorders>
              <w:top w:val="nil"/>
              <w:left w:val="nil"/>
              <w:bottom w:val="nil"/>
              <w:right w:val="nil"/>
            </w:tcBorders>
            <w:shd w:val="clear" w:color="auto" w:fill="auto"/>
            <w:noWrap/>
            <w:vAlign w:val="center"/>
            <w:hideMark/>
          </w:tcPr>
          <w:p w14:paraId="6F663FD8" w14:textId="77777777" w:rsidR="00A32971" w:rsidRPr="0079074C" w:rsidRDefault="00A32971" w:rsidP="00AF7CD1">
            <w:pPr>
              <w:jc w:val="right"/>
              <w:rPr>
                <w:sz w:val="16"/>
                <w:szCs w:val="16"/>
              </w:rPr>
            </w:pPr>
            <w:r w:rsidRPr="0079074C">
              <w:rPr>
                <w:sz w:val="16"/>
                <w:szCs w:val="16"/>
              </w:rPr>
              <w:t>8.1</w:t>
            </w:r>
          </w:p>
        </w:tc>
      </w:tr>
      <w:tr w:rsidR="006B42D6" w:rsidRPr="006B42D6" w14:paraId="19CB61E0" w14:textId="77777777" w:rsidTr="0079074C">
        <w:trPr>
          <w:trHeight w:val="306"/>
        </w:trPr>
        <w:tc>
          <w:tcPr>
            <w:tcW w:w="913" w:type="pct"/>
            <w:tcBorders>
              <w:top w:val="nil"/>
              <w:left w:val="nil"/>
              <w:bottom w:val="nil"/>
              <w:right w:val="nil"/>
            </w:tcBorders>
            <w:shd w:val="clear" w:color="auto" w:fill="auto"/>
            <w:noWrap/>
            <w:vAlign w:val="center"/>
            <w:hideMark/>
          </w:tcPr>
          <w:p w14:paraId="28273A46" w14:textId="77777777" w:rsidR="00A32971" w:rsidRPr="0079074C" w:rsidRDefault="00A32971" w:rsidP="00AF7CD1">
            <w:pPr>
              <w:rPr>
                <w:sz w:val="16"/>
                <w:szCs w:val="16"/>
              </w:rPr>
            </w:pPr>
            <w:r w:rsidRPr="0079074C">
              <w:rPr>
                <w:sz w:val="16"/>
                <w:szCs w:val="16"/>
              </w:rPr>
              <w:t>Kigoma</w:t>
            </w:r>
          </w:p>
        </w:tc>
        <w:tc>
          <w:tcPr>
            <w:tcW w:w="370" w:type="pct"/>
            <w:tcBorders>
              <w:top w:val="nil"/>
              <w:left w:val="nil"/>
              <w:bottom w:val="nil"/>
              <w:right w:val="nil"/>
            </w:tcBorders>
            <w:shd w:val="clear" w:color="auto" w:fill="auto"/>
            <w:noWrap/>
            <w:vAlign w:val="center"/>
            <w:hideMark/>
          </w:tcPr>
          <w:p w14:paraId="03F3624E" w14:textId="34B884FC" w:rsidR="00A32971" w:rsidRPr="0079074C" w:rsidRDefault="00A32971" w:rsidP="00AF7CD1">
            <w:pPr>
              <w:jc w:val="right"/>
              <w:rPr>
                <w:sz w:val="16"/>
                <w:szCs w:val="16"/>
              </w:rPr>
            </w:pPr>
            <w:r w:rsidRPr="0079074C">
              <w:rPr>
                <w:sz w:val="16"/>
                <w:szCs w:val="16"/>
              </w:rPr>
              <w:t>2</w:t>
            </w:r>
            <w:r w:rsidR="00272901" w:rsidRPr="0079074C">
              <w:rPr>
                <w:sz w:val="16"/>
                <w:szCs w:val="16"/>
              </w:rPr>
              <w:t>.0</w:t>
            </w:r>
          </w:p>
        </w:tc>
        <w:tc>
          <w:tcPr>
            <w:tcW w:w="324" w:type="pct"/>
            <w:tcBorders>
              <w:top w:val="nil"/>
              <w:left w:val="nil"/>
              <w:bottom w:val="nil"/>
              <w:right w:val="nil"/>
            </w:tcBorders>
            <w:shd w:val="clear" w:color="auto" w:fill="auto"/>
            <w:noWrap/>
            <w:vAlign w:val="center"/>
            <w:hideMark/>
          </w:tcPr>
          <w:p w14:paraId="2B0EF9C4" w14:textId="77777777" w:rsidR="00A32971" w:rsidRPr="0079074C" w:rsidRDefault="00A32971" w:rsidP="00AF7CD1">
            <w:pPr>
              <w:jc w:val="right"/>
              <w:rPr>
                <w:sz w:val="16"/>
                <w:szCs w:val="16"/>
              </w:rPr>
            </w:pPr>
            <w:r w:rsidRPr="0079074C">
              <w:rPr>
                <w:sz w:val="16"/>
                <w:szCs w:val="16"/>
              </w:rPr>
              <w:t>1.1</w:t>
            </w:r>
          </w:p>
        </w:tc>
        <w:tc>
          <w:tcPr>
            <w:tcW w:w="488" w:type="pct"/>
            <w:tcBorders>
              <w:top w:val="nil"/>
              <w:left w:val="nil"/>
              <w:bottom w:val="nil"/>
              <w:right w:val="nil"/>
            </w:tcBorders>
            <w:shd w:val="clear" w:color="auto" w:fill="auto"/>
            <w:noWrap/>
            <w:vAlign w:val="center"/>
            <w:hideMark/>
          </w:tcPr>
          <w:p w14:paraId="7890AD37" w14:textId="160A03B7" w:rsidR="00A32971" w:rsidRPr="0079074C" w:rsidRDefault="00A32971" w:rsidP="00AF7CD1">
            <w:pPr>
              <w:jc w:val="right"/>
              <w:rPr>
                <w:sz w:val="16"/>
                <w:szCs w:val="16"/>
              </w:rPr>
            </w:pPr>
            <w:r w:rsidRPr="0079074C">
              <w:rPr>
                <w:sz w:val="16"/>
                <w:szCs w:val="16"/>
              </w:rPr>
              <w:t>2</w:t>
            </w:r>
            <w:r w:rsidR="00272901" w:rsidRPr="0079074C">
              <w:rPr>
                <w:sz w:val="16"/>
                <w:szCs w:val="16"/>
              </w:rPr>
              <w:t>.0</w:t>
            </w:r>
          </w:p>
        </w:tc>
        <w:tc>
          <w:tcPr>
            <w:tcW w:w="485" w:type="pct"/>
            <w:tcBorders>
              <w:top w:val="nil"/>
              <w:left w:val="nil"/>
              <w:bottom w:val="nil"/>
              <w:right w:val="nil"/>
            </w:tcBorders>
            <w:shd w:val="clear" w:color="auto" w:fill="auto"/>
            <w:noWrap/>
            <w:vAlign w:val="center"/>
            <w:hideMark/>
          </w:tcPr>
          <w:p w14:paraId="61520F17" w14:textId="77777777" w:rsidR="00A32971" w:rsidRPr="0079074C" w:rsidRDefault="00A32971" w:rsidP="00AF7CD1">
            <w:pPr>
              <w:jc w:val="right"/>
              <w:rPr>
                <w:sz w:val="16"/>
                <w:szCs w:val="16"/>
              </w:rPr>
            </w:pPr>
            <w:r w:rsidRPr="0079074C">
              <w:rPr>
                <w:sz w:val="16"/>
                <w:szCs w:val="16"/>
              </w:rPr>
              <w:t>0.4</w:t>
            </w:r>
          </w:p>
        </w:tc>
        <w:tc>
          <w:tcPr>
            <w:tcW w:w="514" w:type="pct"/>
            <w:tcBorders>
              <w:top w:val="nil"/>
              <w:left w:val="nil"/>
              <w:bottom w:val="nil"/>
              <w:right w:val="nil"/>
            </w:tcBorders>
            <w:shd w:val="clear" w:color="auto" w:fill="auto"/>
            <w:noWrap/>
            <w:vAlign w:val="center"/>
            <w:hideMark/>
          </w:tcPr>
          <w:p w14:paraId="2419C5CA" w14:textId="5CF660BA" w:rsidR="00A32971" w:rsidRPr="0079074C" w:rsidRDefault="00A32971" w:rsidP="00AF7CD1">
            <w:pPr>
              <w:jc w:val="right"/>
              <w:rPr>
                <w:sz w:val="16"/>
                <w:szCs w:val="16"/>
              </w:rPr>
            </w:pPr>
            <w:r w:rsidRPr="0079074C">
              <w:rPr>
                <w:sz w:val="16"/>
                <w:szCs w:val="16"/>
              </w:rPr>
              <w:t>1</w:t>
            </w:r>
            <w:r w:rsidR="00272901" w:rsidRPr="0079074C">
              <w:rPr>
                <w:sz w:val="16"/>
                <w:szCs w:val="16"/>
              </w:rPr>
              <w:t>.0</w:t>
            </w:r>
          </w:p>
        </w:tc>
        <w:tc>
          <w:tcPr>
            <w:tcW w:w="440" w:type="pct"/>
            <w:tcBorders>
              <w:top w:val="nil"/>
              <w:left w:val="nil"/>
              <w:bottom w:val="nil"/>
              <w:right w:val="nil"/>
            </w:tcBorders>
            <w:shd w:val="clear" w:color="auto" w:fill="auto"/>
            <w:noWrap/>
            <w:vAlign w:val="center"/>
            <w:hideMark/>
          </w:tcPr>
          <w:p w14:paraId="0BC5A775" w14:textId="77777777" w:rsidR="00A32971" w:rsidRPr="0079074C" w:rsidRDefault="00A32971" w:rsidP="00AF7CD1">
            <w:pPr>
              <w:jc w:val="right"/>
              <w:rPr>
                <w:sz w:val="16"/>
                <w:szCs w:val="16"/>
              </w:rPr>
            </w:pPr>
            <w:r w:rsidRPr="0079074C">
              <w:rPr>
                <w:sz w:val="16"/>
                <w:szCs w:val="16"/>
              </w:rPr>
              <w:t>-</w:t>
            </w:r>
          </w:p>
        </w:tc>
        <w:tc>
          <w:tcPr>
            <w:tcW w:w="365" w:type="pct"/>
            <w:tcBorders>
              <w:top w:val="nil"/>
              <w:left w:val="nil"/>
              <w:bottom w:val="nil"/>
              <w:right w:val="nil"/>
            </w:tcBorders>
            <w:shd w:val="clear" w:color="auto" w:fill="auto"/>
            <w:noWrap/>
            <w:vAlign w:val="center"/>
            <w:hideMark/>
          </w:tcPr>
          <w:p w14:paraId="38B5FB83" w14:textId="77777777" w:rsidR="00A32971" w:rsidRPr="0079074C" w:rsidRDefault="00A32971" w:rsidP="00AF7CD1">
            <w:pPr>
              <w:jc w:val="right"/>
              <w:rPr>
                <w:sz w:val="16"/>
                <w:szCs w:val="16"/>
              </w:rPr>
            </w:pPr>
            <w:r w:rsidRPr="0079074C">
              <w:rPr>
                <w:sz w:val="16"/>
                <w:szCs w:val="16"/>
              </w:rPr>
              <w:t>-</w:t>
            </w:r>
          </w:p>
        </w:tc>
        <w:tc>
          <w:tcPr>
            <w:tcW w:w="365" w:type="pct"/>
            <w:tcBorders>
              <w:top w:val="nil"/>
              <w:left w:val="nil"/>
              <w:bottom w:val="nil"/>
              <w:right w:val="nil"/>
            </w:tcBorders>
            <w:shd w:val="clear" w:color="auto" w:fill="auto"/>
            <w:noWrap/>
            <w:vAlign w:val="center"/>
            <w:hideMark/>
          </w:tcPr>
          <w:p w14:paraId="387E996C" w14:textId="77777777" w:rsidR="00A32971" w:rsidRPr="0079074C" w:rsidRDefault="00A32971" w:rsidP="00AF7CD1">
            <w:pPr>
              <w:jc w:val="right"/>
              <w:rPr>
                <w:sz w:val="16"/>
                <w:szCs w:val="16"/>
              </w:rPr>
            </w:pPr>
            <w:r w:rsidRPr="0079074C">
              <w:rPr>
                <w:sz w:val="16"/>
                <w:szCs w:val="16"/>
              </w:rPr>
              <w:t>-</w:t>
            </w:r>
          </w:p>
        </w:tc>
        <w:tc>
          <w:tcPr>
            <w:tcW w:w="431" w:type="pct"/>
            <w:tcBorders>
              <w:top w:val="nil"/>
              <w:left w:val="nil"/>
              <w:bottom w:val="nil"/>
              <w:right w:val="nil"/>
            </w:tcBorders>
            <w:shd w:val="clear" w:color="auto" w:fill="auto"/>
            <w:noWrap/>
            <w:vAlign w:val="center"/>
            <w:hideMark/>
          </w:tcPr>
          <w:p w14:paraId="6BD08CFD" w14:textId="77777777" w:rsidR="00A32971" w:rsidRPr="0079074C" w:rsidRDefault="00A32971" w:rsidP="00AF7CD1">
            <w:pPr>
              <w:jc w:val="right"/>
              <w:rPr>
                <w:sz w:val="16"/>
                <w:szCs w:val="16"/>
              </w:rPr>
            </w:pPr>
            <w:r w:rsidRPr="0079074C">
              <w:rPr>
                <w:sz w:val="16"/>
                <w:szCs w:val="16"/>
              </w:rPr>
              <w:t>-</w:t>
            </w:r>
          </w:p>
        </w:tc>
        <w:tc>
          <w:tcPr>
            <w:tcW w:w="305" w:type="pct"/>
            <w:tcBorders>
              <w:top w:val="nil"/>
              <w:left w:val="nil"/>
              <w:bottom w:val="nil"/>
              <w:right w:val="nil"/>
            </w:tcBorders>
            <w:shd w:val="clear" w:color="auto" w:fill="auto"/>
            <w:noWrap/>
            <w:vAlign w:val="center"/>
            <w:hideMark/>
          </w:tcPr>
          <w:p w14:paraId="3ABDAE10" w14:textId="77777777" w:rsidR="00A32971" w:rsidRPr="0079074C" w:rsidRDefault="00A32971" w:rsidP="00AF7CD1">
            <w:pPr>
              <w:jc w:val="right"/>
              <w:rPr>
                <w:sz w:val="16"/>
                <w:szCs w:val="16"/>
              </w:rPr>
            </w:pPr>
            <w:r w:rsidRPr="0079074C">
              <w:rPr>
                <w:sz w:val="16"/>
                <w:szCs w:val="16"/>
              </w:rPr>
              <w:t>1.4</w:t>
            </w:r>
          </w:p>
        </w:tc>
      </w:tr>
      <w:tr w:rsidR="006B42D6" w:rsidRPr="006B42D6" w14:paraId="59703618" w14:textId="77777777" w:rsidTr="0079074C">
        <w:trPr>
          <w:trHeight w:val="306"/>
        </w:trPr>
        <w:tc>
          <w:tcPr>
            <w:tcW w:w="913" w:type="pct"/>
            <w:tcBorders>
              <w:top w:val="nil"/>
              <w:left w:val="nil"/>
              <w:bottom w:val="nil"/>
              <w:right w:val="nil"/>
            </w:tcBorders>
            <w:shd w:val="clear" w:color="auto" w:fill="auto"/>
            <w:noWrap/>
            <w:vAlign w:val="center"/>
            <w:hideMark/>
          </w:tcPr>
          <w:p w14:paraId="2A767B7C" w14:textId="77777777" w:rsidR="00A32971" w:rsidRPr="0079074C" w:rsidRDefault="00A32971" w:rsidP="00AF7CD1">
            <w:pPr>
              <w:rPr>
                <w:sz w:val="16"/>
                <w:szCs w:val="16"/>
              </w:rPr>
            </w:pPr>
            <w:r w:rsidRPr="0079074C">
              <w:rPr>
                <w:sz w:val="16"/>
                <w:szCs w:val="16"/>
              </w:rPr>
              <w:t>Shinyanga</w:t>
            </w:r>
          </w:p>
        </w:tc>
        <w:tc>
          <w:tcPr>
            <w:tcW w:w="370" w:type="pct"/>
            <w:tcBorders>
              <w:top w:val="nil"/>
              <w:left w:val="nil"/>
              <w:bottom w:val="nil"/>
              <w:right w:val="nil"/>
            </w:tcBorders>
            <w:shd w:val="clear" w:color="auto" w:fill="auto"/>
            <w:noWrap/>
            <w:vAlign w:val="center"/>
            <w:hideMark/>
          </w:tcPr>
          <w:p w14:paraId="1E6C04DD" w14:textId="77777777" w:rsidR="00A32971" w:rsidRPr="0079074C" w:rsidRDefault="00A32971" w:rsidP="00AF7CD1">
            <w:pPr>
              <w:jc w:val="right"/>
              <w:rPr>
                <w:sz w:val="16"/>
                <w:szCs w:val="16"/>
              </w:rPr>
            </w:pPr>
            <w:r w:rsidRPr="0079074C">
              <w:rPr>
                <w:sz w:val="16"/>
                <w:szCs w:val="16"/>
              </w:rPr>
              <w:t>6.7</w:t>
            </w:r>
          </w:p>
        </w:tc>
        <w:tc>
          <w:tcPr>
            <w:tcW w:w="324" w:type="pct"/>
            <w:tcBorders>
              <w:top w:val="nil"/>
              <w:left w:val="nil"/>
              <w:bottom w:val="nil"/>
              <w:right w:val="nil"/>
            </w:tcBorders>
            <w:shd w:val="clear" w:color="auto" w:fill="auto"/>
            <w:noWrap/>
            <w:vAlign w:val="center"/>
            <w:hideMark/>
          </w:tcPr>
          <w:p w14:paraId="31034A55" w14:textId="77777777" w:rsidR="00A32971" w:rsidRPr="0079074C" w:rsidRDefault="00A32971" w:rsidP="00AF7CD1">
            <w:pPr>
              <w:jc w:val="right"/>
              <w:rPr>
                <w:sz w:val="16"/>
                <w:szCs w:val="16"/>
              </w:rPr>
            </w:pPr>
            <w:r w:rsidRPr="0079074C">
              <w:rPr>
                <w:sz w:val="16"/>
                <w:szCs w:val="16"/>
              </w:rPr>
              <w:t>6.3</w:t>
            </w:r>
          </w:p>
        </w:tc>
        <w:tc>
          <w:tcPr>
            <w:tcW w:w="488" w:type="pct"/>
            <w:tcBorders>
              <w:top w:val="nil"/>
              <w:left w:val="nil"/>
              <w:bottom w:val="nil"/>
              <w:right w:val="nil"/>
            </w:tcBorders>
            <w:shd w:val="clear" w:color="auto" w:fill="auto"/>
            <w:noWrap/>
            <w:vAlign w:val="center"/>
            <w:hideMark/>
          </w:tcPr>
          <w:p w14:paraId="6647739F" w14:textId="77777777" w:rsidR="00A32971" w:rsidRPr="0079074C" w:rsidRDefault="00A32971" w:rsidP="00AF7CD1">
            <w:pPr>
              <w:jc w:val="right"/>
              <w:rPr>
                <w:sz w:val="16"/>
                <w:szCs w:val="16"/>
              </w:rPr>
            </w:pPr>
            <w:r w:rsidRPr="0079074C">
              <w:rPr>
                <w:sz w:val="16"/>
                <w:szCs w:val="16"/>
              </w:rPr>
              <w:t>2.8</w:t>
            </w:r>
          </w:p>
        </w:tc>
        <w:tc>
          <w:tcPr>
            <w:tcW w:w="485" w:type="pct"/>
            <w:tcBorders>
              <w:top w:val="nil"/>
              <w:left w:val="nil"/>
              <w:bottom w:val="nil"/>
              <w:right w:val="nil"/>
            </w:tcBorders>
            <w:shd w:val="clear" w:color="auto" w:fill="auto"/>
            <w:noWrap/>
            <w:vAlign w:val="center"/>
            <w:hideMark/>
          </w:tcPr>
          <w:p w14:paraId="5E2B854F" w14:textId="77777777" w:rsidR="00A32971" w:rsidRPr="0079074C" w:rsidRDefault="00A32971" w:rsidP="00AF7CD1">
            <w:pPr>
              <w:jc w:val="right"/>
              <w:rPr>
                <w:sz w:val="16"/>
                <w:szCs w:val="16"/>
              </w:rPr>
            </w:pPr>
            <w:r w:rsidRPr="0079074C">
              <w:rPr>
                <w:sz w:val="16"/>
                <w:szCs w:val="16"/>
              </w:rPr>
              <w:t>3.5</w:t>
            </w:r>
          </w:p>
        </w:tc>
        <w:tc>
          <w:tcPr>
            <w:tcW w:w="514" w:type="pct"/>
            <w:tcBorders>
              <w:top w:val="nil"/>
              <w:left w:val="nil"/>
              <w:bottom w:val="nil"/>
              <w:right w:val="nil"/>
            </w:tcBorders>
            <w:shd w:val="clear" w:color="auto" w:fill="auto"/>
            <w:noWrap/>
            <w:vAlign w:val="center"/>
            <w:hideMark/>
          </w:tcPr>
          <w:p w14:paraId="46A60CC7" w14:textId="77777777" w:rsidR="00A32971" w:rsidRPr="0079074C" w:rsidRDefault="00A32971" w:rsidP="00AF7CD1">
            <w:pPr>
              <w:jc w:val="right"/>
              <w:rPr>
                <w:sz w:val="16"/>
                <w:szCs w:val="16"/>
              </w:rPr>
            </w:pPr>
            <w:r w:rsidRPr="0079074C">
              <w:rPr>
                <w:sz w:val="16"/>
                <w:szCs w:val="16"/>
              </w:rPr>
              <w:t>1.6</w:t>
            </w:r>
          </w:p>
        </w:tc>
        <w:tc>
          <w:tcPr>
            <w:tcW w:w="440" w:type="pct"/>
            <w:tcBorders>
              <w:top w:val="nil"/>
              <w:left w:val="nil"/>
              <w:bottom w:val="nil"/>
              <w:right w:val="nil"/>
            </w:tcBorders>
            <w:shd w:val="clear" w:color="auto" w:fill="auto"/>
            <w:noWrap/>
            <w:vAlign w:val="center"/>
            <w:hideMark/>
          </w:tcPr>
          <w:p w14:paraId="6B450967" w14:textId="77777777" w:rsidR="00A32971" w:rsidRPr="0079074C" w:rsidRDefault="00A32971" w:rsidP="00AF7CD1">
            <w:pPr>
              <w:jc w:val="right"/>
              <w:rPr>
                <w:sz w:val="16"/>
                <w:szCs w:val="16"/>
              </w:rPr>
            </w:pPr>
            <w:r w:rsidRPr="0079074C">
              <w:rPr>
                <w:sz w:val="16"/>
                <w:szCs w:val="16"/>
              </w:rPr>
              <w:t>-</w:t>
            </w:r>
          </w:p>
        </w:tc>
        <w:tc>
          <w:tcPr>
            <w:tcW w:w="365" w:type="pct"/>
            <w:tcBorders>
              <w:top w:val="nil"/>
              <w:left w:val="nil"/>
              <w:bottom w:val="nil"/>
              <w:right w:val="nil"/>
            </w:tcBorders>
            <w:shd w:val="clear" w:color="auto" w:fill="auto"/>
            <w:noWrap/>
            <w:vAlign w:val="center"/>
            <w:hideMark/>
          </w:tcPr>
          <w:p w14:paraId="5286AFD3" w14:textId="77777777" w:rsidR="00A32971" w:rsidRPr="0079074C" w:rsidRDefault="00A32971" w:rsidP="00AF7CD1">
            <w:pPr>
              <w:jc w:val="right"/>
              <w:rPr>
                <w:sz w:val="16"/>
                <w:szCs w:val="16"/>
              </w:rPr>
            </w:pPr>
            <w:r w:rsidRPr="0079074C">
              <w:rPr>
                <w:sz w:val="16"/>
                <w:szCs w:val="16"/>
              </w:rPr>
              <w:t>-</w:t>
            </w:r>
          </w:p>
        </w:tc>
        <w:tc>
          <w:tcPr>
            <w:tcW w:w="365" w:type="pct"/>
            <w:tcBorders>
              <w:top w:val="nil"/>
              <w:left w:val="nil"/>
              <w:bottom w:val="nil"/>
              <w:right w:val="nil"/>
            </w:tcBorders>
            <w:shd w:val="clear" w:color="auto" w:fill="auto"/>
            <w:noWrap/>
            <w:vAlign w:val="center"/>
            <w:hideMark/>
          </w:tcPr>
          <w:p w14:paraId="141411CA" w14:textId="77777777" w:rsidR="00A32971" w:rsidRPr="0079074C" w:rsidRDefault="00A32971" w:rsidP="00AF7CD1">
            <w:pPr>
              <w:jc w:val="right"/>
              <w:rPr>
                <w:sz w:val="16"/>
                <w:szCs w:val="16"/>
              </w:rPr>
            </w:pPr>
            <w:r w:rsidRPr="0079074C">
              <w:rPr>
                <w:sz w:val="16"/>
                <w:szCs w:val="16"/>
              </w:rPr>
              <w:t>-</w:t>
            </w:r>
          </w:p>
        </w:tc>
        <w:tc>
          <w:tcPr>
            <w:tcW w:w="431" w:type="pct"/>
            <w:tcBorders>
              <w:top w:val="nil"/>
              <w:left w:val="nil"/>
              <w:bottom w:val="nil"/>
              <w:right w:val="nil"/>
            </w:tcBorders>
            <w:shd w:val="clear" w:color="auto" w:fill="auto"/>
            <w:noWrap/>
            <w:vAlign w:val="center"/>
            <w:hideMark/>
          </w:tcPr>
          <w:p w14:paraId="60FB2795" w14:textId="77777777" w:rsidR="00A32971" w:rsidRPr="0079074C" w:rsidRDefault="00A32971" w:rsidP="00AF7CD1">
            <w:pPr>
              <w:jc w:val="right"/>
              <w:rPr>
                <w:sz w:val="16"/>
                <w:szCs w:val="16"/>
              </w:rPr>
            </w:pPr>
            <w:r w:rsidRPr="0079074C">
              <w:rPr>
                <w:sz w:val="16"/>
                <w:szCs w:val="16"/>
              </w:rPr>
              <w:t>-</w:t>
            </w:r>
          </w:p>
        </w:tc>
        <w:tc>
          <w:tcPr>
            <w:tcW w:w="305" w:type="pct"/>
            <w:tcBorders>
              <w:top w:val="nil"/>
              <w:left w:val="nil"/>
              <w:bottom w:val="nil"/>
              <w:right w:val="nil"/>
            </w:tcBorders>
            <w:shd w:val="clear" w:color="auto" w:fill="auto"/>
            <w:noWrap/>
            <w:vAlign w:val="center"/>
            <w:hideMark/>
          </w:tcPr>
          <w:p w14:paraId="1E2A579F" w14:textId="77777777" w:rsidR="00A32971" w:rsidRPr="0079074C" w:rsidRDefault="00A32971" w:rsidP="00AF7CD1">
            <w:pPr>
              <w:jc w:val="right"/>
              <w:rPr>
                <w:sz w:val="16"/>
                <w:szCs w:val="16"/>
              </w:rPr>
            </w:pPr>
            <w:r w:rsidRPr="0079074C">
              <w:rPr>
                <w:sz w:val="16"/>
                <w:szCs w:val="16"/>
              </w:rPr>
              <w:t>4.2</w:t>
            </w:r>
          </w:p>
        </w:tc>
      </w:tr>
      <w:tr w:rsidR="006B42D6" w:rsidRPr="006B42D6" w14:paraId="61B63067" w14:textId="77777777" w:rsidTr="0079074C">
        <w:trPr>
          <w:trHeight w:val="306"/>
        </w:trPr>
        <w:tc>
          <w:tcPr>
            <w:tcW w:w="913" w:type="pct"/>
            <w:tcBorders>
              <w:top w:val="nil"/>
              <w:left w:val="nil"/>
              <w:bottom w:val="nil"/>
              <w:right w:val="nil"/>
            </w:tcBorders>
            <w:shd w:val="clear" w:color="auto" w:fill="auto"/>
            <w:noWrap/>
            <w:vAlign w:val="center"/>
            <w:hideMark/>
          </w:tcPr>
          <w:p w14:paraId="40D80D90" w14:textId="77777777" w:rsidR="00A32971" w:rsidRPr="0079074C" w:rsidRDefault="00A32971" w:rsidP="00AF7CD1">
            <w:pPr>
              <w:rPr>
                <w:sz w:val="16"/>
                <w:szCs w:val="16"/>
              </w:rPr>
            </w:pPr>
            <w:r w:rsidRPr="0079074C">
              <w:rPr>
                <w:sz w:val="16"/>
                <w:szCs w:val="16"/>
              </w:rPr>
              <w:t>Kagera</w:t>
            </w:r>
          </w:p>
        </w:tc>
        <w:tc>
          <w:tcPr>
            <w:tcW w:w="370" w:type="pct"/>
            <w:tcBorders>
              <w:top w:val="nil"/>
              <w:left w:val="nil"/>
              <w:bottom w:val="nil"/>
              <w:right w:val="nil"/>
            </w:tcBorders>
            <w:shd w:val="clear" w:color="auto" w:fill="auto"/>
            <w:noWrap/>
            <w:vAlign w:val="center"/>
            <w:hideMark/>
          </w:tcPr>
          <w:p w14:paraId="3B8D14CB" w14:textId="77777777" w:rsidR="00A32971" w:rsidRPr="0079074C" w:rsidRDefault="00A32971" w:rsidP="00AF7CD1">
            <w:pPr>
              <w:jc w:val="right"/>
              <w:rPr>
                <w:sz w:val="16"/>
                <w:szCs w:val="16"/>
              </w:rPr>
            </w:pPr>
            <w:r w:rsidRPr="0079074C">
              <w:rPr>
                <w:sz w:val="16"/>
                <w:szCs w:val="16"/>
              </w:rPr>
              <w:t>3.8</w:t>
            </w:r>
          </w:p>
        </w:tc>
        <w:tc>
          <w:tcPr>
            <w:tcW w:w="324" w:type="pct"/>
            <w:tcBorders>
              <w:top w:val="nil"/>
              <w:left w:val="nil"/>
              <w:bottom w:val="nil"/>
              <w:right w:val="nil"/>
            </w:tcBorders>
            <w:shd w:val="clear" w:color="auto" w:fill="auto"/>
            <w:noWrap/>
            <w:vAlign w:val="center"/>
            <w:hideMark/>
          </w:tcPr>
          <w:p w14:paraId="2E639487" w14:textId="364ADE7A" w:rsidR="00A32971" w:rsidRPr="0079074C" w:rsidRDefault="00A32971" w:rsidP="00AF7CD1">
            <w:pPr>
              <w:jc w:val="right"/>
              <w:rPr>
                <w:sz w:val="16"/>
                <w:szCs w:val="16"/>
              </w:rPr>
            </w:pPr>
            <w:r w:rsidRPr="0079074C">
              <w:rPr>
                <w:sz w:val="16"/>
                <w:szCs w:val="16"/>
              </w:rPr>
              <w:t>5</w:t>
            </w:r>
            <w:r w:rsidR="00272901" w:rsidRPr="0079074C">
              <w:rPr>
                <w:sz w:val="16"/>
                <w:szCs w:val="16"/>
              </w:rPr>
              <w:t>.0</w:t>
            </w:r>
          </w:p>
        </w:tc>
        <w:tc>
          <w:tcPr>
            <w:tcW w:w="488" w:type="pct"/>
            <w:tcBorders>
              <w:top w:val="nil"/>
              <w:left w:val="nil"/>
              <w:bottom w:val="nil"/>
              <w:right w:val="nil"/>
            </w:tcBorders>
            <w:shd w:val="clear" w:color="auto" w:fill="auto"/>
            <w:noWrap/>
            <w:vAlign w:val="center"/>
            <w:hideMark/>
          </w:tcPr>
          <w:p w14:paraId="3D45BE48" w14:textId="77777777" w:rsidR="00A32971" w:rsidRPr="0079074C" w:rsidRDefault="00A32971" w:rsidP="00AF7CD1">
            <w:pPr>
              <w:jc w:val="right"/>
              <w:rPr>
                <w:sz w:val="16"/>
                <w:szCs w:val="16"/>
              </w:rPr>
            </w:pPr>
            <w:r w:rsidRPr="0079074C">
              <w:rPr>
                <w:sz w:val="16"/>
                <w:szCs w:val="16"/>
              </w:rPr>
              <w:t>1.5</w:t>
            </w:r>
          </w:p>
        </w:tc>
        <w:tc>
          <w:tcPr>
            <w:tcW w:w="485" w:type="pct"/>
            <w:tcBorders>
              <w:top w:val="nil"/>
              <w:left w:val="nil"/>
              <w:bottom w:val="nil"/>
              <w:right w:val="nil"/>
            </w:tcBorders>
            <w:shd w:val="clear" w:color="auto" w:fill="auto"/>
            <w:noWrap/>
            <w:vAlign w:val="center"/>
            <w:hideMark/>
          </w:tcPr>
          <w:p w14:paraId="37A1B5AF" w14:textId="77777777" w:rsidR="00A32971" w:rsidRPr="0079074C" w:rsidRDefault="00A32971" w:rsidP="00AF7CD1">
            <w:pPr>
              <w:jc w:val="right"/>
              <w:rPr>
                <w:sz w:val="16"/>
                <w:szCs w:val="16"/>
              </w:rPr>
            </w:pPr>
            <w:r w:rsidRPr="0079074C">
              <w:rPr>
                <w:sz w:val="16"/>
                <w:szCs w:val="16"/>
              </w:rPr>
              <w:t>2.3</w:t>
            </w:r>
          </w:p>
        </w:tc>
        <w:tc>
          <w:tcPr>
            <w:tcW w:w="514" w:type="pct"/>
            <w:tcBorders>
              <w:top w:val="nil"/>
              <w:left w:val="nil"/>
              <w:bottom w:val="nil"/>
              <w:right w:val="nil"/>
            </w:tcBorders>
            <w:shd w:val="clear" w:color="auto" w:fill="auto"/>
            <w:noWrap/>
            <w:vAlign w:val="center"/>
            <w:hideMark/>
          </w:tcPr>
          <w:p w14:paraId="51C3D922" w14:textId="77777777" w:rsidR="00A32971" w:rsidRPr="0079074C" w:rsidRDefault="00A32971" w:rsidP="00AF7CD1">
            <w:pPr>
              <w:jc w:val="right"/>
              <w:rPr>
                <w:sz w:val="16"/>
                <w:szCs w:val="16"/>
              </w:rPr>
            </w:pPr>
            <w:r w:rsidRPr="0079074C">
              <w:rPr>
                <w:sz w:val="16"/>
                <w:szCs w:val="16"/>
              </w:rPr>
              <w:t>4.6</w:t>
            </w:r>
          </w:p>
        </w:tc>
        <w:tc>
          <w:tcPr>
            <w:tcW w:w="440" w:type="pct"/>
            <w:tcBorders>
              <w:top w:val="nil"/>
              <w:left w:val="nil"/>
              <w:bottom w:val="nil"/>
              <w:right w:val="nil"/>
            </w:tcBorders>
            <w:shd w:val="clear" w:color="auto" w:fill="auto"/>
            <w:noWrap/>
            <w:vAlign w:val="center"/>
            <w:hideMark/>
          </w:tcPr>
          <w:p w14:paraId="616DD008" w14:textId="77777777" w:rsidR="00A32971" w:rsidRPr="0079074C" w:rsidRDefault="00A32971" w:rsidP="00AF7CD1">
            <w:pPr>
              <w:jc w:val="right"/>
              <w:rPr>
                <w:sz w:val="16"/>
                <w:szCs w:val="16"/>
              </w:rPr>
            </w:pPr>
            <w:r w:rsidRPr="0079074C">
              <w:rPr>
                <w:sz w:val="16"/>
                <w:szCs w:val="16"/>
              </w:rPr>
              <w:t>-</w:t>
            </w:r>
          </w:p>
        </w:tc>
        <w:tc>
          <w:tcPr>
            <w:tcW w:w="365" w:type="pct"/>
            <w:tcBorders>
              <w:top w:val="nil"/>
              <w:left w:val="nil"/>
              <w:bottom w:val="nil"/>
              <w:right w:val="nil"/>
            </w:tcBorders>
            <w:shd w:val="clear" w:color="auto" w:fill="auto"/>
            <w:noWrap/>
            <w:vAlign w:val="center"/>
            <w:hideMark/>
          </w:tcPr>
          <w:p w14:paraId="4CD2A536" w14:textId="77777777" w:rsidR="00A32971" w:rsidRPr="0079074C" w:rsidRDefault="00A32971" w:rsidP="00AF7CD1">
            <w:pPr>
              <w:jc w:val="right"/>
              <w:rPr>
                <w:sz w:val="16"/>
                <w:szCs w:val="16"/>
              </w:rPr>
            </w:pPr>
            <w:r w:rsidRPr="0079074C">
              <w:rPr>
                <w:sz w:val="16"/>
                <w:szCs w:val="16"/>
              </w:rPr>
              <w:t>-</w:t>
            </w:r>
          </w:p>
        </w:tc>
        <w:tc>
          <w:tcPr>
            <w:tcW w:w="365" w:type="pct"/>
            <w:tcBorders>
              <w:top w:val="nil"/>
              <w:left w:val="nil"/>
              <w:bottom w:val="nil"/>
              <w:right w:val="nil"/>
            </w:tcBorders>
            <w:shd w:val="clear" w:color="auto" w:fill="auto"/>
            <w:noWrap/>
            <w:vAlign w:val="center"/>
            <w:hideMark/>
          </w:tcPr>
          <w:p w14:paraId="4818EE72" w14:textId="77777777" w:rsidR="00A32971" w:rsidRPr="0079074C" w:rsidRDefault="00A32971" w:rsidP="00AF7CD1">
            <w:pPr>
              <w:jc w:val="right"/>
              <w:rPr>
                <w:sz w:val="16"/>
                <w:szCs w:val="16"/>
              </w:rPr>
            </w:pPr>
            <w:r w:rsidRPr="0079074C">
              <w:rPr>
                <w:sz w:val="16"/>
                <w:szCs w:val="16"/>
              </w:rPr>
              <w:t>-</w:t>
            </w:r>
          </w:p>
        </w:tc>
        <w:tc>
          <w:tcPr>
            <w:tcW w:w="431" w:type="pct"/>
            <w:tcBorders>
              <w:top w:val="nil"/>
              <w:left w:val="nil"/>
              <w:bottom w:val="nil"/>
              <w:right w:val="nil"/>
            </w:tcBorders>
            <w:shd w:val="clear" w:color="auto" w:fill="auto"/>
            <w:noWrap/>
            <w:vAlign w:val="center"/>
            <w:hideMark/>
          </w:tcPr>
          <w:p w14:paraId="7F805F7B" w14:textId="546373CB" w:rsidR="00A32971" w:rsidRPr="0079074C" w:rsidRDefault="00A32971" w:rsidP="00AF7CD1">
            <w:pPr>
              <w:jc w:val="right"/>
              <w:rPr>
                <w:sz w:val="16"/>
                <w:szCs w:val="16"/>
              </w:rPr>
            </w:pPr>
            <w:r w:rsidRPr="0079074C">
              <w:rPr>
                <w:sz w:val="16"/>
                <w:szCs w:val="16"/>
              </w:rPr>
              <w:t>22</w:t>
            </w:r>
            <w:r w:rsidR="00272901" w:rsidRPr="0079074C">
              <w:rPr>
                <w:sz w:val="16"/>
                <w:szCs w:val="16"/>
              </w:rPr>
              <w:t>.0</w:t>
            </w:r>
          </w:p>
        </w:tc>
        <w:tc>
          <w:tcPr>
            <w:tcW w:w="305" w:type="pct"/>
            <w:tcBorders>
              <w:top w:val="nil"/>
              <w:left w:val="nil"/>
              <w:bottom w:val="nil"/>
              <w:right w:val="nil"/>
            </w:tcBorders>
            <w:shd w:val="clear" w:color="auto" w:fill="auto"/>
            <w:noWrap/>
            <w:vAlign w:val="center"/>
            <w:hideMark/>
          </w:tcPr>
          <w:p w14:paraId="7ADBEA3D" w14:textId="77777777" w:rsidR="00A32971" w:rsidRPr="0079074C" w:rsidRDefault="00A32971" w:rsidP="00AF7CD1">
            <w:pPr>
              <w:jc w:val="right"/>
              <w:rPr>
                <w:sz w:val="16"/>
                <w:szCs w:val="16"/>
              </w:rPr>
            </w:pPr>
            <w:r w:rsidRPr="0079074C">
              <w:rPr>
                <w:sz w:val="16"/>
                <w:szCs w:val="16"/>
              </w:rPr>
              <w:t>0.8</w:t>
            </w:r>
          </w:p>
        </w:tc>
      </w:tr>
      <w:tr w:rsidR="006B42D6" w:rsidRPr="006B42D6" w14:paraId="4228FE67" w14:textId="77777777" w:rsidTr="0079074C">
        <w:trPr>
          <w:trHeight w:val="306"/>
        </w:trPr>
        <w:tc>
          <w:tcPr>
            <w:tcW w:w="913" w:type="pct"/>
            <w:tcBorders>
              <w:top w:val="nil"/>
              <w:left w:val="nil"/>
              <w:bottom w:val="nil"/>
              <w:right w:val="nil"/>
            </w:tcBorders>
            <w:shd w:val="clear" w:color="auto" w:fill="auto"/>
            <w:noWrap/>
            <w:vAlign w:val="center"/>
            <w:hideMark/>
          </w:tcPr>
          <w:p w14:paraId="256BBE34" w14:textId="77777777" w:rsidR="00A32971" w:rsidRPr="0079074C" w:rsidRDefault="00A32971" w:rsidP="00AF7CD1">
            <w:pPr>
              <w:rPr>
                <w:sz w:val="16"/>
                <w:szCs w:val="16"/>
              </w:rPr>
            </w:pPr>
            <w:r w:rsidRPr="0079074C">
              <w:rPr>
                <w:sz w:val="16"/>
                <w:szCs w:val="16"/>
              </w:rPr>
              <w:t>Mwanza</w:t>
            </w:r>
          </w:p>
        </w:tc>
        <w:tc>
          <w:tcPr>
            <w:tcW w:w="370" w:type="pct"/>
            <w:tcBorders>
              <w:top w:val="nil"/>
              <w:left w:val="nil"/>
              <w:bottom w:val="nil"/>
              <w:right w:val="nil"/>
            </w:tcBorders>
            <w:shd w:val="clear" w:color="auto" w:fill="auto"/>
            <w:noWrap/>
            <w:vAlign w:val="center"/>
            <w:hideMark/>
          </w:tcPr>
          <w:p w14:paraId="316CA21D" w14:textId="77777777" w:rsidR="00A32971" w:rsidRPr="0079074C" w:rsidRDefault="00A32971" w:rsidP="00AF7CD1">
            <w:pPr>
              <w:jc w:val="right"/>
              <w:rPr>
                <w:sz w:val="16"/>
                <w:szCs w:val="16"/>
              </w:rPr>
            </w:pPr>
            <w:r w:rsidRPr="0079074C">
              <w:rPr>
                <w:sz w:val="16"/>
                <w:szCs w:val="16"/>
              </w:rPr>
              <w:t>4.1</w:t>
            </w:r>
          </w:p>
        </w:tc>
        <w:tc>
          <w:tcPr>
            <w:tcW w:w="324" w:type="pct"/>
            <w:tcBorders>
              <w:top w:val="nil"/>
              <w:left w:val="nil"/>
              <w:bottom w:val="nil"/>
              <w:right w:val="nil"/>
            </w:tcBorders>
            <w:shd w:val="clear" w:color="auto" w:fill="auto"/>
            <w:noWrap/>
            <w:vAlign w:val="center"/>
            <w:hideMark/>
          </w:tcPr>
          <w:p w14:paraId="2F94087B" w14:textId="77777777" w:rsidR="00A32971" w:rsidRPr="0079074C" w:rsidRDefault="00A32971" w:rsidP="00AF7CD1">
            <w:pPr>
              <w:jc w:val="right"/>
              <w:rPr>
                <w:sz w:val="16"/>
                <w:szCs w:val="16"/>
              </w:rPr>
            </w:pPr>
            <w:r w:rsidRPr="0079074C">
              <w:rPr>
                <w:sz w:val="16"/>
                <w:szCs w:val="16"/>
              </w:rPr>
              <w:t>5.3</w:t>
            </w:r>
          </w:p>
        </w:tc>
        <w:tc>
          <w:tcPr>
            <w:tcW w:w="488" w:type="pct"/>
            <w:tcBorders>
              <w:top w:val="nil"/>
              <w:left w:val="nil"/>
              <w:bottom w:val="nil"/>
              <w:right w:val="nil"/>
            </w:tcBorders>
            <w:shd w:val="clear" w:color="auto" w:fill="auto"/>
            <w:noWrap/>
            <w:vAlign w:val="center"/>
            <w:hideMark/>
          </w:tcPr>
          <w:p w14:paraId="5D161745" w14:textId="77777777" w:rsidR="00A32971" w:rsidRPr="0079074C" w:rsidRDefault="00A32971" w:rsidP="00AF7CD1">
            <w:pPr>
              <w:jc w:val="right"/>
              <w:rPr>
                <w:sz w:val="16"/>
                <w:szCs w:val="16"/>
              </w:rPr>
            </w:pPr>
            <w:r w:rsidRPr="0079074C">
              <w:rPr>
                <w:sz w:val="16"/>
                <w:szCs w:val="16"/>
              </w:rPr>
              <w:t>1.5</w:t>
            </w:r>
          </w:p>
        </w:tc>
        <w:tc>
          <w:tcPr>
            <w:tcW w:w="485" w:type="pct"/>
            <w:tcBorders>
              <w:top w:val="nil"/>
              <w:left w:val="nil"/>
              <w:bottom w:val="nil"/>
              <w:right w:val="nil"/>
            </w:tcBorders>
            <w:shd w:val="clear" w:color="auto" w:fill="auto"/>
            <w:noWrap/>
            <w:vAlign w:val="center"/>
            <w:hideMark/>
          </w:tcPr>
          <w:p w14:paraId="3387A1EF" w14:textId="77777777" w:rsidR="00A32971" w:rsidRPr="0079074C" w:rsidRDefault="00A32971" w:rsidP="00AF7CD1">
            <w:pPr>
              <w:jc w:val="right"/>
              <w:rPr>
                <w:sz w:val="16"/>
                <w:szCs w:val="16"/>
              </w:rPr>
            </w:pPr>
            <w:r w:rsidRPr="0079074C">
              <w:rPr>
                <w:sz w:val="16"/>
                <w:szCs w:val="16"/>
              </w:rPr>
              <w:t>3.6</w:t>
            </w:r>
          </w:p>
        </w:tc>
        <w:tc>
          <w:tcPr>
            <w:tcW w:w="514" w:type="pct"/>
            <w:tcBorders>
              <w:top w:val="nil"/>
              <w:left w:val="nil"/>
              <w:bottom w:val="nil"/>
              <w:right w:val="nil"/>
            </w:tcBorders>
            <w:shd w:val="clear" w:color="auto" w:fill="auto"/>
            <w:noWrap/>
            <w:vAlign w:val="center"/>
            <w:hideMark/>
          </w:tcPr>
          <w:p w14:paraId="755C2EEE" w14:textId="77777777" w:rsidR="00A32971" w:rsidRPr="0079074C" w:rsidRDefault="00A32971" w:rsidP="00AF7CD1">
            <w:pPr>
              <w:jc w:val="right"/>
              <w:rPr>
                <w:sz w:val="16"/>
                <w:szCs w:val="16"/>
              </w:rPr>
            </w:pPr>
            <w:r w:rsidRPr="0079074C">
              <w:rPr>
                <w:sz w:val="16"/>
                <w:szCs w:val="16"/>
              </w:rPr>
              <w:t>5.2</w:t>
            </w:r>
          </w:p>
        </w:tc>
        <w:tc>
          <w:tcPr>
            <w:tcW w:w="440" w:type="pct"/>
            <w:tcBorders>
              <w:top w:val="nil"/>
              <w:left w:val="nil"/>
              <w:bottom w:val="nil"/>
              <w:right w:val="nil"/>
            </w:tcBorders>
            <w:shd w:val="clear" w:color="auto" w:fill="auto"/>
            <w:noWrap/>
            <w:vAlign w:val="center"/>
            <w:hideMark/>
          </w:tcPr>
          <w:p w14:paraId="6C8149E2" w14:textId="77777777" w:rsidR="00A32971" w:rsidRPr="0079074C" w:rsidRDefault="00A32971" w:rsidP="00AF7CD1">
            <w:pPr>
              <w:jc w:val="right"/>
              <w:rPr>
                <w:sz w:val="16"/>
                <w:szCs w:val="16"/>
              </w:rPr>
            </w:pPr>
            <w:r w:rsidRPr="0079074C">
              <w:rPr>
                <w:sz w:val="16"/>
                <w:szCs w:val="16"/>
              </w:rPr>
              <w:t>2.5</w:t>
            </w:r>
          </w:p>
        </w:tc>
        <w:tc>
          <w:tcPr>
            <w:tcW w:w="365" w:type="pct"/>
            <w:tcBorders>
              <w:top w:val="nil"/>
              <w:left w:val="nil"/>
              <w:bottom w:val="nil"/>
              <w:right w:val="nil"/>
            </w:tcBorders>
            <w:shd w:val="clear" w:color="auto" w:fill="auto"/>
            <w:noWrap/>
            <w:vAlign w:val="center"/>
            <w:hideMark/>
          </w:tcPr>
          <w:p w14:paraId="36FC52D2" w14:textId="77777777" w:rsidR="00A32971" w:rsidRPr="0079074C" w:rsidRDefault="00A32971" w:rsidP="00AF7CD1">
            <w:pPr>
              <w:jc w:val="right"/>
              <w:rPr>
                <w:sz w:val="16"/>
                <w:szCs w:val="16"/>
              </w:rPr>
            </w:pPr>
            <w:r w:rsidRPr="0079074C">
              <w:rPr>
                <w:sz w:val="16"/>
                <w:szCs w:val="16"/>
              </w:rPr>
              <w:t>-</w:t>
            </w:r>
          </w:p>
        </w:tc>
        <w:tc>
          <w:tcPr>
            <w:tcW w:w="365" w:type="pct"/>
            <w:tcBorders>
              <w:top w:val="nil"/>
              <w:left w:val="nil"/>
              <w:bottom w:val="nil"/>
              <w:right w:val="nil"/>
            </w:tcBorders>
            <w:shd w:val="clear" w:color="auto" w:fill="auto"/>
            <w:noWrap/>
            <w:vAlign w:val="center"/>
            <w:hideMark/>
          </w:tcPr>
          <w:p w14:paraId="0902158A" w14:textId="77777777" w:rsidR="00A32971" w:rsidRPr="0079074C" w:rsidRDefault="00A32971" w:rsidP="00AF7CD1">
            <w:pPr>
              <w:jc w:val="right"/>
              <w:rPr>
                <w:sz w:val="16"/>
                <w:szCs w:val="16"/>
              </w:rPr>
            </w:pPr>
            <w:r w:rsidRPr="0079074C">
              <w:rPr>
                <w:sz w:val="16"/>
                <w:szCs w:val="16"/>
              </w:rPr>
              <w:t>-</w:t>
            </w:r>
          </w:p>
        </w:tc>
        <w:tc>
          <w:tcPr>
            <w:tcW w:w="431" w:type="pct"/>
            <w:tcBorders>
              <w:top w:val="nil"/>
              <w:left w:val="nil"/>
              <w:bottom w:val="nil"/>
              <w:right w:val="nil"/>
            </w:tcBorders>
            <w:shd w:val="clear" w:color="auto" w:fill="auto"/>
            <w:noWrap/>
            <w:vAlign w:val="center"/>
            <w:hideMark/>
          </w:tcPr>
          <w:p w14:paraId="3000FB0B" w14:textId="77777777" w:rsidR="00A32971" w:rsidRPr="0079074C" w:rsidRDefault="00A32971" w:rsidP="00AF7CD1">
            <w:pPr>
              <w:jc w:val="right"/>
              <w:rPr>
                <w:sz w:val="16"/>
                <w:szCs w:val="16"/>
              </w:rPr>
            </w:pPr>
            <w:r w:rsidRPr="0079074C">
              <w:rPr>
                <w:sz w:val="16"/>
                <w:szCs w:val="16"/>
              </w:rPr>
              <w:t>7.3</w:t>
            </w:r>
          </w:p>
        </w:tc>
        <w:tc>
          <w:tcPr>
            <w:tcW w:w="305" w:type="pct"/>
            <w:tcBorders>
              <w:top w:val="nil"/>
              <w:left w:val="nil"/>
              <w:bottom w:val="nil"/>
              <w:right w:val="nil"/>
            </w:tcBorders>
            <w:shd w:val="clear" w:color="auto" w:fill="auto"/>
            <w:noWrap/>
            <w:vAlign w:val="center"/>
            <w:hideMark/>
          </w:tcPr>
          <w:p w14:paraId="30AB9968" w14:textId="77777777" w:rsidR="00A32971" w:rsidRPr="0079074C" w:rsidRDefault="00A32971" w:rsidP="00AF7CD1">
            <w:pPr>
              <w:jc w:val="right"/>
              <w:rPr>
                <w:sz w:val="16"/>
                <w:szCs w:val="16"/>
              </w:rPr>
            </w:pPr>
            <w:r w:rsidRPr="0079074C">
              <w:rPr>
                <w:sz w:val="16"/>
                <w:szCs w:val="16"/>
              </w:rPr>
              <w:t>10.6</w:t>
            </w:r>
          </w:p>
        </w:tc>
      </w:tr>
      <w:tr w:rsidR="006B42D6" w:rsidRPr="006B42D6" w14:paraId="2C0D4AF0" w14:textId="77777777" w:rsidTr="0079074C">
        <w:trPr>
          <w:trHeight w:val="306"/>
        </w:trPr>
        <w:tc>
          <w:tcPr>
            <w:tcW w:w="913" w:type="pct"/>
            <w:tcBorders>
              <w:top w:val="nil"/>
              <w:left w:val="nil"/>
              <w:bottom w:val="nil"/>
              <w:right w:val="nil"/>
            </w:tcBorders>
            <w:shd w:val="clear" w:color="auto" w:fill="auto"/>
            <w:noWrap/>
            <w:vAlign w:val="center"/>
            <w:hideMark/>
          </w:tcPr>
          <w:p w14:paraId="39B4842B" w14:textId="77777777" w:rsidR="00A32971" w:rsidRPr="0079074C" w:rsidRDefault="00A32971" w:rsidP="00AF7CD1">
            <w:pPr>
              <w:rPr>
                <w:sz w:val="16"/>
                <w:szCs w:val="16"/>
              </w:rPr>
            </w:pPr>
            <w:r w:rsidRPr="0079074C">
              <w:rPr>
                <w:sz w:val="16"/>
                <w:szCs w:val="16"/>
              </w:rPr>
              <w:t>Mara</w:t>
            </w:r>
          </w:p>
        </w:tc>
        <w:tc>
          <w:tcPr>
            <w:tcW w:w="370" w:type="pct"/>
            <w:tcBorders>
              <w:top w:val="nil"/>
              <w:left w:val="nil"/>
              <w:bottom w:val="nil"/>
              <w:right w:val="nil"/>
            </w:tcBorders>
            <w:shd w:val="clear" w:color="auto" w:fill="auto"/>
            <w:noWrap/>
            <w:vAlign w:val="center"/>
            <w:hideMark/>
          </w:tcPr>
          <w:p w14:paraId="5D3F3BCA" w14:textId="77777777" w:rsidR="00A32971" w:rsidRPr="0079074C" w:rsidRDefault="00A32971" w:rsidP="00AF7CD1">
            <w:pPr>
              <w:jc w:val="right"/>
              <w:rPr>
                <w:sz w:val="16"/>
                <w:szCs w:val="16"/>
              </w:rPr>
            </w:pPr>
            <w:r w:rsidRPr="0079074C">
              <w:rPr>
                <w:sz w:val="16"/>
                <w:szCs w:val="16"/>
              </w:rPr>
              <w:t>1.4</w:t>
            </w:r>
          </w:p>
        </w:tc>
        <w:tc>
          <w:tcPr>
            <w:tcW w:w="324" w:type="pct"/>
            <w:tcBorders>
              <w:top w:val="nil"/>
              <w:left w:val="nil"/>
              <w:bottom w:val="nil"/>
              <w:right w:val="nil"/>
            </w:tcBorders>
            <w:shd w:val="clear" w:color="auto" w:fill="auto"/>
            <w:noWrap/>
            <w:vAlign w:val="center"/>
            <w:hideMark/>
          </w:tcPr>
          <w:p w14:paraId="5DE589E0" w14:textId="77777777" w:rsidR="00A32971" w:rsidRPr="0079074C" w:rsidRDefault="00A32971" w:rsidP="00AF7CD1">
            <w:pPr>
              <w:jc w:val="right"/>
              <w:rPr>
                <w:sz w:val="16"/>
                <w:szCs w:val="16"/>
              </w:rPr>
            </w:pPr>
            <w:r w:rsidRPr="0079074C">
              <w:rPr>
                <w:sz w:val="16"/>
                <w:szCs w:val="16"/>
              </w:rPr>
              <w:t>0.7</w:t>
            </w:r>
          </w:p>
        </w:tc>
        <w:tc>
          <w:tcPr>
            <w:tcW w:w="488" w:type="pct"/>
            <w:tcBorders>
              <w:top w:val="nil"/>
              <w:left w:val="nil"/>
              <w:bottom w:val="nil"/>
              <w:right w:val="nil"/>
            </w:tcBorders>
            <w:shd w:val="clear" w:color="auto" w:fill="auto"/>
            <w:noWrap/>
            <w:vAlign w:val="center"/>
            <w:hideMark/>
          </w:tcPr>
          <w:p w14:paraId="49E739E1" w14:textId="77777777" w:rsidR="00A32971" w:rsidRPr="0079074C" w:rsidRDefault="00A32971" w:rsidP="00AF7CD1">
            <w:pPr>
              <w:jc w:val="right"/>
              <w:rPr>
                <w:sz w:val="16"/>
                <w:szCs w:val="16"/>
              </w:rPr>
            </w:pPr>
            <w:r w:rsidRPr="0079074C">
              <w:rPr>
                <w:sz w:val="16"/>
                <w:szCs w:val="16"/>
              </w:rPr>
              <w:t>0.3</w:t>
            </w:r>
          </w:p>
        </w:tc>
        <w:tc>
          <w:tcPr>
            <w:tcW w:w="485" w:type="pct"/>
            <w:tcBorders>
              <w:top w:val="nil"/>
              <w:left w:val="nil"/>
              <w:bottom w:val="nil"/>
              <w:right w:val="nil"/>
            </w:tcBorders>
            <w:shd w:val="clear" w:color="auto" w:fill="auto"/>
            <w:noWrap/>
            <w:vAlign w:val="center"/>
            <w:hideMark/>
          </w:tcPr>
          <w:p w14:paraId="46A44EF8" w14:textId="77777777" w:rsidR="00A32971" w:rsidRPr="0079074C" w:rsidRDefault="00A32971" w:rsidP="00AF7CD1">
            <w:pPr>
              <w:jc w:val="right"/>
              <w:rPr>
                <w:sz w:val="16"/>
                <w:szCs w:val="16"/>
              </w:rPr>
            </w:pPr>
            <w:r w:rsidRPr="0079074C">
              <w:rPr>
                <w:sz w:val="16"/>
                <w:szCs w:val="16"/>
              </w:rPr>
              <w:t>0.5</w:t>
            </w:r>
          </w:p>
        </w:tc>
        <w:tc>
          <w:tcPr>
            <w:tcW w:w="514" w:type="pct"/>
            <w:tcBorders>
              <w:top w:val="nil"/>
              <w:left w:val="nil"/>
              <w:bottom w:val="nil"/>
              <w:right w:val="nil"/>
            </w:tcBorders>
            <w:shd w:val="clear" w:color="auto" w:fill="auto"/>
            <w:noWrap/>
            <w:vAlign w:val="center"/>
            <w:hideMark/>
          </w:tcPr>
          <w:p w14:paraId="28765EF4" w14:textId="77777777" w:rsidR="00A32971" w:rsidRPr="0079074C" w:rsidRDefault="00A32971" w:rsidP="00AF7CD1">
            <w:pPr>
              <w:jc w:val="right"/>
              <w:rPr>
                <w:sz w:val="16"/>
                <w:szCs w:val="16"/>
              </w:rPr>
            </w:pPr>
            <w:r w:rsidRPr="0079074C">
              <w:rPr>
                <w:sz w:val="16"/>
                <w:szCs w:val="16"/>
              </w:rPr>
              <w:t>1.4</w:t>
            </w:r>
          </w:p>
        </w:tc>
        <w:tc>
          <w:tcPr>
            <w:tcW w:w="440" w:type="pct"/>
            <w:tcBorders>
              <w:top w:val="nil"/>
              <w:left w:val="nil"/>
              <w:bottom w:val="nil"/>
              <w:right w:val="nil"/>
            </w:tcBorders>
            <w:shd w:val="clear" w:color="auto" w:fill="auto"/>
            <w:noWrap/>
            <w:vAlign w:val="center"/>
            <w:hideMark/>
          </w:tcPr>
          <w:p w14:paraId="60258ED4" w14:textId="77777777" w:rsidR="00A32971" w:rsidRPr="0079074C" w:rsidRDefault="00A32971" w:rsidP="00AF7CD1">
            <w:pPr>
              <w:jc w:val="right"/>
              <w:rPr>
                <w:sz w:val="16"/>
                <w:szCs w:val="16"/>
              </w:rPr>
            </w:pPr>
            <w:r w:rsidRPr="0079074C">
              <w:rPr>
                <w:sz w:val="16"/>
                <w:szCs w:val="16"/>
              </w:rPr>
              <w:t>-</w:t>
            </w:r>
          </w:p>
        </w:tc>
        <w:tc>
          <w:tcPr>
            <w:tcW w:w="365" w:type="pct"/>
            <w:tcBorders>
              <w:top w:val="nil"/>
              <w:left w:val="nil"/>
              <w:bottom w:val="nil"/>
              <w:right w:val="nil"/>
            </w:tcBorders>
            <w:shd w:val="clear" w:color="auto" w:fill="auto"/>
            <w:noWrap/>
            <w:vAlign w:val="center"/>
            <w:hideMark/>
          </w:tcPr>
          <w:p w14:paraId="1BE55334" w14:textId="77777777" w:rsidR="00A32971" w:rsidRPr="0079074C" w:rsidRDefault="00A32971" w:rsidP="00AF7CD1">
            <w:pPr>
              <w:jc w:val="right"/>
              <w:rPr>
                <w:sz w:val="16"/>
                <w:szCs w:val="16"/>
              </w:rPr>
            </w:pPr>
            <w:r w:rsidRPr="0079074C">
              <w:rPr>
                <w:sz w:val="16"/>
                <w:szCs w:val="16"/>
              </w:rPr>
              <w:t>-</w:t>
            </w:r>
          </w:p>
        </w:tc>
        <w:tc>
          <w:tcPr>
            <w:tcW w:w="365" w:type="pct"/>
            <w:tcBorders>
              <w:top w:val="nil"/>
              <w:left w:val="nil"/>
              <w:bottom w:val="nil"/>
              <w:right w:val="nil"/>
            </w:tcBorders>
            <w:shd w:val="clear" w:color="auto" w:fill="auto"/>
            <w:noWrap/>
            <w:vAlign w:val="center"/>
            <w:hideMark/>
          </w:tcPr>
          <w:p w14:paraId="47B5B2DA" w14:textId="77777777" w:rsidR="00A32971" w:rsidRPr="0079074C" w:rsidRDefault="00A32971" w:rsidP="00AF7CD1">
            <w:pPr>
              <w:jc w:val="right"/>
              <w:rPr>
                <w:sz w:val="16"/>
                <w:szCs w:val="16"/>
              </w:rPr>
            </w:pPr>
            <w:r w:rsidRPr="0079074C">
              <w:rPr>
                <w:sz w:val="16"/>
                <w:szCs w:val="16"/>
              </w:rPr>
              <w:t>-</w:t>
            </w:r>
          </w:p>
        </w:tc>
        <w:tc>
          <w:tcPr>
            <w:tcW w:w="431" w:type="pct"/>
            <w:tcBorders>
              <w:top w:val="nil"/>
              <w:left w:val="nil"/>
              <w:bottom w:val="nil"/>
              <w:right w:val="nil"/>
            </w:tcBorders>
            <w:shd w:val="clear" w:color="auto" w:fill="auto"/>
            <w:noWrap/>
            <w:vAlign w:val="center"/>
            <w:hideMark/>
          </w:tcPr>
          <w:p w14:paraId="209B418B" w14:textId="77777777" w:rsidR="00A32971" w:rsidRPr="0079074C" w:rsidRDefault="00A32971" w:rsidP="00AF7CD1">
            <w:pPr>
              <w:jc w:val="right"/>
              <w:rPr>
                <w:sz w:val="16"/>
                <w:szCs w:val="16"/>
              </w:rPr>
            </w:pPr>
            <w:r w:rsidRPr="0079074C">
              <w:rPr>
                <w:sz w:val="16"/>
                <w:szCs w:val="16"/>
              </w:rPr>
              <w:t>1.1</w:t>
            </w:r>
          </w:p>
        </w:tc>
        <w:tc>
          <w:tcPr>
            <w:tcW w:w="305" w:type="pct"/>
            <w:tcBorders>
              <w:top w:val="nil"/>
              <w:left w:val="nil"/>
              <w:bottom w:val="nil"/>
              <w:right w:val="nil"/>
            </w:tcBorders>
            <w:shd w:val="clear" w:color="auto" w:fill="auto"/>
            <w:noWrap/>
            <w:vAlign w:val="center"/>
            <w:hideMark/>
          </w:tcPr>
          <w:p w14:paraId="7F2E3DFF" w14:textId="77777777" w:rsidR="00A32971" w:rsidRPr="0079074C" w:rsidRDefault="00A32971" w:rsidP="00AF7CD1">
            <w:pPr>
              <w:jc w:val="right"/>
              <w:rPr>
                <w:sz w:val="16"/>
                <w:szCs w:val="16"/>
              </w:rPr>
            </w:pPr>
            <w:r w:rsidRPr="0079074C">
              <w:rPr>
                <w:sz w:val="16"/>
                <w:szCs w:val="16"/>
              </w:rPr>
              <w:t>1.2</w:t>
            </w:r>
          </w:p>
        </w:tc>
      </w:tr>
      <w:tr w:rsidR="006B42D6" w:rsidRPr="006B42D6" w14:paraId="64E6AF81" w14:textId="77777777" w:rsidTr="0079074C">
        <w:trPr>
          <w:trHeight w:val="306"/>
        </w:trPr>
        <w:tc>
          <w:tcPr>
            <w:tcW w:w="913" w:type="pct"/>
            <w:tcBorders>
              <w:top w:val="nil"/>
              <w:left w:val="nil"/>
              <w:bottom w:val="nil"/>
              <w:right w:val="nil"/>
            </w:tcBorders>
            <w:shd w:val="clear" w:color="auto" w:fill="auto"/>
            <w:noWrap/>
            <w:vAlign w:val="center"/>
            <w:hideMark/>
          </w:tcPr>
          <w:p w14:paraId="150090DD" w14:textId="77777777" w:rsidR="00A32971" w:rsidRPr="0079074C" w:rsidRDefault="00A32971" w:rsidP="00AF7CD1">
            <w:pPr>
              <w:rPr>
                <w:sz w:val="16"/>
                <w:szCs w:val="16"/>
              </w:rPr>
            </w:pPr>
            <w:r w:rsidRPr="0079074C">
              <w:rPr>
                <w:sz w:val="16"/>
                <w:szCs w:val="16"/>
              </w:rPr>
              <w:t>Manyara</w:t>
            </w:r>
          </w:p>
        </w:tc>
        <w:tc>
          <w:tcPr>
            <w:tcW w:w="370" w:type="pct"/>
            <w:tcBorders>
              <w:top w:val="nil"/>
              <w:left w:val="nil"/>
              <w:bottom w:val="nil"/>
              <w:right w:val="nil"/>
            </w:tcBorders>
            <w:shd w:val="clear" w:color="auto" w:fill="auto"/>
            <w:noWrap/>
            <w:vAlign w:val="center"/>
            <w:hideMark/>
          </w:tcPr>
          <w:p w14:paraId="51C22030" w14:textId="77777777" w:rsidR="00A32971" w:rsidRPr="0079074C" w:rsidRDefault="00A32971" w:rsidP="00AF7CD1">
            <w:pPr>
              <w:jc w:val="right"/>
              <w:rPr>
                <w:sz w:val="16"/>
                <w:szCs w:val="16"/>
              </w:rPr>
            </w:pPr>
            <w:r w:rsidRPr="0079074C">
              <w:rPr>
                <w:sz w:val="16"/>
                <w:szCs w:val="16"/>
              </w:rPr>
              <w:t>1.6</w:t>
            </w:r>
          </w:p>
        </w:tc>
        <w:tc>
          <w:tcPr>
            <w:tcW w:w="324" w:type="pct"/>
            <w:tcBorders>
              <w:top w:val="nil"/>
              <w:left w:val="nil"/>
              <w:bottom w:val="nil"/>
              <w:right w:val="nil"/>
            </w:tcBorders>
            <w:shd w:val="clear" w:color="auto" w:fill="auto"/>
            <w:noWrap/>
            <w:vAlign w:val="center"/>
            <w:hideMark/>
          </w:tcPr>
          <w:p w14:paraId="1F59AA3B" w14:textId="77777777" w:rsidR="00A32971" w:rsidRPr="0079074C" w:rsidRDefault="00A32971" w:rsidP="00AF7CD1">
            <w:pPr>
              <w:jc w:val="right"/>
              <w:rPr>
                <w:sz w:val="16"/>
                <w:szCs w:val="16"/>
              </w:rPr>
            </w:pPr>
            <w:r w:rsidRPr="0079074C">
              <w:rPr>
                <w:sz w:val="16"/>
                <w:szCs w:val="16"/>
              </w:rPr>
              <w:t>1.9</w:t>
            </w:r>
          </w:p>
        </w:tc>
        <w:tc>
          <w:tcPr>
            <w:tcW w:w="488" w:type="pct"/>
            <w:tcBorders>
              <w:top w:val="nil"/>
              <w:left w:val="nil"/>
              <w:bottom w:val="nil"/>
              <w:right w:val="nil"/>
            </w:tcBorders>
            <w:shd w:val="clear" w:color="auto" w:fill="auto"/>
            <w:noWrap/>
            <w:vAlign w:val="center"/>
            <w:hideMark/>
          </w:tcPr>
          <w:p w14:paraId="4DE45646" w14:textId="77777777" w:rsidR="00A32971" w:rsidRPr="0079074C" w:rsidRDefault="00A32971" w:rsidP="00AF7CD1">
            <w:pPr>
              <w:jc w:val="right"/>
              <w:rPr>
                <w:sz w:val="16"/>
                <w:szCs w:val="16"/>
              </w:rPr>
            </w:pPr>
            <w:r w:rsidRPr="0079074C">
              <w:rPr>
                <w:sz w:val="16"/>
                <w:szCs w:val="16"/>
              </w:rPr>
              <w:t>0.2</w:t>
            </w:r>
          </w:p>
        </w:tc>
        <w:tc>
          <w:tcPr>
            <w:tcW w:w="485" w:type="pct"/>
            <w:tcBorders>
              <w:top w:val="nil"/>
              <w:left w:val="nil"/>
              <w:bottom w:val="nil"/>
              <w:right w:val="nil"/>
            </w:tcBorders>
            <w:shd w:val="clear" w:color="auto" w:fill="auto"/>
            <w:noWrap/>
            <w:vAlign w:val="center"/>
            <w:hideMark/>
          </w:tcPr>
          <w:p w14:paraId="4BCEA826" w14:textId="77777777" w:rsidR="00A32971" w:rsidRPr="0079074C" w:rsidRDefault="00A32971" w:rsidP="00AF7CD1">
            <w:pPr>
              <w:jc w:val="right"/>
              <w:rPr>
                <w:sz w:val="16"/>
                <w:szCs w:val="16"/>
              </w:rPr>
            </w:pPr>
            <w:r w:rsidRPr="0079074C">
              <w:rPr>
                <w:sz w:val="16"/>
                <w:szCs w:val="16"/>
              </w:rPr>
              <w:t>0.9</w:t>
            </w:r>
          </w:p>
        </w:tc>
        <w:tc>
          <w:tcPr>
            <w:tcW w:w="514" w:type="pct"/>
            <w:tcBorders>
              <w:top w:val="nil"/>
              <w:left w:val="nil"/>
              <w:bottom w:val="nil"/>
              <w:right w:val="nil"/>
            </w:tcBorders>
            <w:shd w:val="clear" w:color="auto" w:fill="auto"/>
            <w:noWrap/>
            <w:vAlign w:val="center"/>
            <w:hideMark/>
          </w:tcPr>
          <w:p w14:paraId="5215A926" w14:textId="77777777" w:rsidR="00A32971" w:rsidRPr="0079074C" w:rsidRDefault="00A32971" w:rsidP="00AF7CD1">
            <w:pPr>
              <w:jc w:val="right"/>
              <w:rPr>
                <w:sz w:val="16"/>
                <w:szCs w:val="16"/>
              </w:rPr>
            </w:pPr>
            <w:r w:rsidRPr="0079074C">
              <w:rPr>
                <w:sz w:val="16"/>
                <w:szCs w:val="16"/>
              </w:rPr>
              <w:t>1.3</w:t>
            </w:r>
          </w:p>
        </w:tc>
        <w:tc>
          <w:tcPr>
            <w:tcW w:w="440" w:type="pct"/>
            <w:tcBorders>
              <w:top w:val="nil"/>
              <w:left w:val="nil"/>
              <w:bottom w:val="nil"/>
              <w:right w:val="nil"/>
            </w:tcBorders>
            <w:shd w:val="clear" w:color="auto" w:fill="auto"/>
            <w:noWrap/>
            <w:vAlign w:val="center"/>
            <w:hideMark/>
          </w:tcPr>
          <w:p w14:paraId="2406ED80" w14:textId="77777777" w:rsidR="00A32971" w:rsidRPr="0079074C" w:rsidRDefault="00A32971" w:rsidP="00AF7CD1">
            <w:pPr>
              <w:jc w:val="right"/>
              <w:rPr>
                <w:sz w:val="16"/>
                <w:szCs w:val="16"/>
              </w:rPr>
            </w:pPr>
            <w:r w:rsidRPr="0079074C">
              <w:rPr>
                <w:sz w:val="16"/>
                <w:szCs w:val="16"/>
              </w:rPr>
              <w:t>-</w:t>
            </w:r>
          </w:p>
        </w:tc>
        <w:tc>
          <w:tcPr>
            <w:tcW w:w="365" w:type="pct"/>
            <w:tcBorders>
              <w:top w:val="nil"/>
              <w:left w:val="nil"/>
              <w:bottom w:val="nil"/>
              <w:right w:val="nil"/>
            </w:tcBorders>
            <w:shd w:val="clear" w:color="auto" w:fill="auto"/>
            <w:noWrap/>
            <w:vAlign w:val="center"/>
            <w:hideMark/>
          </w:tcPr>
          <w:p w14:paraId="38D2010C" w14:textId="77777777" w:rsidR="00A32971" w:rsidRPr="0079074C" w:rsidRDefault="00A32971" w:rsidP="00AF7CD1">
            <w:pPr>
              <w:jc w:val="right"/>
              <w:rPr>
                <w:sz w:val="16"/>
                <w:szCs w:val="16"/>
              </w:rPr>
            </w:pPr>
            <w:r w:rsidRPr="0079074C">
              <w:rPr>
                <w:sz w:val="16"/>
                <w:szCs w:val="16"/>
              </w:rPr>
              <w:t>-</w:t>
            </w:r>
          </w:p>
        </w:tc>
        <w:tc>
          <w:tcPr>
            <w:tcW w:w="365" w:type="pct"/>
            <w:tcBorders>
              <w:top w:val="nil"/>
              <w:left w:val="nil"/>
              <w:bottom w:val="nil"/>
              <w:right w:val="nil"/>
            </w:tcBorders>
            <w:shd w:val="clear" w:color="auto" w:fill="auto"/>
            <w:noWrap/>
            <w:vAlign w:val="center"/>
            <w:hideMark/>
          </w:tcPr>
          <w:p w14:paraId="6B7EF004" w14:textId="77777777" w:rsidR="00A32971" w:rsidRPr="0079074C" w:rsidRDefault="00A32971" w:rsidP="00AF7CD1">
            <w:pPr>
              <w:jc w:val="right"/>
              <w:rPr>
                <w:sz w:val="16"/>
                <w:szCs w:val="16"/>
              </w:rPr>
            </w:pPr>
            <w:r w:rsidRPr="0079074C">
              <w:rPr>
                <w:sz w:val="16"/>
                <w:szCs w:val="16"/>
              </w:rPr>
              <w:t>-</w:t>
            </w:r>
          </w:p>
        </w:tc>
        <w:tc>
          <w:tcPr>
            <w:tcW w:w="431" w:type="pct"/>
            <w:tcBorders>
              <w:top w:val="nil"/>
              <w:left w:val="nil"/>
              <w:bottom w:val="nil"/>
              <w:right w:val="nil"/>
            </w:tcBorders>
            <w:shd w:val="clear" w:color="auto" w:fill="auto"/>
            <w:noWrap/>
            <w:vAlign w:val="center"/>
            <w:hideMark/>
          </w:tcPr>
          <w:p w14:paraId="7FCAAE4E" w14:textId="77777777" w:rsidR="00A32971" w:rsidRPr="0079074C" w:rsidRDefault="00A32971" w:rsidP="00AF7CD1">
            <w:pPr>
              <w:jc w:val="right"/>
              <w:rPr>
                <w:sz w:val="16"/>
                <w:szCs w:val="16"/>
              </w:rPr>
            </w:pPr>
            <w:r w:rsidRPr="0079074C">
              <w:rPr>
                <w:sz w:val="16"/>
                <w:szCs w:val="16"/>
              </w:rPr>
              <w:t>2.7</w:t>
            </w:r>
          </w:p>
        </w:tc>
        <w:tc>
          <w:tcPr>
            <w:tcW w:w="305" w:type="pct"/>
            <w:tcBorders>
              <w:top w:val="nil"/>
              <w:left w:val="nil"/>
              <w:bottom w:val="nil"/>
              <w:right w:val="nil"/>
            </w:tcBorders>
            <w:shd w:val="clear" w:color="auto" w:fill="auto"/>
            <w:noWrap/>
            <w:vAlign w:val="center"/>
            <w:hideMark/>
          </w:tcPr>
          <w:p w14:paraId="1D8DD30F" w14:textId="77777777" w:rsidR="00A32971" w:rsidRPr="0079074C" w:rsidRDefault="00A32971" w:rsidP="00AF7CD1">
            <w:pPr>
              <w:jc w:val="right"/>
              <w:rPr>
                <w:sz w:val="16"/>
                <w:szCs w:val="16"/>
              </w:rPr>
            </w:pPr>
            <w:r w:rsidRPr="0079074C">
              <w:rPr>
                <w:sz w:val="16"/>
                <w:szCs w:val="16"/>
              </w:rPr>
              <w:t>1.1</w:t>
            </w:r>
          </w:p>
        </w:tc>
      </w:tr>
      <w:tr w:rsidR="006B42D6" w:rsidRPr="006B42D6" w14:paraId="4F10389D" w14:textId="77777777" w:rsidTr="0079074C">
        <w:trPr>
          <w:trHeight w:val="306"/>
        </w:trPr>
        <w:tc>
          <w:tcPr>
            <w:tcW w:w="913" w:type="pct"/>
            <w:tcBorders>
              <w:top w:val="nil"/>
              <w:left w:val="nil"/>
              <w:bottom w:val="nil"/>
              <w:right w:val="nil"/>
            </w:tcBorders>
            <w:shd w:val="clear" w:color="auto" w:fill="auto"/>
            <w:noWrap/>
            <w:vAlign w:val="center"/>
            <w:hideMark/>
          </w:tcPr>
          <w:p w14:paraId="00E7C587" w14:textId="77777777" w:rsidR="00A32971" w:rsidRPr="0079074C" w:rsidRDefault="00A32971" w:rsidP="00AF7CD1">
            <w:pPr>
              <w:rPr>
                <w:sz w:val="16"/>
                <w:szCs w:val="16"/>
              </w:rPr>
            </w:pPr>
            <w:r w:rsidRPr="0079074C">
              <w:rPr>
                <w:sz w:val="16"/>
                <w:szCs w:val="16"/>
              </w:rPr>
              <w:t>Njombe</w:t>
            </w:r>
          </w:p>
        </w:tc>
        <w:tc>
          <w:tcPr>
            <w:tcW w:w="370" w:type="pct"/>
            <w:tcBorders>
              <w:top w:val="nil"/>
              <w:left w:val="nil"/>
              <w:bottom w:val="nil"/>
              <w:right w:val="nil"/>
            </w:tcBorders>
            <w:shd w:val="clear" w:color="auto" w:fill="auto"/>
            <w:noWrap/>
            <w:vAlign w:val="center"/>
            <w:hideMark/>
          </w:tcPr>
          <w:p w14:paraId="56918177" w14:textId="77777777" w:rsidR="00A32971" w:rsidRPr="0079074C" w:rsidRDefault="00A32971" w:rsidP="00AF7CD1">
            <w:pPr>
              <w:jc w:val="right"/>
              <w:rPr>
                <w:sz w:val="16"/>
                <w:szCs w:val="16"/>
              </w:rPr>
            </w:pPr>
            <w:r w:rsidRPr="0079074C">
              <w:rPr>
                <w:sz w:val="16"/>
                <w:szCs w:val="16"/>
              </w:rPr>
              <w:t>1.6</w:t>
            </w:r>
          </w:p>
        </w:tc>
        <w:tc>
          <w:tcPr>
            <w:tcW w:w="324" w:type="pct"/>
            <w:tcBorders>
              <w:top w:val="nil"/>
              <w:left w:val="nil"/>
              <w:bottom w:val="nil"/>
              <w:right w:val="nil"/>
            </w:tcBorders>
            <w:shd w:val="clear" w:color="auto" w:fill="auto"/>
            <w:noWrap/>
            <w:vAlign w:val="center"/>
            <w:hideMark/>
          </w:tcPr>
          <w:p w14:paraId="27209FA1" w14:textId="77777777" w:rsidR="00A32971" w:rsidRPr="0079074C" w:rsidRDefault="00A32971" w:rsidP="00AF7CD1">
            <w:pPr>
              <w:jc w:val="right"/>
              <w:rPr>
                <w:sz w:val="16"/>
                <w:szCs w:val="16"/>
              </w:rPr>
            </w:pPr>
            <w:r w:rsidRPr="0079074C">
              <w:rPr>
                <w:sz w:val="16"/>
                <w:szCs w:val="16"/>
              </w:rPr>
              <w:t>3.2</w:t>
            </w:r>
          </w:p>
        </w:tc>
        <w:tc>
          <w:tcPr>
            <w:tcW w:w="488" w:type="pct"/>
            <w:tcBorders>
              <w:top w:val="nil"/>
              <w:left w:val="nil"/>
              <w:bottom w:val="nil"/>
              <w:right w:val="nil"/>
            </w:tcBorders>
            <w:shd w:val="clear" w:color="auto" w:fill="auto"/>
            <w:noWrap/>
            <w:vAlign w:val="center"/>
            <w:hideMark/>
          </w:tcPr>
          <w:p w14:paraId="2998A9EC" w14:textId="77777777" w:rsidR="00A32971" w:rsidRPr="0079074C" w:rsidRDefault="00A32971" w:rsidP="00AF7CD1">
            <w:pPr>
              <w:jc w:val="right"/>
              <w:rPr>
                <w:sz w:val="16"/>
                <w:szCs w:val="16"/>
              </w:rPr>
            </w:pPr>
            <w:r w:rsidRPr="0079074C">
              <w:rPr>
                <w:sz w:val="16"/>
                <w:szCs w:val="16"/>
              </w:rPr>
              <w:t>5.6</w:t>
            </w:r>
          </w:p>
        </w:tc>
        <w:tc>
          <w:tcPr>
            <w:tcW w:w="485" w:type="pct"/>
            <w:tcBorders>
              <w:top w:val="nil"/>
              <w:left w:val="nil"/>
              <w:bottom w:val="nil"/>
              <w:right w:val="nil"/>
            </w:tcBorders>
            <w:shd w:val="clear" w:color="auto" w:fill="auto"/>
            <w:noWrap/>
            <w:vAlign w:val="center"/>
            <w:hideMark/>
          </w:tcPr>
          <w:p w14:paraId="60BB92AE" w14:textId="77777777" w:rsidR="00A32971" w:rsidRPr="0079074C" w:rsidRDefault="00A32971" w:rsidP="00AF7CD1">
            <w:pPr>
              <w:jc w:val="right"/>
              <w:rPr>
                <w:sz w:val="16"/>
                <w:szCs w:val="16"/>
              </w:rPr>
            </w:pPr>
            <w:r w:rsidRPr="0079074C">
              <w:rPr>
                <w:sz w:val="16"/>
                <w:szCs w:val="16"/>
              </w:rPr>
              <w:t>1.7</w:t>
            </w:r>
          </w:p>
        </w:tc>
        <w:tc>
          <w:tcPr>
            <w:tcW w:w="514" w:type="pct"/>
            <w:tcBorders>
              <w:top w:val="nil"/>
              <w:left w:val="nil"/>
              <w:bottom w:val="nil"/>
              <w:right w:val="nil"/>
            </w:tcBorders>
            <w:shd w:val="clear" w:color="auto" w:fill="auto"/>
            <w:noWrap/>
            <w:vAlign w:val="center"/>
            <w:hideMark/>
          </w:tcPr>
          <w:p w14:paraId="16F71626" w14:textId="77777777" w:rsidR="00A32971" w:rsidRPr="0079074C" w:rsidRDefault="00A32971" w:rsidP="00AF7CD1">
            <w:pPr>
              <w:jc w:val="right"/>
              <w:rPr>
                <w:sz w:val="16"/>
                <w:szCs w:val="16"/>
              </w:rPr>
            </w:pPr>
            <w:r w:rsidRPr="0079074C">
              <w:rPr>
                <w:sz w:val="16"/>
                <w:szCs w:val="16"/>
              </w:rPr>
              <w:t>0.8</w:t>
            </w:r>
          </w:p>
        </w:tc>
        <w:tc>
          <w:tcPr>
            <w:tcW w:w="440" w:type="pct"/>
            <w:tcBorders>
              <w:top w:val="nil"/>
              <w:left w:val="nil"/>
              <w:bottom w:val="nil"/>
              <w:right w:val="nil"/>
            </w:tcBorders>
            <w:shd w:val="clear" w:color="auto" w:fill="auto"/>
            <w:noWrap/>
            <w:vAlign w:val="center"/>
            <w:hideMark/>
          </w:tcPr>
          <w:p w14:paraId="201969BA" w14:textId="77777777" w:rsidR="00A32971" w:rsidRPr="0079074C" w:rsidRDefault="00A32971" w:rsidP="00AF7CD1">
            <w:pPr>
              <w:jc w:val="right"/>
              <w:rPr>
                <w:sz w:val="16"/>
                <w:szCs w:val="16"/>
              </w:rPr>
            </w:pPr>
            <w:r w:rsidRPr="0079074C">
              <w:rPr>
                <w:sz w:val="16"/>
                <w:szCs w:val="16"/>
              </w:rPr>
              <w:t>1.2</w:t>
            </w:r>
          </w:p>
        </w:tc>
        <w:tc>
          <w:tcPr>
            <w:tcW w:w="365" w:type="pct"/>
            <w:tcBorders>
              <w:top w:val="nil"/>
              <w:left w:val="nil"/>
              <w:bottom w:val="nil"/>
              <w:right w:val="nil"/>
            </w:tcBorders>
            <w:shd w:val="clear" w:color="auto" w:fill="auto"/>
            <w:noWrap/>
            <w:vAlign w:val="center"/>
            <w:hideMark/>
          </w:tcPr>
          <w:p w14:paraId="09F9C7B6" w14:textId="77777777" w:rsidR="00A32971" w:rsidRPr="0079074C" w:rsidRDefault="00A32971" w:rsidP="00AF7CD1">
            <w:pPr>
              <w:jc w:val="right"/>
              <w:rPr>
                <w:sz w:val="16"/>
                <w:szCs w:val="16"/>
              </w:rPr>
            </w:pPr>
            <w:r w:rsidRPr="0079074C">
              <w:rPr>
                <w:sz w:val="16"/>
                <w:szCs w:val="16"/>
              </w:rPr>
              <w:t>-</w:t>
            </w:r>
          </w:p>
        </w:tc>
        <w:tc>
          <w:tcPr>
            <w:tcW w:w="365" w:type="pct"/>
            <w:tcBorders>
              <w:top w:val="nil"/>
              <w:left w:val="nil"/>
              <w:bottom w:val="nil"/>
              <w:right w:val="nil"/>
            </w:tcBorders>
            <w:shd w:val="clear" w:color="auto" w:fill="auto"/>
            <w:noWrap/>
            <w:vAlign w:val="center"/>
            <w:hideMark/>
          </w:tcPr>
          <w:p w14:paraId="4E6F3B00" w14:textId="77777777" w:rsidR="00A32971" w:rsidRPr="0079074C" w:rsidRDefault="00A32971" w:rsidP="00AF7CD1">
            <w:pPr>
              <w:jc w:val="right"/>
              <w:rPr>
                <w:sz w:val="16"/>
                <w:szCs w:val="16"/>
              </w:rPr>
            </w:pPr>
            <w:r w:rsidRPr="0079074C">
              <w:rPr>
                <w:sz w:val="16"/>
                <w:szCs w:val="16"/>
              </w:rPr>
              <w:t>-</w:t>
            </w:r>
          </w:p>
        </w:tc>
        <w:tc>
          <w:tcPr>
            <w:tcW w:w="431" w:type="pct"/>
            <w:tcBorders>
              <w:top w:val="nil"/>
              <w:left w:val="nil"/>
              <w:bottom w:val="nil"/>
              <w:right w:val="nil"/>
            </w:tcBorders>
            <w:shd w:val="clear" w:color="auto" w:fill="auto"/>
            <w:noWrap/>
            <w:vAlign w:val="center"/>
            <w:hideMark/>
          </w:tcPr>
          <w:p w14:paraId="1C375D72" w14:textId="77777777" w:rsidR="00A32971" w:rsidRPr="0079074C" w:rsidRDefault="00A32971" w:rsidP="00AF7CD1">
            <w:pPr>
              <w:jc w:val="right"/>
              <w:rPr>
                <w:sz w:val="16"/>
                <w:szCs w:val="16"/>
              </w:rPr>
            </w:pPr>
            <w:r w:rsidRPr="0079074C">
              <w:rPr>
                <w:sz w:val="16"/>
                <w:szCs w:val="16"/>
              </w:rPr>
              <w:t>-</w:t>
            </w:r>
          </w:p>
        </w:tc>
        <w:tc>
          <w:tcPr>
            <w:tcW w:w="305" w:type="pct"/>
            <w:tcBorders>
              <w:top w:val="nil"/>
              <w:left w:val="nil"/>
              <w:bottom w:val="nil"/>
              <w:right w:val="nil"/>
            </w:tcBorders>
            <w:shd w:val="clear" w:color="auto" w:fill="auto"/>
            <w:noWrap/>
            <w:vAlign w:val="center"/>
            <w:hideMark/>
          </w:tcPr>
          <w:p w14:paraId="1308AE37" w14:textId="77777777" w:rsidR="00A32971" w:rsidRPr="0079074C" w:rsidRDefault="00A32971" w:rsidP="00AF7CD1">
            <w:pPr>
              <w:jc w:val="right"/>
              <w:rPr>
                <w:sz w:val="16"/>
                <w:szCs w:val="16"/>
              </w:rPr>
            </w:pPr>
            <w:r w:rsidRPr="0079074C">
              <w:rPr>
                <w:sz w:val="16"/>
                <w:szCs w:val="16"/>
              </w:rPr>
              <w:t>0.7</w:t>
            </w:r>
          </w:p>
        </w:tc>
      </w:tr>
      <w:tr w:rsidR="006B42D6" w:rsidRPr="006B42D6" w14:paraId="1621D7CE" w14:textId="77777777" w:rsidTr="0079074C">
        <w:trPr>
          <w:trHeight w:val="306"/>
        </w:trPr>
        <w:tc>
          <w:tcPr>
            <w:tcW w:w="913" w:type="pct"/>
            <w:tcBorders>
              <w:top w:val="nil"/>
              <w:left w:val="nil"/>
              <w:bottom w:val="nil"/>
              <w:right w:val="nil"/>
            </w:tcBorders>
            <w:shd w:val="clear" w:color="auto" w:fill="auto"/>
            <w:noWrap/>
            <w:vAlign w:val="center"/>
            <w:hideMark/>
          </w:tcPr>
          <w:p w14:paraId="3C58C790" w14:textId="77777777" w:rsidR="00A32971" w:rsidRPr="0079074C" w:rsidRDefault="00A32971" w:rsidP="00AF7CD1">
            <w:pPr>
              <w:rPr>
                <w:sz w:val="16"/>
                <w:szCs w:val="16"/>
              </w:rPr>
            </w:pPr>
            <w:r w:rsidRPr="0079074C">
              <w:rPr>
                <w:sz w:val="16"/>
                <w:szCs w:val="16"/>
              </w:rPr>
              <w:t>Katavi</w:t>
            </w:r>
          </w:p>
        </w:tc>
        <w:tc>
          <w:tcPr>
            <w:tcW w:w="370" w:type="pct"/>
            <w:tcBorders>
              <w:top w:val="nil"/>
              <w:left w:val="nil"/>
              <w:bottom w:val="nil"/>
              <w:right w:val="nil"/>
            </w:tcBorders>
            <w:shd w:val="clear" w:color="auto" w:fill="auto"/>
            <w:noWrap/>
            <w:vAlign w:val="center"/>
            <w:hideMark/>
          </w:tcPr>
          <w:p w14:paraId="34ECA1B3" w14:textId="77777777" w:rsidR="00A32971" w:rsidRPr="0079074C" w:rsidRDefault="00A32971" w:rsidP="00AF7CD1">
            <w:pPr>
              <w:jc w:val="right"/>
              <w:rPr>
                <w:sz w:val="16"/>
                <w:szCs w:val="16"/>
              </w:rPr>
            </w:pPr>
            <w:r w:rsidRPr="0079074C">
              <w:rPr>
                <w:sz w:val="16"/>
                <w:szCs w:val="16"/>
              </w:rPr>
              <w:t>1.4</w:t>
            </w:r>
          </w:p>
        </w:tc>
        <w:tc>
          <w:tcPr>
            <w:tcW w:w="324" w:type="pct"/>
            <w:tcBorders>
              <w:top w:val="nil"/>
              <w:left w:val="nil"/>
              <w:bottom w:val="nil"/>
              <w:right w:val="nil"/>
            </w:tcBorders>
            <w:shd w:val="clear" w:color="auto" w:fill="auto"/>
            <w:noWrap/>
            <w:vAlign w:val="center"/>
            <w:hideMark/>
          </w:tcPr>
          <w:p w14:paraId="75042751" w14:textId="77777777" w:rsidR="00A32971" w:rsidRPr="0079074C" w:rsidRDefault="00A32971" w:rsidP="00AF7CD1">
            <w:pPr>
              <w:jc w:val="right"/>
              <w:rPr>
                <w:sz w:val="16"/>
                <w:szCs w:val="16"/>
              </w:rPr>
            </w:pPr>
            <w:r w:rsidRPr="0079074C">
              <w:rPr>
                <w:sz w:val="16"/>
                <w:szCs w:val="16"/>
              </w:rPr>
              <w:t>0.9</w:t>
            </w:r>
          </w:p>
        </w:tc>
        <w:tc>
          <w:tcPr>
            <w:tcW w:w="488" w:type="pct"/>
            <w:tcBorders>
              <w:top w:val="nil"/>
              <w:left w:val="nil"/>
              <w:bottom w:val="nil"/>
              <w:right w:val="nil"/>
            </w:tcBorders>
            <w:shd w:val="clear" w:color="auto" w:fill="auto"/>
            <w:noWrap/>
            <w:vAlign w:val="center"/>
            <w:hideMark/>
          </w:tcPr>
          <w:p w14:paraId="3B653FB8" w14:textId="77777777" w:rsidR="00A32971" w:rsidRPr="0079074C" w:rsidRDefault="00A32971" w:rsidP="00AF7CD1">
            <w:pPr>
              <w:jc w:val="right"/>
              <w:rPr>
                <w:sz w:val="16"/>
                <w:szCs w:val="16"/>
              </w:rPr>
            </w:pPr>
            <w:r w:rsidRPr="0079074C">
              <w:rPr>
                <w:sz w:val="16"/>
                <w:szCs w:val="16"/>
              </w:rPr>
              <w:t>0.7</w:t>
            </w:r>
          </w:p>
        </w:tc>
        <w:tc>
          <w:tcPr>
            <w:tcW w:w="485" w:type="pct"/>
            <w:tcBorders>
              <w:top w:val="nil"/>
              <w:left w:val="nil"/>
              <w:bottom w:val="nil"/>
              <w:right w:val="nil"/>
            </w:tcBorders>
            <w:shd w:val="clear" w:color="auto" w:fill="auto"/>
            <w:noWrap/>
            <w:vAlign w:val="center"/>
            <w:hideMark/>
          </w:tcPr>
          <w:p w14:paraId="364A41E6" w14:textId="77777777" w:rsidR="00A32971" w:rsidRPr="0079074C" w:rsidRDefault="00A32971" w:rsidP="00AF7CD1">
            <w:pPr>
              <w:jc w:val="right"/>
              <w:rPr>
                <w:sz w:val="16"/>
                <w:szCs w:val="16"/>
              </w:rPr>
            </w:pPr>
            <w:r w:rsidRPr="0079074C">
              <w:rPr>
                <w:sz w:val="16"/>
                <w:szCs w:val="16"/>
              </w:rPr>
              <w:t>0.9</w:t>
            </w:r>
          </w:p>
        </w:tc>
        <w:tc>
          <w:tcPr>
            <w:tcW w:w="514" w:type="pct"/>
            <w:tcBorders>
              <w:top w:val="nil"/>
              <w:left w:val="nil"/>
              <w:bottom w:val="nil"/>
              <w:right w:val="nil"/>
            </w:tcBorders>
            <w:shd w:val="clear" w:color="auto" w:fill="auto"/>
            <w:noWrap/>
            <w:vAlign w:val="center"/>
            <w:hideMark/>
          </w:tcPr>
          <w:p w14:paraId="59CED60A" w14:textId="77777777" w:rsidR="00A32971" w:rsidRPr="0079074C" w:rsidRDefault="00A32971" w:rsidP="00AF7CD1">
            <w:pPr>
              <w:jc w:val="right"/>
              <w:rPr>
                <w:sz w:val="16"/>
                <w:szCs w:val="16"/>
              </w:rPr>
            </w:pPr>
            <w:r w:rsidRPr="0079074C">
              <w:rPr>
                <w:sz w:val="16"/>
                <w:szCs w:val="16"/>
              </w:rPr>
              <w:t>-</w:t>
            </w:r>
          </w:p>
        </w:tc>
        <w:tc>
          <w:tcPr>
            <w:tcW w:w="440" w:type="pct"/>
            <w:tcBorders>
              <w:top w:val="nil"/>
              <w:left w:val="nil"/>
              <w:bottom w:val="nil"/>
              <w:right w:val="nil"/>
            </w:tcBorders>
            <w:shd w:val="clear" w:color="auto" w:fill="auto"/>
            <w:noWrap/>
            <w:vAlign w:val="center"/>
            <w:hideMark/>
          </w:tcPr>
          <w:p w14:paraId="6EF63464" w14:textId="77777777" w:rsidR="00A32971" w:rsidRPr="0079074C" w:rsidRDefault="00A32971" w:rsidP="00AF7CD1">
            <w:pPr>
              <w:jc w:val="right"/>
              <w:rPr>
                <w:sz w:val="16"/>
                <w:szCs w:val="16"/>
              </w:rPr>
            </w:pPr>
            <w:r w:rsidRPr="0079074C">
              <w:rPr>
                <w:sz w:val="16"/>
                <w:szCs w:val="16"/>
              </w:rPr>
              <w:t>-</w:t>
            </w:r>
          </w:p>
        </w:tc>
        <w:tc>
          <w:tcPr>
            <w:tcW w:w="365" w:type="pct"/>
            <w:tcBorders>
              <w:top w:val="nil"/>
              <w:left w:val="nil"/>
              <w:bottom w:val="nil"/>
              <w:right w:val="nil"/>
            </w:tcBorders>
            <w:shd w:val="clear" w:color="auto" w:fill="auto"/>
            <w:noWrap/>
            <w:vAlign w:val="center"/>
            <w:hideMark/>
          </w:tcPr>
          <w:p w14:paraId="7644DCB5" w14:textId="77777777" w:rsidR="00A32971" w:rsidRPr="0079074C" w:rsidRDefault="00A32971" w:rsidP="00AF7CD1">
            <w:pPr>
              <w:jc w:val="right"/>
              <w:rPr>
                <w:sz w:val="16"/>
                <w:szCs w:val="16"/>
              </w:rPr>
            </w:pPr>
            <w:r w:rsidRPr="0079074C">
              <w:rPr>
                <w:sz w:val="16"/>
                <w:szCs w:val="16"/>
              </w:rPr>
              <w:t>-</w:t>
            </w:r>
          </w:p>
        </w:tc>
        <w:tc>
          <w:tcPr>
            <w:tcW w:w="365" w:type="pct"/>
            <w:tcBorders>
              <w:top w:val="nil"/>
              <w:left w:val="nil"/>
              <w:bottom w:val="nil"/>
              <w:right w:val="nil"/>
            </w:tcBorders>
            <w:shd w:val="clear" w:color="auto" w:fill="auto"/>
            <w:noWrap/>
            <w:vAlign w:val="center"/>
            <w:hideMark/>
          </w:tcPr>
          <w:p w14:paraId="4AD3F9AC" w14:textId="77777777" w:rsidR="00A32971" w:rsidRPr="0079074C" w:rsidRDefault="00A32971" w:rsidP="00AF7CD1">
            <w:pPr>
              <w:jc w:val="right"/>
              <w:rPr>
                <w:sz w:val="16"/>
                <w:szCs w:val="16"/>
              </w:rPr>
            </w:pPr>
            <w:r w:rsidRPr="0079074C">
              <w:rPr>
                <w:sz w:val="16"/>
                <w:szCs w:val="16"/>
              </w:rPr>
              <w:t>-</w:t>
            </w:r>
          </w:p>
        </w:tc>
        <w:tc>
          <w:tcPr>
            <w:tcW w:w="431" w:type="pct"/>
            <w:tcBorders>
              <w:top w:val="nil"/>
              <w:left w:val="nil"/>
              <w:bottom w:val="nil"/>
              <w:right w:val="nil"/>
            </w:tcBorders>
            <w:shd w:val="clear" w:color="auto" w:fill="auto"/>
            <w:noWrap/>
            <w:vAlign w:val="center"/>
            <w:hideMark/>
          </w:tcPr>
          <w:p w14:paraId="411E274E" w14:textId="77777777" w:rsidR="00A32971" w:rsidRPr="0079074C" w:rsidRDefault="00A32971" w:rsidP="00AF7CD1">
            <w:pPr>
              <w:jc w:val="right"/>
              <w:rPr>
                <w:sz w:val="16"/>
                <w:szCs w:val="16"/>
              </w:rPr>
            </w:pPr>
            <w:r w:rsidRPr="0079074C">
              <w:rPr>
                <w:sz w:val="16"/>
                <w:szCs w:val="16"/>
              </w:rPr>
              <w:t>0.8</w:t>
            </w:r>
          </w:p>
        </w:tc>
        <w:tc>
          <w:tcPr>
            <w:tcW w:w="305" w:type="pct"/>
            <w:tcBorders>
              <w:top w:val="nil"/>
              <w:left w:val="nil"/>
              <w:bottom w:val="nil"/>
              <w:right w:val="nil"/>
            </w:tcBorders>
            <w:shd w:val="clear" w:color="auto" w:fill="auto"/>
            <w:noWrap/>
            <w:vAlign w:val="center"/>
            <w:hideMark/>
          </w:tcPr>
          <w:p w14:paraId="3CD6C3C9" w14:textId="77777777" w:rsidR="00A32971" w:rsidRPr="0079074C" w:rsidRDefault="00A32971" w:rsidP="00AF7CD1">
            <w:pPr>
              <w:jc w:val="right"/>
              <w:rPr>
                <w:sz w:val="16"/>
                <w:szCs w:val="16"/>
              </w:rPr>
            </w:pPr>
            <w:r w:rsidRPr="0079074C">
              <w:rPr>
                <w:sz w:val="16"/>
                <w:szCs w:val="16"/>
              </w:rPr>
              <w:t>0.8</w:t>
            </w:r>
          </w:p>
        </w:tc>
      </w:tr>
      <w:tr w:rsidR="006B42D6" w:rsidRPr="006B42D6" w14:paraId="6648BBB9" w14:textId="77777777" w:rsidTr="0079074C">
        <w:trPr>
          <w:trHeight w:val="306"/>
        </w:trPr>
        <w:tc>
          <w:tcPr>
            <w:tcW w:w="913" w:type="pct"/>
            <w:tcBorders>
              <w:top w:val="nil"/>
              <w:left w:val="nil"/>
              <w:bottom w:val="nil"/>
              <w:right w:val="nil"/>
            </w:tcBorders>
            <w:shd w:val="clear" w:color="auto" w:fill="auto"/>
            <w:noWrap/>
            <w:vAlign w:val="center"/>
            <w:hideMark/>
          </w:tcPr>
          <w:p w14:paraId="2B60AEE3" w14:textId="77777777" w:rsidR="00A32971" w:rsidRPr="0079074C" w:rsidRDefault="00A32971" w:rsidP="00AF7CD1">
            <w:pPr>
              <w:rPr>
                <w:sz w:val="16"/>
                <w:szCs w:val="16"/>
              </w:rPr>
            </w:pPr>
            <w:r w:rsidRPr="0079074C">
              <w:rPr>
                <w:sz w:val="16"/>
                <w:szCs w:val="16"/>
              </w:rPr>
              <w:t>Simiyu</w:t>
            </w:r>
          </w:p>
        </w:tc>
        <w:tc>
          <w:tcPr>
            <w:tcW w:w="370" w:type="pct"/>
            <w:tcBorders>
              <w:top w:val="nil"/>
              <w:left w:val="nil"/>
              <w:bottom w:val="nil"/>
              <w:right w:val="nil"/>
            </w:tcBorders>
            <w:shd w:val="clear" w:color="auto" w:fill="auto"/>
            <w:noWrap/>
            <w:vAlign w:val="center"/>
            <w:hideMark/>
          </w:tcPr>
          <w:p w14:paraId="37220505" w14:textId="77777777" w:rsidR="00A32971" w:rsidRPr="0079074C" w:rsidRDefault="00A32971" w:rsidP="00AF7CD1">
            <w:pPr>
              <w:jc w:val="right"/>
              <w:rPr>
                <w:sz w:val="16"/>
                <w:szCs w:val="16"/>
              </w:rPr>
            </w:pPr>
            <w:r w:rsidRPr="0079074C">
              <w:rPr>
                <w:sz w:val="16"/>
                <w:szCs w:val="16"/>
              </w:rPr>
              <w:t>3.7</w:t>
            </w:r>
          </w:p>
        </w:tc>
        <w:tc>
          <w:tcPr>
            <w:tcW w:w="324" w:type="pct"/>
            <w:tcBorders>
              <w:top w:val="nil"/>
              <w:left w:val="nil"/>
              <w:bottom w:val="nil"/>
              <w:right w:val="nil"/>
            </w:tcBorders>
            <w:shd w:val="clear" w:color="auto" w:fill="auto"/>
            <w:noWrap/>
            <w:vAlign w:val="center"/>
            <w:hideMark/>
          </w:tcPr>
          <w:p w14:paraId="2F276064" w14:textId="77777777" w:rsidR="00A32971" w:rsidRPr="0079074C" w:rsidRDefault="00A32971" w:rsidP="00AF7CD1">
            <w:pPr>
              <w:jc w:val="right"/>
              <w:rPr>
                <w:sz w:val="16"/>
                <w:szCs w:val="16"/>
              </w:rPr>
            </w:pPr>
            <w:r w:rsidRPr="0079074C">
              <w:rPr>
                <w:sz w:val="16"/>
                <w:szCs w:val="16"/>
              </w:rPr>
              <w:t>5.5</w:t>
            </w:r>
          </w:p>
        </w:tc>
        <w:tc>
          <w:tcPr>
            <w:tcW w:w="488" w:type="pct"/>
            <w:tcBorders>
              <w:top w:val="nil"/>
              <w:left w:val="nil"/>
              <w:bottom w:val="nil"/>
              <w:right w:val="nil"/>
            </w:tcBorders>
            <w:shd w:val="clear" w:color="auto" w:fill="auto"/>
            <w:noWrap/>
            <w:vAlign w:val="center"/>
            <w:hideMark/>
          </w:tcPr>
          <w:p w14:paraId="14A9B26C" w14:textId="77777777" w:rsidR="00A32971" w:rsidRPr="0079074C" w:rsidRDefault="00A32971" w:rsidP="00AF7CD1">
            <w:pPr>
              <w:jc w:val="right"/>
              <w:rPr>
                <w:sz w:val="16"/>
                <w:szCs w:val="16"/>
              </w:rPr>
            </w:pPr>
            <w:r w:rsidRPr="0079074C">
              <w:rPr>
                <w:sz w:val="16"/>
                <w:szCs w:val="16"/>
              </w:rPr>
              <w:t>1.4</w:t>
            </w:r>
          </w:p>
        </w:tc>
        <w:tc>
          <w:tcPr>
            <w:tcW w:w="485" w:type="pct"/>
            <w:tcBorders>
              <w:top w:val="nil"/>
              <w:left w:val="nil"/>
              <w:bottom w:val="nil"/>
              <w:right w:val="nil"/>
            </w:tcBorders>
            <w:shd w:val="clear" w:color="auto" w:fill="auto"/>
            <w:noWrap/>
            <w:vAlign w:val="center"/>
            <w:hideMark/>
          </w:tcPr>
          <w:p w14:paraId="4D2EA7C2" w14:textId="77777777" w:rsidR="00A32971" w:rsidRPr="0079074C" w:rsidRDefault="00A32971" w:rsidP="00AF7CD1">
            <w:pPr>
              <w:jc w:val="right"/>
              <w:rPr>
                <w:sz w:val="16"/>
                <w:szCs w:val="16"/>
              </w:rPr>
            </w:pPr>
            <w:r w:rsidRPr="0079074C">
              <w:rPr>
                <w:sz w:val="16"/>
                <w:szCs w:val="16"/>
              </w:rPr>
              <w:t>3.9</w:t>
            </w:r>
          </w:p>
        </w:tc>
        <w:tc>
          <w:tcPr>
            <w:tcW w:w="514" w:type="pct"/>
            <w:tcBorders>
              <w:top w:val="nil"/>
              <w:left w:val="nil"/>
              <w:bottom w:val="nil"/>
              <w:right w:val="nil"/>
            </w:tcBorders>
            <w:shd w:val="clear" w:color="auto" w:fill="auto"/>
            <w:noWrap/>
            <w:vAlign w:val="center"/>
            <w:hideMark/>
          </w:tcPr>
          <w:p w14:paraId="11E6A51B" w14:textId="77777777" w:rsidR="00A32971" w:rsidRPr="0079074C" w:rsidRDefault="00A32971" w:rsidP="00AF7CD1">
            <w:pPr>
              <w:jc w:val="right"/>
              <w:rPr>
                <w:sz w:val="16"/>
                <w:szCs w:val="16"/>
              </w:rPr>
            </w:pPr>
            <w:r w:rsidRPr="0079074C">
              <w:rPr>
                <w:sz w:val="16"/>
                <w:szCs w:val="16"/>
              </w:rPr>
              <w:t>1.7</w:t>
            </w:r>
          </w:p>
        </w:tc>
        <w:tc>
          <w:tcPr>
            <w:tcW w:w="440" w:type="pct"/>
            <w:tcBorders>
              <w:top w:val="nil"/>
              <w:left w:val="nil"/>
              <w:bottom w:val="nil"/>
              <w:right w:val="nil"/>
            </w:tcBorders>
            <w:shd w:val="clear" w:color="auto" w:fill="auto"/>
            <w:noWrap/>
            <w:vAlign w:val="center"/>
            <w:hideMark/>
          </w:tcPr>
          <w:p w14:paraId="5858B84D" w14:textId="77777777" w:rsidR="00A32971" w:rsidRPr="0079074C" w:rsidRDefault="00A32971" w:rsidP="00AF7CD1">
            <w:pPr>
              <w:jc w:val="right"/>
              <w:rPr>
                <w:sz w:val="16"/>
                <w:szCs w:val="16"/>
              </w:rPr>
            </w:pPr>
            <w:r w:rsidRPr="0079074C">
              <w:rPr>
                <w:sz w:val="16"/>
                <w:szCs w:val="16"/>
              </w:rPr>
              <w:t>2.2</w:t>
            </w:r>
          </w:p>
        </w:tc>
        <w:tc>
          <w:tcPr>
            <w:tcW w:w="365" w:type="pct"/>
            <w:tcBorders>
              <w:top w:val="nil"/>
              <w:left w:val="nil"/>
              <w:bottom w:val="nil"/>
              <w:right w:val="nil"/>
            </w:tcBorders>
            <w:shd w:val="clear" w:color="auto" w:fill="auto"/>
            <w:noWrap/>
            <w:vAlign w:val="center"/>
            <w:hideMark/>
          </w:tcPr>
          <w:p w14:paraId="5EA3445A" w14:textId="77777777" w:rsidR="00A32971" w:rsidRPr="0079074C" w:rsidRDefault="00A32971" w:rsidP="00AF7CD1">
            <w:pPr>
              <w:jc w:val="right"/>
              <w:rPr>
                <w:sz w:val="16"/>
                <w:szCs w:val="16"/>
              </w:rPr>
            </w:pPr>
            <w:r w:rsidRPr="0079074C">
              <w:rPr>
                <w:sz w:val="16"/>
                <w:szCs w:val="16"/>
              </w:rPr>
              <w:t>-</w:t>
            </w:r>
          </w:p>
        </w:tc>
        <w:tc>
          <w:tcPr>
            <w:tcW w:w="365" w:type="pct"/>
            <w:tcBorders>
              <w:top w:val="nil"/>
              <w:left w:val="nil"/>
              <w:bottom w:val="nil"/>
              <w:right w:val="nil"/>
            </w:tcBorders>
            <w:shd w:val="clear" w:color="auto" w:fill="auto"/>
            <w:noWrap/>
            <w:vAlign w:val="center"/>
            <w:hideMark/>
          </w:tcPr>
          <w:p w14:paraId="38821D7E" w14:textId="77777777" w:rsidR="00A32971" w:rsidRPr="0079074C" w:rsidRDefault="00A32971" w:rsidP="00AF7CD1">
            <w:pPr>
              <w:jc w:val="right"/>
              <w:rPr>
                <w:sz w:val="16"/>
                <w:szCs w:val="16"/>
              </w:rPr>
            </w:pPr>
            <w:r w:rsidRPr="0079074C">
              <w:rPr>
                <w:sz w:val="16"/>
                <w:szCs w:val="16"/>
              </w:rPr>
              <w:t>-</w:t>
            </w:r>
          </w:p>
        </w:tc>
        <w:tc>
          <w:tcPr>
            <w:tcW w:w="431" w:type="pct"/>
            <w:tcBorders>
              <w:top w:val="nil"/>
              <w:left w:val="nil"/>
              <w:bottom w:val="nil"/>
              <w:right w:val="nil"/>
            </w:tcBorders>
            <w:shd w:val="clear" w:color="auto" w:fill="auto"/>
            <w:noWrap/>
            <w:vAlign w:val="center"/>
            <w:hideMark/>
          </w:tcPr>
          <w:p w14:paraId="72B23AB8" w14:textId="77777777" w:rsidR="00A32971" w:rsidRPr="0079074C" w:rsidRDefault="00A32971" w:rsidP="00AF7CD1">
            <w:pPr>
              <w:jc w:val="right"/>
              <w:rPr>
                <w:sz w:val="16"/>
                <w:szCs w:val="16"/>
              </w:rPr>
            </w:pPr>
            <w:r w:rsidRPr="0079074C">
              <w:rPr>
                <w:sz w:val="16"/>
                <w:szCs w:val="16"/>
              </w:rPr>
              <w:t>1.4</w:t>
            </w:r>
          </w:p>
        </w:tc>
        <w:tc>
          <w:tcPr>
            <w:tcW w:w="305" w:type="pct"/>
            <w:tcBorders>
              <w:top w:val="nil"/>
              <w:left w:val="nil"/>
              <w:bottom w:val="nil"/>
              <w:right w:val="nil"/>
            </w:tcBorders>
            <w:shd w:val="clear" w:color="auto" w:fill="auto"/>
            <w:noWrap/>
            <w:vAlign w:val="center"/>
            <w:hideMark/>
          </w:tcPr>
          <w:p w14:paraId="3A839DC7" w14:textId="77777777" w:rsidR="00A32971" w:rsidRPr="0079074C" w:rsidRDefault="00A32971" w:rsidP="00AF7CD1">
            <w:pPr>
              <w:jc w:val="right"/>
              <w:rPr>
                <w:sz w:val="16"/>
                <w:szCs w:val="16"/>
              </w:rPr>
            </w:pPr>
            <w:r w:rsidRPr="0079074C">
              <w:rPr>
                <w:sz w:val="16"/>
                <w:szCs w:val="16"/>
              </w:rPr>
              <w:t>5.3</w:t>
            </w:r>
          </w:p>
        </w:tc>
      </w:tr>
      <w:tr w:rsidR="006B42D6" w:rsidRPr="006B42D6" w14:paraId="3C054B9C" w14:textId="77777777" w:rsidTr="0079074C">
        <w:trPr>
          <w:trHeight w:val="306"/>
        </w:trPr>
        <w:tc>
          <w:tcPr>
            <w:tcW w:w="913" w:type="pct"/>
            <w:tcBorders>
              <w:top w:val="nil"/>
              <w:left w:val="nil"/>
              <w:bottom w:val="nil"/>
              <w:right w:val="nil"/>
            </w:tcBorders>
            <w:shd w:val="clear" w:color="auto" w:fill="auto"/>
            <w:noWrap/>
            <w:vAlign w:val="center"/>
            <w:hideMark/>
          </w:tcPr>
          <w:p w14:paraId="0F569FA5" w14:textId="77777777" w:rsidR="00A32971" w:rsidRPr="0079074C" w:rsidRDefault="00A32971" w:rsidP="00AF7CD1">
            <w:pPr>
              <w:rPr>
                <w:sz w:val="16"/>
                <w:szCs w:val="16"/>
              </w:rPr>
            </w:pPr>
            <w:r w:rsidRPr="0079074C">
              <w:rPr>
                <w:sz w:val="16"/>
                <w:szCs w:val="16"/>
              </w:rPr>
              <w:t>Geita</w:t>
            </w:r>
          </w:p>
        </w:tc>
        <w:tc>
          <w:tcPr>
            <w:tcW w:w="370" w:type="pct"/>
            <w:tcBorders>
              <w:top w:val="nil"/>
              <w:left w:val="nil"/>
              <w:bottom w:val="nil"/>
              <w:right w:val="nil"/>
            </w:tcBorders>
            <w:shd w:val="clear" w:color="auto" w:fill="auto"/>
            <w:noWrap/>
            <w:vAlign w:val="center"/>
            <w:hideMark/>
          </w:tcPr>
          <w:p w14:paraId="093744F3" w14:textId="77777777" w:rsidR="00A32971" w:rsidRPr="0079074C" w:rsidRDefault="00A32971" w:rsidP="00AF7CD1">
            <w:pPr>
              <w:jc w:val="right"/>
              <w:rPr>
                <w:sz w:val="16"/>
                <w:szCs w:val="16"/>
              </w:rPr>
            </w:pPr>
            <w:r w:rsidRPr="0079074C">
              <w:rPr>
                <w:sz w:val="16"/>
                <w:szCs w:val="16"/>
              </w:rPr>
              <w:t>4.5</w:t>
            </w:r>
          </w:p>
        </w:tc>
        <w:tc>
          <w:tcPr>
            <w:tcW w:w="324" w:type="pct"/>
            <w:tcBorders>
              <w:top w:val="nil"/>
              <w:left w:val="nil"/>
              <w:bottom w:val="nil"/>
              <w:right w:val="nil"/>
            </w:tcBorders>
            <w:shd w:val="clear" w:color="auto" w:fill="auto"/>
            <w:noWrap/>
            <w:vAlign w:val="center"/>
            <w:hideMark/>
          </w:tcPr>
          <w:p w14:paraId="285CE71C" w14:textId="77777777" w:rsidR="00A32971" w:rsidRPr="0079074C" w:rsidRDefault="00A32971" w:rsidP="00AF7CD1">
            <w:pPr>
              <w:jc w:val="right"/>
              <w:rPr>
                <w:sz w:val="16"/>
                <w:szCs w:val="16"/>
              </w:rPr>
            </w:pPr>
            <w:r w:rsidRPr="0079074C">
              <w:rPr>
                <w:sz w:val="16"/>
                <w:szCs w:val="16"/>
              </w:rPr>
              <w:t>5.6</w:t>
            </w:r>
          </w:p>
        </w:tc>
        <w:tc>
          <w:tcPr>
            <w:tcW w:w="488" w:type="pct"/>
            <w:tcBorders>
              <w:top w:val="nil"/>
              <w:left w:val="nil"/>
              <w:bottom w:val="nil"/>
              <w:right w:val="nil"/>
            </w:tcBorders>
            <w:shd w:val="clear" w:color="auto" w:fill="auto"/>
            <w:noWrap/>
            <w:vAlign w:val="center"/>
            <w:hideMark/>
          </w:tcPr>
          <w:p w14:paraId="0F1AE5EE" w14:textId="06F41FB7" w:rsidR="00A32971" w:rsidRPr="0079074C" w:rsidRDefault="00A32971" w:rsidP="00AF7CD1">
            <w:pPr>
              <w:jc w:val="right"/>
              <w:rPr>
                <w:sz w:val="16"/>
                <w:szCs w:val="16"/>
              </w:rPr>
            </w:pPr>
            <w:r w:rsidRPr="0079074C">
              <w:rPr>
                <w:sz w:val="16"/>
                <w:szCs w:val="16"/>
              </w:rPr>
              <w:t>1</w:t>
            </w:r>
            <w:r w:rsidR="00272901" w:rsidRPr="0079074C">
              <w:rPr>
                <w:sz w:val="16"/>
                <w:szCs w:val="16"/>
              </w:rPr>
              <w:t>.0</w:t>
            </w:r>
          </w:p>
        </w:tc>
        <w:tc>
          <w:tcPr>
            <w:tcW w:w="485" w:type="pct"/>
            <w:tcBorders>
              <w:top w:val="nil"/>
              <w:left w:val="nil"/>
              <w:bottom w:val="nil"/>
              <w:right w:val="nil"/>
            </w:tcBorders>
            <w:shd w:val="clear" w:color="auto" w:fill="auto"/>
            <w:noWrap/>
            <w:vAlign w:val="center"/>
            <w:hideMark/>
          </w:tcPr>
          <w:p w14:paraId="15F39D40" w14:textId="77777777" w:rsidR="00A32971" w:rsidRPr="0079074C" w:rsidRDefault="00A32971" w:rsidP="00AF7CD1">
            <w:pPr>
              <w:jc w:val="right"/>
              <w:rPr>
                <w:sz w:val="16"/>
                <w:szCs w:val="16"/>
              </w:rPr>
            </w:pPr>
            <w:r w:rsidRPr="0079074C">
              <w:rPr>
                <w:sz w:val="16"/>
                <w:szCs w:val="16"/>
              </w:rPr>
              <w:t>4.2</w:t>
            </w:r>
          </w:p>
        </w:tc>
        <w:tc>
          <w:tcPr>
            <w:tcW w:w="514" w:type="pct"/>
            <w:tcBorders>
              <w:top w:val="nil"/>
              <w:left w:val="nil"/>
              <w:bottom w:val="nil"/>
              <w:right w:val="nil"/>
            </w:tcBorders>
            <w:shd w:val="clear" w:color="auto" w:fill="auto"/>
            <w:noWrap/>
            <w:vAlign w:val="center"/>
            <w:hideMark/>
          </w:tcPr>
          <w:p w14:paraId="3DE46629" w14:textId="77777777" w:rsidR="00A32971" w:rsidRPr="0079074C" w:rsidRDefault="00A32971" w:rsidP="00AF7CD1">
            <w:pPr>
              <w:jc w:val="right"/>
              <w:rPr>
                <w:sz w:val="16"/>
                <w:szCs w:val="16"/>
              </w:rPr>
            </w:pPr>
            <w:r w:rsidRPr="0079074C">
              <w:rPr>
                <w:sz w:val="16"/>
                <w:szCs w:val="16"/>
              </w:rPr>
              <w:t>3.8</w:t>
            </w:r>
          </w:p>
        </w:tc>
        <w:tc>
          <w:tcPr>
            <w:tcW w:w="440" w:type="pct"/>
            <w:tcBorders>
              <w:top w:val="nil"/>
              <w:left w:val="nil"/>
              <w:bottom w:val="nil"/>
              <w:right w:val="nil"/>
            </w:tcBorders>
            <w:shd w:val="clear" w:color="auto" w:fill="auto"/>
            <w:noWrap/>
            <w:vAlign w:val="center"/>
            <w:hideMark/>
          </w:tcPr>
          <w:p w14:paraId="7E2FF86D" w14:textId="77777777" w:rsidR="00A32971" w:rsidRPr="0079074C" w:rsidRDefault="00A32971" w:rsidP="00AF7CD1">
            <w:pPr>
              <w:jc w:val="right"/>
              <w:rPr>
                <w:sz w:val="16"/>
                <w:szCs w:val="16"/>
              </w:rPr>
            </w:pPr>
            <w:r w:rsidRPr="0079074C">
              <w:rPr>
                <w:sz w:val="16"/>
                <w:szCs w:val="16"/>
              </w:rPr>
              <w:t>-</w:t>
            </w:r>
          </w:p>
        </w:tc>
        <w:tc>
          <w:tcPr>
            <w:tcW w:w="365" w:type="pct"/>
            <w:tcBorders>
              <w:top w:val="nil"/>
              <w:left w:val="nil"/>
              <w:bottom w:val="nil"/>
              <w:right w:val="nil"/>
            </w:tcBorders>
            <w:shd w:val="clear" w:color="auto" w:fill="auto"/>
            <w:noWrap/>
            <w:vAlign w:val="center"/>
            <w:hideMark/>
          </w:tcPr>
          <w:p w14:paraId="115A5D05" w14:textId="77777777" w:rsidR="00A32971" w:rsidRPr="0079074C" w:rsidRDefault="00A32971" w:rsidP="00AF7CD1">
            <w:pPr>
              <w:jc w:val="right"/>
              <w:rPr>
                <w:sz w:val="16"/>
                <w:szCs w:val="16"/>
              </w:rPr>
            </w:pPr>
            <w:r w:rsidRPr="0079074C">
              <w:rPr>
                <w:sz w:val="16"/>
                <w:szCs w:val="16"/>
              </w:rPr>
              <w:t>-</w:t>
            </w:r>
          </w:p>
        </w:tc>
        <w:tc>
          <w:tcPr>
            <w:tcW w:w="365" w:type="pct"/>
            <w:tcBorders>
              <w:top w:val="nil"/>
              <w:left w:val="nil"/>
              <w:bottom w:val="nil"/>
              <w:right w:val="nil"/>
            </w:tcBorders>
            <w:shd w:val="clear" w:color="auto" w:fill="auto"/>
            <w:noWrap/>
            <w:vAlign w:val="center"/>
            <w:hideMark/>
          </w:tcPr>
          <w:p w14:paraId="52AF4030" w14:textId="77777777" w:rsidR="00A32971" w:rsidRPr="0079074C" w:rsidRDefault="00A32971" w:rsidP="00AF7CD1">
            <w:pPr>
              <w:jc w:val="right"/>
              <w:rPr>
                <w:sz w:val="16"/>
                <w:szCs w:val="16"/>
              </w:rPr>
            </w:pPr>
            <w:r w:rsidRPr="0079074C">
              <w:rPr>
                <w:sz w:val="16"/>
                <w:szCs w:val="16"/>
              </w:rPr>
              <w:t>-</w:t>
            </w:r>
          </w:p>
        </w:tc>
        <w:tc>
          <w:tcPr>
            <w:tcW w:w="431" w:type="pct"/>
            <w:tcBorders>
              <w:top w:val="nil"/>
              <w:left w:val="nil"/>
              <w:bottom w:val="nil"/>
              <w:right w:val="nil"/>
            </w:tcBorders>
            <w:shd w:val="clear" w:color="auto" w:fill="auto"/>
            <w:noWrap/>
            <w:vAlign w:val="center"/>
            <w:hideMark/>
          </w:tcPr>
          <w:p w14:paraId="283E5432" w14:textId="77777777" w:rsidR="00A32971" w:rsidRPr="0079074C" w:rsidRDefault="00A32971" w:rsidP="00AF7CD1">
            <w:pPr>
              <w:jc w:val="right"/>
              <w:rPr>
                <w:sz w:val="16"/>
                <w:szCs w:val="16"/>
              </w:rPr>
            </w:pPr>
            <w:r w:rsidRPr="0079074C">
              <w:rPr>
                <w:sz w:val="16"/>
                <w:szCs w:val="16"/>
              </w:rPr>
              <w:t>-</w:t>
            </w:r>
          </w:p>
        </w:tc>
        <w:tc>
          <w:tcPr>
            <w:tcW w:w="305" w:type="pct"/>
            <w:tcBorders>
              <w:top w:val="nil"/>
              <w:left w:val="nil"/>
              <w:bottom w:val="nil"/>
              <w:right w:val="nil"/>
            </w:tcBorders>
            <w:shd w:val="clear" w:color="auto" w:fill="auto"/>
            <w:noWrap/>
            <w:vAlign w:val="center"/>
            <w:hideMark/>
          </w:tcPr>
          <w:p w14:paraId="7A30C512" w14:textId="77777777" w:rsidR="00A32971" w:rsidRPr="0079074C" w:rsidRDefault="00A32971" w:rsidP="00AF7CD1">
            <w:pPr>
              <w:jc w:val="right"/>
              <w:rPr>
                <w:sz w:val="16"/>
                <w:szCs w:val="16"/>
              </w:rPr>
            </w:pPr>
            <w:r w:rsidRPr="0079074C">
              <w:rPr>
                <w:sz w:val="16"/>
                <w:szCs w:val="16"/>
              </w:rPr>
              <w:t>2.4</w:t>
            </w:r>
          </w:p>
        </w:tc>
      </w:tr>
      <w:tr w:rsidR="006B42D6" w:rsidRPr="006B42D6" w14:paraId="68F80D70" w14:textId="77777777" w:rsidTr="0079074C">
        <w:trPr>
          <w:trHeight w:val="306"/>
        </w:trPr>
        <w:tc>
          <w:tcPr>
            <w:tcW w:w="913" w:type="pct"/>
            <w:tcBorders>
              <w:top w:val="nil"/>
              <w:left w:val="nil"/>
              <w:bottom w:val="nil"/>
              <w:right w:val="nil"/>
            </w:tcBorders>
            <w:shd w:val="clear" w:color="auto" w:fill="auto"/>
            <w:noWrap/>
            <w:vAlign w:val="center"/>
            <w:hideMark/>
          </w:tcPr>
          <w:p w14:paraId="3232741E" w14:textId="77777777" w:rsidR="00A32971" w:rsidRPr="0079074C" w:rsidRDefault="00A32971" w:rsidP="00AF7CD1">
            <w:pPr>
              <w:rPr>
                <w:sz w:val="16"/>
                <w:szCs w:val="16"/>
              </w:rPr>
            </w:pPr>
            <w:r w:rsidRPr="0079074C">
              <w:rPr>
                <w:sz w:val="16"/>
                <w:szCs w:val="16"/>
              </w:rPr>
              <w:t>Songwe</w:t>
            </w:r>
          </w:p>
        </w:tc>
        <w:tc>
          <w:tcPr>
            <w:tcW w:w="370" w:type="pct"/>
            <w:tcBorders>
              <w:top w:val="nil"/>
              <w:left w:val="nil"/>
              <w:bottom w:val="nil"/>
              <w:right w:val="nil"/>
            </w:tcBorders>
            <w:shd w:val="clear" w:color="auto" w:fill="auto"/>
            <w:noWrap/>
            <w:vAlign w:val="center"/>
            <w:hideMark/>
          </w:tcPr>
          <w:p w14:paraId="549D7192" w14:textId="77777777" w:rsidR="00A32971" w:rsidRPr="0079074C" w:rsidRDefault="00A32971" w:rsidP="00AF7CD1">
            <w:pPr>
              <w:jc w:val="right"/>
              <w:rPr>
                <w:sz w:val="16"/>
                <w:szCs w:val="16"/>
              </w:rPr>
            </w:pPr>
            <w:r w:rsidRPr="0079074C">
              <w:rPr>
                <w:sz w:val="16"/>
                <w:szCs w:val="16"/>
              </w:rPr>
              <w:t>6.6</w:t>
            </w:r>
          </w:p>
        </w:tc>
        <w:tc>
          <w:tcPr>
            <w:tcW w:w="324" w:type="pct"/>
            <w:tcBorders>
              <w:top w:val="nil"/>
              <w:left w:val="nil"/>
              <w:bottom w:val="nil"/>
              <w:right w:val="nil"/>
            </w:tcBorders>
            <w:shd w:val="clear" w:color="auto" w:fill="auto"/>
            <w:noWrap/>
            <w:vAlign w:val="center"/>
            <w:hideMark/>
          </w:tcPr>
          <w:p w14:paraId="371AE39A" w14:textId="77777777" w:rsidR="00A32971" w:rsidRPr="0079074C" w:rsidRDefault="00A32971" w:rsidP="00AF7CD1">
            <w:pPr>
              <w:jc w:val="right"/>
              <w:rPr>
                <w:sz w:val="16"/>
                <w:szCs w:val="16"/>
              </w:rPr>
            </w:pPr>
            <w:r w:rsidRPr="0079074C">
              <w:rPr>
                <w:sz w:val="16"/>
                <w:szCs w:val="16"/>
              </w:rPr>
              <w:t>3.4</w:t>
            </w:r>
          </w:p>
        </w:tc>
        <w:tc>
          <w:tcPr>
            <w:tcW w:w="488" w:type="pct"/>
            <w:tcBorders>
              <w:top w:val="nil"/>
              <w:left w:val="nil"/>
              <w:bottom w:val="nil"/>
              <w:right w:val="nil"/>
            </w:tcBorders>
            <w:shd w:val="clear" w:color="auto" w:fill="auto"/>
            <w:noWrap/>
            <w:vAlign w:val="center"/>
            <w:hideMark/>
          </w:tcPr>
          <w:p w14:paraId="1D9A6490" w14:textId="77777777" w:rsidR="00A32971" w:rsidRPr="0079074C" w:rsidRDefault="00A32971" w:rsidP="00AF7CD1">
            <w:pPr>
              <w:jc w:val="right"/>
              <w:rPr>
                <w:sz w:val="16"/>
                <w:szCs w:val="16"/>
              </w:rPr>
            </w:pPr>
            <w:r w:rsidRPr="0079074C">
              <w:rPr>
                <w:sz w:val="16"/>
                <w:szCs w:val="16"/>
              </w:rPr>
              <w:t>6.8</w:t>
            </w:r>
          </w:p>
        </w:tc>
        <w:tc>
          <w:tcPr>
            <w:tcW w:w="485" w:type="pct"/>
            <w:tcBorders>
              <w:top w:val="nil"/>
              <w:left w:val="nil"/>
              <w:bottom w:val="nil"/>
              <w:right w:val="nil"/>
            </w:tcBorders>
            <w:shd w:val="clear" w:color="auto" w:fill="auto"/>
            <w:noWrap/>
            <w:vAlign w:val="center"/>
            <w:hideMark/>
          </w:tcPr>
          <w:p w14:paraId="4710A514" w14:textId="77777777" w:rsidR="00A32971" w:rsidRPr="0079074C" w:rsidRDefault="00A32971" w:rsidP="00AF7CD1">
            <w:pPr>
              <w:jc w:val="right"/>
              <w:rPr>
                <w:sz w:val="16"/>
                <w:szCs w:val="16"/>
              </w:rPr>
            </w:pPr>
            <w:r w:rsidRPr="0079074C">
              <w:rPr>
                <w:sz w:val="16"/>
                <w:szCs w:val="16"/>
              </w:rPr>
              <w:t>2.4</w:t>
            </w:r>
          </w:p>
        </w:tc>
        <w:tc>
          <w:tcPr>
            <w:tcW w:w="514" w:type="pct"/>
            <w:tcBorders>
              <w:top w:val="nil"/>
              <w:left w:val="nil"/>
              <w:bottom w:val="nil"/>
              <w:right w:val="nil"/>
            </w:tcBorders>
            <w:shd w:val="clear" w:color="auto" w:fill="auto"/>
            <w:noWrap/>
            <w:vAlign w:val="center"/>
            <w:hideMark/>
          </w:tcPr>
          <w:p w14:paraId="6499D604" w14:textId="77777777" w:rsidR="00A32971" w:rsidRPr="0079074C" w:rsidRDefault="00A32971" w:rsidP="00AF7CD1">
            <w:pPr>
              <w:jc w:val="right"/>
              <w:rPr>
                <w:sz w:val="16"/>
                <w:szCs w:val="16"/>
              </w:rPr>
            </w:pPr>
            <w:r w:rsidRPr="0079074C">
              <w:rPr>
                <w:sz w:val="16"/>
                <w:szCs w:val="16"/>
              </w:rPr>
              <w:t>4.8</w:t>
            </w:r>
          </w:p>
        </w:tc>
        <w:tc>
          <w:tcPr>
            <w:tcW w:w="440" w:type="pct"/>
            <w:tcBorders>
              <w:top w:val="nil"/>
              <w:left w:val="nil"/>
              <w:bottom w:val="nil"/>
              <w:right w:val="nil"/>
            </w:tcBorders>
            <w:shd w:val="clear" w:color="auto" w:fill="auto"/>
            <w:noWrap/>
            <w:vAlign w:val="center"/>
            <w:hideMark/>
          </w:tcPr>
          <w:p w14:paraId="7CB44AEA" w14:textId="77777777" w:rsidR="00A32971" w:rsidRPr="0079074C" w:rsidRDefault="00A32971" w:rsidP="00AF7CD1">
            <w:pPr>
              <w:jc w:val="right"/>
              <w:rPr>
                <w:sz w:val="16"/>
                <w:szCs w:val="16"/>
              </w:rPr>
            </w:pPr>
            <w:r w:rsidRPr="0079074C">
              <w:rPr>
                <w:sz w:val="16"/>
                <w:szCs w:val="16"/>
              </w:rPr>
              <w:t>2.1</w:t>
            </w:r>
          </w:p>
        </w:tc>
        <w:tc>
          <w:tcPr>
            <w:tcW w:w="365" w:type="pct"/>
            <w:tcBorders>
              <w:top w:val="nil"/>
              <w:left w:val="nil"/>
              <w:bottom w:val="nil"/>
              <w:right w:val="nil"/>
            </w:tcBorders>
            <w:shd w:val="clear" w:color="auto" w:fill="auto"/>
            <w:noWrap/>
            <w:vAlign w:val="center"/>
            <w:hideMark/>
          </w:tcPr>
          <w:p w14:paraId="2BAAEFB1" w14:textId="77777777" w:rsidR="00A32971" w:rsidRPr="0079074C" w:rsidRDefault="00A32971" w:rsidP="00AF7CD1">
            <w:pPr>
              <w:jc w:val="right"/>
              <w:rPr>
                <w:sz w:val="16"/>
                <w:szCs w:val="16"/>
              </w:rPr>
            </w:pPr>
            <w:r w:rsidRPr="0079074C">
              <w:rPr>
                <w:sz w:val="16"/>
                <w:szCs w:val="16"/>
              </w:rPr>
              <w:t>-</w:t>
            </w:r>
          </w:p>
        </w:tc>
        <w:tc>
          <w:tcPr>
            <w:tcW w:w="365" w:type="pct"/>
            <w:tcBorders>
              <w:top w:val="nil"/>
              <w:left w:val="nil"/>
              <w:bottom w:val="nil"/>
              <w:right w:val="nil"/>
            </w:tcBorders>
            <w:shd w:val="clear" w:color="auto" w:fill="auto"/>
            <w:noWrap/>
            <w:vAlign w:val="center"/>
            <w:hideMark/>
          </w:tcPr>
          <w:p w14:paraId="57BA165E" w14:textId="77777777" w:rsidR="00A32971" w:rsidRPr="0079074C" w:rsidRDefault="00A32971" w:rsidP="00AF7CD1">
            <w:pPr>
              <w:jc w:val="right"/>
              <w:rPr>
                <w:sz w:val="16"/>
                <w:szCs w:val="16"/>
              </w:rPr>
            </w:pPr>
            <w:r w:rsidRPr="0079074C">
              <w:rPr>
                <w:sz w:val="16"/>
                <w:szCs w:val="16"/>
              </w:rPr>
              <w:t>-</w:t>
            </w:r>
          </w:p>
        </w:tc>
        <w:tc>
          <w:tcPr>
            <w:tcW w:w="431" w:type="pct"/>
            <w:tcBorders>
              <w:top w:val="nil"/>
              <w:left w:val="nil"/>
              <w:bottom w:val="nil"/>
              <w:right w:val="nil"/>
            </w:tcBorders>
            <w:shd w:val="clear" w:color="auto" w:fill="auto"/>
            <w:noWrap/>
            <w:vAlign w:val="center"/>
            <w:hideMark/>
          </w:tcPr>
          <w:p w14:paraId="18F8EF6A" w14:textId="77777777" w:rsidR="00A32971" w:rsidRPr="0079074C" w:rsidRDefault="00A32971" w:rsidP="00AF7CD1">
            <w:pPr>
              <w:jc w:val="right"/>
              <w:rPr>
                <w:sz w:val="16"/>
                <w:szCs w:val="16"/>
              </w:rPr>
            </w:pPr>
            <w:r w:rsidRPr="0079074C">
              <w:rPr>
                <w:sz w:val="16"/>
                <w:szCs w:val="16"/>
              </w:rPr>
              <w:t>7.8</w:t>
            </w:r>
          </w:p>
        </w:tc>
        <w:tc>
          <w:tcPr>
            <w:tcW w:w="305" w:type="pct"/>
            <w:tcBorders>
              <w:top w:val="nil"/>
              <w:left w:val="nil"/>
              <w:bottom w:val="nil"/>
              <w:right w:val="nil"/>
            </w:tcBorders>
            <w:shd w:val="clear" w:color="auto" w:fill="auto"/>
            <w:noWrap/>
            <w:vAlign w:val="center"/>
            <w:hideMark/>
          </w:tcPr>
          <w:p w14:paraId="21057221" w14:textId="77777777" w:rsidR="00A32971" w:rsidRPr="0079074C" w:rsidRDefault="00A32971" w:rsidP="00AF7CD1">
            <w:pPr>
              <w:jc w:val="right"/>
              <w:rPr>
                <w:sz w:val="16"/>
                <w:szCs w:val="16"/>
              </w:rPr>
            </w:pPr>
            <w:r w:rsidRPr="0079074C">
              <w:rPr>
                <w:sz w:val="16"/>
                <w:szCs w:val="16"/>
              </w:rPr>
              <w:t>3.1</w:t>
            </w:r>
          </w:p>
        </w:tc>
      </w:tr>
      <w:tr w:rsidR="006B42D6" w:rsidRPr="006B42D6" w14:paraId="7CBBA04E" w14:textId="77777777" w:rsidTr="0079074C">
        <w:trPr>
          <w:trHeight w:val="306"/>
        </w:trPr>
        <w:tc>
          <w:tcPr>
            <w:tcW w:w="913" w:type="pct"/>
            <w:tcBorders>
              <w:top w:val="single" w:sz="4" w:space="0" w:color="auto"/>
              <w:left w:val="nil"/>
              <w:bottom w:val="single" w:sz="4" w:space="0" w:color="auto"/>
              <w:right w:val="nil"/>
            </w:tcBorders>
            <w:shd w:val="clear" w:color="auto" w:fill="E2EFD9" w:themeFill="accent6" w:themeFillTint="33"/>
            <w:noWrap/>
            <w:vAlign w:val="center"/>
            <w:hideMark/>
          </w:tcPr>
          <w:p w14:paraId="0F287D66" w14:textId="4318D301" w:rsidR="00272901" w:rsidRPr="0079074C" w:rsidRDefault="00EA1552" w:rsidP="00272901">
            <w:pPr>
              <w:rPr>
                <w:sz w:val="16"/>
                <w:szCs w:val="16"/>
              </w:rPr>
            </w:pPr>
            <w:r w:rsidRPr="0079074C">
              <w:rPr>
                <w:sz w:val="16"/>
                <w:szCs w:val="16"/>
              </w:rPr>
              <w:t>Mainland Tanzania</w:t>
            </w:r>
          </w:p>
        </w:tc>
        <w:tc>
          <w:tcPr>
            <w:tcW w:w="370" w:type="pct"/>
            <w:tcBorders>
              <w:top w:val="single" w:sz="4" w:space="0" w:color="auto"/>
              <w:left w:val="nil"/>
              <w:bottom w:val="single" w:sz="4" w:space="0" w:color="auto"/>
              <w:right w:val="nil"/>
            </w:tcBorders>
            <w:shd w:val="clear" w:color="auto" w:fill="E2EFD9" w:themeFill="accent6" w:themeFillTint="33"/>
            <w:noWrap/>
            <w:hideMark/>
          </w:tcPr>
          <w:p w14:paraId="1F5F6143" w14:textId="08B3553E" w:rsidR="00272901" w:rsidRPr="0079074C" w:rsidRDefault="00272901" w:rsidP="00272901">
            <w:pPr>
              <w:jc w:val="right"/>
              <w:rPr>
                <w:sz w:val="16"/>
                <w:szCs w:val="16"/>
              </w:rPr>
            </w:pPr>
            <w:r w:rsidRPr="0079074C">
              <w:rPr>
                <w:sz w:val="16"/>
                <w:szCs w:val="16"/>
              </w:rPr>
              <w:t>100.0</w:t>
            </w:r>
          </w:p>
        </w:tc>
        <w:tc>
          <w:tcPr>
            <w:tcW w:w="324" w:type="pct"/>
            <w:tcBorders>
              <w:top w:val="single" w:sz="4" w:space="0" w:color="auto"/>
              <w:left w:val="nil"/>
              <w:bottom w:val="single" w:sz="4" w:space="0" w:color="auto"/>
              <w:right w:val="nil"/>
            </w:tcBorders>
            <w:shd w:val="clear" w:color="auto" w:fill="E2EFD9" w:themeFill="accent6" w:themeFillTint="33"/>
            <w:noWrap/>
            <w:hideMark/>
          </w:tcPr>
          <w:p w14:paraId="29230B74" w14:textId="2774D759" w:rsidR="00272901" w:rsidRPr="0079074C" w:rsidRDefault="00272901" w:rsidP="00272901">
            <w:pPr>
              <w:jc w:val="right"/>
              <w:rPr>
                <w:sz w:val="16"/>
                <w:szCs w:val="16"/>
              </w:rPr>
            </w:pPr>
            <w:r w:rsidRPr="0079074C">
              <w:rPr>
                <w:sz w:val="16"/>
                <w:szCs w:val="16"/>
              </w:rPr>
              <w:t>100.0</w:t>
            </w:r>
          </w:p>
        </w:tc>
        <w:tc>
          <w:tcPr>
            <w:tcW w:w="488" w:type="pct"/>
            <w:tcBorders>
              <w:top w:val="single" w:sz="4" w:space="0" w:color="auto"/>
              <w:left w:val="nil"/>
              <w:bottom w:val="single" w:sz="4" w:space="0" w:color="auto"/>
              <w:right w:val="nil"/>
            </w:tcBorders>
            <w:shd w:val="clear" w:color="auto" w:fill="E2EFD9" w:themeFill="accent6" w:themeFillTint="33"/>
            <w:noWrap/>
            <w:hideMark/>
          </w:tcPr>
          <w:p w14:paraId="407B18E3" w14:textId="45DC4D5F" w:rsidR="00272901" w:rsidRPr="0079074C" w:rsidRDefault="00272901" w:rsidP="00272901">
            <w:pPr>
              <w:jc w:val="right"/>
              <w:rPr>
                <w:sz w:val="16"/>
                <w:szCs w:val="16"/>
              </w:rPr>
            </w:pPr>
            <w:r w:rsidRPr="0079074C">
              <w:rPr>
                <w:sz w:val="16"/>
                <w:szCs w:val="16"/>
              </w:rPr>
              <w:t>100.0</w:t>
            </w:r>
          </w:p>
        </w:tc>
        <w:tc>
          <w:tcPr>
            <w:tcW w:w="485" w:type="pct"/>
            <w:tcBorders>
              <w:top w:val="single" w:sz="4" w:space="0" w:color="auto"/>
              <w:left w:val="nil"/>
              <w:bottom w:val="single" w:sz="4" w:space="0" w:color="auto"/>
              <w:right w:val="nil"/>
            </w:tcBorders>
            <w:shd w:val="clear" w:color="auto" w:fill="E2EFD9" w:themeFill="accent6" w:themeFillTint="33"/>
            <w:noWrap/>
            <w:hideMark/>
          </w:tcPr>
          <w:p w14:paraId="4D769BB3" w14:textId="3A1C7C3B" w:rsidR="00272901" w:rsidRPr="0079074C" w:rsidRDefault="00272901" w:rsidP="00272901">
            <w:pPr>
              <w:jc w:val="right"/>
              <w:rPr>
                <w:sz w:val="16"/>
                <w:szCs w:val="16"/>
              </w:rPr>
            </w:pPr>
            <w:r w:rsidRPr="0079074C">
              <w:rPr>
                <w:sz w:val="16"/>
                <w:szCs w:val="16"/>
              </w:rPr>
              <w:t>100.0</w:t>
            </w:r>
          </w:p>
        </w:tc>
        <w:tc>
          <w:tcPr>
            <w:tcW w:w="514" w:type="pct"/>
            <w:tcBorders>
              <w:top w:val="single" w:sz="4" w:space="0" w:color="auto"/>
              <w:left w:val="nil"/>
              <w:bottom w:val="single" w:sz="4" w:space="0" w:color="auto"/>
              <w:right w:val="nil"/>
            </w:tcBorders>
            <w:shd w:val="clear" w:color="auto" w:fill="E2EFD9" w:themeFill="accent6" w:themeFillTint="33"/>
            <w:noWrap/>
            <w:hideMark/>
          </w:tcPr>
          <w:p w14:paraId="5A3FF6B2" w14:textId="23BB8A1B" w:rsidR="00272901" w:rsidRPr="0079074C" w:rsidRDefault="00272901" w:rsidP="00272901">
            <w:pPr>
              <w:jc w:val="right"/>
              <w:rPr>
                <w:sz w:val="16"/>
                <w:szCs w:val="16"/>
              </w:rPr>
            </w:pPr>
            <w:r w:rsidRPr="0079074C">
              <w:rPr>
                <w:sz w:val="16"/>
                <w:szCs w:val="16"/>
              </w:rPr>
              <w:t>100.0</w:t>
            </w:r>
          </w:p>
        </w:tc>
        <w:tc>
          <w:tcPr>
            <w:tcW w:w="440" w:type="pct"/>
            <w:tcBorders>
              <w:top w:val="single" w:sz="4" w:space="0" w:color="auto"/>
              <w:left w:val="nil"/>
              <w:bottom w:val="single" w:sz="4" w:space="0" w:color="auto"/>
              <w:right w:val="nil"/>
            </w:tcBorders>
            <w:shd w:val="clear" w:color="auto" w:fill="E2EFD9" w:themeFill="accent6" w:themeFillTint="33"/>
            <w:noWrap/>
            <w:hideMark/>
          </w:tcPr>
          <w:p w14:paraId="62E7EE3E" w14:textId="7D7DD7A4" w:rsidR="00272901" w:rsidRPr="0079074C" w:rsidRDefault="00272901" w:rsidP="00272901">
            <w:pPr>
              <w:jc w:val="right"/>
              <w:rPr>
                <w:sz w:val="16"/>
                <w:szCs w:val="16"/>
              </w:rPr>
            </w:pPr>
            <w:r w:rsidRPr="0079074C">
              <w:rPr>
                <w:sz w:val="16"/>
                <w:szCs w:val="16"/>
              </w:rPr>
              <w:t>100.0</w:t>
            </w:r>
          </w:p>
        </w:tc>
        <w:tc>
          <w:tcPr>
            <w:tcW w:w="365" w:type="pct"/>
            <w:tcBorders>
              <w:top w:val="single" w:sz="4" w:space="0" w:color="auto"/>
              <w:left w:val="nil"/>
              <w:bottom w:val="single" w:sz="4" w:space="0" w:color="auto"/>
              <w:right w:val="nil"/>
            </w:tcBorders>
            <w:shd w:val="clear" w:color="auto" w:fill="E2EFD9" w:themeFill="accent6" w:themeFillTint="33"/>
            <w:noWrap/>
            <w:hideMark/>
          </w:tcPr>
          <w:p w14:paraId="76ABA9B8" w14:textId="36EDBD3C" w:rsidR="00272901" w:rsidRPr="0079074C" w:rsidRDefault="00272901" w:rsidP="00272901">
            <w:pPr>
              <w:jc w:val="right"/>
              <w:rPr>
                <w:sz w:val="16"/>
                <w:szCs w:val="16"/>
              </w:rPr>
            </w:pPr>
            <w:r w:rsidRPr="0079074C">
              <w:rPr>
                <w:sz w:val="16"/>
                <w:szCs w:val="16"/>
              </w:rPr>
              <w:t>100.0</w:t>
            </w:r>
          </w:p>
        </w:tc>
        <w:tc>
          <w:tcPr>
            <w:tcW w:w="365" w:type="pct"/>
            <w:tcBorders>
              <w:top w:val="single" w:sz="4" w:space="0" w:color="auto"/>
              <w:left w:val="nil"/>
              <w:bottom w:val="single" w:sz="4" w:space="0" w:color="auto"/>
              <w:right w:val="nil"/>
            </w:tcBorders>
            <w:shd w:val="clear" w:color="auto" w:fill="E2EFD9" w:themeFill="accent6" w:themeFillTint="33"/>
            <w:noWrap/>
            <w:hideMark/>
          </w:tcPr>
          <w:p w14:paraId="329AF8F2" w14:textId="00FB822A" w:rsidR="00272901" w:rsidRPr="0079074C" w:rsidRDefault="00272901" w:rsidP="00272901">
            <w:pPr>
              <w:jc w:val="right"/>
              <w:rPr>
                <w:sz w:val="16"/>
                <w:szCs w:val="16"/>
              </w:rPr>
            </w:pPr>
            <w:r w:rsidRPr="0079074C">
              <w:rPr>
                <w:sz w:val="16"/>
                <w:szCs w:val="16"/>
              </w:rPr>
              <w:t>100.0</w:t>
            </w:r>
          </w:p>
        </w:tc>
        <w:tc>
          <w:tcPr>
            <w:tcW w:w="431" w:type="pct"/>
            <w:tcBorders>
              <w:top w:val="single" w:sz="4" w:space="0" w:color="auto"/>
              <w:left w:val="nil"/>
              <w:bottom w:val="single" w:sz="4" w:space="0" w:color="auto"/>
              <w:right w:val="nil"/>
            </w:tcBorders>
            <w:shd w:val="clear" w:color="auto" w:fill="E2EFD9" w:themeFill="accent6" w:themeFillTint="33"/>
            <w:noWrap/>
            <w:hideMark/>
          </w:tcPr>
          <w:p w14:paraId="7E4D348D" w14:textId="75047A74" w:rsidR="00272901" w:rsidRPr="0079074C" w:rsidRDefault="00272901" w:rsidP="00272901">
            <w:pPr>
              <w:jc w:val="right"/>
              <w:rPr>
                <w:sz w:val="16"/>
                <w:szCs w:val="16"/>
              </w:rPr>
            </w:pPr>
            <w:r w:rsidRPr="0079074C">
              <w:rPr>
                <w:sz w:val="16"/>
                <w:szCs w:val="16"/>
              </w:rPr>
              <w:t>100.0</w:t>
            </w:r>
          </w:p>
        </w:tc>
        <w:tc>
          <w:tcPr>
            <w:tcW w:w="305" w:type="pct"/>
            <w:tcBorders>
              <w:top w:val="single" w:sz="4" w:space="0" w:color="auto"/>
              <w:left w:val="nil"/>
              <w:bottom w:val="single" w:sz="4" w:space="0" w:color="auto"/>
              <w:right w:val="nil"/>
            </w:tcBorders>
            <w:shd w:val="clear" w:color="auto" w:fill="E2EFD9" w:themeFill="accent6" w:themeFillTint="33"/>
            <w:noWrap/>
            <w:hideMark/>
          </w:tcPr>
          <w:p w14:paraId="72E600DA" w14:textId="014BC2F3" w:rsidR="00272901" w:rsidRPr="0079074C" w:rsidRDefault="00272901" w:rsidP="00272901">
            <w:pPr>
              <w:jc w:val="right"/>
              <w:rPr>
                <w:sz w:val="16"/>
                <w:szCs w:val="16"/>
              </w:rPr>
            </w:pPr>
            <w:r w:rsidRPr="0079074C">
              <w:rPr>
                <w:sz w:val="16"/>
                <w:szCs w:val="16"/>
              </w:rPr>
              <w:t>100.0</w:t>
            </w:r>
          </w:p>
        </w:tc>
      </w:tr>
      <w:tr w:rsidR="006B42D6" w:rsidRPr="006B42D6" w14:paraId="33952798" w14:textId="77777777" w:rsidTr="0079074C">
        <w:trPr>
          <w:trHeight w:val="306"/>
        </w:trPr>
        <w:tc>
          <w:tcPr>
            <w:tcW w:w="913" w:type="pct"/>
            <w:tcBorders>
              <w:top w:val="nil"/>
              <w:left w:val="nil"/>
              <w:bottom w:val="nil"/>
              <w:right w:val="nil"/>
            </w:tcBorders>
            <w:shd w:val="clear" w:color="auto" w:fill="auto"/>
            <w:noWrap/>
            <w:vAlign w:val="center"/>
            <w:hideMark/>
          </w:tcPr>
          <w:p w14:paraId="4501CCF1" w14:textId="77777777" w:rsidR="00A32971" w:rsidRPr="0079074C" w:rsidRDefault="00A32971" w:rsidP="00AF7CD1">
            <w:pPr>
              <w:rPr>
                <w:sz w:val="16"/>
                <w:szCs w:val="16"/>
              </w:rPr>
            </w:pPr>
            <w:r w:rsidRPr="0079074C">
              <w:rPr>
                <w:sz w:val="16"/>
                <w:szCs w:val="16"/>
              </w:rPr>
              <w:t>Kaskazini-Unguja</w:t>
            </w:r>
          </w:p>
        </w:tc>
        <w:tc>
          <w:tcPr>
            <w:tcW w:w="370" w:type="pct"/>
            <w:tcBorders>
              <w:top w:val="nil"/>
              <w:left w:val="nil"/>
              <w:bottom w:val="nil"/>
              <w:right w:val="nil"/>
            </w:tcBorders>
            <w:shd w:val="clear" w:color="auto" w:fill="auto"/>
            <w:noWrap/>
            <w:vAlign w:val="center"/>
            <w:hideMark/>
          </w:tcPr>
          <w:p w14:paraId="71201616" w14:textId="77777777" w:rsidR="00A32971" w:rsidRPr="0079074C" w:rsidRDefault="00A32971" w:rsidP="00AF7CD1">
            <w:pPr>
              <w:jc w:val="right"/>
              <w:rPr>
                <w:sz w:val="16"/>
                <w:szCs w:val="16"/>
              </w:rPr>
            </w:pPr>
            <w:r w:rsidRPr="0079074C">
              <w:rPr>
                <w:sz w:val="16"/>
                <w:szCs w:val="16"/>
              </w:rPr>
              <w:t>7.1</w:t>
            </w:r>
          </w:p>
        </w:tc>
        <w:tc>
          <w:tcPr>
            <w:tcW w:w="324" w:type="pct"/>
            <w:tcBorders>
              <w:top w:val="nil"/>
              <w:left w:val="nil"/>
              <w:bottom w:val="nil"/>
              <w:right w:val="nil"/>
            </w:tcBorders>
            <w:shd w:val="clear" w:color="auto" w:fill="auto"/>
            <w:noWrap/>
            <w:vAlign w:val="center"/>
            <w:hideMark/>
          </w:tcPr>
          <w:p w14:paraId="76FC3057" w14:textId="77777777" w:rsidR="00A32971" w:rsidRPr="0079074C" w:rsidRDefault="00A32971" w:rsidP="00AF7CD1">
            <w:pPr>
              <w:jc w:val="right"/>
              <w:rPr>
                <w:sz w:val="16"/>
                <w:szCs w:val="16"/>
              </w:rPr>
            </w:pPr>
            <w:r w:rsidRPr="0079074C">
              <w:rPr>
                <w:sz w:val="16"/>
                <w:szCs w:val="16"/>
              </w:rPr>
              <w:t>12.5</w:t>
            </w:r>
          </w:p>
        </w:tc>
        <w:tc>
          <w:tcPr>
            <w:tcW w:w="488" w:type="pct"/>
            <w:tcBorders>
              <w:top w:val="nil"/>
              <w:left w:val="nil"/>
              <w:bottom w:val="nil"/>
              <w:right w:val="nil"/>
            </w:tcBorders>
            <w:shd w:val="clear" w:color="auto" w:fill="auto"/>
            <w:noWrap/>
            <w:vAlign w:val="center"/>
            <w:hideMark/>
          </w:tcPr>
          <w:p w14:paraId="43D77E9A" w14:textId="77777777" w:rsidR="00A32971" w:rsidRPr="0079074C" w:rsidRDefault="00A32971" w:rsidP="00AF7CD1">
            <w:pPr>
              <w:jc w:val="right"/>
              <w:rPr>
                <w:sz w:val="16"/>
                <w:szCs w:val="16"/>
              </w:rPr>
            </w:pPr>
            <w:r w:rsidRPr="0079074C">
              <w:rPr>
                <w:sz w:val="16"/>
                <w:szCs w:val="16"/>
              </w:rPr>
              <w:t>20.2</w:t>
            </w:r>
          </w:p>
        </w:tc>
        <w:tc>
          <w:tcPr>
            <w:tcW w:w="485" w:type="pct"/>
            <w:tcBorders>
              <w:top w:val="nil"/>
              <w:left w:val="nil"/>
              <w:bottom w:val="nil"/>
              <w:right w:val="nil"/>
            </w:tcBorders>
            <w:shd w:val="clear" w:color="auto" w:fill="auto"/>
            <w:noWrap/>
            <w:vAlign w:val="center"/>
            <w:hideMark/>
          </w:tcPr>
          <w:p w14:paraId="3D20C3AB" w14:textId="77777777" w:rsidR="00A32971" w:rsidRPr="0079074C" w:rsidRDefault="00A32971" w:rsidP="00AF7CD1">
            <w:pPr>
              <w:jc w:val="right"/>
              <w:rPr>
                <w:sz w:val="16"/>
                <w:szCs w:val="16"/>
              </w:rPr>
            </w:pPr>
            <w:r w:rsidRPr="0079074C">
              <w:rPr>
                <w:sz w:val="16"/>
                <w:szCs w:val="16"/>
              </w:rPr>
              <w:t>18.7</w:t>
            </w:r>
          </w:p>
        </w:tc>
        <w:tc>
          <w:tcPr>
            <w:tcW w:w="514" w:type="pct"/>
            <w:tcBorders>
              <w:top w:val="nil"/>
              <w:left w:val="nil"/>
              <w:bottom w:val="nil"/>
              <w:right w:val="nil"/>
            </w:tcBorders>
            <w:shd w:val="clear" w:color="auto" w:fill="auto"/>
            <w:noWrap/>
            <w:vAlign w:val="center"/>
            <w:hideMark/>
          </w:tcPr>
          <w:p w14:paraId="2CFF5C47" w14:textId="77777777" w:rsidR="00A32971" w:rsidRPr="0079074C" w:rsidRDefault="00A32971" w:rsidP="00AF7CD1">
            <w:pPr>
              <w:jc w:val="right"/>
              <w:rPr>
                <w:sz w:val="16"/>
                <w:szCs w:val="16"/>
              </w:rPr>
            </w:pPr>
            <w:r w:rsidRPr="0079074C">
              <w:rPr>
                <w:sz w:val="16"/>
                <w:szCs w:val="16"/>
              </w:rPr>
              <w:t>-</w:t>
            </w:r>
          </w:p>
        </w:tc>
        <w:tc>
          <w:tcPr>
            <w:tcW w:w="440" w:type="pct"/>
            <w:tcBorders>
              <w:top w:val="nil"/>
              <w:left w:val="nil"/>
              <w:bottom w:val="nil"/>
              <w:right w:val="nil"/>
            </w:tcBorders>
            <w:shd w:val="clear" w:color="auto" w:fill="auto"/>
            <w:noWrap/>
            <w:vAlign w:val="center"/>
            <w:hideMark/>
          </w:tcPr>
          <w:p w14:paraId="5B83CB82" w14:textId="688CAFDA" w:rsidR="00A32971" w:rsidRPr="0079074C" w:rsidRDefault="00A32971" w:rsidP="00AF7CD1">
            <w:pPr>
              <w:jc w:val="right"/>
              <w:rPr>
                <w:sz w:val="16"/>
                <w:szCs w:val="16"/>
              </w:rPr>
            </w:pPr>
            <w:r w:rsidRPr="0079074C">
              <w:rPr>
                <w:sz w:val="16"/>
                <w:szCs w:val="16"/>
              </w:rPr>
              <w:t>18</w:t>
            </w:r>
            <w:r w:rsidR="00272901" w:rsidRPr="0079074C">
              <w:rPr>
                <w:sz w:val="16"/>
                <w:szCs w:val="16"/>
              </w:rPr>
              <w:t>.0</w:t>
            </w:r>
          </w:p>
        </w:tc>
        <w:tc>
          <w:tcPr>
            <w:tcW w:w="365" w:type="pct"/>
            <w:tcBorders>
              <w:top w:val="nil"/>
              <w:left w:val="nil"/>
              <w:bottom w:val="nil"/>
              <w:right w:val="nil"/>
            </w:tcBorders>
            <w:shd w:val="clear" w:color="auto" w:fill="auto"/>
            <w:noWrap/>
            <w:vAlign w:val="center"/>
            <w:hideMark/>
          </w:tcPr>
          <w:p w14:paraId="6A233183" w14:textId="77777777" w:rsidR="00A32971" w:rsidRPr="0079074C" w:rsidRDefault="00A32971" w:rsidP="00AF7CD1">
            <w:pPr>
              <w:jc w:val="right"/>
              <w:rPr>
                <w:sz w:val="16"/>
                <w:szCs w:val="16"/>
              </w:rPr>
            </w:pPr>
            <w:r w:rsidRPr="0079074C">
              <w:rPr>
                <w:sz w:val="16"/>
                <w:szCs w:val="16"/>
              </w:rPr>
              <w:t>-</w:t>
            </w:r>
          </w:p>
        </w:tc>
        <w:tc>
          <w:tcPr>
            <w:tcW w:w="365" w:type="pct"/>
            <w:tcBorders>
              <w:top w:val="nil"/>
              <w:left w:val="nil"/>
              <w:bottom w:val="nil"/>
              <w:right w:val="nil"/>
            </w:tcBorders>
            <w:shd w:val="clear" w:color="auto" w:fill="auto"/>
            <w:noWrap/>
            <w:vAlign w:val="center"/>
            <w:hideMark/>
          </w:tcPr>
          <w:p w14:paraId="632F4F05" w14:textId="77777777" w:rsidR="00A32971" w:rsidRPr="0079074C" w:rsidRDefault="00A32971" w:rsidP="00AF7CD1">
            <w:pPr>
              <w:jc w:val="right"/>
              <w:rPr>
                <w:sz w:val="16"/>
                <w:szCs w:val="16"/>
              </w:rPr>
            </w:pPr>
            <w:r w:rsidRPr="0079074C">
              <w:rPr>
                <w:sz w:val="16"/>
                <w:szCs w:val="16"/>
              </w:rPr>
              <w:t>-</w:t>
            </w:r>
          </w:p>
        </w:tc>
        <w:tc>
          <w:tcPr>
            <w:tcW w:w="431" w:type="pct"/>
            <w:tcBorders>
              <w:top w:val="nil"/>
              <w:left w:val="nil"/>
              <w:bottom w:val="nil"/>
              <w:right w:val="nil"/>
            </w:tcBorders>
            <w:shd w:val="clear" w:color="auto" w:fill="auto"/>
            <w:noWrap/>
            <w:vAlign w:val="center"/>
            <w:hideMark/>
          </w:tcPr>
          <w:p w14:paraId="28F76A41" w14:textId="77777777" w:rsidR="00A32971" w:rsidRPr="0079074C" w:rsidRDefault="00A32971" w:rsidP="00AF7CD1">
            <w:pPr>
              <w:jc w:val="right"/>
              <w:rPr>
                <w:sz w:val="16"/>
                <w:szCs w:val="16"/>
              </w:rPr>
            </w:pPr>
            <w:r w:rsidRPr="0079074C">
              <w:rPr>
                <w:sz w:val="16"/>
                <w:szCs w:val="16"/>
              </w:rPr>
              <w:t>-</w:t>
            </w:r>
          </w:p>
        </w:tc>
        <w:tc>
          <w:tcPr>
            <w:tcW w:w="305" w:type="pct"/>
            <w:tcBorders>
              <w:top w:val="nil"/>
              <w:left w:val="nil"/>
              <w:bottom w:val="nil"/>
              <w:right w:val="nil"/>
            </w:tcBorders>
            <w:shd w:val="clear" w:color="auto" w:fill="auto"/>
            <w:noWrap/>
            <w:vAlign w:val="center"/>
            <w:hideMark/>
          </w:tcPr>
          <w:p w14:paraId="36B4079F" w14:textId="77777777" w:rsidR="00A32971" w:rsidRPr="0079074C" w:rsidRDefault="00A32971" w:rsidP="00AF7CD1">
            <w:pPr>
              <w:jc w:val="right"/>
              <w:rPr>
                <w:sz w:val="16"/>
                <w:szCs w:val="16"/>
              </w:rPr>
            </w:pPr>
            <w:r w:rsidRPr="0079074C">
              <w:rPr>
                <w:sz w:val="16"/>
                <w:szCs w:val="16"/>
              </w:rPr>
              <w:t>6.3</w:t>
            </w:r>
          </w:p>
        </w:tc>
      </w:tr>
      <w:tr w:rsidR="006B42D6" w:rsidRPr="006B42D6" w14:paraId="159BD3D7" w14:textId="77777777" w:rsidTr="0079074C">
        <w:trPr>
          <w:trHeight w:val="306"/>
        </w:trPr>
        <w:tc>
          <w:tcPr>
            <w:tcW w:w="913" w:type="pct"/>
            <w:tcBorders>
              <w:top w:val="nil"/>
              <w:left w:val="nil"/>
              <w:bottom w:val="nil"/>
              <w:right w:val="nil"/>
            </w:tcBorders>
            <w:shd w:val="clear" w:color="auto" w:fill="auto"/>
            <w:noWrap/>
            <w:vAlign w:val="center"/>
            <w:hideMark/>
          </w:tcPr>
          <w:p w14:paraId="7C1CBAF9" w14:textId="77777777" w:rsidR="00A32971" w:rsidRPr="0079074C" w:rsidRDefault="00A32971" w:rsidP="00AF7CD1">
            <w:pPr>
              <w:rPr>
                <w:sz w:val="16"/>
                <w:szCs w:val="16"/>
              </w:rPr>
            </w:pPr>
            <w:r w:rsidRPr="0079074C">
              <w:rPr>
                <w:sz w:val="16"/>
                <w:szCs w:val="16"/>
              </w:rPr>
              <w:t xml:space="preserve">Kusini Unguja </w:t>
            </w:r>
          </w:p>
        </w:tc>
        <w:tc>
          <w:tcPr>
            <w:tcW w:w="370" w:type="pct"/>
            <w:tcBorders>
              <w:top w:val="nil"/>
              <w:left w:val="nil"/>
              <w:bottom w:val="nil"/>
              <w:right w:val="nil"/>
            </w:tcBorders>
            <w:shd w:val="clear" w:color="auto" w:fill="auto"/>
            <w:noWrap/>
            <w:vAlign w:val="center"/>
            <w:hideMark/>
          </w:tcPr>
          <w:p w14:paraId="753DCA9B" w14:textId="77777777" w:rsidR="00A32971" w:rsidRPr="0079074C" w:rsidRDefault="00A32971" w:rsidP="00AF7CD1">
            <w:pPr>
              <w:jc w:val="right"/>
              <w:rPr>
                <w:sz w:val="16"/>
                <w:szCs w:val="16"/>
              </w:rPr>
            </w:pPr>
            <w:r w:rsidRPr="0079074C">
              <w:rPr>
                <w:sz w:val="16"/>
                <w:szCs w:val="16"/>
              </w:rPr>
              <w:t>50.9</w:t>
            </w:r>
          </w:p>
        </w:tc>
        <w:tc>
          <w:tcPr>
            <w:tcW w:w="324" w:type="pct"/>
            <w:tcBorders>
              <w:top w:val="nil"/>
              <w:left w:val="nil"/>
              <w:bottom w:val="nil"/>
              <w:right w:val="nil"/>
            </w:tcBorders>
            <w:shd w:val="clear" w:color="auto" w:fill="auto"/>
            <w:noWrap/>
            <w:vAlign w:val="center"/>
            <w:hideMark/>
          </w:tcPr>
          <w:p w14:paraId="5E9288BA" w14:textId="77777777" w:rsidR="00A32971" w:rsidRPr="0079074C" w:rsidRDefault="00A32971" w:rsidP="00AF7CD1">
            <w:pPr>
              <w:jc w:val="right"/>
              <w:rPr>
                <w:sz w:val="16"/>
                <w:szCs w:val="16"/>
              </w:rPr>
            </w:pPr>
            <w:r w:rsidRPr="0079074C">
              <w:rPr>
                <w:sz w:val="16"/>
                <w:szCs w:val="16"/>
              </w:rPr>
              <w:t>35.9</w:t>
            </w:r>
          </w:p>
        </w:tc>
        <w:tc>
          <w:tcPr>
            <w:tcW w:w="488" w:type="pct"/>
            <w:tcBorders>
              <w:top w:val="nil"/>
              <w:left w:val="nil"/>
              <w:bottom w:val="nil"/>
              <w:right w:val="nil"/>
            </w:tcBorders>
            <w:shd w:val="clear" w:color="auto" w:fill="auto"/>
            <w:noWrap/>
            <w:vAlign w:val="center"/>
            <w:hideMark/>
          </w:tcPr>
          <w:p w14:paraId="3694417B" w14:textId="77777777" w:rsidR="00A32971" w:rsidRPr="0079074C" w:rsidRDefault="00A32971" w:rsidP="00AF7CD1">
            <w:pPr>
              <w:jc w:val="right"/>
              <w:rPr>
                <w:sz w:val="16"/>
                <w:szCs w:val="16"/>
              </w:rPr>
            </w:pPr>
            <w:r w:rsidRPr="0079074C">
              <w:rPr>
                <w:sz w:val="16"/>
                <w:szCs w:val="16"/>
              </w:rPr>
              <w:t>34.4</w:t>
            </w:r>
          </w:p>
        </w:tc>
        <w:tc>
          <w:tcPr>
            <w:tcW w:w="485" w:type="pct"/>
            <w:tcBorders>
              <w:top w:val="nil"/>
              <w:left w:val="nil"/>
              <w:bottom w:val="nil"/>
              <w:right w:val="nil"/>
            </w:tcBorders>
            <w:shd w:val="clear" w:color="auto" w:fill="auto"/>
            <w:noWrap/>
            <w:vAlign w:val="center"/>
            <w:hideMark/>
          </w:tcPr>
          <w:p w14:paraId="70A0D376" w14:textId="77777777" w:rsidR="00A32971" w:rsidRPr="0079074C" w:rsidRDefault="00A32971" w:rsidP="00AF7CD1">
            <w:pPr>
              <w:jc w:val="right"/>
              <w:rPr>
                <w:sz w:val="16"/>
                <w:szCs w:val="16"/>
              </w:rPr>
            </w:pPr>
            <w:r w:rsidRPr="0079074C">
              <w:rPr>
                <w:sz w:val="16"/>
                <w:szCs w:val="16"/>
              </w:rPr>
              <w:t>32.2</w:t>
            </w:r>
          </w:p>
        </w:tc>
        <w:tc>
          <w:tcPr>
            <w:tcW w:w="514" w:type="pct"/>
            <w:tcBorders>
              <w:top w:val="nil"/>
              <w:left w:val="nil"/>
              <w:bottom w:val="nil"/>
              <w:right w:val="nil"/>
            </w:tcBorders>
            <w:shd w:val="clear" w:color="auto" w:fill="auto"/>
            <w:noWrap/>
            <w:vAlign w:val="center"/>
            <w:hideMark/>
          </w:tcPr>
          <w:p w14:paraId="64DD5684" w14:textId="77777777" w:rsidR="00A32971" w:rsidRPr="0079074C" w:rsidRDefault="00A32971" w:rsidP="00AF7CD1">
            <w:pPr>
              <w:jc w:val="right"/>
              <w:rPr>
                <w:sz w:val="16"/>
                <w:szCs w:val="16"/>
              </w:rPr>
            </w:pPr>
            <w:r w:rsidRPr="0079074C">
              <w:rPr>
                <w:sz w:val="16"/>
                <w:szCs w:val="16"/>
              </w:rPr>
              <w:t>26.5</w:t>
            </w:r>
          </w:p>
        </w:tc>
        <w:tc>
          <w:tcPr>
            <w:tcW w:w="440" w:type="pct"/>
            <w:tcBorders>
              <w:top w:val="nil"/>
              <w:left w:val="nil"/>
              <w:bottom w:val="nil"/>
              <w:right w:val="nil"/>
            </w:tcBorders>
            <w:shd w:val="clear" w:color="auto" w:fill="auto"/>
            <w:noWrap/>
            <w:vAlign w:val="center"/>
            <w:hideMark/>
          </w:tcPr>
          <w:p w14:paraId="1A4D0183" w14:textId="77777777" w:rsidR="00A32971" w:rsidRPr="0079074C" w:rsidRDefault="00A32971" w:rsidP="00AF7CD1">
            <w:pPr>
              <w:jc w:val="right"/>
              <w:rPr>
                <w:sz w:val="16"/>
                <w:szCs w:val="16"/>
              </w:rPr>
            </w:pPr>
            <w:r w:rsidRPr="0079074C">
              <w:rPr>
                <w:sz w:val="16"/>
                <w:szCs w:val="16"/>
              </w:rPr>
              <w:t>39.7</w:t>
            </w:r>
          </w:p>
        </w:tc>
        <w:tc>
          <w:tcPr>
            <w:tcW w:w="365" w:type="pct"/>
            <w:tcBorders>
              <w:top w:val="nil"/>
              <w:left w:val="nil"/>
              <w:bottom w:val="nil"/>
              <w:right w:val="nil"/>
            </w:tcBorders>
            <w:shd w:val="clear" w:color="auto" w:fill="auto"/>
            <w:noWrap/>
            <w:vAlign w:val="center"/>
            <w:hideMark/>
          </w:tcPr>
          <w:p w14:paraId="173FC639" w14:textId="41F7F7B1" w:rsidR="00A32971" w:rsidRPr="0079074C" w:rsidRDefault="00A32971" w:rsidP="00AF7CD1">
            <w:pPr>
              <w:jc w:val="right"/>
              <w:rPr>
                <w:sz w:val="16"/>
                <w:szCs w:val="16"/>
              </w:rPr>
            </w:pPr>
            <w:r w:rsidRPr="0079074C">
              <w:rPr>
                <w:sz w:val="16"/>
                <w:szCs w:val="16"/>
              </w:rPr>
              <w:t>100</w:t>
            </w:r>
            <w:r w:rsidR="00272901" w:rsidRPr="0079074C">
              <w:rPr>
                <w:sz w:val="16"/>
                <w:szCs w:val="16"/>
              </w:rPr>
              <w:t>.0</w:t>
            </w:r>
          </w:p>
        </w:tc>
        <w:tc>
          <w:tcPr>
            <w:tcW w:w="365" w:type="pct"/>
            <w:tcBorders>
              <w:top w:val="nil"/>
              <w:left w:val="nil"/>
              <w:bottom w:val="nil"/>
              <w:right w:val="nil"/>
            </w:tcBorders>
            <w:shd w:val="clear" w:color="auto" w:fill="auto"/>
            <w:noWrap/>
            <w:vAlign w:val="center"/>
            <w:hideMark/>
          </w:tcPr>
          <w:p w14:paraId="04A44510" w14:textId="74A0DD49" w:rsidR="00A32971" w:rsidRPr="0079074C" w:rsidRDefault="00A32971" w:rsidP="00AF7CD1">
            <w:pPr>
              <w:jc w:val="right"/>
              <w:rPr>
                <w:sz w:val="16"/>
                <w:szCs w:val="16"/>
              </w:rPr>
            </w:pPr>
            <w:r w:rsidRPr="0079074C">
              <w:rPr>
                <w:sz w:val="16"/>
                <w:szCs w:val="16"/>
              </w:rPr>
              <w:t>100</w:t>
            </w:r>
            <w:r w:rsidR="00272901" w:rsidRPr="0079074C">
              <w:rPr>
                <w:sz w:val="16"/>
                <w:szCs w:val="16"/>
              </w:rPr>
              <w:t>.0</w:t>
            </w:r>
          </w:p>
        </w:tc>
        <w:tc>
          <w:tcPr>
            <w:tcW w:w="431" w:type="pct"/>
            <w:tcBorders>
              <w:top w:val="nil"/>
              <w:left w:val="nil"/>
              <w:bottom w:val="nil"/>
              <w:right w:val="nil"/>
            </w:tcBorders>
            <w:shd w:val="clear" w:color="auto" w:fill="auto"/>
            <w:noWrap/>
            <w:vAlign w:val="center"/>
            <w:hideMark/>
          </w:tcPr>
          <w:p w14:paraId="2CFA2DD0" w14:textId="77777777" w:rsidR="00A32971" w:rsidRPr="0079074C" w:rsidRDefault="00A32971" w:rsidP="00AF7CD1">
            <w:pPr>
              <w:jc w:val="right"/>
              <w:rPr>
                <w:sz w:val="16"/>
                <w:szCs w:val="16"/>
              </w:rPr>
            </w:pPr>
            <w:r w:rsidRPr="0079074C">
              <w:rPr>
                <w:sz w:val="16"/>
                <w:szCs w:val="16"/>
              </w:rPr>
              <w:t>15.9</w:t>
            </w:r>
          </w:p>
        </w:tc>
        <w:tc>
          <w:tcPr>
            <w:tcW w:w="305" w:type="pct"/>
            <w:tcBorders>
              <w:top w:val="nil"/>
              <w:left w:val="nil"/>
              <w:bottom w:val="nil"/>
              <w:right w:val="nil"/>
            </w:tcBorders>
            <w:shd w:val="clear" w:color="auto" w:fill="auto"/>
            <w:noWrap/>
            <w:vAlign w:val="center"/>
            <w:hideMark/>
          </w:tcPr>
          <w:p w14:paraId="14BC447B" w14:textId="77777777" w:rsidR="00A32971" w:rsidRPr="0079074C" w:rsidRDefault="00A32971" w:rsidP="00AF7CD1">
            <w:pPr>
              <w:jc w:val="right"/>
              <w:rPr>
                <w:sz w:val="16"/>
                <w:szCs w:val="16"/>
              </w:rPr>
            </w:pPr>
            <w:r w:rsidRPr="0079074C">
              <w:rPr>
                <w:sz w:val="16"/>
                <w:szCs w:val="16"/>
              </w:rPr>
              <w:t>81.3</w:t>
            </w:r>
          </w:p>
        </w:tc>
      </w:tr>
      <w:tr w:rsidR="006B42D6" w:rsidRPr="006B42D6" w14:paraId="568202A3" w14:textId="77777777" w:rsidTr="0079074C">
        <w:trPr>
          <w:trHeight w:val="306"/>
        </w:trPr>
        <w:tc>
          <w:tcPr>
            <w:tcW w:w="913" w:type="pct"/>
            <w:tcBorders>
              <w:top w:val="nil"/>
              <w:left w:val="nil"/>
              <w:bottom w:val="nil"/>
              <w:right w:val="nil"/>
            </w:tcBorders>
            <w:shd w:val="clear" w:color="auto" w:fill="auto"/>
            <w:noWrap/>
            <w:vAlign w:val="center"/>
            <w:hideMark/>
          </w:tcPr>
          <w:p w14:paraId="161A9894" w14:textId="77777777" w:rsidR="00A32971" w:rsidRPr="0079074C" w:rsidRDefault="00A32971" w:rsidP="00AF7CD1">
            <w:pPr>
              <w:rPr>
                <w:sz w:val="16"/>
                <w:szCs w:val="16"/>
              </w:rPr>
            </w:pPr>
            <w:r w:rsidRPr="0079074C">
              <w:rPr>
                <w:sz w:val="16"/>
                <w:szCs w:val="16"/>
              </w:rPr>
              <w:t xml:space="preserve">Mjini Magharibi </w:t>
            </w:r>
          </w:p>
        </w:tc>
        <w:tc>
          <w:tcPr>
            <w:tcW w:w="370" w:type="pct"/>
            <w:tcBorders>
              <w:top w:val="nil"/>
              <w:left w:val="nil"/>
              <w:bottom w:val="nil"/>
              <w:right w:val="nil"/>
            </w:tcBorders>
            <w:shd w:val="clear" w:color="auto" w:fill="auto"/>
            <w:noWrap/>
            <w:vAlign w:val="center"/>
            <w:hideMark/>
          </w:tcPr>
          <w:p w14:paraId="155C2575" w14:textId="50E0A313" w:rsidR="00A32971" w:rsidRPr="0079074C" w:rsidRDefault="00A32971" w:rsidP="00AF7CD1">
            <w:pPr>
              <w:jc w:val="right"/>
              <w:rPr>
                <w:sz w:val="16"/>
                <w:szCs w:val="16"/>
              </w:rPr>
            </w:pPr>
            <w:r w:rsidRPr="0079074C">
              <w:rPr>
                <w:sz w:val="16"/>
                <w:szCs w:val="16"/>
              </w:rPr>
              <w:t>14</w:t>
            </w:r>
            <w:r w:rsidR="00272901" w:rsidRPr="0079074C">
              <w:rPr>
                <w:sz w:val="16"/>
                <w:szCs w:val="16"/>
              </w:rPr>
              <w:t>.0</w:t>
            </w:r>
          </w:p>
        </w:tc>
        <w:tc>
          <w:tcPr>
            <w:tcW w:w="324" w:type="pct"/>
            <w:tcBorders>
              <w:top w:val="nil"/>
              <w:left w:val="nil"/>
              <w:bottom w:val="nil"/>
              <w:right w:val="nil"/>
            </w:tcBorders>
            <w:shd w:val="clear" w:color="auto" w:fill="auto"/>
            <w:noWrap/>
            <w:vAlign w:val="center"/>
            <w:hideMark/>
          </w:tcPr>
          <w:p w14:paraId="0B15BC1E" w14:textId="3C86B299" w:rsidR="00A32971" w:rsidRPr="0079074C" w:rsidRDefault="00A32971" w:rsidP="00AF7CD1">
            <w:pPr>
              <w:jc w:val="right"/>
              <w:rPr>
                <w:sz w:val="16"/>
                <w:szCs w:val="16"/>
              </w:rPr>
            </w:pPr>
            <w:r w:rsidRPr="0079074C">
              <w:rPr>
                <w:sz w:val="16"/>
                <w:szCs w:val="16"/>
              </w:rPr>
              <w:t>34</w:t>
            </w:r>
            <w:r w:rsidR="00272901" w:rsidRPr="0079074C">
              <w:rPr>
                <w:sz w:val="16"/>
                <w:szCs w:val="16"/>
              </w:rPr>
              <w:t>.0</w:t>
            </w:r>
          </w:p>
        </w:tc>
        <w:tc>
          <w:tcPr>
            <w:tcW w:w="488" w:type="pct"/>
            <w:tcBorders>
              <w:top w:val="nil"/>
              <w:left w:val="nil"/>
              <w:bottom w:val="nil"/>
              <w:right w:val="nil"/>
            </w:tcBorders>
            <w:shd w:val="clear" w:color="auto" w:fill="auto"/>
            <w:noWrap/>
            <w:vAlign w:val="center"/>
            <w:hideMark/>
          </w:tcPr>
          <w:p w14:paraId="5BDE90BB" w14:textId="77777777" w:rsidR="00A32971" w:rsidRPr="0079074C" w:rsidRDefault="00A32971" w:rsidP="00AF7CD1">
            <w:pPr>
              <w:jc w:val="right"/>
              <w:rPr>
                <w:sz w:val="16"/>
                <w:szCs w:val="16"/>
              </w:rPr>
            </w:pPr>
            <w:r w:rsidRPr="0079074C">
              <w:rPr>
                <w:sz w:val="16"/>
                <w:szCs w:val="16"/>
              </w:rPr>
              <w:t>22.6</w:t>
            </w:r>
          </w:p>
        </w:tc>
        <w:tc>
          <w:tcPr>
            <w:tcW w:w="485" w:type="pct"/>
            <w:tcBorders>
              <w:top w:val="nil"/>
              <w:left w:val="nil"/>
              <w:bottom w:val="nil"/>
              <w:right w:val="nil"/>
            </w:tcBorders>
            <w:shd w:val="clear" w:color="auto" w:fill="auto"/>
            <w:noWrap/>
            <w:vAlign w:val="center"/>
            <w:hideMark/>
          </w:tcPr>
          <w:p w14:paraId="04633ADE" w14:textId="0AC6B9F0" w:rsidR="00A32971" w:rsidRPr="0079074C" w:rsidRDefault="00A32971" w:rsidP="00AF7CD1">
            <w:pPr>
              <w:jc w:val="right"/>
              <w:rPr>
                <w:sz w:val="16"/>
                <w:szCs w:val="16"/>
              </w:rPr>
            </w:pPr>
            <w:r w:rsidRPr="0079074C">
              <w:rPr>
                <w:sz w:val="16"/>
                <w:szCs w:val="16"/>
              </w:rPr>
              <w:t>31</w:t>
            </w:r>
            <w:r w:rsidR="00272901" w:rsidRPr="0079074C">
              <w:rPr>
                <w:sz w:val="16"/>
                <w:szCs w:val="16"/>
              </w:rPr>
              <w:t>.0</w:t>
            </w:r>
          </w:p>
        </w:tc>
        <w:tc>
          <w:tcPr>
            <w:tcW w:w="514" w:type="pct"/>
            <w:tcBorders>
              <w:top w:val="nil"/>
              <w:left w:val="nil"/>
              <w:bottom w:val="nil"/>
              <w:right w:val="nil"/>
            </w:tcBorders>
            <w:shd w:val="clear" w:color="auto" w:fill="auto"/>
            <w:noWrap/>
            <w:vAlign w:val="center"/>
            <w:hideMark/>
          </w:tcPr>
          <w:p w14:paraId="6DD5FD75" w14:textId="77777777" w:rsidR="00A32971" w:rsidRPr="0079074C" w:rsidRDefault="00A32971" w:rsidP="00AF7CD1">
            <w:pPr>
              <w:jc w:val="right"/>
              <w:rPr>
                <w:sz w:val="16"/>
                <w:szCs w:val="16"/>
              </w:rPr>
            </w:pPr>
            <w:r w:rsidRPr="0079074C">
              <w:rPr>
                <w:sz w:val="16"/>
                <w:szCs w:val="16"/>
              </w:rPr>
              <w:t>48.4</w:t>
            </w:r>
          </w:p>
        </w:tc>
        <w:tc>
          <w:tcPr>
            <w:tcW w:w="440" w:type="pct"/>
            <w:tcBorders>
              <w:top w:val="nil"/>
              <w:left w:val="nil"/>
              <w:bottom w:val="nil"/>
              <w:right w:val="nil"/>
            </w:tcBorders>
            <w:shd w:val="clear" w:color="auto" w:fill="auto"/>
            <w:noWrap/>
            <w:vAlign w:val="center"/>
            <w:hideMark/>
          </w:tcPr>
          <w:p w14:paraId="45697527" w14:textId="77777777" w:rsidR="00A32971" w:rsidRPr="0079074C" w:rsidRDefault="00A32971" w:rsidP="00AF7CD1">
            <w:pPr>
              <w:jc w:val="right"/>
              <w:rPr>
                <w:sz w:val="16"/>
                <w:szCs w:val="16"/>
              </w:rPr>
            </w:pPr>
            <w:r w:rsidRPr="0079074C">
              <w:rPr>
                <w:sz w:val="16"/>
                <w:szCs w:val="16"/>
              </w:rPr>
              <w:t>42.2</w:t>
            </w:r>
          </w:p>
        </w:tc>
        <w:tc>
          <w:tcPr>
            <w:tcW w:w="365" w:type="pct"/>
            <w:tcBorders>
              <w:top w:val="nil"/>
              <w:left w:val="nil"/>
              <w:bottom w:val="nil"/>
              <w:right w:val="nil"/>
            </w:tcBorders>
            <w:shd w:val="clear" w:color="auto" w:fill="auto"/>
            <w:noWrap/>
            <w:vAlign w:val="center"/>
            <w:hideMark/>
          </w:tcPr>
          <w:p w14:paraId="79C0388C" w14:textId="77777777" w:rsidR="00A32971" w:rsidRPr="0079074C" w:rsidRDefault="00A32971" w:rsidP="00AF7CD1">
            <w:pPr>
              <w:jc w:val="right"/>
              <w:rPr>
                <w:sz w:val="16"/>
                <w:szCs w:val="16"/>
              </w:rPr>
            </w:pPr>
            <w:r w:rsidRPr="0079074C">
              <w:rPr>
                <w:sz w:val="16"/>
                <w:szCs w:val="16"/>
              </w:rPr>
              <w:t>-</w:t>
            </w:r>
          </w:p>
        </w:tc>
        <w:tc>
          <w:tcPr>
            <w:tcW w:w="365" w:type="pct"/>
            <w:tcBorders>
              <w:top w:val="nil"/>
              <w:left w:val="nil"/>
              <w:bottom w:val="nil"/>
              <w:right w:val="nil"/>
            </w:tcBorders>
            <w:shd w:val="clear" w:color="auto" w:fill="auto"/>
            <w:noWrap/>
            <w:vAlign w:val="center"/>
            <w:hideMark/>
          </w:tcPr>
          <w:p w14:paraId="5E465BD4" w14:textId="77777777" w:rsidR="00A32971" w:rsidRPr="0079074C" w:rsidRDefault="00A32971" w:rsidP="00AF7CD1">
            <w:pPr>
              <w:jc w:val="right"/>
              <w:rPr>
                <w:sz w:val="16"/>
                <w:szCs w:val="16"/>
              </w:rPr>
            </w:pPr>
            <w:r w:rsidRPr="0079074C">
              <w:rPr>
                <w:sz w:val="16"/>
                <w:szCs w:val="16"/>
              </w:rPr>
              <w:t>-</w:t>
            </w:r>
          </w:p>
        </w:tc>
        <w:tc>
          <w:tcPr>
            <w:tcW w:w="431" w:type="pct"/>
            <w:tcBorders>
              <w:top w:val="nil"/>
              <w:left w:val="nil"/>
              <w:bottom w:val="nil"/>
              <w:right w:val="nil"/>
            </w:tcBorders>
            <w:shd w:val="clear" w:color="auto" w:fill="auto"/>
            <w:noWrap/>
            <w:vAlign w:val="center"/>
            <w:hideMark/>
          </w:tcPr>
          <w:p w14:paraId="4C3DAF5A" w14:textId="77777777" w:rsidR="00A32971" w:rsidRPr="0079074C" w:rsidRDefault="00A32971" w:rsidP="00AF7CD1">
            <w:pPr>
              <w:jc w:val="right"/>
              <w:rPr>
                <w:sz w:val="16"/>
                <w:szCs w:val="16"/>
              </w:rPr>
            </w:pPr>
            <w:r w:rsidRPr="0079074C">
              <w:rPr>
                <w:sz w:val="16"/>
                <w:szCs w:val="16"/>
              </w:rPr>
              <w:t>84.1</w:t>
            </w:r>
          </w:p>
        </w:tc>
        <w:tc>
          <w:tcPr>
            <w:tcW w:w="305" w:type="pct"/>
            <w:tcBorders>
              <w:top w:val="nil"/>
              <w:left w:val="nil"/>
              <w:bottom w:val="nil"/>
              <w:right w:val="nil"/>
            </w:tcBorders>
            <w:shd w:val="clear" w:color="auto" w:fill="auto"/>
            <w:noWrap/>
            <w:vAlign w:val="center"/>
            <w:hideMark/>
          </w:tcPr>
          <w:p w14:paraId="757CF9A4" w14:textId="77777777" w:rsidR="00A32971" w:rsidRPr="0079074C" w:rsidRDefault="00A32971" w:rsidP="00AF7CD1">
            <w:pPr>
              <w:jc w:val="right"/>
              <w:rPr>
                <w:sz w:val="16"/>
                <w:szCs w:val="16"/>
              </w:rPr>
            </w:pPr>
            <w:r w:rsidRPr="0079074C">
              <w:rPr>
                <w:sz w:val="16"/>
                <w:szCs w:val="16"/>
              </w:rPr>
              <w:t>12.4</w:t>
            </w:r>
          </w:p>
        </w:tc>
      </w:tr>
      <w:tr w:rsidR="006B42D6" w:rsidRPr="006B42D6" w14:paraId="7FF21DA5" w14:textId="77777777" w:rsidTr="0079074C">
        <w:trPr>
          <w:trHeight w:val="306"/>
        </w:trPr>
        <w:tc>
          <w:tcPr>
            <w:tcW w:w="913" w:type="pct"/>
            <w:tcBorders>
              <w:top w:val="nil"/>
              <w:left w:val="nil"/>
              <w:bottom w:val="nil"/>
              <w:right w:val="nil"/>
            </w:tcBorders>
            <w:shd w:val="clear" w:color="auto" w:fill="auto"/>
            <w:noWrap/>
            <w:vAlign w:val="center"/>
            <w:hideMark/>
          </w:tcPr>
          <w:p w14:paraId="54ABFD02" w14:textId="05DD2223" w:rsidR="00A32971" w:rsidRPr="0079074C" w:rsidRDefault="00A32971" w:rsidP="00AF7CD1">
            <w:pPr>
              <w:rPr>
                <w:sz w:val="16"/>
                <w:szCs w:val="16"/>
              </w:rPr>
            </w:pPr>
            <w:r w:rsidRPr="0079074C">
              <w:rPr>
                <w:sz w:val="16"/>
                <w:szCs w:val="16"/>
              </w:rPr>
              <w:t>Kaskazini</w:t>
            </w:r>
            <w:r w:rsidR="00565D92" w:rsidRPr="0079074C">
              <w:rPr>
                <w:sz w:val="16"/>
                <w:szCs w:val="16"/>
              </w:rPr>
              <w:t xml:space="preserve"> </w:t>
            </w:r>
            <w:r w:rsidRPr="0079074C">
              <w:rPr>
                <w:sz w:val="16"/>
                <w:szCs w:val="16"/>
              </w:rPr>
              <w:t>Pemba</w:t>
            </w:r>
          </w:p>
        </w:tc>
        <w:tc>
          <w:tcPr>
            <w:tcW w:w="370" w:type="pct"/>
            <w:tcBorders>
              <w:top w:val="nil"/>
              <w:left w:val="nil"/>
              <w:bottom w:val="nil"/>
              <w:right w:val="nil"/>
            </w:tcBorders>
            <w:shd w:val="clear" w:color="auto" w:fill="auto"/>
            <w:noWrap/>
            <w:vAlign w:val="center"/>
            <w:hideMark/>
          </w:tcPr>
          <w:p w14:paraId="65160EBD" w14:textId="77777777" w:rsidR="00A32971" w:rsidRPr="0079074C" w:rsidRDefault="00A32971" w:rsidP="00AF7CD1">
            <w:pPr>
              <w:jc w:val="right"/>
              <w:rPr>
                <w:sz w:val="16"/>
                <w:szCs w:val="16"/>
              </w:rPr>
            </w:pPr>
            <w:r w:rsidRPr="0079074C">
              <w:rPr>
                <w:sz w:val="16"/>
                <w:szCs w:val="16"/>
              </w:rPr>
              <w:t>10.5</w:t>
            </w:r>
          </w:p>
        </w:tc>
        <w:tc>
          <w:tcPr>
            <w:tcW w:w="324" w:type="pct"/>
            <w:tcBorders>
              <w:top w:val="nil"/>
              <w:left w:val="nil"/>
              <w:bottom w:val="nil"/>
              <w:right w:val="nil"/>
            </w:tcBorders>
            <w:shd w:val="clear" w:color="auto" w:fill="auto"/>
            <w:noWrap/>
            <w:vAlign w:val="center"/>
            <w:hideMark/>
          </w:tcPr>
          <w:p w14:paraId="1A4060C6" w14:textId="77777777" w:rsidR="00A32971" w:rsidRPr="0079074C" w:rsidRDefault="00A32971" w:rsidP="00AF7CD1">
            <w:pPr>
              <w:jc w:val="right"/>
              <w:rPr>
                <w:sz w:val="16"/>
                <w:szCs w:val="16"/>
              </w:rPr>
            </w:pPr>
            <w:r w:rsidRPr="0079074C">
              <w:rPr>
                <w:sz w:val="16"/>
                <w:szCs w:val="16"/>
              </w:rPr>
              <w:t>12.5</w:t>
            </w:r>
          </w:p>
        </w:tc>
        <w:tc>
          <w:tcPr>
            <w:tcW w:w="488" w:type="pct"/>
            <w:tcBorders>
              <w:top w:val="nil"/>
              <w:left w:val="nil"/>
              <w:bottom w:val="nil"/>
              <w:right w:val="nil"/>
            </w:tcBorders>
            <w:shd w:val="clear" w:color="auto" w:fill="auto"/>
            <w:noWrap/>
            <w:vAlign w:val="center"/>
            <w:hideMark/>
          </w:tcPr>
          <w:p w14:paraId="32CD45ED" w14:textId="77777777" w:rsidR="00A32971" w:rsidRPr="0079074C" w:rsidRDefault="00A32971" w:rsidP="00AF7CD1">
            <w:pPr>
              <w:jc w:val="right"/>
              <w:rPr>
                <w:sz w:val="16"/>
                <w:szCs w:val="16"/>
              </w:rPr>
            </w:pPr>
            <w:r w:rsidRPr="0079074C">
              <w:rPr>
                <w:sz w:val="16"/>
                <w:szCs w:val="16"/>
              </w:rPr>
              <w:t>6.6</w:t>
            </w:r>
          </w:p>
        </w:tc>
        <w:tc>
          <w:tcPr>
            <w:tcW w:w="485" w:type="pct"/>
            <w:tcBorders>
              <w:top w:val="nil"/>
              <w:left w:val="nil"/>
              <w:bottom w:val="nil"/>
              <w:right w:val="nil"/>
            </w:tcBorders>
            <w:shd w:val="clear" w:color="auto" w:fill="auto"/>
            <w:noWrap/>
            <w:vAlign w:val="center"/>
            <w:hideMark/>
          </w:tcPr>
          <w:p w14:paraId="08005F35" w14:textId="77777777" w:rsidR="00A32971" w:rsidRPr="0079074C" w:rsidRDefault="00A32971" w:rsidP="00AF7CD1">
            <w:pPr>
              <w:jc w:val="right"/>
              <w:rPr>
                <w:sz w:val="16"/>
                <w:szCs w:val="16"/>
              </w:rPr>
            </w:pPr>
            <w:r w:rsidRPr="0079074C">
              <w:rPr>
                <w:sz w:val="16"/>
                <w:szCs w:val="16"/>
              </w:rPr>
              <w:t>5.2</w:t>
            </w:r>
          </w:p>
        </w:tc>
        <w:tc>
          <w:tcPr>
            <w:tcW w:w="514" w:type="pct"/>
            <w:tcBorders>
              <w:top w:val="nil"/>
              <w:left w:val="nil"/>
              <w:bottom w:val="nil"/>
              <w:right w:val="nil"/>
            </w:tcBorders>
            <w:shd w:val="clear" w:color="auto" w:fill="auto"/>
            <w:noWrap/>
            <w:vAlign w:val="center"/>
            <w:hideMark/>
          </w:tcPr>
          <w:p w14:paraId="11511A05" w14:textId="414F8742" w:rsidR="00A32971" w:rsidRPr="0079074C" w:rsidRDefault="00A32971" w:rsidP="00AF7CD1">
            <w:pPr>
              <w:jc w:val="right"/>
              <w:rPr>
                <w:sz w:val="16"/>
                <w:szCs w:val="16"/>
              </w:rPr>
            </w:pPr>
            <w:r w:rsidRPr="0079074C">
              <w:rPr>
                <w:sz w:val="16"/>
                <w:szCs w:val="16"/>
              </w:rPr>
              <w:t>25</w:t>
            </w:r>
            <w:r w:rsidR="00272901" w:rsidRPr="0079074C">
              <w:rPr>
                <w:sz w:val="16"/>
                <w:szCs w:val="16"/>
              </w:rPr>
              <w:t>.0</w:t>
            </w:r>
          </w:p>
        </w:tc>
        <w:tc>
          <w:tcPr>
            <w:tcW w:w="440" w:type="pct"/>
            <w:tcBorders>
              <w:top w:val="nil"/>
              <w:left w:val="nil"/>
              <w:bottom w:val="nil"/>
              <w:right w:val="nil"/>
            </w:tcBorders>
            <w:shd w:val="clear" w:color="auto" w:fill="auto"/>
            <w:noWrap/>
            <w:vAlign w:val="center"/>
            <w:hideMark/>
          </w:tcPr>
          <w:p w14:paraId="6F5FFA45" w14:textId="77777777" w:rsidR="00A32971" w:rsidRPr="0079074C" w:rsidRDefault="00A32971" w:rsidP="00AF7CD1">
            <w:pPr>
              <w:jc w:val="right"/>
              <w:rPr>
                <w:sz w:val="16"/>
                <w:szCs w:val="16"/>
              </w:rPr>
            </w:pPr>
            <w:r w:rsidRPr="0079074C">
              <w:rPr>
                <w:sz w:val="16"/>
                <w:szCs w:val="16"/>
              </w:rPr>
              <w:t>-</w:t>
            </w:r>
          </w:p>
        </w:tc>
        <w:tc>
          <w:tcPr>
            <w:tcW w:w="365" w:type="pct"/>
            <w:tcBorders>
              <w:top w:val="nil"/>
              <w:left w:val="nil"/>
              <w:bottom w:val="nil"/>
              <w:right w:val="nil"/>
            </w:tcBorders>
            <w:shd w:val="clear" w:color="auto" w:fill="auto"/>
            <w:noWrap/>
            <w:vAlign w:val="center"/>
            <w:hideMark/>
          </w:tcPr>
          <w:p w14:paraId="50111BB5" w14:textId="77777777" w:rsidR="00A32971" w:rsidRPr="0079074C" w:rsidRDefault="00A32971" w:rsidP="00AF7CD1">
            <w:pPr>
              <w:jc w:val="right"/>
              <w:rPr>
                <w:sz w:val="16"/>
                <w:szCs w:val="16"/>
              </w:rPr>
            </w:pPr>
            <w:r w:rsidRPr="0079074C">
              <w:rPr>
                <w:sz w:val="16"/>
                <w:szCs w:val="16"/>
              </w:rPr>
              <w:t>-</w:t>
            </w:r>
          </w:p>
        </w:tc>
        <w:tc>
          <w:tcPr>
            <w:tcW w:w="365" w:type="pct"/>
            <w:tcBorders>
              <w:top w:val="nil"/>
              <w:left w:val="nil"/>
              <w:bottom w:val="nil"/>
              <w:right w:val="nil"/>
            </w:tcBorders>
            <w:shd w:val="clear" w:color="auto" w:fill="auto"/>
            <w:noWrap/>
            <w:vAlign w:val="center"/>
            <w:hideMark/>
          </w:tcPr>
          <w:p w14:paraId="3B60C54C" w14:textId="77777777" w:rsidR="00A32971" w:rsidRPr="0079074C" w:rsidRDefault="00A32971" w:rsidP="00AF7CD1">
            <w:pPr>
              <w:jc w:val="right"/>
              <w:rPr>
                <w:sz w:val="16"/>
                <w:szCs w:val="16"/>
              </w:rPr>
            </w:pPr>
            <w:r w:rsidRPr="0079074C">
              <w:rPr>
                <w:sz w:val="16"/>
                <w:szCs w:val="16"/>
              </w:rPr>
              <w:t>-</w:t>
            </w:r>
          </w:p>
        </w:tc>
        <w:tc>
          <w:tcPr>
            <w:tcW w:w="431" w:type="pct"/>
            <w:tcBorders>
              <w:top w:val="nil"/>
              <w:left w:val="nil"/>
              <w:bottom w:val="nil"/>
              <w:right w:val="nil"/>
            </w:tcBorders>
            <w:shd w:val="clear" w:color="auto" w:fill="auto"/>
            <w:noWrap/>
            <w:vAlign w:val="center"/>
            <w:hideMark/>
          </w:tcPr>
          <w:p w14:paraId="0A7DC696" w14:textId="77777777" w:rsidR="00A32971" w:rsidRPr="0079074C" w:rsidRDefault="00A32971" w:rsidP="00AF7CD1">
            <w:pPr>
              <w:jc w:val="right"/>
              <w:rPr>
                <w:sz w:val="16"/>
                <w:szCs w:val="16"/>
              </w:rPr>
            </w:pPr>
            <w:r w:rsidRPr="0079074C">
              <w:rPr>
                <w:sz w:val="16"/>
                <w:szCs w:val="16"/>
              </w:rPr>
              <w:t>-</w:t>
            </w:r>
          </w:p>
        </w:tc>
        <w:tc>
          <w:tcPr>
            <w:tcW w:w="305" w:type="pct"/>
            <w:tcBorders>
              <w:top w:val="nil"/>
              <w:left w:val="nil"/>
              <w:bottom w:val="nil"/>
              <w:right w:val="nil"/>
            </w:tcBorders>
            <w:shd w:val="clear" w:color="auto" w:fill="auto"/>
            <w:noWrap/>
            <w:vAlign w:val="center"/>
            <w:hideMark/>
          </w:tcPr>
          <w:p w14:paraId="16381108" w14:textId="77777777" w:rsidR="00A32971" w:rsidRPr="0079074C" w:rsidRDefault="00A32971" w:rsidP="00AF7CD1">
            <w:pPr>
              <w:jc w:val="right"/>
              <w:rPr>
                <w:sz w:val="16"/>
                <w:szCs w:val="16"/>
              </w:rPr>
            </w:pPr>
            <w:r w:rsidRPr="0079074C">
              <w:rPr>
                <w:sz w:val="16"/>
                <w:szCs w:val="16"/>
              </w:rPr>
              <w:t>-</w:t>
            </w:r>
          </w:p>
        </w:tc>
      </w:tr>
      <w:tr w:rsidR="006B42D6" w:rsidRPr="006B42D6" w14:paraId="48DBF267" w14:textId="77777777" w:rsidTr="0079074C">
        <w:trPr>
          <w:trHeight w:val="306"/>
        </w:trPr>
        <w:tc>
          <w:tcPr>
            <w:tcW w:w="913" w:type="pct"/>
            <w:tcBorders>
              <w:top w:val="nil"/>
              <w:left w:val="nil"/>
              <w:bottom w:val="nil"/>
              <w:right w:val="nil"/>
            </w:tcBorders>
            <w:shd w:val="clear" w:color="auto" w:fill="auto"/>
            <w:noWrap/>
            <w:vAlign w:val="center"/>
            <w:hideMark/>
          </w:tcPr>
          <w:p w14:paraId="0668368F" w14:textId="6A22560E" w:rsidR="00A32971" w:rsidRPr="0079074C" w:rsidRDefault="00A32971" w:rsidP="00AF7CD1">
            <w:pPr>
              <w:rPr>
                <w:sz w:val="16"/>
                <w:szCs w:val="16"/>
              </w:rPr>
            </w:pPr>
            <w:r w:rsidRPr="0079074C">
              <w:rPr>
                <w:sz w:val="16"/>
                <w:szCs w:val="16"/>
              </w:rPr>
              <w:t>Kusini</w:t>
            </w:r>
            <w:r w:rsidR="00565D92" w:rsidRPr="0079074C">
              <w:rPr>
                <w:sz w:val="16"/>
                <w:szCs w:val="16"/>
              </w:rPr>
              <w:t xml:space="preserve"> </w:t>
            </w:r>
            <w:r w:rsidRPr="0079074C">
              <w:rPr>
                <w:sz w:val="16"/>
                <w:szCs w:val="16"/>
              </w:rPr>
              <w:t>Pemba</w:t>
            </w:r>
          </w:p>
        </w:tc>
        <w:tc>
          <w:tcPr>
            <w:tcW w:w="370" w:type="pct"/>
            <w:tcBorders>
              <w:top w:val="nil"/>
              <w:left w:val="nil"/>
              <w:bottom w:val="nil"/>
              <w:right w:val="nil"/>
            </w:tcBorders>
            <w:shd w:val="clear" w:color="auto" w:fill="auto"/>
            <w:noWrap/>
            <w:vAlign w:val="center"/>
            <w:hideMark/>
          </w:tcPr>
          <w:p w14:paraId="6701C9EA" w14:textId="77777777" w:rsidR="00A32971" w:rsidRPr="0079074C" w:rsidRDefault="00A32971" w:rsidP="00AF7CD1">
            <w:pPr>
              <w:jc w:val="right"/>
              <w:rPr>
                <w:sz w:val="16"/>
                <w:szCs w:val="16"/>
              </w:rPr>
            </w:pPr>
            <w:r w:rsidRPr="0079074C">
              <w:rPr>
                <w:sz w:val="16"/>
                <w:szCs w:val="16"/>
              </w:rPr>
              <w:t>17.5</w:t>
            </w:r>
          </w:p>
        </w:tc>
        <w:tc>
          <w:tcPr>
            <w:tcW w:w="324" w:type="pct"/>
            <w:tcBorders>
              <w:top w:val="nil"/>
              <w:left w:val="nil"/>
              <w:bottom w:val="nil"/>
              <w:right w:val="nil"/>
            </w:tcBorders>
            <w:shd w:val="clear" w:color="auto" w:fill="auto"/>
            <w:noWrap/>
            <w:vAlign w:val="center"/>
            <w:hideMark/>
          </w:tcPr>
          <w:p w14:paraId="4AABF82A" w14:textId="77777777" w:rsidR="00A32971" w:rsidRPr="0079074C" w:rsidRDefault="00A32971" w:rsidP="00AF7CD1">
            <w:pPr>
              <w:jc w:val="right"/>
              <w:rPr>
                <w:sz w:val="16"/>
                <w:szCs w:val="16"/>
              </w:rPr>
            </w:pPr>
            <w:r w:rsidRPr="0079074C">
              <w:rPr>
                <w:sz w:val="16"/>
                <w:szCs w:val="16"/>
              </w:rPr>
              <w:t>5.1</w:t>
            </w:r>
          </w:p>
        </w:tc>
        <w:tc>
          <w:tcPr>
            <w:tcW w:w="488" w:type="pct"/>
            <w:tcBorders>
              <w:top w:val="nil"/>
              <w:left w:val="nil"/>
              <w:bottom w:val="nil"/>
              <w:right w:val="nil"/>
            </w:tcBorders>
            <w:shd w:val="clear" w:color="auto" w:fill="auto"/>
            <w:noWrap/>
            <w:vAlign w:val="center"/>
            <w:hideMark/>
          </w:tcPr>
          <w:p w14:paraId="425C3B26" w14:textId="77777777" w:rsidR="00A32971" w:rsidRPr="0079074C" w:rsidRDefault="00A32971" w:rsidP="00AF7CD1">
            <w:pPr>
              <w:jc w:val="right"/>
              <w:rPr>
                <w:sz w:val="16"/>
                <w:szCs w:val="16"/>
              </w:rPr>
            </w:pPr>
            <w:r w:rsidRPr="0079074C">
              <w:rPr>
                <w:sz w:val="16"/>
                <w:szCs w:val="16"/>
              </w:rPr>
              <w:t>16.3</w:t>
            </w:r>
          </w:p>
        </w:tc>
        <w:tc>
          <w:tcPr>
            <w:tcW w:w="485" w:type="pct"/>
            <w:tcBorders>
              <w:top w:val="nil"/>
              <w:left w:val="nil"/>
              <w:bottom w:val="nil"/>
              <w:right w:val="nil"/>
            </w:tcBorders>
            <w:shd w:val="clear" w:color="auto" w:fill="auto"/>
            <w:noWrap/>
            <w:vAlign w:val="center"/>
            <w:hideMark/>
          </w:tcPr>
          <w:p w14:paraId="6755FD1D" w14:textId="77777777" w:rsidR="00A32971" w:rsidRPr="0079074C" w:rsidRDefault="00A32971" w:rsidP="00AF7CD1">
            <w:pPr>
              <w:jc w:val="right"/>
              <w:rPr>
                <w:sz w:val="16"/>
                <w:szCs w:val="16"/>
              </w:rPr>
            </w:pPr>
            <w:r w:rsidRPr="0079074C">
              <w:rPr>
                <w:sz w:val="16"/>
                <w:szCs w:val="16"/>
              </w:rPr>
              <w:t>12.9</w:t>
            </w:r>
          </w:p>
        </w:tc>
        <w:tc>
          <w:tcPr>
            <w:tcW w:w="514" w:type="pct"/>
            <w:tcBorders>
              <w:top w:val="nil"/>
              <w:left w:val="nil"/>
              <w:bottom w:val="nil"/>
              <w:right w:val="nil"/>
            </w:tcBorders>
            <w:shd w:val="clear" w:color="auto" w:fill="auto"/>
            <w:noWrap/>
            <w:vAlign w:val="center"/>
            <w:hideMark/>
          </w:tcPr>
          <w:p w14:paraId="68DC3958" w14:textId="77777777" w:rsidR="00A32971" w:rsidRPr="0079074C" w:rsidRDefault="00A32971" w:rsidP="00AF7CD1">
            <w:pPr>
              <w:jc w:val="right"/>
              <w:rPr>
                <w:sz w:val="16"/>
                <w:szCs w:val="16"/>
              </w:rPr>
            </w:pPr>
            <w:r w:rsidRPr="0079074C">
              <w:rPr>
                <w:sz w:val="16"/>
                <w:szCs w:val="16"/>
              </w:rPr>
              <w:t>-</w:t>
            </w:r>
          </w:p>
        </w:tc>
        <w:tc>
          <w:tcPr>
            <w:tcW w:w="440" w:type="pct"/>
            <w:tcBorders>
              <w:top w:val="nil"/>
              <w:left w:val="nil"/>
              <w:bottom w:val="nil"/>
              <w:right w:val="nil"/>
            </w:tcBorders>
            <w:shd w:val="clear" w:color="auto" w:fill="auto"/>
            <w:noWrap/>
            <w:vAlign w:val="center"/>
            <w:hideMark/>
          </w:tcPr>
          <w:p w14:paraId="6390CFD1" w14:textId="77777777" w:rsidR="00A32971" w:rsidRPr="0079074C" w:rsidRDefault="00A32971" w:rsidP="00AF7CD1">
            <w:pPr>
              <w:jc w:val="right"/>
              <w:rPr>
                <w:sz w:val="16"/>
                <w:szCs w:val="16"/>
              </w:rPr>
            </w:pPr>
            <w:r w:rsidRPr="0079074C">
              <w:rPr>
                <w:sz w:val="16"/>
                <w:szCs w:val="16"/>
              </w:rPr>
              <w:t>-</w:t>
            </w:r>
          </w:p>
        </w:tc>
        <w:tc>
          <w:tcPr>
            <w:tcW w:w="365" w:type="pct"/>
            <w:tcBorders>
              <w:top w:val="nil"/>
              <w:left w:val="nil"/>
              <w:bottom w:val="nil"/>
              <w:right w:val="nil"/>
            </w:tcBorders>
            <w:shd w:val="clear" w:color="auto" w:fill="auto"/>
            <w:noWrap/>
            <w:vAlign w:val="center"/>
            <w:hideMark/>
          </w:tcPr>
          <w:p w14:paraId="45815F84" w14:textId="77777777" w:rsidR="00A32971" w:rsidRPr="0079074C" w:rsidRDefault="00A32971" w:rsidP="00AF7CD1">
            <w:pPr>
              <w:jc w:val="right"/>
              <w:rPr>
                <w:sz w:val="16"/>
                <w:szCs w:val="16"/>
              </w:rPr>
            </w:pPr>
            <w:r w:rsidRPr="0079074C">
              <w:rPr>
                <w:sz w:val="16"/>
                <w:szCs w:val="16"/>
              </w:rPr>
              <w:t>-</w:t>
            </w:r>
          </w:p>
        </w:tc>
        <w:tc>
          <w:tcPr>
            <w:tcW w:w="365" w:type="pct"/>
            <w:tcBorders>
              <w:top w:val="nil"/>
              <w:left w:val="nil"/>
              <w:bottom w:val="nil"/>
              <w:right w:val="nil"/>
            </w:tcBorders>
            <w:shd w:val="clear" w:color="auto" w:fill="auto"/>
            <w:noWrap/>
            <w:vAlign w:val="center"/>
            <w:hideMark/>
          </w:tcPr>
          <w:p w14:paraId="0F3A1596" w14:textId="77777777" w:rsidR="00A32971" w:rsidRPr="0079074C" w:rsidRDefault="00A32971" w:rsidP="00AF7CD1">
            <w:pPr>
              <w:jc w:val="right"/>
              <w:rPr>
                <w:sz w:val="16"/>
                <w:szCs w:val="16"/>
              </w:rPr>
            </w:pPr>
            <w:r w:rsidRPr="0079074C">
              <w:rPr>
                <w:sz w:val="16"/>
                <w:szCs w:val="16"/>
              </w:rPr>
              <w:t>-</w:t>
            </w:r>
          </w:p>
        </w:tc>
        <w:tc>
          <w:tcPr>
            <w:tcW w:w="431" w:type="pct"/>
            <w:tcBorders>
              <w:top w:val="nil"/>
              <w:left w:val="nil"/>
              <w:bottom w:val="nil"/>
              <w:right w:val="nil"/>
            </w:tcBorders>
            <w:shd w:val="clear" w:color="auto" w:fill="auto"/>
            <w:noWrap/>
            <w:vAlign w:val="center"/>
            <w:hideMark/>
          </w:tcPr>
          <w:p w14:paraId="425ACBAC" w14:textId="77777777" w:rsidR="00A32971" w:rsidRPr="0079074C" w:rsidRDefault="00A32971" w:rsidP="00AF7CD1">
            <w:pPr>
              <w:jc w:val="right"/>
              <w:rPr>
                <w:sz w:val="16"/>
                <w:szCs w:val="16"/>
              </w:rPr>
            </w:pPr>
            <w:r w:rsidRPr="0079074C">
              <w:rPr>
                <w:sz w:val="16"/>
                <w:szCs w:val="16"/>
              </w:rPr>
              <w:t>-</w:t>
            </w:r>
          </w:p>
        </w:tc>
        <w:tc>
          <w:tcPr>
            <w:tcW w:w="305" w:type="pct"/>
            <w:tcBorders>
              <w:top w:val="nil"/>
              <w:left w:val="nil"/>
              <w:bottom w:val="nil"/>
              <w:right w:val="nil"/>
            </w:tcBorders>
            <w:shd w:val="clear" w:color="auto" w:fill="auto"/>
            <w:noWrap/>
            <w:vAlign w:val="center"/>
            <w:hideMark/>
          </w:tcPr>
          <w:p w14:paraId="30445775" w14:textId="77777777" w:rsidR="00A32971" w:rsidRPr="0079074C" w:rsidRDefault="00A32971" w:rsidP="00AF7CD1">
            <w:pPr>
              <w:jc w:val="right"/>
              <w:rPr>
                <w:sz w:val="16"/>
                <w:szCs w:val="16"/>
              </w:rPr>
            </w:pPr>
            <w:r w:rsidRPr="0079074C">
              <w:rPr>
                <w:sz w:val="16"/>
                <w:szCs w:val="16"/>
              </w:rPr>
              <w:t>-</w:t>
            </w:r>
          </w:p>
        </w:tc>
      </w:tr>
      <w:tr w:rsidR="00272901" w:rsidRPr="006B42D6" w14:paraId="2A1DC65B" w14:textId="77777777" w:rsidTr="0079074C">
        <w:trPr>
          <w:trHeight w:val="306"/>
        </w:trPr>
        <w:tc>
          <w:tcPr>
            <w:tcW w:w="913" w:type="pct"/>
            <w:tcBorders>
              <w:top w:val="single" w:sz="4" w:space="0" w:color="auto"/>
              <w:left w:val="nil"/>
              <w:bottom w:val="single" w:sz="4" w:space="0" w:color="auto"/>
              <w:right w:val="nil"/>
            </w:tcBorders>
            <w:shd w:val="clear" w:color="auto" w:fill="E2EFD9" w:themeFill="accent6" w:themeFillTint="33"/>
            <w:noWrap/>
            <w:vAlign w:val="center"/>
            <w:hideMark/>
          </w:tcPr>
          <w:p w14:paraId="38EF3D86" w14:textId="77777777" w:rsidR="00272901" w:rsidRPr="0079074C" w:rsidRDefault="00272901" w:rsidP="00272901">
            <w:pPr>
              <w:rPr>
                <w:sz w:val="16"/>
                <w:szCs w:val="16"/>
              </w:rPr>
            </w:pPr>
            <w:r w:rsidRPr="0079074C">
              <w:rPr>
                <w:sz w:val="16"/>
                <w:szCs w:val="16"/>
              </w:rPr>
              <w:t>Tanzania Zanzibar</w:t>
            </w:r>
          </w:p>
        </w:tc>
        <w:tc>
          <w:tcPr>
            <w:tcW w:w="370" w:type="pct"/>
            <w:tcBorders>
              <w:top w:val="single" w:sz="4" w:space="0" w:color="auto"/>
              <w:left w:val="nil"/>
              <w:bottom w:val="single" w:sz="4" w:space="0" w:color="auto"/>
              <w:right w:val="nil"/>
            </w:tcBorders>
            <w:shd w:val="clear" w:color="auto" w:fill="E2EFD9" w:themeFill="accent6" w:themeFillTint="33"/>
            <w:noWrap/>
            <w:hideMark/>
          </w:tcPr>
          <w:p w14:paraId="4D180AEE" w14:textId="2E13FBDC" w:rsidR="00272901" w:rsidRPr="0079074C" w:rsidRDefault="00272901" w:rsidP="00272901">
            <w:pPr>
              <w:jc w:val="right"/>
              <w:rPr>
                <w:sz w:val="16"/>
                <w:szCs w:val="16"/>
              </w:rPr>
            </w:pPr>
            <w:r w:rsidRPr="0079074C">
              <w:rPr>
                <w:sz w:val="16"/>
                <w:szCs w:val="16"/>
              </w:rPr>
              <w:t>100.0</w:t>
            </w:r>
          </w:p>
        </w:tc>
        <w:tc>
          <w:tcPr>
            <w:tcW w:w="324" w:type="pct"/>
            <w:tcBorders>
              <w:top w:val="single" w:sz="4" w:space="0" w:color="auto"/>
              <w:left w:val="nil"/>
              <w:bottom w:val="single" w:sz="4" w:space="0" w:color="auto"/>
              <w:right w:val="nil"/>
            </w:tcBorders>
            <w:shd w:val="clear" w:color="auto" w:fill="E2EFD9" w:themeFill="accent6" w:themeFillTint="33"/>
            <w:noWrap/>
            <w:hideMark/>
          </w:tcPr>
          <w:p w14:paraId="2E6830B7" w14:textId="3805AEB1" w:rsidR="00272901" w:rsidRPr="0079074C" w:rsidRDefault="00272901" w:rsidP="00272901">
            <w:pPr>
              <w:jc w:val="right"/>
              <w:rPr>
                <w:sz w:val="16"/>
                <w:szCs w:val="16"/>
              </w:rPr>
            </w:pPr>
            <w:r w:rsidRPr="0079074C">
              <w:rPr>
                <w:sz w:val="16"/>
                <w:szCs w:val="16"/>
              </w:rPr>
              <w:t>100.0</w:t>
            </w:r>
          </w:p>
        </w:tc>
        <w:tc>
          <w:tcPr>
            <w:tcW w:w="488" w:type="pct"/>
            <w:tcBorders>
              <w:top w:val="single" w:sz="4" w:space="0" w:color="auto"/>
              <w:left w:val="nil"/>
              <w:bottom w:val="single" w:sz="4" w:space="0" w:color="auto"/>
              <w:right w:val="nil"/>
            </w:tcBorders>
            <w:shd w:val="clear" w:color="auto" w:fill="E2EFD9" w:themeFill="accent6" w:themeFillTint="33"/>
            <w:noWrap/>
            <w:hideMark/>
          </w:tcPr>
          <w:p w14:paraId="6E21B7AA" w14:textId="152B912A" w:rsidR="00272901" w:rsidRPr="0079074C" w:rsidRDefault="00272901" w:rsidP="00272901">
            <w:pPr>
              <w:jc w:val="right"/>
              <w:rPr>
                <w:sz w:val="16"/>
                <w:szCs w:val="16"/>
              </w:rPr>
            </w:pPr>
            <w:r w:rsidRPr="0079074C">
              <w:rPr>
                <w:sz w:val="16"/>
                <w:szCs w:val="16"/>
              </w:rPr>
              <w:t>100.0</w:t>
            </w:r>
          </w:p>
        </w:tc>
        <w:tc>
          <w:tcPr>
            <w:tcW w:w="485" w:type="pct"/>
            <w:tcBorders>
              <w:top w:val="single" w:sz="4" w:space="0" w:color="auto"/>
              <w:left w:val="nil"/>
              <w:bottom w:val="single" w:sz="4" w:space="0" w:color="auto"/>
              <w:right w:val="nil"/>
            </w:tcBorders>
            <w:shd w:val="clear" w:color="auto" w:fill="E2EFD9" w:themeFill="accent6" w:themeFillTint="33"/>
            <w:noWrap/>
            <w:hideMark/>
          </w:tcPr>
          <w:p w14:paraId="1E8FF723" w14:textId="14BE309A" w:rsidR="00272901" w:rsidRPr="0079074C" w:rsidRDefault="00272901" w:rsidP="00272901">
            <w:pPr>
              <w:jc w:val="right"/>
              <w:rPr>
                <w:sz w:val="16"/>
                <w:szCs w:val="16"/>
              </w:rPr>
            </w:pPr>
            <w:r w:rsidRPr="0079074C">
              <w:rPr>
                <w:sz w:val="16"/>
                <w:szCs w:val="16"/>
              </w:rPr>
              <w:t>100.0</w:t>
            </w:r>
          </w:p>
        </w:tc>
        <w:tc>
          <w:tcPr>
            <w:tcW w:w="514" w:type="pct"/>
            <w:tcBorders>
              <w:top w:val="single" w:sz="4" w:space="0" w:color="auto"/>
              <w:left w:val="nil"/>
              <w:bottom w:val="single" w:sz="4" w:space="0" w:color="auto"/>
              <w:right w:val="nil"/>
            </w:tcBorders>
            <w:shd w:val="clear" w:color="auto" w:fill="E2EFD9" w:themeFill="accent6" w:themeFillTint="33"/>
            <w:noWrap/>
            <w:hideMark/>
          </w:tcPr>
          <w:p w14:paraId="1408AF4B" w14:textId="1128ED2F" w:rsidR="00272901" w:rsidRPr="0079074C" w:rsidRDefault="00272901" w:rsidP="00272901">
            <w:pPr>
              <w:jc w:val="right"/>
              <w:rPr>
                <w:sz w:val="16"/>
                <w:szCs w:val="16"/>
              </w:rPr>
            </w:pPr>
            <w:r w:rsidRPr="0079074C">
              <w:rPr>
                <w:sz w:val="16"/>
                <w:szCs w:val="16"/>
              </w:rPr>
              <w:t>100.0</w:t>
            </w:r>
          </w:p>
        </w:tc>
        <w:tc>
          <w:tcPr>
            <w:tcW w:w="440" w:type="pct"/>
            <w:tcBorders>
              <w:top w:val="single" w:sz="4" w:space="0" w:color="auto"/>
              <w:left w:val="nil"/>
              <w:bottom w:val="single" w:sz="4" w:space="0" w:color="auto"/>
              <w:right w:val="nil"/>
            </w:tcBorders>
            <w:shd w:val="clear" w:color="auto" w:fill="E2EFD9" w:themeFill="accent6" w:themeFillTint="33"/>
            <w:noWrap/>
            <w:hideMark/>
          </w:tcPr>
          <w:p w14:paraId="2C397EDA" w14:textId="2BF4D90C" w:rsidR="00272901" w:rsidRPr="0079074C" w:rsidRDefault="00272901" w:rsidP="00272901">
            <w:pPr>
              <w:jc w:val="right"/>
              <w:rPr>
                <w:sz w:val="16"/>
                <w:szCs w:val="16"/>
              </w:rPr>
            </w:pPr>
            <w:r w:rsidRPr="0079074C">
              <w:rPr>
                <w:sz w:val="16"/>
                <w:szCs w:val="16"/>
              </w:rPr>
              <w:t>100.0</w:t>
            </w:r>
          </w:p>
        </w:tc>
        <w:tc>
          <w:tcPr>
            <w:tcW w:w="365" w:type="pct"/>
            <w:tcBorders>
              <w:top w:val="single" w:sz="4" w:space="0" w:color="auto"/>
              <w:left w:val="nil"/>
              <w:bottom w:val="single" w:sz="4" w:space="0" w:color="auto"/>
              <w:right w:val="nil"/>
            </w:tcBorders>
            <w:shd w:val="clear" w:color="auto" w:fill="E2EFD9" w:themeFill="accent6" w:themeFillTint="33"/>
            <w:noWrap/>
            <w:hideMark/>
          </w:tcPr>
          <w:p w14:paraId="34C44A49" w14:textId="1E3A4520" w:rsidR="00272901" w:rsidRPr="0079074C" w:rsidRDefault="00272901" w:rsidP="00272901">
            <w:pPr>
              <w:jc w:val="right"/>
              <w:rPr>
                <w:sz w:val="16"/>
                <w:szCs w:val="16"/>
              </w:rPr>
            </w:pPr>
            <w:r w:rsidRPr="0079074C">
              <w:rPr>
                <w:sz w:val="16"/>
                <w:szCs w:val="16"/>
              </w:rPr>
              <w:t>100.0</w:t>
            </w:r>
          </w:p>
        </w:tc>
        <w:tc>
          <w:tcPr>
            <w:tcW w:w="365" w:type="pct"/>
            <w:tcBorders>
              <w:top w:val="single" w:sz="4" w:space="0" w:color="auto"/>
              <w:left w:val="nil"/>
              <w:bottom w:val="single" w:sz="4" w:space="0" w:color="auto"/>
              <w:right w:val="nil"/>
            </w:tcBorders>
            <w:shd w:val="clear" w:color="auto" w:fill="E2EFD9" w:themeFill="accent6" w:themeFillTint="33"/>
            <w:noWrap/>
            <w:hideMark/>
          </w:tcPr>
          <w:p w14:paraId="6962AB3C" w14:textId="63AB9555" w:rsidR="00272901" w:rsidRPr="0079074C" w:rsidRDefault="00272901" w:rsidP="00272901">
            <w:pPr>
              <w:jc w:val="right"/>
              <w:rPr>
                <w:sz w:val="16"/>
                <w:szCs w:val="16"/>
              </w:rPr>
            </w:pPr>
            <w:r w:rsidRPr="0079074C">
              <w:rPr>
                <w:sz w:val="16"/>
                <w:szCs w:val="16"/>
              </w:rPr>
              <w:t>100.0</w:t>
            </w:r>
          </w:p>
        </w:tc>
        <w:tc>
          <w:tcPr>
            <w:tcW w:w="431" w:type="pct"/>
            <w:tcBorders>
              <w:top w:val="single" w:sz="4" w:space="0" w:color="auto"/>
              <w:left w:val="nil"/>
              <w:bottom w:val="single" w:sz="4" w:space="0" w:color="auto"/>
              <w:right w:val="nil"/>
            </w:tcBorders>
            <w:shd w:val="clear" w:color="auto" w:fill="E2EFD9" w:themeFill="accent6" w:themeFillTint="33"/>
            <w:noWrap/>
            <w:hideMark/>
          </w:tcPr>
          <w:p w14:paraId="094FF90A" w14:textId="718AC989" w:rsidR="00272901" w:rsidRPr="0079074C" w:rsidRDefault="00272901" w:rsidP="00272901">
            <w:pPr>
              <w:jc w:val="right"/>
              <w:rPr>
                <w:sz w:val="16"/>
                <w:szCs w:val="16"/>
              </w:rPr>
            </w:pPr>
            <w:r w:rsidRPr="0079074C">
              <w:rPr>
                <w:sz w:val="16"/>
                <w:szCs w:val="16"/>
              </w:rPr>
              <w:t>100.0</w:t>
            </w:r>
          </w:p>
        </w:tc>
        <w:tc>
          <w:tcPr>
            <w:tcW w:w="305" w:type="pct"/>
            <w:tcBorders>
              <w:top w:val="single" w:sz="4" w:space="0" w:color="auto"/>
              <w:left w:val="nil"/>
              <w:bottom w:val="single" w:sz="4" w:space="0" w:color="auto"/>
              <w:right w:val="nil"/>
            </w:tcBorders>
            <w:shd w:val="clear" w:color="auto" w:fill="E2EFD9" w:themeFill="accent6" w:themeFillTint="33"/>
            <w:noWrap/>
            <w:hideMark/>
          </w:tcPr>
          <w:p w14:paraId="5C1198BF" w14:textId="1A521E55" w:rsidR="00272901" w:rsidRPr="0079074C" w:rsidRDefault="00272901" w:rsidP="00272901">
            <w:pPr>
              <w:jc w:val="right"/>
              <w:rPr>
                <w:sz w:val="16"/>
                <w:szCs w:val="16"/>
              </w:rPr>
            </w:pPr>
            <w:r w:rsidRPr="0079074C">
              <w:rPr>
                <w:sz w:val="16"/>
                <w:szCs w:val="16"/>
              </w:rPr>
              <w:t>100.0</w:t>
            </w:r>
          </w:p>
        </w:tc>
      </w:tr>
    </w:tbl>
    <w:p w14:paraId="534F6B45" w14:textId="77777777" w:rsidR="00A32971" w:rsidRPr="006B42D6" w:rsidRDefault="00A32971" w:rsidP="00565D92"/>
    <w:p w14:paraId="28D32A95" w14:textId="270AA1D9" w:rsidR="00A32971" w:rsidRPr="006B42D6" w:rsidRDefault="00612C4E" w:rsidP="00A32971">
      <w:pPr>
        <w:pStyle w:val="Heading3"/>
      </w:pPr>
      <w:bookmarkStart w:id="845" w:name="_Toc82385791"/>
      <w:r w:rsidRPr="006B42D6">
        <w:t>5.</w:t>
      </w:r>
      <w:r w:rsidR="00AC6872">
        <w:t>2</w:t>
      </w:r>
      <w:r w:rsidR="004C3D43">
        <w:t>.3</w:t>
      </w:r>
      <w:r w:rsidR="00A32971" w:rsidRPr="006B42D6">
        <w:tab/>
        <w:t>Value of Credits</w:t>
      </w:r>
      <w:bookmarkEnd w:id="845"/>
    </w:p>
    <w:p w14:paraId="48155AEA" w14:textId="1E6E1582" w:rsidR="00A32971" w:rsidRDefault="00A32971" w:rsidP="00A32971">
      <w:r w:rsidRPr="006B42D6">
        <w:t>In Tanzania, smallholder farmers reported to receive a total credit of Tanz</w:t>
      </w:r>
      <w:r w:rsidR="006825F1" w:rsidRPr="006B42D6">
        <w:t>ania Shillings 200.7 b</w:t>
      </w:r>
      <w:r w:rsidRPr="006B42D6">
        <w:t xml:space="preserve">illion for their agricultural activities during 2019/20 agricultural year, with the repayment value of TZS 284.0 </w:t>
      </w:r>
      <w:r w:rsidR="006825F1" w:rsidRPr="006B42D6">
        <w:t>b</w:t>
      </w:r>
      <w:r w:rsidRPr="006B42D6">
        <w:t xml:space="preserve">illion equivalent to an increament of 41.5 percent of credit value. Out of </w:t>
      </w:r>
      <w:r w:rsidRPr="006B42D6">
        <w:lastRenderedPageBreak/>
        <w:t xml:space="preserve">total credits, TZS 199.1 </w:t>
      </w:r>
      <w:r w:rsidR="006825F1" w:rsidRPr="006B42D6">
        <w:t>b</w:t>
      </w:r>
      <w:r w:rsidRPr="006B42D6">
        <w:t xml:space="preserve">illion was credited in </w:t>
      </w:r>
      <w:r w:rsidR="00EA1552">
        <w:t>Mainland Tanzania</w:t>
      </w:r>
      <w:r w:rsidRPr="006B42D6">
        <w:t xml:space="preserve"> with the repayment value of TZS</w:t>
      </w:r>
      <w:r w:rsidR="006825F1" w:rsidRPr="006B42D6">
        <w:t xml:space="preserve"> 281.2 billion, while, TZS 1.6 b</w:t>
      </w:r>
      <w:r w:rsidRPr="006B42D6">
        <w:t xml:space="preserve">illion was credited in Tanzania Zanzibar with the repayment of TZS 2.8 </w:t>
      </w:r>
      <w:r w:rsidR="006825F1" w:rsidRPr="006B42D6">
        <w:t>b</w:t>
      </w:r>
      <w:r w:rsidRPr="006B42D6">
        <w:t xml:space="preserve">illion. </w:t>
      </w:r>
    </w:p>
    <w:p w14:paraId="003BD16E" w14:textId="77777777" w:rsidR="0079074C" w:rsidRPr="006B42D6" w:rsidRDefault="0079074C" w:rsidP="0079074C">
      <w:pPr>
        <w:spacing w:line="240" w:lineRule="auto"/>
      </w:pPr>
    </w:p>
    <w:p w14:paraId="19115352" w14:textId="088D7386" w:rsidR="00A32971" w:rsidRPr="006B42D6" w:rsidRDefault="008B7534" w:rsidP="00A32971">
      <w:r w:rsidRPr="006B42D6">
        <w:t>A</w:t>
      </w:r>
      <w:r w:rsidR="00A32971" w:rsidRPr="006B42D6">
        <w:t>t National level, bank</w:t>
      </w:r>
      <w:r w:rsidRPr="006B42D6">
        <w:t>s</w:t>
      </w:r>
      <w:r w:rsidR="00A32971" w:rsidRPr="006B42D6">
        <w:t xml:space="preserve"> </w:t>
      </w:r>
      <w:r w:rsidRPr="006B42D6">
        <w:t xml:space="preserve">were </w:t>
      </w:r>
      <w:r w:rsidR="00A32971" w:rsidRPr="006B42D6">
        <w:t>reported as the main source that credited a large amount</w:t>
      </w:r>
      <w:r w:rsidRPr="006B42D6">
        <w:t xml:space="preserve"> (TZS 69.5 b</w:t>
      </w:r>
      <w:r w:rsidR="00A32971" w:rsidRPr="006B42D6">
        <w:t>illion; 34.6 percent) for agricultural activities w</w:t>
      </w:r>
      <w:r w:rsidRPr="006B42D6">
        <w:t>ith the repayment of TZS 104.4 b</w:t>
      </w:r>
      <w:r w:rsidR="00A32971" w:rsidRPr="006B42D6">
        <w:t xml:space="preserve">illion (36.8 percent). On the other hand, trade/trade store was reported as the minor source that credited TZS 4.3 </w:t>
      </w:r>
      <w:r w:rsidRPr="006B42D6">
        <w:t>b</w:t>
      </w:r>
      <w:r w:rsidR="00A32971" w:rsidRPr="006B42D6">
        <w:t>illion (2.1 percent, of the total credits) wi</w:t>
      </w:r>
      <w:r w:rsidRPr="006B42D6">
        <w:t>th the repayment of TZS 4.9 b</w:t>
      </w:r>
      <w:r w:rsidR="00A32971" w:rsidRPr="006B42D6">
        <w:t>illion (1.7 percent)</w:t>
      </w:r>
      <w:r w:rsidR="00612C4E" w:rsidRPr="006B42D6">
        <w:t>.</w:t>
      </w:r>
    </w:p>
    <w:p w14:paraId="48B62277" w14:textId="77777777" w:rsidR="00A32971" w:rsidRPr="006B42D6" w:rsidRDefault="00A32971" w:rsidP="00B70471">
      <w:pPr>
        <w:spacing w:line="240" w:lineRule="auto"/>
      </w:pPr>
    </w:p>
    <w:p w14:paraId="0E55197B" w14:textId="1644841E" w:rsidR="00A32971" w:rsidRPr="006B42D6" w:rsidRDefault="00A32971" w:rsidP="00A32971">
      <w:r w:rsidRPr="006B42D6">
        <w:t xml:space="preserve">In </w:t>
      </w:r>
      <w:r w:rsidR="00EA1552">
        <w:t>Mainland Tanzania</w:t>
      </w:r>
      <w:r w:rsidRPr="006B42D6">
        <w:t xml:space="preserve">, the results show that, smallholder farmers in Mbeya region reported the highest </w:t>
      </w:r>
      <w:r w:rsidR="00A41AC7" w:rsidRPr="006B42D6">
        <w:t>number</w:t>
      </w:r>
      <w:r w:rsidRPr="006B42D6">
        <w:t xml:space="preserve"> of credits with </w:t>
      </w:r>
      <w:r w:rsidR="006825F1" w:rsidRPr="006B42D6">
        <w:t xml:space="preserve">a </w:t>
      </w:r>
      <w:r w:rsidRPr="006B42D6">
        <w:t xml:space="preserve">total value of TZS 42.7 </w:t>
      </w:r>
      <w:r w:rsidR="006825F1" w:rsidRPr="006B42D6">
        <w:t>b</w:t>
      </w:r>
      <w:r w:rsidRPr="006B42D6">
        <w:t xml:space="preserve">illion (21.5 percent), with the repayment of TZS 54.9 </w:t>
      </w:r>
      <w:r w:rsidR="006825F1" w:rsidRPr="006B42D6">
        <w:t>b</w:t>
      </w:r>
      <w:r w:rsidRPr="006B42D6">
        <w:t xml:space="preserve">illion (19.5 percent), of which bank was the main source (52.2 percent). It was followed by Tabora region which received credits of TZS 33.0 </w:t>
      </w:r>
      <w:r w:rsidR="006825F1" w:rsidRPr="006B42D6">
        <w:t>b</w:t>
      </w:r>
      <w:r w:rsidRPr="006B42D6">
        <w:t xml:space="preserve">illion (16.7 percent) with the repayment of TZS 40.7 </w:t>
      </w:r>
      <w:r w:rsidR="006825F1" w:rsidRPr="006B42D6">
        <w:t>b</w:t>
      </w:r>
      <w:r w:rsidRPr="006B42D6">
        <w:t xml:space="preserve">illion (14.5 percent), of which cooperative was the main source (46.7 percent) and Kilimanjaro region with a </w:t>
      </w:r>
      <w:r w:rsidR="00A41AC7" w:rsidRPr="006B42D6">
        <w:t>total credit of TZS</w:t>
      </w:r>
      <w:r w:rsidRPr="006B42D6">
        <w:t xml:space="preserve"> 14.8 </w:t>
      </w:r>
      <w:r w:rsidR="006825F1" w:rsidRPr="006B42D6">
        <w:t>bi</w:t>
      </w:r>
      <w:r w:rsidRPr="006B42D6">
        <w:t xml:space="preserve">llion (7.5 percent) with the repayment of TZS 25.2 </w:t>
      </w:r>
      <w:r w:rsidR="006825F1" w:rsidRPr="006B42D6">
        <w:t>b</w:t>
      </w:r>
      <w:r w:rsidRPr="006B42D6">
        <w:t>illion</w:t>
      </w:r>
      <w:r w:rsidR="006825F1" w:rsidRPr="006B42D6">
        <w:t>,</w:t>
      </w:r>
      <w:r w:rsidRPr="006B42D6">
        <w:t xml:space="preserve"> whereby savings and credit societies was the main source (51.3 percent). On the contrary, Tanga region reported th</w:t>
      </w:r>
      <w:r w:rsidR="006825F1" w:rsidRPr="006B42D6">
        <w:t>e least credit value (TZS 0.21 b</w:t>
      </w:r>
      <w:r w:rsidRPr="006B42D6">
        <w:t>illion; 0.1 percent) that le</w:t>
      </w:r>
      <w:r w:rsidR="006825F1" w:rsidRPr="006B42D6">
        <w:t>d to the repayment of TZS 0.23 b</w:t>
      </w:r>
      <w:r w:rsidRPr="006B42D6">
        <w:t>illion and the main source of credit was savings and credit societies (46.8 percent)</w:t>
      </w:r>
      <w:r w:rsidR="00612C4E" w:rsidRPr="006B42D6">
        <w:t>.</w:t>
      </w:r>
    </w:p>
    <w:p w14:paraId="71BF4CE3" w14:textId="77777777" w:rsidR="00A32971" w:rsidRPr="006B42D6" w:rsidRDefault="00A32971" w:rsidP="00565D92">
      <w:pPr>
        <w:spacing w:line="240" w:lineRule="auto"/>
      </w:pPr>
    </w:p>
    <w:p w14:paraId="52F58C10" w14:textId="5C4F3B35" w:rsidR="00A32971" w:rsidRPr="006B42D6" w:rsidRDefault="00A32971" w:rsidP="00A32971">
      <w:r w:rsidRPr="006B42D6">
        <w:t xml:space="preserve">In Tanzania Zanzibar, smallholder farmers in Kusini Unguja region reported the highest amount of credits (TZS 690.5 </w:t>
      </w:r>
      <w:r w:rsidR="006825F1" w:rsidRPr="006B42D6">
        <w:t>m</w:t>
      </w:r>
      <w:r w:rsidRPr="006B42D6">
        <w:t xml:space="preserve">illion; 44.2 percent) with the repayment of TZS 1.7 </w:t>
      </w:r>
      <w:r w:rsidR="006825F1" w:rsidRPr="006B42D6">
        <w:t>b</w:t>
      </w:r>
      <w:r w:rsidRPr="006B42D6">
        <w:t xml:space="preserve">illion, of which cooperative was the main source (40.9 percent). It was followed by, Mjini Magharibi region (TZS 521.8 </w:t>
      </w:r>
      <w:r w:rsidR="006825F1" w:rsidRPr="006B42D6">
        <w:t>m</w:t>
      </w:r>
      <w:r w:rsidRPr="006B42D6">
        <w:t xml:space="preserve">illion; 33.4 percent) with the repayment of Tshs 693.7 </w:t>
      </w:r>
      <w:r w:rsidR="006825F1" w:rsidRPr="006B42D6">
        <w:t>m</w:t>
      </w:r>
      <w:r w:rsidRPr="006B42D6">
        <w:t>illion of which cooperative was the main source (66.2 percent). Conversely, Kaskazini Pemba region reported small amount credite</w:t>
      </w:r>
      <w:r w:rsidR="003073A0">
        <w:t>d</w:t>
      </w:r>
      <w:r w:rsidRPr="006B42D6">
        <w:t xml:space="preserve"> (TZS 58.9 </w:t>
      </w:r>
      <w:r w:rsidR="006825F1" w:rsidRPr="006B42D6">
        <w:t>m</w:t>
      </w:r>
      <w:r w:rsidRPr="006B42D6">
        <w:t xml:space="preserve">illion; 3.8 percent) with the repayment value of (TZS 58.9 </w:t>
      </w:r>
      <w:r w:rsidR="00A41AC7" w:rsidRPr="006B42D6">
        <w:t>million</w:t>
      </w:r>
      <w:r w:rsidRPr="006B42D6">
        <w:t xml:space="preserve">) of which NGO was the main source (82.2 percent) (Table </w:t>
      </w:r>
      <w:r w:rsidR="00612C4E" w:rsidRPr="006B42D6">
        <w:t>5.</w:t>
      </w:r>
      <w:r w:rsidR="00565D92">
        <w:t>4</w:t>
      </w:r>
      <w:r w:rsidRPr="006B42D6">
        <w:t xml:space="preserve">). </w:t>
      </w:r>
    </w:p>
    <w:p w14:paraId="310B155C" w14:textId="77777777" w:rsidR="00A32971" w:rsidRPr="006B42D6" w:rsidRDefault="00A32971" w:rsidP="00A32971">
      <w:r w:rsidRPr="006B42D6">
        <w:br w:type="page"/>
      </w:r>
    </w:p>
    <w:p w14:paraId="113F3235" w14:textId="4789F02C" w:rsidR="00A32971" w:rsidRPr="006B42D6" w:rsidRDefault="00A32971" w:rsidP="007200F6">
      <w:pPr>
        <w:pStyle w:val="Heading7"/>
      </w:pPr>
      <w:bookmarkStart w:id="846" w:name="_Toc82386234"/>
      <w:r w:rsidRPr="006B42D6">
        <w:lastRenderedPageBreak/>
        <w:t>Table</w:t>
      </w:r>
      <w:r w:rsidR="00602AD5" w:rsidRPr="006B42D6">
        <w:t xml:space="preserve"> </w:t>
      </w:r>
      <w:r w:rsidR="00612C4E" w:rsidRPr="006B42D6">
        <w:t>5.</w:t>
      </w:r>
      <w:r w:rsidR="00565D92">
        <w:t>4:</w:t>
      </w:r>
      <w:r w:rsidR="00E17DC7">
        <w:tab/>
      </w:r>
      <w:r w:rsidRPr="006B42D6">
        <w:t>Value and Percentage of Credits and Repayment</w:t>
      </w:r>
      <w:r w:rsidR="006825F1" w:rsidRPr="006B42D6">
        <w:t>s</w:t>
      </w:r>
      <w:r w:rsidRPr="006B42D6">
        <w:t xml:space="preserve"> by Region During 2019/20 Agricultural Year, Tanzania</w:t>
      </w:r>
      <w:bookmarkEnd w:id="846"/>
    </w:p>
    <w:tbl>
      <w:tblPr>
        <w:tblW w:w="5000" w:type="pct"/>
        <w:tblBorders>
          <w:top w:val="single" w:sz="4" w:space="0" w:color="auto"/>
          <w:bottom w:val="single" w:sz="4" w:space="0" w:color="auto"/>
        </w:tblBorders>
        <w:tblLook w:val="04A0" w:firstRow="1" w:lastRow="0" w:firstColumn="1" w:lastColumn="0" w:noHBand="0" w:noVBand="1"/>
      </w:tblPr>
      <w:tblGrid>
        <w:gridCol w:w="2201"/>
        <w:gridCol w:w="2350"/>
        <w:gridCol w:w="1323"/>
        <w:gridCol w:w="2202"/>
        <w:gridCol w:w="1160"/>
      </w:tblGrid>
      <w:tr w:rsidR="006B42D6" w:rsidRPr="006B42D6" w14:paraId="5DE73E78" w14:textId="77777777" w:rsidTr="0079074C">
        <w:trPr>
          <w:trHeight w:val="312"/>
        </w:trPr>
        <w:tc>
          <w:tcPr>
            <w:tcW w:w="1192" w:type="pct"/>
            <w:vMerge w:val="restart"/>
            <w:tcBorders>
              <w:top w:val="single" w:sz="4" w:space="0" w:color="auto"/>
              <w:bottom w:val="single" w:sz="4" w:space="0" w:color="auto"/>
              <w:right w:val="single" w:sz="4" w:space="0" w:color="auto"/>
            </w:tcBorders>
            <w:shd w:val="clear" w:color="auto" w:fill="E2EFD9" w:themeFill="accent6" w:themeFillTint="33"/>
            <w:noWrap/>
            <w:vAlign w:val="center"/>
            <w:hideMark/>
          </w:tcPr>
          <w:p w14:paraId="4075CF2E" w14:textId="77777777" w:rsidR="00A32971" w:rsidRPr="006B42D6" w:rsidRDefault="00A32971" w:rsidP="00AF7CD1">
            <w:pPr>
              <w:rPr>
                <w:b/>
                <w:bCs/>
                <w:sz w:val="16"/>
                <w:szCs w:val="16"/>
              </w:rPr>
            </w:pPr>
            <w:r w:rsidRPr="006B42D6">
              <w:rPr>
                <w:b/>
                <w:bCs/>
                <w:sz w:val="16"/>
                <w:szCs w:val="16"/>
              </w:rPr>
              <w:t>Region</w:t>
            </w:r>
          </w:p>
        </w:tc>
        <w:tc>
          <w:tcPr>
            <w:tcW w:w="1987" w:type="pct"/>
            <w:gridSpan w:val="2"/>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0299ECD5" w14:textId="77777777" w:rsidR="00A32971" w:rsidRPr="006B42D6" w:rsidRDefault="00A32971" w:rsidP="00AF7CD1">
            <w:pPr>
              <w:jc w:val="center"/>
              <w:rPr>
                <w:b/>
                <w:bCs/>
                <w:sz w:val="16"/>
                <w:szCs w:val="16"/>
              </w:rPr>
            </w:pPr>
            <w:r w:rsidRPr="006B42D6">
              <w:rPr>
                <w:b/>
                <w:bCs/>
                <w:sz w:val="16"/>
                <w:szCs w:val="16"/>
              </w:rPr>
              <w:t>Value of Credit</w:t>
            </w:r>
          </w:p>
        </w:tc>
        <w:tc>
          <w:tcPr>
            <w:tcW w:w="1820" w:type="pct"/>
            <w:gridSpan w:val="2"/>
            <w:tcBorders>
              <w:top w:val="single" w:sz="4" w:space="0" w:color="auto"/>
              <w:left w:val="single" w:sz="4" w:space="0" w:color="auto"/>
              <w:bottom w:val="single" w:sz="4" w:space="0" w:color="auto"/>
            </w:tcBorders>
            <w:shd w:val="clear" w:color="auto" w:fill="E2EFD9" w:themeFill="accent6" w:themeFillTint="33"/>
            <w:noWrap/>
            <w:vAlign w:val="center"/>
            <w:hideMark/>
          </w:tcPr>
          <w:p w14:paraId="661F680A" w14:textId="77777777" w:rsidR="00A32971" w:rsidRPr="006B42D6" w:rsidRDefault="00A32971" w:rsidP="00AF7CD1">
            <w:pPr>
              <w:jc w:val="center"/>
              <w:rPr>
                <w:b/>
                <w:bCs/>
                <w:sz w:val="16"/>
                <w:szCs w:val="16"/>
              </w:rPr>
            </w:pPr>
            <w:r w:rsidRPr="006B42D6">
              <w:rPr>
                <w:b/>
                <w:bCs/>
                <w:sz w:val="16"/>
                <w:szCs w:val="16"/>
              </w:rPr>
              <w:t>Value of Repayment</w:t>
            </w:r>
          </w:p>
        </w:tc>
      </w:tr>
      <w:tr w:rsidR="006B42D6" w:rsidRPr="006B42D6" w14:paraId="5575551D" w14:textId="77777777" w:rsidTr="0079074C">
        <w:trPr>
          <w:trHeight w:val="312"/>
        </w:trPr>
        <w:tc>
          <w:tcPr>
            <w:tcW w:w="1192" w:type="pct"/>
            <w:vMerge/>
            <w:tcBorders>
              <w:top w:val="single" w:sz="4" w:space="0" w:color="auto"/>
              <w:bottom w:val="single" w:sz="4" w:space="0" w:color="auto"/>
              <w:right w:val="single" w:sz="4" w:space="0" w:color="auto"/>
            </w:tcBorders>
            <w:shd w:val="clear" w:color="auto" w:fill="E2EFD9" w:themeFill="accent6" w:themeFillTint="33"/>
            <w:vAlign w:val="center"/>
            <w:hideMark/>
          </w:tcPr>
          <w:p w14:paraId="0B547596" w14:textId="77777777" w:rsidR="00A32971" w:rsidRPr="006B42D6" w:rsidRDefault="00A32971" w:rsidP="00AF7CD1">
            <w:pPr>
              <w:rPr>
                <w:b/>
                <w:bCs/>
                <w:sz w:val="16"/>
                <w:szCs w:val="16"/>
              </w:rPr>
            </w:pPr>
          </w:p>
        </w:tc>
        <w:tc>
          <w:tcPr>
            <w:tcW w:w="1272" w:type="pct"/>
            <w:tcBorders>
              <w:top w:val="single" w:sz="4" w:space="0" w:color="auto"/>
              <w:left w:val="single" w:sz="4" w:space="0" w:color="auto"/>
              <w:bottom w:val="single" w:sz="4" w:space="0" w:color="auto"/>
            </w:tcBorders>
            <w:shd w:val="clear" w:color="auto" w:fill="E2EFD9" w:themeFill="accent6" w:themeFillTint="33"/>
            <w:noWrap/>
            <w:vAlign w:val="center"/>
            <w:hideMark/>
          </w:tcPr>
          <w:p w14:paraId="422FB5DD" w14:textId="77777777" w:rsidR="00A32971" w:rsidRPr="006B42D6" w:rsidRDefault="00A32971" w:rsidP="0079074C">
            <w:pPr>
              <w:jc w:val="center"/>
              <w:rPr>
                <w:b/>
                <w:bCs/>
                <w:sz w:val="16"/>
                <w:szCs w:val="16"/>
              </w:rPr>
            </w:pPr>
            <w:r w:rsidRPr="006B42D6">
              <w:rPr>
                <w:b/>
                <w:bCs/>
                <w:sz w:val="16"/>
                <w:szCs w:val="16"/>
              </w:rPr>
              <w:t>Total (TZS)</w:t>
            </w:r>
          </w:p>
        </w:tc>
        <w:tc>
          <w:tcPr>
            <w:tcW w:w="716" w:type="pct"/>
            <w:tcBorders>
              <w:top w:val="single" w:sz="4" w:space="0" w:color="auto"/>
              <w:bottom w:val="single" w:sz="4" w:space="0" w:color="auto"/>
              <w:right w:val="single" w:sz="4" w:space="0" w:color="auto"/>
            </w:tcBorders>
            <w:shd w:val="clear" w:color="auto" w:fill="E2EFD9" w:themeFill="accent6" w:themeFillTint="33"/>
            <w:noWrap/>
            <w:vAlign w:val="center"/>
            <w:hideMark/>
          </w:tcPr>
          <w:p w14:paraId="3B60A5DE" w14:textId="408ACC43" w:rsidR="00A32971" w:rsidRPr="006B42D6" w:rsidRDefault="00A32971" w:rsidP="0079074C">
            <w:pPr>
              <w:jc w:val="center"/>
              <w:rPr>
                <w:b/>
                <w:bCs/>
                <w:sz w:val="16"/>
                <w:szCs w:val="16"/>
              </w:rPr>
            </w:pPr>
            <w:r w:rsidRPr="006B42D6">
              <w:rPr>
                <w:b/>
                <w:bCs/>
                <w:sz w:val="16"/>
                <w:szCs w:val="16"/>
              </w:rPr>
              <w:t>Percent</w:t>
            </w:r>
          </w:p>
        </w:tc>
        <w:tc>
          <w:tcPr>
            <w:tcW w:w="1192" w:type="pct"/>
            <w:tcBorders>
              <w:top w:val="single" w:sz="4" w:space="0" w:color="auto"/>
              <w:left w:val="single" w:sz="4" w:space="0" w:color="auto"/>
              <w:bottom w:val="single" w:sz="4" w:space="0" w:color="auto"/>
            </w:tcBorders>
            <w:shd w:val="clear" w:color="auto" w:fill="E2EFD9" w:themeFill="accent6" w:themeFillTint="33"/>
            <w:noWrap/>
            <w:vAlign w:val="center"/>
            <w:hideMark/>
          </w:tcPr>
          <w:p w14:paraId="05C8138A" w14:textId="77777777" w:rsidR="00A32971" w:rsidRPr="006B42D6" w:rsidRDefault="00A32971" w:rsidP="0079074C">
            <w:pPr>
              <w:jc w:val="center"/>
              <w:rPr>
                <w:b/>
                <w:bCs/>
                <w:sz w:val="16"/>
                <w:szCs w:val="16"/>
              </w:rPr>
            </w:pPr>
            <w:r w:rsidRPr="006B42D6">
              <w:rPr>
                <w:b/>
                <w:bCs/>
                <w:sz w:val="16"/>
                <w:szCs w:val="16"/>
              </w:rPr>
              <w:t>Total (TZS)</w:t>
            </w:r>
          </w:p>
        </w:tc>
        <w:tc>
          <w:tcPr>
            <w:tcW w:w="628" w:type="pct"/>
            <w:tcBorders>
              <w:top w:val="single" w:sz="4" w:space="0" w:color="auto"/>
              <w:bottom w:val="single" w:sz="4" w:space="0" w:color="auto"/>
            </w:tcBorders>
            <w:shd w:val="clear" w:color="auto" w:fill="E2EFD9" w:themeFill="accent6" w:themeFillTint="33"/>
            <w:noWrap/>
            <w:vAlign w:val="center"/>
            <w:hideMark/>
          </w:tcPr>
          <w:p w14:paraId="67A23919" w14:textId="30DB8182" w:rsidR="00A32971" w:rsidRPr="006B42D6" w:rsidRDefault="00A32971" w:rsidP="0079074C">
            <w:pPr>
              <w:jc w:val="center"/>
              <w:rPr>
                <w:b/>
                <w:bCs/>
                <w:sz w:val="16"/>
                <w:szCs w:val="16"/>
              </w:rPr>
            </w:pPr>
            <w:r w:rsidRPr="006B42D6">
              <w:rPr>
                <w:b/>
                <w:bCs/>
                <w:sz w:val="16"/>
                <w:szCs w:val="16"/>
              </w:rPr>
              <w:t>Percent</w:t>
            </w:r>
          </w:p>
        </w:tc>
      </w:tr>
      <w:tr w:rsidR="006B42D6" w:rsidRPr="006B42D6" w14:paraId="06FB7320" w14:textId="77777777" w:rsidTr="0079074C">
        <w:trPr>
          <w:trHeight w:val="312"/>
        </w:trPr>
        <w:tc>
          <w:tcPr>
            <w:tcW w:w="1192" w:type="pct"/>
            <w:tcBorders>
              <w:top w:val="single" w:sz="4" w:space="0" w:color="auto"/>
              <w:bottom w:val="nil"/>
              <w:right w:val="single" w:sz="4" w:space="0" w:color="auto"/>
            </w:tcBorders>
            <w:shd w:val="clear" w:color="auto" w:fill="auto"/>
            <w:vAlign w:val="center"/>
            <w:hideMark/>
          </w:tcPr>
          <w:p w14:paraId="114F1BFE" w14:textId="77777777" w:rsidR="00A32971" w:rsidRPr="006B42D6" w:rsidRDefault="00A32971" w:rsidP="0079074C">
            <w:pPr>
              <w:jc w:val="left"/>
              <w:rPr>
                <w:sz w:val="16"/>
                <w:szCs w:val="16"/>
              </w:rPr>
            </w:pPr>
            <w:r w:rsidRPr="006B42D6">
              <w:rPr>
                <w:sz w:val="16"/>
                <w:szCs w:val="16"/>
              </w:rPr>
              <w:t>Dodoma</w:t>
            </w:r>
          </w:p>
        </w:tc>
        <w:tc>
          <w:tcPr>
            <w:tcW w:w="1272" w:type="pct"/>
            <w:tcBorders>
              <w:top w:val="single" w:sz="4" w:space="0" w:color="auto"/>
              <w:left w:val="single" w:sz="4" w:space="0" w:color="auto"/>
              <w:bottom w:val="nil"/>
            </w:tcBorders>
            <w:shd w:val="clear" w:color="auto" w:fill="auto"/>
            <w:noWrap/>
            <w:vAlign w:val="center"/>
            <w:hideMark/>
          </w:tcPr>
          <w:p w14:paraId="22F1ACAD" w14:textId="77777777" w:rsidR="00A32971" w:rsidRPr="006B42D6" w:rsidRDefault="00A32971" w:rsidP="0079074C">
            <w:pPr>
              <w:jc w:val="right"/>
              <w:rPr>
                <w:sz w:val="16"/>
                <w:szCs w:val="16"/>
              </w:rPr>
            </w:pPr>
            <w:r w:rsidRPr="006B42D6">
              <w:rPr>
                <w:sz w:val="16"/>
                <w:szCs w:val="16"/>
              </w:rPr>
              <w:t>3,252,963,701</w:t>
            </w:r>
          </w:p>
        </w:tc>
        <w:tc>
          <w:tcPr>
            <w:tcW w:w="716" w:type="pct"/>
            <w:tcBorders>
              <w:top w:val="single" w:sz="4" w:space="0" w:color="auto"/>
              <w:bottom w:val="nil"/>
              <w:right w:val="single" w:sz="4" w:space="0" w:color="auto"/>
            </w:tcBorders>
            <w:shd w:val="clear" w:color="auto" w:fill="auto"/>
            <w:noWrap/>
            <w:vAlign w:val="center"/>
            <w:hideMark/>
          </w:tcPr>
          <w:p w14:paraId="2C7A34AD" w14:textId="678F3B0F" w:rsidR="00A32971" w:rsidRPr="006B42D6" w:rsidRDefault="00A32971" w:rsidP="0079074C">
            <w:pPr>
              <w:jc w:val="right"/>
              <w:rPr>
                <w:sz w:val="16"/>
                <w:szCs w:val="16"/>
              </w:rPr>
            </w:pPr>
            <w:r w:rsidRPr="006B42D6">
              <w:rPr>
                <w:sz w:val="16"/>
                <w:szCs w:val="16"/>
              </w:rPr>
              <w:t>1.6</w:t>
            </w:r>
          </w:p>
        </w:tc>
        <w:tc>
          <w:tcPr>
            <w:tcW w:w="1192" w:type="pct"/>
            <w:tcBorders>
              <w:top w:val="single" w:sz="4" w:space="0" w:color="auto"/>
              <w:left w:val="single" w:sz="4" w:space="0" w:color="auto"/>
              <w:bottom w:val="nil"/>
            </w:tcBorders>
            <w:shd w:val="clear" w:color="auto" w:fill="auto"/>
            <w:noWrap/>
            <w:vAlign w:val="center"/>
            <w:hideMark/>
          </w:tcPr>
          <w:p w14:paraId="6743A3CB" w14:textId="77777777" w:rsidR="00A32971" w:rsidRPr="006B42D6" w:rsidRDefault="00A32971" w:rsidP="0079074C">
            <w:pPr>
              <w:jc w:val="right"/>
              <w:rPr>
                <w:sz w:val="16"/>
                <w:szCs w:val="16"/>
              </w:rPr>
            </w:pPr>
            <w:r w:rsidRPr="006B42D6">
              <w:rPr>
                <w:sz w:val="16"/>
                <w:szCs w:val="16"/>
              </w:rPr>
              <w:t>4,842,378,760</w:t>
            </w:r>
          </w:p>
        </w:tc>
        <w:tc>
          <w:tcPr>
            <w:tcW w:w="628" w:type="pct"/>
            <w:tcBorders>
              <w:top w:val="single" w:sz="4" w:space="0" w:color="auto"/>
              <w:bottom w:val="nil"/>
            </w:tcBorders>
            <w:shd w:val="clear" w:color="auto" w:fill="auto"/>
            <w:noWrap/>
            <w:vAlign w:val="center"/>
            <w:hideMark/>
          </w:tcPr>
          <w:p w14:paraId="28EF7F82" w14:textId="77777777" w:rsidR="00A32971" w:rsidRPr="006B42D6" w:rsidRDefault="00A32971" w:rsidP="0079074C">
            <w:pPr>
              <w:jc w:val="right"/>
              <w:rPr>
                <w:sz w:val="16"/>
                <w:szCs w:val="16"/>
              </w:rPr>
            </w:pPr>
            <w:r w:rsidRPr="006B42D6">
              <w:rPr>
                <w:sz w:val="16"/>
                <w:szCs w:val="16"/>
              </w:rPr>
              <w:t>1.7</w:t>
            </w:r>
          </w:p>
        </w:tc>
      </w:tr>
      <w:tr w:rsidR="006B42D6" w:rsidRPr="006B42D6" w14:paraId="4EFDC1F4" w14:textId="77777777" w:rsidTr="0079074C">
        <w:trPr>
          <w:trHeight w:val="312"/>
        </w:trPr>
        <w:tc>
          <w:tcPr>
            <w:tcW w:w="1192" w:type="pct"/>
            <w:tcBorders>
              <w:top w:val="nil"/>
              <w:bottom w:val="nil"/>
              <w:right w:val="single" w:sz="4" w:space="0" w:color="auto"/>
            </w:tcBorders>
            <w:shd w:val="clear" w:color="auto" w:fill="auto"/>
            <w:vAlign w:val="center"/>
            <w:hideMark/>
          </w:tcPr>
          <w:p w14:paraId="777C3E61" w14:textId="77777777" w:rsidR="00A32971" w:rsidRPr="006B42D6" w:rsidRDefault="00A32971" w:rsidP="0079074C">
            <w:pPr>
              <w:jc w:val="left"/>
              <w:rPr>
                <w:sz w:val="16"/>
                <w:szCs w:val="16"/>
              </w:rPr>
            </w:pPr>
            <w:r w:rsidRPr="006B42D6">
              <w:rPr>
                <w:sz w:val="16"/>
                <w:szCs w:val="16"/>
              </w:rPr>
              <w:t>Arusha</w:t>
            </w:r>
          </w:p>
        </w:tc>
        <w:tc>
          <w:tcPr>
            <w:tcW w:w="1272" w:type="pct"/>
            <w:tcBorders>
              <w:top w:val="nil"/>
              <w:left w:val="single" w:sz="4" w:space="0" w:color="auto"/>
              <w:bottom w:val="nil"/>
            </w:tcBorders>
            <w:shd w:val="clear" w:color="auto" w:fill="auto"/>
            <w:noWrap/>
            <w:vAlign w:val="center"/>
            <w:hideMark/>
          </w:tcPr>
          <w:p w14:paraId="7472126F" w14:textId="77777777" w:rsidR="00A32971" w:rsidRPr="006B42D6" w:rsidRDefault="00A32971" w:rsidP="0079074C">
            <w:pPr>
              <w:jc w:val="right"/>
              <w:rPr>
                <w:sz w:val="16"/>
                <w:szCs w:val="16"/>
              </w:rPr>
            </w:pPr>
            <w:r w:rsidRPr="006B42D6">
              <w:rPr>
                <w:sz w:val="16"/>
                <w:szCs w:val="16"/>
              </w:rPr>
              <w:t>9,089,286,062</w:t>
            </w:r>
          </w:p>
        </w:tc>
        <w:tc>
          <w:tcPr>
            <w:tcW w:w="716" w:type="pct"/>
            <w:tcBorders>
              <w:top w:val="nil"/>
              <w:bottom w:val="nil"/>
              <w:right w:val="single" w:sz="4" w:space="0" w:color="auto"/>
            </w:tcBorders>
            <w:shd w:val="clear" w:color="auto" w:fill="auto"/>
            <w:noWrap/>
            <w:vAlign w:val="center"/>
            <w:hideMark/>
          </w:tcPr>
          <w:p w14:paraId="573A2EA0" w14:textId="435C2D61" w:rsidR="00A32971" w:rsidRPr="006B42D6" w:rsidRDefault="00A32971" w:rsidP="0079074C">
            <w:pPr>
              <w:jc w:val="right"/>
              <w:rPr>
                <w:sz w:val="16"/>
                <w:szCs w:val="16"/>
              </w:rPr>
            </w:pPr>
            <w:r w:rsidRPr="006B42D6">
              <w:rPr>
                <w:sz w:val="16"/>
                <w:szCs w:val="16"/>
              </w:rPr>
              <w:t>4.6</w:t>
            </w:r>
          </w:p>
        </w:tc>
        <w:tc>
          <w:tcPr>
            <w:tcW w:w="1192" w:type="pct"/>
            <w:tcBorders>
              <w:top w:val="nil"/>
              <w:left w:val="single" w:sz="4" w:space="0" w:color="auto"/>
              <w:bottom w:val="nil"/>
            </w:tcBorders>
            <w:shd w:val="clear" w:color="auto" w:fill="auto"/>
            <w:noWrap/>
            <w:vAlign w:val="center"/>
            <w:hideMark/>
          </w:tcPr>
          <w:p w14:paraId="6E1B852B" w14:textId="77777777" w:rsidR="00A32971" w:rsidRPr="006B42D6" w:rsidRDefault="00A32971" w:rsidP="0079074C">
            <w:pPr>
              <w:jc w:val="right"/>
              <w:rPr>
                <w:sz w:val="16"/>
                <w:szCs w:val="16"/>
              </w:rPr>
            </w:pPr>
            <w:r w:rsidRPr="006B42D6">
              <w:rPr>
                <w:sz w:val="16"/>
                <w:szCs w:val="16"/>
              </w:rPr>
              <w:t>18,170,203,277</w:t>
            </w:r>
          </w:p>
        </w:tc>
        <w:tc>
          <w:tcPr>
            <w:tcW w:w="628" w:type="pct"/>
            <w:tcBorders>
              <w:top w:val="nil"/>
              <w:bottom w:val="nil"/>
            </w:tcBorders>
            <w:shd w:val="clear" w:color="auto" w:fill="auto"/>
            <w:noWrap/>
            <w:vAlign w:val="center"/>
            <w:hideMark/>
          </w:tcPr>
          <w:p w14:paraId="30D0A2AE" w14:textId="77777777" w:rsidR="00A32971" w:rsidRPr="006B42D6" w:rsidRDefault="00A32971" w:rsidP="0079074C">
            <w:pPr>
              <w:jc w:val="right"/>
              <w:rPr>
                <w:sz w:val="16"/>
                <w:szCs w:val="16"/>
              </w:rPr>
            </w:pPr>
            <w:r w:rsidRPr="006B42D6">
              <w:rPr>
                <w:sz w:val="16"/>
                <w:szCs w:val="16"/>
              </w:rPr>
              <w:t>6.5</w:t>
            </w:r>
          </w:p>
        </w:tc>
      </w:tr>
      <w:tr w:rsidR="006B42D6" w:rsidRPr="006B42D6" w14:paraId="2BE04E37" w14:textId="77777777" w:rsidTr="0079074C">
        <w:trPr>
          <w:trHeight w:val="312"/>
        </w:trPr>
        <w:tc>
          <w:tcPr>
            <w:tcW w:w="1192" w:type="pct"/>
            <w:tcBorders>
              <w:top w:val="nil"/>
              <w:bottom w:val="nil"/>
              <w:right w:val="single" w:sz="4" w:space="0" w:color="auto"/>
            </w:tcBorders>
            <w:shd w:val="clear" w:color="auto" w:fill="auto"/>
            <w:vAlign w:val="center"/>
            <w:hideMark/>
          </w:tcPr>
          <w:p w14:paraId="78069830" w14:textId="77777777" w:rsidR="00A32971" w:rsidRPr="006B42D6" w:rsidRDefault="00A32971" w:rsidP="0079074C">
            <w:pPr>
              <w:jc w:val="left"/>
              <w:rPr>
                <w:sz w:val="16"/>
                <w:szCs w:val="16"/>
              </w:rPr>
            </w:pPr>
            <w:r w:rsidRPr="006B42D6">
              <w:rPr>
                <w:sz w:val="16"/>
                <w:szCs w:val="16"/>
              </w:rPr>
              <w:t>Kilimanjaro</w:t>
            </w:r>
          </w:p>
        </w:tc>
        <w:tc>
          <w:tcPr>
            <w:tcW w:w="1272" w:type="pct"/>
            <w:tcBorders>
              <w:top w:val="nil"/>
              <w:left w:val="single" w:sz="4" w:space="0" w:color="auto"/>
              <w:bottom w:val="nil"/>
            </w:tcBorders>
            <w:shd w:val="clear" w:color="auto" w:fill="auto"/>
            <w:noWrap/>
            <w:vAlign w:val="center"/>
            <w:hideMark/>
          </w:tcPr>
          <w:p w14:paraId="30094E84" w14:textId="77777777" w:rsidR="00A32971" w:rsidRPr="006B42D6" w:rsidRDefault="00A32971" w:rsidP="0079074C">
            <w:pPr>
              <w:jc w:val="right"/>
              <w:rPr>
                <w:sz w:val="16"/>
                <w:szCs w:val="16"/>
              </w:rPr>
            </w:pPr>
            <w:r w:rsidRPr="006B42D6">
              <w:rPr>
                <w:sz w:val="16"/>
                <w:szCs w:val="16"/>
              </w:rPr>
              <w:t>14,838,366,585</w:t>
            </w:r>
          </w:p>
        </w:tc>
        <w:tc>
          <w:tcPr>
            <w:tcW w:w="716" w:type="pct"/>
            <w:tcBorders>
              <w:top w:val="nil"/>
              <w:bottom w:val="nil"/>
              <w:right w:val="single" w:sz="4" w:space="0" w:color="auto"/>
            </w:tcBorders>
            <w:shd w:val="clear" w:color="auto" w:fill="auto"/>
            <w:noWrap/>
            <w:vAlign w:val="center"/>
            <w:hideMark/>
          </w:tcPr>
          <w:p w14:paraId="7015F923" w14:textId="06FFABF1" w:rsidR="00A32971" w:rsidRPr="006B42D6" w:rsidRDefault="00A32971" w:rsidP="0079074C">
            <w:pPr>
              <w:jc w:val="right"/>
              <w:rPr>
                <w:sz w:val="16"/>
                <w:szCs w:val="16"/>
              </w:rPr>
            </w:pPr>
            <w:r w:rsidRPr="006B42D6">
              <w:rPr>
                <w:sz w:val="16"/>
                <w:szCs w:val="16"/>
              </w:rPr>
              <w:t>7.5</w:t>
            </w:r>
          </w:p>
        </w:tc>
        <w:tc>
          <w:tcPr>
            <w:tcW w:w="1192" w:type="pct"/>
            <w:tcBorders>
              <w:top w:val="nil"/>
              <w:left w:val="single" w:sz="4" w:space="0" w:color="auto"/>
              <w:bottom w:val="nil"/>
            </w:tcBorders>
            <w:shd w:val="clear" w:color="auto" w:fill="auto"/>
            <w:noWrap/>
            <w:vAlign w:val="center"/>
            <w:hideMark/>
          </w:tcPr>
          <w:p w14:paraId="1603B618" w14:textId="77777777" w:rsidR="00A32971" w:rsidRPr="006B42D6" w:rsidRDefault="00A32971" w:rsidP="0079074C">
            <w:pPr>
              <w:jc w:val="right"/>
              <w:rPr>
                <w:sz w:val="16"/>
                <w:szCs w:val="16"/>
              </w:rPr>
            </w:pPr>
            <w:r w:rsidRPr="006B42D6">
              <w:rPr>
                <w:sz w:val="16"/>
                <w:szCs w:val="16"/>
              </w:rPr>
              <w:t>25,188,926,888</w:t>
            </w:r>
          </w:p>
        </w:tc>
        <w:tc>
          <w:tcPr>
            <w:tcW w:w="628" w:type="pct"/>
            <w:tcBorders>
              <w:top w:val="nil"/>
              <w:bottom w:val="nil"/>
            </w:tcBorders>
            <w:shd w:val="clear" w:color="auto" w:fill="auto"/>
            <w:noWrap/>
            <w:vAlign w:val="center"/>
            <w:hideMark/>
          </w:tcPr>
          <w:p w14:paraId="276D6C4B" w14:textId="77777777" w:rsidR="00A32971" w:rsidRPr="006B42D6" w:rsidRDefault="00A32971" w:rsidP="0079074C">
            <w:pPr>
              <w:jc w:val="right"/>
              <w:rPr>
                <w:sz w:val="16"/>
                <w:szCs w:val="16"/>
              </w:rPr>
            </w:pPr>
            <w:r w:rsidRPr="006B42D6">
              <w:rPr>
                <w:sz w:val="16"/>
                <w:szCs w:val="16"/>
              </w:rPr>
              <w:t>9.0</w:t>
            </w:r>
          </w:p>
        </w:tc>
      </w:tr>
      <w:tr w:rsidR="006B42D6" w:rsidRPr="006B42D6" w14:paraId="2A663B5C" w14:textId="77777777" w:rsidTr="0079074C">
        <w:trPr>
          <w:trHeight w:val="312"/>
        </w:trPr>
        <w:tc>
          <w:tcPr>
            <w:tcW w:w="1192" w:type="pct"/>
            <w:tcBorders>
              <w:top w:val="nil"/>
              <w:bottom w:val="nil"/>
              <w:right w:val="single" w:sz="4" w:space="0" w:color="auto"/>
            </w:tcBorders>
            <w:shd w:val="clear" w:color="auto" w:fill="auto"/>
            <w:vAlign w:val="center"/>
            <w:hideMark/>
          </w:tcPr>
          <w:p w14:paraId="57256D12" w14:textId="77777777" w:rsidR="00A32971" w:rsidRPr="006B42D6" w:rsidRDefault="00A32971" w:rsidP="0079074C">
            <w:pPr>
              <w:jc w:val="left"/>
              <w:rPr>
                <w:sz w:val="16"/>
                <w:szCs w:val="16"/>
              </w:rPr>
            </w:pPr>
            <w:r w:rsidRPr="006B42D6">
              <w:rPr>
                <w:sz w:val="16"/>
                <w:szCs w:val="16"/>
              </w:rPr>
              <w:t>Tanga</w:t>
            </w:r>
          </w:p>
        </w:tc>
        <w:tc>
          <w:tcPr>
            <w:tcW w:w="1272" w:type="pct"/>
            <w:tcBorders>
              <w:top w:val="nil"/>
              <w:left w:val="single" w:sz="4" w:space="0" w:color="auto"/>
              <w:bottom w:val="nil"/>
            </w:tcBorders>
            <w:shd w:val="clear" w:color="auto" w:fill="auto"/>
            <w:noWrap/>
            <w:vAlign w:val="center"/>
            <w:hideMark/>
          </w:tcPr>
          <w:p w14:paraId="51D62441" w14:textId="77777777" w:rsidR="00A32971" w:rsidRPr="006B42D6" w:rsidRDefault="00A32971" w:rsidP="0079074C">
            <w:pPr>
              <w:jc w:val="right"/>
              <w:rPr>
                <w:sz w:val="16"/>
                <w:szCs w:val="16"/>
              </w:rPr>
            </w:pPr>
            <w:r w:rsidRPr="006B42D6">
              <w:rPr>
                <w:sz w:val="16"/>
                <w:szCs w:val="16"/>
              </w:rPr>
              <w:t>206,354,676</w:t>
            </w:r>
          </w:p>
        </w:tc>
        <w:tc>
          <w:tcPr>
            <w:tcW w:w="716" w:type="pct"/>
            <w:tcBorders>
              <w:top w:val="nil"/>
              <w:bottom w:val="nil"/>
              <w:right w:val="single" w:sz="4" w:space="0" w:color="auto"/>
            </w:tcBorders>
            <w:shd w:val="clear" w:color="auto" w:fill="auto"/>
            <w:noWrap/>
            <w:vAlign w:val="center"/>
            <w:hideMark/>
          </w:tcPr>
          <w:p w14:paraId="1F39ADDA" w14:textId="12613079" w:rsidR="00A32971" w:rsidRPr="006B42D6" w:rsidRDefault="00A32971" w:rsidP="0079074C">
            <w:pPr>
              <w:jc w:val="right"/>
              <w:rPr>
                <w:sz w:val="16"/>
                <w:szCs w:val="16"/>
              </w:rPr>
            </w:pPr>
            <w:r w:rsidRPr="006B42D6">
              <w:rPr>
                <w:sz w:val="16"/>
                <w:szCs w:val="16"/>
              </w:rPr>
              <w:t>0.1</w:t>
            </w:r>
          </w:p>
        </w:tc>
        <w:tc>
          <w:tcPr>
            <w:tcW w:w="1192" w:type="pct"/>
            <w:tcBorders>
              <w:top w:val="nil"/>
              <w:left w:val="single" w:sz="4" w:space="0" w:color="auto"/>
              <w:bottom w:val="nil"/>
            </w:tcBorders>
            <w:shd w:val="clear" w:color="auto" w:fill="auto"/>
            <w:noWrap/>
            <w:vAlign w:val="center"/>
            <w:hideMark/>
          </w:tcPr>
          <w:p w14:paraId="02CF4EAE" w14:textId="77777777" w:rsidR="00A32971" w:rsidRPr="006B42D6" w:rsidRDefault="00A32971" w:rsidP="0079074C">
            <w:pPr>
              <w:jc w:val="right"/>
              <w:rPr>
                <w:sz w:val="16"/>
                <w:szCs w:val="16"/>
              </w:rPr>
            </w:pPr>
            <w:r w:rsidRPr="006B42D6">
              <w:rPr>
                <w:sz w:val="16"/>
                <w:szCs w:val="16"/>
              </w:rPr>
              <w:t>232,230,720</w:t>
            </w:r>
          </w:p>
        </w:tc>
        <w:tc>
          <w:tcPr>
            <w:tcW w:w="628" w:type="pct"/>
            <w:tcBorders>
              <w:top w:val="nil"/>
              <w:bottom w:val="nil"/>
            </w:tcBorders>
            <w:shd w:val="clear" w:color="auto" w:fill="auto"/>
            <w:noWrap/>
            <w:vAlign w:val="center"/>
            <w:hideMark/>
          </w:tcPr>
          <w:p w14:paraId="660A0B74" w14:textId="77777777" w:rsidR="00A32971" w:rsidRPr="006B42D6" w:rsidRDefault="00A32971" w:rsidP="0079074C">
            <w:pPr>
              <w:jc w:val="right"/>
              <w:rPr>
                <w:sz w:val="16"/>
                <w:szCs w:val="16"/>
              </w:rPr>
            </w:pPr>
            <w:r w:rsidRPr="006B42D6">
              <w:rPr>
                <w:sz w:val="16"/>
                <w:szCs w:val="16"/>
              </w:rPr>
              <w:t>0.1</w:t>
            </w:r>
          </w:p>
        </w:tc>
      </w:tr>
      <w:tr w:rsidR="006B42D6" w:rsidRPr="006B42D6" w14:paraId="422BB7CF" w14:textId="77777777" w:rsidTr="0079074C">
        <w:trPr>
          <w:trHeight w:val="312"/>
        </w:trPr>
        <w:tc>
          <w:tcPr>
            <w:tcW w:w="1192" w:type="pct"/>
            <w:tcBorders>
              <w:top w:val="nil"/>
              <w:bottom w:val="nil"/>
              <w:right w:val="single" w:sz="4" w:space="0" w:color="auto"/>
            </w:tcBorders>
            <w:shd w:val="clear" w:color="auto" w:fill="auto"/>
            <w:vAlign w:val="center"/>
            <w:hideMark/>
          </w:tcPr>
          <w:p w14:paraId="2EFFF737" w14:textId="77777777" w:rsidR="00A32971" w:rsidRPr="006B42D6" w:rsidRDefault="00A32971" w:rsidP="0079074C">
            <w:pPr>
              <w:jc w:val="left"/>
              <w:rPr>
                <w:sz w:val="16"/>
                <w:szCs w:val="16"/>
              </w:rPr>
            </w:pPr>
            <w:r w:rsidRPr="006B42D6">
              <w:rPr>
                <w:sz w:val="16"/>
                <w:szCs w:val="16"/>
              </w:rPr>
              <w:t>Morogoro</w:t>
            </w:r>
          </w:p>
        </w:tc>
        <w:tc>
          <w:tcPr>
            <w:tcW w:w="1272" w:type="pct"/>
            <w:tcBorders>
              <w:top w:val="nil"/>
              <w:left w:val="single" w:sz="4" w:space="0" w:color="auto"/>
              <w:bottom w:val="nil"/>
            </w:tcBorders>
            <w:shd w:val="clear" w:color="auto" w:fill="auto"/>
            <w:noWrap/>
            <w:vAlign w:val="center"/>
            <w:hideMark/>
          </w:tcPr>
          <w:p w14:paraId="2CBBB4B3" w14:textId="77777777" w:rsidR="00A32971" w:rsidRPr="006B42D6" w:rsidRDefault="00A32971" w:rsidP="0079074C">
            <w:pPr>
              <w:jc w:val="right"/>
              <w:rPr>
                <w:sz w:val="16"/>
                <w:szCs w:val="16"/>
              </w:rPr>
            </w:pPr>
            <w:r w:rsidRPr="006B42D6">
              <w:rPr>
                <w:sz w:val="16"/>
                <w:szCs w:val="16"/>
              </w:rPr>
              <w:t>5,285,159,167</w:t>
            </w:r>
          </w:p>
        </w:tc>
        <w:tc>
          <w:tcPr>
            <w:tcW w:w="716" w:type="pct"/>
            <w:tcBorders>
              <w:top w:val="nil"/>
              <w:bottom w:val="nil"/>
              <w:right w:val="single" w:sz="4" w:space="0" w:color="auto"/>
            </w:tcBorders>
            <w:shd w:val="clear" w:color="auto" w:fill="auto"/>
            <w:noWrap/>
            <w:vAlign w:val="center"/>
            <w:hideMark/>
          </w:tcPr>
          <w:p w14:paraId="381007F3" w14:textId="094B7260" w:rsidR="00A32971" w:rsidRPr="006B42D6" w:rsidRDefault="00A32971" w:rsidP="0079074C">
            <w:pPr>
              <w:jc w:val="right"/>
              <w:rPr>
                <w:sz w:val="16"/>
                <w:szCs w:val="16"/>
              </w:rPr>
            </w:pPr>
            <w:r w:rsidRPr="006B42D6">
              <w:rPr>
                <w:sz w:val="16"/>
                <w:szCs w:val="16"/>
              </w:rPr>
              <w:t>2.7</w:t>
            </w:r>
          </w:p>
        </w:tc>
        <w:tc>
          <w:tcPr>
            <w:tcW w:w="1192" w:type="pct"/>
            <w:tcBorders>
              <w:top w:val="nil"/>
              <w:left w:val="single" w:sz="4" w:space="0" w:color="auto"/>
              <w:bottom w:val="nil"/>
            </w:tcBorders>
            <w:shd w:val="clear" w:color="auto" w:fill="auto"/>
            <w:noWrap/>
            <w:vAlign w:val="center"/>
            <w:hideMark/>
          </w:tcPr>
          <w:p w14:paraId="5A0DD5B5" w14:textId="77777777" w:rsidR="00A32971" w:rsidRPr="006B42D6" w:rsidRDefault="00A32971" w:rsidP="0079074C">
            <w:pPr>
              <w:jc w:val="right"/>
              <w:rPr>
                <w:sz w:val="16"/>
                <w:szCs w:val="16"/>
              </w:rPr>
            </w:pPr>
            <w:r w:rsidRPr="006B42D6">
              <w:rPr>
                <w:sz w:val="16"/>
                <w:szCs w:val="16"/>
              </w:rPr>
              <w:t>6,769,635,803</w:t>
            </w:r>
          </w:p>
        </w:tc>
        <w:tc>
          <w:tcPr>
            <w:tcW w:w="628" w:type="pct"/>
            <w:tcBorders>
              <w:top w:val="nil"/>
              <w:bottom w:val="nil"/>
            </w:tcBorders>
            <w:shd w:val="clear" w:color="auto" w:fill="auto"/>
            <w:noWrap/>
            <w:vAlign w:val="center"/>
            <w:hideMark/>
          </w:tcPr>
          <w:p w14:paraId="5FCC7830" w14:textId="77777777" w:rsidR="00A32971" w:rsidRPr="006B42D6" w:rsidRDefault="00A32971" w:rsidP="0079074C">
            <w:pPr>
              <w:jc w:val="right"/>
              <w:rPr>
                <w:sz w:val="16"/>
                <w:szCs w:val="16"/>
              </w:rPr>
            </w:pPr>
            <w:r w:rsidRPr="006B42D6">
              <w:rPr>
                <w:sz w:val="16"/>
                <w:szCs w:val="16"/>
              </w:rPr>
              <w:t>2.4</w:t>
            </w:r>
          </w:p>
        </w:tc>
      </w:tr>
      <w:tr w:rsidR="006B42D6" w:rsidRPr="006B42D6" w14:paraId="3AD85481" w14:textId="77777777" w:rsidTr="0079074C">
        <w:trPr>
          <w:trHeight w:val="312"/>
        </w:trPr>
        <w:tc>
          <w:tcPr>
            <w:tcW w:w="1192" w:type="pct"/>
            <w:tcBorders>
              <w:top w:val="nil"/>
              <w:bottom w:val="nil"/>
              <w:right w:val="single" w:sz="4" w:space="0" w:color="auto"/>
            </w:tcBorders>
            <w:shd w:val="clear" w:color="auto" w:fill="auto"/>
            <w:vAlign w:val="center"/>
            <w:hideMark/>
          </w:tcPr>
          <w:p w14:paraId="22374908" w14:textId="77777777" w:rsidR="00A32971" w:rsidRPr="006B42D6" w:rsidRDefault="00A32971" w:rsidP="0079074C">
            <w:pPr>
              <w:jc w:val="left"/>
              <w:rPr>
                <w:sz w:val="16"/>
                <w:szCs w:val="16"/>
              </w:rPr>
            </w:pPr>
            <w:r w:rsidRPr="006B42D6">
              <w:rPr>
                <w:sz w:val="16"/>
                <w:szCs w:val="16"/>
              </w:rPr>
              <w:t>Pwani</w:t>
            </w:r>
          </w:p>
        </w:tc>
        <w:tc>
          <w:tcPr>
            <w:tcW w:w="1272" w:type="pct"/>
            <w:tcBorders>
              <w:top w:val="nil"/>
              <w:left w:val="single" w:sz="4" w:space="0" w:color="auto"/>
              <w:bottom w:val="nil"/>
            </w:tcBorders>
            <w:shd w:val="clear" w:color="auto" w:fill="auto"/>
            <w:noWrap/>
            <w:vAlign w:val="center"/>
            <w:hideMark/>
          </w:tcPr>
          <w:p w14:paraId="3DF980A9" w14:textId="77777777" w:rsidR="00A32971" w:rsidRPr="006B42D6" w:rsidRDefault="00A32971" w:rsidP="0079074C">
            <w:pPr>
              <w:jc w:val="right"/>
              <w:rPr>
                <w:sz w:val="16"/>
                <w:szCs w:val="16"/>
              </w:rPr>
            </w:pPr>
            <w:r w:rsidRPr="006B42D6">
              <w:rPr>
                <w:sz w:val="16"/>
                <w:szCs w:val="16"/>
              </w:rPr>
              <w:t>2,113,044,593</w:t>
            </w:r>
          </w:p>
        </w:tc>
        <w:tc>
          <w:tcPr>
            <w:tcW w:w="716" w:type="pct"/>
            <w:tcBorders>
              <w:top w:val="nil"/>
              <w:bottom w:val="nil"/>
              <w:right w:val="single" w:sz="4" w:space="0" w:color="auto"/>
            </w:tcBorders>
            <w:shd w:val="clear" w:color="auto" w:fill="auto"/>
            <w:noWrap/>
            <w:vAlign w:val="center"/>
            <w:hideMark/>
          </w:tcPr>
          <w:p w14:paraId="27C9BB8C" w14:textId="09986BF8" w:rsidR="00A32971" w:rsidRPr="006B42D6" w:rsidRDefault="00A32971" w:rsidP="0079074C">
            <w:pPr>
              <w:jc w:val="right"/>
              <w:rPr>
                <w:sz w:val="16"/>
                <w:szCs w:val="16"/>
              </w:rPr>
            </w:pPr>
            <w:r w:rsidRPr="006B42D6">
              <w:rPr>
                <w:sz w:val="16"/>
                <w:szCs w:val="16"/>
              </w:rPr>
              <w:t>1.1</w:t>
            </w:r>
          </w:p>
        </w:tc>
        <w:tc>
          <w:tcPr>
            <w:tcW w:w="1192" w:type="pct"/>
            <w:tcBorders>
              <w:top w:val="nil"/>
              <w:left w:val="single" w:sz="4" w:space="0" w:color="auto"/>
              <w:bottom w:val="nil"/>
            </w:tcBorders>
            <w:shd w:val="clear" w:color="auto" w:fill="auto"/>
            <w:noWrap/>
            <w:vAlign w:val="center"/>
            <w:hideMark/>
          </w:tcPr>
          <w:p w14:paraId="012CAFC6" w14:textId="77777777" w:rsidR="00A32971" w:rsidRPr="006B42D6" w:rsidRDefault="00A32971" w:rsidP="0079074C">
            <w:pPr>
              <w:jc w:val="right"/>
              <w:rPr>
                <w:sz w:val="16"/>
                <w:szCs w:val="16"/>
              </w:rPr>
            </w:pPr>
            <w:r w:rsidRPr="006B42D6">
              <w:rPr>
                <w:sz w:val="16"/>
                <w:szCs w:val="16"/>
              </w:rPr>
              <w:t>2,484,954,186</w:t>
            </w:r>
          </w:p>
        </w:tc>
        <w:tc>
          <w:tcPr>
            <w:tcW w:w="628" w:type="pct"/>
            <w:tcBorders>
              <w:top w:val="nil"/>
              <w:bottom w:val="nil"/>
            </w:tcBorders>
            <w:shd w:val="clear" w:color="auto" w:fill="auto"/>
            <w:noWrap/>
            <w:vAlign w:val="center"/>
            <w:hideMark/>
          </w:tcPr>
          <w:p w14:paraId="2A5FDE1A" w14:textId="77777777" w:rsidR="00A32971" w:rsidRPr="006B42D6" w:rsidRDefault="00A32971" w:rsidP="0079074C">
            <w:pPr>
              <w:jc w:val="right"/>
              <w:rPr>
                <w:sz w:val="16"/>
                <w:szCs w:val="16"/>
              </w:rPr>
            </w:pPr>
            <w:r w:rsidRPr="006B42D6">
              <w:rPr>
                <w:sz w:val="16"/>
                <w:szCs w:val="16"/>
              </w:rPr>
              <w:t>0.9</w:t>
            </w:r>
          </w:p>
        </w:tc>
      </w:tr>
      <w:tr w:rsidR="006B42D6" w:rsidRPr="006B42D6" w14:paraId="3C05CC3B" w14:textId="77777777" w:rsidTr="0079074C">
        <w:trPr>
          <w:trHeight w:val="312"/>
        </w:trPr>
        <w:tc>
          <w:tcPr>
            <w:tcW w:w="1192" w:type="pct"/>
            <w:tcBorders>
              <w:top w:val="nil"/>
              <w:bottom w:val="nil"/>
              <w:right w:val="single" w:sz="4" w:space="0" w:color="auto"/>
            </w:tcBorders>
            <w:shd w:val="clear" w:color="auto" w:fill="auto"/>
            <w:vAlign w:val="center"/>
            <w:hideMark/>
          </w:tcPr>
          <w:p w14:paraId="182E9BAA" w14:textId="77777777" w:rsidR="00A32971" w:rsidRPr="006B42D6" w:rsidRDefault="00A32971" w:rsidP="0079074C">
            <w:pPr>
              <w:jc w:val="left"/>
              <w:rPr>
                <w:sz w:val="16"/>
                <w:szCs w:val="16"/>
              </w:rPr>
            </w:pPr>
            <w:r w:rsidRPr="006B42D6">
              <w:rPr>
                <w:sz w:val="16"/>
                <w:szCs w:val="16"/>
              </w:rPr>
              <w:t>Dar-es-salaam</w:t>
            </w:r>
          </w:p>
        </w:tc>
        <w:tc>
          <w:tcPr>
            <w:tcW w:w="1272" w:type="pct"/>
            <w:tcBorders>
              <w:top w:val="nil"/>
              <w:left w:val="single" w:sz="4" w:space="0" w:color="auto"/>
              <w:bottom w:val="nil"/>
            </w:tcBorders>
            <w:shd w:val="clear" w:color="auto" w:fill="auto"/>
            <w:noWrap/>
            <w:vAlign w:val="center"/>
            <w:hideMark/>
          </w:tcPr>
          <w:p w14:paraId="4F168CCB" w14:textId="77777777" w:rsidR="00A32971" w:rsidRPr="006B42D6" w:rsidRDefault="00A32971" w:rsidP="0079074C">
            <w:pPr>
              <w:jc w:val="right"/>
              <w:rPr>
                <w:sz w:val="16"/>
                <w:szCs w:val="16"/>
              </w:rPr>
            </w:pPr>
            <w:r w:rsidRPr="006B42D6">
              <w:rPr>
                <w:sz w:val="16"/>
                <w:szCs w:val="16"/>
              </w:rPr>
              <w:t>11,519,801,067</w:t>
            </w:r>
          </w:p>
        </w:tc>
        <w:tc>
          <w:tcPr>
            <w:tcW w:w="716" w:type="pct"/>
            <w:tcBorders>
              <w:top w:val="nil"/>
              <w:bottom w:val="nil"/>
              <w:right w:val="single" w:sz="4" w:space="0" w:color="auto"/>
            </w:tcBorders>
            <w:shd w:val="clear" w:color="auto" w:fill="auto"/>
            <w:noWrap/>
            <w:vAlign w:val="center"/>
            <w:hideMark/>
          </w:tcPr>
          <w:p w14:paraId="2F241EE4" w14:textId="4A1A634B" w:rsidR="00A32971" w:rsidRPr="006B42D6" w:rsidRDefault="00A32971" w:rsidP="0079074C">
            <w:pPr>
              <w:jc w:val="right"/>
              <w:rPr>
                <w:sz w:val="16"/>
                <w:szCs w:val="16"/>
              </w:rPr>
            </w:pPr>
            <w:r w:rsidRPr="006B42D6">
              <w:rPr>
                <w:sz w:val="16"/>
                <w:szCs w:val="16"/>
              </w:rPr>
              <w:t>5.8</w:t>
            </w:r>
          </w:p>
        </w:tc>
        <w:tc>
          <w:tcPr>
            <w:tcW w:w="1192" w:type="pct"/>
            <w:tcBorders>
              <w:top w:val="nil"/>
              <w:left w:val="single" w:sz="4" w:space="0" w:color="auto"/>
              <w:bottom w:val="nil"/>
            </w:tcBorders>
            <w:shd w:val="clear" w:color="auto" w:fill="auto"/>
            <w:noWrap/>
            <w:vAlign w:val="center"/>
            <w:hideMark/>
          </w:tcPr>
          <w:p w14:paraId="17C1CDD3" w14:textId="77777777" w:rsidR="00A32971" w:rsidRPr="006B42D6" w:rsidRDefault="00A32971" w:rsidP="0079074C">
            <w:pPr>
              <w:jc w:val="right"/>
              <w:rPr>
                <w:sz w:val="16"/>
                <w:szCs w:val="16"/>
              </w:rPr>
            </w:pPr>
            <w:r w:rsidRPr="006B42D6">
              <w:rPr>
                <w:sz w:val="16"/>
                <w:szCs w:val="16"/>
              </w:rPr>
              <w:t>12,857,871,818</w:t>
            </w:r>
          </w:p>
        </w:tc>
        <w:tc>
          <w:tcPr>
            <w:tcW w:w="628" w:type="pct"/>
            <w:tcBorders>
              <w:top w:val="nil"/>
              <w:bottom w:val="nil"/>
            </w:tcBorders>
            <w:shd w:val="clear" w:color="auto" w:fill="auto"/>
            <w:noWrap/>
            <w:vAlign w:val="center"/>
            <w:hideMark/>
          </w:tcPr>
          <w:p w14:paraId="0101C596" w14:textId="77777777" w:rsidR="00A32971" w:rsidRPr="006B42D6" w:rsidRDefault="00A32971" w:rsidP="0079074C">
            <w:pPr>
              <w:jc w:val="right"/>
              <w:rPr>
                <w:sz w:val="16"/>
                <w:szCs w:val="16"/>
              </w:rPr>
            </w:pPr>
            <w:r w:rsidRPr="006B42D6">
              <w:rPr>
                <w:sz w:val="16"/>
                <w:szCs w:val="16"/>
              </w:rPr>
              <w:t>4.6</w:t>
            </w:r>
          </w:p>
        </w:tc>
      </w:tr>
      <w:tr w:rsidR="006B42D6" w:rsidRPr="006B42D6" w14:paraId="19DDC143" w14:textId="77777777" w:rsidTr="0079074C">
        <w:trPr>
          <w:trHeight w:val="312"/>
        </w:trPr>
        <w:tc>
          <w:tcPr>
            <w:tcW w:w="1192" w:type="pct"/>
            <w:tcBorders>
              <w:top w:val="nil"/>
              <w:bottom w:val="nil"/>
              <w:right w:val="single" w:sz="4" w:space="0" w:color="auto"/>
            </w:tcBorders>
            <w:shd w:val="clear" w:color="auto" w:fill="auto"/>
            <w:vAlign w:val="center"/>
            <w:hideMark/>
          </w:tcPr>
          <w:p w14:paraId="4578CAE0" w14:textId="77777777" w:rsidR="00A32971" w:rsidRPr="006B42D6" w:rsidRDefault="00A32971" w:rsidP="0079074C">
            <w:pPr>
              <w:jc w:val="left"/>
              <w:rPr>
                <w:sz w:val="16"/>
                <w:szCs w:val="16"/>
              </w:rPr>
            </w:pPr>
            <w:r w:rsidRPr="006B42D6">
              <w:rPr>
                <w:sz w:val="16"/>
                <w:szCs w:val="16"/>
              </w:rPr>
              <w:t>Lindi</w:t>
            </w:r>
          </w:p>
        </w:tc>
        <w:tc>
          <w:tcPr>
            <w:tcW w:w="1272" w:type="pct"/>
            <w:tcBorders>
              <w:top w:val="nil"/>
              <w:left w:val="single" w:sz="4" w:space="0" w:color="auto"/>
              <w:bottom w:val="nil"/>
            </w:tcBorders>
            <w:shd w:val="clear" w:color="auto" w:fill="auto"/>
            <w:noWrap/>
            <w:vAlign w:val="center"/>
            <w:hideMark/>
          </w:tcPr>
          <w:p w14:paraId="460BD7B4" w14:textId="77777777" w:rsidR="00A32971" w:rsidRPr="006B42D6" w:rsidRDefault="00A32971" w:rsidP="0079074C">
            <w:pPr>
              <w:jc w:val="right"/>
              <w:rPr>
                <w:sz w:val="16"/>
                <w:szCs w:val="16"/>
              </w:rPr>
            </w:pPr>
            <w:r w:rsidRPr="006B42D6">
              <w:rPr>
                <w:sz w:val="16"/>
                <w:szCs w:val="16"/>
              </w:rPr>
              <w:t>2,791,354,322</w:t>
            </w:r>
          </w:p>
        </w:tc>
        <w:tc>
          <w:tcPr>
            <w:tcW w:w="716" w:type="pct"/>
            <w:tcBorders>
              <w:top w:val="nil"/>
              <w:bottom w:val="nil"/>
              <w:right w:val="single" w:sz="4" w:space="0" w:color="auto"/>
            </w:tcBorders>
            <w:shd w:val="clear" w:color="auto" w:fill="auto"/>
            <w:noWrap/>
            <w:vAlign w:val="center"/>
            <w:hideMark/>
          </w:tcPr>
          <w:p w14:paraId="4F5EF68C" w14:textId="0E456571" w:rsidR="00A32971" w:rsidRPr="006B42D6" w:rsidRDefault="00A32971" w:rsidP="0079074C">
            <w:pPr>
              <w:jc w:val="right"/>
              <w:rPr>
                <w:sz w:val="16"/>
                <w:szCs w:val="16"/>
              </w:rPr>
            </w:pPr>
            <w:r w:rsidRPr="006B42D6">
              <w:rPr>
                <w:sz w:val="16"/>
                <w:szCs w:val="16"/>
              </w:rPr>
              <w:t>1.4</w:t>
            </w:r>
          </w:p>
        </w:tc>
        <w:tc>
          <w:tcPr>
            <w:tcW w:w="1192" w:type="pct"/>
            <w:tcBorders>
              <w:top w:val="nil"/>
              <w:left w:val="single" w:sz="4" w:space="0" w:color="auto"/>
              <w:bottom w:val="nil"/>
            </w:tcBorders>
            <w:shd w:val="clear" w:color="auto" w:fill="auto"/>
            <w:noWrap/>
            <w:vAlign w:val="center"/>
            <w:hideMark/>
          </w:tcPr>
          <w:p w14:paraId="092530C1" w14:textId="77777777" w:rsidR="00A32971" w:rsidRPr="006B42D6" w:rsidRDefault="00A32971" w:rsidP="0079074C">
            <w:pPr>
              <w:jc w:val="right"/>
              <w:rPr>
                <w:sz w:val="16"/>
                <w:szCs w:val="16"/>
              </w:rPr>
            </w:pPr>
            <w:r w:rsidRPr="006B42D6">
              <w:rPr>
                <w:sz w:val="16"/>
                <w:szCs w:val="16"/>
              </w:rPr>
              <w:t>13,671,608,078</w:t>
            </w:r>
          </w:p>
        </w:tc>
        <w:tc>
          <w:tcPr>
            <w:tcW w:w="628" w:type="pct"/>
            <w:tcBorders>
              <w:top w:val="nil"/>
              <w:bottom w:val="nil"/>
            </w:tcBorders>
            <w:shd w:val="clear" w:color="auto" w:fill="auto"/>
            <w:noWrap/>
            <w:vAlign w:val="center"/>
            <w:hideMark/>
          </w:tcPr>
          <w:p w14:paraId="72CC120F" w14:textId="77777777" w:rsidR="00A32971" w:rsidRPr="006B42D6" w:rsidRDefault="00A32971" w:rsidP="0079074C">
            <w:pPr>
              <w:jc w:val="right"/>
              <w:rPr>
                <w:sz w:val="16"/>
                <w:szCs w:val="16"/>
              </w:rPr>
            </w:pPr>
            <w:r w:rsidRPr="006B42D6">
              <w:rPr>
                <w:sz w:val="16"/>
                <w:szCs w:val="16"/>
              </w:rPr>
              <w:t>4.9</w:t>
            </w:r>
          </w:p>
        </w:tc>
      </w:tr>
      <w:tr w:rsidR="006B42D6" w:rsidRPr="006B42D6" w14:paraId="34013B91" w14:textId="77777777" w:rsidTr="0079074C">
        <w:trPr>
          <w:trHeight w:val="312"/>
        </w:trPr>
        <w:tc>
          <w:tcPr>
            <w:tcW w:w="1192" w:type="pct"/>
            <w:tcBorders>
              <w:top w:val="nil"/>
              <w:bottom w:val="nil"/>
              <w:right w:val="single" w:sz="4" w:space="0" w:color="auto"/>
            </w:tcBorders>
            <w:shd w:val="clear" w:color="auto" w:fill="auto"/>
            <w:vAlign w:val="center"/>
            <w:hideMark/>
          </w:tcPr>
          <w:p w14:paraId="6B4BEBE6" w14:textId="77777777" w:rsidR="00A32971" w:rsidRPr="006B42D6" w:rsidRDefault="00A32971" w:rsidP="0079074C">
            <w:pPr>
              <w:jc w:val="left"/>
              <w:rPr>
                <w:sz w:val="16"/>
                <w:szCs w:val="16"/>
              </w:rPr>
            </w:pPr>
            <w:r w:rsidRPr="006B42D6">
              <w:rPr>
                <w:sz w:val="16"/>
                <w:szCs w:val="16"/>
              </w:rPr>
              <w:t>Mtwara</w:t>
            </w:r>
          </w:p>
        </w:tc>
        <w:tc>
          <w:tcPr>
            <w:tcW w:w="1272" w:type="pct"/>
            <w:tcBorders>
              <w:top w:val="nil"/>
              <w:left w:val="single" w:sz="4" w:space="0" w:color="auto"/>
              <w:bottom w:val="nil"/>
            </w:tcBorders>
            <w:shd w:val="clear" w:color="auto" w:fill="auto"/>
            <w:noWrap/>
            <w:vAlign w:val="center"/>
            <w:hideMark/>
          </w:tcPr>
          <w:p w14:paraId="5AA5B81C" w14:textId="77777777" w:rsidR="00A32971" w:rsidRPr="006B42D6" w:rsidRDefault="00A32971" w:rsidP="0079074C">
            <w:pPr>
              <w:jc w:val="right"/>
              <w:rPr>
                <w:sz w:val="16"/>
                <w:szCs w:val="16"/>
              </w:rPr>
            </w:pPr>
            <w:r w:rsidRPr="006B42D6">
              <w:rPr>
                <w:sz w:val="16"/>
                <w:szCs w:val="16"/>
              </w:rPr>
              <w:t>13,017,142,868</w:t>
            </w:r>
          </w:p>
        </w:tc>
        <w:tc>
          <w:tcPr>
            <w:tcW w:w="716" w:type="pct"/>
            <w:tcBorders>
              <w:top w:val="nil"/>
              <w:bottom w:val="nil"/>
              <w:right w:val="single" w:sz="4" w:space="0" w:color="auto"/>
            </w:tcBorders>
            <w:shd w:val="clear" w:color="auto" w:fill="auto"/>
            <w:noWrap/>
            <w:vAlign w:val="center"/>
            <w:hideMark/>
          </w:tcPr>
          <w:p w14:paraId="2294F732" w14:textId="26FB2856" w:rsidR="00A32971" w:rsidRPr="006B42D6" w:rsidRDefault="00A32971" w:rsidP="0079074C">
            <w:pPr>
              <w:jc w:val="right"/>
              <w:rPr>
                <w:sz w:val="16"/>
                <w:szCs w:val="16"/>
              </w:rPr>
            </w:pPr>
            <w:r w:rsidRPr="006B42D6">
              <w:rPr>
                <w:sz w:val="16"/>
                <w:szCs w:val="16"/>
              </w:rPr>
              <w:t>6.6</w:t>
            </w:r>
          </w:p>
        </w:tc>
        <w:tc>
          <w:tcPr>
            <w:tcW w:w="1192" w:type="pct"/>
            <w:tcBorders>
              <w:top w:val="nil"/>
              <w:left w:val="single" w:sz="4" w:space="0" w:color="auto"/>
              <w:bottom w:val="nil"/>
            </w:tcBorders>
            <w:shd w:val="clear" w:color="auto" w:fill="auto"/>
            <w:noWrap/>
            <w:vAlign w:val="center"/>
            <w:hideMark/>
          </w:tcPr>
          <w:p w14:paraId="47DBF7A7" w14:textId="77777777" w:rsidR="00A32971" w:rsidRPr="006B42D6" w:rsidRDefault="00A32971" w:rsidP="0079074C">
            <w:pPr>
              <w:jc w:val="right"/>
              <w:rPr>
                <w:sz w:val="16"/>
                <w:szCs w:val="16"/>
              </w:rPr>
            </w:pPr>
            <w:r w:rsidRPr="006B42D6">
              <w:rPr>
                <w:sz w:val="16"/>
                <w:szCs w:val="16"/>
              </w:rPr>
              <w:t>17,463,456,246</w:t>
            </w:r>
          </w:p>
        </w:tc>
        <w:tc>
          <w:tcPr>
            <w:tcW w:w="628" w:type="pct"/>
            <w:tcBorders>
              <w:top w:val="nil"/>
              <w:bottom w:val="nil"/>
            </w:tcBorders>
            <w:shd w:val="clear" w:color="auto" w:fill="auto"/>
            <w:noWrap/>
            <w:vAlign w:val="center"/>
            <w:hideMark/>
          </w:tcPr>
          <w:p w14:paraId="5CB8AE3D" w14:textId="77777777" w:rsidR="00A32971" w:rsidRPr="006B42D6" w:rsidRDefault="00A32971" w:rsidP="0079074C">
            <w:pPr>
              <w:jc w:val="right"/>
              <w:rPr>
                <w:sz w:val="16"/>
                <w:szCs w:val="16"/>
              </w:rPr>
            </w:pPr>
            <w:r w:rsidRPr="006B42D6">
              <w:rPr>
                <w:sz w:val="16"/>
                <w:szCs w:val="16"/>
              </w:rPr>
              <w:t>6.2</w:t>
            </w:r>
          </w:p>
        </w:tc>
      </w:tr>
      <w:tr w:rsidR="006B42D6" w:rsidRPr="006B42D6" w14:paraId="4D60EBD8" w14:textId="77777777" w:rsidTr="0079074C">
        <w:trPr>
          <w:trHeight w:val="312"/>
        </w:trPr>
        <w:tc>
          <w:tcPr>
            <w:tcW w:w="1192" w:type="pct"/>
            <w:tcBorders>
              <w:top w:val="nil"/>
              <w:bottom w:val="nil"/>
              <w:right w:val="single" w:sz="4" w:space="0" w:color="auto"/>
            </w:tcBorders>
            <w:shd w:val="clear" w:color="auto" w:fill="auto"/>
            <w:vAlign w:val="center"/>
            <w:hideMark/>
          </w:tcPr>
          <w:p w14:paraId="2E57089D" w14:textId="77777777" w:rsidR="00A32971" w:rsidRPr="006B42D6" w:rsidRDefault="00A32971" w:rsidP="0079074C">
            <w:pPr>
              <w:jc w:val="left"/>
              <w:rPr>
                <w:sz w:val="16"/>
                <w:szCs w:val="16"/>
              </w:rPr>
            </w:pPr>
            <w:r w:rsidRPr="006B42D6">
              <w:rPr>
                <w:sz w:val="16"/>
                <w:szCs w:val="16"/>
              </w:rPr>
              <w:t>Ruvuma</w:t>
            </w:r>
          </w:p>
        </w:tc>
        <w:tc>
          <w:tcPr>
            <w:tcW w:w="1272" w:type="pct"/>
            <w:tcBorders>
              <w:top w:val="nil"/>
              <w:left w:val="single" w:sz="4" w:space="0" w:color="auto"/>
              <w:bottom w:val="nil"/>
            </w:tcBorders>
            <w:shd w:val="clear" w:color="auto" w:fill="auto"/>
            <w:noWrap/>
            <w:vAlign w:val="center"/>
            <w:hideMark/>
          </w:tcPr>
          <w:p w14:paraId="5BF227D4" w14:textId="77777777" w:rsidR="00A32971" w:rsidRPr="006B42D6" w:rsidRDefault="00A32971" w:rsidP="0079074C">
            <w:pPr>
              <w:jc w:val="right"/>
              <w:rPr>
                <w:sz w:val="16"/>
                <w:szCs w:val="16"/>
              </w:rPr>
            </w:pPr>
            <w:r w:rsidRPr="006B42D6">
              <w:rPr>
                <w:sz w:val="16"/>
                <w:szCs w:val="16"/>
              </w:rPr>
              <w:t>6,603,701,346</w:t>
            </w:r>
          </w:p>
        </w:tc>
        <w:tc>
          <w:tcPr>
            <w:tcW w:w="716" w:type="pct"/>
            <w:tcBorders>
              <w:top w:val="nil"/>
              <w:bottom w:val="nil"/>
              <w:right w:val="single" w:sz="4" w:space="0" w:color="auto"/>
            </w:tcBorders>
            <w:shd w:val="clear" w:color="auto" w:fill="auto"/>
            <w:noWrap/>
            <w:vAlign w:val="center"/>
            <w:hideMark/>
          </w:tcPr>
          <w:p w14:paraId="73EEE414" w14:textId="2285E715" w:rsidR="00A32971" w:rsidRPr="006B42D6" w:rsidRDefault="00A32971" w:rsidP="0079074C">
            <w:pPr>
              <w:jc w:val="right"/>
              <w:rPr>
                <w:sz w:val="16"/>
                <w:szCs w:val="16"/>
              </w:rPr>
            </w:pPr>
            <w:r w:rsidRPr="006B42D6">
              <w:rPr>
                <w:sz w:val="16"/>
                <w:szCs w:val="16"/>
              </w:rPr>
              <w:t>3.3</w:t>
            </w:r>
          </w:p>
        </w:tc>
        <w:tc>
          <w:tcPr>
            <w:tcW w:w="1192" w:type="pct"/>
            <w:tcBorders>
              <w:top w:val="nil"/>
              <w:left w:val="single" w:sz="4" w:space="0" w:color="auto"/>
              <w:bottom w:val="nil"/>
            </w:tcBorders>
            <w:shd w:val="clear" w:color="auto" w:fill="auto"/>
            <w:noWrap/>
            <w:vAlign w:val="center"/>
            <w:hideMark/>
          </w:tcPr>
          <w:p w14:paraId="2EB0BAF8" w14:textId="77777777" w:rsidR="00A32971" w:rsidRPr="006B42D6" w:rsidRDefault="00A32971" w:rsidP="0079074C">
            <w:pPr>
              <w:jc w:val="right"/>
              <w:rPr>
                <w:sz w:val="16"/>
                <w:szCs w:val="16"/>
              </w:rPr>
            </w:pPr>
            <w:r w:rsidRPr="006B42D6">
              <w:rPr>
                <w:sz w:val="16"/>
                <w:szCs w:val="16"/>
              </w:rPr>
              <w:t>8,836,792,026</w:t>
            </w:r>
          </w:p>
        </w:tc>
        <w:tc>
          <w:tcPr>
            <w:tcW w:w="628" w:type="pct"/>
            <w:tcBorders>
              <w:top w:val="nil"/>
              <w:bottom w:val="nil"/>
            </w:tcBorders>
            <w:shd w:val="clear" w:color="auto" w:fill="auto"/>
            <w:noWrap/>
            <w:vAlign w:val="center"/>
            <w:hideMark/>
          </w:tcPr>
          <w:p w14:paraId="4D017E8E" w14:textId="77777777" w:rsidR="00A32971" w:rsidRPr="006B42D6" w:rsidRDefault="00A32971" w:rsidP="0079074C">
            <w:pPr>
              <w:jc w:val="right"/>
              <w:rPr>
                <w:sz w:val="16"/>
                <w:szCs w:val="16"/>
              </w:rPr>
            </w:pPr>
            <w:r w:rsidRPr="006B42D6">
              <w:rPr>
                <w:sz w:val="16"/>
                <w:szCs w:val="16"/>
              </w:rPr>
              <w:t>3.1</w:t>
            </w:r>
          </w:p>
        </w:tc>
      </w:tr>
      <w:tr w:rsidR="006B42D6" w:rsidRPr="006B42D6" w14:paraId="6BBB7B00" w14:textId="77777777" w:rsidTr="0079074C">
        <w:trPr>
          <w:trHeight w:val="312"/>
        </w:trPr>
        <w:tc>
          <w:tcPr>
            <w:tcW w:w="1192" w:type="pct"/>
            <w:tcBorders>
              <w:top w:val="nil"/>
              <w:bottom w:val="nil"/>
              <w:right w:val="single" w:sz="4" w:space="0" w:color="auto"/>
            </w:tcBorders>
            <w:shd w:val="clear" w:color="auto" w:fill="auto"/>
            <w:vAlign w:val="center"/>
            <w:hideMark/>
          </w:tcPr>
          <w:p w14:paraId="1A44AAA4" w14:textId="77777777" w:rsidR="00A32971" w:rsidRPr="006B42D6" w:rsidRDefault="00A32971" w:rsidP="0079074C">
            <w:pPr>
              <w:jc w:val="left"/>
              <w:rPr>
                <w:sz w:val="16"/>
                <w:szCs w:val="16"/>
              </w:rPr>
            </w:pPr>
            <w:r w:rsidRPr="006B42D6">
              <w:rPr>
                <w:sz w:val="16"/>
                <w:szCs w:val="16"/>
              </w:rPr>
              <w:t>Iringa</w:t>
            </w:r>
          </w:p>
        </w:tc>
        <w:tc>
          <w:tcPr>
            <w:tcW w:w="1272" w:type="pct"/>
            <w:tcBorders>
              <w:top w:val="nil"/>
              <w:left w:val="single" w:sz="4" w:space="0" w:color="auto"/>
              <w:bottom w:val="nil"/>
            </w:tcBorders>
            <w:shd w:val="clear" w:color="auto" w:fill="auto"/>
            <w:noWrap/>
            <w:vAlign w:val="center"/>
            <w:hideMark/>
          </w:tcPr>
          <w:p w14:paraId="57532201" w14:textId="77777777" w:rsidR="00A32971" w:rsidRPr="006B42D6" w:rsidRDefault="00A32971" w:rsidP="0079074C">
            <w:pPr>
              <w:jc w:val="right"/>
              <w:rPr>
                <w:sz w:val="16"/>
                <w:szCs w:val="16"/>
              </w:rPr>
            </w:pPr>
            <w:r w:rsidRPr="006B42D6">
              <w:rPr>
                <w:sz w:val="16"/>
                <w:szCs w:val="16"/>
              </w:rPr>
              <w:t>11,294,124,120</w:t>
            </w:r>
          </w:p>
        </w:tc>
        <w:tc>
          <w:tcPr>
            <w:tcW w:w="716" w:type="pct"/>
            <w:tcBorders>
              <w:top w:val="nil"/>
              <w:bottom w:val="nil"/>
              <w:right w:val="single" w:sz="4" w:space="0" w:color="auto"/>
            </w:tcBorders>
            <w:shd w:val="clear" w:color="auto" w:fill="auto"/>
            <w:noWrap/>
            <w:vAlign w:val="center"/>
            <w:hideMark/>
          </w:tcPr>
          <w:p w14:paraId="2B4C64B2" w14:textId="1CE66CC1" w:rsidR="00A32971" w:rsidRPr="006B42D6" w:rsidRDefault="00A32971" w:rsidP="0079074C">
            <w:pPr>
              <w:jc w:val="right"/>
              <w:rPr>
                <w:sz w:val="16"/>
                <w:szCs w:val="16"/>
              </w:rPr>
            </w:pPr>
            <w:r w:rsidRPr="006B42D6">
              <w:rPr>
                <w:sz w:val="16"/>
                <w:szCs w:val="16"/>
              </w:rPr>
              <w:t>5.7</w:t>
            </w:r>
          </w:p>
        </w:tc>
        <w:tc>
          <w:tcPr>
            <w:tcW w:w="1192" w:type="pct"/>
            <w:tcBorders>
              <w:top w:val="nil"/>
              <w:left w:val="single" w:sz="4" w:space="0" w:color="auto"/>
              <w:bottom w:val="nil"/>
            </w:tcBorders>
            <w:shd w:val="clear" w:color="auto" w:fill="auto"/>
            <w:noWrap/>
            <w:vAlign w:val="center"/>
            <w:hideMark/>
          </w:tcPr>
          <w:p w14:paraId="2CBFBC75" w14:textId="77777777" w:rsidR="00A32971" w:rsidRPr="006B42D6" w:rsidRDefault="00A32971" w:rsidP="0079074C">
            <w:pPr>
              <w:jc w:val="right"/>
              <w:rPr>
                <w:sz w:val="16"/>
                <w:szCs w:val="16"/>
              </w:rPr>
            </w:pPr>
            <w:r w:rsidRPr="006B42D6">
              <w:rPr>
                <w:sz w:val="16"/>
                <w:szCs w:val="16"/>
              </w:rPr>
              <w:t>12,787,642,183</w:t>
            </w:r>
          </w:p>
        </w:tc>
        <w:tc>
          <w:tcPr>
            <w:tcW w:w="628" w:type="pct"/>
            <w:tcBorders>
              <w:top w:val="nil"/>
              <w:bottom w:val="nil"/>
            </w:tcBorders>
            <w:shd w:val="clear" w:color="auto" w:fill="auto"/>
            <w:noWrap/>
            <w:vAlign w:val="center"/>
            <w:hideMark/>
          </w:tcPr>
          <w:p w14:paraId="52ADAC65" w14:textId="77777777" w:rsidR="00A32971" w:rsidRPr="006B42D6" w:rsidRDefault="00A32971" w:rsidP="0079074C">
            <w:pPr>
              <w:jc w:val="right"/>
              <w:rPr>
                <w:sz w:val="16"/>
                <w:szCs w:val="16"/>
              </w:rPr>
            </w:pPr>
            <w:r w:rsidRPr="006B42D6">
              <w:rPr>
                <w:sz w:val="16"/>
                <w:szCs w:val="16"/>
              </w:rPr>
              <w:t>4.5</w:t>
            </w:r>
          </w:p>
        </w:tc>
      </w:tr>
      <w:tr w:rsidR="006B42D6" w:rsidRPr="006B42D6" w14:paraId="6605E9FE" w14:textId="77777777" w:rsidTr="0079074C">
        <w:trPr>
          <w:trHeight w:val="312"/>
        </w:trPr>
        <w:tc>
          <w:tcPr>
            <w:tcW w:w="1192" w:type="pct"/>
            <w:tcBorders>
              <w:top w:val="nil"/>
              <w:bottom w:val="nil"/>
              <w:right w:val="single" w:sz="4" w:space="0" w:color="auto"/>
            </w:tcBorders>
            <w:shd w:val="clear" w:color="auto" w:fill="auto"/>
            <w:vAlign w:val="center"/>
            <w:hideMark/>
          </w:tcPr>
          <w:p w14:paraId="126AA6D0" w14:textId="77777777" w:rsidR="00A32971" w:rsidRPr="006B42D6" w:rsidRDefault="00A32971" w:rsidP="0079074C">
            <w:pPr>
              <w:jc w:val="left"/>
              <w:rPr>
                <w:sz w:val="16"/>
                <w:szCs w:val="16"/>
              </w:rPr>
            </w:pPr>
            <w:r w:rsidRPr="006B42D6">
              <w:rPr>
                <w:sz w:val="16"/>
                <w:szCs w:val="16"/>
              </w:rPr>
              <w:t>Mbeya</w:t>
            </w:r>
          </w:p>
        </w:tc>
        <w:tc>
          <w:tcPr>
            <w:tcW w:w="1272" w:type="pct"/>
            <w:tcBorders>
              <w:top w:val="nil"/>
              <w:left w:val="single" w:sz="4" w:space="0" w:color="auto"/>
              <w:bottom w:val="nil"/>
            </w:tcBorders>
            <w:shd w:val="clear" w:color="auto" w:fill="auto"/>
            <w:noWrap/>
            <w:vAlign w:val="center"/>
            <w:hideMark/>
          </w:tcPr>
          <w:p w14:paraId="208E3E20" w14:textId="77777777" w:rsidR="00A32971" w:rsidRPr="006B42D6" w:rsidRDefault="00A32971" w:rsidP="0079074C">
            <w:pPr>
              <w:jc w:val="right"/>
              <w:rPr>
                <w:sz w:val="16"/>
                <w:szCs w:val="16"/>
              </w:rPr>
            </w:pPr>
            <w:r w:rsidRPr="006B42D6">
              <w:rPr>
                <w:sz w:val="16"/>
                <w:szCs w:val="16"/>
              </w:rPr>
              <w:t>42,693,605,827</w:t>
            </w:r>
          </w:p>
        </w:tc>
        <w:tc>
          <w:tcPr>
            <w:tcW w:w="716" w:type="pct"/>
            <w:tcBorders>
              <w:top w:val="nil"/>
              <w:bottom w:val="nil"/>
              <w:right w:val="single" w:sz="4" w:space="0" w:color="auto"/>
            </w:tcBorders>
            <w:shd w:val="clear" w:color="auto" w:fill="auto"/>
            <w:noWrap/>
            <w:vAlign w:val="center"/>
            <w:hideMark/>
          </w:tcPr>
          <w:p w14:paraId="0BF20CD2" w14:textId="0C4621B7" w:rsidR="00A32971" w:rsidRPr="006B42D6" w:rsidRDefault="00A32971" w:rsidP="0079074C">
            <w:pPr>
              <w:jc w:val="right"/>
              <w:rPr>
                <w:sz w:val="16"/>
                <w:szCs w:val="16"/>
              </w:rPr>
            </w:pPr>
            <w:r w:rsidRPr="006B42D6">
              <w:rPr>
                <w:sz w:val="16"/>
                <w:szCs w:val="16"/>
              </w:rPr>
              <w:t>21.5</w:t>
            </w:r>
          </w:p>
        </w:tc>
        <w:tc>
          <w:tcPr>
            <w:tcW w:w="1192" w:type="pct"/>
            <w:tcBorders>
              <w:top w:val="nil"/>
              <w:left w:val="single" w:sz="4" w:space="0" w:color="auto"/>
              <w:bottom w:val="nil"/>
            </w:tcBorders>
            <w:shd w:val="clear" w:color="auto" w:fill="auto"/>
            <w:noWrap/>
            <w:vAlign w:val="center"/>
            <w:hideMark/>
          </w:tcPr>
          <w:p w14:paraId="5FE29ACC" w14:textId="77777777" w:rsidR="00A32971" w:rsidRPr="006B42D6" w:rsidRDefault="00A32971" w:rsidP="0079074C">
            <w:pPr>
              <w:jc w:val="right"/>
              <w:rPr>
                <w:sz w:val="16"/>
                <w:szCs w:val="16"/>
              </w:rPr>
            </w:pPr>
            <w:r w:rsidRPr="006B42D6">
              <w:rPr>
                <w:sz w:val="16"/>
                <w:szCs w:val="16"/>
              </w:rPr>
              <w:t>54,970,173,511</w:t>
            </w:r>
          </w:p>
        </w:tc>
        <w:tc>
          <w:tcPr>
            <w:tcW w:w="628" w:type="pct"/>
            <w:tcBorders>
              <w:top w:val="nil"/>
              <w:bottom w:val="nil"/>
            </w:tcBorders>
            <w:shd w:val="clear" w:color="auto" w:fill="auto"/>
            <w:noWrap/>
            <w:vAlign w:val="center"/>
            <w:hideMark/>
          </w:tcPr>
          <w:p w14:paraId="13595B07" w14:textId="77777777" w:rsidR="00A32971" w:rsidRPr="006B42D6" w:rsidRDefault="00A32971" w:rsidP="0079074C">
            <w:pPr>
              <w:jc w:val="right"/>
              <w:rPr>
                <w:sz w:val="16"/>
                <w:szCs w:val="16"/>
              </w:rPr>
            </w:pPr>
            <w:r w:rsidRPr="006B42D6">
              <w:rPr>
                <w:sz w:val="16"/>
                <w:szCs w:val="16"/>
              </w:rPr>
              <w:t>19.5</w:t>
            </w:r>
          </w:p>
        </w:tc>
      </w:tr>
      <w:tr w:rsidR="006B42D6" w:rsidRPr="006B42D6" w14:paraId="795F877C" w14:textId="77777777" w:rsidTr="0079074C">
        <w:trPr>
          <w:trHeight w:val="312"/>
        </w:trPr>
        <w:tc>
          <w:tcPr>
            <w:tcW w:w="1192" w:type="pct"/>
            <w:tcBorders>
              <w:top w:val="nil"/>
              <w:bottom w:val="nil"/>
              <w:right w:val="single" w:sz="4" w:space="0" w:color="auto"/>
            </w:tcBorders>
            <w:shd w:val="clear" w:color="auto" w:fill="auto"/>
            <w:vAlign w:val="center"/>
            <w:hideMark/>
          </w:tcPr>
          <w:p w14:paraId="0BEE95EF" w14:textId="77777777" w:rsidR="00A32971" w:rsidRPr="006B42D6" w:rsidRDefault="00A32971" w:rsidP="0079074C">
            <w:pPr>
              <w:jc w:val="left"/>
              <w:rPr>
                <w:sz w:val="16"/>
                <w:szCs w:val="16"/>
              </w:rPr>
            </w:pPr>
            <w:r w:rsidRPr="006B42D6">
              <w:rPr>
                <w:sz w:val="16"/>
                <w:szCs w:val="16"/>
              </w:rPr>
              <w:t>Singida</w:t>
            </w:r>
          </w:p>
        </w:tc>
        <w:tc>
          <w:tcPr>
            <w:tcW w:w="1272" w:type="pct"/>
            <w:tcBorders>
              <w:top w:val="nil"/>
              <w:left w:val="single" w:sz="4" w:space="0" w:color="auto"/>
              <w:bottom w:val="nil"/>
            </w:tcBorders>
            <w:shd w:val="clear" w:color="auto" w:fill="auto"/>
            <w:noWrap/>
            <w:vAlign w:val="center"/>
            <w:hideMark/>
          </w:tcPr>
          <w:p w14:paraId="5AFAB170" w14:textId="77777777" w:rsidR="00A32971" w:rsidRPr="006B42D6" w:rsidRDefault="00A32971" w:rsidP="0079074C">
            <w:pPr>
              <w:jc w:val="right"/>
              <w:rPr>
                <w:sz w:val="16"/>
                <w:szCs w:val="16"/>
              </w:rPr>
            </w:pPr>
            <w:r w:rsidRPr="006B42D6">
              <w:rPr>
                <w:sz w:val="16"/>
                <w:szCs w:val="16"/>
              </w:rPr>
              <w:t>4,269,979,569</w:t>
            </w:r>
          </w:p>
        </w:tc>
        <w:tc>
          <w:tcPr>
            <w:tcW w:w="716" w:type="pct"/>
            <w:tcBorders>
              <w:top w:val="nil"/>
              <w:bottom w:val="nil"/>
              <w:right w:val="single" w:sz="4" w:space="0" w:color="auto"/>
            </w:tcBorders>
            <w:shd w:val="clear" w:color="auto" w:fill="auto"/>
            <w:noWrap/>
            <w:vAlign w:val="center"/>
            <w:hideMark/>
          </w:tcPr>
          <w:p w14:paraId="5E75F7B1" w14:textId="79078F6D" w:rsidR="00A32971" w:rsidRPr="006B42D6" w:rsidRDefault="00A32971" w:rsidP="0079074C">
            <w:pPr>
              <w:jc w:val="right"/>
              <w:rPr>
                <w:sz w:val="16"/>
                <w:szCs w:val="16"/>
              </w:rPr>
            </w:pPr>
            <w:r w:rsidRPr="006B42D6">
              <w:rPr>
                <w:sz w:val="16"/>
                <w:szCs w:val="16"/>
              </w:rPr>
              <w:t>2.2</w:t>
            </w:r>
          </w:p>
        </w:tc>
        <w:tc>
          <w:tcPr>
            <w:tcW w:w="1192" w:type="pct"/>
            <w:tcBorders>
              <w:top w:val="nil"/>
              <w:left w:val="single" w:sz="4" w:space="0" w:color="auto"/>
              <w:bottom w:val="nil"/>
            </w:tcBorders>
            <w:shd w:val="clear" w:color="auto" w:fill="auto"/>
            <w:noWrap/>
            <w:vAlign w:val="center"/>
            <w:hideMark/>
          </w:tcPr>
          <w:p w14:paraId="6EAC319E" w14:textId="77777777" w:rsidR="00A32971" w:rsidRPr="006B42D6" w:rsidRDefault="00A32971" w:rsidP="0079074C">
            <w:pPr>
              <w:jc w:val="right"/>
              <w:rPr>
                <w:sz w:val="16"/>
                <w:szCs w:val="16"/>
              </w:rPr>
            </w:pPr>
            <w:r w:rsidRPr="006B42D6">
              <w:rPr>
                <w:sz w:val="16"/>
                <w:szCs w:val="16"/>
              </w:rPr>
              <w:t>6,364,175,885</w:t>
            </w:r>
          </w:p>
        </w:tc>
        <w:tc>
          <w:tcPr>
            <w:tcW w:w="628" w:type="pct"/>
            <w:tcBorders>
              <w:top w:val="nil"/>
              <w:bottom w:val="nil"/>
            </w:tcBorders>
            <w:shd w:val="clear" w:color="auto" w:fill="auto"/>
            <w:noWrap/>
            <w:vAlign w:val="center"/>
            <w:hideMark/>
          </w:tcPr>
          <w:p w14:paraId="5EF85EF3" w14:textId="77777777" w:rsidR="00A32971" w:rsidRPr="006B42D6" w:rsidRDefault="00A32971" w:rsidP="0079074C">
            <w:pPr>
              <w:jc w:val="right"/>
              <w:rPr>
                <w:sz w:val="16"/>
                <w:szCs w:val="16"/>
              </w:rPr>
            </w:pPr>
            <w:r w:rsidRPr="006B42D6">
              <w:rPr>
                <w:sz w:val="16"/>
                <w:szCs w:val="16"/>
              </w:rPr>
              <w:t>2.3</w:t>
            </w:r>
          </w:p>
        </w:tc>
      </w:tr>
      <w:tr w:rsidR="006B42D6" w:rsidRPr="006B42D6" w14:paraId="1AFAB077" w14:textId="77777777" w:rsidTr="0079074C">
        <w:trPr>
          <w:trHeight w:val="312"/>
        </w:trPr>
        <w:tc>
          <w:tcPr>
            <w:tcW w:w="1192" w:type="pct"/>
            <w:tcBorders>
              <w:top w:val="nil"/>
              <w:bottom w:val="nil"/>
              <w:right w:val="single" w:sz="4" w:space="0" w:color="auto"/>
            </w:tcBorders>
            <w:shd w:val="clear" w:color="auto" w:fill="auto"/>
            <w:vAlign w:val="center"/>
            <w:hideMark/>
          </w:tcPr>
          <w:p w14:paraId="60DD9FDF" w14:textId="77777777" w:rsidR="00A32971" w:rsidRPr="006B42D6" w:rsidRDefault="00A32971" w:rsidP="0079074C">
            <w:pPr>
              <w:jc w:val="left"/>
              <w:rPr>
                <w:sz w:val="16"/>
                <w:szCs w:val="16"/>
              </w:rPr>
            </w:pPr>
            <w:r w:rsidRPr="006B42D6">
              <w:rPr>
                <w:sz w:val="16"/>
                <w:szCs w:val="16"/>
              </w:rPr>
              <w:t>Tabora</w:t>
            </w:r>
          </w:p>
        </w:tc>
        <w:tc>
          <w:tcPr>
            <w:tcW w:w="1272" w:type="pct"/>
            <w:tcBorders>
              <w:top w:val="nil"/>
              <w:left w:val="single" w:sz="4" w:space="0" w:color="auto"/>
              <w:bottom w:val="nil"/>
            </w:tcBorders>
            <w:shd w:val="clear" w:color="auto" w:fill="auto"/>
            <w:noWrap/>
            <w:vAlign w:val="center"/>
            <w:hideMark/>
          </w:tcPr>
          <w:p w14:paraId="314B29B8" w14:textId="77777777" w:rsidR="00A32971" w:rsidRPr="006B42D6" w:rsidRDefault="00A32971" w:rsidP="0079074C">
            <w:pPr>
              <w:jc w:val="right"/>
              <w:rPr>
                <w:sz w:val="16"/>
                <w:szCs w:val="16"/>
              </w:rPr>
            </w:pPr>
            <w:r w:rsidRPr="006B42D6">
              <w:rPr>
                <w:sz w:val="16"/>
                <w:szCs w:val="16"/>
              </w:rPr>
              <w:t>33,000,820,863</w:t>
            </w:r>
          </w:p>
        </w:tc>
        <w:tc>
          <w:tcPr>
            <w:tcW w:w="716" w:type="pct"/>
            <w:tcBorders>
              <w:top w:val="nil"/>
              <w:bottom w:val="nil"/>
              <w:right w:val="single" w:sz="4" w:space="0" w:color="auto"/>
            </w:tcBorders>
            <w:shd w:val="clear" w:color="auto" w:fill="auto"/>
            <w:noWrap/>
            <w:vAlign w:val="center"/>
            <w:hideMark/>
          </w:tcPr>
          <w:p w14:paraId="2B8C4D6A" w14:textId="1C442E9A" w:rsidR="00A32971" w:rsidRPr="006B42D6" w:rsidRDefault="00A32971" w:rsidP="0079074C">
            <w:pPr>
              <w:jc w:val="right"/>
              <w:rPr>
                <w:sz w:val="16"/>
                <w:szCs w:val="16"/>
              </w:rPr>
            </w:pPr>
            <w:r w:rsidRPr="006B42D6">
              <w:rPr>
                <w:sz w:val="16"/>
                <w:szCs w:val="16"/>
              </w:rPr>
              <w:t>16.7</w:t>
            </w:r>
          </w:p>
        </w:tc>
        <w:tc>
          <w:tcPr>
            <w:tcW w:w="1192" w:type="pct"/>
            <w:tcBorders>
              <w:top w:val="nil"/>
              <w:left w:val="single" w:sz="4" w:space="0" w:color="auto"/>
              <w:bottom w:val="nil"/>
            </w:tcBorders>
            <w:shd w:val="clear" w:color="auto" w:fill="auto"/>
            <w:noWrap/>
            <w:vAlign w:val="center"/>
            <w:hideMark/>
          </w:tcPr>
          <w:p w14:paraId="40829F9E" w14:textId="77777777" w:rsidR="00A32971" w:rsidRPr="006B42D6" w:rsidRDefault="00A32971" w:rsidP="0079074C">
            <w:pPr>
              <w:jc w:val="right"/>
              <w:rPr>
                <w:sz w:val="16"/>
                <w:szCs w:val="16"/>
              </w:rPr>
            </w:pPr>
            <w:r w:rsidRPr="006B42D6">
              <w:rPr>
                <w:sz w:val="16"/>
                <w:szCs w:val="16"/>
              </w:rPr>
              <w:t>40,704,624,336</w:t>
            </w:r>
          </w:p>
        </w:tc>
        <w:tc>
          <w:tcPr>
            <w:tcW w:w="628" w:type="pct"/>
            <w:tcBorders>
              <w:top w:val="nil"/>
              <w:bottom w:val="nil"/>
            </w:tcBorders>
            <w:shd w:val="clear" w:color="auto" w:fill="auto"/>
            <w:noWrap/>
            <w:vAlign w:val="center"/>
            <w:hideMark/>
          </w:tcPr>
          <w:p w14:paraId="6E324E82" w14:textId="77777777" w:rsidR="00A32971" w:rsidRPr="006B42D6" w:rsidRDefault="00A32971" w:rsidP="0079074C">
            <w:pPr>
              <w:jc w:val="right"/>
              <w:rPr>
                <w:sz w:val="16"/>
                <w:szCs w:val="16"/>
              </w:rPr>
            </w:pPr>
            <w:r w:rsidRPr="006B42D6">
              <w:rPr>
                <w:sz w:val="16"/>
                <w:szCs w:val="16"/>
              </w:rPr>
              <w:t>14.5</w:t>
            </w:r>
          </w:p>
        </w:tc>
      </w:tr>
      <w:tr w:rsidR="006B42D6" w:rsidRPr="006B42D6" w14:paraId="4B5CDAEF" w14:textId="77777777" w:rsidTr="0079074C">
        <w:trPr>
          <w:trHeight w:val="312"/>
        </w:trPr>
        <w:tc>
          <w:tcPr>
            <w:tcW w:w="1192" w:type="pct"/>
            <w:tcBorders>
              <w:top w:val="nil"/>
              <w:bottom w:val="nil"/>
              <w:right w:val="single" w:sz="4" w:space="0" w:color="auto"/>
            </w:tcBorders>
            <w:shd w:val="clear" w:color="auto" w:fill="auto"/>
            <w:vAlign w:val="center"/>
            <w:hideMark/>
          </w:tcPr>
          <w:p w14:paraId="1E50739D" w14:textId="77777777" w:rsidR="00A32971" w:rsidRPr="006B42D6" w:rsidRDefault="00A32971" w:rsidP="0079074C">
            <w:pPr>
              <w:jc w:val="left"/>
              <w:rPr>
                <w:sz w:val="16"/>
                <w:szCs w:val="16"/>
              </w:rPr>
            </w:pPr>
            <w:r w:rsidRPr="006B42D6">
              <w:rPr>
                <w:sz w:val="16"/>
                <w:szCs w:val="16"/>
              </w:rPr>
              <w:t>Rukwa</w:t>
            </w:r>
          </w:p>
        </w:tc>
        <w:tc>
          <w:tcPr>
            <w:tcW w:w="1272" w:type="pct"/>
            <w:tcBorders>
              <w:top w:val="nil"/>
              <w:left w:val="single" w:sz="4" w:space="0" w:color="auto"/>
              <w:bottom w:val="nil"/>
            </w:tcBorders>
            <w:shd w:val="clear" w:color="auto" w:fill="auto"/>
            <w:noWrap/>
            <w:vAlign w:val="center"/>
            <w:hideMark/>
          </w:tcPr>
          <w:p w14:paraId="0F701239" w14:textId="77777777" w:rsidR="00A32971" w:rsidRPr="006B42D6" w:rsidRDefault="00A32971" w:rsidP="0079074C">
            <w:pPr>
              <w:jc w:val="right"/>
              <w:rPr>
                <w:sz w:val="16"/>
                <w:szCs w:val="16"/>
              </w:rPr>
            </w:pPr>
            <w:r w:rsidRPr="006B42D6">
              <w:rPr>
                <w:sz w:val="16"/>
                <w:szCs w:val="16"/>
              </w:rPr>
              <w:t>5,532,381,348</w:t>
            </w:r>
          </w:p>
        </w:tc>
        <w:tc>
          <w:tcPr>
            <w:tcW w:w="716" w:type="pct"/>
            <w:tcBorders>
              <w:top w:val="nil"/>
              <w:bottom w:val="nil"/>
              <w:right w:val="single" w:sz="4" w:space="0" w:color="auto"/>
            </w:tcBorders>
            <w:shd w:val="clear" w:color="auto" w:fill="auto"/>
            <w:noWrap/>
            <w:vAlign w:val="center"/>
            <w:hideMark/>
          </w:tcPr>
          <w:p w14:paraId="5977D36C" w14:textId="2112FF2D" w:rsidR="00A32971" w:rsidRPr="006B42D6" w:rsidRDefault="00A32971" w:rsidP="0079074C">
            <w:pPr>
              <w:jc w:val="right"/>
              <w:rPr>
                <w:sz w:val="16"/>
                <w:szCs w:val="16"/>
              </w:rPr>
            </w:pPr>
            <w:r w:rsidRPr="006B42D6">
              <w:rPr>
                <w:sz w:val="16"/>
                <w:szCs w:val="16"/>
              </w:rPr>
              <w:t>2.8</w:t>
            </w:r>
          </w:p>
        </w:tc>
        <w:tc>
          <w:tcPr>
            <w:tcW w:w="1192" w:type="pct"/>
            <w:tcBorders>
              <w:top w:val="nil"/>
              <w:left w:val="single" w:sz="4" w:space="0" w:color="auto"/>
              <w:bottom w:val="nil"/>
            </w:tcBorders>
            <w:shd w:val="clear" w:color="auto" w:fill="auto"/>
            <w:noWrap/>
            <w:vAlign w:val="center"/>
            <w:hideMark/>
          </w:tcPr>
          <w:p w14:paraId="64F6B158" w14:textId="77777777" w:rsidR="00A32971" w:rsidRPr="006B42D6" w:rsidRDefault="00A32971" w:rsidP="0079074C">
            <w:pPr>
              <w:jc w:val="right"/>
              <w:rPr>
                <w:sz w:val="16"/>
                <w:szCs w:val="16"/>
              </w:rPr>
            </w:pPr>
            <w:r w:rsidRPr="006B42D6">
              <w:rPr>
                <w:sz w:val="16"/>
                <w:szCs w:val="16"/>
              </w:rPr>
              <w:t>9,971,070,939</w:t>
            </w:r>
          </w:p>
        </w:tc>
        <w:tc>
          <w:tcPr>
            <w:tcW w:w="628" w:type="pct"/>
            <w:tcBorders>
              <w:top w:val="nil"/>
              <w:bottom w:val="nil"/>
            </w:tcBorders>
            <w:shd w:val="clear" w:color="auto" w:fill="auto"/>
            <w:noWrap/>
            <w:vAlign w:val="center"/>
            <w:hideMark/>
          </w:tcPr>
          <w:p w14:paraId="66FE7860" w14:textId="77777777" w:rsidR="00A32971" w:rsidRPr="006B42D6" w:rsidRDefault="00A32971" w:rsidP="0079074C">
            <w:pPr>
              <w:jc w:val="right"/>
              <w:rPr>
                <w:sz w:val="16"/>
                <w:szCs w:val="16"/>
              </w:rPr>
            </w:pPr>
            <w:r w:rsidRPr="006B42D6">
              <w:rPr>
                <w:sz w:val="16"/>
                <w:szCs w:val="16"/>
              </w:rPr>
              <w:t>3.5</w:t>
            </w:r>
          </w:p>
        </w:tc>
      </w:tr>
      <w:tr w:rsidR="006B42D6" w:rsidRPr="006B42D6" w14:paraId="3385CAF0" w14:textId="77777777" w:rsidTr="0079074C">
        <w:trPr>
          <w:trHeight w:val="312"/>
        </w:trPr>
        <w:tc>
          <w:tcPr>
            <w:tcW w:w="1192" w:type="pct"/>
            <w:tcBorders>
              <w:top w:val="nil"/>
              <w:bottom w:val="nil"/>
              <w:right w:val="single" w:sz="4" w:space="0" w:color="auto"/>
            </w:tcBorders>
            <w:shd w:val="clear" w:color="auto" w:fill="auto"/>
            <w:vAlign w:val="center"/>
            <w:hideMark/>
          </w:tcPr>
          <w:p w14:paraId="4447D76B" w14:textId="77777777" w:rsidR="00A32971" w:rsidRPr="006B42D6" w:rsidRDefault="00A32971" w:rsidP="0079074C">
            <w:pPr>
              <w:jc w:val="left"/>
              <w:rPr>
                <w:sz w:val="16"/>
                <w:szCs w:val="16"/>
              </w:rPr>
            </w:pPr>
            <w:r w:rsidRPr="006B42D6">
              <w:rPr>
                <w:sz w:val="16"/>
                <w:szCs w:val="16"/>
              </w:rPr>
              <w:t>Kigoma</w:t>
            </w:r>
          </w:p>
        </w:tc>
        <w:tc>
          <w:tcPr>
            <w:tcW w:w="1272" w:type="pct"/>
            <w:tcBorders>
              <w:top w:val="nil"/>
              <w:left w:val="single" w:sz="4" w:space="0" w:color="auto"/>
              <w:bottom w:val="nil"/>
            </w:tcBorders>
            <w:shd w:val="clear" w:color="auto" w:fill="auto"/>
            <w:noWrap/>
            <w:vAlign w:val="center"/>
            <w:hideMark/>
          </w:tcPr>
          <w:p w14:paraId="1320007C" w14:textId="77777777" w:rsidR="00A32971" w:rsidRPr="006B42D6" w:rsidRDefault="00A32971" w:rsidP="0079074C">
            <w:pPr>
              <w:jc w:val="right"/>
              <w:rPr>
                <w:sz w:val="16"/>
                <w:szCs w:val="16"/>
              </w:rPr>
            </w:pPr>
            <w:r w:rsidRPr="006B42D6">
              <w:rPr>
                <w:sz w:val="16"/>
                <w:szCs w:val="16"/>
              </w:rPr>
              <w:t>762,519,511</w:t>
            </w:r>
          </w:p>
        </w:tc>
        <w:tc>
          <w:tcPr>
            <w:tcW w:w="716" w:type="pct"/>
            <w:tcBorders>
              <w:top w:val="nil"/>
              <w:bottom w:val="nil"/>
              <w:right w:val="single" w:sz="4" w:space="0" w:color="auto"/>
            </w:tcBorders>
            <w:shd w:val="clear" w:color="auto" w:fill="auto"/>
            <w:noWrap/>
            <w:vAlign w:val="center"/>
            <w:hideMark/>
          </w:tcPr>
          <w:p w14:paraId="4DBF5C01" w14:textId="139CEF6A" w:rsidR="00A32971" w:rsidRPr="006B42D6" w:rsidRDefault="00A32971" w:rsidP="0079074C">
            <w:pPr>
              <w:jc w:val="right"/>
              <w:rPr>
                <w:sz w:val="16"/>
                <w:szCs w:val="16"/>
              </w:rPr>
            </w:pPr>
            <w:r w:rsidRPr="006B42D6">
              <w:rPr>
                <w:sz w:val="16"/>
                <w:szCs w:val="16"/>
              </w:rPr>
              <w:t>0.4</w:t>
            </w:r>
          </w:p>
        </w:tc>
        <w:tc>
          <w:tcPr>
            <w:tcW w:w="1192" w:type="pct"/>
            <w:tcBorders>
              <w:top w:val="nil"/>
              <w:left w:val="single" w:sz="4" w:space="0" w:color="auto"/>
              <w:bottom w:val="nil"/>
            </w:tcBorders>
            <w:shd w:val="clear" w:color="auto" w:fill="auto"/>
            <w:noWrap/>
            <w:vAlign w:val="center"/>
            <w:hideMark/>
          </w:tcPr>
          <w:p w14:paraId="41396CBA" w14:textId="77777777" w:rsidR="00A32971" w:rsidRPr="006B42D6" w:rsidRDefault="00A32971" w:rsidP="0079074C">
            <w:pPr>
              <w:jc w:val="right"/>
              <w:rPr>
                <w:sz w:val="16"/>
                <w:szCs w:val="16"/>
              </w:rPr>
            </w:pPr>
            <w:r w:rsidRPr="006B42D6">
              <w:rPr>
                <w:sz w:val="16"/>
                <w:szCs w:val="16"/>
              </w:rPr>
              <w:t>815,534,311</w:t>
            </w:r>
          </w:p>
        </w:tc>
        <w:tc>
          <w:tcPr>
            <w:tcW w:w="628" w:type="pct"/>
            <w:tcBorders>
              <w:top w:val="nil"/>
              <w:bottom w:val="nil"/>
            </w:tcBorders>
            <w:shd w:val="clear" w:color="auto" w:fill="auto"/>
            <w:noWrap/>
            <w:vAlign w:val="center"/>
            <w:hideMark/>
          </w:tcPr>
          <w:p w14:paraId="530CF7A8" w14:textId="77777777" w:rsidR="00A32971" w:rsidRPr="006B42D6" w:rsidRDefault="00A32971" w:rsidP="0079074C">
            <w:pPr>
              <w:jc w:val="right"/>
              <w:rPr>
                <w:sz w:val="16"/>
                <w:szCs w:val="16"/>
              </w:rPr>
            </w:pPr>
            <w:r w:rsidRPr="006B42D6">
              <w:rPr>
                <w:sz w:val="16"/>
                <w:szCs w:val="16"/>
              </w:rPr>
              <w:t>0.3</w:t>
            </w:r>
          </w:p>
        </w:tc>
      </w:tr>
      <w:tr w:rsidR="006B42D6" w:rsidRPr="006B42D6" w14:paraId="7B11F9B5" w14:textId="77777777" w:rsidTr="0079074C">
        <w:trPr>
          <w:trHeight w:val="312"/>
        </w:trPr>
        <w:tc>
          <w:tcPr>
            <w:tcW w:w="1192" w:type="pct"/>
            <w:tcBorders>
              <w:top w:val="nil"/>
              <w:bottom w:val="nil"/>
              <w:right w:val="single" w:sz="4" w:space="0" w:color="auto"/>
            </w:tcBorders>
            <w:shd w:val="clear" w:color="auto" w:fill="auto"/>
            <w:vAlign w:val="center"/>
            <w:hideMark/>
          </w:tcPr>
          <w:p w14:paraId="2EC72A09" w14:textId="77777777" w:rsidR="00A32971" w:rsidRPr="006B42D6" w:rsidRDefault="00A32971" w:rsidP="0079074C">
            <w:pPr>
              <w:jc w:val="left"/>
              <w:rPr>
                <w:sz w:val="16"/>
                <w:szCs w:val="16"/>
              </w:rPr>
            </w:pPr>
            <w:r w:rsidRPr="006B42D6">
              <w:rPr>
                <w:sz w:val="16"/>
                <w:szCs w:val="16"/>
              </w:rPr>
              <w:t>Shinyanga</w:t>
            </w:r>
          </w:p>
        </w:tc>
        <w:tc>
          <w:tcPr>
            <w:tcW w:w="1272" w:type="pct"/>
            <w:tcBorders>
              <w:top w:val="nil"/>
              <w:left w:val="single" w:sz="4" w:space="0" w:color="auto"/>
              <w:bottom w:val="nil"/>
            </w:tcBorders>
            <w:shd w:val="clear" w:color="auto" w:fill="auto"/>
            <w:noWrap/>
            <w:vAlign w:val="center"/>
            <w:hideMark/>
          </w:tcPr>
          <w:p w14:paraId="29A474BC" w14:textId="77777777" w:rsidR="00A32971" w:rsidRPr="006B42D6" w:rsidRDefault="00A32971" w:rsidP="0079074C">
            <w:pPr>
              <w:jc w:val="right"/>
              <w:rPr>
                <w:sz w:val="16"/>
                <w:szCs w:val="16"/>
              </w:rPr>
            </w:pPr>
            <w:r w:rsidRPr="006B42D6">
              <w:rPr>
                <w:sz w:val="16"/>
                <w:szCs w:val="16"/>
              </w:rPr>
              <w:t>5,626,084,599</w:t>
            </w:r>
          </w:p>
        </w:tc>
        <w:tc>
          <w:tcPr>
            <w:tcW w:w="716" w:type="pct"/>
            <w:tcBorders>
              <w:top w:val="nil"/>
              <w:bottom w:val="nil"/>
              <w:right w:val="single" w:sz="4" w:space="0" w:color="auto"/>
            </w:tcBorders>
            <w:shd w:val="clear" w:color="auto" w:fill="auto"/>
            <w:noWrap/>
            <w:vAlign w:val="center"/>
            <w:hideMark/>
          </w:tcPr>
          <w:p w14:paraId="251F257E" w14:textId="45D3636D" w:rsidR="00A32971" w:rsidRPr="006B42D6" w:rsidRDefault="00A32971" w:rsidP="0079074C">
            <w:pPr>
              <w:jc w:val="right"/>
              <w:rPr>
                <w:sz w:val="16"/>
                <w:szCs w:val="16"/>
              </w:rPr>
            </w:pPr>
            <w:r w:rsidRPr="006B42D6">
              <w:rPr>
                <w:sz w:val="16"/>
                <w:szCs w:val="16"/>
              </w:rPr>
              <w:t>2.8</w:t>
            </w:r>
          </w:p>
        </w:tc>
        <w:tc>
          <w:tcPr>
            <w:tcW w:w="1192" w:type="pct"/>
            <w:tcBorders>
              <w:top w:val="nil"/>
              <w:left w:val="single" w:sz="4" w:space="0" w:color="auto"/>
              <w:bottom w:val="nil"/>
            </w:tcBorders>
            <w:shd w:val="clear" w:color="auto" w:fill="auto"/>
            <w:noWrap/>
            <w:vAlign w:val="center"/>
            <w:hideMark/>
          </w:tcPr>
          <w:p w14:paraId="36EE1A68" w14:textId="77777777" w:rsidR="00A32971" w:rsidRPr="006B42D6" w:rsidRDefault="00A32971" w:rsidP="0079074C">
            <w:pPr>
              <w:jc w:val="right"/>
              <w:rPr>
                <w:sz w:val="16"/>
                <w:szCs w:val="16"/>
              </w:rPr>
            </w:pPr>
            <w:r w:rsidRPr="006B42D6">
              <w:rPr>
                <w:sz w:val="16"/>
                <w:szCs w:val="16"/>
              </w:rPr>
              <w:t>10,613,990,937</w:t>
            </w:r>
          </w:p>
        </w:tc>
        <w:tc>
          <w:tcPr>
            <w:tcW w:w="628" w:type="pct"/>
            <w:tcBorders>
              <w:top w:val="nil"/>
              <w:bottom w:val="nil"/>
            </w:tcBorders>
            <w:shd w:val="clear" w:color="auto" w:fill="auto"/>
            <w:noWrap/>
            <w:vAlign w:val="center"/>
            <w:hideMark/>
          </w:tcPr>
          <w:p w14:paraId="6777D422" w14:textId="77777777" w:rsidR="00A32971" w:rsidRPr="006B42D6" w:rsidRDefault="00A32971" w:rsidP="0079074C">
            <w:pPr>
              <w:jc w:val="right"/>
              <w:rPr>
                <w:sz w:val="16"/>
                <w:szCs w:val="16"/>
              </w:rPr>
            </w:pPr>
            <w:r w:rsidRPr="006B42D6">
              <w:rPr>
                <w:sz w:val="16"/>
                <w:szCs w:val="16"/>
              </w:rPr>
              <w:t>3.8</w:t>
            </w:r>
          </w:p>
        </w:tc>
      </w:tr>
      <w:tr w:rsidR="006B42D6" w:rsidRPr="006B42D6" w14:paraId="5ECD51EF" w14:textId="77777777" w:rsidTr="0079074C">
        <w:trPr>
          <w:trHeight w:val="312"/>
        </w:trPr>
        <w:tc>
          <w:tcPr>
            <w:tcW w:w="1192" w:type="pct"/>
            <w:tcBorders>
              <w:top w:val="nil"/>
              <w:bottom w:val="nil"/>
              <w:right w:val="single" w:sz="4" w:space="0" w:color="auto"/>
            </w:tcBorders>
            <w:shd w:val="clear" w:color="auto" w:fill="auto"/>
            <w:vAlign w:val="center"/>
            <w:hideMark/>
          </w:tcPr>
          <w:p w14:paraId="7BA5A164" w14:textId="77777777" w:rsidR="00A32971" w:rsidRPr="006B42D6" w:rsidRDefault="00A32971" w:rsidP="0079074C">
            <w:pPr>
              <w:jc w:val="left"/>
              <w:rPr>
                <w:sz w:val="16"/>
                <w:szCs w:val="16"/>
              </w:rPr>
            </w:pPr>
            <w:r w:rsidRPr="006B42D6">
              <w:rPr>
                <w:sz w:val="16"/>
                <w:szCs w:val="16"/>
              </w:rPr>
              <w:t>Kagera</w:t>
            </w:r>
          </w:p>
        </w:tc>
        <w:tc>
          <w:tcPr>
            <w:tcW w:w="1272" w:type="pct"/>
            <w:tcBorders>
              <w:top w:val="nil"/>
              <w:left w:val="single" w:sz="4" w:space="0" w:color="auto"/>
              <w:bottom w:val="nil"/>
            </w:tcBorders>
            <w:shd w:val="clear" w:color="auto" w:fill="auto"/>
            <w:noWrap/>
            <w:vAlign w:val="center"/>
            <w:hideMark/>
          </w:tcPr>
          <w:p w14:paraId="1C2D7749" w14:textId="77777777" w:rsidR="00A32971" w:rsidRPr="006B42D6" w:rsidRDefault="00A32971" w:rsidP="0079074C">
            <w:pPr>
              <w:jc w:val="right"/>
              <w:rPr>
                <w:sz w:val="16"/>
                <w:szCs w:val="16"/>
              </w:rPr>
            </w:pPr>
            <w:r w:rsidRPr="006B42D6">
              <w:rPr>
                <w:sz w:val="16"/>
                <w:szCs w:val="16"/>
              </w:rPr>
              <w:t>4,789,347,737</w:t>
            </w:r>
          </w:p>
        </w:tc>
        <w:tc>
          <w:tcPr>
            <w:tcW w:w="716" w:type="pct"/>
            <w:tcBorders>
              <w:top w:val="nil"/>
              <w:bottom w:val="nil"/>
              <w:right w:val="single" w:sz="4" w:space="0" w:color="auto"/>
            </w:tcBorders>
            <w:shd w:val="clear" w:color="auto" w:fill="auto"/>
            <w:noWrap/>
            <w:vAlign w:val="center"/>
            <w:hideMark/>
          </w:tcPr>
          <w:p w14:paraId="1745EC09" w14:textId="0A961ECB" w:rsidR="00A32971" w:rsidRPr="006B42D6" w:rsidRDefault="00A32971" w:rsidP="0079074C">
            <w:pPr>
              <w:jc w:val="right"/>
              <w:rPr>
                <w:sz w:val="16"/>
                <w:szCs w:val="16"/>
              </w:rPr>
            </w:pPr>
            <w:r w:rsidRPr="006B42D6">
              <w:rPr>
                <w:sz w:val="16"/>
                <w:szCs w:val="16"/>
              </w:rPr>
              <w:t>2.4</w:t>
            </w:r>
          </w:p>
        </w:tc>
        <w:tc>
          <w:tcPr>
            <w:tcW w:w="1192" w:type="pct"/>
            <w:tcBorders>
              <w:top w:val="nil"/>
              <w:left w:val="single" w:sz="4" w:space="0" w:color="auto"/>
              <w:bottom w:val="nil"/>
            </w:tcBorders>
            <w:shd w:val="clear" w:color="auto" w:fill="auto"/>
            <w:noWrap/>
            <w:vAlign w:val="center"/>
            <w:hideMark/>
          </w:tcPr>
          <w:p w14:paraId="707CD7CE" w14:textId="77777777" w:rsidR="00A32971" w:rsidRPr="006B42D6" w:rsidRDefault="00A32971" w:rsidP="0079074C">
            <w:pPr>
              <w:jc w:val="right"/>
              <w:rPr>
                <w:sz w:val="16"/>
                <w:szCs w:val="16"/>
              </w:rPr>
            </w:pPr>
            <w:r w:rsidRPr="006B42D6">
              <w:rPr>
                <w:sz w:val="16"/>
                <w:szCs w:val="16"/>
              </w:rPr>
              <w:t>5,227,601,602</w:t>
            </w:r>
          </w:p>
        </w:tc>
        <w:tc>
          <w:tcPr>
            <w:tcW w:w="628" w:type="pct"/>
            <w:tcBorders>
              <w:top w:val="nil"/>
              <w:bottom w:val="nil"/>
            </w:tcBorders>
            <w:shd w:val="clear" w:color="auto" w:fill="auto"/>
            <w:noWrap/>
            <w:vAlign w:val="center"/>
            <w:hideMark/>
          </w:tcPr>
          <w:p w14:paraId="006FDF11" w14:textId="77777777" w:rsidR="00A32971" w:rsidRPr="006B42D6" w:rsidRDefault="00A32971" w:rsidP="0079074C">
            <w:pPr>
              <w:jc w:val="right"/>
              <w:rPr>
                <w:sz w:val="16"/>
                <w:szCs w:val="16"/>
              </w:rPr>
            </w:pPr>
            <w:r w:rsidRPr="006B42D6">
              <w:rPr>
                <w:sz w:val="16"/>
                <w:szCs w:val="16"/>
              </w:rPr>
              <w:t>1.9</w:t>
            </w:r>
          </w:p>
        </w:tc>
      </w:tr>
      <w:tr w:rsidR="006B42D6" w:rsidRPr="006B42D6" w14:paraId="73731184" w14:textId="77777777" w:rsidTr="0079074C">
        <w:trPr>
          <w:trHeight w:val="312"/>
        </w:trPr>
        <w:tc>
          <w:tcPr>
            <w:tcW w:w="1192" w:type="pct"/>
            <w:tcBorders>
              <w:top w:val="nil"/>
              <w:bottom w:val="nil"/>
              <w:right w:val="single" w:sz="4" w:space="0" w:color="auto"/>
            </w:tcBorders>
            <w:shd w:val="clear" w:color="auto" w:fill="auto"/>
            <w:vAlign w:val="center"/>
            <w:hideMark/>
          </w:tcPr>
          <w:p w14:paraId="05CD37F6" w14:textId="77777777" w:rsidR="00A32971" w:rsidRPr="006B42D6" w:rsidRDefault="00A32971" w:rsidP="0079074C">
            <w:pPr>
              <w:jc w:val="left"/>
              <w:rPr>
                <w:sz w:val="16"/>
                <w:szCs w:val="16"/>
              </w:rPr>
            </w:pPr>
            <w:r w:rsidRPr="006B42D6">
              <w:rPr>
                <w:sz w:val="16"/>
                <w:szCs w:val="16"/>
              </w:rPr>
              <w:t>Mwanza</w:t>
            </w:r>
          </w:p>
        </w:tc>
        <w:tc>
          <w:tcPr>
            <w:tcW w:w="1272" w:type="pct"/>
            <w:tcBorders>
              <w:top w:val="nil"/>
              <w:left w:val="single" w:sz="4" w:space="0" w:color="auto"/>
              <w:bottom w:val="nil"/>
            </w:tcBorders>
            <w:shd w:val="clear" w:color="auto" w:fill="auto"/>
            <w:noWrap/>
            <w:vAlign w:val="center"/>
            <w:hideMark/>
          </w:tcPr>
          <w:p w14:paraId="2CE89A28" w14:textId="77777777" w:rsidR="00A32971" w:rsidRPr="006B42D6" w:rsidRDefault="00A32971" w:rsidP="0079074C">
            <w:pPr>
              <w:jc w:val="right"/>
              <w:rPr>
                <w:sz w:val="16"/>
                <w:szCs w:val="16"/>
              </w:rPr>
            </w:pPr>
            <w:r w:rsidRPr="006B42D6">
              <w:rPr>
                <w:sz w:val="16"/>
                <w:szCs w:val="16"/>
              </w:rPr>
              <w:t>2,472,788,431</w:t>
            </w:r>
          </w:p>
        </w:tc>
        <w:tc>
          <w:tcPr>
            <w:tcW w:w="716" w:type="pct"/>
            <w:tcBorders>
              <w:top w:val="nil"/>
              <w:bottom w:val="nil"/>
              <w:right w:val="single" w:sz="4" w:space="0" w:color="auto"/>
            </w:tcBorders>
            <w:shd w:val="clear" w:color="auto" w:fill="auto"/>
            <w:noWrap/>
            <w:vAlign w:val="center"/>
            <w:hideMark/>
          </w:tcPr>
          <w:p w14:paraId="726EB670" w14:textId="6696AACA" w:rsidR="00A32971" w:rsidRPr="006B42D6" w:rsidRDefault="00A32971" w:rsidP="0079074C">
            <w:pPr>
              <w:jc w:val="right"/>
              <w:rPr>
                <w:sz w:val="16"/>
                <w:szCs w:val="16"/>
              </w:rPr>
            </w:pPr>
            <w:r w:rsidRPr="006B42D6">
              <w:rPr>
                <w:sz w:val="16"/>
                <w:szCs w:val="16"/>
              </w:rPr>
              <w:t>1.2</w:t>
            </w:r>
          </w:p>
        </w:tc>
        <w:tc>
          <w:tcPr>
            <w:tcW w:w="1192" w:type="pct"/>
            <w:tcBorders>
              <w:top w:val="nil"/>
              <w:left w:val="single" w:sz="4" w:space="0" w:color="auto"/>
              <w:bottom w:val="nil"/>
            </w:tcBorders>
            <w:shd w:val="clear" w:color="auto" w:fill="auto"/>
            <w:noWrap/>
            <w:vAlign w:val="center"/>
            <w:hideMark/>
          </w:tcPr>
          <w:p w14:paraId="1C59D296" w14:textId="77777777" w:rsidR="00A32971" w:rsidRPr="006B42D6" w:rsidRDefault="00A32971" w:rsidP="0079074C">
            <w:pPr>
              <w:jc w:val="right"/>
              <w:rPr>
                <w:sz w:val="16"/>
                <w:szCs w:val="16"/>
              </w:rPr>
            </w:pPr>
            <w:r w:rsidRPr="006B42D6">
              <w:rPr>
                <w:sz w:val="16"/>
                <w:szCs w:val="16"/>
              </w:rPr>
              <w:t>3,082,262,132</w:t>
            </w:r>
          </w:p>
        </w:tc>
        <w:tc>
          <w:tcPr>
            <w:tcW w:w="628" w:type="pct"/>
            <w:tcBorders>
              <w:top w:val="nil"/>
              <w:bottom w:val="nil"/>
            </w:tcBorders>
            <w:shd w:val="clear" w:color="auto" w:fill="auto"/>
            <w:noWrap/>
            <w:vAlign w:val="center"/>
            <w:hideMark/>
          </w:tcPr>
          <w:p w14:paraId="3CF08D8C" w14:textId="77777777" w:rsidR="00A32971" w:rsidRPr="006B42D6" w:rsidRDefault="00A32971" w:rsidP="0079074C">
            <w:pPr>
              <w:jc w:val="right"/>
              <w:rPr>
                <w:sz w:val="16"/>
                <w:szCs w:val="16"/>
              </w:rPr>
            </w:pPr>
            <w:r w:rsidRPr="006B42D6">
              <w:rPr>
                <w:sz w:val="16"/>
                <w:szCs w:val="16"/>
              </w:rPr>
              <w:t>1.1</w:t>
            </w:r>
          </w:p>
        </w:tc>
      </w:tr>
      <w:tr w:rsidR="006B42D6" w:rsidRPr="006B42D6" w14:paraId="3AF2EDF9" w14:textId="77777777" w:rsidTr="0079074C">
        <w:trPr>
          <w:trHeight w:val="312"/>
        </w:trPr>
        <w:tc>
          <w:tcPr>
            <w:tcW w:w="1192" w:type="pct"/>
            <w:tcBorders>
              <w:top w:val="nil"/>
              <w:bottom w:val="nil"/>
              <w:right w:val="single" w:sz="4" w:space="0" w:color="auto"/>
            </w:tcBorders>
            <w:shd w:val="clear" w:color="auto" w:fill="auto"/>
            <w:vAlign w:val="center"/>
            <w:hideMark/>
          </w:tcPr>
          <w:p w14:paraId="2073F71B" w14:textId="77777777" w:rsidR="00A32971" w:rsidRPr="006B42D6" w:rsidRDefault="00A32971" w:rsidP="0079074C">
            <w:pPr>
              <w:jc w:val="left"/>
              <w:rPr>
                <w:sz w:val="16"/>
                <w:szCs w:val="16"/>
              </w:rPr>
            </w:pPr>
            <w:r w:rsidRPr="006B42D6">
              <w:rPr>
                <w:sz w:val="16"/>
                <w:szCs w:val="16"/>
              </w:rPr>
              <w:t>Mara</w:t>
            </w:r>
          </w:p>
        </w:tc>
        <w:tc>
          <w:tcPr>
            <w:tcW w:w="1272" w:type="pct"/>
            <w:tcBorders>
              <w:top w:val="nil"/>
              <w:left w:val="single" w:sz="4" w:space="0" w:color="auto"/>
              <w:bottom w:val="nil"/>
            </w:tcBorders>
            <w:shd w:val="clear" w:color="auto" w:fill="auto"/>
            <w:noWrap/>
            <w:vAlign w:val="center"/>
            <w:hideMark/>
          </w:tcPr>
          <w:p w14:paraId="1BDB8DEB" w14:textId="77777777" w:rsidR="00A32971" w:rsidRPr="006B42D6" w:rsidRDefault="00A32971" w:rsidP="0079074C">
            <w:pPr>
              <w:jc w:val="right"/>
              <w:rPr>
                <w:sz w:val="16"/>
                <w:szCs w:val="16"/>
              </w:rPr>
            </w:pPr>
            <w:r w:rsidRPr="006B42D6">
              <w:rPr>
                <w:sz w:val="16"/>
                <w:szCs w:val="16"/>
              </w:rPr>
              <w:t>756,809,017</w:t>
            </w:r>
          </w:p>
        </w:tc>
        <w:tc>
          <w:tcPr>
            <w:tcW w:w="716" w:type="pct"/>
            <w:tcBorders>
              <w:top w:val="nil"/>
              <w:bottom w:val="nil"/>
              <w:right w:val="single" w:sz="4" w:space="0" w:color="auto"/>
            </w:tcBorders>
            <w:shd w:val="clear" w:color="auto" w:fill="auto"/>
            <w:noWrap/>
            <w:vAlign w:val="center"/>
            <w:hideMark/>
          </w:tcPr>
          <w:p w14:paraId="50E0324F" w14:textId="02FB21C6" w:rsidR="00A32971" w:rsidRPr="006B42D6" w:rsidRDefault="00A32971" w:rsidP="0079074C">
            <w:pPr>
              <w:jc w:val="right"/>
              <w:rPr>
                <w:sz w:val="16"/>
                <w:szCs w:val="16"/>
              </w:rPr>
            </w:pPr>
            <w:r w:rsidRPr="006B42D6">
              <w:rPr>
                <w:sz w:val="16"/>
                <w:szCs w:val="16"/>
              </w:rPr>
              <w:t>0.4</w:t>
            </w:r>
          </w:p>
        </w:tc>
        <w:tc>
          <w:tcPr>
            <w:tcW w:w="1192" w:type="pct"/>
            <w:tcBorders>
              <w:top w:val="nil"/>
              <w:left w:val="single" w:sz="4" w:space="0" w:color="auto"/>
              <w:bottom w:val="nil"/>
            </w:tcBorders>
            <w:shd w:val="clear" w:color="auto" w:fill="auto"/>
            <w:noWrap/>
            <w:vAlign w:val="center"/>
            <w:hideMark/>
          </w:tcPr>
          <w:p w14:paraId="43F6D48B" w14:textId="77777777" w:rsidR="00A32971" w:rsidRPr="006B42D6" w:rsidRDefault="00A32971" w:rsidP="0079074C">
            <w:pPr>
              <w:jc w:val="right"/>
              <w:rPr>
                <w:sz w:val="16"/>
                <w:szCs w:val="16"/>
              </w:rPr>
            </w:pPr>
            <w:r w:rsidRPr="006B42D6">
              <w:rPr>
                <w:sz w:val="16"/>
                <w:szCs w:val="16"/>
              </w:rPr>
              <w:t>1,013,075,830</w:t>
            </w:r>
          </w:p>
        </w:tc>
        <w:tc>
          <w:tcPr>
            <w:tcW w:w="628" w:type="pct"/>
            <w:tcBorders>
              <w:top w:val="nil"/>
              <w:bottom w:val="nil"/>
            </w:tcBorders>
            <w:shd w:val="clear" w:color="auto" w:fill="auto"/>
            <w:noWrap/>
            <w:vAlign w:val="center"/>
            <w:hideMark/>
          </w:tcPr>
          <w:p w14:paraId="6F44BC26" w14:textId="77777777" w:rsidR="00A32971" w:rsidRPr="006B42D6" w:rsidRDefault="00A32971" w:rsidP="0079074C">
            <w:pPr>
              <w:jc w:val="right"/>
              <w:rPr>
                <w:sz w:val="16"/>
                <w:szCs w:val="16"/>
              </w:rPr>
            </w:pPr>
            <w:r w:rsidRPr="006B42D6">
              <w:rPr>
                <w:sz w:val="16"/>
                <w:szCs w:val="16"/>
              </w:rPr>
              <w:t>0.4</w:t>
            </w:r>
          </w:p>
        </w:tc>
      </w:tr>
      <w:tr w:rsidR="006B42D6" w:rsidRPr="006B42D6" w14:paraId="500CD81C" w14:textId="77777777" w:rsidTr="0079074C">
        <w:trPr>
          <w:trHeight w:val="312"/>
        </w:trPr>
        <w:tc>
          <w:tcPr>
            <w:tcW w:w="1192" w:type="pct"/>
            <w:tcBorders>
              <w:top w:val="nil"/>
              <w:bottom w:val="nil"/>
              <w:right w:val="single" w:sz="4" w:space="0" w:color="auto"/>
            </w:tcBorders>
            <w:shd w:val="clear" w:color="auto" w:fill="auto"/>
            <w:vAlign w:val="center"/>
            <w:hideMark/>
          </w:tcPr>
          <w:p w14:paraId="14A04027" w14:textId="77777777" w:rsidR="00A32971" w:rsidRPr="006B42D6" w:rsidRDefault="00A32971" w:rsidP="0079074C">
            <w:pPr>
              <w:jc w:val="left"/>
              <w:rPr>
                <w:sz w:val="16"/>
                <w:szCs w:val="16"/>
              </w:rPr>
            </w:pPr>
            <w:r w:rsidRPr="006B42D6">
              <w:rPr>
                <w:sz w:val="16"/>
                <w:szCs w:val="16"/>
              </w:rPr>
              <w:t>Manyara</w:t>
            </w:r>
          </w:p>
        </w:tc>
        <w:tc>
          <w:tcPr>
            <w:tcW w:w="1272" w:type="pct"/>
            <w:tcBorders>
              <w:top w:val="nil"/>
              <w:left w:val="single" w:sz="4" w:space="0" w:color="auto"/>
              <w:bottom w:val="nil"/>
            </w:tcBorders>
            <w:shd w:val="clear" w:color="auto" w:fill="auto"/>
            <w:noWrap/>
            <w:vAlign w:val="center"/>
            <w:hideMark/>
          </w:tcPr>
          <w:p w14:paraId="62C9D1B6" w14:textId="77777777" w:rsidR="00A32971" w:rsidRPr="006B42D6" w:rsidRDefault="00A32971" w:rsidP="0079074C">
            <w:pPr>
              <w:jc w:val="right"/>
              <w:rPr>
                <w:sz w:val="16"/>
                <w:szCs w:val="16"/>
              </w:rPr>
            </w:pPr>
            <w:r w:rsidRPr="006B42D6">
              <w:rPr>
                <w:sz w:val="16"/>
                <w:szCs w:val="16"/>
              </w:rPr>
              <w:t>4,482,520,116</w:t>
            </w:r>
          </w:p>
        </w:tc>
        <w:tc>
          <w:tcPr>
            <w:tcW w:w="716" w:type="pct"/>
            <w:tcBorders>
              <w:top w:val="nil"/>
              <w:bottom w:val="nil"/>
              <w:right w:val="single" w:sz="4" w:space="0" w:color="auto"/>
            </w:tcBorders>
            <w:shd w:val="clear" w:color="auto" w:fill="auto"/>
            <w:noWrap/>
            <w:vAlign w:val="center"/>
            <w:hideMark/>
          </w:tcPr>
          <w:p w14:paraId="737F2023" w14:textId="1FF9E0E8" w:rsidR="00A32971" w:rsidRPr="006B42D6" w:rsidRDefault="00A32971" w:rsidP="0079074C">
            <w:pPr>
              <w:jc w:val="right"/>
              <w:rPr>
                <w:sz w:val="16"/>
                <w:szCs w:val="16"/>
              </w:rPr>
            </w:pPr>
            <w:r w:rsidRPr="006B42D6">
              <w:rPr>
                <w:sz w:val="16"/>
                <w:szCs w:val="16"/>
              </w:rPr>
              <w:t>2.3</w:t>
            </w:r>
          </w:p>
        </w:tc>
        <w:tc>
          <w:tcPr>
            <w:tcW w:w="1192" w:type="pct"/>
            <w:tcBorders>
              <w:top w:val="nil"/>
              <w:left w:val="single" w:sz="4" w:space="0" w:color="auto"/>
              <w:bottom w:val="nil"/>
            </w:tcBorders>
            <w:shd w:val="clear" w:color="auto" w:fill="auto"/>
            <w:noWrap/>
            <w:vAlign w:val="center"/>
            <w:hideMark/>
          </w:tcPr>
          <w:p w14:paraId="6F00C391" w14:textId="77777777" w:rsidR="00A32971" w:rsidRPr="006B42D6" w:rsidRDefault="00A32971" w:rsidP="0079074C">
            <w:pPr>
              <w:jc w:val="right"/>
              <w:rPr>
                <w:sz w:val="16"/>
                <w:szCs w:val="16"/>
              </w:rPr>
            </w:pPr>
            <w:r w:rsidRPr="006B42D6">
              <w:rPr>
                <w:sz w:val="16"/>
                <w:szCs w:val="16"/>
              </w:rPr>
              <w:t>5,245,027,931</w:t>
            </w:r>
          </w:p>
        </w:tc>
        <w:tc>
          <w:tcPr>
            <w:tcW w:w="628" w:type="pct"/>
            <w:tcBorders>
              <w:top w:val="nil"/>
              <w:bottom w:val="nil"/>
            </w:tcBorders>
            <w:shd w:val="clear" w:color="auto" w:fill="auto"/>
            <w:noWrap/>
            <w:vAlign w:val="center"/>
            <w:hideMark/>
          </w:tcPr>
          <w:p w14:paraId="0B5B7E66" w14:textId="77777777" w:rsidR="00A32971" w:rsidRPr="006B42D6" w:rsidRDefault="00A32971" w:rsidP="0079074C">
            <w:pPr>
              <w:jc w:val="right"/>
              <w:rPr>
                <w:sz w:val="16"/>
                <w:szCs w:val="16"/>
              </w:rPr>
            </w:pPr>
            <w:r w:rsidRPr="006B42D6">
              <w:rPr>
                <w:sz w:val="16"/>
                <w:szCs w:val="16"/>
              </w:rPr>
              <w:t>1.9</w:t>
            </w:r>
          </w:p>
        </w:tc>
      </w:tr>
      <w:tr w:rsidR="006B42D6" w:rsidRPr="006B42D6" w14:paraId="4320B403" w14:textId="77777777" w:rsidTr="0079074C">
        <w:trPr>
          <w:trHeight w:val="312"/>
        </w:trPr>
        <w:tc>
          <w:tcPr>
            <w:tcW w:w="1192" w:type="pct"/>
            <w:tcBorders>
              <w:top w:val="nil"/>
              <w:bottom w:val="nil"/>
              <w:right w:val="single" w:sz="4" w:space="0" w:color="auto"/>
            </w:tcBorders>
            <w:shd w:val="clear" w:color="auto" w:fill="auto"/>
            <w:vAlign w:val="center"/>
            <w:hideMark/>
          </w:tcPr>
          <w:p w14:paraId="17CB87D6" w14:textId="77777777" w:rsidR="00A32971" w:rsidRPr="006B42D6" w:rsidRDefault="00A32971" w:rsidP="0079074C">
            <w:pPr>
              <w:jc w:val="left"/>
              <w:rPr>
                <w:sz w:val="16"/>
                <w:szCs w:val="16"/>
              </w:rPr>
            </w:pPr>
            <w:r w:rsidRPr="006B42D6">
              <w:rPr>
                <w:sz w:val="16"/>
                <w:szCs w:val="16"/>
              </w:rPr>
              <w:t>Njombe</w:t>
            </w:r>
          </w:p>
        </w:tc>
        <w:tc>
          <w:tcPr>
            <w:tcW w:w="1272" w:type="pct"/>
            <w:tcBorders>
              <w:top w:val="nil"/>
              <w:left w:val="single" w:sz="4" w:space="0" w:color="auto"/>
              <w:bottom w:val="nil"/>
            </w:tcBorders>
            <w:shd w:val="clear" w:color="auto" w:fill="auto"/>
            <w:noWrap/>
            <w:vAlign w:val="center"/>
            <w:hideMark/>
          </w:tcPr>
          <w:p w14:paraId="7626D22A" w14:textId="77777777" w:rsidR="00A32971" w:rsidRPr="006B42D6" w:rsidRDefault="00A32971" w:rsidP="0079074C">
            <w:pPr>
              <w:jc w:val="right"/>
              <w:rPr>
                <w:sz w:val="16"/>
                <w:szCs w:val="16"/>
              </w:rPr>
            </w:pPr>
            <w:r w:rsidRPr="006B42D6">
              <w:rPr>
                <w:sz w:val="16"/>
                <w:szCs w:val="16"/>
              </w:rPr>
              <w:t>2,007,586,952</w:t>
            </w:r>
          </w:p>
        </w:tc>
        <w:tc>
          <w:tcPr>
            <w:tcW w:w="716" w:type="pct"/>
            <w:tcBorders>
              <w:top w:val="nil"/>
              <w:bottom w:val="nil"/>
              <w:right w:val="single" w:sz="4" w:space="0" w:color="auto"/>
            </w:tcBorders>
            <w:shd w:val="clear" w:color="auto" w:fill="auto"/>
            <w:noWrap/>
            <w:vAlign w:val="center"/>
            <w:hideMark/>
          </w:tcPr>
          <w:p w14:paraId="4A5982A7" w14:textId="41040CB6" w:rsidR="00A32971" w:rsidRPr="006B42D6" w:rsidRDefault="00A32971" w:rsidP="0079074C">
            <w:pPr>
              <w:jc w:val="right"/>
              <w:rPr>
                <w:sz w:val="16"/>
                <w:szCs w:val="16"/>
              </w:rPr>
            </w:pPr>
            <w:r w:rsidRPr="006B42D6">
              <w:rPr>
                <w:sz w:val="16"/>
                <w:szCs w:val="16"/>
              </w:rPr>
              <w:t>1.0</w:t>
            </w:r>
          </w:p>
        </w:tc>
        <w:tc>
          <w:tcPr>
            <w:tcW w:w="1192" w:type="pct"/>
            <w:tcBorders>
              <w:top w:val="nil"/>
              <w:left w:val="single" w:sz="4" w:space="0" w:color="auto"/>
              <w:bottom w:val="nil"/>
            </w:tcBorders>
            <w:shd w:val="clear" w:color="auto" w:fill="auto"/>
            <w:noWrap/>
            <w:vAlign w:val="center"/>
            <w:hideMark/>
          </w:tcPr>
          <w:p w14:paraId="66F621FF" w14:textId="77777777" w:rsidR="00A32971" w:rsidRPr="006B42D6" w:rsidRDefault="00A32971" w:rsidP="0079074C">
            <w:pPr>
              <w:jc w:val="right"/>
              <w:rPr>
                <w:sz w:val="16"/>
                <w:szCs w:val="16"/>
              </w:rPr>
            </w:pPr>
            <w:r w:rsidRPr="006B42D6">
              <w:rPr>
                <w:sz w:val="16"/>
                <w:szCs w:val="16"/>
              </w:rPr>
              <w:t>2,409,329,298</w:t>
            </w:r>
          </w:p>
        </w:tc>
        <w:tc>
          <w:tcPr>
            <w:tcW w:w="628" w:type="pct"/>
            <w:tcBorders>
              <w:top w:val="nil"/>
              <w:bottom w:val="nil"/>
            </w:tcBorders>
            <w:shd w:val="clear" w:color="auto" w:fill="auto"/>
            <w:noWrap/>
            <w:vAlign w:val="center"/>
            <w:hideMark/>
          </w:tcPr>
          <w:p w14:paraId="0B8331F8" w14:textId="77777777" w:rsidR="00A32971" w:rsidRPr="006B42D6" w:rsidRDefault="00A32971" w:rsidP="0079074C">
            <w:pPr>
              <w:jc w:val="right"/>
              <w:rPr>
                <w:sz w:val="16"/>
                <w:szCs w:val="16"/>
              </w:rPr>
            </w:pPr>
            <w:r w:rsidRPr="006B42D6">
              <w:rPr>
                <w:sz w:val="16"/>
                <w:szCs w:val="16"/>
              </w:rPr>
              <w:t>0.9</w:t>
            </w:r>
          </w:p>
        </w:tc>
      </w:tr>
      <w:tr w:rsidR="006B42D6" w:rsidRPr="006B42D6" w14:paraId="4EAAE3F7" w14:textId="77777777" w:rsidTr="0079074C">
        <w:trPr>
          <w:trHeight w:val="312"/>
        </w:trPr>
        <w:tc>
          <w:tcPr>
            <w:tcW w:w="1192" w:type="pct"/>
            <w:tcBorders>
              <w:top w:val="nil"/>
              <w:bottom w:val="nil"/>
              <w:right w:val="single" w:sz="4" w:space="0" w:color="auto"/>
            </w:tcBorders>
            <w:shd w:val="clear" w:color="auto" w:fill="auto"/>
            <w:vAlign w:val="center"/>
            <w:hideMark/>
          </w:tcPr>
          <w:p w14:paraId="58A6A46A" w14:textId="77777777" w:rsidR="00A32971" w:rsidRPr="006B42D6" w:rsidRDefault="00A32971" w:rsidP="0079074C">
            <w:pPr>
              <w:jc w:val="left"/>
              <w:rPr>
                <w:sz w:val="16"/>
                <w:szCs w:val="16"/>
              </w:rPr>
            </w:pPr>
            <w:r w:rsidRPr="006B42D6">
              <w:rPr>
                <w:sz w:val="16"/>
                <w:szCs w:val="16"/>
              </w:rPr>
              <w:t>Katavi</w:t>
            </w:r>
          </w:p>
        </w:tc>
        <w:tc>
          <w:tcPr>
            <w:tcW w:w="1272" w:type="pct"/>
            <w:tcBorders>
              <w:top w:val="nil"/>
              <w:left w:val="single" w:sz="4" w:space="0" w:color="auto"/>
              <w:bottom w:val="nil"/>
            </w:tcBorders>
            <w:shd w:val="clear" w:color="auto" w:fill="auto"/>
            <w:noWrap/>
            <w:vAlign w:val="center"/>
            <w:hideMark/>
          </w:tcPr>
          <w:p w14:paraId="0BFE61BC" w14:textId="77777777" w:rsidR="00A32971" w:rsidRPr="006B42D6" w:rsidRDefault="00A32971" w:rsidP="0079074C">
            <w:pPr>
              <w:jc w:val="right"/>
              <w:rPr>
                <w:sz w:val="16"/>
                <w:szCs w:val="16"/>
              </w:rPr>
            </w:pPr>
            <w:r w:rsidRPr="006B42D6">
              <w:rPr>
                <w:sz w:val="16"/>
                <w:szCs w:val="16"/>
              </w:rPr>
              <w:t>1,407,693,419</w:t>
            </w:r>
          </w:p>
        </w:tc>
        <w:tc>
          <w:tcPr>
            <w:tcW w:w="716" w:type="pct"/>
            <w:tcBorders>
              <w:top w:val="nil"/>
              <w:bottom w:val="nil"/>
              <w:right w:val="single" w:sz="4" w:space="0" w:color="auto"/>
            </w:tcBorders>
            <w:shd w:val="clear" w:color="auto" w:fill="auto"/>
            <w:noWrap/>
            <w:vAlign w:val="center"/>
            <w:hideMark/>
          </w:tcPr>
          <w:p w14:paraId="38F81A00" w14:textId="6AF23177" w:rsidR="00A32971" w:rsidRPr="006B42D6" w:rsidRDefault="00A32971" w:rsidP="0079074C">
            <w:pPr>
              <w:jc w:val="right"/>
              <w:rPr>
                <w:sz w:val="16"/>
                <w:szCs w:val="16"/>
              </w:rPr>
            </w:pPr>
            <w:r w:rsidRPr="006B42D6">
              <w:rPr>
                <w:sz w:val="16"/>
                <w:szCs w:val="16"/>
              </w:rPr>
              <w:t>0.7</w:t>
            </w:r>
          </w:p>
        </w:tc>
        <w:tc>
          <w:tcPr>
            <w:tcW w:w="1192" w:type="pct"/>
            <w:tcBorders>
              <w:top w:val="nil"/>
              <w:left w:val="single" w:sz="4" w:space="0" w:color="auto"/>
              <w:bottom w:val="nil"/>
            </w:tcBorders>
            <w:shd w:val="clear" w:color="auto" w:fill="auto"/>
            <w:noWrap/>
            <w:vAlign w:val="center"/>
            <w:hideMark/>
          </w:tcPr>
          <w:p w14:paraId="210A4E64" w14:textId="77777777" w:rsidR="00A32971" w:rsidRPr="006B42D6" w:rsidRDefault="00A32971" w:rsidP="0079074C">
            <w:pPr>
              <w:jc w:val="right"/>
              <w:rPr>
                <w:sz w:val="16"/>
                <w:szCs w:val="16"/>
              </w:rPr>
            </w:pPr>
            <w:r w:rsidRPr="006B42D6">
              <w:rPr>
                <w:sz w:val="16"/>
                <w:szCs w:val="16"/>
              </w:rPr>
              <w:t>1,689,914,321</w:t>
            </w:r>
          </w:p>
        </w:tc>
        <w:tc>
          <w:tcPr>
            <w:tcW w:w="628" w:type="pct"/>
            <w:tcBorders>
              <w:top w:val="nil"/>
              <w:bottom w:val="nil"/>
            </w:tcBorders>
            <w:shd w:val="clear" w:color="auto" w:fill="auto"/>
            <w:noWrap/>
            <w:vAlign w:val="center"/>
            <w:hideMark/>
          </w:tcPr>
          <w:p w14:paraId="236E0462" w14:textId="77777777" w:rsidR="00A32971" w:rsidRPr="006B42D6" w:rsidRDefault="00A32971" w:rsidP="0079074C">
            <w:pPr>
              <w:jc w:val="right"/>
              <w:rPr>
                <w:sz w:val="16"/>
                <w:szCs w:val="16"/>
              </w:rPr>
            </w:pPr>
            <w:r w:rsidRPr="006B42D6">
              <w:rPr>
                <w:sz w:val="16"/>
                <w:szCs w:val="16"/>
              </w:rPr>
              <w:t>0.6</w:t>
            </w:r>
          </w:p>
        </w:tc>
      </w:tr>
      <w:tr w:rsidR="006B42D6" w:rsidRPr="006B42D6" w14:paraId="089763C5" w14:textId="77777777" w:rsidTr="0079074C">
        <w:trPr>
          <w:trHeight w:val="312"/>
        </w:trPr>
        <w:tc>
          <w:tcPr>
            <w:tcW w:w="1192" w:type="pct"/>
            <w:tcBorders>
              <w:top w:val="nil"/>
              <w:bottom w:val="nil"/>
              <w:right w:val="single" w:sz="4" w:space="0" w:color="auto"/>
            </w:tcBorders>
            <w:shd w:val="clear" w:color="auto" w:fill="auto"/>
            <w:vAlign w:val="center"/>
            <w:hideMark/>
          </w:tcPr>
          <w:p w14:paraId="0CF855B2" w14:textId="77777777" w:rsidR="00A32971" w:rsidRPr="006B42D6" w:rsidRDefault="00A32971" w:rsidP="0079074C">
            <w:pPr>
              <w:jc w:val="left"/>
              <w:rPr>
                <w:sz w:val="16"/>
                <w:szCs w:val="16"/>
              </w:rPr>
            </w:pPr>
            <w:r w:rsidRPr="006B42D6">
              <w:rPr>
                <w:sz w:val="16"/>
                <w:szCs w:val="16"/>
              </w:rPr>
              <w:t>Simiyu</w:t>
            </w:r>
          </w:p>
        </w:tc>
        <w:tc>
          <w:tcPr>
            <w:tcW w:w="1272" w:type="pct"/>
            <w:tcBorders>
              <w:top w:val="nil"/>
              <w:left w:val="single" w:sz="4" w:space="0" w:color="auto"/>
              <w:bottom w:val="nil"/>
            </w:tcBorders>
            <w:shd w:val="clear" w:color="auto" w:fill="auto"/>
            <w:noWrap/>
            <w:vAlign w:val="center"/>
            <w:hideMark/>
          </w:tcPr>
          <w:p w14:paraId="2DFC54C6" w14:textId="77777777" w:rsidR="00A32971" w:rsidRPr="006B42D6" w:rsidRDefault="00A32971" w:rsidP="0079074C">
            <w:pPr>
              <w:jc w:val="right"/>
              <w:rPr>
                <w:sz w:val="16"/>
                <w:szCs w:val="16"/>
              </w:rPr>
            </w:pPr>
            <w:r w:rsidRPr="006B42D6">
              <w:rPr>
                <w:sz w:val="16"/>
                <w:szCs w:val="16"/>
              </w:rPr>
              <w:t>1,563,646,381</w:t>
            </w:r>
          </w:p>
        </w:tc>
        <w:tc>
          <w:tcPr>
            <w:tcW w:w="716" w:type="pct"/>
            <w:tcBorders>
              <w:top w:val="nil"/>
              <w:bottom w:val="nil"/>
              <w:right w:val="single" w:sz="4" w:space="0" w:color="auto"/>
            </w:tcBorders>
            <w:shd w:val="clear" w:color="auto" w:fill="auto"/>
            <w:noWrap/>
            <w:vAlign w:val="center"/>
            <w:hideMark/>
          </w:tcPr>
          <w:p w14:paraId="444CF1DE" w14:textId="5D4D1931" w:rsidR="00A32971" w:rsidRPr="006B42D6" w:rsidRDefault="00A32971" w:rsidP="0079074C">
            <w:pPr>
              <w:jc w:val="right"/>
              <w:rPr>
                <w:sz w:val="16"/>
                <w:szCs w:val="16"/>
              </w:rPr>
            </w:pPr>
            <w:r w:rsidRPr="006B42D6">
              <w:rPr>
                <w:sz w:val="16"/>
                <w:szCs w:val="16"/>
              </w:rPr>
              <w:t>0.8</w:t>
            </w:r>
          </w:p>
        </w:tc>
        <w:tc>
          <w:tcPr>
            <w:tcW w:w="1192" w:type="pct"/>
            <w:tcBorders>
              <w:top w:val="nil"/>
              <w:left w:val="single" w:sz="4" w:space="0" w:color="auto"/>
              <w:bottom w:val="nil"/>
            </w:tcBorders>
            <w:shd w:val="clear" w:color="auto" w:fill="auto"/>
            <w:noWrap/>
            <w:vAlign w:val="center"/>
            <w:hideMark/>
          </w:tcPr>
          <w:p w14:paraId="56E7A57E" w14:textId="77777777" w:rsidR="00A32971" w:rsidRPr="006B42D6" w:rsidRDefault="00A32971" w:rsidP="0079074C">
            <w:pPr>
              <w:jc w:val="right"/>
              <w:rPr>
                <w:sz w:val="16"/>
                <w:szCs w:val="16"/>
              </w:rPr>
            </w:pPr>
            <w:r w:rsidRPr="006B42D6">
              <w:rPr>
                <w:sz w:val="16"/>
                <w:szCs w:val="16"/>
              </w:rPr>
              <w:t>2,336,916,728</w:t>
            </w:r>
          </w:p>
        </w:tc>
        <w:tc>
          <w:tcPr>
            <w:tcW w:w="628" w:type="pct"/>
            <w:tcBorders>
              <w:top w:val="nil"/>
              <w:bottom w:val="nil"/>
            </w:tcBorders>
            <w:shd w:val="clear" w:color="auto" w:fill="auto"/>
            <w:noWrap/>
            <w:vAlign w:val="center"/>
            <w:hideMark/>
          </w:tcPr>
          <w:p w14:paraId="0FC4B66E" w14:textId="77777777" w:rsidR="00A32971" w:rsidRPr="006B42D6" w:rsidRDefault="00A32971" w:rsidP="0079074C">
            <w:pPr>
              <w:jc w:val="right"/>
              <w:rPr>
                <w:sz w:val="16"/>
                <w:szCs w:val="16"/>
              </w:rPr>
            </w:pPr>
            <w:r w:rsidRPr="006B42D6">
              <w:rPr>
                <w:sz w:val="16"/>
                <w:szCs w:val="16"/>
              </w:rPr>
              <w:t>0.8</w:t>
            </w:r>
          </w:p>
        </w:tc>
      </w:tr>
      <w:tr w:rsidR="006B42D6" w:rsidRPr="006B42D6" w14:paraId="32DC4636" w14:textId="77777777" w:rsidTr="0079074C">
        <w:trPr>
          <w:trHeight w:val="312"/>
        </w:trPr>
        <w:tc>
          <w:tcPr>
            <w:tcW w:w="1192" w:type="pct"/>
            <w:tcBorders>
              <w:top w:val="nil"/>
              <w:bottom w:val="nil"/>
              <w:right w:val="single" w:sz="4" w:space="0" w:color="auto"/>
            </w:tcBorders>
            <w:shd w:val="clear" w:color="auto" w:fill="auto"/>
            <w:vAlign w:val="center"/>
            <w:hideMark/>
          </w:tcPr>
          <w:p w14:paraId="32DB2CD2" w14:textId="77777777" w:rsidR="00A32971" w:rsidRPr="006B42D6" w:rsidRDefault="00A32971" w:rsidP="0079074C">
            <w:pPr>
              <w:jc w:val="left"/>
              <w:rPr>
                <w:sz w:val="16"/>
                <w:szCs w:val="16"/>
              </w:rPr>
            </w:pPr>
            <w:r w:rsidRPr="006B42D6">
              <w:rPr>
                <w:sz w:val="16"/>
                <w:szCs w:val="16"/>
              </w:rPr>
              <w:t>Geita</w:t>
            </w:r>
          </w:p>
        </w:tc>
        <w:tc>
          <w:tcPr>
            <w:tcW w:w="1272" w:type="pct"/>
            <w:tcBorders>
              <w:top w:val="nil"/>
              <w:left w:val="single" w:sz="4" w:space="0" w:color="auto"/>
              <w:bottom w:val="nil"/>
            </w:tcBorders>
            <w:shd w:val="clear" w:color="auto" w:fill="auto"/>
            <w:noWrap/>
            <w:vAlign w:val="center"/>
            <w:hideMark/>
          </w:tcPr>
          <w:p w14:paraId="1D534D3B" w14:textId="77777777" w:rsidR="00A32971" w:rsidRPr="006B42D6" w:rsidRDefault="00A32971" w:rsidP="0079074C">
            <w:pPr>
              <w:jc w:val="right"/>
              <w:rPr>
                <w:sz w:val="16"/>
                <w:szCs w:val="16"/>
              </w:rPr>
            </w:pPr>
            <w:r w:rsidRPr="006B42D6">
              <w:rPr>
                <w:sz w:val="16"/>
                <w:szCs w:val="16"/>
              </w:rPr>
              <w:t>2,581,032,656</w:t>
            </w:r>
          </w:p>
        </w:tc>
        <w:tc>
          <w:tcPr>
            <w:tcW w:w="716" w:type="pct"/>
            <w:tcBorders>
              <w:top w:val="nil"/>
              <w:bottom w:val="nil"/>
              <w:right w:val="single" w:sz="4" w:space="0" w:color="auto"/>
            </w:tcBorders>
            <w:shd w:val="clear" w:color="auto" w:fill="auto"/>
            <w:noWrap/>
            <w:vAlign w:val="center"/>
            <w:hideMark/>
          </w:tcPr>
          <w:p w14:paraId="1FC69B37" w14:textId="47179839" w:rsidR="00A32971" w:rsidRPr="006B42D6" w:rsidRDefault="00A32971" w:rsidP="0079074C">
            <w:pPr>
              <w:jc w:val="right"/>
              <w:rPr>
                <w:sz w:val="16"/>
                <w:szCs w:val="16"/>
              </w:rPr>
            </w:pPr>
            <w:r w:rsidRPr="006B42D6">
              <w:rPr>
                <w:sz w:val="16"/>
                <w:szCs w:val="16"/>
              </w:rPr>
              <w:t>1.3</w:t>
            </w:r>
          </w:p>
        </w:tc>
        <w:tc>
          <w:tcPr>
            <w:tcW w:w="1192" w:type="pct"/>
            <w:tcBorders>
              <w:top w:val="nil"/>
              <w:left w:val="single" w:sz="4" w:space="0" w:color="auto"/>
              <w:bottom w:val="nil"/>
            </w:tcBorders>
            <w:shd w:val="clear" w:color="auto" w:fill="auto"/>
            <w:noWrap/>
            <w:vAlign w:val="center"/>
            <w:hideMark/>
          </w:tcPr>
          <w:p w14:paraId="213D4B19" w14:textId="77777777" w:rsidR="00A32971" w:rsidRPr="006B42D6" w:rsidRDefault="00A32971" w:rsidP="0079074C">
            <w:pPr>
              <w:jc w:val="right"/>
              <w:rPr>
                <w:sz w:val="16"/>
                <w:szCs w:val="16"/>
              </w:rPr>
            </w:pPr>
            <w:r w:rsidRPr="006B42D6">
              <w:rPr>
                <w:sz w:val="16"/>
                <w:szCs w:val="16"/>
              </w:rPr>
              <w:t>4,123,088,373</w:t>
            </w:r>
          </w:p>
        </w:tc>
        <w:tc>
          <w:tcPr>
            <w:tcW w:w="628" w:type="pct"/>
            <w:tcBorders>
              <w:top w:val="nil"/>
              <w:bottom w:val="nil"/>
            </w:tcBorders>
            <w:shd w:val="clear" w:color="auto" w:fill="auto"/>
            <w:noWrap/>
            <w:vAlign w:val="center"/>
            <w:hideMark/>
          </w:tcPr>
          <w:p w14:paraId="4776C7D0" w14:textId="77777777" w:rsidR="00A32971" w:rsidRPr="006B42D6" w:rsidRDefault="00A32971" w:rsidP="0079074C">
            <w:pPr>
              <w:jc w:val="right"/>
              <w:rPr>
                <w:sz w:val="16"/>
                <w:szCs w:val="16"/>
              </w:rPr>
            </w:pPr>
            <w:r w:rsidRPr="006B42D6">
              <w:rPr>
                <w:sz w:val="16"/>
                <w:szCs w:val="16"/>
              </w:rPr>
              <w:t>1.5</w:t>
            </w:r>
          </w:p>
        </w:tc>
      </w:tr>
      <w:tr w:rsidR="006B42D6" w:rsidRPr="006B42D6" w14:paraId="1B277D4D" w14:textId="77777777" w:rsidTr="0079074C">
        <w:trPr>
          <w:trHeight w:val="312"/>
        </w:trPr>
        <w:tc>
          <w:tcPr>
            <w:tcW w:w="1192" w:type="pct"/>
            <w:tcBorders>
              <w:top w:val="nil"/>
              <w:bottom w:val="single" w:sz="4" w:space="0" w:color="auto"/>
              <w:right w:val="single" w:sz="4" w:space="0" w:color="auto"/>
            </w:tcBorders>
            <w:shd w:val="clear" w:color="auto" w:fill="auto"/>
            <w:vAlign w:val="center"/>
            <w:hideMark/>
          </w:tcPr>
          <w:p w14:paraId="477E62AE" w14:textId="77777777" w:rsidR="00A32971" w:rsidRPr="006B42D6" w:rsidRDefault="00A32971" w:rsidP="0079074C">
            <w:pPr>
              <w:jc w:val="left"/>
              <w:rPr>
                <w:sz w:val="16"/>
                <w:szCs w:val="16"/>
              </w:rPr>
            </w:pPr>
            <w:r w:rsidRPr="006B42D6">
              <w:rPr>
                <w:sz w:val="16"/>
                <w:szCs w:val="16"/>
              </w:rPr>
              <w:t>Songwe</w:t>
            </w:r>
          </w:p>
        </w:tc>
        <w:tc>
          <w:tcPr>
            <w:tcW w:w="1272" w:type="pct"/>
            <w:tcBorders>
              <w:top w:val="nil"/>
              <w:left w:val="single" w:sz="4" w:space="0" w:color="auto"/>
              <w:bottom w:val="single" w:sz="4" w:space="0" w:color="auto"/>
            </w:tcBorders>
            <w:shd w:val="clear" w:color="auto" w:fill="auto"/>
            <w:noWrap/>
            <w:vAlign w:val="center"/>
            <w:hideMark/>
          </w:tcPr>
          <w:p w14:paraId="569C779D" w14:textId="77777777" w:rsidR="00A32971" w:rsidRPr="006B42D6" w:rsidRDefault="00A32971" w:rsidP="0079074C">
            <w:pPr>
              <w:jc w:val="right"/>
              <w:rPr>
                <w:sz w:val="16"/>
                <w:szCs w:val="16"/>
              </w:rPr>
            </w:pPr>
            <w:r w:rsidRPr="006B42D6">
              <w:rPr>
                <w:sz w:val="16"/>
                <w:szCs w:val="16"/>
              </w:rPr>
              <w:t>7,162,937,581</w:t>
            </w:r>
          </w:p>
        </w:tc>
        <w:tc>
          <w:tcPr>
            <w:tcW w:w="716" w:type="pct"/>
            <w:tcBorders>
              <w:top w:val="nil"/>
              <w:bottom w:val="single" w:sz="4" w:space="0" w:color="auto"/>
              <w:right w:val="single" w:sz="4" w:space="0" w:color="auto"/>
            </w:tcBorders>
            <w:shd w:val="clear" w:color="auto" w:fill="auto"/>
            <w:noWrap/>
            <w:vAlign w:val="center"/>
            <w:hideMark/>
          </w:tcPr>
          <w:p w14:paraId="4BA5AA09" w14:textId="40D7170D" w:rsidR="00A32971" w:rsidRPr="006B42D6" w:rsidRDefault="00A32971" w:rsidP="0079074C">
            <w:pPr>
              <w:jc w:val="right"/>
              <w:rPr>
                <w:sz w:val="16"/>
                <w:szCs w:val="16"/>
              </w:rPr>
            </w:pPr>
            <w:r w:rsidRPr="006B42D6">
              <w:rPr>
                <w:sz w:val="16"/>
                <w:szCs w:val="16"/>
              </w:rPr>
              <w:t>3.6</w:t>
            </w:r>
          </w:p>
        </w:tc>
        <w:tc>
          <w:tcPr>
            <w:tcW w:w="1192" w:type="pct"/>
            <w:tcBorders>
              <w:top w:val="nil"/>
              <w:left w:val="single" w:sz="4" w:space="0" w:color="auto"/>
              <w:bottom w:val="single" w:sz="4" w:space="0" w:color="auto"/>
            </w:tcBorders>
            <w:shd w:val="clear" w:color="auto" w:fill="auto"/>
            <w:noWrap/>
            <w:vAlign w:val="center"/>
            <w:hideMark/>
          </w:tcPr>
          <w:p w14:paraId="2D78F99B" w14:textId="77777777" w:rsidR="00A32971" w:rsidRPr="006B42D6" w:rsidRDefault="00A32971" w:rsidP="0079074C">
            <w:pPr>
              <w:jc w:val="right"/>
              <w:rPr>
                <w:sz w:val="16"/>
                <w:szCs w:val="16"/>
              </w:rPr>
            </w:pPr>
            <w:r w:rsidRPr="006B42D6">
              <w:rPr>
                <w:sz w:val="16"/>
                <w:szCs w:val="16"/>
              </w:rPr>
              <w:t>9,348,385,849</w:t>
            </w:r>
          </w:p>
        </w:tc>
        <w:tc>
          <w:tcPr>
            <w:tcW w:w="628" w:type="pct"/>
            <w:tcBorders>
              <w:top w:val="nil"/>
              <w:bottom w:val="single" w:sz="4" w:space="0" w:color="auto"/>
            </w:tcBorders>
            <w:shd w:val="clear" w:color="auto" w:fill="auto"/>
            <w:noWrap/>
            <w:vAlign w:val="center"/>
            <w:hideMark/>
          </w:tcPr>
          <w:p w14:paraId="150C7D16" w14:textId="77777777" w:rsidR="00A32971" w:rsidRPr="006B42D6" w:rsidRDefault="00A32971" w:rsidP="0079074C">
            <w:pPr>
              <w:jc w:val="right"/>
              <w:rPr>
                <w:sz w:val="16"/>
                <w:szCs w:val="16"/>
              </w:rPr>
            </w:pPr>
            <w:r w:rsidRPr="006B42D6">
              <w:rPr>
                <w:sz w:val="16"/>
                <w:szCs w:val="16"/>
              </w:rPr>
              <w:t>3.3</w:t>
            </w:r>
          </w:p>
        </w:tc>
      </w:tr>
      <w:tr w:rsidR="006B42D6" w:rsidRPr="006B42D6" w14:paraId="667146C6" w14:textId="77777777" w:rsidTr="0079074C">
        <w:trPr>
          <w:trHeight w:val="312"/>
        </w:trPr>
        <w:tc>
          <w:tcPr>
            <w:tcW w:w="1192" w:type="pct"/>
            <w:tcBorders>
              <w:top w:val="single" w:sz="4" w:space="0" w:color="auto"/>
              <w:bottom w:val="single" w:sz="4" w:space="0" w:color="auto"/>
              <w:right w:val="single" w:sz="4" w:space="0" w:color="auto"/>
            </w:tcBorders>
            <w:shd w:val="clear" w:color="auto" w:fill="E2EFD9" w:themeFill="accent6" w:themeFillTint="33"/>
            <w:vAlign w:val="center"/>
            <w:hideMark/>
          </w:tcPr>
          <w:p w14:paraId="54FEB150" w14:textId="0BA6FB4F" w:rsidR="00A32971" w:rsidRPr="006B42D6" w:rsidRDefault="00EA1552" w:rsidP="0079074C">
            <w:pPr>
              <w:jc w:val="left"/>
              <w:rPr>
                <w:b/>
                <w:bCs/>
                <w:sz w:val="16"/>
                <w:szCs w:val="16"/>
              </w:rPr>
            </w:pPr>
            <w:r>
              <w:rPr>
                <w:b/>
                <w:bCs/>
                <w:sz w:val="16"/>
                <w:szCs w:val="16"/>
              </w:rPr>
              <w:t>Mainland Tanzania</w:t>
            </w:r>
          </w:p>
        </w:tc>
        <w:tc>
          <w:tcPr>
            <w:tcW w:w="1272" w:type="pct"/>
            <w:tcBorders>
              <w:top w:val="single" w:sz="4" w:space="0" w:color="auto"/>
              <w:left w:val="single" w:sz="4" w:space="0" w:color="auto"/>
              <w:bottom w:val="single" w:sz="4" w:space="0" w:color="auto"/>
            </w:tcBorders>
            <w:shd w:val="clear" w:color="auto" w:fill="E2EFD9" w:themeFill="accent6" w:themeFillTint="33"/>
            <w:noWrap/>
            <w:vAlign w:val="center"/>
            <w:hideMark/>
          </w:tcPr>
          <w:p w14:paraId="49E528B2" w14:textId="77777777" w:rsidR="00A32971" w:rsidRPr="006B42D6" w:rsidRDefault="00A32971" w:rsidP="0079074C">
            <w:pPr>
              <w:jc w:val="right"/>
              <w:rPr>
                <w:b/>
                <w:bCs/>
                <w:sz w:val="16"/>
                <w:szCs w:val="16"/>
              </w:rPr>
            </w:pPr>
            <w:r w:rsidRPr="006B42D6">
              <w:rPr>
                <w:b/>
                <w:bCs/>
                <w:sz w:val="16"/>
                <w:szCs w:val="16"/>
              </w:rPr>
              <w:t>199,121,052,514</w:t>
            </w:r>
          </w:p>
        </w:tc>
        <w:tc>
          <w:tcPr>
            <w:tcW w:w="716" w:type="pct"/>
            <w:tcBorders>
              <w:top w:val="single" w:sz="4" w:space="0" w:color="auto"/>
              <w:bottom w:val="single" w:sz="4" w:space="0" w:color="auto"/>
              <w:right w:val="single" w:sz="4" w:space="0" w:color="auto"/>
            </w:tcBorders>
            <w:shd w:val="clear" w:color="auto" w:fill="E2EFD9" w:themeFill="accent6" w:themeFillTint="33"/>
            <w:noWrap/>
            <w:vAlign w:val="center"/>
            <w:hideMark/>
          </w:tcPr>
          <w:p w14:paraId="77571E4F" w14:textId="01A07A3A" w:rsidR="00A32971" w:rsidRPr="006B42D6" w:rsidRDefault="00A32971" w:rsidP="0079074C">
            <w:pPr>
              <w:jc w:val="right"/>
              <w:rPr>
                <w:b/>
                <w:bCs/>
                <w:sz w:val="16"/>
                <w:szCs w:val="16"/>
              </w:rPr>
            </w:pPr>
            <w:r w:rsidRPr="006B42D6">
              <w:rPr>
                <w:b/>
                <w:bCs/>
                <w:sz w:val="16"/>
                <w:szCs w:val="16"/>
              </w:rPr>
              <w:t>100</w:t>
            </w:r>
            <w:r w:rsidR="00602AD5" w:rsidRPr="006B42D6">
              <w:rPr>
                <w:b/>
                <w:bCs/>
                <w:sz w:val="16"/>
                <w:szCs w:val="16"/>
              </w:rPr>
              <w:t>.0</w:t>
            </w:r>
          </w:p>
        </w:tc>
        <w:tc>
          <w:tcPr>
            <w:tcW w:w="1192" w:type="pct"/>
            <w:tcBorders>
              <w:top w:val="single" w:sz="4" w:space="0" w:color="auto"/>
              <w:left w:val="single" w:sz="4" w:space="0" w:color="auto"/>
              <w:bottom w:val="single" w:sz="4" w:space="0" w:color="auto"/>
            </w:tcBorders>
            <w:shd w:val="clear" w:color="auto" w:fill="E2EFD9" w:themeFill="accent6" w:themeFillTint="33"/>
            <w:noWrap/>
            <w:vAlign w:val="center"/>
            <w:hideMark/>
          </w:tcPr>
          <w:p w14:paraId="6432C13F" w14:textId="77777777" w:rsidR="00A32971" w:rsidRPr="006B42D6" w:rsidRDefault="00A32971" w:rsidP="0079074C">
            <w:pPr>
              <w:jc w:val="right"/>
              <w:rPr>
                <w:b/>
                <w:bCs/>
                <w:sz w:val="16"/>
                <w:szCs w:val="16"/>
              </w:rPr>
            </w:pPr>
            <w:r w:rsidRPr="006B42D6">
              <w:rPr>
                <w:b/>
                <w:bCs/>
                <w:sz w:val="16"/>
                <w:szCs w:val="16"/>
              </w:rPr>
              <w:t>281,220,871,968</w:t>
            </w:r>
          </w:p>
        </w:tc>
        <w:tc>
          <w:tcPr>
            <w:tcW w:w="628" w:type="pct"/>
            <w:tcBorders>
              <w:top w:val="single" w:sz="4" w:space="0" w:color="auto"/>
              <w:bottom w:val="single" w:sz="4" w:space="0" w:color="auto"/>
            </w:tcBorders>
            <w:shd w:val="clear" w:color="auto" w:fill="E2EFD9" w:themeFill="accent6" w:themeFillTint="33"/>
            <w:noWrap/>
            <w:vAlign w:val="center"/>
            <w:hideMark/>
          </w:tcPr>
          <w:p w14:paraId="0A2C742B" w14:textId="77777777" w:rsidR="00A32971" w:rsidRPr="006B42D6" w:rsidRDefault="00A32971" w:rsidP="0079074C">
            <w:pPr>
              <w:jc w:val="right"/>
              <w:rPr>
                <w:b/>
                <w:bCs/>
                <w:sz w:val="16"/>
                <w:szCs w:val="16"/>
              </w:rPr>
            </w:pPr>
            <w:r w:rsidRPr="006B42D6">
              <w:rPr>
                <w:b/>
                <w:bCs/>
                <w:sz w:val="16"/>
                <w:szCs w:val="16"/>
              </w:rPr>
              <w:t>100.0</w:t>
            </w:r>
          </w:p>
        </w:tc>
      </w:tr>
      <w:tr w:rsidR="006B42D6" w:rsidRPr="006B42D6" w14:paraId="36C136E6" w14:textId="77777777" w:rsidTr="0079074C">
        <w:trPr>
          <w:trHeight w:val="312"/>
        </w:trPr>
        <w:tc>
          <w:tcPr>
            <w:tcW w:w="1192" w:type="pct"/>
            <w:tcBorders>
              <w:top w:val="single" w:sz="4" w:space="0" w:color="auto"/>
              <w:bottom w:val="nil"/>
              <w:right w:val="single" w:sz="4" w:space="0" w:color="auto"/>
            </w:tcBorders>
            <w:shd w:val="clear" w:color="auto" w:fill="auto"/>
            <w:vAlign w:val="center"/>
            <w:hideMark/>
          </w:tcPr>
          <w:p w14:paraId="22B4F9C4" w14:textId="77777777" w:rsidR="00A32971" w:rsidRPr="006B42D6" w:rsidRDefault="00A32971" w:rsidP="0079074C">
            <w:pPr>
              <w:jc w:val="left"/>
              <w:rPr>
                <w:sz w:val="16"/>
                <w:szCs w:val="16"/>
              </w:rPr>
            </w:pPr>
            <w:r w:rsidRPr="006B42D6">
              <w:rPr>
                <w:sz w:val="16"/>
                <w:szCs w:val="16"/>
              </w:rPr>
              <w:t>Kaskazini Unguja</w:t>
            </w:r>
          </w:p>
        </w:tc>
        <w:tc>
          <w:tcPr>
            <w:tcW w:w="1272" w:type="pct"/>
            <w:tcBorders>
              <w:top w:val="single" w:sz="4" w:space="0" w:color="auto"/>
              <w:left w:val="single" w:sz="4" w:space="0" w:color="auto"/>
              <w:bottom w:val="nil"/>
            </w:tcBorders>
            <w:shd w:val="clear" w:color="auto" w:fill="auto"/>
            <w:noWrap/>
            <w:vAlign w:val="center"/>
            <w:hideMark/>
          </w:tcPr>
          <w:p w14:paraId="13DE93E5" w14:textId="77777777" w:rsidR="00A32971" w:rsidRPr="006B42D6" w:rsidRDefault="00A32971" w:rsidP="0079074C">
            <w:pPr>
              <w:jc w:val="right"/>
              <w:rPr>
                <w:sz w:val="16"/>
                <w:szCs w:val="16"/>
              </w:rPr>
            </w:pPr>
            <w:r w:rsidRPr="006B42D6">
              <w:rPr>
                <w:sz w:val="16"/>
                <w:szCs w:val="16"/>
              </w:rPr>
              <w:t>123,976,795</w:t>
            </w:r>
          </w:p>
        </w:tc>
        <w:tc>
          <w:tcPr>
            <w:tcW w:w="716" w:type="pct"/>
            <w:tcBorders>
              <w:top w:val="single" w:sz="4" w:space="0" w:color="auto"/>
              <w:bottom w:val="nil"/>
              <w:right w:val="single" w:sz="4" w:space="0" w:color="auto"/>
            </w:tcBorders>
            <w:shd w:val="clear" w:color="auto" w:fill="auto"/>
            <w:noWrap/>
            <w:vAlign w:val="center"/>
            <w:hideMark/>
          </w:tcPr>
          <w:p w14:paraId="5CDC7ACD" w14:textId="6649A519" w:rsidR="00A32971" w:rsidRPr="006B42D6" w:rsidRDefault="00A32971" w:rsidP="0079074C">
            <w:pPr>
              <w:jc w:val="right"/>
              <w:rPr>
                <w:sz w:val="16"/>
                <w:szCs w:val="16"/>
              </w:rPr>
            </w:pPr>
            <w:r w:rsidRPr="006B42D6">
              <w:rPr>
                <w:sz w:val="16"/>
                <w:szCs w:val="16"/>
              </w:rPr>
              <w:t>7.9</w:t>
            </w:r>
          </w:p>
        </w:tc>
        <w:tc>
          <w:tcPr>
            <w:tcW w:w="1192" w:type="pct"/>
            <w:tcBorders>
              <w:top w:val="single" w:sz="4" w:space="0" w:color="auto"/>
              <w:left w:val="single" w:sz="4" w:space="0" w:color="auto"/>
              <w:bottom w:val="nil"/>
            </w:tcBorders>
            <w:shd w:val="clear" w:color="auto" w:fill="auto"/>
            <w:noWrap/>
            <w:vAlign w:val="center"/>
            <w:hideMark/>
          </w:tcPr>
          <w:p w14:paraId="115FF6AC" w14:textId="77777777" w:rsidR="00A32971" w:rsidRPr="006B42D6" w:rsidRDefault="00A32971" w:rsidP="0079074C">
            <w:pPr>
              <w:jc w:val="right"/>
              <w:rPr>
                <w:sz w:val="16"/>
                <w:szCs w:val="16"/>
              </w:rPr>
            </w:pPr>
            <w:r w:rsidRPr="006B42D6">
              <w:rPr>
                <w:sz w:val="16"/>
                <w:szCs w:val="16"/>
              </w:rPr>
              <w:t>123,976,795</w:t>
            </w:r>
          </w:p>
        </w:tc>
        <w:tc>
          <w:tcPr>
            <w:tcW w:w="628" w:type="pct"/>
            <w:tcBorders>
              <w:top w:val="single" w:sz="4" w:space="0" w:color="auto"/>
              <w:bottom w:val="nil"/>
            </w:tcBorders>
            <w:shd w:val="clear" w:color="auto" w:fill="auto"/>
            <w:noWrap/>
            <w:vAlign w:val="center"/>
            <w:hideMark/>
          </w:tcPr>
          <w:p w14:paraId="2986E30D" w14:textId="77777777" w:rsidR="00A32971" w:rsidRPr="006B42D6" w:rsidRDefault="00A32971" w:rsidP="0079074C">
            <w:pPr>
              <w:jc w:val="right"/>
              <w:rPr>
                <w:sz w:val="16"/>
                <w:szCs w:val="16"/>
              </w:rPr>
            </w:pPr>
            <w:r w:rsidRPr="006B42D6">
              <w:rPr>
                <w:sz w:val="16"/>
                <w:szCs w:val="16"/>
              </w:rPr>
              <w:t>4.4</w:t>
            </w:r>
          </w:p>
        </w:tc>
      </w:tr>
      <w:tr w:rsidR="006B42D6" w:rsidRPr="006B42D6" w14:paraId="12FB3140" w14:textId="77777777" w:rsidTr="0079074C">
        <w:trPr>
          <w:trHeight w:val="312"/>
        </w:trPr>
        <w:tc>
          <w:tcPr>
            <w:tcW w:w="1192" w:type="pct"/>
            <w:tcBorders>
              <w:top w:val="nil"/>
              <w:bottom w:val="nil"/>
              <w:right w:val="single" w:sz="4" w:space="0" w:color="auto"/>
            </w:tcBorders>
            <w:shd w:val="clear" w:color="auto" w:fill="auto"/>
            <w:vAlign w:val="center"/>
            <w:hideMark/>
          </w:tcPr>
          <w:p w14:paraId="2D63F2D8" w14:textId="77B38F31" w:rsidR="00A32971" w:rsidRPr="006B42D6" w:rsidRDefault="00A32971" w:rsidP="0079074C">
            <w:pPr>
              <w:jc w:val="left"/>
              <w:rPr>
                <w:sz w:val="16"/>
                <w:szCs w:val="16"/>
              </w:rPr>
            </w:pPr>
            <w:r w:rsidRPr="006B42D6">
              <w:rPr>
                <w:sz w:val="16"/>
                <w:szCs w:val="16"/>
              </w:rPr>
              <w:t>Kusini Unguja</w:t>
            </w:r>
          </w:p>
        </w:tc>
        <w:tc>
          <w:tcPr>
            <w:tcW w:w="1272" w:type="pct"/>
            <w:tcBorders>
              <w:top w:val="nil"/>
              <w:left w:val="single" w:sz="4" w:space="0" w:color="auto"/>
              <w:bottom w:val="nil"/>
            </w:tcBorders>
            <w:shd w:val="clear" w:color="auto" w:fill="auto"/>
            <w:noWrap/>
            <w:vAlign w:val="center"/>
            <w:hideMark/>
          </w:tcPr>
          <w:p w14:paraId="6E680169" w14:textId="77777777" w:rsidR="00A32971" w:rsidRPr="006B42D6" w:rsidRDefault="00A32971" w:rsidP="0079074C">
            <w:pPr>
              <w:jc w:val="right"/>
              <w:rPr>
                <w:sz w:val="16"/>
                <w:szCs w:val="16"/>
              </w:rPr>
            </w:pPr>
            <w:r w:rsidRPr="006B42D6">
              <w:rPr>
                <w:sz w:val="16"/>
                <w:szCs w:val="16"/>
              </w:rPr>
              <w:t>690,459,736</w:t>
            </w:r>
          </w:p>
        </w:tc>
        <w:tc>
          <w:tcPr>
            <w:tcW w:w="716" w:type="pct"/>
            <w:tcBorders>
              <w:top w:val="nil"/>
              <w:bottom w:val="nil"/>
              <w:right w:val="single" w:sz="4" w:space="0" w:color="auto"/>
            </w:tcBorders>
            <w:shd w:val="clear" w:color="auto" w:fill="auto"/>
            <w:noWrap/>
            <w:vAlign w:val="center"/>
            <w:hideMark/>
          </w:tcPr>
          <w:p w14:paraId="270B1B26" w14:textId="34E16308" w:rsidR="00A32971" w:rsidRPr="006B42D6" w:rsidRDefault="00A32971" w:rsidP="0079074C">
            <w:pPr>
              <w:jc w:val="right"/>
              <w:rPr>
                <w:sz w:val="16"/>
                <w:szCs w:val="16"/>
              </w:rPr>
            </w:pPr>
            <w:r w:rsidRPr="006B42D6">
              <w:rPr>
                <w:sz w:val="16"/>
                <w:szCs w:val="16"/>
              </w:rPr>
              <w:t>44.2</w:t>
            </w:r>
          </w:p>
        </w:tc>
        <w:tc>
          <w:tcPr>
            <w:tcW w:w="1192" w:type="pct"/>
            <w:tcBorders>
              <w:top w:val="nil"/>
              <w:left w:val="single" w:sz="4" w:space="0" w:color="auto"/>
              <w:bottom w:val="nil"/>
            </w:tcBorders>
            <w:shd w:val="clear" w:color="auto" w:fill="auto"/>
            <w:noWrap/>
            <w:vAlign w:val="center"/>
            <w:hideMark/>
          </w:tcPr>
          <w:p w14:paraId="701D39F9" w14:textId="77777777" w:rsidR="00A32971" w:rsidRPr="006B42D6" w:rsidRDefault="00A32971" w:rsidP="0079074C">
            <w:pPr>
              <w:jc w:val="right"/>
              <w:rPr>
                <w:sz w:val="16"/>
                <w:szCs w:val="16"/>
              </w:rPr>
            </w:pPr>
            <w:r w:rsidRPr="006B42D6">
              <w:rPr>
                <w:sz w:val="16"/>
                <w:szCs w:val="16"/>
              </w:rPr>
              <w:t>1,728,332,347</w:t>
            </w:r>
          </w:p>
        </w:tc>
        <w:tc>
          <w:tcPr>
            <w:tcW w:w="628" w:type="pct"/>
            <w:tcBorders>
              <w:top w:val="nil"/>
              <w:bottom w:val="nil"/>
            </w:tcBorders>
            <w:shd w:val="clear" w:color="auto" w:fill="auto"/>
            <w:noWrap/>
            <w:vAlign w:val="center"/>
            <w:hideMark/>
          </w:tcPr>
          <w:p w14:paraId="2C45F600" w14:textId="77777777" w:rsidR="00A32971" w:rsidRPr="006B42D6" w:rsidRDefault="00A32971" w:rsidP="0079074C">
            <w:pPr>
              <w:jc w:val="right"/>
              <w:rPr>
                <w:sz w:val="16"/>
                <w:szCs w:val="16"/>
              </w:rPr>
            </w:pPr>
            <w:r w:rsidRPr="006B42D6">
              <w:rPr>
                <w:sz w:val="16"/>
                <w:szCs w:val="16"/>
              </w:rPr>
              <w:t>61.9</w:t>
            </w:r>
          </w:p>
        </w:tc>
      </w:tr>
      <w:tr w:rsidR="006B42D6" w:rsidRPr="006B42D6" w14:paraId="2B4DFE99" w14:textId="77777777" w:rsidTr="0079074C">
        <w:trPr>
          <w:trHeight w:val="312"/>
        </w:trPr>
        <w:tc>
          <w:tcPr>
            <w:tcW w:w="1192" w:type="pct"/>
            <w:tcBorders>
              <w:top w:val="nil"/>
              <w:bottom w:val="nil"/>
              <w:right w:val="single" w:sz="4" w:space="0" w:color="auto"/>
            </w:tcBorders>
            <w:shd w:val="clear" w:color="auto" w:fill="auto"/>
            <w:vAlign w:val="center"/>
            <w:hideMark/>
          </w:tcPr>
          <w:p w14:paraId="499D1028" w14:textId="3E8953FF" w:rsidR="00A32971" w:rsidRPr="006B42D6" w:rsidRDefault="00A32971" w:rsidP="0079074C">
            <w:pPr>
              <w:jc w:val="left"/>
              <w:rPr>
                <w:sz w:val="16"/>
                <w:szCs w:val="16"/>
              </w:rPr>
            </w:pPr>
            <w:r w:rsidRPr="006B42D6">
              <w:rPr>
                <w:sz w:val="16"/>
                <w:szCs w:val="16"/>
              </w:rPr>
              <w:t>Mjini Magharibi</w:t>
            </w:r>
          </w:p>
        </w:tc>
        <w:tc>
          <w:tcPr>
            <w:tcW w:w="1272" w:type="pct"/>
            <w:tcBorders>
              <w:top w:val="nil"/>
              <w:left w:val="single" w:sz="4" w:space="0" w:color="auto"/>
              <w:bottom w:val="nil"/>
            </w:tcBorders>
            <w:shd w:val="clear" w:color="auto" w:fill="auto"/>
            <w:noWrap/>
            <w:vAlign w:val="center"/>
            <w:hideMark/>
          </w:tcPr>
          <w:p w14:paraId="2981B94E" w14:textId="77777777" w:rsidR="00A32971" w:rsidRPr="006B42D6" w:rsidRDefault="00A32971" w:rsidP="0079074C">
            <w:pPr>
              <w:jc w:val="right"/>
              <w:rPr>
                <w:sz w:val="16"/>
                <w:szCs w:val="16"/>
              </w:rPr>
            </w:pPr>
            <w:r w:rsidRPr="006B42D6">
              <w:rPr>
                <w:sz w:val="16"/>
                <w:szCs w:val="16"/>
              </w:rPr>
              <w:t>521,759,366</w:t>
            </w:r>
          </w:p>
        </w:tc>
        <w:tc>
          <w:tcPr>
            <w:tcW w:w="716" w:type="pct"/>
            <w:tcBorders>
              <w:top w:val="nil"/>
              <w:bottom w:val="nil"/>
              <w:right w:val="single" w:sz="4" w:space="0" w:color="auto"/>
            </w:tcBorders>
            <w:shd w:val="clear" w:color="auto" w:fill="auto"/>
            <w:noWrap/>
            <w:vAlign w:val="center"/>
            <w:hideMark/>
          </w:tcPr>
          <w:p w14:paraId="70AEB8F4" w14:textId="4C3F11E3" w:rsidR="00A32971" w:rsidRPr="006B42D6" w:rsidRDefault="00A32971" w:rsidP="0079074C">
            <w:pPr>
              <w:jc w:val="right"/>
              <w:rPr>
                <w:sz w:val="16"/>
                <w:szCs w:val="16"/>
              </w:rPr>
            </w:pPr>
            <w:r w:rsidRPr="006B42D6">
              <w:rPr>
                <w:sz w:val="16"/>
                <w:szCs w:val="16"/>
              </w:rPr>
              <w:t>33.4</w:t>
            </w:r>
          </w:p>
        </w:tc>
        <w:tc>
          <w:tcPr>
            <w:tcW w:w="1192" w:type="pct"/>
            <w:tcBorders>
              <w:top w:val="nil"/>
              <w:left w:val="single" w:sz="4" w:space="0" w:color="auto"/>
              <w:bottom w:val="nil"/>
            </w:tcBorders>
            <w:shd w:val="clear" w:color="auto" w:fill="auto"/>
            <w:noWrap/>
            <w:vAlign w:val="center"/>
            <w:hideMark/>
          </w:tcPr>
          <w:p w14:paraId="79FA5DC0" w14:textId="77777777" w:rsidR="00A32971" w:rsidRPr="006B42D6" w:rsidRDefault="00A32971" w:rsidP="0079074C">
            <w:pPr>
              <w:jc w:val="right"/>
              <w:rPr>
                <w:sz w:val="16"/>
                <w:szCs w:val="16"/>
              </w:rPr>
            </w:pPr>
            <w:r w:rsidRPr="006B42D6">
              <w:rPr>
                <w:sz w:val="16"/>
                <w:szCs w:val="16"/>
              </w:rPr>
              <w:t>693,699,445</w:t>
            </w:r>
          </w:p>
        </w:tc>
        <w:tc>
          <w:tcPr>
            <w:tcW w:w="628" w:type="pct"/>
            <w:tcBorders>
              <w:top w:val="nil"/>
              <w:bottom w:val="nil"/>
            </w:tcBorders>
            <w:shd w:val="clear" w:color="auto" w:fill="auto"/>
            <w:noWrap/>
            <w:vAlign w:val="center"/>
            <w:hideMark/>
          </w:tcPr>
          <w:p w14:paraId="14EB8B5C" w14:textId="77777777" w:rsidR="00A32971" w:rsidRPr="006B42D6" w:rsidRDefault="00A32971" w:rsidP="0079074C">
            <w:pPr>
              <w:jc w:val="right"/>
              <w:rPr>
                <w:sz w:val="16"/>
                <w:szCs w:val="16"/>
              </w:rPr>
            </w:pPr>
            <w:r w:rsidRPr="006B42D6">
              <w:rPr>
                <w:sz w:val="16"/>
                <w:szCs w:val="16"/>
              </w:rPr>
              <w:t>24.8</w:t>
            </w:r>
          </w:p>
        </w:tc>
      </w:tr>
      <w:tr w:rsidR="006B42D6" w:rsidRPr="006B42D6" w14:paraId="38876723" w14:textId="77777777" w:rsidTr="0079074C">
        <w:trPr>
          <w:trHeight w:val="312"/>
        </w:trPr>
        <w:tc>
          <w:tcPr>
            <w:tcW w:w="1192" w:type="pct"/>
            <w:tcBorders>
              <w:top w:val="nil"/>
              <w:bottom w:val="nil"/>
              <w:right w:val="single" w:sz="4" w:space="0" w:color="auto"/>
            </w:tcBorders>
            <w:shd w:val="clear" w:color="auto" w:fill="auto"/>
            <w:vAlign w:val="center"/>
            <w:hideMark/>
          </w:tcPr>
          <w:p w14:paraId="6A2CF392" w14:textId="77777777" w:rsidR="00A32971" w:rsidRPr="006B42D6" w:rsidRDefault="00A32971" w:rsidP="0079074C">
            <w:pPr>
              <w:jc w:val="left"/>
              <w:rPr>
                <w:sz w:val="16"/>
                <w:szCs w:val="16"/>
              </w:rPr>
            </w:pPr>
            <w:r w:rsidRPr="006B42D6">
              <w:rPr>
                <w:sz w:val="16"/>
                <w:szCs w:val="16"/>
              </w:rPr>
              <w:t>Kaskazini Pemba</w:t>
            </w:r>
          </w:p>
        </w:tc>
        <w:tc>
          <w:tcPr>
            <w:tcW w:w="1272" w:type="pct"/>
            <w:tcBorders>
              <w:top w:val="nil"/>
              <w:left w:val="single" w:sz="4" w:space="0" w:color="auto"/>
              <w:bottom w:val="nil"/>
            </w:tcBorders>
            <w:shd w:val="clear" w:color="auto" w:fill="auto"/>
            <w:noWrap/>
            <w:vAlign w:val="center"/>
            <w:hideMark/>
          </w:tcPr>
          <w:p w14:paraId="59890686" w14:textId="77777777" w:rsidR="00A32971" w:rsidRPr="006B42D6" w:rsidRDefault="00A32971" w:rsidP="0079074C">
            <w:pPr>
              <w:jc w:val="right"/>
              <w:rPr>
                <w:sz w:val="16"/>
                <w:szCs w:val="16"/>
              </w:rPr>
            </w:pPr>
            <w:r w:rsidRPr="006B42D6">
              <w:rPr>
                <w:sz w:val="16"/>
                <w:szCs w:val="16"/>
              </w:rPr>
              <w:t>58,930,208</w:t>
            </w:r>
          </w:p>
        </w:tc>
        <w:tc>
          <w:tcPr>
            <w:tcW w:w="716" w:type="pct"/>
            <w:tcBorders>
              <w:top w:val="nil"/>
              <w:bottom w:val="nil"/>
              <w:right w:val="single" w:sz="4" w:space="0" w:color="auto"/>
            </w:tcBorders>
            <w:shd w:val="clear" w:color="auto" w:fill="auto"/>
            <w:noWrap/>
            <w:vAlign w:val="center"/>
            <w:hideMark/>
          </w:tcPr>
          <w:p w14:paraId="78CC1E64" w14:textId="0D04B6EC" w:rsidR="00A32971" w:rsidRPr="006B42D6" w:rsidRDefault="00A32971" w:rsidP="0079074C">
            <w:pPr>
              <w:jc w:val="right"/>
              <w:rPr>
                <w:sz w:val="16"/>
                <w:szCs w:val="16"/>
              </w:rPr>
            </w:pPr>
            <w:r w:rsidRPr="006B42D6">
              <w:rPr>
                <w:sz w:val="16"/>
                <w:szCs w:val="16"/>
              </w:rPr>
              <w:t>3.8</w:t>
            </w:r>
          </w:p>
        </w:tc>
        <w:tc>
          <w:tcPr>
            <w:tcW w:w="1192" w:type="pct"/>
            <w:tcBorders>
              <w:top w:val="nil"/>
              <w:left w:val="single" w:sz="4" w:space="0" w:color="auto"/>
              <w:bottom w:val="nil"/>
            </w:tcBorders>
            <w:shd w:val="clear" w:color="auto" w:fill="auto"/>
            <w:noWrap/>
            <w:vAlign w:val="center"/>
            <w:hideMark/>
          </w:tcPr>
          <w:p w14:paraId="49B6C8C1" w14:textId="77777777" w:rsidR="00A32971" w:rsidRPr="006B42D6" w:rsidRDefault="00A32971" w:rsidP="0079074C">
            <w:pPr>
              <w:jc w:val="right"/>
              <w:rPr>
                <w:sz w:val="16"/>
                <w:szCs w:val="16"/>
              </w:rPr>
            </w:pPr>
            <w:r w:rsidRPr="006B42D6">
              <w:rPr>
                <w:sz w:val="16"/>
                <w:szCs w:val="16"/>
              </w:rPr>
              <w:t>58,930,208</w:t>
            </w:r>
          </w:p>
        </w:tc>
        <w:tc>
          <w:tcPr>
            <w:tcW w:w="628" w:type="pct"/>
            <w:tcBorders>
              <w:top w:val="nil"/>
              <w:bottom w:val="nil"/>
            </w:tcBorders>
            <w:shd w:val="clear" w:color="auto" w:fill="auto"/>
            <w:noWrap/>
            <w:vAlign w:val="center"/>
            <w:hideMark/>
          </w:tcPr>
          <w:p w14:paraId="044079A5" w14:textId="77777777" w:rsidR="00A32971" w:rsidRPr="006B42D6" w:rsidRDefault="00A32971" w:rsidP="0079074C">
            <w:pPr>
              <w:jc w:val="right"/>
              <w:rPr>
                <w:sz w:val="16"/>
                <w:szCs w:val="16"/>
              </w:rPr>
            </w:pPr>
            <w:r w:rsidRPr="006B42D6">
              <w:rPr>
                <w:sz w:val="16"/>
                <w:szCs w:val="16"/>
              </w:rPr>
              <w:t>2.1</w:t>
            </w:r>
          </w:p>
        </w:tc>
      </w:tr>
      <w:tr w:rsidR="006B42D6" w:rsidRPr="006B42D6" w14:paraId="60B4DE80" w14:textId="77777777" w:rsidTr="0079074C">
        <w:trPr>
          <w:trHeight w:val="312"/>
        </w:trPr>
        <w:tc>
          <w:tcPr>
            <w:tcW w:w="1192" w:type="pct"/>
            <w:tcBorders>
              <w:top w:val="nil"/>
              <w:bottom w:val="single" w:sz="4" w:space="0" w:color="auto"/>
              <w:right w:val="single" w:sz="4" w:space="0" w:color="auto"/>
            </w:tcBorders>
            <w:shd w:val="clear" w:color="auto" w:fill="auto"/>
            <w:vAlign w:val="center"/>
            <w:hideMark/>
          </w:tcPr>
          <w:p w14:paraId="3D8C8C65" w14:textId="77777777" w:rsidR="00A32971" w:rsidRPr="006B42D6" w:rsidRDefault="00A32971" w:rsidP="0079074C">
            <w:pPr>
              <w:jc w:val="left"/>
              <w:rPr>
                <w:sz w:val="16"/>
                <w:szCs w:val="16"/>
              </w:rPr>
            </w:pPr>
            <w:r w:rsidRPr="006B42D6">
              <w:rPr>
                <w:sz w:val="16"/>
                <w:szCs w:val="16"/>
              </w:rPr>
              <w:t>Kusini Pemba</w:t>
            </w:r>
          </w:p>
        </w:tc>
        <w:tc>
          <w:tcPr>
            <w:tcW w:w="1272" w:type="pct"/>
            <w:tcBorders>
              <w:top w:val="nil"/>
              <w:left w:val="single" w:sz="4" w:space="0" w:color="auto"/>
              <w:bottom w:val="single" w:sz="4" w:space="0" w:color="auto"/>
            </w:tcBorders>
            <w:shd w:val="clear" w:color="auto" w:fill="auto"/>
            <w:noWrap/>
            <w:vAlign w:val="center"/>
            <w:hideMark/>
          </w:tcPr>
          <w:p w14:paraId="53F2E0FF" w14:textId="77777777" w:rsidR="00A32971" w:rsidRPr="006B42D6" w:rsidRDefault="00A32971" w:rsidP="0079074C">
            <w:pPr>
              <w:jc w:val="right"/>
              <w:rPr>
                <w:sz w:val="16"/>
                <w:szCs w:val="16"/>
              </w:rPr>
            </w:pPr>
            <w:r w:rsidRPr="006B42D6">
              <w:rPr>
                <w:sz w:val="16"/>
                <w:szCs w:val="16"/>
              </w:rPr>
              <w:t>166,808,105</w:t>
            </w:r>
          </w:p>
        </w:tc>
        <w:tc>
          <w:tcPr>
            <w:tcW w:w="716" w:type="pct"/>
            <w:tcBorders>
              <w:top w:val="nil"/>
              <w:bottom w:val="single" w:sz="4" w:space="0" w:color="auto"/>
              <w:right w:val="single" w:sz="4" w:space="0" w:color="auto"/>
            </w:tcBorders>
            <w:shd w:val="clear" w:color="auto" w:fill="auto"/>
            <w:noWrap/>
            <w:vAlign w:val="center"/>
            <w:hideMark/>
          </w:tcPr>
          <w:p w14:paraId="27AE7C77" w14:textId="1EA2D3F1" w:rsidR="00A32971" w:rsidRPr="006B42D6" w:rsidRDefault="00A32971" w:rsidP="0079074C">
            <w:pPr>
              <w:jc w:val="right"/>
              <w:rPr>
                <w:sz w:val="16"/>
                <w:szCs w:val="16"/>
              </w:rPr>
            </w:pPr>
            <w:r w:rsidRPr="006B42D6">
              <w:rPr>
                <w:sz w:val="16"/>
                <w:szCs w:val="16"/>
              </w:rPr>
              <w:t>10.7</w:t>
            </w:r>
          </w:p>
        </w:tc>
        <w:tc>
          <w:tcPr>
            <w:tcW w:w="1192" w:type="pct"/>
            <w:tcBorders>
              <w:top w:val="nil"/>
              <w:left w:val="single" w:sz="4" w:space="0" w:color="auto"/>
              <w:bottom w:val="single" w:sz="4" w:space="0" w:color="auto"/>
            </w:tcBorders>
            <w:shd w:val="clear" w:color="auto" w:fill="auto"/>
            <w:noWrap/>
            <w:vAlign w:val="center"/>
            <w:hideMark/>
          </w:tcPr>
          <w:p w14:paraId="6BE9B54C" w14:textId="77777777" w:rsidR="00A32971" w:rsidRPr="006B42D6" w:rsidRDefault="00A32971" w:rsidP="0079074C">
            <w:pPr>
              <w:jc w:val="right"/>
              <w:rPr>
                <w:sz w:val="16"/>
                <w:szCs w:val="16"/>
              </w:rPr>
            </w:pPr>
            <w:r w:rsidRPr="006B42D6">
              <w:rPr>
                <w:sz w:val="16"/>
                <w:szCs w:val="16"/>
              </w:rPr>
              <w:t>187,723,105</w:t>
            </w:r>
          </w:p>
        </w:tc>
        <w:tc>
          <w:tcPr>
            <w:tcW w:w="628" w:type="pct"/>
            <w:tcBorders>
              <w:top w:val="nil"/>
              <w:bottom w:val="single" w:sz="4" w:space="0" w:color="auto"/>
            </w:tcBorders>
            <w:shd w:val="clear" w:color="auto" w:fill="auto"/>
            <w:noWrap/>
            <w:vAlign w:val="center"/>
            <w:hideMark/>
          </w:tcPr>
          <w:p w14:paraId="7FDD1D2A" w14:textId="77777777" w:rsidR="00A32971" w:rsidRPr="006B42D6" w:rsidRDefault="00A32971" w:rsidP="0079074C">
            <w:pPr>
              <w:jc w:val="right"/>
              <w:rPr>
                <w:sz w:val="16"/>
                <w:szCs w:val="16"/>
              </w:rPr>
            </w:pPr>
            <w:r w:rsidRPr="006B42D6">
              <w:rPr>
                <w:sz w:val="16"/>
                <w:szCs w:val="16"/>
              </w:rPr>
              <w:t>6.7</w:t>
            </w:r>
          </w:p>
        </w:tc>
      </w:tr>
      <w:tr w:rsidR="006B42D6" w:rsidRPr="006B42D6" w14:paraId="28AC7F60" w14:textId="77777777" w:rsidTr="0079074C">
        <w:trPr>
          <w:trHeight w:val="312"/>
        </w:trPr>
        <w:tc>
          <w:tcPr>
            <w:tcW w:w="1192" w:type="pct"/>
            <w:tcBorders>
              <w:top w:val="single" w:sz="4" w:space="0" w:color="auto"/>
              <w:bottom w:val="single" w:sz="4" w:space="0" w:color="auto"/>
              <w:right w:val="single" w:sz="4" w:space="0" w:color="auto"/>
            </w:tcBorders>
            <w:shd w:val="clear" w:color="auto" w:fill="E2EFD9" w:themeFill="accent6" w:themeFillTint="33"/>
            <w:vAlign w:val="center"/>
            <w:hideMark/>
          </w:tcPr>
          <w:p w14:paraId="15C8B34A" w14:textId="77777777" w:rsidR="00A32971" w:rsidRPr="006B42D6" w:rsidRDefault="00A32971" w:rsidP="0079074C">
            <w:pPr>
              <w:jc w:val="left"/>
              <w:rPr>
                <w:b/>
                <w:bCs/>
                <w:sz w:val="16"/>
                <w:szCs w:val="16"/>
              </w:rPr>
            </w:pPr>
            <w:r w:rsidRPr="006B42D6">
              <w:rPr>
                <w:b/>
                <w:bCs/>
                <w:sz w:val="16"/>
                <w:szCs w:val="16"/>
              </w:rPr>
              <w:t>Tanzania Zanzibar</w:t>
            </w:r>
          </w:p>
        </w:tc>
        <w:tc>
          <w:tcPr>
            <w:tcW w:w="1272" w:type="pct"/>
            <w:tcBorders>
              <w:top w:val="single" w:sz="4" w:space="0" w:color="auto"/>
              <w:left w:val="single" w:sz="4" w:space="0" w:color="auto"/>
              <w:bottom w:val="single" w:sz="4" w:space="0" w:color="auto"/>
            </w:tcBorders>
            <w:shd w:val="clear" w:color="auto" w:fill="E2EFD9" w:themeFill="accent6" w:themeFillTint="33"/>
            <w:noWrap/>
            <w:vAlign w:val="center"/>
            <w:hideMark/>
          </w:tcPr>
          <w:p w14:paraId="4F92C8BE" w14:textId="77777777" w:rsidR="00A32971" w:rsidRPr="006B42D6" w:rsidRDefault="00A32971" w:rsidP="0079074C">
            <w:pPr>
              <w:jc w:val="right"/>
              <w:rPr>
                <w:b/>
                <w:bCs/>
                <w:sz w:val="16"/>
                <w:szCs w:val="16"/>
              </w:rPr>
            </w:pPr>
            <w:r w:rsidRPr="006B42D6">
              <w:rPr>
                <w:b/>
                <w:bCs/>
                <w:sz w:val="16"/>
                <w:szCs w:val="16"/>
              </w:rPr>
              <w:t>1,561,934,210</w:t>
            </w:r>
          </w:p>
        </w:tc>
        <w:tc>
          <w:tcPr>
            <w:tcW w:w="716" w:type="pct"/>
            <w:tcBorders>
              <w:top w:val="single" w:sz="4" w:space="0" w:color="auto"/>
              <w:bottom w:val="single" w:sz="4" w:space="0" w:color="auto"/>
              <w:right w:val="single" w:sz="4" w:space="0" w:color="auto"/>
            </w:tcBorders>
            <w:shd w:val="clear" w:color="auto" w:fill="E2EFD9" w:themeFill="accent6" w:themeFillTint="33"/>
            <w:noWrap/>
            <w:vAlign w:val="center"/>
            <w:hideMark/>
          </w:tcPr>
          <w:p w14:paraId="4D2BF6F7" w14:textId="6E2616EA" w:rsidR="00A32971" w:rsidRPr="006B42D6" w:rsidRDefault="00A32971" w:rsidP="0079074C">
            <w:pPr>
              <w:jc w:val="right"/>
              <w:rPr>
                <w:b/>
                <w:bCs/>
                <w:sz w:val="16"/>
                <w:szCs w:val="16"/>
              </w:rPr>
            </w:pPr>
            <w:r w:rsidRPr="006B42D6">
              <w:rPr>
                <w:b/>
                <w:bCs/>
                <w:sz w:val="16"/>
                <w:szCs w:val="16"/>
              </w:rPr>
              <w:t>100</w:t>
            </w:r>
            <w:r w:rsidR="00602AD5" w:rsidRPr="006B42D6">
              <w:rPr>
                <w:b/>
                <w:bCs/>
                <w:sz w:val="16"/>
                <w:szCs w:val="16"/>
              </w:rPr>
              <w:t>.0</w:t>
            </w:r>
          </w:p>
        </w:tc>
        <w:tc>
          <w:tcPr>
            <w:tcW w:w="1192" w:type="pct"/>
            <w:tcBorders>
              <w:top w:val="single" w:sz="4" w:space="0" w:color="auto"/>
              <w:left w:val="single" w:sz="4" w:space="0" w:color="auto"/>
              <w:bottom w:val="single" w:sz="4" w:space="0" w:color="auto"/>
            </w:tcBorders>
            <w:shd w:val="clear" w:color="auto" w:fill="E2EFD9" w:themeFill="accent6" w:themeFillTint="33"/>
            <w:noWrap/>
            <w:vAlign w:val="center"/>
            <w:hideMark/>
          </w:tcPr>
          <w:p w14:paraId="2AAE48AF" w14:textId="77777777" w:rsidR="00A32971" w:rsidRPr="006B42D6" w:rsidRDefault="00A32971" w:rsidP="0079074C">
            <w:pPr>
              <w:jc w:val="right"/>
              <w:rPr>
                <w:b/>
                <w:bCs/>
                <w:sz w:val="16"/>
                <w:szCs w:val="16"/>
              </w:rPr>
            </w:pPr>
            <w:r w:rsidRPr="006B42D6">
              <w:rPr>
                <w:b/>
                <w:bCs/>
                <w:sz w:val="16"/>
                <w:szCs w:val="16"/>
              </w:rPr>
              <w:t>2,792,661,900</w:t>
            </w:r>
          </w:p>
        </w:tc>
        <w:tc>
          <w:tcPr>
            <w:tcW w:w="628" w:type="pct"/>
            <w:tcBorders>
              <w:top w:val="single" w:sz="4" w:space="0" w:color="auto"/>
              <w:bottom w:val="single" w:sz="4" w:space="0" w:color="auto"/>
            </w:tcBorders>
            <w:shd w:val="clear" w:color="auto" w:fill="E2EFD9" w:themeFill="accent6" w:themeFillTint="33"/>
            <w:noWrap/>
            <w:vAlign w:val="center"/>
            <w:hideMark/>
          </w:tcPr>
          <w:p w14:paraId="7B272B13" w14:textId="77777777" w:rsidR="00A32971" w:rsidRPr="006B42D6" w:rsidRDefault="00A32971" w:rsidP="0079074C">
            <w:pPr>
              <w:jc w:val="right"/>
              <w:rPr>
                <w:b/>
                <w:bCs/>
                <w:sz w:val="16"/>
                <w:szCs w:val="16"/>
              </w:rPr>
            </w:pPr>
            <w:r w:rsidRPr="006B42D6">
              <w:rPr>
                <w:b/>
                <w:bCs/>
                <w:sz w:val="16"/>
                <w:szCs w:val="16"/>
              </w:rPr>
              <w:t>100.0</w:t>
            </w:r>
          </w:p>
        </w:tc>
      </w:tr>
      <w:tr w:rsidR="00602AD5" w:rsidRPr="006B42D6" w14:paraId="59BD2245" w14:textId="77777777" w:rsidTr="0079074C">
        <w:trPr>
          <w:trHeight w:val="312"/>
        </w:trPr>
        <w:tc>
          <w:tcPr>
            <w:tcW w:w="1192" w:type="pct"/>
            <w:tcBorders>
              <w:top w:val="single" w:sz="4" w:space="0" w:color="auto"/>
              <w:right w:val="single" w:sz="4" w:space="0" w:color="auto"/>
            </w:tcBorders>
            <w:shd w:val="clear" w:color="auto" w:fill="E2EFD9" w:themeFill="accent6" w:themeFillTint="33"/>
            <w:vAlign w:val="center"/>
            <w:hideMark/>
          </w:tcPr>
          <w:p w14:paraId="7C9F48EF" w14:textId="77777777" w:rsidR="00A32971" w:rsidRPr="006B42D6" w:rsidRDefault="00A32971" w:rsidP="0079074C">
            <w:pPr>
              <w:jc w:val="left"/>
              <w:rPr>
                <w:b/>
                <w:bCs/>
                <w:sz w:val="16"/>
                <w:szCs w:val="16"/>
              </w:rPr>
            </w:pPr>
            <w:r w:rsidRPr="006B42D6">
              <w:rPr>
                <w:b/>
                <w:bCs/>
                <w:sz w:val="16"/>
                <w:szCs w:val="16"/>
              </w:rPr>
              <w:t>Tanzania</w:t>
            </w:r>
          </w:p>
        </w:tc>
        <w:tc>
          <w:tcPr>
            <w:tcW w:w="1272" w:type="pct"/>
            <w:tcBorders>
              <w:top w:val="single" w:sz="4" w:space="0" w:color="auto"/>
              <w:left w:val="single" w:sz="4" w:space="0" w:color="auto"/>
              <w:bottom w:val="single" w:sz="4" w:space="0" w:color="auto"/>
            </w:tcBorders>
            <w:shd w:val="clear" w:color="auto" w:fill="E2EFD9" w:themeFill="accent6" w:themeFillTint="33"/>
            <w:noWrap/>
            <w:vAlign w:val="center"/>
            <w:hideMark/>
          </w:tcPr>
          <w:p w14:paraId="05BDE879" w14:textId="77777777" w:rsidR="00A32971" w:rsidRPr="006B42D6" w:rsidRDefault="00A32971" w:rsidP="0079074C">
            <w:pPr>
              <w:jc w:val="right"/>
              <w:rPr>
                <w:b/>
                <w:bCs/>
                <w:sz w:val="16"/>
                <w:szCs w:val="16"/>
              </w:rPr>
            </w:pPr>
            <w:r w:rsidRPr="006B42D6">
              <w:rPr>
                <w:b/>
                <w:bCs/>
                <w:sz w:val="16"/>
                <w:szCs w:val="16"/>
              </w:rPr>
              <w:t>200,682,986,724</w:t>
            </w:r>
          </w:p>
        </w:tc>
        <w:tc>
          <w:tcPr>
            <w:tcW w:w="716" w:type="pct"/>
            <w:tcBorders>
              <w:top w:val="single" w:sz="4" w:space="0" w:color="auto"/>
              <w:bottom w:val="single" w:sz="4" w:space="0" w:color="auto"/>
              <w:right w:val="single" w:sz="4" w:space="0" w:color="auto"/>
            </w:tcBorders>
            <w:shd w:val="clear" w:color="auto" w:fill="595959" w:themeFill="text1" w:themeFillTint="A6"/>
            <w:noWrap/>
            <w:vAlign w:val="center"/>
            <w:hideMark/>
          </w:tcPr>
          <w:p w14:paraId="618C0FF2" w14:textId="464A0EE9" w:rsidR="00A32971" w:rsidRPr="006B42D6" w:rsidRDefault="00A32971" w:rsidP="0079074C">
            <w:pPr>
              <w:jc w:val="right"/>
              <w:rPr>
                <w:b/>
                <w:bCs/>
                <w:sz w:val="16"/>
                <w:szCs w:val="16"/>
              </w:rPr>
            </w:pPr>
          </w:p>
        </w:tc>
        <w:tc>
          <w:tcPr>
            <w:tcW w:w="1192" w:type="pct"/>
            <w:tcBorders>
              <w:top w:val="single" w:sz="4" w:space="0" w:color="auto"/>
              <w:left w:val="single" w:sz="4" w:space="0" w:color="auto"/>
            </w:tcBorders>
            <w:shd w:val="clear" w:color="auto" w:fill="E2EFD9" w:themeFill="accent6" w:themeFillTint="33"/>
            <w:noWrap/>
            <w:vAlign w:val="center"/>
            <w:hideMark/>
          </w:tcPr>
          <w:p w14:paraId="554C9446" w14:textId="77777777" w:rsidR="00A32971" w:rsidRPr="006B42D6" w:rsidRDefault="00A32971" w:rsidP="0079074C">
            <w:pPr>
              <w:jc w:val="right"/>
              <w:rPr>
                <w:b/>
                <w:bCs/>
                <w:sz w:val="16"/>
                <w:szCs w:val="16"/>
              </w:rPr>
            </w:pPr>
            <w:r w:rsidRPr="006B42D6">
              <w:rPr>
                <w:b/>
                <w:sz w:val="16"/>
                <w:szCs w:val="16"/>
              </w:rPr>
              <w:t>284,013,533,868</w:t>
            </w:r>
          </w:p>
        </w:tc>
        <w:tc>
          <w:tcPr>
            <w:tcW w:w="628" w:type="pct"/>
            <w:tcBorders>
              <w:top w:val="single" w:sz="4" w:space="0" w:color="auto"/>
            </w:tcBorders>
            <w:shd w:val="clear" w:color="auto" w:fill="595959" w:themeFill="text1" w:themeFillTint="A6"/>
            <w:noWrap/>
            <w:vAlign w:val="center"/>
            <w:hideMark/>
          </w:tcPr>
          <w:p w14:paraId="75E127B4" w14:textId="222ADCE2" w:rsidR="00A32971" w:rsidRPr="006B42D6" w:rsidRDefault="00A32971" w:rsidP="0079074C">
            <w:pPr>
              <w:jc w:val="right"/>
              <w:rPr>
                <w:b/>
                <w:bCs/>
                <w:sz w:val="16"/>
                <w:szCs w:val="16"/>
              </w:rPr>
            </w:pPr>
          </w:p>
        </w:tc>
      </w:tr>
    </w:tbl>
    <w:p w14:paraId="476C7B6B" w14:textId="29537CD8" w:rsidR="0079074C" w:rsidRDefault="0079074C" w:rsidP="00A8388F">
      <w:pPr>
        <w:spacing w:line="480" w:lineRule="auto"/>
      </w:pPr>
    </w:p>
    <w:p w14:paraId="02E93613" w14:textId="77777777" w:rsidR="0079074C" w:rsidRDefault="0079074C">
      <w:pPr>
        <w:spacing w:line="240" w:lineRule="auto"/>
        <w:contextualSpacing w:val="0"/>
        <w:jc w:val="left"/>
      </w:pPr>
      <w:r>
        <w:br w:type="page"/>
      </w:r>
    </w:p>
    <w:p w14:paraId="3E7FFC49" w14:textId="53A33FFC" w:rsidR="00A32971" w:rsidRPr="006B42D6" w:rsidRDefault="00612C4E" w:rsidP="00A32971">
      <w:pPr>
        <w:pStyle w:val="Heading3"/>
      </w:pPr>
      <w:bookmarkStart w:id="847" w:name="_Toc82385792"/>
      <w:r w:rsidRPr="006B42D6">
        <w:lastRenderedPageBreak/>
        <w:t>5.</w:t>
      </w:r>
      <w:r w:rsidR="00AC6872">
        <w:t>2</w:t>
      </w:r>
      <w:r w:rsidR="004C3D43">
        <w:t>.4</w:t>
      </w:r>
      <w:r w:rsidR="00A32971" w:rsidRPr="006B42D6">
        <w:tab/>
        <w:t xml:space="preserve">Main Reason for Not </w:t>
      </w:r>
      <w:r w:rsidR="00A02C91" w:rsidRPr="006B42D6">
        <w:t>Borrowing</w:t>
      </w:r>
      <w:r w:rsidR="00A32971" w:rsidRPr="006B42D6">
        <w:t xml:space="preserve"> Credit</w:t>
      </w:r>
      <w:bookmarkEnd w:id="847"/>
      <w:r w:rsidR="00A32971" w:rsidRPr="006B42D6">
        <w:t xml:space="preserve"> </w:t>
      </w:r>
    </w:p>
    <w:p w14:paraId="4EFE425A" w14:textId="051F97D7" w:rsidR="00A32971" w:rsidRPr="006B42D6" w:rsidRDefault="00A32971" w:rsidP="00A32971">
      <w:r w:rsidRPr="006B42D6">
        <w:t xml:space="preserve">The census results show that, out of total 7,837,405 agricultural households whose members reported to engage in agricultural activities during 2019/20 agricultural year 7,542,787 members (96.2 percent) reported not </w:t>
      </w:r>
      <w:r w:rsidR="006825F1" w:rsidRPr="006B42D6">
        <w:t xml:space="preserve">to </w:t>
      </w:r>
      <w:r w:rsidRPr="006B42D6">
        <w:t xml:space="preserve">borrow money from different sources in Tanzania. Out of 7,542,787 a total of 7,366,149 members reported not </w:t>
      </w:r>
      <w:r w:rsidR="006825F1" w:rsidRPr="006B42D6">
        <w:t xml:space="preserve">to </w:t>
      </w:r>
      <w:r w:rsidRPr="006B42D6">
        <w:t xml:space="preserve">borrow money for agricultural activities in </w:t>
      </w:r>
      <w:r w:rsidR="00EA1552">
        <w:t>Mainland Tanzania</w:t>
      </w:r>
      <w:r w:rsidRPr="006B42D6">
        <w:t>, whilst 176,638 members was in Tanzania Zanzibar.</w:t>
      </w:r>
    </w:p>
    <w:p w14:paraId="0B445BA1" w14:textId="77777777" w:rsidR="00A32971" w:rsidRPr="006B42D6" w:rsidRDefault="00A32971" w:rsidP="00E57C78">
      <w:pPr>
        <w:spacing w:line="240" w:lineRule="auto"/>
      </w:pPr>
    </w:p>
    <w:p w14:paraId="587BD64D" w14:textId="06CB1BCE" w:rsidR="00A32971" w:rsidRPr="006B42D6" w:rsidRDefault="00A32971" w:rsidP="00A32971">
      <w:r w:rsidRPr="006B42D6">
        <w:t>Results further show that, amongst 1,795,943 household members (2</w:t>
      </w:r>
      <w:r w:rsidR="00136A3B" w:rsidRPr="006B42D6">
        <w:t>3.8 percent) reported “did not need</w:t>
      </w:r>
      <w:r w:rsidRPr="006B42D6">
        <w:t xml:space="preserve">” credits for their agricultural activities. This </w:t>
      </w:r>
      <w:r w:rsidR="00136A3B" w:rsidRPr="006B42D6">
        <w:t xml:space="preserve">was </w:t>
      </w:r>
      <w:r w:rsidRPr="006B42D6">
        <w:t>follo</w:t>
      </w:r>
      <w:r w:rsidR="00136A3B" w:rsidRPr="006B42D6">
        <w:t xml:space="preserve">wed by 1,530,795 members (20.3 percent) who reported </w:t>
      </w:r>
      <w:r w:rsidR="00213BC6" w:rsidRPr="006B42D6">
        <w:t>that “</w:t>
      </w:r>
      <w:r w:rsidR="00136A3B" w:rsidRPr="006B42D6">
        <w:t>credits were n</w:t>
      </w:r>
      <w:r w:rsidRPr="006B42D6">
        <w:t xml:space="preserve">ot available” </w:t>
      </w:r>
      <w:r w:rsidR="00136A3B" w:rsidRPr="006B42D6">
        <w:t xml:space="preserve">and </w:t>
      </w:r>
      <w:r w:rsidR="00213BC6" w:rsidRPr="006B42D6">
        <w:t>1,483,157 members (19.7 percent) who reported that “</w:t>
      </w:r>
      <w:r w:rsidR="00136A3B" w:rsidRPr="006B42D6">
        <w:t>d</w:t>
      </w:r>
      <w:r w:rsidRPr="006B42D6">
        <w:t xml:space="preserve">id not want to go into debt”. Additionally, minority of household members (48,704; 0.6 percent) reported that “credit granted too late” as their main reason of not appliying for credits. </w:t>
      </w:r>
    </w:p>
    <w:p w14:paraId="21D92543" w14:textId="77777777" w:rsidR="00A32971" w:rsidRPr="006B42D6" w:rsidRDefault="00A32971" w:rsidP="00B70471">
      <w:pPr>
        <w:spacing w:line="240" w:lineRule="auto"/>
      </w:pPr>
    </w:p>
    <w:p w14:paraId="2277344A" w14:textId="14605831" w:rsidR="00A32971" w:rsidRPr="006B42D6" w:rsidRDefault="00A32971" w:rsidP="00A32971">
      <w:r w:rsidRPr="006B42D6">
        <w:t xml:space="preserve">In </w:t>
      </w:r>
      <w:r w:rsidR="00EA1552">
        <w:t>Mainland Tanzania</w:t>
      </w:r>
      <w:r w:rsidRPr="006B42D6">
        <w:t>, majority of household members (1,770,883 members; 24.0 percent) reported “</w:t>
      </w:r>
      <w:r w:rsidR="0079074C">
        <w:t>n</w:t>
      </w:r>
      <w:r w:rsidRPr="006B42D6">
        <w:t>ot needed” credits for their agricultural activities. This was followed by members who reported “</w:t>
      </w:r>
      <w:r w:rsidR="0079074C">
        <w:t>n</w:t>
      </w:r>
      <w:r w:rsidRPr="006B42D6">
        <w:t>ot available” (1,482,850; 20.1 percent) and “</w:t>
      </w:r>
      <w:r w:rsidR="0079074C">
        <w:t>d</w:t>
      </w:r>
      <w:r w:rsidRPr="006B42D6">
        <w:t xml:space="preserve">id not want to go into debt” (1,462,033; 19.9 percent). Additionally, </w:t>
      </w:r>
      <w:r w:rsidR="00213BC6" w:rsidRPr="006B42D6">
        <w:t>few</w:t>
      </w:r>
      <w:r w:rsidRPr="006B42D6">
        <w:t xml:space="preserve"> household members (47,990; 0.7 percent) reported that “credit granted too late” as their main reason of not </w:t>
      </w:r>
      <w:r w:rsidR="00213BC6" w:rsidRPr="006B42D6">
        <w:t>borrowing</w:t>
      </w:r>
      <w:r w:rsidRPr="006B42D6">
        <w:t xml:space="preserve"> credits.</w:t>
      </w:r>
    </w:p>
    <w:p w14:paraId="521DB028" w14:textId="77777777" w:rsidR="00A32971" w:rsidRPr="006B42D6" w:rsidRDefault="00A32971" w:rsidP="00B70471">
      <w:pPr>
        <w:spacing w:line="240" w:lineRule="auto"/>
      </w:pPr>
    </w:p>
    <w:p w14:paraId="1DE8DFA5" w14:textId="3772C05E" w:rsidR="00A02C91" w:rsidRPr="006B42D6" w:rsidRDefault="00A32971" w:rsidP="00A02C91">
      <w:r w:rsidRPr="006B42D6">
        <w:t>In Tanzania Zanzibar, majority of household members (55,231 members; 31.3 percent) reported “</w:t>
      </w:r>
      <w:r w:rsidR="0079074C">
        <w:t>d</w:t>
      </w:r>
      <w:r w:rsidRPr="006B42D6">
        <w:t xml:space="preserve">id not know how to get credit” for their agricultural activities. This was followed by </w:t>
      </w:r>
      <w:r w:rsidR="00213BC6" w:rsidRPr="006B42D6">
        <w:t xml:space="preserve">47,945 </w:t>
      </w:r>
      <w:r w:rsidRPr="006B42D6">
        <w:t xml:space="preserve">members </w:t>
      </w:r>
      <w:r w:rsidR="00213BC6" w:rsidRPr="006B42D6">
        <w:t xml:space="preserve">(27.1 percent) </w:t>
      </w:r>
      <w:r w:rsidRPr="006B42D6">
        <w:t>who reported “</w:t>
      </w:r>
      <w:r w:rsidR="00213BC6" w:rsidRPr="006B42D6">
        <w:t>credits n</w:t>
      </w:r>
      <w:r w:rsidRPr="006B42D6">
        <w:t xml:space="preserve">ot available” and </w:t>
      </w:r>
      <w:r w:rsidR="00213BC6" w:rsidRPr="006B42D6">
        <w:t>25,060 members (14.2 percent) reported “did not need credits</w:t>
      </w:r>
      <w:r w:rsidRPr="006B42D6">
        <w:t>”</w:t>
      </w:r>
      <w:r w:rsidR="00213BC6" w:rsidRPr="006B42D6">
        <w:t xml:space="preserve">. </w:t>
      </w:r>
      <w:r w:rsidRPr="006B42D6">
        <w:t xml:space="preserve">Additionally, </w:t>
      </w:r>
      <w:r w:rsidR="00213BC6" w:rsidRPr="006B42D6">
        <w:t>few</w:t>
      </w:r>
      <w:r w:rsidRPr="006B42D6">
        <w:t xml:space="preserve"> household members (714; 0.4 percent) reported that “credit granted too late” as their main reason of not </w:t>
      </w:r>
      <w:r w:rsidR="00213BC6" w:rsidRPr="006B42D6">
        <w:t xml:space="preserve">borrowing </w:t>
      </w:r>
      <w:r w:rsidR="00A02C91" w:rsidRPr="006B42D6">
        <w:t xml:space="preserve">credits (Figure </w:t>
      </w:r>
      <w:r w:rsidR="008D0622" w:rsidRPr="006B42D6">
        <w:t>5.</w:t>
      </w:r>
      <w:r w:rsidR="00686394">
        <w:t>7</w:t>
      </w:r>
      <w:r w:rsidR="00A02C91" w:rsidRPr="006B42D6">
        <w:t>)</w:t>
      </w:r>
      <w:r w:rsidR="00686394">
        <w:t>.</w:t>
      </w:r>
    </w:p>
    <w:p w14:paraId="556B0102" w14:textId="0A4E9D54" w:rsidR="0079074C" w:rsidRDefault="0079074C">
      <w:pPr>
        <w:spacing w:line="240" w:lineRule="auto"/>
        <w:contextualSpacing w:val="0"/>
        <w:jc w:val="left"/>
        <w:rPr>
          <w:b/>
          <w:iCs/>
          <w:color w:val="000000" w:themeColor="text1"/>
          <w:sz w:val="20"/>
          <w:szCs w:val="18"/>
        </w:rPr>
      </w:pPr>
      <w:r>
        <w:br w:type="page"/>
      </w:r>
    </w:p>
    <w:p w14:paraId="544ADCAA" w14:textId="029556B1" w:rsidR="00A32971" w:rsidRPr="006B42D6" w:rsidRDefault="00A32971" w:rsidP="00EA010E">
      <w:pPr>
        <w:pStyle w:val="Caption"/>
      </w:pPr>
      <w:bookmarkStart w:id="848" w:name="_Toc82386463"/>
      <w:r w:rsidRPr="006B42D6">
        <w:lastRenderedPageBreak/>
        <w:t xml:space="preserve">Figure </w:t>
      </w:r>
      <w:r w:rsidR="008D0622" w:rsidRPr="006B42D6">
        <w:t>5.</w:t>
      </w:r>
      <w:r w:rsidR="00686394">
        <w:t>7</w:t>
      </w:r>
      <w:r w:rsidR="00A8388F">
        <w:t>:</w:t>
      </w:r>
      <w:r w:rsidR="00A8388F">
        <w:tab/>
      </w:r>
      <w:r w:rsidRPr="006B42D6">
        <w:t xml:space="preserve">Percentage of </w:t>
      </w:r>
      <w:r w:rsidR="00213BC6" w:rsidRPr="006B42D6">
        <w:t>Agricultural Households Reported</w:t>
      </w:r>
      <w:r w:rsidR="00A02C91" w:rsidRPr="006B42D6">
        <w:t xml:space="preserve"> Main R</w:t>
      </w:r>
      <w:r w:rsidRPr="006B42D6">
        <w:t xml:space="preserve">eason for Not </w:t>
      </w:r>
      <w:r w:rsidR="00A02C91" w:rsidRPr="006B42D6">
        <w:t>Borrowing</w:t>
      </w:r>
      <w:r w:rsidRPr="006B42D6">
        <w:t xml:space="preserve"> Credit During the 2019/20 Agricultural Year, Tanzania</w:t>
      </w:r>
      <w:bookmarkEnd w:id="848"/>
    </w:p>
    <w:p w14:paraId="57003601" w14:textId="77777777" w:rsidR="00A32971" w:rsidRPr="006B42D6" w:rsidRDefault="00A32971" w:rsidP="00A32971">
      <w:r w:rsidRPr="006B42D6">
        <w:rPr>
          <w:noProof/>
        </w:rPr>
        <w:drawing>
          <wp:inline distT="0" distB="0" distL="0" distR="0" wp14:anchorId="6143EB8F" wp14:editId="6FA7C7C7">
            <wp:extent cx="5727700" cy="3119120"/>
            <wp:effectExtent l="0" t="0" r="12700" b="17780"/>
            <wp:docPr id="163" name="Chart 163">
              <a:extLst xmlns:a="http://schemas.openxmlformats.org/drawingml/2006/main">
                <a:ext uri="{FF2B5EF4-FFF2-40B4-BE49-F238E27FC236}">
                  <a16:creationId xmlns:a16="http://schemas.microsoft.com/office/drawing/2014/main" id="{9A3488E5-523D-4ADD-A03B-D33EF54D43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9"/>
              </a:graphicData>
            </a:graphic>
          </wp:inline>
        </w:drawing>
      </w:r>
    </w:p>
    <w:p w14:paraId="246869A4" w14:textId="3BE092F8" w:rsidR="00A32971" w:rsidRDefault="00A32971" w:rsidP="00A32971"/>
    <w:p w14:paraId="024B1015" w14:textId="3502BF08" w:rsidR="00FF4745" w:rsidRPr="00A8388F" w:rsidRDefault="00612C4E" w:rsidP="00FF4745">
      <w:pPr>
        <w:pStyle w:val="Heading2"/>
        <w:rPr>
          <w:color w:val="000000" w:themeColor="text1"/>
        </w:rPr>
      </w:pPr>
      <w:bookmarkStart w:id="849" w:name="_Toc82385793"/>
      <w:r w:rsidRPr="006B42D6">
        <w:t>5.</w:t>
      </w:r>
      <w:r w:rsidR="00AC6872">
        <w:t>3</w:t>
      </w:r>
      <w:r w:rsidR="00A02C91" w:rsidRPr="006B42D6">
        <w:tab/>
        <w:t>Agricultural C</w:t>
      </w:r>
      <w:r w:rsidR="00FF4745" w:rsidRPr="006B42D6">
        <w:t>onstraints</w:t>
      </w:r>
      <w:bookmarkEnd w:id="849"/>
    </w:p>
    <w:p w14:paraId="14B49A1F" w14:textId="5CAC098C" w:rsidR="00FF4745" w:rsidRPr="006B42D6" w:rsidRDefault="00FF4745" w:rsidP="00EA010E">
      <w:pPr>
        <w:spacing w:after="160"/>
        <w:rPr>
          <w:rFonts w:eastAsia="Calibri"/>
          <w:lang w:val="en-GB"/>
        </w:rPr>
      </w:pPr>
      <w:r w:rsidRPr="006B42D6">
        <w:rPr>
          <w:rFonts w:eastAsia="Calibri"/>
          <w:lang w:val="en-GB"/>
        </w:rPr>
        <w:t>In Tanzania, during the 2019/20 agricultural year, climate change was the major constraint reported by majority of households (1,326,432; 1</w:t>
      </w:r>
      <w:r w:rsidR="006B445D">
        <w:rPr>
          <w:rFonts w:eastAsia="Calibri"/>
          <w:lang w:val="en-GB"/>
        </w:rPr>
        <w:t>8</w:t>
      </w:r>
      <w:r w:rsidRPr="006B42D6">
        <w:rPr>
          <w:rFonts w:eastAsia="Calibri"/>
          <w:lang w:val="en-GB"/>
        </w:rPr>
        <w:t>.</w:t>
      </w:r>
      <w:r w:rsidR="006B445D">
        <w:rPr>
          <w:rFonts w:eastAsia="Calibri"/>
          <w:lang w:val="en-GB"/>
        </w:rPr>
        <w:t>0</w:t>
      </w:r>
      <w:r w:rsidRPr="006B42D6">
        <w:rPr>
          <w:rFonts w:eastAsia="Calibri"/>
          <w:lang w:val="en-GB"/>
        </w:rPr>
        <w:t xml:space="preserve"> percent). This was followed by cost of inputs (1,152,368 households; 1</w:t>
      </w:r>
      <w:r w:rsidR="006B445D">
        <w:rPr>
          <w:rFonts w:eastAsia="Calibri"/>
          <w:lang w:val="en-GB"/>
        </w:rPr>
        <w:t>5</w:t>
      </w:r>
      <w:r w:rsidRPr="006B42D6">
        <w:rPr>
          <w:rFonts w:eastAsia="Calibri"/>
          <w:lang w:val="en-GB"/>
        </w:rPr>
        <w:t>.</w:t>
      </w:r>
      <w:r w:rsidR="006B445D">
        <w:rPr>
          <w:rFonts w:eastAsia="Calibri"/>
          <w:lang w:val="en-GB"/>
        </w:rPr>
        <w:t>6</w:t>
      </w:r>
      <w:r w:rsidRPr="006B42D6">
        <w:rPr>
          <w:rFonts w:eastAsia="Calibri"/>
          <w:lang w:val="en-GB"/>
        </w:rPr>
        <w:t xml:space="preserve"> percent), access to land (998,362</w:t>
      </w:r>
      <w:r w:rsidR="00602AD5" w:rsidRPr="006B42D6">
        <w:rPr>
          <w:rFonts w:eastAsia="Calibri"/>
          <w:lang w:val="en-GB"/>
        </w:rPr>
        <w:t>;</w:t>
      </w:r>
      <w:r w:rsidRPr="006B42D6">
        <w:rPr>
          <w:rFonts w:eastAsia="Calibri"/>
          <w:lang w:val="en-GB"/>
        </w:rPr>
        <w:t xml:space="preserve"> 1</w:t>
      </w:r>
      <w:r w:rsidR="006B445D">
        <w:rPr>
          <w:rFonts w:eastAsia="Calibri"/>
          <w:lang w:val="en-GB"/>
        </w:rPr>
        <w:t>3</w:t>
      </w:r>
      <w:r w:rsidRPr="006B42D6">
        <w:rPr>
          <w:rFonts w:eastAsia="Calibri"/>
          <w:lang w:val="en-GB"/>
        </w:rPr>
        <w:t>.</w:t>
      </w:r>
      <w:r w:rsidR="006B445D">
        <w:rPr>
          <w:rFonts w:eastAsia="Calibri"/>
          <w:lang w:val="en-GB"/>
        </w:rPr>
        <w:t>5</w:t>
      </w:r>
      <w:r w:rsidRPr="006B42D6">
        <w:rPr>
          <w:rFonts w:eastAsia="Calibri"/>
          <w:lang w:val="en-GB"/>
        </w:rPr>
        <w:t xml:space="preserve"> percent), low prices of agricultural produce (532,619; </w:t>
      </w:r>
      <w:r w:rsidR="006B445D">
        <w:rPr>
          <w:rFonts w:eastAsia="Calibri"/>
          <w:lang w:val="en-GB"/>
        </w:rPr>
        <w:t>7</w:t>
      </w:r>
      <w:r w:rsidRPr="006B42D6">
        <w:rPr>
          <w:rFonts w:eastAsia="Calibri"/>
          <w:lang w:val="en-GB"/>
        </w:rPr>
        <w:t>.</w:t>
      </w:r>
      <w:r w:rsidR="006B445D">
        <w:rPr>
          <w:rFonts w:eastAsia="Calibri"/>
          <w:lang w:val="en-GB"/>
        </w:rPr>
        <w:t>2</w:t>
      </w:r>
      <w:r w:rsidRPr="006B42D6">
        <w:rPr>
          <w:rFonts w:eastAsia="Calibri"/>
          <w:lang w:val="en-GB"/>
        </w:rPr>
        <w:t xml:space="preserve"> percent), and pest and diseases (495,102 households</w:t>
      </w:r>
      <w:r w:rsidR="00602AD5" w:rsidRPr="006B42D6">
        <w:rPr>
          <w:rFonts w:eastAsia="Calibri"/>
          <w:lang w:val="en-GB"/>
        </w:rPr>
        <w:t>;</w:t>
      </w:r>
      <w:r w:rsidRPr="006B42D6">
        <w:rPr>
          <w:rFonts w:eastAsia="Calibri"/>
          <w:lang w:val="en-GB"/>
        </w:rPr>
        <w:t xml:space="preserve"> 6.</w:t>
      </w:r>
      <w:r w:rsidR="006B445D">
        <w:rPr>
          <w:rFonts w:eastAsia="Calibri"/>
          <w:lang w:val="en-GB"/>
        </w:rPr>
        <w:t>7</w:t>
      </w:r>
      <w:r w:rsidRPr="006B42D6">
        <w:rPr>
          <w:rFonts w:eastAsia="Calibri"/>
          <w:lang w:val="en-GB"/>
        </w:rPr>
        <w:t xml:space="preserve"> percent (</w:t>
      </w:r>
      <w:r w:rsidR="008D0622" w:rsidRPr="006B42D6">
        <w:rPr>
          <w:rFonts w:eastAsia="Calibri"/>
          <w:lang w:val="en-GB"/>
        </w:rPr>
        <w:t>Table 5.</w:t>
      </w:r>
      <w:r w:rsidR="00A8388F">
        <w:rPr>
          <w:rFonts w:eastAsia="Calibri"/>
          <w:lang w:val="en-GB"/>
        </w:rPr>
        <w:t>5</w:t>
      </w:r>
      <w:r w:rsidRPr="006B42D6">
        <w:rPr>
          <w:rFonts w:eastAsia="Calibri"/>
          <w:lang w:val="en-GB"/>
        </w:rPr>
        <w:t>).</w:t>
      </w:r>
    </w:p>
    <w:p w14:paraId="6F895C58" w14:textId="77777777" w:rsidR="00FF4745" w:rsidRPr="006B42D6" w:rsidRDefault="00FF4745" w:rsidP="00A8388F">
      <w:pPr>
        <w:spacing w:line="240" w:lineRule="auto"/>
      </w:pPr>
    </w:p>
    <w:p w14:paraId="03A89EF3" w14:textId="5FB1E7A4" w:rsidR="00FF4745" w:rsidRPr="006B42D6" w:rsidRDefault="00FF4745" w:rsidP="00FF4745">
      <w:pPr>
        <w:spacing w:after="160"/>
        <w:rPr>
          <w:rFonts w:eastAsia="Calibri"/>
          <w:lang w:val="en-GB"/>
        </w:rPr>
      </w:pPr>
      <w:r w:rsidRPr="006B42D6">
        <w:rPr>
          <w:rFonts w:eastAsia="Calibri"/>
          <w:lang w:val="en-GB"/>
        </w:rPr>
        <w:t xml:space="preserve">Similar trend was observed in </w:t>
      </w:r>
      <w:r w:rsidR="00EA1552">
        <w:rPr>
          <w:rFonts w:eastAsia="Calibri"/>
          <w:lang w:val="en-GB"/>
        </w:rPr>
        <w:t>Mainland Tanzania</w:t>
      </w:r>
      <w:r w:rsidRPr="006B42D6">
        <w:rPr>
          <w:rFonts w:eastAsia="Calibri"/>
          <w:lang w:val="en-GB"/>
        </w:rPr>
        <w:t xml:space="preserve"> regarding the most reported constraints by households that affected agricultural activities during 2019/20 agricultural year. The results show that, climate change with 1,318,550 households (1</w:t>
      </w:r>
      <w:r w:rsidR="006B445D">
        <w:rPr>
          <w:rFonts w:eastAsia="Calibri"/>
          <w:lang w:val="en-GB"/>
        </w:rPr>
        <w:t>8</w:t>
      </w:r>
      <w:r w:rsidRPr="006B42D6">
        <w:rPr>
          <w:rFonts w:eastAsia="Calibri"/>
          <w:lang w:val="en-GB"/>
        </w:rPr>
        <w:t>.</w:t>
      </w:r>
      <w:r w:rsidR="006B445D">
        <w:rPr>
          <w:rFonts w:eastAsia="Calibri"/>
          <w:lang w:val="en-GB"/>
        </w:rPr>
        <w:t>3</w:t>
      </w:r>
      <w:r w:rsidRPr="006B42D6">
        <w:rPr>
          <w:rFonts w:eastAsia="Calibri"/>
          <w:lang w:val="en-GB"/>
        </w:rPr>
        <w:t xml:space="preserve"> percent) was mostly reported, followed by cost of inputs (1,141,152; 15.</w:t>
      </w:r>
      <w:r w:rsidR="006B445D">
        <w:rPr>
          <w:rFonts w:eastAsia="Calibri"/>
          <w:lang w:val="en-GB"/>
        </w:rPr>
        <w:t>8</w:t>
      </w:r>
      <w:r w:rsidRPr="006B42D6">
        <w:rPr>
          <w:rFonts w:eastAsia="Calibri"/>
          <w:lang w:val="en-GB"/>
        </w:rPr>
        <w:t xml:space="preserve"> percent), access to land (978,589; 1</w:t>
      </w:r>
      <w:r w:rsidR="006B445D">
        <w:rPr>
          <w:rFonts w:eastAsia="Calibri"/>
          <w:lang w:val="en-GB"/>
        </w:rPr>
        <w:t>3</w:t>
      </w:r>
      <w:r w:rsidRPr="006B42D6">
        <w:rPr>
          <w:rFonts w:eastAsia="Calibri"/>
          <w:lang w:val="en-GB"/>
        </w:rPr>
        <w:t>.</w:t>
      </w:r>
      <w:r w:rsidR="006B445D">
        <w:rPr>
          <w:rFonts w:eastAsia="Calibri"/>
          <w:lang w:val="en-GB"/>
        </w:rPr>
        <w:t>6</w:t>
      </w:r>
      <w:r w:rsidRPr="006B42D6">
        <w:rPr>
          <w:rFonts w:eastAsia="Calibri"/>
          <w:lang w:val="en-GB"/>
        </w:rPr>
        <w:t xml:space="preserve"> percent), low prices of agricultural produce (530,068; 7.</w:t>
      </w:r>
      <w:r w:rsidR="006B445D">
        <w:rPr>
          <w:rFonts w:eastAsia="Calibri"/>
          <w:lang w:val="en-GB"/>
        </w:rPr>
        <w:t>4</w:t>
      </w:r>
      <w:r w:rsidRPr="006B42D6">
        <w:rPr>
          <w:rFonts w:eastAsia="Calibri"/>
          <w:lang w:val="en-GB"/>
        </w:rPr>
        <w:t xml:space="preserve"> percent) and; pests and diseases (476,974; 6.</w:t>
      </w:r>
      <w:r w:rsidR="006B445D">
        <w:rPr>
          <w:rFonts w:eastAsia="Calibri"/>
          <w:lang w:val="en-GB"/>
        </w:rPr>
        <w:t>6</w:t>
      </w:r>
      <w:r w:rsidRPr="006B42D6">
        <w:rPr>
          <w:rFonts w:eastAsia="Calibri"/>
          <w:lang w:val="en-GB"/>
        </w:rPr>
        <w:t xml:space="preserve"> percent) (Table </w:t>
      </w:r>
      <w:r w:rsidR="00612C4E" w:rsidRPr="006B42D6">
        <w:rPr>
          <w:rFonts w:eastAsia="Calibri"/>
          <w:lang w:val="en-GB"/>
        </w:rPr>
        <w:t>5.</w:t>
      </w:r>
      <w:r w:rsidR="00A8388F">
        <w:rPr>
          <w:rFonts w:eastAsia="Calibri"/>
          <w:lang w:val="en-GB"/>
        </w:rPr>
        <w:t>5</w:t>
      </w:r>
      <w:r w:rsidRPr="006B42D6">
        <w:rPr>
          <w:rFonts w:eastAsia="Calibri"/>
          <w:lang w:val="en-GB"/>
        </w:rPr>
        <w:t>).</w:t>
      </w:r>
    </w:p>
    <w:p w14:paraId="76E670DE" w14:textId="77777777" w:rsidR="00FF4745" w:rsidRPr="006B42D6" w:rsidRDefault="00FF4745" w:rsidP="00A8388F">
      <w:pPr>
        <w:spacing w:line="240" w:lineRule="auto"/>
      </w:pPr>
    </w:p>
    <w:p w14:paraId="64C6401C" w14:textId="72CDB29F" w:rsidR="00FF4745" w:rsidRDefault="00A02C91" w:rsidP="00EA010E">
      <w:pPr>
        <w:rPr>
          <w:rFonts w:eastAsia="Calibri"/>
          <w:lang w:val="en-GB"/>
        </w:rPr>
      </w:pPr>
      <w:r w:rsidRPr="006B42D6">
        <w:rPr>
          <w:rFonts w:eastAsia="Calibri"/>
          <w:lang w:val="en-GB"/>
        </w:rPr>
        <w:t>I</w:t>
      </w:r>
      <w:r w:rsidR="00FF4745" w:rsidRPr="006B42D6">
        <w:rPr>
          <w:rFonts w:eastAsia="Calibri"/>
          <w:lang w:val="en-GB"/>
        </w:rPr>
        <w:t>n Tanzania Zanzibar, crop theft with 34,360 households (</w:t>
      </w:r>
      <w:r w:rsidR="006B445D">
        <w:rPr>
          <w:rFonts w:eastAsia="Calibri"/>
          <w:lang w:val="en-GB"/>
        </w:rPr>
        <w:t>20</w:t>
      </w:r>
      <w:r w:rsidR="00FF4745" w:rsidRPr="006B42D6">
        <w:rPr>
          <w:rFonts w:eastAsia="Calibri"/>
          <w:lang w:val="en-GB"/>
        </w:rPr>
        <w:t>.</w:t>
      </w:r>
      <w:r w:rsidR="006B445D">
        <w:rPr>
          <w:rFonts w:eastAsia="Calibri"/>
          <w:lang w:val="en-GB"/>
        </w:rPr>
        <w:t>8</w:t>
      </w:r>
      <w:r w:rsidR="00FF4745" w:rsidRPr="006B42D6">
        <w:rPr>
          <w:rFonts w:eastAsia="Calibri"/>
          <w:lang w:val="en-GB"/>
        </w:rPr>
        <w:t xml:space="preserve"> percent) was the major constraint that affected agricultural activities reported by households, followed by access to land </w:t>
      </w:r>
      <w:r w:rsidR="006B445D">
        <w:rPr>
          <w:rFonts w:eastAsia="Calibri"/>
          <w:lang w:val="en-GB"/>
        </w:rPr>
        <w:t>(</w:t>
      </w:r>
      <w:r w:rsidR="00FF4745" w:rsidRPr="006B42D6">
        <w:rPr>
          <w:rFonts w:eastAsia="Calibri"/>
          <w:lang w:val="en-GB"/>
        </w:rPr>
        <w:t>19,773</w:t>
      </w:r>
      <w:r w:rsidR="006B445D">
        <w:rPr>
          <w:rFonts w:eastAsia="Calibri"/>
          <w:lang w:val="en-GB"/>
        </w:rPr>
        <w:t xml:space="preserve">; </w:t>
      </w:r>
      <w:r w:rsidR="00FF4745" w:rsidRPr="006B42D6">
        <w:rPr>
          <w:rFonts w:eastAsia="Calibri"/>
          <w:lang w:val="en-GB"/>
        </w:rPr>
        <w:t>1</w:t>
      </w:r>
      <w:r w:rsidR="006B445D">
        <w:rPr>
          <w:rFonts w:eastAsia="Calibri"/>
          <w:lang w:val="en-GB"/>
        </w:rPr>
        <w:t>2</w:t>
      </w:r>
      <w:r w:rsidR="00FF4745" w:rsidRPr="006B42D6">
        <w:rPr>
          <w:rFonts w:eastAsia="Calibri"/>
          <w:lang w:val="en-GB"/>
        </w:rPr>
        <w:t>.</w:t>
      </w:r>
      <w:r w:rsidR="006B445D">
        <w:rPr>
          <w:rFonts w:eastAsia="Calibri"/>
          <w:lang w:val="en-GB"/>
        </w:rPr>
        <w:t>0</w:t>
      </w:r>
      <w:r w:rsidR="00FF4745" w:rsidRPr="006B42D6">
        <w:rPr>
          <w:rFonts w:eastAsia="Calibri"/>
          <w:lang w:val="en-GB"/>
        </w:rPr>
        <w:t xml:space="preserve"> percent), crop destructive by wild animals </w:t>
      </w:r>
      <w:r w:rsidR="006B445D">
        <w:rPr>
          <w:rFonts w:eastAsia="Calibri"/>
          <w:lang w:val="en-GB"/>
        </w:rPr>
        <w:t>(</w:t>
      </w:r>
      <w:r w:rsidR="00FF4745" w:rsidRPr="006B42D6">
        <w:rPr>
          <w:rFonts w:eastAsia="Calibri"/>
          <w:lang w:val="en-GB"/>
        </w:rPr>
        <w:t>18,207</w:t>
      </w:r>
      <w:r w:rsidR="006B445D">
        <w:rPr>
          <w:rFonts w:eastAsia="Calibri"/>
          <w:lang w:val="en-GB"/>
        </w:rPr>
        <w:t xml:space="preserve">; </w:t>
      </w:r>
      <w:r w:rsidR="00FF4745" w:rsidRPr="006B42D6">
        <w:rPr>
          <w:rFonts w:eastAsia="Calibri"/>
          <w:lang w:val="en-GB"/>
        </w:rPr>
        <w:t>1</w:t>
      </w:r>
      <w:r w:rsidR="006B445D">
        <w:rPr>
          <w:rFonts w:eastAsia="Calibri"/>
          <w:lang w:val="en-GB"/>
        </w:rPr>
        <w:t>1</w:t>
      </w:r>
      <w:r w:rsidR="00FF4745" w:rsidRPr="006B42D6">
        <w:rPr>
          <w:rFonts w:eastAsia="Calibri"/>
          <w:lang w:val="en-GB"/>
        </w:rPr>
        <w:t>.</w:t>
      </w:r>
      <w:r w:rsidR="006B445D">
        <w:rPr>
          <w:rFonts w:eastAsia="Calibri"/>
          <w:lang w:val="en-GB"/>
        </w:rPr>
        <w:t>0</w:t>
      </w:r>
      <w:r w:rsidR="00FF4745" w:rsidRPr="006B42D6">
        <w:rPr>
          <w:rFonts w:eastAsia="Calibri"/>
          <w:lang w:val="en-GB"/>
        </w:rPr>
        <w:t xml:space="preserve"> percent), pests and diseases </w:t>
      </w:r>
      <w:r w:rsidR="006B445D">
        <w:rPr>
          <w:rFonts w:eastAsia="Calibri"/>
          <w:lang w:val="en-GB"/>
        </w:rPr>
        <w:t>(</w:t>
      </w:r>
      <w:r w:rsidR="00FF4745" w:rsidRPr="006B42D6">
        <w:rPr>
          <w:rFonts w:eastAsia="Calibri"/>
          <w:lang w:val="en-GB"/>
        </w:rPr>
        <w:t>18,128</w:t>
      </w:r>
      <w:r w:rsidR="006B445D">
        <w:rPr>
          <w:rFonts w:eastAsia="Calibri"/>
          <w:lang w:val="en-GB"/>
        </w:rPr>
        <w:t>;</w:t>
      </w:r>
      <w:r w:rsidR="00355DF7">
        <w:rPr>
          <w:rFonts w:eastAsia="Calibri"/>
          <w:lang w:val="en-GB"/>
        </w:rPr>
        <w:t xml:space="preserve"> </w:t>
      </w:r>
      <w:r w:rsidR="00FF4745" w:rsidRPr="006B42D6">
        <w:rPr>
          <w:rFonts w:eastAsia="Calibri"/>
          <w:lang w:val="en-GB"/>
        </w:rPr>
        <w:t>1</w:t>
      </w:r>
      <w:r w:rsidR="006B445D">
        <w:rPr>
          <w:rFonts w:eastAsia="Calibri"/>
          <w:lang w:val="en-GB"/>
        </w:rPr>
        <w:t>1</w:t>
      </w:r>
      <w:r w:rsidR="00FF4745" w:rsidRPr="006B42D6">
        <w:rPr>
          <w:rFonts w:eastAsia="Calibri"/>
          <w:lang w:val="en-GB"/>
        </w:rPr>
        <w:t>.</w:t>
      </w:r>
      <w:r w:rsidR="006B445D">
        <w:rPr>
          <w:rFonts w:eastAsia="Calibri"/>
          <w:lang w:val="en-GB"/>
        </w:rPr>
        <w:t>0</w:t>
      </w:r>
      <w:r w:rsidR="00FF4745" w:rsidRPr="006B42D6">
        <w:rPr>
          <w:rFonts w:eastAsia="Calibri"/>
          <w:lang w:val="en-GB"/>
        </w:rPr>
        <w:t xml:space="preserve"> percent) and cost of inputs (</w:t>
      </w:r>
      <w:r w:rsidR="00DB6304">
        <w:rPr>
          <w:rFonts w:eastAsia="Calibri"/>
          <w:lang w:val="en-GB"/>
        </w:rPr>
        <w:t xml:space="preserve">11,216; </w:t>
      </w:r>
      <w:r w:rsidR="00FF4745" w:rsidRPr="006B42D6">
        <w:rPr>
          <w:rFonts w:eastAsia="Calibri"/>
          <w:lang w:val="en-GB"/>
        </w:rPr>
        <w:t>6.</w:t>
      </w:r>
      <w:r w:rsidR="006B445D">
        <w:rPr>
          <w:rFonts w:eastAsia="Calibri"/>
          <w:lang w:val="en-GB"/>
        </w:rPr>
        <w:t>8</w:t>
      </w:r>
      <w:r w:rsidR="00FF4745" w:rsidRPr="006B42D6">
        <w:rPr>
          <w:rFonts w:eastAsia="Calibri"/>
          <w:lang w:val="en-GB"/>
        </w:rPr>
        <w:t xml:space="preserve"> percent)</w:t>
      </w:r>
      <w:r w:rsidR="00DB6304">
        <w:rPr>
          <w:rFonts w:eastAsia="Calibri"/>
          <w:lang w:val="en-GB"/>
        </w:rPr>
        <w:t xml:space="preserve"> </w:t>
      </w:r>
      <w:r w:rsidR="00FF4745" w:rsidRPr="006B42D6">
        <w:rPr>
          <w:rFonts w:eastAsia="Calibri"/>
          <w:lang w:val="en-GB"/>
        </w:rPr>
        <w:t xml:space="preserve">(Table </w:t>
      </w:r>
      <w:r w:rsidR="00612C4E" w:rsidRPr="006B42D6">
        <w:rPr>
          <w:rFonts w:eastAsia="Calibri"/>
          <w:lang w:val="en-GB"/>
        </w:rPr>
        <w:t>5.</w:t>
      </w:r>
      <w:r w:rsidR="00A8388F">
        <w:rPr>
          <w:rFonts w:eastAsia="Calibri"/>
          <w:lang w:val="en-GB"/>
        </w:rPr>
        <w:t>5</w:t>
      </w:r>
      <w:r w:rsidR="00FF4745" w:rsidRPr="006B42D6">
        <w:rPr>
          <w:rFonts w:eastAsia="Calibri"/>
          <w:lang w:val="en-GB"/>
        </w:rPr>
        <w:t>).</w:t>
      </w:r>
    </w:p>
    <w:p w14:paraId="29A59548" w14:textId="6A6A8C7A" w:rsidR="005420E0" w:rsidRDefault="005420E0">
      <w:pPr>
        <w:spacing w:line="240" w:lineRule="auto"/>
        <w:contextualSpacing w:val="0"/>
        <w:jc w:val="left"/>
        <w:rPr>
          <w:rFonts w:eastAsia="Calibri"/>
          <w:lang w:val="en-GB"/>
        </w:rPr>
      </w:pPr>
      <w:r>
        <w:rPr>
          <w:rFonts w:eastAsia="Calibri"/>
          <w:lang w:val="en-GB"/>
        </w:rPr>
        <w:br w:type="page"/>
      </w:r>
    </w:p>
    <w:p w14:paraId="24966304" w14:textId="77CBE5DD" w:rsidR="00FF4745" w:rsidRPr="006B42D6" w:rsidRDefault="00FF4745" w:rsidP="007200F6">
      <w:pPr>
        <w:pStyle w:val="Heading7"/>
        <w:rPr>
          <w:rFonts w:eastAsia="Calibri"/>
          <w:lang w:val="en-GB"/>
        </w:rPr>
      </w:pPr>
      <w:bookmarkStart w:id="850" w:name="_Toc82386235"/>
      <w:r w:rsidRPr="006B42D6">
        <w:rPr>
          <w:rFonts w:eastAsia="Calibri"/>
          <w:lang w:val="en-GB"/>
        </w:rPr>
        <w:lastRenderedPageBreak/>
        <w:t xml:space="preserve">Table </w:t>
      </w:r>
      <w:r w:rsidR="00612C4E" w:rsidRPr="006B42D6">
        <w:rPr>
          <w:rFonts w:eastAsia="Calibri"/>
          <w:lang w:val="en-GB"/>
        </w:rPr>
        <w:t>5.</w:t>
      </w:r>
      <w:r w:rsidR="00A8388F">
        <w:rPr>
          <w:rFonts w:eastAsia="Calibri"/>
          <w:lang w:val="en-GB"/>
        </w:rPr>
        <w:t>5:</w:t>
      </w:r>
      <w:r w:rsidR="00E17DC7">
        <w:rPr>
          <w:rFonts w:eastAsia="Calibri"/>
          <w:lang w:val="en-GB"/>
        </w:rPr>
        <w:tab/>
      </w:r>
      <w:r w:rsidRPr="006B42D6">
        <w:rPr>
          <w:rFonts w:eastAsia="Calibri"/>
          <w:lang w:val="en-GB"/>
        </w:rPr>
        <w:t>Number and Percentage of</w:t>
      </w:r>
      <w:r w:rsidR="00A02C91" w:rsidRPr="006B42D6">
        <w:rPr>
          <w:rFonts w:eastAsia="Calibri"/>
          <w:lang w:val="en-GB"/>
        </w:rPr>
        <w:t xml:space="preserve"> Agricultural Households Reported </w:t>
      </w:r>
      <w:r w:rsidRPr="006B42D6">
        <w:rPr>
          <w:rFonts w:eastAsia="Calibri"/>
          <w:lang w:val="en-GB"/>
        </w:rPr>
        <w:t>Major Constraints During 2019/20 Agricultural Year, Tanzania</w:t>
      </w:r>
      <w:bookmarkEnd w:id="850"/>
    </w:p>
    <w:tbl>
      <w:tblPr>
        <w:tblW w:w="9187" w:type="dxa"/>
        <w:tblLook w:val="04A0" w:firstRow="1" w:lastRow="0" w:firstColumn="1" w:lastColumn="0" w:noHBand="0" w:noVBand="1"/>
      </w:tblPr>
      <w:tblGrid>
        <w:gridCol w:w="3079"/>
        <w:gridCol w:w="869"/>
        <w:gridCol w:w="1228"/>
        <w:gridCol w:w="856"/>
        <w:gridCol w:w="1156"/>
        <w:gridCol w:w="741"/>
        <w:gridCol w:w="1260"/>
      </w:tblGrid>
      <w:tr w:rsidR="00FF7B42" w:rsidRPr="00FF7B42" w14:paraId="5897FD17" w14:textId="77777777" w:rsidTr="00355DF7">
        <w:trPr>
          <w:trHeight w:val="300"/>
        </w:trPr>
        <w:tc>
          <w:tcPr>
            <w:tcW w:w="3079" w:type="dxa"/>
            <w:vMerge w:val="restart"/>
            <w:tcBorders>
              <w:top w:val="single" w:sz="4" w:space="0" w:color="auto"/>
              <w:left w:val="nil"/>
              <w:bottom w:val="single" w:sz="4" w:space="0" w:color="000000"/>
              <w:right w:val="nil"/>
            </w:tcBorders>
            <w:shd w:val="clear" w:color="auto" w:fill="E2EFD9" w:themeFill="accent6" w:themeFillTint="33"/>
            <w:vAlign w:val="center"/>
            <w:hideMark/>
          </w:tcPr>
          <w:p w14:paraId="44E5F6B7" w14:textId="77777777" w:rsidR="00FF7B42" w:rsidRPr="00FF7B42" w:rsidRDefault="00FF7B42" w:rsidP="00FF7B42">
            <w:pPr>
              <w:rPr>
                <w:color w:val="000000"/>
                <w:sz w:val="16"/>
                <w:szCs w:val="16"/>
              </w:rPr>
            </w:pPr>
            <w:r w:rsidRPr="00FF7B42">
              <w:rPr>
                <w:color w:val="000000"/>
                <w:sz w:val="16"/>
                <w:szCs w:val="16"/>
              </w:rPr>
              <w:t>Constraint</w:t>
            </w:r>
          </w:p>
        </w:tc>
        <w:tc>
          <w:tcPr>
            <w:tcW w:w="2097" w:type="dxa"/>
            <w:gridSpan w:val="2"/>
            <w:tcBorders>
              <w:top w:val="single" w:sz="4" w:space="0" w:color="auto"/>
              <w:left w:val="nil"/>
              <w:bottom w:val="single" w:sz="4" w:space="0" w:color="auto"/>
              <w:right w:val="nil"/>
            </w:tcBorders>
            <w:shd w:val="clear" w:color="auto" w:fill="E2EFD9" w:themeFill="accent6" w:themeFillTint="33"/>
            <w:noWrap/>
            <w:vAlign w:val="center"/>
            <w:hideMark/>
          </w:tcPr>
          <w:p w14:paraId="45369110" w14:textId="77777777" w:rsidR="00FF7B42" w:rsidRPr="00FF7B42" w:rsidRDefault="00FF7B42" w:rsidP="00FF7B42">
            <w:pPr>
              <w:jc w:val="center"/>
              <w:rPr>
                <w:color w:val="000000"/>
                <w:sz w:val="16"/>
                <w:szCs w:val="16"/>
              </w:rPr>
            </w:pPr>
            <w:r w:rsidRPr="00FF7B42">
              <w:rPr>
                <w:color w:val="000000"/>
                <w:sz w:val="16"/>
                <w:szCs w:val="16"/>
              </w:rPr>
              <w:t>Tanzania</w:t>
            </w:r>
          </w:p>
        </w:tc>
        <w:tc>
          <w:tcPr>
            <w:tcW w:w="2011" w:type="dxa"/>
            <w:gridSpan w:val="2"/>
            <w:tcBorders>
              <w:top w:val="single" w:sz="4" w:space="0" w:color="auto"/>
              <w:left w:val="single" w:sz="4" w:space="0" w:color="auto"/>
              <w:bottom w:val="single" w:sz="4" w:space="0" w:color="auto"/>
              <w:right w:val="nil"/>
            </w:tcBorders>
            <w:shd w:val="clear" w:color="auto" w:fill="E2EFD9" w:themeFill="accent6" w:themeFillTint="33"/>
            <w:noWrap/>
            <w:vAlign w:val="center"/>
            <w:hideMark/>
          </w:tcPr>
          <w:p w14:paraId="5967F0B2" w14:textId="77777777" w:rsidR="00FF7B42" w:rsidRPr="00FF7B42" w:rsidRDefault="00FF7B42" w:rsidP="00FF7B42">
            <w:pPr>
              <w:jc w:val="center"/>
              <w:rPr>
                <w:color w:val="000000"/>
                <w:sz w:val="16"/>
                <w:szCs w:val="16"/>
              </w:rPr>
            </w:pPr>
            <w:r w:rsidRPr="00FF7B42">
              <w:rPr>
                <w:color w:val="000000"/>
                <w:sz w:val="16"/>
                <w:szCs w:val="16"/>
              </w:rPr>
              <w:t>Mainland Tanzania</w:t>
            </w:r>
          </w:p>
        </w:tc>
        <w:tc>
          <w:tcPr>
            <w:tcW w:w="2000" w:type="dxa"/>
            <w:gridSpan w:val="2"/>
            <w:tcBorders>
              <w:top w:val="single" w:sz="4" w:space="0" w:color="auto"/>
              <w:left w:val="single" w:sz="4" w:space="0" w:color="auto"/>
              <w:bottom w:val="single" w:sz="4" w:space="0" w:color="auto"/>
              <w:right w:val="nil"/>
            </w:tcBorders>
            <w:shd w:val="clear" w:color="auto" w:fill="E2EFD9" w:themeFill="accent6" w:themeFillTint="33"/>
            <w:noWrap/>
            <w:vAlign w:val="center"/>
            <w:hideMark/>
          </w:tcPr>
          <w:p w14:paraId="0389CD5C" w14:textId="77777777" w:rsidR="00FF7B42" w:rsidRPr="00FF7B42" w:rsidRDefault="00FF7B42" w:rsidP="00FF7B42">
            <w:pPr>
              <w:jc w:val="center"/>
              <w:rPr>
                <w:color w:val="000000"/>
                <w:sz w:val="16"/>
                <w:szCs w:val="16"/>
              </w:rPr>
            </w:pPr>
            <w:r w:rsidRPr="00FF7B42">
              <w:rPr>
                <w:color w:val="000000"/>
                <w:sz w:val="16"/>
                <w:szCs w:val="16"/>
              </w:rPr>
              <w:t>Tanzania Zanzibar</w:t>
            </w:r>
          </w:p>
        </w:tc>
      </w:tr>
      <w:tr w:rsidR="00FF7B42" w:rsidRPr="00FF7B42" w14:paraId="5A2EF6F1" w14:textId="77777777" w:rsidTr="00355DF7">
        <w:trPr>
          <w:trHeight w:val="300"/>
        </w:trPr>
        <w:tc>
          <w:tcPr>
            <w:tcW w:w="3079" w:type="dxa"/>
            <w:vMerge/>
            <w:tcBorders>
              <w:top w:val="single" w:sz="4" w:space="0" w:color="auto"/>
              <w:left w:val="nil"/>
              <w:bottom w:val="single" w:sz="4" w:space="0" w:color="000000"/>
              <w:right w:val="nil"/>
            </w:tcBorders>
            <w:shd w:val="clear" w:color="auto" w:fill="E2EFD9" w:themeFill="accent6" w:themeFillTint="33"/>
            <w:vAlign w:val="center"/>
            <w:hideMark/>
          </w:tcPr>
          <w:p w14:paraId="59D53DCF" w14:textId="77777777" w:rsidR="00FF7B42" w:rsidRPr="00FF7B42" w:rsidRDefault="00FF7B42" w:rsidP="00FF7B42">
            <w:pPr>
              <w:rPr>
                <w:color w:val="000000"/>
                <w:sz w:val="16"/>
                <w:szCs w:val="16"/>
              </w:rPr>
            </w:pPr>
          </w:p>
        </w:tc>
        <w:tc>
          <w:tcPr>
            <w:tcW w:w="869" w:type="dxa"/>
            <w:tcBorders>
              <w:top w:val="nil"/>
              <w:left w:val="nil"/>
              <w:bottom w:val="single" w:sz="4" w:space="0" w:color="auto"/>
              <w:right w:val="nil"/>
            </w:tcBorders>
            <w:shd w:val="clear" w:color="auto" w:fill="E2EFD9" w:themeFill="accent6" w:themeFillTint="33"/>
            <w:noWrap/>
            <w:vAlign w:val="center"/>
            <w:hideMark/>
          </w:tcPr>
          <w:p w14:paraId="64B121F6" w14:textId="77777777" w:rsidR="00FF7B42" w:rsidRPr="00FF7B42" w:rsidRDefault="00FF7B42" w:rsidP="00FF7B42">
            <w:pPr>
              <w:jc w:val="center"/>
              <w:rPr>
                <w:color w:val="000000"/>
                <w:sz w:val="16"/>
                <w:szCs w:val="16"/>
              </w:rPr>
            </w:pPr>
            <w:r w:rsidRPr="00FF7B42">
              <w:rPr>
                <w:color w:val="000000"/>
                <w:sz w:val="16"/>
                <w:szCs w:val="16"/>
              </w:rPr>
              <w:t>Number</w:t>
            </w:r>
          </w:p>
        </w:tc>
        <w:tc>
          <w:tcPr>
            <w:tcW w:w="1228" w:type="dxa"/>
            <w:tcBorders>
              <w:top w:val="nil"/>
              <w:left w:val="nil"/>
              <w:bottom w:val="single" w:sz="4" w:space="0" w:color="auto"/>
              <w:right w:val="nil"/>
            </w:tcBorders>
            <w:shd w:val="clear" w:color="auto" w:fill="E2EFD9" w:themeFill="accent6" w:themeFillTint="33"/>
            <w:noWrap/>
            <w:vAlign w:val="center"/>
            <w:hideMark/>
          </w:tcPr>
          <w:p w14:paraId="7A70CC8E" w14:textId="477D6D01" w:rsidR="00FF7B42" w:rsidRPr="00FF7B42" w:rsidRDefault="00FF7B42" w:rsidP="00FF7B42">
            <w:pPr>
              <w:jc w:val="center"/>
              <w:rPr>
                <w:color w:val="000000"/>
                <w:sz w:val="16"/>
                <w:szCs w:val="16"/>
              </w:rPr>
            </w:pPr>
            <w:r w:rsidRPr="00FF7B42">
              <w:rPr>
                <w:color w:val="000000"/>
                <w:sz w:val="16"/>
                <w:szCs w:val="16"/>
              </w:rPr>
              <w:t>Percent</w:t>
            </w:r>
          </w:p>
        </w:tc>
        <w:tc>
          <w:tcPr>
            <w:tcW w:w="854" w:type="dxa"/>
            <w:tcBorders>
              <w:top w:val="nil"/>
              <w:left w:val="single" w:sz="4" w:space="0" w:color="auto"/>
              <w:bottom w:val="single" w:sz="4" w:space="0" w:color="auto"/>
              <w:right w:val="nil"/>
            </w:tcBorders>
            <w:shd w:val="clear" w:color="auto" w:fill="E2EFD9" w:themeFill="accent6" w:themeFillTint="33"/>
            <w:noWrap/>
            <w:vAlign w:val="center"/>
            <w:hideMark/>
          </w:tcPr>
          <w:p w14:paraId="54645CE5" w14:textId="6B8788A3" w:rsidR="00FF7B42" w:rsidRPr="00FF7B42" w:rsidRDefault="00FF7B42" w:rsidP="00FF7B42">
            <w:pPr>
              <w:jc w:val="center"/>
              <w:rPr>
                <w:color w:val="000000"/>
                <w:sz w:val="16"/>
                <w:szCs w:val="16"/>
              </w:rPr>
            </w:pPr>
            <w:r w:rsidRPr="00FF7B42">
              <w:rPr>
                <w:color w:val="000000"/>
                <w:sz w:val="16"/>
                <w:szCs w:val="16"/>
              </w:rPr>
              <w:t>Number</w:t>
            </w:r>
          </w:p>
        </w:tc>
        <w:tc>
          <w:tcPr>
            <w:tcW w:w="1156" w:type="dxa"/>
            <w:tcBorders>
              <w:top w:val="nil"/>
              <w:left w:val="nil"/>
              <w:bottom w:val="single" w:sz="4" w:space="0" w:color="auto"/>
              <w:right w:val="nil"/>
            </w:tcBorders>
            <w:shd w:val="clear" w:color="auto" w:fill="E2EFD9" w:themeFill="accent6" w:themeFillTint="33"/>
            <w:noWrap/>
            <w:vAlign w:val="center"/>
            <w:hideMark/>
          </w:tcPr>
          <w:p w14:paraId="294C9A07" w14:textId="784577C1" w:rsidR="00FF7B42" w:rsidRPr="00FF7B42" w:rsidRDefault="00FF7B42" w:rsidP="00FF7B42">
            <w:pPr>
              <w:jc w:val="center"/>
              <w:rPr>
                <w:color w:val="000000"/>
                <w:sz w:val="16"/>
                <w:szCs w:val="16"/>
              </w:rPr>
            </w:pPr>
            <w:r w:rsidRPr="00FF7B42">
              <w:rPr>
                <w:color w:val="000000"/>
                <w:sz w:val="16"/>
                <w:szCs w:val="16"/>
              </w:rPr>
              <w:t>Percent</w:t>
            </w:r>
          </w:p>
        </w:tc>
        <w:tc>
          <w:tcPr>
            <w:tcW w:w="740" w:type="dxa"/>
            <w:tcBorders>
              <w:top w:val="nil"/>
              <w:left w:val="single" w:sz="4" w:space="0" w:color="auto"/>
              <w:bottom w:val="single" w:sz="4" w:space="0" w:color="auto"/>
              <w:right w:val="nil"/>
            </w:tcBorders>
            <w:shd w:val="clear" w:color="auto" w:fill="E2EFD9" w:themeFill="accent6" w:themeFillTint="33"/>
            <w:noWrap/>
            <w:vAlign w:val="center"/>
            <w:hideMark/>
          </w:tcPr>
          <w:p w14:paraId="7ABDDA67" w14:textId="30CFD69F" w:rsidR="00FF7B42" w:rsidRPr="00FF7B42" w:rsidRDefault="00FF7B42" w:rsidP="00FF7B42">
            <w:pPr>
              <w:jc w:val="center"/>
              <w:rPr>
                <w:color w:val="000000"/>
                <w:sz w:val="16"/>
                <w:szCs w:val="16"/>
              </w:rPr>
            </w:pPr>
            <w:r w:rsidRPr="00FF7B42">
              <w:rPr>
                <w:color w:val="000000"/>
                <w:sz w:val="16"/>
                <w:szCs w:val="16"/>
              </w:rPr>
              <w:t>Number</w:t>
            </w:r>
          </w:p>
        </w:tc>
        <w:tc>
          <w:tcPr>
            <w:tcW w:w="1260" w:type="dxa"/>
            <w:tcBorders>
              <w:top w:val="nil"/>
              <w:left w:val="nil"/>
              <w:bottom w:val="single" w:sz="4" w:space="0" w:color="auto"/>
              <w:right w:val="nil"/>
            </w:tcBorders>
            <w:shd w:val="clear" w:color="auto" w:fill="E2EFD9" w:themeFill="accent6" w:themeFillTint="33"/>
            <w:noWrap/>
            <w:vAlign w:val="center"/>
            <w:hideMark/>
          </w:tcPr>
          <w:p w14:paraId="607095C8" w14:textId="56F2E8E2" w:rsidR="00FF7B42" w:rsidRPr="00FF7B42" w:rsidRDefault="00FF7B42" w:rsidP="00FF7B42">
            <w:pPr>
              <w:jc w:val="center"/>
              <w:rPr>
                <w:color w:val="000000"/>
                <w:sz w:val="16"/>
                <w:szCs w:val="16"/>
              </w:rPr>
            </w:pPr>
            <w:r w:rsidRPr="00FF7B42">
              <w:rPr>
                <w:color w:val="000000"/>
                <w:sz w:val="16"/>
                <w:szCs w:val="16"/>
              </w:rPr>
              <w:t>Percent</w:t>
            </w:r>
          </w:p>
        </w:tc>
      </w:tr>
      <w:tr w:rsidR="00FF7B42" w:rsidRPr="00FF7B42" w14:paraId="2BDD5A26" w14:textId="77777777" w:rsidTr="00355DF7">
        <w:trPr>
          <w:trHeight w:val="300"/>
        </w:trPr>
        <w:tc>
          <w:tcPr>
            <w:tcW w:w="3079" w:type="dxa"/>
            <w:tcBorders>
              <w:top w:val="nil"/>
              <w:left w:val="nil"/>
              <w:bottom w:val="nil"/>
              <w:right w:val="nil"/>
            </w:tcBorders>
            <w:shd w:val="clear" w:color="auto" w:fill="auto"/>
            <w:noWrap/>
            <w:vAlign w:val="center"/>
            <w:hideMark/>
          </w:tcPr>
          <w:p w14:paraId="56C45ADC" w14:textId="77777777" w:rsidR="00FF7B42" w:rsidRPr="00FF7B42" w:rsidRDefault="00FF7B42" w:rsidP="00FF7B42">
            <w:pPr>
              <w:rPr>
                <w:color w:val="000000"/>
                <w:sz w:val="16"/>
                <w:szCs w:val="16"/>
              </w:rPr>
            </w:pPr>
            <w:r w:rsidRPr="00FF7B42">
              <w:rPr>
                <w:color w:val="000000"/>
                <w:sz w:val="16"/>
                <w:szCs w:val="16"/>
              </w:rPr>
              <w:t>Access to land</w:t>
            </w:r>
          </w:p>
        </w:tc>
        <w:tc>
          <w:tcPr>
            <w:tcW w:w="869" w:type="dxa"/>
            <w:tcBorders>
              <w:top w:val="nil"/>
              <w:left w:val="nil"/>
              <w:bottom w:val="nil"/>
              <w:right w:val="nil"/>
            </w:tcBorders>
            <w:shd w:val="clear" w:color="auto" w:fill="auto"/>
            <w:noWrap/>
            <w:vAlign w:val="center"/>
            <w:hideMark/>
          </w:tcPr>
          <w:p w14:paraId="45DE858F" w14:textId="77777777" w:rsidR="00FF7B42" w:rsidRPr="00FF7B42" w:rsidRDefault="00FF7B42" w:rsidP="00355DF7">
            <w:pPr>
              <w:jc w:val="right"/>
              <w:rPr>
                <w:color w:val="000000"/>
                <w:sz w:val="16"/>
                <w:szCs w:val="16"/>
              </w:rPr>
            </w:pPr>
            <w:r w:rsidRPr="00FF7B42">
              <w:rPr>
                <w:color w:val="000000"/>
                <w:sz w:val="16"/>
                <w:szCs w:val="16"/>
              </w:rPr>
              <w:t>998,362</w:t>
            </w:r>
          </w:p>
        </w:tc>
        <w:tc>
          <w:tcPr>
            <w:tcW w:w="1228" w:type="dxa"/>
            <w:tcBorders>
              <w:top w:val="nil"/>
              <w:left w:val="nil"/>
              <w:bottom w:val="nil"/>
              <w:right w:val="nil"/>
            </w:tcBorders>
            <w:shd w:val="clear" w:color="auto" w:fill="auto"/>
            <w:noWrap/>
            <w:vAlign w:val="center"/>
            <w:hideMark/>
          </w:tcPr>
          <w:p w14:paraId="04B69E69" w14:textId="15DC865A" w:rsidR="00FF7B42" w:rsidRPr="00FF7B42" w:rsidRDefault="00FF7B42" w:rsidP="00355DF7">
            <w:pPr>
              <w:jc w:val="right"/>
              <w:rPr>
                <w:color w:val="000000"/>
                <w:sz w:val="16"/>
                <w:szCs w:val="16"/>
              </w:rPr>
            </w:pPr>
            <w:r w:rsidRPr="00FF7B42">
              <w:rPr>
                <w:color w:val="000000"/>
                <w:sz w:val="16"/>
                <w:szCs w:val="16"/>
              </w:rPr>
              <w:t>13.5</w:t>
            </w:r>
          </w:p>
        </w:tc>
        <w:tc>
          <w:tcPr>
            <w:tcW w:w="854" w:type="dxa"/>
            <w:tcBorders>
              <w:top w:val="nil"/>
              <w:left w:val="single" w:sz="4" w:space="0" w:color="auto"/>
              <w:bottom w:val="nil"/>
              <w:right w:val="nil"/>
            </w:tcBorders>
            <w:shd w:val="clear" w:color="auto" w:fill="auto"/>
            <w:noWrap/>
            <w:vAlign w:val="center"/>
            <w:hideMark/>
          </w:tcPr>
          <w:p w14:paraId="6CE7E55A" w14:textId="77777777" w:rsidR="00FF7B42" w:rsidRPr="00FF7B42" w:rsidRDefault="00FF7B42" w:rsidP="00355DF7">
            <w:pPr>
              <w:jc w:val="right"/>
              <w:rPr>
                <w:color w:val="000000"/>
                <w:sz w:val="16"/>
                <w:szCs w:val="16"/>
              </w:rPr>
            </w:pPr>
            <w:r w:rsidRPr="00FF7B42">
              <w:rPr>
                <w:color w:val="000000"/>
                <w:sz w:val="16"/>
                <w:szCs w:val="16"/>
              </w:rPr>
              <w:t>978,589</w:t>
            </w:r>
          </w:p>
        </w:tc>
        <w:tc>
          <w:tcPr>
            <w:tcW w:w="1156" w:type="dxa"/>
            <w:tcBorders>
              <w:top w:val="nil"/>
              <w:left w:val="nil"/>
              <w:bottom w:val="nil"/>
              <w:right w:val="nil"/>
            </w:tcBorders>
            <w:shd w:val="clear" w:color="auto" w:fill="auto"/>
            <w:noWrap/>
            <w:vAlign w:val="center"/>
            <w:hideMark/>
          </w:tcPr>
          <w:p w14:paraId="1756AB47" w14:textId="493D35FE" w:rsidR="00FF7B42" w:rsidRPr="00FF7B42" w:rsidRDefault="00FF7B42" w:rsidP="00355DF7">
            <w:pPr>
              <w:jc w:val="right"/>
              <w:rPr>
                <w:color w:val="000000"/>
                <w:sz w:val="16"/>
                <w:szCs w:val="16"/>
              </w:rPr>
            </w:pPr>
            <w:r w:rsidRPr="00FF7B42">
              <w:rPr>
                <w:color w:val="000000"/>
                <w:sz w:val="16"/>
                <w:szCs w:val="16"/>
              </w:rPr>
              <w:t>13.6</w:t>
            </w:r>
          </w:p>
        </w:tc>
        <w:tc>
          <w:tcPr>
            <w:tcW w:w="740" w:type="dxa"/>
            <w:tcBorders>
              <w:top w:val="nil"/>
              <w:left w:val="single" w:sz="4" w:space="0" w:color="auto"/>
              <w:bottom w:val="nil"/>
              <w:right w:val="nil"/>
            </w:tcBorders>
            <w:shd w:val="clear" w:color="auto" w:fill="auto"/>
            <w:noWrap/>
            <w:vAlign w:val="center"/>
            <w:hideMark/>
          </w:tcPr>
          <w:p w14:paraId="72F586C0" w14:textId="77777777" w:rsidR="00FF7B42" w:rsidRPr="00FF7B42" w:rsidRDefault="00FF7B42" w:rsidP="00355DF7">
            <w:pPr>
              <w:jc w:val="right"/>
              <w:rPr>
                <w:color w:val="000000"/>
                <w:sz w:val="16"/>
                <w:szCs w:val="16"/>
              </w:rPr>
            </w:pPr>
            <w:r w:rsidRPr="00FF7B42">
              <w:rPr>
                <w:color w:val="000000"/>
                <w:sz w:val="16"/>
                <w:szCs w:val="16"/>
              </w:rPr>
              <w:t>19,773</w:t>
            </w:r>
          </w:p>
        </w:tc>
        <w:tc>
          <w:tcPr>
            <w:tcW w:w="1260" w:type="dxa"/>
            <w:tcBorders>
              <w:top w:val="nil"/>
              <w:left w:val="nil"/>
              <w:bottom w:val="nil"/>
              <w:right w:val="nil"/>
            </w:tcBorders>
            <w:shd w:val="clear" w:color="auto" w:fill="auto"/>
            <w:noWrap/>
            <w:vAlign w:val="center"/>
            <w:hideMark/>
          </w:tcPr>
          <w:p w14:paraId="503F6A49" w14:textId="48EE9886" w:rsidR="00FF7B42" w:rsidRPr="00FF7B42" w:rsidRDefault="00FF7B42" w:rsidP="00355DF7">
            <w:pPr>
              <w:jc w:val="right"/>
              <w:rPr>
                <w:color w:val="000000"/>
                <w:sz w:val="16"/>
                <w:szCs w:val="16"/>
              </w:rPr>
            </w:pPr>
            <w:r w:rsidRPr="00FF7B42">
              <w:rPr>
                <w:color w:val="000000"/>
                <w:sz w:val="16"/>
                <w:szCs w:val="16"/>
              </w:rPr>
              <w:t>12.0</w:t>
            </w:r>
          </w:p>
        </w:tc>
      </w:tr>
      <w:tr w:rsidR="00FF7B42" w:rsidRPr="00FF7B42" w14:paraId="6F669515" w14:textId="77777777" w:rsidTr="00355DF7">
        <w:trPr>
          <w:trHeight w:val="300"/>
        </w:trPr>
        <w:tc>
          <w:tcPr>
            <w:tcW w:w="3079" w:type="dxa"/>
            <w:tcBorders>
              <w:top w:val="nil"/>
              <w:left w:val="nil"/>
              <w:bottom w:val="nil"/>
              <w:right w:val="nil"/>
            </w:tcBorders>
            <w:shd w:val="clear" w:color="auto" w:fill="auto"/>
            <w:noWrap/>
            <w:vAlign w:val="center"/>
            <w:hideMark/>
          </w:tcPr>
          <w:p w14:paraId="65D81F4C" w14:textId="77777777" w:rsidR="00FF7B42" w:rsidRPr="00FF7B42" w:rsidRDefault="00FF7B42" w:rsidP="00FF7B42">
            <w:pPr>
              <w:rPr>
                <w:color w:val="000000"/>
                <w:sz w:val="16"/>
                <w:szCs w:val="16"/>
              </w:rPr>
            </w:pPr>
            <w:r w:rsidRPr="00FF7B42">
              <w:rPr>
                <w:color w:val="000000"/>
                <w:sz w:val="16"/>
                <w:szCs w:val="16"/>
              </w:rPr>
              <w:t xml:space="preserve">Land Ownership </w:t>
            </w:r>
          </w:p>
        </w:tc>
        <w:tc>
          <w:tcPr>
            <w:tcW w:w="869" w:type="dxa"/>
            <w:tcBorders>
              <w:top w:val="nil"/>
              <w:left w:val="nil"/>
              <w:bottom w:val="nil"/>
              <w:right w:val="nil"/>
            </w:tcBorders>
            <w:shd w:val="clear" w:color="auto" w:fill="auto"/>
            <w:noWrap/>
            <w:vAlign w:val="center"/>
            <w:hideMark/>
          </w:tcPr>
          <w:p w14:paraId="2F3588FE" w14:textId="77777777" w:rsidR="00FF7B42" w:rsidRPr="00FF7B42" w:rsidRDefault="00FF7B42" w:rsidP="00355DF7">
            <w:pPr>
              <w:jc w:val="right"/>
              <w:rPr>
                <w:color w:val="000000"/>
                <w:sz w:val="16"/>
                <w:szCs w:val="16"/>
              </w:rPr>
            </w:pPr>
            <w:r w:rsidRPr="00FF7B42">
              <w:rPr>
                <w:color w:val="000000"/>
                <w:sz w:val="16"/>
                <w:szCs w:val="16"/>
              </w:rPr>
              <w:t>308,369</w:t>
            </w:r>
          </w:p>
        </w:tc>
        <w:tc>
          <w:tcPr>
            <w:tcW w:w="1228" w:type="dxa"/>
            <w:tcBorders>
              <w:top w:val="nil"/>
              <w:left w:val="nil"/>
              <w:bottom w:val="nil"/>
              <w:right w:val="nil"/>
            </w:tcBorders>
            <w:shd w:val="clear" w:color="auto" w:fill="auto"/>
            <w:noWrap/>
            <w:vAlign w:val="center"/>
            <w:hideMark/>
          </w:tcPr>
          <w:p w14:paraId="33D53EB5" w14:textId="2BB92553" w:rsidR="00FF7B42" w:rsidRPr="00FF7B42" w:rsidRDefault="00FF7B42" w:rsidP="00355DF7">
            <w:pPr>
              <w:jc w:val="right"/>
              <w:rPr>
                <w:color w:val="000000"/>
                <w:sz w:val="16"/>
                <w:szCs w:val="16"/>
              </w:rPr>
            </w:pPr>
            <w:r w:rsidRPr="00FF7B42">
              <w:rPr>
                <w:color w:val="000000"/>
                <w:sz w:val="16"/>
                <w:szCs w:val="16"/>
              </w:rPr>
              <w:t>4.2</w:t>
            </w:r>
          </w:p>
        </w:tc>
        <w:tc>
          <w:tcPr>
            <w:tcW w:w="854" w:type="dxa"/>
            <w:tcBorders>
              <w:top w:val="nil"/>
              <w:left w:val="single" w:sz="4" w:space="0" w:color="auto"/>
              <w:bottom w:val="nil"/>
              <w:right w:val="nil"/>
            </w:tcBorders>
            <w:shd w:val="clear" w:color="auto" w:fill="auto"/>
            <w:noWrap/>
            <w:vAlign w:val="center"/>
            <w:hideMark/>
          </w:tcPr>
          <w:p w14:paraId="16D375B5" w14:textId="77777777" w:rsidR="00FF7B42" w:rsidRPr="00FF7B42" w:rsidRDefault="00FF7B42" w:rsidP="00355DF7">
            <w:pPr>
              <w:jc w:val="right"/>
              <w:rPr>
                <w:color w:val="000000"/>
                <w:sz w:val="16"/>
                <w:szCs w:val="16"/>
              </w:rPr>
            </w:pPr>
            <w:r w:rsidRPr="00FF7B42">
              <w:rPr>
                <w:color w:val="000000"/>
                <w:sz w:val="16"/>
                <w:szCs w:val="16"/>
              </w:rPr>
              <w:t>300,361</w:t>
            </w:r>
          </w:p>
        </w:tc>
        <w:tc>
          <w:tcPr>
            <w:tcW w:w="1156" w:type="dxa"/>
            <w:tcBorders>
              <w:top w:val="nil"/>
              <w:left w:val="nil"/>
              <w:bottom w:val="nil"/>
              <w:right w:val="nil"/>
            </w:tcBorders>
            <w:shd w:val="clear" w:color="auto" w:fill="auto"/>
            <w:noWrap/>
            <w:vAlign w:val="center"/>
            <w:hideMark/>
          </w:tcPr>
          <w:p w14:paraId="49574CF6" w14:textId="52B3E1C8" w:rsidR="00FF7B42" w:rsidRPr="00FF7B42" w:rsidRDefault="00FF7B42" w:rsidP="00355DF7">
            <w:pPr>
              <w:jc w:val="right"/>
              <w:rPr>
                <w:color w:val="000000"/>
                <w:sz w:val="16"/>
                <w:szCs w:val="16"/>
              </w:rPr>
            </w:pPr>
            <w:r w:rsidRPr="00FF7B42">
              <w:rPr>
                <w:color w:val="000000"/>
                <w:sz w:val="16"/>
                <w:szCs w:val="16"/>
              </w:rPr>
              <w:t>4.2</w:t>
            </w:r>
          </w:p>
        </w:tc>
        <w:tc>
          <w:tcPr>
            <w:tcW w:w="740" w:type="dxa"/>
            <w:tcBorders>
              <w:top w:val="nil"/>
              <w:left w:val="single" w:sz="4" w:space="0" w:color="auto"/>
              <w:bottom w:val="nil"/>
              <w:right w:val="nil"/>
            </w:tcBorders>
            <w:shd w:val="clear" w:color="auto" w:fill="auto"/>
            <w:noWrap/>
            <w:vAlign w:val="center"/>
            <w:hideMark/>
          </w:tcPr>
          <w:p w14:paraId="353059A7" w14:textId="77777777" w:rsidR="00FF7B42" w:rsidRPr="00FF7B42" w:rsidRDefault="00FF7B42" w:rsidP="00355DF7">
            <w:pPr>
              <w:jc w:val="right"/>
              <w:rPr>
                <w:color w:val="000000"/>
                <w:sz w:val="16"/>
                <w:szCs w:val="16"/>
              </w:rPr>
            </w:pPr>
            <w:r w:rsidRPr="00FF7B42">
              <w:rPr>
                <w:color w:val="000000"/>
                <w:sz w:val="16"/>
                <w:szCs w:val="16"/>
              </w:rPr>
              <w:t>8,008</w:t>
            </w:r>
          </w:p>
        </w:tc>
        <w:tc>
          <w:tcPr>
            <w:tcW w:w="1260" w:type="dxa"/>
            <w:tcBorders>
              <w:top w:val="nil"/>
              <w:left w:val="nil"/>
              <w:bottom w:val="nil"/>
              <w:right w:val="nil"/>
            </w:tcBorders>
            <w:shd w:val="clear" w:color="auto" w:fill="auto"/>
            <w:noWrap/>
            <w:vAlign w:val="center"/>
            <w:hideMark/>
          </w:tcPr>
          <w:p w14:paraId="1AEC1ECE" w14:textId="72FBACBC" w:rsidR="00FF7B42" w:rsidRPr="00FF7B42" w:rsidRDefault="00FF7B42" w:rsidP="00355DF7">
            <w:pPr>
              <w:jc w:val="right"/>
              <w:rPr>
                <w:color w:val="000000"/>
                <w:sz w:val="16"/>
                <w:szCs w:val="16"/>
              </w:rPr>
            </w:pPr>
            <w:r w:rsidRPr="00FF7B42">
              <w:rPr>
                <w:color w:val="000000"/>
                <w:sz w:val="16"/>
                <w:szCs w:val="16"/>
              </w:rPr>
              <w:t>4.9</w:t>
            </w:r>
          </w:p>
        </w:tc>
      </w:tr>
      <w:tr w:rsidR="00FF7B42" w:rsidRPr="00FF7B42" w14:paraId="7B9E719D" w14:textId="77777777" w:rsidTr="00355DF7">
        <w:trPr>
          <w:trHeight w:val="300"/>
        </w:trPr>
        <w:tc>
          <w:tcPr>
            <w:tcW w:w="3079" w:type="dxa"/>
            <w:tcBorders>
              <w:top w:val="nil"/>
              <w:left w:val="nil"/>
              <w:bottom w:val="nil"/>
              <w:right w:val="nil"/>
            </w:tcBorders>
            <w:shd w:val="clear" w:color="auto" w:fill="auto"/>
            <w:noWrap/>
            <w:vAlign w:val="center"/>
            <w:hideMark/>
          </w:tcPr>
          <w:p w14:paraId="4D723513" w14:textId="77777777" w:rsidR="00FF7B42" w:rsidRPr="00FF7B42" w:rsidRDefault="00FF7B42" w:rsidP="00FF7B42">
            <w:pPr>
              <w:rPr>
                <w:color w:val="000000"/>
                <w:sz w:val="16"/>
                <w:szCs w:val="16"/>
              </w:rPr>
            </w:pPr>
            <w:r w:rsidRPr="00FF7B42">
              <w:rPr>
                <w:color w:val="000000"/>
                <w:sz w:val="16"/>
                <w:szCs w:val="16"/>
              </w:rPr>
              <w:t>Soil fertility</w:t>
            </w:r>
          </w:p>
        </w:tc>
        <w:tc>
          <w:tcPr>
            <w:tcW w:w="869" w:type="dxa"/>
            <w:tcBorders>
              <w:top w:val="nil"/>
              <w:left w:val="nil"/>
              <w:bottom w:val="nil"/>
              <w:right w:val="nil"/>
            </w:tcBorders>
            <w:shd w:val="clear" w:color="auto" w:fill="auto"/>
            <w:noWrap/>
            <w:vAlign w:val="center"/>
            <w:hideMark/>
          </w:tcPr>
          <w:p w14:paraId="316AE9DA" w14:textId="77777777" w:rsidR="00FF7B42" w:rsidRPr="00FF7B42" w:rsidRDefault="00FF7B42" w:rsidP="00355DF7">
            <w:pPr>
              <w:jc w:val="right"/>
              <w:rPr>
                <w:color w:val="000000"/>
                <w:sz w:val="16"/>
                <w:szCs w:val="16"/>
              </w:rPr>
            </w:pPr>
            <w:r w:rsidRPr="00FF7B42">
              <w:rPr>
                <w:color w:val="000000"/>
                <w:sz w:val="16"/>
                <w:szCs w:val="16"/>
              </w:rPr>
              <w:t>393,573</w:t>
            </w:r>
          </w:p>
        </w:tc>
        <w:tc>
          <w:tcPr>
            <w:tcW w:w="1228" w:type="dxa"/>
            <w:tcBorders>
              <w:top w:val="nil"/>
              <w:left w:val="nil"/>
              <w:bottom w:val="nil"/>
              <w:right w:val="nil"/>
            </w:tcBorders>
            <w:shd w:val="clear" w:color="auto" w:fill="auto"/>
            <w:noWrap/>
            <w:vAlign w:val="center"/>
            <w:hideMark/>
          </w:tcPr>
          <w:p w14:paraId="6D9A22C4" w14:textId="7B72F370" w:rsidR="00FF7B42" w:rsidRPr="00FF7B42" w:rsidRDefault="00FF7B42" w:rsidP="00355DF7">
            <w:pPr>
              <w:jc w:val="right"/>
              <w:rPr>
                <w:color w:val="000000"/>
                <w:sz w:val="16"/>
                <w:szCs w:val="16"/>
              </w:rPr>
            </w:pPr>
            <w:r w:rsidRPr="00FF7B42">
              <w:rPr>
                <w:color w:val="000000"/>
                <w:sz w:val="16"/>
                <w:szCs w:val="16"/>
              </w:rPr>
              <w:t>5.3</w:t>
            </w:r>
          </w:p>
        </w:tc>
        <w:tc>
          <w:tcPr>
            <w:tcW w:w="854" w:type="dxa"/>
            <w:tcBorders>
              <w:top w:val="nil"/>
              <w:left w:val="single" w:sz="4" w:space="0" w:color="auto"/>
              <w:bottom w:val="nil"/>
              <w:right w:val="nil"/>
            </w:tcBorders>
            <w:shd w:val="clear" w:color="auto" w:fill="auto"/>
            <w:noWrap/>
            <w:vAlign w:val="center"/>
            <w:hideMark/>
          </w:tcPr>
          <w:p w14:paraId="4D34997C" w14:textId="77777777" w:rsidR="00FF7B42" w:rsidRPr="00FF7B42" w:rsidRDefault="00FF7B42" w:rsidP="00355DF7">
            <w:pPr>
              <w:jc w:val="right"/>
              <w:rPr>
                <w:color w:val="000000"/>
                <w:sz w:val="16"/>
                <w:szCs w:val="16"/>
              </w:rPr>
            </w:pPr>
            <w:r w:rsidRPr="00FF7B42">
              <w:rPr>
                <w:color w:val="000000"/>
                <w:sz w:val="16"/>
                <w:szCs w:val="16"/>
              </w:rPr>
              <w:t>385,477</w:t>
            </w:r>
          </w:p>
        </w:tc>
        <w:tc>
          <w:tcPr>
            <w:tcW w:w="1156" w:type="dxa"/>
            <w:tcBorders>
              <w:top w:val="nil"/>
              <w:left w:val="nil"/>
              <w:bottom w:val="nil"/>
              <w:right w:val="nil"/>
            </w:tcBorders>
            <w:shd w:val="clear" w:color="auto" w:fill="auto"/>
            <w:noWrap/>
            <w:vAlign w:val="center"/>
            <w:hideMark/>
          </w:tcPr>
          <w:p w14:paraId="75F1139E" w14:textId="78A04C44" w:rsidR="00FF7B42" w:rsidRPr="00FF7B42" w:rsidRDefault="00FF7B42" w:rsidP="00355DF7">
            <w:pPr>
              <w:jc w:val="right"/>
              <w:rPr>
                <w:color w:val="000000"/>
                <w:sz w:val="16"/>
                <w:szCs w:val="16"/>
              </w:rPr>
            </w:pPr>
            <w:r w:rsidRPr="00FF7B42">
              <w:rPr>
                <w:color w:val="000000"/>
                <w:sz w:val="16"/>
                <w:szCs w:val="16"/>
              </w:rPr>
              <w:t>5.3</w:t>
            </w:r>
          </w:p>
        </w:tc>
        <w:tc>
          <w:tcPr>
            <w:tcW w:w="740" w:type="dxa"/>
            <w:tcBorders>
              <w:top w:val="nil"/>
              <w:left w:val="single" w:sz="4" w:space="0" w:color="auto"/>
              <w:bottom w:val="nil"/>
              <w:right w:val="nil"/>
            </w:tcBorders>
            <w:shd w:val="clear" w:color="auto" w:fill="auto"/>
            <w:noWrap/>
            <w:vAlign w:val="center"/>
            <w:hideMark/>
          </w:tcPr>
          <w:p w14:paraId="3C8A91FB" w14:textId="77777777" w:rsidR="00FF7B42" w:rsidRPr="00FF7B42" w:rsidRDefault="00FF7B42" w:rsidP="00355DF7">
            <w:pPr>
              <w:jc w:val="right"/>
              <w:rPr>
                <w:color w:val="000000"/>
                <w:sz w:val="16"/>
                <w:szCs w:val="16"/>
              </w:rPr>
            </w:pPr>
            <w:r w:rsidRPr="00FF7B42">
              <w:rPr>
                <w:color w:val="000000"/>
                <w:sz w:val="16"/>
                <w:szCs w:val="16"/>
              </w:rPr>
              <w:t>8,096</w:t>
            </w:r>
          </w:p>
        </w:tc>
        <w:tc>
          <w:tcPr>
            <w:tcW w:w="1260" w:type="dxa"/>
            <w:tcBorders>
              <w:top w:val="nil"/>
              <w:left w:val="nil"/>
              <w:bottom w:val="nil"/>
              <w:right w:val="nil"/>
            </w:tcBorders>
            <w:shd w:val="clear" w:color="auto" w:fill="auto"/>
            <w:noWrap/>
            <w:vAlign w:val="center"/>
            <w:hideMark/>
          </w:tcPr>
          <w:p w14:paraId="2B0F0E25" w14:textId="21B18046" w:rsidR="00FF7B42" w:rsidRPr="00FF7B42" w:rsidRDefault="00FF7B42" w:rsidP="00355DF7">
            <w:pPr>
              <w:jc w:val="right"/>
              <w:rPr>
                <w:color w:val="000000"/>
                <w:sz w:val="16"/>
                <w:szCs w:val="16"/>
              </w:rPr>
            </w:pPr>
            <w:r w:rsidRPr="00FF7B42">
              <w:rPr>
                <w:color w:val="000000"/>
                <w:sz w:val="16"/>
                <w:szCs w:val="16"/>
              </w:rPr>
              <w:t>4.9</w:t>
            </w:r>
          </w:p>
        </w:tc>
      </w:tr>
      <w:tr w:rsidR="00FF7B42" w:rsidRPr="00FF7B42" w14:paraId="2D0800F1" w14:textId="77777777" w:rsidTr="00355DF7">
        <w:trPr>
          <w:trHeight w:val="300"/>
        </w:trPr>
        <w:tc>
          <w:tcPr>
            <w:tcW w:w="3079" w:type="dxa"/>
            <w:tcBorders>
              <w:top w:val="nil"/>
              <w:left w:val="nil"/>
              <w:bottom w:val="nil"/>
              <w:right w:val="nil"/>
            </w:tcBorders>
            <w:shd w:val="clear" w:color="auto" w:fill="auto"/>
            <w:noWrap/>
            <w:vAlign w:val="center"/>
            <w:hideMark/>
          </w:tcPr>
          <w:p w14:paraId="08797B84" w14:textId="77777777" w:rsidR="00FF7B42" w:rsidRPr="00FF7B42" w:rsidRDefault="00FF7B42" w:rsidP="00FF7B42">
            <w:pPr>
              <w:rPr>
                <w:color w:val="000000"/>
                <w:sz w:val="16"/>
                <w:szCs w:val="16"/>
              </w:rPr>
            </w:pPr>
            <w:r w:rsidRPr="00FF7B42">
              <w:rPr>
                <w:color w:val="000000"/>
                <w:sz w:val="16"/>
                <w:szCs w:val="16"/>
              </w:rPr>
              <w:t>Availability of quality seeds</w:t>
            </w:r>
          </w:p>
        </w:tc>
        <w:tc>
          <w:tcPr>
            <w:tcW w:w="869" w:type="dxa"/>
            <w:tcBorders>
              <w:top w:val="nil"/>
              <w:left w:val="nil"/>
              <w:bottom w:val="nil"/>
              <w:right w:val="nil"/>
            </w:tcBorders>
            <w:shd w:val="clear" w:color="auto" w:fill="auto"/>
            <w:noWrap/>
            <w:vAlign w:val="center"/>
            <w:hideMark/>
          </w:tcPr>
          <w:p w14:paraId="37842496" w14:textId="77777777" w:rsidR="00FF7B42" w:rsidRPr="00FF7B42" w:rsidRDefault="00FF7B42" w:rsidP="00355DF7">
            <w:pPr>
              <w:jc w:val="right"/>
              <w:rPr>
                <w:color w:val="000000"/>
                <w:sz w:val="16"/>
                <w:szCs w:val="16"/>
              </w:rPr>
            </w:pPr>
            <w:r w:rsidRPr="00FF7B42">
              <w:rPr>
                <w:color w:val="000000"/>
                <w:sz w:val="16"/>
                <w:szCs w:val="16"/>
              </w:rPr>
              <w:t>286,893</w:t>
            </w:r>
          </w:p>
        </w:tc>
        <w:tc>
          <w:tcPr>
            <w:tcW w:w="1228" w:type="dxa"/>
            <w:tcBorders>
              <w:top w:val="nil"/>
              <w:left w:val="nil"/>
              <w:bottom w:val="nil"/>
              <w:right w:val="nil"/>
            </w:tcBorders>
            <w:shd w:val="clear" w:color="auto" w:fill="auto"/>
            <w:noWrap/>
            <w:vAlign w:val="center"/>
            <w:hideMark/>
          </w:tcPr>
          <w:p w14:paraId="637C59B8" w14:textId="67A17786" w:rsidR="00FF7B42" w:rsidRPr="00FF7B42" w:rsidRDefault="00FF7B42" w:rsidP="00355DF7">
            <w:pPr>
              <w:jc w:val="right"/>
              <w:rPr>
                <w:color w:val="000000"/>
                <w:sz w:val="16"/>
                <w:szCs w:val="16"/>
              </w:rPr>
            </w:pPr>
            <w:r w:rsidRPr="00FF7B42">
              <w:rPr>
                <w:color w:val="000000"/>
                <w:sz w:val="16"/>
                <w:szCs w:val="16"/>
              </w:rPr>
              <w:t>3.9</w:t>
            </w:r>
          </w:p>
        </w:tc>
        <w:tc>
          <w:tcPr>
            <w:tcW w:w="854" w:type="dxa"/>
            <w:tcBorders>
              <w:top w:val="nil"/>
              <w:left w:val="single" w:sz="4" w:space="0" w:color="auto"/>
              <w:bottom w:val="nil"/>
              <w:right w:val="nil"/>
            </w:tcBorders>
            <w:shd w:val="clear" w:color="auto" w:fill="auto"/>
            <w:noWrap/>
            <w:vAlign w:val="center"/>
            <w:hideMark/>
          </w:tcPr>
          <w:p w14:paraId="348ACFC5" w14:textId="77777777" w:rsidR="00FF7B42" w:rsidRPr="00FF7B42" w:rsidRDefault="00FF7B42" w:rsidP="00355DF7">
            <w:pPr>
              <w:jc w:val="right"/>
              <w:rPr>
                <w:color w:val="000000"/>
                <w:sz w:val="16"/>
                <w:szCs w:val="16"/>
              </w:rPr>
            </w:pPr>
            <w:r w:rsidRPr="00FF7B42">
              <w:rPr>
                <w:color w:val="000000"/>
                <w:sz w:val="16"/>
                <w:szCs w:val="16"/>
              </w:rPr>
              <w:t>283,238</w:t>
            </w:r>
          </w:p>
        </w:tc>
        <w:tc>
          <w:tcPr>
            <w:tcW w:w="1156" w:type="dxa"/>
            <w:tcBorders>
              <w:top w:val="nil"/>
              <w:left w:val="nil"/>
              <w:bottom w:val="nil"/>
              <w:right w:val="nil"/>
            </w:tcBorders>
            <w:shd w:val="clear" w:color="auto" w:fill="auto"/>
            <w:noWrap/>
            <w:vAlign w:val="center"/>
            <w:hideMark/>
          </w:tcPr>
          <w:p w14:paraId="4C518FEF" w14:textId="377C68ED" w:rsidR="00FF7B42" w:rsidRPr="00FF7B42" w:rsidRDefault="00FF7B42" w:rsidP="00355DF7">
            <w:pPr>
              <w:jc w:val="right"/>
              <w:rPr>
                <w:color w:val="000000"/>
                <w:sz w:val="16"/>
                <w:szCs w:val="16"/>
              </w:rPr>
            </w:pPr>
            <w:r w:rsidRPr="00FF7B42">
              <w:rPr>
                <w:color w:val="000000"/>
                <w:sz w:val="16"/>
                <w:szCs w:val="16"/>
              </w:rPr>
              <w:t>3.9</w:t>
            </w:r>
          </w:p>
        </w:tc>
        <w:tc>
          <w:tcPr>
            <w:tcW w:w="740" w:type="dxa"/>
            <w:tcBorders>
              <w:top w:val="nil"/>
              <w:left w:val="single" w:sz="4" w:space="0" w:color="auto"/>
              <w:bottom w:val="nil"/>
              <w:right w:val="nil"/>
            </w:tcBorders>
            <w:shd w:val="clear" w:color="auto" w:fill="auto"/>
            <w:noWrap/>
            <w:vAlign w:val="center"/>
            <w:hideMark/>
          </w:tcPr>
          <w:p w14:paraId="700B95B8" w14:textId="77777777" w:rsidR="00FF7B42" w:rsidRPr="00FF7B42" w:rsidRDefault="00FF7B42" w:rsidP="00355DF7">
            <w:pPr>
              <w:jc w:val="right"/>
              <w:rPr>
                <w:color w:val="000000"/>
                <w:sz w:val="16"/>
                <w:szCs w:val="16"/>
              </w:rPr>
            </w:pPr>
            <w:r w:rsidRPr="00FF7B42">
              <w:rPr>
                <w:color w:val="000000"/>
                <w:sz w:val="16"/>
                <w:szCs w:val="16"/>
              </w:rPr>
              <w:t>3,655</w:t>
            </w:r>
          </w:p>
        </w:tc>
        <w:tc>
          <w:tcPr>
            <w:tcW w:w="1260" w:type="dxa"/>
            <w:tcBorders>
              <w:top w:val="nil"/>
              <w:left w:val="nil"/>
              <w:bottom w:val="nil"/>
              <w:right w:val="nil"/>
            </w:tcBorders>
            <w:shd w:val="clear" w:color="auto" w:fill="auto"/>
            <w:noWrap/>
            <w:vAlign w:val="center"/>
            <w:hideMark/>
          </w:tcPr>
          <w:p w14:paraId="077BA224" w14:textId="292BEF33" w:rsidR="00FF7B42" w:rsidRPr="00FF7B42" w:rsidRDefault="00FF7B42" w:rsidP="00355DF7">
            <w:pPr>
              <w:jc w:val="right"/>
              <w:rPr>
                <w:color w:val="000000"/>
                <w:sz w:val="16"/>
                <w:szCs w:val="16"/>
              </w:rPr>
            </w:pPr>
            <w:r w:rsidRPr="00FF7B42">
              <w:rPr>
                <w:color w:val="000000"/>
                <w:sz w:val="16"/>
                <w:szCs w:val="16"/>
              </w:rPr>
              <w:t>2.2</w:t>
            </w:r>
          </w:p>
        </w:tc>
      </w:tr>
      <w:tr w:rsidR="00FF7B42" w:rsidRPr="00FF7B42" w14:paraId="2287110E" w14:textId="77777777" w:rsidTr="00355DF7">
        <w:trPr>
          <w:trHeight w:val="300"/>
        </w:trPr>
        <w:tc>
          <w:tcPr>
            <w:tcW w:w="3079" w:type="dxa"/>
            <w:tcBorders>
              <w:top w:val="nil"/>
              <w:left w:val="nil"/>
              <w:bottom w:val="nil"/>
              <w:right w:val="nil"/>
            </w:tcBorders>
            <w:shd w:val="clear" w:color="auto" w:fill="auto"/>
            <w:noWrap/>
            <w:vAlign w:val="center"/>
            <w:hideMark/>
          </w:tcPr>
          <w:p w14:paraId="2718EA6E" w14:textId="77777777" w:rsidR="00FF7B42" w:rsidRPr="00FF7B42" w:rsidRDefault="00FF7B42" w:rsidP="00FF7B42">
            <w:pPr>
              <w:rPr>
                <w:color w:val="000000"/>
                <w:sz w:val="16"/>
                <w:szCs w:val="16"/>
              </w:rPr>
            </w:pPr>
            <w:r w:rsidRPr="00FF7B42">
              <w:rPr>
                <w:color w:val="000000"/>
                <w:sz w:val="16"/>
                <w:szCs w:val="16"/>
              </w:rPr>
              <w:t>Irrigation equipments</w:t>
            </w:r>
          </w:p>
        </w:tc>
        <w:tc>
          <w:tcPr>
            <w:tcW w:w="869" w:type="dxa"/>
            <w:tcBorders>
              <w:top w:val="nil"/>
              <w:left w:val="nil"/>
              <w:bottom w:val="nil"/>
              <w:right w:val="nil"/>
            </w:tcBorders>
            <w:shd w:val="clear" w:color="auto" w:fill="auto"/>
            <w:noWrap/>
            <w:vAlign w:val="center"/>
            <w:hideMark/>
          </w:tcPr>
          <w:p w14:paraId="01E63F61" w14:textId="77777777" w:rsidR="00FF7B42" w:rsidRPr="00FF7B42" w:rsidRDefault="00FF7B42" w:rsidP="00355DF7">
            <w:pPr>
              <w:jc w:val="right"/>
              <w:rPr>
                <w:color w:val="000000"/>
                <w:sz w:val="16"/>
                <w:szCs w:val="16"/>
              </w:rPr>
            </w:pPr>
            <w:r w:rsidRPr="00FF7B42">
              <w:rPr>
                <w:color w:val="000000"/>
                <w:sz w:val="16"/>
                <w:szCs w:val="16"/>
              </w:rPr>
              <w:t>39,773</w:t>
            </w:r>
          </w:p>
        </w:tc>
        <w:tc>
          <w:tcPr>
            <w:tcW w:w="1228" w:type="dxa"/>
            <w:tcBorders>
              <w:top w:val="nil"/>
              <w:left w:val="nil"/>
              <w:bottom w:val="nil"/>
              <w:right w:val="nil"/>
            </w:tcBorders>
            <w:shd w:val="clear" w:color="auto" w:fill="auto"/>
            <w:noWrap/>
            <w:vAlign w:val="center"/>
            <w:hideMark/>
          </w:tcPr>
          <w:p w14:paraId="791A0F4D" w14:textId="0E8BC7D6" w:rsidR="00FF7B42" w:rsidRPr="00FF7B42" w:rsidRDefault="00FF7B42" w:rsidP="00355DF7">
            <w:pPr>
              <w:jc w:val="right"/>
              <w:rPr>
                <w:color w:val="000000"/>
                <w:sz w:val="16"/>
                <w:szCs w:val="16"/>
              </w:rPr>
            </w:pPr>
            <w:r w:rsidRPr="00FF7B42">
              <w:rPr>
                <w:color w:val="000000"/>
                <w:sz w:val="16"/>
                <w:szCs w:val="16"/>
              </w:rPr>
              <w:t>0.5</w:t>
            </w:r>
          </w:p>
        </w:tc>
        <w:tc>
          <w:tcPr>
            <w:tcW w:w="854" w:type="dxa"/>
            <w:tcBorders>
              <w:top w:val="nil"/>
              <w:left w:val="single" w:sz="4" w:space="0" w:color="auto"/>
              <w:bottom w:val="nil"/>
              <w:right w:val="nil"/>
            </w:tcBorders>
            <w:shd w:val="clear" w:color="auto" w:fill="auto"/>
            <w:noWrap/>
            <w:vAlign w:val="center"/>
            <w:hideMark/>
          </w:tcPr>
          <w:p w14:paraId="77C9FD79" w14:textId="77777777" w:rsidR="00FF7B42" w:rsidRPr="00FF7B42" w:rsidRDefault="00FF7B42" w:rsidP="00355DF7">
            <w:pPr>
              <w:jc w:val="right"/>
              <w:rPr>
                <w:color w:val="000000"/>
                <w:sz w:val="16"/>
                <w:szCs w:val="16"/>
              </w:rPr>
            </w:pPr>
            <w:r w:rsidRPr="00FF7B42">
              <w:rPr>
                <w:color w:val="000000"/>
                <w:sz w:val="16"/>
                <w:szCs w:val="16"/>
              </w:rPr>
              <w:t>38,066</w:t>
            </w:r>
          </w:p>
        </w:tc>
        <w:tc>
          <w:tcPr>
            <w:tcW w:w="1156" w:type="dxa"/>
            <w:tcBorders>
              <w:top w:val="nil"/>
              <w:left w:val="nil"/>
              <w:bottom w:val="nil"/>
              <w:right w:val="nil"/>
            </w:tcBorders>
            <w:shd w:val="clear" w:color="auto" w:fill="auto"/>
            <w:noWrap/>
            <w:vAlign w:val="center"/>
            <w:hideMark/>
          </w:tcPr>
          <w:p w14:paraId="1B0E0F82" w14:textId="34FC34A1" w:rsidR="00FF7B42" w:rsidRPr="00FF7B42" w:rsidRDefault="00FF7B42" w:rsidP="00355DF7">
            <w:pPr>
              <w:jc w:val="right"/>
              <w:rPr>
                <w:color w:val="000000"/>
                <w:sz w:val="16"/>
                <w:szCs w:val="16"/>
              </w:rPr>
            </w:pPr>
            <w:r w:rsidRPr="00FF7B42">
              <w:rPr>
                <w:color w:val="000000"/>
                <w:sz w:val="16"/>
                <w:szCs w:val="16"/>
              </w:rPr>
              <w:t>0.5</w:t>
            </w:r>
          </w:p>
        </w:tc>
        <w:tc>
          <w:tcPr>
            <w:tcW w:w="740" w:type="dxa"/>
            <w:tcBorders>
              <w:top w:val="nil"/>
              <w:left w:val="single" w:sz="4" w:space="0" w:color="auto"/>
              <w:bottom w:val="nil"/>
              <w:right w:val="nil"/>
            </w:tcBorders>
            <w:shd w:val="clear" w:color="auto" w:fill="auto"/>
            <w:noWrap/>
            <w:vAlign w:val="center"/>
            <w:hideMark/>
          </w:tcPr>
          <w:p w14:paraId="0575AE25" w14:textId="77777777" w:rsidR="00FF7B42" w:rsidRPr="00FF7B42" w:rsidRDefault="00FF7B42" w:rsidP="00355DF7">
            <w:pPr>
              <w:jc w:val="right"/>
              <w:rPr>
                <w:color w:val="000000"/>
                <w:sz w:val="16"/>
                <w:szCs w:val="16"/>
              </w:rPr>
            </w:pPr>
            <w:r w:rsidRPr="00FF7B42">
              <w:rPr>
                <w:color w:val="000000"/>
                <w:sz w:val="16"/>
                <w:szCs w:val="16"/>
              </w:rPr>
              <w:t>1,707</w:t>
            </w:r>
          </w:p>
        </w:tc>
        <w:tc>
          <w:tcPr>
            <w:tcW w:w="1260" w:type="dxa"/>
            <w:tcBorders>
              <w:top w:val="nil"/>
              <w:left w:val="nil"/>
              <w:bottom w:val="nil"/>
              <w:right w:val="nil"/>
            </w:tcBorders>
            <w:shd w:val="clear" w:color="auto" w:fill="auto"/>
            <w:noWrap/>
            <w:vAlign w:val="center"/>
            <w:hideMark/>
          </w:tcPr>
          <w:p w14:paraId="0EA67299" w14:textId="0DC7E5C9" w:rsidR="00FF7B42" w:rsidRPr="00FF7B42" w:rsidRDefault="00FF7B42" w:rsidP="00355DF7">
            <w:pPr>
              <w:jc w:val="right"/>
              <w:rPr>
                <w:color w:val="000000"/>
                <w:sz w:val="16"/>
                <w:szCs w:val="16"/>
              </w:rPr>
            </w:pPr>
            <w:r w:rsidRPr="00FF7B42">
              <w:rPr>
                <w:color w:val="000000"/>
                <w:sz w:val="16"/>
                <w:szCs w:val="16"/>
              </w:rPr>
              <w:t>1.0</w:t>
            </w:r>
          </w:p>
        </w:tc>
      </w:tr>
      <w:tr w:rsidR="00FF7B42" w:rsidRPr="00FF7B42" w14:paraId="5C8F10A1" w14:textId="77777777" w:rsidTr="00355DF7">
        <w:trPr>
          <w:trHeight w:val="300"/>
        </w:trPr>
        <w:tc>
          <w:tcPr>
            <w:tcW w:w="3079" w:type="dxa"/>
            <w:tcBorders>
              <w:top w:val="nil"/>
              <w:left w:val="nil"/>
              <w:bottom w:val="nil"/>
              <w:right w:val="nil"/>
            </w:tcBorders>
            <w:shd w:val="clear" w:color="auto" w:fill="auto"/>
            <w:noWrap/>
            <w:vAlign w:val="center"/>
            <w:hideMark/>
          </w:tcPr>
          <w:p w14:paraId="32A605C7" w14:textId="77777777" w:rsidR="00FF7B42" w:rsidRPr="00FF7B42" w:rsidRDefault="00FF7B42" w:rsidP="00FF7B42">
            <w:pPr>
              <w:rPr>
                <w:color w:val="000000"/>
                <w:sz w:val="16"/>
                <w:szCs w:val="16"/>
              </w:rPr>
            </w:pPr>
            <w:r w:rsidRPr="00FF7B42">
              <w:rPr>
                <w:color w:val="000000"/>
                <w:sz w:val="16"/>
                <w:szCs w:val="16"/>
              </w:rPr>
              <w:t>Availability of Agro Chemicals</w:t>
            </w:r>
          </w:p>
        </w:tc>
        <w:tc>
          <w:tcPr>
            <w:tcW w:w="869" w:type="dxa"/>
            <w:tcBorders>
              <w:top w:val="nil"/>
              <w:left w:val="nil"/>
              <w:bottom w:val="nil"/>
              <w:right w:val="nil"/>
            </w:tcBorders>
            <w:shd w:val="clear" w:color="auto" w:fill="auto"/>
            <w:noWrap/>
            <w:vAlign w:val="center"/>
            <w:hideMark/>
          </w:tcPr>
          <w:p w14:paraId="263865E8" w14:textId="77777777" w:rsidR="00FF7B42" w:rsidRPr="00FF7B42" w:rsidRDefault="00FF7B42" w:rsidP="00355DF7">
            <w:pPr>
              <w:jc w:val="right"/>
              <w:rPr>
                <w:color w:val="000000"/>
                <w:sz w:val="16"/>
                <w:szCs w:val="16"/>
              </w:rPr>
            </w:pPr>
            <w:r w:rsidRPr="00FF7B42">
              <w:rPr>
                <w:color w:val="000000"/>
                <w:sz w:val="16"/>
                <w:szCs w:val="16"/>
              </w:rPr>
              <w:t>99,447</w:t>
            </w:r>
          </w:p>
        </w:tc>
        <w:tc>
          <w:tcPr>
            <w:tcW w:w="1228" w:type="dxa"/>
            <w:tcBorders>
              <w:top w:val="nil"/>
              <w:left w:val="nil"/>
              <w:bottom w:val="nil"/>
              <w:right w:val="nil"/>
            </w:tcBorders>
            <w:shd w:val="clear" w:color="auto" w:fill="auto"/>
            <w:noWrap/>
            <w:vAlign w:val="center"/>
            <w:hideMark/>
          </w:tcPr>
          <w:p w14:paraId="5CAA3B1D" w14:textId="15E6906C" w:rsidR="00FF7B42" w:rsidRPr="00FF7B42" w:rsidRDefault="00FF7B42" w:rsidP="00355DF7">
            <w:pPr>
              <w:jc w:val="right"/>
              <w:rPr>
                <w:color w:val="000000"/>
                <w:sz w:val="16"/>
                <w:szCs w:val="16"/>
              </w:rPr>
            </w:pPr>
            <w:r w:rsidRPr="00FF7B42">
              <w:rPr>
                <w:color w:val="000000"/>
                <w:sz w:val="16"/>
                <w:szCs w:val="16"/>
              </w:rPr>
              <w:t>1.3</w:t>
            </w:r>
          </w:p>
        </w:tc>
        <w:tc>
          <w:tcPr>
            <w:tcW w:w="854" w:type="dxa"/>
            <w:tcBorders>
              <w:top w:val="nil"/>
              <w:left w:val="single" w:sz="4" w:space="0" w:color="auto"/>
              <w:bottom w:val="nil"/>
              <w:right w:val="nil"/>
            </w:tcBorders>
            <w:shd w:val="clear" w:color="auto" w:fill="auto"/>
            <w:noWrap/>
            <w:vAlign w:val="center"/>
            <w:hideMark/>
          </w:tcPr>
          <w:p w14:paraId="09AAAC78" w14:textId="77777777" w:rsidR="00FF7B42" w:rsidRPr="00FF7B42" w:rsidRDefault="00FF7B42" w:rsidP="00355DF7">
            <w:pPr>
              <w:jc w:val="right"/>
              <w:rPr>
                <w:color w:val="000000"/>
                <w:sz w:val="16"/>
                <w:szCs w:val="16"/>
              </w:rPr>
            </w:pPr>
            <w:r w:rsidRPr="00FF7B42">
              <w:rPr>
                <w:color w:val="000000"/>
                <w:sz w:val="16"/>
                <w:szCs w:val="16"/>
              </w:rPr>
              <w:t>97,748</w:t>
            </w:r>
          </w:p>
        </w:tc>
        <w:tc>
          <w:tcPr>
            <w:tcW w:w="1156" w:type="dxa"/>
            <w:tcBorders>
              <w:top w:val="nil"/>
              <w:left w:val="nil"/>
              <w:bottom w:val="nil"/>
              <w:right w:val="nil"/>
            </w:tcBorders>
            <w:shd w:val="clear" w:color="auto" w:fill="auto"/>
            <w:noWrap/>
            <w:vAlign w:val="center"/>
            <w:hideMark/>
          </w:tcPr>
          <w:p w14:paraId="73A71E67" w14:textId="1C5D75B1" w:rsidR="00FF7B42" w:rsidRPr="00FF7B42" w:rsidRDefault="00FF7B42" w:rsidP="00355DF7">
            <w:pPr>
              <w:jc w:val="right"/>
              <w:rPr>
                <w:color w:val="000000"/>
                <w:sz w:val="16"/>
                <w:szCs w:val="16"/>
              </w:rPr>
            </w:pPr>
            <w:r w:rsidRPr="00FF7B42">
              <w:rPr>
                <w:color w:val="000000"/>
                <w:sz w:val="16"/>
                <w:szCs w:val="16"/>
              </w:rPr>
              <w:t>1.4</w:t>
            </w:r>
          </w:p>
        </w:tc>
        <w:tc>
          <w:tcPr>
            <w:tcW w:w="740" w:type="dxa"/>
            <w:tcBorders>
              <w:top w:val="nil"/>
              <w:left w:val="single" w:sz="4" w:space="0" w:color="auto"/>
              <w:bottom w:val="nil"/>
              <w:right w:val="nil"/>
            </w:tcBorders>
            <w:shd w:val="clear" w:color="auto" w:fill="auto"/>
            <w:noWrap/>
            <w:vAlign w:val="center"/>
            <w:hideMark/>
          </w:tcPr>
          <w:p w14:paraId="6D465911" w14:textId="77777777" w:rsidR="00FF7B42" w:rsidRPr="00FF7B42" w:rsidRDefault="00FF7B42" w:rsidP="00355DF7">
            <w:pPr>
              <w:jc w:val="right"/>
              <w:rPr>
                <w:color w:val="000000"/>
                <w:sz w:val="16"/>
                <w:szCs w:val="16"/>
              </w:rPr>
            </w:pPr>
            <w:r w:rsidRPr="00FF7B42">
              <w:rPr>
                <w:color w:val="000000"/>
                <w:sz w:val="16"/>
                <w:szCs w:val="16"/>
              </w:rPr>
              <w:t>1,700</w:t>
            </w:r>
          </w:p>
        </w:tc>
        <w:tc>
          <w:tcPr>
            <w:tcW w:w="1260" w:type="dxa"/>
            <w:tcBorders>
              <w:top w:val="nil"/>
              <w:left w:val="nil"/>
              <w:bottom w:val="nil"/>
              <w:right w:val="nil"/>
            </w:tcBorders>
            <w:shd w:val="clear" w:color="auto" w:fill="auto"/>
            <w:noWrap/>
            <w:vAlign w:val="center"/>
            <w:hideMark/>
          </w:tcPr>
          <w:p w14:paraId="3ED3C08F" w14:textId="5CB03E4C" w:rsidR="00FF7B42" w:rsidRPr="00FF7B42" w:rsidRDefault="00FF7B42" w:rsidP="00355DF7">
            <w:pPr>
              <w:jc w:val="right"/>
              <w:rPr>
                <w:color w:val="000000"/>
                <w:sz w:val="16"/>
                <w:szCs w:val="16"/>
              </w:rPr>
            </w:pPr>
            <w:r w:rsidRPr="00FF7B42">
              <w:rPr>
                <w:color w:val="000000"/>
                <w:sz w:val="16"/>
                <w:szCs w:val="16"/>
              </w:rPr>
              <w:t>1.0</w:t>
            </w:r>
          </w:p>
        </w:tc>
      </w:tr>
      <w:tr w:rsidR="00FF7B42" w:rsidRPr="00FF7B42" w14:paraId="01034985" w14:textId="77777777" w:rsidTr="00355DF7">
        <w:trPr>
          <w:trHeight w:val="300"/>
        </w:trPr>
        <w:tc>
          <w:tcPr>
            <w:tcW w:w="3079" w:type="dxa"/>
            <w:tcBorders>
              <w:top w:val="nil"/>
              <w:left w:val="nil"/>
              <w:bottom w:val="nil"/>
              <w:right w:val="nil"/>
            </w:tcBorders>
            <w:shd w:val="clear" w:color="auto" w:fill="auto"/>
            <w:noWrap/>
            <w:vAlign w:val="center"/>
            <w:hideMark/>
          </w:tcPr>
          <w:p w14:paraId="777DD2CB" w14:textId="77777777" w:rsidR="00FF7B42" w:rsidRPr="00FF7B42" w:rsidRDefault="00FF7B42" w:rsidP="00FF7B42">
            <w:pPr>
              <w:rPr>
                <w:color w:val="000000"/>
                <w:sz w:val="16"/>
                <w:szCs w:val="16"/>
              </w:rPr>
            </w:pPr>
            <w:r w:rsidRPr="00FF7B42">
              <w:rPr>
                <w:color w:val="000000"/>
                <w:sz w:val="16"/>
                <w:szCs w:val="16"/>
              </w:rPr>
              <w:t>Availability of Veterinary drugs</w:t>
            </w:r>
          </w:p>
        </w:tc>
        <w:tc>
          <w:tcPr>
            <w:tcW w:w="869" w:type="dxa"/>
            <w:tcBorders>
              <w:top w:val="nil"/>
              <w:left w:val="nil"/>
              <w:bottom w:val="nil"/>
              <w:right w:val="nil"/>
            </w:tcBorders>
            <w:shd w:val="clear" w:color="auto" w:fill="auto"/>
            <w:noWrap/>
            <w:vAlign w:val="center"/>
            <w:hideMark/>
          </w:tcPr>
          <w:p w14:paraId="310C9B93" w14:textId="77777777" w:rsidR="00FF7B42" w:rsidRPr="00FF7B42" w:rsidRDefault="00FF7B42" w:rsidP="00355DF7">
            <w:pPr>
              <w:jc w:val="right"/>
              <w:rPr>
                <w:color w:val="000000"/>
                <w:sz w:val="16"/>
                <w:szCs w:val="16"/>
              </w:rPr>
            </w:pPr>
            <w:r w:rsidRPr="00FF7B42">
              <w:rPr>
                <w:color w:val="000000"/>
                <w:sz w:val="16"/>
                <w:szCs w:val="16"/>
              </w:rPr>
              <w:t>62,300</w:t>
            </w:r>
          </w:p>
        </w:tc>
        <w:tc>
          <w:tcPr>
            <w:tcW w:w="1228" w:type="dxa"/>
            <w:tcBorders>
              <w:top w:val="nil"/>
              <w:left w:val="nil"/>
              <w:bottom w:val="nil"/>
              <w:right w:val="nil"/>
            </w:tcBorders>
            <w:shd w:val="clear" w:color="auto" w:fill="auto"/>
            <w:noWrap/>
            <w:vAlign w:val="center"/>
            <w:hideMark/>
          </w:tcPr>
          <w:p w14:paraId="4BB92A8C" w14:textId="3406AE98" w:rsidR="00FF7B42" w:rsidRPr="00FF7B42" w:rsidRDefault="00FF7B42" w:rsidP="00355DF7">
            <w:pPr>
              <w:jc w:val="right"/>
              <w:rPr>
                <w:color w:val="000000"/>
                <w:sz w:val="16"/>
                <w:szCs w:val="16"/>
              </w:rPr>
            </w:pPr>
            <w:r w:rsidRPr="00FF7B42">
              <w:rPr>
                <w:color w:val="000000"/>
                <w:sz w:val="16"/>
                <w:szCs w:val="16"/>
              </w:rPr>
              <w:t>0.8</w:t>
            </w:r>
          </w:p>
        </w:tc>
        <w:tc>
          <w:tcPr>
            <w:tcW w:w="854" w:type="dxa"/>
            <w:tcBorders>
              <w:top w:val="nil"/>
              <w:left w:val="single" w:sz="4" w:space="0" w:color="auto"/>
              <w:bottom w:val="nil"/>
              <w:right w:val="nil"/>
            </w:tcBorders>
            <w:shd w:val="clear" w:color="auto" w:fill="auto"/>
            <w:noWrap/>
            <w:vAlign w:val="center"/>
            <w:hideMark/>
          </w:tcPr>
          <w:p w14:paraId="19A21607" w14:textId="77777777" w:rsidR="00FF7B42" w:rsidRPr="00FF7B42" w:rsidRDefault="00FF7B42" w:rsidP="00355DF7">
            <w:pPr>
              <w:jc w:val="right"/>
              <w:rPr>
                <w:color w:val="000000"/>
                <w:sz w:val="16"/>
                <w:szCs w:val="16"/>
              </w:rPr>
            </w:pPr>
            <w:r w:rsidRPr="00FF7B42">
              <w:rPr>
                <w:color w:val="000000"/>
                <w:sz w:val="16"/>
                <w:szCs w:val="16"/>
              </w:rPr>
              <w:t>61,208</w:t>
            </w:r>
          </w:p>
        </w:tc>
        <w:tc>
          <w:tcPr>
            <w:tcW w:w="1156" w:type="dxa"/>
            <w:tcBorders>
              <w:top w:val="nil"/>
              <w:left w:val="nil"/>
              <w:bottom w:val="nil"/>
              <w:right w:val="nil"/>
            </w:tcBorders>
            <w:shd w:val="clear" w:color="auto" w:fill="auto"/>
            <w:noWrap/>
            <w:vAlign w:val="center"/>
            <w:hideMark/>
          </w:tcPr>
          <w:p w14:paraId="7A33C3DC" w14:textId="59A9B6FC" w:rsidR="00FF7B42" w:rsidRPr="00FF7B42" w:rsidRDefault="00FF7B42" w:rsidP="00355DF7">
            <w:pPr>
              <w:jc w:val="right"/>
              <w:rPr>
                <w:color w:val="000000"/>
                <w:sz w:val="16"/>
                <w:szCs w:val="16"/>
              </w:rPr>
            </w:pPr>
            <w:r w:rsidRPr="00FF7B42">
              <w:rPr>
                <w:color w:val="000000"/>
                <w:sz w:val="16"/>
                <w:szCs w:val="16"/>
              </w:rPr>
              <w:t>0.8</w:t>
            </w:r>
          </w:p>
        </w:tc>
        <w:tc>
          <w:tcPr>
            <w:tcW w:w="740" w:type="dxa"/>
            <w:tcBorders>
              <w:top w:val="nil"/>
              <w:left w:val="single" w:sz="4" w:space="0" w:color="auto"/>
              <w:bottom w:val="nil"/>
              <w:right w:val="nil"/>
            </w:tcBorders>
            <w:shd w:val="clear" w:color="auto" w:fill="auto"/>
            <w:noWrap/>
            <w:vAlign w:val="center"/>
            <w:hideMark/>
          </w:tcPr>
          <w:p w14:paraId="2EEDCD67" w14:textId="77777777" w:rsidR="00FF7B42" w:rsidRPr="00FF7B42" w:rsidRDefault="00FF7B42" w:rsidP="00355DF7">
            <w:pPr>
              <w:jc w:val="right"/>
              <w:rPr>
                <w:color w:val="000000"/>
                <w:sz w:val="16"/>
                <w:szCs w:val="16"/>
              </w:rPr>
            </w:pPr>
            <w:r w:rsidRPr="00FF7B42">
              <w:rPr>
                <w:color w:val="000000"/>
                <w:sz w:val="16"/>
                <w:szCs w:val="16"/>
              </w:rPr>
              <w:t>1,092</w:t>
            </w:r>
          </w:p>
        </w:tc>
        <w:tc>
          <w:tcPr>
            <w:tcW w:w="1260" w:type="dxa"/>
            <w:tcBorders>
              <w:top w:val="nil"/>
              <w:left w:val="nil"/>
              <w:bottom w:val="nil"/>
              <w:right w:val="nil"/>
            </w:tcBorders>
            <w:shd w:val="clear" w:color="auto" w:fill="auto"/>
            <w:noWrap/>
            <w:vAlign w:val="center"/>
            <w:hideMark/>
          </w:tcPr>
          <w:p w14:paraId="73EDB345" w14:textId="7B819599" w:rsidR="00FF7B42" w:rsidRPr="00FF7B42" w:rsidRDefault="00FF7B42" w:rsidP="00355DF7">
            <w:pPr>
              <w:jc w:val="right"/>
              <w:rPr>
                <w:color w:val="000000"/>
                <w:sz w:val="16"/>
                <w:szCs w:val="16"/>
              </w:rPr>
            </w:pPr>
            <w:r w:rsidRPr="00FF7B42">
              <w:rPr>
                <w:color w:val="000000"/>
                <w:sz w:val="16"/>
                <w:szCs w:val="16"/>
              </w:rPr>
              <w:t>0.7</w:t>
            </w:r>
          </w:p>
        </w:tc>
      </w:tr>
      <w:tr w:rsidR="00FF7B42" w:rsidRPr="00FF7B42" w14:paraId="5772F07F" w14:textId="77777777" w:rsidTr="00355DF7">
        <w:trPr>
          <w:trHeight w:val="300"/>
        </w:trPr>
        <w:tc>
          <w:tcPr>
            <w:tcW w:w="3079" w:type="dxa"/>
            <w:tcBorders>
              <w:top w:val="nil"/>
              <w:left w:val="nil"/>
              <w:bottom w:val="nil"/>
              <w:right w:val="nil"/>
            </w:tcBorders>
            <w:shd w:val="clear" w:color="auto" w:fill="auto"/>
            <w:noWrap/>
            <w:vAlign w:val="center"/>
            <w:hideMark/>
          </w:tcPr>
          <w:p w14:paraId="762812B5" w14:textId="77777777" w:rsidR="00FF7B42" w:rsidRPr="00FF7B42" w:rsidRDefault="00FF7B42" w:rsidP="00FF7B42">
            <w:pPr>
              <w:rPr>
                <w:color w:val="000000"/>
                <w:sz w:val="16"/>
                <w:szCs w:val="16"/>
              </w:rPr>
            </w:pPr>
            <w:r w:rsidRPr="00FF7B42">
              <w:rPr>
                <w:color w:val="000000"/>
                <w:sz w:val="16"/>
                <w:szCs w:val="16"/>
              </w:rPr>
              <w:t>Cost of Inputs</w:t>
            </w:r>
          </w:p>
        </w:tc>
        <w:tc>
          <w:tcPr>
            <w:tcW w:w="869" w:type="dxa"/>
            <w:tcBorders>
              <w:top w:val="nil"/>
              <w:left w:val="nil"/>
              <w:bottom w:val="nil"/>
              <w:right w:val="nil"/>
            </w:tcBorders>
            <w:shd w:val="clear" w:color="auto" w:fill="auto"/>
            <w:noWrap/>
            <w:vAlign w:val="center"/>
            <w:hideMark/>
          </w:tcPr>
          <w:p w14:paraId="7A62AE13" w14:textId="77777777" w:rsidR="00FF7B42" w:rsidRPr="00FF7B42" w:rsidRDefault="00FF7B42" w:rsidP="00355DF7">
            <w:pPr>
              <w:jc w:val="right"/>
              <w:rPr>
                <w:color w:val="000000"/>
                <w:sz w:val="16"/>
                <w:szCs w:val="16"/>
              </w:rPr>
            </w:pPr>
            <w:r w:rsidRPr="00FF7B42">
              <w:rPr>
                <w:color w:val="000000"/>
                <w:sz w:val="16"/>
                <w:szCs w:val="16"/>
              </w:rPr>
              <w:t>1,152,368</w:t>
            </w:r>
          </w:p>
        </w:tc>
        <w:tc>
          <w:tcPr>
            <w:tcW w:w="1228" w:type="dxa"/>
            <w:tcBorders>
              <w:top w:val="nil"/>
              <w:left w:val="nil"/>
              <w:bottom w:val="nil"/>
              <w:right w:val="nil"/>
            </w:tcBorders>
            <w:shd w:val="clear" w:color="auto" w:fill="auto"/>
            <w:noWrap/>
            <w:vAlign w:val="center"/>
            <w:hideMark/>
          </w:tcPr>
          <w:p w14:paraId="36BD121A" w14:textId="1BE2BE3C" w:rsidR="00FF7B42" w:rsidRPr="00FF7B42" w:rsidRDefault="00FF7B42" w:rsidP="00355DF7">
            <w:pPr>
              <w:jc w:val="right"/>
              <w:rPr>
                <w:color w:val="000000"/>
                <w:sz w:val="16"/>
                <w:szCs w:val="16"/>
              </w:rPr>
            </w:pPr>
            <w:r w:rsidRPr="00FF7B42">
              <w:rPr>
                <w:color w:val="000000"/>
                <w:sz w:val="16"/>
                <w:szCs w:val="16"/>
              </w:rPr>
              <w:t>15.6</w:t>
            </w:r>
          </w:p>
        </w:tc>
        <w:tc>
          <w:tcPr>
            <w:tcW w:w="854" w:type="dxa"/>
            <w:tcBorders>
              <w:top w:val="nil"/>
              <w:left w:val="single" w:sz="4" w:space="0" w:color="auto"/>
              <w:bottom w:val="nil"/>
              <w:right w:val="nil"/>
            </w:tcBorders>
            <w:shd w:val="clear" w:color="auto" w:fill="auto"/>
            <w:noWrap/>
            <w:vAlign w:val="center"/>
            <w:hideMark/>
          </w:tcPr>
          <w:p w14:paraId="0E6C4B63" w14:textId="77777777" w:rsidR="00FF7B42" w:rsidRPr="00FF7B42" w:rsidRDefault="00FF7B42" w:rsidP="00355DF7">
            <w:pPr>
              <w:jc w:val="right"/>
              <w:rPr>
                <w:color w:val="000000"/>
                <w:sz w:val="16"/>
                <w:szCs w:val="16"/>
              </w:rPr>
            </w:pPr>
            <w:r w:rsidRPr="00FF7B42">
              <w:rPr>
                <w:color w:val="000000"/>
                <w:sz w:val="16"/>
                <w:szCs w:val="16"/>
              </w:rPr>
              <w:t>1,141,152</w:t>
            </w:r>
          </w:p>
        </w:tc>
        <w:tc>
          <w:tcPr>
            <w:tcW w:w="1156" w:type="dxa"/>
            <w:tcBorders>
              <w:top w:val="nil"/>
              <w:left w:val="nil"/>
              <w:bottom w:val="nil"/>
              <w:right w:val="nil"/>
            </w:tcBorders>
            <w:shd w:val="clear" w:color="auto" w:fill="auto"/>
            <w:noWrap/>
            <w:vAlign w:val="center"/>
            <w:hideMark/>
          </w:tcPr>
          <w:p w14:paraId="6B94C391" w14:textId="3801A4CD" w:rsidR="00FF7B42" w:rsidRPr="00FF7B42" w:rsidRDefault="00FF7B42" w:rsidP="00355DF7">
            <w:pPr>
              <w:jc w:val="right"/>
              <w:rPr>
                <w:color w:val="000000"/>
                <w:sz w:val="16"/>
                <w:szCs w:val="16"/>
              </w:rPr>
            </w:pPr>
            <w:r w:rsidRPr="00FF7B42">
              <w:rPr>
                <w:color w:val="000000"/>
                <w:sz w:val="16"/>
                <w:szCs w:val="16"/>
              </w:rPr>
              <w:t>15.8</w:t>
            </w:r>
          </w:p>
        </w:tc>
        <w:tc>
          <w:tcPr>
            <w:tcW w:w="740" w:type="dxa"/>
            <w:tcBorders>
              <w:top w:val="nil"/>
              <w:left w:val="single" w:sz="4" w:space="0" w:color="auto"/>
              <w:bottom w:val="nil"/>
              <w:right w:val="nil"/>
            </w:tcBorders>
            <w:shd w:val="clear" w:color="auto" w:fill="auto"/>
            <w:noWrap/>
            <w:vAlign w:val="center"/>
            <w:hideMark/>
          </w:tcPr>
          <w:p w14:paraId="451F9121" w14:textId="77777777" w:rsidR="00FF7B42" w:rsidRPr="00FF7B42" w:rsidRDefault="00FF7B42" w:rsidP="00355DF7">
            <w:pPr>
              <w:jc w:val="right"/>
              <w:rPr>
                <w:color w:val="000000"/>
                <w:sz w:val="16"/>
                <w:szCs w:val="16"/>
              </w:rPr>
            </w:pPr>
            <w:r w:rsidRPr="00FF7B42">
              <w:rPr>
                <w:color w:val="000000"/>
                <w:sz w:val="16"/>
                <w:szCs w:val="16"/>
              </w:rPr>
              <w:t>11,216</w:t>
            </w:r>
          </w:p>
        </w:tc>
        <w:tc>
          <w:tcPr>
            <w:tcW w:w="1260" w:type="dxa"/>
            <w:tcBorders>
              <w:top w:val="nil"/>
              <w:left w:val="nil"/>
              <w:bottom w:val="nil"/>
              <w:right w:val="nil"/>
            </w:tcBorders>
            <w:shd w:val="clear" w:color="auto" w:fill="auto"/>
            <w:noWrap/>
            <w:vAlign w:val="center"/>
            <w:hideMark/>
          </w:tcPr>
          <w:p w14:paraId="670F77C7" w14:textId="7A925847" w:rsidR="00FF7B42" w:rsidRPr="00FF7B42" w:rsidRDefault="00FF7B42" w:rsidP="00355DF7">
            <w:pPr>
              <w:jc w:val="right"/>
              <w:rPr>
                <w:color w:val="000000"/>
                <w:sz w:val="16"/>
                <w:szCs w:val="16"/>
              </w:rPr>
            </w:pPr>
            <w:r w:rsidRPr="00FF7B42">
              <w:rPr>
                <w:color w:val="000000"/>
                <w:sz w:val="16"/>
                <w:szCs w:val="16"/>
              </w:rPr>
              <w:t>6.8</w:t>
            </w:r>
          </w:p>
        </w:tc>
      </w:tr>
      <w:tr w:rsidR="00FF7B42" w:rsidRPr="00FF7B42" w14:paraId="4F4D8B59" w14:textId="77777777" w:rsidTr="00355DF7">
        <w:trPr>
          <w:trHeight w:val="300"/>
        </w:trPr>
        <w:tc>
          <w:tcPr>
            <w:tcW w:w="3079" w:type="dxa"/>
            <w:tcBorders>
              <w:top w:val="nil"/>
              <w:left w:val="nil"/>
              <w:bottom w:val="nil"/>
              <w:right w:val="nil"/>
            </w:tcBorders>
            <w:shd w:val="clear" w:color="auto" w:fill="auto"/>
            <w:noWrap/>
            <w:vAlign w:val="center"/>
            <w:hideMark/>
          </w:tcPr>
          <w:p w14:paraId="6F8124DB" w14:textId="77777777" w:rsidR="00FF7B42" w:rsidRPr="00FF7B42" w:rsidRDefault="00FF7B42" w:rsidP="00FF7B42">
            <w:pPr>
              <w:rPr>
                <w:color w:val="000000"/>
                <w:sz w:val="16"/>
                <w:szCs w:val="16"/>
              </w:rPr>
            </w:pPr>
            <w:r w:rsidRPr="00FF7B42">
              <w:rPr>
                <w:color w:val="000000"/>
                <w:sz w:val="16"/>
                <w:szCs w:val="16"/>
              </w:rPr>
              <w:t>Extension Services</w:t>
            </w:r>
          </w:p>
        </w:tc>
        <w:tc>
          <w:tcPr>
            <w:tcW w:w="869" w:type="dxa"/>
            <w:tcBorders>
              <w:top w:val="nil"/>
              <w:left w:val="nil"/>
              <w:bottom w:val="nil"/>
              <w:right w:val="nil"/>
            </w:tcBorders>
            <w:shd w:val="clear" w:color="auto" w:fill="auto"/>
            <w:noWrap/>
            <w:vAlign w:val="center"/>
            <w:hideMark/>
          </w:tcPr>
          <w:p w14:paraId="486FD4E7" w14:textId="77777777" w:rsidR="00FF7B42" w:rsidRPr="00FF7B42" w:rsidRDefault="00FF7B42" w:rsidP="00355DF7">
            <w:pPr>
              <w:jc w:val="right"/>
              <w:rPr>
                <w:color w:val="000000"/>
                <w:sz w:val="16"/>
                <w:szCs w:val="16"/>
              </w:rPr>
            </w:pPr>
            <w:r w:rsidRPr="00FF7B42">
              <w:rPr>
                <w:color w:val="000000"/>
                <w:sz w:val="16"/>
                <w:szCs w:val="16"/>
              </w:rPr>
              <w:t>231,899</w:t>
            </w:r>
          </w:p>
        </w:tc>
        <w:tc>
          <w:tcPr>
            <w:tcW w:w="1228" w:type="dxa"/>
            <w:tcBorders>
              <w:top w:val="nil"/>
              <w:left w:val="nil"/>
              <w:bottom w:val="nil"/>
              <w:right w:val="nil"/>
            </w:tcBorders>
            <w:shd w:val="clear" w:color="auto" w:fill="auto"/>
            <w:noWrap/>
            <w:vAlign w:val="center"/>
            <w:hideMark/>
          </w:tcPr>
          <w:p w14:paraId="054778C4" w14:textId="6419BFF9" w:rsidR="00FF7B42" w:rsidRPr="00FF7B42" w:rsidRDefault="00FF7B42" w:rsidP="00355DF7">
            <w:pPr>
              <w:jc w:val="right"/>
              <w:rPr>
                <w:color w:val="000000"/>
                <w:sz w:val="16"/>
                <w:szCs w:val="16"/>
              </w:rPr>
            </w:pPr>
            <w:r w:rsidRPr="00FF7B42">
              <w:rPr>
                <w:color w:val="000000"/>
                <w:sz w:val="16"/>
                <w:szCs w:val="16"/>
              </w:rPr>
              <w:t>3.1</w:t>
            </w:r>
          </w:p>
        </w:tc>
        <w:tc>
          <w:tcPr>
            <w:tcW w:w="854" w:type="dxa"/>
            <w:tcBorders>
              <w:top w:val="nil"/>
              <w:left w:val="single" w:sz="4" w:space="0" w:color="auto"/>
              <w:bottom w:val="nil"/>
              <w:right w:val="nil"/>
            </w:tcBorders>
            <w:shd w:val="clear" w:color="auto" w:fill="auto"/>
            <w:noWrap/>
            <w:vAlign w:val="center"/>
            <w:hideMark/>
          </w:tcPr>
          <w:p w14:paraId="21F09853" w14:textId="77777777" w:rsidR="00FF7B42" w:rsidRPr="00FF7B42" w:rsidRDefault="00FF7B42" w:rsidP="00355DF7">
            <w:pPr>
              <w:jc w:val="right"/>
              <w:rPr>
                <w:color w:val="000000"/>
                <w:sz w:val="16"/>
                <w:szCs w:val="16"/>
              </w:rPr>
            </w:pPr>
            <w:r w:rsidRPr="00FF7B42">
              <w:rPr>
                <w:color w:val="000000"/>
                <w:sz w:val="16"/>
                <w:szCs w:val="16"/>
              </w:rPr>
              <w:t>228,118</w:t>
            </w:r>
          </w:p>
        </w:tc>
        <w:tc>
          <w:tcPr>
            <w:tcW w:w="1156" w:type="dxa"/>
            <w:tcBorders>
              <w:top w:val="nil"/>
              <w:left w:val="nil"/>
              <w:bottom w:val="nil"/>
              <w:right w:val="nil"/>
            </w:tcBorders>
            <w:shd w:val="clear" w:color="auto" w:fill="auto"/>
            <w:noWrap/>
            <w:vAlign w:val="center"/>
            <w:hideMark/>
          </w:tcPr>
          <w:p w14:paraId="26106692" w14:textId="0AD88200" w:rsidR="00FF7B42" w:rsidRPr="00FF7B42" w:rsidRDefault="00FF7B42" w:rsidP="00355DF7">
            <w:pPr>
              <w:jc w:val="right"/>
              <w:rPr>
                <w:color w:val="000000"/>
                <w:sz w:val="16"/>
                <w:szCs w:val="16"/>
              </w:rPr>
            </w:pPr>
            <w:r w:rsidRPr="00FF7B42">
              <w:rPr>
                <w:color w:val="000000"/>
                <w:sz w:val="16"/>
                <w:szCs w:val="16"/>
              </w:rPr>
              <w:t>3.2</w:t>
            </w:r>
          </w:p>
        </w:tc>
        <w:tc>
          <w:tcPr>
            <w:tcW w:w="740" w:type="dxa"/>
            <w:tcBorders>
              <w:top w:val="nil"/>
              <w:left w:val="single" w:sz="4" w:space="0" w:color="auto"/>
              <w:bottom w:val="nil"/>
              <w:right w:val="nil"/>
            </w:tcBorders>
            <w:shd w:val="clear" w:color="auto" w:fill="auto"/>
            <w:noWrap/>
            <w:vAlign w:val="center"/>
            <w:hideMark/>
          </w:tcPr>
          <w:p w14:paraId="5E3BAE47" w14:textId="77777777" w:rsidR="00FF7B42" w:rsidRPr="00FF7B42" w:rsidRDefault="00FF7B42" w:rsidP="00355DF7">
            <w:pPr>
              <w:jc w:val="right"/>
              <w:rPr>
                <w:color w:val="000000"/>
                <w:sz w:val="16"/>
                <w:szCs w:val="16"/>
              </w:rPr>
            </w:pPr>
            <w:r w:rsidRPr="00FF7B42">
              <w:rPr>
                <w:color w:val="000000"/>
                <w:sz w:val="16"/>
                <w:szCs w:val="16"/>
              </w:rPr>
              <w:t>3,782</w:t>
            </w:r>
          </w:p>
        </w:tc>
        <w:tc>
          <w:tcPr>
            <w:tcW w:w="1260" w:type="dxa"/>
            <w:tcBorders>
              <w:top w:val="nil"/>
              <w:left w:val="nil"/>
              <w:bottom w:val="nil"/>
              <w:right w:val="nil"/>
            </w:tcBorders>
            <w:shd w:val="clear" w:color="auto" w:fill="auto"/>
            <w:noWrap/>
            <w:vAlign w:val="center"/>
            <w:hideMark/>
          </w:tcPr>
          <w:p w14:paraId="3299BF52" w14:textId="2A072159" w:rsidR="00FF7B42" w:rsidRPr="00FF7B42" w:rsidRDefault="00FF7B42" w:rsidP="00355DF7">
            <w:pPr>
              <w:jc w:val="right"/>
              <w:rPr>
                <w:color w:val="000000"/>
                <w:sz w:val="16"/>
                <w:szCs w:val="16"/>
              </w:rPr>
            </w:pPr>
            <w:r w:rsidRPr="00FF7B42">
              <w:rPr>
                <w:color w:val="000000"/>
                <w:sz w:val="16"/>
                <w:szCs w:val="16"/>
              </w:rPr>
              <w:t>2.3</w:t>
            </w:r>
          </w:p>
        </w:tc>
      </w:tr>
      <w:tr w:rsidR="00FF7B42" w:rsidRPr="00FF7B42" w14:paraId="71803ED4" w14:textId="77777777" w:rsidTr="00355DF7">
        <w:trPr>
          <w:trHeight w:val="300"/>
        </w:trPr>
        <w:tc>
          <w:tcPr>
            <w:tcW w:w="3079" w:type="dxa"/>
            <w:tcBorders>
              <w:top w:val="nil"/>
              <w:left w:val="nil"/>
              <w:bottom w:val="nil"/>
              <w:right w:val="nil"/>
            </w:tcBorders>
            <w:shd w:val="clear" w:color="auto" w:fill="auto"/>
            <w:noWrap/>
            <w:vAlign w:val="center"/>
            <w:hideMark/>
          </w:tcPr>
          <w:p w14:paraId="6CE7B803" w14:textId="77777777" w:rsidR="00FF7B42" w:rsidRPr="00FF7B42" w:rsidRDefault="00FF7B42" w:rsidP="00FF7B42">
            <w:pPr>
              <w:rPr>
                <w:color w:val="000000"/>
                <w:sz w:val="16"/>
                <w:szCs w:val="16"/>
              </w:rPr>
            </w:pPr>
            <w:r w:rsidRPr="00FF7B42">
              <w:rPr>
                <w:color w:val="000000"/>
                <w:sz w:val="16"/>
                <w:szCs w:val="16"/>
              </w:rPr>
              <w:t>Availability of forest products</w:t>
            </w:r>
          </w:p>
        </w:tc>
        <w:tc>
          <w:tcPr>
            <w:tcW w:w="869" w:type="dxa"/>
            <w:tcBorders>
              <w:top w:val="nil"/>
              <w:left w:val="nil"/>
              <w:bottom w:val="nil"/>
              <w:right w:val="nil"/>
            </w:tcBorders>
            <w:shd w:val="clear" w:color="auto" w:fill="auto"/>
            <w:noWrap/>
            <w:vAlign w:val="center"/>
            <w:hideMark/>
          </w:tcPr>
          <w:p w14:paraId="108B2D66" w14:textId="77777777" w:rsidR="00FF7B42" w:rsidRPr="00FF7B42" w:rsidRDefault="00FF7B42" w:rsidP="00355DF7">
            <w:pPr>
              <w:jc w:val="right"/>
              <w:rPr>
                <w:color w:val="000000"/>
                <w:sz w:val="16"/>
                <w:szCs w:val="16"/>
              </w:rPr>
            </w:pPr>
            <w:r w:rsidRPr="00FF7B42">
              <w:rPr>
                <w:color w:val="000000"/>
                <w:sz w:val="16"/>
                <w:szCs w:val="16"/>
              </w:rPr>
              <w:t>2,507</w:t>
            </w:r>
          </w:p>
        </w:tc>
        <w:tc>
          <w:tcPr>
            <w:tcW w:w="1228" w:type="dxa"/>
            <w:tcBorders>
              <w:top w:val="nil"/>
              <w:left w:val="nil"/>
              <w:bottom w:val="nil"/>
              <w:right w:val="nil"/>
            </w:tcBorders>
            <w:shd w:val="clear" w:color="auto" w:fill="auto"/>
            <w:noWrap/>
            <w:vAlign w:val="center"/>
            <w:hideMark/>
          </w:tcPr>
          <w:p w14:paraId="46596185" w14:textId="382B687A" w:rsidR="00FF7B42" w:rsidRPr="00FF7B42" w:rsidRDefault="00FF7B42" w:rsidP="00355DF7">
            <w:pPr>
              <w:jc w:val="right"/>
              <w:rPr>
                <w:color w:val="000000"/>
                <w:sz w:val="16"/>
                <w:szCs w:val="16"/>
              </w:rPr>
            </w:pPr>
            <w:r w:rsidRPr="00FF7B42">
              <w:rPr>
                <w:color w:val="000000"/>
                <w:sz w:val="16"/>
                <w:szCs w:val="16"/>
              </w:rPr>
              <w:t>0.0</w:t>
            </w:r>
          </w:p>
        </w:tc>
        <w:tc>
          <w:tcPr>
            <w:tcW w:w="854" w:type="dxa"/>
            <w:tcBorders>
              <w:top w:val="nil"/>
              <w:left w:val="single" w:sz="4" w:space="0" w:color="auto"/>
              <w:bottom w:val="nil"/>
              <w:right w:val="nil"/>
            </w:tcBorders>
            <w:shd w:val="clear" w:color="auto" w:fill="auto"/>
            <w:noWrap/>
            <w:vAlign w:val="center"/>
            <w:hideMark/>
          </w:tcPr>
          <w:p w14:paraId="6DFEFF62" w14:textId="77777777" w:rsidR="00FF7B42" w:rsidRPr="00FF7B42" w:rsidRDefault="00FF7B42" w:rsidP="00355DF7">
            <w:pPr>
              <w:jc w:val="right"/>
              <w:rPr>
                <w:color w:val="000000"/>
                <w:sz w:val="16"/>
                <w:szCs w:val="16"/>
              </w:rPr>
            </w:pPr>
            <w:r w:rsidRPr="00FF7B42">
              <w:rPr>
                <w:color w:val="000000"/>
                <w:sz w:val="16"/>
                <w:szCs w:val="16"/>
              </w:rPr>
              <w:t>2,367</w:t>
            </w:r>
          </w:p>
        </w:tc>
        <w:tc>
          <w:tcPr>
            <w:tcW w:w="1156" w:type="dxa"/>
            <w:tcBorders>
              <w:top w:val="nil"/>
              <w:left w:val="nil"/>
              <w:bottom w:val="nil"/>
              <w:right w:val="nil"/>
            </w:tcBorders>
            <w:shd w:val="clear" w:color="auto" w:fill="auto"/>
            <w:noWrap/>
            <w:vAlign w:val="center"/>
            <w:hideMark/>
          </w:tcPr>
          <w:p w14:paraId="6A984B29" w14:textId="51484434" w:rsidR="00FF7B42" w:rsidRPr="00FF7B42" w:rsidRDefault="00FF7B42" w:rsidP="00355DF7">
            <w:pPr>
              <w:jc w:val="right"/>
              <w:rPr>
                <w:color w:val="000000"/>
                <w:sz w:val="16"/>
                <w:szCs w:val="16"/>
              </w:rPr>
            </w:pPr>
            <w:r w:rsidRPr="00FF7B42">
              <w:rPr>
                <w:color w:val="000000"/>
                <w:sz w:val="16"/>
                <w:szCs w:val="16"/>
              </w:rPr>
              <w:t>0.0</w:t>
            </w:r>
          </w:p>
        </w:tc>
        <w:tc>
          <w:tcPr>
            <w:tcW w:w="740" w:type="dxa"/>
            <w:tcBorders>
              <w:top w:val="nil"/>
              <w:left w:val="single" w:sz="4" w:space="0" w:color="auto"/>
              <w:bottom w:val="nil"/>
              <w:right w:val="nil"/>
            </w:tcBorders>
            <w:shd w:val="clear" w:color="auto" w:fill="auto"/>
            <w:noWrap/>
            <w:vAlign w:val="center"/>
            <w:hideMark/>
          </w:tcPr>
          <w:p w14:paraId="6F8847C5" w14:textId="77777777" w:rsidR="00FF7B42" w:rsidRPr="00FF7B42" w:rsidRDefault="00FF7B42" w:rsidP="00355DF7">
            <w:pPr>
              <w:jc w:val="right"/>
              <w:rPr>
                <w:color w:val="000000"/>
                <w:sz w:val="16"/>
                <w:szCs w:val="16"/>
              </w:rPr>
            </w:pPr>
            <w:r w:rsidRPr="00FF7B42">
              <w:rPr>
                <w:color w:val="000000"/>
                <w:sz w:val="16"/>
                <w:szCs w:val="16"/>
              </w:rPr>
              <w:t>139</w:t>
            </w:r>
          </w:p>
        </w:tc>
        <w:tc>
          <w:tcPr>
            <w:tcW w:w="1260" w:type="dxa"/>
            <w:tcBorders>
              <w:top w:val="nil"/>
              <w:left w:val="nil"/>
              <w:bottom w:val="nil"/>
              <w:right w:val="nil"/>
            </w:tcBorders>
            <w:shd w:val="clear" w:color="auto" w:fill="auto"/>
            <w:noWrap/>
            <w:vAlign w:val="center"/>
            <w:hideMark/>
          </w:tcPr>
          <w:p w14:paraId="5A3655A3" w14:textId="6DB7A426" w:rsidR="00FF7B42" w:rsidRPr="00FF7B42" w:rsidRDefault="00FF7B42" w:rsidP="00355DF7">
            <w:pPr>
              <w:jc w:val="right"/>
              <w:rPr>
                <w:color w:val="000000"/>
                <w:sz w:val="16"/>
                <w:szCs w:val="16"/>
              </w:rPr>
            </w:pPr>
            <w:r w:rsidRPr="00FF7B42">
              <w:rPr>
                <w:color w:val="000000"/>
                <w:sz w:val="16"/>
                <w:szCs w:val="16"/>
              </w:rPr>
              <w:t>0.1</w:t>
            </w:r>
          </w:p>
        </w:tc>
      </w:tr>
      <w:tr w:rsidR="00FF7B42" w:rsidRPr="00FF7B42" w14:paraId="74C82813" w14:textId="77777777" w:rsidTr="00355DF7">
        <w:trPr>
          <w:trHeight w:val="300"/>
        </w:trPr>
        <w:tc>
          <w:tcPr>
            <w:tcW w:w="3079" w:type="dxa"/>
            <w:tcBorders>
              <w:top w:val="nil"/>
              <w:left w:val="nil"/>
              <w:bottom w:val="nil"/>
              <w:right w:val="nil"/>
            </w:tcBorders>
            <w:shd w:val="clear" w:color="auto" w:fill="auto"/>
            <w:noWrap/>
            <w:vAlign w:val="center"/>
            <w:hideMark/>
          </w:tcPr>
          <w:p w14:paraId="5FF74B71" w14:textId="77777777" w:rsidR="00FF7B42" w:rsidRPr="00FF7B42" w:rsidRDefault="00FF7B42" w:rsidP="00FF7B42">
            <w:pPr>
              <w:rPr>
                <w:color w:val="000000"/>
                <w:sz w:val="16"/>
                <w:szCs w:val="16"/>
              </w:rPr>
            </w:pPr>
            <w:r w:rsidRPr="00FF7B42">
              <w:rPr>
                <w:color w:val="000000"/>
                <w:sz w:val="16"/>
                <w:szCs w:val="16"/>
              </w:rPr>
              <w:t>Access to credit</w:t>
            </w:r>
          </w:p>
        </w:tc>
        <w:tc>
          <w:tcPr>
            <w:tcW w:w="869" w:type="dxa"/>
            <w:tcBorders>
              <w:top w:val="nil"/>
              <w:left w:val="nil"/>
              <w:bottom w:val="nil"/>
              <w:right w:val="nil"/>
            </w:tcBorders>
            <w:shd w:val="clear" w:color="auto" w:fill="auto"/>
            <w:noWrap/>
            <w:vAlign w:val="center"/>
            <w:hideMark/>
          </w:tcPr>
          <w:p w14:paraId="2D1614C7" w14:textId="77777777" w:rsidR="00FF7B42" w:rsidRPr="00FF7B42" w:rsidRDefault="00FF7B42" w:rsidP="00355DF7">
            <w:pPr>
              <w:jc w:val="right"/>
              <w:rPr>
                <w:color w:val="000000"/>
                <w:sz w:val="16"/>
                <w:szCs w:val="16"/>
              </w:rPr>
            </w:pPr>
            <w:r w:rsidRPr="00FF7B42">
              <w:rPr>
                <w:color w:val="000000"/>
                <w:sz w:val="16"/>
                <w:szCs w:val="16"/>
              </w:rPr>
              <w:t>189,645</w:t>
            </w:r>
          </w:p>
        </w:tc>
        <w:tc>
          <w:tcPr>
            <w:tcW w:w="1228" w:type="dxa"/>
            <w:tcBorders>
              <w:top w:val="nil"/>
              <w:left w:val="nil"/>
              <w:bottom w:val="nil"/>
              <w:right w:val="nil"/>
            </w:tcBorders>
            <w:shd w:val="clear" w:color="auto" w:fill="auto"/>
            <w:noWrap/>
            <w:vAlign w:val="center"/>
            <w:hideMark/>
          </w:tcPr>
          <w:p w14:paraId="4327F142" w14:textId="4BEC5375" w:rsidR="00FF7B42" w:rsidRPr="00FF7B42" w:rsidRDefault="00FF7B42" w:rsidP="00355DF7">
            <w:pPr>
              <w:jc w:val="right"/>
              <w:rPr>
                <w:color w:val="000000"/>
                <w:sz w:val="16"/>
                <w:szCs w:val="16"/>
              </w:rPr>
            </w:pPr>
            <w:r w:rsidRPr="00FF7B42">
              <w:rPr>
                <w:color w:val="000000"/>
                <w:sz w:val="16"/>
                <w:szCs w:val="16"/>
              </w:rPr>
              <w:t>2.6</w:t>
            </w:r>
          </w:p>
        </w:tc>
        <w:tc>
          <w:tcPr>
            <w:tcW w:w="854" w:type="dxa"/>
            <w:tcBorders>
              <w:top w:val="nil"/>
              <w:left w:val="single" w:sz="4" w:space="0" w:color="auto"/>
              <w:bottom w:val="nil"/>
              <w:right w:val="nil"/>
            </w:tcBorders>
            <w:shd w:val="clear" w:color="auto" w:fill="auto"/>
            <w:noWrap/>
            <w:vAlign w:val="center"/>
            <w:hideMark/>
          </w:tcPr>
          <w:p w14:paraId="6E5F3815" w14:textId="77777777" w:rsidR="00FF7B42" w:rsidRPr="00FF7B42" w:rsidRDefault="00FF7B42" w:rsidP="00355DF7">
            <w:pPr>
              <w:jc w:val="right"/>
              <w:rPr>
                <w:color w:val="000000"/>
                <w:sz w:val="16"/>
                <w:szCs w:val="16"/>
              </w:rPr>
            </w:pPr>
            <w:r w:rsidRPr="00FF7B42">
              <w:rPr>
                <w:color w:val="000000"/>
                <w:sz w:val="16"/>
                <w:szCs w:val="16"/>
              </w:rPr>
              <w:t>186,769</w:t>
            </w:r>
          </w:p>
        </w:tc>
        <w:tc>
          <w:tcPr>
            <w:tcW w:w="1156" w:type="dxa"/>
            <w:tcBorders>
              <w:top w:val="nil"/>
              <w:left w:val="nil"/>
              <w:bottom w:val="nil"/>
              <w:right w:val="nil"/>
            </w:tcBorders>
            <w:shd w:val="clear" w:color="auto" w:fill="auto"/>
            <w:noWrap/>
            <w:vAlign w:val="center"/>
            <w:hideMark/>
          </w:tcPr>
          <w:p w14:paraId="55F765EE" w14:textId="7A58A894" w:rsidR="00FF7B42" w:rsidRPr="00FF7B42" w:rsidRDefault="00FF7B42" w:rsidP="00355DF7">
            <w:pPr>
              <w:jc w:val="right"/>
              <w:rPr>
                <w:color w:val="000000"/>
                <w:sz w:val="16"/>
                <w:szCs w:val="16"/>
              </w:rPr>
            </w:pPr>
            <w:r w:rsidRPr="00FF7B42">
              <w:rPr>
                <w:color w:val="000000"/>
                <w:sz w:val="16"/>
                <w:szCs w:val="16"/>
              </w:rPr>
              <w:t>2.6</w:t>
            </w:r>
          </w:p>
        </w:tc>
        <w:tc>
          <w:tcPr>
            <w:tcW w:w="740" w:type="dxa"/>
            <w:tcBorders>
              <w:top w:val="nil"/>
              <w:left w:val="single" w:sz="4" w:space="0" w:color="auto"/>
              <w:bottom w:val="nil"/>
              <w:right w:val="nil"/>
            </w:tcBorders>
            <w:shd w:val="clear" w:color="auto" w:fill="auto"/>
            <w:noWrap/>
            <w:vAlign w:val="center"/>
            <w:hideMark/>
          </w:tcPr>
          <w:p w14:paraId="0F0E2F4F" w14:textId="77777777" w:rsidR="00FF7B42" w:rsidRPr="00FF7B42" w:rsidRDefault="00FF7B42" w:rsidP="00355DF7">
            <w:pPr>
              <w:jc w:val="right"/>
              <w:rPr>
                <w:color w:val="000000"/>
                <w:sz w:val="16"/>
                <w:szCs w:val="16"/>
              </w:rPr>
            </w:pPr>
            <w:r w:rsidRPr="00FF7B42">
              <w:rPr>
                <w:color w:val="000000"/>
                <w:sz w:val="16"/>
                <w:szCs w:val="16"/>
              </w:rPr>
              <w:t>2,876</w:t>
            </w:r>
          </w:p>
        </w:tc>
        <w:tc>
          <w:tcPr>
            <w:tcW w:w="1260" w:type="dxa"/>
            <w:tcBorders>
              <w:top w:val="nil"/>
              <w:left w:val="nil"/>
              <w:bottom w:val="nil"/>
              <w:right w:val="nil"/>
            </w:tcBorders>
            <w:shd w:val="clear" w:color="auto" w:fill="auto"/>
            <w:noWrap/>
            <w:vAlign w:val="center"/>
            <w:hideMark/>
          </w:tcPr>
          <w:p w14:paraId="2E39A6FE" w14:textId="08FDF76E" w:rsidR="00FF7B42" w:rsidRPr="00FF7B42" w:rsidRDefault="00FF7B42" w:rsidP="00355DF7">
            <w:pPr>
              <w:jc w:val="right"/>
              <w:rPr>
                <w:color w:val="000000"/>
                <w:sz w:val="16"/>
                <w:szCs w:val="16"/>
              </w:rPr>
            </w:pPr>
            <w:r w:rsidRPr="00FF7B42">
              <w:rPr>
                <w:color w:val="000000"/>
                <w:sz w:val="16"/>
                <w:szCs w:val="16"/>
              </w:rPr>
              <w:t>1.7</w:t>
            </w:r>
          </w:p>
        </w:tc>
      </w:tr>
      <w:tr w:rsidR="00FF7B42" w:rsidRPr="00FF7B42" w14:paraId="76BE4DCB" w14:textId="77777777" w:rsidTr="00355DF7">
        <w:trPr>
          <w:trHeight w:val="300"/>
        </w:trPr>
        <w:tc>
          <w:tcPr>
            <w:tcW w:w="3079" w:type="dxa"/>
            <w:tcBorders>
              <w:top w:val="nil"/>
              <w:left w:val="nil"/>
              <w:bottom w:val="nil"/>
              <w:right w:val="nil"/>
            </w:tcBorders>
            <w:shd w:val="clear" w:color="auto" w:fill="auto"/>
            <w:noWrap/>
            <w:vAlign w:val="center"/>
            <w:hideMark/>
          </w:tcPr>
          <w:p w14:paraId="3DB65DE2" w14:textId="77777777" w:rsidR="00FF7B42" w:rsidRPr="00FF7B42" w:rsidRDefault="00FF7B42" w:rsidP="00FF7B42">
            <w:pPr>
              <w:rPr>
                <w:color w:val="000000"/>
                <w:sz w:val="16"/>
                <w:szCs w:val="16"/>
              </w:rPr>
            </w:pPr>
            <w:r w:rsidRPr="00FF7B42">
              <w:rPr>
                <w:color w:val="000000"/>
                <w:sz w:val="16"/>
                <w:szCs w:val="16"/>
              </w:rPr>
              <w:t>Harvesting</w:t>
            </w:r>
          </w:p>
        </w:tc>
        <w:tc>
          <w:tcPr>
            <w:tcW w:w="869" w:type="dxa"/>
            <w:tcBorders>
              <w:top w:val="nil"/>
              <w:left w:val="nil"/>
              <w:bottom w:val="nil"/>
              <w:right w:val="nil"/>
            </w:tcBorders>
            <w:shd w:val="clear" w:color="auto" w:fill="auto"/>
            <w:noWrap/>
            <w:vAlign w:val="center"/>
            <w:hideMark/>
          </w:tcPr>
          <w:p w14:paraId="183C800B" w14:textId="77777777" w:rsidR="00FF7B42" w:rsidRPr="00FF7B42" w:rsidRDefault="00FF7B42" w:rsidP="00355DF7">
            <w:pPr>
              <w:jc w:val="right"/>
              <w:rPr>
                <w:color w:val="000000"/>
                <w:sz w:val="16"/>
                <w:szCs w:val="16"/>
              </w:rPr>
            </w:pPr>
            <w:r w:rsidRPr="00FF7B42">
              <w:rPr>
                <w:color w:val="000000"/>
                <w:sz w:val="16"/>
                <w:szCs w:val="16"/>
              </w:rPr>
              <w:t>34,423</w:t>
            </w:r>
          </w:p>
        </w:tc>
        <w:tc>
          <w:tcPr>
            <w:tcW w:w="1228" w:type="dxa"/>
            <w:tcBorders>
              <w:top w:val="nil"/>
              <w:left w:val="nil"/>
              <w:bottom w:val="nil"/>
              <w:right w:val="nil"/>
            </w:tcBorders>
            <w:shd w:val="clear" w:color="auto" w:fill="auto"/>
            <w:noWrap/>
            <w:vAlign w:val="center"/>
            <w:hideMark/>
          </w:tcPr>
          <w:p w14:paraId="6408F0C6" w14:textId="2398A3A9" w:rsidR="00FF7B42" w:rsidRPr="00FF7B42" w:rsidRDefault="00FF7B42" w:rsidP="00355DF7">
            <w:pPr>
              <w:jc w:val="right"/>
              <w:rPr>
                <w:color w:val="000000"/>
                <w:sz w:val="16"/>
                <w:szCs w:val="16"/>
              </w:rPr>
            </w:pPr>
            <w:r w:rsidRPr="00FF7B42">
              <w:rPr>
                <w:color w:val="000000"/>
                <w:sz w:val="16"/>
                <w:szCs w:val="16"/>
              </w:rPr>
              <w:t>0.5</w:t>
            </w:r>
          </w:p>
        </w:tc>
        <w:tc>
          <w:tcPr>
            <w:tcW w:w="854" w:type="dxa"/>
            <w:tcBorders>
              <w:top w:val="nil"/>
              <w:left w:val="single" w:sz="4" w:space="0" w:color="auto"/>
              <w:bottom w:val="nil"/>
              <w:right w:val="nil"/>
            </w:tcBorders>
            <w:shd w:val="clear" w:color="auto" w:fill="auto"/>
            <w:noWrap/>
            <w:vAlign w:val="center"/>
            <w:hideMark/>
          </w:tcPr>
          <w:p w14:paraId="4609C069" w14:textId="77777777" w:rsidR="00FF7B42" w:rsidRPr="00FF7B42" w:rsidRDefault="00FF7B42" w:rsidP="00355DF7">
            <w:pPr>
              <w:jc w:val="right"/>
              <w:rPr>
                <w:color w:val="000000"/>
                <w:sz w:val="16"/>
                <w:szCs w:val="16"/>
              </w:rPr>
            </w:pPr>
            <w:r w:rsidRPr="00FF7B42">
              <w:rPr>
                <w:color w:val="000000"/>
                <w:sz w:val="16"/>
                <w:szCs w:val="16"/>
              </w:rPr>
              <w:t>34,036</w:t>
            </w:r>
          </w:p>
        </w:tc>
        <w:tc>
          <w:tcPr>
            <w:tcW w:w="1156" w:type="dxa"/>
            <w:tcBorders>
              <w:top w:val="nil"/>
              <w:left w:val="nil"/>
              <w:bottom w:val="nil"/>
              <w:right w:val="nil"/>
            </w:tcBorders>
            <w:shd w:val="clear" w:color="auto" w:fill="auto"/>
            <w:noWrap/>
            <w:vAlign w:val="center"/>
            <w:hideMark/>
          </w:tcPr>
          <w:p w14:paraId="7F2745DF" w14:textId="5FC62684" w:rsidR="00FF7B42" w:rsidRPr="00FF7B42" w:rsidRDefault="00FF7B42" w:rsidP="00355DF7">
            <w:pPr>
              <w:jc w:val="right"/>
              <w:rPr>
                <w:color w:val="000000"/>
                <w:sz w:val="16"/>
                <w:szCs w:val="16"/>
              </w:rPr>
            </w:pPr>
            <w:r w:rsidRPr="00FF7B42">
              <w:rPr>
                <w:color w:val="000000"/>
                <w:sz w:val="16"/>
                <w:szCs w:val="16"/>
              </w:rPr>
              <w:t>0.5</w:t>
            </w:r>
          </w:p>
        </w:tc>
        <w:tc>
          <w:tcPr>
            <w:tcW w:w="740" w:type="dxa"/>
            <w:tcBorders>
              <w:top w:val="nil"/>
              <w:left w:val="single" w:sz="4" w:space="0" w:color="auto"/>
              <w:bottom w:val="nil"/>
              <w:right w:val="nil"/>
            </w:tcBorders>
            <w:shd w:val="clear" w:color="auto" w:fill="auto"/>
            <w:noWrap/>
            <w:vAlign w:val="center"/>
            <w:hideMark/>
          </w:tcPr>
          <w:p w14:paraId="20B07207" w14:textId="77777777" w:rsidR="00FF7B42" w:rsidRPr="00FF7B42" w:rsidRDefault="00FF7B42" w:rsidP="00355DF7">
            <w:pPr>
              <w:jc w:val="right"/>
              <w:rPr>
                <w:color w:val="000000"/>
                <w:sz w:val="16"/>
                <w:szCs w:val="16"/>
              </w:rPr>
            </w:pPr>
            <w:r w:rsidRPr="00FF7B42">
              <w:rPr>
                <w:color w:val="000000"/>
                <w:sz w:val="16"/>
                <w:szCs w:val="16"/>
              </w:rPr>
              <w:t>387</w:t>
            </w:r>
          </w:p>
        </w:tc>
        <w:tc>
          <w:tcPr>
            <w:tcW w:w="1260" w:type="dxa"/>
            <w:tcBorders>
              <w:top w:val="nil"/>
              <w:left w:val="nil"/>
              <w:bottom w:val="nil"/>
              <w:right w:val="nil"/>
            </w:tcBorders>
            <w:shd w:val="clear" w:color="auto" w:fill="auto"/>
            <w:noWrap/>
            <w:vAlign w:val="center"/>
            <w:hideMark/>
          </w:tcPr>
          <w:p w14:paraId="2C132D51" w14:textId="252029D3" w:rsidR="00FF7B42" w:rsidRPr="00FF7B42" w:rsidRDefault="00FF7B42" w:rsidP="00355DF7">
            <w:pPr>
              <w:jc w:val="right"/>
              <w:rPr>
                <w:color w:val="000000"/>
                <w:sz w:val="16"/>
                <w:szCs w:val="16"/>
              </w:rPr>
            </w:pPr>
            <w:r w:rsidRPr="00FF7B42">
              <w:rPr>
                <w:color w:val="000000"/>
                <w:sz w:val="16"/>
                <w:szCs w:val="16"/>
              </w:rPr>
              <w:t>0.2</w:t>
            </w:r>
          </w:p>
        </w:tc>
      </w:tr>
      <w:tr w:rsidR="00FF7B42" w:rsidRPr="00FF7B42" w14:paraId="5EEF42DB" w14:textId="77777777" w:rsidTr="00355DF7">
        <w:trPr>
          <w:trHeight w:val="300"/>
        </w:trPr>
        <w:tc>
          <w:tcPr>
            <w:tcW w:w="3079" w:type="dxa"/>
            <w:tcBorders>
              <w:top w:val="nil"/>
              <w:left w:val="nil"/>
              <w:bottom w:val="nil"/>
              <w:right w:val="nil"/>
            </w:tcBorders>
            <w:shd w:val="clear" w:color="auto" w:fill="auto"/>
            <w:noWrap/>
            <w:vAlign w:val="center"/>
            <w:hideMark/>
          </w:tcPr>
          <w:p w14:paraId="7DBB6EFC" w14:textId="77777777" w:rsidR="00FF7B42" w:rsidRPr="00FF7B42" w:rsidRDefault="00FF7B42" w:rsidP="00FF7B42">
            <w:pPr>
              <w:rPr>
                <w:color w:val="000000"/>
                <w:sz w:val="16"/>
                <w:szCs w:val="16"/>
              </w:rPr>
            </w:pPr>
            <w:r w:rsidRPr="00FF7B42">
              <w:rPr>
                <w:color w:val="000000"/>
                <w:sz w:val="16"/>
                <w:szCs w:val="16"/>
              </w:rPr>
              <w:t>Threshing/Dehulling</w:t>
            </w:r>
          </w:p>
        </w:tc>
        <w:tc>
          <w:tcPr>
            <w:tcW w:w="869" w:type="dxa"/>
            <w:tcBorders>
              <w:top w:val="nil"/>
              <w:left w:val="nil"/>
              <w:bottom w:val="nil"/>
              <w:right w:val="nil"/>
            </w:tcBorders>
            <w:shd w:val="clear" w:color="auto" w:fill="auto"/>
            <w:noWrap/>
            <w:vAlign w:val="center"/>
            <w:hideMark/>
          </w:tcPr>
          <w:p w14:paraId="1A9DBEB2" w14:textId="77777777" w:rsidR="00FF7B42" w:rsidRPr="00FF7B42" w:rsidRDefault="00FF7B42" w:rsidP="00355DF7">
            <w:pPr>
              <w:jc w:val="right"/>
              <w:rPr>
                <w:color w:val="000000"/>
                <w:sz w:val="16"/>
                <w:szCs w:val="16"/>
              </w:rPr>
            </w:pPr>
            <w:r w:rsidRPr="00FF7B42">
              <w:rPr>
                <w:color w:val="000000"/>
                <w:sz w:val="16"/>
                <w:szCs w:val="16"/>
              </w:rPr>
              <w:t>1,986</w:t>
            </w:r>
          </w:p>
        </w:tc>
        <w:tc>
          <w:tcPr>
            <w:tcW w:w="1228" w:type="dxa"/>
            <w:tcBorders>
              <w:top w:val="nil"/>
              <w:left w:val="nil"/>
              <w:bottom w:val="nil"/>
              <w:right w:val="nil"/>
            </w:tcBorders>
            <w:shd w:val="clear" w:color="auto" w:fill="auto"/>
            <w:noWrap/>
            <w:vAlign w:val="center"/>
            <w:hideMark/>
          </w:tcPr>
          <w:p w14:paraId="30A983F6" w14:textId="0CCAFCE9" w:rsidR="00FF7B42" w:rsidRPr="00FF7B42" w:rsidRDefault="00FF7B42" w:rsidP="00355DF7">
            <w:pPr>
              <w:jc w:val="right"/>
              <w:rPr>
                <w:color w:val="000000"/>
                <w:sz w:val="16"/>
                <w:szCs w:val="16"/>
              </w:rPr>
            </w:pPr>
            <w:r w:rsidRPr="00FF7B42">
              <w:rPr>
                <w:color w:val="000000"/>
                <w:sz w:val="16"/>
                <w:szCs w:val="16"/>
              </w:rPr>
              <w:t>0.0</w:t>
            </w:r>
          </w:p>
        </w:tc>
        <w:tc>
          <w:tcPr>
            <w:tcW w:w="854" w:type="dxa"/>
            <w:tcBorders>
              <w:top w:val="nil"/>
              <w:left w:val="single" w:sz="4" w:space="0" w:color="auto"/>
              <w:bottom w:val="nil"/>
              <w:right w:val="nil"/>
            </w:tcBorders>
            <w:shd w:val="clear" w:color="auto" w:fill="auto"/>
            <w:noWrap/>
            <w:vAlign w:val="center"/>
            <w:hideMark/>
          </w:tcPr>
          <w:p w14:paraId="72385147" w14:textId="77777777" w:rsidR="00FF7B42" w:rsidRPr="00FF7B42" w:rsidRDefault="00FF7B42" w:rsidP="00355DF7">
            <w:pPr>
              <w:jc w:val="right"/>
              <w:rPr>
                <w:color w:val="000000"/>
                <w:sz w:val="16"/>
                <w:szCs w:val="16"/>
              </w:rPr>
            </w:pPr>
            <w:r w:rsidRPr="00FF7B42">
              <w:rPr>
                <w:color w:val="000000"/>
                <w:sz w:val="16"/>
                <w:szCs w:val="16"/>
              </w:rPr>
              <w:t>1,986</w:t>
            </w:r>
          </w:p>
        </w:tc>
        <w:tc>
          <w:tcPr>
            <w:tcW w:w="1156" w:type="dxa"/>
            <w:tcBorders>
              <w:top w:val="nil"/>
              <w:left w:val="nil"/>
              <w:bottom w:val="nil"/>
              <w:right w:val="nil"/>
            </w:tcBorders>
            <w:shd w:val="clear" w:color="auto" w:fill="auto"/>
            <w:noWrap/>
            <w:vAlign w:val="center"/>
            <w:hideMark/>
          </w:tcPr>
          <w:p w14:paraId="7592F39F" w14:textId="77F5DC2A" w:rsidR="00FF7B42" w:rsidRPr="00FF7B42" w:rsidRDefault="00FF7B42" w:rsidP="00355DF7">
            <w:pPr>
              <w:jc w:val="right"/>
              <w:rPr>
                <w:color w:val="000000"/>
                <w:sz w:val="16"/>
                <w:szCs w:val="16"/>
              </w:rPr>
            </w:pPr>
            <w:r w:rsidRPr="00FF7B42">
              <w:rPr>
                <w:color w:val="000000"/>
                <w:sz w:val="16"/>
                <w:szCs w:val="16"/>
              </w:rPr>
              <w:t>0.0</w:t>
            </w:r>
          </w:p>
        </w:tc>
        <w:tc>
          <w:tcPr>
            <w:tcW w:w="740" w:type="dxa"/>
            <w:tcBorders>
              <w:top w:val="nil"/>
              <w:left w:val="single" w:sz="4" w:space="0" w:color="auto"/>
              <w:bottom w:val="nil"/>
              <w:right w:val="nil"/>
            </w:tcBorders>
            <w:shd w:val="clear" w:color="auto" w:fill="auto"/>
            <w:noWrap/>
            <w:vAlign w:val="center"/>
            <w:hideMark/>
          </w:tcPr>
          <w:p w14:paraId="21990B15" w14:textId="77777777" w:rsidR="00FF7B42" w:rsidRPr="00FF7B42" w:rsidRDefault="00FF7B42" w:rsidP="00355DF7">
            <w:pPr>
              <w:jc w:val="right"/>
              <w:rPr>
                <w:color w:val="000000"/>
                <w:sz w:val="16"/>
                <w:szCs w:val="16"/>
              </w:rPr>
            </w:pPr>
            <w:r w:rsidRPr="00FF7B42">
              <w:rPr>
                <w:color w:val="000000"/>
                <w:sz w:val="16"/>
                <w:szCs w:val="16"/>
              </w:rPr>
              <w:t>-</w:t>
            </w:r>
          </w:p>
        </w:tc>
        <w:tc>
          <w:tcPr>
            <w:tcW w:w="1260" w:type="dxa"/>
            <w:tcBorders>
              <w:top w:val="nil"/>
              <w:left w:val="nil"/>
              <w:bottom w:val="nil"/>
              <w:right w:val="nil"/>
            </w:tcBorders>
            <w:shd w:val="clear" w:color="auto" w:fill="auto"/>
            <w:noWrap/>
            <w:vAlign w:val="center"/>
            <w:hideMark/>
          </w:tcPr>
          <w:p w14:paraId="074AE2E6" w14:textId="23D87123" w:rsidR="00FF7B42" w:rsidRPr="00FF7B42" w:rsidRDefault="00FF7B42" w:rsidP="00355DF7">
            <w:pPr>
              <w:jc w:val="right"/>
              <w:rPr>
                <w:color w:val="000000"/>
                <w:sz w:val="16"/>
                <w:szCs w:val="16"/>
              </w:rPr>
            </w:pPr>
            <w:r w:rsidRPr="00FF7B42">
              <w:rPr>
                <w:color w:val="000000"/>
                <w:sz w:val="16"/>
                <w:szCs w:val="16"/>
              </w:rPr>
              <w:t>-</w:t>
            </w:r>
          </w:p>
        </w:tc>
      </w:tr>
      <w:tr w:rsidR="00FF7B42" w:rsidRPr="00FF7B42" w14:paraId="3A05E652" w14:textId="77777777" w:rsidTr="00355DF7">
        <w:trPr>
          <w:trHeight w:val="300"/>
        </w:trPr>
        <w:tc>
          <w:tcPr>
            <w:tcW w:w="3079" w:type="dxa"/>
            <w:tcBorders>
              <w:top w:val="nil"/>
              <w:left w:val="nil"/>
              <w:bottom w:val="nil"/>
              <w:right w:val="nil"/>
            </w:tcBorders>
            <w:shd w:val="clear" w:color="auto" w:fill="auto"/>
            <w:noWrap/>
            <w:vAlign w:val="center"/>
            <w:hideMark/>
          </w:tcPr>
          <w:p w14:paraId="1BE4B955" w14:textId="77777777" w:rsidR="00FF7B42" w:rsidRPr="00FF7B42" w:rsidRDefault="00FF7B42" w:rsidP="00FF7B42">
            <w:pPr>
              <w:rPr>
                <w:color w:val="000000"/>
                <w:sz w:val="16"/>
                <w:szCs w:val="16"/>
              </w:rPr>
            </w:pPr>
            <w:r w:rsidRPr="00FF7B42">
              <w:rPr>
                <w:color w:val="000000"/>
                <w:sz w:val="16"/>
                <w:szCs w:val="16"/>
              </w:rPr>
              <w:t>Crop Storage</w:t>
            </w:r>
          </w:p>
        </w:tc>
        <w:tc>
          <w:tcPr>
            <w:tcW w:w="869" w:type="dxa"/>
            <w:tcBorders>
              <w:top w:val="nil"/>
              <w:left w:val="nil"/>
              <w:bottom w:val="nil"/>
              <w:right w:val="nil"/>
            </w:tcBorders>
            <w:shd w:val="clear" w:color="auto" w:fill="auto"/>
            <w:noWrap/>
            <w:vAlign w:val="center"/>
            <w:hideMark/>
          </w:tcPr>
          <w:p w14:paraId="30A6A954" w14:textId="77777777" w:rsidR="00FF7B42" w:rsidRPr="00FF7B42" w:rsidRDefault="00FF7B42" w:rsidP="00355DF7">
            <w:pPr>
              <w:jc w:val="right"/>
              <w:rPr>
                <w:color w:val="000000"/>
                <w:sz w:val="16"/>
                <w:szCs w:val="16"/>
              </w:rPr>
            </w:pPr>
            <w:r w:rsidRPr="00FF7B42">
              <w:rPr>
                <w:color w:val="000000"/>
                <w:sz w:val="16"/>
                <w:szCs w:val="16"/>
              </w:rPr>
              <w:t>6,130</w:t>
            </w:r>
          </w:p>
        </w:tc>
        <w:tc>
          <w:tcPr>
            <w:tcW w:w="1228" w:type="dxa"/>
            <w:tcBorders>
              <w:top w:val="nil"/>
              <w:left w:val="nil"/>
              <w:bottom w:val="nil"/>
              <w:right w:val="nil"/>
            </w:tcBorders>
            <w:shd w:val="clear" w:color="auto" w:fill="auto"/>
            <w:noWrap/>
            <w:vAlign w:val="center"/>
            <w:hideMark/>
          </w:tcPr>
          <w:p w14:paraId="04BABEE1" w14:textId="5F382F0B" w:rsidR="00FF7B42" w:rsidRPr="00FF7B42" w:rsidRDefault="00FF7B42" w:rsidP="00355DF7">
            <w:pPr>
              <w:jc w:val="right"/>
              <w:rPr>
                <w:color w:val="000000"/>
                <w:sz w:val="16"/>
                <w:szCs w:val="16"/>
              </w:rPr>
            </w:pPr>
            <w:r w:rsidRPr="00FF7B42">
              <w:rPr>
                <w:color w:val="000000"/>
                <w:sz w:val="16"/>
                <w:szCs w:val="16"/>
              </w:rPr>
              <w:t>0.1</w:t>
            </w:r>
          </w:p>
        </w:tc>
        <w:tc>
          <w:tcPr>
            <w:tcW w:w="854" w:type="dxa"/>
            <w:tcBorders>
              <w:top w:val="nil"/>
              <w:left w:val="single" w:sz="4" w:space="0" w:color="auto"/>
              <w:bottom w:val="nil"/>
              <w:right w:val="nil"/>
            </w:tcBorders>
            <w:shd w:val="clear" w:color="auto" w:fill="auto"/>
            <w:noWrap/>
            <w:vAlign w:val="center"/>
            <w:hideMark/>
          </w:tcPr>
          <w:p w14:paraId="0B397C88" w14:textId="77777777" w:rsidR="00FF7B42" w:rsidRPr="00FF7B42" w:rsidRDefault="00FF7B42" w:rsidP="00355DF7">
            <w:pPr>
              <w:jc w:val="right"/>
              <w:rPr>
                <w:color w:val="000000"/>
                <w:sz w:val="16"/>
                <w:szCs w:val="16"/>
              </w:rPr>
            </w:pPr>
            <w:r w:rsidRPr="00FF7B42">
              <w:rPr>
                <w:color w:val="000000"/>
                <w:sz w:val="16"/>
                <w:szCs w:val="16"/>
              </w:rPr>
              <w:t>6,086</w:t>
            </w:r>
          </w:p>
        </w:tc>
        <w:tc>
          <w:tcPr>
            <w:tcW w:w="1156" w:type="dxa"/>
            <w:tcBorders>
              <w:top w:val="nil"/>
              <w:left w:val="nil"/>
              <w:bottom w:val="nil"/>
              <w:right w:val="nil"/>
            </w:tcBorders>
            <w:shd w:val="clear" w:color="auto" w:fill="auto"/>
            <w:noWrap/>
            <w:vAlign w:val="center"/>
            <w:hideMark/>
          </w:tcPr>
          <w:p w14:paraId="376B2920" w14:textId="64E44FDF" w:rsidR="00FF7B42" w:rsidRPr="00FF7B42" w:rsidRDefault="00FF7B42" w:rsidP="00355DF7">
            <w:pPr>
              <w:jc w:val="right"/>
              <w:rPr>
                <w:color w:val="000000"/>
                <w:sz w:val="16"/>
                <w:szCs w:val="16"/>
              </w:rPr>
            </w:pPr>
            <w:r w:rsidRPr="00FF7B42">
              <w:rPr>
                <w:color w:val="000000"/>
                <w:sz w:val="16"/>
                <w:szCs w:val="16"/>
              </w:rPr>
              <w:t>0.1</w:t>
            </w:r>
          </w:p>
        </w:tc>
        <w:tc>
          <w:tcPr>
            <w:tcW w:w="740" w:type="dxa"/>
            <w:tcBorders>
              <w:top w:val="nil"/>
              <w:left w:val="single" w:sz="4" w:space="0" w:color="auto"/>
              <w:bottom w:val="nil"/>
              <w:right w:val="nil"/>
            </w:tcBorders>
            <w:shd w:val="clear" w:color="auto" w:fill="auto"/>
            <w:noWrap/>
            <w:vAlign w:val="center"/>
            <w:hideMark/>
          </w:tcPr>
          <w:p w14:paraId="2515818D" w14:textId="77777777" w:rsidR="00FF7B42" w:rsidRPr="00FF7B42" w:rsidRDefault="00FF7B42" w:rsidP="00355DF7">
            <w:pPr>
              <w:jc w:val="right"/>
              <w:rPr>
                <w:color w:val="000000"/>
                <w:sz w:val="16"/>
                <w:szCs w:val="16"/>
              </w:rPr>
            </w:pPr>
            <w:r w:rsidRPr="00FF7B42">
              <w:rPr>
                <w:color w:val="000000"/>
                <w:sz w:val="16"/>
                <w:szCs w:val="16"/>
              </w:rPr>
              <w:t>43</w:t>
            </w:r>
          </w:p>
        </w:tc>
        <w:tc>
          <w:tcPr>
            <w:tcW w:w="1260" w:type="dxa"/>
            <w:tcBorders>
              <w:top w:val="nil"/>
              <w:left w:val="nil"/>
              <w:bottom w:val="nil"/>
              <w:right w:val="nil"/>
            </w:tcBorders>
            <w:shd w:val="clear" w:color="auto" w:fill="auto"/>
            <w:noWrap/>
            <w:vAlign w:val="center"/>
            <w:hideMark/>
          </w:tcPr>
          <w:p w14:paraId="4517B84B" w14:textId="0FD455EE" w:rsidR="00FF7B42" w:rsidRPr="00FF7B42" w:rsidRDefault="00FF7B42" w:rsidP="00355DF7">
            <w:pPr>
              <w:jc w:val="right"/>
              <w:rPr>
                <w:color w:val="000000"/>
                <w:sz w:val="16"/>
                <w:szCs w:val="16"/>
              </w:rPr>
            </w:pPr>
            <w:r w:rsidRPr="00FF7B42">
              <w:rPr>
                <w:color w:val="000000"/>
                <w:sz w:val="16"/>
                <w:szCs w:val="16"/>
              </w:rPr>
              <w:t>0.0</w:t>
            </w:r>
          </w:p>
        </w:tc>
      </w:tr>
      <w:tr w:rsidR="00FF7B42" w:rsidRPr="00FF7B42" w14:paraId="13B1AAEB" w14:textId="77777777" w:rsidTr="00355DF7">
        <w:trPr>
          <w:trHeight w:val="300"/>
        </w:trPr>
        <w:tc>
          <w:tcPr>
            <w:tcW w:w="3079" w:type="dxa"/>
            <w:tcBorders>
              <w:top w:val="nil"/>
              <w:left w:val="nil"/>
              <w:bottom w:val="nil"/>
              <w:right w:val="nil"/>
            </w:tcBorders>
            <w:shd w:val="clear" w:color="auto" w:fill="auto"/>
            <w:noWrap/>
            <w:vAlign w:val="center"/>
            <w:hideMark/>
          </w:tcPr>
          <w:p w14:paraId="0F619FCC" w14:textId="77777777" w:rsidR="00FF7B42" w:rsidRPr="00FF7B42" w:rsidRDefault="00FF7B42" w:rsidP="00FF7B42">
            <w:pPr>
              <w:rPr>
                <w:color w:val="000000"/>
                <w:sz w:val="16"/>
                <w:szCs w:val="16"/>
              </w:rPr>
            </w:pPr>
            <w:r w:rsidRPr="00FF7B42">
              <w:rPr>
                <w:color w:val="000000"/>
                <w:sz w:val="16"/>
                <w:szCs w:val="16"/>
              </w:rPr>
              <w:t>Agro Processing</w:t>
            </w:r>
          </w:p>
        </w:tc>
        <w:tc>
          <w:tcPr>
            <w:tcW w:w="869" w:type="dxa"/>
            <w:tcBorders>
              <w:top w:val="nil"/>
              <w:left w:val="nil"/>
              <w:bottom w:val="nil"/>
              <w:right w:val="nil"/>
            </w:tcBorders>
            <w:shd w:val="clear" w:color="auto" w:fill="auto"/>
            <w:noWrap/>
            <w:vAlign w:val="center"/>
            <w:hideMark/>
          </w:tcPr>
          <w:p w14:paraId="2F3C1DF1" w14:textId="77777777" w:rsidR="00FF7B42" w:rsidRPr="00FF7B42" w:rsidRDefault="00FF7B42" w:rsidP="00355DF7">
            <w:pPr>
              <w:jc w:val="right"/>
              <w:rPr>
                <w:color w:val="000000"/>
                <w:sz w:val="16"/>
                <w:szCs w:val="16"/>
              </w:rPr>
            </w:pPr>
            <w:r w:rsidRPr="00FF7B42">
              <w:rPr>
                <w:color w:val="000000"/>
                <w:sz w:val="16"/>
                <w:szCs w:val="16"/>
              </w:rPr>
              <w:t>1,874</w:t>
            </w:r>
          </w:p>
        </w:tc>
        <w:tc>
          <w:tcPr>
            <w:tcW w:w="1228" w:type="dxa"/>
            <w:tcBorders>
              <w:top w:val="nil"/>
              <w:left w:val="nil"/>
              <w:bottom w:val="nil"/>
              <w:right w:val="nil"/>
            </w:tcBorders>
            <w:shd w:val="clear" w:color="auto" w:fill="auto"/>
            <w:noWrap/>
            <w:vAlign w:val="center"/>
            <w:hideMark/>
          </w:tcPr>
          <w:p w14:paraId="30556F4F" w14:textId="473315E6" w:rsidR="00FF7B42" w:rsidRPr="00FF7B42" w:rsidRDefault="00FF7B42" w:rsidP="00355DF7">
            <w:pPr>
              <w:jc w:val="right"/>
              <w:rPr>
                <w:color w:val="000000"/>
                <w:sz w:val="16"/>
                <w:szCs w:val="16"/>
              </w:rPr>
            </w:pPr>
            <w:r w:rsidRPr="00FF7B42">
              <w:rPr>
                <w:color w:val="000000"/>
                <w:sz w:val="16"/>
                <w:szCs w:val="16"/>
              </w:rPr>
              <w:t>0.0</w:t>
            </w:r>
          </w:p>
        </w:tc>
        <w:tc>
          <w:tcPr>
            <w:tcW w:w="854" w:type="dxa"/>
            <w:tcBorders>
              <w:top w:val="nil"/>
              <w:left w:val="single" w:sz="4" w:space="0" w:color="auto"/>
              <w:bottom w:val="nil"/>
              <w:right w:val="nil"/>
            </w:tcBorders>
            <w:shd w:val="clear" w:color="auto" w:fill="auto"/>
            <w:noWrap/>
            <w:vAlign w:val="center"/>
            <w:hideMark/>
          </w:tcPr>
          <w:p w14:paraId="589BEB7C" w14:textId="77777777" w:rsidR="00FF7B42" w:rsidRPr="00FF7B42" w:rsidRDefault="00FF7B42" w:rsidP="00355DF7">
            <w:pPr>
              <w:jc w:val="right"/>
              <w:rPr>
                <w:color w:val="000000"/>
                <w:sz w:val="16"/>
                <w:szCs w:val="16"/>
              </w:rPr>
            </w:pPr>
            <w:r w:rsidRPr="00FF7B42">
              <w:rPr>
                <w:color w:val="000000"/>
                <w:sz w:val="16"/>
                <w:szCs w:val="16"/>
              </w:rPr>
              <w:t>1,874</w:t>
            </w:r>
          </w:p>
        </w:tc>
        <w:tc>
          <w:tcPr>
            <w:tcW w:w="1156" w:type="dxa"/>
            <w:tcBorders>
              <w:top w:val="nil"/>
              <w:left w:val="nil"/>
              <w:bottom w:val="nil"/>
              <w:right w:val="nil"/>
            </w:tcBorders>
            <w:shd w:val="clear" w:color="auto" w:fill="auto"/>
            <w:noWrap/>
            <w:vAlign w:val="center"/>
            <w:hideMark/>
          </w:tcPr>
          <w:p w14:paraId="70A5E051" w14:textId="4B676D6C" w:rsidR="00FF7B42" w:rsidRPr="00FF7B42" w:rsidRDefault="00FF7B42" w:rsidP="00355DF7">
            <w:pPr>
              <w:jc w:val="right"/>
              <w:rPr>
                <w:color w:val="000000"/>
                <w:sz w:val="16"/>
                <w:szCs w:val="16"/>
              </w:rPr>
            </w:pPr>
            <w:r w:rsidRPr="00FF7B42">
              <w:rPr>
                <w:color w:val="000000"/>
                <w:sz w:val="16"/>
                <w:szCs w:val="16"/>
              </w:rPr>
              <w:t>0.0</w:t>
            </w:r>
          </w:p>
        </w:tc>
        <w:tc>
          <w:tcPr>
            <w:tcW w:w="740" w:type="dxa"/>
            <w:tcBorders>
              <w:top w:val="nil"/>
              <w:left w:val="single" w:sz="4" w:space="0" w:color="auto"/>
              <w:bottom w:val="nil"/>
              <w:right w:val="nil"/>
            </w:tcBorders>
            <w:shd w:val="clear" w:color="auto" w:fill="auto"/>
            <w:noWrap/>
            <w:vAlign w:val="center"/>
            <w:hideMark/>
          </w:tcPr>
          <w:p w14:paraId="269B6F53" w14:textId="77777777" w:rsidR="00FF7B42" w:rsidRPr="00FF7B42" w:rsidRDefault="00FF7B42" w:rsidP="00355DF7">
            <w:pPr>
              <w:jc w:val="right"/>
              <w:rPr>
                <w:color w:val="000000"/>
                <w:sz w:val="16"/>
                <w:szCs w:val="16"/>
              </w:rPr>
            </w:pPr>
            <w:r w:rsidRPr="00FF7B42">
              <w:rPr>
                <w:color w:val="000000"/>
                <w:sz w:val="16"/>
                <w:szCs w:val="16"/>
              </w:rPr>
              <w:t>-</w:t>
            </w:r>
          </w:p>
        </w:tc>
        <w:tc>
          <w:tcPr>
            <w:tcW w:w="1260" w:type="dxa"/>
            <w:tcBorders>
              <w:top w:val="nil"/>
              <w:left w:val="nil"/>
              <w:bottom w:val="nil"/>
              <w:right w:val="nil"/>
            </w:tcBorders>
            <w:shd w:val="clear" w:color="auto" w:fill="auto"/>
            <w:noWrap/>
            <w:vAlign w:val="center"/>
            <w:hideMark/>
          </w:tcPr>
          <w:p w14:paraId="340A8C35" w14:textId="2623EA23" w:rsidR="00FF7B42" w:rsidRPr="00FF7B42" w:rsidRDefault="00FF7B42" w:rsidP="00355DF7">
            <w:pPr>
              <w:jc w:val="right"/>
              <w:rPr>
                <w:color w:val="000000"/>
                <w:sz w:val="16"/>
                <w:szCs w:val="16"/>
              </w:rPr>
            </w:pPr>
            <w:r w:rsidRPr="00FF7B42">
              <w:rPr>
                <w:color w:val="000000"/>
                <w:sz w:val="16"/>
                <w:szCs w:val="16"/>
              </w:rPr>
              <w:t>-</w:t>
            </w:r>
          </w:p>
        </w:tc>
      </w:tr>
      <w:tr w:rsidR="00FF7B42" w:rsidRPr="00FF7B42" w14:paraId="0F9AE236" w14:textId="77777777" w:rsidTr="00355DF7">
        <w:trPr>
          <w:trHeight w:val="300"/>
        </w:trPr>
        <w:tc>
          <w:tcPr>
            <w:tcW w:w="3079" w:type="dxa"/>
            <w:tcBorders>
              <w:top w:val="nil"/>
              <w:left w:val="nil"/>
              <w:bottom w:val="nil"/>
              <w:right w:val="nil"/>
            </w:tcBorders>
            <w:shd w:val="clear" w:color="auto" w:fill="auto"/>
            <w:noWrap/>
            <w:vAlign w:val="center"/>
            <w:hideMark/>
          </w:tcPr>
          <w:p w14:paraId="21F6AECC" w14:textId="1A3CF896" w:rsidR="00FF7B42" w:rsidRPr="00FF7B42" w:rsidRDefault="00FF7B42" w:rsidP="00FF7B42">
            <w:pPr>
              <w:rPr>
                <w:color w:val="000000"/>
                <w:sz w:val="16"/>
                <w:szCs w:val="16"/>
              </w:rPr>
            </w:pPr>
            <w:r w:rsidRPr="00FF7B42">
              <w:rPr>
                <w:color w:val="000000"/>
                <w:sz w:val="16"/>
                <w:szCs w:val="16"/>
              </w:rPr>
              <w:t xml:space="preserve">Access to Market and marketing </w:t>
            </w:r>
            <w:r w:rsidR="00355DF7">
              <w:rPr>
                <w:color w:val="000000"/>
                <w:sz w:val="16"/>
                <w:szCs w:val="16"/>
              </w:rPr>
              <w:t>i</w:t>
            </w:r>
            <w:r w:rsidRPr="00FF7B42">
              <w:rPr>
                <w:color w:val="000000"/>
                <w:sz w:val="16"/>
                <w:szCs w:val="16"/>
              </w:rPr>
              <w:t>nformation</w:t>
            </w:r>
          </w:p>
        </w:tc>
        <w:tc>
          <w:tcPr>
            <w:tcW w:w="869" w:type="dxa"/>
            <w:tcBorders>
              <w:top w:val="nil"/>
              <w:left w:val="nil"/>
              <w:bottom w:val="nil"/>
              <w:right w:val="nil"/>
            </w:tcBorders>
            <w:shd w:val="clear" w:color="auto" w:fill="auto"/>
            <w:noWrap/>
            <w:vAlign w:val="center"/>
            <w:hideMark/>
          </w:tcPr>
          <w:p w14:paraId="0F9C8F25" w14:textId="77777777" w:rsidR="00FF7B42" w:rsidRPr="00FF7B42" w:rsidRDefault="00FF7B42" w:rsidP="00355DF7">
            <w:pPr>
              <w:jc w:val="right"/>
              <w:rPr>
                <w:color w:val="000000"/>
                <w:sz w:val="16"/>
                <w:szCs w:val="16"/>
              </w:rPr>
            </w:pPr>
            <w:r w:rsidRPr="00FF7B42">
              <w:rPr>
                <w:color w:val="000000"/>
                <w:sz w:val="16"/>
                <w:szCs w:val="16"/>
              </w:rPr>
              <w:t>102,912</w:t>
            </w:r>
          </w:p>
        </w:tc>
        <w:tc>
          <w:tcPr>
            <w:tcW w:w="1228" w:type="dxa"/>
            <w:tcBorders>
              <w:top w:val="nil"/>
              <w:left w:val="nil"/>
              <w:bottom w:val="nil"/>
              <w:right w:val="nil"/>
            </w:tcBorders>
            <w:shd w:val="clear" w:color="auto" w:fill="auto"/>
            <w:noWrap/>
            <w:vAlign w:val="center"/>
            <w:hideMark/>
          </w:tcPr>
          <w:p w14:paraId="042C396A" w14:textId="29F7C541" w:rsidR="00FF7B42" w:rsidRPr="00FF7B42" w:rsidRDefault="00FF7B42" w:rsidP="00355DF7">
            <w:pPr>
              <w:jc w:val="right"/>
              <w:rPr>
                <w:color w:val="000000"/>
                <w:sz w:val="16"/>
                <w:szCs w:val="16"/>
              </w:rPr>
            </w:pPr>
            <w:r w:rsidRPr="00FF7B42">
              <w:rPr>
                <w:color w:val="000000"/>
                <w:sz w:val="16"/>
                <w:szCs w:val="16"/>
              </w:rPr>
              <w:t>1.4</w:t>
            </w:r>
          </w:p>
        </w:tc>
        <w:tc>
          <w:tcPr>
            <w:tcW w:w="854" w:type="dxa"/>
            <w:tcBorders>
              <w:top w:val="nil"/>
              <w:left w:val="single" w:sz="4" w:space="0" w:color="auto"/>
              <w:bottom w:val="nil"/>
              <w:right w:val="nil"/>
            </w:tcBorders>
            <w:shd w:val="clear" w:color="auto" w:fill="auto"/>
            <w:noWrap/>
            <w:vAlign w:val="center"/>
            <w:hideMark/>
          </w:tcPr>
          <w:p w14:paraId="2FA3491D" w14:textId="77777777" w:rsidR="00FF7B42" w:rsidRPr="00FF7B42" w:rsidRDefault="00FF7B42" w:rsidP="00355DF7">
            <w:pPr>
              <w:jc w:val="right"/>
              <w:rPr>
                <w:color w:val="000000"/>
                <w:sz w:val="16"/>
                <w:szCs w:val="16"/>
              </w:rPr>
            </w:pPr>
            <w:r w:rsidRPr="00FF7B42">
              <w:rPr>
                <w:color w:val="000000"/>
                <w:sz w:val="16"/>
                <w:szCs w:val="16"/>
              </w:rPr>
              <w:t>102,520</w:t>
            </w:r>
          </w:p>
        </w:tc>
        <w:tc>
          <w:tcPr>
            <w:tcW w:w="1156" w:type="dxa"/>
            <w:tcBorders>
              <w:top w:val="nil"/>
              <w:left w:val="nil"/>
              <w:bottom w:val="nil"/>
              <w:right w:val="nil"/>
            </w:tcBorders>
            <w:shd w:val="clear" w:color="auto" w:fill="auto"/>
            <w:noWrap/>
            <w:vAlign w:val="center"/>
            <w:hideMark/>
          </w:tcPr>
          <w:p w14:paraId="26389A74" w14:textId="254DB79F" w:rsidR="00FF7B42" w:rsidRPr="00FF7B42" w:rsidRDefault="00FF7B42" w:rsidP="00355DF7">
            <w:pPr>
              <w:jc w:val="right"/>
              <w:rPr>
                <w:color w:val="000000"/>
                <w:sz w:val="16"/>
                <w:szCs w:val="16"/>
              </w:rPr>
            </w:pPr>
            <w:r w:rsidRPr="00FF7B42">
              <w:rPr>
                <w:color w:val="000000"/>
                <w:sz w:val="16"/>
                <w:szCs w:val="16"/>
              </w:rPr>
              <w:t>1.4</w:t>
            </w:r>
          </w:p>
        </w:tc>
        <w:tc>
          <w:tcPr>
            <w:tcW w:w="740" w:type="dxa"/>
            <w:tcBorders>
              <w:top w:val="nil"/>
              <w:left w:val="single" w:sz="4" w:space="0" w:color="auto"/>
              <w:bottom w:val="nil"/>
              <w:right w:val="nil"/>
            </w:tcBorders>
            <w:shd w:val="clear" w:color="auto" w:fill="auto"/>
            <w:noWrap/>
            <w:vAlign w:val="center"/>
            <w:hideMark/>
          </w:tcPr>
          <w:p w14:paraId="648A2177" w14:textId="77777777" w:rsidR="00FF7B42" w:rsidRPr="00FF7B42" w:rsidRDefault="00FF7B42" w:rsidP="00355DF7">
            <w:pPr>
              <w:jc w:val="right"/>
              <w:rPr>
                <w:color w:val="000000"/>
                <w:sz w:val="16"/>
                <w:szCs w:val="16"/>
              </w:rPr>
            </w:pPr>
            <w:r w:rsidRPr="00FF7B42">
              <w:rPr>
                <w:color w:val="000000"/>
                <w:sz w:val="16"/>
                <w:szCs w:val="16"/>
              </w:rPr>
              <w:t>392</w:t>
            </w:r>
          </w:p>
        </w:tc>
        <w:tc>
          <w:tcPr>
            <w:tcW w:w="1260" w:type="dxa"/>
            <w:tcBorders>
              <w:top w:val="nil"/>
              <w:left w:val="nil"/>
              <w:bottom w:val="nil"/>
              <w:right w:val="nil"/>
            </w:tcBorders>
            <w:shd w:val="clear" w:color="auto" w:fill="auto"/>
            <w:noWrap/>
            <w:vAlign w:val="center"/>
            <w:hideMark/>
          </w:tcPr>
          <w:p w14:paraId="2232BD74" w14:textId="17004A46" w:rsidR="00FF7B42" w:rsidRPr="00FF7B42" w:rsidRDefault="00FF7B42" w:rsidP="00355DF7">
            <w:pPr>
              <w:jc w:val="right"/>
              <w:rPr>
                <w:color w:val="000000"/>
                <w:sz w:val="16"/>
                <w:szCs w:val="16"/>
              </w:rPr>
            </w:pPr>
            <w:r w:rsidRPr="00FF7B42">
              <w:rPr>
                <w:color w:val="000000"/>
                <w:sz w:val="16"/>
                <w:szCs w:val="16"/>
              </w:rPr>
              <w:t>0.2</w:t>
            </w:r>
          </w:p>
        </w:tc>
      </w:tr>
      <w:tr w:rsidR="00FF7B42" w:rsidRPr="00FF7B42" w14:paraId="6A7E57C2" w14:textId="77777777" w:rsidTr="00355DF7">
        <w:trPr>
          <w:trHeight w:val="300"/>
        </w:trPr>
        <w:tc>
          <w:tcPr>
            <w:tcW w:w="3079" w:type="dxa"/>
            <w:tcBorders>
              <w:top w:val="nil"/>
              <w:left w:val="nil"/>
              <w:bottom w:val="nil"/>
              <w:right w:val="nil"/>
            </w:tcBorders>
            <w:shd w:val="clear" w:color="auto" w:fill="auto"/>
            <w:noWrap/>
            <w:vAlign w:val="center"/>
            <w:hideMark/>
          </w:tcPr>
          <w:p w14:paraId="43E4E7A4" w14:textId="77777777" w:rsidR="00FF7B42" w:rsidRPr="00FF7B42" w:rsidRDefault="00FF7B42" w:rsidP="00FF7B42">
            <w:pPr>
              <w:rPr>
                <w:color w:val="000000"/>
                <w:sz w:val="16"/>
                <w:szCs w:val="16"/>
              </w:rPr>
            </w:pPr>
            <w:r w:rsidRPr="00FF7B42">
              <w:rPr>
                <w:color w:val="000000"/>
                <w:sz w:val="16"/>
                <w:szCs w:val="16"/>
              </w:rPr>
              <w:t>Transportation costs</w:t>
            </w:r>
          </w:p>
        </w:tc>
        <w:tc>
          <w:tcPr>
            <w:tcW w:w="869" w:type="dxa"/>
            <w:tcBorders>
              <w:top w:val="nil"/>
              <w:left w:val="nil"/>
              <w:bottom w:val="nil"/>
              <w:right w:val="nil"/>
            </w:tcBorders>
            <w:shd w:val="clear" w:color="auto" w:fill="auto"/>
            <w:noWrap/>
            <w:vAlign w:val="center"/>
            <w:hideMark/>
          </w:tcPr>
          <w:p w14:paraId="3F9756FE" w14:textId="77777777" w:rsidR="00FF7B42" w:rsidRPr="00FF7B42" w:rsidRDefault="00FF7B42" w:rsidP="00355DF7">
            <w:pPr>
              <w:jc w:val="right"/>
              <w:rPr>
                <w:color w:val="000000"/>
                <w:sz w:val="16"/>
                <w:szCs w:val="16"/>
              </w:rPr>
            </w:pPr>
            <w:r w:rsidRPr="00FF7B42">
              <w:rPr>
                <w:color w:val="000000"/>
                <w:sz w:val="16"/>
                <w:szCs w:val="16"/>
              </w:rPr>
              <w:t>46,788</w:t>
            </w:r>
          </w:p>
        </w:tc>
        <w:tc>
          <w:tcPr>
            <w:tcW w:w="1228" w:type="dxa"/>
            <w:tcBorders>
              <w:top w:val="nil"/>
              <w:left w:val="nil"/>
              <w:bottom w:val="nil"/>
              <w:right w:val="nil"/>
            </w:tcBorders>
            <w:shd w:val="clear" w:color="auto" w:fill="auto"/>
            <w:noWrap/>
            <w:vAlign w:val="center"/>
            <w:hideMark/>
          </w:tcPr>
          <w:p w14:paraId="2BF13500" w14:textId="61B76782" w:rsidR="00FF7B42" w:rsidRPr="00FF7B42" w:rsidRDefault="00FF7B42" w:rsidP="00355DF7">
            <w:pPr>
              <w:jc w:val="right"/>
              <w:rPr>
                <w:color w:val="000000"/>
                <w:sz w:val="16"/>
                <w:szCs w:val="16"/>
              </w:rPr>
            </w:pPr>
            <w:r w:rsidRPr="00FF7B42">
              <w:rPr>
                <w:color w:val="000000"/>
                <w:sz w:val="16"/>
                <w:szCs w:val="16"/>
              </w:rPr>
              <w:t>0.6</w:t>
            </w:r>
          </w:p>
        </w:tc>
        <w:tc>
          <w:tcPr>
            <w:tcW w:w="854" w:type="dxa"/>
            <w:tcBorders>
              <w:top w:val="nil"/>
              <w:left w:val="single" w:sz="4" w:space="0" w:color="auto"/>
              <w:bottom w:val="nil"/>
              <w:right w:val="nil"/>
            </w:tcBorders>
            <w:shd w:val="clear" w:color="auto" w:fill="auto"/>
            <w:noWrap/>
            <w:vAlign w:val="center"/>
            <w:hideMark/>
          </w:tcPr>
          <w:p w14:paraId="5F8B1BF6" w14:textId="77777777" w:rsidR="00FF7B42" w:rsidRPr="00FF7B42" w:rsidRDefault="00FF7B42" w:rsidP="00355DF7">
            <w:pPr>
              <w:jc w:val="right"/>
              <w:rPr>
                <w:color w:val="000000"/>
                <w:sz w:val="16"/>
                <w:szCs w:val="16"/>
              </w:rPr>
            </w:pPr>
            <w:r w:rsidRPr="00FF7B42">
              <w:rPr>
                <w:color w:val="000000"/>
                <w:sz w:val="16"/>
                <w:szCs w:val="16"/>
              </w:rPr>
              <w:t>46,302</w:t>
            </w:r>
          </w:p>
        </w:tc>
        <w:tc>
          <w:tcPr>
            <w:tcW w:w="1156" w:type="dxa"/>
            <w:tcBorders>
              <w:top w:val="nil"/>
              <w:left w:val="nil"/>
              <w:bottom w:val="nil"/>
              <w:right w:val="nil"/>
            </w:tcBorders>
            <w:shd w:val="clear" w:color="auto" w:fill="auto"/>
            <w:noWrap/>
            <w:vAlign w:val="center"/>
            <w:hideMark/>
          </w:tcPr>
          <w:p w14:paraId="76BC99D6" w14:textId="3F681BEB" w:rsidR="00FF7B42" w:rsidRPr="00FF7B42" w:rsidRDefault="00FF7B42" w:rsidP="00355DF7">
            <w:pPr>
              <w:jc w:val="right"/>
              <w:rPr>
                <w:color w:val="000000"/>
                <w:sz w:val="16"/>
                <w:szCs w:val="16"/>
              </w:rPr>
            </w:pPr>
            <w:r w:rsidRPr="00FF7B42">
              <w:rPr>
                <w:color w:val="000000"/>
                <w:sz w:val="16"/>
                <w:szCs w:val="16"/>
              </w:rPr>
              <w:t>0.6</w:t>
            </w:r>
          </w:p>
        </w:tc>
        <w:tc>
          <w:tcPr>
            <w:tcW w:w="740" w:type="dxa"/>
            <w:tcBorders>
              <w:top w:val="nil"/>
              <w:left w:val="single" w:sz="4" w:space="0" w:color="auto"/>
              <w:bottom w:val="nil"/>
              <w:right w:val="nil"/>
            </w:tcBorders>
            <w:shd w:val="clear" w:color="auto" w:fill="auto"/>
            <w:noWrap/>
            <w:vAlign w:val="center"/>
            <w:hideMark/>
          </w:tcPr>
          <w:p w14:paraId="3C668F0B" w14:textId="77777777" w:rsidR="00FF7B42" w:rsidRPr="00FF7B42" w:rsidRDefault="00FF7B42" w:rsidP="00355DF7">
            <w:pPr>
              <w:jc w:val="right"/>
              <w:rPr>
                <w:color w:val="000000"/>
                <w:sz w:val="16"/>
                <w:szCs w:val="16"/>
              </w:rPr>
            </w:pPr>
            <w:r w:rsidRPr="00FF7B42">
              <w:rPr>
                <w:color w:val="000000"/>
                <w:sz w:val="16"/>
                <w:szCs w:val="16"/>
              </w:rPr>
              <w:t>486</w:t>
            </w:r>
          </w:p>
        </w:tc>
        <w:tc>
          <w:tcPr>
            <w:tcW w:w="1260" w:type="dxa"/>
            <w:tcBorders>
              <w:top w:val="nil"/>
              <w:left w:val="nil"/>
              <w:bottom w:val="nil"/>
              <w:right w:val="nil"/>
            </w:tcBorders>
            <w:shd w:val="clear" w:color="auto" w:fill="auto"/>
            <w:noWrap/>
            <w:vAlign w:val="center"/>
            <w:hideMark/>
          </w:tcPr>
          <w:p w14:paraId="458A6CD7" w14:textId="682A845F" w:rsidR="00FF7B42" w:rsidRPr="00FF7B42" w:rsidRDefault="00FF7B42" w:rsidP="00355DF7">
            <w:pPr>
              <w:jc w:val="right"/>
              <w:rPr>
                <w:color w:val="000000"/>
                <w:sz w:val="16"/>
                <w:szCs w:val="16"/>
              </w:rPr>
            </w:pPr>
            <w:r w:rsidRPr="00FF7B42">
              <w:rPr>
                <w:color w:val="000000"/>
                <w:sz w:val="16"/>
                <w:szCs w:val="16"/>
              </w:rPr>
              <w:t>0.3</w:t>
            </w:r>
          </w:p>
        </w:tc>
      </w:tr>
      <w:tr w:rsidR="00FF7B42" w:rsidRPr="00FF7B42" w14:paraId="4C6DBF62" w14:textId="77777777" w:rsidTr="00355DF7">
        <w:trPr>
          <w:trHeight w:val="300"/>
        </w:trPr>
        <w:tc>
          <w:tcPr>
            <w:tcW w:w="3079" w:type="dxa"/>
            <w:tcBorders>
              <w:top w:val="nil"/>
              <w:left w:val="nil"/>
              <w:bottom w:val="nil"/>
              <w:right w:val="nil"/>
            </w:tcBorders>
            <w:shd w:val="clear" w:color="auto" w:fill="auto"/>
            <w:noWrap/>
            <w:vAlign w:val="center"/>
            <w:hideMark/>
          </w:tcPr>
          <w:p w14:paraId="0BF99DA6" w14:textId="77777777" w:rsidR="00FF7B42" w:rsidRPr="00FF7B42" w:rsidRDefault="00FF7B42" w:rsidP="00FF7B42">
            <w:pPr>
              <w:rPr>
                <w:color w:val="000000"/>
                <w:sz w:val="16"/>
                <w:szCs w:val="16"/>
              </w:rPr>
            </w:pPr>
            <w:r w:rsidRPr="00FF7B42">
              <w:rPr>
                <w:color w:val="000000"/>
                <w:sz w:val="16"/>
                <w:szCs w:val="16"/>
              </w:rPr>
              <w:t>Distruction by wild animals</w:t>
            </w:r>
          </w:p>
        </w:tc>
        <w:tc>
          <w:tcPr>
            <w:tcW w:w="869" w:type="dxa"/>
            <w:tcBorders>
              <w:top w:val="nil"/>
              <w:left w:val="nil"/>
              <w:bottom w:val="nil"/>
              <w:right w:val="nil"/>
            </w:tcBorders>
            <w:shd w:val="clear" w:color="auto" w:fill="auto"/>
            <w:noWrap/>
            <w:vAlign w:val="center"/>
            <w:hideMark/>
          </w:tcPr>
          <w:p w14:paraId="02219990" w14:textId="77777777" w:rsidR="00FF7B42" w:rsidRPr="00FF7B42" w:rsidRDefault="00FF7B42" w:rsidP="00355DF7">
            <w:pPr>
              <w:jc w:val="right"/>
              <w:rPr>
                <w:color w:val="000000"/>
                <w:sz w:val="16"/>
                <w:szCs w:val="16"/>
              </w:rPr>
            </w:pPr>
            <w:r w:rsidRPr="00FF7B42">
              <w:rPr>
                <w:color w:val="000000"/>
                <w:sz w:val="16"/>
                <w:szCs w:val="16"/>
              </w:rPr>
              <w:t>262,307</w:t>
            </w:r>
          </w:p>
        </w:tc>
        <w:tc>
          <w:tcPr>
            <w:tcW w:w="1228" w:type="dxa"/>
            <w:tcBorders>
              <w:top w:val="nil"/>
              <w:left w:val="nil"/>
              <w:bottom w:val="nil"/>
              <w:right w:val="nil"/>
            </w:tcBorders>
            <w:shd w:val="clear" w:color="auto" w:fill="auto"/>
            <w:noWrap/>
            <w:vAlign w:val="center"/>
            <w:hideMark/>
          </w:tcPr>
          <w:p w14:paraId="5E0CDBE3" w14:textId="2740B45D" w:rsidR="00FF7B42" w:rsidRPr="00FF7B42" w:rsidRDefault="00FF7B42" w:rsidP="00355DF7">
            <w:pPr>
              <w:jc w:val="right"/>
              <w:rPr>
                <w:color w:val="000000"/>
                <w:sz w:val="16"/>
                <w:szCs w:val="16"/>
              </w:rPr>
            </w:pPr>
            <w:r w:rsidRPr="00FF7B42">
              <w:rPr>
                <w:color w:val="000000"/>
                <w:sz w:val="16"/>
                <w:szCs w:val="16"/>
              </w:rPr>
              <w:t>3.6</w:t>
            </w:r>
          </w:p>
        </w:tc>
        <w:tc>
          <w:tcPr>
            <w:tcW w:w="854" w:type="dxa"/>
            <w:tcBorders>
              <w:top w:val="nil"/>
              <w:left w:val="single" w:sz="4" w:space="0" w:color="auto"/>
              <w:bottom w:val="nil"/>
              <w:right w:val="nil"/>
            </w:tcBorders>
            <w:shd w:val="clear" w:color="auto" w:fill="auto"/>
            <w:noWrap/>
            <w:vAlign w:val="center"/>
            <w:hideMark/>
          </w:tcPr>
          <w:p w14:paraId="2E5C849C" w14:textId="77777777" w:rsidR="00FF7B42" w:rsidRPr="00FF7B42" w:rsidRDefault="00FF7B42" w:rsidP="00355DF7">
            <w:pPr>
              <w:jc w:val="right"/>
              <w:rPr>
                <w:color w:val="000000"/>
                <w:sz w:val="16"/>
                <w:szCs w:val="16"/>
              </w:rPr>
            </w:pPr>
            <w:r w:rsidRPr="00FF7B42">
              <w:rPr>
                <w:color w:val="000000"/>
                <w:sz w:val="16"/>
                <w:szCs w:val="16"/>
              </w:rPr>
              <w:t>244,100</w:t>
            </w:r>
          </w:p>
        </w:tc>
        <w:tc>
          <w:tcPr>
            <w:tcW w:w="1156" w:type="dxa"/>
            <w:tcBorders>
              <w:top w:val="nil"/>
              <w:left w:val="nil"/>
              <w:bottom w:val="nil"/>
              <w:right w:val="nil"/>
            </w:tcBorders>
            <w:shd w:val="clear" w:color="auto" w:fill="auto"/>
            <w:noWrap/>
            <w:vAlign w:val="center"/>
            <w:hideMark/>
          </w:tcPr>
          <w:p w14:paraId="2E5829CB" w14:textId="4B7C1D71" w:rsidR="00FF7B42" w:rsidRPr="00FF7B42" w:rsidRDefault="00FF7B42" w:rsidP="00355DF7">
            <w:pPr>
              <w:jc w:val="right"/>
              <w:rPr>
                <w:color w:val="000000"/>
                <w:sz w:val="16"/>
                <w:szCs w:val="16"/>
              </w:rPr>
            </w:pPr>
            <w:r w:rsidRPr="00FF7B42">
              <w:rPr>
                <w:color w:val="000000"/>
                <w:sz w:val="16"/>
                <w:szCs w:val="16"/>
              </w:rPr>
              <w:t>3.4</w:t>
            </w:r>
          </w:p>
        </w:tc>
        <w:tc>
          <w:tcPr>
            <w:tcW w:w="740" w:type="dxa"/>
            <w:tcBorders>
              <w:top w:val="nil"/>
              <w:left w:val="single" w:sz="4" w:space="0" w:color="auto"/>
              <w:bottom w:val="nil"/>
              <w:right w:val="nil"/>
            </w:tcBorders>
            <w:shd w:val="clear" w:color="auto" w:fill="auto"/>
            <w:noWrap/>
            <w:vAlign w:val="center"/>
            <w:hideMark/>
          </w:tcPr>
          <w:p w14:paraId="0748116A" w14:textId="77777777" w:rsidR="00FF7B42" w:rsidRPr="00FF7B42" w:rsidRDefault="00FF7B42" w:rsidP="00355DF7">
            <w:pPr>
              <w:jc w:val="right"/>
              <w:rPr>
                <w:color w:val="000000"/>
                <w:sz w:val="16"/>
                <w:szCs w:val="16"/>
              </w:rPr>
            </w:pPr>
            <w:r w:rsidRPr="00FF7B42">
              <w:rPr>
                <w:color w:val="000000"/>
                <w:sz w:val="16"/>
                <w:szCs w:val="16"/>
              </w:rPr>
              <w:t>18,207</w:t>
            </w:r>
          </w:p>
        </w:tc>
        <w:tc>
          <w:tcPr>
            <w:tcW w:w="1260" w:type="dxa"/>
            <w:tcBorders>
              <w:top w:val="nil"/>
              <w:left w:val="nil"/>
              <w:bottom w:val="nil"/>
              <w:right w:val="nil"/>
            </w:tcBorders>
            <w:shd w:val="clear" w:color="auto" w:fill="auto"/>
            <w:noWrap/>
            <w:vAlign w:val="center"/>
            <w:hideMark/>
          </w:tcPr>
          <w:p w14:paraId="72D0B99D" w14:textId="69C5E6E9" w:rsidR="00FF7B42" w:rsidRPr="00FF7B42" w:rsidRDefault="00FF7B42" w:rsidP="00355DF7">
            <w:pPr>
              <w:jc w:val="right"/>
              <w:rPr>
                <w:color w:val="000000"/>
                <w:sz w:val="16"/>
                <w:szCs w:val="16"/>
              </w:rPr>
            </w:pPr>
            <w:r w:rsidRPr="00FF7B42">
              <w:rPr>
                <w:color w:val="000000"/>
                <w:sz w:val="16"/>
                <w:szCs w:val="16"/>
              </w:rPr>
              <w:t>11.0</w:t>
            </w:r>
          </w:p>
        </w:tc>
      </w:tr>
      <w:tr w:rsidR="00FF7B42" w:rsidRPr="00FF7B42" w14:paraId="3463FF38" w14:textId="77777777" w:rsidTr="00355DF7">
        <w:trPr>
          <w:trHeight w:val="300"/>
        </w:trPr>
        <w:tc>
          <w:tcPr>
            <w:tcW w:w="3079" w:type="dxa"/>
            <w:tcBorders>
              <w:top w:val="nil"/>
              <w:left w:val="nil"/>
              <w:bottom w:val="nil"/>
              <w:right w:val="nil"/>
            </w:tcBorders>
            <w:shd w:val="clear" w:color="auto" w:fill="auto"/>
            <w:noWrap/>
            <w:vAlign w:val="center"/>
            <w:hideMark/>
          </w:tcPr>
          <w:p w14:paraId="2953FC7A" w14:textId="77777777" w:rsidR="00FF7B42" w:rsidRPr="00FF7B42" w:rsidRDefault="00FF7B42" w:rsidP="00FF7B42">
            <w:pPr>
              <w:rPr>
                <w:color w:val="000000"/>
                <w:sz w:val="16"/>
                <w:szCs w:val="16"/>
              </w:rPr>
            </w:pPr>
            <w:r w:rsidRPr="00FF7B42">
              <w:rPr>
                <w:color w:val="000000"/>
                <w:sz w:val="16"/>
                <w:szCs w:val="16"/>
              </w:rPr>
              <w:t>Crop theft</w:t>
            </w:r>
          </w:p>
        </w:tc>
        <w:tc>
          <w:tcPr>
            <w:tcW w:w="869" w:type="dxa"/>
            <w:tcBorders>
              <w:top w:val="nil"/>
              <w:left w:val="nil"/>
              <w:bottom w:val="nil"/>
              <w:right w:val="nil"/>
            </w:tcBorders>
            <w:shd w:val="clear" w:color="auto" w:fill="auto"/>
            <w:noWrap/>
            <w:vAlign w:val="center"/>
            <w:hideMark/>
          </w:tcPr>
          <w:p w14:paraId="1609A10D" w14:textId="77777777" w:rsidR="00FF7B42" w:rsidRPr="00FF7B42" w:rsidRDefault="00FF7B42" w:rsidP="00355DF7">
            <w:pPr>
              <w:jc w:val="right"/>
              <w:rPr>
                <w:color w:val="000000"/>
                <w:sz w:val="16"/>
                <w:szCs w:val="16"/>
              </w:rPr>
            </w:pPr>
            <w:r w:rsidRPr="00FF7B42">
              <w:rPr>
                <w:color w:val="000000"/>
                <w:sz w:val="16"/>
                <w:szCs w:val="16"/>
              </w:rPr>
              <w:t>89,677</w:t>
            </w:r>
          </w:p>
        </w:tc>
        <w:tc>
          <w:tcPr>
            <w:tcW w:w="1228" w:type="dxa"/>
            <w:tcBorders>
              <w:top w:val="nil"/>
              <w:left w:val="nil"/>
              <w:bottom w:val="nil"/>
              <w:right w:val="nil"/>
            </w:tcBorders>
            <w:shd w:val="clear" w:color="auto" w:fill="auto"/>
            <w:noWrap/>
            <w:vAlign w:val="center"/>
            <w:hideMark/>
          </w:tcPr>
          <w:p w14:paraId="0A742334" w14:textId="589AF8D9" w:rsidR="00FF7B42" w:rsidRPr="00FF7B42" w:rsidRDefault="00FF7B42" w:rsidP="00355DF7">
            <w:pPr>
              <w:jc w:val="right"/>
              <w:rPr>
                <w:color w:val="000000"/>
                <w:sz w:val="16"/>
                <w:szCs w:val="16"/>
              </w:rPr>
            </w:pPr>
            <w:r w:rsidRPr="00FF7B42">
              <w:rPr>
                <w:color w:val="000000"/>
                <w:sz w:val="16"/>
                <w:szCs w:val="16"/>
              </w:rPr>
              <w:t>1.2</w:t>
            </w:r>
          </w:p>
        </w:tc>
        <w:tc>
          <w:tcPr>
            <w:tcW w:w="854" w:type="dxa"/>
            <w:tcBorders>
              <w:top w:val="nil"/>
              <w:left w:val="single" w:sz="4" w:space="0" w:color="auto"/>
              <w:bottom w:val="nil"/>
              <w:right w:val="nil"/>
            </w:tcBorders>
            <w:shd w:val="clear" w:color="auto" w:fill="auto"/>
            <w:noWrap/>
            <w:vAlign w:val="center"/>
            <w:hideMark/>
          </w:tcPr>
          <w:p w14:paraId="24772D34" w14:textId="77777777" w:rsidR="00FF7B42" w:rsidRPr="00FF7B42" w:rsidRDefault="00FF7B42" w:rsidP="00355DF7">
            <w:pPr>
              <w:jc w:val="right"/>
              <w:rPr>
                <w:color w:val="000000"/>
                <w:sz w:val="16"/>
                <w:szCs w:val="16"/>
              </w:rPr>
            </w:pPr>
            <w:r w:rsidRPr="00FF7B42">
              <w:rPr>
                <w:color w:val="000000"/>
                <w:sz w:val="16"/>
                <w:szCs w:val="16"/>
              </w:rPr>
              <w:t>55,316</w:t>
            </w:r>
          </w:p>
        </w:tc>
        <w:tc>
          <w:tcPr>
            <w:tcW w:w="1156" w:type="dxa"/>
            <w:tcBorders>
              <w:top w:val="nil"/>
              <w:left w:val="nil"/>
              <w:bottom w:val="nil"/>
              <w:right w:val="nil"/>
            </w:tcBorders>
            <w:shd w:val="clear" w:color="auto" w:fill="auto"/>
            <w:noWrap/>
            <w:vAlign w:val="center"/>
            <w:hideMark/>
          </w:tcPr>
          <w:p w14:paraId="0B0DD6EC" w14:textId="3CB30F9E" w:rsidR="00FF7B42" w:rsidRPr="00FF7B42" w:rsidRDefault="00FF7B42" w:rsidP="00355DF7">
            <w:pPr>
              <w:jc w:val="right"/>
              <w:rPr>
                <w:color w:val="000000"/>
                <w:sz w:val="16"/>
                <w:szCs w:val="16"/>
              </w:rPr>
            </w:pPr>
            <w:r w:rsidRPr="00FF7B42">
              <w:rPr>
                <w:color w:val="000000"/>
                <w:sz w:val="16"/>
                <w:szCs w:val="16"/>
              </w:rPr>
              <w:t>0.8</w:t>
            </w:r>
          </w:p>
        </w:tc>
        <w:tc>
          <w:tcPr>
            <w:tcW w:w="740" w:type="dxa"/>
            <w:tcBorders>
              <w:top w:val="nil"/>
              <w:left w:val="single" w:sz="4" w:space="0" w:color="auto"/>
              <w:bottom w:val="nil"/>
              <w:right w:val="nil"/>
            </w:tcBorders>
            <w:shd w:val="clear" w:color="auto" w:fill="auto"/>
            <w:noWrap/>
            <w:vAlign w:val="center"/>
            <w:hideMark/>
          </w:tcPr>
          <w:p w14:paraId="2CFAC399" w14:textId="77777777" w:rsidR="00FF7B42" w:rsidRPr="00FF7B42" w:rsidRDefault="00FF7B42" w:rsidP="00355DF7">
            <w:pPr>
              <w:jc w:val="right"/>
              <w:rPr>
                <w:color w:val="000000"/>
                <w:sz w:val="16"/>
                <w:szCs w:val="16"/>
              </w:rPr>
            </w:pPr>
            <w:r w:rsidRPr="00FF7B42">
              <w:rPr>
                <w:color w:val="000000"/>
                <w:sz w:val="16"/>
                <w:szCs w:val="16"/>
              </w:rPr>
              <w:t>34,360</w:t>
            </w:r>
          </w:p>
        </w:tc>
        <w:tc>
          <w:tcPr>
            <w:tcW w:w="1260" w:type="dxa"/>
            <w:tcBorders>
              <w:top w:val="nil"/>
              <w:left w:val="nil"/>
              <w:bottom w:val="nil"/>
              <w:right w:val="nil"/>
            </w:tcBorders>
            <w:shd w:val="clear" w:color="auto" w:fill="auto"/>
            <w:noWrap/>
            <w:vAlign w:val="center"/>
            <w:hideMark/>
          </w:tcPr>
          <w:p w14:paraId="2B2E9056" w14:textId="6EEC4962" w:rsidR="00FF7B42" w:rsidRPr="00FF7B42" w:rsidRDefault="00FF7B42" w:rsidP="00355DF7">
            <w:pPr>
              <w:jc w:val="right"/>
              <w:rPr>
                <w:color w:val="000000"/>
                <w:sz w:val="16"/>
                <w:szCs w:val="16"/>
              </w:rPr>
            </w:pPr>
            <w:r w:rsidRPr="00FF7B42">
              <w:rPr>
                <w:color w:val="000000"/>
                <w:sz w:val="16"/>
                <w:szCs w:val="16"/>
              </w:rPr>
              <w:t>20.8</w:t>
            </w:r>
          </w:p>
        </w:tc>
      </w:tr>
      <w:tr w:rsidR="00FF7B42" w:rsidRPr="00FF7B42" w14:paraId="4B9E1E54" w14:textId="77777777" w:rsidTr="00355DF7">
        <w:trPr>
          <w:trHeight w:val="300"/>
        </w:trPr>
        <w:tc>
          <w:tcPr>
            <w:tcW w:w="3079" w:type="dxa"/>
            <w:tcBorders>
              <w:top w:val="nil"/>
              <w:left w:val="nil"/>
              <w:bottom w:val="nil"/>
              <w:right w:val="nil"/>
            </w:tcBorders>
            <w:shd w:val="clear" w:color="auto" w:fill="auto"/>
            <w:noWrap/>
            <w:vAlign w:val="center"/>
            <w:hideMark/>
          </w:tcPr>
          <w:p w14:paraId="7B42E839" w14:textId="77777777" w:rsidR="00FF7B42" w:rsidRPr="00FF7B42" w:rsidRDefault="00FF7B42" w:rsidP="00FF7B42">
            <w:pPr>
              <w:rPr>
                <w:color w:val="000000"/>
                <w:sz w:val="16"/>
                <w:szCs w:val="16"/>
              </w:rPr>
            </w:pPr>
            <w:r w:rsidRPr="00FF7B42">
              <w:rPr>
                <w:color w:val="000000"/>
                <w:sz w:val="16"/>
                <w:szCs w:val="16"/>
              </w:rPr>
              <w:t>Livestock theft</w:t>
            </w:r>
          </w:p>
        </w:tc>
        <w:tc>
          <w:tcPr>
            <w:tcW w:w="869" w:type="dxa"/>
            <w:tcBorders>
              <w:top w:val="nil"/>
              <w:left w:val="nil"/>
              <w:bottom w:val="nil"/>
              <w:right w:val="nil"/>
            </w:tcBorders>
            <w:shd w:val="clear" w:color="auto" w:fill="auto"/>
            <w:noWrap/>
            <w:vAlign w:val="center"/>
            <w:hideMark/>
          </w:tcPr>
          <w:p w14:paraId="50D3CD97" w14:textId="77777777" w:rsidR="00FF7B42" w:rsidRPr="00FF7B42" w:rsidRDefault="00FF7B42" w:rsidP="00355DF7">
            <w:pPr>
              <w:jc w:val="right"/>
              <w:rPr>
                <w:color w:val="000000"/>
                <w:sz w:val="16"/>
                <w:szCs w:val="16"/>
              </w:rPr>
            </w:pPr>
            <w:r w:rsidRPr="00FF7B42">
              <w:rPr>
                <w:color w:val="000000"/>
                <w:sz w:val="16"/>
                <w:szCs w:val="16"/>
              </w:rPr>
              <w:t>25,381</w:t>
            </w:r>
          </w:p>
        </w:tc>
        <w:tc>
          <w:tcPr>
            <w:tcW w:w="1228" w:type="dxa"/>
            <w:tcBorders>
              <w:top w:val="nil"/>
              <w:left w:val="nil"/>
              <w:bottom w:val="nil"/>
              <w:right w:val="nil"/>
            </w:tcBorders>
            <w:shd w:val="clear" w:color="auto" w:fill="auto"/>
            <w:noWrap/>
            <w:vAlign w:val="center"/>
            <w:hideMark/>
          </w:tcPr>
          <w:p w14:paraId="6882EF7F" w14:textId="0C770470" w:rsidR="00FF7B42" w:rsidRPr="00FF7B42" w:rsidRDefault="00FF7B42" w:rsidP="00355DF7">
            <w:pPr>
              <w:jc w:val="right"/>
              <w:rPr>
                <w:color w:val="000000"/>
                <w:sz w:val="16"/>
                <w:szCs w:val="16"/>
              </w:rPr>
            </w:pPr>
            <w:r w:rsidRPr="00FF7B42">
              <w:rPr>
                <w:color w:val="000000"/>
                <w:sz w:val="16"/>
                <w:szCs w:val="16"/>
              </w:rPr>
              <w:t>0.3</w:t>
            </w:r>
          </w:p>
        </w:tc>
        <w:tc>
          <w:tcPr>
            <w:tcW w:w="854" w:type="dxa"/>
            <w:tcBorders>
              <w:top w:val="nil"/>
              <w:left w:val="single" w:sz="4" w:space="0" w:color="auto"/>
              <w:bottom w:val="nil"/>
              <w:right w:val="nil"/>
            </w:tcBorders>
            <w:shd w:val="clear" w:color="auto" w:fill="auto"/>
            <w:noWrap/>
            <w:vAlign w:val="center"/>
            <w:hideMark/>
          </w:tcPr>
          <w:p w14:paraId="022ACC95" w14:textId="77777777" w:rsidR="00FF7B42" w:rsidRPr="00FF7B42" w:rsidRDefault="00FF7B42" w:rsidP="00355DF7">
            <w:pPr>
              <w:jc w:val="right"/>
              <w:rPr>
                <w:color w:val="000000"/>
                <w:sz w:val="16"/>
                <w:szCs w:val="16"/>
              </w:rPr>
            </w:pPr>
            <w:r w:rsidRPr="00FF7B42">
              <w:rPr>
                <w:color w:val="000000"/>
                <w:sz w:val="16"/>
                <w:szCs w:val="16"/>
              </w:rPr>
              <w:t>17,037</w:t>
            </w:r>
          </w:p>
        </w:tc>
        <w:tc>
          <w:tcPr>
            <w:tcW w:w="1156" w:type="dxa"/>
            <w:tcBorders>
              <w:top w:val="nil"/>
              <w:left w:val="nil"/>
              <w:bottom w:val="nil"/>
              <w:right w:val="nil"/>
            </w:tcBorders>
            <w:shd w:val="clear" w:color="auto" w:fill="auto"/>
            <w:noWrap/>
            <w:vAlign w:val="center"/>
            <w:hideMark/>
          </w:tcPr>
          <w:p w14:paraId="3EF723C1" w14:textId="781E925C" w:rsidR="00FF7B42" w:rsidRPr="00FF7B42" w:rsidRDefault="00FF7B42" w:rsidP="00355DF7">
            <w:pPr>
              <w:jc w:val="right"/>
              <w:rPr>
                <w:color w:val="000000"/>
                <w:sz w:val="16"/>
                <w:szCs w:val="16"/>
              </w:rPr>
            </w:pPr>
            <w:r w:rsidRPr="00FF7B42">
              <w:rPr>
                <w:color w:val="000000"/>
                <w:sz w:val="16"/>
                <w:szCs w:val="16"/>
              </w:rPr>
              <w:t>0.2</w:t>
            </w:r>
          </w:p>
        </w:tc>
        <w:tc>
          <w:tcPr>
            <w:tcW w:w="740" w:type="dxa"/>
            <w:tcBorders>
              <w:top w:val="nil"/>
              <w:left w:val="single" w:sz="4" w:space="0" w:color="auto"/>
              <w:bottom w:val="nil"/>
              <w:right w:val="nil"/>
            </w:tcBorders>
            <w:shd w:val="clear" w:color="auto" w:fill="auto"/>
            <w:noWrap/>
            <w:vAlign w:val="center"/>
            <w:hideMark/>
          </w:tcPr>
          <w:p w14:paraId="2A2382BA" w14:textId="77777777" w:rsidR="00FF7B42" w:rsidRPr="00FF7B42" w:rsidRDefault="00FF7B42" w:rsidP="00355DF7">
            <w:pPr>
              <w:jc w:val="right"/>
              <w:rPr>
                <w:color w:val="000000"/>
                <w:sz w:val="16"/>
                <w:szCs w:val="16"/>
              </w:rPr>
            </w:pPr>
            <w:r w:rsidRPr="00FF7B42">
              <w:rPr>
                <w:color w:val="000000"/>
                <w:sz w:val="16"/>
                <w:szCs w:val="16"/>
              </w:rPr>
              <w:t>8,344</w:t>
            </w:r>
          </w:p>
        </w:tc>
        <w:tc>
          <w:tcPr>
            <w:tcW w:w="1260" w:type="dxa"/>
            <w:tcBorders>
              <w:top w:val="nil"/>
              <w:left w:val="nil"/>
              <w:bottom w:val="nil"/>
              <w:right w:val="nil"/>
            </w:tcBorders>
            <w:shd w:val="clear" w:color="auto" w:fill="auto"/>
            <w:noWrap/>
            <w:vAlign w:val="center"/>
            <w:hideMark/>
          </w:tcPr>
          <w:p w14:paraId="2F5ADB5C" w14:textId="3AA093FB" w:rsidR="00FF7B42" w:rsidRPr="00FF7B42" w:rsidRDefault="00FF7B42" w:rsidP="00355DF7">
            <w:pPr>
              <w:jc w:val="right"/>
              <w:rPr>
                <w:color w:val="000000"/>
                <w:sz w:val="16"/>
                <w:szCs w:val="16"/>
              </w:rPr>
            </w:pPr>
            <w:r w:rsidRPr="00FF7B42">
              <w:rPr>
                <w:color w:val="000000"/>
                <w:sz w:val="16"/>
                <w:szCs w:val="16"/>
              </w:rPr>
              <w:t>5.1</w:t>
            </w:r>
          </w:p>
        </w:tc>
      </w:tr>
      <w:tr w:rsidR="00FF7B42" w:rsidRPr="00FF7B42" w14:paraId="3CB80236" w14:textId="77777777" w:rsidTr="00355DF7">
        <w:trPr>
          <w:trHeight w:val="300"/>
        </w:trPr>
        <w:tc>
          <w:tcPr>
            <w:tcW w:w="3079" w:type="dxa"/>
            <w:tcBorders>
              <w:top w:val="nil"/>
              <w:left w:val="nil"/>
              <w:bottom w:val="nil"/>
              <w:right w:val="nil"/>
            </w:tcBorders>
            <w:shd w:val="clear" w:color="auto" w:fill="auto"/>
            <w:noWrap/>
            <w:vAlign w:val="center"/>
            <w:hideMark/>
          </w:tcPr>
          <w:p w14:paraId="0BFE686A" w14:textId="77777777" w:rsidR="00FF7B42" w:rsidRPr="00FF7B42" w:rsidRDefault="00FF7B42" w:rsidP="00FF7B42">
            <w:pPr>
              <w:rPr>
                <w:color w:val="000000"/>
                <w:sz w:val="16"/>
                <w:szCs w:val="16"/>
              </w:rPr>
            </w:pPr>
            <w:r w:rsidRPr="00FF7B42">
              <w:rPr>
                <w:color w:val="000000"/>
                <w:sz w:val="16"/>
                <w:szCs w:val="16"/>
              </w:rPr>
              <w:t>Pests and Diseases</w:t>
            </w:r>
          </w:p>
        </w:tc>
        <w:tc>
          <w:tcPr>
            <w:tcW w:w="869" w:type="dxa"/>
            <w:tcBorders>
              <w:top w:val="nil"/>
              <w:left w:val="nil"/>
              <w:bottom w:val="nil"/>
              <w:right w:val="nil"/>
            </w:tcBorders>
            <w:shd w:val="clear" w:color="auto" w:fill="auto"/>
            <w:noWrap/>
            <w:vAlign w:val="center"/>
            <w:hideMark/>
          </w:tcPr>
          <w:p w14:paraId="39F87390" w14:textId="77777777" w:rsidR="00FF7B42" w:rsidRPr="00FF7B42" w:rsidRDefault="00FF7B42" w:rsidP="00355DF7">
            <w:pPr>
              <w:jc w:val="right"/>
              <w:rPr>
                <w:color w:val="000000"/>
                <w:sz w:val="16"/>
                <w:szCs w:val="16"/>
              </w:rPr>
            </w:pPr>
            <w:r w:rsidRPr="00FF7B42">
              <w:rPr>
                <w:color w:val="000000"/>
                <w:sz w:val="16"/>
                <w:szCs w:val="16"/>
              </w:rPr>
              <w:t>495,102</w:t>
            </w:r>
          </w:p>
        </w:tc>
        <w:tc>
          <w:tcPr>
            <w:tcW w:w="1228" w:type="dxa"/>
            <w:tcBorders>
              <w:top w:val="nil"/>
              <w:left w:val="nil"/>
              <w:bottom w:val="nil"/>
              <w:right w:val="nil"/>
            </w:tcBorders>
            <w:shd w:val="clear" w:color="auto" w:fill="auto"/>
            <w:noWrap/>
            <w:vAlign w:val="center"/>
            <w:hideMark/>
          </w:tcPr>
          <w:p w14:paraId="0B7638FA" w14:textId="39C193B5" w:rsidR="00FF7B42" w:rsidRPr="00FF7B42" w:rsidRDefault="00FF7B42" w:rsidP="00355DF7">
            <w:pPr>
              <w:jc w:val="right"/>
              <w:rPr>
                <w:color w:val="000000"/>
                <w:sz w:val="16"/>
                <w:szCs w:val="16"/>
              </w:rPr>
            </w:pPr>
            <w:r w:rsidRPr="00FF7B42">
              <w:rPr>
                <w:color w:val="000000"/>
                <w:sz w:val="16"/>
                <w:szCs w:val="16"/>
              </w:rPr>
              <w:t>6.7</w:t>
            </w:r>
          </w:p>
        </w:tc>
        <w:tc>
          <w:tcPr>
            <w:tcW w:w="854" w:type="dxa"/>
            <w:tcBorders>
              <w:top w:val="nil"/>
              <w:left w:val="single" w:sz="4" w:space="0" w:color="auto"/>
              <w:bottom w:val="nil"/>
              <w:right w:val="nil"/>
            </w:tcBorders>
            <w:shd w:val="clear" w:color="auto" w:fill="auto"/>
            <w:noWrap/>
            <w:vAlign w:val="center"/>
            <w:hideMark/>
          </w:tcPr>
          <w:p w14:paraId="5174843E" w14:textId="77777777" w:rsidR="00FF7B42" w:rsidRPr="00FF7B42" w:rsidRDefault="00FF7B42" w:rsidP="00355DF7">
            <w:pPr>
              <w:jc w:val="right"/>
              <w:rPr>
                <w:color w:val="000000"/>
                <w:sz w:val="16"/>
                <w:szCs w:val="16"/>
              </w:rPr>
            </w:pPr>
            <w:r w:rsidRPr="00FF7B42">
              <w:rPr>
                <w:color w:val="000000"/>
                <w:sz w:val="16"/>
                <w:szCs w:val="16"/>
              </w:rPr>
              <w:t>476,974</w:t>
            </w:r>
          </w:p>
        </w:tc>
        <w:tc>
          <w:tcPr>
            <w:tcW w:w="1156" w:type="dxa"/>
            <w:tcBorders>
              <w:top w:val="nil"/>
              <w:left w:val="nil"/>
              <w:bottom w:val="nil"/>
              <w:right w:val="nil"/>
            </w:tcBorders>
            <w:shd w:val="clear" w:color="auto" w:fill="auto"/>
            <w:noWrap/>
            <w:vAlign w:val="center"/>
            <w:hideMark/>
          </w:tcPr>
          <w:p w14:paraId="7E022BEA" w14:textId="57F44F73" w:rsidR="00FF7B42" w:rsidRPr="00FF7B42" w:rsidRDefault="00FF7B42" w:rsidP="00355DF7">
            <w:pPr>
              <w:jc w:val="right"/>
              <w:rPr>
                <w:color w:val="000000"/>
                <w:sz w:val="16"/>
                <w:szCs w:val="16"/>
              </w:rPr>
            </w:pPr>
            <w:r w:rsidRPr="00FF7B42">
              <w:rPr>
                <w:color w:val="000000"/>
                <w:sz w:val="16"/>
                <w:szCs w:val="16"/>
              </w:rPr>
              <w:t>6.6</w:t>
            </w:r>
          </w:p>
        </w:tc>
        <w:tc>
          <w:tcPr>
            <w:tcW w:w="740" w:type="dxa"/>
            <w:tcBorders>
              <w:top w:val="nil"/>
              <w:left w:val="single" w:sz="4" w:space="0" w:color="auto"/>
              <w:bottom w:val="nil"/>
              <w:right w:val="nil"/>
            </w:tcBorders>
            <w:shd w:val="clear" w:color="auto" w:fill="auto"/>
            <w:noWrap/>
            <w:vAlign w:val="center"/>
            <w:hideMark/>
          </w:tcPr>
          <w:p w14:paraId="345BB7B4" w14:textId="77777777" w:rsidR="00FF7B42" w:rsidRPr="00FF7B42" w:rsidRDefault="00FF7B42" w:rsidP="00355DF7">
            <w:pPr>
              <w:jc w:val="right"/>
              <w:rPr>
                <w:color w:val="000000"/>
                <w:sz w:val="16"/>
                <w:szCs w:val="16"/>
              </w:rPr>
            </w:pPr>
            <w:r w:rsidRPr="00FF7B42">
              <w:rPr>
                <w:color w:val="000000"/>
                <w:sz w:val="16"/>
                <w:szCs w:val="16"/>
              </w:rPr>
              <w:t>18,128</w:t>
            </w:r>
          </w:p>
        </w:tc>
        <w:tc>
          <w:tcPr>
            <w:tcW w:w="1260" w:type="dxa"/>
            <w:tcBorders>
              <w:top w:val="nil"/>
              <w:left w:val="nil"/>
              <w:bottom w:val="nil"/>
              <w:right w:val="nil"/>
            </w:tcBorders>
            <w:shd w:val="clear" w:color="auto" w:fill="auto"/>
            <w:noWrap/>
            <w:vAlign w:val="center"/>
            <w:hideMark/>
          </w:tcPr>
          <w:p w14:paraId="3DA34C6F" w14:textId="4B2CBD5F" w:rsidR="00FF7B42" w:rsidRPr="00FF7B42" w:rsidRDefault="00FF7B42" w:rsidP="00355DF7">
            <w:pPr>
              <w:jc w:val="right"/>
              <w:rPr>
                <w:color w:val="000000"/>
                <w:sz w:val="16"/>
                <w:szCs w:val="16"/>
              </w:rPr>
            </w:pPr>
            <w:r w:rsidRPr="00FF7B42">
              <w:rPr>
                <w:color w:val="000000"/>
                <w:sz w:val="16"/>
                <w:szCs w:val="16"/>
              </w:rPr>
              <w:t>11.0</w:t>
            </w:r>
          </w:p>
        </w:tc>
      </w:tr>
      <w:tr w:rsidR="00FF7B42" w:rsidRPr="00FF7B42" w14:paraId="131AC439" w14:textId="77777777" w:rsidTr="00355DF7">
        <w:trPr>
          <w:trHeight w:val="300"/>
        </w:trPr>
        <w:tc>
          <w:tcPr>
            <w:tcW w:w="3079" w:type="dxa"/>
            <w:tcBorders>
              <w:top w:val="nil"/>
              <w:left w:val="nil"/>
              <w:bottom w:val="nil"/>
              <w:right w:val="nil"/>
            </w:tcBorders>
            <w:shd w:val="clear" w:color="auto" w:fill="auto"/>
            <w:noWrap/>
            <w:vAlign w:val="center"/>
            <w:hideMark/>
          </w:tcPr>
          <w:p w14:paraId="7A399AD2" w14:textId="77777777" w:rsidR="00FF7B42" w:rsidRPr="00FF7B42" w:rsidRDefault="00FF7B42" w:rsidP="00FF7B42">
            <w:pPr>
              <w:rPr>
                <w:color w:val="000000"/>
                <w:sz w:val="16"/>
                <w:szCs w:val="16"/>
              </w:rPr>
            </w:pPr>
            <w:r w:rsidRPr="00FF7B42">
              <w:rPr>
                <w:color w:val="000000"/>
                <w:sz w:val="16"/>
                <w:szCs w:val="16"/>
              </w:rPr>
              <w:t>Cess</w:t>
            </w:r>
          </w:p>
        </w:tc>
        <w:tc>
          <w:tcPr>
            <w:tcW w:w="869" w:type="dxa"/>
            <w:tcBorders>
              <w:top w:val="nil"/>
              <w:left w:val="nil"/>
              <w:bottom w:val="nil"/>
              <w:right w:val="nil"/>
            </w:tcBorders>
            <w:shd w:val="clear" w:color="auto" w:fill="auto"/>
            <w:noWrap/>
            <w:vAlign w:val="center"/>
            <w:hideMark/>
          </w:tcPr>
          <w:p w14:paraId="0EF555E4" w14:textId="77777777" w:rsidR="00FF7B42" w:rsidRPr="00FF7B42" w:rsidRDefault="00FF7B42" w:rsidP="00355DF7">
            <w:pPr>
              <w:jc w:val="right"/>
              <w:rPr>
                <w:color w:val="000000"/>
                <w:sz w:val="16"/>
                <w:szCs w:val="16"/>
              </w:rPr>
            </w:pPr>
            <w:r w:rsidRPr="00FF7B42">
              <w:rPr>
                <w:color w:val="000000"/>
                <w:sz w:val="16"/>
                <w:szCs w:val="16"/>
              </w:rPr>
              <w:t>10,059</w:t>
            </w:r>
          </w:p>
        </w:tc>
        <w:tc>
          <w:tcPr>
            <w:tcW w:w="1228" w:type="dxa"/>
            <w:tcBorders>
              <w:top w:val="nil"/>
              <w:left w:val="nil"/>
              <w:bottom w:val="nil"/>
              <w:right w:val="nil"/>
            </w:tcBorders>
            <w:shd w:val="clear" w:color="auto" w:fill="auto"/>
            <w:noWrap/>
            <w:vAlign w:val="center"/>
            <w:hideMark/>
          </w:tcPr>
          <w:p w14:paraId="74ECB902" w14:textId="097A15E6" w:rsidR="00FF7B42" w:rsidRPr="00FF7B42" w:rsidRDefault="00FF7B42" w:rsidP="00355DF7">
            <w:pPr>
              <w:jc w:val="right"/>
              <w:rPr>
                <w:color w:val="000000"/>
                <w:sz w:val="16"/>
                <w:szCs w:val="16"/>
              </w:rPr>
            </w:pPr>
            <w:r w:rsidRPr="00FF7B42">
              <w:rPr>
                <w:color w:val="000000"/>
                <w:sz w:val="16"/>
                <w:szCs w:val="16"/>
              </w:rPr>
              <w:t>0.1</w:t>
            </w:r>
          </w:p>
        </w:tc>
        <w:tc>
          <w:tcPr>
            <w:tcW w:w="854" w:type="dxa"/>
            <w:tcBorders>
              <w:top w:val="nil"/>
              <w:left w:val="single" w:sz="4" w:space="0" w:color="auto"/>
              <w:bottom w:val="nil"/>
              <w:right w:val="nil"/>
            </w:tcBorders>
            <w:shd w:val="clear" w:color="auto" w:fill="auto"/>
            <w:noWrap/>
            <w:vAlign w:val="center"/>
            <w:hideMark/>
          </w:tcPr>
          <w:p w14:paraId="38826FDF" w14:textId="77777777" w:rsidR="00FF7B42" w:rsidRPr="00FF7B42" w:rsidRDefault="00FF7B42" w:rsidP="00355DF7">
            <w:pPr>
              <w:jc w:val="right"/>
              <w:rPr>
                <w:color w:val="000000"/>
                <w:sz w:val="16"/>
                <w:szCs w:val="16"/>
              </w:rPr>
            </w:pPr>
            <w:r w:rsidRPr="00FF7B42">
              <w:rPr>
                <w:color w:val="000000"/>
                <w:sz w:val="16"/>
                <w:szCs w:val="16"/>
              </w:rPr>
              <w:t>10,002</w:t>
            </w:r>
          </w:p>
        </w:tc>
        <w:tc>
          <w:tcPr>
            <w:tcW w:w="1156" w:type="dxa"/>
            <w:tcBorders>
              <w:top w:val="nil"/>
              <w:left w:val="nil"/>
              <w:bottom w:val="nil"/>
              <w:right w:val="nil"/>
            </w:tcBorders>
            <w:shd w:val="clear" w:color="auto" w:fill="auto"/>
            <w:noWrap/>
            <w:vAlign w:val="center"/>
            <w:hideMark/>
          </w:tcPr>
          <w:p w14:paraId="7F0A9872" w14:textId="377B5143" w:rsidR="00FF7B42" w:rsidRPr="00FF7B42" w:rsidRDefault="00FF7B42" w:rsidP="00355DF7">
            <w:pPr>
              <w:jc w:val="right"/>
              <w:rPr>
                <w:color w:val="000000"/>
                <w:sz w:val="16"/>
                <w:szCs w:val="16"/>
              </w:rPr>
            </w:pPr>
            <w:r w:rsidRPr="00FF7B42">
              <w:rPr>
                <w:color w:val="000000"/>
                <w:sz w:val="16"/>
                <w:szCs w:val="16"/>
              </w:rPr>
              <w:t>0.1</w:t>
            </w:r>
          </w:p>
        </w:tc>
        <w:tc>
          <w:tcPr>
            <w:tcW w:w="740" w:type="dxa"/>
            <w:tcBorders>
              <w:top w:val="nil"/>
              <w:left w:val="single" w:sz="4" w:space="0" w:color="auto"/>
              <w:bottom w:val="nil"/>
              <w:right w:val="nil"/>
            </w:tcBorders>
            <w:shd w:val="clear" w:color="auto" w:fill="auto"/>
            <w:noWrap/>
            <w:vAlign w:val="center"/>
            <w:hideMark/>
          </w:tcPr>
          <w:p w14:paraId="548756D5" w14:textId="77777777" w:rsidR="00FF7B42" w:rsidRPr="00FF7B42" w:rsidRDefault="00FF7B42" w:rsidP="00355DF7">
            <w:pPr>
              <w:jc w:val="right"/>
              <w:rPr>
                <w:color w:val="000000"/>
                <w:sz w:val="16"/>
                <w:szCs w:val="16"/>
              </w:rPr>
            </w:pPr>
            <w:r w:rsidRPr="00FF7B42">
              <w:rPr>
                <w:color w:val="000000"/>
                <w:sz w:val="16"/>
                <w:szCs w:val="16"/>
              </w:rPr>
              <w:t>57</w:t>
            </w:r>
          </w:p>
        </w:tc>
        <w:tc>
          <w:tcPr>
            <w:tcW w:w="1260" w:type="dxa"/>
            <w:tcBorders>
              <w:top w:val="nil"/>
              <w:left w:val="nil"/>
              <w:bottom w:val="nil"/>
              <w:right w:val="nil"/>
            </w:tcBorders>
            <w:shd w:val="clear" w:color="auto" w:fill="auto"/>
            <w:noWrap/>
            <w:vAlign w:val="center"/>
            <w:hideMark/>
          </w:tcPr>
          <w:p w14:paraId="671B0850" w14:textId="60F90D99" w:rsidR="00FF7B42" w:rsidRPr="00FF7B42" w:rsidRDefault="00FF7B42" w:rsidP="00355DF7">
            <w:pPr>
              <w:jc w:val="right"/>
              <w:rPr>
                <w:color w:val="000000"/>
                <w:sz w:val="16"/>
                <w:szCs w:val="16"/>
              </w:rPr>
            </w:pPr>
            <w:r w:rsidRPr="00FF7B42">
              <w:rPr>
                <w:color w:val="000000"/>
                <w:sz w:val="16"/>
                <w:szCs w:val="16"/>
              </w:rPr>
              <w:t>0.0</w:t>
            </w:r>
          </w:p>
        </w:tc>
      </w:tr>
      <w:tr w:rsidR="00FF7B42" w:rsidRPr="00FF7B42" w14:paraId="1C02775A" w14:textId="77777777" w:rsidTr="00355DF7">
        <w:trPr>
          <w:trHeight w:val="300"/>
        </w:trPr>
        <w:tc>
          <w:tcPr>
            <w:tcW w:w="3079" w:type="dxa"/>
            <w:tcBorders>
              <w:top w:val="nil"/>
              <w:left w:val="nil"/>
              <w:bottom w:val="nil"/>
              <w:right w:val="nil"/>
            </w:tcBorders>
            <w:shd w:val="clear" w:color="auto" w:fill="auto"/>
            <w:noWrap/>
            <w:vAlign w:val="center"/>
            <w:hideMark/>
          </w:tcPr>
          <w:p w14:paraId="04E68C69" w14:textId="77777777" w:rsidR="00FF7B42" w:rsidRPr="00FF7B42" w:rsidRDefault="00FF7B42" w:rsidP="00FF7B42">
            <w:pPr>
              <w:rPr>
                <w:color w:val="000000"/>
                <w:sz w:val="16"/>
                <w:szCs w:val="16"/>
              </w:rPr>
            </w:pPr>
            <w:r w:rsidRPr="00FF7B42">
              <w:rPr>
                <w:color w:val="000000"/>
                <w:sz w:val="16"/>
                <w:szCs w:val="16"/>
              </w:rPr>
              <w:t>Off-farm Income</w:t>
            </w:r>
          </w:p>
        </w:tc>
        <w:tc>
          <w:tcPr>
            <w:tcW w:w="869" w:type="dxa"/>
            <w:tcBorders>
              <w:top w:val="nil"/>
              <w:left w:val="nil"/>
              <w:bottom w:val="nil"/>
              <w:right w:val="nil"/>
            </w:tcBorders>
            <w:shd w:val="clear" w:color="auto" w:fill="auto"/>
            <w:noWrap/>
            <w:vAlign w:val="center"/>
            <w:hideMark/>
          </w:tcPr>
          <w:p w14:paraId="1BA5597C" w14:textId="77777777" w:rsidR="00FF7B42" w:rsidRPr="00FF7B42" w:rsidRDefault="00FF7B42" w:rsidP="00355DF7">
            <w:pPr>
              <w:jc w:val="right"/>
              <w:rPr>
                <w:color w:val="000000"/>
                <w:sz w:val="16"/>
                <w:szCs w:val="16"/>
              </w:rPr>
            </w:pPr>
            <w:r w:rsidRPr="00FF7B42">
              <w:rPr>
                <w:color w:val="000000"/>
                <w:sz w:val="16"/>
                <w:szCs w:val="16"/>
              </w:rPr>
              <w:t>53,199</w:t>
            </w:r>
          </w:p>
        </w:tc>
        <w:tc>
          <w:tcPr>
            <w:tcW w:w="1228" w:type="dxa"/>
            <w:tcBorders>
              <w:top w:val="nil"/>
              <w:left w:val="nil"/>
              <w:bottom w:val="nil"/>
              <w:right w:val="nil"/>
            </w:tcBorders>
            <w:shd w:val="clear" w:color="auto" w:fill="auto"/>
            <w:noWrap/>
            <w:vAlign w:val="center"/>
            <w:hideMark/>
          </w:tcPr>
          <w:p w14:paraId="3166AC82" w14:textId="7E85017A" w:rsidR="00FF7B42" w:rsidRPr="00FF7B42" w:rsidRDefault="00FF7B42" w:rsidP="00355DF7">
            <w:pPr>
              <w:jc w:val="right"/>
              <w:rPr>
                <w:color w:val="000000"/>
                <w:sz w:val="16"/>
                <w:szCs w:val="16"/>
              </w:rPr>
            </w:pPr>
            <w:r w:rsidRPr="00FF7B42">
              <w:rPr>
                <w:color w:val="000000"/>
                <w:sz w:val="16"/>
                <w:szCs w:val="16"/>
              </w:rPr>
              <w:t>0.7</w:t>
            </w:r>
          </w:p>
        </w:tc>
        <w:tc>
          <w:tcPr>
            <w:tcW w:w="854" w:type="dxa"/>
            <w:tcBorders>
              <w:top w:val="nil"/>
              <w:left w:val="single" w:sz="4" w:space="0" w:color="auto"/>
              <w:bottom w:val="nil"/>
              <w:right w:val="nil"/>
            </w:tcBorders>
            <w:shd w:val="clear" w:color="auto" w:fill="auto"/>
            <w:noWrap/>
            <w:vAlign w:val="center"/>
            <w:hideMark/>
          </w:tcPr>
          <w:p w14:paraId="4AF4D57C" w14:textId="77777777" w:rsidR="00FF7B42" w:rsidRPr="00FF7B42" w:rsidRDefault="00FF7B42" w:rsidP="00355DF7">
            <w:pPr>
              <w:jc w:val="right"/>
              <w:rPr>
                <w:color w:val="000000"/>
                <w:sz w:val="16"/>
                <w:szCs w:val="16"/>
              </w:rPr>
            </w:pPr>
            <w:r w:rsidRPr="00FF7B42">
              <w:rPr>
                <w:color w:val="000000"/>
                <w:sz w:val="16"/>
                <w:szCs w:val="16"/>
              </w:rPr>
              <w:t>52,617</w:t>
            </w:r>
          </w:p>
        </w:tc>
        <w:tc>
          <w:tcPr>
            <w:tcW w:w="1156" w:type="dxa"/>
            <w:tcBorders>
              <w:top w:val="nil"/>
              <w:left w:val="nil"/>
              <w:bottom w:val="nil"/>
              <w:right w:val="nil"/>
            </w:tcBorders>
            <w:shd w:val="clear" w:color="auto" w:fill="auto"/>
            <w:noWrap/>
            <w:vAlign w:val="center"/>
            <w:hideMark/>
          </w:tcPr>
          <w:p w14:paraId="2DAEE338" w14:textId="60AF3EFB" w:rsidR="00FF7B42" w:rsidRPr="00FF7B42" w:rsidRDefault="00FF7B42" w:rsidP="00355DF7">
            <w:pPr>
              <w:jc w:val="right"/>
              <w:rPr>
                <w:color w:val="000000"/>
                <w:sz w:val="16"/>
                <w:szCs w:val="16"/>
              </w:rPr>
            </w:pPr>
            <w:r w:rsidRPr="00FF7B42">
              <w:rPr>
                <w:color w:val="000000"/>
                <w:sz w:val="16"/>
                <w:szCs w:val="16"/>
              </w:rPr>
              <w:t>0.7</w:t>
            </w:r>
          </w:p>
        </w:tc>
        <w:tc>
          <w:tcPr>
            <w:tcW w:w="740" w:type="dxa"/>
            <w:tcBorders>
              <w:top w:val="nil"/>
              <w:left w:val="single" w:sz="4" w:space="0" w:color="auto"/>
              <w:bottom w:val="nil"/>
              <w:right w:val="nil"/>
            </w:tcBorders>
            <w:shd w:val="clear" w:color="auto" w:fill="auto"/>
            <w:noWrap/>
            <w:vAlign w:val="center"/>
            <w:hideMark/>
          </w:tcPr>
          <w:p w14:paraId="294FA7C6" w14:textId="77777777" w:rsidR="00FF7B42" w:rsidRPr="00FF7B42" w:rsidRDefault="00FF7B42" w:rsidP="00355DF7">
            <w:pPr>
              <w:jc w:val="right"/>
              <w:rPr>
                <w:color w:val="000000"/>
                <w:sz w:val="16"/>
                <w:szCs w:val="16"/>
              </w:rPr>
            </w:pPr>
            <w:r w:rsidRPr="00FF7B42">
              <w:rPr>
                <w:color w:val="000000"/>
                <w:sz w:val="16"/>
                <w:szCs w:val="16"/>
              </w:rPr>
              <w:t>582</w:t>
            </w:r>
          </w:p>
        </w:tc>
        <w:tc>
          <w:tcPr>
            <w:tcW w:w="1260" w:type="dxa"/>
            <w:tcBorders>
              <w:top w:val="nil"/>
              <w:left w:val="nil"/>
              <w:bottom w:val="nil"/>
              <w:right w:val="nil"/>
            </w:tcBorders>
            <w:shd w:val="clear" w:color="auto" w:fill="auto"/>
            <w:noWrap/>
            <w:vAlign w:val="center"/>
            <w:hideMark/>
          </w:tcPr>
          <w:p w14:paraId="6FE414E5" w14:textId="084AAB42" w:rsidR="00FF7B42" w:rsidRPr="00FF7B42" w:rsidRDefault="00FF7B42" w:rsidP="00355DF7">
            <w:pPr>
              <w:jc w:val="right"/>
              <w:rPr>
                <w:color w:val="000000"/>
                <w:sz w:val="16"/>
                <w:szCs w:val="16"/>
              </w:rPr>
            </w:pPr>
            <w:r w:rsidRPr="00FF7B42">
              <w:rPr>
                <w:color w:val="000000"/>
                <w:sz w:val="16"/>
                <w:szCs w:val="16"/>
              </w:rPr>
              <w:t>0.4</w:t>
            </w:r>
          </w:p>
        </w:tc>
      </w:tr>
      <w:tr w:rsidR="00FF7B42" w:rsidRPr="00FF7B42" w14:paraId="5B5D7D6E" w14:textId="77777777" w:rsidTr="00355DF7">
        <w:trPr>
          <w:trHeight w:val="300"/>
        </w:trPr>
        <w:tc>
          <w:tcPr>
            <w:tcW w:w="3079" w:type="dxa"/>
            <w:tcBorders>
              <w:top w:val="nil"/>
              <w:left w:val="nil"/>
              <w:bottom w:val="nil"/>
              <w:right w:val="nil"/>
            </w:tcBorders>
            <w:shd w:val="clear" w:color="auto" w:fill="auto"/>
            <w:noWrap/>
            <w:vAlign w:val="center"/>
            <w:hideMark/>
          </w:tcPr>
          <w:p w14:paraId="25A96960" w14:textId="77777777" w:rsidR="00FF7B42" w:rsidRPr="00FF7B42" w:rsidRDefault="00FF7B42" w:rsidP="00FF7B42">
            <w:pPr>
              <w:rPr>
                <w:color w:val="000000"/>
                <w:sz w:val="16"/>
                <w:szCs w:val="16"/>
              </w:rPr>
            </w:pPr>
            <w:r w:rsidRPr="00FF7B42">
              <w:rPr>
                <w:color w:val="000000"/>
                <w:sz w:val="16"/>
                <w:szCs w:val="16"/>
              </w:rPr>
              <w:t>Conflicts between farmers and livestock keepers</w:t>
            </w:r>
          </w:p>
        </w:tc>
        <w:tc>
          <w:tcPr>
            <w:tcW w:w="869" w:type="dxa"/>
            <w:tcBorders>
              <w:top w:val="nil"/>
              <w:left w:val="nil"/>
              <w:bottom w:val="nil"/>
              <w:right w:val="nil"/>
            </w:tcBorders>
            <w:shd w:val="clear" w:color="auto" w:fill="auto"/>
            <w:noWrap/>
            <w:vAlign w:val="center"/>
            <w:hideMark/>
          </w:tcPr>
          <w:p w14:paraId="6F3C4BC2" w14:textId="77777777" w:rsidR="00FF7B42" w:rsidRPr="00FF7B42" w:rsidRDefault="00FF7B42" w:rsidP="00355DF7">
            <w:pPr>
              <w:jc w:val="right"/>
              <w:rPr>
                <w:color w:val="000000"/>
                <w:sz w:val="16"/>
                <w:szCs w:val="16"/>
              </w:rPr>
            </w:pPr>
            <w:r w:rsidRPr="00FF7B42">
              <w:rPr>
                <w:color w:val="000000"/>
                <w:sz w:val="16"/>
                <w:szCs w:val="16"/>
              </w:rPr>
              <w:t>50,496</w:t>
            </w:r>
          </w:p>
        </w:tc>
        <w:tc>
          <w:tcPr>
            <w:tcW w:w="1228" w:type="dxa"/>
            <w:tcBorders>
              <w:top w:val="nil"/>
              <w:left w:val="nil"/>
              <w:bottom w:val="nil"/>
              <w:right w:val="nil"/>
            </w:tcBorders>
            <w:shd w:val="clear" w:color="auto" w:fill="auto"/>
            <w:noWrap/>
            <w:vAlign w:val="center"/>
            <w:hideMark/>
          </w:tcPr>
          <w:p w14:paraId="7733410B" w14:textId="04E42E95" w:rsidR="00FF7B42" w:rsidRPr="00FF7B42" w:rsidRDefault="00FF7B42" w:rsidP="00355DF7">
            <w:pPr>
              <w:jc w:val="right"/>
              <w:rPr>
                <w:color w:val="000000"/>
                <w:sz w:val="16"/>
                <w:szCs w:val="16"/>
              </w:rPr>
            </w:pPr>
            <w:r w:rsidRPr="00FF7B42">
              <w:rPr>
                <w:color w:val="000000"/>
                <w:sz w:val="16"/>
                <w:szCs w:val="16"/>
              </w:rPr>
              <w:t>0.7</w:t>
            </w:r>
          </w:p>
        </w:tc>
        <w:tc>
          <w:tcPr>
            <w:tcW w:w="854" w:type="dxa"/>
            <w:tcBorders>
              <w:top w:val="nil"/>
              <w:left w:val="single" w:sz="4" w:space="0" w:color="auto"/>
              <w:bottom w:val="nil"/>
              <w:right w:val="nil"/>
            </w:tcBorders>
            <w:shd w:val="clear" w:color="auto" w:fill="auto"/>
            <w:noWrap/>
            <w:vAlign w:val="center"/>
            <w:hideMark/>
          </w:tcPr>
          <w:p w14:paraId="04532EAC" w14:textId="77777777" w:rsidR="00FF7B42" w:rsidRPr="00FF7B42" w:rsidRDefault="00FF7B42" w:rsidP="00355DF7">
            <w:pPr>
              <w:jc w:val="right"/>
              <w:rPr>
                <w:color w:val="000000"/>
                <w:sz w:val="16"/>
                <w:szCs w:val="16"/>
              </w:rPr>
            </w:pPr>
            <w:r w:rsidRPr="00FF7B42">
              <w:rPr>
                <w:color w:val="000000"/>
                <w:sz w:val="16"/>
                <w:szCs w:val="16"/>
              </w:rPr>
              <w:t>49,255</w:t>
            </w:r>
          </w:p>
        </w:tc>
        <w:tc>
          <w:tcPr>
            <w:tcW w:w="1156" w:type="dxa"/>
            <w:tcBorders>
              <w:top w:val="nil"/>
              <w:left w:val="nil"/>
              <w:bottom w:val="nil"/>
              <w:right w:val="nil"/>
            </w:tcBorders>
            <w:shd w:val="clear" w:color="auto" w:fill="auto"/>
            <w:noWrap/>
            <w:vAlign w:val="center"/>
            <w:hideMark/>
          </w:tcPr>
          <w:p w14:paraId="063230B7" w14:textId="4AC340EF" w:rsidR="00FF7B42" w:rsidRPr="00FF7B42" w:rsidRDefault="00FF7B42" w:rsidP="00355DF7">
            <w:pPr>
              <w:jc w:val="right"/>
              <w:rPr>
                <w:color w:val="000000"/>
                <w:sz w:val="16"/>
                <w:szCs w:val="16"/>
              </w:rPr>
            </w:pPr>
            <w:r w:rsidRPr="00FF7B42">
              <w:rPr>
                <w:color w:val="000000"/>
                <w:sz w:val="16"/>
                <w:szCs w:val="16"/>
              </w:rPr>
              <w:t>0.7</w:t>
            </w:r>
          </w:p>
        </w:tc>
        <w:tc>
          <w:tcPr>
            <w:tcW w:w="740" w:type="dxa"/>
            <w:tcBorders>
              <w:top w:val="nil"/>
              <w:left w:val="single" w:sz="4" w:space="0" w:color="auto"/>
              <w:bottom w:val="nil"/>
              <w:right w:val="nil"/>
            </w:tcBorders>
            <w:shd w:val="clear" w:color="auto" w:fill="auto"/>
            <w:noWrap/>
            <w:vAlign w:val="center"/>
            <w:hideMark/>
          </w:tcPr>
          <w:p w14:paraId="4E8380BF" w14:textId="77777777" w:rsidR="00FF7B42" w:rsidRPr="00FF7B42" w:rsidRDefault="00FF7B42" w:rsidP="00355DF7">
            <w:pPr>
              <w:jc w:val="right"/>
              <w:rPr>
                <w:color w:val="000000"/>
                <w:sz w:val="16"/>
                <w:szCs w:val="16"/>
              </w:rPr>
            </w:pPr>
            <w:r w:rsidRPr="00FF7B42">
              <w:rPr>
                <w:color w:val="000000"/>
                <w:sz w:val="16"/>
                <w:szCs w:val="16"/>
              </w:rPr>
              <w:t>1,241</w:t>
            </w:r>
          </w:p>
        </w:tc>
        <w:tc>
          <w:tcPr>
            <w:tcW w:w="1260" w:type="dxa"/>
            <w:tcBorders>
              <w:top w:val="nil"/>
              <w:left w:val="nil"/>
              <w:bottom w:val="nil"/>
              <w:right w:val="nil"/>
            </w:tcBorders>
            <w:shd w:val="clear" w:color="auto" w:fill="auto"/>
            <w:noWrap/>
            <w:vAlign w:val="center"/>
            <w:hideMark/>
          </w:tcPr>
          <w:p w14:paraId="25EEF5EE" w14:textId="508E970E" w:rsidR="00FF7B42" w:rsidRPr="00FF7B42" w:rsidRDefault="00FF7B42" w:rsidP="00355DF7">
            <w:pPr>
              <w:jc w:val="right"/>
              <w:rPr>
                <w:color w:val="000000"/>
                <w:sz w:val="16"/>
                <w:szCs w:val="16"/>
              </w:rPr>
            </w:pPr>
            <w:r w:rsidRPr="00FF7B42">
              <w:rPr>
                <w:color w:val="000000"/>
                <w:sz w:val="16"/>
                <w:szCs w:val="16"/>
              </w:rPr>
              <w:t>0.8</w:t>
            </w:r>
          </w:p>
        </w:tc>
      </w:tr>
      <w:tr w:rsidR="00FF7B42" w:rsidRPr="00FF7B42" w14:paraId="78FF5113" w14:textId="77777777" w:rsidTr="00355DF7">
        <w:trPr>
          <w:trHeight w:val="300"/>
        </w:trPr>
        <w:tc>
          <w:tcPr>
            <w:tcW w:w="3079" w:type="dxa"/>
            <w:tcBorders>
              <w:top w:val="nil"/>
              <w:left w:val="nil"/>
              <w:bottom w:val="nil"/>
              <w:right w:val="nil"/>
            </w:tcBorders>
            <w:shd w:val="clear" w:color="auto" w:fill="auto"/>
            <w:noWrap/>
            <w:vAlign w:val="center"/>
            <w:hideMark/>
          </w:tcPr>
          <w:p w14:paraId="2CA1DA3A" w14:textId="50726F9A" w:rsidR="00FF7B42" w:rsidRPr="00FF7B42" w:rsidRDefault="00FF7B42" w:rsidP="00FF7B42">
            <w:pPr>
              <w:rPr>
                <w:color w:val="000000"/>
                <w:sz w:val="16"/>
                <w:szCs w:val="16"/>
              </w:rPr>
            </w:pPr>
            <w:r w:rsidRPr="00FF7B42">
              <w:rPr>
                <w:color w:val="000000"/>
                <w:sz w:val="16"/>
                <w:szCs w:val="16"/>
              </w:rPr>
              <w:t>Climate change (</w:t>
            </w:r>
            <w:r w:rsidR="006B445D" w:rsidRPr="00FF7B42">
              <w:rPr>
                <w:color w:val="000000"/>
                <w:sz w:val="16"/>
                <w:szCs w:val="16"/>
              </w:rPr>
              <w:t>drought</w:t>
            </w:r>
            <w:r w:rsidR="006B445D">
              <w:rPr>
                <w:color w:val="000000"/>
                <w:sz w:val="16"/>
                <w:szCs w:val="16"/>
              </w:rPr>
              <w:t>,</w:t>
            </w:r>
            <w:r w:rsidR="006B445D" w:rsidRPr="00FF7B42">
              <w:rPr>
                <w:color w:val="000000"/>
                <w:sz w:val="16"/>
                <w:szCs w:val="16"/>
              </w:rPr>
              <w:t xml:space="preserve"> floods</w:t>
            </w:r>
            <w:r w:rsidR="006B445D">
              <w:rPr>
                <w:color w:val="000000"/>
                <w:sz w:val="16"/>
                <w:szCs w:val="16"/>
              </w:rPr>
              <w:t xml:space="preserve">, </w:t>
            </w:r>
            <w:r w:rsidRPr="00FF7B42">
              <w:rPr>
                <w:color w:val="000000"/>
                <w:sz w:val="16"/>
                <w:szCs w:val="16"/>
              </w:rPr>
              <w:t>etc)</w:t>
            </w:r>
          </w:p>
        </w:tc>
        <w:tc>
          <w:tcPr>
            <w:tcW w:w="869" w:type="dxa"/>
            <w:tcBorders>
              <w:top w:val="nil"/>
              <w:left w:val="nil"/>
              <w:bottom w:val="nil"/>
              <w:right w:val="nil"/>
            </w:tcBorders>
            <w:shd w:val="clear" w:color="auto" w:fill="auto"/>
            <w:noWrap/>
            <w:vAlign w:val="center"/>
            <w:hideMark/>
          </w:tcPr>
          <w:p w14:paraId="583DA0CF" w14:textId="77777777" w:rsidR="00FF7B42" w:rsidRPr="00FF7B42" w:rsidRDefault="00FF7B42" w:rsidP="00355DF7">
            <w:pPr>
              <w:jc w:val="right"/>
              <w:rPr>
                <w:color w:val="000000"/>
                <w:sz w:val="16"/>
                <w:szCs w:val="16"/>
              </w:rPr>
            </w:pPr>
            <w:r w:rsidRPr="00FF7B42">
              <w:rPr>
                <w:color w:val="000000"/>
                <w:sz w:val="16"/>
                <w:szCs w:val="16"/>
              </w:rPr>
              <w:t>1,326,432</w:t>
            </w:r>
          </w:p>
        </w:tc>
        <w:tc>
          <w:tcPr>
            <w:tcW w:w="1228" w:type="dxa"/>
            <w:tcBorders>
              <w:top w:val="nil"/>
              <w:left w:val="nil"/>
              <w:bottom w:val="nil"/>
              <w:right w:val="nil"/>
            </w:tcBorders>
            <w:shd w:val="clear" w:color="auto" w:fill="auto"/>
            <w:noWrap/>
            <w:vAlign w:val="center"/>
            <w:hideMark/>
          </w:tcPr>
          <w:p w14:paraId="4F4F18D0" w14:textId="584CD3FF" w:rsidR="00FF7B42" w:rsidRPr="00FF7B42" w:rsidRDefault="00FF7B42" w:rsidP="00355DF7">
            <w:pPr>
              <w:jc w:val="right"/>
              <w:rPr>
                <w:color w:val="000000"/>
                <w:sz w:val="16"/>
                <w:szCs w:val="16"/>
              </w:rPr>
            </w:pPr>
            <w:r w:rsidRPr="00FF7B42">
              <w:rPr>
                <w:color w:val="000000"/>
                <w:sz w:val="16"/>
                <w:szCs w:val="16"/>
              </w:rPr>
              <w:t>18.0</w:t>
            </w:r>
          </w:p>
        </w:tc>
        <w:tc>
          <w:tcPr>
            <w:tcW w:w="854" w:type="dxa"/>
            <w:tcBorders>
              <w:top w:val="nil"/>
              <w:left w:val="single" w:sz="4" w:space="0" w:color="auto"/>
              <w:bottom w:val="nil"/>
              <w:right w:val="nil"/>
            </w:tcBorders>
            <w:shd w:val="clear" w:color="auto" w:fill="auto"/>
            <w:noWrap/>
            <w:vAlign w:val="center"/>
            <w:hideMark/>
          </w:tcPr>
          <w:p w14:paraId="2877C7D1" w14:textId="77777777" w:rsidR="00FF7B42" w:rsidRPr="00FF7B42" w:rsidRDefault="00FF7B42" w:rsidP="00355DF7">
            <w:pPr>
              <w:jc w:val="right"/>
              <w:rPr>
                <w:color w:val="000000"/>
                <w:sz w:val="16"/>
                <w:szCs w:val="16"/>
              </w:rPr>
            </w:pPr>
            <w:r w:rsidRPr="00FF7B42">
              <w:rPr>
                <w:color w:val="000000"/>
                <w:sz w:val="16"/>
                <w:szCs w:val="16"/>
              </w:rPr>
              <w:t>1,318,550</w:t>
            </w:r>
          </w:p>
        </w:tc>
        <w:tc>
          <w:tcPr>
            <w:tcW w:w="1156" w:type="dxa"/>
            <w:tcBorders>
              <w:top w:val="nil"/>
              <w:left w:val="nil"/>
              <w:bottom w:val="nil"/>
              <w:right w:val="nil"/>
            </w:tcBorders>
            <w:shd w:val="clear" w:color="auto" w:fill="auto"/>
            <w:noWrap/>
            <w:vAlign w:val="center"/>
            <w:hideMark/>
          </w:tcPr>
          <w:p w14:paraId="1639781E" w14:textId="0E774334" w:rsidR="00FF7B42" w:rsidRPr="00FF7B42" w:rsidRDefault="00FF7B42" w:rsidP="00355DF7">
            <w:pPr>
              <w:jc w:val="right"/>
              <w:rPr>
                <w:color w:val="000000"/>
                <w:sz w:val="16"/>
                <w:szCs w:val="16"/>
              </w:rPr>
            </w:pPr>
            <w:r w:rsidRPr="00FF7B42">
              <w:rPr>
                <w:color w:val="000000"/>
                <w:sz w:val="16"/>
                <w:szCs w:val="16"/>
              </w:rPr>
              <w:t>18.3</w:t>
            </w:r>
          </w:p>
        </w:tc>
        <w:tc>
          <w:tcPr>
            <w:tcW w:w="740" w:type="dxa"/>
            <w:tcBorders>
              <w:top w:val="nil"/>
              <w:left w:val="single" w:sz="4" w:space="0" w:color="auto"/>
              <w:bottom w:val="nil"/>
              <w:right w:val="nil"/>
            </w:tcBorders>
            <w:shd w:val="clear" w:color="auto" w:fill="auto"/>
            <w:noWrap/>
            <w:vAlign w:val="center"/>
            <w:hideMark/>
          </w:tcPr>
          <w:p w14:paraId="35C1CC8C" w14:textId="77777777" w:rsidR="00FF7B42" w:rsidRPr="00FF7B42" w:rsidRDefault="00FF7B42" w:rsidP="00355DF7">
            <w:pPr>
              <w:jc w:val="right"/>
              <w:rPr>
                <w:color w:val="000000"/>
                <w:sz w:val="16"/>
                <w:szCs w:val="16"/>
              </w:rPr>
            </w:pPr>
            <w:r w:rsidRPr="00FF7B42">
              <w:rPr>
                <w:color w:val="000000"/>
                <w:sz w:val="16"/>
                <w:szCs w:val="16"/>
              </w:rPr>
              <w:t>7,882</w:t>
            </w:r>
          </w:p>
        </w:tc>
        <w:tc>
          <w:tcPr>
            <w:tcW w:w="1260" w:type="dxa"/>
            <w:tcBorders>
              <w:top w:val="nil"/>
              <w:left w:val="nil"/>
              <w:bottom w:val="nil"/>
              <w:right w:val="nil"/>
            </w:tcBorders>
            <w:shd w:val="clear" w:color="auto" w:fill="auto"/>
            <w:noWrap/>
            <w:vAlign w:val="center"/>
            <w:hideMark/>
          </w:tcPr>
          <w:p w14:paraId="66D0F2CB" w14:textId="64FBBF0C" w:rsidR="00FF7B42" w:rsidRPr="00FF7B42" w:rsidRDefault="00FF7B42" w:rsidP="00355DF7">
            <w:pPr>
              <w:jc w:val="right"/>
              <w:rPr>
                <w:color w:val="000000"/>
                <w:sz w:val="16"/>
                <w:szCs w:val="16"/>
              </w:rPr>
            </w:pPr>
            <w:r w:rsidRPr="00FF7B42">
              <w:rPr>
                <w:color w:val="000000"/>
                <w:sz w:val="16"/>
                <w:szCs w:val="16"/>
              </w:rPr>
              <w:t>4.8</w:t>
            </w:r>
          </w:p>
        </w:tc>
      </w:tr>
      <w:tr w:rsidR="00FF7B42" w:rsidRPr="00FF7B42" w14:paraId="59848473" w14:textId="77777777" w:rsidTr="00355DF7">
        <w:trPr>
          <w:trHeight w:val="300"/>
        </w:trPr>
        <w:tc>
          <w:tcPr>
            <w:tcW w:w="3079" w:type="dxa"/>
            <w:tcBorders>
              <w:top w:val="nil"/>
              <w:left w:val="nil"/>
              <w:bottom w:val="nil"/>
              <w:right w:val="nil"/>
            </w:tcBorders>
            <w:shd w:val="clear" w:color="auto" w:fill="auto"/>
            <w:noWrap/>
            <w:vAlign w:val="center"/>
            <w:hideMark/>
          </w:tcPr>
          <w:p w14:paraId="75D6455A" w14:textId="77777777" w:rsidR="00FF7B42" w:rsidRPr="00FF7B42" w:rsidRDefault="00FF7B42" w:rsidP="00FF7B42">
            <w:pPr>
              <w:rPr>
                <w:color w:val="000000"/>
                <w:sz w:val="16"/>
                <w:szCs w:val="16"/>
              </w:rPr>
            </w:pPr>
            <w:r w:rsidRPr="00FF7B42">
              <w:rPr>
                <w:color w:val="000000"/>
                <w:sz w:val="16"/>
                <w:szCs w:val="16"/>
              </w:rPr>
              <w:t>Availability of inputs</w:t>
            </w:r>
          </w:p>
        </w:tc>
        <w:tc>
          <w:tcPr>
            <w:tcW w:w="869" w:type="dxa"/>
            <w:tcBorders>
              <w:top w:val="nil"/>
              <w:left w:val="nil"/>
              <w:bottom w:val="nil"/>
              <w:right w:val="nil"/>
            </w:tcBorders>
            <w:shd w:val="clear" w:color="auto" w:fill="auto"/>
            <w:noWrap/>
            <w:vAlign w:val="center"/>
            <w:hideMark/>
          </w:tcPr>
          <w:p w14:paraId="382F8CD9" w14:textId="77777777" w:rsidR="00FF7B42" w:rsidRPr="00FF7B42" w:rsidRDefault="00FF7B42" w:rsidP="00355DF7">
            <w:pPr>
              <w:jc w:val="right"/>
              <w:rPr>
                <w:color w:val="000000"/>
                <w:sz w:val="16"/>
                <w:szCs w:val="16"/>
              </w:rPr>
            </w:pPr>
            <w:r w:rsidRPr="00FF7B42">
              <w:rPr>
                <w:color w:val="000000"/>
                <w:sz w:val="16"/>
                <w:szCs w:val="16"/>
              </w:rPr>
              <w:t>256,324</w:t>
            </w:r>
          </w:p>
        </w:tc>
        <w:tc>
          <w:tcPr>
            <w:tcW w:w="1228" w:type="dxa"/>
            <w:tcBorders>
              <w:top w:val="nil"/>
              <w:left w:val="nil"/>
              <w:bottom w:val="nil"/>
              <w:right w:val="nil"/>
            </w:tcBorders>
            <w:shd w:val="clear" w:color="auto" w:fill="auto"/>
            <w:noWrap/>
            <w:vAlign w:val="center"/>
            <w:hideMark/>
          </w:tcPr>
          <w:p w14:paraId="133B441D" w14:textId="446307EE" w:rsidR="00FF7B42" w:rsidRPr="00FF7B42" w:rsidRDefault="00FF7B42" w:rsidP="00355DF7">
            <w:pPr>
              <w:jc w:val="right"/>
              <w:rPr>
                <w:color w:val="000000"/>
                <w:sz w:val="16"/>
                <w:szCs w:val="16"/>
              </w:rPr>
            </w:pPr>
            <w:r w:rsidRPr="00FF7B42">
              <w:rPr>
                <w:color w:val="000000"/>
                <w:sz w:val="16"/>
                <w:szCs w:val="16"/>
              </w:rPr>
              <w:t>3.5</w:t>
            </w:r>
          </w:p>
        </w:tc>
        <w:tc>
          <w:tcPr>
            <w:tcW w:w="854" w:type="dxa"/>
            <w:tcBorders>
              <w:top w:val="nil"/>
              <w:left w:val="single" w:sz="4" w:space="0" w:color="auto"/>
              <w:bottom w:val="nil"/>
              <w:right w:val="nil"/>
            </w:tcBorders>
            <w:shd w:val="clear" w:color="auto" w:fill="auto"/>
            <w:noWrap/>
            <w:vAlign w:val="center"/>
            <w:hideMark/>
          </w:tcPr>
          <w:p w14:paraId="63B0D9DC" w14:textId="77777777" w:rsidR="00FF7B42" w:rsidRPr="00FF7B42" w:rsidRDefault="00FF7B42" w:rsidP="00355DF7">
            <w:pPr>
              <w:jc w:val="right"/>
              <w:rPr>
                <w:color w:val="000000"/>
                <w:sz w:val="16"/>
                <w:szCs w:val="16"/>
              </w:rPr>
            </w:pPr>
            <w:r w:rsidRPr="00FF7B42">
              <w:rPr>
                <w:color w:val="000000"/>
                <w:sz w:val="16"/>
                <w:szCs w:val="16"/>
              </w:rPr>
              <w:t>250,356</w:t>
            </w:r>
          </w:p>
        </w:tc>
        <w:tc>
          <w:tcPr>
            <w:tcW w:w="1156" w:type="dxa"/>
            <w:tcBorders>
              <w:top w:val="nil"/>
              <w:left w:val="nil"/>
              <w:bottom w:val="nil"/>
              <w:right w:val="nil"/>
            </w:tcBorders>
            <w:shd w:val="clear" w:color="auto" w:fill="auto"/>
            <w:noWrap/>
            <w:vAlign w:val="center"/>
            <w:hideMark/>
          </w:tcPr>
          <w:p w14:paraId="12A2B826" w14:textId="3621EFCF" w:rsidR="00FF7B42" w:rsidRPr="00FF7B42" w:rsidRDefault="00FF7B42" w:rsidP="00355DF7">
            <w:pPr>
              <w:jc w:val="right"/>
              <w:rPr>
                <w:color w:val="000000"/>
                <w:sz w:val="16"/>
                <w:szCs w:val="16"/>
              </w:rPr>
            </w:pPr>
            <w:r w:rsidRPr="00FF7B42">
              <w:rPr>
                <w:color w:val="000000"/>
                <w:sz w:val="16"/>
                <w:szCs w:val="16"/>
              </w:rPr>
              <w:t>3.5</w:t>
            </w:r>
          </w:p>
        </w:tc>
        <w:tc>
          <w:tcPr>
            <w:tcW w:w="740" w:type="dxa"/>
            <w:tcBorders>
              <w:top w:val="nil"/>
              <w:left w:val="single" w:sz="4" w:space="0" w:color="auto"/>
              <w:bottom w:val="nil"/>
              <w:right w:val="nil"/>
            </w:tcBorders>
            <w:shd w:val="clear" w:color="auto" w:fill="auto"/>
            <w:noWrap/>
            <w:vAlign w:val="center"/>
            <w:hideMark/>
          </w:tcPr>
          <w:p w14:paraId="077F3A83" w14:textId="77777777" w:rsidR="00FF7B42" w:rsidRPr="00FF7B42" w:rsidRDefault="00FF7B42" w:rsidP="00355DF7">
            <w:pPr>
              <w:jc w:val="right"/>
              <w:rPr>
                <w:color w:val="000000"/>
                <w:sz w:val="16"/>
                <w:szCs w:val="16"/>
              </w:rPr>
            </w:pPr>
            <w:r w:rsidRPr="00FF7B42">
              <w:rPr>
                <w:color w:val="000000"/>
                <w:sz w:val="16"/>
                <w:szCs w:val="16"/>
              </w:rPr>
              <w:t>5,968</w:t>
            </w:r>
          </w:p>
        </w:tc>
        <w:tc>
          <w:tcPr>
            <w:tcW w:w="1260" w:type="dxa"/>
            <w:tcBorders>
              <w:top w:val="nil"/>
              <w:left w:val="nil"/>
              <w:bottom w:val="nil"/>
              <w:right w:val="nil"/>
            </w:tcBorders>
            <w:shd w:val="clear" w:color="auto" w:fill="auto"/>
            <w:noWrap/>
            <w:vAlign w:val="center"/>
            <w:hideMark/>
          </w:tcPr>
          <w:p w14:paraId="36F4699D" w14:textId="5BEDDE47" w:rsidR="00FF7B42" w:rsidRPr="00FF7B42" w:rsidRDefault="00FF7B42" w:rsidP="00355DF7">
            <w:pPr>
              <w:jc w:val="right"/>
              <w:rPr>
                <w:color w:val="000000"/>
                <w:sz w:val="16"/>
                <w:szCs w:val="16"/>
              </w:rPr>
            </w:pPr>
            <w:r w:rsidRPr="00FF7B42">
              <w:rPr>
                <w:color w:val="000000"/>
                <w:sz w:val="16"/>
                <w:szCs w:val="16"/>
              </w:rPr>
              <w:t>3.6</w:t>
            </w:r>
          </w:p>
        </w:tc>
      </w:tr>
      <w:tr w:rsidR="00FF7B42" w:rsidRPr="00FF7B42" w14:paraId="6752E824" w14:textId="77777777" w:rsidTr="00355DF7">
        <w:trPr>
          <w:trHeight w:val="300"/>
        </w:trPr>
        <w:tc>
          <w:tcPr>
            <w:tcW w:w="3079" w:type="dxa"/>
            <w:tcBorders>
              <w:top w:val="nil"/>
              <w:left w:val="nil"/>
              <w:bottom w:val="nil"/>
              <w:right w:val="nil"/>
            </w:tcBorders>
            <w:shd w:val="clear" w:color="auto" w:fill="auto"/>
            <w:noWrap/>
            <w:vAlign w:val="center"/>
            <w:hideMark/>
          </w:tcPr>
          <w:p w14:paraId="4BDA1681" w14:textId="77777777" w:rsidR="00FF7B42" w:rsidRPr="00FF7B42" w:rsidRDefault="00FF7B42" w:rsidP="00FF7B42">
            <w:pPr>
              <w:rPr>
                <w:color w:val="000000"/>
                <w:sz w:val="16"/>
                <w:szCs w:val="16"/>
              </w:rPr>
            </w:pPr>
            <w:r w:rsidRPr="00FF7B42">
              <w:rPr>
                <w:color w:val="000000"/>
                <w:sz w:val="16"/>
                <w:szCs w:val="16"/>
              </w:rPr>
              <w:t>Availability of Industrial agrochemicals</w:t>
            </w:r>
          </w:p>
        </w:tc>
        <w:tc>
          <w:tcPr>
            <w:tcW w:w="869" w:type="dxa"/>
            <w:tcBorders>
              <w:top w:val="nil"/>
              <w:left w:val="nil"/>
              <w:bottom w:val="nil"/>
              <w:right w:val="nil"/>
            </w:tcBorders>
            <w:shd w:val="clear" w:color="auto" w:fill="auto"/>
            <w:noWrap/>
            <w:vAlign w:val="center"/>
            <w:hideMark/>
          </w:tcPr>
          <w:p w14:paraId="089E2DD4" w14:textId="77777777" w:rsidR="00FF7B42" w:rsidRPr="00FF7B42" w:rsidRDefault="00FF7B42" w:rsidP="00355DF7">
            <w:pPr>
              <w:jc w:val="right"/>
              <w:rPr>
                <w:color w:val="000000"/>
                <w:sz w:val="16"/>
                <w:szCs w:val="16"/>
              </w:rPr>
            </w:pPr>
            <w:r w:rsidRPr="00FF7B42">
              <w:rPr>
                <w:color w:val="000000"/>
                <w:sz w:val="16"/>
                <w:szCs w:val="16"/>
              </w:rPr>
              <w:t>61,518</w:t>
            </w:r>
          </w:p>
        </w:tc>
        <w:tc>
          <w:tcPr>
            <w:tcW w:w="1228" w:type="dxa"/>
            <w:tcBorders>
              <w:top w:val="nil"/>
              <w:left w:val="nil"/>
              <w:bottom w:val="nil"/>
              <w:right w:val="nil"/>
            </w:tcBorders>
            <w:shd w:val="clear" w:color="auto" w:fill="auto"/>
            <w:noWrap/>
            <w:vAlign w:val="center"/>
            <w:hideMark/>
          </w:tcPr>
          <w:p w14:paraId="3750E520" w14:textId="5E885121" w:rsidR="00FF7B42" w:rsidRPr="00FF7B42" w:rsidRDefault="00FF7B42" w:rsidP="00355DF7">
            <w:pPr>
              <w:jc w:val="right"/>
              <w:rPr>
                <w:color w:val="000000"/>
                <w:sz w:val="16"/>
                <w:szCs w:val="16"/>
              </w:rPr>
            </w:pPr>
            <w:r w:rsidRPr="00FF7B42">
              <w:rPr>
                <w:color w:val="000000"/>
                <w:sz w:val="16"/>
                <w:szCs w:val="16"/>
              </w:rPr>
              <w:t>0.8</w:t>
            </w:r>
          </w:p>
        </w:tc>
        <w:tc>
          <w:tcPr>
            <w:tcW w:w="854" w:type="dxa"/>
            <w:tcBorders>
              <w:top w:val="nil"/>
              <w:left w:val="single" w:sz="4" w:space="0" w:color="auto"/>
              <w:bottom w:val="nil"/>
              <w:right w:val="nil"/>
            </w:tcBorders>
            <w:shd w:val="clear" w:color="auto" w:fill="auto"/>
            <w:noWrap/>
            <w:vAlign w:val="center"/>
            <w:hideMark/>
          </w:tcPr>
          <w:p w14:paraId="3572BE90" w14:textId="77777777" w:rsidR="00FF7B42" w:rsidRPr="00FF7B42" w:rsidRDefault="00FF7B42" w:rsidP="00355DF7">
            <w:pPr>
              <w:jc w:val="right"/>
              <w:rPr>
                <w:color w:val="000000"/>
                <w:sz w:val="16"/>
                <w:szCs w:val="16"/>
              </w:rPr>
            </w:pPr>
            <w:r w:rsidRPr="00FF7B42">
              <w:rPr>
                <w:color w:val="000000"/>
                <w:sz w:val="16"/>
                <w:szCs w:val="16"/>
              </w:rPr>
              <w:t>60,689</w:t>
            </w:r>
          </w:p>
        </w:tc>
        <w:tc>
          <w:tcPr>
            <w:tcW w:w="1156" w:type="dxa"/>
            <w:tcBorders>
              <w:top w:val="nil"/>
              <w:left w:val="nil"/>
              <w:bottom w:val="nil"/>
              <w:right w:val="nil"/>
            </w:tcBorders>
            <w:shd w:val="clear" w:color="auto" w:fill="auto"/>
            <w:noWrap/>
            <w:vAlign w:val="center"/>
            <w:hideMark/>
          </w:tcPr>
          <w:p w14:paraId="0E056E29" w14:textId="64E11D6A" w:rsidR="00FF7B42" w:rsidRPr="00FF7B42" w:rsidRDefault="00FF7B42" w:rsidP="00355DF7">
            <w:pPr>
              <w:jc w:val="right"/>
              <w:rPr>
                <w:color w:val="000000"/>
                <w:sz w:val="16"/>
                <w:szCs w:val="16"/>
              </w:rPr>
            </w:pPr>
            <w:r w:rsidRPr="00FF7B42">
              <w:rPr>
                <w:color w:val="000000"/>
                <w:sz w:val="16"/>
                <w:szCs w:val="16"/>
              </w:rPr>
              <w:t>0.8</w:t>
            </w:r>
          </w:p>
        </w:tc>
        <w:tc>
          <w:tcPr>
            <w:tcW w:w="740" w:type="dxa"/>
            <w:tcBorders>
              <w:top w:val="nil"/>
              <w:left w:val="single" w:sz="4" w:space="0" w:color="auto"/>
              <w:bottom w:val="nil"/>
              <w:right w:val="nil"/>
            </w:tcBorders>
            <w:shd w:val="clear" w:color="auto" w:fill="auto"/>
            <w:noWrap/>
            <w:vAlign w:val="center"/>
            <w:hideMark/>
          </w:tcPr>
          <w:p w14:paraId="015FD831" w14:textId="77777777" w:rsidR="00FF7B42" w:rsidRPr="00FF7B42" w:rsidRDefault="00FF7B42" w:rsidP="00355DF7">
            <w:pPr>
              <w:jc w:val="right"/>
              <w:rPr>
                <w:color w:val="000000"/>
                <w:sz w:val="16"/>
                <w:szCs w:val="16"/>
              </w:rPr>
            </w:pPr>
            <w:r w:rsidRPr="00FF7B42">
              <w:rPr>
                <w:color w:val="000000"/>
                <w:sz w:val="16"/>
                <w:szCs w:val="16"/>
              </w:rPr>
              <w:t>830</w:t>
            </w:r>
          </w:p>
        </w:tc>
        <w:tc>
          <w:tcPr>
            <w:tcW w:w="1260" w:type="dxa"/>
            <w:tcBorders>
              <w:top w:val="nil"/>
              <w:left w:val="nil"/>
              <w:bottom w:val="nil"/>
              <w:right w:val="nil"/>
            </w:tcBorders>
            <w:shd w:val="clear" w:color="auto" w:fill="auto"/>
            <w:noWrap/>
            <w:vAlign w:val="center"/>
            <w:hideMark/>
          </w:tcPr>
          <w:p w14:paraId="54F5733E" w14:textId="42F454FF" w:rsidR="00FF7B42" w:rsidRPr="00FF7B42" w:rsidRDefault="00FF7B42" w:rsidP="00355DF7">
            <w:pPr>
              <w:jc w:val="right"/>
              <w:rPr>
                <w:color w:val="000000"/>
                <w:sz w:val="16"/>
                <w:szCs w:val="16"/>
              </w:rPr>
            </w:pPr>
            <w:r w:rsidRPr="00FF7B42">
              <w:rPr>
                <w:color w:val="000000"/>
                <w:sz w:val="16"/>
                <w:szCs w:val="16"/>
              </w:rPr>
              <w:t>0.5</w:t>
            </w:r>
          </w:p>
        </w:tc>
      </w:tr>
      <w:tr w:rsidR="00FF7B42" w:rsidRPr="00FF7B42" w14:paraId="034644C0" w14:textId="77777777" w:rsidTr="00355DF7">
        <w:trPr>
          <w:trHeight w:val="300"/>
        </w:trPr>
        <w:tc>
          <w:tcPr>
            <w:tcW w:w="3079" w:type="dxa"/>
            <w:tcBorders>
              <w:top w:val="nil"/>
              <w:left w:val="nil"/>
              <w:bottom w:val="nil"/>
              <w:right w:val="nil"/>
            </w:tcBorders>
            <w:shd w:val="clear" w:color="auto" w:fill="auto"/>
            <w:noWrap/>
            <w:vAlign w:val="center"/>
            <w:hideMark/>
          </w:tcPr>
          <w:p w14:paraId="72A0917B" w14:textId="77777777" w:rsidR="00FF7B42" w:rsidRPr="00FF7B42" w:rsidRDefault="00FF7B42" w:rsidP="00FF7B42">
            <w:pPr>
              <w:rPr>
                <w:color w:val="000000"/>
                <w:sz w:val="16"/>
                <w:szCs w:val="16"/>
              </w:rPr>
            </w:pPr>
            <w:r w:rsidRPr="00FF7B42">
              <w:rPr>
                <w:color w:val="000000"/>
                <w:sz w:val="16"/>
                <w:szCs w:val="16"/>
              </w:rPr>
              <w:t xml:space="preserve">Acess to water for agricultural activities </w:t>
            </w:r>
          </w:p>
        </w:tc>
        <w:tc>
          <w:tcPr>
            <w:tcW w:w="869" w:type="dxa"/>
            <w:tcBorders>
              <w:top w:val="nil"/>
              <w:left w:val="nil"/>
              <w:bottom w:val="nil"/>
              <w:right w:val="nil"/>
            </w:tcBorders>
            <w:shd w:val="clear" w:color="auto" w:fill="auto"/>
            <w:noWrap/>
            <w:vAlign w:val="center"/>
            <w:hideMark/>
          </w:tcPr>
          <w:p w14:paraId="14FA04D0" w14:textId="77777777" w:rsidR="00FF7B42" w:rsidRPr="00FF7B42" w:rsidRDefault="00FF7B42" w:rsidP="00355DF7">
            <w:pPr>
              <w:jc w:val="right"/>
              <w:rPr>
                <w:color w:val="000000"/>
                <w:sz w:val="16"/>
                <w:szCs w:val="16"/>
              </w:rPr>
            </w:pPr>
            <w:r w:rsidRPr="00FF7B42">
              <w:rPr>
                <w:color w:val="000000"/>
                <w:sz w:val="16"/>
                <w:szCs w:val="16"/>
              </w:rPr>
              <w:t>17,366</w:t>
            </w:r>
          </w:p>
        </w:tc>
        <w:tc>
          <w:tcPr>
            <w:tcW w:w="1228" w:type="dxa"/>
            <w:tcBorders>
              <w:top w:val="nil"/>
              <w:left w:val="nil"/>
              <w:bottom w:val="nil"/>
              <w:right w:val="nil"/>
            </w:tcBorders>
            <w:shd w:val="clear" w:color="auto" w:fill="auto"/>
            <w:noWrap/>
            <w:vAlign w:val="center"/>
            <w:hideMark/>
          </w:tcPr>
          <w:p w14:paraId="56974D0B" w14:textId="2EEED4A0" w:rsidR="00FF7B42" w:rsidRPr="00FF7B42" w:rsidRDefault="00FF7B42" w:rsidP="00355DF7">
            <w:pPr>
              <w:jc w:val="right"/>
              <w:rPr>
                <w:color w:val="000000"/>
                <w:sz w:val="16"/>
                <w:szCs w:val="16"/>
              </w:rPr>
            </w:pPr>
            <w:r w:rsidRPr="00FF7B42">
              <w:rPr>
                <w:color w:val="000000"/>
                <w:sz w:val="16"/>
                <w:szCs w:val="16"/>
              </w:rPr>
              <w:t>0.2</w:t>
            </w:r>
          </w:p>
        </w:tc>
        <w:tc>
          <w:tcPr>
            <w:tcW w:w="854" w:type="dxa"/>
            <w:tcBorders>
              <w:top w:val="nil"/>
              <w:left w:val="single" w:sz="4" w:space="0" w:color="auto"/>
              <w:bottom w:val="nil"/>
              <w:right w:val="nil"/>
            </w:tcBorders>
            <w:shd w:val="clear" w:color="auto" w:fill="auto"/>
            <w:noWrap/>
            <w:vAlign w:val="center"/>
            <w:hideMark/>
          </w:tcPr>
          <w:p w14:paraId="057382A8" w14:textId="77777777" w:rsidR="00FF7B42" w:rsidRPr="00FF7B42" w:rsidRDefault="00FF7B42" w:rsidP="00355DF7">
            <w:pPr>
              <w:jc w:val="right"/>
              <w:rPr>
                <w:color w:val="000000"/>
                <w:sz w:val="16"/>
                <w:szCs w:val="16"/>
              </w:rPr>
            </w:pPr>
            <w:r w:rsidRPr="00FF7B42">
              <w:rPr>
                <w:color w:val="000000"/>
                <w:sz w:val="16"/>
                <w:szCs w:val="16"/>
              </w:rPr>
              <w:t>15,702</w:t>
            </w:r>
          </w:p>
        </w:tc>
        <w:tc>
          <w:tcPr>
            <w:tcW w:w="1156" w:type="dxa"/>
            <w:tcBorders>
              <w:top w:val="nil"/>
              <w:left w:val="nil"/>
              <w:bottom w:val="nil"/>
              <w:right w:val="nil"/>
            </w:tcBorders>
            <w:shd w:val="clear" w:color="auto" w:fill="auto"/>
            <w:noWrap/>
            <w:vAlign w:val="center"/>
            <w:hideMark/>
          </w:tcPr>
          <w:p w14:paraId="3B680A79" w14:textId="45B39E80" w:rsidR="00FF7B42" w:rsidRPr="00FF7B42" w:rsidRDefault="00FF7B42" w:rsidP="00355DF7">
            <w:pPr>
              <w:jc w:val="right"/>
              <w:rPr>
                <w:color w:val="000000"/>
                <w:sz w:val="16"/>
                <w:szCs w:val="16"/>
              </w:rPr>
            </w:pPr>
            <w:r w:rsidRPr="00FF7B42">
              <w:rPr>
                <w:color w:val="000000"/>
                <w:sz w:val="16"/>
                <w:szCs w:val="16"/>
              </w:rPr>
              <w:t>0.2</w:t>
            </w:r>
          </w:p>
        </w:tc>
        <w:tc>
          <w:tcPr>
            <w:tcW w:w="740" w:type="dxa"/>
            <w:tcBorders>
              <w:top w:val="nil"/>
              <w:left w:val="single" w:sz="4" w:space="0" w:color="auto"/>
              <w:bottom w:val="nil"/>
              <w:right w:val="nil"/>
            </w:tcBorders>
            <w:shd w:val="clear" w:color="auto" w:fill="auto"/>
            <w:noWrap/>
            <w:vAlign w:val="center"/>
            <w:hideMark/>
          </w:tcPr>
          <w:p w14:paraId="21669A94" w14:textId="77777777" w:rsidR="00FF7B42" w:rsidRPr="00FF7B42" w:rsidRDefault="00FF7B42" w:rsidP="00355DF7">
            <w:pPr>
              <w:jc w:val="right"/>
              <w:rPr>
                <w:color w:val="000000"/>
                <w:sz w:val="16"/>
                <w:szCs w:val="16"/>
              </w:rPr>
            </w:pPr>
            <w:r w:rsidRPr="00FF7B42">
              <w:rPr>
                <w:color w:val="000000"/>
                <w:sz w:val="16"/>
                <w:szCs w:val="16"/>
              </w:rPr>
              <w:t>1,664</w:t>
            </w:r>
          </w:p>
        </w:tc>
        <w:tc>
          <w:tcPr>
            <w:tcW w:w="1260" w:type="dxa"/>
            <w:tcBorders>
              <w:top w:val="nil"/>
              <w:left w:val="nil"/>
              <w:bottom w:val="nil"/>
              <w:right w:val="nil"/>
            </w:tcBorders>
            <w:shd w:val="clear" w:color="auto" w:fill="auto"/>
            <w:noWrap/>
            <w:vAlign w:val="center"/>
            <w:hideMark/>
          </w:tcPr>
          <w:p w14:paraId="7844D257" w14:textId="6CDC4552" w:rsidR="00FF7B42" w:rsidRPr="00FF7B42" w:rsidRDefault="00FF7B42" w:rsidP="00355DF7">
            <w:pPr>
              <w:jc w:val="right"/>
              <w:rPr>
                <w:color w:val="000000"/>
                <w:sz w:val="16"/>
                <w:szCs w:val="16"/>
              </w:rPr>
            </w:pPr>
            <w:r w:rsidRPr="00FF7B42">
              <w:rPr>
                <w:color w:val="000000"/>
                <w:sz w:val="16"/>
                <w:szCs w:val="16"/>
              </w:rPr>
              <w:t>1.0</w:t>
            </w:r>
          </w:p>
        </w:tc>
      </w:tr>
      <w:tr w:rsidR="00FF7B42" w:rsidRPr="00FF7B42" w14:paraId="4FC44A5F" w14:textId="77777777" w:rsidTr="00355DF7">
        <w:trPr>
          <w:trHeight w:val="300"/>
        </w:trPr>
        <w:tc>
          <w:tcPr>
            <w:tcW w:w="3079" w:type="dxa"/>
            <w:tcBorders>
              <w:top w:val="nil"/>
              <w:left w:val="nil"/>
              <w:bottom w:val="nil"/>
              <w:right w:val="nil"/>
            </w:tcBorders>
            <w:shd w:val="clear" w:color="auto" w:fill="auto"/>
            <w:noWrap/>
            <w:vAlign w:val="center"/>
            <w:hideMark/>
          </w:tcPr>
          <w:p w14:paraId="39C83804" w14:textId="77777777" w:rsidR="00FF7B42" w:rsidRPr="00FF7B42" w:rsidRDefault="00FF7B42" w:rsidP="00FF7B42">
            <w:pPr>
              <w:rPr>
                <w:color w:val="000000"/>
                <w:sz w:val="16"/>
                <w:szCs w:val="16"/>
              </w:rPr>
            </w:pPr>
            <w:r w:rsidRPr="00FF7B42">
              <w:rPr>
                <w:color w:val="000000"/>
                <w:sz w:val="16"/>
                <w:szCs w:val="16"/>
              </w:rPr>
              <w:t>Low prices of agricultural produces</w:t>
            </w:r>
          </w:p>
        </w:tc>
        <w:tc>
          <w:tcPr>
            <w:tcW w:w="869" w:type="dxa"/>
            <w:tcBorders>
              <w:top w:val="nil"/>
              <w:left w:val="nil"/>
              <w:bottom w:val="nil"/>
              <w:right w:val="nil"/>
            </w:tcBorders>
            <w:shd w:val="clear" w:color="auto" w:fill="auto"/>
            <w:noWrap/>
            <w:vAlign w:val="center"/>
            <w:hideMark/>
          </w:tcPr>
          <w:p w14:paraId="5119C91F" w14:textId="77777777" w:rsidR="00FF7B42" w:rsidRPr="00FF7B42" w:rsidRDefault="00FF7B42" w:rsidP="00355DF7">
            <w:pPr>
              <w:jc w:val="right"/>
              <w:rPr>
                <w:color w:val="000000"/>
                <w:sz w:val="16"/>
                <w:szCs w:val="16"/>
              </w:rPr>
            </w:pPr>
            <w:r w:rsidRPr="00FF7B42">
              <w:rPr>
                <w:color w:val="000000"/>
                <w:sz w:val="16"/>
                <w:szCs w:val="16"/>
              </w:rPr>
              <w:t>532,619</w:t>
            </w:r>
          </w:p>
        </w:tc>
        <w:tc>
          <w:tcPr>
            <w:tcW w:w="1228" w:type="dxa"/>
            <w:tcBorders>
              <w:top w:val="nil"/>
              <w:left w:val="nil"/>
              <w:bottom w:val="nil"/>
              <w:right w:val="nil"/>
            </w:tcBorders>
            <w:shd w:val="clear" w:color="auto" w:fill="auto"/>
            <w:noWrap/>
            <w:vAlign w:val="center"/>
            <w:hideMark/>
          </w:tcPr>
          <w:p w14:paraId="654588AB" w14:textId="4507CC05" w:rsidR="00FF7B42" w:rsidRPr="00FF7B42" w:rsidRDefault="00FF7B42" w:rsidP="00355DF7">
            <w:pPr>
              <w:jc w:val="right"/>
              <w:rPr>
                <w:color w:val="000000"/>
                <w:sz w:val="16"/>
                <w:szCs w:val="16"/>
              </w:rPr>
            </w:pPr>
            <w:r w:rsidRPr="00FF7B42">
              <w:rPr>
                <w:color w:val="000000"/>
                <w:sz w:val="16"/>
                <w:szCs w:val="16"/>
              </w:rPr>
              <w:t>7.2</w:t>
            </w:r>
          </w:p>
        </w:tc>
        <w:tc>
          <w:tcPr>
            <w:tcW w:w="854" w:type="dxa"/>
            <w:tcBorders>
              <w:top w:val="nil"/>
              <w:left w:val="single" w:sz="4" w:space="0" w:color="auto"/>
              <w:bottom w:val="nil"/>
              <w:right w:val="nil"/>
            </w:tcBorders>
            <w:shd w:val="clear" w:color="auto" w:fill="auto"/>
            <w:noWrap/>
            <w:vAlign w:val="center"/>
            <w:hideMark/>
          </w:tcPr>
          <w:p w14:paraId="3799033B" w14:textId="77777777" w:rsidR="00FF7B42" w:rsidRPr="00FF7B42" w:rsidRDefault="00FF7B42" w:rsidP="00355DF7">
            <w:pPr>
              <w:jc w:val="right"/>
              <w:rPr>
                <w:color w:val="000000"/>
                <w:sz w:val="16"/>
                <w:szCs w:val="16"/>
              </w:rPr>
            </w:pPr>
            <w:r w:rsidRPr="00FF7B42">
              <w:rPr>
                <w:color w:val="000000"/>
                <w:sz w:val="16"/>
                <w:szCs w:val="16"/>
              </w:rPr>
              <w:t>530,068</w:t>
            </w:r>
          </w:p>
        </w:tc>
        <w:tc>
          <w:tcPr>
            <w:tcW w:w="1156" w:type="dxa"/>
            <w:tcBorders>
              <w:top w:val="nil"/>
              <w:left w:val="nil"/>
              <w:bottom w:val="nil"/>
              <w:right w:val="nil"/>
            </w:tcBorders>
            <w:shd w:val="clear" w:color="auto" w:fill="auto"/>
            <w:noWrap/>
            <w:vAlign w:val="center"/>
            <w:hideMark/>
          </w:tcPr>
          <w:p w14:paraId="041DB29F" w14:textId="1DD250D5" w:rsidR="00FF7B42" w:rsidRPr="00FF7B42" w:rsidRDefault="00FF7B42" w:rsidP="00355DF7">
            <w:pPr>
              <w:jc w:val="right"/>
              <w:rPr>
                <w:color w:val="000000"/>
                <w:sz w:val="16"/>
                <w:szCs w:val="16"/>
              </w:rPr>
            </w:pPr>
            <w:r w:rsidRPr="00FF7B42">
              <w:rPr>
                <w:color w:val="000000"/>
                <w:sz w:val="16"/>
                <w:szCs w:val="16"/>
              </w:rPr>
              <w:t>7.4</w:t>
            </w:r>
          </w:p>
        </w:tc>
        <w:tc>
          <w:tcPr>
            <w:tcW w:w="740" w:type="dxa"/>
            <w:tcBorders>
              <w:top w:val="nil"/>
              <w:left w:val="single" w:sz="4" w:space="0" w:color="auto"/>
              <w:bottom w:val="nil"/>
              <w:right w:val="nil"/>
            </w:tcBorders>
            <w:shd w:val="clear" w:color="auto" w:fill="auto"/>
            <w:noWrap/>
            <w:vAlign w:val="center"/>
            <w:hideMark/>
          </w:tcPr>
          <w:p w14:paraId="025A3C7B" w14:textId="77777777" w:rsidR="00FF7B42" w:rsidRPr="00FF7B42" w:rsidRDefault="00FF7B42" w:rsidP="00355DF7">
            <w:pPr>
              <w:jc w:val="right"/>
              <w:rPr>
                <w:color w:val="000000"/>
                <w:sz w:val="16"/>
                <w:szCs w:val="16"/>
              </w:rPr>
            </w:pPr>
            <w:r w:rsidRPr="00FF7B42">
              <w:rPr>
                <w:color w:val="000000"/>
                <w:sz w:val="16"/>
                <w:szCs w:val="16"/>
              </w:rPr>
              <w:t>2,552</w:t>
            </w:r>
          </w:p>
        </w:tc>
        <w:tc>
          <w:tcPr>
            <w:tcW w:w="1260" w:type="dxa"/>
            <w:tcBorders>
              <w:top w:val="nil"/>
              <w:left w:val="nil"/>
              <w:bottom w:val="nil"/>
              <w:right w:val="nil"/>
            </w:tcBorders>
            <w:shd w:val="clear" w:color="auto" w:fill="auto"/>
            <w:noWrap/>
            <w:vAlign w:val="center"/>
            <w:hideMark/>
          </w:tcPr>
          <w:p w14:paraId="5ACEEF6F" w14:textId="7CAE0F32" w:rsidR="00FF7B42" w:rsidRPr="00FF7B42" w:rsidRDefault="00FF7B42" w:rsidP="00355DF7">
            <w:pPr>
              <w:jc w:val="right"/>
              <w:rPr>
                <w:color w:val="000000"/>
                <w:sz w:val="16"/>
                <w:szCs w:val="16"/>
              </w:rPr>
            </w:pPr>
            <w:r w:rsidRPr="00FF7B42">
              <w:rPr>
                <w:color w:val="000000"/>
                <w:sz w:val="16"/>
                <w:szCs w:val="16"/>
              </w:rPr>
              <w:t>1.5</w:t>
            </w:r>
          </w:p>
        </w:tc>
      </w:tr>
      <w:tr w:rsidR="00FF7B42" w:rsidRPr="00FF7B42" w14:paraId="31BF5410" w14:textId="77777777" w:rsidTr="00355DF7">
        <w:trPr>
          <w:trHeight w:val="300"/>
        </w:trPr>
        <w:tc>
          <w:tcPr>
            <w:tcW w:w="3079" w:type="dxa"/>
            <w:tcBorders>
              <w:top w:val="nil"/>
              <w:left w:val="nil"/>
              <w:bottom w:val="nil"/>
              <w:right w:val="nil"/>
            </w:tcBorders>
            <w:shd w:val="clear" w:color="auto" w:fill="auto"/>
            <w:noWrap/>
            <w:vAlign w:val="center"/>
            <w:hideMark/>
          </w:tcPr>
          <w:p w14:paraId="3865EF36" w14:textId="77777777" w:rsidR="00FF7B42" w:rsidRPr="00FF7B42" w:rsidRDefault="00FF7B42" w:rsidP="00FF7B42">
            <w:pPr>
              <w:rPr>
                <w:color w:val="000000"/>
                <w:sz w:val="16"/>
                <w:szCs w:val="16"/>
              </w:rPr>
            </w:pPr>
            <w:r w:rsidRPr="00FF7B42">
              <w:rPr>
                <w:color w:val="000000"/>
                <w:sz w:val="16"/>
                <w:szCs w:val="16"/>
              </w:rPr>
              <w:t>Cost of land ownership</w:t>
            </w:r>
          </w:p>
        </w:tc>
        <w:tc>
          <w:tcPr>
            <w:tcW w:w="869" w:type="dxa"/>
            <w:tcBorders>
              <w:top w:val="nil"/>
              <w:left w:val="nil"/>
              <w:bottom w:val="nil"/>
              <w:right w:val="nil"/>
            </w:tcBorders>
            <w:shd w:val="clear" w:color="auto" w:fill="auto"/>
            <w:noWrap/>
            <w:vAlign w:val="center"/>
            <w:hideMark/>
          </w:tcPr>
          <w:p w14:paraId="3996B625" w14:textId="77777777" w:rsidR="00FF7B42" w:rsidRPr="00FF7B42" w:rsidRDefault="00FF7B42" w:rsidP="00355DF7">
            <w:pPr>
              <w:jc w:val="right"/>
              <w:rPr>
                <w:color w:val="000000"/>
                <w:sz w:val="16"/>
                <w:szCs w:val="16"/>
              </w:rPr>
            </w:pPr>
            <w:r w:rsidRPr="00FF7B42">
              <w:rPr>
                <w:color w:val="000000"/>
                <w:sz w:val="16"/>
                <w:szCs w:val="16"/>
              </w:rPr>
              <w:t>31,214</w:t>
            </w:r>
          </w:p>
        </w:tc>
        <w:tc>
          <w:tcPr>
            <w:tcW w:w="1228" w:type="dxa"/>
            <w:tcBorders>
              <w:top w:val="nil"/>
              <w:left w:val="nil"/>
              <w:bottom w:val="nil"/>
              <w:right w:val="nil"/>
            </w:tcBorders>
            <w:shd w:val="clear" w:color="auto" w:fill="auto"/>
            <w:noWrap/>
            <w:vAlign w:val="center"/>
            <w:hideMark/>
          </w:tcPr>
          <w:p w14:paraId="65D686E0" w14:textId="136D8FEE" w:rsidR="00FF7B42" w:rsidRPr="00FF7B42" w:rsidRDefault="00FF7B42" w:rsidP="00355DF7">
            <w:pPr>
              <w:jc w:val="right"/>
              <w:rPr>
                <w:color w:val="000000"/>
                <w:sz w:val="16"/>
                <w:szCs w:val="16"/>
              </w:rPr>
            </w:pPr>
            <w:r w:rsidRPr="00FF7B42">
              <w:rPr>
                <w:color w:val="000000"/>
                <w:sz w:val="16"/>
                <w:szCs w:val="16"/>
              </w:rPr>
              <w:t>0.4</w:t>
            </w:r>
          </w:p>
        </w:tc>
        <w:tc>
          <w:tcPr>
            <w:tcW w:w="854" w:type="dxa"/>
            <w:tcBorders>
              <w:top w:val="nil"/>
              <w:left w:val="single" w:sz="4" w:space="0" w:color="auto"/>
              <w:bottom w:val="nil"/>
              <w:right w:val="nil"/>
            </w:tcBorders>
            <w:shd w:val="clear" w:color="auto" w:fill="auto"/>
            <w:noWrap/>
            <w:vAlign w:val="center"/>
            <w:hideMark/>
          </w:tcPr>
          <w:p w14:paraId="72012C9E" w14:textId="77777777" w:rsidR="00FF7B42" w:rsidRPr="00FF7B42" w:rsidRDefault="00FF7B42" w:rsidP="00355DF7">
            <w:pPr>
              <w:jc w:val="right"/>
              <w:rPr>
                <w:color w:val="000000"/>
                <w:sz w:val="16"/>
                <w:szCs w:val="16"/>
              </w:rPr>
            </w:pPr>
            <w:r w:rsidRPr="00FF7B42">
              <w:rPr>
                <w:color w:val="000000"/>
                <w:sz w:val="16"/>
                <w:szCs w:val="16"/>
              </w:rPr>
              <w:t>31,088</w:t>
            </w:r>
          </w:p>
        </w:tc>
        <w:tc>
          <w:tcPr>
            <w:tcW w:w="1156" w:type="dxa"/>
            <w:tcBorders>
              <w:top w:val="nil"/>
              <w:left w:val="nil"/>
              <w:bottom w:val="nil"/>
              <w:right w:val="nil"/>
            </w:tcBorders>
            <w:shd w:val="clear" w:color="auto" w:fill="auto"/>
            <w:noWrap/>
            <w:vAlign w:val="center"/>
            <w:hideMark/>
          </w:tcPr>
          <w:p w14:paraId="3219A328" w14:textId="7F176E1F" w:rsidR="00FF7B42" w:rsidRPr="00FF7B42" w:rsidRDefault="00FF7B42" w:rsidP="00355DF7">
            <w:pPr>
              <w:jc w:val="right"/>
              <w:rPr>
                <w:color w:val="000000"/>
                <w:sz w:val="16"/>
                <w:szCs w:val="16"/>
              </w:rPr>
            </w:pPr>
            <w:r w:rsidRPr="00FF7B42">
              <w:rPr>
                <w:color w:val="000000"/>
                <w:sz w:val="16"/>
                <w:szCs w:val="16"/>
              </w:rPr>
              <w:t>0.4</w:t>
            </w:r>
          </w:p>
        </w:tc>
        <w:tc>
          <w:tcPr>
            <w:tcW w:w="740" w:type="dxa"/>
            <w:tcBorders>
              <w:top w:val="nil"/>
              <w:left w:val="single" w:sz="4" w:space="0" w:color="auto"/>
              <w:bottom w:val="nil"/>
              <w:right w:val="nil"/>
            </w:tcBorders>
            <w:shd w:val="clear" w:color="auto" w:fill="auto"/>
            <w:noWrap/>
            <w:vAlign w:val="center"/>
            <w:hideMark/>
          </w:tcPr>
          <w:p w14:paraId="1C9515D1" w14:textId="77777777" w:rsidR="00FF7B42" w:rsidRPr="00FF7B42" w:rsidRDefault="00FF7B42" w:rsidP="00355DF7">
            <w:pPr>
              <w:jc w:val="right"/>
              <w:rPr>
                <w:color w:val="000000"/>
                <w:sz w:val="16"/>
                <w:szCs w:val="16"/>
              </w:rPr>
            </w:pPr>
            <w:r w:rsidRPr="00FF7B42">
              <w:rPr>
                <w:color w:val="000000"/>
                <w:sz w:val="16"/>
                <w:szCs w:val="16"/>
              </w:rPr>
              <w:t>126</w:t>
            </w:r>
          </w:p>
        </w:tc>
        <w:tc>
          <w:tcPr>
            <w:tcW w:w="1260" w:type="dxa"/>
            <w:tcBorders>
              <w:top w:val="nil"/>
              <w:left w:val="nil"/>
              <w:bottom w:val="nil"/>
              <w:right w:val="nil"/>
            </w:tcBorders>
            <w:shd w:val="clear" w:color="auto" w:fill="auto"/>
            <w:noWrap/>
            <w:vAlign w:val="center"/>
            <w:hideMark/>
          </w:tcPr>
          <w:p w14:paraId="1E72B610" w14:textId="370E3110" w:rsidR="00FF7B42" w:rsidRPr="00FF7B42" w:rsidRDefault="00FF7B42" w:rsidP="00355DF7">
            <w:pPr>
              <w:jc w:val="right"/>
              <w:rPr>
                <w:color w:val="000000"/>
                <w:sz w:val="16"/>
                <w:szCs w:val="16"/>
              </w:rPr>
            </w:pPr>
            <w:r w:rsidRPr="00FF7B42">
              <w:rPr>
                <w:color w:val="000000"/>
                <w:sz w:val="16"/>
                <w:szCs w:val="16"/>
              </w:rPr>
              <w:t>0.1</w:t>
            </w:r>
          </w:p>
        </w:tc>
      </w:tr>
      <w:tr w:rsidR="00FF7B42" w:rsidRPr="00FF7B42" w14:paraId="4805AC54" w14:textId="77777777" w:rsidTr="00355DF7">
        <w:trPr>
          <w:trHeight w:val="300"/>
        </w:trPr>
        <w:tc>
          <w:tcPr>
            <w:tcW w:w="3079" w:type="dxa"/>
            <w:tcBorders>
              <w:top w:val="nil"/>
              <w:left w:val="nil"/>
              <w:bottom w:val="nil"/>
              <w:right w:val="nil"/>
            </w:tcBorders>
            <w:shd w:val="clear" w:color="auto" w:fill="auto"/>
            <w:noWrap/>
            <w:vAlign w:val="center"/>
            <w:hideMark/>
          </w:tcPr>
          <w:p w14:paraId="1408B1E6" w14:textId="77777777" w:rsidR="00FF7B42" w:rsidRPr="00FF7B42" w:rsidRDefault="00FF7B42" w:rsidP="00FF7B42">
            <w:pPr>
              <w:rPr>
                <w:color w:val="000000"/>
                <w:sz w:val="16"/>
                <w:szCs w:val="16"/>
              </w:rPr>
            </w:pPr>
            <w:r w:rsidRPr="00FF7B42">
              <w:rPr>
                <w:color w:val="000000"/>
                <w:sz w:val="16"/>
                <w:szCs w:val="16"/>
              </w:rPr>
              <w:t>Governmental Policies Laws Regulations and Guidelines</w:t>
            </w:r>
          </w:p>
        </w:tc>
        <w:tc>
          <w:tcPr>
            <w:tcW w:w="869" w:type="dxa"/>
            <w:tcBorders>
              <w:top w:val="nil"/>
              <w:left w:val="nil"/>
              <w:bottom w:val="nil"/>
              <w:right w:val="nil"/>
            </w:tcBorders>
            <w:shd w:val="clear" w:color="auto" w:fill="auto"/>
            <w:noWrap/>
            <w:vAlign w:val="center"/>
            <w:hideMark/>
          </w:tcPr>
          <w:p w14:paraId="2C9D6DFE" w14:textId="77777777" w:rsidR="00FF7B42" w:rsidRPr="00FF7B42" w:rsidRDefault="00FF7B42" w:rsidP="00355DF7">
            <w:pPr>
              <w:jc w:val="right"/>
              <w:rPr>
                <w:color w:val="000000"/>
                <w:sz w:val="16"/>
                <w:szCs w:val="16"/>
              </w:rPr>
            </w:pPr>
            <w:r w:rsidRPr="00FF7B42">
              <w:rPr>
                <w:color w:val="000000"/>
                <w:sz w:val="16"/>
                <w:szCs w:val="16"/>
              </w:rPr>
              <w:t>17,349</w:t>
            </w:r>
          </w:p>
        </w:tc>
        <w:tc>
          <w:tcPr>
            <w:tcW w:w="1228" w:type="dxa"/>
            <w:tcBorders>
              <w:top w:val="nil"/>
              <w:left w:val="nil"/>
              <w:bottom w:val="nil"/>
              <w:right w:val="nil"/>
            </w:tcBorders>
            <w:shd w:val="clear" w:color="auto" w:fill="auto"/>
            <w:noWrap/>
            <w:vAlign w:val="center"/>
            <w:hideMark/>
          </w:tcPr>
          <w:p w14:paraId="2E916DE9" w14:textId="76DC8E84" w:rsidR="00FF7B42" w:rsidRPr="00FF7B42" w:rsidRDefault="00FF7B42" w:rsidP="00355DF7">
            <w:pPr>
              <w:jc w:val="right"/>
              <w:rPr>
                <w:color w:val="000000"/>
                <w:sz w:val="16"/>
                <w:szCs w:val="16"/>
              </w:rPr>
            </w:pPr>
            <w:r w:rsidRPr="00FF7B42">
              <w:rPr>
                <w:color w:val="000000"/>
                <w:sz w:val="16"/>
                <w:szCs w:val="16"/>
              </w:rPr>
              <w:t>0.2</w:t>
            </w:r>
          </w:p>
        </w:tc>
        <w:tc>
          <w:tcPr>
            <w:tcW w:w="854" w:type="dxa"/>
            <w:tcBorders>
              <w:top w:val="nil"/>
              <w:left w:val="single" w:sz="4" w:space="0" w:color="auto"/>
              <w:bottom w:val="nil"/>
              <w:right w:val="nil"/>
            </w:tcBorders>
            <w:shd w:val="clear" w:color="auto" w:fill="auto"/>
            <w:noWrap/>
            <w:vAlign w:val="center"/>
            <w:hideMark/>
          </w:tcPr>
          <w:p w14:paraId="1C3245CF" w14:textId="77777777" w:rsidR="00FF7B42" w:rsidRPr="00FF7B42" w:rsidRDefault="00FF7B42" w:rsidP="00355DF7">
            <w:pPr>
              <w:jc w:val="right"/>
              <w:rPr>
                <w:color w:val="000000"/>
                <w:sz w:val="16"/>
                <w:szCs w:val="16"/>
              </w:rPr>
            </w:pPr>
            <w:r w:rsidRPr="00FF7B42">
              <w:rPr>
                <w:color w:val="000000"/>
                <w:sz w:val="16"/>
                <w:szCs w:val="16"/>
              </w:rPr>
              <w:t>17,349</w:t>
            </w:r>
          </w:p>
        </w:tc>
        <w:tc>
          <w:tcPr>
            <w:tcW w:w="1156" w:type="dxa"/>
            <w:tcBorders>
              <w:top w:val="nil"/>
              <w:left w:val="nil"/>
              <w:bottom w:val="nil"/>
              <w:right w:val="nil"/>
            </w:tcBorders>
            <w:shd w:val="clear" w:color="auto" w:fill="auto"/>
            <w:noWrap/>
            <w:vAlign w:val="center"/>
            <w:hideMark/>
          </w:tcPr>
          <w:p w14:paraId="4FACD896" w14:textId="6E900C22" w:rsidR="00FF7B42" w:rsidRPr="00FF7B42" w:rsidRDefault="00FF7B42" w:rsidP="00355DF7">
            <w:pPr>
              <w:jc w:val="right"/>
              <w:rPr>
                <w:color w:val="000000"/>
                <w:sz w:val="16"/>
                <w:szCs w:val="16"/>
              </w:rPr>
            </w:pPr>
            <w:r w:rsidRPr="00FF7B42">
              <w:rPr>
                <w:color w:val="000000"/>
                <w:sz w:val="16"/>
                <w:szCs w:val="16"/>
              </w:rPr>
              <w:t>0.2</w:t>
            </w:r>
          </w:p>
        </w:tc>
        <w:tc>
          <w:tcPr>
            <w:tcW w:w="740" w:type="dxa"/>
            <w:tcBorders>
              <w:top w:val="nil"/>
              <w:left w:val="single" w:sz="4" w:space="0" w:color="auto"/>
              <w:bottom w:val="nil"/>
              <w:right w:val="nil"/>
            </w:tcBorders>
            <w:shd w:val="clear" w:color="auto" w:fill="auto"/>
            <w:noWrap/>
            <w:vAlign w:val="center"/>
            <w:hideMark/>
          </w:tcPr>
          <w:p w14:paraId="34FDC9C9" w14:textId="77777777" w:rsidR="00FF7B42" w:rsidRPr="00FF7B42" w:rsidRDefault="00FF7B42" w:rsidP="00355DF7">
            <w:pPr>
              <w:jc w:val="right"/>
              <w:rPr>
                <w:color w:val="000000"/>
                <w:sz w:val="16"/>
                <w:szCs w:val="16"/>
              </w:rPr>
            </w:pPr>
            <w:r w:rsidRPr="00FF7B42">
              <w:rPr>
                <w:color w:val="000000"/>
                <w:sz w:val="16"/>
                <w:szCs w:val="16"/>
              </w:rPr>
              <w:t>-</w:t>
            </w:r>
          </w:p>
        </w:tc>
        <w:tc>
          <w:tcPr>
            <w:tcW w:w="1260" w:type="dxa"/>
            <w:tcBorders>
              <w:top w:val="nil"/>
              <w:left w:val="nil"/>
              <w:bottom w:val="nil"/>
              <w:right w:val="nil"/>
            </w:tcBorders>
            <w:shd w:val="clear" w:color="auto" w:fill="auto"/>
            <w:noWrap/>
            <w:vAlign w:val="center"/>
            <w:hideMark/>
          </w:tcPr>
          <w:p w14:paraId="0732EEF4" w14:textId="3B73E655" w:rsidR="00FF7B42" w:rsidRPr="00FF7B42" w:rsidRDefault="00FF7B42" w:rsidP="00355DF7">
            <w:pPr>
              <w:jc w:val="right"/>
              <w:rPr>
                <w:color w:val="000000"/>
                <w:sz w:val="16"/>
                <w:szCs w:val="16"/>
              </w:rPr>
            </w:pPr>
            <w:r w:rsidRPr="00FF7B42">
              <w:rPr>
                <w:color w:val="000000"/>
                <w:sz w:val="16"/>
                <w:szCs w:val="16"/>
              </w:rPr>
              <w:t>-</w:t>
            </w:r>
          </w:p>
        </w:tc>
      </w:tr>
      <w:tr w:rsidR="00FF7B42" w:rsidRPr="00FF7B42" w14:paraId="6256F67D" w14:textId="77777777" w:rsidTr="00355DF7">
        <w:trPr>
          <w:trHeight w:val="300"/>
        </w:trPr>
        <w:tc>
          <w:tcPr>
            <w:tcW w:w="3079" w:type="dxa"/>
            <w:tcBorders>
              <w:top w:val="nil"/>
              <w:left w:val="nil"/>
              <w:bottom w:val="nil"/>
              <w:right w:val="nil"/>
            </w:tcBorders>
            <w:shd w:val="clear" w:color="auto" w:fill="auto"/>
            <w:noWrap/>
            <w:vAlign w:val="center"/>
            <w:hideMark/>
          </w:tcPr>
          <w:p w14:paraId="1CB0FA5E" w14:textId="77777777" w:rsidR="00FF7B42" w:rsidRPr="00FF7B42" w:rsidRDefault="00FF7B42" w:rsidP="00FF7B42">
            <w:pPr>
              <w:rPr>
                <w:color w:val="000000"/>
                <w:sz w:val="16"/>
                <w:szCs w:val="16"/>
              </w:rPr>
            </w:pPr>
            <w:r w:rsidRPr="00FF7B42">
              <w:rPr>
                <w:color w:val="000000"/>
                <w:sz w:val="16"/>
                <w:szCs w:val="16"/>
              </w:rPr>
              <w:t>Availability of quality pasture and Animal feeds</w:t>
            </w:r>
          </w:p>
        </w:tc>
        <w:tc>
          <w:tcPr>
            <w:tcW w:w="869" w:type="dxa"/>
            <w:tcBorders>
              <w:top w:val="nil"/>
              <w:left w:val="nil"/>
              <w:bottom w:val="nil"/>
              <w:right w:val="nil"/>
            </w:tcBorders>
            <w:shd w:val="clear" w:color="auto" w:fill="auto"/>
            <w:noWrap/>
            <w:vAlign w:val="center"/>
            <w:hideMark/>
          </w:tcPr>
          <w:p w14:paraId="4C81B88C" w14:textId="77777777" w:rsidR="00FF7B42" w:rsidRPr="00FF7B42" w:rsidRDefault="00FF7B42" w:rsidP="00355DF7">
            <w:pPr>
              <w:jc w:val="right"/>
              <w:rPr>
                <w:color w:val="000000"/>
                <w:sz w:val="16"/>
                <w:szCs w:val="16"/>
              </w:rPr>
            </w:pPr>
            <w:r w:rsidRPr="00FF7B42">
              <w:rPr>
                <w:color w:val="000000"/>
                <w:sz w:val="16"/>
                <w:szCs w:val="16"/>
              </w:rPr>
              <w:t>19,807</w:t>
            </w:r>
          </w:p>
        </w:tc>
        <w:tc>
          <w:tcPr>
            <w:tcW w:w="1228" w:type="dxa"/>
            <w:tcBorders>
              <w:top w:val="nil"/>
              <w:left w:val="nil"/>
              <w:bottom w:val="nil"/>
              <w:right w:val="nil"/>
            </w:tcBorders>
            <w:shd w:val="clear" w:color="auto" w:fill="auto"/>
            <w:noWrap/>
            <w:vAlign w:val="center"/>
            <w:hideMark/>
          </w:tcPr>
          <w:p w14:paraId="2791A8E1" w14:textId="1729A82B" w:rsidR="00FF7B42" w:rsidRPr="00FF7B42" w:rsidRDefault="00FF7B42" w:rsidP="00355DF7">
            <w:pPr>
              <w:jc w:val="right"/>
              <w:rPr>
                <w:color w:val="000000"/>
                <w:sz w:val="16"/>
                <w:szCs w:val="16"/>
              </w:rPr>
            </w:pPr>
            <w:r w:rsidRPr="00FF7B42">
              <w:rPr>
                <w:color w:val="000000"/>
                <w:sz w:val="16"/>
                <w:szCs w:val="16"/>
              </w:rPr>
              <w:t>0.3</w:t>
            </w:r>
          </w:p>
        </w:tc>
        <w:tc>
          <w:tcPr>
            <w:tcW w:w="854" w:type="dxa"/>
            <w:tcBorders>
              <w:top w:val="nil"/>
              <w:left w:val="single" w:sz="4" w:space="0" w:color="auto"/>
              <w:bottom w:val="nil"/>
              <w:right w:val="nil"/>
            </w:tcBorders>
            <w:shd w:val="clear" w:color="auto" w:fill="auto"/>
            <w:noWrap/>
            <w:vAlign w:val="center"/>
            <w:hideMark/>
          </w:tcPr>
          <w:p w14:paraId="1A08874C" w14:textId="77777777" w:rsidR="00FF7B42" w:rsidRPr="00FF7B42" w:rsidRDefault="00FF7B42" w:rsidP="00355DF7">
            <w:pPr>
              <w:jc w:val="right"/>
              <w:rPr>
                <w:color w:val="000000"/>
                <w:sz w:val="16"/>
                <w:szCs w:val="16"/>
              </w:rPr>
            </w:pPr>
            <w:r w:rsidRPr="00FF7B42">
              <w:rPr>
                <w:color w:val="000000"/>
                <w:sz w:val="16"/>
                <w:szCs w:val="16"/>
              </w:rPr>
              <w:t>19,434</w:t>
            </w:r>
          </w:p>
        </w:tc>
        <w:tc>
          <w:tcPr>
            <w:tcW w:w="1156" w:type="dxa"/>
            <w:tcBorders>
              <w:top w:val="nil"/>
              <w:left w:val="nil"/>
              <w:bottom w:val="nil"/>
              <w:right w:val="nil"/>
            </w:tcBorders>
            <w:shd w:val="clear" w:color="auto" w:fill="auto"/>
            <w:noWrap/>
            <w:vAlign w:val="center"/>
            <w:hideMark/>
          </w:tcPr>
          <w:p w14:paraId="543B33FE" w14:textId="112BCAAA" w:rsidR="00FF7B42" w:rsidRPr="00FF7B42" w:rsidRDefault="00FF7B42" w:rsidP="00355DF7">
            <w:pPr>
              <w:jc w:val="right"/>
              <w:rPr>
                <w:color w:val="000000"/>
                <w:sz w:val="16"/>
                <w:szCs w:val="16"/>
              </w:rPr>
            </w:pPr>
            <w:r w:rsidRPr="00FF7B42">
              <w:rPr>
                <w:color w:val="000000"/>
                <w:sz w:val="16"/>
                <w:szCs w:val="16"/>
              </w:rPr>
              <w:t>0.3</w:t>
            </w:r>
          </w:p>
        </w:tc>
        <w:tc>
          <w:tcPr>
            <w:tcW w:w="740" w:type="dxa"/>
            <w:tcBorders>
              <w:top w:val="nil"/>
              <w:left w:val="single" w:sz="4" w:space="0" w:color="auto"/>
              <w:bottom w:val="nil"/>
              <w:right w:val="nil"/>
            </w:tcBorders>
            <w:shd w:val="clear" w:color="auto" w:fill="auto"/>
            <w:noWrap/>
            <w:vAlign w:val="center"/>
            <w:hideMark/>
          </w:tcPr>
          <w:p w14:paraId="7E4678C0" w14:textId="77777777" w:rsidR="00FF7B42" w:rsidRPr="00FF7B42" w:rsidRDefault="00FF7B42" w:rsidP="00355DF7">
            <w:pPr>
              <w:jc w:val="right"/>
              <w:rPr>
                <w:color w:val="000000"/>
                <w:sz w:val="16"/>
                <w:szCs w:val="16"/>
              </w:rPr>
            </w:pPr>
            <w:r w:rsidRPr="00FF7B42">
              <w:rPr>
                <w:color w:val="000000"/>
                <w:sz w:val="16"/>
                <w:szCs w:val="16"/>
              </w:rPr>
              <w:t>373</w:t>
            </w:r>
          </w:p>
        </w:tc>
        <w:tc>
          <w:tcPr>
            <w:tcW w:w="1260" w:type="dxa"/>
            <w:tcBorders>
              <w:top w:val="nil"/>
              <w:left w:val="nil"/>
              <w:bottom w:val="nil"/>
              <w:right w:val="nil"/>
            </w:tcBorders>
            <w:shd w:val="clear" w:color="auto" w:fill="auto"/>
            <w:noWrap/>
            <w:vAlign w:val="center"/>
            <w:hideMark/>
          </w:tcPr>
          <w:p w14:paraId="70936A03" w14:textId="26A773AC" w:rsidR="00FF7B42" w:rsidRPr="00FF7B42" w:rsidRDefault="00FF7B42" w:rsidP="00355DF7">
            <w:pPr>
              <w:jc w:val="right"/>
              <w:rPr>
                <w:color w:val="000000"/>
                <w:sz w:val="16"/>
                <w:szCs w:val="16"/>
              </w:rPr>
            </w:pPr>
            <w:r w:rsidRPr="00FF7B42">
              <w:rPr>
                <w:color w:val="000000"/>
                <w:sz w:val="16"/>
                <w:szCs w:val="16"/>
              </w:rPr>
              <w:t>0.2</w:t>
            </w:r>
          </w:p>
        </w:tc>
      </w:tr>
      <w:tr w:rsidR="00FF7B42" w:rsidRPr="00FF7B42" w14:paraId="52A35A48" w14:textId="77777777" w:rsidTr="00355DF7">
        <w:trPr>
          <w:trHeight w:val="300"/>
        </w:trPr>
        <w:tc>
          <w:tcPr>
            <w:tcW w:w="3079" w:type="dxa"/>
            <w:tcBorders>
              <w:top w:val="nil"/>
              <w:left w:val="nil"/>
              <w:bottom w:val="nil"/>
              <w:right w:val="nil"/>
            </w:tcBorders>
            <w:shd w:val="clear" w:color="auto" w:fill="auto"/>
            <w:noWrap/>
            <w:vAlign w:val="center"/>
            <w:hideMark/>
          </w:tcPr>
          <w:p w14:paraId="3D3B0DED" w14:textId="77777777" w:rsidR="00FF7B42" w:rsidRPr="00FF7B42" w:rsidRDefault="00FF7B42" w:rsidP="00FF7B42">
            <w:pPr>
              <w:rPr>
                <w:color w:val="000000"/>
                <w:sz w:val="16"/>
                <w:szCs w:val="16"/>
              </w:rPr>
            </w:pPr>
            <w:r w:rsidRPr="00FF7B42">
              <w:rPr>
                <w:color w:val="000000"/>
                <w:sz w:val="16"/>
                <w:szCs w:val="16"/>
              </w:rPr>
              <w:t>Access to water for domestic use</w:t>
            </w:r>
          </w:p>
        </w:tc>
        <w:tc>
          <w:tcPr>
            <w:tcW w:w="869" w:type="dxa"/>
            <w:tcBorders>
              <w:top w:val="nil"/>
              <w:left w:val="nil"/>
              <w:bottom w:val="nil"/>
              <w:right w:val="nil"/>
            </w:tcBorders>
            <w:shd w:val="clear" w:color="auto" w:fill="auto"/>
            <w:noWrap/>
            <w:vAlign w:val="center"/>
            <w:hideMark/>
          </w:tcPr>
          <w:p w14:paraId="1D9201E2" w14:textId="77777777" w:rsidR="00FF7B42" w:rsidRPr="00FF7B42" w:rsidRDefault="00FF7B42" w:rsidP="00355DF7">
            <w:pPr>
              <w:jc w:val="right"/>
              <w:rPr>
                <w:color w:val="000000"/>
                <w:sz w:val="16"/>
                <w:szCs w:val="16"/>
              </w:rPr>
            </w:pPr>
            <w:r w:rsidRPr="00FF7B42">
              <w:rPr>
                <w:color w:val="000000"/>
                <w:sz w:val="16"/>
                <w:szCs w:val="16"/>
              </w:rPr>
              <w:t>68,749</w:t>
            </w:r>
          </w:p>
        </w:tc>
        <w:tc>
          <w:tcPr>
            <w:tcW w:w="1228" w:type="dxa"/>
            <w:tcBorders>
              <w:top w:val="nil"/>
              <w:left w:val="nil"/>
              <w:bottom w:val="nil"/>
              <w:right w:val="nil"/>
            </w:tcBorders>
            <w:shd w:val="clear" w:color="auto" w:fill="auto"/>
            <w:noWrap/>
            <w:vAlign w:val="center"/>
            <w:hideMark/>
          </w:tcPr>
          <w:p w14:paraId="055F0B34" w14:textId="76173CCD" w:rsidR="00FF7B42" w:rsidRPr="00FF7B42" w:rsidRDefault="00FF7B42" w:rsidP="00355DF7">
            <w:pPr>
              <w:jc w:val="right"/>
              <w:rPr>
                <w:color w:val="000000"/>
                <w:sz w:val="16"/>
                <w:szCs w:val="16"/>
              </w:rPr>
            </w:pPr>
            <w:r w:rsidRPr="00FF7B42">
              <w:rPr>
                <w:color w:val="000000"/>
                <w:sz w:val="16"/>
                <w:szCs w:val="16"/>
              </w:rPr>
              <w:t>0.9</w:t>
            </w:r>
          </w:p>
        </w:tc>
        <w:tc>
          <w:tcPr>
            <w:tcW w:w="854" w:type="dxa"/>
            <w:tcBorders>
              <w:top w:val="nil"/>
              <w:left w:val="single" w:sz="4" w:space="0" w:color="auto"/>
              <w:bottom w:val="nil"/>
              <w:right w:val="nil"/>
            </w:tcBorders>
            <w:shd w:val="clear" w:color="auto" w:fill="auto"/>
            <w:noWrap/>
            <w:vAlign w:val="center"/>
            <w:hideMark/>
          </w:tcPr>
          <w:p w14:paraId="2A3D8409" w14:textId="77777777" w:rsidR="00FF7B42" w:rsidRPr="00FF7B42" w:rsidRDefault="00FF7B42" w:rsidP="00355DF7">
            <w:pPr>
              <w:jc w:val="right"/>
              <w:rPr>
                <w:color w:val="000000"/>
                <w:sz w:val="16"/>
                <w:szCs w:val="16"/>
              </w:rPr>
            </w:pPr>
            <w:r w:rsidRPr="00FF7B42">
              <w:rPr>
                <w:color w:val="000000"/>
                <w:sz w:val="16"/>
                <w:szCs w:val="16"/>
              </w:rPr>
              <w:t>68,415</w:t>
            </w:r>
          </w:p>
        </w:tc>
        <w:tc>
          <w:tcPr>
            <w:tcW w:w="1156" w:type="dxa"/>
            <w:tcBorders>
              <w:top w:val="nil"/>
              <w:left w:val="nil"/>
              <w:bottom w:val="nil"/>
              <w:right w:val="nil"/>
            </w:tcBorders>
            <w:shd w:val="clear" w:color="auto" w:fill="auto"/>
            <w:noWrap/>
            <w:vAlign w:val="center"/>
            <w:hideMark/>
          </w:tcPr>
          <w:p w14:paraId="14FF2550" w14:textId="19F9E889" w:rsidR="00FF7B42" w:rsidRPr="00FF7B42" w:rsidRDefault="00FF7B42" w:rsidP="00355DF7">
            <w:pPr>
              <w:jc w:val="right"/>
              <w:rPr>
                <w:color w:val="000000"/>
                <w:sz w:val="16"/>
                <w:szCs w:val="16"/>
              </w:rPr>
            </w:pPr>
            <w:r w:rsidRPr="00FF7B42">
              <w:rPr>
                <w:color w:val="000000"/>
                <w:sz w:val="16"/>
                <w:szCs w:val="16"/>
              </w:rPr>
              <w:t>0.9</w:t>
            </w:r>
          </w:p>
        </w:tc>
        <w:tc>
          <w:tcPr>
            <w:tcW w:w="740" w:type="dxa"/>
            <w:tcBorders>
              <w:top w:val="nil"/>
              <w:left w:val="single" w:sz="4" w:space="0" w:color="auto"/>
              <w:bottom w:val="nil"/>
              <w:right w:val="nil"/>
            </w:tcBorders>
            <w:shd w:val="clear" w:color="auto" w:fill="auto"/>
            <w:noWrap/>
            <w:vAlign w:val="center"/>
            <w:hideMark/>
          </w:tcPr>
          <w:p w14:paraId="1B4731F3" w14:textId="77777777" w:rsidR="00FF7B42" w:rsidRPr="00FF7B42" w:rsidRDefault="00FF7B42" w:rsidP="00355DF7">
            <w:pPr>
              <w:jc w:val="right"/>
              <w:rPr>
                <w:color w:val="000000"/>
                <w:sz w:val="16"/>
                <w:szCs w:val="16"/>
              </w:rPr>
            </w:pPr>
            <w:r w:rsidRPr="00FF7B42">
              <w:rPr>
                <w:color w:val="000000"/>
                <w:sz w:val="16"/>
                <w:szCs w:val="16"/>
              </w:rPr>
              <w:t>334</w:t>
            </w:r>
          </w:p>
        </w:tc>
        <w:tc>
          <w:tcPr>
            <w:tcW w:w="1260" w:type="dxa"/>
            <w:tcBorders>
              <w:top w:val="nil"/>
              <w:left w:val="nil"/>
              <w:bottom w:val="nil"/>
              <w:right w:val="nil"/>
            </w:tcBorders>
            <w:shd w:val="clear" w:color="auto" w:fill="auto"/>
            <w:noWrap/>
            <w:vAlign w:val="center"/>
            <w:hideMark/>
          </w:tcPr>
          <w:p w14:paraId="1554007C" w14:textId="663B2D96" w:rsidR="00FF7B42" w:rsidRPr="00FF7B42" w:rsidRDefault="00FF7B42" w:rsidP="00355DF7">
            <w:pPr>
              <w:jc w:val="right"/>
              <w:rPr>
                <w:color w:val="000000"/>
                <w:sz w:val="16"/>
                <w:szCs w:val="16"/>
              </w:rPr>
            </w:pPr>
            <w:r w:rsidRPr="00FF7B42">
              <w:rPr>
                <w:color w:val="000000"/>
                <w:sz w:val="16"/>
                <w:szCs w:val="16"/>
              </w:rPr>
              <w:t>0.2</w:t>
            </w:r>
          </w:p>
        </w:tc>
      </w:tr>
      <w:tr w:rsidR="00FF7B42" w:rsidRPr="00FF7B42" w14:paraId="2A832EC9" w14:textId="77777777" w:rsidTr="00355DF7">
        <w:trPr>
          <w:trHeight w:val="300"/>
        </w:trPr>
        <w:tc>
          <w:tcPr>
            <w:tcW w:w="3079" w:type="dxa"/>
            <w:tcBorders>
              <w:top w:val="nil"/>
              <w:left w:val="nil"/>
              <w:bottom w:val="nil"/>
              <w:right w:val="nil"/>
            </w:tcBorders>
            <w:shd w:val="clear" w:color="auto" w:fill="auto"/>
            <w:noWrap/>
            <w:vAlign w:val="center"/>
            <w:hideMark/>
          </w:tcPr>
          <w:p w14:paraId="5FCB4FB3" w14:textId="77777777" w:rsidR="00FF7B42" w:rsidRPr="00FF7B42" w:rsidRDefault="00FF7B42" w:rsidP="00FF7B42">
            <w:pPr>
              <w:rPr>
                <w:color w:val="000000"/>
                <w:sz w:val="16"/>
                <w:szCs w:val="16"/>
              </w:rPr>
            </w:pPr>
            <w:r w:rsidRPr="00FF7B42">
              <w:rPr>
                <w:color w:val="000000"/>
                <w:sz w:val="16"/>
                <w:szCs w:val="16"/>
              </w:rPr>
              <w:t>Lack of capitals/Money</w:t>
            </w:r>
          </w:p>
        </w:tc>
        <w:tc>
          <w:tcPr>
            <w:tcW w:w="869" w:type="dxa"/>
            <w:tcBorders>
              <w:top w:val="nil"/>
              <w:left w:val="nil"/>
              <w:bottom w:val="nil"/>
              <w:right w:val="nil"/>
            </w:tcBorders>
            <w:shd w:val="clear" w:color="auto" w:fill="auto"/>
            <w:noWrap/>
            <w:vAlign w:val="center"/>
            <w:hideMark/>
          </w:tcPr>
          <w:p w14:paraId="15BD742D" w14:textId="77777777" w:rsidR="00FF7B42" w:rsidRPr="00FF7B42" w:rsidRDefault="00FF7B42" w:rsidP="00355DF7">
            <w:pPr>
              <w:jc w:val="right"/>
              <w:rPr>
                <w:color w:val="000000"/>
                <w:sz w:val="16"/>
                <w:szCs w:val="16"/>
              </w:rPr>
            </w:pPr>
            <w:r w:rsidRPr="00FF7B42">
              <w:rPr>
                <w:color w:val="000000"/>
                <w:sz w:val="16"/>
                <w:szCs w:val="16"/>
              </w:rPr>
              <w:t>18,789</w:t>
            </w:r>
          </w:p>
        </w:tc>
        <w:tc>
          <w:tcPr>
            <w:tcW w:w="1228" w:type="dxa"/>
            <w:tcBorders>
              <w:top w:val="nil"/>
              <w:left w:val="nil"/>
              <w:bottom w:val="nil"/>
              <w:right w:val="nil"/>
            </w:tcBorders>
            <w:shd w:val="clear" w:color="auto" w:fill="auto"/>
            <w:noWrap/>
            <w:vAlign w:val="center"/>
            <w:hideMark/>
          </w:tcPr>
          <w:p w14:paraId="201E9646" w14:textId="3FC288C6" w:rsidR="00FF7B42" w:rsidRPr="00FF7B42" w:rsidRDefault="00FF7B42" w:rsidP="00355DF7">
            <w:pPr>
              <w:jc w:val="right"/>
              <w:rPr>
                <w:color w:val="000000"/>
                <w:sz w:val="16"/>
                <w:szCs w:val="16"/>
              </w:rPr>
            </w:pPr>
            <w:r w:rsidRPr="00FF7B42">
              <w:rPr>
                <w:color w:val="000000"/>
                <w:sz w:val="16"/>
                <w:szCs w:val="16"/>
              </w:rPr>
              <w:t>0.3</w:t>
            </w:r>
          </w:p>
        </w:tc>
        <w:tc>
          <w:tcPr>
            <w:tcW w:w="854" w:type="dxa"/>
            <w:tcBorders>
              <w:top w:val="nil"/>
              <w:left w:val="single" w:sz="4" w:space="0" w:color="auto"/>
              <w:bottom w:val="nil"/>
              <w:right w:val="nil"/>
            </w:tcBorders>
            <w:shd w:val="clear" w:color="auto" w:fill="auto"/>
            <w:noWrap/>
            <w:vAlign w:val="center"/>
            <w:hideMark/>
          </w:tcPr>
          <w:p w14:paraId="5077D08C" w14:textId="77777777" w:rsidR="00FF7B42" w:rsidRPr="00FF7B42" w:rsidRDefault="00FF7B42" w:rsidP="00355DF7">
            <w:pPr>
              <w:jc w:val="right"/>
              <w:rPr>
                <w:color w:val="000000"/>
                <w:sz w:val="16"/>
                <w:szCs w:val="16"/>
              </w:rPr>
            </w:pPr>
            <w:r w:rsidRPr="00FF7B42">
              <w:rPr>
                <w:color w:val="000000"/>
                <w:sz w:val="16"/>
                <w:szCs w:val="16"/>
              </w:rPr>
              <w:t>18,789</w:t>
            </w:r>
          </w:p>
        </w:tc>
        <w:tc>
          <w:tcPr>
            <w:tcW w:w="1156" w:type="dxa"/>
            <w:tcBorders>
              <w:top w:val="nil"/>
              <w:left w:val="nil"/>
              <w:bottom w:val="nil"/>
              <w:right w:val="nil"/>
            </w:tcBorders>
            <w:shd w:val="clear" w:color="auto" w:fill="auto"/>
            <w:noWrap/>
            <w:vAlign w:val="center"/>
            <w:hideMark/>
          </w:tcPr>
          <w:p w14:paraId="1F8871E3" w14:textId="6C2C9684" w:rsidR="00FF7B42" w:rsidRPr="00FF7B42" w:rsidRDefault="00FF7B42" w:rsidP="00355DF7">
            <w:pPr>
              <w:jc w:val="right"/>
              <w:rPr>
                <w:color w:val="000000"/>
                <w:sz w:val="16"/>
                <w:szCs w:val="16"/>
              </w:rPr>
            </w:pPr>
            <w:r w:rsidRPr="00FF7B42">
              <w:rPr>
                <w:color w:val="000000"/>
                <w:sz w:val="16"/>
                <w:szCs w:val="16"/>
              </w:rPr>
              <w:t>0.3</w:t>
            </w:r>
          </w:p>
        </w:tc>
        <w:tc>
          <w:tcPr>
            <w:tcW w:w="740" w:type="dxa"/>
            <w:tcBorders>
              <w:top w:val="nil"/>
              <w:left w:val="single" w:sz="4" w:space="0" w:color="auto"/>
              <w:bottom w:val="nil"/>
              <w:right w:val="nil"/>
            </w:tcBorders>
            <w:shd w:val="clear" w:color="auto" w:fill="auto"/>
            <w:noWrap/>
            <w:vAlign w:val="center"/>
            <w:hideMark/>
          </w:tcPr>
          <w:p w14:paraId="5085E1F0" w14:textId="77777777" w:rsidR="00FF7B42" w:rsidRPr="00FF7B42" w:rsidRDefault="00FF7B42" w:rsidP="00355DF7">
            <w:pPr>
              <w:jc w:val="right"/>
              <w:rPr>
                <w:color w:val="000000"/>
                <w:sz w:val="16"/>
                <w:szCs w:val="16"/>
              </w:rPr>
            </w:pPr>
            <w:r w:rsidRPr="00FF7B42">
              <w:rPr>
                <w:color w:val="000000"/>
                <w:sz w:val="16"/>
                <w:szCs w:val="16"/>
              </w:rPr>
              <w:t>-</w:t>
            </w:r>
          </w:p>
        </w:tc>
        <w:tc>
          <w:tcPr>
            <w:tcW w:w="1260" w:type="dxa"/>
            <w:tcBorders>
              <w:top w:val="nil"/>
              <w:left w:val="nil"/>
              <w:bottom w:val="nil"/>
              <w:right w:val="nil"/>
            </w:tcBorders>
            <w:shd w:val="clear" w:color="auto" w:fill="auto"/>
            <w:noWrap/>
            <w:vAlign w:val="center"/>
            <w:hideMark/>
          </w:tcPr>
          <w:p w14:paraId="3B39912D" w14:textId="162F0C82" w:rsidR="00FF7B42" w:rsidRPr="00FF7B42" w:rsidRDefault="00FF7B42" w:rsidP="00355DF7">
            <w:pPr>
              <w:jc w:val="right"/>
              <w:rPr>
                <w:color w:val="000000"/>
                <w:sz w:val="16"/>
                <w:szCs w:val="16"/>
              </w:rPr>
            </w:pPr>
            <w:r w:rsidRPr="00FF7B42">
              <w:rPr>
                <w:color w:val="000000"/>
                <w:sz w:val="16"/>
                <w:szCs w:val="16"/>
              </w:rPr>
              <w:t>-</w:t>
            </w:r>
          </w:p>
        </w:tc>
      </w:tr>
      <w:tr w:rsidR="00FF7B42" w:rsidRPr="00FF7B42" w14:paraId="56296223" w14:textId="77777777" w:rsidTr="00355DF7">
        <w:trPr>
          <w:trHeight w:val="300"/>
        </w:trPr>
        <w:tc>
          <w:tcPr>
            <w:tcW w:w="3079" w:type="dxa"/>
            <w:tcBorders>
              <w:top w:val="nil"/>
              <w:left w:val="nil"/>
              <w:bottom w:val="nil"/>
              <w:right w:val="nil"/>
            </w:tcBorders>
            <w:shd w:val="clear" w:color="auto" w:fill="auto"/>
            <w:noWrap/>
            <w:vAlign w:val="center"/>
            <w:hideMark/>
          </w:tcPr>
          <w:p w14:paraId="05A69AC8" w14:textId="77777777" w:rsidR="00FF7B42" w:rsidRPr="00FF7B42" w:rsidRDefault="00FF7B42" w:rsidP="00FF7B42">
            <w:pPr>
              <w:rPr>
                <w:color w:val="000000"/>
                <w:sz w:val="16"/>
                <w:szCs w:val="16"/>
              </w:rPr>
            </w:pPr>
            <w:r w:rsidRPr="00FF7B42">
              <w:rPr>
                <w:color w:val="000000"/>
                <w:sz w:val="16"/>
                <w:szCs w:val="16"/>
              </w:rPr>
              <w:t xml:space="preserve">Lack /Poor infrastructure </w:t>
            </w:r>
          </w:p>
        </w:tc>
        <w:tc>
          <w:tcPr>
            <w:tcW w:w="869" w:type="dxa"/>
            <w:tcBorders>
              <w:top w:val="nil"/>
              <w:left w:val="nil"/>
              <w:bottom w:val="nil"/>
              <w:right w:val="nil"/>
            </w:tcBorders>
            <w:shd w:val="clear" w:color="auto" w:fill="auto"/>
            <w:noWrap/>
            <w:vAlign w:val="center"/>
            <w:hideMark/>
          </w:tcPr>
          <w:p w14:paraId="638CA240" w14:textId="77777777" w:rsidR="00FF7B42" w:rsidRPr="00FF7B42" w:rsidRDefault="00FF7B42" w:rsidP="00355DF7">
            <w:pPr>
              <w:jc w:val="right"/>
              <w:rPr>
                <w:color w:val="000000"/>
                <w:sz w:val="16"/>
                <w:szCs w:val="16"/>
              </w:rPr>
            </w:pPr>
            <w:r w:rsidRPr="00FF7B42">
              <w:rPr>
                <w:color w:val="000000"/>
                <w:sz w:val="16"/>
                <w:szCs w:val="16"/>
              </w:rPr>
              <w:t>1,930</w:t>
            </w:r>
          </w:p>
        </w:tc>
        <w:tc>
          <w:tcPr>
            <w:tcW w:w="1228" w:type="dxa"/>
            <w:tcBorders>
              <w:top w:val="nil"/>
              <w:left w:val="nil"/>
              <w:bottom w:val="nil"/>
              <w:right w:val="nil"/>
            </w:tcBorders>
            <w:shd w:val="clear" w:color="auto" w:fill="auto"/>
            <w:noWrap/>
            <w:vAlign w:val="center"/>
            <w:hideMark/>
          </w:tcPr>
          <w:p w14:paraId="253968EA" w14:textId="5764CDF7" w:rsidR="00FF7B42" w:rsidRPr="00FF7B42" w:rsidRDefault="00FF7B42" w:rsidP="00355DF7">
            <w:pPr>
              <w:jc w:val="right"/>
              <w:rPr>
                <w:color w:val="000000"/>
                <w:sz w:val="16"/>
                <w:szCs w:val="16"/>
              </w:rPr>
            </w:pPr>
            <w:r w:rsidRPr="00FF7B42">
              <w:rPr>
                <w:color w:val="000000"/>
                <w:sz w:val="16"/>
                <w:szCs w:val="16"/>
              </w:rPr>
              <w:t>0.0</w:t>
            </w:r>
          </w:p>
        </w:tc>
        <w:tc>
          <w:tcPr>
            <w:tcW w:w="854" w:type="dxa"/>
            <w:tcBorders>
              <w:top w:val="nil"/>
              <w:left w:val="single" w:sz="4" w:space="0" w:color="auto"/>
              <w:bottom w:val="nil"/>
              <w:right w:val="nil"/>
            </w:tcBorders>
            <w:shd w:val="clear" w:color="auto" w:fill="auto"/>
            <w:noWrap/>
            <w:vAlign w:val="center"/>
            <w:hideMark/>
          </w:tcPr>
          <w:p w14:paraId="267A8F8F" w14:textId="77777777" w:rsidR="00FF7B42" w:rsidRPr="00FF7B42" w:rsidRDefault="00FF7B42" w:rsidP="00355DF7">
            <w:pPr>
              <w:jc w:val="right"/>
              <w:rPr>
                <w:color w:val="000000"/>
                <w:sz w:val="16"/>
                <w:szCs w:val="16"/>
              </w:rPr>
            </w:pPr>
            <w:r w:rsidRPr="00FF7B42">
              <w:rPr>
                <w:color w:val="000000"/>
                <w:sz w:val="16"/>
                <w:szCs w:val="16"/>
              </w:rPr>
              <w:t>1,930</w:t>
            </w:r>
          </w:p>
        </w:tc>
        <w:tc>
          <w:tcPr>
            <w:tcW w:w="1156" w:type="dxa"/>
            <w:tcBorders>
              <w:top w:val="nil"/>
              <w:left w:val="nil"/>
              <w:bottom w:val="nil"/>
              <w:right w:val="nil"/>
            </w:tcBorders>
            <w:shd w:val="clear" w:color="auto" w:fill="auto"/>
            <w:noWrap/>
            <w:vAlign w:val="center"/>
            <w:hideMark/>
          </w:tcPr>
          <w:p w14:paraId="46E21D6B" w14:textId="63CD5FB2" w:rsidR="00FF7B42" w:rsidRPr="00FF7B42" w:rsidRDefault="00FF7B42" w:rsidP="00355DF7">
            <w:pPr>
              <w:jc w:val="right"/>
              <w:rPr>
                <w:color w:val="000000"/>
                <w:sz w:val="16"/>
                <w:szCs w:val="16"/>
              </w:rPr>
            </w:pPr>
            <w:r w:rsidRPr="00FF7B42">
              <w:rPr>
                <w:color w:val="000000"/>
                <w:sz w:val="16"/>
                <w:szCs w:val="16"/>
              </w:rPr>
              <w:t>0.0</w:t>
            </w:r>
          </w:p>
        </w:tc>
        <w:tc>
          <w:tcPr>
            <w:tcW w:w="740" w:type="dxa"/>
            <w:tcBorders>
              <w:top w:val="nil"/>
              <w:left w:val="single" w:sz="4" w:space="0" w:color="auto"/>
              <w:bottom w:val="nil"/>
              <w:right w:val="nil"/>
            </w:tcBorders>
            <w:shd w:val="clear" w:color="auto" w:fill="auto"/>
            <w:noWrap/>
            <w:vAlign w:val="center"/>
            <w:hideMark/>
          </w:tcPr>
          <w:p w14:paraId="6B8F5BC0" w14:textId="77777777" w:rsidR="00FF7B42" w:rsidRPr="00FF7B42" w:rsidRDefault="00FF7B42" w:rsidP="00355DF7">
            <w:pPr>
              <w:jc w:val="right"/>
              <w:rPr>
                <w:color w:val="000000"/>
                <w:sz w:val="16"/>
                <w:szCs w:val="16"/>
              </w:rPr>
            </w:pPr>
            <w:r w:rsidRPr="00FF7B42">
              <w:rPr>
                <w:color w:val="000000"/>
                <w:sz w:val="16"/>
                <w:szCs w:val="16"/>
              </w:rPr>
              <w:t>-</w:t>
            </w:r>
          </w:p>
        </w:tc>
        <w:tc>
          <w:tcPr>
            <w:tcW w:w="1260" w:type="dxa"/>
            <w:tcBorders>
              <w:top w:val="nil"/>
              <w:left w:val="nil"/>
              <w:bottom w:val="nil"/>
              <w:right w:val="nil"/>
            </w:tcBorders>
            <w:shd w:val="clear" w:color="auto" w:fill="auto"/>
            <w:noWrap/>
            <w:vAlign w:val="center"/>
            <w:hideMark/>
          </w:tcPr>
          <w:p w14:paraId="75BFB255" w14:textId="3457B94D" w:rsidR="00FF7B42" w:rsidRPr="00FF7B42" w:rsidRDefault="00FF7B42" w:rsidP="00355DF7">
            <w:pPr>
              <w:jc w:val="right"/>
              <w:rPr>
                <w:color w:val="000000"/>
                <w:sz w:val="16"/>
                <w:szCs w:val="16"/>
              </w:rPr>
            </w:pPr>
            <w:r w:rsidRPr="00FF7B42">
              <w:rPr>
                <w:color w:val="000000"/>
                <w:sz w:val="16"/>
                <w:szCs w:val="16"/>
              </w:rPr>
              <w:t>-</w:t>
            </w:r>
          </w:p>
        </w:tc>
      </w:tr>
      <w:tr w:rsidR="00FF7B42" w:rsidRPr="00FF7B42" w14:paraId="78189643" w14:textId="77777777" w:rsidTr="00355DF7">
        <w:trPr>
          <w:trHeight w:val="300"/>
        </w:trPr>
        <w:tc>
          <w:tcPr>
            <w:tcW w:w="3079" w:type="dxa"/>
            <w:tcBorders>
              <w:top w:val="nil"/>
              <w:left w:val="nil"/>
              <w:bottom w:val="nil"/>
              <w:right w:val="nil"/>
            </w:tcBorders>
            <w:shd w:val="clear" w:color="auto" w:fill="auto"/>
            <w:noWrap/>
            <w:vAlign w:val="center"/>
            <w:hideMark/>
          </w:tcPr>
          <w:p w14:paraId="0CA6AAEA" w14:textId="77777777" w:rsidR="00FF7B42" w:rsidRPr="00FF7B42" w:rsidRDefault="00FF7B42" w:rsidP="00FF7B42">
            <w:pPr>
              <w:rPr>
                <w:color w:val="000000"/>
                <w:sz w:val="16"/>
                <w:szCs w:val="16"/>
              </w:rPr>
            </w:pPr>
            <w:r w:rsidRPr="00FF7B42">
              <w:rPr>
                <w:color w:val="000000"/>
                <w:sz w:val="16"/>
                <w:szCs w:val="16"/>
              </w:rPr>
              <w:t>Other</w:t>
            </w:r>
          </w:p>
        </w:tc>
        <w:tc>
          <w:tcPr>
            <w:tcW w:w="869" w:type="dxa"/>
            <w:tcBorders>
              <w:top w:val="nil"/>
              <w:left w:val="nil"/>
              <w:bottom w:val="nil"/>
              <w:right w:val="nil"/>
            </w:tcBorders>
            <w:shd w:val="clear" w:color="auto" w:fill="auto"/>
            <w:noWrap/>
            <w:vAlign w:val="center"/>
            <w:hideMark/>
          </w:tcPr>
          <w:p w14:paraId="70F79072" w14:textId="77777777" w:rsidR="00FF7B42" w:rsidRPr="00FF7B42" w:rsidRDefault="00FF7B42" w:rsidP="00355DF7">
            <w:pPr>
              <w:jc w:val="right"/>
              <w:rPr>
                <w:color w:val="000000"/>
                <w:sz w:val="16"/>
                <w:szCs w:val="16"/>
              </w:rPr>
            </w:pPr>
            <w:r w:rsidRPr="00FF7B42">
              <w:rPr>
                <w:color w:val="000000"/>
                <w:sz w:val="16"/>
                <w:szCs w:val="16"/>
              </w:rPr>
              <w:t>74,469</w:t>
            </w:r>
          </w:p>
        </w:tc>
        <w:tc>
          <w:tcPr>
            <w:tcW w:w="1228" w:type="dxa"/>
            <w:tcBorders>
              <w:top w:val="nil"/>
              <w:left w:val="nil"/>
              <w:bottom w:val="nil"/>
              <w:right w:val="nil"/>
            </w:tcBorders>
            <w:shd w:val="clear" w:color="auto" w:fill="auto"/>
            <w:noWrap/>
            <w:vAlign w:val="center"/>
            <w:hideMark/>
          </w:tcPr>
          <w:p w14:paraId="646D6384" w14:textId="74465FB5" w:rsidR="00FF7B42" w:rsidRPr="00FF7B42" w:rsidRDefault="00FF7B42" w:rsidP="00355DF7">
            <w:pPr>
              <w:jc w:val="right"/>
              <w:rPr>
                <w:color w:val="000000"/>
                <w:sz w:val="16"/>
                <w:szCs w:val="16"/>
              </w:rPr>
            </w:pPr>
            <w:r w:rsidRPr="00FF7B42">
              <w:rPr>
                <w:color w:val="000000"/>
                <w:sz w:val="16"/>
                <w:szCs w:val="16"/>
              </w:rPr>
              <w:t>1.0</w:t>
            </w:r>
          </w:p>
        </w:tc>
        <w:tc>
          <w:tcPr>
            <w:tcW w:w="854" w:type="dxa"/>
            <w:tcBorders>
              <w:top w:val="nil"/>
              <w:left w:val="single" w:sz="4" w:space="0" w:color="auto"/>
              <w:bottom w:val="nil"/>
              <w:right w:val="nil"/>
            </w:tcBorders>
            <w:shd w:val="clear" w:color="auto" w:fill="auto"/>
            <w:noWrap/>
            <w:vAlign w:val="center"/>
            <w:hideMark/>
          </w:tcPr>
          <w:p w14:paraId="538FB3C4" w14:textId="77777777" w:rsidR="00FF7B42" w:rsidRPr="00FF7B42" w:rsidRDefault="00FF7B42" w:rsidP="00355DF7">
            <w:pPr>
              <w:jc w:val="right"/>
              <w:rPr>
                <w:color w:val="000000"/>
                <w:sz w:val="16"/>
                <w:szCs w:val="16"/>
              </w:rPr>
            </w:pPr>
            <w:r w:rsidRPr="00FF7B42">
              <w:rPr>
                <w:color w:val="000000"/>
                <w:sz w:val="16"/>
                <w:szCs w:val="16"/>
              </w:rPr>
              <w:t>73,362</w:t>
            </w:r>
          </w:p>
        </w:tc>
        <w:tc>
          <w:tcPr>
            <w:tcW w:w="1156" w:type="dxa"/>
            <w:tcBorders>
              <w:top w:val="nil"/>
              <w:left w:val="nil"/>
              <w:bottom w:val="nil"/>
              <w:right w:val="nil"/>
            </w:tcBorders>
            <w:shd w:val="clear" w:color="auto" w:fill="auto"/>
            <w:noWrap/>
            <w:vAlign w:val="center"/>
            <w:hideMark/>
          </w:tcPr>
          <w:p w14:paraId="4AF046DC" w14:textId="0BF9573E" w:rsidR="00FF7B42" w:rsidRPr="00FF7B42" w:rsidRDefault="00FF7B42" w:rsidP="00355DF7">
            <w:pPr>
              <w:jc w:val="right"/>
              <w:rPr>
                <w:color w:val="000000"/>
                <w:sz w:val="16"/>
                <w:szCs w:val="16"/>
              </w:rPr>
            </w:pPr>
            <w:r w:rsidRPr="00FF7B42">
              <w:rPr>
                <w:color w:val="000000"/>
                <w:sz w:val="16"/>
                <w:szCs w:val="16"/>
              </w:rPr>
              <w:t>1.0</w:t>
            </w:r>
          </w:p>
        </w:tc>
        <w:tc>
          <w:tcPr>
            <w:tcW w:w="740" w:type="dxa"/>
            <w:tcBorders>
              <w:top w:val="nil"/>
              <w:left w:val="single" w:sz="4" w:space="0" w:color="auto"/>
              <w:bottom w:val="nil"/>
              <w:right w:val="nil"/>
            </w:tcBorders>
            <w:shd w:val="clear" w:color="auto" w:fill="auto"/>
            <w:noWrap/>
            <w:vAlign w:val="center"/>
            <w:hideMark/>
          </w:tcPr>
          <w:p w14:paraId="7EDB4BE5" w14:textId="77777777" w:rsidR="00FF7B42" w:rsidRPr="00FF7B42" w:rsidRDefault="00FF7B42" w:rsidP="00355DF7">
            <w:pPr>
              <w:jc w:val="right"/>
              <w:rPr>
                <w:color w:val="000000"/>
                <w:sz w:val="16"/>
                <w:szCs w:val="16"/>
              </w:rPr>
            </w:pPr>
            <w:r w:rsidRPr="00FF7B42">
              <w:rPr>
                <w:color w:val="000000"/>
                <w:sz w:val="16"/>
                <w:szCs w:val="16"/>
              </w:rPr>
              <w:t>1,106</w:t>
            </w:r>
          </w:p>
        </w:tc>
        <w:tc>
          <w:tcPr>
            <w:tcW w:w="1260" w:type="dxa"/>
            <w:tcBorders>
              <w:top w:val="nil"/>
              <w:left w:val="nil"/>
              <w:bottom w:val="nil"/>
              <w:right w:val="nil"/>
            </w:tcBorders>
            <w:shd w:val="clear" w:color="auto" w:fill="auto"/>
            <w:noWrap/>
            <w:vAlign w:val="center"/>
            <w:hideMark/>
          </w:tcPr>
          <w:p w14:paraId="3DFB9890" w14:textId="1B230226" w:rsidR="00FF7B42" w:rsidRPr="00FF7B42" w:rsidRDefault="00FF7B42" w:rsidP="00355DF7">
            <w:pPr>
              <w:jc w:val="right"/>
              <w:rPr>
                <w:color w:val="000000"/>
                <w:sz w:val="16"/>
                <w:szCs w:val="16"/>
              </w:rPr>
            </w:pPr>
            <w:r w:rsidRPr="00FF7B42">
              <w:rPr>
                <w:color w:val="000000"/>
                <w:sz w:val="16"/>
                <w:szCs w:val="16"/>
              </w:rPr>
              <w:t>0.7</w:t>
            </w:r>
          </w:p>
        </w:tc>
      </w:tr>
      <w:tr w:rsidR="00FF7B42" w:rsidRPr="005420E0" w14:paraId="79191836" w14:textId="77777777" w:rsidTr="00355DF7">
        <w:trPr>
          <w:trHeight w:val="300"/>
        </w:trPr>
        <w:tc>
          <w:tcPr>
            <w:tcW w:w="3079" w:type="dxa"/>
            <w:tcBorders>
              <w:top w:val="single" w:sz="4" w:space="0" w:color="auto"/>
              <w:left w:val="nil"/>
              <w:bottom w:val="single" w:sz="4" w:space="0" w:color="auto"/>
              <w:right w:val="nil"/>
            </w:tcBorders>
            <w:shd w:val="clear" w:color="auto" w:fill="E2EFD9" w:themeFill="accent6" w:themeFillTint="33"/>
            <w:noWrap/>
            <w:vAlign w:val="center"/>
            <w:hideMark/>
          </w:tcPr>
          <w:p w14:paraId="62499341" w14:textId="77777777" w:rsidR="00FF7B42" w:rsidRPr="005420E0" w:rsidRDefault="00FF7B42" w:rsidP="00FF7B42">
            <w:pPr>
              <w:rPr>
                <w:b/>
                <w:color w:val="000000"/>
                <w:sz w:val="16"/>
                <w:szCs w:val="16"/>
              </w:rPr>
            </w:pPr>
            <w:r w:rsidRPr="005420E0">
              <w:rPr>
                <w:b/>
                <w:color w:val="000000"/>
                <w:sz w:val="16"/>
                <w:szCs w:val="16"/>
              </w:rPr>
              <w:t>Total</w:t>
            </w:r>
          </w:p>
        </w:tc>
        <w:tc>
          <w:tcPr>
            <w:tcW w:w="869" w:type="dxa"/>
            <w:tcBorders>
              <w:top w:val="single" w:sz="4" w:space="0" w:color="auto"/>
              <w:left w:val="nil"/>
              <w:bottom w:val="single" w:sz="4" w:space="0" w:color="auto"/>
              <w:right w:val="nil"/>
            </w:tcBorders>
            <w:shd w:val="clear" w:color="auto" w:fill="E2EFD9" w:themeFill="accent6" w:themeFillTint="33"/>
            <w:noWrap/>
            <w:vAlign w:val="center"/>
            <w:hideMark/>
          </w:tcPr>
          <w:p w14:paraId="3BA31BD3" w14:textId="77777777" w:rsidR="00FF7B42" w:rsidRPr="005420E0" w:rsidRDefault="00FF7B42" w:rsidP="00355DF7">
            <w:pPr>
              <w:jc w:val="right"/>
              <w:rPr>
                <w:b/>
                <w:color w:val="000000"/>
                <w:sz w:val="16"/>
                <w:szCs w:val="16"/>
              </w:rPr>
            </w:pPr>
            <w:r w:rsidRPr="005420E0">
              <w:rPr>
                <w:b/>
                <w:color w:val="000000"/>
                <w:sz w:val="16"/>
                <w:szCs w:val="16"/>
              </w:rPr>
              <w:t>7,372,036</w:t>
            </w:r>
          </w:p>
        </w:tc>
        <w:tc>
          <w:tcPr>
            <w:tcW w:w="1228" w:type="dxa"/>
            <w:tcBorders>
              <w:top w:val="single" w:sz="4" w:space="0" w:color="auto"/>
              <w:left w:val="nil"/>
              <w:bottom w:val="single" w:sz="4" w:space="0" w:color="auto"/>
              <w:right w:val="nil"/>
            </w:tcBorders>
            <w:shd w:val="clear" w:color="auto" w:fill="E2EFD9" w:themeFill="accent6" w:themeFillTint="33"/>
            <w:noWrap/>
            <w:vAlign w:val="center"/>
            <w:hideMark/>
          </w:tcPr>
          <w:p w14:paraId="7B6F471D" w14:textId="77777777" w:rsidR="00FF7B42" w:rsidRPr="005420E0" w:rsidRDefault="00FF7B42" w:rsidP="00355DF7">
            <w:pPr>
              <w:jc w:val="right"/>
              <w:rPr>
                <w:b/>
                <w:color w:val="000000"/>
                <w:sz w:val="16"/>
                <w:szCs w:val="16"/>
              </w:rPr>
            </w:pPr>
            <w:r w:rsidRPr="005420E0">
              <w:rPr>
                <w:b/>
                <w:color w:val="000000"/>
                <w:sz w:val="16"/>
                <w:szCs w:val="16"/>
              </w:rPr>
              <w:t>100.0</w:t>
            </w:r>
          </w:p>
        </w:tc>
        <w:tc>
          <w:tcPr>
            <w:tcW w:w="854" w:type="dxa"/>
            <w:tcBorders>
              <w:top w:val="single" w:sz="4" w:space="0" w:color="auto"/>
              <w:left w:val="single" w:sz="4" w:space="0" w:color="auto"/>
              <w:bottom w:val="single" w:sz="4" w:space="0" w:color="auto"/>
              <w:right w:val="nil"/>
            </w:tcBorders>
            <w:shd w:val="clear" w:color="auto" w:fill="E2EFD9" w:themeFill="accent6" w:themeFillTint="33"/>
            <w:noWrap/>
            <w:vAlign w:val="center"/>
            <w:hideMark/>
          </w:tcPr>
          <w:p w14:paraId="77081F17" w14:textId="77777777" w:rsidR="00FF7B42" w:rsidRPr="005420E0" w:rsidRDefault="00FF7B42" w:rsidP="00355DF7">
            <w:pPr>
              <w:jc w:val="right"/>
              <w:rPr>
                <w:b/>
                <w:color w:val="000000"/>
                <w:sz w:val="16"/>
                <w:szCs w:val="16"/>
              </w:rPr>
            </w:pPr>
            <w:r w:rsidRPr="005420E0">
              <w:rPr>
                <w:b/>
                <w:color w:val="000000"/>
                <w:sz w:val="16"/>
                <w:szCs w:val="16"/>
              </w:rPr>
              <w:t>7,206,930</w:t>
            </w:r>
          </w:p>
        </w:tc>
        <w:tc>
          <w:tcPr>
            <w:tcW w:w="1156" w:type="dxa"/>
            <w:tcBorders>
              <w:top w:val="single" w:sz="4" w:space="0" w:color="auto"/>
              <w:left w:val="nil"/>
              <w:bottom w:val="single" w:sz="4" w:space="0" w:color="auto"/>
              <w:right w:val="nil"/>
            </w:tcBorders>
            <w:shd w:val="clear" w:color="auto" w:fill="E2EFD9" w:themeFill="accent6" w:themeFillTint="33"/>
            <w:noWrap/>
            <w:vAlign w:val="center"/>
            <w:hideMark/>
          </w:tcPr>
          <w:p w14:paraId="0D9DA36E" w14:textId="77777777" w:rsidR="00FF7B42" w:rsidRPr="005420E0" w:rsidRDefault="00FF7B42" w:rsidP="00355DF7">
            <w:pPr>
              <w:jc w:val="right"/>
              <w:rPr>
                <w:b/>
                <w:color w:val="000000"/>
                <w:sz w:val="16"/>
                <w:szCs w:val="16"/>
              </w:rPr>
            </w:pPr>
            <w:r w:rsidRPr="005420E0">
              <w:rPr>
                <w:b/>
                <w:color w:val="000000"/>
                <w:sz w:val="16"/>
                <w:szCs w:val="16"/>
              </w:rPr>
              <w:t>100.0</w:t>
            </w:r>
          </w:p>
        </w:tc>
        <w:tc>
          <w:tcPr>
            <w:tcW w:w="740" w:type="dxa"/>
            <w:tcBorders>
              <w:top w:val="single" w:sz="4" w:space="0" w:color="auto"/>
              <w:left w:val="single" w:sz="4" w:space="0" w:color="auto"/>
              <w:bottom w:val="single" w:sz="4" w:space="0" w:color="auto"/>
              <w:right w:val="nil"/>
            </w:tcBorders>
            <w:shd w:val="clear" w:color="auto" w:fill="E2EFD9" w:themeFill="accent6" w:themeFillTint="33"/>
            <w:noWrap/>
            <w:vAlign w:val="center"/>
            <w:hideMark/>
          </w:tcPr>
          <w:p w14:paraId="73935FFD" w14:textId="77777777" w:rsidR="00FF7B42" w:rsidRPr="005420E0" w:rsidRDefault="00FF7B42" w:rsidP="00355DF7">
            <w:pPr>
              <w:jc w:val="right"/>
              <w:rPr>
                <w:b/>
                <w:color w:val="000000"/>
                <w:sz w:val="16"/>
                <w:szCs w:val="16"/>
              </w:rPr>
            </w:pPr>
            <w:r w:rsidRPr="005420E0">
              <w:rPr>
                <w:b/>
                <w:color w:val="000000"/>
                <w:sz w:val="16"/>
                <w:szCs w:val="16"/>
              </w:rPr>
              <w:t>165,106</w:t>
            </w:r>
          </w:p>
        </w:tc>
        <w:tc>
          <w:tcPr>
            <w:tcW w:w="1260" w:type="dxa"/>
            <w:tcBorders>
              <w:top w:val="single" w:sz="4" w:space="0" w:color="auto"/>
              <w:left w:val="nil"/>
              <w:bottom w:val="single" w:sz="4" w:space="0" w:color="auto"/>
              <w:right w:val="nil"/>
            </w:tcBorders>
            <w:shd w:val="clear" w:color="auto" w:fill="E2EFD9" w:themeFill="accent6" w:themeFillTint="33"/>
            <w:noWrap/>
            <w:vAlign w:val="center"/>
            <w:hideMark/>
          </w:tcPr>
          <w:p w14:paraId="77D6737A" w14:textId="77777777" w:rsidR="00FF7B42" w:rsidRPr="005420E0" w:rsidRDefault="00FF7B42" w:rsidP="00355DF7">
            <w:pPr>
              <w:jc w:val="right"/>
              <w:rPr>
                <w:b/>
                <w:color w:val="000000"/>
                <w:sz w:val="16"/>
                <w:szCs w:val="16"/>
              </w:rPr>
            </w:pPr>
            <w:r w:rsidRPr="005420E0">
              <w:rPr>
                <w:b/>
                <w:color w:val="000000"/>
                <w:sz w:val="16"/>
                <w:szCs w:val="16"/>
              </w:rPr>
              <w:t>100.0</w:t>
            </w:r>
          </w:p>
        </w:tc>
      </w:tr>
    </w:tbl>
    <w:p w14:paraId="57BE0B67" w14:textId="77777777" w:rsidR="00FF4745" w:rsidRPr="006B42D6" w:rsidRDefault="00FF4745" w:rsidP="00FF4745">
      <w:pPr>
        <w:spacing w:line="276" w:lineRule="auto"/>
        <w:rPr>
          <w:rFonts w:eastAsia="Calibri"/>
          <w:b/>
          <w:sz w:val="18"/>
          <w:szCs w:val="18"/>
          <w:lang w:val="en-GB"/>
        </w:rPr>
      </w:pPr>
    </w:p>
    <w:p w14:paraId="2A459603" w14:textId="07047F38" w:rsidR="008A1E55" w:rsidRPr="00E773D7" w:rsidRDefault="00FF7B42" w:rsidP="00E773D7">
      <w:pPr>
        <w:rPr>
          <w:rFonts w:eastAsia="Calibri"/>
          <w:b/>
          <w:sz w:val="18"/>
          <w:szCs w:val="18"/>
          <w:lang w:val="en-GB"/>
        </w:rPr>
      </w:pPr>
      <w:r>
        <w:rPr>
          <w:rFonts w:eastAsia="Calibri"/>
          <w:b/>
          <w:sz w:val="18"/>
          <w:szCs w:val="18"/>
          <w:lang w:val="en-GB"/>
        </w:rPr>
        <w:br w:type="page"/>
      </w:r>
    </w:p>
    <w:p w14:paraId="1FEC4C4B" w14:textId="77777777" w:rsidR="00134CB5" w:rsidRDefault="00134CB5" w:rsidP="00134CB5">
      <w:pPr>
        <w:pStyle w:val="Title"/>
      </w:pPr>
      <w:bookmarkStart w:id="851" w:name="_Toc82385794"/>
      <w:r>
        <w:lastRenderedPageBreak/>
        <w:t>CHAPTER SIX</w:t>
      </w:r>
      <w:bookmarkEnd w:id="851"/>
    </w:p>
    <w:p w14:paraId="4A98BDD1" w14:textId="7EFF36F5" w:rsidR="008A1E55" w:rsidRPr="006B42D6" w:rsidRDefault="008A1E55" w:rsidP="00134CB5">
      <w:pPr>
        <w:pStyle w:val="Subtitle"/>
      </w:pPr>
      <w:bookmarkStart w:id="852" w:name="_Toc82385795"/>
      <w:r w:rsidRPr="006B42D6">
        <w:t>POVERTY INDICATORS</w:t>
      </w:r>
      <w:bookmarkEnd w:id="852"/>
    </w:p>
    <w:p w14:paraId="60B6D4C3" w14:textId="0F355C62" w:rsidR="008A1E55" w:rsidRPr="006B42D6" w:rsidRDefault="006C1D68" w:rsidP="00AC6872">
      <w:pPr>
        <w:pStyle w:val="Heading1"/>
      </w:pPr>
      <w:bookmarkStart w:id="853" w:name="_Toc82385796"/>
      <w:r w:rsidRPr="006B42D6">
        <w:t>6</w:t>
      </w:r>
      <w:r w:rsidR="008A1E55" w:rsidRPr="006B42D6">
        <w:t>.</w:t>
      </w:r>
      <w:r w:rsidR="00AC6872">
        <w:t>0</w:t>
      </w:r>
      <w:r w:rsidR="008A1E55" w:rsidRPr="006B42D6">
        <w:tab/>
        <w:t>Introduction</w:t>
      </w:r>
      <w:bookmarkEnd w:id="853"/>
    </w:p>
    <w:p w14:paraId="610D34E0" w14:textId="7FD6FC05" w:rsidR="008A1E55" w:rsidRPr="006B42D6" w:rsidRDefault="008A1E55" w:rsidP="008A1E55">
      <w:r w:rsidRPr="006B42D6">
        <w:t xml:space="preserve">Housing characteristics, water and sanitation can be used as indicators of poverty and socio-economic status of the households. This </w:t>
      </w:r>
      <w:r w:rsidR="00355DF7">
        <w:t>chapter</w:t>
      </w:r>
      <w:r w:rsidRPr="006B42D6">
        <w:t xml:space="preserve"> describes type of material used for roofing, wall and floor; toilet facility, sources of drinking water, energy for cooking and lighting used by households.</w:t>
      </w:r>
    </w:p>
    <w:p w14:paraId="52B24EC3" w14:textId="77777777" w:rsidR="008A1E55" w:rsidRPr="006B42D6" w:rsidRDefault="008A1E55" w:rsidP="007A3EC9">
      <w:pPr>
        <w:spacing w:line="240" w:lineRule="auto"/>
      </w:pPr>
    </w:p>
    <w:p w14:paraId="1D84836E" w14:textId="02239A4C" w:rsidR="008A1E55" w:rsidRPr="006B42D6" w:rsidRDefault="006C1D68" w:rsidP="008A1E55">
      <w:pPr>
        <w:pStyle w:val="Heading2"/>
      </w:pPr>
      <w:bookmarkStart w:id="854" w:name="_Toc82385797"/>
      <w:r w:rsidRPr="006B42D6">
        <w:t>6</w:t>
      </w:r>
      <w:r w:rsidR="008A1E55" w:rsidRPr="006B42D6">
        <w:t>.</w:t>
      </w:r>
      <w:r w:rsidR="00AC6872">
        <w:t>1</w:t>
      </w:r>
      <w:r w:rsidR="008A1E55" w:rsidRPr="006B42D6">
        <w:tab/>
        <w:t>Roofing Materials</w:t>
      </w:r>
      <w:bookmarkEnd w:id="854"/>
    </w:p>
    <w:p w14:paraId="7FB2DEB6" w14:textId="02E02C0A" w:rsidR="008A1E55" w:rsidRPr="006B42D6" w:rsidRDefault="008A1E55" w:rsidP="008A1E55">
      <w:r w:rsidRPr="006B42D6">
        <w:t xml:space="preserve">The census results show that, out of 7,837,405 agricultural households in Tanzania, majority of households (6,404,329; 81.7 percent) used iron sheet for roofing, followed by those used grass/leaves (1,130,136; 14.4 percent). Material that was used by the least number of households was concrete (8,843; 0.1 percent) (Table </w:t>
      </w:r>
      <w:r w:rsidR="006C1D68" w:rsidRPr="006B42D6">
        <w:t>6</w:t>
      </w:r>
      <w:r w:rsidRPr="006B42D6">
        <w:t>.1).</w:t>
      </w:r>
    </w:p>
    <w:p w14:paraId="0C16DE76" w14:textId="77777777" w:rsidR="008A1E55" w:rsidRPr="006B42D6" w:rsidRDefault="008A1E55" w:rsidP="007A3EC9">
      <w:pPr>
        <w:spacing w:line="240" w:lineRule="auto"/>
      </w:pPr>
    </w:p>
    <w:p w14:paraId="64610F89" w14:textId="4297185B" w:rsidR="008A1E55" w:rsidRPr="006B42D6" w:rsidRDefault="008A1E55" w:rsidP="007A288F">
      <w:pPr>
        <w:pStyle w:val="Heading7"/>
      </w:pPr>
      <w:bookmarkStart w:id="855" w:name="_Toc82386236"/>
      <w:r w:rsidRPr="006B42D6">
        <w:t xml:space="preserve">Table </w:t>
      </w:r>
      <w:r w:rsidR="006C1D68" w:rsidRPr="006B42D6">
        <w:t>6</w:t>
      </w:r>
      <w:r w:rsidRPr="006B42D6">
        <w:t>.1</w:t>
      </w:r>
      <w:r w:rsidR="005420E0">
        <w:t>:</w:t>
      </w:r>
      <w:r w:rsidR="007A288F">
        <w:tab/>
      </w:r>
      <w:r w:rsidRPr="006B42D6">
        <w:t>Number and Percentage of Households by Type of Roofing Material During 2019/20 Agricultural Year, Tanzania</w:t>
      </w:r>
      <w:bookmarkEnd w:id="855"/>
    </w:p>
    <w:tbl>
      <w:tblPr>
        <w:tblW w:w="9320" w:type="dxa"/>
        <w:tblLook w:val="04A0" w:firstRow="1" w:lastRow="0" w:firstColumn="1" w:lastColumn="0" w:noHBand="0" w:noVBand="1"/>
      </w:tblPr>
      <w:tblGrid>
        <w:gridCol w:w="1300"/>
        <w:gridCol w:w="1478"/>
        <w:gridCol w:w="1122"/>
        <w:gridCol w:w="1478"/>
        <w:gridCol w:w="1122"/>
        <w:gridCol w:w="1470"/>
        <w:gridCol w:w="1350"/>
      </w:tblGrid>
      <w:tr w:rsidR="006B42D6" w:rsidRPr="00257DF7" w14:paraId="25C0CF62" w14:textId="77777777" w:rsidTr="00257DF7">
        <w:trPr>
          <w:trHeight w:val="283"/>
        </w:trPr>
        <w:tc>
          <w:tcPr>
            <w:tcW w:w="1300" w:type="dxa"/>
            <w:vMerge w:val="restart"/>
            <w:tcBorders>
              <w:top w:val="single" w:sz="4" w:space="0" w:color="auto"/>
              <w:left w:val="nil"/>
              <w:bottom w:val="single" w:sz="4" w:space="0" w:color="000000"/>
              <w:right w:val="single" w:sz="4" w:space="0" w:color="auto"/>
            </w:tcBorders>
            <w:shd w:val="clear" w:color="auto" w:fill="E2EFD9" w:themeFill="accent6" w:themeFillTint="33"/>
            <w:noWrap/>
            <w:vAlign w:val="center"/>
            <w:hideMark/>
          </w:tcPr>
          <w:p w14:paraId="7A9DDD39" w14:textId="77777777" w:rsidR="008A1E55" w:rsidRPr="00257DF7" w:rsidRDefault="008A1E55" w:rsidP="00E16CAE">
            <w:pPr>
              <w:rPr>
                <w:sz w:val="19"/>
                <w:szCs w:val="19"/>
              </w:rPr>
            </w:pPr>
            <w:r w:rsidRPr="00257DF7">
              <w:rPr>
                <w:sz w:val="19"/>
                <w:szCs w:val="19"/>
              </w:rPr>
              <w:t>Roof Material</w:t>
            </w:r>
          </w:p>
        </w:tc>
        <w:tc>
          <w:tcPr>
            <w:tcW w:w="2600" w:type="dxa"/>
            <w:gridSpan w:val="2"/>
            <w:tcBorders>
              <w:top w:val="single" w:sz="4" w:space="0" w:color="auto"/>
              <w:left w:val="single" w:sz="4" w:space="0" w:color="auto"/>
              <w:bottom w:val="single" w:sz="4" w:space="0" w:color="auto"/>
              <w:right w:val="nil"/>
            </w:tcBorders>
            <w:shd w:val="clear" w:color="auto" w:fill="E2EFD9" w:themeFill="accent6" w:themeFillTint="33"/>
            <w:noWrap/>
            <w:vAlign w:val="center"/>
            <w:hideMark/>
          </w:tcPr>
          <w:p w14:paraId="153CC779" w14:textId="77777777" w:rsidR="008A1E55" w:rsidRPr="00257DF7" w:rsidRDefault="008A1E55" w:rsidP="00E16CAE">
            <w:pPr>
              <w:jc w:val="center"/>
              <w:rPr>
                <w:sz w:val="19"/>
                <w:szCs w:val="19"/>
              </w:rPr>
            </w:pPr>
            <w:r w:rsidRPr="00257DF7">
              <w:rPr>
                <w:sz w:val="19"/>
                <w:szCs w:val="19"/>
              </w:rPr>
              <w:t>Tanzania</w:t>
            </w:r>
          </w:p>
        </w:tc>
        <w:tc>
          <w:tcPr>
            <w:tcW w:w="2600" w:type="dxa"/>
            <w:gridSpan w:val="2"/>
            <w:tcBorders>
              <w:top w:val="single" w:sz="4" w:space="0" w:color="auto"/>
              <w:left w:val="nil"/>
              <w:bottom w:val="single" w:sz="4" w:space="0" w:color="auto"/>
              <w:right w:val="nil"/>
            </w:tcBorders>
            <w:shd w:val="clear" w:color="auto" w:fill="E2EFD9" w:themeFill="accent6" w:themeFillTint="33"/>
            <w:noWrap/>
            <w:vAlign w:val="center"/>
            <w:hideMark/>
          </w:tcPr>
          <w:p w14:paraId="57BD38DC" w14:textId="722D205C" w:rsidR="008A1E55" w:rsidRPr="00257DF7" w:rsidRDefault="00EA1552" w:rsidP="00E16CAE">
            <w:pPr>
              <w:jc w:val="center"/>
              <w:rPr>
                <w:sz w:val="19"/>
                <w:szCs w:val="19"/>
              </w:rPr>
            </w:pPr>
            <w:r w:rsidRPr="00257DF7">
              <w:rPr>
                <w:sz w:val="19"/>
                <w:szCs w:val="19"/>
              </w:rPr>
              <w:t>Mainland Tanzania</w:t>
            </w:r>
          </w:p>
        </w:tc>
        <w:tc>
          <w:tcPr>
            <w:tcW w:w="2820" w:type="dxa"/>
            <w:gridSpan w:val="2"/>
            <w:tcBorders>
              <w:top w:val="single" w:sz="4" w:space="0" w:color="auto"/>
              <w:left w:val="nil"/>
              <w:bottom w:val="single" w:sz="4" w:space="0" w:color="auto"/>
              <w:right w:val="nil"/>
            </w:tcBorders>
            <w:shd w:val="clear" w:color="auto" w:fill="E2EFD9" w:themeFill="accent6" w:themeFillTint="33"/>
            <w:noWrap/>
            <w:vAlign w:val="center"/>
            <w:hideMark/>
          </w:tcPr>
          <w:p w14:paraId="113B29D7" w14:textId="77777777" w:rsidR="008A1E55" w:rsidRPr="00257DF7" w:rsidRDefault="008A1E55" w:rsidP="00E16CAE">
            <w:pPr>
              <w:jc w:val="center"/>
              <w:rPr>
                <w:sz w:val="19"/>
                <w:szCs w:val="19"/>
              </w:rPr>
            </w:pPr>
            <w:r w:rsidRPr="00257DF7">
              <w:rPr>
                <w:sz w:val="19"/>
                <w:szCs w:val="19"/>
              </w:rPr>
              <w:t>Tanzania Zanzibar</w:t>
            </w:r>
          </w:p>
        </w:tc>
      </w:tr>
      <w:tr w:rsidR="006B42D6" w:rsidRPr="00257DF7" w14:paraId="34544783" w14:textId="77777777" w:rsidTr="00257DF7">
        <w:trPr>
          <w:trHeight w:val="283"/>
        </w:trPr>
        <w:tc>
          <w:tcPr>
            <w:tcW w:w="1300" w:type="dxa"/>
            <w:vMerge/>
            <w:tcBorders>
              <w:top w:val="single" w:sz="4" w:space="0" w:color="auto"/>
              <w:left w:val="nil"/>
              <w:bottom w:val="single" w:sz="4" w:space="0" w:color="000000"/>
              <w:right w:val="single" w:sz="4" w:space="0" w:color="auto"/>
            </w:tcBorders>
            <w:shd w:val="clear" w:color="auto" w:fill="E2EFD9" w:themeFill="accent6" w:themeFillTint="33"/>
            <w:vAlign w:val="center"/>
            <w:hideMark/>
          </w:tcPr>
          <w:p w14:paraId="70E0B7DE" w14:textId="77777777" w:rsidR="008A1E55" w:rsidRPr="00257DF7" w:rsidRDefault="008A1E55" w:rsidP="00E16CAE">
            <w:pPr>
              <w:rPr>
                <w:sz w:val="19"/>
                <w:szCs w:val="19"/>
              </w:rPr>
            </w:pPr>
          </w:p>
        </w:tc>
        <w:tc>
          <w:tcPr>
            <w:tcW w:w="1478" w:type="dxa"/>
            <w:tcBorders>
              <w:top w:val="single" w:sz="4" w:space="0" w:color="auto"/>
              <w:left w:val="single" w:sz="4" w:space="0" w:color="auto"/>
              <w:bottom w:val="single" w:sz="4" w:space="0" w:color="auto"/>
              <w:right w:val="nil"/>
            </w:tcBorders>
            <w:shd w:val="clear" w:color="auto" w:fill="E2EFD9" w:themeFill="accent6" w:themeFillTint="33"/>
            <w:noWrap/>
            <w:vAlign w:val="center"/>
            <w:hideMark/>
          </w:tcPr>
          <w:p w14:paraId="77FAB49C" w14:textId="77777777" w:rsidR="008A1E55" w:rsidRPr="00257DF7" w:rsidRDefault="008A1E55" w:rsidP="00EA010E">
            <w:pPr>
              <w:jc w:val="center"/>
              <w:rPr>
                <w:sz w:val="19"/>
                <w:szCs w:val="19"/>
              </w:rPr>
            </w:pPr>
            <w:r w:rsidRPr="00257DF7">
              <w:rPr>
                <w:sz w:val="19"/>
                <w:szCs w:val="19"/>
              </w:rPr>
              <w:t>Number</w:t>
            </w:r>
          </w:p>
        </w:tc>
        <w:tc>
          <w:tcPr>
            <w:tcW w:w="1122" w:type="dxa"/>
            <w:tcBorders>
              <w:top w:val="single" w:sz="4" w:space="0" w:color="auto"/>
              <w:left w:val="nil"/>
              <w:bottom w:val="single" w:sz="4" w:space="0" w:color="auto"/>
              <w:right w:val="nil"/>
            </w:tcBorders>
            <w:shd w:val="clear" w:color="auto" w:fill="E2EFD9" w:themeFill="accent6" w:themeFillTint="33"/>
            <w:noWrap/>
            <w:vAlign w:val="center"/>
            <w:hideMark/>
          </w:tcPr>
          <w:p w14:paraId="67EFB357" w14:textId="77777777" w:rsidR="008A1E55" w:rsidRPr="00257DF7" w:rsidRDefault="008A1E55" w:rsidP="00EA010E">
            <w:pPr>
              <w:jc w:val="center"/>
              <w:rPr>
                <w:sz w:val="19"/>
                <w:szCs w:val="19"/>
              </w:rPr>
            </w:pPr>
            <w:r w:rsidRPr="00257DF7">
              <w:rPr>
                <w:sz w:val="19"/>
                <w:szCs w:val="19"/>
              </w:rPr>
              <w:t>Percent</w:t>
            </w:r>
          </w:p>
        </w:tc>
        <w:tc>
          <w:tcPr>
            <w:tcW w:w="1478" w:type="dxa"/>
            <w:tcBorders>
              <w:top w:val="single" w:sz="4" w:space="0" w:color="auto"/>
              <w:left w:val="nil"/>
              <w:bottom w:val="single" w:sz="4" w:space="0" w:color="auto"/>
              <w:right w:val="nil"/>
            </w:tcBorders>
            <w:shd w:val="clear" w:color="auto" w:fill="E2EFD9" w:themeFill="accent6" w:themeFillTint="33"/>
            <w:noWrap/>
            <w:vAlign w:val="center"/>
            <w:hideMark/>
          </w:tcPr>
          <w:p w14:paraId="71BFF562" w14:textId="77777777" w:rsidR="008A1E55" w:rsidRPr="00257DF7" w:rsidRDefault="008A1E55" w:rsidP="00EA010E">
            <w:pPr>
              <w:jc w:val="center"/>
              <w:rPr>
                <w:sz w:val="19"/>
                <w:szCs w:val="19"/>
              </w:rPr>
            </w:pPr>
            <w:r w:rsidRPr="00257DF7">
              <w:rPr>
                <w:sz w:val="19"/>
                <w:szCs w:val="19"/>
              </w:rPr>
              <w:t>Number</w:t>
            </w:r>
          </w:p>
        </w:tc>
        <w:tc>
          <w:tcPr>
            <w:tcW w:w="1122" w:type="dxa"/>
            <w:tcBorders>
              <w:top w:val="single" w:sz="4" w:space="0" w:color="auto"/>
              <w:left w:val="nil"/>
              <w:bottom w:val="single" w:sz="4" w:space="0" w:color="auto"/>
              <w:right w:val="nil"/>
            </w:tcBorders>
            <w:shd w:val="clear" w:color="auto" w:fill="E2EFD9" w:themeFill="accent6" w:themeFillTint="33"/>
            <w:noWrap/>
            <w:vAlign w:val="center"/>
            <w:hideMark/>
          </w:tcPr>
          <w:p w14:paraId="6C359634" w14:textId="77777777" w:rsidR="008A1E55" w:rsidRPr="00257DF7" w:rsidRDefault="008A1E55" w:rsidP="00EA010E">
            <w:pPr>
              <w:jc w:val="center"/>
              <w:rPr>
                <w:sz w:val="19"/>
                <w:szCs w:val="19"/>
              </w:rPr>
            </w:pPr>
            <w:r w:rsidRPr="00257DF7">
              <w:rPr>
                <w:sz w:val="19"/>
                <w:szCs w:val="19"/>
              </w:rPr>
              <w:t>Percent</w:t>
            </w:r>
          </w:p>
        </w:tc>
        <w:tc>
          <w:tcPr>
            <w:tcW w:w="1470" w:type="dxa"/>
            <w:tcBorders>
              <w:top w:val="single" w:sz="4" w:space="0" w:color="auto"/>
              <w:left w:val="nil"/>
              <w:bottom w:val="single" w:sz="4" w:space="0" w:color="auto"/>
              <w:right w:val="nil"/>
            </w:tcBorders>
            <w:shd w:val="clear" w:color="auto" w:fill="E2EFD9" w:themeFill="accent6" w:themeFillTint="33"/>
            <w:noWrap/>
            <w:vAlign w:val="center"/>
            <w:hideMark/>
          </w:tcPr>
          <w:p w14:paraId="5ED02E6B" w14:textId="77777777" w:rsidR="008A1E55" w:rsidRPr="00257DF7" w:rsidRDefault="008A1E55" w:rsidP="00EA010E">
            <w:pPr>
              <w:jc w:val="center"/>
              <w:rPr>
                <w:sz w:val="19"/>
                <w:szCs w:val="19"/>
              </w:rPr>
            </w:pPr>
            <w:r w:rsidRPr="00257DF7">
              <w:rPr>
                <w:sz w:val="19"/>
                <w:szCs w:val="19"/>
              </w:rPr>
              <w:t>Number</w:t>
            </w:r>
          </w:p>
        </w:tc>
        <w:tc>
          <w:tcPr>
            <w:tcW w:w="1350" w:type="dxa"/>
            <w:tcBorders>
              <w:top w:val="single" w:sz="4" w:space="0" w:color="auto"/>
              <w:left w:val="nil"/>
              <w:bottom w:val="single" w:sz="4" w:space="0" w:color="auto"/>
              <w:right w:val="nil"/>
            </w:tcBorders>
            <w:shd w:val="clear" w:color="auto" w:fill="E2EFD9" w:themeFill="accent6" w:themeFillTint="33"/>
            <w:noWrap/>
            <w:vAlign w:val="center"/>
            <w:hideMark/>
          </w:tcPr>
          <w:p w14:paraId="73919D81" w14:textId="77777777" w:rsidR="008A1E55" w:rsidRPr="00257DF7" w:rsidRDefault="008A1E55" w:rsidP="00EA010E">
            <w:pPr>
              <w:jc w:val="center"/>
              <w:rPr>
                <w:sz w:val="19"/>
                <w:szCs w:val="19"/>
              </w:rPr>
            </w:pPr>
            <w:r w:rsidRPr="00257DF7">
              <w:rPr>
                <w:sz w:val="19"/>
                <w:szCs w:val="19"/>
              </w:rPr>
              <w:t>Percent</w:t>
            </w:r>
          </w:p>
        </w:tc>
      </w:tr>
      <w:tr w:rsidR="006B42D6" w:rsidRPr="00257DF7" w14:paraId="3A4C2D8F" w14:textId="77777777" w:rsidTr="00EA010E">
        <w:trPr>
          <w:trHeight w:val="340"/>
        </w:trPr>
        <w:tc>
          <w:tcPr>
            <w:tcW w:w="1300" w:type="dxa"/>
            <w:tcBorders>
              <w:top w:val="nil"/>
              <w:left w:val="nil"/>
              <w:bottom w:val="nil"/>
              <w:right w:val="single" w:sz="4" w:space="0" w:color="auto"/>
            </w:tcBorders>
            <w:shd w:val="clear" w:color="auto" w:fill="auto"/>
            <w:noWrap/>
            <w:vAlign w:val="center"/>
            <w:hideMark/>
          </w:tcPr>
          <w:p w14:paraId="20484AED" w14:textId="77777777" w:rsidR="008A1E55" w:rsidRPr="00257DF7" w:rsidRDefault="008A1E55" w:rsidP="00257DF7">
            <w:pPr>
              <w:ind w:left="-113" w:firstLine="113"/>
              <w:rPr>
                <w:sz w:val="19"/>
                <w:szCs w:val="19"/>
              </w:rPr>
            </w:pPr>
            <w:r w:rsidRPr="00257DF7">
              <w:rPr>
                <w:sz w:val="19"/>
                <w:szCs w:val="19"/>
              </w:rPr>
              <w:t>Iron Sheets</w:t>
            </w:r>
          </w:p>
        </w:tc>
        <w:tc>
          <w:tcPr>
            <w:tcW w:w="1478" w:type="dxa"/>
            <w:tcBorders>
              <w:top w:val="nil"/>
              <w:left w:val="single" w:sz="4" w:space="0" w:color="auto"/>
              <w:bottom w:val="nil"/>
              <w:right w:val="nil"/>
            </w:tcBorders>
            <w:shd w:val="clear" w:color="auto" w:fill="auto"/>
            <w:noWrap/>
            <w:vAlign w:val="center"/>
            <w:hideMark/>
          </w:tcPr>
          <w:p w14:paraId="106F33E0" w14:textId="77777777" w:rsidR="008A1E55" w:rsidRPr="00257DF7" w:rsidRDefault="008A1E55" w:rsidP="004F65CD">
            <w:pPr>
              <w:jc w:val="right"/>
              <w:rPr>
                <w:sz w:val="19"/>
                <w:szCs w:val="19"/>
              </w:rPr>
            </w:pPr>
            <w:r w:rsidRPr="00257DF7">
              <w:rPr>
                <w:sz w:val="19"/>
                <w:szCs w:val="19"/>
              </w:rPr>
              <w:t>6,404,325</w:t>
            </w:r>
          </w:p>
        </w:tc>
        <w:tc>
          <w:tcPr>
            <w:tcW w:w="1122" w:type="dxa"/>
            <w:tcBorders>
              <w:top w:val="nil"/>
              <w:left w:val="nil"/>
              <w:bottom w:val="nil"/>
              <w:right w:val="nil"/>
            </w:tcBorders>
            <w:shd w:val="clear" w:color="auto" w:fill="auto"/>
            <w:noWrap/>
            <w:vAlign w:val="center"/>
            <w:hideMark/>
          </w:tcPr>
          <w:p w14:paraId="1525E0AF" w14:textId="77777777" w:rsidR="008A1E55" w:rsidRPr="00257DF7" w:rsidRDefault="008A1E55" w:rsidP="004F65CD">
            <w:pPr>
              <w:jc w:val="right"/>
              <w:rPr>
                <w:sz w:val="19"/>
                <w:szCs w:val="19"/>
              </w:rPr>
            </w:pPr>
            <w:r w:rsidRPr="00257DF7">
              <w:rPr>
                <w:sz w:val="19"/>
                <w:szCs w:val="19"/>
              </w:rPr>
              <w:t>81.7</w:t>
            </w:r>
          </w:p>
        </w:tc>
        <w:tc>
          <w:tcPr>
            <w:tcW w:w="1478" w:type="dxa"/>
            <w:tcBorders>
              <w:top w:val="nil"/>
              <w:left w:val="nil"/>
              <w:bottom w:val="nil"/>
              <w:right w:val="nil"/>
            </w:tcBorders>
            <w:shd w:val="clear" w:color="auto" w:fill="auto"/>
            <w:noWrap/>
            <w:vAlign w:val="center"/>
            <w:hideMark/>
          </w:tcPr>
          <w:p w14:paraId="692957EA" w14:textId="77777777" w:rsidR="008A1E55" w:rsidRPr="00257DF7" w:rsidRDefault="008A1E55" w:rsidP="004F65CD">
            <w:pPr>
              <w:jc w:val="right"/>
              <w:rPr>
                <w:sz w:val="19"/>
                <w:szCs w:val="19"/>
              </w:rPr>
            </w:pPr>
            <w:r w:rsidRPr="00257DF7">
              <w:rPr>
                <w:sz w:val="19"/>
                <w:szCs w:val="19"/>
              </w:rPr>
              <w:t>6,246,398</w:t>
            </w:r>
          </w:p>
        </w:tc>
        <w:tc>
          <w:tcPr>
            <w:tcW w:w="1122" w:type="dxa"/>
            <w:tcBorders>
              <w:top w:val="nil"/>
              <w:left w:val="nil"/>
              <w:bottom w:val="nil"/>
              <w:right w:val="nil"/>
            </w:tcBorders>
            <w:shd w:val="clear" w:color="auto" w:fill="auto"/>
            <w:noWrap/>
            <w:vAlign w:val="center"/>
            <w:hideMark/>
          </w:tcPr>
          <w:p w14:paraId="721E8AA4" w14:textId="77777777" w:rsidR="008A1E55" w:rsidRPr="00257DF7" w:rsidRDefault="008A1E55" w:rsidP="004F65CD">
            <w:pPr>
              <w:jc w:val="right"/>
              <w:rPr>
                <w:sz w:val="19"/>
                <w:szCs w:val="19"/>
              </w:rPr>
            </w:pPr>
            <w:r w:rsidRPr="00257DF7">
              <w:rPr>
                <w:sz w:val="19"/>
                <w:szCs w:val="19"/>
              </w:rPr>
              <w:t>81.6</w:t>
            </w:r>
          </w:p>
        </w:tc>
        <w:tc>
          <w:tcPr>
            <w:tcW w:w="1470" w:type="dxa"/>
            <w:tcBorders>
              <w:top w:val="nil"/>
              <w:left w:val="nil"/>
              <w:bottom w:val="nil"/>
              <w:right w:val="nil"/>
            </w:tcBorders>
            <w:shd w:val="clear" w:color="auto" w:fill="auto"/>
            <w:noWrap/>
            <w:vAlign w:val="center"/>
            <w:hideMark/>
          </w:tcPr>
          <w:p w14:paraId="18B99F3B" w14:textId="77777777" w:rsidR="008A1E55" w:rsidRPr="00257DF7" w:rsidRDefault="008A1E55" w:rsidP="004F65CD">
            <w:pPr>
              <w:jc w:val="right"/>
              <w:rPr>
                <w:sz w:val="19"/>
                <w:szCs w:val="19"/>
              </w:rPr>
            </w:pPr>
            <w:r w:rsidRPr="00257DF7">
              <w:rPr>
                <w:sz w:val="19"/>
                <w:szCs w:val="19"/>
              </w:rPr>
              <w:t>157,927</w:t>
            </w:r>
          </w:p>
        </w:tc>
        <w:tc>
          <w:tcPr>
            <w:tcW w:w="1350" w:type="dxa"/>
            <w:tcBorders>
              <w:top w:val="nil"/>
              <w:left w:val="nil"/>
              <w:bottom w:val="nil"/>
              <w:right w:val="nil"/>
            </w:tcBorders>
            <w:shd w:val="clear" w:color="auto" w:fill="auto"/>
            <w:noWrap/>
            <w:vAlign w:val="center"/>
            <w:hideMark/>
          </w:tcPr>
          <w:p w14:paraId="241E5268" w14:textId="77777777" w:rsidR="008A1E55" w:rsidRPr="00257DF7" w:rsidRDefault="008A1E55" w:rsidP="004F65CD">
            <w:pPr>
              <w:jc w:val="right"/>
              <w:rPr>
                <w:sz w:val="19"/>
                <w:szCs w:val="19"/>
              </w:rPr>
            </w:pPr>
            <w:r w:rsidRPr="00257DF7">
              <w:rPr>
                <w:sz w:val="19"/>
                <w:szCs w:val="19"/>
              </w:rPr>
              <w:t>87.6</w:t>
            </w:r>
          </w:p>
        </w:tc>
      </w:tr>
      <w:tr w:rsidR="006B42D6" w:rsidRPr="00257DF7" w14:paraId="5F73A3F8" w14:textId="77777777" w:rsidTr="00EA010E">
        <w:trPr>
          <w:trHeight w:val="340"/>
        </w:trPr>
        <w:tc>
          <w:tcPr>
            <w:tcW w:w="1300" w:type="dxa"/>
            <w:tcBorders>
              <w:top w:val="nil"/>
              <w:left w:val="nil"/>
              <w:bottom w:val="nil"/>
              <w:right w:val="single" w:sz="4" w:space="0" w:color="auto"/>
            </w:tcBorders>
            <w:shd w:val="clear" w:color="auto" w:fill="auto"/>
            <w:noWrap/>
            <w:vAlign w:val="center"/>
            <w:hideMark/>
          </w:tcPr>
          <w:p w14:paraId="177C8F42" w14:textId="77777777" w:rsidR="008A1E55" w:rsidRPr="00257DF7" w:rsidRDefault="008A1E55" w:rsidP="00257DF7">
            <w:pPr>
              <w:ind w:left="-113" w:firstLine="113"/>
              <w:rPr>
                <w:sz w:val="19"/>
                <w:szCs w:val="19"/>
              </w:rPr>
            </w:pPr>
            <w:r w:rsidRPr="00257DF7">
              <w:rPr>
                <w:sz w:val="19"/>
                <w:szCs w:val="19"/>
              </w:rPr>
              <w:t>Tiles</w:t>
            </w:r>
          </w:p>
        </w:tc>
        <w:tc>
          <w:tcPr>
            <w:tcW w:w="1478" w:type="dxa"/>
            <w:tcBorders>
              <w:top w:val="nil"/>
              <w:left w:val="single" w:sz="4" w:space="0" w:color="auto"/>
              <w:bottom w:val="nil"/>
              <w:right w:val="nil"/>
            </w:tcBorders>
            <w:shd w:val="clear" w:color="auto" w:fill="auto"/>
            <w:noWrap/>
            <w:vAlign w:val="center"/>
            <w:hideMark/>
          </w:tcPr>
          <w:p w14:paraId="20909552" w14:textId="77777777" w:rsidR="008A1E55" w:rsidRPr="00257DF7" w:rsidRDefault="008A1E55" w:rsidP="004F65CD">
            <w:pPr>
              <w:jc w:val="right"/>
              <w:rPr>
                <w:sz w:val="19"/>
                <w:szCs w:val="19"/>
              </w:rPr>
            </w:pPr>
            <w:r w:rsidRPr="00257DF7">
              <w:rPr>
                <w:sz w:val="19"/>
                <w:szCs w:val="19"/>
              </w:rPr>
              <w:t>27,558</w:t>
            </w:r>
          </w:p>
        </w:tc>
        <w:tc>
          <w:tcPr>
            <w:tcW w:w="1122" w:type="dxa"/>
            <w:tcBorders>
              <w:top w:val="nil"/>
              <w:left w:val="nil"/>
              <w:bottom w:val="nil"/>
              <w:right w:val="nil"/>
            </w:tcBorders>
            <w:shd w:val="clear" w:color="auto" w:fill="auto"/>
            <w:noWrap/>
            <w:vAlign w:val="center"/>
            <w:hideMark/>
          </w:tcPr>
          <w:p w14:paraId="65BD230F" w14:textId="77777777" w:rsidR="008A1E55" w:rsidRPr="00257DF7" w:rsidRDefault="008A1E55" w:rsidP="004F65CD">
            <w:pPr>
              <w:jc w:val="right"/>
              <w:rPr>
                <w:sz w:val="19"/>
                <w:szCs w:val="19"/>
              </w:rPr>
            </w:pPr>
            <w:r w:rsidRPr="00257DF7">
              <w:rPr>
                <w:sz w:val="19"/>
                <w:szCs w:val="19"/>
              </w:rPr>
              <w:t>0.4</w:t>
            </w:r>
          </w:p>
        </w:tc>
        <w:tc>
          <w:tcPr>
            <w:tcW w:w="1478" w:type="dxa"/>
            <w:tcBorders>
              <w:top w:val="nil"/>
              <w:left w:val="nil"/>
              <w:bottom w:val="nil"/>
              <w:right w:val="nil"/>
            </w:tcBorders>
            <w:shd w:val="clear" w:color="auto" w:fill="auto"/>
            <w:noWrap/>
            <w:vAlign w:val="center"/>
            <w:hideMark/>
          </w:tcPr>
          <w:p w14:paraId="23F6E01A" w14:textId="77777777" w:rsidR="008A1E55" w:rsidRPr="00257DF7" w:rsidRDefault="008A1E55" w:rsidP="004F65CD">
            <w:pPr>
              <w:jc w:val="right"/>
              <w:rPr>
                <w:sz w:val="19"/>
                <w:szCs w:val="19"/>
              </w:rPr>
            </w:pPr>
            <w:r w:rsidRPr="00257DF7">
              <w:rPr>
                <w:sz w:val="19"/>
                <w:szCs w:val="19"/>
              </w:rPr>
              <w:t>27,373</w:t>
            </w:r>
          </w:p>
        </w:tc>
        <w:tc>
          <w:tcPr>
            <w:tcW w:w="1122" w:type="dxa"/>
            <w:tcBorders>
              <w:top w:val="nil"/>
              <w:left w:val="nil"/>
              <w:bottom w:val="nil"/>
              <w:right w:val="nil"/>
            </w:tcBorders>
            <w:shd w:val="clear" w:color="auto" w:fill="auto"/>
            <w:noWrap/>
            <w:vAlign w:val="center"/>
            <w:hideMark/>
          </w:tcPr>
          <w:p w14:paraId="50FFFD44" w14:textId="77777777" w:rsidR="008A1E55" w:rsidRPr="00257DF7" w:rsidRDefault="008A1E55" w:rsidP="004F65CD">
            <w:pPr>
              <w:jc w:val="right"/>
              <w:rPr>
                <w:sz w:val="19"/>
                <w:szCs w:val="19"/>
              </w:rPr>
            </w:pPr>
            <w:r w:rsidRPr="00257DF7">
              <w:rPr>
                <w:sz w:val="19"/>
                <w:szCs w:val="19"/>
              </w:rPr>
              <w:t>0.4</w:t>
            </w:r>
          </w:p>
        </w:tc>
        <w:tc>
          <w:tcPr>
            <w:tcW w:w="1470" w:type="dxa"/>
            <w:tcBorders>
              <w:top w:val="nil"/>
              <w:left w:val="nil"/>
              <w:bottom w:val="nil"/>
              <w:right w:val="nil"/>
            </w:tcBorders>
            <w:shd w:val="clear" w:color="auto" w:fill="auto"/>
            <w:noWrap/>
            <w:vAlign w:val="center"/>
            <w:hideMark/>
          </w:tcPr>
          <w:p w14:paraId="07A3FFE9" w14:textId="77777777" w:rsidR="008A1E55" w:rsidRPr="00257DF7" w:rsidRDefault="008A1E55" w:rsidP="004F65CD">
            <w:pPr>
              <w:jc w:val="right"/>
              <w:rPr>
                <w:sz w:val="19"/>
                <w:szCs w:val="19"/>
              </w:rPr>
            </w:pPr>
            <w:r w:rsidRPr="00257DF7">
              <w:rPr>
                <w:sz w:val="19"/>
                <w:szCs w:val="19"/>
              </w:rPr>
              <w:t>185</w:t>
            </w:r>
          </w:p>
        </w:tc>
        <w:tc>
          <w:tcPr>
            <w:tcW w:w="1350" w:type="dxa"/>
            <w:tcBorders>
              <w:top w:val="nil"/>
              <w:left w:val="nil"/>
              <w:bottom w:val="nil"/>
              <w:right w:val="nil"/>
            </w:tcBorders>
            <w:shd w:val="clear" w:color="auto" w:fill="auto"/>
            <w:noWrap/>
            <w:vAlign w:val="center"/>
            <w:hideMark/>
          </w:tcPr>
          <w:p w14:paraId="399D37D4" w14:textId="77777777" w:rsidR="008A1E55" w:rsidRPr="00257DF7" w:rsidRDefault="008A1E55" w:rsidP="004F65CD">
            <w:pPr>
              <w:jc w:val="right"/>
              <w:rPr>
                <w:sz w:val="19"/>
                <w:szCs w:val="19"/>
              </w:rPr>
            </w:pPr>
            <w:r w:rsidRPr="00257DF7">
              <w:rPr>
                <w:sz w:val="19"/>
                <w:szCs w:val="19"/>
              </w:rPr>
              <w:t>0.1</w:t>
            </w:r>
          </w:p>
        </w:tc>
      </w:tr>
      <w:tr w:rsidR="006B42D6" w:rsidRPr="00257DF7" w14:paraId="5AAF7DDC" w14:textId="77777777" w:rsidTr="00EA010E">
        <w:trPr>
          <w:trHeight w:val="340"/>
        </w:trPr>
        <w:tc>
          <w:tcPr>
            <w:tcW w:w="1300" w:type="dxa"/>
            <w:tcBorders>
              <w:top w:val="nil"/>
              <w:left w:val="nil"/>
              <w:bottom w:val="nil"/>
              <w:right w:val="single" w:sz="4" w:space="0" w:color="auto"/>
            </w:tcBorders>
            <w:shd w:val="clear" w:color="auto" w:fill="auto"/>
            <w:noWrap/>
            <w:vAlign w:val="center"/>
            <w:hideMark/>
          </w:tcPr>
          <w:p w14:paraId="726646C5" w14:textId="77777777" w:rsidR="008A1E55" w:rsidRPr="00257DF7" w:rsidRDefault="008A1E55" w:rsidP="00257DF7">
            <w:pPr>
              <w:ind w:left="-113" w:firstLine="113"/>
              <w:rPr>
                <w:sz w:val="19"/>
                <w:szCs w:val="19"/>
              </w:rPr>
            </w:pPr>
            <w:r w:rsidRPr="00257DF7">
              <w:rPr>
                <w:sz w:val="19"/>
                <w:szCs w:val="19"/>
              </w:rPr>
              <w:t>Concrete</w:t>
            </w:r>
          </w:p>
        </w:tc>
        <w:tc>
          <w:tcPr>
            <w:tcW w:w="1478" w:type="dxa"/>
            <w:tcBorders>
              <w:top w:val="nil"/>
              <w:left w:val="single" w:sz="4" w:space="0" w:color="auto"/>
              <w:bottom w:val="nil"/>
              <w:right w:val="nil"/>
            </w:tcBorders>
            <w:shd w:val="clear" w:color="auto" w:fill="auto"/>
            <w:noWrap/>
            <w:vAlign w:val="center"/>
            <w:hideMark/>
          </w:tcPr>
          <w:p w14:paraId="58B5E010" w14:textId="77777777" w:rsidR="008A1E55" w:rsidRPr="00257DF7" w:rsidRDefault="008A1E55" w:rsidP="004F65CD">
            <w:pPr>
              <w:jc w:val="right"/>
              <w:rPr>
                <w:sz w:val="19"/>
                <w:szCs w:val="19"/>
              </w:rPr>
            </w:pPr>
            <w:r w:rsidRPr="00257DF7">
              <w:rPr>
                <w:sz w:val="19"/>
                <w:szCs w:val="19"/>
              </w:rPr>
              <w:t>8,843</w:t>
            </w:r>
          </w:p>
        </w:tc>
        <w:tc>
          <w:tcPr>
            <w:tcW w:w="1122" w:type="dxa"/>
            <w:tcBorders>
              <w:top w:val="nil"/>
              <w:left w:val="nil"/>
              <w:bottom w:val="nil"/>
              <w:right w:val="nil"/>
            </w:tcBorders>
            <w:shd w:val="clear" w:color="auto" w:fill="auto"/>
            <w:noWrap/>
            <w:vAlign w:val="center"/>
            <w:hideMark/>
          </w:tcPr>
          <w:p w14:paraId="5461A040" w14:textId="77777777" w:rsidR="008A1E55" w:rsidRPr="00257DF7" w:rsidRDefault="008A1E55" w:rsidP="004F65CD">
            <w:pPr>
              <w:jc w:val="right"/>
              <w:rPr>
                <w:sz w:val="19"/>
                <w:szCs w:val="19"/>
              </w:rPr>
            </w:pPr>
            <w:r w:rsidRPr="00257DF7">
              <w:rPr>
                <w:sz w:val="19"/>
                <w:szCs w:val="19"/>
              </w:rPr>
              <w:t>0.1</w:t>
            </w:r>
          </w:p>
        </w:tc>
        <w:tc>
          <w:tcPr>
            <w:tcW w:w="1478" w:type="dxa"/>
            <w:tcBorders>
              <w:top w:val="nil"/>
              <w:left w:val="nil"/>
              <w:bottom w:val="nil"/>
              <w:right w:val="nil"/>
            </w:tcBorders>
            <w:shd w:val="clear" w:color="auto" w:fill="auto"/>
            <w:noWrap/>
            <w:vAlign w:val="center"/>
            <w:hideMark/>
          </w:tcPr>
          <w:p w14:paraId="404D9A4E" w14:textId="77777777" w:rsidR="008A1E55" w:rsidRPr="00257DF7" w:rsidRDefault="008A1E55" w:rsidP="004F65CD">
            <w:pPr>
              <w:jc w:val="right"/>
              <w:rPr>
                <w:sz w:val="19"/>
                <w:szCs w:val="19"/>
              </w:rPr>
            </w:pPr>
            <w:r w:rsidRPr="00257DF7">
              <w:rPr>
                <w:sz w:val="19"/>
                <w:szCs w:val="19"/>
              </w:rPr>
              <w:t>8,843</w:t>
            </w:r>
          </w:p>
        </w:tc>
        <w:tc>
          <w:tcPr>
            <w:tcW w:w="1122" w:type="dxa"/>
            <w:tcBorders>
              <w:top w:val="nil"/>
              <w:left w:val="nil"/>
              <w:bottom w:val="nil"/>
              <w:right w:val="nil"/>
            </w:tcBorders>
            <w:shd w:val="clear" w:color="auto" w:fill="auto"/>
            <w:noWrap/>
            <w:vAlign w:val="center"/>
            <w:hideMark/>
          </w:tcPr>
          <w:p w14:paraId="7C25811E" w14:textId="77777777" w:rsidR="008A1E55" w:rsidRPr="00257DF7" w:rsidRDefault="008A1E55" w:rsidP="004F65CD">
            <w:pPr>
              <w:jc w:val="right"/>
              <w:rPr>
                <w:sz w:val="19"/>
                <w:szCs w:val="19"/>
              </w:rPr>
            </w:pPr>
            <w:r w:rsidRPr="00257DF7">
              <w:rPr>
                <w:sz w:val="19"/>
                <w:szCs w:val="19"/>
              </w:rPr>
              <w:t>0.1</w:t>
            </w:r>
          </w:p>
        </w:tc>
        <w:tc>
          <w:tcPr>
            <w:tcW w:w="1470" w:type="dxa"/>
            <w:tcBorders>
              <w:top w:val="nil"/>
              <w:left w:val="nil"/>
              <w:bottom w:val="nil"/>
              <w:right w:val="nil"/>
            </w:tcBorders>
            <w:shd w:val="clear" w:color="auto" w:fill="auto"/>
            <w:noWrap/>
            <w:vAlign w:val="center"/>
            <w:hideMark/>
          </w:tcPr>
          <w:p w14:paraId="45D7537C" w14:textId="77777777" w:rsidR="008A1E55" w:rsidRPr="00257DF7" w:rsidRDefault="008A1E55" w:rsidP="004F65CD">
            <w:pPr>
              <w:jc w:val="right"/>
              <w:rPr>
                <w:sz w:val="19"/>
                <w:szCs w:val="19"/>
              </w:rPr>
            </w:pPr>
            <w:r w:rsidRPr="00257DF7">
              <w:rPr>
                <w:sz w:val="19"/>
                <w:szCs w:val="19"/>
              </w:rPr>
              <w:t>-</w:t>
            </w:r>
          </w:p>
        </w:tc>
        <w:tc>
          <w:tcPr>
            <w:tcW w:w="1350" w:type="dxa"/>
            <w:tcBorders>
              <w:top w:val="nil"/>
              <w:left w:val="nil"/>
              <w:bottom w:val="nil"/>
              <w:right w:val="nil"/>
            </w:tcBorders>
            <w:shd w:val="clear" w:color="auto" w:fill="auto"/>
            <w:noWrap/>
            <w:vAlign w:val="center"/>
            <w:hideMark/>
          </w:tcPr>
          <w:p w14:paraId="70AA91FD" w14:textId="77777777" w:rsidR="008A1E55" w:rsidRPr="00257DF7" w:rsidRDefault="008A1E55" w:rsidP="004F65CD">
            <w:pPr>
              <w:jc w:val="right"/>
              <w:rPr>
                <w:sz w:val="19"/>
                <w:szCs w:val="19"/>
              </w:rPr>
            </w:pPr>
            <w:r w:rsidRPr="00257DF7">
              <w:rPr>
                <w:sz w:val="19"/>
                <w:szCs w:val="19"/>
              </w:rPr>
              <w:t>-</w:t>
            </w:r>
          </w:p>
        </w:tc>
      </w:tr>
      <w:tr w:rsidR="006B42D6" w:rsidRPr="00257DF7" w14:paraId="2DE31DA4" w14:textId="77777777" w:rsidTr="00EA010E">
        <w:trPr>
          <w:trHeight w:val="340"/>
        </w:trPr>
        <w:tc>
          <w:tcPr>
            <w:tcW w:w="1300" w:type="dxa"/>
            <w:tcBorders>
              <w:top w:val="nil"/>
              <w:left w:val="nil"/>
              <w:bottom w:val="nil"/>
              <w:right w:val="single" w:sz="4" w:space="0" w:color="auto"/>
            </w:tcBorders>
            <w:shd w:val="clear" w:color="auto" w:fill="auto"/>
            <w:noWrap/>
            <w:vAlign w:val="center"/>
            <w:hideMark/>
          </w:tcPr>
          <w:p w14:paraId="197C50F1" w14:textId="77777777" w:rsidR="008A1E55" w:rsidRPr="00257DF7" w:rsidRDefault="008A1E55" w:rsidP="00257DF7">
            <w:pPr>
              <w:ind w:left="-113" w:firstLine="113"/>
              <w:rPr>
                <w:sz w:val="19"/>
                <w:szCs w:val="19"/>
              </w:rPr>
            </w:pPr>
            <w:r w:rsidRPr="00257DF7">
              <w:rPr>
                <w:sz w:val="19"/>
                <w:szCs w:val="19"/>
              </w:rPr>
              <w:t>Asbestos</w:t>
            </w:r>
          </w:p>
        </w:tc>
        <w:tc>
          <w:tcPr>
            <w:tcW w:w="1478" w:type="dxa"/>
            <w:tcBorders>
              <w:top w:val="nil"/>
              <w:left w:val="single" w:sz="4" w:space="0" w:color="auto"/>
              <w:bottom w:val="nil"/>
              <w:right w:val="nil"/>
            </w:tcBorders>
            <w:shd w:val="clear" w:color="auto" w:fill="auto"/>
            <w:noWrap/>
            <w:vAlign w:val="center"/>
            <w:hideMark/>
          </w:tcPr>
          <w:p w14:paraId="5139F63B" w14:textId="77777777" w:rsidR="008A1E55" w:rsidRPr="00257DF7" w:rsidRDefault="008A1E55" w:rsidP="004F65CD">
            <w:pPr>
              <w:jc w:val="right"/>
              <w:rPr>
                <w:sz w:val="19"/>
                <w:szCs w:val="19"/>
              </w:rPr>
            </w:pPr>
            <w:r w:rsidRPr="00257DF7">
              <w:rPr>
                <w:sz w:val="19"/>
                <w:szCs w:val="19"/>
              </w:rPr>
              <w:t>9,186</w:t>
            </w:r>
          </w:p>
        </w:tc>
        <w:tc>
          <w:tcPr>
            <w:tcW w:w="1122" w:type="dxa"/>
            <w:tcBorders>
              <w:top w:val="nil"/>
              <w:left w:val="nil"/>
              <w:bottom w:val="nil"/>
              <w:right w:val="nil"/>
            </w:tcBorders>
            <w:shd w:val="clear" w:color="auto" w:fill="auto"/>
            <w:noWrap/>
            <w:vAlign w:val="center"/>
            <w:hideMark/>
          </w:tcPr>
          <w:p w14:paraId="37A8169E" w14:textId="77777777" w:rsidR="008A1E55" w:rsidRPr="00257DF7" w:rsidRDefault="008A1E55" w:rsidP="004F65CD">
            <w:pPr>
              <w:jc w:val="right"/>
              <w:rPr>
                <w:sz w:val="19"/>
                <w:szCs w:val="19"/>
              </w:rPr>
            </w:pPr>
            <w:r w:rsidRPr="00257DF7">
              <w:rPr>
                <w:sz w:val="19"/>
                <w:szCs w:val="19"/>
              </w:rPr>
              <w:t>0.1</w:t>
            </w:r>
          </w:p>
        </w:tc>
        <w:tc>
          <w:tcPr>
            <w:tcW w:w="1478" w:type="dxa"/>
            <w:tcBorders>
              <w:top w:val="nil"/>
              <w:left w:val="nil"/>
              <w:bottom w:val="nil"/>
              <w:right w:val="nil"/>
            </w:tcBorders>
            <w:shd w:val="clear" w:color="auto" w:fill="auto"/>
            <w:noWrap/>
            <w:vAlign w:val="center"/>
            <w:hideMark/>
          </w:tcPr>
          <w:p w14:paraId="4678756D" w14:textId="77777777" w:rsidR="008A1E55" w:rsidRPr="00257DF7" w:rsidRDefault="008A1E55" w:rsidP="004F65CD">
            <w:pPr>
              <w:jc w:val="right"/>
              <w:rPr>
                <w:sz w:val="19"/>
                <w:szCs w:val="19"/>
              </w:rPr>
            </w:pPr>
            <w:r w:rsidRPr="00257DF7">
              <w:rPr>
                <w:sz w:val="19"/>
                <w:szCs w:val="19"/>
              </w:rPr>
              <w:t>8,916</w:t>
            </w:r>
          </w:p>
        </w:tc>
        <w:tc>
          <w:tcPr>
            <w:tcW w:w="1122" w:type="dxa"/>
            <w:tcBorders>
              <w:top w:val="nil"/>
              <w:left w:val="nil"/>
              <w:bottom w:val="nil"/>
              <w:right w:val="nil"/>
            </w:tcBorders>
            <w:shd w:val="clear" w:color="auto" w:fill="auto"/>
            <w:noWrap/>
            <w:vAlign w:val="center"/>
            <w:hideMark/>
          </w:tcPr>
          <w:p w14:paraId="163DC21F" w14:textId="77777777" w:rsidR="008A1E55" w:rsidRPr="00257DF7" w:rsidRDefault="008A1E55" w:rsidP="004F65CD">
            <w:pPr>
              <w:jc w:val="right"/>
              <w:rPr>
                <w:sz w:val="19"/>
                <w:szCs w:val="19"/>
              </w:rPr>
            </w:pPr>
            <w:r w:rsidRPr="00257DF7">
              <w:rPr>
                <w:sz w:val="19"/>
                <w:szCs w:val="19"/>
              </w:rPr>
              <w:t>0.1</w:t>
            </w:r>
          </w:p>
        </w:tc>
        <w:tc>
          <w:tcPr>
            <w:tcW w:w="1470" w:type="dxa"/>
            <w:tcBorders>
              <w:top w:val="nil"/>
              <w:left w:val="nil"/>
              <w:bottom w:val="nil"/>
              <w:right w:val="nil"/>
            </w:tcBorders>
            <w:shd w:val="clear" w:color="auto" w:fill="auto"/>
            <w:noWrap/>
            <w:vAlign w:val="center"/>
            <w:hideMark/>
          </w:tcPr>
          <w:p w14:paraId="5A4CEBD6" w14:textId="77777777" w:rsidR="008A1E55" w:rsidRPr="00257DF7" w:rsidRDefault="008A1E55" w:rsidP="004F65CD">
            <w:pPr>
              <w:jc w:val="right"/>
              <w:rPr>
                <w:sz w:val="19"/>
                <w:szCs w:val="19"/>
              </w:rPr>
            </w:pPr>
            <w:r w:rsidRPr="00257DF7">
              <w:rPr>
                <w:sz w:val="19"/>
                <w:szCs w:val="19"/>
              </w:rPr>
              <w:t>270</w:t>
            </w:r>
          </w:p>
        </w:tc>
        <w:tc>
          <w:tcPr>
            <w:tcW w:w="1350" w:type="dxa"/>
            <w:tcBorders>
              <w:top w:val="nil"/>
              <w:left w:val="nil"/>
              <w:bottom w:val="nil"/>
              <w:right w:val="nil"/>
            </w:tcBorders>
            <w:shd w:val="clear" w:color="auto" w:fill="auto"/>
            <w:noWrap/>
            <w:vAlign w:val="center"/>
            <w:hideMark/>
          </w:tcPr>
          <w:p w14:paraId="54006302" w14:textId="77777777" w:rsidR="008A1E55" w:rsidRPr="00257DF7" w:rsidRDefault="008A1E55" w:rsidP="004F65CD">
            <w:pPr>
              <w:jc w:val="right"/>
              <w:rPr>
                <w:sz w:val="19"/>
                <w:szCs w:val="19"/>
              </w:rPr>
            </w:pPr>
            <w:r w:rsidRPr="00257DF7">
              <w:rPr>
                <w:sz w:val="19"/>
                <w:szCs w:val="19"/>
              </w:rPr>
              <w:t>0.1</w:t>
            </w:r>
          </w:p>
        </w:tc>
      </w:tr>
      <w:tr w:rsidR="006B42D6" w:rsidRPr="00257DF7" w14:paraId="6A652039" w14:textId="77777777" w:rsidTr="00EA010E">
        <w:trPr>
          <w:trHeight w:val="340"/>
        </w:trPr>
        <w:tc>
          <w:tcPr>
            <w:tcW w:w="1300" w:type="dxa"/>
            <w:tcBorders>
              <w:top w:val="nil"/>
              <w:left w:val="nil"/>
              <w:bottom w:val="nil"/>
              <w:right w:val="single" w:sz="4" w:space="0" w:color="auto"/>
            </w:tcBorders>
            <w:shd w:val="clear" w:color="auto" w:fill="auto"/>
            <w:noWrap/>
            <w:vAlign w:val="center"/>
            <w:hideMark/>
          </w:tcPr>
          <w:p w14:paraId="7CF4F537" w14:textId="77777777" w:rsidR="008A1E55" w:rsidRPr="00257DF7" w:rsidRDefault="008A1E55" w:rsidP="00257DF7">
            <w:pPr>
              <w:ind w:left="-113" w:firstLine="113"/>
              <w:rPr>
                <w:sz w:val="19"/>
                <w:szCs w:val="19"/>
              </w:rPr>
            </w:pPr>
            <w:r w:rsidRPr="00257DF7">
              <w:rPr>
                <w:sz w:val="19"/>
                <w:szCs w:val="19"/>
              </w:rPr>
              <w:t>Grass/leaves</w:t>
            </w:r>
          </w:p>
        </w:tc>
        <w:tc>
          <w:tcPr>
            <w:tcW w:w="1478" w:type="dxa"/>
            <w:tcBorders>
              <w:top w:val="nil"/>
              <w:left w:val="single" w:sz="4" w:space="0" w:color="auto"/>
              <w:bottom w:val="nil"/>
              <w:right w:val="nil"/>
            </w:tcBorders>
            <w:shd w:val="clear" w:color="auto" w:fill="auto"/>
            <w:noWrap/>
            <w:vAlign w:val="center"/>
            <w:hideMark/>
          </w:tcPr>
          <w:p w14:paraId="5C703A9C" w14:textId="77777777" w:rsidR="008A1E55" w:rsidRPr="00257DF7" w:rsidRDefault="008A1E55" w:rsidP="004F65CD">
            <w:pPr>
              <w:jc w:val="right"/>
              <w:rPr>
                <w:sz w:val="19"/>
                <w:szCs w:val="19"/>
              </w:rPr>
            </w:pPr>
            <w:r w:rsidRPr="00257DF7">
              <w:rPr>
                <w:sz w:val="19"/>
                <w:szCs w:val="19"/>
              </w:rPr>
              <w:t>1,130,136</w:t>
            </w:r>
          </w:p>
        </w:tc>
        <w:tc>
          <w:tcPr>
            <w:tcW w:w="1122" w:type="dxa"/>
            <w:tcBorders>
              <w:top w:val="nil"/>
              <w:left w:val="nil"/>
              <w:bottom w:val="nil"/>
              <w:right w:val="nil"/>
            </w:tcBorders>
            <w:shd w:val="clear" w:color="auto" w:fill="auto"/>
            <w:noWrap/>
            <w:vAlign w:val="center"/>
            <w:hideMark/>
          </w:tcPr>
          <w:p w14:paraId="588567C9" w14:textId="77777777" w:rsidR="008A1E55" w:rsidRPr="00257DF7" w:rsidRDefault="008A1E55" w:rsidP="004F65CD">
            <w:pPr>
              <w:jc w:val="right"/>
              <w:rPr>
                <w:sz w:val="19"/>
                <w:szCs w:val="19"/>
              </w:rPr>
            </w:pPr>
            <w:r w:rsidRPr="00257DF7">
              <w:rPr>
                <w:sz w:val="19"/>
                <w:szCs w:val="19"/>
              </w:rPr>
              <w:t>14.4</w:t>
            </w:r>
          </w:p>
        </w:tc>
        <w:tc>
          <w:tcPr>
            <w:tcW w:w="1478" w:type="dxa"/>
            <w:tcBorders>
              <w:top w:val="nil"/>
              <w:left w:val="nil"/>
              <w:bottom w:val="nil"/>
              <w:right w:val="nil"/>
            </w:tcBorders>
            <w:shd w:val="clear" w:color="auto" w:fill="auto"/>
            <w:noWrap/>
            <w:vAlign w:val="center"/>
            <w:hideMark/>
          </w:tcPr>
          <w:p w14:paraId="10EB6031" w14:textId="77777777" w:rsidR="008A1E55" w:rsidRPr="00257DF7" w:rsidRDefault="008A1E55" w:rsidP="004F65CD">
            <w:pPr>
              <w:jc w:val="right"/>
              <w:rPr>
                <w:sz w:val="19"/>
                <w:szCs w:val="19"/>
              </w:rPr>
            </w:pPr>
            <w:r w:rsidRPr="00257DF7">
              <w:rPr>
                <w:sz w:val="19"/>
                <w:szCs w:val="19"/>
              </w:rPr>
              <w:t>1,108,599</w:t>
            </w:r>
          </w:p>
        </w:tc>
        <w:tc>
          <w:tcPr>
            <w:tcW w:w="1122" w:type="dxa"/>
            <w:tcBorders>
              <w:top w:val="nil"/>
              <w:left w:val="nil"/>
              <w:bottom w:val="nil"/>
              <w:right w:val="nil"/>
            </w:tcBorders>
            <w:shd w:val="clear" w:color="auto" w:fill="auto"/>
            <w:noWrap/>
            <w:vAlign w:val="center"/>
            <w:hideMark/>
          </w:tcPr>
          <w:p w14:paraId="30D5E6EF" w14:textId="77777777" w:rsidR="008A1E55" w:rsidRPr="00257DF7" w:rsidRDefault="008A1E55" w:rsidP="004F65CD">
            <w:pPr>
              <w:jc w:val="right"/>
              <w:rPr>
                <w:sz w:val="19"/>
                <w:szCs w:val="19"/>
              </w:rPr>
            </w:pPr>
            <w:r w:rsidRPr="00257DF7">
              <w:rPr>
                <w:sz w:val="19"/>
                <w:szCs w:val="19"/>
              </w:rPr>
              <w:t>14.5</w:t>
            </w:r>
          </w:p>
        </w:tc>
        <w:tc>
          <w:tcPr>
            <w:tcW w:w="1470" w:type="dxa"/>
            <w:tcBorders>
              <w:top w:val="nil"/>
              <w:left w:val="nil"/>
              <w:bottom w:val="nil"/>
              <w:right w:val="nil"/>
            </w:tcBorders>
            <w:shd w:val="clear" w:color="auto" w:fill="auto"/>
            <w:noWrap/>
            <w:vAlign w:val="center"/>
            <w:hideMark/>
          </w:tcPr>
          <w:p w14:paraId="19091BF8" w14:textId="77777777" w:rsidR="008A1E55" w:rsidRPr="00257DF7" w:rsidRDefault="008A1E55" w:rsidP="004F65CD">
            <w:pPr>
              <w:jc w:val="right"/>
              <w:rPr>
                <w:sz w:val="19"/>
                <w:szCs w:val="19"/>
              </w:rPr>
            </w:pPr>
            <w:r w:rsidRPr="00257DF7">
              <w:rPr>
                <w:sz w:val="19"/>
                <w:szCs w:val="19"/>
              </w:rPr>
              <w:t>21,537</w:t>
            </w:r>
          </w:p>
        </w:tc>
        <w:tc>
          <w:tcPr>
            <w:tcW w:w="1350" w:type="dxa"/>
            <w:tcBorders>
              <w:top w:val="nil"/>
              <w:left w:val="nil"/>
              <w:bottom w:val="nil"/>
              <w:right w:val="nil"/>
            </w:tcBorders>
            <w:shd w:val="clear" w:color="auto" w:fill="auto"/>
            <w:noWrap/>
            <w:vAlign w:val="center"/>
            <w:hideMark/>
          </w:tcPr>
          <w:p w14:paraId="0D82B4F7" w14:textId="77777777" w:rsidR="008A1E55" w:rsidRPr="00257DF7" w:rsidRDefault="008A1E55" w:rsidP="004F65CD">
            <w:pPr>
              <w:jc w:val="right"/>
              <w:rPr>
                <w:sz w:val="19"/>
                <w:szCs w:val="19"/>
              </w:rPr>
            </w:pPr>
            <w:r w:rsidRPr="00257DF7">
              <w:rPr>
                <w:sz w:val="19"/>
                <w:szCs w:val="19"/>
              </w:rPr>
              <w:t>12.0</w:t>
            </w:r>
          </w:p>
        </w:tc>
      </w:tr>
      <w:tr w:rsidR="006B42D6" w:rsidRPr="00257DF7" w14:paraId="6752D436" w14:textId="77777777" w:rsidTr="00EA010E">
        <w:trPr>
          <w:trHeight w:val="340"/>
        </w:trPr>
        <w:tc>
          <w:tcPr>
            <w:tcW w:w="1300" w:type="dxa"/>
            <w:tcBorders>
              <w:top w:val="nil"/>
              <w:left w:val="nil"/>
              <w:bottom w:val="nil"/>
              <w:right w:val="single" w:sz="4" w:space="0" w:color="auto"/>
            </w:tcBorders>
            <w:shd w:val="clear" w:color="auto" w:fill="auto"/>
            <w:noWrap/>
            <w:vAlign w:val="center"/>
            <w:hideMark/>
          </w:tcPr>
          <w:p w14:paraId="44922943" w14:textId="77777777" w:rsidR="008A1E55" w:rsidRPr="00257DF7" w:rsidRDefault="008A1E55" w:rsidP="00257DF7">
            <w:pPr>
              <w:ind w:left="-113" w:firstLine="113"/>
              <w:rPr>
                <w:sz w:val="19"/>
                <w:szCs w:val="19"/>
              </w:rPr>
            </w:pPr>
            <w:r w:rsidRPr="00257DF7">
              <w:rPr>
                <w:sz w:val="19"/>
                <w:szCs w:val="19"/>
              </w:rPr>
              <w:t>Grass &amp; mud</w:t>
            </w:r>
          </w:p>
        </w:tc>
        <w:tc>
          <w:tcPr>
            <w:tcW w:w="1478" w:type="dxa"/>
            <w:tcBorders>
              <w:top w:val="nil"/>
              <w:left w:val="single" w:sz="4" w:space="0" w:color="auto"/>
              <w:bottom w:val="nil"/>
              <w:right w:val="nil"/>
            </w:tcBorders>
            <w:shd w:val="clear" w:color="auto" w:fill="auto"/>
            <w:noWrap/>
            <w:vAlign w:val="center"/>
            <w:hideMark/>
          </w:tcPr>
          <w:p w14:paraId="3645C12A" w14:textId="77777777" w:rsidR="008A1E55" w:rsidRPr="00257DF7" w:rsidRDefault="008A1E55" w:rsidP="004F65CD">
            <w:pPr>
              <w:jc w:val="right"/>
              <w:rPr>
                <w:sz w:val="19"/>
                <w:szCs w:val="19"/>
              </w:rPr>
            </w:pPr>
            <w:r w:rsidRPr="00257DF7">
              <w:rPr>
                <w:sz w:val="19"/>
                <w:szCs w:val="19"/>
              </w:rPr>
              <w:t>232,851</w:t>
            </w:r>
          </w:p>
        </w:tc>
        <w:tc>
          <w:tcPr>
            <w:tcW w:w="1122" w:type="dxa"/>
            <w:tcBorders>
              <w:top w:val="nil"/>
              <w:left w:val="nil"/>
              <w:bottom w:val="nil"/>
              <w:right w:val="nil"/>
            </w:tcBorders>
            <w:shd w:val="clear" w:color="auto" w:fill="auto"/>
            <w:noWrap/>
            <w:vAlign w:val="center"/>
            <w:hideMark/>
          </w:tcPr>
          <w:p w14:paraId="2D102939" w14:textId="77777777" w:rsidR="008A1E55" w:rsidRPr="00257DF7" w:rsidRDefault="008A1E55" w:rsidP="004F65CD">
            <w:pPr>
              <w:jc w:val="right"/>
              <w:rPr>
                <w:sz w:val="19"/>
                <w:szCs w:val="19"/>
              </w:rPr>
            </w:pPr>
            <w:r w:rsidRPr="00257DF7">
              <w:rPr>
                <w:sz w:val="19"/>
                <w:szCs w:val="19"/>
              </w:rPr>
              <w:t>3.0</w:t>
            </w:r>
          </w:p>
        </w:tc>
        <w:tc>
          <w:tcPr>
            <w:tcW w:w="1478" w:type="dxa"/>
            <w:tcBorders>
              <w:top w:val="nil"/>
              <w:left w:val="nil"/>
              <w:bottom w:val="nil"/>
              <w:right w:val="nil"/>
            </w:tcBorders>
            <w:shd w:val="clear" w:color="auto" w:fill="auto"/>
            <w:noWrap/>
            <w:vAlign w:val="center"/>
            <w:hideMark/>
          </w:tcPr>
          <w:p w14:paraId="600A35B0" w14:textId="77777777" w:rsidR="008A1E55" w:rsidRPr="00257DF7" w:rsidRDefault="008A1E55" w:rsidP="004F65CD">
            <w:pPr>
              <w:jc w:val="right"/>
              <w:rPr>
                <w:sz w:val="19"/>
                <w:szCs w:val="19"/>
              </w:rPr>
            </w:pPr>
            <w:r w:rsidRPr="00257DF7">
              <w:rPr>
                <w:sz w:val="19"/>
                <w:szCs w:val="19"/>
              </w:rPr>
              <w:t>232,550</w:t>
            </w:r>
          </w:p>
        </w:tc>
        <w:tc>
          <w:tcPr>
            <w:tcW w:w="1122" w:type="dxa"/>
            <w:tcBorders>
              <w:top w:val="nil"/>
              <w:left w:val="nil"/>
              <w:bottom w:val="nil"/>
              <w:right w:val="nil"/>
            </w:tcBorders>
            <w:shd w:val="clear" w:color="auto" w:fill="auto"/>
            <w:noWrap/>
            <w:vAlign w:val="center"/>
            <w:hideMark/>
          </w:tcPr>
          <w:p w14:paraId="02BA93CE" w14:textId="77777777" w:rsidR="008A1E55" w:rsidRPr="00257DF7" w:rsidRDefault="008A1E55" w:rsidP="004F65CD">
            <w:pPr>
              <w:jc w:val="right"/>
              <w:rPr>
                <w:sz w:val="19"/>
                <w:szCs w:val="19"/>
              </w:rPr>
            </w:pPr>
            <w:r w:rsidRPr="00257DF7">
              <w:rPr>
                <w:sz w:val="19"/>
                <w:szCs w:val="19"/>
              </w:rPr>
              <w:t>3.0</w:t>
            </w:r>
          </w:p>
        </w:tc>
        <w:tc>
          <w:tcPr>
            <w:tcW w:w="1470" w:type="dxa"/>
            <w:tcBorders>
              <w:top w:val="nil"/>
              <w:left w:val="nil"/>
              <w:bottom w:val="nil"/>
              <w:right w:val="nil"/>
            </w:tcBorders>
            <w:shd w:val="clear" w:color="auto" w:fill="auto"/>
            <w:noWrap/>
            <w:vAlign w:val="center"/>
            <w:hideMark/>
          </w:tcPr>
          <w:p w14:paraId="4AC50AC5" w14:textId="77777777" w:rsidR="008A1E55" w:rsidRPr="00257DF7" w:rsidRDefault="008A1E55" w:rsidP="004F65CD">
            <w:pPr>
              <w:jc w:val="right"/>
              <w:rPr>
                <w:sz w:val="19"/>
                <w:szCs w:val="19"/>
              </w:rPr>
            </w:pPr>
            <w:r w:rsidRPr="00257DF7">
              <w:rPr>
                <w:sz w:val="19"/>
                <w:szCs w:val="19"/>
              </w:rPr>
              <w:t>301</w:t>
            </w:r>
          </w:p>
        </w:tc>
        <w:tc>
          <w:tcPr>
            <w:tcW w:w="1350" w:type="dxa"/>
            <w:tcBorders>
              <w:top w:val="nil"/>
              <w:left w:val="nil"/>
              <w:bottom w:val="nil"/>
              <w:right w:val="nil"/>
            </w:tcBorders>
            <w:shd w:val="clear" w:color="auto" w:fill="auto"/>
            <w:noWrap/>
            <w:vAlign w:val="center"/>
            <w:hideMark/>
          </w:tcPr>
          <w:p w14:paraId="043B059C" w14:textId="77777777" w:rsidR="008A1E55" w:rsidRPr="00257DF7" w:rsidRDefault="008A1E55" w:rsidP="004F65CD">
            <w:pPr>
              <w:jc w:val="right"/>
              <w:rPr>
                <w:sz w:val="19"/>
                <w:szCs w:val="19"/>
              </w:rPr>
            </w:pPr>
            <w:r w:rsidRPr="00257DF7">
              <w:rPr>
                <w:sz w:val="19"/>
                <w:szCs w:val="19"/>
              </w:rPr>
              <w:t>0.2</w:t>
            </w:r>
          </w:p>
        </w:tc>
      </w:tr>
      <w:tr w:rsidR="006B42D6" w:rsidRPr="00257DF7" w14:paraId="651E55EB" w14:textId="77777777" w:rsidTr="00EA010E">
        <w:trPr>
          <w:trHeight w:val="340"/>
        </w:trPr>
        <w:tc>
          <w:tcPr>
            <w:tcW w:w="1300" w:type="dxa"/>
            <w:tcBorders>
              <w:top w:val="nil"/>
              <w:left w:val="nil"/>
              <w:bottom w:val="nil"/>
              <w:right w:val="single" w:sz="4" w:space="0" w:color="auto"/>
            </w:tcBorders>
            <w:shd w:val="clear" w:color="auto" w:fill="auto"/>
            <w:noWrap/>
            <w:vAlign w:val="center"/>
            <w:hideMark/>
          </w:tcPr>
          <w:p w14:paraId="6FA411B4" w14:textId="77777777" w:rsidR="008A1E55" w:rsidRPr="00257DF7" w:rsidRDefault="008A1E55" w:rsidP="00257DF7">
            <w:pPr>
              <w:ind w:left="-113" w:firstLine="113"/>
              <w:rPr>
                <w:sz w:val="19"/>
                <w:szCs w:val="19"/>
              </w:rPr>
            </w:pPr>
            <w:r w:rsidRPr="00257DF7">
              <w:rPr>
                <w:sz w:val="19"/>
                <w:szCs w:val="19"/>
              </w:rPr>
              <w:t xml:space="preserve">Other </w:t>
            </w:r>
          </w:p>
        </w:tc>
        <w:tc>
          <w:tcPr>
            <w:tcW w:w="1478" w:type="dxa"/>
            <w:tcBorders>
              <w:top w:val="nil"/>
              <w:left w:val="single" w:sz="4" w:space="0" w:color="auto"/>
              <w:bottom w:val="nil"/>
              <w:right w:val="nil"/>
            </w:tcBorders>
            <w:shd w:val="clear" w:color="auto" w:fill="auto"/>
            <w:noWrap/>
            <w:vAlign w:val="center"/>
            <w:hideMark/>
          </w:tcPr>
          <w:p w14:paraId="04480A6D" w14:textId="77777777" w:rsidR="008A1E55" w:rsidRPr="00257DF7" w:rsidRDefault="008A1E55" w:rsidP="004F65CD">
            <w:pPr>
              <w:jc w:val="right"/>
              <w:rPr>
                <w:sz w:val="19"/>
                <w:szCs w:val="19"/>
              </w:rPr>
            </w:pPr>
            <w:r w:rsidRPr="00257DF7">
              <w:rPr>
                <w:sz w:val="19"/>
                <w:szCs w:val="19"/>
              </w:rPr>
              <w:t>24,508</w:t>
            </w:r>
          </w:p>
        </w:tc>
        <w:tc>
          <w:tcPr>
            <w:tcW w:w="1122" w:type="dxa"/>
            <w:tcBorders>
              <w:top w:val="nil"/>
              <w:left w:val="nil"/>
              <w:bottom w:val="nil"/>
              <w:right w:val="nil"/>
            </w:tcBorders>
            <w:shd w:val="clear" w:color="auto" w:fill="auto"/>
            <w:noWrap/>
            <w:vAlign w:val="center"/>
            <w:hideMark/>
          </w:tcPr>
          <w:p w14:paraId="5AC49797" w14:textId="77777777" w:rsidR="008A1E55" w:rsidRPr="00257DF7" w:rsidRDefault="008A1E55" w:rsidP="004F65CD">
            <w:pPr>
              <w:jc w:val="right"/>
              <w:rPr>
                <w:sz w:val="19"/>
                <w:szCs w:val="19"/>
              </w:rPr>
            </w:pPr>
            <w:r w:rsidRPr="00257DF7">
              <w:rPr>
                <w:sz w:val="19"/>
                <w:szCs w:val="19"/>
              </w:rPr>
              <w:t>0.3</w:t>
            </w:r>
          </w:p>
        </w:tc>
        <w:tc>
          <w:tcPr>
            <w:tcW w:w="1478" w:type="dxa"/>
            <w:tcBorders>
              <w:top w:val="nil"/>
              <w:left w:val="nil"/>
              <w:bottom w:val="nil"/>
              <w:right w:val="nil"/>
            </w:tcBorders>
            <w:shd w:val="clear" w:color="auto" w:fill="auto"/>
            <w:noWrap/>
            <w:vAlign w:val="center"/>
            <w:hideMark/>
          </w:tcPr>
          <w:p w14:paraId="42F86B33" w14:textId="77777777" w:rsidR="008A1E55" w:rsidRPr="00257DF7" w:rsidRDefault="008A1E55" w:rsidP="004F65CD">
            <w:pPr>
              <w:jc w:val="right"/>
              <w:rPr>
                <w:sz w:val="19"/>
                <w:szCs w:val="19"/>
              </w:rPr>
            </w:pPr>
            <w:r w:rsidRPr="00257DF7">
              <w:rPr>
                <w:sz w:val="19"/>
                <w:szCs w:val="19"/>
              </w:rPr>
              <w:t>24,508</w:t>
            </w:r>
          </w:p>
        </w:tc>
        <w:tc>
          <w:tcPr>
            <w:tcW w:w="1122" w:type="dxa"/>
            <w:tcBorders>
              <w:top w:val="nil"/>
              <w:left w:val="nil"/>
              <w:bottom w:val="nil"/>
              <w:right w:val="nil"/>
            </w:tcBorders>
            <w:shd w:val="clear" w:color="auto" w:fill="auto"/>
            <w:noWrap/>
            <w:vAlign w:val="center"/>
            <w:hideMark/>
          </w:tcPr>
          <w:p w14:paraId="4F355A38" w14:textId="77777777" w:rsidR="008A1E55" w:rsidRPr="00257DF7" w:rsidRDefault="008A1E55" w:rsidP="004F65CD">
            <w:pPr>
              <w:jc w:val="right"/>
              <w:rPr>
                <w:sz w:val="19"/>
                <w:szCs w:val="19"/>
              </w:rPr>
            </w:pPr>
            <w:r w:rsidRPr="00257DF7">
              <w:rPr>
                <w:sz w:val="19"/>
                <w:szCs w:val="19"/>
              </w:rPr>
              <w:t>0.3</w:t>
            </w:r>
          </w:p>
        </w:tc>
        <w:tc>
          <w:tcPr>
            <w:tcW w:w="1470" w:type="dxa"/>
            <w:tcBorders>
              <w:top w:val="nil"/>
              <w:left w:val="nil"/>
              <w:bottom w:val="nil"/>
              <w:right w:val="nil"/>
            </w:tcBorders>
            <w:shd w:val="clear" w:color="auto" w:fill="auto"/>
            <w:noWrap/>
            <w:vAlign w:val="center"/>
            <w:hideMark/>
          </w:tcPr>
          <w:p w14:paraId="4CD2F640" w14:textId="77777777" w:rsidR="008A1E55" w:rsidRPr="00257DF7" w:rsidRDefault="008A1E55" w:rsidP="004F65CD">
            <w:pPr>
              <w:jc w:val="right"/>
              <w:rPr>
                <w:sz w:val="19"/>
                <w:szCs w:val="19"/>
              </w:rPr>
            </w:pPr>
            <w:r w:rsidRPr="00257DF7">
              <w:rPr>
                <w:sz w:val="19"/>
                <w:szCs w:val="19"/>
              </w:rPr>
              <w:t>-</w:t>
            </w:r>
          </w:p>
        </w:tc>
        <w:tc>
          <w:tcPr>
            <w:tcW w:w="1350" w:type="dxa"/>
            <w:tcBorders>
              <w:top w:val="nil"/>
              <w:left w:val="nil"/>
              <w:bottom w:val="nil"/>
              <w:right w:val="nil"/>
            </w:tcBorders>
            <w:shd w:val="clear" w:color="auto" w:fill="auto"/>
            <w:noWrap/>
            <w:vAlign w:val="center"/>
            <w:hideMark/>
          </w:tcPr>
          <w:p w14:paraId="543DE245" w14:textId="77777777" w:rsidR="008A1E55" w:rsidRPr="00257DF7" w:rsidRDefault="008A1E55" w:rsidP="004F65CD">
            <w:pPr>
              <w:jc w:val="right"/>
              <w:rPr>
                <w:sz w:val="19"/>
                <w:szCs w:val="19"/>
              </w:rPr>
            </w:pPr>
            <w:r w:rsidRPr="00257DF7">
              <w:rPr>
                <w:sz w:val="19"/>
                <w:szCs w:val="19"/>
              </w:rPr>
              <w:t>-</w:t>
            </w:r>
          </w:p>
        </w:tc>
      </w:tr>
      <w:tr w:rsidR="008A1E55" w:rsidRPr="004F65CD" w14:paraId="3BE43504" w14:textId="77777777" w:rsidTr="00257DF7">
        <w:trPr>
          <w:trHeight w:val="340"/>
        </w:trPr>
        <w:tc>
          <w:tcPr>
            <w:tcW w:w="1300"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57D304F1" w14:textId="77777777" w:rsidR="008A1E55" w:rsidRPr="004F65CD" w:rsidRDefault="008A1E55" w:rsidP="00E16CAE">
            <w:pPr>
              <w:rPr>
                <w:b/>
                <w:sz w:val="19"/>
                <w:szCs w:val="19"/>
              </w:rPr>
            </w:pPr>
            <w:r w:rsidRPr="004F65CD">
              <w:rPr>
                <w:b/>
                <w:sz w:val="19"/>
                <w:szCs w:val="19"/>
              </w:rPr>
              <w:t>Total</w:t>
            </w:r>
          </w:p>
        </w:tc>
        <w:tc>
          <w:tcPr>
            <w:tcW w:w="1478" w:type="dxa"/>
            <w:tcBorders>
              <w:top w:val="single" w:sz="4" w:space="0" w:color="auto"/>
              <w:left w:val="single" w:sz="4" w:space="0" w:color="auto"/>
              <w:bottom w:val="single" w:sz="4" w:space="0" w:color="auto"/>
              <w:right w:val="nil"/>
            </w:tcBorders>
            <w:shd w:val="clear" w:color="auto" w:fill="E2EFD9" w:themeFill="accent6" w:themeFillTint="33"/>
            <w:noWrap/>
            <w:vAlign w:val="center"/>
            <w:hideMark/>
          </w:tcPr>
          <w:p w14:paraId="557172F5" w14:textId="77777777" w:rsidR="008A1E55" w:rsidRPr="004F65CD" w:rsidRDefault="008A1E55" w:rsidP="004F65CD">
            <w:pPr>
              <w:jc w:val="right"/>
              <w:rPr>
                <w:b/>
                <w:sz w:val="19"/>
                <w:szCs w:val="19"/>
              </w:rPr>
            </w:pPr>
            <w:r w:rsidRPr="004F65CD">
              <w:rPr>
                <w:b/>
                <w:sz w:val="19"/>
                <w:szCs w:val="19"/>
              </w:rPr>
              <w:t>7,837,405</w:t>
            </w:r>
          </w:p>
        </w:tc>
        <w:tc>
          <w:tcPr>
            <w:tcW w:w="1122" w:type="dxa"/>
            <w:tcBorders>
              <w:top w:val="single" w:sz="4" w:space="0" w:color="auto"/>
              <w:left w:val="nil"/>
              <w:bottom w:val="single" w:sz="4" w:space="0" w:color="auto"/>
              <w:right w:val="nil"/>
            </w:tcBorders>
            <w:shd w:val="clear" w:color="auto" w:fill="E2EFD9" w:themeFill="accent6" w:themeFillTint="33"/>
            <w:noWrap/>
            <w:vAlign w:val="center"/>
            <w:hideMark/>
          </w:tcPr>
          <w:p w14:paraId="7C53FFEF" w14:textId="77777777" w:rsidR="008A1E55" w:rsidRPr="004F65CD" w:rsidRDefault="008A1E55" w:rsidP="004F65CD">
            <w:pPr>
              <w:jc w:val="right"/>
              <w:rPr>
                <w:b/>
                <w:sz w:val="19"/>
                <w:szCs w:val="19"/>
              </w:rPr>
            </w:pPr>
            <w:r w:rsidRPr="004F65CD">
              <w:rPr>
                <w:b/>
                <w:sz w:val="19"/>
                <w:szCs w:val="19"/>
              </w:rPr>
              <w:t>100.0</w:t>
            </w:r>
          </w:p>
        </w:tc>
        <w:tc>
          <w:tcPr>
            <w:tcW w:w="1478" w:type="dxa"/>
            <w:tcBorders>
              <w:top w:val="single" w:sz="4" w:space="0" w:color="auto"/>
              <w:left w:val="nil"/>
              <w:bottom w:val="single" w:sz="4" w:space="0" w:color="auto"/>
              <w:right w:val="nil"/>
            </w:tcBorders>
            <w:shd w:val="clear" w:color="auto" w:fill="E2EFD9" w:themeFill="accent6" w:themeFillTint="33"/>
            <w:noWrap/>
            <w:vAlign w:val="center"/>
            <w:hideMark/>
          </w:tcPr>
          <w:p w14:paraId="3D8E7959" w14:textId="77777777" w:rsidR="008A1E55" w:rsidRPr="004F65CD" w:rsidRDefault="008A1E55" w:rsidP="004F65CD">
            <w:pPr>
              <w:jc w:val="right"/>
              <w:rPr>
                <w:b/>
                <w:sz w:val="19"/>
                <w:szCs w:val="19"/>
              </w:rPr>
            </w:pPr>
            <w:r w:rsidRPr="004F65CD">
              <w:rPr>
                <w:b/>
                <w:sz w:val="19"/>
                <w:szCs w:val="19"/>
              </w:rPr>
              <w:t>7,657,185</w:t>
            </w:r>
          </w:p>
        </w:tc>
        <w:tc>
          <w:tcPr>
            <w:tcW w:w="1122" w:type="dxa"/>
            <w:tcBorders>
              <w:top w:val="single" w:sz="4" w:space="0" w:color="auto"/>
              <w:left w:val="nil"/>
              <w:bottom w:val="single" w:sz="4" w:space="0" w:color="auto"/>
              <w:right w:val="nil"/>
            </w:tcBorders>
            <w:shd w:val="clear" w:color="auto" w:fill="E2EFD9" w:themeFill="accent6" w:themeFillTint="33"/>
            <w:noWrap/>
            <w:vAlign w:val="center"/>
            <w:hideMark/>
          </w:tcPr>
          <w:p w14:paraId="1DD2192F" w14:textId="77777777" w:rsidR="008A1E55" w:rsidRPr="004F65CD" w:rsidRDefault="008A1E55" w:rsidP="004F65CD">
            <w:pPr>
              <w:jc w:val="right"/>
              <w:rPr>
                <w:b/>
                <w:sz w:val="19"/>
                <w:szCs w:val="19"/>
              </w:rPr>
            </w:pPr>
            <w:r w:rsidRPr="004F65CD">
              <w:rPr>
                <w:b/>
                <w:sz w:val="19"/>
                <w:szCs w:val="19"/>
              </w:rPr>
              <w:t>100.0</w:t>
            </w:r>
          </w:p>
        </w:tc>
        <w:tc>
          <w:tcPr>
            <w:tcW w:w="1470" w:type="dxa"/>
            <w:tcBorders>
              <w:top w:val="single" w:sz="4" w:space="0" w:color="auto"/>
              <w:left w:val="nil"/>
              <w:bottom w:val="single" w:sz="4" w:space="0" w:color="auto"/>
              <w:right w:val="nil"/>
            </w:tcBorders>
            <w:shd w:val="clear" w:color="auto" w:fill="E2EFD9" w:themeFill="accent6" w:themeFillTint="33"/>
            <w:noWrap/>
            <w:vAlign w:val="center"/>
            <w:hideMark/>
          </w:tcPr>
          <w:p w14:paraId="201CEF5A" w14:textId="77777777" w:rsidR="008A1E55" w:rsidRPr="004F65CD" w:rsidRDefault="008A1E55" w:rsidP="004F65CD">
            <w:pPr>
              <w:jc w:val="right"/>
              <w:rPr>
                <w:b/>
                <w:sz w:val="19"/>
                <w:szCs w:val="19"/>
              </w:rPr>
            </w:pPr>
            <w:r w:rsidRPr="004F65CD">
              <w:rPr>
                <w:b/>
                <w:sz w:val="19"/>
                <w:szCs w:val="19"/>
              </w:rPr>
              <w:t>180,220</w:t>
            </w:r>
          </w:p>
        </w:tc>
        <w:tc>
          <w:tcPr>
            <w:tcW w:w="1350" w:type="dxa"/>
            <w:tcBorders>
              <w:top w:val="single" w:sz="4" w:space="0" w:color="auto"/>
              <w:left w:val="nil"/>
              <w:bottom w:val="single" w:sz="4" w:space="0" w:color="auto"/>
              <w:right w:val="nil"/>
            </w:tcBorders>
            <w:shd w:val="clear" w:color="auto" w:fill="E2EFD9" w:themeFill="accent6" w:themeFillTint="33"/>
            <w:noWrap/>
            <w:vAlign w:val="center"/>
            <w:hideMark/>
          </w:tcPr>
          <w:p w14:paraId="111709EB" w14:textId="77777777" w:rsidR="008A1E55" w:rsidRPr="004F65CD" w:rsidRDefault="008A1E55" w:rsidP="004F65CD">
            <w:pPr>
              <w:jc w:val="right"/>
              <w:rPr>
                <w:b/>
                <w:sz w:val="19"/>
                <w:szCs w:val="19"/>
              </w:rPr>
            </w:pPr>
            <w:r w:rsidRPr="004F65CD">
              <w:rPr>
                <w:b/>
                <w:sz w:val="19"/>
                <w:szCs w:val="19"/>
              </w:rPr>
              <w:t>100.0</w:t>
            </w:r>
          </w:p>
        </w:tc>
      </w:tr>
    </w:tbl>
    <w:p w14:paraId="3CD2C095" w14:textId="77777777" w:rsidR="008A1E55" w:rsidRPr="006B42D6" w:rsidRDefault="008A1E55" w:rsidP="008A1E55"/>
    <w:p w14:paraId="7C32DDB5" w14:textId="4170EB91" w:rsidR="008A1E55" w:rsidRPr="006B42D6" w:rsidRDefault="008A1E55" w:rsidP="008A1E55">
      <w:r w:rsidRPr="006B42D6">
        <w:t xml:space="preserve">In </w:t>
      </w:r>
      <w:r w:rsidR="00EA1552">
        <w:t>Mainland Tanzania</w:t>
      </w:r>
      <w:r w:rsidRPr="006B42D6">
        <w:t xml:space="preserve">, out of 7,657,185 agricultural households, majority of households (6,246,398; 81.6 percent) used iron sheet for roofing, followed by those used grass/leaves (1,108,597; 14.5 percent) and grass and mud (232,550; 3.0 percent). Concrete was used by few households (8,843; 0.1 percent). Kagera region had the largest number of households reported to use iron sheet (433,905; 6.9 percent), followed by Dodoma region (411,904; 6.6 percent) and Dar es Salaam (397,931; 6.4 percent). Katavi region reported the least number of households using iron sheet (61,760; 1.0 percent) (Table </w:t>
      </w:r>
      <w:r w:rsidR="006C1D68" w:rsidRPr="006B42D6">
        <w:t>6</w:t>
      </w:r>
      <w:r w:rsidRPr="006B42D6">
        <w:t xml:space="preserve">.1 &amp; </w:t>
      </w:r>
      <w:r w:rsidR="006C1D68" w:rsidRPr="006B42D6">
        <w:t>6</w:t>
      </w:r>
      <w:r w:rsidRPr="006B42D6">
        <w:t>.2).</w:t>
      </w:r>
    </w:p>
    <w:p w14:paraId="467050D4" w14:textId="77777777" w:rsidR="008A1E55" w:rsidRPr="006B42D6" w:rsidRDefault="008A1E55" w:rsidP="007A3EC9">
      <w:pPr>
        <w:spacing w:line="240" w:lineRule="auto"/>
      </w:pPr>
    </w:p>
    <w:p w14:paraId="5DD9BA64" w14:textId="2BFFFE4D" w:rsidR="008A1E55" w:rsidRPr="006B42D6" w:rsidRDefault="008A1E55" w:rsidP="008A1E55">
      <w:r w:rsidRPr="006B42D6">
        <w:lastRenderedPageBreak/>
        <w:t xml:space="preserve">In Tanzania Zanzibar, majority of households (157,927; 87.6 percent) used iron sheet for roofing, followed by those used grass/leaves (21,537; 12.0 percent) and grass and mud (301; 0.2 percent). Tiles </w:t>
      </w:r>
      <w:r w:rsidR="00212E5F">
        <w:t>were</w:t>
      </w:r>
      <w:r w:rsidRPr="006B42D6">
        <w:t xml:space="preserve"> used by the least number of households (185; 0.1 percent). Kusini Pemba region had the largest number of households (50,545; 32.0 percent) reported to use iron sheet, followed by Mjini Magharibi region (33,106; 21.0 percent) and the least number of households was reported in Kusini Unguja (15,762; 10.0 percent) (Table </w:t>
      </w:r>
      <w:r w:rsidR="006C1D68" w:rsidRPr="006B42D6">
        <w:t>6</w:t>
      </w:r>
      <w:r w:rsidRPr="006B42D6">
        <w:t xml:space="preserve">.1 &amp; </w:t>
      </w:r>
      <w:r w:rsidR="006C1D68" w:rsidRPr="006B42D6">
        <w:t>6</w:t>
      </w:r>
      <w:r w:rsidRPr="006B42D6">
        <w:t>.2).</w:t>
      </w:r>
    </w:p>
    <w:p w14:paraId="04D08551" w14:textId="77777777" w:rsidR="008A1E55" w:rsidRPr="006B42D6" w:rsidRDefault="008A1E55" w:rsidP="007A3EC9">
      <w:pPr>
        <w:spacing w:line="240" w:lineRule="auto"/>
      </w:pPr>
    </w:p>
    <w:p w14:paraId="4E9738FC" w14:textId="3CDD8768" w:rsidR="008A1E55" w:rsidRPr="006B42D6" w:rsidRDefault="008A1E55" w:rsidP="008A1E55">
      <w:r w:rsidRPr="006B42D6">
        <w:t xml:space="preserve">Compared to 2007/08 agricultural census, there was an increase of households using iron sheet for roofing from 49.1 percent in 2007/08 to 81.7 percent in 2019/20 and a notable decrease of households using grass/leaves from 38.1 percent in 2007/08 to 14.4 percent in 2019/20 agricultural year. Similar pattern was </w:t>
      </w:r>
      <w:r w:rsidR="00212E5F">
        <w:t>observed</w:t>
      </w:r>
      <w:r w:rsidRPr="006B42D6">
        <w:t xml:space="preserve"> in households using grass and mud for roofing, the number has decreased from 10.6 percent in 2007/08 to 3.0 percent in 2019/20 agricultural year.</w:t>
      </w:r>
    </w:p>
    <w:p w14:paraId="1A71FD1B" w14:textId="0CE90D39" w:rsidR="009514C8" w:rsidRDefault="009514C8">
      <w:pPr>
        <w:spacing w:line="240" w:lineRule="auto"/>
        <w:contextualSpacing w:val="0"/>
        <w:jc w:val="left"/>
        <w:rPr>
          <w:sz w:val="18"/>
          <w:szCs w:val="18"/>
        </w:rPr>
      </w:pPr>
      <w:r>
        <w:rPr>
          <w:sz w:val="18"/>
          <w:szCs w:val="18"/>
        </w:rPr>
        <w:br w:type="page"/>
      </w:r>
    </w:p>
    <w:p w14:paraId="2207BB51" w14:textId="398E3174" w:rsidR="008A1E55" w:rsidRPr="006B42D6" w:rsidRDefault="008A1E55" w:rsidP="006B177C">
      <w:pPr>
        <w:pStyle w:val="Heading7"/>
      </w:pPr>
      <w:bookmarkStart w:id="856" w:name="_Toc82386237"/>
      <w:bookmarkStart w:id="857" w:name="OLE_LINK2"/>
      <w:r w:rsidRPr="006B42D6">
        <w:lastRenderedPageBreak/>
        <w:t xml:space="preserve">Table </w:t>
      </w:r>
      <w:r w:rsidR="006C1D68" w:rsidRPr="006B42D6">
        <w:t>6</w:t>
      </w:r>
      <w:r w:rsidRPr="006B42D6">
        <w:t>.2</w:t>
      </w:r>
      <w:r w:rsidR="005420E0">
        <w:t>:</w:t>
      </w:r>
      <w:r w:rsidR="007A288F">
        <w:tab/>
      </w:r>
      <w:r w:rsidRPr="006B42D6">
        <w:t>Percentage of Households reported Materials Used for Roof Construction by Region During 2019/20 Agricultural Year, Tanzania</w:t>
      </w:r>
      <w:bookmarkEnd w:id="856"/>
    </w:p>
    <w:tbl>
      <w:tblPr>
        <w:tblW w:w="9782" w:type="dxa"/>
        <w:tblLook w:val="04A0" w:firstRow="1" w:lastRow="0" w:firstColumn="1" w:lastColumn="0" w:noHBand="0" w:noVBand="1"/>
      </w:tblPr>
      <w:tblGrid>
        <w:gridCol w:w="1668"/>
        <w:gridCol w:w="1159"/>
        <w:gridCol w:w="1159"/>
        <w:gridCol w:w="1159"/>
        <w:gridCol w:w="1159"/>
        <w:gridCol w:w="1187"/>
        <w:gridCol w:w="1127"/>
        <w:gridCol w:w="1164"/>
      </w:tblGrid>
      <w:tr w:rsidR="006B42D6" w:rsidRPr="00212E5F" w14:paraId="61AF2087" w14:textId="77777777" w:rsidTr="004F65CD">
        <w:trPr>
          <w:trHeight w:val="20"/>
        </w:trPr>
        <w:tc>
          <w:tcPr>
            <w:tcW w:w="1668" w:type="dxa"/>
            <w:vMerge w:val="restart"/>
            <w:tcBorders>
              <w:top w:val="single" w:sz="4" w:space="0" w:color="auto"/>
              <w:left w:val="nil"/>
              <w:bottom w:val="single" w:sz="4" w:space="0" w:color="000000"/>
              <w:right w:val="nil"/>
            </w:tcBorders>
            <w:shd w:val="clear" w:color="auto" w:fill="E2EFD9" w:themeFill="accent6" w:themeFillTint="33"/>
            <w:vAlign w:val="center"/>
            <w:hideMark/>
          </w:tcPr>
          <w:bookmarkEnd w:id="857"/>
          <w:p w14:paraId="1DA9E958" w14:textId="77777777" w:rsidR="008A1E55" w:rsidRPr="00212E5F" w:rsidRDefault="008A1E55" w:rsidP="00E16CAE">
            <w:pPr>
              <w:rPr>
                <w:sz w:val="17"/>
                <w:szCs w:val="17"/>
              </w:rPr>
            </w:pPr>
            <w:r w:rsidRPr="00212E5F">
              <w:rPr>
                <w:sz w:val="17"/>
                <w:szCs w:val="17"/>
              </w:rPr>
              <w:t>Region</w:t>
            </w:r>
          </w:p>
        </w:tc>
        <w:tc>
          <w:tcPr>
            <w:tcW w:w="8114" w:type="dxa"/>
            <w:gridSpan w:val="7"/>
            <w:tcBorders>
              <w:top w:val="single" w:sz="4" w:space="0" w:color="auto"/>
              <w:left w:val="nil"/>
              <w:bottom w:val="nil"/>
              <w:right w:val="nil"/>
            </w:tcBorders>
            <w:shd w:val="clear" w:color="auto" w:fill="E2EFD9" w:themeFill="accent6" w:themeFillTint="33"/>
            <w:vAlign w:val="center"/>
            <w:hideMark/>
          </w:tcPr>
          <w:p w14:paraId="1A69A36C" w14:textId="77777777" w:rsidR="008A1E55" w:rsidRPr="00212E5F" w:rsidRDefault="008A1E55" w:rsidP="00E16CAE">
            <w:pPr>
              <w:jc w:val="center"/>
              <w:rPr>
                <w:sz w:val="17"/>
                <w:szCs w:val="17"/>
              </w:rPr>
            </w:pPr>
            <w:r w:rsidRPr="00212E5F">
              <w:rPr>
                <w:sz w:val="17"/>
                <w:szCs w:val="17"/>
              </w:rPr>
              <w:t>Roof Materials</w:t>
            </w:r>
          </w:p>
        </w:tc>
      </w:tr>
      <w:tr w:rsidR="006B42D6" w:rsidRPr="00212E5F" w14:paraId="0D97508C" w14:textId="77777777" w:rsidTr="004F65CD">
        <w:trPr>
          <w:trHeight w:val="20"/>
        </w:trPr>
        <w:tc>
          <w:tcPr>
            <w:tcW w:w="1668" w:type="dxa"/>
            <w:vMerge/>
            <w:tcBorders>
              <w:top w:val="single" w:sz="4" w:space="0" w:color="auto"/>
              <w:left w:val="nil"/>
              <w:bottom w:val="single" w:sz="4" w:space="0" w:color="000000"/>
              <w:right w:val="nil"/>
            </w:tcBorders>
            <w:shd w:val="clear" w:color="auto" w:fill="E2EFD9" w:themeFill="accent6" w:themeFillTint="33"/>
            <w:vAlign w:val="center"/>
            <w:hideMark/>
          </w:tcPr>
          <w:p w14:paraId="167FC106" w14:textId="77777777" w:rsidR="008A1E55" w:rsidRPr="00212E5F" w:rsidRDefault="008A1E55" w:rsidP="00E16CAE">
            <w:pPr>
              <w:rPr>
                <w:sz w:val="17"/>
                <w:szCs w:val="17"/>
              </w:rPr>
            </w:pPr>
          </w:p>
        </w:tc>
        <w:tc>
          <w:tcPr>
            <w:tcW w:w="1159" w:type="dxa"/>
            <w:tcBorders>
              <w:top w:val="single" w:sz="4" w:space="0" w:color="auto"/>
              <w:left w:val="nil"/>
              <w:bottom w:val="single" w:sz="4" w:space="0" w:color="auto"/>
              <w:right w:val="nil"/>
            </w:tcBorders>
            <w:shd w:val="clear" w:color="auto" w:fill="E2EFD9" w:themeFill="accent6" w:themeFillTint="33"/>
            <w:vAlign w:val="center"/>
            <w:hideMark/>
          </w:tcPr>
          <w:p w14:paraId="3E1CBED3" w14:textId="77777777" w:rsidR="008A1E55" w:rsidRPr="00212E5F" w:rsidRDefault="008A1E55" w:rsidP="00E16CAE">
            <w:pPr>
              <w:rPr>
                <w:sz w:val="17"/>
                <w:szCs w:val="17"/>
              </w:rPr>
            </w:pPr>
            <w:r w:rsidRPr="00212E5F">
              <w:rPr>
                <w:sz w:val="17"/>
                <w:szCs w:val="17"/>
              </w:rPr>
              <w:t>Iron Sheets</w:t>
            </w:r>
          </w:p>
        </w:tc>
        <w:tc>
          <w:tcPr>
            <w:tcW w:w="1159" w:type="dxa"/>
            <w:tcBorders>
              <w:top w:val="single" w:sz="4" w:space="0" w:color="auto"/>
              <w:left w:val="nil"/>
              <w:bottom w:val="single" w:sz="4" w:space="0" w:color="auto"/>
              <w:right w:val="nil"/>
            </w:tcBorders>
            <w:shd w:val="clear" w:color="auto" w:fill="E2EFD9" w:themeFill="accent6" w:themeFillTint="33"/>
            <w:vAlign w:val="center"/>
            <w:hideMark/>
          </w:tcPr>
          <w:p w14:paraId="6FD16E9B" w14:textId="77777777" w:rsidR="008A1E55" w:rsidRPr="00212E5F" w:rsidRDefault="008A1E55" w:rsidP="00E16CAE">
            <w:pPr>
              <w:rPr>
                <w:sz w:val="17"/>
                <w:szCs w:val="17"/>
              </w:rPr>
            </w:pPr>
            <w:r w:rsidRPr="00212E5F">
              <w:rPr>
                <w:sz w:val="17"/>
                <w:szCs w:val="17"/>
              </w:rPr>
              <w:t>Tiles</w:t>
            </w:r>
          </w:p>
        </w:tc>
        <w:tc>
          <w:tcPr>
            <w:tcW w:w="1159" w:type="dxa"/>
            <w:tcBorders>
              <w:top w:val="single" w:sz="4" w:space="0" w:color="auto"/>
              <w:left w:val="nil"/>
              <w:bottom w:val="single" w:sz="4" w:space="0" w:color="auto"/>
              <w:right w:val="nil"/>
            </w:tcBorders>
            <w:shd w:val="clear" w:color="auto" w:fill="E2EFD9" w:themeFill="accent6" w:themeFillTint="33"/>
            <w:vAlign w:val="center"/>
            <w:hideMark/>
          </w:tcPr>
          <w:p w14:paraId="508D14DD" w14:textId="77777777" w:rsidR="008A1E55" w:rsidRPr="00212E5F" w:rsidRDefault="008A1E55" w:rsidP="00E16CAE">
            <w:pPr>
              <w:rPr>
                <w:sz w:val="17"/>
                <w:szCs w:val="17"/>
              </w:rPr>
            </w:pPr>
            <w:r w:rsidRPr="00212E5F">
              <w:rPr>
                <w:sz w:val="17"/>
                <w:szCs w:val="17"/>
              </w:rPr>
              <w:t>Concrete</w:t>
            </w:r>
          </w:p>
        </w:tc>
        <w:tc>
          <w:tcPr>
            <w:tcW w:w="1159" w:type="dxa"/>
            <w:tcBorders>
              <w:top w:val="single" w:sz="4" w:space="0" w:color="auto"/>
              <w:left w:val="nil"/>
              <w:bottom w:val="single" w:sz="4" w:space="0" w:color="auto"/>
              <w:right w:val="nil"/>
            </w:tcBorders>
            <w:shd w:val="clear" w:color="auto" w:fill="E2EFD9" w:themeFill="accent6" w:themeFillTint="33"/>
            <w:vAlign w:val="center"/>
            <w:hideMark/>
          </w:tcPr>
          <w:p w14:paraId="4F663322" w14:textId="77777777" w:rsidR="008A1E55" w:rsidRPr="00212E5F" w:rsidRDefault="008A1E55" w:rsidP="00E16CAE">
            <w:pPr>
              <w:rPr>
                <w:sz w:val="17"/>
                <w:szCs w:val="17"/>
              </w:rPr>
            </w:pPr>
            <w:r w:rsidRPr="00212E5F">
              <w:rPr>
                <w:sz w:val="17"/>
                <w:szCs w:val="17"/>
              </w:rPr>
              <w:t>Asbestos</w:t>
            </w:r>
          </w:p>
        </w:tc>
        <w:tc>
          <w:tcPr>
            <w:tcW w:w="1187" w:type="dxa"/>
            <w:tcBorders>
              <w:top w:val="single" w:sz="4" w:space="0" w:color="auto"/>
              <w:left w:val="nil"/>
              <w:bottom w:val="single" w:sz="4" w:space="0" w:color="auto"/>
              <w:right w:val="nil"/>
            </w:tcBorders>
            <w:shd w:val="clear" w:color="auto" w:fill="E2EFD9" w:themeFill="accent6" w:themeFillTint="33"/>
            <w:vAlign w:val="center"/>
            <w:hideMark/>
          </w:tcPr>
          <w:p w14:paraId="1EC478D1" w14:textId="77777777" w:rsidR="008A1E55" w:rsidRPr="00212E5F" w:rsidRDefault="008A1E55" w:rsidP="00E16CAE">
            <w:pPr>
              <w:rPr>
                <w:sz w:val="17"/>
                <w:szCs w:val="17"/>
              </w:rPr>
            </w:pPr>
            <w:r w:rsidRPr="00212E5F">
              <w:rPr>
                <w:sz w:val="17"/>
                <w:szCs w:val="17"/>
              </w:rPr>
              <w:t>Grass/Leaves</w:t>
            </w:r>
          </w:p>
        </w:tc>
        <w:tc>
          <w:tcPr>
            <w:tcW w:w="1127" w:type="dxa"/>
            <w:tcBorders>
              <w:top w:val="single" w:sz="4" w:space="0" w:color="auto"/>
              <w:left w:val="nil"/>
              <w:bottom w:val="single" w:sz="4" w:space="0" w:color="auto"/>
              <w:right w:val="nil"/>
            </w:tcBorders>
            <w:shd w:val="clear" w:color="auto" w:fill="E2EFD9" w:themeFill="accent6" w:themeFillTint="33"/>
            <w:noWrap/>
            <w:vAlign w:val="center"/>
            <w:hideMark/>
          </w:tcPr>
          <w:p w14:paraId="725BBF1E" w14:textId="7E9CB5FF" w:rsidR="008A1E55" w:rsidRPr="00212E5F" w:rsidRDefault="008A1E55" w:rsidP="00E16CAE">
            <w:pPr>
              <w:rPr>
                <w:sz w:val="17"/>
                <w:szCs w:val="17"/>
              </w:rPr>
            </w:pPr>
            <w:r w:rsidRPr="00212E5F">
              <w:rPr>
                <w:sz w:val="17"/>
                <w:szCs w:val="17"/>
              </w:rPr>
              <w:t xml:space="preserve">Grass &amp; </w:t>
            </w:r>
            <w:r w:rsidR="004F65CD">
              <w:rPr>
                <w:sz w:val="17"/>
                <w:szCs w:val="17"/>
              </w:rPr>
              <w:t>m</w:t>
            </w:r>
            <w:r w:rsidRPr="00212E5F">
              <w:rPr>
                <w:sz w:val="17"/>
                <w:szCs w:val="17"/>
              </w:rPr>
              <w:t>ud</w:t>
            </w:r>
          </w:p>
        </w:tc>
        <w:tc>
          <w:tcPr>
            <w:tcW w:w="1164" w:type="dxa"/>
            <w:tcBorders>
              <w:top w:val="single" w:sz="4" w:space="0" w:color="auto"/>
              <w:left w:val="nil"/>
              <w:bottom w:val="single" w:sz="4" w:space="0" w:color="auto"/>
              <w:right w:val="nil"/>
            </w:tcBorders>
            <w:shd w:val="clear" w:color="auto" w:fill="E2EFD9" w:themeFill="accent6" w:themeFillTint="33"/>
            <w:vAlign w:val="center"/>
            <w:hideMark/>
          </w:tcPr>
          <w:p w14:paraId="44BFCFE5" w14:textId="77777777" w:rsidR="008A1E55" w:rsidRPr="00212E5F" w:rsidRDefault="008A1E55" w:rsidP="00E16CAE">
            <w:pPr>
              <w:rPr>
                <w:sz w:val="17"/>
                <w:szCs w:val="17"/>
              </w:rPr>
            </w:pPr>
            <w:r w:rsidRPr="00212E5F">
              <w:rPr>
                <w:sz w:val="17"/>
                <w:szCs w:val="17"/>
              </w:rPr>
              <w:t>Other</w:t>
            </w:r>
          </w:p>
        </w:tc>
      </w:tr>
      <w:tr w:rsidR="006B42D6" w:rsidRPr="00212E5F" w14:paraId="45E2633D" w14:textId="77777777" w:rsidTr="004F65CD">
        <w:trPr>
          <w:trHeight w:val="57"/>
        </w:trPr>
        <w:tc>
          <w:tcPr>
            <w:tcW w:w="1668" w:type="dxa"/>
            <w:tcBorders>
              <w:top w:val="nil"/>
              <w:left w:val="nil"/>
              <w:bottom w:val="nil"/>
              <w:right w:val="nil"/>
            </w:tcBorders>
            <w:shd w:val="clear" w:color="auto" w:fill="auto"/>
            <w:noWrap/>
            <w:vAlign w:val="center"/>
            <w:hideMark/>
          </w:tcPr>
          <w:p w14:paraId="00F9C1DC" w14:textId="77777777" w:rsidR="008A1E55" w:rsidRPr="00212E5F" w:rsidRDefault="008A1E55" w:rsidP="00E16CAE">
            <w:pPr>
              <w:rPr>
                <w:sz w:val="17"/>
                <w:szCs w:val="17"/>
              </w:rPr>
            </w:pPr>
            <w:r w:rsidRPr="00212E5F">
              <w:rPr>
                <w:sz w:val="17"/>
                <w:szCs w:val="17"/>
              </w:rPr>
              <w:t>Dodoma</w:t>
            </w:r>
          </w:p>
        </w:tc>
        <w:tc>
          <w:tcPr>
            <w:tcW w:w="1159" w:type="dxa"/>
            <w:tcBorders>
              <w:top w:val="nil"/>
              <w:left w:val="nil"/>
              <w:bottom w:val="nil"/>
              <w:right w:val="nil"/>
            </w:tcBorders>
            <w:shd w:val="clear" w:color="auto" w:fill="auto"/>
            <w:noWrap/>
            <w:vAlign w:val="bottom"/>
            <w:hideMark/>
          </w:tcPr>
          <w:p w14:paraId="088ED4D7" w14:textId="77777777" w:rsidR="008A1E55" w:rsidRPr="00212E5F" w:rsidRDefault="008A1E55" w:rsidP="00E16CAE">
            <w:pPr>
              <w:jc w:val="right"/>
              <w:rPr>
                <w:sz w:val="17"/>
                <w:szCs w:val="17"/>
              </w:rPr>
            </w:pPr>
            <w:r w:rsidRPr="00212E5F">
              <w:rPr>
                <w:sz w:val="17"/>
                <w:szCs w:val="17"/>
              </w:rPr>
              <w:t>6.6</w:t>
            </w:r>
          </w:p>
        </w:tc>
        <w:tc>
          <w:tcPr>
            <w:tcW w:w="1159" w:type="dxa"/>
            <w:tcBorders>
              <w:top w:val="nil"/>
              <w:left w:val="nil"/>
              <w:bottom w:val="nil"/>
              <w:right w:val="nil"/>
            </w:tcBorders>
            <w:shd w:val="clear" w:color="auto" w:fill="auto"/>
            <w:noWrap/>
            <w:vAlign w:val="bottom"/>
            <w:hideMark/>
          </w:tcPr>
          <w:p w14:paraId="6A87ED42" w14:textId="77777777" w:rsidR="008A1E55" w:rsidRPr="00212E5F" w:rsidRDefault="008A1E55" w:rsidP="00E16CAE">
            <w:pPr>
              <w:jc w:val="right"/>
              <w:rPr>
                <w:sz w:val="17"/>
                <w:szCs w:val="17"/>
              </w:rPr>
            </w:pPr>
            <w:r w:rsidRPr="00212E5F">
              <w:rPr>
                <w:sz w:val="17"/>
                <w:szCs w:val="17"/>
              </w:rPr>
              <w:t>5.8</w:t>
            </w:r>
          </w:p>
        </w:tc>
        <w:tc>
          <w:tcPr>
            <w:tcW w:w="1159" w:type="dxa"/>
            <w:tcBorders>
              <w:top w:val="nil"/>
              <w:left w:val="nil"/>
              <w:bottom w:val="nil"/>
              <w:right w:val="nil"/>
            </w:tcBorders>
            <w:shd w:val="clear" w:color="auto" w:fill="auto"/>
            <w:noWrap/>
            <w:vAlign w:val="bottom"/>
            <w:hideMark/>
          </w:tcPr>
          <w:p w14:paraId="7BA5E84F" w14:textId="77777777" w:rsidR="008A1E55" w:rsidRPr="00212E5F" w:rsidRDefault="008A1E55" w:rsidP="00E16CAE">
            <w:pPr>
              <w:jc w:val="right"/>
              <w:rPr>
                <w:sz w:val="17"/>
                <w:szCs w:val="17"/>
              </w:rPr>
            </w:pPr>
            <w:r w:rsidRPr="00212E5F">
              <w:rPr>
                <w:sz w:val="17"/>
                <w:szCs w:val="17"/>
              </w:rPr>
              <w:t>4.1</w:t>
            </w:r>
          </w:p>
        </w:tc>
        <w:tc>
          <w:tcPr>
            <w:tcW w:w="1159" w:type="dxa"/>
            <w:tcBorders>
              <w:top w:val="nil"/>
              <w:left w:val="nil"/>
              <w:bottom w:val="nil"/>
              <w:right w:val="nil"/>
            </w:tcBorders>
            <w:shd w:val="clear" w:color="auto" w:fill="auto"/>
            <w:noWrap/>
            <w:vAlign w:val="bottom"/>
            <w:hideMark/>
          </w:tcPr>
          <w:p w14:paraId="26CE1370" w14:textId="77777777" w:rsidR="008A1E55" w:rsidRPr="00212E5F" w:rsidRDefault="008A1E55" w:rsidP="00E16CAE">
            <w:pPr>
              <w:jc w:val="right"/>
              <w:rPr>
                <w:sz w:val="17"/>
                <w:szCs w:val="17"/>
              </w:rPr>
            </w:pPr>
            <w:r w:rsidRPr="00212E5F">
              <w:rPr>
                <w:sz w:val="17"/>
                <w:szCs w:val="17"/>
              </w:rPr>
              <w:t>2.5</w:t>
            </w:r>
          </w:p>
        </w:tc>
        <w:tc>
          <w:tcPr>
            <w:tcW w:w="1187" w:type="dxa"/>
            <w:tcBorders>
              <w:top w:val="nil"/>
              <w:left w:val="nil"/>
              <w:bottom w:val="nil"/>
              <w:right w:val="nil"/>
            </w:tcBorders>
            <w:shd w:val="clear" w:color="auto" w:fill="auto"/>
            <w:noWrap/>
            <w:vAlign w:val="bottom"/>
            <w:hideMark/>
          </w:tcPr>
          <w:p w14:paraId="4ACC8987" w14:textId="77777777" w:rsidR="008A1E55" w:rsidRPr="00212E5F" w:rsidRDefault="008A1E55" w:rsidP="00E16CAE">
            <w:pPr>
              <w:jc w:val="right"/>
              <w:rPr>
                <w:sz w:val="17"/>
                <w:szCs w:val="17"/>
              </w:rPr>
            </w:pPr>
            <w:r w:rsidRPr="00212E5F">
              <w:rPr>
                <w:sz w:val="17"/>
                <w:szCs w:val="17"/>
              </w:rPr>
              <w:t>2.6</w:t>
            </w:r>
          </w:p>
        </w:tc>
        <w:tc>
          <w:tcPr>
            <w:tcW w:w="1127" w:type="dxa"/>
            <w:tcBorders>
              <w:top w:val="nil"/>
              <w:left w:val="nil"/>
              <w:bottom w:val="nil"/>
              <w:right w:val="nil"/>
            </w:tcBorders>
            <w:shd w:val="clear" w:color="auto" w:fill="auto"/>
            <w:noWrap/>
            <w:vAlign w:val="bottom"/>
            <w:hideMark/>
          </w:tcPr>
          <w:p w14:paraId="23C4D1B8" w14:textId="77777777" w:rsidR="008A1E55" w:rsidRPr="00212E5F" w:rsidRDefault="008A1E55" w:rsidP="00E16CAE">
            <w:pPr>
              <w:jc w:val="right"/>
              <w:rPr>
                <w:sz w:val="17"/>
                <w:szCs w:val="17"/>
              </w:rPr>
            </w:pPr>
            <w:r w:rsidRPr="00212E5F">
              <w:rPr>
                <w:sz w:val="17"/>
                <w:szCs w:val="17"/>
              </w:rPr>
              <w:t>25.6</w:t>
            </w:r>
          </w:p>
        </w:tc>
        <w:tc>
          <w:tcPr>
            <w:tcW w:w="1164" w:type="dxa"/>
            <w:tcBorders>
              <w:top w:val="nil"/>
              <w:left w:val="nil"/>
              <w:bottom w:val="nil"/>
              <w:right w:val="nil"/>
            </w:tcBorders>
            <w:shd w:val="clear" w:color="auto" w:fill="auto"/>
            <w:noWrap/>
            <w:vAlign w:val="bottom"/>
            <w:hideMark/>
          </w:tcPr>
          <w:p w14:paraId="50AE32DF" w14:textId="77777777" w:rsidR="008A1E55" w:rsidRPr="00212E5F" w:rsidRDefault="008A1E55" w:rsidP="00E16CAE">
            <w:pPr>
              <w:jc w:val="right"/>
              <w:rPr>
                <w:sz w:val="17"/>
                <w:szCs w:val="17"/>
              </w:rPr>
            </w:pPr>
            <w:r w:rsidRPr="00212E5F">
              <w:rPr>
                <w:sz w:val="17"/>
                <w:szCs w:val="17"/>
              </w:rPr>
              <w:t>30.1</w:t>
            </w:r>
          </w:p>
        </w:tc>
      </w:tr>
      <w:tr w:rsidR="006B42D6" w:rsidRPr="00212E5F" w14:paraId="7D9567A2" w14:textId="77777777" w:rsidTr="004F65CD">
        <w:trPr>
          <w:trHeight w:val="57"/>
        </w:trPr>
        <w:tc>
          <w:tcPr>
            <w:tcW w:w="1668" w:type="dxa"/>
            <w:tcBorders>
              <w:top w:val="nil"/>
              <w:left w:val="nil"/>
              <w:bottom w:val="nil"/>
              <w:right w:val="nil"/>
            </w:tcBorders>
            <w:shd w:val="clear" w:color="auto" w:fill="auto"/>
            <w:noWrap/>
            <w:vAlign w:val="center"/>
            <w:hideMark/>
          </w:tcPr>
          <w:p w14:paraId="1905E6EA" w14:textId="77777777" w:rsidR="008A1E55" w:rsidRPr="00212E5F" w:rsidRDefault="008A1E55" w:rsidP="00E16CAE">
            <w:pPr>
              <w:rPr>
                <w:sz w:val="17"/>
                <w:szCs w:val="17"/>
              </w:rPr>
            </w:pPr>
            <w:r w:rsidRPr="00212E5F">
              <w:rPr>
                <w:sz w:val="17"/>
                <w:szCs w:val="17"/>
              </w:rPr>
              <w:t>Arusha</w:t>
            </w:r>
          </w:p>
        </w:tc>
        <w:tc>
          <w:tcPr>
            <w:tcW w:w="1159" w:type="dxa"/>
            <w:tcBorders>
              <w:top w:val="nil"/>
              <w:left w:val="nil"/>
              <w:bottom w:val="nil"/>
              <w:right w:val="nil"/>
            </w:tcBorders>
            <w:shd w:val="clear" w:color="auto" w:fill="auto"/>
            <w:noWrap/>
            <w:vAlign w:val="bottom"/>
            <w:hideMark/>
          </w:tcPr>
          <w:p w14:paraId="12786AFD" w14:textId="77777777" w:rsidR="008A1E55" w:rsidRPr="00212E5F" w:rsidRDefault="008A1E55" w:rsidP="00E16CAE">
            <w:pPr>
              <w:jc w:val="right"/>
              <w:rPr>
                <w:sz w:val="17"/>
                <w:szCs w:val="17"/>
              </w:rPr>
            </w:pPr>
            <w:r w:rsidRPr="00212E5F">
              <w:rPr>
                <w:sz w:val="17"/>
                <w:szCs w:val="17"/>
              </w:rPr>
              <w:t>2.4</w:t>
            </w:r>
          </w:p>
        </w:tc>
        <w:tc>
          <w:tcPr>
            <w:tcW w:w="1159" w:type="dxa"/>
            <w:tcBorders>
              <w:top w:val="nil"/>
              <w:left w:val="nil"/>
              <w:bottom w:val="nil"/>
              <w:right w:val="nil"/>
            </w:tcBorders>
            <w:shd w:val="clear" w:color="auto" w:fill="auto"/>
            <w:noWrap/>
            <w:vAlign w:val="bottom"/>
            <w:hideMark/>
          </w:tcPr>
          <w:p w14:paraId="30AD266E" w14:textId="77777777" w:rsidR="008A1E55" w:rsidRPr="00212E5F" w:rsidRDefault="008A1E55" w:rsidP="00E16CAE">
            <w:pPr>
              <w:jc w:val="right"/>
              <w:rPr>
                <w:sz w:val="17"/>
                <w:szCs w:val="17"/>
              </w:rPr>
            </w:pPr>
            <w:r w:rsidRPr="00212E5F">
              <w:rPr>
                <w:sz w:val="17"/>
                <w:szCs w:val="17"/>
              </w:rPr>
              <w:t>-</w:t>
            </w:r>
          </w:p>
        </w:tc>
        <w:tc>
          <w:tcPr>
            <w:tcW w:w="1159" w:type="dxa"/>
            <w:tcBorders>
              <w:top w:val="nil"/>
              <w:left w:val="nil"/>
              <w:bottom w:val="nil"/>
              <w:right w:val="nil"/>
            </w:tcBorders>
            <w:shd w:val="clear" w:color="auto" w:fill="auto"/>
            <w:noWrap/>
            <w:vAlign w:val="bottom"/>
            <w:hideMark/>
          </w:tcPr>
          <w:p w14:paraId="7DA81E7A" w14:textId="77777777" w:rsidR="008A1E55" w:rsidRPr="00212E5F" w:rsidRDefault="008A1E55" w:rsidP="00E16CAE">
            <w:pPr>
              <w:jc w:val="right"/>
              <w:rPr>
                <w:sz w:val="17"/>
                <w:szCs w:val="17"/>
              </w:rPr>
            </w:pPr>
            <w:r w:rsidRPr="00212E5F">
              <w:rPr>
                <w:sz w:val="17"/>
                <w:szCs w:val="17"/>
              </w:rPr>
              <w:t>-</w:t>
            </w:r>
          </w:p>
        </w:tc>
        <w:tc>
          <w:tcPr>
            <w:tcW w:w="1159" w:type="dxa"/>
            <w:tcBorders>
              <w:top w:val="nil"/>
              <w:left w:val="nil"/>
              <w:bottom w:val="nil"/>
              <w:right w:val="nil"/>
            </w:tcBorders>
            <w:shd w:val="clear" w:color="auto" w:fill="auto"/>
            <w:noWrap/>
            <w:vAlign w:val="bottom"/>
            <w:hideMark/>
          </w:tcPr>
          <w:p w14:paraId="35A62A54" w14:textId="77777777" w:rsidR="008A1E55" w:rsidRPr="00212E5F" w:rsidRDefault="008A1E55" w:rsidP="00E16CAE">
            <w:pPr>
              <w:jc w:val="right"/>
              <w:rPr>
                <w:sz w:val="17"/>
                <w:szCs w:val="17"/>
              </w:rPr>
            </w:pPr>
            <w:r w:rsidRPr="00212E5F">
              <w:rPr>
                <w:sz w:val="17"/>
                <w:szCs w:val="17"/>
              </w:rPr>
              <w:t>6.3</w:t>
            </w:r>
          </w:p>
        </w:tc>
        <w:tc>
          <w:tcPr>
            <w:tcW w:w="1187" w:type="dxa"/>
            <w:tcBorders>
              <w:top w:val="nil"/>
              <w:left w:val="nil"/>
              <w:bottom w:val="nil"/>
              <w:right w:val="nil"/>
            </w:tcBorders>
            <w:shd w:val="clear" w:color="auto" w:fill="auto"/>
            <w:noWrap/>
            <w:vAlign w:val="bottom"/>
            <w:hideMark/>
          </w:tcPr>
          <w:p w14:paraId="42B2A3AB" w14:textId="77777777" w:rsidR="008A1E55" w:rsidRPr="00212E5F" w:rsidRDefault="008A1E55" w:rsidP="00E16CAE">
            <w:pPr>
              <w:jc w:val="right"/>
              <w:rPr>
                <w:sz w:val="17"/>
                <w:szCs w:val="17"/>
              </w:rPr>
            </w:pPr>
            <w:r w:rsidRPr="00212E5F">
              <w:rPr>
                <w:sz w:val="17"/>
                <w:szCs w:val="17"/>
              </w:rPr>
              <w:t>4.2</w:t>
            </w:r>
          </w:p>
        </w:tc>
        <w:tc>
          <w:tcPr>
            <w:tcW w:w="1127" w:type="dxa"/>
            <w:tcBorders>
              <w:top w:val="nil"/>
              <w:left w:val="nil"/>
              <w:bottom w:val="nil"/>
              <w:right w:val="nil"/>
            </w:tcBorders>
            <w:shd w:val="clear" w:color="auto" w:fill="auto"/>
            <w:noWrap/>
            <w:vAlign w:val="bottom"/>
            <w:hideMark/>
          </w:tcPr>
          <w:p w14:paraId="5A3DB814" w14:textId="77777777" w:rsidR="008A1E55" w:rsidRPr="00212E5F" w:rsidRDefault="008A1E55" w:rsidP="00E16CAE">
            <w:pPr>
              <w:jc w:val="right"/>
              <w:rPr>
                <w:sz w:val="17"/>
                <w:szCs w:val="17"/>
              </w:rPr>
            </w:pPr>
            <w:r w:rsidRPr="00212E5F">
              <w:rPr>
                <w:sz w:val="17"/>
                <w:szCs w:val="17"/>
              </w:rPr>
              <w:t>9.0</w:t>
            </w:r>
          </w:p>
        </w:tc>
        <w:tc>
          <w:tcPr>
            <w:tcW w:w="1164" w:type="dxa"/>
            <w:tcBorders>
              <w:top w:val="nil"/>
              <w:left w:val="nil"/>
              <w:bottom w:val="nil"/>
              <w:right w:val="nil"/>
            </w:tcBorders>
            <w:shd w:val="clear" w:color="auto" w:fill="auto"/>
            <w:noWrap/>
            <w:vAlign w:val="bottom"/>
            <w:hideMark/>
          </w:tcPr>
          <w:p w14:paraId="0CCBB2C2" w14:textId="77777777" w:rsidR="008A1E55" w:rsidRPr="00212E5F" w:rsidRDefault="008A1E55" w:rsidP="00E16CAE">
            <w:pPr>
              <w:jc w:val="right"/>
              <w:rPr>
                <w:sz w:val="17"/>
                <w:szCs w:val="17"/>
              </w:rPr>
            </w:pPr>
            <w:r w:rsidRPr="00212E5F">
              <w:rPr>
                <w:sz w:val="17"/>
                <w:szCs w:val="17"/>
              </w:rPr>
              <w:t>-</w:t>
            </w:r>
          </w:p>
        </w:tc>
      </w:tr>
      <w:tr w:rsidR="006B42D6" w:rsidRPr="00212E5F" w14:paraId="13CCE2F9" w14:textId="77777777" w:rsidTr="004F65CD">
        <w:trPr>
          <w:trHeight w:val="57"/>
        </w:trPr>
        <w:tc>
          <w:tcPr>
            <w:tcW w:w="1668" w:type="dxa"/>
            <w:tcBorders>
              <w:top w:val="nil"/>
              <w:left w:val="nil"/>
              <w:bottom w:val="nil"/>
              <w:right w:val="nil"/>
            </w:tcBorders>
            <w:shd w:val="clear" w:color="auto" w:fill="auto"/>
            <w:noWrap/>
            <w:vAlign w:val="center"/>
            <w:hideMark/>
          </w:tcPr>
          <w:p w14:paraId="67B5A3AA" w14:textId="77777777" w:rsidR="008A1E55" w:rsidRPr="00212E5F" w:rsidRDefault="008A1E55" w:rsidP="00E16CAE">
            <w:pPr>
              <w:rPr>
                <w:sz w:val="17"/>
                <w:szCs w:val="17"/>
              </w:rPr>
            </w:pPr>
            <w:r w:rsidRPr="00212E5F">
              <w:rPr>
                <w:sz w:val="17"/>
                <w:szCs w:val="17"/>
              </w:rPr>
              <w:t>Kilimanjaro</w:t>
            </w:r>
          </w:p>
        </w:tc>
        <w:tc>
          <w:tcPr>
            <w:tcW w:w="1159" w:type="dxa"/>
            <w:tcBorders>
              <w:top w:val="nil"/>
              <w:left w:val="nil"/>
              <w:bottom w:val="nil"/>
              <w:right w:val="nil"/>
            </w:tcBorders>
            <w:shd w:val="clear" w:color="auto" w:fill="auto"/>
            <w:noWrap/>
            <w:vAlign w:val="bottom"/>
            <w:hideMark/>
          </w:tcPr>
          <w:p w14:paraId="3E54ADAA" w14:textId="77777777" w:rsidR="008A1E55" w:rsidRPr="00212E5F" w:rsidRDefault="008A1E55" w:rsidP="00E16CAE">
            <w:pPr>
              <w:jc w:val="right"/>
              <w:rPr>
                <w:sz w:val="17"/>
                <w:szCs w:val="17"/>
              </w:rPr>
            </w:pPr>
            <w:r w:rsidRPr="00212E5F">
              <w:rPr>
                <w:sz w:val="17"/>
                <w:szCs w:val="17"/>
              </w:rPr>
              <w:t>4.6</w:t>
            </w:r>
          </w:p>
        </w:tc>
        <w:tc>
          <w:tcPr>
            <w:tcW w:w="1159" w:type="dxa"/>
            <w:tcBorders>
              <w:top w:val="nil"/>
              <w:left w:val="nil"/>
              <w:bottom w:val="nil"/>
              <w:right w:val="nil"/>
            </w:tcBorders>
            <w:shd w:val="clear" w:color="auto" w:fill="auto"/>
            <w:noWrap/>
            <w:vAlign w:val="bottom"/>
            <w:hideMark/>
          </w:tcPr>
          <w:p w14:paraId="519724BB" w14:textId="77777777" w:rsidR="008A1E55" w:rsidRPr="00212E5F" w:rsidRDefault="008A1E55" w:rsidP="00E16CAE">
            <w:pPr>
              <w:jc w:val="right"/>
              <w:rPr>
                <w:sz w:val="17"/>
                <w:szCs w:val="17"/>
              </w:rPr>
            </w:pPr>
            <w:r w:rsidRPr="00212E5F">
              <w:rPr>
                <w:sz w:val="17"/>
                <w:szCs w:val="17"/>
              </w:rPr>
              <w:t>2.3</w:t>
            </w:r>
          </w:p>
        </w:tc>
        <w:tc>
          <w:tcPr>
            <w:tcW w:w="1159" w:type="dxa"/>
            <w:tcBorders>
              <w:top w:val="nil"/>
              <w:left w:val="nil"/>
              <w:bottom w:val="nil"/>
              <w:right w:val="nil"/>
            </w:tcBorders>
            <w:shd w:val="clear" w:color="auto" w:fill="auto"/>
            <w:noWrap/>
            <w:vAlign w:val="bottom"/>
            <w:hideMark/>
          </w:tcPr>
          <w:p w14:paraId="2E68E8D6" w14:textId="77777777" w:rsidR="008A1E55" w:rsidRPr="00212E5F" w:rsidRDefault="008A1E55" w:rsidP="00E16CAE">
            <w:pPr>
              <w:jc w:val="right"/>
              <w:rPr>
                <w:sz w:val="17"/>
                <w:szCs w:val="17"/>
              </w:rPr>
            </w:pPr>
            <w:r w:rsidRPr="00212E5F">
              <w:rPr>
                <w:sz w:val="17"/>
                <w:szCs w:val="17"/>
              </w:rPr>
              <w:t>-</w:t>
            </w:r>
          </w:p>
        </w:tc>
        <w:tc>
          <w:tcPr>
            <w:tcW w:w="1159" w:type="dxa"/>
            <w:tcBorders>
              <w:top w:val="nil"/>
              <w:left w:val="nil"/>
              <w:bottom w:val="nil"/>
              <w:right w:val="nil"/>
            </w:tcBorders>
            <w:shd w:val="clear" w:color="auto" w:fill="auto"/>
            <w:noWrap/>
            <w:vAlign w:val="bottom"/>
            <w:hideMark/>
          </w:tcPr>
          <w:p w14:paraId="09B9177D" w14:textId="77777777" w:rsidR="008A1E55" w:rsidRPr="00212E5F" w:rsidRDefault="008A1E55" w:rsidP="00E16CAE">
            <w:pPr>
              <w:jc w:val="right"/>
              <w:rPr>
                <w:sz w:val="17"/>
                <w:szCs w:val="17"/>
              </w:rPr>
            </w:pPr>
            <w:r w:rsidRPr="00212E5F">
              <w:rPr>
                <w:sz w:val="17"/>
                <w:szCs w:val="17"/>
              </w:rPr>
              <w:t>-</w:t>
            </w:r>
          </w:p>
        </w:tc>
        <w:tc>
          <w:tcPr>
            <w:tcW w:w="1187" w:type="dxa"/>
            <w:tcBorders>
              <w:top w:val="nil"/>
              <w:left w:val="nil"/>
              <w:bottom w:val="nil"/>
              <w:right w:val="nil"/>
            </w:tcBorders>
            <w:shd w:val="clear" w:color="auto" w:fill="auto"/>
            <w:noWrap/>
            <w:vAlign w:val="bottom"/>
            <w:hideMark/>
          </w:tcPr>
          <w:p w14:paraId="1CC6BD4D" w14:textId="77777777" w:rsidR="008A1E55" w:rsidRPr="00212E5F" w:rsidRDefault="008A1E55" w:rsidP="00E16CAE">
            <w:pPr>
              <w:jc w:val="right"/>
              <w:rPr>
                <w:sz w:val="17"/>
                <w:szCs w:val="17"/>
              </w:rPr>
            </w:pPr>
            <w:r w:rsidRPr="00212E5F">
              <w:rPr>
                <w:sz w:val="17"/>
                <w:szCs w:val="17"/>
              </w:rPr>
              <w:t>0.6</w:t>
            </w:r>
          </w:p>
        </w:tc>
        <w:tc>
          <w:tcPr>
            <w:tcW w:w="1127" w:type="dxa"/>
            <w:tcBorders>
              <w:top w:val="nil"/>
              <w:left w:val="nil"/>
              <w:bottom w:val="nil"/>
              <w:right w:val="nil"/>
            </w:tcBorders>
            <w:shd w:val="clear" w:color="auto" w:fill="auto"/>
            <w:noWrap/>
            <w:vAlign w:val="bottom"/>
            <w:hideMark/>
          </w:tcPr>
          <w:p w14:paraId="0F58F0DE" w14:textId="77777777" w:rsidR="008A1E55" w:rsidRPr="00212E5F" w:rsidRDefault="008A1E55" w:rsidP="00E16CAE">
            <w:pPr>
              <w:jc w:val="right"/>
              <w:rPr>
                <w:sz w:val="17"/>
                <w:szCs w:val="17"/>
              </w:rPr>
            </w:pPr>
            <w:r w:rsidRPr="00212E5F">
              <w:rPr>
                <w:sz w:val="17"/>
                <w:szCs w:val="17"/>
              </w:rPr>
              <w:t>0.4</w:t>
            </w:r>
          </w:p>
        </w:tc>
        <w:tc>
          <w:tcPr>
            <w:tcW w:w="1164" w:type="dxa"/>
            <w:tcBorders>
              <w:top w:val="nil"/>
              <w:left w:val="nil"/>
              <w:bottom w:val="nil"/>
              <w:right w:val="nil"/>
            </w:tcBorders>
            <w:shd w:val="clear" w:color="auto" w:fill="auto"/>
            <w:noWrap/>
            <w:vAlign w:val="bottom"/>
            <w:hideMark/>
          </w:tcPr>
          <w:p w14:paraId="621D2979" w14:textId="77777777" w:rsidR="008A1E55" w:rsidRPr="00212E5F" w:rsidRDefault="008A1E55" w:rsidP="00E16CAE">
            <w:pPr>
              <w:jc w:val="right"/>
              <w:rPr>
                <w:sz w:val="17"/>
                <w:szCs w:val="17"/>
              </w:rPr>
            </w:pPr>
            <w:r w:rsidRPr="00212E5F">
              <w:rPr>
                <w:sz w:val="17"/>
                <w:szCs w:val="17"/>
              </w:rPr>
              <w:t>1.6</w:t>
            </w:r>
          </w:p>
        </w:tc>
      </w:tr>
      <w:tr w:rsidR="006B42D6" w:rsidRPr="00212E5F" w14:paraId="2DB0AE25" w14:textId="77777777" w:rsidTr="004F65CD">
        <w:trPr>
          <w:trHeight w:val="57"/>
        </w:trPr>
        <w:tc>
          <w:tcPr>
            <w:tcW w:w="1668" w:type="dxa"/>
            <w:tcBorders>
              <w:top w:val="nil"/>
              <w:left w:val="nil"/>
              <w:bottom w:val="nil"/>
              <w:right w:val="nil"/>
            </w:tcBorders>
            <w:shd w:val="clear" w:color="auto" w:fill="auto"/>
            <w:noWrap/>
            <w:vAlign w:val="center"/>
            <w:hideMark/>
          </w:tcPr>
          <w:p w14:paraId="362C2008" w14:textId="77777777" w:rsidR="008A1E55" w:rsidRPr="00212E5F" w:rsidRDefault="008A1E55" w:rsidP="00E16CAE">
            <w:pPr>
              <w:rPr>
                <w:sz w:val="17"/>
                <w:szCs w:val="17"/>
              </w:rPr>
            </w:pPr>
            <w:r w:rsidRPr="00212E5F">
              <w:rPr>
                <w:sz w:val="17"/>
                <w:szCs w:val="17"/>
              </w:rPr>
              <w:t>Tanga</w:t>
            </w:r>
          </w:p>
        </w:tc>
        <w:tc>
          <w:tcPr>
            <w:tcW w:w="1159" w:type="dxa"/>
            <w:tcBorders>
              <w:top w:val="nil"/>
              <w:left w:val="nil"/>
              <w:bottom w:val="nil"/>
              <w:right w:val="nil"/>
            </w:tcBorders>
            <w:shd w:val="clear" w:color="auto" w:fill="auto"/>
            <w:noWrap/>
            <w:vAlign w:val="bottom"/>
            <w:hideMark/>
          </w:tcPr>
          <w:p w14:paraId="55D5A7E0" w14:textId="77777777" w:rsidR="008A1E55" w:rsidRPr="00212E5F" w:rsidRDefault="008A1E55" w:rsidP="00E16CAE">
            <w:pPr>
              <w:jc w:val="right"/>
              <w:rPr>
                <w:sz w:val="17"/>
                <w:szCs w:val="17"/>
              </w:rPr>
            </w:pPr>
            <w:r w:rsidRPr="00212E5F">
              <w:rPr>
                <w:sz w:val="17"/>
                <w:szCs w:val="17"/>
              </w:rPr>
              <w:t>4.5</w:t>
            </w:r>
          </w:p>
        </w:tc>
        <w:tc>
          <w:tcPr>
            <w:tcW w:w="1159" w:type="dxa"/>
            <w:tcBorders>
              <w:top w:val="nil"/>
              <w:left w:val="nil"/>
              <w:bottom w:val="nil"/>
              <w:right w:val="nil"/>
            </w:tcBorders>
            <w:shd w:val="clear" w:color="auto" w:fill="auto"/>
            <w:noWrap/>
            <w:vAlign w:val="bottom"/>
            <w:hideMark/>
          </w:tcPr>
          <w:p w14:paraId="00961578" w14:textId="77777777" w:rsidR="008A1E55" w:rsidRPr="00212E5F" w:rsidRDefault="008A1E55" w:rsidP="00E16CAE">
            <w:pPr>
              <w:jc w:val="right"/>
              <w:rPr>
                <w:sz w:val="17"/>
                <w:szCs w:val="17"/>
              </w:rPr>
            </w:pPr>
            <w:r w:rsidRPr="00212E5F">
              <w:rPr>
                <w:sz w:val="17"/>
                <w:szCs w:val="17"/>
              </w:rPr>
              <w:t>10.3</w:t>
            </w:r>
          </w:p>
        </w:tc>
        <w:tc>
          <w:tcPr>
            <w:tcW w:w="1159" w:type="dxa"/>
            <w:tcBorders>
              <w:top w:val="nil"/>
              <w:left w:val="nil"/>
              <w:bottom w:val="nil"/>
              <w:right w:val="nil"/>
            </w:tcBorders>
            <w:shd w:val="clear" w:color="auto" w:fill="auto"/>
            <w:noWrap/>
            <w:vAlign w:val="bottom"/>
            <w:hideMark/>
          </w:tcPr>
          <w:p w14:paraId="18C24EF3" w14:textId="77777777" w:rsidR="008A1E55" w:rsidRPr="00212E5F" w:rsidRDefault="008A1E55" w:rsidP="00E16CAE">
            <w:pPr>
              <w:jc w:val="right"/>
              <w:rPr>
                <w:sz w:val="17"/>
                <w:szCs w:val="17"/>
              </w:rPr>
            </w:pPr>
            <w:r w:rsidRPr="00212E5F">
              <w:rPr>
                <w:sz w:val="17"/>
                <w:szCs w:val="17"/>
              </w:rPr>
              <w:t>-</w:t>
            </w:r>
          </w:p>
        </w:tc>
        <w:tc>
          <w:tcPr>
            <w:tcW w:w="1159" w:type="dxa"/>
            <w:tcBorders>
              <w:top w:val="nil"/>
              <w:left w:val="nil"/>
              <w:bottom w:val="nil"/>
              <w:right w:val="nil"/>
            </w:tcBorders>
            <w:shd w:val="clear" w:color="auto" w:fill="auto"/>
            <w:noWrap/>
            <w:vAlign w:val="bottom"/>
            <w:hideMark/>
          </w:tcPr>
          <w:p w14:paraId="715B7626" w14:textId="77777777" w:rsidR="008A1E55" w:rsidRPr="00212E5F" w:rsidRDefault="008A1E55" w:rsidP="00E16CAE">
            <w:pPr>
              <w:jc w:val="right"/>
              <w:rPr>
                <w:sz w:val="17"/>
                <w:szCs w:val="17"/>
              </w:rPr>
            </w:pPr>
            <w:r w:rsidRPr="00212E5F">
              <w:rPr>
                <w:sz w:val="17"/>
                <w:szCs w:val="17"/>
              </w:rPr>
              <w:t>8.6</w:t>
            </w:r>
          </w:p>
        </w:tc>
        <w:tc>
          <w:tcPr>
            <w:tcW w:w="1187" w:type="dxa"/>
            <w:tcBorders>
              <w:top w:val="nil"/>
              <w:left w:val="nil"/>
              <w:bottom w:val="nil"/>
              <w:right w:val="nil"/>
            </w:tcBorders>
            <w:shd w:val="clear" w:color="auto" w:fill="auto"/>
            <w:noWrap/>
            <w:vAlign w:val="bottom"/>
            <w:hideMark/>
          </w:tcPr>
          <w:p w14:paraId="5CD08C26" w14:textId="77777777" w:rsidR="008A1E55" w:rsidRPr="00212E5F" w:rsidRDefault="008A1E55" w:rsidP="00E16CAE">
            <w:pPr>
              <w:jc w:val="right"/>
              <w:rPr>
                <w:sz w:val="17"/>
                <w:szCs w:val="17"/>
              </w:rPr>
            </w:pPr>
            <w:r w:rsidRPr="00212E5F">
              <w:rPr>
                <w:sz w:val="17"/>
                <w:szCs w:val="17"/>
              </w:rPr>
              <w:t>5.4</w:t>
            </w:r>
          </w:p>
        </w:tc>
        <w:tc>
          <w:tcPr>
            <w:tcW w:w="1127" w:type="dxa"/>
            <w:tcBorders>
              <w:top w:val="nil"/>
              <w:left w:val="nil"/>
              <w:bottom w:val="nil"/>
              <w:right w:val="nil"/>
            </w:tcBorders>
            <w:shd w:val="clear" w:color="auto" w:fill="auto"/>
            <w:noWrap/>
            <w:vAlign w:val="bottom"/>
            <w:hideMark/>
          </w:tcPr>
          <w:p w14:paraId="479D6519" w14:textId="77777777" w:rsidR="008A1E55" w:rsidRPr="00212E5F" w:rsidRDefault="008A1E55" w:rsidP="00E16CAE">
            <w:pPr>
              <w:jc w:val="right"/>
              <w:rPr>
                <w:sz w:val="17"/>
                <w:szCs w:val="17"/>
              </w:rPr>
            </w:pPr>
            <w:r w:rsidRPr="00212E5F">
              <w:rPr>
                <w:sz w:val="17"/>
                <w:szCs w:val="17"/>
              </w:rPr>
              <w:t>0.6</w:t>
            </w:r>
          </w:p>
        </w:tc>
        <w:tc>
          <w:tcPr>
            <w:tcW w:w="1164" w:type="dxa"/>
            <w:tcBorders>
              <w:top w:val="nil"/>
              <w:left w:val="nil"/>
              <w:bottom w:val="nil"/>
              <w:right w:val="nil"/>
            </w:tcBorders>
            <w:shd w:val="clear" w:color="auto" w:fill="auto"/>
            <w:noWrap/>
            <w:vAlign w:val="bottom"/>
            <w:hideMark/>
          </w:tcPr>
          <w:p w14:paraId="7C3C3B02" w14:textId="77777777" w:rsidR="008A1E55" w:rsidRPr="00212E5F" w:rsidRDefault="008A1E55" w:rsidP="00E16CAE">
            <w:pPr>
              <w:jc w:val="right"/>
              <w:rPr>
                <w:sz w:val="17"/>
                <w:szCs w:val="17"/>
              </w:rPr>
            </w:pPr>
            <w:r w:rsidRPr="00212E5F">
              <w:rPr>
                <w:sz w:val="17"/>
                <w:szCs w:val="17"/>
              </w:rPr>
              <w:t>22.3</w:t>
            </w:r>
          </w:p>
        </w:tc>
      </w:tr>
      <w:tr w:rsidR="006B42D6" w:rsidRPr="00212E5F" w14:paraId="3944D685" w14:textId="77777777" w:rsidTr="004F65CD">
        <w:trPr>
          <w:trHeight w:val="57"/>
        </w:trPr>
        <w:tc>
          <w:tcPr>
            <w:tcW w:w="1668" w:type="dxa"/>
            <w:tcBorders>
              <w:top w:val="nil"/>
              <w:left w:val="nil"/>
              <w:bottom w:val="nil"/>
              <w:right w:val="nil"/>
            </w:tcBorders>
            <w:shd w:val="clear" w:color="auto" w:fill="auto"/>
            <w:noWrap/>
            <w:vAlign w:val="center"/>
            <w:hideMark/>
          </w:tcPr>
          <w:p w14:paraId="6E158300" w14:textId="77777777" w:rsidR="008A1E55" w:rsidRPr="00212E5F" w:rsidRDefault="008A1E55" w:rsidP="00E16CAE">
            <w:pPr>
              <w:rPr>
                <w:sz w:val="17"/>
                <w:szCs w:val="17"/>
              </w:rPr>
            </w:pPr>
            <w:r w:rsidRPr="00212E5F">
              <w:rPr>
                <w:sz w:val="17"/>
                <w:szCs w:val="17"/>
              </w:rPr>
              <w:t>Morogoro</w:t>
            </w:r>
          </w:p>
        </w:tc>
        <w:tc>
          <w:tcPr>
            <w:tcW w:w="1159" w:type="dxa"/>
            <w:tcBorders>
              <w:top w:val="nil"/>
              <w:left w:val="nil"/>
              <w:bottom w:val="nil"/>
              <w:right w:val="nil"/>
            </w:tcBorders>
            <w:shd w:val="clear" w:color="auto" w:fill="auto"/>
            <w:noWrap/>
            <w:vAlign w:val="bottom"/>
            <w:hideMark/>
          </w:tcPr>
          <w:p w14:paraId="4A4F94BB" w14:textId="77777777" w:rsidR="008A1E55" w:rsidRPr="00212E5F" w:rsidRDefault="008A1E55" w:rsidP="00E16CAE">
            <w:pPr>
              <w:jc w:val="right"/>
              <w:rPr>
                <w:sz w:val="17"/>
                <w:szCs w:val="17"/>
              </w:rPr>
            </w:pPr>
            <w:r w:rsidRPr="00212E5F">
              <w:rPr>
                <w:sz w:val="17"/>
                <w:szCs w:val="17"/>
              </w:rPr>
              <w:t>5.4</w:t>
            </w:r>
          </w:p>
        </w:tc>
        <w:tc>
          <w:tcPr>
            <w:tcW w:w="1159" w:type="dxa"/>
            <w:tcBorders>
              <w:top w:val="nil"/>
              <w:left w:val="nil"/>
              <w:bottom w:val="nil"/>
              <w:right w:val="nil"/>
            </w:tcBorders>
            <w:shd w:val="clear" w:color="auto" w:fill="auto"/>
            <w:noWrap/>
            <w:vAlign w:val="bottom"/>
            <w:hideMark/>
          </w:tcPr>
          <w:p w14:paraId="6A099BFA" w14:textId="77777777" w:rsidR="008A1E55" w:rsidRPr="00212E5F" w:rsidRDefault="008A1E55" w:rsidP="00E16CAE">
            <w:pPr>
              <w:jc w:val="right"/>
              <w:rPr>
                <w:sz w:val="17"/>
                <w:szCs w:val="17"/>
              </w:rPr>
            </w:pPr>
            <w:r w:rsidRPr="00212E5F">
              <w:rPr>
                <w:sz w:val="17"/>
                <w:szCs w:val="17"/>
              </w:rPr>
              <w:t>3.1</w:t>
            </w:r>
          </w:p>
        </w:tc>
        <w:tc>
          <w:tcPr>
            <w:tcW w:w="1159" w:type="dxa"/>
            <w:tcBorders>
              <w:top w:val="nil"/>
              <w:left w:val="nil"/>
              <w:bottom w:val="nil"/>
              <w:right w:val="nil"/>
            </w:tcBorders>
            <w:shd w:val="clear" w:color="auto" w:fill="auto"/>
            <w:noWrap/>
            <w:vAlign w:val="bottom"/>
            <w:hideMark/>
          </w:tcPr>
          <w:p w14:paraId="0DB1C20E" w14:textId="77777777" w:rsidR="008A1E55" w:rsidRPr="00212E5F" w:rsidRDefault="008A1E55" w:rsidP="00E16CAE">
            <w:pPr>
              <w:jc w:val="right"/>
              <w:rPr>
                <w:sz w:val="17"/>
                <w:szCs w:val="17"/>
              </w:rPr>
            </w:pPr>
            <w:r w:rsidRPr="00212E5F">
              <w:rPr>
                <w:sz w:val="17"/>
                <w:szCs w:val="17"/>
              </w:rPr>
              <w:t>-</w:t>
            </w:r>
          </w:p>
        </w:tc>
        <w:tc>
          <w:tcPr>
            <w:tcW w:w="1159" w:type="dxa"/>
            <w:tcBorders>
              <w:top w:val="nil"/>
              <w:left w:val="nil"/>
              <w:bottom w:val="nil"/>
              <w:right w:val="nil"/>
            </w:tcBorders>
            <w:shd w:val="clear" w:color="auto" w:fill="auto"/>
            <w:noWrap/>
            <w:vAlign w:val="bottom"/>
            <w:hideMark/>
          </w:tcPr>
          <w:p w14:paraId="776E4CB4" w14:textId="77777777" w:rsidR="008A1E55" w:rsidRPr="00212E5F" w:rsidRDefault="008A1E55" w:rsidP="00E16CAE">
            <w:pPr>
              <w:jc w:val="right"/>
              <w:rPr>
                <w:sz w:val="17"/>
                <w:szCs w:val="17"/>
              </w:rPr>
            </w:pPr>
            <w:r w:rsidRPr="00212E5F">
              <w:rPr>
                <w:sz w:val="17"/>
                <w:szCs w:val="17"/>
              </w:rPr>
              <w:t>15.7</w:t>
            </w:r>
          </w:p>
        </w:tc>
        <w:tc>
          <w:tcPr>
            <w:tcW w:w="1187" w:type="dxa"/>
            <w:tcBorders>
              <w:top w:val="nil"/>
              <w:left w:val="nil"/>
              <w:bottom w:val="nil"/>
              <w:right w:val="nil"/>
            </w:tcBorders>
            <w:shd w:val="clear" w:color="auto" w:fill="auto"/>
            <w:noWrap/>
            <w:vAlign w:val="bottom"/>
            <w:hideMark/>
          </w:tcPr>
          <w:p w14:paraId="5D818961" w14:textId="77777777" w:rsidR="008A1E55" w:rsidRPr="00212E5F" w:rsidRDefault="008A1E55" w:rsidP="00E16CAE">
            <w:pPr>
              <w:jc w:val="right"/>
              <w:rPr>
                <w:sz w:val="17"/>
                <w:szCs w:val="17"/>
              </w:rPr>
            </w:pPr>
            <w:r w:rsidRPr="00212E5F">
              <w:rPr>
                <w:sz w:val="17"/>
                <w:szCs w:val="17"/>
              </w:rPr>
              <w:t>6.1</w:t>
            </w:r>
          </w:p>
        </w:tc>
        <w:tc>
          <w:tcPr>
            <w:tcW w:w="1127" w:type="dxa"/>
            <w:tcBorders>
              <w:top w:val="nil"/>
              <w:left w:val="nil"/>
              <w:bottom w:val="nil"/>
              <w:right w:val="nil"/>
            </w:tcBorders>
            <w:shd w:val="clear" w:color="auto" w:fill="auto"/>
            <w:noWrap/>
            <w:vAlign w:val="bottom"/>
            <w:hideMark/>
          </w:tcPr>
          <w:p w14:paraId="4D802EF8" w14:textId="77777777" w:rsidR="008A1E55" w:rsidRPr="00212E5F" w:rsidRDefault="008A1E55" w:rsidP="00E16CAE">
            <w:pPr>
              <w:jc w:val="right"/>
              <w:rPr>
                <w:sz w:val="17"/>
                <w:szCs w:val="17"/>
              </w:rPr>
            </w:pPr>
            <w:r w:rsidRPr="00212E5F">
              <w:rPr>
                <w:sz w:val="17"/>
                <w:szCs w:val="17"/>
              </w:rPr>
              <w:t>2.5</w:t>
            </w:r>
          </w:p>
        </w:tc>
        <w:tc>
          <w:tcPr>
            <w:tcW w:w="1164" w:type="dxa"/>
            <w:tcBorders>
              <w:top w:val="nil"/>
              <w:left w:val="nil"/>
              <w:bottom w:val="nil"/>
              <w:right w:val="nil"/>
            </w:tcBorders>
            <w:shd w:val="clear" w:color="auto" w:fill="auto"/>
            <w:noWrap/>
            <w:vAlign w:val="bottom"/>
            <w:hideMark/>
          </w:tcPr>
          <w:p w14:paraId="4996CD0A" w14:textId="77777777" w:rsidR="008A1E55" w:rsidRPr="00212E5F" w:rsidRDefault="008A1E55" w:rsidP="00E16CAE">
            <w:pPr>
              <w:jc w:val="right"/>
              <w:rPr>
                <w:sz w:val="17"/>
                <w:szCs w:val="17"/>
              </w:rPr>
            </w:pPr>
            <w:r w:rsidRPr="00212E5F">
              <w:rPr>
                <w:sz w:val="17"/>
                <w:szCs w:val="17"/>
              </w:rPr>
              <w:t>2.2</w:t>
            </w:r>
          </w:p>
        </w:tc>
      </w:tr>
      <w:tr w:rsidR="006B42D6" w:rsidRPr="00212E5F" w14:paraId="57477D52" w14:textId="77777777" w:rsidTr="004F65CD">
        <w:trPr>
          <w:trHeight w:val="57"/>
        </w:trPr>
        <w:tc>
          <w:tcPr>
            <w:tcW w:w="1668" w:type="dxa"/>
            <w:tcBorders>
              <w:top w:val="nil"/>
              <w:left w:val="nil"/>
              <w:bottom w:val="nil"/>
              <w:right w:val="nil"/>
            </w:tcBorders>
            <w:shd w:val="clear" w:color="auto" w:fill="auto"/>
            <w:noWrap/>
            <w:vAlign w:val="center"/>
            <w:hideMark/>
          </w:tcPr>
          <w:p w14:paraId="20E676A6" w14:textId="77777777" w:rsidR="008A1E55" w:rsidRPr="00212E5F" w:rsidRDefault="008A1E55" w:rsidP="00E16CAE">
            <w:pPr>
              <w:rPr>
                <w:sz w:val="17"/>
                <w:szCs w:val="17"/>
              </w:rPr>
            </w:pPr>
            <w:r w:rsidRPr="00212E5F">
              <w:rPr>
                <w:sz w:val="17"/>
                <w:szCs w:val="17"/>
              </w:rPr>
              <w:t>Pwani</w:t>
            </w:r>
          </w:p>
        </w:tc>
        <w:tc>
          <w:tcPr>
            <w:tcW w:w="1159" w:type="dxa"/>
            <w:tcBorders>
              <w:top w:val="nil"/>
              <w:left w:val="nil"/>
              <w:bottom w:val="nil"/>
              <w:right w:val="nil"/>
            </w:tcBorders>
            <w:shd w:val="clear" w:color="auto" w:fill="auto"/>
            <w:noWrap/>
            <w:vAlign w:val="bottom"/>
            <w:hideMark/>
          </w:tcPr>
          <w:p w14:paraId="446278F9" w14:textId="77777777" w:rsidR="008A1E55" w:rsidRPr="00212E5F" w:rsidRDefault="008A1E55" w:rsidP="00E16CAE">
            <w:pPr>
              <w:jc w:val="right"/>
              <w:rPr>
                <w:sz w:val="17"/>
                <w:szCs w:val="17"/>
              </w:rPr>
            </w:pPr>
            <w:r w:rsidRPr="00212E5F">
              <w:rPr>
                <w:sz w:val="17"/>
                <w:szCs w:val="17"/>
              </w:rPr>
              <w:t>2.7</w:t>
            </w:r>
          </w:p>
        </w:tc>
        <w:tc>
          <w:tcPr>
            <w:tcW w:w="1159" w:type="dxa"/>
            <w:tcBorders>
              <w:top w:val="nil"/>
              <w:left w:val="nil"/>
              <w:bottom w:val="nil"/>
              <w:right w:val="nil"/>
            </w:tcBorders>
            <w:shd w:val="clear" w:color="auto" w:fill="auto"/>
            <w:noWrap/>
            <w:vAlign w:val="bottom"/>
            <w:hideMark/>
          </w:tcPr>
          <w:p w14:paraId="10C7CAEA" w14:textId="77777777" w:rsidR="008A1E55" w:rsidRPr="00212E5F" w:rsidRDefault="008A1E55" w:rsidP="00E16CAE">
            <w:pPr>
              <w:jc w:val="right"/>
              <w:rPr>
                <w:sz w:val="17"/>
                <w:szCs w:val="17"/>
              </w:rPr>
            </w:pPr>
            <w:r w:rsidRPr="00212E5F">
              <w:rPr>
                <w:sz w:val="17"/>
                <w:szCs w:val="17"/>
              </w:rPr>
              <w:t>2.9</w:t>
            </w:r>
          </w:p>
        </w:tc>
        <w:tc>
          <w:tcPr>
            <w:tcW w:w="1159" w:type="dxa"/>
            <w:tcBorders>
              <w:top w:val="nil"/>
              <w:left w:val="nil"/>
              <w:bottom w:val="nil"/>
              <w:right w:val="nil"/>
            </w:tcBorders>
            <w:shd w:val="clear" w:color="auto" w:fill="auto"/>
            <w:noWrap/>
            <w:vAlign w:val="bottom"/>
            <w:hideMark/>
          </w:tcPr>
          <w:p w14:paraId="5BC04068" w14:textId="77777777" w:rsidR="008A1E55" w:rsidRPr="00212E5F" w:rsidRDefault="008A1E55" w:rsidP="00E16CAE">
            <w:pPr>
              <w:jc w:val="right"/>
              <w:rPr>
                <w:sz w:val="17"/>
                <w:szCs w:val="17"/>
              </w:rPr>
            </w:pPr>
            <w:r w:rsidRPr="00212E5F">
              <w:rPr>
                <w:sz w:val="17"/>
                <w:szCs w:val="17"/>
              </w:rPr>
              <w:t>-</w:t>
            </w:r>
          </w:p>
        </w:tc>
        <w:tc>
          <w:tcPr>
            <w:tcW w:w="1159" w:type="dxa"/>
            <w:tcBorders>
              <w:top w:val="nil"/>
              <w:left w:val="nil"/>
              <w:bottom w:val="nil"/>
              <w:right w:val="nil"/>
            </w:tcBorders>
            <w:shd w:val="clear" w:color="auto" w:fill="auto"/>
            <w:noWrap/>
            <w:vAlign w:val="bottom"/>
            <w:hideMark/>
          </w:tcPr>
          <w:p w14:paraId="7973C7F8" w14:textId="77777777" w:rsidR="008A1E55" w:rsidRPr="00212E5F" w:rsidRDefault="008A1E55" w:rsidP="00E16CAE">
            <w:pPr>
              <w:jc w:val="right"/>
              <w:rPr>
                <w:sz w:val="17"/>
                <w:szCs w:val="17"/>
              </w:rPr>
            </w:pPr>
            <w:r w:rsidRPr="00212E5F">
              <w:rPr>
                <w:sz w:val="17"/>
                <w:szCs w:val="17"/>
              </w:rPr>
              <w:t>-</w:t>
            </w:r>
          </w:p>
        </w:tc>
        <w:tc>
          <w:tcPr>
            <w:tcW w:w="1187" w:type="dxa"/>
            <w:tcBorders>
              <w:top w:val="nil"/>
              <w:left w:val="nil"/>
              <w:bottom w:val="nil"/>
              <w:right w:val="nil"/>
            </w:tcBorders>
            <w:shd w:val="clear" w:color="auto" w:fill="auto"/>
            <w:noWrap/>
            <w:vAlign w:val="bottom"/>
            <w:hideMark/>
          </w:tcPr>
          <w:p w14:paraId="69CB6E67" w14:textId="77777777" w:rsidR="008A1E55" w:rsidRPr="00212E5F" w:rsidRDefault="008A1E55" w:rsidP="00E16CAE">
            <w:pPr>
              <w:jc w:val="right"/>
              <w:rPr>
                <w:sz w:val="17"/>
                <w:szCs w:val="17"/>
              </w:rPr>
            </w:pPr>
            <w:r w:rsidRPr="00212E5F">
              <w:rPr>
                <w:sz w:val="17"/>
                <w:szCs w:val="17"/>
              </w:rPr>
              <w:t>4.1</w:t>
            </w:r>
          </w:p>
        </w:tc>
        <w:tc>
          <w:tcPr>
            <w:tcW w:w="1127" w:type="dxa"/>
            <w:tcBorders>
              <w:top w:val="nil"/>
              <w:left w:val="nil"/>
              <w:bottom w:val="nil"/>
              <w:right w:val="nil"/>
            </w:tcBorders>
            <w:shd w:val="clear" w:color="auto" w:fill="auto"/>
            <w:noWrap/>
            <w:vAlign w:val="bottom"/>
            <w:hideMark/>
          </w:tcPr>
          <w:p w14:paraId="3C574241" w14:textId="77777777" w:rsidR="008A1E55" w:rsidRPr="00212E5F" w:rsidRDefault="008A1E55" w:rsidP="00E16CAE">
            <w:pPr>
              <w:jc w:val="right"/>
              <w:rPr>
                <w:sz w:val="17"/>
                <w:szCs w:val="17"/>
              </w:rPr>
            </w:pPr>
            <w:r w:rsidRPr="00212E5F">
              <w:rPr>
                <w:sz w:val="17"/>
                <w:szCs w:val="17"/>
              </w:rPr>
              <w:t>0.8</w:t>
            </w:r>
          </w:p>
        </w:tc>
        <w:tc>
          <w:tcPr>
            <w:tcW w:w="1164" w:type="dxa"/>
            <w:tcBorders>
              <w:top w:val="nil"/>
              <w:left w:val="nil"/>
              <w:bottom w:val="nil"/>
              <w:right w:val="nil"/>
            </w:tcBorders>
            <w:shd w:val="clear" w:color="auto" w:fill="auto"/>
            <w:noWrap/>
            <w:vAlign w:val="bottom"/>
            <w:hideMark/>
          </w:tcPr>
          <w:p w14:paraId="7A959379" w14:textId="77777777" w:rsidR="008A1E55" w:rsidRPr="00212E5F" w:rsidRDefault="008A1E55" w:rsidP="00E16CAE">
            <w:pPr>
              <w:jc w:val="right"/>
              <w:rPr>
                <w:sz w:val="17"/>
                <w:szCs w:val="17"/>
              </w:rPr>
            </w:pPr>
            <w:r w:rsidRPr="00212E5F">
              <w:rPr>
                <w:sz w:val="17"/>
                <w:szCs w:val="17"/>
              </w:rPr>
              <w:t>2.2</w:t>
            </w:r>
          </w:p>
        </w:tc>
      </w:tr>
      <w:tr w:rsidR="006B42D6" w:rsidRPr="00212E5F" w14:paraId="20B45861" w14:textId="77777777" w:rsidTr="004F65CD">
        <w:trPr>
          <w:trHeight w:val="57"/>
        </w:trPr>
        <w:tc>
          <w:tcPr>
            <w:tcW w:w="1668" w:type="dxa"/>
            <w:tcBorders>
              <w:top w:val="nil"/>
              <w:left w:val="nil"/>
              <w:bottom w:val="nil"/>
              <w:right w:val="nil"/>
            </w:tcBorders>
            <w:shd w:val="clear" w:color="auto" w:fill="auto"/>
            <w:noWrap/>
            <w:vAlign w:val="center"/>
            <w:hideMark/>
          </w:tcPr>
          <w:p w14:paraId="6C9F9013" w14:textId="77777777" w:rsidR="008A1E55" w:rsidRPr="00212E5F" w:rsidRDefault="008A1E55" w:rsidP="00E16CAE">
            <w:pPr>
              <w:rPr>
                <w:sz w:val="17"/>
                <w:szCs w:val="17"/>
              </w:rPr>
            </w:pPr>
            <w:r w:rsidRPr="00212E5F">
              <w:rPr>
                <w:sz w:val="17"/>
                <w:szCs w:val="17"/>
              </w:rPr>
              <w:t>Dar-es-salaam</w:t>
            </w:r>
          </w:p>
        </w:tc>
        <w:tc>
          <w:tcPr>
            <w:tcW w:w="1159" w:type="dxa"/>
            <w:tcBorders>
              <w:top w:val="nil"/>
              <w:left w:val="nil"/>
              <w:bottom w:val="nil"/>
              <w:right w:val="nil"/>
            </w:tcBorders>
            <w:shd w:val="clear" w:color="auto" w:fill="auto"/>
            <w:noWrap/>
            <w:vAlign w:val="bottom"/>
            <w:hideMark/>
          </w:tcPr>
          <w:p w14:paraId="40670836" w14:textId="77777777" w:rsidR="008A1E55" w:rsidRPr="00212E5F" w:rsidRDefault="008A1E55" w:rsidP="00E16CAE">
            <w:pPr>
              <w:jc w:val="right"/>
              <w:rPr>
                <w:sz w:val="17"/>
                <w:szCs w:val="17"/>
              </w:rPr>
            </w:pPr>
            <w:r w:rsidRPr="00212E5F">
              <w:rPr>
                <w:sz w:val="17"/>
                <w:szCs w:val="17"/>
              </w:rPr>
              <w:t>6.4</w:t>
            </w:r>
          </w:p>
        </w:tc>
        <w:tc>
          <w:tcPr>
            <w:tcW w:w="1159" w:type="dxa"/>
            <w:tcBorders>
              <w:top w:val="nil"/>
              <w:left w:val="nil"/>
              <w:bottom w:val="nil"/>
              <w:right w:val="nil"/>
            </w:tcBorders>
            <w:shd w:val="clear" w:color="auto" w:fill="auto"/>
            <w:noWrap/>
            <w:vAlign w:val="bottom"/>
            <w:hideMark/>
          </w:tcPr>
          <w:p w14:paraId="4BB2DB41" w14:textId="77777777" w:rsidR="008A1E55" w:rsidRPr="00212E5F" w:rsidRDefault="008A1E55" w:rsidP="00E16CAE">
            <w:pPr>
              <w:jc w:val="right"/>
              <w:rPr>
                <w:sz w:val="17"/>
                <w:szCs w:val="17"/>
              </w:rPr>
            </w:pPr>
            <w:r w:rsidRPr="00212E5F">
              <w:rPr>
                <w:sz w:val="17"/>
                <w:szCs w:val="17"/>
              </w:rPr>
              <w:t>23.6</w:t>
            </w:r>
          </w:p>
        </w:tc>
        <w:tc>
          <w:tcPr>
            <w:tcW w:w="1159" w:type="dxa"/>
            <w:tcBorders>
              <w:top w:val="nil"/>
              <w:left w:val="nil"/>
              <w:bottom w:val="nil"/>
              <w:right w:val="nil"/>
            </w:tcBorders>
            <w:shd w:val="clear" w:color="auto" w:fill="auto"/>
            <w:noWrap/>
            <w:vAlign w:val="bottom"/>
            <w:hideMark/>
          </w:tcPr>
          <w:p w14:paraId="27922C13" w14:textId="77777777" w:rsidR="008A1E55" w:rsidRPr="00212E5F" w:rsidRDefault="008A1E55" w:rsidP="00E16CAE">
            <w:pPr>
              <w:jc w:val="right"/>
              <w:rPr>
                <w:sz w:val="17"/>
                <w:szCs w:val="17"/>
              </w:rPr>
            </w:pPr>
            <w:r w:rsidRPr="00212E5F">
              <w:rPr>
                <w:sz w:val="17"/>
                <w:szCs w:val="17"/>
              </w:rPr>
              <w:t>92.5</w:t>
            </w:r>
          </w:p>
        </w:tc>
        <w:tc>
          <w:tcPr>
            <w:tcW w:w="1159" w:type="dxa"/>
            <w:tcBorders>
              <w:top w:val="nil"/>
              <w:left w:val="nil"/>
              <w:bottom w:val="nil"/>
              <w:right w:val="nil"/>
            </w:tcBorders>
            <w:shd w:val="clear" w:color="auto" w:fill="auto"/>
            <w:noWrap/>
            <w:vAlign w:val="bottom"/>
            <w:hideMark/>
          </w:tcPr>
          <w:p w14:paraId="2DB1981D" w14:textId="77777777" w:rsidR="008A1E55" w:rsidRPr="00212E5F" w:rsidRDefault="008A1E55" w:rsidP="00E16CAE">
            <w:pPr>
              <w:jc w:val="right"/>
              <w:rPr>
                <w:sz w:val="17"/>
                <w:szCs w:val="17"/>
              </w:rPr>
            </w:pPr>
            <w:r w:rsidRPr="00212E5F">
              <w:rPr>
                <w:sz w:val="17"/>
                <w:szCs w:val="17"/>
              </w:rPr>
              <w:t>-</w:t>
            </w:r>
          </w:p>
        </w:tc>
        <w:tc>
          <w:tcPr>
            <w:tcW w:w="1187" w:type="dxa"/>
            <w:tcBorders>
              <w:top w:val="nil"/>
              <w:left w:val="nil"/>
              <w:bottom w:val="nil"/>
              <w:right w:val="nil"/>
            </w:tcBorders>
            <w:shd w:val="clear" w:color="auto" w:fill="auto"/>
            <w:noWrap/>
            <w:vAlign w:val="bottom"/>
            <w:hideMark/>
          </w:tcPr>
          <w:p w14:paraId="112567C1" w14:textId="77777777" w:rsidR="008A1E55" w:rsidRPr="00212E5F" w:rsidRDefault="008A1E55" w:rsidP="00E16CAE">
            <w:pPr>
              <w:jc w:val="right"/>
              <w:rPr>
                <w:sz w:val="17"/>
                <w:szCs w:val="17"/>
              </w:rPr>
            </w:pPr>
            <w:r w:rsidRPr="00212E5F">
              <w:rPr>
                <w:sz w:val="17"/>
                <w:szCs w:val="17"/>
              </w:rPr>
              <w:t>0.2</w:t>
            </w:r>
          </w:p>
        </w:tc>
        <w:tc>
          <w:tcPr>
            <w:tcW w:w="1127" w:type="dxa"/>
            <w:tcBorders>
              <w:top w:val="nil"/>
              <w:left w:val="nil"/>
              <w:bottom w:val="nil"/>
              <w:right w:val="nil"/>
            </w:tcBorders>
            <w:shd w:val="clear" w:color="auto" w:fill="auto"/>
            <w:noWrap/>
            <w:vAlign w:val="bottom"/>
            <w:hideMark/>
          </w:tcPr>
          <w:p w14:paraId="630A1B12" w14:textId="77777777" w:rsidR="008A1E55" w:rsidRPr="00212E5F" w:rsidRDefault="008A1E55" w:rsidP="00E16CAE">
            <w:pPr>
              <w:jc w:val="right"/>
              <w:rPr>
                <w:sz w:val="17"/>
                <w:szCs w:val="17"/>
              </w:rPr>
            </w:pPr>
            <w:r w:rsidRPr="00212E5F">
              <w:rPr>
                <w:sz w:val="17"/>
                <w:szCs w:val="17"/>
              </w:rPr>
              <w:t>-</w:t>
            </w:r>
          </w:p>
        </w:tc>
        <w:tc>
          <w:tcPr>
            <w:tcW w:w="1164" w:type="dxa"/>
            <w:tcBorders>
              <w:top w:val="nil"/>
              <w:left w:val="nil"/>
              <w:bottom w:val="nil"/>
              <w:right w:val="nil"/>
            </w:tcBorders>
            <w:shd w:val="clear" w:color="auto" w:fill="auto"/>
            <w:noWrap/>
            <w:vAlign w:val="bottom"/>
            <w:hideMark/>
          </w:tcPr>
          <w:p w14:paraId="15BD7814" w14:textId="77777777" w:rsidR="008A1E55" w:rsidRPr="00212E5F" w:rsidRDefault="008A1E55" w:rsidP="00E16CAE">
            <w:pPr>
              <w:jc w:val="right"/>
              <w:rPr>
                <w:sz w:val="17"/>
                <w:szCs w:val="17"/>
              </w:rPr>
            </w:pPr>
            <w:r w:rsidRPr="00212E5F">
              <w:rPr>
                <w:sz w:val="17"/>
                <w:szCs w:val="17"/>
              </w:rPr>
              <w:t>-</w:t>
            </w:r>
          </w:p>
        </w:tc>
      </w:tr>
      <w:tr w:rsidR="006B42D6" w:rsidRPr="00212E5F" w14:paraId="544187C9" w14:textId="77777777" w:rsidTr="004F65CD">
        <w:trPr>
          <w:trHeight w:val="57"/>
        </w:trPr>
        <w:tc>
          <w:tcPr>
            <w:tcW w:w="1668" w:type="dxa"/>
            <w:tcBorders>
              <w:top w:val="nil"/>
              <w:left w:val="nil"/>
              <w:bottom w:val="nil"/>
              <w:right w:val="nil"/>
            </w:tcBorders>
            <w:shd w:val="clear" w:color="auto" w:fill="auto"/>
            <w:noWrap/>
            <w:vAlign w:val="center"/>
            <w:hideMark/>
          </w:tcPr>
          <w:p w14:paraId="41AF5528" w14:textId="77777777" w:rsidR="008A1E55" w:rsidRPr="00212E5F" w:rsidRDefault="008A1E55" w:rsidP="00E16CAE">
            <w:pPr>
              <w:rPr>
                <w:sz w:val="17"/>
                <w:szCs w:val="17"/>
              </w:rPr>
            </w:pPr>
            <w:r w:rsidRPr="00212E5F">
              <w:rPr>
                <w:sz w:val="17"/>
                <w:szCs w:val="17"/>
              </w:rPr>
              <w:t>Lindi</w:t>
            </w:r>
          </w:p>
        </w:tc>
        <w:tc>
          <w:tcPr>
            <w:tcW w:w="1159" w:type="dxa"/>
            <w:tcBorders>
              <w:top w:val="nil"/>
              <w:left w:val="nil"/>
              <w:bottom w:val="nil"/>
              <w:right w:val="nil"/>
            </w:tcBorders>
            <w:shd w:val="clear" w:color="auto" w:fill="auto"/>
            <w:noWrap/>
            <w:vAlign w:val="bottom"/>
            <w:hideMark/>
          </w:tcPr>
          <w:p w14:paraId="7E62CA27" w14:textId="77777777" w:rsidR="008A1E55" w:rsidRPr="00212E5F" w:rsidRDefault="008A1E55" w:rsidP="00E16CAE">
            <w:pPr>
              <w:jc w:val="right"/>
              <w:rPr>
                <w:sz w:val="17"/>
                <w:szCs w:val="17"/>
              </w:rPr>
            </w:pPr>
            <w:r w:rsidRPr="00212E5F">
              <w:rPr>
                <w:sz w:val="17"/>
                <w:szCs w:val="17"/>
              </w:rPr>
              <w:t>2.5</w:t>
            </w:r>
          </w:p>
        </w:tc>
        <w:tc>
          <w:tcPr>
            <w:tcW w:w="1159" w:type="dxa"/>
            <w:tcBorders>
              <w:top w:val="nil"/>
              <w:left w:val="nil"/>
              <w:bottom w:val="nil"/>
              <w:right w:val="nil"/>
            </w:tcBorders>
            <w:shd w:val="clear" w:color="auto" w:fill="auto"/>
            <w:noWrap/>
            <w:vAlign w:val="bottom"/>
            <w:hideMark/>
          </w:tcPr>
          <w:p w14:paraId="2EF22637" w14:textId="77777777" w:rsidR="008A1E55" w:rsidRPr="00212E5F" w:rsidRDefault="008A1E55" w:rsidP="00E16CAE">
            <w:pPr>
              <w:jc w:val="right"/>
              <w:rPr>
                <w:sz w:val="17"/>
                <w:szCs w:val="17"/>
              </w:rPr>
            </w:pPr>
            <w:r w:rsidRPr="00212E5F">
              <w:rPr>
                <w:sz w:val="17"/>
                <w:szCs w:val="17"/>
              </w:rPr>
              <w:t>1.0</w:t>
            </w:r>
          </w:p>
        </w:tc>
        <w:tc>
          <w:tcPr>
            <w:tcW w:w="1159" w:type="dxa"/>
            <w:tcBorders>
              <w:top w:val="nil"/>
              <w:left w:val="nil"/>
              <w:bottom w:val="nil"/>
              <w:right w:val="nil"/>
            </w:tcBorders>
            <w:shd w:val="clear" w:color="auto" w:fill="auto"/>
            <w:noWrap/>
            <w:vAlign w:val="bottom"/>
            <w:hideMark/>
          </w:tcPr>
          <w:p w14:paraId="1AB0E320" w14:textId="77777777" w:rsidR="008A1E55" w:rsidRPr="00212E5F" w:rsidRDefault="008A1E55" w:rsidP="00E16CAE">
            <w:pPr>
              <w:jc w:val="right"/>
              <w:rPr>
                <w:sz w:val="17"/>
                <w:szCs w:val="17"/>
              </w:rPr>
            </w:pPr>
            <w:r w:rsidRPr="00212E5F">
              <w:rPr>
                <w:sz w:val="17"/>
                <w:szCs w:val="17"/>
              </w:rPr>
              <w:t>-</w:t>
            </w:r>
          </w:p>
        </w:tc>
        <w:tc>
          <w:tcPr>
            <w:tcW w:w="1159" w:type="dxa"/>
            <w:tcBorders>
              <w:top w:val="nil"/>
              <w:left w:val="nil"/>
              <w:bottom w:val="nil"/>
              <w:right w:val="nil"/>
            </w:tcBorders>
            <w:shd w:val="clear" w:color="auto" w:fill="auto"/>
            <w:noWrap/>
            <w:vAlign w:val="bottom"/>
            <w:hideMark/>
          </w:tcPr>
          <w:p w14:paraId="0F05FF9F" w14:textId="77777777" w:rsidR="008A1E55" w:rsidRPr="00212E5F" w:rsidRDefault="008A1E55" w:rsidP="00E16CAE">
            <w:pPr>
              <w:jc w:val="right"/>
              <w:rPr>
                <w:sz w:val="17"/>
                <w:szCs w:val="17"/>
              </w:rPr>
            </w:pPr>
            <w:r w:rsidRPr="00212E5F">
              <w:rPr>
                <w:sz w:val="17"/>
                <w:szCs w:val="17"/>
              </w:rPr>
              <w:t>-</w:t>
            </w:r>
          </w:p>
        </w:tc>
        <w:tc>
          <w:tcPr>
            <w:tcW w:w="1187" w:type="dxa"/>
            <w:tcBorders>
              <w:top w:val="nil"/>
              <w:left w:val="nil"/>
              <w:bottom w:val="nil"/>
              <w:right w:val="nil"/>
            </w:tcBorders>
            <w:shd w:val="clear" w:color="auto" w:fill="auto"/>
            <w:noWrap/>
            <w:vAlign w:val="bottom"/>
            <w:hideMark/>
          </w:tcPr>
          <w:p w14:paraId="742C24B1" w14:textId="77777777" w:rsidR="008A1E55" w:rsidRPr="00212E5F" w:rsidRDefault="008A1E55" w:rsidP="00E16CAE">
            <w:pPr>
              <w:jc w:val="right"/>
              <w:rPr>
                <w:sz w:val="17"/>
                <w:szCs w:val="17"/>
              </w:rPr>
            </w:pPr>
            <w:r w:rsidRPr="00212E5F">
              <w:rPr>
                <w:sz w:val="17"/>
                <w:szCs w:val="17"/>
              </w:rPr>
              <w:t>6.5</w:t>
            </w:r>
          </w:p>
        </w:tc>
        <w:tc>
          <w:tcPr>
            <w:tcW w:w="1127" w:type="dxa"/>
            <w:tcBorders>
              <w:top w:val="nil"/>
              <w:left w:val="nil"/>
              <w:bottom w:val="nil"/>
              <w:right w:val="nil"/>
            </w:tcBorders>
            <w:shd w:val="clear" w:color="auto" w:fill="auto"/>
            <w:noWrap/>
            <w:vAlign w:val="bottom"/>
            <w:hideMark/>
          </w:tcPr>
          <w:p w14:paraId="5C888167" w14:textId="77777777" w:rsidR="008A1E55" w:rsidRPr="00212E5F" w:rsidRDefault="008A1E55" w:rsidP="00E16CAE">
            <w:pPr>
              <w:jc w:val="right"/>
              <w:rPr>
                <w:sz w:val="17"/>
                <w:szCs w:val="17"/>
              </w:rPr>
            </w:pPr>
            <w:r w:rsidRPr="00212E5F">
              <w:rPr>
                <w:sz w:val="17"/>
                <w:szCs w:val="17"/>
              </w:rPr>
              <w:t>1.3</w:t>
            </w:r>
          </w:p>
        </w:tc>
        <w:tc>
          <w:tcPr>
            <w:tcW w:w="1164" w:type="dxa"/>
            <w:tcBorders>
              <w:top w:val="nil"/>
              <w:left w:val="nil"/>
              <w:bottom w:val="nil"/>
              <w:right w:val="nil"/>
            </w:tcBorders>
            <w:shd w:val="clear" w:color="auto" w:fill="auto"/>
            <w:noWrap/>
            <w:vAlign w:val="bottom"/>
            <w:hideMark/>
          </w:tcPr>
          <w:p w14:paraId="7BD923DB" w14:textId="77777777" w:rsidR="008A1E55" w:rsidRPr="00212E5F" w:rsidRDefault="008A1E55" w:rsidP="00E16CAE">
            <w:pPr>
              <w:jc w:val="right"/>
              <w:rPr>
                <w:sz w:val="17"/>
                <w:szCs w:val="17"/>
              </w:rPr>
            </w:pPr>
            <w:r w:rsidRPr="00212E5F">
              <w:rPr>
                <w:sz w:val="17"/>
                <w:szCs w:val="17"/>
              </w:rPr>
              <w:t>1.0</w:t>
            </w:r>
          </w:p>
        </w:tc>
      </w:tr>
      <w:tr w:rsidR="006B42D6" w:rsidRPr="00212E5F" w14:paraId="6DAFAD7C" w14:textId="77777777" w:rsidTr="004F65CD">
        <w:trPr>
          <w:trHeight w:val="57"/>
        </w:trPr>
        <w:tc>
          <w:tcPr>
            <w:tcW w:w="1668" w:type="dxa"/>
            <w:tcBorders>
              <w:top w:val="nil"/>
              <w:left w:val="nil"/>
              <w:bottom w:val="nil"/>
              <w:right w:val="nil"/>
            </w:tcBorders>
            <w:shd w:val="clear" w:color="auto" w:fill="auto"/>
            <w:noWrap/>
            <w:vAlign w:val="center"/>
            <w:hideMark/>
          </w:tcPr>
          <w:p w14:paraId="71031457" w14:textId="77777777" w:rsidR="008A1E55" w:rsidRPr="00212E5F" w:rsidRDefault="008A1E55" w:rsidP="00E16CAE">
            <w:pPr>
              <w:rPr>
                <w:sz w:val="17"/>
                <w:szCs w:val="17"/>
              </w:rPr>
            </w:pPr>
            <w:r w:rsidRPr="00212E5F">
              <w:rPr>
                <w:sz w:val="17"/>
                <w:szCs w:val="17"/>
              </w:rPr>
              <w:t>Mtwara</w:t>
            </w:r>
          </w:p>
        </w:tc>
        <w:tc>
          <w:tcPr>
            <w:tcW w:w="1159" w:type="dxa"/>
            <w:tcBorders>
              <w:top w:val="nil"/>
              <w:left w:val="nil"/>
              <w:bottom w:val="nil"/>
              <w:right w:val="nil"/>
            </w:tcBorders>
            <w:shd w:val="clear" w:color="auto" w:fill="auto"/>
            <w:noWrap/>
            <w:vAlign w:val="bottom"/>
            <w:hideMark/>
          </w:tcPr>
          <w:p w14:paraId="1E304425" w14:textId="77777777" w:rsidR="008A1E55" w:rsidRPr="00212E5F" w:rsidRDefault="008A1E55" w:rsidP="00E16CAE">
            <w:pPr>
              <w:jc w:val="right"/>
              <w:rPr>
                <w:sz w:val="17"/>
                <w:szCs w:val="17"/>
              </w:rPr>
            </w:pPr>
            <w:r w:rsidRPr="00212E5F">
              <w:rPr>
                <w:sz w:val="17"/>
                <w:szCs w:val="17"/>
              </w:rPr>
              <w:t>3.6</w:t>
            </w:r>
          </w:p>
        </w:tc>
        <w:tc>
          <w:tcPr>
            <w:tcW w:w="1159" w:type="dxa"/>
            <w:tcBorders>
              <w:top w:val="nil"/>
              <w:left w:val="nil"/>
              <w:bottom w:val="nil"/>
              <w:right w:val="nil"/>
            </w:tcBorders>
            <w:shd w:val="clear" w:color="auto" w:fill="auto"/>
            <w:noWrap/>
            <w:vAlign w:val="bottom"/>
            <w:hideMark/>
          </w:tcPr>
          <w:p w14:paraId="3CB300B4" w14:textId="77777777" w:rsidR="008A1E55" w:rsidRPr="00212E5F" w:rsidRDefault="008A1E55" w:rsidP="00E16CAE">
            <w:pPr>
              <w:jc w:val="right"/>
              <w:rPr>
                <w:sz w:val="17"/>
                <w:szCs w:val="17"/>
              </w:rPr>
            </w:pPr>
            <w:r w:rsidRPr="00212E5F">
              <w:rPr>
                <w:sz w:val="17"/>
                <w:szCs w:val="17"/>
              </w:rPr>
              <w:t>4.1</w:t>
            </w:r>
          </w:p>
        </w:tc>
        <w:tc>
          <w:tcPr>
            <w:tcW w:w="1159" w:type="dxa"/>
            <w:tcBorders>
              <w:top w:val="nil"/>
              <w:left w:val="nil"/>
              <w:bottom w:val="nil"/>
              <w:right w:val="nil"/>
            </w:tcBorders>
            <w:shd w:val="clear" w:color="auto" w:fill="auto"/>
            <w:noWrap/>
            <w:vAlign w:val="bottom"/>
            <w:hideMark/>
          </w:tcPr>
          <w:p w14:paraId="3A2EDB3F" w14:textId="77777777" w:rsidR="008A1E55" w:rsidRPr="00212E5F" w:rsidRDefault="008A1E55" w:rsidP="00E16CAE">
            <w:pPr>
              <w:jc w:val="right"/>
              <w:rPr>
                <w:sz w:val="17"/>
                <w:szCs w:val="17"/>
              </w:rPr>
            </w:pPr>
            <w:r w:rsidRPr="00212E5F">
              <w:rPr>
                <w:sz w:val="17"/>
                <w:szCs w:val="17"/>
              </w:rPr>
              <w:t>-</w:t>
            </w:r>
          </w:p>
        </w:tc>
        <w:tc>
          <w:tcPr>
            <w:tcW w:w="1159" w:type="dxa"/>
            <w:tcBorders>
              <w:top w:val="nil"/>
              <w:left w:val="nil"/>
              <w:bottom w:val="nil"/>
              <w:right w:val="nil"/>
            </w:tcBorders>
            <w:shd w:val="clear" w:color="auto" w:fill="auto"/>
            <w:noWrap/>
            <w:vAlign w:val="bottom"/>
            <w:hideMark/>
          </w:tcPr>
          <w:p w14:paraId="329DE245" w14:textId="77777777" w:rsidR="008A1E55" w:rsidRPr="00212E5F" w:rsidRDefault="008A1E55" w:rsidP="00E16CAE">
            <w:pPr>
              <w:jc w:val="right"/>
              <w:rPr>
                <w:sz w:val="17"/>
                <w:szCs w:val="17"/>
              </w:rPr>
            </w:pPr>
            <w:r w:rsidRPr="00212E5F">
              <w:rPr>
                <w:sz w:val="17"/>
                <w:szCs w:val="17"/>
              </w:rPr>
              <w:t>3.8</w:t>
            </w:r>
          </w:p>
        </w:tc>
        <w:tc>
          <w:tcPr>
            <w:tcW w:w="1187" w:type="dxa"/>
            <w:tcBorders>
              <w:top w:val="nil"/>
              <w:left w:val="nil"/>
              <w:bottom w:val="nil"/>
              <w:right w:val="nil"/>
            </w:tcBorders>
            <w:shd w:val="clear" w:color="auto" w:fill="auto"/>
            <w:noWrap/>
            <w:vAlign w:val="bottom"/>
            <w:hideMark/>
          </w:tcPr>
          <w:p w14:paraId="6DFE377F" w14:textId="77777777" w:rsidR="008A1E55" w:rsidRPr="00212E5F" w:rsidRDefault="008A1E55" w:rsidP="00E16CAE">
            <w:pPr>
              <w:jc w:val="right"/>
              <w:rPr>
                <w:sz w:val="17"/>
                <w:szCs w:val="17"/>
              </w:rPr>
            </w:pPr>
            <w:r w:rsidRPr="00212E5F">
              <w:rPr>
                <w:sz w:val="17"/>
                <w:szCs w:val="17"/>
              </w:rPr>
              <w:t>6.2</w:t>
            </w:r>
          </w:p>
        </w:tc>
        <w:tc>
          <w:tcPr>
            <w:tcW w:w="1127" w:type="dxa"/>
            <w:tcBorders>
              <w:top w:val="nil"/>
              <w:left w:val="nil"/>
              <w:bottom w:val="nil"/>
              <w:right w:val="nil"/>
            </w:tcBorders>
            <w:shd w:val="clear" w:color="auto" w:fill="auto"/>
            <w:noWrap/>
            <w:vAlign w:val="bottom"/>
            <w:hideMark/>
          </w:tcPr>
          <w:p w14:paraId="4CA3F973" w14:textId="77777777" w:rsidR="008A1E55" w:rsidRPr="00212E5F" w:rsidRDefault="008A1E55" w:rsidP="00E16CAE">
            <w:pPr>
              <w:jc w:val="right"/>
              <w:rPr>
                <w:sz w:val="17"/>
                <w:szCs w:val="17"/>
              </w:rPr>
            </w:pPr>
            <w:r w:rsidRPr="00212E5F">
              <w:rPr>
                <w:sz w:val="17"/>
                <w:szCs w:val="17"/>
              </w:rPr>
              <w:t>5.2</w:t>
            </w:r>
          </w:p>
        </w:tc>
        <w:tc>
          <w:tcPr>
            <w:tcW w:w="1164" w:type="dxa"/>
            <w:tcBorders>
              <w:top w:val="nil"/>
              <w:left w:val="nil"/>
              <w:bottom w:val="nil"/>
              <w:right w:val="nil"/>
            </w:tcBorders>
            <w:shd w:val="clear" w:color="auto" w:fill="auto"/>
            <w:noWrap/>
            <w:vAlign w:val="bottom"/>
            <w:hideMark/>
          </w:tcPr>
          <w:p w14:paraId="49A5836C" w14:textId="77777777" w:rsidR="008A1E55" w:rsidRPr="00212E5F" w:rsidRDefault="008A1E55" w:rsidP="00E16CAE">
            <w:pPr>
              <w:jc w:val="right"/>
              <w:rPr>
                <w:sz w:val="17"/>
                <w:szCs w:val="17"/>
              </w:rPr>
            </w:pPr>
            <w:r w:rsidRPr="00212E5F">
              <w:rPr>
                <w:sz w:val="17"/>
                <w:szCs w:val="17"/>
              </w:rPr>
              <w:t>-</w:t>
            </w:r>
          </w:p>
        </w:tc>
      </w:tr>
      <w:tr w:rsidR="006B42D6" w:rsidRPr="00212E5F" w14:paraId="0BBB6BFA" w14:textId="77777777" w:rsidTr="004F65CD">
        <w:trPr>
          <w:trHeight w:val="57"/>
        </w:trPr>
        <w:tc>
          <w:tcPr>
            <w:tcW w:w="1668" w:type="dxa"/>
            <w:tcBorders>
              <w:top w:val="nil"/>
              <w:left w:val="nil"/>
              <w:bottom w:val="nil"/>
              <w:right w:val="nil"/>
            </w:tcBorders>
            <w:shd w:val="clear" w:color="auto" w:fill="auto"/>
            <w:noWrap/>
            <w:vAlign w:val="center"/>
            <w:hideMark/>
          </w:tcPr>
          <w:p w14:paraId="079F536E" w14:textId="77777777" w:rsidR="008A1E55" w:rsidRPr="00212E5F" w:rsidRDefault="008A1E55" w:rsidP="00E16CAE">
            <w:pPr>
              <w:rPr>
                <w:sz w:val="17"/>
                <w:szCs w:val="17"/>
              </w:rPr>
            </w:pPr>
            <w:r w:rsidRPr="00212E5F">
              <w:rPr>
                <w:sz w:val="17"/>
                <w:szCs w:val="17"/>
              </w:rPr>
              <w:t>Ruvuma</w:t>
            </w:r>
          </w:p>
        </w:tc>
        <w:tc>
          <w:tcPr>
            <w:tcW w:w="1159" w:type="dxa"/>
            <w:tcBorders>
              <w:top w:val="nil"/>
              <w:left w:val="nil"/>
              <w:bottom w:val="nil"/>
              <w:right w:val="nil"/>
            </w:tcBorders>
            <w:shd w:val="clear" w:color="auto" w:fill="auto"/>
            <w:noWrap/>
            <w:vAlign w:val="bottom"/>
            <w:hideMark/>
          </w:tcPr>
          <w:p w14:paraId="06504D4D" w14:textId="77777777" w:rsidR="008A1E55" w:rsidRPr="00212E5F" w:rsidRDefault="008A1E55" w:rsidP="00E16CAE">
            <w:pPr>
              <w:jc w:val="right"/>
              <w:rPr>
                <w:sz w:val="17"/>
                <w:szCs w:val="17"/>
              </w:rPr>
            </w:pPr>
            <w:r w:rsidRPr="00212E5F">
              <w:rPr>
                <w:sz w:val="17"/>
                <w:szCs w:val="17"/>
              </w:rPr>
              <w:t>4.2</w:t>
            </w:r>
          </w:p>
        </w:tc>
        <w:tc>
          <w:tcPr>
            <w:tcW w:w="1159" w:type="dxa"/>
            <w:tcBorders>
              <w:top w:val="nil"/>
              <w:left w:val="nil"/>
              <w:bottom w:val="nil"/>
              <w:right w:val="nil"/>
            </w:tcBorders>
            <w:shd w:val="clear" w:color="auto" w:fill="auto"/>
            <w:noWrap/>
            <w:vAlign w:val="bottom"/>
            <w:hideMark/>
          </w:tcPr>
          <w:p w14:paraId="51B22823" w14:textId="77777777" w:rsidR="008A1E55" w:rsidRPr="00212E5F" w:rsidRDefault="008A1E55" w:rsidP="00E16CAE">
            <w:pPr>
              <w:jc w:val="right"/>
              <w:rPr>
                <w:sz w:val="17"/>
                <w:szCs w:val="17"/>
              </w:rPr>
            </w:pPr>
            <w:r w:rsidRPr="00212E5F">
              <w:rPr>
                <w:sz w:val="17"/>
                <w:szCs w:val="17"/>
              </w:rPr>
              <w:t>-</w:t>
            </w:r>
          </w:p>
        </w:tc>
        <w:tc>
          <w:tcPr>
            <w:tcW w:w="1159" w:type="dxa"/>
            <w:tcBorders>
              <w:top w:val="nil"/>
              <w:left w:val="nil"/>
              <w:bottom w:val="nil"/>
              <w:right w:val="nil"/>
            </w:tcBorders>
            <w:shd w:val="clear" w:color="auto" w:fill="auto"/>
            <w:noWrap/>
            <w:vAlign w:val="bottom"/>
            <w:hideMark/>
          </w:tcPr>
          <w:p w14:paraId="3ABAA427" w14:textId="77777777" w:rsidR="008A1E55" w:rsidRPr="00212E5F" w:rsidRDefault="008A1E55" w:rsidP="00E16CAE">
            <w:pPr>
              <w:jc w:val="right"/>
              <w:rPr>
                <w:sz w:val="17"/>
                <w:szCs w:val="17"/>
              </w:rPr>
            </w:pPr>
            <w:r w:rsidRPr="00212E5F">
              <w:rPr>
                <w:sz w:val="17"/>
                <w:szCs w:val="17"/>
              </w:rPr>
              <w:t>-</w:t>
            </w:r>
          </w:p>
        </w:tc>
        <w:tc>
          <w:tcPr>
            <w:tcW w:w="1159" w:type="dxa"/>
            <w:tcBorders>
              <w:top w:val="nil"/>
              <w:left w:val="nil"/>
              <w:bottom w:val="nil"/>
              <w:right w:val="nil"/>
            </w:tcBorders>
            <w:shd w:val="clear" w:color="auto" w:fill="auto"/>
            <w:noWrap/>
            <w:vAlign w:val="bottom"/>
            <w:hideMark/>
          </w:tcPr>
          <w:p w14:paraId="2538330D" w14:textId="77777777" w:rsidR="008A1E55" w:rsidRPr="00212E5F" w:rsidRDefault="008A1E55" w:rsidP="00E16CAE">
            <w:pPr>
              <w:jc w:val="right"/>
              <w:rPr>
                <w:sz w:val="17"/>
                <w:szCs w:val="17"/>
              </w:rPr>
            </w:pPr>
            <w:r w:rsidRPr="00212E5F">
              <w:rPr>
                <w:sz w:val="17"/>
                <w:szCs w:val="17"/>
              </w:rPr>
              <w:t>-</w:t>
            </w:r>
          </w:p>
        </w:tc>
        <w:tc>
          <w:tcPr>
            <w:tcW w:w="1187" w:type="dxa"/>
            <w:tcBorders>
              <w:top w:val="nil"/>
              <w:left w:val="nil"/>
              <w:bottom w:val="nil"/>
              <w:right w:val="nil"/>
            </w:tcBorders>
            <w:shd w:val="clear" w:color="auto" w:fill="auto"/>
            <w:noWrap/>
            <w:vAlign w:val="bottom"/>
            <w:hideMark/>
          </w:tcPr>
          <w:p w14:paraId="780B4D1D" w14:textId="77777777" w:rsidR="008A1E55" w:rsidRPr="00212E5F" w:rsidRDefault="008A1E55" w:rsidP="00E16CAE">
            <w:pPr>
              <w:jc w:val="right"/>
              <w:rPr>
                <w:sz w:val="17"/>
                <w:szCs w:val="17"/>
              </w:rPr>
            </w:pPr>
            <w:r w:rsidRPr="00212E5F">
              <w:rPr>
                <w:sz w:val="17"/>
                <w:szCs w:val="17"/>
              </w:rPr>
              <w:t>5.3</w:t>
            </w:r>
          </w:p>
        </w:tc>
        <w:tc>
          <w:tcPr>
            <w:tcW w:w="1127" w:type="dxa"/>
            <w:tcBorders>
              <w:top w:val="nil"/>
              <w:left w:val="nil"/>
              <w:bottom w:val="nil"/>
              <w:right w:val="nil"/>
            </w:tcBorders>
            <w:shd w:val="clear" w:color="auto" w:fill="auto"/>
            <w:noWrap/>
            <w:vAlign w:val="bottom"/>
            <w:hideMark/>
          </w:tcPr>
          <w:p w14:paraId="649A581B" w14:textId="77777777" w:rsidR="008A1E55" w:rsidRPr="00212E5F" w:rsidRDefault="008A1E55" w:rsidP="00E16CAE">
            <w:pPr>
              <w:jc w:val="right"/>
              <w:rPr>
                <w:sz w:val="17"/>
                <w:szCs w:val="17"/>
              </w:rPr>
            </w:pPr>
            <w:r w:rsidRPr="00212E5F">
              <w:rPr>
                <w:sz w:val="17"/>
                <w:szCs w:val="17"/>
              </w:rPr>
              <w:t>3.0</w:t>
            </w:r>
          </w:p>
        </w:tc>
        <w:tc>
          <w:tcPr>
            <w:tcW w:w="1164" w:type="dxa"/>
            <w:tcBorders>
              <w:top w:val="nil"/>
              <w:left w:val="nil"/>
              <w:bottom w:val="nil"/>
              <w:right w:val="nil"/>
            </w:tcBorders>
            <w:shd w:val="clear" w:color="auto" w:fill="auto"/>
            <w:noWrap/>
            <w:vAlign w:val="bottom"/>
            <w:hideMark/>
          </w:tcPr>
          <w:p w14:paraId="1032E658" w14:textId="77777777" w:rsidR="008A1E55" w:rsidRPr="00212E5F" w:rsidRDefault="008A1E55" w:rsidP="00E16CAE">
            <w:pPr>
              <w:jc w:val="right"/>
              <w:rPr>
                <w:sz w:val="17"/>
                <w:szCs w:val="17"/>
              </w:rPr>
            </w:pPr>
            <w:r w:rsidRPr="00212E5F">
              <w:rPr>
                <w:sz w:val="17"/>
                <w:szCs w:val="17"/>
              </w:rPr>
              <w:t>2.0</w:t>
            </w:r>
          </w:p>
        </w:tc>
      </w:tr>
      <w:tr w:rsidR="006B42D6" w:rsidRPr="00212E5F" w14:paraId="51B91AA2" w14:textId="77777777" w:rsidTr="004F65CD">
        <w:trPr>
          <w:trHeight w:val="57"/>
        </w:trPr>
        <w:tc>
          <w:tcPr>
            <w:tcW w:w="1668" w:type="dxa"/>
            <w:tcBorders>
              <w:top w:val="nil"/>
              <w:left w:val="nil"/>
              <w:bottom w:val="nil"/>
              <w:right w:val="nil"/>
            </w:tcBorders>
            <w:shd w:val="clear" w:color="auto" w:fill="auto"/>
            <w:noWrap/>
            <w:vAlign w:val="center"/>
            <w:hideMark/>
          </w:tcPr>
          <w:p w14:paraId="302A1D87" w14:textId="77777777" w:rsidR="008A1E55" w:rsidRPr="00212E5F" w:rsidRDefault="008A1E55" w:rsidP="00E16CAE">
            <w:pPr>
              <w:rPr>
                <w:sz w:val="17"/>
                <w:szCs w:val="17"/>
              </w:rPr>
            </w:pPr>
            <w:r w:rsidRPr="00212E5F">
              <w:rPr>
                <w:sz w:val="17"/>
                <w:szCs w:val="17"/>
              </w:rPr>
              <w:t>Iringa</w:t>
            </w:r>
          </w:p>
        </w:tc>
        <w:tc>
          <w:tcPr>
            <w:tcW w:w="1159" w:type="dxa"/>
            <w:tcBorders>
              <w:top w:val="nil"/>
              <w:left w:val="nil"/>
              <w:bottom w:val="nil"/>
              <w:right w:val="nil"/>
            </w:tcBorders>
            <w:shd w:val="clear" w:color="auto" w:fill="auto"/>
            <w:noWrap/>
            <w:vAlign w:val="bottom"/>
            <w:hideMark/>
          </w:tcPr>
          <w:p w14:paraId="5ABB975D" w14:textId="77777777" w:rsidR="008A1E55" w:rsidRPr="00212E5F" w:rsidRDefault="008A1E55" w:rsidP="00E16CAE">
            <w:pPr>
              <w:jc w:val="right"/>
              <w:rPr>
                <w:sz w:val="17"/>
                <w:szCs w:val="17"/>
              </w:rPr>
            </w:pPr>
            <w:r w:rsidRPr="00212E5F">
              <w:rPr>
                <w:sz w:val="17"/>
                <w:szCs w:val="17"/>
              </w:rPr>
              <w:t>2.8</w:t>
            </w:r>
          </w:p>
        </w:tc>
        <w:tc>
          <w:tcPr>
            <w:tcW w:w="1159" w:type="dxa"/>
            <w:tcBorders>
              <w:top w:val="nil"/>
              <w:left w:val="nil"/>
              <w:bottom w:val="nil"/>
              <w:right w:val="nil"/>
            </w:tcBorders>
            <w:shd w:val="clear" w:color="auto" w:fill="auto"/>
            <w:noWrap/>
            <w:vAlign w:val="bottom"/>
            <w:hideMark/>
          </w:tcPr>
          <w:p w14:paraId="69AAA406" w14:textId="77777777" w:rsidR="008A1E55" w:rsidRPr="00212E5F" w:rsidRDefault="008A1E55" w:rsidP="00E16CAE">
            <w:pPr>
              <w:jc w:val="right"/>
              <w:rPr>
                <w:sz w:val="17"/>
                <w:szCs w:val="17"/>
              </w:rPr>
            </w:pPr>
            <w:r w:rsidRPr="00212E5F">
              <w:rPr>
                <w:sz w:val="17"/>
                <w:szCs w:val="17"/>
              </w:rPr>
              <w:t>5.5</w:t>
            </w:r>
          </w:p>
        </w:tc>
        <w:tc>
          <w:tcPr>
            <w:tcW w:w="1159" w:type="dxa"/>
            <w:tcBorders>
              <w:top w:val="nil"/>
              <w:left w:val="nil"/>
              <w:bottom w:val="nil"/>
              <w:right w:val="nil"/>
            </w:tcBorders>
            <w:shd w:val="clear" w:color="auto" w:fill="auto"/>
            <w:noWrap/>
            <w:vAlign w:val="bottom"/>
            <w:hideMark/>
          </w:tcPr>
          <w:p w14:paraId="526360D5" w14:textId="77777777" w:rsidR="008A1E55" w:rsidRPr="00212E5F" w:rsidRDefault="008A1E55" w:rsidP="00E16CAE">
            <w:pPr>
              <w:jc w:val="right"/>
              <w:rPr>
                <w:sz w:val="17"/>
                <w:szCs w:val="17"/>
              </w:rPr>
            </w:pPr>
            <w:r w:rsidRPr="00212E5F">
              <w:rPr>
                <w:sz w:val="17"/>
                <w:szCs w:val="17"/>
              </w:rPr>
              <w:t>-</w:t>
            </w:r>
          </w:p>
        </w:tc>
        <w:tc>
          <w:tcPr>
            <w:tcW w:w="1159" w:type="dxa"/>
            <w:tcBorders>
              <w:top w:val="nil"/>
              <w:left w:val="nil"/>
              <w:bottom w:val="nil"/>
              <w:right w:val="nil"/>
            </w:tcBorders>
            <w:shd w:val="clear" w:color="auto" w:fill="auto"/>
            <w:noWrap/>
            <w:vAlign w:val="bottom"/>
            <w:hideMark/>
          </w:tcPr>
          <w:p w14:paraId="49869F60" w14:textId="77777777" w:rsidR="008A1E55" w:rsidRPr="00212E5F" w:rsidRDefault="008A1E55" w:rsidP="00E16CAE">
            <w:pPr>
              <w:jc w:val="right"/>
              <w:rPr>
                <w:sz w:val="17"/>
                <w:szCs w:val="17"/>
              </w:rPr>
            </w:pPr>
            <w:r w:rsidRPr="00212E5F">
              <w:rPr>
                <w:sz w:val="17"/>
                <w:szCs w:val="17"/>
              </w:rPr>
              <w:t>2.7</w:t>
            </w:r>
          </w:p>
        </w:tc>
        <w:tc>
          <w:tcPr>
            <w:tcW w:w="1187" w:type="dxa"/>
            <w:tcBorders>
              <w:top w:val="nil"/>
              <w:left w:val="nil"/>
              <w:bottom w:val="nil"/>
              <w:right w:val="nil"/>
            </w:tcBorders>
            <w:shd w:val="clear" w:color="auto" w:fill="auto"/>
            <w:noWrap/>
            <w:vAlign w:val="bottom"/>
            <w:hideMark/>
          </w:tcPr>
          <w:p w14:paraId="4C9CF11A" w14:textId="77777777" w:rsidR="008A1E55" w:rsidRPr="00212E5F" w:rsidRDefault="008A1E55" w:rsidP="00E16CAE">
            <w:pPr>
              <w:jc w:val="right"/>
              <w:rPr>
                <w:sz w:val="17"/>
                <w:szCs w:val="17"/>
              </w:rPr>
            </w:pPr>
            <w:r w:rsidRPr="00212E5F">
              <w:rPr>
                <w:sz w:val="17"/>
                <w:szCs w:val="17"/>
              </w:rPr>
              <w:t>2.5</w:t>
            </w:r>
          </w:p>
        </w:tc>
        <w:tc>
          <w:tcPr>
            <w:tcW w:w="1127" w:type="dxa"/>
            <w:tcBorders>
              <w:top w:val="nil"/>
              <w:left w:val="nil"/>
              <w:bottom w:val="nil"/>
              <w:right w:val="nil"/>
            </w:tcBorders>
            <w:shd w:val="clear" w:color="auto" w:fill="auto"/>
            <w:noWrap/>
            <w:vAlign w:val="bottom"/>
            <w:hideMark/>
          </w:tcPr>
          <w:p w14:paraId="3BDA5A5F" w14:textId="77777777" w:rsidR="008A1E55" w:rsidRPr="00212E5F" w:rsidRDefault="008A1E55" w:rsidP="00E16CAE">
            <w:pPr>
              <w:jc w:val="right"/>
              <w:rPr>
                <w:sz w:val="17"/>
                <w:szCs w:val="17"/>
              </w:rPr>
            </w:pPr>
            <w:r w:rsidRPr="00212E5F">
              <w:rPr>
                <w:sz w:val="17"/>
                <w:szCs w:val="17"/>
              </w:rPr>
              <w:t>1.4</w:t>
            </w:r>
          </w:p>
        </w:tc>
        <w:tc>
          <w:tcPr>
            <w:tcW w:w="1164" w:type="dxa"/>
            <w:tcBorders>
              <w:top w:val="nil"/>
              <w:left w:val="nil"/>
              <w:bottom w:val="nil"/>
              <w:right w:val="nil"/>
            </w:tcBorders>
            <w:shd w:val="clear" w:color="auto" w:fill="auto"/>
            <w:noWrap/>
            <w:vAlign w:val="bottom"/>
            <w:hideMark/>
          </w:tcPr>
          <w:p w14:paraId="42C9C5E1" w14:textId="77777777" w:rsidR="008A1E55" w:rsidRPr="00212E5F" w:rsidRDefault="008A1E55" w:rsidP="00E16CAE">
            <w:pPr>
              <w:jc w:val="right"/>
              <w:rPr>
                <w:sz w:val="17"/>
                <w:szCs w:val="17"/>
              </w:rPr>
            </w:pPr>
            <w:r w:rsidRPr="00212E5F">
              <w:rPr>
                <w:sz w:val="17"/>
                <w:szCs w:val="17"/>
              </w:rPr>
              <w:t>-</w:t>
            </w:r>
          </w:p>
        </w:tc>
      </w:tr>
      <w:tr w:rsidR="006B42D6" w:rsidRPr="00212E5F" w14:paraId="0865838E" w14:textId="77777777" w:rsidTr="004F65CD">
        <w:trPr>
          <w:trHeight w:val="57"/>
        </w:trPr>
        <w:tc>
          <w:tcPr>
            <w:tcW w:w="1668" w:type="dxa"/>
            <w:tcBorders>
              <w:top w:val="nil"/>
              <w:left w:val="nil"/>
              <w:bottom w:val="nil"/>
              <w:right w:val="nil"/>
            </w:tcBorders>
            <w:shd w:val="clear" w:color="auto" w:fill="auto"/>
            <w:noWrap/>
            <w:vAlign w:val="center"/>
            <w:hideMark/>
          </w:tcPr>
          <w:p w14:paraId="453FA725" w14:textId="77777777" w:rsidR="008A1E55" w:rsidRPr="00212E5F" w:rsidRDefault="008A1E55" w:rsidP="00E16CAE">
            <w:pPr>
              <w:rPr>
                <w:sz w:val="17"/>
                <w:szCs w:val="17"/>
              </w:rPr>
            </w:pPr>
            <w:r w:rsidRPr="00212E5F">
              <w:rPr>
                <w:sz w:val="17"/>
                <w:szCs w:val="17"/>
              </w:rPr>
              <w:t>Mbeya</w:t>
            </w:r>
          </w:p>
        </w:tc>
        <w:tc>
          <w:tcPr>
            <w:tcW w:w="1159" w:type="dxa"/>
            <w:tcBorders>
              <w:top w:val="nil"/>
              <w:left w:val="nil"/>
              <w:bottom w:val="nil"/>
              <w:right w:val="nil"/>
            </w:tcBorders>
            <w:shd w:val="clear" w:color="auto" w:fill="auto"/>
            <w:noWrap/>
            <w:vAlign w:val="bottom"/>
            <w:hideMark/>
          </w:tcPr>
          <w:p w14:paraId="35FC1EAB" w14:textId="77777777" w:rsidR="008A1E55" w:rsidRPr="00212E5F" w:rsidRDefault="008A1E55" w:rsidP="00E16CAE">
            <w:pPr>
              <w:jc w:val="right"/>
              <w:rPr>
                <w:sz w:val="17"/>
                <w:szCs w:val="17"/>
              </w:rPr>
            </w:pPr>
            <w:r w:rsidRPr="00212E5F">
              <w:rPr>
                <w:sz w:val="17"/>
                <w:szCs w:val="17"/>
              </w:rPr>
              <w:t>5.5</w:t>
            </w:r>
          </w:p>
        </w:tc>
        <w:tc>
          <w:tcPr>
            <w:tcW w:w="1159" w:type="dxa"/>
            <w:tcBorders>
              <w:top w:val="nil"/>
              <w:left w:val="nil"/>
              <w:bottom w:val="nil"/>
              <w:right w:val="nil"/>
            </w:tcBorders>
            <w:shd w:val="clear" w:color="auto" w:fill="auto"/>
            <w:noWrap/>
            <w:vAlign w:val="bottom"/>
            <w:hideMark/>
          </w:tcPr>
          <w:p w14:paraId="24315300" w14:textId="77777777" w:rsidR="008A1E55" w:rsidRPr="00212E5F" w:rsidRDefault="008A1E55" w:rsidP="00E16CAE">
            <w:pPr>
              <w:jc w:val="right"/>
              <w:rPr>
                <w:sz w:val="17"/>
                <w:szCs w:val="17"/>
              </w:rPr>
            </w:pPr>
            <w:r w:rsidRPr="00212E5F">
              <w:rPr>
                <w:sz w:val="17"/>
                <w:szCs w:val="17"/>
              </w:rPr>
              <w:t>1.5</w:t>
            </w:r>
          </w:p>
        </w:tc>
        <w:tc>
          <w:tcPr>
            <w:tcW w:w="1159" w:type="dxa"/>
            <w:tcBorders>
              <w:top w:val="nil"/>
              <w:left w:val="nil"/>
              <w:bottom w:val="nil"/>
              <w:right w:val="nil"/>
            </w:tcBorders>
            <w:shd w:val="clear" w:color="auto" w:fill="auto"/>
            <w:noWrap/>
            <w:vAlign w:val="bottom"/>
            <w:hideMark/>
          </w:tcPr>
          <w:p w14:paraId="1349E86A" w14:textId="77777777" w:rsidR="008A1E55" w:rsidRPr="00212E5F" w:rsidRDefault="008A1E55" w:rsidP="00E16CAE">
            <w:pPr>
              <w:jc w:val="right"/>
              <w:rPr>
                <w:sz w:val="17"/>
                <w:szCs w:val="17"/>
              </w:rPr>
            </w:pPr>
            <w:r w:rsidRPr="00212E5F">
              <w:rPr>
                <w:sz w:val="17"/>
                <w:szCs w:val="17"/>
              </w:rPr>
              <w:t>-</w:t>
            </w:r>
          </w:p>
        </w:tc>
        <w:tc>
          <w:tcPr>
            <w:tcW w:w="1159" w:type="dxa"/>
            <w:tcBorders>
              <w:top w:val="nil"/>
              <w:left w:val="nil"/>
              <w:bottom w:val="nil"/>
              <w:right w:val="nil"/>
            </w:tcBorders>
            <w:shd w:val="clear" w:color="auto" w:fill="auto"/>
            <w:noWrap/>
            <w:vAlign w:val="bottom"/>
            <w:hideMark/>
          </w:tcPr>
          <w:p w14:paraId="1565F3F1" w14:textId="77777777" w:rsidR="008A1E55" w:rsidRPr="00212E5F" w:rsidRDefault="008A1E55" w:rsidP="00E16CAE">
            <w:pPr>
              <w:jc w:val="right"/>
              <w:rPr>
                <w:sz w:val="17"/>
                <w:szCs w:val="17"/>
              </w:rPr>
            </w:pPr>
            <w:r w:rsidRPr="00212E5F">
              <w:rPr>
                <w:sz w:val="17"/>
                <w:szCs w:val="17"/>
              </w:rPr>
              <w:t>15.2</w:t>
            </w:r>
          </w:p>
        </w:tc>
        <w:tc>
          <w:tcPr>
            <w:tcW w:w="1187" w:type="dxa"/>
            <w:tcBorders>
              <w:top w:val="nil"/>
              <w:left w:val="nil"/>
              <w:bottom w:val="nil"/>
              <w:right w:val="nil"/>
            </w:tcBorders>
            <w:shd w:val="clear" w:color="auto" w:fill="auto"/>
            <w:noWrap/>
            <w:vAlign w:val="bottom"/>
            <w:hideMark/>
          </w:tcPr>
          <w:p w14:paraId="034C1855" w14:textId="77777777" w:rsidR="008A1E55" w:rsidRPr="00212E5F" w:rsidRDefault="008A1E55" w:rsidP="00E16CAE">
            <w:pPr>
              <w:jc w:val="right"/>
              <w:rPr>
                <w:sz w:val="17"/>
                <w:szCs w:val="17"/>
              </w:rPr>
            </w:pPr>
            <w:r w:rsidRPr="00212E5F">
              <w:rPr>
                <w:sz w:val="17"/>
                <w:szCs w:val="17"/>
              </w:rPr>
              <w:t>2.7</w:t>
            </w:r>
          </w:p>
        </w:tc>
        <w:tc>
          <w:tcPr>
            <w:tcW w:w="1127" w:type="dxa"/>
            <w:tcBorders>
              <w:top w:val="nil"/>
              <w:left w:val="nil"/>
              <w:bottom w:val="nil"/>
              <w:right w:val="nil"/>
            </w:tcBorders>
            <w:shd w:val="clear" w:color="auto" w:fill="auto"/>
            <w:noWrap/>
            <w:vAlign w:val="bottom"/>
            <w:hideMark/>
          </w:tcPr>
          <w:p w14:paraId="194E15B3" w14:textId="77777777" w:rsidR="008A1E55" w:rsidRPr="00212E5F" w:rsidRDefault="008A1E55" w:rsidP="00E16CAE">
            <w:pPr>
              <w:jc w:val="right"/>
              <w:rPr>
                <w:sz w:val="17"/>
                <w:szCs w:val="17"/>
              </w:rPr>
            </w:pPr>
            <w:r w:rsidRPr="00212E5F">
              <w:rPr>
                <w:sz w:val="17"/>
                <w:szCs w:val="17"/>
              </w:rPr>
              <w:t>2.1</w:t>
            </w:r>
          </w:p>
        </w:tc>
        <w:tc>
          <w:tcPr>
            <w:tcW w:w="1164" w:type="dxa"/>
            <w:tcBorders>
              <w:top w:val="nil"/>
              <w:left w:val="nil"/>
              <w:bottom w:val="nil"/>
              <w:right w:val="nil"/>
            </w:tcBorders>
            <w:shd w:val="clear" w:color="auto" w:fill="auto"/>
            <w:noWrap/>
            <w:vAlign w:val="bottom"/>
            <w:hideMark/>
          </w:tcPr>
          <w:p w14:paraId="63A33CEF" w14:textId="77777777" w:rsidR="008A1E55" w:rsidRPr="00212E5F" w:rsidRDefault="008A1E55" w:rsidP="00E16CAE">
            <w:pPr>
              <w:jc w:val="right"/>
              <w:rPr>
                <w:sz w:val="17"/>
                <w:szCs w:val="17"/>
              </w:rPr>
            </w:pPr>
            <w:r w:rsidRPr="00212E5F">
              <w:rPr>
                <w:sz w:val="17"/>
                <w:szCs w:val="17"/>
              </w:rPr>
              <w:t>1.0</w:t>
            </w:r>
          </w:p>
        </w:tc>
      </w:tr>
      <w:tr w:rsidR="006B42D6" w:rsidRPr="00212E5F" w14:paraId="10999775" w14:textId="77777777" w:rsidTr="004F65CD">
        <w:trPr>
          <w:trHeight w:val="57"/>
        </w:trPr>
        <w:tc>
          <w:tcPr>
            <w:tcW w:w="1668" w:type="dxa"/>
            <w:tcBorders>
              <w:top w:val="nil"/>
              <w:left w:val="nil"/>
              <w:bottom w:val="nil"/>
              <w:right w:val="nil"/>
            </w:tcBorders>
            <w:shd w:val="clear" w:color="auto" w:fill="auto"/>
            <w:noWrap/>
            <w:vAlign w:val="center"/>
            <w:hideMark/>
          </w:tcPr>
          <w:p w14:paraId="39749330" w14:textId="77777777" w:rsidR="008A1E55" w:rsidRPr="00212E5F" w:rsidRDefault="008A1E55" w:rsidP="00E16CAE">
            <w:pPr>
              <w:rPr>
                <w:sz w:val="17"/>
                <w:szCs w:val="17"/>
              </w:rPr>
            </w:pPr>
            <w:r w:rsidRPr="00212E5F">
              <w:rPr>
                <w:sz w:val="17"/>
                <w:szCs w:val="17"/>
              </w:rPr>
              <w:t>Singida</w:t>
            </w:r>
          </w:p>
        </w:tc>
        <w:tc>
          <w:tcPr>
            <w:tcW w:w="1159" w:type="dxa"/>
            <w:tcBorders>
              <w:top w:val="nil"/>
              <w:left w:val="nil"/>
              <w:bottom w:val="nil"/>
              <w:right w:val="nil"/>
            </w:tcBorders>
            <w:shd w:val="clear" w:color="auto" w:fill="auto"/>
            <w:noWrap/>
            <w:vAlign w:val="bottom"/>
            <w:hideMark/>
          </w:tcPr>
          <w:p w14:paraId="483F5F8B" w14:textId="77777777" w:rsidR="008A1E55" w:rsidRPr="00212E5F" w:rsidRDefault="008A1E55" w:rsidP="00E16CAE">
            <w:pPr>
              <w:jc w:val="right"/>
              <w:rPr>
                <w:sz w:val="17"/>
                <w:szCs w:val="17"/>
              </w:rPr>
            </w:pPr>
            <w:r w:rsidRPr="00212E5F">
              <w:rPr>
                <w:sz w:val="17"/>
                <w:szCs w:val="17"/>
              </w:rPr>
              <w:t>3.4</w:t>
            </w:r>
          </w:p>
        </w:tc>
        <w:tc>
          <w:tcPr>
            <w:tcW w:w="1159" w:type="dxa"/>
            <w:tcBorders>
              <w:top w:val="nil"/>
              <w:left w:val="nil"/>
              <w:bottom w:val="nil"/>
              <w:right w:val="nil"/>
            </w:tcBorders>
            <w:shd w:val="clear" w:color="auto" w:fill="auto"/>
            <w:noWrap/>
            <w:vAlign w:val="bottom"/>
            <w:hideMark/>
          </w:tcPr>
          <w:p w14:paraId="42413FCC" w14:textId="77777777" w:rsidR="008A1E55" w:rsidRPr="00212E5F" w:rsidRDefault="008A1E55" w:rsidP="00E16CAE">
            <w:pPr>
              <w:jc w:val="right"/>
              <w:rPr>
                <w:sz w:val="17"/>
                <w:szCs w:val="17"/>
              </w:rPr>
            </w:pPr>
            <w:r w:rsidRPr="00212E5F">
              <w:rPr>
                <w:sz w:val="17"/>
                <w:szCs w:val="17"/>
              </w:rPr>
              <w:t>3.7</w:t>
            </w:r>
          </w:p>
        </w:tc>
        <w:tc>
          <w:tcPr>
            <w:tcW w:w="1159" w:type="dxa"/>
            <w:tcBorders>
              <w:top w:val="nil"/>
              <w:left w:val="nil"/>
              <w:bottom w:val="nil"/>
              <w:right w:val="nil"/>
            </w:tcBorders>
            <w:shd w:val="clear" w:color="auto" w:fill="auto"/>
            <w:noWrap/>
            <w:vAlign w:val="bottom"/>
            <w:hideMark/>
          </w:tcPr>
          <w:p w14:paraId="5C3948F4" w14:textId="77777777" w:rsidR="008A1E55" w:rsidRPr="00212E5F" w:rsidRDefault="008A1E55" w:rsidP="00E16CAE">
            <w:pPr>
              <w:jc w:val="right"/>
              <w:rPr>
                <w:sz w:val="17"/>
                <w:szCs w:val="17"/>
              </w:rPr>
            </w:pPr>
            <w:r w:rsidRPr="00212E5F">
              <w:rPr>
                <w:sz w:val="17"/>
                <w:szCs w:val="17"/>
              </w:rPr>
              <w:t>-</w:t>
            </w:r>
          </w:p>
        </w:tc>
        <w:tc>
          <w:tcPr>
            <w:tcW w:w="1159" w:type="dxa"/>
            <w:tcBorders>
              <w:top w:val="nil"/>
              <w:left w:val="nil"/>
              <w:bottom w:val="nil"/>
              <w:right w:val="nil"/>
            </w:tcBorders>
            <w:shd w:val="clear" w:color="auto" w:fill="auto"/>
            <w:noWrap/>
            <w:vAlign w:val="bottom"/>
            <w:hideMark/>
          </w:tcPr>
          <w:p w14:paraId="1CB09C4C" w14:textId="77777777" w:rsidR="008A1E55" w:rsidRPr="00212E5F" w:rsidRDefault="008A1E55" w:rsidP="00E16CAE">
            <w:pPr>
              <w:jc w:val="right"/>
              <w:rPr>
                <w:sz w:val="17"/>
                <w:szCs w:val="17"/>
              </w:rPr>
            </w:pPr>
            <w:r w:rsidRPr="00212E5F">
              <w:rPr>
                <w:sz w:val="17"/>
                <w:szCs w:val="17"/>
              </w:rPr>
              <w:t>-</w:t>
            </w:r>
          </w:p>
        </w:tc>
        <w:tc>
          <w:tcPr>
            <w:tcW w:w="1187" w:type="dxa"/>
            <w:tcBorders>
              <w:top w:val="nil"/>
              <w:left w:val="nil"/>
              <w:bottom w:val="nil"/>
              <w:right w:val="nil"/>
            </w:tcBorders>
            <w:shd w:val="clear" w:color="auto" w:fill="auto"/>
            <w:noWrap/>
            <w:vAlign w:val="bottom"/>
            <w:hideMark/>
          </w:tcPr>
          <w:p w14:paraId="3E68D96A" w14:textId="77777777" w:rsidR="008A1E55" w:rsidRPr="00212E5F" w:rsidRDefault="008A1E55" w:rsidP="00E16CAE">
            <w:pPr>
              <w:jc w:val="right"/>
              <w:rPr>
                <w:sz w:val="17"/>
                <w:szCs w:val="17"/>
              </w:rPr>
            </w:pPr>
            <w:r w:rsidRPr="00212E5F">
              <w:rPr>
                <w:sz w:val="17"/>
                <w:szCs w:val="17"/>
              </w:rPr>
              <w:t>1.5</w:t>
            </w:r>
          </w:p>
        </w:tc>
        <w:tc>
          <w:tcPr>
            <w:tcW w:w="1127" w:type="dxa"/>
            <w:tcBorders>
              <w:top w:val="nil"/>
              <w:left w:val="nil"/>
              <w:bottom w:val="nil"/>
              <w:right w:val="nil"/>
            </w:tcBorders>
            <w:shd w:val="clear" w:color="auto" w:fill="auto"/>
            <w:noWrap/>
            <w:vAlign w:val="bottom"/>
            <w:hideMark/>
          </w:tcPr>
          <w:p w14:paraId="57698E20" w14:textId="77777777" w:rsidR="008A1E55" w:rsidRPr="00212E5F" w:rsidRDefault="008A1E55" w:rsidP="00E16CAE">
            <w:pPr>
              <w:jc w:val="right"/>
              <w:rPr>
                <w:sz w:val="17"/>
                <w:szCs w:val="17"/>
              </w:rPr>
            </w:pPr>
            <w:r w:rsidRPr="00212E5F">
              <w:rPr>
                <w:sz w:val="17"/>
                <w:szCs w:val="17"/>
              </w:rPr>
              <w:t>15.3</w:t>
            </w:r>
          </w:p>
        </w:tc>
        <w:tc>
          <w:tcPr>
            <w:tcW w:w="1164" w:type="dxa"/>
            <w:tcBorders>
              <w:top w:val="nil"/>
              <w:left w:val="nil"/>
              <w:bottom w:val="nil"/>
              <w:right w:val="nil"/>
            </w:tcBorders>
            <w:shd w:val="clear" w:color="auto" w:fill="auto"/>
            <w:noWrap/>
            <w:vAlign w:val="bottom"/>
            <w:hideMark/>
          </w:tcPr>
          <w:p w14:paraId="077E3A92" w14:textId="77777777" w:rsidR="008A1E55" w:rsidRPr="00212E5F" w:rsidRDefault="008A1E55" w:rsidP="00E16CAE">
            <w:pPr>
              <w:jc w:val="right"/>
              <w:rPr>
                <w:sz w:val="17"/>
                <w:szCs w:val="17"/>
              </w:rPr>
            </w:pPr>
            <w:r w:rsidRPr="00212E5F">
              <w:rPr>
                <w:sz w:val="17"/>
                <w:szCs w:val="17"/>
              </w:rPr>
              <w:t>19.6</w:t>
            </w:r>
          </w:p>
        </w:tc>
      </w:tr>
      <w:tr w:rsidR="006B42D6" w:rsidRPr="00212E5F" w14:paraId="4B1B7792" w14:textId="77777777" w:rsidTr="004F65CD">
        <w:trPr>
          <w:trHeight w:val="57"/>
        </w:trPr>
        <w:tc>
          <w:tcPr>
            <w:tcW w:w="1668" w:type="dxa"/>
            <w:tcBorders>
              <w:top w:val="nil"/>
              <w:left w:val="nil"/>
              <w:bottom w:val="nil"/>
              <w:right w:val="nil"/>
            </w:tcBorders>
            <w:shd w:val="clear" w:color="auto" w:fill="auto"/>
            <w:noWrap/>
            <w:vAlign w:val="center"/>
            <w:hideMark/>
          </w:tcPr>
          <w:p w14:paraId="6F54219E" w14:textId="77777777" w:rsidR="008A1E55" w:rsidRPr="00212E5F" w:rsidRDefault="008A1E55" w:rsidP="00E16CAE">
            <w:pPr>
              <w:rPr>
                <w:sz w:val="17"/>
                <w:szCs w:val="17"/>
              </w:rPr>
            </w:pPr>
            <w:r w:rsidRPr="00212E5F">
              <w:rPr>
                <w:sz w:val="17"/>
                <w:szCs w:val="17"/>
              </w:rPr>
              <w:t>Tabora</w:t>
            </w:r>
          </w:p>
        </w:tc>
        <w:tc>
          <w:tcPr>
            <w:tcW w:w="1159" w:type="dxa"/>
            <w:tcBorders>
              <w:top w:val="nil"/>
              <w:left w:val="nil"/>
              <w:bottom w:val="nil"/>
              <w:right w:val="nil"/>
            </w:tcBorders>
            <w:shd w:val="clear" w:color="auto" w:fill="auto"/>
            <w:noWrap/>
            <w:vAlign w:val="bottom"/>
            <w:hideMark/>
          </w:tcPr>
          <w:p w14:paraId="099A9A7F" w14:textId="77777777" w:rsidR="008A1E55" w:rsidRPr="00212E5F" w:rsidRDefault="008A1E55" w:rsidP="00E16CAE">
            <w:pPr>
              <w:jc w:val="right"/>
              <w:rPr>
                <w:sz w:val="17"/>
                <w:szCs w:val="17"/>
              </w:rPr>
            </w:pPr>
            <w:r w:rsidRPr="00212E5F">
              <w:rPr>
                <w:sz w:val="17"/>
                <w:szCs w:val="17"/>
              </w:rPr>
              <w:t>3.7</w:t>
            </w:r>
          </w:p>
        </w:tc>
        <w:tc>
          <w:tcPr>
            <w:tcW w:w="1159" w:type="dxa"/>
            <w:tcBorders>
              <w:top w:val="nil"/>
              <w:left w:val="nil"/>
              <w:bottom w:val="nil"/>
              <w:right w:val="nil"/>
            </w:tcBorders>
            <w:shd w:val="clear" w:color="auto" w:fill="auto"/>
            <w:noWrap/>
            <w:vAlign w:val="bottom"/>
            <w:hideMark/>
          </w:tcPr>
          <w:p w14:paraId="0B25A36D" w14:textId="77777777" w:rsidR="008A1E55" w:rsidRPr="00212E5F" w:rsidRDefault="008A1E55" w:rsidP="00E16CAE">
            <w:pPr>
              <w:jc w:val="right"/>
              <w:rPr>
                <w:sz w:val="17"/>
                <w:szCs w:val="17"/>
              </w:rPr>
            </w:pPr>
            <w:r w:rsidRPr="00212E5F">
              <w:rPr>
                <w:sz w:val="17"/>
                <w:szCs w:val="17"/>
              </w:rPr>
              <w:t>-</w:t>
            </w:r>
          </w:p>
        </w:tc>
        <w:tc>
          <w:tcPr>
            <w:tcW w:w="1159" w:type="dxa"/>
            <w:tcBorders>
              <w:top w:val="nil"/>
              <w:left w:val="nil"/>
              <w:bottom w:val="nil"/>
              <w:right w:val="nil"/>
            </w:tcBorders>
            <w:shd w:val="clear" w:color="auto" w:fill="auto"/>
            <w:noWrap/>
            <w:vAlign w:val="bottom"/>
            <w:hideMark/>
          </w:tcPr>
          <w:p w14:paraId="3DFB434C" w14:textId="77777777" w:rsidR="008A1E55" w:rsidRPr="00212E5F" w:rsidRDefault="008A1E55" w:rsidP="00E16CAE">
            <w:pPr>
              <w:jc w:val="right"/>
              <w:rPr>
                <w:sz w:val="17"/>
                <w:szCs w:val="17"/>
              </w:rPr>
            </w:pPr>
            <w:r w:rsidRPr="00212E5F">
              <w:rPr>
                <w:sz w:val="17"/>
                <w:szCs w:val="17"/>
              </w:rPr>
              <w:t>-</w:t>
            </w:r>
          </w:p>
        </w:tc>
        <w:tc>
          <w:tcPr>
            <w:tcW w:w="1159" w:type="dxa"/>
            <w:tcBorders>
              <w:top w:val="nil"/>
              <w:left w:val="nil"/>
              <w:bottom w:val="nil"/>
              <w:right w:val="nil"/>
            </w:tcBorders>
            <w:shd w:val="clear" w:color="auto" w:fill="auto"/>
            <w:noWrap/>
            <w:vAlign w:val="bottom"/>
            <w:hideMark/>
          </w:tcPr>
          <w:p w14:paraId="6B518503" w14:textId="77777777" w:rsidR="008A1E55" w:rsidRPr="00212E5F" w:rsidRDefault="008A1E55" w:rsidP="00E16CAE">
            <w:pPr>
              <w:jc w:val="right"/>
              <w:rPr>
                <w:sz w:val="17"/>
                <w:szCs w:val="17"/>
              </w:rPr>
            </w:pPr>
            <w:r w:rsidRPr="00212E5F">
              <w:rPr>
                <w:sz w:val="17"/>
                <w:szCs w:val="17"/>
              </w:rPr>
              <w:t>4.6</w:t>
            </w:r>
          </w:p>
        </w:tc>
        <w:tc>
          <w:tcPr>
            <w:tcW w:w="1187" w:type="dxa"/>
            <w:tcBorders>
              <w:top w:val="nil"/>
              <w:left w:val="nil"/>
              <w:bottom w:val="nil"/>
              <w:right w:val="nil"/>
            </w:tcBorders>
            <w:shd w:val="clear" w:color="auto" w:fill="auto"/>
            <w:noWrap/>
            <w:vAlign w:val="bottom"/>
            <w:hideMark/>
          </w:tcPr>
          <w:p w14:paraId="3168AC17" w14:textId="77777777" w:rsidR="008A1E55" w:rsidRPr="00212E5F" w:rsidRDefault="008A1E55" w:rsidP="00E16CAE">
            <w:pPr>
              <w:jc w:val="right"/>
              <w:rPr>
                <w:sz w:val="17"/>
                <w:szCs w:val="17"/>
              </w:rPr>
            </w:pPr>
            <w:r w:rsidRPr="00212E5F">
              <w:rPr>
                <w:sz w:val="17"/>
                <w:szCs w:val="17"/>
              </w:rPr>
              <w:t>11.5</w:t>
            </w:r>
          </w:p>
        </w:tc>
        <w:tc>
          <w:tcPr>
            <w:tcW w:w="1127" w:type="dxa"/>
            <w:tcBorders>
              <w:top w:val="nil"/>
              <w:left w:val="nil"/>
              <w:bottom w:val="nil"/>
              <w:right w:val="nil"/>
            </w:tcBorders>
            <w:shd w:val="clear" w:color="auto" w:fill="auto"/>
            <w:noWrap/>
            <w:vAlign w:val="bottom"/>
            <w:hideMark/>
          </w:tcPr>
          <w:p w14:paraId="179ECCB1" w14:textId="77777777" w:rsidR="008A1E55" w:rsidRPr="00212E5F" w:rsidRDefault="008A1E55" w:rsidP="00E16CAE">
            <w:pPr>
              <w:jc w:val="right"/>
              <w:rPr>
                <w:sz w:val="17"/>
                <w:szCs w:val="17"/>
              </w:rPr>
            </w:pPr>
            <w:r w:rsidRPr="00212E5F">
              <w:rPr>
                <w:sz w:val="17"/>
                <w:szCs w:val="17"/>
              </w:rPr>
              <w:t>4.9</w:t>
            </w:r>
          </w:p>
        </w:tc>
        <w:tc>
          <w:tcPr>
            <w:tcW w:w="1164" w:type="dxa"/>
            <w:tcBorders>
              <w:top w:val="nil"/>
              <w:left w:val="nil"/>
              <w:bottom w:val="nil"/>
              <w:right w:val="nil"/>
            </w:tcBorders>
            <w:shd w:val="clear" w:color="auto" w:fill="auto"/>
            <w:noWrap/>
            <w:vAlign w:val="bottom"/>
            <w:hideMark/>
          </w:tcPr>
          <w:p w14:paraId="421F7014" w14:textId="77777777" w:rsidR="008A1E55" w:rsidRPr="00212E5F" w:rsidRDefault="008A1E55" w:rsidP="00E16CAE">
            <w:pPr>
              <w:jc w:val="right"/>
              <w:rPr>
                <w:sz w:val="17"/>
                <w:szCs w:val="17"/>
              </w:rPr>
            </w:pPr>
            <w:r w:rsidRPr="00212E5F">
              <w:rPr>
                <w:sz w:val="17"/>
                <w:szCs w:val="17"/>
              </w:rPr>
              <w:t>5.1</w:t>
            </w:r>
          </w:p>
        </w:tc>
      </w:tr>
      <w:tr w:rsidR="006B42D6" w:rsidRPr="00212E5F" w14:paraId="238D27C5" w14:textId="77777777" w:rsidTr="004F65CD">
        <w:trPr>
          <w:trHeight w:val="57"/>
        </w:trPr>
        <w:tc>
          <w:tcPr>
            <w:tcW w:w="1668" w:type="dxa"/>
            <w:tcBorders>
              <w:top w:val="nil"/>
              <w:left w:val="nil"/>
              <w:bottom w:val="nil"/>
              <w:right w:val="nil"/>
            </w:tcBorders>
            <w:shd w:val="clear" w:color="auto" w:fill="auto"/>
            <w:noWrap/>
            <w:vAlign w:val="center"/>
            <w:hideMark/>
          </w:tcPr>
          <w:p w14:paraId="77C700BD" w14:textId="77777777" w:rsidR="008A1E55" w:rsidRPr="00212E5F" w:rsidRDefault="008A1E55" w:rsidP="00E16CAE">
            <w:pPr>
              <w:rPr>
                <w:sz w:val="17"/>
                <w:szCs w:val="17"/>
              </w:rPr>
            </w:pPr>
            <w:r w:rsidRPr="00212E5F">
              <w:rPr>
                <w:sz w:val="17"/>
                <w:szCs w:val="17"/>
              </w:rPr>
              <w:t>Rukwa</w:t>
            </w:r>
          </w:p>
        </w:tc>
        <w:tc>
          <w:tcPr>
            <w:tcW w:w="1159" w:type="dxa"/>
            <w:tcBorders>
              <w:top w:val="nil"/>
              <w:left w:val="nil"/>
              <w:bottom w:val="nil"/>
              <w:right w:val="nil"/>
            </w:tcBorders>
            <w:shd w:val="clear" w:color="auto" w:fill="auto"/>
            <w:noWrap/>
            <w:vAlign w:val="bottom"/>
            <w:hideMark/>
          </w:tcPr>
          <w:p w14:paraId="287457A9" w14:textId="77777777" w:rsidR="008A1E55" w:rsidRPr="00212E5F" w:rsidRDefault="008A1E55" w:rsidP="00E16CAE">
            <w:pPr>
              <w:jc w:val="right"/>
              <w:rPr>
                <w:sz w:val="17"/>
                <w:szCs w:val="17"/>
              </w:rPr>
            </w:pPr>
            <w:r w:rsidRPr="00212E5F">
              <w:rPr>
                <w:sz w:val="17"/>
                <w:szCs w:val="17"/>
              </w:rPr>
              <w:t>2.6</w:t>
            </w:r>
          </w:p>
        </w:tc>
        <w:tc>
          <w:tcPr>
            <w:tcW w:w="1159" w:type="dxa"/>
            <w:tcBorders>
              <w:top w:val="nil"/>
              <w:left w:val="nil"/>
              <w:bottom w:val="nil"/>
              <w:right w:val="nil"/>
            </w:tcBorders>
            <w:shd w:val="clear" w:color="auto" w:fill="auto"/>
            <w:noWrap/>
            <w:vAlign w:val="bottom"/>
            <w:hideMark/>
          </w:tcPr>
          <w:p w14:paraId="1253B1C2" w14:textId="77777777" w:rsidR="008A1E55" w:rsidRPr="00212E5F" w:rsidRDefault="008A1E55" w:rsidP="00E16CAE">
            <w:pPr>
              <w:jc w:val="right"/>
              <w:rPr>
                <w:sz w:val="17"/>
                <w:szCs w:val="17"/>
              </w:rPr>
            </w:pPr>
            <w:r w:rsidRPr="00212E5F">
              <w:rPr>
                <w:sz w:val="17"/>
                <w:szCs w:val="17"/>
              </w:rPr>
              <w:t>1.6</w:t>
            </w:r>
          </w:p>
        </w:tc>
        <w:tc>
          <w:tcPr>
            <w:tcW w:w="1159" w:type="dxa"/>
            <w:tcBorders>
              <w:top w:val="nil"/>
              <w:left w:val="nil"/>
              <w:bottom w:val="nil"/>
              <w:right w:val="nil"/>
            </w:tcBorders>
            <w:shd w:val="clear" w:color="auto" w:fill="auto"/>
            <w:noWrap/>
            <w:vAlign w:val="bottom"/>
            <w:hideMark/>
          </w:tcPr>
          <w:p w14:paraId="2FD71E45" w14:textId="77777777" w:rsidR="008A1E55" w:rsidRPr="00212E5F" w:rsidRDefault="008A1E55" w:rsidP="00E16CAE">
            <w:pPr>
              <w:jc w:val="right"/>
              <w:rPr>
                <w:sz w:val="17"/>
                <w:szCs w:val="17"/>
              </w:rPr>
            </w:pPr>
            <w:r w:rsidRPr="00212E5F">
              <w:rPr>
                <w:sz w:val="17"/>
                <w:szCs w:val="17"/>
              </w:rPr>
              <w:t>-</w:t>
            </w:r>
          </w:p>
        </w:tc>
        <w:tc>
          <w:tcPr>
            <w:tcW w:w="1159" w:type="dxa"/>
            <w:tcBorders>
              <w:top w:val="nil"/>
              <w:left w:val="nil"/>
              <w:bottom w:val="nil"/>
              <w:right w:val="nil"/>
            </w:tcBorders>
            <w:shd w:val="clear" w:color="auto" w:fill="auto"/>
            <w:noWrap/>
            <w:vAlign w:val="bottom"/>
            <w:hideMark/>
          </w:tcPr>
          <w:p w14:paraId="6AB0F8C8" w14:textId="77777777" w:rsidR="008A1E55" w:rsidRPr="00212E5F" w:rsidRDefault="008A1E55" w:rsidP="00E16CAE">
            <w:pPr>
              <w:jc w:val="right"/>
              <w:rPr>
                <w:sz w:val="17"/>
                <w:szCs w:val="17"/>
              </w:rPr>
            </w:pPr>
            <w:r w:rsidRPr="00212E5F">
              <w:rPr>
                <w:sz w:val="17"/>
                <w:szCs w:val="17"/>
              </w:rPr>
              <w:t>-</w:t>
            </w:r>
          </w:p>
        </w:tc>
        <w:tc>
          <w:tcPr>
            <w:tcW w:w="1187" w:type="dxa"/>
            <w:tcBorders>
              <w:top w:val="nil"/>
              <w:left w:val="nil"/>
              <w:bottom w:val="nil"/>
              <w:right w:val="nil"/>
            </w:tcBorders>
            <w:shd w:val="clear" w:color="auto" w:fill="auto"/>
            <w:noWrap/>
            <w:vAlign w:val="bottom"/>
            <w:hideMark/>
          </w:tcPr>
          <w:p w14:paraId="224507F2" w14:textId="77777777" w:rsidR="008A1E55" w:rsidRPr="00212E5F" w:rsidRDefault="008A1E55" w:rsidP="00E16CAE">
            <w:pPr>
              <w:jc w:val="right"/>
              <w:rPr>
                <w:sz w:val="17"/>
                <w:szCs w:val="17"/>
              </w:rPr>
            </w:pPr>
            <w:r w:rsidRPr="00212E5F">
              <w:rPr>
                <w:sz w:val="17"/>
                <w:szCs w:val="17"/>
              </w:rPr>
              <w:t>4.1</w:t>
            </w:r>
          </w:p>
        </w:tc>
        <w:tc>
          <w:tcPr>
            <w:tcW w:w="1127" w:type="dxa"/>
            <w:tcBorders>
              <w:top w:val="nil"/>
              <w:left w:val="nil"/>
              <w:bottom w:val="nil"/>
              <w:right w:val="nil"/>
            </w:tcBorders>
            <w:shd w:val="clear" w:color="auto" w:fill="auto"/>
            <w:noWrap/>
            <w:vAlign w:val="bottom"/>
            <w:hideMark/>
          </w:tcPr>
          <w:p w14:paraId="4D4E88FC" w14:textId="77777777" w:rsidR="008A1E55" w:rsidRPr="00212E5F" w:rsidRDefault="008A1E55" w:rsidP="00E16CAE">
            <w:pPr>
              <w:jc w:val="right"/>
              <w:rPr>
                <w:sz w:val="17"/>
                <w:szCs w:val="17"/>
              </w:rPr>
            </w:pPr>
            <w:r w:rsidRPr="00212E5F">
              <w:rPr>
                <w:sz w:val="17"/>
                <w:szCs w:val="17"/>
              </w:rPr>
              <w:t>4.0</w:t>
            </w:r>
          </w:p>
        </w:tc>
        <w:tc>
          <w:tcPr>
            <w:tcW w:w="1164" w:type="dxa"/>
            <w:tcBorders>
              <w:top w:val="nil"/>
              <w:left w:val="nil"/>
              <w:bottom w:val="nil"/>
              <w:right w:val="nil"/>
            </w:tcBorders>
            <w:shd w:val="clear" w:color="auto" w:fill="auto"/>
            <w:noWrap/>
            <w:vAlign w:val="bottom"/>
            <w:hideMark/>
          </w:tcPr>
          <w:p w14:paraId="58E9FC9E" w14:textId="77777777" w:rsidR="008A1E55" w:rsidRPr="00212E5F" w:rsidRDefault="008A1E55" w:rsidP="00E16CAE">
            <w:pPr>
              <w:jc w:val="right"/>
              <w:rPr>
                <w:sz w:val="17"/>
                <w:szCs w:val="17"/>
              </w:rPr>
            </w:pPr>
            <w:r w:rsidRPr="00212E5F">
              <w:rPr>
                <w:sz w:val="17"/>
                <w:szCs w:val="17"/>
              </w:rPr>
              <w:t>-</w:t>
            </w:r>
          </w:p>
        </w:tc>
      </w:tr>
      <w:tr w:rsidR="006B42D6" w:rsidRPr="00212E5F" w14:paraId="4F28A627" w14:textId="77777777" w:rsidTr="004F65CD">
        <w:trPr>
          <w:trHeight w:val="57"/>
        </w:trPr>
        <w:tc>
          <w:tcPr>
            <w:tcW w:w="1668" w:type="dxa"/>
            <w:tcBorders>
              <w:top w:val="nil"/>
              <w:left w:val="nil"/>
              <w:bottom w:val="nil"/>
              <w:right w:val="nil"/>
            </w:tcBorders>
            <w:shd w:val="clear" w:color="auto" w:fill="auto"/>
            <w:noWrap/>
            <w:vAlign w:val="center"/>
            <w:hideMark/>
          </w:tcPr>
          <w:p w14:paraId="793B7965" w14:textId="77777777" w:rsidR="008A1E55" w:rsidRPr="00212E5F" w:rsidRDefault="008A1E55" w:rsidP="00E16CAE">
            <w:pPr>
              <w:rPr>
                <w:sz w:val="17"/>
                <w:szCs w:val="17"/>
              </w:rPr>
            </w:pPr>
            <w:r w:rsidRPr="00212E5F">
              <w:rPr>
                <w:sz w:val="17"/>
                <w:szCs w:val="17"/>
              </w:rPr>
              <w:t>Kigoma</w:t>
            </w:r>
          </w:p>
        </w:tc>
        <w:tc>
          <w:tcPr>
            <w:tcW w:w="1159" w:type="dxa"/>
            <w:tcBorders>
              <w:top w:val="nil"/>
              <w:left w:val="nil"/>
              <w:bottom w:val="nil"/>
              <w:right w:val="nil"/>
            </w:tcBorders>
            <w:shd w:val="clear" w:color="auto" w:fill="auto"/>
            <w:noWrap/>
            <w:vAlign w:val="bottom"/>
            <w:hideMark/>
          </w:tcPr>
          <w:p w14:paraId="79AD06CF" w14:textId="77777777" w:rsidR="008A1E55" w:rsidRPr="00212E5F" w:rsidRDefault="008A1E55" w:rsidP="00E16CAE">
            <w:pPr>
              <w:jc w:val="right"/>
              <w:rPr>
                <w:sz w:val="17"/>
                <w:szCs w:val="17"/>
              </w:rPr>
            </w:pPr>
            <w:r w:rsidRPr="00212E5F">
              <w:rPr>
                <w:sz w:val="17"/>
                <w:szCs w:val="17"/>
              </w:rPr>
              <w:t>4.6</w:t>
            </w:r>
          </w:p>
        </w:tc>
        <w:tc>
          <w:tcPr>
            <w:tcW w:w="1159" w:type="dxa"/>
            <w:tcBorders>
              <w:top w:val="nil"/>
              <w:left w:val="nil"/>
              <w:bottom w:val="nil"/>
              <w:right w:val="nil"/>
            </w:tcBorders>
            <w:shd w:val="clear" w:color="auto" w:fill="auto"/>
            <w:noWrap/>
            <w:vAlign w:val="bottom"/>
            <w:hideMark/>
          </w:tcPr>
          <w:p w14:paraId="7DEB1B6C" w14:textId="77777777" w:rsidR="008A1E55" w:rsidRPr="00212E5F" w:rsidRDefault="008A1E55" w:rsidP="00E16CAE">
            <w:pPr>
              <w:jc w:val="right"/>
              <w:rPr>
                <w:sz w:val="17"/>
                <w:szCs w:val="17"/>
              </w:rPr>
            </w:pPr>
            <w:r w:rsidRPr="00212E5F">
              <w:rPr>
                <w:sz w:val="17"/>
                <w:szCs w:val="17"/>
              </w:rPr>
              <w:t>6.2</w:t>
            </w:r>
          </w:p>
        </w:tc>
        <w:tc>
          <w:tcPr>
            <w:tcW w:w="1159" w:type="dxa"/>
            <w:tcBorders>
              <w:top w:val="nil"/>
              <w:left w:val="nil"/>
              <w:bottom w:val="nil"/>
              <w:right w:val="nil"/>
            </w:tcBorders>
            <w:shd w:val="clear" w:color="auto" w:fill="auto"/>
            <w:noWrap/>
            <w:vAlign w:val="bottom"/>
            <w:hideMark/>
          </w:tcPr>
          <w:p w14:paraId="3F87F18D" w14:textId="77777777" w:rsidR="008A1E55" w:rsidRPr="00212E5F" w:rsidRDefault="008A1E55" w:rsidP="00E16CAE">
            <w:pPr>
              <w:jc w:val="right"/>
              <w:rPr>
                <w:sz w:val="17"/>
                <w:szCs w:val="17"/>
              </w:rPr>
            </w:pPr>
            <w:r w:rsidRPr="00212E5F">
              <w:rPr>
                <w:sz w:val="17"/>
                <w:szCs w:val="17"/>
              </w:rPr>
              <w:t>-</w:t>
            </w:r>
          </w:p>
        </w:tc>
        <w:tc>
          <w:tcPr>
            <w:tcW w:w="1159" w:type="dxa"/>
            <w:tcBorders>
              <w:top w:val="nil"/>
              <w:left w:val="nil"/>
              <w:bottom w:val="nil"/>
              <w:right w:val="nil"/>
            </w:tcBorders>
            <w:shd w:val="clear" w:color="auto" w:fill="auto"/>
            <w:noWrap/>
            <w:vAlign w:val="bottom"/>
            <w:hideMark/>
          </w:tcPr>
          <w:p w14:paraId="5D4A76AD" w14:textId="77777777" w:rsidR="008A1E55" w:rsidRPr="00212E5F" w:rsidRDefault="008A1E55" w:rsidP="00E16CAE">
            <w:pPr>
              <w:jc w:val="right"/>
              <w:rPr>
                <w:sz w:val="17"/>
                <w:szCs w:val="17"/>
              </w:rPr>
            </w:pPr>
            <w:r w:rsidRPr="00212E5F">
              <w:rPr>
                <w:sz w:val="17"/>
                <w:szCs w:val="17"/>
              </w:rPr>
              <w:t>-</w:t>
            </w:r>
          </w:p>
        </w:tc>
        <w:tc>
          <w:tcPr>
            <w:tcW w:w="1187" w:type="dxa"/>
            <w:tcBorders>
              <w:top w:val="nil"/>
              <w:left w:val="nil"/>
              <w:bottom w:val="nil"/>
              <w:right w:val="nil"/>
            </w:tcBorders>
            <w:shd w:val="clear" w:color="auto" w:fill="auto"/>
            <w:noWrap/>
            <w:vAlign w:val="bottom"/>
            <w:hideMark/>
          </w:tcPr>
          <w:p w14:paraId="0CB7BD7E" w14:textId="77777777" w:rsidR="008A1E55" w:rsidRPr="00212E5F" w:rsidRDefault="008A1E55" w:rsidP="00E16CAE">
            <w:pPr>
              <w:jc w:val="right"/>
              <w:rPr>
                <w:sz w:val="17"/>
                <w:szCs w:val="17"/>
              </w:rPr>
            </w:pPr>
            <w:r w:rsidRPr="00212E5F">
              <w:rPr>
                <w:sz w:val="17"/>
                <w:szCs w:val="17"/>
              </w:rPr>
              <w:t>5.2</w:t>
            </w:r>
          </w:p>
        </w:tc>
        <w:tc>
          <w:tcPr>
            <w:tcW w:w="1127" w:type="dxa"/>
            <w:tcBorders>
              <w:top w:val="nil"/>
              <w:left w:val="nil"/>
              <w:bottom w:val="nil"/>
              <w:right w:val="nil"/>
            </w:tcBorders>
            <w:shd w:val="clear" w:color="auto" w:fill="auto"/>
            <w:noWrap/>
            <w:vAlign w:val="bottom"/>
            <w:hideMark/>
          </w:tcPr>
          <w:p w14:paraId="7FED3ACD" w14:textId="77777777" w:rsidR="008A1E55" w:rsidRPr="00212E5F" w:rsidRDefault="008A1E55" w:rsidP="00E16CAE">
            <w:pPr>
              <w:jc w:val="right"/>
              <w:rPr>
                <w:sz w:val="17"/>
                <w:szCs w:val="17"/>
              </w:rPr>
            </w:pPr>
            <w:r w:rsidRPr="00212E5F">
              <w:rPr>
                <w:sz w:val="17"/>
                <w:szCs w:val="17"/>
              </w:rPr>
              <w:t>1.0</w:t>
            </w:r>
          </w:p>
        </w:tc>
        <w:tc>
          <w:tcPr>
            <w:tcW w:w="1164" w:type="dxa"/>
            <w:tcBorders>
              <w:top w:val="nil"/>
              <w:left w:val="nil"/>
              <w:bottom w:val="nil"/>
              <w:right w:val="nil"/>
            </w:tcBorders>
            <w:shd w:val="clear" w:color="auto" w:fill="auto"/>
            <w:noWrap/>
            <w:vAlign w:val="bottom"/>
            <w:hideMark/>
          </w:tcPr>
          <w:p w14:paraId="4AF5B4DF" w14:textId="77777777" w:rsidR="008A1E55" w:rsidRPr="00212E5F" w:rsidRDefault="008A1E55" w:rsidP="00E16CAE">
            <w:pPr>
              <w:jc w:val="right"/>
              <w:rPr>
                <w:sz w:val="17"/>
                <w:szCs w:val="17"/>
              </w:rPr>
            </w:pPr>
            <w:r w:rsidRPr="00212E5F">
              <w:rPr>
                <w:sz w:val="17"/>
                <w:szCs w:val="17"/>
              </w:rPr>
              <w:t>2.7</w:t>
            </w:r>
          </w:p>
        </w:tc>
      </w:tr>
      <w:tr w:rsidR="006B42D6" w:rsidRPr="00212E5F" w14:paraId="4B75DFE6" w14:textId="77777777" w:rsidTr="004F65CD">
        <w:trPr>
          <w:trHeight w:val="57"/>
        </w:trPr>
        <w:tc>
          <w:tcPr>
            <w:tcW w:w="1668" w:type="dxa"/>
            <w:tcBorders>
              <w:top w:val="nil"/>
              <w:left w:val="nil"/>
              <w:bottom w:val="nil"/>
              <w:right w:val="nil"/>
            </w:tcBorders>
            <w:shd w:val="clear" w:color="auto" w:fill="auto"/>
            <w:noWrap/>
            <w:vAlign w:val="center"/>
            <w:hideMark/>
          </w:tcPr>
          <w:p w14:paraId="657B0985" w14:textId="77777777" w:rsidR="008A1E55" w:rsidRPr="00212E5F" w:rsidRDefault="008A1E55" w:rsidP="00E16CAE">
            <w:pPr>
              <w:rPr>
                <w:sz w:val="17"/>
                <w:szCs w:val="17"/>
              </w:rPr>
            </w:pPr>
            <w:r w:rsidRPr="00212E5F">
              <w:rPr>
                <w:sz w:val="17"/>
                <w:szCs w:val="17"/>
              </w:rPr>
              <w:t>Shinyanga</w:t>
            </w:r>
          </w:p>
        </w:tc>
        <w:tc>
          <w:tcPr>
            <w:tcW w:w="1159" w:type="dxa"/>
            <w:tcBorders>
              <w:top w:val="nil"/>
              <w:left w:val="nil"/>
              <w:bottom w:val="nil"/>
              <w:right w:val="nil"/>
            </w:tcBorders>
            <w:shd w:val="clear" w:color="auto" w:fill="auto"/>
            <w:noWrap/>
            <w:vAlign w:val="bottom"/>
            <w:hideMark/>
          </w:tcPr>
          <w:p w14:paraId="3C292DF9" w14:textId="77777777" w:rsidR="008A1E55" w:rsidRPr="00212E5F" w:rsidRDefault="008A1E55" w:rsidP="00E16CAE">
            <w:pPr>
              <w:jc w:val="right"/>
              <w:rPr>
                <w:sz w:val="17"/>
                <w:szCs w:val="17"/>
              </w:rPr>
            </w:pPr>
            <w:r w:rsidRPr="00212E5F">
              <w:rPr>
                <w:sz w:val="17"/>
                <w:szCs w:val="17"/>
              </w:rPr>
              <w:t>2.3</w:t>
            </w:r>
          </w:p>
        </w:tc>
        <w:tc>
          <w:tcPr>
            <w:tcW w:w="1159" w:type="dxa"/>
            <w:tcBorders>
              <w:top w:val="nil"/>
              <w:left w:val="nil"/>
              <w:bottom w:val="nil"/>
              <w:right w:val="nil"/>
            </w:tcBorders>
            <w:shd w:val="clear" w:color="auto" w:fill="auto"/>
            <w:noWrap/>
            <w:vAlign w:val="bottom"/>
            <w:hideMark/>
          </w:tcPr>
          <w:p w14:paraId="12D59090" w14:textId="77777777" w:rsidR="008A1E55" w:rsidRPr="00212E5F" w:rsidRDefault="008A1E55" w:rsidP="00E16CAE">
            <w:pPr>
              <w:jc w:val="right"/>
              <w:rPr>
                <w:sz w:val="17"/>
                <w:szCs w:val="17"/>
              </w:rPr>
            </w:pPr>
            <w:r w:rsidRPr="00212E5F">
              <w:rPr>
                <w:sz w:val="17"/>
                <w:szCs w:val="17"/>
              </w:rPr>
              <w:t>0.4</w:t>
            </w:r>
          </w:p>
        </w:tc>
        <w:tc>
          <w:tcPr>
            <w:tcW w:w="1159" w:type="dxa"/>
            <w:tcBorders>
              <w:top w:val="nil"/>
              <w:left w:val="nil"/>
              <w:bottom w:val="nil"/>
              <w:right w:val="nil"/>
            </w:tcBorders>
            <w:shd w:val="clear" w:color="auto" w:fill="auto"/>
            <w:noWrap/>
            <w:vAlign w:val="bottom"/>
            <w:hideMark/>
          </w:tcPr>
          <w:p w14:paraId="26179564" w14:textId="77777777" w:rsidR="008A1E55" w:rsidRPr="00212E5F" w:rsidRDefault="008A1E55" w:rsidP="00E16CAE">
            <w:pPr>
              <w:jc w:val="right"/>
              <w:rPr>
                <w:sz w:val="17"/>
                <w:szCs w:val="17"/>
              </w:rPr>
            </w:pPr>
            <w:r w:rsidRPr="00212E5F">
              <w:rPr>
                <w:sz w:val="17"/>
                <w:szCs w:val="17"/>
              </w:rPr>
              <w:t>3.4</w:t>
            </w:r>
          </w:p>
        </w:tc>
        <w:tc>
          <w:tcPr>
            <w:tcW w:w="1159" w:type="dxa"/>
            <w:tcBorders>
              <w:top w:val="nil"/>
              <w:left w:val="nil"/>
              <w:bottom w:val="nil"/>
              <w:right w:val="nil"/>
            </w:tcBorders>
            <w:shd w:val="clear" w:color="auto" w:fill="auto"/>
            <w:noWrap/>
            <w:vAlign w:val="bottom"/>
            <w:hideMark/>
          </w:tcPr>
          <w:p w14:paraId="71CAF631" w14:textId="77777777" w:rsidR="008A1E55" w:rsidRPr="00212E5F" w:rsidRDefault="008A1E55" w:rsidP="00E16CAE">
            <w:pPr>
              <w:jc w:val="right"/>
              <w:rPr>
                <w:sz w:val="17"/>
                <w:szCs w:val="17"/>
              </w:rPr>
            </w:pPr>
            <w:r w:rsidRPr="00212E5F">
              <w:rPr>
                <w:sz w:val="17"/>
                <w:szCs w:val="17"/>
              </w:rPr>
              <w:t>10.2</w:t>
            </w:r>
          </w:p>
        </w:tc>
        <w:tc>
          <w:tcPr>
            <w:tcW w:w="1187" w:type="dxa"/>
            <w:tcBorders>
              <w:top w:val="nil"/>
              <w:left w:val="nil"/>
              <w:bottom w:val="nil"/>
              <w:right w:val="nil"/>
            </w:tcBorders>
            <w:shd w:val="clear" w:color="auto" w:fill="auto"/>
            <w:noWrap/>
            <w:vAlign w:val="bottom"/>
            <w:hideMark/>
          </w:tcPr>
          <w:p w14:paraId="12539FFA" w14:textId="77777777" w:rsidR="008A1E55" w:rsidRPr="00212E5F" w:rsidRDefault="008A1E55" w:rsidP="00E16CAE">
            <w:pPr>
              <w:jc w:val="right"/>
              <w:rPr>
                <w:sz w:val="17"/>
                <w:szCs w:val="17"/>
              </w:rPr>
            </w:pPr>
            <w:r w:rsidRPr="00212E5F">
              <w:rPr>
                <w:sz w:val="17"/>
                <w:szCs w:val="17"/>
              </w:rPr>
              <w:t>4.0</w:t>
            </w:r>
          </w:p>
        </w:tc>
        <w:tc>
          <w:tcPr>
            <w:tcW w:w="1127" w:type="dxa"/>
            <w:tcBorders>
              <w:top w:val="nil"/>
              <w:left w:val="nil"/>
              <w:bottom w:val="nil"/>
              <w:right w:val="nil"/>
            </w:tcBorders>
            <w:shd w:val="clear" w:color="auto" w:fill="auto"/>
            <w:noWrap/>
            <w:vAlign w:val="bottom"/>
            <w:hideMark/>
          </w:tcPr>
          <w:p w14:paraId="2D2CFC22" w14:textId="77777777" w:rsidR="008A1E55" w:rsidRPr="00212E5F" w:rsidRDefault="008A1E55" w:rsidP="00E16CAE">
            <w:pPr>
              <w:jc w:val="right"/>
              <w:rPr>
                <w:sz w:val="17"/>
                <w:szCs w:val="17"/>
              </w:rPr>
            </w:pPr>
            <w:r w:rsidRPr="00212E5F">
              <w:rPr>
                <w:sz w:val="17"/>
                <w:szCs w:val="17"/>
              </w:rPr>
              <w:t>5.4</w:t>
            </w:r>
          </w:p>
        </w:tc>
        <w:tc>
          <w:tcPr>
            <w:tcW w:w="1164" w:type="dxa"/>
            <w:tcBorders>
              <w:top w:val="nil"/>
              <w:left w:val="nil"/>
              <w:bottom w:val="nil"/>
              <w:right w:val="nil"/>
            </w:tcBorders>
            <w:shd w:val="clear" w:color="auto" w:fill="auto"/>
            <w:noWrap/>
            <w:vAlign w:val="bottom"/>
            <w:hideMark/>
          </w:tcPr>
          <w:p w14:paraId="31D174AD" w14:textId="77777777" w:rsidR="008A1E55" w:rsidRPr="00212E5F" w:rsidRDefault="008A1E55" w:rsidP="00E16CAE">
            <w:pPr>
              <w:jc w:val="right"/>
              <w:rPr>
                <w:sz w:val="17"/>
                <w:szCs w:val="17"/>
              </w:rPr>
            </w:pPr>
            <w:r w:rsidRPr="00212E5F">
              <w:rPr>
                <w:sz w:val="17"/>
                <w:szCs w:val="17"/>
              </w:rPr>
              <w:t>3.9</w:t>
            </w:r>
          </w:p>
        </w:tc>
      </w:tr>
      <w:tr w:rsidR="006B42D6" w:rsidRPr="00212E5F" w14:paraId="27F76828" w14:textId="77777777" w:rsidTr="004F65CD">
        <w:trPr>
          <w:trHeight w:val="57"/>
        </w:trPr>
        <w:tc>
          <w:tcPr>
            <w:tcW w:w="1668" w:type="dxa"/>
            <w:tcBorders>
              <w:top w:val="nil"/>
              <w:left w:val="nil"/>
              <w:bottom w:val="nil"/>
              <w:right w:val="nil"/>
            </w:tcBorders>
            <w:shd w:val="clear" w:color="auto" w:fill="auto"/>
            <w:noWrap/>
            <w:vAlign w:val="center"/>
            <w:hideMark/>
          </w:tcPr>
          <w:p w14:paraId="041B463C" w14:textId="77777777" w:rsidR="008A1E55" w:rsidRPr="00212E5F" w:rsidRDefault="008A1E55" w:rsidP="00E16CAE">
            <w:pPr>
              <w:rPr>
                <w:sz w:val="17"/>
                <w:szCs w:val="17"/>
              </w:rPr>
            </w:pPr>
            <w:r w:rsidRPr="00212E5F">
              <w:rPr>
                <w:sz w:val="17"/>
                <w:szCs w:val="17"/>
              </w:rPr>
              <w:t>Kagera</w:t>
            </w:r>
          </w:p>
        </w:tc>
        <w:tc>
          <w:tcPr>
            <w:tcW w:w="1159" w:type="dxa"/>
            <w:tcBorders>
              <w:top w:val="nil"/>
              <w:left w:val="nil"/>
              <w:bottom w:val="nil"/>
              <w:right w:val="nil"/>
            </w:tcBorders>
            <w:shd w:val="clear" w:color="auto" w:fill="auto"/>
            <w:noWrap/>
            <w:vAlign w:val="bottom"/>
            <w:hideMark/>
          </w:tcPr>
          <w:p w14:paraId="256230CF" w14:textId="77777777" w:rsidR="008A1E55" w:rsidRPr="00212E5F" w:rsidRDefault="008A1E55" w:rsidP="00E16CAE">
            <w:pPr>
              <w:jc w:val="right"/>
              <w:rPr>
                <w:sz w:val="17"/>
                <w:szCs w:val="17"/>
              </w:rPr>
            </w:pPr>
            <w:r w:rsidRPr="00212E5F">
              <w:rPr>
                <w:sz w:val="17"/>
                <w:szCs w:val="17"/>
              </w:rPr>
              <w:t>6.9</w:t>
            </w:r>
          </w:p>
        </w:tc>
        <w:tc>
          <w:tcPr>
            <w:tcW w:w="1159" w:type="dxa"/>
            <w:tcBorders>
              <w:top w:val="nil"/>
              <w:left w:val="nil"/>
              <w:bottom w:val="nil"/>
              <w:right w:val="nil"/>
            </w:tcBorders>
            <w:shd w:val="clear" w:color="auto" w:fill="auto"/>
            <w:noWrap/>
            <w:vAlign w:val="bottom"/>
            <w:hideMark/>
          </w:tcPr>
          <w:p w14:paraId="42F733D7" w14:textId="77777777" w:rsidR="008A1E55" w:rsidRPr="00212E5F" w:rsidRDefault="008A1E55" w:rsidP="00E16CAE">
            <w:pPr>
              <w:jc w:val="right"/>
              <w:rPr>
                <w:sz w:val="17"/>
                <w:szCs w:val="17"/>
              </w:rPr>
            </w:pPr>
            <w:r w:rsidRPr="00212E5F">
              <w:rPr>
                <w:sz w:val="17"/>
                <w:szCs w:val="17"/>
              </w:rPr>
              <w:t>3.8</w:t>
            </w:r>
          </w:p>
        </w:tc>
        <w:tc>
          <w:tcPr>
            <w:tcW w:w="1159" w:type="dxa"/>
            <w:tcBorders>
              <w:top w:val="nil"/>
              <w:left w:val="nil"/>
              <w:bottom w:val="nil"/>
              <w:right w:val="nil"/>
            </w:tcBorders>
            <w:shd w:val="clear" w:color="auto" w:fill="auto"/>
            <w:noWrap/>
            <w:vAlign w:val="bottom"/>
            <w:hideMark/>
          </w:tcPr>
          <w:p w14:paraId="208C9341" w14:textId="77777777" w:rsidR="008A1E55" w:rsidRPr="00212E5F" w:rsidRDefault="008A1E55" w:rsidP="00E16CAE">
            <w:pPr>
              <w:jc w:val="right"/>
              <w:rPr>
                <w:sz w:val="17"/>
                <w:szCs w:val="17"/>
              </w:rPr>
            </w:pPr>
            <w:r w:rsidRPr="00212E5F">
              <w:rPr>
                <w:sz w:val="17"/>
                <w:szCs w:val="17"/>
              </w:rPr>
              <w:t>-</w:t>
            </w:r>
          </w:p>
        </w:tc>
        <w:tc>
          <w:tcPr>
            <w:tcW w:w="1159" w:type="dxa"/>
            <w:tcBorders>
              <w:top w:val="nil"/>
              <w:left w:val="nil"/>
              <w:bottom w:val="nil"/>
              <w:right w:val="nil"/>
            </w:tcBorders>
            <w:shd w:val="clear" w:color="auto" w:fill="auto"/>
            <w:noWrap/>
            <w:vAlign w:val="bottom"/>
            <w:hideMark/>
          </w:tcPr>
          <w:p w14:paraId="4BF9D76A" w14:textId="77777777" w:rsidR="008A1E55" w:rsidRPr="00212E5F" w:rsidRDefault="008A1E55" w:rsidP="00E16CAE">
            <w:pPr>
              <w:jc w:val="right"/>
              <w:rPr>
                <w:sz w:val="17"/>
                <w:szCs w:val="17"/>
              </w:rPr>
            </w:pPr>
            <w:r w:rsidRPr="00212E5F">
              <w:rPr>
                <w:sz w:val="17"/>
                <w:szCs w:val="17"/>
              </w:rPr>
              <w:t>6.9</w:t>
            </w:r>
          </w:p>
        </w:tc>
        <w:tc>
          <w:tcPr>
            <w:tcW w:w="1187" w:type="dxa"/>
            <w:tcBorders>
              <w:top w:val="nil"/>
              <w:left w:val="nil"/>
              <w:bottom w:val="nil"/>
              <w:right w:val="nil"/>
            </w:tcBorders>
            <w:shd w:val="clear" w:color="auto" w:fill="auto"/>
            <w:noWrap/>
            <w:vAlign w:val="bottom"/>
            <w:hideMark/>
          </w:tcPr>
          <w:p w14:paraId="4AC9DD31" w14:textId="77777777" w:rsidR="008A1E55" w:rsidRPr="00212E5F" w:rsidRDefault="008A1E55" w:rsidP="00E16CAE">
            <w:pPr>
              <w:jc w:val="right"/>
              <w:rPr>
                <w:sz w:val="17"/>
                <w:szCs w:val="17"/>
              </w:rPr>
            </w:pPr>
            <w:r w:rsidRPr="00212E5F">
              <w:rPr>
                <w:sz w:val="17"/>
                <w:szCs w:val="17"/>
              </w:rPr>
              <w:t>3.7</w:t>
            </w:r>
          </w:p>
        </w:tc>
        <w:tc>
          <w:tcPr>
            <w:tcW w:w="1127" w:type="dxa"/>
            <w:tcBorders>
              <w:top w:val="nil"/>
              <w:left w:val="nil"/>
              <w:bottom w:val="nil"/>
              <w:right w:val="nil"/>
            </w:tcBorders>
            <w:shd w:val="clear" w:color="auto" w:fill="auto"/>
            <w:noWrap/>
            <w:vAlign w:val="bottom"/>
            <w:hideMark/>
          </w:tcPr>
          <w:p w14:paraId="3D3778EB" w14:textId="77777777" w:rsidR="008A1E55" w:rsidRPr="00212E5F" w:rsidRDefault="008A1E55" w:rsidP="00E16CAE">
            <w:pPr>
              <w:jc w:val="right"/>
              <w:rPr>
                <w:sz w:val="17"/>
                <w:szCs w:val="17"/>
              </w:rPr>
            </w:pPr>
            <w:r w:rsidRPr="00212E5F">
              <w:rPr>
                <w:sz w:val="17"/>
                <w:szCs w:val="17"/>
              </w:rPr>
              <w:t>2.1</w:t>
            </w:r>
          </w:p>
        </w:tc>
        <w:tc>
          <w:tcPr>
            <w:tcW w:w="1164" w:type="dxa"/>
            <w:tcBorders>
              <w:top w:val="nil"/>
              <w:left w:val="nil"/>
              <w:bottom w:val="nil"/>
              <w:right w:val="nil"/>
            </w:tcBorders>
            <w:shd w:val="clear" w:color="auto" w:fill="auto"/>
            <w:noWrap/>
            <w:vAlign w:val="bottom"/>
            <w:hideMark/>
          </w:tcPr>
          <w:p w14:paraId="14269A3A" w14:textId="77777777" w:rsidR="008A1E55" w:rsidRPr="00212E5F" w:rsidRDefault="008A1E55" w:rsidP="00E16CAE">
            <w:pPr>
              <w:jc w:val="right"/>
              <w:rPr>
                <w:sz w:val="17"/>
                <w:szCs w:val="17"/>
              </w:rPr>
            </w:pPr>
            <w:r w:rsidRPr="00212E5F">
              <w:rPr>
                <w:sz w:val="17"/>
                <w:szCs w:val="17"/>
              </w:rPr>
              <w:t>3.8</w:t>
            </w:r>
          </w:p>
        </w:tc>
      </w:tr>
      <w:tr w:rsidR="006B42D6" w:rsidRPr="00212E5F" w14:paraId="450F6AC2" w14:textId="77777777" w:rsidTr="004F65CD">
        <w:trPr>
          <w:trHeight w:val="57"/>
        </w:trPr>
        <w:tc>
          <w:tcPr>
            <w:tcW w:w="1668" w:type="dxa"/>
            <w:tcBorders>
              <w:top w:val="nil"/>
              <w:left w:val="nil"/>
              <w:bottom w:val="nil"/>
              <w:right w:val="nil"/>
            </w:tcBorders>
            <w:shd w:val="clear" w:color="auto" w:fill="auto"/>
            <w:noWrap/>
            <w:vAlign w:val="center"/>
            <w:hideMark/>
          </w:tcPr>
          <w:p w14:paraId="59638C23" w14:textId="77777777" w:rsidR="008A1E55" w:rsidRPr="00212E5F" w:rsidRDefault="008A1E55" w:rsidP="00E16CAE">
            <w:pPr>
              <w:rPr>
                <w:sz w:val="17"/>
                <w:szCs w:val="17"/>
              </w:rPr>
            </w:pPr>
            <w:r w:rsidRPr="00212E5F">
              <w:rPr>
                <w:sz w:val="17"/>
                <w:szCs w:val="17"/>
              </w:rPr>
              <w:t>Mwanza</w:t>
            </w:r>
          </w:p>
        </w:tc>
        <w:tc>
          <w:tcPr>
            <w:tcW w:w="1159" w:type="dxa"/>
            <w:tcBorders>
              <w:top w:val="nil"/>
              <w:left w:val="nil"/>
              <w:bottom w:val="nil"/>
              <w:right w:val="nil"/>
            </w:tcBorders>
            <w:shd w:val="clear" w:color="auto" w:fill="auto"/>
            <w:noWrap/>
            <w:vAlign w:val="bottom"/>
            <w:hideMark/>
          </w:tcPr>
          <w:p w14:paraId="5B04111A" w14:textId="77777777" w:rsidR="008A1E55" w:rsidRPr="00212E5F" w:rsidRDefault="008A1E55" w:rsidP="00E16CAE">
            <w:pPr>
              <w:jc w:val="right"/>
              <w:rPr>
                <w:sz w:val="17"/>
                <w:szCs w:val="17"/>
              </w:rPr>
            </w:pPr>
            <w:r w:rsidRPr="00212E5F">
              <w:rPr>
                <w:sz w:val="17"/>
                <w:szCs w:val="17"/>
              </w:rPr>
              <w:t>5.5</w:t>
            </w:r>
          </w:p>
        </w:tc>
        <w:tc>
          <w:tcPr>
            <w:tcW w:w="1159" w:type="dxa"/>
            <w:tcBorders>
              <w:top w:val="nil"/>
              <w:left w:val="nil"/>
              <w:bottom w:val="nil"/>
              <w:right w:val="nil"/>
            </w:tcBorders>
            <w:shd w:val="clear" w:color="auto" w:fill="auto"/>
            <w:noWrap/>
            <w:vAlign w:val="bottom"/>
            <w:hideMark/>
          </w:tcPr>
          <w:p w14:paraId="4610EBFC" w14:textId="77777777" w:rsidR="008A1E55" w:rsidRPr="00212E5F" w:rsidRDefault="008A1E55" w:rsidP="00E16CAE">
            <w:pPr>
              <w:jc w:val="right"/>
              <w:rPr>
                <w:sz w:val="17"/>
                <w:szCs w:val="17"/>
              </w:rPr>
            </w:pPr>
            <w:r w:rsidRPr="00212E5F">
              <w:rPr>
                <w:sz w:val="17"/>
                <w:szCs w:val="17"/>
              </w:rPr>
              <w:t>5.6</w:t>
            </w:r>
          </w:p>
        </w:tc>
        <w:tc>
          <w:tcPr>
            <w:tcW w:w="1159" w:type="dxa"/>
            <w:tcBorders>
              <w:top w:val="nil"/>
              <w:left w:val="nil"/>
              <w:bottom w:val="nil"/>
              <w:right w:val="nil"/>
            </w:tcBorders>
            <w:shd w:val="clear" w:color="auto" w:fill="auto"/>
            <w:noWrap/>
            <w:vAlign w:val="bottom"/>
            <w:hideMark/>
          </w:tcPr>
          <w:p w14:paraId="1239FEB6" w14:textId="77777777" w:rsidR="008A1E55" w:rsidRPr="00212E5F" w:rsidRDefault="008A1E55" w:rsidP="00E16CAE">
            <w:pPr>
              <w:jc w:val="right"/>
              <w:rPr>
                <w:sz w:val="17"/>
                <w:szCs w:val="17"/>
              </w:rPr>
            </w:pPr>
            <w:r w:rsidRPr="00212E5F">
              <w:rPr>
                <w:sz w:val="17"/>
                <w:szCs w:val="17"/>
              </w:rPr>
              <w:t>-</w:t>
            </w:r>
          </w:p>
        </w:tc>
        <w:tc>
          <w:tcPr>
            <w:tcW w:w="1159" w:type="dxa"/>
            <w:tcBorders>
              <w:top w:val="nil"/>
              <w:left w:val="nil"/>
              <w:bottom w:val="nil"/>
              <w:right w:val="nil"/>
            </w:tcBorders>
            <w:shd w:val="clear" w:color="auto" w:fill="auto"/>
            <w:noWrap/>
            <w:vAlign w:val="bottom"/>
            <w:hideMark/>
          </w:tcPr>
          <w:p w14:paraId="55ED4FA0" w14:textId="77777777" w:rsidR="008A1E55" w:rsidRPr="00212E5F" w:rsidRDefault="008A1E55" w:rsidP="00E16CAE">
            <w:pPr>
              <w:jc w:val="right"/>
              <w:rPr>
                <w:sz w:val="17"/>
                <w:szCs w:val="17"/>
              </w:rPr>
            </w:pPr>
            <w:r w:rsidRPr="00212E5F">
              <w:rPr>
                <w:sz w:val="17"/>
                <w:szCs w:val="17"/>
              </w:rPr>
              <w:t>12.2</w:t>
            </w:r>
          </w:p>
        </w:tc>
        <w:tc>
          <w:tcPr>
            <w:tcW w:w="1187" w:type="dxa"/>
            <w:tcBorders>
              <w:top w:val="nil"/>
              <w:left w:val="nil"/>
              <w:bottom w:val="nil"/>
              <w:right w:val="nil"/>
            </w:tcBorders>
            <w:shd w:val="clear" w:color="auto" w:fill="auto"/>
            <w:noWrap/>
            <w:vAlign w:val="bottom"/>
            <w:hideMark/>
          </w:tcPr>
          <w:p w14:paraId="0C14A038" w14:textId="77777777" w:rsidR="008A1E55" w:rsidRPr="00212E5F" w:rsidRDefault="008A1E55" w:rsidP="00E16CAE">
            <w:pPr>
              <w:jc w:val="right"/>
              <w:rPr>
                <w:sz w:val="17"/>
                <w:szCs w:val="17"/>
              </w:rPr>
            </w:pPr>
            <w:r w:rsidRPr="00212E5F">
              <w:rPr>
                <w:sz w:val="17"/>
                <w:szCs w:val="17"/>
              </w:rPr>
              <w:t>4.9</w:t>
            </w:r>
          </w:p>
        </w:tc>
        <w:tc>
          <w:tcPr>
            <w:tcW w:w="1127" w:type="dxa"/>
            <w:tcBorders>
              <w:top w:val="nil"/>
              <w:left w:val="nil"/>
              <w:bottom w:val="nil"/>
              <w:right w:val="nil"/>
            </w:tcBorders>
            <w:shd w:val="clear" w:color="auto" w:fill="auto"/>
            <w:noWrap/>
            <w:vAlign w:val="bottom"/>
            <w:hideMark/>
          </w:tcPr>
          <w:p w14:paraId="0E5337D3" w14:textId="77777777" w:rsidR="008A1E55" w:rsidRPr="00212E5F" w:rsidRDefault="008A1E55" w:rsidP="00E16CAE">
            <w:pPr>
              <w:jc w:val="right"/>
              <w:rPr>
                <w:sz w:val="17"/>
                <w:szCs w:val="17"/>
              </w:rPr>
            </w:pPr>
            <w:r w:rsidRPr="00212E5F">
              <w:rPr>
                <w:sz w:val="17"/>
                <w:szCs w:val="17"/>
              </w:rPr>
              <w:t>1.4</w:t>
            </w:r>
          </w:p>
        </w:tc>
        <w:tc>
          <w:tcPr>
            <w:tcW w:w="1164" w:type="dxa"/>
            <w:tcBorders>
              <w:top w:val="nil"/>
              <w:left w:val="nil"/>
              <w:bottom w:val="nil"/>
              <w:right w:val="nil"/>
            </w:tcBorders>
            <w:shd w:val="clear" w:color="auto" w:fill="auto"/>
            <w:noWrap/>
            <w:vAlign w:val="bottom"/>
            <w:hideMark/>
          </w:tcPr>
          <w:p w14:paraId="299144F6" w14:textId="77777777" w:rsidR="008A1E55" w:rsidRPr="00212E5F" w:rsidRDefault="008A1E55" w:rsidP="00E16CAE">
            <w:pPr>
              <w:jc w:val="right"/>
              <w:rPr>
                <w:sz w:val="17"/>
                <w:szCs w:val="17"/>
              </w:rPr>
            </w:pPr>
            <w:r w:rsidRPr="00212E5F">
              <w:rPr>
                <w:sz w:val="17"/>
                <w:szCs w:val="17"/>
              </w:rPr>
              <w:t>-</w:t>
            </w:r>
          </w:p>
        </w:tc>
      </w:tr>
      <w:tr w:rsidR="006B42D6" w:rsidRPr="00212E5F" w14:paraId="38DD9080" w14:textId="77777777" w:rsidTr="004F65CD">
        <w:trPr>
          <w:trHeight w:val="57"/>
        </w:trPr>
        <w:tc>
          <w:tcPr>
            <w:tcW w:w="1668" w:type="dxa"/>
            <w:tcBorders>
              <w:top w:val="nil"/>
              <w:left w:val="nil"/>
              <w:bottom w:val="nil"/>
              <w:right w:val="nil"/>
            </w:tcBorders>
            <w:shd w:val="clear" w:color="auto" w:fill="auto"/>
            <w:noWrap/>
            <w:vAlign w:val="center"/>
            <w:hideMark/>
          </w:tcPr>
          <w:p w14:paraId="7B7F62B3" w14:textId="77777777" w:rsidR="008A1E55" w:rsidRPr="00212E5F" w:rsidRDefault="008A1E55" w:rsidP="00E16CAE">
            <w:pPr>
              <w:rPr>
                <w:sz w:val="17"/>
                <w:szCs w:val="17"/>
              </w:rPr>
            </w:pPr>
            <w:r w:rsidRPr="00212E5F">
              <w:rPr>
                <w:sz w:val="17"/>
                <w:szCs w:val="17"/>
              </w:rPr>
              <w:t>Mara</w:t>
            </w:r>
          </w:p>
        </w:tc>
        <w:tc>
          <w:tcPr>
            <w:tcW w:w="1159" w:type="dxa"/>
            <w:tcBorders>
              <w:top w:val="nil"/>
              <w:left w:val="nil"/>
              <w:bottom w:val="nil"/>
              <w:right w:val="nil"/>
            </w:tcBorders>
            <w:shd w:val="clear" w:color="auto" w:fill="auto"/>
            <w:noWrap/>
            <w:vAlign w:val="bottom"/>
            <w:hideMark/>
          </w:tcPr>
          <w:p w14:paraId="60FA5F24" w14:textId="77777777" w:rsidR="008A1E55" w:rsidRPr="00212E5F" w:rsidRDefault="008A1E55" w:rsidP="00E16CAE">
            <w:pPr>
              <w:jc w:val="right"/>
              <w:rPr>
                <w:sz w:val="17"/>
                <w:szCs w:val="17"/>
              </w:rPr>
            </w:pPr>
            <w:r w:rsidRPr="00212E5F">
              <w:rPr>
                <w:sz w:val="17"/>
                <w:szCs w:val="17"/>
              </w:rPr>
              <w:t>3.0</w:t>
            </w:r>
          </w:p>
        </w:tc>
        <w:tc>
          <w:tcPr>
            <w:tcW w:w="1159" w:type="dxa"/>
            <w:tcBorders>
              <w:top w:val="nil"/>
              <w:left w:val="nil"/>
              <w:bottom w:val="nil"/>
              <w:right w:val="nil"/>
            </w:tcBorders>
            <w:shd w:val="clear" w:color="auto" w:fill="auto"/>
            <w:noWrap/>
            <w:vAlign w:val="bottom"/>
            <w:hideMark/>
          </w:tcPr>
          <w:p w14:paraId="0020DA7F" w14:textId="77777777" w:rsidR="008A1E55" w:rsidRPr="00212E5F" w:rsidRDefault="008A1E55" w:rsidP="00E16CAE">
            <w:pPr>
              <w:jc w:val="right"/>
              <w:rPr>
                <w:sz w:val="17"/>
                <w:szCs w:val="17"/>
              </w:rPr>
            </w:pPr>
            <w:r w:rsidRPr="00212E5F">
              <w:rPr>
                <w:sz w:val="17"/>
                <w:szCs w:val="17"/>
              </w:rPr>
              <w:t>-</w:t>
            </w:r>
          </w:p>
        </w:tc>
        <w:tc>
          <w:tcPr>
            <w:tcW w:w="1159" w:type="dxa"/>
            <w:tcBorders>
              <w:top w:val="nil"/>
              <w:left w:val="nil"/>
              <w:bottom w:val="nil"/>
              <w:right w:val="nil"/>
            </w:tcBorders>
            <w:shd w:val="clear" w:color="auto" w:fill="auto"/>
            <w:noWrap/>
            <w:vAlign w:val="bottom"/>
            <w:hideMark/>
          </w:tcPr>
          <w:p w14:paraId="076AFBA1" w14:textId="77777777" w:rsidR="008A1E55" w:rsidRPr="00212E5F" w:rsidRDefault="008A1E55" w:rsidP="00E16CAE">
            <w:pPr>
              <w:jc w:val="right"/>
              <w:rPr>
                <w:sz w:val="17"/>
                <w:szCs w:val="17"/>
              </w:rPr>
            </w:pPr>
            <w:r w:rsidRPr="00212E5F">
              <w:rPr>
                <w:sz w:val="17"/>
                <w:szCs w:val="17"/>
              </w:rPr>
              <w:t>-</w:t>
            </w:r>
          </w:p>
        </w:tc>
        <w:tc>
          <w:tcPr>
            <w:tcW w:w="1159" w:type="dxa"/>
            <w:tcBorders>
              <w:top w:val="nil"/>
              <w:left w:val="nil"/>
              <w:bottom w:val="nil"/>
              <w:right w:val="nil"/>
            </w:tcBorders>
            <w:shd w:val="clear" w:color="auto" w:fill="auto"/>
            <w:noWrap/>
            <w:vAlign w:val="bottom"/>
            <w:hideMark/>
          </w:tcPr>
          <w:p w14:paraId="2E43F987" w14:textId="77777777" w:rsidR="008A1E55" w:rsidRPr="00212E5F" w:rsidRDefault="008A1E55" w:rsidP="00E16CAE">
            <w:pPr>
              <w:jc w:val="right"/>
              <w:rPr>
                <w:sz w:val="17"/>
                <w:szCs w:val="17"/>
              </w:rPr>
            </w:pPr>
            <w:r w:rsidRPr="00212E5F">
              <w:rPr>
                <w:sz w:val="17"/>
                <w:szCs w:val="17"/>
              </w:rPr>
              <w:t>4.0</w:t>
            </w:r>
          </w:p>
        </w:tc>
        <w:tc>
          <w:tcPr>
            <w:tcW w:w="1187" w:type="dxa"/>
            <w:tcBorders>
              <w:top w:val="nil"/>
              <w:left w:val="nil"/>
              <w:bottom w:val="nil"/>
              <w:right w:val="nil"/>
            </w:tcBorders>
            <w:shd w:val="clear" w:color="auto" w:fill="auto"/>
            <w:noWrap/>
            <w:vAlign w:val="bottom"/>
            <w:hideMark/>
          </w:tcPr>
          <w:p w14:paraId="00C86E14" w14:textId="77777777" w:rsidR="008A1E55" w:rsidRPr="00212E5F" w:rsidRDefault="008A1E55" w:rsidP="00E16CAE">
            <w:pPr>
              <w:jc w:val="right"/>
              <w:rPr>
                <w:sz w:val="17"/>
                <w:szCs w:val="17"/>
              </w:rPr>
            </w:pPr>
            <w:r w:rsidRPr="00212E5F">
              <w:rPr>
                <w:sz w:val="17"/>
                <w:szCs w:val="17"/>
              </w:rPr>
              <w:t>4.0</w:t>
            </w:r>
          </w:p>
        </w:tc>
        <w:tc>
          <w:tcPr>
            <w:tcW w:w="1127" w:type="dxa"/>
            <w:tcBorders>
              <w:top w:val="nil"/>
              <w:left w:val="nil"/>
              <w:bottom w:val="nil"/>
              <w:right w:val="nil"/>
            </w:tcBorders>
            <w:shd w:val="clear" w:color="auto" w:fill="auto"/>
            <w:noWrap/>
            <w:vAlign w:val="bottom"/>
            <w:hideMark/>
          </w:tcPr>
          <w:p w14:paraId="2433A8C8" w14:textId="77777777" w:rsidR="008A1E55" w:rsidRPr="00212E5F" w:rsidRDefault="008A1E55" w:rsidP="00E16CAE">
            <w:pPr>
              <w:jc w:val="right"/>
              <w:rPr>
                <w:sz w:val="17"/>
                <w:szCs w:val="17"/>
              </w:rPr>
            </w:pPr>
            <w:r w:rsidRPr="00212E5F">
              <w:rPr>
                <w:sz w:val="17"/>
                <w:szCs w:val="17"/>
              </w:rPr>
              <w:t>1.4</w:t>
            </w:r>
          </w:p>
        </w:tc>
        <w:tc>
          <w:tcPr>
            <w:tcW w:w="1164" w:type="dxa"/>
            <w:tcBorders>
              <w:top w:val="nil"/>
              <w:left w:val="nil"/>
              <w:bottom w:val="nil"/>
              <w:right w:val="nil"/>
            </w:tcBorders>
            <w:shd w:val="clear" w:color="auto" w:fill="auto"/>
            <w:noWrap/>
            <w:vAlign w:val="bottom"/>
            <w:hideMark/>
          </w:tcPr>
          <w:p w14:paraId="6CDEC2A1" w14:textId="77777777" w:rsidR="008A1E55" w:rsidRPr="00212E5F" w:rsidRDefault="008A1E55" w:rsidP="00E16CAE">
            <w:pPr>
              <w:jc w:val="right"/>
              <w:rPr>
                <w:sz w:val="17"/>
                <w:szCs w:val="17"/>
              </w:rPr>
            </w:pPr>
            <w:r w:rsidRPr="00212E5F">
              <w:rPr>
                <w:sz w:val="17"/>
                <w:szCs w:val="17"/>
              </w:rPr>
              <w:t>0.2</w:t>
            </w:r>
          </w:p>
        </w:tc>
      </w:tr>
      <w:tr w:rsidR="006B42D6" w:rsidRPr="00212E5F" w14:paraId="286B8A73" w14:textId="77777777" w:rsidTr="004F65CD">
        <w:trPr>
          <w:trHeight w:val="57"/>
        </w:trPr>
        <w:tc>
          <w:tcPr>
            <w:tcW w:w="1668" w:type="dxa"/>
            <w:tcBorders>
              <w:top w:val="nil"/>
              <w:left w:val="nil"/>
              <w:bottom w:val="nil"/>
              <w:right w:val="nil"/>
            </w:tcBorders>
            <w:shd w:val="clear" w:color="auto" w:fill="auto"/>
            <w:noWrap/>
            <w:vAlign w:val="center"/>
            <w:hideMark/>
          </w:tcPr>
          <w:p w14:paraId="26FD5BA3" w14:textId="77777777" w:rsidR="008A1E55" w:rsidRPr="00212E5F" w:rsidRDefault="008A1E55" w:rsidP="00E16CAE">
            <w:pPr>
              <w:rPr>
                <w:sz w:val="17"/>
                <w:szCs w:val="17"/>
              </w:rPr>
            </w:pPr>
            <w:r w:rsidRPr="00212E5F">
              <w:rPr>
                <w:sz w:val="17"/>
                <w:szCs w:val="17"/>
              </w:rPr>
              <w:t>Manyara</w:t>
            </w:r>
          </w:p>
        </w:tc>
        <w:tc>
          <w:tcPr>
            <w:tcW w:w="1159" w:type="dxa"/>
            <w:tcBorders>
              <w:top w:val="nil"/>
              <w:left w:val="nil"/>
              <w:bottom w:val="nil"/>
              <w:right w:val="nil"/>
            </w:tcBorders>
            <w:shd w:val="clear" w:color="auto" w:fill="auto"/>
            <w:noWrap/>
            <w:vAlign w:val="bottom"/>
            <w:hideMark/>
          </w:tcPr>
          <w:p w14:paraId="60B14D96" w14:textId="77777777" w:rsidR="008A1E55" w:rsidRPr="00212E5F" w:rsidRDefault="008A1E55" w:rsidP="00E16CAE">
            <w:pPr>
              <w:jc w:val="right"/>
              <w:rPr>
                <w:sz w:val="17"/>
                <w:szCs w:val="17"/>
              </w:rPr>
            </w:pPr>
            <w:r w:rsidRPr="00212E5F">
              <w:rPr>
                <w:sz w:val="17"/>
                <w:szCs w:val="17"/>
              </w:rPr>
              <w:t>3.1</w:t>
            </w:r>
          </w:p>
        </w:tc>
        <w:tc>
          <w:tcPr>
            <w:tcW w:w="1159" w:type="dxa"/>
            <w:tcBorders>
              <w:top w:val="nil"/>
              <w:left w:val="nil"/>
              <w:bottom w:val="nil"/>
              <w:right w:val="nil"/>
            </w:tcBorders>
            <w:shd w:val="clear" w:color="auto" w:fill="auto"/>
            <w:noWrap/>
            <w:vAlign w:val="bottom"/>
            <w:hideMark/>
          </w:tcPr>
          <w:p w14:paraId="0CFA5760" w14:textId="77777777" w:rsidR="008A1E55" w:rsidRPr="00212E5F" w:rsidRDefault="008A1E55" w:rsidP="00E16CAE">
            <w:pPr>
              <w:jc w:val="right"/>
              <w:rPr>
                <w:sz w:val="17"/>
                <w:szCs w:val="17"/>
              </w:rPr>
            </w:pPr>
            <w:r w:rsidRPr="00212E5F">
              <w:rPr>
                <w:sz w:val="17"/>
                <w:szCs w:val="17"/>
              </w:rPr>
              <w:t>11.6</w:t>
            </w:r>
          </w:p>
        </w:tc>
        <w:tc>
          <w:tcPr>
            <w:tcW w:w="1159" w:type="dxa"/>
            <w:tcBorders>
              <w:top w:val="nil"/>
              <w:left w:val="nil"/>
              <w:bottom w:val="nil"/>
              <w:right w:val="nil"/>
            </w:tcBorders>
            <w:shd w:val="clear" w:color="auto" w:fill="auto"/>
            <w:noWrap/>
            <w:vAlign w:val="bottom"/>
            <w:hideMark/>
          </w:tcPr>
          <w:p w14:paraId="7AF6B638" w14:textId="77777777" w:rsidR="008A1E55" w:rsidRPr="00212E5F" w:rsidRDefault="008A1E55" w:rsidP="00E16CAE">
            <w:pPr>
              <w:jc w:val="right"/>
              <w:rPr>
                <w:sz w:val="17"/>
                <w:szCs w:val="17"/>
              </w:rPr>
            </w:pPr>
            <w:r w:rsidRPr="00212E5F">
              <w:rPr>
                <w:sz w:val="17"/>
                <w:szCs w:val="17"/>
              </w:rPr>
              <w:t>-</w:t>
            </w:r>
          </w:p>
        </w:tc>
        <w:tc>
          <w:tcPr>
            <w:tcW w:w="1159" w:type="dxa"/>
            <w:tcBorders>
              <w:top w:val="nil"/>
              <w:left w:val="nil"/>
              <w:bottom w:val="nil"/>
              <w:right w:val="nil"/>
            </w:tcBorders>
            <w:shd w:val="clear" w:color="auto" w:fill="auto"/>
            <w:noWrap/>
            <w:vAlign w:val="bottom"/>
            <w:hideMark/>
          </w:tcPr>
          <w:p w14:paraId="65B972F6" w14:textId="77777777" w:rsidR="008A1E55" w:rsidRPr="00212E5F" w:rsidRDefault="008A1E55" w:rsidP="00E16CAE">
            <w:pPr>
              <w:jc w:val="right"/>
              <w:rPr>
                <w:sz w:val="17"/>
                <w:szCs w:val="17"/>
              </w:rPr>
            </w:pPr>
            <w:r w:rsidRPr="00212E5F">
              <w:rPr>
                <w:sz w:val="17"/>
                <w:szCs w:val="17"/>
              </w:rPr>
              <w:t>1.3</w:t>
            </w:r>
          </w:p>
        </w:tc>
        <w:tc>
          <w:tcPr>
            <w:tcW w:w="1187" w:type="dxa"/>
            <w:tcBorders>
              <w:top w:val="nil"/>
              <w:left w:val="nil"/>
              <w:bottom w:val="nil"/>
              <w:right w:val="nil"/>
            </w:tcBorders>
            <w:shd w:val="clear" w:color="auto" w:fill="auto"/>
            <w:noWrap/>
            <w:vAlign w:val="bottom"/>
            <w:hideMark/>
          </w:tcPr>
          <w:p w14:paraId="167C2182" w14:textId="77777777" w:rsidR="008A1E55" w:rsidRPr="00212E5F" w:rsidRDefault="008A1E55" w:rsidP="00E16CAE">
            <w:pPr>
              <w:jc w:val="right"/>
              <w:rPr>
                <w:sz w:val="17"/>
                <w:szCs w:val="17"/>
              </w:rPr>
            </w:pPr>
            <w:r w:rsidRPr="00212E5F">
              <w:rPr>
                <w:sz w:val="17"/>
                <w:szCs w:val="17"/>
              </w:rPr>
              <w:t>5.2</w:t>
            </w:r>
          </w:p>
        </w:tc>
        <w:tc>
          <w:tcPr>
            <w:tcW w:w="1127" w:type="dxa"/>
            <w:tcBorders>
              <w:top w:val="nil"/>
              <w:left w:val="nil"/>
              <w:bottom w:val="nil"/>
              <w:right w:val="nil"/>
            </w:tcBorders>
            <w:shd w:val="clear" w:color="auto" w:fill="auto"/>
            <w:noWrap/>
            <w:vAlign w:val="bottom"/>
            <w:hideMark/>
          </w:tcPr>
          <w:p w14:paraId="331E3F69" w14:textId="77777777" w:rsidR="008A1E55" w:rsidRPr="00212E5F" w:rsidRDefault="008A1E55" w:rsidP="00E16CAE">
            <w:pPr>
              <w:jc w:val="right"/>
              <w:rPr>
                <w:sz w:val="17"/>
                <w:szCs w:val="17"/>
              </w:rPr>
            </w:pPr>
            <w:r w:rsidRPr="00212E5F">
              <w:rPr>
                <w:sz w:val="17"/>
                <w:szCs w:val="17"/>
              </w:rPr>
              <w:t>8.6</w:t>
            </w:r>
          </w:p>
        </w:tc>
        <w:tc>
          <w:tcPr>
            <w:tcW w:w="1164" w:type="dxa"/>
            <w:tcBorders>
              <w:top w:val="nil"/>
              <w:left w:val="nil"/>
              <w:bottom w:val="nil"/>
              <w:right w:val="nil"/>
            </w:tcBorders>
            <w:shd w:val="clear" w:color="auto" w:fill="auto"/>
            <w:noWrap/>
            <w:vAlign w:val="bottom"/>
            <w:hideMark/>
          </w:tcPr>
          <w:p w14:paraId="2A73680D" w14:textId="77777777" w:rsidR="008A1E55" w:rsidRPr="00212E5F" w:rsidRDefault="008A1E55" w:rsidP="00E16CAE">
            <w:pPr>
              <w:jc w:val="right"/>
              <w:rPr>
                <w:sz w:val="17"/>
                <w:szCs w:val="17"/>
              </w:rPr>
            </w:pPr>
            <w:r w:rsidRPr="00212E5F">
              <w:rPr>
                <w:sz w:val="17"/>
                <w:szCs w:val="17"/>
              </w:rPr>
              <w:t>1.8</w:t>
            </w:r>
          </w:p>
        </w:tc>
      </w:tr>
      <w:tr w:rsidR="006B42D6" w:rsidRPr="00212E5F" w14:paraId="088E8D76" w14:textId="77777777" w:rsidTr="004F65CD">
        <w:trPr>
          <w:trHeight w:val="57"/>
        </w:trPr>
        <w:tc>
          <w:tcPr>
            <w:tcW w:w="1668" w:type="dxa"/>
            <w:tcBorders>
              <w:top w:val="nil"/>
              <w:left w:val="nil"/>
              <w:bottom w:val="nil"/>
              <w:right w:val="nil"/>
            </w:tcBorders>
            <w:shd w:val="clear" w:color="auto" w:fill="auto"/>
            <w:noWrap/>
            <w:vAlign w:val="center"/>
            <w:hideMark/>
          </w:tcPr>
          <w:p w14:paraId="40AB1B72" w14:textId="77777777" w:rsidR="008A1E55" w:rsidRPr="00212E5F" w:rsidRDefault="008A1E55" w:rsidP="00E16CAE">
            <w:pPr>
              <w:rPr>
                <w:sz w:val="17"/>
                <w:szCs w:val="17"/>
              </w:rPr>
            </w:pPr>
            <w:r w:rsidRPr="00212E5F">
              <w:rPr>
                <w:sz w:val="17"/>
                <w:szCs w:val="17"/>
              </w:rPr>
              <w:t>Njombe</w:t>
            </w:r>
          </w:p>
        </w:tc>
        <w:tc>
          <w:tcPr>
            <w:tcW w:w="1159" w:type="dxa"/>
            <w:tcBorders>
              <w:top w:val="nil"/>
              <w:left w:val="nil"/>
              <w:bottom w:val="nil"/>
              <w:right w:val="nil"/>
            </w:tcBorders>
            <w:shd w:val="clear" w:color="auto" w:fill="auto"/>
            <w:noWrap/>
            <w:vAlign w:val="bottom"/>
            <w:hideMark/>
          </w:tcPr>
          <w:p w14:paraId="7F48AAB1" w14:textId="77777777" w:rsidR="008A1E55" w:rsidRPr="00212E5F" w:rsidRDefault="008A1E55" w:rsidP="00E16CAE">
            <w:pPr>
              <w:jc w:val="right"/>
              <w:rPr>
                <w:sz w:val="17"/>
                <w:szCs w:val="17"/>
              </w:rPr>
            </w:pPr>
            <w:r w:rsidRPr="00212E5F">
              <w:rPr>
                <w:sz w:val="17"/>
                <w:szCs w:val="17"/>
              </w:rPr>
              <w:t>2.5</w:t>
            </w:r>
          </w:p>
        </w:tc>
        <w:tc>
          <w:tcPr>
            <w:tcW w:w="1159" w:type="dxa"/>
            <w:tcBorders>
              <w:top w:val="nil"/>
              <w:left w:val="nil"/>
              <w:bottom w:val="nil"/>
              <w:right w:val="nil"/>
            </w:tcBorders>
            <w:shd w:val="clear" w:color="auto" w:fill="auto"/>
            <w:noWrap/>
            <w:vAlign w:val="bottom"/>
            <w:hideMark/>
          </w:tcPr>
          <w:p w14:paraId="21C9570B" w14:textId="77777777" w:rsidR="008A1E55" w:rsidRPr="00212E5F" w:rsidRDefault="008A1E55" w:rsidP="00E16CAE">
            <w:pPr>
              <w:jc w:val="right"/>
              <w:rPr>
                <w:sz w:val="17"/>
                <w:szCs w:val="17"/>
              </w:rPr>
            </w:pPr>
            <w:r w:rsidRPr="00212E5F">
              <w:rPr>
                <w:sz w:val="17"/>
                <w:szCs w:val="17"/>
              </w:rPr>
              <w:t>1.1</w:t>
            </w:r>
          </w:p>
        </w:tc>
        <w:tc>
          <w:tcPr>
            <w:tcW w:w="1159" w:type="dxa"/>
            <w:tcBorders>
              <w:top w:val="nil"/>
              <w:left w:val="nil"/>
              <w:bottom w:val="nil"/>
              <w:right w:val="nil"/>
            </w:tcBorders>
            <w:shd w:val="clear" w:color="auto" w:fill="auto"/>
            <w:noWrap/>
            <w:vAlign w:val="bottom"/>
            <w:hideMark/>
          </w:tcPr>
          <w:p w14:paraId="441CF585" w14:textId="77777777" w:rsidR="008A1E55" w:rsidRPr="00212E5F" w:rsidRDefault="008A1E55" w:rsidP="00E16CAE">
            <w:pPr>
              <w:jc w:val="right"/>
              <w:rPr>
                <w:sz w:val="17"/>
                <w:szCs w:val="17"/>
              </w:rPr>
            </w:pPr>
            <w:r w:rsidRPr="00212E5F">
              <w:rPr>
                <w:sz w:val="17"/>
                <w:szCs w:val="17"/>
              </w:rPr>
              <w:t>-</w:t>
            </w:r>
          </w:p>
        </w:tc>
        <w:tc>
          <w:tcPr>
            <w:tcW w:w="1159" w:type="dxa"/>
            <w:tcBorders>
              <w:top w:val="nil"/>
              <w:left w:val="nil"/>
              <w:bottom w:val="nil"/>
              <w:right w:val="nil"/>
            </w:tcBorders>
            <w:shd w:val="clear" w:color="auto" w:fill="auto"/>
            <w:noWrap/>
            <w:vAlign w:val="bottom"/>
            <w:hideMark/>
          </w:tcPr>
          <w:p w14:paraId="2603D5D2" w14:textId="77777777" w:rsidR="008A1E55" w:rsidRPr="00212E5F" w:rsidRDefault="008A1E55" w:rsidP="00E16CAE">
            <w:pPr>
              <w:jc w:val="right"/>
              <w:rPr>
                <w:sz w:val="17"/>
                <w:szCs w:val="17"/>
              </w:rPr>
            </w:pPr>
            <w:r w:rsidRPr="00212E5F">
              <w:rPr>
                <w:sz w:val="17"/>
                <w:szCs w:val="17"/>
              </w:rPr>
              <w:t>-</w:t>
            </w:r>
          </w:p>
        </w:tc>
        <w:tc>
          <w:tcPr>
            <w:tcW w:w="1187" w:type="dxa"/>
            <w:tcBorders>
              <w:top w:val="nil"/>
              <w:left w:val="nil"/>
              <w:bottom w:val="nil"/>
              <w:right w:val="nil"/>
            </w:tcBorders>
            <w:shd w:val="clear" w:color="auto" w:fill="auto"/>
            <w:noWrap/>
            <w:vAlign w:val="bottom"/>
            <w:hideMark/>
          </w:tcPr>
          <w:p w14:paraId="7C2E9F58" w14:textId="77777777" w:rsidR="008A1E55" w:rsidRPr="00212E5F" w:rsidRDefault="008A1E55" w:rsidP="00E16CAE">
            <w:pPr>
              <w:jc w:val="right"/>
              <w:rPr>
                <w:sz w:val="17"/>
                <w:szCs w:val="17"/>
              </w:rPr>
            </w:pPr>
            <w:r w:rsidRPr="00212E5F">
              <w:rPr>
                <w:sz w:val="17"/>
                <w:szCs w:val="17"/>
              </w:rPr>
              <w:t>0.4</w:t>
            </w:r>
          </w:p>
        </w:tc>
        <w:tc>
          <w:tcPr>
            <w:tcW w:w="1127" w:type="dxa"/>
            <w:tcBorders>
              <w:top w:val="nil"/>
              <w:left w:val="nil"/>
              <w:bottom w:val="nil"/>
              <w:right w:val="nil"/>
            </w:tcBorders>
            <w:shd w:val="clear" w:color="auto" w:fill="auto"/>
            <w:noWrap/>
            <w:vAlign w:val="bottom"/>
            <w:hideMark/>
          </w:tcPr>
          <w:p w14:paraId="23A3ECCE" w14:textId="77777777" w:rsidR="008A1E55" w:rsidRPr="00212E5F" w:rsidRDefault="008A1E55" w:rsidP="00E16CAE">
            <w:pPr>
              <w:jc w:val="right"/>
              <w:rPr>
                <w:sz w:val="17"/>
                <w:szCs w:val="17"/>
              </w:rPr>
            </w:pPr>
            <w:r w:rsidRPr="00212E5F">
              <w:rPr>
                <w:sz w:val="17"/>
                <w:szCs w:val="17"/>
              </w:rPr>
              <w:t>0.3</w:t>
            </w:r>
          </w:p>
        </w:tc>
        <w:tc>
          <w:tcPr>
            <w:tcW w:w="1164" w:type="dxa"/>
            <w:tcBorders>
              <w:top w:val="nil"/>
              <w:left w:val="nil"/>
              <w:bottom w:val="nil"/>
              <w:right w:val="nil"/>
            </w:tcBorders>
            <w:shd w:val="clear" w:color="auto" w:fill="auto"/>
            <w:noWrap/>
            <w:vAlign w:val="bottom"/>
            <w:hideMark/>
          </w:tcPr>
          <w:p w14:paraId="62C05BCC" w14:textId="77777777" w:rsidR="008A1E55" w:rsidRPr="00212E5F" w:rsidRDefault="008A1E55" w:rsidP="00E16CAE">
            <w:pPr>
              <w:jc w:val="right"/>
              <w:rPr>
                <w:sz w:val="17"/>
                <w:szCs w:val="17"/>
              </w:rPr>
            </w:pPr>
            <w:r w:rsidRPr="00212E5F">
              <w:rPr>
                <w:sz w:val="17"/>
                <w:szCs w:val="17"/>
              </w:rPr>
              <w:t>-</w:t>
            </w:r>
          </w:p>
        </w:tc>
      </w:tr>
      <w:tr w:rsidR="006B42D6" w:rsidRPr="00212E5F" w14:paraId="2AC03EF5" w14:textId="77777777" w:rsidTr="004F65CD">
        <w:trPr>
          <w:trHeight w:val="57"/>
        </w:trPr>
        <w:tc>
          <w:tcPr>
            <w:tcW w:w="1668" w:type="dxa"/>
            <w:tcBorders>
              <w:top w:val="nil"/>
              <w:left w:val="nil"/>
              <w:bottom w:val="nil"/>
              <w:right w:val="nil"/>
            </w:tcBorders>
            <w:shd w:val="clear" w:color="auto" w:fill="auto"/>
            <w:noWrap/>
            <w:vAlign w:val="center"/>
            <w:hideMark/>
          </w:tcPr>
          <w:p w14:paraId="5FD58E01" w14:textId="77777777" w:rsidR="008A1E55" w:rsidRPr="00212E5F" w:rsidRDefault="008A1E55" w:rsidP="00E16CAE">
            <w:pPr>
              <w:rPr>
                <w:sz w:val="17"/>
                <w:szCs w:val="17"/>
              </w:rPr>
            </w:pPr>
            <w:r w:rsidRPr="00212E5F">
              <w:rPr>
                <w:sz w:val="17"/>
                <w:szCs w:val="17"/>
              </w:rPr>
              <w:t>Katavi</w:t>
            </w:r>
          </w:p>
        </w:tc>
        <w:tc>
          <w:tcPr>
            <w:tcW w:w="1159" w:type="dxa"/>
            <w:tcBorders>
              <w:top w:val="nil"/>
              <w:left w:val="nil"/>
              <w:bottom w:val="nil"/>
              <w:right w:val="nil"/>
            </w:tcBorders>
            <w:shd w:val="clear" w:color="auto" w:fill="auto"/>
            <w:noWrap/>
            <w:vAlign w:val="bottom"/>
            <w:hideMark/>
          </w:tcPr>
          <w:p w14:paraId="1EB5A7AA" w14:textId="77777777" w:rsidR="008A1E55" w:rsidRPr="00212E5F" w:rsidRDefault="008A1E55" w:rsidP="00E16CAE">
            <w:pPr>
              <w:jc w:val="right"/>
              <w:rPr>
                <w:sz w:val="17"/>
                <w:szCs w:val="17"/>
              </w:rPr>
            </w:pPr>
            <w:r w:rsidRPr="00212E5F">
              <w:rPr>
                <w:sz w:val="17"/>
                <w:szCs w:val="17"/>
              </w:rPr>
              <w:t>1.0</w:t>
            </w:r>
          </w:p>
        </w:tc>
        <w:tc>
          <w:tcPr>
            <w:tcW w:w="1159" w:type="dxa"/>
            <w:tcBorders>
              <w:top w:val="nil"/>
              <w:left w:val="nil"/>
              <w:bottom w:val="nil"/>
              <w:right w:val="nil"/>
            </w:tcBorders>
            <w:shd w:val="clear" w:color="auto" w:fill="auto"/>
            <w:noWrap/>
            <w:vAlign w:val="bottom"/>
            <w:hideMark/>
          </w:tcPr>
          <w:p w14:paraId="39EDDC6E" w14:textId="77777777" w:rsidR="008A1E55" w:rsidRPr="00212E5F" w:rsidRDefault="008A1E55" w:rsidP="00E16CAE">
            <w:pPr>
              <w:jc w:val="right"/>
              <w:rPr>
                <w:sz w:val="17"/>
                <w:szCs w:val="17"/>
              </w:rPr>
            </w:pPr>
            <w:r w:rsidRPr="00212E5F">
              <w:rPr>
                <w:sz w:val="17"/>
                <w:szCs w:val="17"/>
              </w:rPr>
              <w:t>0.6</w:t>
            </w:r>
          </w:p>
        </w:tc>
        <w:tc>
          <w:tcPr>
            <w:tcW w:w="1159" w:type="dxa"/>
            <w:tcBorders>
              <w:top w:val="nil"/>
              <w:left w:val="nil"/>
              <w:bottom w:val="nil"/>
              <w:right w:val="nil"/>
            </w:tcBorders>
            <w:shd w:val="clear" w:color="auto" w:fill="auto"/>
            <w:noWrap/>
            <w:vAlign w:val="bottom"/>
            <w:hideMark/>
          </w:tcPr>
          <w:p w14:paraId="752E4039" w14:textId="77777777" w:rsidR="008A1E55" w:rsidRPr="00212E5F" w:rsidRDefault="008A1E55" w:rsidP="00E16CAE">
            <w:pPr>
              <w:jc w:val="right"/>
              <w:rPr>
                <w:sz w:val="17"/>
                <w:szCs w:val="17"/>
              </w:rPr>
            </w:pPr>
            <w:r w:rsidRPr="00212E5F">
              <w:rPr>
                <w:sz w:val="17"/>
                <w:szCs w:val="17"/>
              </w:rPr>
              <w:t>-</w:t>
            </w:r>
          </w:p>
        </w:tc>
        <w:tc>
          <w:tcPr>
            <w:tcW w:w="1159" w:type="dxa"/>
            <w:tcBorders>
              <w:top w:val="nil"/>
              <w:left w:val="nil"/>
              <w:bottom w:val="nil"/>
              <w:right w:val="nil"/>
            </w:tcBorders>
            <w:shd w:val="clear" w:color="auto" w:fill="auto"/>
            <w:noWrap/>
            <w:vAlign w:val="bottom"/>
            <w:hideMark/>
          </w:tcPr>
          <w:p w14:paraId="0A62C9DD" w14:textId="77777777" w:rsidR="008A1E55" w:rsidRPr="00212E5F" w:rsidRDefault="008A1E55" w:rsidP="00E16CAE">
            <w:pPr>
              <w:jc w:val="right"/>
              <w:rPr>
                <w:sz w:val="17"/>
                <w:szCs w:val="17"/>
              </w:rPr>
            </w:pPr>
            <w:r w:rsidRPr="00212E5F">
              <w:rPr>
                <w:sz w:val="17"/>
                <w:szCs w:val="17"/>
              </w:rPr>
              <w:t>0.7</w:t>
            </w:r>
          </w:p>
        </w:tc>
        <w:tc>
          <w:tcPr>
            <w:tcW w:w="1187" w:type="dxa"/>
            <w:tcBorders>
              <w:top w:val="nil"/>
              <w:left w:val="nil"/>
              <w:bottom w:val="nil"/>
              <w:right w:val="nil"/>
            </w:tcBorders>
            <w:shd w:val="clear" w:color="auto" w:fill="auto"/>
            <w:noWrap/>
            <w:vAlign w:val="bottom"/>
            <w:hideMark/>
          </w:tcPr>
          <w:p w14:paraId="0AE6E035" w14:textId="77777777" w:rsidR="008A1E55" w:rsidRPr="00212E5F" w:rsidRDefault="008A1E55" w:rsidP="00E16CAE">
            <w:pPr>
              <w:jc w:val="right"/>
              <w:rPr>
                <w:sz w:val="17"/>
                <w:szCs w:val="17"/>
              </w:rPr>
            </w:pPr>
            <w:r w:rsidRPr="00212E5F">
              <w:rPr>
                <w:sz w:val="17"/>
                <w:szCs w:val="17"/>
              </w:rPr>
              <w:t>1.3</w:t>
            </w:r>
          </w:p>
        </w:tc>
        <w:tc>
          <w:tcPr>
            <w:tcW w:w="1127" w:type="dxa"/>
            <w:tcBorders>
              <w:top w:val="nil"/>
              <w:left w:val="nil"/>
              <w:bottom w:val="nil"/>
              <w:right w:val="nil"/>
            </w:tcBorders>
            <w:shd w:val="clear" w:color="auto" w:fill="auto"/>
            <w:noWrap/>
            <w:vAlign w:val="bottom"/>
            <w:hideMark/>
          </w:tcPr>
          <w:p w14:paraId="5633F837" w14:textId="77777777" w:rsidR="008A1E55" w:rsidRPr="00212E5F" w:rsidRDefault="008A1E55" w:rsidP="00E16CAE">
            <w:pPr>
              <w:jc w:val="right"/>
              <w:rPr>
                <w:sz w:val="17"/>
                <w:szCs w:val="17"/>
              </w:rPr>
            </w:pPr>
            <w:r w:rsidRPr="00212E5F">
              <w:rPr>
                <w:sz w:val="17"/>
                <w:szCs w:val="17"/>
              </w:rPr>
              <w:t>0.3</w:t>
            </w:r>
          </w:p>
        </w:tc>
        <w:tc>
          <w:tcPr>
            <w:tcW w:w="1164" w:type="dxa"/>
            <w:tcBorders>
              <w:top w:val="nil"/>
              <w:left w:val="nil"/>
              <w:bottom w:val="nil"/>
              <w:right w:val="nil"/>
            </w:tcBorders>
            <w:shd w:val="clear" w:color="auto" w:fill="auto"/>
            <w:noWrap/>
            <w:vAlign w:val="bottom"/>
            <w:hideMark/>
          </w:tcPr>
          <w:p w14:paraId="22C64134" w14:textId="77777777" w:rsidR="008A1E55" w:rsidRPr="00212E5F" w:rsidRDefault="008A1E55" w:rsidP="00E16CAE">
            <w:pPr>
              <w:jc w:val="right"/>
              <w:rPr>
                <w:sz w:val="17"/>
                <w:szCs w:val="17"/>
              </w:rPr>
            </w:pPr>
            <w:r w:rsidRPr="00212E5F">
              <w:rPr>
                <w:sz w:val="17"/>
                <w:szCs w:val="17"/>
              </w:rPr>
              <w:t>0.3</w:t>
            </w:r>
          </w:p>
        </w:tc>
      </w:tr>
      <w:tr w:rsidR="006B42D6" w:rsidRPr="00212E5F" w14:paraId="488CC744" w14:textId="77777777" w:rsidTr="004F65CD">
        <w:trPr>
          <w:trHeight w:val="57"/>
        </w:trPr>
        <w:tc>
          <w:tcPr>
            <w:tcW w:w="1668" w:type="dxa"/>
            <w:tcBorders>
              <w:top w:val="nil"/>
              <w:left w:val="nil"/>
              <w:bottom w:val="nil"/>
              <w:right w:val="nil"/>
            </w:tcBorders>
            <w:shd w:val="clear" w:color="auto" w:fill="auto"/>
            <w:noWrap/>
            <w:vAlign w:val="center"/>
            <w:hideMark/>
          </w:tcPr>
          <w:p w14:paraId="2C3C1964" w14:textId="77777777" w:rsidR="008A1E55" w:rsidRPr="00212E5F" w:rsidRDefault="008A1E55" w:rsidP="00E16CAE">
            <w:pPr>
              <w:rPr>
                <w:sz w:val="17"/>
                <w:szCs w:val="17"/>
              </w:rPr>
            </w:pPr>
            <w:r w:rsidRPr="00212E5F">
              <w:rPr>
                <w:sz w:val="17"/>
                <w:szCs w:val="17"/>
              </w:rPr>
              <w:t>Simiyu</w:t>
            </w:r>
          </w:p>
        </w:tc>
        <w:tc>
          <w:tcPr>
            <w:tcW w:w="1159" w:type="dxa"/>
            <w:tcBorders>
              <w:top w:val="nil"/>
              <w:left w:val="nil"/>
              <w:bottom w:val="nil"/>
              <w:right w:val="nil"/>
            </w:tcBorders>
            <w:shd w:val="clear" w:color="auto" w:fill="auto"/>
            <w:noWrap/>
            <w:vAlign w:val="bottom"/>
            <w:hideMark/>
          </w:tcPr>
          <w:p w14:paraId="18A6E9BF" w14:textId="77777777" w:rsidR="008A1E55" w:rsidRPr="00212E5F" w:rsidRDefault="008A1E55" w:rsidP="00E16CAE">
            <w:pPr>
              <w:jc w:val="right"/>
              <w:rPr>
                <w:sz w:val="17"/>
                <w:szCs w:val="17"/>
              </w:rPr>
            </w:pPr>
            <w:r w:rsidRPr="00212E5F">
              <w:rPr>
                <w:sz w:val="17"/>
                <w:szCs w:val="17"/>
              </w:rPr>
              <w:t>2.6</w:t>
            </w:r>
          </w:p>
        </w:tc>
        <w:tc>
          <w:tcPr>
            <w:tcW w:w="1159" w:type="dxa"/>
            <w:tcBorders>
              <w:top w:val="nil"/>
              <w:left w:val="nil"/>
              <w:bottom w:val="nil"/>
              <w:right w:val="nil"/>
            </w:tcBorders>
            <w:shd w:val="clear" w:color="auto" w:fill="auto"/>
            <w:noWrap/>
            <w:vAlign w:val="bottom"/>
            <w:hideMark/>
          </w:tcPr>
          <w:p w14:paraId="566204C0" w14:textId="77777777" w:rsidR="008A1E55" w:rsidRPr="00212E5F" w:rsidRDefault="008A1E55" w:rsidP="00E16CAE">
            <w:pPr>
              <w:jc w:val="right"/>
              <w:rPr>
                <w:sz w:val="17"/>
                <w:szCs w:val="17"/>
              </w:rPr>
            </w:pPr>
            <w:r w:rsidRPr="00212E5F">
              <w:rPr>
                <w:sz w:val="17"/>
                <w:szCs w:val="17"/>
              </w:rPr>
              <w:t>2.8</w:t>
            </w:r>
          </w:p>
        </w:tc>
        <w:tc>
          <w:tcPr>
            <w:tcW w:w="1159" w:type="dxa"/>
            <w:tcBorders>
              <w:top w:val="nil"/>
              <w:left w:val="nil"/>
              <w:bottom w:val="nil"/>
              <w:right w:val="nil"/>
            </w:tcBorders>
            <w:shd w:val="clear" w:color="auto" w:fill="auto"/>
            <w:noWrap/>
            <w:vAlign w:val="bottom"/>
            <w:hideMark/>
          </w:tcPr>
          <w:p w14:paraId="095D14B7" w14:textId="77777777" w:rsidR="008A1E55" w:rsidRPr="00212E5F" w:rsidRDefault="008A1E55" w:rsidP="00E16CAE">
            <w:pPr>
              <w:jc w:val="right"/>
              <w:rPr>
                <w:sz w:val="17"/>
                <w:szCs w:val="17"/>
              </w:rPr>
            </w:pPr>
            <w:r w:rsidRPr="00212E5F">
              <w:rPr>
                <w:sz w:val="17"/>
                <w:szCs w:val="17"/>
              </w:rPr>
              <w:t>-</w:t>
            </w:r>
          </w:p>
        </w:tc>
        <w:tc>
          <w:tcPr>
            <w:tcW w:w="1159" w:type="dxa"/>
            <w:tcBorders>
              <w:top w:val="nil"/>
              <w:left w:val="nil"/>
              <w:bottom w:val="nil"/>
              <w:right w:val="nil"/>
            </w:tcBorders>
            <w:shd w:val="clear" w:color="auto" w:fill="auto"/>
            <w:noWrap/>
            <w:vAlign w:val="bottom"/>
            <w:hideMark/>
          </w:tcPr>
          <w:p w14:paraId="52F07796" w14:textId="77777777" w:rsidR="008A1E55" w:rsidRPr="00212E5F" w:rsidRDefault="008A1E55" w:rsidP="00E16CAE">
            <w:pPr>
              <w:jc w:val="right"/>
              <w:rPr>
                <w:sz w:val="17"/>
                <w:szCs w:val="17"/>
              </w:rPr>
            </w:pPr>
            <w:r w:rsidRPr="00212E5F">
              <w:rPr>
                <w:sz w:val="17"/>
                <w:szCs w:val="17"/>
              </w:rPr>
              <w:t>5.5</w:t>
            </w:r>
          </w:p>
        </w:tc>
        <w:tc>
          <w:tcPr>
            <w:tcW w:w="1187" w:type="dxa"/>
            <w:tcBorders>
              <w:top w:val="nil"/>
              <w:left w:val="nil"/>
              <w:bottom w:val="nil"/>
              <w:right w:val="nil"/>
            </w:tcBorders>
            <w:shd w:val="clear" w:color="auto" w:fill="auto"/>
            <w:noWrap/>
            <w:vAlign w:val="bottom"/>
            <w:hideMark/>
          </w:tcPr>
          <w:p w14:paraId="6E289DCA" w14:textId="77777777" w:rsidR="008A1E55" w:rsidRPr="00212E5F" w:rsidRDefault="008A1E55" w:rsidP="00E16CAE">
            <w:pPr>
              <w:jc w:val="right"/>
              <w:rPr>
                <w:sz w:val="17"/>
                <w:szCs w:val="17"/>
              </w:rPr>
            </w:pPr>
            <w:r w:rsidRPr="00212E5F">
              <w:rPr>
                <w:sz w:val="17"/>
                <w:szCs w:val="17"/>
              </w:rPr>
              <w:t>1.2</w:t>
            </w:r>
          </w:p>
        </w:tc>
        <w:tc>
          <w:tcPr>
            <w:tcW w:w="1127" w:type="dxa"/>
            <w:tcBorders>
              <w:top w:val="nil"/>
              <w:left w:val="nil"/>
              <w:bottom w:val="nil"/>
              <w:right w:val="nil"/>
            </w:tcBorders>
            <w:shd w:val="clear" w:color="auto" w:fill="auto"/>
            <w:noWrap/>
            <w:vAlign w:val="bottom"/>
            <w:hideMark/>
          </w:tcPr>
          <w:p w14:paraId="273A4898" w14:textId="77777777" w:rsidR="008A1E55" w:rsidRPr="00212E5F" w:rsidRDefault="008A1E55" w:rsidP="00E16CAE">
            <w:pPr>
              <w:jc w:val="right"/>
              <w:rPr>
                <w:sz w:val="17"/>
                <w:szCs w:val="17"/>
              </w:rPr>
            </w:pPr>
            <w:r w:rsidRPr="00212E5F">
              <w:rPr>
                <w:sz w:val="17"/>
                <w:szCs w:val="17"/>
              </w:rPr>
              <w:t>2.7</w:t>
            </w:r>
          </w:p>
        </w:tc>
        <w:tc>
          <w:tcPr>
            <w:tcW w:w="1164" w:type="dxa"/>
            <w:tcBorders>
              <w:top w:val="nil"/>
              <w:left w:val="nil"/>
              <w:bottom w:val="nil"/>
              <w:right w:val="nil"/>
            </w:tcBorders>
            <w:shd w:val="clear" w:color="auto" w:fill="auto"/>
            <w:noWrap/>
            <w:vAlign w:val="bottom"/>
            <w:hideMark/>
          </w:tcPr>
          <w:p w14:paraId="01FFAC97" w14:textId="77777777" w:rsidR="008A1E55" w:rsidRPr="00212E5F" w:rsidRDefault="008A1E55" w:rsidP="00E16CAE">
            <w:pPr>
              <w:jc w:val="right"/>
              <w:rPr>
                <w:sz w:val="17"/>
                <w:szCs w:val="17"/>
              </w:rPr>
            </w:pPr>
            <w:r w:rsidRPr="00212E5F">
              <w:rPr>
                <w:sz w:val="17"/>
                <w:szCs w:val="17"/>
              </w:rPr>
              <w:t>-</w:t>
            </w:r>
          </w:p>
        </w:tc>
      </w:tr>
      <w:tr w:rsidR="006B42D6" w:rsidRPr="00212E5F" w14:paraId="67E2400C" w14:textId="77777777" w:rsidTr="004F65CD">
        <w:trPr>
          <w:trHeight w:val="57"/>
        </w:trPr>
        <w:tc>
          <w:tcPr>
            <w:tcW w:w="1668" w:type="dxa"/>
            <w:tcBorders>
              <w:top w:val="nil"/>
              <w:left w:val="nil"/>
              <w:bottom w:val="nil"/>
              <w:right w:val="nil"/>
            </w:tcBorders>
            <w:shd w:val="clear" w:color="auto" w:fill="auto"/>
            <w:noWrap/>
            <w:vAlign w:val="center"/>
            <w:hideMark/>
          </w:tcPr>
          <w:p w14:paraId="5BC54E33" w14:textId="77777777" w:rsidR="008A1E55" w:rsidRPr="00212E5F" w:rsidRDefault="008A1E55" w:rsidP="00E16CAE">
            <w:pPr>
              <w:rPr>
                <w:sz w:val="17"/>
                <w:szCs w:val="17"/>
              </w:rPr>
            </w:pPr>
            <w:r w:rsidRPr="00212E5F">
              <w:rPr>
                <w:sz w:val="17"/>
                <w:szCs w:val="17"/>
              </w:rPr>
              <w:t>Geita</w:t>
            </w:r>
          </w:p>
        </w:tc>
        <w:tc>
          <w:tcPr>
            <w:tcW w:w="1159" w:type="dxa"/>
            <w:tcBorders>
              <w:top w:val="nil"/>
              <w:left w:val="nil"/>
              <w:bottom w:val="nil"/>
              <w:right w:val="nil"/>
            </w:tcBorders>
            <w:shd w:val="clear" w:color="auto" w:fill="auto"/>
            <w:noWrap/>
            <w:vAlign w:val="bottom"/>
            <w:hideMark/>
          </w:tcPr>
          <w:p w14:paraId="3B55EAD8" w14:textId="77777777" w:rsidR="008A1E55" w:rsidRPr="00212E5F" w:rsidRDefault="008A1E55" w:rsidP="00E16CAE">
            <w:pPr>
              <w:jc w:val="right"/>
              <w:rPr>
                <w:sz w:val="17"/>
                <w:szCs w:val="17"/>
              </w:rPr>
            </w:pPr>
            <w:r w:rsidRPr="00212E5F">
              <w:rPr>
                <w:sz w:val="17"/>
                <w:szCs w:val="17"/>
              </w:rPr>
              <w:t>3.9</w:t>
            </w:r>
          </w:p>
        </w:tc>
        <w:tc>
          <w:tcPr>
            <w:tcW w:w="1159" w:type="dxa"/>
            <w:tcBorders>
              <w:top w:val="nil"/>
              <w:left w:val="nil"/>
              <w:bottom w:val="nil"/>
              <w:right w:val="nil"/>
            </w:tcBorders>
            <w:shd w:val="clear" w:color="auto" w:fill="auto"/>
            <w:noWrap/>
            <w:vAlign w:val="bottom"/>
            <w:hideMark/>
          </w:tcPr>
          <w:p w14:paraId="6A1F4505" w14:textId="77777777" w:rsidR="008A1E55" w:rsidRPr="00212E5F" w:rsidRDefault="008A1E55" w:rsidP="00E16CAE">
            <w:pPr>
              <w:jc w:val="right"/>
              <w:rPr>
                <w:sz w:val="17"/>
                <w:szCs w:val="17"/>
              </w:rPr>
            </w:pPr>
            <w:r w:rsidRPr="00212E5F">
              <w:rPr>
                <w:sz w:val="17"/>
                <w:szCs w:val="17"/>
              </w:rPr>
              <w:t>1.2</w:t>
            </w:r>
          </w:p>
        </w:tc>
        <w:tc>
          <w:tcPr>
            <w:tcW w:w="1159" w:type="dxa"/>
            <w:tcBorders>
              <w:top w:val="nil"/>
              <w:left w:val="nil"/>
              <w:bottom w:val="nil"/>
              <w:right w:val="nil"/>
            </w:tcBorders>
            <w:shd w:val="clear" w:color="auto" w:fill="auto"/>
            <w:noWrap/>
            <w:vAlign w:val="bottom"/>
            <w:hideMark/>
          </w:tcPr>
          <w:p w14:paraId="4CA7C7E1" w14:textId="77777777" w:rsidR="008A1E55" w:rsidRPr="00212E5F" w:rsidRDefault="008A1E55" w:rsidP="00E16CAE">
            <w:pPr>
              <w:jc w:val="right"/>
              <w:rPr>
                <w:sz w:val="17"/>
                <w:szCs w:val="17"/>
              </w:rPr>
            </w:pPr>
            <w:r w:rsidRPr="00212E5F">
              <w:rPr>
                <w:sz w:val="17"/>
                <w:szCs w:val="17"/>
              </w:rPr>
              <w:t>-</w:t>
            </w:r>
          </w:p>
        </w:tc>
        <w:tc>
          <w:tcPr>
            <w:tcW w:w="1159" w:type="dxa"/>
            <w:tcBorders>
              <w:top w:val="nil"/>
              <w:left w:val="nil"/>
              <w:bottom w:val="nil"/>
              <w:right w:val="nil"/>
            </w:tcBorders>
            <w:shd w:val="clear" w:color="auto" w:fill="auto"/>
            <w:noWrap/>
            <w:vAlign w:val="bottom"/>
            <w:hideMark/>
          </w:tcPr>
          <w:p w14:paraId="5BABCE44" w14:textId="77777777" w:rsidR="008A1E55" w:rsidRPr="00212E5F" w:rsidRDefault="008A1E55" w:rsidP="00E16CAE">
            <w:pPr>
              <w:jc w:val="right"/>
              <w:rPr>
                <w:sz w:val="17"/>
                <w:szCs w:val="17"/>
              </w:rPr>
            </w:pPr>
            <w:r w:rsidRPr="00212E5F">
              <w:rPr>
                <w:sz w:val="17"/>
                <w:szCs w:val="17"/>
              </w:rPr>
              <w:t>-</w:t>
            </w:r>
          </w:p>
        </w:tc>
        <w:tc>
          <w:tcPr>
            <w:tcW w:w="1187" w:type="dxa"/>
            <w:tcBorders>
              <w:top w:val="nil"/>
              <w:left w:val="nil"/>
              <w:bottom w:val="nil"/>
              <w:right w:val="nil"/>
            </w:tcBorders>
            <w:shd w:val="clear" w:color="auto" w:fill="auto"/>
            <w:noWrap/>
            <w:vAlign w:val="bottom"/>
            <w:hideMark/>
          </w:tcPr>
          <w:p w14:paraId="6914E423" w14:textId="77777777" w:rsidR="008A1E55" w:rsidRPr="00212E5F" w:rsidRDefault="008A1E55" w:rsidP="00E16CAE">
            <w:pPr>
              <w:jc w:val="right"/>
              <w:rPr>
                <w:sz w:val="17"/>
                <w:szCs w:val="17"/>
              </w:rPr>
            </w:pPr>
            <w:r w:rsidRPr="00212E5F">
              <w:rPr>
                <w:sz w:val="17"/>
                <w:szCs w:val="17"/>
              </w:rPr>
              <w:t>2.4</w:t>
            </w:r>
          </w:p>
        </w:tc>
        <w:tc>
          <w:tcPr>
            <w:tcW w:w="1127" w:type="dxa"/>
            <w:tcBorders>
              <w:top w:val="nil"/>
              <w:left w:val="nil"/>
              <w:bottom w:val="nil"/>
              <w:right w:val="nil"/>
            </w:tcBorders>
            <w:shd w:val="clear" w:color="auto" w:fill="auto"/>
            <w:noWrap/>
            <w:vAlign w:val="bottom"/>
            <w:hideMark/>
          </w:tcPr>
          <w:p w14:paraId="6180FFF5" w14:textId="77777777" w:rsidR="008A1E55" w:rsidRPr="00212E5F" w:rsidRDefault="008A1E55" w:rsidP="00E16CAE">
            <w:pPr>
              <w:jc w:val="right"/>
              <w:rPr>
                <w:sz w:val="17"/>
                <w:szCs w:val="17"/>
              </w:rPr>
            </w:pPr>
            <w:r w:rsidRPr="00212E5F">
              <w:rPr>
                <w:sz w:val="17"/>
                <w:szCs w:val="17"/>
              </w:rPr>
              <w:t>0.2</w:t>
            </w:r>
          </w:p>
        </w:tc>
        <w:tc>
          <w:tcPr>
            <w:tcW w:w="1164" w:type="dxa"/>
            <w:tcBorders>
              <w:top w:val="nil"/>
              <w:left w:val="nil"/>
              <w:bottom w:val="nil"/>
              <w:right w:val="nil"/>
            </w:tcBorders>
            <w:shd w:val="clear" w:color="auto" w:fill="auto"/>
            <w:noWrap/>
            <w:vAlign w:val="bottom"/>
            <w:hideMark/>
          </w:tcPr>
          <w:p w14:paraId="2CE853C4" w14:textId="77777777" w:rsidR="008A1E55" w:rsidRPr="00212E5F" w:rsidRDefault="008A1E55" w:rsidP="00E16CAE">
            <w:pPr>
              <w:jc w:val="right"/>
              <w:rPr>
                <w:sz w:val="17"/>
                <w:szCs w:val="17"/>
              </w:rPr>
            </w:pPr>
            <w:r w:rsidRPr="00212E5F">
              <w:rPr>
                <w:sz w:val="17"/>
                <w:szCs w:val="17"/>
              </w:rPr>
              <w:t>-</w:t>
            </w:r>
          </w:p>
        </w:tc>
      </w:tr>
      <w:tr w:rsidR="006B42D6" w:rsidRPr="00212E5F" w14:paraId="499EE027" w14:textId="77777777" w:rsidTr="004F65CD">
        <w:trPr>
          <w:trHeight w:val="57"/>
        </w:trPr>
        <w:tc>
          <w:tcPr>
            <w:tcW w:w="1668" w:type="dxa"/>
            <w:tcBorders>
              <w:top w:val="nil"/>
              <w:left w:val="nil"/>
              <w:bottom w:val="nil"/>
              <w:right w:val="nil"/>
            </w:tcBorders>
            <w:shd w:val="clear" w:color="auto" w:fill="auto"/>
            <w:noWrap/>
            <w:vAlign w:val="center"/>
            <w:hideMark/>
          </w:tcPr>
          <w:p w14:paraId="6DBFEEE3" w14:textId="77777777" w:rsidR="008A1E55" w:rsidRPr="00212E5F" w:rsidRDefault="008A1E55" w:rsidP="00E16CAE">
            <w:pPr>
              <w:rPr>
                <w:sz w:val="17"/>
                <w:szCs w:val="17"/>
              </w:rPr>
            </w:pPr>
            <w:r w:rsidRPr="00212E5F">
              <w:rPr>
                <w:sz w:val="17"/>
                <w:szCs w:val="17"/>
              </w:rPr>
              <w:t>Songwe</w:t>
            </w:r>
          </w:p>
        </w:tc>
        <w:tc>
          <w:tcPr>
            <w:tcW w:w="1159" w:type="dxa"/>
            <w:tcBorders>
              <w:top w:val="nil"/>
              <w:left w:val="nil"/>
              <w:bottom w:val="nil"/>
              <w:right w:val="nil"/>
            </w:tcBorders>
            <w:shd w:val="clear" w:color="auto" w:fill="auto"/>
            <w:noWrap/>
            <w:vAlign w:val="bottom"/>
            <w:hideMark/>
          </w:tcPr>
          <w:p w14:paraId="773C7532" w14:textId="77777777" w:rsidR="008A1E55" w:rsidRPr="00212E5F" w:rsidRDefault="008A1E55" w:rsidP="00E16CAE">
            <w:pPr>
              <w:jc w:val="right"/>
              <w:rPr>
                <w:sz w:val="17"/>
                <w:szCs w:val="17"/>
              </w:rPr>
            </w:pPr>
            <w:r w:rsidRPr="00212E5F">
              <w:rPr>
                <w:sz w:val="17"/>
                <w:szCs w:val="17"/>
              </w:rPr>
              <w:t>3.7</w:t>
            </w:r>
          </w:p>
        </w:tc>
        <w:tc>
          <w:tcPr>
            <w:tcW w:w="1159" w:type="dxa"/>
            <w:tcBorders>
              <w:top w:val="nil"/>
              <w:left w:val="nil"/>
              <w:bottom w:val="nil"/>
              <w:right w:val="nil"/>
            </w:tcBorders>
            <w:shd w:val="clear" w:color="auto" w:fill="auto"/>
            <w:noWrap/>
            <w:vAlign w:val="bottom"/>
            <w:hideMark/>
          </w:tcPr>
          <w:p w14:paraId="6568ED62" w14:textId="77777777" w:rsidR="008A1E55" w:rsidRPr="00212E5F" w:rsidRDefault="008A1E55" w:rsidP="00E16CAE">
            <w:pPr>
              <w:jc w:val="right"/>
              <w:rPr>
                <w:sz w:val="17"/>
                <w:szCs w:val="17"/>
              </w:rPr>
            </w:pPr>
            <w:r w:rsidRPr="00212E5F">
              <w:rPr>
                <w:sz w:val="17"/>
                <w:szCs w:val="17"/>
              </w:rPr>
              <w:t>1.2</w:t>
            </w:r>
          </w:p>
        </w:tc>
        <w:tc>
          <w:tcPr>
            <w:tcW w:w="1159" w:type="dxa"/>
            <w:tcBorders>
              <w:top w:val="nil"/>
              <w:left w:val="nil"/>
              <w:bottom w:val="nil"/>
              <w:right w:val="nil"/>
            </w:tcBorders>
            <w:shd w:val="clear" w:color="auto" w:fill="auto"/>
            <w:noWrap/>
            <w:vAlign w:val="bottom"/>
            <w:hideMark/>
          </w:tcPr>
          <w:p w14:paraId="0567A9F0" w14:textId="77777777" w:rsidR="008A1E55" w:rsidRPr="00212E5F" w:rsidRDefault="008A1E55" w:rsidP="00E16CAE">
            <w:pPr>
              <w:jc w:val="right"/>
              <w:rPr>
                <w:sz w:val="17"/>
                <w:szCs w:val="17"/>
              </w:rPr>
            </w:pPr>
            <w:r w:rsidRPr="00212E5F">
              <w:rPr>
                <w:sz w:val="17"/>
                <w:szCs w:val="17"/>
              </w:rPr>
              <w:t>-</w:t>
            </w:r>
          </w:p>
        </w:tc>
        <w:tc>
          <w:tcPr>
            <w:tcW w:w="1159" w:type="dxa"/>
            <w:tcBorders>
              <w:top w:val="nil"/>
              <w:left w:val="nil"/>
              <w:bottom w:val="nil"/>
              <w:right w:val="nil"/>
            </w:tcBorders>
            <w:shd w:val="clear" w:color="auto" w:fill="auto"/>
            <w:noWrap/>
            <w:vAlign w:val="bottom"/>
            <w:hideMark/>
          </w:tcPr>
          <w:p w14:paraId="74EF0DCA" w14:textId="77777777" w:rsidR="008A1E55" w:rsidRPr="00212E5F" w:rsidRDefault="008A1E55" w:rsidP="00E16CAE">
            <w:pPr>
              <w:jc w:val="right"/>
              <w:rPr>
                <w:sz w:val="17"/>
                <w:szCs w:val="17"/>
              </w:rPr>
            </w:pPr>
            <w:r w:rsidRPr="00212E5F">
              <w:rPr>
                <w:sz w:val="17"/>
                <w:szCs w:val="17"/>
              </w:rPr>
              <w:t>-</w:t>
            </w:r>
          </w:p>
        </w:tc>
        <w:tc>
          <w:tcPr>
            <w:tcW w:w="1187" w:type="dxa"/>
            <w:tcBorders>
              <w:top w:val="nil"/>
              <w:left w:val="nil"/>
              <w:bottom w:val="nil"/>
              <w:right w:val="nil"/>
            </w:tcBorders>
            <w:shd w:val="clear" w:color="auto" w:fill="auto"/>
            <w:noWrap/>
            <w:vAlign w:val="bottom"/>
            <w:hideMark/>
          </w:tcPr>
          <w:p w14:paraId="11F0E1AA" w14:textId="77777777" w:rsidR="008A1E55" w:rsidRPr="00212E5F" w:rsidRDefault="008A1E55" w:rsidP="00E16CAE">
            <w:pPr>
              <w:jc w:val="right"/>
              <w:rPr>
                <w:sz w:val="17"/>
                <w:szCs w:val="17"/>
              </w:rPr>
            </w:pPr>
            <w:r w:rsidRPr="00212E5F">
              <w:rPr>
                <w:sz w:val="17"/>
                <w:szCs w:val="17"/>
              </w:rPr>
              <w:t>4.4</w:t>
            </w:r>
          </w:p>
        </w:tc>
        <w:tc>
          <w:tcPr>
            <w:tcW w:w="1127" w:type="dxa"/>
            <w:tcBorders>
              <w:top w:val="nil"/>
              <w:left w:val="nil"/>
              <w:bottom w:val="nil"/>
              <w:right w:val="nil"/>
            </w:tcBorders>
            <w:shd w:val="clear" w:color="auto" w:fill="auto"/>
            <w:noWrap/>
            <w:vAlign w:val="bottom"/>
            <w:hideMark/>
          </w:tcPr>
          <w:p w14:paraId="610E0428" w14:textId="77777777" w:rsidR="008A1E55" w:rsidRPr="00212E5F" w:rsidRDefault="008A1E55" w:rsidP="00E16CAE">
            <w:pPr>
              <w:jc w:val="right"/>
              <w:rPr>
                <w:sz w:val="17"/>
                <w:szCs w:val="17"/>
              </w:rPr>
            </w:pPr>
            <w:r w:rsidRPr="00212E5F">
              <w:rPr>
                <w:sz w:val="17"/>
                <w:szCs w:val="17"/>
              </w:rPr>
              <w:t>0.4</w:t>
            </w:r>
          </w:p>
        </w:tc>
        <w:tc>
          <w:tcPr>
            <w:tcW w:w="1164" w:type="dxa"/>
            <w:tcBorders>
              <w:top w:val="nil"/>
              <w:left w:val="nil"/>
              <w:bottom w:val="nil"/>
              <w:right w:val="nil"/>
            </w:tcBorders>
            <w:shd w:val="clear" w:color="auto" w:fill="auto"/>
            <w:noWrap/>
            <w:vAlign w:val="bottom"/>
            <w:hideMark/>
          </w:tcPr>
          <w:p w14:paraId="71C264B8" w14:textId="77777777" w:rsidR="008A1E55" w:rsidRPr="00212E5F" w:rsidRDefault="008A1E55" w:rsidP="00E16CAE">
            <w:pPr>
              <w:jc w:val="right"/>
              <w:rPr>
                <w:sz w:val="17"/>
                <w:szCs w:val="17"/>
              </w:rPr>
            </w:pPr>
            <w:r w:rsidRPr="00212E5F">
              <w:rPr>
                <w:sz w:val="17"/>
                <w:szCs w:val="17"/>
              </w:rPr>
              <w:t>-</w:t>
            </w:r>
          </w:p>
        </w:tc>
      </w:tr>
      <w:tr w:rsidR="006B42D6" w:rsidRPr="004F65CD" w14:paraId="505772E3" w14:textId="77777777" w:rsidTr="004F65CD">
        <w:trPr>
          <w:trHeight w:val="57"/>
        </w:trPr>
        <w:tc>
          <w:tcPr>
            <w:tcW w:w="1668" w:type="dxa"/>
            <w:tcBorders>
              <w:top w:val="single" w:sz="4" w:space="0" w:color="auto"/>
              <w:left w:val="nil"/>
              <w:bottom w:val="single" w:sz="4" w:space="0" w:color="auto"/>
              <w:right w:val="nil"/>
            </w:tcBorders>
            <w:shd w:val="clear" w:color="auto" w:fill="E2EFD9" w:themeFill="accent6" w:themeFillTint="33"/>
            <w:noWrap/>
            <w:vAlign w:val="center"/>
            <w:hideMark/>
          </w:tcPr>
          <w:p w14:paraId="6F0A1500" w14:textId="4EE42D62" w:rsidR="008A1E55" w:rsidRPr="004F65CD" w:rsidRDefault="008A1E55" w:rsidP="00E16CAE">
            <w:pPr>
              <w:rPr>
                <w:b/>
                <w:sz w:val="17"/>
                <w:szCs w:val="17"/>
              </w:rPr>
            </w:pPr>
            <w:r w:rsidRPr="004F65CD">
              <w:rPr>
                <w:b/>
                <w:sz w:val="17"/>
                <w:szCs w:val="17"/>
              </w:rPr>
              <w:t>Mainland</w:t>
            </w:r>
            <w:r w:rsidR="004F65CD" w:rsidRPr="004F65CD">
              <w:rPr>
                <w:b/>
                <w:sz w:val="17"/>
                <w:szCs w:val="17"/>
              </w:rPr>
              <w:t xml:space="preserve"> Tanzania</w:t>
            </w:r>
          </w:p>
        </w:tc>
        <w:tc>
          <w:tcPr>
            <w:tcW w:w="1159" w:type="dxa"/>
            <w:tcBorders>
              <w:top w:val="single" w:sz="4" w:space="0" w:color="auto"/>
              <w:left w:val="nil"/>
              <w:bottom w:val="single" w:sz="4" w:space="0" w:color="auto"/>
              <w:right w:val="nil"/>
            </w:tcBorders>
            <w:shd w:val="clear" w:color="auto" w:fill="E2EFD9" w:themeFill="accent6" w:themeFillTint="33"/>
            <w:noWrap/>
            <w:vAlign w:val="bottom"/>
            <w:hideMark/>
          </w:tcPr>
          <w:p w14:paraId="70D4A339" w14:textId="77777777" w:rsidR="008A1E55" w:rsidRPr="004F65CD" w:rsidRDefault="008A1E55" w:rsidP="00E16CAE">
            <w:pPr>
              <w:jc w:val="right"/>
              <w:rPr>
                <w:b/>
                <w:sz w:val="17"/>
                <w:szCs w:val="17"/>
              </w:rPr>
            </w:pPr>
            <w:r w:rsidRPr="004F65CD">
              <w:rPr>
                <w:b/>
                <w:sz w:val="17"/>
                <w:szCs w:val="17"/>
              </w:rPr>
              <w:t>100.0</w:t>
            </w:r>
          </w:p>
        </w:tc>
        <w:tc>
          <w:tcPr>
            <w:tcW w:w="1159" w:type="dxa"/>
            <w:tcBorders>
              <w:top w:val="single" w:sz="4" w:space="0" w:color="auto"/>
              <w:left w:val="nil"/>
              <w:bottom w:val="single" w:sz="4" w:space="0" w:color="auto"/>
              <w:right w:val="nil"/>
            </w:tcBorders>
            <w:shd w:val="clear" w:color="auto" w:fill="E2EFD9" w:themeFill="accent6" w:themeFillTint="33"/>
            <w:noWrap/>
            <w:vAlign w:val="bottom"/>
            <w:hideMark/>
          </w:tcPr>
          <w:p w14:paraId="2886B639" w14:textId="77777777" w:rsidR="008A1E55" w:rsidRPr="004F65CD" w:rsidRDefault="008A1E55" w:rsidP="00E16CAE">
            <w:pPr>
              <w:jc w:val="right"/>
              <w:rPr>
                <w:b/>
                <w:sz w:val="17"/>
                <w:szCs w:val="17"/>
              </w:rPr>
            </w:pPr>
            <w:r w:rsidRPr="004F65CD">
              <w:rPr>
                <w:b/>
                <w:sz w:val="17"/>
                <w:szCs w:val="17"/>
              </w:rPr>
              <w:t>100.0</w:t>
            </w:r>
          </w:p>
        </w:tc>
        <w:tc>
          <w:tcPr>
            <w:tcW w:w="1159" w:type="dxa"/>
            <w:tcBorders>
              <w:top w:val="single" w:sz="4" w:space="0" w:color="auto"/>
              <w:left w:val="nil"/>
              <w:bottom w:val="single" w:sz="4" w:space="0" w:color="auto"/>
              <w:right w:val="nil"/>
            </w:tcBorders>
            <w:shd w:val="clear" w:color="auto" w:fill="E2EFD9" w:themeFill="accent6" w:themeFillTint="33"/>
            <w:noWrap/>
            <w:vAlign w:val="bottom"/>
            <w:hideMark/>
          </w:tcPr>
          <w:p w14:paraId="53096D91" w14:textId="77777777" w:rsidR="008A1E55" w:rsidRPr="004F65CD" w:rsidRDefault="008A1E55" w:rsidP="00E16CAE">
            <w:pPr>
              <w:jc w:val="right"/>
              <w:rPr>
                <w:b/>
                <w:sz w:val="17"/>
                <w:szCs w:val="17"/>
              </w:rPr>
            </w:pPr>
            <w:r w:rsidRPr="004F65CD">
              <w:rPr>
                <w:b/>
                <w:sz w:val="17"/>
                <w:szCs w:val="17"/>
              </w:rPr>
              <w:t>100.0</w:t>
            </w:r>
          </w:p>
        </w:tc>
        <w:tc>
          <w:tcPr>
            <w:tcW w:w="1159" w:type="dxa"/>
            <w:tcBorders>
              <w:top w:val="single" w:sz="4" w:space="0" w:color="auto"/>
              <w:left w:val="nil"/>
              <w:bottom w:val="single" w:sz="4" w:space="0" w:color="auto"/>
              <w:right w:val="nil"/>
            </w:tcBorders>
            <w:shd w:val="clear" w:color="auto" w:fill="E2EFD9" w:themeFill="accent6" w:themeFillTint="33"/>
            <w:noWrap/>
            <w:vAlign w:val="bottom"/>
            <w:hideMark/>
          </w:tcPr>
          <w:p w14:paraId="2BBD2ABE" w14:textId="77777777" w:rsidR="008A1E55" w:rsidRPr="004F65CD" w:rsidRDefault="008A1E55" w:rsidP="00E16CAE">
            <w:pPr>
              <w:jc w:val="right"/>
              <w:rPr>
                <w:b/>
                <w:sz w:val="17"/>
                <w:szCs w:val="17"/>
              </w:rPr>
            </w:pPr>
            <w:r w:rsidRPr="004F65CD">
              <w:rPr>
                <w:b/>
                <w:sz w:val="17"/>
                <w:szCs w:val="17"/>
              </w:rPr>
              <w:t>100.0</w:t>
            </w:r>
          </w:p>
        </w:tc>
        <w:tc>
          <w:tcPr>
            <w:tcW w:w="1187" w:type="dxa"/>
            <w:tcBorders>
              <w:top w:val="single" w:sz="4" w:space="0" w:color="auto"/>
              <w:left w:val="nil"/>
              <w:bottom w:val="single" w:sz="4" w:space="0" w:color="auto"/>
              <w:right w:val="nil"/>
            </w:tcBorders>
            <w:shd w:val="clear" w:color="auto" w:fill="E2EFD9" w:themeFill="accent6" w:themeFillTint="33"/>
            <w:noWrap/>
            <w:vAlign w:val="bottom"/>
            <w:hideMark/>
          </w:tcPr>
          <w:p w14:paraId="131D976A" w14:textId="77777777" w:rsidR="008A1E55" w:rsidRPr="004F65CD" w:rsidRDefault="008A1E55" w:rsidP="00E16CAE">
            <w:pPr>
              <w:jc w:val="right"/>
              <w:rPr>
                <w:b/>
                <w:sz w:val="17"/>
                <w:szCs w:val="17"/>
              </w:rPr>
            </w:pPr>
            <w:r w:rsidRPr="004F65CD">
              <w:rPr>
                <w:b/>
                <w:sz w:val="17"/>
                <w:szCs w:val="17"/>
              </w:rPr>
              <w:t>100.0</w:t>
            </w:r>
          </w:p>
        </w:tc>
        <w:tc>
          <w:tcPr>
            <w:tcW w:w="1127" w:type="dxa"/>
            <w:tcBorders>
              <w:top w:val="single" w:sz="4" w:space="0" w:color="auto"/>
              <w:left w:val="nil"/>
              <w:bottom w:val="single" w:sz="4" w:space="0" w:color="auto"/>
              <w:right w:val="nil"/>
            </w:tcBorders>
            <w:shd w:val="clear" w:color="auto" w:fill="E2EFD9" w:themeFill="accent6" w:themeFillTint="33"/>
            <w:noWrap/>
            <w:vAlign w:val="bottom"/>
            <w:hideMark/>
          </w:tcPr>
          <w:p w14:paraId="71466F8F" w14:textId="77777777" w:rsidR="008A1E55" w:rsidRPr="004F65CD" w:rsidRDefault="008A1E55" w:rsidP="00E16CAE">
            <w:pPr>
              <w:jc w:val="right"/>
              <w:rPr>
                <w:b/>
                <w:sz w:val="17"/>
                <w:szCs w:val="17"/>
              </w:rPr>
            </w:pPr>
            <w:r w:rsidRPr="004F65CD">
              <w:rPr>
                <w:b/>
                <w:sz w:val="17"/>
                <w:szCs w:val="17"/>
              </w:rPr>
              <w:t>100.0</w:t>
            </w:r>
          </w:p>
        </w:tc>
        <w:tc>
          <w:tcPr>
            <w:tcW w:w="1164" w:type="dxa"/>
            <w:tcBorders>
              <w:top w:val="single" w:sz="4" w:space="0" w:color="auto"/>
              <w:left w:val="nil"/>
              <w:bottom w:val="single" w:sz="4" w:space="0" w:color="auto"/>
              <w:right w:val="nil"/>
            </w:tcBorders>
            <w:shd w:val="clear" w:color="auto" w:fill="E2EFD9" w:themeFill="accent6" w:themeFillTint="33"/>
            <w:noWrap/>
            <w:vAlign w:val="bottom"/>
            <w:hideMark/>
          </w:tcPr>
          <w:p w14:paraId="3632A7AD" w14:textId="77777777" w:rsidR="008A1E55" w:rsidRPr="004F65CD" w:rsidRDefault="008A1E55" w:rsidP="00E16CAE">
            <w:pPr>
              <w:jc w:val="right"/>
              <w:rPr>
                <w:b/>
                <w:sz w:val="17"/>
                <w:szCs w:val="17"/>
              </w:rPr>
            </w:pPr>
            <w:r w:rsidRPr="004F65CD">
              <w:rPr>
                <w:b/>
                <w:sz w:val="17"/>
                <w:szCs w:val="17"/>
              </w:rPr>
              <w:t>100.0</w:t>
            </w:r>
          </w:p>
        </w:tc>
      </w:tr>
      <w:tr w:rsidR="006B42D6" w:rsidRPr="00212E5F" w14:paraId="56E4891C" w14:textId="77777777" w:rsidTr="004F65CD">
        <w:trPr>
          <w:trHeight w:val="57"/>
        </w:trPr>
        <w:tc>
          <w:tcPr>
            <w:tcW w:w="1668" w:type="dxa"/>
            <w:tcBorders>
              <w:top w:val="nil"/>
              <w:left w:val="nil"/>
              <w:bottom w:val="nil"/>
              <w:right w:val="nil"/>
            </w:tcBorders>
            <w:shd w:val="clear" w:color="auto" w:fill="auto"/>
            <w:noWrap/>
            <w:vAlign w:val="center"/>
            <w:hideMark/>
          </w:tcPr>
          <w:p w14:paraId="45DF3C8A" w14:textId="77777777" w:rsidR="008A1E55" w:rsidRPr="00212E5F" w:rsidRDefault="008A1E55" w:rsidP="00E16CAE">
            <w:pPr>
              <w:rPr>
                <w:sz w:val="17"/>
                <w:szCs w:val="17"/>
              </w:rPr>
            </w:pPr>
            <w:r w:rsidRPr="00212E5F">
              <w:rPr>
                <w:sz w:val="17"/>
                <w:szCs w:val="17"/>
              </w:rPr>
              <w:t>Kaskazini Unguja</w:t>
            </w:r>
          </w:p>
        </w:tc>
        <w:tc>
          <w:tcPr>
            <w:tcW w:w="1159" w:type="dxa"/>
            <w:tcBorders>
              <w:top w:val="nil"/>
              <w:left w:val="nil"/>
              <w:bottom w:val="nil"/>
              <w:right w:val="nil"/>
            </w:tcBorders>
            <w:shd w:val="clear" w:color="auto" w:fill="auto"/>
            <w:noWrap/>
            <w:vAlign w:val="bottom"/>
            <w:hideMark/>
          </w:tcPr>
          <w:p w14:paraId="20225E50" w14:textId="77777777" w:rsidR="008A1E55" w:rsidRPr="00212E5F" w:rsidRDefault="008A1E55" w:rsidP="00E16CAE">
            <w:pPr>
              <w:jc w:val="right"/>
              <w:rPr>
                <w:sz w:val="17"/>
                <w:szCs w:val="17"/>
              </w:rPr>
            </w:pPr>
            <w:r w:rsidRPr="00212E5F">
              <w:rPr>
                <w:sz w:val="17"/>
                <w:szCs w:val="17"/>
              </w:rPr>
              <w:t>18.9</w:t>
            </w:r>
          </w:p>
        </w:tc>
        <w:tc>
          <w:tcPr>
            <w:tcW w:w="1159" w:type="dxa"/>
            <w:tcBorders>
              <w:top w:val="nil"/>
              <w:left w:val="nil"/>
              <w:bottom w:val="nil"/>
              <w:right w:val="nil"/>
            </w:tcBorders>
            <w:shd w:val="clear" w:color="auto" w:fill="auto"/>
            <w:noWrap/>
            <w:vAlign w:val="bottom"/>
            <w:hideMark/>
          </w:tcPr>
          <w:p w14:paraId="6188F748" w14:textId="77777777" w:rsidR="008A1E55" w:rsidRPr="00212E5F" w:rsidRDefault="008A1E55" w:rsidP="00E16CAE">
            <w:pPr>
              <w:jc w:val="right"/>
              <w:rPr>
                <w:sz w:val="17"/>
                <w:szCs w:val="17"/>
              </w:rPr>
            </w:pPr>
            <w:r w:rsidRPr="00212E5F">
              <w:rPr>
                <w:sz w:val="17"/>
                <w:szCs w:val="17"/>
              </w:rPr>
              <w:t>41.6</w:t>
            </w:r>
          </w:p>
        </w:tc>
        <w:tc>
          <w:tcPr>
            <w:tcW w:w="1159" w:type="dxa"/>
            <w:tcBorders>
              <w:top w:val="nil"/>
              <w:left w:val="nil"/>
              <w:bottom w:val="nil"/>
              <w:right w:val="nil"/>
            </w:tcBorders>
            <w:shd w:val="clear" w:color="auto" w:fill="auto"/>
            <w:noWrap/>
            <w:vAlign w:val="bottom"/>
            <w:hideMark/>
          </w:tcPr>
          <w:p w14:paraId="5E83654A" w14:textId="77777777" w:rsidR="008A1E55" w:rsidRPr="00212E5F" w:rsidRDefault="008A1E55" w:rsidP="00E16CAE">
            <w:pPr>
              <w:jc w:val="right"/>
              <w:rPr>
                <w:sz w:val="17"/>
                <w:szCs w:val="17"/>
              </w:rPr>
            </w:pPr>
            <w:r w:rsidRPr="00212E5F">
              <w:rPr>
                <w:sz w:val="17"/>
                <w:szCs w:val="17"/>
              </w:rPr>
              <w:t>-</w:t>
            </w:r>
          </w:p>
        </w:tc>
        <w:tc>
          <w:tcPr>
            <w:tcW w:w="1159" w:type="dxa"/>
            <w:tcBorders>
              <w:top w:val="nil"/>
              <w:left w:val="nil"/>
              <w:bottom w:val="nil"/>
              <w:right w:val="nil"/>
            </w:tcBorders>
            <w:shd w:val="clear" w:color="auto" w:fill="auto"/>
            <w:noWrap/>
            <w:vAlign w:val="bottom"/>
            <w:hideMark/>
          </w:tcPr>
          <w:p w14:paraId="71D1A371" w14:textId="77777777" w:rsidR="008A1E55" w:rsidRPr="00212E5F" w:rsidRDefault="008A1E55" w:rsidP="00E16CAE">
            <w:pPr>
              <w:jc w:val="right"/>
              <w:rPr>
                <w:sz w:val="17"/>
                <w:szCs w:val="17"/>
              </w:rPr>
            </w:pPr>
            <w:r w:rsidRPr="00212E5F">
              <w:rPr>
                <w:sz w:val="17"/>
                <w:szCs w:val="17"/>
              </w:rPr>
              <w:t>-</w:t>
            </w:r>
          </w:p>
        </w:tc>
        <w:tc>
          <w:tcPr>
            <w:tcW w:w="1187" w:type="dxa"/>
            <w:tcBorders>
              <w:top w:val="nil"/>
              <w:left w:val="nil"/>
              <w:bottom w:val="nil"/>
              <w:right w:val="nil"/>
            </w:tcBorders>
            <w:shd w:val="clear" w:color="auto" w:fill="auto"/>
            <w:noWrap/>
            <w:vAlign w:val="bottom"/>
            <w:hideMark/>
          </w:tcPr>
          <w:p w14:paraId="127824E8" w14:textId="77777777" w:rsidR="008A1E55" w:rsidRPr="00212E5F" w:rsidRDefault="008A1E55" w:rsidP="00E16CAE">
            <w:pPr>
              <w:jc w:val="right"/>
              <w:rPr>
                <w:sz w:val="17"/>
                <w:szCs w:val="17"/>
              </w:rPr>
            </w:pPr>
            <w:r w:rsidRPr="00212E5F">
              <w:rPr>
                <w:sz w:val="17"/>
                <w:szCs w:val="17"/>
              </w:rPr>
              <w:t>7.7</w:t>
            </w:r>
          </w:p>
        </w:tc>
        <w:tc>
          <w:tcPr>
            <w:tcW w:w="1127" w:type="dxa"/>
            <w:tcBorders>
              <w:top w:val="nil"/>
              <w:left w:val="nil"/>
              <w:bottom w:val="nil"/>
              <w:right w:val="nil"/>
            </w:tcBorders>
            <w:shd w:val="clear" w:color="auto" w:fill="auto"/>
            <w:noWrap/>
            <w:vAlign w:val="bottom"/>
            <w:hideMark/>
          </w:tcPr>
          <w:p w14:paraId="262C9FB1" w14:textId="77777777" w:rsidR="008A1E55" w:rsidRPr="00212E5F" w:rsidRDefault="008A1E55" w:rsidP="00E16CAE">
            <w:pPr>
              <w:jc w:val="right"/>
              <w:rPr>
                <w:sz w:val="17"/>
                <w:szCs w:val="17"/>
              </w:rPr>
            </w:pPr>
            <w:r w:rsidRPr="00212E5F">
              <w:rPr>
                <w:sz w:val="17"/>
                <w:szCs w:val="17"/>
              </w:rPr>
              <w:t>-</w:t>
            </w:r>
          </w:p>
        </w:tc>
        <w:tc>
          <w:tcPr>
            <w:tcW w:w="1164" w:type="dxa"/>
            <w:tcBorders>
              <w:top w:val="nil"/>
              <w:left w:val="nil"/>
              <w:bottom w:val="nil"/>
              <w:right w:val="nil"/>
            </w:tcBorders>
            <w:shd w:val="clear" w:color="auto" w:fill="auto"/>
            <w:noWrap/>
            <w:vAlign w:val="bottom"/>
            <w:hideMark/>
          </w:tcPr>
          <w:p w14:paraId="18F700C0" w14:textId="77777777" w:rsidR="008A1E55" w:rsidRPr="00212E5F" w:rsidRDefault="008A1E55" w:rsidP="00E16CAE">
            <w:pPr>
              <w:jc w:val="right"/>
              <w:rPr>
                <w:sz w:val="17"/>
                <w:szCs w:val="17"/>
              </w:rPr>
            </w:pPr>
            <w:r w:rsidRPr="00212E5F">
              <w:rPr>
                <w:sz w:val="17"/>
                <w:szCs w:val="17"/>
              </w:rPr>
              <w:t>-</w:t>
            </w:r>
          </w:p>
        </w:tc>
      </w:tr>
      <w:tr w:rsidR="006B42D6" w:rsidRPr="00212E5F" w14:paraId="00AB4ACA" w14:textId="77777777" w:rsidTr="004F65CD">
        <w:trPr>
          <w:trHeight w:val="57"/>
        </w:trPr>
        <w:tc>
          <w:tcPr>
            <w:tcW w:w="1668" w:type="dxa"/>
            <w:tcBorders>
              <w:top w:val="nil"/>
              <w:left w:val="nil"/>
              <w:bottom w:val="nil"/>
              <w:right w:val="nil"/>
            </w:tcBorders>
            <w:shd w:val="clear" w:color="auto" w:fill="auto"/>
            <w:noWrap/>
            <w:vAlign w:val="center"/>
            <w:hideMark/>
          </w:tcPr>
          <w:p w14:paraId="186CDC54" w14:textId="77777777" w:rsidR="008A1E55" w:rsidRPr="00212E5F" w:rsidRDefault="008A1E55" w:rsidP="00E16CAE">
            <w:pPr>
              <w:rPr>
                <w:sz w:val="17"/>
                <w:szCs w:val="17"/>
              </w:rPr>
            </w:pPr>
            <w:r w:rsidRPr="00212E5F">
              <w:rPr>
                <w:sz w:val="17"/>
                <w:szCs w:val="17"/>
              </w:rPr>
              <w:t>Kusini Unguja</w:t>
            </w:r>
          </w:p>
        </w:tc>
        <w:tc>
          <w:tcPr>
            <w:tcW w:w="1159" w:type="dxa"/>
            <w:tcBorders>
              <w:top w:val="nil"/>
              <w:left w:val="nil"/>
              <w:bottom w:val="nil"/>
              <w:right w:val="nil"/>
            </w:tcBorders>
            <w:shd w:val="clear" w:color="auto" w:fill="auto"/>
            <w:noWrap/>
            <w:vAlign w:val="bottom"/>
            <w:hideMark/>
          </w:tcPr>
          <w:p w14:paraId="234D3E3C" w14:textId="77777777" w:rsidR="008A1E55" w:rsidRPr="00212E5F" w:rsidRDefault="008A1E55" w:rsidP="00E16CAE">
            <w:pPr>
              <w:jc w:val="right"/>
              <w:rPr>
                <w:sz w:val="17"/>
                <w:szCs w:val="17"/>
              </w:rPr>
            </w:pPr>
            <w:r w:rsidRPr="00212E5F">
              <w:rPr>
                <w:sz w:val="17"/>
                <w:szCs w:val="17"/>
              </w:rPr>
              <w:t>10.0</w:t>
            </w:r>
          </w:p>
        </w:tc>
        <w:tc>
          <w:tcPr>
            <w:tcW w:w="1159" w:type="dxa"/>
            <w:tcBorders>
              <w:top w:val="nil"/>
              <w:left w:val="nil"/>
              <w:bottom w:val="nil"/>
              <w:right w:val="nil"/>
            </w:tcBorders>
            <w:shd w:val="clear" w:color="auto" w:fill="auto"/>
            <w:noWrap/>
            <w:vAlign w:val="bottom"/>
            <w:hideMark/>
          </w:tcPr>
          <w:p w14:paraId="655954B8" w14:textId="77777777" w:rsidR="008A1E55" w:rsidRPr="00212E5F" w:rsidRDefault="008A1E55" w:rsidP="00E16CAE">
            <w:pPr>
              <w:jc w:val="right"/>
              <w:rPr>
                <w:sz w:val="17"/>
                <w:szCs w:val="17"/>
              </w:rPr>
            </w:pPr>
            <w:r w:rsidRPr="00212E5F">
              <w:rPr>
                <w:sz w:val="17"/>
                <w:szCs w:val="17"/>
              </w:rPr>
              <w:t>58.4</w:t>
            </w:r>
          </w:p>
        </w:tc>
        <w:tc>
          <w:tcPr>
            <w:tcW w:w="1159" w:type="dxa"/>
            <w:tcBorders>
              <w:top w:val="nil"/>
              <w:left w:val="nil"/>
              <w:bottom w:val="nil"/>
              <w:right w:val="nil"/>
            </w:tcBorders>
            <w:shd w:val="clear" w:color="auto" w:fill="auto"/>
            <w:noWrap/>
            <w:vAlign w:val="bottom"/>
            <w:hideMark/>
          </w:tcPr>
          <w:p w14:paraId="2F13F747" w14:textId="77777777" w:rsidR="008A1E55" w:rsidRPr="00212E5F" w:rsidRDefault="008A1E55" w:rsidP="00E16CAE">
            <w:pPr>
              <w:jc w:val="right"/>
              <w:rPr>
                <w:sz w:val="17"/>
                <w:szCs w:val="17"/>
              </w:rPr>
            </w:pPr>
            <w:r w:rsidRPr="00212E5F">
              <w:rPr>
                <w:sz w:val="17"/>
                <w:szCs w:val="17"/>
              </w:rPr>
              <w:t>-</w:t>
            </w:r>
          </w:p>
        </w:tc>
        <w:tc>
          <w:tcPr>
            <w:tcW w:w="1159" w:type="dxa"/>
            <w:tcBorders>
              <w:top w:val="nil"/>
              <w:left w:val="nil"/>
              <w:bottom w:val="nil"/>
              <w:right w:val="nil"/>
            </w:tcBorders>
            <w:shd w:val="clear" w:color="auto" w:fill="auto"/>
            <w:noWrap/>
            <w:vAlign w:val="bottom"/>
            <w:hideMark/>
          </w:tcPr>
          <w:p w14:paraId="2C022FDE" w14:textId="77777777" w:rsidR="008A1E55" w:rsidRPr="00212E5F" w:rsidRDefault="008A1E55" w:rsidP="00E16CAE">
            <w:pPr>
              <w:jc w:val="right"/>
              <w:rPr>
                <w:sz w:val="17"/>
                <w:szCs w:val="17"/>
              </w:rPr>
            </w:pPr>
            <w:r w:rsidRPr="00212E5F">
              <w:rPr>
                <w:sz w:val="17"/>
                <w:szCs w:val="17"/>
              </w:rPr>
              <w:t>100.0</w:t>
            </w:r>
          </w:p>
        </w:tc>
        <w:tc>
          <w:tcPr>
            <w:tcW w:w="1187" w:type="dxa"/>
            <w:tcBorders>
              <w:top w:val="nil"/>
              <w:left w:val="nil"/>
              <w:bottom w:val="nil"/>
              <w:right w:val="nil"/>
            </w:tcBorders>
            <w:shd w:val="clear" w:color="auto" w:fill="auto"/>
            <w:noWrap/>
            <w:vAlign w:val="bottom"/>
            <w:hideMark/>
          </w:tcPr>
          <w:p w14:paraId="6AF31FA7" w14:textId="77777777" w:rsidR="008A1E55" w:rsidRPr="00212E5F" w:rsidRDefault="008A1E55" w:rsidP="00E16CAE">
            <w:pPr>
              <w:jc w:val="right"/>
              <w:rPr>
                <w:sz w:val="17"/>
                <w:szCs w:val="17"/>
              </w:rPr>
            </w:pPr>
            <w:r w:rsidRPr="00212E5F">
              <w:rPr>
                <w:sz w:val="17"/>
                <w:szCs w:val="17"/>
              </w:rPr>
              <w:t>6.7</w:t>
            </w:r>
          </w:p>
        </w:tc>
        <w:tc>
          <w:tcPr>
            <w:tcW w:w="1127" w:type="dxa"/>
            <w:tcBorders>
              <w:top w:val="nil"/>
              <w:left w:val="nil"/>
              <w:bottom w:val="nil"/>
              <w:right w:val="nil"/>
            </w:tcBorders>
            <w:shd w:val="clear" w:color="auto" w:fill="auto"/>
            <w:noWrap/>
            <w:vAlign w:val="bottom"/>
            <w:hideMark/>
          </w:tcPr>
          <w:p w14:paraId="0C1238DD" w14:textId="77777777" w:rsidR="008A1E55" w:rsidRPr="00212E5F" w:rsidRDefault="008A1E55" w:rsidP="00E16CAE">
            <w:pPr>
              <w:jc w:val="right"/>
              <w:rPr>
                <w:sz w:val="17"/>
                <w:szCs w:val="17"/>
              </w:rPr>
            </w:pPr>
            <w:r w:rsidRPr="00212E5F">
              <w:rPr>
                <w:sz w:val="17"/>
                <w:szCs w:val="17"/>
              </w:rPr>
              <w:t>-</w:t>
            </w:r>
          </w:p>
        </w:tc>
        <w:tc>
          <w:tcPr>
            <w:tcW w:w="1164" w:type="dxa"/>
            <w:tcBorders>
              <w:top w:val="nil"/>
              <w:left w:val="nil"/>
              <w:bottom w:val="nil"/>
              <w:right w:val="nil"/>
            </w:tcBorders>
            <w:shd w:val="clear" w:color="auto" w:fill="auto"/>
            <w:noWrap/>
            <w:vAlign w:val="bottom"/>
            <w:hideMark/>
          </w:tcPr>
          <w:p w14:paraId="321C3F0B" w14:textId="77777777" w:rsidR="008A1E55" w:rsidRPr="00212E5F" w:rsidRDefault="008A1E55" w:rsidP="00E16CAE">
            <w:pPr>
              <w:jc w:val="right"/>
              <w:rPr>
                <w:sz w:val="17"/>
                <w:szCs w:val="17"/>
              </w:rPr>
            </w:pPr>
            <w:r w:rsidRPr="00212E5F">
              <w:rPr>
                <w:sz w:val="17"/>
                <w:szCs w:val="17"/>
              </w:rPr>
              <w:t>-</w:t>
            </w:r>
          </w:p>
        </w:tc>
      </w:tr>
      <w:tr w:rsidR="006B42D6" w:rsidRPr="00212E5F" w14:paraId="51408F8C" w14:textId="77777777" w:rsidTr="004F65CD">
        <w:trPr>
          <w:trHeight w:val="57"/>
        </w:trPr>
        <w:tc>
          <w:tcPr>
            <w:tcW w:w="1668" w:type="dxa"/>
            <w:tcBorders>
              <w:top w:val="nil"/>
              <w:left w:val="nil"/>
              <w:bottom w:val="nil"/>
              <w:right w:val="nil"/>
            </w:tcBorders>
            <w:shd w:val="clear" w:color="auto" w:fill="auto"/>
            <w:noWrap/>
            <w:vAlign w:val="center"/>
            <w:hideMark/>
          </w:tcPr>
          <w:p w14:paraId="4660C6ED" w14:textId="77777777" w:rsidR="008A1E55" w:rsidRPr="00212E5F" w:rsidRDefault="008A1E55" w:rsidP="00E16CAE">
            <w:pPr>
              <w:rPr>
                <w:sz w:val="17"/>
                <w:szCs w:val="17"/>
              </w:rPr>
            </w:pPr>
            <w:r w:rsidRPr="00212E5F">
              <w:rPr>
                <w:sz w:val="17"/>
                <w:szCs w:val="17"/>
              </w:rPr>
              <w:t>Mjini Magharibi</w:t>
            </w:r>
          </w:p>
        </w:tc>
        <w:tc>
          <w:tcPr>
            <w:tcW w:w="1159" w:type="dxa"/>
            <w:tcBorders>
              <w:top w:val="nil"/>
              <w:left w:val="nil"/>
              <w:bottom w:val="nil"/>
              <w:right w:val="nil"/>
            </w:tcBorders>
            <w:shd w:val="clear" w:color="auto" w:fill="auto"/>
            <w:noWrap/>
            <w:vAlign w:val="bottom"/>
            <w:hideMark/>
          </w:tcPr>
          <w:p w14:paraId="09BC5E00" w14:textId="77777777" w:rsidR="008A1E55" w:rsidRPr="00212E5F" w:rsidRDefault="008A1E55" w:rsidP="00E16CAE">
            <w:pPr>
              <w:jc w:val="right"/>
              <w:rPr>
                <w:sz w:val="17"/>
                <w:szCs w:val="17"/>
              </w:rPr>
            </w:pPr>
            <w:r w:rsidRPr="00212E5F">
              <w:rPr>
                <w:sz w:val="17"/>
                <w:szCs w:val="17"/>
              </w:rPr>
              <w:t>21.0</w:t>
            </w:r>
          </w:p>
        </w:tc>
        <w:tc>
          <w:tcPr>
            <w:tcW w:w="1159" w:type="dxa"/>
            <w:tcBorders>
              <w:top w:val="nil"/>
              <w:left w:val="nil"/>
              <w:bottom w:val="nil"/>
              <w:right w:val="nil"/>
            </w:tcBorders>
            <w:shd w:val="clear" w:color="auto" w:fill="auto"/>
            <w:noWrap/>
            <w:vAlign w:val="bottom"/>
            <w:hideMark/>
          </w:tcPr>
          <w:p w14:paraId="1A6ED429" w14:textId="77777777" w:rsidR="008A1E55" w:rsidRPr="00212E5F" w:rsidRDefault="008A1E55" w:rsidP="00E16CAE">
            <w:pPr>
              <w:jc w:val="right"/>
              <w:rPr>
                <w:sz w:val="17"/>
                <w:szCs w:val="17"/>
              </w:rPr>
            </w:pPr>
            <w:r w:rsidRPr="00212E5F">
              <w:rPr>
                <w:sz w:val="17"/>
                <w:szCs w:val="17"/>
              </w:rPr>
              <w:t>-</w:t>
            </w:r>
          </w:p>
        </w:tc>
        <w:tc>
          <w:tcPr>
            <w:tcW w:w="1159" w:type="dxa"/>
            <w:tcBorders>
              <w:top w:val="nil"/>
              <w:left w:val="nil"/>
              <w:bottom w:val="nil"/>
              <w:right w:val="nil"/>
            </w:tcBorders>
            <w:shd w:val="clear" w:color="auto" w:fill="auto"/>
            <w:noWrap/>
            <w:vAlign w:val="bottom"/>
            <w:hideMark/>
          </w:tcPr>
          <w:p w14:paraId="28CDD82D" w14:textId="77777777" w:rsidR="008A1E55" w:rsidRPr="00212E5F" w:rsidRDefault="008A1E55" w:rsidP="00E16CAE">
            <w:pPr>
              <w:jc w:val="right"/>
              <w:rPr>
                <w:sz w:val="17"/>
                <w:szCs w:val="17"/>
              </w:rPr>
            </w:pPr>
            <w:r w:rsidRPr="00212E5F">
              <w:rPr>
                <w:sz w:val="17"/>
                <w:szCs w:val="17"/>
              </w:rPr>
              <w:t>-</w:t>
            </w:r>
          </w:p>
        </w:tc>
        <w:tc>
          <w:tcPr>
            <w:tcW w:w="1159" w:type="dxa"/>
            <w:tcBorders>
              <w:top w:val="nil"/>
              <w:left w:val="nil"/>
              <w:bottom w:val="nil"/>
              <w:right w:val="nil"/>
            </w:tcBorders>
            <w:shd w:val="clear" w:color="auto" w:fill="auto"/>
            <w:noWrap/>
            <w:vAlign w:val="bottom"/>
            <w:hideMark/>
          </w:tcPr>
          <w:p w14:paraId="7BEB016C" w14:textId="77777777" w:rsidR="008A1E55" w:rsidRPr="00212E5F" w:rsidRDefault="008A1E55" w:rsidP="00E16CAE">
            <w:pPr>
              <w:jc w:val="right"/>
              <w:rPr>
                <w:sz w:val="17"/>
                <w:szCs w:val="17"/>
              </w:rPr>
            </w:pPr>
            <w:r w:rsidRPr="00212E5F">
              <w:rPr>
                <w:sz w:val="17"/>
                <w:szCs w:val="17"/>
              </w:rPr>
              <w:t>-</w:t>
            </w:r>
          </w:p>
        </w:tc>
        <w:tc>
          <w:tcPr>
            <w:tcW w:w="1187" w:type="dxa"/>
            <w:tcBorders>
              <w:top w:val="nil"/>
              <w:left w:val="nil"/>
              <w:bottom w:val="nil"/>
              <w:right w:val="nil"/>
            </w:tcBorders>
            <w:shd w:val="clear" w:color="auto" w:fill="auto"/>
            <w:noWrap/>
            <w:vAlign w:val="bottom"/>
            <w:hideMark/>
          </w:tcPr>
          <w:p w14:paraId="01A28C97" w14:textId="77777777" w:rsidR="008A1E55" w:rsidRPr="00212E5F" w:rsidRDefault="008A1E55" w:rsidP="00E16CAE">
            <w:pPr>
              <w:jc w:val="right"/>
              <w:rPr>
                <w:sz w:val="17"/>
                <w:szCs w:val="17"/>
              </w:rPr>
            </w:pPr>
            <w:r w:rsidRPr="00212E5F">
              <w:rPr>
                <w:sz w:val="17"/>
                <w:szCs w:val="17"/>
              </w:rPr>
              <w:t>11.5</w:t>
            </w:r>
          </w:p>
        </w:tc>
        <w:tc>
          <w:tcPr>
            <w:tcW w:w="1127" w:type="dxa"/>
            <w:tcBorders>
              <w:top w:val="nil"/>
              <w:left w:val="nil"/>
              <w:bottom w:val="nil"/>
              <w:right w:val="nil"/>
            </w:tcBorders>
            <w:shd w:val="clear" w:color="auto" w:fill="auto"/>
            <w:noWrap/>
            <w:vAlign w:val="bottom"/>
            <w:hideMark/>
          </w:tcPr>
          <w:p w14:paraId="53F8362D" w14:textId="77777777" w:rsidR="008A1E55" w:rsidRPr="00212E5F" w:rsidRDefault="008A1E55" w:rsidP="00E16CAE">
            <w:pPr>
              <w:jc w:val="right"/>
              <w:rPr>
                <w:sz w:val="17"/>
                <w:szCs w:val="17"/>
              </w:rPr>
            </w:pPr>
            <w:r w:rsidRPr="00212E5F">
              <w:rPr>
                <w:sz w:val="17"/>
                <w:szCs w:val="17"/>
              </w:rPr>
              <w:t>100.0</w:t>
            </w:r>
          </w:p>
        </w:tc>
        <w:tc>
          <w:tcPr>
            <w:tcW w:w="1164" w:type="dxa"/>
            <w:tcBorders>
              <w:top w:val="nil"/>
              <w:left w:val="nil"/>
              <w:bottom w:val="nil"/>
              <w:right w:val="nil"/>
            </w:tcBorders>
            <w:shd w:val="clear" w:color="auto" w:fill="auto"/>
            <w:noWrap/>
            <w:vAlign w:val="bottom"/>
            <w:hideMark/>
          </w:tcPr>
          <w:p w14:paraId="74433476" w14:textId="77777777" w:rsidR="008A1E55" w:rsidRPr="00212E5F" w:rsidRDefault="008A1E55" w:rsidP="00E16CAE">
            <w:pPr>
              <w:jc w:val="right"/>
              <w:rPr>
                <w:sz w:val="17"/>
                <w:szCs w:val="17"/>
              </w:rPr>
            </w:pPr>
            <w:r w:rsidRPr="00212E5F">
              <w:rPr>
                <w:sz w:val="17"/>
                <w:szCs w:val="17"/>
              </w:rPr>
              <w:t>-</w:t>
            </w:r>
          </w:p>
        </w:tc>
      </w:tr>
      <w:tr w:rsidR="006B42D6" w:rsidRPr="00212E5F" w14:paraId="3DE44A1F" w14:textId="77777777" w:rsidTr="004F65CD">
        <w:trPr>
          <w:trHeight w:val="57"/>
        </w:trPr>
        <w:tc>
          <w:tcPr>
            <w:tcW w:w="1668" w:type="dxa"/>
            <w:tcBorders>
              <w:top w:val="nil"/>
              <w:left w:val="nil"/>
              <w:bottom w:val="nil"/>
              <w:right w:val="nil"/>
            </w:tcBorders>
            <w:shd w:val="clear" w:color="auto" w:fill="auto"/>
            <w:noWrap/>
            <w:vAlign w:val="center"/>
            <w:hideMark/>
          </w:tcPr>
          <w:p w14:paraId="34CFD14A" w14:textId="77777777" w:rsidR="008A1E55" w:rsidRPr="00212E5F" w:rsidRDefault="008A1E55" w:rsidP="00E16CAE">
            <w:pPr>
              <w:rPr>
                <w:sz w:val="17"/>
                <w:szCs w:val="17"/>
              </w:rPr>
            </w:pPr>
            <w:r w:rsidRPr="00212E5F">
              <w:rPr>
                <w:sz w:val="17"/>
                <w:szCs w:val="17"/>
              </w:rPr>
              <w:t>Kaskazini Pemba</w:t>
            </w:r>
          </w:p>
        </w:tc>
        <w:tc>
          <w:tcPr>
            <w:tcW w:w="1159" w:type="dxa"/>
            <w:tcBorders>
              <w:top w:val="nil"/>
              <w:left w:val="nil"/>
              <w:bottom w:val="nil"/>
              <w:right w:val="nil"/>
            </w:tcBorders>
            <w:shd w:val="clear" w:color="auto" w:fill="auto"/>
            <w:noWrap/>
            <w:vAlign w:val="bottom"/>
            <w:hideMark/>
          </w:tcPr>
          <w:p w14:paraId="239CDF26" w14:textId="77777777" w:rsidR="008A1E55" w:rsidRPr="00212E5F" w:rsidRDefault="008A1E55" w:rsidP="00E16CAE">
            <w:pPr>
              <w:jc w:val="right"/>
              <w:rPr>
                <w:sz w:val="17"/>
                <w:szCs w:val="17"/>
              </w:rPr>
            </w:pPr>
            <w:r w:rsidRPr="00212E5F">
              <w:rPr>
                <w:sz w:val="17"/>
                <w:szCs w:val="17"/>
              </w:rPr>
              <w:t>18.1</w:t>
            </w:r>
          </w:p>
        </w:tc>
        <w:tc>
          <w:tcPr>
            <w:tcW w:w="1159" w:type="dxa"/>
            <w:tcBorders>
              <w:top w:val="nil"/>
              <w:left w:val="nil"/>
              <w:bottom w:val="nil"/>
              <w:right w:val="nil"/>
            </w:tcBorders>
            <w:shd w:val="clear" w:color="auto" w:fill="auto"/>
            <w:noWrap/>
            <w:vAlign w:val="bottom"/>
            <w:hideMark/>
          </w:tcPr>
          <w:p w14:paraId="5429716C" w14:textId="77777777" w:rsidR="008A1E55" w:rsidRPr="00212E5F" w:rsidRDefault="008A1E55" w:rsidP="00E16CAE">
            <w:pPr>
              <w:jc w:val="right"/>
              <w:rPr>
                <w:sz w:val="17"/>
                <w:szCs w:val="17"/>
              </w:rPr>
            </w:pPr>
            <w:r w:rsidRPr="00212E5F">
              <w:rPr>
                <w:sz w:val="17"/>
                <w:szCs w:val="17"/>
              </w:rPr>
              <w:t>-</w:t>
            </w:r>
          </w:p>
        </w:tc>
        <w:tc>
          <w:tcPr>
            <w:tcW w:w="1159" w:type="dxa"/>
            <w:tcBorders>
              <w:top w:val="nil"/>
              <w:left w:val="nil"/>
              <w:bottom w:val="nil"/>
              <w:right w:val="nil"/>
            </w:tcBorders>
            <w:shd w:val="clear" w:color="auto" w:fill="auto"/>
            <w:noWrap/>
            <w:vAlign w:val="bottom"/>
            <w:hideMark/>
          </w:tcPr>
          <w:p w14:paraId="54F1140D" w14:textId="77777777" w:rsidR="008A1E55" w:rsidRPr="00212E5F" w:rsidRDefault="008A1E55" w:rsidP="00E16CAE">
            <w:pPr>
              <w:jc w:val="right"/>
              <w:rPr>
                <w:sz w:val="17"/>
                <w:szCs w:val="17"/>
              </w:rPr>
            </w:pPr>
            <w:r w:rsidRPr="00212E5F">
              <w:rPr>
                <w:sz w:val="17"/>
                <w:szCs w:val="17"/>
              </w:rPr>
              <w:t>-</w:t>
            </w:r>
          </w:p>
        </w:tc>
        <w:tc>
          <w:tcPr>
            <w:tcW w:w="1159" w:type="dxa"/>
            <w:tcBorders>
              <w:top w:val="nil"/>
              <w:left w:val="nil"/>
              <w:bottom w:val="nil"/>
              <w:right w:val="nil"/>
            </w:tcBorders>
            <w:shd w:val="clear" w:color="auto" w:fill="auto"/>
            <w:noWrap/>
            <w:vAlign w:val="bottom"/>
            <w:hideMark/>
          </w:tcPr>
          <w:p w14:paraId="3F9B0C11" w14:textId="77777777" w:rsidR="008A1E55" w:rsidRPr="00212E5F" w:rsidRDefault="008A1E55" w:rsidP="00E16CAE">
            <w:pPr>
              <w:jc w:val="right"/>
              <w:rPr>
                <w:sz w:val="17"/>
                <w:szCs w:val="17"/>
              </w:rPr>
            </w:pPr>
            <w:r w:rsidRPr="00212E5F">
              <w:rPr>
                <w:sz w:val="17"/>
                <w:szCs w:val="17"/>
              </w:rPr>
              <w:t>-</w:t>
            </w:r>
          </w:p>
        </w:tc>
        <w:tc>
          <w:tcPr>
            <w:tcW w:w="1187" w:type="dxa"/>
            <w:tcBorders>
              <w:top w:val="nil"/>
              <w:left w:val="nil"/>
              <w:bottom w:val="nil"/>
              <w:right w:val="nil"/>
            </w:tcBorders>
            <w:shd w:val="clear" w:color="auto" w:fill="auto"/>
            <w:noWrap/>
            <w:vAlign w:val="bottom"/>
            <w:hideMark/>
          </w:tcPr>
          <w:p w14:paraId="3A2ABDBF" w14:textId="77777777" w:rsidR="008A1E55" w:rsidRPr="00212E5F" w:rsidRDefault="008A1E55" w:rsidP="00E16CAE">
            <w:pPr>
              <w:jc w:val="right"/>
              <w:rPr>
                <w:sz w:val="17"/>
                <w:szCs w:val="17"/>
              </w:rPr>
            </w:pPr>
            <w:r w:rsidRPr="00212E5F">
              <w:rPr>
                <w:sz w:val="17"/>
                <w:szCs w:val="17"/>
              </w:rPr>
              <w:t>56.3</w:t>
            </w:r>
          </w:p>
        </w:tc>
        <w:tc>
          <w:tcPr>
            <w:tcW w:w="1127" w:type="dxa"/>
            <w:tcBorders>
              <w:top w:val="nil"/>
              <w:left w:val="nil"/>
              <w:bottom w:val="nil"/>
              <w:right w:val="nil"/>
            </w:tcBorders>
            <w:shd w:val="clear" w:color="auto" w:fill="auto"/>
            <w:noWrap/>
            <w:vAlign w:val="bottom"/>
            <w:hideMark/>
          </w:tcPr>
          <w:p w14:paraId="14BE0C80" w14:textId="77777777" w:rsidR="008A1E55" w:rsidRPr="00212E5F" w:rsidRDefault="008A1E55" w:rsidP="00E16CAE">
            <w:pPr>
              <w:jc w:val="right"/>
              <w:rPr>
                <w:sz w:val="17"/>
                <w:szCs w:val="17"/>
              </w:rPr>
            </w:pPr>
            <w:r w:rsidRPr="00212E5F">
              <w:rPr>
                <w:sz w:val="17"/>
                <w:szCs w:val="17"/>
              </w:rPr>
              <w:t>-</w:t>
            </w:r>
          </w:p>
        </w:tc>
        <w:tc>
          <w:tcPr>
            <w:tcW w:w="1164" w:type="dxa"/>
            <w:tcBorders>
              <w:top w:val="nil"/>
              <w:left w:val="nil"/>
              <w:bottom w:val="nil"/>
              <w:right w:val="nil"/>
            </w:tcBorders>
            <w:shd w:val="clear" w:color="auto" w:fill="auto"/>
            <w:noWrap/>
            <w:vAlign w:val="bottom"/>
            <w:hideMark/>
          </w:tcPr>
          <w:p w14:paraId="59F2423F" w14:textId="77777777" w:rsidR="008A1E55" w:rsidRPr="00212E5F" w:rsidRDefault="008A1E55" w:rsidP="00E16CAE">
            <w:pPr>
              <w:jc w:val="right"/>
              <w:rPr>
                <w:sz w:val="17"/>
                <w:szCs w:val="17"/>
              </w:rPr>
            </w:pPr>
            <w:r w:rsidRPr="00212E5F">
              <w:rPr>
                <w:sz w:val="17"/>
                <w:szCs w:val="17"/>
              </w:rPr>
              <w:t>-</w:t>
            </w:r>
          </w:p>
        </w:tc>
      </w:tr>
      <w:tr w:rsidR="006B42D6" w:rsidRPr="00212E5F" w14:paraId="69C695E1" w14:textId="77777777" w:rsidTr="004F65CD">
        <w:trPr>
          <w:trHeight w:val="57"/>
        </w:trPr>
        <w:tc>
          <w:tcPr>
            <w:tcW w:w="1668" w:type="dxa"/>
            <w:tcBorders>
              <w:top w:val="nil"/>
              <w:left w:val="nil"/>
              <w:bottom w:val="single" w:sz="4" w:space="0" w:color="auto"/>
              <w:right w:val="nil"/>
            </w:tcBorders>
            <w:shd w:val="clear" w:color="auto" w:fill="auto"/>
            <w:noWrap/>
            <w:vAlign w:val="center"/>
            <w:hideMark/>
          </w:tcPr>
          <w:p w14:paraId="79FC5BED" w14:textId="77777777" w:rsidR="008A1E55" w:rsidRPr="00212E5F" w:rsidRDefault="008A1E55" w:rsidP="00E16CAE">
            <w:pPr>
              <w:rPr>
                <w:sz w:val="17"/>
                <w:szCs w:val="17"/>
              </w:rPr>
            </w:pPr>
            <w:r w:rsidRPr="00212E5F">
              <w:rPr>
                <w:sz w:val="17"/>
                <w:szCs w:val="17"/>
              </w:rPr>
              <w:t>Kusini Pemba</w:t>
            </w:r>
          </w:p>
        </w:tc>
        <w:tc>
          <w:tcPr>
            <w:tcW w:w="1159" w:type="dxa"/>
            <w:tcBorders>
              <w:top w:val="nil"/>
              <w:left w:val="nil"/>
              <w:bottom w:val="single" w:sz="4" w:space="0" w:color="auto"/>
              <w:right w:val="nil"/>
            </w:tcBorders>
            <w:shd w:val="clear" w:color="auto" w:fill="auto"/>
            <w:noWrap/>
            <w:vAlign w:val="bottom"/>
            <w:hideMark/>
          </w:tcPr>
          <w:p w14:paraId="615F9D0A" w14:textId="77777777" w:rsidR="008A1E55" w:rsidRPr="00212E5F" w:rsidRDefault="008A1E55" w:rsidP="00E16CAE">
            <w:pPr>
              <w:jc w:val="right"/>
              <w:rPr>
                <w:sz w:val="17"/>
                <w:szCs w:val="17"/>
              </w:rPr>
            </w:pPr>
            <w:r w:rsidRPr="00212E5F">
              <w:rPr>
                <w:sz w:val="17"/>
                <w:szCs w:val="17"/>
              </w:rPr>
              <w:t>32.0</w:t>
            </w:r>
          </w:p>
        </w:tc>
        <w:tc>
          <w:tcPr>
            <w:tcW w:w="1159" w:type="dxa"/>
            <w:tcBorders>
              <w:top w:val="nil"/>
              <w:left w:val="nil"/>
              <w:bottom w:val="single" w:sz="4" w:space="0" w:color="auto"/>
              <w:right w:val="nil"/>
            </w:tcBorders>
            <w:shd w:val="clear" w:color="auto" w:fill="auto"/>
            <w:noWrap/>
            <w:vAlign w:val="bottom"/>
            <w:hideMark/>
          </w:tcPr>
          <w:p w14:paraId="2C1871E9" w14:textId="77777777" w:rsidR="008A1E55" w:rsidRPr="00212E5F" w:rsidRDefault="008A1E55" w:rsidP="00E16CAE">
            <w:pPr>
              <w:jc w:val="right"/>
              <w:rPr>
                <w:sz w:val="17"/>
                <w:szCs w:val="17"/>
              </w:rPr>
            </w:pPr>
            <w:r w:rsidRPr="00212E5F">
              <w:rPr>
                <w:sz w:val="17"/>
                <w:szCs w:val="17"/>
              </w:rPr>
              <w:t>-</w:t>
            </w:r>
          </w:p>
        </w:tc>
        <w:tc>
          <w:tcPr>
            <w:tcW w:w="1159" w:type="dxa"/>
            <w:tcBorders>
              <w:top w:val="nil"/>
              <w:left w:val="nil"/>
              <w:bottom w:val="single" w:sz="4" w:space="0" w:color="auto"/>
              <w:right w:val="nil"/>
            </w:tcBorders>
            <w:shd w:val="clear" w:color="auto" w:fill="auto"/>
            <w:noWrap/>
            <w:vAlign w:val="bottom"/>
            <w:hideMark/>
          </w:tcPr>
          <w:p w14:paraId="40D6B2FD" w14:textId="77777777" w:rsidR="008A1E55" w:rsidRPr="00212E5F" w:rsidRDefault="008A1E55" w:rsidP="00E16CAE">
            <w:pPr>
              <w:jc w:val="right"/>
              <w:rPr>
                <w:sz w:val="17"/>
                <w:szCs w:val="17"/>
              </w:rPr>
            </w:pPr>
            <w:r w:rsidRPr="00212E5F">
              <w:rPr>
                <w:sz w:val="17"/>
                <w:szCs w:val="17"/>
              </w:rPr>
              <w:t>-</w:t>
            </w:r>
          </w:p>
        </w:tc>
        <w:tc>
          <w:tcPr>
            <w:tcW w:w="1159" w:type="dxa"/>
            <w:tcBorders>
              <w:top w:val="nil"/>
              <w:left w:val="nil"/>
              <w:bottom w:val="single" w:sz="4" w:space="0" w:color="auto"/>
              <w:right w:val="nil"/>
            </w:tcBorders>
            <w:shd w:val="clear" w:color="auto" w:fill="auto"/>
            <w:noWrap/>
            <w:vAlign w:val="bottom"/>
            <w:hideMark/>
          </w:tcPr>
          <w:p w14:paraId="079D685C" w14:textId="77777777" w:rsidR="008A1E55" w:rsidRPr="00212E5F" w:rsidRDefault="008A1E55" w:rsidP="00E16CAE">
            <w:pPr>
              <w:jc w:val="right"/>
              <w:rPr>
                <w:sz w:val="17"/>
                <w:szCs w:val="17"/>
              </w:rPr>
            </w:pPr>
            <w:r w:rsidRPr="00212E5F">
              <w:rPr>
                <w:sz w:val="17"/>
                <w:szCs w:val="17"/>
              </w:rPr>
              <w:t>-</w:t>
            </w:r>
          </w:p>
        </w:tc>
        <w:tc>
          <w:tcPr>
            <w:tcW w:w="1187" w:type="dxa"/>
            <w:tcBorders>
              <w:top w:val="nil"/>
              <w:left w:val="nil"/>
              <w:bottom w:val="single" w:sz="4" w:space="0" w:color="auto"/>
              <w:right w:val="nil"/>
            </w:tcBorders>
            <w:shd w:val="clear" w:color="auto" w:fill="auto"/>
            <w:noWrap/>
            <w:vAlign w:val="bottom"/>
            <w:hideMark/>
          </w:tcPr>
          <w:p w14:paraId="3CB939BC" w14:textId="77777777" w:rsidR="008A1E55" w:rsidRPr="00212E5F" w:rsidRDefault="008A1E55" w:rsidP="00E16CAE">
            <w:pPr>
              <w:jc w:val="right"/>
              <w:rPr>
                <w:sz w:val="17"/>
                <w:szCs w:val="17"/>
              </w:rPr>
            </w:pPr>
            <w:r w:rsidRPr="00212E5F">
              <w:rPr>
                <w:sz w:val="17"/>
                <w:szCs w:val="17"/>
              </w:rPr>
              <w:t>17.8</w:t>
            </w:r>
          </w:p>
        </w:tc>
        <w:tc>
          <w:tcPr>
            <w:tcW w:w="1127" w:type="dxa"/>
            <w:tcBorders>
              <w:top w:val="nil"/>
              <w:left w:val="nil"/>
              <w:bottom w:val="single" w:sz="4" w:space="0" w:color="auto"/>
              <w:right w:val="nil"/>
            </w:tcBorders>
            <w:shd w:val="clear" w:color="auto" w:fill="auto"/>
            <w:noWrap/>
            <w:vAlign w:val="bottom"/>
            <w:hideMark/>
          </w:tcPr>
          <w:p w14:paraId="28E8B07F" w14:textId="77777777" w:rsidR="008A1E55" w:rsidRPr="00212E5F" w:rsidRDefault="008A1E55" w:rsidP="00E16CAE">
            <w:pPr>
              <w:jc w:val="right"/>
              <w:rPr>
                <w:sz w:val="17"/>
                <w:szCs w:val="17"/>
              </w:rPr>
            </w:pPr>
            <w:r w:rsidRPr="00212E5F">
              <w:rPr>
                <w:sz w:val="17"/>
                <w:szCs w:val="17"/>
              </w:rPr>
              <w:t>-</w:t>
            </w:r>
          </w:p>
        </w:tc>
        <w:tc>
          <w:tcPr>
            <w:tcW w:w="1164" w:type="dxa"/>
            <w:tcBorders>
              <w:top w:val="nil"/>
              <w:left w:val="nil"/>
              <w:bottom w:val="single" w:sz="4" w:space="0" w:color="auto"/>
              <w:right w:val="nil"/>
            </w:tcBorders>
            <w:shd w:val="clear" w:color="auto" w:fill="auto"/>
            <w:noWrap/>
            <w:vAlign w:val="bottom"/>
            <w:hideMark/>
          </w:tcPr>
          <w:p w14:paraId="01C7D1C1" w14:textId="77777777" w:rsidR="008A1E55" w:rsidRPr="00212E5F" w:rsidRDefault="008A1E55" w:rsidP="00E16CAE">
            <w:pPr>
              <w:jc w:val="right"/>
              <w:rPr>
                <w:sz w:val="17"/>
                <w:szCs w:val="17"/>
              </w:rPr>
            </w:pPr>
            <w:r w:rsidRPr="00212E5F">
              <w:rPr>
                <w:sz w:val="17"/>
                <w:szCs w:val="17"/>
              </w:rPr>
              <w:t>-</w:t>
            </w:r>
          </w:p>
        </w:tc>
      </w:tr>
      <w:tr w:rsidR="008A1E55" w:rsidRPr="004F65CD" w14:paraId="072D576B" w14:textId="77777777" w:rsidTr="004F65CD">
        <w:trPr>
          <w:trHeight w:val="57"/>
        </w:trPr>
        <w:tc>
          <w:tcPr>
            <w:tcW w:w="1668" w:type="dxa"/>
            <w:tcBorders>
              <w:top w:val="single" w:sz="4" w:space="0" w:color="auto"/>
              <w:left w:val="nil"/>
              <w:bottom w:val="single" w:sz="4" w:space="0" w:color="auto"/>
              <w:right w:val="nil"/>
            </w:tcBorders>
            <w:shd w:val="clear" w:color="auto" w:fill="E2EFD9" w:themeFill="accent6" w:themeFillTint="33"/>
            <w:noWrap/>
            <w:vAlign w:val="center"/>
            <w:hideMark/>
          </w:tcPr>
          <w:p w14:paraId="0270BE7F" w14:textId="6F4D0E85" w:rsidR="008A1E55" w:rsidRPr="004F65CD" w:rsidRDefault="004F65CD" w:rsidP="00E16CAE">
            <w:pPr>
              <w:rPr>
                <w:b/>
                <w:sz w:val="17"/>
                <w:szCs w:val="17"/>
              </w:rPr>
            </w:pPr>
            <w:r w:rsidRPr="004F65CD">
              <w:rPr>
                <w:b/>
                <w:sz w:val="17"/>
                <w:szCs w:val="17"/>
              </w:rPr>
              <w:t xml:space="preserve">Tanzania </w:t>
            </w:r>
            <w:r w:rsidR="008A1E55" w:rsidRPr="004F65CD">
              <w:rPr>
                <w:b/>
                <w:sz w:val="17"/>
                <w:szCs w:val="17"/>
              </w:rPr>
              <w:t>Zanzibar</w:t>
            </w:r>
          </w:p>
        </w:tc>
        <w:tc>
          <w:tcPr>
            <w:tcW w:w="1159" w:type="dxa"/>
            <w:tcBorders>
              <w:top w:val="single" w:sz="4" w:space="0" w:color="auto"/>
              <w:left w:val="nil"/>
              <w:bottom w:val="single" w:sz="4" w:space="0" w:color="auto"/>
              <w:right w:val="nil"/>
            </w:tcBorders>
            <w:shd w:val="clear" w:color="auto" w:fill="E2EFD9" w:themeFill="accent6" w:themeFillTint="33"/>
            <w:noWrap/>
            <w:vAlign w:val="bottom"/>
            <w:hideMark/>
          </w:tcPr>
          <w:p w14:paraId="3A48CBE1" w14:textId="77777777" w:rsidR="008A1E55" w:rsidRPr="004F65CD" w:rsidRDefault="008A1E55" w:rsidP="00E16CAE">
            <w:pPr>
              <w:jc w:val="right"/>
              <w:rPr>
                <w:b/>
                <w:sz w:val="17"/>
                <w:szCs w:val="17"/>
              </w:rPr>
            </w:pPr>
            <w:r w:rsidRPr="004F65CD">
              <w:rPr>
                <w:b/>
                <w:sz w:val="17"/>
                <w:szCs w:val="17"/>
              </w:rPr>
              <w:t>100.0</w:t>
            </w:r>
          </w:p>
        </w:tc>
        <w:tc>
          <w:tcPr>
            <w:tcW w:w="1159" w:type="dxa"/>
            <w:tcBorders>
              <w:top w:val="single" w:sz="4" w:space="0" w:color="auto"/>
              <w:left w:val="nil"/>
              <w:bottom w:val="single" w:sz="4" w:space="0" w:color="auto"/>
              <w:right w:val="nil"/>
            </w:tcBorders>
            <w:shd w:val="clear" w:color="auto" w:fill="E2EFD9" w:themeFill="accent6" w:themeFillTint="33"/>
            <w:noWrap/>
            <w:vAlign w:val="bottom"/>
            <w:hideMark/>
          </w:tcPr>
          <w:p w14:paraId="15C243FF" w14:textId="77777777" w:rsidR="008A1E55" w:rsidRPr="004F65CD" w:rsidRDefault="008A1E55" w:rsidP="00E16CAE">
            <w:pPr>
              <w:jc w:val="right"/>
              <w:rPr>
                <w:b/>
                <w:sz w:val="17"/>
                <w:szCs w:val="17"/>
              </w:rPr>
            </w:pPr>
            <w:r w:rsidRPr="004F65CD">
              <w:rPr>
                <w:b/>
                <w:sz w:val="17"/>
                <w:szCs w:val="17"/>
              </w:rPr>
              <w:t>100.0</w:t>
            </w:r>
          </w:p>
        </w:tc>
        <w:tc>
          <w:tcPr>
            <w:tcW w:w="1159" w:type="dxa"/>
            <w:tcBorders>
              <w:top w:val="single" w:sz="4" w:space="0" w:color="auto"/>
              <w:left w:val="nil"/>
              <w:bottom w:val="single" w:sz="4" w:space="0" w:color="auto"/>
              <w:right w:val="nil"/>
            </w:tcBorders>
            <w:shd w:val="clear" w:color="auto" w:fill="E2EFD9" w:themeFill="accent6" w:themeFillTint="33"/>
            <w:noWrap/>
            <w:vAlign w:val="bottom"/>
            <w:hideMark/>
          </w:tcPr>
          <w:p w14:paraId="58B73C2A" w14:textId="77777777" w:rsidR="008A1E55" w:rsidRPr="004F65CD" w:rsidRDefault="008A1E55" w:rsidP="00E16CAE">
            <w:pPr>
              <w:jc w:val="right"/>
              <w:rPr>
                <w:b/>
                <w:sz w:val="17"/>
                <w:szCs w:val="17"/>
              </w:rPr>
            </w:pPr>
            <w:r w:rsidRPr="004F65CD">
              <w:rPr>
                <w:b/>
                <w:sz w:val="17"/>
                <w:szCs w:val="17"/>
              </w:rPr>
              <w:t>-</w:t>
            </w:r>
          </w:p>
        </w:tc>
        <w:tc>
          <w:tcPr>
            <w:tcW w:w="1159" w:type="dxa"/>
            <w:tcBorders>
              <w:top w:val="single" w:sz="4" w:space="0" w:color="auto"/>
              <w:left w:val="nil"/>
              <w:bottom w:val="single" w:sz="4" w:space="0" w:color="auto"/>
              <w:right w:val="nil"/>
            </w:tcBorders>
            <w:shd w:val="clear" w:color="auto" w:fill="E2EFD9" w:themeFill="accent6" w:themeFillTint="33"/>
            <w:noWrap/>
            <w:vAlign w:val="bottom"/>
            <w:hideMark/>
          </w:tcPr>
          <w:p w14:paraId="088C0FBF" w14:textId="77777777" w:rsidR="008A1E55" w:rsidRPr="004F65CD" w:rsidRDefault="008A1E55" w:rsidP="00E16CAE">
            <w:pPr>
              <w:jc w:val="right"/>
              <w:rPr>
                <w:b/>
                <w:sz w:val="17"/>
                <w:szCs w:val="17"/>
              </w:rPr>
            </w:pPr>
            <w:r w:rsidRPr="004F65CD">
              <w:rPr>
                <w:b/>
                <w:sz w:val="17"/>
                <w:szCs w:val="17"/>
              </w:rPr>
              <w:t>100.0</w:t>
            </w:r>
          </w:p>
        </w:tc>
        <w:tc>
          <w:tcPr>
            <w:tcW w:w="1187" w:type="dxa"/>
            <w:tcBorders>
              <w:top w:val="single" w:sz="4" w:space="0" w:color="auto"/>
              <w:left w:val="nil"/>
              <w:bottom w:val="single" w:sz="4" w:space="0" w:color="auto"/>
              <w:right w:val="nil"/>
            </w:tcBorders>
            <w:shd w:val="clear" w:color="auto" w:fill="E2EFD9" w:themeFill="accent6" w:themeFillTint="33"/>
            <w:noWrap/>
            <w:vAlign w:val="bottom"/>
            <w:hideMark/>
          </w:tcPr>
          <w:p w14:paraId="0044C8DD" w14:textId="77777777" w:rsidR="008A1E55" w:rsidRPr="004F65CD" w:rsidRDefault="008A1E55" w:rsidP="00E16CAE">
            <w:pPr>
              <w:jc w:val="right"/>
              <w:rPr>
                <w:b/>
                <w:sz w:val="17"/>
                <w:szCs w:val="17"/>
              </w:rPr>
            </w:pPr>
            <w:r w:rsidRPr="004F65CD">
              <w:rPr>
                <w:b/>
                <w:sz w:val="17"/>
                <w:szCs w:val="17"/>
              </w:rPr>
              <w:t>100.0</w:t>
            </w:r>
          </w:p>
        </w:tc>
        <w:tc>
          <w:tcPr>
            <w:tcW w:w="1127" w:type="dxa"/>
            <w:tcBorders>
              <w:top w:val="single" w:sz="4" w:space="0" w:color="auto"/>
              <w:left w:val="nil"/>
              <w:bottom w:val="single" w:sz="4" w:space="0" w:color="auto"/>
              <w:right w:val="nil"/>
            </w:tcBorders>
            <w:shd w:val="clear" w:color="auto" w:fill="E2EFD9" w:themeFill="accent6" w:themeFillTint="33"/>
            <w:noWrap/>
            <w:vAlign w:val="bottom"/>
            <w:hideMark/>
          </w:tcPr>
          <w:p w14:paraId="69DA7BC8" w14:textId="77777777" w:rsidR="008A1E55" w:rsidRPr="004F65CD" w:rsidRDefault="008A1E55" w:rsidP="00E16CAE">
            <w:pPr>
              <w:jc w:val="right"/>
              <w:rPr>
                <w:b/>
                <w:sz w:val="17"/>
                <w:szCs w:val="17"/>
              </w:rPr>
            </w:pPr>
            <w:r w:rsidRPr="004F65CD">
              <w:rPr>
                <w:b/>
                <w:sz w:val="17"/>
                <w:szCs w:val="17"/>
              </w:rPr>
              <w:t>100.0</w:t>
            </w:r>
          </w:p>
        </w:tc>
        <w:tc>
          <w:tcPr>
            <w:tcW w:w="1164" w:type="dxa"/>
            <w:tcBorders>
              <w:top w:val="single" w:sz="4" w:space="0" w:color="auto"/>
              <w:left w:val="nil"/>
              <w:bottom w:val="single" w:sz="4" w:space="0" w:color="auto"/>
              <w:right w:val="nil"/>
            </w:tcBorders>
            <w:shd w:val="clear" w:color="auto" w:fill="E2EFD9" w:themeFill="accent6" w:themeFillTint="33"/>
            <w:noWrap/>
            <w:vAlign w:val="bottom"/>
            <w:hideMark/>
          </w:tcPr>
          <w:p w14:paraId="7DCB9C05" w14:textId="77777777" w:rsidR="008A1E55" w:rsidRPr="004F65CD" w:rsidRDefault="008A1E55" w:rsidP="00E16CAE">
            <w:pPr>
              <w:jc w:val="right"/>
              <w:rPr>
                <w:b/>
                <w:sz w:val="17"/>
                <w:szCs w:val="17"/>
              </w:rPr>
            </w:pPr>
            <w:r w:rsidRPr="004F65CD">
              <w:rPr>
                <w:b/>
                <w:sz w:val="17"/>
                <w:szCs w:val="17"/>
              </w:rPr>
              <w:t>-</w:t>
            </w:r>
          </w:p>
        </w:tc>
      </w:tr>
    </w:tbl>
    <w:p w14:paraId="717F510D" w14:textId="77777777" w:rsidR="008A1E55" w:rsidRPr="006B42D6" w:rsidRDefault="008A1E55" w:rsidP="008A1E55">
      <w:pPr>
        <w:pStyle w:val="Heading2"/>
      </w:pPr>
    </w:p>
    <w:p w14:paraId="3C554DDE" w14:textId="652AC848" w:rsidR="008A1E55" w:rsidRPr="006B42D6" w:rsidRDefault="006C1D68" w:rsidP="008A1E55">
      <w:pPr>
        <w:pStyle w:val="Heading2"/>
      </w:pPr>
      <w:bookmarkStart w:id="858" w:name="_Toc82385798"/>
      <w:r w:rsidRPr="006B42D6">
        <w:t>6</w:t>
      </w:r>
      <w:r w:rsidR="008A1E55" w:rsidRPr="006B42D6">
        <w:t>.</w:t>
      </w:r>
      <w:r w:rsidR="00AC6872">
        <w:t>2</w:t>
      </w:r>
      <w:r w:rsidR="008A1E55" w:rsidRPr="006B42D6">
        <w:tab/>
        <w:t>Floor Materials</w:t>
      </w:r>
      <w:bookmarkEnd w:id="858"/>
    </w:p>
    <w:p w14:paraId="23235CA0" w14:textId="45E0EC64" w:rsidR="00212E5F" w:rsidRDefault="008A1E55" w:rsidP="00212E5F">
      <w:r w:rsidRPr="006B42D6">
        <w:t>The census results show that, out of 7,837,405 agricultural households in Tanzania, majority of households (4,662,235;59.5 percent) used earth/sand as the material for floor, followed by those used cement (2,838,249; 36.2 percent) and ceramic tiles</w:t>
      </w:r>
      <w:r w:rsidR="00C41AC6">
        <w:t>/</w:t>
      </w:r>
      <w:r w:rsidRPr="006B42D6">
        <w:t>terrazzo (204,989; 2.6 percent). Vinyl</w:t>
      </w:r>
      <w:r w:rsidR="00C41AC6">
        <w:t>/</w:t>
      </w:r>
      <w:r w:rsidRPr="006B42D6">
        <w:t xml:space="preserve">asphalt strips was used by the least number of households (12,267; 0.2 percent) (Table </w:t>
      </w:r>
      <w:r w:rsidR="006C1D68" w:rsidRPr="006B42D6">
        <w:t>6</w:t>
      </w:r>
      <w:r w:rsidRPr="006B42D6">
        <w:t>.3).</w:t>
      </w:r>
      <w:r w:rsidR="00212E5F">
        <w:br w:type="page"/>
      </w:r>
    </w:p>
    <w:p w14:paraId="24D59625" w14:textId="1F0BF32E" w:rsidR="008A1E55" w:rsidRPr="006B42D6" w:rsidRDefault="008A1E55" w:rsidP="003C22B5">
      <w:pPr>
        <w:pStyle w:val="Heading7"/>
        <w:ind w:right="624"/>
      </w:pPr>
      <w:bookmarkStart w:id="859" w:name="_Toc82386238"/>
      <w:r w:rsidRPr="006B42D6">
        <w:lastRenderedPageBreak/>
        <w:t xml:space="preserve">Table </w:t>
      </w:r>
      <w:r w:rsidR="006C1D68" w:rsidRPr="006B42D6">
        <w:t>6</w:t>
      </w:r>
      <w:r w:rsidRPr="006B42D6">
        <w:t>.3</w:t>
      </w:r>
      <w:r w:rsidR="005420E0">
        <w:t>:</w:t>
      </w:r>
      <w:r w:rsidR="007A288F">
        <w:tab/>
      </w:r>
      <w:r w:rsidRPr="006B42D6">
        <w:t>Number and Percentage of Households by Type of Floor Material During 2019/20 Agricultural Year, Tanzania</w:t>
      </w:r>
      <w:bookmarkEnd w:id="859"/>
    </w:p>
    <w:tbl>
      <w:tblPr>
        <w:tblW w:w="8880" w:type="dxa"/>
        <w:tblLook w:val="04A0" w:firstRow="1" w:lastRow="0" w:firstColumn="1" w:lastColumn="0" w:noHBand="0" w:noVBand="1"/>
      </w:tblPr>
      <w:tblGrid>
        <w:gridCol w:w="2760"/>
        <w:gridCol w:w="1253"/>
        <w:gridCol w:w="847"/>
        <w:gridCol w:w="1253"/>
        <w:gridCol w:w="847"/>
        <w:gridCol w:w="949"/>
        <w:gridCol w:w="971"/>
      </w:tblGrid>
      <w:tr w:rsidR="006B42D6" w:rsidRPr="00212E5F" w14:paraId="1BBC150C" w14:textId="77777777" w:rsidTr="00257DF7">
        <w:trPr>
          <w:trHeight w:val="283"/>
        </w:trPr>
        <w:tc>
          <w:tcPr>
            <w:tcW w:w="2760" w:type="dxa"/>
            <w:vMerge w:val="restart"/>
            <w:tcBorders>
              <w:top w:val="single" w:sz="4" w:space="0" w:color="auto"/>
              <w:left w:val="nil"/>
              <w:bottom w:val="single" w:sz="4" w:space="0" w:color="000000"/>
              <w:right w:val="nil"/>
            </w:tcBorders>
            <w:shd w:val="clear" w:color="auto" w:fill="E2EFD9" w:themeFill="accent6" w:themeFillTint="33"/>
            <w:noWrap/>
            <w:vAlign w:val="center"/>
            <w:hideMark/>
          </w:tcPr>
          <w:p w14:paraId="30EDDAAA" w14:textId="77777777" w:rsidR="008A1E55" w:rsidRPr="00212E5F" w:rsidRDefault="008A1E55" w:rsidP="00E16CAE">
            <w:pPr>
              <w:rPr>
                <w:sz w:val="18"/>
                <w:szCs w:val="18"/>
              </w:rPr>
            </w:pPr>
            <w:r w:rsidRPr="00212E5F">
              <w:rPr>
                <w:sz w:val="18"/>
                <w:szCs w:val="18"/>
              </w:rPr>
              <w:t>Floor Material</w:t>
            </w:r>
          </w:p>
        </w:tc>
        <w:tc>
          <w:tcPr>
            <w:tcW w:w="2100" w:type="dxa"/>
            <w:gridSpan w:val="2"/>
            <w:tcBorders>
              <w:top w:val="single" w:sz="4" w:space="0" w:color="auto"/>
              <w:left w:val="nil"/>
              <w:bottom w:val="single" w:sz="4" w:space="0" w:color="auto"/>
              <w:right w:val="nil"/>
            </w:tcBorders>
            <w:shd w:val="clear" w:color="auto" w:fill="E2EFD9" w:themeFill="accent6" w:themeFillTint="33"/>
            <w:noWrap/>
            <w:vAlign w:val="center"/>
            <w:hideMark/>
          </w:tcPr>
          <w:p w14:paraId="2FEA81B4" w14:textId="77777777" w:rsidR="008A1E55" w:rsidRPr="00212E5F" w:rsidRDefault="008A1E55" w:rsidP="00E16CAE">
            <w:pPr>
              <w:jc w:val="center"/>
              <w:rPr>
                <w:sz w:val="18"/>
                <w:szCs w:val="18"/>
              </w:rPr>
            </w:pPr>
            <w:r w:rsidRPr="00212E5F">
              <w:rPr>
                <w:sz w:val="18"/>
                <w:szCs w:val="18"/>
              </w:rPr>
              <w:t>Tanzania</w:t>
            </w:r>
          </w:p>
        </w:tc>
        <w:tc>
          <w:tcPr>
            <w:tcW w:w="2100" w:type="dxa"/>
            <w:gridSpan w:val="2"/>
            <w:tcBorders>
              <w:top w:val="single" w:sz="4" w:space="0" w:color="auto"/>
              <w:left w:val="nil"/>
              <w:bottom w:val="single" w:sz="4" w:space="0" w:color="auto"/>
              <w:right w:val="nil"/>
            </w:tcBorders>
            <w:shd w:val="clear" w:color="auto" w:fill="E2EFD9" w:themeFill="accent6" w:themeFillTint="33"/>
            <w:noWrap/>
            <w:vAlign w:val="center"/>
            <w:hideMark/>
          </w:tcPr>
          <w:p w14:paraId="527E96FA" w14:textId="2E1A71C1" w:rsidR="008A1E55" w:rsidRPr="00212E5F" w:rsidRDefault="00EA1552" w:rsidP="00E16CAE">
            <w:pPr>
              <w:jc w:val="center"/>
              <w:rPr>
                <w:sz w:val="18"/>
                <w:szCs w:val="18"/>
              </w:rPr>
            </w:pPr>
            <w:r w:rsidRPr="00212E5F">
              <w:rPr>
                <w:sz w:val="18"/>
                <w:szCs w:val="18"/>
              </w:rPr>
              <w:t>Mainland Tanzania</w:t>
            </w:r>
          </w:p>
        </w:tc>
        <w:tc>
          <w:tcPr>
            <w:tcW w:w="1920" w:type="dxa"/>
            <w:gridSpan w:val="2"/>
            <w:tcBorders>
              <w:top w:val="single" w:sz="4" w:space="0" w:color="auto"/>
              <w:left w:val="nil"/>
              <w:bottom w:val="single" w:sz="4" w:space="0" w:color="auto"/>
              <w:right w:val="nil"/>
            </w:tcBorders>
            <w:shd w:val="clear" w:color="auto" w:fill="E2EFD9" w:themeFill="accent6" w:themeFillTint="33"/>
            <w:noWrap/>
            <w:vAlign w:val="center"/>
            <w:hideMark/>
          </w:tcPr>
          <w:p w14:paraId="5D72E4B0" w14:textId="77777777" w:rsidR="008A1E55" w:rsidRPr="00212E5F" w:rsidRDefault="008A1E55" w:rsidP="00E16CAE">
            <w:pPr>
              <w:jc w:val="center"/>
              <w:rPr>
                <w:sz w:val="18"/>
                <w:szCs w:val="18"/>
              </w:rPr>
            </w:pPr>
            <w:r w:rsidRPr="00212E5F">
              <w:rPr>
                <w:sz w:val="18"/>
                <w:szCs w:val="18"/>
              </w:rPr>
              <w:t>Tanzania Zanzibar</w:t>
            </w:r>
          </w:p>
        </w:tc>
      </w:tr>
      <w:tr w:rsidR="006B42D6" w:rsidRPr="00212E5F" w14:paraId="295728B6" w14:textId="77777777" w:rsidTr="00257DF7">
        <w:trPr>
          <w:trHeight w:val="283"/>
        </w:trPr>
        <w:tc>
          <w:tcPr>
            <w:tcW w:w="2760" w:type="dxa"/>
            <w:vMerge/>
            <w:tcBorders>
              <w:top w:val="single" w:sz="4" w:space="0" w:color="auto"/>
              <w:left w:val="nil"/>
              <w:bottom w:val="single" w:sz="4" w:space="0" w:color="000000"/>
              <w:right w:val="nil"/>
            </w:tcBorders>
            <w:shd w:val="clear" w:color="auto" w:fill="E2EFD9" w:themeFill="accent6" w:themeFillTint="33"/>
            <w:vAlign w:val="center"/>
            <w:hideMark/>
          </w:tcPr>
          <w:p w14:paraId="1980306C" w14:textId="77777777" w:rsidR="008A1E55" w:rsidRPr="00212E5F" w:rsidRDefault="008A1E55" w:rsidP="00E16CAE">
            <w:pPr>
              <w:rPr>
                <w:sz w:val="18"/>
                <w:szCs w:val="18"/>
              </w:rPr>
            </w:pPr>
          </w:p>
        </w:tc>
        <w:tc>
          <w:tcPr>
            <w:tcW w:w="1253" w:type="dxa"/>
            <w:tcBorders>
              <w:top w:val="single" w:sz="4" w:space="0" w:color="auto"/>
              <w:left w:val="nil"/>
              <w:bottom w:val="single" w:sz="4" w:space="0" w:color="auto"/>
              <w:right w:val="nil"/>
            </w:tcBorders>
            <w:shd w:val="clear" w:color="auto" w:fill="E2EFD9" w:themeFill="accent6" w:themeFillTint="33"/>
            <w:noWrap/>
            <w:vAlign w:val="bottom"/>
            <w:hideMark/>
          </w:tcPr>
          <w:p w14:paraId="65CE6883" w14:textId="77777777" w:rsidR="008A1E55" w:rsidRPr="00212E5F" w:rsidRDefault="008A1E55" w:rsidP="00EA010E">
            <w:pPr>
              <w:jc w:val="center"/>
              <w:rPr>
                <w:sz w:val="18"/>
                <w:szCs w:val="18"/>
              </w:rPr>
            </w:pPr>
            <w:r w:rsidRPr="00212E5F">
              <w:rPr>
                <w:sz w:val="18"/>
                <w:szCs w:val="18"/>
              </w:rPr>
              <w:t>Number</w:t>
            </w:r>
          </w:p>
        </w:tc>
        <w:tc>
          <w:tcPr>
            <w:tcW w:w="847" w:type="dxa"/>
            <w:tcBorders>
              <w:top w:val="single" w:sz="4" w:space="0" w:color="auto"/>
              <w:left w:val="nil"/>
              <w:bottom w:val="single" w:sz="4" w:space="0" w:color="auto"/>
              <w:right w:val="nil"/>
            </w:tcBorders>
            <w:shd w:val="clear" w:color="auto" w:fill="E2EFD9" w:themeFill="accent6" w:themeFillTint="33"/>
            <w:noWrap/>
            <w:vAlign w:val="bottom"/>
            <w:hideMark/>
          </w:tcPr>
          <w:p w14:paraId="3A8C5C28" w14:textId="77777777" w:rsidR="008A1E55" w:rsidRPr="00212E5F" w:rsidRDefault="008A1E55" w:rsidP="00EA010E">
            <w:pPr>
              <w:jc w:val="center"/>
              <w:rPr>
                <w:sz w:val="18"/>
                <w:szCs w:val="18"/>
              </w:rPr>
            </w:pPr>
            <w:r w:rsidRPr="00212E5F">
              <w:rPr>
                <w:sz w:val="18"/>
                <w:szCs w:val="18"/>
              </w:rPr>
              <w:t>Percent</w:t>
            </w:r>
          </w:p>
        </w:tc>
        <w:tc>
          <w:tcPr>
            <w:tcW w:w="1253" w:type="dxa"/>
            <w:tcBorders>
              <w:top w:val="single" w:sz="4" w:space="0" w:color="auto"/>
              <w:left w:val="nil"/>
              <w:bottom w:val="single" w:sz="4" w:space="0" w:color="auto"/>
              <w:right w:val="nil"/>
            </w:tcBorders>
            <w:shd w:val="clear" w:color="auto" w:fill="E2EFD9" w:themeFill="accent6" w:themeFillTint="33"/>
            <w:noWrap/>
            <w:vAlign w:val="bottom"/>
            <w:hideMark/>
          </w:tcPr>
          <w:p w14:paraId="35B839F5" w14:textId="77777777" w:rsidR="008A1E55" w:rsidRPr="00212E5F" w:rsidRDefault="008A1E55" w:rsidP="00EA010E">
            <w:pPr>
              <w:jc w:val="center"/>
              <w:rPr>
                <w:sz w:val="18"/>
                <w:szCs w:val="18"/>
              </w:rPr>
            </w:pPr>
            <w:r w:rsidRPr="00212E5F">
              <w:rPr>
                <w:sz w:val="18"/>
                <w:szCs w:val="18"/>
              </w:rPr>
              <w:t>Number</w:t>
            </w:r>
          </w:p>
        </w:tc>
        <w:tc>
          <w:tcPr>
            <w:tcW w:w="847" w:type="dxa"/>
            <w:tcBorders>
              <w:top w:val="single" w:sz="4" w:space="0" w:color="auto"/>
              <w:left w:val="nil"/>
              <w:bottom w:val="single" w:sz="4" w:space="0" w:color="auto"/>
              <w:right w:val="nil"/>
            </w:tcBorders>
            <w:shd w:val="clear" w:color="auto" w:fill="E2EFD9" w:themeFill="accent6" w:themeFillTint="33"/>
            <w:noWrap/>
            <w:vAlign w:val="bottom"/>
            <w:hideMark/>
          </w:tcPr>
          <w:p w14:paraId="77943428" w14:textId="77777777" w:rsidR="008A1E55" w:rsidRPr="00212E5F" w:rsidRDefault="008A1E55" w:rsidP="00EA010E">
            <w:pPr>
              <w:jc w:val="center"/>
              <w:rPr>
                <w:sz w:val="18"/>
                <w:szCs w:val="18"/>
              </w:rPr>
            </w:pPr>
            <w:r w:rsidRPr="00212E5F">
              <w:rPr>
                <w:sz w:val="18"/>
                <w:szCs w:val="18"/>
              </w:rPr>
              <w:t>Percent</w:t>
            </w:r>
          </w:p>
        </w:tc>
        <w:tc>
          <w:tcPr>
            <w:tcW w:w="949" w:type="dxa"/>
            <w:tcBorders>
              <w:top w:val="single" w:sz="4" w:space="0" w:color="auto"/>
              <w:left w:val="nil"/>
              <w:bottom w:val="single" w:sz="4" w:space="0" w:color="auto"/>
              <w:right w:val="nil"/>
            </w:tcBorders>
            <w:shd w:val="clear" w:color="auto" w:fill="E2EFD9" w:themeFill="accent6" w:themeFillTint="33"/>
            <w:noWrap/>
            <w:vAlign w:val="bottom"/>
            <w:hideMark/>
          </w:tcPr>
          <w:p w14:paraId="0BA1DFAA" w14:textId="77777777" w:rsidR="008A1E55" w:rsidRPr="00212E5F" w:rsidRDefault="008A1E55" w:rsidP="00EA010E">
            <w:pPr>
              <w:jc w:val="center"/>
              <w:rPr>
                <w:sz w:val="18"/>
                <w:szCs w:val="18"/>
              </w:rPr>
            </w:pPr>
            <w:r w:rsidRPr="00212E5F">
              <w:rPr>
                <w:sz w:val="18"/>
                <w:szCs w:val="18"/>
              </w:rPr>
              <w:t>Number</w:t>
            </w:r>
          </w:p>
        </w:tc>
        <w:tc>
          <w:tcPr>
            <w:tcW w:w="971" w:type="dxa"/>
            <w:tcBorders>
              <w:top w:val="single" w:sz="4" w:space="0" w:color="auto"/>
              <w:left w:val="nil"/>
              <w:bottom w:val="single" w:sz="4" w:space="0" w:color="auto"/>
              <w:right w:val="nil"/>
            </w:tcBorders>
            <w:shd w:val="clear" w:color="auto" w:fill="E2EFD9" w:themeFill="accent6" w:themeFillTint="33"/>
            <w:noWrap/>
            <w:vAlign w:val="bottom"/>
            <w:hideMark/>
          </w:tcPr>
          <w:p w14:paraId="5C0E3D6B" w14:textId="77777777" w:rsidR="008A1E55" w:rsidRPr="00212E5F" w:rsidRDefault="008A1E55" w:rsidP="00EA010E">
            <w:pPr>
              <w:jc w:val="center"/>
              <w:rPr>
                <w:sz w:val="18"/>
                <w:szCs w:val="18"/>
              </w:rPr>
            </w:pPr>
            <w:r w:rsidRPr="00212E5F">
              <w:rPr>
                <w:sz w:val="18"/>
                <w:szCs w:val="18"/>
              </w:rPr>
              <w:t>Percent</w:t>
            </w:r>
          </w:p>
        </w:tc>
      </w:tr>
      <w:tr w:rsidR="006B42D6" w:rsidRPr="00212E5F" w14:paraId="506015A5" w14:textId="77777777" w:rsidTr="00212E5F">
        <w:trPr>
          <w:trHeight w:val="340"/>
        </w:trPr>
        <w:tc>
          <w:tcPr>
            <w:tcW w:w="2760" w:type="dxa"/>
            <w:tcBorders>
              <w:top w:val="nil"/>
              <w:left w:val="nil"/>
              <w:bottom w:val="nil"/>
              <w:right w:val="nil"/>
            </w:tcBorders>
            <w:shd w:val="clear" w:color="auto" w:fill="auto"/>
            <w:noWrap/>
            <w:vAlign w:val="center"/>
            <w:hideMark/>
          </w:tcPr>
          <w:p w14:paraId="0FC184BE" w14:textId="05648F47" w:rsidR="008A1E55" w:rsidRPr="00212E5F" w:rsidRDefault="008A1E55" w:rsidP="00E16CAE">
            <w:pPr>
              <w:rPr>
                <w:sz w:val="18"/>
                <w:szCs w:val="18"/>
              </w:rPr>
            </w:pPr>
            <w:r w:rsidRPr="00212E5F">
              <w:rPr>
                <w:sz w:val="18"/>
                <w:szCs w:val="18"/>
              </w:rPr>
              <w:t>Earth</w:t>
            </w:r>
            <w:r w:rsidR="00212E5F">
              <w:rPr>
                <w:sz w:val="18"/>
                <w:szCs w:val="18"/>
              </w:rPr>
              <w:t>/</w:t>
            </w:r>
            <w:r w:rsidR="00212E5F" w:rsidRPr="00212E5F">
              <w:rPr>
                <w:sz w:val="18"/>
                <w:szCs w:val="18"/>
              </w:rPr>
              <w:t>sand</w:t>
            </w:r>
          </w:p>
        </w:tc>
        <w:tc>
          <w:tcPr>
            <w:tcW w:w="1253" w:type="dxa"/>
            <w:tcBorders>
              <w:top w:val="nil"/>
              <w:left w:val="nil"/>
              <w:bottom w:val="nil"/>
              <w:right w:val="nil"/>
            </w:tcBorders>
            <w:shd w:val="clear" w:color="auto" w:fill="auto"/>
            <w:noWrap/>
            <w:vAlign w:val="center"/>
            <w:hideMark/>
          </w:tcPr>
          <w:p w14:paraId="0E0E3076" w14:textId="77777777" w:rsidR="008A1E55" w:rsidRPr="00212E5F" w:rsidRDefault="008A1E55" w:rsidP="00212E5F">
            <w:pPr>
              <w:jc w:val="right"/>
              <w:rPr>
                <w:sz w:val="18"/>
                <w:szCs w:val="18"/>
              </w:rPr>
            </w:pPr>
            <w:r w:rsidRPr="00212E5F">
              <w:rPr>
                <w:sz w:val="18"/>
                <w:szCs w:val="18"/>
              </w:rPr>
              <w:t>4,662,235</w:t>
            </w:r>
          </w:p>
        </w:tc>
        <w:tc>
          <w:tcPr>
            <w:tcW w:w="847" w:type="dxa"/>
            <w:tcBorders>
              <w:top w:val="nil"/>
              <w:left w:val="nil"/>
              <w:bottom w:val="nil"/>
              <w:right w:val="nil"/>
            </w:tcBorders>
            <w:shd w:val="clear" w:color="auto" w:fill="auto"/>
            <w:noWrap/>
            <w:vAlign w:val="center"/>
            <w:hideMark/>
          </w:tcPr>
          <w:p w14:paraId="5165E4A0" w14:textId="77777777" w:rsidR="008A1E55" w:rsidRPr="00212E5F" w:rsidRDefault="008A1E55" w:rsidP="00212E5F">
            <w:pPr>
              <w:jc w:val="right"/>
              <w:rPr>
                <w:sz w:val="18"/>
                <w:szCs w:val="18"/>
              </w:rPr>
            </w:pPr>
            <w:r w:rsidRPr="00212E5F">
              <w:rPr>
                <w:sz w:val="18"/>
                <w:szCs w:val="18"/>
              </w:rPr>
              <w:t>59.5</w:t>
            </w:r>
          </w:p>
        </w:tc>
        <w:tc>
          <w:tcPr>
            <w:tcW w:w="1253" w:type="dxa"/>
            <w:tcBorders>
              <w:top w:val="nil"/>
              <w:left w:val="nil"/>
              <w:bottom w:val="nil"/>
              <w:right w:val="nil"/>
            </w:tcBorders>
            <w:shd w:val="clear" w:color="auto" w:fill="auto"/>
            <w:noWrap/>
            <w:vAlign w:val="center"/>
            <w:hideMark/>
          </w:tcPr>
          <w:p w14:paraId="4D00AC16" w14:textId="77777777" w:rsidR="008A1E55" w:rsidRPr="00212E5F" w:rsidRDefault="008A1E55" w:rsidP="00212E5F">
            <w:pPr>
              <w:jc w:val="right"/>
              <w:rPr>
                <w:sz w:val="18"/>
                <w:szCs w:val="18"/>
              </w:rPr>
            </w:pPr>
            <w:r w:rsidRPr="00212E5F">
              <w:rPr>
                <w:sz w:val="18"/>
                <w:szCs w:val="18"/>
              </w:rPr>
              <w:t>4,611,343</w:t>
            </w:r>
          </w:p>
        </w:tc>
        <w:tc>
          <w:tcPr>
            <w:tcW w:w="847" w:type="dxa"/>
            <w:tcBorders>
              <w:top w:val="nil"/>
              <w:left w:val="nil"/>
              <w:bottom w:val="nil"/>
              <w:right w:val="nil"/>
            </w:tcBorders>
            <w:shd w:val="clear" w:color="auto" w:fill="auto"/>
            <w:noWrap/>
            <w:vAlign w:val="center"/>
            <w:hideMark/>
          </w:tcPr>
          <w:p w14:paraId="2DD6994A" w14:textId="77777777" w:rsidR="008A1E55" w:rsidRPr="00212E5F" w:rsidRDefault="008A1E55" w:rsidP="00212E5F">
            <w:pPr>
              <w:jc w:val="right"/>
              <w:rPr>
                <w:sz w:val="18"/>
                <w:szCs w:val="18"/>
              </w:rPr>
            </w:pPr>
            <w:r w:rsidRPr="00212E5F">
              <w:rPr>
                <w:sz w:val="18"/>
                <w:szCs w:val="18"/>
              </w:rPr>
              <w:t>60.2</w:t>
            </w:r>
          </w:p>
        </w:tc>
        <w:tc>
          <w:tcPr>
            <w:tcW w:w="949" w:type="dxa"/>
            <w:tcBorders>
              <w:top w:val="nil"/>
              <w:left w:val="nil"/>
              <w:bottom w:val="nil"/>
              <w:right w:val="nil"/>
            </w:tcBorders>
            <w:shd w:val="clear" w:color="auto" w:fill="auto"/>
            <w:noWrap/>
            <w:vAlign w:val="center"/>
            <w:hideMark/>
          </w:tcPr>
          <w:p w14:paraId="1CC388CC" w14:textId="77777777" w:rsidR="008A1E55" w:rsidRPr="00212E5F" w:rsidRDefault="008A1E55" w:rsidP="00212E5F">
            <w:pPr>
              <w:jc w:val="right"/>
              <w:rPr>
                <w:sz w:val="18"/>
                <w:szCs w:val="18"/>
              </w:rPr>
            </w:pPr>
            <w:r w:rsidRPr="00212E5F">
              <w:rPr>
                <w:sz w:val="18"/>
                <w:szCs w:val="18"/>
              </w:rPr>
              <w:t>50,892</w:t>
            </w:r>
          </w:p>
        </w:tc>
        <w:tc>
          <w:tcPr>
            <w:tcW w:w="971" w:type="dxa"/>
            <w:tcBorders>
              <w:top w:val="nil"/>
              <w:left w:val="nil"/>
              <w:bottom w:val="nil"/>
              <w:right w:val="nil"/>
            </w:tcBorders>
            <w:shd w:val="clear" w:color="auto" w:fill="auto"/>
            <w:noWrap/>
            <w:vAlign w:val="center"/>
            <w:hideMark/>
          </w:tcPr>
          <w:p w14:paraId="1463B694" w14:textId="77777777" w:rsidR="008A1E55" w:rsidRPr="00212E5F" w:rsidRDefault="008A1E55" w:rsidP="00212E5F">
            <w:pPr>
              <w:jc w:val="right"/>
              <w:rPr>
                <w:sz w:val="18"/>
                <w:szCs w:val="18"/>
              </w:rPr>
            </w:pPr>
            <w:r w:rsidRPr="00212E5F">
              <w:rPr>
                <w:sz w:val="18"/>
                <w:szCs w:val="18"/>
              </w:rPr>
              <w:t>28.2</w:t>
            </w:r>
          </w:p>
        </w:tc>
      </w:tr>
      <w:tr w:rsidR="006B42D6" w:rsidRPr="00212E5F" w14:paraId="1B1B69DC" w14:textId="77777777" w:rsidTr="00212E5F">
        <w:trPr>
          <w:trHeight w:val="340"/>
        </w:trPr>
        <w:tc>
          <w:tcPr>
            <w:tcW w:w="2760" w:type="dxa"/>
            <w:tcBorders>
              <w:top w:val="nil"/>
              <w:left w:val="nil"/>
              <w:bottom w:val="nil"/>
              <w:right w:val="nil"/>
            </w:tcBorders>
            <w:shd w:val="clear" w:color="auto" w:fill="auto"/>
            <w:noWrap/>
            <w:vAlign w:val="center"/>
            <w:hideMark/>
          </w:tcPr>
          <w:p w14:paraId="112B3888" w14:textId="0C60D769" w:rsidR="008A1E55" w:rsidRPr="00212E5F" w:rsidRDefault="008A1E55" w:rsidP="00E16CAE">
            <w:pPr>
              <w:rPr>
                <w:sz w:val="18"/>
                <w:szCs w:val="18"/>
              </w:rPr>
            </w:pPr>
            <w:r w:rsidRPr="00212E5F">
              <w:rPr>
                <w:sz w:val="18"/>
                <w:szCs w:val="18"/>
              </w:rPr>
              <w:t xml:space="preserve">Wood </w:t>
            </w:r>
            <w:r w:rsidR="00212E5F" w:rsidRPr="00212E5F">
              <w:rPr>
                <w:sz w:val="18"/>
                <w:szCs w:val="18"/>
              </w:rPr>
              <w:t>planks, bamboo, palm</w:t>
            </w:r>
          </w:p>
        </w:tc>
        <w:tc>
          <w:tcPr>
            <w:tcW w:w="1253" w:type="dxa"/>
            <w:tcBorders>
              <w:top w:val="nil"/>
              <w:left w:val="nil"/>
              <w:bottom w:val="nil"/>
              <w:right w:val="nil"/>
            </w:tcBorders>
            <w:shd w:val="clear" w:color="auto" w:fill="auto"/>
            <w:noWrap/>
            <w:vAlign w:val="center"/>
            <w:hideMark/>
          </w:tcPr>
          <w:p w14:paraId="422467DD" w14:textId="77777777" w:rsidR="008A1E55" w:rsidRPr="00212E5F" w:rsidRDefault="008A1E55" w:rsidP="00212E5F">
            <w:pPr>
              <w:jc w:val="right"/>
              <w:rPr>
                <w:sz w:val="18"/>
                <w:szCs w:val="18"/>
              </w:rPr>
            </w:pPr>
            <w:r w:rsidRPr="00212E5F">
              <w:rPr>
                <w:sz w:val="18"/>
                <w:szCs w:val="18"/>
              </w:rPr>
              <w:t>42,354</w:t>
            </w:r>
          </w:p>
        </w:tc>
        <w:tc>
          <w:tcPr>
            <w:tcW w:w="847" w:type="dxa"/>
            <w:tcBorders>
              <w:top w:val="nil"/>
              <w:left w:val="nil"/>
              <w:bottom w:val="nil"/>
              <w:right w:val="nil"/>
            </w:tcBorders>
            <w:shd w:val="clear" w:color="auto" w:fill="auto"/>
            <w:noWrap/>
            <w:vAlign w:val="center"/>
            <w:hideMark/>
          </w:tcPr>
          <w:p w14:paraId="09B15471" w14:textId="77777777" w:rsidR="008A1E55" w:rsidRPr="00212E5F" w:rsidRDefault="008A1E55" w:rsidP="00212E5F">
            <w:pPr>
              <w:jc w:val="right"/>
              <w:rPr>
                <w:sz w:val="18"/>
                <w:szCs w:val="18"/>
              </w:rPr>
            </w:pPr>
            <w:r w:rsidRPr="00212E5F">
              <w:rPr>
                <w:sz w:val="18"/>
                <w:szCs w:val="18"/>
              </w:rPr>
              <w:t>0.5</w:t>
            </w:r>
          </w:p>
        </w:tc>
        <w:tc>
          <w:tcPr>
            <w:tcW w:w="1253" w:type="dxa"/>
            <w:tcBorders>
              <w:top w:val="nil"/>
              <w:left w:val="nil"/>
              <w:bottom w:val="nil"/>
              <w:right w:val="nil"/>
            </w:tcBorders>
            <w:shd w:val="clear" w:color="auto" w:fill="auto"/>
            <w:noWrap/>
            <w:vAlign w:val="center"/>
            <w:hideMark/>
          </w:tcPr>
          <w:p w14:paraId="73012DA4" w14:textId="77777777" w:rsidR="008A1E55" w:rsidRPr="00212E5F" w:rsidRDefault="008A1E55" w:rsidP="00212E5F">
            <w:pPr>
              <w:jc w:val="right"/>
              <w:rPr>
                <w:sz w:val="18"/>
                <w:szCs w:val="18"/>
              </w:rPr>
            </w:pPr>
            <w:r w:rsidRPr="00212E5F">
              <w:rPr>
                <w:sz w:val="18"/>
                <w:szCs w:val="18"/>
              </w:rPr>
              <w:t>42,354</w:t>
            </w:r>
          </w:p>
        </w:tc>
        <w:tc>
          <w:tcPr>
            <w:tcW w:w="847" w:type="dxa"/>
            <w:tcBorders>
              <w:top w:val="nil"/>
              <w:left w:val="nil"/>
              <w:bottom w:val="nil"/>
              <w:right w:val="nil"/>
            </w:tcBorders>
            <w:shd w:val="clear" w:color="auto" w:fill="auto"/>
            <w:noWrap/>
            <w:vAlign w:val="center"/>
            <w:hideMark/>
          </w:tcPr>
          <w:p w14:paraId="0F40EE6F" w14:textId="77777777" w:rsidR="008A1E55" w:rsidRPr="00212E5F" w:rsidRDefault="008A1E55" w:rsidP="00212E5F">
            <w:pPr>
              <w:jc w:val="right"/>
              <w:rPr>
                <w:sz w:val="18"/>
                <w:szCs w:val="18"/>
              </w:rPr>
            </w:pPr>
            <w:r w:rsidRPr="00212E5F">
              <w:rPr>
                <w:sz w:val="18"/>
                <w:szCs w:val="18"/>
              </w:rPr>
              <w:t>0.6</w:t>
            </w:r>
          </w:p>
        </w:tc>
        <w:tc>
          <w:tcPr>
            <w:tcW w:w="949" w:type="dxa"/>
            <w:tcBorders>
              <w:top w:val="nil"/>
              <w:left w:val="nil"/>
              <w:bottom w:val="nil"/>
              <w:right w:val="nil"/>
            </w:tcBorders>
            <w:shd w:val="clear" w:color="auto" w:fill="auto"/>
            <w:noWrap/>
            <w:vAlign w:val="center"/>
            <w:hideMark/>
          </w:tcPr>
          <w:p w14:paraId="4907C38F" w14:textId="77777777" w:rsidR="008A1E55" w:rsidRPr="00212E5F" w:rsidRDefault="008A1E55" w:rsidP="00212E5F">
            <w:pPr>
              <w:jc w:val="right"/>
              <w:rPr>
                <w:sz w:val="18"/>
                <w:szCs w:val="18"/>
              </w:rPr>
            </w:pPr>
            <w:r w:rsidRPr="00212E5F">
              <w:rPr>
                <w:sz w:val="18"/>
                <w:szCs w:val="18"/>
              </w:rPr>
              <w:t>-</w:t>
            </w:r>
          </w:p>
        </w:tc>
        <w:tc>
          <w:tcPr>
            <w:tcW w:w="971" w:type="dxa"/>
            <w:tcBorders>
              <w:top w:val="nil"/>
              <w:left w:val="nil"/>
              <w:bottom w:val="nil"/>
              <w:right w:val="nil"/>
            </w:tcBorders>
            <w:shd w:val="clear" w:color="auto" w:fill="auto"/>
            <w:noWrap/>
            <w:vAlign w:val="center"/>
            <w:hideMark/>
          </w:tcPr>
          <w:p w14:paraId="49E6175F" w14:textId="77777777" w:rsidR="008A1E55" w:rsidRPr="00212E5F" w:rsidRDefault="008A1E55" w:rsidP="00212E5F">
            <w:pPr>
              <w:jc w:val="right"/>
              <w:rPr>
                <w:sz w:val="18"/>
                <w:szCs w:val="18"/>
              </w:rPr>
            </w:pPr>
            <w:r w:rsidRPr="00212E5F">
              <w:rPr>
                <w:sz w:val="18"/>
                <w:szCs w:val="18"/>
              </w:rPr>
              <w:t>-</w:t>
            </w:r>
          </w:p>
        </w:tc>
      </w:tr>
      <w:tr w:rsidR="006B42D6" w:rsidRPr="00212E5F" w14:paraId="487E0E06" w14:textId="77777777" w:rsidTr="00212E5F">
        <w:trPr>
          <w:trHeight w:val="340"/>
        </w:trPr>
        <w:tc>
          <w:tcPr>
            <w:tcW w:w="2760" w:type="dxa"/>
            <w:tcBorders>
              <w:top w:val="nil"/>
              <w:left w:val="nil"/>
              <w:bottom w:val="nil"/>
              <w:right w:val="nil"/>
            </w:tcBorders>
            <w:shd w:val="clear" w:color="auto" w:fill="auto"/>
            <w:noWrap/>
            <w:vAlign w:val="center"/>
            <w:hideMark/>
          </w:tcPr>
          <w:p w14:paraId="05B8E84E" w14:textId="10E81CD0" w:rsidR="008A1E55" w:rsidRPr="00212E5F" w:rsidRDefault="008A1E55" w:rsidP="00E16CAE">
            <w:pPr>
              <w:rPr>
                <w:sz w:val="18"/>
                <w:szCs w:val="18"/>
              </w:rPr>
            </w:pPr>
            <w:r w:rsidRPr="00212E5F">
              <w:rPr>
                <w:sz w:val="18"/>
                <w:szCs w:val="18"/>
              </w:rPr>
              <w:t>Parquet/</w:t>
            </w:r>
            <w:r w:rsidR="00212E5F" w:rsidRPr="00212E5F">
              <w:rPr>
                <w:sz w:val="18"/>
                <w:szCs w:val="18"/>
              </w:rPr>
              <w:t>polished wood</w:t>
            </w:r>
          </w:p>
        </w:tc>
        <w:tc>
          <w:tcPr>
            <w:tcW w:w="1253" w:type="dxa"/>
            <w:tcBorders>
              <w:top w:val="nil"/>
              <w:left w:val="nil"/>
              <w:bottom w:val="nil"/>
              <w:right w:val="nil"/>
            </w:tcBorders>
            <w:shd w:val="clear" w:color="auto" w:fill="auto"/>
            <w:noWrap/>
            <w:vAlign w:val="center"/>
            <w:hideMark/>
          </w:tcPr>
          <w:p w14:paraId="21B4A179" w14:textId="77777777" w:rsidR="008A1E55" w:rsidRPr="00212E5F" w:rsidRDefault="008A1E55" w:rsidP="00212E5F">
            <w:pPr>
              <w:jc w:val="right"/>
              <w:rPr>
                <w:sz w:val="18"/>
                <w:szCs w:val="18"/>
              </w:rPr>
            </w:pPr>
            <w:r w:rsidRPr="00212E5F">
              <w:rPr>
                <w:sz w:val="18"/>
                <w:szCs w:val="18"/>
              </w:rPr>
              <w:t>24,482</w:t>
            </w:r>
          </w:p>
        </w:tc>
        <w:tc>
          <w:tcPr>
            <w:tcW w:w="847" w:type="dxa"/>
            <w:tcBorders>
              <w:top w:val="nil"/>
              <w:left w:val="nil"/>
              <w:bottom w:val="nil"/>
              <w:right w:val="nil"/>
            </w:tcBorders>
            <w:shd w:val="clear" w:color="auto" w:fill="auto"/>
            <w:noWrap/>
            <w:vAlign w:val="center"/>
            <w:hideMark/>
          </w:tcPr>
          <w:p w14:paraId="29A36E15" w14:textId="77777777" w:rsidR="008A1E55" w:rsidRPr="00212E5F" w:rsidRDefault="008A1E55" w:rsidP="00212E5F">
            <w:pPr>
              <w:jc w:val="right"/>
              <w:rPr>
                <w:sz w:val="18"/>
                <w:szCs w:val="18"/>
              </w:rPr>
            </w:pPr>
            <w:r w:rsidRPr="00212E5F">
              <w:rPr>
                <w:sz w:val="18"/>
                <w:szCs w:val="18"/>
              </w:rPr>
              <w:t>0.3</w:t>
            </w:r>
          </w:p>
        </w:tc>
        <w:tc>
          <w:tcPr>
            <w:tcW w:w="1253" w:type="dxa"/>
            <w:tcBorders>
              <w:top w:val="nil"/>
              <w:left w:val="nil"/>
              <w:bottom w:val="nil"/>
              <w:right w:val="nil"/>
            </w:tcBorders>
            <w:shd w:val="clear" w:color="auto" w:fill="auto"/>
            <w:noWrap/>
            <w:vAlign w:val="center"/>
            <w:hideMark/>
          </w:tcPr>
          <w:p w14:paraId="7DC2EE45" w14:textId="77777777" w:rsidR="008A1E55" w:rsidRPr="00212E5F" w:rsidRDefault="008A1E55" w:rsidP="00212E5F">
            <w:pPr>
              <w:jc w:val="right"/>
              <w:rPr>
                <w:sz w:val="18"/>
                <w:szCs w:val="18"/>
              </w:rPr>
            </w:pPr>
            <w:r w:rsidRPr="00212E5F">
              <w:rPr>
                <w:sz w:val="18"/>
                <w:szCs w:val="18"/>
              </w:rPr>
              <w:t>24,482</w:t>
            </w:r>
          </w:p>
        </w:tc>
        <w:tc>
          <w:tcPr>
            <w:tcW w:w="847" w:type="dxa"/>
            <w:tcBorders>
              <w:top w:val="nil"/>
              <w:left w:val="nil"/>
              <w:bottom w:val="nil"/>
              <w:right w:val="nil"/>
            </w:tcBorders>
            <w:shd w:val="clear" w:color="auto" w:fill="auto"/>
            <w:noWrap/>
            <w:vAlign w:val="center"/>
            <w:hideMark/>
          </w:tcPr>
          <w:p w14:paraId="3A3BDAAE" w14:textId="77777777" w:rsidR="008A1E55" w:rsidRPr="00212E5F" w:rsidRDefault="008A1E55" w:rsidP="00212E5F">
            <w:pPr>
              <w:jc w:val="right"/>
              <w:rPr>
                <w:sz w:val="18"/>
                <w:szCs w:val="18"/>
              </w:rPr>
            </w:pPr>
            <w:r w:rsidRPr="00212E5F">
              <w:rPr>
                <w:sz w:val="18"/>
                <w:szCs w:val="18"/>
              </w:rPr>
              <w:t>0.3</w:t>
            </w:r>
          </w:p>
        </w:tc>
        <w:tc>
          <w:tcPr>
            <w:tcW w:w="949" w:type="dxa"/>
            <w:tcBorders>
              <w:top w:val="nil"/>
              <w:left w:val="nil"/>
              <w:bottom w:val="nil"/>
              <w:right w:val="nil"/>
            </w:tcBorders>
            <w:shd w:val="clear" w:color="auto" w:fill="auto"/>
            <w:noWrap/>
            <w:vAlign w:val="center"/>
            <w:hideMark/>
          </w:tcPr>
          <w:p w14:paraId="25412ABE" w14:textId="77777777" w:rsidR="008A1E55" w:rsidRPr="00212E5F" w:rsidRDefault="008A1E55" w:rsidP="00212E5F">
            <w:pPr>
              <w:jc w:val="right"/>
              <w:rPr>
                <w:sz w:val="18"/>
                <w:szCs w:val="18"/>
              </w:rPr>
            </w:pPr>
            <w:r w:rsidRPr="00212E5F">
              <w:rPr>
                <w:sz w:val="18"/>
                <w:szCs w:val="18"/>
              </w:rPr>
              <w:t>-</w:t>
            </w:r>
          </w:p>
        </w:tc>
        <w:tc>
          <w:tcPr>
            <w:tcW w:w="971" w:type="dxa"/>
            <w:tcBorders>
              <w:top w:val="nil"/>
              <w:left w:val="nil"/>
              <w:bottom w:val="nil"/>
              <w:right w:val="nil"/>
            </w:tcBorders>
            <w:shd w:val="clear" w:color="auto" w:fill="auto"/>
            <w:noWrap/>
            <w:vAlign w:val="center"/>
            <w:hideMark/>
          </w:tcPr>
          <w:p w14:paraId="50117338" w14:textId="77777777" w:rsidR="008A1E55" w:rsidRPr="00212E5F" w:rsidRDefault="008A1E55" w:rsidP="00212E5F">
            <w:pPr>
              <w:jc w:val="right"/>
              <w:rPr>
                <w:sz w:val="18"/>
                <w:szCs w:val="18"/>
              </w:rPr>
            </w:pPr>
            <w:r w:rsidRPr="00212E5F">
              <w:rPr>
                <w:sz w:val="18"/>
                <w:szCs w:val="18"/>
              </w:rPr>
              <w:t>-</w:t>
            </w:r>
          </w:p>
        </w:tc>
      </w:tr>
      <w:tr w:rsidR="006B42D6" w:rsidRPr="00212E5F" w14:paraId="12D49B21" w14:textId="77777777" w:rsidTr="00212E5F">
        <w:trPr>
          <w:trHeight w:val="340"/>
        </w:trPr>
        <w:tc>
          <w:tcPr>
            <w:tcW w:w="2760" w:type="dxa"/>
            <w:tcBorders>
              <w:top w:val="nil"/>
              <w:left w:val="nil"/>
              <w:bottom w:val="nil"/>
              <w:right w:val="nil"/>
            </w:tcBorders>
            <w:shd w:val="clear" w:color="auto" w:fill="auto"/>
            <w:noWrap/>
            <w:vAlign w:val="center"/>
            <w:hideMark/>
          </w:tcPr>
          <w:p w14:paraId="26ECDE7D" w14:textId="05B73CA7" w:rsidR="008A1E55" w:rsidRPr="00212E5F" w:rsidRDefault="008A1E55" w:rsidP="00E16CAE">
            <w:pPr>
              <w:rPr>
                <w:sz w:val="18"/>
                <w:szCs w:val="18"/>
              </w:rPr>
            </w:pPr>
            <w:r w:rsidRPr="00212E5F">
              <w:rPr>
                <w:sz w:val="18"/>
                <w:szCs w:val="18"/>
              </w:rPr>
              <w:t>Vinyl/</w:t>
            </w:r>
            <w:r w:rsidR="00212E5F" w:rsidRPr="00212E5F">
              <w:rPr>
                <w:sz w:val="18"/>
                <w:szCs w:val="18"/>
              </w:rPr>
              <w:t>asphalt strips</w:t>
            </w:r>
          </w:p>
        </w:tc>
        <w:tc>
          <w:tcPr>
            <w:tcW w:w="1253" w:type="dxa"/>
            <w:tcBorders>
              <w:top w:val="nil"/>
              <w:left w:val="nil"/>
              <w:bottom w:val="nil"/>
              <w:right w:val="nil"/>
            </w:tcBorders>
            <w:shd w:val="clear" w:color="auto" w:fill="auto"/>
            <w:noWrap/>
            <w:vAlign w:val="center"/>
            <w:hideMark/>
          </w:tcPr>
          <w:p w14:paraId="682020DF" w14:textId="77777777" w:rsidR="008A1E55" w:rsidRPr="00212E5F" w:rsidRDefault="008A1E55" w:rsidP="00212E5F">
            <w:pPr>
              <w:jc w:val="right"/>
              <w:rPr>
                <w:sz w:val="18"/>
                <w:szCs w:val="18"/>
              </w:rPr>
            </w:pPr>
            <w:r w:rsidRPr="00212E5F">
              <w:rPr>
                <w:sz w:val="18"/>
                <w:szCs w:val="18"/>
              </w:rPr>
              <w:t>12,267</w:t>
            </w:r>
          </w:p>
        </w:tc>
        <w:tc>
          <w:tcPr>
            <w:tcW w:w="847" w:type="dxa"/>
            <w:tcBorders>
              <w:top w:val="nil"/>
              <w:left w:val="nil"/>
              <w:bottom w:val="nil"/>
              <w:right w:val="nil"/>
            </w:tcBorders>
            <w:shd w:val="clear" w:color="auto" w:fill="auto"/>
            <w:noWrap/>
            <w:vAlign w:val="center"/>
            <w:hideMark/>
          </w:tcPr>
          <w:p w14:paraId="339A0572" w14:textId="77777777" w:rsidR="008A1E55" w:rsidRPr="00212E5F" w:rsidRDefault="008A1E55" w:rsidP="00212E5F">
            <w:pPr>
              <w:jc w:val="right"/>
              <w:rPr>
                <w:sz w:val="18"/>
                <w:szCs w:val="18"/>
              </w:rPr>
            </w:pPr>
            <w:r w:rsidRPr="00212E5F">
              <w:rPr>
                <w:sz w:val="18"/>
                <w:szCs w:val="18"/>
              </w:rPr>
              <w:t>0.2</w:t>
            </w:r>
          </w:p>
        </w:tc>
        <w:tc>
          <w:tcPr>
            <w:tcW w:w="1253" w:type="dxa"/>
            <w:tcBorders>
              <w:top w:val="nil"/>
              <w:left w:val="nil"/>
              <w:bottom w:val="nil"/>
              <w:right w:val="nil"/>
            </w:tcBorders>
            <w:shd w:val="clear" w:color="auto" w:fill="auto"/>
            <w:noWrap/>
            <w:vAlign w:val="center"/>
            <w:hideMark/>
          </w:tcPr>
          <w:p w14:paraId="36CFB89C" w14:textId="77777777" w:rsidR="008A1E55" w:rsidRPr="00212E5F" w:rsidRDefault="008A1E55" w:rsidP="00212E5F">
            <w:pPr>
              <w:jc w:val="right"/>
              <w:rPr>
                <w:sz w:val="18"/>
                <w:szCs w:val="18"/>
              </w:rPr>
            </w:pPr>
            <w:r w:rsidRPr="00212E5F">
              <w:rPr>
                <w:sz w:val="18"/>
                <w:szCs w:val="18"/>
              </w:rPr>
              <w:t>12,267</w:t>
            </w:r>
          </w:p>
        </w:tc>
        <w:tc>
          <w:tcPr>
            <w:tcW w:w="847" w:type="dxa"/>
            <w:tcBorders>
              <w:top w:val="nil"/>
              <w:left w:val="nil"/>
              <w:bottom w:val="nil"/>
              <w:right w:val="nil"/>
            </w:tcBorders>
            <w:shd w:val="clear" w:color="auto" w:fill="auto"/>
            <w:noWrap/>
            <w:vAlign w:val="center"/>
            <w:hideMark/>
          </w:tcPr>
          <w:p w14:paraId="59EA1C7A" w14:textId="77777777" w:rsidR="008A1E55" w:rsidRPr="00212E5F" w:rsidRDefault="008A1E55" w:rsidP="00212E5F">
            <w:pPr>
              <w:jc w:val="right"/>
              <w:rPr>
                <w:sz w:val="18"/>
                <w:szCs w:val="18"/>
              </w:rPr>
            </w:pPr>
            <w:r w:rsidRPr="00212E5F">
              <w:rPr>
                <w:sz w:val="18"/>
                <w:szCs w:val="18"/>
              </w:rPr>
              <w:t>0.2</w:t>
            </w:r>
          </w:p>
        </w:tc>
        <w:tc>
          <w:tcPr>
            <w:tcW w:w="949" w:type="dxa"/>
            <w:tcBorders>
              <w:top w:val="nil"/>
              <w:left w:val="nil"/>
              <w:bottom w:val="nil"/>
              <w:right w:val="nil"/>
            </w:tcBorders>
            <w:shd w:val="clear" w:color="auto" w:fill="auto"/>
            <w:noWrap/>
            <w:vAlign w:val="center"/>
            <w:hideMark/>
          </w:tcPr>
          <w:p w14:paraId="05534C11" w14:textId="77777777" w:rsidR="008A1E55" w:rsidRPr="00212E5F" w:rsidRDefault="008A1E55" w:rsidP="00212E5F">
            <w:pPr>
              <w:jc w:val="right"/>
              <w:rPr>
                <w:sz w:val="18"/>
                <w:szCs w:val="18"/>
              </w:rPr>
            </w:pPr>
            <w:r w:rsidRPr="00212E5F">
              <w:rPr>
                <w:sz w:val="18"/>
                <w:szCs w:val="18"/>
              </w:rPr>
              <w:t>-</w:t>
            </w:r>
          </w:p>
        </w:tc>
        <w:tc>
          <w:tcPr>
            <w:tcW w:w="971" w:type="dxa"/>
            <w:tcBorders>
              <w:top w:val="nil"/>
              <w:left w:val="nil"/>
              <w:bottom w:val="nil"/>
              <w:right w:val="nil"/>
            </w:tcBorders>
            <w:shd w:val="clear" w:color="auto" w:fill="auto"/>
            <w:noWrap/>
            <w:vAlign w:val="center"/>
            <w:hideMark/>
          </w:tcPr>
          <w:p w14:paraId="6799D02F" w14:textId="77777777" w:rsidR="008A1E55" w:rsidRPr="00212E5F" w:rsidRDefault="008A1E55" w:rsidP="00212E5F">
            <w:pPr>
              <w:jc w:val="right"/>
              <w:rPr>
                <w:sz w:val="18"/>
                <w:szCs w:val="18"/>
              </w:rPr>
            </w:pPr>
            <w:r w:rsidRPr="00212E5F">
              <w:rPr>
                <w:sz w:val="18"/>
                <w:szCs w:val="18"/>
              </w:rPr>
              <w:t>-</w:t>
            </w:r>
          </w:p>
        </w:tc>
      </w:tr>
      <w:tr w:rsidR="006B42D6" w:rsidRPr="00212E5F" w14:paraId="097DF72E" w14:textId="77777777" w:rsidTr="00212E5F">
        <w:trPr>
          <w:trHeight w:val="340"/>
        </w:trPr>
        <w:tc>
          <w:tcPr>
            <w:tcW w:w="2760" w:type="dxa"/>
            <w:tcBorders>
              <w:top w:val="nil"/>
              <w:left w:val="nil"/>
              <w:bottom w:val="nil"/>
              <w:right w:val="nil"/>
            </w:tcBorders>
            <w:shd w:val="clear" w:color="auto" w:fill="auto"/>
            <w:noWrap/>
            <w:vAlign w:val="center"/>
            <w:hideMark/>
          </w:tcPr>
          <w:p w14:paraId="015004BA" w14:textId="739DD91E" w:rsidR="008A1E55" w:rsidRPr="00212E5F" w:rsidRDefault="008A1E55" w:rsidP="00E16CAE">
            <w:pPr>
              <w:rPr>
                <w:sz w:val="18"/>
                <w:szCs w:val="18"/>
              </w:rPr>
            </w:pPr>
            <w:r w:rsidRPr="00212E5F">
              <w:rPr>
                <w:sz w:val="18"/>
                <w:szCs w:val="18"/>
              </w:rPr>
              <w:t xml:space="preserve">Ceramic </w:t>
            </w:r>
            <w:r w:rsidR="00212E5F" w:rsidRPr="00212E5F">
              <w:rPr>
                <w:sz w:val="18"/>
                <w:szCs w:val="18"/>
              </w:rPr>
              <w:t>tiles</w:t>
            </w:r>
            <w:r w:rsidR="00212E5F">
              <w:rPr>
                <w:sz w:val="18"/>
                <w:szCs w:val="18"/>
              </w:rPr>
              <w:t>/t</w:t>
            </w:r>
            <w:r w:rsidR="00212E5F" w:rsidRPr="00212E5F">
              <w:rPr>
                <w:sz w:val="18"/>
                <w:szCs w:val="18"/>
              </w:rPr>
              <w:t>errazzo</w:t>
            </w:r>
          </w:p>
        </w:tc>
        <w:tc>
          <w:tcPr>
            <w:tcW w:w="1253" w:type="dxa"/>
            <w:tcBorders>
              <w:top w:val="nil"/>
              <w:left w:val="nil"/>
              <w:bottom w:val="nil"/>
              <w:right w:val="nil"/>
            </w:tcBorders>
            <w:shd w:val="clear" w:color="auto" w:fill="auto"/>
            <w:noWrap/>
            <w:vAlign w:val="center"/>
            <w:hideMark/>
          </w:tcPr>
          <w:p w14:paraId="75D20ED6" w14:textId="77777777" w:rsidR="008A1E55" w:rsidRPr="00212E5F" w:rsidRDefault="008A1E55" w:rsidP="00212E5F">
            <w:pPr>
              <w:jc w:val="right"/>
              <w:rPr>
                <w:sz w:val="18"/>
                <w:szCs w:val="18"/>
              </w:rPr>
            </w:pPr>
            <w:r w:rsidRPr="00212E5F">
              <w:rPr>
                <w:sz w:val="18"/>
                <w:szCs w:val="18"/>
              </w:rPr>
              <w:t>204,989</w:t>
            </w:r>
          </w:p>
        </w:tc>
        <w:tc>
          <w:tcPr>
            <w:tcW w:w="847" w:type="dxa"/>
            <w:tcBorders>
              <w:top w:val="nil"/>
              <w:left w:val="nil"/>
              <w:bottom w:val="nil"/>
              <w:right w:val="nil"/>
            </w:tcBorders>
            <w:shd w:val="clear" w:color="auto" w:fill="auto"/>
            <w:noWrap/>
            <w:vAlign w:val="center"/>
            <w:hideMark/>
          </w:tcPr>
          <w:p w14:paraId="16901B96" w14:textId="77777777" w:rsidR="008A1E55" w:rsidRPr="00212E5F" w:rsidRDefault="008A1E55" w:rsidP="00212E5F">
            <w:pPr>
              <w:jc w:val="right"/>
              <w:rPr>
                <w:sz w:val="18"/>
                <w:szCs w:val="18"/>
              </w:rPr>
            </w:pPr>
            <w:r w:rsidRPr="00212E5F">
              <w:rPr>
                <w:sz w:val="18"/>
                <w:szCs w:val="18"/>
              </w:rPr>
              <w:t>2.6</w:t>
            </w:r>
          </w:p>
        </w:tc>
        <w:tc>
          <w:tcPr>
            <w:tcW w:w="1253" w:type="dxa"/>
            <w:tcBorders>
              <w:top w:val="nil"/>
              <w:left w:val="nil"/>
              <w:bottom w:val="nil"/>
              <w:right w:val="nil"/>
            </w:tcBorders>
            <w:shd w:val="clear" w:color="auto" w:fill="auto"/>
            <w:noWrap/>
            <w:vAlign w:val="center"/>
            <w:hideMark/>
          </w:tcPr>
          <w:p w14:paraId="317F0177" w14:textId="77777777" w:rsidR="008A1E55" w:rsidRPr="00212E5F" w:rsidRDefault="008A1E55" w:rsidP="00212E5F">
            <w:pPr>
              <w:jc w:val="right"/>
              <w:rPr>
                <w:sz w:val="18"/>
                <w:szCs w:val="18"/>
              </w:rPr>
            </w:pPr>
            <w:r w:rsidRPr="00212E5F">
              <w:rPr>
                <w:sz w:val="18"/>
                <w:szCs w:val="18"/>
              </w:rPr>
              <w:t>202,027</w:t>
            </w:r>
          </w:p>
        </w:tc>
        <w:tc>
          <w:tcPr>
            <w:tcW w:w="847" w:type="dxa"/>
            <w:tcBorders>
              <w:top w:val="nil"/>
              <w:left w:val="nil"/>
              <w:bottom w:val="nil"/>
              <w:right w:val="nil"/>
            </w:tcBorders>
            <w:shd w:val="clear" w:color="auto" w:fill="auto"/>
            <w:noWrap/>
            <w:vAlign w:val="center"/>
            <w:hideMark/>
          </w:tcPr>
          <w:p w14:paraId="70680001" w14:textId="77777777" w:rsidR="008A1E55" w:rsidRPr="00212E5F" w:rsidRDefault="008A1E55" w:rsidP="00212E5F">
            <w:pPr>
              <w:jc w:val="right"/>
              <w:rPr>
                <w:sz w:val="18"/>
                <w:szCs w:val="18"/>
              </w:rPr>
            </w:pPr>
            <w:r w:rsidRPr="00212E5F">
              <w:rPr>
                <w:sz w:val="18"/>
                <w:szCs w:val="18"/>
              </w:rPr>
              <w:t>2.6</w:t>
            </w:r>
          </w:p>
        </w:tc>
        <w:tc>
          <w:tcPr>
            <w:tcW w:w="949" w:type="dxa"/>
            <w:tcBorders>
              <w:top w:val="nil"/>
              <w:left w:val="nil"/>
              <w:bottom w:val="nil"/>
              <w:right w:val="nil"/>
            </w:tcBorders>
            <w:shd w:val="clear" w:color="auto" w:fill="auto"/>
            <w:noWrap/>
            <w:vAlign w:val="center"/>
            <w:hideMark/>
          </w:tcPr>
          <w:p w14:paraId="60D51508" w14:textId="77777777" w:rsidR="008A1E55" w:rsidRPr="00212E5F" w:rsidRDefault="008A1E55" w:rsidP="00212E5F">
            <w:pPr>
              <w:jc w:val="right"/>
              <w:rPr>
                <w:sz w:val="18"/>
                <w:szCs w:val="18"/>
              </w:rPr>
            </w:pPr>
            <w:r w:rsidRPr="00212E5F">
              <w:rPr>
                <w:sz w:val="18"/>
                <w:szCs w:val="18"/>
              </w:rPr>
              <w:t>2,962</w:t>
            </w:r>
          </w:p>
        </w:tc>
        <w:tc>
          <w:tcPr>
            <w:tcW w:w="971" w:type="dxa"/>
            <w:tcBorders>
              <w:top w:val="nil"/>
              <w:left w:val="nil"/>
              <w:bottom w:val="nil"/>
              <w:right w:val="nil"/>
            </w:tcBorders>
            <w:shd w:val="clear" w:color="auto" w:fill="auto"/>
            <w:noWrap/>
            <w:vAlign w:val="center"/>
            <w:hideMark/>
          </w:tcPr>
          <w:p w14:paraId="6994B8AF" w14:textId="77777777" w:rsidR="008A1E55" w:rsidRPr="00212E5F" w:rsidRDefault="008A1E55" w:rsidP="00212E5F">
            <w:pPr>
              <w:jc w:val="right"/>
              <w:rPr>
                <w:sz w:val="18"/>
                <w:szCs w:val="18"/>
              </w:rPr>
            </w:pPr>
            <w:r w:rsidRPr="00212E5F">
              <w:rPr>
                <w:sz w:val="18"/>
                <w:szCs w:val="18"/>
              </w:rPr>
              <w:t>1.6</w:t>
            </w:r>
          </w:p>
        </w:tc>
      </w:tr>
      <w:tr w:rsidR="006B42D6" w:rsidRPr="00212E5F" w14:paraId="43B5F017" w14:textId="77777777" w:rsidTr="00212E5F">
        <w:trPr>
          <w:trHeight w:val="340"/>
        </w:trPr>
        <w:tc>
          <w:tcPr>
            <w:tcW w:w="2760" w:type="dxa"/>
            <w:tcBorders>
              <w:top w:val="nil"/>
              <w:left w:val="nil"/>
              <w:bottom w:val="nil"/>
              <w:right w:val="nil"/>
            </w:tcBorders>
            <w:shd w:val="clear" w:color="auto" w:fill="auto"/>
            <w:noWrap/>
            <w:vAlign w:val="center"/>
            <w:hideMark/>
          </w:tcPr>
          <w:p w14:paraId="40805EE0" w14:textId="77777777" w:rsidR="008A1E55" w:rsidRPr="00212E5F" w:rsidRDefault="008A1E55" w:rsidP="00E16CAE">
            <w:pPr>
              <w:rPr>
                <w:sz w:val="18"/>
                <w:szCs w:val="18"/>
              </w:rPr>
            </w:pPr>
            <w:r w:rsidRPr="00212E5F">
              <w:rPr>
                <w:sz w:val="18"/>
                <w:szCs w:val="18"/>
              </w:rPr>
              <w:t>Cement</w:t>
            </w:r>
          </w:p>
        </w:tc>
        <w:tc>
          <w:tcPr>
            <w:tcW w:w="1253" w:type="dxa"/>
            <w:tcBorders>
              <w:top w:val="nil"/>
              <w:left w:val="nil"/>
              <w:bottom w:val="nil"/>
              <w:right w:val="nil"/>
            </w:tcBorders>
            <w:shd w:val="clear" w:color="auto" w:fill="auto"/>
            <w:noWrap/>
            <w:vAlign w:val="center"/>
            <w:hideMark/>
          </w:tcPr>
          <w:p w14:paraId="17C495F0" w14:textId="77777777" w:rsidR="008A1E55" w:rsidRPr="00212E5F" w:rsidRDefault="008A1E55" w:rsidP="00212E5F">
            <w:pPr>
              <w:jc w:val="right"/>
              <w:rPr>
                <w:sz w:val="18"/>
                <w:szCs w:val="18"/>
              </w:rPr>
            </w:pPr>
            <w:r w:rsidRPr="00212E5F">
              <w:rPr>
                <w:sz w:val="18"/>
                <w:szCs w:val="18"/>
              </w:rPr>
              <w:t>2,838,249</w:t>
            </w:r>
          </w:p>
        </w:tc>
        <w:tc>
          <w:tcPr>
            <w:tcW w:w="847" w:type="dxa"/>
            <w:tcBorders>
              <w:top w:val="nil"/>
              <w:left w:val="nil"/>
              <w:bottom w:val="nil"/>
              <w:right w:val="nil"/>
            </w:tcBorders>
            <w:shd w:val="clear" w:color="auto" w:fill="auto"/>
            <w:noWrap/>
            <w:vAlign w:val="center"/>
            <w:hideMark/>
          </w:tcPr>
          <w:p w14:paraId="6BB8D481" w14:textId="77777777" w:rsidR="008A1E55" w:rsidRPr="00212E5F" w:rsidRDefault="008A1E55" w:rsidP="00212E5F">
            <w:pPr>
              <w:jc w:val="right"/>
              <w:rPr>
                <w:sz w:val="18"/>
                <w:szCs w:val="18"/>
              </w:rPr>
            </w:pPr>
            <w:r w:rsidRPr="00212E5F">
              <w:rPr>
                <w:sz w:val="18"/>
                <w:szCs w:val="18"/>
              </w:rPr>
              <w:t>36.2</w:t>
            </w:r>
          </w:p>
        </w:tc>
        <w:tc>
          <w:tcPr>
            <w:tcW w:w="1253" w:type="dxa"/>
            <w:tcBorders>
              <w:top w:val="nil"/>
              <w:left w:val="nil"/>
              <w:bottom w:val="nil"/>
              <w:right w:val="nil"/>
            </w:tcBorders>
            <w:shd w:val="clear" w:color="auto" w:fill="auto"/>
            <w:noWrap/>
            <w:vAlign w:val="center"/>
            <w:hideMark/>
          </w:tcPr>
          <w:p w14:paraId="2CBD3B2C" w14:textId="77777777" w:rsidR="008A1E55" w:rsidRPr="00212E5F" w:rsidRDefault="008A1E55" w:rsidP="00212E5F">
            <w:pPr>
              <w:jc w:val="right"/>
              <w:rPr>
                <w:sz w:val="18"/>
                <w:szCs w:val="18"/>
              </w:rPr>
            </w:pPr>
            <w:r w:rsidRPr="00212E5F">
              <w:rPr>
                <w:sz w:val="18"/>
                <w:szCs w:val="18"/>
              </w:rPr>
              <w:t>2,711,885</w:t>
            </w:r>
          </w:p>
        </w:tc>
        <w:tc>
          <w:tcPr>
            <w:tcW w:w="847" w:type="dxa"/>
            <w:tcBorders>
              <w:top w:val="nil"/>
              <w:left w:val="nil"/>
              <w:bottom w:val="nil"/>
              <w:right w:val="nil"/>
            </w:tcBorders>
            <w:shd w:val="clear" w:color="auto" w:fill="auto"/>
            <w:noWrap/>
            <w:vAlign w:val="center"/>
            <w:hideMark/>
          </w:tcPr>
          <w:p w14:paraId="7293C672" w14:textId="77777777" w:rsidR="008A1E55" w:rsidRPr="00212E5F" w:rsidRDefault="008A1E55" w:rsidP="00212E5F">
            <w:pPr>
              <w:jc w:val="right"/>
              <w:rPr>
                <w:sz w:val="18"/>
                <w:szCs w:val="18"/>
              </w:rPr>
            </w:pPr>
            <w:r w:rsidRPr="00212E5F">
              <w:rPr>
                <w:sz w:val="18"/>
                <w:szCs w:val="18"/>
              </w:rPr>
              <w:t>35.4</w:t>
            </w:r>
          </w:p>
        </w:tc>
        <w:tc>
          <w:tcPr>
            <w:tcW w:w="949" w:type="dxa"/>
            <w:tcBorders>
              <w:top w:val="nil"/>
              <w:left w:val="nil"/>
              <w:bottom w:val="nil"/>
              <w:right w:val="nil"/>
            </w:tcBorders>
            <w:shd w:val="clear" w:color="auto" w:fill="auto"/>
            <w:noWrap/>
            <w:vAlign w:val="center"/>
            <w:hideMark/>
          </w:tcPr>
          <w:p w14:paraId="2A30FDD9" w14:textId="77777777" w:rsidR="008A1E55" w:rsidRPr="00212E5F" w:rsidRDefault="008A1E55" w:rsidP="00212E5F">
            <w:pPr>
              <w:jc w:val="right"/>
              <w:rPr>
                <w:sz w:val="18"/>
                <w:szCs w:val="18"/>
              </w:rPr>
            </w:pPr>
            <w:r w:rsidRPr="00212E5F">
              <w:rPr>
                <w:sz w:val="18"/>
                <w:szCs w:val="18"/>
              </w:rPr>
              <w:t>126,364</w:t>
            </w:r>
          </w:p>
        </w:tc>
        <w:tc>
          <w:tcPr>
            <w:tcW w:w="971" w:type="dxa"/>
            <w:tcBorders>
              <w:top w:val="nil"/>
              <w:left w:val="nil"/>
              <w:bottom w:val="nil"/>
              <w:right w:val="nil"/>
            </w:tcBorders>
            <w:shd w:val="clear" w:color="auto" w:fill="auto"/>
            <w:noWrap/>
            <w:vAlign w:val="center"/>
            <w:hideMark/>
          </w:tcPr>
          <w:p w14:paraId="3487402E" w14:textId="77777777" w:rsidR="008A1E55" w:rsidRPr="00212E5F" w:rsidRDefault="008A1E55" w:rsidP="00212E5F">
            <w:pPr>
              <w:jc w:val="right"/>
              <w:rPr>
                <w:sz w:val="18"/>
                <w:szCs w:val="18"/>
              </w:rPr>
            </w:pPr>
            <w:r w:rsidRPr="00212E5F">
              <w:rPr>
                <w:sz w:val="18"/>
                <w:szCs w:val="18"/>
              </w:rPr>
              <w:t>70.1</w:t>
            </w:r>
          </w:p>
        </w:tc>
      </w:tr>
      <w:tr w:rsidR="006B42D6" w:rsidRPr="00212E5F" w14:paraId="348BDDF5" w14:textId="77777777" w:rsidTr="00212E5F">
        <w:trPr>
          <w:trHeight w:val="340"/>
        </w:trPr>
        <w:tc>
          <w:tcPr>
            <w:tcW w:w="2760" w:type="dxa"/>
            <w:tcBorders>
              <w:top w:val="nil"/>
              <w:left w:val="nil"/>
              <w:bottom w:val="nil"/>
              <w:right w:val="nil"/>
            </w:tcBorders>
            <w:shd w:val="clear" w:color="auto" w:fill="auto"/>
            <w:noWrap/>
            <w:vAlign w:val="center"/>
            <w:hideMark/>
          </w:tcPr>
          <w:p w14:paraId="35C871DB" w14:textId="77777777" w:rsidR="008A1E55" w:rsidRPr="00212E5F" w:rsidRDefault="008A1E55" w:rsidP="00E16CAE">
            <w:pPr>
              <w:rPr>
                <w:sz w:val="18"/>
                <w:szCs w:val="18"/>
              </w:rPr>
            </w:pPr>
            <w:r w:rsidRPr="00212E5F">
              <w:rPr>
                <w:sz w:val="18"/>
                <w:szCs w:val="18"/>
              </w:rPr>
              <w:t>Other</w:t>
            </w:r>
          </w:p>
        </w:tc>
        <w:tc>
          <w:tcPr>
            <w:tcW w:w="1253" w:type="dxa"/>
            <w:tcBorders>
              <w:top w:val="nil"/>
              <w:left w:val="nil"/>
              <w:bottom w:val="nil"/>
              <w:right w:val="nil"/>
            </w:tcBorders>
            <w:shd w:val="clear" w:color="auto" w:fill="auto"/>
            <w:noWrap/>
            <w:vAlign w:val="center"/>
            <w:hideMark/>
          </w:tcPr>
          <w:p w14:paraId="65C4ADAE" w14:textId="77777777" w:rsidR="008A1E55" w:rsidRPr="00212E5F" w:rsidRDefault="008A1E55" w:rsidP="00212E5F">
            <w:pPr>
              <w:jc w:val="right"/>
              <w:rPr>
                <w:sz w:val="18"/>
                <w:szCs w:val="18"/>
              </w:rPr>
            </w:pPr>
            <w:r w:rsidRPr="00212E5F">
              <w:rPr>
                <w:sz w:val="18"/>
                <w:szCs w:val="18"/>
              </w:rPr>
              <w:t>52,828</w:t>
            </w:r>
          </w:p>
        </w:tc>
        <w:tc>
          <w:tcPr>
            <w:tcW w:w="847" w:type="dxa"/>
            <w:tcBorders>
              <w:top w:val="nil"/>
              <w:left w:val="nil"/>
              <w:bottom w:val="nil"/>
              <w:right w:val="nil"/>
            </w:tcBorders>
            <w:shd w:val="clear" w:color="auto" w:fill="auto"/>
            <w:noWrap/>
            <w:vAlign w:val="center"/>
            <w:hideMark/>
          </w:tcPr>
          <w:p w14:paraId="4547E538" w14:textId="77777777" w:rsidR="008A1E55" w:rsidRPr="00212E5F" w:rsidRDefault="008A1E55" w:rsidP="00212E5F">
            <w:pPr>
              <w:jc w:val="right"/>
              <w:rPr>
                <w:sz w:val="18"/>
                <w:szCs w:val="18"/>
              </w:rPr>
            </w:pPr>
            <w:r w:rsidRPr="00212E5F">
              <w:rPr>
                <w:sz w:val="18"/>
                <w:szCs w:val="18"/>
              </w:rPr>
              <w:t>0.7</w:t>
            </w:r>
          </w:p>
        </w:tc>
        <w:tc>
          <w:tcPr>
            <w:tcW w:w="1253" w:type="dxa"/>
            <w:tcBorders>
              <w:top w:val="nil"/>
              <w:left w:val="nil"/>
              <w:bottom w:val="nil"/>
              <w:right w:val="nil"/>
            </w:tcBorders>
            <w:shd w:val="clear" w:color="auto" w:fill="auto"/>
            <w:noWrap/>
            <w:vAlign w:val="center"/>
            <w:hideMark/>
          </w:tcPr>
          <w:p w14:paraId="72317C98" w14:textId="77777777" w:rsidR="008A1E55" w:rsidRPr="00212E5F" w:rsidRDefault="008A1E55" w:rsidP="00212E5F">
            <w:pPr>
              <w:jc w:val="right"/>
              <w:rPr>
                <w:sz w:val="18"/>
                <w:szCs w:val="18"/>
              </w:rPr>
            </w:pPr>
            <w:r w:rsidRPr="00212E5F">
              <w:rPr>
                <w:sz w:val="18"/>
                <w:szCs w:val="18"/>
              </w:rPr>
              <w:t>52,828</w:t>
            </w:r>
          </w:p>
        </w:tc>
        <w:tc>
          <w:tcPr>
            <w:tcW w:w="847" w:type="dxa"/>
            <w:tcBorders>
              <w:top w:val="nil"/>
              <w:left w:val="nil"/>
              <w:bottom w:val="nil"/>
              <w:right w:val="nil"/>
            </w:tcBorders>
            <w:shd w:val="clear" w:color="auto" w:fill="auto"/>
            <w:noWrap/>
            <w:vAlign w:val="center"/>
            <w:hideMark/>
          </w:tcPr>
          <w:p w14:paraId="6F85B898" w14:textId="77777777" w:rsidR="008A1E55" w:rsidRPr="00212E5F" w:rsidRDefault="008A1E55" w:rsidP="00212E5F">
            <w:pPr>
              <w:jc w:val="right"/>
              <w:rPr>
                <w:sz w:val="18"/>
                <w:szCs w:val="18"/>
              </w:rPr>
            </w:pPr>
            <w:r w:rsidRPr="00212E5F">
              <w:rPr>
                <w:sz w:val="18"/>
                <w:szCs w:val="18"/>
              </w:rPr>
              <w:t>0.7</w:t>
            </w:r>
          </w:p>
        </w:tc>
        <w:tc>
          <w:tcPr>
            <w:tcW w:w="949" w:type="dxa"/>
            <w:tcBorders>
              <w:top w:val="nil"/>
              <w:left w:val="nil"/>
              <w:bottom w:val="nil"/>
              <w:right w:val="nil"/>
            </w:tcBorders>
            <w:shd w:val="clear" w:color="auto" w:fill="auto"/>
            <w:noWrap/>
            <w:vAlign w:val="center"/>
            <w:hideMark/>
          </w:tcPr>
          <w:p w14:paraId="78079647" w14:textId="77777777" w:rsidR="008A1E55" w:rsidRPr="00212E5F" w:rsidRDefault="008A1E55" w:rsidP="00212E5F">
            <w:pPr>
              <w:jc w:val="right"/>
              <w:rPr>
                <w:sz w:val="18"/>
                <w:szCs w:val="18"/>
              </w:rPr>
            </w:pPr>
            <w:r w:rsidRPr="00212E5F">
              <w:rPr>
                <w:sz w:val="18"/>
                <w:szCs w:val="18"/>
              </w:rPr>
              <w:t>-</w:t>
            </w:r>
          </w:p>
        </w:tc>
        <w:tc>
          <w:tcPr>
            <w:tcW w:w="971" w:type="dxa"/>
            <w:tcBorders>
              <w:top w:val="nil"/>
              <w:left w:val="nil"/>
              <w:bottom w:val="nil"/>
              <w:right w:val="nil"/>
            </w:tcBorders>
            <w:shd w:val="clear" w:color="auto" w:fill="auto"/>
            <w:noWrap/>
            <w:vAlign w:val="center"/>
            <w:hideMark/>
          </w:tcPr>
          <w:p w14:paraId="561D13C2" w14:textId="77777777" w:rsidR="008A1E55" w:rsidRPr="00212E5F" w:rsidRDefault="008A1E55" w:rsidP="00212E5F">
            <w:pPr>
              <w:jc w:val="right"/>
              <w:rPr>
                <w:sz w:val="18"/>
                <w:szCs w:val="18"/>
              </w:rPr>
            </w:pPr>
            <w:r w:rsidRPr="00212E5F">
              <w:rPr>
                <w:sz w:val="18"/>
                <w:szCs w:val="18"/>
              </w:rPr>
              <w:t>-</w:t>
            </w:r>
          </w:p>
        </w:tc>
      </w:tr>
      <w:tr w:rsidR="008A1E55" w:rsidRPr="004F65CD" w14:paraId="065DBC91" w14:textId="77777777" w:rsidTr="00212E5F">
        <w:trPr>
          <w:trHeight w:val="340"/>
        </w:trPr>
        <w:tc>
          <w:tcPr>
            <w:tcW w:w="2760" w:type="dxa"/>
            <w:tcBorders>
              <w:top w:val="single" w:sz="4" w:space="0" w:color="auto"/>
              <w:left w:val="nil"/>
              <w:bottom w:val="single" w:sz="4" w:space="0" w:color="auto"/>
              <w:right w:val="nil"/>
            </w:tcBorders>
            <w:shd w:val="clear" w:color="auto" w:fill="E2EFD9" w:themeFill="accent6" w:themeFillTint="33"/>
            <w:noWrap/>
            <w:vAlign w:val="center"/>
            <w:hideMark/>
          </w:tcPr>
          <w:p w14:paraId="74CEC9BB" w14:textId="77777777" w:rsidR="008A1E55" w:rsidRPr="004F65CD" w:rsidRDefault="008A1E55" w:rsidP="00E16CAE">
            <w:pPr>
              <w:rPr>
                <w:b/>
                <w:sz w:val="18"/>
                <w:szCs w:val="18"/>
              </w:rPr>
            </w:pPr>
            <w:r w:rsidRPr="004F65CD">
              <w:rPr>
                <w:b/>
                <w:sz w:val="18"/>
                <w:szCs w:val="18"/>
              </w:rPr>
              <w:t>Total</w:t>
            </w:r>
          </w:p>
        </w:tc>
        <w:tc>
          <w:tcPr>
            <w:tcW w:w="1253" w:type="dxa"/>
            <w:tcBorders>
              <w:top w:val="single" w:sz="4" w:space="0" w:color="auto"/>
              <w:left w:val="nil"/>
              <w:bottom w:val="single" w:sz="4" w:space="0" w:color="auto"/>
              <w:right w:val="nil"/>
            </w:tcBorders>
            <w:shd w:val="clear" w:color="auto" w:fill="E2EFD9" w:themeFill="accent6" w:themeFillTint="33"/>
            <w:noWrap/>
            <w:vAlign w:val="center"/>
            <w:hideMark/>
          </w:tcPr>
          <w:p w14:paraId="3C1E00F2" w14:textId="77777777" w:rsidR="008A1E55" w:rsidRPr="004F65CD" w:rsidRDefault="008A1E55" w:rsidP="00212E5F">
            <w:pPr>
              <w:jc w:val="right"/>
              <w:rPr>
                <w:b/>
                <w:sz w:val="18"/>
                <w:szCs w:val="18"/>
              </w:rPr>
            </w:pPr>
            <w:r w:rsidRPr="004F65CD">
              <w:rPr>
                <w:b/>
                <w:sz w:val="18"/>
                <w:szCs w:val="18"/>
              </w:rPr>
              <w:t>7,837,405</w:t>
            </w:r>
          </w:p>
        </w:tc>
        <w:tc>
          <w:tcPr>
            <w:tcW w:w="847" w:type="dxa"/>
            <w:tcBorders>
              <w:top w:val="single" w:sz="4" w:space="0" w:color="auto"/>
              <w:left w:val="nil"/>
              <w:bottom w:val="single" w:sz="4" w:space="0" w:color="auto"/>
              <w:right w:val="nil"/>
            </w:tcBorders>
            <w:shd w:val="clear" w:color="auto" w:fill="E2EFD9" w:themeFill="accent6" w:themeFillTint="33"/>
            <w:noWrap/>
            <w:vAlign w:val="center"/>
            <w:hideMark/>
          </w:tcPr>
          <w:p w14:paraId="6617210C" w14:textId="77777777" w:rsidR="008A1E55" w:rsidRPr="004F65CD" w:rsidRDefault="008A1E55" w:rsidP="00212E5F">
            <w:pPr>
              <w:jc w:val="right"/>
              <w:rPr>
                <w:b/>
                <w:sz w:val="18"/>
                <w:szCs w:val="18"/>
              </w:rPr>
            </w:pPr>
            <w:r w:rsidRPr="004F65CD">
              <w:rPr>
                <w:b/>
                <w:sz w:val="18"/>
                <w:szCs w:val="18"/>
              </w:rPr>
              <w:t>100.0</w:t>
            </w:r>
          </w:p>
        </w:tc>
        <w:tc>
          <w:tcPr>
            <w:tcW w:w="1253" w:type="dxa"/>
            <w:tcBorders>
              <w:top w:val="single" w:sz="4" w:space="0" w:color="auto"/>
              <w:left w:val="nil"/>
              <w:bottom w:val="single" w:sz="4" w:space="0" w:color="auto"/>
              <w:right w:val="nil"/>
            </w:tcBorders>
            <w:shd w:val="clear" w:color="auto" w:fill="E2EFD9" w:themeFill="accent6" w:themeFillTint="33"/>
            <w:noWrap/>
            <w:vAlign w:val="center"/>
            <w:hideMark/>
          </w:tcPr>
          <w:p w14:paraId="205BC119" w14:textId="77777777" w:rsidR="008A1E55" w:rsidRPr="004F65CD" w:rsidRDefault="008A1E55" w:rsidP="00212E5F">
            <w:pPr>
              <w:jc w:val="right"/>
              <w:rPr>
                <w:b/>
                <w:sz w:val="18"/>
                <w:szCs w:val="18"/>
              </w:rPr>
            </w:pPr>
            <w:r w:rsidRPr="004F65CD">
              <w:rPr>
                <w:b/>
                <w:sz w:val="18"/>
                <w:szCs w:val="18"/>
              </w:rPr>
              <w:t>7,657,185</w:t>
            </w:r>
          </w:p>
        </w:tc>
        <w:tc>
          <w:tcPr>
            <w:tcW w:w="847" w:type="dxa"/>
            <w:tcBorders>
              <w:top w:val="single" w:sz="4" w:space="0" w:color="auto"/>
              <w:left w:val="nil"/>
              <w:bottom w:val="single" w:sz="4" w:space="0" w:color="auto"/>
              <w:right w:val="nil"/>
            </w:tcBorders>
            <w:shd w:val="clear" w:color="auto" w:fill="E2EFD9" w:themeFill="accent6" w:themeFillTint="33"/>
            <w:noWrap/>
            <w:vAlign w:val="center"/>
            <w:hideMark/>
          </w:tcPr>
          <w:p w14:paraId="7B0B9998" w14:textId="77777777" w:rsidR="008A1E55" w:rsidRPr="004F65CD" w:rsidRDefault="008A1E55" w:rsidP="00212E5F">
            <w:pPr>
              <w:jc w:val="right"/>
              <w:rPr>
                <w:b/>
                <w:sz w:val="18"/>
                <w:szCs w:val="18"/>
              </w:rPr>
            </w:pPr>
            <w:r w:rsidRPr="004F65CD">
              <w:rPr>
                <w:b/>
                <w:sz w:val="18"/>
                <w:szCs w:val="18"/>
              </w:rPr>
              <w:t>100.0</w:t>
            </w:r>
          </w:p>
        </w:tc>
        <w:tc>
          <w:tcPr>
            <w:tcW w:w="949" w:type="dxa"/>
            <w:tcBorders>
              <w:top w:val="single" w:sz="4" w:space="0" w:color="auto"/>
              <w:left w:val="nil"/>
              <w:bottom w:val="single" w:sz="4" w:space="0" w:color="auto"/>
              <w:right w:val="nil"/>
            </w:tcBorders>
            <w:shd w:val="clear" w:color="auto" w:fill="E2EFD9" w:themeFill="accent6" w:themeFillTint="33"/>
            <w:noWrap/>
            <w:vAlign w:val="center"/>
            <w:hideMark/>
          </w:tcPr>
          <w:p w14:paraId="0710614C" w14:textId="77777777" w:rsidR="008A1E55" w:rsidRPr="004F65CD" w:rsidRDefault="008A1E55" w:rsidP="00212E5F">
            <w:pPr>
              <w:jc w:val="right"/>
              <w:rPr>
                <w:b/>
                <w:sz w:val="18"/>
                <w:szCs w:val="18"/>
              </w:rPr>
            </w:pPr>
            <w:r w:rsidRPr="004F65CD">
              <w:rPr>
                <w:b/>
                <w:sz w:val="18"/>
                <w:szCs w:val="18"/>
              </w:rPr>
              <w:t>180,220</w:t>
            </w:r>
          </w:p>
        </w:tc>
        <w:tc>
          <w:tcPr>
            <w:tcW w:w="971" w:type="dxa"/>
            <w:tcBorders>
              <w:top w:val="single" w:sz="4" w:space="0" w:color="auto"/>
              <w:left w:val="nil"/>
              <w:bottom w:val="single" w:sz="4" w:space="0" w:color="auto"/>
              <w:right w:val="nil"/>
            </w:tcBorders>
            <w:shd w:val="clear" w:color="auto" w:fill="E2EFD9" w:themeFill="accent6" w:themeFillTint="33"/>
            <w:noWrap/>
            <w:vAlign w:val="center"/>
            <w:hideMark/>
          </w:tcPr>
          <w:p w14:paraId="1A714481" w14:textId="77777777" w:rsidR="008A1E55" w:rsidRPr="004F65CD" w:rsidRDefault="008A1E55" w:rsidP="00212E5F">
            <w:pPr>
              <w:jc w:val="right"/>
              <w:rPr>
                <w:b/>
                <w:sz w:val="18"/>
                <w:szCs w:val="18"/>
              </w:rPr>
            </w:pPr>
            <w:r w:rsidRPr="004F65CD">
              <w:rPr>
                <w:b/>
                <w:sz w:val="18"/>
                <w:szCs w:val="18"/>
              </w:rPr>
              <w:t>100.0</w:t>
            </w:r>
          </w:p>
        </w:tc>
      </w:tr>
    </w:tbl>
    <w:p w14:paraId="5517C6E3" w14:textId="77777777" w:rsidR="008A1E55" w:rsidRPr="006B42D6" w:rsidRDefault="008A1E55" w:rsidP="007A3EC9">
      <w:pPr>
        <w:spacing w:line="240" w:lineRule="auto"/>
      </w:pPr>
    </w:p>
    <w:p w14:paraId="0C35E5DC" w14:textId="422FEDD8" w:rsidR="008A1E55" w:rsidRPr="006B42D6" w:rsidRDefault="008A1E55" w:rsidP="008A1E55">
      <w:r w:rsidRPr="006B42D6">
        <w:t xml:space="preserve">In </w:t>
      </w:r>
      <w:r w:rsidR="00EA1552">
        <w:t>Mainland Tanzania</w:t>
      </w:r>
      <w:r w:rsidRPr="006B42D6">
        <w:t>, out of 7,657,185 agricultural households, majority of households (4,611,343; 60.2 percent) used earth/sand as the material for floor, followed by those used cement (2,711,885; 35.4 percent) and ceramic tiles</w:t>
      </w:r>
      <w:r w:rsidR="00212E5F">
        <w:t>/</w:t>
      </w:r>
      <w:r w:rsidRPr="006B42D6">
        <w:t xml:space="preserve">terrazzo (202,027; 2.6 percent). </w:t>
      </w:r>
      <w:r w:rsidR="00212E5F">
        <w:t>V</w:t>
      </w:r>
      <w:r w:rsidRPr="006B42D6">
        <w:t>inyl</w:t>
      </w:r>
      <w:r w:rsidR="00212E5F">
        <w:t>/</w:t>
      </w:r>
      <w:r w:rsidRPr="006B42D6">
        <w:t>asphalt strips w</w:t>
      </w:r>
      <w:r w:rsidR="00212E5F">
        <w:t>ere</w:t>
      </w:r>
      <w:r w:rsidRPr="006B42D6">
        <w:t xml:space="preserve"> used by few households</w:t>
      </w:r>
      <w:r w:rsidR="00212E5F">
        <w:t xml:space="preserve"> </w:t>
      </w:r>
      <w:r w:rsidRPr="006B42D6">
        <w:t xml:space="preserve">(12,267; 0.2 percent). </w:t>
      </w:r>
      <w:r w:rsidR="00884D02">
        <w:t>Among the households using</w:t>
      </w:r>
      <w:r w:rsidR="00884D02" w:rsidRPr="00884D02">
        <w:t xml:space="preserve"> </w:t>
      </w:r>
      <w:r w:rsidR="00884D02" w:rsidRPr="006B42D6">
        <w:t>earth/sand</w:t>
      </w:r>
      <w:r w:rsidR="00884D02">
        <w:t xml:space="preserve">, </w:t>
      </w:r>
      <w:r w:rsidRPr="006B42D6">
        <w:t xml:space="preserve">Dodoma region had the largest number of households </w:t>
      </w:r>
      <w:r w:rsidR="00884D02" w:rsidRPr="006B42D6">
        <w:t>(379,910; 8.2 percent)</w:t>
      </w:r>
      <w:r w:rsidR="00884D02">
        <w:t xml:space="preserve"> </w:t>
      </w:r>
      <w:r w:rsidRPr="006B42D6">
        <w:t>reported to use earth/sand as the material</w:t>
      </w:r>
      <w:r w:rsidR="00884D02">
        <w:t xml:space="preserve"> for floor</w:t>
      </w:r>
      <w:r w:rsidRPr="006B42D6">
        <w:t xml:space="preserve">, followed by Kagera (351,782; 7.6 percent) and Kigoma (281,218; 6.1 percent). Dar es Salaam region reported the least number of households (22,215; 0.5 percent) (Table </w:t>
      </w:r>
      <w:r w:rsidR="006C1D68" w:rsidRPr="006B42D6">
        <w:t>6</w:t>
      </w:r>
      <w:r w:rsidRPr="006B42D6">
        <w:t xml:space="preserve">.3 &amp; </w:t>
      </w:r>
      <w:r w:rsidR="006C1D68" w:rsidRPr="006B42D6">
        <w:t>6</w:t>
      </w:r>
      <w:r w:rsidRPr="006B42D6">
        <w:t>.4).</w:t>
      </w:r>
    </w:p>
    <w:p w14:paraId="0ABFD1E9" w14:textId="77777777" w:rsidR="008A1E55" w:rsidRPr="006B42D6" w:rsidRDefault="008A1E55" w:rsidP="007A3EC9">
      <w:pPr>
        <w:spacing w:line="240" w:lineRule="auto"/>
      </w:pPr>
    </w:p>
    <w:p w14:paraId="7BE498D4" w14:textId="76AC0D23" w:rsidR="008A1E55" w:rsidRPr="006B42D6" w:rsidRDefault="008A1E55" w:rsidP="008A1E55">
      <w:r w:rsidRPr="006B42D6">
        <w:t xml:space="preserve">In Tanzania Zanzibar, only three floor materials were used, these were earth/sand, cement and </w:t>
      </w:r>
      <w:r w:rsidR="00884D02">
        <w:t xml:space="preserve">ceramic </w:t>
      </w:r>
      <w:r w:rsidRPr="006B42D6">
        <w:t>tiles</w:t>
      </w:r>
      <w:r w:rsidR="00884D02">
        <w:t>/terrazzo</w:t>
      </w:r>
      <w:r w:rsidRPr="006B42D6">
        <w:t>. Out of total 180,220 agricultural households, majority of households (126,364; 70.1 percent) used cement for flooring, followed by those used earth/sand (50,892; 28.2 percent)</w:t>
      </w:r>
      <w:r w:rsidR="00C41AC6">
        <w:t>,</w:t>
      </w:r>
      <w:r w:rsidRPr="006B42D6">
        <w:t xml:space="preserve"> </w:t>
      </w:r>
      <w:r w:rsidR="00C41AC6">
        <w:t>while</w:t>
      </w:r>
      <w:r w:rsidRPr="006B42D6">
        <w:t xml:space="preserve"> </w:t>
      </w:r>
      <w:r w:rsidR="00884D02" w:rsidRPr="006B42D6">
        <w:t>ceramic tiles</w:t>
      </w:r>
      <w:r w:rsidR="00884D02">
        <w:t>/terrazzo</w:t>
      </w:r>
      <w:r w:rsidR="00884D02" w:rsidRPr="006B42D6">
        <w:t xml:space="preserve"> </w:t>
      </w:r>
      <w:r w:rsidR="00884D02">
        <w:t>were</w:t>
      </w:r>
      <w:r w:rsidR="00884D02" w:rsidRPr="006B42D6">
        <w:t xml:space="preserve"> used by the least number of households </w:t>
      </w:r>
      <w:r w:rsidRPr="006B42D6">
        <w:t xml:space="preserve">(2,962; 1.6 percent). </w:t>
      </w:r>
      <w:r w:rsidR="00884D02">
        <w:t xml:space="preserve">Among the households using cement, </w:t>
      </w:r>
      <w:r w:rsidRPr="006B42D6">
        <w:t xml:space="preserve">Kusini Pemba region had the largest number of households (34,568; 27.4 percent) reported to use cement for floor, followed by Mjini Magharibi (28,912; 22.9 percent) and the least number of households was reported in Kusini Unguja (14,349; 11.4 percent) (Table </w:t>
      </w:r>
      <w:r w:rsidR="006C1D68" w:rsidRPr="006B42D6">
        <w:t>6</w:t>
      </w:r>
      <w:r w:rsidRPr="006B42D6">
        <w:t xml:space="preserve">.3 &amp; </w:t>
      </w:r>
      <w:r w:rsidR="006C1D68" w:rsidRPr="006B42D6">
        <w:t>6</w:t>
      </w:r>
      <w:r w:rsidRPr="006B42D6">
        <w:t>.4).</w:t>
      </w:r>
    </w:p>
    <w:p w14:paraId="0BC7FE45" w14:textId="77777777" w:rsidR="008A1E55" w:rsidRPr="006B42D6" w:rsidRDefault="008A1E55" w:rsidP="007A3EC9">
      <w:pPr>
        <w:spacing w:line="240" w:lineRule="auto"/>
      </w:pPr>
    </w:p>
    <w:p w14:paraId="12725D48" w14:textId="43C4507C" w:rsidR="008A1E55" w:rsidRPr="006B42D6" w:rsidRDefault="008A1E55" w:rsidP="008A1E55">
      <w:r w:rsidRPr="006B42D6">
        <w:t>Comparatively, the use of earth/sand for floor in Tanzania has decreased from 81.8 percent in 2007/08 to 59.5 percent in 2019/20 agricultural years. Moreover, the use of cement as the flooring material has increased from 15.6 percent in 2007/08 to 36.2 percent in 2019/20 agricultural year</w:t>
      </w:r>
      <w:r w:rsidR="00C41AC6">
        <w:t>.</w:t>
      </w:r>
      <w:r w:rsidRPr="006B42D6">
        <w:t xml:space="preserve"> </w:t>
      </w:r>
    </w:p>
    <w:p w14:paraId="4083BA6C" w14:textId="77777777" w:rsidR="008A1E55" w:rsidRPr="006B42D6" w:rsidRDefault="008A1E55" w:rsidP="008A1E55">
      <w:r w:rsidRPr="006B42D6">
        <w:br w:type="page"/>
      </w:r>
    </w:p>
    <w:p w14:paraId="1893A8CA" w14:textId="287CDC7E" w:rsidR="008A1E55" w:rsidRPr="006B42D6" w:rsidRDefault="008A1E55" w:rsidP="007200F6">
      <w:pPr>
        <w:pStyle w:val="Heading7"/>
      </w:pPr>
      <w:bookmarkStart w:id="860" w:name="_Toc82386239"/>
      <w:r w:rsidRPr="006B42D6">
        <w:lastRenderedPageBreak/>
        <w:t xml:space="preserve">Table </w:t>
      </w:r>
      <w:r w:rsidR="006C1D68" w:rsidRPr="006B42D6">
        <w:t>6</w:t>
      </w:r>
      <w:r w:rsidRPr="006B42D6">
        <w:t>.4</w:t>
      </w:r>
      <w:r w:rsidR="005420E0">
        <w:t>:</w:t>
      </w:r>
      <w:r w:rsidR="007A288F">
        <w:tab/>
      </w:r>
      <w:r w:rsidRPr="006B42D6">
        <w:t>Percentage of Households Reported Materials Used for Floor Construction by Region During 2019/20 Agricultural Year, Tanzania</w:t>
      </w:r>
      <w:bookmarkEnd w:id="860"/>
    </w:p>
    <w:tbl>
      <w:tblPr>
        <w:tblW w:w="9698" w:type="dxa"/>
        <w:tblLook w:val="04A0" w:firstRow="1" w:lastRow="0" w:firstColumn="1" w:lastColumn="0" w:noHBand="0" w:noVBand="1"/>
      </w:tblPr>
      <w:tblGrid>
        <w:gridCol w:w="1530"/>
        <w:gridCol w:w="987"/>
        <w:gridCol w:w="1197"/>
        <w:gridCol w:w="1197"/>
        <w:gridCol w:w="1197"/>
        <w:gridCol w:w="1197"/>
        <w:gridCol w:w="1192"/>
        <w:gridCol w:w="1201"/>
      </w:tblGrid>
      <w:tr w:rsidR="006B42D6" w:rsidRPr="006B42D6" w14:paraId="326C7014" w14:textId="77777777" w:rsidTr="00257DF7">
        <w:trPr>
          <w:trHeight w:val="227"/>
        </w:trPr>
        <w:tc>
          <w:tcPr>
            <w:tcW w:w="1530" w:type="dxa"/>
            <w:vMerge w:val="restart"/>
            <w:tcBorders>
              <w:top w:val="single" w:sz="4" w:space="0" w:color="auto"/>
              <w:left w:val="nil"/>
              <w:bottom w:val="single" w:sz="4" w:space="0" w:color="000000"/>
              <w:right w:val="nil"/>
            </w:tcBorders>
            <w:shd w:val="clear" w:color="auto" w:fill="E2EFD9" w:themeFill="accent6" w:themeFillTint="33"/>
            <w:vAlign w:val="center"/>
            <w:hideMark/>
          </w:tcPr>
          <w:p w14:paraId="73BF01E8" w14:textId="77777777" w:rsidR="008A1E55" w:rsidRPr="006B42D6" w:rsidRDefault="008A1E55" w:rsidP="00E16CAE">
            <w:pPr>
              <w:rPr>
                <w:sz w:val="15"/>
                <w:szCs w:val="15"/>
              </w:rPr>
            </w:pPr>
            <w:r w:rsidRPr="006B42D6">
              <w:rPr>
                <w:sz w:val="15"/>
                <w:szCs w:val="15"/>
              </w:rPr>
              <w:t>Region</w:t>
            </w:r>
          </w:p>
        </w:tc>
        <w:tc>
          <w:tcPr>
            <w:tcW w:w="8168" w:type="dxa"/>
            <w:gridSpan w:val="7"/>
            <w:tcBorders>
              <w:top w:val="single" w:sz="4" w:space="0" w:color="auto"/>
              <w:left w:val="nil"/>
              <w:bottom w:val="nil"/>
              <w:right w:val="nil"/>
            </w:tcBorders>
            <w:shd w:val="clear" w:color="auto" w:fill="E2EFD9" w:themeFill="accent6" w:themeFillTint="33"/>
            <w:vAlign w:val="center"/>
            <w:hideMark/>
          </w:tcPr>
          <w:p w14:paraId="01B907CA" w14:textId="77777777" w:rsidR="008A1E55" w:rsidRPr="006B42D6" w:rsidRDefault="008A1E55" w:rsidP="00E16CAE">
            <w:pPr>
              <w:jc w:val="center"/>
              <w:rPr>
                <w:sz w:val="15"/>
                <w:szCs w:val="15"/>
              </w:rPr>
            </w:pPr>
            <w:r w:rsidRPr="006B42D6">
              <w:rPr>
                <w:sz w:val="15"/>
                <w:szCs w:val="15"/>
              </w:rPr>
              <w:t>Floor Materials</w:t>
            </w:r>
          </w:p>
        </w:tc>
      </w:tr>
      <w:tr w:rsidR="006B42D6" w:rsidRPr="006B42D6" w14:paraId="1BD33837" w14:textId="77777777" w:rsidTr="00257DF7">
        <w:trPr>
          <w:trHeight w:val="227"/>
        </w:trPr>
        <w:tc>
          <w:tcPr>
            <w:tcW w:w="1530" w:type="dxa"/>
            <w:vMerge/>
            <w:tcBorders>
              <w:top w:val="single" w:sz="4" w:space="0" w:color="auto"/>
              <w:left w:val="nil"/>
              <w:bottom w:val="single" w:sz="4" w:space="0" w:color="000000"/>
              <w:right w:val="nil"/>
            </w:tcBorders>
            <w:shd w:val="clear" w:color="auto" w:fill="E2EFD9" w:themeFill="accent6" w:themeFillTint="33"/>
            <w:vAlign w:val="center"/>
            <w:hideMark/>
          </w:tcPr>
          <w:p w14:paraId="051482BE" w14:textId="77777777" w:rsidR="008A1E55" w:rsidRPr="006B42D6" w:rsidRDefault="008A1E55" w:rsidP="00E16CAE">
            <w:pPr>
              <w:rPr>
                <w:sz w:val="15"/>
                <w:szCs w:val="15"/>
              </w:rPr>
            </w:pPr>
          </w:p>
        </w:tc>
        <w:tc>
          <w:tcPr>
            <w:tcW w:w="987" w:type="dxa"/>
            <w:tcBorders>
              <w:top w:val="single" w:sz="4" w:space="0" w:color="auto"/>
              <w:left w:val="nil"/>
              <w:bottom w:val="single" w:sz="4" w:space="0" w:color="auto"/>
              <w:right w:val="nil"/>
            </w:tcBorders>
            <w:shd w:val="clear" w:color="auto" w:fill="E2EFD9" w:themeFill="accent6" w:themeFillTint="33"/>
            <w:vAlign w:val="center"/>
            <w:hideMark/>
          </w:tcPr>
          <w:p w14:paraId="7EE86479" w14:textId="1F43A643" w:rsidR="008A1E55" w:rsidRPr="006B42D6" w:rsidRDefault="008A1E55" w:rsidP="00E16CAE">
            <w:pPr>
              <w:rPr>
                <w:sz w:val="15"/>
                <w:szCs w:val="15"/>
              </w:rPr>
            </w:pPr>
            <w:r w:rsidRPr="006B42D6">
              <w:rPr>
                <w:sz w:val="15"/>
                <w:szCs w:val="15"/>
              </w:rPr>
              <w:t>Earth</w:t>
            </w:r>
            <w:r w:rsidR="00212E5F">
              <w:rPr>
                <w:sz w:val="15"/>
                <w:szCs w:val="15"/>
              </w:rPr>
              <w:t xml:space="preserve">, </w:t>
            </w:r>
            <w:r w:rsidRPr="006B42D6">
              <w:rPr>
                <w:sz w:val="15"/>
                <w:szCs w:val="15"/>
              </w:rPr>
              <w:t>Sand</w:t>
            </w:r>
          </w:p>
        </w:tc>
        <w:tc>
          <w:tcPr>
            <w:tcW w:w="1197" w:type="dxa"/>
            <w:tcBorders>
              <w:top w:val="single" w:sz="4" w:space="0" w:color="auto"/>
              <w:left w:val="nil"/>
              <w:bottom w:val="single" w:sz="4" w:space="0" w:color="auto"/>
              <w:right w:val="nil"/>
            </w:tcBorders>
            <w:shd w:val="clear" w:color="auto" w:fill="E2EFD9" w:themeFill="accent6" w:themeFillTint="33"/>
            <w:vAlign w:val="center"/>
            <w:hideMark/>
          </w:tcPr>
          <w:p w14:paraId="346371AA" w14:textId="014E0CF2" w:rsidR="008A1E55" w:rsidRPr="006B42D6" w:rsidRDefault="008A1E55" w:rsidP="00E16CAE">
            <w:pPr>
              <w:rPr>
                <w:sz w:val="15"/>
                <w:szCs w:val="15"/>
              </w:rPr>
            </w:pPr>
            <w:r w:rsidRPr="006B42D6">
              <w:rPr>
                <w:sz w:val="15"/>
                <w:szCs w:val="15"/>
              </w:rPr>
              <w:t xml:space="preserve">Wood </w:t>
            </w:r>
            <w:r w:rsidR="00212E5F" w:rsidRPr="006B42D6">
              <w:rPr>
                <w:sz w:val="15"/>
                <w:szCs w:val="15"/>
              </w:rPr>
              <w:t>planks</w:t>
            </w:r>
            <w:r w:rsidR="00212E5F">
              <w:rPr>
                <w:sz w:val="15"/>
                <w:szCs w:val="15"/>
              </w:rPr>
              <w:t>,</w:t>
            </w:r>
            <w:r w:rsidR="00212E5F" w:rsidRPr="006B42D6">
              <w:rPr>
                <w:sz w:val="15"/>
                <w:szCs w:val="15"/>
              </w:rPr>
              <w:t xml:space="preserve"> bamboo</w:t>
            </w:r>
            <w:r w:rsidR="00212E5F">
              <w:rPr>
                <w:sz w:val="15"/>
                <w:szCs w:val="15"/>
              </w:rPr>
              <w:t xml:space="preserve">, </w:t>
            </w:r>
            <w:r w:rsidR="00212E5F" w:rsidRPr="006B42D6">
              <w:rPr>
                <w:sz w:val="15"/>
                <w:szCs w:val="15"/>
              </w:rPr>
              <w:t>palm</w:t>
            </w:r>
          </w:p>
        </w:tc>
        <w:tc>
          <w:tcPr>
            <w:tcW w:w="1197" w:type="dxa"/>
            <w:tcBorders>
              <w:top w:val="single" w:sz="4" w:space="0" w:color="auto"/>
              <w:left w:val="nil"/>
              <w:bottom w:val="single" w:sz="4" w:space="0" w:color="auto"/>
              <w:right w:val="nil"/>
            </w:tcBorders>
            <w:shd w:val="clear" w:color="auto" w:fill="E2EFD9" w:themeFill="accent6" w:themeFillTint="33"/>
            <w:vAlign w:val="center"/>
            <w:hideMark/>
          </w:tcPr>
          <w:p w14:paraId="02367185" w14:textId="77777777" w:rsidR="00212E5F" w:rsidRDefault="008A1E55" w:rsidP="00E16CAE">
            <w:pPr>
              <w:rPr>
                <w:sz w:val="15"/>
                <w:szCs w:val="15"/>
              </w:rPr>
            </w:pPr>
            <w:r w:rsidRPr="006B42D6">
              <w:rPr>
                <w:sz w:val="15"/>
                <w:szCs w:val="15"/>
              </w:rPr>
              <w:t>Parquet</w:t>
            </w:r>
            <w:r w:rsidR="00212E5F">
              <w:rPr>
                <w:sz w:val="15"/>
                <w:szCs w:val="15"/>
              </w:rPr>
              <w:t>/</w:t>
            </w:r>
          </w:p>
          <w:p w14:paraId="660C5C66" w14:textId="51D562A7" w:rsidR="008A1E55" w:rsidRPr="006B42D6" w:rsidRDefault="008A1E55" w:rsidP="00E16CAE">
            <w:pPr>
              <w:rPr>
                <w:sz w:val="15"/>
                <w:szCs w:val="15"/>
              </w:rPr>
            </w:pPr>
            <w:r w:rsidRPr="006B42D6">
              <w:rPr>
                <w:sz w:val="15"/>
                <w:szCs w:val="15"/>
              </w:rPr>
              <w:t>Polished Wood</w:t>
            </w:r>
          </w:p>
        </w:tc>
        <w:tc>
          <w:tcPr>
            <w:tcW w:w="1197" w:type="dxa"/>
            <w:tcBorders>
              <w:top w:val="single" w:sz="4" w:space="0" w:color="auto"/>
              <w:left w:val="nil"/>
              <w:bottom w:val="single" w:sz="4" w:space="0" w:color="auto"/>
              <w:right w:val="nil"/>
            </w:tcBorders>
            <w:shd w:val="clear" w:color="auto" w:fill="E2EFD9" w:themeFill="accent6" w:themeFillTint="33"/>
            <w:vAlign w:val="center"/>
            <w:hideMark/>
          </w:tcPr>
          <w:p w14:paraId="0B091412" w14:textId="77777777" w:rsidR="00212E5F" w:rsidRDefault="008A1E55" w:rsidP="00E16CAE">
            <w:pPr>
              <w:rPr>
                <w:sz w:val="15"/>
                <w:szCs w:val="15"/>
              </w:rPr>
            </w:pPr>
            <w:r w:rsidRPr="006B42D6">
              <w:rPr>
                <w:sz w:val="15"/>
                <w:szCs w:val="15"/>
              </w:rPr>
              <w:t>Vinyl</w:t>
            </w:r>
            <w:r w:rsidR="00212E5F">
              <w:rPr>
                <w:sz w:val="15"/>
                <w:szCs w:val="15"/>
              </w:rPr>
              <w:t>/</w:t>
            </w:r>
          </w:p>
          <w:p w14:paraId="0341A680" w14:textId="7DADAE6A" w:rsidR="008A1E55" w:rsidRPr="006B42D6" w:rsidRDefault="00212E5F" w:rsidP="00E16CAE">
            <w:pPr>
              <w:rPr>
                <w:sz w:val="15"/>
                <w:szCs w:val="15"/>
              </w:rPr>
            </w:pPr>
            <w:r w:rsidRPr="006B42D6">
              <w:rPr>
                <w:sz w:val="15"/>
                <w:szCs w:val="15"/>
              </w:rPr>
              <w:t>asphalt strips</w:t>
            </w:r>
          </w:p>
        </w:tc>
        <w:tc>
          <w:tcPr>
            <w:tcW w:w="1197" w:type="dxa"/>
            <w:tcBorders>
              <w:top w:val="single" w:sz="4" w:space="0" w:color="auto"/>
              <w:left w:val="nil"/>
              <w:bottom w:val="single" w:sz="4" w:space="0" w:color="auto"/>
              <w:right w:val="nil"/>
            </w:tcBorders>
            <w:shd w:val="clear" w:color="auto" w:fill="E2EFD9" w:themeFill="accent6" w:themeFillTint="33"/>
            <w:vAlign w:val="center"/>
            <w:hideMark/>
          </w:tcPr>
          <w:p w14:paraId="036624DA" w14:textId="77777777" w:rsidR="00212E5F" w:rsidRDefault="008A1E55" w:rsidP="00E16CAE">
            <w:pPr>
              <w:rPr>
                <w:sz w:val="15"/>
                <w:szCs w:val="15"/>
              </w:rPr>
            </w:pPr>
            <w:r w:rsidRPr="006B42D6">
              <w:rPr>
                <w:sz w:val="15"/>
                <w:szCs w:val="15"/>
              </w:rPr>
              <w:t xml:space="preserve">Ceramic </w:t>
            </w:r>
          </w:p>
          <w:p w14:paraId="089D3021" w14:textId="7653AECF" w:rsidR="008A1E55" w:rsidRPr="006B42D6" w:rsidRDefault="00212E5F" w:rsidP="00E16CAE">
            <w:pPr>
              <w:rPr>
                <w:sz w:val="15"/>
                <w:szCs w:val="15"/>
              </w:rPr>
            </w:pPr>
            <w:r w:rsidRPr="006B42D6">
              <w:rPr>
                <w:sz w:val="15"/>
                <w:szCs w:val="15"/>
              </w:rPr>
              <w:t>tiles, terrazzo</w:t>
            </w:r>
          </w:p>
        </w:tc>
        <w:tc>
          <w:tcPr>
            <w:tcW w:w="1192" w:type="dxa"/>
            <w:tcBorders>
              <w:top w:val="single" w:sz="4" w:space="0" w:color="auto"/>
              <w:left w:val="nil"/>
              <w:bottom w:val="single" w:sz="4" w:space="0" w:color="auto"/>
              <w:right w:val="nil"/>
            </w:tcBorders>
            <w:shd w:val="clear" w:color="auto" w:fill="E2EFD9" w:themeFill="accent6" w:themeFillTint="33"/>
            <w:noWrap/>
            <w:vAlign w:val="center"/>
            <w:hideMark/>
          </w:tcPr>
          <w:p w14:paraId="114C1B3D" w14:textId="77777777" w:rsidR="008A1E55" w:rsidRPr="006B42D6" w:rsidRDefault="008A1E55" w:rsidP="00E16CAE">
            <w:pPr>
              <w:rPr>
                <w:sz w:val="15"/>
                <w:szCs w:val="15"/>
              </w:rPr>
            </w:pPr>
            <w:r w:rsidRPr="006B42D6">
              <w:rPr>
                <w:sz w:val="15"/>
                <w:szCs w:val="15"/>
              </w:rPr>
              <w:t>Cement</w:t>
            </w:r>
          </w:p>
        </w:tc>
        <w:tc>
          <w:tcPr>
            <w:tcW w:w="1201" w:type="dxa"/>
            <w:tcBorders>
              <w:top w:val="single" w:sz="4" w:space="0" w:color="auto"/>
              <w:left w:val="nil"/>
              <w:bottom w:val="single" w:sz="4" w:space="0" w:color="auto"/>
              <w:right w:val="nil"/>
            </w:tcBorders>
            <w:shd w:val="clear" w:color="auto" w:fill="E2EFD9" w:themeFill="accent6" w:themeFillTint="33"/>
            <w:vAlign w:val="center"/>
            <w:hideMark/>
          </w:tcPr>
          <w:p w14:paraId="2FBDB4F0" w14:textId="77777777" w:rsidR="008A1E55" w:rsidRPr="006B42D6" w:rsidRDefault="008A1E55" w:rsidP="00E16CAE">
            <w:pPr>
              <w:rPr>
                <w:sz w:val="15"/>
                <w:szCs w:val="15"/>
              </w:rPr>
            </w:pPr>
            <w:r w:rsidRPr="006B42D6">
              <w:rPr>
                <w:sz w:val="15"/>
                <w:szCs w:val="15"/>
              </w:rPr>
              <w:t>Other</w:t>
            </w:r>
          </w:p>
        </w:tc>
      </w:tr>
      <w:tr w:rsidR="006B42D6" w:rsidRPr="006B42D6" w14:paraId="77F567B0" w14:textId="77777777" w:rsidTr="00355DF7">
        <w:trPr>
          <w:trHeight w:val="283"/>
        </w:trPr>
        <w:tc>
          <w:tcPr>
            <w:tcW w:w="1530" w:type="dxa"/>
            <w:tcBorders>
              <w:top w:val="nil"/>
              <w:left w:val="nil"/>
              <w:bottom w:val="nil"/>
              <w:right w:val="nil"/>
            </w:tcBorders>
            <w:shd w:val="clear" w:color="auto" w:fill="auto"/>
            <w:noWrap/>
            <w:vAlign w:val="bottom"/>
            <w:hideMark/>
          </w:tcPr>
          <w:p w14:paraId="112049B9" w14:textId="77777777" w:rsidR="008A1E55" w:rsidRPr="006B42D6" w:rsidRDefault="008A1E55" w:rsidP="00E16CAE">
            <w:pPr>
              <w:rPr>
                <w:sz w:val="15"/>
                <w:szCs w:val="15"/>
              </w:rPr>
            </w:pPr>
            <w:r w:rsidRPr="006B42D6">
              <w:rPr>
                <w:sz w:val="15"/>
                <w:szCs w:val="15"/>
              </w:rPr>
              <w:t>Dodoma</w:t>
            </w:r>
          </w:p>
        </w:tc>
        <w:tc>
          <w:tcPr>
            <w:tcW w:w="987" w:type="dxa"/>
            <w:tcBorders>
              <w:top w:val="nil"/>
              <w:left w:val="nil"/>
              <w:bottom w:val="nil"/>
              <w:right w:val="nil"/>
            </w:tcBorders>
            <w:shd w:val="clear" w:color="auto" w:fill="auto"/>
            <w:noWrap/>
            <w:vAlign w:val="bottom"/>
            <w:hideMark/>
          </w:tcPr>
          <w:p w14:paraId="1EB8EEBA" w14:textId="77777777" w:rsidR="008A1E55" w:rsidRPr="006B42D6" w:rsidRDefault="008A1E55" w:rsidP="00E16CAE">
            <w:pPr>
              <w:jc w:val="right"/>
              <w:rPr>
                <w:sz w:val="15"/>
                <w:szCs w:val="15"/>
              </w:rPr>
            </w:pPr>
            <w:r w:rsidRPr="006B42D6">
              <w:rPr>
                <w:sz w:val="15"/>
                <w:szCs w:val="15"/>
              </w:rPr>
              <w:t>8.2</w:t>
            </w:r>
          </w:p>
        </w:tc>
        <w:tc>
          <w:tcPr>
            <w:tcW w:w="1197" w:type="dxa"/>
            <w:tcBorders>
              <w:top w:val="nil"/>
              <w:left w:val="nil"/>
              <w:bottom w:val="nil"/>
              <w:right w:val="nil"/>
            </w:tcBorders>
            <w:shd w:val="clear" w:color="auto" w:fill="auto"/>
            <w:noWrap/>
            <w:vAlign w:val="bottom"/>
            <w:hideMark/>
          </w:tcPr>
          <w:p w14:paraId="37AB0D5B" w14:textId="77777777" w:rsidR="008A1E55" w:rsidRPr="006B42D6" w:rsidRDefault="008A1E55" w:rsidP="00E16CAE">
            <w:pPr>
              <w:jc w:val="right"/>
              <w:rPr>
                <w:sz w:val="15"/>
                <w:szCs w:val="15"/>
              </w:rPr>
            </w:pPr>
            <w:r w:rsidRPr="006B42D6">
              <w:rPr>
                <w:sz w:val="15"/>
                <w:szCs w:val="15"/>
              </w:rPr>
              <w:t>5.0</w:t>
            </w:r>
          </w:p>
        </w:tc>
        <w:tc>
          <w:tcPr>
            <w:tcW w:w="1197" w:type="dxa"/>
            <w:tcBorders>
              <w:top w:val="nil"/>
              <w:left w:val="nil"/>
              <w:bottom w:val="nil"/>
              <w:right w:val="nil"/>
            </w:tcBorders>
            <w:shd w:val="clear" w:color="auto" w:fill="auto"/>
            <w:noWrap/>
            <w:vAlign w:val="bottom"/>
            <w:hideMark/>
          </w:tcPr>
          <w:p w14:paraId="382C2B99" w14:textId="77777777" w:rsidR="008A1E55" w:rsidRPr="006B42D6" w:rsidRDefault="008A1E55" w:rsidP="00E16CAE">
            <w:pPr>
              <w:jc w:val="right"/>
              <w:rPr>
                <w:sz w:val="15"/>
                <w:szCs w:val="15"/>
              </w:rPr>
            </w:pPr>
            <w:r w:rsidRPr="006B42D6">
              <w:rPr>
                <w:sz w:val="15"/>
                <w:szCs w:val="15"/>
              </w:rPr>
              <w:t>0.80</w:t>
            </w:r>
          </w:p>
        </w:tc>
        <w:tc>
          <w:tcPr>
            <w:tcW w:w="1197" w:type="dxa"/>
            <w:tcBorders>
              <w:top w:val="nil"/>
              <w:left w:val="nil"/>
              <w:bottom w:val="nil"/>
              <w:right w:val="nil"/>
            </w:tcBorders>
            <w:shd w:val="clear" w:color="auto" w:fill="auto"/>
            <w:noWrap/>
            <w:vAlign w:val="bottom"/>
            <w:hideMark/>
          </w:tcPr>
          <w:p w14:paraId="11914BF9" w14:textId="77777777" w:rsidR="008A1E55" w:rsidRPr="006B42D6" w:rsidRDefault="008A1E55" w:rsidP="00E16CAE">
            <w:pPr>
              <w:jc w:val="right"/>
              <w:rPr>
                <w:sz w:val="15"/>
                <w:szCs w:val="15"/>
              </w:rPr>
            </w:pPr>
            <w:r w:rsidRPr="006B42D6">
              <w:rPr>
                <w:sz w:val="15"/>
                <w:szCs w:val="15"/>
              </w:rPr>
              <w:t>6.6</w:t>
            </w:r>
          </w:p>
        </w:tc>
        <w:tc>
          <w:tcPr>
            <w:tcW w:w="1197" w:type="dxa"/>
            <w:tcBorders>
              <w:top w:val="nil"/>
              <w:left w:val="nil"/>
              <w:bottom w:val="nil"/>
              <w:right w:val="nil"/>
            </w:tcBorders>
            <w:shd w:val="clear" w:color="auto" w:fill="auto"/>
            <w:noWrap/>
            <w:vAlign w:val="bottom"/>
            <w:hideMark/>
          </w:tcPr>
          <w:p w14:paraId="0E1C5C90" w14:textId="77777777" w:rsidR="008A1E55" w:rsidRPr="006B42D6" w:rsidRDefault="008A1E55" w:rsidP="00E16CAE">
            <w:pPr>
              <w:jc w:val="right"/>
              <w:rPr>
                <w:sz w:val="15"/>
                <w:szCs w:val="15"/>
              </w:rPr>
            </w:pPr>
            <w:r w:rsidRPr="006B42D6">
              <w:rPr>
                <w:sz w:val="15"/>
                <w:szCs w:val="15"/>
              </w:rPr>
              <w:t>3.1</w:t>
            </w:r>
          </w:p>
        </w:tc>
        <w:tc>
          <w:tcPr>
            <w:tcW w:w="1192" w:type="dxa"/>
            <w:tcBorders>
              <w:top w:val="nil"/>
              <w:left w:val="nil"/>
              <w:bottom w:val="nil"/>
              <w:right w:val="nil"/>
            </w:tcBorders>
            <w:shd w:val="clear" w:color="auto" w:fill="auto"/>
            <w:noWrap/>
            <w:vAlign w:val="bottom"/>
            <w:hideMark/>
          </w:tcPr>
          <w:p w14:paraId="7117B044" w14:textId="77777777" w:rsidR="008A1E55" w:rsidRPr="006B42D6" w:rsidRDefault="008A1E55" w:rsidP="00E16CAE">
            <w:pPr>
              <w:jc w:val="right"/>
              <w:rPr>
                <w:sz w:val="15"/>
                <w:szCs w:val="15"/>
              </w:rPr>
            </w:pPr>
            <w:r w:rsidRPr="006B42D6">
              <w:rPr>
                <w:sz w:val="15"/>
                <w:szCs w:val="15"/>
              </w:rPr>
              <w:t>4.4</w:t>
            </w:r>
          </w:p>
        </w:tc>
        <w:tc>
          <w:tcPr>
            <w:tcW w:w="1201" w:type="dxa"/>
            <w:tcBorders>
              <w:top w:val="nil"/>
              <w:left w:val="nil"/>
              <w:bottom w:val="nil"/>
              <w:right w:val="nil"/>
            </w:tcBorders>
            <w:shd w:val="clear" w:color="auto" w:fill="auto"/>
            <w:noWrap/>
            <w:vAlign w:val="bottom"/>
            <w:hideMark/>
          </w:tcPr>
          <w:p w14:paraId="34D20422" w14:textId="77777777" w:rsidR="008A1E55" w:rsidRPr="006B42D6" w:rsidRDefault="008A1E55" w:rsidP="00E16CAE">
            <w:pPr>
              <w:jc w:val="right"/>
              <w:rPr>
                <w:sz w:val="15"/>
                <w:szCs w:val="15"/>
              </w:rPr>
            </w:pPr>
            <w:r w:rsidRPr="006B42D6">
              <w:rPr>
                <w:sz w:val="15"/>
                <w:szCs w:val="15"/>
              </w:rPr>
              <w:t>0.6</w:t>
            </w:r>
          </w:p>
        </w:tc>
      </w:tr>
      <w:tr w:rsidR="006B42D6" w:rsidRPr="006B42D6" w14:paraId="3DA6EC3D" w14:textId="77777777" w:rsidTr="00355DF7">
        <w:trPr>
          <w:trHeight w:val="283"/>
        </w:trPr>
        <w:tc>
          <w:tcPr>
            <w:tcW w:w="1530" w:type="dxa"/>
            <w:tcBorders>
              <w:top w:val="nil"/>
              <w:left w:val="nil"/>
              <w:bottom w:val="nil"/>
              <w:right w:val="nil"/>
            </w:tcBorders>
            <w:shd w:val="clear" w:color="auto" w:fill="auto"/>
            <w:noWrap/>
            <w:vAlign w:val="bottom"/>
            <w:hideMark/>
          </w:tcPr>
          <w:p w14:paraId="1C97B4E3" w14:textId="77777777" w:rsidR="008A1E55" w:rsidRPr="006B42D6" w:rsidRDefault="008A1E55" w:rsidP="00E16CAE">
            <w:pPr>
              <w:rPr>
                <w:sz w:val="15"/>
                <w:szCs w:val="15"/>
              </w:rPr>
            </w:pPr>
            <w:r w:rsidRPr="006B42D6">
              <w:rPr>
                <w:sz w:val="15"/>
                <w:szCs w:val="15"/>
              </w:rPr>
              <w:t>Arusha</w:t>
            </w:r>
          </w:p>
        </w:tc>
        <w:tc>
          <w:tcPr>
            <w:tcW w:w="987" w:type="dxa"/>
            <w:tcBorders>
              <w:top w:val="nil"/>
              <w:left w:val="nil"/>
              <w:bottom w:val="nil"/>
              <w:right w:val="nil"/>
            </w:tcBorders>
            <w:shd w:val="clear" w:color="auto" w:fill="auto"/>
            <w:noWrap/>
            <w:vAlign w:val="bottom"/>
            <w:hideMark/>
          </w:tcPr>
          <w:p w14:paraId="03033C50" w14:textId="77777777" w:rsidR="008A1E55" w:rsidRPr="006B42D6" w:rsidRDefault="008A1E55" w:rsidP="00E16CAE">
            <w:pPr>
              <w:jc w:val="right"/>
              <w:rPr>
                <w:sz w:val="15"/>
                <w:szCs w:val="15"/>
              </w:rPr>
            </w:pPr>
            <w:r w:rsidRPr="006B42D6">
              <w:rPr>
                <w:sz w:val="15"/>
                <w:szCs w:val="15"/>
              </w:rPr>
              <w:t>3.1</w:t>
            </w:r>
          </w:p>
        </w:tc>
        <w:tc>
          <w:tcPr>
            <w:tcW w:w="1197" w:type="dxa"/>
            <w:tcBorders>
              <w:top w:val="nil"/>
              <w:left w:val="nil"/>
              <w:bottom w:val="nil"/>
              <w:right w:val="nil"/>
            </w:tcBorders>
            <w:shd w:val="clear" w:color="auto" w:fill="auto"/>
            <w:noWrap/>
            <w:vAlign w:val="bottom"/>
            <w:hideMark/>
          </w:tcPr>
          <w:p w14:paraId="2E2D865B" w14:textId="77777777" w:rsidR="008A1E55" w:rsidRPr="006B42D6" w:rsidRDefault="008A1E55" w:rsidP="00E16CAE">
            <w:pPr>
              <w:jc w:val="right"/>
              <w:rPr>
                <w:sz w:val="15"/>
                <w:szCs w:val="15"/>
              </w:rPr>
            </w:pPr>
            <w:r w:rsidRPr="006B42D6">
              <w:rPr>
                <w:sz w:val="15"/>
                <w:szCs w:val="15"/>
              </w:rPr>
              <w:t>9.4</w:t>
            </w:r>
          </w:p>
        </w:tc>
        <w:tc>
          <w:tcPr>
            <w:tcW w:w="1197" w:type="dxa"/>
            <w:tcBorders>
              <w:top w:val="nil"/>
              <w:left w:val="nil"/>
              <w:bottom w:val="nil"/>
              <w:right w:val="nil"/>
            </w:tcBorders>
            <w:shd w:val="clear" w:color="auto" w:fill="auto"/>
            <w:noWrap/>
            <w:vAlign w:val="bottom"/>
            <w:hideMark/>
          </w:tcPr>
          <w:p w14:paraId="23881ADE" w14:textId="77777777" w:rsidR="008A1E55" w:rsidRPr="006B42D6" w:rsidRDefault="008A1E55" w:rsidP="00E16CAE">
            <w:pPr>
              <w:jc w:val="right"/>
              <w:rPr>
                <w:sz w:val="15"/>
                <w:szCs w:val="15"/>
              </w:rPr>
            </w:pPr>
            <w:r w:rsidRPr="006B42D6">
              <w:rPr>
                <w:sz w:val="15"/>
                <w:szCs w:val="15"/>
              </w:rPr>
              <w:t>1.84</w:t>
            </w:r>
          </w:p>
        </w:tc>
        <w:tc>
          <w:tcPr>
            <w:tcW w:w="1197" w:type="dxa"/>
            <w:tcBorders>
              <w:top w:val="nil"/>
              <w:left w:val="nil"/>
              <w:bottom w:val="nil"/>
              <w:right w:val="nil"/>
            </w:tcBorders>
            <w:shd w:val="clear" w:color="auto" w:fill="auto"/>
            <w:noWrap/>
            <w:vAlign w:val="bottom"/>
            <w:hideMark/>
          </w:tcPr>
          <w:p w14:paraId="377B7DE8" w14:textId="77777777" w:rsidR="008A1E55" w:rsidRPr="006B42D6" w:rsidRDefault="008A1E55" w:rsidP="00E16CAE">
            <w:pPr>
              <w:jc w:val="right"/>
              <w:rPr>
                <w:sz w:val="15"/>
                <w:szCs w:val="15"/>
              </w:rPr>
            </w:pPr>
            <w:r w:rsidRPr="006B42D6">
              <w:rPr>
                <w:sz w:val="15"/>
                <w:szCs w:val="15"/>
              </w:rPr>
              <w:t>4.3</w:t>
            </w:r>
          </w:p>
        </w:tc>
        <w:tc>
          <w:tcPr>
            <w:tcW w:w="1197" w:type="dxa"/>
            <w:tcBorders>
              <w:top w:val="nil"/>
              <w:left w:val="nil"/>
              <w:bottom w:val="nil"/>
              <w:right w:val="nil"/>
            </w:tcBorders>
            <w:shd w:val="clear" w:color="auto" w:fill="auto"/>
            <w:noWrap/>
            <w:vAlign w:val="bottom"/>
            <w:hideMark/>
          </w:tcPr>
          <w:p w14:paraId="1799FD28" w14:textId="77777777" w:rsidR="008A1E55" w:rsidRPr="006B42D6" w:rsidRDefault="008A1E55" w:rsidP="00E16CAE">
            <w:pPr>
              <w:jc w:val="right"/>
              <w:rPr>
                <w:sz w:val="15"/>
                <w:szCs w:val="15"/>
              </w:rPr>
            </w:pPr>
            <w:r w:rsidRPr="006B42D6">
              <w:rPr>
                <w:sz w:val="15"/>
                <w:szCs w:val="15"/>
              </w:rPr>
              <w:t>4.3</w:t>
            </w:r>
          </w:p>
        </w:tc>
        <w:tc>
          <w:tcPr>
            <w:tcW w:w="1192" w:type="dxa"/>
            <w:tcBorders>
              <w:top w:val="nil"/>
              <w:left w:val="nil"/>
              <w:bottom w:val="nil"/>
              <w:right w:val="nil"/>
            </w:tcBorders>
            <w:shd w:val="clear" w:color="auto" w:fill="auto"/>
            <w:noWrap/>
            <w:vAlign w:val="bottom"/>
            <w:hideMark/>
          </w:tcPr>
          <w:p w14:paraId="0991B323" w14:textId="77777777" w:rsidR="008A1E55" w:rsidRPr="006B42D6" w:rsidRDefault="008A1E55" w:rsidP="00E16CAE">
            <w:pPr>
              <w:jc w:val="right"/>
              <w:rPr>
                <w:sz w:val="15"/>
                <w:szCs w:val="15"/>
              </w:rPr>
            </w:pPr>
            <w:r w:rsidRPr="006B42D6">
              <w:rPr>
                <w:sz w:val="15"/>
                <w:szCs w:val="15"/>
              </w:rPr>
              <w:t>2.3</w:t>
            </w:r>
          </w:p>
        </w:tc>
        <w:tc>
          <w:tcPr>
            <w:tcW w:w="1201" w:type="dxa"/>
            <w:tcBorders>
              <w:top w:val="nil"/>
              <w:left w:val="nil"/>
              <w:bottom w:val="nil"/>
              <w:right w:val="nil"/>
            </w:tcBorders>
            <w:shd w:val="clear" w:color="auto" w:fill="auto"/>
            <w:noWrap/>
            <w:vAlign w:val="bottom"/>
            <w:hideMark/>
          </w:tcPr>
          <w:p w14:paraId="359203C2" w14:textId="77777777" w:rsidR="008A1E55" w:rsidRPr="006B42D6" w:rsidRDefault="008A1E55" w:rsidP="00E16CAE">
            <w:pPr>
              <w:jc w:val="right"/>
              <w:rPr>
                <w:sz w:val="15"/>
                <w:szCs w:val="15"/>
              </w:rPr>
            </w:pPr>
            <w:r w:rsidRPr="006B42D6">
              <w:rPr>
                <w:sz w:val="15"/>
                <w:szCs w:val="15"/>
              </w:rPr>
              <w:t>-</w:t>
            </w:r>
          </w:p>
        </w:tc>
      </w:tr>
      <w:tr w:rsidR="006B42D6" w:rsidRPr="006B42D6" w14:paraId="786C08CC" w14:textId="77777777" w:rsidTr="00355DF7">
        <w:trPr>
          <w:trHeight w:val="283"/>
        </w:trPr>
        <w:tc>
          <w:tcPr>
            <w:tcW w:w="1530" w:type="dxa"/>
            <w:tcBorders>
              <w:top w:val="nil"/>
              <w:left w:val="nil"/>
              <w:bottom w:val="nil"/>
              <w:right w:val="nil"/>
            </w:tcBorders>
            <w:shd w:val="clear" w:color="auto" w:fill="auto"/>
            <w:noWrap/>
            <w:vAlign w:val="bottom"/>
            <w:hideMark/>
          </w:tcPr>
          <w:p w14:paraId="47C1B3EE" w14:textId="77777777" w:rsidR="008A1E55" w:rsidRPr="006B42D6" w:rsidRDefault="008A1E55" w:rsidP="00E16CAE">
            <w:pPr>
              <w:rPr>
                <w:sz w:val="15"/>
                <w:szCs w:val="15"/>
              </w:rPr>
            </w:pPr>
            <w:r w:rsidRPr="006B42D6">
              <w:rPr>
                <w:sz w:val="15"/>
                <w:szCs w:val="15"/>
              </w:rPr>
              <w:t>Kilimanjaro</w:t>
            </w:r>
          </w:p>
        </w:tc>
        <w:tc>
          <w:tcPr>
            <w:tcW w:w="987" w:type="dxa"/>
            <w:tcBorders>
              <w:top w:val="nil"/>
              <w:left w:val="nil"/>
              <w:bottom w:val="nil"/>
              <w:right w:val="nil"/>
            </w:tcBorders>
            <w:shd w:val="clear" w:color="auto" w:fill="auto"/>
            <w:noWrap/>
            <w:vAlign w:val="bottom"/>
            <w:hideMark/>
          </w:tcPr>
          <w:p w14:paraId="6D208E25" w14:textId="77777777" w:rsidR="008A1E55" w:rsidRPr="006B42D6" w:rsidRDefault="008A1E55" w:rsidP="00E16CAE">
            <w:pPr>
              <w:jc w:val="right"/>
              <w:rPr>
                <w:sz w:val="15"/>
                <w:szCs w:val="15"/>
              </w:rPr>
            </w:pPr>
            <w:r w:rsidRPr="006B42D6">
              <w:rPr>
                <w:sz w:val="15"/>
                <w:szCs w:val="15"/>
              </w:rPr>
              <w:t>2.3</w:t>
            </w:r>
          </w:p>
        </w:tc>
        <w:tc>
          <w:tcPr>
            <w:tcW w:w="1197" w:type="dxa"/>
            <w:tcBorders>
              <w:top w:val="nil"/>
              <w:left w:val="nil"/>
              <w:bottom w:val="nil"/>
              <w:right w:val="nil"/>
            </w:tcBorders>
            <w:shd w:val="clear" w:color="auto" w:fill="auto"/>
            <w:noWrap/>
            <w:vAlign w:val="bottom"/>
            <w:hideMark/>
          </w:tcPr>
          <w:p w14:paraId="14FA15BC" w14:textId="77777777" w:rsidR="008A1E55" w:rsidRPr="006B42D6" w:rsidRDefault="008A1E55" w:rsidP="00E16CAE">
            <w:pPr>
              <w:jc w:val="right"/>
              <w:rPr>
                <w:sz w:val="15"/>
                <w:szCs w:val="15"/>
              </w:rPr>
            </w:pPr>
            <w:r w:rsidRPr="006B42D6">
              <w:rPr>
                <w:sz w:val="15"/>
                <w:szCs w:val="15"/>
              </w:rPr>
              <w:t>1.2</w:t>
            </w:r>
          </w:p>
        </w:tc>
        <w:tc>
          <w:tcPr>
            <w:tcW w:w="1197" w:type="dxa"/>
            <w:tcBorders>
              <w:top w:val="nil"/>
              <w:left w:val="nil"/>
              <w:bottom w:val="nil"/>
              <w:right w:val="nil"/>
            </w:tcBorders>
            <w:shd w:val="clear" w:color="auto" w:fill="auto"/>
            <w:noWrap/>
            <w:vAlign w:val="bottom"/>
            <w:hideMark/>
          </w:tcPr>
          <w:p w14:paraId="59207D2D" w14:textId="77777777" w:rsidR="008A1E55" w:rsidRPr="006B42D6" w:rsidRDefault="008A1E55" w:rsidP="00E16CAE">
            <w:pPr>
              <w:jc w:val="right"/>
              <w:rPr>
                <w:sz w:val="15"/>
                <w:szCs w:val="15"/>
              </w:rPr>
            </w:pPr>
            <w:r w:rsidRPr="006B42D6">
              <w:rPr>
                <w:sz w:val="15"/>
                <w:szCs w:val="15"/>
              </w:rPr>
              <w:t>4.08</w:t>
            </w:r>
          </w:p>
        </w:tc>
        <w:tc>
          <w:tcPr>
            <w:tcW w:w="1197" w:type="dxa"/>
            <w:tcBorders>
              <w:top w:val="nil"/>
              <w:left w:val="nil"/>
              <w:bottom w:val="nil"/>
              <w:right w:val="nil"/>
            </w:tcBorders>
            <w:shd w:val="clear" w:color="auto" w:fill="auto"/>
            <w:noWrap/>
            <w:vAlign w:val="bottom"/>
            <w:hideMark/>
          </w:tcPr>
          <w:p w14:paraId="4E6F03CF" w14:textId="77777777" w:rsidR="008A1E55" w:rsidRPr="006B42D6" w:rsidRDefault="008A1E55" w:rsidP="00E16CAE">
            <w:pPr>
              <w:jc w:val="right"/>
              <w:rPr>
                <w:sz w:val="15"/>
                <w:szCs w:val="15"/>
              </w:rPr>
            </w:pPr>
            <w:r w:rsidRPr="006B42D6">
              <w:rPr>
                <w:sz w:val="15"/>
                <w:szCs w:val="15"/>
              </w:rPr>
              <w:t>-</w:t>
            </w:r>
          </w:p>
        </w:tc>
        <w:tc>
          <w:tcPr>
            <w:tcW w:w="1197" w:type="dxa"/>
            <w:tcBorders>
              <w:top w:val="nil"/>
              <w:left w:val="nil"/>
              <w:bottom w:val="nil"/>
              <w:right w:val="nil"/>
            </w:tcBorders>
            <w:shd w:val="clear" w:color="auto" w:fill="auto"/>
            <w:noWrap/>
            <w:vAlign w:val="bottom"/>
            <w:hideMark/>
          </w:tcPr>
          <w:p w14:paraId="13F1FB96" w14:textId="77777777" w:rsidR="008A1E55" w:rsidRPr="006B42D6" w:rsidRDefault="008A1E55" w:rsidP="00E16CAE">
            <w:pPr>
              <w:jc w:val="right"/>
              <w:rPr>
                <w:sz w:val="15"/>
                <w:szCs w:val="15"/>
              </w:rPr>
            </w:pPr>
            <w:r w:rsidRPr="006B42D6">
              <w:rPr>
                <w:sz w:val="15"/>
                <w:szCs w:val="15"/>
              </w:rPr>
              <w:t>10.7</w:t>
            </w:r>
          </w:p>
        </w:tc>
        <w:tc>
          <w:tcPr>
            <w:tcW w:w="1192" w:type="dxa"/>
            <w:tcBorders>
              <w:top w:val="nil"/>
              <w:left w:val="nil"/>
              <w:bottom w:val="nil"/>
              <w:right w:val="nil"/>
            </w:tcBorders>
            <w:shd w:val="clear" w:color="auto" w:fill="auto"/>
            <w:noWrap/>
            <w:vAlign w:val="bottom"/>
            <w:hideMark/>
          </w:tcPr>
          <w:p w14:paraId="454D65BC" w14:textId="77777777" w:rsidR="008A1E55" w:rsidRPr="006B42D6" w:rsidRDefault="008A1E55" w:rsidP="00E16CAE">
            <w:pPr>
              <w:jc w:val="right"/>
              <w:rPr>
                <w:sz w:val="15"/>
                <w:szCs w:val="15"/>
              </w:rPr>
            </w:pPr>
            <w:r w:rsidRPr="006B42D6">
              <w:rPr>
                <w:sz w:val="15"/>
                <w:szCs w:val="15"/>
              </w:rPr>
              <w:t>6.0</w:t>
            </w:r>
          </w:p>
        </w:tc>
        <w:tc>
          <w:tcPr>
            <w:tcW w:w="1201" w:type="dxa"/>
            <w:tcBorders>
              <w:top w:val="nil"/>
              <w:left w:val="nil"/>
              <w:bottom w:val="nil"/>
              <w:right w:val="nil"/>
            </w:tcBorders>
            <w:shd w:val="clear" w:color="auto" w:fill="auto"/>
            <w:noWrap/>
            <w:vAlign w:val="bottom"/>
            <w:hideMark/>
          </w:tcPr>
          <w:p w14:paraId="4544B8A2" w14:textId="77777777" w:rsidR="008A1E55" w:rsidRPr="006B42D6" w:rsidRDefault="008A1E55" w:rsidP="00E16CAE">
            <w:pPr>
              <w:jc w:val="right"/>
              <w:rPr>
                <w:sz w:val="15"/>
                <w:szCs w:val="15"/>
              </w:rPr>
            </w:pPr>
            <w:r w:rsidRPr="006B42D6">
              <w:rPr>
                <w:sz w:val="15"/>
                <w:szCs w:val="15"/>
              </w:rPr>
              <w:t>0.3</w:t>
            </w:r>
          </w:p>
        </w:tc>
      </w:tr>
      <w:tr w:rsidR="006B42D6" w:rsidRPr="006B42D6" w14:paraId="0AC9AC22" w14:textId="77777777" w:rsidTr="00355DF7">
        <w:trPr>
          <w:trHeight w:val="283"/>
        </w:trPr>
        <w:tc>
          <w:tcPr>
            <w:tcW w:w="1530" w:type="dxa"/>
            <w:tcBorders>
              <w:top w:val="nil"/>
              <w:left w:val="nil"/>
              <w:bottom w:val="nil"/>
              <w:right w:val="nil"/>
            </w:tcBorders>
            <w:shd w:val="clear" w:color="auto" w:fill="auto"/>
            <w:noWrap/>
            <w:vAlign w:val="bottom"/>
            <w:hideMark/>
          </w:tcPr>
          <w:p w14:paraId="639A742A" w14:textId="77777777" w:rsidR="008A1E55" w:rsidRPr="006B42D6" w:rsidRDefault="008A1E55" w:rsidP="00E16CAE">
            <w:pPr>
              <w:rPr>
                <w:sz w:val="15"/>
                <w:szCs w:val="15"/>
              </w:rPr>
            </w:pPr>
            <w:r w:rsidRPr="006B42D6">
              <w:rPr>
                <w:sz w:val="15"/>
                <w:szCs w:val="15"/>
              </w:rPr>
              <w:t>Tanga</w:t>
            </w:r>
          </w:p>
        </w:tc>
        <w:tc>
          <w:tcPr>
            <w:tcW w:w="987" w:type="dxa"/>
            <w:tcBorders>
              <w:top w:val="nil"/>
              <w:left w:val="nil"/>
              <w:bottom w:val="nil"/>
              <w:right w:val="nil"/>
            </w:tcBorders>
            <w:shd w:val="clear" w:color="auto" w:fill="auto"/>
            <w:noWrap/>
            <w:vAlign w:val="bottom"/>
            <w:hideMark/>
          </w:tcPr>
          <w:p w14:paraId="37676B6A" w14:textId="77777777" w:rsidR="008A1E55" w:rsidRPr="006B42D6" w:rsidRDefault="008A1E55" w:rsidP="00E16CAE">
            <w:pPr>
              <w:jc w:val="right"/>
              <w:rPr>
                <w:sz w:val="15"/>
                <w:szCs w:val="15"/>
              </w:rPr>
            </w:pPr>
            <w:r w:rsidRPr="006B42D6">
              <w:rPr>
                <w:sz w:val="15"/>
                <w:szCs w:val="15"/>
              </w:rPr>
              <w:t>5.1</w:t>
            </w:r>
          </w:p>
        </w:tc>
        <w:tc>
          <w:tcPr>
            <w:tcW w:w="1197" w:type="dxa"/>
            <w:tcBorders>
              <w:top w:val="nil"/>
              <w:left w:val="nil"/>
              <w:bottom w:val="nil"/>
              <w:right w:val="nil"/>
            </w:tcBorders>
            <w:shd w:val="clear" w:color="auto" w:fill="auto"/>
            <w:noWrap/>
            <w:vAlign w:val="bottom"/>
            <w:hideMark/>
          </w:tcPr>
          <w:p w14:paraId="15909A87" w14:textId="77777777" w:rsidR="008A1E55" w:rsidRPr="006B42D6" w:rsidRDefault="008A1E55" w:rsidP="00E16CAE">
            <w:pPr>
              <w:jc w:val="right"/>
              <w:rPr>
                <w:sz w:val="15"/>
                <w:szCs w:val="15"/>
              </w:rPr>
            </w:pPr>
            <w:r w:rsidRPr="006B42D6">
              <w:rPr>
                <w:sz w:val="15"/>
                <w:szCs w:val="15"/>
              </w:rPr>
              <w:t>8.4</w:t>
            </w:r>
          </w:p>
        </w:tc>
        <w:tc>
          <w:tcPr>
            <w:tcW w:w="1197" w:type="dxa"/>
            <w:tcBorders>
              <w:top w:val="nil"/>
              <w:left w:val="nil"/>
              <w:bottom w:val="nil"/>
              <w:right w:val="nil"/>
            </w:tcBorders>
            <w:shd w:val="clear" w:color="auto" w:fill="auto"/>
            <w:noWrap/>
            <w:vAlign w:val="bottom"/>
            <w:hideMark/>
          </w:tcPr>
          <w:p w14:paraId="6784D86D" w14:textId="77777777" w:rsidR="008A1E55" w:rsidRPr="006B42D6" w:rsidRDefault="008A1E55" w:rsidP="00E16CAE">
            <w:pPr>
              <w:jc w:val="right"/>
              <w:rPr>
                <w:sz w:val="15"/>
                <w:szCs w:val="15"/>
              </w:rPr>
            </w:pPr>
            <w:r w:rsidRPr="006B42D6">
              <w:rPr>
                <w:sz w:val="15"/>
                <w:szCs w:val="15"/>
              </w:rPr>
              <w:t>0.68</w:t>
            </w:r>
          </w:p>
        </w:tc>
        <w:tc>
          <w:tcPr>
            <w:tcW w:w="1197" w:type="dxa"/>
            <w:tcBorders>
              <w:top w:val="nil"/>
              <w:left w:val="nil"/>
              <w:bottom w:val="nil"/>
              <w:right w:val="nil"/>
            </w:tcBorders>
            <w:shd w:val="clear" w:color="auto" w:fill="auto"/>
            <w:noWrap/>
            <w:vAlign w:val="bottom"/>
            <w:hideMark/>
          </w:tcPr>
          <w:p w14:paraId="6E6FADF4" w14:textId="77777777" w:rsidR="008A1E55" w:rsidRPr="006B42D6" w:rsidRDefault="008A1E55" w:rsidP="00E16CAE">
            <w:pPr>
              <w:jc w:val="right"/>
              <w:rPr>
                <w:sz w:val="15"/>
                <w:szCs w:val="15"/>
              </w:rPr>
            </w:pPr>
            <w:r w:rsidRPr="006B42D6">
              <w:rPr>
                <w:sz w:val="15"/>
                <w:szCs w:val="15"/>
              </w:rPr>
              <w:t>-</w:t>
            </w:r>
          </w:p>
        </w:tc>
        <w:tc>
          <w:tcPr>
            <w:tcW w:w="1197" w:type="dxa"/>
            <w:tcBorders>
              <w:top w:val="nil"/>
              <w:left w:val="nil"/>
              <w:bottom w:val="nil"/>
              <w:right w:val="nil"/>
            </w:tcBorders>
            <w:shd w:val="clear" w:color="auto" w:fill="auto"/>
            <w:noWrap/>
            <w:vAlign w:val="bottom"/>
            <w:hideMark/>
          </w:tcPr>
          <w:p w14:paraId="4D715A1C" w14:textId="77777777" w:rsidR="008A1E55" w:rsidRPr="006B42D6" w:rsidRDefault="008A1E55" w:rsidP="00E16CAE">
            <w:pPr>
              <w:jc w:val="right"/>
              <w:rPr>
                <w:sz w:val="15"/>
                <w:szCs w:val="15"/>
              </w:rPr>
            </w:pPr>
            <w:r w:rsidRPr="006B42D6">
              <w:rPr>
                <w:sz w:val="15"/>
                <w:szCs w:val="15"/>
              </w:rPr>
              <w:t>4.0</w:t>
            </w:r>
          </w:p>
        </w:tc>
        <w:tc>
          <w:tcPr>
            <w:tcW w:w="1192" w:type="dxa"/>
            <w:tcBorders>
              <w:top w:val="nil"/>
              <w:left w:val="nil"/>
              <w:bottom w:val="nil"/>
              <w:right w:val="nil"/>
            </w:tcBorders>
            <w:shd w:val="clear" w:color="auto" w:fill="auto"/>
            <w:noWrap/>
            <w:vAlign w:val="bottom"/>
            <w:hideMark/>
          </w:tcPr>
          <w:p w14:paraId="109AB061" w14:textId="77777777" w:rsidR="008A1E55" w:rsidRPr="006B42D6" w:rsidRDefault="008A1E55" w:rsidP="00E16CAE">
            <w:pPr>
              <w:jc w:val="right"/>
              <w:rPr>
                <w:sz w:val="15"/>
                <w:szCs w:val="15"/>
              </w:rPr>
            </w:pPr>
            <w:r w:rsidRPr="006B42D6">
              <w:rPr>
                <w:sz w:val="15"/>
                <w:szCs w:val="15"/>
              </w:rPr>
              <w:t>3.8</w:t>
            </w:r>
          </w:p>
        </w:tc>
        <w:tc>
          <w:tcPr>
            <w:tcW w:w="1201" w:type="dxa"/>
            <w:tcBorders>
              <w:top w:val="nil"/>
              <w:left w:val="nil"/>
              <w:bottom w:val="nil"/>
              <w:right w:val="nil"/>
            </w:tcBorders>
            <w:shd w:val="clear" w:color="auto" w:fill="auto"/>
            <w:noWrap/>
            <w:vAlign w:val="bottom"/>
            <w:hideMark/>
          </w:tcPr>
          <w:p w14:paraId="196D224D" w14:textId="77777777" w:rsidR="008A1E55" w:rsidRPr="006B42D6" w:rsidRDefault="008A1E55" w:rsidP="00E16CAE">
            <w:pPr>
              <w:jc w:val="right"/>
              <w:rPr>
                <w:sz w:val="15"/>
                <w:szCs w:val="15"/>
              </w:rPr>
            </w:pPr>
            <w:r w:rsidRPr="006B42D6">
              <w:rPr>
                <w:sz w:val="15"/>
                <w:szCs w:val="15"/>
              </w:rPr>
              <w:t>3.8</w:t>
            </w:r>
          </w:p>
        </w:tc>
      </w:tr>
      <w:tr w:rsidR="006B42D6" w:rsidRPr="006B42D6" w14:paraId="7BB7C331" w14:textId="77777777" w:rsidTr="00355DF7">
        <w:trPr>
          <w:trHeight w:val="283"/>
        </w:trPr>
        <w:tc>
          <w:tcPr>
            <w:tcW w:w="1530" w:type="dxa"/>
            <w:tcBorders>
              <w:top w:val="nil"/>
              <w:left w:val="nil"/>
              <w:bottom w:val="nil"/>
              <w:right w:val="nil"/>
            </w:tcBorders>
            <w:shd w:val="clear" w:color="auto" w:fill="auto"/>
            <w:noWrap/>
            <w:vAlign w:val="bottom"/>
            <w:hideMark/>
          </w:tcPr>
          <w:p w14:paraId="75DD44C1" w14:textId="77777777" w:rsidR="008A1E55" w:rsidRPr="006B42D6" w:rsidRDefault="008A1E55" w:rsidP="00E16CAE">
            <w:pPr>
              <w:rPr>
                <w:sz w:val="15"/>
                <w:szCs w:val="15"/>
              </w:rPr>
            </w:pPr>
            <w:r w:rsidRPr="006B42D6">
              <w:rPr>
                <w:sz w:val="15"/>
                <w:szCs w:val="15"/>
              </w:rPr>
              <w:t>Morogoro</w:t>
            </w:r>
          </w:p>
        </w:tc>
        <w:tc>
          <w:tcPr>
            <w:tcW w:w="987" w:type="dxa"/>
            <w:tcBorders>
              <w:top w:val="nil"/>
              <w:left w:val="nil"/>
              <w:bottom w:val="nil"/>
              <w:right w:val="nil"/>
            </w:tcBorders>
            <w:shd w:val="clear" w:color="auto" w:fill="auto"/>
            <w:noWrap/>
            <w:vAlign w:val="bottom"/>
            <w:hideMark/>
          </w:tcPr>
          <w:p w14:paraId="44A386FD" w14:textId="77777777" w:rsidR="008A1E55" w:rsidRPr="006B42D6" w:rsidRDefault="008A1E55" w:rsidP="00E16CAE">
            <w:pPr>
              <w:jc w:val="right"/>
              <w:rPr>
                <w:sz w:val="15"/>
                <w:szCs w:val="15"/>
              </w:rPr>
            </w:pPr>
            <w:r w:rsidRPr="006B42D6">
              <w:rPr>
                <w:sz w:val="15"/>
                <w:szCs w:val="15"/>
              </w:rPr>
              <w:t>5.2</w:t>
            </w:r>
          </w:p>
        </w:tc>
        <w:tc>
          <w:tcPr>
            <w:tcW w:w="1197" w:type="dxa"/>
            <w:tcBorders>
              <w:top w:val="nil"/>
              <w:left w:val="nil"/>
              <w:bottom w:val="nil"/>
              <w:right w:val="nil"/>
            </w:tcBorders>
            <w:shd w:val="clear" w:color="auto" w:fill="auto"/>
            <w:noWrap/>
            <w:vAlign w:val="bottom"/>
            <w:hideMark/>
          </w:tcPr>
          <w:p w14:paraId="507E80E2" w14:textId="77777777" w:rsidR="008A1E55" w:rsidRPr="006B42D6" w:rsidRDefault="008A1E55" w:rsidP="00E16CAE">
            <w:pPr>
              <w:jc w:val="right"/>
              <w:rPr>
                <w:sz w:val="15"/>
                <w:szCs w:val="15"/>
              </w:rPr>
            </w:pPr>
            <w:r w:rsidRPr="006B42D6">
              <w:rPr>
                <w:sz w:val="15"/>
                <w:szCs w:val="15"/>
              </w:rPr>
              <w:t>2.7</w:t>
            </w:r>
          </w:p>
        </w:tc>
        <w:tc>
          <w:tcPr>
            <w:tcW w:w="1197" w:type="dxa"/>
            <w:tcBorders>
              <w:top w:val="nil"/>
              <w:left w:val="nil"/>
              <w:bottom w:val="nil"/>
              <w:right w:val="nil"/>
            </w:tcBorders>
            <w:shd w:val="clear" w:color="auto" w:fill="auto"/>
            <w:noWrap/>
            <w:vAlign w:val="bottom"/>
            <w:hideMark/>
          </w:tcPr>
          <w:p w14:paraId="20234A4D" w14:textId="77777777" w:rsidR="008A1E55" w:rsidRPr="006B42D6" w:rsidRDefault="008A1E55" w:rsidP="00E16CAE">
            <w:pPr>
              <w:jc w:val="right"/>
              <w:rPr>
                <w:sz w:val="15"/>
                <w:szCs w:val="15"/>
              </w:rPr>
            </w:pPr>
            <w:r w:rsidRPr="006B42D6">
              <w:rPr>
                <w:sz w:val="15"/>
                <w:szCs w:val="15"/>
              </w:rPr>
              <w:t>1.15</w:t>
            </w:r>
          </w:p>
        </w:tc>
        <w:tc>
          <w:tcPr>
            <w:tcW w:w="1197" w:type="dxa"/>
            <w:tcBorders>
              <w:top w:val="nil"/>
              <w:left w:val="nil"/>
              <w:bottom w:val="nil"/>
              <w:right w:val="nil"/>
            </w:tcBorders>
            <w:shd w:val="clear" w:color="auto" w:fill="auto"/>
            <w:noWrap/>
            <w:vAlign w:val="bottom"/>
            <w:hideMark/>
          </w:tcPr>
          <w:p w14:paraId="04E62A8B" w14:textId="77777777" w:rsidR="008A1E55" w:rsidRPr="006B42D6" w:rsidRDefault="008A1E55" w:rsidP="00E16CAE">
            <w:pPr>
              <w:jc w:val="right"/>
              <w:rPr>
                <w:sz w:val="15"/>
                <w:szCs w:val="15"/>
              </w:rPr>
            </w:pPr>
            <w:r w:rsidRPr="006B42D6">
              <w:rPr>
                <w:sz w:val="15"/>
                <w:szCs w:val="15"/>
              </w:rPr>
              <w:t>4.2</w:t>
            </w:r>
          </w:p>
        </w:tc>
        <w:tc>
          <w:tcPr>
            <w:tcW w:w="1197" w:type="dxa"/>
            <w:tcBorders>
              <w:top w:val="nil"/>
              <w:left w:val="nil"/>
              <w:bottom w:val="nil"/>
              <w:right w:val="nil"/>
            </w:tcBorders>
            <w:shd w:val="clear" w:color="auto" w:fill="auto"/>
            <w:noWrap/>
            <w:vAlign w:val="bottom"/>
            <w:hideMark/>
          </w:tcPr>
          <w:p w14:paraId="0CFABD50" w14:textId="77777777" w:rsidR="008A1E55" w:rsidRPr="006B42D6" w:rsidRDefault="008A1E55" w:rsidP="00E16CAE">
            <w:pPr>
              <w:jc w:val="right"/>
              <w:rPr>
                <w:sz w:val="15"/>
                <w:szCs w:val="15"/>
              </w:rPr>
            </w:pPr>
            <w:r w:rsidRPr="006B42D6">
              <w:rPr>
                <w:sz w:val="15"/>
                <w:szCs w:val="15"/>
              </w:rPr>
              <w:t>1.9</w:t>
            </w:r>
          </w:p>
        </w:tc>
        <w:tc>
          <w:tcPr>
            <w:tcW w:w="1192" w:type="dxa"/>
            <w:tcBorders>
              <w:top w:val="nil"/>
              <w:left w:val="nil"/>
              <w:bottom w:val="nil"/>
              <w:right w:val="nil"/>
            </w:tcBorders>
            <w:shd w:val="clear" w:color="auto" w:fill="auto"/>
            <w:noWrap/>
            <w:vAlign w:val="bottom"/>
            <w:hideMark/>
          </w:tcPr>
          <w:p w14:paraId="0A3D5CFD" w14:textId="77777777" w:rsidR="008A1E55" w:rsidRPr="006B42D6" w:rsidRDefault="008A1E55" w:rsidP="00E16CAE">
            <w:pPr>
              <w:jc w:val="right"/>
              <w:rPr>
                <w:sz w:val="15"/>
                <w:szCs w:val="15"/>
              </w:rPr>
            </w:pPr>
            <w:r w:rsidRPr="006B42D6">
              <w:rPr>
                <w:sz w:val="15"/>
                <w:szCs w:val="15"/>
              </w:rPr>
              <w:t>5.9</w:t>
            </w:r>
          </w:p>
        </w:tc>
        <w:tc>
          <w:tcPr>
            <w:tcW w:w="1201" w:type="dxa"/>
            <w:tcBorders>
              <w:top w:val="nil"/>
              <w:left w:val="nil"/>
              <w:bottom w:val="nil"/>
              <w:right w:val="nil"/>
            </w:tcBorders>
            <w:shd w:val="clear" w:color="auto" w:fill="auto"/>
            <w:noWrap/>
            <w:vAlign w:val="bottom"/>
            <w:hideMark/>
          </w:tcPr>
          <w:p w14:paraId="6F250EDA" w14:textId="77777777" w:rsidR="008A1E55" w:rsidRPr="006B42D6" w:rsidRDefault="008A1E55" w:rsidP="00E16CAE">
            <w:pPr>
              <w:jc w:val="right"/>
              <w:rPr>
                <w:sz w:val="15"/>
                <w:szCs w:val="15"/>
              </w:rPr>
            </w:pPr>
            <w:r w:rsidRPr="006B42D6">
              <w:rPr>
                <w:sz w:val="15"/>
                <w:szCs w:val="15"/>
              </w:rPr>
              <w:t>16.1</w:t>
            </w:r>
          </w:p>
        </w:tc>
      </w:tr>
      <w:tr w:rsidR="006B42D6" w:rsidRPr="006B42D6" w14:paraId="0396119E" w14:textId="77777777" w:rsidTr="00355DF7">
        <w:trPr>
          <w:trHeight w:val="283"/>
        </w:trPr>
        <w:tc>
          <w:tcPr>
            <w:tcW w:w="1530" w:type="dxa"/>
            <w:tcBorders>
              <w:top w:val="nil"/>
              <w:left w:val="nil"/>
              <w:bottom w:val="nil"/>
              <w:right w:val="nil"/>
            </w:tcBorders>
            <w:shd w:val="clear" w:color="auto" w:fill="auto"/>
            <w:noWrap/>
            <w:vAlign w:val="bottom"/>
            <w:hideMark/>
          </w:tcPr>
          <w:p w14:paraId="53C834B2" w14:textId="77777777" w:rsidR="008A1E55" w:rsidRPr="006B42D6" w:rsidRDefault="008A1E55" w:rsidP="00E16CAE">
            <w:pPr>
              <w:rPr>
                <w:sz w:val="15"/>
                <w:szCs w:val="15"/>
              </w:rPr>
            </w:pPr>
            <w:r w:rsidRPr="006B42D6">
              <w:rPr>
                <w:sz w:val="15"/>
                <w:szCs w:val="15"/>
              </w:rPr>
              <w:t>Pwani</w:t>
            </w:r>
          </w:p>
        </w:tc>
        <w:tc>
          <w:tcPr>
            <w:tcW w:w="987" w:type="dxa"/>
            <w:tcBorders>
              <w:top w:val="nil"/>
              <w:left w:val="nil"/>
              <w:bottom w:val="nil"/>
              <w:right w:val="nil"/>
            </w:tcBorders>
            <w:shd w:val="clear" w:color="auto" w:fill="auto"/>
            <w:noWrap/>
            <w:vAlign w:val="bottom"/>
            <w:hideMark/>
          </w:tcPr>
          <w:p w14:paraId="429A8148" w14:textId="77777777" w:rsidR="008A1E55" w:rsidRPr="006B42D6" w:rsidRDefault="008A1E55" w:rsidP="00E16CAE">
            <w:pPr>
              <w:jc w:val="right"/>
              <w:rPr>
                <w:sz w:val="15"/>
                <w:szCs w:val="15"/>
              </w:rPr>
            </w:pPr>
            <w:r w:rsidRPr="006B42D6">
              <w:rPr>
                <w:sz w:val="15"/>
                <w:szCs w:val="15"/>
              </w:rPr>
              <w:t>2.4</w:t>
            </w:r>
          </w:p>
        </w:tc>
        <w:tc>
          <w:tcPr>
            <w:tcW w:w="1197" w:type="dxa"/>
            <w:tcBorders>
              <w:top w:val="nil"/>
              <w:left w:val="nil"/>
              <w:bottom w:val="nil"/>
              <w:right w:val="nil"/>
            </w:tcBorders>
            <w:shd w:val="clear" w:color="auto" w:fill="auto"/>
            <w:noWrap/>
            <w:vAlign w:val="bottom"/>
            <w:hideMark/>
          </w:tcPr>
          <w:p w14:paraId="3C5E8138" w14:textId="77777777" w:rsidR="008A1E55" w:rsidRPr="006B42D6" w:rsidRDefault="008A1E55" w:rsidP="00E16CAE">
            <w:pPr>
              <w:jc w:val="right"/>
              <w:rPr>
                <w:sz w:val="15"/>
                <w:szCs w:val="15"/>
              </w:rPr>
            </w:pPr>
            <w:r w:rsidRPr="006B42D6">
              <w:rPr>
                <w:sz w:val="15"/>
                <w:szCs w:val="15"/>
              </w:rPr>
              <w:t>4.8</w:t>
            </w:r>
          </w:p>
        </w:tc>
        <w:tc>
          <w:tcPr>
            <w:tcW w:w="1197" w:type="dxa"/>
            <w:tcBorders>
              <w:top w:val="nil"/>
              <w:left w:val="nil"/>
              <w:bottom w:val="nil"/>
              <w:right w:val="nil"/>
            </w:tcBorders>
            <w:shd w:val="clear" w:color="auto" w:fill="auto"/>
            <w:noWrap/>
            <w:vAlign w:val="bottom"/>
            <w:hideMark/>
          </w:tcPr>
          <w:p w14:paraId="109027EC" w14:textId="77777777" w:rsidR="008A1E55" w:rsidRPr="006B42D6" w:rsidRDefault="008A1E55" w:rsidP="00E16CAE">
            <w:pPr>
              <w:jc w:val="right"/>
              <w:rPr>
                <w:sz w:val="15"/>
                <w:szCs w:val="15"/>
              </w:rPr>
            </w:pPr>
            <w:r w:rsidRPr="006B42D6">
              <w:rPr>
                <w:sz w:val="15"/>
                <w:szCs w:val="15"/>
              </w:rPr>
              <w:t>7.94</w:t>
            </w:r>
          </w:p>
        </w:tc>
        <w:tc>
          <w:tcPr>
            <w:tcW w:w="1197" w:type="dxa"/>
            <w:tcBorders>
              <w:top w:val="nil"/>
              <w:left w:val="nil"/>
              <w:bottom w:val="nil"/>
              <w:right w:val="nil"/>
            </w:tcBorders>
            <w:shd w:val="clear" w:color="auto" w:fill="auto"/>
            <w:noWrap/>
            <w:vAlign w:val="bottom"/>
            <w:hideMark/>
          </w:tcPr>
          <w:p w14:paraId="055855C4" w14:textId="77777777" w:rsidR="008A1E55" w:rsidRPr="006B42D6" w:rsidRDefault="008A1E55" w:rsidP="00E16CAE">
            <w:pPr>
              <w:jc w:val="right"/>
              <w:rPr>
                <w:sz w:val="15"/>
                <w:szCs w:val="15"/>
              </w:rPr>
            </w:pPr>
            <w:r w:rsidRPr="006B42D6">
              <w:rPr>
                <w:sz w:val="15"/>
                <w:szCs w:val="15"/>
              </w:rPr>
              <w:t>-</w:t>
            </w:r>
          </w:p>
        </w:tc>
        <w:tc>
          <w:tcPr>
            <w:tcW w:w="1197" w:type="dxa"/>
            <w:tcBorders>
              <w:top w:val="nil"/>
              <w:left w:val="nil"/>
              <w:bottom w:val="nil"/>
              <w:right w:val="nil"/>
            </w:tcBorders>
            <w:shd w:val="clear" w:color="auto" w:fill="auto"/>
            <w:noWrap/>
            <w:vAlign w:val="bottom"/>
            <w:hideMark/>
          </w:tcPr>
          <w:p w14:paraId="28DEE931" w14:textId="77777777" w:rsidR="008A1E55" w:rsidRPr="006B42D6" w:rsidRDefault="008A1E55" w:rsidP="00E16CAE">
            <w:pPr>
              <w:jc w:val="right"/>
              <w:rPr>
                <w:sz w:val="15"/>
                <w:szCs w:val="15"/>
              </w:rPr>
            </w:pPr>
            <w:r w:rsidRPr="006B42D6">
              <w:rPr>
                <w:sz w:val="15"/>
                <w:szCs w:val="15"/>
              </w:rPr>
              <w:t>5.1</w:t>
            </w:r>
          </w:p>
        </w:tc>
        <w:tc>
          <w:tcPr>
            <w:tcW w:w="1192" w:type="dxa"/>
            <w:tcBorders>
              <w:top w:val="nil"/>
              <w:left w:val="nil"/>
              <w:bottom w:val="nil"/>
              <w:right w:val="nil"/>
            </w:tcBorders>
            <w:shd w:val="clear" w:color="auto" w:fill="auto"/>
            <w:noWrap/>
            <w:vAlign w:val="bottom"/>
            <w:hideMark/>
          </w:tcPr>
          <w:p w14:paraId="0AA4BDFE" w14:textId="77777777" w:rsidR="008A1E55" w:rsidRPr="006B42D6" w:rsidRDefault="008A1E55" w:rsidP="00E16CAE">
            <w:pPr>
              <w:jc w:val="right"/>
              <w:rPr>
                <w:sz w:val="15"/>
                <w:szCs w:val="15"/>
              </w:rPr>
            </w:pPr>
            <w:r w:rsidRPr="006B42D6">
              <w:rPr>
                <w:sz w:val="15"/>
                <w:szCs w:val="15"/>
              </w:rPr>
              <w:t>3.5</w:t>
            </w:r>
          </w:p>
        </w:tc>
        <w:tc>
          <w:tcPr>
            <w:tcW w:w="1201" w:type="dxa"/>
            <w:tcBorders>
              <w:top w:val="nil"/>
              <w:left w:val="nil"/>
              <w:bottom w:val="nil"/>
              <w:right w:val="nil"/>
            </w:tcBorders>
            <w:shd w:val="clear" w:color="auto" w:fill="auto"/>
            <w:noWrap/>
            <w:vAlign w:val="bottom"/>
            <w:hideMark/>
          </w:tcPr>
          <w:p w14:paraId="6D196DCC" w14:textId="77777777" w:rsidR="008A1E55" w:rsidRPr="006B42D6" w:rsidRDefault="008A1E55" w:rsidP="00E16CAE">
            <w:pPr>
              <w:jc w:val="right"/>
              <w:rPr>
                <w:sz w:val="15"/>
                <w:szCs w:val="15"/>
              </w:rPr>
            </w:pPr>
            <w:r w:rsidRPr="006B42D6">
              <w:rPr>
                <w:sz w:val="15"/>
                <w:szCs w:val="15"/>
              </w:rPr>
              <w:t>0.2</w:t>
            </w:r>
          </w:p>
        </w:tc>
      </w:tr>
      <w:tr w:rsidR="006B42D6" w:rsidRPr="006B42D6" w14:paraId="351A03AC" w14:textId="77777777" w:rsidTr="00355DF7">
        <w:trPr>
          <w:trHeight w:val="283"/>
        </w:trPr>
        <w:tc>
          <w:tcPr>
            <w:tcW w:w="1530" w:type="dxa"/>
            <w:tcBorders>
              <w:top w:val="nil"/>
              <w:left w:val="nil"/>
              <w:bottom w:val="nil"/>
              <w:right w:val="nil"/>
            </w:tcBorders>
            <w:shd w:val="clear" w:color="auto" w:fill="auto"/>
            <w:noWrap/>
            <w:vAlign w:val="bottom"/>
            <w:hideMark/>
          </w:tcPr>
          <w:p w14:paraId="2F2E7A18" w14:textId="77777777" w:rsidR="008A1E55" w:rsidRPr="006B42D6" w:rsidRDefault="008A1E55" w:rsidP="00E16CAE">
            <w:pPr>
              <w:rPr>
                <w:sz w:val="15"/>
                <w:szCs w:val="15"/>
              </w:rPr>
            </w:pPr>
            <w:r w:rsidRPr="006B42D6">
              <w:rPr>
                <w:sz w:val="15"/>
                <w:szCs w:val="15"/>
              </w:rPr>
              <w:t>Dar-es-salaam</w:t>
            </w:r>
          </w:p>
        </w:tc>
        <w:tc>
          <w:tcPr>
            <w:tcW w:w="987" w:type="dxa"/>
            <w:tcBorders>
              <w:top w:val="nil"/>
              <w:left w:val="nil"/>
              <w:bottom w:val="nil"/>
              <w:right w:val="nil"/>
            </w:tcBorders>
            <w:shd w:val="clear" w:color="auto" w:fill="auto"/>
            <w:noWrap/>
            <w:vAlign w:val="bottom"/>
            <w:hideMark/>
          </w:tcPr>
          <w:p w14:paraId="250EBE31" w14:textId="77777777" w:rsidR="008A1E55" w:rsidRPr="006B42D6" w:rsidRDefault="008A1E55" w:rsidP="00E16CAE">
            <w:pPr>
              <w:jc w:val="right"/>
              <w:rPr>
                <w:sz w:val="15"/>
                <w:szCs w:val="15"/>
              </w:rPr>
            </w:pPr>
            <w:r w:rsidRPr="006B42D6">
              <w:rPr>
                <w:sz w:val="15"/>
                <w:szCs w:val="15"/>
              </w:rPr>
              <w:t>0.5</w:t>
            </w:r>
          </w:p>
        </w:tc>
        <w:tc>
          <w:tcPr>
            <w:tcW w:w="1197" w:type="dxa"/>
            <w:tcBorders>
              <w:top w:val="nil"/>
              <w:left w:val="nil"/>
              <w:bottom w:val="nil"/>
              <w:right w:val="nil"/>
            </w:tcBorders>
            <w:shd w:val="clear" w:color="auto" w:fill="auto"/>
            <w:noWrap/>
            <w:vAlign w:val="bottom"/>
            <w:hideMark/>
          </w:tcPr>
          <w:p w14:paraId="41A31E9D" w14:textId="77777777" w:rsidR="008A1E55" w:rsidRPr="006B42D6" w:rsidRDefault="008A1E55" w:rsidP="00E16CAE">
            <w:pPr>
              <w:jc w:val="right"/>
              <w:rPr>
                <w:sz w:val="15"/>
                <w:szCs w:val="15"/>
              </w:rPr>
            </w:pPr>
            <w:r w:rsidRPr="006B42D6">
              <w:rPr>
                <w:sz w:val="15"/>
                <w:szCs w:val="15"/>
              </w:rPr>
              <w:t>-</w:t>
            </w:r>
          </w:p>
        </w:tc>
        <w:tc>
          <w:tcPr>
            <w:tcW w:w="1197" w:type="dxa"/>
            <w:tcBorders>
              <w:top w:val="nil"/>
              <w:left w:val="nil"/>
              <w:bottom w:val="nil"/>
              <w:right w:val="nil"/>
            </w:tcBorders>
            <w:shd w:val="clear" w:color="auto" w:fill="auto"/>
            <w:noWrap/>
            <w:vAlign w:val="bottom"/>
            <w:hideMark/>
          </w:tcPr>
          <w:p w14:paraId="29DA4B72" w14:textId="77777777" w:rsidR="008A1E55" w:rsidRPr="006B42D6" w:rsidRDefault="008A1E55" w:rsidP="00E16CAE">
            <w:pPr>
              <w:jc w:val="right"/>
              <w:rPr>
                <w:sz w:val="15"/>
                <w:szCs w:val="15"/>
              </w:rPr>
            </w:pPr>
            <w:r w:rsidRPr="006B42D6">
              <w:rPr>
                <w:sz w:val="15"/>
                <w:szCs w:val="15"/>
              </w:rPr>
              <w:t>-</w:t>
            </w:r>
          </w:p>
        </w:tc>
        <w:tc>
          <w:tcPr>
            <w:tcW w:w="1197" w:type="dxa"/>
            <w:tcBorders>
              <w:top w:val="nil"/>
              <w:left w:val="nil"/>
              <w:bottom w:val="nil"/>
              <w:right w:val="nil"/>
            </w:tcBorders>
            <w:shd w:val="clear" w:color="auto" w:fill="auto"/>
            <w:noWrap/>
            <w:vAlign w:val="bottom"/>
            <w:hideMark/>
          </w:tcPr>
          <w:p w14:paraId="368D2929" w14:textId="77777777" w:rsidR="008A1E55" w:rsidRPr="006B42D6" w:rsidRDefault="008A1E55" w:rsidP="00E16CAE">
            <w:pPr>
              <w:jc w:val="right"/>
              <w:rPr>
                <w:sz w:val="15"/>
                <w:szCs w:val="15"/>
              </w:rPr>
            </w:pPr>
            <w:r w:rsidRPr="006B42D6">
              <w:rPr>
                <w:sz w:val="15"/>
                <w:szCs w:val="15"/>
              </w:rPr>
              <w:t>-</w:t>
            </w:r>
          </w:p>
        </w:tc>
        <w:tc>
          <w:tcPr>
            <w:tcW w:w="1197" w:type="dxa"/>
            <w:tcBorders>
              <w:top w:val="nil"/>
              <w:left w:val="nil"/>
              <w:bottom w:val="nil"/>
              <w:right w:val="nil"/>
            </w:tcBorders>
            <w:shd w:val="clear" w:color="auto" w:fill="auto"/>
            <w:noWrap/>
            <w:vAlign w:val="bottom"/>
            <w:hideMark/>
          </w:tcPr>
          <w:p w14:paraId="6070CE14" w14:textId="77777777" w:rsidR="008A1E55" w:rsidRPr="006B42D6" w:rsidRDefault="008A1E55" w:rsidP="00E16CAE">
            <w:pPr>
              <w:jc w:val="right"/>
              <w:rPr>
                <w:sz w:val="15"/>
                <w:szCs w:val="15"/>
              </w:rPr>
            </w:pPr>
            <w:r w:rsidRPr="006B42D6">
              <w:rPr>
                <w:sz w:val="15"/>
                <w:szCs w:val="15"/>
              </w:rPr>
              <w:t>37.8</w:t>
            </w:r>
          </w:p>
        </w:tc>
        <w:tc>
          <w:tcPr>
            <w:tcW w:w="1192" w:type="dxa"/>
            <w:tcBorders>
              <w:top w:val="nil"/>
              <w:left w:val="nil"/>
              <w:bottom w:val="nil"/>
              <w:right w:val="nil"/>
            </w:tcBorders>
            <w:shd w:val="clear" w:color="auto" w:fill="auto"/>
            <w:noWrap/>
            <w:vAlign w:val="bottom"/>
            <w:hideMark/>
          </w:tcPr>
          <w:p w14:paraId="629EBA58" w14:textId="77777777" w:rsidR="008A1E55" w:rsidRPr="006B42D6" w:rsidRDefault="008A1E55" w:rsidP="00E16CAE">
            <w:pPr>
              <w:jc w:val="right"/>
              <w:rPr>
                <w:sz w:val="15"/>
                <w:szCs w:val="15"/>
              </w:rPr>
            </w:pPr>
            <w:r w:rsidRPr="006B42D6">
              <w:rPr>
                <w:sz w:val="15"/>
                <w:szCs w:val="15"/>
              </w:rPr>
              <w:t>11.6</w:t>
            </w:r>
          </w:p>
        </w:tc>
        <w:tc>
          <w:tcPr>
            <w:tcW w:w="1201" w:type="dxa"/>
            <w:tcBorders>
              <w:top w:val="nil"/>
              <w:left w:val="nil"/>
              <w:bottom w:val="nil"/>
              <w:right w:val="nil"/>
            </w:tcBorders>
            <w:shd w:val="clear" w:color="auto" w:fill="auto"/>
            <w:noWrap/>
            <w:vAlign w:val="bottom"/>
            <w:hideMark/>
          </w:tcPr>
          <w:p w14:paraId="7E5F9D14" w14:textId="77777777" w:rsidR="008A1E55" w:rsidRPr="006B42D6" w:rsidRDefault="008A1E55" w:rsidP="00E16CAE">
            <w:pPr>
              <w:jc w:val="right"/>
              <w:rPr>
                <w:sz w:val="15"/>
                <w:szCs w:val="15"/>
              </w:rPr>
            </w:pPr>
            <w:r w:rsidRPr="006B42D6">
              <w:rPr>
                <w:sz w:val="15"/>
                <w:szCs w:val="15"/>
              </w:rPr>
              <w:t>3.4</w:t>
            </w:r>
          </w:p>
        </w:tc>
      </w:tr>
      <w:tr w:rsidR="006B42D6" w:rsidRPr="006B42D6" w14:paraId="216D7EA5" w14:textId="77777777" w:rsidTr="00355DF7">
        <w:trPr>
          <w:trHeight w:val="283"/>
        </w:trPr>
        <w:tc>
          <w:tcPr>
            <w:tcW w:w="1530" w:type="dxa"/>
            <w:tcBorders>
              <w:top w:val="nil"/>
              <w:left w:val="nil"/>
              <w:bottom w:val="nil"/>
              <w:right w:val="nil"/>
            </w:tcBorders>
            <w:shd w:val="clear" w:color="auto" w:fill="auto"/>
            <w:noWrap/>
            <w:vAlign w:val="bottom"/>
            <w:hideMark/>
          </w:tcPr>
          <w:p w14:paraId="420BBD9E" w14:textId="77777777" w:rsidR="008A1E55" w:rsidRPr="006B42D6" w:rsidRDefault="008A1E55" w:rsidP="00E16CAE">
            <w:pPr>
              <w:rPr>
                <w:sz w:val="15"/>
                <w:szCs w:val="15"/>
              </w:rPr>
            </w:pPr>
            <w:r w:rsidRPr="006B42D6">
              <w:rPr>
                <w:sz w:val="15"/>
                <w:szCs w:val="15"/>
              </w:rPr>
              <w:t>Lindi</w:t>
            </w:r>
          </w:p>
        </w:tc>
        <w:tc>
          <w:tcPr>
            <w:tcW w:w="987" w:type="dxa"/>
            <w:tcBorders>
              <w:top w:val="nil"/>
              <w:left w:val="nil"/>
              <w:bottom w:val="nil"/>
              <w:right w:val="nil"/>
            </w:tcBorders>
            <w:shd w:val="clear" w:color="auto" w:fill="auto"/>
            <w:noWrap/>
            <w:vAlign w:val="bottom"/>
            <w:hideMark/>
          </w:tcPr>
          <w:p w14:paraId="577631F6" w14:textId="77777777" w:rsidR="008A1E55" w:rsidRPr="006B42D6" w:rsidRDefault="008A1E55" w:rsidP="00E16CAE">
            <w:pPr>
              <w:jc w:val="right"/>
              <w:rPr>
                <w:sz w:val="15"/>
                <w:szCs w:val="15"/>
              </w:rPr>
            </w:pPr>
            <w:r w:rsidRPr="006B42D6">
              <w:rPr>
                <w:sz w:val="15"/>
                <w:szCs w:val="15"/>
              </w:rPr>
              <w:t>3.7</w:t>
            </w:r>
          </w:p>
        </w:tc>
        <w:tc>
          <w:tcPr>
            <w:tcW w:w="1197" w:type="dxa"/>
            <w:tcBorders>
              <w:top w:val="nil"/>
              <w:left w:val="nil"/>
              <w:bottom w:val="nil"/>
              <w:right w:val="nil"/>
            </w:tcBorders>
            <w:shd w:val="clear" w:color="auto" w:fill="auto"/>
            <w:noWrap/>
            <w:vAlign w:val="bottom"/>
            <w:hideMark/>
          </w:tcPr>
          <w:p w14:paraId="6C6782DB" w14:textId="77777777" w:rsidR="008A1E55" w:rsidRPr="006B42D6" w:rsidRDefault="008A1E55" w:rsidP="00E16CAE">
            <w:pPr>
              <w:jc w:val="right"/>
              <w:rPr>
                <w:sz w:val="15"/>
                <w:szCs w:val="15"/>
              </w:rPr>
            </w:pPr>
            <w:r w:rsidRPr="006B42D6">
              <w:rPr>
                <w:sz w:val="15"/>
                <w:szCs w:val="15"/>
              </w:rPr>
              <w:t>4.2</w:t>
            </w:r>
          </w:p>
        </w:tc>
        <w:tc>
          <w:tcPr>
            <w:tcW w:w="1197" w:type="dxa"/>
            <w:tcBorders>
              <w:top w:val="nil"/>
              <w:left w:val="nil"/>
              <w:bottom w:val="nil"/>
              <w:right w:val="nil"/>
            </w:tcBorders>
            <w:shd w:val="clear" w:color="auto" w:fill="auto"/>
            <w:noWrap/>
            <w:vAlign w:val="bottom"/>
            <w:hideMark/>
          </w:tcPr>
          <w:p w14:paraId="5A13F941" w14:textId="77777777" w:rsidR="008A1E55" w:rsidRPr="006B42D6" w:rsidRDefault="008A1E55" w:rsidP="00E16CAE">
            <w:pPr>
              <w:jc w:val="right"/>
              <w:rPr>
                <w:sz w:val="15"/>
                <w:szCs w:val="15"/>
              </w:rPr>
            </w:pPr>
            <w:r w:rsidRPr="006B42D6">
              <w:rPr>
                <w:sz w:val="15"/>
                <w:szCs w:val="15"/>
              </w:rPr>
              <w:t>-</w:t>
            </w:r>
          </w:p>
        </w:tc>
        <w:tc>
          <w:tcPr>
            <w:tcW w:w="1197" w:type="dxa"/>
            <w:tcBorders>
              <w:top w:val="nil"/>
              <w:left w:val="nil"/>
              <w:bottom w:val="nil"/>
              <w:right w:val="nil"/>
            </w:tcBorders>
            <w:shd w:val="clear" w:color="auto" w:fill="auto"/>
            <w:noWrap/>
            <w:vAlign w:val="bottom"/>
            <w:hideMark/>
          </w:tcPr>
          <w:p w14:paraId="4B4E0974" w14:textId="77777777" w:rsidR="008A1E55" w:rsidRPr="006B42D6" w:rsidRDefault="008A1E55" w:rsidP="00E16CAE">
            <w:pPr>
              <w:jc w:val="right"/>
              <w:rPr>
                <w:sz w:val="15"/>
                <w:szCs w:val="15"/>
              </w:rPr>
            </w:pPr>
            <w:r w:rsidRPr="006B42D6">
              <w:rPr>
                <w:sz w:val="15"/>
                <w:szCs w:val="15"/>
              </w:rPr>
              <w:t>-</w:t>
            </w:r>
          </w:p>
        </w:tc>
        <w:tc>
          <w:tcPr>
            <w:tcW w:w="1197" w:type="dxa"/>
            <w:tcBorders>
              <w:top w:val="nil"/>
              <w:left w:val="nil"/>
              <w:bottom w:val="nil"/>
              <w:right w:val="nil"/>
            </w:tcBorders>
            <w:shd w:val="clear" w:color="auto" w:fill="auto"/>
            <w:noWrap/>
            <w:vAlign w:val="bottom"/>
            <w:hideMark/>
          </w:tcPr>
          <w:p w14:paraId="0BCD94FD" w14:textId="77777777" w:rsidR="008A1E55" w:rsidRPr="006B42D6" w:rsidRDefault="008A1E55" w:rsidP="00E16CAE">
            <w:pPr>
              <w:jc w:val="right"/>
              <w:rPr>
                <w:sz w:val="15"/>
                <w:szCs w:val="15"/>
              </w:rPr>
            </w:pPr>
            <w:r w:rsidRPr="006B42D6">
              <w:rPr>
                <w:sz w:val="15"/>
                <w:szCs w:val="15"/>
              </w:rPr>
              <w:t>0.6</w:t>
            </w:r>
          </w:p>
        </w:tc>
        <w:tc>
          <w:tcPr>
            <w:tcW w:w="1192" w:type="dxa"/>
            <w:tcBorders>
              <w:top w:val="nil"/>
              <w:left w:val="nil"/>
              <w:bottom w:val="nil"/>
              <w:right w:val="nil"/>
            </w:tcBorders>
            <w:shd w:val="clear" w:color="auto" w:fill="auto"/>
            <w:noWrap/>
            <w:vAlign w:val="bottom"/>
            <w:hideMark/>
          </w:tcPr>
          <w:p w14:paraId="68D96C53" w14:textId="77777777" w:rsidR="008A1E55" w:rsidRPr="006B42D6" w:rsidRDefault="008A1E55" w:rsidP="00E16CAE">
            <w:pPr>
              <w:jc w:val="right"/>
              <w:rPr>
                <w:sz w:val="15"/>
                <w:szCs w:val="15"/>
              </w:rPr>
            </w:pPr>
            <w:r w:rsidRPr="006B42D6">
              <w:rPr>
                <w:sz w:val="15"/>
                <w:szCs w:val="15"/>
              </w:rPr>
              <w:t>2.1</w:t>
            </w:r>
          </w:p>
        </w:tc>
        <w:tc>
          <w:tcPr>
            <w:tcW w:w="1201" w:type="dxa"/>
            <w:tcBorders>
              <w:top w:val="nil"/>
              <w:left w:val="nil"/>
              <w:bottom w:val="nil"/>
              <w:right w:val="nil"/>
            </w:tcBorders>
            <w:shd w:val="clear" w:color="auto" w:fill="auto"/>
            <w:noWrap/>
            <w:vAlign w:val="bottom"/>
            <w:hideMark/>
          </w:tcPr>
          <w:p w14:paraId="781D91C1" w14:textId="77777777" w:rsidR="008A1E55" w:rsidRPr="006B42D6" w:rsidRDefault="008A1E55" w:rsidP="00E16CAE">
            <w:pPr>
              <w:jc w:val="right"/>
              <w:rPr>
                <w:sz w:val="15"/>
                <w:szCs w:val="15"/>
              </w:rPr>
            </w:pPr>
            <w:r w:rsidRPr="006B42D6">
              <w:rPr>
                <w:sz w:val="15"/>
                <w:szCs w:val="15"/>
              </w:rPr>
              <w:t>1.0</w:t>
            </w:r>
          </w:p>
        </w:tc>
      </w:tr>
      <w:tr w:rsidR="006B42D6" w:rsidRPr="006B42D6" w14:paraId="1593FBE4" w14:textId="77777777" w:rsidTr="00355DF7">
        <w:trPr>
          <w:trHeight w:val="283"/>
        </w:trPr>
        <w:tc>
          <w:tcPr>
            <w:tcW w:w="1530" w:type="dxa"/>
            <w:tcBorders>
              <w:top w:val="nil"/>
              <w:left w:val="nil"/>
              <w:bottom w:val="nil"/>
              <w:right w:val="nil"/>
            </w:tcBorders>
            <w:shd w:val="clear" w:color="auto" w:fill="auto"/>
            <w:noWrap/>
            <w:vAlign w:val="bottom"/>
            <w:hideMark/>
          </w:tcPr>
          <w:p w14:paraId="00A03837" w14:textId="77777777" w:rsidR="008A1E55" w:rsidRPr="006B42D6" w:rsidRDefault="008A1E55" w:rsidP="00E16CAE">
            <w:pPr>
              <w:rPr>
                <w:sz w:val="15"/>
                <w:szCs w:val="15"/>
              </w:rPr>
            </w:pPr>
            <w:r w:rsidRPr="006B42D6">
              <w:rPr>
                <w:sz w:val="15"/>
                <w:szCs w:val="15"/>
              </w:rPr>
              <w:t>Mtwara</w:t>
            </w:r>
          </w:p>
        </w:tc>
        <w:tc>
          <w:tcPr>
            <w:tcW w:w="987" w:type="dxa"/>
            <w:tcBorders>
              <w:top w:val="nil"/>
              <w:left w:val="nil"/>
              <w:bottom w:val="nil"/>
              <w:right w:val="nil"/>
            </w:tcBorders>
            <w:shd w:val="clear" w:color="auto" w:fill="auto"/>
            <w:noWrap/>
            <w:vAlign w:val="bottom"/>
            <w:hideMark/>
          </w:tcPr>
          <w:p w14:paraId="1D995945" w14:textId="77777777" w:rsidR="008A1E55" w:rsidRPr="006B42D6" w:rsidRDefault="008A1E55" w:rsidP="00E16CAE">
            <w:pPr>
              <w:jc w:val="right"/>
              <w:rPr>
                <w:sz w:val="15"/>
                <w:szCs w:val="15"/>
              </w:rPr>
            </w:pPr>
            <w:r w:rsidRPr="006B42D6">
              <w:rPr>
                <w:sz w:val="15"/>
                <w:szCs w:val="15"/>
              </w:rPr>
              <w:t>4.3</w:t>
            </w:r>
          </w:p>
        </w:tc>
        <w:tc>
          <w:tcPr>
            <w:tcW w:w="1197" w:type="dxa"/>
            <w:tcBorders>
              <w:top w:val="nil"/>
              <w:left w:val="nil"/>
              <w:bottom w:val="nil"/>
              <w:right w:val="nil"/>
            </w:tcBorders>
            <w:shd w:val="clear" w:color="auto" w:fill="auto"/>
            <w:noWrap/>
            <w:vAlign w:val="bottom"/>
            <w:hideMark/>
          </w:tcPr>
          <w:p w14:paraId="1F0263E4" w14:textId="77777777" w:rsidR="008A1E55" w:rsidRPr="006B42D6" w:rsidRDefault="008A1E55" w:rsidP="00E16CAE">
            <w:pPr>
              <w:jc w:val="right"/>
              <w:rPr>
                <w:sz w:val="15"/>
                <w:szCs w:val="15"/>
              </w:rPr>
            </w:pPr>
            <w:r w:rsidRPr="006B42D6">
              <w:rPr>
                <w:sz w:val="15"/>
                <w:szCs w:val="15"/>
              </w:rPr>
              <w:t>1.3</w:t>
            </w:r>
          </w:p>
        </w:tc>
        <w:tc>
          <w:tcPr>
            <w:tcW w:w="1197" w:type="dxa"/>
            <w:tcBorders>
              <w:top w:val="nil"/>
              <w:left w:val="nil"/>
              <w:bottom w:val="nil"/>
              <w:right w:val="nil"/>
            </w:tcBorders>
            <w:shd w:val="clear" w:color="auto" w:fill="auto"/>
            <w:noWrap/>
            <w:vAlign w:val="bottom"/>
            <w:hideMark/>
          </w:tcPr>
          <w:p w14:paraId="39BEED2B" w14:textId="77777777" w:rsidR="008A1E55" w:rsidRPr="006B42D6" w:rsidRDefault="008A1E55" w:rsidP="00E16CAE">
            <w:pPr>
              <w:jc w:val="right"/>
              <w:rPr>
                <w:sz w:val="15"/>
                <w:szCs w:val="15"/>
              </w:rPr>
            </w:pPr>
            <w:r w:rsidRPr="006B42D6">
              <w:rPr>
                <w:sz w:val="15"/>
                <w:szCs w:val="15"/>
              </w:rPr>
              <w:t>2.29</w:t>
            </w:r>
          </w:p>
        </w:tc>
        <w:tc>
          <w:tcPr>
            <w:tcW w:w="1197" w:type="dxa"/>
            <w:tcBorders>
              <w:top w:val="nil"/>
              <w:left w:val="nil"/>
              <w:bottom w:val="nil"/>
              <w:right w:val="nil"/>
            </w:tcBorders>
            <w:shd w:val="clear" w:color="auto" w:fill="auto"/>
            <w:noWrap/>
            <w:vAlign w:val="bottom"/>
            <w:hideMark/>
          </w:tcPr>
          <w:p w14:paraId="6C9D69D1" w14:textId="77777777" w:rsidR="008A1E55" w:rsidRPr="006B42D6" w:rsidRDefault="008A1E55" w:rsidP="00E16CAE">
            <w:pPr>
              <w:jc w:val="right"/>
              <w:rPr>
                <w:sz w:val="15"/>
                <w:szCs w:val="15"/>
              </w:rPr>
            </w:pPr>
            <w:r w:rsidRPr="006B42D6">
              <w:rPr>
                <w:sz w:val="15"/>
                <w:szCs w:val="15"/>
              </w:rPr>
              <w:t>2.0</w:t>
            </w:r>
          </w:p>
        </w:tc>
        <w:tc>
          <w:tcPr>
            <w:tcW w:w="1197" w:type="dxa"/>
            <w:tcBorders>
              <w:top w:val="nil"/>
              <w:left w:val="nil"/>
              <w:bottom w:val="nil"/>
              <w:right w:val="nil"/>
            </w:tcBorders>
            <w:shd w:val="clear" w:color="auto" w:fill="auto"/>
            <w:noWrap/>
            <w:vAlign w:val="bottom"/>
            <w:hideMark/>
          </w:tcPr>
          <w:p w14:paraId="6DF15B54" w14:textId="77777777" w:rsidR="008A1E55" w:rsidRPr="006B42D6" w:rsidRDefault="008A1E55" w:rsidP="00E16CAE">
            <w:pPr>
              <w:jc w:val="right"/>
              <w:rPr>
                <w:sz w:val="15"/>
                <w:szCs w:val="15"/>
              </w:rPr>
            </w:pPr>
            <w:r w:rsidRPr="006B42D6">
              <w:rPr>
                <w:sz w:val="15"/>
                <w:szCs w:val="15"/>
              </w:rPr>
              <w:t>1.4</w:t>
            </w:r>
          </w:p>
        </w:tc>
        <w:tc>
          <w:tcPr>
            <w:tcW w:w="1192" w:type="dxa"/>
            <w:tcBorders>
              <w:top w:val="nil"/>
              <w:left w:val="nil"/>
              <w:bottom w:val="nil"/>
              <w:right w:val="nil"/>
            </w:tcBorders>
            <w:shd w:val="clear" w:color="auto" w:fill="auto"/>
            <w:noWrap/>
            <w:vAlign w:val="bottom"/>
            <w:hideMark/>
          </w:tcPr>
          <w:p w14:paraId="5F498EA3" w14:textId="77777777" w:rsidR="008A1E55" w:rsidRPr="006B42D6" w:rsidRDefault="008A1E55" w:rsidP="00E16CAE">
            <w:pPr>
              <w:jc w:val="right"/>
              <w:rPr>
                <w:sz w:val="15"/>
                <w:szCs w:val="15"/>
              </w:rPr>
            </w:pPr>
            <w:r w:rsidRPr="006B42D6">
              <w:rPr>
                <w:sz w:val="15"/>
                <w:szCs w:val="15"/>
              </w:rPr>
              <w:t>3.8</w:t>
            </w:r>
          </w:p>
        </w:tc>
        <w:tc>
          <w:tcPr>
            <w:tcW w:w="1201" w:type="dxa"/>
            <w:tcBorders>
              <w:top w:val="nil"/>
              <w:left w:val="nil"/>
              <w:bottom w:val="nil"/>
              <w:right w:val="nil"/>
            </w:tcBorders>
            <w:shd w:val="clear" w:color="auto" w:fill="auto"/>
            <w:noWrap/>
            <w:vAlign w:val="bottom"/>
            <w:hideMark/>
          </w:tcPr>
          <w:p w14:paraId="23F1FD6D" w14:textId="77777777" w:rsidR="008A1E55" w:rsidRPr="006B42D6" w:rsidRDefault="008A1E55" w:rsidP="00E16CAE">
            <w:pPr>
              <w:jc w:val="right"/>
              <w:rPr>
                <w:sz w:val="15"/>
                <w:szCs w:val="15"/>
              </w:rPr>
            </w:pPr>
            <w:r w:rsidRPr="006B42D6">
              <w:rPr>
                <w:sz w:val="15"/>
                <w:szCs w:val="15"/>
              </w:rPr>
              <w:t>-</w:t>
            </w:r>
          </w:p>
        </w:tc>
      </w:tr>
      <w:tr w:rsidR="006B42D6" w:rsidRPr="006B42D6" w14:paraId="25E320F9" w14:textId="77777777" w:rsidTr="00355DF7">
        <w:trPr>
          <w:trHeight w:val="283"/>
        </w:trPr>
        <w:tc>
          <w:tcPr>
            <w:tcW w:w="1530" w:type="dxa"/>
            <w:tcBorders>
              <w:top w:val="nil"/>
              <w:left w:val="nil"/>
              <w:bottom w:val="nil"/>
              <w:right w:val="nil"/>
            </w:tcBorders>
            <w:shd w:val="clear" w:color="auto" w:fill="auto"/>
            <w:noWrap/>
            <w:vAlign w:val="bottom"/>
            <w:hideMark/>
          </w:tcPr>
          <w:p w14:paraId="693323A1" w14:textId="77777777" w:rsidR="008A1E55" w:rsidRPr="006B42D6" w:rsidRDefault="008A1E55" w:rsidP="00E16CAE">
            <w:pPr>
              <w:rPr>
                <w:sz w:val="15"/>
                <w:szCs w:val="15"/>
              </w:rPr>
            </w:pPr>
            <w:r w:rsidRPr="006B42D6">
              <w:rPr>
                <w:sz w:val="15"/>
                <w:szCs w:val="15"/>
              </w:rPr>
              <w:t>Ruvuma</w:t>
            </w:r>
          </w:p>
        </w:tc>
        <w:tc>
          <w:tcPr>
            <w:tcW w:w="987" w:type="dxa"/>
            <w:tcBorders>
              <w:top w:val="nil"/>
              <w:left w:val="nil"/>
              <w:bottom w:val="nil"/>
              <w:right w:val="nil"/>
            </w:tcBorders>
            <w:shd w:val="clear" w:color="auto" w:fill="auto"/>
            <w:noWrap/>
            <w:vAlign w:val="bottom"/>
            <w:hideMark/>
          </w:tcPr>
          <w:p w14:paraId="69EAD477" w14:textId="77777777" w:rsidR="008A1E55" w:rsidRPr="006B42D6" w:rsidRDefault="008A1E55" w:rsidP="00E16CAE">
            <w:pPr>
              <w:jc w:val="right"/>
              <w:rPr>
                <w:sz w:val="15"/>
                <w:szCs w:val="15"/>
              </w:rPr>
            </w:pPr>
            <w:r w:rsidRPr="006B42D6">
              <w:rPr>
                <w:sz w:val="15"/>
                <w:szCs w:val="15"/>
              </w:rPr>
              <w:t>4.7</w:t>
            </w:r>
          </w:p>
        </w:tc>
        <w:tc>
          <w:tcPr>
            <w:tcW w:w="1197" w:type="dxa"/>
            <w:tcBorders>
              <w:top w:val="nil"/>
              <w:left w:val="nil"/>
              <w:bottom w:val="nil"/>
              <w:right w:val="nil"/>
            </w:tcBorders>
            <w:shd w:val="clear" w:color="auto" w:fill="auto"/>
            <w:noWrap/>
            <w:vAlign w:val="bottom"/>
            <w:hideMark/>
          </w:tcPr>
          <w:p w14:paraId="70E5D888" w14:textId="77777777" w:rsidR="008A1E55" w:rsidRPr="006B42D6" w:rsidRDefault="008A1E55" w:rsidP="00E16CAE">
            <w:pPr>
              <w:jc w:val="right"/>
              <w:rPr>
                <w:sz w:val="15"/>
                <w:szCs w:val="15"/>
              </w:rPr>
            </w:pPr>
            <w:r w:rsidRPr="006B42D6">
              <w:rPr>
                <w:sz w:val="15"/>
                <w:szCs w:val="15"/>
              </w:rPr>
              <w:t>1.9</w:t>
            </w:r>
          </w:p>
        </w:tc>
        <w:tc>
          <w:tcPr>
            <w:tcW w:w="1197" w:type="dxa"/>
            <w:tcBorders>
              <w:top w:val="nil"/>
              <w:left w:val="nil"/>
              <w:bottom w:val="nil"/>
              <w:right w:val="nil"/>
            </w:tcBorders>
            <w:shd w:val="clear" w:color="auto" w:fill="auto"/>
            <w:noWrap/>
            <w:vAlign w:val="bottom"/>
            <w:hideMark/>
          </w:tcPr>
          <w:p w14:paraId="3CB0CA8C" w14:textId="77777777" w:rsidR="008A1E55" w:rsidRPr="006B42D6" w:rsidRDefault="008A1E55" w:rsidP="00E16CAE">
            <w:pPr>
              <w:jc w:val="right"/>
              <w:rPr>
                <w:sz w:val="15"/>
                <w:szCs w:val="15"/>
              </w:rPr>
            </w:pPr>
            <w:r w:rsidRPr="006B42D6">
              <w:rPr>
                <w:sz w:val="15"/>
                <w:szCs w:val="15"/>
              </w:rPr>
              <w:t>4.35</w:t>
            </w:r>
          </w:p>
        </w:tc>
        <w:tc>
          <w:tcPr>
            <w:tcW w:w="1197" w:type="dxa"/>
            <w:tcBorders>
              <w:top w:val="nil"/>
              <w:left w:val="nil"/>
              <w:bottom w:val="nil"/>
              <w:right w:val="nil"/>
            </w:tcBorders>
            <w:shd w:val="clear" w:color="auto" w:fill="auto"/>
            <w:noWrap/>
            <w:vAlign w:val="bottom"/>
            <w:hideMark/>
          </w:tcPr>
          <w:p w14:paraId="6557417C" w14:textId="77777777" w:rsidR="008A1E55" w:rsidRPr="006B42D6" w:rsidRDefault="008A1E55" w:rsidP="00E16CAE">
            <w:pPr>
              <w:jc w:val="right"/>
              <w:rPr>
                <w:sz w:val="15"/>
                <w:szCs w:val="15"/>
              </w:rPr>
            </w:pPr>
            <w:r w:rsidRPr="006B42D6">
              <w:rPr>
                <w:sz w:val="15"/>
                <w:szCs w:val="15"/>
              </w:rPr>
              <w:t>-</w:t>
            </w:r>
          </w:p>
        </w:tc>
        <w:tc>
          <w:tcPr>
            <w:tcW w:w="1197" w:type="dxa"/>
            <w:tcBorders>
              <w:top w:val="nil"/>
              <w:left w:val="nil"/>
              <w:bottom w:val="nil"/>
              <w:right w:val="nil"/>
            </w:tcBorders>
            <w:shd w:val="clear" w:color="auto" w:fill="auto"/>
            <w:noWrap/>
            <w:vAlign w:val="bottom"/>
            <w:hideMark/>
          </w:tcPr>
          <w:p w14:paraId="5F783013" w14:textId="77777777" w:rsidR="008A1E55" w:rsidRPr="006B42D6" w:rsidRDefault="008A1E55" w:rsidP="00E16CAE">
            <w:pPr>
              <w:jc w:val="right"/>
              <w:rPr>
                <w:sz w:val="15"/>
                <w:szCs w:val="15"/>
              </w:rPr>
            </w:pPr>
            <w:r w:rsidRPr="006B42D6">
              <w:rPr>
                <w:sz w:val="15"/>
                <w:szCs w:val="15"/>
              </w:rPr>
              <w:t>0.7</w:t>
            </w:r>
          </w:p>
        </w:tc>
        <w:tc>
          <w:tcPr>
            <w:tcW w:w="1192" w:type="dxa"/>
            <w:tcBorders>
              <w:top w:val="nil"/>
              <w:left w:val="nil"/>
              <w:bottom w:val="nil"/>
              <w:right w:val="nil"/>
            </w:tcBorders>
            <w:shd w:val="clear" w:color="auto" w:fill="auto"/>
            <w:noWrap/>
            <w:vAlign w:val="bottom"/>
            <w:hideMark/>
          </w:tcPr>
          <w:p w14:paraId="20D936AD" w14:textId="77777777" w:rsidR="008A1E55" w:rsidRPr="006B42D6" w:rsidRDefault="008A1E55" w:rsidP="00E16CAE">
            <w:pPr>
              <w:jc w:val="right"/>
              <w:rPr>
                <w:sz w:val="15"/>
                <w:szCs w:val="15"/>
              </w:rPr>
            </w:pPr>
            <w:r w:rsidRPr="006B42D6">
              <w:rPr>
                <w:sz w:val="15"/>
                <w:szCs w:val="15"/>
              </w:rPr>
              <w:t>4.0</w:t>
            </w:r>
          </w:p>
        </w:tc>
        <w:tc>
          <w:tcPr>
            <w:tcW w:w="1201" w:type="dxa"/>
            <w:tcBorders>
              <w:top w:val="nil"/>
              <w:left w:val="nil"/>
              <w:bottom w:val="nil"/>
              <w:right w:val="nil"/>
            </w:tcBorders>
            <w:shd w:val="clear" w:color="auto" w:fill="auto"/>
            <w:noWrap/>
            <w:vAlign w:val="bottom"/>
            <w:hideMark/>
          </w:tcPr>
          <w:p w14:paraId="4813424B" w14:textId="77777777" w:rsidR="008A1E55" w:rsidRPr="006B42D6" w:rsidRDefault="008A1E55" w:rsidP="00E16CAE">
            <w:pPr>
              <w:jc w:val="right"/>
              <w:rPr>
                <w:sz w:val="15"/>
                <w:szCs w:val="15"/>
              </w:rPr>
            </w:pPr>
            <w:r w:rsidRPr="006B42D6">
              <w:rPr>
                <w:sz w:val="15"/>
                <w:szCs w:val="15"/>
              </w:rPr>
              <w:t>5.8</w:t>
            </w:r>
          </w:p>
        </w:tc>
      </w:tr>
      <w:tr w:rsidR="006B42D6" w:rsidRPr="006B42D6" w14:paraId="249A1135" w14:textId="77777777" w:rsidTr="00355DF7">
        <w:trPr>
          <w:trHeight w:val="283"/>
        </w:trPr>
        <w:tc>
          <w:tcPr>
            <w:tcW w:w="1530" w:type="dxa"/>
            <w:tcBorders>
              <w:top w:val="nil"/>
              <w:left w:val="nil"/>
              <w:bottom w:val="nil"/>
              <w:right w:val="nil"/>
            </w:tcBorders>
            <w:shd w:val="clear" w:color="auto" w:fill="auto"/>
            <w:noWrap/>
            <w:vAlign w:val="bottom"/>
            <w:hideMark/>
          </w:tcPr>
          <w:p w14:paraId="1574AF40" w14:textId="77777777" w:rsidR="008A1E55" w:rsidRPr="006B42D6" w:rsidRDefault="008A1E55" w:rsidP="00E16CAE">
            <w:pPr>
              <w:rPr>
                <w:sz w:val="15"/>
                <w:szCs w:val="15"/>
              </w:rPr>
            </w:pPr>
            <w:r w:rsidRPr="006B42D6">
              <w:rPr>
                <w:sz w:val="15"/>
                <w:szCs w:val="15"/>
              </w:rPr>
              <w:t>Iringa</w:t>
            </w:r>
          </w:p>
        </w:tc>
        <w:tc>
          <w:tcPr>
            <w:tcW w:w="987" w:type="dxa"/>
            <w:tcBorders>
              <w:top w:val="nil"/>
              <w:left w:val="nil"/>
              <w:bottom w:val="nil"/>
              <w:right w:val="nil"/>
            </w:tcBorders>
            <w:shd w:val="clear" w:color="auto" w:fill="auto"/>
            <w:noWrap/>
            <w:vAlign w:val="bottom"/>
            <w:hideMark/>
          </w:tcPr>
          <w:p w14:paraId="3873E5F8" w14:textId="77777777" w:rsidR="008A1E55" w:rsidRPr="006B42D6" w:rsidRDefault="008A1E55" w:rsidP="00E16CAE">
            <w:pPr>
              <w:jc w:val="right"/>
              <w:rPr>
                <w:sz w:val="15"/>
                <w:szCs w:val="15"/>
              </w:rPr>
            </w:pPr>
            <w:r w:rsidRPr="006B42D6">
              <w:rPr>
                <w:sz w:val="15"/>
                <w:szCs w:val="15"/>
              </w:rPr>
              <w:t>2.1</w:t>
            </w:r>
          </w:p>
        </w:tc>
        <w:tc>
          <w:tcPr>
            <w:tcW w:w="1197" w:type="dxa"/>
            <w:tcBorders>
              <w:top w:val="nil"/>
              <w:left w:val="nil"/>
              <w:bottom w:val="nil"/>
              <w:right w:val="nil"/>
            </w:tcBorders>
            <w:shd w:val="clear" w:color="auto" w:fill="auto"/>
            <w:noWrap/>
            <w:vAlign w:val="bottom"/>
            <w:hideMark/>
          </w:tcPr>
          <w:p w14:paraId="514A2C04" w14:textId="77777777" w:rsidR="008A1E55" w:rsidRPr="006B42D6" w:rsidRDefault="008A1E55" w:rsidP="00E16CAE">
            <w:pPr>
              <w:jc w:val="right"/>
              <w:rPr>
                <w:sz w:val="15"/>
                <w:szCs w:val="15"/>
              </w:rPr>
            </w:pPr>
            <w:r w:rsidRPr="006B42D6">
              <w:rPr>
                <w:sz w:val="15"/>
                <w:szCs w:val="15"/>
              </w:rPr>
              <w:t>2.5</w:t>
            </w:r>
          </w:p>
        </w:tc>
        <w:tc>
          <w:tcPr>
            <w:tcW w:w="1197" w:type="dxa"/>
            <w:tcBorders>
              <w:top w:val="nil"/>
              <w:left w:val="nil"/>
              <w:bottom w:val="nil"/>
              <w:right w:val="nil"/>
            </w:tcBorders>
            <w:shd w:val="clear" w:color="auto" w:fill="auto"/>
            <w:noWrap/>
            <w:vAlign w:val="bottom"/>
            <w:hideMark/>
          </w:tcPr>
          <w:p w14:paraId="258775E3" w14:textId="77777777" w:rsidR="008A1E55" w:rsidRPr="006B42D6" w:rsidRDefault="008A1E55" w:rsidP="00E16CAE">
            <w:pPr>
              <w:jc w:val="right"/>
              <w:rPr>
                <w:sz w:val="15"/>
                <w:szCs w:val="15"/>
              </w:rPr>
            </w:pPr>
            <w:r w:rsidRPr="006B42D6">
              <w:rPr>
                <w:sz w:val="15"/>
                <w:szCs w:val="15"/>
              </w:rPr>
              <w:t>-</w:t>
            </w:r>
          </w:p>
        </w:tc>
        <w:tc>
          <w:tcPr>
            <w:tcW w:w="1197" w:type="dxa"/>
            <w:tcBorders>
              <w:top w:val="nil"/>
              <w:left w:val="nil"/>
              <w:bottom w:val="nil"/>
              <w:right w:val="nil"/>
            </w:tcBorders>
            <w:shd w:val="clear" w:color="auto" w:fill="auto"/>
            <w:noWrap/>
            <w:vAlign w:val="bottom"/>
            <w:hideMark/>
          </w:tcPr>
          <w:p w14:paraId="58C25689" w14:textId="77777777" w:rsidR="008A1E55" w:rsidRPr="006B42D6" w:rsidRDefault="008A1E55" w:rsidP="00E16CAE">
            <w:pPr>
              <w:jc w:val="right"/>
              <w:rPr>
                <w:sz w:val="15"/>
                <w:szCs w:val="15"/>
              </w:rPr>
            </w:pPr>
            <w:r w:rsidRPr="006B42D6">
              <w:rPr>
                <w:sz w:val="15"/>
                <w:szCs w:val="15"/>
              </w:rPr>
              <w:t>-</w:t>
            </w:r>
          </w:p>
        </w:tc>
        <w:tc>
          <w:tcPr>
            <w:tcW w:w="1197" w:type="dxa"/>
            <w:tcBorders>
              <w:top w:val="nil"/>
              <w:left w:val="nil"/>
              <w:bottom w:val="nil"/>
              <w:right w:val="nil"/>
            </w:tcBorders>
            <w:shd w:val="clear" w:color="auto" w:fill="auto"/>
            <w:noWrap/>
            <w:vAlign w:val="bottom"/>
            <w:hideMark/>
          </w:tcPr>
          <w:p w14:paraId="327EB424" w14:textId="77777777" w:rsidR="008A1E55" w:rsidRPr="006B42D6" w:rsidRDefault="008A1E55" w:rsidP="00E16CAE">
            <w:pPr>
              <w:jc w:val="right"/>
              <w:rPr>
                <w:sz w:val="15"/>
                <w:szCs w:val="15"/>
              </w:rPr>
            </w:pPr>
            <w:r w:rsidRPr="006B42D6">
              <w:rPr>
                <w:sz w:val="15"/>
                <w:szCs w:val="15"/>
              </w:rPr>
              <w:t>2.3</w:t>
            </w:r>
          </w:p>
        </w:tc>
        <w:tc>
          <w:tcPr>
            <w:tcW w:w="1192" w:type="dxa"/>
            <w:tcBorders>
              <w:top w:val="nil"/>
              <w:left w:val="nil"/>
              <w:bottom w:val="nil"/>
              <w:right w:val="nil"/>
            </w:tcBorders>
            <w:shd w:val="clear" w:color="auto" w:fill="auto"/>
            <w:noWrap/>
            <w:vAlign w:val="bottom"/>
            <w:hideMark/>
          </w:tcPr>
          <w:p w14:paraId="41D191E9" w14:textId="77777777" w:rsidR="008A1E55" w:rsidRPr="006B42D6" w:rsidRDefault="008A1E55" w:rsidP="00E16CAE">
            <w:pPr>
              <w:jc w:val="right"/>
              <w:rPr>
                <w:sz w:val="15"/>
                <w:szCs w:val="15"/>
              </w:rPr>
            </w:pPr>
            <w:r w:rsidRPr="006B42D6">
              <w:rPr>
                <w:sz w:val="15"/>
                <w:szCs w:val="15"/>
              </w:rPr>
              <w:t>3.9</w:t>
            </w:r>
          </w:p>
        </w:tc>
        <w:tc>
          <w:tcPr>
            <w:tcW w:w="1201" w:type="dxa"/>
            <w:tcBorders>
              <w:top w:val="nil"/>
              <w:left w:val="nil"/>
              <w:bottom w:val="nil"/>
              <w:right w:val="nil"/>
            </w:tcBorders>
            <w:shd w:val="clear" w:color="auto" w:fill="auto"/>
            <w:noWrap/>
            <w:vAlign w:val="bottom"/>
            <w:hideMark/>
          </w:tcPr>
          <w:p w14:paraId="1FD76067" w14:textId="77777777" w:rsidR="008A1E55" w:rsidRPr="006B42D6" w:rsidRDefault="008A1E55" w:rsidP="00E16CAE">
            <w:pPr>
              <w:jc w:val="right"/>
              <w:rPr>
                <w:sz w:val="15"/>
                <w:szCs w:val="15"/>
              </w:rPr>
            </w:pPr>
            <w:r w:rsidRPr="006B42D6">
              <w:rPr>
                <w:sz w:val="15"/>
                <w:szCs w:val="15"/>
              </w:rPr>
              <w:t>4.6</w:t>
            </w:r>
          </w:p>
        </w:tc>
      </w:tr>
      <w:tr w:rsidR="006B42D6" w:rsidRPr="006B42D6" w14:paraId="726CC7D0" w14:textId="77777777" w:rsidTr="00355DF7">
        <w:trPr>
          <w:trHeight w:val="283"/>
        </w:trPr>
        <w:tc>
          <w:tcPr>
            <w:tcW w:w="1530" w:type="dxa"/>
            <w:tcBorders>
              <w:top w:val="nil"/>
              <w:left w:val="nil"/>
              <w:bottom w:val="nil"/>
              <w:right w:val="nil"/>
            </w:tcBorders>
            <w:shd w:val="clear" w:color="auto" w:fill="auto"/>
            <w:noWrap/>
            <w:vAlign w:val="bottom"/>
            <w:hideMark/>
          </w:tcPr>
          <w:p w14:paraId="4592E429" w14:textId="77777777" w:rsidR="008A1E55" w:rsidRPr="006B42D6" w:rsidRDefault="008A1E55" w:rsidP="00E16CAE">
            <w:pPr>
              <w:rPr>
                <w:sz w:val="15"/>
                <w:szCs w:val="15"/>
              </w:rPr>
            </w:pPr>
            <w:r w:rsidRPr="006B42D6">
              <w:rPr>
                <w:sz w:val="15"/>
                <w:szCs w:val="15"/>
              </w:rPr>
              <w:t>Mbeya</w:t>
            </w:r>
          </w:p>
        </w:tc>
        <w:tc>
          <w:tcPr>
            <w:tcW w:w="987" w:type="dxa"/>
            <w:tcBorders>
              <w:top w:val="nil"/>
              <w:left w:val="nil"/>
              <w:bottom w:val="nil"/>
              <w:right w:val="nil"/>
            </w:tcBorders>
            <w:shd w:val="clear" w:color="auto" w:fill="auto"/>
            <w:noWrap/>
            <w:vAlign w:val="bottom"/>
            <w:hideMark/>
          </w:tcPr>
          <w:p w14:paraId="2F47E4CB" w14:textId="77777777" w:rsidR="008A1E55" w:rsidRPr="006B42D6" w:rsidRDefault="008A1E55" w:rsidP="00E16CAE">
            <w:pPr>
              <w:jc w:val="right"/>
              <w:rPr>
                <w:sz w:val="15"/>
                <w:szCs w:val="15"/>
              </w:rPr>
            </w:pPr>
            <w:r w:rsidRPr="006B42D6">
              <w:rPr>
                <w:sz w:val="15"/>
                <w:szCs w:val="15"/>
              </w:rPr>
              <w:t>3.5</w:t>
            </w:r>
          </w:p>
        </w:tc>
        <w:tc>
          <w:tcPr>
            <w:tcW w:w="1197" w:type="dxa"/>
            <w:tcBorders>
              <w:top w:val="nil"/>
              <w:left w:val="nil"/>
              <w:bottom w:val="nil"/>
              <w:right w:val="nil"/>
            </w:tcBorders>
            <w:shd w:val="clear" w:color="auto" w:fill="auto"/>
            <w:noWrap/>
            <w:vAlign w:val="bottom"/>
            <w:hideMark/>
          </w:tcPr>
          <w:p w14:paraId="742108CC" w14:textId="77777777" w:rsidR="008A1E55" w:rsidRPr="006B42D6" w:rsidRDefault="008A1E55" w:rsidP="00E16CAE">
            <w:pPr>
              <w:jc w:val="right"/>
              <w:rPr>
                <w:sz w:val="15"/>
                <w:szCs w:val="15"/>
              </w:rPr>
            </w:pPr>
            <w:r w:rsidRPr="006B42D6">
              <w:rPr>
                <w:sz w:val="15"/>
                <w:szCs w:val="15"/>
              </w:rPr>
              <w:t>0.9</w:t>
            </w:r>
          </w:p>
        </w:tc>
        <w:tc>
          <w:tcPr>
            <w:tcW w:w="1197" w:type="dxa"/>
            <w:tcBorders>
              <w:top w:val="nil"/>
              <w:left w:val="nil"/>
              <w:bottom w:val="nil"/>
              <w:right w:val="nil"/>
            </w:tcBorders>
            <w:shd w:val="clear" w:color="auto" w:fill="auto"/>
            <w:noWrap/>
            <w:vAlign w:val="bottom"/>
            <w:hideMark/>
          </w:tcPr>
          <w:p w14:paraId="325B7E22" w14:textId="77777777" w:rsidR="008A1E55" w:rsidRPr="006B42D6" w:rsidRDefault="008A1E55" w:rsidP="00E16CAE">
            <w:pPr>
              <w:jc w:val="right"/>
              <w:rPr>
                <w:sz w:val="15"/>
                <w:szCs w:val="15"/>
              </w:rPr>
            </w:pPr>
            <w:r w:rsidRPr="006B42D6">
              <w:rPr>
                <w:sz w:val="15"/>
                <w:szCs w:val="15"/>
              </w:rPr>
              <w:t>8.05</w:t>
            </w:r>
          </w:p>
        </w:tc>
        <w:tc>
          <w:tcPr>
            <w:tcW w:w="1197" w:type="dxa"/>
            <w:tcBorders>
              <w:top w:val="nil"/>
              <w:left w:val="nil"/>
              <w:bottom w:val="nil"/>
              <w:right w:val="nil"/>
            </w:tcBorders>
            <w:shd w:val="clear" w:color="auto" w:fill="auto"/>
            <w:noWrap/>
            <w:vAlign w:val="bottom"/>
            <w:hideMark/>
          </w:tcPr>
          <w:p w14:paraId="7B02BA49" w14:textId="77777777" w:rsidR="008A1E55" w:rsidRPr="006B42D6" w:rsidRDefault="008A1E55" w:rsidP="00E16CAE">
            <w:pPr>
              <w:jc w:val="right"/>
              <w:rPr>
                <w:sz w:val="15"/>
                <w:szCs w:val="15"/>
              </w:rPr>
            </w:pPr>
            <w:r w:rsidRPr="006B42D6">
              <w:rPr>
                <w:sz w:val="15"/>
                <w:szCs w:val="15"/>
              </w:rPr>
              <w:t>79.6</w:t>
            </w:r>
          </w:p>
        </w:tc>
        <w:tc>
          <w:tcPr>
            <w:tcW w:w="1197" w:type="dxa"/>
            <w:tcBorders>
              <w:top w:val="nil"/>
              <w:left w:val="nil"/>
              <w:bottom w:val="nil"/>
              <w:right w:val="nil"/>
            </w:tcBorders>
            <w:shd w:val="clear" w:color="auto" w:fill="auto"/>
            <w:noWrap/>
            <w:vAlign w:val="bottom"/>
            <w:hideMark/>
          </w:tcPr>
          <w:p w14:paraId="32B17DDA" w14:textId="77777777" w:rsidR="008A1E55" w:rsidRPr="006B42D6" w:rsidRDefault="008A1E55" w:rsidP="00E16CAE">
            <w:pPr>
              <w:jc w:val="right"/>
              <w:rPr>
                <w:sz w:val="15"/>
                <w:szCs w:val="15"/>
              </w:rPr>
            </w:pPr>
            <w:r w:rsidRPr="006B42D6">
              <w:rPr>
                <w:sz w:val="15"/>
                <w:szCs w:val="15"/>
              </w:rPr>
              <w:t>4.1</w:t>
            </w:r>
          </w:p>
        </w:tc>
        <w:tc>
          <w:tcPr>
            <w:tcW w:w="1192" w:type="dxa"/>
            <w:tcBorders>
              <w:top w:val="nil"/>
              <w:left w:val="nil"/>
              <w:bottom w:val="nil"/>
              <w:right w:val="nil"/>
            </w:tcBorders>
            <w:shd w:val="clear" w:color="auto" w:fill="auto"/>
            <w:noWrap/>
            <w:vAlign w:val="bottom"/>
            <w:hideMark/>
          </w:tcPr>
          <w:p w14:paraId="5E35ED6F" w14:textId="77777777" w:rsidR="008A1E55" w:rsidRPr="006B42D6" w:rsidRDefault="008A1E55" w:rsidP="00E16CAE">
            <w:pPr>
              <w:jc w:val="right"/>
              <w:rPr>
                <w:sz w:val="15"/>
                <w:szCs w:val="15"/>
              </w:rPr>
            </w:pPr>
            <w:r w:rsidRPr="006B42D6">
              <w:rPr>
                <w:sz w:val="15"/>
                <w:szCs w:val="15"/>
              </w:rPr>
              <w:t>7.4</w:t>
            </w:r>
          </w:p>
        </w:tc>
        <w:tc>
          <w:tcPr>
            <w:tcW w:w="1201" w:type="dxa"/>
            <w:tcBorders>
              <w:top w:val="nil"/>
              <w:left w:val="nil"/>
              <w:bottom w:val="nil"/>
              <w:right w:val="nil"/>
            </w:tcBorders>
            <w:shd w:val="clear" w:color="auto" w:fill="auto"/>
            <w:noWrap/>
            <w:vAlign w:val="bottom"/>
            <w:hideMark/>
          </w:tcPr>
          <w:p w14:paraId="55E2A1FA" w14:textId="77777777" w:rsidR="008A1E55" w:rsidRPr="006B42D6" w:rsidRDefault="008A1E55" w:rsidP="00E16CAE">
            <w:pPr>
              <w:jc w:val="right"/>
              <w:rPr>
                <w:sz w:val="15"/>
                <w:szCs w:val="15"/>
              </w:rPr>
            </w:pPr>
            <w:r w:rsidRPr="006B42D6">
              <w:rPr>
                <w:sz w:val="15"/>
                <w:szCs w:val="15"/>
              </w:rPr>
              <w:t>0.8</w:t>
            </w:r>
          </w:p>
        </w:tc>
      </w:tr>
      <w:tr w:rsidR="006B42D6" w:rsidRPr="006B42D6" w14:paraId="59C26394" w14:textId="77777777" w:rsidTr="00355DF7">
        <w:trPr>
          <w:trHeight w:val="283"/>
        </w:trPr>
        <w:tc>
          <w:tcPr>
            <w:tcW w:w="1530" w:type="dxa"/>
            <w:tcBorders>
              <w:top w:val="nil"/>
              <w:left w:val="nil"/>
              <w:bottom w:val="nil"/>
              <w:right w:val="nil"/>
            </w:tcBorders>
            <w:shd w:val="clear" w:color="auto" w:fill="auto"/>
            <w:noWrap/>
            <w:vAlign w:val="bottom"/>
            <w:hideMark/>
          </w:tcPr>
          <w:p w14:paraId="523A6827" w14:textId="77777777" w:rsidR="008A1E55" w:rsidRPr="006B42D6" w:rsidRDefault="008A1E55" w:rsidP="00E16CAE">
            <w:pPr>
              <w:rPr>
                <w:sz w:val="15"/>
                <w:szCs w:val="15"/>
              </w:rPr>
            </w:pPr>
            <w:r w:rsidRPr="006B42D6">
              <w:rPr>
                <w:sz w:val="15"/>
                <w:szCs w:val="15"/>
              </w:rPr>
              <w:t>Singida</w:t>
            </w:r>
          </w:p>
        </w:tc>
        <w:tc>
          <w:tcPr>
            <w:tcW w:w="987" w:type="dxa"/>
            <w:tcBorders>
              <w:top w:val="nil"/>
              <w:left w:val="nil"/>
              <w:bottom w:val="nil"/>
              <w:right w:val="nil"/>
            </w:tcBorders>
            <w:shd w:val="clear" w:color="auto" w:fill="auto"/>
            <w:noWrap/>
            <w:vAlign w:val="bottom"/>
            <w:hideMark/>
          </w:tcPr>
          <w:p w14:paraId="25BA8818" w14:textId="77777777" w:rsidR="008A1E55" w:rsidRPr="006B42D6" w:rsidRDefault="008A1E55" w:rsidP="00E16CAE">
            <w:pPr>
              <w:jc w:val="right"/>
              <w:rPr>
                <w:sz w:val="15"/>
                <w:szCs w:val="15"/>
              </w:rPr>
            </w:pPr>
            <w:r w:rsidRPr="006B42D6">
              <w:rPr>
                <w:sz w:val="15"/>
                <w:szCs w:val="15"/>
              </w:rPr>
              <w:t>3.8</w:t>
            </w:r>
          </w:p>
        </w:tc>
        <w:tc>
          <w:tcPr>
            <w:tcW w:w="1197" w:type="dxa"/>
            <w:tcBorders>
              <w:top w:val="nil"/>
              <w:left w:val="nil"/>
              <w:bottom w:val="nil"/>
              <w:right w:val="nil"/>
            </w:tcBorders>
            <w:shd w:val="clear" w:color="auto" w:fill="auto"/>
            <w:noWrap/>
            <w:vAlign w:val="bottom"/>
            <w:hideMark/>
          </w:tcPr>
          <w:p w14:paraId="0003D817" w14:textId="77777777" w:rsidR="008A1E55" w:rsidRPr="006B42D6" w:rsidRDefault="008A1E55" w:rsidP="00E16CAE">
            <w:pPr>
              <w:jc w:val="right"/>
              <w:rPr>
                <w:sz w:val="15"/>
                <w:szCs w:val="15"/>
              </w:rPr>
            </w:pPr>
            <w:r w:rsidRPr="006B42D6">
              <w:rPr>
                <w:sz w:val="15"/>
                <w:szCs w:val="15"/>
              </w:rPr>
              <w:t>1.4</w:t>
            </w:r>
          </w:p>
        </w:tc>
        <w:tc>
          <w:tcPr>
            <w:tcW w:w="1197" w:type="dxa"/>
            <w:tcBorders>
              <w:top w:val="nil"/>
              <w:left w:val="nil"/>
              <w:bottom w:val="nil"/>
              <w:right w:val="nil"/>
            </w:tcBorders>
            <w:shd w:val="clear" w:color="auto" w:fill="auto"/>
            <w:noWrap/>
            <w:vAlign w:val="bottom"/>
            <w:hideMark/>
          </w:tcPr>
          <w:p w14:paraId="2E8595E4" w14:textId="77777777" w:rsidR="008A1E55" w:rsidRPr="006B42D6" w:rsidRDefault="008A1E55" w:rsidP="00E16CAE">
            <w:pPr>
              <w:jc w:val="right"/>
              <w:rPr>
                <w:sz w:val="15"/>
                <w:szCs w:val="15"/>
              </w:rPr>
            </w:pPr>
            <w:r w:rsidRPr="006B42D6">
              <w:rPr>
                <w:sz w:val="15"/>
                <w:szCs w:val="15"/>
              </w:rPr>
              <w:t>0.81</w:t>
            </w:r>
          </w:p>
        </w:tc>
        <w:tc>
          <w:tcPr>
            <w:tcW w:w="1197" w:type="dxa"/>
            <w:tcBorders>
              <w:top w:val="nil"/>
              <w:left w:val="nil"/>
              <w:bottom w:val="nil"/>
              <w:right w:val="nil"/>
            </w:tcBorders>
            <w:shd w:val="clear" w:color="auto" w:fill="auto"/>
            <w:noWrap/>
            <w:vAlign w:val="bottom"/>
            <w:hideMark/>
          </w:tcPr>
          <w:p w14:paraId="55D413C2" w14:textId="77777777" w:rsidR="008A1E55" w:rsidRPr="006B42D6" w:rsidRDefault="008A1E55" w:rsidP="00E16CAE">
            <w:pPr>
              <w:jc w:val="right"/>
              <w:rPr>
                <w:sz w:val="15"/>
                <w:szCs w:val="15"/>
              </w:rPr>
            </w:pPr>
            <w:r w:rsidRPr="006B42D6">
              <w:rPr>
                <w:sz w:val="15"/>
                <w:szCs w:val="15"/>
              </w:rPr>
              <w:t>-</w:t>
            </w:r>
          </w:p>
        </w:tc>
        <w:tc>
          <w:tcPr>
            <w:tcW w:w="1197" w:type="dxa"/>
            <w:tcBorders>
              <w:top w:val="nil"/>
              <w:left w:val="nil"/>
              <w:bottom w:val="nil"/>
              <w:right w:val="nil"/>
            </w:tcBorders>
            <w:shd w:val="clear" w:color="auto" w:fill="auto"/>
            <w:noWrap/>
            <w:vAlign w:val="bottom"/>
            <w:hideMark/>
          </w:tcPr>
          <w:p w14:paraId="4406EF87" w14:textId="77777777" w:rsidR="008A1E55" w:rsidRPr="006B42D6" w:rsidRDefault="008A1E55" w:rsidP="00E16CAE">
            <w:pPr>
              <w:jc w:val="right"/>
              <w:rPr>
                <w:sz w:val="15"/>
                <w:szCs w:val="15"/>
              </w:rPr>
            </w:pPr>
            <w:r w:rsidRPr="006B42D6">
              <w:rPr>
                <w:sz w:val="15"/>
                <w:szCs w:val="15"/>
              </w:rPr>
              <w:t>1.5</w:t>
            </w:r>
          </w:p>
        </w:tc>
        <w:tc>
          <w:tcPr>
            <w:tcW w:w="1192" w:type="dxa"/>
            <w:tcBorders>
              <w:top w:val="nil"/>
              <w:left w:val="nil"/>
              <w:bottom w:val="nil"/>
              <w:right w:val="nil"/>
            </w:tcBorders>
            <w:shd w:val="clear" w:color="auto" w:fill="auto"/>
            <w:noWrap/>
            <w:vAlign w:val="bottom"/>
            <w:hideMark/>
          </w:tcPr>
          <w:p w14:paraId="591FDB5E" w14:textId="77777777" w:rsidR="008A1E55" w:rsidRPr="006B42D6" w:rsidRDefault="008A1E55" w:rsidP="00E16CAE">
            <w:pPr>
              <w:jc w:val="right"/>
              <w:rPr>
                <w:sz w:val="15"/>
                <w:szCs w:val="15"/>
              </w:rPr>
            </w:pPr>
            <w:r w:rsidRPr="006B42D6">
              <w:rPr>
                <w:sz w:val="15"/>
                <w:szCs w:val="15"/>
              </w:rPr>
              <w:t>2.4</w:t>
            </w:r>
          </w:p>
        </w:tc>
        <w:tc>
          <w:tcPr>
            <w:tcW w:w="1201" w:type="dxa"/>
            <w:tcBorders>
              <w:top w:val="nil"/>
              <w:left w:val="nil"/>
              <w:bottom w:val="nil"/>
              <w:right w:val="nil"/>
            </w:tcBorders>
            <w:shd w:val="clear" w:color="auto" w:fill="auto"/>
            <w:noWrap/>
            <w:vAlign w:val="bottom"/>
            <w:hideMark/>
          </w:tcPr>
          <w:p w14:paraId="362F905F" w14:textId="77777777" w:rsidR="008A1E55" w:rsidRPr="006B42D6" w:rsidRDefault="008A1E55" w:rsidP="00E16CAE">
            <w:pPr>
              <w:jc w:val="right"/>
              <w:rPr>
                <w:sz w:val="15"/>
                <w:szCs w:val="15"/>
              </w:rPr>
            </w:pPr>
            <w:r w:rsidRPr="006B42D6">
              <w:rPr>
                <w:sz w:val="15"/>
                <w:szCs w:val="15"/>
              </w:rPr>
              <w:t>49.3</w:t>
            </w:r>
          </w:p>
        </w:tc>
      </w:tr>
      <w:tr w:rsidR="006B42D6" w:rsidRPr="006B42D6" w14:paraId="736C10F9" w14:textId="77777777" w:rsidTr="00355DF7">
        <w:trPr>
          <w:trHeight w:val="283"/>
        </w:trPr>
        <w:tc>
          <w:tcPr>
            <w:tcW w:w="1530" w:type="dxa"/>
            <w:tcBorders>
              <w:top w:val="nil"/>
              <w:left w:val="nil"/>
              <w:bottom w:val="nil"/>
              <w:right w:val="nil"/>
            </w:tcBorders>
            <w:shd w:val="clear" w:color="auto" w:fill="auto"/>
            <w:noWrap/>
            <w:vAlign w:val="bottom"/>
            <w:hideMark/>
          </w:tcPr>
          <w:p w14:paraId="11730128" w14:textId="77777777" w:rsidR="008A1E55" w:rsidRPr="006B42D6" w:rsidRDefault="008A1E55" w:rsidP="00E16CAE">
            <w:pPr>
              <w:rPr>
                <w:sz w:val="15"/>
                <w:szCs w:val="15"/>
              </w:rPr>
            </w:pPr>
            <w:r w:rsidRPr="006B42D6">
              <w:rPr>
                <w:sz w:val="15"/>
                <w:szCs w:val="15"/>
              </w:rPr>
              <w:t>Tabora</w:t>
            </w:r>
          </w:p>
        </w:tc>
        <w:tc>
          <w:tcPr>
            <w:tcW w:w="987" w:type="dxa"/>
            <w:tcBorders>
              <w:top w:val="nil"/>
              <w:left w:val="nil"/>
              <w:bottom w:val="nil"/>
              <w:right w:val="nil"/>
            </w:tcBorders>
            <w:shd w:val="clear" w:color="auto" w:fill="auto"/>
            <w:noWrap/>
            <w:vAlign w:val="bottom"/>
            <w:hideMark/>
          </w:tcPr>
          <w:p w14:paraId="04000D96" w14:textId="77777777" w:rsidR="008A1E55" w:rsidRPr="006B42D6" w:rsidRDefault="008A1E55" w:rsidP="00E16CAE">
            <w:pPr>
              <w:jc w:val="right"/>
              <w:rPr>
                <w:sz w:val="15"/>
                <w:szCs w:val="15"/>
              </w:rPr>
            </w:pPr>
            <w:r w:rsidRPr="006B42D6">
              <w:rPr>
                <w:sz w:val="15"/>
                <w:szCs w:val="15"/>
              </w:rPr>
              <w:t>5.6</w:t>
            </w:r>
          </w:p>
        </w:tc>
        <w:tc>
          <w:tcPr>
            <w:tcW w:w="1197" w:type="dxa"/>
            <w:tcBorders>
              <w:top w:val="nil"/>
              <w:left w:val="nil"/>
              <w:bottom w:val="nil"/>
              <w:right w:val="nil"/>
            </w:tcBorders>
            <w:shd w:val="clear" w:color="auto" w:fill="auto"/>
            <w:noWrap/>
            <w:vAlign w:val="bottom"/>
            <w:hideMark/>
          </w:tcPr>
          <w:p w14:paraId="1115F3DC" w14:textId="77777777" w:rsidR="008A1E55" w:rsidRPr="006B42D6" w:rsidRDefault="008A1E55" w:rsidP="00E16CAE">
            <w:pPr>
              <w:jc w:val="right"/>
              <w:rPr>
                <w:sz w:val="15"/>
                <w:szCs w:val="15"/>
              </w:rPr>
            </w:pPr>
            <w:r w:rsidRPr="006B42D6">
              <w:rPr>
                <w:sz w:val="15"/>
                <w:szCs w:val="15"/>
              </w:rPr>
              <w:t>1.7</w:t>
            </w:r>
          </w:p>
        </w:tc>
        <w:tc>
          <w:tcPr>
            <w:tcW w:w="1197" w:type="dxa"/>
            <w:tcBorders>
              <w:top w:val="nil"/>
              <w:left w:val="nil"/>
              <w:bottom w:val="nil"/>
              <w:right w:val="nil"/>
            </w:tcBorders>
            <w:shd w:val="clear" w:color="auto" w:fill="auto"/>
            <w:noWrap/>
            <w:vAlign w:val="bottom"/>
            <w:hideMark/>
          </w:tcPr>
          <w:p w14:paraId="1238F386" w14:textId="77777777" w:rsidR="008A1E55" w:rsidRPr="006B42D6" w:rsidRDefault="008A1E55" w:rsidP="00E16CAE">
            <w:pPr>
              <w:jc w:val="right"/>
              <w:rPr>
                <w:sz w:val="15"/>
                <w:szCs w:val="15"/>
              </w:rPr>
            </w:pPr>
            <w:r w:rsidRPr="006B42D6">
              <w:rPr>
                <w:sz w:val="15"/>
                <w:szCs w:val="15"/>
              </w:rPr>
              <w:t>9.33</w:t>
            </w:r>
          </w:p>
        </w:tc>
        <w:tc>
          <w:tcPr>
            <w:tcW w:w="1197" w:type="dxa"/>
            <w:tcBorders>
              <w:top w:val="nil"/>
              <w:left w:val="nil"/>
              <w:bottom w:val="nil"/>
              <w:right w:val="nil"/>
            </w:tcBorders>
            <w:shd w:val="clear" w:color="auto" w:fill="auto"/>
            <w:noWrap/>
            <w:vAlign w:val="bottom"/>
            <w:hideMark/>
          </w:tcPr>
          <w:p w14:paraId="2DE322CA" w14:textId="77777777" w:rsidR="008A1E55" w:rsidRPr="006B42D6" w:rsidRDefault="008A1E55" w:rsidP="00E16CAE">
            <w:pPr>
              <w:jc w:val="right"/>
              <w:rPr>
                <w:sz w:val="15"/>
                <w:szCs w:val="15"/>
              </w:rPr>
            </w:pPr>
            <w:r w:rsidRPr="006B42D6">
              <w:rPr>
                <w:sz w:val="15"/>
                <w:szCs w:val="15"/>
              </w:rPr>
              <w:t>-</w:t>
            </w:r>
          </w:p>
        </w:tc>
        <w:tc>
          <w:tcPr>
            <w:tcW w:w="1197" w:type="dxa"/>
            <w:tcBorders>
              <w:top w:val="nil"/>
              <w:left w:val="nil"/>
              <w:bottom w:val="nil"/>
              <w:right w:val="nil"/>
            </w:tcBorders>
            <w:shd w:val="clear" w:color="auto" w:fill="auto"/>
            <w:noWrap/>
            <w:vAlign w:val="bottom"/>
            <w:hideMark/>
          </w:tcPr>
          <w:p w14:paraId="7DBA6151" w14:textId="77777777" w:rsidR="008A1E55" w:rsidRPr="006B42D6" w:rsidRDefault="008A1E55" w:rsidP="00E16CAE">
            <w:pPr>
              <w:jc w:val="right"/>
              <w:rPr>
                <w:sz w:val="15"/>
                <w:szCs w:val="15"/>
              </w:rPr>
            </w:pPr>
            <w:r w:rsidRPr="006B42D6">
              <w:rPr>
                <w:sz w:val="15"/>
                <w:szCs w:val="15"/>
              </w:rPr>
              <w:t>1.5</w:t>
            </w:r>
          </w:p>
        </w:tc>
        <w:tc>
          <w:tcPr>
            <w:tcW w:w="1192" w:type="dxa"/>
            <w:tcBorders>
              <w:top w:val="nil"/>
              <w:left w:val="nil"/>
              <w:bottom w:val="nil"/>
              <w:right w:val="nil"/>
            </w:tcBorders>
            <w:shd w:val="clear" w:color="auto" w:fill="auto"/>
            <w:noWrap/>
            <w:vAlign w:val="bottom"/>
            <w:hideMark/>
          </w:tcPr>
          <w:p w14:paraId="72345AA2" w14:textId="77777777" w:rsidR="008A1E55" w:rsidRPr="006B42D6" w:rsidRDefault="008A1E55" w:rsidP="00E16CAE">
            <w:pPr>
              <w:jc w:val="right"/>
              <w:rPr>
                <w:sz w:val="15"/>
                <w:szCs w:val="15"/>
              </w:rPr>
            </w:pPr>
            <w:r w:rsidRPr="006B42D6">
              <w:rPr>
                <w:sz w:val="15"/>
                <w:szCs w:val="15"/>
              </w:rPr>
              <w:t>3.9</w:t>
            </w:r>
          </w:p>
        </w:tc>
        <w:tc>
          <w:tcPr>
            <w:tcW w:w="1201" w:type="dxa"/>
            <w:tcBorders>
              <w:top w:val="nil"/>
              <w:left w:val="nil"/>
              <w:bottom w:val="nil"/>
              <w:right w:val="nil"/>
            </w:tcBorders>
            <w:shd w:val="clear" w:color="auto" w:fill="auto"/>
            <w:noWrap/>
            <w:vAlign w:val="bottom"/>
            <w:hideMark/>
          </w:tcPr>
          <w:p w14:paraId="5D85DC94" w14:textId="77777777" w:rsidR="008A1E55" w:rsidRPr="006B42D6" w:rsidRDefault="008A1E55" w:rsidP="00E16CAE">
            <w:pPr>
              <w:jc w:val="right"/>
              <w:rPr>
                <w:sz w:val="15"/>
                <w:szCs w:val="15"/>
              </w:rPr>
            </w:pPr>
            <w:r w:rsidRPr="006B42D6">
              <w:rPr>
                <w:sz w:val="15"/>
                <w:szCs w:val="15"/>
              </w:rPr>
              <w:t>-</w:t>
            </w:r>
          </w:p>
        </w:tc>
      </w:tr>
      <w:tr w:rsidR="006B42D6" w:rsidRPr="006B42D6" w14:paraId="5011C391" w14:textId="77777777" w:rsidTr="00355DF7">
        <w:trPr>
          <w:trHeight w:val="283"/>
        </w:trPr>
        <w:tc>
          <w:tcPr>
            <w:tcW w:w="1530" w:type="dxa"/>
            <w:tcBorders>
              <w:top w:val="nil"/>
              <w:left w:val="nil"/>
              <w:bottom w:val="nil"/>
              <w:right w:val="nil"/>
            </w:tcBorders>
            <w:shd w:val="clear" w:color="auto" w:fill="auto"/>
            <w:noWrap/>
            <w:vAlign w:val="bottom"/>
            <w:hideMark/>
          </w:tcPr>
          <w:p w14:paraId="13D4204A" w14:textId="77777777" w:rsidR="008A1E55" w:rsidRPr="006B42D6" w:rsidRDefault="008A1E55" w:rsidP="00E16CAE">
            <w:pPr>
              <w:rPr>
                <w:sz w:val="15"/>
                <w:szCs w:val="15"/>
              </w:rPr>
            </w:pPr>
            <w:r w:rsidRPr="006B42D6">
              <w:rPr>
                <w:sz w:val="15"/>
                <w:szCs w:val="15"/>
              </w:rPr>
              <w:t>Rukwa</w:t>
            </w:r>
          </w:p>
        </w:tc>
        <w:tc>
          <w:tcPr>
            <w:tcW w:w="987" w:type="dxa"/>
            <w:tcBorders>
              <w:top w:val="nil"/>
              <w:left w:val="nil"/>
              <w:bottom w:val="nil"/>
              <w:right w:val="nil"/>
            </w:tcBorders>
            <w:shd w:val="clear" w:color="auto" w:fill="auto"/>
            <w:noWrap/>
            <w:vAlign w:val="bottom"/>
            <w:hideMark/>
          </w:tcPr>
          <w:p w14:paraId="4BE765DD" w14:textId="77777777" w:rsidR="008A1E55" w:rsidRPr="006B42D6" w:rsidRDefault="008A1E55" w:rsidP="00E16CAE">
            <w:pPr>
              <w:jc w:val="right"/>
              <w:rPr>
                <w:sz w:val="15"/>
                <w:szCs w:val="15"/>
              </w:rPr>
            </w:pPr>
            <w:r w:rsidRPr="006B42D6">
              <w:rPr>
                <w:sz w:val="15"/>
                <w:szCs w:val="15"/>
              </w:rPr>
              <w:t>2.8</w:t>
            </w:r>
          </w:p>
        </w:tc>
        <w:tc>
          <w:tcPr>
            <w:tcW w:w="1197" w:type="dxa"/>
            <w:tcBorders>
              <w:top w:val="nil"/>
              <w:left w:val="nil"/>
              <w:bottom w:val="nil"/>
              <w:right w:val="nil"/>
            </w:tcBorders>
            <w:shd w:val="clear" w:color="auto" w:fill="auto"/>
            <w:noWrap/>
            <w:vAlign w:val="bottom"/>
            <w:hideMark/>
          </w:tcPr>
          <w:p w14:paraId="073BA4DB" w14:textId="77777777" w:rsidR="008A1E55" w:rsidRPr="006B42D6" w:rsidRDefault="008A1E55" w:rsidP="00E16CAE">
            <w:pPr>
              <w:jc w:val="right"/>
              <w:rPr>
                <w:sz w:val="15"/>
                <w:szCs w:val="15"/>
              </w:rPr>
            </w:pPr>
            <w:r w:rsidRPr="006B42D6">
              <w:rPr>
                <w:sz w:val="15"/>
                <w:szCs w:val="15"/>
              </w:rPr>
              <w:t>0.8</w:t>
            </w:r>
          </w:p>
        </w:tc>
        <w:tc>
          <w:tcPr>
            <w:tcW w:w="1197" w:type="dxa"/>
            <w:tcBorders>
              <w:top w:val="nil"/>
              <w:left w:val="nil"/>
              <w:bottom w:val="nil"/>
              <w:right w:val="nil"/>
            </w:tcBorders>
            <w:shd w:val="clear" w:color="auto" w:fill="auto"/>
            <w:noWrap/>
            <w:vAlign w:val="bottom"/>
            <w:hideMark/>
          </w:tcPr>
          <w:p w14:paraId="163029AC" w14:textId="77777777" w:rsidR="008A1E55" w:rsidRPr="006B42D6" w:rsidRDefault="008A1E55" w:rsidP="00E16CAE">
            <w:pPr>
              <w:jc w:val="right"/>
              <w:rPr>
                <w:sz w:val="15"/>
                <w:szCs w:val="15"/>
              </w:rPr>
            </w:pPr>
            <w:r w:rsidRPr="006B42D6">
              <w:rPr>
                <w:sz w:val="15"/>
                <w:szCs w:val="15"/>
              </w:rPr>
              <w:t>-</w:t>
            </w:r>
          </w:p>
        </w:tc>
        <w:tc>
          <w:tcPr>
            <w:tcW w:w="1197" w:type="dxa"/>
            <w:tcBorders>
              <w:top w:val="nil"/>
              <w:left w:val="nil"/>
              <w:bottom w:val="nil"/>
              <w:right w:val="nil"/>
            </w:tcBorders>
            <w:shd w:val="clear" w:color="auto" w:fill="auto"/>
            <w:noWrap/>
            <w:vAlign w:val="bottom"/>
            <w:hideMark/>
          </w:tcPr>
          <w:p w14:paraId="50BB633B" w14:textId="77777777" w:rsidR="008A1E55" w:rsidRPr="006B42D6" w:rsidRDefault="008A1E55" w:rsidP="00E16CAE">
            <w:pPr>
              <w:jc w:val="right"/>
              <w:rPr>
                <w:sz w:val="15"/>
                <w:szCs w:val="15"/>
              </w:rPr>
            </w:pPr>
            <w:r w:rsidRPr="006B42D6">
              <w:rPr>
                <w:sz w:val="15"/>
                <w:szCs w:val="15"/>
              </w:rPr>
              <w:t>-</w:t>
            </w:r>
          </w:p>
        </w:tc>
        <w:tc>
          <w:tcPr>
            <w:tcW w:w="1197" w:type="dxa"/>
            <w:tcBorders>
              <w:top w:val="nil"/>
              <w:left w:val="nil"/>
              <w:bottom w:val="nil"/>
              <w:right w:val="nil"/>
            </w:tcBorders>
            <w:shd w:val="clear" w:color="auto" w:fill="auto"/>
            <w:noWrap/>
            <w:vAlign w:val="bottom"/>
            <w:hideMark/>
          </w:tcPr>
          <w:p w14:paraId="3FDAADAB" w14:textId="77777777" w:rsidR="008A1E55" w:rsidRPr="006B42D6" w:rsidRDefault="008A1E55" w:rsidP="00E16CAE">
            <w:pPr>
              <w:jc w:val="right"/>
              <w:rPr>
                <w:sz w:val="15"/>
                <w:szCs w:val="15"/>
              </w:rPr>
            </w:pPr>
            <w:r w:rsidRPr="006B42D6">
              <w:rPr>
                <w:sz w:val="15"/>
                <w:szCs w:val="15"/>
              </w:rPr>
              <w:t>0.5</w:t>
            </w:r>
          </w:p>
        </w:tc>
        <w:tc>
          <w:tcPr>
            <w:tcW w:w="1192" w:type="dxa"/>
            <w:tcBorders>
              <w:top w:val="nil"/>
              <w:left w:val="nil"/>
              <w:bottom w:val="nil"/>
              <w:right w:val="nil"/>
            </w:tcBorders>
            <w:shd w:val="clear" w:color="auto" w:fill="auto"/>
            <w:noWrap/>
            <w:vAlign w:val="bottom"/>
            <w:hideMark/>
          </w:tcPr>
          <w:p w14:paraId="43454DCA" w14:textId="77777777" w:rsidR="008A1E55" w:rsidRPr="006B42D6" w:rsidRDefault="008A1E55" w:rsidP="00E16CAE">
            <w:pPr>
              <w:jc w:val="right"/>
              <w:rPr>
                <w:sz w:val="15"/>
                <w:szCs w:val="15"/>
              </w:rPr>
            </w:pPr>
            <w:r w:rsidRPr="006B42D6">
              <w:rPr>
                <w:sz w:val="15"/>
                <w:szCs w:val="15"/>
              </w:rPr>
              <w:t>3.2</w:t>
            </w:r>
          </w:p>
        </w:tc>
        <w:tc>
          <w:tcPr>
            <w:tcW w:w="1201" w:type="dxa"/>
            <w:tcBorders>
              <w:top w:val="nil"/>
              <w:left w:val="nil"/>
              <w:bottom w:val="nil"/>
              <w:right w:val="nil"/>
            </w:tcBorders>
            <w:shd w:val="clear" w:color="auto" w:fill="auto"/>
            <w:noWrap/>
            <w:vAlign w:val="bottom"/>
            <w:hideMark/>
          </w:tcPr>
          <w:p w14:paraId="54C621F6" w14:textId="77777777" w:rsidR="008A1E55" w:rsidRPr="006B42D6" w:rsidRDefault="008A1E55" w:rsidP="00E16CAE">
            <w:pPr>
              <w:jc w:val="right"/>
              <w:rPr>
                <w:sz w:val="15"/>
                <w:szCs w:val="15"/>
              </w:rPr>
            </w:pPr>
            <w:r w:rsidRPr="006B42D6">
              <w:rPr>
                <w:sz w:val="15"/>
                <w:szCs w:val="15"/>
              </w:rPr>
              <w:t>-</w:t>
            </w:r>
          </w:p>
        </w:tc>
      </w:tr>
      <w:tr w:rsidR="006B42D6" w:rsidRPr="006B42D6" w14:paraId="33CC8804" w14:textId="77777777" w:rsidTr="00355DF7">
        <w:trPr>
          <w:trHeight w:val="283"/>
        </w:trPr>
        <w:tc>
          <w:tcPr>
            <w:tcW w:w="1530" w:type="dxa"/>
            <w:tcBorders>
              <w:top w:val="nil"/>
              <w:left w:val="nil"/>
              <w:bottom w:val="nil"/>
              <w:right w:val="nil"/>
            </w:tcBorders>
            <w:shd w:val="clear" w:color="auto" w:fill="auto"/>
            <w:noWrap/>
            <w:vAlign w:val="bottom"/>
            <w:hideMark/>
          </w:tcPr>
          <w:p w14:paraId="54886C6A" w14:textId="77777777" w:rsidR="008A1E55" w:rsidRPr="006B42D6" w:rsidRDefault="008A1E55" w:rsidP="00E16CAE">
            <w:pPr>
              <w:rPr>
                <w:sz w:val="15"/>
                <w:szCs w:val="15"/>
              </w:rPr>
            </w:pPr>
            <w:r w:rsidRPr="006B42D6">
              <w:rPr>
                <w:sz w:val="15"/>
                <w:szCs w:val="15"/>
              </w:rPr>
              <w:t>Kigoma</w:t>
            </w:r>
          </w:p>
        </w:tc>
        <w:tc>
          <w:tcPr>
            <w:tcW w:w="987" w:type="dxa"/>
            <w:tcBorders>
              <w:top w:val="nil"/>
              <w:left w:val="nil"/>
              <w:bottom w:val="nil"/>
              <w:right w:val="nil"/>
            </w:tcBorders>
            <w:shd w:val="clear" w:color="auto" w:fill="auto"/>
            <w:noWrap/>
            <w:vAlign w:val="bottom"/>
            <w:hideMark/>
          </w:tcPr>
          <w:p w14:paraId="10B3F714" w14:textId="77777777" w:rsidR="008A1E55" w:rsidRPr="006B42D6" w:rsidRDefault="008A1E55" w:rsidP="00E16CAE">
            <w:pPr>
              <w:jc w:val="right"/>
              <w:rPr>
                <w:sz w:val="15"/>
                <w:szCs w:val="15"/>
              </w:rPr>
            </w:pPr>
            <w:r w:rsidRPr="006B42D6">
              <w:rPr>
                <w:sz w:val="15"/>
                <w:szCs w:val="15"/>
              </w:rPr>
              <w:t>6.1</w:t>
            </w:r>
          </w:p>
        </w:tc>
        <w:tc>
          <w:tcPr>
            <w:tcW w:w="1197" w:type="dxa"/>
            <w:tcBorders>
              <w:top w:val="nil"/>
              <w:left w:val="nil"/>
              <w:bottom w:val="nil"/>
              <w:right w:val="nil"/>
            </w:tcBorders>
            <w:shd w:val="clear" w:color="auto" w:fill="auto"/>
            <w:noWrap/>
            <w:vAlign w:val="bottom"/>
            <w:hideMark/>
          </w:tcPr>
          <w:p w14:paraId="631A6233" w14:textId="77777777" w:rsidR="008A1E55" w:rsidRPr="006B42D6" w:rsidRDefault="008A1E55" w:rsidP="00E16CAE">
            <w:pPr>
              <w:jc w:val="right"/>
              <w:rPr>
                <w:sz w:val="15"/>
                <w:szCs w:val="15"/>
              </w:rPr>
            </w:pPr>
            <w:r w:rsidRPr="006B42D6">
              <w:rPr>
                <w:sz w:val="15"/>
                <w:szCs w:val="15"/>
              </w:rPr>
              <w:t>2.9</w:t>
            </w:r>
          </w:p>
        </w:tc>
        <w:tc>
          <w:tcPr>
            <w:tcW w:w="1197" w:type="dxa"/>
            <w:tcBorders>
              <w:top w:val="nil"/>
              <w:left w:val="nil"/>
              <w:bottom w:val="nil"/>
              <w:right w:val="nil"/>
            </w:tcBorders>
            <w:shd w:val="clear" w:color="auto" w:fill="auto"/>
            <w:noWrap/>
            <w:vAlign w:val="bottom"/>
            <w:hideMark/>
          </w:tcPr>
          <w:p w14:paraId="0636379E" w14:textId="77777777" w:rsidR="008A1E55" w:rsidRPr="006B42D6" w:rsidRDefault="008A1E55" w:rsidP="00E16CAE">
            <w:pPr>
              <w:jc w:val="right"/>
              <w:rPr>
                <w:sz w:val="15"/>
                <w:szCs w:val="15"/>
              </w:rPr>
            </w:pPr>
            <w:r w:rsidRPr="006B42D6">
              <w:rPr>
                <w:sz w:val="15"/>
                <w:szCs w:val="15"/>
              </w:rPr>
              <w:t>5.46</w:t>
            </w:r>
          </w:p>
        </w:tc>
        <w:tc>
          <w:tcPr>
            <w:tcW w:w="1197" w:type="dxa"/>
            <w:tcBorders>
              <w:top w:val="nil"/>
              <w:left w:val="nil"/>
              <w:bottom w:val="nil"/>
              <w:right w:val="nil"/>
            </w:tcBorders>
            <w:shd w:val="clear" w:color="auto" w:fill="auto"/>
            <w:noWrap/>
            <w:vAlign w:val="bottom"/>
            <w:hideMark/>
          </w:tcPr>
          <w:p w14:paraId="690049E4" w14:textId="77777777" w:rsidR="008A1E55" w:rsidRPr="006B42D6" w:rsidRDefault="008A1E55" w:rsidP="00E16CAE">
            <w:pPr>
              <w:jc w:val="right"/>
              <w:rPr>
                <w:sz w:val="15"/>
                <w:szCs w:val="15"/>
              </w:rPr>
            </w:pPr>
            <w:r w:rsidRPr="006B42D6">
              <w:rPr>
                <w:sz w:val="15"/>
                <w:szCs w:val="15"/>
              </w:rPr>
              <w:t>-</w:t>
            </w:r>
          </w:p>
        </w:tc>
        <w:tc>
          <w:tcPr>
            <w:tcW w:w="1197" w:type="dxa"/>
            <w:tcBorders>
              <w:top w:val="nil"/>
              <w:left w:val="nil"/>
              <w:bottom w:val="nil"/>
              <w:right w:val="nil"/>
            </w:tcBorders>
            <w:shd w:val="clear" w:color="auto" w:fill="auto"/>
            <w:noWrap/>
            <w:vAlign w:val="bottom"/>
            <w:hideMark/>
          </w:tcPr>
          <w:p w14:paraId="4B1F9116" w14:textId="77777777" w:rsidR="008A1E55" w:rsidRPr="006B42D6" w:rsidRDefault="008A1E55" w:rsidP="00E16CAE">
            <w:pPr>
              <w:jc w:val="right"/>
              <w:rPr>
                <w:sz w:val="15"/>
                <w:szCs w:val="15"/>
              </w:rPr>
            </w:pPr>
            <w:r w:rsidRPr="006B42D6">
              <w:rPr>
                <w:sz w:val="15"/>
                <w:szCs w:val="15"/>
              </w:rPr>
              <w:t>3.2</w:t>
            </w:r>
          </w:p>
        </w:tc>
        <w:tc>
          <w:tcPr>
            <w:tcW w:w="1192" w:type="dxa"/>
            <w:tcBorders>
              <w:top w:val="nil"/>
              <w:left w:val="nil"/>
              <w:bottom w:val="nil"/>
              <w:right w:val="nil"/>
            </w:tcBorders>
            <w:shd w:val="clear" w:color="auto" w:fill="auto"/>
            <w:noWrap/>
            <w:vAlign w:val="bottom"/>
            <w:hideMark/>
          </w:tcPr>
          <w:p w14:paraId="150DC9FE" w14:textId="77777777" w:rsidR="008A1E55" w:rsidRPr="006B42D6" w:rsidRDefault="008A1E55" w:rsidP="00E16CAE">
            <w:pPr>
              <w:jc w:val="right"/>
              <w:rPr>
                <w:sz w:val="15"/>
                <w:szCs w:val="15"/>
              </w:rPr>
            </w:pPr>
            <w:r w:rsidRPr="006B42D6">
              <w:rPr>
                <w:sz w:val="15"/>
                <w:szCs w:val="15"/>
              </w:rPr>
              <w:t>2.1</w:t>
            </w:r>
          </w:p>
        </w:tc>
        <w:tc>
          <w:tcPr>
            <w:tcW w:w="1201" w:type="dxa"/>
            <w:tcBorders>
              <w:top w:val="nil"/>
              <w:left w:val="nil"/>
              <w:bottom w:val="nil"/>
              <w:right w:val="nil"/>
            </w:tcBorders>
            <w:shd w:val="clear" w:color="auto" w:fill="auto"/>
            <w:noWrap/>
            <w:vAlign w:val="bottom"/>
            <w:hideMark/>
          </w:tcPr>
          <w:p w14:paraId="4D0AD650" w14:textId="77777777" w:rsidR="008A1E55" w:rsidRPr="006B42D6" w:rsidRDefault="008A1E55" w:rsidP="00E16CAE">
            <w:pPr>
              <w:jc w:val="right"/>
              <w:rPr>
                <w:sz w:val="15"/>
                <w:szCs w:val="15"/>
              </w:rPr>
            </w:pPr>
            <w:r w:rsidRPr="006B42D6">
              <w:rPr>
                <w:sz w:val="15"/>
                <w:szCs w:val="15"/>
              </w:rPr>
              <w:t>1.2</w:t>
            </w:r>
          </w:p>
        </w:tc>
      </w:tr>
      <w:tr w:rsidR="006B42D6" w:rsidRPr="006B42D6" w14:paraId="6284701A" w14:textId="77777777" w:rsidTr="00355DF7">
        <w:trPr>
          <w:trHeight w:val="283"/>
        </w:trPr>
        <w:tc>
          <w:tcPr>
            <w:tcW w:w="1530" w:type="dxa"/>
            <w:tcBorders>
              <w:top w:val="nil"/>
              <w:left w:val="nil"/>
              <w:bottom w:val="nil"/>
              <w:right w:val="nil"/>
            </w:tcBorders>
            <w:shd w:val="clear" w:color="auto" w:fill="auto"/>
            <w:noWrap/>
            <w:vAlign w:val="bottom"/>
            <w:hideMark/>
          </w:tcPr>
          <w:p w14:paraId="488AC9D5" w14:textId="77777777" w:rsidR="008A1E55" w:rsidRPr="006B42D6" w:rsidRDefault="008A1E55" w:rsidP="00E16CAE">
            <w:pPr>
              <w:rPr>
                <w:sz w:val="15"/>
                <w:szCs w:val="15"/>
              </w:rPr>
            </w:pPr>
            <w:r w:rsidRPr="006B42D6">
              <w:rPr>
                <w:sz w:val="15"/>
                <w:szCs w:val="15"/>
              </w:rPr>
              <w:t>Shinyanga</w:t>
            </w:r>
          </w:p>
        </w:tc>
        <w:tc>
          <w:tcPr>
            <w:tcW w:w="987" w:type="dxa"/>
            <w:tcBorders>
              <w:top w:val="nil"/>
              <w:left w:val="nil"/>
              <w:bottom w:val="nil"/>
              <w:right w:val="nil"/>
            </w:tcBorders>
            <w:shd w:val="clear" w:color="auto" w:fill="auto"/>
            <w:noWrap/>
            <w:vAlign w:val="bottom"/>
            <w:hideMark/>
          </w:tcPr>
          <w:p w14:paraId="0F6DDC0E" w14:textId="77777777" w:rsidR="008A1E55" w:rsidRPr="006B42D6" w:rsidRDefault="008A1E55" w:rsidP="00E16CAE">
            <w:pPr>
              <w:jc w:val="right"/>
              <w:rPr>
                <w:sz w:val="15"/>
                <w:szCs w:val="15"/>
              </w:rPr>
            </w:pPr>
            <w:r w:rsidRPr="006B42D6">
              <w:rPr>
                <w:sz w:val="15"/>
                <w:szCs w:val="15"/>
              </w:rPr>
              <w:t>3.1</w:t>
            </w:r>
          </w:p>
        </w:tc>
        <w:tc>
          <w:tcPr>
            <w:tcW w:w="1197" w:type="dxa"/>
            <w:tcBorders>
              <w:top w:val="nil"/>
              <w:left w:val="nil"/>
              <w:bottom w:val="nil"/>
              <w:right w:val="nil"/>
            </w:tcBorders>
            <w:shd w:val="clear" w:color="auto" w:fill="auto"/>
            <w:noWrap/>
            <w:vAlign w:val="bottom"/>
            <w:hideMark/>
          </w:tcPr>
          <w:p w14:paraId="049FB93D" w14:textId="77777777" w:rsidR="008A1E55" w:rsidRPr="006B42D6" w:rsidRDefault="008A1E55" w:rsidP="00E16CAE">
            <w:pPr>
              <w:jc w:val="right"/>
              <w:rPr>
                <w:sz w:val="15"/>
                <w:szCs w:val="15"/>
              </w:rPr>
            </w:pPr>
            <w:r w:rsidRPr="006B42D6">
              <w:rPr>
                <w:sz w:val="15"/>
                <w:szCs w:val="15"/>
              </w:rPr>
              <w:t>1.6</w:t>
            </w:r>
          </w:p>
        </w:tc>
        <w:tc>
          <w:tcPr>
            <w:tcW w:w="1197" w:type="dxa"/>
            <w:tcBorders>
              <w:top w:val="nil"/>
              <w:left w:val="nil"/>
              <w:bottom w:val="nil"/>
              <w:right w:val="nil"/>
            </w:tcBorders>
            <w:shd w:val="clear" w:color="auto" w:fill="auto"/>
            <w:noWrap/>
            <w:vAlign w:val="bottom"/>
            <w:hideMark/>
          </w:tcPr>
          <w:p w14:paraId="7E921CD1" w14:textId="77777777" w:rsidR="008A1E55" w:rsidRPr="006B42D6" w:rsidRDefault="008A1E55" w:rsidP="00E16CAE">
            <w:pPr>
              <w:jc w:val="right"/>
              <w:rPr>
                <w:sz w:val="15"/>
                <w:szCs w:val="15"/>
              </w:rPr>
            </w:pPr>
            <w:r w:rsidRPr="006B42D6">
              <w:rPr>
                <w:sz w:val="15"/>
                <w:szCs w:val="15"/>
              </w:rPr>
              <w:t>3.09</w:t>
            </w:r>
          </w:p>
        </w:tc>
        <w:tc>
          <w:tcPr>
            <w:tcW w:w="1197" w:type="dxa"/>
            <w:tcBorders>
              <w:top w:val="nil"/>
              <w:left w:val="nil"/>
              <w:bottom w:val="nil"/>
              <w:right w:val="nil"/>
            </w:tcBorders>
            <w:shd w:val="clear" w:color="auto" w:fill="auto"/>
            <w:noWrap/>
            <w:vAlign w:val="bottom"/>
            <w:hideMark/>
          </w:tcPr>
          <w:p w14:paraId="46687EF4" w14:textId="77777777" w:rsidR="008A1E55" w:rsidRPr="006B42D6" w:rsidRDefault="008A1E55" w:rsidP="00E16CAE">
            <w:pPr>
              <w:jc w:val="right"/>
              <w:rPr>
                <w:sz w:val="15"/>
                <w:szCs w:val="15"/>
              </w:rPr>
            </w:pPr>
            <w:r w:rsidRPr="006B42D6">
              <w:rPr>
                <w:sz w:val="15"/>
                <w:szCs w:val="15"/>
              </w:rPr>
              <w:t>-</w:t>
            </w:r>
          </w:p>
        </w:tc>
        <w:tc>
          <w:tcPr>
            <w:tcW w:w="1197" w:type="dxa"/>
            <w:tcBorders>
              <w:top w:val="nil"/>
              <w:left w:val="nil"/>
              <w:bottom w:val="nil"/>
              <w:right w:val="nil"/>
            </w:tcBorders>
            <w:shd w:val="clear" w:color="auto" w:fill="auto"/>
            <w:noWrap/>
            <w:vAlign w:val="bottom"/>
            <w:hideMark/>
          </w:tcPr>
          <w:p w14:paraId="31DB2863" w14:textId="77777777" w:rsidR="008A1E55" w:rsidRPr="006B42D6" w:rsidRDefault="008A1E55" w:rsidP="00E16CAE">
            <w:pPr>
              <w:jc w:val="right"/>
              <w:rPr>
                <w:sz w:val="15"/>
                <w:szCs w:val="15"/>
              </w:rPr>
            </w:pPr>
            <w:r w:rsidRPr="006B42D6">
              <w:rPr>
                <w:sz w:val="15"/>
                <w:szCs w:val="15"/>
              </w:rPr>
              <w:t>0.8</w:t>
            </w:r>
          </w:p>
        </w:tc>
        <w:tc>
          <w:tcPr>
            <w:tcW w:w="1192" w:type="dxa"/>
            <w:tcBorders>
              <w:top w:val="nil"/>
              <w:left w:val="nil"/>
              <w:bottom w:val="nil"/>
              <w:right w:val="nil"/>
            </w:tcBorders>
            <w:shd w:val="clear" w:color="auto" w:fill="auto"/>
            <w:noWrap/>
            <w:vAlign w:val="bottom"/>
            <w:hideMark/>
          </w:tcPr>
          <w:p w14:paraId="3FA93E53" w14:textId="77777777" w:rsidR="008A1E55" w:rsidRPr="006B42D6" w:rsidRDefault="008A1E55" w:rsidP="00E16CAE">
            <w:pPr>
              <w:jc w:val="right"/>
              <w:rPr>
                <w:sz w:val="15"/>
                <w:szCs w:val="15"/>
              </w:rPr>
            </w:pPr>
            <w:r w:rsidRPr="006B42D6">
              <w:rPr>
                <w:sz w:val="15"/>
                <w:szCs w:val="15"/>
              </w:rPr>
              <w:t>2.1</w:t>
            </w:r>
          </w:p>
        </w:tc>
        <w:tc>
          <w:tcPr>
            <w:tcW w:w="1201" w:type="dxa"/>
            <w:tcBorders>
              <w:top w:val="nil"/>
              <w:left w:val="nil"/>
              <w:bottom w:val="nil"/>
              <w:right w:val="nil"/>
            </w:tcBorders>
            <w:shd w:val="clear" w:color="auto" w:fill="auto"/>
            <w:noWrap/>
            <w:vAlign w:val="bottom"/>
            <w:hideMark/>
          </w:tcPr>
          <w:p w14:paraId="5AC8C041" w14:textId="77777777" w:rsidR="008A1E55" w:rsidRPr="006B42D6" w:rsidRDefault="008A1E55" w:rsidP="00E16CAE">
            <w:pPr>
              <w:jc w:val="right"/>
              <w:rPr>
                <w:sz w:val="15"/>
                <w:szCs w:val="15"/>
              </w:rPr>
            </w:pPr>
            <w:r w:rsidRPr="006B42D6">
              <w:rPr>
                <w:sz w:val="15"/>
                <w:szCs w:val="15"/>
              </w:rPr>
              <w:t>0.3</w:t>
            </w:r>
          </w:p>
        </w:tc>
      </w:tr>
      <w:tr w:rsidR="006B42D6" w:rsidRPr="006B42D6" w14:paraId="1F1FB0BB" w14:textId="77777777" w:rsidTr="00355DF7">
        <w:trPr>
          <w:trHeight w:val="283"/>
        </w:trPr>
        <w:tc>
          <w:tcPr>
            <w:tcW w:w="1530" w:type="dxa"/>
            <w:tcBorders>
              <w:top w:val="nil"/>
              <w:left w:val="nil"/>
              <w:bottom w:val="nil"/>
              <w:right w:val="nil"/>
            </w:tcBorders>
            <w:shd w:val="clear" w:color="auto" w:fill="auto"/>
            <w:noWrap/>
            <w:vAlign w:val="bottom"/>
            <w:hideMark/>
          </w:tcPr>
          <w:p w14:paraId="0DCD8445" w14:textId="77777777" w:rsidR="008A1E55" w:rsidRPr="006B42D6" w:rsidRDefault="008A1E55" w:rsidP="00E16CAE">
            <w:pPr>
              <w:rPr>
                <w:sz w:val="15"/>
                <w:szCs w:val="15"/>
              </w:rPr>
            </w:pPr>
            <w:r w:rsidRPr="006B42D6">
              <w:rPr>
                <w:sz w:val="15"/>
                <w:szCs w:val="15"/>
              </w:rPr>
              <w:t>Kagera</w:t>
            </w:r>
          </w:p>
        </w:tc>
        <w:tc>
          <w:tcPr>
            <w:tcW w:w="987" w:type="dxa"/>
            <w:tcBorders>
              <w:top w:val="nil"/>
              <w:left w:val="nil"/>
              <w:bottom w:val="nil"/>
              <w:right w:val="nil"/>
            </w:tcBorders>
            <w:shd w:val="clear" w:color="auto" w:fill="auto"/>
            <w:noWrap/>
            <w:vAlign w:val="bottom"/>
            <w:hideMark/>
          </w:tcPr>
          <w:p w14:paraId="2057F0FB" w14:textId="77777777" w:rsidR="008A1E55" w:rsidRPr="006B42D6" w:rsidRDefault="008A1E55" w:rsidP="00E16CAE">
            <w:pPr>
              <w:jc w:val="right"/>
              <w:rPr>
                <w:sz w:val="15"/>
                <w:szCs w:val="15"/>
              </w:rPr>
            </w:pPr>
            <w:r w:rsidRPr="006B42D6">
              <w:rPr>
                <w:sz w:val="15"/>
                <w:szCs w:val="15"/>
              </w:rPr>
              <w:t>7.6</w:t>
            </w:r>
          </w:p>
        </w:tc>
        <w:tc>
          <w:tcPr>
            <w:tcW w:w="1197" w:type="dxa"/>
            <w:tcBorders>
              <w:top w:val="nil"/>
              <w:left w:val="nil"/>
              <w:bottom w:val="nil"/>
              <w:right w:val="nil"/>
            </w:tcBorders>
            <w:shd w:val="clear" w:color="auto" w:fill="auto"/>
            <w:noWrap/>
            <w:vAlign w:val="bottom"/>
            <w:hideMark/>
          </w:tcPr>
          <w:p w14:paraId="68C4A393" w14:textId="77777777" w:rsidR="008A1E55" w:rsidRPr="006B42D6" w:rsidRDefault="008A1E55" w:rsidP="00E16CAE">
            <w:pPr>
              <w:jc w:val="right"/>
              <w:rPr>
                <w:sz w:val="15"/>
                <w:szCs w:val="15"/>
              </w:rPr>
            </w:pPr>
            <w:r w:rsidRPr="006B42D6">
              <w:rPr>
                <w:sz w:val="15"/>
                <w:szCs w:val="15"/>
              </w:rPr>
              <w:t>9.3</w:t>
            </w:r>
          </w:p>
        </w:tc>
        <w:tc>
          <w:tcPr>
            <w:tcW w:w="1197" w:type="dxa"/>
            <w:tcBorders>
              <w:top w:val="nil"/>
              <w:left w:val="nil"/>
              <w:bottom w:val="nil"/>
              <w:right w:val="nil"/>
            </w:tcBorders>
            <w:shd w:val="clear" w:color="auto" w:fill="auto"/>
            <w:noWrap/>
            <w:vAlign w:val="bottom"/>
            <w:hideMark/>
          </w:tcPr>
          <w:p w14:paraId="5AC428CD" w14:textId="77777777" w:rsidR="008A1E55" w:rsidRPr="006B42D6" w:rsidRDefault="008A1E55" w:rsidP="00E16CAE">
            <w:pPr>
              <w:jc w:val="right"/>
              <w:rPr>
                <w:sz w:val="15"/>
                <w:szCs w:val="15"/>
              </w:rPr>
            </w:pPr>
            <w:r w:rsidRPr="006B42D6">
              <w:rPr>
                <w:sz w:val="15"/>
                <w:szCs w:val="15"/>
              </w:rPr>
              <w:t>-</w:t>
            </w:r>
          </w:p>
        </w:tc>
        <w:tc>
          <w:tcPr>
            <w:tcW w:w="1197" w:type="dxa"/>
            <w:tcBorders>
              <w:top w:val="nil"/>
              <w:left w:val="nil"/>
              <w:bottom w:val="nil"/>
              <w:right w:val="nil"/>
            </w:tcBorders>
            <w:shd w:val="clear" w:color="auto" w:fill="auto"/>
            <w:noWrap/>
            <w:vAlign w:val="bottom"/>
            <w:hideMark/>
          </w:tcPr>
          <w:p w14:paraId="325E179E" w14:textId="77777777" w:rsidR="008A1E55" w:rsidRPr="006B42D6" w:rsidRDefault="008A1E55" w:rsidP="00E16CAE">
            <w:pPr>
              <w:jc w:val="right"/>
              <w:rPr>
                <w:sz w:val="15"/>
                <w:szCs w:val="15"/>
              </w:rPr>
            </w:pPr>
            <w:r w:rsidRPr="006B42D6">
              <w:rPr>
                <w:sz w:val="15"/>
                <w:szCs w:val="15"/>
              </w:rPr>
              <w:t>-</w:t>
            </w:r>
          </w:p>
        </w:tc>
        <w:tc>
          <w:tcPr>
            <w:tcW w:w="1197" w:type="dxa"/>
            <w:tcBorders>
              <w:top w:val="nil"/>
              <w:left w:val="nil"/>
              <w:bottom w:val="nil"/>
              <w:right w:val="nil"/>
            </w:tcBorders>
            <w:shd w:val="clear" w:color="auto" w:fill="auto"/>
            <w:noWrap/>
            <w:vAlign w:val="bottom"/>
            <w:hideMark/>
          </w:tcPr>
          <w:p w14:paraId="5EBCC563" w14:textId="77777777" w:rsidR="008A1E55" w:rsidRPr="006B42D6" w:rsidRDefault="008A1E55" w:rsidP="00E16CAE">
            <w:pPr>
              <w:jc w:val="right"/>
              <w:rPr>
                <w:sz w:val="15"/>
                <w:szCs w:val="15"/>
              </w:rPr>
            </w:pPr>
            <w:r w:rsidRPr="006B42D6">
              <w:rPr>
                <w:sz w:val="15"/>
                <w:szCs w:val="15"/>
              </w:rPr>
              <w:t>4.2</w:t>
            </w:r>
          </w:p>
        </w:tc>
        <w:tc>
          <w:tcPr>
            <w:tcW w:w="1192" w:type="dxa"/>
            <w:tcBorders>
              <w:top w:val="nil"/>
              <w:left w:val="nil"/>
              <w:bottom w:val="nil"/>
              <w:right w:val="nil"/>
            </w:tcBorders>
            <w:shd w:val="clear" w:color="auto" w:fill="auto"/>
            <w:noWrap/>
            <w:vAlign w:val="bottom"/>
            <w:hideMark/>
          </w:tcPr>
          <w:p w14:paraId="0AED61A0" w14:textId="77777777" w:rsidR="008A1E55" w:rsidRPr="006B42D6" w:rsidRDefault="008A1E55" w:rsidP="00E16CAE">
            <w:pPr>
              <w:jc w:val="right"/>
              <w:rPr>
                <w:sz w:val="15"/>
                <w:szCs w:val="15"/>
              </w:rPr>
            </w:pPr>
            <w:r w:rsidRPr="006B42D6">
              <w:rPr>
                <w:sz w:val="15"/>
                <w:szCs w:val="15"/>
              </w:rPr>
              <w:t>4.2</w:t>
            </w:r>
          </w:p>
        </w:tc>
        <w:tc>
          <w:tcPr>
            <w:tcW w:w="1201" w:type="dxa"/>
            <w:tcBorders>
              <w:top w:val="nil"/>
              <w:left w:val="nil"/>
              <w:bottom w:val="nil"/>
              <w:right w:val="nil"/>
            </w:tcBorders>
            <w:shd w:val="clear" w:color="auto" w:fill="auto"/>
            <w:noWrap/>
            <w:vAlign w:val="bottom"/>
            <w:hideMark/>
          </w:tcPr>
          <w:p w14:paraId="4FC6F7DD" w14:textId="77777777" w:rsidR="008A1E55" w:rsidRPr="006B42D6" w:rsidRDefault="008A1E55" w:rsidP="00E16CAE">
            <w:pPr>
              <w:jc w:val="right"/>
              <w:rPr>
                <w:sz w:val="15"/>
                <w:szCs w:val="15"/>
              </w:rPr>
            </w:pPr>
            <w:r w:rsidRPr="006B42D6">
              <w:rPr>
                <w:sz w:val="15"/>
                <w:szCs w:val="15"/>
              </w:rPr>
              <w:t>7.6</w:t>
            </w:r>
          </w:p>
        </w:tc>
      </w:tr>
      <w:tr w:rsidR="006B42D6" w:rsidRPr="006B42D6" w14:paraId="687B1374" w14:textId="77777777" w:rsidTr="00355DF7">
        <w:trPr>
          <w:trHeight w:val="283"/>
        </w:trPr>
        <w:tc>
          <w:tcPr>
            <w:tcW w:w="1530" w:type="dxa"/>
            <w:tcBorders>
              <w:top w:val="nil"/>
              <w:left w:val="nil"/>
              <w:bottom w:val="nil"/>
              <w:right w:val="nil"/>
            </w:tcBorders>
            <w:shd w:val="clear" w:color="auto" w:fill="auto"/>
            <w:noWrap/>
            <w:vAlign w:val="bottom"/>
            <w:hideMark/>
          </w:tcPr>
          <w:p w14:paraId="1DCBA870" w14:textId="77777777" w:rsidR="008A1E55" w:rsidRPr="006B42D6" w:rsidRDefault="008A1E55" w:rsidP="00E16CAE">
            <w:pPr>
              <w:rPr>
                <w:sz w:val="15"/>
                <w:szCs w:val="15"/>
              </w:rPr>
            </w:pPr>
            <w:r w:rsidRPr="006B42D6">
              <w:rPr>
                <w:sz w:val="15"/>
                <w:szCs w:val="15"/>
              </w:rPr>
              <w:t>Mwanza</w:t>
            </w:r>
          </w:p>
        </w:tc>
        <w:tc>
          <w:tcPr>
            <w:tcW w:w="987" w:type="dxa"/>
            <w:tcBorders>
              <w:top w:val="nil"/>
              <w:left w:val="nil"/>
              <w:bottom w:val="nil"/>
              <w:right w:val="nil"/>
            </w:tcBorders>
            <w:shd w:val="clear" w:color="auto" w:fill="auto"/>
            <w:noWrap/>
            <w:vAlign w:val="bottom"/>
            <w:hideMark/>
          </w:tcPr>
          <w:p w14:paraId="29099480" w14:textId="77777777" w:rsidR="008A1E55" w:rsidRPr="006B42D6" w:rsidRDefault="008A1E55" w:rsidP="00E16CAE">
            <w:pPr>
              <w:jc w:val="right"/>
              <w:rPr>
                <w:sz w:val="15"/>
                <w:szCs w:val="15"/>
              </w:rPr>
            </w:pPr>
            <w:r w:rsidRPr="006B42D6">
              <w:rPr>
                <w:sz w:val="15"/>
                <w:szCs w:val="15"/>
              </w:rPr>
              <w:t>5.2</w:t>
            </w:r>
          </w:p>
        </w:tc>
        <w:tc>
          <w:tcPr>
            <w:tcW w:w="1197" w:type="dxa"/>
            <w:tcBorders>
              <w:top w:val="nil"/>
              <w:left w:val="nil"/>
              <w:bottom w:val="nil"/>
              <w:right w:val="nil"/>
            </w:tcBorders>
            <w:shd w:val="clear" w:color="auto" w:fill="auto"/>
            <w:noWrap/>
            <w:vAlign w:val="bottom"/>
            <w:hideMark/>
          </w:tcPr>
          <w:p w14:paraId="6F92B4BC" w14:textId="77777777" w:rsidR="008A1E55" w:rsidRPr="006B42D6" w:rsidRDefault="008A1E55" w:rsidP="00E16CAE">
            <w:pPr>
              <w:jc w:val="right"/>
              <w:rPr>
                <w:sz w:val="15"/>
                <w:szCs w:val="15"/>
              </w:rPr>
            </w:pPr>
            <w:r w:rsidRPr="006B42D6">
              <w:rPr>
                <w:sz w:val="15"/>
                <w:szCs w:val="15"/>
              </w:rPr>
              <w:t>4.4</w:t>
            </w:r>
          </w:p>
        </w:tc>
        <w:tc>
          <w:tcPr>
            <w:tcW w:w="1197" w:type="dxa"/>
            <w:tcBorders>
              <w:top w:val="nil"/>
              <w:left w:val="nil"/>
              <w:bottom w:val="nil"/>
              <w:right w:val="nil"/>
            </w:tcBorders>
            <w:shd w:val="clear" w:color="auto" w:fill="auto"/>
            <w:noWrap/>
            <w:vAlign w:val="bottom"/>
            <w:hideMark/>
          </w:tcPr>
          <w:p w14:paraId="6A2C8003" w14:textId="77777777" w:rsidR="008A1E55" w:rsidRPr="006B42D6" w:rsidRDefault="008A1E55" w:rsidP="00E16CAE">
            <w:pPr>
              <w:jc w:val="right"/>
              <w:rPr>
                <w:sz w:val="15"/>
                <w:szCs w:val="15"/>
              </w:rPr>
            </w:pPr>
            <w:r w:rsidRPr="006B42D6">
              <w:rPr>
                <w:sz w:val="15"/>
                <w:szCs w:val="15"/>
              </w:rPr>
              <w:t>3.22</w:t>
            </w:r>
          </w:p>
        </w:tc>
        <w:tc>
          <w:tcPr>
            <w:tcW w:w="1197" w:type="dxa"/>
            <w:tcBorders>
              <w:top w:val="nil"/>
              <w:left w:val="nil"/>
              <w:bottom w:val="nil"/>
              <w:right w:val="nil"/>
            </w:tcBorders>
            <w:shd w:val="clear" w:color="auto" w:fill="auto"/>
            <w:noWrap/>
            <w:vAlign w:val="bottom"/>
            <w:hideMark/>
          </w:tcPr>
          <w:p w14:paraId="4837ECB3" w14:textId="77777777" w:rsidR="008A1E55" w:rsidRPr="006B42D6" w:rsidRDefault="008A1E55" w:rsidP="00E16CAE">
            <w:pPr>
              <w:jc w:val="right"/>
              <w:rPr>
                <w:sz w:val="15"/>
                <w:szCs w:val="15"/>
              </w:rPr>
            </w:pPr>
            <w:r w:rsidRPr="006B42D6">
              <w:rPr>
                <w:sz w:val="15"/>
                <w:szCs w:val="15"/>
              </w:rPr>
              <w:t>-</w:t>
            </w:r>
          </w:p>
        </w:tc>
        <w:tc>
          <w:tcPr>
            <w:tcW w:w="1197" w:type="dxa"/>
            <w:tcBorders>
              <w:top w:val="nil"/>
              <w:left w:val="nil"/>
              <w:bottom w:val="nil"/>
              <w:right w:val="nil"/>
            </w:tcBorders>
            <w:shd w:val="clear" w:color="auto" w:fill="auto"/>
            <w:noWrap/>
            <w:vAlign w:val="bottom"/>
            <w:hideMark/>
          </w:tcPr>
          <w:p w14:paraId="2480614D" w14:textId="77777777" w:rsidR="008A1E55" w:rsidRPr="006B42D6" w:rsidRDefault="008A1E55" w:rsidP="00E16CAE">
            <w:pPr>
              <w:jc w:val="right"/>
              <w:rPr>
                <w:sz w:val="15"/>
                <w:szCs w:val="15"/>
              </w:rPr>
            </w:pPr>
            <w:r w:rsidRPr="006B42D6">
              <w:rPr>
                <w:sz w:val="15"/>
                <w:szCs w:val="15"/>
              </w:rPr>
              <w:t>4.5</w:t>
            </w:r>
          </w:p>
        </w:tc>
        <w:tc>
          <w:tcPr>
            <w:tcW w:w="1192" w:type="dxa"/>
            <w:tcBorders>
              <w:top w:val="nil"/>
              <w:left w:val="nil"/>
              <w:bottom w:val="nil"/>
              <w:right w:val="nil"/>
            </w:tcBorders>
            <w:shd w:val="clear" w:color="auto" w:fill="auto"/>
            <w:noWrap/>
            <w:vAlign w:val="bottom"/>
            <w:hideMark/>
          </w:tcPr>
          <w:p w14:paraId="6C218B61" w14:textId="77777777" w:rsidR="008A1E55" w:rsidRPr="006B42D6" w:rsidRDefault="008A1E55" w:rsidP="00E16CAE">
            <w:pPr>
              <w:jc w:val="right"/>
              <w:rPr>
                <w:sz w:val="15"/>
                <w:szCs w:val="15"/>
              </w:rPr>
            </w:pPr>
            <w:r w:rsidRPr="006B42D6">
              <w:rPr>
                <w:sz w:val="15"/>
                <w:szCs w:val="15"/>
              </w:rPr>
              <w:t>5.6</w:t>
            </w:r>
          </w:p>
        </w:tc>
        <w:tc>
          <w:tcPr>
            <w:tcW w:w="1201" w:type="dxa"/>
            <w:tcBorders>
              <w:top w:val="nil"/>
              <w:left w:val="nil"/>
              <w:bottom w:val="nil"/>
              <w:right w:val="nil"/>
            </w:tcBorders>
            <w:shd w:val="clear" w:color="auto" w:fill="auto"/>
            <w:noWrap/>
            <w:vAlign w:val="bottom"/>
            <w:hideMark/>
          </w:tcPr>
          <w:p w14:paraId="5DED0238" w14:textId="77777777" w:rsidR="008A1E55" w:rsidRPr="006B42D6" w:rsidRDefault="008A1E55" w:rsidP="00E16CAE">
            <w:pPr>
              <w:jc w:val="right"/>
              <w:rPr>
                <w:sz w:val="15"/>
                <w:szCs w:val="15"/>
              </w:rPr>
            </w:pPr>
            <w:r w:rsidRPr="006B42D6">
              <w:rPr>
                <w:sz w:val="15"/>
                <w:szCs w:val="15"/>
              </w:rPr>
              <w:t>1.1</w:t>
            </w:r>
          </w:p>
        </w:tc>
      </w:tr>
      <w:tr w:rsidR="006B42D6" w:rsidRPr="006B42D6" w14:paraId="64979290" w14:textId="77777777" w:rsidTr="00355DF7">
        <w:trPr>
          <w:trHeight w:val="283"/>
        </w:trPr>
        <w:tc>
          <w:tcPr>
            <w:tcW w:w="1530" w:type="dxa"/>
            <w:tcBorders>
              <w:top w:val="nil"/>
              <w:left w:val="nil"/>
              <w:bottom w:val="nil"/>
              <w:right w:val="nil"/>
            </w:tcBorders>
            <w:shd w:val="clear" w:color="auto" w:fill="auto"/>
            <w:noWrap/>
            <w:vAlign w:val="bottom"/>
            <w:hideMark/>
          </w:tcPr>
          <w:p w14:paraId="54A645AC" w14:textId="77777777" w:rsidR="008A1E55" w:rsidRPr="006B42D6" w:rsidRDefault="008A1E55" w:rsidP="00E16CAE">
            <w:pPr>
              <w:rPr>
                <w:sz w:val="15"/>
                <w:szCs w:val="15"/>
              </w:rPr>
            </w:pPr>
            <w:r w:rsidRPr="006B42D6">
              <w:rPr>
                <w:sz w:val="15"/>
                <w:szCs w:val="15"/>
              </w:rPr>
              <w:t>Mara</w:t>
            </w:r>
          </w:p>
        </w:tc>
        <w:tc>
          <w:tcPr>
            <w:tcW w:w="987" w:type="dxa"/>
            <w:tcBorders>
              <w:top w:val="nil"/>
              <w:left w:val="nil"/>
              <w:bottom w:val="nil"/>
              <w:right w:val="nil"/>
            </w:tcBorders>
            <w:shd w:val="clear" w:color="auto" w:fill="auto"/>
            <w:noWrap/>
            <w:vAlign w:val="bottom"/>
            <w:hideMark/>
          </w:tcPr>
          <w:p w14:paraId="09CBACFB" w14:textId="77777777" w:rsidR="008A1E55" w:rsidRPr="006B42D6" w:rsidRDefault="008A1E55" w:rsidP="00E16CAE">
            <w:pPr>
              <w:jc w:val="right"/>
              <w:rPr>
                <w:sz w:val="15"/>
                <w:szCs w:val="15"/>
              </w:rPr>
            </w:pPr>
            <w:r w:rsidRPr="006B42D6">
              <w:rPr>
                <w:sz w:val="15"/>
                <w:szCs w:val="15"/>
              </w:rPr>
              <w:t>3.4</w:t>
            </w:r>
          </w:p>
        </w:tc>
        <w:tc>
          <w:tcPr>
            <w:tcW w:w="1197" w:type="dxa"/>
            <w:tcBorders>
              <w:top w:val="nil"/>
              <w:left w:val="nil"/>
              <w:bottom w:val="nil"/>
              <w:right w:val="nil"/>
            </w:tcBorders>
            <w:shd w:val="clear" w:color="auto" w:fill="auto"/>
            <w:noWrap/>
            <w:vAlign w:val="bottom"/>
            <w:hideMark/>
          </w:tcPr>
          <w:p w14:paraId="65B7D653" w14:textId="77777777" w:rsidR="008A1E55" w:rsidRPr="006B42D6" w:rsidRDefault="008A1E55" w:rsidP="00E16CAE">
            <w:pPr>
              <w:jc w:val="right"/>
              <w:rPr>
                <w:sz w:val="15"/>
                <w:szCs w:val="15"/>
              </w:rPr>
            </w:pPr>
            <w:r w:rsidRPr="006B42D6">
              <w:rPr>
                <w:sz w:val="15"/>
                <w:szCs w:val="15"/>
              </w:rPr>
              <w:t>1.7</w:t>
            </w:r>
          </w:p>
        </w:tc>
        <w:tc>
          <w:tcPr>
            <w:tcW w:w="1197" w:type="dxa"/>
            <w:tcBorders>
              <w:top w:val="nil"/>
              <w:left w:val="nil"/>
              <w:bottom w:val="nil"/>
              <w:right w:val="nil"/>
            </w:tcBorders>
            <w:shd w:val="clear" w:color="auto" w:fill="auto"/>
            <w:noWrap/>
            <w:vAlign w:val="bottom"/>
            <w:hideMark/>
          </w:tcPr>
          <w:p w14:paraId="58A61062" w14:textId="77777777" w:rsidR="008A1E55" w:rsidRPr="006B42D6" w:rsidRDefault="008A1E55" w:rsidP="00E16CAE">
            <w:pPr>
              <w:jc w:val="right"/>
              <w:rPr>
                <w:sz w:val="15"/>
                <w:szCs w:val="15"/>
              </w:rPr>
            </w:pPr>
            <w:r w:rsidRPr="006B42D6">
              <w:rPr>
                <w:sz w:val="15"/>
                <w:szCs w:val="15"/>
              </w:rPr>
              <w:t>2.51</w:t>
            </w:r>
          </w:p>
        </w:tc>
        <w:tc>
          <w:tcPr>
            <w:tcW w:w="1197" w:type="dxa"/>
            <w:tcBorders>
              <w:top w:val="nil"/>
              <w:left w:val="nil"/>
              <w:bottom w:val="nil"/>
              <w:right w:val="nil"/>
            </w:tcBorders>
            <w:shd w:val="clear" w:color="auto" w:fill="auto"/>
            <w:noWrap/>
            <w:vAlign w:val="bottom"/>
            <w:hideMark/>
          </w:tcPr>
          <w:p w14:paraId="75CF5E75" w14:textId="77777777" w:rsidR="008A1E55" w:rsidRPr="006B42D6" w:rsidRDefault="008A1E55" w:rsidP="00E16CAE">
            <w:pPr>
              <w:jc w:val="right"/>
              <w:rPr>
                <w:sz w:val="15"/>
                <w:szCs w:val="15"/>
              </w:rPr>
            </w:pPr>
            <w:r w:rsidRPr="006B42D6">
              <w:rPr>
                <w:sz w:val="15"/>
                <w:szCs w:val="15"/>
              </w:rPr>
              <w:t>-</w:t>
            </w:r>
          </w:p>
        </w:tc>
        <w:tc>
          <w:tcPr>
            <w:tcW w:w="1197" w:type="dxa"/>
            <w:tcBorders>
              <w:top w:val="nil"/>
              <w:left w:val="nil"/>
              <w:bottom w:val="nil"/>
              <w:right w:val="nil"/>
            </w:tcBorders>
            <w:shd w:val="clear" w:color="auto" w:fill="auto"/>
            <w:noWrap/>
            <w:vAlign w:val="bottom"/>
            <w:hideMark/>
          </w:tcPr>
          <w:p w14:paraId="2F67AD0F" w14:textId="77777777" w:rsidR="008A1E55" w:rsidRPr="006B42D6" w:rsidRDefault="008A1E55" w:rsidP="00E16CAE">
            <w:pPr>
              <w:jc w:val="right"/>
              <w:rPr>
                <w:sz w:val="15"/>
                <w:szCs w:val="15"/>
              </w:rPr>
            </w:pPr>
            <w:r w:rsidRPr="006B42D6">
              <w:rPr>
                <w:sz w:val="15"/>
                <w:szCs w:val="15"/>
              </w:rPr>
              <w:t>1.8</w:t>
            </w:r>
          </w:p>
        </w:tc>
        <w:tc>
          <w:tcPr>
            <w:tcW w:w="1192" w:type="dxa"/>
            <w:tcBorders>
              <w:top w:val="nil"/>
              <w:left w:val="nil"/>
              <w:bottom w:val="nil"/>
              <w:right w:val="nil"/>
            </w:tcBorders>
            <w:shd w:val="clear" w:color="auto" w:fill="auto"/>
            <w:noWrap/>
            <w:vAlign w:val="bottom"/>
            <w:hideMark/>
          </w:tcPr>
          <w:p w14:paraId="3766EA59" w14:textId="77777777" w:rsidR="008A1E55" w:rsidRPr="006B42D6" w:rsidRDefault="008A1E55" w:rsidP="00E16CAE">
            <w:pPr>
              <w:jc w:val="right"/>
              <w:rPr>
                <w:sz w:val="15"/>
                <w:szCs w:val="15"/>
              </w:rPr>
            </w:pPr>
            <w:r w:rsidRPr="006B42D6">
              <w:rPr>
                <w:sz w:val="15"/>
                <w:szCs w:val="15"/>
              </w:rPr>
              <w:t>2.7</w:t>
            </w:r>
          </w:p>
        </w:tc>
        <w:tc>
          <w:tcPr>
            <w:tcW w:w="1201" w:type="dxa"/>
            <w:tcBorders>
              <w:top w:val="nil"/>
              <w:left w:val="nil"/>
              <w:bottom w:val="nil"/>
              <w:right w:val="nil"/>
            </w:tcBorders>
            <w:shd w:val="clear" w:color="auto" w:fill="auto"/>
            <w:noWrap/>
            <w:vAlign w:val="bottom"/>
            <w:hideMark/>
          </w:tcPr>
          <w:p w14:paraId="02392044" w14:textId="77777777" w:rsidR="008A1E55" w:rsidRPr="006B42D6" w:rsidRDefault="008A1E55" w:rsidP="00E16CAE">
            <w:pPr>
              <w:jc w:val="right"/>
              <w:rPr>
                <w:sz w:val="15"/>
                <w:szCs w:val="15"/>
              </w:rPr>
            </w:pPr>
            <w:r w:rsidRPr="006B42D6">
              <w:rPr>
                <w:sz w:val="15"/>
                <w:szCs w:val="15"/>
              </w:rPr>
              <w:t>0.1</w:t>
            </w:r>
          </w:p>
        </w:tc>
      </w:tr>
      <w:tr w:rsidR="006B42D6" w:rsidRPr="006B42D6" w14:paraId="39B4E9F5" w14:textId="77777777" w:rsidTr="00355DF7">
        <w:trPr>
          <w:trHeight w:val="283"/>
        </w:trPr>
        <w:tc>
          <w:tcPr>
            <w:tcW w:w="1530" w:type="dxa"/>
            <w:tcBorders>
              <w:top w:val="nil"/>
              <w:left w:val="nil"/>
              <w:bottom w:val="nil"/>
              <w:right w:val="nil"/>
            </w:tcBorders>
            <w:shd w:val="clear" w:color="auto" w:fill="auto"/>
            <w:noWrap/>
            <w:vAlign w:val="bottom"/>
            <w:hideMark/>
          </w:tcPr>
          <w:p w14:paraId="25DE918E" w14:textId="77777777" w:rsidR="008A1E55" w:rsidRPr="006B42D6" w:rsidRDefault="008A1E55" w:rsidP="00E16CAE">
            <w:pPr>
              <w:rPr>
                <w:sz w:val="15"/>
                <w:szCs w:val="15"/>
              </w:rPr>
            </w:pPr>
            <w:r w:rsidRPr="006B42D6">
              <w:rPr>
                <w:sz w:val="15"/>
                <w:szCs w:val="15"/>
              </w:rPr>
              <w:t>Manyara</w:t>
            </w:r>
          </w:p>
        </w:tc>
        <w:tc>
          <w:tcPr>
            <w:tcW w:w="987" w:type="dxa"/>
            <w:tcBorders>
              <w:top w:val="nil"/>
              <w:left w:val="nil"/>
              <w:bottom w:val="nil"/>
              <w:right w:val="nil"/>
            </w:tcBorders>
            <w:shd w:val="clear" w:color="auto" w:fill="auto"/>
            <w:noWrap/>
            <w:vAlign w:val="bottom"/>
            <w:hideMark/>
          </w:tcPr>
          <w:p w14:paraId="6682CD00" w14:textId="77777777" w:rsidR="008A1E55" w:rsidRPr="006B42D6" w:rsidRDefault="008A1E55" w:rsidP="00E16CAE">
            <w:pPr>
              <w:jc w:val="right"/>
              <w:rPr>
                <w:sz w:val="15"/>
                <w:szCs w:val="15"/>
              </w:rPr>
            </w:pPr>
            <w:r w:rsidRPr="006B42D6">
              <w:rPr>
                <w:sz w:val="15"/>
                <w:szCs w:val="15"/>
              </w:rPr>
              <w:t>4.4</w:t>
            </w:r>
          </w:p>
        </w:tc>
        <w:tc>
          <w:tcPr>
            <w:tcW w:w="1197" w:type="dxa"/>
            <w:tcBorders>
              <w:top w:val="nil"/>
              <w:left w:val="nil"/>
              <w:bottom w:val="nil"/>
              <w:right w:val="nil"/>
            </w:tcBorders>
            <w:shd w:val="clear" w:color="auto" w:fill="auto"/>
            <w:noWrap/>
            <w:vAlign w:val="bottom"/>
            <w:hideMark/>
          </w:tcPr>
          <w:p w14:paraId="42FF5FBA" w14:textId="77777777" w:rsidR="008A1E55" w:rsidRPr="006B42D6" w:rsidRDefault="008A1E55" w:rsidP="00E16CAE">
            <w:pPr>
              <w:jc w:val="right"/>
              <w:rPr>
                <w:sz w:val="15"/>
                <w:szCs w:val="15"/>
              </w:rPr>
            </w:pPr>
            <w:r w:rsidRPr="006B42D6">
              <w:rPr>
                <w:sz w:val="15"/>
                <w:szCs w:val="15"/>
              </w:rPr>
              <w:t>4.6</w:t>
            </w:r>
          </w:p>
        </w:tc>
        <w:tc>
          <w:tcPr>
            <w:tcW w:w="1197" w:type="dxa"/>
            <w:tcBorders>
              <w:top w:val="nil"/>
              <w:left w:val="nil"/>
              <w:bottom w:val="nil"/>
              <w:right w:val="nil"/>
            </w:tcBorders>
            <w:shd w:val="clear" w:color="auto" w:fill="auto"/>
            <w:noWrap/>
            <w:vAlign w:val="bottom"/>
            <w:hideMark/>
          </w:tcPr>
          <w:p w14:paraId="5A083D88" w14:textId="77777777" w:rsidR="008A1E55" w:rsidRPr="006B42D6" w:rsidRDefault="008A1E55" w:rsidP="00E16CAE">
            <w:pPr>
              <w:jc w:val="right"/>
              <w:rPr>
                <w:sz w:val="15"/>
                <w:szCs w:val="15"/>
              </w:rPr>
            </w:pPr>
            <w:r w:rsidRPr="006B42D6">
              <w:rPr>
                <w:sz w:val="15"/>
                <w:szCs w:val="15"/>
              </w:rPr>
              <w:t>22.98</w:t>
            </w:r>
          </w:p>
        </w:tc>
        <w:tc>
          <w:tcPr>
            <w:tcW w:w="1197" w:type="dxa"/>
            <w:tcBorders>
              <w:top w:val="nil"/>
              <w:left w:val="nil"/>
              <w:bottom w:val="nil"/>
              <w:right w:val="nil"/>
            </w:tcBorders>
            <w:shd w:val="clear" w:color="auto" w:fill="auto"/>
            <w:noWrap/>
            <w:vAlign w:val="bottom"/>
            <w:hideMark/>
          </w:tcPr>
          <w:p w14:paraId="092D77E1" w14:textId="77777777" w:rsidR="008A1E55" w:rsidRPr="006B42D6" w:rsidRDefault="008A1E55" w:rsidP="00E16CAE">
            <w:pPr>
              <w:jc w:val="right"/>
              <w:rPr>
                <w:sz w:val="15"/>
                <w:szCs w:val="15"/>
              </w:rPr>
            </w:pPr>
            <w:r w:rsidRPr="006B42D6">
              <w:rPr>
                <w:sz w:val="15"/>
                <w:szCs w:val="15"/>
              </w:rPr>
              <w:t>-</w:t>
            </w:r>
          </w:p>
        </w:tc>
        <w:tc>
          <w:tcPr>
            <w:tcW w:w="1197" w:type="dxa"/>
            <w:tcBorders>
              <w:top w:val="nil"/>
              <w:left w:val="nil"/>
              <w:bottom w:val="nil"/>
              <w:right w:val="nil"/>
            </w:tcBorders>
            <w:shd w:val="clear" w:color="auto" w:fill="auto"/>
            <w:noWrap/>
            <w:vAlign w:val="bottom"/>
            <w:hideMark/>
          </w:tcPr>
          <w:p w14:paraId="305CB4AD" w14:textId="77777777" w:rsidR="008A1E55" w:rsidRPr="006B42D6" w:rsidRDefault="008A1E55" w:rsidP="00E16CAE">
            <w:pPr>
              <w:jc w:val="right"/>
              <w:rPr>
                <w:sz w:val="15"/>
                <w:szCs w:val="15"/>
              </w:rPr>
            </w:pPr>
            <w:r w:rsidRPr="006B42D6">
              <w:rPr>
                <w:sz w:val="15"/>
                <w:szCs w:val="15"/>
              </w:rPr>
              <w:t>3.0</w:t>
            </w:r>
          </w:p>
        </w:tc>
        <w:tc>
          <w:tcPr>
            <w:tcW w:w="1192" w:type="dxa"/>
            <w:tcBorders>
              <w:top w:val="nil"/>
              <w:left w:val="nil"/>
              <w:bottom w:val="nil"/>
              <w:right w:val="nil"/>
            </w:tcBorders>
            <w:shd w:val="clear" w:color="auto" w:fill="auto"/>
            <w:noWrap/>
            <w:vAlign w:val="bottom"/>
            <w:hideMark/>
          </w:tcPr>
          <w:p w14:paraId="6F8C24B1" w14:textId="77777777" w:rsidR="008A1E55" w:rsidRPr="006B42D6" w:rsidRDefault="008A1E55" w:rsidP="00E16CAE">
            <w:pPr>
              <w:jc w:val="right"/>
              <w:rPr>
                <w:sz w:val="15"/>
                <w:szCs w:val="15"/>
              </w:rPr>
            </w:pPr>
            <w:r w:rsidRPr="006B42D6">
              <w:rPr>
                <w:sz w:val="15"/>
                <w:szCs w:val="15"/>
              </w:rPr>
              <w:t>2.1</w:t>
            </w:r>
          </w:p>
        </w:tc>
        <w:tc>
          <w:tcPr>
            <w:tcW w:w="1201" w:type="dxa"/>
            <w:tcBorders>
              <w:top w:val="nil"/>
              <w:left w:val="nil"/>
              <w:bottom w:val="nil"/>
              <w:right w:val="nil"/>
            </w:tcBorders>
            <w:shd w:val="clear" w:color="auto" w:fill="auto"/>
            <w:noWrap/>
            <w:vAlign w:val="bottom"/>
            <w:hideMark/>
          </w:tcPr>
          <w:p w14:paraId="6E687DF4" w14:textId="77777777" w:rsidR="008A1E55" w:rsidRPr="006B42D6" w:rsidRDefault="008A1E55" w:rsidP="00E16CAE">
            <w:pPr>
              <w:jc w:val="right"/>
              <w:rPr>
                <w:sz w:val="15"/>
                <w:szCs w:val="15"/>
              </w:rPr>
            </w:pPr>
            <w:r w:rsidRPr="006B42D6">
              <w:rPr>
                <w:sz w:val="15"/>
                <w:szCs w:val="15"/>
              </w:rPr>
              <w:t>0.4</w:t>
            </w:r>
          </w:p>
        </w:tc>
      </w:tr>
      <w:tr w:rsidR="006B42D6" w:rsidRPr="006B42D6" w14:paraId="65E9F4AA" w14:textId="77777777" w:rsidTr="00355DF7">
        <w:trPr>
          <w:trHeight w:val="283"/>
        </w:trPr>
        <w:tc>
          <w:tcPr>
            <w:tcW w:w="1530" w:type="dxa"/>
            <w:tcBorders>
              <w:top w:val="nil"/>
              <w:left w:val="nil"/>
              <w:bottom w:val="nil"/>
              <w:right w:val="nil"/>
            </w:tcBorders>
            <w:shd w:val="clear" w:color="auto" w:fill="auto"/>
            <w:noWrap/>
            <w:vAlign w:val="bottom"/>
            <w:hideMark/>
          </w:tcPr>
          <w:p w14:paraId="6C8040A1" w14:textId="77777777" w:rsidR="008A1E55" w:rsidRPr="006B42D6" w:rsidRDefault="008A1E55" w:rsidP="00E16CAE">
            <w:pPr>
              <w:rPr>
                <w:sz w:val="15"/>
                <w:szCs w:val="15"/>
              </w:rPr>
            </w:pPr>
            <w:r w:rsidRPr="006B42D6">
              <w:rPr>
                <w:sz w:val="15"/>
                <w:szCs w:val="15"/>
              </w:rPr>
              <w:t>Njombe</w:t>
            </w:r>
          </w:p>
        </w:tc>
        <w:tc>
          <w:tcPr>
            <w:tcW w:w="987" w:type="dxa"/>
            <w:tcBorders>
              <w:top w:val="nil"/>
              <w:left w:val="nil"/>
              <w:bottom w:val="nil"/>
              <w:right w:val="nil"/>
            </w:tcBorders>
            <w:shd w:val="clear" w:color="auto" w:fill="auto"/>
            <w:noWrap/>
            <w:vAlign w:val="bottom"/>
            <w:hideMark/>
          </w:tcPr>
          <w:p w14:paraId="0F3C5E85" w14:textId="77777777" w:rsidR="008A1E55" w:rsidRPr="006B42D6" w:rsidRDefault="008A1E55" w:rsidP="00E16CAE">
            <w:pPr>
              <w:jc w:val="right"/>
              <w:rPr>
                <w:sz w:val="15"/>
                <w:szCs w:val="15"/>
              </w:rPr>
            </w:pPr>
            <w:r w:rsidRPr="006B42D6">
              <w:rPr>
                <w:sz w:val="15"/>
                <w:szCs w:val="15"/>
              </w:rPr>
              <w:t>1.6</w:t>
            </w:r>
          </w:p>
        </w:tc>
        <w:tc>
          <w:tcPr>
            <w:tcW w:w="1197" w:type="dxa"/>
            <w:tcBorders>
              <w:top w:val="nil"/>
              <w:left w:val="nil"/>
              <w:bottom w:val="nil"/>
              <w:right w:val="nil"/>
            </w:tcBorders>
            <w:shd w:val="clear" w:color="auto" w:fill="auto"/>
            <w:noWrap/>
            <w:vAlign w:val="bottom"/>
            <w:hideMark/>
          </w:tcPr>
          <w:p w14:paraId="1A02DBE0" w14:textId="77777777" w:rsidR="008A1E55" w:rsidRPr="006B42D6" w:rsidRDefault="008A1E55" w:rsidP="00E16CAE">
            <w:pPr>
              <w:jc w:val="right"/>
              <w:rPr>
                <w:sz w:val="15"/>
                <w:szCs w:val="15"/>
              </w:rPr>
            </w:pPr>
            <w:r w:rsidRPr="006B42D6">
              <w:rPr>
                <w:sz w:val="15"/>
                <w:szCs w:val="15"/>
              </w:rPr>
              <w:t>0.8</w:t>
            </w:r>
          </w:p>
        </w:tc>
        <w:tc>
          <w:tcPr>
            <w:tcW w:w="1197" w:type="dxa"/>
            <w:tcBorders>
              <w:top w:val="nil"/>
              <w:left w:val="nil"/>
              <w:bottom w:val="nil"/>
              <w:right w:val="nil"/>
            </w:tcBorders>
            <w:shd w:val="clear" w:color="auto" w:fill="auto"/>
            <w:noWrap/>
            <w:vAlign w:val="bottom"/>
            <w:hideMark/>
          </w:tcPr>
          <w:p w14:paraId="7AB9E5C1" w14:textId="77777777" w:rsidR="008A1E55" w:rsidRPr="006B42D6" w:rsidRDefault="008A1E55" w:rsidP="00E16CAE">
            <w:pPr>
              <w:jc w:val="right"/>
              <w:rPr>
                <w:sz w:val="15"/>
                <w:szCs w:val="15"/>
              </w:rPr>
            </w:pPr>
            <w:r w:rsidRPr="006B42D6">
              <w:rPr>
                <w:sz w:val="15"/>
                <w:szCs w:val="15"/>
              </w:rPr>
              <w:t>1.26</w:t>
            </w:r>
          </w:p>
        </w:tc>
        <w:tc>
          <w:tcPr>
            <w:tcW w:w="1197" w:type="dxa"/>
            <w:tcBorders>
              <w:top w:val="nil"/>
              <w:left w:val="nil"/>
              <w:bottom w:val="nil"/>
              <w:right w:val="nil"/>
            </w:tcBorders>
            <w:shd w:val="clear" w:color="auto" w:fill="auto"/>
            <w:noWrap/>
            <w:vAlign w:val="bottom"/>
            <w:hideMark/>
          </w:tcPr>
          <w:p w14:paraId="48B024F5" w14:textId="77777777" w:rsidR="008A1E55" w:rsidRPr="006B42D6" w:rsidRDefault="008A1E55" w:rsidP="00E16CAE">
            <w:pPr>
              <w:jc w:val="right"/>
              <w:rPr>
                <w:sz w:val="15"/>
                <w:szCs w:val="15"/>
              </w:rPr>
            </w:pPr>
            <w:r w:rsidRPr="006B42D6">
              <w:rPr>
                <w:sz w:val="15"/>
                <w:szCs w:val="15"/>
              </w:rPr>
              <w:t>3.3</w:t>
            </w:r>
          </w:p>
        </w:tc>
        <w:tc>
          <w:tcPr>
            <w:tcW w:w="1197" w:type="dxa"/>
            <w:tcBorders>
              <w:top w:val="nil"/>
              <w:left w:val="nil"/>
              <w:bottom w:val="nil"/>
              <w:right w:val="nil"/>
            </w:tcBorders>
            <w:shd w:val="clear" w:color="auto" w:fill="auto"/>
            <w:noWrap/>
            <w:vAlign w:val="bottom"/>
            <w:hideMark/>
          </w:tcPr>
          <w:p w14:paraId="2886B0FC" w14:textId="77777777" w:rsidR="008A1E55" w:rsidRPr="006B42D6" w:rsidRDefault="008A1E55" w:rsidP="00E16CAE">
            <w:pPr>
              <w:jc w:val="right"/>
              <w:rPr>
                <w:sz w:val="15"/>
                <w:szCs w:val="15"/>
              </w:rPr>
            </w:pPr>
            <w:r w:rsidRPr="006B42D6">
              <w:rPr>
                <w:sz w:val="15"/>
                <w:szCs w:val="15"/>
              </w:rPr>
              <w:t>0.8</w:t>
            </w:r>
          </w:p>
        </w:tc>
        <w:tc>
          <w:tcPr>
            <w:tcW w:w="1192" w:type="dxa"/>
            <w:tcBorders>
              <w:top w:val="nil"/>
              <w:left w:val="nil"/>
              <w:bottom w:val="nil"/>
              <w:right w:val="nil"/>
            </w:tcBorders>
            <w:shd w:val="clear" w:color="auto" w:fill="auto"/>
            <w:noWrap/>
            <w:vAlign w:val="bottom"/>
            <w:hideMark/>
          </w:tcPr>
          <w:p w14:paraId="52406F30" w14:textId="77777777" w:rsidR="008A1E55" w:rsidRPr="006B42D6" w:rsidRDefault="008A1E55" w:rsidP="00E16CAE">
            <w:pPr>
              <w:jc w:val="right"/>
              <w:rPr>
                <w:sz w:val="15"/>
                <w:szCs w:val="15"/>
              </w:rPr>
            </w:pPr>
            <w:r w:rsidRPr="006B42D6">
              <w:rPr>
                <w:sz w:val="15"/>
                <w:szCs w:val="15"/>
              </w:rPr>
              <w:t>3.1</w:t>
            </w:r>
          </w:p>
        </w:tc>
        <w:tc>
          <w:tcPr>
            <w:tcW w:w="1201" w:type="dxa"/>
            <w:tcBorders>
              <w:top w:val="nil"/>
              <w:left w:val="nil"/>
              <w:bottom w:val="nil"/>
              <w:right w:val="nil"/>
            </w:tcBorders>
            <w:shd w:val="clear" w:color="auto" w:fill="auto"/>
            <w:noWrap/>
            <w:vAlign w:val="bottom"/>
            <w:hideMark/>
          </w:tcPr>
          <w:p w14:paraId="0CF674C2" w14:textId="77777777" w:rsidR="008A1E55" w:rsidRPr="006B42D6" w:rsidRDefault="008A1E55" w:rsidP="00E16CAE">
            <w:pPr>
              <w:jc w:val="right"/>
              <w:rPr>
                <w:sz w:val="15"/>
                <w:szCs w:val="15"/>
              </w:rPr>
            </w:pPr>
            <w:r w:rsidRPr="006B42D6">
              <w:rPr>
                <w:sz w:val="15"/>
                <w:szCs w:val="15"/>
              </w:rPr>
              <w:t>-</w:t>
            </w:r>
          </w:p>
        </w:tc>
      </w:tr>
      <w:tr w:rsidR="006B42D6" w:rsidRPr="006B42D6" w14:paraId="7CE7EBB4" w14:textId="77777777" w:rsidTr="00355DF7">
        <w:trPr>
          <w:trHeight w:val="283"/>
        </w:trPr>
        <w:tc>
          <w:tcPr>
            <w:tcW w:w="1530" w:type="dxa"/>
            <w:tcBorders>
              <w:top w:val="nil"/>
              <w:left w:val="nil"/>
              <w:bottom w:val="nil"/>
              <w:right w:val="nil"/>
            </w:tcBorders>
            <w:shd w:val="clear" w:color="auto" w:fill="auto"/>
            <w:noWrap/>
            <w:vAlign w:val="bottom"/>
            <w:hideMark/>
          </w:tcPr>
          <w:p w14:paraId="5B5C14D1" w14:textId="77777777" w:rsidR="008A1E55" w:rsidRPr="006B42D6" w:rsidRDefault="008A1E55" w:rsidP="00E16CAE">
            <w:pPr>
              <w:rPr>
                <w:sz w:val="15"/>
                <w:szCs w:val="15"/>
              </w:rPr>
            </w:pPr>
            <w:r w:rsidRPr="006B42D6">
              <w:rPr>
                <w:sz w:val="15"/>
                <w:szCs w:val="15"/>
              </w:rPr>
              <w:t>Katavi</w:t>
            </w:r>
          </w:p>
        </w:tc>
        <w:tc>
          <w:tcPr>
            <w:tcW w:w="987" w:type="dxa"/>
            <w:tcBorders>
              <w:top w:val="nil"/>
              <w:left w:val="nil"/>
              <w:bottom w:val="nil"/>
              <w:right w:val="nil"/>
            </w:tcBorders>
            <w:shd w:val="clear" w:color="auto" w:fill="auto"/>
            <w:noWrap/>
            <w:vAlign w:val="bottom"/>
            <w:hideMark/>
          </w:tcPr>
          <w:p w14:paraId="769787D0" w14:textId="77777777" w:rsidR="008A1E55" w:rsidRPr="006B42D6" w:rsidRDefault="008A1E55" w:rsidP="00E16CAE">
            <w:pPr>
              <w:jc w:val="right"/>
              <w:rPr>
                <w:sz w:val="15"/>
                <w:szCs w:val="15"/>
              </w:rPr>
            </w:pPr>
            <w:r w:rsidRPr="006B42D6">
              <w:rPr>
                <w:sz w:val="15"/>
                <w:szCs w:val="15"/>
              </w:rPr>
              <w:t>1.1</w:t>
            </w:r>
          </w:p>
        </w:tc>
        <w:tc>
          <w:tcPr>
            <w:tcW w:w="1197" w:type="dxa"/>
            <w:tcBorders>
              <w:top w:val="nil"/>
              <w:left w:val="nil"/>
              <w:bottom w:val="nil"/>
              <w:right w:val="nil"/>
            </w:tcBorders>
            <w:shd w:val="clear" w:color="auto" w:fill="auto"/>
            <w:noWrap/>
            <w:vAlign w:val="bottom"/>
            <w:hideMark/>
          </w:tcPr>
          <w:p w14:paraId="2E423A5D" w14:textId="77777777" w:rsidR="008A1E55" w:rsidRPr="006B42D6" w:rsidRDefault="008A1E55" w:rsidP="00E16CAE">
            <w:pPr>
              <w:jc w:val="right"/>
              <w:rPr>
                <w:sz w:val="15"/>
                <w:szCs w:val="15"/>
              </w:rPr>
            </w:pPr>
            <w:r w:rsidRPr="006B42D6">
              <w:rPr>
                <w:sz w:val="15"/>
                <w:szCs w:val="15"/>
              </w:rPr>
              <w:t>-</w:t>
            </w:r>
          </w:p>
        </w:tc>
        <w:tc>
          <w:tcPr>
            <w:tcW w:w="1197" w:type="dxa"/>
            <w:tcBorders>
              <w:top w:val="nil"/>
              <w:left w:val="nil"/>
              <w:bottom w:val="nil"/>
              <w:right w:val="nil"/>
            </w:tcBorders>
            <w:shd w:val="clear" w:color="auto" w:fill="auto"/>
            <w:noWrap/>
            <w:vAlign w:val="bottom"/>
            <w:hideMark/>
          </w:tcPr>
          <w:p w14:paraId="3DC5C8BE" w14:textId="77777777" w:rsidR="008A1E55" w:rsidRPr="006B42D6" w:rsidRDefault="008A1E55" w:rsidP="00E16CAE">
            <w:pPr>
              <w:jc w:val="right"/>
              <w:rPr>
                <w:sz w:val="15"/>
                <w:szCs w:val="15"/>
              </w:rPr>
            </w:pPr>
            <w:r w:rsidRPr="006B42D6">
              <w:rPr>
                <w:sz w:val="15"/>
                <w:szCs w:val="15"/>
              </w:rPr>
              <w:t>-</w:t>
            </w:r>
          </w:p>
        </w:tc>
        <w:tc>
          <w:tcPr>
            <w:tcW w:w="1197" w:type="dxa"/>
            <w:tcBorders>
              <w:top w:val="nil"/>
              <w:left w:val="nil"/>
              <w:bottom w:val="nil"/>
              <w:right w:val="nil"/>
            </w:tcBorders>
            <w:shd w:val="clear" w:color="auto" w:fill="auto"/>
            <w:noWrap/>
            <w:vAlign w:val="bottom"/>
            <w:hideMark/>
          </w:tcPr>
          <w:p w14:paraId="67B2FB63" w14:textId="77777777" w:rsidR="008A1E55" w:rsidRPr="006B42D6" w:rsidRDefault="008A1E55" w:rsidP="00E16CAE">
            <w:pPr>
              <w:jc w:val="right"/>
              <w:rPr>
                <w:sz w:val="15"/>
                <w:szCs w:val="15"/>
              </w:rPr>
            </w:pPr>
            <w:r w:rsidRPr="006B42D6">
              <w:rPr>
                <w:sz w:val="15"/>
                <w:szCs w:val="15"/>
              </w:rPr>
              <w:t>-</w:t>
            </w:r>
          </w:p>
        </w:tc>
        <w:tc>
          <w:tcPr>
            <w:tcW w:w="1197" w:type="dxa"/>
            <w:tcBorders>
              <w:top w:val="nil"/>
              <w:left w:val="nil"/>
              <w:bottom w:val="nil"/>
              <w:right w:val="nil"/>
            </w:tcBorders>
            <w:shd w:val="clear" w:color="auto" w:fill="auto"/>
            <w:noWrap/>
            <w:vAlign w:val="bottom"/>
            <w:hideMark/>
          </w:tcPr>
          <w:p w14:paraId="5862E10D" w14:textId="77777777" w:rsidR="008A1E55" w:rsidRPr="006B42D6" w:rsidRDefault="008A1E55" w:rsidP="00E16CAE">
            <w:pPr>
              <w:jc w:val="right"/>
              <w:rPr>
                <w:sz w:val="15"/>
                <w:szCs w:val="15"/>
              </w:rPr>
            </w:pPr>
            <w:r w:rsidRPr="006B42D6">
              <w:rPr>
                <w:sz w:val="15"/>
                <w:szCs w:val="15"/>
              </w:rPr>
              <w:t>0.4</w:t>
            </w:r>
          </w:p>
        </w:tc>
        <w:tc>
          <w:tcPr>
            <w:tcW w:w="1192" w:type="dxa"/>
            <w:tcBorders>
              <w:top w:val="nil"/>
              <w:left w:val="nil"/>
              <w:bottom w:val="nil"/>
              <w:right w:val="nil"/>
            </w:tcBorders>
            <w:shd w:val="clear" w:color="auto" w:fill="auto"/>
            <w:noWrap/>
            <w:vAlign w:val="bottom"/>
            <w:hideMark/>
          </w:tcPr>
          <w:p w14:paraId="646092A0" w14:textId="77777777" w:rsidR="008A1E55" w:rsidRPr="006B42D6" w:rsidRDefault="008A1E55" w:rsidP="00E16CAE">
            <w:pPr>
              <w:jc w:val="right"/>
              <w:rPr>
                <w:sz w:val="15"/>
                <w:szCs w:val="15"/>
              </w:rPr>
            </w:pPr>
            <w:r w:rsidRPr="006B42D6">
              <w:rPr>
                <w:sz w:val="15"/>
                <w:szCs w:val="15"/>
              </w:rPr>
              <w:t>0.9</w:t>
            </w:r>
          </w:p>
        </w:tc>
        <w:tc>
          <w:tcPr>
            <w:tcW w:w="1201" w:type="dxa"/>
            <w:tcBorders>
              <w:top w:val="nil"/>
              <w:left w:val="nil"/>
              <w:bottom w:val="nil"/>
              <w:right w:val="nil"/>
            </w:tcBorders>
            <w:shd w:val="clear" w:color="auto" w:fill="auto"/>
            <w:noWrap/>
            <w:vAlign w:val="bottom"/>
            <w:hideMark/>
          </w:tcPr>
          <w:p w14:paraId="67E5FB55" w14:textId="77777777" w:rsidR="008A1E55" w:rsidRPr="006B42D6" w:rsidRDefault="008A1E55" w:rsidP="00E16CAE">
            <w:pPr>
              <w:jc w:val="right"/>
              <w:rPr>
                <w:sz w:val="15"/>
                <w:szCs w:val="15"/>
              </w:rPr>
            </w:pPr>
            <w:r w:rsidRPr="006B42D6">
              <w:rPr>
                <w:sz w:val="15"/>
                <w:szCs w:val="15"/>
              </w:rPr>
              <w:t>1.4</w:t>
            </w:r>
          </w:p>
        </w:tc>
      </w:tr>
      <w:tr w:rsidR="006B42D6" w:rsidRPr="006B42D6" w14:paraId="5F9598D8" w14:textId="77777777" w:rsidTr="00355DF7">
        <w:trPr>
          <w:trHeight w:val="283"/>
        </w:trPr>
        <w:tc>
          <w:tcPr>
            <w:tcW w:w="1530" w:type="dxa"/>
            <w:tcBorders>
              <w:top w:val="nil"/>
              <w:left w:val="nil"/>
              <w:bottom w:val="nil"/>
              <w:right w:val="nil"/>
            </w:tcBorders>
            <w:shd w:val="clear" w:color="auto" w:fill="auto"/>
            <w:noWrap/>
            <w:vAlign w:val="bottom"/>
            <w:hideMark/>
          </w:tcPr>
          <w:p w14:paraId="684A53F2" w14:textId="77777777" w:rsidR="008A1E55" w:rsidRPr="006B42D6" w:rsidRDefault="008A1E55" w:rsidP="00E16CAE">
            <w:pPr>
              <w:rPr>
                <w:sz w:val="15"/>
                <w:szCs w:val="15"/>
              </w:rPr>
            </w:pPr>
            <w:r w:rsidRPr="006B42D6">
              <w:rPr>
                <w:sz w:val="15"/>
                <w:szCs w:val="15"/>
              </w:rPr>
              <w:t>Simiyu</w:t>
            </w:r>
          </w:p>
        </w:tc>
        <w:tc>
          <w:tcPr>
            <w:tcW w:w="987" w:type="dxa"/>
            <w:tcBorders>
              <w:top w:val="nil"/>
              <w:left w:val="nil"/>
              <w:bottom w:val="nil"/>
              <w:right w:val="nil"/>
            </w:tcBorders>
            <w:shd w:val="clear" w:color="auto" w:fill="auto"/>
            <w:noWrap/>
            <w:vAlign w:val="bottom"/>
            <w:hideMark/>
          </w:tcPr>
          <w:p w14:paraId="068358FD" w14:textId="77777777" w:rsidR="008A1E55" w:rsidRPr="006B42D6" w:rsidRDefault="008A1E55" w:rsidP="00E16CAE">
            <w:pPr>
              <w:jc w:val="right"/>
              <w:rPr>
                <w:sz w:val="15"/>
                <w:szCs w:val="15"/>
              </w:rPr>
            </w:pPr>
            <w:r w:rsidRPr="006B42D6">
              <w:rPr>
                <w:sz w:val="15"/>
                <w:szCs w:val="15"/>
              </w:rPr>
              <w:t>3.1</w:t>
            </w:r>
          </w:p>
        </w:tc>
        <w:tc>
          <w:tcPr>
            <w:tcW w:w="1197" w:type="dxa"/>
            <w:tcBorders>
              <w:top w:val="nil"/>
              <w:left w:val="nil"/>
              <w:bottom w:val="nil"/>
              <w:right w:val="nil"/>
            </w:tcBorders>
            <w:shd w:val="clear" w:color="auto" w:fill="auto"/>
            <w:noWrap/>
            <w:vAlign w:val="bottom"/>
            <w:hideMark/>
          </w:tcPr>
          <w:p w14:paraId="77F98EDD" w14:textId="77777777" w:rsidR="008A1E55" w:rsidRPr="006B42D6" w:rsidRDefault="008A1E55" w:rsidP="00E16CAE">
            <w:pPr>
              <w:jc w:val="right"/>
              <w:rPr>
                <w:sz w:val="15"/>
                <w:szCs w:val="15"/>
              </w:rPr>
            </w:pPr>
            <w:r w:rsidRPr="006B42D6">
              <w:rPr>
                <w:sz w:val="15"/>
                <w:szCs w:val="15"/>
              </w:rPr>
              <w:t>0.7</w:t>
            </w:r>
          </w:p>
        </w:tc>
        <w:tc>
          <w:tcPr>
            <w:tcW w:w="1197" w:type="dxa"/>
            <w:tcBorders>
              <w:top w:val="nil"/>
              <w:left w:val="nil"/>
              <w:bottom w:val="nil"/>
              <w:right w:val="nil"/>
            </w:tcBorders>
            <w:shd w:val="clear" w:color="auto" w:fill="auto"/>
            <w:noWrap/>
            <w:vAlign w:val="bottom"/>
            <w:hideMark/>
          </w:tcPr>
          <w:p w14:paraId="3BEAB3E3" w14:textId="77777777" w:rsidR="008A1E55" w:rsidRPr="006B42D6" w:rsidRDefault="008A1E55" w:rsidP="00E16CAE">
            <w:pPr>
              <w:jc w:val="right"/>
              <w:rPr>
                <w:sz w:val="15"/>
                <w:szCs w:val="15"/>
              </w:rPr>
            </w:pPr>
            <w:r w:rsidRPr="006B42D6">
              <w:rPr>
                <w:sz w:val="15"/>
                <w:szCs w:val="15"/>
              </w:rPr>
              <w:t>8.44</w:t>
            </w:r>
          </w:p>
        </w:tc>
        <w:tc>
          <w:tcPr>
            <w:tcW w:w="1197" w:type="dxa"/>
            <w:tcBorders>
              <w:top w:val="nil"/>
              <w:left w:val="nil"/>
              <w:bottom w:val="nil"/>
              <w:right w:val="nil"/>
            </w:tcBorders>
            <w:shd w:val="clear" w:color="auto" w:fill="auto"/>
            <w:noWrap/>
            <w:vAlign w:val="bottom"/>
            <w:hideMark/>
          </w:tcPr>
          <w:p w14:paraId="3603F231" w14:textId="77777777" w:rsidR="008A1E55" w:rsidRPr="006B42D6" w:rsidRDefault="008A1E55" w:rsidP="00E16CAE">
            <w:pPr>
              <w:jc w:val="right"/>
              <w:rPr>
                <w:sz w:val="15"/>
                <w:szCs w:val="15"/>
              </w:rPr>
            </w:pPr>
            <w:r w:rsidRPr="006B42D6">
              <w:rPr>
                <w:sz w:val="15"/>
                <w:szCs w:val="15"/>
              </w:rPr>
              <w:t>-</w:t>
            </w:r>
          </w:p>
        </w:tc>
        <w:tc>
          <w:tcPr>
            <w:tcW w:w="1197" w:type="dxa"/>
            <w:tcBorders>
              <w:top w:val="nil"/>
              <w:left w:val="nil"/>
              <w:bottom w:val="nil"/>
              <w:right w:val="nil"/>
            </w:tcBorders>
            <w:shd w:val="clear" w:color="auto" w:fill="auto"/>
            <w:noWrap/>
            <w:vAlign w:val="bottom"/>
            <w:hideMark/>
          </w:tcPr>
          <w:p w14:paraId="506F1CC3" w14:textId="77777777" w:rsidR="008A1E55" w:rsidRPr="006B42D6" w:rsidRDefault="008A1E55" w:rsidP="00E16CAE">
            <w:pPr>
              <w:jc w:val="right"/>
              <w:rPr>
                <w:sz w:val="15"/>
                <w:szCs w:val="15"/>
              </w:rPr>
            </w:pPr>
            <w:r w:rsidRPr="006B42D6">
              <w:rPr>
                <w:sz w:val="15"/>
                <w:szCs w:val="15"/>
              </w:rPr>
              <w:t>0.5</w:t>
            </w:r>
          </w:p>
        </w:tc>
        <w:tc>
          <w:tcPr>
            <w:tcW w:w="1192" w:type="dxa"/>
            <w:tcBorders>
              <w:top w:val="nil"/>
              <w:left w:val="nil"/>
              <w:bottom w:val="nil"/>
              <w:right w:val="nil"/>
            </w:tcBorders>
            <w:shd w:val="clear" w:color="auto" w:fill="auto"/>
            <w:noWrap/>
            <w:vAlign w:val="bottom"/>
            <w:hideMark/>
          </w:tcPr>
          <w:p w14:paraId="51AF524F" w14:textId="77777777" w:rsidR="008A1E55" w:rsidRPr="006B42D6" w:rsidRDefault="008A1E55" w:rsidP="00E16CAE">
            <w:pPr>
              <w:jc w:val="right"/>
              <w:rPr>
                <w:sz w:val="15"/>
                <w:szCs w:val="15"/>
              </w:rPr>
            </w:pPr>
            <w:r w:rsidRPr="006B42D6">
              <w:rPr>
                <w:sz w:val="15"/>
                <w:szCs w:val="15"/>
              </w:rPr>
              <w:t>1.2</w:t>
            </w:r>
          </w:p>
        </w:tc>
        <w:tc>
          <w:tcPr>
            <w:tcW w:w="1201" w:type="dxa"/>
            <w:tcBorders>
              <w:top w:val="nil"/>
              <w:left w:val="nil"/>
              <w:bottom w:val="nil"/>
              <w:right w:val="nil"/>
            </w:tcBorders>
            <w:shd w:val="clear" w:color="auto" w:fill="auto"/>
            <w:noWrap/>
            <w:vAlign w:val="bottom"/>
            <w:hideMark/>
          </w:tcPr>
          <w:p w14:paraId="4DF58900" w14:textId="77777777" w:rsidR="008A1E55" w:rsidRPr="006B42D6" w:rsidRDefault="008A1E55" w:rsidP="00E16CAE">
            <w:pPr>
              <w:jc w:val="right"/>
              <w:rPr>
                <w:sz w:val="15"/>
                <w:szCs w:val="15"/>
              </w:rPr>
            </w:pPr>
            <w:r w:rsidRPr="006B42D6">
              <w:rPr>
                <w:sz w:val="15"/>
                <w:szCs w:val="15"/>
              </w:rPr>
              <w:t>2.2</w:t>
            </w:r>
          </w:p>
        </w:tc>
      </w:tr>
      <w:tr w:rsidR="006B42D6" w:rsidRPr="006B42D6" w14:paraId="4F49A59F" w14:textId="77777777" w:rsidTr="00355DF7">
        <w:trPr>
          <w:trHeight w:val="283"/>
        </w:trPr>
        <w:tc>
          <w:tcPr>
            <w:tcW w:w="1530" w:type="dxa"/>
            <w:tcBorders>
              <w:top w:val="nil"/>
              <w:left w:val="nil"/>
              <w:bottom w:val="nil"/>
              <w:right w:val="nil"/>
            </w:tcBorders>
            <w:shd w:val="clear" w:color="auto" w:fill="auto"/>
            <w:noWrap/>
            <w:vAlign w:val="bottom"/>
            <w:hideMark/>
          </w:tcPr>
          <w:p w14:paraId="09157A21" w14:textId="77777777" w:rsidR="008A1E55" w:rsidRPr="006B42D6" w:rsidRDefault="008A1E55" w:rsidP="00E16CAE">
            <w:pPr>
              <w:rPr>
                <w:sz w:val="15"/>
                <w:szCs w:val="15"/>
              </w:rPr>
            </w:pPr>
            <w:r w:rsidRPr="006B42D6">
              <w:rPr>
                <w:sz w:val="15"/>
                <w:szCs w:val="15"/>
              </w:rPr>
              <w:t>Geita</w:t>
            </w:r>
          </w:p>
        </w:tc>
        <w:tc>
          <w:tcPr>
            <w:tcW w:w="987" w:type="dxa"/>
            <w:tcBorders>
              <w:top w:val="nil"/>
              <w:left w:val="nil"/>
              <w:bottom w:val="nil"/>
              <w:right w:val="nil"/>
            </w:tcBorders>
            <w:shd w:val="clear" w:color="auto" w:fill="auto"/>
            <w:noWrap/>
            <w:vAlign w:val="bottom"/>
            <w:hideMark/>
          </w:tcPr>
          <w:p w14:paraId="17FAE76F" w14:textId="77777777" w:rsidR="008A1E55" w:rsidRPr="006B42D6" w:rsidRDefault="008A1E55" w:rsidP="00E16CAE">
            <w:pPr>
              <w:jc w:val="right"/>
              <w:rPr>
                <w:sz w:val="15"/>
                <w:szCs w:val="15"/>
              </w:rPr>
            </w:pPr>
            <w:r w:rsidRPr="006B42D6">
              <w:rPr>
                <w:sz w:val="15"/>
                <w:szCs w:val="15"/>
              </w:rPr>
              <w:t>3.7</w:t>
            </w:r>
          </w:p>
        </w:tc>
        <w:tc>
          <w:tcPr>
            <w:tcW w:w="1197" w:type="dxa"/>
            <w:tcBorders>
              <w:top w:val="nil"/>
              <w:left w:val="nil"/>
              <w:bottom w:val="nil"/>
              <w:right w:val="nil"/>
            </w:tcBorders>
            <w:shd w:val="clear" w:color="auto" w:fill="auto"/>
            <w:noWrap/>
            <w:vAlign w:val="bottom"/>
            <w:hideMark/>
          </w:tcPr>
          <w:p w14:paraId="0F8D3D95" w14:textId="77777777" w:rsidR="008A1E55" w:rsidRPr="006B42D6" w:rsidRDefault="008A1E55" w:rsidP="00E16CAE">
            <w:pPr>
              <w:jc w:val="right"/>
              <w:rPr>
                <w:sz w:val="15"/>
                <w:szCs w:val="15"/>
              </w:rPr>
            </w:pPr>
            <w:r w:rsidRPr="006B42D6">
              <w:rPr>
                <w:sz w:val="15"/>
                <w:szCs w:val="15"/>
              </w:rPr>
              <w:t>4.4</w:t>
            </w:r>
          </w:p>
        </w:tc>
        <w:tc>
          <w:tcPr>
            <w:tcW w:w="1197" w:type="dxa"/>
            <w:tcBorders>
              <w:top w:val="nil"/>
              <w:left w:val="nil"/>
              <w:bottom w:val="nil"/>
              <w:right w:val="nil"/>
            </w:tcBorders>
            <w:shd w:val="clear" w:color="auto" w:fill="auto"/>
            <w:noWrap/>
            <w:vAlign w:val="bottom"/>
            <w:hideMark/>
          </w:tcPr>
          <w:p w14:paraId="38802FB5" w14:textId="77777777" w:rsidR="008A1E55" w:rsidRPr="006B42D6" w:rsidRDefault="008A1E55" w:rsidP="00E16CAE">
            <w:pPr>
              <w:jc w:val="right"/>
              <w:rPr>
                <w:sz w:val="15"/>
                <w:szCs w:val="15"/>
              </w:rPr>
            </w:pPr>
            <w:r w:rsidRPr="006B42D6">
              <w:rPr>
                <w:sz w:val="15"/>
                <w:szCs w:val="15"/>
              </w:rPr>
              <w:t>-</w:t>
            </w:r>
          </w:p>
        </w:tc>
        <w:tc>
          <w:tcPr>
            <w:tcW w:w="1197" w:type="dxa"/>
            <w:tcBorders>
              <w:top w:val="nil"/>
              <w:left w:val="nil"/>
              <w:bottom w:val="nil"/>
              <w:right w:val="nil"/>
            </w:tcBorders>
            <w:shd w:val="clear" w:color="auto" w:fill="auto"/>
            <w:noWrap/>
            <w:vAlign w:val="bottom"/>
            <w:hideMark/>
          </w:tcPr>
          <w:p w14:paraId="28B2FD89" w14:textId="77777777" w:rsidR="008A1E55" w:rsidRPr="006B42D6" w:rsidRDefault="008A1E55" w:rsidP="00E16CAE">
            <w:pPr>
              <w:jc w:val="right"/>
              <w:rPr>
                <w:sz w:val="15"/>
                <w:szCs w:val="15"/>
              </w:rPr>
            </w:pPr>
            <w:r w:rsidRPr="006B42D6">
              <w:rPr>
                <w:sz w:val="15"/>
                <w:szCs w:val="15"/>
              </w:rPr>
              <w:t>-</w:t>
            </w:r>
          </w:p>
        </w:tc>
        <w:tc>
          <w:tcPr>
            <w:tcW w:w="1197" w:type="dxa"/>
            <w:tcBorders>
              <w:top w:val="nil"/>
              <w:left w:val="nil"/>
              <w:bottom w:val="nil"/>
              <w:right w:val="nil"/>
            </w:tcBorders>
            <w:shd w:val="clear" w:color="auto" w:fill="auto"/>
            <w:noWrap/>
            <w:vAlign w:val="bottom"/>
            <w:hideMark/>
          </w:tcPr>
          <w:p w14:paraId="75B52EE2" w14:textId="77777777" w:rsidR="008A1E55" w:rsidRPr="006B42D6" w:rsidRDefault="008A1E55" w:rsidP="00E16CAE">
            <w:pPr>
              <w:jc w:val="right"/>
              <w:rPr>
                <w:sz w:val="15"/>
                <w:szCs w:val="15"/>
              </w:rPr>
            </w:pPr>
            <w:r w:rsidRPr="006B42D6">
              <w:rPr>
                <w:sz w:val="15"/>
                <w:szCs w:val="15"/>
              </w:rPr>
              <w:t>0.8</w:t>
            </w:r>
          </w:p>
        </w:tc>
        <w:tc>
          <w:tcPr>
            <w:tcW w:w="1192" w:type="dxa"/>
            <w:tcBorders>
              <w:top w:val="nil"/>
              <w:left w:val="nil"/>
              <w:bottom w:val="nil"/>
              <w:right w:val="nil"/>
            </w:tcBorders>
            <w:shd w:val="clear" w:color="auto" w:fill="auto"/>
            <w:noWrap/>
            <w:vAlign w:val="bottom"/>
            <w:hideMark/>
          </w:tcPr>
          <w:p w14:paraId="42D48432" w14:textId="77777777" w:rsidR="008A1E55" w:rsidRPr="006B42D6" w:rsidRDefault="008A1E55" w:rsidP="00E16CAE">
            <w:pPr>
              <w:jc w:val="right"/>
              <w:rPr>
                <w:sz w:val="15"/>
                <w:szCs w:val="15"/>
              </w:rPr>
            </w:pPr>
            <w:r w:rsidRPr="006B42D6">
              <w:rPr>
                <w:sz w:val="15"/>
                <w:szCs w:val="15"/>
              </w:rPr>
              <w:t>3.4</w:t>
            </w:r>
          </w:p>
        </w:tc>
        <w:tc>
          <w:tcPr>
            <w:tcW w:w="1201" w:type="dxa"/>
            <w:tcBorders>
              <w:top w:val="nil"/>
              <w:left w:val="nil"/>
              <w:bottom w:val="nil"/>
              <w:right w:val="nil"/>
            </w:tcBorders>
            <w:shd w:val="clear" w:color="auto" w:fill="auto"/>
            <w:noWrap/>
            <w:vAlign w:val="bottom"/>
            <w:hideMark/>
          </w:tcPr>
          <w:p w14:paraId="6DE041CF" w14:textId="77777777" w:rsidR="008A1E55" w:rsidRPr="006B42D6" w:rsidRDefault="008A1E55" w:rsidP="00E16CAE">
            <w:pPr>
              <w:jc w:val="right"/>
              <w:rPr>
                <w:sz w:val="15"/>
                <w:szCs w:val="15"/>
              </w:rPr>
            </w:pPr>
            <w:r w:rsidRPr="006B42D6">
              <w:rPr>
                <w:sz w:val="15"/>
                <w:szCs w:val="15"/>
              </w:rPr>
              <w:t>-</w:t>
            </w:r>
          </w:p>
        </w:tc>
      </w:tr>
      <w:tr w:rsidR="006B42D6" w:rsidRPr="006B42D6" w14:paraId="7F561B41" w14:textId="77777777" w:rsidTr="00355DF7">
        <w:trPr>
          <w:trHeight w:val="283"/>
        </w:trPr>
        <w:tc>
          <w:tcPr>
            <w:tcW w:w="1530" w:type="dxa"/>
            <w:tcBorders>
              <w:top w:val="nil"/>
              <w:left w:val="nil"/>
              <w:bottom w:val="nil"/>
              <w:right w:val="nil"/>
            </w:tcBorders>
            <w:shd w:val="clear" w:color="auto" w:fill="auto"/>
            <w:noWrap/>
            <w:vAlign w:val="bottom"/>
            <w:hideMark/>
          </w:tcPr>
          <w:p w14:paraId="5763B5AD" w14:textId="77777777" w:rsidR="008A1E55" w:rsidRPr="006B42D6" w:rsidRDefault="008A1E55" w:rsidP="00E16CAE">
            <w:pPr>
              <w:rPr>
                <w:sz w:val="15"/>
                <w:szCs w:val="15"/>
              </w:rPr>
            </w:pPr>
            <w:r w:rsidRPr="006B42D6">
              <w:rPr>
                <w:sz w:val="15"/>
                <w:szCs w:val="15"/>
              </w:rPr>
              <w:t>Songwe</w:t>
            </w:r>
          </w:p>
        </w:tc>
        <w:tc>
          <w:tcPr>
            <w:tcW w:w="987" w:type="dxa"/>
            <w:tcBorders>
              <w:top w:val="nil"/>
              <w:left w:val="nil"/>
              <w:bottom w:val="nil"/>
              <w:right w:val="nil"/>
            </w:tcBorders>
            <w:shd w:val="clear" w:color="auto" w:fill="auto"/>
            <w:noWrap/>
            <w:vAlign w:val="bottom"/>
            <w:hideMark/>
          </w:tcPr>
          <w:p w14:paraId="273DA3C9" w14:textId="77777777" w:rsidR="008A1E55" w:rsidRPr="006B42D6" w:rsidRDefault="008A1E55" w:rsidP="00E16CAE">
            <w:pPr>
              <w:jc w:val="right"/>
              <w:rPr>
                <w:sz w:val="15"/>
                <w:szCs w:val="15"/>
              </w:rPr>
            </w:pPr>
            <w:r w:rsidRPr="006B42D6">
              <w:rPr>
                <w:sz w:val="15"/>
                <w:szCs w:val="15"/>
              </w:rPr>
              <w:t>3.3</w:t>
            </w:r>
          </w:p>
        </w:tc>
        <w:tc>
          <w:tcPr>
            <w:tcW w:w="1197" w:type="dxa"/>
            <w:tcBorders>
              <w:top w:val="nil"/>
              <w:left w:val="nil"/>
              <w:bottom w:val="nil"/>
              <w:right w:val="nil"/>
            </w:tcBorders>
            <w:shd w:val="clear" w:color="auto" w:fill="auto"/>
            <w:noWrap/>
            <w:vAlign w:val="bottom"/>
            <w:hideMark/>
          </w:tcPr>
          <w:p w14:paraId="02C12C1E" w14:textId="77777777" w:rsidR="008A1E55" w:rsidRPr="006B42D6" w:rsidRDefault="008A1E55" w:rsidP="00E16CAE">
            <w:pPr>
              <w:jc w:val="right"/>
              <w:rPr>
                <w:sz w:val="15"/>
                <w:szCs w:val="15"/>
              </w:rPr>
            </w:pPr>
            <w:r w:rsidRPr="006B42D6">
              <w:rPr>
                <w:sz w:val="15"/>
                <w:szCs w:val="15"/>
              </w:rPr>
              <w:t>23.6</w:t>
            </w:r>
          </w:p>
        </w:tc>
        <w:tc>
          <w:tcPr>
            <w:tcW w:w="1197" w:type="dxa"/>
            <w:tcBorders>
              <w:top w:val="nil"/>
              <w:left w:val="nil"/>
              <w:bottom w:val="nil"/>
              <w:right w:val="nil"/>
            </w:tcBorders>
            <w:shd w:val="clear" w:color="auto" w:fill="auto"/>
            <w:noWrap/>
            <w:vAlign w:val="bottom"/>
            <w:hideMark/>
          </w:tcPr>
          <w:p w14:paraId="47C6230F" w14:textId="77777777" w:rsidR="008A1E55" w:rsidRPr="006B42D6" w:rsidRDefault="008A1E55" w:rsidP="00E16CAE">
            <w:pPr>
              <w:jc w:val="right"/>
              <w:rPr>
                <w:sz w:val="15"/>
                <w:szCs w:val="15"/>
              </w:rPr>
            </w:pPr>
            <w:r w:rsidRPr="006B42D6">
              <w:rPr>
                <w:sz w:val="15"/>
                <w:szCs w:val="15"/>
              </w:rPr>
              <w:t>11.74</w:t>
            </w:r>
          </w:p>
        </w:tc>
        <w:tc>
          <w:tcPr>
            <w:tcW w:w="1197" w:type="dxa"/>
            <w:tcBorders>
              <w:top w:val="nil"/>
              <w:left w:val="nil"/>
              <w:bottom w:val="nil"/>
              <w:right w:val="nil"/>
            </w:tcBorders>
            <w:shd w:val="clear" w:color="auto" w:fill="auto"/>
            <w:noWrap/>
            <w:vAlign w:val="bottom"/>
            <w:hideMark/>
          </w:tcPr>
          <w:p w14:paraId="173BDE15" w14:textId="77777777" w:rsidR="008A1E55" w:rsidRPr="006B42D6" w:rsidRDefault="008A1E55" w:rsidP="00E16CAE">
            <w:pPr>
              <w:jc w:val="right"/>
              <w:rPr>
                <w:sz w:val="15"/>
                <w:szCs w:val="15"/>
              </w:rPr>
            </w:pPr>
            <w:r w:rsidRPr="006B42D6">
              <w:rPr>
                <w:sz w:val="15"/>
                <w:szCs w:val="15"/>
              </w:rPr>
              <w:t>-</w:t>
            </w:r>
          </w:p>
        </w:tc>
        <w:tc>
          <w:tcPr>
            <w:tcW w:w="1197" w:type="dxa"/>
            <w:tcBorders>
              <w:top w:val="nil"/>
              <w:left w:val="nil"/>
              <w:bottom w:val="nil"/>
              <w:right w:val="nil"/>
            </w:tcBorders>
            <w:shd w:val="clear" w:color="auto" w:fill="auto"/>
            <w:noWrap/>
            <w:vAlign w:val="bottom"/>
            <w:hideMark/>
          </w:tcPr>
          <w:p w14:paraId="6EC377C2" w14:textId="77777777" w:rsidR="008A1E55" w:rsidRPr="006B42D6" w:rsidRDefault="008A1E55" w:rsidP="00E16CAE">
            <w:pPr>
              <w:jc w:val="right"/>
              <w:rPr>
                <w:sz w:val="15"/>
                <w:szCs w:val="15"/>
              </w:rPr>
            </w:pPr>
            <w:r w:rsidRPr="006B42D6">
              <w:rPr>
                <w:sz w:val="15"/>
                <w:szCs w:val="15"/>
              </w:rPr>
              <w:t>0.6</w:t>
            </w:r>
          </w:p>
        </w:tc>
        <w:tc>
          <w:tcPr>
            <w:tcW w:w="1192" w:type="dxa"/>
            <w:tcBorders>
              <w:top w:val="nil"/>
              <w:left w:val="nil"/>
              <w:bottom w:val="nil"/>
              <w:right w:val="nil"/>
            </w:tcBorders>
            <w:shd w:val="clear" w:color="auto" w:fill="auto"/>
            <w:noWrap/>
            <w:vAlign w:val="bottom"/>
            <w:hideMark/>
          </w:tcPr>
          <w:p w14:paraId="5BD64D27" w14:textId="77777777" w:rsidR="008A1E55" w:rsidRPr="006B42D6" w:rsidRDefault="008A1E55" w:rsidP="00E16CAE">
            <w:pPr>
              <w:jc w:val="right"/>
              <w:rPr>
                <w:sz w:val="15"/>
                <w:szCs w:val="15"/>
              </w:rPr>
            </w:pPr>
            <w:r w:rsidRPr="006B42D6">
              <w:rPr>
                <w:sz w:val="15"/>
                <w:szCs w:val="15"/>
              </w:rPr>
              <w:t>4.3</w:t>
            </w:r>
          </w:p>
        </w:tc>
        <w:tc>
          <w:tcPr>
            <w:tcW w:w="1201" w:type="dxa"/>
            <w:tcBorders>
              <w:top w:val="nil"/>
              <w:left w:val="nil"/>
              <w:bottom w:val="nil"/>
              <w:right w:val="nil"/>
            </w:tcBorders>
            <w:shd w:val="clear" w:color="auto" w:fill="auto"/>
            <w:noWrap/>
            <w:vAlign w:val="bottom"/>
            <w:hideMark/>
          </w:tcPr>
          <w:p w14:paraId="475ABECA" w14:textId="77777777" w:rsidR="008A1E55" w:rsidRPr="006B42D6" w:rsidRDefault="008A1E55" w:rsidP="00E16CAE">
            <w:pPr>
              <w:jc w:val="right"/>
              <w:rPr>
                <w:sz w:val="15"/>
                <w:szCs w:val="15"/>
              </w:rPr>
            </w:pPr>
            <w:r w:rsidRPr="006B42D6">
              <w:rPr>
                <w:sz w:val="15"/>
                <w:szCs w:val="15"/>
              </w:rPr>
              <w:t>-</w:t>
            </w:r>
          </w:p>
        </w:tc>
      </w:tr>
      <w:tr w:rsidR="006B42D6" w:rsidRPr="004F65CD" w14:paraId="533EF15A" w14:textId="77777777" w:rsidTr="00355DF7">
        <w:trPr>
          <w:trHeight w:val="283"/>
        </w:trPr>
        <w:tc>
          <w:tcPr>
            <w:tcW w:w="1530" w:type="dxa"/>
            <w:tcBorders>
              <w:top w:val="single" w:sz="4" w:space="0" w:color="auto"/>
              <w:left w:val="nil"/>
              <w:bottom w:val="single" w:sz="4" w:space="0" w:color="auto"/>
              <w:right w:val="nil"/>
            </w:tcBorders>
            <w:shd w:val="clear" w:color="auto" w:fill="E2EFD9" w:themeFill="accent6" w:themeFillTint="33"/>
            <w:noWrap/>
            <w:vAlign w:val="bottom"/>
            <w:hideMark/>
          </w:tcPr>
          <w:p w14:paraId="25607E95" w14:textId="170F6474" w:rsidR="008A1E55" w:rsidRPr="004F65CD" w:rsidRDefault="00EA1552" w:rsidP="00E16CAE">
            <w:pPr>
              <w:rPr>
                <w:b/>
                <w:sz w:val="15"/>
                <w:szCs w:val="15"/>
              </w:rPr>
            </w:pPr>
            <w:r w:rsidRPr="004F65CD">
              <w:rPr>
                <w:b/>
                <w:sz w:val="15"/>
                <w:szCs w:val="15"/>
              </w:rPr>
              <w:t>Mainland Tanzania</w:t>
            </w:r>
          </w:p>
        </w:tc>
        <w:tc>
          <w:tcPr>
            <w:tcW w:w="987" w:type="dxa"/>
            <w:tcBorders>
              <w:top w:val="single" w:sz="4" w:space="0" w:color="auto"/>
              <w:left w:val="nil"/>
              <w:bottom w:val="single" w:sz="4" w:space="0" w:color="auto"/>
              <w:right w:val="nil"/>
            </w:tcBorders>
            <w:shd w:val="clear" w:color="auto" w:fill="E2EFD9" w:themeFill="accent6" w:themeFillTint="33"/>
            <w:noWrap/>
            <w:vAlign w:val="bottom"/>
            <w:hideMark/>
          </w:tcPr>
          <w:p w14:paraId="01E4D840" w14:textId="77777777" w:rsidR="008A1E55" w:rsidRPr="004F65CD" w:rsidRDefault="008A1E55" w:rsidP="00E16CAE">
            <w:pPr>
              <w:jc w:val="right"/>
              <w:rPr>
                <w:b/>
                <w:sz w:val="15"/>
                <w:szCs w:val="15"/>
              </w:rPr>
            </w:pPr>
            <w:r w:rsidRPr="004F65CD">
              <w:rPr>
                <w:b/>
                <w:sz w:val="15"/>
                <w:szCs w:val="15"/>
              </w:rPr>
              <w:t>100.0</w:t>
            </w:r>
          </w:p>
        </w:tc>
        <w:tc>
          <w:tcPr>
            <w:tcW w:w="1197" w:type="dxa"/>
            <w:tcBorders>
              <w:top w:val="single" w:sz="4" w:space="0" w:color="auto"/>
              <w:left w:val="nil"/>
              <w:bottom w:val="single" w:sz="4" w:space="0" w:color="auto"/>
              <w:right w:val="nil"/>
            </w:tcBorders>
            <w:shd w:val="clear" w:color="auto" w:fill="E2EFD9" w:themeFill="accent6" w:themeFillTint="33"/>
            <w:noWrap/>
            <w:vAlign w:val="bottom"/>
            <w:hideMark/>
          </w:tcPr>
          <w:p w14:paraId="4348B29E" w14:textId="77777777" w:rsidR="008A1E55" w:rsidRPr="004F65CD" w:rsidRDefault="008A1E55" w:rsidP="00E16CAE">
            <w:pPr>
              <w:jc w:val="right"/>
              <w:rPr>
                <w:b/>
                <w:sz w:val="15"/>
                <w:szCs w:val="15"/>
              </w:rPr>
            </w:pPr>
            <w:r w:rsidRPr="004F65CD">
              <w:rPr>
                <w:b/>
                <w:sz w:val="15"/>
                <w:szCs w:val="15"/>
              </w:rPr>
              <w:t>100.0</w:t>
            </w:r>
          </w:p>
        </w:tc>
        <w:tc>
          <w:tcPr>
            <w:tcW w:w="1197" w:type="dxa"/>
            <w:tcBorders>
              <w:top w:val="single" w:sz="4" w:space="0" w:color="auto"/>
              <w:left w:val="nil"/>
              <w:bottom w:val="single" w:sz="4" w:space="0" w:color="auto"/>
              <w:right w:val="nil"/>
            </w:tcBorders>
            <w:shd w:val="clear" w:color="auto" w:fill="E2EFD9" w:themeFill="accent6" w:themeFillTint="33"/>
            <w:noWrap/>
            <w:vAlign w:val="bottom"/>
            <w:hideMark/>
          </w:tcPr>
          <w:p w14:paraId="56F9270C" w14:textId="77777777" w:rsidR="008A1E55" w:rsidRPr="004F65CD" w:rsidRDefault="008A1E55" w:rsidP="00E16CAE">
            <w:pPr>
              <w:jc w:val="right"/>
              <w:rPr>
                <w:b/>
                <w:sz w:val="15"/>
                <w:szCs w:val="15"/>
              </w:rPr>
            </w:pPr>
            <w:r w:rsidRPr="004F65CD">
              <w:rPr>
                <w:b/>
                <w:sz w:val="15"/>
                <w:szCs w:val="15"/>
              </w:rPr>
              <w:t>100.00</w:t>
            </w:r>
          </w:p>
        </w:tc>
        <w:tc>
          <w:tcPr>
            <w:tcW w:w="1197" w:type="dxa"/>
            <w:tcBorders>
              <w:top w:val="single" w:sz="4" w:space="0" w:color="auto"/>
              <w:left w:val="nil"/>
              <w:bottom w:val="single" w:sz="4" w:space="0" w:color="auto"/>
              <w:right w:val="nil"/>
            </w:tcBorders>
            <w:shd w:val="clear" w:color="auto" w:fill="E2EFD9" w:themeFill="accent6" w:themeFillTint="33"/>
            <w:noWrap/>
            <w:vAlign w:val="bottom"/>
            <w:hideMark/>
          </w:tcPr>
          <w:p w14:paraId="2F5BEB6D" w14:textId="77777777" w:rsidR="008A1E55" w:rsidRPr="004F65CD" w:rsidRDefault="008A1E55" w:rsidP="00E16CAE">
            <w:pPr>
              <w:jc w:val="right"/>
              <w:rPr>
                <w:b/>
                <w:sz w:val="15"/>
                <w:szCs w:val="15"/>
              </w:rPr>
            </w:pPr>
            <w:r w:rsidRPr="004F65CD">
              <w:rPr>
                <w:b/>
                <w:sz w:val="15"/>
                <w:szCs w:val="15"/>
              </w:rPr>
              <w:t>100.0</w:t>
            </w:r>
          </w:p>
        </w:tc>
        <w:tc>
          <w:tcPr>
            <w:tcW w:w="1197" w:type="dxa"/>
            <w:tcBorders>
              <w:top w:val="single" w:sz="4" w:space="0" w:color="auto"/>
              <w:left w:val="nil"/>
              <w:bottom w:val="single" w:sz="4" w:space="0" w:color="auto"/>
              <w:right w:val="nil"/>
            </w:tcBorders>
            <w:shd w:val="clear" w:color="auto" w:fill="E2EFD9" w:themeFill="accent6" w:themeFillTint="33"/>
            <w:noWrap/>
            <w:vAlign w:val="bottom"/>
            <w:hideMark/>
          </w:tcPr>
          <w:p w14:paraId="746375EF" w14:textId="77777777" w:rsidR="008A1E55" w:rsidRPr="004F65CD" w:rsidRDefault="008A1E55" w:rsidP="00E16CAE">
            <w:pPr>
              <w:jc w:val="right"/>
              <w:rPr>
                <w:b/>
                <w:sz w:val="15"/>
                <w:szCs w:val="15"/>
              </w:rPr>
            </w:pPr>
            <w:r w:rsidRPr="004F65CD">
              <w:rPr>
                <w:b/>
                <w:sz w:val="15"/>
                <w:szCs w:val="15"/>
              </w:rPr>
              <w:t>100.0</w:t>
            </w:r>
          </w:p>
        </w:tc>
        <w:tc>
          <w:tcPr>
            <w:tcW w:w="1192" w:type="dxa"/>
            <w:tcBorders>
              <w:top w:val="single" w:sz="4" w:space="0" w:color="auto"/>
              <w:left w:val="nil"/>
              <w:bottom w:val="single" w:sz="4" w:space="0" w:color="auto"/>
              <w:right w:val="nil"/>
            </w:tcBorders>
            <w:shd w:val="clear" w:color="auto" w:fill="E2EFD9" w:themeFill="accent6" w:themeFillTint="33"/>
            <w:noWrap/>
            <w:vAlign w:val="bottom"/>
            <w:hideMark/>
          </w:tcPr>
          <w:p w14:paraId="26B03AA7" w14:textId="77777777" w:rsidR="008A1E55" w:rsidRPr="004F65CD" w:rsidRDefault="008A1E55" w:rsidP="00E16CAE">
            <w:pPr>
              <w:jc w:val="right"/>
              <w:rPr>
                <w:b/>
                <w:sz w:val="15"/>
                <w:szCs w:val="15"/>
              </w:rPr>
            </w:pPr>
            <w:r w:rsidRPr="004F65CD">
              <w:rPr>
                <w:b/>
                <w:sz w:val="15"/>
                <w:szCs w:val="15"/>
              </w:rPr>
              <w:t>100.0</w:t>
            </w:r>
          </w:p>
        </w:tc>
        <w:tc>
          <w:tcPr>
            <w:tcW w:w="1201" w:type="dxa"/>
            <w:tcBorders>
              <w:top w:val="single" w:sz="4" w:space="0" w:color="auto"/>
              <w:left w:val="nil"/>
              <w:bottom w:val="single" w:sz="4" w:space="0" w:color="auto"/>
              <w:right w:val="nil"/>
            </w:tcBorders>
            <w:shd w:val="clear" w:color="auto" w:fill="E2EFD9" w:themeFill="accent6" w:themeFillTint="33"/>
            <w:noWrap/>
            <w:vAlign w:val="bottom"/>
            <w:hideMark/>
          </w:tcPr>
          <w:p w14:paraId="51C6D0A3" w14:textId="77777777" w:rsidR="008A1E55" w:rsidRPr="004F65CD" w:rsidRDefault="008A1E55" w:rsidP="00E16CAE">
            <w:pPr>
              <w:jc w:val="right"/>
              <w:rPr>
                <w:b/>
                <w:sz w:val="15"/>
                <w:szCs w:val="15"/>
              </w:rPr>
            </w:pPr>
            <w:r w:rsidRPr="004F65CD">
              <w:rPr>
                <w:b/>
                <w:sz w:val="15"/>
                <w:szCs w:val="15"/>
              </w:rPr>
              <w:t>100.0</w:t>
            </w:r>
          </w:p>
        </w:tc>
      </w:tr>
      <w:tr w:rsidR="006B42D6" w:rsidRPr="006B42D6" w14:paraId="6D78361B" w14:textId="77777777" w:rsidTr="00355DF7">
        <w:trPr>
          <w:trHeight w:val="283"/>
        </w:trPr>
        <w:tc>
          <w:tcPr>
            <w:tcW w:w="1530" w:type="dxa"/>
            <w:tcBorders>
              <w:top w:val="nil"/>
              <w:left w:val="nil"/>
              <w:bottom w:val="nil"/>
              <w:right w:val="nil"/>
            </w:tcBorders>
            <w:shd w:val="clear" w:color="auto" w:fill="auto"/>
            <w:noWrap/>
            <w:vAlign w:val="bottom"/>
            <w:hideMark/>
          </w:tcPr>
          <w:p w14:paraId="30BDF85E" w14:textId="77777777" w:rsidR="008A1E55" w:rsidRPr="006B42D6" w:rsidRDefault="008A1E55" w:rsidP="00E16CAE">
            <w:pPr>
              <w:rPr>
                <w:sz w:val="15"/>
                <w:szCs w:val="15"/>
              </w:rPr>
            </w:pPr>
            <w:r w:rsidRPr="006B42D6">
              <w:rPr>
                <w:sz w:val="15"/>
                <w:szCs w:val="15"/>
              </w:rPr>
              <w:t>Kaskazini Unguja</w:t>
            </w:r>
          </w:p>
        </w:tc>
        <w:tc>
          <w:tcPr>
            <w:tcW w:w="987" w:type="dxa"/>
            <w:tcBorders>
              <w:top w:val="nil"/>
              <w:left w:val="nil"/>
              <w:bottom w:val="nil"/>
              <w:right w:val="nil"/>
            </w:tcBorders>
            <w:shd w:val="clear" w:color="auto" w:fill="auto"/>
            <w:noWrap/>
            <w:vAlign w:val="bottom"/>
            <w:hideMark/>
          </w:tcPr>
          <w:p w14:paraId="02EDEC7E" w14:textId="77777777" w:rsidR="008A1E55" w:rsidRPr="006B42D6" w:rsidRDefault="008A1E55" w:rsidP="00E16CAE">
            <w:pPr>
              <w:jc w:val="right"/>
              <w:rPr>
                <w:sz w:val="15"/>
                <w:szCs w:val="15"/>
              </w:rPr>
            </w:pPr>
            <w:r w:rsidRPr="006B42D6">
              <w:rPr>
                <w:sz w:val="15"/>
                <w:szCs w:val="15"/>
              </w:rPr>
              <w:t>15.5</w:t>
            </w:r>
          </w:p>
        </w:tc>
        <w:tc>
          <w:tcPr>
            <w:tcW w:w="1197" w:type="dxa"/>
            <w:tcBorders>
              <w:top w:val="nil"/>
              <w:left w:val="nil"/>
              <w:bottom w:val="nil"/>
              <w:right w:val="nil"/>
            </w:tcBorders>
            <w:shd w:val="clear" w:color="auto" w:fill="auto"/>
            <w:noWrap/>
            <w:vAlign w:val="bottom"/>
            <w:hideMark/>
          </w:tcPr>
          <w:p w14:paraId="7C96560B" w14:textId="77777777" w:rsidR="008A1E55" w:rsidRPr="006B42D6" w:rsidRDefault="008A1E55" w:rsidP="00E16CAE">
            <w:pPr>
              <w:jc w:val="right"/>
              <w:rPr>
                <w:sz w:val="15"/>
                <w:szCs w:val="15"/>
              </w:rPr>
            </w:pPr>
            <w:r w:rsidRPr="006B42D6">
              <w:rPr>
                <w:sz w:val="15"/>
                <w:szCs w:val="15"/>
              </w:rPr>
              <w:t>-</w:t>
            </w:r>
          </w:p>
        </w:tc>
        <w:tc>
          <w:tcPr>
            <w:tcW w:w="1197" w:type="dxa"/>
            <w:tcBorders>
              <w:top w:val="nil"/>
              <w:left w:val="nil"/>
              <w:bottom w:val="nil"/>
              <w:right w:val="nil"/>
            </w:tcBorders>
            <w:shd w:val="clear" w:color="auto" w:fill="auto"/>
            <w:noWrap/>
            <w:vAlign w:val="bottom"/>
            <w:hideMark/>
          </w:tcPr>
          <w:p w14:paraId="2E6FCDA6" w14:textId="77777777" w:rsidR="008A1E55" w:rsidRPr="006B42D6" w:rsidRDefault="008A1E55" w:rsidP="00E16CAE">
            <w:pPr>
              <w:jc w:val="right"/>
              <w:rPr>
                <w:sz w:val="15"/>
                <w:szCs w:val="15"/>
              </w:rPr>
            </w:pPr>
            <w:r w:rsidRPr="006B42D6">
              <w:rPr>
                <w:sz w:val="15"/>
                <w:szCs w:val="15"/>
              </w:rPr>
              <w:t>-</w:t>
            </w:r>
          </w:p>
        </w:tc>
        <w:tc>
          <w:tcPr>
            <w:tcW w:w="1197" w:type="dxa"/>
            <w:tcBorders>
              <w:top w:val="nil"/>
              <w:left w:val="nil"/>
              <w:bottom w:val="nil"/>
              <w:right w:val="nil"/>
            </w:tcBorders>
            <w:shd w:val="clear" w:color="auto" w:fill="auto"/>
            <w:noWrap/>
            <w:vAlign w:val="bottom"/>
            <w:hideMark/>
          </w:tcPr>
          <w:p w14:paraId="12312835" w14:textId="77777777" w:rsidR="008A1E55" w:rsidRPr="006B42D6" w:rsidRDefault="008A1E55" w:rsidP="00E16CAE">
            <w:pPr>
              <w:jc w:val="right"/>
              <w:rPr>
                <w:sz w:val="15"/>
                <w:szCs w:val="15"/>
              </w:rPr>
            </w:pPr>
            <w:r w:rsidRPr="006B42D6">
              <w:rPr>
                <w:sz w:val="15"/>
                <w:szCs w:val="15"/>
              </w:rPr>
              <w:t>-</w:t>
            </w:r>
          </w:p>
        </w:tc>
        <w:tc>
          <w:tcPr>
            <w:tcW w:w="1197" w:type="dxa"/>
            <w:tcBorders>
              <w:top w:val="nil"/>
              <w:left w:val="nil"/>
              <w:bottom w:val="nil"/>
              <w:right w:val="nil"/>
            </w:tcBorders>
            <w:shd w:val="clear" w:color="auto" w:fill="auto"/>
            <w:noWrap/>
            <w:vAlign w:val="bottom"/>
            <w:hideMark/>
          </w:tcPr>
          <w:p w14:paraId="02E03700" w14:textId="77777777" w:rsidR="008A1E55" w:rsidRPr="006B42D6" w:rsidRDefault="008A1E55" w:rsidP="00E16CAE">
            <w:pPr>
              <w:jc w:val="right"/>
              <w:rPr>
                <w:sz w:val="15"/>
                <w:szCs w:val="15"/>
              </w:rPr>
            </w:pPr>
            <w:r w:rsidRPr="006B42D6">
              <w:rPr>
                <w:sz w:val="15"/>
                <w:szCs w:val="15"/>
              </w:rPr>
              <w:t>7.2</w:t>
            </w:r>
          </w:p>
        </w:tc>
        <w:tc>
          <w:tcPr>
            <w:tcW w:w="1192" w:type="dxa"/>
            <w:tcBorders>
              <w:top w:val="nil"/>
              <w:left w:val="nil"/>
              <w:bottom w:val="nil"/>
              <w:right w:val="nil"/>
            </w:tcBorders>
            <w:shd w:val="clear" w:color="auto" w:fill="auto"/>
            <w:noWrap/>
            <w:vAlign w:val="bottom"/>
            <w:hideMark/>
          </w:tcPr>
          <w:p w14:paraId="6EAAA1E3" w14:textId="77777777" w:rsidR="008A1E55" w:rsidRPr="006B42D6" w:rsidRDefault="008A1E55" w:rsidP="00E16CAE">
            <w:pPr>
              <w:jc w:val="right"/>
              <w:rPr>
                <w:sz w:val="15"/>
                <w:szCs w:val="15"/>
              </w:rPr>
            </w:pPr>
            <w:r w:rsidRPr="006B42D6">
              <w:rPr>
                <w:sz w:val="15"/>
                <w:szCs w:val="15"/>
              </w:rPr>
              <w:t>18.6</w:t>
            </w:r>
          </w:p>
        </w:tc>
        <w:tc>
          <w:tcPr>
            <w:tcW w:w="1201" w:type="dxa"/>
            <w:tcBorders>
              <w:top w:val="nil"/>
              <w:left w:val="nil"/>
              <w:bottom w:val="nil"/>
              <w:right w:val="nil"/>
            </w:tcBorders>
            <w:shd w:val="clear" w:color="auto" w:fill="auto"/>
            <w:noWrap/>
            <w:vAlign w:val="bottom"/>
            <w:hideMark/>
          </w:tcPr>
          <w:p w14:paraId="231165B9" w14:textId="77777777" w:rsidR="008A1E55" w:rsidRPr="006B42D6" w:rsidRDefault="008A1E55" w:rsidP="00E16CAE">
            <w:pPr>
              <w:jc w:val="right"/>
              <w:rPr>
                <w:sz w:val="15"/>
                <w:szCs w:val="15"/>
              </w:rPr>
            </w:pPr>
            <w:r w:rsidRPr="006B42D6">
              <w:rPr>
                <w:sz w:val="15"/>
                <w:szCs w:val="15"/>
              </w:rPr>
              <w:t>-</w:t>
            </w:r>
          </w:p>
        </w:tc>
      </w:tr>
      <w:tr w:rsidR="006B42D6" w:rsidRPr="006B42D6" w14:paraId="2EDCA3EC" w14:textId="77777777" w:rsidTr="00355DF7">
        <w:trPr>
          <w:trHeight w:val="283"/>
        </w:trPr>
        <w:tc>
          <w:tcPr>
            <w:tcW w:w="1530" w:type="dxa"/>
            <w:tcBorders>
              <w:top w:val="nil"/>
              <w:left w:val="nil"/>
              <w:bottom w:val="nil"/>
              <w:right w:val="nil"/>
            </w:tcBorders>
            <w:shd w:val="clear" w:color="auto" w:fill="auto"/>
            <w:noWrap/>
            <w:vAlign w:val="bottom"/>
            <w:hideMark/>
          </w:tcPr>
          <w:p w14:paraId="37C0AA16" w14:textId="77777777" w:rsidR="008A1E55" w:rsidRPr="006B42D6" w:rsidRDefault="008A1E55" w:rsidP="00E16CAE">
            <w:pPr>
              <w:rPr>
                <w:sz w:val="15"/>
                <w:szCs w:val="15"/>
              </w:rPr>
            </w:pPr>
            <w:r w:rsidRPr="006B42D6">
              <w:rPr>
                <w:sz w:val="15"/>
                <w:szCs w:val="15"/>
              </w:rPr>
              <w:t xml:space="preserve">Kusini Unguja </w:t>
            </w:r>
          </w:p>
        </w:tc>
        <w:tc>
          <w:tcPr>
            <w:tcW w:w="987" w:type="dxa"/>
            <w:tcBorders>
              <w:top w:val="nil"/>
              <w:left w:val="nil"/>
              <w:bottom w:val="nil"/>
              <w:right w:val="nil"/>
            </w:tcBorders>
            <w:shd w:val="clear" w:color="auto" w:fill="auto"/>
            <w:noWrap/>
            <w:vAlign w:val="bottom"/>
            <w:hideMark/>
          </w:tcPr>
          <w:p w14:paraId="7549E6A1" w14:textId="77777777" w:rsidR="008A1E55" w:rsidRPr="006B42D6" w:rsidRDefault="008A1E55" w:rsidP="00E16CAE">
            <w:pPr>
              <w:jc w:val="right"/>
              <w:rPr>
                <w:sz w:val="15"/>
                <w:szCs w:val="15"/>
              </w:rPr>
            </w:pPr>
            <w:r w:rsidRPr="006B42D6">
              <w:rPr>
                <w:sz w:val="15"/>
                <w:szCs w:val="15"/>
              </w:rPr>
              <w:t>4.8</w:t>
            </w:r>
          </w:p>
        </w:tc>
        <w:tc>
          <w:tcPr>
            <w:tcW w:w="1197" w:type="dxa"/>
            <w:tcBorders>
              <w:top w:val="nil"/>
              <w:left w:val="nil"/>
              <w:bottom w:val="nil"/>
              <w:right w:val="nil"/>
            </w:tcBorders>
            <w:shd w:val="clear" w:color="auto" w:fill="auto"/>
            <w:noWrap/>
            <w:vAlign w:val="bottom"/>
            <w:hideMark/>
          </w:tcPr>
          <w:p w14:paraId="2F21AA1F" w14:textId="77777777" w:rsidR="008A1E55" w:rsidRPr="006B42D6" w:rsidRDefault="008A1E55" w:rsidP="00E16CAE">
            <w:pPr>
              <w:jc w:val="right"/>
              <w:rPr>
                <w:sz w:val="15"/>
                <w:szCs w:val="15"/>
              </w:rPr>
            </w:pPr>
            <w:r w:rsidRPr="006B42D6">
              <w:rPr>
                <w:sz w:val="15"/>
                <w:szCs w:val="15"/>
              </w:rPr>
              <w:t>-</w:t>
            </w:r>
          </w:p>
        </w:tc>
        <w:tc>
          <w:tcPr>
            <w:tcW w:w="1197" w:type="dxa"/>
            <w:tcBorders>
              <w:top w:val="nil"/>
              <w:left w:val="nil"/>
              <w:bottom w:val="nil"/>
              <w:right w:val="nil"/>
            </w:tcBorders>
            <w:shd w:val="clear" w:color="auto" w:fill="auto"/>
            <w:noWrap/>
            <w:vAlign w:val="bottom"/>
            <w:hideMark/>
          </w:tcPr>
          <w:p w14:paraId="39883603" w14:textId="77777777" w:rsidR="008A1E55" w:rsidRPr="006B42D6" w:rsidRDefault="008A1E55" w:rsidP="00E16CAE">
            <w:pPr>
              <w:jc w:val="right"/>
              <w:rPr>
                <w:sz w:val="15"/>
                <w:szCs w:val="15"/>
              </w:rPr>
            </w:pPr>
            <w:r w:rsidRPr="006B42D6">
              <w:rPr>
                <w:sz w:val="15"/>
                <w:szCs w:val="15"/>
              </w:rPr>
              <w:t>-</w:t>
            </w:r>
          </w:p>
        </w:tc>
        <w:tc>
          <w:tcPr>
            <w:tcW w:w="1197" w:type="dxa"/>
            <w:tcBorders>
              <w:top w:val="nil"/>
              <w:left w:val="nil"/>
              <w:bottom w:val="nil"/>
              <w:right w:val="nil"/>
            </w:tcBorders>
            <w:shd w:val="clear" w:color="auto" w:fill="auto"/>
            <w:noWrap/>
            <w:vAlign w:val="bottom"/>
            <w:hideMark/>
          </w:tcPr>
          <w:p w14:paraId="398CE742" w14:textId="77777777" w:rsidR="008A1E55" w:rsidRPr="006B42D6" w:rsidRDefault="008A1E55" w:rsidP="00E16CAE">
            <w:pPr>
              <w:jc w:val="right"/>
              <w:rPr>
                <w:sz w:val="15"/>
                <w:szCs w:val="15"/>
              </w:rPr>
            </w:pPr>
            <w:r w:rsidRPr="006B42D6">
              <w:rPr>
                <w:sz w:val="15"/>
                <w:szCs w:val="15"/>
              </w:rPr>
              <w:t>-</w:t>
            </w:r>
          </w:p>
        </w:tc>
        <w:tc>
          <w:tcPr>
            <w:tcW w:w="1197" w:type="dxa"/>
            <w:tcBorders>
              <w:top w:val="nil"/>
              <w:left w:val="nil"/>
              <w:bottom w:val="nil"/>
              <w:right w:val="nil"/>
            </w:tcBorders>
            <w:shd w:val="clear" w:color="auto" w:fill="auto"/>
            <w:noWrap/>
            <w:vAlign w:val="bottom"/>
            <w:hideMark/>
          </w:tcPr>
          <w:p w14:paraId="6D90A478" w14:textId="77777777" w:rsidR="008A1E55" w:rsidRPr="006B42D6" w:rsidRDefault="008A1E55" w:rsidP="00E16CAE">
            <w:pPr>
              <w:jc w:val="right"/>
              <w:rPr>
                <w:sz w:val="15"/>
                <w:szCs w:val="15"/>
              </w:rPr>
            </w:pPr>
            <w:r w:rsidRPr="006B42D6">
              <w:rPr>
                <w:sz w:val="15"/>
                <w:szCs w:val="15"/>
              </w:rPr>
              <w:t>27.7</w:t>
            </w:r>
          </w:p>
        </w:tc>
        <w:tc>
          <w:tcPr>
            <w:tcW w:w="1192" w:type="dxa"/>
            <w:tcBorders>
              <w:top w:val="nil"/>
              <w:left w:val="nil"/>
              <w:bottom w:val="nil"/>
              <w:right w:val="nil"/>
            </w:tcBorders>
            <w:shd w:val="clear" w:color="auto" w:fill="auto"/>
            <w:noWrap/>
            <w:vAlign w:val="bottom"/>
            <w:hideMark/>
          </w:tcPr>
          <w:p w14:paraId="61027319" w14:textId="77777777" w:rsidR="008A1E55" w:rsidRPr="006B42D6" w:rsidRDefault="008A1E55" w:rsidP="00E16CAE">
            <w:pPr>
              <w:jc w:val="right"/>
              <w:rPr>
                <w:sz w:val="15"/>
                <w:szCs w:val="15"/>
              </w:rPr>
            </w:pPr>
            <w:r w:rsidRPr="006B42D6">
              <w:rPr>
                <w:sz w:val="15"/>
                <w:szCs w:val="15"/>
              </w:rPr>
              <w:t>11.4</w:t>
            </w:r>
          </w:p>
        </w:tc>
        <w:tc>
          <w:tcPr>
            <w:tcW w:w="1201" w:type="dxa"/>
            <w:tcBorders>
              <w:top w:val="nil"/>
              <w:left w:val="nil"/>
              <w:bottom w:val="nil"/>
              <w:right w:val="nil"/>
            </w:tcBorders>
            <w:shd w:val="clear" w:color="auto" w:fill="auto"/>
            <w:noWrap/>
            <w:vAlign w:val="bottom"/>
            <w:hideMark/>
          </w:tcPr>
          <w:p w14:paraId="36066850" w14:textId="77777777" w:rsidR="008A1E55" w:rsidRPr="006B42D6" w:rsidRDefault="008A1E55" w:rsidP="00E16CAE">
            <w:pPr>
              <w:jc w:val="right"/>
              <w:rPr>
                <w:sz w:val="15"/>
                <w:szCs w:val="15"/>
              </w:rPr>
            </w:pPr>
            <w:r w:rsidRPr="006B42D6">
              <w:rPr>
                <w:sz w:val="15"/>
                <w:szCs w:val="15"/>
              </w:rPr>
              <w:t>-</w:t>
            </w:r>
          </w:p>
        </w:tc>
      </w:tr>
      <w:tr w:rsidR="006B42D6" w:rsidRPr="006B42D6" w14:paraId="294ADA3B" w14:textId="77777777" w:rsidTr="00355DF7">
        <w:trPr>
          <w:trHeight w:val="283"/>
        </w:trPr>
        <w:tc>
          <w:tcPr>
            <w:tcW w:w="1530" w:type="dxa"/>
            <w:tcBorders>
              <w:top w:val="nil"/>
              <w:left w:val="nil"/>
              <w:bottom w:val="nil"/>
              <w:right w:val="nil"/>
            </w:tcBorders>
            <w:shd w:val="clear" w:color="auto" w:fill="auto"/>
            <w:noWrap/>
            <w:vAlign w:val="bottom"/>
            <w:hideMark/>
          </w:tcPr>
          <w:p w14:paraId="61896CEC" w14:textId="77777777" w:rsidR="008A1E55" w:rsidRPr="006B42D6" w:rsidRDefault="008A1E55" w:rsidP="00E16CAE">
            <w:pPr>
              <w:rPr>
                <w:sz w:val="15"/>
                <w:szCs w:val="15"/>
              </w:rPr>
            </w:pPr>
            <w:r w:rsidRPr="006B42D6">
              <w:rPr>
                <w:sz w:val="15"/>
                <w:szCs w:val="15"/>
              </w:rPr>
              <w:t xml:space="preserve">Mjini Magharibi </w:t>
            </w:r>
          </w:p>
        </w:tc>
        <w:tc>
          <w:tcPr>
            <w:tcW w:w="987" w:type="dxa"/>
            <w:tcBorders>
              <w:top w:val="nil"/>
              <w:left w:val="nil"/>
              <w:bottom w:val="nil"/>
              <w:right w:val="nil"/>
            </w:tcBorders>
            <w:shd w:val="clear" w:color="auto" w:fill="auto"/>
            <w:noWrap/>
            <w:vAlign w:val="bottom"/>
            <w:hideMark/>
          </w:tcPr>
          <w:p w14:paraId="702491EB" w14:textId="77777777" w:rsidR="008A1E55" w:rsidRPr="006B42D6" w:rsidRDefault="008A1E55" w:rsidP="00E16CAE">
            <w:pPr>
              <w:jc w:val="right"/>
              <w:rPr>
                <w:sz w:val="15"/>
                <w:szCs w:val="15"/>
              </w:rPr>
            </w:pPr>
            <w:r w:rsidRPr="006B42D6">
              <w:rPr>
                <w:sz w:val="15"/>
                <w:szCs w:val="15"/>
              </w:rPr>
              <w:t>11.2</w:t>
            </w:r>
          </w:p>
        </w:tc>
        <w:tc>
          <w:tcPr>
            <w:tcW w:w="1197" w:type="dxa"/>
            <w:tcBorders>
              <w:top w:val="nil"/>
              <w:left w:val="nil"/>
              <w:bottom w:val="nil"/>
              <w:right w:val="nil"/>
            </w:tcBorders>
            <w:shd w:val="clear" w:color="auto" w:fill="auto"/>
            <w:noWrap/>
            <w:vAlign w:val="bottom"/>
            <w:hideMark/>
          </w:tcPr>
          <w:p w14:paraId="45FECBB2" w14:textId="77777777" w:rsidR="008A1E55" w:rsidRPr="006B42D6" w:rsidRDefault="008A1E55" w:rsidP="00E16CAE">
            <w:pPr>
              <w:jc w:val="right"/>
              <w:rPr>
                <w:sz w:val="15"/>
                <w:szCs w:val="15"/>
              </w:rPr>
            </w:pPr>
            <w:r w:rsidRPr="006B42D6">
              <w:rPr>
                <w:sz w:val="15"/>
                <w:szCs w:val="15"/>
              </w:rPr>
              <w:t>-</w:t>
            </w:r>
          </w:p>
        </w:tc>
        <w:tc>
          <w:tcPr>
            <w:tcW w:w="1197" w:type="dxa"/>
            <w:tcBorders>
              <w:top w:val="nil"/>
              <w:left w:val="nil"/>
              <w:bottom w:val="nil"/>
              <w:right w:val="nil"/>
            </w:tcBorders>
            <w:shd w:val="clear" w:color="auto" w:fill="auto"/>
            <w:noWrap/>
            <w:vAlign w:val="bottom"/>
            <w:hideMark/>
          </w:tcPr>
          <w:p w14:paraId="5AD95816" w14:textId="77777777" w:rsidR="008A1E55" w:rsidRPr="006B42D6" w:rsidRDefault="008A1E55" w:rsidP="00E16CAE">
            <w:pPr>
              <w:jc w:val="right"/>
              <w:rPr>
                <w:sz w:val="15"/>
                <w:szCs w:val="15"/>
              </w:rPr>
            </w:pPr>
            <w:r w:rsidRPr="006B42D6">
              <w:rPr>
                <w:sz w:val="15"/>
                <w:szCs w:val="15"/>
              </w:rPr>
              <w:t>-</w:t>
            </w:r>
          </w:p>
        </w:tc>
        <w:tc>
          <w:tcPr>
            <w:tcW w:w="1197" w:type="dxa"/>
            <w:tcBorders>
              <w:top w:val="nil"/>
              <w:left w:val="nil"/>
              <w:bottom w:val="nil"/>
              <w:right w:val="nil"/>
            </w:tcBorders>
            <w:shd w:val="clear" w:color="auto" w:fill="auto"/>
            <w:noWrap/>
            <w:vAlign w:val="bottom"/>
            <w:hideMark/>
          </w:tcPr>
          <w:p w14:paraId="5F151776" w14:textId="77777777" w:rsidR="008A1E55" w:rsidRPr="006B42D6" w:rsidRDefault="008A1E55" w:rsidP="00E16CAE">
            <w:pPr>
              <w:jc w:val="right"/>
              <w:rPr>
                <w:sz w:val="15"/>
                <w:szCs w:val="15"/>
              </w:rPr>
            </w:pPr>
            <w:r w:rsidRPr="006B42D6">
              <w:rPr>
                <w:sz w:val="15"/>
                <w:szCs w:val="15"/>
              </w:rPr>
              <w:t>-</w:t>
            </w:r>
          </w:p>
        </w:tc>
        <w:tc>
          <w:tcPr>
            <w:tcW w:w="1197" w:type="dxa"/>
            <w:tcBorders>
              <w:top w:val="nil"/>
              <w:left w:val="nil"/>
              <w:bottom w:val="nil"/>
              <w:right w:val="nil"/>
            </w:tcBorders>
            <w:shd w:val="clear" w:color="auto" w:fill="auto"/>
            <w:noWrap/>
            <w:vAlign w:val="bottom"/>
            <w:hideMark/>
          </w:tcPr>
          <w:p w14:paraId="4731F10B" w14:textId="77777777" w:rsidR="008A1E55" w:rsidRPr="006B42D6" w:rsidRDefault="008A1E55" w:rsidP="00E16CAE">
            <w:pPr>
              <w:jc w:val="right"/>
              <w:rPr>
                <w:sz w:val="15"/>
                <w:szCs w:val="15"/>
              </w:rPr>
            </w:pPr>
            <w:r w:rsidRPr="006B42D6">
              <w:rPr>
                <w:sz w:val="15"/>
                <w:szCs w:val="15"/>
              </w:rPr>
              <w:t>41.8</w:t>
            </w:r>
          </w:p>
        </w:tc>
        <w:tc>
          <w:tcPr>
            <w:tcW w:w="1192" w:type="dxa"/>
            <w:tcBorders>
              <w:top w:val="nil"/>
              <w:left w:val="nil"/>
              <w:bottom w:val="nil"/>
              <w:right w:val="nil"/>
            </w:tcBorders>
            <w:shd w:val="clear" w:color="auto" w:fill="auto"/>
            <w:noWrap/>
            <w:vAlign w:val="bottom"/>
            <w:hideMark/>
          </w:tcPr>
          <w:p w14:paraId="61F91167" w14:textId="77777777" w:rsidR="008A1E55" w:rsidRPr="006B42D6" w:rsidRDefault="008A1E55" w:rsidP="00E16CAE">
            <w:pPr>
              <w:jc w:val="right"/>
              <w:rPr>
                <w:sz w:val="15"/>
                <w:szCs w:val="15"/>
              </w:rPr>
            </w:pPr>
            <w:r w:rsidRPr="006B42D6">
              <w:rPr>
                <w:sz w:val="15"/>
                <w:szCs w:val="15"/>
              </w:rPr>
              <w:t>22.9</w:t>
            </w:r>
          </w:p>
        </w:tc>
        <w:tc>
          <w:tcPr>
            <w:tcW w:w="1201" w:type="dxa"/>
            <w:tcBorders>
              <w:top w:val="nil"/>
              <w:left w:val="nil"/>
              <w:bottom w:val="nil"/>
              <w:right w:val="nil"/>
            </w:tcBorders>
            <w:shd w:val="clear" w:color="auto" w:fill="auto"/>
            <w:noWrap/>
            <w:vAlign w:val="bottom"/>
            <w:hideMark/>
          </w:tcPr>
          <w:p w14:paraId="2B1D9787" w14:textId="77777777" w:rsidR="008A1E55" w:rsidRPr="006B42D6" w:rsidRDefault="008A1E55" w:rsidP="00E16CAE">
            <w:pPr>
              <w:jc w:val="right"/>
              <w:rPr>
                <w:sz w:val="15"/>
                <w:szCs w:val="15"/>
              </w:rPr>
            </w:pPr>
            <w:r w:rsidRPr="006B42D6">
              <w:rPr>
                <w:sz w:val="15"/>
                <w:szCs w:val="15"/>
              </w:rPr>
              <w:t>-</w:t>
            </w:r>
          </w:p>
        </w:tc>
      </w:tr>
      <w:tr w:rsidR="006B42D6" w:rsidRPr="006B42D6" w14:paraId="2D9E138B" w14:textId="77777777" w:rsidTr="00355DF7">
        <w:trPr>
          <w:trHeight w:val="283"/>
        </w:trPr>
        <w:tc>
          <w:tcPr>
            <w:tcW w:w="1530" w:type="dxa"/>
            <w:tcBorders>
              <w:top w:val="nil"/>
              <w:left w:val="nil"/>
              <w:bottom w:val="nil"/>
              <w:right w:val="nil"/>
            </w:tcBorders>
            <w:shd w:val="clear" w:color="auto" w:fill="auto"/>
            <w:noWrap/>
            <w:vAlign w:val="bottom"/>
            <w:hideMark/>
          </w:tcPr>
          <w:p w14:paraId="37A2C826" w14:textId="77777777" w:rsidR="008A1E55" w:rsidRPr="006B42D6" w:rsidRDefault="008A1E55" w:rsidP="00E16CAE">
            <w:pPr>
              <w:rPr>
                <w:sz w:val="15"/>
                <w:szCs w:val="15"/>
              </w:rPr>
            </w:pPr>
            <w:r w:rsidRPr="006B42D6">
              <w:rPr>
                <w:sz w:val="15"/>
                <w:szCs w:val="15"/>
              </w:rPr>
              <w:t>Kaskazini Pemba</w:t>
            </w:r>
          </w:p>
        </w:tc>
        <w:tc>
          <w:tcPr>
            <w:tcW w:w="987" w:type="dxa"/>
            <w:tcBorders>
              <w:top w:val="nil"/>
              <w:left w:val="nil"/>
              <w:bottom w:val="nil"/>
              <w:right w:val="nil"/>
            </w:tcBorders>
            <w:shd w:val="clear" w:color="auto" w:fill="auto"/>
            <w:noWrap/>
            <w:vAlign w:val="bottom"/>
            <w:hideMark/>
          </w:tcPr>
          <w:p w14:paraId="7AE534EA" w14:textId="77777777" w:rsidR="008A1E55" w:rsidRPr="006B42D6" w:rsidRDefault="008A1E55" w:rsidP="00E16CAE">
            <w:pPr>
              <w:jc w:val="right"/>
              <w:rPr>
                <w:sz w:val="15"/>
                <w:szCs w:val="15"/>
              </w:rPr>
            </w:pPr>
            <w:r w:rsidRPr="006B42D6">
              <w:rPr>
                <w:sz w:val="15"/>
                <w:szCs w:val="15"/>
              </w:rPr>
              <w:t>30.3</w:t>
            </w:r>
          </w:p>
        </w:tc>
        <w:tc>
          <w:tcPr>
            <w:tcW w:w="1197" w:type="dxa"/>
            <w:tcBorders>
              <w:top w:val="nil"/>
              <w:left w:val="nil"/>
              <w:bottom w:val="nil"/>
              <w:right w:val="nil"/>
            </w:tcBorders>
            <w:shd w:val="clear" w:color="auto" w:fill="auto"/>
            <w:noWrap/>
            <w:vAlign w:val="bottom"/>
            <w:hideMark/>
          </w:tcPr>
          <w:p w14:paraId="462BF06A" w14:textId="77777777" w:rsidR="008A1E55" w:rsidRPr="006B42D6" w:rsidRDefault="008A1E55" w:rsidP="00E16CAE">
            <w:pPr>
              <w:jc w:val="right"/>
              <w:rPr>
                <w:sz w:val="15"/>
                <w:szCs w:val="15"/>
              </w:rPr>
            </w:pPr>
            <w:r w:rsidRPr="006B42D6">
              <w:rPr>
                <w:sz w:val="15"/>
                <w:szCs w:val="15"/>
              </w:rPr>
              <w:t>-</w:t>
            </w:r>
          </w:p>
        </w:tc>
        <w:tc>
          <w:tcPr>
            <w:tcW w:w="1197" w:type="dxa"/>
            <w:tcBorders>
              <w:top w:val="nil"/>
              <w:left w:val="nil"/>
              <w:bottom w:val="nil"/>
              <w:right w:val="nil"/>
            </w:tcBorders>
            <w:shd w:val="clear" w:color="auto" w:fill="auto"/>
            <w:noWrap/>
            <w:vAlign w:val="bottom"/>
            <w:hideMark/>
          </w:tcPr>
          <w:p w14:paraId="1EB2F2A5" w14:textId="77777777" w:rsidR="008A1E55" w:rsidRPr="006B42D6" w:rsidRDefault="008A1E55" w:rsidP="00E16CAE">
            <w:pPr>
              <w:jc w:val="right"/>
              <w:rPr>
                <w:sz w:val="15"/>
                <w:szCs w:val="15"/>
              </w:rPr>
            </w:pPr>
            <w:r w:rsidRPr="006B42D6">
              <w:rPr>
                <w:sz w:val="15"/>
                <w:szCs w:val="15"/>
              </w:rPr>
              <w:t>-</w:t>
            </w:r>
          </w:p>
        </w:tc>
        <w:tc>
          <w:tcPr>
            <w:tcW w:w="1197" w:type="dxa"/>
            <w:tcBorders>
              <w:top w:val="nil"/>
              <w:left w:val="nil"/>
              <w:bottom w:val="nil"/>
              <w:right w:val="nil"/>
            </w:tcBorders>
            <w:shd w:val="clear" w:color="auto" w:fill="auto"/>
            <w:noWrap/>
            <w:vAlign w:val="bottom"/>
            <w:hideMark/>
          </w:tcPr>
          <w:p w14:paraId="52135924" w14:textId="77777777" w:rsidR="008A1E55" w:rsidRPr="006B42D6" w:rsidRDefault="008A1E55" w:rsidP="00E16CAE">
            <w:pPr>
              <w:jc w:val="right"/>
              <w:rPr>
                <w:sz w:val="15"/>
                <w:szCs w:val="15"/>
              </w:rPr>
            </w:pPr>
            <w:r w:rsidRPr="006B42D6">
              <w:rPr>
                <w:sz w:val="15"/>
                <w:szCs w:val="15"/>
              </w:rPr>
              <w:t>-</w:t>
            </w:r>
          </w:p>
        </w:tc>
        <w:tc>
          <w:tcPr>
            <w:tcW w:w="1197" w:type="dxa"/>
            <w:tcBorders>
              <w:top w:val="nil"/>
              <w:left w:val="nil"/>
              <w:bottom w:val="nil"/>
              <w:right w:val="nil"/>
            </w:tcBorders>
            <w:shd w:val="clear" w:color="auto" w:fill="auto"/>
            <w:noWrap/>
            <w:vAlign w:val="bottom"/>
            <w:hideMark/>
          </w:tcPr>
          <w:p w14:paraId="4B4F9291" w14:textId="77777777" w:rsidR="008A1E55" w:rsidRPr="006B42D6" w:rsidRDefault="008A1E55" w:rsidP="00E16CAE">
            <w:pPr>
              <w:jc w:val="right"/>
              <w:rPr>
                <w:sz w:val="15"/>
                <w:szCs w:val="15"/>
              </w:rPr>
            </w:pPr>
            <w:r w:rsidRPr="006B42D6">
              <w:rPr>
                <w:sz w:val="15"/>
                <w:szCs w:val="15"/>
              </w:rPr>
              <w:t>11.3</w:t>
            </w:r>
          </w:p>
        </w:tc>
        <w:tc>
          <w:tcPr>
            <w:tcW w:w="1192" w:type="dxa"/>
            <w:tcBorders>
              <w:top w:val="nil"/>
              <w:left w:val="nil"/>
              <w:bottom w:val="nil"/>
              <w:right w:val="nil"/>
            </w:tcBorders>
            <w:shd w:val="clear" w:color="auto" w:fill="auto"/>
            <w:noWrap/>
            <w:vAlign w:val="bottom"/>
            <w:hideMark/>
          </w:tcPr>
          <w:p w14:paraId="46B6B25F" w14:textId="77777777" w:rsidR="008A1E55" w:rsidRPr="006B42D6" w:rsidRDefault="008A1E55" w:rsidP="00E16CAE">
            <w:pPr>
              <w:jc w:val="right"/>
              <w:rPr>
                <w:sz w:val="15"/>
                <w:szCs w:val="15"/>
              </w:rPr>
            </w:pPr>
            <w:r w:rsidRPr="006B42D6">
              <w:rPr>
                <w:sz w:val="15"/>
                <w:szCs w:val="15"/>
              </w:rPr>
              <w:t>19.8</w:t>
            </w:r>
          </w:p>
        </w:tc>
        <w:tc>
          <w:tcPr>
            <w:tcW w:w="1201" w:type="dxa"/>
            <w:tcBorders>
              <w:top w:val="nil"/>
              <w:left w:val="nil"/>
              <w:bottom w:val="nil"/>
              <w:right w:val="nil"/>
            </w:tcBorders>
            <w:shd w:val="clear" w:color="auto" w:fill="auto"/>
            <w:noWrap/>
            <w:vAlign w:val="bottom"/>
            <w:hideMark/>
          </w:tcPr>
          <w:p w14:paraId="69E5BD5A" w14:textId="77777777" w:rsidR="008A1E55" w:rsidRPr="006B42D6" w:rsidRDefault="008A1E55" w:rsidP="00E16CAE">
            <w:pPr>
              <w:jc w:val="right"/>
              <w:rPr>
                <w:sz w:val="15"/>
                <w:szCs w:val="15"/>
              </w:rPr>
            </w:pPr>
            <w:r w:rsidRPr="006B42D6">
              <w:rPr>
                <w:sz w:val="15"/>
                <w:szCs w:val="15"/>
              </w:rPr>
              <w:t>-</w:t>
            </w:r>
          </w:p>
        </w:tc>
      </w:tr>
      <w:tr w:rsidR="006B42D6" w:rsidRPr="006B42D6" w14:paraId="4CDEB581" w14:textId="77777777" w:rsidTr="00355DF7">
        <w:trPr>
          <w:trHeight w:val="283"/>
        </w:trPr>
        <w:tc>
          <w:tcPr>
            <w:tcW w:w="1530" w:type="dxa"/>
            <w:tcBorders>
              <w:top w:val="nil"/>
              <w:left w:val="nil"/>
              <w:bottom w:val="nil"/>
              <w:right w:val="nil"/>
            </w:tcBorders>
            <w:shd w:val="clear" w:color="auto" w:fill="auto"/>
            <w:noWrap/>
            <w:vAlign w:val="bottom"/>
            <w:hideMark/>
          </w:tcPr>
          <w:p w14:paraId="246079EA" w14:textId="77777777" w:rsidR="008A1E55" w:rsidRPr="006B42D6" w:rsidRDefault="008A1E55" w:rsidP="00E16CAE">
            <w:pPr>
              <w:rPr>
                <w:sz w:val="15"/>
                <w:szCs w:val="15"/>
              </w:rPr>
            </w:pPr>
            <w:r w:rsidRPr="006B42D6">
              <w:rPr>
                <w:sz w:val="15"/>
                <w:szCs w:val="15"/>
              </w:rPr>
              <w:t>Kusini Pemba</w:t>
            </w:r>
          </w:p>
        </w:tc>
        <w:tc>
          <w:tcPr>
            <w:tcW w:w="987" w:type="dxa"/>
            <w:tcBorders>
              <w:top w:val="nil"/>
              <w:left w:val="nil"/>
              <w:bottom w:val="nil"/>
              <w:right w:val="nil"/>
            </w:tcBorders>
            <w:shd w:val="clear" w:color="auto" w:fill="auto"/>
            <w:noWrap/>
            <w:vAlign w:val="bottom"/>
            <w:hideMark/>
          </w:tcPr>
          <w:p w14:paraId="2431C540" w14:textId="77777777" w:rsidR="008A1E55" w:rsidRPr="006B42D6" w:rsidRDefault="008A1E55" w:rsidP="00E16CAE">
            <w:pPr>
              <w:jc w:val="right"/>
              <w:rPr>
                <w:sz w:val="15"/>
                <w:szCs w:val="15"/>
              </w:rPr>
            </w:pPr>
            <w:r w:rsidRPr="006B42D6">
              <w:rPr>
                <w:sz w:val="15"/>
                <w:szCs w:val="15"/>
              </w:rPr>
              <w:t>38.2</w:t>
            </w:r>
          </w:p>
        </w:tc>
        <w:tc>
          <w:tcPr>
            <w:tcW w:w="1197" w:type="dxa"/>
            <w:tcBorders>
              <w:top w:val="nil"/>
              <w:left w:val="nil"/>
              <w:bottom w:val="nil"/>
              <w:right w:val="nil"/>
            </w:tcBorders>
            <w:shd w:val="clear" w:color="auto" w:fill="auto"/>
            <w:noWrap/>
            <w:vAlign w:val="bottom"/>
            <w:hideMark/>
          </w:tcPr>
          <w:p w14:paraId="2468E76B" w14:textId="77777777" w:rsidR="008A1E55" w:rsidRPr="006B42D6" w:rsidRDefault="008A1E55" w:rsidP="00E16CAE">
            <w:pPr>
              <w:jc w:val="right"/>
              <w:rPr>
                <w:sz w:val="15"/>
                <w:szCs w:val="15"/>
              </w:rPr>
            </w:pPr>
            <w:r w:rsidRPr="006B42D6">
              <w:rPr>
                <w:sz w:val="15"/>
                <w:szCs w:val="15"/>
              </w:rPr>
              <w:t>-</w:t>
            </w:r>
          </w:p>
        </w:tc>
        <w:tc>
          <w:tcPr>
            <w:tcW w:w="1197" w:type="dxa"/>
            <w:tcBorders>
              <w:top w:val="nil"/>
              <w:left w:val="nil"/>
              <w:bottom w:val="nil"/>
              <w:right w:val="nil"/>
            </w:tcBorders>
            <w:shd w:val="clear" w:color="auto" w:fill="auto"/>
            <w:noWrap/>
            <w:vAlign w:val="bottom"/>
            <w:hideMark/>
          </w:tcPr>
          <w:p w14:paraId="6782AC11" w14:textId="77777777" w:rsidR="008A1E55" w:rsidRPr="006B42D6" w:rsidRDefault="008A1E55" w:rsidP="00E16CAE">
            <w:pPr>
              <w:jc w:val="right"/>
              <w:rPr>
                <w:sz w:val="15"/>
                <w:szCs w:val="15"/>
              </w:rPr>
            </w:pPr>
            <w:r w:rsidRPr="006B42D6">
              <w:rPr>
                <w:sz w:val="15"/>
                <w:szCs w:val="15"/>
              </w:rPr>
              <w:t>-</w:t>
            </w:r>
          </w:p>
        </w:tc>
        <w:tc>
          <w:tcPr>
            <w:tcW w:w="1197" w:type="dxa"/>
            <w:tcBorders>
              <w:top w:val="nil"/>
              <w:left w:val="nil"/>
              <w:bottom w:val="nil"/>
              <w:right w:val="nil"/>
            </w:tcBorders>
            <w:shd w:val="clear" w:color="auto" w:fill="auto"/>
            <w:noWrap/>
            <w:vAlign w:val="bottom"/>
            <w:hideMark/>
          </w:tcPr>
          <w:p w14:paraId="1B0FEADC" w14:textId="77777777" w:rsidR="008A1E55" w:rsidRPr="006B42D6" w:rsidRDefault="008A1E55" w:rsidP="00E16CAE">
            <w:pPr>
              <w:jc w:val="right"/>
              <w:rPr>
                <w:sz w:val="15"/>
                <w:szCs w:val="15"/>
              </w:rPr>
            </w:pPr>
            <w:r w:rsidRPr="006B42D6">
              <w:rPr>
                <w:sz w:val="15"/>
                <w:szCs w:val="15"/>
              </w:rPr>
              <w:t>-</w:t>
            </w:r>
          </w:p>
        </w:tc>
        <w:tc>
          <w:tcPr>
            <w:tcW w:w="1197" w:type="dxa"/>
            <w:tcBorders>
              <w:top w:val="nil"/>
              <w:left w:val="nil"/>
              <w:bottom w:val="nil"/>
              <w:right w:val="nil"/>
            </w:tcBorders>
            <w:shd w:val="clear" w:color="auto" w:fill="auto"/>
            <w:noWrap/>
            <w:vAlign w:val="bottom"/>
            <w:hideMark/>
          </w:tcPr>
          <w:p w14:paraId="4CB1B5DD" w14:textId="77777777" w:rsidR="008A1E55" w:rsidRPr="006B42D6" w:rsidRDefault="008A1E55" w:rsidP="00E16CAE">
            <w:pPr>
              <w:jc w:val="right"/>
              <w:rPr>
                <w:sz w:val="15"/>
                <w:szCs w:val="15"/>
              </w:rPr>
            </w:pPr>
            <w:r w:rsidRPr="006B42D6">
              <w:rPr>
                <w:sz w:val="15"/>
                <w:szCs w:val="15"/>
              </w:rPr>
              <w:t>12.0</w:t>
            </w:r>
          </w:p>
        </w:tc>
        <w:tc>
          <w:tcPr>
            <w:tcW w:w="1192" w:type="dxa"/>
            <w:tcBorders>
              <w:top w:val="nil"/>
              <w:left w:val="nil"/>
              <w:bottom w:val="nil"/>
              <w:right w:val="nil"/>
            </w:tcBorders>
            <w:shd w:val="clear" w:color="auto" w:fill="auto"/>
            <w:noWrap/>
            <w:vAlign w:val="bottom"/>
            <w:hideMark/>
          </w:tcPr>
          <w:p w14:paraId="589AC51D" w14:textId="77777777" w:rsidR="008A1E55" w:rsidRPr="006B42D6" w:rsidRDefault="008A1E55" w:rsidP="00E16CAE">
            <w:pPr>
              <w:jc w:val="right"/>
              <w:rPr>
                <w:sz w:val="15"/>
                <w:szCs w:val="15"/>
              </w:rPr>
            </w:pPr>
            <w:r w:rsidRPr="006B42D6">
              <w:rPr>
                <w:sz w:val="15"/>
                <w:szCs w:val="15"/>
              </w:rPr>
              <w:t>27.4</w:t>
            </w:r>
          </w:p>
        </w:tc>
        <w:tc>
          <w:tcPr>
            <w:tcW w:w="1201" w:type="dxa"/>
            <w:tcBorders>
              <w:top w:val="nil"/>
              <w:left w:val="nil"/>
              <w:bottom w:val="nil"/>
              <w:right w:val="nil"/>
            </w:tcBorders>
            <w:shd w:val="clear" w:color="auto" w:fill="auto"/>
            <w:noWrap/>
            <w:vAlign w:val="bottom"/>
            <w:hideMark/>
          </w:tcPr>
          <w:p w14:paraId="4488BD9B" w14:textId="77777777" w:rsidR="008A1E55" w:rsidRPr="006B42D6" w:rsidRDefault="008A1E55" w:rsidP="00E16CAE">
            <w:pPr>
              <w:jc w:val="right"/>
              <w:rPr>
                <w:sz w:val="15"/>
                <w:szCs w:val="15"/>
              </w:rPr>
            </w:pPr>
            <w:r w:rsidRPr="006B42D6">
              <w:rPr>
                <w:sz w:val="15"/>
                <w:szCs w:val="15"/>
              </w:rPr>
              <w:t>-</w:t>
            </w:r>
          </w:p>
        </w:tc>
      </w:tr>
      <w:tr w:rsidR="008A1E55" w:rsidRPr="004F65CD" w14:paraId="0F0431A2" w14:textId="77777777" w:rsidTr="00355DF7">
        <w:trPr>
          <w:trHeight w:val="283"/>
        </w:trPr>
        <w:tc>
          <w:tcPr>
            <w:tcW w:w="1530" w:type="dxa"/>
            <w:tcBorders>
              <w:top w:val="single" w:sz="4" w:space="0" w:color="auto"/>
              <w:left w:val="nil"/>
              <w:bottom w:val="single" w:sz="4" w:space="0" w:color="auto"/>
              <w:right w:val="nil"/>
            </w:tcBorders>
            <w:shd w:val="clear" w:color="auto" w:fill="E2EFD9" w:themeFill="accent6" w:themeFillTint="33"/>
            <w:noWrap/>
            <w:vAlign w:val="bottom"/>
            <w:hideMark/>
          </w:tcPr>
          <w:p w14:paraId="16E5F9AC" w14:textId="77777777" w:rsidR="008A1E55" w:rsidRPr="004F65CD" w:rsidRDefault="008A1E55" w:rsidP="00E16CAE">
            <w:pPr>
              <w:rPr>
                <w:b/>
                <w:sz w:val="15"/>
                <w:szCs w:val="15"/>
              </w:rPr>
            </w:pPr>
            <w:r w:rsidRPr="004F65CD">
              <w:rPr>
                <w:b/>
                <w:sz w:val="15"/>
                <w:szCs w:val="15"/>
              </w:rPr>
              <w:t>Tanzania Zanzibar</w:t>
            </w:r>
          </w:p>
        </w:tc>
        <w:tc>
          <w:tcPr>
            <w:tcW w:w="987" w:type="dxa"/>
            <w:tcBorders>
              <w:top w:val="single" w:sz="4" w:space="0" w:color="auto"/>
              <w:left w:val="nil"/>
              <w:bottom w:val="single" w:sz="4" w:space="0" w:color="auto"/>
              <w:right w:val="nil"/>
            </w:tcBorders>
            <w:shd w:val="clear" w:color="auto" w:fill="E2EFD9" w:themeFill="accent6" w:themeFillTint="33"/>
            <w:noWrap/>
            <w:vAlign w:val="bottom"/>
            <w:hideMark/>
          </w:tcPr>
          <w:p w14:paraId="0FA7ECDE" w14:textId="77777777" w:rsidR="008A1E55" w:rsidRPr="004F65CD" w:rsidRDefault="008A1E55" w:rsidP="00E16CAE">
            <w:pPr>
              <w:jc w:val="right"/>
              <w:rPr>
                <w:b/>
                <w:sz w:val="15"/>
                <w:szCs w:val="15"/>
              </w:rPr>
            </w:pPr>
            <w:r w:rsidRPr="004F65CD">
              <w:rPr>
                <w:b/>
                <w:sz w:val="15"/>
                <w:szCs w:val="15"/>
              </w:rPr>
              <w:t>100.0</w:t>
            </w:r>
          </w:p>
        </w:tc>
        <w:tc>
          <w:tcPr>
            <w:tcW w:w="1197" w:type="dxa"/>
            <w:tcBorders>
              <w:top w:val="single" w:sz="4" w:space="0" w:color="auto"/>
              <w:left w:val="nil"/>
              <w:bottom w:val="single" w:sz="4" w:space="0" w:color="auto"/>
              <w:right w:val="nil"/>
            </w:tcBorders>
            <w:shd w:val="clear" w:color="auto" w:fill="E2EFD9" w:themeFill="accent6" w:themeFillTint="33"/>
            <w:noWrap/>
            <w:vAlign w:val="bottom"/>
            <w:hideMark/>
          </w:tcPr>
          <w:p w14:paraId="3836A8A9" w14:textId="77777777" w:rsidR="008A1E55" w:rsidRPr="004F65CD" w:rsidRDefault="008A1E55" w:rsidP="00E16CAE">
            <w:pPr>
              <w:jc w:val="right"/>
              <w:rPr>
                <w:b/>
                <w:sz w:val="15"/>
                <w:szCs w:val="15"/>
              </w:rPr>
            </w:pPr>
            <w:r w:rsidRPr="004F65CD">
              <w:rPr>
                <w:b/>
                <w:sz w:val="15"/>
                <w:szCs w:val="15"/>
              </w:rPr>
              <w:t>-</w:t>
            </w:r>
          </w:p>
        </w:tc>
        <w:tc>
          <w:tcPr>
            <w:tcW w:w="1197" w:type="dxa"/>
            <w:tcBorders>
              <w:top w:val="single" w:sz="4" w:space="0" w:color="auto"/>
              <w:left w:val="nil"/>
              <w:bottom w:val="single" w:sz="4" w:space="0" w:color="auto"/>
              <w:right w:val="nil"/>
            </w:tcBorders>
            <w:shd w:val="clear" w:color="auto" w:fill="E2EFD9" w:themeFill="accent6" w:themeFillTint="33"/>
            <w:noWrap/>
            <w:vAlign w:val="bottom"/>
            <w:hideMark/>
          </w:tcPr>
          <w:p w14:paraId="23F13516" w14:textId="77777777" w:rsidR="008A1E55" w:rsidRPr="004F65CD" w:rsidRDefault="008A1E55" w:rsidP="00E16CAE">
            <w:pPr>
              <w:jc w:val="right"/>
              <w:rPr>
                <w:b/>
                <w:sz w:val="15"/>
                <w:szCs w:val="15"/>
              </w:rPr>
            </w:pPr>
            <w:r w:rsidRPr="004F65CD">
              <w:rPr>
                <w:b/>
                <w:sz w:val="15"/>
                <w:szCs w:val="15"/>
              </w:rPr>
              <w:t>-</w:t>
            </w:r>
          </w:p>
        </w:tc>
        <w:tc>
          <w:tcPr>
            <w:tcW w:w="1197" w:type="dxa"/>
            <w:tcBorders>
              <w:top w:val="single" w:sz="4" w:space="0" w:color="auto"/>
              <w:left w:val="nil"/>
              <w:bottom w:val="single" w:sz="4" w:space="0" w:color="auto"/>
              <w:right w:val="nil"/>
            </w:tcBorders>
            <w:shd w:val="clear" w:color="auto" w:fill="E2EFD9" w:themeFill="accent6" w:themeFillTint="33"/>
            <w:noWrap/>
            <w:vAlign w:val="bottom"/>
            <w:hideMark/>
          </w:tcPr>
          <w:p w14:paraId="778E50B9" w14:textId="77777777" w:rsidR="008A1E55" w:rsidRPr="004F65CD" w:rsidRDefault="008A1E55" w:rsidP="00E16CAE">
            <w:pPr>
              <w:jc w:val="right"/>
              <w:rPr>
                <w:b/>
                <w:sz w:val="15"/>
                <w:szCs w:val="15"/>
              </w:rPr>
            </w:pPr>
            <w:r w:rsidRPr="004F65CD">
              <w:rPr>
                <w:b/>
                <w:sz w:val="15"/>
                <w:szCs w:val="15"/>
              </w:rPr>
              <w:t>-</w:t>
            </w:r>
          </w:p>
        </w:tc>
        <w:tc>
          <w:tcPr>
            <w:tcW w:w="1197" w:type="dxa"/>
            <w:tcBorders>
              <w:top w:val="single" w:sz="4" w:space="0" w:color="auto"/>
              <w:left w:val="nil"/>
              <w:bottom w:val="single" w:sz="4" w:space="0" w:color="auto"/>
              <w:right w:val="nil"/>
            </w:tcBorders>
            <w:shd w:val="clear" w:color="auto" w:fill="E2EFD9" w:themeFill="accent6" w:themeFillTint="33"/>
            <w:noWrap/>
            <w:vAlign w:val="bottom"/>
            <w:hideMark/>
          </w:tcPr>
          <w:p w14:paraId="29BBD134" w14:textId="77777777" w:rsidR="008A1E55" w:rsidRPr="004F65CD" w:rsidRDefault="008A1E55" w:rsidP="00E16CAE">
            <w:pPr>
              <w:jc w:val="right"/>
              <w:rPr>
                <w:b/>
                <w:sz w:val="15"/>
                <w:szCs w:val="15"/>
              </w:rPr>
            </w:pPr>
            <w:r w:rsidRPr="004F65CD">
              <w:rPr>
                <w:b/>
                <w:sz w:val="15"/>
                <w:szCs w:val="15"/>
              </w:rPr>
              <w:t>100.0</w:t>
            </w:r>
          </w:p>
        </w:tc>
        <w:tc>
          <w:tcPr>
            <w:tcW w:w="1192" w:type="dxa"/>
            <w:tcBorders>
              <w:top w:val="single" w:sz="4" w:space="0" w:color="auto"/>
              <w:left w:val="nil"/>
              <w:bottom w:val="single" w:sz="4" w:space="0" w:color="auto"/>
              <w:right w:val="nil"/>
            </w:tcBorders>
            <w:shd w:val="clear" w:color="auto" w:fill="E2EFD9" w:themeFill="accent6" w:themeFillTint="33"/>
            <w:noWrap/>
            <w:vAlign w:val="bottom"/>
            <w:hideMark/>
          </w:tcPr>
          <w:p w14:paraId="25558572" w14:textId="77777777" w:rsidR="008A1E55" w:rsidRPr="004F65CD" w:rsidRDefault="008A1E55" w:rsidP="00E16CAE">
            <w:pPr>
              <w:jc w:val="right"/>
              <w:rPr>
                <w:b/>
                <w:sz w:val="15"/>
                <w:szCs w:val="15"/>
              </w:rPr>
            </w:pPr>
            <w:r w:rsidRPr="004F65CD">
              <w:rPr>
                <w:b/>
                <w:sz w:val="15"/>
                <w:szCs w:val="15"/>
              </w:rPr>
              <w:t>100.0</w:t>
            </w:r>
          </w:p>
        </w:tc>
        <w:tc>
          <w:tcPr>
            <w:tcW w:w="1201" w:type="dxa"/>
            <w:tcBorders>
              <w:top w:val="single" w:sz="4" w:space="0" w:color="auto"/>
              <w:left w:val="nil"/>
              <w:bottom w:val="single" w:sz="4" w:space="0" w:color="auto"/>
              <w:right w:val="nil"/>
            </w:tcBorders>
            <w:shd w:val="clear" w:color="auto" w:fill="E2EFD9" w:themeFill="accent6" w:themeFillTint="33"/>
            <w:noWrap/>
            <w:vAlign w:val="bottom"/>
            <w:hideMark/>
          </w:tcPr>
          <w:p w14:paraId="5CED19D0" w14:textId="77777777" w:rsidR="008A1E55" w:rsidRPr="004F65CD" w:rsidRDefault="008A1E55" w:rsidP="00E16CAE">
            <w:pPr>
              <w:jc w:val="right"/>
              <w:rPr>
                <w:b/>
                <w:sz w:val="15"/>
                <w:szCs w:val="15"/>
              </w:rPr>
            </w:pPr>
            <w:r w:rsidRPr="004F65CD">
              <w:rPr>
                <w:b/>
                <w:sz w:val="15"/>
                <w:szCs w:val="15"/>
              </w:rPr>
              <w:t>-</w:t>
            </w:r>
          </w:p>
        </w:tc>
      </w:tr>
    </w:tbl>
    <w:p w14:paraId="66A88CD9" w14:textId="77777777" w:rsidR="008A1E55" w:rsidRPr="006B42D6" w:rsidRDefault="008A1E55" w:rsidP="008A1E55"/>
    <w:p w14:paraId="6B305678" w14:textId="3519FAB1" w:rsidR="008A1E55" w:rsidRPr="006B42D6" w:rsidRDefault="006C1D68" w:rsidP="008A1E55">
      <w:pPr>
        <w:pStyle w:val="Heading2"/>
      </w:pPr>
      <w:bookmarkStart w:id="861" w:name="_Toc82385799"/>
      <w:r w:rsidRPr="006B42D6">
        <w:t>6</w:t>
      </w:r>
      <w:r w:rsidR="008A1E55" w:rsidRPr="006B42D6">
        <w:t>.</w:t>
      </w:r>
      <w:r w:rsidR="00AC6872">
        <w:t>3</w:t>
      </w:r>
      <w:r w:rsidR="008A1E55" w:rsidRPr="006B42D6">
        <w:tab/>
        <w:t>Wall Materials</w:t>
      </w:r>
      <w:bookmarkEnd w:id="861"/>
    </w:p>
    <w:p w14:paraId="38721A2D" w14:textId="72EA2A1A" w:rsidR="008A1E55" w:rsidRPr="006B42D6" w:rsidRDefault="008A1E55" w:rsidP="008A1E55">
      <w:r w:rsidRPr="006B42D6">
        <w:t xml:space="preserve">The census results show that, out of 7,837,405 agricultural households in Tanzania, majority of households (3,228,627; 41.2 percent) used baked bricks, followed by those used sun dried bricks (1,793,347; 22.9 percent) and poles and mud (1,633,146; 20.8 percent). </w:t>
      </w:r>
      <w:r w:rsidR="00C41AC6">
        <w:t>G</w:t>
      </w:r>
      <w:r w:rsidRPr="006B42D6">
        <w:t xml:space="preserve">rass was used by the least number of households (16,538; 0.2 percent) (Table </w:t>
      </w:r>
      <w:r w:rsidR="006C1D68" w:rsidRPr="006B42D6">
        <w:t>6</w:t>
      </w:r>
      <w:r w:rsidRPr="006B42D6">
        <w:t>.5).</w:t>
      </w:r>
    </w:p>
    <w:p w14:paraId="0C630F6F" w14:textId="77777777" w:rsidR="008A1E55" w:rsidRPr="006B42D6" w:rsidRDefault="008A1E55" w:rsidP="008A1E55">
      <w:pPr>
        <w:rPr>
          <w:b/>
          <w:sz w:val="20"/>
          <w:szCs w:val="20"/>
        </w:rPr>
      </w:pPr>
    </w:p>
    <w:p w14:paraId="4F53DC0E" w14:textId="77777777" w:rsidR="008A1E55" w:rsidRPr="006B42D6" w:rsidRDefault="008A1E55" w:rsidP="008A1E55">
      <w:pPr>
        <w:rPr>
          <w:b/>
          <w:sz w:val="20"/>
          <w:szCs w:val="20"/>
        </w:rPr>
      </w:pPr>
    </w:p>
    <w:p w14:paraId="007FDCBC" w14:textId="59238AC4" w:rsidR="008A1E55" w:rsidRPr="006B42D6" w:rsidRDefault="008A1E55" w:rsidP="007200F6">
      <w:pPr>
        <w:pStyle w:val="Heading7"/>
      </w:pPr>
      <w:bookmarkStart w:id="862" w:name="_Toc82386240"/>
      <w:r w:rsidRPr="006B42D6">
        <w:lastRenderedPageBreak/>
        <w:t xml:space="preserve">Table </w:t>
      </w:r>
      <w:r w:rsidR="006C1D68" w:rsidRPr="006B42D6">
        <w:t>6</w:t>
      </w:r>
      <w:r w:rsidRPr="006B42D6">
        <w:t>.5</w:t>
      </w:r>
      <w:r w:rsidR="005420E0">
        <w:t>:</w:t>
      </w:r>
      <w:r w:rsidR="007A288F">
        <w:tab/>
      </w:r>
      <w:r w:rsidRPr="006B42D6">
        <w:t>Number and Percentage of Households by Type of Wall Material During 2019/20 Agricultural Year, Tanzania</w:t>
      </w:r>
      <w:bookmarkEnd w:id="862"/>
    </w:p>
    <w:tbl>
      <w:tblPr>
        <w:tblW w:w="9720" w:type="dxa"/>
        <w:tblLook w:val="04A0" w:firstRow="1" w:lastRow="0" w:firstColumn="1" w:lastColumn="0" w:noHBand="0" w:noVBand="1"/>
      </w:tblPr>
      <w:tblGrid>
        <w:gridCol w:w="1920"/>
        <w:gridCol w:w="1300"/>
        <w:gridCol w:w="1300"/>
        <w:gridCol w:w="1300"/>
        <w:gridCol w:w="1300"/>
        <w:gridCol w:w="1300"/>
        <w:gridCol w:w="1300"/>
      </w:tblGrid>
      <w:tr w:rsidR="006B42D6" w:rsidRPr="00257DF7" w14:paraId="3518CBBB" w14:textId="77777777" w:rsidTr="00355DF7">
        <w:trPr>
          <w:trHeight w:val="280"/>
        </w:trPr>
        <w:tc>
          <w:tcPr>
            <w:tcW w:w="1920" w:type="dxa"/>
            <w:vMerge w:val="restart"/>
            <w:tcBorders>
              <w:top w:val="single" w:sz="4" w:space="0" w:color="auto"/>
              <w:left w:val="nil"/>
              <w:bottom w:val="single" w:sz="4" w:space="0" w:color="000000"/>
              <w:right w:val="nil"/>
            </w:tcBorders>
            <w:shd w:val="clear" w:color="auto" w:fill="E2EFD9" w:themeFill="accent6" w:themeFillTint="33"/>
            <w:noWrap/>
            <w:vAlign w:val="center"/>
            <w:hideMark/>
          </w:tcPr>
          <w:p w14:paraId="4443D3B7" w14:textId="77777777" w:rsidR="008A1E55" w:rsidRPr="00257DF7" w:rsidRDefault="008A1E55" w:rsidP="00355DF7">
            <w:pPr>
              <w:spacing w:line="240" w:lineRule="auto"/>
              <w:rPr>
                <w:sz w:val="19"/>
                <w:szCs w:val="19"/>
              </w:rPr>
            </w:pPr>
            <w:r w:rsidRPr="00257DF7">
              <w:rPr>
                <w:sz w:val="19"/>
                <w:szCs w:val="19"/>
              </w:rPr>
              <w:t xml:space="preserve">Wall Material </w:t>
            </w:r>
          </w:p>
        </w:tc>
        <w:tc>
          <w:tcPr>
            <w:tcW w:w="2600" w:type="dxa"/>
            <w:gridSpan w:val="2"/>
            <w:tcBorders>
              <w:top w:val="single" w:sz="4" w:space="0" w:color="auto"/>
              <w:left w:val="nil"/>
              <w:bottom w:val="single" w:sz="4" w:space="0" w:color="auto"/>
              <w:right w:val="nil"/>
            </w:tcBorders>
            <w:shd w:val="clear" w:color="auto" w:fill="E2EFD9" w:themeFill="accent6" w:themeFillTint="33"/>
            <w:noWrap/>
            <w:vAlign w:val="center"/>
            <w:hideMark/>
          </w:tcPr>
          <w:p w14:paraId="791DEEE4" w14:textId="77777777" w:rsidR="008A1E55" w:rsidRPr="00257DF7" w:rsidRDefault="008A1E55" w:rsidP="00355DF7">
            <w:pPr>
              <w:spacing w:line="240" w:lineRule="auto"/>
              <w:jc w:val="center"/>
              <w:rPr>
                <w:sz w:val="19"/>
                <w:szCs w:val="19"/>
              </w:rPr>
            </w:pPr>
            <w:r w:rsidRPr="00257DF7">
              <w:rPr>
                <w:sz w:val="19"/>
                <w:szCs w:val="19"/>
              </w:rPr>
              <w:t>Tanzania</w:t>
            </w:r>
          </w:p>
        </w:tc>
        <w:tc>
          <w:tcPr>
            <w:tcW w:w="2600" w:type="dxa"/>
            <w:gridSpan w:val="2"/>
            <w:tcBorders>
              <w:top w:val="single" w:sz="4" w:space="0" w:color="auto"/>
              <w:left w:val="nil"/>
              <w:bottom w:val="single" w:sz="4" w:space="0" w:color="auto"/>
              <w:right w:val="nil"/>
            </w:tcBorders>
            <w:shd w:val="clear" w:color="auto" w:fill="E2EFD9" w:themeFill="accent6" w:themeFillTint="33"/>
            <w:noWrap/>
            <w:vAlign w:val="center"/>
            <w:hideMark/>
          </w:tcPr>
          <w:p w14:paraId="0C629D36" w14:textId="7EF19163" w:rsidR="008A1E55" w:rsidRPr="00257DF7" w:rsidRDefault="00EA1552" w:rsidP="00355DF7">
            <w:pPr>
              <w:spacing w:line="240" w:lineRule="auto"/>
              <w:jc w:val="center"/>
              <w:rPr>
                <w:sz w:val="19"/>
                <w:szCs w:val="19"/>
              </w:rPr>
            </w:pPr>
            <w:r w:rsidRPr="00257DF7">
              <w:rPr>
                <w:sz w:val="19"/>
                <w:szCs w:val="19"/>
              </w:rPr>
              <w:t>Mainland Tanzania</w:t>
            </w:r>
          </w:p>
        </w:tc>
        <w:tc>
          <w:tcPr>
            <w:tcW w:w="2600" w:type="dxa"/>
            <w:gridSpan w:val="2"/>
            <w:tcBorders>
              <w:top w:val="single" w:sz="4" w:space="0" w:color="auto"/>
              <w:left w:val="nil"/>
              <w:bottom w:val="single" w:sz="4" w:space="0" w:color="auto"/>
              <w:right w:val="nil"/>
            </w:tcBorders>
            <w:shd w:val="clear" w:color="auto" w:fill="E2EFD9" w:themeFill="accent6" w:themeFillTint="33"/>
            <w:noWrap/>
            <w:vAlign w:val="center"/>
            <w:hideMark/>
          </w:tcPr>
          <w:p w14:paraId="3E35E82D" w14:textId="77777777" w:rsidR="008A1E55" w:rsidRPr="00257DF7" w:rsidRDefault="008A1E55" w:rsidP="00355DF7">
            <w:pPr>
              <w:spacing w:line="240" w:lineRule="auto"/>
              <w:jc w:val="center"/>
              <w:rPr>
                <w:sz w:val="19"/>
                <w:szCs w:val="19"/>
              </w:rPr>
            </w:pPr>
            <w:r w:rsidRPr="00257DF7">
              <w:rPr>
                <w:sz w:val="19"/>
                <w:szCs w:val="19"/>
              </w:rPr>
              <w:t>Tanzania Zanzibar</w:t>
            </w:r>
          </w:p>
        </w:tc>
      </w:tr>
      <w:tr w:rsidR="006B42D6" w:rsidRPr="00257DF7" w14:paraId="1C180B2D" w14:textId="77777777" w:rsidTr="00355DF7">
        <w:trPr>
          <w:trHeight w:val="280"/>
        </w:trPr>
        <w:tc>
          <w:tcPr>
            <w:tcW w:w="1920" w:type="dxa"/>
            <w:vMerge/>
            <w:tcBorders>
              <w:top w:val="single" w:sz="4" w:space="0" w:color="auto"/>
              <w:left w:val="nil"/>
              <w:bottom w:val="single" w:sz="4" w:space="0" w:color="000000"/>
              <w:right w:val="nil"/>
            </w:tcBorders>
            <w:shd w:val="clear" w:color="auto" w:fill="E2EFD9" w:themeFill="accent6" w:themeFillTint="33"/>
            <w:vAlign w:val="center"/>
            <w:hideMark/>
          </w:tcPr>
          <w:p w14:paraId="134CA66B" w14:textId="77777777" w:rsidR="008A1E55" w:rsidRPr="00257DF7" w:rsidRDefault="008A1E55" w:rsidP="00355DF7">
            <w:pPr>
              <w:spacing w:line="240" w:lineRule="auto"/>
              <w:rPr>
                <w:sz w:val="19"/>
                <w:szCs w:val="19"/>
              </w:rPr>
            </w:pPr>
          </w:p>
        </w:tc>
        <w:tc>
          <w:tcPr>
            <w:tcW w:w="1300" w:type="dxa"/>
            <w:tcBorders>
              <w:top w:val="single" w:sz="4" w:space="0" w:color="auto"/>
              <w:left w:val="nil"/>
              <w:bottom w:val="single" w:sz="4" w:space="0" w:color="auto"/>
              <w:right w:val="nil"/>
            </w:tcBorders>
            <w:shd w:val="clear" w:color="auto" w:fill="E2EFD9" w:themeFill="accent6" w:themeFillTint="33"/>
            <w:noWrap/>
            <w:vAlign w:val="center"/>
            <w:hideMark/>
          </w:tcPr>
          <w:p w14:paraId="7E991668" w14:textId="77777777" w:rsidR="008A1E55" w:rsidRPr="00257DF7" w:rsidRDefault="008A1E55" w:rsidP="004F65CD">
            <w:pPr>
              <w:spacing w:line="240" w:lineRule="auto"/>
              <w:jc w:val="center"/>
              <w:rPr>
                <w:sz w:val="19"/>
                <w:szCs w:val="19"/>
              </w:rPr>
            </w:pPr>
            <w:r w:rsidRPr="00257DF7">
              <w:rPr>
                <w:sz w:val="19"/>
                <w:szCs w:val="19"/>
              </w:rPr>
              <w:t>Number</w:t>
            </w:r>
          </w:p>
        </w:tc>
        <w:tc>
          <w:tcPr>
            <w:tcW w:w="1300" w:type="dxa"/>
            <w:tcBorders>
              <w:top w:val="single" w:sz="4" w:space="0" w:color="auto"/>
              <w:left w:val="nil"/>
              <w:bottom w:val="single" w:sz="4" w:space="0" w:color="auto"/>
              <w:right w:val="nil"/>
            </w:tcBorders>
            <w:shd w:val="clear" w:color="auto" w:fill="E2EFD9" w:themeFill="accent6" w:themeFillTint="33"/>
            <w:noWrap/>
            <w:vAlign w:val="center"/>
            <w:hideMark/>
          </w:tcPr>
          <w:p w14:paraId="51FD952F" w14:textId="77777777" w:rsidR="008A1E55" w:rsidRPr="00257DF7" w:rsidRDefault="008A1E55" w:rsidP="004F65CD">
            <w:pPr>
              <w:spacing w:line="240" w:lineRule="auto"/>
              <w:jc w:val="center"/>
              <w:rPr>
                <w:sz w:val="19"/>
                <w:szCs w:val="19"/>
              </w:rPr>
            </w:pPr>
            <w:r w:rsidRPr="00257DF7">
              <w:rPr>
                <w:sz w:val="19"/>
                <w:szCs w:val="19"/>
              </w:rPr>
              <w:t>Percent</w:t>
            </w:r>
          </w:p>
        </w:tc>
        <w:tc>
          <w:tcPr>
            <w:tcW w:w="1300" w:type="dxa"/>
            <w:tcBorders>
              <w:top w:val="single" w:sz="4" w:space="0" w:color="auto"/>
              <w:left w:val="nil"/>
              <w:bottom w:val="single" w:sz="4" w:space="0" w:color="auto"/>
              <w:right w:val="nil"/>
            </w:tcBorders>
            <w:shd w:val="clear" w:color="auto" w:fill="E2EFD9" w:themeFill="accent6" w:themeFillTint="33"/>
            <w:noWrap/>
            <w:vAlign w:val="center"/>
            <w:hideMark/>
          </w:tcPr>
          <w:p w14:paraId="0850FA3A" w14:textId="77777777" w:rsidR="008A1E55" w:rsidRPr="00257DF7" w:rsidRDefault="008A1E55" w:rsidP="004F65CD">
            <w:pPr>
              <w:spacing w:line="240" w:lineRule="auto"/>
              <w:jc w:val="center"/>
              <w:rPr>
                <w:sz w:val="19"/>
                <w:szCs w:val="19"/>
              </w:rPr>
            </w:pPr>
            <w:r w:rsidRPr="00257DF7">
              <w:rPr>
                <w:sz w:val="19"/>
                <w:szCs w:val="19"/>
              </w:rPr>
              <w:t>Number</w:t>
            </w:r>
          </w:p>
        </w:tc>
        <w:tc>
          <w:tcPr>
            <w:tcW w:w="1300" w:type="dxa"/>
            <w:tcBorders>
              <w:top w:val="single" w:sz="4" w:space="0" w:color="auto"/>
              <w:left w:val="nil"/>
              <w:bottom w:val="single" w:sz="4" w:space="0" w:color="auto"/>
              <w:right w:val="nil"/>
            </w:tcBorders>
            <w:shd w:val="clear" w:color="auto" w:fill="E2EFD9" w:themeFill="accent6" w:themeFillTint="33"/>
            <w:noWrap/>
            <w:vAlign w:val="center"/>
            <w:hideMark/>
          </w:tcPr>
          <w:p w14:paraId="259C47DB" w14:textId="77777777" w:rsidR="008A1E55" w:rsidRPr="00257DF7" w:rsidRDefault="008A1E55" w:rsidP="004F65CD">
            <w:pPr>
              <w:spacing w:line="240" w:lineRule="auto"/>
              <w:jc w:val="center"/>
              <w:rPr>
                <w:sz w:val="19"/>
                <w:szCs w:val="19"/>
              </w:rPr>
            </w:pPr>
            <w:r w:rsidRPr="00257DF7">
              <w:rPr>
                <w:sz w:val="19"/>
                <w:szCs w:val="19"/>
              </w:rPr>
              <w:t>Percent</w:t>
            </w:r>
          </w:p>
        </w:tc>
        <w:tc>
          <w:tcPr>
            <w:tcW w:w="1300" w:type="dxa"/>
            <w:tcBorders>
              <w:top w:val="single" w:sz="4" w:space="0" w:color="auto"/>
              <w:left w:val="nil"/>
              <w:bottom w:val="single" w:sz="4" w:space="0" w:color="auto"/>
              <w:right w:val="nil"/>
            </w:tcBorders>
            <w:shd w:val="clear" w:color="auto" w:fill="E2EFD9" w:themeFill="accent6" w:themeFillTint="33"/>
            <w:noWrap/>
            <w:vAlign w:val="center"/>
            <w:hideMark/>
          </w:tcPr>
          <w:p w14:paraId="777D6CA7" w14:textId="77777777" w:rsidR="008A1E55" w:rsidRPr="00257DF7" w:rsidRDefault="008A1E55" w:rsidP="004F65CD">
            <w:pPr>
              <w:spacing w:line="240" w:lineRule="auto"/>
              <w:jc w:val="center"/>
              <w:rPr>
                <w:sz w:val="19"/>
                <w:szCs w:val="19"/>
              </w:rPr>
            </w:pPr>
            <w:r w:rsidRPr="00257DF7">
              <w:rPr>
                <w:sz w:val="19"/>
                <w:szCs w:val="19"/>
              </w:rPr>
              <w:t>Number</w:t>
            </w:r>
          </w:p>
        </w:tc>
        <w:tc>
          <w:tcPr>
            <w:tcW w:w="1300" w:type="dxa"/>
            <w:tcBorders>
              <w:top w:val="single" w:sz="4" w:space="0" w:color="auto"/>
              <w:left w:val="nil"/>
              <w:bottom w:val="single" w:sz="4" w:space="0" w:color="auto"/>
              <w:right w:val="nil"/>
            </w:tcBorders>
            <w:shd w:val="clear" w:color="auto" w:fill="E2EFD9" w:themeFill="accent6" w:themeFillTint="33"/>
            <w:noWrap/>
            <w:vAlign w:val="center"/>
            <w:hideMark/>
          </w:tcPr>
          <w:p w14:paraId="21BE498B" w14:textId="77777777" w:rsidR="008A1E55" w:rsidRPr="00257DF7" w:rsidRDefault="008A1E55" w:rsidP="004F65CD">
            <w:pPr>
              <w:spacing w:line="240" w:lineRule="auto"/>
              <w:jc w:val="center"/>
              <w:rPr>
                <w:sz w:val="19"/>
                <w:szCs w:val="19"/>
              </w:rPr>
            </w:pPr>
            <w:r w:rsidRPr="00257DF7">
              <w:rPr>
                <w:sz w:val="19"/>
                <w:szCs w:val="19"/>
              </w:rPr>
              <w:t>Percent</w:t>
            </w:r>
          </w:p>
        </w:tc>
      </w:tr>
      <w:tr w:rsidR="006B42D6" w:rsidRPr="00257DF7" w14:paraId="44F879E0" w14:textId="77777777" w:rsidTr="00355DF7">
        <w:trPr>
          <w:trHeight w:val="300"/>
        </w:trPr>
        <w:tc>
          <w:tcPr>
            <w:tcW w:w="1920" w:type="dxa"/>
            <w:tcBorders>
              <w:top w:val="nil"/>
              <w:left w:val="nil"/>
              <w:bottom w:val="nil"/>
              <w:right w:val="nil"/>
            </w:tcBorders>
            <w:shd w:val="clear" w:color="auto" w:fill="auto"/>
            <w:noWrap/>
            <w:vAlign w:val="center"/>
            <w:hideMark/>
          </w:tcPr>
          <w:p w14:paraId="6171813B" w14:textId="77777777" w:rsidR="008A1E55" w:rsidRPr="00257DF7" w:rsidRDefault="008A1E55" w:rsidP="00E16CAE">
            <w:pPr>
              <w:rPr>
                <w:sz w:val="19"/>
                <w:szCs w:val="19"/>
              </w:rPr>
            </w:pPr>
            <w:r w:rsidRPr="00257DF7">
              <w:rPr>
                <w:sz w:val="19"/>
                <w:szCs w:val="19"/>
              </w:rPr>
              <w:t>Grass</w:t>
            </w:r>
          </w:p>
        </w:tc>
        <w:tc>
          <w:tcPr>
            <w:tcW w:w="1300" w:type="dxa"/>
            <w:tcBorders>
              <w:top w:val="nil"/>
              <w:left w:val="nil"/>
              <w:bottom w:val="nil"/>
              <w:right w:val="nil"/>
            </w:tcBorders>
            <w:shd w:val="clear" w:color="auto" w:fill="auto"/>
            <w:noWrap/>
            <w:vAlign w:val="center"/>
            <w:hideMark/>
          </w:tcPr>
          <w:p w14:paraId="5A77A400" w14:textId="77777777" w:rsidR="008A1E55" w:rsidRPr="00257DF7" w:rsidRDefault="008A1E55" w:rsidP="004F65CD">
            <w:pPr>
              <w:jc w:val="right"/>
              <w:rPr>
                <w:sz w:val="19"/>
                <w:szCs w:val="19"/>
              </w:rPr>
            </w:pPr>
            <w:r w:rsidRPr="00257DF7">
              <w:rPr>
                <w:sz w:val="19"/>
                <w:szCs w:val="19"/>
              </w:rPr>
              <w:t>16,538</w:t>
            </w:r>
          </w:p>
        </w:tc>
        <w:tc>
          <w:tcPr>
            <w:tcW w:w="1300" w:type="dxa"/>
            <w:tcBorders>
              <w:top w:val="nil"/>
              <w:left w:val="nil"/>
              <w:bottom w:val="nil"/>
              <w:right w:val="nil"/>
            </w:tcBorders>
            <w:shd w:val="clear" w:color="auto" w:fill="auto"/>
            <w:noWrap/>
            <w:vAlign w:val="center"/>
            <w:hideMark/>
          </w:tcPr>
          <w:p w14:paraId="3ADB7F99" w14:textId="77777777" w:rsidR="008A1E55" w:rsidRPr="00257DF7" w:rsidRDefault="008A1E55" w:rsidP="004F65CD">
            <w:pPr>
              <w:jc w:val="right"/>
              <w:rPr>
                <w:sz w:val="19"/>
                <w:szCs w:val="19"/>
              </w:rPr>
            </w:pPr>
            <w:r w:rsidRPr="00257DF7">
              <w:rPr>
                <w:sz w:val="19"/>
                <w:szCs w:val="19"/>
              </w:rPr>
              <w:t>0.2</w:t>
            </w:r>
          </w:p>
        </w:tc>
        <w:tc>
          <w:tcPr>
            <w:tcW w:w="1300" w:type="dxa"/>
            <w:tcBorders>
              <w:top w:val="nil"/>
              <w:left w:val="nil"/>
              <w:bottom w:val="nil"/>
              <w:right w:val="nil"/>
            </w:tcBorders>
            <w:shd w:val="clear" w:color="auto" w:fill="auto"/>
            <w:noWrap/>
            <w:vAlign w:val="center"/>
            <w:hideMark/>
          </w:tcPr>
          <w:p w14:paraId="11BAE421" w14:textId="77777777" w:rsidR="008A1E55" w:rsidRPr="00257DF7" w:rsidRDefault="008A1E55" w:rsidP="004F65CD">
            <w:pPr>
              <w:jc w:val="right"/>
              <w:rPr>
                <w:sz w:val="19"/>
                <w:szCs w:val="19"/>
              </w:rPr>
            </w:pPr>
            <w:r w:rsidRPr="00257DF7">
              <w:rPr>
                <w:sz w:val="19"/>
                <w:szCs w:val="19"/>
              </w:rPr>
              <w:t>16,338</w:t>
            </w:r>
          </w:p>
        </w:tc>
        <w:tc>
          <w:tcPr>
            <w:tcW w:w="1300" w:type="dxa"/>
            <w:tcBorders>
              <w:top w:val="nil"/>
              <w:left w:val="nil"/>
              <w:bottom w:val="nil"/>
              <w:right w:val="nil"/>
            </w:tcBorders>
            <w:shd w:val="clear" w:color="auto" w:fill="auto"/>
            <w:noWrap/>
            <w:vAlign w:val="center"/>
            <w:hideMark/>
          </w:tcPr>
          <w:p w14:paraId="49CE8DC5" w14:textId="77777777" w:rsidR="008A1E55" w:rsidRPr="00257DF7" w:rsidRDefault="008A1E55" w:rsidP="004F65CD">
            <w:pPr>
              <w:jc w:val="right"/>
              <w:rPr>
                <w:sz w:val="19"/>
                <w:szCs w:val="19"/>
              </w:rPr>
            </w:pPr>
            <w:r w:rsidRPr="00257DF7">
              <w:rPr>
                <w:sz w:val="19"/>
                <w:szCs w:val="19"/>
              </w:rPr>
              <w:t>0.2</w:t>
            </w:r>
          </w:p>
        </w:tc>
        <w:tc>
          <w:tcPr>
            <w:tcW w:w="1300" w:type="dxa"/>
            <w:tcBorders>
              <w:top w:val="nil"/>
              <w:left w:val="nil"/>
              <w:bottom w:val="nil"/>
              <w:right w:val="nil"/>
            </w:tcBorders>
            <w:shd w:val="clear" w:color="auto" w:fill="auto"/>
            <w:noWrap/>
            <w:vAlign w:val="center"/>
            <w:hideMark/>
          </w:tcPr>
          <w:p w14:paraId="142198DC" w14:textId="77777777" w:rsidR="008A1E55" w:rsidRPr="00257DF7" w:rsidRDefault="008A1E55" w:rsidP="004F65CD">
            <w:pPr>
              <w:jc w:val="right"/>
              <w:rPr>
                <w:sz w:val="19"/>
                <w:szCs w:val="19"/>
              </w:rPr>
            </w:pPr>
            <w:r w:rsidRPr="00257DF7">
              <w:rPr>
                <w:sz w:val="19"/>
                <w:szCs w:val="19"/>
              </w:rPr>
              <w:t>200</w:t>
            </w:r>
          </w:p>
        </w:tc>
        <w:tc>
          <w:tcPr>
            <w:tcW w:w="1300" w:type="dxa"/>
            <w:tcBorders>
              <w:top w:val="nil"/>
              <w:left w:val="nil"/>
              <w:bottom w:val="nil"/>
              <w:right w:val="nil"/>
            </w:tcBorders>
            <w:shd w:val="clear" w:color="auto" w:fill="auto"/>
            <w:noWrap/>
            <w:vAlign w:val="center"/>
            <w:hideMark/>
          </w:tcPr>
          <w:p w14:paraId="67F1DEAD" w14:textId="77777777" w:rsidR="008A1E55" w:rsidRPr="00257DF7" w:rsidRDefault="008A1E55" w:rsidP="004F65CD">
            <w:pPr>
              <w:jc w:val="right"/>
              <w:rPr>
                <w:sz w:val="19"/>
                <w:szCs w:val="19"/>
              </w:rPr>
            </w:pPr>
            <w:r w:rsidRPr="00257DF7">
              <w:rPr>
                <w:sz w:val="19"/>
                <w:szCs w:val="19"/>
              </w:rPr>
              <w:t>0.1</w:t>
            </w:r>
          </w:p>
        </w:tc>
      </w:tr>
      <w:tr w:rsidR="006B42D6" w:rsidRPr="00257DF7" w14:paraId="430C7B67" w14:textId="77777777" w:rsidTr="00355DF7">
        <w:trPr>
          <w:trHeight w:val="300"/>
        </w:trPr>
        <w:tc>
          <w:tcPr>
            <w:tcW w:w="1920" w:type="dxa"/>
            <w:tcBorders>
              <w:top w:val="nil"/>
              <w:left w:val="nil"/>
              <w:bottom w:val="nil"/>
              <w:right w:val="nil"/>
            </w:tcBorders>
            <w:shd w:val="clear" w:color="auto" w:fill="auto"/>
            <w:noWrap/>
            <w:vAlign w:val="center"/>
            <w:hideMark/>
          </w:tcPr>
          <w:p w14:paraId="0B6856DA" w14:textId="227C5127" w:rsidR="008A1E55" w:rsidRPr="00257DF7" w:rsidRDefault="008A1E55" w:rsidP="00E16CAE">
            <w:pPr>
              <w:rPr>
                <w:sz w:val="19"/>
                <w:szCs w:val="19"/>
              </w:rPr>
            </w:pPr>
            <w:r w:rsidRPr="00257DF7">
              <w:rPr>
                <w:sz w:val="19"/>
                <w:szCs w:val="19"/>
              </w:rPr>
              <w:t xml:space="preserve">Poles </w:t>
            </w:r>
            <w:r w:rsidR="00C41AC6" w:rsidRPr="00257DF7">
              <w:rPr>
                <w:sz w:val="19"/>
                <w:szCs w:val="19"/>
              </w:rPr>
              <w:t>and mud</w:t>
            </w:r>
          </w:p>
        </w:tc>
        <w:tc>
          <w:tcPr>
            <w:tcW w:w="1300" w:type="dxa"/>
            <w:tcBorders>
              <w:top w:val="nil"/>
              <w:left w:val="nil"/>
              <w:bottom w:val="nil"/>
              <w:right w:val="nil"/>
            </w:tcBorders>
            <w:shd w:val="clear" w:color="auto" w:fill="auto"/>
            <w:noWrap/>
            <w:vAlign w:val="center"/>
            <w:hideMark/>
          </w:tcPr>
          <w:p w14:paraId="3CD89FD2" w14:textId="77777777" w:rsidR="008A1E55" w:rsidRPr="00257DF7" w:rsidRDefault="008A1E55" w:rsidP="004F65CD">
            <w:pPr>
              <w:jc w:val="right"/>
              <w:rPr>
                <w:sz w:val="19"/>
                <w:szCs w:val="19"/>
              </w:rPr>
            </w:pPr>
            <w:r w:rsidRPr="00257DF7">
              <w:rPr>
                <w:sz w:val="19"/>
                <w:szCs w:val="19"/>
              </w:rPr>
              <w:t>1,633,146</w:t>
            </w:r>
          </w:p>
        </w:tc>
        <w:tc>
          <w:tcPr>
            <w:tcW w:w="1300" w:type="dxa"/>
            <w:tcBorders>
              <w:top w:val="nil"/>
              <w:left w:val="nil"/>
              <w:bottom w:val="nil"/>
              <w:right w:val="nil"/>
            </w:tcBorders>
            <w:shd w:val="clear" w:color="auto" w:fill="auto"/>
            <w:noWrap/>
            <w:vAlign w:val="center"/>
            <w:hideMark/>
          </w:tcPr>
          <w:p w14:paraId="5D77FEB9" w14:textId="77777777" w:rsidR="008A1E55" w:rsidRPr="00257DF7" w:rsidRDefault="008A1E55" w:rsidP="004F65CD">
            <w:pPr>
              <w:jc w:val="right"/>
              <w:rPr>
                <w:sz w:val="19"/>
                <w:szCs w:val="19"/>
              </w:rPr>
            </w:pPr>
            <w:r w:rsidRPr="00257DF7">
              <w:rPr>
                <w:sz w:val="19"/>
                <w:szCs w:val="19"/>
              </w:rPr>
              <w:t>20.8</w:t>
            </w:r>
          </w:p>
        </w:tc>
        <w:tc>
          <w:tcPr>
            <w:tcW w:w="1300" w:type="dxa"/>
            <w:tcBorders>
              <w:top w:val="nil"/>
              <w:left w:val="nil"/>
              <w:bottom w:val="nil"/>
              <w:right w:val="nil"/>
            </w:tcBorders>
            <w:shd w:val="clear" w:color="auto" w:fill="auto"/>
            <w:noWrap/>
            <w:vAlign w:val="center"/>
            <w:hideMark/>
          </w:tcPr>
          <w:p w14:paraId="5F73EB54" w14:textId="77777777" w:rsidR="008A1E55" w:rsidRPr="00257DF7" w:rsidRDefault="008A1E55" w:rsidP="004F65CD">
            <w:pPr>
              <w:jc w:val="right"/>
              <w:rPr>
                <w:sz w:val="19"/>
                <w:szCs w:val="19"/>
              </w:rPr>
            </w:pPr>
            <w:r w:rsidRPr="00257DF7">
              <w:rPr>
                <w:sz w:val="19"/>
                <w:szCs w:val="19"/>
              </w:rPr>
              <w:t>1,573,677</w:t>
            </w:r>
          </w:p>
        </w:tc>
        <w:tc>
          <w:tcPr>
            <w:tcW w:w="1300" w:type="dxa"/>
            <w:tcBorders>
              <w:top w:val="nil"/>
              <w:left w:val="nil"/>
              <w:bottom w:val="nil"/>
              <w:right w:val="nil"/>
            </w:tcBorders>
            <w:shd w:val="clear" w:color="auto" w:fill="auto"/>
            <w:noWrap/>
            <w:vAlign w:val="center"/>
            <w:hideMark/>
          </w:tcPr>
          <w:p w14:paraId="7D17D379" w14:textId="77777777" w:rsidR="008A1E55" w:rsidRPr="00257DF7" w:rsidRDefault="008A1E55" w:rsidP="004F65CD">
            <w:pPr>
              <w:jc w:val="right"/>
              <w:rPr>
                <w:sz w:val="19"/>
                <w:szCs w:val="19"/>
              </w:rPr>
            </w:pPr>
            <w:r w:rsidRPr="00257DF7">
              <w:rPr>
                <w:sz w:val="19"/>
                <w:szCs w:val="19"/>
              </w:rPr>
              <w:t>20.6</w:t>
            </w:r>
          </w:p>
        </w:tc>
        <w:tc>
          <w:tcPr>
            <w:tcW w:w="1300" w:type="dxa"/>
            <w:tcBorders>
              <w:top w:val="nil"/>
              <w:left w:val="nil"/>
              <w:bottom w:val="nil"/>
              <w:right w:val="nil"/>
            </w:tcBorders>
            <w:shd w:val="clear" w:color="auto" w:fill="auto"/>
            <w:noWrap/>
            <w:vAlign w:val="center"/>
            <w:hideMark/>
          </w:tcPr>
          <w:p w14:paraId="1618C09F" w14:textId="77777777" w:rsidR="008A1E55" w:rsidRPr="00257DF7" w:rsidRDefault="008A1E55" w:rsidP="004F65CD">
            <w:pPr>
              <w:jc w:val="right"/>
              <w:rPr>
                <w:sz w:val="19"/>
                <w:szCs w:val="19"/>
              </w:rPr>
            </w:pPr>
            <w:r w:rsidRPr="00257DF7">
              <w:rPr>
                <w:sz w:val="19"/>
                <w:szCs w:val="19"/>
              </w:rPr>
              <w:t>59,469</w:t>
            </w:r>
          </w:p>
        </w:tc>
        <w:tc>
          <w:tcPr>
            <w:tcW w:w="1300" w:type="dxa"/>
            <w:tcBorders>
              <w:top w:val="nil"/>
              <w:left w:val="nil"/>
              <w:bottom w:val="nil"/>
              <w:right w:val="nil"/>
            </w:tcBorders>
            <w:shd w:val="clear" w:color="auto" w:fill="auto"/>
            <w:noWrap/>
            <w:vAlign w:val="center"/>
            <w:hideMark/>
          </w:tcPr>
          <w:p w14:paraId="4EA24A62" w14:textId="77777777" w:rsidR="008A1E55" w:rsidRPr="00257DF7" w:rsidRDefault="008A1E55" w:rsidP="004F65CD">
            <w:pPr>
              <w:jc w:val="right"/>
              <w:rPr>
                <w:sz w:val="19"/>
                <w:szCs w:val="19"/>
              </w:rPr>
            </w:pPr>
            <w:r w:rsidRPr="00257DF7">
              <w:rPr>
                <w:sz w:val="19"/>
                <w:szCs w:val="19"/>
              </w:rPr>
              <w:t>33.0</w:t>
            </w:r>
          </w:p>
        </w:tc>
      </w:tr>
      <w:tr w:rsidR="006B42D6" w:rsidRPr="00257DF7" w14:paraId="6215E16D" w14:textId="77777777" w:rsidTr="00355DF7">
        <w:trPr>
          <w:trHeight w:val="300"/>
        </w:trPr>
        <w:tc>
          <w:tcPr>
            <w:tcW w:w="1920" w:type="dxa"/>
            <w:tcBorders>
              <w:top w:val="nil"/>
              <w:left w:val="nil"/>
              <w:bottom w:val="nil"/>
              <w:right w:val="nil"/>
            </w:tcBorders>
            <w:shd w:val="clear" w:color="auto" w:fill="auto"/>
            <w:noWrap/>
            <w:vAlign w:val="center"/>
            <w:hideMark/>
          </w:tcPr>
          <w:p w14:paraId="50E6E42D" w14:textId="6805FBE0" w:rsidR="008A1E55" w:rsidRPr="00257DF7" w:rsidRDefault="008A1E55" w:rsidP="00E16CAE">
            <w:pPr>
              <w:rPr>
                <w:sz w:val="19"/>
                <w:szCs w:val="19"/>
              </w:rPr>
            </w:pPr>
            <w:r w:rsidRPr="00257DF7">
              <w:rPr>
                <w:sz w:val="19"/>
                <w:szCs w:val="19"/>
              </w:rPr>
              <w:t>Sun</w:t>
            </w:r>
            <w:r w:rsidR="00C41AC6">
              <w:rPr>
                <w:sz w:val="19"/>
                <w:szCs w:val="19"/>
              </w:rPr>
              <w:t xml:space="preserve"> </w:t>
            </w:r>
            <w:r w:rsidR="00C41AC6" w:rsidRPr="00257DF7">
              <w:rPr>
                <w:sz w:val="19"/>
                <w:szCs w:val="19"/>
              </w:rPr>
              <w:t>dried bricks</w:t>
            </w:r>
          </w:p>
        </w:tc>
        <w:tc>
          <w:tcPr>
            <w:tcW w:w="1300" w:type="dxa"/>
            <w:tcBorders>
              <w:top w:val="nil"/>
              <w:left w:val="nil"/>
              <w:bottom w:val="nil"/>
              <w:right w:val="nil"/>
            </w:tcBorders>
            <w:shd w:val="clear" w:color="auto" w:fill="auto"/>
            <w:noWrap/>
            <w:vAlign w:val="center"/>
            <w:hideMark/>
          </w:tcPr>
          <w:p w14:paraId="44CC704F" w14:textId="77777777" w:rsidR="008A1E55" w:rsidRPr="00257DF7" w:rsidRDefault="008A1E55" w:rsidP="004F65CD">
            <w:pPr>
              <w:jc w:val="right"/>
              <w:rPr>
                <w:sz w:val="19"/>
                <w:szCs w:val="19"/>
              </w:rPr>
            </w:pPr>
            <w:r w:rsidRPr="00257DF7">
              <w:rPr>
                <w:sz w:val="19"/>
                <w:szCs w:val="19"/>
              </w:rPr>
              <w:t>1,793,347</w:t>
            </w:r>
          </w:p>
        </w:tc>
        <w:tc>
          <w:tcPr>
            <w:tcW w:w="1300" w:type="dxa"/>
            <w:tcBorders>
              <w:top w:val="nil"/>
              <w:left w:val="nil"/>
              <w:bottom w:val="nil"/>
              <w:right w:val="nil"/>
            </w:tcBorders>
            <w:shd w:val="clear" w:color="auto" w:fill="auto"/>
            <w:noWrap/>
            <w:vAlign w:val="center"/>
            <w:hideMark/>
          </w:tcPr>
          <w:p w14:paraId="71FD57FE" w14:textId="77777777" w:rsidR="008A1E55" w:rsidRPr="00257DF7" w:rsidRDefault="008A1E55" w:rsidP="004F65CD">
            <w:pPr>
              <w:jc w:val="right"/>
              <w:rPr>
                <w:sz w:val="19"/>
                <w:szCs w:val="19"/>
              </w:rPr>
            </w:pPr>
            <w:r w:rsidRPr="00257DF7">
              <w:rPr>
                <w:sz w:val="19"/>
                <w:szCs w:val="19"/>
              </w:rPr>
              <w:t>22.9</w:t>
            </w:r>
          </w:p>
        </w:tc>
        <w:tc>
          <w:tcPr>
            <w:tcW w:w="1300" w:type="dxa"/>
            <w:tcBorders>
              <w:top w:val="nil"/>
              <w:left w:val="nil"/>
              <w:bottom w:val="nil"/>
              <w:right w:val="nil"/>
            </w:tcBorders>
            <w:shd w:val="clear" w:color="auto" w:fill="auto"/>
            <w:noWrap/>
            <w:vAlign w:val="center"/>
            <w:hideMark/>
          </w:tcPr>
          <w:p w14:paraId="1F25AE8D" w14:textId="77777777" w:rsidR="008A1E55" w:rsidRPr="00257DF7" w:rsidRDefault="008A1E55" w:rsidP="004F65CD">
            <w:pPr>
              <w:jc w:val="right"/>
              <w:rPr>
                <w:sz w:val="19"/>
                <w:szCs w:val="19"/>
              </w:rPr>
            </w:pPr>
            <w:r w:rsidRPr="00257DF7">
              <w:rPr>
                <w:sz w:val="19"/>
                <w:szCs w:val="19"/>
              </w:rPr>
              <w:t>1,776,008</w:t>
            </w:r>
          </w:p>
        </w:tc>
        <w:tc>
          <w:tcPr>
            <w:tcW w:w="1300" w:type="dxa"/>
            <w:tcBorders>
              <w:top w:val="nil"/>
              <w:left w:val="nil"/>
              <w:bottom w:val="nil"/>
              <w:right w:val="nil"/>
            </w:tcBorders>
            <w:shd w:val="clear" w:color="auto" w:fill="auto"/>
            <w:noWrap/>
            <w:vAlign w:val="center"/>
            <w:hideMark/>
          </w:tcPr>
          <w:p w14:paraId="03A613B2" w14:textId="77777777" w:rsidR="008A1E55" w:rsidRPr="00257DF7" w:rsidRDefault="008A1E55" w:rsidP="004F65CD">
            <w:pPr>
              <w:jc w:val="right"/>
              <w:rPr>
                <w:sz w:val="19"/>
                <w:szCs w:val="19"/>
              </w:rPr>
            </w:pPr>
            <w:r w:rsidRPr="00257DF7">
              <w:rPr>
                <w:sz w:val="19"/>
                <w:szCs w:val="19"/>
              </w:rPr>
              <w:t>23.2</w:t>
            </w:r>
          </w:p>
        </w:tc>
        <w:tc>
          <w:tcPr>
            <w:tcW w:w="1300" w:type="dxa"/>
            <w:tcBorders>
              <w:top w:val="nil"/>
              <w:left w:val="nil"/>
              <w:bottom w:val="nil"/>
              <w:right w:val="nil"/>
            </w:tcBorders>
            <w:shd w:val="clear" w:color="auto" w:fill="auto"/>
            <w:noWrap/>
            <w:vAlign w:val="center"/>
            <w:hideMark/>
          </w:tcPr>
          <w:p w14:paraId="154E372F" w14:textId="77777777" w:rsidR="008A1E55" w:rsidRPr="00257DF7" w:rsidRDefault="008A1E55" w:rsidP="004F65CD">
            <w:pPr>
              <w:jc w:val="right"/>
              <w:rPr>
                <w:sz w:val="19"/>
                <w:szCs w:val="19"/>
              </w:rPr>
            </w:pPr>
            <w:r w:rsidRPr="00257DF7">
              <w:rPr>
                <w:sz w:val="19"/>
                <w:szCs w:val="19"/>
              </w:rPr>
              <w:t>17,339</w:t>
            </w:r>
          </w:p>
        </w:tc>
        <w:tc>
          <w:tcPr>
            <w:tcW w:w="1300" w:type="dxa"/>
            <w:tcBorders>
              <w:top w:val="nil"/>
              <w:left w:val="nil"/>
              <w:bottom w:val="nil"/>
              <w:right w:val="nil"/>
            </w:tcBorders>
            <w:shd w:val="clear" w:color="auto" w:fill="auto"/>
            <w:noWrap/>
            <w:vAlign w:val="center"/>
            <w:hideMark/>
          </w:tcPr>
          <w:p w14:paraId="74A7BD4B" w14:textId="77777777" w:rsidR="008A1E55" w:rsidRPr="00257DF7" w:rsidRDefault="008A1E55" w:rsidP="004F65CD">
            <w:pPr>
              <w:jc w:val="right"/>
              <w:rPr>
                <w:sz w:val="19"/>
                <w:szCs w:val="19"/>
              </w:rPr>
            </w:pPr>
            <w:r w:rsidRPr="00257DF7">
              <w:rPr>
                <w:sz w:val="19"/>
                <w:szCs w:val="19"/>
              </w:rPr>
              <w:t>9.6</w:t>
            </w:r>
          </w:p>
        </w:tc>
      </w:tr>
      <w:tr w:rsidR="006B42D6" w:rsidRPr="00257DF7" w14:paraId="53B91C1B" w14:textId="77777777" w:rsidTr="00355DF7">
        <w:trPr>
          <w:trHeight w:val="300"/>
        </w:trPr>
        <w:tc>
          <w:tcPr>
            <w:tcW w:w="1920" w:type="dxa"/>
            <w:tcBorders>
              <w:top w:val="nil"/>
              <w:left w:val="nil"/>
              <w:bottom w:val="nil"/>
              <w:right w:val="nil"/>
            </w:tcBorders>
            <w:shd w:val="clear" w:color="auto" w:fill="auto"/>
            <w:noWrap/>
            <w:vAlign w:val="center"/>
            <w:hideMark/>
          </w:tcPr>
          <w:p w14:paraId="7C76041C" w14:textId="01396693" w:rsidR="008A1E55" w:rsidRPr="00257DF7" w:rsidRDefault="008A1E55" w:rsidP="00E16CAE">
            <w:pPr>
              <w:rPr>
                <w:sz w:val="19"/>
                <w:szCs w:val="19"/>
              </w:rPr>
            </w:pPr>
            <w:r w:rsidRPr="00257DF7">
              <w:rPr>
                <w:sz w:val="19"/>
                <w:szCs w:val="19"/>
              </w:rPr>
              <w:t xml:space="preserve">Baked </w:t>
            </w:r>
            <w:r w:rsidR="00C41AC6" w:rsidRPr="00257DF7">
              <w:rPr>
                <w:sz w:val="19"/>
                <w:szCs w:val="19"/>
              </w:rPr>
              <w:t>brick</w:t>
            </w:r>
            <w:r w:rsidRPr="00257DF7">
              <w:rPr>
                <w:sz w:val="19"/>
                <w:szCs w:val="19"/>
              </w:rPr>
              <w:t>s</w:t>
            </w:r>
          </w:p>
        </w:tc>
        <w:tc>
          <w:tcPr>
            <w:tcW w:w="1300" w:type="dxa"/>
            <w:tcBorders>
              <w:top w:val="nil"/>
              <w:left w:val="nil"/>
              <w:bottom w:val="nil"/>
              <w:right w:val="nil"/>
            </w:tcBorders>
            <w:shd w:val="clear" w:color="auto" w:fill="auto"/>
            <w:noWrap/>
            <w:vAlign w:val="center"/>
            <w:hideMark/>
          </w:tcPr>
          <w:p w14:paraId="5688AD7E" w14:textId="77777777" w:rsidR="008A1E55" w:rsidRPr="00257DF7" w:rsidRDefault="008A1E55" w:rsidP="004F65CD">
            <w:pPr>
              <w:jc w:val="right"/>
              <w:rPr>
                <w:sz w:val="19"/>
                <w:szCs w:val="19"/>
              </w:rPr>
            </w:pPr>
            <w:r w:rsidRPr="00257DF7">
              <w:rPr>
                <w:sz w:val="19"/>
                <w:szCs w:val="19"/>
              </w:rPr>
              <w:t>3,228,627</w:t>
            </w:r>
          </w:p>
        </w:tc>
        <w:tc>
          <w:tcPr>
            <w:tcW w:w="1300" w:type="dxa"/>
            <w:tcBorders>
              <w:top w:val="nil"/>
              <w:left w:val="nil"/>
              <w:bottom w:val="nil"/>
              <w:right w:val="nil"/>
            </w:tcBorders>
            <w:shd w:val="clear" w:color="auto" w:fill="auto"/>
            <w:noWrap/>
            <w:vAlign w:val="center"/>
            <w:hideMark/>
          </w:tcPr>
          <w:p w14:paraId="54749669" w14:textId="77777777" w:rsidR="008A1E55" w:rsidRPr="00257DF7" w:rsidRDefault="008A1E55" w:rsidP="004F65CD">
            <w:pPr>
              <w:jc w:val="right"/>
              <w:rPr>
                <w:sz w:val="19"/>
                <w:szCs w:val="19"/>
              </w:rPr>
            </w:pPr>
            <w:r w:rsidRPr="00257DF7">
              <w:rPr>
                <w:sz w:val="19"/>
                <w:szCs w:val="19"/>
              </w:rPr>
              <w:t>41.2</w:t>
            </w:r>
          </w:p>
        </w:tc>
        <w:tc>
          <w:tcPr>
            <w:tcW w:w="1300" w:type="dxa"/>
            <w:tcBorders>
              <w:top w:val="nil"/>
              <w:left w:val="nil"/>
              <w:bottom w:val="nil"/>
              <w:right w:val="nil"/>
            </w:tcBorders>
            <w:shd w:val="clear" w:color="auto" w:fill="auto"/>
            <w:noWrap/>
            <w:vAlign w:val="center"/>
            <w:hideMark/>
          </w:tcPr>
          <w:p w14:paraId="17BB199B" w14:textId="77777777" w:rsidR="008A1E55" w:rsidRPr="00257DF7" w:rsidRDefault="008A1E55" w:rsidP="004F65CD">
            <w:pPr>
              <w:jc w:val="right"/>
              <w:rPr>
                <w:sz w:val="19"/>
                <w:szCs w:val="19"/>
              </w:rPr>
            </w:pPr>
            <w:r w:rsidRPr="00257DF7">
              <w:rPr>
                <w:sz w:val="19"/>
                <w:szCs w:val="19"/>
              </w:rPr>
              <w:t>3,228,280</w:t>
            </w:r>
          </w:p>
        </w:tc>
        <w:tc>
          <w:tcPr>
            <w:tcW w:w="1300" w:type="dxa"/>
            <w:tcBorders>
              <w:top w:val="nil"/>
              <w:left w:val="nil"/>
              <w:bottom w:val="nil"/>
              <w:right w:val="nil"/>
            </w:tcBorders>
            <w:shd w:val="clear" w:color="auto" w:fill="auto"/>
            <w:noWrap/>
            <w:vAlign w:val="center"/>
            <w:hideMark/>
          </w:tcPr>
          <w:p w14:paraId="7FD21284" w14:textId="77777777" w:rsidR="008A1E55" w:rsidRPr="00257DF7" w:rsidRDefault="008A1E55" w:rsidP="004F65CD">
            <w:pPr>
              <w:jc w:val="right"/>
              <w:rPr>
                <w:sz w:val="19"/>
                <w:szCs w:val="19"/>
              </w:rPr>
            </w:pPr>
            <w:r w:rsidRPr="00257DF7">
              <w:rPr>
                <w:sz w:val="19"/>
                <w:szCs w:val="19"/>
              </w:rPr>
              <w:t>42.2</w:t>
            </w:r>
          </w:p>
        </w:tc>
        <w:tc>
          <w:tcPr>
            <w:tcW w:w="1300" w:type="dxa"/>
            <w:tcBorders>
              <w:top w:val="nil"/>
              <w:left w:val="nil"/>
              <w:bottom w:val="nil"/>
              <w:right w:val="nil"/>
            </w:tcBorders>
            <w:shd w:val="clear" w:color="auto" w:fill="auto"/>
            <w:noWrap/>
            <w:vAlign w:val="center"/>
            <w:hideMark/>
          </w:tcPr>
          <w:p w14:paraId="391D4F89" w14:textId="77777777" w:rsidR="008A1E55" w:rsidRPr="00257DF7" w:rsidRDefault="008A1E55" w:rsidP="004F65CD">
            <w:pPr>
              <w:jc w:val="right"/>
              <w:rPr>
                <w:sz w:val="19"/>
                <w:szCs w:val="19"/>
              </w:rPr>
            </w:pPr>
            <w:r w:rsidRPr="00257DF7">
              <w:rPr>
                <w:sz w:val="19"/>
                <w:szCs w:val="19"/>
              </w:rPr>
              <w:t>347</w:t>
            </w:r>
          </w:p>
        </w:tc>
        <w:tc>
          <w:tcPr>
            <w:tcW w:w="1300" w:type="dxa"/>
            <w:tcBorders>
              <w:top w:val="nil"/>
              <w:left w:val="nil"/>
              <w:bottom w:val="nil"/>
              <w:right w:val="nil"/>
            </w:tcBorders>
            <w:shd w:val="clear" w:color="auto" w:fill="auto"/>
            <w:noWrap/>
            <w:vAlign w:val="center"/>
            <w:hideMark/>
          </w:tcPr>
          <w:p w14:paraId="3480FEBB" w14:textId="77777777" w:rsidR="008A1E55" w:rsidRPr="00257DF7" w:rsidRDefault="008A1E55" w:rsidP="004F65CD">
            <w:pPr>
              <w:jc w:val="right"/>
              <w:rPr>
                <w:sz w:val="19"/>
                <w:szCs w:val="19"/>
              </w:rPr>
            </w:pPr>
            <w:r w:rsidRPr="00257DF7">
              <w:rPr>
                <w:sz w:val="19"/>
                <w:szCs w:val="19"/>
              </w:rPr>
              <w:t>0.2</w:t>
            </w:r>
          </w:p>
        </w:tc>
      </w:tr>
      <w:tr w:rsidR="006B42D6" w:rsidRPr="00257DF7" w14:paraId="2260CA08" w14:textId="77777777" w:rsidTr="00355DF7">
        <w:trPr>
          <w:trHeight w:val="300"/>
        </w:trPr>
        <w:tc>
          <w:tcPr>
            <w:tcW w:w="1920" w:type="dxa"/>
            <w:tcBorders>
              <w:top w:val="nil"/>
              <w:left w:val="nil"/>
              <w:bottom w:val="nil"/>
              <w:right w:val="nil"/>
            </w:tcBorders>
            <w:shd w:val="clear" w:color="auto" w:fill="auto"/>
            <w:noWrap/>
            <w:vAlign w:val="center"/>
            <w:hideMark/>
          </w:tcPr>
          <w:p w14:paraId="7F781F48" w14:textId="106ADE88" w:rsidR="008A1E55" w:rsidRPr="00257DF7" w:rsidRDefault="008A1E55" w:rsidP="00E16CAE">
            <w:pPr>
              <w:rPr>
                <w:sz w:val="19"/>
                <w:szCs w:val="19"/>
              </w:rPr>
            </w:pPr>
            <w:r w:rsidRPr="00257DF7">
              <w:rPr>
                <w:sz w:val="19"/>
                <w:szCs w:val="19"/>
              </w:rPr>
              <w:t xml:space="preserve">Wood </w:t>
            </w:r>
            <w:r w:rsidR="00C41AC6" w:rsidRPr="00257DF7">
              <w:rPr>
                <w:sz w:val="19"/>
                <w:szCs w:val="19"/>
              </w:rPr>
              <w:t>timber</w:t>
            </w:r>
          </w:p>
        </w:tc>
        <w:tc>
          <w:tcPr>
            <w:tcW w:w="1300" w:type="dxa"/>
            <w:tcBorders>
              <w:top w:val="nil"/>
              <w:left w:val="nil"/>
              <w:bottom w:val="nil"/>
              <w:right w:val="nil"/>
            </w:tcBorders>
            <w:shd w:val="clear" w:color="auto" w:fill="auto"/>
            <w:noWrap/>
            <w:vAlign w:val="center"/>
            <w:hideMark/>
          </w:tcPr>
          <w:p w14:paraId="3E550771" w14:textId="77777777" w:rsidR="008A1E55" w:rsidRPr="00257DF7" w:rsidRDefault="008A1E55" w:rsidP="004F65CD">
            <w:pPr>
              <w:jc w:val="right"/>
              <w:rPr>
                <w:sz w:val="19"/>
                <w:szCs w:val="19"/>
              </w:rPr>
            </w:pPr>
            <w:r w:rsidRPr="00257DF7">
              <w:rPr>
                <w:sz w:val="19"/>
                <w:szCs w:val="19"/>
              </w:rPr>
              <w:t>45,874</w:t>
            </w:r>
          </w:p>
        </w:tc>
        <w:tc>
          <w:tcPr>
            <w:tcW w:w="1300" w:type="dxa"/>
            <w:tcBorders>
              <w:top w:val="nil"/>
              <w:left w:val="nil"/>
              <w:bottom w:val="nil"/>
              <w:right w:val="nil"/>
            </w:tcBorders>
            <w:shd w:val="clear" w:color="auto" w:fill="auto"/>
            <w:noWrap/>
            <w:vAlign w:val="center"/>
            <w:hideMark/>
          </w:tcPr>
          <w:p w14:paraId="5F0B3E4F" w14:textId="77777777" w:rsidR="008A1E55" w:rsidRPr="00257DF7" w:rsidRDefault="008A1E55" w:rsidP="004F65CD">
            <w:pPr>
              <w:jc w:val="right"/>
              <w:rPr>
                <w:sz w:val="19"/>
                <w:szCs w:val="19"/>
              </w:rPr>
            </w:pPr>
            <w:r w:rsidRPr="00257DF7">
              <w:rPr>
                <w:sz w:val="19"/>
                <w:szCs w:val="19"/>
              </w:rPr>
              <w:t>0.6</w:t>
            </w:r>
          </w:p>
        </w:tc>
        <w:tc>
          <w:tcPr>
            <w:tcW w:w="1300" w:type="dxa"/>
            <w:tcBorders>
              <w:top w:val="nil"/>
              <w:left w:val="nil"/>
              <w:bottom w:val="nil"/>
              <w:right w:val="nil"/>
            </w:tcBorders>
            <w:shd w:val="clear" w:color="auto" w:fill="auto"/>
            <w:noWrap/>
            <w:vAlign w:val="center"/>
            <w:hideMark/>
          </w:tcPr>
          <w:p w14:paraId="4D6248BF" w14:textId="77777777" w:rsidR="008A1E55" w:rsidRPr="00257DF7" w:rsidRDefault="008A1E55" w:rsidP="004F65CD">
            <w:pPr>
              <w:jc w:val="right"/>
              <w:rPr>
                <w:sz w:val="19"/>
                <w:szCs w:val="19"/>
              </w:rPr>
            </w:pPr>
            <w:r w:rsidRPr="00257DF7">
              <w:rPr>
                <w:sz w:val="19"/>
                <w:szCs w:val="19"/>
              </w:rPr>
              <w:t>45,874</w:t>
            </w:r>
          </w:p>
        </w:tc>
        <w:tc>
          <w:tcPr>
            <w:tcW w:w="1300" w:type="dxa"/>
            <w:tcBorders>
              <w:top w:val="nil"/>
              <w:left w:val="nil"/>
              <w:bottom w:val="nil"/>
              <w:right w:val="nil"/>
            </w:tcBorders>
            <w:shd w:val="clear" w:color="auto" w:fill="auto"/>
            <w:noWrap/>
            <w:vAlign w:val="center"/>
            <w:hideMark/>
          </w:tcPr>
          <w:p w14:paraId="4E8D9E61" w14:textId="77777777" w:rsidR="008A1E55" w:rsidRPr="00257DF7" w:rsidRDefault="008A1E55" w:rsidP="004F65CD">
            <w:pPr>
              <w:jc w:val="right"/>
              <w:rPr>
                <w:sz w:val="19"/>
                <w:szCs w:val="19"/>
              </w:rPr>
            </w:pPr>
            <w:r w:rsidRPr="00257DF7">
              <w:rPr>
                <w:sz w:val="19"/>
                <w:szCs w:val="19"/>
              </w:rPr>
              <w:t>0.6</w:t>
            </w:r>
          </w:p>
        </w:tc>
        <w:tc>
          <w:tcPr>
            <w:tcW w:w="1300" w:type="dxa"/>
            <w:tcBorders>
              <w:top w:val="nil"/>
              <w:left w:val="nil"/>
              <w:bottom w:val="nil"/>
              <w:right w:val="nil"/>
            </w:tcBorders>
            <w:shd w:val="clear" w:color="auto" w:fill="auto"/>
            <w:noWrap/>
            <w:vAlign w:val="center"/>
            <w:hideMark/>
          </w:tcPr>
          <w:p w14:paraId="2A01C4A8" w14:textId="77777777" w:rsidR="008A1E55" w:rsidRPr="00257DF7" w:rsidRDefault="008A1E55" w:rsidP="004F65CD">
            <w:pPr>
              <w:jc w:val="right"/>
              <w:rPr>
                <w:sz w:val="19"/>
                <w:szCs w:val="19"/>
              </w:rPr>
            </w:pPr>
            <w:r w:rsidRPr="00257DF7">
              <w:rPr>
                <w:sz w:val="19"/>
                <w:szCs w:val="19"/>
              </w:rPr>
              <w:t>-</w:t>
            </w:r>
          </w:p>
        </w:tc>
        <w:tc>
          <w:tcPr>
            <w:tcW w:w="1300" w:type="dxa"/>
            <w:tcBorders>
              <w:top w:val="nil"/>
              <w:left w:val="nil"/>
              <w:bottom w:val="nil"/>
              <w:right w:val="nil"/>
            </w:tcBorders>
            <w:shd w:val="clear" w:color="auto" w:fill="auto"/>
            <w:noWrap/>
            <w:vAlign w:val="center"/>
            <w:hideMark/>
          </w:tcPr>
          <w:p w14:paraId="20E23D92" w14:textId="77777777" w:rsidR="008A1E55" w:rsidRPr="00257DF7" w:rsidRDefault="008A1E55" w:rsidP="004F65CD">
            <w:pPr>
              <w:jc w:val="right"/>
              <w:rPr>
                <w:sz w:val="19"/>
                <w:szCs w:val="19"/>
              </w:rPr>
            </w:pPr>
            <w:r w:rsidRPr="00257DF7">
              <w:rPr>
                <w:sz w:val="19"/>
                <w:szCs w:val="19"/>
              </w:rPr>
              <w:t>-</w:t>
            </w:r>
          </w:p>
        </w:tc>
      </w:tr>
      <w:tr w:rsidR="006B42D6" w:rsidRPr="00257DF7" w14:paraId="70473CAD" w14:textId="77777777" w:rsidTr="00355DF7">
        <w:trPr>
          <w:trHeight w:val="300"/>
        </w:trPr>
        <w:tc>
          <w:tcPr>
            <w:tcW w:w="1920" w:type="dxa"/>
            <w:tcBorders>
              <w:top w:val="nil"/>
              <w:left w:val="nil"/>
              <w:bottom w:val="nil"/>
              <w:right w:val="nil"/>
            </w:tcBorders>
            <w:shd w:val="clear" w:color="auto" w:fill="auto"/>
            <w:noWrap/>
            <w:vAlign w:val="center"/>
            <w:hideMark/>
          </w:tcPr>
          <w:p w14:paraId="76334D06" w14:textId="4E72E9BF" w:rsidR="008A1E55" w:rsidRPr="00257DF7" w:rsidRDefault="008A1E55" w:rsidP="00E16CAE">
            <w:pPr>
              <w:rPr>
                <w:sz w:val="19"/>
                <w:szCs w:val="19"/>
              </w:rPr>
            </w:pPr>
            <w:r w:rsidRPr="00257DF7">
              <w:rPr>
                <w:sz w:val="19"/>
                <w:szCs w:val="19"/>
              </w:rPr>
              <w:t xml:space="preserve">Cement </w:t>
            </w:r>
            <w:r w:rsidR="00C41AC6" w:rsidRPr="00257DF7">
              <w:rPr>
                <w:sz w:val="19"/>
                <w:szCs w:val="19"/>
              </w:rPr>
              <w:t>blocks</w:t>
            </w:r>
          </w:p>
        </w:tc>
        <w:tc>
          <w:tcPr>
            <w:tcW w:w="1300" w:type="dxa"/>
            <w:tcBorders>
              <w:top w:val="nil"/>
              <w:left w:val="nil"/>
              <w:bottom w:val="nil"/>
              <w:right w:val="nil"/>
            </w:tcBorders>
            <w:shd w:val="clear" w:color="auto" w:fill="auto"/>
            <w:noWrap/>
            <w:vAlign w:val="center"/>
            <w:hideMark/>
          </w:tcPr>
          <w:p w14:paraId="291EE142" w14:textId="77777777" w:rsidR="008A1E55" w:rsidRPr="00257DF7" w:rsidRDefault="008A1E55" w:rsidP="004F65CD">
            <w:pPr>
              <w:jc w:val="right"/>
              <w:rPr>
                <w:sz w:val="19"/>
                <w:szCs w:val="19"/>
              </w:rPr>
            </w:pPr>
            <w:r w:rsidRPr="00257DF7">
              <w:rPr>
                <w:sz w:val="19"/>
                <w:szCs w:val="19"/>
              </w:rPr>
              <w:t>950,860</w:t>
            </w:r>
          </w:p>
        </w:tc>
        <w:tc>
          <w:tcPr>
            <w:tcW w:w="1300" w:type="dxa"/>
            <w:tcBorders>
              <w:top w:val="nil"/>
              <w:left w:val="nil"/>
              <w:bottom w:val="nil"/>
              <w:right w:val="nil"/>
            </w:tcBorders>
            <w:shd w:val="clear" w:color="auto" w:fill="auto"/>
            <w:noWrap/>
            <w:vAlign w:val="center"/>
            <w:hideMark/>
          </w:tcPr>
          <w:p w14:paraId="20B4610B" w14:textId="77777777" w:rsidR="008A1E55" w:rsidRPr="00257DF7" w:rsidRDefault="008A1E55" w:rsidP="004F65CD">
            <w:pPr>
              <w:jc w:val="right"/>
              <w:rPr>
                <w:sz w:val="19"/>
                <w:szCs w:val="19"/>
              </w:rPr>
            </w:pPr>
            <w:r w:rsidRPr="00257DF7">
              <w:rPr>
                <w:sz w:val="19"/>
                <w:szCs w:val="19"/>
              </w:rPr>
              <w:t>12.1</w:t>
            </w:r>
          </w:p>
        </w:tc>
        <w:tc>
          <w:tcPr>
            <w:tcW w:w="1300" w:type="dxa"/>
            <w:tcBorders>
              <w:top w:val="nil"/>
              <w:left w:val="nil"/>
              <w:bottom w:val="nil"/>
              <w:right w:val="nil"/>
            </w:tcBorders>
            <w:shd w:val="clear" w:color="auto" w:fill="auto"/>
            <w:noWrap/>
            <w:vAlign w:val="center"/>
            <w:hideMark/>
          </w:tcPr>
          <w:p w14:paraId="42FBA216" w14:textId="77777777" w:rsidR="008A1E55" w:rsidRPr="00257DF7" w:rsidRDefault="008A1E55" w:rsidP="004F65CD">
            <w:pPr>
              <w:jc w:val="right"/>
              <w:rPr>
                <w:sz w:val="19"/>
                <w:szCs w:val="19"/>
              </w:rPr>
            </w:pPr>
            <w:r w:rsidRPr="00257DF7">
              <w:rPr>
                <w:sz w:val="19"/>
                <w:szCs w:val="19"/>
              </w:rPr>
              <w:t>886,204</w:t>
            </w:r>
          </w:p>
        </w:tc>
        <w:tc>
          <w:tcPr>
            <w:tcW w:w="1300" w:type="dxa"/>
            <w:tcBorders>
              <w:top w:val="nil"/>
              <w:left w:val="nil"/>
              <w:bottom w:val="nil"/>
              <w:right w:val="nil"/>
            </w:tcBorders>
            <w:shd w:val="clear" w:color="auto" w:fill="auto"/>
            <w:noWrap/>
            <w:vAlign w:val="center"/>
            <w:hideMark/>
          </w:tcPr>
          <w:p w14:paraId="4A85FD95" w14:textId="77777777" w:rsidR="008A1E55" w:rsidRPr="00257DF7" w:rsidRDefault="008A1E55" w:rsidP="004F65CD">
            <w:pPr>
              <w:jc w:val="right"/>
              <w:rPr>
                <w:sz w:val="19"/>
                <w:szCs w:val="19"/>
              </w:rPr>
            </w:pPr>
            <w:r w:rsidRPr="00257DF7">
              <w:rPr>
                <w:sz w:val="19"/>
                <w:szCs w:val="19"/>
              </w:rPr>
              <w:t>11.6</w:t>
            </w:r>
          </w:p>
        </w:tc>
        <w:tc>
          <w:tcPr>
            <w:tcW w:w="1300" w:type="dxa"/>
            <w:tcBorders>
              <w:top w:val="nil"/>
              <w:left w:val="nil"/>
              <w:bottom w:val="nil"/>
              <w:right w:val="nil"/>
            </w:tcBorders>
            <w:shd w:val="clear" w:color="auto" w:fill="auto"/>
            <w:noWrap/>
            <w:vAlign w:val="center"/>
            <w:hideMark/>
          </w:tcPr>
          <w:p w14:paraId="115E23EF" w14:textId="77777777" w:rsidR="008A1E55" w:rsidRPr="00257DF7" w:rsidRDefault="008A1E55" w:rsidP="004F65CD">
            <w:pPr>
              <w:jc w:val="right"/>
              <w:rPr>
                <w:sz w:val="19"/>
                <w:szCs w:val="19"/>
              </w:rPr>
            </w:pPr>
            <w:r w:rsidRPr="00257DF7">
              <w:rPr>
                <w:sz w:val="19"/>
                <w:szCs w:val="19"/>
              </w:rPr>
              <w:t>64,656</w:t>
            </w:r>
          </w:p>
        </w:tc>
        <w:tc>
          <w:tcPr>
            <w:tcW w:w="1300" w:type="dxa"/>
            <w:tcBorders>
              <w:top w:val="nil"/>
              <w:left w:val="nil"/>
              <w:bottom w:val="nil"/>
              <w:right w:val="nil"/>
            </w:tcBorders>
            <w:shd w:val="clear" w:color="auto" w:fill="auto"/>
            <w:noWrap/>
            <w:vAlign w:val="center"/>
            <w:hideMark/>
          </w:tcPr>
          <w:p w14:paraId="63954364" w14:textId="77777777" w:rsidR="008A1E55" w:rsidRPr="00257DF7" w:rsidRDefault="008A1E55" w:rsidP="004F65CD">
            <w:pPr>
              <w:jc w:val="right"/>
              <w:rPr>
                <w:sz w:val="19"/>
                <w:szCs w:val="19"/>
              </w:rPr>
            </w:pPr>
            <w:r w:rsidRPr="00257DF7">
              <w:rPr>
                <w:sz w:val="19"/>
                <w:szCs w:val="19"/>
              </w:rPr>
              <w:t>35.9</w:t>
            </w:r>
          </w:p>
        </w:tc>
      </w:tr>
      <w:tr w:rsidR="006B42D6" w:rsidRPr="00257DF7" w14:paraId="66BCB191" w14:textId="77777777" w:rsidTr="00355DF7">
        <w:trPr>
          <w:trHeight w:val="300"/>
        </w:trPr>
        <w:tc>
          <w:tcPr>
            <w:tcW w:w="1920" w:type="dxa"/>
            <w:tcBorders>
              <w:top w:val="nil"/>
              <w:left w:val="nil"/>
              <w:bottom w:val="nil"/>
              <w:right w:val="nil"/>
            </w:tcBorders>
            <w:shd w:val="clear" w:color="auto" w:fill="auto"/>
            <w:noWrap/>
            <w:vAlign w:val="center"/>
            <w:hideMark/>
          </w:tcPr>
          <w:p w14:paraId="77EFA185" w14:textId="77777777" w:rsidR="008A1E55" w:rsidRPr="00257DF7" w:rsidRDefault="008A1E55" w:rsidP="00E16CAE">
            <w:pPr>
              <w:rPr>
                <w:sz w:val="19"/>
                <w:szCs w:val="19"/>
              </w:rPr>
            </w:pPr>
            <w:r w:rsidRPr="00257DF7">
              <w:rPr>
                <w:sz w:val="19"/>
                <w:szCs w:val="19"/>
              </w:rPr>
              <w:t>Stones</w:t>
            </w:r>
          </w:p>
        </w:tc>
        <w:tc>
          <w:tcPr>
            <w:tcW w:w="1300" w:type="dxa"/>
            <w:tcBorders>
              <w:top w:val="nil"/>
              <w:left w:val="nil"/>
              <w:bottom w:val="nil"/>
              <w:right w:val="nil"/>
            </w:tcBorders>
            <w:shd w:val="clear" w:color="auto" w:fill="auto"/>
            <w:noWrap/>
            <w:vAlign w:val="center"/>
            <w:hideMark/>
          </w:tcPr>
          <w:p w14:paraId="3F146214" w14:textId="77777777" w:rsidR="008A1E55" w:rsidRPr="00257DF7" w:rsidRDefault="008A1E55" w:rsidP="004F65CD">
            <w:pPr>
              <w:jc w:val="right"/>
              <w:rPr>
                <w:sz w:val="19"/>
                <w:szCs w:val="19"/>
              </w:rPr>
            </w:pPr>
            <w:r w:rsidRPr="00257DF7">
              <w:rPr>
                <w:sz w:val="19"/>
                <w:szCs w:val="19"/>
              </w:rPr>
              <w:t>28,511</w:t>
            </w:r>
          </w:p>
        </w:tc>
        <w:tc>
          <w:tcPr>
            <w:tcW w:w="1300" w:type="dxa"/>
            <w:tcBorders>
              <w:top w:val="nil"/>
              <w:left w:val="nil"/>
              <w:bottom w:val="nil"/>
              <w:right w:val="nil"/>
            </w:tcBorders>
            <w:shd w:val="clear" w:color="auto" w:fill="auto"/>
            <w:noWrap/>
            <w:vAlign w:val="center"/>
            <w:hideMark/>
          </w:tcPr>
          <w:p w14:paraId="0C036F5D" w14:textId="77777777" w:rsidR="008A1E55" w:rsidRPr="00257DF7" w:rsidRDefault="008A1E55" w:rsidP="004F65CD">
            <w:pPr>
              <w:jc w:val="right"/>
              <w:rPr>
                <w:sz w:val="19"/>
                <w:szCs w:val="19"/>
              </w:rPr>
            </w:pPr>
            <w:r w:rsidRPr="00257DF7">
              <w:rPr>
                <w:sz w:val="19"/>
                <w:szCs w:val="19"/>
              </w:rPr>
              <w:t>0.4</w:t>
            </w:r>
          </w:p>
        </w:tc>
        <w:tc>
          <w:tcPr>
            <w:tcW w:w="1300" w:type="dxa"/>
            <w:tcBorders>
              <w:top w:val="nil"/>
              <w:left w:val="nil"/>
              <w:bottom w:val="nil"/>
              <w:right w:val="nil"/>
            </w:tcBorders>
            <w:shd w:val="clear" w:color="auto" w:fill="auto"/>
            <w:noWrap/>
            <w:vAlign w:val="center"/>
            <w:hideMark/>
          </w:tcPr>
          <w:p w14:paraId="7AD3EAF2" w14:textId="77777777" w:rsidR="008A1E55" w:rsidRPr="00257DF7" w:rsidRDefault="008A1E55" w:rsidP="004F65CD">
            <w:pPr>
              <w:jc w:val="right"/>
              <w:rPr>
                <w:sz w:val="19"/>
                <w:szCs w:val="19"/>
              </w:rPr>
            </w:pPr>
            <w:r w:rsidRPr="00257DF7">
              <w:rPr>
                <w:sz w:val="19"/>
                <w:szCs w:val="19"/>
              </w:rPr>
              <w:t>10,498</w:t>
            </w:r>
          </w:p>
        </w:tc>
        <w:tc>
          <w:tcPr>
            <w:tcW w:w="1300" w:type="dxa"/>
            <w:tcBorders>
              <w:top w:val="nil"/>
              <w:left w:val="nil"/>
              <w:bottom w:val="nil"/>
              <w:right w:val="nil"/>
            </w:tcBorders>
            <w:shd w:val="clear" w:color="auto" w:fill="auto"/>
            <w:noWrap/>
            <w:vAlign w:val="center"/>
            <w:hideMark/>
          </w:tcPr>
          <w:p w14:paraId="2EE92D8B" w14:textId="77777777" w:rsidR="008A1E55" w:rsidRPr="00257DF7" w:rsidRDefault="008A1E55" w:rsidP="004F65CD">
            <w:pPr>
              <w:jc w:val="right"/>
              <w:rPr>
                <w:sz w:val="19"/>
                <w:szCs w:val="19"/>
              </w:rPr>
            </w:pPr>
            <w:r w:rsidRPr="00257DF7">
              <w:rPr>
                <w:sz w:val="19"/>
                <w:szCs w:val="19"/>
              </w:rPr>
              <w:t>0.1</w:t>
            </w:r>
          </w:p>
        </w:tc>
        <w:tc>
          <w:tcPr>
            <w:tcW w:w="1300" w:type="dxa"/>
            <w:tcBorders>
              <w:top w:val="nil"/>
              <w:left w:val="nil"/>
              <w:bottom w:val="nil"/>
              <w:right w:val="nil"/>
            </w:tcBorders>
            <w:shd w:val="clear" w:color="auto" w:fill="auto"/>
            <w:noWrap/>
            <w:vAlign w:val="center"/>
            <w:hideMark/>
          </w:tcPr>
          <w:p w14:paraId="4284E910" w14:textId="77777777" w:rsidR="008A1E55" w:rsidRPr="00257DF7" w:rsidRDefault="008A1E55" w:rsidP="004F65CD">
            <w:pPr>
              <w:jc w:val="right"/>
              <w:rPr>
                <w:sz w:val="19"/>
                <w:szCs w:val="19"/>
              </w:rPr>
            </w:pPr>
            <w:r w:rsidRPr="00257DF7">
              <w:rPr>
                <w:sz w:val="19"/>
                <w:szCs w:val="19"/>
              </w:rPr>
              <w:t>18,013</w:t>
            </w:r>
          </w:p>
        </w:tc>
        <w:tc>
          <w:tcPr>
            <w:tcW w:w="1300" w:type="dxa"/>
            <w:tcBorders>
              <w:top w:val="nil"/>
              <w:left w:val="nil"/>
              <w:bottom w:val="nil"/>
              <w:right w:val="nil"/>
            </w:tcBorders>
            <w:shd w:val="clear" w:color="auto" w:fill="auto"/>
            <w:noWrap/>
            <w:vAlign w:val="center"/>
            <w:hideMark/>
          </w:tcPr>
          <w:p w14:paraId="7FEDF428" w14:textId="77777777" w:rsidR="008A1E55" w:rsidRPr="00257DF7" w:rsidRDefault="008A1E55" w:rsidP="004F65CD">
            <w:pPr>
              <w:jc w:val="right"/>
              <w:rPr>
                <w:sz w:val="19"/>
                <w:szCs w:val="19"/>
              </w:rPr>
            </w:pPr>
            <w:r w:rsidRPr="00257DF7">
              <w:rPr>
                <w:sz w:val="19"/>
                <w:szCs w:val="19"/>
              </w:rPr>
              <w:t>10.0</w:t>
            </w:r>
          </w:p>
        </w:tc>
      </w:tr>
      <w:tr w:rsidR="006B42D6" w:rsidRPr="00257DF7" w14:paraId="2E41258E" w14:textId="77777777" w:rsidTr="00355DF7">
        <w:trPr>
          <w:trHeight w:val="300"/>
        </w:trPr>
        <w:tc>
          <w:tcPr>
            <w:tcW w:w="1920" w:type="dxa"/>
            <w:tcBorders>
              <w:top w:val="nil"/>
              <w:left w:val="nil"/>
              <w:bottom w:val="nil"/>
              <w:right w:val="nil"/>
            </w:tcBorders>
            <w:shd w:val="clear" w:color="auto" w:fill="auto"/>
            <w:noWrap/>
            <w:vAlign w:val="center"/>
            <w:hideMark/>
          </w:tcPr>
          <w:p w14:paraId="6FF4FE6F" w14:textId="67BED8B4" w:rsidR="008A1E55" w:rsidRPr="00257DF7" w:rsidRDefault="008A1E55" w:rsidP="00E16CAE">
            <w:pPr>
              <w:rPr>
                <w:sz w:val="19"/>
                <w:szCs w:val="19"/>
              </w:rPr>
            </w:pPr>
            <w:r w:rsidRPr="00257DF7">
              <w:rPr>
                <w:sz w:val="19"/>
                <w:szCs w:val="19"/>
              </w:rPr>
              <w:t xml:space="preserve">Brick </w:t>
            </w:r>
            <w:r w:rsidR="00C41AC6" w:rsidRPr="00257DF7">
              <w:rPr>
                <w:sz w:val="19"/>
                <w:szCs w:val="19"/>
              </w:rPr>
              <w:t>stones</w:t>
            </w:r>
          </w:p>
        </w:tc>
        <w:tc>
          <w:tcPr>
            <w:tcW w:w="1300" w:type="dxa"/>
            <w:tcBorders>
              <w:top w:val="nil"/>
              <w:left w:val="nil"/>
              <w:bottom w:val="nil"/>
              <w:right w:val="nil"/>
            </w:tcBorders>
            <w:shd w:val="clear" w:color="auto" w:fill="auto"/>
            <w:noWrap/>
            <w:vAlign w:val="center"/>
            <w:hideMark/>
          </w:tcPr>
          <w:p w14:paraId="24D1E4B5" w14:textId="77777777" w:rsidR="008A1E55" w:rsidRPr="00257DF7" w:rsidRDefault="008A1E55" w:rsidP="004F65CD">
            <w:pPr>
              <w:jc w:val="right"/>
              <w:rPr>
                <w:sz w:val="19"/>
                <w:szCs w:val="19"/>
              </w:rPr>
            </w:pPr>
            <w:r w:rsidRPr="00257DF7">
              <w:rPr>
                <w:sz w:val="19"/>
                <w:szCs w:val="19"/>
              </w:rPr>
              <w:t>43,750</w:t>
            </w:r>
          </w:p>
        </w:tc>
        <w:tc>
          <w:tcPr>
            <w:tcW w:w="1300" w:type="dxa"/>
            <w:tcBorders>
              <w:top w:val="nil"/>
              <w:left w:val="nil"/>
              <w:bottom w:val="nil"/>
              <w:right w:val="nil"/>
            </w:tcBorders>
            <w:shd w:val="clear" w:color="auto" w:fill="auto"/>
            <w:noWrap/>
            <w:vAlign w:val="center"/>
            <w:hideMark/>
          </w:tcPr>
          <w:p w14:paraId="233FBB50" w14:textId="77777777" w:rsidR="008A1E55" w:rsidRPr="00257DF7" w:rsidRDefault="008A1E55" w:rsidP="004F65CD">
            <w:pPr>
              <w:jc w:val="right"/>
              <w:rPr>
                <w:sz w:val="19"/>
                <w:szCs w:val="19"/>
              </w:rPr>
            </w:pPr>
            <w:r w:rsidRPr="00257DF7">
              <w:rPr>
                <w:sz w:val="19"/>
                <w:szCs w:val="19"/>
              </w:rPr>
              <w:t>0.6</w:t>
            </w:r>
          </w:p>
        </w:tc>
        <w:tc>
          <w:tcPr>
            <w:tcW w:w="1300" w:type="dxa"/>
            <w:tcBorders>
              <w:top w:val="nil"/>
              <w:left w:val="nil"/>
              <w:bottom w:val="nil"/>
              <w:right w:val="nil"/>
            </w:tcBorders>
            <w:shd w:val="clear" w:color="auto" w:fill="auto"/>
            <w:noWrap/>
            <w:vAlign w:val="center"/>
            <w:hideMark/>
          </w:tcPr>
          <w:p w14:paraId="5F01B172" w14:textId="77777777" w:rsidR="008A1E55" w:rsidRPr="00257DF7" w:rsidRDefault="008A1E55" w:rsidP="004F65CD">
            <w:pPr>
              <w:jc w:val="right"/>
              <w:rPr>
                <w:sz w:val="19"/>
                <w:szCs w:val="19"/>
              </w:rPr>
            </w:pPr>
            <w:r w:rsidRPr="00257DF7">
              <w:rPr>
                <w:sz w:val="19"/>
                <w:szCs w:val="19"/>
              </w:rPr>
              <w:t>23,937</w:t>
            </w:r>
          </w:p>
        </w:tc>
        <w:tc>
          <w:tcPr>
            <w:tcW w:w="1300" w:type="dxa"/>
            <w:tcBorders>
              <w:top w:val="nil"/>
              <w:left w:val="nil"/>
              <w:bottom w:val="nil"/>
              <w:right w:val="nil"/>
            </w:tcBorders>
            <w:shd w:val="clear" w:color="auto" w:fill="auto"/>
            <w:noWrap/>
            <w:vAlign w:val="center"/>
            <w:hideMark/>
          </w:tcPr>
          <w:p w14:paraId="5F0143E5" w14:textId="77777777" w:rsidR="008A1E55" w:rsidRPr="00257DF7" w:rsidRDefault="008A1E55" w:rsidP="004F65CD">
            <w:pPr>
              <w:jc w:val="right"/>
              <w:rPr>
                <w:sz w:val="19"/>
                <w:szCs w:val="19"/>
              </w:rPr>
            </w:pPr>
            <w:r w:rsidRPr="00257DF7">
              <w:rPr>
                <w:sz w:val="19"/>
                <w:szCs w:val="19"/>
              </w:rPr>
              <w:t>0.3</w:t>
            </w:r>
          </w:p>
        </w:tc>
        <w:tc>
          <w:tcPr>
            <w:tcW w:w="1300" w:type="dxa"/>
            <w:tcBorders>
              <w:top w:val="nil"/>
              <w:left w:val="nil"/>
              <w:bottom w:val="nil"/>
              <w:right w:val="nil"/>
            </w:tcBorders>
            <w:shd w:val="clear" w:color="auto" w:fill="auto"/>
            <w:noWrap/>
            <w:vAlign w:val="center"/>
            <w:hideMark/>
          </w:tcPr>
          <w:p w14:paraId="4E968E18" w14:textId="77777777" w:rsidR="008A1E55" w:rsidRPr="00257DF7" w:rsidRDefault="008A1E55" w:rsidP="004F65CD">
            <w:pPr>
              <w:jc w:val="right"/>
              <w:rPr>
                <w:sz w:val="19"/>
                <w:szCs w:val="19"/>
              </w:rPr>
            </w:pPr>
            <w:r w:rsidRPr="00257DF7">
              <w:rPr>
                <w:sz w:val="19"/>
                <w:szCs w:val="19"/>
              </w:rPr>
              <w:t>19,813</w:t>
            </w:r>
          </w:p>
        </w:tc>
        <w:tc>
          <w:tcPr>
            <w:tcW w:w="1300" w:type="dxa"/>
            <w:tcBorders>
              <w:top w:val="nil"/>
              <w:left w:val="nil"/>
              <w:bottom w:val="nil"/>
              <w:right w:val="nil"/>
            </w:tcBorders>
            <w:shd w:val="clear" w:color="auto" w:fill="auto"/>
            <w:noWrap/>
            <w:vAlign w:val="center"/>
            <w:hideMark/>
          </w:tcPr>
          <w:p w14:paraId="00D609C3" w14:textId="77777777" w:rsidR="008A1E55" w:rsidRPr="00257DF7" w:rsidRDefault="008A1E55" w:rsidP="004F65CD">
            <w:pPr>
              <w:jc w:val="right"/>
              <w:rPr>
                <w:sz w:val="19"/>
                <w:szCs w:val="19"/>
              </w:rPr>
            </w:pPr>
            <w:r w:rsidRPr="00257DF7">
              <w:rPr>
                <w:sz w:val="19"/>
                <w:szCs w:val="19"/>
              </w:rPr>
              <w:t>11.0</w:t>
            </w:r>
          </w:p>
        </w:tc>
      </w:tr>
      <w:tr w:rsidR="006B42D6" w:rsidRPr="00257DF7" w14:paraId="56C9D9C0" w14:textId="77777777" w:rsidTr="00355DF7">
        <w:trPr>
          <w:trHeight w:val="300"/>
        </w:trPr>
        <w:tc>
          <w:tcPr>
            <w:tcW w:w="1920" w:type="dxa"/>
            <w:tcBorders>
              <w:top w:val="nil"/>
              <w:left w:val="nil"/>
              <w:bottom w:val="nil"/>
              <w:right w:val="nil"/>
            </w:tcBorders>
            <w:shd w:val="clear" w:color="auto" w:fill="auto"/>
            <w:noWrap/>
            <w:vAlign w:val="center"/>
            <w:hideMark/>
          </w:tcPr>
          <w:p w14:paraId="144A7668" w14:textId="77777777" w:rsidR="008A1E55" w:rsidRPr="00257DF7" w:rsidRDefault="008A1E55" w:rsidP="00E16CAE">
            <w:pPr>
              <w:rPr>
                <w:sz w:val="19"/>
                <w:szCs w:val="19"/>
              </w:rPr>
            </w:pPr>
            <w:r w:rsidRPr="00257DF7">
              <w:rPr>
                <w:sz w:val="19"/>
                <w:szCs w:val="19"/>
              </w:rPr>
              <w:t>Other</w:t>
            </w:r>
          </w:p>
        </w:tc>
        <w:tc>
          <w:tcPr>
            <w:tcW w:w="1300" w:type="dxa"/>
            <w:tcBorders>
              <w:top w:val="nil"/>
              <w:left w:val="nil"/>
              <w:bottom w:val="nil"/>
              <w:right w:val="nil"/>
            </w:tcBorders>
            <w:shd w:val="clear" w:color="auto" w:fill="auto"/>
            <w:noWrap/>
            <w:vAlign w:val="center"/>
            <w:hideMark/>
          </w:tcPr>
          <w:p w14:paraId="07AD2D25" w14:textId="77777777" w:rsidR="008A1E55" w:rsidRPr="00257DF7" w:rsidRDefault="008A1E55" w:rsidP="004F65CD">
            <w:pPr>
              <w:jc w:val="right"/>
              <w:rPr>
                <w:sz w:val="19"/>
                <w:szCs w:val="19"/>
              </w:rPr>
            </w:pPr>
            <w:r w:rsidRPr="00257DF7">
              <w:rPr>
                <w:sz w:val="19"/>
                <w:szCs w:val="19"/>
              </w:rPr>
              <w:t>96,754</w:t>
            </w:r>
          </w:p>
        </w:tc>
        <w:tc>
          <w:tcPr>
            <w:tcW w:w="1300" w:type="dxa"/>
            <w:tcBorders>
              <w:top w:val="nil"/>
              <w:left w:val="nil"/>
              <w:bottom w:val="nil"/>
              <w:right w:val="nil"/>
            </w:tcBorders>
            <w:shd w:val="clear" w:color="auto" w:fill="auto"/>
            <w:noWrap/>
            <w:vAlign w:val="center"/>
            <w:hideMark/>
          </w:tcPr>
          <w:p w14:paraId="19A98680" w14:textId="77777777" w:rsidR="008A1E55" w:rsidRPr="00257DF7" w:rsidRDefault="008A1E55" w:rsidP="004F65CD">
            <w:pPr>
              <w:jc w:val="right"/>
              <w:rPr>
                <w:sz w:val="19"/>
                <w:szCs w:val="19"/>
              </w:rPr>
            </w:pPr>
            <w:r w:rsidRPr="00257DF7">
              <w:rPr>
                <w:sz w:val="19"/>
                <w:szCs w:val="19"/>
              </w:rPr>
              <w:t>1.2</w:t>
            </w:r>
          </w:p>
        </w:tc>
        <w:tc>
          <w:tcPr>
            <w:tcW w:w="1300" w:type="dxa"/>
            <w:tcBorders>
              <w:top w:val="nil"/>
              <w:left w:val="nil"/>
              <w:bottom w:val="nil"/>
              <w:right w:val="nil"/>
            </w:tcBorders>
            <w:shd w:val="clear" w:color="auto" w:fill="auto"/>
            <w:noWrap/>
            <w:vAlign w:val="center"/>
            <w:hideMark/>
          </w:tcPr>
          <w:p w14:paraId="1799921D" w14:textId="77777777" w:rsidR="008A1E55" w:rsidRPr="00257DF7" w:rsidRDefault="008A1E55" w:rsidP="004F65CD">
            <w:pPr>
              <w:jc w:val="right"/>
              <w:rPr>
                <w:sz w:val="19"/>
                <w:szCs w:val="19"/>
              </w:rPr>
            </w:pPr>
            <w:r w:rsidRPr="00257DF7">
              <w:rPr>
                <w:sz w:val="19"/>
                <w:szCs w:val="19"/>
              </w:rPr>
              <w:t>96,372</w:t>
            </w:r>
          </w:p>
        </w:tc>
        <w:tc>
          <w:tcPr>
            <w:tcW w:w="1300" w:type="dxa"/>
            <w:tcBorders>
              <w:top w:val="nil"/>
              <w:left w:val="nil"/>
              <w:bottom w:val="nil"/>
              <w:right w:val="nil"/>
            </w:tcBorders>
            <w:shd w:val="clear" w:color="auto" w:fill="auto"/>
            <w:noWrap/>
            <w:vAlign w:val="center"/>
            <w:hideMark/>
          </w:tcPr>
          <w:p w14:paraId="798727CE" w14:textId="77777777" w:rsidR="008A1E55" w:rsidRPr="00257DF7" w:rsidRDefault="008A1E55" w:rsidP="004F65CD">
            <w:pPr>
              <w:jc w:val="right"/>
              <w:rPr>
                <w:sz w:val="19"/>
                <w:szCs w:val="19"/>
              </w:rPr>
            </w:pPr>
            <w:r w:rsidRPr="00257DF7">
              <w:rPr>
                <w:sz w:val="19"/>
                <w:szCs w:val="19"/>
              </w:rPr>
              <w:t>1.3</w:t>
            </w:r>
          </w:p>
        </w:tc>
        <w:tc>
          <w:tcPr>
            <w:tcW w:w="1300" w:type="dxa"/>
            <w:tcBorders>
              <w:top w:val="nil"/>
              <w:left w:val="nil"/>
              <w:bottom w:val="nil"/>
              <w:right w:val="nil"/>
            </w:tcBorders>
            <w:shd w:val="clear" w:color="auto" w:fill="auto"/>
            <w:noWrap/>
            <w:vAlign w:val="center"/>
            <w:hideMark/>
          </w:tcPr>
          <w:p w14:paraId="510EF40C" w14:textId="77777777" w:rsidR="008A1E55" w:rsidRPr="00257DF7" w:rsidRDefault="008A1E55" w:rsidP="004F65CD">
            <w:pPr>
              <w:jc w:val="right"/>
              <w:rPr>
                <w:sz w:val="19"/>
                <w:szCs w:val="19"/>
              </w:rPr>
            </w:pPr>
            <w:r w:rsidRPr="00257DF7">
              <w:rPr>
                <w:sz w:val="19"/>
                <w:szCs w:val="19"/>
              </w:rPr>
              <w:t>382</w:t>
            </w:r>
          </w:p>
        </w:tc>
        <w:tc>
          <w:tcPr>
            <w:tcW w:w="1300" w:type="dxa"/>
            <w:tcBorders>
              <w:top w:val="nil"/>
              <w:left w:val="nil"/>
              <w:bottom w:val="nil"/>
              <w:right w:val="nil"/>
            </w:tcBorders>
            <w:shd w:val="clear" w:color="auto" w:fill="auto"/>
            <w:noWrap/>
            <w:vAlign w:val="center"/>
            <w:hideMark/>
          </w:tcPr>
          <w:p w14:paraId="45B5494D" w14:textId="77777777" w:rsidR="008A1E55" w:rsidRPr="00257DF7" w:rsidRDefault="008A1E55" w:rsidP="004F65CD">
            <w:pPr>
              <w:jc w:val="right"/>
              <w:rPr>
                <w:sz w:val="19"/>
                <w:szCs w:val="19"/>
              </w:rPr>
            </w:pPr>
            <w:r w:rsidRPr="00257DF7">
              <w:rPr>
                <w:sz w:val="19"/>
                <w:szCs w:val="19"/>
              </w:rPr>
              <w:t>0.2</w:t>
            </w:r>
          </w:p>
        </w:tc>
      </w:tr>
      <w:tr w:rsidR="008A1E55" w:rsidRPr="004F65CD" w14:paraId="5ED541DF" w14:textId="77777777" w:rsidTr="00355DF7">
        <w:trPr>
          <w:trHeight w:val="300"/>
        </w:trPr>
        <w:tc>
          <w:tcPr>
            <w:tcW w:w="1920" w:type="dxa"/>
            <w:tcBorders>
              <w:top w:val="single" w:sz="4" w:space="0" w:color="auto"/>
              <w:left w:val="nil"/>
              <w:bottom w:val="single" w:sz="4" w:space="0" w:color="auto"/>
              <w:right w:val="nil"/>
            </w:tcBorders>
            <w:shd w:val="clear" w:color="auto" w:fill="E2EFD9" w:themeFill="accent6" w:themeFillTint="33"/>
            <w:noWrap/>
            <w:vAlign w:val="center"/>
            <w:hideMark/>
          </w:tcPr>
          <w:p w14:paraId="18B37F3B" w14:textId="77777777" w:rsidR="008A1E55" w:rsidRPr="004F65CD" w:rsidRDefault="008A1E55" w:rsidP="00E16CAE">
            <w:pPr>
              <w:rPr>
                <w:b/>
                <w:sz w:val="19"/>
                <w:szCs w:val="19"/>
              </w:rPr>
            </w:pPr>
            <w:r w:rsidRPr="004F65CD">
              <w:rPr>
                <w:b/>
                <w:sz w:val="19"/>
                <w:szCs w:val="19"/>
              </w:rPr>
              <w:t>Total</w:t>
            </w:r>
          </w:p>
        </w:tc>
        <w:tc>
          <w:tcPr>
            <w:tcW w:w="1300" w:type="dxa"/>
            <w:tcBorders>
              <w:top w:val="single" w:sz="4" w:space="0" w:color="auto"/>
              <w:left w:val="nil"/>
              <w:bottom w:val="single" w:sz="4" w:space="0" w:color="auto"/>
              <w:right w:val="nil"/>
            </w:tcBorders>
            <w:shd w:val="clear" w:color="auto" w:fill="E2EFD9" w:themeFill="accent6" w:themeFillTint="33"/>
            <w:noWrap/>
            <w:vAlign w:val="center"/>
            <w:hideMark/>
          </w:tcPr>
          <w:p w14:paraId="3924C42A" w14:textId="77777777" w:rsidR="008A1E55" w:rsidRPr="004F65CD" w:rsidRDefault="008A1E55" w:rsidP="004F65CD">
            <w:pPr>
              <w:jc w:val="right"/>
              <w:rPr>
                <w:b/>
                <w:sz w:val="19"/>
                <w:szCs w:val="19"/>
              </w:rPr>
            </w:pPr>
            <w:r w:rsidRPr="004F65CD">
              <w:rPr>
                <w:b/>
                <w:sz w:val="19"/>
                <w:szCs w:val="19"/>
              </w:rPr>
              <w:t>7,837,405</w:t>
            </w:r>
          </w:p>
        </w:tc>
        <w:tc>
          <w:tcPr>
            <w:tcW w:w="1300" w:type="dxa"/>
            <w:tcBorders>
              <w:top w:val="single" w:sz="4" w:space="0" w:color="auto"/>
              <w:left w:val="nil"/>
              <w:bottom w:val="single" w:sz="4" w:space="0" w:color="auto"/>
              <w:right w:val="nil"/>
            </w:tcBorders>
            <w:shd w:val="clear" w:color="auto" w:fill="E2EFD9" w:themeFill="accent6" w:themeFillTint="33"/>
            <w:noWrap/>
            <w:vAlign w:val="center"/>
            <w:hideMark/>
          </w:tcPr>
          <w:p w14:paraId="52864EE8" w14:textId="77777777" w:rsidR="008A1E55" w:rsidRPr="004F65CD" w:rsidRDefault="008A1E55" w:rsidP="004F65CD">
            <w:pPr>
              <w:jc w:val="right"/>
              <w:rPr>
                <w:b/>
                <w:sz w:val="19"/>
                <w:szCs w:val="19"/>
              </w:rPr>
            </w:pPr>
            <w:r w:rsidRPr="004F65CD">
              <w:rPr>
                <w:b/>
                <w:sz w:val="19"/>
                <w:szCs w:val="19"/>
              </w:rPr>
              <w:t>100.0</w:t>
            </w:r>
          </w:p>
        </w:tc>
        <w:tc>
          <w:tcPr>
            <w:tcW w:w="1300" w:type="dxa"/>
            <w:tcBorders>
              <w:top w:val="single" w:sz="4" w:space="0" w:color="auto"/>
              <w:left w:val="nil"/>
              <w:bottom w:val="single" w:sz="4" w:space="0" w:color="auto"/>
              <w:right w:val="nil"/>
            </w:tcBorders>
            <w:shd w:val="clear" w:color="auto" w:fill="E2EFD9" w:themeFill="accent6" w:themeFillTint="33"/>
            <w:noWrap/>
            <w:vAlign w:val="center"/>
            <w:hideMark/>
          </w:tcPr>
          <w:p w14:paraId="058DF759" w14:textId="77777777" w:rsidR="008A1E55" w:rsidRPr="004F65CD" w:rsidRDefault="008A1E55" w:rsidP="004F65CD">
            <w:pPr>
              <w:jc w:val="right"/>
              <w:rPr>
                <w:b/>
                <w:sz w:val="19"/>
                <w:szCs w:val="19"/>
              </w:rPr>
            </w:pPr>
            <w:r w:rsidRPr="004F65CD">
              <w:rPr>
                <w:b/>
                <w:sz w:val="19"/>
                <w:szCs w:val="19"/>
              </w:rPr>
              <w:t>7,657,185</w:t>
            </w:r>
          </w:p>
        </w:tc>
        <w:tc>
          <w:tcPr>
            <w:tcW w:w="1300" w:type="dxa"/>
            <w:tcBorders>
              <w:top w:val="single" w:sz="4" w:space="0" w:color="auto"/>
              <w:left w:val="nil"/>
              <w:bottom w:val="single" w:sz="4" w:space="0" w:color="auto"/>
              <w:right w:val="nil"/>
            </w:tcBorders>
            <w:shd w:val="clear" w:color="auto" w:fill="E2EFD9" w:themeFill="accent6" w:themeFillTint="33"/>
            <w:noWrap/>
            <w:vAlign w:val="center"/>
            <w:hideMark/>
          </w:tcPr>
          <w:p w14:paraId="3256B560" w14:textId="77777777" w:rsidR="008A1E55" w:rsidRPr="004F65CD" w:rsidRDefault="008A1E55" w:rsidP="004F65CD">
            <w:pPr>
              <w:jc w:val="right"/>
              <w:rPr>
                <w:b/>
                <w:sz w:val="19"/>
                <w:szCs w:val="19"/>
              </w:rPr>
            </w:pPr>
            <w:r w:rsidRPr="004F65CD">
              <w:rPr>
                <w:b/>
                <w:sz w:val="19"/>
                <w:szCs w:val="19"/>
              </w:rPr>
              <w:t>100.0</w:t>
            </w:r>
          </w:p>
        </w:tc>
        <w:tc>
          <w:tcPr>
            <w:tcW w:w="1300" w:type="dxa"/>
            <w:tcBorders>
              <w:top w:val="single" w:sz="4" w:space="0" w:color="auto"/>
              <w:left w:val="nil"/>
              <w:bottom w:val="single" w:sz="4" w:space="0" w:color="auto"/>
              <w:right w:val="nil"/>
            </w:tcBorders>
            <w:shd w:val="clear" w:color="auto" w:fill="E2EFD9" w:themeFill="accent6" w:themeFillTint="33"/>
            <w:noWrap/>
            <w:vAlign w:val="center"/>
            <w:hideMark/>
          </w:tcPr>
          <w:p w14:paraId="4378E583" w14:textId="77777777" w:rsidR="008A1E55" w:rsidRPr="004F65CD" w:rsidRDefault="008A1E55" w:rsidP="004F65CD">
            <w:pPr>
              <w:jc w:val="right"/>
              <w:rPr>
                <w:b/>
                <w:sz w:val="19"/>
                <w:szCs w:val="19"/>
              </w:rPr>
            </w:pPr>
            <w:r w:rsidRPr="004F65CD">
              <w:rPr>
                <w:b/>
                <w:sz w:val="19"/>
                <w:szCs w:val="19"/>
              </w:rPr>
              <w:t>180,220</w:t>
            </w:r>
          </w:p>
        </w:tc>
        <w:tc>
          <w:tcPr>
            <w:tcW w:w="1300" w:type="dxa"/>
            <w:tcBorders>
              <w:top w:val="single" w:sz="4" w:space="0" w:color="auto"/>
              <w:left w:val="nil"/>
              <w:bottom w:val="single" w:sz="4" w:space="0" w:color="auto"/>
              <w:right w:val="nil"/>
            </w:tcBorders>
            <w:shd w:val="clear" w:color="auto" w:fill="E2EFD9" w:themeFill="accent6" w:themeFillTint="33"/>
            <w:noWrap/>
            <w:vAlign w:val="center"/>
            <w:hideMark/>
          </w:tcPr>
          <w:p w14:paraId="1009B0EE" w14:textId="77777777" w:rsidR="008A1E55" w:rsidRPr="004F65CD" w:rsidRDefault="008A1E55" w:rsidP="004F65CD">
            <w:pPr>
              <w:jc w:val="right"/>
              <w:rPr>
                <w:b/>
                <w:sz w:val="19"/>
                <w:szCs w:val="19"/>
              </w:rPr>
            </w:pPr>
            <w:r w:rsidRPr="004F65CD">
              <w:rPr>
                <w:b/>
                <w:sz w:val="19"/>
                <w:szCs w:val="19"/>
              </w:rPr>
              <w:t>100.0</w:t>
            </w:r>
          </w:p>
        </w:tc>
      </w:tr>
    </w:tbl>
    <w:p w14:paraId="364CF6AF" w14:textId="77777777" w:rsidR="008A1E55" w:rsidRPr="006B42D6" w:rsidRDefault="008A1E55" w:rsidP="008A1E55"/>
    <w:p w14:paraId="41A055EA" w14:textId="32845F6A" w:rsidR="008A1E55" w:rsidRPr="006B42D6" w:rsidRDefault="008A1E55" w:rsidP="008A1E55">
      <w:r w:rsidRPr="006B42D6">
        <w:t xml:space="preserve">In </w:t>
      </w:r>
      <w:r w:rsidR="00EA1552">
        <w:t>Mainland Tanzania</w:t>
      </w:r>
      <w:r w:rsidRPr="006B42D6">
        <w:t>, out of 7,657,185 agricultural households, majority of households (3,228,280; 42.2 percent) used baked bricks, followed by those used sun dried bricks (1,776,008; 23.2 percent)</w:t>
      </w:r>
      <w:r w:rsidR="00C41AC6">
        <w:t>,</w:t>
      </w:r>
      <w:r w:rsidRPr="006B42D6">
        <w:t xml:space="preserve"> and poles and mud (1,573,677; 20.6 percent). Stones were used by least number of households (10,498 0.1 percent). Ruvuma region had the largest number of households who reported to use baked bricks (294,180; 9.1</w:t>
      </w:r>
      <w:r w:rsidR="00C41AC6">
        <w:t xml:space="preserve"> </w:t>
      </w:r>
      <w:r w:rsidRPr="006B42D6">
        <w:t xml:space="preserve">percent), followed by Morogoro (283,572; 8.8 percent) and Kigoma (274,997; 8.5 percent). Dar es Salaam region reported the least number of households (4,559; 0.1 percent) (Table </w:t>
      </w:r>
      <w:r w:rsidR="006C1D68" w:rsidRPr="006B42D6">
        <w:t>6</w:t>
      </w:r>
      <w:r w:rsidRPr="006B42D6">
        <w:t xml:space="preserve">.5 &amp; </w:t>
      </w:r>
      <w:r w:rsidR="006C1D68" w:rsidRPr="006B42D6">
        <w:t>6</w:t>
      </w:r>
      <w:r w:rsidRPr="006B42D6">
        <w:t>.6).</w:t>
      </w:r>
    </w:p>
    <w:p w14:paraId="3F0CD0A5" w14:textId="77777777" w:rsidR="008A1E55" w:rsidRPr="006B42D6" w:rsidRDefault="008A1E55" w:rsidP="007A3EC9">
      <w:pPr>
        <w:spacing w:line="240" w:lineRule="auto"/>
      </w:pPr>
    </w:p>
    <w:p w14:paraId="69AD0D3A" w14:textId="1B4D3DA1" w:rsidR="008A1E55" w:rsidRPr="006B42D6" w:rsidRDefault="008A1E55" w:rsidP="008A1E55">
      <w:r w:rsidRPr="006B42D6">
        <w:t xml:space="preserve">In Tanzania Zanzibar, out of 180,220 agricultural households, majority of households (64,656; 35.9 percent) used cement blocks for walling, followed by those used poles and mud (59,469; 33.0 percent) and brick stones (19,813; 11.0 percent). Grass was used by the least number of households (200; 0.1 percent). Kaskazini Unguja region had the largest number of households (25,430; 39.3 percent) reported to used cement blocks, followed by Mjini Magharibi region (16,886; 26.1 percent) and the least number of households was reported in Kusini Unguja (6,928; 10.7 percent) (Table </w:t>
      </w:r>
      <w:r w:rsidR="006C1D68" w:rsidRPr="006B42D6">
        <w:t>6</w:t>
      </w:r>
      <w:r w:rsidRPr="006B42D6">
        <w:t xml:space="preserve">.5 &amp; </w:t>
      </w:r>
      <w:r w:rsidR="006C1D68" w:rsidRPr="006B42D6">
        <w:t>6</w:t>
      </w:r>
      <w:r w:rsidRPr="006B42D6">
        <w:t>.6).</w:t>
      </w:r>
    </w:p>
    <w:p w14:paraId="2EE14842" w14:textId="3B154682" w:rsidR="008A1E55" w:rsidRPr="006B42D6" w:rsidRDefault="008A1E55" w:rsidP="008A1E55">
      <w:pPr>
        <w:rPr>
          <w:sz w:val="20"/>
          <w:szCs w:val="20"/>
        </w:rPr>
      </w:pPr>
    </w:p>
    <w:p w14:paraId="3A3EAC84" w14:textId="116D12C8" w:rsidR="00602AD5" w:rsidRPr="006B42D6" w:rsidRDefault="00602AD5" w:rsidP="008A1E55">
      <w:pPr>
        <w:rPr>
          <w:sz w:val="20"/>
          <w:szCs w:val="20"/>
        </w:rPr>
      </w:pPr>
    </w:p>
    <w:p w14:paraId="2076396E" w14:textId="72860255" w:rsidR="00602AD5" w:rsidRPr="006B42D6" w:rsidRDefault="00602AD5" w:rsidP="008A1E55">
      <w:pPr>
        <w:rPr>
          <w:sz w:val="20"/>
          <w:szCs w:val="20"/>
        </w:rPr>
      </w:pPr>
    </w:p>
    <w:p w14:paraId="1A145AC3" w14:textId="19EAA343" w:rsidR="00602AD5" w:rsidRPr="006B42D6" w:rsidRDefault="00602AD5" w:rsidP="008A1E55">
      <w:pPr>
        <w:rPr>
          <w:sz w:val="20"/>
          <w:szCs w:val="20"/>
        </w:rPr>
      </w:pPr>
    </w:p>
    <w:p w14:paraId="59861290" w14:textId="0782F442" w:rsidR="00602AD5" w:rsidRPr="006B42D6" w:rsidRDefault="00602AD5" w:rsidP="008A1E55">
      <w:pPr>
        <w:rPr>
          <w:sz w:val="20"/>
          <w:szCs w:val="20"/>
        </w:rPr>
      </w:pPr>
    </w:p>
    <w:p w14:paraId="45E14891" w14:textId="6EA9AC2E" w:rsidR="00602AD5" w:rsidRPr="006B42D6" w:rsidRDefault="00602AD5" w:rsidP="008A1E55">
      <w:pPr>
        <w:rPr>
          <w:sz w:val="20"/>
          <w:szCs w:val="20"/>
        </w:rPr>
      </w:pPr>
    </w:p>
    <w:p w14:paraId="7E3F41D1" w14:textId="5BCCD859" w:rsidR="00602AD5" w:rsidRPr="006B42D6" w:rsidRDefault="00602AD5" w:rsidP="008A1E55">
      <w:pPr>
        <w:rPr>
          <w:sz w:val="20"/>
          <w:szCs w:val="20"/>
        </w:rPr>
      </w:pPr>
    </w:p>
    <w:p w14:paraId="5C94BE0C" w14:textId="42F2F3E0" w:rsidR="00EA010E" w:rsidRPr="006B42D6" w:rsidRDefault="00EA010E">
      <w:pPr>
        <w:rPr>
          <w:sz w:val="20"/>
          <w:szCs w:val="20"/>
        </w:rPr>
      </w:pPr>
      <w:r w:rsidRPr="006B42D6">
        <w:rPr>
          <w:sz w:val="20"/>
          <w:szCs w:val="20"/>
        </w:rPr>
        <w:br w:type="page"/>
      </w:r>
    </w:p>
    <w:p w14:paraId="139DCBD2" w14:textId="438F557F" w:rsidR="008A1E55" w:rsidRPr="006B42D6" w:rsidRDefault="008A1E55" w:rsidP="007200F6">
      <w:pPr>
        <w:pStyle w:val="Heading7"/>
      </w:pPr>
      <w:bookmarkStart w:id="863" w:name="_Toc82386241"/>
      <w:r w:rsidRPr="006B42D6">
        <w:lastRenderedPageBreak/>
        <w:t xml:space="preserve">Table </w:t>
      </w:r>
      <w:r w:rsidR="006C1D68" w:rsidRPr="006B42D6">
        <w:t>6</w:t>
      </w:r>
      <w:r w:rsidRPr="006B42D6">
        <w:t>.6</w:t>
      </w:r>
      <w:r w:rsidR="005420E0">
        <w:t>:</w:t>
      </w:r>
      <w:r w:rsidR="007A288F">
        <w:tab/>
      </w:r>
      <w:r w:rsidRPr="006B42D6">
        <w:t>Percentage of Agricultural Households Reported Materials Used for Wall Construction by Region During 2019/20 Agricultural Year, Tanzania</w:t>
      </w:r>
      <w:bookmarkEnd w:id="863"/>
    </w:p>
    <w:tbl>
      <w:tblPr>
        <w:tblW w:w="9420" w:type="dxa"/>
        <w:tblLook w:val="04A0" w:firstRow="1" w:lastRow="0" w:firstColumn="1" w:lastColumn="0" w:noHBand="0" w:noVBand="1"/>
      </w:tblPr>
      <w:tblGrid>
        <w:gridCol w:w="1680"/>
        <w:gridCol w:w="700"/>
        <w:gridCol w:w="980"/>
        <w:gridCol w:w="920"/>
        <w:gridCol w:w="880"/>
        <w:gridCol w:w="940"/>
        <w:gridCol w:w="1040"/>
        <w:gridCol w:w="700"/>
        <w:gridCol w:w="880"/>
        <w:gridCol w:w="700"/>
      </w:tblGrid>
      <w:tr w:rsidR="006B42D6" w:rsidRPr="006B42D6" w14:paraId="52A04A52" w14:textId="77777777" w:rsidTr="00257DF7">
        <w:trPr>
          <w:trHeight w:val="283"/>
        </w:trPr>
        <w:tc>
          <w:tcPr>
            <w:tcW w:w="1680" w:type="dxa"/>
            <w:vMerge w:val="restart"/>
            <w:tcBorders>
              <w:top w:val="single" w:sz="4" w:space="0" w:color="auto"/>
              <w:left w:val="nil"/>
              <w:bottom w:val="nil"/>
              <w:right w:val="nil"/>
            </w:tcBorders>
            <w:shd w:val="clear" w:color="auto" w:fill="E2EFD9" w:themeFill="accent6" w:themeFillTint="33"/>
            <w:vAlign w:val="center"/>
            <w:hideMark/>
          </w:tcPr>
          <w:p w14:paraId="27A0E17A" w14:textId="77777777" w:rsidR="008A1E55" w:rsidRPr="006B42D6" w:rsidRDefault="008A1E55" w:rsidP="00E16CAE">
            <w:pPr>
              <w:rPr>
                <w:sz w:val="16"/>
                <w:szCs w:val="16"/>
              </w:rPr>
            </w:pPr>
            <w:r w:rsidRPr="006B42D6">
              <w:rPr>
                <w:sz w:val="16"/>
                <w:szCs w:val="16"/>
              </w:rPr>
              <w:t>Region</w:t>
            </w:r>
          </w:p>
        </w:tc>
        <w:tc>
          <w:tcPr>
            <w:tcW w:w="7740" w:type="dxa"/>
            <w:gridSpan w:val="9"/>
            <w:tcBorders>
              <w:top w:val="single" w:sz="4" w:space="0" w:color="auto"/>
              <w:left w:val="nil"/>
              <w:bottom w:val="single" w:sz="4" w:space="0" w:color="auto"/>
              <w:right w:val="nil"/>
            </w:tcBorders>
            <w:shd w:val="clear" w:color="auto" w:fill="E2EFD9" w:themeFill="accent6" w:themeFillTint="33"/>
            <w:vAlign w:val="center"/>
            <w:hideMark/>
          </w:tcPr>
          <w:p w14:paraId="61F6C2E9" w14:textId="77777777" w:rsidR="008A1E55" w:rsidRPr="006B42D6" w:rsidRDefault="008A1E55" w:rsidP="00E16CAE">
            <w:pPr>
              <w:jc w:val="center"/>
              <w:rPr>
                <w:sz w:val="16"/>
                <w:szCs w:val="16"/>
              </w:rPr>
            </w:pPr>
            <w:r w:rsidRPr="006B42D6">
              <w:rPr>
                <w:sz w:val="16"/>
                <w:szCs w:val="16"/>
              </w:rPr>
              <w:t>Wall Materials</w:t>
            </w:r>
          </w:p>
        </w:tc>
      </w:tr>
      <w:tr w:rsidR="006B42D6" w:rsidRPr="006B42D6" w14:paraId="53F8937C" w14:textId="77777777" w:rsidTr="00257DF7">
        <w:trPr>
          <w:trHeight w:val="283"/>
        </w:trPr>
        <w:tc>
          <w:tcPr>
            <w:tcW w:w="1680" w:type="dxa"/>
            <w:vMerge/>
            <w:tcBorders>
              <w:top w:val="nil"/>
              <w:left w:val="nil"/>
              <w:bottom w:val="single" w:sz="4" w:space="0" w:color="auto"/>
              <w:right w:val="nil"/>
            </w:tcBorders>
            <w:shd w:val="clear" w:color="auto" w:fill="E2EFD9" w:themeFill="accent6" w:themeFillTint="33"/>
            <w:vAlign w:val="center"/>
            <w:hideMark/>
          </w:tcPr>
          <w:p w14:paraId="6A501848" w14:textId="77777777" w:rsidR="008A1E55" w:rsidRPr="006B42D6" w:rsidRDefault="008A1E55" w:rsidP="00E16CAE">
            <w:pPr>
              <w:rPr>
                <w:sz w:val="16"/>
                <w:szCs w:val="16"/>
              </w:rPr>
            </w:pPr>
          </w:p>
        </w:tc>
        <w:tc>
          <w:tcPr>
            <w:tcW w:w="700" w:type="dxa"/>
            <w:tcBorders>
              <w:top w:val="single" w:sz="4" w:space="0" w:color="auto"/>
              <w:left w:val="nil"/>
              <w:bottom w:val="single" w:sz="4" w:space="0" w:color="auto"/>
              <w:right w:val="nil"/>
            </w:tcBorders>
            <w:shd w:val="clear" w:color="auto" w:fill="E2EFD9" w:themeFill="accent6" w:themeFillTint="33"/>
            <w:vAlign w:val="center"/>
            <w:hideMark/>
          </w:tcPr>
          <w:p w14:paraId="1DC082F6" w14:textId="77777777" w:rsidR="008A1E55" w:rsidRPr="006B42D6" w:rsidRDefault="008A1E55" w:rsidP="00E16CAE">
            <w:pPr>
              <w:rPr>
                <w:sz w:val="16"/>
                <w:szCs w:val="16"/>
              </w:rPr>
            </w:pPr>
            <w:r w:rsidRPr="006B42D6">
              <w:rPr>
                <w:sz w:val="16"/>
                <w:szCs w:val="16"/>
              </w:rPr>
              <w:t>Grass</w:t>
            </w:r>
          </w:p>
        </w:tc>
        <w:tc>
          <w:tcPr>
            <w:tcW w:w="980" w:type="dxa"/>
            <w:tcBorders>
              <w:top w:val="single" w:sz="4" w:space="0" w:color="auto"/>
              <w:left w:val="nil"/>
              <w:bottom w:val="single" w:sz="4" w:space="0" w:color="auto"/>
              <w:right w:val="nil"/>
            </w:tcBorders>
            <w:shd w:val="clear" w:color="auto" w:fill="E2EFD9" w:themeFill="accent6" w:themeFillTint="33"/>
            <w:vAlign w:val="center"/>
            <w:hideMark/>
          </w:tcPr>
          <w:p w14:paraId="7D6CD40E" w14:textId="77777777" w:rsidR="008A1E55" w:rsidRPr="006B42D6" w:rsidRDefault="008A1E55" w:rsidP="00E16CAE">
            <w:pPr>
              <w:rPr>
                <w:sz w:val="16"/>
                <w:szCs w:val="16"/>
              </w:rPr>
            </w:pPr>
            <w:r w:rsidRPr="006B42D6">
              <w:rPr>
                <w:sz w:val="16"/>
                <w:szCs w:val="16"/>
              </w:rPr>
              <w:t>Poles and Mud</w:t>
            </w:r>
          </w:p>
        </w:tc>
        <w:tc>
          <w:tcPr>
            <w:tcW w:w="920" w:type="dxa"/>
            <w:tcBorders>
              <w:top w:val="single" w:sz="4" w:space="0" w:color="auto"/>
              <w:left w:val="nil"/>
              <w:bottom w:val="single" w:sz="4" w:space="0" w:color="auto"/>
              <w:right w:val="nil"/>
            </w:tcBorders>
            <w:shd w:val="clear" w:color="auto" w:fill="E2EFD9" w:themeFill="accent6" w:themeFillTint="33"/>
            <w:vAlign w:val="center"/>
            <w:hideMark/>
          </w:tcPr>
          <w:p w14:paraId="5310223C" w14:textId="77777777" w:rsidR="008A1E55" w:rsidRPr="006B42D6" w:rsidRDefault="008A1E55" w:rsidP="00E16CAE">
            <w:pPr>
              <w:rPr>
                <w:sz w:val="16"/>
                <w:szCs w:val="16"/>
              </w:rPr>
            </w:pPr>
            <w:r w:rsidRPr="006B42D6">
              <w:rPr>
                <w:sz w:val="16"/>
                <w:szCs w:val="16"/>
              </w:rPr>
              <w:t>Sun-Dried Bricks</w:t>
            </w:r>
          </w:p>
        </w:tc>
        <w:tc>
          <w:tcPr>
            <w:tcW w:w="880" w:type="dxa"/>
            <w:tcBorders>
              <w:top w:val="single" w:sz="4" w:space="0" w:color="auto"/>
              <w:left w:val="nil"/>
              <w:bottom w:val="single" w:sz="4" w:space="0" w:color="auto"/>
              <w:right w:val="nil"/>
            </w:tcBorders>
            <w:shd w:val="clear" w:color="auto" w:fill="E2EFD9" w:themeFill="accent6" w:themeFillTint="33"/>
            <w:vAlign w:val="center"/>
            <w:hideMark/>
          </w:tcPr>
          <w:p w14:paraId="2CFE2918" w14:textId="77777777" w:rsidR="008A1E55" w:rsidRPr="006B42D6" w:rsidRDefault="008A1E55" w:rsidP="00E16CAE">
            <w:pPr>
              <w:rPr>
                <w:sz w:val="16"/>
                <w:szCs w:val="16"/>
              </w:rPr>
            </w:pPr>
            <w:r w:rsidRPr="006B42D6">
              <w:rPr>
                <w:sz w:val="16"/>
                <w:szCs w:val="16"/>
              </w:rPr>
              <w:t>Baked Bricks</w:t>
            </w:r>
          </w:p>
        </w:tc>
        <w:tc>
          <w:tcPr>
            <w:tcW w:w="940" w:type="dxa"/>
            <w:tcBorders>
              <w:top w:val="single" w:sz="4" w:space="0" w:color="auto"/>
              <w:left w:val="nil"/>
              <w:bottom w:val="single" w:sz="4" w:space="0" w:color="auto"/>
              <w:right w:val="nil"/>
            </w:tcBorders>
            <w:shd w:val="clear" w:color="auto" w:fill="E2EFD9" w:themeFill="accent6" w:themeFillTint="33"/>
            <w:vAlign w:val="center"/>
            <w:hideMark/>
          </w:tcPr>
          <w:p w14:paraId="2D7B5AA2" w14:textId="77777777" w:rsidR="008A1E55" w:rsidRPr="006B42D6" w:rsidRDefault="008A1E55" w:rsidP="00E16CAE">
            <w:pPr>
              <w:rPr>
                <w:sz w:val="16"/>
                <w:szCs w:val="16"/>
              </w:rPr>
            </w:pPr>
            <w:r w:rsidRPr="006B42D6">
              <w:rPr>
                <w:sz w:val="16"/>
                <w:szCs w:val="16"/>
              </w:rPr>
              <w:t>Wood, Timber</w:t>
            </w:r>
          </w:p>
        </w:tc>
        <w:tc>
          <w:tcPr>
            <w:tcW w:w="1040" w:type="dxa"/>
            <w:tcBorders>
              <w:top w:val="single" w:sz="4" w:space="0" w:color="auto"/>
              <w:left w:val="nil"/>
              <w:bottom w:val="single" w:sz="4" w:space="0" w:color="auto"/>
              <w:right w:val="nil"/>
            </w:tcBorders>
            <w:shd w:val="clear" w:color="auto" w:fill="E2EFD9" w:themeFill="accent6" w:themeFillTint="33"/>
            <w:vAlign w:val="center"/>
            <w:hideMark/>
          </w:tcPr>
          <w:p w14:paraId="7050B551" w14:textId="77777777" w:rsidR="008A1E55" w:rsidRPr="006B42D6" w:rsidRDefault="008A1E55" w:rsidP="00E16CAE">
            <w:pPr>
              <w:rPr>
                <w:sz w:val="16"/>
                <w:szCs w:val="16"/>
              </w:rPr>
            </w:pPr>
            <w:r w:rsidRPr="006B42D6">
              <w:rPr>
                <w:sz w:val="16"/>
                <w:szCs w:val="16"/>
              </w:rPr>
              <w:t>Cement Blocks</w:t>
            </w:r>
          </w:p>
        </w:tc>
        <w:tc>
          <w:tcPr>
            <w:tcW w:w="700" w:type="dxa"/>
            <w:tcBorders>
              <w:top w:val="single" w:sz="4" w:space="0" w:color="auto"/>
              <w:left w:val="nil"/>
              <w:bottom w:val="single" w:sz="4" w:space="0" w:color="auto"/>
              <w:right w:val="nil"/>
            </w:tcBorders>
            <w:shd w:val="clear" w:color="auto" w:fill="E2EFD9" w:themeFill="accent6" w:themeFillTint="33"/>
            <w:vAlign w:val="center"/>
            <w:hideMark/>
          </w:tcPr>
          <w:p w14:paraId="6348D4AB" w14:textId="77777777" w:rsidR="008A1E55" w:rsidRPr="006B42D6" w:rsidRDefault="008A1E55" w:rsidP="00E16CAE">
            <w:pPr>
              <w:rPr>
                <w:sz w:val="16"/>
                <w:szCs w:val="16"/>
              </w:rPr>
            </w:pPr>
            <w:r w:rsidRPr="006B42D6">
              <w:rPr>
                <w:sz w:val="16"/>
                <w:szCs w:val="16"/>
              </w:rPr>
              <w:t>Stones</w:t>
            </w:r>
          </w:p>
        </w:tc>
        <w:tc>
          <w:tcPr>
            <w:tcW w:w="880" w:type="dxa"/>
            <w:tcBorders>
              <w:top w:val="single" w:sz="4" w:space="0" w:color="auto"/>
              <w:left w:val="nil"/>
              <w:bottom w:val="single" w:sz="4" w:space="0" w:color="auto"/>
              <w:right w:val="nil"/>
            </w:tcBorders>
            <w:shd w:val="clear" w:color="auto" w:fill="E2EFD9" w:themeFill="accent6" w:themeFillTint="33"/>
            <w:vAlign w:val="center"/>
            <w:hideMark/>
          </w:tcPr>
          <w:p w14:paraId="7C1381DA" w14:textId="77777777" w:rsidR="008A1E55" w:rsidRPr="006B42D6" w:rsidRDefault="008A1E55" w:rsidP="00E16CAE">
            <w:pPr>
              <w:rPr>
                <w:sz w:val="16"/>
                <w:szCs w:val="16"/>
              </w:rPr>
            </w:pPr>
            <w:r w:rsidRPr="006B42D6">
              <w:rPr>
                <w:sz w:val="16"/>
                <w:szCs w:val="16"/>
              </w:rPr>
              <w:t>Brick stones</w:t>
            </w:r>
          </w:p>
        </w:tc>
        <w:tc>
          <w:tcPr>
            <w:tcW w:w="700" w:type="dxa"/>
            <w:tcBorders>
              <w:top w:val="single" w:sz="4" w:space="0" w:color="auto"/>
              <w:left w:val="nil"/>
              <w:bottom w:val="single" w:sz="4" w:space="0" w:color="auto"/>
              <w:right w:val="nil"/>
            </w:tcBorders>
            <w:shd w:val="clear" w:color="auto" w:fill="E2EFD9" w:themeFill="accent6" w:themeFillTint="33"/>
            <w:vAlign w:val="center"/>
            <w:hideMark/>
          </w:tcPr>
          <w:p w14:paraId="13699151" w14:textId="77777777" w:rsidR="008A1E55" w:rsidRPr="006B42D6" w:rsidRDefault="008A1E55" w:rsidP="00E16CAE">
            <w:pPr>
              <w:rPr>
                <w:sz w:val="16"/>
                <w:szCs w:val="16"/>
              </w:rPr>
            </w:pPr>
            <w:r w:rsidRPr="006B42D6">
              <w:rPr>
                <w:sz w:val="16"/>
                <w:szCs w:val="16"/>
              </w:rPr>
              <w:t>Other</w:t>
            </w:r>
          </w:p>
        </w:tc>
      </w:tr>
      <w:tr w:rsidR="006B42D6" w:rsidRPr="006B42D6" w14:paraId="4464E9FE" w14:textId="77777777" w:rsidTr="00E16CAE">
        <w:trPr>
          <w:trHeight w:val="283"/>
        </w:trPr>
        <w:tc>
          <w:tcPr>
            <w:tcW w:w="1680" w:type="dxa"/>
            <w:tcBorders>
              <w:top w:val="single" w:sz="4" w:space="0" w:color="auto"/>
              <w:left w:val="nil"/>
              <w:bottom w:val="nil"/>
              <w:right w:val="nil"/>
            </w:tcBorders>
            <w:shd w:val="clear" w:color="auto" w:fill="auto"/>
            <w:noWrap/>
            <w:vAlign w:val="center"/>
            <w:hideMark/>
          </w:tcPr>
          <w:p w14:paraId="023EEBB2" w14:textId="77777777" w:rsidR="008A1E55" w:rsidRPr="006B42D6" w:rsidRDefault="008A1E55" w:rsidP="00E16CAE">
            <w:pPr>
              <w:rPr>
                <w:sz w:val="16"/>
                <w:szCs w:val="16"/>
              </w:rPr>
            </w:pPr>
            <w:r w:rsidRPr="006B42D6">
              <w:rPr>
                <w:sz w:val="16"/>
                <w:szCs w:val="16"/>
              </w:rPr>
              <w:t>Dodoma</w:t>
            </w:r>
          </w:p>
        </w:tc>
        <w:tc>
          <w:tcPr>
            <w:tcW w:w="700" w:type="dxa"/>
            <w:tcBorders>
              <w:top w:val="single" w:sz="4" w:space="0" w:color="auto"/>
              <w:left w:val="nil"/>
              <w:bottom w:val="nil"/>
              <w:right w:val="nil"/>
            </w:tcBorders>
            <w:shd w:val="clear" w:color="auto" w:fill="auto"/>
            <w:noWrap/>
            <w:vAlign w:val="center"/>
            <w:hideMark/>
          </w:tcPr>
          <w:p w14:paraId="42E4B181" w14:textId="77777777" w:rsidR="008A1E55" w:rsidRPr="006B42D6" w:rsidRDefault="008A1E55" w:rsidP="00E16CAE">
            <w:pPr>
              <w:jc w:val="right"/>
              <w:rPr>
                <w:sz w:val="16"/>
                <w:szCs w:val="16"/>
              </w:rPr>
            </w:pPr>
            <w:r w:rsidRPr="006B42D6">
              <w:rPr>
                <w:sz w:val="16"/>
                <w:szCs w:val="16"/>
              </w:rPr>
              <w:t>14.0</w:t>
            </w:r>
          </w:p>
        </w:tc>
        <w:tc>
          <w:tcPr>
            <w:tcW w:w="980" w:type="dxa"/>
            <w:tcBorders>
              <w:top w:val="single" w:sz="4" w:space="0" w:color="auto"/>
              <w:left w:val="nil"/>
              <w:bottom w:val="nil"/>
              <w:right w:val="nil"/>
            </w:tcBorders>
            <w:shd w:val="clear" w:color="auto" w:fill="auto"/>
            <w:noWrap/>
            <w:vAlign w:val="center"/>
            <w:hideMark/>
          </w:tcPr>
          <w:p w14:paraId="5A7A714A" w14:textId="77777777" w:rsidR="008A1E55" w:rsidRPr="006B42D6" w:rsidRDefault="008A1E55" w:rsidP="00E16CAE">
            <w:pPr>
              <w:jc w:val="right"/>
              <w:rPr>
                <w:sz w:val="16"/>
                <w:szCs w:val="16"/>
              </w:rPr>
            </w:pPr>
            <w:r w:rsidRPr="006B42D6">
              <w:rPr>
                <w:sz w:val="16"/>
                <w:szCs w:val="16"/>
              </w:rPr>
              <w:t>5.6</w:t>
            </w:r>
          </w:p>
        </w:tc>
        <w:tc>
          <w:tcPr>
            <w:tcW w:w="920" w:type="dxa"/>
            <w:tcBorders>
              <w:top w:val="single" w:sz="4" w:space="0" w:color="auto"/>
              <w:left w:val="nil"/>
              <w:bottom w:val="nil"/>
              <w:right w:val="nil"/>
            </w:tcBorders>
            <w:shd w:val="clear" w:color="auto" w:fill="auto"/>
            <w:noWrap/>
            <w:vAlign w:val="center"/>
            <w:hideMark/>
          </w:tcPr>
          <w:p w14:paraId="2659030B" w14:textId="77777777" w:rsidR="008A1E55" w:rsidRPr="006B42D6" w:rsidRDefault="008A1E55" w:rsidP="00E16CAE">
            <w:pPr>
              <w:jc w:val="right"/>
              <w:rPr>
                <w:sz w:val="16"/>
                <w:szCs w:val="16"/>
              </w:rPr>
            </w:pPr>
            <w:r w:rsidRPr="006B42D6">
              <w:rPr>
                <w:sz w:val="16"/>
                <w:szCs w:val="16"/>
              </w:rPr>
              <w:t>9.0</w:t>
            </w:r>
          </w:p>
        </w:tc>
        <w:tc>
          <w:tcPr>
            <w:tcW w:w="880" w:type="dxa"/>
            <w:tcBorders>
              <w:top w:val="single" w:sz="4" w:space="0" w:color="auto"/>
              <w:left w:val="nil"/>
              <w:bottom w:val="nil"/>
              <w:right w:val="nil"/>
            </w:tcBorders>
            <w:shd w:val="clear" w:color="auto" w:fill="auto"/>
            <w:noWrap/>
            <w:vAlign w:val="center"/>
            <w:hideMark/>
          </w:tcPr>
          <w:p w14:paraId="3FD68AB2" w14:textId="77777777" w:rsidR="008A1E55" w:rsidRPr="006B42D6" w:rsidRDefault="008A1E55" w:rsidP="00E16CAE">
            <w:pPr>
              <w:jc w:val="right"/>
              <w:rPr>
                <w:sz w:val="16"/>
                <w:szCs w:val="16"/>
              </w:rPr>
            </w:pPr>
            <w:r w:rsidRPr="006B42D6">
              <w:rPr>
                <w:sz w:val="16"/>
                <w:szCs w:val="16"/>
              </w:rPr>
              <w:t>5.8</w:t>
            </w:r>
          </w:p>
        </w:tc>
        <w:tc>
          <w:tcPr>
            <w:tcW w:w="940" w:type="dxa"/>
            <w:tcBorders>
              <w:top w:val="single" w:sz="4" w:space="0" w:color="auto"/>
              <w:left w:val="nil"/>
              <w:bottom w:val="nil"/>
              <w:right w:val="nil"/>
            </w:tcBorders>
            <w:shd w:val="clear" w:color="auto" w:fill="auto"/>
            <w:noWrap/>
            <w:vAlign w:val="center"/>
            <w:hideMark/>
          </w:tcPr>
          <w:p w14:paraId="2493B65E" w14:textId="77777777" w:rsidR="008A1E55" w:rsidRPr="006B42D6" w:rsidRDefault="008A1E55" w:rsidP="00E16CAE">
            <w:pPr>
              <w:jc w:val="right"/>
              <w:rPr>
                <w:sz w:val="16"/>
                <w:szCs w:val="16"/>
              </w:rPr>
            </w:pPr>
            <w:r w:rsidRPr="006B42D6">
              <w:rPr>
                <w:sz w:val="16"/>
                <w:szCs w:val="16"/>
              </w:rPr>
              <w:t>-</w:t>
            </w:r>
          </w:p>
        </w:tc>
        <w:tc>
          <w:tcPr>
            <w:tcW w:w="1040" w:type="dxa"/>
            <w:tcBorders>
              <w:top w:val="single" w:sz="4" w:space="0" w:color="auto"/>
              <w:left w:val="nil"/>
              <w:bottom w:val="nil"/>
              <w:right w:val="nil"/>
            </w:tcBorders>
            <w:shd w:val="clear" w:color="auto" w:fill="auto"/>
            <w:noWrap/>
            <w:vAlign w:val="center"/>
            <w:hideMark/>
          </w:tcPr>
          <w:p w14:paraId="51C7F69C" w14:textId="77777777" w:rsidR="008A1E55" w:rsidRPr="006B42D6" w:rsidRDefault="008A1E55" w:rsidP="00E16CAE">
            <w:pPr>
              <w:jc w:val="right"/>
              <w:rPr>
                <w:sz w:val="16"/>
                <w:szCs w:val="16"/>
              </w:rPr>
            </w:pPr>
            <w:r w:rsidRPr="006B42D6">
              <w:rPr>
                <w:sz w:val="16"/>
                <w:szCs w:val="16"/>
              </w:rPr>
              <w:t>3.9</w:t>
            </w:r>
          </w:p>
        </w:tc>
        <w:tc>
          <w:tcPr>
            <w:tcW w:w="700" w:type="dxa"/>
            <w:tcBorders>
              <w:top w:val="single" w:sz="4" w:space="0" w:color="auto"/>
              <w:left w:val="nil"/>
              <w:bottom w:val="nil"/>
              <w:right w:val="nil"/>
            </w:tcBorders>
            <w:shd w:val="clear" w:color="auto" w:fill="auto"/>
            <w:noWrap/>
            <w:vAlign w:val="center"/>
            <w:hideMark/>
          </w:tcPr>
          <w:p w14:paraId="7F4C9CEE" w14:textId="77777777" w:rsidR="008A1E55" w:rsidRPr="006B42D6" w:rsidRDefault="008A1E55" w:rsidP="00E16CAE">
            <w:pPr>
              <w:jc w:val="right"/>
              <w:rPr>
                <w:sz w:val="16"/>
                <w:szCs w:val="16"/>
              </w:rPr>
            </w:pPr>
            <w:r w:rsidRPr="006B42D6">
              <w:rPr>
                <w:sz w:val="16"/>
                <w:szCs w:val="16"/>
              </w:rPr>
              <w:t>-</w:t>
            </w:r>
          </w:p>
        </w:tc>
        <w:tc>
          <w:tcPr>
            <w:tcW w:w="880" w:type="dxa"/>
            <w:tcBorders>
              <w:top w:val="single" w:sz="4" w:space="0" w:color="auto"/>
              <w:left w:val="nil"/>
              <w:bottom w:val="nil"/>
              <w:right w:val="nil"/>
            </w:tcBorders>
            <w:shd w:val="clear" w:color="auto" w:fill="auto"/>
            <w:noWrap/>
            <w:vAlign w:val="center"/>
            <w:hideMark/>
          </w:tcPr>
          <w:p w14:paraId="392D43A2" w14:textId="77777777" w:rsidR="008A1E55" w:rsidRPr="006B42D6" w:rsidRDefault="008A1E55" w:rsidP="00E16CAE">
            <w:pPr>
              <w:jc w:val="right"/>
              <w:rPr>
                <w:sz w:val="16"/>
                <w:szCs w:val="16"/>
              </w:rPr>
            </w:pPr>
            <w:r w:rsidRPr="006B42D6">
              <w:rPr>
                <w:sz w:val="16"/>
                <w:szCs w:val="16"/>
              </w:rPr>
              <w:t>3.1</w:t>
            </w:r>
          </w:p>
        </w:tc>
        <w:tc>
          <w:tcPr>
            <w:tcW w:w="700" w:type="dxa"/>
            <w:tcBorders>
              <w:top w:val="single" w:sz="4" w:space="0" w:color="auto"/>
              <w:left w:val="nil"/>
              <w:bottom w:val="nil"/>
              <w:right w:val="nil"/>
            </w:tcBorders>
            <w:shd w:val="clear" w:color="auto" w:fill="auto"/>
            <w:noWrap/>
            <w:vAlign w:val="center"/>
            <w:hideMark/>
          </w:tcPr>
          <w:p w14:paraId="18886A5B" w14:textId="77777777" w:rsidR="008A1E55" w:rsidRPr="006B42D6" w:rsidRDefault="008A1E55" w:rsidP="00E16CAE">
            <w:pPr>
              <w:jc w:val="right"/>
              <w:rPr>
                <w:sz w:val="16"/>
                <w:szCs w:val="16"/>
              </w:rPr>
            </w:pPr>
            <w:r w:rsidRPr="006B42D6">
              <w:rPr>
                <w:sz w:val="16"/>
                <w:szCs w:val="16"/>
              </w:rPr>
              <w:t>38.4</w:t>
            </w:r>
          </w:p>
        </w:tc>
      </w:tr>
      <w:tr w:rsidR="006B42D6" w:rsidRPr="006B42D6" w14:paraId="0B7546DB" w14:textId="77777777" w:rsidTr="00E16CAE">
        <w:trPr>
          <w:trHeight w:val="283"/>
        </w:trPr>
        <w:tc>
          <w:tcPr>
            <w:tcW w:w="1680" w:type="dxa"/>
            <w:tcBorders>
              <w:top w:val="nil"/>
              <w:left w:val="nil"/>
              <w:bottom w:val="nil"/>
              <w:right w:val="nil"/>
            </w:tcBorders>
            <w:shd w:val="clear" w:color="auto" w:fill="auto"/>
            <w:noWrap/>
            <w:vAlign w:val="center"/>
            <w:hideMark/>
          </w:tcPr>
          <w:p w14:paraId="6E71934E" w14:textId="77777777" w:rsidR="008A1E55" w:rsidRPr="006B42D6" w:rsidRDefault="008A1E55" w:rsidP="00E16CAE">
            <w:pPr>
              <w:rPr>
                <w:sz w:val="16"/>
                <w:szCs w:val="16"/>
              </w:rPr>
            </w:pPr>
            <w:r w:rsidRPr="006B42D6">
              <w:rPr>
                <w:sz w:val="16"/>
                <w:szCs w:val="16"/>
              </w:rPr>
              <w:t>Arusha</w:t>
            </w:r>
          </w:p>
        </w:tc>
        <w:tc>
          <w:tcPr>
            <w:tcW w:w="700" w:type="dxa"/>
            <w:tcBorders>
              <w:top w:val="nil"/>
              <w:left w:val="nil"/>
              <w:bottom w:val="nil"/>
              <w:right w:val="nil"/>
            </w:tcBorders>
            <w:shd w:val="clear" w:color="auto" w:fill="auto"/>
            <w:noWrap/>
            <w:vAlign w:val="center"/>
            <w:hideMark/>
          </w:tcPr>
          <w:p w14:paraId="162D15F8" w14:textId="77777777" w:rsidR="008A1E55" w:rsidRPr="006B42D6" w:rsidRDefault="008A1E55" w:rsidP="00E16CAE">
            <w:pPr>
              <w:jc w:val="right"/>
              <w:rPr>
                <w:sz w:val="16"/>
                <w:szCs w:val="16"/>
              </w:rPr>
            </w:pPr>
            <w:r w:rsidRPr="006B42D6">
              <w:rPr>
                <w:sz w:val="16"/>
                <w:szCs w:val="16"/>
              </w:rPr>
              <w:t>5.4</w:t>
            </w:r>
          </w:p>
        </w:tc>
        <w:tc>
          <w:tcPr>
            <w:tcW w:w="980" w:type="dxa"/>
            <w:tcBorders>
              <w:top w:val="nil"/>
              <w:left w:val="nil"/>
              <w:bottom w:val="nil"/>
              <w:right w:val="nil"/>
            </w:tcBorders>
            <w:shd w:val="clear" w:color="auto" w:fill="auto"/>
            <w:noWrap/>
            <w:vAlign w:val="center"/>
            <w:hideMark/>
          </w:tcPr>
          <w:p w14:paraId="5AB07DAB" w14:textId="77777777" w:rsidR="008A1E55" w:rsidRPr="006B42D6" w:rsidRDefault="008A1E55" w:rsidP="00E16CAE">
            <w:pPr>
              <w:jc w:val="right"/>
              <w:rPr>
                <w:sz w:val="16"/>
                <w:szCs w:val="16"/>
              </w:rPr>
            </w:pPr>
            <w:r w:rsidRPr="006B42D6">
              <w:rPr>
                <w:sz w:val="16"/>
                <w:szCs w:val="16"/>
              </w:rPr>
              <w:t>8.6</w:t>
            </w:r>
          </w:p>
        </w:tc>
        <w:tc>
          <w:tcPr>
            <w:tcW w:w="920" w:type="dxa"/>
            <w:tcBorders>
              <w:top w:val="nil"/>
              <w:left w:val="nil"/>
              <w:bottom w:val="nil"/>
              <w:right w:val="nil"/>
            </w:tcBorders>
            <w:shd w:val="clear" w:color="auto" w:fill="auto"/>
            <w:noWrap/>
            <w:vAlign w:val="center"/>
            <w:hideMark/>
          </w:tcPr>
          <w:p w14:paraId="3FD1FA43" w14:textId="77777777" w:rsidR="008A1E55" w:rsidRPr="006B42D6" w:rsidRDefault="008A1E55" w:rsidP="00E16CAE">
            <w:pPr>
              <w:jc w:val="right"/>
              <w:rPr>
                <w:sz w:val="16"/>
                <w:szCs w:val="16"/>
              </w:rPr>
            </w:pPr>
            <w:r w:rsidRPr="006B42D6">
              <w:rPr>
                <w:sz w:val="16"/>
                <w:szCs w:val="16"/>
              </w:rPr>
              <w:t>0.3</w:t>
            </w:r>
          </w:p>
        </w:tc>
        <w:tc>
          <w:tcPr>
            <w:tcW w:w="880" w:type="dxa"/>
            <w:tcBorders>
              <w:top w:val="nil"/>
              <w:left w:val="nil"/>
              <w:bottom w:val="nil"/>
              <w:right w:val="nil"/>
            </w:tcBorders>
            <w:shd w:val="clear" w:color="auto" w:fill="auto"/>
            <w:noWrap/>
            <w:vAlign w:val="center"/>
            <w:hideMark/>
          </w:tcPr>
          <w:p w14:paraId="757AC0D1" w14:textId="77777777" w:rsidR="008A1E55" w:rsidRPr="006B42D6" w:rsidRDefault="008A1E55" w:rsidP="00E16CAE">
            <w:pPr>
              <w:jc w:val="right"/>
              <w:rPr>
                <w:sz w:val="16"/>
                <w:szCs w:val="16"/>
              </w:rPr>
            </w:pPr>
            <w:r w:rsidRPr="006B42D6">
              <w:rPr>
                <w:sz w:val="16"/>
                <w:szCs w:val="16"/>
              </w:rPr>
              <w:t>0.8</w:t>
            </w:r>
          </w:p>
        </w:tc>
        <w:tc>
          <w:tcPr>
            <w:tcW w:w="940" w:type="dxa"/>
            <w:tcBorders>
              <w:top w:val="nil"/>
              <w:left w:val="nil"/>
              <w:bottom w:val="nil"/>
              <w:right w:val="nil"/>
            </w:tcBorders>
            <w:shd w:val="clear" w:color="auto" w:fill="auto"/>
            <w:noWrap/>
            <w:vAlign w:val="center"/>
            <w:hideMark/>
          </w:tcPr>
          <w:p w14:paraId="01440206" w14:textId="77777777" w:rsidR="008A1E55" w:rsidRPr="006B42D6" w:rsidRDefault="008A1E55" w:rsidP="00E16CAE">
            <w:pPr>
              <w:jc w:val="right"/>
              <w:rPr>
                <w:sz w:val="16"/>
                <w:szCs w:val="16"/>
              </w:rPr>
            </w:pPr>
            <w:r w:rsidRPr="006B42D6">
              <w:rPr>
                <w:sz w:val="16"/>
                <w:szCs w:val="16"/>
              </w:rPr>
              <w:t>9.5</w:t>
            </w:r>
          </w:p>
        </w:tc>
        <w:tc>
          <w:tcPr>
            <w:tcW w:w="1040" w:type="dxa"/>
            <w:tcBorders>
              <w:top w:val="nil"/>
              <w:left w:val="nil"/>
              <w:bottom w:val="nil"/>
              <w:right w:val="nil"/>
            </w:tcBorders>
            <w:shd w:val="clear" w:color="auto" w:fill="auto"/>
            <w:noWrap/>
            <w:vAlign w:val="center"/>
            <w:hideMark/>
          </w:tcPr>
          <w:p w14:paraId="290E4978" w14:textId="77777777" w:rsidR="008A1E55" w:rsidRPr="006B42D6" w:rsidRDefault="008A1E55" w:rsidP="00E16CAE">
            <w:pPr>
              <w:jc w:val="right"/>
              <w:rPr>
                <w:sz w:val="16"/>
                <w:szCs w:val="16"/>
              </w:rPr>
            </w:pPr>
            <w:r w:rsidRPr="006B42D6">
              <w:rPr>
                <w:sz w:val="16"/>
                <w:szCs w:val="16"/>
              </w:rPr>
              <w:t>5.1</w:t>
            </w:r>
          </w:p>
        </w:tc>
        <w:tc>
          <w:tcPr>
            <w:tcW w:w="700" w:type="dxa"/>
            <w:tcBorders>
              <w:top w:val="nil"/>
              <w:left w:val="nil"/>
              <w:bottom w:val="nil"/>
              <w:right w:val="nil"/>
            </w:tcBorders>
            <w:shd w:val="clear" w:color="auto" w:fill="auto"/>
            <w:noWrap/>
            <w:vAlign w:val="center"/>
            <w:hideMark/>
          </w:tcPr>
          <w:p w14:paraId="2425374B" w14:textId="77777777" w:rsidR="008A1E55" w:rsidRPr="006B42D6" w:rsidRDefault="008A1E55" w:rsidP="00E16CAE">
            <w:pPr>
              <w:jc w:val="right"/>
              <w:rPr>
                <w:sz w:val="16"/>
                <w:szCs w:val="16"/>
              </w:rPr>
            </w:pPr>
            <w:r w:rsidRPr="006B42D6">
              <w:rPr>
                <w:sz w:val="16"/>
                <w:szCs w:val="16"/>
              </w:rPr>
              <w:t>1.3</w:t>
            </w:r>
          </w:p>
        </w:tc>
        <w:tc>
          <w:tcPr>
            <w:tcW w:w="880" w:type="dxa"/>
            <w:tcBorders>
              <w:top w:val="nil"/>
              <w:left w:val="nil"/>
              <w:bottom w:val="nil"/>
              <w:right w:val="nil"/>
            </w:tcBorders>
            <w:shd w:val="clear" w:color="auto" w:fill="auto"/>
            <w:noWrap/>
            <w:vAlign w:val="center"/>
            <w:hideMark/>
          </w:tcPr>
          <w:p w14:paraId="42C70E27" w14:textId="77777777" w:rsidR="008A1E55" w:rsidRPr="006B42D6" w:rsidRDefault="008A1E55" w:rsidP="00E16CAE">
            <w:pPr>
              <w:jc w:val="right"/>
              <w:rPr>
                <w:sz w:val="16"/>
                <w:szCs w:val="16"/>
              </w:rPr>
            </w:pPr>
            <w:r w:rsidRPr="006B42D6">
              <w:rPr>
                <w:sz w:val="16"/>
                <w:szCs w:val="16"/>
              </w:rPr>
              <w:t>5.2</w:t>
            </w:r>
          </w:p>
        </w:tc>
        <w:tc>
          <w:tcPr>
            <w:tcW w:w="700" w:type="dxa"/>
            <w:tcBorders>
              <w:top w:val="nil"/>
              <w:left w:val="nil"/>
              <w:bottom w:val="nil"/>
              <w:right w:val="nil"/>
            </w:tcBorders>
            <w:shd w:val="clear" w:color="auto" w:fill="auto"/>
            <w:noWrap/>
            <w:vAlign w:val="center"/>
            <w:hideMark/>
          </w:tcPr>
          <w:p w14:paraId="6976BE74" w14:textId="77777777" w:rsidR="008A1E55" w:rsidRPr="006B42D6" w:rsidRDefault="008A1E55" w:rsidP="00E16CAE">
            <w:pPr>
              <w:jc w:val="right"/>
              <w:rPr>
                <w:sz w:val="16"/>
                <w:szCs w:val="16"/>
              </w:rPr>
            </w:pPr>
            <w:r w:rsidRPr="006B42D6">
              <w:rPr>
                <w:sz w:val="16"/>
                <w:szCs w:val="16"/>
              </w:rPr>
              <w:t>2.0</w:t>
            </w:r>
          </w:p>
        </w:tc>
      </w:tr>
      <w:tr w:rsidR="006B42D6" w:rsidRPr="006B42D6" w14:paraId="7DFB333F" w14:textId="77777777" w:rsidTr="00E16CAE">
        <w:trPr>
          <w:trHeight w:val="283"/>
        </w:trPr>
        <w:tc>
          <w:tcPr>
            <w:tcW w:w="1680" w:type="dxa"/>
            <w:tcBorders>
              <w:top w:val="nil"/>
              <w:left w:val="nil"/>
              <w:bottom w:val="nil"/>
              <w:right w:val="nil"/>
            </w:tcBorders>
            <w:shd w:val="clear" w:color="auto" w:fill="auto"/>
            <w:noWrap/>
            <w:vAlign w:val="center"/>
            <w:hideMark/>
          </w:tcPr>
          <w:p w14:paraId="2D2BE373" w14:textId="77777777" w:rsidR="008A1E55" w:rsidRPr="006B42D6" w:rsidRDefault="008A1E55" w:rsidP="00E16CAE">
            <w:pPr>
              <w:rPr>
                <w:sz w:val="16"/>
                <w:szCs w:val="16"/>
              </w:rPr>
            </w:pPr>
            <w:r w:rsidRPr="006B42D6">
              <w:rPr>
                <w:sz w:val="16"/>
                <w:szCs w:val="16"/>
              </w:rPr>
              <w:t>Kilimanjaro</w:t>
            </w:r>
          </w:p>
        </w:tc>
        <w:tc>
          <w:tcPr>
            <w:tcW w:w="700" w:type="dxa"/>
            <w:tcBorders>
              <w:top w:val="nil"/>
              <w:left w:val="nil"/>
              <w:bottom w:val="nil"/>
              <w:right w:val="nil"/>
            </w:tcBorders>
            <w:shd w:val="clear" w:color="auto" w:fill="auto"/>
            <w:noWrap/>
            <w:vAlign w:val="center"/>
            <w:hideMark/>
          </w:tcPr>
          <w:p w14:paraId="07C18CD8" w14:textId="77777777" w:rsidR="008A1E55" w:rsidRPr="006B42D6" w:rsidRDefault="008A1E55" w:rsidP="00E16CAE">
            <w:pPr>
              <w:jc w:val="right"/>
              <w:rPr>
                <w:sz w:val="16"/>
                <w:szCs w:val="16"/>
              </w:rPr>
            </w:pPr>
            <w:r w:rsidRPr="006B42D6">
              <w:rPr>
                <w:sz w:val="16"/>
                <w:szCs w:val="16"/>
              </w:rPr>
              <w:t>-</w:t>
            </w:r>
          </w:p>
        </w:tc>
        <w:tc>
          <w:tcPr>
            <w:tcW w:w="980" w:type="dxa"/>
            <w:tcBorders>
              <w:top w:val="nil"/>
              <w:left w:val="nil"/>
              <w:bottom w:val="nil"/>
              <w:right w:val="nil"/>
            </w:tcBorders>
            <w:shd w:val="clear" w:color="auto" w:fill="auto"/>
            <w:noWrap/>
            <w:vAlign w:val="center"/>
            <w:hideMark/>
          </w:tcPr>
          <w:p w14:paraId="2744FAAF" w14:textId="77777777" w:rsidR="008A1E55" w:rsidRPr="006B42D6" w:rsidRDefault="008A1E55" w:rsidP="00E16CAE">
            <w:pPr>
              <w:jc w:val="right"/>
              <w:rPr>
                <w:sz w:val="16"/>
                <w:szCs w:val="16"/>
              </w:rPr>
            </w:pPr>
            <w:r w:rsidRPr="006B42D6">
              <w:rPr>
                <w:sz w:val="16"/>
                <w:szCs w:val="16"/>
              </w:rPr>
              <w:t>2.6</w:t>
            </w:r>
          </w:p>
        </w:tc>
        <w:tc>
          <w:tcPr>
            <w:tcW w:w="920" w:type="dxa"/>
            <w:tcBorders>
              <w:top w:val="nil"/>
              <w:left w:val="nil"/>
              <w:bottom w:val="nil"/>
              <w:right w:val="nil"/>
            </w:tcBorders>
            <w:shd w:val="clear" w:color="auto" w:fill="auto"/>
            <w:noWrap/>
            <w:vAlign w:val="center"/>
            <w:hideMark/>
          </w:tcPr>
          <w:p w14:paraId="1C51D89A" w14:textId="77777777" w:rsidR="008A1E55" w:rsidRPr="006B42D6" w:rsidRDefault="008A1E55" w:rsidP="00E16CAE">
            <w:pPr>
              <w:jc w:val="right"/>
              <w:rPr>
                <w:sz w:val="16"/>
                <w:szCs w:val="16"/>
              </w:rPr>
            </w:pPr>
            <w:r w:rsidRPr="006B42D6">
              <w:rPr>
                <w:sz w:val="16"/>
                <w:szCs w:val="16"/>
              </w:rPr>
              <w:t>0.8</w:t>
            </w:r>
          </w:p>
        </w:tc>
        <w:tc>
          <w:tcPr>
            <w:tcW w:w="880" w:type="dxa"/>
            <w:tcBorders>
              <w:top w:val="nil"/>
              <w:left w:val="nil"/>
              <w:bottom w:val="nil"/>
              <w:right w:val="nil"/>
            </w:tcBorders>
            <w:shd w:val="clear" w:color="auto" w:fill="auto"/>
            <w:noWrap/>
            <w:vAlign w:val="center"/>
            <w:hideMark/>
          </w:tcPr>
          <w:p w14:paraId="0AEF5B4C" w14:textId="77777777" w:rsidR="008A1E55" w:rsidRPr="006B42D6" w:rsidRDefault="008A1E55" w:rsidP="00E16CAE">
            <w:pPr>
              <w:jc w:val="right"/>
              <w:rPr>
                <w:sz w:val="16"/>
                <w:szCs w:val="16"/>
              </w:rPr>
            </w:pPr>
            <w:r w:rsidRPr="006B42D6">
              <w:rPr>
                <w:sz w:val="16"/>
                <w:szCs w:val="16"/>
              </w:rPr>
              <w:t>2.9</w:t>
            </w:r>
          </w:p>
        </w:tc>
        <w:tc>
          <w:tcPr>
            <w:tcW w:w="940" w:type="dxa"/>
            <w:tcBorders>
              <w:top w:val="nil"/>
              <w:left w:val="nil"/>
              <w:bottom w:val="nil"/>
              <w:right w:val="nil"/>
            </w:tcBorders>
            <w:shd w:val="clear" w:color="auto" w:fill="auto"/>
            <w:noWrap/>
            <w:vAlign w:val="center"/>
            <w:hideMark/>
          </w:tcPr>
          <w:p w14:paraId="1B8E33CD" w14:textId="77777777" w:rsidR="008A1E55" w:rsidRPr="006B42D6" w:rsidRDefault="008A1E55" w:rsidP="00E16CAE">
            <w:pPr>
              <w:jc w:val="right"/>
              <w:rPr>
                <w:sz w:val="16"/>
                <w:szCs w:val="16"/>
              </w:rPr>
            </w:pPr>
            <w:r w:rsidRPr="006B42D6">
              <w:rPr>
                <w:sz w:val="16"/>
                <w:szCs w:val="16"/>
              </w:rPr>
              <w:t>70.4</w:t>
            </w:r>
          </w:p>
        </w:tc>
        <w:tc>
          <w:tcPr>
            <w:tcW w:w="1040" w:type="dxa"/>
            <w:tcBorders>
              <w:top w:val="nil"/>
              <w:left w:val="nil"/>
              <w:bottom w:val="nil"/>
              <w:right w:val="nil"/>
            </w:tcBorders>
            <w:shd w:val="clear" w:color="auto" w:fill="auto"/>
            <w:noWrap/>
            <w:vAlign w:val="center"/>
            <w:hideMark/>
          </w:tcPr>
          <w:p w14:paraId="3965F400" w14:textId="77777777" w:rsidR="008A1E55" w:rsidRPr="006B42D6" w:rsidRDefault="008A1E55" w:rsidP="00E16CAE">
            <w:pPr>
              <w:jc w:val="right"/>
              <w:rPr>
                <w:sz w:val="16"/>
                <w:szCs w:val="16"/>
              </w:rPr>
            </w:pPr>
            <w:r w:rsidRPr="006B42D6">
              <w:rPr>
                <w:sz w:val="16"/>
                <w:szCs w:val="16"/>
              </w:rPr>
              <w:t>10.8</w:t>
            </w:r>
          </w:p>
        </w:tc>
        <w:tc>
          <w:tcPr>
            <w:tcW w:w="700" w:type="dxa"/>
            <w:tcBorders>
              <w:top w:val="nil"/>
              <w:left w:val="nil"/>
              <w:bottom w:val="nil"/>
              <w:right w:val="nil"/>
            </w:tcBorders>
            <w:shd w:val="clear" w:color="auto" w:fill="auto"/>
            <w:noWrap/>
            <w:vAlign w:val="center"/>
            <w:hideMark/>
          </w:tcPr>
          <w:p w14:paraId="174E6424" w14:textId="77777777" w:rsidR="008A1E55" w:rsidRPr="006B42D6" w:rsidRDefault="008A1E55" w:rsidP="00E16CAE">
            <w:pPr>
              <w:jc w:val="right"/>
              <w:rPr>
                <w:sz w:val="16"/>
                <w:szCs w:val="16"/>
              </w:rPr>
            </w:pPr>
            <w:r w:rsidRPr="006B42D6">
              <w:rPr>
                <w:sz w:val="16"/>
                <w:szCs w:val="16"/>
              </w:rPr>
              <w:t>9.4</w:t>
            </w:r>
          </w:p>
        </w:tc>
        <w:tc>
          <w:tcPr>
            <w:tcW w:w="880" w:type="dxa"/>
            <w:tcBorders>
              <w:top w:val="nil"/>
              <w:left w:val="nil"/>
              <w:bottom w:val="nil"/>
              <w:right w:val="nil"/>
            </w:tcBorders>
            <w:shd w:val="clear" w:color="auto" w:fill="auto"/>
            <w:noWrap/>
            <w:vAlign w:val="center"/>
            <w:hideMark/>
          </w:tcPr>
          <w:p w14:paraId="35647F23" w14:textId="77777777" w:rsidR="008A1E55" w:rsidRPr="006B42D6" w:rsidRDefault="008A1E55" w:rsidP="00E16CAE">
            <w:pPr>
              <w:jc w:val="right"/>
              <w:rPr>
                <w:sz w:val="16"/>
                <w:szCs w:val="16"/>
              </w:rPr>
            </w:pPr>
            <w:r w:rsidRPr="006B42D6">
              <w:rPr>
                <w:sz w:val="16"/>
                <w:szCs w:val="16"/>
              </w:rPr>
              <w:t>37.7</w:t>
            </w:r>
          </w:p>
        </w:tc>
        <w:tc>
          <w:tcPr>
            <w:tcW w:w="700" w:type="dxa"/>
            <w:tcBorders>
              <w:top w:val="nil"/>
              <w:left w:val="nil"/>
              <w:bottom w:val="nil"/>
              <w:right w:val="nil"/>
            </w:tcBorders>
            <w:shd w:val="clear" w:color="auto" w:fill="auto"/>
            <w:noWrap/>
            <w:vAlign w:val="center"/>
            <w:hideMark/>
          </w:tcPr>
          <w:p w14:paraId="6B6E352F" w14:textId="77777777" w:rsidR="008A1E55" w:rsidRPr="006B42D6" w:rsidRDefault="008A1E55" w:rsidP="00E16CAE">
            <w:pPr>
              <w:jc w:val="right"/>
              <w:rPr>
                <w:sz w:val="16"/>
                <w:szCs w:val="16"/>
              </w:rPr>
            </w:pPr>
            <w:r w:rsidRPr="006B42D6">
              <w:rPr>
                <w:sz w:val="16"/>
                <w:szCs w:val="16"/>
              </w:rPr>
              <w:t>5.2</w:t>
            </w:r>
          </w:p>
        </w:tc>
      </w:tr>
      <w:tr w:rsidR="006B42D6" w:rsidRPr="006B42D6" w14:paraId="27D42351" w14:textId="77777777" w:rsidTr="00E16CAE">
        <w:trPr>
          <w:trHeight w:val="283"/>
        </w:trPr>
        <w:tc>
          <w:tcPr>
            <w:tcW w:w="1680" w:type="dxa"/>
            <w:tcBorders>
              <w:top w:val="nil"/>
              <w:left w:val="nil"/>
              <w:bottom w:val="nil"/>
              <w:right w:val="nil"/>
            </w:tcBorders>
            <w:shd w:val="clear" w:color="auto" w:fill="auto"/>
            <w:noWrap/>
            <w:vAlign w:val="center"/>
            <w:hideMark/>
          </w:tcPr>
          <w:p w14:paraId="28E9FCBC" w14:textId="77777777" w:rsidR="008A1E55" w:rsidRPr="006B42D6" w:rsidRDefault="008A1E55" w:rsidP="00E16CAE">
            <w:pPr>
              <w:rPr>
                <w:sz w:val="16"/>
                <w:szCs w:val="16"/>
              </w:rPr>
            </w:pPr>
            <w:r w:rsidRPr="006B42D6">
              <w:rPr>
                <w:sz w:val="16"/>
                <w:szCs w:val="16"/>
              </w:rPr>
              <w:t>Tanga</w:t>
            </w:r>
          </w:p>
        </w:tc>
        <w:tc>
          <w:tcPr>
            <w:tcW w:w="700" w:type="dxa"/>
            <w:tcBorders>
              <w:top w:val="nil"/>
              <w:left w:val="nil"/>
              <w:bottom w:val="nil"/>
              <w:right w:val="nil"/>
            </w:tcBorders>
            <w:shd w:val="clear" w:color="auto" w:fill="auto"/>
            <w:noWrap/>
            <w:vAlign w:val="center"/>
            <w:hideMark/>
          </w:tcPr>
          <w:p w14:paraId="33919416" w14:textId="77777777" w:rsidR="008A1E55" w:rsidRPr="006B42D6" w:rsidRDefault="008A1E55" w:rsidP="00E16CAE">
            <w:pPr>
              <w:jc w:val="right"/>
              <w:rPr>
                <w:sz w:val="16"/>
                <w:szCs w:val="16"/>
              </w:rPr>
            </w:pPr>
            <w:r w:rsidRPr="006B42D6">
              <w:rPr>
                <w:sz w:val="16"/>
                <w:szCs w:val="16"/>
              </w:rPr>
              <w:t>-</w:t>
            </w:r>
          </w:p>
        </w:tc>
        <w:tc>
          <w:tcPr>
            <w:tcW w:w="980" w:type="dxa"/>
            <w:tcBorders>
              <w:top w:val="nil"/>
              <w:left w:val="nil"/>
              <w:bottom w:val="nil"/>
              <w:right w:val="nil"/>
            </w:tcBorders>
            <w:shd w:val="clear" w:color="auto" w:fill="auto"/>
            <w:noWrap/>
            <w:vAlign w:val="center"/>
            <w:hideMark/>
          </w:tcPr>
          <w:p w14:paraId="72EAD705" w14:textId="77777777" w:rsidR="008A1E55" w:rsidRPr="006B42D6" w:rsidRDefault="008A1E55" w:rsidP="00E16CAE">
            <w:pPr>
              <w:jc w:val="right"/>
              <w:rPr>
                <w:sz w:val="16"/>
                <w:szCs w:val="16"/>
              </w:rPr>
            </w:pPr>
            <w:r w:rsidRPr="006B42D6">
              <w:rPr>
                <w:sz w:val="16"/>
                <w:szCs w:val="16"/>
              </w:rPr>
              <w:t>12.6</w:t>
            </w:r>
          </w:p>
        </w:tc>
        <w:tc>
          <w:tcPr>
            <w:tcW w:w="920" w:type="dxa"/>
            <w:tcBorders>
              <w:top w:val="nil"/>
              <w:left w:val="nil"/>
              <w:bottom w:val="nil"/>
              <w:right w:val="nil"/>
            </w:tcBorders>
            <w:shd w:val="clear" w:color="auto" w:fill="auto"/>
            <w:noWrap/>
            <w:vAlign w:val="center"/>
            <w:hideMark/>
          </w:tcPr>
          <w:p w14:paraId="3647E283" w14:textId="77777777" w:rsidR="008A1E55" w:rsidRPr="006B42D6" w:rsidRDefault="008A1E55" w:rsidP="00E16CAE">
            <w:pPr>
              <w:jc w:val="right"/>
              <w:rPr>
                <w:sz w:val="16"/>
                <w:szCs w:val="16"/>
              </w:rPr>
            </w:pPr>
            <w:r w:rsidRPr="006B42D6">
              <w:rPr>
                <w:sz w:val="16"/>
                <w:szCs w:val="16"/>
              </w:rPr>
              <w:t>1.4</w:t>
            </w:r>
          </w:p>
        </w:tc>
        <w:tc>
          <w:tcPr>
            <w:tcW w:w="880" w:type="dxa"/>
            <w:tcBorders>
              <w:top w:val="nil"/>
              <w:left w:val="nil"/>
              <w:bottom w:val="nil"/>
              <w:right w:val="nil"/>
            </w:tcBorders>
            <w:shd w:val="clear" w:color="auto" w:fill="auto"/>
            <w:noWrap/>
            <w:vAlign w:val="center"/>
            <w:hideMark/>
          </w:tcPr>
          <w:p w14:paraId="7EC993A1" w14:textId="77777777" w:rsidR="008A1E55" w:rsidRPr="006B42D6" w:rsidRDefault="008A1E55" w:rsidP="00E16CAE">
            <w:pPr>
              <w:jc w:val="right"/>
              <w:rPr>
                <w:sz w:val="16"/>
                <w:szCs w:val="16"/>
              </w:rPr>
            </w:pPr>
            <w:r w:rsidRPr="006B42D6">
              <w:rPr>
                <w:sz w:val="16"/>
                <w:szCs w:val="16"/>
              </w:rPr>
              <w:t>2.9</w:t>
            </w:r>
          </w:p>
        </w:tc>
        <w:tc>
          <w:tcPr>
            <w:tcW w:w="940" w:type="dxa"/>
            <w:tcBorders>
              <w:top w:val="nil"/>
              <w:left w:val="nil"/>
              <w:bottom w:val="nil"/>
              <w:right w:val="nil"/>
            </w:tcBorders>
            <w:shd w:val="clear" w:color="auto" w:fill="auto"/>
            <w:noWrap/>
            <w:vAlign w:val="center"/>
            <w:hideMark/>
          </w:tcPr>
          <w:p w14:paraId="163171BD" w14:textId="77777777" w:rsidR="008A1E55" w:rsidRPr="006B42D6" w:rsidRDefault="008A1E55" w:rsidP="00E16CAE">
            <w:pPr>
              <w:jc w:val="right"/>
              <w:rPr>
                <w:sz w:val="16"/>
                <w:szCs w:val="16"/>
              </w:rPr>
            </w:pPr>
            <w:r w:rsidRPr="006B42D6">
              <w:rPr>
                <w:sz w:val="16"/>
                <w:szCs w:val="16"/>
              </w:rPr>
              <w:t>0.5</w:t>
            </w:r>
          </w:p>
        </w:tc>
        <w:tc>
          <w:tcPr>
            <w:tcW w:w="1040" w:type="dxa"/>
            <w:tcBorders>
              <w:top w:val="nil"/>
              <w:left w:val="nil"/>
              <w:bottom w:val="nil"/>
              <w:right w:val="nil"/>
            </w:tcBorders>
            <w:shd w:val="clear" w:color="auto" w:fill="auto"/>
            <w:noWrap/>
            <w:vAlign w:val="center"/>
            <w:hideMark/>
          </w:tcPr>
          <w:p w14:paraId="01E52905" w14:textId="77777777" w:rsidR="008A1E55" w:rsidRPr="006B42D6" w:rsidRDefault="008A1E55" w:rsidP="00E16CAE">
            <w:pPr>
              <w:jc w:val="right"/>
              <w:rPr>
                <w:sz w:val="16"/>
                <w:szCs w:val="16"/>
              </w:rPr>
            </w:pPr>
            <w:r w:rsidRPr="006B42D6">
              <w:rPr>
                <w:sz w:val="16"/>
                <w:szCs w:val="16"/>
              </w:rPr>
              <w:t>3.7</w:t>
            </w:r>
          </w:p>
        </w:tc>
        <w:tc>
          <w:tcPr>
            <w:tcW w:w="700" w:type="dxa"/>
            <w:tcBorders>
              <w:top w:val="nil"/>
              <w:left w:val="nil"/>
              <w:bottom w:val="nil"/>
              <w:right w:val="nil"/>
            </w:tcBorders>
            <w:shd w:val="clear" w:color="auto" w:fill="auto"/>
            <w:noWrap/>
            <w:vAlign w:val="center"/>
            <w:hideMark/>
          </w:tcPr>
          <w:p w14:paraId="4F63519F" w14:textId="77777777" w:rsidR="008A1E55" w:rsidRPr="006B42D6" w:rsidRDefault="008A1E55" w:rsidP="00E16CAE">
            <w:pPr>
              <w:jc w:val="right"/>
              <w:rPr>
                <w:sz w:val="16"/>
                <w:szCs w:val="16"/>
              </w:rPr>
            </w:pPr>
            <w:r w:rsidRPr="006B42D6">
              <w:rPr>
                <w:sz w:val="16"/>
                <w:szCs w:val="16"/>
              </w:rPr>
              <w:t>7.8</w:t>
            </w:r>
          </w:p>
        </w:tc>
        <w:tc>
          <w:tcPr>
            <w:tcW w:w="880" w:type="dxa"/>
            <w:tcBorders>
              <w:top w:val="nil"/>
              <w:left w:val="nil"/>
              <w:bottom w:val="nil"/>
              <w:right w:val="nil"/>
            </w:tcBorders>
            <w:shd w:val="clear" w:color="auto" w:fill="auto"/>
            <w:noWrap/>
            <w:vAlign w:val="center"/>
            <w:hideMark/>
          </w:tcPr>
          <w:p w14:paraId="303F326E" w14:textId="77777777" w:rsidR="008A1E55" w:rsidRPr="006B42D6" w:rsidRDefault="008A1E55" w:rsidP="00E16CAE">
            <w:pPr>
              <w:jc w:val="right"/>
              <w:rPr>
                <w:sz w:val="16"/>
                <w:szCs w:val="16"/>
              </w:rPr>
            </w:pPr>
            <w:r w:rsidRPr="006B42D6">
              <w:rPr>
                <w:sz w:val="16"/>
                <w:szCs w:val="16"/>
              </w:rPr>
              <w:t>1.5</w:t>
            </w:r>
          </w:p>
        </w:tc>
        <w:tc>
          <w:tcPr>
            <w:tcW w:w="700" w:type="dxa"/>
            <w:tcBorders>
              <w:top w:val="nil"/>
              <w:left w:val="nil"/>
              <w:bottom w:val="nil"/>
              <w:right w:val="nil"/>
            </w:tcBorders>
            <w:shd w:val="clear" w:color="auto" w:fill="auto"/>
            <w:noWrap/>
            <w:vAlign w:val="center"/>
            <w:hideMark/>
          </w:tcPr>
          <w:p w14:paraId="037E8580" w14:textId="77777777" w:rsidR="008A1E55" w:rsidRPr="006B42D6" w:rsidRDefault="008A1E55" w:rsidP="00E16CAE">
            <w:pPr>
              <w:jc w:val="right"/>
              <w:rPr>
                <w:sz w:val="16"/>
                <w:szCs w:val="16"/>
              </w:rPr>
            </w:pPr>
            <w:r w:rsidRPr="006B42D6">
              <w:rPr>
                <w:sz w:val="16"/>
                <w:szCs w:val="16"/>
              </w:rPr>
              <w:t>2.4</w:t>
            </w:r>
          </w:p>
        </w:tc>
      </w:tr>
      <w:tr w:rsidR="006B42D6" w:rsidRPr="006B42D6" w14:paraId="70D8FCA1" w14:textId="77777777" w:rsidTr="00E16CAE">
        <w:trPr>
          <w:trHeight w:val="283"/>
        </w:trPr>
        <w:tc>
          <w:tcPr>
            <w:tcW w:w="1680" w:type="dxa"/>
            <w:tcBorders>
              <w:top w:val="nil"/>
              <w:left w:val="nil"/>
              <w:bottom w:val="nil"/>
              <w:right w:val="nil"/>
            </w:tcBorders>
            <w:shd w:val="clear" w:color="auto" w:fill="auto"/>
            <w:noWrap/>
            <w:vAlign w:val="center"/>
            <w:hideMark/>
          </w:tcPr>
          <w:p w14:paraId="105BAD86" w14:textId="77777777" w:rsidR="008A1E55" w:rsidRPr="006B42D6" w:rsidRDefault="008A1E55" w:rsidP="00E16CAE">
            <w:pPr>
              <w:rPr>
                <w:sz w:val="16"/>
                <w:szCs w:val="16"/>
              </w:rPr>
            </w:pPr>
            <w:r w:rsidRPr="006B42D6">
              <w:rPr>
                <w:sz w:val="16"/>
                <w:szCs w:val="16"/>
              </w:rPr>
              <w:t>Morogoro</w:t>
            </w:r>
          </w:p>
        </w:tc>
        <w:tc>
          <w:tcPr>
            <w:tcW w:w="700" w:type="dxa"/>
            <w:tcBorders>
              <w:top w:val="nil"/>
              <w:left w:val="nil"/>
              <w:bottom w:val="nil"/>
              <w:right w:val="nil"/>
            </w:tcBorders>
            <w:shd w:val="clear" w:color="auto" w:fill="auto"/>
            <w:noWrap/>
            <w:vAlign w:val="center"/>
            <w:hideMark/>
          </w:tcPr>
          <w:p w14:paraId="281CB204" w14:textId="77777777" w:rsidR="008A1E55" w:rsidRPr="006B42D6" w:rsidRDefault="008A1E55" w:rsidP="00E16CAE">
            <w:pPr>
              <w:jc w:val="right"/>
              <w:rPr>
                <w:sz w:val="16"/>
                <w:szCs w:val="16"/>
              </w:rPr>
            </w:pPr>
            <w:r w:rsidRPr="006B42D6">
              <w:rPr>
                <w:sz w:val="16"/>
                <w:szCs w:val="16"/>
              </w:rPr>
              <w:t>3.5</w:t>
            </w:r>
          </w:p>
        </w:tc>
        <w:tc>
          <w:tcPr>
            <w:tcW w:w="980" w:type="dxa"/>
            <w:tcBorders>
              <w:top w:val="nil"/>
              <w:left w:val="nil"/>
              <w:bottom w:val="nil"/>
              <w:right w:val="nil"/>
            </w:tcBorders>
            <w:shd w:val="clear" w:color="auto" w:fill="auto"/>
            <w:noWrap/>
            <w:vAlign w:val="center"/>
            <w:hideMark/>
          </w:tcPr>
          <w:p w14:paraId="6FE6101A" w14:textId="77777777" w:rsidR="008A1E55" w:rsidRPr="006B42D6" w:rsidRDefault="008A1E55" w:rsidP="00E16CAE">
            <w:pPr>
              <w:jc w:val="right"/>
              <w:rPr>
                <w:sz w:val="16"/>
                <w:szCs w:val="16"/>
              </w:rPr>
            </w:pPr>
            <w:r w:rsidRPr="006B42D6">
              <w:rPr>
                <w:sz w:val="16"/>
                <w:szCs w:val="16"/>
              </w:rPr>
              <w:t>5.4</w:t>
            </w:r>
          </w:p>
        </w:tc>
        <w:tc>
          <w:tcPr>
            <w:tcW w:w="920" w:type="dxa"/>
            <w:tcBorders>
              <w:top w:val="nil"/>
              <w:left w:val="nil"/>
              <w:bottom w:val="nil"/>
              <w:right w:val="nil"/>
            </w:tcBorders>
            <w:shd w:val="clear" w:color="auto" w:fill="auto"/>
            <w:noWrap/>
            <w:vAlign w:val="center"/>
            <w:hideMark/>
          </w:tcPr>
          <w:p w14:paraId="6804AEAD" w14:textId="77777777" w:rsidR="008A1E55" w:rsidRPr="006B42D6" w:rsidRDefault="008A1E55" w:rsidP="00E16CAE">
            <w:pPr>
              <w:jc w:val="right"/>
              <w:rPr>
                <w:sz w:val="16"/>
                <w:szCs w:val="16"/>
              </w:rPr>
            </w:pPr>
            <w:r w:rsidRPr="006B42D6">
              <w:rPr>
                <w:sz w:val="16"/>
                <w:szCs w:val="16"/>
              </w:rPr>
              <w:t>0.7</w:t>
            </w:r>
          </w:p>
        </w:tc>
        <w:tc>
          <w:tcPr>
            <w:tcW w:w="880" w:type="dxa"/>
            <w:tcBorders>
              <w:top w:val="nil"/>
              <w:left w:val="nil"/>
              <w:bottom w:val="nil"/>
              <w:right w:val="nil"/>
            </w:tcBorders>
            <w:shd w:val="clear" w:color="auto" w:fill="auto"/>
            <w:noWrap/>
            <w:vAlign w:val="center"/>
            <w:hideMark/>
          </w:tcPr>
          <w:p w14:paraId="16AE1F28" w14:textId="77777777" w:rsidR="008A1E55" w:rsidRPr="006B42D6" w:rsidRDefault="008A1E55" w:rsidP="00E16CAE">
            <w:pPr>
              <w:jc w:val="right"/>
              <w:rPr>
                <w:sz w:val="16"/>
                <w:szCs w:val="16"/>
              </w:rPr>
            </w:pPr>
            <w:r w:rsidRPr="006B42D6">
              <w:rPr>
                <w:sz w:val="16"/>
                <w:szCs w:val="16"/>
              </w:rPr>
              <w:t>8.8</w:t>
            </w:r>
          </w:p>
        </w:tc>
        <w:tc>
          <w:tcPr>
            <w:tcW w:w="940" w:type="dxa"/>
            <w:tcBorders>
              <w:top w:val="nil"/>
              <w:left w:val="nil"/>
              <w:bottom w:val="nil"/>
              <w:right w:val="nil"/>
            </w:tcBorders>
            <w:shd w:val="clear" w:color="auto" w:fill="auto"/>
            <w:noWrap/>
            <w:vAlign w:val="center"/>
            <w:hideMark/>
          </w:tcPr>
          <w:p w14:paraId="30EE021F" w14:textId="77777777" w:rsidR="008A1E55" w:rsidRPr="006B42D6" w:rsidRDefault="008A1E55" w:rsidP="00E16CAE">
            <w:pPr>
              <w:jc w:val="right"/>
              <w:rPr>
                <w:sz w:val="16"/>
                <w:szCs w:val="16"/>
              </w:rPr>
            </w:pPr>
            <w:r w:rsidRPr="006B42D6">
              <w:rPr>
                <w:sz w:val="16"/>
                <w:szCs w:val="16"/>
              </w:rPr>
              <w:t>0.9</w:t>
            </w:r>
          </w:p>
        </w:tc>
        <w:tc>
          <w:tcPr>
            <w:tcW w:w="1040" w:type="dxa"/>
            <w:tcBorders>
              <w:top w:val="nil"/>
              <w:left w:val="nil"/>
              <w:bottom w:val="nil"/>
              <w:right w:val="nil"/>
            </w:tcBorders>
            <w:shd w:val="clear" w:color="auto" w:fill="auto"/>
            <w:noWrap/>
            <w:vAlign w:val="center"/>
            <w:hideMark/>
          </w:tcPr>
          <w:p w14:paraId="35D428C4" w14:textId="77777777" w:rsidR="008A1E55" w:rsidRPr="006B42D6" w:rsidRDefault="008A1E55" w:rsidP="00E16CAE">
            <w:pPr>
              <w:jc w:val="right"/>
              <w:rPr>
                <w:sz w:val="16"/>
                <w:szCs w:val="16"/>
              </w:rPr>
            </w:pPr>
            <w:r w:rsidRPr="006B42D6">
              <w:rPr>
                <w:sz w:val="16"/>
                <w:szCs w:val="16"/>
              </w:rPr>
              <w:t>2.7</w:t>
            </w:r>
          </w:p>
        </w:tc>
        <w:tc>
          <w:tcPr>
            <w:tcW w:w="700" w:type="dxa"/>
            <w:tcBorders>
              <w:top w:val="nil"/>
              <w:left w:val="nil"/>
              <w:bottom w:val="nil"/>
              <w:right w:val="nil"/>
            </w:tcBorders>
            <w:shd w:val="clear" w:color="auto" w:fill="auto"/>
            <w:noWrap/>
            <w:vAlign w:val="center"/>
            <w:hideMark/>
          </w:tcPr>
          <w:p w14:paraId="272CC850" w14:textId="77777777" w:rsidR="008A1E55" w:rsidRPr="006B42D6" w:rsidRDefault="008A1E55" w:rsidP="00E16CAE">
            <w:pPr>
              <w:jc w:val="right"/>
              <w:rPr>
                <w:sz w:val="16"/>
                <w:szCs w:val="16"/>
              </w:rPr>
            </w:pPr>
            <w:r w:rsidRPr="006B42D6">
              <w:rPr>
                <w:sz w:val="16"/>
                <w:szCs w:val="16"/>
              </w:rPr>
              <w:t>1.9</w:t>
            </w:r>
          </w:p>
        </w:tc>
        <w:tc>
          <w:tcPr>
            <w:tcW w:w="880" w:type="dxa"/>
            <w:tcBorders>
              <w:top w:val="nil"/>
              <w:left w:val="nil"/>
              <w:bottom w:val="nil"/>
              <w:right w:val="nil"/>
            </w:tcBorders>
            <w:shd w:val="clear" w:color="auto" w:fill="auto"/>
            <w:noWrap/>
            <w:vAlign w:val="center"/>
            <w:hideMark/>
          </w:tcPr>
          <w:p w14:paraId="7C0D681F" w14:textId="77777777" w:rsidR="008A1E55" w:rsidRPr="006B42D6" w:rsidRDefault="008A1E55" w:rsidP="00E16CAE">
            <w:pPr>
              <w:jc w:val="right"/>
              <w:rPr>
                <w:sz w:val="16"/>
                <w:szCs w:val="16"/>
              </w:rPr>
            </w:pPr>
            <w:r w:rsidRPr="006B42D6">
              <w:rPr>
                <w:sz w:val="16"/>
                <w:szCs w:val="16"/>
              </w:rPr>
              <w:t>5.9</w:t>
            </w:r>
          </w:p>
        </w:tc>
        <w:tc>
          <w:tcPr>
            <w:tcW w:w="700" w:type="dxa"/>
            <w:tcBorders>
              <w:top w:val="nil"/>
              <w:left w:val="nil"/>
              <w:bottom w:val="nil"/>
              <w:right w:val="nil"/>
            </w:tcBorders>
            <w:shd w:val="clear" w:color="auto" w:fill="auto"/>
            <w:noWrap/>
            <w:vAlign w:val="center"/>
            <w:hideMark/>
          </w:tcPr>
          <w:p w14:paraId="29605CE8" w14:textId="77777777" w:rsidR="008A1E55" w:rsidRPr="006B42D6" w:rsidRDefault="008A1E55" w:rsidP="00E16CAE">
            <w:pPr>
              <w:jc w:val="right"/>
              <w:rPr>
                <w:sz w:val="16"/>
                <w:szCs w:val="16"/>
              </w:rPr>
            </w:pPr>
            <w:r w:rsidRPr="006B42D6">
              <w:rPr>
                <w:sz w:val="16"/>
                <w:szCs w:val="16"/>
              </w:rPr>
              <w:t>4.7</w:t>
            </w:r>
          </w:p>
        </w:tc>
      </w:tr>
      <w:tr w:rsidR="006B42D6" w:rsidRPr="006B42D6" w14:paraId="77E40F41" w14:textId="77777777" w:rsidTr="00E16CAE">
        <w:trPr>
          <w:trHeight w:val="283"/>
        </w:trPr>
        <w:tc>
          <w:tcPr>
            <w:tcW w:w="1680" w:type="dxa"/>
            <w:tcBorders>
              <w:top w:val="nil"/>
              <w:left w:val="nil"/>
              <w:bottom w:val="nil"/>
              <w:right w:val="nil"/>
            </w:tcBorders>
            <w:shd w:val="clear" w:color="auto" w:fill="auto"/>
            <w:noWrap/>
            <w:vAlign w:val="center"/>
            <w:hideMark/>
          </w:tcPr>
          <w:p w14:paraId="4F60B036" w14:textId="77777777" w:rsidR="008A1E55" w:rsidRPr="006B42D6" w:rsidRDefault="008A1E55" w:rsidP="00E16CAE">
            <w:pPr>
              <w:rPr>
                <w:sz w:val="16"/>
                <w:szCs w:val="16"/>
              </w:rPr>
            </w:pPr>
            <w:r w:rsidRPr="006B42D6">
              <w:rPr>
                <w:sz w:val="16"/>
                <w:szCs w:val="16"/>
              </w:rPr>
              <w:t>Pwani</w:t>
            </w:r>
          </w:p>
        </w:tc>
        <w:tc>
          <w:tcPr>
            <w:tcW w:w="700" w:type="dxa"/>
            <w:tcBorders>
              <w:top w:val="nil"/>
              <w:left w:val="nil"/>
              <w:bottom w:val="nil"/>
              <w:right w:val="nil"/>
            </w:tcBorders>
            <w:shd w:val="clear" w:color="auto" w:fill="auto"/>
            <w:noWrap/>
            <w:vAlign w:val="center"/>
            <w:hideMark/>
          </w:tcPr>
          <w:p w14:paraId="4B54EE0B" w14:textId="77777777" w:rsidR="008A1E55" w:rsidRPr="006B42D6" w:rsidRDefault="008A1E55" w:rsidP="00E16CAE">
            <w:pPr>
              <w:jc w:val="right"/>
              <w:rPr>
                <w:sz w:val="16"/>
                <w:szCs w:val="16"/>
              </w:rPr>
            </w:pPr>
            <w:r w:rsidRPr="006B42D6">
              <w:rPr>
                <w:sz w:val="16"/>
                <w:szCs w:val="16"/>
              </w:rPr>
              <w:t>9.1</w:t>
            </w:r>
          </w:p>
        </w:tc>
        <w:tc>
          <w:tcPr>
            <w:tcW w:w="980" w:type="dxa"/>
            <w:tcBorders>
              <w:top w:val="nil"/>
              <w:left w:val="nil"/>
              <w:bottom w:val="nil"/>
              <w:right w:val="nil"/>
            </w:tcBorders>
            <w:shd w:val="clear" w:color="auto" w:fill="auto"/>
            <w:noWrap/>
            <w:vAlign w:val="center"/>
            <w:hideMark/>
          </w:tcPr>
          <w:p w14:paraId="143D0174" w14:textId="77777777" w:rsidR="008A1E55" w:rsidRPr="006B42D6" w:rsidRDefault="008A1E55" w:rsidP="00E16CAE">
            <w:pPr>
              <w:jc w:val="right"/>
              <w:rPr>
                <w:sz w:val="16"/>
                <w:szCs w:val="16"/>
              </w:rPr>
            </w:pPr>
            <w:r w:rsidRPr="006B42D6">
              <w:rPr>
                <w:sz w:val="16"/>
                <w:szCs w:val="16"/>
              </w:rPr>
              <w:t>8.1</w:t>
            </w:r>
          </w:p>
        </w:tc>
        <w:tc>
          <w:tcPr>
            <w:tcW w:w="920" w:type="dxa"/>
            <w:tcBorders>
              <w:top w:val="nil"/>
              <w:left w:val="nil"/>
              <w:bottom w:val="nil"/>
              <w:right w:val="nil"/>
            </w:tcBorders>
            <w:shd w:val="clear" w:color="auto" w:fill="auto"/>
            <w:noWrap/>
            <w:vAlign w:val="center"/>
            <w:hideMark/>
          </w:tcPr>
          <w:p w14:paraId="036D705F" w14:textId="77777777" w:rsidR="008A1E55" w:rsidRPr="006B42D6" w:rsidRDefault="008A1E55" w:rsidP="00E16CAE">
            <w:pPr>
              <w:jc w:val="right"/>
              <w:rPr>
                <w:sz w:val="16"/>
                <w:szCs w:val="16"/>
              </w:rPr>
            </w:pPr>
            <w:r w:rsidRPr="006B42D6">
              <w:rPr>
                <w:sz w:val="16"/>
                <w:szCs w:val="16"/>
              </w:rPr>
              <w:t>0.1</w:t>
            </w:r>
          </w:p>
        </w:tc>
        <w:tc>
          <w:tcPr>
            <w:tcW w:w="880" w:type="dxa"/>
            <w:tcBorders>
              <w:top w:val="nil"/>
              <w:left w:val="nil"/>
              <w:bottom w:val="nil"/>
              <w:right w:val="nil"/>
            </w:tcBorders>
            <w:shd w:val="clear" w:color="auto" w:fill="auto"/>
            <w:noWrap/>
            <w:vAlign w:val="center"/>
            <w:hideMark/>
          </w:tcPr>
          <w:p w14:paraId="187CACF4" w14:textId="77777777" w:rsidR="008A1E55" w:rsidRPr="006B42D6" w:rsidRDefault="008A1E55" w:rsidP="00E16CAE">
            <w:pPr>
              <w:jc w:val="right"/>
              <w:rPr>
                <w:sz w:val="16"/>
                <w:szCs w:val="16"/>
              </w:rPr>
            </w:pPr>
            <w:r w:rsidRPr="006B42D6">
              <w:rPr>
                <w:sz w:val="16"/>
                <w:szCs w:val="16"/>
              </w:rPr>
              <w:t>0.3</w:t>
            </w:r>
          </w:p>
        </w:tc>
        <w:tc>
          <w:tcPr>
            <w:tcW w:w="940" w:type="dxa"/>
            <w:tcBorders>
              <w:top w:val="nil"/>
              <w:left w:val="nil"/>
              <w:bottom w:val="nil"/>
              <w:right w:val="nil"/>
            </w:tcBorders>
            <w:shd w:val="clear" w:color="auto" w:fill="auto"/>
            <w:noWrap/>
            <w:vAlign w:val="center"/>
            <w:hideMark/>
          </w:tcPr>
          <w:p w14:paraId="0203C836" w14:textId="77777777" w:rsidR="008A1E55" w:rsidRPr="006B42D6" w:rsidRDefault="008A1E55" w:rsidP="00E16CAE">
            <w:pPr>
              <w:jc w:val="right"/>
              <w:rPr>
                <w:sz w:val="16"/>
                <w:szCs w:val="16"/>
              </w:rPr>
            </w:pPr>
            <w:r w:rsidRPr="006B42D6">
              <w:rPr>
                <w:sz w:val="16"/>
                <w:szCs w:val="16"/>
              </w:rPr>
              <w:t>0.7</w:t>
            </w:r>
          </w:p>
        </w:tc>
        <w:tc>
          <w:tcPr>
            <w:tcW w:w="1040" w:type="dxa"/>
            <w:tcBorders>
              <w:top w:val="nil"/>
              <w:left w:val="nil"/>
              <w:bottom w:val="nil"/>
              <w:right w:val="nil"/>
            </w:tcBorders>
            <w:shd w:val="clear" w:color="auto" w:fill="auto"/>
            <w:noWrap/>
            <w:vAlign w:val="center"/>
            <w:hideMark/>
          </w:tcPr>
          <w:p w14:paraId="6624829A" w14:textId="77777777" w:rsidR="008A1E55" w:rsidRPr="006B42D6" w:rsidRDefault="008A1E55" w:rsidP="00E16CAE">
            <w:pPr>
              <w:jc w:val="right"/>
              <w:rPr>
                <w:sz w:val="16"/>
                <w:szCs w:val="16"/>
              </w:rPr>
            </w:pPr>
            <w:r w:rsidRPr="006B42D6">
              <w:rPr>
                <w:sz w:val="16"/>
                <w:szCs w:val="16"/>
              </w:rPr>
              <w:t>8.5</w:t>
            </w:r>
          </w:p>
        </w:tc>
        <w:tc>
          <w:tcPr>
            <w:tcW w:w="700" w:type="dxa"/>
            <w:tcBorders>
              <w:top w:val="nil"/>
              <w:left w:val="nil"/>
              <w:bottom w:val="nil"/>
              <w:right w:val="nil"/>
            </w:tcBorders>
            <w:shd w:val="clear" w:color="auto" w:fill="auto"/>
            <w:noWrap/>
            <w:vAlign w:val="center"/>
            <w:hideMark/>
          </w:tcPr>
          <w:p w14:paraId="21B336A0" w14:textId="77777777" w:rsidR="008A1E55" w:rsidRPr="006B42D6" w:rsidRDefault="008A1E55" w:rsidP="00E16CAE">
            <w:pPr>
              <w:jc w:val="right"/>
              <w:rPr>
                <w:sz w:val="16"/>
                <w:szCs w:val="16"/>
              </w:rPr>
            </w:pPr>
            <w:r w:rsidRPr="006B42D6">
              <w:rPr>
                <w:sz w:val="16"/>
                <w:szCs w:val="16"/>
              </w:rPr>
              <w:t>3.7</w:t>
            </w:r>
          </w:p>
        </w:tc>
        <w:tc>
          <w:tcPr>
            <w:tcW w:w="880" w:type="dxa"/>
            <w:tcBorders>
              <w:top w:val="nil"/>
              <w:left w:val="nil"/>
              <w:bottom w:val="nil"/>
              <w:right w:val="nil"/>
            </w:tcBorders>
            <w:shd w:val="clear" w:color="auto" w:fill="auto"/>
            <w:noWrap/>
            <w:vAlign w:val="center"/>
            <w:hideMark/>
          </w:tcPr>
          <w:p w14:paraId="73435916" w14:textId="77777777" w:rsidR="008A1E55" w:rsidRPr="006B42D6" w:rsidRDefault="008A1E55" w:rsidP="00E16CAE">
            <w:pPr>
              <w:jc w:val="right"/>
              <w:rPr>
                <w:sz w:val="16"/>
                <w:szCs w:val="16"/>
              </w:rPr>
            </w:pPr>
            <w:r w:rsidRPr="006B42D6">
              <w:rPr>
                <w:sz w:val="16"/>
                <w:szCs w:val="16"/>
              </w:rPr>
              <w:t>-</w:t>
            </w:r>
          </w:p>
        </w:tc>
        <w:tc>
          <w:tcPr>
            <w:tcW w:w="700" w:type="dxa"/>
            <w:tcBorders>
              <w:top w:val="nil"/>
              <w:left w:val="nil"/>
              <w:bottom w:val="nil"/>
              <w:right w:val="nil"/>
            </w:tcBorders>
            <w:shd w:val="clear" w:color="auto" w:fill="auto"/>
            <w:noWrap/>
            <w:vAlign w:val="center"/>
            <w:hideMark/>
          </w:tcPr>
          <w:p w14:paraId="79BD8D56" w14:textId="77777777" w:rsidR="008A1E55" w:rsidRPr="006B42D6" w:rsidRDefault="008A1E55" w:rsidP="00E16CAE">
            <w:pPr>
              <w:jc w:val="right"/>
              <w:rPr>
                <w:sz w:val="16"/>
                <w:szCs w:val="16"/>
              </w:rPr>
            </w:pPr>
            <w:r w:rsidRPr="006B42D6">
              <w:rPr>
                <w:sz w:val="16"/>
                <w:szCs w:val="16"/>
              </w:rPr>
              <w:t>2.2</w:t>
            </w:r>
          </w:p>
        </w:tc>
      </w:tr>
      <w:tr w:rsidR="006B42D6" w:rsidRPr="006B42D6" w14:paraId="4F4BD3ED" w14:textId="77777777" w:rsidTr="00E16CAE">
        <w:trPr>
          <w:trHeight w:val="283"/>
        </w:trPr>
        <w:tc>
          <w:tcPr>
            <w:tcW w:w="1680" w:type="dxa"/>
            <w:tcBorders>
              <w:top w:val="nil"/>
              <w:left w:val="nil"/>
              <w:bottom w:val="nil"/>
              <w:right w:val="nil"/>
            </w:tcBorders>
            <w:shd w:val="clear" w:color="auto" w:fill="auto"/>
            <w:noWrap/>
            <w:vAlign w:val="center"/>
            <w:hideMark/>
          </w:tcPr>
          <w:p w14:paraId="032A29ED" w14:textId="77777777" w:rsidR="008A1E55" w:rsidRPr="006B42D6" w:rsidRDefault="008A1E55" w:rsidP="00E16CAE">
            <w:pPr>
              <w:rPr>
                <w:sz w:val="16"/>
                <w:szCs w:val="16"/>
              </w:rPr>
            </w:pPr>
            <w:r w:rsidRPr="006B42D6">
              <w:rPr>
                <w:sz w:val="16"/>
                <w:szCs w:val="16"/>
              </w:rPr>
              <w:t>Dar-es-salaam</w:t>
            </w:r>
          </w:p>
        </w:tc>
        <w:tc>
          <w:tcPr>
            <w:tcW w:w="700" w:type="dxa"/>
            <w:tcBorders>
              <w:top w:val="nil"/>
              <w:left w:val="nil"/>
              <w:bottom w:val="nil"/>
              <w:right w:val="nil"/>
            </w:tcBorders>
            <w:shd w:val="clear" w:color="auto" w:fill="auto"/>
            <w:noWrap/>
            <w:vAlign w:val="center"/>
            <w:hideMark/>
          </w:tcPr>
          <w:p w14:paraId="03971F93" w14:textId="77777777" w:rsidR="008A1E55" w:rsidRPr="006B42D6" w:rsidRDefault="008A1E55" w:rsidP="00E16CAE">
            <w:pPr>
              <w:jc w:val="right"/>
              <w:rPr>
                <w:sz w:val="16"/>
                <w:szCs w:val="16"/>
              </w:rPr>
            </w:pPr>
            <w:r w:rsidRPr="006B42D6">
              <w:rPr>
                <w:sz w:val="16"/>
                <w:szCs w:val="16"/>
              </w:rPr>
              <w:t>-</w:t>
            </w:r>
          </w:p>
        </w:tc>
        <w:tc>
          <w:tcPr>
            <w:tcW w:w="980" w:type="dxa"/>
            <w:tcBorders>
              <w:top w:val="nil"/>
              <w:left w:val="nil"/>
              <w:bottom w:val="nil"/>
              <w:right w:val="nil"/>
            </w:tcBorders>
            <w:shd w:val="clear" w:color="auto" w:fill="auto"/>
            <w:noWrap/>
            <w:vAlign w:val="center"/>
            <w:hideMark/>
          </w:tcPr>
          <w:p w14:paraId="57A2FFE7" w14:textId="77777777" w:rsidR="008A1E55" w:rsidRPr="006B42D6" w:rsidRDefault="008A1E55" w:rsidP="00E16CAE">
            <w:pPr>
              <w:jc w:val="right"/>
              <w:rPr>
                <w:sz w:val="16"/>
                <w:szCs w:val="16"/>
              </w:rPr>
            </w:pPr>
            <w:r w:rsidRPr="006B42D6">
              <w:rPr>
                <w:sz w:val="16"/>
                <w:szCs w:val="16"/>
              </w:rPr>
              <w:t>1.1</w:t>
            </w:r>
          </w:p>
        </w:tc>
        <w:tc>
          <w:tcPr>
            <w:tcW w:w="920" w:type="dxa"/>
            <w:tcBorders>
              <w:top w:val="nil"/>
              <w:left w:val="nil"/>
              <w:bottom w:val="nil"/>
              <w:right w:val="nil"/>
            </w:tcBorders>
            <w:shd w:val="clear" w:color="auto" w:fill="auto"/>
            <w:noWrap/>
            <w:vAlign w:val="center"/>
            <w:hideMark/>
          </w:tcPr>
          <w:p w14:paraId="234025EA" w14:textId="77777777" w:rsidR="008A1E55" w:rsidRPr="006B42D6" w:rsidRDefault="008A1E55" w:rsidP="00E16CAE">
            <w:pPr>
              <w:jc w:val="right"/>
              <w:rPr>
                <w:sz w:val="16"/>
                <w:szCs w:val="16"/>
              </w:rPr>
            </w:pPr>
            <w:r w:rsidRPr="006B42D6">
              <w:rPr>
                <w:sz w:val="16"/>
                <w:szCs w:val="16"/>
              </w:rPr>
              <w:t>4.2</w:t>
            </w:r>
          </w:p>
        </w:tc>
        <w:tc>
          <w:tcPr>
            <w:tcW w:w="880" w:type="dxa"/>
            <w:tcBorders>
              <w:top w:val="nil"/>
              <w:left w:val="nil"/>
              <w:bottom w:val="nil"/>
              <w:right w:val="nil"/>
            </w:tcBorders>
            <w:shd w:val="clear" w:color="auto" w:fill="auto"/>
            <w:noWrap/>
            <w:vAlign w:val="center"/>
            <w:hideMark/>
          </w:tcPr>
          <w:p w14:paraId="6EFB46DD" w14:textId="77777777" w:rsidR="008A1E55" w:rsidRPr="006B42D6" w:rsidRDefault="008A1E55" w:rsidP="00E16CAE">
            <w:pPr>
              <w:jc w:val="right"/>
              <w:rPr>
                <w:sz w:val="16"/>
                <w:szCs w:val="16"/>
              </w:rPr>
            </w:pPr>
            <w:r w:rsidRPr="006B42D6">
              <w:rPr>
                <w:sz w:val="16"/>
                <w:szCs w:val="16"/>
              </w:rPr>
              <w:t>0.1</w:t>
            </w:r>
          </w:p>
        </w:tc>
        <w:tc>
          <w:tcPr>
            <w:tcW w:w="940" w:type="dxa"/>
            <w:tcBorders>
              <w:top w:val="nil"/>
              <w:left w:val="nil"/>
              <w:bottom w:val="nil"/>
              <w:right w:val="nil"/>
            </w:tcBorders>
            <w:shd w:val="clear" w:color="auto" w:fill="auto"/>
            <w:noWrap/>
            <w:vAlign w:val="center"/>
            <w:hideMark/>
          </w:tcPr>
          <w:p w14:paraId="38DA89B7" w14:textId="77777777" w:rsidR="008A1E55" w:rsidRPr="006B42D6" w:rsidRDefault="008A1E55" w:rsidP="00E16CAE">
            <w:pPr>
              <w:jc w:val="right"/>
              <w:rPr>
                <w:sz w:val="16"/>
                <w:szCs w:val="16"/>
              </w:rPr>
            </w:pPr>
            <w:r w:rsidRPr="006B42D6">
              <w:rPr>
                <w:sz w:val="16"/>
                <w:szCs w:val="16"/>
              </w:rPr>
              <w:t>-</w:t>
            </w:r>
          </w:p>
        </w:tc>
        <w:tc>
          <w:tcPr>
            <w:tcW w:w="1040" w:type="dxa"/>
            <w:tcBorders>
              <w:top w:val="nil"/>
              <w:left w:val="nil"/>
              <w:bottom w:val="nil"/>
              <w:right w:val="nil"/>
            </w:tcBorders>
            <w:shd w:val="clear" w:color="auto" w:fill="auto"/>
            <w:noWrap/>
            <w:vAlign w:val="center"/>
            <w:hideMark/>
          </w:tcPr>
          <w:p w14:paraId="32E20E05" w14:textId="77777777" w:rsidR="008A1E55" w:rsidRPr="006B42D6" w:rsidRDefault="008A1E55" w:rsidP="00E16CAE">
            <w:pPr>
              <w:jc w:val="right"/>
              <w:rPr>
                <w:sz w:val="16"/>
                <w:szCs w:val="16"/>
              </w:rPr>
            </w:pPr>
            <w:r w:rsidRPr="006B42D6">
              <w:rPr>
                <w:sz w:val="16"/>
                <w:szCs w:val="16"/>
              </w:rPr>
              <w:t>34.9</w:t>
            </w:r>
          </w:p>
        </w:tc>
        <w:tc>
          <w:tcPr>
            <w:tcW w:w="700" w:type="dxa"/>
            <w:tcBorders>
              <w:top w:val="nil"/>
              <w:left w:val="nil"/>
              <w:bottom w:val="nil"/>
              <w:right w:val="nil"/>
            </w:tcBorders>
            <w:shd w:val="clear" w:color="auto" w:fill="auto"/>
            <w:noWrap/>
            <w:vAlign w:val="center"/>
            <w:hideMark/>
          </w:tcPr>
          <w:p w14:paraId="254095CF" w14:textId="77777777" w:rsidR="008A1E55" w:rsidRPr="006B42D6" w:rsidRDefault="008A1E55" w:rsidP="00E16CAE">
            <w:pPr>
              <w:jc w:val="right"/>
              <w:rPr>
                <w:sz w:val="16"/>
                <w:szCs w:val="16"/>
              </w:rPr>
            </w:pPr>
            <w:r w:rsidRPr="006B42D6">
              <w:rPr>
                <w:sz w:val="16"/>
                <w:szCs w:val="16"/>
              </w:rPr>
              <w:t>29.5</w:t>
            </w:r>
          </w:p>
        </w:tc>
        <w:tc>
          <w:tcPr>
            <w:tcW w:w="880" w:type="dxa"/>
            <w:tcBorders>
              <w:top w:val="nil"/>
              <w:left w:val="nil"/>
              <w:bottom w:val="nil"/>
              <w:right w:val="nil"/>
            </w:tcBorders>
            <w:shd w:val="clear" w:color="auto" w:fill="auto"/>
            <w:noWrap/>
            <w:vAlign w:val="center"/>
            <w:hideMark/>
          </w:tcPr>
          <w:p w14:paraId="39BFDE52" w14:textId="77777777" w:rsidR="008A1E55" w:rsidRPr="006B42D6" w:rsidRDefault="008A1E55" w:rsidP="00E16CAE">
            <w:pPr>
              <w:jc w:val="right"/>
              <w:rPr>
                <w:sz w:val="16"/>
                <w:szCs w:val="16"/>
              </w:rPr>
            </w:pPr>
            <w:r w:rsidRPr="006B42D6">
              <w:rPr>
                <w:sz w:val="16"/>
                <w:szCs w:val="16"/>
              </w:rPr>
              <w:t>14.8</w:t>
            </w:r>
          </w:p>
        </w:tc>
        <w:tc>
          <w:tcPr>
            <w:tcW w:w="700" w:type="dxa"/>
            <w:tcBorders>
              <w:top w:val="nil"/>
              <w:left w:val="nil"/>
              <w:bottom w:val="nil"/>
              <w:right w:val="nil"/>
            </w:tcBorders>
            <w:shd w:val="clear" w:color="auto" w:fill="auto"/>
            <w:noWrap/>
            <w:vAlign w:val="center"/>
            <w:hideMark/>
          </w:tcPr>
          <w:p w14:paraId="10C0CB81" w14:textId="77777777" w:rsidR="008A1E55" w:rsidRPr="006B42D6" w:rsidRDefault="008A1E55" w:rsidP="00E16CAE">
            <w:pPr>
              <w:jc w:val="right"/>
              <w:rPr>
                <w:sz w:val="16"/>
                <w:szCs w:val="16"/>
              </w:rPr>
            </w:pPr>
            <w:r w:rsidRPr="006B42D6">
              <w:rPr>
                <w:sz w:val="16"/>
                <w:szCs w:val="16"/>
              </w:rPr>
              <w:t>1.9</w:t>
            </w:r>
          </w:p>
        </w:tc>
      </w:tr>
      <w:tr w:rsidR="006B42D6" w:rsidRPr="006B42D6" w14:paraId="1F768B0B" w14:textId="77777777" w:rsidTr="00E16CAE">
        <w:trPr>
          <w:trHeight w:val="283"/>
        </w:trPr>
        <w:tc>
          <w:tcPr>
            <w:tcW w:w="1680" w:type="dxa"/>
            <w:tcBorders>
              <w:top w:val="nil"/>
              <w:left w:val="nil"/>
              <w:bottom w:val="nil"/>
              <w:right w:val="nil"/>
            </w:tcBorders>
            <w:shd w:val="clear" w:color="auto" w:fill="auto"/>
            <w:noWrap/>
            <w:vAlign w:val="center"/>
            <w:hideMark/>
          </w:tcPr>
          <w:p w14:paraId="2B0E108D" w14:textId="77777777" w:rsidR="008A1E55" w:rsidRPr="006B42D6" w:rsidRDefault="008A1E55" w:rsidP="00E16CAE">
            <w:pPr>
              <w:rPr>
                <w:sz w:val="16"/>
                <w:szCs w:val="16"/>
              </w:rPr>
            </w:pPr>
            <w:r w:rsidRPr="006B42D6">
              <w:rPr>
                <w:sz w:val="16"/>
                <w:szCs w:val="16"/>
              </w:rPr>
              <w:t>Lindi</w:t>
            </w:r>
          </w:p>
        </w:tc>
        <w:tc>
          <w:tcPr>
            <w:tcW w:w="700" w:type="dxa"/>
            <w:tcBorders>
              <w:top w:val="nil"/>
              <w:left w:val="nil"/>
              <w:bottom w:val="nil"/>
              <w:right w:val="nil"/>
            </w:tcBorders>
            <w:shd w:val="clear" w:color="auto" w:fill="auto"/>
            <w:noWrap/>
            <w:vAlign w:val="center"/>
            <w:hideMark/>
          </w:tcPr>
          <w:p w14:paraId="559DC8D0" w14:textId="77777777" w:rsidR="008A1E55" w:rsidRPr="006B42D6" w:rsidRDefault="008A1E55" w:rsidP="00E16CAE">
            <w:pPr>
              <w:jc w:val="right"/>
              <w:rPr>
                <w:sz w:val="16"/>
                <w:szCs w:val="16"/>
              </w:rPr>
            </w:pPr>
            <w:r w:rsidRPr="006B42D6">
              <w:rPr>
                <w:sz w:val="16"/>
                <w:szCs w:val="16"/>
              </w:rPr>
              <w:t>4.3</w:t>
            </w:r>
          </w:p>
        </w:tc>
        <w:tc>
          <w:tcPr>
            <w:tcW w:w="980" w:type="dxa"/>
            <w:tcBorders>
              <w:top w:val="nil"/>
              <w:left w:val="nil"/>
              <w:bottom w:val="nil"/>
              <w:right w:val="nil"/>
            </w:tcBorders>
            <w:shd w:val="clear" w:color="auto" w:fill="auto"/>
            <w:noWrap/>
            <w:vAlign w:val="center"/>
            <w:hideMark/>
          </w:tcPr>
          <w:p w14:paraId="212DBA5E" w14:textId="77777777" w:rsidR="008A1E55" w:rsidRPr="006B42D6" w:rsidRDefault="008A1E55" w:rsidP="00E16CAE">
            <w:pPr>
              <w:jc w:val="right"/>
              <w:rPr>
                <w:sz w:val="16"/>
                <w:szCs w:val="16"/>
              </w:rPr>
            </w:pPr>
            <w:r w:rsidRPr="006B42D6">
              <w:rPr>
                <w:sz w:val="16"/>
                <w:szCs w:val="16"/>
              </w:rPr>
              <w:t>7.2</w:t>
            </w:r>
          </w:p>
        </w:tc>
        <w:tc>
          <w:tcPr>
            <w:tcW w:w="920" w:type="dxa"/>
            <w:tcBorders>
              <w:top w:val="nil"/>
              <w:left w:val="nil"/>
              <w:bottom w:val="nil"/>
              <w:right w:val="nil"/>
            </w:tcBorders>
            <w:shd w:val="clear" w:color="auto" w:fill="auto"/>
            <w:noWrap/>
            <w:vAlign w:val="center"/>
            <w:hideMark/>
          </w:tcPr>
          <w:p w14:paraId="725363B7" w14:textId="77777777" w:rsidR="008A1E55" w:rsidRPr="006B42D6" w:rsidRDefault="008A1E55" w:rsidP="00E16CAE">
            <w:pPr>
              <w:jc w:val="right"/>
              <w:rPr>
                <w:sz w:val="16"/>
                <w:szCs w:val="16"/>
              </w:rPr>
            </w:pPr>
            <w:r w:rsidRPr="006B42D6">
              <w:rPr>
                <w:sz w:val="16"/>
                <w:szCs w:val="16"/>
              </w:rPr>
              <w:t>1.7</w:t>
            </w:r>
          </w:p>
        </w:tc>
        <w:tc>
          <w:tcPr>
            <w:tcW w:w="880" w:type="dxa"/>
            <w:tcBorders>
              <w:top w:val="nil"/>
              <w:left w:val="nil"/>
              <w:bottom w:val="nil"/>
              <w:right w:val="nil"/>
            </w:tcBorders>
            <w:shd w:val="clear" w:color="auto" w:fill="auto"/>
            <w:noWrap/>
            <w:vAlign w:val="center"/>
            <w:hideMark/>
          </w:tcPr>
          <w:p w14:paraId="04254CD5" w14:textId="77777777" w:rsidR="008A1E55" w:rsidRPr="006B42D6" w:rsidRDefault="008A1E55" w:rsidP="00E16CAE">
            <w:pPr>
              <w:jc w:val="right"/>
              <w:rPr>
                <w:sz w:val="16"/>
                <w:szCs w:val="16"/>
              </w:rPr>
            </w:pPr>
            <w:r w:rsidRPr="006B42D6">
              <w:rPr>
                <w:sz w:val="16"/>
                <w:szCs w:val="16"/>
              </w:rPr>
              <w:t>2.3</w:t>
            </w:r>
          </w:p>
        </w:tc>
        <w:tc>
          <w:tcPr>
            <w:tcW w:w="940" w:type="dxa"/>
            <w:tcBorders>
              <w:top w:val="nil"/>
              <w:left w:val="nil"/>
              <w:bottom w:val="nil"/>
              <w:right w:val="nil"/>
            </w:tcBorders>
            <w:shd w:val="clear" w:color="auto" w:fill="auto"/>
            <w:noWrap/>
            <w:vAlign w:val="center"/>
            <w:hideMark/>
          </w:tcPr>
          <w:p w14:paraId="260149D8" w14:textId="77777777" w:rsidR="008A1E55" w:rsidRPr="006B42D6" w:rsidRDefault="008A1E55" w:rsidP="00E16CAE">
            <w:pPr>
              <w:jc w:val="right"/>
              <w:rPr>
                <w:sz w:val="16"/>
                <w:szCs w:val="16"/>
              </w:rPr>
            </w:pPr>
            <w:r w:rsidRPr="006B42D6">
              <w:rPr>
                <w:sz w:val="16"/>
                <w:szCs w:val="16"/>
              </w:rPr>
              <w:t>-</w:t>
            </w:r>
          </w:p>
        </w:tc>
        <w:tc>
          <w:tcPr>
            <w:tcW w:w="1040" w:type="dxa"/>
            <w:tcBorders>
              <w:top w:val="nil"/>
              <w:left w:val="nil"/>
              <w:bottom w:val="nil"/>
              <w:right w:val="nil"/>
            </w:tcBorders>
            <w:shd w:val="clear" w:color="auto" w:fill="auto"/>
            <w:noWrap/>
            <w:vAlign w:val="center"/>
            <w:hideMark/>
          </w:tcPr>
          <w:p w14:paraId="1A7A9B5E" w14:textId="77777777" w:rsidR="008A1E55" w:rsidRPr="006B42D6" w:rsidRDefault="008A1E55" w:rsidP="00E16CAE">
            <w:pPr>
              <w:jc w:val="right"/>
              <w:rPr>
                <w:sz w:val="16"/>
                <w:szCs w:val="16"/>
              </w:rPr>
            </w:pPr>
            <w:r w:rsidRPr="006B42D6">
              <w:rPr>
                <w:sz w:val="16"/>
                <w:szCs w:val="16"/>
              </w:rPr>
              <w:t>1.1</w:t>
            </w:r>
          </w:p>
        </w:tc>
        <w:tc>
          <w:tcPr>
            <w:tcW w:w="700" w:type="dxa"/>
            <w:tcBorders>
              <w:top w:val="nil"/>
              <w:left w:val="nil"/>
              <w:bottom w:val="nil"/>
              <w:right w:val="nil"/>
            </w:tcBorders>
            <w:shd w:val="clear" w:color="auto" w:fill="auto"/>
            <w:noWrap/>
            <w:vAlign w:val="center"/>
            <w:hideMark/>
          </w:tcPr>
          <w:p w14:paraId="6CA72BF4" w14:textId="77777777" w:rsidR="008A1E55" w:rsidRPr="006B42D6" w:rsidRDefault="008A1E55" w:rsidP="00E16CAE">
            <w:pPr>
              <w:jc w:val="right"/>
              <w:rPr>
                <w:sz w:val="16"/>
                <w:szCs w:val="16"/>
              </w:rPr>
            </w:pPr>
            <w:r w:rsidRPr="006B42D6">
              <w:rPr>
                <w:sz w:val="16"/>
                <w:szCs w:val="16"/>
              </w:rPr>
              <w:t>12.8</w:t>
            </w:r>
          </w:p>
        </w:tc>
        <w:tc>
          <w:tcPr>
            <w:tcW w:w="880" w:type="dxa"/>
            <w:tcBorders>
              <w:top w:val="nil"/>
              <w:left w:val="nil"/>
              <w:bottom w:val="nil"/>
              <w:right w:val="nil"/>
            </w:tcBorders>
            <w:shd w:val="clear" w:color="auto" w:fill="auto"/>
            <w:noWrap/>
            <w:vAlign w:val="center"/>
            <w:hideMark/>
          </w:tcPr>
          <w:p w14:paraId="644E226E" w14:textId="77777777" w:rsidR="008A1E55" w:rsidRPr="006B42D6" w:rsidRDefault="008A1E55" w:rsidP="00E16CAE">
            <w:pPr>
              <w:jc w:val="right"/>
              <w:rPr>
                <w:sz w:val="16"/>
                <w:szCs w:val="16"/>
              </w:rPr>
            </w:pPr>
            <w:r w:rsidRPr="006B42D6">
              <w:rPr>
                <w:sz w:val="16"/>
                <w:szCs w:val="16"/>
              </w:rPr>
              <w:t>1.7</w:t>
            </w:r>
          </w:p>
        </w:tc>
        <w:tc>
          <w:tcPr>
            <w:tcW w:w="700" w:type="dxa"/>
            <w:tcBorders>
              <w:top w:val="nil"/>
              <w:left w:val="nil"/>
              <w:bottom w:val="nil"/>
              <w:right w:val="nil"/>
            </w:tcBorders>
            <w:shd w:val="clear" w:color="auto" w:fill="auto"/>
            <w:noWrap/>
            <w:vAlign w:val="center"/>
            <w:hideMark/>
          </w:tcPr>
          <w:p w14:paraId="248BBA4B" w14:textId="77777777" w:rsidR="008A1E55" w:rsidRPr="006B42D6" w:rsidRDefault="008A1E55" w:rsidP="00E16CAE">
            <w:pPr>
              <w:jc w:val="right"/>
              <w:rPr>
                <w:sz w:val="16"/>
                <w:szCs w:val="16"/>
              </w:rPr>
            </w:pPr>
            <w:r w:rsidRPr="006B42D6">
              <w:rPr>
                <w:sz w:val="16"/>
                <w:szCs w:val="16"/>
              </w:rPr>
              <w:t>0.6</w:t>
            </w:r>
          </w:p>
        </w:tc>
      </w:tr>
      <w:tr w:rsidR="006B42D6" w:rsidRPr="006B42D6" w14:paraId="18E7923B" w14:textId="77777777" w:rsidTr="00E16CAE">
        <w:trPr>
          <w:trHeight w:val="283"/>
        </w:trPr>
        <w:tc>
          <w:tcPr>
            <w:tcW w:w="1680" w:type="dxa"/>
            <w:tcBorders>
              <w:top w:val="nil"/>
              <w:left w:val="nil"/>
              <w:bottom w:val="nil"/>
              <w:right w:val="nil"/>
            </w:tcBorders>
            <w:shd w:val="clear" w:color="auto" w:fill="auto"/>
            <w:noWrap/>
            <w:vAlign w:val="center"/>
            <w:hideMark/>
          </w:tcPr>
          <w:p w14:paraId="21C0D687" w14:textId="77777777" w:rsidR="008A1E55" w:rsidRPr="006B42D6" w:rsidRDefault="008A1E55" w:rsidP="00E16CAE">
            <w:pPr>
              <w:rPr>
                <w:sz w:val="16"/>
                <w:szCs w:val="16"/>
              </w:rPr>
            </w:pPr>
            <w:r w:rsidRPr="006B42D6">
              <w:rPr>
                <w:sz w:val="16"/>
                <w:szCs w:val="16"/>
              </w:rPr>
              <w:t>Mtwara</w:t>
            </w:r>
          </w:p>
        </w:tc>
        <w:tc>
          <w:tcPr>
            <w:tcW w:w="700" w:type="dxa"/>
            <w:tcBorders>
              <w:top w:val="nil"/>
              <w:left w:val="nil"/>
              <w:bottom w:val="nil"/>
              <w:right w:val="nil"/>
            </w:tcBorders>
            <w:shd w:val="clear" w:color="auto" w:fill="auto"/>
            <w:noWrap/>
            <w:vAlign w:val="center"/>
            <w:hideMark/>
          </w:tcPr>
          <w:p w14:paraId="7DF2AEFD" w14:textId="77777777" w:rsidR="008A1E55" w:rsidRPr="006B42D6" w:rsidRDefault="008A1E55" w:rsidP="00E16CAE">
            <w:pPr>
              <w:jc w:val="right"/>
              <w:rPr>
                <w:sz w:val="16"/>
                <w:szCs w:val="16"/>
              </w:rPr>
            </w:pPr>
            <w:r w:rsidRPr="006B42D6">
              <w:rPr>
                <w:sz w:val="16"/>
                <w:szCs w:val="16"/>
              </w:rPr>
              <w:t>1.5</w:t>
            </w:r>
          </w:p>
        </w:tc>
        <w:tc>
          <w:tcPr>
            <w:tcW w:w="980" w:type="dxa"/>
            <w:tcBorders>
              <w:top w:val="nil"/>
              <w:left w:val="nil"/>
              <w:bottom w:val="nil"/>
              <w:right w:val="nil"/>
            </w:tcBorders>
            <w:shd w:val="clear" w:color="auto" w:fill="auto"/>
            <w:noWrap/>
            <w:vAlign w:val="center"/>
            <w:hideMark/>
          </w:tcPr>
          <w:p w14:paraId="623017B8" w14:textId="77777777" w:rsidR="008A1E55" w:rsidRPr="006B42D6" w:rsidRDefault="008A1E55" w:rsidP="00E16CAE">
            <w:pPr>
              <w:jc w:val="right"/>
              <w:rPr>
                <w:sz w:val="16"/>
                <w:szCs w:val="16"/>
              </w:rPr>
            </w:pPr>
            <w:r w:rsidRPr="006B42D6">
              <w:rPr>
                <w:sz w:val="16"/>
                <w:szCs w:val="16"/>
              </w:rPr>
              <w:t>7.0</w:t>
            </w:r>
          </w:p>
        </w:tc>
        <w:tc>
          <w:tcPr>
            <w:tcW w:w="920" w:type="dxa"/>
            <w:tcBorders>
              <w:top w:val="nil"/>
              <w:left w:val="nil"/>
              <w:bottom w:val="nil"/>
              <w:right w:val="nil"/>
            </w:tcBorders>
            <w:shd w:val="clear" w:color="auto" w:fill="auto"/>
            <w:noWrap/>
            <w:vAlign w:val="center"/>
            <w:hideMark/>
          </w:tcPr>
          <w:p w14:paraId="6A0AD8C4" w14:textId="77777777" w:rsidR="008A1E55" w:rsidRPr="006B42D6" w:rsidRDefault="008A1E55" w:rsidP="00E16CAE">
            <w:pPr>
              <w:jc w:val="right"/>
              <w:rPr>
                <w:sz w:val="16"/>
                <w:szCs w:val="16"/>
              </w:rPr>
            </w:pPr>
            <w:r w:rsidRPr="006B42D6">
              <w:rPr>
                <w:sz w:val="16"/>
                <w:szCs w:val="16"/>
              </w:rPr>
              <w:t>5.1</w:t>
            </w:r>
          </w:p>
        </w:tc>
        <w:tc>
          <w:tcPr>
            <w:tcW w:w="880" w:type="dxa"/>
            <w:tcBorders>
              <w:top w:val="nil"/>
              <w:left w:val="nil"/>
              <w:bottom w:val="nil"/>
              <w:right w:val="nil"/>
            </w:tcBorders>
            <w:shd w:val="clear" w:color="auto" w:fill="auto"/>
            <w:noWrap/>
            <w:vAlign w:val="center"/>
            <w:hideMark/>
          </w:tcPr>
          <w:p w14:paraId="3D2AB8C3" w14:textId="77777777" w:rsidR="008A1E55" w:rsidRPr="006B42D6" w:rsidRDefault="008A1E55" w:rsidP="00E16CAE">
            <w:pPr>
              <w:jc w:val="right"/>
              <w:rPr>
                <w:sz w:val="16"/>
                <w:szCs w:val="16"/>
              </w:rPr>
            </w:pPr>
            <w:r w:rsidRPr="006B42D6">
              <w:rPr>
                <w:sz w:val="16"/>
                <w:szCs w:val="16"/>
              </w:rPr>
              <w:t>2.1</w:t>
            </w:r>
          </w:p>
        </w:tc>
        <w:tc>
          <w:tcPr>
            <w:tcW w:w="940" w:type="dxa"/>
            <w:tcBorders>
              <w:top w:val="nil"/>
              <w:left w:val="nil"/>
              <w:bottom w:val="nil"/>
              <w:right w:val="nil"/>
            </w:tcBorders>
            <w:shd w:val="clear" w:color="auto" w:fill="auto"/>
            <w:noWrap/>
            <w:vAlign w:val="center"/>
            <w:hideMark/>
          </w:tcPr>
          <w:p w14:paraId="2AFED759" w14:textId="77777777" w:rsidR="008A1E55" w:rsidRPr="006B42D6" w:rsidRDefault="008A1E55" w:rsidP="00E16CAE">
            <w:pPr>
              <w:jc w:val="right"/>
              <w:rPr>
                <w:sz w:val="16"/>
                <w:szCs w:val="16"/>
              </w:rPr>
            </w:pPr>
            <w:r w:rsidRPr="006B42D6">
              <w:rPr>
                <w:sz w:val="16"/>
                <w:szCs w:val="16"/>
              </w:rPr>
              <w:t>-</w:t>
            </w:r>
          </w:p>
        </w:tc>
        <w:tc>
          <w:tcPr>
            <w:tcW w:w="1040" w:type="dxa"/>
            <w:tcBorders>
              <w:top w:val="nil"/>
              <w:left w:val="nil"/>
              <w:bottom w:val="nil"/>
              <w:right w:val="nil"/>
            </w:tcBorders>
            <w:shd w:val="clear" w:color="auto" w:fill="auto"/>
            <w:noWrap/>
            <w:vAlign w:val="center"/>
            <w:hideMark/>
          </w:tcPr>
          <w:p w14:paraId="0D984841" w14:textId="77777777" w:rsidR="008A1E55" w:rsidRPr="006B42D6" w:rsidRDefault="008A1E55" w:rsidP="00E16CAE">
            <w:pPr>
              <w:jc w:val="right"/>
              <w:rPr>
                <w:sz w:val="16"/>
                <w:szCs w:val="16"/>
              </w:rPr>
            </w:pPr>
            <w:r w:rsidRPr="006B42D6">
              <w:rPr>
                <w:sz w:val="16"/>
                <w:szCs w:val="16"/>
              </w:rPr>
              <w:t>3.9</w:t>
            </w:r>
          </w:p>
        </w:tc>
        <w:tc>
          <w:tcPr>
            <w:tcW w:w="700" w:type="dxa"/>
            <w:tcBorders>
              <w:top w:val="nil"/>
              <w:left w:val="nil"/>
              <w:bottom w:val="nil"/>
              <w:right w:val="nil"/>
            </w:tcBorders>
            <w:shd w:val="clear" w:color="auto" w:fill="auto"/>
            <w:noWrap/>
            <w:vAlign w:val="center"/>
            <w:hideMark/>
          </w:tcPr>
          <w:p w14:paraId="26188DB4" w14:textId="77777777" w:rsidR="008A1E55" w:rsidRPr="006B42D6" w:rsidRDefault="008A1E55" w:rsidP="00E16CAE">
            <w:pPr>
              <w:jc w:val="right"/>
              <w:rPr>
                <w:sz w:val="16"/>
                <w:szCs w:val="16"/>
              </w:rPr>
            </w:pPr>
            <w:r w:rsidRPr="006B42D6">
              <w:rPr>
                <w:sz w:val="16"/>
                <w:szCs w:val="16"/>
              </w:rPr>
              <w:t>9.2</w:t>
            </w:r>
          </w:p>
        </w:tc>
        <w:tc>
          <w:tcPr>
            <w:tcW w:w="880" w:type="dxa"/>
            <w:tcBorders>
              <w:top w:val="nil"/>
              <w:left w:val="nil"/>
              <w:bottom w:val="nil"/>
              <w:right w:val="nil"/>
            </w:tcBorders>
            <w:shd w:val="clear" w:color="auto" w:fill="auto"/>
            <w:noWrap/>
            <w:vAlign w:val="center"/>
            <w:hideMark/>
          </w:tcPr>
          <w:p w14:paraId="1700ECB0" w14:textId="77777777" w:rsidR="008A1E55" w:rsidRPr="006B42D6" w:rsidRDefault="008A1E55" w:rsidP="00E16CAE">
            <w:pPr>
              <w:jc w:val="right"/>
              <w:rPr>
                <w:sz w:val="16"/>
                <w:szCs w:val="16"/>
              </w:rPr>
            </w:pPr>
            <w:r w:rsidRPr="006B42D6">
              <w:rPr>
                <w:sz w:val="16"/>
                <w:szCs w:val="16"/>
              </w:rPr>
              <w:t>1.0</w:t>
            </w:r>
          </w:p>
        </w:tc>
        <w:tc>
          <w:tcPr>
            <w:tcW w:w="700" w:type="dxa"/>
            <w:tcBorders>
              <w:top w:val="nil"/>
              <w:left w:val="nil"/>
              <w:bottom w:val="nil"/>
              <w:right w:val="nil"/>
            </w:tcBorders>
            <w:shd w:val="clear" w:color="auto" w:fill="auto"/>
            <w:noWrap/>
            <w:vAlign w:val="center"/>
            <w:hideMark/>
          </w:tcPr>
          <w:p w14:paraId="1984DB8E" w14:textId="77777777" w:rsidR="008A1E55" w:rsidRPr="006B42D6" w:rsidRDefault="008A1E55" w:rsidP="00E16CAE">
            <w:pPr>
              <w:jc w:val="right"/>
              <w:rPr>
                <w:sz w:val="16"/>
                <w:szCs w:val="16"/>
              </w:rPr>
            </w:pPr>
            <w:r w:rsidRPr="006B42D6">
              <w:rPr>
                <w:sz w:val="16"/>
                <w:szCs w:val="16"/>
              </w:rPr>
              <w:t>0.6</w:t>
            </w:r>
          </w:p>
        </w:tc>
      </w:tr>
      <w:tr w:rsidR="006B42D6" w:rsidRPr="006B42D6" w14:paraId="3906D73F" w14:textId="77777777" w:rsidTr="00E16CAE">
        <w:trPr>
          <w:trHeight w:val="283"/>
        </w:trPr>
        <w:tc>
          <w:tcPr>
            <w:tcW w:w="1680" w:type="dxa"/>
            <w:tcBorders>
              <w:top w:val="nil"/>
              <w:left w:val="nil"/>
              <w:bottom w:val="nil"/>
              <w:right w:val="nil"/>
            </w:tcBorders>
            <w:shd w:val="clear" w:color="auto" w:fill="auto"/>
            <w:noWrap/>
            <w:vAlign w:val="center"/>
            <w:hideMark/>
          </w:tcPr>
          <w:p w14:paraId="06E1AB64" w14:textId="77777777" w:rsidR="008A1E55" w:rsidRPr="006B42D6" w:rsidRDefault="008A1E55" w:rsidP="00E16CAE">
            <w:pPr>
              <w:rPr>
                <w:sz w:val="16"/>
                <w:szCs w:val="16"/>
              </w:rPr>
            </w:pPr>
            <w:r w:rsidRPr="006B42D6">
              <w:rPr>
                <w:sz w:val="16"/>
                <w:szCs w:val="16"/>
              </w:rPr>
              <w:t>Ruvuma</w:t>
            </w:r>
          </w:p>
        </w:tc>
        <w:tc>
          <w:tcPr>
            <w:tcW w:w="700" w:type="dxa"/>
            <w:tcBorders>
              <w:top w:val="nil"/>
              <w:left w:val="nil"/>
              <w:bottom w:val="nil"/>
              <w:right w:val="nil"/>
            </w:tcBorders>
            <w:shd w:val="clear" w:color="auto" w:fill="auto"/>
            <w:noWrap/>
            <w:vAlign w:val="center"/>
            <w:hideMark/>
          </w:tcPr>
          <w:p w14:paraId="1A78D985" w14:textId="77777777" w:rsidR="008A1E55" w:rsidRPr="006B42D6" w:rsidRDefault="008A1E55" w:rsidP="00E16CAE">
            <w:pPr>
              <w:jc w:val="right"/>
              <w:rPr>
                <w:sz w:val="16"/>
                <w:szCs w:val="16"/>
              </w:rPr>
            </w:pPr>
            <w:r w:rsidRPr="006B42D6">
              <w:rPr>
                <w:sz w:val="16"/>
                <w:szCs w:val="16"/>
              </w:rPr>
              <w:t>4.6</w:t>
            </w:r>
          </w:p>
        </w:tc>
        <w:tc>
          <w:tcPr>
            <w:tcW w:w="980" w:type="dxa"/>
            <w:tcBorders>
              <w:top w:val="nil"/>
              <w:left w:val="nil"/>
              <w:bottom w:val="nil"/>
              <w:right w:val="nil"/>
            </w:tcBorders>
            <w:shd w:val="clear" w:color="auto" w:fill="auto"/>
            <w:noWrap/>
            <w:vAlign w:val="center"/>
            <w:hideMark/>
          </w:tcPr>
          <w:p w14:paraId="293D9404" w14:textId="77777777" w:rsidR="008A1E55" w:rsidRPr="006B42D6" w:rsidRDefault="008A1E55" w:rsidP="00E16CAE">
            <w:pPr>
              <w:jc w:val="right"/>
              <w:rPr>
                <w:sz w:val="16"/>
                <w:szCs w:val="16"/>
              </w:rPr>
            </w:pPr>
            <w:r w:rsidRPr="006B42D6">
              <w:rPr>
                <w:sz w:val="16"/>
                <w:szCs w:val="16"/>
              </w:rPr>
              <w:t>0.8</w:t>
            </w:r>
          </w:p>
        </w:tc>
        <w:tc>
          <w:tcPr>
            <w:tcW w:w="920" w:type="dxa"/>
            <w:tcBorders>
              <w:top w:val="nil"/>
              <w:left w:val="nil"/>
              <w:bottom w:val="nil"/>
              <w:right w:val="nil"/>
            </w:tcBorders>
            <w:shd w:val="clear" w:color="auto" w:fill="auto"/>
            <w:noWrap/>
            <w:vAlign w:val="center"/>
            <w:hideMark/>
          </w:tcPr>
          <w:p w14:paraId="3A6428FB" w14:textId="77777777" w:rsidR="008A1E55" w:rsidRPr="006B42D6" w:rsidRDefault="008A1E55" w:rsidP="00E16CAE">
            <w:pPr>
              <w:jc w:val="right"/>
              <w:rPr>
                <w:sz w:val="16"/>
                <w:szCs w:val="16"/>
              </w:rPr>
            </w:pPr>
            <w:r w:rsidRPr="006B42D6">
              <w:rPr>
                <w:sz w:val="16"/>
                <w:szCs w:val="16"/>
              </w:rPr>
              <w:t>1.1</w:t>
            </w:r>
          </w:p>
        </w:tc>
        <w:tc>
          <w:tcPr>
            <w:tcW w:w="880" w:type="dxa"/>
            <w:tcBorders>
              <w:top w:val="nil"/>
              <w:left w:val="nil"/>
              <w:bottom w:val="nil"/>
              <w:right w:val="nil"/>
            </w:tcBorders>
            <w:shd w:val="clear" w:color="auto" w:fill="auto"/>
            <w:noWrap/>
            <w:vAlign w:val="center"/>
            <w:hideMark/>
          </w:tcPr>
          <w:p w14:paraId="2F85029F" w14:textId="77777777" w:rsidR="008A1E55" w:rsidRPr="006B42D6" w:rsidRDefault="008A1E55" w:rsidP="00E16CAE">
            <w:pPr>
              <w:jc w:val="right"/>
              <w:rPr>
                <w:sz w:val="16"/>
                <w:szCs w:val="16"/>
              </w:rPr>
            </w:pPr>
            <w:r w:rsidRPr="006B42D6">
              <w:rPr>
                <w:sz w:val="16"/>
                <w:szCs w:val="16"/>
              </w:rPr>
              <w:t>9.1</w:t>
            </w:r>
          </w:p>
        </w:tc>
        <w:tc>
          <w:tcPr>
            <w:tcW w:w="940" w:type="dxa"/>
            <w:tcBorders>
              <w:top w:val="nil"/>
              <w:left w:val="nil"/>
              <w:bottom w:val="nil"/>
              <w:right w:val="nil"/>
            </w:tcBorders>
            <w:shd w:val="clear" w:color="auto" w:fill="auto"/>
            <w:noWrap/>
            <w:vAlign w:val="center"/>
            <w:hideMark/>
          </w:tcPr>
          <w:p w14:paraId="1CC254A5" w14:textId="77777777" w:rsidR="008A1E55" w:rsidRPr="006B42D6" w:rsidRDefault="008A1E55" w:rsidP="00E16CAE">
            <w:pPr>
              <w:jc w:val="right"/>
              <w:rPr>
                <w:sz w:val="16"/>
                <w:szCs w:val="16"/>
              </w:rPr>
            </w:pPr>
            <w:r w:rsidRPr="006B42D6">
              <w:rPr>
                <w:sz w:val="16"/>
                <w:szCs w:val="16"/>
              </w:rPr>
              <w:t>4.4</w:t>
            </w:r>
          </w:p>
        </w:tc>
        <w:tc>
          <w:tcPr>
            <w:tcW w:w="1040" w:type="dxa"/>
            <w:tcBorders>
              <w:top w:val="nil"/>
              <w:left w:val="nil"/>
              <w:bottom w:val="nil"/>
              <w:right w:val="nil"/>
            </w:tcBorders>
            <w:shd w:val="clear" w:color="auto" w:fill="auto"/>
            <w:noWrap/>
            <w:vAlign w:val="center"/>
            <w:hideMark/>
          </w:tcPr>
          <w:p w14:paraId="66361156" w14:textId="77777777" w:rsidR="008A1E55" w:rsidRPr="006B42D6" w:rsidRDefault="008A1E55" w:rsidP="00E16CAE">
            <w:pPr>
              <w:jc w:val="right"/>
              <w:rPr>
                <w:sz w:val="16"/>
                <w:szCs w:val="16"/>
              </w:rPr>
            </w:pPr>
            <w:r w:rsidRPr="006B42D6">
              <w:rPr>
                <w:sz w:val="16"/>
                <w:szCs w:val="16"/>
              </w:rPr>
              <w:t>0.3</w:t>
            </w:r>
          </w:p>
        </w:tc>
        <w:tc>
          <w:tcPr>
            <w:tcW w:w="700" w:type="dxa"/>
            <w:tcBorders>
              <w:top w:val="nil"/>
              <w:left w:val="nil"/>
              <w:bottom w:val="nil"/>
              <w:right w:val="nil"/>
            </w:tcBorders>
            <w:shd w:val="clear" w:color="auto" w:fill="auto"/>
            <w:noWrap/>
            <w:vAlign w:val="center"/>
            <w:hideMark/>
          </w:tcPr>
          <w:p w14:paraId="4343F073" w14:textId="77777777" w:rsidR="008A1E55" w:rsidRPr="006B42D6" w:rsidRDefault="008A1E55" w:rsidP="00E16CAE">
            <w:pPr>
              <w:jc w:val="right"/>
              <w:rPr>
                <w:sz w:val="16"/>
                <w:szCs w:val="16"/>
              </w:rPr>
            </w:pPr>
            <w:r w:rsidRPr="006B42D6">
              <w:rPr>
                <w:sz w:val="16"/>
                <w:szCs w:val="16"/>
              </w:rPr>
              <w:t>-</w:t>
            </w:r>
          </w:p>
        </w:tc>
        <w:tc>
          <w:tcPr>
            <w:tcW w:w="880" w:type="dxa"/>
            <w:tcBorders>
              <w:top w:val="nil"/>
              <w:left w:val="nil"/>
              <w:bottom w:val="nil"/>
              <w:right w:val="nil"/>
            </w:tcBorders>
            <w:shd w:val="clear" w:color="auto" w:fill="auto"/>
            <w:noWrap/>
            <w:vAlign w:val="center"/>
            <w:hideMark/>
          </w:tcPr>
          <w:p w14:paraId="206C4E4F" w14:textId="77777777" w:rsidR="008A1E55" w:rsidRPr="006B42D6" w:rsidRDefault="008A1E55" w:rsidP="00E16CAE">
            <w:pPr>
              <w:jc w:val="right"/>
              <w:rPr>
                <w:sz w:val="16"/>
                <w:szCs w:val="16"/>
              </w:rPr>
            </w:pPr>
            <w:r w:rsidRPr="006B42D6">
              <w:rPr>
                <w:sz w:val="16"/>
                <w:szCs w:val="16"/>
              </w:rPr>
              <w:t>3.0</w:t>
            </w:r>
          </w:p>
        </w:tc>
        <w:tc>
          <w:tcPr>
            <w:tcW w:w="700" w:type="dxa"/>
            <w:tcBorders>
              <w:top w:val="nil"/>
              <w:left w:val="nil"/>
              <w:bottom w:val="nil"/>
              <w:right w:val="nil"/>
            </w:tcBorders>
            <w:shd w:val="clear" w:color="auto" w:fill="auto"/>
            <w:noWrap/>
            <w:vAlign w:val="center"/>
            <w:hideMark/>
          </w:tcPr>
          <w:p w14:paraId="76050111" w14:textId="77777777" w:rsidR="008A1E55" w:rsidRPr="006B42D6" w:rsidRDefault="008A1E55" w:rsidP="00E16CAE">
            <w:pPr>
              <w:jc w:val="right"/>
              <w:rPr>
                <w:sz w:val="16"/>
                <w:szCs w:val="16"/>
              </w:rPr>
            </w:pPr>
            <w:r w:rsidRPr="006B42D6">
              <w:rPr>
                <w:sz w:val="16"/>
                <w:szCs w:val="16"/>
              </w:rPr>
              <w:t>0.4</w:t>
            </w:r>
          </w:p>
        </w:tc>
      </w:tr>
      <w:tr w:rsidR="006B42D6" w:rsidRPr="006B42D6" w14:paraId="54BEC269" w14:textId="77777777" w:rsidTr="00E16CAE">
        <w:trPr>
          <w:trHeight w:val="283"/>
        </w:trPr>
        <w:tc>
          <w:tcPr>
            <w:tcW w:w="1680" w:type="dxa"/>
            <w:tcBorders>
              <w:top w:val="nil"/>
              <w:left w:val="nil"/>
              <w:bottom w:val="nil"/>
              <w:right w:val="nil"/>
            </w:tcBorders>
            <w:shd w:val="clear" w:color="auto" w:fill="auto"/>
            <w:noWrap/>
            <w:vAlign w:val="center"/>
            <w:hideMark/>
          </w:tcPr>
          <w:p w14:paraId="567C5F48" w14:textId="77777777" w:rsidR="008A1E55" w:rsidRPr="006B42D6" w:rsidRDefault="008A1E55" w:rsidP="00E16CAE">
            <w:pPr>
              <w:rPr>
                <w:sz w:val="16"/>
                <w:szCs w:val="16"/>
              </w:rPr>
            </w:pPr>
            <w:r w:rsidRPr="006B42D6">
              <w:rPr>
                <w:sz w:val="16"/>
                <w:szCs w:val="16"/>
              </w:rPr>
              <w:t>Iringa</w:t>
            </w:r>
          </w:p>
        </w:tc>
        <w:tc>
          <w:tcPr>
            <w:tcW w:w="700" w:type="dxa"/>
            <w:tcBorders>
              <w:top w:val="nil"/>
              <w:left w:val="nil"/>
              <w:bottom w:val="nil"/>
              <w:right w:val="nil"/>
            </w:tcBorders>
            <w:shd w:val="clear" w:color="auto" w:fill="auto"/>
            <w:noWrap/>
            <w:vAlign w:val="center"/>
            <w:hideMark/>
          </w:tcPr>
          <w:p w14:paraId="7C602D5C" w14:textId="77777777" w:rsidR="008A1E55" w:rsidRPr="006B42D6" w:rsidRDefault="008A1E55" w:rsidP="00E16CAE">
            <w:pPr>
              <w:jc w:val="right"/>
              <w:rPr>
                <w:sz w:val="16"/>
                <w:szCs w:val="16"/>
              </w:rPr>
            </w:pPr>
            <w:r w:rsidRPr="006B42D6">
              <w:rPr>
                <w:sz w:val="16"/>
                <w:szCs w:val="16"/>
              </w:rPr>
              <w:t>2.7</w:t>
            </w:r>
          </w:p>
        </w:tc>
        <w:tc>
          <w:tcPr>
            <w:tcW w:w="980" w:type="dxa"/>
            <w:tcBorders>
              <w:top w:val="nil"/>
              <w:left w:val="nil"/>
              <w:bottom w:val="nil"/>
              <w:right w:val="nil"/>
            </w:tcBorders>
            <w:shd w:val="clear" w:color="auto" w:fill="auto"/>
            <w:noWrap/>
            <w:vAlign w:val="center"/>
            <w:hideMark/>
          </w:tcPr>
          <w:p w14:paraId="10B92B52" w14:textId="77777777" w:rsidR="008A1E55" w:rsidRPr="006B42D6" w:rsidRDefault="008A1E55" w:rsidP="00E16CAE">
            <w:pPr>
              <w:jc w:val="right"/>
              <w:rPr>
                <w:sz w:val="16"/>
                <w:szCs w:val="16"/>
              </w:rPr>
            </w:pPr>
            <w:r w:rsidRPr="006B42D6">
              <w:rPr>
                <w:sz w:val="16"/>
                <w:szCs w:val="16"/>
              </w:rPr>
              <w:t>2.2</w:t>
            </w:r>
          </w:p>
        </w:tc>
        <w:tc>
          <w:tcPr>
            <w:tcW w:w="920" w:type="dxa"/>
            <w:tcBorders>
              <w:top w:val="nil"/>
              <w:left w:val="nil"/>
              <w:bottom w:val="nil"/>
              <w:right w:val="nil"/>
            </w:tcBorders>
            <w:shd w:val="clear" w:color="auto" w:fill="auto"/>
            <w:noWrap/>
            <w:vAlign w:val="center"/>
            <w:hideMark/>
          </w:tcPr>
          <w:p w14:paraId="2ABF96DF" w14:textId="77777777" w:rsidR="008A1E55" w:rsidRPr="006B42D6" w:rsidRDefault="008A1E55" w:rsidP="00E16CAE">
            <w:pPr>
              <w:jc w:val="right"/>
              <w:rPr>
                <w:sz w:val="16"/>
                <w:szCs w:val="16"/>
              </w:rPr>
            </w:pPr>
            <w:r w:rsidRPr="006B42D6">
              <w:rPr>
                <w:sz w:val="16"/>
                <w:szCs w:val="16"/>
              </w:rPr>
              <w:t>2.7</w:t>
            </w:r>
          </w:p>
        </w:tc>
        <w:tc>
          <w:tcPr>
            <w:tcW w:w="880" w:type="dxa"/>
            <w:tcBorders>
              <w:top w:val="nil"/>
              <w:left w:val="nil"/>
              <w:bottom w:val="nil"/>
              <w:right w:val="nil"/>
            </w:tcBorders>
            <w:shd w:val="clear" w:color="auto" w:fill="auto"/>
            <w:noWrap/>
            <w:vAlign w:val="center"/>
            <w:hideMark/>
          </w:tcPr>
          <w:p w14:paraId="130BB7B1" w14:textId="77777777" w:rsidR="008A1E55" w:rsidRPr="006B42D6" w:rsidRDefault="008A1E55" w:rsidP="00E16CAE">
            <w:pPr>
              <w:jc w:val="right"/>
              <w:rPr>
                <w:sz w:val="16"/>
                <w:szCs w:val="16"/>
              </w:rPr>
            </w:pPr>
            <w:r w:rsidRPr="006B42D6">
              <w:rPr>
                <w:sz w:val="16"/>
                <w:szCs w:val="16"/>
              </w:rPr>
              <w:t>2.9</w:t>
            </w:r>
          </w:p>
        </w:tc>
        <w:tc>
          <w:tcPr>
            <w:tcW w:w="940" w:type="dxa"/>
            <w:tcBorders>
              <w:top w:val="nil"/>
              <w:left w:val="nil"/>
              <w:bottom w:val="nil"/>
              <w:right w:val="nil"/>
            </w:tcBorders>
            <w:shd w:val="clear" w:color="auto" w:fill="auto"/>
            <w:noWrap/>
            <w:vAlign w:val="center"/>
            <w:hideMark/>
          </w:tcPr>
          <w:p w14:paraId="4392AA23" w14:textId="77777777" w:rsidR="008A1E55" w:rsidRPr="006B42D6" w:rsidRDefault="008A1E55" w:rsidP="00E16CAE">
            <w:pPr>
              <w:jc w:val="right"/>
              <w:rPr>
                <w:sz w:val="16"/>
                <w:szCs w:val="16"/>
              </w:rPr>
            </w:pPr>
            <w:r w:rsidRPr="006B42D6">
              <w:rPr>
                <w:sz w:val="16"/>
                <w:szCs w:val="16"/>
              </w:rPr>
              <w:t>-</w:t>
            </w:r>
          </w:p>
        </w:tc>
        <w:tc>
          <w:tcPr>
            <w:tcW w:w="1040" w:type="dxa"/>
            <w:tcBorders>
              <w:top w:val="nil"/>
              <w:left w:val="nil"/>
              <w:bottom w:val="nil"/>
              <w:right w:val="nil"/>
            </w:tcBorders>
            <w:shd w:val="clear" w:color="auto" w:fill="auto"/>
            <w:noWrap/>
            <w:vAlign w:val="center"/>
            <w:hideMark/>
          </w:tcPr>
          <w:p w14:paraId="6C95DA54" w14:textId="77777777" w:rsidR="008A1E55" w:rsidRPr="006B42D6" w:rsidRDefault="008A1E55" w:rsidP="00E16CAE">
            <w:pPr>
              <w:jc w:val="right"/>
              <w:rPr>
                <w:sz w:val="16"/>
                <w:szCs w:val="16"/>
              </w:rPr>
            </w:pPr>
            <w:r w:rsidRPr="006B42D6">
              <w:rPr>
                <w:sz w:val="16"/>
                <w:szCs w:val="16"/>
              </w:rPr>
              <w:t>0.4</w:t>
            </w:r>
          </w:p>
        </w:tc>
        <w:tc>
          <w:tcPr>
            <w:tcW w:w="700" w:type="dxa"/>
            <w:tcBorders>
              <w:top w:val="nil"/>
              <w:left w:val="nil"/>
              <w:bottom w:val="nil"/>
              <w:right w:val="nil"/>
            </w:tcBorders>
            <w:shd w:val="clear" w:color="auto" w:fill="auto"/>
            <w:noWrap/>
            <w:vAlign w:val="center"/>
            <w:hideMark/>
          </w:tcPr>
          <w:p w14:paraId="4BE5ABA5" w14:textId="77777777" w:rsidR="008A1E55" w:rsidRPr="006B42D6" w:rsidRDefault="008A1E55" w:rsidP="00E16CAE">
            <w:pPr>
              <w:jc w:val="right"/>
              <w:rPr>
                <w:sz w:val="16"/>
                <w:szCs w:val="16"/>
              </w:rPr>
            </w:pPr>
            <w:r w:rsidRPr="006B42D6">
              <w:rPr>
                <w:sz w:val="16"/>
                <w:szCs w:val="16"/>
              </w:rPr>
              <w:t>-</w:t>
            </w:r>
          </w:p>
        </w:tc>
        <w:tc>
          <w:tcPr>
            <w:tcW w:w="880" w:type="dxa"/>
            <w:tcBorders>
              <w:top w:val="nil"/>
              <w:left w:val="nil"/>
              <w:bottom w:val="nil"/>
              <w:right w:val="nil"/>
            </w:tcBorders>
            <w:shd w:val="clear" w:color="auto" w:fill="auto"/>
            <w:noWrap/>
            <w:vAlign w:val="center"/>
            <w:hideMark/>
          </w:tcPr>
          <w:p w14:paraId="44F6BEC5" w14:textId="77777777" w:rsidR="008A1E55" w:rsidRPr="006B42D6" w:rsidRDefault="008A1E55" w:rsidP="00E16CAE">
            <w:pPr>
              <w:jc w:val="right"/>
              <w:rPr>
                <w:sz w:val="16"/>
                <w:szCs w:val="16"/>
              </w:rPr>
            </w:pPr>
            <w:r w:rsidRPr="006B42D6">
              <w:rPr>
                <w:sz w:val="16"/>
                <w:szCs w:val="16"/>
              </w:rPr>
              <w:t>1.1</w:t>
            </w:r>
          </w:p>
        </w:tc>
        <w:tc>
          <w:tcPr>
            <w:tcW w:w="700" w:type="dxa"/>
            <w:tcBorders>
              <w:top w:val="nil"/>
              <w:left w:val="nil"/>
              <w:bottom w:val="nil"/>
              <w:right w:val="nil"/>
            </w:tcBorders>
            <w:shd w:val="clear" w:color="auto" w:fill="auto"/>
            <w:noWrap/>
            <w:vAlign w:val="center"/>
            <w:hideMark/>
          </w:tcPr>
          <w:p w14:paraId="49015FA3" w14:textId="77777777" w:rsidR="008A1E55" w:rsidRPr="006B42D6" w:rsidRDefault="008A1E55" w:rsidP="00E16CAE">
            <w:pPr>
              <w:jc w:val="right"/>
              <w:rPr>
                <w:sz w:val="16"/>
                <w:szCs w:val="16"/>
              </w:rPr>
            </w:pPr>
            <w:r w:rsidRPr="006B42D6">
              <w:rPr>
                <w:sz w:val="16"/>
                <w:szCs w:val="16"/>
              </w:rPr>
              <w:t>30.1</w:t>
            </w:r>
          </w:p>
        </w:tc>
      </w:tr>
      <w:tr w:rsidR="006B42D6" w:rsidRPr="006B42D6" w14:paraId="6484BEE4" w14:textId="77777777" w:rsidTr="00E16CAE">
        <w:trPr>
          <w:trHeight w:val="283"/>
        </w:trPr>
        <w:tc>
          <w:tcPr>
            <w:tcW w:w="1680" w:type="dxa"/>
            <w:tcBorders>
              <w:top w:val="nil"/>
              <w:left w:val="nil"/>
              <w:bottom w:val="nil"/>
              <w:right w:val="nil"/>
            </w:tcBorders>
            <w:shd w:val="clear" w:color="auto" w:fill="auto"/>
            <w:noWrap/>
            <w:vAlign w:val="center"/>
            <w:hideMark/>
          </w:tcPr>
          <w:p w14:paraId="353519F3" w14:textId="77777777" w:rsidR="008A1E55" w:rsidRPr="006B42D6" w:rsidRDefault="008A1E55" w:rsidP="00E16CAE">
            <w:pPr>
              <w:rPr>
                <w:sz w:val="16"/>
                <w:szCs w:val="16"/>
              </w:rPr>
            </w:pPr>
            <w:r w:rsidRPr="006B42D6">
              <w:rPr>
                <w:sz w:val="16"/>
                <w:szCs w:val="16"/>
              </w:rPr>
              <w:t>Mbeya</w:t>
            </w:r>
          </w:p>
        </w:tc>
        <w:tc>
          <w:tcPr>
            <w:tcW w:w="700" w:type="dxa"/>
            <w:tcBorders>
              <w:top w:val="nil"/>
              <w:left w:val="nil"/>
              <w:bottom w:val="nil"/>
              <w:right w:val="nil"/>
            </w:tcBorders>
            <w:shd w:val="clear" w:color="auto" w:fill="auto"/>
            <w:noWrap/>
            <w:vAlign w:val="center"/>
            <w:hideMark/>
          </w:tcPr>
          <w:p w14:paraId="51315705" w14:textId="77777777" w:rsidR="008A1E55" w:rsidRPr="006B42D6" w:rsidRDefault="008A1E55" w:rsidP="00E16CAE">
            <w:pPr>
              <w:jc w:val="right"/>
              <w:rPr>
                <w:sz w:val="16"/>
                <w:szCs w:val="16"/>
              </w:rPr>
            </w:pPr>
            <w:r w:rsidRPr="006B42D6">
              <w:rPr>
                <w:sz w:val="16"/>
                <w:szCs w:val="16"/>
              </w:rPr>
              <w:t>3.4</w:t>
            </w:r>
          </w:p>
        </w:tc>
        <w:tc>
          <w:tcPr>
            <w:tcW w:w="980" w:type="dxa"/>
            <w:tcBorders>
              <w:top w:val="nil"/>
              <w:left w:val="nil"/>
              <w:bottom w:val="nil"/>
              <w:right w:val="nil"/>
            </w:tcBorders>
            <w:shd w:val="clear" w:color="auto" w:fill="auto"/>
            <w:noWrap/>
            <w:vAlign w:val="center"/>
            <w:hideMark/>
          </w:tcPr>
          <w:p w14:paraId="6CE42930" w14:textId="77777777" w:rsidR="008A1E55" w:rsidRPr="006B42D6" w:rsidRDefault="008A1E55" w:rsidP="00E16CAE">
            <w:pPr>
              <w:jc w:val="right"/>
              <w:rPr>
                <w:sz w:val="16"/>
                <w:szCs w:val="16"/>
              </w:rPr>
            </w:pPr>
            <w:r w:rsidRPr="006B42D6">
              <w:rPr>
                <w:sz w:val="16"/>
                <w:szCs w:val="16"/>
              </w:rPr>
              <w:t>1.0</w:t>
            </w:r>
          </w:p>
        </w:tc>
        <w:tc>
          <w:tcPr>
            <w:tcW w:w="920" w:type="dxa"/>
            <w:tcBorders>
              <w:top w:val="nil"/>
              <w:left w:val="nil"/>
              <w:bottom w:val="nil"/>
              <w:right w:val="nil"/>
            </w:tcBorders>
            <w:shd w:val="clear" w:color="auto" w:fill="auto"/>
            <w:noWrap/>
            <w:vAlign w:val="center"/>
            <w:hideMark/>
          </w:tcPr>
          <w:p w14:paraId="080D167E" w14:textId="77777777" w:rsidR="008A1E55" w:rsidRPr="006B42D6" w:rsidRDefault="008A1E55" w:rsidP="00E16CAE">
            <w:pPr>
              <w:jc w:val="right"/>
              <w:rPr>
                <w:sz w:val="16"/>
                <w:szCs w:val="16"/>
              </w:rPr>
            </w:pPr>
            <w:r w:rsidRPr="006B42D6">
              <w:rPr>
                <w:sz w:val="16"/>
                <w:szCs w:val="16"/>
              </w:rPr>
              <w:t>7.8</w:t>
            </w:r>
          </w:p>
        </w:tc>
        <w:tc>
          <w:tcPr>
            <w:tcW w:w="880" w:type="dxa"/>
            <w:tcBorders>
              <w:top w:val="nil"/>
              <w:left w:val="nil"/>
              <w:bottom w:val="nil"/>
              <w:right w:val="nil"/>
            </w:tcBorders>
            <w:shd w:val="clear" w:color="auto" w:fill="auto"/>
            <w:noWrap/>
            <w:vAlign w:val="center"/>
            <w:hideMark/>
          </w:tcPr>
          <w:p w14:paraId="7924A395" w14:textId="77777777" w:rsidR="008A1E55" w:rsidRPr="006B42D6" w:rsidRDefault="008A1E55" w:rsidP="00E16CAE">
            <w:pPr>
              <w:jc w:val="right"/>
              <w:rPr>
                <w:sz w:val="16"/>
                <w:szCs w:val="16"/>
              </w:rPr>
            </w:pPr>
            <w:r w:rsidRPr="006B42D6">
              <w:rPr>
                <w:sz w:val="16"/>
                <w:szCs w:val="16"/>
              </w:rPr>
              <w:t>6.6</w:t>
            </w:r>
          </w:p>
        </w:tc>
        <w:tc>
          <w:tcPr>
            <w:tcW w:w="940" w:type="dxa"/>
            <w:tcBorders>
              <w:top w:val="nil"/>
              <w:left w:val="nil"/>
              <w:bottom w:val="nil"/>
              <w:right w:val="nil"/>
            </w:tcBorders>
            <w:shd w:val="clear" w:color="auto" w:fill="auto"/>
            <w:noWrap/>
            <w:vAlign w:val="center"/>
            <w:hideMark/>
          </w:tcPr>
          <w:p w14:paraId="0DA473BB" w14:textId="77777777" w:rsidR="008A1E55" w:rsidRPr="006B42D6" w:rsidRDefault="008A1E55" w:rsidP="00E16CAE">
            <w:pPr>
              <w:jc w:val="right"/>
              <w:rPr>
                <w:sz w:val="16"/>
                <w:szCs w:val="16"/>
              </w:rPr>
            </w:pPr>
            <w:r w:rsidRPr="006B42D6">
              <w:rPr>
                <w:sz w:val="16"/>
                <w:szCs w:val="16"/>
              </w:rPr>
              <w:t>0.6</w:t>
            </w:r>
          </w:p>
        </w:tc>
        <w:tc>
          <w:tcPr>
            <w:tcW w:w="1040" w:type="dxa"/>
            <w:tcBorders>
              <w:top w:val="nil"/>
              <w:left w:val="nil"/>
              <w:bottom w:val="nil"/>
              <w:right w:val="nil"/>
            </w:tcBorders>
            <w:shd w:val="clear" w:color="auto" w:fill="auto"/>
            <w:noWrap/>
            <w:vAlign w:val="center"/>
            <w:hideMark/>
          </w:tcPr>
          <w:p w14:paraId="78F89649" w14:textId="77777777" w:rsidR="008A1E55" w:rsidRPr="006B42D6" w:rsidRDefault="008A1E55" w:rsidP="00E16CAE">
            <w:pPr>
              <w:jc w:val="right"/>
              <w:rPr>
                <w:sz w:val="16"/>
                <w:szCs w:val="16"/>
              </w:rPr>
            </w:pPr>
            <w:r w:rsidRPr="006B42D6">
              <w:rPr>
                <w:sz w:val="16"/>
                <w:szCs w:val="16"/>
              </w:rPr>
              <w:t>1.1</w:t>
            </w:r>
          </w:p>
        </w:tc>
        <w:tc>
          <w:tcPr>
            <w:tcW w:w="700" w:type="dxa"/>
            <w:tcBorders>
              <w:top w:val="nil"/>
              <w:left w:val="nil"/>
              <w:bottom w:val="nil"/>
              <w:right w:val="nil"/>
            </w:tcBorders>
            <w:shd w:val="clear" w:color="auto" w:fill="auto"/>
            <w:noWrap/>
            <w:vAlign w:val="center"/>
            <w:hideMark/>
          </w:tcPr>
          <w:p w14:paraId="73AA680D" w14:textId="77777777" w:rsidR="008A1E55" w:rsidRPr="006B42D6" w:rsidRDefault="008A1E55" w:rsidP="00E16CAE">
            <w:pPr>
              <w:jc w:val="right"/>
              <w:rPr>
                <w:sz w:val="16"/>
                <w:szCs w:val="16"/>
              </w:rPr>
            </w:pPr>
            <w:r w:rsidRPr="006B42D6">
              <w:rPr>
                <w:sz w:val="16"/>
                <w:szCs w:val="16"/>
              </w:rPr>
              <w:t>2.2</w:t>
            </w:r>
          </w:p>
        </w:tc>
        <w:tc>
          <w:tcPr>
            <w:tcW w:w="880" w:type="dxa"/>
            <w:tcBorders>
              <w:top w:val="nil"/>
              <w:left w:val="nil"/>
              <w:bottom w:val="nil"/>
              <w:right w:val="nil"/>
            </w:tcBorders>
            <w:shd w:val="clear" w:color="auto" w:fill="auto"/>
            <w:noWrap/>
            <w:vAlign w:val="center"/>
            <w:hideMark/>
          </w:tcPr>
          <w:p w14:paraId="6B66AC89" w14:textId="77777777" w:rsidR="008A1E55" w:rsidRPr="006B42D6" w:rsidRDefault="008A1E55" w:rsidP="00E16CAE">
            <w:pPr>
              <w:jc w:val="right"/>
              <w:rPr>
                <w:sz w:val="16"/>
                <w:szCs w:val="16"/>
              </w:rPr>
            </w:pPr>
            <w:r w:rsidRPr="006B42D6">
              <w:rPr>
                <w:sz w:val="16"/>
                <w:szCs w:val="16"/>
              </w:rPr>
              <w:t>4.9</w:t>
            </w:r>
          </w:p>
        </w:tc>
        <w:tc>
          <w:tcPr>
            <w:tcW w:w="700" w:type="dxa"/>
            <w:tcBorders>
              <w:top w:val="nil"/>
              <w:left w:val="nil"/>
              <w:bottom w:val="nil"/>
              <w:right w:val="nil"/>
            </w:tcBorders>
            <w:shd w:val="clear" w:color="auto" w:fill="auto"/>
            <w:noWrap/>
            <w:vAlign w:val="center"/>
            <w:hideMark/>
          </w:tcPr>
          <w:p w14:paraId="5CF600AC" w14:textId="77777777" w:rsidR="008A1E55" w:rsidRPr="006B42D6" w:rsidRDefault="008A1E55" w:rsidP="00E16CAE">
            <w:pPr>
              <w:jc w:val="right"/>
              <w:rPr>
                <w:sz w:val="16"/>
                <w:szCs w:val="16"/>
              </w:rPr>
            </w:pPr>
            <w:r w:rsidRPr="006B42D6">
              <w:rPr>
                <w:sz w:val="16"/>
                <w:szCs w:val="16"/>
              </w:rPr>
              <w:t>1.7</w:t>
            </w:r>
          </w:p>
        </w:tc>
      </w:tr>
      <w:tr w:rsidR="006B42D6" w:rsidRPr="006B42D6" w14:paraId="215C91CB" w14:textId="77777777" w:rsidTr="00E16CAE">
        <w:trPr>
          <w:trHeight w:val="283"/>
        </w:trPr>
        <w:tc>
          <w:tcPr>
            <w:tcW w:w="1680" w:type="dxa"/>
            <w:tcBorders>
              <w:top w:val="nil"/>
              <w:left w:val="nil"/>
              <w:bottom w:val="nil"/>
              <w:right w:val="nil"/>
            </w:tcBorders>
            <w:shd w:val="clear" w:color="auto" w:fill="auto"/>
            <w:noWrap/>
            <w:vAlign w:val="center"/>
            <w:hideMark/>
          </w:tcPr>
          <w:p w14:paraId="539C2D0F" w14:textId="77777777" w:rsidR="008A1E55" w:rsidRPr="006B42D6" w:rsidRDefault="008A1E55" w:rsidP="00E16CAE">
            <w:pPr>
              <w:rPr>
                <w:sz w:val="16"/>
                <w:szCs w:val="16"/>
              </w:rPr>
            </w:pPr>
            <w:r w:rsidRPr="006B42D6">
              <w:rPr>
                <w:sz w:val="16"/>
                <w:szCs w:val="16"/>
              </w:rPr>
              <w:t>Singida</w:t>
            </w:r>
          </w:p>
        </w:tc>
        <w:tc>
          <w:tcPr>
            <w:tcW w:w="700" w:type="dxa"/>
            <w:tcBorders>
              <w:top w:val="nil"/>
              <w:left w:val="nil"/>
              <w:bottom w:val="nil"/>
              <w:right w:val="nil"/>
            </w:tcBorders>
            <w:shd w:val="clear" w:color="auto" w:fill="auto"/>
            <w:noWrap/>
            <w:vAlign w:val="center"/>
            <w:hideMark/>
          </w:tcPr>
          <w:p w14:paraId="2979786F" w14:textId="77777777" w:rsidR="008A1E55" w:rsidRPr="006B42D6" w:rsidRDefault="008A1E55" w:rsidP="00E16CAE">
            <w:pPr>
              <w:jc w:val="right"/>
              <w:rPr>
                <w:sz w:val="16"/>
                <w:szCs w:val="16"/>
              </w:rPr>
            </w:pPr>
            <w:r w:rsidRPr="006B42D6">
              <w:rPr>
                <w:sz w:val="16"/>
                <w:szCs w:val="16"/>
              </w:rPr>
              <w:t>-</w:t>
            </w:r>
          </w:p>
        </w:tc>
        <w:tc>
          <w:tcPr>
            <w:tcW w:w="980" w:type="dxa"/>
            <w:tcBorders>
              <w:top w:val="nil"/>
              <w:left w:val="nil"/>
              <w:bottom w:val="nil"/>
              <w:right w:val="nil"/>
            </w:tcBorders>
            <w:shd w:val="clear" w:color="auto" w:fill="auto"/>
            <w:noWrap/>
            <w:vAlign w:val="center"/>
            <w:hideMark/>
          </w:tcPr>
          <w:p w14:paraId="340E07F3" w14:textId="77777777" w:rsidR="008A1E55" w:rsidRPr="006B42D6" w:rsidRDefault="008A1E55" w:rsidP="00E16CAE">
            <w:pPr>
              <w:jc w:val="right"/>
              <w:rPr>
                <w:sz w:val="16"/>
                <w:szCs w:val="16"/>
              </w:rPr>
            </w:pPr>
            <w:r w:rsidRPr="006B42D6">
              <w:rPr>
                <w:sz w:val="16"/>
                <w:szCs w:val="16"/>
              </w:rPr>
              <w:t>2.3</w:t>
            </w:r>
          </w:p>
        </w:tc>
        <w:tc>
          <w:tcPr>
            <w:tcW w:w="920" w:type="dxa"/>
            <w:tcBorders>
              <w:top w:val="nil"/>
              <w:left w:val="nil"/>
              <w:bottom w:val="nil"/>
              <w:right w:val="nil"/>
            </w:tcBorders>
            <w:shd w:val="clear" w:color="auto" w:fill="auto"/>
            <w:noWrap/>
            <w:vAlign w:val="center"/>
            <w:hideMark/>
          </w:tcPr>
          <w:p w14:paraId="1953D603" w14:textId="77777777" w:rsidR="008A1E55" w:rsidRPr="006B42D6" w:rsidRDefault="008A1E55" w:rsidP="00E16CAE">
            <w:pPr>
              <w:jc w:val="right"/>
              <w:rPr>
                <w:sz w:val="16"/>
                <w:szCs w:val="16"/>
              </w:rPr>
            </w:pPr>
            <w:r w:rsidRPr="006B42D6">
              <w:rPr>
                <w:sz w:val="16"/>
                <w:szCs w:val="16"/>
              </w:rPr>
              <w:t>8.3</w:t>
            </w:r>
          </w:p>
        </w:tc>
        <w:tc>
          <w:tcPr>
            <w:tcW w:w="880" w:type="dxa"/>
            <w:tcBorders>
              <w:top w:val="nil"/>
              <w:left w:val="nil"/>
              <w:bottom w:val="nil"/>
              <w:right w:val="nil"/>
            </w:tcBorders>
            <w:shd w:val="clear" w:color="auto" w:fill="auto"/>
            <w:noWrap/>
            <w:vAlign w:val="center"/>
            <w:hideMark/>
          </w:tcPr>
          <w:p w14:paraId="4045F7AC" w14:textId="77777777" w:rsidR="008A1E55" w:rsidRPr="006B42D6" w:rsidRDefault="008A1E55" w:rsidP="00E16CAE">
            <w:pPr>
              <w:jc w:val="right"/>
              <w:rPr>
                <w:sz w:val="16"/>
                <w:szCs w:val="16"/>
              </w:rPr>
            </w:pPr>
            <w:r w:rsidRPr="006B42D6">
              <w:rPr>
                <w:sz w:val="16"/>
                <w:szCs w:val="16"/>
              </w:rPr>
              <w:t>1.8</w:t>
            </w:r>
          </w:p>
        </w:tc>
        <w:tc>
          <w:tcPr>
            <w:tcW w:w="940" w:type="dxa"/>
            <w:tcBorders>
              <w:top w:val="nil"/>
              <w:left w:val="nil"/>
              <w:bottom w:val="nil"/>
              <w:right w:val="nil"/>
            </w:tcBorders>
            <w:shd w:val="clear" w:color="auto" w:fill="auto"/>
            <w:noWrap/>
            <w:vAlign w:val="center"/>
            <w:hideMark/>
          </w:tcPr>
          <w:p w14:paraId="573B5F5E" w14:textId="77777777" w:rsidR="008A1E55" w:rsidRPr="006B42D6" w:rsidRDefault="008A1E55" w:rsidP="00E16CAE">
            <w:pPr>
              <w:jc w:val="right"/>
              <w:rPr>
                <w:sz w:val="16"/>
                <w:szCs w:val="16"/>
              </w:rPr>
            </w:pPr>
            <w:r w:rsidRPr="006B42D6">
              <w:rPr>
                <w:sz w:val="16"/>
                <w:szCs w:val="16"/>
              </w:rPr>
              <w:t>0.4</w:t>
            </w:r>
          </w:p>
        </w:tc>
        <w:tc>
          <w:tcPr>
            <w:tcW w:w="1040" w:type="dxa"/>
            <w:tcBorders>
              <w:top w:val="nil"/>
              <w:left w:val="nil"/>
              <w:bottom w:val="nil"/>
              <w:right w:val="nil"/>
            </w:tcBorders>
            <w:shd w:val="clear" w:color="auto" w:fill="auto"/>
            <w:noWrap/>
            <w:vAlign w:val="center"/>
            <w:hideMark/>
          </w:tcPr>
          <w:p w14:paraId="1BC689D8" w14:textId="77777777" w:rsidR="008A1E55" w:rsidRPr="006B42D6" w:rsidRDefault="008A1E55" w:rsidP="00E16CAE">
            <w:pPr>
              <w:jc w:val="right"/>
              <w:rPr>
                <w:sz w:val="16"/>
                <w:szCs w:val="16"/>
              </w:rPr>
            </w:pPr>
            <w:r w:rsidRPr="006B42D6">
              <w:rPr>
                <w:sz w:val="16"/>
                <w:szCs w:val="16"/>
              </w:rPr>
              <w:t>3.2</w:t>
            </w:r>
          </w:p>
        </w:tc>
        <w:tc>
          <w:tcPr>
            <w:tcW w:w="700" w:type="dxa"/>
            <w:tcBorders>
              <w:top w:val="nil"/>
              <w:left w:val="nil"/>
              <w:bottom w:val="nil"/>
              <w:right w:val="nil"/>
            </w:tcBorders>
            <w:shd w:val="clear" w:color="auto" w:fill="auto"/>
            <w:noWrap/>
            <w:vAlign w:val="center"/>
            <w:hideMark/>
          </w:tcPr>
          <w:p w14:paraId="2AA2DE24" w14:textId="77777777" w:rsidR="008A1E55" w:rsidRPr="006B42D6" w:rsidRDefault="008A1E55" w:rsidP="00E16CAE">
            <w:pPr>
              <w:jc w:val="right"/>
              <w:rPr>
                <w:sz w:val="16"/>
                <w:szCs w:val="16"/>
              </w:rPr>
            </w:pPr>
            <w:r w:rsidRPr="006B42D6">
              <w:rPr>
                <w:sz w:val="16"/>
                <w:szCs w:val="16"/>
              </w:rPr>
              <w:t>-</w:t>
            </w:r>
          </w:p>
        </w:tc>
        <w:tc>
          <w:tcPr>
            <w:tcW w:w="880" w:type="dxa"/>
            <w:tcBorders>
              <w:top w:val="nil"/>
              <w:left w:val="nil"/>
              <w:bottom w:val="nil"/>
              <w:right w:val="nil"/>
            </w:tcBorders>
            <w:shd w:val="clear" w:color="auto" w:fill="auto"/>
            <w:noWrap/>
            <w:vAlign w:val="center"/>
            <w:hideMark/>
          </w:tcPr>
          <w:p w14:paraId="4530C72C" w14:textId="77777777" w:rsidR="008A1E55" w:rsidRPr="006B42D6" w:rsidRDefault="008A1E55" w:rsidP="00E16CAE">
            <w:pPr>
              <w:jc w:val="right"/>
              <w:rPr>
                <w:sz w:val="16"/>
                <w:szCs w:val="16"/>
              </w:rPr>
            </w:pPr>
            <w:r w:rsidRPr="006B42D6">
              <w:rPr>
                <w:sz w:val="16"/>
                <w:szCs w:val="16"/>
              </w:rPr>
              <w:t>-</w:t>
            </w:r>
          </w:p>
        </w:tc>
        <w:tc>
          <w:tcPr>
            <w:tcW w:w="700" w:type="dxa"/>
            <w:tcBorders>
              <w:top w:val="nil"/>
              <w:left w:val="nil"/>
              <w:bottom w:val="nil"/>
              <w:right w:val="nil"/>
            </w:tcBorders>
            <w:shd w:val="clear" w:color="auto" w:fill="auto"/>
            <w:noWrap/>
            <w:vAlign w:val="center"/>
            <w:hideMark/>
          </w:tcPr>
          <w:p w14:paraId="7B55B062" w14:textId="77777777" w:rsidR="008A1E55" w:rsidRPr="006B42D6" w:rsidRDefault="008A1E55" w:rsidP="00E16CAE">
            <w:pPr>
              <w:jc w:val="right"/>
              <w:rPr>
                <w:sz w:val="16"/>
                <w:szCs w:val="16"/>
              </w:rPr>
            </w:pPr>
            <w:r w:rsidRPr="006B42D6">
              <w:rPr>
                <w:sz w:val="16"/>
                <w:szCs w:val="16"/>
              </w:rPr>
              <w:t>0.8</w:t>
            </w:r>
          </w:p>
        </w:tc>
      </w:tr>
      <w:tr w:rsidR="006B42D6" w:rsidRPr="006B42D6" w14:paraId="3C403E4C" w14:textId="77777777" w:rsidTr="00E16CAE">
        <w:trPr>
          <w:trHeight w:val="283"/>
        </w:trPr>
        <w:tc>
          <w:tcPr>
            <w:tcW w:w="1680" w:type="dxa"/>
            <w:tcBorders>
              <w:top w:val="nil"/>
              <w:left w:val="nil"/>
              <w:bottom w:val="nil"/>
              <w:right w:val="nil"/>
            </w:tcBorders>
            <w:shd w:val="clear" w:color="auto" w:fill="auto"/>
            <w:noWrap/>
            <w:vAlign w:val="center"/>
            <w:hideMark/>
          </w:tcPr>
          <w:p w14:paraId="7751EBB0" w14:textId="77777777" w:rsidR="008A1E55" w:rsidRPr="006B42D6" w:rsidRDefault="008A1E55" w:rsidP="00E16CAE">
            <w:pPr>
              <w:rPr>
                <w:sz w:val="16"/>
                <w:szCs w:val="16"/>
              </w:rPr>
            </w:pPr>
            <w:r w:rsidRPr="006B42D6">
              <w:rPr>
                <w:sz w:val="16"/>
                <w:szCs w:val="16"/>
              </w:rPr>
              <w:t>Tabora</w:t>
            </w:r>
          </w:p>
        </w:tc>
        <w:tc>
          <w:tcPr>
            <w:tcW w:w="700" w:type="dxa"/>
            <w:tcBorders>
              <w:top w:val="nil"/>
              <w:left w:val="nil"/>
              <w:bottom w:val="nil"/>
              <w:right w:val="nil"/>
            </w:tcBorders>
            <w:shd w:val="clear" w:color="auto" w:fill="auto"/>
            <w:noWrap/>
            <w:vAlign w:val="center"/>
            <w:hideMark/>
          </w:tcPr>
          <w:p w14:paraId="1CCBC211" w14:textId="77777777" w:rsidR="008A1E55" w:rsidRPr="006B42D6" w:rsidRDefault="008A1E55" w:rsidP="00E16CAE">
            <w:pPr>
              <w:jc w:val="right"/>
              <w:rPr>
                <w:sz w:val="16"/>
                <w:szCs w:val="16"/>
              </w:rPr>
            </w:pPr>
            <w:r w:rsidRPr="006B42D6">
              <w:rPr>
                <w:sz w:val="16"/>
                <w:szCs w:val="16"/>
              </w:rPr>
              <w:t>1.6</w:t>
            </w:r>
          </w:p>
        </w:tc>
        <w:tc>
          <w:tcPr>
            <w:tcW w:w="980" w:type="dxa"/>
            <w:tcBorders>
              <w:top w:val="nil"/>
              <w:left w:val="nil"/>
              <w:bottom w:val="nil"/>
              <w:right w:val="nil"/>
            </w:tcBorders>
            <w:shd w:val="clear" w:color="auto" w:fill="auto"/>
            <w:noWrap/>
            <w:vAlign w:val="center"/>
            <w:hideMark/>
          </w:tcPr>
          <w:p w14:paraId="4FE0B4DB" w14:textId="77777777" w:rsidR="008A1E55" w:rsidRPr="006B42D6" w:rsidRDefault="008A1E55" w:rsidP="00E16CAE">
            <w:pPr>
              <w:jc w:val="right"/>
              <w:rPr>
                <w:sz w:val="16"/>
                <w:szCs w:val="16"/>
              </w:rPr>
            </w:pPr>
            <w:r w:rsidRPr="006B42D6">
              <w:rPr>
                <w:sz w:val="16"/>
                <w:szCs w:val="16"/>
              </w:rPr>
              <w:t>2.9</w:t>
            </w:r>
          </w:p>
        </w:tc>
        <w:tc>
          <w:tcPr>
            <w:tcW w:w="920" w:type="dxa"/>
            <w:tcBorders>
              <w:top w:val="nil"/>
              <w:left w:val="nil"/>
              <w:bottom w:val="nil"/>
              <w:right w:val="nil"/>
            </w:tcBorders>
            <w:shd w:val="clear" w:color="auto" w:fill="auto"/>
            <w:noWrap/>
            <w:vAlign w:val="center"/>
            <w:hideMark/>
          </w:tcPr>
          <w:p w14:paraId="7A87159D" w14:textId="77777777" w:rsidR="008A1E55" w:rsidRPr="006B42D6" w:rsidRDefault="008A1E55" w:rsidP="00E16CAE">
            <w:pPr>
              <w:jc w:val="right"/>
              <w:rPr>
                <w:sz w:val="16"/>
                <w:szCs w:val="16"/>
              </w:rPr>
            </w:pPr>
            <w:r w:rsidRPr="006B42D6">
              <w:rPr>
                <w:sz w:val="16"/>
                <w:szCs w:val="16"/>
              </w:rPr>
              <w:t>11.7</w:t>
            </w:r>
          </w:p>
        </w:tc>
        <w:tc>
          <w:tcPr>
            <w:tcW w:w="880" w:type="dxa"/>
            <w:tcBorders>
              <w:top w:val="nil"/>
              <w:left w:val="nil"/>
              <w:bottom w:val="nil"/>
              <w:right w:val="nil"/>
            </w:tcBorders>
            <w:shd w:val="clear" w:color="auto" w:fill="auto"/>
            <w:noWrap/>
            <w:vAlign w:val="center"/>
            <w:hideMark/>
          </w:tcPr>
          <w:p w14:paraId="2B5522FE" w14:textId="77777777" w:rsidR="008A1E55" w:rsidRPr="006B42D6" w:rsidRDefault="008A1E55" w:rsidP="00E16CAE">
            <w:pPr>
              <w:jc w:val="right"/>
              <w:rPr>
                <w:sz w:val="16"/>
                <w:szCs w:val="16"/>
              </w:rPr>
            </w:pPr>
            <w:r w:rsidRPr="006B42D6">
              <w:rPr>
                <w:sz w:val="16"/>
                <w:szCs w:val="16"/>
              </w:rPr>
              <w:t>3.1</w:t>
            </w:r>
          </w:p>
        </w:tc>
        <w:tc>
          <w:tcPr>
            <w:tcW w:w="940" w:type="dxa"/>
            <w:tcBorders>
              <w:top w:val="nil"/>
              <w:left w:val="nil"/>
              <w:bottom w:val="nil"/>
              <w:right w:val="nil"/>
            </w:tcBorders>
            <w:shd w:val="clear" w:color="auto" w:fill="auto"/>
            <w:noWrap/>
            <w:vAlign w:val="center"/>
            <w:hideMark/>
          </w:tcPr>
          <w:p w14:paraId="7C2C46F5" w14:textId="77777777" w:rsidR="008A1E55" w:rsidRPr="006B42D6" w:rsidRDefault="008A1E55" w:rsidP="00E16CAE">
            <w:pPr>
              <w:jc w:val="right"/>
              <w:rPr>
                <w:sz w:val="16"/>
                <w:szCs w:val="16"/>
              </w:rPr>
            </w:pPr>
            <w:r w:rsidRPr="006B42D6">
              <w:rPr>
                <w:sz w:val="16"/>
                <w:szCs w:val="16"/>
              </w:rPr>
              <w:t>-</w:t>
            </w:r>
          </w:p>
        </w:tc>
        <w:tc>
          <w:tcPr>
            <w:tcW w:w="1040" w:type="dxa"/>
            <w:tcBorders>
              <w:top w:val="nil"/>
              <w:left w:val="nil"/>
              <w:bottom w:val="nil"/>
              <w:right w:val="nil"/>
            </w:tcBorders>
            <w:shd w:val="clear" w:color="auto" w:fill="auto"/>
            <w:noWrap/>
            <w:vAlign w:val="center"/>
            <w:hideMark/>
          </w:tcPr>
          <w:p w14:paraId="49AB194B" w14:textId="77777777" w:rsidR="008A1E55" w:rsidRPr="006B42D6" w:rsidRDefault="008A1E55" w:rsidP="00E16CAE">
            <w:pPr>
              <w:jc w:val="right"/>
              <w:rPr>
                <w:sz w:val="16"/>
                <w:szCs w:val="16"/>
              </w:rPr>
            </w:pPr>
            <w:r w:rsidRPr="006B42D6">
              <w:rPr>
                <w:sz w:val="16"/>
                <w:szCs w:val="16"/>
              </w:rPr>
              <w:t>1.7</w:t>
            </w:r>
          </w:p>
        </w:tc>
        <w:tc>
          <w:tcPr>
            <w:tcW w:w="700" w:type="dxa"/>
            <w:tcBorders>
              <w:top w:val="nil"/>
              <w:left w:val="nil"/>
              <w:bottom w:val="nil"/>
              <w:right w:val="nil"/>
            </w:tcBorders>
            <w:shd w:val="clear" w:color="auto" w:fill="auto"/>
            <w:noWrap/>
            <w:vAlign w:val="center"/>
            <w:hideMark/>
          </w:tcPr>
          <w:p w14:paraId="43F6287D" w14:textId="77777777" w:rsidR="008A1E55" w:rsidRPr="006B42D6" w:rsidRDefault="008A1E55" w:rsidP="00E16CAE">
            <w:pPr>
              <w:jc w:val="right"/>
              <w:rPr>
                <w:sz w:val="16"/>
                <w:szCs w:val="16"/>
              </w:rPr>
            </w:pPr>
            <w:r w:rsidRPr="006B42D6">
              <w:rPr>
                <w:sz w:val="16"/>
                <w:szCs w:val="16"/>
              </w:rPr>
              <w:t>-</w:t>
            </w:r>
          </w:p>
        </w:tc>
        <w:tc>
          <w:tcPr>
            <w:tcW w:w="880" w:type="dxa"/>
            <w:tcBorders>
              <w:top w:val="nil"/>
              <w:left w:val="nil"/>
              <w:bottom w:val="nil"/>
              <w:right w:val="nil"/>
            </w:tcBorders>
            <w:shd w:val="clear" w:color="auto" w:fill="auto"/>
            <w:noWrap/>
            <w:vAlign w:val="center"/>
            <w:hideMark/>
          </w:tcPr>
          <w:p w14:paraId="557C1FDF" w14:textId="77777777" w:rsidR="008A1E55" w:rsidRPr="006B42D6" w:rsidRDefault="008A1E55" w:rsidP="00E16CAE">
            <w:pPr>
              <w:jc w:val="right"/>
              <w:rPr>
                <w:sz w:val="16"/>
                <w:szCs w:val="16"/>
              </w:rPr>
            </w:pPr>
            <w:r w:rsidRPr="006B42D6">
              <w:rPr>
                <w:sz w:val="16"/>
                <w:szCs w:val="16"/>
              </w:rPr>
              <w:t>1.3</w:t>
            </w:r>
          </w:p>
        </w:tc>
        <w:tc>
          <w:tcPr>
            <w:tcW w:w="700" w:type="dxa"/>
            <w:tcBorders>
              <w:top w:val="nil"/>
              <w:left w:val="nil"/>
              <w:bottom w:val="nil"/>
              <w:right w:val="nil"/>
            </w:tcBorders>
            <w:shd w:val="clear" w:color="auto" w:fill="auto"/>
            <w:noWrap/>
            <w:vAlign w:val="center"/>
            <w:hideMark/>
          </w:tcPr>
          <w:p w14:paraId="15DF8D66" w14:textId="77777777" w:rsidR="008A1E55" w:rsidRPr="006B42D6" w:rsidRDefault="008A1E55" w:rsidP="00E16CAE">
            <w:pPr>
              <w:jc w:val="right"/>
              <w:rPr>
                <w:sz w:val="16"/>
                <w:szCs w:val="16"/>
              </w:rPr>
            </w:pPr>
            <w:r w:rsidRPr="006B42D6">
              <w:rPr>
                <w:sz w:val="16"/>
                <w:szCs w:val="16"/>
              </w:rPr>
              <w:t>2.0</w:t>
            </w:r>
          </w:p>
        </w:tc>
      </w:tr>
      <w:tr w:rsidR="006B42D6" w:rsidRPr="006B42D6" w14:paraId="4F369220" w14:textId="77777777" w:rsidTr="00E16CAE">
        <w:trPr>
          <w:trHeight w:val="283"/>
        </w:trPr>
        <w:tc>
          <w:tcPr>
            <w:tcW w:w="1680" w:type="dxa"/>
            <w:tcBorders>
              <w:top w:val="nil"/>
              <w:left w:val="nil"/>
              <w:bottom w:val="nil"/>
              <w:right w:val="nil"/>
            </w:tcBorders>
            <w:shd w:val="clear" w:color="auto" w:fill="auto"/>
            <w:noWrap/>
            <w:vAlign w:val="center"/>
            <w:hideMark/>
          </w:tcPr>
          <w:p w14:paraId="07A2C4F3" w14:textId="77777777" w:rsidR="008A1E55" w:rsidRPr="006B42D6" w:rsidRDefault="008A1E55" w:rsidP="00E16CAE">
            <w:pPr>
              <w:rPr>
                <w:sz w:val="16"/>
                <w:szCs w:val="16"/>
              </w:rPr>
            </w:pPr>
            <w:r w:rsidRPr="006B42D6">
              <w:rPr>
                <w:sz w:val="16"/>
                <w:szCs w:val="16"/>
              </w:rPr>
              <w:t>Rukwa</w:t>
            </w:r>
          </w:p>
        </w:tc>
        <w:tc>
          <w:tcPr>
            <w:tcW w:w="700" w:type="dxa"/>
            <w:tcBorders>
              <w:top w:val="nil"/>
              <w:left w:val="nil"/>
              <w:bottom w:val="nil"/>
              <w:right w:val="nil"/>
            </w:tcBorders>
            <w:shd w:val="clear" w:color="auto" w:fill="auto"/>
            <w:noWrap/>
            <w:vAlign w:val="center"/>
            <w:hideMark/>
          </w:tcPr>
          <w:p w14:paraId="0A6A61DE" w14:textId="77777777" w:rsidR="008A1E55" w:rsidRPr="006B42D6" w:rsidRDefault="008A1E55" w:rsidP="00E16CAE">
            <w:pPr>
              <w:jc w:val="right"/>
              <w:rPr>
                <w:sz w:val="16"/>
                <w:szCs w:val="16"/>
              </w:rPr>
            </w:pPr>
            <w:r w:rsidRPr="006B42D6">
              <w:rPr>
                <w:sz w:val="16"/>
                <w:szCs w:val="16"/>
              </w:rPr>
              <w:t>2.5</w:t>
            </w:r>
          </w:p>
        </w:tc>
        <w:tc>
          <w:tcPr>
            <w:tcW w:w="980" w:type="dxa"/>
            <w:tcBorders>
              <w:top w:val="nil"/>
              <w:left w:val="nil"/>
              <w:bottom w:val="nil"/>
              <w:right w:val="nil"/>
            </w:tcBorders>
            <w:shd w:val="clear" w:color="auto" w:fill="auto"/>
            <w:noWrap/>
            <w:vAlign w:val="center"/>
            <w:hideMark/>
          </w:tcPr>
          <w:p w14:paraId="2E392EFB" w14:textId="77777777" w:rsidR="008A1E55" w:rsidRPr="006B42D6" w:rsidRDefault="008A1E55" w:rsidP="00E16CAE">
            <w:pPr>
              <w:jc w:val="right"/>
              <w:rPr>
                <w:sz w:val="16"/>
                <w:szCs w:val="16"/>
              </w:rPr>
            </w:pPr>
            <w:r w:rsidRPr="006B42D6">
              <w:rPr>
                <w:sz w:val="16"/>
                <w:szCs w:val="16"/>
              </w:rPr>
              <w:t>0.1</w:t>
            </w:r>
          </w:p>
        </w:tc>
        <w:tc>
          <w:tcPr>
            <w:tcW w:w="920" w:type="dxa"/>
            <w:tcBorders>
              <w:top w:val="nil"/>
              <w:left w:val="nil"/>
              <w:bottom w:val="nil"/>
              <w:right w:val="nil"/>
            </w:tcBorders>
            <w:shd w:val="clear" w:color="auto" w:fill="auto"/>
            <w:noWrap/>
            <w:vAlign w:val="center"/>
            <w:hideMark/>
          </w:tcPr>
          <w:p w14:paraId="62CC28E6" w14:textId="77777777" w:rsidR="008A1E55" w:rsidRPr="006B42D6" w:rsidRDefault="008A1E55" w:rsidP="00E16CAE">
            <w:pPr>
              <w:jc w:val="right"/>
              <w:rPr>
                <w:sz w:val="16"/>
                <w:szCs w:val="16"/>
              </w:rPr>
            </w:pPr>
            <w:r w:rsidRPr="006B42D6">
              <w:rPr>
                <w:sz w:val="16"/>
                <w:szCs w:val="16"/>
              </w:rPr>
              <w:t>1.5</w:t>
            </w:r>
          </w:p>
        </w:tc>
        <w:tc>
          <w:tcPr>
            <w:tcW w:w="880" w:type="dxa"/>
            <w:tcBorders>
              <w:top w:val="nil"/>
              <w:left w:val="nil"/>
              <w:bottom w:val="nil"/>
              <w:right w:val="nil"/>
            </w:tcBorders>
            <w:shd w:val="clear" w:color="auto" w:fill="auto"/>
            <w:noWrap/>
            <w:vAlign w:val="center"/>
            <w:hideMark/>
          </w:tcPr>
          <w:p w14:paraId="4D49F7F7" w14:textId="77777777" w:rsidR="008A1E55" w:rsidRPr="006B42D6" w:rsidRDefault="008A1E55" w:rsidP="00E16CAE">
            <w:pPr>
              <w:jc w:val="right"/>
              <w:rPr>
                <w:sz w:val="16"/>
                <w:szCs w:val="16"/>
              </w:rPr>
            </w:pPr>
            <w:r w:rsidRPr="006B42D6">
              <w:rPr>
                <w:sz w:val="16"/>
                <w:szCs w:val="16"/>
              </w:rPr>
              <w:t>5.9</w:t>
            </w:r>
          </w:p>
        </w:tc>
        <w:tc>
          <w:tcPr>
            <w:tcW w:w="940" w:type="dxa"/>
            <w:tcBorders>
              <w:top w:val="nil"/>
              <w:left w:val="nil"/>
              <w:bottom w:val="nil"/>
              <w:right w:val="nil"/>
            </w:tcBorders>
            <w:shd w:val="clear" w:color="auto" w:fill="auto"/>
            <w:noWrap/>
            <w:vAlign w:val="center"/>
            <w:hideMark/>
          </w:tcPr>
          <w:p w14:paraId="29BA949A" w14:textId="77777777" w:rsidR="008A1E55" w:rsidRPr="006B42D6" w:rsidRDefault="008A1E55" w:rsidP="00E16CAE">
            <w:pPr>
              <w:jc w:val="right"/>
              <w:rPr>
                <w:sz w:val="16"/>
                <w:szCs w:val="16"/>
              </w:rPr>
            </w:pPr>
            <w:r w:rsidRPr="006B42D6">
              <w:rPr>
                <w:sz w:val="16"/>
                <w:szCs w:val="16"/>
              </w:rPr>
              <w:t>0.9</w:t>
            </w:r>
          </w:p>
        </w:tc>
        <w:tc>
          <w:tcPr>
            <w:tcW w:w="1040" w:type="dxa"/>
            <w:tcBorders>
              <w:top w:val="nil"/>
              <w:left w:val="nil"/>
              <w:bottom w:val="nil"/>
              <w:right w:val="nil"/>
            </w:tcBorders>
            <w:shd w:val="clear" w:color="auto" w:fill="auto"/>
            <w:noWrap/>
            <w:vAlign w:val="center"/>
            <w:hideMark/>
          </w:tcPr>
          <w:p w14:paraId="75E39190" w14:textId="77777777" w:rsidR="008A1E55" w:rsidRPr="006B42D6" w:rsidRDefault="008A1E55" w:rsidP="00E16CAE">
            <w:pPr>
              <w:jc w:val="right"/>
              <w:rPr>
                <w:sz w:val="16"/>
                <w:szCs w:val="16"/>
              </w:rPr>
            </w:pPr>
            <w:r w:rsidRPr="006B42D6">
              <w:rPr>
                <w:sz w:val="16"/>
                <w:szCs w:val="16"/>
              </w:rPr>
              <w:t>0.0</w:t>
            </w:r>
          </w:p>
        </w:tc>
        <w:tc>
          <w:tcPr>
            <w:tcW w:w="700" w:type="dxa"/>
            <w:tcBorders>
              <w:top w:val="nil"/>
              <w:left w:val="nil"/>
              <w:bottom w:val="nil"/>
              <w:right w:val="nil"/>
            </w:tcBorders>
            <w:shd w:val="clear" w:color="auto" w:fill="auto"/>
            <w:noWrap/>
            <w:vAlign w:val="center"/>
            <w:hideMark/>
          </w:tcPr>
          <w:p w14:paraId="3654354D" w14:textId="77777777" w:rsidR="008A1E55" w:rsidRPr="006B42D6" w:rsidRDefault="008A1E55" w:rsidP="00E16CAE">
            <w:pPr>
              <w:jc w:val="right"/>
              <w:rPr>
                <w:sz w:val="16"/>
                <w:szCs w:val="16"/>
              </w:rPr>
            </w:pPr>
            <w:r w:rsidRPr="006B42D6">
              <w:rPr>
                <w:sz w:val="16"/>
                <w:szCs w:val="16"/>
              </w:rPr>
              <w:t>1.9</w:t>
            </w:r>
          </w:p>
        </w:tc>
        <w:tc>
          <w:tcPr>
            <w:tcW w:w="880" w:type="dxa"/>
            <w:tcBorders>
              <w:top w:val="nil"/>
              <w:left w:val="nil"/>
              <w:bottom w:val="nil"/>
              <w:right w:val="nil"/>
            </w:tcBorders>
            <w:shd w:val="clear" w:color="auto" w:fill="auto"/>
            <w:noWrap/>
            <w:vAlign w:val="center"/>
            <w:hideMark/>
          </w:tcPr>
          <w:p w14:paraId="578DABB4" w14:textId="77777777" w:rsidR="008A1E55" w:rsidRPr="006B42D6" w:rsidRDefault="008A1E55" w:rsidP="00E16CAE">
            <w:pPr>
              <w:jc w:val="right"/>
              <w:rPr>
                <w:sz w:val="16"/>
                <w:szCs w:val="16"/>
              </w:rPr>
            </w:pPr>
            <w:r w:rsidRPr="006B42D6">
              <w:rPr>
                <w:sz w:val="16"/>
                <w:szCs w:val="16"/>
              </w:rPr>
              <w:t>-</w:t>
            </w:r>
          </w:p>
        </w:tc>
        <w:tc>
          <w:tcPr>
            <w:tcW w:w="700" w:type="dxa"/>
            <w:tcBorders>
              <w:top w:val="nil"/>
              <w:left w:val="nil"/>
              <w:bottom w:val="nil"/>
              <w:right w:val="nil"/>
            </w:tcBorders>
            <w:shd w:val="clear" w:color="auto" w:fill="auto"/>
            <w:noWrap/>
            <w:vAlign w:val="center"/>
            <w:hideMark/>
          </w:tcPr>
          <w:p w14:paraId="71010555" w14:textId="77777777" w:rsidR="008A1E55" w:rsidRPr="006B42D6" w:rsidRDefault="008A1E55" w:rsidP="00E16CAE">
            <w:pPr>
              <w:jc w:val="right"/>
              <w:rPr>
                <w:sz w:val="16"/>
                <w:szCs w:val="16"/>
              </w:rPr>
            </w:pPr>
            <w:r w:rsidRPr="006B42D6">
              <w:rPr>
                <w:sz w:val="16"/>
                <w:szCs w:val="16"/>
              </w:rPr>
              <w:t>0.2</w:t>
            </w:r>
          </w:p>
        </w:tc>
      </w:tr>
      <w:tr w:rsidR="006B42D6" w:rsidRPr="006B42D6" w14:paraId="625AF5E8" w14:textId="77777777" w:rsidTr="00E16CAE">
        <w:trPr>
          <w:trHeight w:val="283"/>
        </w:trPr>
        <w:tc>
          <w:tcPr>
            <w:tcW w:w="1680" w:type="dxa"/>
            <w:tcBorders>
              <w:top w:val="nil"/>
              <w:left w:val="nil"/>
              <w:bottom w:val="nil"/>
              <w:right w:val="nil"/>
            </w:tcBorders>
            <w:shd w:val="clear" w:color="auto" w:fill="auto"/>
            <w:noWrap/>
            <w:vAlign w:val="center"/>
            <w:hideMark/>
          </w:tcPr>
          <w:p w14:paraId="7B90C664" w14:textId="77777777" w:rsidR="008A1E55" w:rsidRPr="006B42D6" w:rsidRDefault="008A1E55" w:rsidP="00E16CAE">
            <w:pPr>
              <w:rPr>
                <w:sz w:val="16"/>
                <w:szCs w:val="16"/>
              </w:rPr>
            </w:pPr>
            <w:r w:rsidRPr="006B42D6">
              <w:rPr>
                <w:sz w:val="16"/>
                <w:szCs w:val="16"/>
              </w:rPr>
              <w:t>Kigoma</w:t>
            </w:r>
          </w:p>
        </w:tc>
        <w:tc>
          <w:tcPr>
            <w:tcW w:w="700" w:type="dxa"/>
            <w:tcBorders>
              <w:top w:val="nil"/>
              <w:left w:val="nil"/>
              <w:bottom w:val="nil"/>
              <w:right w:val="nil"/>
            </w:tcBorders>
            <w:shd w:val="clear" w:color="auto" w:fill="auto"/>
            <w:noWrap/>
            <w:vAlign w:val="center"/>
            <w:hideMark/>
          </w:tcPr>
          <w:p w14:paraId="7C17D253" w14:textId="77777777" w:rsidR="008A1E55" w:rsidRPr="006B42D6" w:rsidRDefault="008A1E55" w:rsidP="00E16CAE">
            <w:pPr>
              <w:jc w:val="right"/>
              <w:rPr>
                <w:sz w:val="16"/>
                <w:szCs w:val="16"/>
              </w:rPr>
            </w:pPr>
            <w:r w:rsidRPr="006B42D6">
              <w:rPr>
                <w:sz w:val="16"/>
                <w:szCs w:val="16"/>
              </w:rPr>
              <w:t>3.7</w:t>
            </w:r>
          </w:p>
        </w:tc>
        <w:tc>
          <w:tcPr>
            <w:tcW w:w="980" w:type="dxa"/>
            <w:tcBorders>
              <w:top w:val="nil"/>
              <w:left w:val="nil"/>
              <w:bottom w:val="nil"/>
              <w:right w:val="nil"/>
            </w:tcBorders>
            <w:shd w:val="clear" w:color="auto" w:fill="auto"/>
            <w:noWrap/>
            <w:vAlign w:val="center"/>
            <w:hideMark/>
          </w:tcPr>
          <w:p w14:paraId="38ECBEDA" w14:textId="77777777" w:rsidR="008A1E55" w:rsidRPr="006B42D6" w:rsidRDefault="008A1E55" w:rsidP="00E16CAE">
            <w:pPr>
              <w:jc w:val="right"/>
              <w:rPr>
                <w:sz w:val="16"/>
                <w:szCs w:val="16"/>
              </w:rPr>
            </w:pPr>
            <w:r w:rsidRPr="006B42D6">
              <w:rPr>
                <w:sz w:val="16"/>
                <w:szCs w:val="16"/>
              </w:rPr>
              <w:t>1.6</w:t>
            </w:r>
          </w:p>
        </w:tc>
        <w:tc>
          <w:tcPr>
            <w:tcW w:w="920" w:type="dxa"/>
            <w:tcBorders>
              <w:top w:val="nil"/>
              <w:left w:val="nil"/>
              <w:bottom w:val="nil"/>
              <w:right w:val="nil"/>
            </w:tcBorders>
            <w:shd w:val="clear" w:color="auto" w:fill="auto"/>
            <w:noWrap/>
            <w:vAlign w:val="center"/>
            <w:hideMark/>
          </w:tcPr>
          <w:p w14:paraId="6D627F0B" w14:textId="77777777" w:rsidR="008A1E55" w:rsidRPr="006B42D6" w:rsidRDefault="008A1E55" w:rsidP="00E16CAE">
            <w:pPr>
              <w:jc w:val="right"/>
              <w:rPr>
                <w:sz w:val="16"/>
                <w:szCs w:val="16"/>
              </w:rPr>
            </w:pPr>
            <w:r w:rsidRPr="006B42D6">
              <w:rPr>
                <w:sz w:val="16"/>
                <w:szCs w:val="16"/>
              </w:rPr>
              <w:t>2.5</w:t>
            </w:r>
          </w:p>
        </w:tc>
        <w:tc>
          <w:tcPr>
            <w:tcW w:w="880" w:type="dxa"/>
            <w:tcBorders>
              <w:top w:val="nil"/>
              <w:left w:val="nil"/>
              <w:bottom w:val="nil"/>
              <w:right w:val="nil"/>
            </w:tcBorders>
            <w:shd w:val="clear" w:color="auto" w:fill="auto"/>
            <w:noWrap/>
            <w:vAlign w:val="center"/>
            <w:hideMark/>
          </w:tcPr>
          <w:p w14:paraId="76B0BEA1" w14:textId="77777777" w:rsidR="008A1E55" w:rsidRPr="006B42D6" w:rsidRDefault="008A1E55" w:rsidP="00E16CAE">
            <w:pPr>
              <w:jc w:val="right"/>
              <w:rPr>
                <w:sz w:val="16"/>
                <w:szCs w:val="16"/>
              </w:rPr>
            </w:pPr>
            <w:r w:rsidRPr="006B42D6">
              <w:rPr>
                <w:sz w:val="16"/>
                <w:szCs w:val="16"/>
              </w:rPr>
              <w:t>8.5</w:t>
            </w:r>
          </w:p>
        </w:tc>
        <w:tc>
          <w:tcPr>
            <w:tcW w:w="940" w:type="dxa"/>
            <w:tcBorders>
              <w:top w:val="nil"/>
              <w:left w:val="nil"/>
              <w:bottom w:val="nil"/>
              <w:right w:val="nil"/>
            </w:tcBorders>
            <w:shd w:val="clear" w:color="auto" w:fill="auto"/>
            <w:noWrap/>
            <w:vAlign w:val="center"/>
            <w:hideMark/>
          </w:tcPr>
          <w:p w14:paraId="758E2D95" w14:textId="77777777" w:rsidR="008A1E55" w:rsidRPr="006B42D6" w:rsidRDefault="008A1E55" w:rsidP="00E16CAE">
            <w:pPr>
              <w:jc w:val="right"/>
              <w:rPr>
                <w:sz w:val="16"/>
                <w:szCs w:val="16"/>
              </w:rPr>
            </w:pPr>
            <w:r w:rsidRPr="006B42D6">
              <w:rPr>
                <w:sz w:val="16"/>
                <w:szCs w:val="16"/>
              </w:rPr>
              <w:t>1.3</w:t>
            </w:r>
          </w:p>
        </w:tc>
        <w:tc>
          <w:tcPr>
            <w:tcW w:w="1040" w:type="dxa"/>
            <w:tcBorders>
              <w:top w:val="nil"/>
              <w:left w:val="nil"/>
              <w:bottom w:val="nil"/>
              <w:right w:val="nil"/>
            </w:tcBorders>
            <w:shd w:val="clear" w:color="auto" w:fill="auto"/>
            <w:noWrap/>
            <w:vAlign w:val="center"/>
            <w:hideMark/>
          </w:tcPr>
          <w:p w14:paraId="6A779A26" w14:textId="77777777" w:rsidR="008A1E55" w:rsidRPr="006B42D6" w:rsidRDefault="008A1E55" w:rsidP="00E16CAE">
            <w:pPr>
              <w:jc w:val="right"/>
              <w:rPr>
                <w:sz w:val="16"/>
                <w:szCs w:val="16"/>
              </w:rPr>
            </w:pPr>
            <w:r w:rsidRPr="006B42D6">
              <w:rPr>
                <w:sz w:val="16"/>
                <w:szCs w:val="16"/>
              </w:rPr>
              <w:t>0.2</w:t>
            </w:r>
          </w:p>
        </w:tc>
        <w:tc>
          <w:tcPr>
            <w:tcW w:w="700" w:type="dxa"/>
            <w:tcBorders>
              <w:top w:val="nil"/>
              <w:left w:val="nil"/>
              <w:bottom w:val="nil"/>
              <w:right w:val="nil"/>
            </w:tcBorders>
            <w:shd w:val="clear" w:color="auto" w:fill="auto"/>
            <w:noWrap/>
            <w:vAlign w:val="center"/>
            <w:hideMark/>
          </w:tcPr>
          <w:p w14:paraId="096188BD" w14:textId="77777777" w:rsidR="008A1E55" w:rsidRPr="006B42D6" w:rsidRDefault="008A1E55" w:rsidP="00E16CAE">
            <w:pPr>
              <w:jc w:val="right"/>
              <w:rPr>
                <w:sz w:val="16"/>
                <w:szCs w:val="16"/>
              </w:rPr>
            </w:pPr>
            <w:r w:rsidRPr="006B42D6">
              <w:rPr>
                <w:sz w:val="16"/>
                <w:szCs w:val="16"/>
              </w:rPr>
              <w:t>3.7</w:t>
            </w:r>
          </w:p>
        </w:tc>
        <w:tc>
          <w:tcPr>
            <w:tcW w:w="880" w:type="dxa"/>
            <w:tcBorders>
              <w:top w:val="nil"/>
              <w:left w:val="nil"/>
              <w:bottom w:val="nil"/>
              <w:right w:val="nil"/>
            </w:tcBorders>
            <w:shd w:val="clear" w:color="auto" w:fill="auto"/>
            <w:noWrap/>
            <w:vAlign w:val="center"/>
            <w:hideMark/>
          </w:tcPr>
          <w:p w14:paraId="7DC76178" w14:textId="77777777" w:rsidR="008A1E55" w:rsidRPr="006B42D6" w:rsidRDefault="008A1E55" w:rsidP="00E16CAE">
            <w:pPr>
              <w:jc w:val="right"/>
              <w:rPr>
                <w:sz w:val="16"/>
                <w:szCs w:val="16"/>
              </w:rPr>
            </w:pPr>
            <w:r w:rsidRPr="006B42D6">
              <w:rPr>
                <w:sz w:val="16"/>
                <w:szCs w:val="16"/>
              </w:rPr>
              <w:t>-</w:t>
            </w:r>
          </w:p>
        </w:tc>
        <w:tc>
          <w:tcPr>
            <w:tcW w:w="700" w:type="dxa"/>
            <w:tcBorders>
              <w:top w:val="nil"/>
              <w:left w:val="nil"/>
              <w:bottom w:val="nil"/>
              <w:right w:val="nil"/>
            </w:tcBorders>
            <w:shd w:val="clear" w:color="auto" w:fill="auto"/>
            <w:noWrap/>
            <w:vAlign w:val="center"/>
            <w:hideMark/>
          </w:tcPr>
          <w:p w14:paraId="64F33C3E" w14:textId="77777777" w:rsidR="008A1E55" w:rsidRPr="006B42D6" w:rsidRDefault="008A1E55" w:rsidP="00E16CAE">
            <w:pPr>
              <w:jc w:val="right"/>
              <w:rPr>
                <w:sz w:val="16"/>
                <w:szCs w:val="16"/>
              </w:rPr>
            </w:pPr>
            <w:r w:rsidRPr="006B42D6">
              <w:rPr>
                <w:sz w:val="16"/>
                <w:szCs w:val="16"/>
              </w:rPr>
              <w:t>1.0</w:t>
            </w:r>
          </w:p>
        </w:tc>
      </w:tr>
      <w:tr w:rsidR="006B42D6" w:rsidRPr="006B42D6" w14:paraId="4E26A945" w14:textId="77777777" w:rsidTr="00E16CAE">
        <w:trPr>
          <w:trHeight w:val="283"/>
        </w:trPr>
        <w:tc>
          <w:tcPr>
            <w:tcW w:w="1680" w:type="dxa"/>
            <w:tcBorders>
              <w:top w:val="nil"/>
              <w:left w:val="nil"/>
              <w:bottom w:val="nil"/>
              <w:right w:val="nil"/>
            </w:tcBorders>
            <w:shd w:val="clear" w:color="auto" w:fill="auto"/>
            <w:noWrap/>
            <w:vAlign w:val="center"/>
            <w:hideMark/>
          </w:tcPr>
          <w:p w14:paraId="5698A7E3" w14:textId="77777777" w:rsidR="008A1E55" w:rsidRPr="006B42D6" w:rsidRDefault="008A1E55" w:rsidP="00E16CAE">
            <w:pPr>
              <w:rPr>
                <w:sz w:val="16"/>
                <w:szCs w:val="16"/>
              </w:rPr>
            </w:pPr>
            <w:r w:rsidRPr="006B42D6">
              <w:rPr>
                <w:sz w:val="16"/>
                <w:szCs w:val="16"/>
              </w:rPr>
              <w:t>Shinyanga</w:t>
            </w:r>
          </w:p>
        </w:tc>
        <w:tc>
          <w:tcPr>
            <w:tcW w:w="700" w:type="dxa"/>
            <w:tcBorders>
              <w:top w:val="nil"/>
              <w:left w:val="nil"/>
              <w:bottom w:val="nil"/>
              <w:right w:val="nil"/>
            </w:tcBorders>
            <w:shd w:val="clear" w:color="auto" w:fill="auto"/>
            <w:noWrap/>
            <w:vAlign w:val="center"/>
            <w:hideMark/>
          </w:tcPr>
          <w:p w14:paraId="396D8ACE" w14:textId="77777777" w:rsidR="008A1E55" w:rsidRPr="006B42D6" w:rsidRDefault="008A1E55" w:rsidP="00E16CAE">
            <w:pPr>
              <w:jc w:val="right"/>
              <w:rPr>
                <w:sz w:val="16"/>
                <w:szCs w:val="16"/>
              </w:rPr>
            </w:pPr>
            <w:r w:rsidRPr="006B42D6">
              <w:rPr>
                <w:sz w:val="16"/>
                <w:szCs w:val="16"/>
              </w:rPr>
              <w:t>1.0</w:t>
            </w:r>
          </w:p>
        </w:tc>
        <w:tc>
          <w:tcPr>
            <w:tcW w:w="980" w:type="dxa"/>
            <w:tcBorders>
              <w:top w:val="nil"/>
              <w:left w:val="nil"/>
              <w:bottom w:val="nil"/>
              <w:right w:val="nil"/>
            </w:tcBorders>
            <w:shd w:val="clear" w:color="auto" w:fill="auto"/>
            <w:noWrap/>
            <w:vAlign w:val="center"/>
            <w:hideMark/>
          </w:tcPr>
          <w:p w14:paraId="3A72C46C" w14:textId="77777777" w:rsidR="008A1E55" w:rsidRPr="006B42D6" w:rsidRDefault="008A1E55" w:rsidP="00E16CAE">
            <w:pPr>
              <w:jc w:val="right"/>
              <w:rPr>
                <w:sz w:val="16"/>
                <w:szCs w:val="16"/>
              </w:rPr>
            </w:pPr>
            <w:r w:rsidRPr="006B42D6">
              <w:rPr>
                <w:sz w:val="16"/>
                <w:szCs w:val="16"/>
              </w:rPr>
              <w:t>1.3</w:t>
            </w:r>
          </w:p>
        </w:tc>
        <w:tc>
          <w:tcPr>
            <w:tcW w:w="920" w:type="dxa"/>
            <w:tcBorders>
              <w:top w:val="nil"/>
              <w:left w:val="nil"/>
              <w:bottom w:val="nil"/>
              <w:right w:val="nil"/>
            </w:tcBorders>
            <w:shd w:val="clear" w:color="auto" w:fill="auto"/>
            <w:noWrap/>
            <w:vAlign w:val="center"/>
            <w:hideMark/>
          </w:tcPr>
          <w:p w14:paraId="5FE636ED" w14:textId="77777777" w:rsidR="008A1E55" w:rsidRPr="006B42D6" w:rsidRDefault="008A1E55" w:rsidP="00E16CAE">
            <w:pPr>
              <w:jc w:val="right"/>
              <w:rPr>
                <w:sz w:val="16"/>
                <w:szCs w:val="16"/>
              </w:rPr>
            </w:pPr>
            <w:r w:rsidRPr="006B42D6">
              <w:rPr>
                <w:sz w:val="16"/>
                <w:szCs w:val="16"/>
              </w:rPr>
              <w:t>8.0</w:t>
            </w:r>
          </w:p>
        </w:tc>
        <w:tc>
          <w:tcPr>
            <w:tcW w:w="880" w:type="dxa"/>
            <w:tcBorders>
              <w:top w:val="nil"/>
              <w:left w:val="nil"/>
              <w:bottom w:val="nil"/>
              <w:right w:val="nil"/>
            </w:tcBorders>
            <w:shd w:val="clear" w:color="auto" w:fill="auto"/>
            <w:noWrap/>
            <w:vAlign w:val="center"/>
            <w:hideMark/>
          </w:tcPr>
          <w:p w14:paraId="1DD61E2E" w14:textId="77777777" w:rsidR="008A1E55" w:rsidRPr="006B42D6" w:rsidRDefault="008A1E55" w:rsidP="00E16CAE">
            <w:pPr>
              <w:jc w:val="right"/>
              <w:rPr>
                <w:sz w:val="16"/>
                <w:szCs w:val="16"/>
              </w:rPr>
            </w:pPr>
            <w:r w:rsidRPr="006B42D6">
              <w:rPr>
                <w:sz w:val="16"/>
                <w:szCs w:val="16"/>
              </w:rPr>
              <w:t>0.8</w:t>
            </w:r>
          </w:p>
        </w:tc>
        <w:tc>
          <w:tcPr>
            <w:tcW w:w="940" w:type="dxa"/>
            <w:tcBorders>
              <w:top w:val="nil"/>
              <w:left w:val="nil"/>
              <w:bottom w:val="nil"/>
              <w:right w:val="nil"/>
            </w:tcBorders>
            <w:shd w:val="clear" w:color="auto" w:fill="auto"/>
            <w:noWrap/>
            <w:vAlign w:val="center"/>
            <w:hideMark/>
          </w:tcPr>
          <w:p w14:paraId="3A509CC2" w14:textId="77777777" w:rsidR="008A1E55" w:rsidRPr="006B42D6" w:rsidRDefault="008A1E55" w:rsidP="00E16CAE">
            <w:pPr>
              <w:jc w:val="right"/>
              <w:rPr>
                <w:sz w:val="16"/>
                <w:szCs w:val="16"/>
              </w:rPr>
            </w:pPr>
            <w:r w:rsidRPr="006B42D6">
              <w:rPr>
                <w:sz w:val="16"/>
                <w:szCs w:val="16"/>
              </w:rPr>
              <w:t>-</w:t>
            </w:r>
          </w:p>
        </w:tc>
        <w:tc>
          <w:tcPr>
            <w:tcW w:w="1040" w:type="dxa"/>
            <w:tcBorders>
              <w:top w:val="nil"/>
              <w:left w:val="nil"/>
              <w:bottom w:val="nil"/>
              <w:right w:val="nil"/>
            </w:tcBorders>
            <w:shd w:val="clear" w:color="auto" w:fill="auto"/>
            <w:noWrap/>
            <w:vAlign w:val="center"/>
            <w:hideMark/>
          </w:tcPr>
          <w:p w14:paraId="419A9458" w14:textId="77777777" w:rsidR="008A1E55" w:rsidRPr="006B42D6" w:rsidRDefault="008A1E55" w:rsidP="00E16CAE">
            <w:pPr>
              <w:jc w:val="right"/>
              <w:rPr>
                <w:sz w:val="16"/>
                <w:szCs w:val="16"/>
              </w:rPr>
            </w:pPr>
            <w:r w:rsidRPr="006B42D6">
              <w:rPr>
                <w:sz w:val="16"/>
                <w:szCs w:val="16"/>
              </w:rPr>
              <w:t>1.5</w:t>
            </w:r>
          </w:p>
        </w:tc>
        <w:tc>
          <w:tcPr>
            <w:tcW w:w="700" w:type="dxa"/>
            <w:tcBorders>
              <w:top w:val="nil"/>
              <w:left w:val="nil"/>
              <w:bottom w:val="nil"/>
              <w:right w:val="nil"/>
            </w:tcBorders>
            <w:shd w:val="clear" w:color="auto" w:fill="auto"/>
            <w:noWrap/>
            <w:vAlign w:val="center"/>
            <w:hideMark/>
          </w:tcPr>
          <w:p w14:paraId="6239D3F3" w14:textId="77777777" w:rsidR="008A1E55" w:rsidRPr="006B42D6" w:rsidRDefault="008A1E55" w:rsidP="00E16CAE">
            <w:pPr>
              <w:jc w:val="right"/>
              <w:rPr>
                <w:sz w:val="16"/>
                <w:szCs w:val="16"/>
              </w:rPr>
            </w:pPr>
            <w:r w:rsidRPr="006B42D6">
              <w:rPr>
                <w:sz w:val="16"/>
                <w:szCs w:val="16"/>
              </w:rPr>
              <w:t>-</w:t>
            </w:r>
          </w:p>
        </w:tc>
        <w:tc>
          <w:tcPr>
            <w:tcW w:w="880" w:type="dxa"/>
            <w:tcBorders>
              <w:top w:val="nil"/>
              <w:left w:val="nil"/>
              <w:bottom w:val="nil"/>
              <w:right w:val="nil"/>
            </w:tcBorders>
            <w:shd w:val="clear" w:color="auto" w:fill="auto"/>
            <w:noWrap/>
            <w:vAlign w:val="center"/>
            <w:hideMark/>
          </w:tcPr>
          <w:p w14:paraId="5F850544" w14:textId="77777777" w:rsidR="008A1E55" w:rsidRPr="006B42D6" w:rsidRDefault="008A1E55" w:rsidP="00E16CAE">
            <w:pPr>
              <w:jc w:val="right"/>
              <w:rPr>
                <w:sz w:val="16"/>
                <w:szCs w:val="16"/>
              </w:rPr>
            </w:pPr>
            <w:r w:rsidRPr="006B42D6">
              <w:rPr>
                <w:sz w:val="16"/>
                <w:szCs w:val="16"/>
              </w:rPr>
              <w:t>1.7</w:t>
            </w:r>
          </w:p>
        </w:tc>
        <w:tc>
          <w:tcPr>
            <w:tcW w:w="700" w:type="dxa"/>
            <w:tcBorders>
              <w:top w:val="nil"/>
              <w:left w:val="nil"/>
              <w:bottom w:val="nil"/>
              <w:right w:val="nil"/>
            </w:tcBorders>
            <w:shd w:val="clear" w:color="auto" w:fill="auto"/>
            <w:noWrap/>
            <w:vAlign w:val="center"/>
            <w:hideMark/>
          </w:tcPr>
          <w:p w14:paraId="0D27E270" w14:textId="77777777" w:rsidR="008A1E55" w:rsidRPr="006B42D6" w:rsidRDefault="008A1E55" w:rsidP="00E16CAE">
            <w:pPr>
              <w:jc w:val="right"/>
              <w:rPr>
                <w:sz w:val="16"/>
                <w:szCs w:val="16"/>
              </w:rPr>
            </w:pPr>
            <w:r w:rsidRPr="006B42D6">
              <w:rPr>
                <w:sz w:val="16"/>
                <w:szCs w:val="16"/>
              </w:rPr>
              <w:t>0.8</w:t>
            </w:r>
          </w:p>
        </w:tc>
      </w:tr>
      <w:tr w:rsidR="006B42D6" w:rsidRPr="006B42D6" w14:paraId="64B8C553" w14:textId="77777777" w:rsidTr="00E16CAE">
        <w:trPr>
          <w:trHeight w:val="283"/>
        </w:trPr>
        <w:tc>
          <w:tcPr>
            <w:tcW w:w="1680" w:type="dxa"/>
            <w:tcBorders>
              <w:top w:val="nil"/>
              <w:left w:val="nil"/>
              <w:bottom w:val="nil"/>
              <w:right w:val="nil"/>
            </w:tcBorders>
            <w:shd w:val="clear" w:color="auto" w:fill="auto"/>
            <w:noWrap/>
            <w:vAlign w:val="center"/>
            <w:hideMark/>
          </w:tcPr>
          <w:p w14:paraId="3C3899F4" w14:textId="77777777" w:rsidR="008A1E55" w:rsidRPr="006B42D6" w:rsidRDefault="008A1E55" w:rsidP="00E16CAE">
            <w:pPr>
              <w:rPr>
                <w:sz w:val="16"/>
                <w:szCs w:val="16"/>
              </w:rPr>
            </w:pPr>
            <w:r w:rsidRPr="006B42D6">
              <w:rPr>
                <w:sz w:val="16"/>
                <w:szCs w:val="16"/>
              </w:rPr>
              <w:t>Kagera</w:t>
            </w:r>
          </w:p>
        </w:tc>
        <w:tc>
          <w:tcPr>
            <w:tcW w:w="700" w:type="dxa"/>
            <w:tcBorders>
              <w:top w:val="nil"/>
              <w:left w:val="nil"/>
              <w:bottom w:val="nil"/>
              <w:right w:val="nil"/>
            </w:tcBorders>
            <w:shd w:val="clear" w:color="auto" w:fill="auto"/>
            <w:noWrap/>
            <w:vAlign w:val="center"/>
            <w:hideMark/>
          </w:tcPr>
          <w:p w14:paraId="6276EFF8" w14:textId="77777777" w:rsidR="008A1E55" w:rsidRPr="006B42D6" w:rsidRDefault="008A1E55" w:rsidP="00E16CAE">
            <w:pPr>
              <w:jc w:val="right"/>
              <w:rPr>
                <w:sz w:val="16"/>
                <w:szCs w:val="16"/>
              </w:rPr>
            </w:pPr>
            <w:r w:rsidRPr="006B42D6">
              <w:rPr>
                <w:sz w:val="16"/>
                <w:szCs w:val="16"/>
              </w:rPr>
              <w:t>15.2</w:t>
            </w:r>
          </w:p>
        </w:tc>
        <w:tc>
          <w:tcPr>
            <w:tcW w:w="980" w:type="dxa"/>
            <w:tcBorders>
              <w:top w:val="nil"/>
              <w:left w:val="nil"/>
              <w:bottom w:val="nil"/>
              <w:right w:val="nil"/>
            </w:tcBorders>
            <w:shd w:val="clear" w:color="auto" w:fill="auto"/>
            <w:noWrap/>
            <w:vAlign w:val="center"/>
            <w:hideMark/>
          </w:tcPr>
          <w:p w14:paraId="07E0DE21" w14:textId="77777777" w:rsidR="008A1E55" w:rsidRPr="006B42D6" w:rsidRDefault="008A1E55" w:rsidP="00E16CAE">
            <w:pPr>
              <w:jc w:val="right"/>
              <w:rPr>
                <w:sz w:val="16"/>
                <w:szCs w:val="16"/>
              </w:rPr>
            </w:pPr>
            <w:r w:rsidRPr="006B42D6">
              <w:rPr>
                <w:sz w:val="16"/>
                <w:szCs w:val="16"/>
              </w:rPr>
              <w:t>14.5</w:t>
            </w:r>
          </w:p>
        </w:tc>
        <w:tc>
          <w:tcPr>
            <w:tcW w:w="920" w:type="dxa"/>
            <w:tcBorders>
              <w:top w:val="nil"/>
              <w:left w:val="nil"/>
              <w:bottom w:val="nil"/>
              <w:right w:val="nil"/>
            </w:tcBorders>
            <w:shd w:val="clear" w:color="auto" w:fill="auto"/>
            <w:noWrap/>
            <w:vAlign w:val="center"/>
            <w:hideMark/>
          </w:tcPr>
          <w:p w14:paraId="58B65414" w14:textId="77777777" w:rsidR="008A1E55" w:rsidRPr="006B42D6" w:rsidRDefault="008A1E55" w:rsidP="00E16CAE">
            <w:pPr>
              <w:jc w:val="right"/>
              <w:rPr>
                <w:sz w:val="16"/>
                <w:szCs w:val="16"/>
              </w:rPr>
            </w:pPr>
            <w:r w:rsidRPr="006B42D6">
              <w:rPr>
                <w:sz w:val="16"/>
                <w:szCs w:val="16"/>
              </w:rPr>
              <w:t>3.7</w:t>
            </w:r>
          </w:p>
        </w:tc>
        <w:tc>
          <w:tcPr>
            <w:tcW w:w="880" w:type="dxa"/>
            <w:tcBorders>
              <w:top w:val="nil"/>
              <w:left w:val="nil"/>
              <w:bottom w:val="nil"/>
              <w:right w:val="nil"/>
            </w:tcBorders>
            <w:shd w:val="clear" w:color="auto" w:fill="auto"/>
            <w:noWrap/>
            <w:vAlign w:val="center"/>
            <w:hideMark/>
          </w:tcPr>
          <w:p w14:paraId="65C47707" w14:textId="77777777" w:rsidR="008A1E55" w:rsidRPr="006B42D6" w:rsidRDefault="008A1E55" w:rsidP="00E16CAE">
            <w:pPr>
              <w:jc w:val="right"/>
              <w:rPr>
                <w:sz w:val="16"/>
                <w:szCs w:val="16"/>
              </w:rPr>
            </w:pPr>
            <w:r w:rsidRPr="006B42D6">
              <w:rPr>
                <w:sz w:val="16"/>
                <w:szCs w:val="16"/>
              </w:rPr>
              <w:t>5.1</w:t>
            </w:r>
          </w:p>
        </w:tc>
        <w:tc>
          <w:tcPr>
            <w:tcW w:w="940" w:type="dxa"/>
            <w:tcBorders>
              <w:top w:val="nil"/>
              <w:left w:val="nil"/>
              <w:bottom w:val="nil"/>
              <w:right w:val="nil"/>
            </w:tcBorders>
            <w:shd w:val="clear" w:color="auto" w:fill="auto"/>
            <w:noWrap/>
            <w:vAlign w:val="center"/>
            <w:hideMark/>
          </w:tcPr>
          <w:p w14:paraId="3D1739BC" w14:textId="77777777" w:rsidR="008A1E55" w:rsidRPr="006B42D6" w:rsidRDefault="008A1E55" w:rsidP="00E16CAE">
            <w:pPr>
              <w:jc w:val="right"/>
              <w:rPr>
                <w:sz w:val="16"/>
                <w:szCs w:val="16"/>
              </w:rPr>
            </w:pPr>
            <w:r w:rsidRPr="006B42D6">
              <w:rPr>
                <w:sz w:val="16"/>
                <w:szCs w:val="16"/>
              </w:rPr>
              <w:t>1.0</w:t>
            </w:r>
          </w:p>
        </w:tc>
        <w:tc>
          <w:tcPr>
            <w:tcW w:w="1040" w:type="dxa"/>
            <w:tcBorders>
              <w:top w:val="nil"/>
              <w:left w:val="nil"/>
              <w:bottom w:val="nil"/>
              <w:right w:val="nil"/>
            </w:tcBorders>
            <w:shd w:val="clear" w:color="auto" w:fill="auto"/>
            <w:noWrap/>
            <w:vAlign w:val="center"/>
            <w:hideMark/>
          </w:tcPr>
          <w:p w14:paraId="3F0EB43E" w14:textId="77777777" w:rsidR="008A1E55" w:rsidRPr="006B42D6" w:rsidRDefault="008A1E55" w:rsidP="00E16CAE">
            <w:pPr>
              <w:jc w:val="right"/>
              <w:rPr>
                <w:sz w:val="16"/>
                <w:szCs w:val="16"/>
              </w:rPr>
            </w:pPr>
            <w:r w:rsidRPr="006B42D6">
              <w:rPr>
                <w:sz w:val="16"/>
                <w:szCs w:val="16"/>
              </w:rPr>
              <w:t>2.4</w:t>
            </w:r>
          </w:p>
        </w:tc>
        <w:tc>
          <w:tcPr>
            <w:tcW w:w="700" w:type="dxa"/>
            <w:tcBorders>
              <w:top w:val="nil"/>
              <w:left w:val="nil"/>
              <w:bottom w:val="nil"/>
              <w:right w:val="nil"/>
            </w:tcBorders>
            <w:shd w:val="clear" w:color="auto" w:fill="auto"/>
            <w:noWrap/>
            <w:vAlign w:val="center"/>
            <w:hideMark/>
          </w:tcPr>
          <w:p w14:paraId="32258B49" w14:textId="77777777" w:rsidR="008A1E55" w:rsidRPr="006B42D6" w:rsidRDefault="008A1E55" w:rsidP="00E16CAE">
            <w:pPr>
              <w:jc w:val="right"/>
              <w:rPr>
                <w:sz w:val="16"/>
                <w:szCs w:val="16"/>
              </w:rPr>
            </w:pPr>
            <w:r w:rsidRPr="006B42D6">
              <w:rPr>
                <w:sz w:val="16"/>
                <w:szCs w:val="16"/>
              </w:rPr>
              <w:t>-</w:t>
            </w:r>
          </w:p>
        </w:tc>
        <w:tc>
          <w:tcPr>
            <w:tcW w:w="880" w:type="dxa"/>
            <w:tcBorders>
              <w:top w:val="nil"/>
              <w:left w:val="nil"/>
              <w:bottom w:val="nil"/>
              <w:right w:val="nil"/>
            </w:tcBorders>
            <w:shd w:val="clear" w:color="auto" w:fill="auto"/>
            <w:noWrap/>
            <w:vAlign w:val="center"/>
            <w:hideMark/>
          </w:tcPr>
          <w:p w14:paraId="655D4469" w14:textId="77777777" w:rsidR="008A1E55" w:rsidRPr="006B42D6" w:rsidRDefault="008A1E55" w:rsidP="00E16CAE">
            <w:pPr>
              <w:jc w:val="right"/>
              <w:rPr>
                <w:sz w:val="16"/>
                <w:szCs w:val="16"/>
              </w:rPr>
            </w:pPr>
            <w:r w:rsidRPr="006B42D6">
              <w:rPr>
                <w:sz w:val="16"/>
                <w:szCs w:val="16"/>
              </w:rPr>
              <w:t>1.1</w:t>
            </w:r>
          </w:p>
        </w:tc>
        <w:tc>
          <w:tcPr>
            <w:tcW w:w="700" w:type="dxa"/>
            <w:tcBorders>
              <w:top w:val="nil"/>
              <w:left w:val="nil"/>
              <w:bottom w:val="nil"/>
              <w:right w:val="nil"/>
            </w:tcBorders>
            <w:shd w:val="clear" w:color="auto" w:fill="auto"/>
            <w:noWrap/>
            <w:vAlign w:val="center"/>
            <w:hideMark/>
          </w:tcPr>
          <w:p w14:paraId="461668A1" w14:textId="77777777" w:rsidR="008A1E55" w:rsidRPr="006B42D6" w:rsidRDefault="008A1E55" w:rsidP="00E16CAE">
            <w:pPr>
              <w:jc w:val="right"/>
              <w:rPr>
                <w:sz w:val="16"/>
                <w:szCs w:val="16"/>
              </w:rPr>
            </w:pPr>
            <w:r w:rsidRPr="006B42D6">
              <w:rPr>
                <w:sz w:val="16"/>
                <w:szCs w:val="16"/>
              </w:rPr>
              <w:t>1.6</w:t>
            </w:r>
          </w:p>
        </w:tc>
      </w:tr>
      <w:tr w:rsidR="006B42D6" w:rsidRPr="006B42D6" w14:paraId="3FC30439" w14:textId="77777777" w:rsidTr="00E16CAE">
        <w:trPr>
          <w:trHeight w:val="283"/>
        </w:trPr>
        <w:tc>
          <w:tcPr>
            <w:tcW w:w="1680" w:type="dxa"/>
            <w:tcBorders>
              <w:top w:val="nil"/>
              <w:left w:val="nil"/>
              <w:bottom w:val="nil"/>
              <w:right w:val="nil"/>
            </w:tcBorders>
            <w:shd w:val="clear" w:color="auto" w:fill="auto"/>
            <w:noWrap/>
            <w:vAlign w:val="center"/>
            <w:hideMark/>
          </w:tcPr>
          <w:p w14:paraId="1F76DD04" w14:textId="77777777" w:rsidR="008A1E55" w:rsidRPr="006B42D6" w:rsidRDefault="008A1E55" w:rsidP="00E16CAE">
            <w:pPr>
              <w:rPr>
                <w:sz w:val="16"/>
                <w:szCs w:val="16"/>
              </w:rPr>
            </w:pPr>
            <w:r w:rsidRPr="006B42D6">
              <w:rPr>
                <w:sz w:val="16"/>
                <w:szCs w:val="16"/>
              </w:rPr>
              <w:t>Mwanza</w:t>
            </w:r>
          </w:p>
        </w:tc>
        <w:tc>
          <w:tcPr>
            <w:tcW w:w="700" w:type="dxa"/>
            <w:tcBorders>
              <w:top w:val="nil"/>
              <w:left w:val="nil"/>
              <w:bottom w:val="nil"/>
              <w:right w:val="nil"/>
            </w:tcBorders>
            <w:shd w:val="clear" w:color="auto" w:fill="auto"/>
            <w:noWrap/>
            <w:vAlign w:val="center"/>
            <w:hideMark/>
          </w:tcPr>
          <w:p w14:paraId="2E09B074" w14:textId="77777777" w:rsidR="008A1E55" w:rsidRPr="006B42D6" w:rsidRDefault="008A1E55" w:rsidP="00E16CAE">
            <w:pPr>
              <w:jc w:val="right"/>
              <w:rPr>
                <w:sz w:val="16"/>
                <w:szCs w:val="16"/>
              </w:rPr>
            </w:pPr>
            <w:r w:rsidRPr="006B42D6">
              <w:rPr>
                <w:sz w:val="16"/>
                <w:szCs w:val="16"/>
              </w:rPr>
              <w:t>6.0</w:t>
            </w:r>
          </w:p>
        </w:tc>
        <w:tc>
          <w:tcPr>
            <w:tcW w:w="980" w:type="dxa"/>
            <w:tcBorders>
              <w:top w:val="nil"/>
              <w:left w:val="nil"/>
              <w:bottom w:val="nil"/>
              <w:right w:val="nil"/>
            </w:tcBorders>
            <w:shd w:val="clear" w:color="auto" w:fill="auto"/>
            <w:noWrap/>
            <w:vAlign w:val="center"/>
            <w:hideMark/>
          </w:tcPr>
          <w:p w14:paraId="44C32F5A" w14:textId="77777777" w:rsidR="008A1E55" w:rsidRPr="006B42D6" w:rsidRDefault="008A1E55" w:rsidP="00E16CAE">
            <w:pPr>
              <w:jc w:val="right"/>
              <w:rPr>
                <w:sz w:val="16"/>
                <w:szCs w:val="16"/>
              </w:rPr>
            </w:pPr>
            <w:r w:rsidRPr="006B42D6">
              <w:rPr>
                <w:sz w:val="16"/>
                <w:szCs w:val="16"/>
              </w:rPr>
              <w:t>1.3</w:t>
            </w:r>
          </w:p>
        </w:tc>
        <w:tc>
          <w:tcPr>
            <w:tcW w:w="920" w:type="dxa"/>
            <w:tcBorders>
              <w:top w:val="nil"/>
              <w:left w:val="nil"/>
              <w:bottom w:val="nil"/>
              <w:right w:val="nil"/>
            </w:tcBorders>
            <w:shd w:val="clear" w:color="auto" w:fill="auto"/>
            <w:noWrap/>
            <w:vAlign w:val="center"/>
            <w:hideMark/>
          </w:tcPr>
          <w:p w14:paraId="0EFC680A" w14:textId="77777777" w:rsidR="008A1E55" w:rsidRPr="006B42D6" w:rsidRDefault="008A1E55" w:rsidP="00E16CAE">
            <w:pPr>
              <w:jc w:val="right"/>
              <w:rPr>
                <w:sz w:val="16"/>
                <w:szCs w:val="16"/>
              </w:rPr>
            </w:pPr>
            <w:r w:rsidRPr="006B42D6">
              <w:rPr>
                <w:sz w:val="16"/>
                <w:szCs w:val="16"/>
              </w:rPr>
              <w:t>10.1</w:t>
            </w:r>
          </w:p>
        </w:tc>
        <w:tc>
          <w:tcPr>
            <w:tcW w:w="880" w:type="dxa"/>
            <w:tcBorders>
              <w:top w:val="nil"/>
              <w:left w:val="nil"/>
              <w:bottom w:val="nil"/>
              <w:right w:val="nil"/>
            </w:tcBorders>
            <w:shd w:val="clear" w:color="auto" w:fill="auto"/>
            <w:noWrap/>
            <w:vAlign w:val="center"/>
            <w:hideMark/>
          </w:tcPr>
          <w:p w14:paraId="04300108" w14:textId="77777777" w:rsidR="008A1E55" w:rsidRPr="006B42D6" w:rsidRDefault="008A1E55" w:rsidP="00E16CAE">
            <w:pPr>
              <w:jc w:val="right"/>
              <w:rPr>
                <w:sz w:val="16"/>
                <w:szCs w:val="16"/>
              </w:rPr>
            </w:pPr>
            <w:r w:rsidRPr="006B42D6">
              <w:rPr>
                <w:sz w:val="16"/>
                <w:szCs w:val="16"/>
              </w:rPr>
              <w:t>4.1</w:t>
            </w:r>
          </w:p>
        </w:tc>
        <w:tc>
          <w:tcPr>
            <w:tcW w:w="940" w:type="dxa"/>
            <w:tcBorders>
              <w:top w:val="nil"/>
              <w:left w:val="nil"/>
              <w:bottom w:val="nil"/>
              <w:right w:val="nil"/>
            </w:tcBorders>
            <w:shd w:val="clear" w:color="auto" w:fill="auto"/>
            <w:noWrap/>
            <w:vAlign w:val="center"/>
            <w:hideMark/>
          </w:tcPr>
          <w:p w14:paraId="40A448A1" w14:textId="77777777" w:rsidR="008A1E55" w:rsidRPr="006B42D6" w:rsidRDefault="008A1E55" w:rsidP="00E16CAE">
            <w:pPr>
              <w:jc w:val="right"/>
              <w:rPr>
                <w:sz w:val="16"/>
                <w:szCs w:val="16"/>
              </w:rPr>
            </w:pPr>
            <w:r w:rsidRPr="006B42D6">
              <w:rPr>
                <w:sz w:val="16"/>
                <w:szCs w:val="16"/>
              </w:rPr>
              <w:t>4.7</w:t>
            </w:r>
          </w:p>
        </w:tc>
        <w:tc>
          <w:tcPr>
            <w:tcW w:w="1040" w:type="dxa"/>
            <w:tcBorders>
              <w:top w:val="nil"/>
              <w:left w:val="nil"/>
              <w:bottom w:val="nil"/>
              <w:right w:val="nil"/>
            </w:tcBorders>
            <w:shd w:val="clear" w:color="auto" w:fill="auto"/>
            <w:noWrap/>
            <w:vAlign w:val="center"/>
            <w:hideMark/>
          </w:tcPr>
          <w:p w14:paraId="79830F38" w14:textId="77777777" w:rsidR="008A1E55" w:rsidRPr="006B42D6" w:rsidRDefault="008A1E55" w:rsidP="00E16CAE">
            <w:pPr>
              <w:jc w:val="right"/>
              <w:rPr>
                <w:sz w:val="16"/>
                <w:szCs w:val="16"/>
              </w:rPr>
            </w:pPr>
            <w:r w:rsidRPr="006B42D6">
              <w:rPr>
                <w:sz w:val="16"/>
                <w:szCs w:val="16"/>
              </w:rPr>
              <w:t>7.5</w:t>
            </w:r>
          </w:p>
        </w:tc>
        <w:tc>
          <w:tcPr>
            <w:tcW w:w="700" w:type="dxa"/>
            <w:tcBorders>
              <w:top w:val="nil"/>
              <w:left w:val="nil"/>
              <w:bottom w:val="nil"/>
              <w:right w:val="nil"/>
            </w:tcBorders>
            <w:shd w:val="clear" w:color="auto" w:fill="auto"/>
            <w:noWrap/>
            <w:vAlign w:val="center"/>
            <w:hideMark/>
          </w:tcPr>
          <w:p w14:paraId="33EBC32B" w14:textId="77777777" w:rsidR="008A1E55" w:rsidRPr="006B42D6" w:rsidRDefault="008A1E55" w:rsidP="00E16CAE">
            <w:pPr>
              <w:jc w:val="right"/>
              <w:rPr>
                <w:sz w:val="16"/>
                <w:szCs w:val="16"/>
              </w:rPr>
            </w:pPr>
            <w:r w:rsidRPr="006B42D6">
              <w:rPr>
                <w:sz w:val="16"/>
                <w:szCs w:val="16"/>
              </w:rPr>
              <w:t>5.3</w:t>
            </w:r>
          </w:p>
        </w:tc>
        <w:tc>
          <w:tcPr>
            <w:tcW w:w="880" w:type="dxa"/>
            <w:tcBorders>
              <w:top w:val="nil"/>
              <w:left w:val="nil"/>
              <w:bottom w:val="nil"/>
              <w:right w:val="nil"/>
            </w:tcBorders>
            <w:shd w:val="clear" w:color="auto" w:fill="auto"/>
            <w:noWrap/>
            <w:vAlign w:val="center"/>
            <w:hideMark/>
          </w:tcPr>
          <w:p w14:paraId="76AB0AC8" w14:textId="77777777" w:rsidR="008A1E55" w:rsidRPr="006B42D6" w:rsidRDefault="008A1E55" w:rsidP="00E16CAE">
            <w:pPr>
              <w:jc w:val="right"/>
              <w:rPr>
                <w:sz w:val="16"/>
                <w:szCs w:val="16"/>
              </w:rPr>
            </w:pPr>
            <w:r w:rsidRPr="006B42D6">
              <w:rPr>
                <w:sz w:val="16"/>
                <w:szCs w:val="16"/>
              </w:rPr>
              <w:t>8.8</w:t>
            </w:r>
          </w:p>
        </w:tc>
        <w:tc>
          <w:tcPr>
            <w:tcW w:w="700" w:type="dxa"/>
            <w:tcBorders>
              <w:top w:val="nil"/>
              <w:left w:val="nil"/>
              <w:bottom w:val="nil"/>
              <w:right w:val="nil"/>
            </w:tcBorders>
            <w:shd w:val="clear" w:color="auto" w:fill="auto"/>
            <w:noWrap/>
            <w:vAlign w:val="center"/>
            <w:hideMark/>
          </w:tcPr>
          <w:p w14:paraId="1AC98369" w14:textId="77777777" w:rsidR="008A1E55" w:rsidRPr="006B42D6" w:rsidRDefault="008A1E55" w:rsidP="00E16CAE">
            <w:pPr>
              <w:jc w:val="right"/>
              <w:rPr>
                <w:sz w:val="16"/>
                <w:szCs w:val="16"/>
              </w:rPr>
            </w:pPr>
            <w:r w:rsidRPr="006B42D6">
              <w:rPr>
                <w:sz w:val="16"/>
                <w:szCs w:val="16"/>
              </w:rPr>
              <w:t>2.5</w:t>
            </w:r>
          </w:p>
        </w:tc>
      </w:tr>
      <w:tr w:rsidR="006B42D6" w:rsidRPr="006B42D6" w14:paraId="60F0EA12" w14:textId="77777777" w:rsidTr="00E16CAE">
        <w:trPr>
          <w:trHeight w:val="283"/>
        </w:trPr>
        <w:tc>
          <w:tcPr>
            <w:tcW w:w="1680" w:type="dxa"/>
            <w:tcBorders>
              <w:top w:val="nil"/>
              <w:left w:val="nil"/>
              <w:bottom w:val="nil"/>
              <w:right w:val="nil"/>
            </w:tcBorders>
            <w:shd w:val="clear" w:color="auto" w:fill="auto"/>
            <w:noWrap/>
            <w:vAlign w:val="center"/>
            <w:hideMark/>
          </w:tcPr>
          <w:p w14:paraId="3785D793" w14:textId="77777777" w:rsidR="008A1E55" w:rsidRPr="006B42D6" w:rsidRDefault="008A1E55" w:rsidP="00E16CAE">
            <w:pPr>
              <w:rPr>
                <w:sz w:val="16"/>
                <w:szCs w:val="16"/>
              </w:rPr>
            </w:pPr>
            <w:r w:rsidRPr="006B42D6">
              <w:rPr>
                <w:sz w:val="16"/>
                <w:szCs w:val="16"/>
              </w:rPr>
              <w:t>Mara</w:t>
            </w:r>
          </w:p>
        </w:tc>
        <w:tc>
          <w:tcPr>
            <w:tcW w:w="700" w:type="dxa"/>
            <w:tcBorders>
              <w:top w:val="nil"/>
              <w:left w:val="nil"/>
              <w:bottom w:val="nil"/>
              <w:right w:val="nil"/>
            </w:tcBorders>
            <w:shd w:val="clear" w:color="auto" w:fill="auto"/>
            <w:noWrap/>
            <w:vAlign w:val="center"/>
            <w:hideMark/>
          </w:tcPr>
          <w:p w14:paraId="24ABE637" w14:textId="77777777" w:rsidR="008A1E55" w:rsidRPr="006B42D6" w:rsidRDefault="008A1E55" w:rsidP="00E16CAE">
            <w:pPr>
              <w:jc w:val="right"/>
              <w:rPr>
                <w:sz w:val="16"/>
                <w:szCs w:val="16"/>
              </w:rPr>
            </w:pPr>
            <w:r w:rsidRPr="006B42D6">
              <w:rPr>
                <w:sz w:val="16"/>
                <w:szCs w:val="16"/>
              </w:rPr>
              <w:t>1.4</w:t>
            </w:r>
          </w:p>
        </w:tc>
        <w:tc>
          <w:tcPr>
            <w:tcW w:w="980" w:type="dxa"/>
            <w:tcBorders>
              <w:top w:val="nil"/>
              <w:left w:val="nil"/>
              <w:bottom w:val="nil"/>
              <w:right w:val="nil"/>
            </w:tcBorders>
            <w:shd w:val="clear" w:color="auto" w:fill="auto"/>
            <w:noWrap/>
            <w:vAlign w:val="center"/>
            <w:hideMark/>
          </w:tcPr>
          <w:p w14:paraId="71AB8E37" w14:textId="77777777" w:rsidR="008A1E55" w:rsidRPr="006B42D6" w:rsidRDefault="008A1E55" w:rsidP="00E16CAE">
            <w:pPr>
              <w:jc w:val="right"/>
              <w:rPr>
                <w:sz w:val="16"/>
                <w:szCs w:val="16"/>
              </w:rPr>
            </w:pPr>
            <w:r w:rsidRPr="006B42D6">
              <w:rPr>
                <w:sz w:val="16"/>
                <w:szCs w:val="16"/>
              </w:rPr>
              <w:t>3.4</w:t>
            </w:r>
          </w:p>
        </w:tc>
        <w:tc>
          <w:tcPr>
            <w:tcW w:w="920" w:type="dxa"/>
            <w:tcBorders>
              <w:top w:val="nil"/>
              <w:left w:val="nil"/>
              <w:bottom w:val="nil"/>
              <w:right w:val="nil"/>
            </w:tcBorders>
            <w:shd w:val="clear" w:color="auto" w:fill="auto"/>
            <w:noWrap/>
            <w:vAlign w:val="center"/>
            <w:hideMark/>
          </w:tcPr>
          <w:p w14:paraId="5D7BC3B2" w14:textId="77777777" w:rsidR="008A1E55" w:rsidRPr="006B42D6" w:rsidRDefault="008A1E55" w:rsidP="00E16CAE">
            <w:pPr>
              <w:jc w:val="right"/>
              <w:rPr>
                <w:sz w:val="16"/>
                <w:szCs w:val="16"/>
              </w:rPr>
            </w:pPr>
            <w:r w:rsidRPr="006B42D6">
              <w:rPr>
                <w:sz w:val="16"/>
                <w:szCs w:val="16"/>
              </w:rPr>
              <w:t>2.8</w:t>
            </w:r>
          </w:p>
        </w:tc>
        <w:tc>
          <w:tcPr>
            <w:tcW w:w="880" w:type="dxa"/>
            <w:tcBorders>
              <w:top w:val="nil"/>
              <w:left w:val="nil"/>
              <w:bottom w:val="nil"/>
              <w:right w:val="nil"/>
            </w:tcBorders>
            <w:shd w:val="clear" w:color="auto" w:fill="auto"/>
            <w:noWrap/>
            <w:vAlign w:val="center"/>
            <w:hideMark/>
          </w:tcPr>
          <w:p w14:paraId="700F7D45" w14:textId="77777777" w:rsidR="008A1E55" w:rsidRPr="006B42D6" w:rsidRDefault="008A1E55" w:rsidP="00E16CAE">
            <w:pPr>
              <w:jc w:val="right"/>
              <w:rPr>
                <w:sz w:val="16"/>
                <w:szCs w:val="16"/>
              </w:rPr>
            </w:pPr>
            <w:r w:rsidRPr="006B42D6">
              <w:rPr>
                <w:sz w:val="16"/>
                <w:szCs w:val="16"/>
              </w:rPr>
              <w:t>3.4</w:t>
            </w:r>
          </w:p>
        </w:tc>
        <w:tc>
          <w:tcPr>
            <w:tcW w:w="940" w:type="dxa"/>
            <w:tcBorders>
              <w:top w:val="nil"/>
              <w:left w:val="nil"/>
              <w:bottom w:val="nil"/>
              <w:right w:val="nil"/>
            </w:tcBorders>
            <w:shd w:val="clear" w:color="auto" w:fill="auto"/>
            <w:noWrap/>
            <w:vAlign w:val="center"/>
            <w:hideMark/>
          </w:tcPr>
          <w:p w14:paraId="1D45B8B4" w14:textId="77777777" w:rsidR="008A1E55" w:rsidRPr="006B42D6" w:rsidRDefault="008A1E55" w:rsidP="00E16CAE">
            <w:pPr>
              <w:jc w:val="right"/>
              <w:rPr>
                <w:sz w:val="16"/>
                <w:szCs w:val="16"/>
              </w:rPr>
            </w:pPr>
            <w:r w:rsidRPr="006B42D6">
              <w:rPr>
                <w:sz w:val="16"/>
                <w:szCs w:val="16"/>
              </w:rPr>
              <w:t>-</w:t>
            </w:r>
          </w:p>
        </w:tc>
        <w:tc>
          <w:tcPr>
            <w:tcW w:w="1040" w:type="dxa"/>
            <w:tcBorders>
              <w:top w:val="nil"/>
              <w:left w:val="nil"/>
              <w:bottom w:val="nil"/>
              <w:right w:val="nil"/>
            </w:tcBorders>
            <w:shd w:val="clear" w:color="auto" w:fill="auto"/>
            <w:noWrap/>
            <w:vAlign w:val="center"/>
            <w:hideMark/>
          </w:tcPr>
          <w:p w14:paraId="16CB95F4" w14:textId="77777777" w:rsidR="008A1E55" w:rsidRPr="006B42D6" w:rsidRDefault="008A1E55" w:rsidP="00E16CAE">
            <w:pPr>
              <w:jc w:val="right"/>
              <w:rPr>
                <w:sz w:val="16"/>
                <w:szCs w:val="16"/>
              </w:rPr>
            </w:pPr>
            <w:r w:rsidRPr="006B42D6">
              <w:rPr>
                <w:sz w:val="16"/>
                <w:szCs w:val="16"/>
              </w:rPr>
              <w:t>2.2</w:t>
            </w:r>
          </w:p>
        </w:tc>
        <w:tc>
          <w:tcPr>
            <w:tcW w:w="700" w:type="dxa"/>
            <w:tcBorders>
              <w:top w:val="nil"/>
              <w:left w:val="nil"/>
              <w:bottom w:val="nil"/>
              <w:right w:val="nil"/>
            </w:tcBorders>
            <w:shd w:val="clear" w:color="auto" w:fill="auto"/>
            <w:noWrap/>
            <w:vAlign w:val="center"/>
            <w:hideMark/>
          </w:tcPr>
          <w:p w14:paraId="1B446CD6" w14:textId="77777777" w:rsidR="008A1E55" w:rsidRPr="006B42D6" w:rsidRDefault="008A1E55" w:rsidP="00E16CAE">
            <w:pPr>
              <w:jc w:val="right"/>
              <w:rPr>
                <w:sz w:val="16"/>
                <w:szCs w:val="16"/>
              </w:rPr>
            </w:pPr>
            <w:r w:rsidRPr="006B42D6">
              <w:rPr>
                <w:sz w:val="16"/>
                <w:szCs w:val="16"/>
              </w:rPr>
              <w:t>5.8</w:t>
            </w:r>
          </w:p>
        </w:tc>
        <w:tc>
          <w:tcPr>
            <w:tcW w:w="880" w:type="dxa"/>
            <w:tcBorders>
              <w:top w:val="nil"/>
              <w:left w:val="nil"/>
              <w:bottom w:val="nil"/>
              <w:right w:val="nil"/>
            </w:tcBorders>
            <w:shd w:val="clear" w:color="auto" w:fill="auto"/>
            <w:noWrap/>
            <w:vAlign w:val="center"/>
            <w:hideMark/>
          </w:tcPr>
          <w:p w14:paraId="2B101440" w14:textId="77777777" w:rsidR="008A1E55" w:rsidRPr="006B42D6" w:rsidRDefault="008A1E55" w:rsidP="00E16CAE">
            <w:pPr>
              <w:jc w:val="right"/>
              <w:rPr>
                <w:sz w:val="16"/>
                <w:szCs w:val="16"/>
              </w:rPr>
            </w:pPr>
            <w:r w:rsidRPr="006B42D6">
              <w:rPr>
                <w:sz w:val="16"/>
                <w:szCs w:val="16"/>
              </w:rPr>
              <w:t>-</w:t>
            </w:r>
          </w:p>
        </w:tc>
        <w:tc>
          <w:tcPr>
            <w:tcW w:w="700" w:type="dxa"/>
            <w:tcBorders>
              <w:top w:val="nil"/>
              <w:left w:val="nil"/>
              <w:bottom w:val="nil"/>
              <w:right w:val="nil"/>
            </w:tcBorders>
            <w:shd w:val="clear" w:color="auto" w:fill="auto"/>
            <w:noWrap/>
            <w:vAlign w:val="center"/>
            <w:hideMark/>
          </w:tcPr>
          <w:p w14:paraId="22E5B22B" w14:textId="77777777" w:rsidR="008A1E55" w:rsidRPr="006B42D6" w:rsidRDefault="008A1E55" w:rsidP="00E16CAE">
            <w:pPr>
              <w:jc w:val="right"/>
              <w:rPr>
                <w:sz w:val="16"/>
                <w:szCs w:val="16"/>
              </w:rPr>
            </w:pPr>
            <w:r w:rsidRPr="006B42D6">
              <w:rPr>
                <w:sz w:val="16"/>
                <w:szCs w:val="16"/>
              </w:rPr>
              <w:t>0.1</w:t>
            </w:r>
          </w:p>
        </w:tc>
      </w:tr>
      <w:tr w:rsidR="006B42D6" w:rsidRPr="006B42D6" w14:paraId="61AC672E" w14:textId="77777777" w:rsidTr="00E16CAE">
        <w:trPr>
          <w:trHeight w:val="283"/>
        </w:trPr>
        <w:tc>
          <w:tcPr>
            <w:tcW w:w="1680" w:type="dxa"/>
            <w:tcBorders>
              <w:top w:val="nil"/>
              <w:left w:val="nil"/>
              <w:bottom w:val="nil"/>
              <w:right w:val="nil"/>
            </w:tcBorders>
            <w:shd w:val="clear" w:color="auto" w:fill="auto"/>
            <w:noWrap/>
            <w:vAlign w:val="center"/>
            <w:hideMark/>
          </w:tcPr>
          <w:p w14:paraId="15509533" w14:textId="77777777" w:rsidR="008A1E55" w:rsidRPr="006B42D6" w:rsidRDefault="008A1E55" w:rsidP="00E16CAE">
            <w:pPr>
              <w:rPr>
                <w:sz w:val="16"/>
                <w:szCs w:val="16"/>
              </w:rPr>
            </w:pPr>
            <w:r w:rsidRPr="006B42D6">
              <w:rPr>
                <w:sz w:val="16"/>
                <w:szCs w:val="16"/>
              </w:rPr>
              <w:t>Manyara</w:t>
            </w:r>
          </w:p>
        </w:tc>
        <w:tc>
          <w:tcPr>
            <w:tcW w:w="700" w:type="dxa"/>
            <w:tcBorders>
              <w:top w:val="nil"/>
              <w:left w:val="nil"/>
              <w:bottom w:val="nil"/>
              <w:right w:val="nil"/>
            </w:tcBorders>
            <w:shd w:val="clear" w:color="auto" w:fill="auto"/>
            <w:noWrap/>
            <w:vAlign w:val="center"/>
            <w:hideMark/>
          </w:tcPr>
          <w:p w14:paraId="4F788524" w14:textId="77777777" w:rsidR="008A1E55" w:rsidRPr="006B42D6" w:rsidRDefault="008A1E55" w:rsidP="00E16CAE">
            <w:pPr>
              <w:jc w:val="right"/>
              <w:rPr>
                <w:sz w:val="16"/>
                <w:szCs w:val="16"/>
              </w:rPr>
            </w:pPr>
            <w:r w:rsidRPr="006B42D6">
              <w:rPr>
                <w:sz w:val="16"/>
                <w:szCs w:val="16"/>
              </w:rPr>
              <w:t>6.0</w:t>
            </w:r>
          </w:p>
        </w:tc>
        <w:tc>
          <w:tcPr>
            <w:tcW w:w="980" w:type="dxa"/>
            <w:tcBorders>
              <w:top w:val="nil"/>
              <w:left w:val="nil"/>
              <w:bottom w:val="nil"/>
              <w:right w:val="nil"/>
            </w:tcBorders>
            <w:shd w:val="clear" w:color="auto" w:fill="auto"/>
            <w:noWrap/>
            <w:vAlign w:val="center"/>
            <w:hideMark/>
          </w:tcPr>
          <w:p w14:paraId="5D989815" w14:textId="77777777" w:rsidR="008A1E55" w:rsidRPr="006B42D6" w:rsidRDefault="008A1E55" w:rsidP="00E16CAE">
            <w:pPr>
              <w:jc w:val="right"/>
              <w:rPr>
                <w:sz w:val="16"/>
                <w:szCs w:val="16"/>
              </w:rPr>
            </w:pPr>
            <w:r w:rsidRPr="006B42D6">
              <w:rPr>
                <w:sz w:val="16"/>
                <w:szCs w:val="16"/>
              </w:rPr>
              <w:t>8.7</w:t>
            </w:r>
          </w:p>
        </w:tc>
        <w:tc>
          <w:tcPr>
            <w:tcW w:w="920" w:type="dxa"/>
            <w:tcBorders>
              <w:top w:val="nil"/>
              <w:left w:val="nil"/>
              <w:bottom w:val="nil"/>
              <w:right w:val="nil"/>
            </w:tcBorders>
            <w:shd w:val="clear" w:color="auto" w:fill="auto"/>
            <w:noWrap/>
            <w:vAlign w:val="center"/>
            <w:hideMark/>
          </w:tcPr>
          <w:p w14:paraId="420F4DF2" w14:textId="77777777" w:rsidR="008A1E55" w:rsidRPr="006B42D6" w:rsidRDefault="008A1E55" w:rsidP="00E16CAE">
            <w:pPr>
              <w:jc w:val="right"/>
              <w:rPr>
                <w:sz w:val="16"/>
                <w:szCs w:val="16"/>
              </w:rPr>
            </w:pPr>
            <w:r w:rsidRPr="006B42D6">
              <w:rPr>
                <w:sz w:val="16"/>
                <w:szCs w:val="16"/>
              </w:rPr>
              <w:t>0.7</w:t>
            </w:r>
          </w:p>
        </w:tc>
        <w:tc>
          <w:tcPr>
            <w:tcW w:w="880" w:type="dxa"/>
            <w:tcBorders>
              <w:top w:val="nil"/>
              <w:left w:val="nil"/>
              <w:bottom w:val="nil"/>
              <w:right w:val="nil"/>
            </w:tcBorders>
            <w:shd w:val="clear" w:color="auto" w:fill="auto"/>
            <w:noWrap/>
            <w:vAlign w:val="center"/>
            <w:hideMark/>
          </w:tcPr>
          <w:p w14:paraId="602E2177" w14:textId="77777777" w:rsidR="008A1E55" w:rsidRPr="006B42D6" w:rsidRDefault="008A1E55" w:rsidP="00E16CAE">
            <w:pPr>
              <w:jc w:val="right"/>
              <w:rPr>
                <w:sz w:val="16"/>
                <w:szCs w:val="16"/>
              </w:rPr>
            </w:pPr>
            <w:r w:rsidRPr="006B42D6">
              <w:rPr>
                <w:sz w:val="16"/>
                <w:szCs w:val="16"/>
              </w:rPr>
              <w:t>3.3</w:t>
            </w:r>
          </w:p>
        </w:tc>
        <w:tc>
          <w:tcPr>
            <w:tcW w:w="940" w:type="dxa"/>
            <w:tcBorders>
              <w:top w:val="nil"/>
              <w:left w:val="nil"/>
              <w:bottom w:val="nil"/>
              <w:right w:val="nil"/>
            </w:tcBorders>
            <w:shd w:val="clear" w:color="auto" w:fill="auto"/>
            <w:noWrap/>
            <w:vAlign w:val="center"/>
            <w:hideMark/>
          </w:tcPr>
          <w:p w14:paraId="64C6C94A" w14:textId="77777777" w:rsidR="008A1E55" w:rsidRPr="006B42D6" w:rsidRDefault="008A1E55" w:rsidP="00E16CAE">
            <w:pPr>
              <w:jc w:val="right"/>
              <w:rPr>
                <w:sz w:val="16"/>
                <w:szCs w:val="16"/>
              </w:rPr>
            </w:pPr>
            <w:r w:rsidRPr="006B42D6">
              <w:rPr>
                <w:sz w:val="16"/>
                <w:szCs w:val="16"/>
              </w:rPr>
              <w:t>3.0</w:t>
            </w:r>
          </w:p>
        </w:tc>
        <w:tc>
          <w:tcPr>
            <w:tcW w:w="1040" w:type="dxa"/>
            <w:tcBorders>
              <w:top w:val="nil"/>
              <w:left w:val="nil"/>
              <w:bottom w:val="nil"/>
              <w:right w:val="nil"/>
            </w:tcBorders>
            <w:shd w:val="clear" w:color="auto" w:fill="auto"/>
            <w:noWrap/>
            <w:vAlign w:val="center"/>
            <w:hideMark/>
          </w:tcPr>
          <w:p w14:paraId="39250DC6" w14:textId="77777777" w:rsidR="008A1E55" w:rsidRPr="006B42D6" w:rsidRDefault="008A1E55" w:rsidP="00E16CAE">
            <w:pPr>
              <w:jc w:val="right"/>
              <w:rPr>
                <w:sz w:val="16"/>
                <w:szCs w:val="16"/>
              </w:rPr>
            </w:pPr>
            <w:r w:rsidRPr="006B42D6">
              <w:rPr>
                <w:sz w:val="16"/>
                <w:szCs w:val="16"/>
              </w:rPr>
              <w:t>1.4</w:t>
            </w:r>
          </w:p>
        </w:tc>
        <w:tc>
          <w:tcPr>
            <w:tcW w:w="700" w:type="dxa"/>
            <w:tcBorders>
              <w:top w:val="nil"/>
              <w:left w:val="nil"/>
              <w:bottom w:val="nil"/>
              <w:right w:val="nil"/>
            </w:tcBorders>
            <w:shd w:val="clear" w:color="auto" w:fill="auto"/>
            <w:noWrap/>
            <w:vAlign w:val="center"/>
            <w:hideMark/>
          </w:tcPr>
          <w:p w14:paraId="5D8E425D" w14:textId="77777777" w:rsidR="008A1E55" w:rsidRPr="006B42D6" w:rsidRDefault="008A1E55" w:rsidP="00E16CAE">
            <w:pPr>
              <w:jc w:val="right"/>
              <w:rPr>
                <w:sz w:val="16"/>
                <w:szCs w:val="16"/>
              </w:rPr>
            </w:pPr>
            <w:r w:rsidRPr="006B42D6">
              <w:rPr>
                <w:sz w:val="16"/>
                <w:szCs w:val="16"/>
              </w:rPr>
              <w:t>1.8</w:t>
            </w:r>
          </w:p>
        </w:tc>
        <w:tc>
          <w:tcPr>
            <w:tcW w:w="880" w:type="dxa"/>
            <w:tcBorders>
              <w:top w:val="nil"/>
              <w:left w:val="nil"/>
              <w:bottom w:val="nil"/>
              <w:right w:val="nil"/>
            </w:tcBorders>
            <w:shd w:val="clear" w:color="auto" w:fill="auto"/>
            <w:noWrap/>
            <w:vAlign w:val="center"/>
            <w:hideMark/>
          </w:tcPr>
          <w:p w14:paraId="3594D708" w14:textId="77777777" w:rsidR="008A1E55" w:rsidRPr="006B42D6" w:rsidRDefault="008A1E55" w:rsidP="00E16CAE">
            <w:pPr>
              <w:jc w:val="right"/>
              <w:rPr>
                <w:sz w:val="16"/>
                <w:szCs w:val="16"/>
              </w:rPr>
            </w:pPr>
            <w:r w:rsidRPr="006B42D6">
              <w:rPr>
                <w:sz w:val="16"/>
                <w:szCs w:val="16"/>
              </w:rPr>
              <w:t>0.4</w:t>
            </w:r>
          </w:p>
        </w:tc>
        <w:tc>
          <w:tcPr>
            <w:tcW w:w="700" w:type="dxa"/>
            <w:tcBorders>
              <w:top w:val="nil"/>
              <w:left w:val="nil"/>
              <w:bottom w:val="nil"/>
              <w:right w:val="nil"/>
            </w:tcBorders>
            <w:shd w:val="clear" w:color="auto" w:fill="auto"/>
            <w:noWrap/>
            <w:vAlign w:val="center"/>
            <w:hideMark/>
          </w:tcPr>
          <w:p w14:paraId="2A0A214E" w14:textId="77777777" w:rsidR="008A1E55" w:rsidRPr="006B42D6" w:rsidRDefault="008A1E55" w:rsidP="00E16CAE">
            <w:pPr>
              <w:jc w:val="right"/>
              <w:rPr>
                <w:sz w:val="16"/>
                <w:szCs w:val="16"/>
              </w:rPr>
            </w:pPr>
            <w:r w:rsidRPr="006B42D6">
              <w:rPr>
                <w:sz w:val="16"/>
                <w:szCs w:val="16"/>
              </w:rPr>
              <w:t>0.5</w:t>
            </w:r>
          </w:p>
        </w:tc>
      </w:tr>
      <w:tr w:rsidR="006B42D6" w:rsidRPr="006B42D6" w14:paraId="711EC449" w14:textId="77777777" w:rsidTr="00E16CAE">
        <w:trPr>
          <w:trHeight w:val="283"/>
        </w:trPr>
        <w:tc>
          <w:tcPr>
            <w:tcW w:w="1680" w:type="dxa"/>
            <w:tcBorders>
              <w:top w:val="nil"/>
              <w:left w:val="nil"/>
              <w:bottom w:val="nil"/>
              <w:right w:val="nil"/>
            </w:tcBorders>
            <w:shd w:val="clear" w:color="auto" w:fill="auto"/>
            <w:noWrap/>
            <w:vAlign w:val="center"/>
            <w:hideMark/>
          </w:tcPr>
          <w:p w14:paraId="2DFF323E" w14:textId="77777777" w:rsidR="008A1E55" w:rsidRPr="006B42D6" w:rsidRDefault="008A1E55" w:rsidP="00E16CAE">
            <w:pPr>
              <w:rPr>
                <w:sz w:val="16"/>
                <w:szCs w:val="16"/>
              </w:rPr>
            </w:pPr>
            <w:r w:rsidRPr="006B42D6">
              <w:rPr>
                <w:sz w:val="16"/>
                <w:szCs w:val="16"/>
              </w:rPr>
              <w:t>Njombe</w:t>
            </w:r>
          </w:p>
        </w:tc>
        <w:tc>
          <w:tcPr>
            <w:tcW w:w="700" w:type="dxa"/>
            <w:tcBorders>
              <w:top w:val="nil"/>
              <w:left w:val="nil"/>
              <w:bottom w:val="nil"/>
              <w:right w:val="nil"/>
            </w:tcBorders>
            <w:shd w:val="clear" w:color="auto" w:fill="auto"/>
            <w:noWrap/>
            <w:vAlign w:val="center"/>
            <w:hideMark/>
          </w:tcPr>
          <w:p w14:paraId="323748E5" w14:textId="77777777" w:rsidR="008A1E55" w:rsidRPr="006B42D6" w:rsidRDefault="008A1E55" w:rsidP="00E16CAE">
            <w:pPr>
              <w:jc w:val="right"/>
              <w:rPr>
                <w:sz w:val="16"/>
                <w:szCs w:val="16"/>
              </w:rPr>
            </w:pPr>
            <w:r w:rsidRPr="006B42D6">
              <w:rPr>
                <w:sz w:val="16"/>
                <w:szCs w:val="16"/>
              </w:rPr>
              <w:t>1.4</w:t>
            </w:r>
          </w:p>
        </w:tc>
        <w:tc>
          <w:tcPr>
            <w:tcW w:w="980" w:type="dxa"/>
            <w:tcBorders>
              <w:top w:val="nil"/>
              <w:left w:val="nil"/>
              <w:bottom w:val="nil"/>
              <w:right w:val="nil"/>
            </w:tcBorders>
            <w:shd w:val="clear" w:color="auto" w:fill="auto"/>
            <w:noWrap/>
            <w:vAlign w:val="center"/>
            <w:hideMark/>
          </w:tcPr>
          <w:p w14:paraId="0DF440E7" w14:textId="77777777" w:rsidR="008A1E55" w:rsidRPr="006B42D6" w:rsidRDefault="008A1E55" w:rsidP="00E16CAE">
            <w:pPr>
              <w:jc w:val="right"/>
              <w:rPr>
                <w:sz w:val="16"/>
                <w:szCs w:val="16"/>
              </w:rPr>
            </w:pPr>
            <w:r w:rsidRPr="006B42D6">
              <w:rPr>
                <w:sz w:val="16"/>
                <w:szCs w:val="16"/>
              </w:rPr>
              <w:t>0.1</w:t>
            </w:r>
          </w:p>
        </w:tc>
        <w:tc>
          <w:tcPr>
            <w:tcW w:w="920" w:type="dxa"/>
            <w:tcBorders>
              <w:top w:val="nil"/>
              <w:left w:val="nil"/>
              <w:bottom w:val="nil"/>
              <w:right w:val="nil"/>
            </w:tcBorders>
            <w:shd w:val="clear" w:color="auto" w:fill="auto"/>
            <w:noWrap/>
            <w:vAlign w:val="center"/>
            <w:hideMark/>
          </w:tcPr>
          <w:p w14:paraId="6E6A8ADF" w14:textId="77777777" w:rsidR="008A1E55" w:rsidRPr="006B42D6" w:rsidRDefault="008A1E55" w:rsidP="00E16CAE">
            <w:pPr>
              <w:jc w:val="right"/>
              <w:rPr>
                <w:sz w:val="16"/>
                <w:szCs w:val="16"/>
              </w:rPr>
            </w:pPr>
            <w:r w:rsidRPr="006B42D6">
              <w:rPr>
                <w:sz w:val="16"/>
                <w:szCs w:val="16"/>
              </w:rPr>
              <w:t>0.4</w:t>
            </w:r>
          </w:p>
        </w:tc>
        <w:tc>
          <w:tcPr>
            <w:tcW w:w="880" w:type="dxa"/>
            <w:tcBorders>
              <w:top w:val="nil"/>
              <w:left w:val="nil"/>
              <w:bottom w:val="nil"/>
              <w:right w:val="nil"/>
            </w:tcBorders>
            <w:shd w:val="clear" w:color="auto" w:fill="auto"/>
            <w:noWrap/>
            <w:vAlign w:val="center"/>
            <w:hideMark/>
          </w:tcPr>
          <w:p w14:paraId="085E8C9E" w14:textId="77777777" w:rsidR="008A1E55" w:rsidRPr="006B42D6" w:rsidRDefault="008A1E55" w:rsidP="00E16CAE">
            <w:pPr>
              <w:jc w:val="right"/>
              <w:rPr>
                <w:sz w:val="16"/>
                <w:szCs w:val="16"/>
              </w:rPr>
            </w:pPr>
            <w:r w:rsidRPr="006B42D6">
              <w:rPr>
                <w:sz w:val="16"/>
                <w:szCs w:val="16"/>
              </w:rPr>
              <w:t>4.6</w:t>
            </w:r>
          </w:p>
        </w:tc>
        <w:tc>
          <w:tcPr>
            <w:tcW w:w="940" w:type="dxa"/>
            <w:tcBorders>
              <w:top w:val="nil"/>
              <w:left w:val="nil"/>
              <w:bottom w:val="nil"/>
              <w:right w:val="nil"/>
            </w:tcBorders>
            <w:shd w:val="clear" w:color="auto" w:fill="auto"/>
            <w:noWrap/>
            <w:vAlign w:val="center"/>
            <w:hideMark/>
          </w:tcPr>
          <w:p w14:paraId="2E4549C3" w14:textId="77777777" w:rsidR="008A1E55" w:rsidRPr="006B42D6" w:rsidRDefault="008A1E55" w:rsidP="00E16CAE">
            <w:pPr>
              <w:jc w:val="right"/>
              <w:rPr>
                <w:sz w:val="16"/>
                <w:szCs w:val="16"/>
              </w:rPr>
            </w:pPr>
            <w:r w:rsidRPr="006B42D6">
              <w:rPr>
                <w:sz w:val="16"/>
                <w:szCs w:val="16"/>
              </w:rPr>
              <w:t>0.3</w:t>
            </w:r>
          </w:p>
        </w:tc>
        <w:tc>
          <w:tcPr>
            <w:tcW w:w="1040" w:type="dxa"/>
            <w:tcBorders>
              <w:top w:val="nil"/>
              <w:left w:val="nil"/>
              <w:bottom w:val="nil"/>
              <w:right w:val="nil"/>
            </w:tcBorders>
            <w:shd w:val="clear" w:color="auto" w:fill="auto"/>
            <w:noWrap/>
            <w:vAlign w:val="center"/>
            <w:hideMark/>
          </w:tcPr>
          <w:p w14:paraId="332B98CE" w14:textId="77777777" w:rsidR="008A1E55" w:rsidRPr="006B42D6" w:rsidRDefault="008A1E55" w:rsidP="00E16CAE">
            <w:pPr>
              <w:jc w:val="right"/>
              <w:rPr>
                <w:sz w:val="16"/>
                <w:szCs w:val="16"/>
              </w:rPr>
            </w:pPr>
            <w:r w:rsidRPr="006B42D6">
              <w:rPr>
                <w:sz w:val="16"/>
                <w:szCs w:val="16"/>
              </w:rPr>
              <w:t>0.2</w:t>
            </w:r>
          </w:p>
        </w:tc>
        <w:tc>
          <w:tcPr>
            <w:tcW w:w="700" w:type="dxa"/>
            <w:tcBorders>
              <w:top w:val="nil"/>
              <w:left w:val="nil"/>
              <w:bottom w:val="nil"/>
              <w:right w:val="nil"/>
            </w:tcBorders>
            <w:shd w:val="clear" w:color="auto" w:fill="auto"/>
            <w:noWrap/>
            <w:vAlign w:val="center"/>
            <w:hideMark/>
          </w:tcPr>
          <w:p w14:paraId="2A91DDF2" w14:textId="77777777" w:rsidR="008A1E55" w:rsidRPr="006B42D6" w:rsidRDefault="008A1E55" w:rsidP="00E16CAE">
            <w:pPr>
              <w:jc w:val="right"/>
              <w:rPr>
                <w:sz w:val="16"/>
                <w:szCs w:val="16"/>
              </w:rPr>
            </w:pPr>
            <w:r w:rsidRPr="006B42D6">
              <w:rPr>
                <w:sz w:val="16"/>
                <w:szCs w:val="16"/>
              </w:rPr>
              <w:t>-</w:t>
            </w:r>
          </w:p>
        </w:tc>
        <w:tc>
          <w:tcPr>
            <w:tcW w:w="880" w:type="dxa"/>
            <w:tcBorders>
              <w:top w:val="nil"/>
              <w:left w:val="nil"/>
              <w:bottom w:val="nil"/>
              <w:right w:val="nil"/>
            </w:tcBorders>
            <w:shd w:val="clear" w:color="auto" w:fill="auto"/>
            <w:noWrap/>
            <w:vAlign w:val="center"/>
            <w:hideMark/>
          </w:tcPr>
          <w:p w14:paraId="38FC4EDA" w14:textId="77777777" w:rsidR="008A1E55" w:rsidRPr="006B42D6" w:rsidRDefault="008A1E55" w:rsidP="00E16CAE">
            <w:pPr>
              <w:jc w:val="right"/>
              <w:rPr>
                <w:sz w:val="16"/>
                <w:szCs w:val="16"/>
              </w:rPr>
            </w:pPr>
            <w:r w:rsidRPr="006B42D6">
              <w:rPr>
                <w:sz w:val="16"/>
                <w:szCs w:val="16"/>
              </w:rPr>
              <w:t>0.9</w:t>
            </w:r>
          </w:p>
        </w:tc>
        <w:tc>
          <w:tcPr>
            <w:tcW w:w="700" w:type="dxa"/>
            <w:tcBorders>
              <w:top w:val="nil"/>
              <w:left w:val="nil"/>
              <w:bottom w:val="nil"/>
              <w:right w:val="nil"/>
            </w:tcBorders>
            <w:shd w:val="clear" w:color="auto" w:fill="auto"/>
            <w:noWrap/>
            <w:vAlign w:val="center"/>
            <w:hideMark/>
          </w:tcPr>
          <w:p w14:paraId="4269D50A" w14:textId="77777777" w:rsidR="008A1E55" w:rsidRPr="006B42D6" w:rsidRDefault="008A1E55" w:rsidP="00E16CAE">
            <w:pPr>
              <w:jc w:val="right"/>
              <w:rPr>
                <w:sz w:val="16"/>
                <w:szCs w:val="16"/>
              </w:rPr>
            </w:pPr>
            <w:r w:rsidRPr="006B42D6">
              <w:rPr>
                <w:sz w:val="16"/>
                <w:szCs w:val="16"/>
              </w:rPr>
              <w:t>-</w:t>
            </w:r>
          </w:p>
        </w:tc>
      </w:tr>
      <w:tr w:rsidR="006B42D6" w:rsidRPr="006B42D6" w14:paraId="2AC3A4A4" w14:textId="77777777" w:rsidTr="00E16CAE">
        <w:trPr>
          <w:trHeight w:val="283"/>
        </w:trPr>
        <w:tc>
          <w:tcPr>
            <w:tcW w:w="1680" w:type="dxa"/>
            <w:tcBorders>
              <w:top w:val="nil"/>
              <w:left w:val="nil"/>
              <w:bottom w:val="nil"/>
              <w:right w:val="nil"/>
            </w:tcBorders>
            <w:shd w:val="clear" w:color="auto" w:fill="auto"/>
            <w:noWrap/>
            <w:vAlign w:val="center"/>
            <w:hideMark/>
          </w:tcPr>
          <w:p w14:paraId="445D14B0" w14:textId="77777777" w:rsidR="008A1E55" w:rsidRPr="006B42D6" w:rsidRDefault="008A1E55" w:rsidP="00E16CAE">
            <w:pPr>
              <w:rPr>
                <w:sz w:val="16"/>
                <w:szCs w:val="16"/>
              </w:rPr>
            </w:pPr>
            <w:r w:rsidRPr="006B42D6">
              <w:rPr>
                <w:sz w:val="16"/>
                <w:szCs w:val="16"/>
              </w:rPr>
              <w:t>Katavi</w:t>
            </w:r>
          </w:p>
        </w:tc>
        <w:tc>
          <w:tcPr>
            <w:tcW w:w="700" w:type="dxa"/>
            <w:tcBorders>
              <w:top w:val="nil"/>
              <w:left w:val="nil"/>
              <w:bottom w:val="nil"/>
              <w:right w:val="nil"/>
            </w:tcBorders>
            <w:shd w:val="clear" w:color="auto" w:fill="auto"/>
            <w:noWrap/>
            <w:vAlign w:val="center"/>
            <w:hideMark/>
          </w:tcPr>
          <w:p w14:paraId="41EF7AA1" w14:textId="77777777" w:rsidR="008A1E55" w:rsidRPr="006B42D6" w:rsidRDefault="008A1E55" w:rsidP="00E16CAE">
            <w:pPr>
              <w:jc w:val="right"/>
              <w:rPr>
                <w:sz w:val="16"/>
                <w:szCs w:val="16"/>
              </w:rPr>
            </w:pPr>
            <w:r w:rsidRPr="006B42D6">
              <w:rPr>
                <w:sz w:val="16"/>
                <w:szCs w:val="16"/>
              </w:rPr>
              <w:t>3.7</w:t>
            </w:r>
          </w:p>
        </w:tc>
        <w:tc>
          <w:tcPr>
            <w:tcW w:w="980" w:type="dxa"/>
            <w:tcBorders>
              <w:top w:val="nil"/>
              <w:left w:val="nil"/>
              <w:bottom w:val="nil"/>
              <w:right w:val="nil"/>
            </w:tcBorders>
            <w:shd w:val="clear" w:color="auto" w:fill="auto"/>
            <w:noWrap/>
            <w:vAlign w:val="center"/>
            <w:hideMark/>
          </w:tcPr>
          <w:p w14:paraId="1B405266" w14:textId="77777777" w:rsidR="008A1E55" w:rsidRPr="006B42D6" w:rsidRDefault="008A1E55" w:rsidP="00E16CAE">
            <w:pPr>
              <w:jc w:val="right"/>
              <w:rPr>
                <w:sz w:val="16"/>
                <w:szCs w:val="16"/>
              </w:rPr>
            </w:pPr>
            <w:r w:rsidRPr="006B42D6">
              <w:rPr>
                <w:sz w:val="16"/>
                <w:szCs w:val="16"/>
              </w:rPr>
              <w:t>0.2</w:t>
            </w:r>
          </w:p>
        </w:tc>
        <w:tc>
          <w:tcPr>
            <w:tcW w:w="920" w:type="dxa"/>
            <w:tcBorders>
              <w:top w:val="nil"/>
              <w:left w:val="nil"/>
              <w:bottom w:val="nil"/>
              <w:right w:val="nil"/>
            </w:tcBorders>
            <w:shd w:val="clear" w:color="auto" w:fill="auto"/>
            <w:noWrap/>
            <w:vAlign w:val="center"/>
            <w:hideMark/>
          </w:tcPr>
          <w:p w14:paraId="0DA5D9B7" w14:textId="77777777" w:rsidR="008A1E55" w:rsidRPr="006B42D6" w:rsidRDefault="008A1E55" w:rsidP="00E16CAE">
            <w:pPr>
              <w:jc w:val="right"/>
              <w:rPr>
                <w:sz w:val="16"/>
                <w:szCs w:val="16"/>
              </w:rPr>
            </w:pPr>
            <w:r w:rsidRPr="006B42D6">
              <w:rPr>
                <w:sz w:val="16"/>
                <w:szCs w:val="16"/>
              </w:rPr>
              <w:t>0.3</w:t>
            </w:r>
          </w:p>
        </w:tc>
        <w:tc>
          <w:tcPr>
            <w:tcW w:w="880" w:type="dxa"/>
            <w:tcBorders>
              <w:top w:val="nil"/>
              <w:left w:val="nil"/>
              <w:bottom w:val="nil"/>
              <w:right w:val="nil"/>
            </w:tcBorders>
            <w:shd w:val="clear" w:color="auto" w:fill="auto"/>
            <w:noWrap/>
            <w:vAlign w:val="center"/>
            <w:hideMark/>
          </w:tcPr>
          <w:p w14:paraId="2E9DFFF9" w14:textId="77777777" w:rsidR="008A1E55" w:rsidRPr="006B42D6" w:rsidRDefault="008A1E55" w:rsidP="00E16CAE">
            <w:pPr>
              <w:jc w:val="right"/>
              <w:rPr>
                <w:sz w:val="16"/>
                <w:szCs w:val="16"/>
              </w:rPr>
            </w:pPr>
            <w:r w:rsidRPr="006B42D6">
              <w:rPr>
                <w:sz w:val="16"/>
                <w:szCs w:val="16"/>
              </w:rPr>
              <w:t>2.1</w:t>
            </w:r>
          </w:p>
        </w:tc>
        <w:tc>
          <w:tcPr>
            <w:tcW w:w="940" w:type="dxa"/>
            <w:tcBorders>
              <w:top w:val="nil"/>
              <w:left w:val="nil"/>
              <w:bottom w:val="nil"/>
              <w:right w:val="nil"/>
            </w:tcBorders>
            <w:shd w:val="clear" w:color="auto" w:fill="auto"/>
            <w:noWrap/>
            <w:vAlign w:val="center"/>
            <w:hideMark/>
          </w:tcPr>
          <w:p w14:paraId="7E71B9A9" w14:textId="77777777" w:rsidR="008A1E55" w:rsidRPr="006B42D6" w:rsidRDefault="008A1E55" w:rsidP="00E16CAE">
            <w:pPr>
              <w:jc w:val="right"/>
              <w:rPr>
                <w:sz w:val="16"/>
                <w:szCs w:val="16"/>
              </w:rPr>
            </w:pPr>
            <w:r w:rsidRPr="006B42D6">
              <w:rPr>
                <w:sz w:val="16"/>
                <w:szCs w:val="16"/>
              </w:rPr>
              <w:t>0.2</w:t>
            </w:r>
          </w:p>
        </w:tc>
        <w:tc>
          <w:tcPr>
            <w:tcW w:w="1040" w:type="dxa"/>
            <w:tcBorders>
              <w:top w:val="nil"/>
              <w:left w:val="nil"/>
              <w:bottom w:val="nil"/>
              <w:right w:val="nil"/>
            </w:tcBorders>
            <w:shd w:val="clear" w:color="auto" w:fill="auto"/>
            <w:noWrap/>
            <w:vAlign w:val="center"/>
            <w:hideMark/>
          </w:tcPr>
          <w:p w14:paraId="6BEC902A" w14:textId="77777777" w:rsidR="008A1E55" w:rsidRPr="006B42D6" w:rsidRDefault="008A1E55" w:rsidP="00E16CAE">
            <w:pPr>
              <w:jc w:val="right"/>
              <w:rPr>
                <w:sz w:val="16"/>
                <w:szCs w:val="16"/>
              </w:rPr>
            </w:pPr>
            <w:r w:rsidRPr="006B42D6">
              <w:rPr>
                <w:sz w:val="16"/>
                <w:szCs w:val="16"/>
              </w:rPr>
              <w:t>0.0</w:t>
            </w:r>
          </w:p>
        </w:tc>
        <w:tc>
          <w:tcPr>
            <w:tcW w:w="700" w:type="dxa"/>
            <w:tcBorders>
              <w:top w:val="nil"/>
              <w:left w:val="nil"/>
              <w:bottom w:val="nil"/>
              <w:right w:val="nil"/>
            </w:tcBorders>
            <w:shd w:val="clear" w:color="auto" w:fill="auto"/>
            <w:noWrap/>
            <w:vAlign w:val="center"/>
            <w:hideMark/>
          </w:tcPr>
          <w:p w14:paraId="6D637A31" w14:textId="77777777" w:rsidR="008A1E55" w:rsidRPr="006B42D6" w:rsidRDefault="008A1E55" w:rsidP="00E16CAE">
            <w:pPr>
              <w:jc w:val="right"/>
              <w:rPr>
                <w:sz w:val="16"/>
                <w:szCs w:val="16"/>
              </w:rPr>
            </w:pPr>
            <w:r w:rsidRPr="006B42D6">
              <w:rPr>
                <w:sz w:val="16"/>
                <w:szCs w:val="16"/>
              </w:rPr>
              <w:t>-</w:t>
            </w:r>
          </w:p>
        </w:tc>
        <w:tc>
          <w:tcPr>
            <w:tcW w:w="880" w:type="dxa"/>
            <w:tcBorders>
              <w:top w:val="nil"/>
              <w:left w:val="nil"/>
              <w:bottom w:val="nil"/>
              <w:right w:val="nil"/>
            </w:tcBorders>
            <w:shd w:val="clear" w:color="auto" w:fill="auto"/>
            <w:noWrap/>
            <w:vAlign w:val="center"/>
            <w:hideMark/>
          </w:tcPr>
          <w:p w14:paraId="1C53890A" w14:textId="77777777" w:rsidR="008A1E55" w:rsidRPr="006B42D6" w:rsidRDefault="008A1E55" w:rsidP="00E16CAE">
            <w:pPr>
              <w:jc w:val="right"/>
              <w:rPr>
                <w:sz w:val="16"/>
                <w:szCs w:val="16"/>
              </w:rPr>
            </w:pPr>
            <w:r w:rsidRPr="006B42D6">
              <w:rPr>
                <w:sz w:val="16"/>
                <w:szCs w:val="16"/>
              </w:rPr>
              <w:t>-</w:t>
            </w:r>
          </w:p>
        </w:tc>
        <w:tc>
          <w:tcPr>
            <w:tcW w:w="700" w:type="dxa"/>
            <w:tcBorders>
              <w:top w:val="nil"/>
              <w:left w:val="nil"/>
              <w:bottom w:val="nil"/>
              <w:right w:val="nil"/>
            </w:tcBorders>
            <w:shd w:val="clear" w:color="auto" w:fill="auto"/>
            <w:noWrap/>
            <w:vAlign w:val="center"/>
            <w:hideMark/>
          </w:tcPr>
          <w:p w14:paraId="4BBCF303" w14:textId="77777777" w:rsidR="008A1E55" w:rsidRPr="006B42D6" w:rsidRDefault="008A1E55" w:rsidP="00E16CAE">
            <w:pPr>
              <w:jc w:val="right"/>
              <w:rPr>
                <w:sz w:val="16"/>
                <w:szCs w:val="16"/>
              </w:rPr>
            </w:pPr>
            <w:r w:rsidRPr="006B42D6">
              <w:rPr>
                <w:sz w:val="16"/>
                <w:szCs w:val="16"/>
              </w:rPr>
              <w:t>0.3</w:t>
            </w:r>
          </w:p>
        </w:tc>
      </w:tr>
      <w:tr w:rsidR="006B42D6" w:rsidRPr="006B42D6" w14:paraId="066E6504" w14:textId="77777777" w:rsidTr="00E16CAE">
        <w:trPr>
          <w:trHeight w:val="283"/>
        </w:trPr>
        <w:tc>
          <w:tcPr>
            <w:tcW w:w="1680" w:type="dxa"/>
            <w:tcBorders>
              <w:top w:val="nil"/>
              <w:left w:val="nil"/>
              <w:bottom w:val="nil"/>
              <w:right w:val="nil"/>
            </w:tcBorders>
            <w:shd w:val="clear" w:color="auto" w:fill="auto"/>
            <w:noWrap/>
            <w:vAlign w:val="center"/>
            <w:hideMark/>
          </w:tcPr>
          <w:p w14:paraId="2E8FE64B" w14:textId="77777777" w:rsidR="008A1E55" w:rsidRPr="006B42D6" w:rsidRDefault="008A1E55" w:rsidP="00E16CAE">
            <w:pPr>
              <w:rPr>
                <w:sz w:val="16"/>
                <w:szCs w:val="16"/>
              </w:rPr>
            </w:pPr>
            <w:r w:rsidRPr="006B42D6">
              <w:rPr>
                <w:sz w:val="16"/>
                <w:szCs w:val="16"/>
              </w:rPr>
              <w:t>Simiyu</w:t>
            </w:r>
          </w:p>
        </w:tc>
        <w:tc>
          <w:tcPr>
            <w:tcW w:w="700" w:type="dxa"/>
            <w:tcBorders>
              <w:top w:val="nil"/>
              <w:left w:val="nil"/>
              <w:bottom w:val="nil"/>
              <w:right w:val="nil"/>
            </w:tcBorders>
            <w:shd w:val="clear" w:color="auto" w:fill="auto"/>
            <w:noWrap/>
            <w:vAlign w:val="center"/>
            <w:hideMark/>
          </w:tcPr>
          <w:p w14:paraId="6182A65B" w14:textId="77777777" w:rsidR="008A1E55" w:rsidRPr="006B42D6" w:rsidRDefault="008A1E55" w:rsidP="00E16CAE">
            <w:pPr>
              <w:jc w:val="right"/>
              <w:rPr>
                <w:sz w:val="16"/>
                <w:szCs w:val="16"/>
              </w:rPr>
            </w:pPr>
            <w:r w:rsidRPr="006B42D6">
              <w:rPr>
                <w:sz w:val="16"/>
                <w:szCs w:val="16"/>
              </w:rPr>
              <w:t>-</w:t>
            </w:r>
          </w:p>
        </w:tc>
        <w:tc>
          <w:tcPr>
            <w:tcW w:w="980" w:type="dxa"/>
            <w:tcBorders>
              <w:top w:val="nil"/>
              <w:left w:val="nil"/>
              <w:bottom w:val="nil"/>
              <w:right w:val="nil"/>
            </w:tcBorders>
            <w:shd w:val="clear" w:color="auto" w:fill="auto"/>
            <w:noWrap/>
            <w:vAlign w:val="center"/>
            <w:hideMark/>
          </w:tcPr>
          <w:p w14:paraId="6C34EC77" w14:textId="77777777" w:rsidR="008A1E55" w:rsidRPr="006B42D6" w:rsidRDefault="008A1E55" w:rsidP="00E16CAE">
            <w:pPr>
              <w:jc w:val="right"/>
              <w:rPr>
                <w:sz w:val="16"/>
                <w:szCs w:val="16"/>
              </w:rPr>
            </w:pPr>
            <w:r w:rsidRPr="006B42D6">
              <w:rPr>
                <w:sz w:val="16"/>
                <w:szCs w:val="16"/>
              </w:rPr>
              <w:t>0.2</w:t>
            </w:r>
          </w:p>
        </w:tc>
        <w:tc>
          <w:tcPr>
            <w:tcW w:w="920" w:type="dxa"/>
            <w:tcBorders>
              <w:top w:val="nil"/>
              <w:left w:val="nil"/>
              <w:bottom w:val="nil"/>
              <w:right w:val="nil"/>
            </w:tcBorders>
            <w:shd w:val="clear" w:color="auto" w:fill="auto"/>
            <w:noWrap/>
            <w:vAlign w:val="center"/>
            <w:hideMark/>
          </w:tcPr>
          <w:p w14:paraId="4560714A" w14:textId="77777777" w:rsidR="008A1E55" w:rsidRPr="006B42D6" w:rsidRDefault="008A1E55" w:rsidP="00E16CAE">
            <w:pPr>
              <w:jc w:val="right"/>
              <w:rPr>
                <w:sz w:val="16"/>
                <w:szCs w:val="16"/>
              </w:rPr>
            </w:pPr>
            <w:r w:rsidRPr="006B42D6">
              <w:rPr>
                <w:sz w:val="16"/>
                <w:szCs w:val="16"/>
              </w:rPr>
              <w:t>7.4</w:t>
            </w:r>
          </w:p>
        </w:tc>
        <w:tc>
          <w:tcPr>
            <w:tcW w:w="880" w:type="dxa"/>
            <w:tcBorders>
              <w:top w:val="nil"/>
              <w:left w:val="nil"/>
              <w:bottom w:val="nil"/>
              <w:right w:val="nil"/>
            </w:tcBorders>
            <w:shd w:val="clear" w:color="auto" w:fill="auto"/>
            <w:noWrap/>
            <w:vAlign w:val="center"/>
            <w:hideMark/>
          </w:tcPr>
          <w:p w14:paraId="1FE6F8A1" w14:textId="77777777" w:rsidR="008A1E55" w:rsidRPr="006B42D6" w:rsidRDefault="008A1E55" w:rsidP="00E16CAE">
            <w:pPr>
              <w:jc w:val="right"/>
              <w:rPr>
                <w:sz w:val="16"/>
                <w:szCs w:val="16"/>
              </w:rPr>
            </w:pPr>
            <w:r w:rsidRPr="006B42D6">
              <w:rPr>
                <w:sz w:val="16"/>
                <w:szCs w:val="16"/>
              </w:rPr>
              <w:t>0.7</w:t>
            </w:r>
          </w:p>
        </w:tc>
        <w:tc>
          <w:tcPr>
            <w:tcW w:w="940" w:type="dxa"/>
            <w:tcBorders>
              <w:top w:val="nil"/>
              <w:left w:val="nil"/>
              <w:bottom w:val="nil"/>
              <w:right w:val="nil"/>
            </w:tcBorders>
            <w:shd w:val="clear" w:color="auto" w:fill="auto"/>
            <w:noWrap/>
            <w:vAlign w:val="center"/>
            <w:hideMark/>
          </w:tcPr>
          <w:p w14:paraId="7ADCFCAB" w14:textId="77777777" w:rsidR="008A1E55" w:rsidRPr="006B42D6" w:rsidRDefault="008A1E55" w:rsidP="00E16CAE">
            <w:pPr>
              <w:jc w:val="right"/>
              <w:rPr>
                <w:sz w:val="16"/>
                <w:szCs w:val="16"/>
              </w:rPr>
            </w:pPr>
            <w:r w:rsidRPr="006B42D6">
              <w:rPr>
                <w:sz w:val="16"/>
                <w:szCs w:val="16"/>
              </w:rPr>
              <w:t>-</w:t>
            </w:r>
          </w:p>
        </w:tc>
        <w:tc>
          <w:tcPr>
            <w:tcW w:w="1040" w:type="dxa"/>
            <w:tcBorders>
              <w:top w:val="nil"/>
              <w:left w:val="nil"/>
              <w:bottom w:val="nil"/>
              <w:right w:val="nil"/>
            </w:tcBorders>
            <w:shd w:val="clear" w:color="auto" w:fill="auto"/>
            <w:noWrap/>
            <w:vAlign w:val="center"/>
            <w:hideMark/>
          </w:tcPr>
          <w:p w14:paraId="0AD63791" w14:textId="77777777" w:rsidR="008A1E55" w:rsidRPr="006B42D6" w:rsidRDefault="008A1E55" w:rsidP="00E16CAE">
            <w:pPr>
              <w:jc w:val="right"/>
              <w:rPr>
                <w:sz w:val="16"/>
                <w:szCs w:val="16"/>
              </w:rPr>
            </w:pPr>
            <w:r w:rsidRPr="006B42D6">
              <w:rPr>
                <w:sz w:val="16"/>
                <w:szCs w:val="16"/>
              </w:rPr>
              <w:t>2.8</w:t>
            </w:r>
          </w:p>
        </w:tc>
        <w:tc>
          <w:tcPr>
            <w:tcW w:w="700" w:type="dxa"/>
            <w:tcBorders>
              <w:top w:val="nil"/>
              <w:left w:val="nil"/>
              <w:bottom w:val="nil"/>
              <w:right w:val="nil"/>
            </w:tcBorders>
            <w:shd w:val="clear" w:color="auto" w:fill="auto"/>
            <w:noWrap/>
            <w:vAlign w:val="center"/>
            <w:hideMark/>
          </w:tcPr>
          <w:p w14:paraId="571E6A80" w14:textId="77777777" w:rsidR="008A1E55" w:rsidRPr="006B42D6" w:rsidRDefault="008A1E55" w:rsidP="00E16CAE">
            <w:pPr>
              <w:jc w:val="right"/>
              <w:rPr>
                <w:sz w:val="16"/>
                <w:szCs w:val="16"/>
              </w:rPr>
            </w:pPr>
            <w:r w:rsidRPr="006B42D6">
              <w:rPr>
                <w:sz w:val="16"/>
                <w:szCs w:val="16"/>
              </w:rPr>
              <w:t>-</w:t>
            </w:r>
          </w:p>
        </w:tc>
        <w:tc>
          <w:tcPr>
            <w:tcW w:w="880" w:type="dxa"/>
            <w:tcBorders>
              <w:top w:val="nil"/>
              <w:left w:val="nil"/>
              <w:bottom w:val="nil"/>
              <w:right w:val="nil"/>
            </w:tcBorders>
            <w:shd w:val="clear" w:color="auto" w:fill="auto"/>
            <w:noWrap/>
            <w:vAlign w:val="center"/>
            <w:hideMark/>
          </w:tcPr>
          <w:p w14:paraId="44E88C83" w14:textId="77777777" w:rsidR="008A1E55" w:rsidRPr="006B42D6" w:rsidRDefault="008A1E55" w:rsidP="00E16CAE">
            <w:pPr>
              <w:jc w:val="right"/>
              <w:rPr>
                <w:sz w:val="16"/>
                <w:szCs w:val="16"/>
              </w:rPr>
            </w:pPr>
            <w:r w:rsidRPr="006B42D6">
              <w:rPr>
                <w:sz w:val="16"/>
                <w:szCs w:val="16"/>
              </w:rPr>
              <w:t>1.3</w:t>
            </w:r>
          </w:p>
        </w:tc>
        <w:tc>
          <w:tcPr>
            <w:tcW w:w="700" w:type="dxa"/>
            <w:tcBorders>
              <w:top w:val="nil"/>
              <w:left w:val="nil"/>
              <w:bottom w:val="nil"/>
              <w:right w:val="nil"/>
            </w:tcBorders>
            <w:shd w:val="clear" w:color="auto" w:fill="auto"/>
            <w:noWrap/>
            <w:vAlign w:val="center"/>
            <w:hideMark/>
          </w:tcPr>
          <w:p w14:paraId="28635987" w14:textId="77777777" w:rsidR="008A1E55" w:rsidRPr="006B42D6" w:rsidRDefault="008A1E55" w:rsidP="00E16CAE">
            <w:pPr>
              <w:jc w:val="right"/>
              <w:rPr>
                <w:sz w:val="16"/>
                <w:szCs w:val="16"/>
              </w:rPr>
            </w:pPr>
            <w:r w:rsidRPr="006B42D6">
              <w:rPr>
                <w:sz w:val="16"/>
                <w:szCs w:val="16"/>
              </w:rPr>
              <w:t>-</w:t>
            </w:r>
          </w:p>
        </w:tc>
      </w:tr>
      <w:tr w:rsidR="006B42D6" w:rsidRPr="006B42D6" w14:paraId="17F6244D" w14:textId="77777777" w:rsidTr="00E16CAE">
        <w:trPr>
          <w:trHeight w:val="283"/>
        </w:trPr>
        <w:tc>
          <w:tcPr>
            <w:tcW w:w="1680" w:type="dxa"/>
            <w:tcBorders>
              <w:top w:val="nil"/>
              <w:left w:val="nil"/>
              <w:bottom w:val="nil"/>
              <w:right w:val="nil"/>
            </w:tcBorders>
            <w:shd w:val="clear" w:color="auto" w:fill="auto"/>
            <w:noWrap/>
            <w:vAlign w:val="center"/>
            <w:hideMark/>
          </w:tcPr>
          <w:p w14:paraId="5425FD2E" w14:textId="77777777" w:rsidR="008A1E55" w:rsidRPr="006B42D6" w:rsidRDefault="008A1E55" w:rsidP="00E16CAE">
            <w:pPr>
              <w:rPr>
                <w:sz w:val="16"/>
                <w:szCs w:val="16"/>
              </w:rPr>
            </w:pPr>
            <w:r w:rsidRPr="006B42D6">
              <w:rPr>
                <w:sz w:val="16"/>
                <w:szCs w:val="16"/>
              </w:rPr>
              <w:t>Geita</w:t>
            </w:r>
          </w:p>
        </w:tc>
        <w:tc>
          <w:tcPr>
            <w:tcW w:w="700" w:type="dxa"/>
            <w:tcBorders>
              <w:top w:val="nil"/>
              <w:left w:val="nil"/>
              <w:bottom w:val="nil"/>
              <w:right w:val="nil"/>
            </w:tcBorders>
            <w:shd w:val="clear" w:color="auto" w:fill="auto"/>
            <w:noWrap/>
            <w:vAlign w:val="center"/>
            <w:hideMark/>
          </w:tcPr>
          <w:p w14:paraId="506EA66D" w14:textId="77777777" w:rsidR="008A1E55" w:rsidRPr="006B42D6" w:rsidRDefault="008A1E55" w:rsidP="00E16CAE">
            <w:pPr>
              <w:jc w:val="right"/>
              <w:rPr>
                <w:sz w:val="16"/>
                <w:szCs w:val="16"/>
              </w:rPr>
            </w:pPr>
            <w:r w:rsidRPr="006B42D6">
              <w:rPr>
                <w:sz w:val="16"/>
                <w:szCs w:val="16"/>
              </w:rPr>
              <w:t>4.0</w:t>
            </w:r>
          </w:p>
        </w:tc>
        <w:tc>
          <w:tcPr>
            <w:tcW w:w="980" w:type="dxa"/>
            <w:tcBorders>
              <w:top w:val="nil"/>
              <w:left w:val="nil"/>
              <w:bottom w:val="nil"/>
              <w:right w:val="nil"/>
            </w:tcBorders>
            <w:shd w:val="clear" w:color="auto" w:fill="auto"/>
            <w:noWrap/>
            <w:vAlign w:val="center"/>
            <w:hideMark/>
          </w:tcPr>
          <w:p w14:paraId="3FF37FD6" w14:textId="77777777" w:rsidR="008A1E55" w:rsidRPr="006B42D6" w:rsidRDefault="008A1E55" w:rsidP="00E16CAE">
            <w:pPr>
              <w:jc w:val="right"/>
              <w:rPr>
                <w:sz w:val="16"/>
                <w:szCs w:val="16"/>
              </w:rPr>
            </w:pPr>
            <w:r w:rsidRPr="006B42D6">
              <w:rPr>
                <w:sz w:val="16"/>
                <w:szCs w:val="16"/>
              </w:rPr>
              <w:t>1.0</w:t>
            </w:r>
          </w:p>
        </w:tc>
        <w:tc>
          <w:tcPr>
            <w:tcW w:w="920" w:type="dxa"/>
            <w:tcBorders>
              <w:top w:val="nil"/>
              <w:left w:val="nil"/>
              <w:bottom w:val="nil"/>
              <w:right w:val="nil"/>
            </w:tcBorders>
            <w:shd w:val="clear" w:color="auto" w:fill="auto"/>
            <w:noWrap/>
            <w:vAlign w:val="center"/>
            <w:hideMark/>
          </w:tcPr>
          <w:p w14:paraId="7B7BFF38" w14:textId="77777777" w:rsidR="008A1E55" w:rsidRPr="006B42D6" w:rsidRDefault="008A1E55" w:rsidP="00E16CAE">
            <w:pPr>
              <w:jc w:val="right"/>
              <w:rPr>
                <w:sz w:val="16"/>
                <w:szCs w:val="16"/>
              </w:rPr>
            </w:pPr>
            <w:r w:rsidRPr="006B42D6">
              <w:rPr>
                <w:sz w:val="16"/>
                <w:szCs w:val="16"/>
              </w:rPr>
              <w:t>5.4</w:t>
            </w:r>
          </w:p>
        </w:tc>
        <w:tc>
          <w:tcPr>
            <w:tcW w:w="880" w:type="dxa"/>
            <w:tcBorders>
              <w:top w:val="nil"/>
              <w:left w:val="nil"/>
              <w:bottom w:val="nil"/>
              <w:right w:val="nil"/>
            </w:tcBorders>
            <w:shd w:val="clear" w:color="auto" w:fill="auto"/>
            <w:noWrap/>
            <w:vAlign w:val="center"/>
            <w:hideMark/>
          </w:tcPr>
          <w:p w14:paraId="5EFAF650" w14:textId="77777777" w:rsidR="008A1E55" w:rsidRPr="006B42D6" w:rsidRDefault="008A1E55" w:rsidP="00E16CAE">
            <w:pPr>
              <w:jc w:val="right"/>
              <w:rPr>
                <w:sz w:val="16"/>
                <w:szCs w:val="16"/>
              </w:rPr>
            </w:pPr>
            <w:r w:rsidRPr="006B42D6">
              <w:rPr>
                <w:sz w:val="16"/>
                <w:szCs w:val="16"/>
              </w:rPr>
              <w:t>4.7</w:t>
            </w:r>
          </w:p>
        </w:tc>
        <w:tc>
          <w:tcPr>
            <w:tcW w:w="940" w:type="dxa"/>
            <w:tcBorders>
              <w:top w:val="nil"/>
              <w:left w:val="nil"/>
              <w:bottom w:val="nil"/>
              <w:right w:val="nil"/>
            </w:tcBorders>
            <w:shd w:val="clear" w:color="auto" w:fill="auto"/>
            <w:noWrap/>
            <w:vAlign w:val="center"/>
            <w:hideMark/>
          </w:tcPr>
          <w:p w14:paraId="5CC8355A" w14:textId="77777777" w:rsidR="008A1E55" w:rsidRPr="006B42D6" w:rsidRDefault="008A1E55" w:rsidP="00E16CAE">
            <w:pPr>
              <w:jc w:val="right"/>
              <w:rPr>
                <w:sz w:val="16"/>
                <w:szCs w:val="16"/>
              </w:rPr>
            </w:pPr>
            <w:r w:rsidRPr="006B42D6">
              <w:rPr>
                <w:sz w:val="16"/>
                <w:szCs w:val="16"/>
              </w:rPr>
              <w:t>0.5</w:t>
            </w:r>
          </w:p>
        </w:tc>
        <w:tc>
          <w:tcPr>
            <w:tcW w:w="1040" w:type="dxa"/>
            <w:tcBorders>
              <w:top w:val="nil"/>
              <w:left w:val="nil"/>
              <w:bottom w:val="nil"/>
              <w:right w:val="nil"/>
            </w:tcBorders>
            <w:shd w:val="clear" w:color="auto" w:fill="auto"/>
            <w:noWrap/>
            <w:vAlign w:val="center"/>
            <w:hideMark/>
          </w:tcPr>
          <w:p w14:paraId="07B392D1" w14:textId="77777777" w:rsidR="008A1E55" w:rsidRPr="006B42D6" w:rsidRDefault="008A1E55" w:rsidP="00E16CAE">
            <w:pPr>
              <w:jc w:val="right"/>
              <w:rPr>
                <w:sz w:val="16"/>
                <w:szCs w:val="16"/>
              </w:rPr>
            </w:pPr>
            <w:r w:rsidRPr="006B42D6">
              <w:rPr>
                <w:sz w:val="16"/>
                <w:szCs w:val="16"/>
              </w:rPr>
              <w:t>0.6</w:t>
            </w:r>
          </w:p>
        </w:tc>
        <w:tc>
          <w:tcPr>
            <w:tcW w:w="700" w:type="dxa"/>
            <w:tcBorders>
              <w:top w:val="nil"/>
              <w:left w:val="nil"/>
              <w:bottom w:val="nil"/>
              <w:right w:val="nil"/>
            </w:tcBorders>
            <w:shd w:val="clear" w:color="auto" w:fill="auto"/>
            <w:noWrap/>
            <w:vAlign w:val="center"/>
            <w:hideMark/>
          </w:tcPr>
          <w:p w14:paraId="0F141C98" w14:textId="77777777" w:rsidR="008A1E55" w:rsidRPr="006B42D6" w:rsidRDefault="008A1E55" w:rsidP="00E16CAE">
            <w:pPr>
              <w:jc w:val="right"/>
              <w:rPr>
                <w:sz w:val="16"/>
                <w:szCs w:val="16"/>
              </w:rPr>
            </w:pPr>
            <w:r w:rsidRPr="006B42D6">
              <w:rPr>
                <w:sz w:val="16"/>
                <w:szCs w:val="16"/>
              </w:rPr>
              <w:t>3.6</w:t>
            </w:r>
          </w:p>
        </w:tc>
        <w:tc>
          <w:tcPr>
            <w:tcW w:w="880" w:type="dxa"/>
            <w:tcBorders>
              <w:top w:val="nil"/>
              <w:left w:val="nil"/>
              <w:bottom w:val="nil"/>
              <w:right w:val="nil"/>
            </w:tcBorders>
            <w:shd w:val="clear" w:color="auto" w:fill="auto"/>
            <w:noWrap/>
            <w:vAlign w:val="center"/>
            <w:hideMark/>
          </w:tcPr>
          <w:p w14:paraId="11999D55" w14:textId="77777777" w:rsidR="008A1E55" w:rsidRPr="006B42D6" w:rsidRDefault="008A1E55" w:rsidP="00E16CAE">
            <w:pPr>
              <w:jc w:val="right"/>
              <w:rPr>
                <w:sz w:val="16"/>
                <w:szCs w:val="16"/>
              </w:rPr>
            </w:pPr>
            <w:r w:rsidRPr="006B42D6">
              <w:rPr>
                <w:sz w:val="16"/>
                <w:szCs w:val="16"/>
              </w:rPr>
              <w:t>-</w:t>
            </w:r>
          </w:p>
        </w:tc>
        <w:tc>
          <w:tcPr>
            <w:tcW w:w="700" w:type="dxa"/>
            <w:tcBorders>
              <w:top w:val="nil"/>
              <w:left w:val="nil"/>
              <w:bottom w:val="nil"/>
              <w:right w:val="nil"/>
            </w:tcBorders>
            <w:shd w:val="clear" w:color="auto" w:fill="auto"/>
            <w:noWrap/>
            <w:vAlign w:val="center"/>
            <w:hideMark/>
          </w:tcPr>
          <w:p w14:paraId="4D357C80" w14:textId="77777777" w:rsidR="008A1E55" w:rsidRPr="006B42D6" w:rsidRDefault="008A1E55" w:rsidP="00E16CAE">
            <w:pPr>
              <w:jc w:val="right"/>
              <w:rPr>
                <w:sz w:val="16"/>
                <w:szCs w:val="16"/>
              </w:rPr>
            </w:pPr>
            <w:r w:rsidRPr="006B42D6">
              <w:rPr>
                <w:sz w:val="16"/>
                <w:szCs w:val="16"/>
              </w:rPr>
              <w:t>-</w:t>
            </w:r>
          </w:p>
        </w:tc>
      </w:tr>
      <w:tr w:rsidR="006B42D6" w:rsidRPr="006B42D6" w14:paraId="36305E6D" w14:textId="77777777" w:rsidTr="00E16CAE">
        <w:trPr>
          <w:trHeight w:val="283"/>
        </w:trPr>
        <w:tc>
          <w:tcPr>
            <w:tcW w:w="1680" w:type="dxa"/>
            <w:tcBorders>
              <w:top w:val="nil"/>
              <w:left w:val="nil"/>
              <w:bottom w:val="nil"/>
              <w:right w:val="nil"/>
            </w:tcBorders>
            <w:shd w:val="clear" w:color="auto" w:fill="auto"/>
            <w:noWrap/>
            <w:vAlign w:val="center"/>
            <w:hideMark/>
          </w:tcPr>
          <w:p w14:paraId="58DB63BB" w14:textId="77777777" w:rsidR="008A1E55" w:rsidRPr="006B42D6" w:rsidRDefault="008A1E55" w:rsidP="00E16CAE">
            <w:pPr>
              <w:rPr>
                <w:sz w:val="16"/>
                <w:szCs w:val="16"/>
              </w:rPr>
            </w:pPr>
            <w:r w:rsidRPr="006B42D6">
              <w:rPr>
                <w:sz w:val="16"/>
                <w:szCs w:val="16"/>
              </w:rPr>
              <w:t>Songwe</w:t>
            </w:r>
          </w:p>
        </w:tc>
        <w:tc>
          <w:tcPr>
            <w:tcW w:w="700" w:type="dxa"/>
            <w:tcBorders>
              <w:top w:val="nil"/>
              <w:left w:val="nil"/>
              <w:bottom w:val="nil"/>
              <w:right w:val="nil"/>
            </w:tcBorders>
            <w:shd w:val="clear" w:color="auto" w:fill="auto"/>
            <w:noWrap/>
            <w:vAlign w:val="center"/>
            <w:hideMark/>
          </w:tcPr>
          <w:p w14:paraId="738DDAE4" w14:textId="77777777" w:rsidR="008A1E55" w:rsidRPr="006B42D6" w:rsidRDefault="008A1E55" w:rsidP="00E16CAE">
            <w:pPr>
              <w:jc w:val="right"/>
              <w:rPr>
                <w:sz w:val="16"/>
                <w:szCs w:val="16"/>
              </w:rPr>
            </w:pPr>
            <w:r w:rsidRPr="006B42D6">
              <w:rPr>
                <w:sz w:val="16"/>
                <w:szCs w:val="16"/>
              </w:rPr>
              <w:t>5.0</w:t>
            </w:r>
          </w:p>
        </w:tc>
        <w:tc>
          <w:tcPr>
            <w:tcW w:w="980" w:type="dxa"/>
            <w:tcBorders>
              <w:top w:val="nil"/>
              <w:left w:val="nil"/>
              <w:bottom w:val="nil"/>
              <w:right w:val="nil"/>
            </w:tcBorders>
            <w:shd w:val="clear" w:color="auto" w:fill="auto"/>
            <w:noWrap/>
            <w:vAlign w:val="center"/>
            <w:hideMark/>
          </w:tcPr>
          <w:p w14:paraId="2413547E" w14:textId="77777777" w:rsidR="008A1E55" w:rsidRPr="006B42D6" w:rsidRDefault="008A1E55" w:rsidP="00E16CAE">
            <w:pPr>
              <w:jc w:val="right"/>
              <w:rPr>
                <w:sz w:val="16"/>
                <w:szCs w:val="16"/>
              </w:rPr>
            </w:pPr>
            <w:r w:rsidRPr="006B42D6">
              <w:rPr>
                <w:sz w:val="16"/>
                <w:szCs w:val="16"/>
              </w:rPr>
              <w:t>0.2</w:t>
            </w:r>
          </w:p>
        </w:tc>
        <w:tc>
          <w:tcPr>
            <w:tcW w:w="920" w:type="dxa"/>
            <w:tcBorders>
              <w:top w:val="nil"/>
              <w:left w:val="nil"/>
              <w:bottom w:val="nil"/>
              <w:right w:val="nil"/>
            </w:tcBorders>
            <w:shd w:val="clear" w:color="auto" w:fill="auto"/>
            <w:noWrap/>
            <w:vAlign w:val="center"/>
            <w:hideMark/>
          </w:tcPr>
          <w:p w14:paraId="149D1C66" w14:textId="77777777" w:rsidR="008A1E55" w:rsidRPr="006B42D6" w:rsidRDefault="008A1E55" w:rsidP="00E16CAE">
            <w:pPr>
              <w:jc w:val="right"/>
              <w:rPr>
                <w:sz w:val="16"/>
                <w:szCs w:val="16"/>
              </w:rPr>
            </w:pPr>
            <w:r w:rsidRPr="006B42D6">
              <w:rPr>
                <w:sz w:val="16"/>
                <w:szCs w:val="16"/>
              </w:rPr>
              <w:t>2.4</w:t>
            </w:r>
          </w:p>
        </w:tc>
        <w:tc>
          <w:tcPr>
            <w:tcW w:w="880" w:type="dxa"/>
            <w:tcBorders>
              <w:top w:val="nil"/>
              <w:left w:val="nil"/>
              <w:bottom w:val="nil"/>
              <w:right w:val="nil"/>
            </w:tcBorders>
            <w:shd w:val="clear" w:color="auto" w:fill="auto"/>
            <w:noWrap/>
            <w:vAlign w:val="center"/>
            <w:hideMark/>
          </w:tcPr>
          <w:p w14:paraId="6A57387D" w14:textId="77777777" w:rsidR="008A1E55" w:rsidRPr="006B42D6" w:rsidRDefault="008A1E55" w:rsidP="00E16CAE">
            <w:pPr>
              <w:jc w:val="right"/>
              <w:rPr>
                <w:sz w:val="16"/>
                <w:szCs w:val="16"/>
              </w:rPr>
            </w:pPr>
            <w:r w:rsidRPr="006B42D6">
              <w:rPr>
                <w:sz w:val="16"/>
                <w:szCs w:val="16"/>
              </w:rPr>
              <w:t>7.2</w:t>
            </w:r>
          </w:p>
        </w:tc>
        <w:tc>
          <w:tcPr>
            <w:tcW w:w="940" w:type="dxa"/>
            <w:tcBorders>
              <w:top w:val="nil"/>
              <w:left w:val="nil"/>
              <w:bottom w:val="nil"/>
              <w:right w:val="nil"/>
            </w:tcBorders>
            <w:shd w:val="clear" w:color="auto" w:fill="auto"/>
            <w:noWrap/>
            <w:vAlign w:val="center"/>
            <w:hideMark/>
          </w:tcPr>
          <w:p w14:paraId="2F1EFF88" w14:textId="77777777" w:rsidR="008A1E55" w:rsidRPr="006B42D6" w:rsidRDefault="008A1E55" w:rsidP="00E16CAE">
            <w:pPr>
              <w:jc w:val="right"/>
              <w:rPr>
                <w:sz w:val="16"/>
                <w:szCs w:val="16"/>
              </w:rPr>
            </w:pPr>
            <w:r w:rsidRPr="006B42D6">
              <w:rPr>
                <w:sz w:val="16"/>
                <w:szCs w:val="16"/>
              </w:rPr>
              <w:t>0.6</w:t>
            </w:r>
          </w:p>
        </w:tc>
        <w:tc>
          <w:tcPr>
            <w:tcW w:w="1040" w:type="dxa"/>
            <w:tcBorders>
              <w:top w:val="nil"/>
              <w:left w:val="nil"/>
              <w:bottom w:val="nil"/>
              <w:right w:val="nil"/>
            </w:tcBorders>
            <w:shd w:val="clear" w:color="auto" w:fill="auto"/>
            <w:noWrap/>
            <w:vAlign w:val="center"/>
            <w:hideMark/>
          </w:tcPr>
          <w:p w14:paraId="533DE25E" w14:textId="77777777" w:rsidR="008A1E55" w:rsidRPr="006B42D6" w:rsidRDefault="008A1E55" w:rsidP="00E16CAE">
            <w:pPr>
              <w:jc w:val="right"/>
              <w:rPr>
                <w:sz w:val="16"/>
                <w:szCs w:val="16"/>
              </w:rPr>
            </w:pPr>
            <w:r w:rsidRPr="006B42D6">
              <w:rPr>
                <w:sz w:val="16"/>
                <w:szCs w:val="16"/>
              </w:rPr>
              <w:t>0.1</w:t>
            </w:r>
          </w:p>
        </w:tc>
        <w:tc>
          <w:tcPr>
            <w:tcW w:w="700" w:type="dxa"/>
            <w:tcBorders>
              <w:top w:val="nil"/>
              <w:left w:val="nil"/>
              <w:bottom w:val="nil"/>
              <w:right w:val="nil"/>
            </w:tcBorders>
            <w:shd w:val="clear" w:color="auto" w:fill="auto"/>
            <w:noWrap/>
            <w:vAlign w:val="center"/>
            <w:hideMark/>
          </w:tcPr>
          <w:p w14:paraId="08220173" w14:textId="77777777" w:rsidR="008A1E55" w:rsidRPr="006B42D6" w:rsidRDefault="008A1E55" w:rsidP="00E16CAE">
            <w:pPr>
              <w:jc w:val="right"/>
              <w:rPr>
                <w:sz w:val="16"/>
                <w:szCs w:val="16"/>
              </w:rPr>
            </w:pPr>
            <w:r w:rsidRPr="006B42D6">
              <w:rPr>
                <w:sz w:val="16"/>
                <w:szCs w:val="16"/>
              </w:rPr>
              <w:t>-</w:t>
            </w:r>
          </w:p>
        </w:tc>
        <w:tc>
          <w:tcPr>
            <w:tcW w:w="880" w:type="dxa"/>
            <w:tcBorders>
              <w:top w:val="nil"/>
              <w:left w:val="nil"/>
              <w:bottom w:val="nil"/>
              <w:right w:val="nil"/>
            </w:tcBorders>
            <w:shd w:val="clear" w:color="auto" w:fill="auto"/>
            <w:noWrap/>
            <w:vAlign w:val="center"/>
            <w:hideMark/>
          </w:tcPr>
          <w:p w14:paraId="1B9E4F54" w14:textId="77777777" w:rsidR="008A1E55" w:rsidRPr="006B42D6" w:rsidRDefault="008A1E55" w:rsidP="00E16CAE">
            <w:pPr>
              <w:jc w:val="right"/>
              <w:rPr>
                <w:sz w:val="16"/>
                <w:szCs w:val="16"/>
              </w:rPr>
            </w:pPr>
            <w:r w:rsidRPr="006B42D6">
              <w:rPr>
                <w:sz w:val="16"/>
                <w:szCs w:val="16"/>
              </w:rPr>
              <w:t>4.4</w:t>
            </w:r>
          </w:p>
        </w:tc>
        <w:tc>
          <w:tcPr>
            <w:tcW w:w="700" w:type="dxa"/>
            <w:tcBorders>
              <w:top w:val="nil"/>
              <w:left w:val="nil"/>
              <w:bottom w:val="nil"/>
              <w:right w:val="nil"/>
            </w:tcBorders>
            <w:shd w:val="clear" w:color="auto" w:fill="auto"/>
            <w:noWrap/>
            <w:vAlign w:val="center"/>
            <w:hideMark/>
          </w:tcPr>
          <w:p w14:paraId="235605FC" w14:textId="77777777" w:rsidR="008A1E55" w:rsidRPr="006B42D6" w:rsidRDefault="008A1E55" w:rsidP="00E16CAE">
            <w:pPr>
              <w:jc w:val="right"/>
              <w:rPr>
                <w:sz w:val="16"/>
                <w:szCs w:val="16"/>
              </w:rPr>
            </w:pPr>
            <w:r w:rsidRPr="006B42D6">
              <w:rPr>
                <w:sz w:val="16"/>
                <w:szCs w:val="16"/>
              </w:rPr>
              <w:t>-</w:t>
            </w:r>
          </w:p>
        </w:tc>
      </w:tr>
      <w:tr w:rsidR="006B42D6" w:rsidRPr="006B42D6" w14:paraId="5444E7F3" w14:textId="77777777" w:rsidTr="00257DF7">
        <w:trPr>
          <w:trHeight w:val="283"/>
        </w:trPr>
        <w:tc>
          <w:tcPr>
            <w:tcW w:w="1680" w:type="dxa"/>
            <w:tcBorders>
              <w:top w:val="single" w:sz="4" w:space="0" w:color="auto"/>
              <w:left w:val="nil"/>
              <w:bottom w:val="single" w:sz="4" w:space="0" w:color="auto"/>
              <w:right w:val="nil"/>
            </w:tcBorders>
            <w:shd w:val="clear" w:color="auto" w:fill="E2EFD9" w:themeFill="accent6" w:themeFillTint="33"/>
            <w:noWrap/>
            <w:vAlign w:val="center"/>
            <w:hideMark/>
          </w:tcPr>
          <w:p w14:paraId="78A3592E" w14:textId="50A2ACB2" w:rsidR="008A1E55" w:rsidRPr="006B42D6" w:rsidRDefault="00EA1552" w:rsidP="00E16CAE">
            <w:pPr>
              <w:rPr>
                <w:b/>
                <w:bCs/>
                <w:sz w:val="16"/>
                <w:szCs w:val="16"/>
              </w:rPr>
            </w:pPr>
            <w:r>
              <w:rPr>
                <w:b/>
                <w:bCs/>
                <w:sz w:val="16"/>
                <w:szCs w:val="16"/>
              </w:rPr>
              <w:t>Mainland Tanzania</w:t>
            </w:r>
          </w:p>
        </w:tc>
        <w:tc>
          <w:tcPr>
            <w:tcW w:w="700" w:type="dxa"/>
            <w:tcBorders>
              <w:top w:val="single" w:sz="4" w:space="0" w:color="auto"/>
              <w:left w:val="nil"/>
              <w:bottom w:val="single" w:sz="4" w:space="0" w:color="auto"/>
              <w:right w:val="nil"/>
            </w:tcBorders>
            <w:shd w:val="clear" w:color="auto" w:fill="E2EFD9" w:themeFill="accent6" w:themeFillTint="33"/>
            <w:noWrap/>
            <w:vAlign w:val="center"/>
            <w:hideMark/>
          </w:tcPr>
          <w:p w14:paraId="2DA134E5" w14:textId="77777777" w:rsidR="008A1E55" w:rsidRPr="006B42D6" w:rsidRDefault="008A1E55" w:rsidP="00E16CAE">
            <w:pPr>
              <w:jc w:val="right"/>
              <w:rPr>
                <w:b/>
                <w:bCs/>
                <w:sz w:val="16"/>
                <w:szCs w:val="16"/>
              </w:rPr>
            </w:pPr>
            <w:r w:rsidRPr="006B42D6">
              <w:rPr>
                <w:b/>
                <w:bCs/>
                <w:sz w:val="16"/>
                <w:szCs w:val="16"/>
              </w:rPr>
              <w:t>100.0</w:t>
            </w:r>
          </w:p>
        </w:tc>
        <w:tc>
          <w:tcPr>
            <w:tcW w:w="980" w:type="dxa"/>
            <w:tcBorders>
              <w:top w:val="single" w:sz="4" w:space="0" w:color="auto"/>
              <w:left w:val="nil"/>
              <w:bottom w:val="single" w:sz="4" w:space="0" w:color="auto"/>
              <w:right w:val="nil"/>
            </w:tcBorders>
            <w:shd w:val="clear" w:color="auto" w:fill="E2EFD9" w:themeFill="accent6" w:themeFillTint="33"/>
            <w:noWrap/>
            <w:vAlign w:val="center"/>
            <w:hideMark/>
          </w:tcPr>
          <w:p w14:paraId="1C770059" w14:textId="77777777" w:rsidR="008A1E55" w:rsidRPr="006B42D6" w:rsidRDefault="008A1E55" w:rsidP="00E16CAE">
            <w:pPr>
              <w:jc w:val="right"/>
              <w:rPr>
                <w:b/>
                <w:bCs/>
                <w:sz w:val="16"/>
                <w:szCs w:val="16"/>
              </w:rPr>
            </w:pPr>
            <w:r w:rsidRPr="006B42D6">
              <w:rPr>
                <w:b/>
                <w:bCs/>
                <w:sz w:val="16"/>
                <w:szCs w:val="16"/>
              </w:rPr>
              <w:t>100.0</w:t>
            </w:r>
          </w:p>
        </w:tc>
        <w:tc>
          <w:tcPr>
            <w:tcW w:w="920" w:type="dxa"/>
            <w:tcBorders>
              <w:top w:val="single" w:sz="4" w:space="0" w:color="auto"/>
              <w:left w:val="nil"/>
              <w:bottom w:val="single" w:sz="4" w:space="0" w:color="auto"/>
              <w:right w:val="nil"/>
            </w:tcBorders>
            <w:shd w:val="clear" w:color="auto" w:fill="E2EFD9" w:themeFill="accent6" w:themeFillTint="33"/>
            <w:noWrap/>
            <w:vAlign w:val="center"/>
            <w:hideMark/>
          </w:tcPr>
          <w:p w14:paraId="1C5510EE" w14:textId="77777777" w:rsidR="008A1E55" w:rsidRPr="006B42D6" w:rsidRDefault="008A1E55" w:rsidP="00E16CAE">
            <w:pPr>
              <w:jc w:val="right"/>
              <w:rPr>
                <w:b/>
                <w:bCs/>
                <w:sz w:val="16"/>
                <w:szCs w:val="16"/>
              </w:rPr>
            </w:pPr>
            <w:r w:rsidRPr="006B42D6">
              <w:rPr>
                <w:b/>
                <w:bCs/>
                <w:sz w:val="16"/>
                <w:szCs w:val="16"/>
              </w:rPr>
              <w:t>100.0</w:t>
            </w:r>
          </w:p>
        </w:tc>
        <w:tc>
          <w:tcPr>
            <w:tcW w:w="880" w:type="dxa"/>
            <w:tcBorders>
              <w:top w:val="single" w:sz="4" w:space="0" w:color="auto"/>
              <w:left w:val="nil"/>
              <w:bottom w:val="single" w:sz="4" w:space="0" w:color="auto"/>
              <w:right w:val="nil"/>
            </w:tcBorders>
            <w:shd w:val="clear" w:color="auto" w:fill="E2EFD9" w:themeFill="accent6" w:themeFillTint="33"/>
            <w:noWrap/>
            <w:vAlign w:val="center"/>
            <w:hideMark/>
          </w:tcPr>
          <w:p w14:paraId="06772F97" w14:textId="77777777" w:rsidR="008A1E55" w:rsidRPr="006B42D6" w:rsidRDefault="008A1E55" w:rsidP="00E16CAE">
            <w:pPr>
              <w:jc w:val="right"/>
              <w:rPr>
                <w:b/>
                <w:bCs/>
                <w:sz w:val="16"/>
                <w:szCs w:val="16"/>
              </w:rPr>
            </w:pPr>
            <w:r w:rsidRPr="006B42D6">
              <w:rPr>
                <w:b/>
                <w:bCs/>
                <w:sz w:val="16"/>
                <w:szCs w:val="16"/>
              </w:rPr>
              <w:t>100.0</w:t>
            </w:r>
          </w:p>
        </w:tc>
        <w:tc>
          <w:tcPr>
            <w:tcW w:w="940" w:type="dxa"/>
            <w:tcBorders>
              <w:top w:val="single" w:sz="4" w:space="0" w:color="auto"/>
              <w:left w:val="nil"/>
              <w:bottom w:val="single" w:sz="4" w:space="0" w:color="auto"/>
              <w:right w:val="nil"/>
            </w:tcBorders>
            <w:shd w:val="clear" w:color="auto" w:fill="E2EFD9" w:themeFill="accent6" w:themeFillTint="33"/>
            <w:noWrap/>
            <w:vAlign w:val="center"/>
            <w:hideMark/>
          </w:tcPr>
          <w:p w14:paraId="25695F04" w14:textId="77777777" w:rsidR="008A1E55" w:rsidRPr="006B42D6" w:rsidRDefault="008A1E55" w:rsidP="00E16CAE">
            <w:pPr>
              <w:jc w:val="right"/>
              <w:rPr>
                <w:b/>
                <w:bCs/>
                <w:sz w:val="16"/>
                <w:szCs w:val="16"/>
              </w:rPr>
            </w:pPr>
            <w:r w:rsidRPr="006B42D6">
              <w:rPr>
                <w:b/>
                <w:bCs/>
                <w:sz w:val="16"/>
                <w:szCs w:val="16"/>
              </w:rPr>
              <w:t>100.0</w:t>
            </w:r>
          </w:p>
        </w:tc>
        <w:tc>
          <w:tcPr>
            <w:tcW w:w="1040" w:type="dxa"/>
            <w:tcBorders>
              <w:top w:val="single" w:sz="4" w:space="0" w:color="auto"/>
              <w:left w:val="nil"/>
              <w:bottom w:val="single" w:sz="4" w:space="0" w:color="auto"/>
              <w:right w:val="nil"/>
            </w:tcBorders>
            <w:shd w:val="clear" w:color="auto" w:fill="E2EFD9" w:themeFill="accent6" w:themeFillTint="33"/>
            <w:noWrap/>
            <w:vAlign w:val="center"/>
            <w:hideMark/>
          </w:tcPr>
          <w:p w14:paraId="566EE7E8" w14:textId="77777777" w:rsidR="008A1E55" w:rsidRPr="006B42D6" w:rsidRDefault="008A1E55" w:rsidP="00E16CAE">
            <w:pPr>
              <w:jc w:val="right"/>
              <w:rPr>
                <w:b/>
                <w:bCs/>
                <w:sz w:val="16"/>
                <w:szCs w:val="16"/>
              </w:rPr>
            </w:pPr>
            <w:r w:rsidRPr="006B42D6">
              <w:rPr>
                <w:b/>
                <w:bCs/>
                <w:sz w:val="16"/>
                <w:szCs w:val="16"/>
              </w:rPr>
              <w:t>100.0</w:t>
            </w:r>
          </w:p>
        </w:tc>
        <w:tc>
          <w:tcPr>
            <w:tcW w:w="700" w:type="dxa"/>
            <w:tcBorders>
              <w:top w:val="single" w:sz="4" w:space="0" w:color="auto"/>
              <w:left w:val="nil"/>
              <w:bottom w:val="single" w:sz="4" w:space="0" w:color="auto"/>
              <w:right w:val="nil"/>
            </w:tcBorders>
            <w:shd w:val="clear" w:color="auto" w:fill="E2EFD9" w:themeFill="accent6" w:themeFillTint="33"/>
            <w:noWrap/>
            <w:vAlign w:val="center"/>
            <w:hideMark/>
          </w:tcPr>
          <w:p w14:paraId="77C385BF" w14:textId="77777777" w:rsidR="008A1E55" w:rsidRPr="006B42D6" w:rsidRDefault="008A1E55" w:rsidP="00E16CAE">
            <w:pPr>
              <w:jc w:val="right"/>
              <w:rPr>
                <w:b/>
                <w:bCs/>
                <w:sz w:val="16"/>
                <w:szCs w:val="16"/>
              </w:rPr>
            </w:pPr>
            <w:r w:rsidRPr="006B42D6">
              <w:rPr>
                <w:b/>
                <w:bCs/>
                <w:sz w:val="16"/>
                <w:szCs w:val="16"/>
              </w:rPr>
              <w:t>100.0</w:t>
            </w:r>
          </w:p>
        </w:tc>
        <w:tc>
          <w:tcPr>
            <w:tcW w:w="880" w:type="dxa"/>
            <w:tcBorders>
              <w:top w:val="single" w:sz="4" w:space="0" w:color="auto"/>
              <w:left w:val="nil"/>
              <w:bottom w:val="single" w:sz="4" w:space="0" w:color="auto"/>
              <w:right w:val="nil"/>
            </w:tcBorders>
            <w:shd w:val="clear" w:color="auto" w:fill="E2EFD9" w:themeFill="accent6" w:themeFillTint="33"/>
            <w:noWrap/>
            <w:vAlign w:val="center"/>
            <w:hideMark/>
          </w:tcPr>
          <w:p w14:paraId="22EEE1C1" w14:textId="77777777" w:rsidR="008A1E55" w:rsidRPr="006B42D6" w:rsidRDefault="008A1E55" w:rsidP="00E16CAE">
            <w:pPr>
              <w:jc w:val="right"/>
              <w:rPr>
                <w:b/>
                <w:bCs/>
                <w:sz w:val="16"/>
                <w:szCs w:val="16"/>
              </w:rPr>
            </w:pPr>
            <w:r w:rsidRPr="006B42D6">
              <w:rPr>
                <w:b/>
                <w:bCs/>
                <w:sz w:val="16"/>
                <w:szCs w:val="16"/>
              </w:rPr>
              <w:t>100.0</w:t>
            </w:r>
          </w:p>
        </w:tc>
        <w:tc>
          <w:tcPr>
            <w:tcW w:w="700" w:type="dxa"/>
            <w:tcBorders>
              <w:top w:val="single" w:sz="4" w:space="0" w:color="auto"/>
              <w:left w:val="nil"/>
              <w:bottom w:val="single" w:sz="4" w:space="0" w:color="auto"/>
              <w:right w:val="nil"/>
            </w:tcBorders>
            <w:shd w:val="clear" w:color="auto" w:fill="E2EFD9" w:themeFill="accent6" w:themeFillTint="33"/>
            <w:noWrap/>
            <w:vAlign w:val="center"/>
            <w:hideMark/>
          </w:tcPr>
          <w:p w14:paraId="41577C36" w14:textId="77777777" w:rsidR="008A1E55" w:rsidRPr="006B42D6" w:rsidRDefault="008A1E55" w:rsidP="00E16CAE">
            <w:pPr>
              <w:jc w:val="right"/>
              <w:rPr>
                <w:b/>
                <w:bCs/>
                <w:sz w:val="16"/>
                <w:szCs w:val="16"/>
              </w:rPr>
            </w:pPr>
            <w:r w:rsidRPr="006B42D6">
              <w:rPr>
                <w:b/>
                <w:bCs/>
                <w:sz w:val="16"/>
                <w:szCs w:val="16"/>
              </w:rPr>
              <w:t>100.0</w:t>
            </w:r>
          </w:p>
        </w:tc>
      </w:tr>
      <w:tr w:rsidR="006B42D6" w:rsidRPr="006B42D6" w14:paraId="46A68995" w14:textId="77777777" w:rsidTr="00E16CAE">
        <w:trPr>
          <w:trHeight w:val="283"/>
        </w:trPr>
        <w:tc>
          <w:tcPr>
            <w:tcW w:w="1680" w:type="dxa"/>
            <w:tcBorders>
              <w:top w:val="nil"/>
              <w:left w:val="nil"/>
              <w:bottom w:val="nil"/>
              <w:right w:val="nil"/>
            </w:tcBorders>
            <w:shd w:val="clear" w:color="auto" w:fill="auto"/>
            <w:noWrap/>
            <w:vAlign w:val="center"/>
            <w:hideMark/>
          </w:tcPr>
          <w:p w14:paraId="7283484A" w14:textId="77777777" w:rsidR="008A1E55" w:rsidRPr="006B42D6" w:rsidRDefault="008A1E55" w:rsidP="00E16CAE">
            <w:pPr>
              <w:rPr>
                <w:sz w:val="16"/>
                <w:szCs w:val="16"/>
              </w:rPr>
            </w:pPr>
            <w:r w:rsidRPr="006B42D6">
              <w:rPr>
                <w:sz w:val="16"/>
                <w:szCs w:val="16"/>
              </w:rPr>
              <w:t>Kaskazini Unguja</w:t>
            </w:r>
          </w:p>
        </w:tc>
        <w:tc>
          <w:tcPr>
            <w:tcW w:w="700" w:type="dxa"/>
            <w:tcBorders>
              <w:top w:val="nil"/>
              <w:left w:val="nil"/>
              <w:bottom w:val="nil"/>
              <w:right w:val="nil"/>
            </w:tcBorders>
            <w:shd w:val="clear" w:color="auto" w:fill="auto"/>
            <w:noWrap/>
            <w:vAlign w:val="center"/>
            <w:hideMark/>
          </w:tcPr>
          <w:p w14:paraId="3179381E" w14:textId="77777777" w:rsidR="008A1E55" w:rsidRPr="006B42D6" w:rsidRDefault="008A1E55" w:rsidP="00E16CAE">
            <w:pPr>
              <w:jc w:val="right"/>
              <w:rPr>
                <w:sz w:val="16"/>
                <w:szCs w:val="16"/>
              </w:rPr>
            </w:pPr>
            <w:r w:rsidRPr="006B42D6">
              <w:rPr>
                <w:sz w:val="16"/>
                <w:szCs w:val="16"/>
              </w:rPr>
              <w:t>65.0</w:t>
            </w:r>
          </w:p>
        </w:tc>
        <w:tc>
          <w:tcPr>
            <w:tcW w:w="980" w:type="dxa"/>
            <w:tcBorders>
              <w:top w:val="nil"/>
              <w:left w:val="nil"/>
              <w:bottom w:val="nil"/>
              <w:right w:val="nil"/>
            </w:tcBorders>
            <w:shd w:val="clear" w:color="auto" w:fill="auto"/>
            <w:noWrap/>
            <w:vAlign w:val="center"/>
            <w:hideMark/>
          </w:tcPr>
          <w:p w14:paraId="126AACD8" w14:textId="77777777" w:rsidR="008A1E55" w:rsidRPr="006B42D6" w:rsidRDefault="008A1E55" w:rsidP="00E16CAE">
            <w:pPr>
              <w:jc w:val="right"/>
              <w:rPr>
                <w:sz w:val="16"/>
                <w:szCs w:val="16"/>
              </w:rPr>
            </w:pPr>
            <w:r w:rsidRPr="006B42D6">
              <w:rPr>
                <w:sz w:val="16"/>
                <w:szCs w:val="16"/>
              </w:rPr>
              <w:t>5.4</w:t>
            </w:r>
          </w:p>
        </w:tc>
        <w:tc>
          <w:tcPr>
            <w:tcW w:w="920" w:type="dxa"/>
            <w:tcBorders>
              <w:top w:val="nil"/>
              <w:left w:val="nil"/>
              <w:bottom w:val="nil"/>
              <w:right w:val="nil"/>
            </w:tcBorders>
            <w:shd w:val="clear" w:color="auto" w:fill="auto"/>
            <w:noWrap/>
            <w:vAlign w:val="center"/>
            <w:hideMark/>
          </w:tcPr>
          <w:p w14:paraId="21759B0F" w14:textId="77777777" w:rsidR="008A1E55" w:rsidRPr="006B42D6" w:rsidRDefault="008A1E55" w:rsidP="00E16CAE">
            <w:pPr>
              <w:jc w:val="right"/>
              <w:rPr>
                <w:sz w:val="16"/>
                <w:szCs w:val="16"/>
              </w:rPr>
            </w:pPr>
            <w:r w:rsidRPr="006B42D6">
              <w:rPr>
                <w:sz w:val="16"/>
                <w:szCs w:val="16"/>
              </w:rPr>
              <w:t>0.8</w:t>
            </w:r>
          </w:p>
        </w:tc>
        <w:tc>
          <w:tcPr>
            <w:tcW w:w="880" w:type="dxa"/>
            <w:tcBorders>
              <w:top w:val="nil"/>
              <w:left w:val="nil"/>
              <w:bottom w:val="nil"/>
              <w:right w:val="nil"/>
            </w:tcBorders>
            <w:shd w:val="clear" w:color="auto" w:fill="auto"/>
            <w:noWrap/>
            <w:vAlign w:val="center"/>
            <w:hideMark/>
          </w:tcPr>
          <w:p w14:paraId="37CA57F4" w14:textId="77777777" w:rsidR="008A1E55" w:rsidRPr="006B42D6" w:rsidRDefault="008A1E55" w:rsidP="00E16CAE">
            <w:pPr>
              <w:jc w:val="right"/>
              <w:rPr>
                <w:sz w:val="16"/>
                <w:szCs w:val="16"/>
              </w:rPr>
            </w:pPr>
            <w:r w:rsidRPr="006B42D6">
              <w:rPr>
                <w:sz w:val="16"/>
                <w:szCs w:val="16"/>
              </w:rPr>
              <w:t>-</w:t>
            </w:r>
          </w:p>
        </w:tc>
        <w:tc>
          <w:tcPr>
            <w:tcW w:w="940" w:type="dxa"/>
            <w:tcBorders>
              <w:top w:val="nil"/>
              <w:left w:val="nil"/>
              <w:bottom w:val="nil"/>
              <w:right w:val="nil"/>
            </w:tcBorders>
            <w:shd w:val="clear" w:color="auto" w:fill="auto"/>
            <w:noWrap/>
            <w:vAlign w:val="center"/>
            <w:hideMark/>
          </w:tcPr>
          <w:p w14:paraId="689D0CBF" w14:textId="77777777" w:rsidR="008A1E55" w:rsidRPr="006B42D6" w:rsidRDefault="008A1E55" w:rsidP="00E16CAE">
            <w:pPr>
              <w:jc w:val="right"/>
              <w:rPr>
                <w:sz w:val="16"/>
                <w:szCs w:val="16"/>
              </w:rPr>
            </w:pPr>
            <w:r w:rsidRPr="006B42D6">
              <w:rPr>
                <w:sz w:val="16"/>
                <w:szCs w:val="16"/>
              </w:rPr>
              <w:t>-</w:t>
            </w:r>
          </w:p>
        </w:tc>
        <w:tc>
          <w:tcPr>
            <w:tcW w:w="1040" w:type="dxa"/>
            <w:tcBorders>
              <w:top w:val="nil"/>
              <w:left w:val="nil"/>
              <w:bottom w:val="nil"/>
              <w:right w:val="nil"/>
            </w:tcBorders>
            <w:shd w:val="clear" w:color="auto" w:fill="auto"/>
            <w:noWrap/>
            <w:vAlign w:val="center"/>
            <w:hideMark/>
          </w:tcPr>
          <w:p w14:paraId="6BFEE4CF" w14:textId="77777777" w:rsidR="008A1E55" w:rsidRPr="006B42D6" w:rsidRDefault="008A1E55" w:rsidP="00E16CAE">
            <w:pPr>
              <w:jc w:val="right"/>
              <w:rPr>
                <w:sz w:val="16"/>
                <w:szCs w:val="16"/>
              </w:rPr>
            </w:pPr>
            <w:r w:rsidRPr="006B42D6">
              <w:rPr>
                <w:sz w:val="16"/>
                <w:szCs w:val="16"/>
              </w:rPr>
              <w:t>39.3</w:t>
            </w:r>
          </w:p>
        </w:tc>
        <w:tc>
          <w:tcPr>
            <w:tcW w:w="700" w:type="dxa"/>
            <w:tcBorders>
              <w:top w:val="nil"/>
              <w:left w:val="nil"/>
              <w:bottom w:val="nil"/>
              <w:right w:val="nil"/>
            </w:tcBorders>
            <w:shd w:val="clear" w:color="auto" w:fill="auto"/>
            <w:noWrap/>
            <w:vAlign w:val="center"/>
            <w:hideMark/>
          </w:tcPr>
          <w:p w14:paraId="2C9CC8D8" w14:textId="77777777" w:rsidR="008A1E55" w:rsidRPr="006B42D6" w:rsidRDefault="008A1E55" w:rsidP="00E16CAE">
            <w:pPr>
              <w:jc w:val="right"/>
              <w:rPr>
                <w:sz w:val="16"/>
                <w:szCs w:val="16"/>
              </w:rPr>
            </w:pPr>
            <w:r w:rsidRPr="006B42D6">
              <w:rPr>
                <w:sz w:val="16"/>
                <w:szCs w:val="16"/>
              </w:rPr>
              <w:t>7.3</w:t>
            </w:r>
          </w:p>
        </w:tc>
        <w:tc>
          <w:tcPr>
            <w:tcW w:w="880" w:type="dxa"/>
            <w:tcBorders>
              <w:top w:val="nil"/>
              <w:left w:val="nil"/>
              <w:bottom w:val="nil"/>
              <w:right w:val="nil"/>
            </w:tcBorders>
            <w:shd w:val="clear" w:color="auto" w:fill="auto"/>
            <w:noWrap/>
            <w:vAlign w:val="center"/>
            <w:hideMark/>
          </w:tcPr>
          <w:p w14:paraId="15D1D2D3" w14:textId="77777777" w:rsidR="008A1E55" w:rsidRPr="006B42D6" w:rsidRDefault="008A1E55" w:rsidP="00E16CAE">
            <w:pPr>
              <w:jc w:val="right"/>
              <w:rPr>
                <w:sz w:val="16"/>
                <w:szCs w:val="16"/>
              </w:rPr>
            </w:pPr>
            <w:r w:rsidRPr="006B42D6">
              <w:rPr>
                <w:sz w:val="16"/>
                <w:szCs w:val="16"/>
              </w:rPr>
              <w:t>6.9</w:t>
            </w:r>
          </w:p>
        </w:tc>
        <w:tc>
          <w:tcPr>
            <w:tcW w:w="700" w:type="dxa"/>
            <w:tcBorders>
              <w:top w:val="nil"/>
              <w:left w:val="nil"/>
              <w:bottom w:val="nil"/>
              <w:right w:val="nil"/>
            </w:tcBorders>
            <w:shd w:val="clear" w:color="auto" w:fill="auto"/>
            <w:noWrap/>
            <w:vAlign w:val="center"/>
            <w:hideMark/>
          </w:tcPr>
          <w:p w14:paraId="2D919FA7" w14:textId="77777777" w:rsidR="008A1E55" w:rsidRPr="006B42D6" w:rsidRDefault="008A1E55" w:rsidP="00E16CAE">
            <w:pPr>
              <w:jc w:val="right"/>
              <w:rPr>
                <w:sz w:val="16"/>
                <w:szCs w:val="16"/>
              </w:rPr>
            </w:pPr>
            <w:r w:rsidRPr="006B42D6">
              <w:rPr>
                <w:sz w:val="16"/>
                <w:szCs w:val="16"/>
              </w:rPr>
              <w:t>-</w:t>
            </w:r>
          </w:p>
        </w:tc>
      </w:tr>
      <w:tr w:rsidR="006B42D6" w:rsidRPr="006B42D6" w14:paraId="3AC5792A" w14:textId="77777777" w:rsidTr="00E16CAE">
        <w:trPr>
          <w:trHeight w:val="283"/>
        </w:trPr>
        <w:tc>
          <w:tcPr>
            <w:tcW w:w="1680" w:type="dxa"/>
            <w:tcBorders>
              <w:top w:val="nil"/>
              <w:left w:val="nil"/>
              <w:bottom w:val="nil"/>
              <w:right w:val="nil"/>
            </w:tcBorders>
            <w:shd w:val="clear" w:color="auto" w:fill="auto"/>
            <w:noWrap/>
            <w:vAlign w:val="center"/>
            <w:hideMark/>
          </w:tcPr>
          <w:p w14:paraId="7DF8F0A4" w14:textId="77777777" w:rsidR="008A1E55" w:rsidRPr="006B42D6" w:rsidRDefault="008A1E55" w:rsidP="00E16CAE">
            <w:pPr>
              <w:rPr>
                <w:sz w:val="16"/>
                <w:szCs w:val="16"/>
              </w:rPr>
            </w:pPr>
            <w:r w:rsidRPr="006B42D6">
              <w:rPr>
                <w:sz w:val="16"/>
                <w:szCs w:val="16"/>
              </w:rPr>
              <w:t>Kusini Unguja</w:t>
            </w:r>
          </w:p>
        </w:tc>
        <w:tc>
          <w:tcPr>
            <w:tcW w:w="700" w:type="dxa"/>
            <w:tcBorders>
              <w:top w:val="nil"/>
              <w:left w:val="nil"/>
              <w:bottom w:val="nil"/>
              <w:right w:val="nil"/>
            </w:tcBorders>
            <w:shd w:val="clear" w:color="auto" w:fill="auto"/>
            <w:noWrap/>
            <w:vAlign w:val="center"/>
            <w:hideMark/>
          </w:tcPr>
          <w:p w14:paraId="5234C9C6" w14:textId="77777777" w:rsidR="008A1E55" w:rsidRPr="006B42D6" w:rsidRDefault="008A1E55" w:rsidP="00E16CAE">
            <w:pPr>
              <w:jc w:val="right"/>
              <w:rPr>
                <w:sz w:val="16"/>
                <w:szCs w:val="16"/>
              </w:rPr>
            </w:pPr>
            <w:r w:rsidRPr="006B42D6">
              <w:rPr>
                <w:sz w:val="16"/>
                <w:szCs w:val="16"/>
              </w:rPr>
              <w:t>35.0</w:t>
            </w:r>
          </w:p>
        </w:tc>
        <w:tc>
          <w:tcPr>
            <w:tcW w:w="980" w:type="dxa"/>
            <w:tcBorders>
              <w:top w:val="nil"/>
              <w:left w:val="nil"/>
              <w:bottom w:val="nil"/>
              <w:right w:val="nil"/>
            </w:tcBorders>
            <w:shd w:val="clear" w:color="auto" w:fill="auto"/>
            <w:noWrap/>
            <w:vAlign w:val="center"/>
            <w:hideMark/>
          </w:tcPr>
          <w:p w14:paraId="4E2D970E" w14:textId="77777777" w:rsidR="008A1E55" w:rsidRPr="006B42D6" w:rsidRDefault="008A1E55" w:rsidP="00E16CAE">
            <w:pPr>
              <w:jc w:val="right"/>
              <w:rPr>
                <w:sz w:val="16"/>
                <w:szCs w:val="16"/>
              </w:rPr>
            </w:pPr>
            <w:r w:rsidRPr="006B42D6">
              <w:rPr>
                <w:sz w:val="16"/>
                <w:szCs w:val="16"/>
              </w:rPr>
              <w:t>3.7</w:t>
            </w:r>
          </w:p>
        </w:tc>
        <w:tc>
          <w:tcPr>
            <w:tcW w:w="920" w:type="dxa"/>
            <w:tcBorders>
              <w:top w:val="nil"/>
              <w:left w:val="nil"/>
              <w:bottom w:val="nil"/>
              <w:right w:val="nil"/>
            </w:tcBorders>
            <w:shd w:val="clear" w:color="auto" w:fill="auto"/>
            <w:noWrap/>
            <w:vAlign w:val="center"/>
            <w:hideMark/>
          </w:tcPr>
          <w:p w14:paraId="4608E407" w14:textId="77777777" w:rsidR="008A1E55" w:rsidRPr="006B42D6" w:rsidRDefault="008A1E55" w:rsidP="00E16CAE">
            <w:pPr>
              <w:jc w:val="right"/>
              <w:rPr>
                <w:sz w:val="16"/>
                <w:szCs w:val="16"/>
              </w:rPr>
            </w:pPr>
            <w:r w:rsidRPr="006B42D6">
              <w:rPr>
                <w:sz w:val="16"/>
                <w:szCs w:val="16"/>
              </w:rPr>
              <w:t>16.6</w:t>
            </w:r>
          </w:p>
        </w:tc>
        <w:tc>
          <w:tcPr>
            <w:tcW w:w="880" w:type="dxa"/>
            <w:tcBorders>
              <w:top w:val="nil"/>
              <w:left w:val="nil"/>
              <w:bottom w:val="nil"/>
              <w:right w:val="nil"/>
            </w:tcBorders>
            <w:shd w:val="clear" w:color="auto" w:fill="auto"/>
            <w:noWrap/>
            <w:vAlign w:val="center"/>
            <w:hideMark/>
          </w:tcPr>
          <w:p w14:paraId="5E20C89E" w14:textId="77777777" w:rsidR="008A1E55" w:rsidRPr="006B42D6" w:rsidRDefault="008A1E55" w:rsidP="00E16CAE">
            <w:pPr>
              <w:jc w:val="right"/>
              <w:rPr>
                <w:sz w:val="16"/>
                <w:szCs w:val="16"/>
              </w:rPr>
            </w:pPr>
            <w:r w:rsidRPr="006B42D6">
              <w:rPr>
                <w:sz w:val="16"/>
                <w:szCs w:val="16"/>
              </w:rPr>
              <w:t>-</w:t>
            </w:r>
          </w:p>
        </w:tc>
        <w:tc>
          <w:tcPr>
            <w:tcW w:w="940" w:type="dxa"/>
            <w:tcBorders>
              <w:top w:val="nil"/>
              <w:left w:val="nil"/>
              <w:bottom w:val="nil"/>
              <w:right w:val="nil"/>
            </w:tcBorders>
            <w:shd w:val="clear" w:color="auto" w:fill="auto"/>
            <w:noWrap/>
            <w:vAlign w:val="center"/>
            <w:hideMark/>
          </w:tcPr>
          <w:p w14:paraId="2ABD3AB4" w14:textId="77777777" w:rsidR="008A1E55" w:rsidRPr="006B42D6" w:rsidRDefault="008A1E55" w:rsidP="00E16CAE">
            <w:pPr>
              <w:jc w:val="right"/>
              <w:rPr>
                <w:sz w:val="16"/>
                <w:szCs w:val="16"/>
              </w:rPr>
            </w:pPr>
            <w:r w:rsidRPr="006B42D6">
              <w:rPr>
                <w:sz w:val="16"/>
                <w:szCs w:val="16"/>
              </w:rPr>
              <w:t>-</w:t>
            </w:r>
          </w:p>
        </w:tc>
        <w:tc>
          <w:tcPr>
            <w:tcW w:w="1040" w:type="dxa"/>
            <w:tcBorders>
              <w:top w:val="nil"/>
              <w:left w:val="nil"/>
              <w:bottom w:val="nil"/>
              <w:right w:val="nil"/>
            </w:tcBorders>
            <w:shd w:val="clear" w:color="auto" w:fill="auto"/>
            <w:noWrap/>
            <w:vAlign w:val="center"/>
            <w:hideMark/>
          </w:tcPr>
          <w:p w14:paraId="3881D50C" w14:textId="77777777" w:rsidR="008A1E55" w:rsidRPr="006B42D6" w:rsidRDefault="008A1E55" w:rsidP="00E16CAE">
            <w:pPr>
              <w:jc w:val="right"/>
              <w:rPr>
                <w:sz w:val="16"/>
                <w:szCs w:val="16"/>
              </w:rPr>
            </w:pPr>
            <w:r w:rsidRPr="006B42D6">
              <w:rPr>
                <w:sz w:val="16"/>
                <w:szCs w:val="16"/>
              </w:rPr>
              <w:t>10.7</w:t>
            </w:r>
          </w:p>
        </w:tc>
        <w:tc>
          <w:tcPr>
            <w:tcW w:w="700" w:type="dxa"/>
            <w:tcBorders>
              <w:top w:val="nil"/>
              <w:left w:val="nil"/>
              <w:bottom w:val="nil"/>
              <w:right w:val="nil"/>
            </w:tcBorders>
            <w:shd w:val="clear" w:color="auto" w:fill="auto"/>
            <w:noWrap/>
            <w:vAlign w:val="center"/>
            <w:hideMark/>
          </w:tcPr>
          <w:p w14:paraId="67D6F60A" w14:textId="77777777" w:rsidR="008A1E55" w:rsidRPr="006B42D6" w:rsidRDefault="008A1E55" w:rsidP="00E16CAE">
            <w:pPr>
              <w:jc w:val="right"/>
              <w:rPr>
                <w:sz w:val="16"/>
                <w:szCs w:val="16"/>
              </w:rPr>
            </w:pPr>
            <w:r w:rsidRPr="006B42D6">
              <w:rPr>
                <w:sz w:val="16"/>
                <w:szCs w:val="16"/>
              </w:rPr>
              <w:t>28.3</w:t>
            </w:r>
          </w:p>
        </w:tc>
        <w:tc>
          <w:tcPr>
            <w:tcW w:w="880" w:type="dxa"/>
            <w:tcBorders>
              <w:top w:val="nil"/>
              <w:left w:val="nil"/>
              <w:bottom w:val="nil"/>
              <w:right w:val="nil"/>
            </w:tcBorders>
            <w:shd w:val="clear" w:color="auto" w:fill="auto"/>
            <w:noWrap/>
            <w:vAlign w:val="center"/>
            <w:hideMark/>
          </w:tcPr>
          <w:p w14:paraId="3CA9BED1" w14:textId="77777777" w:rsidR="008A1E55" w:rsidRPr="006B42D6" w:rsidRDefault="008A1E55" w:rsidP="00E16CAE">
            <w:pPr>
              <w:jc w:val="right"/>
              <w:rPr>
                <w:sz w:val="16"/>
                <w:szCs w:val="16"/>
              </w:rPr>
            </w:pPr>
            <w:r w:rsidRPr="006B42D6">
              <w:rPr>
                <w:sz w:val="16"/>
                <w:szCs w:val="16"/>
              </w:rPr>
              <w:t>0.3</w:t>
            </w:r>
          </w:p>
        </w:tc>
        <w:tc>
          <w:tcPr>
            <w:tcW w:w="700" w:type="dxa"/>
            <w:tcBorders>
              <w:top w:val="nil"/>
              <w:left w:val="nil"/>
              <w:bottom w:val="nil"/>
              <w:right w:val="nil"/>
            </w:tcBorders>
            <w:shd w:val="clear" w:color="auto" w:fill="auto"/>
            <w:noWrap/>
            <w:vAlign w:val="center"/>
            <w:hideMark/>
          </w:tcPr>
          <w:p w14:paraId="570A21F4" w14:textId="77777777" w:rsidR="008A1E55" w:rsidRPr="006B42D6" w:rsidRDefault="008A1E55" w:rsidP="00E16CAE">
            <w:pPr>
              <w:jc w:val="right"/>
              <w:rPr>
                <w:sz w:val="16"/>
                <w:szCs w:val="16"/>
              </w:rPr>
            </w:pPr>
            <w:r w:rsidRPr="006B42D6">
              <w:rPr>
                <w:sz w:val="16"/>
                <w:szCs w:val="16"/>
              </w:rPr>
              <w:t>88.2</w:t>
            </w:r>
          </w:p>
        </w:tc>
      </w:tr>
      <w:tr w:rsidR="006B42D6" w:rsidRPr="006B42D6" w14:paraId="60013000" w14:textId="77777777" w:rsidTr="00E16CAE">
        <w:trPr>
          <w:trHeight w:val="283"/>
        </w:trPr>
        <w:tc>
          <w:tcPr>
            <w:tcW w:w="1680" w:type="dxa"/>
            <w:tcBorders>
              <w:top w:val="nil"/>
              <w:left w:val="nil"/>
              <w:bottom w:val="nil"/>
              <w:right w:val="nil"/>
            </w:tcBorders>
            <w:shd w:val="clear" w:color="auto" w:fill="auto"/>
            <w:noWrap/>
            <w:vAlign w:val="center"/>
            <w:hideMark/>
          </w:tcPr>
          <w:p w14:paraId="44C60CD6" w14:textId="77777777" w:rsidR="008A1E55" w:rsidRPr="006B42D6" w:rsidRDefault="008A1E55" w:rsidP="00E16CAE">
            <w:pPr>
              <w:rPr>
                <w:sz w:val="16"/>
                <w:szCs w:val="16"/>
              </w:rPr>
            </w:pPr>
            <w:r w:rsidRPr="006B42D6">
              <w:rPr>
                <w:sz w:val="16"/>
                <w:szCs w:val="16"/>
              </w:rPr>
              <w:t>Mjini Magharibi</w:t>
            </w:r>
          </w:p>
        </w:tc>
        <w:tc>
          <w:tcPr>
            <w:tcW w:w="700" w:type="dxa"/>
            <w:tcBorders>
              <w:top w:val="nil"/>
              <w:left w:val="nil"/>
              <w:bottom w:val="nil"/>
              <w:right w:val="nil"/>
            </w:tcBorders>
            <w:shd w:val="clear" w:color="auto" w:fill="auto"/>
            <w:noWrap/>
            <w:vAlign w:val="center"/>
            <w:hideMark/>
          </w:tcPr>
          <w:p w14:paraId="7CE739A4" w14:textId="77777777" w:rsidR="008A1E55" w:rsidRPr="006B42D6" w:rsidRDefault="008A1E55" w:rsidP="00E16CAE">
            <w:pPr>
              <w:jc w:val="right"/>
              <w:rPr>
                <w:sz w:val="16"/>
                <w:szCs w:val="16"/>
              </w:rPr>
            </w:pPr>
            <w:r w:rsidRPr="006B42D6">
              <w:rPr>
                <w:sz w:val="16"/>
                <w:szCs w:val="16"/>
              </w:rPr>
              <w:t>-</w:t>
            </w:r>
          </w:p>
        </w:tc>
        <w:tc>
          <w:tcPr>
            <w:tcW w:w="980" w:type="dxa"/>
            <w:tcBorders>
              <w:top w:val="nil"/>
              <w:left w:val="nil"/>
              <w:bottom w:val="nil"/>
              <w:right w:val="nil"/>
            </w:tcBorders>
            <w:shd w:val="clear" w:color="auto" w:fill="auto"/>
            <w:noWrap/>
            <w:vAlign w:val="center"/>
            <w:hideMark/>
          </w:tcPr>
          <w:p w14:paraId="4D9B48DB" w14:textId="77777777" w:rsidR="008A1E55" w:rsidRPr="006B42D6" w:rsidRDefault="008A1E55" w:rsidP="00E16CAE">
            <w:pPr>
              <w:jc w:val="right"/>
              <w:rPr>
                <w:sz w:val="16"/>
                <w:szCs w:val="16"/>
              </w:rPr>
            </w:pPr>
            <w:r w:rsidRPr="006B42D6">
              <w:rPr>
                <w:sz w:val="16"/>
                <w:szCs w:val="16"/>
              </w:rPr>
              <w:t>7.2</w:t>
            </w:r>
          </w:p>
        </w:tc>
        <w:tc>
          <w:tcPr>
            <w:tcW w:w="920" w:type="dxa"/>
            <w:tcBorders>
              <w:top w:val="nil"/>
              <w:left w:val="nil"/>
              <w:bottom w:val="nil"/>
              <w:right w:val="nil"/>
            </w:tcBorders>
            <w:shd w:val="clear" w:color="auto" w:fill="auto"/>
            <w:noWrap/>
            <w:vAlign w:val="center"/>
            <w:hideMark/>
          </w:tcPr>
          <w:p w14:paraId="5946D233" w14:textId="77777777" w:rsidR="008A1E55" w:rsidRPr="006B42D6" w:rsidRDefault="008A1E55" w:rsidP="00E16CAE">
            <w:pPr>
              <w:jc w:val="right"/>
              <w:rPr>
                <w:sz w:val="16"/>
                <w:szCs w:val="16"/>
              </w:rPr>
            </w:pPr>
            <w:r w:rsidRPr="006B42D6">
              <w:rPr>
                <w:sz w:val="16"/>
                <w:szCs w:val="16"/>
              </w:rPr>
              <w:t>81.0</w:t>
            </w:r>
          </w:p>
        </w:tc>
        <w:tc>
          <w:tcPr>
            <w:tcW w:w="880" w:type="dxa"/>
            <w:tcBorders>
              <w:top w:val="nil"/>
              <w:left w:val="nil"/>
              <w:bottom w:val="nil"/>
              <w:right w:val="nil"/>
            </w:tcBorders>
            <w:shd w:val="clear" w:color="auto" w:fill="auto"/>
            <w:noWrap/>
            <w:vAlign w:val="center"/>
            <w:hideMark/>
          </w:tcPr>
          <w:p w14:paraId="0CFAC3CD" w14:textId="77777777" w:rsidR="008A1E55" w:rsidRPr="006B42D6" w:rsidRDefault="008A1E55" w:rsidP="00E16CAE">
            <w:pPr>
              <w:jc w:val="right"/>
              <w:rPr>
                <w:sz w:val="16"/>
                <w:szCs w:val="16"/>
              </w:rPr>
            </w:pPr>
            <w:r w:rsidRPr="006B42D6">
              <w:rPr>
                <w:sz w:val="16"/>
                <w:szCs w:val="16"/>
              </w:rPr>
              <w:t>51.6</w:t>
            </w:r>
          </w:p>
        </w:tc>
        <w:tc>
          <w:tcPr>
            <w:tcW w:w="940" w:type="dxa"/>
            <w:tcBorders>
              <w:top w:val="nil"/>
              <w:left w:val="nil"/>
              <w:bottom w:val="nil"/>
              <w:right w:val="nil"/>
            </w:tcBorders>
            <w:shd w:val="clear" w:color="auto" w:fill="auto"/>
            <w:noWrap/>
            <w:vAlign w:val="center"/>
            <w:hideMark/>
          </w:tcPr>
          <w:p w14:paraId="0B3637B6" w14:textId="77777777" w:rsidR="008A1E55" w:rsidRPr="006B42D6" w:rsidRDefault="008A1E55" w:rsidP="00E16CAE">
            <w:pPr>
              <w:jc w:val="right"/>
              <w:rPr>
                <w:sz w:val="16"/>
                <w:szCs w:val="16"/>
              </w:rPr>
            </w:pPr>
            <w:r w:rsidRPr="006B42D6">
              <w:rPr>
                <w:sz w:val="16"/>
                <w:szCs w:val="16"/>
              </w:rPr>
              <w:t>-</w:t>
            </w:r>
          </w:p>
        </w:tc>
        <w:tc>
          <w:tcPr>
            <w:tcW w:w="1040" w:type="dxa"/>
            <w:tcBorders>
              <w:top w:val="nil"/>
              <w:left w:val="nil"/>
              <w:bottom w:val="nil"/>
              <w:right w:val="nil"/>
            </w:tcBorders>
            <w:shd w:val="clear" w:color="auto" w:fill="auto"/>
            <w:noWrap/>
            <w:vAlign w:val="center"/>
            <w:hideMark/>
          </w:tcPr>
          <w:p w14:paraId="3A040959" w14:textId="77777777" w:rsidR="008A1E55" w:rsidRPr="006B42D6" w:rsidRDefault="008A1E55" w:rsidP="00E16CAE">
            <w:pPr>
              <w:jc w:val="right"/>
              <w:rPr>
                <w:sz w:val="16"/>
                <w:szCs w:val="16"/>
              </w:rPr>
            </w:pPr>
            <w:r w:rsidRPr="006B42D6">
              <w:rPr>
                <w:sz w:val="16"/>
                <w:szCs w:val="16"/>
              </w:rPr>
              <w:t>26.1</w:t>
            </w:r>
          </w:p>
        </w:tc>
        <w:tc>
          <w:tcPr>
            <w:tcW w:w="700" w:type="dxa"/>
            <w:tcBorders>
              <w:top w:val="nil"/>
              <w:left w:val="nil"/>
              <w:bottom w:val="nil"/>
              <w:right w:val="nil"/>
            </w:tcBorders>
            <w:shd w:val="clear" w:color="auto" w:fill="auto"/>
            <w:noWrap/>
            <w:vAlign w:val="center"/>
            <w:hideMark/>
          </w:tcPr>
          <w:p w14:paraId="47E77911" w14:textId="77777777" w:rsidR="008A1E55" w:rsidRPr="006B42D6" w:rsidRDefault="008A1E55" w:rsidP="00E16CAE">
            <w:pPr>
              <w:jc w:val="right"/>
              <w:rPr>
                <w:sz w:val="16"/>
                <w:szCs w:val="16"/>
              </w:rPr>
            </w:pPr>
            <w:r w:rsidRPr="006B42D6">
              <w:rPr>
                <w:sz w:val="16"/>
                <w:szCs w:val="16"/>
              </w:rPr>
              <w:t>0.8</w:t>
            </w:r>
          </w:p>
        </w:tc>
        <w:tc>
          <w:tcPr>
            <w:tcW w:w="880" w:type="dxa"/>
            <w:tcBorders>
              <w:top w:val="nil"/>
              <w:left w:val="nil"/>
              <w:bottom w:val="nil"/>
              <w:right w:val="nil"/>
            </w:tcBorders>
            <w:shd w:val="clear" w:color="auto" w:fill="auto"/>
            <w:noWrap/>
            <w:vAlign w:val="center"/>
            <w:hideMark/>
          </w:tcPr>
          <w:p w14:paraId="161C63EF" w14:textId="77777777" w:rsidR="008A1E55" w:rsidRPr="006B42D6" w:rsidRDefault="008A1E55" w:rsidP="00E16CAE">
            <w:pPr>
              <w:jc w:val="right"/>
              <w:rPr>
                <w:sz w:val="16"/>
                <w:szCs w:val="16"/>
              </w:rPr>
            </w:pPr>
            <w:r w:rsidRPr="006B42D6">
              <w:rPr>
                <w:sz w:val="16"/>
                <w:szCs w:val="16"/>
              </w:rPr>
              <w:t>1.5</w:t>
            </w:r>
          </w:p>
        </w:tc>
        <w:tc>
          <w:tcPr>
            <w:tcW w:w="700" w:type="dxa"/>
            <w:tcBorders>
              <w:top w:val="nil"/>
              <w:left w:val="nil"/>
              <w:bottom w:val="nil"/>
              <w:right w:val="nil"/>
            </w:tcBorders>
            <w:shd w:val="clear" w:color="auto" w:fill="auto"/>
            <w:noWrap/>
            <w:vAlign w:val="center"/>
            <w:hideMark/>
          </w:tcPr>
          <w:p w14:paraId="5A328ABC" w14:textId="77777777" w:rsidR="008A1E55" w:rsidRPr="006B42D6" w:rsidRDefault="008A1E55" w:rsidP="00E16CAE">
            <w:pPr>
              <w:jc w:val="right"/>
              <w:rPr>
                <w:sz w:val="16"/>
                <w:szCs w:val="16"/>
              </w:rPr>
            </w:pPr>
            <w:r w:rsidRPr="006B42D6">
              <w:rPr>
                <w:sz w:val="16"/>
                <w:szCs w:val="16"/>
              </w:rPr>
              <w:t>11.8</w:t>
            </w:r>
          </w:p>
        </w:tc>
      </w:tr>
      <w:tr w:rsidR="006B42D6" w:rsidRPr="006B42D6" w14:paraId="260807E3" w14:textId="77777777" w:rsidTr="00E16CAE">
        <w:trPr>
          <w:trHeight w:val="283"/>
        </w:trPr>
        <w:tc>
          <w:tcPr>
            <w:tcW w:w="1680" w:type="dxa"/>
            <w:tcBorders>
              <w:top w:val="nil"/>
              <w:left w:val="nil"/>
              <w:right w:val="nil"/>
            </w:tcBorders>
            <w:shd w:val="clear" w:color="auto" w:fill="auto"/>
            <w:noWrap/>
            <w:vAlign w:val="center"/>
            <w:hideMark/>
          </w:tcPr>
          <w:p w14:paraId="289B6ACF" w14:textId="77777777" w:rsidR="008A1E55" w:rsidRPr="006B42D6" w:rsidRDefault="008A1E55" w:rsidP="00E16CAE">
            <w:pPr>
              <w:rPr>
                <w:sz w:val="16"/>
                <w:szCs w:val="16"/>
              </w:rPr>
            </w:pPr>
            <w:r w:rsidRPr="006B42D6">
              <w:rPr>
                <w:sz w:val="16"/>
                <w:szCs w:val="16"/>
              </w:rPr>
              <w:t>Kaskazini Pemba</w:t>
            </w:r>
          </w:p>
        </w:tc>
        <w:tc>
          <w:tcPr>
            <w:tcW w:w="700" w:type="dxa"/>
            <w:tcBorders>
              <w:top w:val="nil"/>
              <w:left w:val="nil"/>
              <w:right w:val="nil"/>
            </w:tcBorders>
            <w:shd w:val="clear" w:color="auto" w:fill="auto"/>
            <w:noWrap/>
            <w:vAlign w:val="center"/>
            <w:hideMark/>
          </w:tcPr>
          <w:p w14:paraId="6D5D55DF" w14:textId="77777777" w:rsidR="008A1E55" w:rsidRPr="006B42D6" w:rsidRDefault="008A1E55" w:rsidP="00E16CAE">
            <w:pPr>
              <w:jc w:val="right"/>
              <w:rPr>
                <w:sz w:val="16"/>
                <w:szCs w:val="16"/>
              </w:rPr>
            </w:pPr>
            <w:r w:rsidRPr="006B42D6">
              <w:rPr>
                <w:sz w:val="16"/>
                <w:szCs w:val="16"/>
              </w:rPr>
              <w:t>-</w:t>
            </w:r>
          </w:p>
        </w:tc>
        <w:tc>
          <w:tcPr>
            <w:tcW w:w="980" w:type="dxa"/>
            <w:tcBorders>
              <w:top w:val="nil"/>
              <w:left w:val="nil"/>
              <w:right w:val="nil"/>
            </w:tcBorders>
            <w:shd w:val="clear" w:color="auto" w:fill="auto"/>
            <w:noWrap/>
            <w:vAlign w:val="center"/>
            <w:hideMark/>
          </w:tcPr>
          <w:p w14:paraId="30B44193" w14:textId="77777777" w:rsidR="008A1E55" w:rsidRPr="006B42D6" w:rsidRDefault="008A1E55" w:rsidP="00E16CAE">
            <w:pPr>
              <w:jc w:val="right"/>
              <w:rPr>
                <w:sz w:val="16"/>
                <w:szCs w:val="16"/>
              </w:rPr>
            </w:pPr>
            <w:r w:rsidRPr="006B42D6">
              <w:rPr>
                <w:sz w:val="16"/>
                <w:szCs w:val="16"/>
              </w:rPr>
              <w:t>28.4</w:t>
            </w:r>
          </w:p>
        </w:tc>
        <w:tc>
          <w:tcPr>
            <w:tcW w:w="920" w:type="dxa"/>
            <w:tcBorders>
              <w:top w:val="nil"/>
              <w:left w:val="nil"/>
              <w:right w:val="nil"/>
            </w:tcBorders>
            <w:shd w:val="clear" w:color="auto" w:fill="auto"/>
            <w:noWrap/>
            <w:vAlign w:val="center"/>
            <w:hideMark/>
          </w:tcPr>
          <w:p w14:paraId="0E447E18" w14:textId="77777777" w:rsidR="008A1E55" w:rsidRPr="006B42D6" w:rsidRDefault="008A1E55" w:rsidP="00E16CAE">
            <w:pPr>
              <w:jc w:val="right"/>
              <w:rPr>
                <w:sz w:val="16"/>
                <w:szCs w:val="16"/>
              </w:rPr>
            </w:pPr>
            <w:r w:rsidRPr="006B42D6">
              <w:rPr>
                <w:sz w:val="16"/>
                <w:szCs w:val="16"/>
              </w:rPr>
              <w:t>0.7</w:t>
            </w:r>
          </w:p>
        </w:tc>
        <w:tc>
          <w:tcPr>
            <w:tcW w:w="880" w:type="dxa"/>
            <w:tcBorders>
              <w:top w:val="nil"/>
              <w:left w:val="nil"/>
              <w:right w:val="nil"/>
            </w:tcBorders>
            <w:shd w:val="clear" w:color="auto" w:fill="auto"/>
            <w:noWrap/>
            <w:vAlign w:val="center"/>
            <w:hideMark/>
          </w:tcPr>
          <w:p w14:paraId="74A62273" w14:textId="77777777" w:rsidR="008A1E55" w:rsidRPr="006B42D6" w:rsidRDefault="008A1E55" w:rsidP="00E16CAE">
            <w:pPr>
              <w:jc w:val="right"/>
              <w:rPr>
                <w:sz w:val="16"/>
                <w:szCs w:val="16"/>
              </w:rPr>
            </w:pPr>
            <w:r w:rsidRPr="006B42D6">
              <w:rPr>
                <w:sz w:val="16"/>
                <w:szCs w:val="16"/>
              </w:rPr>
              <w:t>48.4</w:t>
            </w:r>
          </w:p>
        </w:tc>
        <w:tc>
          <w:tcPr>
            <w:tcW w:w="940" w:type="dxa"/>
            <w:tcBorders>
              <w:top w:val="nil"/>
              <w:left w:val="nil"/>
              <w:right w:val="nil"/>
            </w:tcBorders>
            <w:shd w:val="clear" w:color="auto" w:fill="auto"/>
            <w:noWrap/>
            <w:vAlign w:val="center"/>
            <w:hideMark/>
          </w:tcPr>
          <w:p w14:paraId="24849DC6" w14:textId="77777777" w:rsidR="008A1E55" w:rsidRPr="006B42D6" w:rsidRDefault="008A1E55" w:rsidP="00E16CAE">
            <w:pPr>
              <w:jc w:val="right"/>
              <w:rPr>
                <w:sz w:val="16"/>
                <w:szCs w:val="16"/>
              </w:rPr>
            </w:pPr>
            <w:r w:rsidRPr="006B42D6">
              <w:rPr>
                <w:sz w:val="16"/>
                <w:szCs w:val="16"/>
              </w:rPr>
              <w:t>-</w:t>
            </w:r>
          </w:p>
        </w:tc>
        <w:tc>
          <w:tcPr>
            <w:tcW w:w="1040" w:type="dxa"/>
            <w:tcBorders>
              <w:top w:val="nil"/>
              <w:left w:val="nil"/>
              <w:right w:val="nil"/>
            </w:tcBorders>
            <w:shd w:val="clear" w:color="auto" w:fill="auto"/>
            <w:noWrap/>
            <w:vAlign w:val="center"/>
            <w:hideMark/>
          </w:tcPr>
          <w:p w14:paraId="0EA5827C" w14:textId="77777777" w:rsidR="008A1E55" w:rsidRPr="006B42D6" w:rsidRDefault="008A1E55" w:rsidP="00E16CAE">
            <w:pPr>
              <w:jc w:val="right"/>
              <w:rPr>
                <w:sz w:val="16"/>
                <w:szCs w:val="16"/>
              </w:rPr>
            </w:pPr>
            <w:r w:rsidRPr="006B42D6">
              <w:rPr>
                <w:sz w:val="16"/>
                <w:szCs w:val="16"/>
              </w:rPr>
              <w:t>11.9</w:t>
            </w:r>
          </w:p>
        </w:tc>
        <w:tc>
          <w:tcPr>
            <w:tcW w:w="700" w:type="dxa"/>
            <w:tcBorders>
              <w:top w:val="nil"/>
              <w:left w:val="nil"/>
              <w:right w:val="nil"/>
            </w:tcBorders>
            <w:shd w:val="clear" w:color="auto" w:fill="auto"/>
            <w:noWrap/>
            <w:vAlign w:val="center"/>
            <w:hideMark/>
          </w:tcPr>
          <w:p w14:paraId="7E8B8272" w14:textId="77777777" w:rsidR="008A1E55" w:rsidRPr="006B42D6" w:rsidRDefault="008A1E55" w:rsidP="00E16CAE">
            <w:pPr>
              <w:jc w:val="right"/>
              <w:rPr>
                <w:sz w:val="16"/>
                <w:szCs w:val="16"/>
              </w:rPr>
            </w:pPr>
            <w:r w:rsidRPr="006B42D6">
              <w:rPr>
                <w:sz w:val="16"/>
                <w:szCs w:val="16"/>
              </w:rPr>
              <w:t>54.5</w:t>
            </w:r>
          </w:p>
        </w:tc>
        <w:tc>
          <w:tcPr>
            <w:tcW w:w="880" w:type="dxa"/>
            <w:tcBorders>
              <w:top w:val="nil"/>
              <w:left w:val="nil"/>
              <w:right w:val="nil"/>
            </w:tcBorders>
            <w:shd w:val="clear" w:color="auto" w:fill="auto"/>
            <w:noWrap/>
            <w:vAlign w:val="center"/>
            <w:hideMark/>
          </w:tcPr>
          <w:p w14:paraId="4918407B" w14:textId="77777777" w:rsidR="008A1E55" w:rsidRPr="006B42D6" w:rsidRDefault="008A1E55" w:rsidP="00E16CAE">
            <w:pPr>
              <w:jc w:val="right"/>
              <w:rPr>
                <w:sz w:val="16"/>
                <w:szCs w:val="16"/>
              </w:rPr>
            </w:pPr>
            <w:r w:rsidRPr="006B42D6">
              <w:rPr>
                <w:sz w:val="16"/>
                <w:szCs w:val="16"/>
              </w:rPr>
              <w:t>30.7</w:t>
            </w:r>
          </w:p>
        </w:tc>
        <w:tc>
          <w:tcPr>
            <w:tcW w:w="700" w:type="dxa"/>
            <w:tcBorders>
              <w:top w:val="nil"/>
              <w:left w:val="nil"/>
              <w:right w:val="nil"/>
            </w:tcBorders>
            <w:shd w:val="clear" w:color="auto" w:fill="auto"/>
            <w:noWrap/>
            <w:vAlign w:val="center"/>
            <w:hideMark/>
          </w:tcPr>
          <w:p w14:paraId="426E8C45" w14:textId="77777777" w:rsidR="008A1E55" w:rsidRPr="006B42D6" w:rsidRDefault="008A1E55" w:rsidP="00E16CAE">
            <w:pPr>
              <w:jc w:val="right"/>
              <w:rPr>
                <w:sz w:val="16"/>
                <w:szCs w:val="16"/>
              </w:rPr>
            </w:pPr>
            <w:r w:rsidRPr="006B42D6">
              <w:rPr>
                <w:sz w:val="16"/>
                <w:szCs w:val="16"/>
              </w:rPr>
              <w:t>-</w:t>
            </w:r>
          </w:p>
        </w:tc>
      </w:tr>
      <w:tr w:rsidR="006B42D6" w:rsidRPr="006B42D6" w14:paraId="6B747770" w14:textId="77777777" w:rsidTr="00E16CAE">
        <w:trPr>
          <w:trHeight w:val="283"/>
        </w:trPr>
        <w:tc>
          <w:tcPr>
            <w:tcW w:w="1680" w:type="dxa"/>
            <w:tcBorders>
              <w:left w:val="nil"/>
              <w:bottom w:val="single" w:sz="4" w:space="0" w:color="auto"/>
              <w:right w:val="nil"/>
            </w:tcBorders>
            <w:shd w:val="clear" w:color="auto" w:fill="auto"/>
            <w:noWrap/>
            <w:vAlign w:val="center"/>
            <w:hideMark/>
          </w:tcPr>
          <w:p w14:paraId="1D235A9F" w14:textId="77777777" w:rsidR="008A1E55" w:rsidRPr="006B42D6" w:rsidRDefault="008A1E55" w:rsidP="00E16CAE">
            <w:pPr>
              <w:rPr>
                <w:b/>
                <w:bCs/>
                <w:sz w:val="16"/>
                <w:szCs w:val="16"/>
              </w:rPr>
            </w:pPr>
            <w:r w:rsidRPr="006B42D6">
              <w:rPr>
                <w:b/>
                <w:bCs/>
                <w:sz w:val="16"/>
                <w:szCs w:val="16"/>
              </w:rPr>
              <w:t>Kusini Pemba</w:t>
            </w:r>
          </w:p>
        </w:tc>
        <w:tc>
          <w:tcPr>
            <w:tcW w:w="700" w:type="dxa"/>
            <w:tcBorders>
              <w:left w:val="nil"/>
              <w:bottom w:val="single" w:sz="4" w:space="0" w:color="auto"/>
              <w:right w:val="nil"/>
            </w:tcBorders>
            <w:shd w:val="clear" w:color="auto" w:fill="auto"/>
            <w:noWrap/>
            <w:vAlign w:val="center"/>
            <w:hideMark/>
          </w:tcPr>
          <w:p w14:paraId="7058405A" w14:textId="77777777" w:rsidR="008A1E55" w:rsidRPr="006B42D6" w:rsidRDefault="008A1E55" w:rsidP="00E16CAE">
            <w:pPr>
              <w:jc w:val="right"/>
              <w:rPr>
                <w:b/>
                <w:bCs/>
                <w:sz w:val="16"/>
                <w:szCs w:val="16"/>
              </w:rPr>
            </w:pPr>
            <w:r w:rsidRPr="006B42D6">
              <w:rPr>
                <w:b/>
                <w:bCs/>
                <w:sz w:val="16"/>
                <w:szCs w:val="16"/>
              </w:rPr>
              <w:t>-</w:t>
            </w:r>
          </w:p>
        </w:tc>
        <w:tc>
          <w:tcPr>
            <w:tcW w:w="980" w:type="dxa"/>
            <w:tcBorders>
              <w:left w:val="nil"/>
              <w:bottom w:val="single" w:sz="4" w:space="0" w:color="auto"/>
              <w:right w:val="nil"/>
            </w:tcBorders>
            <w:shd w:val="clear" w:color="auto" w:fill="auto"/>
            <w:noWrap/>
            <w:vAlign w:val="center"/>
            <w:hideMark/>
          </w:tcPr>
          <w:p w14:paraId="04A9BE8D" w14:textId="77777777" w:rsidR="008A1E55" w:rsidRPr="006B42D6" w:rsidRDefault="008A1E55" w:rsidP="00E16CAE">
            <w:pPr>
              <w:jc w:val="right"/>
              <w:rPr>
                <w:b/>
                <w:bCs/>
                <w:sz w:val="16"/>
                <w:szCs w:val="16"/>
              </w:rPr>
            </w:pPr>
            <w:r w:rsidRPr="006B42D6">
              <w:rPr>
                <w:b/>
                <w:bCs/>
                <w:sz w:val="16"/>
                <w:szCs w:val="16"/>
              </w:rPr>
              <w:t>55.3</w:t>
            </w:r>
          </w:p>
        </w:tc>
        <w:tc>
          <w:tcPr>
            <w:tcW w:w="920" w:type="dxa"/>
            <w:tcBorders>
              <w:left w:val="nil"/>
              <w:bottom w:val="single" w:sz="4" w:space="0" w:color="auto"/>
              <w:right w:val="nil"/>
            </w:tcBorders>
            <w:shd w:val="clear" w:color="auto" w:fill="auto"/>
            <w:noWrap/>
            <w:vAlign w:val="center"/>
            <w:hideMark/>
          </w:tcPr>
          <w:p w14:paraId="7EFFD274" w14:textId="77777777" w:rsidR="008A1E55" w:rsidRPr="006B42D6" w:rsidRDefault="008A1E55" w:rsidP="00E16CAE">
            <w:pPr>
              <w:jc w:val="right"/>
              <w:rPr>
                <w:b/>
                <w:bCs/>
                <w:sz w:val="16"/>
                <w:szCs w:val="16"/>
              </w:rPr>
            </w:pPr>
            <w:r w:rsidRPr="006B42D6">
              <w:rPr>
                <w:b/>
                <w:bCs/>
                <w:sz w:val="16"/>
                <w:szCs w:val="16"/>
              </w:rPr>
              <w:t>0.9</w:t>
            </w:r>
          </w:p>
        </w:tc>
        <w:tc>
          <w:tcPr>
            <w:tcW w:w="880" w:type="dxa"/>
            <w:tcBorders>
              <w:left w:val="nil"/>
              <w:bottom w:val="single" w:sz="4" w:space="0" w:color="auto"/>
              <w:right w:val="nil"/>
            </w:tcBorders>
            <w:shd w:val="clear" w:color="auto" w:fill="auto"/>
            <w:noWrap/>
            <w:vAlign w:val="center"/>
            <w:hideMark/>
          </w:tcPr>
          <w:p w14:paraId="3739A4ED" w14:textId="77777777" w:rsidR="008A1E55" w:rsidRPr="006B42D6" w:rsidRDefault="008A1E55" w:rsidP="00E16CAE">
            <w:pPr>
              <w:jc w:val="right"/>
              <w:rPr>
                <w:b/>
                <w:bCs/>
                <w:sz w:val="16"/>
                <w:szCs w:val="16"/>
              </w:rPr>
            </w:pPr>
            <w:r w:rsidRPr="006B42D6">
              <w:rPr>
                <w:b/>
                <w:bCs/>
                <w:sz w:val="16"/>
                <w:szCs w:val="16"/>
              </w:rPr>
              <w:t>-</w:t>
            </w:r>
          </w:p>
        </w:tc>
        <w:tc>
          <w:tcPr>
            <w:tcW w:w="940" w:type="dxa"/>
            <w:tcBorders>
              <w:left w:val="nil"/>
              <w:bottom w:val="single" w:sz="4" w:space="0" w:color="auto"/>
              <w:right w:val="nil"/>
            </w:tcBorders>
            <w:shd w:val="clear" w:color="auto" w:fill="auto"/>
            <w:noWrap/>
            <w:vAlign w:val="center"/>
            <w:hideMark/>
          </w:tcPr>
          <w:p w14:paraId="3978EA72" w14:textId="77777777" w:rsidR="008A1E55" w:rsidRPr="006B42D6" w:rsidRDefault="008A1E55" w:rsidP="00E16CAE">
            <w:pPr>
              <w:jc w:val="right"/>
              <w:rPr>
                <w:b/>
                <w:bCs/>
                <w:sz w:val="16"/>
                <w:szCs w:val="16"/>
              </w:rPr>
            </w:pPr>
            <w:r w:rsidRPr="006B42D6">
              <w:rPr>
                <w:b/>
                <w:bCs/>
                <w:sz w:val="16"/>
                <w:szCs w:val="16"/>
              </w:rPr>
              <w:t>-</w:t>
            </w:r>
          </w:p>
        </w:tc>
        <w:tc>
          <w:tcPr>
            <w:tcW w:w="1040" w:type="dxa"/>
            <w:tcBorders>
              <w:left w:val="nil"/>
              <w:bottom w:val="single" w:sz="4" w:space="0" w:color="auto"/>
              <w:right w:val="nil"/>
            </w:tcBorders>
            <w:shd w:val="clear" w:color="auto" w:fill="auto"/>
            <w:noWrap/>
            <w:vAlign w:val="center"/>
            <w:hideMark/>
          </w:tcPr>
          <w:p w14:paraId="6EC6E2CA" w14:textId="77777777" w:rsidR="008A1E55" w:rsidRPr="006B42D6" w:rsidRDefault="008A1E55" w:rsidP="00E16CAE">
            <w:pPr>
              <w:jc w:val="right"/>
              <w:rPr>
                <w:b/>
                <w:bCs/>
                <w:sz w:val="16"/>
                <w:szCs w:val="16"/>
              </w:rPr>
            </w:pPr>
            <w:r w:rsidRPr="006B42D6">
              <w:rPr>
                <w:b/>
                <w:bCs/>
                <w:sz w:val="16"/>
                <w:szCs w:val="16"/>
              </w:rPr>
              <w:t>11.9</w:t>
            </w:r>
          </w:p>
        </w:tc>
        <w:tc>
          <w:tcPr>
            <w:tcW w:w="700" w:type="dxa"/>
            <w:tcBorders>
              <w:left w:val="nil"/>
              <w:bottom w:val="single" w:sz="4" w:space="0" w:color="auto"/>
              <w:right w:val="nil"/>
            </w:tcBorders>
            <w:shd w:val="clear" w:color="auto" w:fill="auto"/>
            <w:noWrap/>
            <w:vAlign w:val="center"/>
            <w:hideMark/>
          </w:tcPr>
          <w:p w14:paraId="5EF7553E" w14:textId="77777777" w:rsidR="008A1E55" w:rsidRPr="006B42D6" w:rsidRDefault="008A1E55" w:rsidP="00E16CAE">
            <w:pPr>
              <w:jc w:val="right"/>
              <w:rPr>
                <w:b/>
                <w:bCs/>
                <w:sz w:val="16"/>
                <w:szCs w:val="16"/>
              </w:rPr>
            </w:pPr>
            <w:r w:rsidRPr="006B42D6">
              <w:rPr>
                <w:b/>
                <w:bCs/>
                <w:sz w:val="16"/>
                <w:szCs w:val="16"/>
              </w:rPr>
              <w:t>9.0</w:t>
            </w:r>
          </w:p>
        </w:tc>
        <w:tc>
          <w:tcPr>
            <w:tcW w:w="880" w:type="dxa"/>
            <w:tcBorders>
              <w:left w:val="nil"/>
              <w:bottom w:val="single" w:sz="4" w:space="0" w:color="auto"/>
              <w:right w:val="nil"/>
            </w:tcBorders>
            <w:shd w:val="clear" w:color="auto" w:fill="auto"/>
            <w:noWrap/>
            <w:vAlign w:val="center"/>
            <w:hideMark/>
          </w:tcPr>
          <w:p w14:paraId="518E2116" w14:textId="77777777" w:rsidR="008A1E55" w:rsidRPr="006B42D6" w:rsidRDefault="008A1E55" w:rsidP="00E16CAE">
            <w:pPr>
              <w:jc w:val="right"/>
              <w:rPr>
                <w:b/>
                <w:bCs/>
                <w:sz w:val="16"/>
                <w:szCs w:val="16"/>
              </w:rPr>
            </w:pPr>
            <w:r w:rsidRPr="006B42D6">
              <w:rPr>
                <w:b/>
                <w:bCs/>
                <w:sz w:val="16"/>
                <w:szCs w:val="16"/>
              </w:rPr>
              <w:t>60.7</w:t>
            </w:r>
          </w:p>
        </w:tc>
        <w:tc>
          <w:tcPr>
            <w:tcW w:w="700" w:type="dxa"/>
            <w:tcBorders>
              <w:left w:val="nil"/>
              <w:bottom w:val="single" w:sz="4" w:space="0" w:color="auto"/>
              <w:right w:val="nil"/>
            </w:tcBorders>
            <w:shd w:val="clear" w:color="auto" w:fill="auto"/>
            <w:noWrap/>
            <w:vAlign w:val="center"/>
            <w:hideMark/>
          </w:tcPr>
          <w:p w14:paraId="5498229B" w14:textId="77777777" w:rsidR="008A1E55" w:rsidRPr="006B42D6" w:rsidRDefault="008A1E55" w:rsidP="00E16CAE">
            <w:pPr>
              <w:jc w:val="right"/>
              <w:rPr>
                <w:b/>
                <w:bCs/>
                <w:sz w:val="16"/>
                <w:szCs w:val="16"/>
              </w:rPr>
            </w:pPr>
            <w:r w:rsidRPr="006B42D6">
              <w:rPr>
                <w:b/>
                <w:bCs/>
                <w:sz w:val="16"/>
                <w:szCs w:val="16"/>
              </w:rPr>
              <w:t>-</w:t>
            </w:r>
          </w:p>
        </w:tc>
      </w:tr>
      <w:tr w:rsidR="008A1E55" w:rsidRPr="006B42D6" w14:paraId="47D84E5B" w14:textId="77777777" w:rsidTr="00257DF7">
        <w:trPr>
          <w:trHeight w:val="283"/>
        </w:trPr>
        <w:tc>
          <w:tcPr>
            <w:tcW w:w="1680" w:type="dxa"/>
            <w:tcBorders>
              <w:top w:val="single" w:sz="4" w:space="0" w:color="auto"/>
              <w:left w:val="nil"/>
              <w:bottom w:val="single" w:sz="4" w:space="0" w:color="auto"/>
              <w:right w:val="nil"/>
            </w:tcBorders>
            <w:shd w:val="clear" w:color="auto" w:fill="E2EFD9" w:themeFill="accent6" w:themeFillTint="33"/>
            <w:noWrap/>
            <w:vAlign w:val="center"/>
            <w:hideMark/>
          </w:tcPr>
          <w:p w14:paraId="6E16E970" w14:textId="77777777" w:rsidR="008A1E55" w:rsidRPr="006B42D6" w:rsidRDefault="008A1E55" w:rsidP="00E16CAE">
            <w:pPr>
              <w:rPr>
                <w:b/>
                <w:bCs/>
                <w:sz w:val="16"/>
                <w:szCs w:val="16"/>
              </w:rPr>
            </w:pPr>
            <w:r w:rsidRPr="006B42D6">
              <w:rPr>
                <w:b/>
                <w:bCs/>
                <w:sz w:val="16"/>
                <w:szCs w:val="16"/>
              </w:rPr>
              <w:t>Tanzania Zanzibar</w:t>
            </w:r>
          </w:p>
        </w:tc>
        <w:tc>
          <w:tcPr>
            <w:tcW w:w="700" w:type="dxa"/>
            <w:tcBorders>
              <w:top w:val="single" w:sz="4" w:space="0" w:color="auto"/>
              <w:left w:val="nil"/>
              <w:bottom w:val="single" w:sz="4" w:space="0" w:color="auto"/>
              <w:right w:val="nil"/>
            </w:tcBorders>
            <w:shd w:val="clear" w:color="auto" w:fill="E2EFD9" w:themeFill="accent6" w:themeFillTint="33"/>
            <w:noWrap/>
            <w:vAlign w:val="center"/>
            <w:hideMark/>
          </w:tcPr>
          <w:p w14:paraId="0006614E" w14:textId="77777777" w:rsidR="008A1E55" w:rsidRPr="006B42D6" w:rsidRDefault="008A1E55" w:rsidP="00E16CAE">
            <w:pPr>
              <w:jc w:val="right"/>
              <w:rPr>
                <w:b/>
                <w:bCs/>
                <w:sz w:val="16"/>
                <w:szCs w:val="16"/>
              </w:rPr>
            </w:pPr>
            <w:r w:rsidRPr="006B42D6">
              <w:rPr>
                <w:b/>
                <w:bCs/>
                <w:sz w:val="16"/>
                <w:szCs w:val="16"/>
              </w:rPr>
              <w:t>100.0</w:t>
            </w:r>
          </w:p>
        </w:tc>
        <w:tc>
          <w:tcPr>
            <w:tcW w:w="980" w:type="dxa"/>
            <w:tcBorders>
              <w:top w:val="single" w:sz="4" w:space="0" w:color="auto"/>
              <w:left w:val="nil"/>
              <w:bottom w:val="single" w:sz="4" w:space="0" w:color="auto"/>
              <w:right w:val="nil"/>
            </w:tcBorders>
            <w:shd w:val="clear" w:color="auto" w:fill="E2EFD9" w:themeFill="accent6" w:themeFillTint="33"/>
            <w:noWrap/>
            <w:vAlign w:val="center"/>
            <w:hideMark/>
          </w:tcPr>
          <w:p w14:paraId="0FCFAB4E" w14:textId="77777777" w:rsidR="008A1E55" w:rsidRPr="006B42D6" w:rsidRDefault="008A1E55" w:rsidP="00E16CAE">
            <w:pPr>
              <w:jc w:val="right"/>
              <w:rPr>
                <w:b/>
                <w:bCs/>
                <w:sz w:val="16"/>
                <w:szCs w:val="16"/>
              </w:rPr>
            </w:pPr>
            <w:r w:rsidRPr="006B42D6">
              <w:rPr>
                <w:b/>
                <w:bCs/>
                <w:sz w:val="16"/>
                <w:szCs w:val="16"/>
              </w:rPr>
              <w:t>100.0</w:t>
            </w:r>
          </w:p>
        </w:tc>
        <w:tc>
          <w:tcPr>
            <w:tcW w:w="920" w:type="dxa"/>
            <w:tcBorders>
              <w:top w:val="single" w:sz="4" w:space="0" w:color="auto"/>
              <w:left w:val="nil"/>
              <w:bottom w:val="single" w:sz="4" w:space="0" w:color="auto"/>
              <w:right w:val="nil"/>
            </w:tcBorders>
            <w:shd w:val="clear" w:color="auto" w:fill="E2EFD9" w:themeFill="accent6" w:themeFillTint="33"/>
            <w:noWrap/>
            <w:vAlign w:val="center"/>
            <w:hideMark/>
          </w:tcPr>
          <w:p w14:paraId="2CEB8B22" w14:textId="77777777" w:rsidR="008A1E55" w:rsidRPr="006B42D6" w:rsidRDefault="008A1E55" w:rsidP="00E16CAE">
            <w:pPr>
              <w:jc w:val="right"/>
              <w:rPr>
                <w:b/>
                <w:bCs/>
                <w:sz w:val="16"/>
                <w:szCs w:val="16"/>
              </w:rPr>
            </w:pPr>
            <w:r w:rsidRPr="006B42D6">
              <w:rPr>
                <w:b/>
                <w:bCs/>
                <w:sz w:val="16"/>
                <w:szCs w:val="16"/>
              </w:rPr>
              <w:t>100.0</w:t>
            </w:r>
          </w:p>
        </w:tc>
        <w:tc>
          <w:tcPr>
            <w:tcW w:w="880" w:type="dxa"/>
            <w:tcBorders>
              <w:top w:val="single" w:sz="4" w:space="0" w:color="auto"/>
              <w:left w:val="nil"/>
              <w:bottom w:val="single" w:sz="4" w:space="0" w:color="auto"/>
              <w:right w:val="nil"/>
            </w:tcBorders>
            <w:shd w:val="clear" w:color="auto" w:fill="E2EFD9" w:themeFill="accent6" w:themeFillTint="33"/>
            <w:noWrap/>
            <w:vAlign w:val="center"/>
            <w:hideMark/>
          </w:tcPr>
          <w:p w14:paraId="63455688" w14:textId="77777777" w:rsidR="008A1E55" w:rsidRPr="006B42D6" w:rsidRDefault="008A1E55" w:rsidP="00E16CAE">
            <w:pPr>
              <w:jc w:val="right"/>
              <w:rPr>
                <w:b/>
                <w:bCs/>
                <w:sz w:val="16"/>
                <w:szCs w:val="16"/>
              </w:rPr>
            </w:pPr>
            <w:r w:rsidRPr="006B42D6">
              <w:rPr>
                <w:b/>
                <w:bCs/>
                <w:sz w:val="16"/>
                <w:szCs w:val="16"/>
              </w:rPr>
              <w:t>100.0</w:t>
            </w:r>
          </w:p>
        </w:tc>
        <w:tc>
          <w:tcPr>
            <w:tcW w:w="940" w:type="dxa"/>
            <w:tcBorders>
              <w:top w:val="single" w:sz="4" w:space="0" w:color="auto"/>
              <w:left w:val="nil"/>
              <w:bottom w:val="single" w:sz="4" w:space="0" w:color="auto"/>
              <w:right w:val="nil"/>
            </w:tcBorders>
            <w:shd w:val="clear" w:color="auto" w:fill="E2EFD9" w:themeFill="accent6" w:themeFillTint="33"/>
            <w:noWrap/>
            <w:vAlign w:val="center"/>
            <w:hideMark/>
          </w:tcPr>
          <w:p w14:paraId="76159C75" w14:textId="77777777" w:rsidR="008A1E55" w:rsidRPr="006B42D6" w:rsidRDefault="008A1E55" w:rsidP="00E16CAE">
            <w:pPr>
              <w:jc w:val="right"/>
              <w:rPr>
                <w:b/>
                <w:bCs/>
                <w:sz w:val="16"/>
                <w:szCs w:val="16"/>
              </w:rPr>
            </w:pPr>
            <w:r w:rsidRPr="006B42D6">
              <w:rPr>
                <w:b/>
                <w:bCs/>
                <w:sz w:val="16"/>
                <w:szCs w:val="16"/>
              </w:rPr>
              <w:t>-</w:t>
            </w:r>
          </w:p>
        </w:tc>
        <w:tc>
          <w:tcPr>
            <w:tcW w:w="1040" w:type="dxa"/>
            <w:tcBorders>
              <w:top w:val="single" w:sz="4" w:space="0" w:color="auto"/>
              <w:left w:val="nil"/>
              <w:bottom w:val="single" w:sz="4" w:space="0" w:color="auto"/>
              <w:right w:val="nil"/>
            </w:tcBorders>
            <w:shd w:val="clear" w:color="auto" w:fill="E2EFD9" w:themeFill="accent6" w:themeFillTint="33"/>
            <w:noWrap/>
            <w:vAlign w:val="center"/>
            <w:hideMark/>
          </w:tcPr>
          <w:p w14:paraId="36203AC7" w14:textId="77777777" w:rsidR="008A1E55" w:rsidRPr="006B42D6" w:rsidRDefault="008A1E55" w:rsidP="00E16CAE">
            <w:pPr>
              <w:jc w:val="right"/>
              <w:rPr>
                <w:b/>
                <w:bCs/>
                <w:sz w:val="16"/>
                <w:szCs w:val="16"/>
              </w:rPr>
            </w:pPr>
            <w:r w:rsidRPr="006B42D6">
              <w:rPr>
                <w:b/>
                <w:bCs/>
                <w:sz w:val="16"/>
                <w:szCs w:val="16"/>
              </w:rPr>
              <w:t>100.0</w:t>
            </w:r>
          </w:p>
        </w:tc>
        <w:tc>
          <w:tcPr>
            <w:tcW w:w="700" w:type="dxa"/>
            <w:tcBorders>
              <w:top w:val="single" w:sz="4" w:space="0" w:color="auto"/>
              <w:left w:val="nil"/>
              <w:bottom w:val="single" w:sz="4" w:space="0" w:color="auto"/>
              <w:right w:val="nil"/>
            </w:tcBorders>
            <w:shd w:val="clear" w:color="auto" w:fill="E2EFD9" w:themeFill="accent6" w:themeFillTint="33"/>
            <w:noWrap/>
            <w:vAlign w:val="center"/>
            <w:hideMark/>
          </w:tcPr>
          <w:p w14:paraId="0D7BAAF4" w14:textId="77777777" w:rsidR="008A1E55" w:rsidRPr="006B42D6" w:rsidRDefault="008A1E55" w:rsidP="00E16CAE">
            <w:pPr>
              <w:jc w:val="right"/>
              <w:rPr>
                <w:b/>
                <w:bCs/>
                <w:sz w:val="16"/>
                <w:szCs w:val="16"/>
              </w:rPr>
            </w:pPr>
            <w:r w:rsidRPr="006B42D6">
              <w:rPr>
                <w:b/>
                <w:bCs/>
                <w:sz w:val="16"/>
                <w:szCs w:val="16"/>
              </w:rPr>
              <w:t>100.0</w:t>
            </w:r>
          </w:p>
        </w:tc>
        <w:tc>
          <w:tcPr>
            <w:tcW w:w="880" w:type="dxa"/>
            <w:tcBorders>
              <w:top w:val="single" w:sz="4" w:space="0" w:color="auto"/>
              <w:left w:val="nil"/>
              <w:bottom w:val="single" w:sz="4" w:space="0" w:color="auto"/>
              <w:right w:val="nil"/>
            </w:tcBorders>
            <w:shd w:val="clear" w:color="auto" w:fill="E2EFD9" w:themeFill="accent6" w:themeFillTint="33"/>
            <w:noWrap/>
            <w:vAlign w:val="center"/>
            <w:hideMark/>
          </w:tcPr>
          <w:p w14:paraId="5C5A1121" w14:textId="77777777" w:rsidR="008A1E55" w:rsidRPr="006B42D6" w:rsidRDefault="008A1E55" w:rsidP="00E16CAE">
            <w:pPr>
              <w:jc w:val="right"/>
              <w:rPr>
                <w:b/>
                <w:bCs/>
                <w:sz w:val="16"/>
                <w:szCs w:val="16"/>
              </w:rPr>
            </w:pPr>
            <w:r w:rsidRPr="006B42D6">
              <w:rPr>
                <w:b/>
                <w:bCs/>
                <w:sz w:val="16"/>
                <w:szCs w:val="16"/>
              </w:rPr>
              <w:t>100.0</w:t>
            </w:r>
          </w:p>
        </w:tc>
        <w:tc>
          <w:tcPr>
            <w:tcW w:w="700" w:type="dxa"/>
            <w:tcBorders>
              <w:top w:val="single" w:sz="4" w:space="0" w:color="auto"/>
              <w:left w:val="nil"/>
              <w:bottom w:val="single" w:sz="4" w:space="0" w:color="auto"/>
              <w:right w:val="nil"/>
            </w:tcBorders>
            <w:shd w:val="clear" w:color="auto" w:fill="E2EFD9" w:themeFill="accent6" w:themeFillTint="33"/>
            <w:noWrap/>
            <w:vAlign w:val="center"/>
            <w:hideMark/>
          </w:tcPr>
          <w:p w14:paraId="06500B90" w14:textId="77777777" w:rsidR="008A1E55" w:rsidRPr="006B42D6" w:rsidRDefault="008A1E55" w:rsidP="00E16CAE">
            <w:pPr>
              <w:jc w:val="right"/>
              <w:rPr>
                <w:b/>
                <w:bCs/>
                <w:sz w:val="16"/>
                <w:szCs w:val="16"/>
              </w:rPr>
            </w:pPr>
            <w:r w:rsidRPr="006B42D6">
              <w:rPr>
                <w:b/>
                <w:bCs/>
                <w:sz w:val="16"/>
                <w:szCs w:val="16"/>
              </w:rPr>
              <w:t>100.0</w:t>
            </w:r>
          </w:p>
        </w:tc>
      </w:tr>
    </w:tbl>
    <w:p w14:paraId="2F650A6F" w14:textId="77777777" w:rsidR="008A1E55" w:rsidRPr="006B42D6" w:rsidRDefault="008A1E55" w:rsidP="008A1E55"/>
    <w:p w14:paraId="524E1206" w14:textId="352D0589" w:rsidR="008A1E55" w:rsidRPr="006B42D6" w:rsidRDefault="006C1D68" w:rsidP="008A1E55">
      <w:pPr>
        <w:pStyle w:val="Heading2"/>
      </w:pPr>
      <w:bookmarkStart w:id="864" w:name="_Toc82385800"/>
      <w:r w:rsidRPr="006B42D6">
        <w:t>6</w:t>
      </w:r>
      <w:r w:rsidR="008A1E55" w:rsidRPr="006B42D6">
        <w:t>.</w:t>
      </w:r>
      <w:r w:rsidR="00AC6872">
        <w:t>4</w:t>
      </w:r>
      <w:r w:rsidR="008A1E55" w:rsidRPr="006B42D6">
        <w:tab/>
        <w:t>Toilet Facilities</w:t>
      </w:r>
      <w:bookmarkEnd w:id="864"/>
    </w:p>
    <w:p w14:paraId="181657E2" w14:textId="48DB0709" w:rsidR="008A1E55" w:rsidRPr="006B42D6" w:rsidRDefault="008A1E55" w:rsidP="008A1E55">
      <w:r w:rsidRPr="006B42D6">
        <w:t xml:space="preserve">The census results show that, </w:t>
      </w:r>
      <w:r w:rsidR="00602AD5" w:rsidRPr="006B42D6">
        <w:t>during 2019/20 a</w:t>
      </w:r>
      <w:r w:rsidR="009077FA" w:rsidRPr="006B42D6">
        <w:t xml:space="preserve">gricultural year, </w:t>
      </w:r>
      <w:r w:rsidRPr="006B42D6">
        <w:t>the most used toilet facility by agricultural households in Tanzania was a pit latrine without slab/open pit (3,971,653; 50.7 percent). This was followed by flush toilet with cistern (1,416,673; 18.1 percent) and pit latrine</w:t>
      </w:r>
      <w:r w:rsidR="00602AD5" w:rsidRPr="006B42D6">
        <w:t xml:space="preserve"> with slab/not washable</w:t>
      </w:r>
      <w:r w:rsidRPr="006B42D6">
        <w:t xml:space="preserve"> (727,072; 9.3 percent)</w:t>
      </w:r>
      <w:r w:rsidR="00602AD5" w:rsidRPr="006B42D6">
        <w:t>,</w:t>
      </w:r>
      <w:r w:rsidRPr="006B42D6">
        <w:t xml:space="preserve"> </w:t>
      </w:r>
      <w:r w:rsidR="00602AD5" w:rsidRPr="006B42D6">
        <w:t>h</w:t>
      </w:r>
      <w:r w:rsidRPr="006B42D6">
        <w:t xml:space="preserve">owever, there were 569,986 households (7.3 percent) reported </w:t>
      </w:r>
      <w:r w:rsidR="009077FA" w:rsidRPr="006B42D6">
        <w:t xml:space="preserve">to </w:t>
      </w:r>
      <w:r w:rsidRPr="006B42D6">
        <w:t xml:space="preserve">have </w:t>
      </w:r>
      <w:r w:rsidR="009077FA" w:rsidRPr="006B42D6">
        <w:t xml:space="preserve">no </w:t>
      </w:r>
      <w:r w:rsidRPr="006B42D6">
        <w:t xml:space="preserve">toilet facility (Table </w:t>
      </w:r>
      <w:r w:rsidR="006C1D68" w:rsidRPr="006B42D6">
        <w:t>6</w:t>
      </w:r>
      <w:r w:rsidRPr="006B42D6">
        <w:t>.7)</w:t>
      </w:r>
      <w:r w:rsidR="009077FA" w:rsidRPr="006B42D6">
        <w:t>.</w:t>
      </w:r>
      <w:r w:rsidRPr="006B42D6">
        <w:t xml:space="preserve"> </w:t>
      </w:r>
    </w:p>
    <w:p w14:paraId="426FC1BD" w14:textId="6CCFD03C" w:rsidR="008A1E55" w:rsidRPr="006B42D6" w:rsidRDefault="008A1E55" w:rsidP="007200F6">
      <w:pPr>
        <w:pStyle w:val="Heading7"/>
      </w:pPr>
      <w:bookmarkStart w:id="865" w:name="_Toc82386242"/>
      <w:r w:rsidRPr="006B42D6">
        <w:lastRenderedPageBreak/>
        <w:t xml:space="preserve">Table </w:t>
      </w:r>
      <w:r w:rsidR="006C1D68" w:rsidRPr="006B42D6">
        <w:t>6</w:t>
      </w:r>
      <w:r w:rsidRPr="006B42D6">
        <w:t>.7</w:t>
      </w:r>
      <w:r w:rsidR="005420E0">
        <w:t>:</w:t>
      </w:r>
      <w:r w:rsidR="007A288F">
        <w:tab/>
      </w:r>
      <w:r w:rsidR="009077FA" w:rsidRPr="006B42D6">
        <w:t xml:space="preserve">Number and </w:t>
      </w:r>
      <w:r w:rsidRPr="006B42D6">
        <w:t>Percentage of Agricultural Households by Type of Toilet Facility During 2019/20 Agricultur</w:t>
      </w:r>
      <w:r w:rsidR="009077FA" w:rsidRPr="006B42D6">
        <w:t>al</w:t>
      </w:r>
      <w:r w:rsidRPr="006B42D6">
        <w:t xml:space="preserve"> Year, Tanzania</w:t>
      </w:r>
      <w:bookmarkEnd w:id="865"/>
    </w:p>
    <w:tbl>
      <w:tblPr>
        <w:tblW w:w="9659" w:type="dxa"/>
        <w:tblLook w:val="04A0" w:firstRow="1" w:lastRow="0" w:firstColumn="1" w:lastColumn="0" w:noHBand="0" w:noVBand="1"/>
      </w:tblPr>
      <w:tblGrid>
        <w:gridCol w:w="3119"/>
        <w:gridCol w:w="1295"/>
        <w:gridCol w:w="945"/>
        <w:gridCol w:w="1295"/>
        <w:gridCol w:w="945"/>
        <w:gridCol w:w="1101"/>
        <w:gridCol w:w="959"/>
      </w:tblGrid>
      <w:tr w:rsidR="006B42D6" w:rsidRPr="00257DF7" w14:paraId="1AA30E03" w14:textId="77777777" w:rsidTr="00257DF7">
        <w:trPr>
          <w:trHeight w:val="283"/>
        </w:trPr>
        <w:tc>
          <w:tcPr>
            <w:tcW w:w="3119" w:type="dxa"/>
            <w:vMerge w:val="restart"/>
            <w:tcBorders>
              <w:top w:val="single" w:sz="4" w:space="0" w:color="auto"/>
              <w:left w:val="nil"/>
              <w:bottom w:val="single" w:sz="4" w:space="0" w:color="000000"/>
              <w:right w:val="nil"/>
            </w:tcBorders>
            <w:shd w:val="clear" w:color="auto" w:fill="E2EFD9" w:themeFill="accent6" w:themeFillTint="33"/>
            <w:vAlign w:val="center"/>
            <w:hideMark/>
          </w:tcPr>
          <w:p w14:paraId="546859E8" w14:textId="77777777" w:rsidR="008A1E55" w:rsidRPr="00257DF7" w:rsidRDefault="008A1E55" w:rsidP="00E16CAE">
            <w:pPr>
              <w:rPr>
                <w:sz w:val="19"/>
                <w:szCs w:val="19"/>
              </w:rPr>
            </w:pPr>
            <w:r w:rsidRPr="00257DF7">
              <w:rPr>
                <w:sz w:val="19"/>
                <w:szCs w:val="19"/>
              </w:rPr>
              <w:t>Toilet Facility</w:t>
            </w:r>
          </w:p>
        </w:tc>
        <w:tc>
          <w:tcPr>
            <w:tcW w:w="2240" w:type="dxa"/>
            <w:gridSpan w:val="2"/>
            <w:tcBorders>
              <w:top w:val="single" w:sz="4" w:space="0" w:color="auto"/>
              <w:left w:val="nil"/>
              <w:bottom w:val="single" w:sz="4" w:space="0" w:color="auto"/>
              <w:right w:val="nil"/>
            </w:tcBorders>
            <w:shd w:val="clear" w:color="auto" w:fill="E2EFD9" w:themeFill="accent6" w:themeFillTint="33"/>
            <w:noWrap/>
            <w:vAlign w:val="center"/>
            <w:hideMark/>
          </w:tcPr>
          <w:p w14:paraId="424E08DA" w14:textId="77777777" w:rsidR="008A1E55" w:rsidRPr="00257DF7" w:rsidRDefault="008A1E55" w:rsidP="00E16CAE">
            <w:pPr>
              <w:jc w:val="center"/>
              <w:rPr>
                <w:sz w:val="19"/>
                <w:szCs w:val="19"/>
              </w:rPr>
            </w:pPr>
            <w:r w:rsidRPr="00257DF7">
              <w:rPr>
                <w:sz w:val="19"/>
                <w:szCs w:val="19"/>
              </w:rPr>
              <w:t>Tanzania</w:t>
            </w:r>
          </w:p>
        </w:tc>
        <w:tc>
          <w:tcPr>
            <w:tcW w:w="2240" w:type="dxa"/>
            <w:gridSpan w:val="2"/>
            <w:tcBorders>
              <w:top w:val="single" w:sz="4" w:space="0" w:color="auto"/>
              <w:left w:val="nil"/>
              <w:bottom w:val="single" w:sz="4" w:space="0" w:color="auto"/>
              <w:right w:val="nil"/>
            </w:tcBorders>
            <w:shd w:val="clear" w:color="auto" w:fill="E2EFD9" w:themeFill="accent6" w:themeFillTint="33"/>
            <w:noWrap/>
            <w:vAlign w:val="center"/>
            <w:hideMark/>
          </w:tcPr>
          <w:p w14:paraId="46B6586E" w14:textId="1414B507" w:rsidR="008A1E55" w:rsidRPr="00257DF7" w:rsidRDefault="00EA1552" w:rsidP="00E16CAE">
            <w:pPr>
              <w:jc w:val="center"/>
              <w:rPr>
                <w:sz w:val="19"/>
                <w:szCs w:val="19"/>
              </w:rPr>
            </w:pPr>
            <w:r w:rsidRPr="00257DF7">
              <w:rPr>
                <w:sz w:val="19"/>
                <w:szCs w:val="19"/>
              </w:rPr>
              <w:t>Mainland Tanzania</w:t>
            </w:r>
          </w:p>
        </w:tc>
        <w:tc>
          <w:tcPr>
            <w:tcW w:w="2060" w:type="dxa"/>
            <w:gridSpan w:val="2"/>
            <w:tcBorders>
              <w:top w:val="single" w:sz="4" w:space="0" w:color="auto"/>
              <w:left w:val="nil"/>
              <w:bottom w:val="single" w:sz="4" w:space="0" w:color="auto"/>
              <w:right w:val="nil"/>
            </w:tcBorders>
            <w:shd w:val="clear" w:color="auto" w:fill="E2EFD9" w:themeFill="accent6" w:themeFillTint="33"/>
            <w:noWrap/>
            <w:vAlign w:val="center"/>
            <w:hideMark/>
          </w:tcPr>
          <w:p w14:paraId="5C6B4781" w14:textId="77777777" w:rsidR="008A1E55" w:rsidRPr="00257DF7" w:rsidRDefault="008A1E55" w:rsidP="00E16CAE">
            <w:pPr>
              <w:jc w:val="center"/>
              <w:rPr>
                <w:sz w:val="19"/>
                <w:szCs w:val="19"/>
              </w:rPr>
            </w:pPr>
            <w:r w:rsidRPr="00257DF7">
              <w:rPr>
                <w:sz w:val="19"/>
                <w:szCs w:val="19"/>
              </w:rPr>
              <w:t>Tanzania Zanzibar</w:t>
            </w:r>
          </w:p>
        </w:tc>
      </w:tr>
      <w:tr w:rsidR="006B42D6" w:rsidRPr="00257DF7" w14:paraId="1DBD923F" w14:textId="77777777" w:rsidTr="00257DF7">
        <w:trPr>
          <w:trHeight w:val="283"/>
        </w:trPr>
        <w:tc>
          <w:tcPr>
            <w:tcW w:w="3119" w:type="dxa"/>
            <w:vMerge/>
            <w:tcBorders>
              <w:top w:val="single" w:sz="4" w:space="0" w:color="auto"/>
              <w:left w:val="nil"/>
              <w:bottom w:val="single" w:sz="4" w:space="0" w:color="000000"/>
              <w:right w:val="nil"/>
            </w:tcBorders>
            <w:shd w:val="clear" w:color="auto" w:fill="E2EFD9" w:themeFill="accent6" w:themeFillTint="33"/>
            <w:vAlign w:val="center"/>
            <w:hideMark/>
          </w:tcPr>
          <w:p w14:paraId="7C5D3D03" w14:textId="77777777" w:rsidR="008A1E55" w:rsidRPr="00257DF7" w:rsidRDefault="008A1E55" w:rsidP="00E16CAE">
            <w:pPr>
              <w:rPr>
                <w:sz w:val="19"/>
                <w:szCs w:val="19"/>
              </w:rPr>
            </w:pPr>
          </w:p>
        </w:tc>
        <w:tc>
          <w:tcPr>
            <w:tcW w:w="1295" w:type="dxa"/>
            <w:tcBorders>
              <w:top w:val="nil"/>
              <w:left w:val="nil"/>
              <w:bottom w:val="single" w:sz="4" w:space="0" w:color="auto"/>
              <w:right w:val="nil"/>
            </w:tcBorders>
            <w:shd w:val="clear" w:color="auto" w:fill="E2EFD9" w:themeFill="accent6" w:themeFillTint="33"/>
            <w:noWrap/>
            <w:vAlign w:val="center"/>
            <w:hideMark/>
          </w:tcPr>
          <w:p w14:paraId="1FFA9793" w14:textId="77777777" w:rsidR="008A1E55" w:rsidRPr="00257DF7" w:rsidRDefault="008A1E55" w:rsidP="00E16CAE">
            <w:pPr>
              <w:rPr>
                <w:sz w:val="19"/>
                <w:szCs w:val="19"/>
              </w:rPr>
            </w:pPr>
            <w:r w:rsidRPr="00257DF7">
              <w:rPr>
                <w:sz w:val="19"/>
                <w:szCs w:val="19"/>
              </w:rPr>
              <w:t>Number</w:t>
            </w:r>
          </w:p>
        </w:tc>
        <w:tc>
          <w:tcPr>
            <w:tcW w:w="945" w:type="dxa"/>
            <w:tcBorders>
              <w:top w:val="nil"/>
              <w:left w:val="nil"/>
              <w:bottom w:val="single" w:sz="4" w:space="0" w:color="auto"/>
              <w:right w:val="nil"/>
            </w:tcBorders>
            <w:shd w:val="clear" w:color="auto" w:fill="E2EFD9" w:themeFill="accent6" w:themeFillTint="33"/>
            <w:noWrap/>
            <w:vAlign w:val="center"/>
            <w:hideMark/>
          </w:tcPr>
          <w:p w14:paraId="6B95A310" w14:textId="77777777" w:rsidR="008A1E55" w:rsidRPr="00257DF7" w:rsidRDefault="008A1E55" w:rsidP="00E16CAE">
            <w:pPr>
              <w:rPr>
                <w:sz w:val="19"/>
                <w:szCs w:val="19"/>
              </w:rPr>
            </w:pPr>
            <w:r w:rsidRPr="00257DF7">
              <w:rPr>
                <w:sz w:val="19"/>
                <w:szCs w:val="19"/>
              </w:rPr>
              <w:t>Percent</w:t>
            </w:r>
          </w:p>
        </w:tc>
        <w:tc>
          <w:tcPr>
            <w:tcW w:w="1295" w:type="dxa"/>
            <w:tcBorders>
              <w:top w:val="nil"/>
              <w:left w:val="nil"/>
              <w:bottom w:val="single" w:sz="4" w:space="0" w:color="auto"/>
              <w:right w:val="nil"/>
            </w:tcBorders>
            <w:shd w:val="clear" w:color="auto" w:fill="E2EFD9" w:themeFill="accent6" w:themeFillTint="33"/>
            <w:noWrap/>
            <w:vAlign w:val="center"/>
            <w:hideMark/>
          </w:tcPr>
          <w:p w14:paraId="669D93A6" w14:textId="77777777" w:rsidR="008A1E55" w:rsidRPr="00257DF7" w:rsidRDefault="008A1E55" w:rsidP="00E16CAE">
            <w:pPr>
              <w:rPr>
                <w:sz w:val="19"/>
                <w:szCs w:val="19"/>
              </w:rPr>
            </w:pPr>
            <w:r w:rsidRPr="00257DF7">
              <w:rPr>
                <w:sz w:val="19"/>
                <w:szCs w:val="19"/>
              </w:rPr>
              <w:t>Number</w:t>
            </w:r>
          </w:p>
        </w:tc>
        <w:tc>
          <w:tcPr>
            <w:tcW w:w="945" w:type="dxa"/>
            <w:tcBorders>
              <w:top w:val="nil"/>
              <w:left w:val="nil"/>
              <w:bottom w:val="single" w:sz="4" w:space="0" w:color="auto"/>
              <w:right w:val="nil"/>
            </w:tcBorders>
            <w:shd w:val="clear" w:color="auto" w:fill="E2EFD9" w:themeFill="accent6" w:themeFillTint="33"/>
            <w:noWrap/>
            <w:vAlign w:val="center"/>
            <w:hideMark/>
          </w:tcPr>
          <w:p w14:paraId="46362471" w14:textId="77777777" w:rsidR="008A1E55" w:rsidRPr="00257DF7" w:rsidRDefault="008A1E55" w:rsidP="00E16CAE">
            <w:pPr>
              <w:rPr>
                <w:sz w:val="19"/>
                <w:szCs w:val="19"/>
              </w:rPr>
            </w:pPr>
            <w:r w:rsidRPr="00257DF7">
              <w:rPr>
                <w:sz w:val="19"/>
                <w:szCs w:val="19"/>
              </w:rPr>
              <w:t>Percent</w:t>
            </w:r>
          </w:p>
        </w:tc>
        <w:tc>
          <w:tcPr>
            <w:tcW w:w="1101" w:type="dxa"/>
            <w:tcBorders>
              <w:top w:val="nil"/>
              <w:left w:val="nil"/>
              <w:bottom w:val="single" w:sz="4" w:space="0" w:color="auto"/>
              <w:right w:val="nil"/>
            </w:tcBorders>
            <w:shd w:val="clear" w:color="auto" w:fill="E2EFD9" w:themeFill="accent6" w:themeFillTint="33"/>
            <w:noWrap/>
            <w:vAlign w:val="center"/>
            <w:hideMark/>
          </w:tcPr>
          <w:p w14:paraId="2620D46D" w14:textId="77777777" w:rsidR="008A1E55" w:rsidRPr="00257DF7" w:rsidRDefault="008A1E55" w:rsidP="00E16CAE">
            <w:pPr>
              <w:rPr>
                <w:sz w:val="19"/>
                <w:szCs w:val="19"/>
              </w:rPr>
            </w:pPr>
            <w:r w:rsidRPr="00257DF7">
              <w:rPr>
                <w:sz w:val="19"/>
                <w:szCs w:val="19"/>
              </w:rPr>
              <w:t>Number</w:t>
            </w:r>
          </w:p>
        </w:tc>
        <w:tc>
          <w:tcPr>
            <w:tcW w:w="959" w:type="dxa"/>
            <w:tcBorders>
              <w:top w:val="nil"/>
              <w:left w:val="nil"/>
              <w:bottom w:val="single" w:sz="4" w:space="0" w:color="auto"/>
              <w:right w:val="nil"/>
            </w:tcBorders>
            <w:shd w:val="clear" w:color="auto" w:fill="E2EFD9" w:themeFill="accent6" w:themeFillTint="33"/>
            <w:noWrap/>
            <w:vAlign w:val="center"/>
            <w:hideMark/>
          </w:tcPr>
          <w:p w14:paraId="5482171D" w14:textId="77777777" w:rsidR="008A1E55" w:rsidRPr="00257DF7" w:rsidRDefault="008A1E55" w:rsidP="00E16CAE">
            <w:pPr>
              <w:rPr>
                <w:sz w:val="19"/>
                <w:szCs w:val="19"/>
              </w:rPr>
            </w:pPr>
            <w:r w:rsidRPr="00257DF7">
              <w:rPr>
                <w:sz w:val="19"/>
                <w:szCs w:val="19"/>
              </w:rPr>
              <w:t>Percent</w:t>
            </w:r>
          </w:p>
        </w:tc>
      </w:tr>
      <w:tr w:rsidR="006B42D6" w:rsidRPr="00257DF7" w14:paraId="0E23BDE7" w14:textId="77777777" w:rsidTr="00E16CAE">
        <w:trPr>
          <w:trHeight w:val="340"/>
        </w:trPr>
        <w:tc>
          <w:tcPr>
            <w:tcW w:w="3119" w:type="dxa"/>
            <w:tcBorders>
              <w:top w:val="nil"/>
              <w:left w:val="nil"/>
              <w:bottom w:val="nil"/>
              <w:right w:val="nil"/>
            </w:tcBorders>
            <w:shd w:val="clear" w:color="auto" w:fill="auto"/>
            <w:vAlign w:val="center"/>
            <w:hideMark/>
          </w:tcPr>
          <w:p w14:paraId="0CA04525" w14:textId="77777777" w:rsidR="008A1E55" w:rsidRPr="00257DF7" w:rsidRDefault="008A1E55" w:rsidP="00E16CAE">
            <w:pPr>
              <w:rPr>
                <w:sz w:val="19"/>
                <w:szCs w:val="19"/>
              </w:rPr>
            </w:pPr>
            <w:r w:rsidRPr="00257DF7">
              <w:rPr>
                <w:sz w:val="19"/>
                <w:szCs w:val="19"/>
              </w:rPr>
              <w:t>No toilet/bush</w:t>
            </w:r>
          </w:p>
        </w:tc>
        <w:tc>
          <w:tcPr>
            <w:tcW w:w="1295" w:type="dxa"/>
            <w:tcBorders>
              <w:top w:val="nil"/>
              <w:left w:val="nil"/>
              <w:bottom w:val="nil"/>
              <w:right w:val="nil"/>
            </w:tcBorders>
            <w:shd w:val="clear" w:color="auto" w:fill="auto"/>
            <w:noWrap/>
            <w:vAlign w:val="center"/>
            <w:hideMark/>
          </w:tcPr>
          <w:p w14:paraId="7B895023" w14:textId="77777777" w:rsidR="008A1E55" w:rsidRPr="00257DF7" w:rsidRDefault="008A1E55" w:rsidP="00E16CAE">
            <w:pPr>
              <w:jc w:val="right"/>
              <w:rPr>
                <w:sz w:val="19"/>
                <w:szCs w:val="19"/>
              </w:rPr>
            </w:pPr>
            <w:r w:rsidRPr="00257DF7">
              <w:rPr>
                <w:sz w:val="19"/>
                <w:szCs w:val="19"/>
              </w:rPr>
              <w:t>569,986</w:t>
            </w:r>
          </w:p>
        </w:tc>
        <w:tc>
          <w:tcPr>
            <w:tcW w:w="945" w:type="dxa"/>
            <w:tcBorders>
              <w:top w:val="nil"/>
              <w:left w:val="nil"/>
              <w:bottom w:val="nil"/>
              <w:right w:val="nil"/>
            </w:tcBorders>
            <w:shd w:val="clear" w:color="auto" w:fill="auto"/>
            <w:noWrap/>
            <w:vAlign w:val="center"/>
            <w:hideMark/>
          </w:tcPr>
          <w:p w14:paraId="5DD45BA7" w14:textId="77777777" w:rsidR="008A1E55" w:rsidRPr="00257DF7" w:rsidRDefault="008A1E55" w:rsidP="00E16CAE">
            <w:pPr>
              <w:jc w:val="right"/>
              <w:rPr>
                <w:sz w:val="19"/>
                <w:szCs w:val="19"/>
              </w:rPr>
            </w:pPr>
            <w:r w:rsidRPr="00257DF7">
              <w:rPr>
                <w:sz w:val="19"/>
                <w:szCs w:val="19"/>
              </w:rPr>
              <w:t>7.3</w:t>
            </w:r>
          </w:p>
        </w:tc>
        <w:tc>
          <w:tcPr>
            <w:tcW w:w="1295" w:type="dxa"/>
            <w:tcBorders>
              <w:top w:val="nil"/>
              <w:left w:val="nil"/>
              <w:bottom w:val="nil"/>
              <w:right w:val="nil"/>
            </w:tcBorders>
            <w:shd w:val="clear" w:color="auto" w:fill="auto"/>
            <w:noWrap/>
            <w:vAlign w:val="center"/>
            <w:hideMark/>
          </w:tcPr>
          <w:p w14:paraId="36CD0922" w14:textId="77777777" w:rsidR="008A1E55" w:rsidRPr="00257DF7" w:rsidRDefault="008A1E55" w:rsidP="00E16CAE">
            <w:pPr>
              <w:jc w:val="right"/>
              <w:rPr>
                <w:sz w:val="19"/>
                <w:szCs w:val="19"/>
              </w:rPr>
            </w:pPr>
            <w:r w:rsidRPr="00257DF7">
              <w:rPr>
                <w:sz w:val="19"/>
                <w:szCs w:val="19"/>
              </w:rPr>
              <w:t>537,042</w:t>
            </w:r>
          </w:p>
        </w:tc>
        <w:tc>
          <w:tcPr>
            <w:tcW w:w="945" w:type="dxa"/>
            <w:tcBorders>
              <w:top w:val="nil"/>
              <w:left w:val="nil"/>
              <w:bottom w:val="nil"/>
              <w:right w:val="nil"/>
            </w:tcBorders>
            <w:shd w:val="clear" w:color="auto" w:fill="auto"/>
            <w:noWrap/>
            <w:vAlign w:val="center"/>
            <w:hideMark/>
          </w:tcPr>
          <w:p w14:paraId="72E433AB" w14:textId="77777777" w:rsidR="008A1E55" w:rsidRPr="00257DF7" w:rsidRDefault="008A1E55" w:rsidP="00E16CAE">
            <w:pPr>
              <w:jc w:val="right"/>
              <w:rPr>
                <w:sz w:val="19"/>
                <w:szCs w:val="19"/>
              </w:rPr>
            </w:pPr>
            <w:r w:rsidRPr="00257DF7">
              <w:rPr>
                <w:sz w:val="19"/>
                <w:szCs w:val="19"/>
              </w:rPr>
              <w:t>7.0</w:t>
            </w:r>
          </w:p>
        </w:tc>
        <w:tc>
          <w:tcPr>
            <w:tcW w:w="1101" w:type="dxa"/>
            <w:tcBorders>
              <w:top w:val="nil"/>
              <w:left w:val="nil"/>
              <w:bottom w:val="nil"/>
              <w:right w:val="nil"/>
            </w:tcBorders>
            <w:shd w:val="clear" w:color="auto" w:fill="auto"/>
            <w:noWrap/>
            <w:vAlign w:val="center"/>
            <w:hideMark/>
          </w:tcPr>
          <w:p w14:paraId="379F0A8D" w14:textId="77777777" w:rsidR="008A1E55" w:rsidRPr="00257DF7" w:rsidRDefault="008A1E55" w:rsidP="00E16CAE">
            <w:pPr>
              <w:jc w:val="right"/>
              <w:rPr>
                <w:sz w:val="19"/>
                <w:szCs w:val="19"/>
              </w:rPr>
            </w:pPr>
            <w:r w:rsidRPr="00257DF7">
              <w:rPr>
                <w:sz w:val="19"/>
                <w:szCs w:val="19"/>
              </w:rPr>
              <w:t>32,944</w:t>
            </w:r>
          </w:p>
        </w:tc>
        <w:tc>
          <w:tcPr>
            <w:tcW w:w="959" w:type="dxa"/>
            <w:tcBorders>
              <w:top w:val="nil"/>
              <w:left w:val="nil"/>
              <w:bottom w:val="nil"/>
              <w:right w:val="nil"/>
            </w:tcBorders>
            <w:shd w:val="clear" w:color="auto" w:fill="auto"/>
            <w:noWrap/>
            <w:vAlign w:val="center"/>
            <w:hideMark/>
          </w:tcPr>
          <w:p w14:paraId="6B649E8F" w14:textId="77777777" w:rsidR="008A1E55" w:rsidRPr="00257DF7" w:rsidRDefault="008A1E55" w:rsidP="00E16CAE">
            <w:pPr>
              <w:jc w:val="right"/>
              <w:rPr>
                <w:sz w:val="19"/>
                <w:szCs w:val="19"/>
              </w:rPr>
            </w:pPr>
            <w:r w:rsidRPr="00257DF7">
              <w:rPr>
                <w:sz w:val="19"/>
                <w:szCs w:val="19"/>
              </w:rPr>
              <w:t>18.3</w:t>
            </w:r>
          </w:p>
        </w:tc>
      </w:tr>
      <w:tr w:rsidR="006B42D6" w:rsidRPr="00257DF7" w14:paraId="3CA4AE3A" w14:textId="77777777" w:rsidTr="00E16CAE">
        <w:trPr>
          <w:trHeight w:val="340"/>
        </w:trPr>
        <w:tc>
          <w:tcPr>
            <w:tcW w:w="3119" w:type="dxa"/>
            <w:tcBorders>
              <w:top w:val="nil"/>
              <w:left w:val="nil"/>
              <w:bottom w:val="nil"/>
              <w:right w:val="nil"/>
            </w:tcBorders>
            <w:shd w:val="clear" w:color="auto" w:fill="auto"/>
            <w:vAlign w:val="center"/>
            <w:hideMark/>
          </w:tcPr>
          <w:p w14:paraId="0C38F467" w14:textId="77777777" w:rsidR="008A1E55" w:rsidRPr="00257DF7" w:rsidRDefault="008A1E55" w:rsidP="00E16CAE">
            <w:pPr>
              <w:rPr>
                <w:sz w:val="19"/>
                <w:szCs w:val="19"/>
              </w:rPr>
            </w:pPr>
            <w:r w:rsidRPr="00257DF7">
              <w:rPr>
                <w:sz w:val="19"/>
                <w:szCs w:val="19"/>
              </w:rPr>
              <w:t>Pit latrine without slab/open pit</w:t>
            </w:r>
          </w:p>
        </w:tc>
        <w:tc>
          <w:tcPr>
            <w:tcW w:w="1295" w:type="dxa"/>
            <w:tcBorders>
              <w:top w:val="nil"/>
              <w:left w:val="nil"/>
              <w:bottom w:val="nil"/>
              <w:right w:val="nil"/>
            </w:tcBorders>
            <w:shd w:val="clear" w:color="auto" w:fill="auto"/>
            <w:noWrap/>
            <w:vAlign w:val="center"/>
            <w:hideMark/>
          </w:tcPr>
          <w:p w14:paraId="0004D0B7" w14:textId="77777777" w:rsidR="008A1E55" w:rsidRPr="00257DF7" w:rsidRDefault="008A1E55" w:rsidP="00E16CAE">
            <w:pPr>
              <w:jc w:val="right"/>
              <w:rPr>
                <w:sz w:val="19"/>
                <w:szCs w:val="19"/>
              </w:rPr>
            </w:pPr>
            <w:r w:rsidRPr="00257DF7">
              <w:rPr>
                <w:sz w:val="19"/>
                <w:szCs w:val="19"/>
              </w:rPr>
              <w:t>3,971,653</w:t>
            </w:r>
          </w:p>
        </w:tc>
        <w:tc>
          <w:tcPr>
            <w:tcW w:w="945" w:type="dxa"/>
            <w:tcBorders>
              <w:top w:val="nil"/>
              <w:left w:val="nil"/>
              <w:bottom w:val="nil"/>
              <w:right w:val="nil"/>
            </w:tcBorders>
            <w:shd w:val="clear" w:color="auto" w:fill="auto"/>
            <w:noWrap/>
            <w:vAlign w:val="center"/>
            <w:hideMark/>
          </w:tcPr>
          <w:p w14:paraId="53C79FEC" w14:textId="77777777" w:rsidR="008A1E55" w:rsidRPr="00257DF7" w:rsidRDefault="008A1E55" w:rsidP="00E16CAE">
            <w:pPr>
              <w:jc w:val="right"/>
              <w:rPr>
                <w:sz w:val="19"/>
                <w:szCs w:val="19"/>
              </w:rPr>
            </w:pPr>
            <w:r w:rsidRPr="00257DF7">
              <w:rPr>
                <w:sz w:val="19"/>
                <w:szCs w:val="19"/>
              </w:rPr>
              <w:t>50.7</w:t>
            </w:r>
          </w:p>
        </w:tc>
        <w:tc>
          <w:tcPr>
            <w:tcW w:w="1295" w:type="dxa"/>
            <w:tcBorders>
              <w:top w:val="nil"/>
              <w:left w:val="nil"/>
              <w:bottom w:val="nil"/>
              <w:right w:val="nil"/>
            </w:tcBorders>
            <w:shd w:val="clear" w:color="auto" w:fill="auto"/>
            <w:noWrap/>
            <w:vAlign w:val="center"/>
            <w:hideMark/>
          </w:tcPr>
          <w:p w14:paraId="2C4EF75B" w14:textId="77777777" w:rsidR="008A1E55" w:rsidRPr="00257DF7" w:rsidRDefault="008A1E55" w:rsidP="00E16CAE">
            <w:pPr>
              <w:jc w:val="right"/>
              <w:rPr>
                <w:sz w:val="19"/>
                <w:szCs w:val="19"/>
              </w:rPr>
            </w:pPr>
            <w:r w:rsidRPr="00257DF7">
              <w:rPr>
                <w:sz w:val="19"/>
                <w:szCs w:val="19"/>
              </w:rPr>
              <w:t>3,954,214</w:t>
            </w:r>
          </w:p>
        </w:tc>
        <w:tc>
          <w:tcPr>
            <w:tcW w:w="945" w:type="dxa"/>
            <w:tcBorders>
              <w:top w:val="nil"/>
              <w:left w:val="nil"/>
              <w:bottom w:val="nil"/>
              <w:right w:val="nil"/>
            </w:tcBorders>
            <w:shd w:val="clear" w:color="auto" w:fill="auto"/>
            <w:noWrap/>
            <w:vAlign w:val="center"/>
            <w:hideMark/>
          </w:tcPr>
          <w:p w14:paraId="6C741E7F" w14:textId="77777777" w:rsidR="008A1E55" w:rsidRPr="00257DF7" w:rsidRDefault="008A1E55" w:rsidP="00E16CAE">
            <w:pPr>
              <w:jc w:val="right"/>
              <w:rPr>
                <w:sz w:val="19"/>
                <w:szCs w:val="19"/>
              </w:rPr>
            </w:pPr>
            <w:r w:rsidRPr="00257DF7">
              <w:rPr>
                <w:sz w:val="19"/>
                <w:szCs w:val="19"/>
              </w:rPr>
              <w:t>51.6</w:t>
            </w:r>
          </w:p>
        </w:tc>
        <w:tc>
          <w:tcPr>
            <w:tcW w:w="1101" w:type="dxa"/>
            <w:tcBorders>
              <w:top w:val="nil"/>
              <w:left w:val="nil"/>
              <w:bottom w:val="nil"/>
              <w:right w:val="nil"/>
            </w:tcBorders>
            <w:shd w:val="clear" w:color="auto" w:fill="auto"/>
            <w:noWrap/>
            <w:vAlign w:val="center"/>
            <w:hideMark/>
          </w:tcPr>
          <w:p w14:paraId="3DC2D012" w14:textId="77777777" w:rsidR="008A1E55" w:rsidRPr="00257DF7" w:rsidRDefault="008A1E55" w:rsidP="00E16CAE">
            <w:pPr>
              <w:jc w:val="right"/>
              <w:rPr>
                <w:sz w:val="19"/>
                <w:szCs w:val="19"/>
              </w:rPr>
            </w:pPr>
            <w:r w:rsidRPr="00257DF7">
              <w:rPr>
                <w:sz w:val="19"/>
                <w:szCs w:val="19"/>
              </w:rPr>
              <w:t>17,439</w:t>
            </w:r>
          </w:p>
        </w:tc>
        <w:tc>
          <w:tcPr>
            <w:tcW w:w="959" w:type="dxa"/>
            <w:tcBorders>
              <w:top w:val="nil"/>
              <w:left w:val="nil"/>
              <w:bottom w:val="nil"/>
              <w:right w:val="nil"/>
            </w:tcBorders>
            <w:shd w:val="clear" w:color="auto" w:fill="auto"/>
            <w:noWrap/>
            <w:vAlign w:val="center"/>
            <w:hideMark/>
          </w:tcPr>
          <w:p w14:paraId="75B50599" w14:textId="77777777" w:rsidR="008A1E55" w:rsidRPr="00257DF7" w:rsidRDefault="008A1E55" w:rsidP="00E16CAE">
            <w:pPr>
              <w:jc w:val="right"/>
              <w:rPr>
                <w:sz w:val="19"/>
                <w:szCs w:val="19"/>
              </w:rPr>
            </w:pPr>
            <w:r w:rsidRPr="00257DF7">
              <w:rPr>
                <w:sz w:val="19"/>
                <w:szCs w:val="19"/>
              </w:rPr>
              <w:t>9.7</w:t>
            </w:r>
          </w:p>
        </w:tc>
      </w:tr>
      <w:tr w:rsidR="006B42D6" w:rsidRPr="00257DF7" w14:paraId="4B6E515C" w14:textId="77777777" w:rsidTr="00E16CAE">
        <w:trPr>
          <w:trHeight w:val="340"/>
        </w:trPr>
        <w:tc>
          <w:tcPr>
            <w:tcW w:w="3119" w:type="dxa"/>
            <w:tcBorders>
              <w:top w:val="nil"/>
              <w:left w:val="nil"/>
              <w:bottom w:val="nil"/>
              <w:right w:val="nil"/>
            </w:tcBorders>
            <w:shd w:val="clear" w:color="auto" w:fill="auto"/>
            <w:vAlign w:val="center"/>
            <w:hideMark/>
          </w:tcPr>
          <w:p w14:paraId="14BCB36D" w14:textId="77777777" w:rsidR="008A1E55" w:rsidRPr="00257DF7" w:rsidRDefault="008A1E55" w:rsidP="00E16CAE">
            <w:pPr>
              <w:rPr>
                <w:sz w:val="19"/>
                <w:szCs w:val="19"/>
              </w:rPr>
            </w:pPr>
            <w:r w:rsidRPr="00257DF7">
              <w:rPr>
                <w:sz w:val="19"/>
                <w:szCs w:val="19"/>
              </w:rPr>
              <w:t>Pit latrine with slab/not washable</w:t>
            </w:r>
          </w:p>
        </w:tc>
        <w:tc>
          <w:tcPr>
            <w:tcW w:w="1295" w:type="dxa"/>
            <w:tcBorders>
              <w:top w:val="nil"/>
              <w:left w:val="nil"/>
              <w:bottom w:val="nil"/>
              <w:right w:val="nil"/>
            </w:tcBorders>
            <w:shd w:val="clear" w:color="auto" w:fill="auto"/>
            <w:noWrap/>
            <w:vAlign w:val="center"/>
            <w:hideMark/>
          </w:tcPr>
          <w:p w14:paraId="263C1399" w14:textId="77777777" w:rsidR="008A1E55" w:rsidRPr="00257DF7" w:rsidRDefault="008A1E55" w:rsidP="00E16CAE">
            <w:pPr>
              <w:jc w:val="right"/>
              <w:rPr>
                <w:sz w:val="19"/>
                <w:szCs w:val="19"/>
              </w:rPr>
            </w:pPr>
            <w:r w:rsidRPr="00257DF7">
              <w:rPr>
                <w:sz w:val="19"/>
                <w:szCs w:val="19"/>
              </w:rPr>
              <w:t>727,072</w:t>
            </w:r>
          </w:p>
        </w:tc>
        <w:tc>
          <w:tcPr>
            <w:tcW w:w="945" w:type="dxa"/>
            <w:tcBorders>
              <w:top w:val="nil"/>
              <w:left w:val="nil"/>
              <w:bottom w:val="nil"/>
              <w:right w:val="nil"/>
            </w:tcBorders>
            <w:shd w:val="clear" w:color="auto" w:fill="auto"/>
            <w:noWrap/>
            <w:vAlign w:val="center"/>
            <w:hideMark/>
          </w:tcPr>
          <w:p w14:paraId="69C8947E" w14:textId="77777777" w:rsidR="008A1E55" w:rsidRPr="00257DF7" w:rsidRDefault="008A1E55" w:rsidP="00E16CAE">
            <w:pPr>
              <w:jc w:val="right"/>
              <w:rPr>
                <w:sz w:val="19"/>
                <w:szCs w:val="19"/>
              </w:rPr>
            </w:pPr>
            <w:r w:rsidRPr="00257DF7">
              <w:rPr>
                <w:sz w:val="19"/>
                <w:szCs w:val="19"/>
              </w:rPr>
              <w:t>9.3</w:t>
            </w:r>
          </w:p>
        </w:tc>
        <w:tc>
          <w:tcPr>
            <w:tcW w:w="1295" w:type="dxa"/>
            <w:tcBorders>
              <w:top w:val="nil"/>
              <w:left w:val="nil"/>
              <w:bottom w:val="nil"/>
              <w:right w:val="nil"/>
            </w:tcBorders>
            <w:shd w:val="clear" w:color="auto" w:fill="auto"/>
            <w:noWrap/>
            <w:vAlign w:val="center"/>
            <w:hideMark/>
          </w:tcPr>
          <w:p w14:paraId="4EF5A3A7" w14:textId="77777777" w:rsidR="008A1E55" w:rsidRPr="00257DF7" w:rsidRDefault="008A1E55" w:rsidP="00E16CAE">
            <w:pPr>
              <w:jc w:val="right"/>
              <w:rPr>
                <w:sz w:val="19"/>
                <w:szCs w:val="19"/>
              </w:rPr>
            </w:pPr>
            <w:r w:rsidRPr="00257DF7">
              <w:rPr>
                <w:sz w:val="19"/>
                <w:szCs w:val="19"/>
              </w:rPr>
              <w:t>714,549</w:t>
            </w:r>
          </w:p>
        </w:tc>
        <w:tc>
          <w:tcPr>
            <w:tcW w:w="945" w:type="dxa"/>
            <w:tcBorders>
              <w:top w:val="nil"/>
              <w:left w:val="nil"/>
              <w:bottom w:val="nil"/>
              <w:right w:val="nil"/>
            </w:tcBorders>
            <w:shd w:val="clear" w:color="auto" w:fill="auto"/>
            <w:noWrap/>
            <w:vAlign w:val="center"/>
            <w:hideMark/>
          </w:tcPr>
          <w:p w14:paraId="40941D80" w14:textId="77777777" w:rsidR="008A1E55" w:rsidRPr="00257DF7" w:rsidRDefault="008A1E55" w:rsidP="00E16CAE">
            <w:pPr>
              <w:jc w:val="right"/>
              <w:rPr>
                <w:sz w:val="19"/>
                <w:szCs w:val="19"/>
              </w:rPr>
            </w:pPr>
            <w:r w:rsidRPr="00257DF7">
              <w:rPr>
                <w:sz w:val="19"/>
                <w:szCs w:val="19"/>
              </w:rPr>
              <w:t>9.3</w:t>
            </w:r>
          </w:p>
        </w:tc>
        <w:tc>
          <w:tcPr>
            <w:tcW w:w="1101" w:type="dxa"/>
            <w:tcBorders>
              <w:top w:val="nil"/>
              <w:left w:val="nil"/>
              <w:bottom w:val="nil"/>
              <w:right w:val="nil"/>
            </w:tcBorders>
            <w:shd w:val="clear" w:color="auto" w:fill="auto"/>
            <w:noWrap/>
            <w:vAlign w:val="center"/>
            <w:hideMark/>
          </w:tcPr>
          <w:p w14:paraId="0D3C9D8E" w14:textId="77777777" w:rsidR="008A1E55" w:rsidRPr="00257DF7" w:rsidRDefault="008A1E55" w:rsidP="00E16CAE">
            <w:pPr>
              <w:jc w:val="right"/>
              <w:rPr>
                <w:sz w:val="19"/>
                <w:szCs w:val="19"/>
              </w:rPr>
            </w:pPr>
            <w:r w:rsidRPr="00257DF7">
              <w:rPr>
                <w:sz w:val="19"/>
                <w:szCs w:val="19"/>
              </w:rPr>
              <w:t>12,523</w:t>
            </w:r>
          </w:p>
        </w:tc>
        <w:tc>
          <w:tcPr>
            <w:tcW w:w="959" w:type="dxa"/>
            <w:tcBorders>
              <w:top w:val="nil"/>
              <w:left w:val="nil"/>
              <w:bottom w:val="nil"/>
              <w:right w:val="nil"/>
            </w:tcBorders>
            <w:shd w:val="clear" w:color="auto" w:fill="auto"/>
            <w:noWrap/>
            <w:vAlign w:val="center"/>
            <w:hideMark/>
          </w:tcPr>
          <w:p w14:paraId="69751332" w14:textId="77777777" w:rsidR="008A1E55" w:rsidRPr="00257DF7" w:rsidRDefault="008A1E55" w:rsidP="00E16CAE">
            <w:pPr>
              <w:jc w:val="right"/>
              <w:rPr>
                <w:sz w:val="19"/>
                <w:szCs w:val="19"/>
              </w:rPr>
            </w:pPr>
            <w:r w:rsidRPr="00257DF7">
              <w:rPr>
                <w:sz w:val="19"/>
                <w:szCs w:val="19"/>
              </w:rPr>
              <w:t>6.9</w:t>
            </w:r>
          </w:p>
        </w:tc>
      </w:tr>
      <w:tr w:rsidR="006B42D6" w:rsidRPr="00257DF7" w14:paraId="3ACA2899" w14:textId="77777777" w:rsidTr="00E16CAE">
        <w:trPr>
          <w:trHeight w:val="340"/>
        </w:trPr>
        <w:tc>
          <w:tcPr>
            <w:tcW w:w="3119" w:type="dxa"/>
            <w:tcBorders>
              <w:top w:val="nil"/>
              <w:left w:val="nil"/>
              <w:bottom w:val="nil"/>
              <w:right w:val="nil"/>
            </w:tcBorders>
            <w:shd w:val="clear" w:color="auto" w:fill="auto"/>
            <w:vAlign w:val="center"/>
            <w:hideMark/>
          </w:tcPr>
          <w:p w14:paraId="62341B59" w14:textId="77777777" w:rsidR="008A1E55" w:rsidRPr="00257DF7" w:rsidRDefault="008A1E55" w:rsidP="00E16CAE">
            <w:pPr>
              <w:rPr>
                <w:sz w:val="19"/>
                <w:szCs w:val="19"/>
              </w:rPr>
            </w:pPr>
            <w:r w:rsidRPr="00257DF7">
              <w:rPr>
                <w:sz w:val="19"/>
                <w:szCs w:val="19"/>
              </w:rPr>
              <w:t>Pit latrine with slab/washable</w:t>
            </w:r>
          </w:p>
        </w:tc>
        <w:tc>
          <w:tcPr>
            <w:tcW w:w="1295" w:type="dxa"/>
            <w:tcBorders>
              <w:top w:val="nil"/>
              <w:left w:val="nil"/>
              <w:bottom w:val="nil"/>
              <w:right w:val="nil"/>
            </w:tcBorders>
            <w:shd w:val="clear" w:color="auto" w:fill="auto"/>
            <w:noWrap/>
            <w:vAlign w:val="center"/>
            <w:hideMark/>
          </w:tcPr>
          <w:p w14:paraId="040A18E0" w14:textId="77777777" w:rsidR="008A1E55" w:rsidRPr="00257DF7" w:rsidRDefault="008A1E55" w:rsidP="00E16CAE">
            <w:pPr>
              <w:jc w:val="right"/>
              <w:rPr>
                <w:sz w:val="19"/>
                <w:szCs w:val="19"/>
              </w:rPr>
            </w:pPr>
            <w:r w:rsidRPr="00257DF7">
              <w:rPr>
                <w:sz w:val="19"/>
                <w:szCs w:val="19"/>
              </w:rPr>
              <w:t>628,248</w:t>
            </w:r>
          </w:p>
        </w:tc>
        <w:tc>
          <w:tcPr>
            <w:tcW w:w="945" w:type="dxa"/>
            <w:tcBorders>
              <w:top w:val="nil"/>
              <w:left w:val="nil"/>
              <w:bottom w:val="nil"/>
              <w:right w:val="nil"/>
            </w:tcBorders>
            <w:shd w:val="clear" w:color="auto" w:fill="auto"/>
            <w:noWrap/>
            <w:vAlign w:val="center"/>
            <w:hideMark/>
          </w:tcPr>
          <w:p w14:paraId="1269004D" w14:textId="77777777" w:rsidR="008A1E55" w:rsidRPr="00257DF7" w:rsidRDefault="008A1E55" w:rsidP="00E16CAE">
            <w:pPr>
              <w:jc w:val="right"/>
              <w:rPr>
                <w:sz w:val="19"/>
                <w:szCs w:val="19"/>
              </w:rPr>
            </w:pPr>
            <w:r w:rsidRPr="00257DF7">
              <w:rPr>
                <w:sz w:val="19"/>
                <w:szCs w:val="19"/>
              </w:rPr>
              <w:t>8.0</w:t>
            </w:r>
          </w:p>
        </w:tc>
        <w:tc>
          <w:tcPr>
            <w:tcW w:w="1295" w:type="dxa"/>
            <w:tcBorders>
              <w:top w:val="nil"/>
              <w:left w:val="nil"/>
              <w:bottom w:val="nil"/>
              <w:right w:val="nil"/>
            </w:tcBorders>
            <w:shd w:val="clear" w:color="auto" w:fill="auto"/>
            <w:noWrap/>
            <w:vAlign w:val="center"/>
            <w:hideMark/>
          </w:tcPr>
          <w:p w14:paraId="613D42EB" w14:textId="77777777" w:rsidR="008A1E55" w:rsidRPr="00257DF7" w:rsidRDefault="008A1E55" w:rsidP="00E16CAE">
            <w:pPr>
              <w:jc w:val="right"/>
              <w:rPr>
                <w:sz w:val="19"/>
                <w:szCs w:val="19"/>
              </w:rPr>
            </w:pPr>
            <w:r w:rsidRPr="00257DF7">
              <w:rPr>
                <w:sz w:val="19"/>
                <w:szCs w:val="19"/>
              </w:rPr>
              <w:t>598,951</w:t>
            </w:r>
          </w:p>
        </w:tc>
        <w:tc>
          <w:tcPr>
            <w:tcW w:w="945" w:type="dxa"/>
            <w:tcBorders>
              <w:top w:val="nil"/>
              <w:left w:val="nil"/>
              <w:bottom w:val="nil"/>
              <w:right w:val="nil"/>
            </w:tcBorders>
            <w:shd w:val="clear" w:color="auto" w:fill="auto"/>
            <w:noWrap/>
            <w:vAlign w:val="center"/>
            <w:hideMark/>
          </w:tcPr>
          <w:p w14:paraId="063D0D03" w14:textId="77777777" w:rsidR="008A1E55" w:rsidRPr="00257DF7" w:rsidRDefault="008A1E55" w:rsidP="00E16CAE">
            <w:pPr>
              <w:jc w:val="right"/>
              <w:rPr>
                <w:sz w:val="19"/>
                <w:szCs w:val="19"/>
              </w:rPr>
            </w:pPr>
            <w:r w:rsidRPr="00257DF7">
              <w:rPr>
                <w:sz w:val="19"/>
                <w:szCs w:val="19"/>
              </w:rPr>
              <w:t>7.8</w:t>
            </w:r>
          </w:p>
        </w:tc>
        <w:tc>
          <w:tcPr>
            <w:tcW w:w="1101" w:type="dxa"/>
            <w:tcBorders>
              <w:top w:val="nil"/>
              <w:left w:val="nil"/>
              <w:bottom w:val="nil"/>
              <w:right w:val="nil"/>
            </w:tcBorders>
            <w:shd w:val="clear" w:color="auto" w:fill="auto"/>
            <w:noWrap/>
            <w:vAlign w:val="center"/>
            <w:hideMark/>
          </w:tcPr>
          <w:p w14:paraId="6F28E52F" w14:textId="77777777" w:rsidR="008A1E55" w:rsidRPr="00257DF7" w:rsidRDefault="008A1E55" w:rsidP="00E16CAE">
            <w:pPr>
              <w:jc w:val="right"/>
              <w:rPr>
                <w:sz w:val="19"/>
                <w:szCs w:val="19"/>
              </w:rPr>
            </w:pPr>
            <w:r w:rsidRPr="00257DF7">
              <w:rPr>
                <w:sz w:val="19"/>
                <w:szCs w:val="19"/>
              </w:rPr>
              <w:t>29,297</w:t>
            </w:r>
          </w:p>
        </w:tc>
        <w:tc>
          <w:tcPr>
            <w:tcW w:w="959" w:type="dxa"/>
            <w:tcBorders>
              <w:top w:val="nil"/>
              <w:left w:val="nil"/>
              <w:bottom w:val="nil"/>
              <w:right w:val="nil"/>
            </w:tcBorders>
            <w:shd w:val="clear" w:color="auto" w:fill="auto"/>
            <w:noWrap/>
            <w:vAlign w:val="center"/>
            <w:hideMark/>
          </w:tcPr>
          <w:p w14:paraId="0EED25A7" w14:textId="77777777" w:rsidR="008A1E55" w:rsidRPr="00257DF7" w:rsidRDefault="008A1E55" w:rsidP="00E16CAE">
            <w:pPr>
              <w:jc w:val="right"/>
              <w:rPr>
                <w:sz w:val="19"/>
                <w:szCs w:val="19"/>
              </w:rPr>
            </w:pPr>
            <w:r w:rsidRPr="00257DF7">
              <w:rPr>
                <w:sz w:val="19"/>
                <w:szCs w:val="19"/>
              </w:rPr>
              <w:t>16.3</w:t>
            </w:r>
          </w:p>
        </w:tc>
      </w:tr>
      <w:tr w:rsidR="006B42D6" w:rsidRPr="00257DF7" w14:paraId="0283DC7A" w14:textId="77777777" w:rsidTr="00E16CAE">
        <w:trPr>
          <w:trHeight w:val="340"/>
        </w:trPr>
        <w:tc>
          <w:tcPr>
            <w:tcW w:w="3119" w:type="dxa"/>
            <w:tcBorders>
              <w:top w:val="nil"/>
              <w:left w:val="nil"/>
              <w:bottom w:val="nil"/>
              <w:right w:val="nil"/>
            </w:tcBorders>
            <w:shd w:val="clear" w:color="auto" w:fill="auto"/>
            <w:vAlign w:val="center"/>
            <w:hideMark/>
          </w:tcPr>
          <w:p w14:paraId="78844082" w14:textId="77777777" w:rsidR="008A1E55" w:rsidRPr="00257DF7" w:rsidRDefault="008A1E55" w:rsidP="00E16CAE">
            <w:pPr>
              <w:rPr>
                <w:sz w:val="19"/>
                <w:szCs w:val="19"/>
              </w:rPr>
            </w:pPr>
            <w:r w:rsidRPr="00257DF7">
              <w:rPr>
                <w:sz w:val="19"/>
                <w:szCs w:val="19"/>
              </w:rPr>
              <w:t>Ventilated improved pit latrine</w:t>
            </w:r>
          </w:p>
        </w:tc>
        <w:tc>
          <w:tcPr>
            <w:tcW w:w="1295" w:type="dxa"/>
            <w:tcBorders>
              <w:top w:val="nil"/>
              <w:left w:val="nil"/>
              <w:bottom w:val="nil"/>
              <w:right w:val="nil"/>
            </w:tcBorders>
            <w:shd w:val="clear" w:color="auto" w:fill="auto"/>
            <w:noWrap/>
            <w:vAlign w:val="center"/>
            <w:hideMark/>
          </w:tcPr>
          <w:p w14:paraId="04ABADA5" w14:textId="77777777" w:rsidR="008A1E55" w:rsidRPr="00257DF7" w:rsidRDefault="008A1E55" w:rsidP="00E16CAE">
            <w:pPr>
              <w:jc w:val="right"/>
              <w:rPr>
                <w:sz w:val="19"/>
                <w:szCs w:val="19"/>
              </w:rPr>
            </w:pPr>
            <w:r w:rsidRPr="00257DF7">
              <w:rPr>
                <w:sz w:val="19"/>
                <w:szCs w:val="19"/>
              </w:rPr>
              <w:t>264,475</w:t>
            </w:r>
          </w:p>
        </w:tc>
        <w:tc>
          <w:tcPr>
            <w:tcW w:w="945" w:type="dxa"/>
            <w:tcBorders>
              <w:top w:val="nil"/>
              <w:left w:val="nil"/>
              <w:bottom w:val="nil"/>
              <w:right w:val="nil"/>
            </w:tcBorders>
            <w:shd w:val="clear" w:color="auto" w:fill="auto"/>
            <w:noWrap/>
            <w:vAlign w:val="center"/>
            <w:hideMark/>
          </w:tcPr>
          <w:p w14:paraId="49315481" w14:textId="77777777" w:rsidR="008A1E55" w:rsidRPr="00257DF7" w:rsidRDefault="008A1E55" w:rsidP="00E16CAE">
            <w:pPr>
              <w:jc w:val="right"/>
              <w:rPr>
                <w:sz w:val="19"/>
                <w:szCs w:val="19"/>
              </w:rPr>
            </w:pPr>
            <w:r w:rsidRPr="00257DF7">
              <w:rPr>
                <w:sz w:val="19"/>
                <w:szCs w:val="19"/>
              </w:rPr>
              <w:t>3.4</w:t>
            </w:r>
          </w:p>
        </w:tc>
        <w:tc>
          <w:tcPr>
            <w:tcW w:w="1295" w:type="dxa"/>
            <w:tcBorders>
              <w:top w:val="nil"/>
              <w:left w:val="nil"/>
              <w:bottom w:val="nil"/>
              <w:right w:val="nil"/>
            </w:tcBorders>
            <w:shd w:val="clear" w:color="auto" w:fill="auto"/>
            <w:noWrap/>
            <w:vAlign w:val="center"/>
            <w:hideMark/>
          </w:tcPr>
          <w:p w14:paraId="0483B03C" w14:textId="77777777" w:rsidR="008A1E55" w:rsidRPr="00257DF7" w:rsidRDefault="008A1E55" w:rsidP="00E16CAE">
            <w:pPr>
              <w:jc w:val="right"/>
              <w:rPr>
                <w:sz w:val="19"/>
                <w:szCs w:val="19"/>
              </w:rPr>
            </w:pPr>
            <w:r w:rsidRPr="00257DF7">
              <w:rPr>
                <w:sz w:val="19"/>
                <w:szCs w:val="19"/>
              </w:rPr>
              <w:t>254,961</w:t>
            </w:r>
          </w:p>
        </w:tc>
        <w:tc>
          <w:tcPr>
            <w:tcW w:w="945" w:type="dxa"/>
            <w:tcBorders>
              <w:top w:val="nil"/>
              <w:left w:val="nil"/>
              <w:bottom w:val="nil"/>
              <w:right w:val="nil"/>
            </w:tcBorders>
            <w:shd w:val="clear" w:color="auto" w:fill="auto"/>
            <w:noWrap/>
            <w:vAlign w:val="center"/>
            <w:hideMark/>
          </w:tcPr>
          <w:p w14:paraId="4B0C9954" w14:textId="77777777" w:rsidR="008A1E55" w:rsidRPr="00257DF7" w:rsidRDefault="008A1E55" w:rsidP="00E16CAE">
            <w:pPr>
              <w:jc w:val="right"/>
              <w:rPr>
                <w:sz w:val="19"/>
                <w:szCs w:val="19"/>
              </w:rPr>
            </w:pPr>
            <w:r w:rsidRPr="00257DF7">
              <w:rPr>
                <w:sz w:val="19"/>
                <w:szCs w:val="19"/>
              </w:rPr>
              <w:t>3.3</w:t>
            </w:r>
          </w:p>
        </w:tc>
        <w:tc>
          <w:tcPr>
            <w:tcW w:w="1101" w:type="dxa"/>
            <w:tcBorders>
              <w:top w:val="nil"/>
              <w:left w:val="nil"/>
              <w:bottom w:val="nil"/>
              <w:right w:val="nil"/>
            </w:tcBorders>
            <w:shd w:val="clear" w:color="auto" w:fill="auto"/>
            <w:noWrap/>
            <w:vAlign w:val="center"/>
            <w:hideMark/>
          </w:tcPr>
          <w:p w14:paraId="3D6319D0" w14:textId="77777777" w:rsidR="008A1E55" w:rsidRPr="00257DF7" w:rsidRDefault="008A1E55" w:rsidP="00E16CAE">
            <w:pPr>
              <w:jc w:val="right"/>
              <w:rPr>
                <w:sz w:val="19"/>
                <w:szCs w:val="19"/>
              </w:rPr>
            </w:pPr>
            <w:r w:rsidRPr="00257DF7">
              <w:rPr>
                <w:sz w:val="19"/>
                <w:szCs w:val="19"/>
              </w:rPr>
              <w:t>9,514</w:t>
            </w:r>
          </w:p>
        </w:tc>
        <w:tc>
          <w:tcPr>
            <w:tcW w:w="959" w:type="dxa"/>
            <w:tcBorders>
              <w:top w:val="nil"/>
              <w:left w:val="nil"/>
              <w:bottom w:val="nil"/>
              <w:right w:val="nil"/>
            </w:tcBorders>
            <w:shd w:val="clear" w:color="auto" w:fill="auto"/>
            <w:noWrap/>
            <w:vAlign w:val="center"/>
            <w:hideMark/>
          </w:tcPr>
          <w:p w14:paraId="1DE2026D" w14:textId="77777777" w:rsidR="008A1E55" w:rsidRPr="00257DF7" w:rsidRDefault="008A1E55" w:rsidP="00E16CAE">
            <w:pPr>
              <w:jc w:val="right"/>
              <w:rPr>
                <w:sz w:val="19"/>
                <w:szCs w:val="19"/>
              </w:rPr>
            </w:pPr>
            <w:r w:rsidRPr="00257DF7">
              <w:rPr>
                <w:sz w:val="19"/>
                <w:szCs w:val="19"/>
              </w:rPr>
              <w:t>5.3</w:t>
            </w:r>
          </w:p>
        </w:tc>
      </w:tr>
      <w:tr w:rsidR="006B42D6" w:rsidRPr="00257DF7" w14:paraId="63C4E4FC" w14:textId="77777777" w:rsidTr="00E16CAE">
        <w:trPr>
          <w:trHeight w:val="340"/>
        </w:trPr>
        <w:tc>
          <w:tcPr>
            <w:tcW w:w="3119" w:type="dxa"/>
            <w:tcBorders>
              <w:top w:val="nil"/>
              <w:left w:val="nil"/>
              <w:bottom w:val="nil"/>
              <w:right w:val="nil"/>
            </w:tcBorders>
            <w:shd w:val="clear" w:color="auto" w:fill="auto"/>
            <w:vAlign w:val="center"/>
            <w:hideMark/>
          </w:tcPr>
          <w:p w14:paraId="17ADF5BC" w14:textId="77777777" w:rsidR="008A1E55" w:rsidRPr="00257DF7" w:rsidRDefault="008A1E55" w:rsidP="00E16CAE">
            <w:pPr>
              <w:rPr>
                <w:sz w:val="19"/>
                <w:szCs w:val="19"/>
              </w:rPr>
            </w:pPr>
            <w:r w:rsidRPr="00257DF7">
              <w:rPr>
                <w:sz w:val="19"/>
                <w:szCs w:val="19"/>
              </w:rPr>
              <w:t>Pour flush toilet</w:t>
            </w:r>
          </w:p>
        </w:tc>
        <w:tc>
          <w:tcPr>
            <w:tcW w:w="1295" w:type="dxa"/>
            <w:tcBorders>
              <w:top w:val="nil"/>
              <w:left w:val="nil"/>
              <w:bottom w:val="nil"/>
              <w:right w:val="nil"/>
            </w:tcBorders>
            <w:shd w:val="clear" w:color="auto" w:fill="auto"/>
            <w:noWrap/>
            <w:vAlign w:val="center"/>
            <w:hideMark/>
          </w:tcPr>
          <w:p w14:paraId="07B8F6BC" w14:textId="77777777" w:rsidR="008A1E55" w:rsidRPr="00257DF7" w:rsidRDefault="008A1E55" w:rsidP="00E16CAE">
            <w:pPr>
              <w:jc w:val="right"/>
              <w:rPr>
                <w:sz w:val="19"/>
                <w:szCs w:val="19"/>
              </w:rPr>
            </w:pPr>
            <w:r w:rsidRPr="00257DF7">
              <w:rPr>
                <w:sz w:val="19"/>
                <w:szCs w:val="19"/>
              </w:rPr>
              <w:t>202,580</w:t>
            </w:r>
          </w:p>
        </w:tc>
        <w:tc>
          <w:tcPr>
            <w:tcW w:w="945" w:type="dxa"/>
            <w:tcBorders>
              <w:top w:val="nil"/>
              <w:left w:val="nil"/>
              <w:bottom w:val="nil"/>
              <w:right w:val="nil"/>
            </w:tcBorders>
            <w:shd w:val="clear" w:color="auto" w:fill="auto"/>
            <w:noWrap/>
            <w:vAlign w:val="center"/>
            <w:hideMark/>
          </w:tcPr>
          <w:p w14:paraId="5DDE2EB6" w14:textId="77777777" w:rsidR="008A1E55" w:rsidRPr="00257DF7" w:rsidRDefault="008A1E55" w:rsidP="00E16CAE">
            <w:pPr>
              <w:jc w:val="right"/>
              <w:rPr>
                <w:sz w:val="19"/>
                <w:szCs w:val="19"/>
              </w:rPr>
            </w:pPr>
            <w:r w:rsidRPr="00257DF7">
              <w:rPr>
                <w:sz w:val="19"/>
                <w:szCs w:val="19"/>
              </w:rPr>
              <w:t>2.6</w:t>
            </w:r>
          </w:p>
        </w:tc>
        <w:tc>
          <w:tcPr>
            <w:tcW w:w="1295" w:type="dxa"/>
            <w:tcBorders>
              <w:top w:val="nil"/>
              <w:left w:val="nil"/>
              <w:bottom w:val="nil"/>
              <w:right w:val="nil"/>
            </w:tcBorders>
            <w:shd w:val="clear" w:color="auto" w:fill="auto"/>
            <w:noWrap/>
            <w:vAlign w:val="center"/>
            <w:hideMark/>
          </w:tcPr>
          <w:p w14:paraId="2FB2E099" w14:textId="77777777" w:rsidR="008A1E55" w:rsidRPr="00257DF7" w:rsidRDefault="008A1E55" w:rsidP="00E16CAE">
            <w:pPr>
              <w:jc w:val="right"/>
              <w:rPr>
                <w:sz w:val="19"/>
                <w:szCs w:val="19"/>
              </w:rPr>
            </w:pPr>
            <w:r w:rsidRPr="00257DF7">
              <w:rPr>
                <w:sz w:val="19"/>
                <w:szCs w:val="19"/>
              </w:rPr>
              <w:t>189,666</w:t>
            </w:r>
          </w:p>
        </w:tc>
        <w:tc>
          <w:tcPr>
            <w:tcW w:w="945" w:type="dxa"/>
            <w:tcBorders>
              <w:top w:val="nil"/>
              <w:left w:val="nil"/>
              <w:bottom w:val="nil"/>
              <w:right w:val="nil"/>
            </w:tcBorders>
            <w:shd w:val="clear" w:color="auto" w:fill="auto"/>
            <w:noWrap/>
            <w:vAlign w:val="center"/>
            <w:hideMark/>
          </w:tcPr>
          <w:p w14:paraId="7C5F174F" w14:textId="77777777" w:rsidR="008A1E55" w:rsidRPr="00257DF7" w:rsidRDefault="008A1E55" w:rsidP="00E16CAE">
            <w:pPr>
              <w:jc w:val="right"/>
              <w:rPr>
                <w:sz w:val="19"/>
                <w:szCs w:val="19"/>
              </w:rPr>
            </w:pPr>
            <w:r w:rsidRPr="00257DF7">
              <w:rPr>
                <w:sz w:val="19"/>
                <w:szCs w:val="19"/>
              </w:rPr>
              <w:t>2.5</w:t>
            </w:r>
          </w:p>
        </w:tc>
        <w:tc>
          <w:tcPr>
            <w:tcW w:w="1101" w:type="dxa"/>
            <w:tcBorders>
              <w:top w:val="nil"/>
              <w:left w:val="nil"/>
              <w:bottom w:val="nil"/>
              <w:right w:val="nil"/>
            </w:tcBorders>
            <w:shd w:val="clear" w:color="auto" w:fill="auto"/>
            <w:noWrap/>
            <w:vAlign w:val="center"/>
            <w:hideMark/>
          </w:tcPr>
          <w:p w14:paraId="670E27B6" w14:textId="77777777" w:rsidR="008A1E55" w:rsidRPr="00257DF7" w:rsidRDefault="008A1E55" w:rsidP="00E16CAE">
            <w:pPr>
              <w:jc w:val="right"/>
              <w:rPr>
                <w:sz w:val="19"/>
                <w:szCs w:val="19"/>
              </w:rPr>
            </w:pPr>
            <w:r w:rsidRPr="00257DF7">
              <w:rPr>
                <w:sz w:val="19"/>
                <w:szCs w:val="19"/>
              </w:rPr>
              <w:t>12,914</w:t>
            </w:r>
          </w:p>
        </w:tc>
        <w:tc>
          <w:tcPr>
            <w:tcW w:w="959" w:type="dxa"/>
            <w:tcBorders>
              <w:top w:val="nil"/>
              <w:left w:val="nil"/>
              <w:bottom w:val="nil"/>
              <w:right w:val="nil"/>
            </w:tcBorders>
            <w:shd w:val="clear" w:color="auto" w:fill="auto"/>
            <w:noWrap/>
            <w:vAlign w:val="center"/>
            <w:hideMark/>
          </w:tcPr>
          <w:p w14:paraId="25164E41" w14:textId="77777777" w:rsidR="008A1E55" w:rsidRPr="00257DF7" w:rsidRDefault="008A1E55" w:rsidP="00E16CAE">
            <w:pPr>
              <w:jc w:val="right"/>
              <w:rPr>
                <w:sz w:val="19"/>
                <w:szCs w:val="19"/>
              </w:rPr>
            </w:pPr>
            <w:r w:rsidRPr="00257DF7">
              <w:rPr>
                <w:sz w:val="19"/>
                <w:szCs w:val="19"/>
              </w:rPr>
              <w:t>7.2</w:t>
            </w:r>
          </w:p>
        </w:tc>
      </w:tr>
      <w:tr w:rsidR="006B42D6" w:rsidRPr="00257DF7" w14:paraId="2D908B39" w14:textId="77777777" w:rsidTr="00E16CAE">
        <w:trPr>
          <w:trHeight w:val="340"/>
        </w:trPr>
        <w:tc>
          <w:tcPr>
            <w:tcW w:w="3119" w:type="dxa"/>
            <w:tcBorders>
              <w:top w:val="nil"/>
              <w:left w:val="nil"/>
              <w:bottom w:val="nil"/>
              <w:right w:val="nil"/>
            </w:tcBorders>
            <w:shd w:val="clear" w:color="auto" w:fill="auto"/>
            <w:vAlign w:val="center"/>
            <w:hideMark/>
          </w:tcPr>
          <w:p w14:paraId="13917B6E" w14:textId="77777777" w:rsidR="008A1E55" w:rsidRPr="00257DF7" w:rsidRDefault="008A1E55" w:rsidP="00E16CAE">
            <w:pPr>
              <w:rPr>
                <w:sz w:val="19"/>
                <w:szCs w:val="19"/>
              </w:rPr>
            </w:pPr>
            <w:r w:rsidRPr="00257DF7">
              <w:rPr>
                <w:sz w:val="19"/>
                <w:szCs w:val="19"/>
              </w:rPr>
              <w:t>Flash toilet with cistern</w:t>
            </w:r>
          </w:p>
        </w:tc>
        <w:tc>
          <w:tcPr>
            <w:tcW w:w="1295" w:type="dxa"/>
            <w:tcBorders>
              <w:top w:val="nil"/>
              <w:left w:val="nil"/>
              <w:bottom w:val="nil"/>
              <w:right w:val="nil"/>
            </w:tcBorders>
            <w:shd w:val="clear" w:color="auto" w:fill="auto"/>
            <w:noWrap/>
            <w:vAlign w:val="center"/>
            <w:hideMark/>
          </w:tcPr>
          <w:p w14:paraId="4F38E34E" w14:textId="77777777" w:rsidR="008A1E55" w:rsidRPr="00257DF7" w:rsidRDefault="008A1E55" w:rsidP="00E16CAE">
            <w:pPr>
              <w:jc w:val="right"/>
              <w:rPr>
                <w:sz w:val="19"/>
                <w:szCs w:val="19"/>
              </w:rPr>
            </w:pPr>
            <w:r w:rsidRPr="00257DF7">
              <w:rPr>
                <w:sz w:val="19"/>
                <w:szCs w:val="19"/>
              </w:rPr>
              <w:t>1,416,673</w:t>
            </w:r>
          </w:p>
        </w:tc>
        <w:tc>
          <w:tcPr>
            <w:tcW w:w="945" w:type="dxa"/>
            <w:tcBorders>
              <w:top w:val="nil"/>
              <w:left w:val="nil"/>
              <w:bottom w:val="nil"/>
              <w:right w:val="nil"/>
            </w:tcBorders>
            <w:shd w:val="clear" w:color="auto" w:fill="auto"/>
            <w:noWrap/>
            <w:vAlign w:val="center"/>
            <w:hideMark/>
          </w:tcPr>
          <w:p w14:paraId="547517F4" w14:textId="77777777" w:rsidR="008A1E55" w:rsidRPr="00257DF7" w:rsidRDefault="008A1E55" w:rsidP="00E16CAE">
            <w:pPr>
              <w:jc w:val="right"/>
              <w:rPr>
                <w:sz w:val="19"/>
                <w:szCs w:val="19"/>
              </w:rPr>
            </w:pPr>
            <w:r w:rsidRPr="00257DF7">
              <w:rPr>
                <w:sz w:val="19"/>
                <w:szCs w:val="19"/>
              </w:rPr>
              <w:t>18.1</w:t>
            </w:r>
          </w:p>
        </w:tc>
        <w:tc>
          <w:tcPr>
            <w:tcW w:w="1295" w:type="dxa"/>
            <w:tcBorders>
              <w:top w:val="nil"/>
              <w:left w:val="nil"/>
              <w:bottom w:val="nil"/>
              <w:right w:val="nil"/>
            </w:tcBorders>
            <w:shd w:val="clear" w:color="auto" w:fill="auto"/>
            <w:noWrap/>
            <w:vAlign w:val="center"/>
            <w:hideMark/>
          </w:tcPr>
          <w:p w14:paraId="2B24C5B5" w14:textId="77777777" w:rsidR="008A1E55" w:rsidRPr="00257DF7" w:rsidRDefault="008A1E55" w:rsidP="00E16CAE">
            <w:pPr>
              <w:jc w:val="right"/>
              <w:rPr>
                <w:sz w:val="19"/>
                <w:szCs w:val="19"/>
              </w:rPr>
            </w:pPr>
            <w:r w:rsidRPr="00257DF7">
              <w:rPr>
                <w:sz w:val="19"/>
                <w:szCs w:val="19"/>
              </w:rPr>
              <w:t>1,352,053</w:t>
            </w:r>
          </w:p>
        </w:tc>
        <w:tc>
          <w:tcPr>
            <w:tcW w:w="945" w:type="dxa"/>
            <w:tcBorders>
              <w:top w:val="nil"/>
              <w:left w:val="nil"/>
              <w:bottom w:val="nil"/>
              <w:right w:val="nil"/>
            </w:tcBorders>
            <w:shd w:val="clear" w:color="auto" w:fill="auto"/>
            <w:noWrap/>
            <w:vAlign w:val="center"/>
            <w:hideMark/>
          </w:tcPr>
          <w:p w14:paraId="3CC170F8" w14:textId="77777777" w:rsidR="008A1E55" w:rsidRPr="00257DF7" w:rsidRDefault="008A1E55" w:rsidP="00E16CAE">
            <w:pPr>
              <w:jc w:val="right"/>
              <w:rPr>
                <w:sz w:val="19"/>
                <w:szCs w:val="19"/>
              </w:rPr>
            </w:pPr>
            <w:r w:rsidRPr="00257DF7">
              <w:rPr>
                <w:sz w:val="19"/>
                <w:szCs w:val="19"/>
              </w:rPr>
              <w:t>17.7</w:t>
            </w:r>
          </w:p>
        </w:tc>
        <w:tc>
          <w:tcPr>
            <w:tcW w:w="1101" w:type="dxa"/>
            <w:tcBorders>
              <w:top w:val="nil"/>
              <w:left w:val="nil"/>
              <w:bottom w:val="nil"/>
              <w:right w:val="nil"/>
            </w:tcBorders>
            <w:shd w:val="clear" w:color="auto" w:fill="auto"/>
            <w:noWrap/>
            <w:vAlign w:val="center"/>
            <w:hideMark/>
          </w:tcPr>
          <w:p w14:paraId="6417A71E" w14:textId="77777777" w:rsidR="008A1E55" w:rsidRPr="00257DF7" w:rsidRDefault="008A1E55" w:rsidP="00E16CAE">
            <w:pPr>
              <w:jc w:val="right"/>
              <w:rPr>
                <w:sz w:val="19"/>
                <w:szCs w:val="19"/>
              </w:rPr>
            </w:pPr>
            <w:r w:rsidRPr="00257DF7">
              <w:rPr>
                <w:sz w:val="19"/>
                <w:szCs w:val="19"/>
              </w:rPr>
              <w:t>64,620</w:t>
            </w:r>
          </w:p>
        </w:tc>
        <w:tc>
          <w:tcPr>
            <w:tcW w:w="959" w:type="dxa"/>
            <w:tcBorders>
              <w:top w:val="nil"/>
              <w:left w:val="nil"/>
              <w:bottom w:val="nil"/>
              <w:right w:val="nil"/>
            </w:tcBorders>
            <w:shd w:val="clear" w:color="auto" w:fill="auto"/>
            <w:noWrap/>
            <w:vAlign w:val="center"/>
            <w:hideMark/>
          </w:tcPr>
          <w:p w14:paraId="7A731F9C" w14:textId="77777777" w:rsidR="008A1E55" w:rsidRPr="00257DF7" w:rsidRDefault="008A1E55" w:rsidP="00E16CAE">
            <w:pPr>
              <w:jc w:val="right"/>
              <w:rPr>
                <w:sz w:val="19"/>
                <w:szCs w:val="19"/>
              </w:rPr>
            </w:pPr>
            <w:r w:rsidRPr="00257DF7">
              <w:rPr>
                <w:sz w:val="19"/>
                <w:szCs w:val="19"/>
              </w:rPr>
              <w:t>35.9</w:t>
            </w:r>
          </w:p>
        </w:tc>
      </w:tr>
      <w:tr w:rsidR="006B42D6" w:rsidRPr="00257DF7" w14:paraId="6E29448C" w14:textId="77777777" w:rsidTr="00E16CAE">
        <w:trPr>
          <w:trHeight w:val="340"/>
        </w:trPr>
        <w:tc>
          <w:tcPr>
            <w:tcW w:w="3119" w:type="dxa"/>
            <w:tcBorders>
              <w:top w:val="nil"/>
              <w:left w:val="nil"/>
              <w:bottom w:val="nil"/>
              <w:right w:val="nil"/>
            </w:tcBorders>
            <w:shd w:val="clear" w:color="auto" w:fill="auto"/>
            <w:vAlign w:val="center"/>
            <w:hideMark/>
          </w:tcPr>
          <w:p w14:paraId="1D39E4BF" w14:textId="77777777" w:rsidR="008A1E55" w:rsidRPr="00257DF7" w:rsidRDefault="008A1E55" w:rsidP="00E16CAE">
            <w:pPr>
              <w:rPr>
                <w:sz w:val="19"/>
                <w:szCs w:val="19"/>
              </w:rPr>
            </w:pPr>
            <w:r w:rsidRPr="00257DF7">
              <w:rPr>
                <w:sz w:val="19"/>
                <w:szCs w:val="19"/>
              </w:rPr>
              <w:t>Composting toilet/ECOSAN latrine</w:t>
            </w:r>
          </w:p>
        </w:tc>
        <w:tc>
          <w:tcPr>
            <w:tcW w:w="1295" w:type="dxa"/>
            <w:tcBorders>
              <w:top w:val="nil"/>
              <w:left w:val="nil"/>
              <w:bottom w:val="nil"/>
              <w:right w:val="nil"/>
            </w:tcBorders>
            <w:shd w:val="clear" w:color="auto" w:fill="auto"/>
            <w:noWrap/>
            <w:vAlign w:val="center"/>
            <w:hideMark/>
          </w:tcPr>
          <w:p w14:paraId="51094176" w14:textId="77777777" w:rsidR="008A1E55" w:rsidRPr="00257DF7" w:rsidRDefault="008A1E55" w:rsidP="00E16CAE">
            <w:pPr>
              <w:jc w:val="right"/>
              <w:rPr>
                <w:sz w:val="19"/>
                <w:szCs w:val="19"/>
              </w:rPr>
            </w:pPr>
            <w:r w:rsidRPr="00257DF7">
              <w:rPr>
                <w:sz w:val="19"/>
                <w:szCs w:val="19"/>
              </w:rPr>
              <w:t>31,497</w:t>
            </w:r>
          </w:p>
        </w:tc>
        <w:tc>
          <w:tcPr>
            <w:tcW w:w="945" w:type="dxa"/>
            <w:tcBorders>
              <w:top w:val="nil"/>
              <w:left w:val="nil"/>
              <w:bottom w:val="nil"/>
              <w:right w:val="nil"/>
            </w:tcBorders>
            <w:shd w:val="clear" w:color="auto" w:fill="auto"/>
            <w:noWrap/>
            <w:vAlign w:val="center"/>
            <w:hideMark/>
          </w:tcPr>
          <w:p w14:paraId="6B21300B" w14:textId="77777777" w:rsidR="008A1E55" w:rsidRPr="00257DF7" w:rsidRDefault="008A1E55" w:rsidP="00E16CAE">
            <w:pPr>
              <w:jc w:val="right"/>
              <w:rPr>
                <w:sz w:val="19"/>
                <w:szCs w:val="19"/>
              </w:rPr>
            </w:pPr>
            <w:r w:rsidRPr="00257DF7">
              <w:rPr>
                <w:sz w:val="19"/>
                <w:szCs w:val="19"/>
              </w:rPr>
              <w:t>0.4</w:t>
            </w:r>
          </w:p>
        </w:tc>
        <w:tc>
          <w:tcPr>
            <w:tcW w:w="1295" w:type="dxa"/>
            <w:tcBorders>
              <w:top w:val="nil"/>
              <w:left w:val="nil"/>
              <w:bottom w:val="nil"/>
              <w:right w:val="nil"/>
            </w:tcBorders>
            <w:shd w:val="clear" w:color="auto" w:fill="auto"/>
            <w:noWrap/>
            <w:vAlign w:val="center"/>
            <w:hideMark/>
          </w:tcPr>
          <w:p w14:paraId="733D1093" w14:textId="77777777" w:rsidR="008A1E55" w:rsidRPr="00257DF7" w:rsidRDefault="008A1E55" w:rsidP="00E16CAE">
            <w:pPr>
              <w:jc w:val="right"/>
              <w:rPr>
                <w:sz w:val="19"/>
                <w:szCs w:val="19"/>
              </w:rPr>
            </w:pPr>
            <w:r w:rsidRPr="00257DF7">
              <w:rPr>
                <w:sz w:val="19"/>
                <w:szCs w:val="19"/>
              </w:rPr>
              <w:t>31,157</w:t>
            </w:r>
          </w:p>
        </w:tc>
        <w:tc>
          <w:tcPr>
            <w:tcW w:w="945" w:type="dxa"/>
            <w:tcBorders>
              <w:top w:val="nil"/>
              <w:left w:val="nil"/>
              <w:bottom w:val="nil"/>
              <w:right w:val="nil"/>
            </w:tcBorders>
            <w:shd w:val="clear" w:color="auto" w:fill="auto"/>
            <w:noWrap/>
            <w:vAlign w:val="center"/>
            <w:hideMark/>
          </w:tcPr>
          <w:p w14:paraId="08B1DDE7" w14:textId="77777777" w:rsidR="008A1E55" w:rsidRPr="00257DF7" w:rsidRDefault="008A1E55" w:rsidP="00E16CAE">
            <w:pPr>
              <w:jc w:val="right"/>
              <w:rPr>
                <w:sz w:val="19"/>
                <w:szCs w:val="19"/>
              </w:rPr>
            </w:pPr>
            <w:r w:rsidRPr="00257DF7">
              <w:rPr>
                <w:sz w:val="19"/>
                <w:szCs w:val="19"/>
              </w:rPr>
              <w:t>0.4</w:t>
            </w:r>
          </w:p>
        </w:tc>
        <w:tc>
          <w:tcPr>
            <w:tcW w:w="1101" w:type="dxa"/>
            <w:tcBorders>
              <w:top w:val="nil"/>
              <w:left w:val="nil"/>
              <w:bottom w:val="nil"/>
              <w:right w:val="nil"/>
            </w:tcBorders>
            <w:shd w:val="clear" w:color="auto" w:fill="auto"/>
            <w:noWrap/>
            <w:vAlign w:val="center"/>
            <w:hideMark/>
          </w:tcPr>
          <w:p w14:paraId="2A9A9C32" w14:textId="77777777" w:rsidR="008A1E55" w:rsidRPr="00257DF7" w:rsidRDefault="008A1E55" w:rsidP="00E16CAE">
            <w:pPr>
              <w:jc w:val="right"/>
              <w:rPr>
                <w:sz w:val="19"/>
                <w:szCs w:val="19"/>
              </w:rPr>
            </w:pPr>
            <w:r w:rsidRPr="00257DF7">
              <w:rPr>
                <w:sz w:val="19"/>
                <w:szCs w:val="19"/>
              </w:rPr>
              <w:t>340</w:t>
            </w:r>
          </w:p>
        </w:tc>
        <w:tc>
          <w:tcPr>
            <w:tcW w:w="959" w:type="dxa"/>
            <w:tcBorders>
              <w:top w:val="nil"/>
              <w:left w:val="nil"/>
              <w:bottom w:val="nil"/>
              <w:right w:val="nil"/>
            </w:tcBorders>
            <w:shd w:val="clear" w:color="auto" w:fill="auto"/>
            <w:noWrap/>
            <w:vAlign w:val="center"/>
            <w:hideMark/>
          </w:tcPr>
          <w:p w14:paraId="0866E343" w14:textId="77777777" w:rsidR="008A1E55" w:rsidRPr="00257DF7" w:rsidRDefault="008A1E55" w:rsidP="00E16CAE">
            <w:pPr>
              <w:jc w:val="right"/>
              <w:rPr>
                <w:sz w:val="19"/>
                <w:szCs w:val="19"/>
              </w:rPr>
            </w:pPr>
            <w:r w:rsidRPr="00257DF7">
              <w:rPr>
                <w:sz w:val="19"/>
                <w:szCs w:val="19"/>
              </w:rPr>
              <w:t>0.2</w:t>
            </w:r>
          </w:p>
        </w:tc>
      </w:tr>
      <w:tr w:rsidR="006B42D6" w:rsidRPr="00257DF7" w14:paraId="2265B548" w14:textId="77777777" w:rsidTr="00E16CAE">
        <w:trPr>
          <w:trHeight w:val="340"/>
        </w:trPr>
        <w:tc>
          <w:tcPr>
            <w:tcW w:w="3119" w:type="dxa"/>
            <w:tcBorders>
              <w:top w:val="nil"/>
              <w:left w:val="nil"/>
              <w:bottom w:val="nil"/>
              <w:right w:val="nil"/>
            </w:tcBorders>
            <w:shd w:val="clear" w:color="auto" w:fill="auto"/>
            <w:vAlign w:val="center"/>
            <w:hideMark/>
          </w:tcPr>
          <w:p w14:paraId="4037AC71" w14:textId="77777777" w:rsidR="008A1E55" w:rsidRPr="00257DF7" w:rsidRDefault="008A1E55" w:rsidP="00E16CAE">
            <w:pPr>
              <w:rPr>
                <w:sz w:val="19"/>
                <w:szCs w:val="19"/>
              </w:rPr>
            </w:pPr>
            <w:r w:rsidRPr="00257DF7">
              <w:rPr>
                <w:sz w:val="19"/>
                <w:szCs w:val="19"/>
              </w:rPr>
              <w:t>Other type</w:t>
            </w:r>
          </w:p>
        </w:tc>
        <w:tc>
          <w:tcPr>
            <w:tcW w:w="1295" w:type="dxa"/>
            <w:tcBorders>
              <w:top w:val="nil"/>
              <w:left w:val="nil"/>
              <w:bottom w:val="nil"/>
              <w:right w:val="nil"/>
            </w:tcBorders>
            <w:shd w:val="clear" w:color="auto" w:fill="auto"/>
            <w:noWrap/>
            <w:vAlign w:val="center"/>
            <w:hideMark/>
          </w:tcPr>
          <w:p w14:paraId="32DF2F03" w14:textId="77777777" w:rsidR="008A1E55" w:rsidRPr="00257DF7" w:rsidRDefault="008A1E55" w:rsidP="00E16CAE">
            <w:pPr>
              <w:jc w:val="right"/>
              <w:rPr>
                <w:sz w:val="19"/>
                <w:szCs w:val="19"/>
              </w:rPr>
            </w:pPr>
            <w:r w:rsidRPr="00257DF7">
              <w:rPr>
                <w:sz w:val="19"/>
                <w:szCs w:val="19"/>
              </w:rPr>
              <w:t>25,224</w:t>
            </w:r>
          </w:p>
        </w:tc>
        <w:tc>
          <w:tcPr>
            <w:tcW w:w="945" w:type="dxa"/>
            <w:tcBorders>
              <w:top w:val="nil"/>
              <w:left w:val="nil"/>
              <w:bottom w:val="nil"/>
              <w:right w:val="nil"/>
            </w:tcBorders>
            <w:shd w:val="clear" w:color="auto" w:fill="auto"/>
            <w:noWrap/>
            <w:vAlign w:val="center"/>
            <w:hideMark/>
          </w:tcPr>
          <w:p w14:paraId="371B5644" w14:textId="77777777" w:rsidR="008A1E55" w:rsidRPr="00257DF7" w:rsidRDefault="008A1E55" w:rsidP="00E16CAE">
            <w:pPr>
              <w:jc w:val="right"/>
              <w:rPr>
                <w:sz w:val="19"/>
                <w:szCs w:val="19"/>
              </w:rPr>
            </w:pPr>
            <w:r w:rsidRPr="00257DF7">
              <w:rPr>
                <w:sz w:val="19"/>
                <w:szCs w:val="19"/>
              </w:rPr>
              <w:t>0.3</w:t>
            </w:r>
          </w:p>
        </w:tc>
        <w:tc>
          <w:tcPr>
            <w:tcW w:w="1295" w:type="dxa"/>
            <w:tcBorders>
              <w:top w:val="nil"/>
              <w:left w:val="nil"/>
              <w:bottom w:val="nil"/>
              <w:right w:val="nil"/>
            </w:tcBorders>
            <w:shd w:val="clear" w:color="auto" w:fill="auto"/>
            <w:noWrap/>
            <w:vAlign w:val="center"/>
            <w:hideMark/>
          </w:tcPr>
          <w:p w14:paraId="2EC92FD1" w14:textId="77777777" w:rsidR="008A1E55" w:rsidRPr="00257DF7" w:rsidRDefault="008A1E55" w:rsidP="00E16CAE">
            <w:pPr>
              <w:jc w:val="right"/>
              <w:rPr>
                <w:sz w:val="19"/>
                <w:szCs w:val="19"/>
              </w:rPr>
            </w:pPr>
            <w:r w:rsidRPr="00257DF7">
              <w:rPr>
                <w:sz w:val="19"/>
                <w:szCs w:val="19"/>
              </w:rPr>
              <w:t>24,596</w:t>
            </w:r>
          </w:p>
        </w:tc>
        <w:tc>
          <w:tcPr>
            <w:tcW w:w="945" w:type="dxa"/>
            <w:tcBorders>
              <w:top w:val="nil"/>
              <w:left w:val="nil"/>
              <w:bottom w:val="nil"/>
              <w:right w:val="nil"/>
            </w:tcBorders>
            <w:shd w:val="clear" w:color="auto" w:fill="auto"/>
            <w:noWrap/>
            <w:vAlign w:val="center"/>
            <w:hideMark/>
          </w:tcPr>
          <w:p w14:paraId="773C38D8" w14:textId="77777777" w:rsidR="008A1E55" w:rsidRPr="00257DF7" w:rsidRDefault="008A1E55" w:rsidP="00E16CAE">
            <w:pPr>
              <w:jc w:val="right"/>
              <w:rPr>
                <w:sz w:val="19"/>
                <w:szCs w:val="19"/>
              </w:rPr>
            </w:pPr>
            <w:r w:rsidRPr="00257DF7">
              <w:rPr>
                <w:sz w:val="19"/>
                <w:szCs w:val="19"/>
              </w:rPr>
              <w:t>0.3</w:t>
            </w:r>
          </w:p>
        </w:tc>
        <w:tc>
          <w:tcPr>
            <w:tcW w:w="1101" w:type="dxa"/>
            <w:tcBorders>
              <w:top w:val="nil"/>
              <w:left w:val="nil"/>
              <w:bottom w:val="nil"/>
              <w:right w:val="nil"/>
            </w:tcBorders>
            <w:shd w:val="clear" w:color="auto" w:fill="auto"/>
            <w:noWrap/>
            <w:vAlign w:val="center"/>
            <w:hideMark/>
          </w:tcPr>
          <w:p w14:paraId="5C5DA117" w14:textId="77777777" w:rsidR="008A1E55" w:rsidRPr="00257DF7" w:rsidRDefault="008A1E55" w:rsidP="00E16CAE">
            <w:pPr>
              <w:jc w:val="right"/>
              <w:rPr>
                <w:sz w:val="19"/>
                <w:szCs w:val="19"/>
              </w:rPr>
            </w:pPr>
            <w:r w:rsidRPr="00257DF7">
              <w:rPr>
                <w:sz w:val="19"/>
                <w:szCs w:val="19"/>
              </w:rPr>
              <w:t>628</w:t>
            </w:r>
          </w:p>
        </w:tc>
        <w:tc>
          <w:tcPr>
            <w:tcW w:w="959" w:type="dxa"/>
            <w:tcBorders>
              <w:top w:val="nil"/>
              <w:left w:val="nil"/>
              <w:bottom w:val="nil"/>
              <w:right w:val="nil"/>
            </w:tcBorders>
            <w:shd w:val="clear" w:color="auto" w:fill="auto"/>
            <w:noWrap/>
            <w:vAlign w:val="center"/>
            <w:hideMark/>
          </w:tcPr>
          <w:p w14:paraId="0EF9DB7B" w14:textId="77777777" w:rsidR="008A1E55" w:rsidRPr="00257DF7" w:rsidRDefault="008A1E55" w:rsidP="00E16CAE">
            <w:pPr>
              <w:jc w:val="right"/>
              <w:rPr>
                <w:sz w:val="19"/>
                <w:szCs w:val="19"/>
              </w:rPr>
            </w:pPr>
            <w:r w:rsidRPr="00257DF7">
              <w:rPr>
                <w:sz w:val="19"/>
                <w:szCs w:val="19"/>
              </w:rPr>
              <w:t>0.3</w:t>
            </w:r>
          </w:p>
        </w:tc>
      </w:tr>
      <w:tr w:rsidR="008A1E55" w:rsidRPr="00143C67" w14:paraId="27B02618" w14:textId="77777777" w:rsidTr="00257DF7">
        <w:trPr>
          <w:trHeight w:val="340"/>
        </w:trPr>
        <w:tc>
          <w:tcPr>
            <w:tcW w:w="3119" w:type="dxa"/>
            <w:tcBorders>
              <w:top w:val="single" w:sz="4" w:space="0" w:color="auto"/>
              <w:left w:val="nil"/>
              <w:bottom w:val="single" w:sz="4" w:space="0" w:color="auto"/>
              <w:right w:val="nil"/>
            </w:tcBorders>
            <w:shd w:val="clear" w:color="auto" w:fill="E2EFD9" w:themeFill="accent6" w:themeFillTint="33"/>
            <w:vAlign w:val="center"/>
            <w:hideMark/>
          </w:tcPr>
          <w:p w14:paraId="32E85C74" w14:textId="77777777" w:rsidR="008A1E55" w:rsidRPr="00143C67" w:rsidRDefault="008A1E55" w:rsidP="00E16CAE">
            <w:pPr>
              <w:rPr>
                <w:b/>
                <w:sz w:val="19"/>
                <w:szCs w:val="19"/>
              </w:rPr>
            </w:pPr>
            <w:r w:rsidRPr="00143C67">
              <w:rPr>
                <w:b/>
                <w:sz w:val="19"/>
                <w:szCs w:val="19"/>
              </w:rPr>
              <w:t>Total</w:t>
            </w:r>
          </w:p>
        </w:tc>
        <w:tc>
          <w:tcPr>
            <w:tcW w:w="1295" w:type="dxa"/>
            <w:tcBorders>
              <w:top w:val="single" w:sz="4" w:space="0" w:color="auto"/>
              <w:left w:val="nil"/>
              <w:bottom w:val="single" w:sz="4" w:space="0" w:color="auto"/>
              <w:right w:val="nil"/>
            </w:tcBorders>
            <w:shd w:val="clear" w:color="auto" w:fill="E2EFD9" w:themeFill="accent6" w:themeFillTint="33"/>
            <w:noWrap/>
            <w:vAlign w:val="center"/>
            <w:hideMark/>
          </w:tcPr>
          <w:p w14:paraId="172FAB0E" w14:textId="77777777" w:rsidR="008A1E55" w:rsidRPr="00143C67" w:rsidRDefault="008A1E55" w:rsidP="00E16CAE">
            <w:pPr>
              <w:jc w:val="right"/>
              <w:rPr>
                <w:b/>
                <w:sz w:val="19"/>
                <w:szCs w:val="19"/>
              </w:rPr>
            </w:pPr>
            <w:r w:rsidRPr="00143C67">
              <w:rPr>
                <w:b/>
                <w:sz w:val="19"/>
                <w:szCs w:val="19"/>
              </w:rPr>
              <w:t>7,837,405</w:t>
            </w:r>
          </w:p>
        </w:tc>
        <w:tc>
          <w:tcPr>
            <w:tcW w:w="945" w:type="dxa"/>
            <w:tcBorders>
              <w:top w:val="single" w:sz="4" w:space="0" w:color="auto"/>
              <w:left w:val="nil"/>
              <w:bottom w:val="single" w:sz="4" w:space="0" w:color="auto"/>
              <w:right w:val="nil"/>
            </w:tcBorders>
            <w:shd w:val="clear" w:color="auto" w:fill="E2EFD9" w:themeFill="accent6" w:themeFillTint="33"/>
            <w:noWrap/>
            <w:vAlign w:val="center"/>
            <w:hideMark/>
          </w:tcPr>
          <w:p w14:paraId="1AC1F48E" w14:textId="77777777" w:rsidR="008A1E55" w:rsidRPr="00143C67" w:rsidRDefault="008A1E55" w:rsidP="00E16CAE">
            <w:pPr>
              <w:jc w:val="right"/>
              <w:rPr>
                <w:b/>
                <w:sz w:val="19"/>
                <w:szCs w:val="19"/>
              </w:rPr>
            </w:pPr>
            <w:r w:rsidRPr="00143C67">
              <w:rPr>
                <w:b/>
                <w:sz w:val="19"/>
                <w:szCs w:val="19"/>
              </w:rPr>
              <w:t>100.0</w:t>
            </w:r>
          </w:p>
        </w:tc>
        <w:tc>
          <w:tcPr>
            <w:tcW w:w="1295" w:type="dxa"/>
            <w:tcBorders>
              <w:top w:val="single" w:sz="4" w:space="0" w:color="auto"/>
              <w:left w:val="nil"/>
              <w:bottom w:val="single" w:sz="4" w:space="0" w:color="auto"/>
              <w:right w:val="nil"/>
            </w:tcBorders>
            <w:shd w:val="clear" w:color="auto" w:fill="E2EFD9" w:themeFill="accent6" w:themeFillTint="33"/>
            <w:noWrap/>
            <w:vAlign w:val="center"/>
            <w:hideMark/>
          </w:tcPr>
          <w:p w14:paraId="1DCFB578" w14:textId="77777777" w:rsidR="008A1E55" w:rsidRPr="00143C67" w:rsidRDefault="008A1E55" w:rsidP="00E16CAE">
            <w:pPr>
              <w:jc w:val="right"/>
              <w:rPr>
                <w:b/>
                <w:sz w:val="19"/>
                <w:szCs w:val="19"/>
              </w:rPr>
            </w:pPr>
            <w:r w:rsidRPr="00143C67">
              <w:rPr>
                <w:b/>
                <w:sz w:val="19"/>
                <w:szCs w:val="19"/>
              </w:rPr>
              <w:t>7,657,185</w:t>
            </w:r>
          </w:p>
        </w:tc>
        <w:tc>
          <w:tcPr>
            <w:tcW w:w="945" w:type="dxa"/>
            <w:tcBorders>
              <w:top w:val="single" w:sz="4" w:space="0" w:color="auto"/>
              <w:left w:val="nil"/>
              <w:bottom w:val="single" w:sz="4" w:space="0" w:color="auto"/>
              <w:right w:val="nil"/>
            </w:tcBorders>
            <w:shd w:val="clear" w:color="auto" w:fill="E2EFD9" w:themeFill="accent6" w:themeFillTint="33"/>
            <w:noWrap/>
            <w:vAlign w:val="center"/>
            <w:hideMark/>
          </w:tcPr>
          <w:p w14:paraId="447173D1" w14:textId="77777777" w:rsidR="008A1E55" w:rsidRPr="00143C67" w:rsidRDefault="008A1E55" w:rsidP="00E16CAE">
            <w:pPr>
              <w:jc w:val="right"/>
              <w:rPr>
                <w:b/>
                <w:sz w:val="19"/>
                <w:szCs w:val="19"/>
              </w:rPr>
            </w:pPr>
            <w:r w:rsidRPr="00143C67">
              <w:rPr>
                <w:b/>
                <w:sz w:val="19"/>
                <w:szCs w:val="19"/>
              </w:rPr>
              <w:t>100.0</w:t>
            </w:r>
          </w:p>
        </w:tc>
        <w:tc>
          <w:tcPr>
            <w:tcW w:w="1101" w:type="dxa"/>
            <w:tcBorders>
              <w:top w:val="single" w:sz="4" w:space="0" w:color="auto"/>
              <w:left w:val="nil"/>
              <w:bottom w:val="single" w:sz="4" w:space="0" w:color="auto"/>
              <w:right w:val="nil"/>
            </w:tcBorders>
            <w:shd w:val="clear" w:color="auto" w:fill="E2EFD9" w:themeFill="accent6" w:themeFillTint="33"/>
            <w:noWrap/>
            <w:vAlign w:val="center"/>
            <w:hideMark/>
          </w:tcPr>
          <w:p w14:paraId="4F74EDBE" w14:textId="77777777" w:rsidR="008A1E55" w:rsidRPr="00143C67" w:rsidRDefault="008A1E55" w:rsidP="00E16CAE">
            <w:pPr>
              <w:jc w:val="right"/>
              <w:rPr>
                <w:b/>
                <w:sz w:val="19"/>
                <w:szCs w:val="19"/>
              </w:rPr>
            </w:pPr>
            <w:r w:rsidRPr="00143C67">
              <w:rPr>
                <w:b/>
                <w:sz w:val="19"/>
                <w:szCs w:val="19"/>
              </w:rPr>
              <w:t>180,220</w:t>
            </w:r>
          </w:p>
        </w:tc>
        <w:tc>
          <w:tcPr>
            <w:tcW w:w="959" w:type="dxa"/>
            <w:tcBorders>
              <w:top w:val="single" w:sz="4" w:space="0" w:color="auto"/>
              <w:left w:val="nil"/>
              <w:bottom w:val="single" w:sz="4" w:space="0" w:color="auto"/>
              <w:right w:val="nil"/>
            </w:tcBorders>
            <w:shd w:val="clear" w:color="auto" w:fill="E2EFD9" w:themeFill="accent6" w:themeFillTint="33"/>
            <w:noWrap/>
            <w:vAlign w:val="center"/>
            <w:hideMark/>
          </w:tcPr>
          <w:p w14:paraId="53D1838A" w14:textId="77777777" w:rsidR="008A1E55" w:rsidRPr="00143C67" w:rsidRDefault="008A1E55" w:rsidP="00E16CAE">
            <w:pPr>
              <w:jc w:val="right"/>
              <w:rPr>
                <w:b/>
                <w:sz w:val="19"/>
                <w:szCs w:val="19"/>
              </w:rPr>
            </w:pPr>
            <w:r w:rsidRPr="00143C67">
              <w:rPr>
                <w:b/>
                <w:sz w:val="19"/>
                <w:szCs w:val="19"/>
              </w:rPr>
              <w:t>100.0</w:t>
            </w:r>
          </w:p>
        </w:tc>
      </w:tr>
    </w:tbl>
    <w:p w14:paraId="2BB21BD8" w14:textId="77777777" w:rsidR="008A1E55" w:rsidRPr="006B42D6" w:rsidRDefault="008A1E55" w:rsidP="008A1E55"/>
    <w:p w14:paraId="6AE2FEFD" w14:textId="598AAFF5" w:rsidR="008A1E55" w:rsidRPr="006B42D6" w:rsidRDefault="008A1E55" w:rsidP="008A1E55">
      <w:r w:rsidRPr="006B42D6">
        <w:t xml:space="preserve">In </w:t>
      </w:r>
      <w:r w:rsidR="00EA1552">
        <w:t>Mainland Tanzania</w:t>
      </w:r>
      <w:r w:rsidRPr="006B42D6">
        <w:t>, most of households reported to use pit latrine without slab/open pit (3,954,214; 51.6 percent), followed by those used flush toilet with cistern (1,352,053; 17.7 percent) and pit latrine with slab/not washable (714,549; 9.3 percent) while 7.0 percent had no toilet facility. Moreover, from a total of 3,954,214 households using pit latrine without slab/open pit in Mainland, Kagera region was leading (325,426; 8.2 percent), followed by Dodoma (283,011; 7.2 percent) and Kigoma (275,637; 7.0 percent). Dar es Salaam region had the least number of households (26,571; 0.7 percent)</w:t>
      </w:r>
      <w:r w:rsidR="00011DD0">
        <w:t xml:space="preserve"> </w:t>
      </w:r>
      <w:r w:rsidR="00011DD0" w:rsidRPr="006B42D6">
        <w:t>using pit latrine without slab/open pit</w:t>
      </w:r>
      <w:r w:rsidRPr="006B42D6">
        <w:t xml:space="preserve"> (Table </w:t>
      </w:r>
      <w:r w:rsidR="006C1D68" w:rsidRPr="006B42D6">
        <w:t>6</w:t>
      </w:r>
      <w:r w:rsidRPr="006B42D6">
        <w:t xml:space="preserve">.7 &amp; </w:t>
      </w:r>
      <w:r w:rsidR="006C1D68" w:rsidRPr="006B42D6">
        <w:t>6</w:t>
      </w:r>
      <w:r w:rsidRPr="006B42D6">
        <w:t xml:space="preserve">.8). </w:t>
      </w:r>
    </w:p>
    <w:p w14:paraId="215D21BA" w14:textId="77777777" w:rsidR="008A1E55" w:rsidRPr="006B42D6" w:rsidRDefault="008A1E55" w:rsidP="007A3EC9">
      <w:pPr>
        <w:spacing w:line="240" w:lineRule="auto"/>
      </w:pPr>
    </w:p>
    <w:p w14:paraId="0CE3B31E" w14:textId="388D23B2" w:rsidR="008A1E55" w:rsidRPr="006B42D6" w:rsidRDefault="008A1E55" w:rsidP="008A1E55">
      <w:r w:rsidRPr="006B42D6">
        <w:t xml:space="preserve">In Tanzania Zanzibar, majority of households used flush toilet with cistern (64,620; 35.9 percent), followed by those used pit latrine with slab/washable (29,297; 16.3 percent), while 32,944 households (18.3 percent) reported to have no toilets facilities. Mjini Magharibi region had the largest number of households (21,076; 32.6 percent) reported to use flush toilet with cistern, followed by Kaskazini Pemba (15,413; 23.9) while Kusini Unguja had a least number of agricultural households (4,815; 7.5 percent) (Table </w:t>
      </w:r>
      <w:r w:rsidR="006C1D68" w:rsidRPr="006B42D6">
        <w:t>6</w:t>
      </w:r>
      <w:r w:rsidRPr="006B42D6">
        <w:t xml:space="preserve">.7 &amp; </w:t>
      </w:r>
      <w:r w:rsidR="006C1D68" w:rsidRPr="006B42D6">
        <w:t>6</w:t>
      </w:r>
      <w:r w:rsidRPr="006B42D6">
        <w:t>.8).</w:t>
      </w:r>
    </w:p>
    <w:p w14:paraId="165B3182" w14:textId="77777777" w:rsidR="008A1E55" w:rsidRPr="006B42D6" w:rsidRDefault="008A1E55" w:rsidP="008A1E55"/>
    <w:p w14:paraId="43871720" w14:textId="77777777" w:rsidR="008A1E55" w:rsidRPr="006B42D6" w:rsidRDefault="008A1E55" w:rsidP="008A1E55"/>
    <w:p w14:paraId="308F0ABB" w14:textId="77777777" w:rsidR="008A1E55" w:rsidRPr="006B42D6" w:rsidRDefault="008A1E55" w:rsidP="008A1E55"/>
    <w:p w14:paraId="7A9B752E" w14:textId="77777777" w:rsidR="008A1E55" w:rsidRPr="006B42D6" w:rsidRDefault="008A1E55" w:rsidP="008A1E55"/>
    <w:p w14:paraId="38EB7054" w14:textId="77777777" w:rsidR="008A1E55" w:rsidRPr="006B42D6" w:rsidRDefault="008A1E55" w:rsidP="008A1E55">
      <w:pPr>
        <w:rPr>
          <w:b/>
          <w:sz w:val="20"/>
          <w:szCs w:val="20"/>
        </w:rPr>
      </w:pPr>
    </w:p>
    <w:p w14:paraId="3BDA3A75" w14:textId="77777777" w:rsidR="00EA010E" w:rsidRPr="006B42D6" w:rsidRDefault="00EA010E">
      <w:pPr>
        <w:rPr>
          <w:b/>
          <w:sz w:val="20"/>
          <w:szCs w:val="20"/>
        </w:rPr>
      </w:pPr>
      <w:r w:rsidRPr="006B42D6">
        <w:rPr>
          <w:b/>
          <w:sz w:val="20"/>
          <w:szCs w:val="20"/>
        </w:rPr>
        <w:br w:type="page"/>
      </w:r>
    </w:p>
    <w:p w14:paraId="793F6922" w14:textId="7B748B99" w:rsidR="008A1E55" w:rsidRPr="006B42D6" w:rsidRDefault="008A1E55" w:rsidP="007200F6">
      <w:pPr>
        <w:pStyle w:val="Heading7"/>
      </w:pPr>
      <w:bookmarkStart w:id="866" w:name="_Toc82386243"/>
      <w:r w:rsidRPr="006B42D6">
        <w:lastRenderedPageBreak/>
        <w:t xml:space="preserve">Table </w:t>
      </w:r>
      <w:r w:rsidR="006C1D68" w:rsidRPr="006B42D6">
        <w:t>6</w:t>
      </w:r>
      <w:r w:rsidRPr="006B42D6">
        <w:t>.8</w:t>
      </w:r>
      <w:r w:rsidR="005420E0">
        <w:t>:</w:t>
      </w:r>
      <w:r w:rsidR="007A288F">
        <w:tab/>
      </w:r>
      <w:r w:rsidRPr="006B42D6">
        <w:t>Percentage of Agricultural Households by Type of Toilet Facility and Region During 2019/20 Agricultur</w:t>
      </w:r>
      <w:r w:rsidR="009077FA" w:rsidRPr="006B42D6">
        <w:t>al</w:t>
      </w:r>
      <w:r w:rsidRPr="006B42D6">
        <w:t xml:space="preserve"> Year, Tanzania</w:t>
      </w:r>
      <w:bookmarkEnd w:id="866"/>
      <w:r w:rsidRPr="006B42D6">
        <w:t xml:space="preserve"> </w:t>
      </w:r>
    </w:p>
    <w:tbl>
      <w:tblPr>
        <w:tblW w:w="9759" w:type="dxa"/>
        <w:tblLayout w:type="fixed"/>
        <w:tblLook w:val="04A0" w:firstRow="1" w:lastRow="0" w:firstColumn="1" w:lastColumn="0" w:noHBand="0" w:noVBand="1"/>
      </w:tblPr>
      <w:tblGrid>
        <w:gridCol w:w="1560"/>
        <w:gridCol w:w="675"/>
        <w:gridCol w:w="1039"/>
        <w:gridCol w:w="1102"/>
        <w:gridCol w:w="983"/>
        <w:gridCol w:w="999"/>
        <w:gridCol w:w="843"/>
        <w:gridCol w:w="850"/>
        <w:gridCol w:w="843"/>
        <w:gridCol w:w="865"/>
      </w:tblGrid>
      <w:tr w:rsidR="006B42D6" w:rsidRPr="006B42D6" w14:paraId="31CB65F5" w14:textId="77777777" w:rsidTr="00355DF7">
        <w:trPr>
          <w:trHeight w:val="227"/>
        </w:trPr>
        <w:tc>
          <w:tcPr>
            <w:tcW w:w="1560" w:type="dxa"/>
            <w:tcBorders>
              <w:top w:val="single" w:sz="4" w:space="0" w:color="auto"/>
              <w:left w:val="nil"/>
              <w:bottom w:val="single" w:sz="4" w:space="0" w:color="auto"/>
              <w:right w:val="nil"/>
            </w:tcBorders>
            <w:shd w:val="clear" w:color="auto" w:fill="E2EFD9" w:themeFill="accent6" w:themeFillTint="33"/>
            <w:noWrap/>
            <w:vAlign w:val="center"/>
            <w:hideMark/>
          </w:tcPr>
          <w:p w14:paraId="10B13970" w14:textId="77777777" w:rsidR="008A1E55" w:rsidRPr="006B42D6" w:rsidRDefault="008A1E55" w:rsidP="00355DF7">
            <w:pPr>
              <w:spacing w:line="240" w:lineRule="auto"/>
              <w:rPr>
                <w:sz w:val="15"/>
                <w:szCs w:val="15"/>
              </w:rPr>
            </w:pPr>
            <w:r w:rsidRPr="006B42D6">
              <w:rPr>
                <w:sz w:val="15"/>
                <w:szCs w:val="15"/>
              </w:rPr>
              <w:t>Region</w:t>
            </w:r>
          </w:p>
        </w:tc>
        <w:tc>
          <w:tcPr>
            <w:tcW w:w="675" w:type="dxa"/>
            <w:tcBorders>
              <w:top w:val="single" w:sz="4" w:space="0" w:color="auto"/>
              <w:left w:val="nil"/>
              <w:bottom w:val="single" w:sz="4" w:space="0" w:color="auto"/>
              <w:right w:val="nil"/>
            </w:tcBorders>
            <w:shd w:val="clear" w:color="auto" w:fill="E2EFD9" w:themeFill="accent6" w:themeFillTint="33"/>
            <w:vAlign w:val="center"/>
            <w:hideMark/>
          </w:tcPr>
          <w:p w14:paraId="5D3B8919" w14:textId="77777777" w:rsidR="00355DF7" w:rsidRDefault="008A1E55" w:rsidP="00355DF7">
            <w:pPr>
              <w:spacing w:line="240" w:lineRule="auto"/>
              <w:rPr>
                <w:sz w:val="15"/>
                <w:szCs w:val="15"/>
              </w:rPr>
            </w:pPr>
            <w:r w:rsidRPr="006B42D6">
              <w:rPr>
                <w:sz w:val="15"/>
                <w:szCs w:val="15"/>
              </w:rPr>
              <w:t>No toilet/</w:t>
            </w:r>
          </w:p>
          <w:p w14:paraId="79F5295E" w14:textId="2BD67461" w:rsidR="008A1E55" w:rsidRPr="006B42D6" w:rsidRDefault="008A1E55" w:rsidP="00355DF7">
            <w:pPr>
              <w:spacing w:line="240" w:lineRule="auto"/>
              <w:rPr>
                <w:sz w:val="15"/>
                <w:szCs w:val="15"/>
              </w:rPr>
            </w:pPr>
            <w:r w:rsidRPr="006B42D6">
              <w:rPr>
                <w:sz w:val="15"/>
                <w:szCs w:val="15"/>
              </w:rPr>
              <w:t>bush</w:t>
            </w:r>
          </w:p>
        </w:tc>
        <w:tc>
          <w:tcPr>
            <w:tcW w:w="1039" w:type="dxa"/>
            <w:tcBorders>
              <w:top w:val="single" w:sz="4" w:space="0" w:color="auto"/>
              <w:left w:val="nil"/>
              <w:bottom w:val="single" w:sz="4" w:space="0" w:color="auto"/>
              <w:right w:val="nil"/>
            </w:tcBorders>
            <w:shd w:val="clear" w:color="auto" w:fill="E2EFD9" w:themeFill="accent6" w:themeFillTint="33"/>
            <w:vAlign w:val="center"/>
            <w:hideMark/>
          </w:tcPr>
          <w:p w14:paraId="4D40F761" w14:textId="77777777" w:rsidR="008A1E55" w:rsidRPr="006B42D6" w:rsidRDefault="008A1E55" w:rsidP="00355DF7">
            <w:pPr>
              <w:spacing w:line="240" w:lineRule="auto"/>
              <w:rPr>
                <w:sz w:val="15"/>
                <w:szCs w:val="15"/>
              </w:rPr>
            </w:pPr>
            <w:r w:rsidRPr="006B42D6">
              <w:rPr>
                <w:sz w:val="15"/>
                <w:szCs w:val="15"/>
              </w:rPr>
              <w:t>Pit latrine without slab/Open pit</w:t>
            </w:r>
          </w:p>
        </w:tc>
        <w:tc>
          <w:tcPr>
            <w:tcW w:w="1102" w:type="dxa"/>
            <w:tcBorders>
              <w:top w:val="single" w:sz="4" w:space="0" w:color="auto"/>
              <w:left w:val="nil"/>
              <w:bottom w:val="single" w:sz="4" w:space="0" w:color="auto"/>
              <w:right w:val="nil"/>
            </w:tcBorders>
            <w:shd w:val="clear" w:color="auto" w:fill="E2EFD9" w:themeFill="accent6" w:themeFillTint="33"/>
            <w:vAlign w:val="center"/>
            <w:hideMark/>
          </w:tcPr>
          <w:p w14:paraId="505F245F" w14:textId="77777777" w:rsidR="008A1E55" w:rsidRPr="006B42D6" w:rsidRDefault="008A1E55" w:rsidP="00355DF7">
            <w:pPr>
              <w:spacing w:line="240" w:lineRule="auto"/>
              <w:rPr>
                <w:sz w:val="15"/>
                <w:szCs w:val="15"/>
              </w:rPr>
            </w:pPr>
            <w:r w:rsidRPr="006B42D6">
              <w:rPr>
                <w:sz w:val="15"/>
                <w:szCs w:val="15"/>
              </w:rPr>
              <w:t>Pit latrine with slab /Not washable</w:t>
            </w:r>
          </w:p>
        </w:tc>
        <w:tc>
          <w:tcPr>
            <w:tcW w:w="983" w:type="dxa"/>
            <w:tcBorders>
              <w:top w:val="single" w:sz="4" w:space="0" w:color="auto"/>
              <w:left w:val="nil"/>
              <w:bottom w:val="single" w:sz="4" w:space="0" w:color="auto"/>
              <w:right w:val="nil"/>
            </w:tcBorders>
            <w:shd w:val="clear" w:color="auto" w:fill="E2EFD9" w:themeFill="accent6" w:themeFillTint="33"/>
            <w:vAlign w:val="center"/>
            <w:hideMark/>
          </w:tcPr>
          <w:p w14:paraId="6D032C12" w14:textId="77777777" w:rsidR="008A1E55" w:rsidRPr="006B42D6" w:rsidRDefault="008A1E55" w:rsidP="00355DF7">
            <w:pPr>
              <w:spacing w:line="240" w:lineRule="auto"/>
              <w:rPr>
                <w:sz w:val="15"/>
                <w:szCs w:val="15"/>
              </w:rPr>
            </w:pPr>
            <w:r w:rsidRPr="006B42D6">
              <w:rPr>
                <w:sz w:val="15"/>
                <w:szCs w:val="15"/>
              </w:rPr>
              <w:t>Pit latrine with slab /washable</w:t>
            </w:r>
          </w:p>
        </w:tc>
        <w:tc>
          <w:tcPr>
            <w:tcW w:w="999" w:type="dxa"/>
            <w:tcBorders>
              <w:top w:val="single" w:sz="4" w:space="0" w:color="auto"/>
              <w:left w:val="nil"/>
              <w:bottom w:val="single" w:sz="4" w:space="0" w:color="auto"/>
              <w:right w:val="nil"/>
            </w:tcBorders>
            <w:shd w:val="clear" w:color="auto" w:fill="E2EFD9" w:themeFill="accent6" w:themeFillTint="33"/>
            <w:vAlign w:val="center"/>
            <w:hideMark/>
          </w:tcPr>
          <w:p w14:paraId="2DBEAD65" w14:textId="77777777" w:rsidR="008A1E55" w:rsidRPr="006B42D6" w:rsidRDefault="008A1E55" w:rsidP="00355DF7">
            <w:pPr>
              <w:spacing w:line="240" w:lineRule="auto"/>
              <w:rPr>
                <w:sz w:val="15"/>
                <w:szCs w:val="15"/>
              </w:rPr>
            </w:pPr>
            <w:r w:rsidRPr="006B42D6">
              <w:rPr>
                <w:sz w:val="15"/>
                <w:szCs w:val="15"/>
              </w:rPr>
              <w:t>Ventilated improved pit latrine</w:t>
            </w:r>
          </w:p>
        </w:tc>
        <w:tc>
          <w:tcPr>
            <w:tcW w:w="843" w:type="dxa"/>
            <w:tcBorders>
              <w:top w:val="single" w:sz="4" w:space="0" w:color="auto"/>
              <w:left w:val="nil"/>
              <w:bottom w:val="single" w:sz="4" w:space="0" w:color="auto"/>
              <w:right w:val="nil"/>
            </w:tcBorders>
            <w:shd w:val="clear" w:color="auto" w:fill="E2EFD9" w:themeFill="accent6" w:themeFillTint="33"/>
            <w:vAlign w:val="center"/>
            <w:hideMark/>
          </w:tcPr>
          <w:p w14:paraId="070EC31A" w14:textId="77777777" w:rsidR="008A1E55" w:rsidRPr="006B42D6" w:rsidRDefault="008A1E55" w:rsidP="00355DF7">
            <w:pPr>
              <w:spacing w:line="240" w:lineRule="auto"/>
              <w:rPr>
                <w:sz w:val="15"/>
                <w:szCs w:val="15"/>
              </w:rPr>
            </w:pPr>
            <w:r w:rsidRPr="006B42D6">
              <w:rPr>
                <w:sz w:val="15"/>
                <w:szCs w:val="15"/>
              </w:rPr>
              <w:t>Pour Flush toilet</w:t>
            </w:r>
          </w:p>
        </w:tc>
        <w:tc>
          <w:tcPr>
            <w:tcW w:w="850" w:type="dxa"/>
            <w:tcBorders>
              <w:top w:val="single" w:sz="4" w:space="0" w:color="auto"/>
              <w:left w:val="nil"/>
              <w:bottom w:val="single" w:sz="4" w:space="0" w:color="auto"/>
              <w:right w:val="nil"/>
            </w:tcBorders>
            <w:shd w:val="clear" w:color="auto" w:fill="E2EFD9" w:themeFill="accent6" w:themeFillTint="33"/>
            <w:vAlign w:val="center"/>
            <w:hideMark/>
          </w:tcPr>
          <w:p w14:paraId="5C5F73E4" w14:textId="77777777" w:rsidR="008A1E55" w:rsidRPr="006B42D6" w:rsidRDefault="008A1E55" w:rsidP="00355DF7">
            <w:pPr>
              <w:spacing w:line="240" w:lineRule="auto"/>
              <w:rPr>
                <w:sz w:val="15"/>
                <w:szCs w:val="15"/>
              </w:rPr>
            </w:pPr>
            <w:r w:rsidRPr="006B42D6">
              <w:rPr>
                <w:sz w:val="15"/>
                <w:szCs w:val="15"/>
              </w:rPr>
              <w:t>Flash toilet with cistern</w:t>
            </w:r>
          </w:p>
        </w:tc>
        <w:tc>
          <w:tcPr>
            <w:tcW w:w="843" w:type="dxa"/>
            <w:tcBorders>
              <w:top w:val="single" w:sz="4" w:space="0" w:color="auto"/>
              <w:left w:val="nil"/>
              <w:bottom w:val="single" w:sz="4" w:space="0" w:color="auto"/>
              <w:right w:val="nil"/>
            </w:tcBorders>
            <w:shd w:val="clear" w:color="auto" w:fill="E2EFD9" w:themeFill="accent6" w:themeFillTint="33"/>
            <w:vAlign w:val="center"/>
            <w:hideMark/>
          </w:tcPr>
          <w:p w14:paraId="49A48AA0" w14:textId="77777777" w:rsidR="00355DF7" w:rsidRDefault="008A1E55" w:rsidP="00355DF7">
            <w:pPr>
              <w:spacing w:line="240" w:lineRule="auto"/>
              <w:rPr>
                <w:sz w:val="15"/>
                <w:szCs w:val="15"/>
              </w:rPr>
            </w:pPr>
            <w:r w:rsidRPr="006B42D6">
              <w:rPr>
                <w:sz w:val="15"/>
                <w:szCs w:val="15"/>
              </w:rPr>
              <w:t>Composting toilet/</w:t>
            </w:r>
          </w:p>
          <w:p w14:paraId="54EDDB8D" w14:textId="50077872" w:rsidR="008A1E55" w:rsidRPr="006B42D6" w:rsidRDefault="008A1E55" w:rsidP="00355DF7">
            <w:pPr>
              <w:spacing w:line="240" w:lineRule="auto"/>
              <w:rPr>
                <w:sz w:val="15"/>
                <w:szCs w:val="15"/>
              </w:rPr>
            </w:pPr>
            <w:r w:rsidRPr="006B42D6">
              <w:rPr>
                <w:sz w:val="15"/>
                <w:szCs w:val="15"/>
              </w:rPr>
              <w:t>ECOSAN latrine</w:t>
            </w:r>
          </w:p>
        </w:tc>
        <w:tc>
          <w:tcPr>
            <w:tcW w:w="865" w:type="dxa"/>
            <w:tcBorders>
              <w:top w:val="single" w:sz="4" w:space="0" w:color="auto"/>
              <w:left w:val="nil"/>
              <w:bottom w:val="single" w:sz="4" w:space="0" w:color="auto"/>
              <w:right w:val="nil"/>
            </w:tcBorders>
            <w:shd w:val="clear" w:color="auto" w:fill="E2EFD9" w:themeFill="accent6" w:themeFillTint="33"/>
            <w:vAlign w:val="center"/>
            <w:hideMark/>
          </w:tcPr>
          <w:p w14:paraId="440C9560" w14:textId="77777777" w:rsidR="008A1E55" w:rsidRPr="006B42D6" w:rsidRDefault="008A1E55" w:rsidP="00355DF7">
            <w:pPr>
              <w:spacing w:line="240" w:lineRule="auto"/>
              <w:rPr>
                <w:sz w:val="15"/>
                <w:szCs w:val="15"/>
              </w:rPr>
            </w:pPr>
            <w:r w:rsidRPr="006B42D6">
              <w:rPr>
                <w:sz w:val="15"/>
                <w:szCs w:val="15"/>
              </w:rPr>
              <w:t xml:space="preserve">Other </w:t>
            </w:r>
          </w:p>
        </w:tc>
      </w:tr>
      <w:tr w:rsidR="006B42D6" w:rsidRPr="006B42D6" w14:paraId="1F9F0EB4" w14:textId="77777777" w:rsidTr="00355DF7">
        <w:trPr>
          <w:trHeight w:val="227"/>
        </w:trPr>
        <w:tc>
          <w:tcPr>
            <w:tcW w:w="1560" w:type="dxa"/>
            <w:tcBorders>
              <w:top w:val="nil"/>
              <w:left w:val="nil"/>
              <w:bottom w:val="nil"/>
              <w:right w:val="nil"/>
            </w:tcBorders>
            <w:shd w:val="clear" w:color="auto" w:fill="auto"/>
            <w:noWrap/>
            <w:vAlign w:val="bottom"/>
            <w:hideMark/>
          </w:tcPr>
          <w:p w14:paraId="631338ED" w14:textId="77777777" w:rsidR="008A1E55" w:rsidRPr="006B42D6" w:rsidRDefault="008A1E55" w:rsidP="00E16CAE">
            <w:pPr>
              <w:rPr>
                <w:sz w:val="15"/>
                <w:szCs w:val="15"/>
              </w:rPr>
            </w:pPr>
            <w:r w:rsidRPr="006B42D6">
              <w:rPr>
                <w:sz w:val="15"/>
                <w:szCs w:val="15"/>
              </w:rPr>
              <w:t>Dodoma</w:t>
            </w:r>
          </w:p>
        </w:tc>
        <w:tc>
          <w:tcPr>
            <w:tcW w:w="675" w:type="dxa"/>
            <w:tcBorders>
              <w:top w:val="nil"/>
              <w:left w:val="nil"/>
              <w:bottom w:val="nil"/>
              <w:right w:val="nil"/>
            </w:tcBorders>
            <w:shd w:val="clear" w:color="auto" w:fill="auto"/>
            <w:noWrap/>
            <w:vAlign w:val="bottom"/>
            <w:hideMark/>
          </w:tcPr>
          <w:p w14:paraId="737BBC87" w14:textId="77777777" w:rsidR="008A1E55" w:rsidRPr="006B42D6" w:rsidRDefault="008A1E55" w:rsidP="00E16CAE">
            <w:pPr>
              <w:rPr>
                <w:sz w:val="15"/>
                <w:szCs w:val="15"/>
              </w:rPr>
            </w:pPr>
            <w:r w:rsidRPr="006B42D6">
              <w:rPr>
                <w:sz w:val="15"/>
                <w:szCs w:val="15"/>
              </w:rPr>
              <w:t>3.6</w:t>
            </w:r>
          </w:p>
        </w:tc>
        <w:tc>
          <w:tcPr>
            <w:tcW w:w="1039" w:type="dxa"/>
            <w:tcBorders>
              <w:top w:val="nil"/>
              <w:left w:val="nil"/>
              <w:bottom w:val="nil"/>
              <w:right w:val="nil"/>
            </w:tcBorders>
            <w:shd w:val="clear" w:color="auto" w:fill="auto"/>
            <w:noWrap/>
            <w:vAlign w:val="bottom"/>
            <w:hideMark/>
          </w:tcPr>
          <w:p w14:paraId="6CFC7E7A" w14:textId="77777777" w:rsidR="008A1E55" w:rsidRPr="006B42D6" w:rsidRDefault="008A1E55" w:rsidP="00E16CAE">
            <w:pPr>
              <w:rPr>
                <w:sz w:val="15"/>
                <w:szCs w:val="15"/>
              </w:rPr>
            </w:pPr>
            <w:r w:rsidRPr="006B42D6">
              <w:rPr>
                <w:sz w:val="15"/>
                <w:szCs w:val="15"/>
              </w:rPr>
              <w:t>7.2</w:t>
            </w:r>
          </w:p>
        </w:tc>
        <w:tc>
          <w:tcPr>
            <w:tcW w:w="1102" w:type="dxa"/>
            <w:tcBorders>
              <w:top w:val="nil"/>
              <w:left w:val="nil"/>
              <w:bottom w:val="nil"/>
              <w:right w:val="nil"/>
            </w:tcBorders>
            <w:shd w:val="clear" w:color="auto" w:fill="auto"/>
            <w:noWrap/>
            <w:vAlign w:val="bottom"/>
            <w:hideMark/>
          </w:tcPr>
          <w:p w14:paraId="2D8CFCD7" w14:textId="77777777" w:rsidR="008A1E55" w:rsidRPr="006B42D6" w:rsidRDefault="008A1E55" w:rsidP="00E16CAE">
            <w:pPr>
              <w:rPr>
                <w:sz w:val="15"/>
                <w:szCs w:val="15"/>
              </w:rPr>
            </w:pPr>
            <w:r w:rsidRPr="006B42D6">
              <w:rPr>
                <w:sz w:val="15"/>
                <w:szCs w:val="15"/>
              </w:rPr>
              <w:t>11.4</w:t>
            </w:r>
          </w:p>
        </w:tc>
        <w:tc>
          <w:tcPr>
            <w:tcW w:w="983" w:type="dxa"/>
            <w:tcBorders>
              <w:top w:val="nil"/>
              <w:left w:val="nil"/>
              <w:bottom w:val="nil"/>
              <w:right w:val="nil"/>
            </w:tcBorders>
            <w:shd w:val="clear" w:color="auto" w:fill="auto"/>
            <w:noWrap/>
            <w:vAlign w:val="bottom"/>
            <w:hideMark/>
          </w:tcPr>
          <w:p w14:paraId="14CC9AF3" w14:textId="77777777" w:rsidR="008A1E55" w:rsidRPr="006B42D6" w:rsidRDefault="008A1E55" w:rsidP="00E16CAE">
            <w:pPr>
              <w:rPr>
                <w:sz w:val="15"/>
                <w:szCs w:val="15"/>
              </w:rPr>
            </w:pPr>
            <w:r w:rsidRPr="006B42D6">
              <w:rPr>
                <w:sz w:val="15"/>
                <w:szCs w:val="15"/>
              </w:rPr>
              <w:t>4.3</w:t>
            </w:r>
          </w:p>
        </w:tc>
        <w:tc>
          <w:tcPr>
            <w:tcW w:w="999" w:type="dxa"/>
            <w:tcBorders>
              <w:top w:val="nil"/>
              <w:left w:val="nil"/>
              <w:bottom w:val="nil"/>
              <w:right w:val="nil"/>
            </w:tcBorders>
            <w:shd w:val="clear" w:color="auto" w:fill="auto"/>
            <w:noWrap/>
            <w:vAlign w:val="bottom"/>
            <w:hideMark/>
          </w:tcPr>
          <w:p w14:paraId="086123C3" w14:textId="77777777" w:rsidR="008A1E55" w:rsidRPr="006B42D6" w:rsidRDefault="008A1E55" w:rsidP="00E16CAE">
            <w:pPr>
              <w:rPr>
                <w:sz w:val="15"/>
                <w:szCs w:val="15"/>
              </w:rPr>
            </w:pPr>
            <w:r w:rsidRPr="006B42D6">
              <w:rPr>
                <w:sz w:val="15"/>
                <w:szCs w:val="15"/>
              </w:rPr>
              <w:t>4.9</w:t>
            </w:r>
          </w:p>
        </w:tc>
        <w:tc>
          <w:tcPr>
            <w:tcW w:w="843" w:type="dxa"/>
            <w:tcBorders>
              <w:top w:val="nil"/>
              <w:left w:val="nil"/>
              <w:bottom w:val="nil"/>
              <w:right w:val="nil"/>
            </w:tcBorders>
            <w:shd w:val="clear" w:color="auto" w:fill="auto"/>
            <w:noWrap/>
            <w:vAlign w:val="bottom"/>
            <w:hideMark/>
          </w:tcPr>
          <w:p w14:paraId="11A5AE42" w14:textId="77777777" w:rsidR="008A1E55" w:rsidRPr="006B42D6" w:rsidRDefault="008A1E55" w:rsidP="00E16CAE">
            <w:pPr>
              <w:rPr>
                <w:sz w:val="15"/>
                <w:szCs w:val="15"/>
              </w:rPr>
            </w:pPr>
            <w:r w:rsidRPr="006B42D6">
              <w:rPr>
                <w:sz w:val="15"/>
                <w:szCs w:val="15"/>
              </w:rPr>
              <w:t>2.9</w:t>
            </w:r>
          </w:p>
        </w:tc>
        <w:tc>
          <w:tcPr>
            <w:tcW w:w="850" w:type="dxa"/>
            <w:tcBorders>
              <w:top w:val="nil"/>
              <w:left w:val="nil"/>
              <w:bottom w:val="nil"/>
              <w:right w:val="nil"/>
            </w:tcBorders>
            <w:shd w:val="clear" w:color="auto" w:fill="auto"/>
            <w:noWrap/>
            <w:vAlign w:val="bottom"/>
            <w:hideMark/>
          </w:tcPr>
          <w:p w14:paraId="1C1AD938" w14:textId="77777777" w:rsidR="008A1E55" w:rsidRPr="006B42D6" w:rsidRDefault="008A1E55" w:rsidP="00E16CAE">
            <w:pPr>
              <w:rPr>
                <w:sz w:val="15"/>
                <w:szCs w:val="15"/>
              </w:rPr>
            </w:pPr>
            <w:r w:rsidRPr="006B42D6">
              <w:rPr>
                <w:sz w:val="15"/>
                <w:szCs w:val="15"/>
              </w:rPr>
              <w:t>6.1</w:t>
            </w:r>
          </w:p>
        </w:tc>
        <w:tc>
          <w:tcPr>
            <w:tcW w:w="843" w:type="dxa"/>
            <w:tcBorders>
              <w:top w:val="nil"/>
              <w:left w:val="nil"/>
              <w:bottom w:val="nil"/>
              <w:right w:val="nil"/>
            </w:tcBorders>
            <w:shd w:val="clear" w:color="auto" w:fill="auto"/>
            <w:noWrap/>
            <w:vAlign w:val="bottom"/>
            <w:hideMark/>
          </w:tcPr>
          <w:p w14:paraId="4D0BF882" w14:textId="77777777" w:rsidR="008A1E55" w:rsidRPr="006B42D6" w:rsidRDefault="008A1E55" w:rsidP="00E16CAE">
            <w:pPr>
              <w:rPr>
                <w:sz w:val="15"/>
                <w:szCs w:val="15"/>
              </w:rPr>
            </w:pPr>
            <w:r w:rsidRPr="006B42D6">
              <w:rPr>
                <w:sz w:val="15"/>
                <w:szCs w:val="15"/>
              </w:rPr>
              <w:t>1.1</w:t>
            </w:r>
          </w:p>
        </w:tc>
        <w:tc>
          <w:tcPr>
            <w:tcW w:w="865" w:type="dxa"/>
            <w:tcBorders>
              <w:top w:val="nil"/>
              <w:left w:val="nil"/>
              <w:bottom w:val="nil"/>
              <w:right w:val="nil"/>
            </w:tcBorders>
            <w:shd w:val="clear" w:color="auto" w:fill="auto"/>
            <w:noWrap/>
            <w:vAlign w:val="bottom"/>
            <w:hideMark/>
          </w:tcPr>
          <w:p w14:paraId="5F4971C9" w14:textId="77777777" w:rsidR="008A1E55" w:rsidRPr="006B42D6" w:rsidRDefault="008A1E55" w:rsidP="00E16CAE">
            <w:pPr>
              <w:rPr>
                <w:sz w:val="15"/>
                <w:szCs w:val="15"/>
              </w:rPr>
            </w:pPr>
            <w:r w:rsidRPr="006B42D6">
              <w:rPr>
                <w:sz w:val="15"/>
                <w:szCs w:val="15"/>
              </w:rPr>
              <w:t>0.0</w:t>
            </w:r>
          </w:p>
        </w:tc>
      </w:tr>
      <w:tr w:rsidR="006B42D6" w:rsidRPr="006B42D6" w14:paraId="77A13B95" w14:textId="77777777" w:rsidTr="00355DF7">
        <w:trPr>
          <w:trHeight w:val="227"/>
        </w:trPr>
        <w:tc>
          <w:tcPr>
            <w:tcW w:w="1560" w:type="dxa"/>
            <w:tcBorders>
              <w:top w:val="nil"/>
              <w:left w:val="nil"/>
              <w:bottom w:val="nil"/>
              <w:right w:val="nil"/>
            </w:tcBorders>
            <w:shd w:val="clear" w:color="auto" w:fill="auto"/>
            <w:noWrap/>
            <w:vAlign w:val="bottom"/>
            <w:hideMark/>
          </w:tcPr>
          <w:p w14:paraId="3403CB56" w14:textId="77777777" w:rsidR="008A1E55" w:rsidRPr="006B42D6" w:rsidRDefault="008A1E55" w:rsidP="00E16CAE">
            <w:pPr>
              <w:rPr>
                <w:sz w:val="15"/>
                <w:szCs w:val="15"/>
              </w:rPr>
            </w:pPr>
            <w:r w:rsidRPr="006B42D6">
              <w:rPr>
                <w:sz w:val="15"/>
                <w:szCs w:val="15"/>
              </w:rPr>
              <w:t>Arusha</w:t>
            </w:r>
          </w:p>
        </w:tc>
        <w:tc>
          <w:tcPr>
            <w:tcW w:w="675" w:type="dxa"/>
            <w:tcBorders>
              <w:top w:val="nil"/>
              <w:left w:val="nil"/>
              <w:bottom w:val="nil"/>
              <w:right w:val="nil"/>
            </w:tcBorders>
            <w:shd w:val="clear" w:color="auto" w:fill="auto"/>
            <w:noWrap/>
            <w:vAlign w:val="bottom"/>
            <w:hideMark/>
          </w:tcPr>
          <w:p w14:paraId="109C61B6" w14:textId="77777777" w:rsidR="008A1E55" w:rsidRPr="006B42D6" w:rsidRDefault="008A1E55" w:rsidP="00E16CAE">
            <w:pPr>
              <w:rPr>
                <w:sz w:val="15"/>
                <w:szCs w:val="15"/>
              </w:rPr>
            </w:pPr>
            <w:r w:rsidRPr="006B42D6">
              <w:rPr>
                <w:sz w:val="15"/>
                <w:szCs w:val="15"/>
              </w:rPr>
              <w:t>11.8</w:t>
            </w:r>
          </w:p>
        </w:tc>
        <w:tc>
          <w:tcPr>
            <w:tcW w:w="1039" w:type="dxa"/>
            <w:tcBorders>
              <w:top w:val="nil"/>
              <w:left w:val="nil"/>
              <w:bottom w:val="nil"/>
              <w:right w:val="nil"/>
            </w:tcBorders>
            <w:shd w:val="clear" w:color="auto" w:fill="auto"/>
            <w:noWrap/>
            <w:vAlign w:val="bottom"/>
            <w:hideMark/>
          </w:tcPr>
          <w:p w14:paraId="5A5D30D2" w14:textId="77777777" w:rsidR="008A1E55" w:rsidRPr="006B42D6" w:rsidRDefault="008A1E55" w:rsidP="00E16CAE">
            <w:pPr>
              <w:rPr>
                <w:sz w:val="15"/>
                <w:szCs w:val="15"/>
              </w:rPr>
            </w:pPr>
            <w:r w:rsidRPr="006B42D6">
              <w:rPr>
                <w:sz w:val="15"/>
                <w:szCs w:val="15"/>
              </w:rPr>
              <w:t>1.8</w:t>
            </w:r>
          </w:p>
        </w:tc>
        <w:tc>
          <w:tcPr>
            <w:tcW w:w="1102" w:type="dxa"/>
            <w:tcBorders>
              <w:top w:val="nil"/>
              <w:left w:val="nil"/>
              <w:bottom w:val="nil"/>
              <w:right w:val="nil"/>
            </w:tcBorders>
            <w:shd w:val="clear" w:color="auto" w:fill="auto"/>
            <w:noWrap/>
            <w:vAlign w:val="bottom"/>
            <w:hideMark/>
          </w:tcPr>
          <w:p w14:paraId="4426E0D9" w14:textId="77777777" w:rsidR="008A1E55" w:rsidRPr="006B42D6" w:rsidRDefault="008A1E55" w:rsidP="00E16CAE">
            <w:pPr>
              <w:rPr>
                <w:sz w:val="15"/>
                <w:szCs w:val="15"/>
              </w:rPr>
            </w:pPr>
            <w:r w:rsidRPr="006B42D6">
              <w:rPr>
                <w:sz w:val="15"/>
                <w:szCs w:val="15"/>
              </w:rPr>
              <w:t>3.3</w:t>
            </w:r>
          </w:p>
        </w:tc>
        <w:tc>
          <w:tcPr>
            <w:tcW w:w="983" w:type="dxa"/>
            <w:tcBorders>
              <w:top w:val="nil"/>
              <w:left w:val="nil"/>
              <w:bottom w:val="nil"/>
              <w:right w:val="nil"/>
            </w:tcBorders>
            <w:shd w:val="clear" w:color="auto" w:fill="auto"/>
            <w:noWrap/>
            <w:vAlign w:val="bottom"/>
            <w:hideMark/>
          </w:tcPr>
          <w:p w14:paraId="228CC8A3" w14:textId="77777777" w:rsidR="008A1E55" w:rsidRPr="006B42D6" w:rsidRDefault="008A1E55" w:rsidP="00E16CAE">
            <w:pPr>
              <w:rPr>
                <w:sz w:val="15"/>
                <w:szCs w:val="15"/>
              </w:rPr>
            </w:pPr>
            <w:r w:rsidRPr="006B42D6">
              <w:rPr>
                <w:sz w:val="15"/>
                <w:szCs w:val="15"/>
              </w:rPr>
              <w:t>5.0</w:t>
            </w:r>
          </w:p>
        </w:tc>
        <w:tc>
          <w:tcPr>
            <w:tcW w:w="999" w:type="dxa"/>
            <w:tcBorders>
              <w:top w:val="nil"/>
              <w:left w:val="nil"/>
              <w:bottom w:val="nil"/>
              <w:right w:val="nil"/>
            </w:tcBorders>
            <w:shd w:val="clear" w:color="auto" w:fill="auto"/>
            <w:noWrap/>
            <w:vAlign w:val="bottom"/>
            <w:hideMark/>
          </w:tcPr>
          <w:p w14:paraId="0DF9ECF6" w14:textId="77777777" w:rsidR="008A1E55" w:rsidRPr="006B42D6" w:rsidRDefault="008A1E55" w:rsidP="00E16CAE">
            <w:pPr>
              <w:rPr>
                <w:sz w:val="15"/>
                <w:szCs w:val="15"/>
              </w:rPr>
            </w:pPr>
            <w:r w:rsidRPr="006B42D6">
              <w:rPr>
                <w:sz w:val="15"/>
                <w:szCs w:val="15"/>
              </w:rPr>
              <w:t>5.0</w:t>
            </w:r>
          </w:p>
        </w:tc>
        <w:tc>
          <w:tcPr>
            <w:tcW w:w="843" w:type="dxa"/>
            <w:tcBorders>
              <w:top w:val="nil"/>
              <w:left w:val="nil"/>
              <w:bottom w:val="nil"/>
              <w:right w:val="nil"/>
            </w:tcBorders>
            <w:shd w:val="clear" w:color="auto" w:fill="auto"/>
            <w:noWrap/>
            <w:vAlign w:val="bottom"/>
            <w:hideMark/>
          </w:tcPr>
          <w:p w14:paraId="48044161" w14:textId="77777777" w:rsidR="008A1E55" w:rsidRPr="006B42D6" w:rsidRDefault="008A1E55" w:rsidP="00E16CAE">
            <w:pPr>
              <w:rPr>
                <w:sz w:val="15"/>
                <w:szCs w:val="15"/>
              </w:rPr>
            </w:pPr>
            <w:r w:rsidRPr="006B42D6">
              <w:rPr>
                <w:sz w:val="15"/>
                <w:szCs w:val="15"/>
              </w:rPr>
              <w:t>5.9</w:t>
            </w:r>
          </w:p>
        </w:tc>
        <w:tc>
          <w:tcPr>
            <w:tcW w:w="850" w:type="dxa"/>
            <w:tcBorders>
              <w:top w:val="nil"/>
              <w:left w:val="nil"/>
              <w:bottom w:val="nil"/>
              <w:right w:val="nil"/>
            </w:tcBorders>
            <w:shd w:val="clear" w:color="auto" w:fill="auto"/>
            <w:noWrap/>
            <w:vAlign w:val="bottom"/>
            <w:hideMark/>
          </w:tcPr>
          <w:p w14:paraId="664CFFED" w14:textId="77777777" w:rsidR="008A1E55" w:rsidRPr="006B42D6" w:rsidRDefault="008A1E55" w:rsidP="00E16CAE">
            <w:pPr>
              <w:rPr>
                <w:sz w:val="15"/>
                <w:szCs w:val="15"/>
              </w:rPr>
            </w:pPr>
            <w:r w:rsidRPr="006B42D6">
              <w:rPr>
                <w:sz w:val="15"/>
                <w:szCs w:val="15"/>
              </w:rPr>
              <w:t>0.5</w:t>
            </w:r>
          </w:p>
        </w:tc>
        <w:tc>
          <w:tcPr>
            <w:tcW w:w="843" w:type="dxa"/>
            <w:tcBorders>
              <w:top w:val="nil"/>
              <w:left w:val="nil"/>
              <w:bottom w:val="nil"/>
              <w:right w:val="nil"/>
            </w:tcBorders>
            <w:shd w:val="clear" w:color="auto" w:fill="auto"/>
            <w:noWrap/>
            <w:vAlign w:val="bottom"/>
            <w:hideMark/>
          </w:tcPr>
          <w:p w14:paraId="33031132" w14:textId="77777777" w:rsidR="008A1E55" w:rsidRPr="006B42D6" w:rsidRDefault="008A1E55" w:rsidP="00E16CAE">
            <w:pPr>
              <w:rPr>
                <w:sz w:val="15"/>
                <w:szCs w:val="15"/>
              </w:rPr>
            </w:pPr>
            <w:r w:rsidRPr="006B42D6">
              <w:rPr>
                <w:sz w:val="15"/>
                <w:szCs w:val="15"/>
              </w:rPr>
              <w:t>9.3</w:t>
            </w:r>
          </w:p>
        </w:tc>
        <w:tc>
          <w:tcPr>
            <w:tcW w:w="865" w:type="dxa"/>
            <w:tcBorders>
              <w:top w:val="nil"/>
              <w:left w:val="nil"/>
              <w:bottom w:val="nil"/>
              <w:right w:val="nil"/>
            </w:tcBorders>
            <w:shd w:val="clear" w:color="auto" w:fill="auto"/>
            <w:noWrap/>
            <w:vAlign w:val="bottom"/>
            <w:hideMark/>
          </w:tcPr>
          <w:p w14:paraId="17B78CCC" w14:textId="77777777" w:rsidR="008A1E55" w:rsidRPr="006B42D6" w:rsidRDefault="008A1E55" w:rsidP="00E16CAE">
            <w:pPr>
              <w:rPr>
                <w:sz w:val="15"/>
                <w:szCs w:val="15"/>
              </w:rPr>
            </w:pPr>
            <w:r w:rsidRPr="006B42D6">
              <w:rPr>
                <w:sz w:val="15"/>
                <w:szCs w:val="15"/>
              </w:rPr>
              <w:t>0.0</w:t>
            </w:r>
          </w:p>
        </w:tc>
      </w:tr>
      <w:tr w:rsidR="006B42D6" w:rsidRPr="006B42D6" w14:paraId="7543CA21" w14:textId="77777777" w:rsidTr="00355DF7">
        <w:trPr>
          <w:trHeight w:val="227"/>
        </w:trPr>
        <w:tc>
          <w:tcPr>
            <w:tcW w:w="1560" w:type="dxa"/>
            <w:tcBorders>
              <w:top w:val="nil"/>
              <w:left w:val="nil"/>
              <w:bottom w:val="nil"/>
              <w:right w:val="nil"/>
            </w:tcBorders>
            <w:shd w:val="clear" w:color="auto" w:fill="auto"/>
            <w:noWrap/>
            <w:vAlign w:val="bottom"/>
            <w:hideMark/>
          </w:tcPr>
          <w:p w14:paraId="7F77BC49" w14:textId="77777777" w:rsidR="008A1E55" w:rsidRPr="006B42D6" w:rsidRDefault="008A1E55" w:rsidP="00E16CAE">
            <w:pPr>
              <w:rPr>
                <w:sz w:val="15"/>
                <w:szCs w:val="15"/>
              </w:rPr>
            </w:pPr>
            <w:r w:rsidRPr="006B42D6">
              <w:rPr>
                <w:sz w:val="15"/>
                <w:szCs w:val="15"/>
              </w:rPr>
              <w:t>Kilimanjaro</w:t>
            </w:r>
          </w:p>
        </w:tc>
        <w:tc>
          <w:tcPr>
            <w:tcW w:w="675" w:type="dxa"/>
            <w:tcBorders>
              <w:top w:val="nil"/>
              <w:left w:val="nil"/>
              <w:bottom w:val="nil"/>
              <w:right w:val="nil"/>
            </w:tcBorders>
            <w:shd w:val="clear" w:color="auto" w:fill="auto"/>
            <w:noWrap/>
            <w:vAlign w:val="bottom"/>
            <w:hideMark/>
          </w:tcPr>
          <w:p w14:paraId="2F7F31C9" w14:textId="77777777" w:rsidR="008A1E55" w:rsidRPr="006B42D6" w:rsidRDefault="008A1E55" w:rsidP="00E16CAE">
            <w:pPr>
              <w:rPr>
                <w:sz w:val="15"/>
                <w:szCs w:val="15"/>
              </w:rPr>
            </w:pPr>
            <w:r w:rsidRPr="006B42D6">
              <w:rPr>
                <w:sz w:val="15"/>
                <w:szCs w:val="15"/>
              </w:rPr>
              <w:t>2.2</w:t>
            </w:r>
          </w:p>
        </w:tc>
        <w:tc>
          <w:tcPr>
            <w:tcW w:w="1039" w:type="dxa"/>
            <w:tcBorders>
              <w:top w:val="nil"/>
              <w:left w:val="nil"/>
              <w:bottom w:val="nil"/>
              <w:right w:val="nil"/>
            </w:tcBorders>
            <w:shd w:val="clear" w:color="auto" w:fill="auto"/>
            <w:noWrap/>
            <w:vAlign w:val="bottom"/>
            <w:hideMark/>
          </w:tcPr>
          <w:p w14:paraId="3DA5A9D6" w14:textId="77777777" w:rsidR="008A1E55" w:rsidRPr="006B42D6" w:rsidRDefault="008A1E55" w:rsidP="00E16CAE">
            <w:pPr>
              <w:rPr>
                <w:sz w:val="15"/>
                <w:szCs w:val="15"/>
              </w:rPr>
            </w:pPr>
            <w:r w:rsidRPr="006B42D6">
              <w:rPr>
                <w:sz w:val="15"/>
                <w:szCs w:val="15"/>
              </w:rPr>
              <w:t>2.0</w:t>
            </w:r>
          </w:p>
        </w:tc>
        <w:tc>
          <w:tcPr>
            <w:tcW w:w="1102" w:type="dxa"/>
            <w:tcBorders>
              <w:top w:val="nil"/>
              <w:left w:val="nil"/>
              <w:bottom w:val="nil"/>
              <w:right w:val="nil"/>
            </w:tcBorders>
            <w:shd w:val="clear" w:color="auto" w:fill="auto"/>
            <w:noWrap/>
            <w:vAlign w:val="bottom"/>
            <w:hideMark/>
          </w:tcPr>
          <w:p w14:paraId="17714AF7" w14:textId="77777777" w:rsidR="008A1E55" w:rsidRPr="006B42D6" w:rsidRDefault="008A1E55" w:rsidP="00E16CAE">
            <w:pPr>
              <w:rPr>
                <w:sz w:val="15"/>
                <w:szCs w:val="15"/>
              </w:rPr>
            </w:pPr>
            <w:r w:rsidRPr="006B42D6">
              <w:rPr>
                <w:sz w:val="15"/>
                <w:szCs w:val="15"/>
              </w:rPr>
              <w:t>3.7</w:t>
            </w:r>
          </w:p>
        </w:tc>
        <w:tc>
          <w:tcPr>
            <w:tcW w:w="983" w:type="dxa"/>
            <w:tcBorders>
              <w:top w:val="nil"/>
              <w:left w:val="nil"/>
              <w:bottom w:val="nil"/>
              <w:right w:val="nil"/>
            </w:tcBorders>
            <w:shd w:val="clear" w:color="auto" w:fill="auto"/>
            <w:noWrap/>
            <w:vAlign w:val="bottom"/>
            <w:hideMark/>
          </w:tcPr>
          <w:p w14:paraId="70559F7F" w14:textId="77777777" w:rsidR="008A1E55" w:rsidRPr="006B42D6" w:rsidRDefault="008A1E55" w:rsidP="00E16CAE">
            <w:pPr>
              <w:rPr>
                <w:sz w:val="15"/>
                <w:szCs w:val="15"/>
              </w:rPr>
            </w:pPr>
            <w:r w:rsidRPr="006B42D6">
              <w:rPr>
                <w:sz w:val="15"/>
                <w:szCs w:val="15"/>
              </w:rPr>
              <w:t>4.2</w:t>
            </w:r>
          </w:p>
        </w:tc>
        <w:tc>
          <w:tcPr>
            <w:tcW w:w="999" w:type="dxa"/>
            <w:tcBorders>
              <w:top w:val="nil"/>
              <w:left w:val="nil"/>
              <w:bottom w:val="nil"/>
              <w:right w:val="nil"/>
            </w:tcBorders>
            <w:shd w:val="clear" w:color="auto" w:fill="auto"/>
            <w:noWrap/>
            <w:vAlign w:val="bottom"/>
            <w:hideMark/>
          </w:tcPr>
          <w:p w14:paraId="1FD4CD11" w14:textId="77777777" w:rsidR="008A1E55" w:rsidRPr="006B42D6" w:rsidRDefault="008A1E55" w:rsidP="00E16CAE">
            <w:pPr>
              <w:rPr>
                <w:sz w:val="15"/>
                <w:szCs w:val="15"/>
              </w:rPr>
            </w:pPr>
            <w:r w:rsidRPr="006B42D6">
              <w:rPr>
                <w:sz w:val="15"/>
                <w:szCs w:val="15"/>
              </w:rPr>
              <w:t>7.3</w:t>
            </w:r>
          </w:p>
        </w:tc>
        <w:tc>
          <w:tcPr>
            <w:tcW w:w="843" w:type="dxa"/>
            <w:tcBorders>
              <w:top w:val="nil"/>
              <w:left w:val="nil"/>
              <w:bottom w:val="nil"/>
              <w:right w:val="nil"/>
            </w:tcBorders>
            <w:shd w:val="clear" w:color="auto" w:fill="auto"/>
            <w:noWrap/>
            <w:vAlign w:val="bottom"/>
            <w:hideMark/>
          </w:tcPr>
          <w:p w14:paraId="41CBB774" w14:textId="77777777" w:rsidR="008A1E55" w:rsidRPr="006B42D6" w:rsidRDefault="008A1E55" w:rsidP="00E16CAE">
            <w:pPr>
              <w:rPr>
                <w:sz w:val="15"/>
                <w:szCs w:val="15"/>
              </w:rPr>
            </w:pPr>
            <w:r w:rsidRPr="006B42D6">
              <w:rPr>
                <w:sz w:val="15"/>
                <w:szCs w:val="15"/>
              </w:rPr>
              <w:t>5.8</w:t>
            </w:r>
          </w:p>
        </w:tc>
        <w:tc>
          <w:tcPr>
            <w:tcW w:w="850" w:type="dxa"/>
            <w:tcBorders>
              <w:top w:val="nil"/>
              <w:left w:val="nil"/>
              <w:bottom w:val="nil"/>
              <w:right w:val="nil"/>
            </w:tcBorders>
            <w:shd w:val="clear" w:color="auto" w:fill="auto"/>
            <w:noWrap/>
            <w:vAlign w:val="bottom"/>
            <w:hideMark/>
          </w:tcPr>
          <w:p w14:paraId="3F49B269" w14:textId="77777777" w:rsidR="008A1E55" w:rsidRPr="006B42D6" w:rsidRDefault="008A1E55" w:rsidP="00E16CAE">
            <w:pPr>
              <w:rPr>
                <w:sz w:val="15"/>
                <w:szCs w:val="15"/>
              </w:rPr>
            </w:pPr>
            <w:r w:rsidRPr="006B42D6">
              <w:rPr>
                <w:sz w:val="15"/>
                <w:szCs w:val="15"/>
              </w:rPr>
              <w:t>8.6</w:t>
            </w:r>
          </w:p>
        </w:tc>
        <w:tc>
          <w:tcPr>
            <w:tcW w:w="843" w:type="dxa"/>
            <w:tcBorders>
              <w:top w:val="nil"/>
              <w:left w:val="nil"/>
              <w:bottom w:val="nil"/>
              <w:right w:val="nil"/>
            </w:tcBorders>
            <w:shd w:val="clear" w:color="auto" w:fill="auto"/>
            <w:noWrap/>
            <w:vAlign w:val="bottom"/>
            <w:hideMark/>
          </w:tcPr>
          <w:p w14:paraId="094E34BF" w14:textId="77777777" w:rsidR="008A1E55" w:rsidRPr="006B42D6" w:rsidRDefault="008A1E55" w:rsidP="00E16CAE">
            <w:pPr>
              <w:rPr>
                <w:sz w:val="15"/>
                <w:szCs w:val="15"/>
              </w:rPr>
            </w:pPr>
            <w:r w:rsidRPr="006B42D6">
              <w:rPr>
                <w:sz w:val="15"/>
                <w:szCs w:val="15"/>
              </w:rPr>
              <w:t>14.2</w:t>
            </w:r>
          </w:p>
        </w:tc>
        <w:tc>
          <w:tcPr>
            <w:tcW w:w="865" w:type="dxa"/>
            <w:tcBorders>
              <w:top w:val="nil"/>
              <w:left w:val="nil"/>
              <w:bottom w:val="nil"/>
              <w:right w:val="nil"/>
            </w:tcBorders>
            <w:shd w:val="clear" w:color="auto" w:fill="auto"/>
            <w:noWrap/>
            <w:vAlign w:val="bottom"/>
            <w:hideMark/>
          </w:tcPr>
          <w:p w14:paraId="184A4B9F" w14:textId="77777777" w:rsidR="008A1E55" w:rsidRPr="006B42D6" w:rsidRDefault="008A1E55" w:rsidP="00E16CAE">
            <w:pPr>
              <w:rPr>
                <w:sz w:val="15"/>
                <w:szCs w:val="15"/>
              </w:rPr>
            </w:pPr>
            <w:r w:rsidRPr="006B42D6">
              <w:rPr>
                <w:sz w:val="15"/>
                <w:szCs w:val="15"/>
              </w:rPr>
              <w:t>5.4</w:t>
            </w:r>
          </w:p>
        </w:tc>
      </w:tr>
      <w:tr w:rsidR="006B42D6" w:rsidRPr="006B42D6" w14:paraId="6056AB99" w14:textId="77777777" w:rsidTr="00355DF7">
        <w:trPr>
          <w:trHeight w:val="227"/>
        </w:trPr>
        <w:tc>
          <w:tcPr>
            <w:tcW w:w="1560" w:type="dxa"/>
            <w:tcBorders>
              <w:top w:val="nil"/>
              <w:left w:val="nil"/>
              <w:bottom w:val="nil"/>
              <w:right w:val="nil"/>
            </w:tcBorders>
            <w:shd w:val="clear" w:color="auto" w:fill="auto"/>
            <w:noWrap/>
            <w:vAlign w:val="bottom"/>
            <w:hideMark/>
          </w:tcPr>
          <w:p w14:paraId="44AE5D1B" w14:textId="77777777" w:rsidR="008A1E55" w:rsidRPr="006B42D6" w:rsidRDefault="008A1E55" w:rsidP="00E16CAE">
            <w:pPr>
              <w:rPr>
                <w:sz w:val="15"/>
                <w:szCs w:val="15"/>
              </w:rPr>
            </w:pPr>
            <w:r w:rsidRPr="006B42D6">
              <w:rPr>
                <w:sz w:val="15"/>
                <w:szCs w:val="15"/>
              </w:rPr>
              <w:t>Tanga</w:t>
            </w:r>
          </w:p>
        </w:tc>
        <w:tc>
          <w:tcPr>
            <w:tcW w:w="675" w:type="dxa"/>
            <w:tcBorders>
              <w:top w:val="nil"/>
              <w:left w:val="nil"/>
              <w:bottom w:val="nil"/>
              <w:right w:val="nil"/>
            </w:tcBorders>
            <w:shd w:val="clear" w:color="auto" w:fill="auto"/>
            <w:noWrap/>
            <w:vAlign w:val="bottom"/>
            <w:hideMark/>
          </w:tcPr>
          <w:p w14:paraId="7036BE3B" w14:textId="77777777" w:rsidR="008A1E55" w:rsidRPr="006B42D6" w:rsidRDefault="008A1E55" w:rsidP="00E16CAE">
            <w:pPr>
              <w:rPr>
                <w:sz w:val="15"/>
                <w:szCs w:val="15"/>
              </w:rPr>
            </w:pPr>
            <w:r w:rsidRPr="006B42D6">
              <w:rPr>
                <w:sz w:val="15"/>
                <w:szCs w:val="15"/>
              </w:rPr>
              <w:t>3.4</w:t>
            </w:r>
          </w:p>
        </w:tc>
        <w:tc>
          <w:tcPr>
            <w:tcW w:w="1039" w:type="dxa"/>
            <w:tcBorders>
              <w:top w:val="nil"/>
              <w:left w:val="nil"/>
              <w:bottom w:val="nil"/>
              <w:right w:val="nil"/>
            </w:tcBorders>
            <w:shd w:val="clear" w:color="auto" w:fill="auto"/>
            <w:noWrap/>
            <w:vAlign w:val="bottom"/>
            <w:hideMark/>
          </w:tcPr>
          <w:p w14:paraId="7F2CCD13" w14:textId="77777777" w:rsidR="008A1E55" w:rsidRPr="006B42D6" w:rsidRDefault="008A1E55" w:rsidP="00E16CAE">
            <w:pPr>
              <w:rPr>
                <w:sz w:val="15"/>
                <w:szCs w:val="15"/>
              </w:rPr>
            </w:pPr>
            <w:r w:rsidRPr="006B42D6">
              <w:rPr>
                <w:sz w:val="15"/>
                <w:szCs w:val="15"/>
              </w:rPr>
              <w:t>3.6</w:t>
            </w:r>
          </w:p>
        </w:tc>
        <w:tc>
          <w:tcPr>
            <w:tcW w:w="1102" w:type="dxa"/>
            <w:tcBorders>
              <w:top w:val="nil"/>
              <w:left w:val="nil"/>
              <w:bottom w:val="nil"/>
              <w:right w:val="nil"/>
            </w:tcBorders>
            <w:shd w:val="clear" w:color="auto" w:fill="auto"/>
            <w:noWrap/>
            <w:vAlign w:val="bottom"/>
            <w:hideMark/>
          </w:tcPr>
          <w:p w14:paraId="74C4449D" w14:textId="77777777" w:rsidR="008A1E55" w:rsidRPr="006B42D6" w:rsidRDefault="008A1E55" w:rsidP="00E16CAE">
            <w:pPr>
              <w:rPr>
                <w:sz w:val="15"/>
                <w:szCs w:val="15"/>
              </w:rPr>
            </w:pPr>
            <w:r w:rsidRPr="006B42D6">
              <w:rPr>
                <w:sz w:val="15"/>
                <w:szCs w:val="15"/>
              </w:rPr>
              <w:t>5.0</w:t>
            </w:r>
          </w:p>
        </w:tc>
        <w:tc>
          <w:tcPr>
            <w:tcW w:w="983" w:type="dxa"/>
            <w:tcBorders>
              <w:top w:val="nil"/>
              <w:left w:val="nil"/>
              <w:bottom w:val="nil"/>
              <w:right w:val="nil"/>
            </w:tcBorders>
            <w:shd w:val="clear" w:color="auto" w:fill="auto"/>
            <w:noWrap/>
            <w:vAlign w:val="bottom"/>
            <w:hideMark/>
          </w:tcPr>
          <w:p w14:paraId="28893ED6" w14:textId="77777777" w:rsidR="008A1E55" w:rsidRPr="006B42D6" w:rsidRDefault="008A1E55" w:rsidP="00E16CAE">
            <w:pPr>
              <w:rPr>
                <w:sz w:val="15"/>
                <w:szCs w:val="15"/>
              </w:rPr>
            </w:pPr>
            <w:r w:rsidRPr="006B42D6">
              <w:rPr>
                <w:sz w:val="15"/>
                <w:szCs w:val="15"/>
              </w:rPr>
              <w:t>4.6</w:t>
            </w:r>
          </w:p>
        </w:tc>
        <w:tc>
          <w:tcPr>
            <w:tcW w:w="999" w:type="dxa"/>
            <w:tcBorders>
              <w:top w:val="nil"/>
              <w:left w:val="nil"/>
              <w:bottom w:val="nil"/>
              <w:right w:val="nil"/>
            </w:tcBorders>
            <w:shd w:val="clear" w:color="auto" w:fill="auto"/>
            <w:noWrap/>
            <w:vAlign w:val="bottom"/>
            <w:hideMark/>
          </w:tcPr>
          <w:p w14:paraId="343C5EB3" w14:textId="77777777" w:rsidR="008A1E55" w:rsidRPr="006B42D6" w:rsidRDefault="008A1E55" w:rsidP="00E16CAE">
            <w:pPr>
              <w:rPr>
                <w:sz w:val="15"/>
                <w:szCs w:val="15"/>
              </w:rPr>
            </w:pPr>
            <w:r w:rsidRPr="006B42D6">
              <w:rPr>
                <w:sz w:val="15"/>
                <w:szCs w:val="15"/>
              </w:rPr>
              <w:t>4.0</w:t>
            </w:r>
          </w:p>
        </w:tc>
        <w:tc>
          <w:tcPr>
            <w:tcW w:w="843" w:type="dxa"/>
            <w:tcBorders>
              <w:top w:val="nil"/>
              <w:left w:val="nil"/>
              <w:bottom w:val="nil"/>
              <w:right w:val="nil"/>
            </w:tcBorders>
            <w:shd w:val="clear" w:color="auto" w:fill="auto"/>
            <w:noWrap/>
            <w:vAlign w:val="bottom"/>
            <w:hideMark/>
          </w:tcPr>
          <w:p w14:paraId="0B09D365" w14:textId="77777777" w:rsidR="008A1E55" w:rsidRPr="006B42D6" w:rsidRDefault="008A1E55" w:rsidP="00E16CAE">
            <w:pPr>
              <w:rPr>
                <w:sz w:val="15"/>
                <w:szCs w:val="15"/>
              </w:rPr>
            </w:pPr>
            <w:r w:rsidRPr="006B42D6">
              <w:rPr>
                <w:sz w:val="15"/>
                <w:szCs w:val="15"/>
              </w:rPr>
              <w:t>4.1</w:t>
            </w:r>
          </w:p>
        </w:tc>
        <w:tc>
          <w:tcPr>
            <w:tcW w:w="850" w:type="dxa"/>
            <w:tcBorders>
              <w:top w:val="nil"/>
              <w:left w:val="nil"/>
              <w:bottom w:val="nil"/>
              <w:right w:val="nil"/>
            </w:tcBorders>
            <w:shd w:val="clear" w:color="auto" w:fill="auto"/>
            <w:noWrap/>
            <w:vAlign w:val="bottom"/>
            <w:hideMark/>
          </w:tcPr>
          <w:p w14:paraId="12FF7F6B" w14:textId="77777777" w:rsidR="008A1E55" w:rsidRPr="006B42D6" w:rsidRDefault="008A1E55" w:rsidP="00E16CAE">
            <w:pPr>
              <w:rPr>
                <w:sz w:val="15"/>
                <w:szCs w:val="15"/>
              </w:rPr>
            </w:pPr>
            <w:r w:rsidRPr="006B42D6">
              <w:rPr>
                <w:sz w:val="15"/>
                <w:szCs w:val="15"/>
              </w:rPr>
              <w:t>8.0</w:t>
            </w:r>
          </w:p>
        </w:tc>
        <w:tc>
          <w:tcPr>
            <w:tcW w:w="843" w:type="dxa"/>
            <w:tcBorders>
              <w:top w:val="nil"/>
              <w:left w:val="nil"/>
              <w:bottom w:val="nil"/>
              <w:right w:val="nil"/>
            </w:tcBorders>
            <w:shd w:val="clear" w:color="auto" w:fill="auto"/>
            <w:noWrap/>
            <w:vAlign w:val="bottom"/>
            <w:hideMark/>
          </w:tcPr>
          <w:p w14:paraId="6EC7E869" w14:textId="77777777" w:rsidR="008A1E55" w:rsidRPr="006B42D6" w:rsidRDefault="008A1E55" w:rsidP="00E16CAE">
            <w:pPr>
              <w:rPr>
                <w:sz w:val="15"/>
                <w:szCs w:val="15"/>
              </w:rPr>
            </w:pPr>
            <w:r w:rsidRPr="006B42D6">
              <w:rPr>
                <w:sz w:val="15"/>
                <w:szCs w:val="15"/>
              </w:rPr>
              <w:t>1.0</w:t>
            </w:r>
          </w:p>
        </w:tc>
        <w:tc>
          <w:tcPr>
            <w:tcW w:w="865" w:type="dxa"/>
            <w:tcBorders>
              <w:top w:val="nil"/>
              <w:left w:val="nil"/>
              <w:bottom w:val="nil"/>
              <w:right w:val="nil"/>
            </w:tcBorders>
            <w:shd w:val="clear" w:color="auto" w:fill="auto"/>
            <w:noWrap/>
            <w:vAlign w:val="bottom"/>
            <w:hideMark/>
          </w:tcPr>
          <w:p w14:paraId="062BFB5C" w14:textId="77777777" w:rsidR="008A1E55" w:rsidRPr="006B42D6" w:rsidRDefault="008A1E55" w:rsidP="00E16CAE">
            <w:pPr>
              <w:rPr>
                <w:sz w:val="15"/>
                <w:szCs w:val="15"/>
              </w:rPr>
            </w:pPr>
            <w:r w:rsidRPr="006B42D6">
              <w:rPr>
                <w:sz w:val="15"/>
                <w:szCs w:val="15"/>
              </w:rPr>
              <w:t>4.3</w:t>
            </w:r>
          </w:p>
        </w:tc>
      </w:tr>
      <w:tr w:rsidR="006B42D6" w:rsidRPr="006B42D6" w14:paraId="09E7AB0C" w14:textId="77777777" w:rsidTr="00355DF7">
        <w:trPr>
          <w:trHeight w:val="227"/>
        </w:trPr>
        <w:tc>
          <w:tcPr>
            <w:tcW w:w="1560" w:type="dxa"/>
            <w:tcBorders>
              <w:top w:val="nil"/>
              <w:left w:val="nil"/>
              <w:bottom w:val="nil"/>
              <w:right w:val="nil"/>
            </w:tcBorders>
            <w:shd w:val="clear" w:color="auto" w:fill="auto"/>
            <w:noWrap/>
            <w:vAlign w:val="bottom"/>
            <w:hideMark/>
          </w:tcPr>
          <w:p w14:paraId="7801E8BE" w14:textId="77777777" w:rsidR="008A1E55" w:rsidRPr="006B42D6" w:rsidRDefault="008A1E55" w:rsidP="00E16CAE">
            <w:pPr>
              <w:rPr>
                <w:sz w:val="15"/>
                <w:szCs w:val="15"/>
              </w:rPr>
            </w:pPr>
            <w:r w:rsidRPr="006B42D6">
              <w:rPr>
                <w:sz w:val="15"/>
                <w:szCs w:val="15"/>
              </w:rPr>
              <w:t>Morogoro</w:t>
            </w:r>
          </w:p>
        </w:tc>
        <w:tc>
          <w:tcPr>
            <w:tcW w:w="675" w:type="dxa"/>
            <w:tcBorders>
              <w:top w:val="nil"/>
              <w:left w:val="nil"/>
              <w:bottom w:val="nil"/>
              <w:right w:val="nil"/>
            </w:tcBorders>
            <w:shd w:val="clear" w:color="auto" w:fill="auto"/>
            <w:noWrap/>
            <w:vAlign w:val="bottom"/>
            <w:hideMark/>
          </w:tcPr>
          <w:p w14:paraId="7C4AAAE5" w14:textId="77777777" w:rsidR="008A1E55" w:rsidRPr="006B42D6" w:rsidRDefault="008A1E55" w:rsidP="00E16CAE">
            <w:pPr>
              <w:rPr>
                <w:sz w:val="15"/>
                <w:szCs w:val="15"/>
              </w:rPr>
            </w:pPr>
            <w:r w:rsidRPr="006B42D6">
              <w:rPr>
                <w:sz w:val="15"/>
                <w:szCs w:val="15"/>
              </w:rPr>
              <w:t>0.7</w:t>
            </w:r>
          </w:p>
        </w:tc>
        <w:tc>
          <w:tcPr>
            <w:tcW w:w="1039" w:type="dxa"/>
            <w:tcBorders>
              <w:top w:val="nil"/>
              <w:left w:val="nil"/>
              <w:bottom w:val="nil"/>
              <w:right w:val="nil"/>
            </w:tcBorders>
            <w:shd w:val="clear" w:color="auto" w:fill="auto"/>
            <w:noWrap/>
            <w:vAlign w:val="bottom"/>
            <w:hideMark/>
          </w:tcPr>
          <w:p w14:paraId="578B065B" w14:textId="77777777" w:rsidR="008A1E55" w:rsidRPr="006B42D6" w:rsidRDefault="008A1E55" w:rsidP="00E16CAE">
            <w:pPr>
              <w:rPr>
                <w:sz w:val="15"/>
                <w:szCs w:val="15"/>
              </w:rPr>
            </w:pPr>
            <w:r w:rsidRPr="006B42D6">
              <w:rPr>
                <w:sz w:val="15"/>
                <w:szCs w:val="15"/>
              </w:rPr>
              <w:t>5.1</w:t>
            </w:r>
          </w:p>
        </w:tc>
        <w:tc>
          <w:tcPr>
            <w:tcW w:w="1102" w:type="dxa"/>
            <w:tcBorders>
              <w:top w:val="nil"/>
              <w:left w:val="nil"/>
              <w:bottom w:val="nil"/>
              <w:right w:val="nil"/>
            </w:tcBorders>
            <w:shd w:val="clear" w:color="auto" w:fill="auto"/>
            <w:noWrap/>
            <w:vAlign w:val="bottom"/>
            <w:hideMark/>
          </w:tcPr>
          <w:p w14:paraId="0B7FB1F2" w14:textId="77777777" w:rsidR="008A1E55" w:rsidRPr="006B42D6" w:rsidRDefault="008A1E55" w:rsidP="00E16CAE">
            <w:pPr>
              <w:rPr>
                <w:sz w:val="15"/>
                <w:szCs w:val="15"/>
              </w:rPr>
            </w:pPr>
            <w:r w:rsidRPr="006B42D6">
              <w:rPr>
                <w:sz w:val="15"/>
                <w:szCs w:val="15"/>
              </w:rPr>
              <w:t>2.9</w:t>
            </w:r>
          </w:p>
        </w:tc>
        <w:tc>
          <w:tcPr>
            <w:tcW w:w="983" w:type="dxa"/>
            <w:tcBorders>
              <w:top w:val="nil"/>
              <w:left w:val="nil"/>
              <w:bottom w:val="nil"/>
              <w:right w:val="nil"/>
            </w:tcBorders>
            <w:shd w:val="clear" w:color="auto" w:fill="auto"/>
            <w:noWrap/>
            <w:vAlign w:val="bottom"/>
            <w:hideMark/>
          </w:tcPr>
          <w:p w14:paraId="3CDA3F12" w14:textId="77777777" w:rsidR="008A1E55" w:rsidRPr="006B42D6" w:rsidRDefault="008A1E55" w:rsidP="00E16CAE">
            <w:pPr>
              <w:rPr>
                <w:sz w:val="15"/>
                <w:szCs w:val="15"/>
              </w:rPr>
            </w:pPr>
            <w:r w:rsidRPr="006B42D6">
              <w:rPr>
                <w:sz w:val="15"/>
                <w:szCs w:val="15"/>
              </w:rPr>
              <w:t>7.1</w:t>
            </w:r>
          </w:p>
        </w:tc>
        <w:tc>
          <w:tcPr>
            <w:tcW w:w="999" w:type="dxa"/>
            <w:tcBorders>
              <w:top w:val="nil"/>
              <w:left w:val="nil"/>
              <w:bottom w:val="nil"/>
              <w:right w:val="nil"/>
            </w:tcBorders>
            <w:shd w:val="clear" w:color="auto" w:fill="auto"/>
            <w:noWrap/>
            <w:vAlign w:val="bottom"/>
            <w:hideMark/>
          </w:tcPr>
          <w:p w14:paraId="1BB26B2F" w14:textId="77777777" w:rsidR="008A1E55" w:rsidRPr="006B42D6" w:rsidRDefault="008A1E55" w:rsidP="00E16CAE">
            <w:pPr>
              <w:rPr>
                <w:sz w:val="15"/>
                <w:szCs w:val="15"/>
              </w:rPr>
            </w:pPr>
            <w:r w:rsidRPr="006B42D6">
              <w:rPr>
                <w:sz w:val="15"/>
                <w:szCs w:val="15"/>
              </w:rPr>
              <w:t>6.0</w:t>
            </w:r>
          </w:p>
        </w:tc>
        <w:tc>
          <w:tcPr>
            <w:tcW w:w="843" w:type="dxa"/>
            <w:tcBorders>
              <w:top w:val="nil"/>
              <w:left w:val="nil"/>
              <w:bottom w:val="nil"/>
              <w:right w:val="nil"/>
            </w:tcBorders>
            <w:shd w:val="clear" w:color="auto" w:fill="auto"/>
            <w:noWrap/>
            <w:vAlign w:val="bottom"/>
            <w:hideMark/>
          </w:tcPr>
          <w:p w14:paraId="26C6B527" w14:textId="77777777" w:rsidR="008A1E55" w:rsidRPr="006B42D6" w:rsidRDefault="008A1E55" w:rsidP="00E16CAE">
            <w:pPr>
              <w:rPr>
                <w:sz w:val="15"/>
                <w:szCs w:val="15"/>
              </w:rPr>
            </w:pPr>
            <w:r w:rsidRPr="006B42D6">
              <w:rPr>
                <w:sz w:val="15"/>
                <w:szCs w:val="15"/>
              </w:rPr>
              <w:t>8.6</w:t>
            </w:r>
          </w:p>
        </w:tc>
        <w:tc>
          <w:tcPr>
            <w:tcW w:w="850" w:type="dxa"/>
            <w:tcBorders>
              <w:top w:val="nil"/>
              <w:left w:val="nil"/>
              <w:bottom w:val="nil"/>
              <w:right w:val="nil"/>
            </w:tcBorders>
            <w:shd w:val="clear" w:color="auto" w:fill="auto"/>
            <w:noWrap/>
            <w:vAlign w:val="bottom"/>
            <w:hideMark/>
          </w:tcPr>
          <w:p w14:paraId="30207328" w14:textId="77777777" w:rsidR="008A1E55" w:rsidRPr="006B42D6" w:rsidRDefault="008A1E55" w:rsidP="00E16CAE">
            <w:pPr>
              <w:rPr>
                <w:sz w:val="15"/>
                <w:szCs w:val="15"/>
              </w:rPr>
            </w:pPr>
            <w:r w:rsidRPr="006B42D6">
              <w:rPr>
                <w:sz w:val="15"/>
                <w:szCs w:val="15"/>
              </w:rPr>
              <w:t>8.1</w:t>
            </w:r>
          </w:p>
        </w:tc>
        <w:tc>
          <w:tcPr>
            <w:tcW w:w="843" w:type="dxa"/>
            <w:tcBorders>
              <w:top w:val="nil"/>
              <w:left w:val="nil"/>
              <w:bottom w:val="nil"/>
              <w:right w:val="nil"/>
            </w:tcBorders>
            <w:shd w:val="clear" w:color="auto" w:fill="auto"/>
            <w:noWrap/>
            <w:vAlign w:val="bottom"/>
            <w:hideMark/>
          </w:tcPr>
          <w:p w14:paraId="67EEA523" w14:textId="77777777" w:rsidR="008A1E55" w:rsidRPr="006B42D6" w:rsidRDefault="008A1E55" w:rsidP="00E16CAE">
            <w:pPr>
              <w:rPr>
                <w:sz w:val="15"/>
                <w:szCs w:val="15"/>
              </w:rPr>
            </w:pPr>
            <w:r w:rsidRPr="006B42D6">
              <w:rPr>
                <w:sz w:val="15"/>
                <w:szCs w:val="15"/>
              </w:rPr>
              <w:t>6.1</w:t>
            </w:r>
          </w:p>
        </w:tc>
        <w:tc>
          <w:tcPr>
            <w:tcW w:w="865" w:type="dxa"/>
            <w:tcBorders>
              <w:top w:val="nil"/>
              <w:left w:val="nil"/>
              <w:bottom w:val="nil"/>
              <w:right w:val="nil"/>
            </w:tcBorders>
            <w:shd w:val="clear" w:color="auto" w:fill="auto"/>
            <w:noWrap/>
            <w:vAlign w:val="bottom"/>
            <w:hideMark/>
          </w:tcPr>
          <w:p w14:paraId="4942273A" w14:textId="77777777" w:rsidR="008A1E55" w:rsidRPr="006B42D6" w:rsidRDefault="008A1E55" w:rsidP="00E16CAE">
            <w:pPr>
              <w:rPr>
                <w:sz w:val="15"/>
                <w:szCs w:val="15"/>
              </w:rPr>
            </w:pPr>
            <w:r w:rsidRPr="006B42D6">
              <w:rPr>
                <w:sz w:val="15"/>
                <w:szCs w:val="15"/>
              </w:rPr>
              <w:t>4.5</w:t>
            </w:r>
          </w:p>
        </w:tc>
      </w:tr>
      <w:tr w:rsidR="006B42D6" w:rsidRPr="006B42D6" w14:paraId="2F4D0E51" w14:textId="77777777" w:rsidTr="00355DF7">
        <w:trPr>
          <w:trHeight w:val="227"/>
        </w:trPr>
        <w:tc>
          <w:tcPr>
            <w:tcW w:w="1560" w:type="dxa"/>
            <w:tcBorders>
              <w:top w:val="nil"/>
              <w:left w:val="nil"/>
              <w:bottom w:val="nil"/>
              <w:right w:val="nil"/>
            </w:tcBorders>
            <w:shd w:val="clear" w:color="auto" w:fill="auto"/>
            <w:noWrap/>
            <w:vAlign w:val="bottom"/>
            <w:hideMark/>
          </w:tcPr>
          <w:p w14:paraId="1799B012" w14:textId="77777777" w:rsidR="008A1E55" w:rsidRPr="006B42D6" w:rsidRDefault="008A1E55" w:rsidP="00E16CAE">
            <w:pPr>
              <w:rPr>
                <w:sz w:val="15"/>
                <w:szCs w:val="15"/>
              </w:rPr>
            </w:pPr>
            <w:r w:rsidRPr="006B42D6">
              <w:rPr>
                <w:sz w:val="15"/>
                <w:szCs w:val="15"/>
              </w:rPr>
              <w:t>Pwani</w:t>
            </w:r>
          </w:p>
        </w:tc>
        <w:tc>
          <w:tcPr>
            <w:tcW w:w="675" w:type="dxa"/>
            <w:tcBorders>
              <w:top w:val="nil"/>
              <w:left w:val="nil"/>
              <w:bottom w:val="nil"/>
              <w:right w:val="nil"/>
            </w:tcBorders>
            <w:shd w:val="clear" w:color="auto" w:fill="auto"/>
            <w:noWrap/>
            <w:vAlign w:val="bottom"/>
            <w:hideMark/>
          </w:tcPr>
          <w:p w14:paraId="7E046BAA" w14:textId="77777777" w:rsidR="008A1E55" w:rsidRPr="006B42D6" w:rsidRDefault="008A1E55" w:rsidP="00E16CAE">
            <w:pPr>
              <w:rPr>
                <w:sz w:val="15"/>
                <w:szCs w:val="15"/>
              </w:rPr>
            </w:pPr>
            <w:r w:rsidRPr="006B42D6">
              <w:rPr>
                <w:sz w:val="15"/>
                <w:szCs w:val="15"/>
              </w:rPr>
              <w:t>1.5</w:t>
            </w:r>
          </w:p>
        </w:tc>
        <w:tc>
          <w:tcPr>
            <w:tcW w:w="1039" w:type="dxa"/>
            <w:tcBorders>
              <w:top w:val="nil"/>
              <w:left w:val="nil"/>
              <w:bottom w:val="nil"/>
              <w:right w:val="nil"/>
            </w:tcBorders>
            <w:shd w:val="clear" w:color="auto" w:fill="auto"/>
            <w:noWrap/>
            <w:vAlign w:val="bottom"/>
            <w:hideMark/>
          </w:tcPr>
          <w:p w14:paraId="0AA363C1" w14:textId="77777777" w:rsidR="008A1E55" w:rsidRPr="006B42D6" w:rsidRDefault="008A1E55" w:rsidP="00E16CAE">
            <w:pPr>
              <w:rPr>
                <w:sz w:val="15"/>
                <w:szCs w:val="15"/>
              </w:rPr>
            </w:pPr>
            <w:r w:rsidRPr="006B42D6">
              <w:rPr>
                <w:sz w:val="15"/>
                <w:szCs w:val="15"/>
              </w:rPr>
              <w:t>2.7</w:t>
            </w:r>
          </w:p>
        </w:tc>
        <w:tc>
          <w:tcPr>
            <w:tcW w:w="1102" w:type="dxa"/>
            <w:tcBorders>
              <w:top w:val="nil"/>
              <w:left w:val="nil"/>
              <w:bottom w:val="nil"/>
              <w:right w:val="nil"/>
            </w:tcBorders>
            <w:shd w:val="clear" w:color="auto" w:fill="auto"/>
            <w:noWrap/>
            <w:vAlign w:val="bottom"/>
            <w:hideMark/>
          </w:tcPr>
          <w:p w14:paraId="3936947E" w14:textId="77777777" w:rsidR="008A1E55" w:rsidRPr="006B42D6" w:rsidRDefault="008A1E55" w:rsidP="00E16CAE">
            <w:pPr>
              <w:rPr>
                <w:sz w:val="15"/>
                <w:szCs w:val="15"/>
              </w:rPr>
            </w:pPr>
            <w:r w:rsidRPr="006B42D6">
              <w:rPr>
                <w:sz w:val="15"/>
                <w:szCs w:val="15"/>
              </w:rPr>
              <w:t>5.6</w:t>
            </w:r>
          </w:p>
        </w:tc>
        <w:tc>
          <w:tcPr>
            <w:tcW w:w="983" w:type="dxa"/>
            <w:tcBorders>
              <w:top w:val="nil"/>
              <w:left w:val="nil"/>
              <w:bottom w:val="nil"/>
              <w:right w:val="nil"/>
            </w:tcBorders>
            <w:shd w:val="clear" w:color="auto" w:fill="auto"/>
            <w:noWrap/>
            <w:vAlign w:val="bottom"/>
            <w:hideMark/>
          </w:tcPr>
          <w:p w14:paraId="7DEB7425" w14:textId="77777777" w:rsidR="008A1E55" w:rsidRPr="006B42D6" w:rsidRDefault="008A1E55" w:rsidP="00E16CAE">
            <w:pPr>
              <w:rPr>
                <w:sz w:val="15"/>
                <w:szCs w:val="15"/>
              </w:rPr>
            </w:pPr>
            <w:r w:rsidRPr="006B42D6">
              <w:rPr>
                <w:sz w:val="15"/>
                <w:szCs w:val="15"/>
              </w:rPr>
              <w:t>3.9</w:t>
            </w:r>
          </w:p>
        </w:tc>
        <w:tc>
          <w:tcPr>
            <w:tcW w:w="999" w:type="dxa"/>
            <w:tcBorders>
              <w:top w:val="nil"/>
              <w:left w:val="nil"/>
              <w:bottom w:val="nil"/>
              <w:right w:val="nil"/>
            </w:tcBorders>
            <w:shd w:val="clear" w:color="auto" w:fill="auto"/>
            <w:noWrap/>
            <w:vAlign w:val="bottom"/>
            <w:hideMark/>
          </w:tcPr>
          <w:p w14:paraId="4CD3AF7E" w14:textId="77777777" w:rsidR="008A1E55" w:rsidRPr="006B42D6" w:rsidRDefault="008A1E55" w:rsidP="00E16CAE">
            <w:pPr>
              <w:rPr>
                <w:sz w:val="15"/>
                <w:szCs w:val="15"/>
              </w:rPr>
            </w:pPr>
            <w:r w:rsidRPr="006B42D6">
              <w:rPr>
                <w:sz w:val="15"/>
                <w:szCs w:val="15"/>
              </w:rPr>
              <w:t>0.9</w:t>
            </w:r>
          </w:p>
        </w:tc>
        <w:tc>
          <w:tcPr>
            <w:tcW w:w="843" w:type="dxa"/>
            <w:tcBorders>
              <w:top w:val="nil"/>
              <w:left w:val="nil"/>
              <w:bottom w:val="nil"/>
              <w:right w:val="nil"/>
            </w:tcBorders>
            <w:shd w:val="clear" w:color="auto" w:fill="auto"/>
            <w:noWrap/>
            <w:vAlign w:val="bottom"/>
            <w:hideMark/>
          </w:tcPr>
          <w:p w14:paraId="70005EF2" w14:textId="77777777" w:rsidR="008A1E55" w:rsidRPr="006B42D6" w:rsidRDefault="008A1E55" w:rsidP="00E16CAE">
            <w:pPr>
              <w:rPr>
                <w:sz w:val="15"/>
                <w:szCs w:val="15"/>
              </w:rPr>
            </w:pPr>
            <w:r w:rsidRPr="006B42D6">
              <w:rPr>
                <w:sz w:val="15"/>
                <w:szCs w:val="15"/>
              </w:rPr>
              <w:t>3.1</w:t>
            </w:r>
          </w:p>
        </w:tc>
        <w:tc>
          <w:tcPr>
            <w:tcW w:w="850" w:type="dxa"/>
            <w:tcBorders>
              <w:top w:val="nil"/>
              <w:left w:val="nil"/>
              <w:bottom w:val="nil"/>
              <w:right w:val="nil"/>
            </w:tcBorders>
            <w:shd w:val="clear" w:color="auto" w:fill="auto"/>
            <w:noWrap/>
            <w:vAlign w:val="bottom"/>
            <w:hideMark/>
          </w:tcPr>
          <w:p w14:paraId="59475283" w14:textId="77777777" w:rsidR="008A1E55" w:rsidRPr="006B42D6" w:rsidRDefault="008A1E55" w:rsidP="00E16CAE">
            <w:pPr>
              <w:rPr>
                <w:sz w:val="15"/>
                <w:szCs w:val="15"/>
              </w:rPr>
            </w:pPr>
            <w:r w:rsidRPr="006B42D6">
              <w:rPr>
                <w:sz w:val="15"/>
                <w:szCs w:val="15"/>
              </w:rPr>
              <w:t>2.2</w:t>
            </w:r>
          </w:p>
        </w:tc>
        <w:tc>
          <w:tcPr>
            <w:tcW w:w="843" w:type="dxa"/>
            <w:tcBorders>
              <w:top w:val="nil"/>
              <w:left w:val="nil"/>
              <w:bottom w:val="nil"/>
              <w:right w:val="nil"/>
            </w:tcBorders>
            <w:shd w:val="clear" w:color="auto" w:fill="auto"/>
            <w:noWrap/>
            <w:vAlign w:val="bottom"/>
            <w:hideMark/>
          </w:tcPr>
          <w:p w14:paraId="20355B4F" w14:textId="77777777" w:rsidR="008A1E55" w:rsidRPr="006B42D6" w:rsidRDefault="008A1E55" w:rsidP="00E16CAE">
            <w:pPr>
              <w:rPr>
                <w:sz w:val="15"/>
                <w:szCs w:val="15"/>
              </w:rPr>
            </w:pPr>
            <w:r w:rsidRPr="006B42D6">
              <w:rPr>
                <w:sz w:val="15"/>
                <w:szCs w:val="15"/>
              </w:rPr>
              <w:t>0.8</w:t>
            </w:r>
          </w:p>
        </w:tc>
        <w:tc>
          <w:tcPr>
            <w:tcW w:w="865" w:type="dxa"/>
            <w:tcBorders>
              <w:top w:val="nil"/>
              <w:left w:val="nil"/>
              <w:bottom w:val="nil"/>
              <w:right w:val="nil"/>
            </w:tcBorders>
            <w:shd w:val="clear" w:color="auto" w:fill="auto"/>
            <w:noWrap/>
            <w:vAlign w:val="bottom"/>
            <w:hideMark/>
          </w:tcPr>
          <w:p w14:paraId="39FCB8DF" w14:textId="77777777" w:rsidR="008A1E55" w:rsidRPr="006B42D6" w:rsidRDefault="008A1E55" w:rsidP="00E16CAE">
            <w:pPr>
              <w:rPr>
                <w:sz w:val="15"/>
                <w:szCs w:val="15"/>
              </w:rPr>
            </w:pPr>
            <w:r w:rsidRPr="006B42D6">
              <w:rPr>
                <w:sz w:val="15"/>
                <w:szCs w:val="15"/>
              </w:rPr>
              <w:t>0.7</w:t>
            </w:r>
          </w:p>
        </w:tc>
      </w:tr>
      <w:tr w:rsidR="006B42D6" w:rsidRPr="006B42D6" w14:paraId="6A4D3DC6" w14:textId="77777777" w:rsidTr="00355DF7">
        <w:trPr>
          <w:trHeight w:val="227"/>
        </w:trPr>
        <w:tc>
          <w:tcPr>
            <w:tcW w:w="1560" w:type="dxa"/>
            <w:tcBorders>
              <w:top w:val="nil"/>
              <w:left w:val="nil"/>
              <w:bottom w:val="nil"/>
              <w:right w:val="nil"/>
            </w:tcBorders>
            <w:shd w:val="clear" w:color="auto" w:fill="auto"/>
            <w:noWrap/>
            <w:vAlign w:val="bottom"/>
            <w:hideMark/>
          </w:tcPr>
          <w:p w14:paraId="3A2B01F5" w14:textId="77777777" w:rsidR="008A1E55" w:rsidRPr="006B42D6" w:rsidRDefault="008A1E55" w:rsidP="00E16CAE">
            <w:pPr>
              <w:rPr>
                <w:sz w:val="15"/>
                <w:szCs w:val="15"/>
              </w:rPr>
            </w:pPr>
            <w:r w:rsidRPr="006B42D6">
              <w:rPr>
                <w:sz w:val="15"/>
                <w:szCs w:val="15"/>
              </w:rPr>
              <w:t>Dar Es Salaam</w:t>
            </w:r>
          </w:p>
        </w:tc>
        <w:tc>
          <w:tcPr>
            <w:tcW w:w="675" w:type="dxa"/>
            <w:tcBorders>
              <w:top w:val="nil"/>
              <w:left w:val="nil"/>
              <w:bottom w:val="nil"/>
              <w:right w:val="nil"/>
            </w:tcBorders>
            <w:shd w:val="clear" w:color="auto" w:fill="auto"/>
            <w:noWrap/>
            <w:vAlign w:val="bottom"/>
            <w:hideMark/>
          </w:tcPr>
          <w:p w14:paraId="1EF6E740" w14:textId="77777777" w:rsidR="008A1E55" w:rsidRPr="006B42D6" w:rsidRDefault="008A1E55" w:rsidP="00E16CAE">
            <w:pPr>
              <w:rPr>
                <w:sz w:val="15"/>
                <w:szCs w:val="15"/>
              </w:rPr>
            </w:pPr>
            <w:r w:rsidRPr="006B42D6">
              <w:rPr>
                <w:sz w:val="15"/>
                <w:szCs w:val="15"/>
              </w:rPr>
              <w:t>1.1</w:t>
            </w:r>
          </w:p>
        </w:tc>
        <w:tc>
          <w:tcPr>
            <w:tcW w:w="1039" w:type="dxa"/>
            <w:tcBorders>
              <w:top w:val="nil"/>
              <w:left w:val="nil"/>
              <w:bottom w:val="nil"/>
              <w:right w:val="nil"/>
            </w:tcBorders>
            <w:shd w:val="clear" w:color="auto" w:fill="auto"/>
            <w:noWrap/>
            <w:vAlign w:val="bottom"/>
            <w:hideMark/>
          </w:tcPr>
          <w:p w14:paraId="01125487" w14:textId="77777777" w:rsidR="008A1E55" w:rsidRPr="006B42D6" w:rsidRDefault="008A1E55" w:rsidP="00E16CAE">
            <w:pPr>
              <w:rPr>
                <w:sz w:val="15"/>
                <w:szCs w:val="15"/>
              </w:rPr>
            </w:pPr>
            <w:r w:rsidRPr="006B42D6">
              <w:rPr>
                <w:sz w:val="15"/>
                <w:szCs w:val="15"/>
              </w:rPr>
              <w:t>0.7</w:t>
            </w:r>
          </w:p>
        </w:tc>
        <w:tc>
          <w:tcPr>
            <w:tcW w:w="1102" w:type="dxa"/>
            <w:tcBorders>
              <w:top w:val="nil"/>
              <w:left w:val="nil"/>
              <w:bottom w:val="nil"/>
              <w:right w:val="nil"/>
            </w:tcBorders>
            <w:shd w:val="clear" w:color="auto" w:fill="auto"/>
            <w:noWrap/>
            <w:vAlign w:val="bottom"/>
            <w:hideMark/>
          </w:tcPr>
          <w:p w14:paraId="37415D17" w14:textId="77777777" w:rsidR="008A1E55" w:rsidRPr="006B42D6" w:rsidRDefault="008A1E55" w:rsidP="00E16CAE">
            <w:pPr>
              <w:rPr>
                <w:sz w:val="15"/>
                <w:szCs w:val="15"/>
              </w:rPr>
            </w:pPr>
            <w:r w:rsidRPr="006B42D6">
              <w:rPr>
                <w:sz w:val="15"/>
                <w:szCs w:val="15"/>
              </w:rPr>
              <w:t>2.7</w:t>
            </w:r>
          </w:p>
        </w:tc>
        <w:tc>
          <w:tcPr>
            <w:tcW w:w="983" w:type="dxa"/>
            <w:tcBorders>
              <w:top w:val="nil"/>
              <w:left w:val="nil"/>
              <w:bottom w:val="nil"/>
              <w:right w:val="nil"/>
            </w:tcBorders>
            <w:shd w:val="clear" w:color="auto" w:fill="auto"/>
            <w:noWrap/>
            <w:vAlign w:val="bottom"/>
            <w:hideMark/>
          </w:tcPr>
          <w:p w14:paraId="619D0EFA" w14:textId="77777777" w:rsidR="008A1E55" w:rsidRPr="006B42D6" w:rsidRDefault="008A1E55" w:rsidP="00E16CAE">
            <w:pPr>
              <w:rPr>
                <w:sz w:val="15"/>
                <w:szCs w:val="15"/>
              </w:rPr>
            </w:pPr>
            <w:r w:rsidRPr="006B42D6">
              <w:rPr>
                <w:sz w:val="15"/>
                <w:szCs w:val="15"/>
              </w:rPr>
              <w:t>12.2</w:t>
            </w:r>
          </w:p>
        </w:tc>
        <w:tc>
          <w:tcPr>
            <w:tcW w:w="999" w:type="dxa"/>
            <w:tcBorders>
              <w:top w:val="nil"/>
              <w:left w:val="nil"/>
              <w:bottom w:val="nil"/>
              <w:right w:val="nil"/>
            </w:tcBorders>
            <w:shd w:val="clear" w:color="auto" w:fill="auto"/>
            <w:noWrap/>
            <w:vAlign w:val="bottom"/>
            <w:hideMark/>
          </w:tcPr>
          <w:p w14:paraId="61546708" w14:textId="77777777" w:rsidR="008A1E55" w:rsidRPr="006B42D6" w:rsidRDefault="008A1E55" w:rsidP="00E16CAE">
            <w:pPr>
              <w:rPr>
                <w:sz w:val="15"/>
                <w:szCs w:val="15"/>
              </w:rPr>
            </w:pPr>
            <w:r w:rsidRPr="006B42D6">
              <w:rPr>
                <w:sz w:val="15"/>
                <w:szCs w:val="15"/>
              </w:rPr>
              <w:t>12.0</w:t>
            </w:r>
          </w:p>
        </w:tc>
        <w:tc>
          <w:tcPr>
            <w:tcW w:w="843" w:type="dxa"/>
            <w:tcBorders>
              <w:top w:val="nil"/>
              <w:left w:val="nil"/>
              <w:bottom w:val="nil"/>
              <w:right w:val="nil"/>
            </w:tcBorders>
            <w:shd w:val="clear" w:color="auto" w:fill="auto"/>
            <w:noWrap/>
            <w:vAlign w:val="bottom"/>
            <w:hideMark/>
          </w:tcPr>
          <w:p w14:paraId="7E01926B" w14:textId="77777777" w:rsidR="008A1E55" w:rsidRPr="006B42D6" w:rsidRDefault="008A1E55" w:rsidP="00E16CAE">
            <w:pPr>
              <w:rPr>
                <w:sz w:val="15"/>
                <w:szCs w:val="15"/>
              </w:rPr>
            </w:pPr>
            <w:r w:rsidRPr="006B42D6">
              <w:rPr>
                <w:sz w:val="15"/>
                <w:szCs w:val="15"/>
              </w:rPr>
              <w:t>31.3</w:t>
            </w:r>
          </w:p>
        </w:tc>
        <w:tc>
          <w:tcPr>
            <w:tcW w:w="850" w:type="dxa"/>
            <w:tcBorders>
              <w:top w:val="nil"/>
              <w:left w:val="nil"/>
              <w:bottom w:val="nil"/>
              <w:right w:val="nil"/>
            </w:tcBorders>
            <w:shd w:val="clear" w:color="auto" w:fill="auto"/>
            <w:noWrap/>
            <w:vAlign w:val="bottom"/>
            <w:hideMark/>
          </w:tcPr>
          <w:p w14:paraId="1D5AFE05" w14:textId="77777777" w:rsidR="008A1E55" w:rsidRPr="006B42D6" w:rsidRDefault="008A1E55" w:rsidP="00E16CAE">
            <w:pPr>
              <w:rPr>
                <w:sz w:val="15"/>
                <w:szCs w:val="15"/>
              </w:rPr>
            </w:pPr>
            <w:r w:rsidRPr="006B42D6">
              <w:rPr>
                <w:sz w:val="15"/>
                <w:szCs w:val="15"/>
              </w:rPr>
              <w:t>14.6</w:t>
            </w:r>
          </w:p>
        </w:tc>
        <w:tc>
          <w:tcPr>
            <w:tcW w:w="843" w:type="dxa"/>
            <w:tcBorders>
              <w:top w:val="nil"/>
              <w:left w:val="nil"/>
              <w:bottom w:val="nil"/>
              <w:right w:val="nil"/>
            </w:tcBorders>
            <w:shd w:val="clear" w:color="auto" w:fill="auto"/>
            <w:noWrap/>
            <w:vAlign w:val="bottom"/>
            <w:hideMark/>
          </w:tcPr>
          <w:p w14:paraId="46CFD611" w14:textId="77777777" w:rsidR="008A1E55" w:rsidRPr="006B42D6" w:rsidRDefault="008A1E55" w:rsidP="00E16CAE">
            <w:pPr>
              <w:rPr>
                <w:sz w:val="15"/>
                <w:szCs w:val="15"/>
              </w:rPr>
            </w:pPr>
            <w:r w:rsidRPr="006B42D6">
              <w:rPr>
                <w:sz w:val="15"/>
                <w:szCs w:val="15"/>
              </w:rPr>
              <w:t>3.5</w:t>
            </w:r>
          </w:p>
        </w:tc>
        <w:tc>
          <w:tcPr>
            <w:tcW w:w="865" w:type="dxa"/>
            <w:tcBorders>
              <w:top w:val="nil"/>
              <w:left w:val="nil"/>
              <w:bottom w:val="nil"/>
              <w:right w:val="nil"/>
            </w:tcBorders>
            <w:shd w:val="clear" w:color="auto" w:fill="auto"/>
            <w:noWrap/>
            <w:vAlign w:val="bottom"/>
            <w:hideMark/>
          </w:tcPr>
          <w:p w14:paraId="2E541242" w14:textId="77777777" w:rsidR="008A1E55" w:rsidRPr="006B42D6" w:rsidRDefault="008A1E55" w:rsidP="00E16CAE">
            <w:pPr>
              <w:rPr>
                <w:sz w:val="15"/>
                <w:szCs w:val="15"/>
              </w:rPr>
            </w:pPr>
            <w:r w:rsidRPr="006B42D6">
              <w:rPr>
                <w:sz w:val="15"/>
                <w:szCs w:val="15"/>
              </w:rPr>
              <w:t>3.1</w:t>
            </w:r>
          </w:p>
        </w:tc>
      </w:tr>
      <w:tr w:rsidR="006B42D6" w:rsidRPr="006B42D6" w14:paraId="55CC0F95" w14:textId="77777777" w:rsidTr="00355DF7">
        <w:trPr>
          <w:trHeight w:val="227"/>
        </w:trPr>
        <w:tc>
          <w:tcPr>
            <w:tcW w:w="1560" w:type="dxa"/>
            <w:tcBorders>
              <w:top w:val="nil"/>
              <w:left w:val="nil"/>
              <w:bottom w:val="nil"/>
              <w:right w:val="nil"/>
            </w:tcBorders>
            <w:shd w:val="clear" w:color="auto" w:fill="auto"/>
            <w:noWrap/>
            <w:vAlign w:val="bottom"/>
            <w:hideMark/>
          </w:tcPr>
          <w:p w14:paraId="3047BFEE" w14:textId="77777777" w:rsidR="008A1E55" w:rsidRPr="006B42D6" w:rsidRDefault="008A1E55" w:rsidP="00E16CAE">
            <w:pPr>
              <w:rPr>
                <w:sz w:val="15"/>
                <w:szCs w:val="15"/>
              </w:rPr>
            </w:pPr>
            <w:r w:rsidRPr="006B42D6">
              <w:rPr>
                <w:sz w:val="15"/>
                <w:szCs w:val="15"/>
              </w:rPr>
              <w:t>Lindi</w:t>
            </w:r>
          </w:p>
        </w:tc>
        <w:tc>
          <w:tcPr>
            <w:tcW w:w="675" w:type="dxa"/>
            <w:tcBorders>
              <w:top w:val="nil"/>
              <w:left w:val="nil"/>
              <w:bottom w:val="nil"/>
              <w:right w:val="nil"/>
            </w:tcBorders>
            <w:shd w:val="clear" w:color="auto" w:fill="auto"/>
            <w:noWrap/>
            <w:vAlign w:val="bottom"/>
            <w:hideMark/>
          </w:tcPr>
          <w:p w14:paraId="4B9ACF9F" w14:textId="77777777" w:rsidR="008A1E55" w:rsidRPr="006B42D6" w:rsidRDefault="008A1E55" w:rsidP="00E16CAE">
            <w:pPr>
              <w:rPr>
                <w:sz w:val="15"/>
                <w:szCs w:val="15"/>
              </w:rPr>
            </w:pPr>
            <w:r w:rsidRPr="006B42D6">
              <w:rPr>
                <w:sz w:val="15"/>
                <w:szCs w:val="15"/>
              </w:rPr>
              <w:t>1.0</w:t>
            </w:r>
          </w:p>
        </w:tc>
        <w:tc>
          <w:tcPr>
            <w:tcW w:w="1039" w:type="dxa"/>
            <w:tcBorders>
              <w:top w:val="nil"/>
              <w:left w:val="nil"/>
              <w:bottom w:val="nil"/>
              <w:right w:val="nil"/>
            </w:tcBorders>
            <w:shd w:val="clear" w:color="auto" w:fill="auto"/>
            <w:noWrap/>
            <w:vAlign w:val="bottom"/>
            <w:hideMark/>
          </w:tcPr>
          <w:p w14:paraId="0D1BEF84" w14:textId="77777777" w:rsidR="008A1E55" w:rsidRPr="006B42D6" w:rsidRDefault="008A1E55" w:rsidP="00E16CAE">
            <w:pPr>
              <w:rPr>
                <w:sz w:val="15"/>
                <w:szCs w:val="15"/>
              </w:rPr>
            </w:pPr>
            <w:r w:rsidRPr="006B42D6">
              <w:rPr>
                <w:sz w:val="15"/>
                <w:szCs w:val="15"/>
              </w:rPr>
              <w:t>4.4</w:t>
            </w:r>
          </w:p>
        </w:tc>
        <w:tc>
          <w:tcPr>
            <w:tcW w:w="1102" w:type="dxa"/>
            <w:tcBorders>
              <w:top w:val="nil"/>
              <w:left w:val="nil"/>
              <w:bottom w:val="nil"/>
              <w:right w:val="nil"/>
            </w:tcBorders>
            <w:shd w:val="clear" w:color="auto" w:fill="auto"/>
            <w:noWrap/>
            <w:vAlign w:val="bottom"/>
            <w:hideMark/>
          </w:tcPr>
          <w:p w14:paraId="03C04BE3" w14:textId="77777777" w:rsidR="008A1E55" w:rsidRPr="006B42D6" w:rsidRDefault="008A1E55" w:rsidP="00E16CAE">
            <w:pPr>
              <w:rPr>
                <w:sz w:val="15"/>
                <w:szCs w:val="15"/>
              </w:rPr>
            </w:pPr>
            <w:r w:rsidRPr="006B42D6">
              <w:rPr>
                <w:sz w:val="15"/>
                <w:szCs w:val="15"/>
              </w:rPr>
              <w:t>2.1</w:t>
            </w:r>
          </w:p>
        </w:tc>
        <w:tc>
          <w:tcPr>
            <w:tcW w:w="983" w:type="dxa"/>
            <w:tcBorders>
              <w:top w:val="nil"/>
              <w:left w:val="nil"/>
              <w:bottom w:val="nil"/>
              <w:right w:val="nil"/>
            </w:tcBorders>
            <w:shd w:val="clear" w:color="auto" w:fill="auto"/>
            <w:noWrap/>
            <w:vAlign w:val="bottom"/>
            <w:hideMark/>
          </w:tcPr>
          <w:p w14:paraId="032BE809" w14:textId="77777777" w:rsidR="008A1E55" w:rsidRPr="006B42D6" w:rsidRDefault="008A1E55" w:rsidP="00E16CAE">
            <w:pPr>
              <w:rPr>
                <w:sz w:val="15"/>
                <w:szCs w:val="15"/>
              </w:rPr>
            </w:pPr>
            <w:r w:rsidRPr="006B42D6">
              <w:rPr>
                <w:sz w:val="15"/>
                <w:szCs w:val="15"/>
              </w:rPr>
              <w:t>2.0</w:t>
            </w:r>
          </w:p>
        </w:tc>
        <w:tc>
          <w:tcPr>
            <w:tcW w:w="999" w:type="dxa"/>
            <w:tcBorders>
              <w:top w:val="nil"/>
              <w:left w:val="nil"/>
              <w:bottom w:val="nil"/>
              <w:right w:val="nil"/>
            </w:tcBorders>
            <w:shd w:val="clear" w:color="auto" w:fill="auto"/>
            <w:noWrap/>
            <w:vAlign w:val="bottom"/>
            <w:hideMark/>
          </w:tcPr>
          <w:p w14:paraId="467146F5" w14:textId="77777777" w:rsidR="008A1E55" w:rsidRPr="006B42D6" w:rsidRDefault="008A1E55" w:rsidP="00E16CAE">
            <w:pPr>
              <w:rPr>
                <w:sz w:val="15"/>
                <w:szCs w:val="15"/>
              </w:rPr>
            </w:pPr>
            <w:r w:rsidRPr="006B42D6">
              <w:rPr>
                <w:sz w:val="15"/>
                <w:szCs w:val="15"/>
              </w:rPr>
              <w:t>3.8</w:t>
            </w:r>
          </w:p>
        </w:tc>
        <w:tc>
          <w:tcPr>
            <w:tcW w:w="843" w:type="dxa"/>
            <w:tcBorders>
              <w:top w:val="nil"/>
              <w:left w:val="nil"/>
              <w:bottom w:val="nil"/>
              <w:right w:val="nil"/>
            </w:tcBorders>
            <w:shd w:val="clear" w:color="auto" w:fill="auto"/>
            <w:noWrap/>
            <w:vAlign w:val="bottom"/>
            <w:hideMark/>
          </w:tcPr>
          <w:p w14:paraId="02BC0CDC" w14:textId="77777777" w:rsidR="008A1E55" w:rsidRPr="006B42D6" w:rsidRDefault="008A1E55" w:rsidP="00E16CAE">
            <w:pPr>
              <w:rPr>
                <w:sz w:val="15"/>
                <w:szCs w:val="15"/>
              </w:rPr>
            </w:pPr>
            <w:r w:rsidRPr="006B42D6">
              <w:rPr>
                <w:sz w:val="15"/>
                <w:szCs w:val="15"/>
              </w:rPr>
              <w:t>0.2</w:t>
            </w:r>
          </w:p>
        </w:tc>
        <w:tc>
          <w:tcPr>
            <w:tcW w:w="850" w:type="dxa"/>
            <w:tcBorders>
              <w:top w:val="nil"/>
              <w:left w:val="nil"/>
              <w:bottom w:val="nil"/>
              <w:right w:val="nil"/>
            </w:tcBorders>
            <w:shd w:val="clear" w:color="auto" w:fill="auto"/>
            <w:noWrap/>
            <w:vAlign w:val="bottom"/>
            <w:hideMark/>
          </w:tcPr>
          <w:p w14:paraId="034614F7" w14:textId="77777777" w:rsidR="008A1E55" w:rsidRPr="006B42D6" w:rsidRDefault="008A1E55" w:rsidP="00E16CAE">
            <w:pPr>
              <w:rPr>
                <w:sz w:val="15"/>
                <w:szCs w:val="15"/>
              </w:rPr>
            </w:pPr>
            <w:r w:rsidRPr="006B42D6">
              <w:rPr>
                <w:sz w:val="15"/>
                <w:szCs w:val="15"/>
              </w:rPr>
              <w:t>0.9</w:t>
            </w:r>
          </w:p>
        </w:tc>
        <w:tc>
          <w:tcPr>
            <w:tcW w:w="843" w:type="dxa"/>
            <w:tcBorders>
              <w:top w:val="nil"/>
              <w:left w:val="nil"/>
              <w:bottom w:val="nil"/>
              <w:right w:val="nil"/>
            </w:tcBorders>
            <w:shd w:val="clear" w:color="auto" w:fill="auto"/>
            <w:noWrap/>
            <w:vAlign w:val="bottom"/>
            <w:hideMark/>
          </w:tcPr>
          <w:p w14:paraId="329EEE52" w14:textId="77777777" w:rsidR="008A1E55" w:rsidRPr="006B42D6" w:rsidRDefault="008A1E55" w:rsidP="00E16CAE">
            <w:pPr>
              <w:rPr>
                <w:sz w:val="15"/>
                <w:szCs w:val="15"/>
              </w:rPr>
            </w:pPr>
            <w:r w:rsidRPr="006B42D6">
              <w:rPr>
                <w:sz w:val="15"/>
                <w:szCs w:val="15"/>
              </w:rPr>
              <w:t>0.6</w:t>
            </w:r>
          </w:p>
        </w:tc>
        <w:tc>
          <w:tcPr>
            <w:tcW w:w="865" w:type="dxa"/>
            <w:tcBorders>
              <w:top w:val="nil"/>
              <w:left w:val="nil"/>
              <w:bottom w:val="nil"/>
              <w:right w:val="nil"/>
            </w:tcBorders>
            <w:shd w:val="clear" w:color="auto" w:fill="auto"/>
            <w:noWrap/>
            <w:vAlign w:val="bottom"/>
            <w:hideMark/>
          </w:tcPr>
          <w:p w14:paraId="16299F2C" w14:textId="77777777" w:rsidR="008A1E55" w:rsidRPr="006B42D6" w:rsidRDefault="008A1E55" w:rsidP="00E16CAE">
            <w:pPr>
              <w:rPr>
                <w:sz w:val="15"/>
                <w:szCs w:val="15"/>
              </w:rPr>
            </w:pPr>
            <w:r w:rsidRPr="006B42D6">
              <w:rPr>
                <w:sz w:val="15"/>
                <w:szCs w:val="15"/>
              </w:rPr>
              <w:t>5.5</w:t>
            </w:r>
          </w:p>
        </w:tc>
      </w:tr>
      <w:tr w:rsidR="006B42D6" w:rsidRPr="006B42D6" w14:paraId="4D2BD02A" w14:textId="77777777" w:rsidTr="00355DF7">
        <w:trPr>
          <w:trHeight w:val="227"/>
        </w:trPr>
        <w:tc>
          <w:tcPr>
            <w:tcW w:w="1560" w:type="dxa"/>
            <w:tcBorders>
              <w:top w:val="nil"/>
              <w:left w:val="nil"/>
              <w:bottom w:val="nil"/>
              <w:right w:val="nil"/>
            </w:tcBorders>
            <w:shd w:val="clear" w:color="auto" w:fill="auto"/>
            <w:noWrap/>
            <w:vAlign w:val="bottom"/>
            <w:hideMark/>
          </w:tcPr>
          <w:p w14:paraId="107EB49A" w14:textId="77777777" w:rsidR="008A1E55" w:rsidRPr="006B42D6" w:rsidRDefault="008A1E55" w:rsidP="00E16CAE">
            <w:pPr>
              <w:rPr>
                <w:sz w:val="15"/>
                <w:szCs w:val="15"/>
              </w:rPr>
            </w:pPr>
            <w:r w:rsidRPr="006B42D6">
              <w:rPr>
                <w:sz w:val="15"/>
                <w:szCs w:val="15"/>
              </w:rPr>
              <w:t>Mtwara</w:t>
            </w:r>
          </w:p>
        </w:tc>
        <w:tc>
          <w:tcPr>
            <w:tcW w:w="675" w:type="dxa"/>
            <w:tcBorders>
              <w:top w:val="nil"/>
              <w:left w:val="nil"/>
              <w:bottom w:val="nil"/>
              <w:right w:val="nil"/>
            </w:tcBorders>
            <w:shd w:val="clear" w:color="auto" w:fill="auto"/>
            <w:noWrap/>
            <w:vAlign w:val="bottom"/>
            <w:hideMark/>
          </w:tcPr>
          <w:p w14:paraId="67E339E1" w14:textId="77777777" w:rsidR="008A1E55" w:rsidRPr="006B42D6" w:rsidRDefault="008A1E55" w:rsidP="00E16CAE">
            <w:pPr>
              <w:rPr>
                <w:sz w:val="15"/>
                <w:szCs w:val="15"/>
              </w:rPr>
            </w:pPr>
            <w:r w:rsidRPr="006B42D6">
              <w:rPr>
                <w:sz w:val="15"/>
                <w:szCs w:val="15"/>
              </w:rPr>
              <w:t>1.3</w:t>
            </w:r>
          </w:p>
        </w:tc>
        <w:tc>
          <w:tcPr>
            <w:tcW w:w="1039" w:type="dxa"/>
            <w:tcBorders>
              <w:top w:val="nil"/>
              <w:left w:val="nil"/>
              <w:bottom w:val="nil"/>
              <w:right w:val="nil"/>
            </w:tcBorders>
            <w:shd w:val="clear" w:color="auto" w:fill="auto"/>
            <w:noWrap/>
            <w:vAlign w:val="bottom"/>
            <w:hideMark/>
          </w:tcPr>
          <w:p w14:paraId="133066F3" w14:textId="77777777" w:rsidR="008A1E55" w:rsidRPr="006B42D6" w:rsidRDefault="008A1E55" w:rsidP="00E16CAE">
            <w:pPr>
              <w:rPr>
                <w:sz w:val="15"/>
                <w:szCs w:val="15"/>
              </w:rPr>
            </w:pPr>
            <w:r w:rsidRPr="006B42D6">
              <w:rPr>
                <w:sz w:val="15"/>
                <w:szCs w:val="15"/>
              </w:rPr>
              <w:t>5.1</w:t>
            </w:r>
          </w:p>
        </w:tc>
        <w:tc>
          <w:tcPr>
            <w:tcW w:w="1102" w:type="dxa"/>
            <w:tcBorders>
              <w:top w:val="nil"/>
              <w:left w:val="nil"/>
              <w:bottom w:val="nil"/>
              <w:right w:val="nil"/>
            </w:tcBorders>
            <w:shd w:val="clear" w:color="auto" w:fill="auto"/>
            <w:noWrap/>
            <w:vAlign w:val="bottom"/>
            <w:hideMark/>
          </w:tcPr>
          <w:p w14:paraId="42EA3592" w14:textId="77777777" w:rsidR="008A1E55" w:rsidRPr="006B42D6" w:rsidRDefault="008A1E55" w:rsidP="00E16CAE">
            <w:pPr>
              <w:rPr>
                <w:sz w:val="15"/>
                <w:szCs w:val="15"/>
              </w:rPr>
            </w:pPr>
            <w:r w:rsidRPr="006B42D6">
              <w:rPr>
                <w:sz w:val="15"/>
                <w:szCs w:val="15"/>
              </w:rPr>
              <w:t>4.3</w:t>
            </w:r>
          </w:p>
        </w:tc>
        <w:tc>
          <w:tcPr>
            <w:tcW w:w="983" w:type="dxa"/>
            <w:tcBorders>
              <w:top w:val="nil"/>
              <w:left w:val="nil"/>
              <w:bottom w:val="nil"/>
              <w:right w:val="nil"/>
            </w:tcBorders>
            <w:shd w:val="clear" w:color="auto" w:fill="auto"/>
            <w:noWrap/>
            <w:vAlign w:val="bottom"/>
            <w:hideMark/>
          </w:tcPr>
          <w:p w14:paraId="2E15EBD8" w14:textId="77777777" w:rsidR="008A1E55" w:rsidRPr="006B42D6" w:rsidRDefault="008A1E55" w:rsidP="00E16CAE">
            <w:pPr>
              <w:rPr>
                <w:sz w:val="15"/>
                <w:szCs w:val="15"/>
              </w:rPr>
            </w:pPr>
            <w:r w:rsidRPr="006B42D6">
              <w:rPr>
                <w:sz w:val="15"/>
                <w:szCs w:val="15"/>
              </w:rPr>
              <w:t>4.3</w:t>
            </w:r>
          </w:p>
        </w:tc>
        <w:tc>
          <w:tcPr>
            <w:tcW w:w="999" w:type="dxa"/>
            <w:tcBorders>
              <w:top w:val="nil"/>
              <w:left w:val="nil"/>
              <w:bottom w:val="nil"/>
              <w:right w:val="nil"/>
            </w:tcBorders>
            <w:shd w:val="clear" w:color="auto" w:fill="auto"/>
            <w:noWrap/>
            <w:vAlign w:val="bottom"/>
            <w:hideMark/>
          </w:tcPr>
          <w:p w14:paraId="1A059417" w14:textId="77777777" w:rsidR="008A1E55" w:rsidRPr="006B42D6" w:rsidRDefault="008A1E55" w:rsidP="00E16CAE">
            <w:pPr>
              <w:rPr>
                <w:sz w:val="15"/>
                <w:szCs w:val="15"/>
              </w:rPr>
            </w:pPr>
            <w:r w:rsidRPr="006B42D6">
              <w:rPr>
                <w:sz w:val="15"/>
                <w:szCs w:val="15"/>
              </w:rPr>
              <w:t>5.6</w:t>
            </w:r>
          </w:p>
        </w:tc>
        <w:tc>
          <w:tcPr>
            <w:tcW w:w="843" w:type="dxa"/>
            <w:tcBorders>
              <w:top w:val="nil"/>
              <w:left w:val="nil"/>
              <w:bottom w:val="nil"/>
              <w:right w:val="nil"/>
            </w:tcBorders>
            <w:shd w:val="clear" w:color="auto" w:fill="auto"/>
            <w:noWrap/>
            <w:vAlign w:val="bottom"/>
            <w:hideMark/>
          </w:tcPr>
          <w:p w14:paraId="630EE8EE" w14:textId="77777777" w:rsidR="008A1E55" w:rsidRPr="006B42D6" w:rsidRDefault="008A1E55" w:rsidP="00E16CAE">
            <w:pPr>
              <w:rPr>
                <w:sz w:val="15"/>
                <w:szCs w:val="15"/>
              </w:rPr>
            </w:pPr>
            <w:r w:rsidRPr="006B42D6">
              <w:rPr>
                <w:sz w:val="15"/>
                <w:szCs w:val="15"/>
              </w:rPr>
              <w:t>1.8</w:t>
            </w:r>
          </w:p>
        </w:tc>
        <w:tc>
          <w:tcPr>
            <w:tcW w:w="850" w:type="dxa"/>
            <w:tcBorders>
              <w:top w:val="nil"/>
              <w:left w:val="nil"/>
              <w:bottom w:val="nil"/>
              <w:right w:val="nil"/>
            </w:tcBorders>
            <w:shd w:val="clear" w:color="auto" w:fill="auto"/>
            <w:noWrap/>
            <w:vAlign w:val="bottom"/>
            <w:hideMark/>
          </w:tcPr>
          <w:p w14:paraId="4E0AE39A" w14:textId="77777777" w:rsidR="008A1E55" w:rsidRPr="006B42D6" w:rsidRDefault="008A1E55" w:rsidP="00E16CAE">
            <w:pPr>
              <w:rPr>
                <w:sz w:val="15"/>
                <w:szCs w:val="15"/>
              </w:rPr>
            </w:pPr>
            <w:r w:rsidRPr="006B42D6">
              <w:rPr>
                <w:sz w:val="15"/>
                <w:szCs w:val="15"/>
              </w:rPr>
              <w:t>1.6</w:t>
            </w:r>
          </w:p>
        </w:tc>
        <w:tc>
          <w:tcPr>
            <w:tcW w:w="843" w:type="dxa"/>
            <w:tcBorders>
              <w:top w:val="nil"/>
              <w:left w:val="nil"/>
              <w:bottom w:val="nil"/>
              <w:right w:val="nil"/>
            </w:tcBorders>
            <w:shd w:val="clear" w:color="auto" w:fill="auto"/>
            <w:noWrap/>
            <w:vAlign w:val="bottom"/>
            <w:hideMark/>
          </w:tcPr>
          <w:p w14:paraId="12CA6F6D" w14:textId="77777777" w:rsidR="008A1E55" w:rsidRPr="006B42D6" w:rsidRDefault="008A1E55" w:rsidP="00E16CAE">
            <w:pPr>
              <w:rPr>
                <w:sz w:val="15"/>
                <w:szCs w:val="15"/>
              </w:rPr>
            </w:pPr>
            <w:r w:rsidRPr="006B42D6">
              <w:rPr>
                <w:sz w:val="15"/>
                <w:szCs w:val="15"/>
              </w:rPr>
              <w:t>0.0</w:t>
            </w:r>
          </w:p>
        </w:tc>
        <w:tc>
          <w:tcPr>
            <w:tcW w:w="865" w:type="dxa"/>
            <w:tcBorders>
              <w:top w:val="nil"/>
              <w:left w:val="nil"/>
              <w:bottom w:val="nil"/>
              <w:right w:val="nil"/>
            </w:tcBorders>
            <w:shd w:val="clear" w:color="auto" w:fill="auto"/>
            <w:noWrap/>
            <w:vAlign w:val="bottom"/>
            <w:hideMark/>
          </w:tcPr>
          <w:p w14:paraId="7B217253" w14:textId="77777777" w:rsidR="008A1E55" w:rsidRPr="006B42D6" w:rsidRDefault="008A1E55" w:rsidP="00E16CAE">
            <w:pPr>
              <w:rPr>
                <w:sz w:val="15"/>
                <w:szCs w:val="15"/>
              </w:rPr>
            </w:pPr>
            <w:r w:rsidRPr="006B42D6">
              <w:rPr>
                <w:sz w:val="15"/>
                <w:szCs w:val="15"/>
              </w:rPr>
              <w:t>0.4</w:t>
            </w:r>
          </w:p>
        </w:tc>
      </w:tr>
      <w:tr w:rsidR="006B42D6" w:rsidRPr="006B42D6" w14:paraId="1124995D" w14:textId="77777777" w:rsidTr="00355DF7">
        <w:trPr>
          <w:trHeight w:val="227"/>
        </w:trPr>
        <w:tc>
          <w:tcPr>
            <w:tcW w:w="1560" w:type="dxa"/>
            <w:tcBorders>
              <w:top w:val="nil"/>
              <w:left w:val="nil"/>
              <w:bottom w:val="nil"/>
              <w:right w:val="nil"/>
            </w:tcBorders>
            <w:shd w:val="clear" w:color="auto" w:fill="auto"/>
            <w:noWrap/>
            <w:vAlign w:val="bottom"/>
            <w:hideMark/>
          </w:tcPr>
          <w:p w14:paraId="24DDB865" w14:textId="77777777" w:rsidR="008A1E55" w:rsidRPr="006B42D6" w:rsidRDefault="008A1E55" w:rsidP="00E16CAE">
            <w:pPr>
              <w:rPr>
                <w:sz w:val="15"/>
                <w:szCs w:val="15"/>
              </w:rPr>
            </w:pPr>
            <w:r w:rsidRPr="006B42D6">
              <w:rPr>
                <w:sz w:val="15"/>
                <w:szCs w:val="15"/>
              </w:rPr>
              <w:t>Ruvuma</w:t>
            </w:r>
          </w:p>
        </w:tc>
        <w:tc>
          <w:tcPr>
            <w:tcW w:w="675" w:type="dxa"/>
            <w:tcBorders>
              <w:top w:val="nil"/>
              <w:left w:val="nil"/>
              <w:bottom w:val="nil"/>
              <w:right w:val="nil"/>
            </w:tcBorders>
            <w:shd w:val="clear" w:color="auto" w:fill="auto"/>
            <w:noWrap/>
            <w:vAlign w:val="bottom"/>
            <w:hideMark/>
          </w:tcPr>
          <w:p w14:paraId="68F7CC10" w14:textId="77777777" w:rsidR="008A1E55" w:rsidRPr="006B42D6" w:rsidRDefault="008A1E55" w:rsidP="00E16CAE">
            <w:pPr>
              <w:rPr>
                <w:sz w:val="15"/>
                <w:szCs w:val="15"/>
              </w:rPr>
            </w:pPr>
            <w:r w:rsidRPr="006B42D6">
              <w:rPr>
                <w:sz w:val="15"/>
                <w:szCs w:val="15"/>
              </w:rPr>
              <w:t>1.2</w:t>
            </w:r>
          </w:p>
        </w:tc>
        <w:tc>
          <w:tcPr>
            <w:tcW w:w="1039" w:type="dxa"/>
            <w:tcBorders>
              <w:top w:val="nil"/>
              <w:left w:val="nil"/>
              <w:bottom w:val="nil"/>
              <w:right w:val="nil"/>
            </w:tcBorders>
            <w:shd w:val="clear" w:color="auto" w:fill="auto"/>
            <w:noWrap/>
            <w:vAlign w:val="bottom"/>
            <w:hideMark/>
          </w:tcPr>
          <w:p w14:paraId="055C65B2" w14:textId="77777777" w:rsidR="008A1E55" w:rsidRPr="006B42D6" w:rsidRDefault="008A1E55" w:rsidP="00E16CAE">
            <w:pPr>
              <w:rPr>
                <w:sz w:val="15"/>
                <w:szCs w:val="15"/>
              </w:rPr>
            </w:pPr>
            <w:r w:rsidRPr="006B42D6">
              <w:rPr>
                <w:sz w:val="15"/>
                <w:szCs w:val="15"/>
              </w:rPr>
              <w:t>4.3</w:t>
            </w:r>
          </w:p>
        </w:tc>
        <w:tc>
          <w:tcPr>
            <w:tcW w:w="1102" w:type="dxa"/>
            <w:tcBorders>
              <w:top w:val="nil"/>
              <w:left w:val="nil"/>
              <w:bottom w:val="nil"/>
              <w:right w:val="nil"/>
            </w:tcBorders>
            <w:shd w:val="clear" w:color="auto" w:fill="auto"/>
            <w:noWrap/>
            <w:vAlign w:val="bottom"/>
            <w:hideMark/>
          </w:tcPr>
          <w:p w14:paraId="44B61603" w14:textId="77777777" w:rsidR="008A1E55" w:rsidRPr="006B42D6" w:rsidRDefault="008A1E55" w:rsidP="00E16CAE">
            <w:pPr>
              <w:rPr>
                <w:sz w:val="15"/>
                <w:szCs w:val="15"/>
              </w:rPr>
            </w:pPr>
            <w:r w:rsidRPr="006B42D6">
              <w:rPr>
                <w:sz w:val="15"/>
                <w:szCs w:val="15"/>
              </w:rPr>
              <w:t>4.6</w:t>
            </w:r>
          </w:p>
        </w:tc>
        <w:tc>
          <w:tcPr>
            <w:tcW w:w="983" w:type="dxa"/>
            <w:tcBorders>
              <w:top w:val="nil"/>
              <w:left w:val="nil"/>
              <w:bottom w:val="nil"/>
              <w:right w:val="nil"/>
            </w:tcBorders>
            <w:shd w:val="clear" w:color="auto" w:fill="auto"/>
            <w:noWrap/>
            <w:vAlign w:val="bottom"/>
            <w:hideMark/>
          </w:tcPr>
          <w:p w14:paraId="18773B59" w14:textId="77777777" w:rsidR="008A1E55" w:rsidRPr="006B42D6" w:rsidRDefault="008A1E55" w:rsidP="00E16CAE">
            <w:pPr>
              <w:rPr>
                <w:sz w:val="15"/>
                <w:szCs w:val="15"/>
              </w:rPr>
            </w:pPr>
            <w:r w:rsidRPr="006B42D6">
              <w:rPr>
                <w:sz w:val="15"/>
                <w:szCs w:val="15"/>
              </w:rPr>
              <w:t>4.1</w:t>
            </w:r>
          </w:p>
        </w:tc>
        <w:tc>
          <w:tcPr>
            <w:tcW w:w="999" w:type="dxa"/>
            <w:tcBorders>
              <w:top w:val="nil"/>
              <w:left w:val="nil"/>
              <w:bottom w:val="nil"/>
              <w:right w:val="nil"/>
            </w:tcBorders>
            <w:shd w:val="clear" w:color="auto" w:fill="auto"/>
            <w:noWrap/>
            <w:vAlign w:val="bottom"/>
            <w:hideMark/>
          </w:tcPr>
          <w:p w14:paraId="312C7909" w14:textId="77777777" w:rsidR="008A1E55" w:rsidRPr="006B42D6" w:rsidRDefault="008A1E55" w:rsidP="00E16CAE">
            <w:pPr>
              <w:rPr>
                <w:sz w:val="15"/>
                <w:szCs w:val="15"/>
              </w:rPr>
            </w:pPr>
            <w:r w:rsidRPr="006B42D6">
              <w:rPr>
                <w:sz w:val="15"/>
                <w:szCs w:val="15"/>
              </w:rPr>
              <w:t>0.9</w:t>
            </w:r>
          </w:p>
        </w:tc>
        <w:tc>
          <w:tcPr>
            <w:tcW w:w="843" w:type="dxa"/>
            <w:tcBorders>
              <w:top w:val="nil"/>
              <w:left w:val="nil"/>
              <w:bottom w:val="nil"/>
              <w:right w:val="nil"/>
            </w:tcBorders>
            <w:shd w:val="clear" w:color="auto" w:fill="auto"/>
            <w:noWrap/>
            <w:vAlign w:val="bottom"/>
            <w:hideMark/>
          </w:tcPr>
          <w:p w14:paraId="122C0E7C" w14:textId="77777777" w:rsidR="008A1E55" w:rsidRPr="006B42D6" w:rsidRDefault="008A1E55" w:rsidP="00E16CAE">
            <w:pPr>
              <w:rPr>
                <w:sz w:val="15"/>
                <w:szCs w:val="15"/>
              </w:rPr>
            </w:pPr>
            <w:r w:rsidRPr="006B42D6">
              <w:rPr>
                <w:sz w:val="15"/>
                <w:szCs w:val="15"/>
              </w:rPr>
              <w:t>2.8</w:t>
            </w:r>
          </w:p>
        </w:tc>
        <w:tc>
          <w:tcPr>
            <w:tcW w:w="850" w:type="dxa"/>
            <w:tcBorders>
              <w:top w:val="nil"/>
              <w:left w:val="nil"/>
              <w:bottom w:val="nil"/>
              <w:right w:val="nil"/>
            </w:tcBorders>
            <w:shd w:val="clear" w:color="auto" w:fill="auto"/>
            <w:noWrap/>
            <w:vAlign w:val="bottom"/>
            <w:hideMark/>
          </w:tcPr>
          <w:p w14:paraId="3F347813" w14:textId="77777777" w:rsidR="008A1E55" w:rsidRPr="006B42D6" w:rsidRDefault="008A1E55" w:rsidP="00E16CAE">
            <w:pPr>
              <w:rPr>
                <w:sz w:val="15"/>
                <w:szCs w:val="15"/>
              </w:rPr>
            </w:pPr>
            <w:r w:rsidRPr="006B42D6">
              <w:rPr>
                <w:sz w:val="15"/>
                <w:szCs w:val="15"/>
              </w:rPr>
              <w:t>6.3</w:t>
            </w:r>
          </w:p>
        </w:tc>
        <w:tc>
          <w:tcPr>
            <w:tcW w:w="843" w:type="dxa"/>
            <w:tcBorders>
              <w:top w:val="nil"/>
              <w:left w:val="nil"/>
              <w:bottom w:val="nil"/>
              <w:right w:val="nil"/>
            </w:tcBorders>
            <w:shd w:val="clear" w:color="auto" w:fill="auto"/>
            <w:noWrap/>
            <w:vAlign w:val="bottom"/>
            <w:hideMark/>
          </w:tcPr>
          <w:p w14:paraId="5AEF4040" w14:textId="77777777" w:rsidR="008A1E55" w:rsidRPr="006B42D6" w:rsidRDefault="008A1E55" w:rsidP="00E16CAE">
            <w:pPr>
              <w:rPr>
                <w:sz w:val="15"/>
                <w:szCs w:val="15"/>
              </w:rPr>
            </w:pPr>
            <w:r w:rsidRPr="006B42D6">
              <w:rPr>
                <w:sz w:val="15"/>
                <w:szCs w:val="15"/>
              </w:rPr>
              <w:t>9.3</w:t>
            </w:r>
          </w:p>
        </w:tc>
        <w:tc>
          <w:tcPr>
            <w:tcW w:w="865" w:type="dxa"/>
            <w:tcBorders>
              <w:top w:val="nil"/>
              <w:left w:val="nil"/>
              <w:bottom w:val="nil"/>
              <w:right w:val="nil"/>
            </w:tcBorders>
            <w:shd w:val="clear" w:color="auto" w:fill="auto"/>
            <w:noWrap/>
            <w:vAlign w:val="bottom"/>
            <w:hideMark/>
          </w:tcPr>
          <w:p w14:paraId="2780BECD" w14:textId="77777777" w:rsidR="008A1E55" w:rsidRPr="006B42D6" w:rsidRDefault="008A1E55" w:rsidP="00E16CAE">
            <w:pPr>
              <w:rPr>
                <w:sz w:val="15"/>
                <w:szCs w:val="15"/>
              </w:rPr>
            </w:pPr>
            <w:r w:rsidRPr="006B42D6">
              <w:rPr>
                <w:sz w:val="15"/>
                <w:szCs w:val="15"/>
              </w:rPr>
              <w:t>3.0</w:t>
            </w:r>
          </w:p>
        </w:tc>
      </w:tr>
      <w:tr w:rsidR="006B42D6" w:rsidRPr="006B42D6" w14:paraId="434BB95B" w14:textId="77777777" w:rsidTr="00355DF7">
        <w:trPr>
          <w:trHeight w:val="227"/>
        </w:trPr>
        <w:tc>
          <w:tcPr>
            <w:tcW w:w="1560" w:type="dxa"/>
            <w:tcBorders>
              <w:top w:val="nil"/>
              <w:left w:val="nil"/>
              <w:bottom w:val="nil"/>
              <w:right w:val="nil"/>
            </w:tcBorders>
            <w:shd w:val="clear" w:color="auto" w:fill="auto"/>
            <w:noWrap/>
            <w:vAlign w:val="bottom"/>
            <w:hideMark/>
          </w:tcPr>
          <w:p w14:paraId="441C44ED" w14:textId="77777777" w:rsidR="008A1E55" w:rsidRPr="006B42D6" w:rsidRDefault="008A1E55" w:rsidP="00E16CAE">
            <w:pPr>
              <w:rPr>
                <w:sz w:val="15"/>
                <w:szCs w:val="15"/>
              </w:rPr>
            </w:pPr>
            <w:r w:rsidRPr="006B42D6">
              <w:rPr>
                <w:sz w:val="15"/>
                <w:szCs w:val="15"/>
              </w:rPr>
              <w:t>Iringa</w:t>
            </w:r>
          </w:p>
        </w:tc>
        <w:tc>
          <w:tcPr>
            <w:tcW w:w="675" w:type="dxa"/>
            <w:tcBorders>
              <w:top w:val="nil"/>
              <w:left w:val="nil"/>
              <w:bottom w:val="nil"/>
              <w:right w:val="nil"/>
            </w:tcBorders>
            <w:shd w:val="clear" w:color="auto" w:fill="auto"/>
            <w:noWrap/>
            <w:vAlign w:val="bottom"/>
            <w:hideMark/>
          </w:tcPr>
          <w:p w14:paraId="0B8CFE29" w14:textId="77777777" w:rsidR="008A1E55" w:rsidRPr="006B42D6" w:rsidRDefault="008A1E55" w:rsidP="00E16CAE">
            <w:pPr>
              <w:rPr>
                <w:sz w:val="15"/>
                <w:szCs w:val="15"/>
              </w:rPr>
            </w:pPr>
            <w:r w:rsidRPr="006B42D6">
              <w:rPr>
                <w:sz w:val="15"/>
                <w:szCs w:val="15"/>
              </w:rPr>
              <w:t>0.9</w:t>
            </w:r>
          </w:p>
        </w:tc>
        <w:tc>
          <w:tcPr>
            <w:tcW w:w="1039" w:type="dxa"/>
            <w:tcBorders>
              <w:top w:val="nil"/>
              <w:left w:val="nil"/>
              <w:bottom w:val="nil"/>
              <w:right w:val="nil"/>
            </w:tcBorders>
            <w:shd w:val="clear" w:color="auto" w:fill="auto"/>
            <w:noWrap/>
            <w:vAlign w:val="bottom"/>
            <w:hideMark/>
          </w:tcPr>
          <w:p w14:paraId="3AFF1801" w14:textId="77777777" w:rsidR="008A1E55" w:rsidRPr="006B42D6" w:rsidRDefault="008A1E55" w:rsidP="00E16CAE">
            <w:pPr>
              <w:rPr>
                <w:sz w:val="15"/>
                <w:szCs w:val="15"/>
              </w:rPr>
            </w:pPr>
            <w:r w:rsidRPr="006B42D6">
              <w:rPr>
                <w:sz w:val="15"/>
                <w:szCs w:val="15"/>
              </w:rPr>
              <w:t>1.7</w:t>
            </w:r>
          </w:p>
        </w:tc>
        <w:tc>
          <w:tcPr>
            <w:tcW w:w="1102" w:type="dxa"/>
            <w:tcBorders>
              <w:top w:val="nil"/>
              <w:left w:val="nil"/>
              <w:bottom w:val="nil"/>
              <w:right w:val="nil"/>
            </w:tcBorders>
            <w:shd w:val="clear" w:color="auto" w:fill="auto"/>
            <w:noWrap/>
            <w:vAlign w:val="bottom"/>
            <w:hideMark/>
          </w:tcPr>
          <w:p w14:paraId="67489F2D" w14:textId="77777777" w:rsidR="008A1E55" w:rsidRPr="006B42D6" w:rsidRDefault="008A1E55" w:rsidP="00E16CAE">
            <w:pPr>
              <w:rPr>
                <w:sz w:val="15"/>
                <w:szCs w:val="15"/>
              </w:rPr>
            </w:pPr>
            <w:r w:rsidRPr="006B42D6">
              <w:rPr>
                <w:sz w:val="15"/>
                <w:szCs w:val="15"/>
              </w:rPr>
              <w:t>1.7</w:t>
            </w:r>
          </w:p>
        </w:tc>
        <w:tc>
          <w:tcPr>
            <w:tcW w:w="983" w:type="dxa"/>
            <w:tcBorders>
              <w:top w:val="nil"/>
              <w:left w:val="nil"/>
              <w:bottom w:val="nil"/>
              <w:right w:val="nil"/>
            </w:tcBorders>
            <w:shd w:val="clear" w:color="auto" w:fill="auto"/>
            <w:noWrap/>
            <w:vAlign w:val="bottom"/>
            <w:hideMark/>
          </w:tcPr>
          <w:p w14:paraId="680F5FC1" w14:textId="77777777" w:rsidR="008A1E55" w:rsidRPr="006B42D6" w:rsidRDefault="008A1E55" w:rsidP="00E16CAE">
            <w:pPr>
              <w:rPr>
                <w:sz w:val="15"/>
                <w:szCs w:val="15"/>
              </w:rPr>
            </w:pPr>
            <w:r w:rsidRPr="006B42D6">
              <w:rPr>
                <w:sz w:val="15"/>
                <w:szCs w:val="15"/>
              </w:rPr>
              <w:t>5.1</w:t>
            </w:r>
          </w:p>
        </w:tc>
        <w:tc>
          <w:tcPr>
            <w:tcW w:w="999" w:type="dxa"/>
            <w:tcBorders>
              <w:top w:val="nil"/>
              <w:left w:val="nil"/>
              <w:bottom w:val="nil"/>
              <w:right w:val="nil"/>
            </w:tcBorders>
            <w:shd w:val="clear" w:color="auto" w:fill="auto"/>
            <w:noWrap/>
            <w:vAlign w:val="bottom"/>
            <w:hideMark/>
          </w:tcPr>
          <w:p w14:paraId="30D96A39" w14:textId="77777777" w:rsidR="008A1E55" w:rsidRPr="006B42D6" w:rsidRDefault="008A1E55" w:rsidP="00E16CAE">
            <w:pPr>
              <w:rPr>
                <w:sz w:val="15"/>
                <w:szCs w:val="15"/>
              </w:rPr>
            </w:pPr>
            <w:r w:rsidRPr="006B42D6">
              <w:rPr>
                <w:sz w:val="15"/>
                <w:szCs w:val="15"/>
              </w:rPr>
              <w:t>2.2</w:t>
            </w:r>
          </w:p>
        </w:tc>
        <w:tc>
          <w:tcPr>
            <w:tcW w:w="843" w:type="dxa"/>
            <w:tcBorders>
              <w:top w:val="nil"/>
              <w:left w:val="nil"/>
              <w:bottom w:val="nil"/>
              <w:right w:val="nil"/>
            </w:tcBorders>
            <w:shd w:val="clear" w:color="auto" w:fill="auto"/>
            <w:noWrap/>
            <w:vAlign w:val="bottom"/>
            <w:hideMark/>
          </w:tcPr>
          <w:p w14:paraId="1FCCD0E5" w14:textId="77777777" w:rsidR="008A1E55" w:rsidRPr="006B42D6" w:rsidRDefault="008A1E55" w:rsidP="00E16CAE">
            <w:pPr>
              <w:rPr>
                <w:sz w:val="15"/>
                <w:szCs w:val="15"/>
              </w:rPr>
            </w:pPr>
            <w:r w:rsidRPr="006B42D6">
              <w:rPr>
                <w:sz w:val="15"/>
                <w:szCs w:val="15"/>
              </w:rPr>
              <w:t>7.1</w:t>
            </w:r>
          </w:p>
        </w:tc>
        <w:tc>
          <w:tcPr>
            <w:tcW w:w="850" w:type="dxa"/>
            <w:tcBorders>
              <w:top w:val="nil"/>
              <w:left w:val="nil"/>
              <w:bottom w:val="nil"/>
              <w:right w:val="nil"/>
            </w:tcBorders>
            <w:shd w:val="clear" w:color="auto" w:fill="auto"/>
            <w:noWrap/>
            <w:vAlign w:val="bottom"/>
            <w:hideMark/>
          </w:tcPr>
          <w:p w14:paraId="0F769FE9" w14:textId="77777777" w:rsidR="008A1E55" w:rsidRPr="006B42D6" w:rsidRDefault="008A1E55" w:rsidP="00E16CAE">
            <w:pPr>
              <w:rPr>
                <w:sz w:val="15"/>
                <w:szCs w:val="15"/>
              </w:rPr>
            </w:pPr>
            <w:r w:rsidRPr="006B42D6">
              <w:rPr>
                <w:sz w:val="15"/>
                <w:szCs w:val="15"/>
              </w:rPr>
              <w:t>5.5</w:t>
            </w:r>
          </w:p>
        </w:tc>
        <w:tc>
          <w:tcPr>
            <w:tcW w:w="843" w:type="dxa"/>
            <w:tcBorders>
              <w:top w:val="nil"/>
              <w:left w:val="nil"/>
              <w:bottom w:val="nil"/>
              <w:right w:val="nil"/>
            </w:tcBorders>
            <w:shd w:val="clear" w:color="auto" w:fill="auto"/>
            <w:noWrap/>
            <w:vAlign w:val="bottom"/>
            <w:hideMark/>
          </w:tcPr>
          <w:p w14:paraId="54E16265" w14:textId="77777777" w:rsidR="008A1E55" w:rsidRPr="006B42D6" w:rsidRDefault="008A1E55" w:rsidP="00E16CAE">
            <w:pPr>
              <w:rPr>
                <w:sz w:val="15"/>
                <w:szCs w:val="15"/>
              </w:rPr>
            </w:pPr>
            <w:r w:rsidRPr="006B42D6">
              <w:rPr>
                <w:sz w:val="15"/>
                <w:szCs w:val="15"/>
              </w:rPr>
              <w:t>0.0</w:t>
            </w:r>
          </w:p>
        </w:tc>
        <w:tc>
          <w:tcPr>
            <w:tcW w:w="865" w:type="dxa"/>
            <w:tcBorders>
              <w:top w:val="nil"/>
              <w:left w:val="nil"/>
              <w:bottom w:val="nil"/>
              <w:right w:val="nil"/>
            </w:tcBorders>
            <w:shd w:val="clear" w:color="auto" w:fill="auto"/>
            <w:noWrap/>
            <w:vAlign w:val="bottom"/>
            <w:hideMark/>
          </w:tcPr>
          <w:p w14:paraId="658891BC" w14:textId="77777777" w:rsidR="008A1E55" w:rsidRPr="006B42D6" w:rsidRDefault="008A1E55" w:rsidP="00E16CAE">
            <w:pPr>
              <w:rPr>
                <w:sz w:val="15"/>
                <w:szCs w:val="15"/>
              </w:rPr>
            </w:pPr>
            <w:r w:rsidRPr="006B42D6">
              <w:rPr>
                <w:sz w:val="15"/>
                <w:szCs w:val="15"/>
              </w:rPr>
              <w:t>3.2</w:t>
            </w:r>
          </w:p>
        </w:tc>
      </w:tr>
      <w:tr w:rsidR="006B42D6" w:rsidRPr="006B42D6" w14:paraId="38B13DBE" w14:textId="77777777" w:rsidTr="00355DF7">
        <w:trPr>
          <w:trHeight w:val="227"/>
        </w:trPr>
        <w:tc>
          <w:tcPr>
            <w:tcW w:w="1560" w:type="dxa"/>
            <w:tcBorders>
              <w:top w:val="nil"/>
              <w:left w:val="nil"/>
              <w:bottom w:val="nil"/>
              <w:right w:val="nil"/>
            </w:tcBorders>
            <w:shd w:val="clear" w:color="auto" w:fill="auto"/>
            <w:noWrap/>
            <w:vAlign w:val="bottom"/>
            <w:hideMark/>
          </w:tcPr>
          <w:p w14:paraId="4B12ACA7" w14:textId="77777777" w:rsidR="008A1E55" w:rsidRPr="006B42D6" w:rsidRDefault="008A1E55" w:rsidP="00E16CAE">
            <w:pPr>
              <w:rPr>
                <w:sz w:val="15"/>
                <w:szCs w:val="15"/>
              </w:rPr>
            </w:pPr>
            <w:r w:rsidRPr="006B42D6">
              <w:rPr>
                <w:sz w:val="15"/>
                <w:szCs w:val="15"/>
              </w:rPr>
              <w:t>Mbeya</w:t>
            </w:r>
          </w:p>
        </w:tc>
        <w:tc>
          <w:tcPr>
            <w:tcW w:w="675" w:type="dxa"/>
            <w:tcBorders>
              <w:top w:val="nil"/>
              <w:left w:val="nil"/>
              <w:bottom w:val="nil"/>
              <w:right w:val="nil"/>
            </w:tcBorders>
            <w:shd w:val="clear" w:color="auto" w:fill="auto"/>
            <w:noWrap/>
            <w:vAlign w:val="bottom"/>
            <w:hideMark/>
          </w:tcPr>
          <w:p w14:paraId="26765F48" w14:textId="77777777" w:rsidR="008A1E55" w:rsidRPr="006B42D6" w:rsidRDefault="008A1E55" w:rsidP="00E16CAE">
            <w:pPr>
              <w:rPr>
                <w:sz w:val="15"/>
                <w:szCs w:val="15"/>
              </w:rPr>
            </w:pPr>
            <w:r w:rsidRPr="006B42D6">
              <w:rPr>
                <w:sz w:val="15"/>
                <w:szCs w:val="15"/>
              </w:rPr>
              <w:t>2.9</w:t>
            </w:r>
          </w:p>
        </w:tc>
        <w:tc>
          <w:tcPr>
            <w:tcW w:w="1039" w:type="dxa"/>
            <w:tcBorders>
              <w:top w:val="nil"/>
              <w:left w:val="nil"/>
              <w:bottom w:val="nil"/>
              <w:right w:val="nil"/>
            </w:tcBorders>
            <w:shd w:val="clear" w:color="auto" w:fill="auto"/>
            <w:noWrap/>
            <w:vAlign w:val="bottom"/>
            <w:hideMark/>
          </w:tcPr>
          <w:p w14:paraId="2632141E" w14:textId="77777777" w:rsidR="008A1E55" w:rsidRPr="006B42D6" w:rsidRDefault="008A1E55" w:rsidP="00E16CAE">
            <w:pPr>
              <w:rPr>
                <w:sz w:val="15"/>
                <w:szCs w:val="15"/>
              </w:rPr>
            </w:pPr>
            <w:r w:rsidRPr="006B42D6">
              <w:rPr>
                <w:sz w:val="15"/>
                <w:szCs w:val="15"/>
              </w:rPr>
              <w:t>3.2</w:t>
            </w:r>
          </w:p>
        </w:tc>
        <w:tc>
          <w:tcPr>
            <w:tcW w:w="1102" w:type="dxa"/>
            <w:tcBorders>
              <w:top w:val="nil"/>
              <w:left w:val="nil"/>
              <w:bottom w:val="nil"/>
              <w:right w:val="nil"/>
            </w:tcBorders>
            <w:shd w:val="clear" w:color="auto" w:fill="auto"/>
            <w:noWrap/>
            <w:vAlign w:val="bottom"/>
            <w:hideMark/>
          </w:tcPr>
          <w:p w14:paraId="6A3A76E5" w14:textId="77777777" w:rsidR="008A1E55" w:rsidRPr="006B42D6" w:rsidRDefault="008A1E55" w:rsidP="00E16CAE">
            <w:pPr>
              <w:rPr>
                <w:sz w:val="15"/>
                <w:szCs w:val="15"/>
              </w:rPr>
            </w:pPr>
            <w:r w:rsidRPr="006B42D6">
              <w:rPr>
                <w:sz w:val="15"/>
                <w:szCs w:val="15"/>
              </w:rPr>
              <w:t>5.8</w:t>
            </w:r>
          </w:p>
        </w:tc>
        <w:tc>
          <w:tcPr>
            <w:tcW w:w="983" w:type="dxa"/>
            <w:tcBorders>
              <w:top w:val="nil"/>
              <w:left w:val="nil"/>
              <w:bottom w:val="nil"/>
              <w:right w:val="nil"/>
            </w:tcBorders>
            <w:shd w:val="clear" w:color="auto" w:fill="auto"/>
            <w:noWrap/>
            <w:vAlign w:val="bottom"/>
            <w:hideMark/>
          </w:tcPr>
          <w:p w14:paraId="5FF031A4" w14:textId="77777777" w:rsidR="008A1E55" w:rsidRPr="006B42D6" w:rsidRDefault="008A1E55" w:rsidP="00E16CAE">
            <w:pPr>
              <w:rPr>
                <w:sz w:val="15"/>
                <w:szCs w:val="15"/>
              </w:rPr>
            </w:pPr>
            <w:r w:rsidRPr="006B42D6">
              <w:rPr>
                <w:sz w:val="15"/>
                <w:szCs w:val="15"/>
              </w:rPr>
              <w:t>6.4</w:t>
            </w:r>
          </w:p>
        </w:tc>
        <w:tc>
          <w:tcPr>
            <w:tcW w:w="999" w:type="dxa"/>
            <w:tcBorders>
              <w:top w:val="nil"/>
              <w:left w:val="nil"/>
              <w:bottom w:val="nil"/>
              <w:right w:val="nil"/>
            </w:tcBorders>
            <w:shd w:val="clear" w:color="auto" w:fill="auto"/>
            <w:noWrap/>
            <w:vAlign w:val="bottom"/>
            <w:hideMark/>
          </w:tcPr>
          <w:p w14:paraId="1CAD437C" w14:textId="77777777" w:rsidR="008A1E55" w:rsidRPr="006B42D6" w:rsidRDefault="008A1E55" w:rsidP="00E16CAE">
            <w:pPr>
              <w:rPr>
                <w:sz w:val="15"/>
                <w:szCs w:val="15"/>
              </w:rPr>
            </w:pPr>
            <w:r w:rsidRPr="006B42D6">
              <w:rPr>
                <w:sz w:val="15"/>
                <w:szCs w:val="15"/>
              </w:rPr>
              <w:t>4.1</w:t>
            </w:r>
          </w:p>
        </w:tc>
        <w:tc>
          <w:tcPr>
            <w:tcW w:w="843" w:type="dxa"/>
            <w:tcBorders>
              <w:top w:val="nil"/>
              <w:left w:val="nil"/>
              <w:bottom w:val="nil"/>
              <w:right w:val="nil"/>
            </w:tcBorders>
            <w:shd w:val="clear" w:color="auto" w:fill="auto"/>
            <w:noWrap/>
            <w:vAlign w:val="bottom"/>
            <w:hideMark/>
          </w:tcPr>
          <w:p w14:paraId="3E02BCE5" w14:textId="77777777" w:rsidR="008A1E55" w:rsidRPr="006B42D6" w:rsidRDefault="008A1E55" w:rsidP="00E16CAE">
            <w:pPr>
              <w:rPr>
                <w:sz w:val="15"/>
                <w:szCs w:val="15"/>
              </w:rPr>
            </w:pPr>
            <w:r w:rsidRPr="006B42D6">
              <w:rPr>
                <w:sz w:val="15"/>
                <w:szCs w:val="15"/>
              </w:rPr>
              <w:t>7.6</w:t>
            </w:r>
          </w:p>
        </w:tc>
        <w:tc>
          <w:tcPr>
            <w:tcW w:w="850" w:type="dxa"/>
            <w:tcBorders>
              <w:top w:val="nil"/>
              <w:left w:val="nil"/>
              <w:bottom w:val="nil"/>
              <w:right w:val="nil"/>
            </w:tcBorders>
            <w:shd w:val="clear" w:color="auto" w:fill="auto"/>
            <w:noWrap/>
            <w:vAlign w:val="bottom"/>
            <w:hideMark/>
          </w:tcPr>
          <w:p w14:paraId="0A1576A9" w14:textId="77777777" w:rsidR="008A1E55" w:rsidRPr="006B42D6" w:rsidRDefault="008A1E55" w:rsidP="00E16CAE">
            <w:pPr>
              <w:rPr>
                <w:sz w:val="15"/>
                <w:szCs w:val="15"/>
              </w:rPr>
            </w:pPr>
            <w:r w:rsidRPr="006B42D6">
              <w:rPr>
                <w:sz w:val="15"/>
                <w:szCs w:val="15"/>
              </w:rPr>
              <w:t>9.3</w:t>
            </w:r>
          </w:p>
        </w:tc>
        <w:tc>
          <w:tcPr>
            <w:tcW w:w="843" w:type="dxa"/>
            <w:tcBorders>
              <w:top w:val="nil"/>
              <w:left w:val="nil"/>
              <w:bottom w:val="nil"/>
              <w:right w:val="nil"/>
            </w:tcBorders>
            <w:shd w:val="clear" w:color="auto" w:fill="auto"/>
            <w:noWrap/>
            <w:vAlign w:val="bottom"/>
            <w:hideMark/>
          </w:tcPr>
          <w:p w14:paraId="7475E039" w14:textId="77777777" w:rsidR="008A1E55" w:rsidRPr="006B42D6" w:rsidRDefault="008A1E55" w:rsidP="00E16CAE">
            <w:pPr>
              <w:rPr>
                <w:sz w:val="15"/>
                <w:szCs w:val="15"/>
              </w:rPr>
            </w:pPr>
            <w:r w:rsidRPr="006B42D6">
              <w:rPr>
                <w:sz w:val="15"/>
                <w:szCs w:val="15"/>
              </w:rPr>
              <w:t>1.3</w:t>
            </w:r>
          </w:p>
        </w:tc>
        <w:tc>
          <w:tcPr>
            <w:tcW w:w="865" w:type="dxa"/>
            <w:tcBorders>
              <w:top w:val="nil"/>
              <w:left w:val="nil"/>
              <w:bottom w:val="nil"/>
              <w:right w:val="nil"/>
            </w:tcBorders>
            <w:shd w:val="clear" w:color="auto" w:fill="auto"/>
            <w:noWrap/>
            <w:vAlign w:val="bottom"/>
            <w:hideMark/>
          </w:tcPr>
          <w:p w14:paraId="6927D8B3" w14:textId="77777777" w:rsidR="008A1E55" w:rsidRPr="006B42D6" w:rsidRDefault="008A1E55" w:rsidP="00E16CAE">
            <w:pPr>
              <w:rPr>
                <w:sz w:val="15"/>
                <w:szCs w:val="15"/>
              </w:rPr>
            </w:pPr>
            <w:r w:rsidRPr="006B42D6">
              <w:rPr>
                <w:sz w:val="15"/>
                <w:szCs w:val="15"/>
              </w:rPr>
              <w:t>25.9</w:t>
            </w:r>
          </w:p>
        </w:tc>
      </w:tr>
      <w:tr w:rsidR="006B42D6" w:rsidRPr="006B42D6" w14:paraId="075AACFB" w14:textId="77777777" w:rsidTr="00355DF7">
        <w:trPr>
          <w:trHeight w:val="227"/>
        </w:trPr>
        <w:tc>
          <w:tcPr>
            <w:tcW w:w="1560" w:type="dxa"/>
            <w:tcBorders>
              <w:top w:val="nil"/>
              <w:left w:val="nil"/>
              <w:bottom w:val="nil"/>
              <w:right w:val="nil"/>
            </w:tcBorders>
            <w:shd w:val="clear" w:color="auto" w:fill="auto"/>
            <w:noWrap/>
            <w:vAlign w:val="bottom"/>
            <w:hideMark/>
          </w:tcPr>
          <w:p w14:paraId="029A7F63" w14:textId="77777777" w:rsidR="008A1E55" w:rsidRPr="006B42D6" w:rsidRDefault="008A1E55" w:rsidP="00E16CAE">
            <w:pPr>
              <w:rPr>
                <w:sz w:val="15"/>
                <w:szCs w:val="15"/>
              </w:rPr>
            </w:pPr>
            <w:r w:rsidRPr="006B42D6">
              <w:rPr>
                <w:sz w:val="15"/>
                <w:szCs w:val="15"/>
              </w:rPr>
              <w:t>Singida</w:t>
            </w:r>
          </w:p>
        </w:tc>
        <w:tc>
          <w:tcPr>
            <w:tcW w:w="675" w:type="dxa"/>
            <w:tcBorders>
              <w:top w:val="nil"/>
              <w:left w:val="nil"/>
              <w:bottom w:val="nil"/>
              <w:right w:val="nil"/>
            </w:tcBorders>
            <w:shd w:val="clear" w:color="auto" w:fill="auto"/>
            <w:noWrap/>
            <w:vAlign w:val="bottom"/>
            <w:hideMark/>
          </w:tcPr>
          <w:p w14:paraId="7C15B8E0" w14:textId="77777777" w:rsidR="008A1E55" w:rsidRPr="006B42D6" w:rsidRDefault="008A1E55" w:rsidP="00E16CAE">
            <w:pPr>
              <w:rPr>
                <w:sz w:val="15"/>
                <w:szCs w:val="15"/>
              </w:rPr>
            </w:pPr>
            <w:r w:rsidRPr="006B42D6">
              <w:rPr>
                <w:sz w:val="15"/>
                <w:szCs w:val="15"/>
              </w:rPr>
              <w:t>4.3</w:t>
            </w:r>
          </w:p>
        </w:tc>
        <w:tc>
          <w:tcPr>
            <w:tcW w:w="1039" w:type="dxa"/>
            <w:tcBorders>
              <w:top w:val="nil"/>
              <w:left w:val="nil"/>
              <w:bottom w:val="nil"/>
              <w:right w:val="nil"/>
            </w:tcBorders>
            <w:shd w:val="clear" w:color="auto" w:fill="auto"/>
            <w:noWrap/>
            <w:vAlign w:val="bottom"/>
            <w:hideMark/>
          </w:tcPr>
          <w:p w14:paraId="68626741" w14:textId="77777777" w:rsidR="008A1E55" w:rsidRPr="006B42D6" w:rsidRDefault="008A1E55" w:rsidP="00E16CAE">
            <w:pPr>
              <w:rPr>
                <w:sz w:val="15"/>
                <w:szCs w:val="15"/>
              </w:rPr>
            </w:pPr>
            <w:r w:rsidRPr="006B42D6">
              <w:rPr>
                <w:sz w:val="15"/>
                <w:szCs w:val="15"/>
              </w:rPr>
              <w:t>4.8</w:t>
            </w:r>
          </w:p>
        </w:tc>
        <w:tc>
          <w:tcPr>
            <w:tcW w:w="1102" w:type="dxa"/>
            <w:tcBorders>
              <w:top w:val="nil"/>
              <w:left w:val="nil"/>
              <w:bottom w:val="nil"/>
              <w:right w:val="nil"/>
            </w:tcBorders>
            <w:shd w:val="clear" w:color="auto" w:fill="auto"/>
            <w:noWrap/>
            <w:vAlign w:val="bottom"/>
            <w:hideMark/>
          </w:tcPr>
          <w:p w14:paraId="22201F87" w14:textId="77777777" w:rsidR="008A1E55" w:rsidRPr="006B42D6" w:rsidRDefault="008A1E55" w:rsidP="00E16CAE">
            <w:pPr>
              <w:rPr>
                <w:sz w:val="15"/>
                <w:szCs w:val="15"/>
              </w:rPr>
            </w:pPr>
            <w:r w:rsidRPr="006B42D6">
              <w:rPr>
                <w:sz w:val="15"/>
                <w:szCs w:val="15"/>
              </w:rPr>
              <w:t>1.1</w:t>
            </w:r>
          </w:p>
        </w:tc>
        <w:tc>
          <w:tcPr>
            <w:tcW w:w="983" w:type="dxa"/>
            <w:tcBorders>
              <w:top w:val="nil"/>
              <w:left w:val="nil"/>
              <w:bottom w:val="nil"/>
              <w:right w:val="nil"/>
            </w:tcBorders>
            <w:shd w:val="clear" w:color="auto" w:fill="auto"/>
            <w:noWrap/>
            <w:vAlign w:val="bottom"/>
            <w:hideMark/>
          </w:tcPr>
          <w:p w14:paraId="45663BA2" w14:textId="77777777" w:rsidR="008A1E55" w:rsidRPr="006B42D6" w:rsidRDefault="008A1E55" w:rsidP="00E16CAE">
            <w:pPr>
              <w:rPr>
                <w:sz w:val="15"/>
                <w:szCs w:val="15"/>
              </w:rPr>
            </w:pPr>
            <w:r w:rsidRPr="006B42D6">
              <w:rPr>
                <w:sz w:val="15"/>
                <w:szCs w:val="15"/>
              </w:rPr>
              <w:t>1.6</w:t>
            </w:r>
          </w:p>
        </w:tc>
        <w:tc>
          <w:tcPr>
            <w:tcW w:w="999" w:type="dxa"/>
            <w:tcBorders>
              <w:top w:val="nil"/>
              <w:left w:val="nil"/>
              <w:bottom w:val="nil"/>
              <w:right w:val="nil"/>
            </w:tcBorders>
            <w:shd w:val="clear" w:color="auto" w:fill="auto"/>
            <w:noWrap/>
            <w:vAlign w:val="bottom"/>
            <w:hideMark/>
          </w:tcPr>
          <w:p w14:paraId="7E0A9B87" w14:textId="77777777" w:rsidR="008A1E55" w:rsidRPr="006B42D6" w:rsidRDefault="008A1E55" w:rsidP="00E16CAE">
            <w:pPr>
              <w:rPr>
                <w:sz w:val="15"/>
                <w:szCs w:val="15"/>
              </w:rPr>
            </w:pPr>
            <w:r w:rsidRPr="006B42D6">
              <w:rPr>
                <w:sz w:val="15"/>
                <w:szCs w:val="15"/>
              </w:rPr>
              <w:t>1.9</w:t>
            </w:r>
          </w:p>
        </w:tc>
        <w:tc>
          <w:tcPr>
            <w:tcW w:w="843" w:type="dxa"/>
            <w:tcBorders>
              <w:top w:val="nil"/>
              <w:left w:val="nil"/>
              <w:bottom w:val="nil"/>
              <w:right w:val="nil"/>
            </w:tcBorders>
            <w:shd w:val="clear" w:color="auto" w:fill="auto"/>
            <w:noWrap/>
            <w:vAlign w:val="bottom"/>
            <w:hideMark/>
          </w:tcPr>
          <w:p w14:paraId="77FD7689" w14:textId="77777777" w:rsidR="008A1E55" w:rsidRPr="006B42D6" w:rsidRDefault="008A1E55" w:rsidP="00E16CAE">
            <w:pPr>
              <w:rPr>
                <w:sz w:val="15"/>
                <w:szCs w:val="15"/>
              </w:rPr>
            </w:pPr>
            <w:r w:rsidRPr="006B42D6">
              <w:rPr>
                <w:sz w:val="15"/>
                <w:szCs w:val="15"/>
              </w:rPr>
              <w:t>1.2</w:t>
            </w:r>
          </w:p>
        </w:tc>
        <w:tc>
          <w:tcPr>
            <w:tcW w:w="850" w:type="dxa"/>
            <w:tcBorders>
              <w:top w:val="nil"/>
              <w:left w:val="nil"/>
              <w:bottom w:val="nil"/>
              <w:right w:val="nil"/>
            </w:tcBorders>
            <w:shd w:val="clear" w:color="auto" w:fill="auto"/>
            <w:noWrap/>
            <w:vAlign w:val="bottom"/>
            <w:hideMark/>
          </w:tcPr>
          <w:p w14:paraId="51B96692" w14:textId="77777777" w:rsidR="008A1E55" w:rsidRPr="006B42D6" w:rsidRDefault="008A1E55" w:rsidP="00E16CAE">
            <w:pPr>
              <w:rPr>
                <w:sz w:val="15"/>
                <w:szCs w:val="15"/>
              </w:rPr>
            </w:pPr>
            <w:r w:rsidRPr="006B42D6">
              <w:rPr>
                <w:sz w:val="15"/>
                <w:szCs w:val="15"/>
              </w:rPr>
              <w:t>2.6</w:t>
            </w:r>
          </w:p>
        </w:tc>
        <w:tc>
          <w:tcPr>
            <w:tcW w:w="843" w:type="dxa"/>
            <w:tcBorders>
              <w:top w:val="nil"/>
              <w:left w:val="nil"/>
              <w:bottom w:val="nil"/>
              <w:right w:val="nil"/>
            </w:tcBorders>
            <w:shd w:val="clear" w:color="auto" w:fill="auto"/>
            <w:noWrap/>
            <w:vAlign w:val="bottom"/>
            <w:hideMark/>
          </w:tcPr>
          <w:p w14:paraId="50A0D22B" w14:textId="77777777" w:rsidR="008A1E55" w:rsidRPr="006B42D6" w:rsidRDefault="008A1E55" w:rsidP="00E16CAE">
            <w:pPr>
              <w:rPr>
                <w:sz w:val="15"/>
                <w:szCs w:val="15"/>
              </w:rPr>
            </w:pPr>
            <w:r w:rsidRPr="006B42D6">
              <w:rPr>
                <w:sz w:val="15"/>
                <w:szCs w:val="15"/>
              </w:rPr>
              <w:t>0.0</w:t>
            </w:r>
          </w:p>
        </w:tc>
        <w:tc>
          <w:tcPr>
            <w:tcW w:w="865" w:type="dxa"/>
            <w:tcBorders>
              <w:top w:val="nil"/>
              <w:left w:val="nil"/>
              <w:bottom w:val="nil"/>
              <w:right w:val="nil"/>
            </w:tcBorders>
            <w:shd w:val="clear" w:color="auto" w:fill="auto"/>
            <w:noWrap/>
            <w:vAlign w:val="bottom"/>
            <w:hideMark/>
          </w:tcPr>
          <w:p w14:paraId="44ABA160" w14:textId="77777777" w:rsidR="008A1E55" w:rsidRPr="006B42D6" w:rsidRDefault="008A1E55" w:rsidP="00E16CAE">
            <w:pPr>
              <w:rPr>
                <w:sz w:val="15"/>
                <w:szCs w:val="15"/>
              </w:rPr>
            </w:pPr>
            <w:r w:rsidRPr="006B42D6">
              <w:rPr>
                <w:sz w:val="15"/>
                <w:szCs w:val="15"/>
              </w:rPr>
              <w:t>3.8</w:t>
            </w:r>
          </w:p>
        </w:tc>
      </w:tr>
      <w:tr w:rsidR="006B42D6" w:rsidRPr="006B42D6" w14:paraId="26CC2F9A" w14:textId="77777777" w:rsidTr="00355DF7">
        <w:trPr>
          <w:trHeight w:val="227"/>
        </w:trPr>
        <w:tc>
          <w:tcPr>
            <w:tcW w:w="1560" w:type="dxa"/>
            <w:tcBorders>
              <w:top w:val="nil"/>
              <w:left w:val="nil"/>
              <w:bottom w:val="nil"/>
              <w:right w:val="nil"/>
            </w:tcBorders>
            <w:shd w:val="clear" w:color="auto" w:fill="auto"/>
            <w:noWrap/>
            <w:vAlign w:val="bottom"/>
            <w:hideMark/>
          </w:tcPr>
          <w:p w14:paraId="3CAAC923" w14:textId="77777777" w:rsidR="008A1E55" w:rsidRPr="006B42D6" w:rsidRDefault="008A1E55" w:rsidP="00E16CAE">
            <w:pPr>
              <w:rPr>
                <w:sz w:val="15"/>
                <w:szCs w:val="15"/>
              </w:rPr>
            </w:pPr>
            <w:r w:rsidRPr="006B42D6">
              <w:rPr>
                <w:sz w:val="15"/>
                <w:szCs w:val="15"/>
              </w:rPr>
              <w:t>Tabora</w:t>
            </w:r>
          </w:p>
        </w:tc>
        <w:tc>
          <w:tcPr>
            <w:tcW w:w="675" w:type="dxa"/>
            <w:tcBorders>
              <w:top w:val="nil"/>
              <w:left w:val="nil"/>
              <w:bottom w:val="nil"/>
              <w:right w:val="nil"/>
            </w:tcBorders>
            <w:shd w:val="clear" w:color="auto" w:fill="auto"/>
            <w:noWrap/>
            <w:vAlign w:val="bottom"/>
            <w:hideMark/>
          </w:tcPr>
          <w:p w14:paraId="7EF32724" w14:textId="77777777" w:rsidR="008A1E55" w:rsidRPr="006B42D6" w:rsidRDefault="008A1E55" w:rsidP="00E16CAE">
            <w:pPr>
              <w:rPr>
                <w:sz w:val="15"/>
                <w:szCs w:val="15"/>
              </w:rPr>
            </w:pPr>
            <w:r w:rsidRPr="006B42D6">
              <w:rPr>
                <w:sz w:val="15"/>
                <w:szCs w:val="15"/>
              </w:rPr>
              <w:t>11.3</w:t>
            </w:r>
          </w:p>
        </w:tc>
        <w:tc>
          <w:tcPr>
            <w:tcW w:w="1039" w:type="dxa"/>
            <w:tcBorders>
              <w:top w:val="nil"/>
              <w:left w:val="nil"/>
              <w:bottom w:val="nil"/>
              <w:right w:val="nil"/>
            </w:tcBorders>
            <w:shd w:val="clear" w:color="auto" w:fill="auto"/>
            <w:noWrap/>
            <w:vAlign w:val="bottom"/>
            <w:hideMark/>
          </w:tcPr>
          <w:p w14:paraId="513191B4" w14:textId="77777777" w:rsidR="008A1E55" w:rsidRPr="006B42D6" w:rsidRDefault="008A1E55" w:rsidP="00E16CAE">
            <w:pPr>
              <w:rPr>
                <w:sz w:val="15"/>
                <w:szCs w:val="15"/>
              </w:rPr>
            </w:pPr>
            <w:r w:rsidRPr="006B42D6">
              <w:rPr>
                <w:sz w:val="15"/>
                <w:szCs w:val="15"/>
              </w:rPr>
              <w:t>6.0</w:t>
            </w:r>
          </w:p>
        </w:tc>
        <w:tc>
          <w:tcPr>
            <w:tcW w:w="1102" w:type="dxa"/>
            <w:tcBorders>
              <w:top w:val="nil"/>
              <w:left w:val="nil"/>
              <w:bottom w:val="nil"/>
              <w:right w:val="nil"/>
            </w:tcBorders>
            <w:shd w:val="clear" w:color="auto" w:fill="auto"/>
            <w:noWrap/>
            <w:vAlign w:val="bottom"/>
            <w:hideMark/>
          </w:tcPr>
          <w:p w14:paraId="75AF8985" w14:textId="77777777" w:rsidR="008A1E55" w:rsidRPr="006B42D6" w:rsidRDefault="008A1E55" w:rsidP="00E16CAE">
            <w:pPr>
              <w:rPr>
                <w:sz w:val="15"/>
                <w:szCs w:val="15"/>
              </w:rPr>
            </w:pPr>
            <w:r w:rsidRPr="006B42D6">
              <w:rPr>
                <w:sz w:val="15"/>
                <w:szCs w:val="15"/>
              </w:rPr>
              <w:t>3.2</w:t>
            </w:r>
          </w:p>
        </w:tc>
        <w:tc>
          <w:tcPr>
            <w:tcW w:w="983" w:type="dxa"/>
            <w:tcBorders>
              <w:top w:val="nil"/>
              <w:left w:val="nil"/>
              <w:bottom w:val="nil"/>
              <w:right w:val="nil"/>
            </w:tcBorders>
            <w:shd w:val="clear" w:color="auto" w:fill="auto"/>
            <w:noWrap/>
            <w:vAlign w:val="bottom"/>
            <w:hideMark/>
          </w:tcPr>
          <w:p w14:paraId="6A3B9911" w14:textId="77777777" w:rsidR="008A1E55" w:rsidRPr="006B42D6" w:rsidRDefault="008A1E55" w:rsidP="00E16CAE">
            <w:pPr>
              <w:rPr>
                <w:sz w:val="15"/>
                <w:szCs w:val="15"/>
              </w:rPr>
            </w:pPr>
            <w:r w:rsidRPr="006B42D6">
              <w:rPr>
                <w:sz w:val="15"/>
                <w:szCs w:val="15"/>
              </w:rPr>
              <w:t>2.8</w:t>
            </w:r>
          </w:p>
        </w:tc>
        <w:tc>
          <w:tcPr>
            <w:tcW w:w="999" w:type="dxa"/>
            <w:tcBorders>
              <w:top w:val="nil"/>
              <w:left w:val="nil"/>
              <w:bottom w:val="nil"/>
              <w:right w:val="nil"/>
            </w:tcBorders>
            <w:shd w:val="clear" w:color="auto" w:fill="auto"/>
            <w:noWrap/>
            <w:vAlign w:val="bottom"/>
            <w:hideMark/>
          </w:tcPr>
          <w:p w14:paraId="0B6C14CB" w14:textId="77777777" w:rsidR="008A1E55" w:rsidRPr="006B42D6" w:rsidRDefault="008A1E55" w:rsidP="00E16CAE">
            <w:pPr>
              <w:rPr>
                <w:sz w:val="15"/>
                <w:szCs w:val="15"/>
              </w:rPr>
            </w:pPr>
            <w:r w:rsidRPr="006B42D6">
              <w:rPr>
                <w:sz w:val="15"/>
                <w:szCs w:val="15"/>
              </w:rPr>
              <w:t>2.6</w:t>
            </w:r>
          </w:p>
        </w:tc>
        <w:tc>
          <w:tcPr>
            <w:tcW w:w="843" w:type="dxa"/>
            <w:tcBorders>
              <w:top w:val="nil"/>
              <w:left w:val="nil"/>
              <w:bottom w:val="nil"/>
              <w:right w:val="nil"/>
            </w:tcBorders>
            <w:shd w:val="clear" w:color="auto" w:fill="auto"/>
            <w:noWrap/>
            <w:vAlign w:val="bottom"/>
            <w:hideMark/>
          </w:tcPr>
          <w:p w14:paraId="4C666DA3" w14:textId="77777777" w:rsidR="008A1E55" w:rsidRPr="006B42D6" w:rsidRDefault="008A1E55" w:rsidP="00E16CAE">
            <w:pPr>
              <w:rPr>
                <w:sz w:val="15"/>
                <w:szCs w:val="15"/>
              </w:rPr>
            </w:pPr>
            <w:r w:rsidRPr="006B42D6">
              <w:rPr>
                <w:sz w:val="15"/>
                <w:szCs w:val="15"/>
              </w:rPr>
              <w:t>0.2</w:t>
            </w:r>
          </w:p>
        </w:tc>
        <w:tc>
          <w:tcPr>
            <w:tcW w:w="850" w:type="dxa"/>
            <w:tcBorders>
              <w:top w:val="nil"/>
              <w:left w:val="nil"/>
              <w:bottom w:val="nil"/>
              <w:right w:val="nil"/>
            </w:tcBorders>
            <w:shd w:val="clear" w:color="auto" w:fill="auto"/>
            <w:noWrap/>
            <w:vAlign w:val="bottom"/>
            <w:hideMark/>
          </w:tcPr>
          <w:p w14:paraId="1088E168" w14:textId="77777777" w:rsidR="008A1E55" w:rsidRPr="006B42D6" w:rsidRDefault="008A1E55" w:rsidP="00E16CAE">
            <w:pPr>
              <w:rPr>
                <w:sz w:val="15"/>
                <w:szCs w:val="15"/>
              </w:rPr>
            </w:pPr>
            <w:r w:rsidRPr="006B42D6">
              <w:rPr>
                <w:sz w:val="15"/>
                <w:szCs w:val="15"/>
              </w:rPr>
              <w:t>1.8</w:t>
            </w:r>
          </w:p>
        </w:tc>
        <w:tc>
          <w:tcPr>
            <w:tcW w:w="843" w:type="dxa"/>
            <w:tcBorders>
              <w:top w:val="nil"/>
              <w:left w:val="nil"/>
              <w:bottom w:val="nil"/>
              <w:right w:val="nil"/>
            </w:tcBorders>
            <w:shd w:val="clear" w:color="auto" w:fill="auto"/>
            <w:noWrap/>
            <w:vAlign w:val="bottom"/>
            <w:hideMark/>
          </w:tcPr>
          <w:p w14:paraId="6E3C086D" w14:textId="77777777" w:rsidR="008A1E55" w:rsidRPr="006B42D6" w:rsidRDefault="008A1E55" w:rsidP="00E16CAE">
            <w:pPr>
              <w:rPr>
                <w:sz w:val="15"/>
                <w:szCs w:val="15"/>
              </w:rPr>
            </w:pPr>
            <w:r w:rsidRPr="006B42D6">
              <w:rPr>
                <w:sz w:val="15"/>
                <w:szCs w:val="15"/>
              </w:rPr>
              <w:t>9.0</w:t>
            </w:r>
          </w:p>
        </w:tc>
        <w:tc>
          <w:tcPr>
            <w:tcW w:w="865" w:type="dxa"/>
            <w:tcBorders>
              <w:top w:val="nil"/>
              <w:left w:val="nil"/>
              <w:bottom w:val="nil"/>
              <w:right w:val="nil"/>
            </w:tcBorders>
            <w:shd w:val="clear" w:color="auto" w:fill="auto"/>
            <w:noWrap/>
            <w:vAlign w:val="bottom"/>
            <w:hideMark/>
          </w:tcPr>
          <w:p w14:paraId="101C3FE7" w14:textId="77777777" w:rsidR="008A1E55" w:rsidRPr="006B42D6" w:rsidRDefault="008A1E55" w:rsidP="00E16CAE">
            <w:pPr>
              <w:rPr>
                <w:sz w:val="15"/>
                <w:szCs w:val="15"/>
              </w:rPr>
            </w:pPr>
            <w:r w:rsidRPr="006B42D6">
              <w:rPr>
                <w:sz w:val="15"/>
                <w:szCs w:val="15"/>
              </w:rPr>
              <w:t>0.0</w:t>
            </w:r>
          </w:p>
        </w:tc>
      </w:tr>
      <w:tr w:rsidR="006B42D6" w:rsidRPr="006B42D6" w14:paraId="78407FE7" w14:textId="77777777" w:rsidTr="00355DF7">
        <w:trPr>
          <w:trHeight w:val="227"/>
        </w:trPr>
        <w:tc>
          <w:tcPr>
            <w:tcW w:w="1560" w:type="dxa"/>
            <w:tcBorders>
              <w:top w:val="nil"/>
              <w:left w:val="nil"/>
              <w:bottom w:val="nil"/>
              <w:right w:val="nil"/>
            </w:tcBorders>
            <w:shd w:val="clear" w:color="auto" w:fill="auto"/>
            <w:noWrap/>
            <w:vAlign w:val="bottom"/>
            <w:hideMark/>
          </w:tcPr>
          <w:p w14:paraId="024AE0A5" w14:textId="77777777" w:rsidR="008A1E55" w:rsidRPr="006B42D6" w:rsidRDefault="008A1E55" w:rsidP="00E16CAE">
            <w:pPr>
              <w:rPr>
                <w:sz w:val="15"/>
                <w:szCs w:val="15"/>
              </w:rPr>
            </w:pPr>
            <w:r w:rsidRPr="006B42D6">
              <w:rPr>
                <w:sz w:val="15"/>
                <w:szCs w:val="15"/>
              </w:rPr>
              <w:t>Rukwa</w:t>
            </w:r>
          </w:p>
        </w:tc>
        <w:tc>
          <w:tcPr>
            <w:tcW w:w="675" w:type="dxa"/>
            <w:tcBorders>
              <w:top w:val="nil"/>
              <w:left w:val="nil"/>
              <w:bottom w:val="nil"/>
              <w:right w:val="nil"/>
            </w:tcBorders>
            <w:shd w:val="clear" w:color="auto" w:fill="auto"/>
            <w:noWrap/>
            <w:vAlign w:val="bottom"/>
            <w:hideMark/>
          </w:tcPr>
          <w:p w14:paraId="0D98C82D" w14:textId="77777777" w:rsidR="008A1E55" w:rsidRPr="006B42D6" w:rsidRDefault="008A1E55" w:rsidP="00E16CAE">
            <w:pPr>
              <w:rPr>
                <w:sz w:val="15"/>
                <w:szCs w:val="15"/>
              </w:rPr>
            </w:pPr>
            <w:r w:rsidRPr="006B42D6">
              <w:rPr>
                <w:sz w:val="15"/>
                <w:szCs w:val="15"/>
              </w:rPr>
              <w:t>1.2</w:t>
            </w:r>
          </w:p>
        </w:tc>
        <w:tc>
          <w:tcPr>
            <w:tcW w:w="1039" w:type="dxa"/>
            <w:tcBorders>
              <w:top w:val="nil"/>
              <w:left w:val="nil"/>
              <w:bottom w:val="nil"/>
              <w:right w:val="nil"/>
            </w:tcBorders>
            <w:shd w:val="clear" w:color="auto" w:fill="auto"/>
            <w:noWrap/>
            <w:vAlign w:val="bottom"/>
            <w:hideMark/>
          </w:tcPr>
          <w:p w14:paraId="39441C99" w14:textId="77777777" w:rsidR="008A1E55" w:rsidRPr="006B42D6" w:rsidRDefault="008A1E55" w:rsidP="00E16CAE">
            <w:pPr>
              <w:rPr>
                <w:sz w:val="15"/>
                <w:szCs w:val="15"/>
              </w:rPr>
            </w:pPr>
            <w:r w:rsidRPr="006B42D6">
              <w:rPr>
                <w:sz w:val="15"/>
                <w:szCs w:val="15"/>
              </w:rPr>
              <w:t>4.2</w:t>
            </w:r>
          </w:p>
        </w:tc>
        <w:tc>
          <w:tcPr>
            <w:tcW w:w="1102" w:type="dxa"/>
            <w:tcBorders>
              <w:top w:val="nil"/>
              <w:left w:val="nil"/>
              <w:bottom w:val="nil"/>
              <w:right w:val="nil"/>
            </w:tcBorders>
            <w:shd w:val="clear" w:color="auto" w:fill="auto"/>
            <w:noWrap/>
            <w:vAlign w:val="bottom"/>
            <w:hideMark/>
          </w:tcPr>
          <w:p w14:paraId="0509F78C" w14:textId="77777777" w:rsidR="008A1E55" w:rsidRPr="006B42D6" w:rsidRDefault="008A1E55" w:rsidP="00E16CAE">
            <w:pPr>
              <w:rPr>
                <w:sz w:val="15"/>
                <w:szCs w:val="15"/>
              </w:rPr>
            </w:pPr>
            <w:r w:rsidRPr="006B42D6">
              <w:rPr>
                <w:sz w:val="15"/>
                <w:szCs w:val="15"/>
              </w:rPr>
              <w:t>1.4</w:t>
            </w:r>
          </w:p>
        </w:tc>
        <w:tc>
          <w:tcPr>
            <w:tcW w:w="983" w:type="dxa"/>
            <w:tcBorders>
              <w:top w:val="nil"/>
              <w:left w:val="nil"/>
              <w:bottom w:val="nil"/>
              <w:right w:val="nil"/>
            </w:tcBorders>
            <w:shd w:val="clear" w:color="auto" w:fill="auto"/>
            <w:noWrap/>
            <w:vAlign w:val="bottom"/>
            <w:hideMark/>
          </w:tcPr>
          <w:p w14:paraId="6A6A60CB" w14:textId="77777777" w:rsidR="008A1E55" w:rsidRPr="006B42D6" w:rsidRDefault="008A1E55" w:rsidP="00E16CAE">
            <w:pPr>
              <w:rPr>
                <w:sz w:val="15"/>
                <w:szCs w:val="15"/>
              </w:rPr>
            </w:pPr>
            <w:r w:rsidRPr="006B42D6">
              <w:rPr>
                <w:sz w:val="15"/>
                <w:szCs w:val="15"/>
              </w:rPr>
              <w:t>1.2</w:t>
            </w:r>
          </w:p>
        </w:tc>
        <w:tc>
          <w:tcPr>
            <w:tcW w:w="999" w:type="dxa"/>
            <w:tcBorders>
              <w:top w:val="nil"/>
              <w:left w:val="nil"/>
              <w:bottom w:val="nil"/>
              <w:right w:val="nil"/>
            </w:tcBorders>
            <w:shd w:val="clear" w:color="auto" w:fill="auto"/>
            <w:noWrap/>
            <w:vAlign w:val="bottom"/>
            <w:hideMark/>
          </w:tcPr>
          <w:p w14:paraId="0E1028A9" w14:textId="77777777" w:rsidR="008A1E55" w:rsidRPr="006B42D6" w:rsidRDefault="008A1E55" w:rsidP="00E16CAE">
            <w:pPr>
              <w:rPr>
                <w:sz w:val="15"/>
                <w:szCs w:val="15"/>
              </w:rPr>
            </w:pPr>
            <w:r w:rsidRPr="006B42D6">
              <w:rPr>
                <w:sz w:val="15"/>
                <w:szCs w:val="15"/>
              </w:rPr>
              <w:t>0.1</w:t>
            </w:r>
          </w:p>
        </w:tc>
        <w:tc>
          <w:tcPr>
            <w:tcW w:w="843" w:type="dxa"/>
            <w:tcBorders>
              <w:top w:val="nil"/>
              <w:left w:val="nil"/>
              <w:bottom w:val="nil"/>
              <w:right w:val="nil"/>
            </w:tcBorders>
            <w:shd w:val="clear" w:color="auto" w:fill="auto"/>
            <w:noWrap/>
            <w:vAlign w:val="bottom"/>
            <w:hideMark/>
          </w:tcPr>
          <w:p w14:paraId="1CF497DD" w14:textId="77777777" w:rsidR="008A1E55" w:rsidRPr="006B42D6" w:rsidRDefault="008A1E55" w:rsidP="00E16CAE">
            <w:pPr>
              <w:rPr>
                <w:sz w:val="15"/>
                <w:szCs w:val="15"/>
              </w:rPr>
            </w:pPr>
            <w:r w:rsidRPr="006B42D6">
              <w:rPr>
                <w:sz w:val="15"/>
                <w:szCs w:val="15"/>
              </w:rPr>
              <w:t>0.2</w:t>
            </w:r>
          </w:p>
        </w:tc>
        <w:tc>
          <w:tcPr>
            <w:tcW w:w="850" w:type="dxa"/>
            <w:tcBorders>
              <w:top w:val="nil"/>
              <w:left w:val="nil"/>
              <w:bottom w:val="nil"/>
              <w:right w:val="nil"/>
            </w:tcBorders>
            <w:shd w:val="clear" w:color="auto" w:fill="auto"/>
            <w:noWrap/>
            <w:vAlign w:val="bottom"/>
            <w:hideMark/>
          </w:tcPr>
          <w:p w14:paraId="6E72C329" w14:textId="77777777" w:rsidR="008A1E55" w:rsidRPr="006B42D6" w:rsidRDefault="008A1E55" w:rsidP="00E16CAE">
            <w:pPr>
              <w:rPr>
                <w:sz w:val="15"/>
                <w:szCs w:val="15"/>
              </w:rPr>
            </w:pPr>
            <w:r w:rsidRPr="006B42D6">
              <w:rPr>
                <w:sz w:val="15"/>
                <w:szCs w:val="15"/>
              </w:rPr>
              <w:t>2.2</w:t>
            </w:r>
          </w:p>
        </w:tc>
        <w:tc>
          <w:tcPr>
            <w:tcW w:w="843" w:type="dxa"/>
            <w:tcBorders>
              <w:top w:val="nil"/>
              <w:left w:val="nil"/>
              <w:bottom w:val="nil"/>
              <w:right w:val="nil"/>
            </w:tcBorders>
            <w:shd w:val="clear" w:color="auto" w:fill="auto"/>
            <w:noWrap/>
            <w:vAlign w:val="bottom"/>
            <w:hideMark/>
          </w:tcPr>
          <w:p w14:paraId="43B5FFD8" w14:textId="77777777" w:rsidR="008A1E55" w:rsidRPr="006B42D6" w:rsidRDefault="008A1E55" w:rsidP="00E16CAE">
            <w:pPr>
              <w:rPr>
                <w:sz w:val="15"/>
                <w:szCs w:val="15"/>
              </w:rPr>
            </w:pPr>
            <w:r w:rsidRPr="006B42D6">
              <w:rPr>
                <w:sz w:val="15"/>
                <w:szCs w:val="15"/>
              </w:rPr>
              <w:t>0.0</w:t>
            </w:r>
          </w:p>
        </w:tc>
        <w:tc>
          <w:tcPr>
            <w:tcW w:w="865" w:type="dxa"/>
            <w:tcBorders>
              <w:top w:val="nil"/>
              <w:left w:val="nil"/>
              <w:bottom w:val="nil"/>
              <w:right w:val="nil"/>
            </w:tcBorders>
            <w:shd w:val="clear" w:color="auto" w:fill="auto"/>
            <w:noWrap/>
            <w:vAlign w:val="bottom"/>
            <w:hideMark/>
          </w:tcPr>
          <w:p w14:paraId="3824D65D" w14:textId="77777777" w:rsidR="008A1E55" w:rsidRPr="006B42D6" w:rsidRDefault="008A1E55" w:rsidP="00E16CAE">
            <w:pPr>
              <w:rPr>
                <w:sz w:val="15"/>
                <w:szCs w:val="15"/>
              </w:rPr>
            </w:pPr>
            <w:r w:rsidRPr="006B42D6">
              <w:rPr>
                <w:sz w:val="15"/>
                <w:szCs w:val="15"/>
              </w:rPr>
              <w:t>0.7</w:t>
            </w:r>
          </w:p>
        </w:tc>
      </w:tr>
      <w:tr w:rsidR="006B42D6" w:rsidRPr="006B42D6" w14:paraId="765BA245" w14:textId="77777777" w:rsidTr="00355DF7">
        <w:trPr>
          <w:trHeight w:val="227"/>
        </w:trPr>
        <w:tc>
          <w:tcPr>
            <w:tcW w:w="1560" w:type="dxa"/>
            <w:tcBorders>
              <w:top w:val="nil"/>
              <w:left w:val="nil"/>
              <w:bottom w:val="nil"/>
              <w:right w:val="nil"/>
            </w:tcBorders>
            <w:shd w:val="clear" w:color="auto" w:fill="auto"/>
            <w:noWrap/>
            <w:vAlign w:val="bottom"/>
            <w:hideMark/>
          </w:tcPr>
          <w:p w14:paraId="5D77C41E" w14:textId="77777777" w:rsidR="008A1E55" w:rsidRPr="006B42D6" w:rsidRDefault="008A1E55" w:rsidP="00E16CAE">
            <w:pPr>
              <w:rPr>
                <w:sz w:val="15"/>
                <w:szCs w:val="15"/>
              </w:rPr>
            </w:pPr>
            <w:r w:rsidRPr="006B42D6">
              <w:rPr>
                <w:sz w:val="15"/>
                <w:szCs w:val="15"/>
              </w:rPr>
              <w:t>Kigoma</w:t>
            </w:r>
          </w:p>
        </w:tc>
        <w:tc>
          <w:tcPr>
            <w:tcW w:w="675" w:type="dxa"/>
            <w:tcBorders>
              <w:top w:val="nil"/>
              <w:left w:val="nil"/>
              <w:bottom w:val="nil"/>
              <w:right w:val="nil"/>
            </w:tcBorders>
            <w:shd w:val="clear" w:color="auto" w:fill="auto"/>
            <w:noWrap/>
            <w:vAlign w:val="bottom"/>
            <w:hideMark/>
          </w:tcPr>
          <w:p w14:paraId="56AB8ED6" w14:textId="77777777" w:rsidR="008A1E55" w:rsidRPr="006B42D6" w:rsidRDefault="008A1E55" w:rsidP="00E16CAE">
            <w:pPr>
              <w:rPr>
                <w:sz w:val="15"/>
                <w:szCs w:val="15"/>
              </w:rPr>
            </w:pPr>
            <w:r w:rsidRPr="006B42D6">
              <w:rPr>
                <w:sz w:val="15"/>
                <w:szCs w:val="15"/>
              </w:rPr>
              <w:t>0.9</w:t>
            </w:r>
          </w:p>
        </w:tc>
        <w:tc>
          <w:tcPr>
            <w:tcW w:w="1039" w:type="dxa"/>
            <w:tcBorders>
              <w:top w:val="nil"/>
              <w:left w:val="nil"/>
              <w:bottom w:val="nil"/>
              <w:right w:val="nil"/>
            </w:tcBorders>
            <w:shd w:val="clear" w:color="auto" w:fill="auto"/>
            <w:noWrap/>
            <w:vAlign w:val="bottom"/>
            <w:hideMark/>
          </w:tcPr>
          <w:p w14:paraId="0E937CB7" w14:textId="77777777" w:rsidR="008A1E55" w:rsidRPr="006B42D6" w:rsidRDefault="008A1E55" w:rsidP="00E16CAE">
            <w:pPr>
              <w:rPr>
                <w:sz w:val="15"/>
                <w:szCs w:val="15"/>
              </w:rPr>
            </w:pPr>
            <w:r w:rsidRPr="006B42D6">
              <w:rPr>
                <w:sz w:val="15"/>
                <w:szCs w:val="15"/>
              </w:rPr>
              <w:t>7.0</w:t>
            </w:r>
          </w:p>
        </w:tc>
        <w:tc>
          <w:tcPr>
            <w:tcW w:w="1102" w:type="dxa"/>
            <w:tcBorders>
              <w:top w:val="nil"/>
              <w:left w:val="nil"/>
              <w:bottom w:val="nil"/>
              <w:right w:val="nil"/>
            </w:tcBorders>
            <w:shd w:val="clear" w:color="auto" w:fill="auto"/>
            <w:noWrap/>
            <w:vAlign w:val="bottom"/>
            <w:hideMark/>
          </w:tcPr>
          <w:p w14:paraId="4B242B35" w14:textId="77777777" w:rsidR="008A1E55" w:rsidRPr="006B42D6" w:rsidRDefault="008A1E55" w:rsidP="00E16CAE">
            <w:pPr>
              <w:rPr>
                <w:sz w:val="15"/>
                <w:szCs w:val="15"/>
              </w:rPr>
            </w:pPr>
            <w:r w:rsidRPr="006B42D6">
              <w:rPr>
                <w:sz w:val="15"/>
                <w:szCs w:val="15"/>
              </w:rPr>
              <w:t>2.3</w:t>
            </w:r>
          </w:p>
        </w:tc>
        <w:tc>
          <w:tcPr>
            <w:tcW w:w="983" w:type="dxa"/>
            <w:tcBorders>
              <w:top w:val="nil"/>
              <w:left w:val="nil"/>
              <w:bottom w:val="nil"/>
              <w:right w:val="nil"/>
            </w:tcBorders>
            <w:shd w:val="clear" w:color="auto" w:fill="auto"/>
            <w:noWrap/>
            <w:vAlign w:val="bottom"/>
            <w:hideMark/>
          </w:tcPr>
          <w:p w14:paraId="459A68F8" w14:textId="77777777" w:rsidR="008A1E55" w:rsidRPr="006B42D6" w:rsidRDefault="008A1E55" w:rsidP="00E16CAE">
            <w:pPr>
              <w:rPr>
                <w:sz w:val="15"/>
                <w:szCs w:val="15"/>
              </w:rPr>
            </w:pPr>
            <w:r w:rsidRPr="006B42D6">
              <w:rPr>
                <w:sz w:val="15"/>
                <w:szCs w:val="15"/>
              </w:rPr>
              <w:t>2.1</w:t>
            </w:r>
          </w:p>
        </w:tc>
        <w:tc>
          <w:tcPr>
            <w:tcW w:w="999" w:type="dxa"/>
            <w:tcBorders>
              <w:top w:val="nil"/>
              <w:left w:val="nil"/>
              <w:bottom w:val="nil"/>
              <w:right w:val="nil"/>
            </w:tcBorders>
            <w:shd w:val="clear" w:color="auto" w:fill="auto"/>
            <w:noWrap/>
            <w:vAlign w:val="bottom"/>
            <w:hideMark/>
          </w:tcPr>
          <w:p w14:paraId="4FB9CE54" w14:textId="77777777" w:rsidR="008A1E55" w:rsidRPr="006B42D6" w:rsidRDefault="008A1E55" w:rsidP="00E16CAE">
            <w:pPr>
              <w:rPr>
                <w:sz w:val="15"/>
                <w:szCs w:val="15"/>
              </w:rPr>
            </w:pPr>
            <w:r w:rsidRPr="006B42D6">
              <w:rPr>
                <w:sz w:val="15"/>
                <w:szCs w:val="15"/>
              </w:rPr>
              <w:t>1.4</w:t>
            </w:r>
          </w:p>
        </w:tc>
        <w:tc>
          <w:tcPr>
            <w:tcW w:w="843" w:type="dxa"/>
            <w:tcBorders>
              <w:top w:val="nil"/>
              <w:left w:val="nil"/>
              <w:bottom w:val="nil"/>
              <w:right w:val="nil"/>
            </w:tcBorders>
            <w:shd w:val="clear" w:color="auto" w:fill="auto"/>
            <w:noWrap/>
            <w:vAlign w:val="bottom"/>
            <w:hideMark/>
          </w:tcPr>
          <w:p w14:paraId="262D5D5C" w14:textId="77777777" w:rsidR="008A1E55" w:rsidRPr="006B42D6" w:rsidRDefault="008A1E55" w:rsidP="00E16CAE">
            <w:pPr>
              <w:rPr>
                <w:sz w:val="15"/>
                <w:szCs w:val="15"/>
              </w:rPr>
            </w:pPr>
            <w:r w:rsidRPr="006B42D6">
              <w:rPr>
                <w:sz w:val="15"/>
                <w:szCs w:val="15"/>
              </w:rPr>
              <w:t>4.1</w:t>
            </w:r>
          </w:p>
        </w:tc>
        <w:tc>
          <w:tcPr>
            <w:tcW w:w="850" w:type="dxa"/>
            <w:tcBorders>
              <w:top w:val="nil"/>
              <w:left w:val="nil"/>
              <w:bottom w:val="nil"/>
              <w:right w:val="nil"/>
            </w:tcBorders>
            <w:shd w:val="clear" w:color="auto" w:fill="auto"/>
            <w:noWrap/>
            <w:vAlign w:val="bottom"/>
            <w:hideMark/>
          </w:tcPr>
          <w:p w14:paraId="35635B07" w14:textId="77777777" w:rsidR="008A1E55" w:rsidRPr="006B42D6" w:rsidRDefault="008A1E55" w:rsidP="00E16CAE">
            <w:pPr>
              <w:rPr>
                <w:sz w:val="15"/>
                <w:szCs w:val="15"/>
              </w:rPr>
            </w:pPr>
            <w:r w:rsidRPr="006B42D6">
              <w:rPr>
                <w:sz w:val="15"/>
                <w:szCs w:val="15"/>
              </w:rPr>
              <w:t>2.0</w:t>
            </w:r>
          </w:p>
        </w:tc>
        <w:tc>
          <w:tcPr>
            <w:tcW w:w="843" w:type="dxa"/>
            <w:tcBorders>
              <w:top w:val="nil"/>
              <w:left w:val="nil"/>
              <w:bottom w:val="nil"/>
              <w:right w:val="nil"/>
            </w:tcBorders>
            <w:shd w:val="clear" w:color="auto" w:fill="auto"/>
            <w:noWrap/>
            <w:vAlign w:val="bottom"/>
            <w:hideMark/>
          </w:tcPr>
          <w:p w14:paraId="3FA7F5C2" w14:textId="77777777" w:rsidR="008A1E55" w:rsidRPr="006B42D6" w:rsidRDefault="008A1E55" w:rsidP="00E16CAE">
            <w:pPr>
              <w:rPr>
                <w:sz w:val="15"/>
                <w:szCs w:val="15"/>
              </w:rPr>
            </w:pPr>
            <w:r w:rsidRPr="006B42D6">
              <w:rPr>
                <w:sz w:val="15"/>
                <w:szCs w:val="15"/>
              </w:rPr>
              <w:t>0.0</w:t>
            </w:r>
          </w:p>
        </w:tc>
        <w:tc>
          <w:tcPr>
            <w:tcW w:w="865" w:type="dxa"/>
            <w:tcBorders>
              <w:top w:val="nil"/>
              <w:left w:val="nil"/>
              <w:bottom w:val="nil"/>
              <w:right w:val="nil"/>
            </w:tcBorders>
            <w:shd w:val="clear" w:color="auto" w:fill="auto"/>
            <w:noWrap/>
            <w:vAlign w:val="bottom"/>
            <w:hideMark/>
          </w:tcPr>
          <w:p w14:paraId="298BE1A1" w14:textId="77777777" w:rsidR="008A1E55" w:rsidRPr="006B42D6" w:rsidRDefault="008A1E55" w:rsidP="00E16CAE">
            <w:pPr>
              <w:rPr>
                <w:sz w:val="15"/>
                <w:szCs w:val="15"/>
              </w:rPr>
            </w:pPr>
            <w:r w:rsidRPr="006B42D6">
              <w:rPr>
                <w:sz w:val="15"/>
                <w:szCs w:val="15"/>
              </w:rPr>
              <w:t>3.8</w:t>
            </w:r>
          </w:p>
        </w:tc>
      </w:tr>
      <w:tr w:rsidR="006B42D6" w:rsidRPr="006B42D6" w14:paraId="52F198E3" w14:textId="77777777" w:rsidTr="00355DF7">
        <w:trPr>
          <w:trHeight w:val="227"/>
        </w:trPr>
        <w:tc>
          <w:tcPr>
            <w:tcW w:w="1560" w:type="dxa"/>
            <w:tcBorders>
              <w:top w:val="nil"/>
              <w:left w:val="nil"/>
              <w:bottom w:val="nil"/>
              <w:right w:val="nil"/>
            </w:tcBorders>
            <w:shd w:val="clear" w:color="auto" w:fill="auto"/>
            <w:noWrap/>
            <w:vAlign w:val="bottom"/>
            <w:hideMark/>
          </w:tcPr>
          <w:p w14:paraId="346D2787" w14:textId="77777777" w:rsidR="008A1E55" w:rsidRPr="006B42D6" w:rsidRDefault="008A1E55" w:rsidP="00E16CAE">
            <w:pPr>
              <w:rPr>
                <w:sz w:val="15"/>
                <w:szCs w:val="15"/>
              </w:rPr>
            </w:pPr>
            <w:r w:rsidRPr="006B42D6">
              <w:rPr>
                <w:sz w:val="15"/>
                <w:szCs w:val="15"/>
              </w:rPr>
              <w:t>Shinyanga</w:t>
            </w:r>
          </w:p>
        </w:tc>
        <w:tc>
          <w:tcPr>
            <w:tcW w:w="675" w:type="dxa"/>
            <w:tcBorders>
              <w:top w:val="nil"/>
              <w:left w:val="nil"/>
              <w:bottom w:val="nil"/>
              <w:right w:val="nil"/>
            </w:tcBorders>
            <w:shd w:val="clear" w:color="auto" w:fill="auto"/>
            <w:noWrap/>
            <w:vAlign w:val="bottom"/>
            <w:hideMark/>
          </w:tcPr>
          <w:p w14:paraId="5A9246A0" w14:textId="77777777" w:rsidR="008A1E55" w:rsidRPr="006B42D6" w:rsidRDefault="008A1E55" w:rsidP="00E16CAE">
            <w:pPr>
              <w:rPr>
                <w:sz w:val="15"/>
                <w:szCs w:val="15"/>
              </w:rPr>
            </w:pPr>
            <w:r w:rsidRPr="006B42D6">
              <w:rPr>
                <w:sz w:val="15"/>
                <w:szCs w:val="15"/>
              </w:rPr>
              <w:t>7.3</w:t>
            </w:r>
          </w:p>
        </w:tc>
        <w:tc>
          <w:tcPr>
            <w:tcW w:w="1039" w:type="dxa"/>
            <w:tcBorders>
              <w:top w:val="nil"/>
              <w:left w:val="nil"/>
              <w:bottom w:val="nil"/>
              <w:right w:val="nil"/>
            </w:tcBorders>
            <w:shd w:val="clear" w:color="auto" w:fill="auto"/>
            <w:noWrap/>
            <w:vAlign w:val="bottom"/>
            <w:hideMark/>
          </w:tcPr>
          <w:p w14:paraId="38AC4723" w14:textId="77777777" w:rsidR="008A1E55" w:rsidRPr="006B42D6" w:rsidRDefault="008A1E55" w:rsidP="00E16CAE">
            <w:pPr>
              <w:rPr>
                <w:sz w:val="15"/>
                <w:szCs w:val="15"/>
              </w:rPr>
            </w:pPr>
            <w:r w:rsidRPr="006B42D6">
              <w:rPr>
                <w:sz w:val="15"/>
                <w:szCs w:val="15"/>
              </w:rPr>
              <w:t>2.8</w:t>
            </w:r>
          </w:p>
        </w:tc>
        <w:tc>
          <w:tcPr>
            <w:tcW w:w="1102" w:type="dxa"/>
            <w:tcBorders>
              <w:top w:val="nil"/>
              <w:left w:val="nil"/>
              <w:bottom w:val="nil"/>
              <w:right w:val="nil"/>
            </w:tcBorders>
            <w:shd w:val="clear" w:color="auto" w:fill="auto"/>
            <w:noWrap/>
            <w:vAlign w:val="bottom"/>
            <w:hideMark/>
          </w:tcPr>
          <w:p w14:paraId="4431C97B" w14:textId="77777777" w:rsidR="008A1E55" w:rsidRPr="006B42D6" w:rsidRDefault="008A1E55" w:rsidP="00E16CAE">
            <w:pPr>
              <w:rPr>
                <w:sz w:val="15"/>
                <w:szCs w:val="15"/>
              </w:rPr>
            </w:pPr>
            <w:r w:rsidRPr="006B42D6">
              <w:rPr>
                <w:sz w:val="15"/>
                <w:szCs w:val="15"/>
              </w:rPr>
              <w:t>3.8</w:t>
            </w:r>
          </w:p>
        </w:tc>
        <w:tc>
          <w:tcPr>
            <w:tcW w:w="983" w:type="dxa"/>
            <w:tcBorders>
              <w:top w:val="nil"/>
              <w:left w:val="nil"/>
              <w:bottom w:val="nil"/>
              <w:right w:val="nil"/>
            </w:tcBorders>
            <w:shd w:val="clear" w:color="auto" w:fill="auto"/>
            <w:noWrap/>
            <w:vAlign w:val="bottom"/>
            <w:hideMark/>
          </w:tcPr>
          <w:p w14:paraId="450B3D43" w14:textId="77777777" w:rsidR="008A1E55" w:rsidRPr="006B42D6" w:rsidRDefault="008A1E55" w:rsidP="00E16CAE">
            <w:pPr>
              <w:rPr>
                <w:sz w:val="15"/>
                <w:szCs w:val="15"/>
              </w:rPr>
            </w:pPr>
            <w:r w:rsidRPr="006B42D6">
              <w:rPr>
                <w:sz w:val="15"/>
                <w:szCs w:val="15"/>
              </w:rPr>
              <w:t>1.2</w:t>
            </w:r>
          </w:p>
        </w:tc>
        <w:tc>
          <w:tcPr>
            <w:tcW w:w="999" w:type="dxa"/>
            <w:tcBorders>
              <w:top w:val="nil"/>
              <w:left w:val="nil"/>
              <w:bottom w:val="nil"/>
              <w:right w:val="nil"/>
            </w:tcBorders>
            <w:shd w:val="clear" w:color="auto" w:fill="auto"/>
            <w:noWrap/>
            <w:vAlign w:val="bottom"/>
            <w:hideMark/>
          </w:tcPr>
          <w:p w14:paraId="5B3A1B6A" w14:textId="77777777" w:rsidR="008A1E55" w:rsidRPr="006B42D6" w:rsidRDefault="008A1E55" w:rsidP="00E16CAE">
            <w:pPr>
              <w:rPr>
                <w:sz w:val="15"/>
                <w:szCs w:val="15"/>
              </w:rPr>
            </w:pPr>
            <w:r w:rsidRPr="006B42D6">
              <w:rPr>
                <w:sz w:val="15"/>
                <w:szCs w:val="15"/>
              </w:rPr>
              <w:t>3.1</w:t>
            </w:r>
          </w:p>
        </w:tc>
        <w:tc>
          <w:tcPr>
            <w:tcW w:w="843" w:type="dxa"/>
            <w:tcBorders>
              <w:top w:val="nil"/>
              <w:left w:val="nil"/>
              <w:bottom w:val="nil"/>
              <w:right w:val="nil"/>
            </w:tcBorders>
            <w:shd w:val="clear" w:color="auto" w:fill="auto"/>
            <w:noWrap/>
            <w:vAlign w:val="bottom"/>
            <w:hideMark/>
          </w:tcPr>
          <w:p w14:paraId="5F3A96CF" w14:textId="77777777" w:rsidR="008A1E55" w:rsidRPr="006B42D6" w:rsidRDefault="008A1E55" w:rsidP="00E16CAE">
            <w:pPr>
              <w:rPr>
                <w:sz w:val="15"/>
                <w:szCs w:val="15"/>
              </w:rPr>
            </w:pPr>
            <w:r w:rsidRPr="006B42D6">
              <w:rPr>
                <w:sz w:val="15"/>
                <w:szCs w:val="15"/>
              </w:rPr>
              <w:t>0.9</w:t>
            </w:r>
          </w:p>
        </w:tc>
        <w:tc>
          <w:tcPr>
            <w:tcW w:w="850" w:type="dxa"/>
            <w:tcBorders>
              <w:top w:val="nil"/>
              <w:left w:val="nil"/>
              <w:bottom w:val="nil"/>
              <w:right w:val="nil"/>
            </w:tcBorders>
            <w:shd w:val="clear" w:color="auto" w:fill="auto"/>
            <w:noWrap/>
            <w:vAlign w:val="bottom"/>
            <w:hideMark/>
          </w:tcPr>
          <w:p w14:paraId="65B87337" w14:textId="77777777" w:rsidR="008A1E55" w:rsidRPr="006B42D6" w:rsidRDefault="008A1E55" w:rsidP="00E16CAE">
            <w:pPr>
              <w:rPr>
                <w:sz w:val="15"/>
                <w:szCs w:val="15"/>
              </w:rPr>
            </w:pPr>
            <w:r w:rsidRPr="006B42D6">
              <w:rPr>
                <w:sz w:val="15"/>
                <w:szCs w:val="15"/>
              </w:rPr>
              <w:t>0.6</w:t>
            </w:r>
          </w:p>
        </w:tc>
        <w:tc>
          <w:tcPr>
            <w:tcW w:w="843" w:type="dxa"/>
            <w:tcBorders>
              <w:top w:val="nil"/>
              <w:left w:val="nil"/>
              <w:bottom w:val="nil"/>
              <w:right w:val="nil"/>
            </w:tcBorders>
            <w:shd w:val="clear" w:color="auto" w:fill="auto"/>
            <w:noWrap/>
            <w:vAlign w:val="bottom"/>
            <w:hideMark/>
          </w:tcPr>
          <w:p w14:paraId="7028F406" w14:textId="77777777" w:rsidR="008A1E55" w:rsidRPr="006B42D6" w:rsidRDefault="008A1E55" w:rsidP="00E16CAE">
            <w:pPr>
              <w:rPr>
                <w:sz w:val="15"/>
                <w:szCs w:val="15"/>
              </w:rPr>
            </w:pPr>
            <w:r w:rsidRPr="006B42D6">
              <w:rPr>
                <w:sz w:val="15"/>
                <w:szCs w:val="15"/>
              </w:rPr>
              <w:t>0.0</w:t>
            </w:r>
          </w:p>
        </w:tc>
        <w:tc>
          <w:tcPr>
            <w:tcW w:w="865" w:type="dxa"/>
            <w:tcBorders>
              <w:top w:val="nil"/>
              <w:left w:val="nil"/>
              <w:bottom w:val="nil"/>
              <w:right w:val="nil"/>
            </w:tcBorders>
            <w:shd w:val="clear" w:color="auto" w:fill="auto"/>
            <w:noWrap/>
            <w:vAlign w:val="bottom"/>
            <w:hideMark/>
          </w:tcPr>
          <w:p w14:paraId="6E266B5C" w14:textId="77777777" w:rsidR="008A1E55" w:rsidRPr="006B42D6" w:rsidRDefault="008A1E55" w:rsidP="00E16CAE">
            <w:pPr>
              <w:rPr>
                <w:sz w:val="15"/>
                <w:szCs w:val="15"/>
              </w:rPr>
            </w:pPr>
            <w:r w:rsidRPr="006B42D6">
              <w:rPr>
                <w:sz w:val="15"/>
                <w:szCs w:val="15"/>
              </w:rPr>
              <w:t>6.2</w:t>
            </w:r>
          </w:p>
        </w:tc>
      </w:tr>
      <w:tr w:rsidR="006B42D6" w:rsidRPr="006B42D6" w14:paraId="2A0C39AF" w14:textId="77777777" w:rsidTr="00355DF7">
        <w:trPr>
          <w:trHeight w:val="227"/>
        </w:trPr>
        <w:tc>
          <w:tcPr>
            <w:tcW w:w="1560" w:type="dxa"/>
            <w:tcBorders>
              <w:top w:val="nil"/>
              <w:left w:val="nil"/>
              <w:bottom w:val="nil"/>
              <w:right w:val="nil"/>
            </w:tcBorders>
            <w:shd w:val="clear" w:color="auto" w:fill="auto"/>
            <w:noWrap/>
            <w:vAlign w:val="bottom"/>
            <w:hideMark/>
          </w:tcPr>
          <w:p w14:paraId="19832F08" w14:textId="77777777" w:rsidR="008A1E55" w:rsidRPr="006B42D6" w:rsidRDefault="008A1E55" w:rsidP="00E16CAE">
            <w:pPr>
              <w:rPr>
                <w:sz w:val="15"/>
                <w:szCs w:val="15"/>
              </w:rPr>
            </w:pPr>
            <w:r w:rsidRPr="006B42D6">
              <w:rPr>
                <w:sz w:val="15"/>
                <w:szCs w:val="15"/>
              </w:rPr>
              <w:t>Kagera</w:t>
            </w:r>
          </w:p>
        </w:tc>
        <w:tc>
          <w:tcPr>
            <w:tcW w:w="675" w:type="dxa"/>
            <w:tcBorders>
              <w:top w:val="nil"/>
              <w:left w:val="nil"/>
              <w:bottom w:val="nil"/>
              <w:right w:val="nil"/>
            </w:tcBorders>
            <w:shd w:val="clear" w:color="auto" w:fill="auto"/>
            <w:noWrap/>
            <w:vAlign w:val="bottom"/>
            <w:hideMark/>
          </w:tcPr>
          <w:p w14:paraId="58B01554" w14:textId="77777777" w:rsidR="008A1E55" w:rsidRPr="006B42D6" w:rsidRDefault="008A1E55" w:rsidP="00E16CAE">
            <w:pPr>
              <w:rPr>
                <w:sz w:val="15"/>
                <w:szCs w:val="15"/>
              </w:rPr>
            </w:pPr>
            <w:r w:rsidRPr="006B42D6">
              <w:rPr>
                <w:sz w:val="15"/>
                <w:szCs w:val="15"/>
              </w:rPr>
              <w:t>5.9</w:t>
            </w:r>
          </w:p>
        </w:tc>
        <w:tc>
          <w:tcPr>
            <w:tcW w:w="1039" w:type="dxa"/>
            <w:tcBorders>
              <w:top w:val="nil"/>
              <w:left w:val="nil"/>
              <w:bottom w:val="nil"/>
              <w:right w:val="nil"/>
            </w:tcBorders>
            <w:shd w:val="clear" w:color="auto" w:fill="auto"/>
            <w:noWrap/>
            <w:vAlign w:val="bottom"/>
            <w:hideMark/>
          </w:tcPr>
          <w:p w14:paraId="762F2608" w14:textId="77777777" w:rsidR="008A1E55" w:rsidRPr="006B42D6" w:rsidRDefault="008A1E55" w:rsidP="00E16CAE">
            <w:pPr>
              <w:rPr>
                <w:sz w:val="15"/>
                <w:szCs w:val="15"/>
              </w:rPr>
            </w:pPr>
            <w:r w:rsidRPr="006B42D6">
              <w:rPr>
                <w:sz w:val="15"/>
                <w:szCs w:val="15"/>
              </w:rPr>
              <w:t>8.2</w:t>
            </w:r>
          </w:p>
        </w:tc>
        <w:tc>
          <w:tcPr>
            <w:tcW w:w="1102" w:type="dxa"/>
            <w:tcBorders>
              <w:top w:val="nil"/>
              <w:left w:val="nil"/>
              <w:bottom w:val="nil"/>
              <w:right w:val="nil"/>
            </w:tcBorders>
            <w:shd w:val="clear" w:color="auto" w:fill="auto"/>
            <w:noWrap/>
            <w:vAlign w:val="bottom"/>
            <w:hideMark/>
          </w:tcPr>
          <w:p w14:paraId="09D2FE0A" w14:textId="77777777" w:rsidR="008A1E55" w:rsidRPr="006B42D6" w:rsidRDefault="008A1E55" w:rsidP="00E16CAE">
            <w:pPr>
              <w:rPr>
                <w:sz w:val="15"/>
                <w:szCs w:val="15"/>
              </w:rPr>
            </w:pPr>
            <w:r w:rsidRPr="006B42D6">
              <w:rPr>
                <w:sz w:val="15"/>
                <w:szCs w:val="15"/>
              </w:rPr>
              <w:t>9.2</w:t>
            </w:r>
          </w:p>
        </w:tc>
        <w:tc>
          <w:tcPr>
            <w:tcW w:w="983" w:type="dxa"/>
            <w:tcBorders>
              <w:top w:val="nil"/>
              <w:left w:val="nil"/>
              <w:bottom w:val="nil"/>
              <w:right w:val="nil"/>
            </w:tcBorders>
            <w:shd w:val="clear" w:color="auto" w:fill="auto"/>
            <w:noWrap/>
            <w:vAlign w:val="bottom"/>
            <w:hideMark/>
          </w:tcPr>
          <w:p w14:paraId="7E68864B" w14:textId="77777777" w:rsidR="008A1E55" w:rsidRPr="006B42D6" w:rsidRDefault="008A1E55" w:rsidP="00E16CAE">
            <w:pPr>
              <w:rPr>
                <w:sz w:val="15"/>
                <w:szCs w:val="15"/>
              </w:rPr>
            </w:pPr>
            <w:r w:rsidRPr="006B42D6">
              <w:rPr>
                <w:sz w:val="15"/>
                <w:szCs w:val="15"/>
              </w:rPr>
              <w:t>5.2</w:t>
            </w:r>
          </w:p>
        </w:tc>
        <w:tc>
          <w:tcPr>
            <w:tcW w:w="999" w:type="dxa"/>
            <w:tcBorders>
              <w:top w:val="nil"/>
              <w:left w:val="nil"/>
              <w:bottom w:val="nil"/>
              <w:right w:val="nil"/>
            </w:tcBorders>
            <w:shd w:val="clear" w:color="auto" w:fill="auto"/>
            <w:noWrap/>
            <w:vAlign w:val="bottom"/>
            <w:hideMark/>
          </w:tcPr>
          <w:p w14:paraId="0AF4E216" w14:textId="77777777" w:rsidR="008A1E55" w:rsidRPr="006B42D6" w:rsidRDefault="008A1E55" w:rsidP="00E16CAE">
            <w:pPr>
              <w:rPr>
                <w:sz w:val="15"/>
                <w:szCs w:val="15"/>
              </w:rPr>
            </w:pPr>
            <w:r w:rsidRPr="006B42D6">
              <w:rPr>
                <w:sz w:val="15"/>
                <w:szCs w:val="15"/>
              </w:rPr>
              <w:t>4.3</w:t>
            </w:r>
          </w:p>
        </w:tc>
        <w:tc>
          <w:tcPr>
            <w:tcW w:w="843" w:type="dxa"/>
            <w:tcBorders>
              <w:top w:val="nil"/>
              <w:left w:val="nil"/>
              <w:bottom w:val="nil"/>
              <w:right w:val="nil"/>
            </w:tcBorders>
            <w:shd w:val="clear" w:color="auto" w:fill="auto"/>
            <w:noWrap/>
            <w:vAlign w:val="bottom"/>
            <w:hideMark/>
          </w:tcPr>
          <w:p w14:paraId="6F921CC3" w14:textId="77777777" w:rsidR="008A1E55" w:rsidRPr="006B42D6" w:rsidRDefault="008A1E55" w:rsidP="00E16CAE">
            <w:pPr>
              <w:rPr>
                <w:sz w:val="15"/>
                <w:szCs w:val="15"/>
              </w:rPr>
            </w:pPr>
            <w:r w:rsidRPr="006B42D6">
              <w:rPr>
                <w:sz w:val="15"/>
                <w:szCs w:val="15"/>
              </w:rPr>
              <w:t>0.9</w:t>
            </w:r>
          </w:p>
        </w:tc>
        <w:tc>
          <w:tcPr>
            <w:tcW w:w="850" w:type="dxa"/>
            <w:tcBorders>
              <w:top w:val="nil"/>
              <w:left w:val="nil"/>
              <w:bottom w:val="nil"/>
              <w:right w:val="nil"/>
            </w:tcBorders>
            <w:shd w:val="clear" w:color="auto" w:fill="auto"/>
            <w:noWrap/>
            <w:vAlign w:val="bottom"/>
            <w:hideMark/>
          </w:tcPr>
          <w:p w14:paraId="53665C93" w14:textId="77777777" w:rsidR="008A1E55" w:rsidRPr="006B42D6" w:rsidRDefault="008A1E55" w:rsidP="00E16CAE">
            <w:pPr>
              <w:rPr>
                <w:sz w:val="15"/>
                <w:szCs w:val="15"/>
              </w:rPr>
            </w:pPr>
            <w:r w:rsidRPr="006B42D6">
              <w:rPr>
                <w:sz w:val="15"/>
                <w:szCs w:val="15"/>
              </w:rPr>
              <w:t>0.9</w:t>
            </w:r>
          </w:p>
        </w:tc>
        <w:tc>
          <w:tcPr>
            <w:tcW w:w="843" w:type="dxa"/>
            <w:tcBorders>
              <w:top w:val="nil"/>
              <w:left w:val="nil"/>
              <w:bottom w:val="nil"/>
              <w:right w:val="nil"/>
            </w:tcBorders>
            <w:shd w:val="clear" w:color="auto" w:fill="auto"/>
            <w:noWrap/>
            <w:vAlign w:val="bottom"/>
            <w:hideMark/>
          </w:tcPr>
          <w:p w14:paraId="18FA576F" w14:textId="77777777" w:rsidR="008A1E55" w:rsidRPr="006B42D6" w:rsidRDefault="008A1E55" w:rsidP="00E16CAE">
            <w:pPr>
              <w:rPr>
                <w:sz w:val="15"/>
                <w:szCs w:val="15"/>
              </w:rPr>
            </w:pPr>
            <w:r w:rsidRPr="006B42D6">
              <w:rPr>
                <w:sz w:val="15"/>
                <w:szCs w:val="15"/>
              </w:rPr>
              <w:t>1.6</w:t>
            </w:r>
          </w:p>
        </w:tc>
        <w:tc>
          <w:tcPr>
            <w:tcW w:w="865" w:type="dxa"/>
            <w:tcBorders>
              <w:top w:val="nil"/>
              <w:left w:val="nil"/>
              <w:bottom w:val="nil"/>
              <w:right w:val="nil"/>
            </w:tcBorders>
            <w:shd w:val="clear" w:color="auto" w:fill="auto"/>
            <w:noWrap/>
            <w:vAlign w:val="bottom"/>
            <w:hideMark/>
          </w:tcPr>
          <w:p w14:paraId="56F9039B" w14:textId="77777777" w:rsidR="008A1E55" w:rsidRPr="006B42D6" w:rsidRDefault="008A1E55" w:rsidP="00E16CAE">
            <w:pPr>
              <w:rPr>
                <w:sz w:val="15"/>
                <w:szCs w:val="15"/>
              </w:rPr>
            </w:pPr>
            <w:r w:rsidRPr="006B42D6">
              <w:rPr>
                <w:sz w:val="15"/>
                <w:szCs w:val="15"/>
              </w:rPr>
              <w:t>13.1</w:t>
            </w:r>
          </w:p>
        </w:tc>
      </w:tr>
      <w:tr w:rsidR="006B42D6" w:rsidRPr="006B42D6" w14:paraId="0EB7BD8B" w14:textId="77777777" w:rsidTr="00355DF7">
        <w:trPr>
          <w:trHeight w:val="227"/>
        </w:trPr>
        <w:tc>
          <w:tcPr>
            <w:tcW w:w="1560" w:type="dxa"/>
            <w:tcBorders>
              <w:top w:val="nil"/>
              <w:left w:val="nil"/>
              <w:bottom w:val="nil"/>
              <w:right w:val="nil"/>
            </w:tcBorders>
            <w:shd w:val="clear" w:color="auto" w:fill="auto"/>
            <w:noWrap/>
            <w:vAlign w:val="bottom"/>
            <w:hideMark/>
          </w:tcPr>
          <w:p w14:paraId="320DC963" w14:textId="77777777" w:rsidR="008A1E55" w:rsidRPr="006B42D6" w:rsidRDefault="008A1E55" w:rsidP="00E16CAE">
            <w:pPr>
              <w:rPr>
                <w:sz w:val="15"/>
                <w:szCs w:val="15"/>
              </w:rPr>
            </w:pPr>
            <w:r w:rsidRPr="006B42D6">
              <w:rPr>
                <w:sz w:val="15"/>
                <w:szCs w:val="15"/>
              </w:rPr>
              <w:t>Mwanza</w:t>
            </w:r>
          </w:p>
        </w:tc>
        <w:tc>
          <w:tcPr>
            <w:tcW w:w="675" w:type="dxa"/>
            <w:tcBorders>
              <w:top w:val="nil"/>
              <w:left w:val="nil"/>
              <w:bottom w:val="nil"/>
              <w:right w:val="nil"/>
            </w:tcBorders>
            <w:shd w:val="clear" w:color="auto" w:fill="auto"/>
            <w:noWrap/>
            <w:vAlign w:val="bottom"/>
            <w:hideMark/>
          </w:tcPr>
          <w:p w14:paraId="55F3BA7F" w14:textId="77777777" w:rsidR="008A1E55" w:rsidRPr="006B42D6" w:rsidRDefault="008A1E55" w:rsidP="00E16CAE">
            <w:pPr>
              <w:rPr>
                <w:sz w:val="15"/>
                <w:szCs w:val="15"/>
              </w:rPr>
            </w:pPr>
            <w:r w:rsidRPr="006B42D6">
              <w:rPr>
                <w:sz w:val="15"/>
                <w:szCs w:val="15"/>
              </w:rPr>
              <w:t>5.9</w:t>
            </w:r>
          </w:p>
        </w:tc>
        <w:tc>
          <w:tcPr>
            <w:tcW w:w="1039" w:type="dxa"/>
            <w:tcBorders>
              <w:top w:val="nil"/>
              <w:left w:val="nil"/>
              <w:bottom w:val="nil"/>
              <w:right w:val="nil"/>
            </w:tcBorders>
            <w:shd w:val="clear" w:color="auto" w:fill="auto"/>
            <w:noWrap/>
            <w:vAlign w:val="bottom"/>
            <w:hideMark/>
          </w:tcPr>
          <w:p w14:paraId="02468AAF" w14:textId="77777777" w:rsidR="008A1E55" w:rsidRPr="006B42D6" w:rsidRDefault="008A1E55" w:rsidP="00E16CAE">
            <w:pPr>
              <w:rPr>
                <w:sz w:val="15"/>
                <w:szCs w:val="15"/>
              </w:rPr>
            </w:pPr>
            <w:r w:rsidRPr="006B42D6">
              <w:rPr>
                <w:sz w:val="15"/>
                <w:szCs w:val="15"/>
              </w:rPr>
              <w:t>5.2</w:t>
            </w:r>
          </w:p>
        </w:tc>
        <w:tc>
          <w:tcPr>
            <w:tcW w:w="1102" w:type="dxa"/>
            <w:tcBorders>
              <w:top w:val="nil"/>
              <w:left w:val="nil"/>
              <w:bottom w:val="nil"/>
              <w:right w:val="nil"/>
            </w:tcBorders>
            <w:shd w:val="clear" w:color="auto" w:fill="auto"/>
            <w:noWrap/>
            <w:vAlign w:val="bottom"/>
            <w:hideMark/>
          </w:tcPr>
          <w:p w14:paraId="6743084E" w14:textId="77777777" w:rsidR="008A1E55" w:rsidRPr="006B42D6" w:rsidRDefault="008A1E55" w:rsidP="00E16CAE">
            <w:pPr>
              <w:rPr>
                <w:sz w:val="15"/>
                <w:szCs w:val="15"/>
              </w:rPr>
            </w:pPr>
            <w:r w:rsidRPr="006B42D6">
              <w:rPr>
                <w:sz w:val="15"/>
                <w:szCs w:val="15"/>
              </w:rPr>
              <w:t>5.3</w:t>
            </w:r>
          </w:p>
        </w:tc>
        <w:tc>
          <w:tcPr>
            <w:tcW w:w="983" w:type="dxa"/>
            <w:tcBorders>
              <w:top w:val="nil"/>
              <w:left w:val="nil"/>
              <w:bottom w:val="nil"/>
              <w:right w:val="nil"/>
            </w:tcBorders>
            <w:shd w:val="clear" w:color="auto" w:fill="auto"/>
            <w:noWrap/>
            <w:vAlign w:val="bottom"/>
            <w:hideMark/>
          </w:tcPr>
          <w:p w14:paraId="11A2830A" w14:textId="77777777" w:rsidR="008A1E55" w:rsidRPr="006B42D6" w:rsidRDefault="008A1E55" w:rsidP="00E16CAE">
            <w:pPr>
              <w:rPr>
                <w:sz w:val="15"/>
                <w:szCs w:val="15"/>
              </w:rPr>
            </w:pPr>
            <w:r w:rsidRPr="006B42D6">
              <w:rPr>
                <w:sz w:val="15"/>
                <w:szCs w:val="15"/>
              </w:rPr>
              <w:t>5.3</w:t>
            </w:r>
          </w:p>
        </w:tc>
        <w:tc>
          <w:tcPr>
            <w:tcW w:w="999" w:type="dxa"/>
            <w:tcBorders>
              <w:top w:val="nil"/>
              <w:left w:val="nil"/>
              <w:bottom w:val="nil"/>
              <w:right w:val="nil"/>
            </w:tcBorders>
            <w:shd w:val="clear" w:color="auto" w:fill="auto"/>
            <w:noWrap/>
            <w:vAlign w:val="bottom"/>
            <w:hideMark/>
          </w:tcPr>
          <w:p w14:paraId="2289D3ED" w14:textId="77777777" w:rsidR="008A1E55" w:rsidRPr="006B42D6" w:rsidRDefault="008A1E55" w:rsidP="00E16CAE">
            <w:pPr>
              <w:rPr>
                <w:sz w:val="15"/>
                <w:szCs w:val="15"/>
              </w:rPr>
            </w:pPr>
            <w:r w:rsidRPr="006B42D6">
              <w:rPr>
                <w:sz w:val="15"/>
                <w:szCs w:val="15"/>
              </w:rPr>
              <w:t>6.2</w:t>
            </w:r>
          </w:p>
        </w:tc>
        <w:tc>
          <w:tcPr>
            <w:tcW w:w="843" w:type="dxa"/>
            <w:tcBorders>
              <w:top w:val="nil"/>
              <w:left w:val="nil"/>
              <w:bottom w:val="nil"/>
              <w:right w:val="nil"/>
            </w:tcBorders>
            <w:shd w:val="clear" w:color="auto" w:fill="auto"/>
            <w:noWrap/>
            <w:vAlign w:val="bottom"/>
            <w:hideMark/>
          </w:tcPr>
          <w:p w14:paraId="1C93F4E8" w14:textId="77777777" w:rsidR="008A1E55" w:rsidRPr="006B42D6" w:rsidRDefault="008A1E55" w:rsidP="00E16CAE">
            <w:pPr>
              <w:rPr>
                <w:sz w:val="15"/>
                <w:szCs w:val="15"/>
              </w:rPr>
            </w:pPr>
            <w:r w:rsidRPr="006B42D6">
              <w:rPr>
                <w:sz w:val="15"/>
                <w:szCs w:val="15"/>
              </w:rPr>
              <w:t>2.8</w:t>
            </w:r>
          </w:p>
        </w:tc>
        <w:tc>
          <w:tcPr>
            <w:tcW w:w="850" w:type="dxa"/>
            <w:tcBorders>
              <w:top w:val="nil"/>
              <w:left w:val="nil"/>
              <w:bottom w:val="nil"/>
              <w:right w:val="nil"/>
            </w:tcBorders>
            <w:shd w:val="clear" w:color="auto" w:fill="auto"/>
            <w:noWrap/>
            <w:vAlign w:val="bottom"/>
            <w:hideMark/>
          </w:tcPr>
          <w:p w14:paraId="73271888" w14:textId="77777777" w:rsidR="008A1E55" w:rsidRPr="006B42D6" w:rsidRDefault="008A1E55" w:rsidP="00E16CAE">
            <w:pPr>
              <w:rPr>
                <w:sz w:val="15"/>
                <w:szCs w:val="15"/>
              </w:rPr>
            </w:pPr>
            <w:r w:rsidRPr="006B42D6">
              <w:rPr>
                <w:sz w:val="15"/>
                <w:szCs w:val="15"/>
              </w:rPr>
              <w:t>4.8</w:t>
            </w:r>
          </w:p>
        </w:tc>
        <w:tc>
          <w:tcPr>
            <w:tcW w:w="843" w:type="dxa"/>
            <w:tcBorders>
              <w:top w:val="nil"/>
              <w:left w:val="nil"/>
              <w:bottom w:val="nil"/>
              <w:right w:val="nil"/>
            </w:tcBorders>
            <w:shd w:val="clear" w:color="auto" w:fill="auto"/>
            <w:noWrap/>
            <w:vAlign w:val="bottom"/>
            <w:hideMark/>
          </w:tcPr>
          <w:p w14:paraId="3DE518B6" w14:textId="77777777" w:rsidR="008A1E55" w:rsidRPr="006B42D6" w:rsidRDefault="008A1E55" w:rsidP="00E16CAE">
            <w:pPr>
              <w:rPr>
                <w:sz w:val="15"/>
                <w:szCs w:val="15"/>
              </w:rPr>
            </w:pPr>
            <w:r w:rsidRPr="006B42D6">
              <w:rPr>
                <w:sz w:val="15"/>
                <w:szCs w:val="15"/>
              </w:rPr>
              <w:t>38.4</w:t>
            </w:r>
          </w:p>
        </w:tc>
        <w:tc>
          <w:tcPr>
            <w:tcW w:w="865" w:type="dxa"/>
            <w:tcBorders>
              <w:top w:val="nil"/>
              <w:left w:val="nil"/>
              <w:bottom w:val="nil"/>
              <w:right w:val="nil"/>
            </w:tcBorders>
            <w:shd w:val="clear" w:color="auto" w:fill="auto"/>
            <w:noWrap/>
            <w:vAlign w:val="bottom"/>
            <w:hideMark/>
          </w:tcPr>
          <w:p w14:paraId="18F1C8F9" w14:textId="77777777" w:rsidR="008A1E55" w:rsidRPr="006B42D6" w:rsidRDefault="008A1E55" w:rsidP="00E16CAE">
            <w:pPr>
              <w:rPr>
                <w:sz w:val="15"/>
                <w:szCs w:val="15"/>
              </w:rPr>
            </w:pPr>
            <w:r w:rsidRPr="006B42D6">
              <w:rPr>
                <w:sz w:val="15"/>
                <w:szCs w:val="15"/>
              </w:rPr>
              <w:t>2.9</w:t>
            </w:r>
          </w:p>
        </w:tc>
      </w:tr>
      <w:tr w:rsidR="006B42D6" w:rsidRPr="006B42D6" w14:paraId="1503225C" w14:textId="77777777" w:rsidTr="00355DF7">
        <w:trPr>
          <w:trHeight w:val="227"/>
        </w:trPr>
        <w:tc>
          <w:tcPr>
            <w:tcW w:w="1560" w:type="dxa"/>
            <w:tcBorders>
              <w:top w:val="nil"/>
              <w:left w:val="nil"/>
              <w:bottom w:val="nil"/>
              <w:right w:val="nil"/>
            </w:tcBorders>
            <w:shd w:val="clear" w:color="auto" w:fill="auto"/>
            <w:noWrap/>
            <w:vAlign w:val="bottom"/>
            <w:hideMark/>
          </w:tcPr>
          <w:p w14:paraId="39EF431B" w14:textId="77777777" w:rsidR="008A1E55" w:rsidRPr="006B42D6" w:rsidRDefault="008A1E55" w:rsidP="00E16CAE">
            <w:pPr>
              <w:rPr>
                <w:sz w:val="15"/>
                <w:szCs w:val="15"/>
              </w:rPr>
            </w:pPr>
            <w:r w:rsidRPr="006B42D6">
              <w:rPr>
                <w:sz w:val="15"/>
                <w:szCs w:val="15"/>
              </w:rPr>
              <w:t>Mara</w:t>
            </w:r>
          </w:p>
        </w:tc>
        <w:tc>
          <w:tcPr>
            <w:tcW w:w="675" w:type="dxa"/>
            <w:tcBorders>
              <w:top w:val="nil"/>
              <w:left w:val="nil"/>
              <w:bottom w:val="nil"/>
              <w:right w:val="nil"/>
            </w:tcBorders>
            <w:shd w:val="clear" w:color="auto" w:fill="auto"/>
            <w:noWrap/>
            <w:vAlign w:val="bottom"/>
            <w:hideMark/>
          </w:tcPr>
          <w:p w14:paraId="2AEE32D5" w14:textId="77777777" w:rsidR="008A1E55" w:rsidRPr="006B42D6" w:rsidRDefault="008A1E55" w:rsidP="00E16CAE">
            <w:pPr>
              <w:rPr>
                <w:sz w:val="15"/>
                <w:szCs w:val="15"/>
              </w:rPr>
            </w:pPr>
            <w:r w:rsidRPr="006B42D6">
              <w:rPr>
                <w:sz w:val="15"/>
                <w:szCs w:val="15"/>
              </w:rPr>
              <w:t>6.9</w:t>
            </w:r>
          </w:p>
        </w:tc>
        <w:tc>
          <w:tcPr>
            <w:tcW w:w="1039" w:type="dxa"/>
            <w:tcBorders>
              <w:top w:val="nil"/>
              <w:left w:val="nil"/>
              <w:bottom w:val="nil"/>
              <w:right w:val="nil"/>
            </w:tcBorders>
            <w:shd w:val="clear" w:color="auto" w:fill="auto"/>
            <w:noWrap/>
            <w:vAlign w:val="bottom"/>
            <w:hideMark/>
          </w:tcPr>
          <w:p w14:paraId="0F20EEEC" w14:textId="77777777" w:rsidR="008A1E55" w:rsidRPr="006B42D6" w:rsidRDefault="008A1E55" w:rsidP="00E16CAE">
            <w:pPr>
              <w:rPr>
                <w:sz w:val="15"/>
                <w:szCs w:val="15"/>
              </w:rPr>
            </w:pPr>
            <w:r w:rsidRPr="006B42D6">
              <w:rPr>
                <w:sz w:val="15"/>
                <w:szCs w:val="15"/>
              </w:rPr>
              <w:t>3.0</w:t>
            </w:r>
          </w:p>
        </w:tc>
        <w:tc>
          <w:tcPr>
            <w:tcW w:w="1102" w:type="dxa"/>
            <w:tcBorders>
              <w:top w:val="nil"/>
              <w:left w:val="nil"/>
              <w:bottom w:val="nil"/>
              <w:right w:val="nil"/>
            </w:tcBorders>
            <w:shd w:val="clear" w:color="auto" w:fill="auto"/>
            <w:noWrap/>
            <w:vAlign w:val="bottom"/>
            <w:hideMark/>
          </w:tcPr>
          <w:p w14:paraId="7D7A8988" w14:textId="77777777" w:rsidR="008A1E55" w:rsidRPr="006B42D6" w:rsidRDefault="008A1E55" w:rsidP="00E16CAE">
            <w:pPr>
              <w:rPr>
                <w:sz w:val="15"/>
                <w:szCs w:val="15"/>
              </w:rPr>
            </w:pPr>
            <w:r w:rsidRPr="006B42D6">
              <w:rPr>
                <w:sz w:val="15"/>
                <w:szCs w:val="15"/>
              </w:rPr>
              <w:t>2.6</w:t>
            </w:r>
          </w:p>
        </w:tc>
        <w:tc>
          <w:tcPr>
            <w:tcW w:w="983" w:type="dxa"/>
            <w:tcBorders>
              <w:top w:val="nil"/>
              <w:left w:val="nil"/>
              <w:bottom w:val="nil"/>
              <w:right w:val="nil"/>
            </w:tcBorders>
            <w:shd w:val="clear" w:color="auto" w:fill="auto"/>
            <w:noWrap/>
            <w:vAlign w:val="bottom"/>
            <w:hideMark/>
          </w:tcPr>
          <w:p w14:paraId="60FB1047" w14:textId="77777777" w:rsidR="008A1E55" w:rsidRPr="006B42D6" w:rsidRDefault="008A1E55" w:rsidP="00E16CAE">
            <w:pPr>
              <w:rPr>
                <w:sz w:val="15"/>
                <w:szCs w:val="15"/>
              </w:rPr>
            </w:pPr>
            <w:r w:rsidRPr="006B42D6">
              <w:rPr>
                <w:sz w:val="15"/>
                <w:szCs w:val="15"/>
              </w:rPr>
              <w:t>2.6</w:t>
            </w:r>
          </w:p>
        </w:tc>
        <w:tc>
          <w:tcPr>
            <w:tcW w:w="999" w:type="dxa"/>
            <w:tcBorders>
              <w:top w:val="nil"/>
              <w:left w:val="nil"/>
              <w:bottom w:val="nil"/>
              <w:right w:val="nil"/>
            </w:tcBorders>
            <w:shd w:val="clear" w:color="auto" w:fill="auto"/>
            <w:noWrap/>
            <w:vAlign w:val="bottom"/>
            <w:hideMark/>
          </w:tcPr>
          <w:p w14:paraId="1AAC66F6" w14:textId="77777777" w:rsidR="008A1E55" w:rsidRPr="006B42D6" w:rsidRDefault="008A1E55" w:rsidP="00E16CAE">
            <w:pPr>
              <w:rPr>
                <w:sz w:val="15"/>
                <w:szCs w:val="15"/>
              </w:rPr>
            </w:pPr>
            <w:r w:rsidRPr="006B42D6">
              <w:rPr>
                <w:sz w:val="15"/>
                <w:szCs w:val="15"/>
              </w:rPr>
              <w:t>2.3</w:t>
            </w:r>
          </w:p>
        </w:tc>
        <w:tc>
          <w:tcPr>
            <w:tcW w:w="843" w:type="dxa"/>
            <w:tcBorders>
              <w:top w:val="nil"/>
              <w:left w:val="nil"/>
              <w:bottom w:val="nil"/>
              <w:right w:val="nil"/>
            </w:tcBorders>
            <w:shd w:val="clear" w:color="auto" w:fill="auto"/>
            <w:noWrap/>
            <w:vAlign w:val="bottom"/>
            <w:hideMark/>
          </w:tcPr>
          <w:p w14:paraId="62F6A5CF" w14:textId="77777777" w:rsidR="008A1E55" w:rsidRPr="006B42D6" w:rsidRDefault="008A1E55" w:rsidP="00E16CAE">
            <w:pPr>
              <w:rPr>
                <w:sz w:val="15"/>
                <w:szCs w:val="15"/>
              </w:rPr>
            </w:pPr>
            <w:r w:rsidRPr="006B42D6">
              <w:rPr>
                <w:sz w:val="15"/>
                <w:szCs w:val="15"/>
              </w:rPr>
              <w:t>1.3</w:t>
            </w:r>
          </w:p>
        </w:tc>
        <w:tc>
          <w:tcPr>
            <w:tcW w:w="850" w:type="dxa"/>
            <w:tcBorders>
              <w:top w:val="nil"/>
              <w:left w:val="nil"/>
              <w:bottom w:val="nil"/>
              <w:right w:val="nil"/>
            </w:tcBorders>
            <w:shd w:val="clear" w:color="auto" w:fill="auto"/>
            <w:noWrap/>
            <w:vAlign w:val="bottom"/>
            <w:hideMark/>
          </w:tcPr>
          <w:p w14:paraId="2B43EA1D" w14:textId="77777777" w:rsidR="008A1E55" w:rsidRPr="006B42D6" w:rsidRDefault="008A1E55" w:rsidP="00E16CAE">
            <w:pPr>
              <w:rPr>
                <w:sz w:val="15"/>
                <w:szCs w:val="15"/>
              </w:rPr>
            </w:pPr>
            <w:r w:rsidRPr="006B42D6">
              <w:rPr>
                <w:sz w:val="15"/>
                <w:szCs w:val="15"/>
              </w:rPr>
              <w:t>2.5</w:t>
            </w:r>
          </w:p>
        </w:tc>
        <w:tc>
          <w:tcPr>
            <w:tcW w:w="843" w:type="dxa"/>
            <w:tcBorders>
              <w:top w:val="nil"/>
              <w:left w:val="nil"/>
              <w:bottom w:val="nil"/>
              <w:right w:val="nil"/>
            </w:tcBorders>
            <w:shd w:val="clear" w:color="auto" w:fill="auto"/>
            <w:noWrap/>
            <w:vAlign w:val="bottom"/>
            <w:hideMark/>
          </w:tcPr>
          <w:p w14:paraId="6779344C" w14:textId="77777777" w:rsidR="008A1E55" w:rsidRPr="006B42D6" w:rsidRDefault="008A1E55" w:rsidP="00E16CAE">
            <w:pPr>
              <w:rPr>
                <w:sz w:val="15"/>
                <w:szCs w:val="15"/>
              </w:rPr>
            </w:pPr>
            <w:r w:rsidRPr="006B42D6">
              <w:rPr>
                <w:sz w:val="15"/>
                <w:szCs w:val="15"/>
              </w:rPr>
              <w:t>0.0</w:t>
            </w:r>
          </w:p>
        </w:tc>
        <w:tc>
          <w:tcPr>
            <w:tcW w:w="865" w:type="dxa"/>
            <w:tcBorders>
              <w:top w:val="nil"/>
              <w:left w:val="nil"/>
              <w:bottom w:val="nil"/>
              <w:right w:val="nil"/>
            </w:tcBorders>
            <w:shd w:val="clear" w:color="auto" w:fill="auto"/>
            <w:noWrap/>
            <w:vAlign w:val="bottom"/>
            <w:hideMark/>
          </w:tcPr>
          <w:p w14:paraId="2FD838AD" w14:textId="77777777" w:rsidR="008A1E55" w:rsidRPr="006B42D6" w:rsidRDefault="008A1E55" w:rsidP="00E16CAE">
            <w:pPr>
              <w:rPr>
                <w:sz w:val="15"/>
                <w:szCs w:val="15"/>
              </w:rPr>
            </w:pPr>
            <w:r w:rsidRPr="006B42D6">
              <w:rPr>
                <w:sz w:val="15"/>
                <w:szCs w:val="15"/>
              </w:rPr>
              <w:t>6.2</w:t>
            </w:r>
          </w:p>
        </w:tc>
      </w:tr>
      <w:tr w:rsidR="006B42D6" w:rsidRPr="006B42D6" w14:paraId="6BA86F67" w14:textId="77777777" w:rsidTr="00355DF7">
        <w:trPr>
          <w:trHeight w:val="227"/>
        </w:trPr>
        <w:tc>
          <w:tcPr>
            <w:tcW w:w="1560" w:type="dxa"/>
            <w:tcBorders>
              <w:top w:val="nil"/>
              <w:left w:val="nil"/>
              <w:bottom w:val="nil"/>
              <w:right w:val="nil"/>
            </w:tcBorders>
            <w:shd w:val="clear" w:color="auto" w:fill="auto"/>
            <w:noWrap/>
            <w:vAlign w:val="bottom"/>
            <w:hideMark/>
          </w:tcPr>
          <w:p w14:paraId="3449F146" w14:textId="77777777" w:rsidR="008A1E55" w:rsidRPr="006B42D6" w:rsidRDefault="008A1E55" w:rsidP="00E16CAE">
            <w:pPr>
              <w:rPr>
                <w:sz w:val="15"/>
                <w:szCs w:val="15"/>
              </w:rPr>
            </w:pPr>
            <w:r w:rsidRPr="006B42D6">
              <w:rPr>
                <w:sz w:val="15"/>
                <w:szCs w:val="15"/>
              </w:rPr>
              <w:t>Manyara</w:t>
            </w:r>
          </w:p>
        </w:tc>
        <w:tc>
          <w:tcPr>
            <w:tcW w:w="675" w:type="dxa"/>
            <w:tcBorders>
              <w:top w:val="nil"/>
              <w:left w:val="nil"/>
              <w:bottom w:val="nil"/>
              <w:right w:val="nil"/>
            </w:tcBorders>
            <w:shd w:val="clear" w:color="auto" w:fill="auto"/>
            <w:noWrap/>
            <w:vAlign w:val="bottom"/>
            <w:hideMark/>
          </w:tcPr>
          <w:p w14:paraId="13B9D9B5" w14:textId="77777777" w:rsidR="008A1E55" w:rsidRPr="006B42D6" w:rsidRDefault="008A1E55" w:rsidP="00E16CAE">
            <w:pPr>
              <w:rPr>
                <w:sz w:val="15"/>
                <w:szCs w:val="15"/>
              </w:rPr>
            </w:pPr>
            <w:r w:rsidRPr="006B42D6">
              <w:rPr>
                <w:sz w:val="15"/>
                <w:szCs w:val="15"/>
              </w:rPr>
              <w:t>7.8</w:t>
            </w:r>
          </w:p>
        </w:tc>
        <w:tc>
          <w:tcPr>
            <w:tcW w:w="1039" w:type="dxa"/>
            <w:tcBorders>
              <w:top w:val="nil"/>
              <w:left w:val="nil"/>
              <w:bottom w:val="nil"/>
              <w:right w:val="nil"/>
            </w:tcBorders>
            <w:shd w:val="clear" w:color="auto" w:fill="auto"/>
            <w:noWrap/>
            <w:vAlign w:val="bottom"/>
            <w:hideMark/>
          </w:tcPr>
          <w:p w14:paraId="5BE1AEF9" w14:textId="77777777" w:rsidR="008A1E55" w:rsidRPr="006B42D6" w:rsidRDefault="008A1E55" w:rsidP="00E16CAE">
            <w:pPr>
              <w:rPr>
                <w:sz w:val="15"/>
                <w:szCs w:val="15"/>
              </w:rPr>
            </w:pPr>
            <w:r w:rsidRPr="006B42D6">
              <w:rPr>
                <w:sz w:val="15"/>
                <w:szCs w:val="15"/>
              </w:rPr>
              <w:t>3.9</w:t>
            </w:r>
          </w:p>
        </w:tc>
        <w:tc>
          <w:tcPr>
            <w:tcW w:w="1102" w:type="dxa"/>
            <w:tcBorders>
              <w:top w:val="nil"/>
              <w:left w:val="nil"/>
              <w:bottom w:val="nil"/>
              <w:right w:val="nil"/>
            </w:tcBorders>
            <w:shd w:val="clear" w:color="auto" w:fill="auto"/>
            <w:noWrap/>
            <w:vAlign w:val="bottom"/>
            <w:hideMark/>
          </w:tcPr>
          <w:p w14:paraId="7C026576" w14:textId="77777777" w:rsidR="008A1E55" w:rsidRPr="006B42D6" w:rsidRDefault="008A1E55" w:rsidP="00E16CAE">
            <w:pPr>
              <w:rPr>
                <w:sz w:val="15"/>
                <w:szCs w:val="15"/>
              </w:rPr>
            </w:pPr>
            <w:r w:rsidRPr="006B42D6">
              <w:rPr>
                <w:sz w:val="15"/>
                <w:szCs w:val="15"/>
              </w:rPr>
              <w:t>4.6</w:t>
            </w:r>
          </w:p>
        </w:tc>
        <w:tc>
          <w:tcPr>
            <w:tcW w:w="983" w:type="dxa"/>
            <w:tcBorders>
              <w:top w:val="nil"/>
              <w:left w:val="nil"/>
              <w:bottom w:val="nil"/>
              <w:right w:val="nil"/>
            </w:tcBorders>
            <w:shd w:val="clear" w:color="auto" w:fill="auto"/>
            <w:noWrap/>
            <w:vAlign w:val="bottom"/>
            <w:hideMark/>
          </w:tcPr>
          <w:p w14:paraId="02FB6C5D" w14:textId="77777777" w:rsidR="008A1E55" w:rsidRPr="006B42D6" w:rsidRDefault="008A1E55" w:rsidP="00E16CAE">
            <w:pPr>
              <w:rPr>
                <w:sz w:val="15"/>
                <w:szCs w:val="15"/>
              </w:rPr>
            </w:pPr>
            <w:r w:rsidRPr="006B42D6">
              <w:rPr>
                <w:sz w:val="15"/>
                <w:szCs w:val="15"/>
              </w:rPr>
              <w:t>4.3</w:t>
            </w:r>
          </w:p>
        </w:tc>
        <w:tc>
          <w:tcPr>
            <w:tcW w:w="999" w:type="dxa"/>
            <w:tcBorders>
              <w:top w:val="nil"/>
              <w:left w:val="nil"/>
              <w:bottom w:val="nil"/>
              <w:right w:val="nil"/>
            </w:tcBorders>
            <w:shd w:val="clear" w:color="auto" w:fill="auto"/>
            <w:noWrap/>
            <w:vAlign w:val="bottom"/>
            <w:hideMark/>
          </w:tcPr>
          <w:p w14:paraId="0278CF15" w14:textId="77777777" w:rsidR="008A1E55" w:rsidRPr="006B42D6" w:rsidRDefault="008A1E55" w:rsidP="00E16CAE">
            <w:pPr>
              <w:rPr>
                <w:sz w:val="15"/>
                <w:szCs w:val="15"/>
              </w:rPr>
            </w:pPr>
            <w:r w:rsidRPr="006B42D6">
              <w:rPr>
                <w:sz w:val="15"/>
                <w:szCs w:val="15"/>
              </w:rPr>
              <w:t>2.8</w:t>
            </w:r>
          </w:p>
        </w:tc>
        <w:tc>
          <w:tcPr>
            <w:tcW w:w="843" w:type="dxa"/>
            <w:tcBorders>
              <w:top w:val="nil"/>
              <w:left w:val="nil"/>
              <w:bottom w:val="nil"/>
              <w:right w:val="nil"/>
            </w:tcBorders>
            <w:shd w:val="clear" w:color="auto" w:fill="auto"/>
            <w:noWrap/>
            <w:vAlign w:val="bottom"/>
            <w:hideMark/>
          </w:tcPr>
          <w:p w14:paraId="6FACFAF2" w14:textId="77777777" w:rsidR="008A1E55" w:rsidRPr="006B42D6" w:rsidRDefault="008A1E55" w:rsidP="00E16CAE">
            <w:pPr>
              <w:rPr>
                <w:sz w:val="15"/>
                <w:szCs w:val="15"/>
              </w:rPr>
            </w:pPr>
            <w:r w:rsidRPr="006B42D6">
              <w:rPr>
                <w:sz w:val="15"/>
                <w:szCs w:val="15"/>
              </w:rPr>
              <w:t>1.0</w:t>
            </w:r>
          </w:p>
        </w:tc>
        <w:tc>
          <w:tcPr>
            <w:tcW w:w="850" w:type="dxa"/>
            <w:tcBorders>
              <w:top w:val="nil"/>
              <w:left w:val="nil"/>
              <w:bottom w:val="nil"/>
              <w:right w:val="nil"/>
            </w:tcBorders>
            <w:shd w:val="clear" w:color="auto" w:fill="auto"/>
            <w:noWrap/>
            <w:vAlign w:val="bottom"/>
            <w:hideMark/>
          </w:tcPr>
          <w:p w14:paraId="5A240E18" w14:textId="77777777" w:rsidR="008A1E55" w:rsidRPr="006B42D6" w:rsidRDefault="008A1E55" w:rsidP="00E16CAE">
            <w:pPr>
              <w:rPr>
                <w:sz w:val="15"/>
                <w:szCs w:val="15"/>
              </w:rPr>
            </w:pPr>
            <w:r w:rsidRPr="006B42D6">
              <w:rPr>
                <w:sz w:val="15"/>
                <w:szCs w:val="15"/>
              </w:rPr>
              <w:t>0.7</w:t>
            </w:r>
          </w:p>
        </w:tc>
        <w:tc>
          <w:tcPr>
            <w:tcW w:w="843" w:type="dxa"/>
            <w:tcBorders>
              <w:top w:val="nil"/>
              <w:left w:val="nil"/>
              <w:bottom w:val="nil"/>
              <w:right w:val="nil"/>
            </w:tcBorders>
            <w:shd w:val="clear" w:color="auto" w:fill="auto"/>
            <w:noWrap/>
            <w:vAlign w:val="bottom"/>
            <w:hideMark/>
          </w:tcPr>
          <w:p w14:paraId="343D8E8E" w14:textId="77777777" w:rsidR="008A1E55" w:rsidRPr="006B42D6" w:rsidRDefault="008A1E55" w:rsidP="00E16CAE">
            <w:pPr>
              <w:rPr>
                <w:sz w:val="15"/>
                <w:szCs w:val="15"/>
              </w:rPr>
            </w:pPr>
            <w:r w:rsidRPr="006B42D6">
              <w:rPr>
                <w:sz w:val="15"/>
                <w:szCs w:val="15"/>
              </w:rPr>
              <w:t>1.2</w:t>
            </w:r>
          </w:p>
        </w:tc>
        <w:tc>
          <w:tcPr>
            <w:tcW w:w="865" w:type="dxa"/>
            <w:tcBorders>
              <w:top w:val="nil"/>
              <w:left w:val="nil"/>
              <w:bottom w:val="nil"/>
              <w:right w:val="nil"/>
            </w:tcBorders>
            <w:shd w:val="clear" w:color="auto" w:fill="auto"/>
            <w:noWrap/>
            <w:vAlign w:val="bottom"/>
            <w:hideMark/>
          </w:tcPr>
          <w:p w14:paraId="38929D47" w14:textId="77777777" w:rsidR="008A1E55" w:rsidRPr="006B42D6" w:rsidRDefault="008A1E55" w:rsidP="00E16CAE">
            <w:pPr>
              <w:rPr>
                <w:sz w:val="15"/>
                <w:szCs w:val="15"/>
              </w:rPr>
            </w:pPr>
            <w:r w:rsidRPr="006B42D6">
              <w:rPr>
                <w:sz w:val="15"/>
                <w:szCs w:val="15"/>
              </w:rPr>
              <w:t>1.9</w:t>
            </w:r>
          </w:p>
        </w:tc>
      </w:tr>
      <w:tr w:rsidR="006B42D6" w:rsidRPr="006B42D6" w14:paraId="3CC03669" w14:textId="77777777" w:rsidTr="00355DF7">
        <w:trPr>
          <w:trHeight w:val="227"/>
        </w:trPr>
        <w:tc>
          <w:tcPr>
            <w:tcW w:w="1560" w:type="dxa"/>
            <w:tcBorders>
              <w:top w:val="nil"/>
              <w:left w:val="nil"/>
              <w:bottom w:val="nil"/>
              <w:right w:val="nil"/>
            </w:tcBorders>
            <w:shd w:val="clear" w:color="auto" w:fill="auto"/>
            <w:noWrap/>
            <w:vAlign w:val="bottom"/>
            <w:hideMark/>
          </w:tcPr>
          <w:p w14:paraId="37C6AE9E" w14:textId="77777777" w:rsidR="008A1E55" w:rsidRPr="006B42D6" w:rsidRDefault="008A1E55" w:rsidP="00E16CAE">
            <w:pPr>
              <w:rPr>
                <w:sz w:val="15"/>
                <w:szCs w:val="15"/>
              </w:rPr>
            </w:pPr>
            <w:r w:rsidRPr="006B42D6">
              <w:rPr>
                <w:sz w:val="15"/>
                <w:szCs w:val="15"/>
              </w:rPr>
              <w:t>Njombe</w:t>
            </w:r>
          </w:p>
        </w:tc>
        <w:tc>
          <w:tcPr>
            <w:tcW w:w="675" w:type="dxa"/>
            <w:tcBorders>
              <w:top w:val="nil"/>
              <w:left w:val="nil"/>
              <w:bottom w:val="nil"/>
              <w:right w:val="nil"/>
            </w:tcBorders>
            <w:shd w:val="clear" w:color="auto" w:fill="auto"/>
            <w:noWrap/>
            <w:vAlign w:val="bottom"/>
            <w:hideMark/>
          </w:tcPr>
          <w:p w14:paraId="5C25A1F6" w14:textId="77777777" w:rsidR="008A1E55" w:rsidRPr="006B42D6" w:rsidRDefault="008A1E55" w:rsidP="00E16CAE">
            <w:pPr>
              <w:rPr>
                <w:sz w:val="15"/>
                <w:szCs w:val="15"/>
              </w:rPr>
            </w:pPr>
            <w:r w:rsidRPr="006B42D6">
              <w:rPr>
                <w:sz w:val="15"/>
                <w:szCs w:val="15"/>
              </w:rPr>
              <w:t>0.3</w:t>
            </w:r>
          </w:p>
        </w:tc>
        <w:tc>
          <w:tcPr>
            <w:tcW w:w="1039" w:type="dxa"/>
            <w:tcBorders>
              <w:top w:val="nil"/>
              <w:left w:val="nil"/>
              <w:bottom w:val="nil"/>
              <w:right w:val="nil"/>
            </w:tcBorders>
            <w:shd w:val="clear" w:color="auto" w:fill="auto"/>
            <w:noWrap/>
            <w:vAlign w:val="bottom"/>
            <w:hideMark/>
          </w:tcPr>
          <w:p w14:paraId="2AC34DE9" w14:textId="77777777" w:rsidR="008A1E55" w:rsidRPr="006B42D6" w:rsidRDefault="008A1E55" w:rsidP="00E16CAE">
            <w:pPr>
              <w:rPr>
                <w:sz w:val="15"/>
                <w:szCs w:val="15"/>
              </w:rPr>
            </w:pPr>
            <w:r w:rsidRPr="006B42D6">
              <w:rPr>
                <w:sz w:val="15"/>
                <w:szCs w:val="15"/>
              </w:rPr>
              <w:t>1.4</w:t>
            </w:r>
          </w:p>
        </w:tc>
        <w:tc>
          <w:tcPr>
            <w:tcW w:w="1102" w:type="dxa"/>
            <w:tcBorders>
              <w:top w:val="nil"/>
              <w:left w:val="nil"/>
              <w:bottom w:val="nil"/>
              <w:right w:val="nil"/>
            </w:tcBorders>
            <w:shd w:val="clear" w:color="auto" w:fill="auto"/>
            <w:noWrap/>
            <w:vAlign w:val="bottom"/>
            <w:hideMark/>
          </w:tcPr>
          <w:p w14:paraId="21909A92" w14:textId="77777777" w:rsidR="008A1E55" w:rsidRPr="006B42D6" w:rsidRDefault="008A1E55" w:rsidP="00E16CAE">
            <w:pPr>
              <w:rPr>
                <w:sz w:val="15"/>
                <w:szCs w:val="15"/>
              </w:rPr>
            </w:pPr>
            <w:r w:rsidRPr="006B42D6">
              <w:rPr>
                <w:sz w:val="15"/>
                <w:szCs w:val="15"/>
              </w:rPr>
              <w:t>4.1</w:t>
            </w:r>
          </w:p>
        </w:tc>
        <w:tc>
          <w:tcPr>
            <w:tcW w:w="983" w:type="dxa"/>
            <w:tcBorders>
              <w:top w:val="nil"/>
              <w:left w:val="nil"/>
              <w:bottom w:val="nil"/>
              <w:right w:val="nil"/>
            </w:tcBorders>
            <w:shd w:val="clear" w:color="auto" w:fill="auto"/>
            <w:noWrap/>
            <w:vAlign w:val="bottom"/>
            <w:hideMark/>
          </w:tcPr>
          <w:p w14:paraId="43868BFC" w14:textId="77777777" w:rsidR="008A1E55" w:rsidRPr="006B42D6" w:rsidRDefault="008A1E55" w:rsidP="00E16CAE">
            <w:pPr>
              <w:rPr>
                <w:sz w:val="15"/>
                <w:szCs w:val="15"/>
              </w:rPr>
            </w:pPr>
            <w:r w:rsidRPr="006B42D6">
              <w:rPr>
                <w:sz w:val="15"/>
                <w:szCs w:val="15"/>
              </w:rPr>
              <w:t>4.8</w:t>
            </w:r>
          </w:p>
        </w:tc>
        <w:tc>
          <w:tcPr>
            <w:tcW w:w="999" w:type="dxa"/>
            <w:tcBorders>
              <w:top w:val="nil"/>
              <w:left w:val="nil"/>
              <w:bottom w:val="nil"/>
              <w:right w:val="nil"/>
            </w:tcBorders>
            <w:shd w:val="clear" w:color="auto" w:fill="auto"/>
            <w:noWrap/>
            <w:vAlign w:val="bottom"/>
            <w:hideMark/>
          </w:tcPr>
          <w:p w14:paraId="1BB51E30" w14:textId="77777777" w:rsidR="008A1E55" w:rsidRPr="006B42D6" w:rsidRDefault="008A1E55" w:rsidP="00E16CAE">
            <w:pPr>
              <w:rPr>
                <w:sz w:val="15"/>
                <w:szCs w:val="15"/>
              </w:rPr>
            </w:pPr>
            <w:r w:rsidRPr="006B42D6">
              <w:rPr>
                <w:sz w:val="15"/>
                <w:szCs w:val="15"/>
              </w:rPr>
              <w:t>5.7</w:t>
            </w:r>
          </w:p>
        </w:tc>
        <w:tc>
          <w:tcPr>
            <w:tcW w:w="843" w:type="dxa"/>
            <w:tcBorders>
              <w:top w:val="nil"/>
              <w:left w:val="nil"/>
              <w:bottom w:val="nil"/>
              <w:right w:val="nil"/>
            </w:tcBorders>
            <w:shd w:val="clear" w:color="auto" w:fill="auto"/>
            <w:noWrap/>
            <w:vAlign w:val="bottom"/>
            <w:hideMark/>
          </w:tcPr>
          <w:p w14:paraId="0E53D089" w14:textId="77777777" w:rsidR="008A1E55" w:rsidRPr="006B42D6" w:rsidRDefault="008A1E55" w:rsidP="00E16CAE">
            <w:pPr>
              <w:rPr>
                <w:sz w:val="15"/>
                <w:szCs w:val="15"/>
              </w:rPr>
            </w:pPr>
            <w:r w:rsidRPr="006B42D6">
              <w:rPr>
                <w:sz w:val="15"/>
                <w:szCs w:val="15"/>
              </w:rPr>
              <w:t>3.5</w:t>
            </w:r>
          </w:p>
        </w:tc>
        <w:tc>
          <w:tcPr>
            <w:tcW w:w="850" w:type="dxa"/>
            <w:tcBorders>
              <w:top w:val="nil"/>
              <w:left w:val="nil"/>
              <w:bottom w:val="nil"/>
              <w:right w:val="nil"/>
            </w:tcBorders>
            <w:shd w:val="clear" w:color="auto" w:fill="auto"/>
            <w:noWrap/>
            <w:vAlign w:val="bottom"/>
            <w:hideMark/>
          </w:tcPr>
          <w:p w14:paraId="4073DAFB" w14:textId="77777777" w:rsidR="008A1E55" w:rsidRPr="006B42D6" w:rsidRDefault="008A1E55" w:rsidP="00E16CAE">
            <w:pPr>
              <w:rPr>
                <w:sz w:val="15"/>
                <w:szCs w:val="15"/>
              </w:rPr>
            </w:pPr>
            <w:r w:rsidRPr="006B42D6">
              <w:rPr>
                <w:sz w:val="15"/>
                <w:szCs w:val="15"/>
              </w:rPr>
              <w:t>1.9</w:t>
            </w:r>
          </w:p>
        </w:tc>
        <w:tc>
          <w:tcPr>
            <w:tcW w:w="843" w:type="dxa"/>
            <w:tcBorders>
              <w:top w:val="nil"/>
              <w:left w:val="nil"/>
              <w:bottom w:val="nil"/>
              <w:right w:val="nil"/>
            </w:tcBorders>
            <w:shd w:val="clear" w:color="auto" w:fill="auto"/>
            <w:noWrap/>
            <w:vAlign w:val="bottom"/>
            <w:hideMark/>
          </w:tcPr>
          <w:p w14:paraId="37A4A667" w14:textId="77777777" w:rsidR="008A1E55" w:rsidRPr="006B42D6" w:rsidRDefault="008A1E55" w:rsidP="00E16CAE">
            <w:pPr>
              <w:rPr>
                <w:sz w:val="15"/>
                <w:szCs w:val="15"/>
              </w:rPr>
            </w:pPr>
            <w:r w:rsidRPr="006B42D6">
              <w:rPr>
                <w:sz w:val="15"/>
                <w:szCs w:val="15"/>
              </w:rPr>
              <w:t>0.0</w:t>
            </w:r>
          </w:p>
        </w:tc>
        <w:tc>
          <w:tcPr>
            <w:tcW w:w="865" w:type="dxa"/>
            <w:tcBorders>
              <w:top w:val="nil"/>
              <w:left w:val="nil"/>
              <w:bottom w:val="nil"/>
              <w:right w:val="nil"/>
            </w:tcBorders>
            <w:shd w:val="clear" w:color="auto" w:fill="auto"/>
            <w:noWrap/>
            <w:vAlign w:val="bottom"/>
            <w:hideMark/>
          </w:tcPr>
          <w:p w14:paraId="42908161" w14:textId="77777777" w:rsidR="008A1E55" w:rsidRPr="006B42D6" w:rsidRDefault="008A1E55" w:rsidP="00E16CAE">
            <w:pPr>
              <w:rPr>
                <w:sz w:val="15"/>
                <w:szCs w:val="15"/>
              </w:rPr>
            </w:pPr>
            <w:r w:rsidRPr="006B42D6">
              <w:rPr>
                <w:sz w:val="15"/>
                <w:szCs w:val="15"/>
              </w:rPr>
              <w:t>0.0</w:t>
            </w:r>
          </w:p>
        </w:tc>
      </w:tr>
      <w:tr w:rsidR="006B42D6" w:rsidRPr="006B42D6" w14:paraId="42461850" w14:textId="77777777" w:rsidTr="00355DF7">
        <w:trPr>
          <w:trHeight w:val="227"/>
        </w:trPr>
        <w:tc>
          <w:tcPr>
            <w:tcW w:w="1560" w:type="dxa"/>
            <w:tcBorders>
              <w:top w:val="nil"/>
              <w:left w:val="nil"/>
              <w:bottom w:val="nil"/>
              <w:right w:val="nil"/>
            </w:tcBorders>
            <w:shd w:val="clear" w:color="auto" w:fill="auto"/>
            <w:noWrap/>
            <w:vAlign w:val="bottom"/>
            <w:hideMark/>
          </w:tcPr>
          <w:p w14:paraId="34F4419F" w14:textId="77777777" w:rsidR="008A1E55" w:rsidRPr="006B42D6" w:rsidRDefault="008A1E55" w:rsidP="00E16CAE">
            <w:pPr>
              <w:rPr>
                <w:sz w:val="15"/>
                <w:szCs w:val="15"/>
              </w:rPr>
            </w:pPr>
            <w:r w:rsidRPr="006B42D6">
              <w:rPr>
                <w:sz w:val="15"/>
                <w:szCs w:val="15"/>
              </w:rPr>
              <w:t>Katavi</w:t>
            </w:r>
          </w:p>
        </w:tc>
        <w:tc>
          <w:tcPr>
            <w:tcW w:w="675" w:type="dxa"/>
            <w:tcBorders>
              <w:top w:val="nil"/>
              <w:left w:val="nil"/>
              <w:bottom w:val="nil"/>
              <w:right w:val="nil"/>
            </w:tcBorders>
            <w:shd w:val="clear" w:color="auto" w:fill="auto"/>
            <w:noWrap/>
            <w:vAlign w:val="bottom"/>
            <w:hideMark/>
          </w:tcPr>
          <w:p w14:paraId="198644AF" w14:textId="77777777" w:rsidR="008A1E55" w:rsidRPr="006B42D6" w:rsidRDefault="008A1E55" w:rsidP="00E16CAE">
            <w:pPr>
              <w:rPr>
                <w:sz w:val="15"/>
                <w:szCs w:val="15"/>
              </w:rPr>
            </w:pPr>
            <w:r w:rsidRPr="006B42D6">
              <w:rPr>
                <w:sz w:val="15"/>
                <w:szCs w:val="15"/>
              </w:rPr>
              <w:t>1.2</w:t>
            </w:r>
          </w:p>
        </w:tc>
        <w:tc>
          <w:tcPr>
            <w:tcW w:w="1039" w:type="dxa"/>
            <w:tcBorders>
              <w:top w:val="nil"/>
              <w:left w:val="nil"/>
              <w:bottom w:val="nil"/>
              <w:right w:val="nil"/>
            </w:tcBorders>
            <w:shd w:val="clear" w:color="auto" w:fill="auto"/>
            <w:noWrap/>
            <w:vAlign w:val="bottom"/>
            <w:hideMark/>
          </w:tcPr>
          <w:p w14:paraId="4F05B1D5" w14:textId="77777777" w:rsidR="008A1E55" w:rsidRPr="006B42D6" w:rsidRDefault="008A1E55" w:rsidP="00E16CAE">
            <w:pPr>
              <w:rPr>
                <w:sz w:val="15"/>
                <w:szCs w:val="15"/>
              </w:rPr>
            </w:pPr>
            <w:r w:rsidRPr="006B42D6">
              <w:rPr>
                <w:sz w:val="15"/>
                <w:szCs w:val="15"/>
              </w:rPr>
              <w:t>1.1</w:t>
            </w:r>
          </w:p>
        </w:tc>
        <w:tc>
          <w:tcPr>
            <w:tcW w:w="1102" w:type="dxa"/>
            <w:tcBorders>
              <w:top w:val="nil"/>
              <w:left w:val="nil"/>
              <w:bottom w:val="nil"/>
              <w:right w:val="nil"/>
            </w:tcBorders>
            <w:shd w:val="clear" w:color="auto" w:fill="auto"/>
            <w:noWrap/>
            <w:vAlign w:val="bottom"/>
            <w:hideMark/>
          </w:tcPr>
          <w:p w14:paraId="2884246D" w14:textId="77777777" w:rsidR="008A1E55" w:rsidRPr="006B42D6" w:rsidRDefault="008A1E55" w:rsidP="00E16CAE">
            <w:pPr>
              <w:rPr>
                <w:sz w:val="15"/>
                <w:szCs w:val="15"/>
              </w:rPr>
            </w:pPr>
            <w:r w:rsidRPr="006B42D6">
              <w:rPr>
                <w:sz w:val="15"/>
                <w:szCs w:val="15"/>
              </w:rPr>
              <w:t>0.8</w:t>
            </w:r>
          </w:p>
        </w:tc>
        <w:tc>
          <w:tcPr>
            <w:tcW w:w="983" w:type="dxa"/>
            <w:tcBorders>
              <w:top w:val="nil"/>
              <w:left w:val="nil"/>
              <w:bottom w:val="nil"/>
              <w:right w:val="nil"/>
            </w:tcBorders>
            <w:shd w:val="clear" w:color="auto" w:fill="auto"/>
            <w:noWrap/>
            <w:vAlign w:val="bottom"/>
            <w:hideMark/>
          </w:tcPr>
          <w:p w14:paraId="70764096" w14:textId="77777777" w:rsidR="008A1E55" w:rsidRPr="006B42D6" w:rsidRDefault="008A1E55" w:rsidP="00E16CAE">
            <w:pPr>
              <w:rPr>
                <w:sz w:val="15"/>
                <w:szCs w:val="15"/>
              </w:rPr>
            </w:pPr>
            <w:r w:rsidRPr="006B42D6">
              <w:rPr>
                <w:sz w:val="15"/>
                <w:szCs w:val="15"/>
              </w:rPr>
              <w:t>0.8</w:t>
            </w:r>
          </w:p>
        </w:tc>
        <w:tc>
          <w:tcPr>
            <w:tcW w:w="999" w:type="dxa"/>
            <w:tcBorders>
              <w:top w:val="nil"/>
              <w:left w:val="nil"/>
              <w:bottom w:val="nil"/>
              <w:right w:val="nil"/>
            </w:tcBorders>
            <w:shd w:val="clear" w:color="auto" w:fill="auto"/>
            <w:noWrap/>
            <w:vAlign w:val="bottom"/>
            <w:hideMark/>
          </w:tcPr>
          <w:p w14:paraId="0398B647" w14:textId="77777777" w:rsidR="008A1E55" w:rsidRPr="006B42D6" w:rsidRDefault="008A1E55" w:rsidP="00E16CAE">
            <w:pPr>
              <w:rPr>
                <w:sz w:val="15"/>
                <w:szCs w:val="15"/>
              </w:rPr>
            </w:pPr>
            <w:r w:rsidRPr="006B42D6">
              <w:rPr>
                <w:sz w:val="15"/>
                <w:szCs w:val="15"/>
              </w:rPr>
              <w:t>0.5</w:t>
            </w:r>
          </w:p>
        </w:tc>
        <w:tc>
          <w:tcPr>
            <w:tcW w:w="843" w:type="dxa"/>
            <w:tcBorders>
              <w:top w:val="nil"/>
              <w:left w:val="nil"/>
              <w:bottom w:val="nil"/>
              <w:right w:val="nil"/>
            </w:tcBorders>
            <w:shd w:val="clear" w:color="auto" w:fill="auto"/>
            <w:noWrap/>
            <w:vAlign w:val="bottom"/>
            <w:hideMark/>
          </w:tcPr>
          <w:p w14:paraId="149577F8" w14:textId="77777777" w:rsidR="008A1E55" w:rsidRPr="006B42D6" w:rsidRDefault="008A1E55" w:rsidP="00E16CAE">
            <w:pPr>
              <w:rPr>
                <w:sz w:val="15"/>
                <w:szCs w:val="15"/>
              </w:rPr>
            </w:pPr>
            <w:r w:rsidRPr="006B42D6">
              <w:rPr>
                <w:sz w:val="15"/>
                <w:szCs w:val="15"/>
              </w:rPr>
              <w:t>1.3</w:t>
            </w:r>
          </w:p>
        </w:tc>
        <w:tc>
          <w:tcPr>
            <w:tcW w:w="850" w:type="dxa"/>
            <w:tcBorders>
              <w:top w:val="nil"/>
              <w:left w:val="nil"/>
              <w:bottom w:val="nil"/>
              <w:right w:val="nil"/>
            </w:tcBorders>
            <w:shd w:val="clear" w:color="auto" w:fill="auto"/>
            <w:noWrap/>
            <w:vAlign w:val="bottom"/>
            <w:hideMark/>
          </w:tcPr>
          <w:p w14:paraId="45282515" w14:textId="77777777" w:rsidR="008A1E55" w:rsidRPr="006B42D6" w:rsidRDefault="008A1E55" w:rsidP="00E16CAE">
            <w:pPr>
              <w:rPr>
                <w:sz w:val="15"/>
                <w:szCs w:val="15"/>
              </w:rPr>
            </w:pPr>
            <w:r w:rsidRPr="006B42D6">
              <w:rPr>
                <w:sz w:val="15"/>
                <w:szCs w:val="15"/>
              </w:rPr>
              <w:t>1.0</w:t>
            </w:r>
          </w:p>
        </w:tc>
        <w:tc>
          <w:tcPr>
            <w:tcW w:w="843" w:type="dxa"/>
            <w:tcBorders>
              <w:top w:val="nil"/>
              <w:left w:val="nil"/>
              <w:bottom w:val="nil"/>
              <w:right w:val="nil"/>
            </w:tcBorders>
            <w:shd w:val="clear" w:color="auto" w:fill="auto"/>
            <w:noWrap/>
            <w:vAlign w:val="bottom"/>
            <w:hideMark/>
          </w:tcPr>
          <w:p w14:paraId="3023751D" w14:textId="77777777" w:rsidR="008A1E55" w:rsidRPr="006B42D6" w:rsidRDefault="008A1E55" w:rsidP="00E16CAE">
            <w:pPr>
              <w:rPr>
                <w:sz w:val="15"/>
                <w:szCs w:val="15"/>
              </w:rPr>
            </w:pPr>
            <w:r w:rsidRPr="006B42D6">
              <w:rPr>
                <w:sz w:val="15"/>
                <w:szCs w:val="15"/>
              </w:rPr>
              <w:t>0.0</w:t>
            </w:r>
          </w:p>
        </w:tc>
        <w:tc>
          <w:tcPr>
            <w:tcW w:w="865" w:type="dxa"/>
            <w:tcBorders>
              <w:top w:val="nil"/>
              <w:left w:val="nil"/>
              <w:bottom w:val="nil"/>
              <w:right w:val="nil"/>
            </w:tcBorders>
            <w:shd w:val="clear" w:color="auto" w:fill="auto"/>
            <w:noWrap/>
            <w:vAlign w:val="bottom"/>
            <w:hideMark/>
          </w:tcPr>
          <w:p w14:paraId="5B50B53F" w14:textId="77777777" w:rsidR="008A1E55" w:rsidRPr="006B42D6" w:rsidRDefault="008A1E55" w:rsidP="00E16CAE">
            <w:pPr>
              <w:rPr>
                <w:sz w:val="15"/>
                <w:szCs w:val="15"/>
              </w:rPr>
            </w:pPr>
            <w:r w:rsidRPr="006B42D6">
              <w:rPr>
                <w:sz w:val="15"/>
                <w:szCs w:val="15"/>
              </w:rPr>
              <w:t>1.8</w:t>
            </w:r>
          </w:p>
        </w:tc>
      </w:tr>
      <w:tr w:rsidR="006B42D6" w:rsidRPr="006B42D6" w14:paraId="1A79108A" w14:textId="77777777" w:rsidTr="00355DF7">
        <w:trPr>
          <w:trHeight w:val="227"/>
        </w:trPr>
        <w:tc>
          <w:tcPr>
            <w:tcW w:w="1560" w:type="dxa"/>
            <w:tcBorders>
              <w:top w:val="nil"/>
              <w:left w:val="nil"/>
              <w:bottom w:val="nil"/>
              <w:right w:val="nil"/>
            </w:tcBorders>
            <w:shd w:val="clear" w:color="auto" w:fill="auto"/>
            <w:noWrap/>
            <w:vAlign w:val="bottom"/>
            <w:hideMark/>
          </w:tcPr>
          <w:p w14:paraId="161F9A85" w14:textId="77777777" w:rsidR="008A1E55" w:rsidRPr="006B42D6" w:rsidRDefault="008A1E55" w:rsidP="00E16CAE">
            <w:pPr>
              <w:rPr>
                <w:sz w:val="15"/>
                <w:szCs w:val="15"/>
              </w:rPr>
            </w:pPr>
            <w:r w:rsidRPr="006B42D6">
              <w:rPr>
                <w:sz w:val="15"/>
                <w:szCs w:val="15"/>
              </w:rPr>
              <w:t>Simiyu</w:t>
            </w:r>
          </w:p>
        </w:tc>
        <w:tc>
          <w:tcPr>
            <w:tcW w:w="675" w:type="dxa"/>
            <w:tcBorders>
              <w:top w:val="nil"/>
              <w:left w:val="nil"/>
              <w:bottom w:val="nil"/>
              <w:right w:val="nil"/>
            </w:tcBorders>
            <w:shd w:val="clear" w:color="auto" w:fill="auto"/>
            <w:noWrap/>
            <w:vAlign w:val="bottom"/>
            <w:hideMark/>
          </w:tcPr>
          <w:p w14:paraId="5577918B" w14:textId="77777777" w:rsidR="008A1E55" w:rsidRPr="006B42D6" w:rsidRDefault="008A1E55" w:rsidP="00E16CAE">
            <w:pPr>
              <w:rPr>
                <w:sz w:val="15"/>
                <w:szCs w:val="15"/>
              </w:rPr>
            </w:pPr>
            <w:r w:rsidRPr="006B42D6">
              <w:rPr>
                <w:sz w:val="15"/>
                <w:szCs w:val="15"/>
              </w:rPr>
              <w:t>5.0</w:t>
            </w:r>
          </w:p>
        </w:tc>
        <w:tc>
          <w:tcPr>
            <w:tcW w:w="1039" w:type="dxa"/>
            <w:tcBorders>
              <w:top w:val="nil"/>
              <w:left w:val="nil"/>
              <w:bottom w:val="nil"/>
              <w:right w:val="nil"/>
            </w:tcBorders>
            <w:shd w:val="clear" w:color="auto" w:fill="auto"/>
            <w:noWrap/>
            <w:vAlign w:val="bottom"/>
            <w:hideMark/>
          </w:tcPr>
          <w:p w14:paraId="6717684C" w14:textId="77777777" w:rsidR="008A1E55" w:rsidRPr="006B42D6" w:rsidRDefault="008A1E55" w:rsidP="00E16CAE">
            <w:pPr>
              <w:rPr>
                <w:sz w:val="15"/>
                <w:szCs w:val="15"/>
              </w:rPr>
            </w:pPr>
            <w:r w:rsidRPr="006B42D6">
              <w:rPr>
                <w:sz w:val="15"/>
                <w:szCs w:val="15"/>
              </w:rPr>
              <w:t>2.8</w:t>
            </w:r>
          </w:p>
        </w:tc>
        <w:tc>
          <w:tcPr>
            <w:tcW w:w="1102" w:type="dxa"/>
            <w:tcBorders>
              <w:top w:val="nil"/>
              <w:left w:val="nil"/>
              <w:bottom w:val="nil"/>
              <w:right w:val="nil"/>
            </w:tcBorders>
            <w:shd w:val="clear" w:color="auto" w:fill="auto"/>
            <w:noWrap/>
            <w:vAlign w:val="bottom"/>
            <w:hideMark/>
          </w:tcPr>
          <w:p w14:paraId="08090D8B" w14:textId="77777777" w:rsidR="008A1E55" w:rsidRPr="006B42D6" w:rsidRDefault="008A1E55" w:rsidP="00E16CAE">
            <w:pPr>
              <w:rPr>
                <w:sz w:val="15"/>
                <w:szCs w:val="15"/>
              </w:rPr>
            </w:pPr>
            <w:r w:rsidRPr="006B42D6">
              <w:rPr>
                <w:sz w:val="15"/>
                <w:szCs w:val="15"/>
              </w:rPr>
              <w:t>2.3</w:t>
            </w:r>
          </w:p>
        </w:tc>
        <w:tc>
          <w:tcPr>
            <w:tcW w:w="983" w:type="dxa"/>
            <w:tcBorders>
              <w:top w:val="nil"/>
              <w:left w:val="nil"/>
              <w:bottom w:val="nil"/>
              <w:right w:val="nil"/>
            </w:tcBorders>
            <w:shd w:val="clear" w:color="auto" w:fill="auto"/>
            <w:noWrap/>
            <w:vAlign w:val="bottom"/>
            <w:hideMark/>
          </w:tcPr>
          <w:p w14:paraId="5E59507B" w14:textId="77777777" w:rsidR="008A1E55" w:rsidRPr="006B42D6" w:rsidRDefault="008A1E55" w:rsidP="00E16CAE">
            <w:pPr>
              <w:rPr>
                <w:sz w:val="15"/>
                <w:szCs w:val="15"/>
              </w:rPr>
            </w:pPr>
            <w:r w:rsidRPr="006B42D6">
              <w:rPr>
                <w:sz w:val="15"/>
                <w:szCs w:val="15"/>
              </w:rPr>
              <w:t>0.6</w:t>
            </w:r>
          </w:p>
        </w:tc>
        <w:tc>
          <w:tcPr>
            <w:tcW w:w="999" w:type="dxa"/>
            <w:tcBorders>
              <w:top w:val="nil"/>
              <w:left w:val="nil"/>
              <w:bottom w:val="nil"/>
              <w:right w:val="nil"/>
            </w:tcBorders>
            <w:shd w:val="clear" w:color="auto" w:fill="auto"/>
            <w:noWrap/>
            <w:vAlign w:val="bottom"/>
            <w:hideMark/>
          </w:tcPr>
          <w:p w14:paraId="2371675C" w14:textId="77777777" w:rsidR="008A1E55" w:rsidRPr="006B42D6" w:rsidRDefault="008A1E55" w:rsidP="00E16CAE">
            <w:pPr>
              <w:rPr>
                <w:sz w:val="15"/>
                <w:szCs w:val="15"/>
              </w:rPr>
            </w:pPr>
            <w:r w:rsidRPr="006B42D6">
              <w:rPr>
                <w:sz w:val="15"/>
                <w:szCs w:val="15"/>
              </w:rPr>
              <w:t>0.4</w:t>
            </w:r>
          </w:p>
        </w:tc>
        <w:tc>
          <w:tcPr>
            <w:tcW w:w="843" w:type="dxa"/>
            <w:tcBorders>
              <w:top w:val="nil"/>
              <w:left w:val="nil"/>
              <w:bottom w:val="nil"/>
              <w:right w:val="nil"/>
            </w:tcBorders>
            <w:shd w:val="clear" w:color="auto" w:fill="auto"/>
            <w:noWrap/>
            <w:vAlign w:val="bottom"/>
            <w:hideMark/>
          </w:tcPr>
          <w:p w14:paraId="509704BF" w14:textId="77777777" w:rsidR="008A1E55" w:rsidRPr="006B42D6" w:rsidRDefault="008A1E55" w:rsidP="00E16CAE">
            <w:pPr>
              <w:rPr>
                <w:sz w:val="15"/>
                <w:szCs w:val="15"/>
              </w:rPr>
            </w:pPr>
            <w:r w:rsidRPr="006B42D6">
              <w:rPr>
                <w:sz w:val="15"/>
                <w:szCs w:val="15"/>
              </w:rPr>
              <w:t>0.3</w:t>
            </w:r>
          </w:p>
        </w:tc>
        <w:tc>
          <w:tcPr>
            <w:tcW w:w="850" w:type="dxa"/>
            <w:tcBorders>
              <w:top w:val="nil"/>
              <w:left w:val="nil"/>
              <w:bottom w:val="nil"/>
              <w:right w:val="nil"/>
            </w:tcBorders>
            <w:shd w:val="clear" w:color="auto" w:fill="auto"/>
            <w:noWrap/>
            <w:vAlign w:val="bottom"/>
            <w:hideMark/>
          </w:tcPr>
          <w:p w14:paraId="4C9DE270" w14:textId="77777777" w:rsidR="008A1E55" w:rsidRPr="006B42D6" w:rsidRDefault="008A1E55" w:rsidP="00E16CAE">
            <w:pPr>
              <w:rPr>
                <w:sz w:val="15"/>
                <w:szCs w:val="15"/>
              </w:rPr>
            </w:pPr>
            <w:r w:rsidRPr="006B42D6">
              <w:rPr>
                <w:sz w:val="15"/>
                <w:szCs w:val="15"/>
              </w:rPr>
              <w:t>1.5</w:t>
            </w:r>
          </w:p>
        </w:tc>
        <w:tc>
          <w:tcPr>
            <w:tcW w:w="843" w:type="dxa"/>
            <w:tcBorders>
              <w:top w:val="nil"/>
              <w:left w:val="nil"/>
              <w:bottom w:val="nil"/>
              <w:right w:val="nil"/>
            </w:tcBorders>
            <w:shd w:val="clear" w:color="auto" w:fill="auto"/>
            <w:noWrap/>
            <w:vAlign w:val="bottom"/>
            <w:hideMark/>
          </w:tcPr>
          <w:p w14:paraId="6004AE5D" w14:textId="77777777" w:rsidR="008A1E55" w:rsidRPr="006B42D6" w:rsidRDefault="008A1E55" w:rsidP="00E16CAE">
            <w:pPr>
              <w:rPr>
                <w:sz w:val="15"/>
                <w:szCs w:val="15"/>
              </w:rPr>
            </w:pPr>
            <w:r w:rsidRPr="006B42D6">
              <w:rPr>
                <w:sz w:val="15"/>
                <w:szCs w:val="15"/>
              </w:rPr>
              <w:t>2.6</w:t>
            </w:r>
          </w:p>
        </w:tc>
        <w:tc>
          <w:tcPr>
            <w:tcW w:w="865" w:type="dxa"/>
            <w:tcBorders>
              <w:top w:val="nil"/>
              <w:left w:val="nil"/>
              <w:bottom w:val="nil"/>
              <w:right w:val="nil"/>
            </w:tcBorders>
            <w:shd w:val="clear" w:color="auto" w:fill="auto"/>
            <w:noWrap/>
            <w:vAlign w:val="bottom"/>
            <w:hideMark/>
          </w:tcPr>
          <w:p w14:paraId="2EA21129" w14:textId="77777777" w:rsidR="008A1E55" w:rsidRPr="006B42D6" w:rsidRDefault="008A1E55" w:rsidP="00E16CAE">
            <w:pPr>
              <w:rPr>
                <w:sz w:val="15"/>
                <w:szCs w:val="15"/>
              </w:rPr>
            </w:pPr>
            <w:r w:rsidRPr="006B42D6">
              <w:rPr>
                <w:sz w:val="15"/>
                <w:szCs w:val="15"/>
              </w:rPr>
              <w:t>3.4</w:t>
            </w:r>
          </w:p>
        </w:tc>
      </w:tr>
      <w:tr w:rsidR="006B42D6" w:rsidRPr="006B42D6" w14:paraId="610C4B5A" w14:textId="77777777" w:rsidTr="00355DF7">
        <w:trPr>
          <w:trHeight w:val="227"/>
        </w:trPr>
        <w:tc>
          <w:tcPr>
            <w:tcW w:w="1560" w:type="dxa"/>
            <w:tcBorders>
              <w:top w:val="nil"/>
              <w:left w:val="nil"/>
              <w:bottom w:val="nil"/>
              <w:right w:val="nil"/>
            </w:tcBorders>
            <w:shd w:val="clear" w:color="auto" w:fill="auto"/>
            <w:noWrap/>
            <w:vAlign w:val="bottom"/>
            <w:hideMark/>
          </w:tcPr>
          <w:p w14:paraId="317C2BEA" w14:textId="77777777" w:rsidR="008A1E55" w:rsidRPr="006B42D6" w:rsidRDefault="008A1E55" w:rsidP="00E16CAE">
            <w:pPr>
              <w:rPr>
                <w:sz w:val="15"/>
                <w:szCs w:val="15"/>
              </w:rPr>
            </w:pPr>
            <w:r w:rsidRPr="006B42D6">
              <w:rPr>
                <w:sz w:val="15"/>
                <w:szCs w:val="15"/>
              </w:rPr>
              <w:t>Geita</w:t>
            </w:r>
          </w:p>
        </w:tc>
        <w:tc>
          <w:tcPr>
            <w:tcW w:w="675" w:type="dxa"/>
            <w:tcBorders>
              <w:top w:val="nil"/>
              <w:left w:val="nil"/>
              <w:bottom w:val="nil"/>
              <w:right w:val="nil"/>
            </w:tcBorders>
            <w:shd w:val="clear" w:color="auto" w:fill="auto"/>
            <w:noWrap/>
            <w:vAlign w:val="bottom"/>
            <w:hideMark/>
          </w:tcPr>
          <w:p w14:paraId="03AD892D" w14:textId="77777777" w:rsidR="008A1E55" w:rsidRPr="006B42D6" w:rsidRDefault="008A1E55" w:rsidP="00E16CAE">
            <w:pPr>
              <w:rPr>
                <w:sz w:val="15"/>
                <w:szCs w:val="15"/>
              </w:rPr>
            </w:pPr>
            <w:r w:rsidRPr="006B42D6">
              <w:rPr>
                <w:sz w:val="15"/>
                <w:szCs w:val="15"/>
              </w:rPr>
              <w:t>8.7</w:t>
            </w:r>
          </w:p>
        </w:tc>
        <w:tc>
          <w:tcPr>
            <w:tcW w:w="1039" w:type="dxa"/>
            <w:tcBorders>
              <w:top w:val="nil"/>
              <w:left w:val="nil"/>
              <w:bottom w:val="nil"/>
              <w:right w:val="nil"/>
            </w:tcBorders>
            <w:shd w:val="clear" w:color="auto" w:fill="auto"/>
            <w:noWrap/>
            <w:vAlign w:val="bottom"/>
            <w:hideMark/>
          </w:tcPr>
          <w:p w14:paraId="33743CAB" w14:textId="77777777" w:rsidR="008A1E55" w:rsidRPr="006B42D6" w:rsidRDefault="008A1E55" w:rsidP="00E16CAE">
            <w:pPr>
              <w:rPr>
                <w:sz w:val="15"/>
                <w:szCs w:val="15"/>
              </w:rPr>
            </w:pPr>
            <w:r w:rsidRPr="006B42D6">
              <w:rPr>
                <w:sz w:val="15"/>
                <w:szCs w:val="15"/>
              </w:rPr>
              <w:t>3.2</w:t>
            </w:r>
          </w:p>
        </w:tc>
        <w:tc>
          <w:tcPr>
            <w:tcW w:w="1102" w:type="dxa"/>
            <w:tcBorders>
              <w:top w:val="nil"/>
              <w:left w:val="nil"/>
              <w:bottom w:val="nil"/>
              <w:right w:val="nil"/>
            </w:tcBorders>
            <w:shd w:val="clear" w:color="auto" w:fill="auto"/>
            <w:noWrap/>
            <w:vAlign w:val="bottom"/>
            <w:hideMark/>
          </w:tcPr>
          <w:p w14:paraId="0D48443D" w14:textId="77777777" w:rsidR="008A1E55" w:rsidRPr="006B42D6" w:rsidRDefault="008A1E55" w:rsidP="00E16CAE">
            <w:pPr>
              <w:rPr>
                <w:sz w:val="15"/>
                <w:szCs w:val="15"/>
              </w:rPr>
            </w:pPr>
            <w:r w:rsidRPr="006B42D6">
              <w:rPr>
                <w:sz w:val="15"/>
                <w:szCs w:val="15"/>
              </w:rPr>
              <w:t>2.9</w:t>
            </w:r>
          </w:p>
        </w:tc>
        <w:tc>
          <w:tcPr>
            <w:tcW w:w="983" w:type="dxa"/>
            <w:tcBorders>
              <w:top w:val="nil"/>
              <w:left w:val="nil"/>
              <w:bottom w:val="nil"/>
              <w:right w:val="nil"/>
            </w:tcBorders>
            <w:shd w:val="clear" w:color="auto" w:fill="auto"/>
            <w:noWrap/>
            <w:vAlign w:val="bottom"/>
            <w:hideMark/>
          </w:tcPr>
          <w:p w14:paraId="286EA304" w14:textId="77777777" w:rsidR="008A1E55" w:rsidRPr="006B42D6" w:rsidRDefault="008A1E55" w:rsidP="00E16CAE">
            <w:pPr>
              <w:rPr>
                <w:sz w:val="15"/>
                <w:szCs w:val="15"/>
              </w:rPr>
            </w:pPr>
            <w:r w:rsidRPr="006B42D6">
              <w:rPr>
                <w:sz w:val="15"/>
                <w:szCs w:val="15"/>
              </w:rPr>
              <w:t>2.3</w:t>
            </w:r>
          </w:p>
        </w:tc>
        <w:tc>
          <w:tcPr>
            <w:tcW w:w="999" w:type="dxa"/>
            <w:tcBorders>
              <w:top w:val="nil"/>
              <w:left w:val="nil"/>
              <w:bottom w:val="nil"/>
              <w:right w:val="nil"/>
            </w:tcBorders>
            <w:shd w:val="clear" w:color="auto" w:fill="auto"/>
            <w:noWrap/>
            <w:vAlign w:val="bottom"/>
            <w:hideMark/>
          </w:tcPr>
          <w:p w14:paraId="3770958A" w14:textId="77777777" w:rsidR="008A1E55" w:rsidRPr="006B42D6" w:rsidRDefault="008A1E55" w:rsidP="00E16CAE">
            <w:pPr>
              <w:rPr>
                <w:sz w:val="15"/>
                <w:szCs w:val="15"/>
              </w:rPr>
            </w:pPr>
            <w:r w:rsidRPr="006B42D6">
              <w:rPr>
                <w:sz w:val="15"/>
                <w:szCs w:val="15"/>
              </w:rPr>
              <w:t>6.3</w:t>
            </w:r>
          </w:p>
        </w:tc>
        <w:tc>
          <w:tcPr>
            <w:tcW w:w="843" w:type="dxa"/>
            <w:tcBorders>
              <w:top w:val="nil"/>
              <w:left w:val="nil"/>
              <w:bottom w:val="nil"/>
              <w:right w:val="nil"/>
            </w:tcBorders>
            <w:shd w:val="clear" w:color="auto" w:fill="auto"/>
            <w:noWrap/>
            <w:vAlign w:val="bottom"/>
            <w:hideMark/>
          </w:tcPr>
          <w:p w14:paraId="752594BD" w14:textId="77777777" w:rsidR="008A1E55" w:rsidRPr="006B42D6" w:rsidRDefault="008A1E55" w:rsidP="00E16CAE">
            <w:pPr>
              <w:rPr>
                <w:sz w:val="15"/>
                <w:szCs w:val="15"/>
              </w:rPr>
            </w:pPr>
            <w:r w:rsidRPr="006B42D6">
              <w:rPr>
                <w:sz w:val="15"/>
                <w:szCs w:val="15"/>
              </w:rPr>
              <w:t>0.5</w:t>
            </w:r>
          </w:p>
        </w:tc>
        <w:tc>
          <w:tcPr>
            <w:tcW w:w="850" w:type="dxa"/>
            <w:tcBorders>
              <w:top w:val="nil"/>
              <w:left w:val="nil"/>
              <w:bottom w:val="nil"/>
              <w:right w:val="nil"/>
            </w:tcBorders>
            <w:shd w:val="clear" w:color="auto" w:fill="auto"/>
            <w:noWrap/>
            <w:vAlign w:val="bottom"/>
            <w:hideMark/>
          </w:tcPr>
          <w:p w14:paraId="3DC80D0C" w14:textId="77777777" w:rsidR="008A1E55" w:rsidRPr="006B42D6" w:rsidRDefault="008A1E55" w:rsidP="00E16CAE">
            <w:pPr>
              <w:rPr>
                <w:sz w:val="15"/>
                <w:szCs w:val="15"/>
              </w:rPr>
            </w:pPr>
            <w:r w:rsidRPr="006B42D6">
              <w:rPr>
                <w:sz w:val="15"/>
                <w:szCs w:val="15"/>
              </w:rPr>
              <w:t>3.1</w:t>
            </w:r>
          </w:p>
        </w:tc>
        <w:tc>
          <w:tcPr>
            <w:tcW w:w="843" w:type="dxa"/>
            <w:tcBorders>
              <w:top w:val="nil"/>
              <w:left w:val="nil"/>
              <w:bottom w:val="nil"/>
              <w:right w:val="nil"/>
            </w:tcBorders>
            <w:shd w:val="clear" w:color="auto" w:fill="auto"/>
            <w:noWrap/>
            <w:vAlign w:val="bottom"/>
            <w:hideMark/>
          </w:tcPr>
          <w:p w14:paraId="3EA95EE6" w14:textId="77777777" w:rsidR="008A1E55" w:rsidRPr="006B42D6" w:rsidRDefault="008A1E55" w:rsidP="00E16CAE">
            <w:pPr>
              <w:rPr>
                <w:sz w:val="15"/>
                <w:szCs w:val="15"/>
              </w:rPr>
            </w:pPr>
            <w:r w:rsidRPr="006B42D6">
              <w:rPr>
                <w:sz w:val="15"/>
                <w:szCs w:val="15"/>
              </w:rPr>
              <w:t>0.0</w:t>
            </w:r>
          </w:p>
        </w:tc>
        <w:tc>
          <w:tcPr>
            <w:tcW w:w="865" w:type="dxa"/>
            <w:tcBorders>
              <w:top w:val="nil"/>
              <w:left w:val="nil"/>
              <w:bottom w:val="nil"/>
              <w:right w:val="nil"/>
            </w:tcBorders>
            <w:shd w:val="clear" w:color="auto" w:fill="auto"/>
            <w:noWrap/>
            <w:vAlign w:val="bottom"/>
            <w:hideMark/>
          </w:tcPr>
          <w:p w14:paraId="02AA79B8" w14:textId="77777777" w:rsidR="008A1E55" w:rsidRPr="006B42D6" w:rsidRDefault="008A1E55" w:rsidP="00E16CAE">
            <w:pPr>
              <w:rPr>
                <w:sz w:val="15"/>
                <w:szCs w:val="15"/>
              </w:rPr>
            </w:pPr>
            <w:r w:rsidRPr="006B42D6">
              <w:rPr>
                <w:sz w:val="15"/>
                <w:szCs w:val="15"/>
              </w:rPr>
              <w:t>0.0</w:t>
            </w:r>
          </w:p>
        </w:tc>
      </w:tr>
      <w:tr w:rsidR="006B42D6" w:rsidRPr="006B42D6" w14:paraId="37C30C0D" w14:textId="77777777" w:rsidTr="00355DF7">
        <w:trPr>
          <w:trHeight w:val="227"/>
        </w:trPr>
        <w:tc>
          <w:tcPr>
            <w:tcW w:w="1560" w:type="dxa"/>
            <w:tcBorders>
              <w:top w:val="nil"/>
              <w:left w:val="nil"/>
              <w:bottom w:val="nil"/>
              <w:right w:val="nil"/>
            </w:tcBorders>
            <w:shd w:val="clear" w:color="auto" w:fill="auto"/>
            <w:noWrap/>
            <w:vAlign w:val="bottom"/>
            <w:hideMark/>
          </w:tcPr>
          <w:p w14:paraId="2FB3AECA" w14:textId="77777777" w:rsidR="008A1E55" w:rsidRPr="006B42D6" w:rsidRDefault="008A1E55" w:rsidP="00E16CAE">
            <w:pPr>
              <w:rPr>
                <w:sz w:val="15"/>
                <w:szCs w:val="15"/>
              </w:rPr>
            </w:pPr>
            <w:r w:rsidRPr="006B42D6">
              <w:rPr>
                <w:sz w:val="15"/>
                <w:szCs w:val="15"/>
              </w:rPr>
              <w:t>Songwe</w:t>
            </w:r>
          </w:p>
        </w:tc>
        <w:tc>
          <w:tcPr>
            <w:tcW w:w="675" w:type="dxa"/>
            <w:tcBorders>
              <w:top w:val="nil"/>
              <w:left w:val="nil"/>
              <w:bottom w:val="nil"/>
              <w:right w:val="nil"/>
            </w:tcBorders>
            <w:shd w:val="clear" w:color="auto" w:fill="auto"/>
            <w:noWrap/>
            <w:vAlign w:val="bottom"/>
            <w:hideMark/>
          </w:tcPr>
          <w:p w14:paraId="1B4545DD" w14:textId="77777777" w:rsidR="008A1E55" w:rsidRPr="006B42D6" w:rsidRDefault="008A1E55" w:rsidP="00E16CAE">
            <w:pPr>
              <w:rPr>
                <w:sz w:val="15"/>
                <w:szCs w:val="15"/>
              </w:rPr>
            </w:pPr>
            <w:r w:rsidRPr="006B42D6">
              <w:rPr>
                <w:sz w:val="15"/>
                <w:szCs w:val="15"/>
              </w:rPr>
              <w:t>1.6</w:t>
            </w:r>
          </w:p>
        </w:tc>
        <w:tc>
          <w:tcPr>
            <w:tcW w:w="1039" w:type="dxa"/>
            <w:tcBorders>
              <w:top w:val="nil"/>
              <w:left w:val="nil"/>
              <w:bottom w:val="nil"/>
              <w:right w:val="nil"/>
            </w:tcBorders>
            <w:shd w:val="clear" w:color="auto" w:fill="auto"/>
            <w:noWrap/>
            <w:vAlign w:val="bottom"/>
            <w:hideMark/>
          </w:tcPr>
          <w:p w14:paraId="4B95F7E4" w14:textId="77777777" w:rsidR="008A1E55" w:rsidRPr="006B42D6" w:rsidRDefault="008A1E55" w:rsidP="00E16CAE">
            <w:pPr>
              <w:rPr>
                <w:sz w:val="15"/>
                <w:szCs w:val="15"/>
              </w:rPr>
            </w:pPr>
            <w:r w:rsidRPr="006B42D6">
              <w:rPr>
                <w:sz w:val="15"/>
                <w:szCs w:val="15"/>
              </w:rPr>
              <w:t>4.7</w:t>
            </w:r>
          </w:p>
        </w:tc>
        <w:tc>
          <w:tcPr>
            <w:tcW w:w="1102" w:type="dxa"/>
            <w:tcBorders>
              <w:top w:val="nil"/>
              <w:left w:val="nil"/>
              <w:bottom w:val="nil"/>
              <w:right w:val="nil"/>
            </w:tcBorders>
            <w:shd w:val="clear" w:color="auto" w:fill="auto"/>
            <w:noWrap/>
            <w:vAlign w:val="bottom"/>
            <w:hideMark/>
          </w:tcPr>
          <w:p w14:paraId="5353C00A" w14:textId="77777777" w:rsidR="008A1E55" w:rsidRPr="006B42D6" w:rsidRDefault="008A1E55" w:rsidP="00E16CAE">
            <w:pPr>
              <w:rPr>
                <w:sz w:val="15"/>
                <w:szCs w:val="15"/>
              </w:rPr>
            </w:pPr>
            <w:r w:rsidRPr="006B42D6">
              <w:rPr>
                <w:sz w:val="15"/>
                <w:szCs w:val="15"/>
              </w:rPr>
              <w:t>3.2</w:t>
            </w:r>
          </w:p>
        </w:tc>
        <w:tc>
          <w:tcPr>
            <w:tcW w:w="983" w:type="dxa"/>
            <w:tcBorders>
              <w:top w:val="nil"/>
              <w:left w:val="nil"/>
              <w:bottom w:val="nil"/>
              <w:right w:val="nil"/>
            </w:tcBorders>
            <w:shd w:val="clear" w:color="auto" w:fill="auto"/>
            <w:noWrap/>
            <w:vAlign w:val="bottom"/>
            <w:hideMark/>
          </w:tcPr>
          <w:p w14:paraId="4EFB3425" w14:textId="77777777" w:rsidR="008A1E55" w:rsidRPr="006B42D6" w:rsidRDefault="008A1E55" w:rsidP="00E16CAE">
            <w:pPr>
              <w:rPr>
                <w:sz w:val="15"/>
                <w:szCs w:val="15"/>
              </w:rPr>
            </w:pPr>
            <w:r w:rsidRPr="006B42D6">
              <w:rPr>
                <w:sz w:val="15"/>
                <w:szCs w:val="15"/>
              </w:rPr>
              <w:t>2.1</w:t>
            </w:r>
          </w:p>
        </w:tc>
        <w:tc>
          <w:tcPr>
            <w:tcW w:w="999" w:type="dxa"/>
            <w:tcBorders>
              <w:top w:val="nil"/>
              <w:left w:val="nil"/>
              <w:bottom w:val="nil"/>
              <w:right w:val="nil"/>
            </w:tcBorders>
            <w:shd w:val="clear" w:color="auto" w:fill="auto"/>
            <w:noWrap/>
            <w:vAlign w:val="bottom"/>
            <w:hideMark/>
          </w:tcPr>
          <w:p w14:paraId="160C5A97" w14:textId="77777777" w:rsidR="008A1E55" w:rsidRPr="006B42D6" w:rsidRDefault="008A1E55" w:rsidP="00E16CAE">
            <w:pPr>
              <w:rPr>
                <w:sz w:val="15"/>
                <w:szCs w:val="15"/>
              </w:rPr>
            </w:pPr>
            <w:r w:rsidRPr="006B42D6">
              <w:rPr>
                <w:sz w:val="15"/>
                <w:szCs w:val="15"/>
              </w:rPr>
              <w:t>5.8</w:t>
            </w:r>
          </w:p>
        </w:tc>
        <w:tc>
          <w:tcPr>
            <w:tcW w:w="843" w:type="dxa"/>
            <w:tcBorders>
              <w:top w:val="nil"/>
              <w:left w:val="nil"/>
              <w:bottom w:val="nil"/>
              <w:right w:val="nil"/>
            </w:tcBorders>
            <w:shd w:val="clear" w:color="auto" w:fill="auto"/>
            <w:noWrap/>
            <w:vAlign w:val="bottom"/>
            <w:hideMark/>
          </w:tcPr>
          <w:p w14:paraId="72FC22F3" w14:textId="77777777" w:rsidR="008A1E55" w:rsidRPr="006B42D6" w:rsidRDefault="008A1E55" w:rsidP="00E16CAE">
            <w:pPr>
              <w:rPr>
                <w:sz w:val="15"/>
                <w:szCs w:val="15"/>
              </w:rPr>
            </w:pPr>
            <w:r w:rsidRPr="006B42D6">
              <w:rPr>
                <w:sz w:val="15"/>
                <w:szCs w:val="15"/>
              </w:rPr>
              <w:t>0.7</w:t>
            </w:r>
          </w:p>
        </w:tc>
        <w:tc>
          <w:tcPr>
            <w:tcW w:w="850" w:type="dxa"/>
            <w:tcBorders>
              <w:top w:val="nil"/>
              <w:left w:val="nil"/>
              <w:bottom w:val="nil"/>
              <w:right w:val="nil"/>
            </w:tcBorders>
            <w:shd w:val="clear" w:color="auto" w:fill="auto"/>
            <w:noWrap/>
            <w:vAlign w:val="bottom"/>
            <w:hideMark/>
          </w:tcPr>
          <w:p w14:paraId="4DD5CB26" w14:textId="77777777" w:rsidR="008A1E55" w:rsidRPr="006B42D6" w:rsidRDefault="008A1E55" w:rsidP="00E16CAE">
            <w:pPr>
              <w:rPr>
                <w:sz w:val="15"/>
                <w:szCs w:val="15"/>
              </w:rPr>
            </w:pPr>
            <w:r w:rsidRPr="006B42D6">
              <w:rPr>
                <w:sz w:val="15"/>
                <w:szCs w:val="15"/>
              </w:rPr>
              <w:t>2.7</w:t>
            </w:r>
          </w:p>
        </w:tc>
        <w:tc>
          <w:tcPr>
            <w:tcW w:w="843" w:type="dxa"/>
            <w:tcBorders>
              <w:top w:val="nil"/>
              <w:left w:val="nil"/>
              <w:bottom w:val="nil"/>
              <w:right w:val="nil"/>
            </w:tcBorders>
            <w:shd w:val="clear" w:color="auto" w:fill="auto"/>
            <w:noWrap/>
            <w:vAlign w:val="bottom"/>
            <w:hideMark/>
          </w:tcPr>
          <w:p w14:paraId="1DDF48D9" w14:textId="77777777" w:rsidR="008A1E55" w:rsidRPr="006B42D6" w:rsidRDefault="008A1E55" w:rsidP="00E16CAE">
            <w:pPr>
              <w:rPr>
                <w:sz w:val="15"/>
                <w:szCs w:val="15"/>
              </w:rPr>
            </w:pPr>
            <w:r w:rsidRPr="006B42D6">
              <w:rPr>
                <w:sz w:val="15"/>
                <w:szCs w:val="15"/>
              </w:rPr>
              <w:t>0.0</w:t>
            </w:r>
          </w:p>
        </w:tc>
        <w:tc>
          <w:tcPr>
            <w:tcW w:w="865" w:type="dxa"/>
            <w:tcBorders>
              <w:top w:val="nil"/>
              <w:left w:val="nil"/>
              <w:bottom w:val="nil"/>
              <w:right w:val="nil"/>
            </w:tcBorders>
            <w:shd w:val="clear" w:color="auto" w:fill="auto"/>
            <w:noWrap/>
            <w:vAlign w:val="bottom"/>
            <w:hideMark/>
          </w:tcPr>
          <w:p w14:paraId="19FA70B8" w14:textId="77777777" w:rsidR="008A1E55" w:rsidRPr="006B42D6" w:rsidRDefault="008A1E55" w:rsidP="00E16CAE">
            <w:pPr>
              <w:rPr>
                <w:sz w:val="15"/>
                <w:szCs w:val="15"/>
              </w:rPr>
            </w:pPr>
            <w:r w:rsidRPr="006B42D6">
              <w:rPr>
                <w:sz w:val="15"/>
                <w:szCs w:val="15"/>
              </w:rPr>
              <w:t>0.0</w:t>
            </w:r>
          </w:p>
        </w:tc>
      </w:tr>
      <w:tr w:rsidR="006B42D6" w:rsidRPr="00143C67" w14:paraId="022ED895" w14:textId="77777777" w:rsidTr="00355DF7">
        <w:trPr>
          <w:trHeight w:val="227"/>
        </w:trPr>
        <w:tc>
          <w:tcPr>
            <w:tcW w:w="1560" w:type="dxa"/>
            <w:tcBorders>
              <w:top w:val="single" w:sz="4" w:space="0" w:color="auto"/>
              <w:left w:val="nil"/>
              <w:bottom w:val="single" w:sz="4" w:space="0" w:color="auto"/>
              <w:right w:val="nil"/>
            </w:tcBorders>
            <w:shd w:val="clear" w:color="auto" w:fill="E2EFD9" w:themeFill="accent6" w:themeFillTint="33"/>
            <w:noWrap/>
            <w:vAlign w:val="bottom"/>
            <w:hideMark/>
          </w:tcPr>
          <w:p w14:paraId="50B213F5" w14:textId="479B24F9" w:rsidR="008A1E55" w:rsidRPr="00143C67" w:rsidRDefault="00EA1552" w:rsidP="00E16CAE">
            <w:pPr>
              <w:rPr>
                <w:b/>
                <w:bCs/>
                <w:sz w:val="15"/>
                <w:szCs w:val="15"/>
              </w:rPr>
            </w:pPr>
            <w:r w:rsidRPr="00143C67">
              <w:rPr>
                <w:b/>
                <w:bCs/>
                <w:sz w:val="15"/>
                <w:szCs w:val="15"/>
              </w:rPr>
              <w:t>Mainland Tanzania</w:t>
            </w:r>
          </w:p>
        </w:tc>
        <w:tc>
          <w:tcPr>
            <w:tcW w:w="675" w:type="dxa"/>
            <w:tcBorders>
              <w:top w:val="single" w:sz="4" w:space="0" w:color="auto"/>
              <w:left w:val="nil"/>
              <w:bottom w:val="single" w:sz="4" w:space="0" w:color="auto"/>
              <w:right w:val="nil"/>
            </w:tcBorders>
            <w:shd w:val="clear" w:color="auto" w:fill="E2EFD9" w:themeFill="accent6" w:themeFillTint="33"/>
            <w:noWrap/>
            <w:vAlign w:val="bottom"/>
            <w:hideMark/>
          </w:tcPr>
          <w:p w14:paraId="5AB4718C" w14:textId="77777777" w:rsidR="008A1E55" w:rsidRPr="00143C67" w:rsidRDefault="008A1E55" w:rsidP="00E16CAE">
            <w:pPr>
              <w:rPr>
                <w:b/>
                <w:sz w:val="15"/>
                <w:szCs w:val="15"/>
              </w:rPr>
            </w:pPr>
            <w:r w:rsidRPr="00143C67">
              <w:rPr>
                <w:b/>
                <w:sz w:val="15"/>
                <w:szCs w:val="15"/>
              </w:rPr>
              <w:t>100.0</w:t>
            </w:r>
          </w:p>
        </w:tc>
        <w:tc>
          <w:tcPr>
            <w:tcW w:w="1039" w:type="dxa"/>
            <w:tcBorders>
              <w:top w:val="single" w:sz="4" w:space="0" w:color="auto"/>
              <w:left w:val="nil"/>
              <w:bottom w:val="single" w:sz="4" w:space="0" w:color="auto"/>
              <w:right w:val="nil"/>
            </w:tcBorders>
            <w:shd w:val="clear" w:color="auto" w:fill="E2EFD9" w:themeFill="accent6" w:themeFillTint="33"/>
            <w:noWrap/>
            <w:vAlign w:val="bottom"/>
            <w:hideMark/>
          </w:tcPr>
          <w:p w14:paraId="5774F601" w14:textId="77777777" w:rsidR="008A1E55" w:rsidRPr="00143C67" w:rsidRDefault="008A1E55" w:rsidP="00E16CAE">
            <w:pPr>
              <w:rPr>
                <w:b/>
                <w:sz w:val="15"/>
                <w:szCs w:val="15"/>
              </w:rPr>
            </w:pPr>
            <w:r w:rsidRPr="00143C67">
              <w:rPr>
                <w:b/>
                <w:sz w:val="15"/>
                <w:szCs w:val="15"/>
              </w:rPr>
              <w:t>100.0</w:t>
            </w:r>
          </w:p>
        </w:tc>
        <w:tc>
          <w:tcPr>
            <w:tcW w:w="1102" w:type="dxa"/>
            <w:tcBorders>
              <w:top w:val="single" w:sz="4" w:space="0" w:color="auto"/>
              <w:left w:val="nil"/>
              <w:bottom w:val="single" w:sz="4" w:space="0" w:color="auto"/>
              <w:right w:val="nil"/>
            </w:tcBorders>
            <w:shd w:val="clear" w:color="auto" w:fill="E2EFD9" w:themeFill="accent6" w:themeFillTint="33"/>
            <w:noWrap/>
            <w:vAlign w:val="bottom"/>
            <w:hideMark/>
          </w:tcPr>
          <w:p w14:paraId="3D0E5EA7" w14:textId="77777777" w:rsidR="008A1E55" w:rsidRPr="00143C67" w:rsidRDefault="008A1E55" w:rsidP="00E16CAE">
            <w:pPr>
              <w:rPr>
                <w:b/>
                <w:sz w:val="15"/>
                <w:szCs w:val="15"/>
              </w:rPr>
            </w:pPr>
            <w:r w:rsidRPr="00143C67">
              <w:rPr>
                <w:b/>
                <w:sz w:val="15"/>
                <w:szCs w:val="15"/>
              </w:rPr>
              <w:t>100.0</w:t>
            </w:r>
          </w:p>
        </w:tc>
        <w:tc>
          <w:tcPr>
            <w:tcW w:w="983" w:type="dxa"/>
            <w:tcBorders>
              <w:top w:val="single" w:sz="4" w:space="0" w:color="auto"/>
              <w:left w:val="nil"/>
              <w:bottom w:val="single" w:sz="4" w:space="0" w:color="auto"/>
              <w:right w:val="nil"/>
            </w:tcBorders>
            <w:shd w:val="clear" w:color="auto" w:fill="E2EFD9" w:themeFill="accent6" w:themeFillTint="33"/>
            <w:noWrap/>
            <w:vAlign w:val="bottom"/>
            <w:hideMark/>
          </w:tcPr>
          <w:p w14:paraId="6B5201C9" w14:textId="77777777" w:rsidR="008A1E55" w:rsidRPr="00143C67" w:rsidRDefault="008A1E55" w:rsidP="00E16CAE">
            <w:pPr>
              <w:rPr>
                <w:b/>
                <w:sz w:val="15"/>
                <w:szCs w:val="15"/>
              </w:rPr>
            </w:pPr>
            <w:r w:rsidRPr="00143C67">
              <w:rPr>
                <w:b/>
                <w:sz w:val="15"/>
                <w:szCs w:val="15"/>
              </w:rPr>
              <w:t>100.0</w:t>
            </w:r>
          </w:p>
        </w:tc>
        <w:tc>
          <w:tcPr>
            <w:tcW w:w="999" w:type="dxa"/>
            <w:tcBorders>
              <w:top w:val="single" w:sz="4" w:space="0" w:color="auto"/>
              <w:left w:val="nil"/>
              <w:bottom w:val="single" w:sz="4" w:space="0" w:color="auto"/>
              <w:right w:val="nil"/>
            </w:tcBorders>
            <w:shd w:val="clear" w:color="auto" w:fill="E2EFD9" w:themeFill="accent6" w:themeFillTint="33"/>
            <w:noWrap/>
            <w:vAlign w:val="bottom"/>
            <w:hideMark/>
          </w:tcPr>
          <w:p w14:paraId="441B630C" w14:textId="77777777" w:rsidR="008A1E55" w:rsidRPr="00143C67" w:rsidRDefault="008A1E55" w:rsidP="00E16CAE">
            <w:pPr>
              <w:rPr>
                <w:b/>
                <w:sz w:val="15"/>
                <w:szCs w:val="15"/>
              </w:rPr>
            </w:pPr>
            <w:r w:rsidRPr="00143C67">
              <w:rPr>
                <w:b/>
                <w:sz w:val="15"/>
                <w:szCs w:val="15"/>
              </w:rPr>
              <w:t>100.0</w:t>
            </w:r>
          </w:p>
        </w:tc>
        <w:tc>
          <w:tcPr>
            <w:tcW w:w="843" w:type="dxa"/>
            <w:tcBorders>
              <w:top w:val="single" w:sz="4" w:space="0" w:color="auto"/>
              <w:left w:val="nil"/>
              <w:bottom w:val="single" w:sz="4" w:space="0" w:color="auto"/>
              <w:right w:val="nil"/>
            </w:tcBorders>
            <w:shd w:val="clear" w:color="auto" w:fill="E2EFD9" w:themeFill="accent6" w:themeFillTint="33"/>
            <w:noWrap/>
            <w:vAlign w:val="bottom"/>
            <w:hideMark/>
          </w:tcPr>
          <w:p w14:paraId="69B393E8" w14:textId="77777777" w:rsidR="008A1E55" w:rsidRPr="00143C67" w:rsidRDefault="008A1E55" w:rsidP="00E16CAE">
            <w:pPr>
              <w:rPr>
                <w:b/>
                <w:sz w:val="15"/>
                <w:szCs w:val="15"/>
              </w:rPr>
            </w:pPr>
            <w:r w:rsidRPr="00143C67">
              <w:rPr>
                <w:b/>
                <w:sz w:val="15"/>
                <w:szCs w:val="15"/>
              </w:rPr>
              <w:t>100.0</w:t>
            </w:r>
          </w:p>
        </w:tc>
        <w:tc>
          <w:tcPr>
            <w:tcW w:w="850" w:type="dxa"/>
            <w:tcBorders>
              <w:top w:val="single" w:sz="4" w:space="0" w:color="auto"/>
              <w:left w:val="nil"/>
              <w:bottom w:val="single" w:sz="4" w:space="0" w:color="auto"/>
              <w:right w:val="nil"/>
            </w:tcBorders>
            <w:shd w:val="clear" w:color="auto" w:fill="E2EFD9" w:themeFill="accent6" w:themeFillTint="33"/>
            <w:noWrap/>
            <w:vAlign w:val="bottom"/>
            <w:hideMark/>
          </w:tcPr>
          <w:p w14:paraId="293E0F3D" w14:textId="77777777" w:rsidR="008A1E55" w:rsidRPr="00143C67" w:rsidRDefault="008A1E55" w:rsidP="00E16CAE">
            <w:pPr>
              <w:rPr>
                <w:b/>
                <w:sz w:val="15"/>
                <w:szCs w:val="15"/>
              </w:rPr>
            </w:pPr>
            <w:r w:rsidRPr="00143C67">
              <w:rPr>
                <w:b/>
                <w:sz w:val="15"/>
                <w:szCs w:val="15"/>
              </w:rPr>
              <w:t>100.0</w:t>
            </w:r>
          </w:p>
        </w:tc>
        <w:tc>
          <w:tcPr>
            <w:tcW w:w="843" w:type="dxa"/>
            <w:tcBorders>
              <w:top w:val="single" w:sz="4" w:space="0" w:color="auto"/>
              <w:left w:val="nil"/>
              <w:bottom w:val="single" w:sz="4" w:space="0" w:color="auto"/>
              <w:right w:val="nil"/>
            </w:tcBorders>
            <w:shd w:val="clear" w:color="auto" w:fill="E2EFD9" w:themeFill="accent6" w:themeFillTint="33"/>
            <w:noWrap/>
            <w:vAlign w:val="bottom"/>
            <w:hideMark/>
          </w:tcPr>
          <w:p w14:paraId="4CDB5679" w14:textId="77777777" w:rsidR="008A1E55" w:rsidRPr="00143C67" w:rsidRDefault="008A1E55" w:rsidP="00E16CAE">
            <w:pPr>
              <w:rPr>
                <w:b/>
                <w:sz w:val="15"/>
                <w:szCs w:val="15"/>
              </w:rPr>
            </w:pPr>
            <w:r w:rsidRPr="00143C67">
              <w:rPr>
                <w:b/>
                <w:sz w:val="15"/>
                <w:szCs w:val="15"/>
              </w:rPr>
              <w:t>100.0</w:t>
            </w:r>
          </w:p>
        </w:tc>
        <w:tc>
          <w:tcPr>
            <w:tcW w:w="865" w:type="dxa"/>
            <w:tcBorders>
              <w:top w:val="single" w:sz="4" w:space="0" w:color="auto"/>
              <w:left w:val="nil"/>
              <w:bottom w:val="single" w:sz="4" w:space="0" w:color="auto"/>
              <w:right w:val="nil"/>
            </w:tcBorders>
            <w:shd w:val="clear" w:color="auto" w:fill="E2EFD9" w:themeFill="accent6" w:themeFillTint="33"/>
            <w:noWrap/>
            <w:vAlign w:val="bottom"/>
            <w:hideMark/>
          </w:tcPr>
          <w:p w14:paraId="15914C75" w14:textId="77777777" w:rsidR="008A1E55" w:rsidRPr="00143C67" w:rsidRDefault="008A1E55" w:rsidP="00E16CAE">
            <w:pPr>
              <w:rPr>
                <w:b/>
                <w:sz w:val="15"/>
                <w:szCs w:val="15"/>
              </w:rPr>
            </w:pPr>
            <w:r w:rsidRPr="00143C67">
              <w:rPr>
                <w:b/>
                <w:sz w:val="15"/>
                <w:szCs w:val="15"/>
              </w:rPr>
              <w:t>100.0</w:t>
            </w:r>
          </w:p>
        </w:tc>
      </w:tr>
      <w:tr w:rsidR="006B42D6" w:rsidRPr="006B42D6" w14:paraId="604EC70B" w14:textId="77777777" w:rsidTr="00355DF7">
        <w:trPr>
          <w:trHeight w:val="227"/>
        </w:trPr>
        <w:tc>
          <w:tcPr>
            <w:tcW w:w="1560" w:type="dxa"/>
            <w:tcBorders>
              <w:top w:val="nil"/>
              <w:left w:val="nil"/>
              <w:bottom w:val="nil"/>
              <w:right w:val="nil"/>
            </w:tcBorders>
            <w:shd w:val="clear" w:color="auto" w:fill="auto"/>
            <w:noWrap/>
            <w:vAlign w:val="bottom"/>
            <w:hideMark/>
          </w:tcPr>
          <w:p w14:paraId="5A3788D2" w14:textId="77777777" w:rsidR="008A1E55" w:rsidRPr="006B42D6" w:rsidRDefault="008A1E55" w:rsidP="00E16CAE">
            <w:pPr>
              <w:rPr>
                <w:sz w:val="15"/>
                <w:szCs w:val="15"/>
              </w:rPr>
            </w:pPr>
            <w:r w:rsidRPr="006B42D6">
              <w:rPr>
                <w:sz w:val="15"/>
                <w:szCs w:val="15"/>
              </w:rPr>
              <w:t>Kaskazini Unguja</w:t>
            </w:r>
          </w:p>
        </w:tc>
        <w:tc>
          <w:tcPr>
            <w:tcW w:w="675" w:type="dxa"/>
            <w:tcBorders>
              <w:top w:val="nil"/>
              <w:left w:val="nil"/>
              <w:bottom w:val="nil"/>
              <w:right w:val="nil"/>
            </w:tcBorders>
            <w:shd w:val="clear" w:color="auto" w:fill="auto"/>
            <w:noWrap/>
            <w:vAlign w:val="bottom"/>
            <w:hideMark/>
          </w:tcPr>
          <w:p w14:paraId="1F88BF14" w14:textId="77777777" w:rsidR="008A1E55" w:rsidRPr="006B42D6" w:rsidRDefault="008A1E55" w:rsidP="00E16CAE">
            <w:pPr>
              <w:rPr>
                <w:sz w:val="15"/>
                <w:szCs w:val="15"/>
              </w:rPr>
            </w:pPr>
            <w:r w:rsidRPr="006B42D6">
              <w:rPr>
                <w:sz w:val="15"/>
                <w:szCs w:val="15"/>
              </w:rPr>
              <w:t>11.7</w:t>
            </w:r>
          </w:p>
        </w:tc>
        <w:tc>
          <w:tcPr>
            <w:tcW w:w="1039" w:type="dxa"/>
            <w:tcBorders>
              <w:top w:val="nil"/>
              <w:left w:val="nil"/>
              <w:bottom w:val="nil"/>
              <w:right w:val="nil"/>
            </w:tcBorders>
            <w:shd w:val="clear" w:color="auto" w:fill="auto"/>
            <w:noWrap/>
            <w:vAlign w:val="bottom"/>
            <w:hideMark/>
          </w:tcPr>
          <w:p w14:paraId="5C172420" w14:textId="77777777" w:rsidR="008A1E55" w:rsidRPr="006B42D6" w:rsidRDefault="008A1E55" w:rsidP="00E16CAE">
            <w:pPr>
              <w:rPr>
                <w:sz w:val="15"/>
                <w:szCs w:val="15"/>
              </w:rPr>
            </w:pPr>
            <w:r w:rsidRPr="006B42D6">
              <w:rPr>
                <w:sz w:val="15"/>
                <w:szCs w:val="15"/>
              </w:rPr>
              <w:t>10.7</w:t>
            </w:r>
          </w:p>
        </w:tc>
        <w:tc>
          <w:tcPr>
            <w:tcW w:w="1102" w:type="dxa"/>
            <w:tcBorders>
              <w:top w:val="nil"/>
              <w:left w:val="nil"/>
              <w:bottom w:val="nil"/>
              <w:right w:val="nil"/>
            </w:tcBorders>
            <w:shd w:val="clear" w:color="auto" w:fill="auto"/>
            <w:noWrap/>
            <w:vAlign w:val="bottom"/>
            <w:hideMark/>
          </w:tcPr>
          <w:p w14:paraId="7ED1D2DC" w14:textId="77777777" w:rsidR="008A1E55" w:rsidRPr="006B42D6" w:rsidRDefault="008A1E55" w:rsidP="00E16CAE">
            <w:pPr>
              <w:rPr>
                <w:sz w:val="15"/>
                <w:szCs w:val="15"/>
              </w:rPr>
            </w:pPr>
            <w:r w:rsidRPr="006B42D6">
              <w:rPr>
                <w:sz w:val="15"/>
                <w:szCs w:val="15"/>
              </w:rPr>
              <w:t>26.6</w:t>
            </w:r>
          </w:p>
        </w:tc>
        <w:tc>
          <w:tcPr>
            <w:tcW w:w="983" w:type="dxa"/>
            <w:tcBorders>
              <w:top w:val="nil"/>
              <w:left w:val="nil"/>
              <w:bottom w:val="nil"/>
              <w:right w:val="nil"/>
            </w:tcBorders>
            <w:shd w:val="clear" w:color="auto" w:fill="auto"/>
            <w:noWrap/>
            <w:vAlign w:val="bottom"/>
            <w:hideMark/>
          </w:tcPr>
          <w:p w14:paraId="5293500F" w14:textId="77777777" w:rsidR="008A1E55" w:rsidRPr="006B42D6" w:rsidRDefault="008A1E55" w:rsidP="00E16CAE">
            <w:pPr>
              <w:rPr>
                <w:sz w:val="15"/>
                <w:szCs w:val="15"/>
              </w:rPr>
            </w:pPr>
            <w:r w:rsidRPr="006B42D6">
              <w:rPr>
                <w:sz w:val="15"/>
                <w:szCs w:val="15"/>
              </w:rPr>
              <w:t>19.5</w:t>
            </w:r>
          </w:p>
        </w:tc>
        <w:tc>
          <w:tcPr>
            <w:tcW w:w="999" w:type="dxa"/>
            <w:tcBorders>
              <w:top w:val="nil"/>
              <w:left w:val="nil"/>
              <w:bottom w:val="nil"/>
              <w:right w:val="nil"/>
            </w:tcBorders>
            <w:shd w:val="clear" w:color="auto" w:fill="auto"/>
            <w:noWrap/>
            <w:vAlign w:val="bottom"/>
            <w:hideMark/>
          </w:tcPr>
          <w:p w14:paraId="78733F50" w14:textId="77777777" w:rsidR="008A1E55" w:rsidRPr="006B42D6" w:rsidRDefault="008A1E55" w:rsidP="00E16CAE">
            <w:pPr>
              <w:rPr>
                <w:sz w:val="15"/>
                <w:szCs w:val="15"/>
              </w:rPr>
            </w:pPr>
            <w:r w:rsidRPr="006B42D6">
              <w:rPr>
                <w:sz w:val="15"/>
                <w:szCs w:val="15"/>
              </w:rPr>
              <w:t>10.4</w:t>
            </w:r>
          </w:p>
        </w:tc>
        <w:tc>
          <w:tcPr>
            <w:tcW w:w="843" w:type="dxa"/>
            <w:tcBorders>
              <w:top w:val="nil"/>
              <w:left w:val="nil"/>
              <w:bottom w:val="nil"/>
              <w:right w:val="nil"/>
            </w:tcBorders>
            <w:shd w:val="clear" w:color="auto" w:fill="auto"/>
            <w:noWrap/>
            <w:vAlign w:val="bottom"/>
            <w:hideMark/>
          </w:tcPr>
          <w:p w14:paraId="7850E788" w14:textId="77777777" w:rsidR="008A1E55" w:rsidRPr="006B42D6" w:rsidRDefault="008A1E55" w:rsidP="00E16CAE">
            <w:pPr>
              <w:rPr>
                <w:sz w:val="15"/>
                <w:szCs w:val="15"/>
              </w:rPr>
            </w:pPr>
            <w:r w:rsidRPr="006B42D6">
              <w:rPr>
                <w:sz w:val="15"/>
                <w:szCs w:val="15"/>
              </w:rPr>
              <w:t>34.1</w:t>
            </w:r>
          </w:p>
        </w:tc>
        <w:tc>
          <w:tcPr>
            <w:tcW w:w="850" w:type="dxa"/>
            <w:tcBorders>
              <w:top w:val="nil"/>
              <w:left w:val="nil"/>
              <w:bottom w:val="nil"/>
              <w:right w:val="nil"/>
            </w:tcBorders>
            <w:shd w:val="clear" w:color="auto" w:fill="auto"/>
            <w:noWrap/>
            <w:vAlign w:val="bottom"/>
            <w:hideMark/>
          </w:tcPr>
          <w:p w14:paraId="52CF35D4" w14:textId="77777777" w:rsidR="008A1E55" w:rsidRPr="006B42D6" w:rsidRDefault="008A1E55" w:rsidP="00E16CAE">
            <w:pPr>
              <w:rPr>
                <w:sz w:val="15"/>
                <w:szCs w:val="15"/>
              </w:rPr>
            </w:pPr>
            <w:r w:rsidRPr="006B42D6">
              <w:rPr>
                <w:sz w:val="15"/>
                <w:szCs w:val="15"/>
              </w:rPr>
              <w:t>17.3</w:t>
            </w:r>
          </w:p>
        </w:tc>
        <w:tc>
          <w:tcPr>
            <w:tcW w:w="843" w:type="dxa"/>
            <w:tcBorders>
              <w:top w:val="nil"/>
              <w:left w:val="nil"/>
              <w:bottom w:val="nil"/>
              <w:right w:val="nil"/>
            </w:tcBorders>
            <w:shd w:val="clear" w:color="auto" w:fill="auto"/>
            <w:noWrap/>
            <w:vAlign w:val="bottom"/>
            <w:hideMark/>
          </w:tcPr>
          <w:p w14:paraId="7250F5BB" w14:textId="77777777" w:rsidR="008A1E55" w:rsidRPr="006B42D6" w:rsidRDefault="008A1E55" w:rsidP="00E16CAE">
            <w:pPr>
              <w:rPr>
                <w:sz w:val="15"/>
                <w:szCs w:val="15"/>
              </w:rPr>
            </w:pPr>
            <w:r w:rsidRPr="006B42D6">
              <w:rPr>
                <w:sz w:val="15"/>
                <w:szCs w:val="15"/>
              </w:rPr>
              <w:t>0.0</w:t>
            </w:r>
          </w:p>
        </w:tc>
        <w:tc>
          <w:tcPr>
            <w:tcW w:w="865" w:type="dxa"/>
            <w:tcBorders>
              <w:top w:val="nil"/>
              <w:left w:val="nil"/>
              <w:bottom w:val="nil"/>
              <w:right w:val="nil"/>
            </w:tcBorders>
            <w:shd w:val="clear" w:color="auto" w:fill="auto"/>
            <w:noWrap/>
            <w:vAlign w:val="bottom"/>
            <w:hideMark/>
          </w:tcPr>
          <w:p w14:paraId="26F00078" w14:textId="77777777" w:rsidR="008A1E55" w:rsidRPr="006B42D6" w:rsidRDefault="008A1E55" w:rsidP="00E16CAE">
            <w:pPr>
              <w:rPr>
                <w:sz w:val="15"/>
                <w:szCs w:val="15"/>
              </w:rPr>
            </w:pPr>
            <w:r w:rsidRPr="006B42D6">
              <w:rPr>
                <w:sz w:val="15"/>
                <w:szCs w:val="15"/>
              </w:rPr>
              <w:t>47.8</w:t>
            </w:r>
          </w:p>
        </w:tc>
      </w:tr>
      <w:tr w:rsidR="006B42D6" w:rsidRPr="006B42D6" w14:paraId="4D75BCA2" w14:textId="77777777" w:rsidTr="00355DF7">
        <w:trPr>
          <w:trHeight w:val="227"/>
        </w:trPr>
        <w:tc>
          <w:tcPr>
            <w:tcW w:w="1560" w:type="dxa"/>
            <w:tcBorders>
              <w:top w:val="nil"/>
              <w:left w:val="nil"/>
              <w:bottom w:val="nil"/>
              <w:right w:val="nil"/>
            </w:tcBorders>
            <w:shd w:val="clear" w:color="auto" w:fill="auto"/>
            <w:noWrap/>
            <w:vAlign w:val="bottom"/>
            <w:hideMark/>
          </w:tcPr>
          <w:p w14:paraId="4936EDD4" w14:textId="77777777" w:rsidR="008A1E55" w:rsidRPr="006B42D6" w:rsidRDefault="008A1E55" w:rsidP="00E16CAE">
            <w:pPr>
              <w:rPr>
                <w:sz w:val="15"/>
                <w:szCs w:val="15"/>
              </w:rPr>
            </w:pPr>
            <w:r w:rsidRPr="006B42D6">
              <w:rPr>
                <w:sz w:val="15"/>
                <w:szCs w:val="15"/>
              </w:rPr>
              <w:t>Kusini Unguja</w:t>
            </w:r>
          </w:p>
        </w:tc>
        <w:tc>
          <w:tcPr>
            <w:tcW w:w="675" w:type="dxa"/>
            <w:tcBorders>
              <w:top w:val="nil"/>
              <w:left w:val="nil"/>
              <w:bottom w:val="nil"/>
              <w:right w:val="nil"/>
            </w:tcBorders>
            <w:shd w:val="clear" w:color="auto" w:fill="auto"/>
            <w:noWrap/>
            <w:vAlign w:val="bottom"/>
            <w:hideMark/>
          </w:tcPr>
          <w:p w14:paraId="5B4EA904" w14:textId="77777777" w:rsidR="008A1E55" w:rsidRPr="006B42D6" w:rsidRDefault="008A1E55" w:rsidP="00E16CAE">
            <w:pPr>
              <w:rPr>
                <w:sz w:val="15"/>
                <w:szCs w:val="15"/>
              </w:rPr>
            </w:pPr>
            <w:r w:rsidRPr="006B42D6">
              <w:rPr>
                <w:sz w:val="15"/>
                <w:szCs w:val="15"/>
              </w:rPr>
              <w:t>1.5</w:t>
            </w:r>
          </w:p>
        </w:tc>
        <w:tc>
          <w:tcPr>
            <w:tcW w:w="1039" w:type="dxa"/>
            <w:tcBorders>
              <w:top w:val="nil"/>
              <w:left w:val="nil"/>
              <w:bottom w:val="nil"/>
              <w:right w:val="nil"/>
            </w:tcBorders>
            <w:shd w:val="clear" w:color="auto" w:fill="auto"/>
            <w:noWrap/>
            <w:vAlign w:val="bottom"/>
            <w:hideMark/>
          </w:tcPr>
          <w:p w14:paraId="73B6F7D6" w14:textId="77777777" w:rsidR="008A1E55" w:rsidRPr="006B42D6" w:rsidRDefault="008A1E55" w:rsidP="00E16CAE">
            <w:pPr>
              <w:rPr>
                <w:sz w:val="15"/>
                <w:szCs w:val="15"/>
              </w:rPr>
            </w:pPr>
            <w:r w:rsidRPr="006B42D6">
              <w:rPr>
                <w:sz w:val="15"/>
                <w:szCs w:val="15"/>
              </w:rPr>
              <w:t>8.5</w:t>
            </w:r>
          </w:p>
        </w:tc>
        <w:tc>
          <w:tcPr>
            <w:tcW w:w="1102" w:type="dxa"/>
            <w:tcBorders>
              <w:top w:val="nil"/>
              <w:left w:val="nil"/>
              <w:bottom w:val="nil"/>
              <w:right w:val="nil"/>
            </w:tcBorders>
            <w:shd w:val="clear" w:color="auto" w:fill="auto"/>
            <w:noWrap/>
            <w:vAlign w:val="bottom"/>
            <w:hideMark/>
          </w:tcPr>
          <w:p w14:paraId="4D4EB079" w14:textId="77777777" w:rsidR="008A1E55" w:rsidRPr="006B42D6" w:rsidRDefault="008A1E55" w:rsidP="00E16CAE">
            <w:pPr>
              <w:rPr>
                <w:sz w:val="15"/>
                <w:szCs w:val="15"/>
              </w:rPr>
            </w:pPr>
            <w:r w:rsidRPr="006B42D6">
              <w:rPr>
                <w:sz w:val="15"/>
                <w:szCs w:val="15"/>
              </w:rPr>
              <w:t>12.9</w:t>
            </w:r>
          </w:p>
        </w:tc>
        <w:tc>
          <w:tcPr>
            <w:tcW w:w="983" w:type="dxa"/>
            <w:tcBorders>
              <w:top w:val="nil"/>
              <w:left w:val="nil"/>
              <w:bottom w:val="nil"/>
              <w:right w:val="nil"/>
            </w:tcBorders>
            <w:shd w:val="clear" w:color="auto" w:fill="auto"/>
            <w:noWrap/>
            <w:vAlign w:val="bottom"/>
            <w:hideMark/>
          </w:tcPr>
          <w:p w14:paraId="5ED4E2CE" w14:textId="77777777" w:rsidR="008A1E55" w:rsidRPr="006B42D6" w:rsidRDefault="008A1E55" w:rsidP="00E16CAE">
            <w:pPr>
              <w:rPr>
                <w:sz w:val="15"/>
                <w:szCs w:val="15"/>
              </w:rPr>
            </w:pPr>
            <w:r w:rsidRPr="006B42D6">
              <w:rPr>
                <w:sz w:val="15"/>
                <w:szCs w:val="15"/>
              </w:rPr>
              <w:t>25.8</w:t>
            </w:r>
          </w:p>
        </w:tc>
        <w:tc>
          <w:tcPr>
            <w:tcW w:w="999" w:type="dxa"/>
            <w:tcBorders>
              <w:top w:val="nil"/>
              <w:left w:val="nil"/>
              <w:bottom w:val="nil"/>
              <w:right w:val="nil"/>
            </w:tcBorders>
            <w:shd w:val="clear" w:color="auto" w:fill="auto"/>
            <w:noWrap/>
            <w:vAlign w:val="bottom"/>
            <w:hideMark/>
          </w:tcPr>
          <w:p w14:paraId="280DD24D" w14:textId="77777777" w:rsidR="008A1E55" w:rsidRPr="006B42D6" w:rsidRDefault="008A1E55" w:rsidP="00E16CAE">
            <w:pPr>
              <w:rPr>
                <w:sz w:val="15"/>
                <w:szCs w:val="15"/>
              </w:rPr>
            </w:pPr>
            <w:r w:rsidRPr="006B42D6">
              <w:rPr>
                <w:sz w:val="15"/>
                <w:szCs w:val="15"/>
              </w:rPr>
              <w:t>10.4</w:t>
            </w:r>
          </w:p>
        </w:tc>
        <w:tc>
          <w:tcPr>
            <w:tcW w:w="843" w:type="dxa"/>
            <w:tcBorders>
              <w:top w:val="nil"/>
              <w:left w:val="nil"/>
              <w:bottom w:val="nil"/>
              <w:right w:val="nil"/>
            </w:tcBorders>
            <w:shd w:val="clear" w:color="auto" w:fill="auto"/>
            <w:noWrap/>
            <w:vAlign w:val="bottom"/>
            <w:hideMark/>
          </w:tcPr>
          <w:p w14:paraId="3549A92B" w14:textId="77777777" w:rsidR="008A1E55" w:rsidRPr="006B42D6" w:rsidRDefault="008A1E55" w:rsidP="00E16CAE">
            <w:pPr>
              <w:rPr>
                <w:sz w:val="15"/>
                <w:szCs w:val="15"/>
              </w:rPr>
            </w:pPr>
            <w:r w:rsidRPr="006B42D6">
              <w:rPr>
                <w:sz w:val="15"/>
                <w:szCs w:val="15"/>
              </w:rPr>
              <w:t>4.8</w:t>
            </w:r>
          </w:p>
        </w:tc>
        <w:tc>
          <w:tcPr>
            <w:tcW w:w="850" w:type="dxa"/>
            <w:tcBorders>
              <w:top w:val="nil"/>
              <w:left w:val="nil"/>
              <w:bottom w:val="nil"/>
              <w:right w:val="nil"/>
            </w:tcBorders>
            <w:shd w:val="clear" w:color="auto" w:fill="auto"/>
            <w:noWrap/>
            <w:vAlign w:val="bottom"/>
            <w:hideMark/>
          </w:tcPr>
          <w:p w14:paraId="65EB9E40" w14:textId="77777777" w:rsidR="008A1E55" w:rsidRPr="006B42D6" w:rsidRDefault="008A1E55" w:rsidP="00E16CAE">
            <w:pPr>
              <w:rPr>
                <w:sz w:val="15"/>
                <w:szCs w:val="15"/>
              </w:rPr>
            </w:pPr>
            <w:r w:rsidRPr="006B42D6">
              <w:rPr>
                <w:sz w:val="15"/>
                <w:szCs w:val="15"/>
              </w:rPr>
              <w:t>7.5</w:t>
            </w:r>
          </w:p>
        </w:tc>
        <w:tc>
          <w:tcPr>
            <w:tcW w:w="843" w:type="dxa"/>
            <w:tcBorders>
              <w:top w:val="nil"/>
              <w:left w:val="nil"/>
              <w:bottom w:val="nil"/>
              <w:right w:val="nil"/>
            </w:tcBorders>
            <w:shd w:val="clear" w:color="auto" w:fill="auto"/>
            <w:noWrap/>
            <w:vAlign w:val="bottom"/>
            <w:hideMark/>
          </w:tcPr>
          <w:p w14:paraId="1B22EFF8" w14:textId="77777777" w:rsidR="008A1E55" w:rsidRPr="006B42D6" w:rsidRDefault="008A1E55" w:rsidP="00E16CAE">
            <w:pPr>
              <w:rPr>
                <w:sz w:val="15"/>
                <w:szCs w:val="15"/>
              </w:rPr>
            </w:pPr>
            <w:r w:rsidRPr="006B42D6">
              <w:rPr>
                <w:sz w:val="15"/>
                <w:szCs w:val="15"/>
              </w:rPr>
              <w:t>0.0</w:t>
            </w:r>
          </w:p>
        </w:tc>
        <w:tc>
          <w:tcPr>
            <w:tcW w:w="865" w:type="dxa"/>
            <w:tcBorders>
              <w:top w:val="nil"/>
              <w:left w:val="nil"/>
              <w:bottom w:val="nil"/>
              <w:right w:val="nil"/>
            </w:tcBorders>
            <w:shd w:val="clear" w:color="auto" w:fill="auto"/>
            <w:noWrap/>
            <w:vAlign w:val="bottom"/>
            <w:hideMark/>
          </w:tcPr>
          <w:p w14:paraId="265CB418" w14:textId="77777777" w:rsidR="008A1E55" w:rsidRPr="006B42D6" w:rsidRDefault="008A1E55" w:rsidP="00E16CAE">
            <w:pPr>
              <w:rPr>
                <w:sz w:val="15"/>
                <w:szCs w:val="15"/>
              </w:rPr>
            </w:pPr>
            <w:r w:rsidRPr="006B42D6">
              <w:rPr>
                <w:sz w:val="15"/>
                <w:szCs w:val="15"/>
              </w:rPr>
              <w:t>0.0</w:t>
            </w:r>
          </w:p>
        </w:tc>
      </w:tr>
      <w:tr w:rsidR="006B42D6" w:rsidRPr="006B42D6" w14:paraId="4A32353F" w14:textId="77777777" w:rsidTr="00355DF7">
        <w:trPr>
          <w:trHeight w:val="227"/>
        </w:trPr>
        <w:tc>
          <w:tcPr>
            <w:tcW w:w="1560" w:type="dxa"/>
            <w:tcBorders>
              <w:top w:val="nil"/>
              <w:left w:val="nil"/>
              <w:bottom w:val="nil"/>
              <w:right w:val="nil"/>
            </w:tcBorders>
            <w:shd w:val="clear" w:color="auto" w:fill="auto"/>
            <w:noWrap/>
            <w:vAlign w:val="bottom"/>
            <w:hideMark/>
          </w:tcPr>
          <w:p w14:paraId="38D26A5E" w14:textId="77777777" w:rsidR="008A1E55" w:rsidRPr="006B42D6" w:rsidRDefault="008A1E55" w:rsidP="00E16CAE">
            <w:pPr>
              <w:rPr>
                <w:sz w:val="15"/>
                <w:szCs w:val="15"/>
              </w:rPr>
            </w:pPr>
            <w:r w:rsidRPr="006B42D6">
              <w:rPr>
                <w:sz w:val="15"/>
                <w:szCs w:val="15"/>
              </w:rPr>
              <w:t>Mjini Magharibi</w:t>
            </w:r>
          </w:p>
        </w:tc>
        <w:tc>
          <w:tcPr>
            <w:tcW w:w="675" w:type="dxa"/>
            <w:tcBorders>
              <w:top w:val="nil"/>
              <w:left w:val="nil"/>
              <w:bottom w:val="nil"/>
              <w:right w:val="nil"/>
            </w:tcBorders>
            <w:shd w:val="clear" w:color="auto" w:fill="auto"/>
            <w:noWrap/>
            <w:vAlign w:val="bottom"/>
            <w:hideMark/>
          </w:tcPr>
          <w:p w14:paraId="7B4777FA" w14:textId="77777777" w:rsidR="008A1E55" w:rsidRPr="006B42D6" w:rsidRDefault="008A1E55" w:rsidP="00E16CAE">
            <w:pPr>
              <w:rPr>
                <w:sz w:val="15"/>
                <w:szCs w:val="15"/>
              </w:rPr>
            </w:pPr>
            <w:r w:rsidRPr="006B42D6">
              <w:rPr>
                <w:sz w:val="15"/>
                <w:szCs w:val="15"/>
              </w:rPr>
              <w:t>0.2</w:t>
            </w:r>
          </w:p>
        </w:tc>
        <w:tc>
          <w:tcPr>
            <w:tcW w:w="1039" w:type="dxa"/>
            <w:tcBorders>
              <w:top w:val="nil"/>
              <w:left w:val="nil"/>
              <w:bottom w:val="nil"/>
              <w:right w:val="nil"/>
            </w:tcBorders>
            <w:shd w:val="clear" w:color="auto" w:fill="auto"/>
            <w:noWrap/>
            <w:vAlign w:val="bottom"/>
            <w:hideMark/>
          </w:tcPr>
          <w:p w14:paraId="7FD2BE3B" w14:textId="77777777" w:rsidR="008A1E55" w:rsidRPr="006B42D6" w:rsidRDefault="008A1E55" w:rsidP="00E16CAE">
            <w:pPr>
              <w:rPr>
                <w:sz w:val="15"/>
                <w:szCs w:val="15"/>
              </w:rPr>
            </w:pPr>
            <w:r w:rsidRPr="006B42D6">
              <w:rPr>
                <w:sz w:val="15"/>
                <w:szCs w:val="15"/>
              </w:rPr>
              <w:t>38.9</w:t>
            </w:r>
          </w:p>
        </w:tc>
        <w:tc>
          <w:tcPr>
            <w:tcW w:w="1102" w:type="dxa"/>
            <w:tcBorders>
              <w:top w:val="nil"/>
              <w:left w:val="nil"/>
              <w:bottom w:val="nil"/>
              <w:right w:val="nil"/>
            </w:tcBorders>
            <w:shd w:val="clear" w:color="auto" w:fill="auto"/>
            <w:noWrap/>
            <w:vAlign w:val="bottom"/>
            <w:hideMark/>
          </w:tcPr>
          <w:p w14:paraId="52D8ECEC" w14:textId="77777777" w:rsidR="008A1E55" w:rsidRPr="006B42D6" w:rsidRDefault="008A1E55" w:rsidP="00E16CAE">
            <w:pPr>
              <w:rPr>
                <w:sz w:val="15"/>
                <w:szCs w:val="15"/>
              </w:rPr>
            </w:pPr>
            <w:r w:rsidRPr="006B42D6">
              <w:rPr>
                <w:sz w:val="15"/>
                <w:szCs w:val="15"/>
              </w:rPr>
              <w:t>20.1</w:t>
            </w:r>
          </w:p>
        </w:tc>
        <w:tc>
          <w:tcPr>
            <w:tcW w:w="983" w:type="dxa"/>
            <w:tcBorders>
              <w:top w:val="nil"/>
              <w:left w:val="nil"/>
              <w:bottom w:val="nil"/>
              <w:right w:val="nil"/>
            </w:tcBorders>
            <w:shd w:val="clear" w:color="auto" w:fill="auto"/>
            <w:noWrap/>
            <w:vAlign w:val="bottom"/>
            <w:hideMark/>
          </w:tcPr>
          <w:p w14:paraId="6705ED94" w14:textId="77777777" w:rsidR="008A1E55" w:rsidRPr="006B42D6" w:rsidRDefault="008A1E55" w:rsidP="00E16CAE">
            <w:pPr>
              <w:rPr>
                <w:sz w:val="15"/>
                <w:szCs w:val="15"/>
              </w:rPr>
            </w:pPr>
            <w:r w:rsidRPr="006B42D6">
              <w:rPr>
                <w:sz w:val="15"/>
                <w:szCs w:val="15"/>
              </w:rPr>
              <w:t>11.1</w:t>
            </w:r>
          </w:p>
        </w:tc>
        <w:tc>
          <w:tcPr>
            <w:tcW w:w="999" w:type="dxa"/>
            <w:tcBorders>
              <w:top w:val="nil"/>
              <w:left w:val="nil"/>
              <w:bottom w:val="nil"/>
              <w:right w:val="nil"/>
            </w:tcBorders>
            <w:shd w:val="clear" w:color="auto" w:fill="auto"/>
            <w:noWrap/>
            <w:vAlign w:val="bottom"/>
            <w:hideMark/>
          </w:tcPr>
          <w:p w14:paraId="69782A6B" w14:textId="77777777" w:rsidR="008A1E55" w:rsidRPr="006B42D6" w:rsidRDefault="008A1E55" w:rsidP="00E16CAE">
            <w:pPr>
              <w:rPr>
                <w:sz w:val="15"/>
                <w:szCs w:val="15"/>
              </w:rPr>
            </w:pPr>
            <w:r w:rsidRPr="006B42D6">
              <w:rPr>
                <w:sz w:val="15"/>
                <w:szCs w:val="15"/>
              </w:rPr>
              <w:t>4.2</w:t>
            </w:r>
          </w:p>
        </w:tc>
        <w:tc>
          <w:tcPr>
            <w:tcW w:w="843" w:type="dxa"/>
            <w:tcBorders>
              <w:top w:val="nil"/>
              <w:left w:val="nil"/>
              <w:bottom w:val="nil"/>
              <w:right w:val="nil"/>
            </w:tcBorders>
            <w:shd w:val="clear" w:color="auto" w:fill="auto"/>
            <w:noWrap/>
            <w:vAlign w:val="bottom"/>
            <w:hideMark/>
          </w:tcPr>
          <w:p w14:paraId="42003B0A" w14:textId="77777777" w:rsidR="008A1E55" w:rsidRPr="006B42D6" w:rsidRDefault="008A1E55" w:rsidP="00E16CAE">
            <w:pPr>
              <w:rPr>
                <w:sz w:val="15"/>
                <w:szCs w:val="15"/>
              </w:rPr>
            </w:pPr>
            <w:r w:rsidRPr="006B42D6">
              <w:rPr>
                <w:sz w:val="15"/>
                <w:szCs w:val="15"/>
              </w:rPr>
              <w:t>13.6</w:t>
            </w:r>
          </w:p>
        </w:tc>
        <w:tc>
          <w:tcPr>
            <w:tcW w:w="850" w:type="dxa"/>
            <w:tcBorders>
              <w:top w:val="nil"/>
              <w:left w:val="nil"/>
              <w:bottom w:val="nil"/>
              <w:right w:val="nil"/>
            </w:tcBorders>
            <w:shd w:val="clear" w:color="auto" w:fill="auto"/>
            <w:noWrap/>
            <w:vAlign w:val="bottom"/>
            <w:hideMark/>
          </w:tcPr>
          <w:p w14:paraId="1DE5C541" w14:textId="77777777" w:rsidR="008A1E55" w:rsidRPr="006B42D6" w:rsidRDefault="008A1E55" w:rsidP="00E16CAE">
            <w:pPr>
              <w:rPr>
                <w:sz w:val="15"/>
                <w:szCs w:val="15"/>
              </w:rPr>
            </w:pPr>
            <w:r w:rsidRPr="006B42D6">
              <w:rPr>
                <w:sz w:val="15"/>
                <w:szCs w:val="15"/>
              </w:rPr>
              <w:t>32.6</w:t>
            </w:r>
          </w:p>
        </w:tc>
        <w:tc>
          <w:tcPr>
            <w:tcW w:w="843" w:type="dxa"/>
            <w:tcBorders>
              <w:top w:val="nil"/>
              <w:left w:val="nil"/>
              <w:bottom w:val="nil"/>
              <w:right w:val="nil"/>
            </w:tcBorders>
            <w:shd w:val="clear" w:color="auto" w:fill="auto"/>
            <w:noWrap/>
            <w:vAlign w:val="bottom"/>
            <w:hideMark/>
          </w:tcPr>
          <w:p w14:paraId="12CD0131" w14:textId="77777777" w:rsidR="008A1E55" w:rsidRPr="006B42D6" w:rsidRDefault="008A1E55" w:rsidP="00E16CAE">
            <w:pPr>
              <w:rPr>
                <w:sz w:val="15"/>
                <w:szCs w:val="15"/>
              </w:rPr>
            </w:pPr>
            <w:r w:rsidRPr="006B42D6">
              <w:rPr>
                <w:sz w:val="15"/>
                <w:szCs w:val="15"/>
              </w:rPr>
              <w:t>0.0</w:t>
            </w:r>
          </w:p>
        </w:tc>
        <w:tc>
          <w:tcPr>
            <w:tcW w:w="865" w:type="dxa"/>
            <w:tcBorders>
              <w:top w:val="nil"/>
              <w:left w:val="nil"/>
              <w:bottom w:val="nil"/>
              <w:right w:val="nil"/>
            </w:tcBorders>
            <w:shd w:val="clear" w:color="auto" w:fill="auto"/>
            <w:noWrap/>
            <w:vAlign w:val="bottom"/>
            <w:hideMark/>
          </w:tcPr>
          <w:p w14:paraId="5DB37F94" w14:textId="77777777" w:rsidR="008A1E55" w:rsidRPr="006B42D6" w:rsidRDefault="008A1E55" w:rsidP="00E16CAE">
            <w:pPr>
              <w:rPr>
                <w:sz w:val="15"/>
                <w:szCs w:val="15"/>
              </w:rPr>
            </w:pPr>
            <w:r w:rsidRPr="006B42D6">
              <w:rPr>
                <w:sz w:val="15"/>
                <w:szCs w:val="15"/>
              </w:rPr>
              <w:t>8.1</w:t>
            </w:r>
          </w:p>
        </w:tc>
      </w:tr>
      <w:tr w:rsidR="006B42D6" w:rsidRPr="006B42D6" w14:paraId="37B6A712" w14:textId="77777777" w:rsidTr="00355DF7">
        <w:trPr>
          <w:trHeight w:val="227"/>
        </w:trPr>
        <w:tc>
          <w:tcPr>
            <w:tcW w:w="1560" w:type="dxa"/>
            <w:tcBorders>
              <w:top w:val="nil"/>
              <w:left w:val="nil"/>
              <w:bottom w:val="nil"/>
              <w:right w:val="nil"/>
            </w:tcBorders>
            <w:shd w:val="clear" w:color="auto" w:fill="auto"/>
            <w:noWrap/>
            <w:vAlign w:val="bottom"/>
            <w:hideMark/>
          </w:tcPr>
          <w:p w14:paraId="03317B9F" w14:textId="77777777" w:rsidR="008A1E55" w:rsidRPr="006B42D6" w:rsidRDefault="008A1E55" w:rsidP="00E16CAE">
            <w:pPr>
              <w:rPr>
                <w:sz w:val="15"/>
                <w:szCs w:val="15"/>
              </w:rPr>
            </w:pPr>
            <w:r w:rsidRPr="006B42D6">
              <w:rPr>
                <w:sz w:val="15"/>
                <w:szCs w:val="15"/>
              </w:rPr>
              <w:t>Kaskazini Pemba</w:t>
            </w:r>
          </w:p>
        </w:tc>
        <w:tc>
          <w:tcPr>
            <w:tcW w:w="675" w:type="dxa"/>
            <w:tcBorders>
              <w:top w:val="nil"/>
              <w:left w:val="nil"/>
              <w:bottom w:val="nil"/>
              <w:right w:val="nil"/>
            </w:tcBorders>
            <w:shd w:val="clear" w:color="auto" w:fill="auto"/>
            <w:noWrap/>
            <w:vAlign w:val="bottom"/>
            <w:hideMark/>
          </w:tcPr>
          <w:p w14:paraId="1C602C0D" w14:textId="77777777" w:rsidR="008A1E55" w:rsidRPr="006B42D6" w:rsidRDefault="008A1E55" w:rsidP="00E16CAE">
            <w:pPr>
              <w:rPr>
                <w:sz w:val="15"/>
                <w:szCs w:val="15"/>
              </w:rPr>
            </w:pPr>
            <w:r w:rsidRPr="006B42D6">
              <w:rPr>
                <w:sz w:val="15"/>
                <w:szCs w:val="15"/>
              </w:rPr>
              <w:t>46.2</w:t>
            </w:r>
          </w:p>
        </w:tc>
        <w:tc>
          <w:tcPr>
            <w:tcW w:w="1039" w:type="dxa"/>
            <w:tcBorders>
              <w:top w:val="nil"/>
              <w:left w:val="nil"/>
              <w:bottom w:val="nil"/>
              <w:right w:val="nil"/>
            </w:tcBorders>
            <w:shd w:val="clear" w:color="auto" w:fill="auto"/>
            <w:noWrap/>
            <w:vAlign w:val="bottom"/>
            <w:hideMark/>
          </w:tcPr>
          <w:p w14:paraId="3086A56D" w14:textId="77777777" w:rsidR="008A1E55" w:rsidRPr="006B42D6" w:rsidRDefault="008A1E55" w:rsidP="00E16CAE">
            <w:pPr>
              <w:rPr>
                <w:sz w:val="15"/>
                <w:szCs w:val="15"/>
              </w:rPr>
            </w:pPr>
            <w:r w:rsidRPr="006B42D6">
              <w:rPr>
                <w:sz w:val="15"/>
                <w:szCs w:val="15"/>
              </w:rPr>
              <w:t>18.6</w:t>
            </w:r>
          </w:p>
        </w:tc>
        <w:tc>
          <w:tcPr>
            <w:tcW w:w="1102" w:type="dxa"/>
            <w:tcBorders>
              <w:top w:val="nil"/>
              <w:left w:val="nil"/>
              <w:bottom w:val="nil"/>
              <w:right w:val="nil"/>
            </w:tcBorders>
            <w:shd w:val="clear" w:color="auto" w:fill="auto"/>
            <w:noWrap/>
            <w:vAlign w:val="bottom"/>
            <w:hideMark/>
          </w:tcPr>
          <w:p w14:paraId="388501A4" w14:textId="77777777" w:rsidR="008A1E55" w:rsidRPr="006B42D6" w:rsidRDefault="008A1E55" w:rsidP="00E16CAE">
            <w:pPr>
              <w:rPr>
                <w:sz w:val="15"/>
                <w:szCs w:val="15"/>
              </w:rPr>
            </w:pPr>
            <w:r w:rsidRPr="006B42D6">
              <w:rPr>
                <w:sz w:val="15"/>
                <w:szCs w:val="15"/>
              </w:rPr>
              <w:t>8.7</w:t>
            </w:r>
          </w:p>
        </w:tc>
        <w:tc>
          <w:tcPr>
            <w:tcW w:w="983" w:type="dxa"/>
            <w:tcBorders>
              <w:top w:val="nil"/>
              <w:left w:val="nil"/>
              <w:bottom w:val="nil"/>
              <w:right w:val="nil"/>
            </w:tcBorders>
            <w:shd w:val="clear" w:color="auto" w:fill="auto"/>
            <w:noWrap/>
            <w:vAlign w:val="bottom"/>
            <w:hideMark/>
          </w:tcPr>
          <w:p w14:paraId="619CCF83" w14:textId="77777777" w:rsidR="008A1E55" w:rsidRPr="006B42D6" w:rsidRDefault="008A1E55" w:rsidP="00E16CAE">
            <w:pPr>
              <w:rPr>
                <w:sz w:val="15"/>
                <w:szCs w:val="15"/>
              </w:rPr>
            </w:pPr>
            <w:r w:rsidRPr="006B42D6">
              <w:rPr>
                <w:sz w:val="15"/>
                <w:szCs w:val="15"/>
              </w:rPr>
              <w:t>12.9</w:t>
            </w:r>
          </w:p>
        </w:tc>
        <w:tc>
          <w:tcPr>
            <w:tcW w:w="999" w:type="dxa"/>
            <w:tcBorders>
              <w:top w:val="nil"/>
              <w:left w:val="nil"/>
              <w:bottom w:val="nil"/>
              <w:right w:val="nil"/>
            </w:tcBorders>
            <w:shd w:val="clear" w:color="auto" w:fill="auto"/>
            <w:noWrap/>
            <w:vAlign w:val="bottom"/>
            <w:hideMark/>
          </w:tcPr>
          <w:p w14:paraId="57D1B3BF" w14:textId="77777777" w:rsidR="008A1E55" w:rsidRPr="006B42D6" w:rsidRDefault="008A1E55" w:rsidP="00E16CAE">
            <w:pPr>
              <w:rPr>
                <w:sz w:val="15"/>
                <w:szCs w:val="15"/>
              </w:rPr>
            </w:pPr>
            <w:r w:rsidRPr="006B42D6">
              <w:rPr>
                <w:sz w:val="15"/>
                <w:szCs w:val="15"/>
              </w:rPr>
              <w:t>14.1</w:t>
            </w:r>
          </w:p>
        </w:tc>
        <w:tc>
          <w:tcPr>
            <w:tcW w:w="843" w:type="dxa"/>
            <w:tcBorders>
              <w:top w:val="nil"/>
              <w:left w:val="nil"/>
              <w:bottom w:val="nil"/>
              <w:right w:val="nil"/>
            </w:tcBorders>
            <w:shd w:val="clear" w:color="auto" w:fill="auto"/>
            <w:noWrap/>
            <w:vAlign w:val="bottom"/>
            <w:hideMark/>
          </w:tcPr>
          <w:p w14:paraId="22E99A74" w14:textId="77777777" w:rsidR="008A1E55" w:rsidRPr="006B42D6" w:rsidRDefault="008A1E55" w:rsidP="00E16CAE">
            <w:pPr>
              <w:rPr>
                <w:sz w:val="15"/>
                <w:szCs w:val="15"/>
              </w:rPr>
            </w:pPr>
            <w:r w:rsidRPr="006B42D6">
              <w:rPr>
                <w:sz w:val="15"/>
                <w:szCs w:val="15"/>
              </w:rPr>
              <w:t>3.6</w:t>
            </w:r>
          </w:p>
        </w:tc>
        <w:tc>
          <w:tcPr>
            <w:tcW w:w="850" w:type="dxa"/>
            <w:tcBorders>
              <w:top w:val="nil"/>
              <w:left w:val="nil"/>
              <w:bottom w:val="nil"/>
              <w:right w:val="nil"/>
            </w:tcBorders>
            <w:shd w:val="clear" w:color="auto" w:fill="auto"/>
            <w:noWrap/>
            <w:vAlign w:val="bottom"/>
            <w:hideMark/>
          </w:tcPr>
          <w:p w14:paraId="76D7157A" w14:textId="77777777" w:rsidR="008A1E55" w:rsidRPr="006B42D6" w:rsidRDefault="008A1E55" w:rsidP="00E16CAE">
            <w:pPr>
              <w:rPr>
                <w:sz w:val="15"/>
                <w:szCs w:val="15"/>
              </w:rPr>
            </w:pPr>
            <w:r w:rsidRPr="006B42D6">
              <w:rPr>
                <w:sz w:val="15"/>
                <w:szCs w:val="15"/>
              </w:rPr>
              <w:t>23.9</w:t>
            </w:r>
          </w:p>
        </w:tc>
        <w:tc>
          <w:tcPr>
            <w:tcW w:w="843" w:type="dxa"/>
            <w:tcBorders>
              <w:top w:val="nil"/>
              <w:left w:val="nil"/>
              <w:bottom w:val="nil"/>
              <w:right w:val="nil"/>
            </w:tcBorders>
            <w:shd w:val="clear" w:color="auto" w:fill="auto"/>
            <w:noWrap/>
            <w:vAlign w:val="bottom"/>
            <w:hideMark/>
          </w:tcPr>
          <w:p w14:paraId="345FD225" w14:textId="77777777" w:rsidR="008A1E55" w:rsidRPr="006B42D6" w:rsidRDefault="008A1E55" w:rsidP="00E16CAE">
            <w:pPr>
              <w:rPr>
                <w:sz w:val="15"/>
                <w:szCs w:val="15"/>
              </w:rPr>
            </w:pPr>
            <w:r w:rsidRPr="006B42D6">
              <w:rPr>
                <w:sz w:val="15"/>
                <w:szCs w:val="15"/>
              </w:rPr>
              <w:t>35.0</w:t>
            </w:r>
          </w:p>
        </w:tc>
        <w:tc>
          <w:tcPr>
            <w:tcW w:w="865" w:type="dxa"/>
            <w:tcBorders>
              <w:top w:val="nil"/>
              <w:left w:val="nil"/>
              <w:bottom w:val="nil"/>
              <w:right w:val="nil"/>
            </w:tcBorders>
            <w:shd w:val="clear" w:color="auto" w:fill="auto"/>
            <w:noWrap/>
            <w:vAlign w:val="bottom"/>
            <w:hideMark/>
          </w:tcPr>
          <w:p w14:paraId="5B0DB3C6" w14:textId="77777777" w:rsidR="008A1E55" w:rsidRPr="006B42D6" w:rsidRDefault="008A1E55" w:rsidP="00E16CAE">
            <w:pPr>
              <w:rPr>
                <w:sz w:val="15"/>
                <w:szCs w:val="15"/>
              </w:rPr>
            </w:pPr>
            <w:r w:rsidRPr="006B42D6">
              <w:rPr>
                <w:sz w:val="15"/>
                <w:szCs w:val="15"/>
              </w:rPr>
              <w:t>19.1</w:t>
            </w:r>
          </w:p>
        </w:tc>
      </w:tr>
      <w:tr w:rsidR="006B42D6" w:rsidRPr="006B42D6" w14:paraId="34F83D7A" w14:textId="77777777" w:rsidTr="00355DF7">
        <w:trPr>
          <w:trHeight w:val="227"/>
        </w:trPr>
        <w:tc>
          <w:tcPr>
            <w:tcW w:w="1560" w:type="dxa"/>
            <w:tcBorders>
              <w:top w:val="nil"/>
              <w:left w:val="nil"/>
              <w:bottom w:val="single" w:sz="4" w:space="0" w:color="auto"/>
              <w:right w:val="nil"/>
            </w:tcBorders>
            <w:shd w:val="clear" w:color="auto" w:fill="auto"/>
            <w:noWrap/>
            <w:vAlign w:val="bottom"/>
            <w:hideMark/>
          </w:tcPr>
          <w:p w14:paraId="753425D8" w14:textId="77777777" w:rsidR="008A1E55" w:rsidRPr="006B42D6" w:rsidRDefault="008A1E55" w:rsidP="00E16CAE">
            <w:pPr>
              <w:rPr>
                <w:sz w:val="15"/>
                <w:szCs w:val="15"/>
              </w:rPr>
            </w:pPr>
            <w:r w:rsidRPr="006B42D6">
              <w:rPr>
                <w:sz w:val="15"/>
                <w:szCs w:val="15"/>
              </w:rPr>
              <w:t>Kusini Pemba</w:t>
            </w:r>
          </w:p>
        </w:tc>
        <w:tc>
          <w:tcPr>
            <w:tcW w:w="675" w:type="dxa"/>
            <w:tcBorders>
              <w:top w:val="nil"/>
              <w:left w:val="nil"/>
              <w:bottom w:val="single" w:sz="4" w:space="0" w:color="auto"/>
              <w:right w:val="nil"/>
            </w:tcBorders>
            <w:shd w:val="clear" w:color="auto" w:fill="auto"/>
            <w:noWrap/>
            <w:vAlign w:val="bottom"/>
            <w:hideMark/>
          </w:tcPr>
          <w:p w14:paraId="6C9CB42C" w14:textId="77777777" w:rsidR="008A1E55" w:rsidRPr="006B42D6" w:rsidRDefault="008A1E55" w:rsidP="00E16CAE">
            <w:pPr>
              <w:rPr>
                <w:sz w:val="15"/>
                <w:szCs w:val="15"/>
              </w:rPr>
            </w:pPr>
            <w:r w:rsidRPr="006B42D6">
              <w:rPr>
                <w:sz w:val="15"/>
                <w:szCs w:val="15"/>
              </w:rPr>
              <w:t>40.4</w:t>
            </w:r>
          </w:p>
        </w:tc>
        <w:tc>
          <w:tcPr>
            <w:tcW w:w="1039" w:type="dxa"/>
            <w:tcBorders>
              <w:top w:val="nil"/>
              <w:left w:val="nil"/>
              <w:bottom w:val="single" w:sz="4" w:space="0" w:color="auto"/>
              <w:right w:val="nil"/>
            </w:tcBorders>
            <w:shd w:val="clear" w:color="auto" w:fill="auto"/>
            <w:noWrap/>
            <w:vAlign w:val="bottom"/>
            <w:hideMark/>
          </w:tcPr>
          <w:p w14:paraId="52B8DA9E" w14:textId="77777777" w:rsidR="008A1E55" w:rsidRPr="006B42D6" w:rsidRDefault="008A1E55" w:rsidP="00E16CAE">
            <w:pPr>
              <w:rPr>
                <w:sz w:val="15"/>
                <w:szCs w:val="15"/>
              </w:rPr>
            </w:pPr>
            <w:r w:rsidRPr="006B42D6">
              <w:rPr>
                <w:sz w:val="15"/>
                <w:szCs w:val="15"/>
              </w:rPr>
              <w:t>23.3</w:t>
            </w:r>
          </w:p>
        </w:tc>
        <w:tc>
          <w:tcPr>
            <w:tcW w:w="1102" w:type="dxa"/>
            <w:tcBorders>
              <w:top w:val="nil"/>
              <w:left w:val="nil"/>
              <w:bottom w:val="single" w:sz="4" w:space="0" w:color="auto"/>
              <w:right w:val="nil"/>
            </w:tcBorders>
            <w:shd w:val="clear" w:color="auto" w:fill="auto"/>
            <w:noWrap/>
            <w:vAlign w:val="bottom"/>
            <w:hideMark/>
          </w:tcPr>
          <w:p w14:paraId="18A7C920" w14:textId="77777777" w:rsidR="008A1E55" w:rsidRPr="006B42D6" w:rsidRDefault="008A1E55" w:rsidP="00E16CAE">
            <w:pPr>
              <w:rPr>
                <w:sz w:val="15"/>
                <w:szCs w:val="15"/>
              </w:rPr>
            </w:pPr>
            <w:r w:rsidRPr="006B42D6">
              <w:rPr>
                <w:sz w:val="15"/>
                <w:szCs w:val="15"/>
              </w:rPr>
              <w:t>31.7</w:t>
            </w:r>
          </w:p>
        </w:tc>
        <w:tc>
          <w:tcPr>
            <w:tcW w:w="983" w:type="dxa"/>
            <w:tcBorders>
              <w:top w:val="nil"/>
              <w:left w:val="nil"/>
              <w:bottom w:val="single" w:sz="4" w:space="0" w:color="auto"/>
              <w:right w:val="nil"/>
            </w:tcBorders>
            <w:shd w:val="clear" w:color="auto" w:fill="auto"/>
            <w:noWrap/>
            <w:vAlign w:val="bottom"/>
            <w:hideMark/>
          </w:tcPr>
          <w:p w14:paraId="77DB8F69" w14:textId="77777777" w:rsidR="008A1E55" w:rsidRPr="006B42D6" w:rsidRDefault="008A1E55" w:rsidP="00E16CAE">
            <w:pPr>
              <w:rPr>
                <w:sz w:val="15"/>
                <w:szCs w:val="15"/>
              </w:rPr>
            </w:pPr>
            <w:r w:rsidRPr="006B42D6">
              <w:rPr>
                <w:sz w:val="15"/>
                <w:szCs w:val="15"/>
              </w:rPr>
              <w:t>30.8</w:t>
            </w:r>
          </w:p>
        </w:tc>
        <w:tc>
          <w:tcPr>
            <w:tcW w:w="999" w:type="dxa"/>
            <w:tcBorders>
              <w:top w:val="nil"/>
              <w:left w:val="nil"/>
              <w:bottom w:val="single" w:sz="4" w:space="0" w:color="auto"/>
              <w:right w:val="nil"/>
            </w:tcBorders>
            <w:shd w:val="clear" w:color="auto" w:fill="auto"/>
            <w:noWrap/>
            <w:vAlign w:val="bottom"/>
            <w:hideMark/>
          </w:tcPr>
          <w:p w14:paraId="3D19B797" w14:textId="77777777" w:rsidR="008A1E55" w:rsidRPr="006B42D6" w:rsidRDefault="008A1E55" w:rsidP="00E16CAE">
            <w:pPr>
              <w:rPr>
                <w:sz w:val="15"/>
                <w:szCs w:val="15"/>
              </w:rPr>
            </w:pPr>
            <w:r w:rsidRPr="006B42D6">
              <w:rPr>
                <w:sz w:val="15"/>
                <w:szCs w:val="15"/>
              </w:rPr>
              <w:t>60.8</w:t>
            </w:r>
          </w:p>
        </w:tc>
        <w:tc>
          <w:tcPr>
            <w:tcW w:w="843" w:type="dxa"/>
            <w:tcBorders>
              <w:top w:val="nil"/>
              <w:left w:val="nil"/>
              <w:bottom w:val="single" w:sz="4" w:space="0" w:color="auto"/>
              <w:right w:val="nil"/>
            </w:tcBorders>
            <w:shd w:val="clear" w:color="auto" w:fill="auto"/>
            <w:noWrap/>
            <w:vAlign w:val="bottom"/>
            <w:hideMark/>
          </w:tcPr>
          <w:p w14:paraId="1EA4ECDB" w14:textId="77777777" w:rsidR="008A1E55" w:rsidRPr="006B42D6" w:rsidRDefault="008A1E55" w:rsidP="00E16CAE">
            <w:pPr>
              <w:rPr>
                <w:sz w:val="15"/>
                <w:szCs w:val="15"/>
              </w:rPr>
            </w:pPr>
            <w:r w:rsidRPr="006B42D6">
              <w:rPr>
                <w:sz w:val="15"/>
                <w:szCs w:val="15"/>
              </w:rPr>
              <w:t>44.0</w:t>
            </w:r>
          </w:p>
        </w:tc>
        <w:tc>
          <w:tcPr>
            <w:tcW w:w="850" w:type="dxa"/>
            <w:tcBorders>
              <w:top w:val="nil"/>
              <w:left w:val="nil"/>
              <w:bottom w:val="single" w:sz="4" w:space="0" w:color="auto"/>
              <w:right w:val="nil"/>
            </w:tcBorders>
            <w:shd w:val="clear" w:color="auto" w:fill="auto"/>
            <w:noWrap/>
            <w:vAlign w:val="bottom"/>
            <w:hideMark/>
          </w:tcPr>
          <w:p w14:paraId="381F4E99" w14:textId="77777777" w:rsidR="008A1E55" w:rsidRPr="006B42D6" w:rsidRDefault="008A1E55" w:rsidP="00E16CAE">
            <w:pPr>
              <w:rPr>
                <w:sz w:val="15"/>
                <w:szCs w:val="15"/>
              </w:rPr>
            </w:pPr>
            <w:r w:rsidRPr="006B42D6">
              <w:rPr>
                <w:sz w:val="15"/>
                <w:szCs w:val="15"/>
              </w:rPr>
              <w:t>18.8</w:t>
            </w:r>
          </w:p>
        </w:tc>
        <w:tc>
          <w:tcPr>
            <w:tcW w:w="843" w:type="dxa"/>
            <w:tcBorders>
              <w:top w:val="nil"/>
              <w:left w:val="nil"/>
              <w:bottom w:val="single" w:sz="4" w:space="0" w:color="auto"/>
              <w:right w:val="nil"/>
            </w:tcBorders>
            <w:shd w:val="clear" w:color="auto" w:fill="auto"/>
            <w:noWrap/>
            <w:vAlign w:val="bottom"/>
            <w:hideMark/>
          </w:tcPr>
          <w:p w14:paraId="24171089" w14:textId="77777777" w:rsidR="008A1E55" w:rsidRPr="006B42D6" w:rsidRDefault="008A1E55" w:rsidP="00E16CAE">
            <w:pPr>
              <w:rPr>
                <w:sz w:val="15"/>
                <w:szCs w:val="15"/>
              </w:rPr>
            </w:pPr>
            <w:r w:rsidRPr="006B42D6">
              <w:rPr>
                <w:sz w:val="15"/>
                <w:szCs w:val="15"/>
              </w:rPr>
              <w:t>65.0</w:t>
            </w:r>
          </w:p>
        </w:tc>
        <w:tc>
          <w:tcPr>
            <w:tcW w:w="865" w:type="dxa"/>
            <w:tcBorders>
              <w:top w:val="nil"/>
              <w:left w:val="nil"/>
              <w:bottom w:val="single" w:sz="4" w:space="0" w:color="auto"/>
              <w:right w:val="nil"/>
            </w:tcBorders>
            <w:shd w:val="clear" w:color="auto" w:fill="auto"/>
            <w:noWrap/>
            <w:vAlign w:val="bottom"/>
            <w:hideMark/>
          </w:tcPr>
          <w:p w14:paraId="23E22027" w14:textId="77777777" w:rsidR="008A1E55" w:rsidRPr="006B42D6" w:rsidRDefault="008A1E55" w:rsidP="00E16CAE">
            <w:pPr>
              <w:rPr>
                <w:sz w:val="15"/>
                <w:szCs w:val="15"/>
              </w:rPr>
            </w:pPr>
            <w:r w:rsidRPr="006B42D6">
              <w:rPr>
                <w:sz w:val="15"/>
                <w:szCs w:val="15"/>
              </w:rPr>
              <w:t>25.0</w:t>
            </w:r>
          </w:p>
        </w:tc>
      </w:tr>
      <w:tr w:rsidR="008A1E55" w:rsidRPr="00143C67" w14:paraId="12B8444D" w14:textId="77777777" w:rsidTr="00355DF7">
        <w:trPr>
          <w:trHeight w:val="227"/>
        </w:trPr>
        <w:tc>
          <w:tcPr>
            <w:tcW w:w="1560" w:type="dxa"/>
            <w:tcBorders>
              <w:top w:val="single" w:sz="4" w:space="0" w:color="auto"/>
              <w:left w:val="nil"/>
              <w:bottom w:val="single" w:sz="4" w:space="0" w:color="auto"/>
              <w:right w:val="nil"/>
            </w:tcBorders>
            <w:shd w:val="clear" w:color="auto" w:fill="E2EFD9" w:themeFill="accent6" w:themeFillTint="33"/>
            <w:noWrap/>
            <w:vAlign w:val="bottom"/>
            <w:hideMark/>
          </w:tcPr>
          <w:p w14:paraId="325B4BD6" w14:textId="77777777" w:rsidR="008A1E55" w:rsidRPr="00143C67" w:rsidRDefault="008A1E55" w:rsidP="00E16CAE">
            <w:pPr>
              <w:rPr>
                <w:b/>
                <w:sz w:val="15"/>
                <w:szCs w:val="15"/>
              </w:rPr>
            </w:pPr>
            <w:r w:rsidRPr="00143C67">
              <w:rPr>
                <w:b/>
                <w:sz w:val="15"/>
                <w:szCs w:val="15"/>
              </w:rPr>
              <w:t>Tanzania Zanzibar</w:t>
            </w:r>
          </w:p>
        </w:tc>
        <w:tc>
          <w:tcPr>
            <w:tcW w:w="675" w:type="dxa"/>
            <w:tcBorders>
              <w:top w:val="single" w:sz="4" w:space="0" w:color="auto"/>
              <w:left w:val="nil"/>
              <w:bottom w:val="single" w:sz="4" w:space="0" w:color="auto"/>
              <w:right w:val="nil"/>
            </w:tcBorders>
            <w:shd w:val="clear" w:color="auto" w:fill="E2EFD9" w:themeFill="accent6" w:themeFillTint="33"/>
            <w:noWrap/>
            <w:vAlign w:val="bottom"/>
            <w:hideMark/>
          </w:tcPr>
          <w:p w14:paraId="73791466" w14:textId="77777777" w:rsidR="008A1E55" w:rsidRPr="00143C67" w:rsidRDefault="008A1E55" w:rsidP="00E16CAE">
            <w:pPr>
              <w:rPr>
                <w:b/>
                <w:sz w:val="15"/>
                <w:szCs w:val="15"/>
              </w:rPr>
            </w:pPr>
            <w:r w:rsidRPr="00143C67">
              <w:rPr>
                <w:b/>
                <w:sz w:val="15"/>
                <w:szCs w:val="15"/>
              </w:rPr>
              <w:t>100.0</w:t>
            </w:r>
          </w:p>
        </w:tc>
        <w:tc>
          <w:tcPr>
            <w:tcW w:w="1039" w:type="dxa"/>
            <w:tcBorders>
              <w:top w:val="single" w:sz="4" w:space="0" w:color="auto"/>
              <w:left w:val="nil"/>
              <w:bottom w:val="single" w:sz="4" w:space="0" w:color="auto"/>
              <w:right w:val="nil"/>
            </w:tcBorders>
            <w:shd w:val="clear" w:color="auto" w:fill="E2EFD9" w:themeFill="accent6" w:themeFillTint="33"/>
            <w:noWrap/>
            <w:vAlign w:val="bottom"/>
            <w:hideMark/>
          </w:tcPr>
          <w:p w14:paraId="07108E16" w14:textId="77777777" w:rsidR="008A1E55" w:rsidRPr="00143C67" w:rsidRDefault="008A1E55" w:rsidP="00E16CAE">
            <w:pPr>
              <w:rPr>
                <w:b/>
                <w:sz w:val="15"/>
                <w:szCs w:val="15"/>
              </w:rPr>
            </w:pPr>
            <w:r w:rsidRPr="00143C67">
              <w:rPr>
                <w:b/>
                <w:sz w:val="15"/>
                <w:szCs w:val="15"/>
              </w:rPr>
              <w:t>100.0</w:t>
            </w:r>
          </w:p>
        </w:tc>
        <w:tc>
          <w:tcPr>
            <w:tcW w:w="1102" w:type="dxa"/>
            <w:tcBorders>
              <w:top w:val="single" w:sz="4" w:space="0" w:color="auto"/>
              <w:left w:val="nil"/>
              <w:bottom w:val="single" w:sz="4" w:space="0" w:color="auto"/>
              <w:right w:val="nil"/>
            </w:tcBorders>
            <w:shd w:val="clear" w:color="auto" w:fill="E2EFD9" w:themeFill="accent6" w:themeFillTint="33"/>
            <w:noWrap/>
            <w:vAlign w:val="bottom"/>
            <w:hideMark/>
          </w:tcPr>
          <w:p w14:paraId="21278D61" w14:textId="77777777" w:rsidR="008A1E55" w:rsidRPr="00143C67" w:rsidRDefault="008A1E55" w:rsidP="00E16CAE">
            <w:pPr>
              <w:rPr>
                <w:b/>
                <w:sz w:val="15"/>
                <w:szCs w:val="15"/>
              </w:rPr>
            </w:pPr>
            <w:r w:rsidRPr="00143C67">
              <w:rPr>
                <w:b/>
                <w:sz w:val="15"/>
                <w:szCs w:val="15"/>
              </w:rPr>
              <w:t>100.0</w:t>
            </w:r>
          </w:p>
        </w:tc>
        <w:tc>
          <w:tcPr>
            <w:tcW w:w="983" w:type="dxa"/>
            <w:tcBorders>
              <w:top w:val="single" w:sz="4" w:space="0" w:color="auto"/>
              <w:left w:val="nil"/>
              <w:bottom w:val="single" w:sz="4" w:space="0" w:color="auto"/>
              <w:right w:val="nil"/>
            </w:tcBorders>
            <w:shd w:val="clear" w:color="auto" w:fill="E2EFD9" w:themeFill="accent6" w:themeFillTint="33"/>
            <w:noWrap/>
            <w:vAlign w:val="bottom"/>
            <w:hideMark/>
          </w:tcPr>
          <w:p w14:paraId="05677C3D" w14:textId="77777777" w:rsidR="008A1E55" w:rsidRPr="00143C67" w:rsidRDefault="008A1E55" w:rsidP="00E16CAE">
            <w:pPr>
              <w:rPr>
                <w:b/>
                <w:sz w:val="15"/>
                <w:szCs w:val="15"/>
              </w:rPr>
            </w:pPr>
            <w:r w:rsidRPr="00143C67">
              <w:rPr>
                <w:b/>
                <w:sz w:val="15"/>
                <w:szCs w:val="15"/>
              </w:rPr>
              <w:t>100.0</w:t>
            </w:r>
          </w:p>
        </w:tc>
        <w:tc>
          <w:tcPr>
            <w:tcW w:w="999" w:type="dxa"/>
            <w:tcBorders>
              <w:top w:val="single" w:sz="4" w:space="0" w:color="auto"/>
              <w:left w:val="nil"/>
              <w:bottom w:val="single" w:sz="4" w:space="0" w:color="auto"/>
              <w:right w:val="nil"/>
            </w:tcBorders>
            <w:shd w:val="clear" w:color="auto" w:fill="E2EFD9" w:themeFill="accent6" w:themeFillTint="33"/>
            <w:noWrap/>
            <w:vAlign w:val="bottom"/>
            <w:hideMark/>
          </w:tcPr>
          <w:p w14:paraId="6E15D3E6" w14:textId="77777777" w:rsidR="008A1E55" w:rsidRPr="00143C67" w:rsidRDefault="008A1E55" w:rsidP="00E16CAE">
            <w:pPr>
              <w:rPr>
                <w:b/>
                <w:sz w:val="15"/>
                <w:szCs w:val="15"/>
              </w:rPr>
            </w:pPr>
            <w:r w:rsidRPr="00143C67">
              <w:rPr>
                <w:b/>
                <w:sz w:val="15"/>
                <w:szCs w:val="15"/>
              </w:rPr>
              <w:t>100.0</w:t>
            </w:r>
          </w:p>
        </w:tc>
        <w:tc>
          <w:tcPr>
            <w:tcW w:w="843" w:type="dxa"/>
            <w:tcBorders>
              <w:top w:val="single" w:sz="4" w:space="0" w:color="auto"/>
              <w:left w:val="nil"/>
              <w:bottom w:val="single" w:sz="4" w:space="0" w:color="auto"/>
              <w:right w:val="nil"/>
            </w:tcBorders>
            <w:shd w:val="clear" w:color="auto" w:fill="E2EFD9" w:themeFill="accent6" w:themeFillTint="33"/>
            <w:noWrap/>
            <w:vAlign w:val="bottom"/>
            <w:hideMark/>
          </w:tcPr>
          <w:p w14:paraId="566F110B" w14:textId="77777777" w:rsidR="008A1E55" w:rsidRPr="00143C67" w:rsidRDefault="008A1E55" w:rsidP="00E16CAE">
            <w:pPr>
              <w:rPr>
                <w:b/>
                <w:sz w:val="15"/>
                <w:szCs w:val="15"/>
              </w:rPr>
            </w:pPr>
            <w:r w:rsidRPr="00143C67">
              <w:rPr>
                <w:b/>
                <w:sz w:val="15"/>
                <w:szCs w:val="15"/>
              </w:rPr>
              <w:t>100.0</w:t>
            </w:r>
          </w:p>
        </w:tc>
        <w:tc>
          <w:tcPr>
            <w:tcW w:w="850" w:type="dxa"/>
            <w:tcBorders>
              <w:top w:val="single" w:sz="4" w:space="0" w:color="auto"/>
              <w:left w:val="nil"/>
              <w:bottom w:val="single" w:sz="4" w:space="0" w:color="auto"/>
              <w:right w:val="nil"/>
            </w:tcBorders>
            <w:shd w:val="clear" w:color="auto" w:fill="E2EFD9" w:themeFill="accent6" w:themeFillTint="33"/>
            <w:noWrap/>
            <w:vAlign w:val="bottom"/>
            <w:hideMark/>
          </w:tcPr>
          <w:p w14:paraId="7DEDC1D0" w14:textId="77777777" w:rsidR="008A1E55" w:rsidRPr="00143C67" w:rsidRDefault="008A1E55" w:rsidP="00E16CAE">
            <w:pPr>
              <w:rPr>
                <w:b/>
                <w:sz w:val="15"/>
                <w:szCs w:val="15"/>
              </w:rPr>
            </w:pPr>
            <w:r w:rsidRPr="00143C67">
              <w:rPr>
                <w:b/>
                <w:sz w:val="15"/>
                <w:szCs w:val="15"/>
              </w:rPr>
              <w:t>100.0</w:t>
            </w:r>
          </w:p>
        </w:tc>
        <w:tc>
          <w:tcPr>
            <w:tcW w:w="843" w:type="dxa"/>
            <w:tcBorders>
              <w:top w:val="single" w:sz="4" w:space="0" w:color="auto"/>
              <w:left w:val="nil"/>
              <w:bottom w:val="single" w:sz="4" w:space="0" w:color="auto"/>
              <w:right w:val="nil"/>
            </w:tcBorders>
            <w:shd w:val="clear" w:color="auto" w:fill="E2EFD9" w:themeFill="accent6" w:themeFillTint="33"/>
            <w:noWrap/>
            <w:vAlign w:val="bottom"/>
            <w:hideMark/>
          </w:tcPr>
          <w:p w14:paraId="25313B34" w14:textId="77777777" w:rsidR="008A1E55" w:rsidRPr="00143C67" w:rsidRDefault="008A1E55" w:rsidP="00E16CAE">
            <w:pPr>
              <w:rPr>
                <w:b/>
                <w:sz w:val="15"/>
                <w:szCs w:val="15"/>
              </w:rPr>
            </w:pPr>
            <w:r w:rsidRPr="00143C67">
              <w:rPr>
                <w:b/>
                <w:sz w:val="15"/>
                <w:szCs w:val="15"/>
              </w:rPr>
              <w:t>100.0</w:t>
            </w:r>
          </w:p>
        </w:tc>
        <w:tc>
          <w:tcPr>
            <w:tcW w:w="865" w:type="dxa"/>
            <w:tcBorders>
              <w:top w:val="single" w:sz="4" w:space="0" w:color="auto"/>
              <w:left w:val="nil"/>
              <w:bottom w:val="single" w:sz="4" w:space="0" w:color="auto"/>
              <w:right w:val="nil"/>
            </w:tcBorders>
            <w:shd w:val="clear" w:color="auto" w:fill="E2EFD9" w:themeFill="accent6" w:themeFillTint="33"/>
            <w:noWrap/>
            <w:vAlign w:val="bottom"/>
            <w:hideMark/>
          </w:tcPr>
          <w:p w14:paraId="6CB9106E" w14:textId="77777777" w:rsidR="008A1E55" w:rsidRPr="00143C67" w:rsidRDefault="008A1E55" w:rsidP="00E16CAE">
            <w:pPr>
              <w:rPr>
                <w:b/>
                <w:sz w:val="15"/>
                <w:szCs w:val="15"/>
              </w:rPr>
            </w:pPr>
            <w:r w:rsidRPr="00143C67">
              <w:rPr>
                <w:b/>
                <w:sz w:val="15"/>
                <w:szCs w:val="15"/>
              </w:rPr>
              <w:t>100.0</w:t>
            </w:r>
          </w:p>
        </w:tc>
      </w:tr>
    </w:tbl>
    <w:p w14:paraId="4220E6A9" w14:textId="77777777" w:rsidR="008A1E55" w:rsidRPr="006B42D6" w:rsidRDefault="008A1E55" w:rsidP="008A1E55"/>
    <w:p w14:paraId="033DAD13" w14:textId="025C3E2A" w:rsidR="008A1E55" w:rsidRPr="006B42D6" w:rsidRDefault="006C1D68" w:rsidP="008A1E55">
      <w:pPr>
        <w:pStyle w:val="Heading2"/>
      </w:pPr>
      <w:bookmarkStart w:id="867" w:name="_Toc82385801"/>
      <w:r w:rsidRPr="006B42D6">
        <w:t>6</w:t>
      </w:r>
      <w:r w:rsidR="008A1E55" w:rsidRPr="006B42D6">
        <w:t>.</w:t>
      </w:r>
      <w:r w:rsidR="00AC6872">
        <w:t>5</w:t>
      </w:r>
      <w:r w:rsidR="008A1E55" w:rsidRPr="006B42D6">
        <w:tab/>
      </w:r>
      <w:r w:rsidR="00011DD0">
        <w:t xml:space="preserve">Main </w:t>
      </w:r>
      <w:r w:rsidR="008A1E55" w:rsidRPr="006B42D6">
        <w:t>Source of Energy for Cooking</w:t>
      </w:r>
      <w:bookmarkEnd w:id="867"/>
    </w:p>
    <w:p w14:paraId="702576E9" w14:textId="27B30C67" w:rsidR="005420E0" w:rsidRDefault="008A1E55" w:rsidP="008A1E55">
      <w:r w:rsidRPr="006B42D6">
        <w:t xml:space="preserve">The 2019/20 NSCA results show that, majority of agricultural households (6,324,643; 80.7 percent) </w:t>
      </w:r>
      <w:r w:rsidR="00DE248A">
        <w:t xml:space="preserve">in Tanzania </w:t>
      </w:r>
      <w:r w:rsidRPr="006B42D6">
        <w:t xml:space="preserve">reported to use firewood as the main source of energy for cooking, followed by 1,170,040 households (14.9 percent) that reported to use charcoal and 181,193 households (2.3 percent) that used gas (industrial). The remaining sources (electricity, solar, biogas, gas, paraffin/kerosene, crop residual and generator/private source) jointly accounted for 2.2 percent of agricultural households (Table </w:t>
      </w:r>
      <w:r w:rsidR="006C1D68" w:rsidRPr="006B42D6">
        <w:t>6</w:t>
      </w:r>
      <w:r w:rsidRPr="006B42D6">
        <w:t>.9).</w:t>
      </w:r>
    </w:p>
    <w:p w14:paraId="2D160B22" w14:textId="77777777" w:rsidR="005420E0" w:rsidRDefault="005420E0">
      <w:pPr>
        <w:spacing w:line="240" w:lineRule="auto"/>
        <w:contextualSpacing w:val="0"/>
        <w:jc w:val="left"/>
      </w:pPr>
      <w:r>
        <w:br w:type="page"/>
      </w:r>
    </w:p>
    <w:p w14:paraId="684FADA6" w14:textId="41B5F550" w:rsidR="008A1E55" w:rsidRPr="006B42D6" w:rsidRDefault="008A1E55" w:rsidP="00C41AC6">
      <w:pPr>
        <w:pStyle w:val="Heading7"/>
        <w:ind w:right="851"/>
      </w:pPr>
      <w:bookmarkStart w:id="868" w:name="_Toc82386244"/>
      <w:r w:rsidRPr="006B42D6">
        <w:lastRenderedPageBreak/>
        <w:t xml:space="preserve">Table </w:t>
      </w:r>
      <w:r w:rsidR="006C1D68" w:rsidRPr="006B42D6">
        <w:t>6</w:t>
      </w:r>
      <w:r w:rsidRPr="006B42D6">
        <w:t>.9</w:t>
      </w:r>
      <w:r w:rsidR="005420E0">
        <w:t>:</w:t>
      </w:r>
      <w:r w:rsidR="007A288F">
        <w:tab/>
      </w:r>
      <w:r w:rsidRPr="006B42D6">
        <w:t>Number and Percentage of Agricultural Households Reported Main Source of Energy for Cooking During 2019/20 Agricultural Year, Tanzania</w:t>
      </w:r>
      <w:bookmarkEnd w:id="868"/>
      <w:r w:rsidRPr="006B42D6">
        <w:t xml:space="preserve"> </w:t>
      </w:r>
    </w:p>
    <w:tbl>
      <w:tblPr>
        <w:tblW w:w="8460" w:type="dxa"/>
        <w:tblLook w:val="04A0" w:firstRow="1" w:lastRow="0" w:firstColumn="1" w:lastColumn="0" w:noHBand="0" w:noVBand="1"/>
      </w:tblPr>
      <w:tblGrid>
        <w:gridCol w:w="2680"/>
        <w:gridCol w:w="1144"/>
        <w:gridCol w:w="836"/>
        <w:gridCol w:w="1144"/>
        <w:gridCol w:w="836"/>
        <w:gridCol w:w="972"/>
        <w:gridCol w:w="848"/>
      </w:tblGrid>
      <w:tr w:rsidR="006B42D6" w:rsidRPr="00257DF7" w14:paraId="73B88082" w14:textId="77777777" w:rsidTr="004F65CD">
        <w:trPr>
          <w:trHeight w:val="283"/>
        </w:trPr>
        <w:tc>
          <w:tcPr>
            <w:tcW w:w="2680" w:type="dxa"/>
            <w:vMerge w:val="restart"/>
            <w:tcBorders>
              <w:top w:val="single" w:sz="4" w:space="0" w:color="auto"/>
              <w:left w:val="nil"/>
              <w:bottom w:val="single" w:sz="4" w:space="0" w:color="000000"/>
              <w:right w:val="nil"/>
            </w:tcBorders>
            <w:shd w:val="clear" w:color="auto" w:fill="E2EFD9" w:themeFill="accent6" w:themeFillTint="33"/>
            <w:noWrap/>
            <w:vAlign w:val="center"/>
            <w:hideMark/>
          </w:tcPr>
          <w:p w14:paraId="53C5A487" w14:textId="77777777" w:rsidR="008A1E55" w:rsidRPr="00257DF7" w:rsidRDefault="008A1E55" w:rsidP="00E16CAE">
            <w:pPr>
              <w:rPr>
                <w:sz w:val="19"/>
                <w:szCs w:val="19"/>
              </w:rPr>
            </w:pPr>
            <w:r w:rsidRPr="00257DF7">
              <w:rPr>
                <w:sz w:val="19"/>
                <w:szCs w:val="19"/>
              </w:rPr>
              <w:t>Main Source</w:t>
            </w:r>
          </w:p>
        </w:tc>
        <w:tc>
          <w:tcPr>
            <w:tcW w:w="1980" w:type="dxa"/>
            <w:gridSpan w:val="2"/>
            <w:tcBorders>
              <w:top w:val="single" w:sz="4" w:space="0" w:color="auto"/>
              <w:left w:val="nil"/>
              <w:bottom w:val="single" w:sz="4" w:space="0" w:color="auto"/>
              <w:right w:val="nil"/>
            </w:tcBorders>
            <w:shd w:val="clear" w:color="auto" w:fill="E2EFD9" w:themeFill="accent6" w:themeFillTint="33"/>
            <w:noWrap/>
            <w:vAlign w:val="bottom"/>
            <w:hideMark/>
          </w:tcPr>
          <w:p w14:paraId="6045A61C" w14:textId="77777777" w:rsidR="008A1E55" w:rsidRPr="00257DF7" w:rsidRDefault="008A1E55" w:rsidP="00143C67">
            <w:pPr>
              <w:jc w:val="center"/>
              <w:rPr>
                <w:sz w:val="19"/>
                <w:szCs w:val="19"/>
              </w:rPr>
            </w:pPr>
            <w:r w:rsidRPr="00257DF7">
              <w:rPr>
                <w:sz w:val="19"/>
                <w:szCs w:val="19"/>
              </w:rPr>
              <w:t>Tanzania</w:t>
            </w:r>
          </w:p>
        </w:tc>
        <w:tc>
          <w:tcPr>
            <w:tcW w:w="1980" w:type="dxa"/>
            <w:gridSpan w:val="2"/>
            <w:tcBorders>
              <w:top w:val="single" w:sz="4" w:space="0" w:color="auto"/>
              <w:left w:val="nil"/>
              <w:bottom w:val="single" w:sz="4" w:space="0" w:color="auto"/>
              <w:right w:val="nil"/>
            </w:tcBorders>
            <w:shd w:val="clear" w:color="auto" w:fill="E2EFD9" w:themeFill="accent6" w:themeFillTint="33"/>
            <w:noWrap/>
            <w:vAlign w:val="bottom"/>
            <w:hideMark/>
          </w:tcPr>
          <w:p w14:paraId="6B025C8E" w14:textId="0F5D9F5A" w:rsidR="008A1E55" w:rsidRPr="00257DF7" w:rsidRDefault="00EA1552" w:rsidP="00143C67">
            <w:pPr>
              <w:jc w:val="center"/>
              <w:rPr>
                <w:sz w:val="19"/>
                <w:szCs w:val="19"/>
              </w:rPr>
            </w:pPr>
            <w:r w:rsidRPr="00257DF7">
              <w:rPr>
                <w:sz w:val="19"/>
                <w:szCs w:val="19"/>
              </w:rPr>
              <w:t>Mainland Tanzania</w:t>
            </w:r>
          </w:p>
        </w:tc>
        <w:tc>
          <w:tcPr>
            <w:tcW w:w="1820" w:type="dxa"/>
            <w:gridSpan w:val="2"/>
            <w:tcBorders>
              <w:top w:val="single" w:sz="4" w:space="0" w:color="auto"/>
              <w:left w:val="nil"/>
              <w:bottom w:val="single" w:sz="4" w:space="0" w:color="auto"/>
              <w:right w:val="nil"/>
            </w:tcBorders>
            <w:shd w:val="clear" w:color="auto" w:fill="E2EFD9" w:themeFill="accent6" w:themeFillTint="33"/>
            <w:noWrap/>
            <w:vAlign w:val="bottom"/>
            <w:hideMark/>
          </w:tcPr>
          <w:p w14:paraId="54A5B25D" w14:textId="77777777" w:rsidR="008A1E55" w:rsidRPr="00257DF7" w:rsidRDefault="008A1E55" w:rsidP="00143C67">
            <w:pPr>
              <w:jc w:val="center"/>
              <w:rPr>
                <w:sz w:val="19"/>
                <w:szCs w:val="19"/>
              </w:rPr>
            </w:pPr>
            <w:r w:rsidRPr="00257DF7">
              <w:rPr>
                <w:sz w:val="19"/>
                <w:szCs w:val="19"/>
              </w:rPr>
              <w:t>Tanzania Zanzibar</w:t>
            </w:r>
          </w:p>
        </w:tc>
      </w:tr>
      <w:tr w:rsidR="006B42D6" w:rsidRPr="00257DF7" w14:paraId="3DCE6196" w14:textId="77777777" w:rsidTr="004F65CD">
        <w:trPr>
          <w:trHeight w:val="214"/>
        </w:trPr>
        <w:tc>
          <w:tcPr>
            <w:tcW w:w="2680" w:type="dxa"/>
            <w:vMerge/>
            <w:tcBorders>
              <w:top w:val="single" w:sz="4" w:space="0" w:color="auto"/>
              <w:left w:val="nil"/>
              <w:bottom w:val="single" w:sz="4" w:space="0" w:color="000000"/>
              <w:right w:val="nil"/>
            </w:tcBorders>
            <w:shd w:val="clear" w:color="auto" w:fill="E2EFD9" w:themeFill="accent6" w:themeFillTint="33"/>
            <w:vAlign w:val="center"/>
            <w:hideMark/>
          </w:tcPr>
          <w:p w14:paraId="0826FC8E" w14:textId="77777777" w:rsidR="008A1E55" w:rsidRPr="00257DF7" w:rsidRDefault="008A1E55" w:rsidP="00E16CAE">
            <w:pPr>
              <w:rPr>
                <w:sz w:val="19"/>
                <w:szCs w:val="19"/>
              </w:rPr>
            </w:pPr>
          </w:p>
        </w:tc>
        <w:tc>
          <w:tcPr>
            <w:tcW w:w="1144" w:type="dxa"/>
            <w:tcBorders>
              <w:top w:val="single" w:sz="4" w:space="0" w:color="auto"/>
              <w:left w:val="nil"/>
              <w:bottom w:val="single" w:sz="4" w:space="0" w:color="auto"/>
              <w:right w:val="nil"/>
            </w:tcBorders>
            <w:shd w:val="clear" w:color="auto" w:fill="E2EFD9" w:themeFill="accent6" w:themeFillTint="33"/>
            <w:noWrap/>
            <w:vAlign w:val="center"/>
            <w:hideMark/>
          </w:tcPr>
          <w:p w14:paraId="5AB39AD7" w14:textId="77777777" w:rsidR="008A1E55" w:rsidRPr="00257DF7" w:rsidRDefault="008A1E55" w:rsidP="00E16CAE">
            <w:pPr>
              <w:rPr>
                <w:sz w:val="19"/>
                <w:szCs w:val="19"/>
              </w:rPr>
            </w:pPr>
            <w:r w:rsidRPr="00257DF7">
              <w:rPr>
                <w:sz w:val="19"/>
                <w:szCs w:val="19"/>
              </w:rPr>
              <w:t>Number</w:t>
            </w:r>
          </w:p>
        </w:tc>
        <w:tc>
          <w:tcPr>
            <w:tcW w:w="836" w:type="dxa"/>
            <w:tcBorders>
              <w:top w:val="single" w:sz="4" w:space="0" w:color="auto"/>
              <w:left w:val="nil"/>
              <w:bottom w:val="single" w:sz="4" w:space="0" w:color="auto"/>
              <w:right w:val="nil"/>
            </w:tcBorders>
            <w:shd w:val="clear" w:color="auto" w:fill="E2EFD9" w:themeFill="accent6" w:themeFillTint="33"/>
            <w:noWrap/>
            <w:vAlign w:val="center"/>
            <w:hideMark/>
          </w:tcPr>
          <w:p w14:paraId="37482058" w14:textId="77777777" w:rsidR="008A1E55" w:rsidRPr="00257DF7" w:rsidRDefault="008A1E55" w:rsidP="00E16CAE">
            <w:pPr>
              <w:rPr>
                <w:sz w:val="19"/>
                <w:szCs w:val="19"/>
              </w:rPr>
            </w:pPr>
            <w:r w:rsidRPr="00257DF7">
              <w:rPr>
                <w:sz w:val="19"/>
                <w:szCs w:val="19"/>
              </w:rPr>
              <w:t>Percent</w:t>
            </w:r>
          </w:p>
        </w:tc>
        <w:tc>
          <w:tcPr>
            <w:tcW w:w="1144" w:type="dxa"/>
            <w:tcBorders>
              <w:top w:val="single" w:sz="4" w:space="0" w:color="auto"/>
              <w:left w:val="nil"/>
              <w:bottom w:val="single" w:sz="4" w:space="0" w:color="auto"/>
              <w:right w:val="nil"/>
            </w:tcBorders>
            <w:shd w:val="clear" w:color="auto" w:fill="E2EFD9" w:themeFill="accent6" w:themeFillTint="33"/>
            <w:noWrap/>
            <w:vAlign w:val="center"/>
            <w:hideMark/>
          </w:tcPr>
          <w:p w14:paraId="650D9B92" w14:textId="77777777" w:rsidR="008A1E55" w:rsidRPr="00257DF7" w:rsidRDefault="008A1E55" w:rsidP="00E16CAE">
            <w:pPr>
              <w:rPr>
                <w:sz w:val="19"/>
                <w:szCs w:val="19"/>
              </w:rPr>
            </w:pPr>
            <w:r w:rsidRPr="00257DF7">
              <w:rPr>
                <w:sz w:val="19"/>
                <w:szCs w:val="19"/>
              </w:rPr>
              <w:t>Number</w:t>
            </w:r>
          </w:p>
        </w:tc>
        <w:tc>
          <w:tcPr>
            <w:tcW w:w="836" w:type="dxa"/>
            <w:tcBorders>
              <w:top w:val="single" w:sz="4" w:space="0" w:color="auto"/>
              <w:left w:val="nil"/>
              <w:bottom w:val="single" w:sz="4" w:space="0" w:color="auto"/>
              <w:right w:val="nil"/>
            </w:tcBorders>
            <w:shd w:val="clear" w:color="auto" w:fill="E2EFD9" w:themeFill="accent6" w:themeFillTint="33"/>
            <w:noWrap/>
            <w:vAlign w:val="center"/>
            <w:hideMark/>
          </w:tcPr>
          <w:p w14:paraId="56161471" w14:textId="77777777" w:rsidR="008A1E55" w:rsidRPr="00257DF7" w:rsidRDefault="008A1E55" w:rsidP="00E16CAE">
            <w:pPr>
              <w:rPr>
                <w:sz w:val="19"/>
                <w:szCs w:val="19"/>
              </w:rPr>
            </w:pPr>
            <w:r w:rsidRPr="00257DF7">
              <w:rPr>
                <w:sz w:val="19"/>
                <w:szCs w:val="19"/>
              </w:rPr>
              <w:t>Percent</w:t>
            </w:r>
          </w:p>
        </w:tc>
        <w:tc>
          <w:tcPr>
            <w:tcW w:w="972" w:type="dxa"/>
            <w:tcBorders>
              <w:top w:val="single" w:sz="4" w:space="0" w:color="auto"/>
              <w:left w:val="nil"/>
              <w:bottom w:val="single" w:sz="4" w:space="0" w:color="auto"/>
              <w:right w:val="nil"/>
            </w:tcBorders>
            <w:shd w:val="clear" w:color="auto" w:fill="E2EFD9" w:themeFill="accent6" w:themeFillTint="33"/>
            <w:noWrap/>
            <w:vAlign w:val="center"/>
            <w:hideMark/>
          </w:tcPr>
          <w:p w14:paraId="281B1C2D" w14:textId="77777777" w:rsidR="008A1E55" w:rsidRPr="00257DF7" w:rsidRDefault="008A1E55" w:rsidP="00E16CAE">
            <w:pPr>
              <w:rPr>
                <w:sz w:val="19"/>
                <w:szCs w:val="19"/>
              </w:rPr>
            </w:pPr>
            <w:r w:rsidRPr="00257DF7">
              <w:rPr>
                <w:sz w:val="19"/>
                <w:szCs w:val="19"/>
              </w:rPr>
              <w:t>Number</w:t>
            </w:r>
          </w:p>
        </w:tc>
        <w:tc>
          <w:tcPr>
            <w:tcW w:w="848" w:type="dxa"/>
            <w:tcBorders>
              <w:top w:val="single" w:sz="4" w:space="0" w:color="auto"/>
              <w:left w:val="nil"/>
              <w:bottom w:val="single" w:sz="4" w:space="0" w:color="auto"/>
              <w:right w:val="nil"/>
            </w:tcBorders>
            <w:shd w:val="clear" w:color="auto" w:fill="E2EFD9" w:themeFill="accent6" w:themeFillTint="33"/>
            <w:noWrap/>
            <w:vAlign w:val="center"/>
            <w:hideMark/>
          </w:tcPr>
          <w:p w14:paraId="3314BE1E" w14:textId="77777777" w:rsidR="008A1E55" w:rsidRPr="00257DF7" w:rsidRDefault="008A1E55" w:rsidP="00E16CAE">
            <w:pPr>
              <w:rPr>
                <w:sz w:val="19"/>
                <w:szCs w:val="19"/>
              </w:rPr>
            </w:pPr>
            <w:r w:rsidRPr="00257DF7">
              <w:rPr>
                <w:sz w:val="19"/>
                <w:szCs w:val="19"/>
              </w:rPr>
              <w:t>Percent</w:t>
            </w:r>
          </w:p>
        </w:tc>
      </w:tr>
      <w:tr w:rsidR="006B42D6" w:rsidRPr="00257DF7" w14:paraId="6A849C57" w14:textId="77777777" w:rsidTr="00E16CAE">
        <w:trPr>
          <w:trHeight w:val="283"/>
        </w:trPr>
        <w:tc>
          <w:tcPr>
            <w:tcW w:w="2680" w:type="dxa"/>
            <w:tcBorders>
              <w:top w:val="nil"/>
              <w:left w:val="nil"/>
              <w:bottom w:val="nil"/>
              <w:right w:val="nil"/>
            </w:tcBorders>
            <w:shd w:val="clear" w:color="auto" w:fill="auto"/>
            <w:vAlign w:val="center"/>
            <w:hideMark/>
          </w:tcPr>
          <w:p w14:paraId="3182856B" w14:textId="77777777" w:rsidR="008A1E55" w:rsidRPr="00257DF7" w:rsidRDefault="008A1E55" w:rsidP="00E16CAE">
            <w:pPr>
              <w:rPr>
                <w:sz w:val="19"/>
                <w:szCs w:val="19"/>
              </w:rPr>
            </w:pPr>
            <w:r w:rsidRPr="00257DF7">
              <w:rPr>
                <w:sz w:val="19"/>
                <w:szCs w:val="19"/>
              </w:rPr>
              <w:t>Mains electricity</w:t>
            </w:r>
          </w:p>
        </w:tc>
        <w:tc>
          <w:tcPr>
            <w:tcW w:w="1144" w:type="dxa"/>
            <w:tcBorders>
              <w:top w:val="nil"/>
              <w:left w:val="nil"/>
              <w:bottom w:val="nil"/>
              <w:right w:val="nil"/>
            </w:tcBorders>
            <w:shd w:val="clear" w:color="auto" w:fill="auto"/>
            <w:noWrap/>
            <w:vAlign w:val="center"/>
            <w:hideMark/>
          </w:tcPr>
          <w:p w14:paraId="7745301C" w14:textId="77777777" w:rsidR="008A1E55" w:rsidRPr="00257DF7" w:rsidRDefault="008A1E55" w:rsidP="00E16CAE">
            <w:pPr>
              <w:jc w:val="right"/>
              <w:rPr>
                <w:sz w:val="19"/>
                <w:szCs w:val="19"/>
              </w:rPr>
            </w:pPr>
            <w:r w:rsidRPr="00257DF7">
              <w:rPr>
                <w:sz w:val="19"/>
                <w:szCs w:val="19"/>
              </w:rPr>
              <w:t>24,839</w:t>
            </w:r>
          </w:p>
        </w:tc>
        <w:tc>
          <w:tcPr>
            <w:tcW w:w="836" w:type="dxa"/>
            <w:tcBorders>
              <w:top w:val="nil"/>
              <w:left w:val="nil"/>
              <w:bottom w:val="nil"/>
              <w:right w:val="nil"/>
            </w:tcBorders>
            <w:shd w:val="clear" w:color="auto" w:fill="auto"/>
            <w:noWrap/>
            <w:vAlign w:val="center"/>
            <w:hideMark/>
          </w:tcPr>
          <w:p w14:paraId="3453A4FF" w14:textId="77777777" w:rsidR="008A1E55" w:rsidRPr="00257DF7" w:rsidRDefault="008A1E55" w:rsidP="00E16CAE">
            <w:pPr>
              <w:jc w:val="right"/>
              <w:rPr>
                <w:sz w:val="19"/>
                <w:szCs w:val="19"/>
              </w:rPr>
            </w:pPr>
            <w:r w:rsidRPr="00257DF7">
              <w:rPr>
                <w:sz w:val="19"/>
                <w:szCs w:val="19"/>
              </w:rPr>
              <w:t>0.3</w:t>
            </w:r>
          </w:p>
        </w:tc>
        <w:tc>
          <w:tcPr>
            <w:tcW w:w="1144" w:type="dxa"/>
            <w:tcBorders>
              <w:top w:val="nil"/>
              <w:left w:val="nil"/>
              <w:bottom w:val="nil"/>
              <w:right w:val="nil"/>
            </w:tcBorders>
            <w:shd w:val="clear" w:color="auto" w:fill="auto"/>
            <w:noWrap/>
            <w:vAlign w:val="center"/>
            <w:hideMark/>
          </w:tcPr>
          <w:p w14:paraId="07EDAA2D" w14:textId="77777777" w:rsidR="008A1E55" w:rsidRPr="00257DF7" w:rsidRDefault="008A1E55" w:rsidP="00E16CAE">
            <w:pPr>
              <w:jc w:val="right"/>
              <w:rPr>
                <w:sz w:val="19"/>
                <w:szCs w:val="19"/>
              </w:rPr>
            </w:pPr>
            <w:r w:rsidRPr="00257DF7">
              <w:rPr>
                <w:sz w:val="19"/>
                <w:szCs w:val="19"/>
              </w:rPr>
              <w:t>23,852</w:t>
            </w:r>
          </w:p>
        </w:tc>
        <w:tc>
          <w:tcPr>
            <w:tcW w:w="836" w:type="dxa"/>
            <w:tcBorders>
              <w:top w:val="nil"/>
              <w:left w:val="nil"/>
              <w:bottom w:val="nil"/>
              <w:right w:val="nil"/>
            </w:tcBorders>
            <w:shd w:val="clear" w:color="auto" w:fill="auto"/>
            <w:noWrap/>
            <w:vAlign w:val="center"/>
            <w:hideMark/>
          </w:tcPr>
          <w:p w14:paraId="43A6242A" w14:textId="77777777" w:rsidR="008A1E55" w:rsidRPr="00257DF7" w:rsidRDefault="008A1E55" w:rsidP="00E16CAE">
            <w:pPr>
              <w:jc w:val="right"/>
              <w:rPr>
                <w:sz w:val="19"/>
                <w:szCs w:val="19"/>
              </w:rPr>
            </w:pPr>
            <w:r w:rsidRPr="00257DF7">
              <w:rPr>
                <w:sz w:val="19"/>
                <w:szCs w:val="19"/>
              </w:rPr>
              <w:t>0.3</w:t>
            </w:r>
          </w:p>
        </w:tc>
        <w:tc>
          <w:tcPr>
            <w:tcW w:w="972" w:type="dxa"/>
            <w:tcBorders>
              <w:top w:val="nil"/>
              <w:left w:val="nil"/>
              <w:bottom w:val="nil"/>
              <w:right w:val="nil"/>
            </w:tcBorders>
            <w:shd w:val="clear" w:color="auto" w:fill="auto"/>
            <w:noWrap/>
            <w:vAlign w:val="center"/>
            <w:hideMark/>
          </w:tcPr>
          <w:p w14:paraId="57C6325A" w14:textId="77777777" w:rsidR="008A1E55" w:rsidRPr="00257DF7" w:rsidRDefault="008A1E55" w:rsidP="00E16CAE">
            <w:pPr>
              <w:jc w:val="right"/>
              <w:rPr>
                <w:sz w:val="19"/>
                <w:szCs w:val="19"/>
              </w:rPr>
            </w:pPr>
            <w:r w:rsidRPr="00257DF7">
              <w:rPr>
                <w:sz w:val="19"/>
                <w:szCs w:val="19"/>
              </w:rPr>
              <w:t>987</w:t>
            </w:r>
          </w:p>
        </w:tc>
        <w:tc>
          <w:tcPr>
            <w:tcW w:w="848" w:type="dxa"/>
            <w:tcBorders>
              <w:top w:val="nil"/>
              <w:left w:val="nil"/>
              <w:bottom w:val="nil"/>
              <w:right w:val="nil"/>
            </w:tcBorders>
            <w:shd w:val="clear" w:color="auto" w:fill="auto"/>
            <w:noWrap/>
            <w:vAlign w:val="center"/>
            <w:hideMark/>
          </w:tcPr>
          <w:p w14:paraId="69869164" w14:textId="77777777" w:rsidR="008A1E55" w:rsidRPr="00257DF7" w:rsidRDefault="008A1E55" w:rsidP="00E16CAE">
            <w:pPr>
              <w:jc w:val="right"/>
              <w:rPr>
                <w:sz w:val="19"/>
                <w:szCs w:val="19"/>
              </w:rPr>
            </w:pPr>
            <w:r w:rsidRPr="00257DF7">
              <w:rPr>
                <w:sz w:val="19"/>
                <w:szCs w:val="19"/>
              </w:rPr>
              <w:t>0.5</w:t>
            </w:r>
          </w:p>
        </w:tc>
      </w:tr>
      <w:tr w:rsidR="006B42D6" w:rsidRPr="00257DF7" w14:paraId="4B546972" w14:textId="77777777" w:rsidTr="00E16CAE">
        <w:trPr>
          <w:trHeight w:val="283"/>
        </w:trPr>
        <w:tc>
          <w:tcPr>
            <w:tcW w:w="2680" w:type="dxa"/>
            <w:tcBorders>
              <w:top w:val="nil"/>
              <w:left w:val="nil"/>
              <w:bottom w:val="nil"/>
              <w:right w:val="nil"/>
            </w:tcBorders>
            <w:shd w:val="clear" w:color="auto" w:fill="auto"/>
            <w:vAlign w:val="center"/>
            <w:hideMark/>
          </w:tcPr>
          <w:p w14:paraId="7C6EAED6" w14:textId="77777777" w:rsidR="008A1E55" w:rsidRPr="00257DF7" w:rsidRDefault="008A1E55" w:rsidP="00E16CAE">
            <w:pPr>
              <w:rPr>
                <w:sz w:val="19"/>
                <w:szCs w:val="19"/>
              </w:rPr>
            </w:pPr>
            <w:r w:rsidRPr="00257DF7">
              <w:rPr>
                <w:sz w:val="19"/>
                <w:szCs w:val="19"/>
              </w:rPr>
              <w:t>Solar</w:t>
            </w:r>
          </w:p>
        </w:tc>
        <w:tc>
          <w:tcPr>
            <w:tcW w:w="1144" w:type="dxa"/>
            <w:tcBorders>
              <w:top w:val="nil"/>
              <w:left w:val="nil"/>
              <w:bottom w:val="nil"/>
              <w:right w:val="nil"/>
            </w:tcBorders>
            <w:shd w:val="clear" w:color="auto" w:fill="auto"/>
            <w:noWrap/>
            <w:vAlign w:val="center"/>
            <w:hideMark/>
          </w:tcPr>
          <w:p w14:paraId="3D3643E6" w14:textId="77777777" w:rsidR="008A1E55" w:rsidRPr="00257DF7" w:rsidRDefault="008A1E55" w:rsidP="00E16CAE">
            <w:pPr>
              <w:jc w:val="right"/>
              <w:rPr>
                <w:sz w:val="19"/>
                <w:szCs w:val="19"/>
              </w:rPr>
            </w:pPr>
            <w:r w:rsidRPr="00257DF7">
              <w:rPr>
                <w:sz w:val="19"/>
                <w:szCs w:val="19"/>
              </w:rPr>
              <w:t>40,964</w:t>
            </w:r>
          </w:p>
        </w:tc>
        <w:tc>
          <w:tcPr>
            <w:tcW w:w="836" w:type="dxa"/>
            <w:tcBorders>
              <w:top w:val="nil"/>
              <w:left w:val="nil"/>
              <w:bottom w:val="nil"/>
              <w:right w:val="nil"/>
            </w:tcBorders>
            <w:shd w:val="clear" w:color="auto" w:fill="auto"/>
            <w:noWrap/>
            <w:vAlign w:val="center"/>
            <w:hideMark/>
          </w:tcPr>
          <w:p w14:paraId="65D7A7A4" w14:textId="77777777" w:rsidR="008A1E55" w:rsidRPr="00257DF7" w:rsidRDefault="008A1E55" w:rsidP="00E16CAE">
            <w:pPr>
              <w:jc w:val="right"/>
              <w:rPr>
                <w:sz w:val="19"/>
                <w:szCs w:val="19"/>
              </w:rPr>
            </w:pPr>
            <w:r w:rsidRPr="00257DF7">
              <w:rPr>
                <w:sz w:val="19"/>
                <w:szCs w:val="19"/>
              </w:rPr>
              <w:t>0.5</w:t>
            </w:r>
          </w:p>
        </w:tc>
        <w:tc>
          <w:tcPr>
            <w:tcW w:w="1144" w:type="dxa"/>
            <w:tcBorders>
              <w:top w:val="nil"/>
              <w:left w:val="nil"/>
              <w:bottom w:val="nil"/>
              <w:right w:val="nil"/>
            </w:tcBorders>
            <w:shd w:val="clear" w:color="auto" w:fill="auto"/>
            <w:noWrap/>
            <w:vAlign w:val="center"/>
            <w:hideMark/>
          </w:tcPr>
          <w:p w14:paraId="1D473DA9" w14:textId="77777777" w:rsidR="008A1E55" w:rsidRPr="00257DF7" w:rsidRDefault="008A1E55" w:rsidP="00E16CAE">
            <w:pPr>
              <w:jc w:val="right"/>
              <w:rPr>
                <w:sz w:val="19"/>
                <w:szCs w:val="19"/>
              </w:rPr>
            </w:pPr>
            <w:r w:rsidRPr="00257DF7">
              <w:rPr>
                <w:sz w:val="19"/>
                <w:szCs w:val="19"/>
              </w:rPr>
              <w:t>40,630</w:t>
            </w:r>
          </w:p>
        </w:tc>
        <w:tc>
          <w:tcPr>
            <w:tcW w:w="836" w:type="dxa"/>
            <w:tcBorders>
              <w:top w:val="nil"/>
              <w:left w:val="nil"/>
              <w:bottom w:val="nil"/>
              <w:right w:val="nil"/>
            </w:tcBorders>
            <w:shd w:val="clear" w:color="auto" w:fill="auto"/>
            <w:noWrap/>
            <w:vAlign w:val="center"/>
            <w:hideMark/>
          </w:tcPr>
          <w:p w14:paraId="51153244" w14:textId="77777777" w:rsidR="008A1E55" w:rsidRPr="00257DF7" w:rsidRDefault="008A1E55" w:rsidP="00E16CAE">
            <w:pPr>
              <w:jc w:val="right"/>
              <w:rPr>
                <w:sz w:val="19"/>
                <w:szCs w:val="19"/>
              </w:rPr>
            </w:pPr>
            <w:r w:rsidRPr="00257DF7">
              <w:rPr>
                <w:sz w:val="19"/>
                <w:szCs w:val="19"/>
              </w:rPr>
              <w:t>0.5</w:t>
            </w:r>
          </w:p>
        </w:tc>
        <w:tc>
          <w:tcPr>
            <w:tcW w:w="972" w:type="dxa"/>
            <w:tcBorders>
              <w:top w:val="nil"/>
              <w:left w:val="nil"/>
              <w:bottom w:val="nil"/>
              <w:right w:val="nil"/>
            </w:tcBorders>
            <w:shd w:val="clear" w:color="auto" w:fill="auto"/>
            <w:noWrap/>
            <w:vAlign w:val="center"/>
            <w:hideMark/>
          </w:tcPr>
          <w:p w14:paraId="35364B8C" w14:textId="77777777" w:rsidR="008A1E55" w:rsidRPr="00257DF7" w:rsidRDefault="008A1E55" w:rsidP="00E16CAE">
            <w:pPr>
              <w:jc w:val="right"/>
              <w:rPr>
                <w:sz w:val="19"/>
                <w:szCs w:val="19"/>
              </w:rPr>
            </w:pPr>
            <w:r w:rsidRPr="00257DF7">
              <w:rPr>
                <w:sz w:val="19"/>
                <w:szCs w:val="19"/>
              </w:rPr>
              <w:t>334</w:t>
            </w:r>
          </w:p>
        </w:tc>
        <w:tc>
          <w:tcPr>
            <w:tcW w:w="848" w:type="dxa"/>
            <w:tcBorders>
              <w:top w:val="nil"/>
              <w:left w:val="nil"/>
              <w:bottom w:val="nil"/>
              <w:right w:val="nil"/>
            </w:tcBorders>
            <w:shd w:val="clear" w:color="auto" w:fill="auto"/>
            <w:noWrap/>
            <w:vAlign w:val="center"/>
            <w:hideMark/>
          </w:tcPr>
          <w:p w14:paraId="7EFD0276" w14:textId="77777777" w:rsidR="008A1E55" w:rsidRPr="00257DF7" w:rsidRDefault="008A1E55" w:rsidP="00E16CAE">
            <w:pPr>
              <w:jc w:val="right"/>
              <w:rPr>
                <w:sz w:val="19"/>
                <w:szCs w:val="19"/>
              </w:rPr>
            </w:pPr>
            <w:r w:rsidRPr="00257DF7">
              <w:rPr>
                <w:sz w:val="19"/>
                <w:szCs w:val="19"/>
              </w:rPr>
              <w:t>0.2</w:t>
            </w:r>
          </w:p>
        </w:tc>
      </w:tr>
      <w:tr w:rsidR="006B42D6" w:rsidRPr="00257DF7" w14:paraId="2E7C1A38" w14:textId="77777777" w:rsidTr="00E16CAE">
        <w:trPr>
          <w:trHeight w:val="283"/>
        </w:trPr>
        <w:tc>
          <w:tcPr>
            <w:tcW w:w="2680" w:type="dxa"/>
            <w:tcBorders>
              <w:top w:val="nil"/>
              <w:left w:val="nil"/>
              <w:bottom w:val="nil"/>
              <w:right w:val="nil"/>
            </w:tcBorders>
            <w:shd w:val="clear" w:color="auto" w:fill="auto"/>
            <w:vAlign w:val="center"/>
            <w:hideMark/>
          </w:tcPr>
          <w:p w14:paraId="005E0892" w14:textId="77777777" w:rsidR="008A1E55" w:rsidRPr="00257DF7" w:rsidRDefault="008A1E55" w:rsidP="00E16CAE">
            <w:pPr>
              <w:rPr>
                <w:sz w:val="19"/>
                <w:szCs w:val="19"/>
              </w:rPr>
            </w:pPr>
            <w:r w:rsidRPr="00257DF7">
              <w:rPr>
                <w:sz w:val="19"/>
                <w:szCs w:val="19"/>
              </w:rPr>
              <w:t>Gas (Household biogas)</w:t>
            </w:r>
          </w:p>
        </w:tc>
        <w:tc>
          <w:tcPr>
            <w:tcW w:w="1144" w:type="dxa"/>
            <w:tcBorders>
              <w:top w:val="nil"/>
              <w:left w:val="nil"/>
              <w:bottom w:val="nil"/>
              <w:right w:val="nil"/>
            </w:tcBorders>
            <w:shd w:val="clear" w:color="auto" w:fill="auto"/>
            <w:noWrap/>
            <w:vAlign w:val="center"/>
            <w:hideMark/>
          </w:tcPr>
          <w:p w14:paraId="327B6776" w14:textId="77777777" w:rsidR="008A1E55" w:rsidRPr="00257DF7" w:rsidRDefault="008A1E55" w:rsidP="00E16CAE">
            <w:pPr>
              <w:jc w:val="right"/>
              <w:rPr>
                <w:sz w:val="19"/>
                <w:szCs w:val="19"/>
              </w:rPr>
            </w:pPr>
            <w:r w:rsidRPr="00257DF7">
              <w:rPr>
                <w:sz w:val="19"/>
                <w:szCs w:val="19"/>
              </w:rPr>
              <w:t>57,367</w:t>
            </w:r>
          </w:p>
        </w:tc>
        <w:tc>
          <w:tcPr>
            <w:tcW w:w="836" w:type="dxa"/>
            <w:tcBorders>
              <w:top w:val="nil"/>
              <w:left w:val="nil"/>
              <w:bottom w:val="nil"/>
              <w:right w:val="nil"/>
            </w:tcBorders>
            <w:shd w:val="clear" w:color="auto" w:fill="auto"/>
            <w:noWrap/>
            <w:vAlign w:val="center"/>
            <w:hideMark/>
          </w:tcPr>
          <w:p w14:paraId="433CE9F8" w14:textId="77777777" w:rsidR="008A1E55" w:rsidRPr="00257DF7" w:rsidRDefault="008A1E55" w:rsidP="00E16CAE">
            <w:pPr>
              <w:jc w:val="right"/>
              <w:rPr>
                <w:sz w:val="19"/>
                <w:szCs w:val="19"/>
              </w:rPr>
            </w:pPr>
            <w:r w:rsidRPr="00257DF7">
              <w:rPr>
                <w:sz w:val="19"/>
                <w:szCs w:val="19"/>
              </w:rPr>
              <w:t>0.7</w:t>
            </w:r>
          </w:p>
        </w:tc>
        <w:tc>
          <w:tcPr>
            <w:tcW w:w="1144" w:type="dxa"/>
            <w:tcBorders>
              <w:top w:val="nil"/>
              <w:left w:val="nil"/>
              <w:bottom w:val="nil"/>
              <w:right w:val="nil"/>
            </w:tcBorders>
            <w:shd w:val="clear" w:color="auto" w:fill="auto"/>
            <w:noWrap/>
            <w:vAlign w:val="center"/>
            <w:hideMark/>
          </w:tcPr>
          <w:p w14:paraId="12E897A1" w14:textId="77777777" w:rsidR="008A1E55" w:rsidRPr="00257DF7" w:rsidRDefault="008A1E55" w:rsidP="00E16CAE">
            <w:pPr>
              <w:jc w:val="right"/>
              <w:rPr>
                <w:sz w:val="19"/>
                <w:szCs w:val="19"/>
              </w:rPr>
            </w:pPr>
            <w:r w:rsidRPr="00257DF7">
              <w:rPr>
                <w:sz w:val="19"/>
                <w:szCs w:val="19"/>
              </w:rPr>
              <w:t>56,679</w:t>
            </w:r>
          </w:p>
        </w:tc>
        <w:tc>
          <w:tcPr>
            <w:tcW w:w="836" w:type="dxa"/>
            <w:tcBorders>
              <w:top w:val="nil"/>
              <w:left w:val="nil"/>
              <w:bottom w:val="nil"/>
              <w:right w:val="nil"/>
            </w:tcBorders>
            <w:shd w:val="clear" w:color="auto" w:fill="auto"/>
            <w:noWrap/>
            <w:vAlign w:val="center"/>
            <w:hideMark/>
          </w:tcPr>
          <w:p w14:paraId="000DA860" w14:textId="77777777" w:rsidR="008A1E55" w:rsidRPr="00257DF7" w:rsidRDefault="008A1E55" w:rsidP="00E16CAE">
            <w:pPr>
              <w:jc w:val="right"/>
              <w:rPr>
                <w:sz w:val="19"/>
                <w:szCs w:val="19"/>
              </w:rPr>
            </w:pPr>
            <w:r w:rsidRPr="00257DF7">
              <w:rPr>
                <w:sz w:val="19"/>
                <w:szCs w:val="19"/>
              </w:rPr>
              <w:t>0.7</w:t>
            </w:r>
          </w:p>
        </w:tc>
        <w:tc>
          <w:tcPr>
            <w:tcW w:w="972" w:type="dxa"/>
            <w:tcBorders>
              <w:top w:val="nil"/>
              <w:left w:val="nil"/>
              <w:bottom w:val="nil"/>
              <w:right w:val="nil"/>
            </w:tcBorders>
            <w:shd w:val="clear" w:color="auto" w:fill="auto"/>
            <w:noWrap/>
            <w:vAlign w:val="center"/>
            <w:hideMark/>
          </w:tcPr>
          <w:p w14:paraId="270116C9" w14:textId="77777777" w:rsidR="008A1E55" w:rsidRPr="00257DF7" w:rsidRDefault="008A1E55" w:rsidP="00E16CAE">
            <w:pPr>
              <w:jc w:val="right"/>
              <w:rPr>
                <w:sz w:val="19"/>
                <w:szCs w:val="19"/>
              </w:rPr>
            </w:pPr>
            <w:r w:rsidRPr="00257DF7">
              <w:rPr>
                <w:sz w:val="19"/>
                <w:szCs w:val="19"/>
              </w:rPr>
              <w:t>688</w:t>
            </w:r>
          </w:p>
        </w:tc>
        <w:tc>
          <w:tcPr>
            <w:tcW w:w="848" w:type="dxa"/>
            <w:tcBorders>
              <w:top w:val="nil"/>
              <w:left w:val="nil"/>
              <w:bottom w:val="nil"/>
              <w:right w:val="nil"/>
            </w:tcBorders>
            <w:shd w:val="clear" w:color="auto" w:fill="auto"/>
            <w:noWrap/>
            <w:vAlign w:val="center"/>
            <w:hideMark/>
          </w:tcPr>
          <w:p w14:paraId="6FD3E16E" w14:textId="77777777" w:rsidR="008A1E55" w:rsidRPr="00257DF7" w:rsidRDefault="008A1E55" w:rsidP="00E16CAE">
            <w:pPr>
              <w:jc w:val="right"/>
              <w:rPr>
                <w:sz w:val="19"/>
                <w:szCs w:val="19"/>
              </w:rPr>
            </w:pPr>
            <w:r w:rsidRPr="00257DF7">
              <w:rPr>
                <w:sz w:val="19"/>
                <w:szCs w:val="19"/>
              </w:rPr>
              <w:t>0.4</w:t>
            </w:r>
          </w:p>
        </w:tc>
      </w:tr>
      <w:tr w:rsidR="006B42D6" w:rsidRPr="00257DF7" w14:paraId="3840C72F" w14:textId="77777777" w:rsidTr="00E16CAE">
        <w:trPr>
          <w:trHeight w:val="283"/>
        </w:trPr>
        <w:tc>
          <w:tcPr>
            <w:tcW w:w="2680" w:type="dxa"/>
            <w:tcBorders>
              <w:top w:val="nil"/>
              <w:left w:val="nil"/>
              <w:bottom w:val="nil"/>
              <w:right w:val="nil"/>
            </w:tcBorders>
            <w:shd w:val="clear" w:color="auto" w:fill="auto"/>
            <w:vAlign w:val="center"/>
            <w:hideMark/>
          </w:tcPr>
          <w:p w14:paraId="6A06A77D" w14:textId="77777777" w:rsidR="008A1E55" w:rsidRPr="00257DF7" w:rsidRDefault="008A1E55" w:rsidP="00E16CAE">
            <w:pPr>
              <w:rPr>
                <w:sz w:val="19"/>
                <w:szCs w:val="19"/>
              </w:rPr>
            </w:pPr>
            <w:r w:rsidRPr="00257DF7">
              <w:rPr>
                <w:sz w:val="19"/>
                <w:szCs w:val="19"/>
              </w:rPr>
              <w:t>Gas (Industrial)</w:t>
            </w:r>
          </w:p>
        </w:tc>
        <w:tc>
          <w:tcPr>
            <w:tcW w:w="1144" w:type="dxa"/>
            <w:tcBorders>
              <w:top w:val="nil"/>
              <w:left w:val="nil"/>
              <w:bottom w:val="nil"/>
              <w:right w:val="nil"/>
            </w:tcBorders>
            <w:shd w:val="clear" w:color="auto" w:fill="auto"/>
            <w:noWrap/>
            <w:vAlign w:val="center"/>
            <w:hideMark/>
          </w:tcPr>
          <w:p w14:paraId="1C545BC0" w14:textId="77777777" w:rsidR="008A1E55" w:rsidRPr="00257DF7" w:rsidRDefault="008A1E55" w:rsidP="00E16CAE">
            <w:pPr>
              <w:jc w:val="right"/>
              <w:rPr>
                <w:sz w:val="19"/>
                <w:szCs w:val="19"/>
              </w:rPr>
            </w:pPr>
            <w:r w:rsidRPr="00257DF7">
              <w:rPr>
                <w:sz w:val="19"/>
                <w:szCs w:val="19"/>
              </w:rPr>
              <w:t>181,193</w:t>
            </w:r>
          </w:p>
        </w:tc>
        <w:tc>
          <w:tcPr>
            <w:tcW w:w="836" w:type="dxa"/>
            <w:tcBorders>
              <w:top w:val="nil"/>
              <w:left w:val="nil"/>
              <w:bottom w:val="nil"/>
              <w:right w:val="nil"/>
            </w:tcBorders>
            <w:shd w:val="clear" w:color="auto" w:fill="auto"/>
            <w:noWrap/>
            <w:vAlign w:val="center"/>
            <w:hideMark/>
          </w:tcPr>
          <w:p w14:paraId="6B509975" w14:textId="77777777" w:rsidR="008A1E55" w:rsidRPr="00257DF7" w:rsidRDefault="008A1E55" w:rsidP="00E16CAE">
            <w:pPr>
              <w:jc w:val="right"/>
              <w:rPr>
                <w:sz w:val="19"/>
                <w:szCs w:val="19"/>
              </w:rPr>
            </w:pPr>
            <w:r w:rsidRPr="00257DF7">
              <w:rPr>
                <w:sz w:val="19"/>
                <w:szCs w:val="19"/>
              </w:rPr>
              <w:t>2.3</w:t>
            </w:r>
          </w:p>
        </w:tc>
        <w:tc>
          <w:tcPr>
            <w:tcW w:w="1144" w:type="dxa"/>
            <w:tcBorders>
              <w:top w:val="nil"/>
              <w:left w:val="nil"/>
              <w:bottom w:val="nil"/>
              <w:right w:val="nil"/>
            </w:tcBorders>
            <w:shd w:val="clear" w:color="auto" w:fill="auto"/>
            <w:noWrap/>
            <w:vAlign w:val="center"/>
            <w:hideMark/>
          </w:tcPr>
          <w:p w14:paraId="0E1C0D00" w14:textId="77777777" w:rsidR="008A1E55" w:rsidRPr="00257DF7" w:rsidRDefault="008A1E55" w:rsidP="00E16CAE">
            <w:pPr>
              <w:jc w:val="right"/>
              <w:rPr>
                <w:sz w:val="19"/>
                <w:szCs w:val="19"/>
              </w:rPr>
            </w:pPr>
            <w:r w:rsidRPr="00257DF7">
              <w:rPr>
                <w:sz w:val="19"/>
                <w:szCs w:val="19"/>
              </w:rPr>
              <w:t>178,543</w:t>
            </w:r>
          </w:p>
        </w:tc>
        <w:tc>
          <w:tcPr>
            <w:tcW w:w="836" w:type="dxa"/>
            <w:tcBorders>
              <w:top w:val="nil"/>
              <w:left w:val="nil"/>
              <w:bottom w:val="nil"/>
              <w:right w:val="nil"/>
            </w:tcBorders>
            <w:shd w:val="clear" w:color="auto" w:fill="auto"/>
            <w:noWrap/>
            <w:vAlign w:val="center"/>
            <w:hideMark/>
          </w:tcPr>
          <w:p w14:paraId="652B7743" w14:textId="77777777" w:rsidR="008A1E55" w:rsidRPr="00257DF7" w:rsidRDefault="008A1E55" w:rsidP="00E16CAE">
            <w:pPr>
              <w:jc w:val="right"/>
              <w:rPr>
                <w:sz w:val="19"/>
                <w:szCs w:val="19"/>
              </w:rPr>
            </w:pPr>
            <w:r w:rsidRPr="00257DF7">
              <w:rPr>
                <w:sz w:val="19"/>
                <w:szCs w:val="19"/>
              </w:rPr>
              <w:t>2.3</w:t>
            </w:r>
          </w:p>
        </w:tc>
        <w:tc>
          <w:tcPr>
            <w:tcW w:w="972" w:type="dxa"/>
            <w:tcBorders>
              <w:top w:val="nil"/>
              <w:left w:val="nil"/>
              <w:bottom w:val="nil"/>
              <w:right w:val="nil"/>
            </w:tcBorders>
            <w:shd w:val="clear" w:color="auto" w:fill="auto"/>
            <w:noWrap/>
            <w:vAlign w:val="center"/>
            <w:hideMark/>
          </w:tcPr>
          <w:p w14:paraId="4F8B435E" w14:textId="77777777" w:rsidR="008A1E55" w:rsidRPr="00257DF7" w:rsidRDefault="008A1E55" w:rsidP="00E16CAE">
            <w:pPr>
              <w:jc w:val="right"/>
              <w:rPr>
                <w:sz w:val="19"/>
                <w:szCs w:val="19"/>
              </w:rPr>
            </w:pPr>
            <w:r w:rsidRPr="00257DF7">
              <w:rPr>
                <w:sz w:val="19"/>
                <w:szCs w:val="19"/>
              </w:rPr>
              <w:t>2,650</w:t>
            </w:r>
          </w:p>
        </w:tc>
        <w:tc>
          <w:tcPr>
            <w:tcW w:w="848" w:type="dxa"/>
            <w:tcBorders>
              <w:top w:val="nil"/>
              <w:left w:val="nil"/>
              <w:bottom w:val="nil"/>
              <w:right w:val="nil"/>
            </w:tcBorders>
            <w:shd w:val="clear" w:color="auto" w:fill="auto"/>
            <w:noWrap/>
            <w:vAlign w:val="center"/>
            <w:hideMark/>
          </w:tcPr>
          <w:p w14:paraId="2CA45AEB" w14:textId="77777777" w:rsidR="008A1E55" w:rsidRPr="00257DF7" w:rsidRDefault="008A1E55" w:rsidP="00E16CAE">
            <w:pPr>
              <w:jc w:val="right"/>
              <w:rPr>
                <w:sz w:val="19"/>
                <w:szCs w:val="19"/>
              </w:rPr>
            </w:pPr>
            <w:r w:rsidRPr="00257DF7">
              <w:rPr>
                <w:sz w:val="19"/>
                <w:szCs w:val="19"/>
              </w:rPr>
              <w:t>1.5</w:t>
            </w:r>
          </w:p>
        </w:tc>
      </w:tr>
      <w:tr w:rsidR="006B42D6" w:rsidRPr="00257DF7" w14:paraId="667CACAB" w14:textId="77777777" w:rsidTr="00E16CAE">
        <w:trPr>
          <w:trHeight w:val="283"/>
        </w:trPr>
        <w:tc>
          <w:tcPr>
            <w:tcW w:w="2680" w:type="dxa"/>
            <w:tcBorders>
              <w:top w:val="nil"/>
              <w:left w:val="nil"/>
              <w:bottom w:val="nil"/>
              <w:right w:val="nil"/>
            </w:tcBorders>
            <w:shd w:val="clear" w:color="auto" w:fill="auto"/>
            <w:vAlign w:val="center"/>
            <w:hideMark/>
          </w:tcPr>
          <w:p w14:paraId="28261970" w14:textId="77777777" w:rsidR="008A1E55" w:rsidRPr="00257DF7" w:rsidRDefault="008A1E55" w:rsidP="00E16CAE">
            <w:pPr>
              <w:rPr>
                <w:sz w:val="19"/>
                <w:szCs w:val="19"/>
              </w:rPr>
            </w:pPr>
            <w:r w:rsidRPr="00257DF7">
              <w:rPr>
                <w:sz w:val="19"/>
                <w:szCs w:val="19"/>
              </w:rPr>
              <w:t>Paraffin/kerosene</w:t>
            </w:r>
          </w:p>
        </w:tc>
        <w:tc>
          <w:tcPr>
            <w:tcW w:w="1144" w:type="dxa"/>
            <w:tcBorders>
              <w:top w:val="nil"/>
              <w:left w:val="nil"/>
              <w:bottom w:val="nil"/>
              <w:right w:val="nil"/>
            </w:tcBorders>
            <w:shd w:val="clear" w:color="auto" w:fill="auto"/>
            <w:noWrap/>
            <w:vAlign w:val="center"/>
            <w:hideMark/>
          </w:tcPr>
          <w:p w14:paraId="58AA9C7A" w14:textId="77777777" w:rsidR="008A1E55" w:rsidRPr="00257DF7" w:rsidRDefault="008A1E55" w:rsidP="00E16CAE">
            <w:pPr>
              <w:jc w:val="right"/>
              <w:rPr>
                <w:sz w:val="19"/>
                <w:szCs w:val="19"/>
              </w:rPr>
            </w:pPr>
            <w:r w:rsidRPr="00257DF7">
              <w:rPr>
                <w:sz w:val="19"/>
                <w:szCs w:val="19"/>
              </w:rPr>
              <w:t>5,608</w:t>
            </w:r>
          </w:p>
        </w:tc>
        <w:tc>
          <w:tcPr>
            <w:tcW w:w="836" w:type="dxa"/>
            <w:tcBorders>
              <w:top w:val="nil"/>
              <w:left w:val="nil"/>
              <w:bottom w:val="nil"/>
              <w:right w:val="nil"/>
            </w:tcBorders>
            <w:shd w:val="clear" w:color="auto" w:fill="auto"/>
            <w:noWrap/>
            <w:vAlign w:val="center"/>
            <w:hideMark/>
          </w:tcPr>
          <w:p w14:paraId="2441D667" w14:textId="77777777" w:rsidR="008A1E55" w:rsidRPr="00257DF7" w:rsidRDefault="008A1E55" w:rsidP="00E16CAE">
            <w:pPr>
              <w:jc w:val="right"/>
              <w:rPr>
                <w:sz w:val="19"/>
                <w:szCs w:val="19"/>
              </w:rPr>
            </w:pPr>
            <w:r w:rsidRPr="00257DF7">
              <w:rPr>
                <w:sz w:val="19"/>
                <w:szCs w:val="19"/>
              </w:rPr>
              <w:t>0.1</w:t>
            </w:r>
          </w:p>
        </w:tc>
        <w:tc>
          <w:tcPr>
            <w:tcW w:w="1144" w:type="dxa"/>
            <w:tcBorders>
              <w:top w:val="nil"/>
              <w:left w:val="nil"/>
              <w:bottom w:val="nil"/>
              <w:right w:val="nil"/>
            </w:tcBorders>
            <w:shd w:val="clear" w:color="auto" w:fill="auto"/>
            <w:noWrap/>
            <w:vAlign w:val="center"/>
            <w:hideMark/>
          </w:tcPr>
          <w:p w14:paraId="0CCAFE58" w14:textId="77777777" w:rsidR="008A1E55" w:rsidRPr="00257DF7" w:rsidRDefault="008A1E55" w:rsidP="00E16CAE">
            <w:pPr>
              <w:jc w:val="right"/>
              <w:rPr>
                <w:sz w:val="19"/>
                <w:szCs w:val="19"/>
              </w:rPr>
            </w:pPr>
            <w:r w:rsidRPr="00257DF7">
              <w:rPr>
                <w:sz w:val="19"/>
                <w:szCs w:val="19"/>
              </w:rPr>
              <w:t>5,143</w:t>
            </w:r>
          </w:p>
        </w:tc>
        <w:tc>
          <w:tcPr>
            <w:tcW w:w="836" w:type="dxa"/>
            <w:tcBorders>
              <w:top w:val="nil"/>
              <w:left w:val="nil"/>
              <w:bottom w:val="nil"/>
              <w:right w:val="nil"/>
            </w:tcBorders>
            <w:shd w:val="clear" w:color="auto" w:fill="auto"/>
            <w:noWrap/>
            <w:vAlign w:val="center"/>
            <w:hideMark/>
          </w:tcPr>
          <w:p w14:paraId="628C3009" w14:textId="77777777" w:rsidR="008A1E55" w:rsidRPr="00257DF7" w:rsidRDefault="008A1E55" w:rsidP="00E16CAE">
            <w:pPr>
              <w:jc w:val="right"/>
              <w:rPr>
                <w:sz w:val="19"/>
                <w:szCs w:val="19"/>
              </w:rPr>
            </w:pPr>
            <w:r w:rsidRPr="00257DF7">
              <w:rPr>
                <w:sz w:val="19"/>
                <w:szCs w:val="19"/>
              </w:rPr>
              <w:t>0.1</w:t>
            </w:r>
          </w:p>
        </w:tc>
        <w:tc>
          <w:tcPr>
            <w:tcW w:w="972" w:type="dxa"/>
            <w:tcBorders>
              <w:top w:val="nil"/>
              <w:left w:val="nil"/>
              <w:bottom w:val="nil"/>
              <w:right w:val="nil"/>
            </w:tcBorders>
            <w:shd w:val="clear" w:color="auto" w:fill="auto"/>
            <w:noWrap/>
            <w:vAlign w:val="center"/>
            <w:hideMark/>
          </w:tcPr>
          <w:p w14:paraId="371BC0B5" w14:textId="77777777" w:rsidR="008A1E55" w:rsidRPr="00257DF7" w:rsidRDefault="008A1E55" w:rsidP="00E16CAE">
            <w:pPr>
              <w:jc w:val="right"/>
              <w:rPr>
                <w:sz w:val="19"/>
                <w:szCs w:val="19"/>
              </w:rPr>
            </w:pPr>
            <w:r w:rsidRPr="00257DF7">
              <w:rPr>
                <w:sz w:val="19"/>
                <w:szCs w:val="19"/>
              </w:rPr>
              <w:t>465</w:t>
            </w:r>
          </w:p>
        </w:tc>
        <w:tc>
          <w:tcPr>
            <w:tcW w:w="848" w:type="dxa"/>
            <w:tcBorders>
              <w:top w:val="nil"/>
              <w:left w:val="nil"/>
              <w:bottom w:val="nil"/>
              <w:right w:val="nil"/>
            </w:tcBorders>
            <w:shd w:val="clear" w:color="auto" w:fill="auto"/>
            <w:noWrap/>
            <w:vAlign w:val="center"/>
            <w:hideMark/>
          </w:tcPr>
          <w:p w14:paraId="3EBCA7C3" w14:textId="77777777" w:rsidR="008A1E55" w:rsidRPr="00257DF7" w:rsidRDefault="008A1E55" w:rsidP="00E16CAE">
            <w:pPr>
              <w:jc w:val="right"/>
              <w:rPr>
                <w:sz w:val="19"/>
                <w:szCs w:val="19"/>
              </w:rPr>
            </w:pPr>
            <w:r w:rsidRPr="00257DF7">
              <w:rPr>
                <w:sz w:val="19"/>
                <w:szCs w:val="19"/>
              </w:rPr>
              <w:t>0.3</w:t>
            </w:r>
          </w:p>
        </w:tc>
      </w:tr>
      <w:tr w:rsidR="006B42D6" w:rsidRPr="00257DF7" w14:paraId="79ED84A2" w14:textId="77777777" w:rsidTr="00E16CAE">
        <w:trPr>
          <w:trHeight w:val="283"/>
        </w:trPr>
        <w:tc>
          <w:tcPr>
            <w:tcW w:w="2680" w:type="dxa"/>
            <w:tcBorders>
              <w:top w:val="nil"/>
              <w:left w:val="nil"/>
              <w:bottom w:val="nil"/>
              <w:right w:val="nil"/>
            </w:tcBorders>
            <w:shd w:val="clear" w:color="auto" w:fill="auto"/>
            <w:vAlign w:val="center"/>
            <w:hideMark/>
          </w:tcPr>
          <w:p w14:paraId="57F90B3D" w14:textId="77777777" w:rsidR="008A1E55" w:rsidRPr="00257DF7" w:rsidRDefault="008A1E55" w:rsidP="00E16CAE">
            <w:pPr>
              <w:rPr>
                <w:sz w:val="19"/>
                <w:szCs w:val="19"/>
              </w:rPr>
            </w:pPr>
            <w:r w:rsidRPr="00257DF7">
              <w:rPr>
                <w:sz w:val="19"/>
                <w:szCs w:val="19"/>
              </w:rPr>
              <w:t>Charcoal</w:t>
            </w:r>
          </w:p>
        </w:tc>
        <w:tc>
          <w:tcPr>
            <w:tcW w:w="1144" w:type="dxa"/>
            <w:tcBorders>
              <w:top w:val="nil"/>
              <w:left w:val="nil"/>
              <w:bottom w:val="nil"/>
              <w:right w:val="nil"/>
            </w:tcBorders>
            <w:shd w:val="clear" w:color="auto" w:fill="auto"/>
            <w:noWrap/>
            <w:vAlign w:val="center"/>
            <w:hideMark/>
          </w:tcPr>
          <w:p w14:paraId="08310B50" w14:textId="77777777" w:rsidR="008A1E55" w:rsidRPr="00257DF7" w:rsidRDefault="008A1E55" w:rsidP="00E16CAE">
            <w:pPr>
              <w:jc w:val="right"/>
              <w:rPr>
                <w:sz w:val="19"/>
                <w:szCs w:val="19"/>
              </w:rPr>
            </w:pPr>
            <w:r w:rsidRPr="00257DF7">
              <w:rPr>
                <w:sz w:val="19"/>
                <w:szCs w:val="19"/>
              </w:rPr>
              <w:t>1,170,040</w:t>
            </w:r>
          </w:p>
        </w:tc>
        <w:tc>
          <w:tcPr>
            <w:tcW w:w="836" w:type="dxa"/>
            <w:tcBorders>
              <w:top w:val="nil"/>
              <w:left w:val="nil"/>
              <w:bottom w:val="nil"/>
              <w:right w:val="nil"/>
            </w:tcBorders>
            <w:shd w:val="clear" w:color="auto" w:fill="auto"/>
            <w:noWrap/>
            <w:vAlign w:val="center"/>
            <w:hideMark/>
          </w:tcPr>
          <w:p w14:paraId="5C8BC1F8" w14:textId="77777777" w:rsidR="008A1E55" w:rsidRPr="00257DF7" w:rsidRDefault="008A1E55" w:rsidP="00E16CAE">
            <w:pPr>
              <w:jc w:val="right"/>
              <w:rPr>
                <w:sz w:val="19"/>
                <w:szCs w:val="19"/>
              </w:rPr>
            </w:pPr>
            <w:r w:rsidRPr="00257DF7">
              <w:rPr>
                <w:sz w:val="19"/>
                <w:szCs w:val="19"/>
              </w:rPr>
              <w:t>14.9</w:t>
            </w:r>
          </w:p>
        </w:tc>
        <w:tc>
          <w:tcPr>
            <w:tcW w:w="1144" w:type="dxa"/>
            <w:tcBorders>
              <w:top w:val="nil"/>
              <w:left w:val="nil"/>
              <w:bottom w:val="nil"/>
              <w:right w:val="nil"/>
            </w:tcBorders>
            <w:shd w:val="clear" w:color="auto" w:fill="auto"/>
            <w:noWrap/>
            <w:vAlign w:val="center"/>
            <w:hideMark/>
          </w:tcPr>
          <w:p w14:paraId="789D32FD" w14:textId="77777777" w:rsidR="008A1E55" w:rsidRPr="00257DF7" w:rsidRDefault="008A1E55" w:rsidP="00E16CAE">
            <w:pPr>
              <w:jc w:val="right"/>
              <w:rPr>
                <w:sz w:val="19"/>
                <w:szCs w:val="19"/>
              </w:rPr>
            </w:pPr>
            <w:r w:rsidRPr="00257DF7">
              <w:rPr>
                <w:sz w:val="19"/>
                <w:szCs w:val="19"/>
              </w:rPr>
              <w:t>1,146,838</w:t>
            </w:r>
          </w:p>
        </w:tc>
        <w:tc>
          <w:tcPr>
            <w:tcW w:w="836" w:type="dxa"/>
            <w:tcBorders>
              <w:top w:val="nil"/>
              <w:left w:val="nil"/>
              <w:bottom w:val="nil"/>
              <w:right w:val="nil"/>
            </w:tcBorders>
            <w:shd w:val="clear" w:color="auto" w:fill="auto"/>
            <w:noWrap/>
            <w:vAlign w:val="center"/>
            <w:hideMark/>
          </w:tcPr>
          <w:p w14:paraId="41BA0354" w14:textId="77777777" w:rsidR="008A1E55" w:rsidRPr="00257DF7" w:rsidRDefault="008A1E55" w:rsidP="00E16CAE">
            <w:pPr>
              <w:jc w:val="right"/>
              <w:rPr>
                <w:sz w:val="19"/>
                <w:szCs w:val="19"/>
              </w:rPr>
            </w:pPr>
            <w:r w:rsidRPr="00257DF7">
              <w:rPr>
                <w:sz w:val="19"/>
                <w:szCs w:val="19"/>
              </w:rPr>
              <w:t>15.0</w:t>
            </w:r>
          </w:p>
        </w:tc>
        <w:tc>
          <w:tcPr>
            <w:tcW w:w="972" w:type="dxa"/>
            <w:tcBorders>
              <w:top w:val="nil"/>
              <w:left w:val="nil"/>
              <w:bottom w:val="nil"/>
              <w:right w:val="nil"/>
            </w:tcBorders>
            <w:shd w:val="clear" w:color="auto" w:fill="auto"/>
            <w:noWrap/>
            <w:vAlign w:val="center"/>
            <w:hideMark/>
          </w:tcPr>
          <w:p w14:paraId="181E8B41" w14:textId="77777777" w:rsidR="008A1E55" w:rsidRPr="00257DF7" w:rsidRDefault="008A1E55" w:rsidP="00E16CAE">
            <w:pPr>
              <w:jc w:val="right"/>
              <w:rPr>
                <w:sz w:val="19"/>
                <w:szCs w:val="19"/>
              </w:rPr>
            </w:pPr>
            <w:r w:rsidRPr="00257DF7">
              <w:rPr>
                <w:sz w:val="19"/>
                <w:szCs w:val="19"/>
              </w:rPr>
              <w:t>23,202</w:t>
            </w:r>
          </w:p>
        </w:tc>
        <w:tc>
          <w:tcPr>
            <w:tcW w:w="848" w:type="dxa"/>
            <w:tcBorders>
              <w:top w:val="nil"/>
              <w:left w:val="nil"/>
              <w:bottom w:val="nil"/>
              <w:right w:val="nil"/>
            </w:tcBorders>
            <w:shd w:val="clear" w:color="auto" w:fill="auto"/>
            <w:noWrap/>
            <w:vAlign w:val="center"/>
            <w:hideMark/>
          </w:tcPr>
          <w:p w14:paraId="66D0F901" w14:textId="77777777" w:rsidR="008A1E55" w:rsidRPr="00257DF7" w:rsidRDefault="008A1E55" w:rsidP="00E16CAE">
            <w:pPr>
              <w:jc w:val="right"/>
              <w:rPr>
                <w:sz w:val="19"/>
                <w:szCs w:val="19"/>
              </w:rPr>
            </w:pPr>
            <w:r w:rsidRPr="00257DF7">
              <w:rPr>
                <w:sz w:val="19"/>
                <w:szCs w:val="19"/>
              </w:rPr>
              <w:t>12.9</w:t>
            </w:r>
          </w:p>
        </w:tc>
      </w:tr>
      <w:tr w:rsidR="006B42D6" w:rsidRPr="00257DF7" w14:paraId="206694AF" w14:textId="77777777" w:rsidTr="00E16CAE">
        <w:trPr>
          <w:trHeight w:val="283"/>
        </w:trPr>
        <w:tc>
          <w:tcPr>
            <w:tcW w:w="2680" w:type="dxa"/>
            <w:tcBorders>
              <w:top w:val="nil"/>
              <w:left w:val="nil"/>
              <w:bottom w:val="nil"/>
              <w:right w:val="nil"/>
            </w:tcBorders>
            <w:shd w:val="clear" w:color="auto" w:fill="auto"/>
            <w:vAlign w:val="center"/>
            <w:hideMark/>
          </w:tcPr>
          <w:p w14:paraId="280642EC" w14:textId="77777777" w:rsidR="008A1E55" w:rsidRPr="00257DF7" w:rsidRDefault="008A1E55" w:rsidP="00E16CAE">
            <w:pPr>
              <w:rPr>
                <w:sz w:val="19"/>
                <w:szCs w:val="19"/>
              </w:rPr>
            </w:pPr>
            <w:r w:rsidRPr="00257DF7">
              <w:rPr>
                <w:sz w:val="19"/>
                <w:szCs w:val="19"/>
              </w:rPr>
              <w:t>Firewood</w:t>
            </w:r>
          </w:p>
        </w:tc>
        <w:tc>
          <w:tcPr>
            <w:tcW w:w="1144" w:type="dxa"/>
            <w:tcBorders>
              <w:top w:val="nil"/>
              <w:left w:val="nil"/>
              <w:bottom w:val="nil"/>
              <w:right w:val="nil"/>
            </w:tcBorders>
            <w:shd w:val="clear" w:color="auto" w:fill="auto"/>
            <w:noWrap/>
            <w:vAlign w:val="center"/>
            <w:hideMark/>
          </w:tcPr>
          <w:p w14:paraId="13422C2E" w14:textId="77777777" w:rsidR="008A1E55" w:rsidRPr="00257DF7" w:rsidRDefault="008A1E55" w:rsidP="00E16CAE">
            <w:pPr>
              <w:jc w:val="right"/>
              <w:rPr>
                <w:sz w:val="19"/>
                <w:szCs w:val="19"/>
              </w:rPr>
            </w:pPr>
            <w:r w:rsidRPr="00257DF7">
              <w:rPr>
                <w:sz w:val="19"/>
                <w:szCs w:val="19"/>
              </w:rPr>
              <w:t>6,324,643</w:t>
            </w:r>
          </w:p>
        </w:tc>
        <w:tc>
          <w:tcPr>
            <w:tcW w:w="836" w:type="dxa"/>
            <w:tcBorders>
              <w:top w:val="nil"/>
              <w:left w:val="nil"/>
              <w:bottom w:val="nil"/>
              <w:right w:val="nil"/>
            </w:tcBorders>
            <w:shd w:val="clear" w:color="auto" w:fill="auto"/>
            <w:noWrap/>
            <w:vAlign w:val="center"/>
            <w:hideMark/>
          </w:tcPr>
          <w:p w14:paraId="6CA5AF62" w14:textId="77777777" w:rsidR="008A1E55" w:rsidRPr="00257DF7" w:rsidRDefault="008A1E55" w:rsidP="00E16CAE">
            <w:pPr>
              <w:jc w:val="right"/>
              <w:rPr>
                <w:sz w:val="19"/>
                <w:szCs w:val="19"/>
              </w:rPr>
            </w:pPr>
            <w:r w:rsidRPr="00257DF7">
              <w:rPr>
                <w:sz w:val="19"/>
                <w:szCs w:val="19"/>
              </w:rPr>
              <w:t>80.7</w:t>
            </w:r>
          </w:p>
        </w:tc>
        <w:tc>
          <w:tcPr>
            <w:tcW w:w="1144" w:type="dxa"/>
            <w:tcBorders>
              <w:top w:val="nil"/>
              <w:left w:val="nil"/>
              <w:bottom w:val="nil"/>
              <w:right w:val="nil"/>
            </w:tcBorders>
            <w:shd w:val="clear" w:color="auto" w:fill="auto"/>
            <w:noWrap/>
            <w:vAlign w:val="center"/>
            <w:hideMark/>
          </w:tcPr>
          <w:p w14:paraId="2B46382A" w14:textId="77777777" w:rsidR="008A1E55" w:rsidRPr="00257DF7" w:rsidRDefault="008A1E55" w:rsidP="00E16CAE">
            <w:pPr>
              <w:jc w:val="right"/>
              <w:rPr>
                <w:sz w:val="19"/>
                <w:szCs w:val="19"/>
              </w:rPr>
            </w:pPr>
            <w:r w:rsidRPr="00257DF7">
              <w:rPr>
                <w:sz w:val="19"/>
                <w:szCs w:val="19"/>
              </w:rPr>
              <w:t>6,172,984</w:t>
            </w:r>
          </w:p>
        </w:tc>
        <w:tc>
          <w:tcPr>
            <w:tcW w:w="836" w:type="dxa"/>
            <w:tcBorders>
              <w:top w:val="nil"/>
              <w:left w:val="nil"/>
              <w:bottom w:val="nil"/>
              <w:right w:val="nil"/>
            </w:tcBorders>
            <w:shd w:val="clear" w:color="auto" w:fill="auto"/>
            <w:noWrap/>
            <w:vAlign w:val="center"/>
            <w:hideMark/>
          </w:tcPr>
          <w:p w14:paraId="3FE57CF3" w14:textId="77777777" w:rsidR="008A1E55" w:rsidRPr="00257DF7" w:rsidRDefault="008A1E55" w:rsidP="00E16CAE">
            <w:pPr>
              <w:jc w:val="right"/>
              <w:rPr>
                <w:sz w:val="19"/>
                <w:szCs w:val="19"/>
              </w:rPr>
            </w:pPr>
            <w:r w:rsidRPr="00257DF7">
              <w:rPr>
                <w:sz w:val="19"/>
                <w:szCs w:val="19"/>
              </w:rPr>
              <w:t>80.6</w:t>
            </w:r>
          </w:p>
        </w:tc>
        <w:tc>
          <w:tcPr>
            <w:tcW w:w="972" w:type="dxa"/>
            <w:tcBorders>
              <w:top w:val="nil"/>
              <w:left w:val="nil"/>
              <w:bottom w:val="nil"/>
              <w:right w:val="nil"/>
            </w:tcBorders>
            <w:shd w:val="clear" w:color="auto" w:fill="auto"/>
            <w:noWrap/>
            <w:vAlign w:val="center"/>
            <w:hideMark/>
          </w:tcPr>
          <w:p w14:paraId="61F73A03" w14:textId="77777777" w:rsidR="008A1E55" w:rsidRPr="00257DF7" w:rsidRDefault="008A1E55" w:rsidP="00E16CAE">
            <w:pPr>
              <w:jc w:val="right"/>
              <w:rPr>
                <w:sz w:val="19"/>
                <w:szCs w:val="19"/>
              </w:rPr>
            </w:pPr>
            <w:r w:rsidRPr="00257DF7">
              <w:rPr>
                <w:sz w:val="19"/>
                <w:szCs w:val="19"/>
              </w:rPr>
              <w:t>151,659</w:t>
            </w:r>
          </w:p>
        </w:tc>
        <w:tc>
          <w:tcPr>
            <w:tcW w:w="848" w:type="dxa"/>
            <w:tcBorders>
              <w:top w:val="nil"/>
              <w:left w:val="nil"/>
              <w:bottom w:val="nil"/>
              <w:right w:val="nil"/>
            </w:tcBorders>
            <w:shd w:val="clear" w:color="auto" w:fill="auto"/>
            <w:noWrap/>
            <w:vAlign w:val="center"/>
            <w:hideMark/>
          </w:tcPr>
          <w:p w14:paraId="647966B8" w14:textId="77777777" w:rsidR="008A1E55" w:rsidRPr="00257DF7" w:rsidRDefault="008A1E55" w:rsidP="00E16CAE">
            <w:pPr>
              <w:jc w:val="right"/>
              <w:rPr>
                <w:sz w:val="19"/>
                <w:szCs w:val="19"/>
              </w:rPr>
            </w:pPr>
            <w:r w:rsidRPr="00257DF7">
              <w:rPr>
                <w:sz w:val="19"/>
                <w:szCs w:val="19"/>
              </w:rPr>
              <w:t>84.2</w:t>
            </w:r>
          </w:p>
        </w:tc>
      </w:tr>
      <w:tr w:rsidR="006B42D6" w:rsidRPr="00257DF7" w14:paraId="23C41055" w14:textId="77777777" w:rsidTr="00E16CAE">
        <w:trPr>
          <w:trHeight w:val="283"/>
        </w:trPr>
        <w:tc>
          <w:tcPr>
            <w:tcW w:w="2680" w:type="dxa"/>
            <w:tcBorders>
              <w:top w:val="nil"/>
              <w:left w:val="nil"/>
              <w:bottom w:val="nil"/>
              <w:right w:val="nil"/>
            </w:tcBorders>
            <w:shd w:val="clear" w:color="auto" w:fill="auto"/>
            <w:vAlign w:val="center"/>
            <w:hideMark/>
          </w:tcPr>
          <w:p w14:paraId="1A62D05F" w14:textId="68C5F390" w:rsidR="008A1E55" w:rsidRPr="00257DF7" w:rsidRDefault="008A1E55" w:rsidP="00E16CAE">
            <w:pPr>
              <w:rPr>
                <w:sz w:val="19"/>
                <w:szCs w:val="19"/>
              </w:rPr>
            </w:pPr>
            <w:r w:rsidRPr="00257DF7">
              <w:rPr>
                <w:sz w:val="19"/>
                <w:szCs w:val="19"/>
              </w:rPr>
              <w:t xml:space="preserve">Crop </w:t>
            </w:r>
            <w:r w:rsidR="00C41AC6" w:rsidRPr="00257DF7">
              <w:rPr>
                <w:sz w:val="19"/>
                <w:szCs w:val="19"/>
              </w:rPr>
              <w:t>residues</w:t>
            </w:r>
          </w:p>
        </w:tc>
        <w:tc>
          <w:tcPr>
            <w:tcW w:w="1144" w:type="dxa"/>
            <w:tcBorders>
              <w:top w:val="nil"/>
              <w:left w:val="nil"/>
              <w:bottom w:val="nil"/>
              <w:right w:val="nil"/>
            </w:tcBorders>
            <w:shd w:val="clear" w:color="auto" w:fill="auto"/>
            <w:noWrap/>
            <w:vAlign w:val="center"/>
            <w:hideMark/>
          </w:tcPr>
          <w:p w14:paraId="5BE09B56" w14:textId="77777777" w:rsidR="008A1E55" w:rsidRPr="00257DF7" w:rsidRDefault="008A1E55" w:rsidP="00E16CAE">
            <w:pPr>
              <w:jc w:val="right"/>
              <w:rPr>
                <w:sz w:val="19"/>
                <w:szCs w:val="19"/>
              </w:rPr>
            </w:pPr>
            <w:r w:rsidRPr="00257DF7">
              <w:rPr>
                <w:sz w:val="19"/>
                <w:szCs w:val="19"/>
              </w:rPr>
              <w:t>12,446</w:t>
            </w:r>
          </w:p>
        </w:tc>
        <w:tc>
          <w:tcPr>
            <w:tcW w:w="836" w:type="dxa"/>
            <w:tcBorders>
              <w:top w:val="nil"/>
              <w:left w:val="nil"/>
              <w:bottom w:val="nil"/>
              <w:right w:val="nil"/>
            </w:tcBorders>
            <w:shd w:val="clear" w:color="auto" w:fill="auto"/>
            <w:noWrap/>
            <w:vAlign w:val="center"/>
            <w:hideMark/>
          </w:tcPr>
          <w:p w14:paraId="52B40F61" w14:textId="77777777" w:rsidR="008A1E55" w:rsidRPr="00257DF7" w:rsidRDefault="008A1E55" w:rsidP="00E16CAE">
            <w:pPr>
              <w:jc w:val="right"/>
              <w:rPr>
                <w:sz w:val="19"/>
                <w:szCs w:val="19"/>
              </w:rPr>
            </w:pPr>
            <w:r w:rsidRPr="00257DF7">
              <w:rPr>
                <w:sz w:val="19"/>
                <w:szCs w:val="19"/>
              </w:rPr>
              <w:t>0.2</w:t>
            </w:r>
          </w:p>
        </w:tc>
        <w:tc>
          <w:tcPr>
            <w:tcW w:w="1144" w:type="dxa"/>
            <w:tcBorders>
              <w:top w:val="nil"/>
              <w:left w:val="nil"/>
              <w:bottom w:val="nil"/>
              <w:right w:val="nil"/>
            </w:tcBorders>
            <w:shd w:val="clear" w:color="auto" w:fill="auto"/>
            <w:noWrap/>
            <w:vAlign w:val="center"/>
            <w:hideMark/>
          </w:tcPr>
          <w:p w14:paraId="60BECD9C" w14:textId="77777777" w:rsidR="008A1E55" w:rsidRPr="00257DF7" w:rsidRDefault="008A1E55" w:rsidP="00E16CAE">
            <w:pPr>
              <w:jc w:val="right"/>
              <w:rPr>
                <w:sz w:val="19"/>
                <w:szCs w:val="19"/>
              </w:rPr>
            </w:pPr>
            <w:r w:rsidRPr="00257DF7">
              <w:rPr>
                <w:sz w:val="19"/>
                <w:szCs w:val="19"/>
              </w:rPr>
              <w:t>12,446</w:t>
            </w:r>
          </w:p>
        </w:tc>
        <w:tc>
          <w:tcPr>
            <w:tcW w:w="836" w:type="dxa"/>
            <w:tcBorders>
              <w:top w:val="nil"/>
              <w:left w:val="nil"/>
              <w:bottom w:val="nil"/>
              <w:right w:val="nil"/>
            </w:tcBorders>
            <w:shd w:val="clear" w:color="auto" w:fill="auto"/>
            <w:noWrap/>
            <w:vAlign w:val="center"/>
            <w:hideMark/>
          </w:tcPr>
          <w:p w14:paraId="12E2BD8E" w14:textId="77777777" w:rsidR="008A1E55" w:rsidRPr="00257DF7" w:rsidRDefault="008A1E55" w:rsidP="00E16CAE">
            <w:pPr>
              <w:jc w:val="right"/>
              <w:rPr>
                <w:sz w:val="19"/>
                <w:szCs w:val="19"/>
              </w:rPr>
            </w:pPr>
            <w:r w:rsidRPr="00257DF7">
              <w:rPr>
                <w:sz w:val="19"/>
                <w:szCs w:val="19"/>
              </w:rPr>
              <w:t>0.2</w:t>
            </w:r>
          </w:p>
        </w:tc>
        <w:tc>
          <w:tcPr>
            <w:tcW w:w="972" w:type="dxa"/>
            <w:tcBorders>
              <w:top w:val="nil"/>
              <w:left w:val="nil"/>
              <w:bottom w:val="nil"/>
              <w:right w:val="nil"/>
            </w:tcBorders>
            <w:shd w:val="clear" w:color="auto" w:fill="auto"/>
            <w:noWrap/>
            <w:vAlign w:val="center"/>
            <w:hideMark/>
          </w:tcPr>
          <w:p w14:paraId="1F8EA8EF" w14:textId="77777777" w:rsidR="008A1E55" w:rsidRPr="00257DF7" w:rsidRDefault="008A1E55" w:rsidP="00E16CAE">
            <w:pPr>
              <w:jc w:val="right"/>
              <w:rPr>
                <w:sz w:val="19"/>
                <w:szCs w:val="19"/>
              </w:rPr>
            </w:pPr>
            <w:r w:rsidRPr="00257DF7">
              <w:rPr>
                <w:sz w:val="19"/>
                <w:szCs w:val="19"/>
              </w:rPr>
              <w:t>-</w:t>
            </w:r>
          </w:p>
        </w:tc>
        <w:tc>
          <w:tcPr>
            <w:tcW w:w="848" w:type="dxa"/>
            <w:tcBorders>
              <w:top w:val="nil"/>
              <w:left w:val="nil"/>
              <w:bottom w:val="nil"/>
              <w:right w:val="nil"/>
            </w:tcBorders>
            <w:shd w:val="clear" w:color="auto" w:fill="auto"/>
            <w:noWrap/>
            <w:vAlign w:val="center"/>
            <w:hideMark/>
          </w:tcPr>
          <w:p w14:paraId="3EF3A314" w14:textId="77777777" w:rsidR="008A1E55" w:rsidRPr="00257DF7" w:rsidRDefault="008A1E55" w:rsidP="00E16CAE">
            <w:pPr>
              <w:jc w:val="right"/>
              <w:rPr>
                <w:sz w:val="19"/>
                <w:szCs w:val="19"/>
              </w:rPr>
            </w:pPr>
            <w:r w:rsidRPr="00257DF7">
              <w:rPr>
                <w:sz w:val="19"/>
                <w:szCs w:val="19"/>
              </w:rPr>
              <w:t>-</w:t>
            </w:r>
          </w:p>
        </w:tc>
      </w:tr>
      <w:tr w:rsidR="006B42D6" w:rsidRPr="00257DF7" w14:paraId="7A054DD1" w14:textId="77777777" w:rsidTr="00E16CAE">
        <w:trPr>
          <w:trHeight w:val="283"/>
        </w:trPr>
        <w:tc>
          <w:tcPr>
            <w:tcW w:w="2680" w:type="dxa"/>
            <w:tcBorders>
              <w:top w:val="nil"/>
              <w:left w:val="nil"/>
              <w:bottom w:val="nil"/>
              <w:right w:val="nil"/>
            </w:tcBorders>
            <w:shd w:val="clear" w:color="auto" w:fill="auto"/>
            <w:vAlign w:val="center"/>
            <w:hideMark/>
          </w:tcPr>
          <w:p w14:paraId="33B34D18" w14:textId="77777777" w:rsidR="008A1E55" w:rsidRPr="00257DF7" w:rsidRDefault="008A1E55" w:rsidP="00E16CAE">
            <w:pPr>
              <w:rPr>
                <w:sz w:val="19"/>
                <w:szCs w:val="19"/>
              </w:rPr>
            </w:pPr>
            <w:r w:rsidRPr="00257DF7">
              <w:rPr>
                <w:sz w:val="19"/>
                <w:szCs w:val="19"/>
              </w:rPr>
              <w:t>Livestock dung</w:t>
            </w:r>
          </w:p>
        </w:tc>
        <w:tc>
          <w:tcPr>
            <w:tcW w:w="1144" w:type="dxa"/>
            <w:tcBorders>
              <w:top w:val="nil"/>
              <w:left w:val="nil"/>
              <w:bottom w:val="nil"/>
              <w:right w:val="nil"/>
            </w:tcBorders>
            <w:shd w:val="clear" w:color="auto" w:fill="auto"/>
            <w:noWrap/>
            <w:vAlign w:val="center"/>
            <w:hideMark/>
          </w:tcPr>
          <w:p w14:paraId="00A15EC0" w14:textId="77777777" w:rsidR="008A1E55" w:rsidRPr="00257DF7" w:rsidRDefault="008A1E55" w:rsidP="00E16CAE">
            <w:pPr>
              <w:jc w:val="right"/>
              <w:rPr>
                <w:sz w:val="19"/>
                <w:szCs w:val="19"/>
              </w:rPr>
            </w:pPr>
            <w:r w:rsidRPr="00257DF7">
              <w:rPr>
                <w:sz w:val="19"/>
                <w:szCs w:val="19"/>
              </w:rPr>
              <w:t>3,303</w:t>
            </w:r>
          </w:p>
        </w:tc>
        <w:tc>
          <w:tcPr>
            <w:tcW w:w="836" w:type="dxa"/>
            <w:tcBorders>
              <w:top w:val="nil"/>
              <w:left w:val="nil"/>
              <w:bottom w:val="nil"/>
              <w:right w:val="nil"/>
            </w:tcBorders>
            <w:shd w:val="clear" w:color="auto" w:fill="auto"/>
            <w:noWrap/>
            <w:vAlign w:val="center"/>
            <w:hideMark/>
          </w:tcPr>
          <w:p w14:paraId="49BC94BC" w14:textId="77777777" w:rsidR="008A1E55" w:rsidRPr="00257DF7" w:rsidRDefault="008A1E55" w:rsidP="00E16CAE">
            <w:pPr>
              <w:jc w:val="right"/>
              <w:rPr>
                <w:sz w:val="19"/>
                <w:szCs w:val="19"/>
              </w:rPr>
            </w:pPr>
            <w:r w:rsidRPr="00257DF7">
              <w:rPr>
                <w:sz w:val="19"/>
                <w:szCs w:val="19"/>
              </w:rPr>
              <w:t>0.04</w:t>
            </w:r>
          </w:p>
        </w:tc>
        <w:tc>
          <w:tcPr>
            <w:tcW w:w="1144" w:type="dxa"/>
            <w:tcBorders>
              <w:top w:val="nil"/>
              <w:left w:val="nil"/>
              <w:bottom w:val="nil"/>
              <w:right w:val="nil"/>
            </w:tcBorders>
            <w:shd w:val="clear" w:color="auto" w:fill="auto"/>
            <w:noWrap/>
            <w:vAlign w:val="center"/>
            <w:hideMark/>
          </w:tcPr>
          <w:p w14:paraId="62A2D7D9" w14:textId="77777777" w:rsidR="008A1E55" w:rsidRPr="00257DF7" w:rsidRDefault="008A1E55" w:rsidP="00E16CAE">
            <w:pPr>
              <w:jc w:val="right"/>
              <w:rPr>
                <w:sz w:val="19"/>
                <w:szCs w:val="19"/>
              </w:rPr>
            </w:pPr>
            <w:r w:rsidRPr="00257DF7">
              <w:rPr>
                <w:sz w:val="19"/>
                <w:szCs w:val="19"/>
              </w:rPr>
              <w:t>3,303</w:t>
            </w:r>
          </w:p>
        </w:tc>
        <w:tc>
          <w:tcPr>
            <w:tcW w:w="836" w:type="dxa"/>
            <w:tcBorders>
              <w:top w:val="nil"/>
              <w:left w:val="nil"/>
              <w:bottom w:val="nil"/>
              <w:right w:val="nil"/>
            </w:tcBorders>
            <w:shd w:val="clear" w:color="auto" w:fill="auto"/>
            <w:noWrap/>
            <w:vAlign w:val="center"/>
            <w:hideMark/>
          </w:tcPr>
          <w:p w14:paraId="1C3F8630" w14:textId="77777777" w:rsidR="008A1E55" w:rsidRPr="00257DF7" w:rsidRDefault="008A1E55" w:rsidP="00E16CAE">
            <w:pPr>
              <w:jc w:val="right"/>
              <w:rPr>
                <w:sz w:val="19"/>
                <w:szCs w:val="19"/>
              </w:rPr>
            </w:pPr>
            <w:r w:rsidRPr="00257DF7">
              <w:rPr>
                <w:sz w:val="19"/>
                <w:szCs w:val="19"/>
              </w:rPr>
              <w:t>-</w:t>
            </w:r>
          </w:p>
        </w:tc>
        <w:tc>
          <w:tcPr>
            <w:tcW w:w="972" w:type="dxa"/>
            <w:tcBorders>
              <w:top w:val="nil"/>
              <w:left w:val="nil"/>
              <w:bottom w:val="nil"/>
              <w:right w:val="nil"/>
            </w:tcBorders>
            <w:shd w:val="clear" w:color="auto" w:fill="auto"/>
            <w:noWrap/>
            <w:vAlign w:val="center"/>
            <w:hideMark/>
          </w:tcPr>
          <w:p w14:paraId="4C0B978F" w14:textId="77777777" w:rsidR="008A1E55" w:rsidRPr="00257DF7" w:rsidRDefault="008A1E55" w:rsidP="00E16CAE">
            <w:pPr>
              <w:jc w:val="right"/>
              <w:rPr>
                <w:sz w:val="19"/>
                <w:szCs w:val="19"/>
              </w:rPr>
            </w:pPr>
            <w:r w:rsidRPr="00257DF7">
              <w:rPr>
                <w:sz w:val="19"/>
                <w:szCs w:val="19"/>
              </w:rPr>
              <w:t>-</w:t>
            </w:r>
          </w:p>
        </w:tc>
        <w:tc>
          <w:tcPr>
            <w:tcW w:w="848" w:type="dxa"/>
            <w:tcBorders>
              <w:top w:val="nil"/>
              <w:left w:val="nil"/>
              <w:bottom w:val="nil"/>
              <w:right w:val="nil"/>
            </w:tcBorders>
            <w:shd w:val="clear" w:color="auto" w:fill="auto"/>
            <w:noWrap/>
            <w:vAlign w:val="center"/>
            <w:hideMark/>
          </w:tcPr>
          <w:p w14:paraId="73C224A9" w14:textId="77777777" w:rsidR="008A1E55" w:rsidRPr="00257DF7" w:rsidRDefault="008A1E55" w:rsidP="00E16CAE">
            <w:pPr>
              <w:jc w:val="right"/>
              <w:rPr>
                <w:sz w:val="19"/>
                <w:szCs w:val="19"/>
              </w:rPr>
            </w:pPr>
            <w:r w:rsidRPr="00257DF7">
              <w:rPr>
                <w:sz w:val="19"/>
                <w:szCs w:val="19"/>
              </w:rPr>
              <w:t>-</w:t>
            </w:r>
          </w:p>
        </w:tc>
      </w:tr>
      <w:tr w:rsidR="006B42D6" w:rsidRPr="00257DF7" w14:paraId="50FAD0E0" w14:textId="77777777" w:rsidTr="00E16CAE">
        <w:trPr>
          <w:trHeight w:val="283"/>
        </w:trPr>
        <w:tc>
          <w:tcPr>
            <w:tcW w:w="2680" w:type="dxa"/>
            <w:tcBorders>
              <w:top w:val="nil"/>
              <w:left w:val="nil"/>
              <w:bottom w:val="nil"/>
              <w:right w:val="nil"/>
            </w:tcBorders>
            <w:shd w:val="clear" w:color="auto" w:fill="auto"/>
            <w:vAlign w:val="center"/>
            <w:hideMark/>
          </w:tcPr>
          <w:p w14:paraId="388756D1" w14:textId="3624D0DE" w:rsidR="008A1E55" w:rsidRPr="00257DF7" w:rsidRDefault="008A1E55" w:rsidP="00E16CAE">
            <w:pPr>
              <w:rPr>
                <w:sz w:val="19"/>
                <w:szCs w:val="19"/>
              </w:rPr>
            </w:pPr>
            <w:r w:rsidRPr="00257DF7">
              <w:rPr>
                <w:sz w:val="19"/>
                <w:szCs w:val="19"/>
              </w:rPr>
              <w:t xml:space="preserve">Natural </w:t>
            </w:r>
            <w:r w:rsidR="00C41AC6">
              <w:rPr>
                <w:sz w:val="19"/>
                <w:szCs w:val="19"/>
              </w:rPr>
              <w:t>g</w:t>
            </w:r>
            <w:r w:rsidRPr="00257DF7">
              <w:rPr>
                <w:sz w:val="19"/>
                <w:szCs w:val="19"/>
              </w:rPr>
              <w:t>as</w:t>
            </w:r>
          </w:p>
        </w:tc>
        <w:tc>
          <w:tcPr>
            <w:tcW w:w="1144" w:type="dxa"/>
            <w:tcBorders>
              <w:top w:val="nil"/>
              <w:left w:val="nil"/>
              <w:bottom w:val="nil"/>
              <w:right w:val="nil"/>
            </w:tcBorders>
            <w:shd w:val="clear" w:color="auto" w:fill="auto"/>
            <w:noWrap/>
            <w:vAlign w:val="center"/>
            <w:hideMark/>
          </w:tcPr>
          <w:p w14:paraId="3B1A6E90" w14:textId="77777777" w:rsidR="008A1E55" w:rsidRPr="00257DF7" w:rsidRDefault="008A1E55" w:rsidP="00E16CAE">
            <w:pPr>
              <w:jc w:val="right"/>
              <w:rPr>
                <w:sz w:val="19"/>
                <w:szCs w:val="19"/>
              </w:rPr>
            </w:pPr>
            <w:r w:rsidRPr="00257DF7">
              <w:rPr>
                <w:sz w:val="19"/>
                <w:szCs w:val="19"/>
              </w:rPr>
              <w:t>-</w:t>
            </w:r>
          </w:p>
        </w:tc>
        <w:tc>
          <w:tcPr>
            <w:tcW w:w="836" w:type="dxa"/>
            <w:tcBorders>
              <w:top w:val="nil"/>
              <w:left w:val="nil"/>
              <w:bottom w:val="nil"/>
              <w:right w:val="nil"/>
            </w:tcBorders>
            <w:shd w:val="clear" w:color="auto" w:fill="auto"/>
            <w:noWrap/>
            <w:vAlign w:val="center"/>
            <w:hideMark/>
          </w:tcPr>
          <w:p w14:paraId="00104D9A" w14:textId="77777777" w:rsidR="008A1E55" w:rsidRPr="00257DF7" w:rsidRDefault="008A1E55" w:rsidP="00E16CAE">
            <w:pPr>
              <w:jc w:val="right"/>
              <w:rPr>
                <w:sz w:val="19"/>
                <w:szCs w:val="19"/>
              </w:rPr>
            </w:pPr>
            <w:r w:rsidRPr="00257DF7">
              <w:rPr>
                <w:sz w:val="19"/>
                <w:szCs w:val="19"/>
              </w:rPr>
              <w:t>-</w:t>
            </w:r>
          </w:p>
        </w:tc>
        <w:tc>
          <w:tcPr>
            <w:tcW w:w="1144" w:type="dxa"/>
            <w:tcBorders>
              <w:top w:val="nil"/>
              <w:left w:val="nil"/>
              <w:bottom w:val="nil"/>
              <w:right w:val="nil"/>
            </w:tcBorders>
            <w:shd w:val="clear" w:color="auto" w:fill="auto"/>
            <w:noWrap/>
            <w:vAlign w:val="center"/>
            <w:hideMark/>
          </w:tcPr>
          <w:p w14:paraId="0C7DC4C5" w14:textId="77777777" w:rsidR="008A1E55" w:rsidRPr="00257DF7" w:rsidRDefault="008A1E55" w:rsidP="00E16CAE">
            <w:pPr>
              <w:jc w:val="right"/>
              <w:rPr>
                <w:sz w:val="19"/>
                <w:szCs w:val="19"/>
              </w:rPr>
            </w:pPr>
            <w:r w:rsidRPr="00257DF7">
              <w:rPr>
                <w:sz w:val="19"/>
                <w:szCs w:val="19"/>
              </w:rPr>
              <w:t>-</w:t>
            </w:r>
          </w:p>
        </w:tc>
        <w:tc>
          <w:tcPr>
            <w:tcW w:w="836" w:type="dxa"/>
            <w:tcBorders>
              <w:top w:val="nil"/>
              <w:left w:val="nil"/>
              <w:bottom w:val="nil"/>
              <w:right w:val="nil"/>
            </w:tcBorders>
            <w:shd w:val="clear" w:color="auto" w:fill="auto"/>
            <w:noWrap/>
            <w:vAlign w:val="center"/>
            <w:hideMark/>
          </w:tcPr>
          <w:p w14:paraId="4FF27968" w14:textId="77777777" w:rsidR="008A1E55" w:rsidRPr="00257DF7" w:rsidRDefault="008A1E55" w:rsidP="00E16CAE">
            <w:pPr>
              <w:jc w:val="right"/>
              <w:rPr>
                <w:sz w:val="19"/>
                <w:szCs w:val="19"/>
              </w:rPr>
            </w:pPr>
            <w:r w:rsidRPr="00257DF7">
              <w:rPr>
                <w:sz w:val="19"/>
                <w:szCs w:val="19"/>
              </w:rPr>
              <w:t>-</w:t>
            </w:r>
          </w:p>
        </w:tc>
        <w:tc>
          <w:tcPr>
            <w:tcW w:w="972" w:type="dxa"/>
            <w:tcBorders>
              <w:top w:val="nil"/>
              <w:left w:val="nil"/>
              <w:bottom w:val="nil"/>
              <w:right w:val="nil"/>
            </w:tcBorders>
            <w:shd w:val="clear" w:color="auto" w:fill="auto"/>
            <w:noWrap/>
            <w:vAlign w:val="center"/>
            <w:hideMark/>
          </w:tcPr>
          <w:p w14:paraId="242868FD" w14:textId="77777777" w:rsidR="008A1E55" w:rsidRPr="00257DF7" w:rsidRDefault="008A1E55" w:rsidP="00E16CAE">
            <w:pPr>
              <w:jc w:val="right"/>
              <w:rPr>
                <w:sz w:val="19"/>
                <w:szCs w:val="19"/>
              </w:rPr>
            </w:pPr>
            <w:r w:rsidRPr="00257DF7">
              <w:rPr>
                <w:sz w:val="19"/>
                <w:szCs w:val="19"/>
              </w:rPr>
              <w:t>-</w:t>
            </w:r>
          </w:p>
        </w:tc>
        <w:tc>
          <w:tcPr>
            <w:tcW w:w="848" w:type="dxa"/>
            <w:tcBorders>
              <w:top w:val="nil"/>
              <w:left w:val="nil"/>
              <w:bottom w:val="nil"/>
              <w:right w:val="nil"/>
            </w:tcBorders>
            <w:shd w:val="clear" w:color="auto" w:fill="auto"/>
            <w:noWrap/>
            <w:vAlign w:val="center"/>
            <w:hideMark/>
          </w:tcPr>
          <w:p w14:paraId="3D5069E2" w14:textId="77777777" w:rsidR="008A1E55" w:rsidRPr="00257DF7" w:rsidRDefault="008A1E55" w:rsidP="00E16CAE">
            <w:pPr>
              <w:jc w:val="right"/>
              <w:rPr>
                <w:sz w:val="19"/>
                <w:szCs w:val="19"/>
              </w:rPr>
            </w:pPr>
            <w:r w:rsidRPr="00257DF7">
              <w:rPr>
                <w:sz w:val="19"/>
                <w:szCs w:val="19"/>
              </w:rPr>
              <w:t>-</w:t>
            </w:r>
          </w:p>
        </w:tc>
      </w:tr>
      <w:tr w:rsidR="006B42D6" w:rsidRPr="00257DF7" w14:paraId="32978A8B" w14:textId="77777777" w:rsidTr="00E16CAE">
        <w:trPr>
          <w:trHeight w:val="283"/>
        </w:trPr>
        <w:tc>
          <w:tcPr>
            <w:tcW w:w="2680" w:type="dxa"/>
            <w:tcBorders>
              <w:top w:val="nil"/>
              <w:left w:val="nil"/>
              <w:bottom w:val="nil"/>
              <w:right w:val="nil"/>
            </w:tcBorders>
            <w:shd w:val="clear" w:color="auto" w:fill="auto"/>
            <w:vAlign w:val="center"/>
            <w:hideMark/>
          </w:tcPr>
          <w:p w14:paraId="412C100B" w14:textId="4A9589FE" w:rsidR="008A1E55" w:rsidRPr="00257DF7" w:rsidRDefault="008A1E55" w:rsidP="00E16CAE">
            <w:pPr>
              <w:rPr>
                <w:sz w:val="19"/>
                <w:szCs w:val="19"/>
              </w:rPr>
            </w:pPr>
            <w:r w:rsidRPr="00257DF7">
              <w:rPr>
                <w:sz w:val="19"/>
                <w:szCs w:val="19"/>
              </w:rPr>
              <w:t>Generator/</w:t>
            </w:r>
            <w:r w:rsidR="00C41AC6">
              <w:rPr>
                <w:sz w:val="19"/>
                <w:szCs w:val="19"/>
              </w:rPr>
              <w:t>p</w:t>
            </w:r>
            <w:r w:rsidRPr="00257DF7">
              <w:rPr>
                <w:sz w:val="19"/>
                <w:szCs w:val="19"/>
              </w:rPr>
              <w:t>rivate source</w:t>
            </w:r>
          </w:p>
        </w:tc>
        <w:tc>
          <w:tcPr>
            <w:tcW w:w="1144" w:type="dxa"/>
            <w:tcBorders>
              <w:top w:val="nil"/>
              <w:left w:val="nil"/>
              <w:bottom w:val="nil"/>
              <w:right w:val="nil"/>
            </w:tcBorders>
            <w:shd w:val="clear" w:color="auto" w:fill="auto"/>
            <w:noWrap/>
            <w:vAlign w:val="center"/>
            <w:hideMark/>
          </w:tcPr>
          <w:p w14:paraId="52705AB3" w14:textId="77777777" w:rsidR="008A1E55" w:rsidRPr="00257DF7" w:rsidRDefault="008A1E55" w:rsidP="00E16CAE">
            <w:pPr>
              <w:jc w:val="right"/>
              <w:rPr>
                <w:sz w:val="19"/>
                <w:szCs w:val="19"/>
              </w:rPr>
            </w:pPr>
            <w:r w:rsidRPr="00257DF7">
              <w:rPr>
                <w:sz w:val="19"/>
                <w:szCs w:val="19"/>
              </w:rPr>
              <w:t>752</w:t>
            </w:r>
          </w:p>
        </w:tc>
        <w:tc>
          <w:tcPr>
            <w:tcW w:w="836" w:type="dxa"/>
            <w:tcBorders>
              <w:top w:val="nil"/>
              <w:left w:val="nil"/>
              <w:bottom w:val="nil"/>
              <w:right w:val="nil"/>
            </w:tcBorders>
            <w:shd w:val="clear" w:color="auto" w:fill="auto"/>
            <w:noWrap/>
            <w:vAlign w:val="center"/>
            <w:hideMark/>
          </w:tcPr>
          <w:p w14:paraId="3B5463AA" w14:textId="77777777" w:rsidR="008A1E55" w:rsidRPr="00257DF7" w:rsidRDefault="008A1E55" w:rsidP="00E16CAE">
            <w:pPr>
              <w:jc w:val="right"/>
              <w:rPr>
                <w:sz w:val="19"/>
                <w:szCs w:val="19"/>
              </w:rPr>
            </w:pPr>
            <w:r w:rsidRPr="00257DF7">
              <w:rPr>
                <w:sz w:val="19"/>
                <w:szCs w:val="19"/>
              </w:rPr>
              <w:t>0.01</w:t>
            </w:r>
          </w:p>
        </w:tc>
        <w:tc>
          <w:tcPr>
            <w:tcW w:w="1144" w:type="dxa"/>
            <w:tcBorders>
              <w:top w:val="nil"/>
              <w:left w:val="nil"/>
              <w:bottom w:val="nil"/>
              <w:right w:val="nil"/>
            </w:tcBorders>
            <w:shd w:val="clear" w:color="auto" w:fill="auto"/>
            <w:noWrap/>
            <w:vAlign w:val="center"/>
            <w:hideMark/>
          </w:tcPr>
          <w:p w14:paraId="2F80340B" w14:textId="77777777" w:rsidR="008A1E55" w:rsidRPr="00257DF7" w:rsidRDefault="008A1E55" w:rsidP="00E16CAE">
            <w:pPr>
              <w:jc w:val="right"/>
              <w:rPr>
                <w:sz w:val="19"/>
                <w:szCs w:val="19"/>
              </w:rPr>
            </w:pPr>
            <w:r w:rsidRPr="00257DF7">
              <w:rPr>
                <w:sz w:val="19"/>
                <w:szCs w:val="19"/>
              </w:rPr>
              <w:t>752</w:t>
            </w:r>
          </w:p>
        </w:tc>
        <w:tc>
          <w:tcPr>
            <w:tcW w:w="836" w:type="dxa"/>
            <w:tcBorders>
              <w:top w:val="nil"/>
              <w:left w:val="nil"/>
              <w:bottom w:val="nil"/>
              <w:right w:val="nil"/>
            </w:tcBorders>
            <w:shd w:val="clear" w:color="auto" w:fill="auto"/>
            <w:noWrap/>
            <w:vAlign w:val="center"/>
            <w:hideMark/>
          </w:tcPr>
          <w:p w14:paraId="6459682E" w14:textId="77777777" w:rsidR="008A1E55" w:rsidRPr="00257DF7" w:rsidRDefault="008A1E55" w:rsidP="00E16CAE">
            <w:pPr>
              <w:jc w:val="right"/>
              <w:rPr>
                <w:sz w:val="19"/>
                <w:szCs w:val="19"/>
              </w:rPr>
            </w:pPr>
            <w:r w:rsidRPr="00257DF7">
              <w:rPr>
                <w:sz w:val="19"/>
                <w:szCs w:val="19"/>
              </w:rPr>
              <w:t>-</w:t>
            </w:r>
          </w:p>
        </w:tc>
        <w:tc>
          <w:tcPr>
            <w:tcW w:w="972" w:type="dxa"/>
            <w:tcBorders>
              <w:top w:val="nil"/>
              <w:left w:val="nil"/>
              <w:bottom w:val="nil"/>
              <w:right w:val="nil"/>
            </w:tcBorders>
            <w:shd w:val="clear" w:color="auto" w:fill="auto"/>
            <w:noWrap/>
            <w:vAlign w:val="center"/>
            <w:hideMark/>
          </w:tcPr>
          <w:p w14:paraId="54FE92EA" w14:textId="77777777" w:rsidR="008A1E55" w:rsidRPr="00257DF7" w:rsidRDefault="008A1E55" w:rsidP="00E16CAE">
            <w:pPr>
              <w:jc w:val="right"/>
              <w:rPr>
                <w:sz w:val="19"/>
                <w:szCs w:val="19"/>
              </w:rPr>
            </w:pPr>
            <w:r w:rsidRPr="00257DF7">
              <w:rPr>
                <w:sz w:val="19"/>
                <w:szCs w:val="19"/>
              </w:rPr>
              <w:t>-</w:t>
            </w:r>
          </w:p>
        </w:tc>
        <w:tc>
          <w:tcPr>
            <w:tcW w:w="848" w:type="dxa"/>
            <w:tcBorders>
              <w:top w:val="nil"/>
              <w:left w:val="nil"/>
              <w:bottom w:val="nil"/>
              <w:right w:val="nil"/>
            </w:tcBorders>
            <w:shd w:val="clear" w:color="auto" w:fill="auto"/>
            <w:noWrap/>
            <w:vAlign w:val="center"/>
            <w:hideMark/>
          </w:tcPr>
          <w:p w14:paraId="4556EB8E" w14:textId="77777777" w:rsidR="008A1E55" w:rsidRPr="00257DF7" w:rsidRDefault="008A1E55" w:rsidP="00E16CAE">
            <w:pPr>
              <w:jc w:val="right"/>
              <w:rPr>
                <w:sz w:val="19"/>
                <w:szCs w:val="19"/>
              </w:rPr>
            </w:pPr>
            <w:r w:rsidRPr="00257DF7">
              <w:rPr>
                <w:sz w:val="19"/>
                <w:szCs w:val="19"/>
              </w:rPr>
              <w:t>-</w:t>
            </w:r>
          </w:p>
        </w:tc>
      </w:tr>
      <w:tr w:rsidR="006B42D6" w:rsidRPr="00257DF7" w14:paraId="3A14DDEF" w14:textId="77777777" w:rsidTr="00E16CAE">
        <w:trPr>
          <w:trHeight w:val="283"/>
        </w:trPr>
        <w:tc>
          <w:tcPr>
            <w:tcW w:w="2680" w:type="dxa"/>
            <w:tcBorders>
              <w:top w:val="nil"/>
              <w:left w:val="nil"/>
              <w:bottom w:val="nil"/>
              <w:right w:val="nil"/>
            </w:tcBorders>
            <w:shd w:val="clear" w:color="auto" w:fill="auto"/>
            <w:vAlign w:val="center"/>
            <w:hideMark/>
          </w:tcPr>
          <w:p w14:paraId="7AAAB5CF" w14:textId="77777777" w:rsidR="008A1E55" w:rsidRPr="00257DF7" w:rsidRDefault="008A1E55" w:rsidP="00E16CAE">
            <w:pPr>
              <w:rPr>
                <w:sz w:val="19"/>
                <w:szCs w:val="19"/>
              </w:rPr>
            </w:pPr>
            <w:r w:rsidRPr="00257DF7">
              <w:rPr>
                <w:sz w:val="19"/>
                <w:szCs w:val="19"/>
              </w:rPr>
              <w:t xml:space="preserve">Other </w:t>
            </w:r>
          </w:p>
        </w:tc>
        <w:tc>
          <w:tcPr>
            <w:tcW w:w="1144" w:type="dxa"/>
            <w:tcBorders>
              <w:top w:val="nil"/>
              <w:left w:val="nil"/>
              <w:bottom w:val="nil"/>
              <w:right w:val="nil"/>
            </w:tcBorders>
            <w:shd w:val="clear" w:color="auto" w:fill="auto"/>
            <w:noWrap/>
            <w:vAlign w:val="center"/>
            <w:hideMark/>
          </w:tcPr>
          <w:p w14:paraId="020DB2B3" w14:textId="77777777" w:rsidR="008A1E55" w:rsidRPr="00257DF7" w:rsidRDefault="008A1E55" w:rsidP="00E16CAE">
            <w:pPr>
              <w:jc w:val="right"/>
              <w:rPr>
                <w:sz w:val="19"/>
                <w:szCs w:val="19"/>
              </w:rPr>
            </w:pPr>
            <w:r w:rsidRPr="00257DF7">
              <w:rPr>
                <w:sz w:val="19"/>
                <w:szCs w:val="19"/>
              </w:rPr>
              <w:t>16,253</w:t>
            </w:r>
          </w:p>
        </w:tc>
        <w:tc>
          <w:tcPr>
            <w:tcW w:w="836" w:type="dxa"/>
            <w:tcBorders>
              <w:top w:val="nil"/>
              <w:left w:val="nil"/>
              <w:bottom w:val="nil"/>
              <w:right w:val="nil"/>
            </w:tcBorders>
            <w:shd w:val="clear" w:color="auto" w:fill="auto"/>
            <w:noWrap/>
            <w:vAlign w:val="center"/>
            <w:hideMark/>
          </w:tcPr>
          <w:p w14:paraId="628D311A" w14:textId="77777777" w:rsidR="008A1E55" w:rsidRPr="00257DF7" w:rsidRDefault="008A1E55" w:rsidP="00E16CAE">
            <w:pPr>
              <w:jc w:val="right"/>
              <w:rPr>
                <w:sz w:val="19"/>
                <w:szCs w:val="19"/>
              </w:rPr>
            </w:pPr>
            <w:r w:rsidRPr="00257DF7">
              <w:rPr>
                <w:sz w:val="19"/>
                <w:szCs w:val="19"/>
              </w:rPr>
              <w:t>0.2</w:t>
            </w:r>
          </w:p>
        </w:tc>
        <w:tc>
          <w:tcPr>
            <w:tcW w:w="1144" w:type="dxa"/>
            <w:tcBorders>
              <w:top w:val="nil"/>
              <w:left w:val="nil"/>
              <w:bottom w:val="nil"/>
              <w:right w:val="nil"/>
            </w:tcBorders>
            <w:shd w:val="clear" w:color="auto" w:fill="auto"/>
            <w:noWrap/>
            <w:vAlign w:val="center"/>
            <w:hideMark/>
          </w:tcPr>
          <w:p w14:paraId="5DA19580" w14:textId="77777777" w:rsidR="008A1E55" w:rsidRPr="00257DF7" w:rsidRDefault="008A1E55" w:rsidP="00E16CAE">
            <w:pPr>
              <w:jc w:val="right"/>
              <w:rPr>
                <w:sz w:val="19"/>
                <w:szCs w:val="19"/>
              </w:rPr>
            </w:pPr>
            <w:r w:rsidRPr="00257DF7">
              <w:rPr>
                <w:sz w:val="19"/>
                <w:szCs w:val="19"/>
              </w:rPr>
              <w:t>16,019</w:t>
            </w:r>
          </w:p>
        </w:tc>
        <w:tc>
          <w:tcPr>
            <w:tcW w:w="836" w:type="dxa"/>
            <w:tcBorders>
              <w:top w:val="nil"/>
              <w:left w:val="nil"/>
              <w:bottom w:val="nil"/>
              <w:right w:val="nil"/>
            </w:tcBorders>
            <w:shd w:val="clear" w:color="auto" w:fill="auto"/>
            <w:noWrap/>
            <w:vAlign w:val="center"/>
            <w:hideMark/>
          </w:tcPr>
          <w:p w14:paraId="1AF1454A" w14:textId="77777777" w:rsidR="008A1E55" w:rsidRPr="00257DF7" w:rsidRDefault="008A1E55" w:rsidP="00E16CAE">
            <w:pPr>
              <w:jc w:val="right"/>
              <w:rPr>
                <w:sz w:val="19"/>
                <w:szCs w:val="19"/>
              </w:rPr>
            </w:pPr>
            <w:r w:rsidRPr="00257DF7">
              <w:rPr>
                <w:sz w:val="19"/>
                <w:szCs w:val="19"/>
              </w:rPr>
              <w:t>0.2</w:t>
            </w:r>
          </w:p>
        </w:tc>
        <w:tc>
          <w:tcPr>
            <w:tcW w:w="972" w:type="dxa"/>
            <w:tcBorders>
              <w:top w:val="nil"/>
              <w:left w:val="nil"/>
              <w:bottom w:val="nil"/>
              <w:right w:val="nil"/>
            </w:tcBorders>
            <w:shd w:val="clear" w:color="auto" w:fill="auto"/>
            <w:noWrap/>
            <w:vAlign w:val="center"/>
            <w:hideMark/>
          </w:tcPr>
          <w:p w14:paraId="34FBF00A" w14:textId="77777777" w:rsidR="008A1E55" w:rsidRPr="00257DF7" w:rsidRDefault="008A1E55" w:rsidP="00E16CAE">
            <w:pPr>
              <w:jc w:val="right"/>
              <w:rPr>
                <w:sz w:val="19"/>
                <w:szCs w:val="19"/>
              </w:rPr>
            </w:pPr>
            <w:r w:rsidRPr="00257DF7">
              <w:rPr>
                <w:sz w:val="19"/>
                <w:szCs w:val="19"/>
              </w:rPr>
              <w:t>234</w:t>
            </w:r>
          </w:p>
        </w:tc>
        <w:tc>
          <w:tcPr>
            <w:tcW w:w="848" w:type="dxa"/>
            <w:tcBorders>
              <w:top w:val="nil"/>
              <w:left w:val="nil"/>
              <w:bottom w:val="nil"/>
              <w:right w:val="nil"/>
            </w:tcBorders>
            <w:shd w:val="clear" w:color="auto" w:fill="auto"/>
            <w:noWrap/>
            <w:vAlign w:val="center"/>
            <w:hideMark/>
          </w:tcPr>
          <w:p w14:paraId="40348666" w14:textId="77777777" w:rsidR="008A1E55" w:rsidRPr="00257DF7" w:rsidRDefault="008A1E55" w:rsidP="00E16CAE">
            <w:pPr>
              <w:jc w:val="right"/>
              <w:rPr>
                <w:sz w:val="19"/>
                <w:szCs w:val="19"/>
              </w:rPr>
            </w:pPr>
            <w:r w:rsidRPr="00257DF7">
              <w:rPr>
                <w:sz w:val="19"/>
                <w:szCs w:val="19"/>
              </w:rPr>
              <w:t>0.1</w:t>
            </w:r>
          </w:p>
        </w:tc>
      </w:tr>
      <w:tr w:rsidR="008A1E55" w:rsidRPr="00143C67" w14:paraId="6F248D6A" w14:textId="77777777" w:rsidTr="00257DF7">
        <w:trPr>
          <w:trHeight w:val="283"/>
        </w:trPr>
        <w:tc>
          <w:tcPr>
            <w:tcW w:w="2680" w:type="dxa"/>
            <w:tcBorders>
              <w:top w:val="single" w:sz="4" w:space="0" w:color="auto"/>
              <w:left w:val="nil"/>
              <w:bottom w:val="single" w:sz="4" w:space="0" w:color="auto"/>
              <w:right w:val="nil"/>
            </w:tcBorders>
            <w:shd w:val="clear" w:color="auto" w:fill="E2EFD9" w:themeFill="accent6" w:themeFillTint="33"/>
            <w:vAlign w:val="center"/>
            <w:hideMark/>
          </w:tcPr>
          <w:p w14:paraId="4D92DC5C" w14:textId="77777777" w:rsidR="008A1E55" w:rsidRPr="00143C67" w:rsidRDefault="008A1E55" w:rsidP="00E16CAE">
            <w:pPr>
              <w:rPr>
                <w:b/>
                <w:sz w:val="19"/>
                <w:szCs w:val="19"/>
              </w:rPr>
            </w:pPr>
            <w:r w:rsidRPr="00143C67">
              <w:rPr>
                <w:b/>
                <w:sz w:val="19"/>
                <w:szCs w:val="19"/>
              </w:rPr>
              <w:t>Total</w:t>
            </w:r>
          </w:p>
        </w:tc>
        <w:tc>
          <w:tcPr>
            <w:tcW w:w="1144" w:type="dxa"/>
            <w:tcBorders>
              <w:top w:val="single" w:sz="4" w:space="0" w:color="auto"/>
              <w:left w:val="nil"/>
              <w:bottom w:val="single" w:sz="4" w:space="0" w:color="auto"/>
              <w:right w:val="nil"/>
            </w:tcBorders>
            <w:shd w:val="clear" w:color="auto" w:fill="E2EFD9" w:themeFill="accent6" w:themeFillTint="33"/>
            <w:noWrap/>
            <w:vAlign w:val="center"/>
            <w:hideMark/>
          </w:tcPr>
          <w:p w14:paraId="161C9AA7" w14:textId="77777777" w:rsidR="008A1E55" w:rsidRPr="00143C67" w:rsidRDefault="008A1E55" w:rsidP="00E16CAE">
            <w:pPr>
              <w:jc w:val="right"/>
              <w:rPr>
                <w:b/>
                <w:sz w:val="19"/>
                <w:szCs w:val="19"/>
              </w:rPr>
            </w:pPr>
            <w:r w:rsidRPr="00143C67">
              <w:rPr>
                <w:b/>
                <w:sz w:val="19"/>
                <w:szCs w:val="19"/>
              </w:rPr>
              <w:t>7,837,405</w:t>
            </w:r>
          </w:p>
        </w:tc>
        <w:tc>
          <w:tcPr>
            <w:tcW w:w="836" w:type="dxa"/>
            <w:tcBorders>
              <w:top w:val="single" w:sz="4" w:space="0" w:color="auto"/>
              <w:left w:val="nil"/>
              <w:bottom w:val="single" w:sz="4" w:space="0" w:color="auto"/>
              <w:right w:val="nil"/>
            </w:tcBorders>
            <w:shd w:val="clear" w:color="auto" w:fill="E2EFD9" w:themeFill="accent6" w:themeFillTint="33"/>
            <w:noWrap/>
            <w:vAlign w:val="center"/>
            <w:hideMark/>
          </w:tcPr>
          <w:p w14:paraId="6265BB5A" w14:textId="77777777" w:rsidR="008A1E55" w:rsidRPr="00143C67" w:rsidRDefault="008A1E55" w:rsidP="00E16CAE">
            <w:pPr>
              <w:jc w:val="right"/>
              <w:rPr>
                <w:b/>
                <w:sz w:val="19"/>
                <w:szCs w:val="19"/>
              </w:rPr>
            </w:pPr>
            <w:r w:rsidRPr="00143C67">
              <w:rPr>
                <w:b/>
                <w:sz w:val="19"/>
                <w:szCs w:val="19"/>
              </w:rPr>
              <w:t>100.0</w:t>
            </w:r>
          </w:p>
        </w:tc>
        <w:tc>
          <w:tcPr>
            <w:tcW w:w="1144" w:type="dxa"/>
            <w:tcBorders>
              <w:top w:val="single" w:sz="4" w:space="0" w:color="auto"/>
              <w:left w:val="nil"/>
              <w:bottom w:val="single" w:sz="4" w:space="0" w:color="auto"/>
              <w:right w:val="nil"/>
            </w:tcBorders>
            <w:shd w:val="clear" w:color="auto" w:fill="E2EFD9" w:themeFill="accent6" w:themeFillTint="33"/>
            <w:noWrap/>
            <w:vAlign w:val="center"/>
            <w:hideMark/>
          </w:tcPr>
          <w:p w14:paraId="73D15EDB" w14:textId="77777777" w:rsidR="008A1E55" w:rsidRPr="00143C67" w:rsidRDefault="008A1E55" w:rsidP="00E16CAE">
            <w:pPr>
              <w:jc w:val="right"/>
              <w:rPr>
                <w:b/>
                <w:sz w:val="19"/>
                <w:szCs w:val="19"/>
              </w:rPr>
            </w:pPr>
            <w:r w:rsidRPr="00143C67">
              <w:rPr>
                <w:b/>
                <w:sz w:val="19"/>
                <w:szCs w:val="19"/>
              </w:rPr>
              <w:t>7,657,185</w:t>
            </w:r>
          </w:p>
        </w:tc>
        <w:tc>
          <w:tcPr>
            <w:tcW w:w="836" w:type="dxa"/>
            <w:tcBorders>
              <w:top w:val="single" w:sz="4" w:space="0" w:color="auto"/>
              <w:left w:val="nil"/>
              <w:bottom w:val="single" w:sz="4" w:space="0" w:color="auto"/>
              <w:right w:val="nil"/>
            </w:tcBorders>
            <w:shd w:val="clear" w:color="auto" w:fill="E2EFD9" w:themeFill="accent6" w:themeFillTint="33"/>
            <w:noWrap/>
            <w:vAlign w:val="center"/>
            <w:hideMark/>
          </w:tcPr>
          <w:p w14:paraId="4230FEBB" w14:textId="77777777" w:rsidR="008A1E55" w:rsidRPr="00143C67" w:rsidRDefault="008A1E55" w:rsidP="00E16CAE">
            <w:pPr>
              <w:jc w:val="right"/>
              <w:rPr>
                <w:b/>
                <w:sz w:val="19"/>
                <w:szCs w:val="19"/>
              </w:rPr>
            </w:pPr>
            <w:r w:rsidRPr="00143C67">
              <w:rPr>
                <w:b/>
                <w:sz w:val="19"/>
                <w:szCs w:val="19"/>
              </w:rPr>
              <w:t>100.0</w:t>
            </w:r>
          </w:p>
        </w:tc>
        <w:tc>
          <w:tcPr>
            <w:tcW w:w="972" w:type="dxa"/>
            <w:tcBorders>
              <w:top w:val="single" w:sz="4" w:space="0" w:color="auto"/>
              <w:left w:val="nil"/>
              <w:bottom w:val="single" w:sz="4" w:space="0" w:color="auto"/>
              <w:right w:val="nil"/>
            </w:tcBorders>
            <w:shd w:val="clear" w:color="auto" w:fill="E2EFD9" w:themeFill="accent6" w:themeFillTint="33"/>
            <w:noWrap/>
            <w:vAlign w:val="center"/>
            <w:hideMark/>
          </w:tcPr>
          <w:p w14:paraId="6CA9197B" w14:textId="77777777" w:rsidR="008A1E55" w:rsidRPr="00143C67" w:rsidRDefault="008A1E55" w:rsidP="00E16CAE">
            <w:pPr>
              <w:jc w:val="right"/>
              <w:rPr>
                <w:b/>
                <w:sz w:val="19"/>
                <w:szCs w:val="19"/>
              </w:rPr>
            </w:pPr>
            <w:r w:rsidRPr="00143C67">
              <w:rPr>
                <w:b/>
                <w:sz w:val="19"/>
                <w:szCs w:val="19"/>
              </w:rPr>
              <w:t>180,220</w:t>
            </w:r>
          </w:p>
        </w:tc>
        <w:tc>
          <w:tcPr>
            <w:tcW w:w="848" w:type="dxa"/>
            <w:tcBorders>
              <w:top w:val="single" w:sz="4" w:space="0" w:color="auto"/>
              <w:left w:val="nil"/>
              <w:bottom w:val="single" w:sz="4" w:space="0" w:color="auto"/>
              <w:right w:val="nil"/>
            </w:tcBorders>
            <w:shd w:val="clear" w:color="auto" w:fill="E2EFD9" w:themeFill="accent6" w:themeFillTint="33"/>
            <w:noWrap/>
            <w:vAlign w:val="center"/>
            <w:hideMark/>
          </w:tcPr>
          <w:p w14:paraId="2E4383D0" w14:textId="77777777" w:rsidR="008A1E55" w:rsidRPr="00143C67" w:rsidRDefault="008A1E55" w:rsidP="00E16CAE">
            <w:pPr>
              <w:jc w:val="right"/>
              <w:rPr>
                <w:b/>
                <w:sz w:val="19"/>
                <w:szCs w:val="19"/>
              </w:rPr>
            </w:pPr>
            <w:r w:rsidRPr="00143C67">
              <w:rPr>
                <w:b/>
                <w:sz w:val="19"/>
                <w:szCs w:val="19"/>
              </w:rPr>
              <w:t>100.0</w:t>
            </w:r>
          </w:p>
        </w:tc>
      </w:tr>
    </w:tbl>
    <w:p w14:paraId="685206F4" w14:textId="77777777" w:rsidR="008A1E55" w:rsidRPr="006B42D6" w:rsidRDefault="008A1E55" w:rsidP="007A3EC9">
      <w:pPr>
        <w:spacing w:line="240" w:lineRule="auto"/>
      </w:pPr>
    </w:p>
    <w:p w14:paraId="2DE1AAC3" w14:textId="255F7EE2" w:rsidR="008A1E55" w:rsidRPr="006B42D6" w:rsidRDefault="008A1E55" w:rsidP="008A1E55">
      <w:r w:rsidRPr="006B42D6">
        <w:t xml:space="preserve">In </w:t>
      </w:r>
      <w:r w:rsidR="00EA1552">
        <w:t>Mainland Tanzania</w:t>
      </w:r>
      <w:r w:rsidRPr="006B42D6">
        <w:t xml:space="preserve">, out of total households, 6,172,984 households (80.6 percent) reported to use firewood as the main source of energy for cooking, followed by those using charcoal (1,146,838; 15.0 percent) and industrial gas (178,543; 2.3). Dodoma region had the largest number of households (452,999; 7.3 percent) reported to use firewood as the main source of energy for cooking, followed by Kagera (449,557; 7.3 percent) and Mwanza (333,853; 5.4 percent), while Dar es Salaam had the least number of households (36,616; 0.6 percent) (Table </w:t>
      </w:r>
      <w:r w:rsidR="006C1D68" w:rsidRPr="006B42D6">
        <w:t>6</w:t>
      </w:r>
      <w:r w:rsidRPr="006B42D6">
        <w:t xml:space="preserve">.9 &amp; </w:t>
      </w:r>
      <w:r w:rsidR="006C1D68" w:rsidRPr="006B42D6">
        <w:t>6</w:t>
      </w:r>
      <w:r w:rsidRPr="006B42D6">
        <w:t xml:space="preserve">.10). </w:t>
      </w:r>
    </w:p>
    <w:p w14:paraId="4560D8CD" w14:textId="77777777" w:rsidR="008A1E55" w:rsidRPr="006B42D6" w:rsidRDefault="008A1E55" w:rsidP="007A3EC9">
      <w:pPr>
        <w:spacing w:line="240" w:lineRule="auto"/>
        <w:rPr>
          <w:strike/>
        </w:rPr>
      </w:pPr>
    </w:p>
    <w:p w14:paraId="2F6A01C5" w14:textId="14EF0ED0" w:rsidR="008A1E55" w:rsidRPr="006B42D6" w:rsidRDefault="008A1E55" w:rsidP="008A1E55">
      <w:r w:rsidRPr="006B42D6">
        <w:t xml:space="preserve">In Tanzania Zanzibar, out of total households, 151,659 households (84.2 percent) reported to use firewood as the main source of energy for cooking, followed by those using charcoal (23,202; 12.9 percent) and industrial gas (2,650; 1.5 percent). Kusini Pemba region had the largest number of households (45,130; 29.8 percent) reported to use firewood as the main source of energy for cooking, followed by Kaskazini Pemba (36,101; 23.8 percent), while Kusini Unguja had the least number of households (15,092; 10.0 percent) (Table </w:t>
      </w:r>
      <w:r w:rsidR="006C1D68" w:rsidRPr="006B42D6">
        <w:t>6</w:t>
      </w:r>
      <w:r w:rsidRPr="006B42D6">
        <w:t xml:space="preserve">.9 &amp; </w:t>
      </w:r>
      <w:r w:rsidR="006C1D68" w:rsidRPr="006B42D6">
        <w:t>6</w:t>
      </w:r>
      <w:r w:rsidRPr="006B42D6">
        <w:t xml:space="preserve">.10). </w:t>
      </w:r>
    </w:p>
    <w:p w14:paraId="10D2BF7B" w14:textId="77777777" w:rsidR="008A1E55" w:rsidRPr="006B42D6" w:rsidRDefault="008A1E55" w:rsidP="008A1E55"/>
    <w:p w14:paraId="00088E28" w14:textId="77777777" w:rsidR="008A1E55" w:rsidRPr="006B42D6" w:rsidRDefault="008A1E55" w:rsidP="008A1E55"/>
    <w:p w14:paraId="36F0835F" w14:textId="77777777" w:rsidR="008A1E55" w:rsidRPr="006B42D6" w:rsidRDefault="008A1E55" w:rsidP="008A1E55"/>
    <w:p w14:paraId="43ECA110" w14:textId="77777777" w:rsidR="008A1E55" w:rsidRPr="006B42D6" w:rsidRDefault="008A1E55" w:rsidP="008A1E55"/>
    <w:p w14:paraId="67EBBC93" w14:textId="77777777" w:rsidR="008A1E55" w:rsidRPr="006B42D6" w:rsidRDefault="008A1E55" w:rsidP="008A1E55"/>
    <w:p w14:paraId="59AE4478" w14:textId="77777777" w:rsidR="008A1E55" w:rsidRPr="006B42D6" w:rsidRDefault="008A1E55" w:rsidP="008A1E55">
      <w:pPr>
        <w:rPr>
          <w:sz w:val="22"/>
          <w:szCs w:val="22"/>
        </w:rPr>
        <w:sectPr w:rsidR="008A1E55" w:rsidRPr="006B42D6" w:rsidSect="00606398">
          <w:type w:val="nextColumn"/>
          <w:pgSz w:w="11900" w:h="16840" w:code="9"/>
          <w:pgMar w:top="1440" w:right="1440" w:bottom="1440" w:left="1440" w:header="709" w:footer="709" w:gutter="0"/>
          <w:cols w:space="708"/>
          <w:docGrid w:linePitch="360"/>
        </w:sectPr>
      </w:pPr>
    </w:p>
    <w:p w14:paraId="0D858D1C" w14:textId="7C90CF5B" w:rsidR="008A1E55" w:rsidRPr="006B42D6" w:rsidRDefault="008A1E55" w:rsidP="007200F6">
      <w:pPr>
        <w:pStyle w:val="Heading7"/>
      </w:pPr>
      <w:bookmarkStart w:id="869" w:name="_Toc82386245"/>
      <w:r w:rsidRPr="006B42D6">
        <w:lastRenderedPageBreak/>
        <w:t xml:space="preserve">Table </w:t>
      </w:r>
      <w:r w:rsidR="006C1D68" w:rsidRPr="006B42D6">
        <w:t>6</w:t>
      </w:r>
      <w:r w:rsidRPr="006B42D6">
        <w:t>.10</w:t>
      </w:r>
      <w:r w:rsidR="005420E0">
        <w:t>:</w:t>
      </w:r>
      <w:r w:rsidR="007A288F">
        <w:tab/>
      </w:r>
      <w:r w:rsidRPr="006B42D6">
        <w:t>Percentage of Agricultural Households Reported Main Source of Energy for Cooking by Region During 2019/20 Agricultural Year, Tanzania</w:t>
      </w:r>
      <w:bookmarkEnd w:id="869"/>
    </w:p>
    <w:tbl>
      <w:tblPr>
        <w:tblW w:w="13225" w:type="dxa"/>
        <w:tblLayout w:type="fixed"/>
        <w:tblLook w:val="04A0" w:firstRow="1" w:lastRow="0" w:firstColumn="1" w:lastColumn="0" w:noHBand="0" w:noVBand="1"/>
      </w:tblPr>
      <w:tblGrid>
        <w:gridCol w:w="1668"/>
        <w:gridCol w:w="977"/>
        <w:gridCol w:w="826"/>
        <w:gridCol w:w="1008"/>
        <w:gridCol w:w="979"/>
        <w:gridCol w:w="1086"/>
        <w:gridCol w:w="950"/>
        <w:gridCol w:w="1039"/>
        <w:gridCol w:w="932"/>
        <w:gridCol w:w="1030"/>
        <w:gridCol w:w="905"/>
        <w:gridCol w:w="998"/>
        <w:gridCol w:w="827"/>
      </w:tblGrid>
      <w:tr w:rsidR="006B42D6" w:rsidRPr="006B42D6" w14:paraId="5CE93E42" w14:textId="77777777" w:rsidTr="00143C67">
        <w:trPr>
          <w:trHeight w:val="227"/>
        </w:trPr>
        <w:tc>
          <w:tcPr>
            <w:tcW w:w="1668" w:type="dxa"/>
            <w:tcBorders>
              <w:top w:val="single" w:sz="4" w:space="0" w:color="auto"/>
              <w:left w:val="nil"/>
              <w:bottom w:val="single" w:sz="4" w:space="0" w:color="auto"/>
              <w:right w:val="nil"/>
            </w:tcBorders>
            <w:shd w:val="clear" w:color="auto" w:fill="E2EFD9" w:themeFill="accent6" w:themeFillTint="33"/>
            <w:noWrap/>
            <w:vAlign w:val="center"/>
            <w:hideMark/>
          </w:tcPr>
          <w:p w14:paraId="578312A8" w14:textId="77777777" w:rsidR="008A1E55" w:rsidRPr="006B42D6" w:rsidRDefault="008A1E55" w:rsidP="00143C67">
            <w:pPr>
              <w:spacing w:line="240" w:lineRule="auto"/>
              <w:rPr>
                <w:sz w:val="16"/>
                <w:szCs w:val="16"/>
              </w:rPr>
            </w:pPr>
            <w:r w:rsidRPr="006B42D6">
              <w:rPr>
                <w:sz w:val="16"/>
                <w:szCs w:val="16"/>
              </w:rPr>
              <w:t>Region</w:t>
            </w:r>
          </w:p>
        </w:tc>
        <w:tc>
          <w:tcPr>
            <w:tcW w:w="977" w:type="dxa"/>
            <w:tcBorders>
              <w:top w:val="single" w:sz="4" w:space="0" w:color="auto"/>
              <w:left w:val="nil"/>
              <w:bottom w:val="single" w:sz="4" w:space="0" w:color="auto"/>
              <w:right w:val="nil"/>
            </w:tcBorders>
            <w:shd w:val="clear" w:color="auto" w:fill="E2EFD9" w:themeFill="accent6" w:themeFillTint="33"/>
            <w:vAlign w:val="center"/>
            <w:hideMark/>
          </w:tcPr>
          <w:p w14:paraId="5A6FACAB" w14:textId="7AAB8F70" w:rsidR="008A1E55" w:rsidRPr="006B42D6" w:rsidRDefault="004F65CD" w:rsidP="00143C67">
            <w:pPr>
              <w:spacing w:line="240" w:lineRule="auto"/>
              <w:rPr>
                <w:sz w:val="16"/>
                <w:szCs w:val="16"/>
              </w:rPr>
            </w:pPr>
            <w:r>
              <w:rPr>
                <w:sz w:val="16"/>
                <w:szCs w:val="16"/>
              </w:rPr>
              <w:t>E</w:t>
            </w:r>
            <w:r w:rsidR="008A1E55" w:rsidRPr="006B42D6">
              <w:rPr>
                <w:sz w:val="16"/>
                <w:szCs w:val="16"/>
              </w:rPr>
              <w:t>lectricity</w:t>
            </w:r>
          </w:p>
        </w:tc>
        <w:tc>
          <w:tcPr>
            <w:tcW w:w="826" w:type="dxa"/>
            <w:tcBorders>
              <w:top w:val="single" w:sz="4" w:space="0" w:color="auto"/>
              <w:left w:val="nil"/>
              <w:bottom w:val="single" w:sz="4" w:space="0" w:color="auto"/>
              <w:right w:val="nil"/>
            </w:tcBorders>
            <w:shd w:val="clear" w:color="auto" w:fill="E2EFD9" w:themeFill="accent6" w:themeFillTint="33"/>
            <w:vAlign w:val="center"/>
            <w:hideMark/>
          </w:tcPr>
          <w:p w14:paraId="093FFCB5" w14:textId="77777777" w:rsidR="008A1E55" w:rsidRPr="006B42D6" w:rsidRDefault="008A1E55" w:rsidP="00143C67">
            <w:pPr>
              <w:spacing w:line="240" w:lineRule="auto"/>
              <w:rPr>
                <w:sz w:val="16"/>
                <w:szCs w:val="16"/>
              </w:rPr>
            </w:pPr>
            <w:r w:rsidRPr="006B42D6">
              <w:rPr>
                <w:sz w:val="16"/>
                <w:szCs w:val="16"/>
              </w:rPr>
              <w:t>Solar</w:t>
            </w:r>
          </w:p>
        </w:tc>
        <w:tc>
          <w:tcPr>
            <w:tcW w:w="1008" w:type="dxa"/>
            <w:tcBorders>
              <w:top w:val="single" w:sz="4" w:space="0" w:color="auto"/>
              <w:left w:val="nil"/>
              <w:bottom w:val="single" w:sz="4" w:space="0" w:color="auto"/>
              <w:right w:val="nil"/>
            </w:tcBorders>
            <w:shd w:val="clear" w:color="auto" w:fill="E2EFD9" w:themeFill="accent6" w:themeFillTint="33"/>
            <w:vAlign w:val="center"/>
            <w:hideMark/>
          </w:tcPr>
          <w:p w14:paraId="76CE6466" w14:textId="77777777" w:rsidR="008A1E55" w:rsidRPr="006B42D6" w:rsidRDefault="008A1E55" w:rsidP="00143C67">
            <w:pPr>
              <w:spacing w:line="240" w:lineRule="auto"/>
              <w:rPr>
                <w:sz w:val="16"/>
                <w:szCs w:val="16"/>
              </w:rPr>
            </w:pPr>
            <w:r w:rsidRPr="006B42D6">
              <w:rPr>
                <w:sz w:val="16"/>
                <w:szCs w:val="16"/>
              </w:rPr>
              <w:t>Gas (household biogas)</w:t>
            </w:r>
          </w:p>
        </w:tc>
        <w:tc>
          <w:tcPr>
            <w:tcW w:w="979" w:type="dxa"/>
            <w:tcBorders>
              <w:top w:val="single" w:sz="4" w:space="0" w:color="auto"/>
              <w:left w:val="nil"/>
              <w:bottom w:val="single" w:sz="4" w:space="0" w:color="auto"/>
              <w:right w:val="nil"/>
            </w:tcBorders>
            <w:shd w:val="clear" w:color="auto" w:fill="E2EFD9" w:themeFill="accent6" w:themeFillTint="33"/>
            <w:vAlign w:val="center"/>
            <w:hideMark/>
          </w:tcPr>
          <w:p w14:paraId="66EE832E" w14:textId="77777777" w:rsidR="008A1E55" w:rsidRPr="006B42D6" w:rsidRDefault="008A1E55" w:rsidP="00143C67">
            <w:pPr>
              <w:spacing w:line="240" w:lineRule="auto"/>
              <w:rPr>
                <w:sz w:val="16"/>
                <w:szCs w:val="16"/>
              </w:rPr>
            </w:pPr>
            <w:r w:rsidRPr="006B42D6">
              <w:rPr>
                <w:sz w:val="16"/>
                <w:szCs w:val="16"/>
              </w:rPr>
              <w:t>Gas (Industrial)</w:t>
            </w:r>
          </w:p>
        </w:tc>
        <w:tc>
          <w:tcPr>
            <w:tcW w:w="1086" w:type="dxa"/>
            <w:tcBorders>
              <w:top w:val="single" w:sz="4" w:space="0" w:color="auto"/>
              <w:left w:val="nil"/>
              <w:bottom w:val="single" w:sz="4" w:space="0" w:color="auto"/>
              <w:right w:val="nil"/>
            </w:tcBorders>
            <w:shd w:val="clear" w:color="auto" w:fill="E2EFD9" w:themeFill="accent6" w:themeFillTint="33"/>
            <w:vAlign w:val="center"/>
            <w:hideMark/>
          </w:tcPr>
          <w:p w14:paraId="672B6BBA" w14:textId="77777777" w:rsidR="008A1E55" w:rsidRPr="006B42D6" w:rsidRDefault="008A1E55" w:rsidP="00143C67">
            <w:pPr>
              <w:spacing w:line="240" w:lineRule="auto"/>
              <w:rPr>
                <w:sz w:val="16"/>
                <w:szCs w:val="16"/>
              </w:rPr>
            </w:pPr>
            <w:r w:rsidRPr="006B42D6">
              <w:rPr>
                <w:sz w:val="16"/>
                <w:szCs w:val="16"/>
              </w:rPr>
              <w:t>Paraffin/</w:t>
            </w:r>
            <w:r w:rsidRPr="006B42D6">
              <w:rPr>
                <w:sz w:val="16"/>
                <w:szCs w:val="16"/>
              </w:rPr>
              <w:br/>
              <w:t>kerosene</w:t>
            </w:r>
          </w:p>
        </w:tc>
        <w:tc>
          <w:tcPr>
            <w:tcW w:w="950" w:type="dxa"/>
            <w:tcBorders>
              <w:top w:val="single" w:sz="4" w:space="0" w:color="auto"/>
              <w:left w:val="nil"/>
              <w:bottom w:val="single" w:sz="4" w:space="0" w:color="auto"/>
              <w:right w:val="nil"/>
            </w:tcBorders>
            <w:shd w:val="clear" w:color="auto" w:fill="E2EFD9" w:themeFill="accent6" w:themeFillTint="33"/>
            <w:vAlign w:val="center"/>
            <w:hideMark/>
          </w:tcPr>
          <w:p w14:paraId="07D0AD9E" w14:textId="77777777" w:rsidR="008A1E55" w:rsidRPr="006B42D6" w:rsidRDefault="008A1E55" w:rsidP="00143C67">
            <w:pPr>
              <w:spacing w:line="240" w:lineRule="auto"/>
              <w:rPr>
                <w:sz w:val="16"/>
                <w:szCs w:val="16"/>
              </w:rPr>
            </w:pPr>
            <w:r w:rsidRPr="006B42D6">
              <w:rPr>
                <w:sz w:val="16"/>
                <w:szCs w:val="16"/>
              </w:rPr>
              <w:t>Charcoal</w:t>
            </w:r>
          </w:p>
        </w:tc>
        <w:tc>
          <w:tcPr>
            <w:tcW w:w="1039" w:type="dxa"/>
            <w:tcBorders>
              <w:top w:val="single" w:sz="4" w:space="0" w:color="auto"/>
              <w:left w:val="nil"/>
              <w:bottom w:val="single" w:sz="4" w:space="0" w:color="auto"/>
              <w:right w:val="nil"/>
            </w:tcBorders>
            <w:shd w:val="clear" w:color="auto" w:fill="E2EFD9" w:themeFill="accent6" w:themeFillTint="33"/>
            <w:vAlign w:val="center"/>
            <w:hideMark/>
          </w:tcPr>
          <w:p w14:paraId="6BA14137" w14:textId="77777777" w:rsidR="008A1E55" w:rsidRPr="006B42D6" w:rsidRDefault="008A1E55" w:rsidP="00143C67">
            <w:pPr>
              <w:spacing w:line="240" w:lineRule="auto"/>
              <w:rPr>
                <w:sz w:val="16"/>
                <w:szCs w:val="16"/>
              </w:rPr>
            </w:pPr>
            <w:r w:rsidRPr="006B42D6">
              <w:rPr>
                <w:sz w:val="16"/>
                <w:szCs w:val="16"/>
              </w:rPr>
              <w:t>Firewood</w:t>
            </w:r>
          </w:p>
        </w:tc>
        <w:tc>
          <w:tcPr>
            <w:tcW w:w="932" w:type="dxa"/>
            <w:tcBorders>
              <w:top w:val="single" w:sz="4" w:space="0" w:color="auto"/>
              <w:left w:val="nil"/>
              <w:bottom w:val="single" w:sz="4" w:space="0" w:color="auto"/>
              <w:right w:val="nil"/>
            </w:tcBorders>
            <w:shd w:val="clear" w:color="auto" w:fill="E2EFD9" w:themeFill="accent6" w:themeFillTint="33"/>
            <w:vAlign w:val="center"/>
            <w:hideMark/>
          </w:tcPr>
          <w:p w14:paraId="244FCB60" w14:textId="77777777" w:rsidR="008A1E55" w:rsidRPr="006B42D6" w:rsidRDefault="008A1E55" w:rsidP="00143C67">
            <w:pPr>
              <w:spacing w:line="240" w:lineRule="auto"/>
              <w:rPr>
                <w:sz w:val="16"/>
                <w:szCs w:val="16"/>
              </w:rPr>
            </w:pPr>
            <w:r w:rsidRPr="006B42D6">
              <w:rPr>
                <w:sz w:val="16"/>
                <w:szCs w:val="16"/>
              </w:rPr>
              <w:t>Crop Residues</w:t>
            </w:r>
          </w:p>
        </w:tc>
        <w:tc>
          <w:tcPr>
            <w:tcW w:w="1030" w:type="dxa"/>
            <w:tcBorders>
              <w:top w:val="single" w:sz="4" w:space="0" w:color="auto"/>
              <w:left w:val="nil"/>
              <w:bottom w:val="single" w:sz="4" w:space="0" w:color="auto"/>
              <w:right w:val="nil"/>
            </w:tcBorders>
            <w:shd w:val="clear" w:color="auto" w:fill="E2EFD9" w:themeFill="accent6" w:themeFillTint="33"/>
            <w:vAlign w:val="center"/>
            <w:hideMark/>
          </w:tcPr>
          <w:p w14:paraId="2439E709" w14:textId="77777777" w:rsidR="008A1E55" w:rsidRPr="006B42D6" w:rsidRDefault="008A1E55" w:rsidP="00143C67">
            <w:pPr>
              <w:spacing w:line="240" w:lineRule="auto"/>
              <w:rPr>
                <w:sz w:val="16"/>
                <w:szCs w:val="16"/>
              </w:rPr>
            </w:pPr>
            <w:r w:rsidRPr="006B42D6">
              <w:rPr>
                <w:sz w:val="16"/>
                <w:szCs w:val="16"/>
              </w:rPr>
              <w:t>Livestock dung</w:t>
            </w:r>
          </w:p>
        </w:tc>
        <w:tc>
          <w:tcPr>
            <w:tcW w:w="905" w:type="dxa"/>
            <w:tcBorders>
              <w:top w:val="single" w:sz="4" w:space="0" w:color="auto"/>
              <w:left w:val="nil"/>
              <w:bottom w:val="single" w:sz="4" w:space="0" w:color="auto"/>
              <w:right w:val="nil"/>
            </w:tcBorders>
            <w:shd w:val="clear" w:color="auto" w:fill="E2EFD9" w:themeFill="accent6" w:themeFillTint="33"/>
            <w:vAlign w:val="center"/>
            <w:hideMark/>
          </w:tcPr>
          <w:p w14:paraId="5C6110D8" w14:textId="77777777" w:rsidR="008A1E55" w:rsidRPr="006B42D6" w:rsidRDefault="008A1E55" w:rsidP="00143C67">
            <w:pPr>
              <w:spacing w:line="240" w:lineRule="auto"/>
              <w:rPr>
                <w:sz w:val="16"/>
                <w:szCs w:val="16"/>
              </w:rPr>
            </w:pPr>
            <w:r w:rsidRPr="006B42D6">
              <w:rPr>
                <w:sz w:val="16"/>
                <w:szCs w:val="16"/>
              </w:rPr>
              <w:t>Natural Gas</w:t>
            </w:r>
          </w:p>
        </w:tc>
        <w:tc>
          <w:tcPr>
            <w:tcW w:w="998" w:type="dxa"/>
            <w:tcBorders>
              <w:top w:val="single" w:sz="4" w:space="0" w:color="auto"/>
              <w:left w:val="nil"/>
              <w:bottom w:val="single" w:sz="4" w:space="0" w:color="auto"/>
              <w:right w:val="nil"/>
            </w:tcBorders>
            <w:shd w:val="clear" w:color="auto" w:fill="E2EFD9" w:themeFill="accent6" w:themeFillTint="33"/>
            <w:vAlign w:val="center"/>
            <w:hideMark/>
          </w:tcPr>
          <w:p w14:paraId="12D020BD" w14:textId="77777777" w:rsidR="008A1E55" w:rsidRPr="006B42D6" w:rsidRDefault="008A1E55" w:rsidP="00143C67">
            <w:pPr>
              <w:spacing w:line="240" w:lineRule="auto"/>
              <w:rPr>
                <w:sz w:val="16"/>
                <w:szCs w:val="16"/>
              </w:rPr>
            </w:pPr>
            <w:r w:rsidRPr="006B42D6">
              <w:rPr>
                <w:sz w:val="16"/>
                <w:szCs w:val="16"/>
              </w:rPr>
              <w:t>Generator/</w:t>
            </w:r>
            <w:r w:rsidRPr="006B42D6">
              <w:rPr>
                <w:sz w:val="16"/>
                <w:szCs w:val="16"/>
              </w:rPr>
              <w:br/>
              <w:t>Private source</w:t>
            </w:r>
          </w:p>
        </w:tc>
        <w:tc>
          <w:tcPr>
            <w:tcW w:w="827" w:type="dxa"/>
            <w:tcBorders>
              <w:top w:val="single" w:sz="4" w:space="0" w:color="auto"/>
              <w:left w:val="nil"/>
              <w:bottom w:val="single" w:sz="4" w:space="0" w:color="auto"/>
              <w:right w:val="nil"/>
            </w:tcBorders>
            <w:shd w:val="clear" w:color="auto" w:fill="E2EFD9" w:themeFill="accent6" w:themeFillTint="33"/>
            <w:vAlign w:val="center"/>
            <w:hideMark/>
          </w:tcPr>
          <w:p w14:paraId="5584A636" w14:textId="77777777" w:rsidR="008A1E55" w:rsidRPr="006B42D6" w:rsidRDefault="008A1E55" w:rsidP="00143C67">
            <w:pPr>
              <w:spacing w:line="240" w:lineRule="auto"/>
              <w:rPr>
                <w:sz w:val="16"/>
                <w:szCs w:val="16"/>
              </w:rPr>
            </w:pPr>
            <w:r w:rsidRPr="006B42D6">
              <w:rPr>
                <w:sz w:val="16"/>
                <w:szCs w:val="16"/>
              </w:rPr>
              <w:t>Other</w:t>
            </w:r>
          </w:p>
        </w:tc>
      </w:tr>
      <w:tr w:rsidR="006B42D6" w:rsidRPr="006B42D6" w14:paraId="4A3C535C" w14:textId="77777777" w:rsidTr="00143C67">
        <w:trPr>
          <w:trHeight w:hRule="exact" w:val="227"/>
        </w:trPr>
        <w:tc>
          <w:tcPr>
            <w:tcW w:w="1668" w:type="dxa"/>
            <w:tcBorders>
              <w:top w:val="nil"/>
              <w:left w:val="nil"/>
              <w:bottom w:val="nil"/>
              <w:right w:val="nil"/>
            </w:tcBorders>
            <w:shd w:val="clear" w:color="auto" w:fill="auto"/>
            <w:noWrap/>
            <w:vAlign w:val="center"/>
            <w:hideMark/>
          </w:tcPr>
          <w:p w14:paraId="7B063F3E" w14:textId="77777777" w:rsidR="008A1E55" w:rsidRPr="006B42D6" w:rsidRDefault="008A1E55" w:rsidP="00E16CAE">
            <w:pPr>
              <w:rPr>
                <w:sz w:val="16"/>
                <w:szCs w:val="16"/>
              </w:rPr>
            </w:pPr>
            <w:r w:rsidRPr="006B42D6">
              <w:rPr>
                <w:sz w:val="16"/>
                <w:szCs w:val="16"/>
              </w:rPr>
              <w:t>Dodoma</w:t>
            </w:r>
          </w:p>
        </w:tc>
        <w:tc>
          <w:tcPr>
            <w:tcW w:w="977" w:type="dxa"/>
            <w:tcBorders>
              <w:top w:val="nil"/>
              <w:left w:val="nil"/>
              <w:bottom w:val="nil"/>
              <w:right w:val="nil"/>
            </w:tcBorders>
            <w:shd w:val="clear" w:color="auto" w:fill="auto"/>
            <w:noWrap/>
            <w:vAlign w:val="center"/>
            <w:hideMark/>
          </w:tcPr>
          <w:p w14:paraId="39B5227D" w14:textId="77777777" w:rsidR="008A1E55" w:rsidRPr="006B42D6" w:rsidRDefault="008A1E55" w:rsidP="00E16CAE">
            <w:pPr>
              <w:jc w:val="right"/>
              <w:rPr>
                <w:sz w:val="16"/>
                <w:szCs w:val="16"/>
              </w:rPr>
            </w:pPr>
            <w:r w:rsidRPr="006B42D6">
              <w:rPr>
                <w:sz w:val="16"/>
                <w:szCs w:val="16"/>
              </w:rPr>
              <w:t>1.4</w:t>
            </w:r>
          </w:p>
        </w:tc>
        <w:tc>
          <w:tcPr>
            <w:tcW w:w="826" w:type="dxa"/>
            <w:tcBorders>
              <w:top w:val="nil"/>
              <w:left w:val="nil"/>
              <w:bottom w:val="nil"/>
              <w:right w:val="nil"/>
            </w:tcBorders>
            <w:shd w:val="clear" w:color="auto" w:fill="auto"/>
            <w:noWrap/>
            <w:vAlign w:val="center"/>
            <w:hideMark/>
          </w:tcPr>
          <w:p w14:paraId="74F8DDB7" w14:textId="77777777" w:rsidR="008A1E55" w:rsidRPr="006B42D6" w:rsidRDefault="008A1E55" w:rsidP="00E16CAE">
            <w:pPr>
              <w:jc w:val="right"/>
              <w:rPr>
                <w:sz w:val="16"/>
                <w:szCs w:val="16"/>
              </w:rPr>
            </w:pPr>
            <w:r w:rsidRPr="006B42D6">
              <w:rPr>
                <w:sz w:val="16"/>
                <w:szCs w:val="16"/>
              </w:rPr>
              <w:t>1.5</w:t>
            </w:r>
          </w:p>
        </w:tc>
        <w:tc>
          <w:tcPr>
            <w:tcW w:w="1008" w:type="dxa"/>
            <w:tcBorders>
              <w:top w:val="nil"/>
              <w:left w:val="nil"/>
              <w:bottom w:val="nil"/>
              <w:right w:val="nil"/>
            </w:tcBorders>
            <w:shd w:val="clear" w:color="auto" w:fill="auto"/>
            <w:noWrap/>
            <w:vAlign w:val="center"/>
            <w:hideMark/>
          </w:tcPr>
          <w:p w14:paraId="0A5E9A30" w14:textId="77777777" w:rsidR="008A1E55" w:rsidRPr="006B42D6" w:rsidRDefault="008A1E55" w:rsidP="00E16CAE">
            <w:pPr>
              <w:jc w:val="right"/>
              <w:rPr>
                <w:sz w:val="16"/>
                <w:szCs w:val="16"/>
              </w:rPr>
            </w:pPr>
            <w:r w:rsidRPr="006B42D6">
              <w:rPr>
                <w:sz w:val="16"/>
                <w:szCs w:val="16"/>
              </w:rPr>
              <w:t>4.0</w:t>
            </w:r>
          </w:p>
        </w:tc>
        <w:tc>
          <w:tcPr>
            <w:tcW w:w="979" w:type="dxa"/>
            <w:tcBorders>
              <w:top w:val="nil"/>
              <w:left w:val="nil"/>
              <w:bottom w:val="nil"/>
              <w:right w:val="nil"/>
            </w:tcBorders>
            <w:shd w:val="clear" w:color="auto" w:fill="auto"/>
            <w:noWrap/>
            <w:vAlign w:val="center"/>
            <w:hideMark/>
          </w:tcPr>
          <w:p w14:paraId="6A4DDBB5" w14:textId="77777777" w:rsidR="008A1E55" w:rsidRPr="006B42D6" w:rsidRDefault="008A1E55" w:rsidP="00E16CAE">
            <w:pPr>
              <w:jc w:val="right"/>
              <w:rPr>
                <w:sz w:val="16"/>
                <w:szCs w:val="16"/>
              </w:rPr>
            </w:pPr>
            <w:r w:rsidRPr="006B42D6">
              <w:rPr>
                <w:sz w:val="16"/>
                <w:szCs w:val="16"/>
              </w:rPr>
              <w:t>4.7</w:t>
            </w:r>
          </w:p>
        </w:tc>
        <w:tc>
          <w:tcPr>
            <w:tcW w:w="1086" w:type="dxa"/>
            <w:tcBorders>
              <w:top w:val="nil"/>
              <w:left w:val="nil"/>
              <w:bottom w:val="nil"/>
              <w:right w:val="nil"/>
            </w:tcBorders>
            <w:shd w:val="clear" w:color="auto" w:fill="auto"/>
            <w:noWrap/>
            <w:vAlign w:val="center"/>
            <w:hideMark/>
          </w:tcPr>
          <w:p w14:paraId="47F29867" w14:textId="77777777" w:rsidR="008A1E55" w:rsidRPr="006B42D6" w:rsidRDefault="008A1E55" w:rsidP="00E16CAE">
            <w:pPr>
              <w:jc w:val="right"/>
              <w:rPr>
                <w:sz w:val="16"/>
                <w:szCs w:val="16"/>
              </w:rPr>
            </w:pPr>
            <w:r w:rsidRPr="006B42D6">
              <w:rPr>
                <w:sz w:val="16"/>
                <w:szCs w:val="16"/>
              </w:rPr>
              <w:t>-</w:t>
            </w:r>
          </w:p>
        </w:tc>
        <w:tc>
          <w:tcPr>
            <w:tcW w:w="950" w:type="dxa"/>
            <w:tcBorders>
              <w:top w:val="nil"/>
              <w:left w:val="nil"/>
              <w:bottom w:val="nil"/>
              <w:right w:val="nil"/>
            </w:tcBorders>
            <w:shd w:val="clear" w:color="auto" w:fill="auto"/>
            <w:noWrap/>
            <w:vAlign w:val="center"/>
            <w:hideMark/>
          </w:tcPr>
          <w:p w14:paraId="40CD859A" w14:textId="77777777" w:rsidR="008A1E55" w:rsidRPr="006B42D6" w:rsidRDefault="008A1E55" w:rsidP="00E16CAE">
            <w:pPr>
              <w:jc w:val="right"/>
              <w:rPr>
                <w:sz w:val="16"/>
                <w:szCs w:val="16"/>
              </w:rPr>
            </w:pPr>
            <w:r w:rsidRPr="006B42D6">
              <w:rPr>
                <w:sz w:val="16"/>
                <w:szCs w:val="16"/>
              </w:rPr>
              <w:t>3.6</w:t>
            </w:r>
          </w:p>
        </w:tc>
        <w:tc>
          <w:tcPr>
            <w:tcW w:w="1039" w:type="dxa"/>
            <w:tcBorders>
              <w:top w:val="nil"/>
              <w:left w:val="nil"/>
              <w:bottom w:val="nil"/>
              <w:right w:val="nil"/>
            </w:tcBorders>
            <w:shd w:val="clear" w:color="auto" w:fill="auto"/>
            <w:noWrap/>
            <w:vAlign w:val="center"/>
            <w:hideMark/>
          </w:tcPr>
          <w:p w14:paraId="278B4B26" w14:textId="77777777" w:rsidR="008A1E55" w:rsidRPr="006B42D6" w:rsidRDefault="008A1E55" w:rsidP="00E16CAE">
            <w:pPr>
              <w:jc w:val="right"/>
              <w:rPr>
                <w:sz w:val="16"/>
                <w:szCs w:val="16"/>
              </w:rPr>
            </w:pPr>
            <w:r w:rsidRPr="006B42D6">
              <w:rPr>
                <w:sz w:val="16"/>
                <w:szCs w:val="16"/>
              </w:rPr>
              <w:t>7.3</w:t>
            </w:r>
          </w:p>
        </w:tc>
        <w:tc>
          <w:tcPr>
            <w:tcW w:w="932" w:type="dxa"/>
            <w:tcBorders>
              <w:top w:val="nil"/>
              <w:left w:val="nil"/>
              <w:bottom w:val="nil"/>
              <w:right w:val="nil"/>
            </w:tcBorders>
            <w:shd w:val="clear" w:color="auto" w:fill="auto"/>
            <w:noWrap/>
            <w:vAlign w:val="center"/>
            <w:hideMark/>
          </w:tcPr>
          <w:p w14:paraId="25CEC15B" w14:textId="77777777" w:rsidR="008A1E55" w:rsidRPr="006B42D6" w:rsidRDefault="008A1E55" w:rsidP="00E16CAE">
            <w:pPr>
              <w:jc w:val="right"/>
              <w:rPr>
                <w:sz w:val="16"/>
                <w:szCs w:val="16"/>
              </w:rPr>
            </w:pPr>
            <w:r w:rsidRPr="006B42D6">
              <w:rPr>
                <w:sz w:val="16"/>
                <w:szCs w:val="16"/>
              </w:rPr>
              <w:t>26.4</w:t>
            </w:r>
          </w:p>
        </w:tc>
        <w:tc>
          <w:tcPr>
            <w:tcW w:w="1030" w:type="dxa"/>
            <w:tcBorders>
              <w:top w:val="nil"/>
              <w:left w:val="nil"/>
              <w:bottom w:val="nil"/>
              <w:right w:val="nil"/>
            </w:tcBorders>
            <w:shd w:val="clear" w:color="auto" w:fill="auto"/>
            <w:noWrap/>
            <w:vAlign w:val="center"/>
            <w:hideMark/>
          </w:tcPr>
          <w:p w14:paraId="07DC7DA7" w14:textId="77777777" w:rsidR="008A1E55" w:rsidRPr="006B42D6" w:rsidRDefault="008A1E55" w:rsidP="00E16CAE">
            <w:pPr>
              <w:jc w:val="right"/>
              <w:rPr>
                <w:sz w:val="16"/>
                <w:szCs w:val="16"/>
              </w:rPr>
            </w:pPr>
            <w:r w:rsidRPr="006B42D6">
              <w:rPr>
                <w:sz w:val="16"/>
                <w:szCs w:val="16"/>
              </w:rPr>
              <w:t>-</w:t>
            </w:r>
          </w:p>
        </w:tc>
        <w:tc>
          <w:tcPr>
            <w:tcW w:w="905" w:type="dxa"/>
            <w:tcBorders>
              <w:top w:val="nil"/>
              <w:left w:val="nil"/>
              <w:bottom w:val="nil"/>
              <w:right w:val="nil"/>
            </w:tcBorders>
            <w:shd w:val="clear" w:color="auto" w:fill="auto"/>
            <w:noWrap/>
            <w:vAlign w:val="center"/>
            <w:hideMark/>
          </w:tcPr>
          <w:p w14:paraId="30CD2EFC" w14:textId="77777777" w:rsidR="008A1E55" w:rsidRPr="006B42D6" w:rsidRDefault="008A1E55" w:rsidP="00E16CAE">
            <w:pPr>
              <w:jc w:val="right"/>
              <w:rPr>
                <w:sz w:val="16"/>
                <w:szCs w:val="16"/>
              </w:rPr>
            </w:pPr>
            <w:r w:rsidRPr="006B42D6">
              <w:rPr>
                <w:sz w:val="16"/>
                <w:szCs w:val="16"/>
              </w:rPr>
              <w:t>-</w:t>
            </w:r>
          </w:p>
        </w:tc>
        <w:tc>
          <w:tcPr>
            <w:tcW w:w="998" w:type="dxa"/>
            <w:tcBorders>
              <w:top w:val="nil"/>
              <w:left w:val="nil"/>
              <w:bottom w:val="nil"/>
              <w:right w:val="nil"/>
            </w:tcBorders>
            <w:shd w:val="clear" w:color="auto" w:fill="auto"/>
            <w:noWrap/>
            <w:vAlign w:val="center"/>
            <w:hideMark/>
          </w:tcPr>
          <w:p w14:paraId="4A903FAE" w14:textId="77777777" w:rsidR="008A1E55" w:rsidRPr="006B42D6" w:rsidRDefault="008A1E55" w:rsidP="00E16CAE">
            <w:pPr>
              <w:jc w:val="right"/>
              <w:rPr>
                <w:sz w:val="16"/>
                <w:szCs w:val="16"/>
              </w:rPr>
            </w:pPr>
            <w:r w:rsidRPr="006B42D6">
              <w:rPr>
                <w:sz w:val="16"/>
                <w:szCs w:val="16"/>
              </w:rPr>
              <w:t>100.0</w:t>
            </w:r>
          </w:p>
        </w:tc>
        <w:tc>
          <w:tcPr>
            <w:tcW w:w="827" w:type="dxa"/>
            <w:tcBorders>
              <w:top w:val="nil"/>
              <w:left w:val="nil"/>
              <w:bottom w:val="nil"/>
              <w:right w:val="nil"/>
            </w:tcBorders>
            <w:shd w:val="clear" w:color="auto" w:fill="auto"/>
            <w:noWrap/>
            <w:vAlign w:val="center"/>
            <w:hideMark/>
          </w:tcPr>
          <w:p w14:paraId="1AE7D0A7" w14:textId="77777777" w:rsidR="008A1E55" w:rsidRPr="006B42D6" w:rsidRDefault="008A1E55" w:rsidP="00E16CAE">
            <w:pPr>
              <w:jc w:val="right"/>
              <w:rPr>
                <w:sz w:val="16"/>
                <w:szCs w:val="16"/>
              </w:rPr>
            </w:pPr>
            <w:r w:rsidRPr="006B42D6">
              <w:rPr>
                <w:sz w:val="16"/>
                <w:szCs w:val="16"/>
              </w:rPr>
              <w:t>5.1</w:t>
            </w:r>
          </w:p>
        </w:tc>
      </w:tr>
      <w:tr w:rsidR="006B42D6" w:rsidRPr="006B42D6" w14:paraId="6DC411E7" w14:textId="77777777" w:rsidTr="00143C67">
        <w:trPr>
          <w:trHeight w:hRule="exact" w:val="227"/>
        </w:trPr>
        <w:tc>
          <w:tcPr>
            <w:tcW w:w="1668" w:type="dxa"/>
            <w:tcBorders>
              <w:top w:val="nil"/>
              <w:left w:val="nil"/>
              <w:bottom w:val="nil"/>
              <w:right w:val="nil"/>
            </w:tcBorders>
            <w:shd w:val="clear" w:color="auto" w:fill="auto"/>
            <w:noWrap/>
            <w:vAlign w:val="center"/>
            <w:hideMark/>
          </w:tcPr>
          <w:p w14:paraId="0756CF36" w14:textId="77777777" w:rsidR="008A1E55" w:rsidRPr="006B42D6" w:rsidRDefault="008A1E55" w:rsidP="00E16CAE">
            <w:pPr>
              <w:rPr>
                <w:sz w:val="16"/>
                <w:szCs w:val="16"/>
              </w:rPr>
            </w:pPr>
            <w:r w:rsidRPr="006B42D6">
              <w:rPr>
                <w:sz w:val="16"/>
                <w:szCs w:val="16"/>
              </w:rPr>
              <w:t>Arusha</w:t>
            </w:r>
          </w:p>
        </w:tc>
        <w:tc>
          <w:tcPr>
            <w:tcW w:w="977" w:type="dxa"/>
            <w:tcBorders>
              <w:top w:val="nil"/>
              <w:left w:val="nil"/>
              <w:bottom w:val="nil"/>
              <w:right w:val="nil"/>
            </w:tcBorders>
            <w:shd w:val="clear" w:color="auto" w:fill="auto"/>
            <w:noWrap/>
            <w:vAlign w:val="center"/>
            <w:hideMark/>
          </w:tcPr>
          <w:p w14:paraId="2857F57A" w14:textId="77777777" w:rsidR="008A1E55" w:rsidRPr="006B42D6" w:rsidRDefault="008A1E55" w:rsidP="00E16CAE">
            <w:pPr>
              <w:jc w:val="right"/>
              <w:rPr>
                <w:sz w:val="16"/>
                <w:szCs w:val="16"/>
              </w:rPr>
            </w:pPr>
            <w:r w:rsidRPr="006B42D6">
              <w:rPr>
                <w:sz w:val="16"/>
                <w:szCs w:val="16"/>
              </w:rPr>
              <w:t>3.6</w:t>
            </w:r>
          </w:p>
        </w:tc>
        <w:tc>
          <w:tcPr>
            <w:tcW w:w="826" w:type="dxa"/>
            <w:tcBorders>
              <w:top w:val="nil"/>
              <w:left w:val="nil"/>
              <w:bottom w:val="nil"/>
              <w:right w:val="nil"/>
            </w:tcBorders>
            <w:shd w:val="clear" w:color="auto" w:fill="auto"/>
            <w:noWrap/>
            <w:vAlign w:val="center"/>
            <w:hideMark/>
          </w:tcPr>
          <w:p w14:paraId="51711F43" w14:textId="77777777" w:rsidR="008A1E55" w:rsidRPr="006B42D6" w:rsidRDefault="008A1E55" w:rsidP="00E16CAE">
            <w:pPr>
              <w:jc w:val="right"/>
              <w:rPr>
                <w:sz w:val="16"/>
                <w:szCs w:val="16"/>
              </w:rPr>
            </w:pPr>
            <w:r w:rsidRPr="006B42D6">
              <w:rPr>
                <w:sz w:val="16"/>
                <w:szCs w:val="16"/>
              </w:rPr>
              <w:t>4.9</w:t>
            </w:r>
          </w:p>
        </w:tc>
        <w:tc>
          <w:tcPr>
            <w:tcW w:w="1008" w:type="dxa"/>
            <w:tcBorders>
              <w:top w:val="nil"/>
              <w:left w:val="nil"/>
              <w:bottom w:val="nil"/>
              <w:right w:val="nil"/>
            </w:tcBorders>
            <w:shd w:val="clear" w:color="auto" w:fill="auto"/>
            <w:noWrap/>
            <w:vAlign w:val="center"/>
            <w:hideMark/>
          </w:tcPr>
          <w:p w14:paraId="7BC9344A" w14:textId="77777777" w:rsidR="008A1E55" w:rsidRPr="006B42D6" w:rsidRDefault="008A1E55" w:rsidP="00E16CAE">
            <w:pPr>
              <w:jc w:val="right"/>
              <w:rPr>
                <w:sz w:val="16"/>
                <w:szCs w:val="16"/>
              </w:rPr>
            </w:pPr>
            <w:r w:rsidRPr="006B42D6">
              <w:rPr>
                <w:sz w:val="16"/>
                <w:szCs w:val="16"/>
              </w:rPr>
              <w:t>2.2</w:t>
            </w:r>
          </w:p>
        </w:tc>
        <w:tc>
          <w:tcPr>
            <w:tcW w:w="979" w:type="dxa"/>
            <w:tcBorders>
              <w:top w:val="nil"/>
              <w:left w:val="nil"/>
              <w:bottom w:val="nil"/>
              <w:right w:val="nil"/>
            </w:tcBorders>
            <w:shd w:val="clear" w:color="auto" w:fill="auto"/>
            <w:noWrap/>
            <w:vAlign w:val="center"/>
            <w:hideMark/>
          </w:tcPr>
          <w:p w14:paraId="70E7EAC0" w14:textId="77777777" w:rsidR="008A1E55" w:rsidRPr="006B42D6" w:rsidRDefault="008A1E55" w:rsidP="00E16CAE">
            <w:pPr>
              <w:jc w:val="right"/>
              <w:rPr>
                <w:sz w:val="16"/>
                <w:szCs w:val="16"/>
              </w:rPr>
            </w:pPr>
            <w:r w:rsidRPr="006B42D6">
              <w:rPr>
                <w:sz w:val="16"/>
                <w:szCs w:val="16"/>
              </w:rPr>
              <w:t>11.9</w:t>
            </w:r>
          </w:p>
        </w:tc>
        <w:tc>
          <w:tcPr>
            <w:tcW w:w="1086" w:type="dxa"/>
            <w:tcBorders>
              <w:top w:val="nil"/>
              <w:left w:val="nil"/>
              <w:bottom w:val="nil"/>
              <w:right w:val="nil"/>
            </w:tcBorders>
            <w:shd w:val="clear" w:color="auto" w:fill="auto"/>
            <w:noWrap/>
            <w:vAlign w:val="center"/>
            <w:hideMark/>
          </w:tcPr>
          <w:p w14:paraId="0C25A8EF" w14:textId="77777777" w:rsidR="008A1E55" w:rsidRPr="006B42D6" w:rsidRDefault="008A1E55" w:rsidP="00E16CAE">
            <w:pPr>
              <w:jc w:val="right"/>
              <w:rPr>
                <w:sz w:val="16"/>
                <w:szCs w:val="16"/>
              </w:rPr>
            </w:pPr>
            <w:r w:rsidRPr="006B42D6">
              <w:rPr>
                <w:sz w:val="16"/>
                <w:szCs w:val="16"/>
              </w:rPr>
              <w:t>3.1</w:t>
            </w:r>
          </w:p>
        </w:tc>
        <w:tc>
          <w:tcPr>
            <w:tcW w:w="950" w:type="dxa"/>
            <w:tcBorders>
              <w:top w:val="nil"/>
              <w:left w:val="nil"/>
              <w:bottom w:val="nil"/>
              <w:right w:val="nil"/>
            </w:tcBorders>
            <w:shd w:val="clear" w:color="auto" w:fill="auto"/>
            <w:noWrap/>
            <w:vAlign w:val="center"/>
            <w:hideMark/>
          </w:tcPr>
          <w:p w14:paraId="1BCEA2EE" w14:textId="77777777" w:rsidR="008A1E55" w:rsidRPr="006B42D6" w:rsidRDefault="008A1E55" w:rsidP="00E16CAE">
            <w:pPr>
              <w:jc w:val="right"/>
              <w:rPr>
                <w:sz w:val="16"/>
                <w:szCs w:val="16"/>
              </w:rPr>
            </w:pPr>
            <w:r w:rsidRPr="006B42D6">
              <w:rPr>
                <w:sz w:val="16"/>
                <w:szCs w:val="16"/>
              </w:rPr>
              <w:t>0.5</w:t>
            </w:r>
          </w:p>
        </w:tc>
        <w:tc>
          <w:tcPr>
            <w:tcW w:w="1039" w:type="dxa"/>
            <w:tcBorders>
              <w:top w:val="nil"/>
              <w:left w:val="nil"/>
              <w:bottom w:val="nil"/>
              <w:right w:val="nil"/>
            </w:tcBorders>
            <w:shd w:val="clear" w:color="auto" w:fill="auto"/>
            <w:noWrap/>
            <w:vAlign w:val="center"/>
            <w:hideMark/>
          </w:tcPr>
          <w:p w14:paraId="614D5096" w14:textId="77777777" w:rsidR="008A1E55" w:rsidRPr="006B42D6" w:rsidRDefault="008A1E55" w:rsidP="00E16CAE">
            <w:pPr>
              <w:jc w:val="right"/>
              <w:rPr>
                <w:sz w:val="16"/>
                <w:szCs w:val="16"/>
              </w:rPr>
            </w:pPr>
            <w:r w:rsidRPr="006B42D6">
              <w:rPr>
                <w:sz w:val="16"/>
                <w:szCs w:val="16"/>
              </w:rPr>
              <w:t>3.0</w:t>
            </w:r>
          </w:p>
        </w:tc>
        <w:tc>
          <w:tcPr>
            <w:tcW w:w="932" w:type="dxa"/>
            <w:tcBorders>
              <w:top w:val="nil"/>
              <w:left w:val="nil"/>
              <w:bottom w:val="nil"/>
              <w:right w:val="nil"/>
            </w:tcBorders>
            <w:shd w:val="clear" w:color="auto" w:fill="auto"/>
            <w:noWrap/>
            <w:vAlign w:val="center"/>
            <w:hideMark/>
          </w:tcPr>
          <w:p w14:paraId="6E19794F" w14:textId="77777777" w:rsidR="008A1E55" w:rsidRPr="006B42D6" w:rsidRDefault="008A1E55" w:rsidP="00E16CAE">
            <w:pPr>
              <w:jc w:val="right"/>
              <w:rPr>
                <w:sz w:val="16"/>
                <w:szCs w:val="16"/>
              </w:rPr>
            </w:pPr>
            <w:r w:rsidRPr="006B42D6">
              <w:rPr>
                <w:sz w:val="16"/>
                <w:szCs w:val="16"/>
              </w:rPr>
              <w:t>2.9</w:t>
            </w:r>
          </w:p>
        </w:tc>
        <w:tc>
          <w:tcPr>
            <w:tcW w:w="1030" w:type="dxa"/>
            <w:tcBorders>
              <w:top w:val="nil"/>
              <w:left w:val="nil"/>
              <w:bottom w:val="nil"/>
              <w:right w:val="nil"/>
            </w:tcBorders>
            <w:shd w:val="clear" w:color="auto" w:fill="auto"/>
            <w:noWrap/>
            <w:vAlign w:val="center"/>
            <w:hideMark/>
          </w:tcPr>
          <w:p w14:paraId="624FBE56" w14:textId="77777777" w:rsidR="008A1E55" w:rsidRPr="006B42D6" w:rsidRDefault="008A1E55" w:rsidP="00E16CAE">
            <w:pPr>
              <w:jc w:val="right"/>
              <w:rPr>
                <w:sz w:val="16"/>
                <w:szCs w:val="16"/>
              </w:rPr>
            </w:pPr>
            <w:r w:rsidRPr="006B42D6">
              <w:rPr>
                <w:sz w:val="16"/>
                <w:szCs w:val="16"/>
              </w:rPr>
              <w:t>29.0</w:t>
            </w:r>
          </w:p>
        </w:tc>
        <w:tc>
          <w:tcPr>
            <w:tcW w:w="905" w:type="dxa"/>
            <w:tcBorders>
              <w:top w:val="nil"/>
              <w:left w:val="nil"/>
              <w:bottom w:val="nil"/>
              <w:right w:val="nil"/>
            </w:tcBorders>
            <w:shd w:val="clear" w:color="auto" w:fill="auto"/>
            <w:noWrap/>
            <w:vAlign w:val="center"/>
            <w:hideMark/>
          </w:tcPr>
          <w:p w14:paraId="2845E626" w14:textId="77777777" w:rsidR="008A1E55" w:rsidRPr="006B42D6" w:rsidRDefault="008A1E55" w:rsidP="00E16CAE">
            <w:pPr>
              <w:jc w:val="right"/>
              <w:rPr>
                <w:sz w:val="16"/>
                <w:szCs w:val="16"/>
              </w:rPr>
            </w:pPr>
            <w:r w:rsidRPr="006B42D6">
              <w:rPr>
                <w:sz w:val="16"/>
                <w:szCs w:val="16"/>
              </w:rPr>
              <w:t>-</w:t>
            </w:r>
          </w:p>
        </w:tc>
        <w:tc>
          <w:tcPr>
            <w:tcW w:w="998" w:type="dxa"/>
            <w:tcBorders>
              <w:top w:val="nil"/>
              <w:left w:val="nil"/>
              <w:bottom w:val="nil"/>
              <w:right w:val="nil"/>
            </w:tcBorders>
            <w:shd w:val="clear" w:color="auto" w:fill="auto"/>
            <w:noWrap/>
            <w:vAlign w:val="center"/>
            <w:hideMark/>
          </w:tcPr>
          <w:p w14:paraId="1C9B11C7" w14:textId="77777777" w:rsidR="008A1E55" w:rsidRPr="006B42D6" w:rsidRDefault="008A1E55" w:rsidP="00E16CAE">
            <w:pPr>
              <w:jc w:val="right"/>
              <w:rPr>
                <w:sz w:val="16"/>
                <w:szCs w:val="16"/>
              </w:rPr>
            </w:pPr>
            <w:r w:rsidRPr="006B42D6">
              <w:rPr>
                <w:sz w:val="16"/>
                <w:szCs w:val="16"/>
              </w:rPr>
              <w:t>-</w:t>
            </w:r>
          </w:p>
        </w:tc>
        <w:tc>
          <w:tcPr>
            <w:tcW w:w="827" w:type="dxa"/>
            <w:tcBorders>
              <w:top w:val="nil"/>
              <w:left w:val="nil"/>
              <w:bottom w:val="nil"/>
              <w:right w:val="nil"/>
            </w:tcBorders>
            <w:shd w:val="clear" w:color="auto" w:fill="auto"/>
            <w:noWrap/>
            <w:vAlign w:val="center"/>
            <w:hideMark/>
          </w:tcPr>
          <w:p w14:paraId="0405CE32" w14:textId="77777777" w:rsidR="008A1E55" w:rsidRPr="006B42D6" w:rsidRDefault="008A1E55" w:rsidP="00E16CAE">
            <w:pPr>
              <w:jc w:val="right"/>
              <w:rPr>
                <w:sz w:val="16"/>
                <w:szCs w:val="16"/>
              </w:rPr>
            </w:pPr>
            <w:r w:rsidRPr="006B42D6">
              <w:rPr>
                <w:sz w:val="16"/>
                <w:szCs w:val="16"/>
              </w:rPr>
              <w:t>1.9</w:t>
            </w:r>
          </w:p>
        </w:tc>
      </w:tr>
      <w:tr w:rsidR="006B42D6" w:rsidRPr="006B42D6" w14:paraId="4A973CA0" w14:textId="77777777" w:rsidTr="00143C67">
        <w:trPr>
          <w:trHeight w:hRule="exact" w:val="227"/>
        </w:trPr>
        <w:tc>
          <w:tcPr>
            <w:tcW w:w="1668" w:type="dxa"/>
            <w:tcBorders>
              <w:top w:val="nil"/>
              <w:left w:val="nil"/>
              <w:bottom w:val="nil"/>
              <w:right w:val="nil"/>
            </w:tcBorders>
            <w:shd w:val="clear" w:color="auto" w:fill="auto"/>
            <w:noWrap/>
            <w:vAlign w:val="center"/>
            <w:hideMark/>
          </w:tcPr>
          <w:p w14:paraId="15EFBE89" w14:textId="77777777" w:rsidR="008A1E55" w:rsidRPr="006B42D6" w:rsidRDefault="008A1E55" w:rsidP="00E16CAE">
            <w:pPr>
              <w:rPr>
                <w:sz w:val="16"/>
                <w:szCs w:val="16"/>
              </w:rPr>
            </w:pPr>
            <w:r w:rsidRPr="006B42D6">
              <w:rPr>
                <w:sz w:val="16"/>
                <w:szCs w:val="16"/>
              </w:rPr>
              <w:t>Kilimanjaro</w:t>
            </w:r>
          </w:p>
        </w:tc>
        <w:tc>
          <w:tcPr>
            <w:tcW w:w="977" w:type="dxa"/>
            <w:tcBorders>
              <w:top w:val="nil"/>
              <w:left w:val="nil"/>
              <w:bottom w:val="nil"/>
              <w:right w:val="nil"/>
            </w:tcBorders>
            <w:shd w:val="clear" w:color="auto" w:fill="auto"/>
            <w:noWrap/>
            <w:vAlign w:val="center"/>
            <w:hideMark/>
          </w:tcPr>
          <w:p w14:paraId="296D4BBD" w14:textId="77777777" w:rsidR="008A1E55" w:rsidRPr="006B42D6" w:rsidRDefault="008A1E55" w:rsidP="00E16CAE">
            <w:pPr>
              <w:jc w:val="right"/>
              <w:rPr>
                <w:sz w:val="16"/>
                <w:szCs w:val="16"/>
              </w:rPr>
            </w:pPr>
            <w:r w:rsidRPr="006B42D6">
              <w:rPr>
                <w:sz w:val="16"/>
                <w:szCs w:val="16"/>
              </w:rPr>
              <w:t>4.5</w:t>
            </w:r>
          </w:p>
        </w:tc>
        <w:tc>
          <w:tcPr>
            <w:tcW w:w="826" w:type="dxa"/>
            <w:tcBorders>
              <w:top w:val="nil"/>
              <w:left w:val="nil"/>
              <w:bottom w:val="nil"/>
              <w:right w:val="nil"/>
            </w:tcBorders>
            <w:shd w:val="clear" w:color="auto" w:fill="auto"/>
            <w:noWrap/>
            <w:vAlign w:val="center"/>
            <w:hideMark/>
          </w:tcPr>
          <w:p w14:paraId="60FF4D74" w14:textId="77777777" w:rsidR="008A1E55" w:rsidRPr="006B42D6" w:rsidRDefault="008A1E55" w:rsidP="00E16CAE">
            <w:pPr>
              <w:jc w:val="right"/>
              <w:rPr>
                <w:sz w:val="16"/>
                <w:szCs w:val="16"/>
              </w:rPr>
            </w:pPr>
            <w:r w:rsidRPr="006B42D6">
              <w:rPr>
                <w:sz w:val="16"/>
                <w:szCs w:val="16"/>
              </w:rPr>
              <w:t>4.1</w:t>
            </w:r>
          </w:p>
        </w:tc>
        <w:tc>
          <w:tcPr>
            <w:tcW w:w="1008" w:type="dxa"/>
            <w:tcBorders>
              <w:top w:val="nil"/>
              <w:left w:val="nil"/>
              <w:bottom w:val="nil"/>
              <w:right w:val="nil"/>
            </w:tcBorders>
            <w:shd w:val="clear" w:color="auto" w:fill="auto"/>
            <w:noWrap/>
            <w:vAlign w:val="center"/>
            <w:hideMark/>
          </w:tcPr>
          <w:p w14:paraId="3D4B3308" w14:textId="77777777" w:rsidR="008A1E55" w:rsidRPr="006B42D6" w:rsidRDefault="008A1E55" w:rsidP="00E16CAE">
            <w:pPr>
              <w:jc w:val="right"/>
              <w:rPr>
                <w:sz w:val="16"/>
                <w:szCs w:val="16"/>
              </w:rPr>
            </w:pPr>
            <w:r w:rsidRPr="006B42D6">
              <w:rPr>
                <w:sz w:val="16"/>
                <w:szCs w:val="16"/>
              </w:rPr>
              <w:t>7.2</w:t>
            </w:r>
          </w:p>
        </w:tc>
        <w:tc>
          <w:tcPr>
            <w:tcW w:w="979" w:type="dxa"/>
            <w:tcBorders>
              <w:top w:val="nil"/>
              <w:left w:val="nil"/>
              <w:bottom w:val="nil"/>
              <w:right w:val="nil"/>
            </w:tcBorders>
            <w:shd w:val="clear" w:color="auto" w:fill="auto"/>
            <w:noWrap/>
            <w:vAlign w:val="center"/>
            <w:hideMark/>
          </w:tcPr>
          <w:p w14:paraId="08F19639" w14:textId="77777777" w:rsidR="008A1E55" w:rsidRPr="006B42D6" w:rsidRDefault="008A1E55" w:rsidP="00E16CAE">
            <w:pPr>
              <w:jc w:val="right"/>
              <w:rPr>
                <w:sz w:val="16"/>
                <w:szCs w:val="16"/>
              </w:rPr>
            </w:pPr>
            <w:r w:rsidRPr="006B42D6">
              <w:rPr>
                <w:sz w:val="16"/>
                <w:szCs w:val="16"/>
              </w:rPr>
              <w:t>11.6</w:t>
            </w:r>
          </w:p>
        </w:tc>
        <w:tc>
          <w:tcPr>
            <w:tcW w:w="1086" w:type="dxa"/>
            <w:tcBorders>
              <w:top w:val="nil"/>
              <w:left w:val="nil"/>
              <w:bottom w:val="nil"/>
              <w:right w:val="nil"/>
            </w:tcBorders>
            <w:shd w:val="clear" w:color="auto" w:fill="auto"/>
            <w:noWrap/>
            <w:vAlign w:val="center"/>
            <w:hideMark/>
          </w:tcPr>
          <w:p w14:paraId="371CB3CB" w14:textId="77777777" w:rsidR="008A1E55" w:rsidRPr="006B42D6" w:rsidRDefault="008A1E55" w:rsidP="00E16CAE">
            <w:pPr>
              <w:jc w:val="right"/>
              <w:rPr>
                <w:sz w:val="16"/>
                <w:szCs w:val="16"/>
              </w:rPr>
            </w:pPr>
            <w:r w:rsidRPr="006B42D6">
              <w:rPr>
                <w:sz w:val="16"/>
                <w:szCs w:val="16"/>
              </w:rPr>
              <w:t>17.0</w:t>
            </w:r>
          </w:p>
        </w:tc>
        <w:tc>
          <w:tcPr>
            <w:tcW w:w="950" w:type="dxa"/>
            <w:tcBorders>
              <w:top w:val="nil"/>
              <w:left w:val="nil"/>
              <w:bottom w:val="nil"/>
              <w:right w:val="nil"/>
            </w:tcBorders>
            <w:shd w:val="clear" w:color="auto" w:fill="auto"/>
            <w:noWrap/>
            <w:vAlign w:val="center"/>
            <w:hideMark/>
          </w:tcPr>
          <w:p w14:paraId="632A373B" w14:textId="77777777" w:rsidR="008A1E55" w:rsidRPr="006B42D6" w:rsidRDefault="008A1E55" w:rsidP="00E16CAE">
            <w:pPr>
              <w:jc w:val="right"/>
              <w:rPr>
                <w:sz w:val="16"/>
                <w:szCs w:val="16"/>
              </w:rPr>
            </w:pPr>
            <w:r w:rsidRPr="006B42D6">
              <w:rPr>
                <w:sz w:val="16"/>
                <w:szCs w:val="16"/>
              </w:rPr>
              <w:t>1.1</w:t>
            </w:r>
          </w:p>
        </w:tc>
        <w:tc>
          <w:tcPr>
            <w:tcW w:w="1039" w:type="dxa"/>
            <w:tcBorders>
              <w:top w:val="nil"/>
              <w:left w:val="nil"/>
              <w:bottom w:val="nil"/>
              <w:right w:val="nil"/>
            </w:tcBorders>
            <w:shd w:val="clear" w:color="auto" w:fill="auto"/>
            <w:noWrap/>
            <w:vAlign w:val="center"/>
            <w:hideMark/>
          </w:tcPr>
          <w:p w14:paraId="6595AD05" w14:textId="77777777" w:rsidR="008A1E55" w:rsidRPr="006B42D6" w:rsidRDefault="008A1E55" w:rsidP="00E16CAE">
            <w:pPr>
              <w:jc w:val="right"/>
              <w:rPr>
                <w:sz w:val="16"/>
                <w:szCs w:val="16"/>
              </w:rPr>
            </w:pPr>
            <w:r w:rsidRPr="006B42D6">
              <w:rPr>
                <w:sz w:val="16"/>
                <w:szCs w:val="16"/>
              </w:rPr>
              <w:t>4.1</w:t>
            </w:r>
          </w:p>
        </w:tc>
        <w:tc>
          <w:tcPr>
            <w:tcW w:w="932" w:type="dxa"/>
            <w:tcBorders>
              <w:top w:val="nil"/>
              <w:left w:val="nil"/>
              <w:bottom w:val="nil"/>
              <w:right w:val="nil"/>
            </w:tcBorders>
            <w:shd w:val="clear" w:color="auto" w:fill="auto"/>
            <w:noWrap/>
            <w:vAlign w:val="center"/>
            <w:hideMark/>
          </w:tcPr>
          <w:p w14:paraId="3A1B89CF" w14:textId="77777777" w:rsidR="008A1E55" w:rsidRPr="006B42D6" w:rsidRDefault="008A1E55" w:rsidP="00E16CAE">
            <w:pPr>
              <w:jc w:val="right"/>
              <w:rPr>
                <w:sz w:val="16"/>
                <w:szCs w:val="16"/>
              </w:rPr>
            </w:pPr>
            <w:r w:rsidRPr="006B42D6">
              <w:rPr>
                <w:sz w:val="16"/>
                <w:szCs w:val="16"/>
              </w:rPr>
              <w:t>2.2</w:t>
            </w:r>
          </w:p>
        </w:tc>
        <w:tc>
          <w:tcPr>
            <w:tcW w:w="1030" w:type="dxa"/>
            <w:tcBorders>
              <w:top w:val="nil"/>
              <w:left w:val="nil"/>
              <w:bottom w:val="nil"/>
              <w:right w:val="nil"/>
            </w:tcBorders>
            <w:shd w:val="clear" w:color="auto" w:fill="auto"/>
            <w:noWrap/>
            <w:vAlign w:val="center"/>
            <w:hideMark/>
          </w:tcPr>
          <w:p w14:paraId="4D82A0BE" w14:textId="77777777" w:rsidR="008A1E55" w:rsidRPr="006B42D6" w:rsidRDefault="008A1E55" w:rsidP="00E16CAE">
            <w:pPr>
              <w:jc w:val="right"/>
              <w:rPr>
                <w:sz w:val="16"/>
                <w:szCs w:val="16"/>
              </w:rPr>
            </w:pPr>
            <w:r w:rsidRPr="006B42D6">
              <w:rPr>
                <w:sz w:val="16"/>
                <w:szCs w:val="16"/>
              </w:rPr>
              <w:t>29.3</w:t>
            </w:r>
          </w:p>
        </w:tc>
        <w:tc>
          <w:tcPr>
            <w:tcW w:w="905" w:type="dxa"/>
            <w:tcBorders>
              <w:top w:val="nil"/>
              <w:left w:val="nil"/>
              <w:bottom w:val="nil"/>
              <w:right w:val="nil"/>
            </w:tcBorders>
            <w:shd w:val="clear" w:color="auto" w:fill="auto"/>
            <w:noWrap/>
            <w:vAlign w:val="center"/>
            <w:hideMark/>
          </w:tcPr>
          <w:p w14:paraId="275D6AFF" w14:textId="77777777" w:rsidR="008A1E55" w:rsidRPr="006B42D6" w:rsidRDefault="008A1E55" w:rsidP="00E16CAE">
            <w:pPr>
              <w:jc w:val="right"/>
              <w:rPr>
                <w:sz w:val="16"/>
                <w:szCs w:val="16"/>
              </w:rPr>
            </w:pPr>
            <w:r w:rsidRPr="006B42D6">
              <w:rPr>
                <w:sz w:val="16"/>
                <w:szCs w:val="16"/>
              </w:rPr>
              <w:t>-</w:t>
            </w:r>
          </w:p>
        </w:tc>
        <w:tc>
          <w:tcPr>
            <w:tcW w:w="998" w:type="dxa"/>
            <w:tcBorders>
              <w:top w:val="nil"/>
              <w:left w:val="nil"/>
              <w:bottom w:val="nil"/>
              <w:right w:val="nil"/>
            </w:tcBorders>
            <w:shd w:val="clear" w:color="auto" w:fill="auto"/>
            <w:noWrap/>
            <w:vAlign w:val="center"/>
            <w:hideMark/>
          </w:tcPr>
          <w:p w14:paraId="45DE8789" w14:textId="77777777" w:rsidR="008A1E55" w:rsidRPr="006B42D6" w:rsidRDefault="008A1E55" w:rsidP="00E16CAE">
            <w:pPr>
              <w:jc w:val="right"/>
              <w:rPr>
                <w:sz w:val="16"/>
                <w:szCs w:val="16"/>
              </w:rPr>
            </w:pPr>
            <w:r w:rsidRPr="006B42D6">
              <w:rPr>
                <w:sz w:val="16"/>
                <w:szCs w:val="16"/>
              </w:rPr>
              <w:t>-</w:t>
            </w:r>
          </w:p>
        </w:tc>
        <w:tc>
          <w:tcPr>
            <w:tcW w:w="827" w:type="dxa"/>
            <w:tcBorders>
              <w:top w:val="nil"/>
              <w:left w:val="nil"/>
              <w:bottom w:val="nil"/>
              <w:right w:val="nil"/>
            </w:tcBorders>
            <w:shd w:val="clear" w:color="auto" w:fill="auto"/>
            <w:noWrap/>
            <w:vAlign w:val="center"/>
            <w:hideMark/>
          </w:tcPr>
          <w:p w14:paraId="050276E1" w14:textId="77777777" w:rsidR="008A1E55" w:rsidRPr="006B42D6" w:rsidRDefault="008A1E55" w:rsidP="00E16CAE">
            <w:pPr>
              <w:jc w:val="right"/>
              <w:rPr>
                <w:sz w:val="16"/>
                <w:szCs w:val="16"/>
              </w:rPr>
            </w:pPr>
            <w:r w:rsidRPr="006B42D6">
              <w:rPr>
                <w:sz w:val="16"/>
                <w:szCs w:val="16"/>
              </w:rPr>
              <w:t>2.9</w:t>
            </w:r>
          </w:p>
        </w:tc>
      </w:tr>
      <w:tr w:rsidR="006B42D6" w:rsidRPr="006B42D6" w14:paraId="5B1A3561" w14:textId="77777777" w:rsidTr="00143C67">
        <w:trPr>
          <w:trHeight w:hRule="exact" w:val="227"/>
        </w:trPr>
        <w:tc>
          <w:tcPr>
            <w:tcW w:w="1668" w:type="dxa"/>
            <w:tcBorders>
              <w:top w:val="nil"/>
              <w:left w:val="nil"/>
              <w:bottom w:val="nil"/>
              <w:right w:val="nil"/>
            </w:tcBorders>
            <w:shd w:val="clear" w:color="auto" w:fill="auto"/>
            <w:noWrap/>
            <w:vAlign w:val="center"/>
            <w:hideMark/>
          </w:tcPr>
          <w:p w14:paraId="26FDAA62" w14:textId="77777777" w:rsidR="008A1E55" w:rsidRPr="006B42D6" w:rsidRDefault="008A1E55" w:rsidP="00E16CAE">
            <w:pPr>
              <w:rPr>
                <w:sz w:val="16"/>
                <w:szCs w:val="16"/>
              </w:rPr>
            </w:pPr>
            <w:r w:rsidRPr="006B42D6">
              <w:rPr>
                <w:sz w:val="16"/>
                <w:szCs w:val="16"/>
              </w:rPr>
              <w:t>Tanga</w:t>
            </w:r>
          </w:p>
        </w:tc>
        <w:tc>
          <w:tcPr>
            <w:tcW w:w="977" w:type="dxa"/>
            <w:tcBorders>
              <w:top w:val="nil"/>
              <w:left w:val="nil"/>
              <w:bottom w:val="nil"/>
              <w:right w:val="nil"/>
            </w:tcBorders>
            <w:shd w:val="clear" w:color="auto" w:fill="auto"/>
            <w:noWrap/>
            <w:vAlign w:val="center"/>
            <w:hideMark/>
          </w:tcPr>
          <w:p w14:paraId="6C7E266C" w14:textId="77777777" w:rsidR="008A1E55" w:rsidRPr="006B42D6" w:rsidRDefault="008A1E55" w:rsidP="00E16CAE">
            <w:pPr>
              <w:jc w:val="right"/>
              <w:rPr>
                <w:sz w:val="16"/>
                <w:szCs w:val="16"/>
              </w:rPr>
            </w:pPr>
            <w:r w:rsidRPr="006B42D6">
              <w:rPr>
                <w:sz w:val="16"/>
                <w:szCs w:val="16"/>
              </w:rPr>
              <w:t>2.3</w:t>
            </w:r>
          </w:p>
        </w:tc>
        <w:tc>
          <w:tcPr>
            <w:tcW w:w="826" w:type="dxa"/>
            <w:tcBorders>
              <w:top w:val="nil"/>
              <w:left w:val="nil"/>
              <w:bottom w:val="nil"/>
              <w:right w:val="nil"/>
            </w:tcBorders>
            <w:shd w:val="clear" w:color="auto" w:fill="auto"/>
            <w:noWrap/>
            <w:vAlign w:val="center"/>
            <w:hideMark/>
          </w:tcPr>
          <w:p w14:paraId="3E94FF9C" w14:textId="77777777" w:rsidR="008A1E55" w:rsidRPr="006B42D6" w:rsidRDefault="008A1E55" w:rsidP="00E16CAE">
            <w:pPr>
              <w:jc w:val="right"/>
              <w:rPr>
                <w:sz w:val="16"/>
                <w:szCs w:val="16"/>
              </w:rPr>
            </w:pPr>
            <w:r w:rsidRPr="006B42D6">
              <w:rPr>
                <w:sz w:val="16"/>
                <w:szCs w:val="16"/>
              </w:rPr>
              <w:t>1.8</w:t>
            </w:r>
          </w:p>
        </w:tc>
        <w:tc>
          <w:tcPr>
            <w:tcW w:w="1008" w:type="dxa"/>
            <w:tcBorders>
              <w:top w:val="nil"/>
              <w:left w:val="nil"/>
              <w:bottom w:val="nil"/>
              <w:right w:val="nil"/>
            </w:tcBorders>
            <w:shd w:val="clear" w:color="auto" w:fill="auto"/>
            <w:noWrap/>
            <w:vAlign w:val="center"/>
            <w:hideMark/>
          </w:tcPr>
          <w:p w14:paraId="751EDF9B" w14:textId="77777777" w:rsidR="008A1E55" w:rsidRPr="006B42D6" w:rsidRDefault="008A1E55" w:rsidP="00E16CAE">
            <w:pPr>
              <w:jc w:val="right"/>
              <w:rPr>
                <w:sz w:val="16"/>
                <w:szCs w:val="16"/>
              </w:rPr>
            </w:pPr>
            <w:r w:rsidRPr="006B42D6">
              <w:rPr>
                <w:sz w:val="16"/>
                <w:szCs w:val="16"/>
              </w:rPr>
              <w:t>4.0</w:t>
            </w:r>
          </w:p>
        </w:tc>
        <w:tc>
          <w:tcPr>
            <w:tcW w:w="979" w:type="dxa"/>
            <w:tcBorders>
              <w:top w:val="nil"/>
              <w:left w:val="nil"/>
              <w:bottom w:val="nil"/>
              <w:right w:val="nil"/>
            </w:tcBorders>
            <w:shd w:val="clear" w:color="auto" w:fill="auto"/>
            <w:noWrap/>
            <w:vAlign w:val="center"/>
            <w:hideMark/>
          </w:tcPr>
          <w:p w14:paraId="3C7538A4" w14:textId="77777777" w:rsidR="008A1E55" w:rsidRPr="006B42D6" w:rsidRDefault="008A1E55" w:rsidP="00E16CAE">
            <w:pPr>
              <w:jc w:val="right"/>
              <w:rPr>
                <w:sz w:val="16"/>
                <w:szCs w:val="16"/>
              </w:rPr>
            </w:pPr>
            <w:r w:rsidRPr="006B42D6">
              <w:rPr>
                <w:sz w:val="16"/>
                <w:szCs w:val="16"/>
              </w:rPr>
              <w:t>2.2</w:t>
            </w:r>
          </w:p>
        </w:tc>
        <w:tc>
          <w:tcPr>
            <w:tcW w:w="1086" w:type="dxa"/>
            <w:tcBorders>
              <w:top w:val="nil"/>
              <w:left w:val="nil"/>
              <w:bottom w:val="nil"/>
              <w:right w:val="nil"/>
            </w:tcBorders>
            <w:shd w:val="clear" w:color="auto" w:fill="auto"/>
            <w:noWrap/>
            <w:vAlign w:val="center"/>
            <w:hideMark/>
          </w:tcPr>
          <w:p w14:paraId="780AC4D1" w14:textId="77777777" w:rsidR="008A1E55" w:rsidRPr="006B42D6" w:rsidRDefault="008A1E55" w:rsidP="00E16CAE">
            <w:pPr>
              <w:jc w:val="right"/>
              <w:rPr>
                <w:sz w:val="16"/>
                <w:szCs w:val="16"/>
              </w:rPr>
            </w:pPr>
            <w:r w:rsidRPr="006B42D6">
              <w:rPr>
                <w:sz w:val="16"/>
                <w:szCs w:val="16"/>
              </w:rPr>
              <w:t>-</w:t>
            </w:r>
          </w:p>
        </w:tc>
        <w:tc>
          <w:tcPr>
            <w:tcW w:w="950" w:type="dxa"/>
            <w:tcBorders>
              <w:top w:val="nil"/>
              <w:left w:val="nil"/>
              <w:bottom w:val="nil"/>
              <w:right w:val="nil"/>
            </w:tcBorders>
            <w:shd w:val="clear" w:color="auto" w:fill="auto"/>
            <w:noWrap/>
            <w:vAlign w:val="center"/>
            <w:hideMark/>
          </w:tcPr>
          <w:p w14:paraId="502D6C94" w14:textId="77777777" w:rsidR="008A1E55" w:rsidRPr="006B42D6" w:rsidRDefault="008A1E55" w:rsidP="00E16CAE">
            <w:pPr>
              <w:jc w:val="right"/>
              <w:rPr>
                <w:sz w:val="16"/>
                <w:szCs w:val="16"/>
              </w:rPr>
            </w:pPr>
            <w:r w:rsidRPr="006B42D6">
              <w:rPr>
                <w:sz w:val="16"/>
                <w:szCs w:val="16"/>
              </w:rPr>
              <w:t>3.9</w:t>
            </w:r>
          </w:p>
        </w:tc>
        <w:tc>
          <w:tcPr>
            <w:tcW w:w="1039" w:type="dxa"/>
            <w:tcBorders>
              <w:top w:val="nil"/>
              <w:left w:val="nil"/>
              <w:bottom w:val="nil"/>
              <w:right w:val="nil"/>
            </w:tcBorders>
            <w:shd w:val="clear" w:color="auto" w:fill="auto"/>
            <w:noWrap/>
            <w:vAlign w:val="center"/>
            <w:hideMark/>
          </w:tcPr>
          <w:p w14:paraId="79AB3DE8" w14:textId="77777777" w:rsidR="008A1E55" w:rsidRPr="006B42D6" w:rsidRDefault="008A1E55" w:rsidP="00E16CAE">
            <w:pPr>
              <w:jc w:val="right"/>
              <w:rPr>
                <w:sz w:val="16"/>
                <w:szCs w:val="16"/>
              </w:rPr>
            </w:pPr>
            <w:r w:rsidRPr="006B42D6">
              <w:rPr>
                <w:sz w:val="16"/>
                <w:szCs w:val="16"/>
              </w:rPr>
              <w:t>4.8</w:t>
            </w:r>
          </w:p>
        </w:tc>
        <w:tc>
          <w:tcPr>
            <w:tcW w:w="932" w:type="dxa"/>
            <w:tcBorders>
              <w:top w:val="nil"/>
              <w:left w:val="nil"/>
              <w:bottom w:val="nil"/>
              <w:right w:val="nil"/>
            </w:tcBorders>
            <w:shd w:val="clear" w:color="auto" w:fill="auto"/>
            <w:noWrap/>
            <w:vAlign w:val="center"/>
            <w:hideMark/>
          </w:tcPr>
          <w:p w14:paraId="3972ECCF" w14:textId="77777777" w:rsidR="008A1E55" w:rsidRPr="006B42D6" w:rsidRDefault="008A1E55" w:rsidP="00E16CAE">
            <w:pPr>
              <w:jc w:val="right"/>
              <w:rPr>
                <w:sz w:val="16"/>
                <w:szCs w:val="16"/>
              </w:rPr>
            </w:pPr>
            <w:r w:rsidRPr="006B42D6">
              <w:rPr>
                <w:sz w:val="16"/>
                <w:szCs w:val="16"/>
              </w:rPr>
              <w:t>7.5</w:t>
            </w:r>
          </w:p>
        </w:tc>
        <w:tc>
          <w:tcPr>
            <w:tcW w:w="1030" w:type="dxa"/>
            <w:tcBorders>
              <w:top w:val="nil"/>
              <w:left w:val="nil"/>
              <w:bottom w:val="nil"/>
              <w:right w:val="nil"/>
            </w:tcBorders>
            <w:shd w:val="clear" w:color="auto" w:fill="auto"/>
            <w:noWrap/>
            <w:vAlign w:val="center"/>
            <w:hideMark/>
          </w:tcPr>
          <w:p w14:paraId="08F3A109" w14:textId="77777777" w:rsidR="008A1E55" w:rsidRPr="006B42D6" w:rsidRDefault="008A1E55" w:rsidP="00E16CAE">
            <w:pPr>
              <w:jc w:val="right"/>
              <w:rPr>
                <w:sz w:val="16"/>
                <w:szCs w:val="16"/>
              </w:rPr>
            </w:pPr>
            <w:r w:rsidRPr="006B42D6">
              <w:rPr>
                <w:sz w:val="16"/>
                <w:szCs w:val="16"/>
              </w:rPr>
              <w:t>4.7</w:t>
            </w:r>
          </w:p>
        </w:tc>
        <w:tc>
          <w:tcPr>
            <w:tcW w:w="905" w:type="dxa"/>
            <w:tcBorders>
              <w:top w:val="nil"/>
              <w:left w:val="nil"/>
              <w:bottom w:val="nil"/>
              <w:right w:val="nil"/>
            </w:tcBorders>
            <w:shd w:val="clear" w:color="auto" w:fill="auto"/>
            <w:noWrap/>
            <w:vAlign w:val="center"/>
            <w:hideMark/>
          </w:tcPr>
          <w:p w14:paraId="057595F6" w14:textId="77777777" w:rsidR="008A1E55" w:rsidRPr="006B42D6" w:rsidRDefault="008A1E55" w:rsidP="00E16CAE">
            <w:pPr>
              <w:jc w:val="right"/>
              <w:rPr>
                <w:sz w:val="16"/>
                <w:szCs w:val="16"/>
              </w:rPr>
            </w:pPr>
            <w:r w:rsidRPr="006B42D6">
              <w:rPr>
                <w:sz w:val="16"/>
                <w:szCs w:val="16"/>
              </w:rPr>
              <w:t>-</w:t>
            </w:r>
          </w:p>
        </w:tc>
        <w:tc>
          <w:tcPr>
            <w:tcW w:w="998" w:type="dxa"/>
            <w:tcBorders>
              <w:top w:val="nil"/>
              <w:left w:val="nil"/>
              <w:bottom w:val="nil"/>
              <w:right w:val="nil"/>
            </w:tcBorders>
            <w:shd w:val="clear" w:color="auto" w:fill="auto"/>
            <w:noWrap/>
            <w:vAlign w:val="center"/>
            <w:hideMark/>
          </w:tcPr>
          <w:p w14:paraId="0B06C0FB" w14:textId="77777777" w:rsidR="008A1E55" w:rsidRPr="006B42D6" w:rsidRDefault="008A1E55" w:rsidP="00E16CAE">
            <w:pPr>
              <w:jc w:val="right"/>
              <w:rPr>
                <w:sz w:val="16"/>
                <w:szCs w:val="16"/>
              </w:rPr>
            </w:pPr>
            <w:r w:rsidRPr="006B42D6">
              <w:rPr>
                <w:sz w:val="16"/>
                <w:szCs w:val="16"/>
              </w:rPr>
              <w:t>-</w:t>
            </w:r>
          </w:p>
        </w:tc>
        <w:tc>
          <w:tcPr>
            <w:tcW w:w="827" w:type="dxa"/>
            <w:tcBorders>
              <w:top w:val="nil"/>
              <w:left w:val="nil"/>
              <w:bottom w:val="nil"/>
              <w:right w:val="nil"/>
            </w:tcBorders>
            <w:shd w:val="clear" w:color="auto" w:fill="auto"/>
            <w:noWrap/>
            <w:vAlign w:val="center"/>
            <w:hideMark/>
          </w:tcPr>
          <w:p w14:paraId="1D262305" w14:textId="77777777" w:rsidR="008A1E55" w:rsidRPr="006B42D6" w:rsidRDefault="008A1E55" w:rsidP="00E16CAE">
            <w:pPr>
              <w:jc w:val="right"/>
              <w:rPr>
                <w:sz w:val="16"/>
                <w:szCs w:val="16"/>
              </w:rPr>
            </w:pPr>
            <w:r w:rsidRPr="006B42D6">
              <w:rPr>
                <w:sz w:val="16"/>
                <w:szCs w:val="16"/>
              </w:rPr>
              <w:t>2.1</w:t>
            </w:r>
          </w:p>
        </w:tc>
      </w:tr>
      <w:tr w:rsidR="006B42D6" w:rsidRPr="006B42D6" w14:paraId="31ACB2B6" w14:textId="77777777" w:rsidTr="00143C67">
        <w:trPr>
          <w:trHeight w:hRule="exact" w:val="227"/>
        </w:trPr>
        <w:tc>
          <w:tcPr>
            <w:tcW w:w="1668" w:type="dxa"/>
            <w:tcBorders>
              <w:top w:val="nil"/>
              <w:left w:val="nil"/>
              <w:bottom w:val="nil"/>
              <w:right w:val="nil"/>
            </w:tcBorders>
            <w:shd w:val="clear" w:color="auto" w:fill="auto"/>
            <w:noWrap/>
            <w:vAlign w:val="center"/>
            <w:hideMark/>
          </w:tcPr>
          <w:p w14:paraId="177EBDC8" w14:textId="77777777" w:rsidR="008A1E55" w:rsidRPr="006B42D6" w:rsidRDefault="008A1E55" w:rsidP="00E16CAE">
            <w:pPr>
              <w:rPr>
                <w:sz w:val="16"/>
                <w:szCs w:val="16"/>
              </w:rPr>
            </w:pPr>
            <w:r w:rsidRPr="006B42D6">
              <w:rPr>
                <w:sz w:val="16"/>
                <w:szCs w:val="16"/>
              </w:rPr>
              <w:t>Morogoro</w:t>
            </w:r>
          </w:p>
        </w:tc>
        <w:tc>
          <w:tcPr>
            <w:tcW w:w="977" w:type="dxa"/>
            <w:tcBorders>
              <w:top w:val="nil"/>
              <w:left w:val="nil"/>
              <w:bottom w:val="nil"/>
              <w:right w:val="nil"/>
            </w:tcBorders>
            <w:shd w:val="clear" w:color="auto" w:fill="auto"/>
            <w:noWrap/>
            <w:vAlign w:val="center"/>
            <w:hideMark/>
          </w:tcPr>
          <w:p w14:paraId="74435893" w14:textId="77777777" w:rsidR="008A1E55" w:rsidRPr="006B42D6" w:rsidRDefault="008A1E55" w:rsidP="00E16CAE">
            <w:pPr>
              <w:jc w:val="right"/>
              <w:rPr>
                <w:sz w:val="16"/>
                <w:szCs w:val="16"/>
              </w:rPr>
            </w:pPr>
            <w:r w:rsidRPr="006B42D6">
              <w:rPr>
                <w:sz w:val="16"/>
                <w:szCs w:val="16"/>
              </w:rPr>
              <w:t>19.7</w:t>
            </w:r>
          </w:p>
        </w:tc>
        <w:tc>
          <w:tcPr>
            <w:tcW w:w="826" w:type="dxa"/>
            <w:tcBorders>
              <w:top w:val="nil"/>
              <w:left w:val="nil"/>
              <w:bottom w:val="nil"/>
              <w:right w:val="nil"/>
            </w:tcBorders>
            <w:shd w:val="clear" w:color="auto" w:fill="auto"/>
            <w:noWrap/>
            <w:vAlign w:val="center"/>
            <w:hideMark/>
          </w:tcPr>
          <w:p w14:paraId="56AA0513" w14:textId="77777777" w:rsidR="008A1E55" w:rsidRPr="006B42D6" w:rsidRDefault="008A1E55" w:rsidP="00E16CAE">
            <w:pPr>
              <w:jc w:val="right"/>
              <w:rPr>
                <w:sz w:val="16"/>
                <w:szCs w:val="16"/>
              </w:rPr>
            </w:pPr>
            <w:r w:rsidRPr="006B42D6">
              <w:rPr>
                <w:sz w:val="16"/>
                <w:szCs w:val="16"/>
              </w:rPr>
              <w:t>7.6</w:t>
            </w:r>
          </w:p>
        </w:tc>
        <w:tc>
          <w:tcPr>
            <w:tcW w:w="1008" w:type="dxa"/>
            <w:tcBorders>
              <w:top w:val="nil"/>
              <w:left w:val="nil"/>
              <w:bottom w:val="nil"/>
              <w:right w:val="nil"/>
            </w:tcBorders>
            <w:shd w:val="clear" w:color="auto" w:fill="auto"/>
            <w:noWrap/>
            <w:vAlign w:val="center"/>
            <w:hideMark/>
          </w:tcPr>
          <w:p w14:paraId="5391858A" w14:textId="77777777" w:rsidR="008A1E55" w:rsidRPr="006B42D6" w:rsidRDefault="008A1E55" w:rsidP="00E16CAE">
            <w:pPr>
              <w:jc w:val="right"/>
              <w:rPr>
                <w:sz w:val="16"/>
                <w:szCs w:val="16"/>
              </w:rPr>
            </w:pPr>
            <w:r w:rsidRPr="006B42D6">
              <w:rPr>
                <w:sz w:val="16"/>
                <w:szCs w:val="16"/>
              </w:rPr>
              <w:t>5.0</w:t>
            </w:r>
          </w:p>
        </w:tc>
        <w:tc>
          <w:tcPr>
            <w:tcW w:w="979" w:type="dxa"/>
            <w:tcBorders>
              <w:top w:val="nil"/>
              <w:left w:val="nil"/>
              <w:bottom w:val="nil"/>
              <w:right w:val="nil"/>
            </w:tcBorders>
            <w:shd w:val="clear" w:color="auto" w:fill="auto"/>
            <w:noWrap/>
            <w:vAlign w:val="center"/>
            <w:hideMark/>
          </w:tcPr>
          <w:p w14:paraId="10BCDE98" w14:textId="77777777" w:rsidR="008A1E55" w:rsidRPr="006B42D6" w:rsidRDefault="008A1E55" w:rsidP="00E16CAE">
            <w:pPr>
              <w:jc w:val="right"/>
              <w:rPr>
                <w:sz w:val="16"/>
                <w:szCs w:val="16"/>
              </w:rPr>
            </w:pPr>
            <w:r w:rsidRPr="006B42D6">
              <w:rPr>
                <w:sz w:val="16"/>
                <w:szCs w:val="16"/>
              </w:rPr>
              <w:t>5.4</w:t>
            </w:r>
          </w:p>
        </w:tc>
        <w:tc>
          <w:tcPr>
            <w:tcW w:w="1086" w:type="dxa"/>
            <w:tcBorders>
              <w:top w:val="nil"/>
              <w:left w:val="nil"/>
              <w:bottom w:val="nil"/>
              <w:right w:val="nil"/>
            </w:tcBorders>
            <w:shd w:val="clear" w:color="auto" w:fill="auto"/>
            <w:noWrap/>
            <w:vAlign w:val="center"/>
            <w:hideMark/>
          </w:tcPr>
          <w:p w14:paraId="38B4306E" w14:textId="77777777" w:rsidR="008A1E55" w:rsidRPr="006B42D6" w:rsidRDefault="008A1E55" w:rsidP="00E16CAE">
            <w:pPr>
              <w:jc w:val="right"/>
              <w:rPr>
                <w:sz w:val="16"/>
                <w:szCs w:val="16"/>
              </w:rPr>
            </w:pPr>
            <w:r w:rsidRPr="006B42D6">
              <w:rPr>
                <w:sz w:val="16"/>
                <w:szCs w:val="16"/>
              </w:rPr>
              <w:t>24.4</w:t>
            </w:r>
          </w:p>
        </w:tc>
        <w:tc>
          <w:tcPr>
            <w:tcW w:w="950" w:type="dxa"/>
            <w:tcBorders>
              <w:top w:val="nil"/>
              <w:left w:val="nil"/>
              <w:bottom w:val="nil"/>
              <w:right w:val="nil"/>
            </w:tcBorders>
            <w:shd w:val="clear" w:color="auto" w:fill="auto"/>
            <w:noWrap/>
            <w:vAlign w:val="center"/>
            <w:hideMark/>
          </w:tcPr>
          <w:p w14:paraId="73B2C32D" w14:textId="77777777" w:rsidR="008A1E55" w:rsidRPr="006B42D6" w:rsidRDefault="008A1E55" w:rsidP="00E16CAE">
            <w:pPr>
              <w:jc w:val="right"/>
              <w:rPr>
                <w:sz w:val="16"/>
                <w:szCs w:val="16"/>
              </w:rPr>
            </w:pPr>
            <w:r w:rsidRPr="006B42D6">
              <w:rPr>
                <w:sz w:val="16"/>
                <w:szCs w:val="16"/>
              </w:rPr>
              <w:t>9.4</w:t>
            </w:r>
          </w:p>
        </w:tc>
        <w:tc>
          <w:tcPr>
            <w:tcW w:w="1039" w:type="dxa"/>
            <w:tcBorders>
              <w:top w:val="nil"/>
              <w:left w:val="nil"/>
              <w:bottom w:val="nil"/>
              <w:right w:val="nil"/>
            </w:tcBorders>
            <w:shd w:val="clear" w:color="auto" w:fill="auto"/>
            <w:noWrap/>
            <w:vAlign w:val="center"/>
            <w:hideMark/>
          </w:tcPr>
          <w:p w14:paraId="2BF67FAC" w14:textId="77777777" w:rsidR="008A1E55" w:rsidRPr="006B42D6" w:rsidRDefault="008A1E55" w:rsidP="00E16CAE">
            <w:pPr>
              <w:jc w:val="right"/>
              <w:rPr>
                <w:sz w:val="16"/>
                <w:szCs w:val="16"/>
              </w:rPr>
            </w:pPr>
            <w:r w:rsidRPr="006B42D6">
              <w:rPr>
                <w:sz w:val="16"/>
                <w:szCs w:val="16"/>
              </w:rPr>
              <w:t>4.6</w:t>
            </w:r>
          </w:p>
        </w:tc>
        <w:tc>
          <w:tcPr>
            <w:tcW w:w="932" w:type="dxa"/>
            <w:tcBorders>
              <w:top w:val="nil"/>
              <w:left w:val="nil"/>
              <w:bottom w:val="nil"/>
              <w:right w:val="nil"/>
            </w:tcBorders>
            <w:shd w:val="clear" w:color="auto" w:fill="auto"/>
            <w:noWrap/>
            <w:vAlign w:val="center"/>
            <w:hideMark/>
          </w:tcPr>
          <w:p w14:paraId="2A8CB9BC" w14:textId="77777777" w:rsidR="008A1E55" w:rsidRPr="006B42D6" w:rsidRDefault="008A1E55" w:rsidP="00E16CAE">
            <w:pPr>
              <w:jc w:val="right"/>
              <w:rPr>
                <w:sz w:val="16"/>
                <w:szCs w:val="16"/>
              </w:rPr>
            </w:pPr>
            <w:r w:rsidRPr="006B42D6">
              <w:rPr>
                <w:sz w:val="16"/>
                <w:szCs w:val="16"/>
              </w:rPr>
              <w:t>3.7</w:t>
            </w:r>
          </w:p>
        </w:tc>
        <w:tc>
          <w:tcPr>
            <w:tcW w:w="1030" w:type="dxa"/>
            <w:tcBorders>
              <w:top w:val="nil"/>
              <w:left w:val="nil"/>
              <w:bottom w:val="nil"/>
              <w:right w:val="nil"/>
            </w:tcBorders>
            <w:shd w:val="clear" w:color="auto" w:fill="auto"/>
            <w:noWrap/>
            <w:vAlign w:val="center"/>
            <w:hideMark/>
          </w:tcPr>
          <w:p w14:paraId="73BE2960" w14:textId="77777777" w:rsidR="008A1E55" w:rsidRPr="006B42D6" w:rsidRDefault="008A1E55" w:rsidP="00E16CAE">
            <w:pPr>
              <w:jc w:val="right"/>
              <w:rPr>
                <w:sz w:val="16"/>
                <w:szCs w:val="16"/>
              </w:rPr>
            </w:pPr>
            <w:r w:rsidRPr="006B42D6">
              <w:rPr>
                <w:sz w:val="16"/>
                <w:szCs w:val="16"/>
              </w:rPr>
              <w:t>-</w:t>
            </w:r>
          </w:p>
        </w:tc>
        <w:tc>
          <w:tcPr>
            <w:tcW w:w="905" w:type="dxa"/>
            <w:tcBorders>
              <w:top w:val="nil"/>
              <w:left w:val="nil"/>
              <w:bottom w:val="nil"/>
              <w:right w:val="nil"/>
            </w:tcBorders>
            <w:shd w:val="clear" w:color="auto" w:fill="auto"/>
            <w:noWrap/>
            <w:vAlign w:val="center"/>
            <w:hideMark/>
          </w:tcPr>
          <w:p w14:paraId="61463E09" w14:textId="77777777" w:rsidR="008A1E55" w:rsidRPr="006B42D6" w:rsidRDefault="008A1E55" w:rsidP="00E16CAE">
            <w:pPr>
              <w:jc w:val="right"/>
              <w:rPr>
                <w:sz w:val="16"/>
                <w:szCs w:val="16"/>
              </w:rPr>
            </w:pPr>
            <w:r w:rsidRPr="006B42D6">
              <w:rPr>
                <w:sz w:val="16"/>
                <w:szCs w:val="16"/>
              </w:rPr>
              <w:t>-</w:t>
            </w:r>
          </w:p>
        </w:tc>
        <w:tc>
          <w:tcPr>
            <w:tcW w:w="998" w:type="dxa"/>
            <w:tcBorders>
              <w:top w:val="nil"/>
              <w:left w:val="nil"/>
              <w:bottom w:val="nil"/>
              <w:right w:val="nil"/>
            </w:tcBorders>
            <w:shd w:val="clear" w:color="auto" w:fill="auto"/>
            <w:noWrap/>
            <w:vAlign w:val="center"/>
            <w:hideMark/>
          </w:tcPr>
          <w:p w14:paraId="5EC6CA57" w14:textId="77777777" w:rsidR="008A1E55" w:rsidRPr="006B42D6" w:rsidRDefault="008A1E55" w:rsidP="00E16CAE">
            <w:pPr>
              <w:jc w:val="right"/>
              <w:rPr>
                <w:sz w:val="16"/>
                <w:szCs w:val="16"/>
              </w:rPr>
            </w:pPr>
            <w:r w:rsidRPr="006B42D6">
              <w:rPr>
                <w:sz w:val="16"/>
                <w:szCs w:val="16"/>
              </w:rPr>
              <w:t>-</w:t>
            </w:r>
          </w:p>
        </w:tc>
        <w:tc>
          <w:tcPr>
            <w:tcW w:w="827" w:type="dxa"/>
            <w:tcBorders>
              <w:top w:val="nil"/>
              <w:left w:val="nil"/>
              <w:bottom w:val="nil"/>
              <w:right w:val="nil"/>
            </w:tcBorders>
            <w:shd w:val="clear" w:color="auto" w:fill="auto"/>
            <w:noWrap/>
            <w:vAlign w:val="center"/>
            <w:hideMark/>
          </w:tcPr>
          <w:p w14:paraId="0B4D5B1A" w14:textId="77777777" w:rsidR="008A1E55" w:rsidRPr="006B42D6" w:rsidRDefault="008A1E55" w:rsidP="00E16CAE">
            <w:pPr>
              <w:jc w:val="right"/>
              <w:rPr>
                <w:sz w:val="16"/>
                <w:szCs w:val="16"/>
              </w:rPr>
            </w:pPr>
            <w:r w:rsidRPr="006B42D6">
              <w:rPr>
                <w:sz w:val="16"/>
                <w:szCs w:val="16"/>
              </w:rPr>
              <w:t>-</w:t>
            </w:r>
          </w:p>
        </w:tc>
      </w:tr>
      <w:tr w:rsidR="006B42D6" w:rsidRPr="006B42D6" w14:paraId="7F9E2DDE" w14:textId="77777777" w:rsidTr="00143C67">
        <w:trPr>
          <w:trHeight w:hRule="exact" w:val="227"/>
        </w:trPr>
        <w:tc>
          <w:tcPr>
            <w:tcW w:w="1668" w:type="dxa"/>
            <w:tcBorders>
              <w:top w:val="nil"/>
              <w:left w:val="nil"/>
              <w:bottom w:val="nil"/>
              <w:right w:val="nil"/>
            </w:tcBorders>
            <w:shd w:val="clear" w:color="auto" w:fill="auto"/>
            <w:noWrap/>
            <w:vAlign w:val="center"/>
            <w:hideMark/>
          </w:tcPr>
          <w:p w14:paraId="4950C7C8" w14:textId="77777777" w:rsidR="008A1E55" w:rsidRPr="006B42D6" w:rsidRDefault="008A1E55" w:rsidP="00E16CAE">
            <w:pPr>
              <w:rPr>
                <w:sz w:val="16"/>
                <w:szCs w:val="16"/>
              </w:rPr>
            </w:pPr>
            <w:r w:rsidRPr="006B42D6">
              <w:rPr>
                <w:sz w:val="16"/>
                <w:szCs w:val="16"/>
              </w:rPr>
              <w:t>Pwani</w:t>
            </w:r>
          </w:p>
        </w:tc>
        <w:tc>
          <w:tcPr>
            <w:tcW w:w="977" w:type="dxa"/>
            <w:tcBorders>
              <w:top w:val="nil"/>
              <w:left w:val="nil"/>
              <w:bottom w:val="nil"/>
              <w:right w:val="nil"/>
            </w:tcBorders>
            <w:shd w:val="clear" w:color="auto" w:fill="auto"/>
            <w:noWrap/>
            <w:vAlign w:val="center"/>
            <w:hideMark/>
          </w:tcPr>
          <w:p w14:paraId="3B0D316D" w14:textId="77777777" w:rsidR="008A1E55" w:rsidRPr="006B42D6" w:rsidRDefault="008A1E55" w:rsidP="00E16CAE">
            <w:pPr>
              <w:jc w:val="right"/>
              <w:rPr>
                <w:sz w:val="16"/>
                <w:szCs w:val="16"/>
              </w:rPr>
            </w:pPr>
            <w:r w:rsidRPr="006B42D6">
              <w:rPr>
                <w:sz w:val="16"/>
                <w:szCs w:val="16"/>
              </w:rPr>
              <w:t>2.8</w:t>
            </w:r>
          </w:p>
        </w:tc>
        <w:tc>
          <w:tcPr>
            <w:tcW w:w="826" w:type="dxa"/>
            <w:tcBorders>
              <w:top w:val="nil"/>
              <w:left w:val="nil"/>
              <w:bottom w:val="nil"/>
              <w:right w:val="nil"/>
            </w:tcBorders>
            <w:shd w:val="clear" w:color="auto" w:fill="auto"/>
            <w:noWrap/>
            <w:vAlign w:val="center"/>
            <w:hideMark/>
          </w:tcPr>
          <w:p w14:paraId="042E0069" w14:textId="77777777" w:rsidR="008A1E55" w:rsidRPr="006B42D6" w:rsidRDefault="008A1E55" w:rsidP="00E16CAE">
            <w:pPr>
              <w:jc w:val="right"/>
              <w:rPr>
                <w:sz w:val="16"/>
                <w:szCs w:val="16"/>
              </w:rPr>
            </w:pPr>
            <w:r w:rsidRPr="006B42D6">
              <w:rPr>
                <w:sz w:val="16"/>
                <w:szCs w:val="16"/>
              </w:rPr>
              <w:t>2.2</w:t>
            </w:r>
          </w:p>
        </w:tc>
        <w:tc>
          <w:tcPr>
            <w:tcW w:w="1008" w:type="dxa"/>
            <w:tcBorders>
              <w:top w:val="nil"/>
              <w:left w:val="nil"/>
              <w:bottom w:val="nil"/>
              <w:right w:val="nil"/>
            </w:tcBorders>
            <w:shd w:val="clear" w:color="auto" w:fill="auto"/>
            <w:noWrap/>
            <w:vAlign w:val="center"/>
            <w:hideMark/>
          </w:tcPr>
          <w:p w14:paraId="73D27F81" w14:textId="77777777" w:rsidR="008A1E55" w:rsidRPr="006B42D6" w:rsidRDefault="008A1E55" w:rsidP="00E16CAE">
            <w:pPr>
              <w:jc w:val="right"/>
              <w:rPr>
                <w:sz w:val="16"/>
                <w:szCs w:val="16"/>
              </w:rPr>
            </w:pPr>
            <w:r w:rsidRPr="006B42D6">
              <w:rPr>
                <w:sz w:val="16"/>
                <w:szCs w:val="16"/>
              </w:rPr>
              <w:t>2.2</w:t>
            </w:r>
          </w:p>
        </w:tc>
        <w:tc>
          <w:tcPr>
            <w:tcW w:w="979" w:type="dxa"/>
            <w:tcBorders>
              <w:top w:val="nil"/>
              <w:left w:val="nil"/>
              <w:bottom w:val="nil"/>
              <w:right w:val="nil"/>
            </w:tcBorders>
            <w:shd w:val="clear" w:color="auto" w:fill="auto"/>
            <w:noWrap/>
            <w:vAlign w:val="center"/>
            <w:hideMark/>
          </w:tcPr>
          <w:p w14:paraId="6D725D04" w14:textId="77777777" w:rsidR="008A1E55" w:rsidRPr="006B42D6" w:rsidRDefault="008A1E55" w:rsidP="00E16CAE">
            <w:pPr>
              <w:jc w:val="right"/>
              <w:rPr>
                <w:sz w:val="16"/>
                <w:szCs w:val="16"/>
              </w:rPr>
            </w:pPr>
            <w:r w:rsidRPr="006B42D6">
              <w:rPr>
                <w:sz w:val="16"/>
                <w:szCs w:val="16"/>
              </w:rPr>
              <w:t>3.0</w:t>
            </w:r>
          </w:p>
        </w:tc>
        <w:tc>
          <w:tcPr>
            <w:tcW w:w="1086" w:type="dxa"/>
            <w:tcBorders>
              <w:top w:val="nil"/>
              <w:left w:val="nil"/>
              <w:bottom w:val="nil"/>
              <w:right w:val="nil"/>
            </w:tcBorders>
            <w:shd w:val="clear" w:color="auto" w:fill="auto"/>
            <w:noWrap/>
            <w:vAlign w:val="center"/>
            <w:hideMark/>
          </w:tcPr>
          <w:p w14:paraId="576744AF" w14:textId="77777777" w:rsidR="008A1E55" w:rsidRPr="006B42D6" w:rsidRDefault="008A1E55" w:rsidP="00E16CAE">
            <w:pPr>
              <w:jc w:val="right"/>
              <w:rPr>
                <w:sz w:val="16"/>
                <w:szCs w:val="16"/>
              </w:rPr>
            </w:pPr>
            <w:r w:rsidRPr="006B42D6">
              <w:rPr>
                <w:sz w:val="16"/>
                <w:szCs w:val="16"/>
              </w:rPr>
              <w:t>-</w:t>
            </w:r>
          </w:p>
        </w:tc>
        <w:tc>
          <w:tcPr>
            <w:tcW w:w="950" w:type="dxa"/>
            <w:tcBorders>
              <w:top w:val="nil"/>
              <w:left w:val="nil"/>
              <w:bottom w:val="nil"/>
              <w:right w:val="nil"/>
            </w:tcBorders>
            <w:shd w:val="clear" w:color="auto" w:fill="auto"/>
            <w:noWrap/>
            <w:vAlign w:val="center"/>
            <w:hideMark/>
          </w:tcPr>
          <w:p w14:paraId="2FC2CC82" w14:textId="77777777" w:rsidR="008A1E55" w:rsidRPr="006B42D6" w:rsidRDefault="008A1E55" w:rsidP="00E16CAE">
            <w:pPr>
              <w:jc w:val="right"/>
              <w:rPr>
                <w:sz w:val="16"/>
                <w:szCs w:val="16"/>
              </w:rPr>
            </w:pPr>
            <w:r w:rsidRPr="006B42D6">
              <w:rPr>
                <w:sz w:val="16"/>
                <w:szCs w:val="16"/>
              </w:rPr>
              <w:t>5.0</w:t>
            </w:r>
          </w:p>
        </w:tc>
        <w:tc>
          <w:tcPr>
            <w:tcW w:w="1039" w:type="dxa"/>
            <w:tcBorders>
              <w:top w:val="nil"/>
              <w:left w:val="nil"/>
              <w:bottom w:val="nil"/>
              <w:right w:val="nil"/>
            </w:tcBorders>
            <w:shd w:val="clear" w:color="auto" w:fill="auto"/>
            <w:noWrap/>
            <w:vAlign w:val="center"/>
            <w:hideMark/>
          </w:tcPr>
          <w:p w14:paraId="5F2C7662" w14:textId="77777777" w:rsidR="008A1E55" w:rsidRPr="006B42D6" w:rsidRDefault="008A1E55" w:rsidP="00E16CAE">
            <w:pPr>
              <w:jc w:val="right"/>
              <w:rPr>
                <w:sz w:val="16"/>
                <w:szCs w:val="16"/>
              </w:rPr>
            </w:pPr>
            <w:r w:rsidRPr="006B42D6">
              <w:rPr>
                <w:sz w:val="16"/>
                <w:szCs w:val="16"/>
              </w:rPr>
              <w:t>2.4</w:t>
            </w:r>
          </w:p>
        </w:tc>
        <w:tc>
          <w:tcPr>
            <w:tcW w:w="932" w:type="dxa"/>
            <w:tcBorders>
              <w:top w:val="nil"/>
              <w:left w:val="nil"/>
              <w:bottom w:val="nil"/>
              <w:right w:val="nil"/>
            </w:tcBorders>
            <w:shd w:val="clear" w:color="auto" w:fill="auto"/>
            <w:noWrap/>
            <w:vAlign w:val="center"/>
            <w:hideMark/>
          </w:tcPr>
          <w:p w14:paraId="47C681AA" w14:textId="77777777" w:rsidR="008A1E55" w:rsidRPr="006B42D6" w:rsidRDefault="008A1E55" w:rsidP="00E16CAE">
            <w:pPr>
              <w:jc w:val="right"/>
              <w:rPr>
                <w:sz w:val="16"/>
                <w:szCs w:val="16"/>
              </w:rPr>
            </w:pPr>
            <w:r w:rsidRPr="006B42D6">
              <w:rPr>
                <w:sz w:val="16"/>
                <w:szCs w:val="16"/>
              </w:rPr>
              <w:t>7.4</w:t>
            </w:r>
          </w:p>
        </w:tc>
        <w:tc>
          <w:tcPr>
            <w:tcW w:w="1030" w:type="dxa"/>
            <w:tcBorders>
              <w:top w:val="nil"/>
              <w:left w:val="nil"/>
              <w:bottom w:val="nil"/>
              <w:right w:val="nil"/>
            </w:tcBorders>
            <w:shd w:val="clear" w:color="auto" w:fill="auto"/>
            <w:noWrap/>
            <w:vAlign w:val="center"/>
            <w:hideMark/>
          </w:tcPr>
          <w:p w14:paraId="25693E76" w14:textId="77777777" w:rsidR="008A1E55" w:rsidRPr="006B42D6" w:rsidRDefault="008A1E55" w:rsidP="00E16CAE">
            <w:pPr>
              <w:jc w:val="right"/>
              <w:rPr>
                <w:sz w:val="16"/>
                <w:szCs w:val="16"/>
              </w:rPr>
            </w:pPr>
            <w:r w:rsidRPr="006B42D6">
              <w:rPr>
                <w:sz w:val="16"/>
                <w:szCs w:val="16"/>
              </w:rPr>
              <w:t>-</w:t>
            </w:r>
          </w:p>
        </w:tc>
        <w:tc>
          <w:tcPr>
            <w:tcW w:w="905" w:type="dxa"/>
            <w:tcBorders>
              <w:top w:val="nil"/>
              <w:left w:val="nil"/>
              <w:bottom w:val="nil"/>
              <w:right w:val="nil"/>
            </w:tcBorders>
            <w:shd w:val="clear" w:color="auto" w:fill="auto"/>
            <w:noWrap/>
            <w:vAlign w:val="center"/>
            <w:hideMark/>
          </w:tcPr>
          <w:p w14:paraId="518DF754" w14:textId="77777777" w:rsidR="008A1E55" w:rsidRPr="006B42D6" w:rsidRDefault="008A1E55" w:rsidP="00E16CAE">
            <w:pPr>
              <w:jc w:val="right"/>
              <w:rPr>
                <w:sz w:val="16"/>
                <w:szCs w:val="16"/>
              </w:rPr>
            </w:pPr>
            <w:r w:rsidRPr="006B42D6">
              <w:rPr>
                <w:sz w:val="16"/>
                <w:szCs w:val="16"/>
              </w:rPr>
              <w:t>-</w:t>
            </w:r>
          </w:p>
        </w:tc>
        <w:tc>
          <w:tcPr>
            <w:tcW w:w="998" w:type="dxa"/>
            <w:tcBorders>
              <w:top w:val="nil"/>
              <w:left w:val="nil"/>
              <w:bottom w:val="nil"/>
              <w:right w:val="nil"/>
            </w:tcBorders>
            <w:shd w:val="clear" w:color="auto" w:fill="auto"/>
            <w:noWrap/>
            <w:vAlign w:val="center"/>
            <w:hideMark/>
          </w:tcPr>
          <w:p w14:paraId="4E562FC6" w14:textId="77777777" w:rsidR="008A1E55" w:rsidRPr="006B42D6" w:rsidRDefault="008A1E55" w:rsidP="00E16CAE">
            <w:pPr>
              <w:jc w:val="right"/>
              <w:rPr>
                <w:sz w:val="16"/>
                <w:szCs w:val="16"/>
              </w:rPr>
            </w:pPr>
            <w:r w:rsidRPr="006B42D6">
              <w:rPr>
                <w:sz w:val="16"/>
                <w:szCs w:val="16"/>
              </w:rPr>
              <w:t>-</w:t>
            </w:r>
          </w:p>
        </w:tc>
        <w:tc>
          <w:tcPr>
            <w:tcW w:w="827" w:type="dxa"/>
            <w:tcBorders>
              <w:top w:val="nil"/>
              <w:left w:val="nil"/>
              <w:bottom w:val="nil"/>
              <w:right w:val="nil"/>
            </w:tcBorders>
            <w:shd w:val="clear" w:color="auto" w:fill="auto"/>
            <w:noWrap/>
            <w:vAlign w:val="center"/>
            <w:hideMark/>
          </w:tcPr>
          <w:p w14:paraId="5B73AC19" w14:textId="77777777" w:rsidR="008A1E55" w:rsidRPr="006B42D6" w:rsidRDefault="008A1E55" w:rsidP="00E16CAE">
            <w:pPr>
              <w:jc w:val="right"/>
              <w:rPr>
                <w:sz w:val="16"/>
                <w:szCs w:val="16"/>
              </w:rPr>
            </w:pPr>
            <w:r w:rsidRPr="006B42D6">
              <w:rPr>
                <w:sz w:val="16"/>
                <w:szCs w:val="16"/>
              </w:rPr>
              <w:t>1.8</w:t>
            </w:r>
          </w:p>
        </w:tc>
      </w:tr>
      <w:tr w:rsidR="006B42D6" w:rsidRPr="006B42D6" w14:paraId="07C1B4D2" w14:textId="77777777" w:rsidTr="00143C67">
        <w:trPr>
          <w:trHeight w:hRule="exact" w:val="227"/>
        </w:trPr>
        <w:tc>
          <w:tcPr>
            <w:tcW w:w="1668" w:type="dxa"/>
            <w:tcBorders>
              <w:top w:val="nil"/>
              <w:left w:val="nil"/>
              <w:bottom w:val="nil"/>
              <w:right w:val="nil"/>
            </w:tcBorders>
            <w:shd w:val="clear" w:color="auto" w:fill="auto"/>
            <w:noWrap/>
            <w:vAlign w:val="center"/>
            <w:hideMark/>
          </w:tcPr>
          <w:p w14:paraId="7252A857" w14:textId="77777777" w:rsidR="008A1E55" w:rsidRPr="006B42D6" w:rsidRDefault="008A1E55" w:rsidP="00E16CAE">
            <w:pPr>
              <w:rPr>
                <w:sz w:val="16"/>
                <w:szCs w:val="16"/>
              </w:rPr>
            </w:pPr>
            <w:r w:rsidRPr="006B42D6">
              <w:rPr>
                <w:sz w:val="16"/>
                <w:szCs w:val="16"/>
              </w:rPr>
              <w:t>Dar Es Salaam</w:t>
            </w:r>
          </w:p>
        </w:tc>
        <w:tc>
          <w:tcPr>
            <w:tcW w:w="977" w:type="dxa"/>
            <w:tcBorders>
              <w:top w:val="nil"/>
              <w:left w:val="nil"/>
              <w:bottom w:val="nil"/>
              <w:right w:val="nil"/>
            </w:tcBorders>
            <w:shd w:val="clear" w:color="auto" w:fill="auto"/>
            <w:noWrap/>
            <w:vAlign w:val="center"/>
            <w:hideMark/>
          </w:tcPr>
          <w:p w14:paraId="6810F3D6" w14:textId="77777777" w:rsidR="008A1E55" w:rsidRPr="006B42D6" w:rsidRDefault="008A1E55" w:rsidP="00E16CAE">
            <w:pPr>
              <w:jc w:val="right"/>
              <w:rPr>
                <w:sz w:val="16"/>
                <w:szCs w:val="16"/>
              </w:rPr>
            </w:pPr>
            <w:r w:rsidRPr="006B42D6">
              <w:rPr>
                <w:sz w:val="16"/>
                <w:szCs w:val="16"/>
              </w:rPr>
              <w:t>20.6</w:t>
            </w:r>
          </w:p>
        </w:tc>
        <w:tc>
          <w:tcPr>
            <w:tcW w:w="826" w:type="dxa"/>
            <w:tcBorders>
              <w:top w:val="nil"/>
              <w:left w:val="nil"/>
              <w:bottom w:val="nil"/>
              <w:right w:val="nil"/>
            </w:tcBorders>
            <w:shd w:val="clear" w:color="auto" w:fill="auto"/>
            <w:noWrap/>
            <w:vAlign w:val="center"/>
            <w:hideMark/>
          </w:tcPr>
          <w:p w14:paraId="6D6737AD" w14:textId="77777777" w:rsidR="008A1E55" w:rsidRPr="006B42D6" w:rsidRDefault="008A1E55" w:rsidP="00E16CAE">
            <w:pPr>
              <w:jc w:val="right"/>
              <w:rPr>
                <w:sz w:val="16"/>
                <w:szCs w:val="16"/>
              </w:rPr>
            </w:pPr>
            <w:r w:rsidRPr="006B42D6">
              <w:rPr>
                <w:sz w:val="16"/>
                <w:szCs w:val="16"/>
              </w:rPr>
              <w:t>2.1</w:t>
            </w:r>
          </w:p>
        </w:tc>
        <w:tc>
          <w:tcPr>
            <w:tcW w:w="1008" w:type="dxa"/>
            <w:tcBorders>
              <w:top w:val="nil"/>
              <w:left w:val="nil"/>
              <w:bottom w:val="nil"/>
              <w:right w:val="nil"/>
            </w:tcBorders>
            <w:shd w:val="clear" w:color="auto" w:fill="auto"/>
            <w:noWrap/>
            <w:vAlign w:val="center"/>
            <w:hideMark/>
          </w:tcPr>
          <w:p w14:paraId="2BCFC702" w14:textId="77777777" w:rsidR="008A1E55" w:rsidRPr="006B42D6" w:rsidRDefault="008A1E55" w:rsidP="00E16CAE">
            <w:pPr>
              <w:jc w:val="right"/>
              <w:rPr>
                <w:sz w:val="16"/>
                <w:szCs w:val="16"/>
              </w:rPr>
            </w:pPr>
            <w:r w:rsidRPr="006B42D6">
              <w:rPr>
                <w:sz w:val="16"/>
                <w:szCs w:val="16"/>
              </w:rPr>
              <w:t>46.3</w:t>
            </w:r>
          </w:p>
        </w:tc>
        <w:tc>
          <w:tcPr>
            <w:tcW w:w="979" w:type="dxa"/>
            <w:tcBorders>
              <w:top w:val="nil"/>
              <w:left w:val="nil"/>
              <w:bottom w:val="nil"/>
              <w:right w:val="nil"/>
            </w:tcBorders>
            <w:shd w:val="clear" w:color="auto" w:fill="auto"/>
            <w:noWrap/>
            <w:vAlign w:val="center"/>
            <w:hideMark/>
          </w:tcPr>
          <w:p w14:paraId="5D126593" w14:textId="77777777" w:rsidR="008A1E55" w:rsidRPr="006B42D6" w:rsidRDefault="008A1E55" w:rsidP="00E16CAE">
            <w:pPr>
              <w:jc w:val="right"/>
              <w:rPr>
                <w:sz w:val="16"/>
                <w:szCs w:val="16"/>
              </w:rPr>
            </w:pPr>
            <w:r w:rsidRPr="006B42D6">
              <w:rPr>
                <w:sz w:val="16"/>
                <w:szCs w:val="16"/>
              </w:rPr>
              <w:t>29.3</w:t>
            </w:r>
          </w:p>
        </w:tc>
        <w:tc>
          <w:tcPr>
            <w:tcW w:w="1086" w:type="dxa"/>
            <w:tcBorders>
              <w:top w:val="nil"/>
              <w:left w:val="nil"/>
              <w:bottom w:val="nil"/>
              <w:right w:val="nil"/>
            </w:tcBorders>
            <w:shd w:val="clear" w:color="auto" w:fill="auto"/>
            <w:noWrap/>
            <w:vAlign w:val="center"/>
            <w:hideMark/>
          </w:tcPr>
          <w:p w14:paraId="25CFAE0B" w14:textId="77777777" w:rsidR="008A1E55" w:rsidRPr="006B42D6" w:rsidRDefault="008A1E55" w:rsidP="00E16CAE">
            <w:pPr>
              <w:jc w:val="right"/>
              <w:rPr>
                <w:sz w:val="16"/>
                <w:szCs w:val="16"/>
              </w:rPr>
            </w:pPr>
            <w:r w:rsidRPr="006B42D6">
              <w:rPr>
                <w:sz w:val="16"/>
                <w:szCs w:val="16"/>
              </w:rPr>
              <w:t>-</w:t>
            </w:r>
          </w:p>
        </w:tc>
        <w:tc>
          <w:tcPr>
            <w:tcW w:w="950" w:type="dxa"/>
            <w:tcBorders>
              <w:top w:val="nil"/>
              <w:left w:val="nil"/>
              <w:bottom w:val="nil"/>
              <w:right w:val="nil"/>
            </w:tcBorders>
            <w:shd w:val="clear" w:color="auto" w:fill="auto"/>
            <w:noWrap/>
            <w:vAlign w:val="center"/>
            <w:hideMark/>
          </w:tcPr>
          <w:p w14:paraId="2B549638" w14:textId="77777777" w:rsidR="008A1E55" w:rsidRPr="006B42D6" w:rsidRDefault="008A1E55" w:rsidP="00E16CAE">
            <w:pPr>
              <w:jc w:val="right"/>
              <w:rPr>
                <w:sz w:val="16"/>
                <w:szCs w:val="16"/>
              </w:rPr>
            </w:pPr>
            <w:r w:rsidRPr="006B42D6">
              <w:rPr>
                <w:sz w:val="16"/>
                <w:szCs w:val="16"/>
              </w:rPr>
              <w:t>25.3</w:t>
            </w:r>
          </w:p>
        </w:tc>
        <w:tc>
          <w:tcPr>
            <w:tcW w:w="1039" w:type="dxa"/>
            <w:tcBorders>
              <w:top w:val="nil"/>
              <w:left w:val="nil"/>
              <w:bottom w:val="nil"/>
              <w:right w:val="nil"/>
            </w:tcBorders>
            <w:shd w:val="clear" w:color="auto" w:fill="auto"/>
            <w:noWrap/>
            <w:vAlign w:val="center"/>
            <w:hideMark/>
          </w:tcPr>
          <w:p w14:paraId="67139AFD" w14:textId="77777777" w:rsidR="008A1E55" w:rsidRPr="006B42D6" w:rsidRDefault="008A1E55" w:rsidP="00E16CAE">
            <w:pPr>
              <w:jc w:val="right"/>
              <w:rPr>
                <w:sz w:val="16"/>
                <w:szCs w:val="16"/>
              </w:rPr>
            </w:pPr>
            <w:r w:rsidRPr="006B42D6">
              <w:rPr>
                <w:sz w:val="16"/>
                <w:szCs w:val="16"/>
              </w:rPr>
              <w:t>0.6</w:t>
            </w:r>
          </w:p>
        </w:tc>
        <w:tc>
          <w:tcPr>
            <w:tcW w:w="932" w:type="dxa"/>
            <w:tcBorders>
              <w:top w:val="nil"/>
              <w:left w:val="nil"/>
              <w:bottom w:val="nil"/>
              <w:right w:val="nil"/>
            </w:tcBorders>
            <w:shd w:val="clear" w:color="auto" w:fill="auto"/>
            <w:noWrap/>
            <w:vAlign w:val="center"/>
            <w:hideMark/>
          </w:tcPr>
          <w:p w14:paraId="762DC209" w14:textId="77777777" w:rsidR="008A1E55" w:rsidRPr="006B42D6" w:rsidRDefault="008A1E55" w:rsidP="00E16CAE">
            <w:pPr>
              <w:jc w:val="right"/>
              <w:rPr>
                <w:sz w:val="16"/>
                <w:szCs w:val="16"/>
              </w:rPr>
            </w:pPr>
            <w:r w:rsidRPr="006B42D6">
              <w:rPr>
                <w:sz w:val="16"/>
                <w:szCs w:val="16"/>
              </w:rPr>
              <w:t>-</w:t>
            </w:r>
          </w:p>
        </w:tc>
        <w:tc>
          <w:tcPr>
            <w:tcW w:w="1030" w:type="dxa"/>
            <w:tcBorders>
              <w:top w:val="nil"/>
              <w:left w:val="nil"/>
              <w:bottom w:val="nil"/>
              <w:right w:val="nil"/>
            </w:tcBorders>
            <w:shd w:val="clear" w:color="auto" w:fill="auto"/>
            <w:noWrap/>
            <w:vAlign w:val="center"/>
            <w:hideMark/>
          </w:tcPr>
          <w:p w14:paraId="5479C336" w14:textId="77777777" w:rsidR="008A1E55" w:rsidRPr="006B42D6" w:rsidRDefault="008A1E55" w:rsidP="00E16CAE">
            <w:pPr>
              <w:jc w:val="right"/>
              <w:rPr>
                <w:sz w:val="16"/>
                <w:szCs w:val="16"/>
              </w:rPr>
            </w:pPr>
            <w:r w:rsidRPr="006B42D6">
              <w:rPr>
                <w:sz w:val="16"/>
                <w:szCs w:val="16"/>
              </w:rPr>
              <w:t>-</w:t>
            </w:r>
          </w:p>
        </w:tc>
        <w:tc>
          <w:tcPr>
            <w:tcW w:w="905" w:type="dxa"/>
            <w:tcBorders>
              <w:top w:val="nil"/>
              <w:left w:val="nil"/>
              <w:bottom w:val="nil"/>
              <w:right w:val="nil"/>
            </w:tcBorders>
            <w:shd w:val="clear" w:color="auto" w:fill="auto"/>
            <w:noWrap/>
            <w:vAlign w:val="center"/>
            <w:hideMark/>
          </w:tcPr>
          <w:p w14:paraId="5E42D6D7" w14:textId="77777777" w:rsidR="008A1E55" w:rsidRPr="006B42D6" w:rsidRDefault="008A1E55" w:rsidP="00E16CAE">
            <w:pPr>
              <w:jc w:val="right"/>
              <w:rPr>
                <w:sz w:val="16"/>
                <w:szCs w:val="16"/>
              </w:rPr>
            </w:pPr>
            <w:r w:rsidRPr="006B42D6">
              <w:rPr>
                <w:sz w:val="16"/>
                <w:szCs w:val="16"/>
              </w:rPr>
              <w:t>-</w:t>
            </w:r>
          </w:p>
        </w:tc>
        <w:tc>
          <w:tcPr>
            <w:tcW w:w="998" w:type="dxa"/>
            <w:tcBorders>
              <w:top w:val="nil"/>
              <w:left w:val="nil"/>
              <w:bottom w:val="nil"/>
              <w:right w:val="nil"/>
            </w:tcBorders>
            <w:shd w:val="clear" w:color="auto" w:fill="auto"/>
            <w:noWrap/>
            <w:vAlign w:val="center"/>
            <w:hideMark/>
          </w:tcPr>
          <w:p w14:paraId="4538E958" w14:textId="77777777" w:rsidR="008A1E55" w:rsidRPr="006B42D6" w:rsidRDefault="008A1E55" w:rsidP="00E16CAE">
            <w:pPr>
              <w:jc w:val="right"/>
              <w:rPr>
                <w:sz w:val="16"/>
                <w:szCs w:val="16"/>
              </w:rPr>
            </w:pPr>
            <w:r w:rsidRPr="006B42D6">
              <w:rPr>
                <w:sz w:val="16"/>
                <w:szCs w:val="16"/>
              </w:rPr>
              <w:t>-</w:t>
            </w:r>
          </w:p>
        </w:tc>
        <w:tc>
          <w:tcPr>
            <w:tcW w:w="827" w:type="dxa"/>
            <w:tcBorders>
              <w:top w:val="nil"/>
              <w:left w:val="nil"/>
              <w:bottom w:val="nil"/>
              <w:right w:val="nil"/>
            </w:tcBorders>
            <w:shd w:val="clear" w:color="auto" w:fill="auto"/>
            <w:noWrap/>
            <w:vAlign w:val="center"/>
            <w:hideMark/>
          </w:tcPr>
          <w:p w14:paraId="335CBCBF" w14:textId="77777777" w:rsidR="008A1E55" w:rsidRPr="006B42D6" w:rsidRDefault="008A1E55" w:rsidP="00E16CAE">
            <w:pPr>
              <w:jc w:val="right"/>
              <w:rPr>
                <w:sz w:val="16"/>
                <w:szCs w:val="16"/>
              </w:rPr>
            </w:pPr>
            <w:r w:rsidRPr="006B42D6">
              <w:rPr>
                <w:sz w:val="16"/>
                <w:szCs w:val="16"/>
              </w:rPr>
              <w:t>-</w:t>
            </w:r>
          </w:p>
        </w:tc>
      </w:tr>
      <w:tr w:rsidR="006B42D6" w:rsidRPr="006B42D6" w14:paraId="1CD4E44A" w14:textId="77777777" w:rsidTr="00143C67">
        <w:trPr>
          <w:trHeight w:hRule="exact" w:val="227"/>
        </w:trPr>
        <w:tc>
          <w:tcPr>
            <w:tcW w:w="1668" w:type="dxa"/>
            <w:tcBorders>
              <w:top w:val="nil"/>
              <w:left w:val="nil"/>
              <w:bottom w:val="nil"/>
              <w:right w:val="nil"/>
            </w:tcBorders>
            <w:shd w:val="clear" w:color="auto" w:fill="auto"/>
            <w:noWrap/>
            <w:vAlign w:val="center"/>
            <w:hideMark/>
          </w:tcPr>
          <w:p w14:paraId="2D429011" w14:textId="77777777" w:rsidR="008A1E55" w:rsidRPr="006B42D6" w:rsidRDefault="008A1E55" w:rsidP="00E16CAE">
            <w:pPr>
              <w:rPr>
                <w:sz w:val="16"/>
                <w:szCs w:val="16"/>
              </w:rPr>
            </w:pPr>
            <w:r w:rsidRPr="006B42D6">
              <w:rPr>
                <w:sz w:val="16"/>
                <w:szCs w:val="16"/>
              </w:rPr>
              <w:t>Lindi</w:t>
            </w:r>
          </w:p>
        </w:tc>
        <w:tc>
          <w:tcPr>
            <w:tcW w:w="977" w:type="dxa"/>
            <w:tcBorders>
              <w:top w:val="nil"/>
              <w:left w:val="nil"/>
              <w:bottom w:val="nil"/>
              <w:right w:val="nil"/>
            </w:tcBorders>
            <w:shd w:val="clear" w:color="auto" w:fill="auto"/>
            <w:noWrap/>
            <w:vAlign w:val="center"/>
            <w:hideMark/>
          </w:tcPr>
          <w:p w14:paraId="6D9DA35B" w14:textId="77777777" w:rsidR="008A1E55" w:rsidRPr="006B42D6" w:rsidRDefault="008A1E55" w:rsidP="00E16CAE">
            <w:pPr>
              <w:jc w:val="right"/>
              <w:rPr>
                <w:sz w:val="16"/>
                <w:szCs w:val="16"/>
              </w:rPr>
            </w:pPr>
            <w:r w:rsidRPr="006B42D6">
              <w:rPr>
                <w:sz w:val="16"/>
                <w:szCs w:val="16"/>
              </w:rPr>
              <w:t>-</w:t>
            </w:r>
          </w:p>
        </w:tc>
        <w:tc>
          <w:tcPr>
            <w:tcW w:w="826" w:type="dxa"/>
            <w:tcBorders>
              <w:top w:val="nil"/>
              <w:left w:val="nil"/>
              <w:bottom w:val="nil"/>
              <w:right w:val="nil"/>
            </w:tcBorders>
            <w:shd w:val="clear" w:color="auto" w:fill="auto"/>
            <w:noWrap/>
            <w:vAlign w:val="center"/>
            <w:hideMark/>
          </w:tcPr>
          <w:p w14:paraId="5390C954" w14:textId="77777777" w:rsidR="008A1E55" w:rsidRPr="006B42D6" w:rsidRDefault="008A1E55" w:rsidP="00E16CAE">
            <w:pPr>
              <w:jc w:val="right"/>
              <w:rPr>
                <w:sz w:val="16"/>
                <w:szCs w:val="16"/>
              </w:rPr>
            </w:pPr>
            <w:r w:rsidRPr="006B42D6">
              <w:rPr>
                <w:sz w:val="16"/>
                <w:szCs w:val="16"/>
              </w:rPr>
              <w:t>3.5</w:t>
            </w:r>
          </w:p>
        </w:tc>
        <w:tc>
          <w:tcPr>
            <w:tcW w:w="1008" w:type="dxa"/>
            <w:tcBorders>
              <w:top w:val="nil"/>
              <w:left w:val="nil"/>
              <w:bottom w:val="nil"/>
              <w:right w:val="nil"/>
            </w:tcBorders>
            <w:shd w:val="clear" w:color="auto" w:fill="auto"/>
            <w:noWrap/>
            <w:vAlign w:val="center"/>
            <w:hideMark/>
          </w:tcPr>
          <w:p w14:paraId="74886B50" w14:textId="77777777" w:rsidR="008A1E55" w:rsidRPr="006B42D6" w:rsidRDefault="008A1E55" w:rsidP="00E16CAE">
            <w:pPr>
              <w:jc w:val="right"/>
              <w:rPr>
                <w:sz w:val="16"/>
                <w:szCs w:val="16"/>
              </w:rPr>
            </w:pPr>
            <w:r w:rsidRPr="006B42D6">
              <w:rPr>
                <w:sz w:val="16"/>
                <w:szCs w:val="16"/>
              </w:rPr>
              <w:t>0.4</w:t>
            </w:r>
          </w:p>
        </w:tc>
        <w:tc>
          <w:tcPr>
            <w:tcW w:w="979" w:type="dxa"/>
            <w:tcBorders>
              <w:top w:val="nil"/>
              <w:left w:val="nil"/>
              <w:bottom w:val="nil"/>
              <w:right w:val="nil"/>
            </w:tcBorders>
            <w:shd w:val="clear" w:color="auto" w:fill="auto"/>
            <w:noWrap/>
            <w:vAlign w:val="center"/>
            <w:hideMark/>
          </w:tcPr>
          <w:p w14:paraId="3089C710" w14:textId="77777777" w:rsidR="008A1E55" w:rsidRPr="006B42D6" w:rsidRDefault="008A1E55" w:rsidP="00E16CAE">
            <w:pPr>
              <w:jc w:val="right"/>
              <w:rPr>
                <w:sz w:val="16"/>
                <w:szCs w:val="16"/>
              </w:rPr>
            </w:pPr>
            <w:r w:rsidRPr="006B42D6">
              <w:rPr>
                <w:sz w:val="16"/>
                <w:szCs w:val="16"/>
              </w:rPr>
              <w:t>0.8</w:t>
            </w:r>
          </w:p>
        </w:tc>
        <w:tc>
          <w:tcPr>
            <w:tcW w:w="1086" w:type="dxa"/>
            <w:tcBorders>
              <w:top w:val="nil"/>
              <w:left w:val="nil"/>
              <w:bottom w:val="nil"/>
              <w:right w:val="nil"/>
            </w:tcBorders>
            <w:shd w:val="clear" w:color="auto" w:fill="auto"/>
            <w:noWrap/>
            <w:vAlign w:val="center"/>
            <w:hideMark/>
          </w:tcPr>
          <w:p w14:paraId="30A672FA" w14:textId="77777777" w:rsidR="008A1E55" w:rsidRPr="006B42D6" w:rsidRDefault="008A1E55" w:rsidP="00E16CAE">
            <w:pPr>
              <w:jc w:val="right"/>
              <w:rPr>
                <w:sz w:val="16"/>
                <w:szCs w:val="16"/>
              </w:rPr>
            </w:pPr>
            <w:r w:rsidRPr="006B42D6">
              <w:rPr>
                <w:sz w:val="16"/>
                <w:szCs w:val="16"/>
              </w:rPr>
              <w:t>-</w:t>
            </w:r>
          </w:p>
        </w:tc>
        <w:tc>
          <w:tcPr>
            <w:tcW w:w="950" w:type="dxa"/>
            <w:tcBorders>
              <w:top w:val="nil"/>
              <w:left w:val="nil"/>
              <w:bottom w:val="nil"/>
              <w:right w:val="nil"/>
            </w:tcBorders>
            <w:shd w:val="clear" w:color="auto" w:fill="auto"/>
            <w:noWrap/>
            <w:vAlign w:val="center"/>
            <w:hideMark/>
          </w:tcPr>
          <w:p w14:paraId="7C95A334" w14:textId="77777777" w:rsidR="008A1E55" w:rsidRPr="006B42D6" w:rsidRDefault="008A1E55" w:rsidP="00E16CAE">
            <w:pPr>
              <w:jc w:val="right"/>
              <w:rPr>
                <w:sz w:val="16"/>
                <w:szCs w:val="16"/>
              </w:rPr>
            </w:pPr>
            <w:r w:rsidRPr="006B42D6">
              <w:rPr>
                <w:sz w:val="16"/>
                <w:szCs w:val="16"/>
              </w:rPr>
              <w:t>2.9</w:t>
            </w:r>
          </w:p>
        </w:tc>
        <w:tc>
          <w:tcPr>
            <w:tcW w:w="1039" w:type="dxa"/>
            <w:tcBorders>
              <w:top w:val="nil"/>
              <w:left w:val="nil"/>
              <w:bottom w:val="nil"/>
              <w:right w:val="nil"/>
            </w:tcBorders>
            <w:shd w:val="clear" w:color="auto" w:fill="auto"/>
            <w:noWrap/>
            <w:vAlign w:val="center"/>
            <w:hideMark/>
          </w:tcPr>
          <w:p w14:paraId="13A2FF8C" w14:textId="77777777" w:rsidR="008A1E55" w:rsidRPr="006B42D6" w:rsidRDefault="008A1E55" w:rsidP="00E16CAE">
            <w:pPr>
              <w:jc w:val="right"/>
              <w:rPr>
                <w:sz w:val="16"/>
                <w:szCs w:val="16"/>
              </w:rPr>
            </w:pPr>
            <w:r w:rsidRPr="006B42D6">
              <w:rPr>
                <w:sz w:val="16"/>
                <w:szCs w:val="16"/>
              </w:rPr>
              <w:t>3.1</w:t>
            </w:r>
          </w:p>
        </w:tc>
        <w:tc>
          <w:tcPr>
            <w:tcW w:w="932" w:type="dxa"/>
            <w:tcBorders>
              <w:top w:val="nil"/>
              <w:left w:val="nil"/>
              <w:bottom w:val="nil"/>
              <w:right w:val="nil"/>
            </w:tcBorders>
            <w:shd w:val="clear" w:color="auto" w:fill="auto"/>
            <w:noWrap/>
            <w:vAlign w:val="center"/>
            <w:hideMark/>
          </w:tcPr>
          <w:p w14:paraId="6F3268DC" w14:textId="77777777" w:rsidR="008A1E55" w:rsidRPr="006B42D6" w:rsidRDefault="008A1E55" w:rsidP="00E16CAE">
            <w:pPr>
              <w:jc w:val="right"/>
              <w:rPr>
                <w:sz w:val="16"/>
                <w:szCs w:val="16"/>
              </w:rPr>
            </w:pPr>
            <w:r w:rsidRPr="006B42D6">
              <w:rPr>
                <w:sz w:val="16"/>
                <w:szCs w:val="16"/>
              </w:rPr>
              <w:t>-</w:t>
            </w:r>
          </w:p>
        </w:tc>
        <w:tc>
          <w:tcPr>
            <w:tcW w:w="1030" w:type="dxa"/>
            <w:tcBorders>
              <w:top w:val="nil"/>
              <w:left w:val="nil"/>
              <w:bottom w:val="nil"/>
              <w:right w:val="nil"/>
            </w:tcBorders>
            <w:shd w:val="clear" w:color="auto" w:fill="auto"/>
            <w:noWrap/>
            <w:vAlign w:val="center"/>
            <w:hideMark/>
          </w:tcPr>
          <w:p w14:paraId="7BEDB94D" w14:textId="77777777" w:rsidR="008A1E55" w:rsidRPr="006B42D6" w:rsidRDefault="008A1E55" w:rsidP="00E16CAE">
            <w:pPr>
              <w:jc w:val="right"/>
              <w:rPr>
                <w:sz w:val="16"/>
                <w:szCs w:val="16"/>
              </w:rPr>
            </w:pPr>
            <w:r w:rsidRPr="006B42D6">
              <w:rPr>
                <w:sz w:val="16"/>
                <w:szCs w:val="16"/>
              </w:rPr>
              <w:t>-</w:t>
            </w:r>
          </w:p>
        </w:tc>
        <w:tc>
          <w:tcPr>
            <w:tcW w:w="905" w:type="dxa"/>
            <w:tcBorders>
              <w:top w:val="nil"/>
              <w:left w:val="nil"/>
              <w:bottom w:val="nil"/>
              <w:right w:val="nil"/>
            </w:tcBorders>
            <w:shd w:val="clear" w:color="auto" w:fill="auto"/>
            <w:noWrap/>
            <w:vAlign w:val="center"/>
            <w:hideMark/>
          </w:tcPr>
          <w:p w14:paraId="69EAC910" w14:textId="77777777" w:rsidR="008A1E55" w:rsidRPr="006B42D6" w:rsidRDefault="008A1E55" w:rsidP="00E16CAE">
            <w:pPr>
              <w:jc w:val="right"/>
              <w:rPr>
                <w:sz w:val="16"/>
                <w:szCs w:val="16"/>
              </w:rPr>
            </w:pPr>
            <w:r w:rsidRPr="006B42D6">
              <w:rPr>
                <w:sz w:val="16"/>
                <w:szCs w:val="16"/>
              </w:rPr>
              <w:t>-</w:t>
            </w:r>
          </w:p>
        </w:tc>
        <w:tc>
          <w:tcPr>
            <w:tcW w:w="998" w:type="dxa"/>
            <w:tcBorders>
              <w:top w:val="nil"/>
              <w:left w:val="nil"/>
              <w:bottom w:val="nil"/>
              <w:right w:val="nil"/>
            </w:tcBorders>
            <w:shd w:val="clear" w:color="auto" w:fill="auto"/>
            <w:noWrap/>
            <w:vAlign w:val="center"/>
            <w:hideMark/>
          </w:tcPr>
          <w:p w14:paraId="6F306205" w14:textId="77777777" w:rsidR="008A1E55" w:rsidRPr="006B42D6" w:rsidRDefault="008A1E55" w:rsidP="00E16CAE">
            <w:pPr>
              <w:jc w:val="right"/>
              <w:rPr>
                <w:sz w:val="16"/>
                <w:szCs w:val="16"/>
              </w:rPr>
            </w:pPr>
            <w:r w:rsidRPr="006B42D6">
              <w:rPr>
                <w:sz w:val="16"/>
                <w:szCs w:val="16"/>
              </w:rPr>
              <w:t>-</w:t>
            </w:r>
          </w:p>
        </w:tc>
        <w:tc>
          <w:tcPr>
            <w:tcW w:w="827" w:type="dxa"/>
            <w:tcBorders>
              <w:top w:val="nil"/>
              <w:left w:val="nil"/>
              <w:bottom w:val="nil"/>
              <w:right w:val="nil"/>
            </w:tcBorders>
            <w:shd w:val="clear" w:color="auto" w:fill="auto"/>
            <w:noWrap/>
            <w:vAlign w:val="center"/>
            <w:hideMark/>
          </w:tcPr>
          <w:p w14:paraId="2E2D59A5" w14:textId="77777777" w:rsidR="008A1E55" w:rsidRPr="006B42D6" w:rsidRDefault="008A1E55" w:rsidP="00E16CAE">
            <w:pPr>
              <w:jc w:val="right"/>
              <w:rPr>
                <w:sz w:val="16"/>
                <w:szCs w:val="16"/>
              </w:rPr>
            </w:pPr>
            <w:r w:rsidRPr="006B42D6">
              <w:rPr>
                <w:sz w:val="16"/>
                <w:szCs w:val="16"/>
              </w:rPr>
              <w:t>-</w:t>
            </w:r>
          </w:p>
        </w:tc>
      </w:tr>
      <w:tr w:rsidR="006B42D6" w:rsidRPr="006B42D6" w14:paraId="7C8579BB" w14:textId="77777777" w:rsidTr="00143C67">
        <w:trPr>
          <w:trHeight w:hRule="exact" w:val="227"/>
        </w:trPr>
        <w:tc>
          <w:tcPr>
            <w:tcW w:w="1668" w:type="dxa"/>
            <w:tcBorders>
              <w:top w:val="nil"/>
              <w:left w:val="nil"/>
              <w:bottom w:val="nil"/>
              <w:right w:val="nil"/>
            </w:tcBorders>
            <w:shd w:val="clear" w:color="auto" w:fill="auto"/>
            <w:noWrap/>
            <w:vAlign w:val="center"/>
            <w:hideMark/>
          </w:tcPr>
          <w:p w14:paraId="2E469A17" w14:textId="77777777" w:rsidR="008A1E55" w:rsidRPr="006B42D6" w:rsidRDefault="008A1E55" w:rsidP="00E16CAE">
            <w:pPr>
              <w:rPr>
                <w:sz w:val="16"/>
                <w:szCs w:val="16"/>
              </w:rPr>
            </w:pPr>
            <w:r w:rsidRPr="006B42D6">
              <w:rPr>
                <w:sz w:val="16"/>
                <w:szCs w:val="16"/>
              </w:rPr>
              <w:t>Mtwara</w:t>
            </w:r>
          </w:p>
        </w:tc>
        <w:tc>
          <w:tcPr>
            <w:tcW w:w="977" w:type="dxa"/>
            <w:tcBorders>
              <w:top w:val="nil"/>
              <w:left w:val="nil"/>
              <w:bottom w:val="nil"/>
              <w:right w:val="nil"/>
            </w:tcBorders>
            <w:shd w:val="clear" w:color="auto" w:fill="auto"/>
            <w:noWrap/>
            <w:vAlign w:val="center"/>
            <w:hideMark/>
          </w:tcPr>
          <w:p w14:paraId="65922877" w14:textId="77777777" w:rsidR="008A1E55" w:rsidRPr="006B42D6" w:rsidRDefault="008A1E55" w:rsidP="00E16CAE">
            <w:pPr>
              <w:jc w:val="right"/>
              <w:rPr>
                <w:sz w:val="16"/>
                <w:szCs w:val="16"/>
              </w:rPr>
            </w:pPr>
            <w:r w:rsidRPr="006B42D6">
              <w:rPr>
                <w:sz w:val="16"/>
                <w:szCs w:val="16"/>
              </w:rPr>
              <w:t>1.9</w:t>
            </w:r>
          </w:p>
        </w:tc>
        <w:tc>
          <w:tcPr>
            <w:tcW w:w="826" w:type="dxa"/>
            <w:tcBorders>
              <w:top w:val="nil"/>
              <w:left w:val="nil"/>
              <w:bottom w:val="nil"/>
              <w:right w:val="nil"/>
            </w:tcBorders>
            <w:shd w:val="clear" w:color="auto" w:fill="auto"/>
            <w:noWrap/>
            <w:vAlign w:val="center"/>
            <w:hideMark/>
          </w:tcPr>
          <w:p w14:paraId="33273B57" w14:textId="77777777" w:rsidR="008A1E55" w:rsidRPr="006B42D6" w:rsidRDefault="008A1E55" w:rsidP="00E16CAE">
            <w:pPr>
              <w:jc w:val="right"/>
              <w:rPr>
                <w:sz w:val="16"/>
                <w:szCs w:val="16"/>
              </w:rPr>
            </w:pPr>
            <w:r w:rsidRPr="006B42D6">
              <w:rPr>
                <w:sz w:val="16"/>
                <w:szCs w:val="16"/>
              </w:rPr>
              <w:t>5.5</w:t>
            </w:r>
          </w:p>
        </w:tc>
        <w:tc>
          <w:tcPr>
            <w:tcW w:w="1008" w:type="dxa"/>
            <w:tcBorders>
              <w:top w:val="nil"/>
              <w:left w:val="nil"/>
              <w:bottom w:val="nil"/>
              <w:right w:val="nil"/>
            </w:tcBorders>
            <w:shd w:val="clear" w:color="auto" w:fill="auto"/>
            <w:noWrap/>
            <w:vAlign w:val="center"/>
            <w:hideMark/>
          </w:tcPr>
          <w:p w14:paraId="031C57D8" w14:textId="77777777" w:rsidR="008A1E55" w:rsidRPr="006B42D6" w:rsidRDefault="008A1E55" w:rsidP="00E16CAE">
            <w:pPr>
              <w:jc w:val="right"/>
              <w:rPr>
                <w:sz w:val="16"/>
                <w:szCs w:val="16"/>
              </w:rPr>
            </w:pPr>
            <w:r w:rsidRPr="006B42D6">
              <w:rPr>
                <w:sz w:val="16"/>
                <w:szCs w:val="16"/>
              </w:rPr>
              <w:t>0.3</w:t>
            </w:r>
          </w:p>
        </w:tc>
        <w:tc>
          <w:tcPr>
            <w:tcW w:w="979" w:type="dxa"/>
            <w:tcBorders>
              <w:top w:val="nil"/>
              <w:left w:val="nil"/>
              <w:bottom w:val="nil"/>
              <w:right w:val="nil"/>
            </w:tcBorders>
            <w:shd w:val="clear" w:color="auto" w:fill="auto"/>
            <w:noWrap/>
            <w:vAlign w:val="center"/>
            <w:hideMark/>
          </w:tcPr>
          <w:p w14:paraId="7162A7C6" w14:textId="77777777" w:rsidR="008A1E55" w:rsidRPr="006B42D6" w:rsidRDefault="008A1E55" w:rsidP="00E16CAE">
            <w:pPr>
              <w:jc w:val="right"/>
              <w:rPr>
                <w:sz w:val="16"/>
                <w:szCs w:val="16"/>
              </w:rPr>
            </w:pPr>
            <w:r w:rsidRPr="006B42D6">
              <w:rPr>
                <w:sz w:val="16"/>
                <w:szCs w:val="16"/>
              </w:rPr>
              <w:t>1.5</w:t>
            </w:r>
          </w:p>
        </w:tc>
        <w:tc>
          <w:tcPr>
            <w:tcW w:w="1086" w:type="dxa"/>
            <w:tcBorders>
              <w:top w:val="nil"/>
              <w:left w:val="nil"/>
              <w:bottom w:val="nil"/>
              <w:right w:val="nil"/>
            </w:tcBorders>
            <w:shd w:val="clear" w:color="auto" w:fill="auto"/>
            <w:noWrap/>
            <w:vAlign w:val="center"/>
            <w:hideMark/>
          </w:tcPr>
          <w:p w14:paraId="70CB3A82" w14:textId="77777777" w:rsidR="008A1E55" w:rsidRPr="006B42D6" w:rsidRDefault="008A1E55" w:rsidP="00E16CAE">
            <w:pPr>
              <w:jc w:val="right"/>
              <w:rPr>
                <w:sz w:val="16"/>
                <w:szCs w:val="16"/>
              </w:rPr>
            </w:pPr>
            <w:r w:rsidRPr="006B42D6">
              <w:rPr>
                <w:sz w:val="16"/>
                <w:szCs w:val="16"/>
              </w:rPr>
              <w:t>-</w:t>
            </w:r>
          </w:p>
        </w:tc>
        <w:tc>
          <w:tcPr>
            <w:tcW w:w="950" w:type="dxa"/>
            <w:tcBorders>
              <w:top w:val="nil"/>
              <w:left w:val="nil"/>
              <w:bottom w:val="nil"/>
              <w:right w:val="nil"/>
            </w:tcBorders>
            <w:shd w:val="clear" w:color="auto" w:fill="auto"/>
            <w:noWrap/>
            <w:vAlign w:val="center"/>
            <w:hideMark/>
          </w:tcPr>
          <w:p w14:paraId="3F908D6E" w14:textId="77777777" w:rsidR="008A1E55" w:rsidRPr="006B42D6" w:rsidRDefault="008A1E55" w:rsidP="00E16CAE">
            <w:pPr>
              <w:jc w:val="right"/>
              <w:rPr>
                <w:sz w:val="16"/>
                <w:szCs w:val="16"/>
              </w:rPr>
            </w:pPr>
            <w:r w:rsidRPr="006B42D6">
              <w:rPr>
                <w:sz w:val="16"/>
                <w:szCs w:val="16"/>
              </w:rPr>
              <w:t>1.9</w:t>
            </w:r>
          </w:p>
        </w:tc>
        <w:tc>
          <w:tcPr>
            <w:tcW w:w="1039" w:type="dxa"/>
            <w:tcBorders>
              <w:top w:val="nil"/>
              <w:left w:val="nil"/>
              <w:bottom w:val="nil"/>
              <w:right w:val="nil"/>
            </w:tcBorders>
            <w:shd w:val="clear" w:color="auto" w:fill="auto"/>
            <w:noWrap/>
            <w:vAlign w:val="center"/>
            <w:hideMark/>
          </w:tcPr>
          <w:p w14:paraId="278E86B6" w14:textId="77777777" w:rsidR="008A1E55" w:rsidRPr="006B42D6" w:rsidRDefault="008A1E55" w:rsidP="00E16CAE">
            <w:pPr>
              <w:jc w:val="right"/>
              <w:rPr>
                <w:sz w:val="16"/>
                <w:szCs w:val="16"/>
              </w:rPr>
            </w:pPr>
            <w:r w:rsidRPr="006B42D6">
              <w:rPr>
                <w:sz w:val="16"/>
                <w:szCs w:val="16"/>
              </w:rPr>
              <w:t>4.5</w:t>
            </w:r>
          </w:p>
        </w:tc>
        <w:tc>
          <w:tcPr>
            <w:tcW w:w="932" w:type="dxa"/>
            <w:tcBorders>
              <w:top w:val="nil"/>
              <w:left w:val="nil"/>
              <w:bottom w:val="nil"/>
              <w:right w:val="nil"/>
            </w:tcBorders>
            <w:shd w:val="clear" w:color="auto" w:fill="auto"/>
            <w:noWrap/>
            <w:vAlign w:val="center"/>
            <w:hideMark/>
          </w:tcPr>
          <w:p w14:paraId="21D2AE1D" w14:textId="77777777" w:rsidR="008A1E55" w:rsidRPr="006B42D6" w:rsidRDefault="008A1E55" w:rsidP="00E16CAE">
            <w:pPr>
              <w:jc w:val="right"/>
              <w:rPr>
                <w:sz w:val="16"/>
                <w:szCs w:val="16"/>
              </w:rPr>
            </w:pPr>
            <w:r w:rsidRPr="006B42D6">
              <w:rPr>
                <w:sz w:val="16"/>
                <w:szCs w:val="16"/>
              </w:rPr>
              <w:t>2.2</w:t>
            </w:r>
          </w:p>
        </w:tc>
        <w:tc>
          <w:tcPr>
            <w:tcW w:w="1030" w:type="dxa"/>
            <w:tcBorders>
              <w:top w:val="nil"/>
              <w:left w:val="nil"/>
              <w:bottom w:val="nil"/>
              <w:right w:val="nil"/>
            </w:tcBorders>
            <w:shd w:val="clear" w:color="auto" w:fill="auto"/>
            <w:noWrap/>
            <w:vAlign w:val="center"/>
            <w:hideMark/>
          </w:tcPr>
          <w:p w14:paraId="2A6E58A4" w14:textId="77777777" w:rsidR="008A1E55" w:rsidRPr="006B42D6" w:rsidRDefault="008A1E55" w:rsidP="00E16CAE">
            <w:pPr>
              <w:jc w:val="right"/>
              <w:rPr>
                <w:sz w:val="16"/>
                <w:szCs w:val="16"/>
              </w:rPr>
            </w:pPr>
            <w:r w:rsidRPr="006B42D6">
              <w:rPr>
                <w:sz w:val="16"/>
                <w:szCs w:val="16"/>
              </w:rPr>
              <w:t>-</w:t>
            </w:r>
          </w:p>
        </w:tc>
        <w:tc>
          <w:tcPr>
            <w:tcW w:w="905" w:type="dxa"/>
            <w:tcBorders>
              <w:top w:val="nil"/>
              <w:left w:val="nil"/>
              <w:bottom w:val="nil"/>
              <w:right w:val="nil"/>
            </w:tcBorders>
            <w:shd w:val="clear" w:color="auto" w:fill="auto"/>
            <w:noWrap/>
            <w:vAlign w:val="center"/>
            <w:hideMark/>
          </w:tcPr>
          <w:p w14:paraId="664B57B4" w14:textId="77777777" w:rsidR="008A1E55" w:rsidRPr="006B42D6" w:rsidRDefault="008A1E55" w:rsidP="00E16CAE">
            <w:pPr>
              <w:jc w:val="right"/>
              <w:rPr>
                <w:sz w:val="16"/>
                <w:szCs w:val="16"/>
              </w:rPr>
            </w:pPr>
            <w:r w:rsidRPr="006B42D6">
              <w:rPr>
                <w:sz w:val="16"/>
                <w:szCs w:val="16"/>
              </w:rPr>
              <w:t>-</w:t>
            </w:r>
          </w:p>
        </w:tc>
        <w:tc>
          <w:tcPr>
            <w:tcW w:w="998" w:type="dxa"/>
            <w:tcBorders>
              <w:top w:val="nil"/>
              <w:left w:val="nil"/>
              <w:bottom w:val="nil"/>
              <w:right w:val="nil"/>
            </w:tcBorders>
            <w:shd w:val="clear" w:color="auto" w:fill="auto"/>
            <w:noWrap/>
            <w:vAlign w:val="center"/>
            <w:hideMark/>
          </w:tcPr>
          <w:p w14:paraId="73708335" w14:textId="77777777" w:rsidR="008A1E55" w:rsidRPr="006B42D6" w:rsidRDefault="008A1E55" w:rsidP="00E16CAE">
            <w:pPr>
              <w:jc w:val="right"/>
              <w:rPr>
                <w:sz w:val="16"/>
                <w:szCs w:val="16"/>
              </w:rPr>
            </w:pPr>
            <w:r w:rsidRPr="006B42D6">
              <w:rPr>
                <w:sz w:val="16"/>
                <w:szCs w:val="16"/>
              </w:rPr>
              <w:t>-</w:t>
            </w:r>
          </w:p>
        </w:tc>
        <w:tc>
          <w:tcPr>
            <w:tcW w:w="827" w:type="dxa"/>
            <w:tcBorders>
              <w:top w:val="nil"/>
              <w:left w:val="nil"/>
              <w:bottom w:val="nil"/>
              <w:right w:val="nil"/>
            </w:tcBorders>
            <w:shd w:val="clear" w:color="auto" w:fill="auto"/>
            <w:noWrap/>
            <w:vAlign w:val="center"/>
            <w:hideMark/>
          </w:tcPr>
          <w:p w14:paraId="3E667AE5" w14:textId="77777777" w:rsidR="008A1E55" w:rsidRPr="006B42D6" w:rsidRDefault="008A1E55" w:rsidP="00E16CAE">
            <w:pPr>
              <w:jc w:val="right"/>
              <w:rPr>
                <w:sz w:val="16"/>
                <w:szCs w:val="16"/>
              </w:rPr>
            </w:pPr>
            <w:r w:rsidRPr="006B42D6">
              <w:rPr>
                <w:sz w:val="16"/>
                <w:szCs w:val="16"/>
              </w:rPr>
              <w:t>1.9</w:t>
            </w:r>
          </w:p>
        </w:tc>
      </w:tr>
      <w:tr w:rsidR="006B42D6" w:rsidRPr="006B42D6" w14:paraId="51B83DEB" w14:textId="77777777" w:rsidTr="00143C67">
        <w:trPr>
          <w:trHeight w:hRule="exact" w:val="227"/>
        </w:trPr>
        <w:tc>
          <w:tcPr>
            <w:tcW w:w="1668" w:type="dxa"/>
            <w:tcBorders>
              <w:top w:val="nil"/>
              <w:left w:val="nil"/>
              <w:bottom w:val="nil"/>
              <w:right w:val="nil"/>
            </w:tcBorders>
            <w:shd w:val="clear" w:color="auto" w:fill="auto"/>
            <w:noWrap/>
            <w:vAlign w:val="center"/>
            <w:hideMark/>
          </w:tcPr>
          <w:p w14:paraId="279BF345" w14:textId="77777777" w:rsidR="008A1E55" w:rsidRPr="006B42D6" w:rsidRDefault="008A1E55" w:rsidP="00E16CAE">
            <w:pPr>
              <w:rPr>
                <w:sz w:val="16"/>
                <w:szCs w:val="16"/>
              </w:rPr>
            </w:pPr>
            <w:r w:rsidRPr="006B42D6">
              <w:rPr>
                <w:sz w:val="16"/>
                <w:szCs w:val="16"/>
              </w:rPr>
              <w:t>Ruvuma</w:t>
            </w:r>
          </w:p>
        </w:tc>
        <w:tc>
          <w:tcPr>
            <w:tcW w:w="977" w:type="dxa"/>
            <w:tcBorders>
              <w:top w:val="nil"/>
              <w:left w:val="nil"/>
              <w:bottom w:val="nil"/>
              <w:right w:val="nil"/>
            </w:tcBorders>
            <w:shd w:val="clear" w:color="auto" w:fill="auto"/>
            <w:noWrap/>
            <w:vAlign w:val="center"/>
            <w:hideMark/>
          </w:tcPr>
          <w:p w14:paraId="24D06D1E" w14:textId="77777777" w:rsidR="008A1E55" w:rsidRPr="006B42D6" w:rsidRDefault="008A1E55" w:rsidP="00E16CAE">
            <w:pPr>
              <w:jc w:val="right"/>
              <w:rPr>
                <w:sz w:val="16"/>
                <w:szCs w:val="16"/>
              </w:rPr>
            </w:pPr>
            <w:r w:rsidRPr="006B42D6">
              <w:rPr>
                <w:sz w:val="16"/>
                <w:szCs w:val="16"/>
              </w:rPr>
              <w:t>8.5</w:t>
            </w:r>
          </w:p>
        </w:tc>
        <w:tc>
          <w:tcPr>
            <w:tcW w:w="826" w:type="dxa"/>
            <w:tcBorders>
              <w:top w:val="nil"/>
              <w:left w:val="nil"/>
              <w:bottom w:val="nil"/>
              <w:right w:val="nil"/>
            </w:tcBorders>
            <w:shd w:val="clear" w:color="auto" w:fill="auto"/>
            <w:noWrap/>
            <w:vAlign w:val="center"/>
            <w:hideMark/>
          </w:tcPr>
          <w:p w14:paraId="6AF6E393" w14:textId="77777777" w:rsidR="008A1E55" w:rsidRPr="006B42D6" w:rsidRDefault="008A1E55" w:rsidP="00E16CAE">
            <w:pPr>
              <w:jc w:val="right"/>
              <w:rPr>
                <w:sz w:val="16"/>
                <w:szCs w:val="16"/>
              </w:rPr>
            </w:pPr>
            <w:r w:rsidRPr="006B42D6">
              <w:rPr>
                <w:sz w:val="16"/>
                <w:szCs w:val="16"/>
              </w:rPr>
              <w:t>19.6</w:t>
            </w:r>
          </w:p>
        </w:tc>
        <w:tc>
          <w:tcPr>
            <w:tcW w:w="1008" w:type="dxa"/>
            <w:tcBorders>
              <w:top w:val="nil"/>
              <w:left w:val="nil"/>
              <w:bottom w:val="nil"/>
              <w:right w:val="nil"/>
            </w:tcBorders>
            <w:shd w:val="clear" w:color="auto" w:fill="auto"/>
            <w:noWrap/>
            <w:vAlign w:val="center"/>
            <w:hideMark/>
          </w:tcPr>
          <w:p w14:paraId="1C8569C7" w14:textId="77777777" w:rsidR="008A1E55" w:rsidRPr="006B42D6" w:rsidRDefault="008A1E55" w:rsidP="00E16CAE">
            <w:pPr>
              <w:jc w:val="right"/>
              <w:rPr>
                <w:sz w:val="16"/>
                <w:szCs w:val="16"/>
              </w:rPr>
            </w:pPr>
            <w:r w:rsidRPr="006B42D6">
              <w:rPr>
                <w:sz w:val="16"/>
                <w:szCs w:val="16"/>
              </w:rPr>
              <w:t>2.3</w:t>
            </w:r>
          </w:p>
        </w:tc>
        <w:tc>
          <w:tcPr>
            <w:tcW w:w="979" w:type="dxa"/>
            <w:tcBorders>
              <w:top w:val="nil"/>
              <w:left w:val="nil"/>
              <w:bottom w:val="nil"/>
              <w:right w:val="nil"/>
            </w:tcBorders>
            <w:shd w:val="clear" w:color="auto" w:fill="auto"/>
            <w:noWrap/>
            <w:vAlign w:val="center"/>
            <w:hideMark/>
          </w:tcPr>
          <w:p w14:paraId="4537B602" w14:textId="77777777" w:rsidR="008A1E55" w:rsidRPr="006B42D6" w:rsidRDefault="008A1E55" w:rsidP="00E16CAE">
            <w:pPr>
              <w:jc w:val="right"/>
              <w:rPr>
                <w:sz w:val="16"/>
                <w:szCs w:val="16"/>
              </w:rPr>
            </w:pPr>
            <w:r w:rsidRPr="006B42D6">
              <w:rPr>
                <w:sz w:val="16"/>
                <w:szCs w:val="16"/>
              </w:rPr>
              <w:t>0.5</w:t>
            </w:r>
          </w:p>
        </w:tc>
        <w:tc>
          <w:tcPr>
            <w:tcW w:w="1086" w:type="dxa"/>
            <w:tcBorders>
              <w:top w:val="nil"/>
              <w:left w:val="nil"/>
              <w:bottom w:val="nil"/>
              <w:right w:val="nil"/>
            </w:tcBorders>
            <w:shd w:val="clear" w:color="auto" w:fill="auto"/>
            <w:noWrap/>
            <w:vAlign w:val="center"/>
            <w:hideMark/>
          </w:tcPr>
          <w:p w14:paraId="054E45D8" w14:textId="77777777" w:rsidR="008A1E55" w:rsidRPr="006B42D6" w:rsidRDefault="008A1E55" w:rsidP="00E16CAE">
            <w:pPr>
              <w:jc w:val="right"/>
              <w:rPr>
                <w:sz w:val="16"/>
                <w:szCs w:val="16"/>
              </w:rPr>
            </w:pPr>
            <w:r w:rsidRPr="006B42D6">
              <w:rPr>
                <w:sz w:val="16"/>
                <w:szCs w:val="16"/>
              </w:rPr>
              <w:t>10.7</w:t>
            </w:r>
          </w:p>
        </w:tc>
        <w:tc>
          <w:tcPr>
            <w:tcW w:w="950" w:type="dxa"/>
            <w:tcBorders>
              <w:top w:val="nil"/>
              <w:left w:val="nil"/>
              <w:bottom w:val="nil"/>
              <w:right w:val="nil"/>
            </w:tcBorders>
            <w:shd w:val="clear" w:color="auto" w:fill="auto"/>
            <w:noWrap/>
            <w:vAlign w:val="center"/>
            <w:hideMark/>
          </w:tcPr>
          <w:p w14:paraId="26DA1E27" w14:textId="77777777" w:rsidR="008A1E55" w:rsidRPr="006B42D6" w:rsidRDefault="008A1E55" w:rsidP="00E16CAE">
            <w:pPr>
              <w:jc w:val="right"/>
              <w:rPr>
                <w:sz w:val="16"/>
                <w:szCs w:val="16"/>
              </w:rPr>
            </w:pPr>
            <w:r w:rsidRPr="006B42D6">
              <w:rPr>
                <w:sz w:val="16"/>
                <w:szCs w:val="16"/>
              </w:rPr>
              <w:t>3.0</w:t>
            </w:r>
          </w:p>
        </w:tc>
        <w:tc>
          <w:tcPr>
            <w:tcW w:w="1039" w:type="dxa"/>
            <w:tcBorders>
              <w:top w:val="nil"/>
              <w:left w:val="nil"/>
              <w:bottom w:val="nil"/>
              <w:right w:val="nil"/>
            </w:tcBorders>
            <w:shd w:val="clear" w:color="auto" w:fill="auto"/>
            <w:noWrap/>
            <w:vAlign w:val="center"/>
            <w:hideMark/>
          </w:tcPr>
          <w:p w14:paraId="18C377DE" w14:textId="77777777" w:rsidR="008A1E55" w:rsidRPr="006B42D6" w:rsidRDefault="008A1E55" w:rsidP="00E16CAE">
            <w:pPr>
              <w:jc w:val="right"/>
              <w:rPr>
                <w:sz w:val="16"/>
                <w:szCs w:val="16"/>
              </w:rPr>
            </w:pPr>
            <w:r w:rsidRPr="006B42D6">
              <w:rPr>
                <w:sz w:val="16"/>
                <w:szCs w:val="16"/>
              </w:rPr>
              <w:t>4.6</w:t>
            </w:r>
          </w:p>
        </w:tc>
        <w:tc>
          <w:tcPr>
            <w:tcW w:w="932" w:type="dxa"/>
            <w:tcBorders>
              <w:top w:val="nil"/>
              <w:left w:val="nil"/>
              <w:bottom w:val="nil"/>
              <w:right w:val="nil"/>
            </w:tcBorders>
            <w:shd w:val="clear" w:color="auto" w:fill="auto"/>
            <w:noWrap/>
            <w:vAlign w:val="center"/>
            <w:hideMark/>
          </w:tcPr>
          <w:p w14:paraId="1DDA2DE2" w14:textId="77777777" w:rsidR="008A1E55" w:rsidRPr="006B42D6" w:rsidRDefault="008A1E55" w:rsidP="00E16CAE">
            <w:pPr>
              <w:jc w:val="right"/>
              <w:rPr>
                <w:sz w:val="16"/>
                <w:szCs w:val="16"/>
              </w:rPr>
            </w:pPr>
            <w:r w:rsidRPr="006B42D6">
              <w:rPr>
                <w:sz w:val="16"/>
                <w:szCs w:val="16"/>
              </w:rPr>
              <w:t>1.2</w:t>
            </w:r>
          </w:p>
        </w:tc>
        <w:tc>
          <w:tcPr>
            <w:tcW w:w="1030" w:type="dxa"/>
            <w:tcBorders>
              <w:top w:val="nil"/>
              <w:left w:val="nil"/>
              <w:bottom w:val="nil"/>
              <w:right w:val="nil"/>
            </w:tcBorders>
            <w:shd w:val="clear" w:color="auto" w:fill="auto"/>
            <w:noWrap/>
            <w:vAlign w:val="center"/>
            <w:hideMark/>
          </w:tcPr>
          <w:p w14:paraId="561EED59" w14:textId="77777777" w:rsidR="008A1E55" w:rsidRPr="006B42D6" w:rsidRDefault="008A1E55" w:rsidP="00E16CAE">
            <w:pPr>
              <w:jc w:val="right"/>
              <w:rPr>
                <w:sz w:val="16"/>
                <w:szCs w:val="16"/>
              </w:rPr>
            </w:pPr>
            <w:r w:rsidRPr="006B42D6">
              <w:rPr>
                <w:sz w:val="16"/>
                <w:szCs w:val="16"/>
              </w:rPr>
              <w:t>-</w:t>
            </w:r>
          </w:p>
        </w:tc>
        <w:tc>
          <w:tcPr>
            <w:tcW w:w="905" w:type="dxa"/>
            <w:tcBorders>
              <w:top w:val="nil"/>
              <w:left w:val="nil"/>
              <w:bottom w:val="nil"/>
              <w:right w:val="nil"/>
            </w:tcBorders>
            <w:shd w:val="clear" w:color="auto" w:fill="auto"/>
            <w:noWrap/>
            <w:vAlign w:val="center"/>
            <w:hideMark/>
          </w:tcPr>
          <w:p w14:paraId="7B845CA6" w14:textId="77777777" w:rsidR="008A1E55" w:rsidRPr="006B42D6" w:rsidRDefault="008A1E55" w:rsidP="00E16CAE">
            <w:pPr>
              <w:jc w:val="right"/>
              <w:rPr>
                <w:sz w:val="16"/>
                <w:szCs w:val="16"/>
              </w:rPr>
            </w:pPr>
            <w:r w:rsidRPr="006B42D6">
              <w:rPr>
                <w:sz w:val="16"/>
                <w:szCs w:val="16"/>
              </w:rPr>
              <w:t>-</w:t>
            </w:r>
          </w:p>
        </w:tc>
        <w:tc>
          <w:tcPr>
            <w:tcW w:w="998" w:type="dxa"/>
            <w:tcBorders>
              <w:top w:val="nil"/>
              <w:left w:val="nil"/>
              <w:bottom w:val="nil"/>
              <w:right w:val="nil"/>
            </w:tcBorders>
            <w:shd w:val="clear" w:color="auto" w:fill="auto"/>
            <w:noWrap/>
            <w:vAlign w:val="center"/>
            <w:hideMark/>
          </w:tcPr>
          <w:p w14:paraId="1FE34D09" w14:textId="77777777" w:rsidR="008A1E55" w:rsidRPr="006B42D6" w:rsidRDefault="008A1E55" w:rsidP="00E16CAE">
            <w:pPr>
              <w:jc w:val="right"/>
              <w:rPr>
                <w:sz w:val="16"/>
                <w:szCs w:val="16"/>
              </w:rPr>
            </w:pPr>
            <w:r w:rsidRPr="006B42D6">
              <w:rPr>
                <w:sz w:val="16"/>
                <w:szCs w:val="16"/>
              </w:rPr>
              <w:t>-</w:t>
            </w:r>
          </w:p>
        </w:tc>
        <w:tc>
          <w:tcPr>
            <w:tcW w:w="827" w:type="dxa"/>
            <w:tcBorders>
              <w:top w:val="nil"/>
              <w:left w:val="nil"/>
              <w:bottom w:val="nil"/>
              <w:right w:val="nil"/>
            </w:tcBorders>
            <w:shd w:val="clear" w:color="auto" w:fill="auto"/>
            <w:noWrap/>
            <w:vAlign w:val="center"/>
            <w:hideMark/>
          </w:tcPr>
          <w:p w14:paraId="6E0F0824" w14:textId="77777777" w:rsidR="008A1E55" w:rsidRPr="006B42D6" w:rsidRDefault="008A1E55" w:rsidP="00E16CAE">
            <w:pPr>
              <w:jc w:val="right"/>
              <w:rPr>
                <w:sz w:val="16"/>
                <w:szCs w:val="16"/>
              </w:rPr>
            </w:pPr>
            <w:r w:rsidRPr="006B42D6">
              <w:rPr>
                <w:sz w:val="16"/>
                <w:szCs w:val="16"/>
              </w:rPr>
              <w:t>4.6</w:t>
            </w:r>
          </w:p>
        </w:tc>
      </w:tr>
      <w:tr w:rsidR="006B42D6" w:rsidRPr="006B42D6" w14:paraId="23240607" w14:textId="77777777" w:rsidTr="00143C67">
        <w:trPr>
          <w:trHeight w:hRule="exact" w:val="227"/>
        </w:trPr>
        <w:tc>
          <w:tcPr>
            <w:tcW w:w="1668" w:type="dxa"/>
            <w:tcBorders>
              <w:top w:val="nil"/>
              <w:left w:val="nil"/>
              <w:bottom w:val="nil"/>
              <w:right w:val="nil"/>
            </w:tcBorders>
            <w:shd w:val="clear" w:color="auto" w:fill="auto"/>
            <w:noWrap/>
            <w:vAlign w:val="center"/>
            <w:hideMark/>
          </w:tcPr>
          <w:p w14:paraId="242C4F7E" w14:textId="77777777" w:rsidR="008A1E55" w:rsidRPr="006B42D6" w:rsidRDefault="008A1E55" w:rsidP="00E16CAE">
            <w:pPr>
              <w:rPr>
                <w:sz w:val="16"/>
                <w:szCs w:val="16"/>
              </w:rPr>
            </w:pPr>
            <w:r w:rsidRPr="006B42D6">
              <w:rPr>
                <w:sz w:val="16"/>
                <w:szCs w:val="16"/>
              </w:rPr>
              <w:t>Iringa</w:t>
            </w:r>
          </w:p>
        </w:tc>
        <w:tc>
          <w:tcPr>
            <w:tcW w:w="977" w:type="dxa"/>
            <w:tcBorders>
              <w:top w:val="nil"/>
              <w:left w:val="nil"/>
              <w:bottom w:val="nil"/>
              <w:right w:val="nil"/>
            </w:tcBorders>
            <w:shd w:val="clear" w:color="auto" w:fill="auto"/>
            <w:noWrap/>
            <w:vAlign w:val="center"/>
            <w:hideMark/>
          </w:tcPr>
          <w:p w14:paraId="52F2568F" w14:textId="77777777" w:rsidR="008A1E55" w:rsidRPr="006B42D6" w:rsidRDefault="008A1E55" w:rsidP="00E16CAE">
            <w:pPr>
              <w:jc w:val="right"/>
              <w:rPr>
                <w:sz w:val="16"/>
                <w:szCs w:val="16"/>
              </w:rPr>
            </w:pPr>
            <w:r w:rsidRPr="006B42D6">
              <w:rPr>
                <w:sz w:val="16"/>
                <w:szCs w:val="16"/>
              </w:rPr>
              <w:t>-</w:t>
            </w:r>
          </w:p>
        </w:tc>
        <w:tc>
          <w:tcPr>
            <w:tcW w:w="826" w:type="dxa"/>
            <w:tcBorders>
              <w:top w:val="nil"/>
              <w:left w:val="nil"/>
              <w:bottom w:val="nil"/>
              <w:right w:val="nil"/>
            </w:tcBorders>
            <w:shd w:val="clear" w:color="auto" w:fill="auto"/>
            <w:noWrap/>
            <w:vAlign w:val="center"/>
            <w:hideMark/>
          </w:tcPr>
          <w:p w14:paraId="35EF9839" w14:textId="77777777" w:rsidR="008A1E55" w:rsidRPr="006B42D6" w:rsidRDefault="008A1E55" w:rsidP="00E16CAE">
            <w:pPr>
              <w:jc w:val="right"/>
              <w:rPr>
                <w:sz w:val="16"/>
                <w:szCs w:val="16"/>
              </w:rPr>
            </w:pPr>
            <w:r w:rsidRPr="006B42D6">
              <w:rPr>
                <w:sz w:val="16"/>
                <w:szCs w:val="16"/>
              </w:rPr>
              <w:t>0.6</w:t>
            </w:r>
          </w:p>
        </w:tc>
        <w:tc>
          <w:tcPr>
            <w:tcW w:w="1008" w:type="dxa"/>
            <w:tcBorders>
              <w:top w:val="nil"/>
              <w:left w:val="nil"/>
              <w:bottom w:val="nil"/>
              <w:right w:val="nil"/>
            </w:tcBorders>
            <w:shd w:val="clear" w:color="auto" w:fill="auto"/>
            <w:noWrap/>
            <w:vAlign w:val="center"/>
            <w:hideMark/>
          </w:tcPr>
          <w:p w14:paraId="43AF883E" w14:textId="77777777" w:rsidR="008A1E55" w:rsidRPr="006B42D6" w:rsidRDefault="008A1E55" w:rsidP="00E16CAE">
            <w:pPr>
              <w:jc w:val="right"/>
              <w:rPr>
                <w:sz w:val="16"/>
                <w:szCs w:val="16"/>
              </w:rPr>
            </w:pPr>
            <w:r w:rsidRPr="006B42D6">
              <w:rPr>
                <w:sz w:val="16"/>
                <w:szCs w:val="16"/>
              </w:rPr>
              <w:t>-</w:t>
            </w:r>
          </w:p>
        </w:tc>
        <w:tc>
          <w:tcPr>
            <w:tcW w:w="979" w:type="dxa"/>
            <w:tcBorders>
              <w:top w:val="nil"/>
              <w:left w:val="nil"/>
              <w:bottom w:val="nil"/>
              <w:right w:val="nil"/>
            </w:tcBorders>
            <w:shd w:val="clear" w:color="auto" w:fill="auto"/>
            <w:noWrap/>
            <w:vAlign w:val="center"/>
            <w:hideMark/>
          </w:tcPr>
          <w:p w14:paraId="400A7B94" w14:textId="77777777" w:rsidR="008A1E55" w:rsidRPr="006B42D6" w:rsidRDefault="008A1E55" w:rsidP="00E16CAE">
            <w:pPr>
              <w:jc w:val="right"/>
              <w:rPr>
                <w:sz w:val="16"/>
                <w:szCs w:val="16"/>
              </w:rPr>
            </w:pPr>
            <w:r w:rsidRPr="006B42D6">
              <w:rPr>
                <w:sz w:val="16"/>
                <w:szCs w:val="16"/>
              </w:rPr>
              <w:t>1.7</w:t>
            </w:r>
          </w:p>
        </w:tc>
        <w:tc>
          <w:tcPr>
            <w:tcW w:w="1086" w:type="dxa"/>
            <w:tcBorders>
              <w:top w:val="nil"/>
              <w:left w:val="nil"/>
              <w:bottom w:val="nil"/>
              <w:right w:val="nil"/>
            </w:tcBorders>
            <w:shd w:val="clear" w:color="auto" w:fill="auto"/>
            <w:noWrap/>
            <w:vAlign w:val="center"/>
            <w:hideMark/>
          </w:tcPr>
          <w:p w14:paraId="6D33BA6C" w14:textId="77777777" w:rsidR="008A1E55" w:rsidRPr="006B42D6" w:rsidRDefault="008A1E55" w:rsidP="00E16CAE">
            <w:pPr>
              <w:jc w:val="right"/>
              <w:rPr>
                <w:sz w:val="16"/>
                <w:szCs w:val="16"/>
              </w:rPr>
            </w:pPr>
            <w:r w:rsidRPr="006B42D6">
              <w:rPr>
                <w:sz w:val="16"/>
                <w:szCs w:val="16"/>
              </w:rPr>
              <w:t>8.6</w:t>
            </w:r>
          </w:p>
        </w:tc>
        <w:tc>
          <w:tcPr>
            <w:tcW w:w="950" w:type="dxa"/>
            <w:tcBorders>
              <w:top w:val="nil"/>
              <w:left w:val="nil"/>
              <w:bottom w:val="nil"/>
              <w:right w:val="nil"/>
            </w:tcBorders>
            <w:shd w:val="clear" w:color="auto" w:fill="auto"/>
            <w:noWrap/>
            <w:vAlign w:val="center"/>
            <w:hideMark/>
          </w:tcPr>
          <w:p w14:paraId="7483C362" w14:textId="77777777" w:rsidR="008A1E55" w:rsidRPr="006B42D6" w:rsidRDefault="008A1E55" w:rsidP="00E16CAE">
            <w:pPr>
              <w:jc w:val="right"/>
              <w:rPr>
                <w:sz w:val="16"/>
                <w:szCs w:val="16"/>
              </w:rPr>
            </w:pPr>
            <w:r w:rsidRPr="006B42D6">
              <w:rPr>
                <w:sz w:val="16"/>
                <w:szCs w:val="16"/>
              </w:rPr>
              <w:t>2.2</w:t>
            </w:r>
          </w:p>
        </w:tc>
        <w:tc>
          <w:tcPr>
            <w:tcW w:w="1039" w:type="dxa"/>
            <w:tcBorders>
              <w:top w:val="nil"/>
              <w:left w:val="nil"/>
              <w:bottom w:val="nil"/>
              <w:right w:val="nil"/>
            </w:tcBorders>
            <w:shd w:val="clear" w:color="auto" w:fill="auto"/>
            <w:noWrap/>
            <w:vAlign w:val="center"/>
            <w:hideMark/>
          </w:tcPr>
          <w:p w14:paraId="7DEB7411" w14:textId="77777777" w:rsidR="008A1E55" w:rsidRPr="006B42D6" w:rsidRDefault="008A1E55" w:rsidP="00E16CAE">
            <w:pPr>
              <w:jc w:val="right"/>
              <w:rPr>
                <w:sz w:val="16"/>
                <w:szCs w:val="16"/>
              </w:rPr>
            </w:pPr>
            <w:r w:rsidRPr="006B42D6">
              <w:rPr>
                <w:sz w:val="16"/>
                <w:szCs w:val="16"/>
              </w:rPr>
              <w:t>2.9</w:t>
            </w:r>
          </w:p>
        </w:tc>
        <w:tc>
          <w:tcPr>
            <w:tcW w:w="932" w:type="dxa"/>
            <w:tcBorders>
              <w:top w:val="nil"/>
              <w:left w:val="nil"/>
              <w:bottom w:val="nil"/>
              <w:right w:val="nil"/>
            </w:tcBorders>
            <w:shd w:val="clear" w:color="auto" w:fill="auto"/>
            <w:noWrap/>
            <w:vAlign w:val="center"/>
            <w:hideMark/>
          </w:tcPr>
          <w:p w14:paraId="4CD0BEEA" w14:textId="77777777" w:rsidR="008A1E55" w:rsidRPr="006B42D6" w:rsidRDefault="008A1E55" w:rsidP="00E16CAE">
            <w:pPr>
              <w:jc w:val="right"/>
              <w:rPr>
                <w:sz w:val="16"/>
                <w:szCs w:val="16"/>
              </w:rPr>
            </w:pPr>
            <w:r w:rsidRPr="006B42D6">
              <w:rPr>
                <w:sz w:val="16"/>
                <w:szCs w:val="16"/>
              </w:rPr>
              <w:t>-</w:t>
            </w:r>
          </w:p>
        </w:tc>
        <w:tc>
          <w:tcPr>
            <w:tcW w:w="1030" w:type="dxa"/>
            <w:tcBorders>
              <w:top w:val="nil"/>
              <w:left w:val="nil"/>
              <w:bottom w:val="nil"/>
              <w:right w:val="nil"/>
            </w:tcBorders>
            <w:shd w:val="clear" w:color="auto" w:fill="auto"/>
            <w:noWrap/>
            <w:vAlign w:val="center"/>
            <w:hideMark/>
          </w:tcPr>
          <w:p w14:paraId="7F38F1E4" w14:textId="77777777" w:rsidR="008A1E55" w:rsidRPr="006B42D6" w:rsidRDefault="008A1E55" w:rsidP="00E16CAE">
            <w:pPr>
              <w:jc w:val="right"/>
              <w:rPr>
                <w:sz w:val="16"/>
                <w:szCs w:val="16"/>
              </w:rPr>
            </w:pPr>
            <w:r w:rsidRPr="006B42D6">
              <w:rPr>
                <w:sz w:val="16"/>
                <w:szCs w:val="16"/>
              </w:rPr>
              <w:t>-</w:t>
            </w:r>
          </w:p>
        </w:tc>
        <w:tc>
          <w:tcPr>
            <w:tcW w:w="905" w:type="dxa"/>
            <w:tcBorders>
              <w:top w:val="nil"/>
              <w:left w:val="nil"/>
              <w:bottom w:val="nil"/>
              <w:right w:val="nil"/>
            </w:tcBorders>
            <w:shd w:val="clear" w:color="auto" w:fill="auto"/>
            <w:noWrap/>
            <w:vAlign w:val="center"/>
            <w:hideMark/>
          </w:tcPr>
          <w:p w14:paraId="46A4C4B1" w14:textId="77777777" w:rsidR="008A1E55" w:rsidRPr="006B42D6" w:rsidRDefault="008A1E55" w:rsidP="00E16CAE">
            <w:pPr>
              <w:jc w:val="right"/>
              <w:rPr>
                <w:sz w:val="16"/>
                <w:szCs w:val="16"/>
              </w:rPr>
            </w:pPr>
            <w:r w:rsidRPr="006B42D6">
              <w:rPr>
                <w:sz w:val="16"/>
                <w:szCs w:val="16"/>
              </w:rPr>
              <w:t>-</w:t>
            </w:r>
          </w:p>
        </w:tc>
        <w:tc>
          <w:tcPr>
            <w:tcW w:w="998" w:type="dxa"/>
            <w:tcBorders>
              <w:top w:val="nil"/>
              <w:left w:val="nil"/>
              <w:bottom w:val="nil"/>
              <w:right w:val="nil"/>
            </w:tcBorders>
            <w:shd w:val="clear" w:color="auto" w:fill="auto"/>
            <w:noWrap/>
            <w:vAlign w:val="center"/>
            <w:hideMark/>
          </w:tcPr>
          <w:p w14:paraId="3A1AA6B9" w14:textId="77777777" w:rsidR="008A1E55" w:rsidRPr="006B42D6" w:rsidRDefault="008A1E55" w:rsidP="00E16CAE">
            <w:pPr>
              <w:jc w:val="right"/>
              <w:rPr>
                <w:sz w:val="16"/>
                <w:szCs w:val="16"/>
              </w:rPr>
            </w:pPr>
            <w:r w:rsidRPr="006B42D6">
              <w:rPr>
                <w:sz w:val="16"/>
                <w:szCs w:val="16"/>
              </w:rPr>
              <w:t>-</w:t>
            </w:r>
          </w:p>
        </w:tc>
        <w:tc>
          <w:tcPr>
            <w:tcW w:w="827" w:type="dxa"/>
            <w:tcBorders>
              <w:top w:val="nil"/>
              <w:left w:val="nil"/>
              <w:bottom w:val="nil"/>
              <w:right w:val="nil"/>
            </w:tcBorders>
            <w:shd w:val="clear" w:color="auto" w:fill="auto"/>
            <w:noWrap/>
            <w:vAlign w:val="center"/>
            <w:hideMark/>
          </w:tcPr>
          <w:p w14:paraId="2B7ADAAE" w14:textId="77777777" w:rsidR="008A1E55" w:rsidRPr="006B42D6" w:rsidRDefault="008A1E55" w:rsidP="00E16CAE">
            <w:pPr>
              <w:jc w:val="right"/>
              <w:rPr>
                <w:sz w:val="16"/>
                <w:szCs w:val="16"/>
              </w:rPr>
            </w:pPr>
            <w:r w:rsidRPr="006B42D6">
              <w:rPr>
                <w:sz w:val="16"/>
                <w:szCs w:val="16"/>
              </w:rPr>
              <w:t>-</w:t>
            </w:r>
          </w:p>
        </w:tc>
      </w:tr>
      <w:tr w:rsidR="006B42D6" w:rsidRPr="006B42D6" w14:paraId="49306EB6" w14:textId="77777777" w:rsidTr="00143C67">
        <w:trPr>
          <w:trHeight w:hRule="exact" w:val="227"/>
        </w:trPr>
        <w:tc>
          <w:tcPr>
            <w:tcW w:w="1668" w:type="dxa"/>
            <w:tcBorders>
              <w:top w:val="nil"/>
              <w:left w:val="nil"/>
              <w:bottom w:val="nil"/>
              <w:right w:val="nil"/>
            </w:tcBorders>
            <w:shd w:val="clear" w:color="auto" w:fill="auto"/>
            <w:noWrap/>
            <w:vAlign w:val="center"/>
            <w:hideMark/>
          </w:tcPr>
          <w:p w14:paraId="3807F297" w14:textId="77777777" w:rsidR="008A1E55" w:rsidRPr="006B42D6" w:rsidRDefault="008A1E55" w:rsidP="00E16CAE">
            <w:pPr>
              <w:rPr>
                <w:sz w:val="16"/>
                <w:szCs w:val="16"/>
              </w:rPr>
            </w:pPr>
            <w:r w:rsidRPr="006B42D6">
              <w:rPr>
                <w:sz w:val="16"/>
                <w:szCs w:val="16"/>
              </w:rPr>
              <w:t>Mbeya</w:t>
            </w:r>
          </w:p>
        </w:tc>
        <w:tc>
          <w:tcPr>
            <w:tcW w:w="977" w:type="dxa"/>
            <w:tcBorders>
              <w:top w:val="nil"/>
              <w:left w:val="nil"/>
              <w:bottom w:val="nil"/>
              <w:right w:val="nil"/>
            </w:tcBorders>
            <w:shd w:val="clear" w:color="auto" w:fill="auto"/>
            <w:noWrap/>
            <w:vAlign w:val="center"/>
            <w:hideMark/>
          </w:tcPr>
          <w:p w14:paraId="23F25F9A" w14:textId="77777777" w:rsidR="008A1E55" w:rsidRPr="006B42D6" w:rsidRDefault="008A1E55" w:rsidP="00E16CAE">
            <w:pPr>
              <w:jc w:val="right"/>
              <w:rPr>
                <w:sz w:val="16"/>
                <w:szCs w:val="16"/>
              </w:rPr>
            </w:pPr>
            <w:r w:rsidRPr="006B42D6">
              <w:rPr>
                <w:sz w:val="16"/>
                <w:szCs w:val="16"/>
              </w:rPr>
              <w:t>10.3</w:t>
            </w:r>
          </w:p>
        </w:tc>
        <w:tc>
          <w:tcPr>
            <w:tcW w:w="826" w:type="dxa"/>
            <w:tcBorders>
              <w:top w:val="nil"/>
              <w:left w:val="nil"/>
              <w:bottom w:val="nil"/>
              <w:right w:val="nil"/>
            </w:tcBorders>
            <w:shd w:val="clear" w:color="auto" w:fill="auto"/>
            <w:noWrap/>
            <w:vAlign w:val="center"/>
            <w:hideMark/>
          </w:tcPr>
          <w:p w14:paraId="244A5B22" w14:textId="77777777" w:rsidR="008A1E55" w:rsidRPr="006B42D6" w:rsidRDefault="008A1E55" w:rsidP="00E16CAE">
            <w:pPr>
              <w:jc w:val="right"/>
              <w:rPr>
                <w:sz w:val="16"/>
                <w:szCs w:val="16"/>
              </w:rPr>
            </w:pPr>
            <w:r w:rsidRPr="006B42D6">
              <w:rPr>
                <w:sz w:val="16"/>
                <w:szCs w:val="16"/>
              </w:rPr>
              <w:t>-</w:t>
            </w:r>
          </w:p>
        </w:tc>
        <w:tc>
          <w:tcPr>
            <w:tcW w:w="1008" w:type="dxa"/>
            <w:tcBorders>
              <w:top w:val="nil"/>
              <w:left w:val="nil"/>
              <w:bottom w:val="nil"/>
              <w:right w:val="nil"/>
            </w:tcBorders>
            <w:shd w:val="clear" w:color="auto" w:fill="auto"/>
            <w:noWrap/>
            <w:vAlign w:val="center"/>
            <w:hideMark/>
          </w:tcPr>
          <w:p w14:paraId="5396E611" w14:textId="77777777" w:rsidR="008A1E55" w:rsidRPr="006B42D6" w:rsidRDefault="008A1E55" w:rsidP="00E16CAE">
            <w:pPr>
              <w:jc w:val="right"/>
              <w:rPr>
                <w:sz w:val="16"/>
                <w:szCs w:val="16"/>
              </w:rPr>
            </w:pPr>
            <w:r w:rsidRPr="006B42D6">
              <w:rPr>
                <w:sz w:val="16"/>
                <w:szCs w:val="16"/>
              </w:rPr>
              <w:t>2.9</w:t>
            </w:r>
          </w:p>
        </w:tc>
        <w:tc>
          <w:tcPr>
            <w:tcW w:w="979" w:type="dxa"/>
            <w:tcBorders>
              <w:top w:val="nil"/>
              <w:left w:val="nil"/>
              <w:bottom w:val="nil"/>
              <w:right w:val="nil"/>
            </w:tcBorders>
            <w:shd w:val="clear" w:color="auto" w:fill="auto"/>
            <w:noWrap/>
            <w:vAlign w:val="center"/>
            <w:hideMark/>
          </w:tcPr>
          <w:p w14:paraId="5F04F549" w14:textId="77777777" w:rsidR="008A1E55" w:rsidRPr="006B42D6" w:rsidRDefault="008A1E55" w:rsidP="00E16CAE">
            <w:pPr>
              <w:jc w:val="right"/>
              <w:rPr>
                <w:sz w:val="16"/>
                <w:szCs w:val="16"/>
              </w:rPr>
            </w:pPr>
            <w:r w:rsidRPr="006B42D6">
              <w:rPr>
                <w:sz w:val="16"/>
                <w:szCs w:val="16"/>
              </w:rPr>
              <w:t>8.8</w:t>
            </w:r>
          </w:p>
        </w:tc>
        <w:tc>
          <w:tcPr>
            <w:tcW w:w="1086" w:type="dxa"/>
            <w:tcBorders>
              <w:top w:val="nil"/>
              <w:left w:val="nil"/>
              <w:bottom w:val="nil"/>
              <w:right w:val="nil"/>
            </w:tcBorders>
            <w:shd w:val="clear" w:color="auto" w:fill="auto"/>
            <w:noWrap/>
            <w:vAlign w:val="center"/>
            <w:hideMark/>
          </w:tcPr>
          <w:p w14:paraId="5C42ECED" w14:textId="77777777" w:rsidR="008A1E55" w:rsidRPr="006B42D6" w:rsidRDefault="008A1E55" w:rsidP="00E16CAE">
            <w:pPr>
              <w:jc w:val="right"/>
              <w:rPr>
                <w:sz w:val="16"/>
                <w:szCs w:val="16"/>
              </w:rPr>
            </w:pPr>
            <w:r w:rsidRPr="006B42D6">
              <w:rPr>
                <w:sz w:val="16"/>
                <w:szCs w:val="16"/>
              </w:rPr>
              <w:t>4.0</w:t>
            </w:r>
          </w:p>
        </w:tc>
        <w:tc>
          <w:tcPr>
            <w:tcW w:w="950" w:type="dxa"/>
            <w:tcBorders>
              <w:top w:val="nil"/>
              <w:left w:val="nil"/>
              <w:bottom w:val="nil"/>
              <w:right w:val="nil"/>
            </w:tcBorders>
            <w:shd w:val="clear" w:color="auto" w:fill="auto"/>
            <w:noWrap/>
            <w:vAlign w:val="center"/>
            <w:hideMark/>
          </w:tcPr>
          <w:p w14:paraId="0E882029" w14:textId="77777777" w:rsidR="008A1E55" w:rsidRPr="006B42D6" w:rsidRDefault="008A1E55" w:rsidP="00E16CAE">
            <w:pPr>
              <w:jc w:val="right"/>
              <w:rPr>
                <w:sz w:val="16"/>
                <w:szCs w:val="16"/>
              </w:rPr>
            </w:pPr>
            <w:r w:rsidRPr="006B42D6">
              <w:rPr>
                <w:sz w:val="16"/>
                <w:szCs w:val="16"/>
              </w:rPr>
              <w:t>6.3</w:t>
            </w:r>
          </w:p>
        </w:tc>
        <w:tc>
          <w:tcPr>
            <w:tcW w:w="1039" w:type="dxa"/>
            <w:tcBorders>
              <w:top w:val="nil"/>
              <w:left w:val="nil"/>
              <w:bottom w:val="nil"/>
              <w:right w:val="nil"/>
            </w:tcBorders>
            <w:shd w:val="clear" w:color="auto" w:fill="auto"/>
            <w:noWrap/>
            <w:vAlign w:val="center"/>
            <w:hideMark/>
          </w:tcPr>
          <w:p w14:paraId="17467321" w14:textId="77777777" w:rsidR="008A1E55" w:rsidRPr="006B42D6" w:rsidRDefault="008A1E55" w:rsidP="00E16CAE">
            <w:pPr>
              <w:jc w:val="right"/>
              <w:rPr>
                <w:sz w:val="16"/>
                <w:szCs w:val="16"/>
              </w:rPr>
            </w:pPr>
            <w:r w:rsidRPr="006B42D6">
              <w:rPr>
                <w:sz w:val="16"/>
                <w:szCs w:val="16"/>
              </w:rPr>
              <w:t>4.6</w:t>
            </w:r>
          </w:p>
        </w:tc>
        <w:tc>
          <w:tcPr>
            <w:tcW w:w="932" w:type="dxa"/>
            <w:tcBorders>
              <w:top w:val="nil"/>
              <w:left w:val="nil"/>
              <w:bottom w:val="nil"/>
              <w:right w:val="nil"/>
            </w:tcBorders>
            <w:shd w:val="clear" w:color="auto" w:fill="auto"/>
            <w:noWrap/>
            <w:vAlign w:val="center"/>
            <w:hideMark/>
          </w:tcPr>
          <w:p w14:paraId="04BB6F3E" w14:textId="77777777" w:rsidR="008A1E55" w:rsidRPr="006B42D6" w:rsidRDefault="008A1E55" w:rsidP="00E16CAE">
            <w:pPr>
              <w:jc w:val="right"/>
              <w:rPr>
                <w:sz w:val="16"/>
                <w:szCs w:val="16"/>
              </w:rPr>
            </w:pPr>
            <w:r w:rsidRPr="006B42D6">
              <w:rPr>
                <w:sz w:val="16"/>
                <w:szCs w:val="16"/>
              </w:rPr>
              <w:t>-</w:t>
            </w:r>
          </w:p>
        </w:tc>
        <w:tc>
          <w:tcPr>
            <w:tcW w:w="1030" w:type="dxa"/>
            <w:tcBorders>
              <w:top w:val="nil"/>
              <w:left w:val="nil"/>
              <w:bottom w:val="nil"/>
              <w:right w:val="nil"/>
            </w:tcBorders>
            <w:shd w:val="clear" w:color="auto" w:fill="auto"/>
            <w:noWrap/>
            <w:vAlign w:val="center"/>
            <w:hideMark/>
          </w:tcPr>
          <w:p w14:paraId="25A73E1F" w14:textId="77777777" w:rsidR="008A1E55" w:rsidRPr="006B42D6" w:rsidRDefault="008A1E55" w:rsidP="00E16CAE">
            <w:pPr>
              <w:jc w:val="right"/>
              <w:rPr>
                <w:sz w:val="16"/>
                <w:szCs w:val="16"/>
              </w:rPr>
            </w:pPr>
            <w:r w:rsidRPr="006B42D6">
              <w:rPr>
                <w:sz w:val="16"/>
                <w:szCs w:val="16"/>
              </w:rPr>
              <w:t>-</w:t>
            </w:r>
          </w:p>
        </w:tc>
        <w:tc>
          <w:tcPr>
            <w:tcW w:w="905" w:type="dxa"/>
            <w:tcBorders>
              <w:top w:val="nil"/>
              <w:left w:val="nil"/>
              <w:bottom w:val="nil"/>
              <w:right w:val="nil"/>
            </w:tcBorders>
            <w:shd w:val="clear" w:color="auto" w:fill="auto"/>
            <w:noWrap/>
            <w:vAlign w:val="center"/>
            <w:hideMark/>
          </w:tcPr>
          <w:p w14:paraId="1C06DF44" w14:textId="77777777" w:rsidR="008A1E55" w:rsidRPr="006B42D6" w:rsidRDefault="008A1E55" w:rsidP="00E16CAE">
            <w:pPr>
              <w:jc w:val="right"/>
              <w:rPr>
                <w:sz w:val="16"/>
                <w:szCs w:val="16"/>
              </w:rPr>
            </w:pPr>
            <w:r w:rsidRPr="006B42D6">
              <w:rPr>
                <w:sz w:val="16"/>
                <w:szCs w:val="16"/>
              </w:rPr>
              <w:t>-</w:t>
            </w:r>
          </w:p>
        </w:tc>
        <w:tc>
          <w:tcPr>
            <w:tcW w:w="998" w:type="dxa"/>
            <w:tcBorders>
              <w:top w:val="nil"/>
              <w:left w:val="nil"/>
              <w:bottom w:val="nil"/>
              <w:right w:val="nil"/>
            </w:tcBorders>
            <w:shd w:val="clear" w:color="auto" w:fill="auto"/>
            <w:noWrap/>
            <w:vAlign w:val="center"/>
            <w:hideMark/>
          </w:tcPr>
          <w:p w14:paraId="4EAFE96D" w14:textId="77777777" w:rsidR="008A1E55" w:rsidRPr="006B42D6" w:rsidRDefault="008A1E55" w:rsidP="00E16CAE">
            <w:pPr>
              <w:jc w:val="right"/>
              <w:rPr>
                <w:sz w:val="16"/>
                <w:szCs w:val="16"/>
              </w:rPr>
            </w:pPr>
            <w:r w:rsidRPr="006B42D6">
              <w:rPr>
                <w:sz w:val="16"/>
                <w:szCs w:val="16"/>
              </w:rPr>
              <w:t>-</w:t>
            </w:r>
          </w:p>
        </w:tc>
        <w:tc>
          <w:tcPr>
            <w:tcW w:w="827" w:type="dxa"/>
            <w:tcBorders>
              <w:top w:val="nil"/>
              <w:left w:val="nil"/>
              <w:bottom w:val="nil"/>
              <w:right w:val="nil"/>
            </w:tcBorders>
            <w:shd w:val="clear" w:color="auto" w:fill="auto"/>
            <w:noWrap/>
            <w:vAlign w:val="center"/>
            <w:hideMark/>
          </w:tcPr>
          <w:p w14:paraId="4D9ADD81" w14:textId="77777777" w:rsidR="008A1E55" w:rsidRPr="006B42D6" w:rsidRDefault="008A1E55" w:rsidP="00E16CAE">
            <w:pPr>
              <w:jc w:val="right"/>
              <w:rPr>
                <w:sz w:val="16"/>
                <w:szCs w:val="16"/>
              </w:rPr>
            </w:pPr>
            <w:r w:rsidRPr="006B42D6">
              <w:rPr>
                <w:sz w:val="16"/>
                <w:szCs w:val="16"/>
              </w:rPr>
              <w:t>13.0</w:t>
            </w:r>
          </w:p>
        </w:tc>
      </w:tr>
      <w:tr w:rsidR="006B42D6" w:rsidRPr="006B42D6" w14:paraId="57FE848F" w14:textId="77777777" w:rsidTr="00143C67">
        <w:trPr>
          <w:trHeight w:hRule="exact" w:val="227"/>
        </w:trPr>
        <w:tc>
          <w:tcPr>
            <w:tcW w:w="1668" w:type="dxa"/>
            <w:tcBorders>
              <w:top w:val="nil"/>
              <w:left w:val="nil"/>
              <w:bottom w:val="nil"/>
              <w:right w:val="nil"/>
            </w:tcBorders>
            <w:shd w:val="clear" w:color="auto" w:fill="auto"/>
            <w:noWrap/>
            <w:vAlign w:val="center"/>
            <w:hideMark/>
          </w:tcPr>
          <w:p w14:paraId="62141594" w14:textId="77777777" w:rsidR="008A1E55" w:rsidRPr="006B42D6" w:rsidRDefault="008A1E55" w:rsidP="00E16CAE">
            <w:pPr>
              <w:rPr>
                <w:sz w:val="16"/>
                <w:szCs w:val="16"/>
              </w:rPr>
            </w:pPr>
            <w:r w:rsidRPr="006B42D6">
              <w:rPr>
                <w:sz w:val="16"/>
                <w:szCs w:val="16"/>
              </w:rPr>
              <w:t>Singida</w:t>
            </w:r>
          </w:p>
        </w:tc>
        <w:tc>
          <w:tcPr>
            <w:tcW w:w="977" w:type="dxa"/>
            <w:tcBorders>
              <w:top w:val="nil"/>
              <w:left w:val="nil"/>
              <w:bottom w:val="nil"/>
              <w:right w:val="nil"/>
            </w:tcBorders>
            <w:shd w:val="clear" w:color="auto" w:fill="auto"/>
            <w:noWrap/>
            <w:vAlign w:val="center"/>
            <w:hideMark/>
          </w:tcPr>
          <w:p w14:paraId="378CCA53" w14:textId="77777777" w:rsidR="008A1E55" w:rsidRPr="006B42D6" w:rsidRDefault="008A1E55" w:rsidP="00E16CAE">
            <w:pPr>
              <w:jc w:val="right"/>
              <w:rPr>
                <w:sz w:val="16"/>
                <w:szCs w:val="16"/>
              </w:rPr>
            </w:pPr>
            <w:r w:rsidRPr="006B42D6">
              <w:rPr>
                <w:sz w:val="16"/>
                <w:szCs w:val="16"/>
              </w:rPr>
              <w:t>-</w:t>
            </w:r>
          </w:p>
        </w:tc>
        <w:tc>
          <w:tcPr>
            <w:tcW w:w="826" w:type="dxa"/>
            <w:tcBorders>
              <w:top w:val="nil"/>
              <w:left w:val="nil"/>
              <w:bottom w:val="nil"/>
              <w:right w:val="nil"/>
            </w:tcBorders>
            <w:shd w:val="clear" w:color="auto" w:fill="auto"/>
            <w:noWrap/>
            <w:vAlign w:val="center"/>
            <w:hideMark/>
          </w:tcPr>
          <w:p w14:paraId="2F3A99C9" w14:textId="77777777" w:rsidR="008A1E55" w:rsidRPr="006B42D6" w:rsidRDefault="008A1E55" w:rsidP="00E16CAE">
            <w:pPr>
              <w:jc w:val="right"/>
              <w:rPr>
                <w:sz w:val="16"/>
                <w:szCs w:val="16"/>
              </w:rPr>
            </w:pPr>
            <w:r w:rsidRPr="006B42D6">
              <w:rPr>
                <w:sz w:val="16"/>
                <w:szCs w:val="16"/>
              </w:rPr>
              <w:t>4.4</w:t>
            </w:r>
          </w:p>
        </w:tc>
        <w:tc>
          <w:tcPr>
            <w:tcW w:w="1008" w:type="dxa"/>
            <w:tcBorders>
              <w:top w:val="nil"/>
              <w:left w:val="nil"/>
              <w:bottom w:val="nil"/>
              <w:right w:val="nil"/>
            </w:tcBorders>
            <w:shd w:val="clear" w:color="auto" w:fill="auto"/>
            <w:noWrap/>
            <w:vAlign w:val="center"/>
            <w:hideMark/>
          </w:tcPr>
          <w:p w14:paraId="762A805E" w14:textId="77777777" w:rsidR="008A1E55" w:rsidRPr="006B42D6" w:rsidRDefault="008A1E55" w:rsidP="00E16CAE">
            <w:pPr>
              <w:jc w:val="right"/>
              <w:rPr>
                <w:sz w:val="16"/>
                <w:szCs w:val="16"/>
              </w:rPr>
            </w:pPr>
            <w:r w:rsidRPr="006B42D6">
              <w:rPr>
                <w:sz w:val="16"/>
                <w:szCs w:val="16"/>
              </w:rPr>
              <w:t>3.1</w:t>
            </w:r>
          </w:p>
        </w:tc>
        <w:tc>
          <w:tcPr>
            <w:tcW w:w="979" w:type="dxa"/>
            <w:tcBorders>
              <w:top w:val="nil"/>
              <w:left w:val="nil"/>
              <w:bottom w:val="nil"/>
              <w:right w:val="nil"/>
            </w:tcBorders>
            <w:shd w:val="clear" w:color="auto" w:fill="auto"/>
            <w:noWrap/>
            <w:vAlign w:val="center"/>
            <w:hideMark/>
          </w:tcPr>
          <w:p w14:paraId="578B99DF" w14:textId="77777777" w:rsidR="008A1E55" w:rsidRPr="006B42D6" w:rsidRDefault="008A1E55" w:rsidP="00E16CAE">
            <w:pPr>
              <w:jc w:val="right"/>
              <w:rPr>
                <w:sz w:val="16"/>
                <w:szCs w:val="16"/>
              </w:rPr>
            </w:pPr>
            <w:r w:rsidRPr="006B42D6">
              <w:rPr>
                <w:sz w:val="16"/>
                <w:szCs w:val="16"/>
              </w:rPr>
              <w:t>1.0</w:t>
            </w:r>
          </w:p>
        </w:tc>
        <w:tc>
          <w:tcPr>
            <w:tcW w:w="1086" w:type="dxa"/>
            <w:tcBorders>
              <w:top w:val="nil"/>
              <w:left w:val="nil"/>
              <w:bottom w:val="nil"/>
              <w:right w:val="nil"/>
            </w:tcBorders>
            <w:shd w:val="clear" w:color="auto" w:fill="auto"/>
            <w:noWrap/>
            <w:vAlign w:val="center"/>
            <w:hideMark/>
          </w:tcPr>
          <w:p w14:paraId="219AE671" w14:textId="77777777" w:rsidR="008A1E55" w:rsidRPr="006B42D6" w:rsidRDefault="008A1E55" w:rsidP="00E16CAE">
            <w:pPr>
              <w:jc w:val="right"/>
              <w:rPr>
                <w:sz w:val="16"/>
                <w:szCs w:val="16"/>
              </w:rPr>
            </w:pPr>
            <w:r w:rsidRPr="006B42D6">
              <w:rPr>
                <w:sz w:val="16"/>
                <w:szCs w:val="16"/>
              </w:rPr>
              <w:t>-</w:t>
            </w:r>
          </w:p>
        </w:tc>
        <w:tc>
          <w:tcPr>
            <w:tcW w:w="950" w:type="dxa"/>
            <w:tcBorders>
              <w:top w:val="nil"/>
              <w:left w:val="nil"/>
              <w:bottom w:val="nil"/>
              <w:right w:val="nil"/>
            </w:tcBorders>
            <w:shd w:val="clear" w:color="auto" w:fill="auto"/>
            <w:noWrap/>
            <w:vAlign w:val="center"/>
            <w:hideMark/>
          </w:tcPr>
          <w:p w14:paraId="4E873C24" w14:textId="77777777" w:rsidR="008A1E55" w:rsidRPr="006B42D6" w:rsidRDefault="008A1E55" w:rsidP="00E16CAE">
            <w:pPr>
              <w:jc w:val="right"/>
              <w:rPr>
                <w:sz w:val="16"/>
                <w:szCs w:val="16"/>
              </w:rPr>
            </w:pPr>
            <w:r w:rsidRPr="006B42D6">
              <w:rPr>
                <w:sz w:val="16"/>
                <w:szCs w:val="16"/>
              </w:rPr>
              <w:t>2.1</w:t>
            </w:r>
          </w:p>
        </w:tc>
        <w:tc>
          <w:tcPr>
            <w:tcW w:w="1039" w:type="dxa"/>
            <w:tcBorders>
              <w:top w:val="nil"/>
              <w:left w:val="nil"/>
              <w:bottom w:val="nil"/>
              <w:right w:val="nil"/>
            </w:tcBorders>
            <w:shd w:val="clear" w:color="auto" w:fill="auto"/>
            <w:noWrap/>
            <w:vAlign w:val="center"/>
            <w:hideMark/>
          </w:tcPr>
          <w:p w14:paraId="351B08AC" w14:textId="77777777" w:rsidR="008A1E55" w:rsidRPr="006B42D6" w:rsidRDefault="008A1E55" w:rsidP="00E16CAE">
            <w:pPr>
              <w:jc w:val="right"/>
              <w:rPr>
                <w:sz w:val="16"/>
                <w:szCs w:val="16"/>
              </w:rPr>
            </w:pPr>
            <w:r w:rsidRPr="006B42D6">
              <w:rPr>
                <w:sz w:val="16"/>
                <w:szCs w:val="16"/>
              </w:rPr>
              <w:t>3.9</w:t>
            </w:r>
          </w:p>
        </w:tc>
        <w:tc>
          <w:tcPr>
            <w:tcW w:w="932" w:type="dxa"/>
            <w:tcBorders>
              <w:top w:val="nil"/>
              <w:left w:val="nil"/>
              <w:bottom w:val="nil"/>
              <w:right w:val="nil"/>
            </w:tcBorders>
            <w:shd w:val="clear" w:color="auto" w:fill="auto"/>
            <w:noWrap/>
            <w:vAlign w:val="center"/>
            <w:hideMark/>
          </w:tcPr>
          <w:p w14:paraId="69286EEC" w14:textId="77777777" w:rsidR="008A1E55" w:rsidRPr="006B42D6" w:rsidRDefault="008A1E55" w:rsidP="00E16CAE">
            <w:pPr>
              <w:jc w:val="right"/>
              <w:rPr>
                <w:sz w:val="16"/>
                <w:szCs w:val="16"/>
              </w:rPr>
            </w:pPr>
            <w:r w:rsidRPr="006B42D6">
              <w:rPr>
                <w:sz w:val="16"/>
                <w:szCs w:val="16"/>
              </w:rPr>
              <w:t>11.1</w:t>
            </w:r>
          </w:p>
        </w:tc>
        <w:tc>
          <w:tcPr>
            <w:tcW w:w="1030" w:type="dxa"/>
            <w:tcBorders>
              <w:top w:val="nil"/>
              <w:left w:val="nil"/>
              <w:bottom w:val="nil"/>
              <w:right w:val="nil"/>
            </w:tcBorders>
            <w:shd w:val="clear" w:color="auto" w:fill="auto"/>
            <w:noWrap/>
            <w:vAlign w:val="center"/>
            <w:hideMark/>
          </w:tcPr>
          <w:p w14:paraId="4F3435AA" w14:textId="77777777" w:rsidR="008A1E55" w:rsidRPr="006B42D6" w:rsidRDefault="008A1E55" w:rsidP="00E16CAE">
            <w:pPr>
              <w:jc w:val="right"/>
              <w:rPr>
                <w:sz w:val="16"/>
                <w:szCs w:val="16"/>
              </w:rPr>
            </w:pPr>
            <w:r w:rsidRPr="006B42D6">
              <w:rPr>
                <w:sz w:val="16"/>
                <w:szCs w:val="16"/>
              </w:rPr>
              <w:t>-</w:t>
            </w:r>
          </w:p>
        </w:tc>
        <w:tc>
          <w:tcPr>
            <w:tcW w:w="905" w:type="dxa"/>
            <w:tcBorders>
              <w:top w:val="nil"/>
              <w:left w:val="nil"/>
              <w:bottom w:val="nil"/>
              <w:right w:val="nil"/>
            </w:tcBorders>
            <w:shd w:val="clear" w:color="auto" w:fill="auto"/>
            <w:noWrap/>
            <w:vAlign w:val="center"/>
            <w:hideMark/>
          </w:tcPr>
          <w:p w14:paraId="20FBA41C" w14:textId="77777777" w:rsidR="008A1E55" w:rsidRPr="006B42D6" w:rsidRDefault="008A1E55" w:rsidP="00E16CAE">
            <w:pPr>
              <w:jc w:val="right"/>
              <w:rPr>
                <w:sz w:val="16"/>
                <w:szCs w:val="16"/>
              </w:rPr>
            </w:pPr>
            <w:r w:rsidRPr="006B42D6">
              <w:rPr>
                <w:sz w:val="16"/>
                <w:szCs w:val="16"/>
              </w:rPr>
              <w:t>-</w:t>
            </w:r>
          </w:p>
        </w:tc>
        <w:tc>
          <w:tcPr>
            <w:tcW w:w="998" w:type="dxa"/>
            <w:tcBorders>
              <w:top w:val="nil"/>
              <w:left w:val="nil"/>
              <w:bottom w:val="nil"/>
              <w:right w:val="nil"/>
            </w:tcBorders>
            <w:shd w:val="clear" w:color="auto" w:fill="auto"/>
            <w:noWrap/>
            <w:vAlign w:val="center"/>
            <w:hideMark/>
          </w:tcPr>
          <w:p w14:paraId="70D3887B" w14:textId="77777777" w:rsidR="008A1E55" w:rsidRPr="006B42D6" w:rsidRDefault="008A1E55" w:rsidP="00E16CAE">
            <w:pPr>
              <w:jc w:val="right"/>
              <w:rPr>
                <w:sz w:val="16"/>
                <w:szCs w:val="16"/>
              </w:rPr>
            </w:pPr>
            <w:r w:rsidRPr="006B42D6">
              <w:rPr>
                <w:sz w:val="16"/>
                <w:szCs w:val="16"/>
              </w:rPr>
              <w:t>-</w:t>
            </w:r>
          </w:p>
        </w:tc>
        <w:tc>
          <w:tcPr>
            <w:tcW w:w="827" w:type="dxa"/>
            <w:tcBorders>
              <w:top w:val="nil"/>
              <w:left w:val="nil"/>
              <w:bottom w:val="nil"/>
              <w:right w:val="nil"/>
            </w:tcBorders>
            <w:shd w:val="clear" w:color="auto" w:fill="auto"/>
            <w:noWrap/>
            <w:vAlign w:val="center"/>
            <w:hideMark/>
          </w:tcPr>
          <w:p w14:paraId="7E27CD5E" w14:textId="77777777" w:rsidR="008A1E55" w:rsidRPr="006B42D6" w:rsidRDefault="008A1E55" w:rsidP="00E16CAE">
            <w:pPr>
              <w:jc w:val="right"/>
              <w:rPr>
                <w:sz w:val="16"/>
                <w:szCs w:val="16"/>
              </w:rPr>
            </w:pPr>
            <w:r w:rsidRPr="006B42D6">
              <w:rPr>
                <w:sz w:val="16"/>
                <w:szCs w:val="16"/>
              </w:rPr>
              <w:t>3.3</w:t>
            </w:r>
          </w:p>
        </w:tc>
      </w:tr>
      <w:tr w:rsidR="006B42D6" w:rsidRPr="006B42D6" w14:paraId="447AABDE" w14:textId="77777777" w:rsidTr="00143C67">
        <w:trPr>
          <w:trHeight w:hRule="exact" w:val="227"/>
        </w:trPr>
        <w:tc>
          <w:tcPr>
            <w:tcW w:w="1668" w:type="dxa"/>
            <w:tcBorders>
              <w:top w:val="nil"/>
              <w:left w:val="nil"/>
              <w:bottom w:val="nil"/>
              <w:right w:val="nil"/>
            </w:tcBorders>
            <w:shd w:val="clear" w:color="auto" w:fill="auto"/>
            <w:noWrap/>
            <w:vAlign w:val="center"/>
            <w:hideMark/>
          </w:tcPr>
          <w:p w14:paraId="5A305410" w14:textId="77777777" w:rsidR="008A1E55" w:rsidRPr="006B42D6" w:rsidRDefault="008A1E55" w:rsidP="00E16CAE">
            <w:pPr>
              <w:rPr>
                <w:sz w:val="16"/>
                <w:szCs w:val="16"/>
              </w:rPr>
            </w:pPr>
            <w:r w:rsidRPr="006B42D6">
              <w:rPr>
                <w:sz w:val="16"/>
                <w:szCs w:val="16"/>
              </w:rPr>
              <w:t>Tabora</w:t>
            </w:r>
          </w:p>
        </w:tc>
        <w:tc>
          <w:tcPr>
            <w:tcW w:w="977" w:type="dxa"/>
            <w:tcBorders>
              <w:top w:val="nil"/>
              <w:left w:val="nil"/>
              <w:bottom w:val="nil"/>
              <w:right w:val="nil"/>
            </w:tcBorders>
            <w:shd w:val="clear" w:color="auto" w:fill="auto"/>
            <w:noWrap/>
            <w:vAlign w:val="center"/>
            <w:hideMark/>
          </w:tcPr>
          <w:p w14:paraId="0B15DC28" w14:textId="77777777" w:rsidR="008A1E55" w:rsidRPr="006B42D6" w:rsidRDefault="008A1E55" w:rsidP="00E16CAE">
            <w:pPr>
              <w:jc w:val="right"/>
              <w:rPr>
                <w:sz w:val="16"/>
                <w:szCs w:val="16"/>
              </w:rPr>
            </w:pPr>
            <w:r w:rsidRPr="006B42D6">
              <w:rPr>
                <w:sz w:val="16"/>
                <w:szCs w:val="16"/>
              </w:rPr>
              <w:t>1.2</w:t>
            </w:r>
          </w:p>
        </w:tc>
        <w:tc>
          <w:tcPr>
            <w:tcW w:w="826" w:type="dxa"/>
            <w:tcBorders>
              <w:top w:val="nil"/>
              <w:left w:val="nil"/>
              <w:bottom w:val="nil"/>
              <w:right w:val="nil"/>
            </w:tcBorders>
            <w:shd w:val="clear" w:color="auto" w:fill="auto"/>
            <w:noWrap/>
            <w:vAlign w:val="center"/>
            <w:hideMark/>
          </w:tcPr>
          <w:p w14:paraId="60ABA50C" w14:textId="77777777" w:rsidR="008A1E55" w:rsidRPr="006B42D6" w:rsidRDefault="008A1E55" w:rsidP="00E16CAE">
            <w:pPr>
              <w:jc w:val="right"/>
              <w:rPr>
                <w:sz w:val="16"/>
                <w:szCs w:val="16"/>
              </w:rPr>
            </w:pPr>
            <w:r w:rsidRPr="006B42D6">
              <w:rPr>
                <w:sz w:val="16"/>
                <w:szCs w:val="16"/>
              </w:rPr>
              <w:t>4.4</w:t>
            </w:r>
          </w:p>
        </w:tc>
        <w:tc>
          <w:tcPr>
            <w:tcW w:w="1008" w:type="dxa"/>
            <w:tcBorders>
              <w:top w:val="nil"/>
              <w:left w:val="nil"/>
              <w:bottom w:val="nil"/>
              <w:right w:val="nil"/>
            </w:tcBorders>
            <w:shd w:val="clear" w:color="auto" w:fill="auto"/>
            <w:noWrap/>
            <w:vAlign w:val="center"/>
            <w:hideMark/>
          </w:tcPr>
          <w:p w14:paraId="33E7B83E" w14:textId="77777777" w:rsidR="008A1E55" w:rsidRPr="006B42D6" w:rsidRDefault="008A1E55" w:rsidP="00E16CAE">
            <w:pPr>
              <w:jc w:val="right"/>
              <w:rPr>
                <w:sz w:val="16"/>
                <w:szCs w:val="16"/>
              </w:rPr>
            </w:pPr>
            <w:r w:rsidRPr="006B42D6">
              <w:rPr>
                <w:sz w:val="16"/>
                <w:szCs w:val="16"/>
              </w:rPr>
              <w:t>2.1</w:t>
            </w:r>
          </w:p>
        </w:tc>
        <w:tc>
          <w:tcPr>
            <w:tcW w:w="979" w:type="dxa"/>
            <w:tcBorders>
              <w:top w:val="nil"/>
              <w:left w:val="nil"/>
              <w:bottom w:val="nil"/>
              <w:right w:val="nil"/>
            </w:tcBorders>
            <w:shd w:val="clear" w:color="auto" w:fill="auto"/>
            <w:noWrap/>
            <w:vAlign w:val="center"/>
            <w:hideMark/>
          </w:tcPr>
          <w:p w14:paraId="5B93F82A" w14:textId="77777777" w:rsidR="008A1E55" w:rsidRPr="006B42D6" w:rsidRDefault="008A1E55" w:rsidP="00E16CAE">
            <w:pPr>
              <w:jc w:val="right"/>
              <w:rPr>
                <w:sz w:val="16"/>
                <w:szCs w:val="16"/>
              </w:rPr>
            </w:pPr>
            <w:r w:rsidRPr="006B42D6">
              <w:rPr>
                <w:sz w:val="16"/>
                <w:szCs w:val="16"/>
              </w:rPr>
              <w:t>0.8</w:t>
            </w:r>
          </w:p>
        </w:tc>
        <w:tc>
          <w:tcPr>
            <w:tcW w:w="1086" w:type="dxa"/>
            <w:tcBorders>
              <w:top w:val="nil"/>
              <w:left w:val="nil"/>
              <w:bottom w:val="nil"/>
              <w:right w:val="nil"/>
            </w:tcBorders>
            <w:shd w:val="clear" w:color="auto" w:fill="auto"/>
            <w:noWrap/>
            <w:vAlign w:val="center"/>
            <w:hideMark/>
          </w:tcPr>
          <w:p w14:paraId="56A454B3" w14:textId="77777777" w:rsidR="008A1E55" w:rsidRPr="006B42D6" w:rsidRDefault="008A1E55" w:rsidP="00E16CAE">
            <w:pPr>
              <w:jc w:val="right"/>
              <w:rPr>
                <w:sz w:val="16"/>
                <w:szCs w:val="16"/>
              </w:rPr>
            </w:pPr>
            <w:r w:rsidRPr="006B42D6">
              <w:rPr>
                <w:sz w:val="16"/>
                <w:szCs w:val="16"/>
              </w:rPr>
              <w:t>-</w:t>
            </w:r>
          </w:p>
        </w:tc>
        <w:tc>
          <w:tcPr>
            <w:tcW w:w="950" w:type="dxa"/>
            <w:tcBorders>
              <w:top w:val="nil"/>
              <w:left w:val="nil"/>
              <w:bottom w:val="nil"/>
              <w:right w:val="nil"/>
            </w:tcBorders>
            <w:shd w:val="clear" w:color="auto" w:fill="auto"/>
            <w:noWrap/>
            <w:vAlign w:val="center"/>
            <w:hideMark/>
          </w:tcPr>
          <w:p w14:paraId="79523103" w14:textId="77777777" w:rsidR="008A1E55" w:rsidRPr="006B42D6" w:rsidRDefault="008A1E55" w:rsidP="00E16CAE">
            <w:pPr>
              <w:jc w:val="right"/>
              <w:rPr>
                <w:sz w:val="16"/>
                <w:szCs w:val="16"/>
              </w:rPr>
            </w:pPr>
            <w:r w:rsidRPr="006B42D6">
              <w:rPr>
                <w:sz w:val="16"/>
                <w:szCs w:val="16"/>
              </w:rPr>
              <w:t>3.6</w:t>
            </w:r>
          </w:p>
        </w:tc>
        <w:tc>
          <w:tcPr>
            <w:tcW w:w="1039" w:type="dxa"/>
            <w:tcBorders>
              <w:top w:val="nil"/>
              <w:left w:val="nil"/>
              <w:bottom w:val="nil"/>
              <w:right w:val="nil"/>
            </w:tcBorders>
            <w:shd w:val="clear" w:color="auto" w:fill="auto"/>
            <w:noWrap/>
            <w:vAlign w:val="center"/>
            <w:hideMark/>
          </w:tcPr>
          <w:p w14:paraId="612F460F" w14:textId="77777777" w:rsidR="008A1E55" w:rsidRPr="006B42D6" w:rsidRDefault="008A1E55" w:rsidP="00E16CAE">
            <w:pPr>
              <w:jc w:val="right"/>
              <w:rPr>
                <w:sz w:val="16"/>
                <w:szCs w:val="16"/>
              </w:rPr>
            </w:pPr>
            <w:r w:rsidRPr="006B42D6">
              <w:rPr>
                <w:sz w:val="16"/>
                <w:szCs w:val="16"/>
              </w:rPr>
              <w:t>5.2</w:t>
            </w:r>
          </w:p>
        </w:tc>
        <w:tc>
          <w:tcPr>
            <w:tcW w:w="932" w:type="dxa"/>
            <w:tcBorders>
              <w:top w:val="nil"/>
              <w:left w:val="nil"/>
              <w:bottom w:val="nil"/>
              <w:right w:val="nil"/>
            </w:tcBorders>
            <w:shd w:val="clear" w:color="auto" w:fill="auto"/>
            <w:noWrap/>
            <w:vAlign w:val="center"/>
            <w:hideMark/>
          </w:tcPr>
          <w:p w14:paraId="6D9FA4F5" w14:textId="77777777" w:rsidR="008A1E55" w:rsidRPr="006B42D6" w:rsidRDefault="008A1E55" w:rsidP="00E16CAE">
            <w:pPr>
              <w:jc w:val="right"/>
              <w:rPr>
                <w:sz w:val="16"/>
                <w:szCs w:val="16"/>
              </w:rPr>
            </w:pPr>
            <w:r w:rsidRPr="006B42D6">
              <w:rPr>
                <w:sz w:val="16"/>
                <w:szCs w:val="16"/>
              </w:rPr>
              <w:t>7.4</w:t>
            </w:r>
          </w:p>
        </w:tc>
        <w:tc>
          <w:tcPr>
            <w:tcW w:w="1030" w:type="dxa"/>
            <w:tcBorders>
              <w:top w:val="nil"/>
              <w:left w:val="nil"/>
              <w:bottom w:val="nil"/>
              <w:right w:val="nil"/>
            </w:tcBorders>
            <w:shd w:val="clear" w:color="auto" w:fill="auto"/>
            <w:noWrap/>
            <w:vAlign w:val="center"/>
            <w:hideMark/>
          </w:tcPr>
          <w:p w14:paraId="20884058" w14:textId="77777777" w:rsidR="008A1E55" w:rsidRPr="006B42D6" w:rsidRDefault="008A1E55" w:rsidP="00E16CAE">
            <w:pPr>
              <w:jc w:val="right"/>
              <w:rPr>
                <w:sz w:val="16"/>
                <w:szCs w:val="16"/>
              </w:rPr>
            </w:pPr>
            <w:r w:rsidRPr="006B42D6">
              <w:rPr>
                <w:sz w:val="16"/>
                <w:szCs w:val="16"/>
              </w:rPr>
              <w:t>-</w:t>
            </w:r>
          </w:p>
        </w:tc>
        <w:tc>
          <w:tcPr>
            <w:tcW w:w="905" w:type="dxa"/>
            <w:tcBorders>
              <w:top w:val="nil"/>
              <w:left w:val="nil"/>
              <w:bottom w:val="nil"/>
              <w:right w:val="nil"/>
            </w:tcBorders>
            <w:shd w:val="clear" w:color="auto" w:fill="auto"/>
            <w:noWrap/>
            <w:vAlign w:val="center"/>
            <w:hideMark/>
          </w:tcPr>
          <w:p w14:paraId="261934D4" w14:textId="77777777" w:rsidR="008A1E55" w:rsidRPr="006B42D6" w:rsidRDefault="008A1E55" w:rsidP="00E16CAE">
            <w:pPr>
              <w:jc w:val="right"/>
              <w:rPr>
                <w:sz w:val="16"/>
                <w:szCs w:val="16"/>
              </w:rPr>
            </w:pPr>
            <w:r w:rsidRPr="006B42D6">
              <w:rPr>
                <w:sz w:val="16"/>
                <w:szCs w:val="16"/>
              </w:rPr>
              <w:t>-</w:t>
            </w:r>
          </w:p>
        </w:tc>
        <w:tc>
          <w:tcPr>
            <w:tcW w:w="998" w:type="dxa"/>
            <w:tcBorders>
              <w:top w:val="nil"/>
              <w:left w:val="nil"/>
              <w:bottom w:val="nil"/>
              <w:right w:val="nil"/>
            </w:tcBorders>
            <w:shd w:val="clear" w:color="auto" w:fill="auto"/>
            <w:noWrap/>
            <w:vAlign w:val="center"/>
            <w:hideMark/>
          </w:tcPr>
          <w:p w14:paraId="300C8015" w14:textId="77777777" w:rsidR="008A1E55" w:rsidRPr="006B42D6" w:rsidRDefault="008A1E55" w:rsidP="00E16CAE">
            <w:pPr>
              <w:jc w:val="right"/>
              <w:rPr>
                <w:sz w:val="16"/>
                <w:szCs w:val="16"/>
              </w:rPr>
            </w:pPr>
            <w:r w:rsidRPr="006B42D6">
              <w:rPr>
                <w:sz w:val="16"/>
                <w:szCs w:val="16"/>
              </w:rPr>
              <w:t>-</w:t>
            </w:r>
          </w:p>
        </w:tc>
        <w:tc>
          <w:tcPr>
            <w:tcW w:w="827" w:type="dxa"/>
            <w:tcBorders>
              <w:top w:val="nil"/>
              <w:left w:val="nil"/>
              <w:bottom w:val="nil"/>
              <w:right w:val="nil"/>
            </w:tcBorders>
            <w:shd w:val="clear" w:color="auto" w:fill="auto"/>
            <w:noWrap/>
            <w:vAlign w:val="center"/>
            <w:hideMark/>
          </w:tcPr>
          <w:p w14:paraId="6A9A8203" w14:textId="77777777" w:rsidR="008A1E55" w:rsidRPr="006B42D6" w:rsidRDefault="008A1E55" w:rsidP="00E16CAE">
            <w:pPr>
              <w:jc w:val="right"/>
              <w:rPr>
                <w:sz w:val="16"/>
                <w:szCs w:val="16"/>
              </w:rPr>
            </w:pPr>
            <w:r w:rsidRPr="006B42D6">
              <w:rPr>
                <w:sz w:val="16"/>
                <w:szCs w:val="16"/>
              </w:rPr>
              <w:t>1.4</w:t>
            </w:r>
          </w:p>
        </w:tc>
      </w:tr>
      <w:tr w:rsidR="006B42D6" w:rsidRPr="006B42D6" w14:paraId="68BC70E6" w14:textId="77777777" w:rsidTr="00143C67">
        <w:trPr>
          <w:trHeight w:hRule="exact" w:val="227"/>
        </w:trPr>
        <w:tc>
          <w:tcPr>
            <w:tcW w:w="1668" w:type="dxa"/>
            <w:tcBorders>
              <w:top w:val="nil"/>
              <w:left w:val="nil"/>
              <w:bottom w:val="nil"/>
              <w:right w:val="nil"/>
            </w:tcBorders>
            <w:shd w:val="clear" w:color="auto" w:fill="auto"/>
            <w:noWrap/>
            <w:vAlign w:val="center"/>
            <w:hideMark/>
          </w:tcPr>
          <w:p w14:paraId="31204A60" w14:textId="77777777" w:rsidR="008A1E55" w:rsidRPr="006B42D6" w:rsidRDefault="008A1E55" w:rsidP="00E16CAE">
            <w:pPr>
              <w:rPr>
                <w:sz w:val="16"/>
                <w:szCs w:val="16"/>
              </w:rPr>
            </w:pPr>
            <w:r w:rsidRPr="006B42D6">
              <w:rPr>
                <w:sz w:val="16"/>
                <w:szCs w:val="16"/>
              </w:rPr>
              <w:t>Rukwa</w:t>
            </w:r>
          </w:p>
        </w:tc>
        <w:tc>
          <w:tcPr>
            <w:tcW w:w="977" w:type="dxa"/>
            <w:tcBorders>
              <w:top w:val="nil"/>
              <w:left w:val="nil"/>
              <w:bottom w:val="nil"/>
              <w:right w:val="nil"/>
            </w:tcBorders>
            <w:shd w:val="clear" w:color="auto" w:fill="auto"/>
            <w:noWrap/>
            <w:vAlign w:val="center"/>
            <w:hideMark/>
          </w:tcPr>
          <w:p w14:paraId="3ED21FD7" w14:textId="77777777" w:rsidR="008A1E55" w:rsidRPr="006B42D6" w:rsidRDefault="008A1E55" w:rsidP="00E16CAE">
            <w:pPr>
              <w:jc w:val="right"/>
              <w:rPr>
                <w:sz w:val="16"/>
                <w:szCs w:val="16"/>
              </w:rPr>
            </w:pPr>
            <w:r w:rsidRPr="006B42D6">
              <w:rPr>
                <w:sz w:val="16"/>
                <w:szCs w:val="16"/>
              </w:rPr>
              <w:t>0.9</w:t>
            </w:r>
          </w:p>
        </w:tc>
        <w:tc>
          <w:tcPr>
            <w:tcW w:w="826" w:type="dxa"/>
            <w:tcBorders>
              <w:top w:val="nil"/>
              <w:left w:val="nil"/>
              <w:bottom w:val="nil"/>
              <w:right w:val="nil"/>
            </w:tcBorders>
            <w:shd w:val="clear" w:color="auto" w:fill="auto"/>
            <w:noWrap/>
            <w:vAlign w:val="center"/>
            <w:hideMark/>
          </w:tcPr>
          <w:p w14:paraId="1E1C4237" w14:textId="77777777" w:rsidR="008A1E55" w:rsidRPr="006B42D6" w:rsidRDefault="008A1E55" w:rsidP="00E16CAE">
            <w:pPr>
              <w:jc w:val="right"/>
              <w:rPr>
                <w:sz w:val="16"/>
                <w:szCs w:val="16"/>
              </w:rPr>
            </w:pPr>
            <w:r w:rsidRPr="006B42D6">
              <w:rPr>
                <w:sz w:val="16"/>
                <w:szCs w:val="16"/>
              </w:rPr>
              <w:t>1.2</w:t>
            </w:r>
          </w:p>
        </w:tc>
        <w:tc>
          <w:tcPr>
            <w:tcW w:w="1008" w:type="dxa"/>
            <w:tcBorders>
              <w:top w:val="nil"/>
              <w:left w:val="nil"/>
              <w:bottom w:val="nil"/>
              <w:right w:val="nil"/>
            </w:tcBorders>
            <w:shd w:val="clear" w:color="auto" w:fill="auto"/>
            <w:noWrap/>
            <w:vAlign w:val="center"/>
            <w:hideMark/>
          </w:tcPr>
          <w:p w14:paraId="3D24F9EB" w14:textId="77777777" w:rsidR="008A1E55" w:rsidRPr="006B42D6" w:rsidRDefault="008A1E55" w:rsidP="00E16CAE">
            <w:pPr>
              <w:jc w:val="right"/>
              <w:rPr>
                <w:sz w:val="16"/>
                <w:szCs w:val="16"/>
              </w:rPr>
            </w:pPr>
            <w:r w:rsidRPr="006B42D6">
              <w:rPr>
                <w:sz w:val="16"/>
                <w:szCs w:val="16"/>
              </w:rPr>
              <w:t>0.6</w:t>
            </w:r>
          </w:p>
        </w:tc>
        <w:tc>
          <w:tcPr>
            <w:tcW w:w="979" w:type="dxa"/>
            <w:tcBorders>
              <w:top w:val="nil"/>
              <w:left w:val="nil"/>
              <w:bottom w:val="nil"/>
              <w:right w:val="nil"/>
            </w:tcBorders>
            <w:shd w:val="clear" w:color="auto" w:fill="auto"/>
            <w:noWrap/>
            <w:vAlign w:val="center"/>
            <w:hideMark/>
          </w:tcPr>
          <w:p w14:paraId="4E948037" w14:textId="77777777" w:rsidR="008A1E55" w:rsidRPr="006B42D6" w:rsidRDefault="008A1E55" w:rsidP="00E16CAE">
            <w:pPr>
              <w:jc w:val="right"/>
              <w:rPr>
                <w:sz w:val="16"/>
                <w:szCs w:val="16"/>
              </w:rPr>
            </w:pPr>
            <w:r w:rsidRPr="006B42D6">
              <w:rPr>
                <w:sz w:val="16"/>
                <w:szCs w:val="16"/>
              </w:rPr>
              <w:t>0.1</w:t>
            </w:r>
          </w:p>
        </w:tc>
        <w:tc>
          <w:tcPr>
            <w:tcW w:w="1086" w:type="dxa"/>
            <w:tcBorders>
              <w:top w:val="nil"/>
              <w:left w:val="nil"/>
              <w:bottom w:val="nil"/>
              <w:right w:val="nil"/>
            </w:tcBorders>
            <w:shd w:val="clear" w:color="auto" w:fill="auto"/>
            <w:noWrap/>
            <w:vAlign w:val="center"/>
            <w:hideMark/>
          </w:tcPr>
          <w:p w14:paraId="3207A1A3" w14:textId="77777777" w:rsidR="008A1E55" w:rsidRPr="006B42D6" w:rsidRDefault="008A1E55" w:rsidP="00E16CAE">
            <w:pPr>
              <w:jc w:val="right"/>
              <w:rPr>
                <w:sz w:val="16"/>
                <w:szCs w:val="16"/>
              </w:rPr>
            </w:pPr>
            <w:r w:rsidRPr="006B42D6">
              <w:rPr>
                <w:sz w:val="16"/>
                <w:szCs w:val="16"/>
              </w:rPr>
              <w:t>7.6</w:t>
            </w:r>
          </w:p>
        </w:tc>
        <w:tc>
          <w:tcPr>
            <w:tcW w:w="950" w:type="dxa"/>
            <w:tcBorders>
              <w:top w:val="nil"/>
              <w:left w:val="nil"/>
              <w:bottom w:val="nil"/>
              <w:right w:val="nil"/>
            </w:tcBorders>
            <w:shd w:val="clear" w:color="auto" w:fill="auto"/>
            <w:noWrap/>
            <w:vAlign w:val="center"/>
            <w:hideMark/>
          </w:tcPr>
          <w:p w14:paraId="69D0B404" w14:textId="77777777" w:rsidR="008A1E55" w:rsidRPr="006B42D6" w:rsidRDefault="008A1E55" w:rsidP="00E16CAE">
            <w:pPr>
              <w:jc w:val="right"/>
              <w:rPr>
                <w:sz w:val="16"/>
                <w:szCs w:val="16"/>
              </w:rPr>
            </w:pPr>
            <w:r w:rsidRPr="006B42D6">
              <w:rPr>
                <w:sz w:val="16"/>
                <w:szCs w:val="16"/>
              </w:rPr>
              <w:t>2.8</w:t>
            </w:r>
          </w:p>
        </w:tc>
        <w:tc>
          <w:tcPr>
            <w:tcW w:w="1039" w:type="dxa"/>
            <w:tcBorders>
              <w:top w:val="nil"/>
              <w:left w:val="nil"/>
              <w:bottom w:val="nil"/>
              <w:right w:val="nil"/>
            </w:tcBorders>
            <w:shd w:val="clear" w:color="auto" w:fill="auto"/>
            <w:noWrap/>
            <w:vAlign w:val="center"/>
            <w:hideMark/>
          </w:tcPr>
          <w:p w14:paraId="0696FA70" w14:textId="77777777" w:rsidR="008A1E55" w:rsidRPr="006B42D6" w:rsidRDefault="008A1E55" w:rsidP="00E16CAE">
            <w:pPr>
              <w:jc w:val="right"/>
              <w:rPr>
                <w:sz w:val="16"/>
                <w:szCs w:val="16"/>
              </w:rPr>
            </w:pPr>
            <w:r w:rsidRPr="006B42D6">
              <w:rPr>
                <w:sz w:val="16"/>
                <w:szCs w:val="16"/>
              </w:rPr>
              <w:t>3.0</w:t>
            </w:r>
          </w:p>
        </w:tc>
        <w:tc>
          <w:tcPr>
            <w:tcW w:w="932" w:type="dxa"/>
            <w:tcBorders>
              <w:top w:val="nil"/>
              <w:left w:val="nil"/>
              <w:bottom w:val="nil"/>
              <w:right w:val="nil"/>
            </w:tcBorders>
            <w:shd w:val="clear" w:color="auto" w:fill="auto"/>
            <w:noWrap/>
            <w:vAlign w:val="center"/>
            <w:hideMark/>
          </w:tcPr>
          <w:p w14:paraId="69124D43" w14:textId="77777777" w:rsidR="008A1E55" w:rsidRPr="006B42D6" w:rsidRDefault="008A1E55" w:rsidP="00E16CAE">
            <w:pPr>
              <w:jc w:val="right"/>
              <w:rPr>
                <w:sz w:val="16"/>
                <w:szCs w:val="16"/>
              </w:rPr>
            </w:pPr>
            <w:r w:rsidRPr="006B42D6">
              <w:rPr>
                <w:sz w:val="16"/>
                <w:szCs w:val="16"/>
              </w:rPr>
              <w:t>1.6</w:t>
            </w:r>
          </w:p>
        </w:tc>
        <w:tc>
          <w:tcPr>
            <w:tcW w:w="1030" w:type="dxa"/>
            <w:tcBorders>
              <w:top w:val="nil"/>
              <w:left w:val="nil"/>
              <w:bottom w:val="nil"/>
              <w:right w:val="nil"/>
            </w:tcBorders>
            <w:shd w:val="clear" w:color="auto" w:fill="auto"/>
            <w:noWrap/>
            <w:vAlign w:val="center"/>
            <w:hideMark/>
          </w:tcPr>
          <w:p w14:paraId="7E2AF47A" w14:textId="77777777" w:rsidR="008A1E55" w:rsidRPr="006B42D6" w:rsidRDefault="008A1E55" w:rsidP="00E16CAE">
            <w:pPr>
              <w:jc w:val="right"/>
              <w:rPr>
                <w:sz w:val="16"/>
                <w:szCs w:val="16"/>
              </w:rPr>
            </w:pPr>
            <w:r w:rsidRPr="006B42D6">
              <w:rPr>
                <w:sz w:val="16"/>
                <w:szCs w:val="16"/>
              </w:rPr>
              <w:t>-</w:t>
            </w:r>
          </w:p>
        </w:tc>
        <w:tc>
          <w:tcPr>
            <w:tcW w:w="905" w:type="dxa"/>
            <w:tcBorders>
              <w:top w:val="nil"/>
              <w:left w:val="nil"/>
              <w:bottom w:val="nil"/>
              <w:right w:val="nil"/>
            </w:tcBorders>
            <w:shd w:val="clear" w:color="auto" w:fill="auto"/>
            <w:noWrap/>
            <w:vAlign w:val="center"/>
            <w:hideMark/>
          </w:tcPr>
          <w:p w14:paraId="50F1F729" w14:textId="77777777" w:rsidR="008A1E55" w:rsidRPr="006B42D6" w:rsidRDefault="008A1E55" w:rsidP="00E16CAE">
            <w:pPr>
              <w:jc w:val="right"/>
              <w:rPr>
                <w:sz w:val="16"/>
                <w:szCs w:val="16"/>
              </w:rPr>
            </w:pPr>
            <w:r w:rsidRPr="006B42D6">
              <w:rPr>
                <w:sz w:val="16"/>
                <w:szCs w:val="16"/>
              </w:rPr>
              <w:t>-</w:t>
            </w:r>
          </w:p>
        </w:tc>
        <w:tc>
          <w:tcPr>
            <w:tcW w:w="998" w:type="dxa"/>
            <w:tcBorders>
              <w:top w:val="nil"/>
              <w:left w:val="nil"/>
              <w:bottom w:val="nil"/>
              <w:right w:val="nil"/>
            </w:tcBorders>
            <w:shd w:val="clear" w:color="auto" w:fill="auto"/>
            <w:noWrap/>
            <w:vAlign w:val="center"/>
            <w:hideMark/>
          </w:tcPr>
          <w:p w14:paraId="6DA3D00F" w14:textId="77777777" w:rsidR="008A1E55" w:rsidRPr="006B42D6" w:rsidRDefault="008A1E55" w:rsidP="00E16CAE">
            <w:pPr>
              <w:jc w:val="right"/>
              <w:rPr>
                <w:sz w:val="16"/>
                <w:szCs w:val="16"/>
              </w:rPr>
            </w:pPr>
            <w:r w:rsidRPr="006B42D6">
              <w:rPr>
                <w:sz w:val="16"/>
                <w:szCs w:val="16"/>
              </w:rPr>
              <w:t>-</w:t>
            </w:r>
          </w:p>
        </w:tc>
        <w:tc>
          <w:tcPr>
            <w:tcW w:w="827" w:type="dxa"/>
            <w:tcBorders>
              <w:top w:val="nil"/>
              <w:left w:val="nil"/>
              <w:bottom w:val="nil"/>
              <w:right w:val="nil"/>
            </w:tcBorders>
            <w:shd w:val="clear" w:color="auto" w:fill="auto"/>
            <w:noWrap/>
            <w:vAlign w:val="center"/>
            <w:hideMark/>
          </w:tcPr>
          <w:p w14:paraId="4071CC6E" w14:textId="77777777" w:rsidR="008A1E55" w:rsidRPr="006B42D6" w:rsidRDefault="008A1E55" w:rsidP="00E16CAE">
            <w:pPr>
              <w:jc w:val="right"/>
              <w:rPr>
                <w:sz w:val="16"/>
                <w:szCs w:val="16"/>
              </w:rPr>
            </w:pPr>
            <w:r w:rsidRPr="006B42D6">
              <w:rPr>
                <w:sz w:val="16"/>
                <w:szCs w:val="16"/>
              </w:rPr>
              <w:t>-</w:t>
            </w:r>
          </w:p>
        </w:tc>
      </w:tr>
      <w:tr w:rsidR="006B42D6" w:rsidRPr="006B42D6" w14:paraId="6CDA986A" w14:textId="77777777" w:rsidTr="00143C67">
        <w:trPr>
          <w:trHeight w:hRule="exact" w:val="227"/>
        </w:trPr>
        <w:tc>
          <w:tcPr>
            <w:tcW w:w="1668" w:type="dxa"/>
            <w:tcBorders>
              <w:top w:val="nil"/>
              <w:left w:val="nil"/>
              <w:bottom w:val="nil"/>
              <w:right w:val="nil"/>
            </w:tcBorders>
            <w:shd w:val="clear" w:color="auto" w:fill="auto"/>
            <w:noWrap/>
            <w:vAlign w:val="center"/>
            <w:hideMark/>
          </w:tcPr>
          <w:p w14:paraId="204418B3" w14:textId="77777777" w:rsidR="008A1E55" w:rsidRPr="006B42D6" w:rsidRDefault="008A1E55" w:rsidP="00E16CAE">
            <w:pPr>
              <w:rPr>
                <w:sz w:val="16"/>
                <w:szCs w:val="16"/>
              </w:rPr>
            </w:pPr>
            <w:r w:rsidRPr="006B42D6">
              <w:rPr>
                <w:sz w:val="16"/>
                <w:szCs w:val="16"/>
              </w:rPr>
              <w:t>Kigoma</w:t>
            </w:r>
          </w:p>
        </w:tc>
        <w:tc>
          <w:tcPr>
            <w:tcW w:w="977" w:type="dxa"/>
            <w:tcBorders>
              <w:top w:val="nil"/>
              <w:left w:val="nil"/>
              <w:bottom w:val="nil"/>
              <w:right w:val="nil"/>
            </w:tcBorders>
            <w:shd w:val="clear" w:color="auto" w:fill="auto"/>
            <w:noWrap/>
            <w:vAlign w:val="center"/>
            <w:hideMark/>
          </w:tcPr>
          <w:p w14:paraId="6F744924" w14:textId="77777777" w:rsidR="008A1E55" w:rsidRPr="006B42D6" w:rsidRDefault="008A1E55" w:rsidP="00E16CAE">
            <w:pPr>
              <w:jc w:val="right"/>
              <w:rPr>
                <w:sz w:val="16"/>
                <w:szCs w:val="16"/>
              </w:rPr>
            </w:pPr>
            <w:r w:rsidRPr="006B42D6">
              <w:rPr>
                <w:sz w:val="16"/>
                <w:szCs w:val="16"/>
              </w:rPr>
              <w:t>-</w:t>
            </w:r>
          </w:p>
        </w:tc>
        <w:tc>
          <w:tcPr>
            <w:tcW w:w="826" w:type="dxa"/>
            <w:tcBorders>
              <w:top w:val="nil"/>
              <w:left w:val="nil"/>
              <w:bottom w:val="nil"/>
              <w:right w:val="nil"/>
            </w:tcBorders>
            <w:shd w:val="clear" w:color="auto" w:fill="auto"/>
            <w:noWrap/>
            <w:vAlign w:val="center"/>
            <w:hideMark/>
          </w:tcPr>
          <w:p w14:paraId="5B26DA2B" w14:textId="77777777" w:rsidR="008A1E55" w:rsidRPr="006B42D6" w:rsidRDefault="008A1E55" w:rsidP="00E16CAE">
            <w:pPr>
              <w:jc w:val="right"/>
              <w:rPr>
                <w:sz w:val="16"/>
                <w:szCs w:val="16"/>
              </w:rPr>
            </w:pPr>
            <w:r w:rsidRPr="006B42D6">
              <w:rPr>
                <w:sz w:val="16"/>
                <w:szCs w:val="16"/>
              </w:rPr>
              <w:t>2.4</w:t>
            </w:r>
          </w:p>
        </w:tc>
        <w:tc>
          <w:tcPr>
            <w:tcW w:w="1008" w:type="dxa"/>
            <w:tcBorders>
              <w:top w:val="nil"/>
              <w:left w:val="nil"/>
              <w:bottom w:val="nil"/>
              <w:right w:val="nil"/>
            </w:tcBorders>
            <w:shd w:val="clear" w:color="auto" w:fill="auto"/>
            <w:noWrap/>
            <w:vAlign w:val="center"/>
            <w:hideMark/>
          </w:tcPr>
          <w:p w14:paraId="7C8C99A1" w14:textId="77777777" w:rsidR="008A1E55" w:rsidRPr="006B42D6" w:rsidRDefault="008A1E55" w:rsidP="00E16CAE">
            <w:pPr>
              <w:jc w:val="right"/>
              <w:rPr>
                <w:sz w:val="16"/>
                <w:szCs w:val="16"/>
              </w:rPr>
            </w:pPr>
            <w:r w:rsidRPr="006B42D6">
              <w:rPr>
                <w:sz w:val="16"/>
                <w:szCs w:val="16"/>
              </w:rPr>
              <w:t>5.6</w:t>
            </w:r>
          </w:p>
        </w:tc>
        <w:tc>
          <w:tcPr>
            <w:tcW w:w="979" w:type="dxa"/>
            <w:tcBorders>
              <w:top w:val="nil"/>
              <w:left w:val="nil"/>
              <w:bottom w:val="nil"/>
              <w:right w:val="nil"/>
            </w:tcBorders>
            <w:shd w:val="clear" w:color="auto" w:fill="auto"/>
            <w:noWrap/>
            <w:vAlign w:val="center"/>
            <w:hideMark/>
          </w:tcPr>
          <w:p w14:paraId="38EEB8EA" w14:textId="77777777" w:rsidR="008A1E55" w:rsidRPr="006B42D6" w:rsidRDefault="008A1E55" w:rsidP="00E16CAE">
            <w:pPr>
              <w:jc w:val="right"/>
              <w:rPr>
                <w:sz w:val="16"/>
                <w:szCs w:val="16"/>
              </w:rPr>
            </w:pPr>
            <w:r w:rsidRPr="006B42D6">
              <w:rPr>
                <w:sz w:val="16"/>
                <w:szCs w:val="16"/>
              </w:rPr>
              <w:t>0.8</w:t>
            </w:r>
          </w:p>
        </w:tc>
        <w:tc>
          <w:tcPr>
            <w:tcW w:w="1086" w:type="dxa"/>
            <w:tcBorders>
              <w:top w:val="nil"/>
              <w:left w:val="nil"/>
              <w:bottom w:val="nil"/>
              <w:right w:val="nil"/>
            </w:tcBorders>
            <w:shd w:val="clear" w:color="auto" w:fill="auto"/>
            <w:noWrap/>
            <w:vAlign w:val="center"/>
            <w:hideMark/>
          </w:tcPr>
          <w:p w14:paraId="3938B390" w14:textId="77777777" w:rsidR="008A1E55" w:rsidRPr="006B42D6" w:rsidRDefault="008A1E55" w:rsidP="00E16CAE">
            <w:pPr>
              <w:jc w:val="right"/>
              <w:rPr>
                <w:sz w:val="16"/>
                <w:szCs w:val="16"/>
              </w:rPr>
            </w:pPr>
            <w:r w:rsidRPr="006B42D6">
              <w:rPr>
                <w:sz w:val="16"/>
                <w:szCs w:val="16"/>
              </w:rPr>
              <w:t>-</w:t>
            </w:r>
          </w:p>
        </w:tc>
        <w:tc>
          <w:tcPr>
            <w:tcW w:w="950" w:type="dxa"/>
            <w:tcBorders>
              <w:top w:val="nil"/>
              <w:left w:val="nil"/>
              <w:bottom w:val="nil"/>
              <w:right w:val="nil"/>
            </w:tcBorders>
            <w:shd w:val="clear" w:color="auto" w:fill="auto"/>
            <w:noWrap/>
            <w:vAlign w:val="center"/>
            <w:hideMark/>
          </w:tcPr>
          <w:p w14:paraId="4F4D6AE3" w14:textId="77777777" w:rsidR="008A1E55" w:rsidRPr="006B42D6" w:rsidRDefault="008A1E55" w:rsidP="00E16CAE">
            <w:pPr>
              <w:jc w:val="right"/>
              <w:rPr>
                <w:sz w:val="16"/>
                <w:szCs w:val="16"/>
              </w:rPr>
            </w:pPr>
            <w:r w:rsidRPr="006B42D6">
              <w:rPr>
                <w:sz w:val="16"/>
                <w:szCs w:val="16"/>
              </w:rPr>
              <w:t>2.8</w:t>
            </w:r>
          </w:p>
        </w:tc>
        <w:tc>
          <w:tcPr>
            <w:tcW w:w="1039" w:type="dxa"/>
            <w:tcBorders>
              <w:top w:val="nil"/>
              <w:left w:val="nil"/>
              <w:bottom w:val="nil"/>
              <w:right w:val="nil"/>
            </w:tcBorders>
            <w:shd w:val="clear" w:color="auto" w:fill="auto"/>
            <w:noWrap/>
            <w:vAlign w:val="center"/>
            <w:hideMark/>
          </w:tcPr>
          <w:p w14:paraId="680A5C8E" w14:textId="77777777" w:rsidR="008A1E55" w:rsidRPr="006B42D6" w:rsidRDefault="008A1E55" w:rsidP="00E16CAE">
            <w:pPr>
              <w:jc w:val="right"/>
              <w:rPr>
                <w:sz w:val="16"/>
                <w:szCs w:val="16"/>
              </w:rPr>
            </w:pPr>
            <w:r w:rsidRPr="006B42D6">
              <w:rPr>
                <w:sz w:val="16"/>
                <w:szCs w:val="16"/>
              </w:rPr>
              <w:t>5.0</w:t>
            </w:r>
          </w:p>
        </w:tc>
        <w:tc>
          <w:tcPr>
            <w:tcW w:w="932" w:type="dxa"/>
            <w:tcBorders>
              <w:top w:val="nil"/>
              <w:left w:val="nil"/>
              <w:bottom w:val="nil"/>
              <w:right w:val="nil"/>
            </w:tcBorders>
            <w:shd w:val="clear" w:color="auto" w:fill="auto"/>
            <w:noWrap/>
            <w:vAlign w:val="center"/>
            <w:hideMark/>
          </w:tcPr>
          <w:p w14:paraId="708DA879" w14:textId="77777777" w:rsidR="008A1E55" w:rsidRPr="006B42D6" w:rsidRDefault="008A1E55" w:rsidP="00E16CAE">
            <w:pPr>
              <w:jc w:val="right"/>
              <w:rPr>
                <w:sz w:val="16"/>
                <w:szCs w:val="16"/>
              </w:rPr>
            </w:pPr>
            <w:r w:rsidRPr="006B42D6">
              <w:rPr>
                <w:sz w:val="16"/>
                <w:szCs w:val="16"/>
              </w:rPr>
              <w:t>-</w:t>
            </w:r>
          </w:p>
        </w:tc>
        <w:tc>
          <w:tcPr>
            <w:tcW w:w="1030" w:type="dxa"/>
            <w:tcBorders>
              <w:top w:val="nil"/>
              <w:left w:val="nil"/>
              <w:bottom w:val="nil"/>
              <w:right w:val="nil"/>
            </w:tcBorders>
            <w:shd w:val="clear" w:color="auto" w:fill="auto"/>
            <w:noWrap/>
            <w:vAlign w:val="center"/>
            <w:hideMark/>
          </w:tcPr>
          <w:p w14:paraId="05851196" w14:textId="77777777" w:rsidR="008A1E55" w:rsidRPr="006B42D6" w:rsidRDefault="008A1E55" w:rsidP="00E16CAE">
            <w:pPr>
              <w:jc w:val="right"/>
              <w:rPr>
                <w:sz w:val="16"/>
                <w:szCs w:val="16"/>
              </w:rPr>
            </w:pPr>
            <w:r w:rsidRPr="006B42D6">
              <w:rPr>
                <w:sz w:val="16"/>
                <w:szCs w:val="16"/>
              </w:rPr>
              <w:t>-</w:t>
            </w:r>
          </w:p>
        </w:tc>
        <w:tc>
          <w:tcPr>
            <w:tcW w:w="905" w:type="dxa"/>
            <w:tcBorders>
              <w:top w:val="nil"/>
              <w:left w:val="nil"/>
              <w:bottom w:val="nil"/>
              <w:right w:val="nil"/>
            </w:tcBorders>
            <w:shd w:val="clear" w:color="auto" w:fill="auto"/>
            <w:noWrap/>
            <w:vAlign w:val="center"/>
            <w:hideMark/>
          </w:tcPr>
          <w:p w14:paraId="5D00630F" w14:textId="77777777" w:rsidR="008A1E55" w:rsidRPr="006B42D6" w:rsidRDefault="008A1E55" w:rsidP="00E16CAE">
            <w:pPr>
              <w:jc w:val="right"/>
              <w:rPr>
                <w:sz w:val="16"/>
                <w:szCs w:val="16"/>
              </w:rPr>
            </w:pPr>
            <w:r w:rsidRPr="006B42D6">
              <w:rPr>
                <w:sz w:val="16"/>
                <w:szCs w:val="16"/>
              </w:rPr>
              <w:t>-</w:t>
            </w:r>
          </w:p>
        </w:tc>
        <w:tc>
          <w:tcPr>
            <w:tcW w:w="998" w:type="dxa"/>
            <w:tcBorders>
              <w:top w:val="nil"/>
              <w:left w:val="nil"/>
              <w:bottom w:val="nil"/>
              <w:right w:val="nil"/>
            </w:tcBorders>
            <w:shd w:val="clear" w:color="auto" w:fill="auto"/>
            <w:noWrap/>
            <w:vAlign w:val="center"/>
            <w:hideMark/>
          </w:tcPr>
          <w:p w14:paraId="72E51FCC" w14:textId="77777777" w:rsidR="008A1E55" w:rsidRPr="006B42D6" w:rsidRDefault="008A1E55" w:rsidP="00E16CAE">
            <w:pPr>
              <w:jc w:val="right"/>
              <w:rPr>
                <w:sz w:val="16"/>
                <w:szCs w:val="16"/>
              </w:rPr>
            </w:pPr>
            <w:r w:rsidRPr="006B42D6">
              <w:rPr>
                <w:sz w:val="16"/>
                <w:szCs w:val="16"/>
              </w:rPr>
              <w:t>-</w:t>
            </w:r>
          </w:p>
        </w:tc>
        <w:tc>
          <w:tcPr>
            <w:tcW w:w="827" w:type="dxa"/>
            <w:tcBorders>
              <w:top w:val="nil"/>
              <w:left w:val="nil"/>
              <w:bottom w:val="nil"/>
              <w:right w:val="nil"/>
            </w:tcBorders>
            <w:shd w:val="clear" w:color="auto" w:fill="auto"/>
            <w:noWrap/>
            <w:vAlign w:val="center"/>
            <w:hideMark/>
          </w:tcPr>
          <w:p w14:paraId="5B01BDC8" w14:textId="77777777" w:rsidR="008A1E55" w:rsidRPr="006B42D6" w:rsidRDefault="008A1E55" w:rsidP="00E16CAE">
            <w:pPr>
              <w:jc w:val="right"/>
              <w:rPr>
                <w:sz w:val="16"/>
                <w:szCs w:val="16"/>
              </w:rPr>
            </w:pPr>
            <w:r w:rsidRPr="006B42D6">
              <w:rPr>
                <w:sz w:val="16"/>
                <w:szCs w:val="16"/>
              </w:rPr>
              <w:t>5.5</w:t>
            </w:r>
          </w:p>
        </w:tc>
      </w:tr>
      <w:tr w:rsidR="006B42D6" w:rsidRPr="006B42D6" w14:paraId="0DBD4EEF" w14:textId="77777777" w:rsidTr="00143C67">
        <w:trPr>
          <w:trHeight w:hRule="exact" w:val="227"/>
        </w:trPr>
        <w:tc>
          <w:tcPr>
            <w:tcW w:w="1668" w:type="dxa"/>
            <w:tcBorders>
              <w:top w:val="nil"/>
              <w:left w:val="nil"/>
              <w:bottom w:val="nil"/>
              <w:right w:val="nil"/>
            </w:tcBorders>
            <w:shd w:val="clear" w:color="auto" w:fill="auto"/>
            <w:noWrap/>
            <w:vAlign w:val="center"/>
            <w:hideMark/>
          </w:tcPr>
          <w:p w14:paraId="191616E4" w14:textId="77777777" w:rsidR="008A1E55" w:rsidRPr="006B42D6" w:rsidRDefault="008A1E55" w:rsidP="00E16CAE">
            <w:pPr>
              <w:rPr>
                <w:sz w:val="16"/>
                <w:szCs w:val="16"/>
              </w:rPr>
            </w:pPr>
            <w:r w:rsidRPr="006B42D6">
              <w:rPr>
                <w:sz w:val="16"/>
                <w:szCs w:val="16"/>
              </w:rPr>
              <w:t>Shinyanga</w:t>
            </w:r>
          </w:p>
        </w:tc>
        <w:tc>
          <w:tcPr>
            <w:tcW w:w="977" w:type="dxa"/>
            <w:tcBorders>
              <w:top w:val="nil"/>
              <w:left w:val="nil"/>
              <w:bottom w:val="nil"/>
              <w:right w:val="nil"/>
            </w:tcBorders>
            <w:shd w:val="clear" w:color="auto" w:fill="auto"/>
            <w:noWrap/>
            <w:vAlign w:val="center"/>
            <w:hideMark/>
          </w:tcPr>
          <w:p w14:paraId="7F78F062" w14:textId="77777777" w:rsidR="008A1E55" w:rsidRPr="006B42D6" w:rsidRDefault="008A1E55" w:rsidP="00E16CAE">
            <w:pPr>
              <w:jc w:val="right"/>
              <w:rPr>
                <w:sz w:val="16"/>
                <w:szCs w:val="16"/>
              </w:rPr>
            </w:pPr>
            <w:r w:rsidRPr="006B42D6">
              <w:rPr>
                <w:sz w:val="16"/>
                <w:szCs w:val="16"/>
              </w:rPr>
              <w:t>1.9</w:t>
            </w:r>
          </w:p>
        </w:tc>
        <w:tc>
          <w:tcPr>
            <w:tcW w:w="826" w:type="dxa"/>
            <w:tcBorders>
              <w:top w:val="nil"/>
              <w:left w:val="nil"/>
              <w:bottom w:val="nil"/>
              <w:right w:val="nil"/>
            </w:tcBorders>
            <w:shd w:val="clear" w:color="auto" w:fill="auto"/>
            <w:noWrap/>
            <w:vAlign w:val="center"/>
            <w:hideMark/>
          </w:tcPr>
          <w:p w14:paraId="5DAACB59" w14:textId="77777777" w:rsidR="008A1E55" w:rsidRPr="006B42D6" w:rsidRDefault="008A1E55" w:rsidP="00E16CAE">
            <w:pPr>
              <w:jc w:val="right"/>
              <w:rPr>
                <w:sz w:val="16"/>
                <w:szCs w:val="16"/>
              </w:rPr>
            </w:pPr>
            <w:r w:rsidRPr="006B42D6">
              <w:rPr>
                <w:sz w:val="16"/>
                <w:szCs w:val="16"/>
              </w:rPr>
              <w:t>2.8</w:t>
            </w:r>
          </w:p>
        </w:tc>
        <w:tc>
          <w:tcPr>
            <w:tcW w:w="1008" w:type="dxa"/>
            <w:tcBorders>
              <w:top w:val="nil"/>
              <w:left w:val="nil"/>
              <w:bottom w:val="nil"/>
              <w:right w:val="nil"/>
            </w:tcBorders>
            <w:shd w:val="clear" w:color="auto" w:fill="auto"/>
            <w:noWrap/>
            <w:vAlign w:val="center"/>
            <w:hideMark/>
          </w:tcPr>
          <w:p w14:paraId="7C47F6F6" w14:textId="77777777" w:rsidR="008A1E55" w:rsidRPr="006B42D6" w:rsidRDefault="008A1E55" w:rsidP="00E16CAE">
            <w:pPr>
              <w:jc w:val="right"/>
              <w:rPr>
                <w:sz w:val="16"/>
                <w:szCs w:val="16"/>
              </w:rPr>
            </w:pPr>
            <w:r w:rsidRPr="006B42D6">
              <w:rPr>
                <w:sz w:val="16"/>
                <w:szCs w:val="16"/>
              </w:rPr>
              <w:t>1.8</w:t>
            </w:r>
          </w:p>
        </w:tc>
        <w:tc>
          <w:tcPr>
            <w:tcW w:w="979" w:type="dxa"/>
            <w:tcBorders>
              <w:top w:val="nil"/>
              <w:left w:val="nil"/>
              <w:bottom w:val="nil"/>
              <w:right w:val="nil"/>
            </w:tcBorders>
            <w:shd w:val="clear" w:color="auto" w:fill="auto"/>
            <w:noWrap/>
            <w:vAlign w:val="center"/>
            <w:hideMark/>
          </w:tcPr>
          <w:p w14:paraId="6FDA2F34" w14:textId="77777777" w:rsidR="008A1E55" w:rsidRPr="006B42D6" w:rsidRDefault="008A1E55" w:rsidP="00E16CAE">
            <w:pPr>
              <w:jc w:val="right"/>
              <w:rPr>
                <w:sz w:val="16"/>
                <w:szCs w:val="16"/>
              </w:rPr>
            </w:pPr>
            <w:r w:rsidRPr="006B42D6">
              <w:rPr>
                <w:sz w:val="16"/>
                <w:szCs w:val="16"/>
              </w:rPr>
              <w:t>0.7</w:t>
            </w:r>
          </w:p>
        </w:tc>
        <w:tc>
          <w:tcPr>
            <w:tcW w:w="1086" w:type="dxa"/>
            <w:tcBorders>
              <w:top w:val="nil"/>
              <w:left w:val="nil"/>
              <w:bottom w:val="nil"/>
              <w:right w:val="nil"/>
            </w:tcBorders>
            <w:shd w:val="clear" w:color="auto" w:fill="auto"/>
            <w:noWrap/>
            <w:vAlign w:val="center"/>
            <w:hideMark/>
          </w:tcPr>
          <w:p w14:paraId="2051D734" w14:textId="77777777" w:rsidR="008A1E55" w:rsidRPr="006B42D6" w:rsidRDefault="008A1E55" w:rsidP="00E16CAE">
            <w:pPr>
              <w:jc w:val="right"/>
              <w:rPr>
                <w:sz w:val="16"/>
                <w:szCs w:val="16"/>
              </w:rPr>
            </w:pPr>
            <w:r w:rsidRPr="006B42D6">
              <w:rPr>
                <w:sz w:val="16"/>
                <w:szCs w:val="16"/>
              </w:rPr>
              <w:t>2.1</w:t>
            </w:r>
          </w:p>
        </w:tc>
        <w:tc>
          <w:tcPr>
            <w:tcW w:w="950" w:type="dxa"/>
            <w:tcBorders>
              <w:top w:val="nil"/>
              <w:left w:val="nil"/>
              <w:bottom w:val="nil"/>
              <w:right w:val="nil"/>
            </w:tcBorders>
            <w:shd w:val="clear" w:color="auto" w:fill="auto"/>
            <w:noWrap/>
            <w:vAlign w:val="center"/>
            <w:hideMark/>
          </w:tcPr>
          <w:p w14:paraId="7EB99C5C" w14:textId="77777777" w:rsidR="008A1E55" w:rsidRPr="006B42D6" w:rsidRDefault="008A1E55" w:rsidP="00E16CAE">
            <w:pPr>
              <w:jc w:val="right"/>
              <w:rPr>
                <w:sz w:val="16"/>
                <w:szCs w:val="16"/>
              </w:rPr>
            </w:pPr>
            <w:r w:rsidRPr="006B42D6">
              <w:rPr>
                <w:sz w:val="16"/>
                <w:szCs w:val="16"/>
              </w:rPr>
              <w:t>1.8</w:t>
            </w:r>
          </w:p>
        </w:tc>
        <w:tc>
          <w:tcPr>
            <w:tcW w:w="1039" w:type="dxa"/>
            <w:tcBorders>
              <w:top w:val="nil"/>
              <w:left w:val="nil"/>
              <w:bottom w:val="nil"/>
              <w:right w:val="nil"/>
            </w:tcBorders>
            <w:shd w:val="clear" w:color="auto" w:fill="auto"/>
            <w:noWrap/>
            <w:vAlign w:val="center"/>
            <w:hideMark/>
          </w:tcPr>
          <w:p w14:paraId="31B077A6" w14:textId="77777777" w:rsidR="008A1E55" w:rsidRPr="006B42D6" w:rsidRDefault="008A1E55" w:rsidP="00E16CAE">
            <w:pPr>
              <w:jc w:val="right"/>
              <w:rPr>
                <w:sz w:val="16"/>
                <w:szCs w:val="16"/>
              </w:rPr>
            </w:pPr>
            <w:r w:rsidRPr="006B42D6">
              <w:rPr>
                <w:sz w:val="16"/>
                <w:szCs w:val="16"/>
              </w:rPr>
              <w:t>2.9</w:t>
            </w:r>
          </w:p>
        </w:tc>
        <w:tc>
          <w:tcPr>
            <w:tcW w:w="932" w:type="dxa"/>
            <w:tcBorders>
              <w:top w:val="nil"/>
              <w:left w:val="nil"/>
              <w:bottom w:val="nil"/>
              <w:right w:val="nil"/>
            </w:tcBorders>
            <w:shd w:val="clear" w:color="auto" w:fill="auto"/>
            <w:noWrap/>
            <w:vAlign w:val="center"/>
            <w:hideMark/>
          </w:tcPr>
          <w:p w14:paraId="59EAE974" w14:textId="77777777" w:rsidR="008A1E55" w:rsidRPr="006B42D6" w:rsidRDefault="008A1E55" w:rsidP="00E16CAE">
            <w:pPr>
              <w:jc w:val="right"/>
              <w:rPr>
                <w:sz w:val="16"/>
                <w:szCs w:val="16"/>
              </w:rPr>
            </w:pPr>
            <w:r w:rsidRPr="006B42D6">
              <w:rPr>
                <w:sz w:val="16"/>
                <w:szCs w:val="16"/>
              </w:rPr>
              <w:t>2.8</w:t>
            </w:r>
          </w:p>
        </w:tc>
        <w:tc>
          <w:tcPr>
            <w:tcW w:w="1030" w:type="dxa"/>
            <w:tcBorders>
              <w:top w:val="nil"/>
              <w:left w:val="nil"/>
              <w:bottom w:val="nil"/>
              <w:right w:val="nil"/>
            </w:tcBorders>
            <w:shd w:val="clear" w:color="auto" w:fill="auto"/>
            <w:noWrap/>
            <w:vAlign w:val="center"/>
            <w:hideMark/>
          </w:tcPr>
          <w:p w14:paraId="240AF24A" w14:textId="77777777" w:rsidR="008A1E55" w:rsidRPr="006B42D6" w:rsidRDefault="008A1E55" w:rsidP="00E16CAE">
            <w:pPr>
              <w:jc w:val="right"/>
              <w:rPr>
                <w:sz w:val="16"/>
                <w:szCs w:val="16"/>
              </w:rPr>
            </w:pPr>
            <w:r w:rsidRPr="006B42D6">
              <w:rPr>
                <w:sz w:val="16"/>
                <w:szCs w:val="16"/>
              </w:rPr>
              <w:t>-</w:t>
            </w:r>
          </w:p>
        </w:tc>
        <w:tc>
          <w:tcPr>
            <w:tcW w:w="905" w:type="dxa"/>
            <w:tcBorders>
              <w:top w:val="nil"/>
              <w:left w:val="nil"/>
              <w:bottom w:val="nil"/>
              <w:right w:val="nil"/>
            </w:tcBorders>
            <w:shd w:val="clear" w:color="auto" w:fill="auto"/>
            <w:noWrap/>
            <w:vAlign w:val="center"/>
            <w:hideMark/>
          </w:tcPr>
          <w:p w14:paraId="52FDD0FB" w14:textId="77777777" w:rsidR="008A1E55" w:rsidRPr="006B42D6" w:rsidRDefault="008A1E55" w:rsidP="00E16CAE">
            <w:pPr>
              <w:jc w:val="right"/>
              <w:rPr>
                <w:sz w:val="16"/>
                <w:szCs w:val="16"/>
              </w:rPr>
            </w:pPr>
            <w:r w:rsidRPr="006B42D6">
              <w:rPr>
                <w:sz w:val="16"/>
                <w:szCs w:val="16"/>
              </w:rPr>
              <w:t>-</w:t>
            </w:r>
          </w:p>
        </w:tc>
        <w:tc>
          <w:tcPr>
            <w:tcW w:w="998" w:type="dxa"/>
            <w:tcBorders>
              <w:top w:val="nil"/>
              <w:left w:val="nil"/>
              <w:bottom w:val="nil"/>
              <w:right w:val="nil"/>
            </w:tcBorders>
            <w:shd w:val="clear" w:color="auto" w:fill="auto"/>
            <w:noWrap/>
            <w:vAlign w:val="center"/>
            <w:hideMark/>
          </w:tcPr>
          <w:p w14:paraId="6E470DB0" w14:textId="77777777" w:rsidR="008A1E55" w:rsidRPr="006B42D6" w:rsidRDefault="008A1E55" w:rsidP="00E16CAE">
            <w:pPr>
              <w:jc w:val="right"/>
              <w:rPr>
                <w:sz w:val="16"/>
                <w:szCs w:val="16"/>
              </w:rPr>
            </w:pPr>
            <w:r w:rsidRPr="006B42D6">
              <w:rPr>
                <w:sz w:val="16"/>
                <w:szCs w:val="16"/>
              </w:rPr>
              <w:t>-</w:t>
            </w:r>
          </w:p>
        </w:tc>
        <w:tc>
          <w:tcPr>
            <w:tcW w:w="827" w:type="dxa"/>
            <w:tcBorders>
              <w:top w:val="nil"/>
              <w:left w:val="nil"/>
              <w:bottom w:val="nil"/>
              <w:right w:val="nil"/>
            </w:tcBorders>
            <w:shd w:val="clear" w:color="auto" w:fill="auto"/>
            <w:noWrap/>
            <w:vAlign w:val="center"/>
            <w:hideMark/>
          </w:tcPr>
          <w:p w14:paraId="36E51758" w14:textId="77777777" w:rsidR="008A1E55" w:rsidRPr="006B42D6" w:rsidRDefault="008A1E55" w:rsidP="00E16CAE">
            <w:pPr>
              <w:jc w:val="right"/>
              <w:rPr>
                <w:sz w:val="16"/>
                <w:szCs w:val="16"/>
              </w:rPr>
            </w:pPr>
            <w:r w:rsidRPr="006B42D6">
              <w:rPr>
                <w:sz w:val="16"/>
                <w:szCs w:val="16"/>
              </w:rPr>
              <w:t>-</w:t>
            </w:r>
          </w:p>
        </w:tc>
      </w:tr>
      <w:tr w:rsidR="006B42D6" w:rsidRPr="006B42D6" w14:paraId="268077A5" w14:textId="77777777" w:rsidTr="00143C67">
        <w:trPr>
          <w:trHeight w:hRule="exact" w:val="227"/>
        </w:trPr>
        <w:tc>
          <w:tcPr>
            <w:tcW w:w="1668" w:type="dxa"/>
            <w:tcBorders>
              <w:top w:val="nil"/>
              <w:left w:val="nil"/>
              <w:bottom w:val="nil"/>
              <w:right w:val="nil"/>
            </w:tcBorders>
            <w:shd w:val="clear" w:color="auto" w:fill="auto"/>
            <w:noWrap/>
            <w:vAlign w:val="center"/>
            <w:hideMark/>
          </w:tcPr>
          <w:p w14:paraId="3289D0A3" w14:textId="77777777" w:rsidR="008A1E55" w:rsidRPr="006B42D6" w:rsidRDefault="008A1E55" w:rsidP="00E16CAE">
            <w:pPr>
              <w:rPr>
                <w:sz w:val="16"/>
                <w:szCs w:val="16"/>
              </w:rPr>
            </w:pPr>
            <w:r w:rsidRPr="006B42D6">
              <w:rPr>
                <w:sz w:val="16"/>
                <w:szCs w:val="16"/>
              </w:rPr>
              <w:t>Kagera</w:t>
            </w:r>
          </w:p>
        </w:tc>
        <w:tc>
          <w:tcPr>
            <w:tcW w:w="977" w:type="dxa"/>
            <w:tcBorders>
              <w:top w:val="nil"/>
              <w:left w:val="nil"/>
              <w:bottom w:val="nil"/>
              <w:right w:val="nil"/>
            </w:tcBorders>
            <w:shd w:val="clear" w:color="auto" w:fill="auto"/>
            <w:noWrap/>
            <w:vAlign w:val="center"/>
            <w:hideMark/>
          </w:tcPr>
          <w:p w14:paraId="6C15BE53" w14:textId="77777777" w:rsidR="008A1E55" w:rsidRPr="006B42D6" w:rsidRDefault="008A1E55" w:rsidP="00E16CAE">
            <w:pPr>
              <w:jc w:val="right"/>
              <w:rPr>
                <w:sz w:val="16"/>
                <w:szCs w:val="16"/>
              </w:rPr>
            </w:pPr>
            <w:r w:rsidRPr="006B42D6">
              <w:rPr>
                <w:sz w:val="16"/>
                <w:szCs w:val="16"/>
              </w:rPr>
              <w:t>4.2</w:t>
            </w:r>
          </w:p>
        </w:tc>
        <w:tc>
          <w:tcPr>
            <w:tcW w:w="826" w:type="dxa"/>
            <w:tcBorders>
              <w:top w:val="nil"/>
              <w:left w:val="nil"/>
              <w:bottom w:val="nil"/>
              <w:right w:val="nil"/>
            </w:tcBorders>
            <w:shd w:val="clear" w:color="auto" w:fill="auto"/>
            <w:noWrap/>
            <w:vAlign w:val="center"/>
            <w:hideMark/>
          </w:tcPr>
          <w:p w14:paraId="19337070" w14:textId="77777777" w:rsidR="008A1E55" w:rsidRPr="006B42D6" w:rsidRDefault="008A1E55" w:rsidP="00E16CAE">
            <w:pPr>
              <w:jc w:val="right"/>
              <w:rPr>
                <w:sz w:val="16"/>
                <w:szCs w:val="16"/>
              </w:rPr>
            </w:pPr>
            <w:r w:rsidRPr="006B42D6">
              <w:rPr>
                <w:sz w:val="16"/>
                <w:szCs w:val="16"/>
              </w:rPr>
              <w:t>3.6</w:t>
            </w:r>
          </w:p>
        </w:tc>
        <w:tc>
          <w:tcPr>
            <w:tcW w:w="1008" w:type="dxa"/>
            <w:tcBorders>
              <w:top w:val="nil"/>
              <w:left w:val="nil"/>
              <w:bottom w:val="nil"/>
              <w:right w:val="nil"/>
            </w:tcBorders>
            <w:shd w:val="clear" w:color="auto" w:fill="auto"/>
            <w:noWrap/>
            <w:vAlign w:val="center"/>
            <w:hideMark/>
          </w:tcPr>
          <w:p w14:paraId="656D3CF2" w14:textId="77777777" w:rsidR="008A1E55" w:rsidRPr="006B42D6" w:rsidRDefault="008A1E55" w:rsidP="00E16CAE">
            <w:pPr>
              <w:jc w:val="right"/>
              <w:rPr>
                <w:sz w:val="16"/>
                <w:szCs w:val="16"/>
              </w:rPr>
            </w:pPr>
            <w:r w:rsidRPr="006B42D6">
              <w:rPr>
                <w:sz w:val="16"/>
                <w:szCs w:val="16"/>
              </w:rPr>
              <w:t>2.5</w:t>
            </w:r>
          </w:p>
        </w:tc>
        <w:tc>
          <w:tcPr>
            <w:tcW w:w="979" w:type="dxa"/>
            <w:tcBorders>
              <w:top w:val="nil"/>
              <w:left w:val="nil"/>
              <w:bottom w:val="nil"/>
              <w:right w:val="nil"/>
            </w:tcBorders>
            <w:shd w:val="clear" w:color="auto" w:fill="auto"/>
            <w:noWrap/>
            <w:vAlign w:val="center"/>
            <w:hideMark/>
          </w:tcPr>
          <w:p w14:paraId="2AC7FBF6" w14:textId="77777777" w:rsidR="008A1E55" w:rsidRPr="006B42D6" w:rsidRDefault="008A1E55" w:rsidP="00E16CAE">
            <w:pPr>
              <w:jc w:val="right"/>
              <w:rPr>
                <w:sz w:val="16"/>
                <w:szCs w:val="16"/>
              </w:rPr>
            </w:pPr>
            <w:r w:rsidRPr="006B42D6">
              <w:rPr>
                <w:sz w:val="16"/>
                <w:szCs w:val="16"/>
              </w:rPr>
              <w:t>1.9</w:t>
            </w:r>
          </w:p>
        </w:tc>
        <w:tc>
          <w:tcPr>
            <w:tcW w:w="1086" w:type="dxa"/>
            <w:tcBorders>
              <w:top w:val="nil"/>
              <w:left w:val="nil"/>
              <w:bottom w:val="nil"/>
              <w:right w:val="nil"/>
            </w:tcBorders>
            <w:shd w:val="clear" w:color="auto" w:fill="auto"/>
            <w:noWrap/>
            <w:vAlign w:val="center"/>
            <w:hideMark/>
          </w:tcPr>
          <w:p w14:paraId="5519E35C" w14:textId="77777777" w:rsidR="008A1E55" w:rsidRPr="006B42D6" w:rsidRDefault="008A1E55" w:rsidP="00E16CAE">
            <w:pPr>
              <w:jc w:val="right"/>
              <w:rPr>
                <w:sz w:val="16"/>
                <w:szCs w:val="16"/>
              </w:rPr>
            </w:pPr>
            <w:r w:rsidRPr="006B42D6">
              <w:rPr>
                <w:sz w:val="16"/>
                <w:szCs w:val="16"/>
              </w:rPr>
              <w:t>-</w:t>
            </w:r>
          </w:p>
        </w:tc>
        <w:tc>
          <w:tcPr>
            <w:tcW w:w="950" w:type="dxa"/>
            <w:tcBorders>
              <w:top w:val="nil"/>
              <w:left w:val="nil"/>
              <w:bottom w:val="nil"/>
              <w:right w:val="nil"/>
            </w:tcBorders>
            <w:shd w:val="clear" w:color="auto" w:fill="auto"/>
            <w:noWrap/>
            <w:vAlign w:val="center"/>
            <w:hideMark/>
          </w:tcPr>
          <w:p w14:paraId="5D3415D7" w14:textId="77777777" w:rsidR="008A1E55" w:rsidRPr="006B42D6" w:rsidRDefault="008A1E55" w:rsidP="00E16CAE">
            <w:pPr>
              <w:jc w:val="right"/>
              <w:rPr>
                <w:sz w:val="16"/>
                <w:szCs w:val="16"/>
              </w:rPr>
            </w:pPr>
            <w:r w:rsidRPr="006B42D6">
              <w:rPr>
                <w:sz w:val="16"/>
                <w:szCs w:val="16"/>
              </w:rPr>
              <w:t>2.2</w:t>
            </w:r>
          </w:p>
        </w:tc>
        <w:tc>
          <w:tcPr>
            <w:tcW w:w="1039" w:type="dxa"/>
            <w:tcBorders>
              <w:top w:val="nil"/>
              <w:left w:val="nil"/>
              <w:bottom w:val="nil"/>
              <w:right w:val="nil"/>
            </w:tcBorders>
            <w:shd w:val="clear" w:color="auto" w:fill="auto"/>
            <w:noWrap/>
            <w:vAlign w:val="center"/>
            <w:hideMark/>
          </w:tcPr>
          <w:p w14:paraId="3236B5A5" w14:textId="77777777" w:rsidR="008A1E55" w:rsidRPr="006B42D6" w:rsidRDefault="008A1E55" w:rsidP="00E16CAE">
            <w:pPr>
              <w:jc w:val="right"/>
              <w:rPr>
                <w:sz w:val="16"/>
                <w:szCs w:val="16"/>
              </w:rPr>
            </w:pPr>
            <w:r w:rsidRPr="006B42D6">
              <w:rPr>
                <w:sz w:val="16"/>
                <w:szCs w:val="16"/>
              </w:rPr>
              <w:t>7.3</w:t>
            </w:r>
          </w:p>
        </w:tc>
        <w:tc>
          <w:tcPr>
            <w:tcW w:w="932" w:type="dxa"/>
            <w:tcBorders>
              <w:top w:val="nil"/>
              <w:left w:val="nil"/>
              <w:bottom w:val="nil"/>
              <w:right w:val="nil"/>
            </w:tcBorders>
            <w:shd w:val="clear" w:color="auto" w:fill="auto"/>
            <w:noWrap/>
            <w:vAlign w:val="center"/>
            <w:hideMark/>
          </w:tcPr>
          <w:p w14:paraId="77E33AED" w14:textId="77777777" w:rsidR="008A1E55" w:rsidRPr="006B42D6" w:rsidRDefault="008A1E55" w:rsidP="00E16CAE">
            <w:pPr>
              <w:jc w:val="right"/>
              <w:rPr>
                <w:sz w:val="16"/>
                <w:szCs w:val="16"/>
              </w:rPr>
            </w:pPr>
            <w:r w:rsidRPr="006B42D6">
              <w:rPr>
                <w:sz w:val="16"/>
                <w:szCs w:val="16"/>
              </w:rPr>
              <w:t>3.0</w:t>
            </w:r>
          </w:p>
        </w:tc>
        <w:tc>
          <w:tcPr>
            <w:tcW w:w="1030" w:type="dxa"/>
            <w:tcBorders>
              <w:top w:val="nil"/>
              <w:left w:val="nil"/>
              <w:bottom w:val="nil"/>
              <w:right w:val="nil"/>
            </w:tcBorders>
            <w:shd w:val="clear" w:color="auto" w:fill="auto"/>
            <w:noWrap/>
            <w:vAlign w:val="center"/>
            <w:hideMark/>
          </w:tcPr>
          <w:p w14:paraId="63589AF2" w14:textId="77777777" w:rsidR="008A1E55" w:rsidRPr="006B42D6" w:rsidRDefault="008A1E55" w:rsidP="00E16CAE">
            <w:pPr>
              <w:jc w:val="right"/>
              <w:rPr>
                <w:sz w:val="16"/>
                <w:szCs w:val="16"/>
              </w:rPr>
            </w:pPr>
            <w:r w:rsidRPr="006B42D6">
              <w:rPr>
                <w:sz w:val="16"/>
                <w:szCs w:val="16"/>
              </w:rPr>
              <w:t>-</w:t>
            </w:r>
          </w:p>
        </w:tc>
        <w:tc>
          <w:tcPr>
            <w:tcW w:w="905" w:type="dxa"/>
            <w:tcBorders>
              <w:top w:val="nil"/>
              <w:left w:val="nil"/>
              <w:bottom w:val="nil"/>
              <w:right w:val="nil"/>
            </w:tcBorders>
            <w:shd w:val="clear" w:color="auto" w:fill="auto"/>
            <w:noWrap/>
            <w:vAlign w:val="center"/>
            <w:hideMark/>
          </w:tcPr>
          <w:p w14:paraId="593D11B3" w14:textId="77777777" w:rsidR="008A1E55" w:rsidRPr="006B42D6" w:rsidRDefault="008A1E55" w:rsidP="00E16CAE">
            <w:pPr>
              <w:jc w:val="right"/>
              <w:rPr>
                <w:sz w:val="16"/>
                <w:szCs w:val="16"/>
              </w:rPr>
            </w:pPr>
            <w:r w:rsidRPr="006B42D6">
              <w:rPr>
                <w:sz w:val="16"/>
                <w:szCs w:val="16"/>
              </w:rPr>
              <w:t>-</w:t>
            </w:r>
          </w:p>
        </w:tc>
        <w:tc>
          <w:tcPr>
            <w:tcW w:w="998" w:type="dxa"/>
            <w:tcBorders>
              <w:top w:val="nil"/>
              <w:left w:val="nil"/>
              <w:bottom w:val="nil"/>
              <w:right w:val="nil"/>
            </w:tcBorders>
            <w:shd w:val="clear" w:color="auto" w:fill="auto"/>
            <w:noWrap/>
            <w:vAlign w:val="center"/>
            <w:hideMark/>
          </w:tcPr>
          <w:p w14:paraId="16DCED6D" w14:textId="77777777" w:rsidR="008A1E55" w:rsidRPr="006B42D6" w:rsidRDefault="008A1E55" w:rsidP="00E16CAE">
            <w:pPr>
              <w:jc w:val="right"/>
              <w:rPr>
                <w:sz w:val="16"/>
                <w:szCs w:val="16"/>
              </w:rPr>
            </w:pPr>
            <w:r w:rsidRPr="006B42D6">
              <w:rPr>
                <w:sz w:val="16"/>
                <w:szCs w:val="16"/>
              </w:rPr>
              <w:t>-</w:t>
            </w:r>
          </w:p>
        </w:tc>
        <w:tc>
          <w:tcPr>
            <w:tcW w:w="827" w:type="dxa"/>
            <w:tcBorders>
              <w:top w:val="nil"/>
              <w:left w:val="nil"/>
              <w:bottom w:val="nil"/>
              <w:right w:val="nil"/>
            </w:tcBorders>
            <w:shd w:val="clear" w:color="auto" w:fill="auto"/>
            <w:noWrap/>
            <w:vAlign w:val="center"/>
            <w:hideMark/>
          </w:tcPr>
          <w:p w14:paraId="348D2991" w14:textId="77777777" w:rsidR="008A1E55" w:rsidRPr="006B42D6" w:rsidRDefault="008A1E55" w:rsidP="00E16CAE">
            <w:pPr>
              <w:jc w:val="right"/>
              <w:rPr>
                <w:sz w:val="16"/>
                <w:szCs w:val="16"/>
              </w:rPr>
            </w:pPr>
            <w:r w:rsidRPr="006B42D6">
              <w:rPr>
                <w:sz w:val="16"/>
                <w:szCs w:val="16"/>
              </w:rPr>
              <w:t>2.1</w:t>
            </w:r>
          </w:p>
        </w:tc>
      </w:tr>
      <w:tr w:rsidR="006B42D6" w:rsidRPr="006B42D6" w14:paraId="37D9F097" w14:textId="77777777" w:rsidTr="00143C67">
        <w:trPr>
          <w:trHeight w:hRule="exact" w:val="227"/>
        </w:trPr>
        <w:tc>
          <w:tcPr>
            <w:tcW w:w="1668" w:type="dxa"/>
            <w:tcBorders>
              <w:top w:val="nil"/>
              <w:left w:val="nil"/>
              <w:bottom w:val="nil"/>
              <w:right w:val="nil"/>
            </w:tcBorders>
            <w:shd w:val="clear" w:color="auto" w:fill="auto"/>
            <w:noWrap/>
            <w:vAlign w:val="center"/>
            <w:hideMark/>
          </w:tcPr>
          <w:p w14:paraId="297AB1DC" w14:textId="77777777" w:rsidR="008A1E55" w:rsidRPr="006B42D6" w:rsidRDefault="008A1E55" w:rsidP="00E16CAE">
            <w:pPr>
              <w:rPr>
                <w:sz w:val="16"/>
                <w:szCs w:val="16"/>
              </w:rPr>
            </w:pPr>
            <w:r w:rsidRPr="006B42D6">
              <w:rPr>
                <w:sz w:val="16"/>
                <w:szCs w:val="16"/>
              </w:rPr>
              <w:t>Mwanza</w:t>
            </w:r>
          </w:p>
        </w:tc>
        <w:tc>
          <w:tcPr>
            <w:tcW w:w="977" w:type="dxa"/>
            <w:tcBorders>
              <w:top w:val="nil"/>
              <w:left w:val="nil"/>
              <w:bottom w:val="nil"/>
              <w:right w:val="nil"/>
            </w:tcBorders>
            <w:shd w:val="clear" w:color="auto" w:fill="auto"/>
            <w:noWrap/>
            <w:vAlign w:val="center"/>
            <w:hideMark/>
          </w:tcPr>
          <w:p w14:paraId="6306123F" w14:textId="77777777" w:rsidR="008A1E55" w:rsidRPr="006B42D6" w:rsidRDefault="008A1E55" w:rsidP="00E16CAE">
            <w:pPr>
              <w:jc w:val="right"/>
              <w:rPr>
                <w:sz w:val="16"/>
                <w:szCs w:val="16"/>
              </w:rPr>
            </w:pPr>
            <w:r w:rsidRPr="006B42D6">
              <w:rPr>
                <w:sz w:val="16"/>
                <w:szCs w:val="16"/>
              </w:rPr>
              <w:t>4.9</w:t>
            </w:r>
          </w:p>
        </w:tc>
        <w:tc>
          <w:tcPr>
            <w:tcW w:w="826" w:type="dxa"/>
            <w:tcBorders>
              <w:top w:val="nil"/>
              <w:left w:val="nil"/>
              <w:bottom w:val="nil"/>
              <w:right w:val="nil"/>
            </w:tcBorders>
            <w:shd w:val="clear" w:color="auto" w:fill="auto"/>
            <w:noWrap/>
            <w:vAlign w:val="center"/>
            <w:hideMark/>
          </w:tcPr>
          <w:p w14:paraId="7AF6E61B" w14:textId="77777777" w:rsidR="008A1E55" w:rsidRPr="006B42D6" w:rsidRDefault="008A1E55" w:rsidP="00E16CAE">
            <w:pPr>
              <w:jc w:val="right"/>
              <w:rPr>
                <w:sz w:val="16"/>
                <w:szCs w:val="16"/>
              </w:rPr>
            </w:pPr>
            <w:r w:rsidRPr="006B42D6">
              <w:rPr>
                <w:sz w:val="16"/>
                <w:szCs w:val="16"/>
              </w:rPr>
              <w:t>6.9</w:t>
            </w:r>
          </w:p>
        </w:tc>
        <w:tc>
          <w:tcPr>
            <w:tcW w:w="1008" w:type="dxa"/>
            <w:tcBorders>
              <w:top w:val="nil"/>
              <w:left w:val="nil"/>
              <w:bottom w:val="nil"/>
              <w:right w:val="nil"/>
            </w:tcBorders>
            <w:shd w:val="clear" w:color="auto" w:fill="auto"/>
            <w:noWrap/>
            <w:vAlign w:val="center"/>
            <w:hideMark/>
          </w:tcPr>
          <w:p w14:paraId="6CE6973C" w14:textId="77777777" w:rsidR="008A1E55" w:rsidRPr="006B42D6" w:rsidRDefault="008A1E55" w:rsidP="00E16CAE">
            <w:pPr>
              <w:jc w:val="right"/>
              <w:rPr>
                <w:sz w:val="16"/>
                <w:szCs w:val="16"/>
              </w:rPr>
            </w:pPr>
            <w:r w:rsidRPr="006B42D6">
              <w:rPr>
                <w:sz w:val="16"/>
                <w:szCs w:val="16"/>
              </w:rPr>
              <w:t>0.5</w:t>
            </w:r>
          </w:p>
        </w:tc>
        <w:tc>
          <w:tcPr>
            <w:tcW w:w="979" w:type="dxa"/>
            <w:tcBorders>
              <w:top w:val="nil"/>
              <w:left w:val="nil"/>
              <w:bottom w:val="nil"/>
              <w:right w:val="nil"/>
            </w:tcBorders>
            <w:shd w:val="clear" w:color="auto" w:fill="auto"/>
            <w:noWrap/>
            <w:vAlign w:val="center"/>
            <w:hideMark/>
          </w:tcPr>
          <w:p w14:paraId="6544DBB2" w14:textId="77777777" w:rsidR="008A1E55" w:rsidRPr="006B42D6" w:rsidRDefault="008A1E55" w:rsidP="00E16CAE">
            <w:pPr>
              <w:jc w:val="right"/>
              <w:rPr>
                <w:sz w:val="16"/>
                <w:szCs w:val="16"/>
              </w:rPr>
            </w:pPr>
            <w:r w:rsidRPr="006B42D6">
              <w:rPr>
                <w:sz w:val="16"/>
                <w:szCs w:val="16"/>
              </w:rPr>
              <w:t>6.1</w:t>
            </w:r>
          </w:p>
        </w:tc>
        <w:tc>
          <w:tcPr>
            <w:tcW w:w="1086" w:type="dxa"/>
            <w:tcBorders>
              <w:top w:val="nil"/>
              <w:left w:val="nil"/>
              <w:bottom w:val="nil"/>
              <w:right w:val="nil"/>
            </w:tcBorders>
            <w:shd w:val="clear" w:color="auto" w:fill="auto"/>
            <w:noWrap/>
            <w:vAlign w:val="center"/>
            <w:hideMark/>
          </w:tcPr>
          <w:p w14:paraId="1DAD2218" w14:textId="77777777" w:rsidR="008A1E55" w:rsidRPr="006B42D6" w:rsidRDefault="008A1E55" w:rsidP="00E16CAE">
            <w:pPr>
              <w:jc w:val="right"/>
              <w:rPr>
                <w:sz w:val="16"/>
                <w:szCs w:val="16"/>
              </w:rPr>
            </w:pPr>
            <w:r w:rsidRPr="006B42D6">
              <w:rPr>
                <w:sz w:val="16"/>
                <w:szCs w:val="16"/>
              </w:rPr>
              <w:t>-</w:t>
            </w:r>
          </w:p>
        </w:tc>
        <w:tc>
          <w:tcPr>
            <w:tcW w:w="950" w:type="dxa"/>
            <w:tcBorders>
              <w:top w:val="nil"/>
              <w:left w:val="nil"/>
              <w:bottom w:val="nil"/>
              <w:right w:val="nil"/>
            </w:tcBorders>
            <w:shd w:val="clear" w:color="auto" w:fill="auto"/>
            <w:noWrap/>
            <w:vAlign w:val="center"/>
            <w:hideMark/>
          </w:tcPr>
          <w:p w14:paraId="1601B1D0" w14:textId="77777777" w:rsidR="008A1E55" w:rsidRPr="006B42D6" w:rsidRDefault="008A1E55" w:rsidP="00E16CAE">
            <w:pPr>
              <w:jc w:val="right"/>
              <w:rPr>
                <w:sz w:val="16"/>
                <w:szCs w:val="16"/>
              </w:rPr>
            </w:pPr>
            <w:r w:rsidRPr="006B42D6">
              <w:rPr>
                <w:sz w:val="16"/>
                <w:szCs w:val="16"/>
              </w:rPr>
              <w:t>4.7</w:t>
            </w:r>
          </w:p>
        </w:tc>
        <w:tc>
          <w:tcPr>
            <w:tcW w:w="1039" w:type="dxa"/>
            <w:tcBorders>
              <w:top w:val="nil"/>
              <w:left w:val="nil"/>
              <w:bottom w:val="nil"/>
              <w:right w:val="nil"/>
            </w:tcBorders>
            <w:shd w:val="clear" w:color="auto" w:fill="auto"/>
            <w:noWrap/>
            <w:vAlign w:val="center"/>
            <w:hideMark/>
          </w:tcPr>
          <w:p w14:paraId="5A0F29CA" w14:textId="77777777" w:rsidR="008A1E55" w:rsidRPr="006B42D6" w:rsidRDefault="008A1E55" w:rsidP="00E16CAE">
            <w:pPr>
              <w:jc w:val="right"/>
              <w:rPr>
                <w:sz w:val="16"/>
                <w:szCs w:val="16"/>
              </w:rPr>
            </w:pPr>
            <w:r w:rsidRPr="006B42D6">
              <w:rPr>
                <w:sz w:val="16"/>
                <w:szCs w:val="16"/>
              </w:rPr>
              <w:t>5.4</w:t>
            </w:r>
          </w:p>
        </w:tc>
        <w:tc>
          <w:tcPr>
            <w:tcW w:w="932" w:type="dxa"/>
            <w:tcBorders>
              <w:top w:val="nil"/>
              <w:left w:val="nil"/>
              <w:bottom w:val="nil"/>
              <w:right w:val="nil"/>
            </w:tcBorders>
            <w:shd w:val="clear" w:color="auto" w:fill="auto"/>
            <w:noWrap/>
            <w:vAlign w:val="center"/>
            <w:hideMark/>
          </w:tcPr>
          <w:p w14:paraId="12C31130" w14:textId="77777777" w:rsidR="008A1E55" w:rsidRPr="006B42D6" w:rsidRDefault="008A1E55" w:rsidP="00E16CAE">
            <w:pPr>
              <w:jc w:val="right"/>
              <w:rPr>
                <w:sz w:val="16"/>
                <w:szCs w:val="16"/>
              </w:rPr>
            </w:pPr>
            <w:r w:rsidRPr="006B42D6">
              <w:rPr>
                <w:sz w:val="16"/>
                <w:szCs w:val="16"/>
              </w:rPr>
              <w:t>6.0</w:t>
            </w:r>
          </w:p>
        </w:tc>
        <w:tc>
          <w:tcPr>
            <w:tcW w:w="1030" w:type="dxa"/>
            <w:tcBorders>
              <w:top w:val="nil"/>
              <w:left w:val="nil"/>
              <w:bottom w:val="nil"/>
              <w:right w:val="nil"/>
            </w:tcBorders>
            <w:shd w:val="clear" w:color="auto" w:fill="auto"/>
            <w:noWrap/>
            <w:vAlign w:val="center"/>
            <w:hideMark/>
          </w:tcPr>
          <w:p w14:paraId="60771A01" w14:textId="77777777" w:rsidR="008A1E55" w:rsidRPr="006B42D6" w:rsidRDefault="008A1E55" w:rsidP="00E16CAE">
            <w:pPr>
              <w:jc w:val="right"/>
              <w:rPr>
                <w:sz w:val="16"/>
                <w:szCs w:val="16"/>
              </w:rPr>
            </w:pPr>
            <w:r w:rsidRPr="006B42D6">
              <w:rPr>
                <w:sz w:val="16"/>
                <w:szCs w:val="16"/>
              </w:rPr>
              <w:t>-</w:t>
            </w:r>
          </w:p>
        </w:tc>
        <w:tc>
          <w:tcPr>
            <w:tcW w:w="905" w:type="dxa"/>
            <w:tcBorders>
              <w:top w:val="nil"/>
              <w:left w:val="nil"/>
              <w:bottom w:val="nil"/>
              <w:right w:val="nil"/>
            </w:tcBorders>
            <w:shd w:val="clear" w:color="auto" w:fill="auto"/>
            <w:noWrap/>
            <w:vAlign w:val="center"/>
            <w:hideMark/>
          </w:tcPr>
          <w:p w14:paraId="542D81B6" w14:textId="77777777" w:rsidR="008A1E55" w:rsidRPr="006B42D6" w:rsidRDefault="008A1E55" w:rsidP="00E16CAE">
            <w:pPr>
              <w:jc w:val="right"/>
              <w:rPr>
                <w:sz w:val="16"/>
                <w:szCs w:val="16"/>
              </w:rPr>
            </w:pPr>
            <w:r w:rsidRPr="006B42D6">
              <w:rPr>
                <w:sz w:val="16"/>
                <w:szCs w:val="16"/>
              </w:rPr>
              <w:t>-</w:t>
            </w:r>
          </w:p>
        </w:tc>
        <w:tc>
          <w:tcPr>
            <w:tcW w:w="998" w:type="dxa"/>
            <w:tcBorders>
              <w:top w:val="nil"/>
              <w:left w:val="nil"/>
              <w:bottom w:val="nil"/>
              <w:right w:val="nil"/>
            </w:tcBorders>
            <w:shd w:val="clear" w:color="auto" w:fill="auto"/>
            <w:noWrap/>
            <w:vAlign w:val="center"/>
            <w:hideMark/>
          </w:tcPr>
          <w:p w14:paraId="70D60BCA" w14:textId="77777777" w:rsidR="008A1E55" w:rsidRPr="006B42D6" w:rsidRDefault="008A1E55" w:rsidP="00E16CAE">
            <w:pPr>
              <w:jc w:val="right"/>
              <w:rPr>
                <w:sz w:val="16"/>
                <w:szCs w:val="16"/>
              </w:rPr>
            </w:pPr>
            <w:r w:rsidRPr="006B42D6">
              <w:rPr>
                <w:sz w:val="16"/>
                <w:szCs w:val="16"/>
              </w:rPr>
              <w:t>-</w:t>
            </w:r>
          </w:p>
        </w:tc>
        <w:tc>
          <w:tcPr>
            <w:tcW w:w="827" w:type="dxa"/>
            <w:tcBorders>
              <w:top w:val="nil"/>
              <w:left w:val="nil"/>
              <w:bottom w:val="nil"/>
              <w:right w:val="nil"/>
            </w:tcBorders>
            <w:shd w:val="clear" w:color="auto" w:fill="auto"/>
            <w:noWrap/>
            <w:vAlign w:val="center"/>
            <w:hideMark/>
          </w:tcPr>
          <w:p w14:paraId="5E8F3B11" w14:textId="77777777" w:rsidR="008A1E55" w:rsidRPr="006B42D6" w:rsidRDefault="008A1E55" w:rsidP="00E16CAE">
            <w:pPr>
              <w:jc w:val="right"/>
              <w:rPr>
                <w:sz w:val="16"/>
                <w:szCs w:val="16"/>
              </w:rPr>
            </w:pPr>
            <w:r w:rsidRPr="006B42D6">
              <w:rPr>
                <w:sz w:val="16"/>
                <w:szCs w:val="16"/>
              </w:rPr>
              <w:t>12.8</w:t>
            </w:r>
          </w:p>
        </w:tc>
      </w:tr>
      <w:tr w:rsidR="006B42D6" w:rsidRPr="006B42D6" w14:paraId="08B526B1" w14:textId="77777777" w:rsidTr="00143C67">
        <w:trPr>
          <w:trHeight w:hRule="exact" w:val="227"/>
        </w:trPr>
        <w:tc>
          <w:tcPr>
            <w:tcW w:w="1668" w:type="dxa"/>
            <w:tcBorders>
              <w:top w:val="nil"/>
              <w:left w:val="nil"/>
              <w:bottom w:val="nil"/>
              <w:right w:val="nil"/>
            </w:tcBorders>
            <w:shd w:val="clear" w:color="auto" w:fill="auto"/>
            <w:noWrap/>
            <w:vAlign w:val="center"/>
            <w:hideMark/>
          </w:tcPr>
          <w:p w14:paraId="3EEF9C89" w14:textId="77777777" w:rsidR="008A1E55" w:rsidRPr="006B42D6" w:rsidRDefault="008A1E55" w:rsidP="00E16CAE">
            <w:pPr>
              <w:rPr>
                <w:sz w:val="16"/>
                <w:szCs w:val="16"/>
              </w:rPr>
            </w:pPr>
            <w:r w:rsidRPr="006B42D6">
              <w:rPr>
                <w:sz w:val="16"/>
                <w:szCs w:val="16"/>
              </w:rPr>
              <w:t>Mara</w:t>
            </w:r>
          </w:p>
        </w:tc>
        <w:tc>
          <w:tcPr>
            <w:tcW w:w="977" w:type="dxa"/>
            <w:tcBorders>
              <w:top w:val="nil"/>
              <w:left w:val="nil"/>
              <w:bottom w:val="nil"/>
              <w:right w:val="nil"/>
            </w:tcBorders>
            <w:shd w:val="clear" w:color="auto" w:fill="auto"/>
            <w:noWrap/>
            <w:vAlign w:val="center"/>
            <w:hideMark/>
          </w:tcPr>
          <w:p w14:paraId="0954F8C8" w14:textId="77777777" w:rsidR="008A1E55" w:rsidRPr="006B42D6" w:rsidRDefault="008A1E55" w:rsidP="00E16CAE">
            <w:pPr>
              <w:jc w:val="right"/>
              <w:rPr>
                <w:sz w:val="16"/>
                <w:szCs w:val="16"/>
              </w:rPr>
            </w:pPr>
            <w:r w:rsidRPr="006B42D6">
              <w:rPr>
                <w:sz w:val="16"/>
                <w:szCs w:val="16"/>
              </w:rPr>
              <w:t>2.4</w:t>
            </w:r>
          </w:p>
        </w:tc>
        <w:tc>
          <w:tcPr>
            <w:tcW w:w="826" w:type="dxa"/>
            <w:tcBorders>
              <w:top w:val="nil"/>
              <w:left w:val="nil"/>
              <w:bottom w:val="nil"/>
              <w:right w:val="nil"/>
            </w:tcBorders>
            <w:shd w:val="clear" w:color="auto" w:fill="auto"/>
            <w:noWrap/>
            <w:vAlign w:val="center"/>
            <w:hideMark/>
          </w:tcPr>
          <w:p w14:paraId="1BD8CF4D" w14:textId="77777777" w:rsidR="008A1E55" w:rsidRPr="006B42D6" w:rsidRDefault="008A1E55" w:rsidP="00E16CAE">
            <w:pPr>
              <w:jc w:val="right"/>
              <w:rPr>
                <w:sz w:val="16"/>
                <w:szCs w:val="16"/>
              </w:rPr>
            </w:pPr>
            <w:r w:rsidRPr="006B42D6">
              <w:rPr>
                <w:sz w:val="16"/>
                <w:szCs w:val="16"/>
              </w:rPr>
              <w:t>3.1</w:t>
            </w:r>
          </w:p>
        </w:tc>
        <w:tc>
          <w:tcPr>
            <w:tcW w:w="1008" w:type="dxa"/>
            <w:tcBorders>
              <w:top w:val="nil"/>
              <w:left w:val="nil"/>
              <w:bottom w:val="nil"/>
              <w:right w:val="nil"/>
            </w:tcBorders>
            <w:shd w:val="clear" w:color="auto" w:fill="auto"/>
            <w:noWrap/>
            <w:vAlign w:val="center"/>
            <w:hideMark/>
          </w:tcPr>
          <w:p w14:paraId="67956AC0" w14:textId="77777777" w:rsidR="008A1E55" w:rsidRPr="006B42D6" w:rsidRDefault="008A1E55" w:rsidP="00E16CAE">
            <w:pPr>
              <w:jc w:val="right"/>
              <w:rPr>
                <w:sz w:val="16"/>
                <w:szCs w:val="16"/>
              </w:rPr>
            </w:pPr>
            <w:r w:rsidRPr="006B42D6">
              <w:rPr>
                <w:sz w:val="16"/>
                <w:szCs w:val="16"/>
              </w:rPr>
              <w:t>1.6</w:t>
            </w:r>
          </w:p>
        </w:tc>
        <w:tc>
          <w:tcPr>
            <w:tcW w:w="979" w:type="dxa"/>
            <w:tcBorders>
              <w:top w:val="nil"/>
              <w:left w:val="nil"/>
              <w:bottom w:val="nil"/>
              <w:right w:val="nil"/>
            </w:tcBorders>
            <w:shd w:val="clear" w:color="auto" w:fill="auto"/>
            <w:noWrap/>
            <w:vAlign w:val="center"/>
            <w:hideMark/>
          </w:tcPr>
          <w:p w14:paraId="6A2D4747" w14:textId="77777777" w:rsidR="008A1E55" w:rsidRPr="006B42D6" w:rsidRDefault="008A1E55" w:rsidP="00E16CAE">
            <w:pPr>
              <w:jc w:val="right"/>
              <w:rPr>
                <w:sz w:val="16"/>
                <w:szCs w:val="16"/>
              </w:rPr>
            </w:pPr>
            <w:r w:rsidRPr="006B42D6">
              <w:rPr>
                <w:sz w:val="16"/>
                <w:szCs w:val="16"/>
              </w:rPr>
              <w:t>1.8</w:t>
            </w:r>
          </w:p>
        </w:tc>
        <w:tc>
          <w:tcPr>
            <w:tcW w:w="1086" w:type="dxa"/>
            <w:tcBorders>
              <w:top w:val="nil"/>
              <w:left w:val="nil"/>
              <w:bottom w:val="nil"/>
              <w:right w:val="nil"/>
            </w:tcBorders>
            <w:shd w:val="clear" w:color="auto" w:fill="auto"/>
            <w:noWrap/>
            <w:vAlign w:val="center"/>
            <w:hideMark/>
          </w:tcPr>
          <w:p w14:paraId="66144E79" w14:textId="77777777" w:rsidR="008A1E55" w:rsidRPr="006B42D6" w:rsidRDefault="008A1E55" w:rsidP="00E16CAE">
            <w:pPr>
              <w:jc w:val="right"/>
              <w:rPr>
                <w:sz w:val="16"/>
                <w:szCs w:val="16"/>
              </w:rPr>
            </w:pPr>
            <w:r w:rsidRPr="006B42D6">
              <w:rPr>
                <w:sz w:val="16"/>
                <w:szCs w:val="16"/>
              </w:rPr>
              <w:t>8.1</w:t>
            </w:r>
          </w:p>
        </w:tc>
        <w:tc>
          <w:tcPr>
            <w:tcW w:w="950" w:type="dxa"/>
            <w:tcBorders>
              <w:top w:val="nil"/>
              <w:left w:val="nil"/>
              <w:bottom w:val="nil"/>
              <w:right w:val="nil"/>
            </w:tcBorders>
            <w:shd w:val="clear" w:color="auto" w:fill="auto"/>
            <w:noWrap/>
            <w:vAlign w:val="center"/>
            <w:hideMark/>
          </w:tcPr>
          <w:p w14:paraId="34137670" w14:textId="77777777" w:rsidR="008A1E55" w:rsidRPr="006B42D6" w:rsidRDefault="008A1E55" w:rsidP="00E16CAE">
            <w:pPr>
              <w:jc w:val="right"/>
              <w:rPr>
                <w:sz w:val="16"/>
                <w:szCs w:val="16"/>
              </w:rPr>
            </w:pPr>
            <w:r w:rsidRPr="006B42D6">
              <w:rPr>
                <w:sz w:val="16"/>
                <w:szCs w:val="16"/>
              </w:rPr>
              <w:t>1.4</w:t>
            </w:r>
          </w:p>
        </w:tc>
        <w:tc>
          <w:tcPr>
            <w:tcW w:w="1039" w:type="dxa"/>
            <w:tcBorders>
              <w:top w:val="nil"/>
              <w:left w:val="nil"/>
              <w:bottom w:val="nil"/>
              <w:right w:val="nil"/>
            </w:tcBorders>
            <w:shd w:val="clear" w:color="auto" w:fill="auto"/>
            <w:noWrap/>
            <w:vAlign w:val="center"/>
            <w:hideMark/>
          </w:tcPr>
          <w:p w14:paraId="69B3718A" w14:textId="77777777" w:rsidR="008A1E55" w:rsidRPr="006B42D6" w:rsidRDefault="008A1E55" w:rsidP="00E16CAE">
            <w:pPr>
              <w:jc w:val="right"/>
              <w:rPr>
                <w:sz w:val="16"/>
                <w:szCs w:val="16"/>
              </w:rPr>
            </w:pPr>
            <w:r w:rsidRPr="006B42D6">
              <w:rPr>
                <w:sz w:val="16"/>
                <w:szCs w:val="16"/>
              </w:rPr>
              <w:t>3.4</w:t>
            </w:r>
          </w:p>
        </w:tc>
        <w:tc>
          <w:tcPr>
            <w:tcW w:w="932" w:type="dxa"/>
            <w:tcBorders>
              <w:top w:val="nil"/>
              <w:left w:val="nil"/>
              <w:bottom w:val="nil"/>
              <w:right w:val="nil"/>
            </w:tcBorders>
            <w:shd w:val="clear" w:color="auto" w:fill="auto"/>
            <w:noWrap/>
            <w:vAlign w:val="center"/>
            <w:hideMark/>
          </w:tcPr>
          <w:p w14:paraId="2417A695" w14:textId="77777777" w:rsidR="008A1E55" w:rsidRPr="006B42D6" w:rsidRDefault="008A1E55" w:rsidP="00E16CAE">
            <w:pPr>
              <w:jc w:val="right"/>
              <w:rPr>
                <w:sz w:val="16"/>
                <w:szCs w:val="16"/>
              </w:rPr>
            </w:pPr>
            <w:r w:rsidRPr="006B42D6">
              <w:rPr>
                <w:sz w:val="16"/>
                <w:szCs w:val="16"/>
              </w:rPr>
              <w:t>2.2</w:t>
            </w:r>
          </w:p>
        </w:tc>
        <w:tc>
          <w:tcPr>
            <w:tcW w:w="1030" w:type="dxa"/>
            <w:tcBorders>
              <w:top w:val="nil"/>
              <w:left w:val="nil"/>
              <w:bottom w:val="nil"/>
              <w:right w:val="nil"/>
            </w:tcBorders>
            <w:shd w:val="clear" w:color="auto" w:fill="auto"/>
            <w:noWrap/>
            <w:vAlign w:val="center"/>
            <w:hideMark/>
          </w:tcPr>
          <w:p w14:paraId="3A5E67BD" w14:textId="77777777" w:rsidR="008A1E55" w:rsidRPr="006B42D6" w:rsidRDefault="008A1E55" w:rsidP="00E16CAE">
            <w:pPr>
              <w:jc w:val="right"/>
              <w:rPr>
                <w:sz w:val="16"/>
                <w:szCs w:val="16"/>
              </w:rPr>
            </w:pPr>
            <w:r w:rsidRPr="006B42D6">
              <w:rPr>
                <w:sz w:val="16"/>
                <w:szCs w:val="16"/>
              </w:rPr>
              <w:t>-</w:t>
            </w:r>
          </w:p>
        </w:tc>
        <w:tc>
          <w:tcPr>
            <w:tcW w:w="905" w:type="dxa"/>
            <w:tcBorders>
              <w:top w:val="nil"/>
              <w:left w:val="nil"/>
              <w:bottom w:val="nil"/>
              <w:right w:val="nil"/>
            </w:tcBorders>
            <w:shd w:val="clear" w:color="auto" w:fill="auto"/>
            <w:noWrap/>
            <w:vAlign w:val="center"/>
            <w:hideMark/>
          </w:tcPr>
          <w:p w14:paraId="52BE8DAF" w14:textId="77777777" w:rsidR="008A1E55" w:rsidRPr="006B42D6" w:rsidRDefault="008A1E55" w:rsidP="00E16CAE">
            <w:pPr>
              <w:jc w:val="right"/>
              <w:rPr>
                <w:sz w:val="16"/>
                <w:szCs w:val="16"/>
              </w:rPr>
            </w:pPr>
            <w:r w:rsidRPr="006B42D6">
              <w:rPr>
                <w:sz w:val="16"/>
                <w:szCs w:val="16"/>
              </w:rPr>
              <w:t>-</w:t>
            </w:r>
          </w:p>
        </w:tc>
        <w:tc>
          <w:tcPr>
            <w:tcW w:w="998" w:type="dxa"/>
            <w:tcBorders>
              <w:top w:val="nil"/>
              <w:left w:val="nil"/>
              <w:bottom w:val="nil"/>
              <w:right w:val="nil"/>
            </w:tcBorders>
            <w:shd w:val="clear" w:color="auto" w:fill="auto"/>
            <w:noWrap/>
            <w:vAlign w:val="center"/>
            <w:hideMark/>
          </w:tcPr>
          <w:p w14:paraId="734E4C1C" w14:textId="77777777" w:rsidR="008A1E55" w:rsidRPr="006B42D6" w:rsidRDefault="008A1E55" w:rsidP="00E16CAE">
            <w:pPr>
              <w:jc w:val="right"/>
              <w:rPr>
                <w:sz w:val="16"/>
                <w:szCs w:val="16"/>
              </w:rPr>
            </w:pPr>
            <w:r w:rsidRPr="006B42D6">
              <w:rPr>
                <w:sz w:val="16"/>
                <w:szCs w:val="16"/>
              </w:rPr>
              <w:t>-</w:t>
            </w:r>
          </w:p>
        </w:tc>
        <w:tc>
          <w:tcPr>
            <w:tcW w:w="827" w:type="dxa"/>
            <w:tcBorders>
              <w:top w:val="nil"/>
              <w:left w:val="nil"/>
              <w:bottom w:val="nil"/>
              <w:right w:val="nil"/>
            </w:tcBorders>
            <w:shd w:val="clear" w:color="auto" w:fill="auto"/>
            <w:noWrap/>
            <w:vAlign w:val="center"/>
            <w:hideMark/>
          </w:tcPr>
          <w:p w14:paraId="1DCAD0B3" w14:textId="77777777" w:rsidR="008A1E55" w:rsidRPr="006B42D6" w:rsidRDefault="008A1E55" w:rsidP="00E16CAE">
            <w:pPr>
              <w:jc w:val="right"/>
              <w:rPr>
                <w:sz w:val="16"/>
                <w:szCs w:val="16"/>
              </w:rPr>
            </w:pPr>
            <w:r w:rsidRPr="006B42D6">
              <w:rPr>
                <w:sz w:val="16"/>
                <w:szCs w:val="16"/>
              </w:rPr>
              <w:t>5.6</w:t>
            </w:r>
          </w:p>
        </w:tc>
      </w:tr>
      <w:tr w:rsidR="006B42D6" w:rsidRPr="006B42D6" w14:paraId="065D5260" w14:textId="77777777" w:rsidTr="00143C67">
        <w:trPr>
          <w:trHeight w:hRule="exact" w:val="227"/>
        </w:trPr>
        <w:tc>
          <w:tcPr>
            <w:tcW w:w="1668" w:type="dxa"/>
            <w:tcBorders>
              <w:top w:val="nil"/>
              <w:left w:val="nil"/>
              <w:bottom w:val="nil"/>
              <w:right w:val="nil"/>
            </w:tcBorders>
            <w:shd w:val="clear" w:color="auto" w:fill="auto"/>
            <w:noWrap/>
            <w:vAlign w:val="center"/>
            <w:hideMark/>
          </w:tcPr>
          <w:p w14:paraId="289A089A" w14:textId="77777777" w:rsidR="008A1E55" w:rsidRPr="006B42D6" w:rsidRDefault="008A1E55" w:rsidP="00E16CAE">
            <w:pPr>
              <w:rPr>
                <w:sz w:val="16"/>
                <w:szCs w:val="16"/>
              </w:rPr>
            </w:pPr>
            <w:r w:rsidRPr="006B42D6">
              <w:rPr>
                <w:sz w:val="16"/>
                <w:szCs w:val="16"/>
              </w:rPr>
              <w:t>Manyara</w:t>
            </w:r>
          </w:p>
        </w:tc>
        <w:tc>
          <w:tcPr>
            <w:tcW w:w="977" w:type="dxa"/>
            <w:tcBorders>
              <w:top w:val="nil"/>
              <w:left w:val="nil"/>
              <w:bottom w:val="nil"/>
              <w:right w:val="nil"/>
            </w:tcBorders>
            <w:shd w:val="clear" w:color="auto" w:fill="auto"/>
            <w:noWrap/>
            <w:vAlign w:val="center"/>
            <w:hideMark/>
          </w:tcPr>
          <w:p w14:paraId="3848CD8B" w14:textId="77777777" w:rsidR="008A1E55" w:rsidRPr="006B42D6" w:rsidRDefault="008A1E55" w:rsidP="00E16CAE">
            <w:pPr>
              <w:jc w:val="right"/>
              <w:rPr>
                <w:sz w:val="16"/>
                <w:szCs w:val="16"/>
              </w:rPr>
            </w:pPr>
            <w:r w:rsidRPr="006B42D6">
              <w:rPr>
                <w:sz w:val="16"/>
                <w:szCs w:val="16"/>
              </w:rPr>
              <w:t>3.0</w:t>
            </w:r>
          </w:p>
        </w:tc>
        <w:tc>
          <w:tcPr>
            <w:tcW w:w="826" w:type="dxa"/>
            <w:tcBorders>
              <w:top w:val="nil"/>
              <w:left w:val="nil"/>
              <w:bottom w:val="nil"/>
              <w:right w:val="nil"/>
            </w:tcBorders>
            <w:shd w:val="clear" w:color="auto" w:fill="auto"/>
            <w:noWrap/>
            <w:vAlign w:val="center"/>
            <w:hideMark/>
          </w:tcPr>
          <w:p w14:paraId="5C021FEA" w14:textId="77777777" w:rsidR="008A1E55" w:rsidRPr="006B42D6" w:rsidRDefault="008A1E55" w:rsidP="00E16CAE">
            <w:pPr>
              <w:jc w:val="right"/>
              <w:rPr>
                <w:sz w:val="16"/>
                <w:szCs w:val="16"/>
              </w:rPr>
            </w:pPr>
            <w:r w:rsidRPr="006B42D6">
              <w:rPr>
                <w:sz w:val="16"/>
                <w:szCs w:val="16"/>
              </w:rPr>
              <w:t>5.6</w:t>
            </w:r>
          </w:p>
        </w:tc>
        <w:tc>
          <w:tcPr>
            <w:tcW w:w="1008" w:type="dxa"/>
            <w:tcBorders>
              <w:top w:val="nil"/>
              <w:left w:val="nil"/>
              <w:bottom w:val="nil"/>
              <w:right w:val="nil"/>
            </w:tcBorders>
            <w:shd w:val="clear" w:color="auto" w:fill="auto"/>
            <w:noWrap/>
            <w:vAlign w:val="center"/>
            <w:hideMark/>
          </w:tcPr>
          <w:p w14:paraId="588F4CB7" w14:textId="77777777" w:rsidR="008A1E55" w:rsidRPr="006B42D6" w:rsidRDefault="008A1E55" w:rsidP="00E16CAE">
            <w:pPr>
              <w:jc w:val="right"/>
              <w:rPr>
                <w:sz w:val="16"/>
                <w:szCs w:val="16"/>
              </w:rPr>
            </w:pPr>
            <w:r w:rsidRPr="006B42D6">
              <w:rPr>
                <w:sz w:val="16"/>
                <w:szCs w:val="16"/>
              </w:rPr>
              <w:t>0.4</w:t>
            </w:r>
          </w:p>
        </w:tc>
        <w:tc>
          <w:tcPr>
            <w:tcW w:w="979" w:type="dxa"/>
            <w:tcBorders>
              <w:top w:val="nil"/>
              <w:left w:val="nil"/>
              <w:bottom w:val="nil"/>
              <w:right w:val="nil"/>
            </w:tcBorders>
            <w:shd w:val="clear" w:color="auto" w:fill="auto"/>
            <w:noWrap/>
            <w:vAlign w:val="center"/>
            <w:hideMark/>
          </w:tcPr>
          <w:p w14:paraId="0C7EFA3A" w14:textId="77777777" w:rsidR="008A1E55" w:rsidRPr="006B42D6" w:rsidRDefault="008A1E55" w:rsidP="00E16CAE">
            <w:pPr>
              <w:jc w:val="right"/>
              <w:rPr>
                <w:sz w:val="16"/>
                <w:szCs w:val="16"/>
              </w:rPr>
            </w:pPr>
            <w:r w:rsidRPr="006B42D6">
              <w:rPr>
                <w:sz w:val="16"/>
                <w:szCs w:val="16"/>
              </w:rPr>
              <w:t>3.8</w:t>
            </w:r>
          </w:p>
        </w:tc>
        <w:tc>
          <w:tcPr>
            <w:tcW w:w="1086" w:type="dxa"/>
            <w:tcBorders>
              <w:top w:val="nil"/>
              <w:left w:val="nil"/>
              <w:bottom w:val="nil"/>
              <w:right w:val="nil"/>
            </w:tcBorders>
            <w:shd w:val="clear" w:color="auto" w:fill="auto"/>
            <w:noWrap/>
            <w:vAlign w:val="center"/>
            <w:hideMark/>
          </w:tcPr>
          <w:p w14:paraId="7E522C34" w14:textId="77777777" w:rsidR="008A1E55" w:rsidRPr="006B42D6" w:rsidRDefault="008A1E55" w:rsidP="00E16CAE">
            <w:pPr>
              <w:jc w:val="right"/>
              <w:rPr>
                <w:sz w:val="16"/>
                <w:szCs w:val="16"/>
              </w:rPr>
            </w:pPr>
            <w:r w:rsidRPr="006B42D6">
              <w:rPr>
                <w:sz w:val="16"/>
                <w:szCs w:val="16"/>
              </w:rPr>
              <w:t>12.2</w:t>
            </w:r>
          </w:p>
        </w:tc>
        <w:tc>
          <w:tcPr>
            <w:tcW w:w="950" w:type="dxa"/>
            <w:tcBorders>
              <w:top w:val="nil"/>
              <w:left w:val="nil"/>
              <w:bottom w:val="nil"/>
              <w:right w:val="nil"/>
            </w:tcBorders>
            <w:shd w:val="clear" w:color="auto" w:fill="auto"/>
            <w:noWrap/>
            <w:vAlign w:val="center"/>
            <w:hideMark/>
          </w:tcPr>
          <w:p w14:paraId="3176BC61" w14:textId="77777777" w:rsidR="008A1E55" w:rsidRPr="006B42D6" w:rsidRDefault="008A1E55" w:rsidP="00E16CAE">
            <w:pPr>
              <w:jc w:val="right"/>
              <w:rPr>
                <w:sz w:val="16"/>
                <w:szCs w:val="16"/>
              </w:rPr>
            </w:pPr>
            <w:r w:rsidRPr="006B42D6">
              <w:rPr>
                <w:sz w:val="16"/>
                <w:szCs w:val="16"/>
              </w:rPr>
              <w:t>2.2</w:t>
            </w:r>
          </w:p>
        </w:tc>
        <w:tc>
          <w:tcPr>
            <w:tcW w:w="1039" w:type="dxa"/>
            <w:tcBorders>
              <w:top w:val="nil"/>
              <w:left w:val="nil"/>
              <w:bottom w:val="nil"/>
              <w:right w:val="nil"/>
            </w:tcBorders>
            <w:shd w:val="clear" w:color="auto" w:fill="auto"/>
            <w:noWrap/>
            <w:vAlign w:val="center"/>
            <w:hideMark/>
          </w:tcPr>
          <w:p w14:paraId="3325A7E3" w14:textId="77777777" w:rsidR="008A1E55" w:rsidRPr="006B42D6" w:rsidRDefault="008A1E55" w:rsidP="00E16CAE">
            <w:pPr>
              <w:jc w:val="right"/>
              <w:rPr>
                <w:sz w:val="16"/>
                <w:szCs w:val="16"/>
              </w:rPr>
            </w:pPr>
            <w:r w:rsidRPr="006B42D6">
              <w:rPr>
                <w:sz w:val="16"/>
                <w:szCs w:val="16"/>
              </w:rPr>
              <w:t>3.8</w:t>
            </w:r>
          </w:p>
        </w:tc>
        <w:tc>
          <w:tcPr>
            <w:tcW w:w="932" w:type="dxa"/>
            <w:tcBorders>
              <w:top w:val="nil"/>
              <w:left w:val="nil"/>
              <w:bottom w:val="nil"/>
              <w:right w:val="nil"/>
            </w:tcBorders>
            <w:shd w:val="clear" w:color="auto" w:fill="auto"/>
            <w:noWrap/>
            <w:vAlign w:val="center"/>
            <w:hideMark/>
          </w:tcPr>
          <w:p w14:paraId="46A6705A" w14:textId="77777777" w:rsidR="008A1E55" w:rsidRPr="006B42D6" w:rsidRDefault="008A1E55" w:rsidP="00E16CAE">
            <w:pPr>
              <w:jc w:val="right"/>
              <w:rPr>
                <w:sz w:val="16"/>
                <w:szCs w:val="16"/>
              </w:rPr>
            </w:pPr>
            <w:r w:rsidRPr="006B42D6">
              <w:rPr>
                <w:sz w:val="16"/>
                <w:szCs w:val="16"/>
              </w:rPr>
              <w:t>8.0</w:t>
            </w:r>
          </w:p>
        </w:tc>
        <w:tc>
          <w:tcPr>
            <w:tcW w:w="1030" w:type="dxa"/>
            <w:tcBorders>
              <w:top w:val="nil"/>
              <w:left w:val="nil"/>
              <w:bottom w:val="nil"/>
              <w:right w:val="nil"/>
            </w:tcBorders>
            <w:shd w:val="clear" w:color="auto" w:fill="auto"/>
            <w:noWrap/>
            <w:vAlign w:val="center"/>
            <w:hideMark/>
          </w:tcPr>
          <w:p w14:paraId="7A311212" w14:textId="77777777" w:rsidR="008A1E55" w:rsidRPr="006B42D6" w:rsidRDefault="008A1E55" w:rsidP="00E16CAE">
            <w:pPr>
              <w:jc w:val="right"/>
              <w:rPr>
                <w:sz w:val="16"/>
                <w:szCs w:val="16"/>
              </w:rPr>
            </w:pPr>
            <w:r w:rsidRPr="006B42D6">
              <w:rPr>
                <w:sz w:val="16"/>
                <w:szCs w:val="16"/>
              </w:rPr>
              <w:t>4.8</w:t>
            </w:r>
          </w:p>
        </w:tc>
        <w:tc>
          <w:tcPr>
            <w:tcW w:w="905" w:type="dxa"/>
            <w:tcBorders>
              <w:top w:val="nil"/>
              <w:left w:val="nil"/>
              <w:bottom w:val="nil"/>
              <w:right w:val="nil"/>
            </w:tcBorders>
            <w:shd w:val="clear" w:color="auto" w:fill="auto"/>
            <w:noWrap/>
            <w:vAlign w:val="center"/>
            <w:hideMark/>
          </w:tcPr>
          <w:p w14:paraId="478F3386" w14:textId="77777777" w:rsidR="008A1E55" w:rsidRPr="006B42D6" w:rsidRDefault="008A1E55" w:rsidP="00E16CAE">
            <w:pPr>
              <w:jc w:val="right"/>
              <w:rPr>
                <w:sz w:val="16"/>
                <w:szCs w:val="16"/>
              </w:rPr>
            </w:pPr>
            <w:r w:rsidRPr="006B42D6">
              <w:rPr>
                <w:sz w:val="16"/>
                <w:szCs w:val="16"/>
              </w:rPr>
              <w:t>-</w:t>
            </w:r>
          </w:p>
        </w:tc>
        <w:tc>
          <w:tcPr>
            <w:tcW w:w="998" w:type="dxa"/>
            <w:tcBorders>
              <w:top w:val="nil"/>
              <w:left w:val="nil"/>
              <w:bottom w:val="nil"/>
              <w:right w:val="nil"/>
            </w:tcBorders>
            <w:shd w:val="clear" w:color="auto" w:fill="auto"/>
            <w:noWrap/>
            <w:vAlign w:val="center"/>
            <w:hideMark/>
          </w:tcPr>
          <w:p w14:paraId="5BB8869A" w14:textId="77777777" w:rsidR="008A1E55" w:rsidRPr="006B42D6" w:rsidRDefault="008A1E55" w:rsidP="00E16CAE">
            <w:pPr>
              <w:jc w:val="right"/>
              <w:rPr>
                <w:sz w:val="16"/>
                <w:szCs w:val="16"/>
              </w:rPr>
            </w:pPr>
            <w:r w:rsidRPr="006B42D6">
              <w:rPr>
                <w:sz w:val="16"/>
                <w:szCs w:val="16"/>
              </w:rPr>
              <w:t>-</w:t>
            </w:r>
          </w:p>
        </w:tc>
        <w:tc>
          <w:tcPr>
            <w:tcW w:w="827" w:type="dxa"/>
            <w:tcBorders>
              <w:top w:val="nil"/>
              <w:left w:val="nil"/>
              <w:bottom w:val="nil"/>
              <w:right w:val="nil"/>
            </w:tcBorders>
            <w:shd w:val="clear" w:color="auto" w:fill="auto"/>
            <w:noWrap/>
            <w:vAlign w:val="center"/>
            <w:hideMark/>
          </w:tcPr>
          <w:p w14:paraId="5110A380" w14:textId="77777777" w:rsidR="008A1E55" w:rsidRPr="006B42D6" w:rsidRDefault="008A1E55" w:rsidP="00E16CAE">
            <w:pPr>
              <w:jc w:val="right"/>
              <w:rPr>
                <w:sz w:val="16"/>
                <w:szCs w:val="16"/>
              </w:rPr>
            </w:pPr>
            <w:r w:rsidRPr="006B42D6">
              <w:rPr>
                <w:sz w:val="16"/>
                <w:szCs w:val="16"/>
              </w:rPr>
              <w:t>1.7</w:t>
            </w:r>
          </w:p>
        </w:tc>
      </w:tr>
      <w:tr w:rsidR="006B42D6" w:rsidRPr="006B42D6" w14:paraId="1BF3FFA6" w14:textId="77777777" w:rsidTr="00143C67">
        <w:trPr>
          <w:trHeight w:hRule="exact" w:val="227"/>
        </w:trPr>
        <w:tc>
          <w:tcPr>
            <w:tcW w:w="1668" w:type="dxa"/>
            <w:tcBorders>
              <w:top w:val="nil"/>
              <w:left w:val="nil"/>
              <w:bottom w:val="nil"/>
              <w:right w:val="nil"/>
            </w:tcBorders>
            <w:shd w:val="clear" w:color="auto" w:fill="auto"/>
            <w:noWrap/>
            <w:vAlign w:val="center"/>
            <w:hideMark/>
          </w:tcPr>
          <w:p w14:paraId="452DDD6E" w14:textId="77777777" w:rsidR="008A1E55" w:rsidRPr="006B42D6" w:rsidRDefault="008A1E55" w:rsidP="00E16CAE">
            <w:pPr>
              <w:rPr>
                <w:sz w:val="16"/>
                <w:szCs w:val="16"/>
              </w:rPr>
            </w:pPr>
            <w:r w:rsidRPr="006B42D6">
              <w:rPr>
                <w:sz w:val="16"/>
                <w:szCs w:val="16"/>
              </w:rPr>
              <w:t>Njombe</w:t>
            </w:r>
          </w:p>
        </w:tc>
        <w:tc>
          <w:tcPr>
            <w:tcW w:w="977" w:type="dxa"/>
            <w:tcBorders>
              <w:top w:val="nil"/>
              <w:left w:val="nil"/>
              <w:bottom w:val="nil"/>
              <w:right w:val="nil"/>
            </w:tcBorders>
            <w:shd w:val="clear" w:color="auto" w:fill="auto"/>
            <w:noWrap/>
            <w:vAlign w:val="center"/>
            <w:hideMark/>
          </w:tcPr>
          <w:p w14:paraId="0B94936A" w14:textId="77777777" w:rsidR="008A1E55" w:rsidRPr="006B42D6" w:rsidRDefault="008A1E55" w:rsidP="00E16CAE">
            <w:pPr>
              <w:jc w:val="right"/>
              <w:rPr>
                <w:sz w:val="16"/>
                <w:szCs w:val="16"/>
              </w:rPr>
            </w:pPr>
            <w:r w:rsidRPr="006B42D6">
              <w:rPr>
                <w:sz w:val="16"/>
                <w:szCs w:val="16"/>
              </w:rPr>
              <w:t>1.2</w:t>
            </w:r>
          </w:p>
        </w:tc>
        <w:tc>
          <w:tcPr>
            <w:tcW w:w="826" w:type="dxa"/>
            <w:tcBorders>
              <w:top w:val="nil"/>
              <w:left w:val="nil"/>
              <w:bottom w:val="nil"/>
              <w:right w:val="nil"/>
            </w:tcBorders>
            <w:shd w:val="clear" w:color="auto" w:fill="auto"/>
            <w:noWrap/>
            <w:vAlign w:val="center"/>
            <w:hideMark/>
          </w:tcPr>
          <w:p w14:paraId="5DE803CD" w14:textId="77777777" w:rsidR="008A1E55" w:rsidRPr="006B42D6" w:rsidRDefault="008A1E55" w:rsidP="00E16CAE">
            <w:pPr>
              <w:jc w:val="right"/>
              <w:rPr>
                <w:sz w:val="16"/>
                <w:szCs w:val="16"/>
              </w:rPr>
            </w:pPr>
            <w:r w:rsidRPr="006B42D6">
              <w:rPr>
                <w:sz w:val="16"/>
                <w:szCs w:val="16"/>
              </w:rPr>
              <w:t>3.2</w:t>
            </w:r>
          </w:p>
        </w:tc>
        <w:tc>
          <w:tcPr>
            <w:tcW w:w="1008" w:type="dxa"/>
            <w:tcBorders>
              <w:top w:val="nil"/>
              <w:left w:val="nil"/>
              <w:bottom w:val="nil"/>
              <w:right w:val="nil"/>
            </w:tcBorders>
            <w:shd w:val="clear" w:color="auto" w:fill="auto"/>
            <w:noWrap/>
            <w:vAlign w:val="center"/>
            <w:hideMark/>
          </w:tcPr>
          <w:p w14:paraId="28E6B574" w14:textId="77777777" w:rsidR="008A1E55" w:rsidRPr="006B42D6" w:rsidRDefault="008A1E55" w:rsidP="00E16CAE">
            <w:pPr>
              <w:jc w:val="right"/>
              <w:rPr>
                <w:sz w:val="16"/>
                <w:szCs w:val="16"/>
              </w:rPr>
            </w:pPr>
            <w:r w:rsidRPr="006B42D6">
              <w:rPr>
                <w:sz w:val="16"/>
                <w:szCs w:val="16"/>
              </w:rPr>
              <w:t>0.3</w:t>
            </w:r>
          </w:p>
        </w:tc>
        <w:tc>
          <w:tcPr>
            <w:tcW w:w="979" w:type="dxa"/>
            <w:tcBorders>
              <w:top w:val="nil"/>
              <w:left w:val="nil"/>
              <w:bottom w:val="nil"/>
              <w:right w:val="nil"/>
            </w:tcBorders>
            <w:shd w:val="clear" w:color="auto" w:fill="auto"/>
            <w:noWrap/>
            <w:vAlign w:val="center"/>
            <w:hideMark/>
          </w:tcPr>
          <w:p w14:paraId="35CBDEC9" w14:textId="77777777" w:rsidR="008A1E55" w:rsidRPr="006B42D6" w:rsidRDefault="008A1E55" w:rsidP="00E16CAE">
            <w:pPr>
              <w:jc w:val="right"/>
              <w:rPr>
                <w:sz w:val="16"/>
                <w:szCs w:val="16"/>
              </w:rPr>
            </w:pPr>
            <w:r w:rsidRPr="006B42D6">
              <w:rPr>
                <w:sz w:val="16"/>
                <w:szCs w:val="16"/>
              </w:rPr>
              <w:t>0.3</w:t>
            </w:r>
          </w:p>
        </w:tc>
        <w:tc>
          <w:tcPr>
            <w:tcW w:w="1086" w:type="dxa"/>
            <w:tcBorders>
              <w:top w:val="nil"/>
              <w:left w:val="nil"/>
              <w:bottom w:val="nil"/>
              <w:right w:val="nil"/>
            </w:tcBorders>
            <w:shd w:val="clear" w:color="auto" w:fill="auto"/>
            <w:noWrap/>
            <w:vAlign w:val="center"/>
            <w:hideMark/>
          </w:tcPr>
          <w:p w14:paraId="692E8EF9" w14:textId="77777777" w:rsidR="008A1E55" w:rsidRPr="006B42D6" w:rsidRDefault="008A1E55" w:rsidP="00E16CAE">
            <w:pPr>
              <w:jc w:val="right"/>
              <w:rPr>
                <w:sz w:val="16"/>
                <w:szCs w:val="16"/>
              </w:rPr>
            </w:pPr>
            <w:r w:rsidRPr="006B42D6">
              <w:rPr>
                <w:sz w:val="16"/>
                <w:szCs w:val="16"/>
              </w:rPr>
              <w:t>2.3</w:t>
            </w:r>
          </w:p>
        </w:tc>
        <w:tc>
          <w:tcPr>
            <w:tcW w:w="950" w:type="dxa"/>
            <w:tcBorders>
              <w:top w:val="nil"/>
              <w:left w:val="nil"/>
              <w:bottom w:val="nil"/>
              <w:right w:val="nil"/>
            </w:tcBorders>
            <w:shd w:val="clear" w:color="auto" w:fill="auto"/>
            <w:noWrap/>
            <w:vAlign w:val="center"/>
            <w:hideMark/>
          </w:tcPr>
          <w:p w14:paraId="3A2FCB03" w14:textId="77777777" w:rsidR="008A1E55" w:rsidRPr="006B42D6" w:rsidRDefault="008A1E55" w:rsidP="00E16CAE">
            <w:pPr>
              <w:jc w:val="right"/>
              <w:rPr>
                <w:sz w:val="16"/>
                <w:szCs w:val="16"/>
              </w:rPr>
            </w:pPr>
            <w:r w:rsidRPr="006B42D6">
              <w:rPr>
                <w:sz w:val="16"/>
                <w:szCs w:val="16"/>
              </w:rPr>
              <w:t>1.0</w:t>
            </w:r>
          </w:p>
        </w:tc>
        <w:tc>
          <w:tcPr>
            <w:tcW w:w="1039" w:type="dxa"/>
            <w:tcBorders>
              <w:top w:val="nil"/>
              <w:left w:val="nil"/>
              <w:bottom w:val="nil"/>
              <w:right w:val="nil"/>
            </w:tcBorders>
            <w:shd w:val="clear" w:color="auto" w:fill="auto"/>
            <w:noWrap/>
            <w:vAlign w:val="center"/>
            <w:hideMark/>
          </w:tcPr>
          <w:p w14:paraId="568C02C9" w14:textId="77777777" w:rsidR="008A1E55" w:rsidRPr="006B42D6" w:rsidRDefault="008A1E55" w:rsidP="00E16CAE">
            <w:pPr>
              <w:jc w:val="right"/>
              <w:rPr>
                <w:sz w:val="16"/>
                <w:szCs w:val="16"/>
              </w:rPr>
            </w:pPr>
            <w:r w:rsidRPr="006B42D6">
              <w:rPr>
                <w:sz w:val="16"/>
                <w:szCs w:val="16"/>
              </w:rPr>
              <w:t>2.4</w:t>
            </w:r>
          </w:p>
        </w:tc>
        <w:tc>
          <w:tcPr>
            <w:tcW w:w="932" w:type="dxa"/>
            <w:tcBorders>
              <w:top w:val="nil"/>
              <w:left w:val="nil"/>
              <w:bottom w:val="nil"/>
              <w:right w:val="nil"/>
            </w:tcBorders>
            <w:shd w:val="clear" w:color="auto" w:fill="auto"/>
            <w:noWrap/>
            <w:vAlign w:val="center"/>
            <w:hideMark/>
          </w:tcPr>
          <w:p w14:paraId="5453CAE9" w14:textId="77777777" w:rsidR="008A1E55" w:rsidRPr="006B42D6" w:rsidRDefault="008A1E55" w:rsidP="00E16CAE">
            <w:pPr>
              <w:jc w:val="right"/>
              <w:rPr>
                <w:sz w:val="16"/>
                <w:szCs w:val="16"/>
              </w:rPr>
            </w:pPr>
            <w:r w:rsidRPr="006B42D6">
              <w:rPr>
                <w:sz w:val="16"/>
                <w:szCs w:val="16"/>
              </w:rPr>
              <w:t>-</w:t>
            </w:r>
          </w:p>
        </w:tc>
        <w:tc>
          <w:tcPr>
            <w:tcW w:w="1030" w:type="dxa"/>
            <w:tcBorders>
              <w:top w:val="nil"/>
              <w:left w:val="nil"/>
              <w:bottom w:val="nil"/>
              <w:right w:val="nil"/>
            </w:tcBorders>
            <w:shd w:val="clear" w:color="auto" w:fill="auto"/>
            <w:noWrap/>
            <w:vAlign w:val="center"/>
            <w:hideMark/>
          </w:tcPr>
          <w:p w14:paraId="2D9C2A15" w14:textId="77777777" w:rsidR="008A1E55" w:rsidRPr="006B42D6" w:rsidRDefault="008A1E55" w:rsidP="00E16CAE">
            <w:pPr>
              <w:jc w:val="right"/>
              <w:rPr>
                <w:sz w:val="16"/>
                <w:szCs w:val="16"/>
              </w:rPr>
            </w:pPr>
            <w:r w:rsidRPr="006B42D6">
              <w:rPr>
                <w:sz w:val="16"/>
                <w:szCs w:val="16"/>
              </w:rPr>
              <w:t>-</w:t>
            </w:r>
          </w:p>
        </w:tc>
        <w:tc>
          <w:tcPr>
            <w:tcW w:w="905" w:type="dxa"/>
            <w:tcBorders>
              <w:top w:val="nil"/>
              <w:left w:val="nil"/>
              <w:bottom w:val="nil"/>
              <w:right w:val="nil"/>
            </w:tcBorders>
            <w:shd w:val="clear" w:color="auto" w:fill="auto"/>
            <w:noWrap/>
            <w:vAlign w:val="center"/>
            <w:hideMark/>
          </w:tcPr>
          <w:p w14:paraId="5B072E82" w14:textId="77777777" w:rsidR="008A1E55" w:rsidRPr="006B42D6" w:rsidRDefault="008A1E55" w:rsidP="00E16CAE">
            <w:pPr>
              <w:jc w:val="right"/>
              <w:rPr>
                <w:sz w:val="16"/>
                <w:szCs w:val="16"/>
              </w:rPr>
            </w:pPr>
            <w:r w:rsidRPr="006B42D6">
              <w:rPr>
                <w:sz w:val="16"/>
                <w:szCs w:val="16"/>
              </w:rPr>
              <w:t>-</w:t>
            </w:r>
          </w:p>
        </w:tc>
        <w:tc>
          <w:tcPr>
            <w:tcW w:w="998" w:type="dxa"/>
            <w:tcBorders>
              <w:top w:val="nil"/>
              <w:left w:val="nil"/>
              <w:bottom w:val="nil"/>
              <w:right w:val="nil"/>
            </w:tcBorders>
            <w:shd w:val="clear" w:color="auto" w:fill="auto"/>
            <w:noWrap/>
            <w:vAlign w:val="center"/>
            <w:hideMark/>
          </w:tcPr>
          <w:p w14:paraId="3D902AFC" w14:textId="77777777" w:rsidR="008A1E55" w:rsidRPr="006B42D6" w:rsidRDefault="008A1E55" w:rsidP="00E16CAE">
            <w:pPr>
              <w:jc w:val="right"/>
              <w:rPr>
                <w:sz w:val="16"/>
                <w:szCs w:val="16"/>
              </w:rPr>
            </w:pPr>
            <w:r w:rsidRPr="006B42D6">
              <w:rPr>
                <w:sz w:val="16"/>
                <w:szCs w:val="16"/>
              </w:rPr>
              <w:t>-</w:t>
            </w:r>
          </w:p>
        </w:tc>
        <w:tc>
          <w:tcPr>
            <w:tcW w:w="827" w:type="dxa"/>
            <w:tcBorders>
              <w:top w:val="nil"/>
              <w:left w:val="nil"/>
              <w:bottom w:val="nil"/>
              <w:right w:val="nil"/>
            </w:tcBorders>
            <w:shd w:val="clear" w:color="auto" w:fill="auto"/>
            <w:noWrap/>
            <w:vAlign w:val="center"/>
            <w:hideMark/>
          </w:tcPr>
          <w:p w14:paraId="5ECDE5C1" w14:textId="77777777" w:rsidR="008A1E55" w:rsidRPr="006B42D6" w:rsidRDefault="008A1E55" w:rsidP="00E16CAE">
            <w:pPr>
              <w:jc w:val="right"/>
              <w:rPr>
                <w:sz w:val="16"/>
                <w:szCs w:val="16"/>
              </w:rPr>
            </w:pPr>
            <w:r w:rsidRPr="006B42D6">
              <w:rPr>
                <w:sz w:val="16"/>
                <w:szCs w:val="16"/>
              </w:rPr>
              <w:t>-</w:t>
            </w:r>
          </w:p>
        </w:tc>
      </w:tr>
      <w:tr w:rsidR="006B42D6" w:rsidRPr="006B42D6" w14:paraId="7C725EF1" w14:textId="77777777" w:rsidTr="00143C67">
        <w:trPr>
          <w:trHeight w:hRule="exact" w:val="227"/>
        </w:trPr>
        <w:tc>
          <w:tcPr>
            <w:tcW w:w="1668" w:type="dxa"/>
            <w:tcBorders>
              <w:top w:val="nil"/>
              <w:left w:val="nil"/>
              <w:bottom w:val="nil"/>
              <w:right w:val="nil"/>
            </w:tcBorders>
            <w:shd w:val="clear" w:color="auto" w:fill="auto"/>
            <w:noWrap/>
            <w:vAlign w:val="center"/>
            <w:hideMark/>
          </w:tcPr>
          <w:p w14:paraId="7AA3314F" w14:textId="77777777" w:rsidR="008A1E55" w:rsidRPr="006B42D6" w:rsidRDefault="008A1E55" w:rsidP="00E16CAE">
            <w:pPr>
              <w:rPr>
                <w:sz w:val="16"/>
                <w:szCs w:val="16"/>
              </w:rPr>
            </w:pPr>
            <w:r w:rsidRPr="006B42D6">
              <w:rPr>
                <w:sz w:val="16"/>
                <w:szCs w:val="16"/>
              </w:rPr>
              <w:t>Katavi</w:t>
            </w:r>
          </w:p>
        </w:tc>
        <w:tc>
          <w:tcPr>
            <w:tcW w:w="977" w:type="dxa"/>
            <w:tcBorders>
              <w:top w:val="nil"/>
              <w:left w:val="nil"/>
              <w:bottom w:val="nil"/>
              <w:right w:val="nil"/>
            </w:tcBorders>
            <w:shd w:val="clear" w:color="auto" w:fill="auto"/>
            <w:noWrap/>
            <w:vAlign w:val="center"/>
            <w:hideMark/>
          </w:tcPr>
          <w:p w14:paraId="61A791C4" w14:textId="77777777" w:rsidR="008A1E55" w:rsidRPr="006B42D6" w:rsidRDefault="008A1E55" w:rsidP="00E16CAE">
            <w:pPr>
              <w:jc w:val="right"/>
              <w:rPr>
                <w:sz w:val="16"/>
                <w:szCs w:val="16"/>
              </w:rPr>
            </w:pPr>
            <w:r w:rsidRPr="006B42D6">
              <w:rPr>
                <w:sz w:val="16"/>
                <w:szCs w:val="16"/>
              </w:rPr>
              <w:t>0.3</w:t>
            </w:r>
          </w:p>
        </w:tc>
        <w:tc>
          <w:tcPr>
            <w:tcW w:w="826" w:type="dxa"/>
            <w:tcBorders>
              <w:top w:val="nil"/>
              <w:left w:val="nil"/>
              <w:bottom w:val="nil"/>
              <w:right w:val="nil"/>
            </w:tcBorders>
            <w:shd w:val="clear" w:color="auto" w:fill="auto"/>
            <w:noWrap/>
            <w:vAlign w:val="center"/>
            <w:hideMark/>
          </w:tcPr>
          <w:p w14:paraId="749005F5" w14:textId="77777777" w:rsidR="008A1E55" w:rsidRPr="006B42D6" w:rsidRDefault="008A1E55" w:rsidP="00E16CAE">
            <w:pPr>
              <w:jc w:val="right"/>
              <w:rPr>
                <w:sz w:val="16"/>
                <w:szCs w:val="16"/>
              </w:rPr>
            </w:pPr>
            <w:r w:rsidRPr="006B42D6">
              <w:rPr>
                <w:sz w:val="16"/>
                <w:szCs w:val="16"/>
              </w:rPr>
              <w:t>1.3</w:t>
            </w:r>
          </w:p>
        </w:tc>
        <w:tc>
          <w:tcPr>
            <w:tcW w:w="1008" w:type="dxa"/>
            <w:tcBorders>
              <w:top w:val="nil"/>
              <w:left w:val="nil"/>
              <w:bottom w:val="nil"/>
              <w:right w:val="nil"/>
            </w:tcBorders>
            <w:shd w:val="clear" w:color="auto" w:fill="auto"/>
            <w:noWrap/>
            <w:vAlign w:val="center"/>
            <w:hideMark/>
          </w:tcPr>
          <w:p w14:paraId="54418E93" w14:textId="77777777" w:rsidR="008A1E55" w:rsidRPr="006B42D6" w:rsidRDefault="008A1E55" w:rsidP="00E16CAE">
            <w:pPr>
              <w:jc w:val="right"/>
              <w:rPr>
                <w:sz w:val="16"/>
                <w:szCs w:val="16"/>
              </w:rPr>
            </w:pPr>
            <w:r w:rsidRPr="006B42D6">
              <w:rPr>
                <w:sz w:val="16"/>
                <w:szCs w:val="16"/>
              </w:rPr>
              <w:t>-</w:t>
            </w:r>
          </w:p>
        </w:tc>
        <w:tc>
          <w:tcPr>
            <w:tcW w:w="979" w:type="dxa"/>
            <w:tcBorders>
              <w:top w:val="nil"/>
              <w:left w:val="nil"/>
              <w:bottom w:val="nil"/>
              <w:right w:val="nil"/>
            </w:tcBorders>
            <w:shd w:val="clear" w:color="auto" w:fill="auto"/>
            <w:noWrap/>
            <w:vAlign w:val="center"/>
            <w:hideMark/>
          </w:tcPr>
          <w:p w14:paraId="72077FEE" w14:textId="77777777" w:rsidR="008A1E55" w:rsidRPr="006B42D6" w:rsidRDefault="008A1E55" w:rsidP="00E16CAE">
            <w:pPr>
              <w:jc w:val="right"/>
              <w:rPr>
                <w:sz w:val="16"/>
                <w:szCs w:val="16"/>
              </w:rPr>
            </w:pPr>
            <w:r w:rsidRPr="006B42D6">
              <w:rPr>
                <w:sz w:val="16"/>
                <w:szCs w:val="16"/>
              </w:rPr>
              <w:t>0.2</w:t>
            </w:r>
          </w:p>
        </w:tc>
        <w:tc>
          <w:tcPr>
            <w:tcW w:w="1086" w:type="dxa"/>
            <w:tcBorders>
              <w:top w:val="nil"/>
              <w:left w:val="nil"/>
              <w:bottom w:val="nil"/>
              <w:right w:val="nil"/>
            </w:tcBorders>
            <w:shd w:val="clear" w:color="auto" w:fill="auto"/>
            <w:noWrap/>
            <w:vAlign w:val="center"/>
            <w:hideMark/>
          </w:tcPr>
          <w:p w14:paraId="24C3C832" w14:textId="77777777" w:rsidR="008A1E55" w:rsidRPr="006B42D6" w:rsidRDefault="008A1E55" w:rsidP="00E16CAE">
            <w:pPr>
              <w:jc w:val="right"/>
              <w:rPr>
                <w:sz w:val="16"/>
                <w:szCs w:val="16"/>
              </w:rPr>
            </w:pPr>
            <w:r w:rsidRPr="006B42D6">
              <w:rPr>
                <w:sz w:val="16"/>
                <w:szCs w:val="16"/>
              </w:rPr>
              <w:t>-</w:t>
            </w:r>
          </w:p>
        </w:tc>
        <w:tc>
          <w:tcPr>
            <w:tcW w:w="950" w:type="dxa"/>
            <w:tcBorders>
              <w:top w:val="nil"/>
              <w:left w:val="nil"/>
              <w:bottom w:val="nil"/>
              <w:right w:val="nil"/>
            </w:tcBorders>
            <w:shd w:val="clear" w:color="auto" w:fill="auto"/>
            <w:noWrap/>
            <w:vAlign w:val="center"/>
            <w:hideMark/>
          </w:tcPr>
          <w:p w14:paraId="05E3EE06" w14:textId="77777777" w:rsidR="008A1E55" w:rsidRPr="006B42D6" w:rsidRDefault="008A1E55" w:rsidP="00E16CAE">
            <w:pPr>
              <w:jc w:val="right"/>
              <w:rPr>
                <w:sz w:val="16"/>
                <w:szCs w:val="16"/>
              </w:rPr>
            </w:pPr>
            <w:r w:rsidRPr="006B42D6">
              <w:rPr>
                <w:sz w:val="16"/>
                <w:szCs w:val="16"/>
              </w:rPr>
              <w:t>1.9</w:t>
            </w:r>
          </w:p>
        </w:tc>
        <w:tc>
          <w:tcPr>
            <w:tcW w:w="1039" w:type="dxa"/>
            <w:tcBorders>
              <w:top w:val="nil"/>
              <w:left w:val="nil"/>
              <w:bottom w:val="nil"/>
              <w:right w:val="nil"/>
            </w:tcBorders>
            <w:shd w:val="clear" w:color="auto" w:fill="auto"/>
            <w:noWrap/>
            <w:vAlign w:val="center"/>
            <w:hideMark/>
          </w:tcPr>
          <w:p w14:paraId="142F1714" w14:textId="77777777" w:rsidR="008A1E55" w:rsidRPr="006B42D6" w:rsidRDefault="008A1E55" w:rsidP="00E16CAE">
            <w:pPr>
              <w:jc w:val="right"/>
              <w:rPr>
                <w:sz w:val="16"/>
                <w:szCs w:val="16"/>
              </w:rPr>
            </w:pPr>
            <w:r w:rsidRPr="006B42D6">
              <w:rPr>
                <w:sz w:val="16"/>
                <w:szCs w:val="16"/>
              </w:rPr>
              <w:t>0.9</w:t>
            </w:r>
          </w:p>
        </w:tc>
        <w:tc>
          <w:tcPr>
            <w:tcW w:w="932" w:type="dxa"/>
            <w:tcBorders>
              <w:top w:val="nil"/>
              <w:left w:val="nil"/>
              <w:bottom w:val="nil"/>
              <w:right w:val="nil"/>
            </w:tcBorders>
            <w:shd w:val="clear" w:color="auto" w:fill="auto"/>
            <w:noWrap/>
            <w:vAlign w:val="center"/>
            <w:hideMark/>
          </w:tcPr>
          <w:p w14:paraId="6D9504E6" w14:textId="77777777" w:rsidR="008A1E55" w:rsidRPr="006B42D6" w:rsidRDefault="008A1E55" w:rsidP="00E16CAE">
            <w:pPr>
              <w:jc w:val="right"/>
              <w:rPr>
                <w:sz w:val="16"/>
                <w:szCs w:val="16"/>
              </w:rPr>
            </w:pPr>
            <w:r w:rsidRPr="006B42D6">
              <w:rPr>
                <w:sz w:val="16"/>
                <w:szCs w:val="16"/>
              </w:rPr>
              <w:t>0.6</w:t>
            </w:r>
          </w:p>
        </w:tc>
        <w:tc>
          <w:tcPr>
            <w:tcW w:w="1030" w:type="dxa"/>
            <w:tcBorders>
              <w:top w:val="nil"/>
              <w:left w:val="nil"/>
              <w:bottom w:val="nil"/>
              <w:right w:val="nil"/>
            </w:tcBorders>
            <w:shd w:val="clear" w:color="auto" w:fill="auto"/>
            <w:noWrap/>
            <w:vAlign w:val="center"/>
            <w:hideMark/>
          </w:tcPr>
          <w:p w14:paraId="08E9D2F6" w14:textId="77777777" w:rsidR="008A1E55" w:rsidRPr="006B42D6" w:rsidRDefault="008A1E55" w:rsidP="00E16CAE">
            <w:pPr>
              <w:jc w:val="right"/>
              <w:rPr>
                <w:sz w:val="16"/>
                <w:szCs w:val="16"/>
              </w:rPr>
            </w:pPr>
            <w:r w:rsidRPr="006B42D6">
              <w:rPr>
                <w:sz w:val="16"/>
                <w:szCs w:val="16"/>
              </w:rPr>
              <w:t>-</w:t>
            </w:r>
          </w:p>
        </w:tc>
        <w:tc>
          <w:tcPr>
            <w:tcW w:w="905" w:type="dxa"/>
            <w:tcBorders>
              <w:top w:val="nil"/>
              <w:left w:val="nil"/>
              <w:bottom w:val="nil"/>
              <w:right w:val="nil"/>
            </w:tcBorders>
            <w:shd w:val="clear" w:color="auto" w:fill="auto"/>
            <w:noWrap/>
            <w:vAlign w:val="center"/>
            <w:hideMark/>
          </w:tcPr>
          <w:p w14:paraId="0D4ECDF5" w14:textId="77777777" w:rsidR="008A1E55" w:rsidRPr="006B42D6" w:rsidRDefault="008A1E55" w:rsidP="00E16CAE">
            <w:pPr>
              <w:jc w:val="right"/>
              <w:rPr>
                <w:sz w:val="16"/>
                <w:szCs w:val="16"/>
              </w:rPr>
            </w:pPr>
            <w:r w:rsidRPr="006B42D6">
              <w:rPr>
                <w:sz w:val="16"/>
                <w:szCs w:val="16"/>
              </w:rPr>
              <w:t>-</w:t>
            </w:r>
          </w:p>
        </w:tc>
        <w:tc>
          <w:tcPr>
            <w:tcW w:w="998" w:type="dxa"/>
            <w:tcBorders>
              <w:top w:val="nil"/>
              <w:left w:val="nil"/>
              <w:bottom w:val="nil"/>
              <w:right w:val="nil"/>
            </w:tcBorders>
            <w:shd w:val="clear" w:color="auto" w:fill="auto"/>
            <w:noWrap/>
            <w:vAlign w:val="center"/>
            <w:hideMark/>
          </w:tcPr>
          <w:p w14:paraId="233FF863" w14:textId="77777777" w:rsidR="008A1E55" w:rsidRPr="006B42D6" w:rsidRDefault="008A1E55" w:rsidP="00E16CAE">
            <w:pPr>
              <w:jc w:val="right"/>
              <w:rPr>
                <w:sz w:val="16"/>
                <w:szCs w:val="16"/>
              </w:rPr>
            </w:pPr>
            <w:r w:rsidRPr="006B42D6">
              <w:rPr>
                <w:sz w:val="16"/>
                <w:szCs w:val="16"/>
              </w:rPr>
              <w:t>-</w:t>
            </w:r>
          </w:p>
        </w:tc>
        <w:tc>
          <w:tcPr>
            <w:tcW w:w="827" w:type="dxa"/>
            <w:tcBorders>
              <w:top w:val="nil"/>
              <w:left w:val="nil"/>
              <w:bottom w:val="nil"/>
              <w:right w:val="nil"/>
            </w:tcBorders>
            <w:shd w:val="clear" w:color="auto" w:fill="auto"/>
            <w:noWrap/>
            <w:vAlign w:val="center"/>
            <w:hideMark/>
          </w:tcPr>
          <w:p w14:paraId="6828B345" w14:textId="77777777" w:rsidR="008A1E55" w:rsidRPr="006B42D6" w:rsidRDefault="008A1E55" w:rsidP="00E16CAE">
            <w:pPr>
              <w:jc w:val="right"/>
              <w:rPr>
                <w:sz w:val="16"/>
                <w:szCs w:val="16"/>
              </w:rPr>
            </w:pPr>
            <w:r w:rsidRPr="006B42D6">
              <w:rPr>
                <w:sz w:val="16"/>
                <w:szCs w:val="16"/>
              </w:rPr>
              <w:t>0.5</w:t>
            </w:r>
          </w:p>
        </w:tc>
      </w:tr>
      <w:tr w:rsidR="006B42D6" w:rsidRPr="006B42D6" w14:paraId="34AE53D4" w14:textId="77777777" w:rsidTr="00143C67">
        <w:trPr>
          <w:trHeight w:hRule="exact" w:val="227"/>
        </w:trPr>
        <w:tc>
          <w:tcPr>
            <w:tcW w:w="1668" w:type="dxa"/>
            <w:tcBorders>
              <w:top w:val="nil"/>
              <w:left w:val="nil"/>
              <w:bottom w:val="nil"/>
              <w:right w:val="nil"/>
            </w:tcBorders>
            <w:shd w:val="clear" w:color="auto" w:fill="auto"/>
            <w:noWrap/>
            <w:vAlign w:val="center"/>
            <w:hideMark/>
          </w:tcPr>
          <w:p w14:paraId="4AB12D93" w14:textId="77777777" w:rsidR="008A1E55" w:rsidRPr="006B42D6" w:rsidRDefault="008A1E55" w:rsidP="00E16CAE">
            <w:pPr>
              <w:rPr>
                <w:sz w:val="16"/>
                <w:szCs w:val="16"/>
              </w:rPr>
            </w:pPr>
            <w:r w:rsidRPr="006B42D6">
              <w:rPr>
                <w:sz w:val="16"/>
                <w:szCs w:val="16"/>
              </w:rPr>
              <w:t>Simiyu</w:t>
            </w:r>
          </w:p>
        </w:tc>
        <w:tc>
          <w:tcPr>
            <w:tcW w:w="977" w:type="dxa"/>
            <w:tcBorders>
              <w:top w:val="nil"/>
              <w:left w:val="nil"/>
              <w:bottom w:val="nil"/>
              <w:right w:val="nil"/>
            </w:tcBorders>
            <w:shd w:val="clear" w:color="auto" w:fill="auto"/>
            <w:noWrap/>
            <w:vAlign w:val="center"/>
            <w:hideMark/>
          </w:tcPr>
          <w:p w14:paraId="0A2E3B25" w14:textId="77777777" w:rsidR="008A1E55" w:rsidRPr="006B42D6" w:rsidRDefault="008A1E55" w:rsidP="00E16CAE">
            <w:pPr>
              <w:jc w:val="right"/>
              <w:rPr>
                <w:sz w:val="16"/>
                <w:szCs w:val="16"/>
              </w:rPr>
            </w:pPr>
            <w:r w:rsidRPr="006B42D6">
              <w:rPr>
                <w:sz w:val="16"/>
                <w:szCs w:val="16"/>
              </w:rPr>
              <w:t>1.6</w:t>
            </w:r>
          </w:p>
        </w:tc>
        <w:tc>
          <w:tcPr>
            <w:tcW w:w="826" w:type="dxa"/>
            <w:tcBorders>
              <w:top w:val="nil"/>
              <w:left w:val="nil"/>
              <w:bottom w:val="nil"/>
              <w:right w:val="nil"/>
            </w:tcBorders>
            <w:shd w:val="clear" w:color="auto" w:fill="auto"/>
            <w:noWrap/>
            <w:vAlign w:val="center"/>
            <w:hideMark/>
          </w:tcPr>
          <w:p w14:paraId="2A9FACA5" w14:textId="77777777" w:rsidR="008A1E55" w:rsidRPr="006B42D6" w:rsidRDefault="008A1E55" w:rsidP="00E16CAE">
            <w:pPr>
              <w:jc w:val="right"/>
              <w:rPr>
                <w:sz w:val="16"/>
                <w:szCs w:val="16"/>
              </w:rPr>
            </w:pPr>
            <w:r w:rsidRPr="006B42D6">
              <w:rPr>
                <w:sz w:val="16"/>
                <w:szCs w:val="16"/>
              </w:rPr>
              <w:t>3.2</w:t>
            </w:r>
          </w:p>
        </w:tc>
        <w:tc>
          <w:tcPr>
            <w:tcW w:w="1008" w:type="dxa"/>
            <w:tcBorders>
              <w:top w:val="nil"/>
              <w:left w:val="nil"/>
              <w:bottom w:val="nil"/>
              <w:right w:val="nil"/>
            </w:tcBorders>
            <w:shd w:val="clear" w:color="auto" w:fill="auto"/>
            <w:noWrap/>
            <w:vAlign w:val="center"/>
            <w:hideMark/>
          </w:tcPr>
          <w:p w14:paraId="4AAF043E" w14:textId="77777777" w:rsidR="008A1E55" w:rsidRPr="006B42D6" w:rsidRDefault="008A1E55" w:rsidP="00E16CAE">
            <w:pPr>
              <w:jc w:val="right"/>
              <w:rPr>
                <w:sz w:val="16"/>
                <w:szCs w:val="16"/>
              </w:rPr>
            </w:pPr>
            <w:r w:rsidRPr="006B42D6">
              <w:rPr>
                <w:sz w:val="16"/>
                <w:szCs w:val="16"/>
              </w:rPr>
              <w:t>1.0</w:t>
            </w:r>
          </w:p>
        </w:tc>
        <w:tc>
          <w:tcPr>
            <w:tcW w:w="979" w:type="dxa"/>
            <w:tcBorders>
              <w:top w:val="nil"/>
              <w:left w:val="nil"/>
              <w:bottom w:val="nil"/>
              <w:right w:val="nil"/>
            </w:tcBorders>
            <w:shd w:val="clear" w:color="auto" w:fill="auto"/>
            <w:noWrap/>
            <w:vAlign w:val="center"/>
            <w:hideMark/>
          </w:tcPr>
          <w:p w14:paraId="3742913F" w14:textId="77777777" w:rsidR="008A1E55" w:rsidRPr="006B42D6" w:rsidRDefault="008A1E55" w:rsidP="00E16CAE">
            <w:pPr>
              <w:jc w:val="right"/>
              <w:rPr>
                <w:sz w:val="16"/>
                <w:szCs w:val="16"/>
              </w:rPr>
            </w:pPr>
            <w:r w:rsidRPr="006B42D6">
              <w:rPr>
                <w:sz w:val="16"/>
                <w:szCs w:val="16"/>
              </w:rPr>
              <w:t>0.3</w:t>
            </w:r>
          </w:p>
        </w:tc>
        <w:tc>
          <w:tcPr>
            <w:tcW w:w="1086" w:type="dxa"/>
            <w:tcBorders>
              <w:top w:val="nil"/>
              <w:left w:val="nil"/>
              <w:bottom w:val="nil"/>
              <w:right w:val="nil"/>
            </w:tcBorders>
            <w:shd w:val="clear" w:color="auto" w:fill="auto"/>
            <w:noWrap/>
            <w:vAlign w:val="center"/>
            <w:hideMark/>
          </w:tcPr>
          <w:p w14:paraId="0FCAE5BF" w14:textId="77777777" w:rsidR="008A1E55" w:rsidRPr="006B42D6" w:rsidRDefault="008A1E55" w:rsidP="00E16CAE">
            <w:pPr>
              <w:jc w:val="right"/>
              <w:rPr>
                <w:sz w:val="16"/>
                <w:szCs w:val="16"/>
              </w:rPr>
            </w:pPr>
            <w:r w:rsidRPr="006B42D6">
              <w:rPr>
                <w:sz w:val="16"/>
                <w:szCs w:val="16"/>
              </w:rPr>
              <w:t>-</w:t>
            </w:r>
          </w:p>
        </w:tc>
        <w:tc>
          <w:tcPr>
            <w:tcW w:w="950" w:type="dxa"/>
            <w:tcBorders>
              <w:top w:val="nil"/>
              <w:left w:val="nil"/>
              <w:bottom w:val="nil"/>
              <w:right w:val="nil"/>
            </w:tcBorders>
            <w:shd w:val="clear" w:color="auto" w:fill="auto"/>
            <w:noWrap/>
            <w:vAlign w:val="center"/>
            <w:hideMark/>
          </w:tcPr>
          <w:p w14:paraId="75DC8B47" w14:textId="77777777" w:rsidR="008A1E55" w:rsidRPr="006B42D6" w:rsidRDefault="008A1E55" w:rsidP="00E16CAE">
            <w:pPr>
              <w:jc w:val="right"/>
              <w:rPr>
                <w:sz w:val="16"/>
                <w:szCs w:val="16"/>
              </w:rPr>
            </w:pPr>
            <w:r w:rsidRPr="006B42D6">
              <w:rPr>
                <w:sz w:val="16"/>
                <w:szCs w:val="16"/>
              </w:rPr>
              <w:t>1.0</w:t>
            </w:r>
          </w:p>
        </w:tc>
        <w:tc>
          <w:tcPr>
            <w:tcW w:w="1039" w:type="dxa"/>
            <w:tcBorders>
              <w:top w:val="nil"/>
              <w:left w:val="nil"/>
              <w:bottom w:val="nil"/>
              <w:right w:val="nil"/>
            </w:tcBorders>
            <w:shd w:val="clear" w:color="auto" w:fill="auto"/>
            <w:noWrap/>
            <w:vAlign w:val="center"/>
            <w:hideMark/>
          </w:tcPr>
          <w:p w14:paraId="28D81A28" w14:textId="77777777" w:rsidR="008A1E55" w:rsidRPr="006B42D6" w:rsidRDefault="008A1E55" w:rsidP="00E16CAE">
            <w:pPr>
              <w:jc w:val="right"/>
              <w:rPr>
                <w:sz w:val="16"/>
                <w:szCs w:val="16"/>
              </w:rPr>
            </w:pPr>
            <w:r w:rsidRPr="006B42D6">
              <w:rPr>
                <w:sz w:val="16"/>
                <w:szCs w:val="16"/>
              </w:rPr>
              <w:t>2.7</w:t>
            </w:r>
          </w:p>
        </w:tc>
        <w:tc>
          <w:tcPr>
            <w:tcW w:w="932" w:type="dxa"/>
            <w:tcBorders>
              <w:top w:val="nil"/>
              <w:left w:val="nil"/>
              <w:bottom w:val="nil"/>
              <w:right w:val="nil"/>
            </w:tcBorders>
            <w:shd w:val="clear" w:color="auto" w:fill="auto"/>
            <w:noWrap/>
            <w:vAlign w:val="center"/>
            <w:hideMark/>
          </w:tcPr>
          <w:p w14:paraId="057031A6" w14:textId="77777777" w:rsidR="008A1E55" w:rsidRPr="006B42D6" w:rsidRDefault="008A1E55" w:rsidP="00E16CAE">
            <w:pPr>
              <w:jc w:val="right"/>
              <w:rPr>
                <w:sz w:val="16"/>
                <w:szCs w:val="16"/>
              </w:rPr>
            </w:pPr>
            <w:r w:rsidRPr="006B42D6">
              <w:rPr>
                <w:sz w:val="16"/>
                <w:szCs w:val="16"/>
              </w:rPr>
              <w:t>0.9</w:t>
            </w:r>
          </w:p>
        </w:tc>
        <w:tc>
          <w:tcPr>
            <w:tcW w:w="1030" w:type="dxa"/>
            <w:tcBorders>
              <w:top w:val="nil"/>
              <w:left w:val="nil"/>
              <w:bottom w:val="nil"/>
              <w:right w:val="nil"/>
            </w:tcBorders>
            <w:shd w:val="clear" w:color="auto" w:fill="auto"/>
            <w:noWrap/>
            <w:vAlign w:val="center"/>
            <w:hideMark/>
          </w:tcPr>
          <w:p w14:paraId="3C2D5ADD" w14:textId="77777777" w:rsidR="008A1E55" w:rsidRPr="006B42D6" w:rsidRDefault="008A1E55" w:rsidP="00E16CAE">
            <w:pPr>
              <w:jc w:val="right"/>
              <w:rPr>
                <w:sz w:val="16"/>
                <w:szCs w:val="16"/>
              </w:rPr>
            </w:pPr>
            <w:r w:rsidRPr="006B42D6">
              <w:rPr>
                <w:sz w:val="16"/>
                <w:szCs w:val="16"/>
              </w:rPr>
              <w:t>9.4</w:t>
            </w:r>
          </w:p>
        </w:tc>
        <w:tc>
          <w:tcPr>
            <w:tcW w:w="905" w:type="dxa"/>
            <w:tcBorders>
              <w:top w:val="nil"/>
              <w:left w:val="nil"/>
              <w:bottom w:val="nil"/>
              <w:right w:val="nil"/>
            </w:tcBorders>
            <w:shd w:val="clear" w:color="auto" w:fill="auto"/>
            <w:noWrap/>
            <w:vAlign w:val="center"/>
            <w:hideMark/>
          </w:tcPr>
          <w:p w14:paraId="3303948C" w14:textId="77777777" w:rsidR="008A1E55" w:rsidRPr="006B42D6" w:rsidRDefault="008A1E55" w:rsidP="00E16CAE">
            <w:pPr>
              <w:jc w:val="right"/>
              <w:rPr>
                <w:sz w:val="16"/>
                <w:szCs w:val="16"/>
              </w:rPr>
            </w:pPr>
            <w:r w:rsidRPr="006B42D6">
              <w:rPr>
                <w:sz w:val="16"/>
                <w:szCs w:val="16"/>
              </w:rPr>
              <w:t>-</w:t>
            </w:r>
          </w:p>
        </w:tc>
        <w:tc>
          <w:tcPr>
            <w:tcW w:w="998" w:type="dxa"/>
            <w:tcBorders>
              <w:top w:val="nil"/>
              <w:left w:val="nil"/>
              <w:bottom w:val="nil"/>
              <w:right w:val="nil"/>
            </w:tcBorders>
            <w:shd w:val="clear" w:color="auto" w:fill="auto"/>
            <w:noWrap/>
            <w:vAlign w:val="center"/>
            <w:hideMark/>
          </w:tcPr>
          <w:p w14:paraId="2B66848B" w14:textId="77777777" w:rsidR="008A1E55" w:rsidRPr="006B42D6" w:rsidRDefault="008A1E55" w:rsidP="00E16CAE">
            <w:pPr>
              <w:jc w:val="right"/>
              <w:rPr>
                <w:sz w:val="16"/>
                <w:szCs w:val="16"/>
              </w:rPr>
            </w:pPr>
            <w:r w:rsidRPr="006B42D6">
              <w:rPr>
                <w:sz w:val="16"/>
                <w:szCs w:val="16"/>
              </w:rPr>
              <w:t>-</w:t>
            </w:r>
          </w:p>
        </w:tc>
        <w:tc>
          <w:tcPr>
            <w:tcW w:w="827" w:type="dxa"/>
            <w:tcBorders>
              <w:top w:val="nil"/>
              <w:left w:val="nil"/>
              <w:bottom w:val="nil"/>
              <w:right w:val="nil"/>
            </w:tcBorders>
            <w:shd w:val="clear" w:color="auto" w:fill="auto"/>
            <w:noWrap/>
            <w:vAlign w:val="center"/>
            <w:hideMark/>
          </w:tcPr>
          <w:p w14:paraId="16F79F7E" w14:textId="77777777" w:rsidR="008A1E55" w:rsidRPr="006B42D6" w:rsidRDefault="008A1E55" w:rsidP="00E16CAE">
            <w:pPr>
              <w:jc w:val="right"/>
              <w:rPr>
                <w:sz w:val="16"/>
                <w:szCs w:val="16"/>
              </w:rPr>
            </w:pPr>
            <w:r w:rsidRPr="006B42D6">
              <w:rPr>
                <w:sz w:val="16"/>
                <w:szCs w:val="16"/>
              </w:rPr>
              <w:t>10.9</w:t>
            </w:r>
          </w:p>
        </w:tc>
      </w:tr>
      <w:tr w:rsidR="006B42D6" w:rsidRPr="006B42D6" w14:paraId="67EB883F" w14:textId="77777777" w:rsidTr="00143C67">
        <w:trPr>
          <w:trHeight w:hRule="exact" w:val="227"/>
        </w:trPr>
        <w:tc>
          <w:tcPr>
            <w:tcW w:w="1668" w:type="dxa"/>
            <w:tcBorders>
              <w:top w:val="nil"/>
              <w:left w:val="nil"/>
              <w:bottom w:val="nil"/>
              <w:right w:val="nil"/>
            </w:tcBorders>
            <w:shd w:val="clear" w:color="auto" w:fill="auto"/>
            <w:noWrap/>
            <w:vAlign w:val="center"/>
            <w:hideMark/>
          </w:tcPr>
          <w:p w14:paraId="1ED2C88E" w14:textId="77777777" w:rsidR="008A1E55" w:rsidRPr="006B42D6" w:rsidRDefault="008A1E55" w:rsidP="00E16CAE">
            <w:pPr>
              <w:rPr>
                <w:sz w:val="16"/>
                <w:szCs w:val="16"/>
              </w:rPr>
            </w:pPr>
            <w:r w:rsidRPr="006B42D6">
              <w:rPr>
                <w:sz w:val="16"/>
                <w:szCs w:val="16"/>
              </w:rPr>
              <w:t>Geita</w:t>
            </w:r>
          </w:p>
        </w:tc>
        <w:tc>
          <w:tcPr>
            <w:tcW w:w="977" w:type="dxa"/>
            <w:tcBorders>
              <w:top w:val="nil"/>
              <w:left w:val="nil"/>
              <w:bottom w:val="nil"/>
              <w:right w:val="nil"/>
            </w:tcBorders>
            <w:shd w:val="clear" w:color="auto" w:fill="auto"/>
            <w:noWrap/>
            <w:vAlign w:val="center"/>
            <w:hideMark/>
          </w:tcPr>
          <w:p w14:paraId="1764AF94" w14:textId="77777777" w:rsidR="008A1E55" w:rsidRPr="006B42D6" w:rsidRDefault="008A1E55" w:rsidP="00E16CAE">
            <w:pPr>
              <w:jc w:val="right"/>
              <w:rPr>
                <w:sz w:val="16"/>
                <w:szCs w:val="16"/>
              </w:rPr>
            </w:pPr>
            <w:r w:rsidRPr="006B42D6">
              <w:rPr>
                <w:sz w:val="16"/>
                <w:szCs w:val="16"/>
              </w:rPr>
              <w:t>0.9</w:t>
            </w:r>
          </w:p>
        </w:tc>
        <w:tc>
          <w:tcPr>
            <w:tcW w:w="826" w:type="dxa"/>
            <w:tcBorders>
              <w:top w:val="nil"/>
              <w:left w:val="nil"/>
              <w:bottom w:val="nil"/>
              <w:right w:val="nil"/>
            </w:tcBorders>
            <w:shd w:val="clear" w:color="auto" w:fill="auto"/>
            <w:noWrap/>
            <w:vAlign w:val="center"/>
            <w:hideMark/>
          </w:tcPr>
          <w:p w14:paraId="0CB078E4" w14:textId="77777777" w:rsidR="008A1E55" w:rsidRPr="006B42D6" w:rsidRDefault="008A1E55" w:rsidP="00E16CAE">
            <w:pPr>
              <w:jc w:val="right"/>
              <w:rPr>
                <w:sz w:val="16"/>
                <w:szCs w:val="16"/>
              </w:rPr>
            </w:pPr>
            <w:r w:rsidRPr="006B42D6">
              <w:rPr>
                <w:sz w:val="16"/>
                <w:szCs w:val="16"/>
              </w:rPr>
              <w:t>0.8</w:t>
            </w:r>
          </w:p>
        </w:tc>
        <w:tc>
          <w:tcPr>
            <w:tcW w:w="1008" w:type="dxa"/>
            <w:tcBorders>
              <w:top w:val="nil"/>
              <w:left w:val="nil"/>
              <w:bottom w:val="nil"/>
              <w:right w:val="nil"/>
            </w:tcBorders>
            <w:shd w:val="clear" w:color="auto" w:fill="auto"/>
            <w:noWrap/>
            <w:vAlign w:val="center"/>
            <w:hideMark/>
          </w:tcPr>
          <w:p w14:paraId="691A782D" w14:textId="77777777" w:rsidR="008A1E55" w:rsidRPr="006B42D6" w:rsidRDefault="008A1E55" w:rsidP="00E16CAE">
            <w:pPr>
              <w:jc w:val="right"/>
              <w:rPr>
                <w:sz w:val="16"/>
                <w:szCs w:val="16"/>
              </w:rPr>
            </w:pPr>
            <w:r w:rsidRPr="006B42D6">
              <w:rPr>
                <w:sz w:val="16"/>
                <w:szCs w:val="16"/>
              </w:rPr>
              <w:t>0.9</w:t>
            </w:r>
          </w:p>
        </w:tc>
        <w:tc>
          <w:tcPr>
            <w:tcW w:w="979" w:type="dxa"/>
            <w:tcBorders>
              <w:top w:val="nil"/>
              <w:left w:val="nil"/>
              <w:bottom w:val="nil"/>
              <w:right w:val="nil"/>
            </w:tcBorders>
            <w:shd w:val="clear" w:color="auto" w:fill="auto"/>
            <w:noWrap/>
            <w:vAlign w:val="center"/>
            <w:hideMark/>
          </w:tcPr>
          <w:p w14:paraId="37813CC7" w14:textId="77777777" w:rsidR="008A1E55" w:rsidRPr="006B42D6" w:rsidRDefault="008A1E55" w:rsidP="00E16CAE">
            <w:pPr>
              <w:jc w:val="right"/>
              <w:rPr>
                <w:sz w:val="16"/>
                <w:szCs w:val="16"/>
              </w:rPr>
            </w:pPr>
            <w:r w:rsidRPr="006B42D6">
              <w:rPr>
                <w:sz w:val="16"/>
                <w:szCs w:val="16"/>
              </w:rPr>
              <w:t>0.2</w:t>
            </w:r>
          </w:p>
        </w:tc>
        <w:tc>
          <w:tcPr>
            <w:tcW w:w="1086" w:type="dxa"/>
            <w:tcBorders>
              <w:top w:val="nil"/>
              <w:left w:val="nil"/>
              <w:bottom w:val="nil"/>
              <w:right w:val="nil"/>
            </w:tcBorders>
            <w:shd w:val="clear" w:color="auto" w:fill="auto"/>
            <w:noWrap/>
            <w:vAlign w:val="center"/>
            <w:hideMark/>
          </w:tcPr>
          <w:p w14:paraId="74055D61" w14:textId="77777777" w:rsidR="008A1E55" w:rsidRPr="006B42D6" w:rsidRDefault="008A1E55" w:rsidP="00E16CAE">
            <w:pPr>
              <w:jc w:val="right"/>
              <w:rPr>
                <w:sz w:val="16"/>
                <w:szCs w:val="16"/>
              </w:rPr>
            </w:pPr>
            <w:r w:rsidRPr="006B42D6">
              <w:rPr>
                <w:sz w:val="16"/>
                <w:szCs w:val="16"/>
              </w:rPr>
              <w:t>-</w:t>
            </w:r>
          </w:p>
        </w:tc>
        <w:tc>
          <w:tcPr>
            <w:tcW w:w="950" w:type="dxa"/>
            <w:tcBorders>
              <w:top w:val="nil"/>
              <w:left w:val="nil"/>
              <w:bottom w:val="nil"/>
              <w:right w:val="nil"/>
            </w:tcBorders>
            <w:shd w:val="clear" w:color="auto" w:fill="auto"/>
            <w:noWrap/>
            <w:vAlign w:val="center"/>
            <w:hideMark/>
          </w:tcPr>
          <w:p w14:paraId="0CDC5032" w14:textId="77777777" w:rsidR="008A1E55" w:rsidRPr="006B42D6" w:rsidRDefault="008A1E55" w:rsidP="00E16CAE">
            <w:pPr>
              <w:jc w:val="right"/>
              <w:rPr>
                <w:sz w:val="16"/>
                <w:szCs w:val="16"/>
              </w:rPr>
            </w:pPr>
            <w:r w:rsidRPr="006B42D6">
              <w:rPr>
                <w:sz w:val="16"/>
                <w:szCs w:val="16"/>
              </w:rPr>
              <w:t>4.0</w:t>
            </w:r>
          </w:p>
        </w:tc>
        <w:tc>
          <w:tcPr>
            <w:tcW w:w="1039" w:type="dxa"/>
            <w:tcBorders>
              <w:top w:val="nil"/>
              <w:left w:val="nil"/>
              <w:bottom w:val="nil"/>
              <w:right w:val="nil"/>
            </w:tcBorders>
            <w:shd w:val="clear" w:color="auto" w:fill="auto"/>
            <w:noWrap/>
            <w:vAlign w:val="center"/>
            <w:hideMark/>
          </w:tcPr>
          <w:p w14:paraId="7AFD4EAD" w14:textId="77777777" w:rsidR="008A1E55" w:rsidRPr="006B42D6" w:rsidRDefault="008A1E55" w:rsidP="00E16CAE">
            <w:pPr>
              <w:jc w:val="right"/>
              <w:rPr>
                <w:sz w:val="16"/>
                <w:szCs w:val="16"/>
              </w:rPr>
            </w:pPr>
            <w:r w:rsidRPr="006B42D6">
              <w:rPr>
                <w:sz w:val="16"/>
                <w:szCs w:val="16"/>
              </w:rPr>
              <w:t>3.5</w:t>
            </w:r>
          </w:p>
        </w:tc>
        <w:tc>
          <w:tcPr>
            <w:tcW w:w="932" w:type="dxa"/>
            <w:tcBorders>
              <w:top w:val="nil"/>
              <w:left w:val="nil"/>
              <w:bottom w:val="nil"/>
              <w:right w:val="nil"/>
            </w:tcBorders>
            <w:shd w:val="clear" w:color="auto" w:fill="auto"/>
            <w:noWrap/>
            <w:vAlign w:val="center"/>
            <w:hideMark/>
          </w:tcPr>
          <w:p w14:paraId="62C02BBF" w14:textId="77777777" w:rsidR="008A1E55" w:rsidRPr="006B42D6" w:rsidRDefault="008A1E55" w:rsidP="00E16CAE">
            <w:pPr>
              <w:jc w:val="right"/>
              <w:rPr>
                <w:sz w:val="16"/>
                <w:szCs w:val="16"/>
              </w:rPr>
            </w:pPr>
            <w:r w:rsidRPr="006B42D6">
              <w:rPr>
                <w:sz w:val="16"/>
                <w:szCs w:val="16"/>
              </w:rPr>
              <w:t>-</w:t>
            </w:r>
          </w:p>
        </w:tc>
        <w:tc>
          <w:tcPr>
            <w:tcW w:w="1030" w:type="dxa"/>
            <w:tcBorders>
              <w:top w:val="nil"/>
              <w:left w:val="nil"/>
              <w:bottom w:val="nil"/>
              <w:right w:val="nil"/>
            </w:tcBorders>
            <w:shd w:val="clear" w:color="auto" w:fill="auto"/>
            <w:noWrap/>
            <w:vAlign w:val="center"/>
            <w:hideMark/>
          </w:tcPr>
          <w:p w14:paraId="015B239E" w14:textId="77777777" w:rsidR="008A1E55" w:rsidRPr="006B42D6" w:rsidRDefault="008A1E55" w:rsidP="00E16CAE">
            <w:pPr>
              <w:jc w:val="right"/>
              <w:rPr>
                <w:sz w:val="16"/>
                <w:szCs w:val="16"/>
              </w:rPr>
            </w:pPr>
            <w:r w:rsidRPr="006B42D6">
              <w:rPr>
                <w:sz w:val="16"/>
                <w:szCs w:val="16"/>
              </w:rPr>
              <w:t>-</w:t>
            </w:r>
          </w:p>
        </w:tc>
        <w:tc>
          <w:tcPr>
            <w:tcW w:w="905" w:type="dxa"/>
            <w:tcBorders>
              <w:top w:val="nil"/>
              <w:left w:val="nil"/>
              <w:bottom w:val="nil"/>
              <w:right w:val="nil"/>
            </w:tcBorders>
            <w:shd w:val="clear" w:color="auto" w:fill="auto"/>
            <w:noWrap/>
            <w:vAlign w:val="center"/>
            <w:hideMark/>
          </w:tcPr>
          <w:p w14:paraId="20722716" w14:textId="77777777" w:rsidR="008A1E55" w:rsidRPr="006B42D6" w:rsidRDefault="008A1E55" w:rsidP="00E16CAE">
            <w:pPr>
              <w:jc w:val="right"/>
              <w:rPr>
                <w:sz w:val="16"/>
                <w:szCs w:val="16"/>
              </w:rPr>
            </w:pPr>
            <w:r w:rsidRPr="006B42D6">
              <w:rPr>
                <w:sz w:val="16"/>
                <w:szCs w:val="16"/>
              </w:rPr>
              <w:t>-</w:t>
            </w:r>
          </w:p>
        </w:tc>
        <w:tc>
          <w:tcPr>
            <w:tcW w:w="998" w:type="dxa"/>
            <w:tcBorders>
              <w:top w:val="nil"/>
              <w:left w:val="nil"/>
              <w:bottom w:val="nil"/>
              <w:right w:val="nil"/>
            </w:tcBorders>
            <w:shd w:val="clear" w:color="auto" w:fill="auto"/>
            <w:noWrap/>
            <w:vAlign w:val="center"/>
            <w:hideMark/>
          </w:tcPr>
          <w:p w14:paraId="565243CB" w14:textId="77777777" w:rsidR="008A1E55" w:rsidRPr="006B42D6" w:rsidRDefault="008A1E55" w:rsidP="00E16CAE">
            <w:pPr>
              <w:jc w:val="right"/>
              <w:rPr>
                <w:sz w:val="16"/>
                <w:szCs w:val="16"/>
              </w:rPr>
            </w:pPr>
            <w:r w:rsidRPr="006B42D6">
              <w:rPr>
                <w:sz w:val="16"/>
                <w:szCs w:val="16"/>
              </w:rPr>
              <w:t>-</w:t>
            </w:r>
          </w:p>
        </w:tc>
        <w:tc>
          <w:tcPr>
            <w:tcW w:w="827" w:type="dxa"/>
            <w:tcBorders>
              <w:top w:val="nil"/>
              <w:left w:val="nil"/>
              <w:bottom w:val="nil"/>
              <w:right w:val="nil"/>
            </w:tcBorders>
            <w:shd w:val="clear" w:color="auto" w:fill="auto"/>
            <w:noWrap/>
            <w:vAlign w:val="center"/>
            <w:hideMark/>
          </w:tcPr>
          <w:p w14:paraId="2CFFAF0E" w14:textId="77777777" w:rsidR="008A1E55" w:rsidRPr="006B42D6" w:rsidRDefault="008A1E55" w:rsidP="00E16CAE">
            <w:pPr>
              <w:jc w:val="right"/>
              <w:rPr>
                <w:sz w:val="16"/>
                <w:szCs w:val="16"/>
              </w:rPr>
            </w:pPr>
            <w:r w:rsidRPr="006B42D6">
              <w:rPr>
                <w:sz w:val="16"/>
                <w:szCs w:val="16"/>
              </w:rPr>
              <w:t>20.7</w:t>
            </w:r>
          </w:p>
        </w:tc>
      </w:tr>
      <w:tr w:rsidR="006B42D6" w:rsidRPr="006B42D6" w14:paraId="29BB50F4" w14:textId="77777777" w:rsidTr="00143C67">
        <w:trPr>
          <w:trHeight w:hRule="exact" w:val="227"/>
        </w:trPr>
        <w:tc>
          <w:tcPr>
            <w:tcW w:w="1668" w:type="dxa"/>
            <w:tcBorders>
              <w:top w:val="nil"/>
              <w:left w:val="nil"/>
              <w:bottom w:val="nil"/>
              <w:right w:val="nil"/>
            </w:tcBorders>
            <w:shd w:val="clear" w:color="auto" w:fill="auto"/>
            <w:noWrap/>
            <w:vAlign w:val="center"/>
            <w:hideMark/>
          </w:tcPr>
          <w:p w14:paraId="51D6C2C2" w14:textId="77777777" w:rsidR="008A1E55" w:rsidRPr="006B42D6" w:rsidRDefault="008A1E55" w:rsidP="00E16CAE">
            <w:pPr>
              <w:rPr>
                <w:sz w:val="16"/>
                <w:szCs w:val="16"/>
              </w:rPr>
            </w:pPr>
            <w:r w:rsidRPr="006B42D6">
              <w:rPr>
                <w:sz w:val="16"/>
                <w:szCs w:val="16"/>
              </w:rPr>
              <w:t>Songwe</w:t>
            </w:r>
          </w:p>
        </w:tc>
        <w:tc>
          <w:tcPr>
            <w:tcW w:w="977" w:type="dxa"/>
            <w:tcBorders>
              <w:top w:val="nil"/>
              <w:left w:val="nil"/>
              <w:bottom w:val="nil"/>
              <w:right w:val="nil"/>
            </w:tcBorders>
            <w:shd w:val="clear" w:color="auto" w:fill="auto"/>
            <w:noWrap/>
            <w:vAlign w:val="center"/>
            <w:hideMark/>
          </w:tcPr>
          <w:p w14:paraId="36FA7F91" w14:textId="77777777" w:rsidR="008A1E55" w:rsidRPr="006B42D6" w:rsidRDefault="008A1E55" w:rsidP="00E16CAE">
            <w:pPr>
              <w:jc w:val="right"/>
              <w:rPr>
                <w:sz w:val="16"/>
                <w:szCs w:val="16"/>
              </w:rPr>
            </w:pPr>
            <w:r w:rsidRPr="006B42D6">
              <w:rPr>
                <w:sz w:val="16"/>
                <w:szCs w:val="16"/>
              </w:rPr>
              <w:t>2.0</w:t>
            </w:r>
          </w:p>
        </w:tc>
        <w:tc>
          <w:tcPr>
            <w:tcW w:w="826" w:type="dxa"/>
            <w:tcBorders>
              <w:top w:val="nil"/>
              <w:left w:val="nil"/>
              <w:bottom w:val="nil"/>
              <w:right w:val="nil"/>
            </w:tcBorders>
            <w:shd w:val="clear" w:color="auto" w:fill="auto"/>
            <w:noWrap/>
            <w:vAlign w:val="center"/>
            <w:hideMark/>
          </w:tcPr>
          <w:p w14:paraId="42FCB784" w14:textId="77777777" w:rsidR="008A1E55" w:rsidRPr="006B42D6" w:rsidRDefault="008A1E55" w:rsidP="00E16CAE">
            <w:pPr>
              <w:jc w:val="right"/>
              <w:rPr>
                <w:sz w:val="16"/>
                <w:szCs w:val="16"/>
              </w:rPr>
            </w:pPr>
            <w:r w:rsidRPr="006B42D6">
              <w:rPr>
                <w:sz w:val="16"/>
                <w:szCs w:val="16"/>
              </w:rPr>
              <w:t>3.8</w:t>
            </w:r>
          </w:p>
        </w:tc>
        <w:tc>
          <w:tcPr>
            <w:tcW w:w="1008" w:type="dxa"/>
            <w:tcBorders>
              <w:top w:val="nil"/>
              <w:left w:val="nil"/>
              <w:bottom w:val="nil"/>
              <w:right w:val="nil"/>
            </w:tcBorders>
            <w:shd w:val="clear" w:color="auto" w:fill="auto"/>
            <w:noWrap/>
            <w:vAlign w:val="center"/>
            <w:hideMark/>
          </w:tcPr>
          <w:p w14:paraId="7419149F" w14:textId="77777777" w:rsidR="008A1E55" w:rsidRPr="006B42D6" w:rsidRDefault="008A1E55" w:rsidP="00E16CAE">
            <w:pPr>
              <w:jc w:val="right"/>
              <w:rPr>
                <w:sz w:val="16"/>
                <w:szCs w:val="16"/>
              </w:rPr>
            </w:pPr>
            <w:r w:rsidRPr="006B42D6">
              <w:rPr>
                <w:sz w:val="16"/>
                <w:szCs w:val="16"/>
              </w:rPr>
              <w:t>2.9</w:t>
            </w:r>
          </w:p>
        </w:tc>
        <w:tc>
          <w:tcPr>
            <w:tcW w:w="979" w:type="dxa"/>
            <w:tcBorders>
              <w:top w:val="nil"/>
              <w:left w:val="nil"/>
              <w:bottom w:val="nil"/>
              <w:right w:val="nil"/>
            </w:tcBorders>
            <w:shd w:val="clear" w:color="auto" w:fill="auto"/>
            <w:noWrap/>
            <w:vAlign w:val="center"/>
            <w:hideMark/>
          </w:tcPr>
          <w:p w14:paraId="01391785" w14:textId="77777777" w:rsidR="008A1E55" w:rsidRPr="006B42D6" w:rsidRDefault="008A1E55" w:rsidP="00E16CAE">
            <w:pPr>
              <w:jc w:val="right"/>
              <w:rPr>
                <w:sz w:val="16"/>
                <w:szCs w:val="16"/>
              </w:rPr>
            </w:pPr>
            <w:r w:rsidRPr="006B42D6">
              <w:rPr>
                <w:sz w:val="16"/>
                <w:szCs w:val="16"/>
              </w:rPr>
              <w:t>0.6</w:t>
            </w:r>
          </w:p>
        </w:tc>
        <w:tc>
          <w:tcPr>
            <w:tcW w:w="1086" w:type="dxa"/>
            <w:tcBorders>
              <w:top w:val="nil"/>
              <w:left w:val="nil"/>
              <w:bottom w:val="nil"/>
              <w:right w:val="nil"/>
            </w:tcBorders>
            <w:shd w:val="clear" w:color="auto" w:fill="auto"/>
            <w:noWrap/>
            <w:vAlign w:val="center"/>
            <w:hideMark/>
          </w:tcPr>
          <w:p w14:paraId="0647F142" w14:textId="77777777" w:rsidR="008A1E55" w:rsidRPr="006B42D6" w:rsidRDefault="008A1E55" w:rsidP="00E16CAE">
            <w:pPr>
              <w:jc w:val="right"/>
              <w:rPr>
                <w:sz w:val="16"/>
                <w:szCs w:val="16"/>
              </w:rPr>
            </w:pPr>
            <w:r w:rsidRPr="006B42D6">
              <w:rPr>
                <w:sz w:val="16"/>
                <w:szCs w:val="16"/>
              </w:rPr>
              <w:t>-</w:t>
            </w:r>
          </w:p>
        </w:tc>
        <w:tc>
          <w:tcPr>
            <w:tcW w:w="950" w:type="dxa"/>
            <w:tcBorders>
              <w:top w:val="nil"/>
              <w:left w:val="nil"/>
              <w:bottom w:val="nil"/>
              <w:right w:val="nil"/>
            </w:tcBorders>
            <w:shd w:val="clear" w:color="auto" w:fill="auto"/>
            <w:noWrap/>
            <w:vAlign w:val="center"/>
            <w:hideMark/>
          </w:tcPr>
          <w:p w14:paraId="10FF1D57" w14:textId="77777777" w:rsidR="008A1E55" w:rsidRPr="006B42D6" w:rsidRDefault="008A1E55" w:rsidP="00E16CAE">
            <w:pPr>
              <w:jc w:val="right"/>
              <w:rPr>
                <w:sz w:val="16"/>
                <w:szCs w:val="16"/>
              </w:rPr>
            </w:pPr>
            <w:r w:rsidRPr="006B42D6">
              <w:rPr>
                <w:sz w:val="16"/>
                <w:szCs w:val="16"/>
              </w:rPr>
              <w:t>3.3</w:t>
            </w:r>
          </w:p>
        </w:tc>
        <w:tc>
          <w:tcPr>
            <w:tcW w:w="1039" w:type="dxa"/>
            <w:tcBorders>
              <w:top w:val="nil"/>
              <w:left w:val="nil"/>
              <w:bottom w:val="nil"/>
              <w:right w:val="nil"/>
            </w:tcBorders>
            <w:shd w:val="clear" w:color="auto" w:fill="auto"/>
            <w:noWrap/>
            <w:vAlign w:val="center"/>
            <w:hideMark/>
          </w:tcPr>
          <w:p w14:paraId="26153F99" w14:textId="77777777" w:rsidR="008A1E55" w:rsidRPr="006B42D6" w:rsidRDefault="008A1E55" w:rsidP="00E16CAE">
            <w:pPr>
              <w:jc w:val="right"/>
              <w:rPr>
                <w:sz w:val="16"/>
                <w:szCs w:val="16"/>
              </w:rPr>
            </w:pPr>
            <w:r w:rsidRPr="006B42D6">
              <w:rPr>
                <w:sz w:val="16"/>
                <w:szCs w:val="16"/>
              </w:rPr>
              <w:t>3.8</w:t>
            </w:r>
          </w:p>
        </w:tc>
        <w:tc>
          <w:tcPr>
            <w:tcW w:w="932" w:type="dxa"/>
            <w:tcBorders>
              <w:top w:val="nil"/>
              <w:left w:val="nil"/>
              <w:bottom w:val="nil"/>
              <w:right w:val="nil"/>
            </w:tcBorders>
            <w:shd w:val="clear" w:color="auto" w:fill="auto"/>
            <w:noWrap/>
            <w:vAlign w:val="center"/>
            <w:hideMark/>
          </w:tcPr>
          <w:p w14:paraId="18359281" w14:textId="77777777" w:rsidR="008A1E55" w:rsidRPr="006B42D6" w:rsidRDefault="008A1E55" w:rsidP="00E16CAE">
            <w:pPr>
              <w:jc w:val="right"/>
              <w:rPr>
                <w:sz w:val="16"/>
                <w:szCs w:val="16"/>
              </w:rPr>
            </w:pPr>
            <w:r w:rsidRPr="006B42D6">
              <w:rPr>
                <w:sz w:val="16"/>
                <w:szCs w:val="16"/>
              </w:rPr>
              <w:t>2.9</w:t>
            </w:r>
          </w:p>
        </w:tc>
        <w:tc>
          <w:tcPr>
            <w:tcW w:w="1030" w:type="dxa"/>
            <w:tcBorders>
              <w:top w:val="nil"/>
              <w:left w:val="nil"/>
              <w:bottom w:val="nil"/>
              <w:right w:val="nil"/>
            </w:tcBorders>
            <w:shd w:val="clear" w:color="auto" w:fill="auto"/>
            <w:noWrap/>
            <w:vAlign w:val="center"/>
            <w:hideMark/>
          </w:tcPr>
          <w:p w14:paraId="5A421436" w14:textId="77777777" w:rsidR="008A1E55" w:rsidRPr="006B42D6" w:rsidRDefault="008A1E55" w:rsidP="00E16CAE">
            <w:pPr>
              <w:jc w:val="right"/>
              <w:rPr>
                <w:sz w:val="16"/>
                <w:szCs w:val="16"/>
              </w:rPr>
            </w:pPr>
            <w:r w:rsidRPr="006B42D6">
              <w:rPr>
                <w:sz w:val="16"/>
                <w:szCs w:val="16"/>
              </w:rPr>
              <w:t>22.7</w:t>
            </w:r>
          </w:p>
        </w:tc>
        <w:tc>
          <w:tcPr>
            <w:tcW w:w="905" w:type="dxa"/>
            <w:tcBorders>
              <w:top w:val="nil"/>
              <w:left w:val="nil"/>
              <w:bottom w:val="nil"/>
              <w:right w:val="nil"/>
            </w:tcBorders>
            <w:shd w:val="clear" w:color="auto" w:fill="auto"/>
            <w:noWrap/>
            <w:vAlign w:val="center"/>
            <w:hideMark/>
          </w:tcPr>
          <w:p w14:paraId="340E420C" w14:textId="77777777" w:rsidR="008A1E55" w:rsidRPr="006B42D6" w:rsidRDefault="008A1E55" w:rsidP="00E16CAE">
            <w:pPr>
              <w:jc w:val="right"/>
              <w:rPr>
                <w:sz w:val="16"/>
                <w:szCs w:val="16"/>
              </w:rPr>
            </w:pPr>
            <w:r w:rsidRPr="006B42D6">
              <w:rPr>
                <w:sz w:val="16"/>
                <w:szCs w:val="16"/>
              </w:rPr>
              <w:t>-</w:t>
            </w:r>
          </w:p>
        </w:tc>
        <w:tc>
          <w:tcPr>
            <w:tcW w:w="998" w:type="dxa"/>
            <w:tcBorders>
              <w:top w:val="nil"/>
              <w:left w:val="nil"/>
              <w:bottom w:val="nil"/>
              <w:right w:val="nil"/>
            </w:tcBorders>
            <w:shd w:val="clear" w:color="auto" w:fill="auto"/>
            <w:noWrap/>
            <w:vAlign w:val="center"/>
            <w:hideMark/>
          </w:tcPr>
          <w:p w14:paraId="22088573" w14:textId="77777777" w:rsidR="008A1E55" w:rsidRPr="006B42D6" w:rsidRDefault="008A1E55" w:rsidP="00E16CAE">
            <w:pPr>
              <w:jc w:val="right"/>
              <w:rPr>
                <w:sz w:val="16"/>
                <w:szCs w:val="16"/>
              </w:rPr>
            </w:pPr>
            <w:r w:rsidRPr="006B42D6">
              <w:rPr>
                <w:sz w:val="16"/>
                <w:szCs w:val="16"/>
              </w:rPr>
              <w:t>-</w:t>
            </w:r>
          </w:p>
        </w:tc>
        <w:tc>
          <w:tcPr>
            <w:tcW w:w="827" w:type="dxa"/>
            <w:tcBorders>
              <w:top w:val="nil"/>
              <w:left w:val="nil"/>
              <w:bottom w:val="nil"/>
              <w:right w:val="nil"/>
            </w:tcBorders>
            <w:shd w:val="clear" w:color="auto" w:fill="auto"/>
            <w:noWrap/>
            <w:vAlign w:val="center"/>
            <w:hideMark/>
          </w:tcPr>
          <w:p w14:paraId="3BF4645E" w14:textId="77777777" w:rsidR="008A1E55" w:rsidRPr="006B42D6" w:rsidRDefault="008A1E55" w:rsidP="00E16CAE">
            <w:pPr>
              <w:jc w:val="right"/>
              <w:rPr>
                <w:sz w:val="16"/>
                <w:szCs w:val="16"/>
              </w:rPr>
            </w:pPr>
            <w:r w:rsidRPr="006B42D6">
              <w:rPr>
                <w:sz w:val="16"/>
                <w:szCs w:val="16"/>
              </w:rPr>
              <w:t>2.4</w:t>
            </w:r>
          </w:p>
        </w:tc>
      </w:tr>
      <w:tr w:rsidR="006B42D6" w:rsidRPr="00143C67" w14:paraId="01E89605" w14:textId="77777777" w:rsidTr="00143C67">
        <w:trPr>
          <w:trHeight w:hRule="exact" w:val="227"/>
        </w:trPr>
        <w:tc>
          <w:tcPr>
            <w:tcW w:w="1668" w:type="dxa"/>
            <w:tcBorders>
              <w:top w:val="single" w:sz="4" w:space="0" w:color="auto"/>
              <w:left w:val="nil"/>
              <w:bottom w:val="single" w:sz="4" w:space="0" w:color="auto"/>
              <w:right w:val="nil"/>
            </w:tcBorders>
            <w:shd w:val="clear" w:color="auto" w:fill="E2EFD9" w:themeFill="accent6" w:themeFillTint="33"/>
            <w:noWrap/>
            <w:vAlign w:val="center"/>
            <w:hideMark/>
          </w:tcPr>
          <w:p w14:paraId="121D5C36" w14:textId="164F8ED7" w:rsidR="008A1E55" w:rsidRPr="00143C67" w:rsidRDefault="00143C67" w:rsidP="00E16CAE">
            <w:pPr>
              <w:rPr>
                <w:b/>
                <w:sz w:val="16"/>
                <w:szCs w:val="16"/>
              </w:rPr>
            </w:pPr>
            <w:r>
              <w:rPr>
                <w:b/>
                <w:bCs/>
                <w:sz w:val="16"/>
                <w:szCs w:val="16"/>
              </w:rPr>
              <w:t>Mainland Tanzania Tanzania</w:t>
            </w:r>
            <w:r w:rsidRPr="00143C67">
              <w:rPr>
                <w:b/>
                <w:sz w:val="16"/>
                <w:szCs w:val="16"/>
              </w:rPr>
              <w:t xml:space="preserve"> </w:t>
            </w:r>
            <w:r w:rsidR="00EA1552" w:rsidRPr="00143C67">
              <w:rPr>
                <w:b/>
                <w:sz w:val="16"/>
                <w:szCs w:val="16"/>
              </w:rPr>
              <w:t>Tanzania</w:t>
            </w:r>
          </w:p>
        </w:tc>
        <w:tc>
          <w:tcPr>
            <w:tcW w:w="977" w:type="dxa"/>
            <w:tcBorders>
              <w:top w:val="single" w:sz="4" w:space="0" w:color="auto"/>
              <w:left w:val="nil"/>
              <w:bottom w:val="single" w:sz="4" w:space="0" w:color="auto"/>
              <w:right w:val="nil"/>
            </w:tcBorders>
            <w:shd w:val="clear" w:color="auto" w:fill="E2EFD9" w:themeFill="accent6" w:themeFillTint="33"/>
            <w:noWrap/>
            <w:vAlign w:val="center"/>
            <w:hideMark/>
          </w:tcPr>
          <w:p w14:paraId="0B67469B" w14:textId="77777777" w:rsidR="008A1E55" w:rsidRPr="00143C67" w:rsidRDefault="008A1E55" w:rsidP="00E16CAE">
            <w:pPr>
              <w:jc w:val="right"/>
              <w:rPr>
                <w:b/>
                <w:sz w:val="16"/>
                <w:szCs w:val="16"/>
              </w:rPr>
            </w:pPr>
            <w:r w:rsidRPr="00143C67">
              <w:rPr>
                <w:b/>
                <w:sz w:val="16"/>
                <w:szCs w:val="16"/>
              </w:rPr>
              <w:t>100.0</w:t>
            </w:r>
          </w:p>
        </w:tc>
        <w:tc>
          <w:tcPr>
            <w:tcW w:w="826" w:type="dxa"/>
            <w:tcBorders>
              <w:top w:val="single" w:sz="4" w:space="0" w:color="auto"/>
              <w:left w:val="nil"/>
              <w:bottom w:val="single" w:sz="4" w:space="0" w:color="auto"/>
              <w:right w:val="nil"/>
            </w:tcBorders>
            <w:shd w:val="clear" w:color="auto" w:fill="E2EFD9" w:themeFill="accent6" w:themeFillTint="33"/>
            <w:noWrap/>
            <w:vAlign w:val="center"/>
            <w:hideMark/>
          </w:tcPr>
          <w:p w14:paraId="140C6AA0" w14:textId="77777777" w:rsidR="008A1E55" w:rsidRPr="00143C67" w:rsidRDefault="008A1E55" w:rsidP="00E16CAE">
            <w:pPr>
              <w:jc w:val="right"/>
              <w:rPr>
                <w:b/>
                <w:sz w:val="16"/>
                <w:szCs w:val="16"/>
              </w:rPr>
            </w:pPr>
            <w:r w:rsidRPr="00143C67">
              <w:rPr>
                <w:b/>
                <w:sz w:val="16"/>
                <w:szCs w:val="16"/>
              </w:rPr>
              <w:t>100.0</w:t>
            </w:r>
          </w:p>
        </w:tc>
        <w:tc>
          <w:tcPr>
            <w:tcW w:w="1008" w:type="dxa"/>
            <w:tcBorders>
              <w:top w:val="single" w:sz="4" w:space="0" w:color="auto"/>
              <w:left w:val="nil"/>
              <w:bottom w:val="single" w:sz="4" w:space="0" w:color="auto"/>
              <w:right w:val="nil"/>
            </w:tcBorders>
            <w:shd w:val="clear" w:color="auto" w:fill="E2EFD9" w:themeFill="accent6" w:themeFillTint="33"/>
            <w:noWrap/>
            <w:vAlign w:val="center"/>
            <w:hideMark/>
          </w:tcPr>
          <w:p w14:paraId="3B632616" w14:textId="77777777" w:rsidR="008A1E55" w:rsidRPr="00143C67" w:rsidRDefault="008A1E55" w:rsidP="00E16CAE">
            <w:pPr>
              <w:jc w:val="right"/>
              <w:rPr>
                <w:b/>
                <w:sz w:val="16"/>
                <w:szCs w:val="16"/>
              </w:rPr>
            </w:pPr>
            <w:r w:rsidRPr="00143C67">
              <w:rPr>
                <w:b/>
                <w:sz w:val="16"/>
                <w:szCs w:val="16"/>
              </w:rPr>
              <w:t>100.0</w:t>
            </w:r>
          </w:p>
        </w:tc>
        <w:tc>
          <w:tcPr>
            <w:tcW w:w="979" w:type="dxa"/>
            <w:tcBorders>
              <w:top w:val="single" w:sz="4" w:space="0" w:color="auto"/>
              <w:left w:val="nil"/>
              <w:bottom w:val="single" w:sz="4" w:space="0" w:color="auto"/>
              <w:right w:val="nil"/>
            </w:tcBorders>
            <w:shd w:val="clear" w:color="auto" w:fill="E2EFD9" w:themeFill="accent6" w:themeFillTint="33"/>
            <w:noWrap/>
            <w:vAlign w:val="center"/>
            <w:hideMark/>
          </w:tcPr>
          <w:p w14:paraId="65B8E90A" w14:textId="77777777" w:rsidR="008A1E55" w:rsidRPr="00143C67" w:rsidRDefault="008A1E55" w:rsidP="00E16CAE">
            <w:pPr>
              <w:jc w:val="right"/>
              <w:rPr>
                <w:b/>
                <w:sz w:val="16"/>
                <w:szCs w:val="16"/>
              </w:rPr>
            </w:pPr>
            <w:r w:rsidRPr="00143C67">
              <w:rPr>
                <w:b/>
                <w:sz w:val="16"/>
                <w:szCs w:val="16"/>
              </w:rPr>
              <w:t>100.0</w:t>
            </w:r>
          </w:p>
        </w:tc>
        <w:tc>
          <w:tcPr>
            <w:tcW w:w="1086" w:type="dxa"/>
            <w:tcBorders>
              <w:top w:val="single" w:sz="4" w:space="0" w:color="auto"/>
              <w:left w:val="nil"/>
              <w:bottom w:val="single" w:sz="4" w:space="0" w:color="auto"/>
              <w:right w:val="nil"/>
            </w:tcBorders>
            <w:shd w:val="clear" w:color="auto" w:fill="E2EFD9" w:themeFill="accent6" w:themeFillTint="33"/>
            <w:noWrap/>
            <w:vAlign w:val="center"/>
            <w:hideMark/>
          </w:tcPr>
          <w:p w14:paraId="01D116AE" w14:textId="77777777" w:rsidR="008A1E55" w:rsidRPr="00143C67" w:rsidRDefault="008A1E55" w:rsidP="00E16CAE">
            <w:pPr>
              <w:jc w:val="right"/>
              <w:rPr>
                <w:b/>
                <w:sz w:val="16"/>
                <w:szCs w:val="16"/>
              </w:rPr>
            </w:pPr>
            <w:r w:rsidRPr="00143C67">
              <w:rPr>
                <w:b/>
                <w:sz w:val="16"/>
                <w:szCs w:val="16"/>
              </w:rPr>
              <w:t>100.0</w:t>
            </w:r>
          </w:p>
        </w:tc>
        <w:tc>
          <w:tcPr>
            <w:tcW w:w="950" w:type="dxa"/>
            <w:tcBorders>
              <w:top w:val="single" w:sz="4" w:space="0" w:color="auto"/>
              <w:left w:val="nil"/>
              <w:bottom w:val="single" w:sz="4" w:space="0" w:color="auto"/>
              <w:right w:val="nil"/>
            </w:tcBorders>
            <w:shd w:val="clear" w:color="auto" w:fill="E2EFD9" w:themeFill="accent6" w:themeFillTint="33"/>
            <w:noWrap/>
            <w:vAlign w:val="center"/>
            <w:hideMark/>
          </w:tcPr>
          <w:p w14:paraId="4D5FAFDB" w14:textId="77777777" w:rsidR="008A1E55" w:rsidRPr="00143C67" w:rsidRDefault="008A1E55" w:rsidP="00E16CAE">
            <w:pPr>
              <w:jc w:val="right"/>
              <w:rPr>
                <w:b/>
                <w:sz w:val="16"/>
                <w:szCs w:val="16"/>
              </w:rPr>
            </w:pPr>
            <w:r w:rsidRPr="00143C67">
              <w:rPr>
                <w:b/>
                <w:sz w:val="16"/>
                <w:szCs w:val="16"/>
              </w:rPr>
              <w:t>100.0</w:t>
            </w:r>
          </w:p>
        </w:tc>
        <w:tc>
          <w:tcPr>
            <w:tcW w:w="1039" w:type="dxa"/>
            <w:tcBorders>
              <w:top w:val="single" w:sz="4" w:space="0" w:color="auto"/>
              <w:left w:val="nil"/>
              <w:bottom w:val="single" w:sz="4" w:space="0" w:color="auto"/>
              <w:right w:val="nil"/>
            </w:tcBorders>
            <w:shd w:val="clear" w:color="auto" w:fill="E2EFD9" w:themeFill="accent6" w:themeFillTint="33"/>
            <w:noWrap/>
            <w:vAlign w:val="center"/>
            <w:hideMark/>
          </w:tcPr>
          <w:p w14:paraId="6AEA4990" w14:textId="77777777" w:rsidR="008A1E55" w:rsidRPr="00143C67" w:rsidRDefault="008A1E55" w:rsidP="00E16CAE">
            <w:pPr>
              <w:jc w:val="right"/>
              <w:rPr>
                <w:b/>
                <w:sz w:val="16"/>
                <w:szCs w:val="16"/>
              </w:rPr>
            </w:pPr>
            <w:r w:rsidRPr="00143C67">
              <w:rPr>
                <w:b/>
                <w:sz w:val="16"/>
                <w:szCs w:val="16"/>
              </w:rPr>
              <w:t>100.0</w:t>
            </w:r>
          </w:p>
        </w:tc>
        <w:tc>
          <w:tcPr>
            <w:tcW w:w="932" w:type="dxa"/>
            <w:tcBorders>
              <w:top w:val="single" w:sz="4" w:space="0" w:color="auto"/>
              <w:left w:val="nil"/>
              <w:bottom w:val="single" w:sz="4" w:space="0" w:color="auto"/>
              <w:right w:val="nil"/>
            </w:tcBorders>
            <w:shd w:val="clear" w:color="auto" w:fill="E2EFD9" w:themeFill="accent6" w:themeFillTint="33"/>
            <w:noWrap/>
            <w:vAlign w:val="center"/>
            <w:hideMark/>
          </w:tcPr>
          <w:p w14:paraId="39150476" w14:textId="77777777" w:rsidR="008A1E55" w:rsidRPr="00143C67" w:rsidRDefault="008A1E55" w:rsidP="00E16CAE">
            <w:pPr>
              <w:jc w:val="right"/>
              <w:rPr>
                <w:b/>
                <w:sz w:val="16"/>
                <w:szCs w:val="16"/>
              </w:rPr>
            </w:pPr>
            <w:r w:rsidRPr="00143C67">
              <w:rPr>
                <w:b/>
                <w:sz w:val="16"/>
                <w:szCs w:val="16"/>
              </w:rPr>
              <w:t>100.0</w:t>
            </w:r>
          </w:p>
        </w:tc>
        <w:tc>
          <w:tcPr>
            <w:tcW w:w="1030" w:type="dxa"/>
            <w:tcBorders>
              <w:top w:val="single" w:sz="4" w:space="0" w:color="auto"/>
              <w:left w:val="nil"/>
              <w:bottom w:val="single" w:sz="4" w:space="0" w:color="auto"/>
              <w:right w:val="nil"/>
            </w:tcBorders>
            <w:shd w:val="clear" w:color="auto" w:fill="E2EFD9" w:themeFill="accent6" w:themeFillTint="33"/>
            <w:noWrap/>
            <w:vAlign w:val="center"/>
            <w:hideMark/>
          </w:tcPr>
          <w:p w14:paraId="7658F31D" w14:textId="77777777" w:rsidR="008A1E55" w:rsidRPr="00143C67" w:rsidRDefault="008A1E55" w:rsidP="00E16CAE">
            <w:pPr>
              <w:jc w:val="right"/>
              <w:rPr>
                <w:b/>
                <w:sz w:val="16"/>
                <w:szCs w:val="16"/>
              </w:rPr>
            </w:pPr>
            <w:r w:rsidRPr="00143C67">
              <w:rPr>
                <w:b/>
                <w:sz w:val="16"/>
                <w:szCs w:val="16"/>
              </w:rPr>
              <w:t>100.0</w:t>
            </w:r>
          </w:p>
        </w:tc>
        <w:tc>
          <w:tcPr>
            <w:tcW w:w="905" w:type="dxa"/>
            <w:tcBorders>
              <w:top w:val="single" w:sz="4" w:space="0" w:color="auto"/>
              <w:left w:val="nil"/>
              <w:bottom w:val="single" w:sz="4" w:space="0" w:color="auto"/>
              <w:right w:val="nil"/>
            </w:tcBorders>
            <w:shd w:val="clear" w:color="auto" w:fill="E2EFD9" w:themeFill="accent6" w:themeFillTint="33"/>
            <w:noWrap/>
            <w:vAlign w:val="center"/>
            <w:hideMark/>
          </w:tcPr>
          <w:p w14:paraId="4D738DFB" w14:textId="77777777" w:rsidR="008A1E55" w:rsidRPr="00143C67" w:rsidRDefault="008A1E55" w:rsidP="00E16CAE">
            <w:pPr>
              <w:jc w:val="right"/>
              <w:rPr>
                <w:b/>
                <w:sz w:val="16"/>
                <w:szCs w:val="16"/>
              </w:rPr>
            </w:pPr>
            <w:r w:rsidRPr="00143C67">
              <w:rPr>
                <w:b/>
                <w:sz w:val="16"/>
                <w:szCs w:val="16"/>
              </w:rPr>
              <w:t>-</w:t>
            </w:r>
          </w:p>
        </w:tc>
        <w:tc>
          <w:tcPr>
            <w:tcW w:w="998" w:type="dxa"/>
            <w:tcBorders>
              <w:top w:val="single" w:sz="4" w:space="0" w:color="auto"/>
              <w:left w:val="nil"/>
              <w:bottom w:val="single" w:sz="4" w:space="0" w:color="auto"/>
              <w:right w:val="nil"/>
            </w:tcBorders>
            <w:shd w:val="clear" w:color="auto" w:fill="E2EFD9" w:themeFill="accent6" w:themeFillTint="33"/>
            <w:noWrap/>
            <w:vAlign w:val="center"/>
            <w:hideMark/>
          </w:tcPr>
          <w:p w14:paraId="651AA621" w14:textId="77777777" w:rsidR="008A1E55" w:rsidRPr="00143C67" w:rsidRDefault="008A1E55" w:rsidP="00E16CAE">
            <w:pPr>
              <w:jc w:val="right"/>
              <w:rPr>
                <w:b/>
                <w:sz w:val="16"/>
                <w:szCs w:val="16"/>
              </w:rPr>
            </w:pPr>
            <w:r w:rsidRPr="00143C67">
              <w:rPr>
                <w:b/>
                <w:sz w:val="16"/>
                <w:szCs w:val="16"/>
              </w:rPr>
              <w:t>100.0</w:t>
            </w:r>
          </w:p>
        </w:tc>
        <w:tc>
          <w:tcPr>
            <w:tcW w:w="827" w:type="dxa"/>
            <w:tcBorders>
              <w:top w:val="single" w:sz="4" w:space="0" w:color="auto"/>
              <w:left w:val="nil"/>
              <w:bottom w:val="single" w:sz="4" w:space="0" w:color="auto"/>
              <w:right w:val="nil"/>
            </w:tcBorders>
            <w:shd w:val="clear" w:color="auto" w:fill="E2EFD9" w:themeFill="accent6" w:themeFillTint="33"/>
            <w:noWrap/>
            <w:vAlign w:val="center"/>
            <w:hideMark/>
          </w:tcPr>
          <w:p w14:paraId="4A6438EC" w14:textId="77777777" w:rsidR="008A1E55" w:rsidRPr="00143C67" w:rsidRDefault="008A1E55" w:rsidP="00E16CAE">
            <w:pPr>
              <w:jc w:val="right"/>
              <w:rPr>
                <w:b/>
                <w:sz w:val="16"/>
                <w:szCs w:val="16"/>
              </w:rPr>
            </w:pPr>
            <w:r w:rsidRPr="00143C67">
              <w:rPr>
                <w:b/>
                <w:sz w:val="16"/>
                <w:szCs w:val="16"/>
              </w:rPr>
              <w:t>100.0</w:t>
            </w:r>
          </w:p>
        </w:tc>
      </w:tr>
      <w:tr w:rsidR="006B42D6" w:rsidRPr="006B42D6" w14:paraId="47B7FCAB" w14:textId="77777777" w:rsidTr="00143C67">
        <w:trPr>
          <w:trHeight w:hRule="exact" w:val="227"/>
        </w:trPr>
        <w:tc>
          <w:tcPr>
            <w:tcW w:w="1668" w:type="dxa"/>
            <w:tcBorders>
              <w:top w:val="nil"/>
              <w:left w:val="nil"/>
              <w:bottom w:val="nil"/>
              <w:right w:val="nil"/>
            </w:tcBorders>
            <w:shd w:val="clear" w:color="auto" w:fill="auto"/>
            <w:noWrap/>
            <w:vAlign w:val="center"/>
            <w:hideMark/>
          </w:tcPr>
          <w:p w14:paraId="52D000F4" w14:textId="77777777" w:rsidR="008A1E55" w:rsidRPr="006B42D6" w:rsidRDefault="008A1E55" w:rsidP="00E16CAE">
            <w:pPr>
              <w:rPr>
                <w:sz w:val="16"/>
                <w:szCs w:val="16"/>
              </w:rPr>
            </w:pPr>
            <w:r w:rsidRPr="006B42D6">
              <w:rPr>
                <w:sz w:val="16"/>
                <w:szCs w:val="16"/>
              </w:rPr>
              <w:t>Kaskazini Unguja</w:t>
            </w:r>
          </w:p>
        </w:tc>
        <w:tc>
          <w:tcPr>
            <w:tcW w:w="977" w:type="dxa"/>
            <w:tcBorders>
              <w:top w:val="nil"/>
              <w:left w:val="nil"/>
              <w:bottom w:val="nil"/>
              <w:right w:val="nil"/>
            </w:tcBorders>
            <w:shd w:val="clear" w:color="auto" w:fill="auto"/>
            <w:noWrap/>
            <w:vAlign w:val="center"/>
            <w:hideMark/>
          </w:tcPr>
          <w:p w14:paraId="10C160E5" w14:textId="77777777" w:rsidR="008A1E55" w:rsidRPr="006B42D6" w:rsidRDefault="008A1E55" w:rsidP="00E16CAE">
            <w:pPr>
              <w:jc w:val="right"/>
              <w:rPr>
                <w:sz w:val="16"/>
                <w:szCs w:val="16"/>
              </w:rPr>
            </w:pPr>
            <w:r w:rsidRPr="006B42D6">
              <w:rPr>
                <w:sz w:val="16"/>
                <w:szCs w:val="16"/>
              </w:rPr>
              <w:t>6.9</w:t>
            </w:r>
          </w:p>
        </w:tc>
        <w:tc>
          <w:tcPr>
            <w:tcW w:w="826" w:type="dxa"/>
            <w:tcBorders>
              <w:top w:val="nil"/>
              <w:left w:val="nil"/>
              <w:bottom w:val="nil"/>
              <w:right w:val="nil"/>
            </w:tcBorders>
            <w:shd w:val="clear" w:color="auto" w:fill="auto"/>
            <w:noWrap/>
            <w:vAlign w:val="center"/>
            <w:hideMark/>
          </w:tcPr>
          <w:p w14:paraId="65AEE9E9" w14:textId="77777777" w:rsidR="008A1E55" w:rsidRPr="006B42D6" w:rsidRDefault="008A1E55" w:rsidP="00E16CAE">
            <w:pPr>
              <w:jc w:val="right"/>
              <w:rPr>
                <w:sz w:val="16"/>
                <w:szCs w:val="16"/>
              </w:rPr>
            </w:pPr>
            <w:r w:rsidRPr="006B42D6">
              <w:rPr>
                <w:sz w:val="16"/>
                <w:szCs w:val="16"/>
              </w:rPr>
              <w:t>-</w:t>
            </w:r>
          </w:p>
        </w:tc>
        <w:tc>
          <w:tcPr>
            <w:tcW w:w="1008" w:type="dxa"/>
            <w:tcBorders>
              <w:top w:val="nil"/>
              <w:left w:val="nil"/>
              <w:bottom w:val="nil"/>
              <w:right w:val="nil"/>
            </w:tcBorders>
            <w:shd w:val="clear" w:color="auto" w:fill="auto"/>
            <w:noWrap/>
            <w:vAlign w:val="center"/>
            <w:hideMark/>
          </w:tcPr>
          <w:p w14:paraId="02507CBF" w14:textId="77777777" w:rsidR="008A1E55" w:rsidRPr="006B42D6" w:rsidRDefault="008A1E55" w:rsidP="00E16CAE">
            <w:pPr>
              <w:jc w:val="right"/>
              <w:rPr>
                <w:sz w:val="16"/>
                <w:szCs w:val="16"/>
              </w:rPr>
            </w:pPr>
            <w:r w:rsidRPr="006B42D6">
              <w:rPr>
                <w:sz w:val="16"/>
                <w:szCs w:val="16"/>
              </w:rPr>
              <w:t>35.8</w:t>
            </w:r>
          </w:p>
        </w:tc>
        <w:tc>
          <w:tcPr>
            <w:tcW w:w="979" w:type="dxa"/>
            <w:tcBorders>
              <w:top w:val="nil"/>
              <w:left w:val="nil"/>
              <w:bottom w:val="nil"/>
              <w:right w:val="nil"/>
            </w:tcBorders>
            <w:shd w:val="clear" w:color="auto" w:fill="auto"/>
            <w:noWrap/>
            <w:vAlign w:val="center"/>
            <w:hideMark/>
          </w:tcPr>
          <w:p w14:paraId="64CE4A7B" w14:textId="77777777" w:rsidR="008A1E55" w:rsidRPr="006B42D6" w:rsidRDefault="008A1E55" w:rsidP="00E16CAE">
            <w:pPr>
              <w:jc w:val="right"/>
              <w:rPr>
                <w:sz w:val="16"/>
                <w:szCs w:val="16"/>
              </w:rPr>
            </w:pPr>
            <w:r w:rsidRPr="006B42D6">
              <w:rPr>
                <w:sz w:val="16"/>
                <w:szCs w:val="16"/>
              </w:rPr>
              <w:t>2.5</w:t>
            </w:r>
          </w:p>
        </w:tc>
        <w:tc>
          <w:tcPr>
            <w:tcW w:w="1086" w:type="dxa"/>
            <w:tcBorders>
              <w:top w:val="nil"/>
              <w:left w:val="nil"/>
              <w:bottom w:val="nil"/>
              <w:right w:val="nil"/>
            </w:tcBorders>
            <w:shd w:val="clear" w:color="auto" w:fill="auto"/>
            <w:noWrap/>
            <w:vAlign w:val="center"/>
            <w:hideMark/>
          </w:tcPr>
          <w:p w14:paraId="590C3923" w14:textId="77777777" w:rsidR="008A1E55" w:rsidRPr="006B42D6" w:rsidRDefault="008A1E55" w:rsidP="00E16CAE">
            <w:pPr>
              <w:jc w:val="right"/>
              <w:rPr>
                <w:sz w:val="16"/>
                <w:szCs w:val="16"/>
              </w:rPr>
            </w:pPr>
            <w:r w:rsidRPr="006B42D6">
              <w:rPr>
                <w:sz w:val="16"/>
                <w:szCs w:val="16"/>
              </w:rPr>
              <w:t>11.0</w:t>
            </w:r>
          </w:p>
        </w:tc>
        <w:tc>
          <w:tcPr>
            <w:tcW w:w="950" w:type="dxa"/>
            <w:tcBorders>
              <w:top w:val="nil"/>
              <w:left w:val="nil"/>
              <w:bottom w:val="nil"/>
              <w:right w:val="nil"/>
            </w:tcBorders>
            <w:shd w:val="clear" w:color="auto" w:fill="auto"/>
            <w:noWrap/>
            <w:vAlign w:val="center"/>
            <w:hideMark/>
          </w:tcPr>
          <w:p w14:paraId="44F8C623" w14:textId="77777777" w:rsidR="008A1E55" w:rsidRPr="006B42D6" w:rsidRDefault="008A1E55" w:rsidP="00E16CAE">
            <w:pPr>
              <w:jc w:val="right"/>
              <w:rPr>
                <w:sz w:val="16"/>
                <w:szCs w:val="16"/>
              </w:rPr>
            </w:pPr>
            <w:r w:rsidRPr="006B42D6">
              <w:rPr>
                <w:sz w:val="16"/>
                <w:szCs w:val="16"/>
              </w:rPr>
              <w:t>4.1</w:t>
            </w:r>
          </w:p>
        </w:tc>
        <w:tc>
          <w:tcPr>
            <w:tcW w:w="1039" w:type="dxa"/>
            <w:tcBorders>
              <w:top w:val="nil"/>
              <w:left w:val="nil"/>
              <w:bottom w:val="nil"/>
              <w:right w:val="nil"/>
            </w:tcBorders>
            <w:shd w:val="clear" w:color="auto" w:fill="auto"/>
            <w:noWrap/>
            <w:vAlign w:val="center"/>
            <w:hideMark/>
          </w:tcPr>
          <w:p w14:paraId="16D5FF10" w14:textId="77777777" w:rsidR="008A1E55" w:rsidRPr="006B42D6" w:rsidRDefault="008A1E55" w:rsidP="00E16CAE">
            <w:pPr>
              <w:jc w:val="right"/>
              <w:rPr>
                <w:sz w:val="16"/>
                <w:szCs w:val="16"/>
              </w:rPr>
            </w:pPr>
            <w:r w:rsidRPr="006B42D6">
              <w:rPr>
                <w:sz w:val="16"/>
                <w:szCs w:val="16"/>
              </w:rPr>
              <w:t>19.9</w:t>
            </w:r>
          </w:p>
        </w:tc>
        <w:tc>
          <w:tcPr>
            <w:tcW w:w="932" w:type="dxa"/>
            <w:tcBorders>
              <w:top w:val="nil"/>
              <w:left w:val="nil"/>
              <w:bottom w:val="nil"/>
              <w:right w:val="nil"/>
            </w:tcBorders>
            <w:shd w:val="clear" w:color="auto" w:fill="auto"/>
            <w:noWrap/>
            <w:vAlign w:val="center"/>
            <w:hideMark/>
          </w:tcPr>
          <w:p w14:paraId="2AA6D431" w14:textId="77777777" w:rsidR="008A1E55" w:rsidRPr="006B42D6" w:rsidRDefault="008A1E55" w:rsidP="00E16CAE">
            <w:pPr>
              <w:jc w:val="right"/>
              <w:rPr>
                <w:sz w:val="16"/>
                <w:szCs w:val="16"/>
              </w:rPr>
            </w:pPr>
            <w:r w:rsidRPr="006B42D6">
              <w:rPr>
                <w:sz w:val="16"/>
                <w:szCs w:val="16"/>
              </w:rPr>
              <w:t>-</w:t>
            </w:r>
          </w:p>
        </w:tc>
        <w:tc>
          <w:tcPr>
            <w:tcW w:w="1030" w:type="dxa"/>
            <w:tcBorders>
              <w:top w:val="nil"/>
              <w:left w:val="nil"/>
              <w:bottom w:val="nil"/>
              <w:right w:val="nil"/>
            </w:tcBorders>
            <w:shd w:val="clear" w:color="auto" w:fill="auto"/>
            <w:noWrap/>
            <w:vAlign w:val="center"/>
            <w:hideMark/>
          </w:tcPr>
          <w:p w14:paraId="5D272B4C" w14:textId="77777777" w:rsidR="008A1E55" w:rsidRPr="006B42D6" w:rsidRDefault="008A1E55" w:rsidP="00E16CAE">
            <w:pPr>
              <w:jc w:val="right"/>
              <w:rPr>
                <w:sz w:val="16"/>
                <w:szCs w:val="16"/>
              </w:rPr>
            </w:pPr>
            <w:r w:rsidRPr="006B42D6">
              <w:rPr>
                <w:sz w:val="16"/>
                <w:szCs w:val="16"/>
              </w:rPr>
              <w:t>-</w:t>
            </w:r>
          </w:p>
        </w:tc>
        <w:tc>
          <w:tcPr>
            <w:tcW w:w="905" w:type="dxa"/>
            <w:tcBorders>
              <w:top w:val="nil"/>
              <w:left w:val="nil"/>
              <w:bottom w:val="nil"/>
              <w:right w:val="nil"/>
            </w:tcBorders>
            <w:shd w:val="clear" w:color="auto" w:fill="auto"/>
            <w:noWrap/>
            <w:vAlign w:val="center"/>
            <w:hideMark/>
          </w:tcPr>
          <w:p w14:paraId="42B4F819" w14:textId="77777777" w:rsidR="008A1E55" w:rsidRPr="006B42D6" w:rsidRDefault="008A1E55" w:rsidP="00E16CAE">
            <w:pPr>
              <w:jc w:val="right"/>
              <w:rPr>
                <w:sz w:val="16"/>
                <w:szCs w:val="16"/>
              </w:rPr>
            </w:pPr>
            <w:r w:rsidRPr="006B42D6">
              <w:rPr>
                <w:sz w:val="16"/>
                <w:szCs w:val="16"/>
              </w:rPr>
              <w:t>-</w:t>
            </w:r>
          </w:p>
        </w:tc>
        <w:tc>
          <w:tcPr>
            <w:tcW w:w="998" w:type="dxa"/>
            <w:tcBorders>
              <w:top w:val="nil"/>
              <w:left w:val="nil"/>
              <w:bottom w:val="nil"/>
              <w:right w:val="nil"/>
            </w:tcBorders>
            <w:shd w:val="clear" w:color="auto" w:fill="auto"/>
            <w:noWrap/>
            <w:vAlign w:val="center"/>
            <w:hideMark/>
          </w:tcPr>
          <w:p w14:paraId="339EA9BB" w14:textId="77777777" w:rsidR="008A1E55" w:rsidRPr="006B42D6" w:rsidRDefault="008A1E55" w:rsidP="00E16CAE">
            <w:pPr>
              <w:jc w:val="right"/>
              <w:rPr>
                <w:sz w:val="16"/>
                <w:szCs w:val="16"/>
              </w:rPr>
            </w:pPr>
            <w:r w:rsidRPr="006B42D6">
              <w:rPr>
                <w:sz w:val="16"/>
                <w:szCs w:val="16"/>
              </w:rPr>
              <w:t>-</w:t>
            </w:r>
          </w:p>
        </w:tc>
        <w:tc>
          <w:tcPr>
            <w:tcW w:w="827" w:type="dxa"/>
            <w:tcBorders>
              <w:top w:val="nil"/>
              <w:left w:val="nil"/>
              <w:bottom w:val="nil"/>
              <w:right w:val="nil"/>
            </w:tcBorders>
            <w:shd w:val="clear" w:color="auto" w:fill="auto"/>
            <w:noWrap/>
            <w:vAlign w:val="center"/>
            <w:hideMark/>
          </w:tcPr>
          <w:p w14:paraId="68E22BD2" w14:textId="77777777" w:rsidR="008A1E55" w:rsidRPr="006B42D6" w:rsidRDefault="008A1E55" w:rsidP="00E16CAE">
            <w:pPr>
              <w:jc w:val="right"/>
              <w:rPr>
                <w:sz w:val="16"/>
                <w:szCs w:val="16"/>
              </w:rPr>
            </w:pPr>
            <w:r w:rsidRPr="006B42D6">
              <w:rPr>
                <w:sz w:val="16"/>
                <w:szCs w:val="16"/>
              </w:rPr>
              <w:t>20.5</w:t>
            </w:r>
          </w:p>
        </w:tc>
      </w:tr>
      <w:tr w:rsidR="006B42D6" w:rsidRPr="006B42D6" w14:paraId="6DA87FC6" w14:textId="77777777" w:rsidTr="00143C67">
        <w:trPr>
          <w:trHeight w:hRule="exact" w:val="227"/>
        </w:trPr>
        <w:tc>
          <w:tcPr>
            <w:tcW w:w="1668" w:type="dxa"/>
            <w:tcBorders>
              <w:top w:val="nil"/>
              <w:left w:val="nil"/>
              <w:bottom w:val="nil"/>
              <w:right w:val="nil"/>
            </w:tcBorders>
            <w:shd w:val="clear" w:color="auto" w:fill="auto"/>
            <w:noWrap/>
            <w:vAlign w:val="center"/>
            <w:hideMark/>
          </w:tcPr>
          <w:p w14:paraId="7864FCBE" w14:textId="77777777" w:rsidR="008A1E55" w:rsidRPr="006B42D6" w:rsidRDefault="008A1E55" w:rsidP="00E16CAE">
            <w:pPr>
              <w:rPr>
                <w:sz w:val="16"/>
                <w:szCs w:val="16"/>
              </w:rPr>
            </w:pPr>
            <w:r w:rsidRPr="006B42D6">
              <w:rPr>
                <w:sz w:val="16"/>
                <w:szCs w:val="16"/>
              </w:rPr>
              <w:t>Kusini Unguja</w:t>
            </w:r>
          </w:p>
        </w:tc>
        <w:tc>
          <w:tcPr>
            <w:tcW w:w="977" w:type="dxa"/>
            <w:tcBorders>
              <w:top w:val="nil"/>
              <w:left w:val="nil"/>
              <w:bottom w:val="nil"/>
              <w:right w:val="nil"/>
            </w:tcBorders>
            <w:shd w:val="clear" w:color="auto" w:fill="auto"/>
            <w:noWrap/>
            <w:vAlign w:val="center"/>
            <w:hideMark/>
          </w:tcPr>
          <w:p w14:paraId="5540EFF2" w14:textId="77777777" w:rsidR="008A1E55" w:rsidRPr="006B42D6" w:rsidRDefault="008A1E55" w:rsidP="00E16CAE">
            <w:pPr>
              <w:jc w:val="right"/>
              <w:rPr>
                <w:sz w:val="16"/>
                <w:szCs w:val="16"/>
              </w:rPr>
            </w:pPr>
            <w:r w:rsidRPr="006B42D6">
              <w:rPr>
                <w:sz w:val="16"/>
                <w:szCs w:val="16"/>
              </w:rPr>
              <w:t>11.6</w:t>
            </w:r>
          </w:p>
        </w:tc>
        <w:tc>
          <w:tcPr>
            <w:tcW w:w="826" w:type="dxa"/>
            <w:tcBorders>
              <w:top w:val="nil"/>
              <w:left w:val="nil"/>
              <w:bottom w:val="nil"/>
              <w:right w:val="nil"/>
            </w:tcBorders>
            <w:shd w:val="clear" w:color="auto" w:fill="auto"/>
            <w:noWrap/>
            <w:vAlign w:val="center"/>
            <w:hideMark/>
          </w:tcPr>
          <w:p w14:paraId="3741F88C" w14:textId="77777777" w:rsidR="008A1E55" w:rsidRPr="006B42D6" w:rsidRDefault="008A1E55" w:rsidP="00E16CAE">
            <w:pPr>
              <w:jc w:val="right"/>
              <w:rPr>
                <w:sz w:val="16"/>
                <w:szCs w:val="16"/>
              </w:rPr>
            </w:pPr>
            <w:r w:rsidRPr="006B42D6">
              <w:rPr>
                <w:sz w:val="16"/>
                <w:szCs w:val="16"/>
              </w:rPr>
              <w:t>-</w:t>
            </w:r>
          </w:p>
        </w:tc>
        <w:tc>
          <w:tcPr>
            <w:tcW w:w="1008" w:type="dxa"/>
            <w:tcBorders>
              <w:top w:val="nil"/>
              <w:left w:val="nil"/>
              <w:bottom w:val="nil"/>
              <w:right w:val="nil"/>
            </w:tcBorders>
            <w:shd w:val="clear" w:color="auto" w:fill="auto"/>
            <w:noWrap/>
            <w:vAlign w:val="center"/>
            <w:hideMark/>
          </w:tcPr>
          <w:p w14:paraId="78E8E055" w14:textId="77777777" w:rsidR="008A1E55" w:rsidRPr="006B42D6" w:rsidRDefault="008A1E55" w:rsidP="00E16CAE">
            <w:pPr>
              <w:jc w:val="right"/>
              <w:rPr>
                <w:sz w:val="16"/>
                <w:szCs w:val="16"/>
              </w:rPr>
            </w:pPr>
            <w:r w:rsidRPr="006B42D6">
              <w:rPr>
                <w:sz w:val="16"/>
                <w:szCs w:val="16"/>
              </w:rPr>
              <w:t>8.3</w:t>
            </w:r>
          </w:p>
        </w:tc>
        <w:tc>
          <w:tcPr>
            <w:tcW w:w="979" w:type="dxa"/>
            <w:tcBorders>
              <w:top w:val="nil"/>
              <w:left w:val="nil"/>
              <w:bottom w:val="nil"/>
              <w:right w:val="nil"/>
            </w:tcBorders>
            <w:shd w:val="clear" w:color="auto" w:fill="auto"/>
            <w:noWrap/>
            <w:vAlign w:val="center"/>
            <w:hideMark/>
          </w:tcPr>
          <w:p w14:paraId="18F3160A" w14:textId="77777777" w:rsidR="008A1E55" w:rsidRPr="006B42D6" w:rsidRDefault="008A1E55" w:rsidP="00E16CAE">
            <w:pPr>
              <w:jc w:val="right"/>
              <w:rPr>
                <w:sz w:val="16"/>
                <w:szCs w:val="16"/>
              </w:rPr>
            </w:pPr>
            <w:r w:rsidRPr="006B42D6">
              <w:rPr>
                <w:sz w:val="16"/>
                <w:szCs w:val="16"/>
              </w:rPr>
              <w:t>2.1</w:t>
            </w:r>
          </w:p>
        </w:tc>
        <w:tc>
          <w:tcPr>
            <w:tcW w:w="1086" w:type="dxa"/>
            <w:tcBorders>
              <w:top w:val="nil"/>
              <w:left w:val="nil"/>
              <w:bottom w:val="nil"/>
              <w:right w:val="nil"/>
            </w:tcBorders>
            <w:shd w:val="clear" w:color="auto" w:fill="auto"/>
            <w:noWrap/>
            <w:vAlign w:val="center"/>
            <w:hideMark/>
          </w:tcPr>
          <w:p w14:paraId="40A14C88" w14:textId="77777777" w:rsidR="008A1E55" w:rsidRPr="006B42D6" w:rsidRDefault="008A1E55" w:rsidP="00E16CAE">
            <w:pPr>
              <w:jc w:val="right"/>
              <w:rPr>
                <w:sz w:val="16"/>
                <w:szCs w:val="16"/>
              </w:rPr>
            </w:pPr>
            <w:r w:rsidRPr="006B42D6">
              <w:rPr>
                <w:sz w:val="16"/>
                <w:szCs w:val="16"/>
              </w:rPr>
              <w:t>23.9</w:t>
            </w:r>
          </w:p>
        </w:tc>
        <w:tc>
          <w:tcPr>
            <w:tcW w:w="950" w:type="dxa"/>
            <w:tcBorders>
              <w:top w:val="nil"/>
              <w:left w:val="nil"/>
              <w:bottom w:val="nil"/>
              <w:right w:val="nil"/>
            </w:tcBorders>
            <w:shd w:val="clear" w:color="auto" w:fill="auto"/>
            <w:noWrap/>
            <w:vAlign w:val="center"/>
            <w:hideMark/>
          </w:tcPr>
          <w:p w14:paraId="0701E184" w14:textId="77777777" w:rsidR="008A1E55" w:rsidRPr="006B42D6" w:rsidRDefault="008A1E55" w:rsidP="00E16CAE">
            <w:pPr>
              <w:jc w:val="right"/>
              <w:rPr>
                <w:sz w:val="16"/>
                <w:szCs w:val="16"/>
              </w:rPr>
            </w:pPr>
            <w:r w:rsidRPr="006B42D6">
              <w:rPr>
                <w:sz w:val="16"/>
                <w:szCs w:val="16"/>
              </w:rPr>
              <w:t>9.3</w:t>
            </w:r>
          </w:p>
        </w:tc>
        <w:tc>
          <w:tcPr>
            <w:tcW w:w="1039" w:type="dxa"/>
            <w:tcBorders>
              <w:top w:val="nil"/>
              <w:left w:val="nil"/>
              <w:bottom w:val="nil"/>
              <w:right w:val="nil"/>
            </w:tcBorders>
            <w:shd w:val="clear" w:color="auto" w:fill="auto"/>
            <w:noWrap/>
            <w:vAlign w:val="center"/>
            <w:hideMark/>
          </w:tcPr>
          <w:p w14:paraId="6E352BD7" w14:textId="77777777" w:rsidR="008A1E55" w:rsidRPr="006B42D6" w:rsidRDefault="008A1E55" w:rsidP="00E16CAE">
            <w:pPr>
              <w:jc w:val="right"/>
              <w:rPr>
                <w:sz w:val="16"/>
                <w:szCs w:val="16"/>
              </w:rPr>
            </w:pPr>
            <w:r w:rsidRPr="006B42D6">
              <w:rPr>
                <w:sz w:val="16"/>
                <w:szCs w:val="16"/>
              </w:rPr>
              <w:t>10.0</w:t>
            </w:r>
          </w:p>
        </w:tc>
        <w:tc>
          <w:tcPr>
            <w:tcW w:w="932" w:type="dxa"/>
            <w:tcBorders>
              <w:top w:val="nil"/>
              <w:left w:val="nil"/>
              <w:bottom w:val="nil"/>
              <w:right w:val="nil"/>
            </w:tcBorders>
            <w:shd w:val="clear" w:color="auto" w:fill="auto"/>
            <w:noWrap/>
            <w:vAlign w:val="center"/>
            <w:hideMark/>
          </w:tcPr>
          <w:p w14:paraId="08DFBB5D" w14:textId="77777777" w:rsidR="008A1E55" w:rsidRPr="006B42D6" w:rsidRDefault="008A1E55" w:rsidP="00E16CAE">
            <w:pPr>
              <w:jc w:val="right"/>
              <w:rPr>
                <w:sz w:val="16"/>
                <w:szCs w:val="16"/>
              </w:rPr>
            </w:pPr>
            <w:r w:rsidRPr="006B42D6">
              <w:rPr>
                <w:sz w:val="16"/>
                <w:szCs w:val="16"/>
              </w:rPr>
              <w:t>-</w:t>
            </w:r>
          </w:p>
        </w:tc>
        <w:tc>
          <w:tcPr>
            <w:tcW w:w="1030" w:type="dxa"/>
            <w:tcBorders>
              <w:top w:val="nil"/>
              <w:left w:val="nil"/>
              <w:bottom w:val="nil"/>
              <w:right w:val="nil"/>
            </w:tcBorders>
            <w:shd w:val="clear" w:color="auto" w:fill="auto"/>
            <w:noWrap/>
            <w:vAlign w:val="center"/>
            <w:hideMark/>
          </w:tcPr>
          <w:p w14:paraId="0A2393C3" w14:textId="77777777" w:rsidR="008A1E55" w:rsidRPr="006B42D6" w:rsidRDefault="008A1E55" w:rsidP="00E16CAE">
            <w:pPr>
              <w:jc w:val="right"/>
              <w:rPr>
                <w:sz w:val="16"/>
                <w:szCs w:val="16"/>
              </w:rPr>
            </w:pPr>
            <w:r w:rsidRPr="006B42D6">
              <w:rPr>
                <w:sz w:val="16"/>
                <w:szCs w:val="16"/>
              </w:rPr>
              <w:t>-</w:t>
            </w:r>
          </w:p>
        </w:tc>
        <w:tc>
          <w:tcPr>
            <w:tcW w:w="905" w:type="dxa"/>
            <w:tcBorders>
              <w:top w:val="nil"/>
              <w:left w:val="nil"/>
              <w:bottom w:val="nil"/>
              <w:right w:val="nil"/>
            </w:tcBorders>
            <w:shd w:val="clear" w:color="auto" w:fill="auto"/>
            <w:noWrap/>
            <w:vAlign w:val="center"/>
            <w:hideMark/>
          </w:tcPr>
          <w:p w14:paraId="11E8636E" w14:textId="77777777" w:rsidR="008A1E55" w:rsidRPr="006B42D6" w:rsidRDefault="008A1E55" w:rsidP="00E16CAE">
            <w:pPr>
              <w:jc w:val="right"/>
              <w:rPr>
                <w:sz w:val="16"/>
                <w:szCs w:val="16"/>
              </w:rPr>
            </w:pPr>
            <w:r w:rsidRPr="006B42D6">
              <w:rPr>
                <w:sz w:val="16"/>
                <w:szCs w:val="16"/>
              </w:rPr>
              <w:t>-</w:t>
            </w:r>
          </w:p>
        </w:tc>
        <w:tc>
          <w:tcPr>
            <w:tcW w:w="998" w:type="dxa"/>
            <w:tcBorders>
              <w:top w:val="nil"/>
              <w:left w:val="nil"/>
              <w:bottom w:val="nil"/>
              <w:right w:val="nil"/>
            </w:tcBorders>
            <w:shd w:val="clear" w:color="auto" w:fill="auto"/>
            <w:noWrap/>
            <w:vAlign w:val="center"/>
            <w:hideMark/>
          </w:tcPr>
          <w:p w14:paraId="1B3B204C" w14:textId="77777777" w:rsidR="008A1E55" w:rsidRPr="006B42D6" w:rsidRDefault="008A1E55" w:rsidP="00E16CAE">
            <w:pPr>
              <w:jc w:val="right"/>
              <w:rPr>
                <w:sz w:val="16"/>
                <w:szCs w:val="16"/>
              </w:rPr>
            </w:pPr>
            <w:r w:rsidRPr="006B42D6">
              <w:rPr>
                <w:sz w:val="16"/>
                <w:szCs w:val="16"/>
              </w:rPr>
              <w:t>-</w:t>
            </w:r>
          </w:p>
        </w:tc>
        <w:tc>
          <w:tcPr>
            <w:tcW w:w="827" w:type="dxa"/>
            <w:tcBorders>
              <w:top w:val="nil"/>
              <w:left w:val="nil"/>
              <w:bottom w:val="nil"/>
              <w:right w:val="nil"/>
            </w:tcBorders>
            <w:shd w:val="clear" w:color="auto" w:fill="auto"/>
            <w:noWrap/>
            <w:vAlign w:val="center"/>
            <w:hideMark/>
          </w:tcPr>
          <w:p w14:paraId="4652B2F7" w14:textId="77777777" w:rsidR="008A1E55" w:rsidRPr="006B42D6" w:rsidRDefault="008A1E55" w:rsidP="00E16CAE">
            <w:pPr>
              <w:jc w:val="right"/>
              <w:rPr>
                <w:sz w:val="16"/>
                <w:szCs w:val="16"/>
              </w:rPr>
            </w:pPr>
            <w:r w:rsidRPr="006B42D6">
              <w:rPr>
                <w:sz w:val="16"/>
                <w:szCs w:val="16"/>
              </w:rPr>
              <w:t>-</w:t>
            </w:r>
          </w:p>
        </w:tc>
      </w:tr>
      <w:tr w:rsidR="006B42D6" w:rsidRPr="006B42D6" w14:paraId="15086922" w14:textId="77777777" w:rsidTr="00143C67">
        <w:trPr>
          <w:trHeight w:hRule="exact" w:val="227"/>
        </w:trPr>
        <w:tc>
          <w:tcPr>
            <w:tcW w:w="1668" w:type="dxa"/>
            <w:tcBorders>
              <w:top w:val="nil"/>
              <w:left w:val="nil"/>
              <w:bottom w:val="nil"/>
              <w:right w:val="nil"/>
            </w:tcBorders>
            <w:shd w:val="clear" w:color="auto" w:fill="auto"/>
            <w:noWrap/>
            <w:vAlign w:val="center"/>
            <w:hideMark/>
          </w:tcPr>
          <w:p w14:paraId="743ACB28" w14:textId="77777777" w:rsidR="008A1E55" w:rsidRPr="006B42D6" w:rsidRDefault="008A1E55" w:rsidP="00E16CAE">
            <w:pPr>
              <w:rPr>
                <w:sz w:val="16"/>
                <w:szCs w:val="16"/>
              </w:rPr>
            </w:pPr>
            <w:r w:rsidRPr="006B42D6">
              <w:rPr>
                <w:sz w:val="16"/>
                <w:szCs w:val="16"/>
              </w:rPr>
              <w:t>Mjini Magharibi</w:t>
            </w:r>
          </w:p>
        </w:tc>
        <w:tc>
          <w:tcPr>
            <w:tcW w:w="977" w:type="dxa"/>
            <w:tcBorders>
              <w:top w:val="nil"/>
              <w:left w:val="nil"/>
              <w:bottom w:val="nil"/>
              <w:right w:val="nil"/>
            </w:tcBorders>
            <w:shd w:val="clear" w:color="auto" w:fill="auto"/>
            <w:noWrap/>
            <w:vAlign w:val="center"/>
            <w:hideMark/>
          </w:tcPr>
          <w:p w14:paraId="0E90C408" w14:textId="77777777" w:rsidR="008A1E55" w:rsidRPr="006B42D6" w:rsidRDefault="008A1E55" w:rsidP="00E16CAE">
            <w:pPr>
              <w:jc w:val="right"/>
              <w:rPr>
                <w:sz w:val="16"/>
                <w:szCs w:val="16"/>
              </w:rPr>
            </w:pPr>
            <w:r w:rsidRPr="006B42D6">
              <w:rPr>
                <w:sz w:val="16"/>
                <w:szCs w:val="16"/>
              </w:rPr>
              <w:t>43.2</w:t>
            </w:r>
          </w:p>
        </w:tc>
        <w:tc>
          <w:tcPr>
            <w:tcW w:w="826" w:type="dxa"/>
            <w:tcBorders>
              <w:top w:val="nil"/>
              <w:left w:val="nil"/>
              <w:bottom w:val="nil"/>
              <w:right w:val="nil"/>
            </w:tcBorders>
            <w:shd w:val="clear" w:color="auto" w:fill="auto"/>
            <w:noWrap/>
            <w:vAlign w:val="center"/>
            <w:hideMark/>
          </w:tcPr>
          <w:p w14:paraId="62BD1C2E" w14:textId="77777777" w:rsidR="008A1E55" w:rsidRPr="006B42D6" w:rsidRDefault="008A1E55" w:rsidP="00E16CAE">
            <w:pPr>
              <w:jc w:val="right"/>
              <w:rPr>
                <w:sz w:val="16"/>
                <w:szCs w:val="16"/>
              </w:rPr>
            </w:pPr>
            <w:r w:rsidRPr="006B42D6">
              <w:rPr>
                <w:sz w:val="16"/>
                <w:szCs w:val="16"/>
              </w:rPr>
              <w:t>100.0</w:t>
            </w:r>
          </w:p>
        </w:tc>
        <w:tc>
          <w:tcPr>
            <w:tcW w:w="1008" w:type="dxa"/>
            <w:tcBorders>
              <w:top w:val="nil"/>
              <w:left w:val="nil"/>
              <w:bottom w:val="nil"/>
              <w:right w:val="nil"/>
            </w:tcBorders>
            <w:shd w:val="clear" w:color="auto" w:fill="auto"/>
            <w:noWrap/>
            <w:vAlign w:val="center"/>
            <w:hideMark/>
          </w:tcPr>
          <w:p w14:paraId="0BEEF02C" w14:textId="77777777" w:rsidR="008A1E55" w:rsidRPr="006B42D6" w:rsidRDefault="008A1E55" w:rsidP="00E16CAE">
            <w:pPr>
              <w:jc w:val="right"/>
              <w:rPr>
                <w:sz w:val="16"/>
                <w:szCs w:val="16"/>
              </w:rPr>
            </w:pPr>
            <w:r w:rsidRPr="006B42D6">
              <w:rPr>
                <w:sz w:val="16"/>
                <w:szCs w:val="16"/>
              </w:rPr>
              <w:t>56.0</w:t>
            </w:r>
          </w:p>
        </w:tc>
        <w:tc>
          <w:tcPr>
            <w:tcW w:w="979" w:type="dxa"/>
            <w:tcBorders>
              <w:top w:val="nil"/>
              <w:left w:val="nil"/>
              <w:bottom w:val="nil"/>
              <w:right w:val="nil"/>
            </w:tcBorders>
            <w:shd w:val="clear" w:color="auto" w:fill="auto"/>
            <w:noWrap/>
            <w:vAlign w:val="center"/>
            <w:hideMark/>
          </w:tcPr>
          <w:p w14:paraId="68808B31" w14:textId="77777777" w:rsidR="008A1E55" w:rsidRPr="006B42D6" w:rsidRDefault="008A1E55" w:rsidP="00E16CAE">
            <w:pPr>
              <w:jc w:val="right"/>
              <w:rPr>
                <w:sz w:val="16"/>
                <w:szCs w:val="16"/>
              </w:rPr>
            </w:pPr>
            <w:r w:rsidRPr="006B42D6">
              <w:rPr>
                <w:sz w:val="16"/>
                <w:szCs w:val="16"/>
              </w:rPr>
              <w:t>95.5</w:t>
            </w:r>
          </w:p>
        </w:tc>
        <w:tc>
          <w:tcPr>
            <w:tcW w:w="1086" w:type="dxa"/>
            <w:tcBorders>
              <w:top w:val="nil"/>
              <w:left w:val="nil"/>
              <w:bottom w:val="nil"/>
              <w:right w:val="nil"/>
            </w:tcBorders>
            <w:shd w:val="clear" w:color="auto" w:fill="auto"/>
            <w:noWrap/>
            <w:vAlign w:val="center"/>
            <w:hideMark/>
          </w:tcPr>
          <w:p w14:paraId="2668D462" w14:textId="77777777" w:rsidR="008A1E55" w:rsidRPr="006B42D6" w:rsidRDefault="008A1E55" w:rsidP="00E16CAE">
            <w:pPr>
              <w:jc w:val="right"/>
              <w:rPr>
                <w:sz w:val="16"/>
                <w:szCs w:val="16"/>
              </w:rPr>
            </w:pPr>
            <w:r w:rsidRPr="006B42D6">
              <w:rPr>
                <w:sz w:val="16"/>
                <w:szCs w:val="16"/>
              </w:rPr>
              <w:t>20.9</w:t>
            </w:r>
          </w:p>
        </w:tc>
        <w:tc>
          <w:tcPr>
            <w:tcW w:w="950" w:type="dxa"/>
            <w:tcBorders>
              <w:top w:val="nil"/>
              <w:left w:val="nil"/>
              <w:bottom w:val="nil"/>
              <w:right w:val="nil"/>
            </w:tcBorders>
            <w:shd w:val="clear" w:color="auto" w:fill="auto"/>
            <w:noWrap/>
            <w:vAlign w:val="center"/>
            <w:hideMark/>
          </w:tcPr>
          <w:p w14:paraId="1EA87790" w14:textId="77777777" w:rsidR="008A1E55" w:rsidRPr="006B42D6" w:rsidRDefault="008A1E55" w:rsidP="00E16CAE">
            <w:pPr>
              <w:jc w:val="right"/>
              <w:rPr>
                <w:sz w:val="16"/>
                <w:szCs w:val="16"/>
              </w:rPr>
            </w:pPr>
            <w:r w:rsidRPr="006B42D6">
              <w:rPr>
                <w:sz w:val="16"/>
                <w:szCs w:val="16"/>
              </w:rPr>
              <w:t>29.8</w:t>
            </w:r>
          </w:p>
        </w:tc>
        <w:tc>
          <w:tcPr>
            <w:tcW w:w="1039" w:type="dxa"/>
            <w:tcBorders>
              <w:top w:val="nil"/>
              <w:left w:val="nil"/>
              <w:bottom w:val="nil"/>
              <w:right w:val="nil"/>
            </w:tcBorders>
            <w:shd w:val="clear" w:color="auto" w:fill="auto"/>
            <w:noWrap/>
            <w:vAlign w:val="center"/>
            <w:hideMark/>
          </w:tcPr>
          <w:p w14:paraId="3FFF9F7C" w14:textId="77777777" w:rsidR="008A1E55" w:rsidRPr="006B42D6" w:rsidRDefault="008A1E55" w:rsidP="00E16CAE">
            <w:pPr>
              <w:jc w:val="right"/>
              <w:rPr>
                <w:sz w:val="16"/>
                <w:szCs w:val="16"/>
              </w:rPr>
            </w:pPr>
            <w:r w:rsidRPr="006B42D6">
              <w:rPr>
                <w:sz w:val="16"/>
                <w:szCs w:val="16"/>
              </w:rPr>
              <w:t>16.6</w:t>
            </w:r>
          </w:p>
        </w:tc>
        <w:tc>
          <w:tcPr>
            <w:tcW w:w="932" w:type="dxa"/>
            <w:tcBorders>
              <w:top w:val="nil"/>
              <w:left w:val="nil"/>
              <w:bottom w:val="nil"/>
              <w:right w:val="nil"/>
            </w:tcBorders>
            <w:shd w:val="clear" w:color="auto" w:fill="auto"/>
            <w:noWrap/>
            <w:vAlign w:val="center"/>
            <w:hideMark/>
          </w:tcPr>
          <w:p w14:paraId="4C963F86" w14:textId="77777777" w:rsidR="008A1E55" w:rsidRPr="006B42D6" w:rsidRDefault="008A1E55" w:rsidP="00E16CAE">
            <w:pPr>
              <w:jc w:val="right"/>
              <w:rPr>
                <w:sz w:val="16"/>
                <w:szCs w:val="16"/>
              </w:rPr>
            </w:pPr>
            <w:r w:rsidRPr="006B42D6">
              <w:rPr>
                <w:sz w:val="16"/>
                <w:szCs w:val="16"/>
              </w:rPr>
              <w:t>-</w:t>
            </w:r>
          </w:p>
        </w:tc>
        <w:tc>
          <w:tcPr>
            <w:tcW w:w="1030" w:type="dxa"/>
            <w:tcBorders>
              <w:top w:val="nil"/>
              <w:left w:val="nil"/>
              <w:bottom w:val="nil"/>
              <w:right w:val="nil"/>
            </w:tcBorders>
            <w:shd w:val="clear" w:color="auto" w:fill="auto"/>
            <w:noWrap/>
            <w:vAlign w:val="center"/>
            <w:hideMark/>
          </w:tcPr>
          <w:p w14:paraId="3B0FCB9A" w14:textId="77777777" w:rsidR="008A1E55" w:rsidRPr="006B42D6" w:rsidRDefault="008A1E55" w:rsidP="00E16CAE">
            <w:pPr>
              <w:jc w:val="right"/>
              <w:rPr>
                <w:sz w:val="16"/>
                <w:szCs w:val="16"/>
              </w:rPr>
            </w:pPr>
            <w:r w:rsidRPr="006B42D6">
              <w:rPr>
                <w:sz w:val="16"/>
                <w:szCs w:val="16"/>
              </w:rPr>
              <w:t>-</w:t>
            </w:r>
          </w:p>
        </w:tc>
        <w:tc>
          <w:tcPr>
            <w:tcW w:w="905" w:type="dxa"/>
            <w:tcBorders>
              <w:top w:val="nil"/>
              <w:left w:val="nil"/>
              <w:bottom w:val="nil"/>
              <w:right w:val="nil"/>
            </w:tcBorders>
            <w:shd w:val="clear" w:color="auto" w:fill="auto"/>
            <w:noWrap/>
            <w:vAlign w:val="center"/>
            <w:hideMark/>
          </w:tcPr>
          <w:p w14:paraId="68029734" w14:textId="77777777" w:rsidR="008A1E55" w:rsidRPr="006B42D6" w:rsidRDefault="008A1E55" w:rsidP="00E16CAE">
            <w:pPr>
              <w:jc w:val="right"/>
              <w:rPr>
                <w:sz w:val="16"/>
                <w:szCs w:val="16"/>
              </w:rPr>
            </w:pPr>
            <w:r w:rsidRPr="006B42D6">
              <w:rPr>
                <w:sz w:val="16"/>
                <w:szCs w:val="16"/>
              </w:rPr>
              <w:t>-</w:t>
            </w:r>
          </w:p>
        </w:tc>
        <w:tc>
          <w:tcPr>
            <w:tcW w:w="998" w:type="dxa"/>
            <w:tcBorders>
              <w:top w:val="nil"/>
              <w:left w:val="nil"/>
              <w:bottom w:val="nil"/>
              <w:right w:val="nil"/>
            </w:tcBorders>
            <w:shd w:val="clear" w:color="auto" w:fill="auto"/>
            <w:noWrap/>
            <w:vAlign w:val="center"/>
            <w:hideMark/>
          </w:tcPr>
          <w:p w14:paraId="466F91F0" w14:textId="77777777" w:rsidR="008A1E55" w:rsidRPr="006B42D6" w:rsidRDefault="008A1E55" w:rsidP="00E16CAE">
            <w:pPr>
              <w:jc w:val="right"/>
              <w:rPr>
                <w:sz w:val="16"/>
                <w:szCs w:val="16"/>
              </w:rPr>
            </w:pPr>
            <w:r w:rsidRPr="006B42D6">
              <w:rPr>
                <w:sz w:val="16"/>
                <w:szCs w:val="16"/>
              </w:rPr>
              <w:t>-</w:t>
            </w:r>
          </w:p>
        </w:tc>
        <w:tc>
          <w:tcPr>
            <w:tcW w:w="827" w:type="dxa"/>
            <w:tcBorders>
              <w:top w:val="nil"/>
              <w:left w:val="nil"/>
              <w:bottom w:val="nil"/>
              <w:right w:val="nil"/>
            </w:tcBorders>
            <w:shd w:val="clear" w:color="auto" w:fill="auto"/>
            <w:noWrap/>
            <w:vAlign w:val="center"/>
            <w:hideMark/>
          </w:tcPr>
          <w:p w14:paraId="413E7B2E" w14:textId="77777777" w:rsidR="008A1E55" w:rsidRPr="006B42D6" w:rsidRDefault="008A1E55" w:rsidP="00E16CAE">
            <w:pPr>
              <w:jc w:val="right"/>
              <w:rPr>
                <w:sz w:val="16"/>
                <w:szCs w:val="16"/>
              </w:rPr>
            </w:pPr>
            <w:r w:rsidRPr="006B42D6">
              <w:rPr>
                <w:sz w:val="16"/>
                <w:szCs w:val="16"/>
              </w:rPr>
              <w:t>-</w:t>
            </w:r>
          </w:p>
        </w:tc>
      </w:tr>
      <w:tr w:rsidR="006B42D6" w:rsidRPr="006B42D6" w14:paraId="4A4E611E" w14:textId="77777777" w:rsidTr="00143C67">
        <w:trPr>
          <w:trHeight w:hRule="exact" w:val="227"/>
        </w:trPr>
        <w:tc>
          <w:tcPr>
            <w:tcW w:w="1668" w:type="dxa"/>
            <w:tcBorders>
              <w:top w:val="nil"/>
              <w:left w:val="nil"/>
              <w:bottom w:val="nil"/>
              <w:right w:val="nil"/>
            </w:tcBorders>
            <w:shd w:val="clear" w:color="auto" w:fill="auto"/>
            <w:noWrap/>
            <w:vAlign w:val="center"/>
            <w:hideMark/>
          </w:tcPr>
          <w:p w14:paraId="7EB5F385" w14:textId="77777777" w:rsidR="008A1E55" w:rsidRPr="006B42D6" w:rsidRDefault="008A1E55" w:rsidP="00E16CAE">
            <w:pPr>
              <w:rPr>
                <w:sz w:val="16"/>
                <w:szCs w:val="16"/>
              </w:rPr>
            </w:pPr>
            <w:r w:rsidRPr="006B42D6">
              <w:rPr>
                <w:sz w:val="16"/>
                <w:szCs w:val="16"/>
              </w:rPr>
              <w:t>Kaskazini Pemba</w:t>
            </w:r>
          </w:p>
        </w:tc>
        <w:tc>
          <w:tcPr>
            <w:tcW w:w="977" w:type="dxa"/>
            <w:tcBorders>
              <w:top w:val="nil"/>
              <w:left w:val="nil"/>
              <w:bottom w:val="nil"/>
              <w:right w:val="nil"/>
            </w:tcBorders>
            <w:shd w:val="clear" w:color="auto" w:fill="auto"/>
            <w:noWrap/>
            <w:vAlign w:val="center"/>
            <w:hideMark/>
          </w:tcPr>
          <w:p w14:paraId="254C4209" w14:textId="77777777" w:rsidR="008A1E55" w:rsidRPr="006B42D6" w:rsidRDefault="008A1E55" w:rsidP="00E16CAE">
            <w:pPr>
              <w:jc w:val="right"/>
              <w:rPr>
                <w:sz w:val="16"/>
                <w:szCs w:val="16"/>
              </w:rPr>
            </w:pPr>
            <w:r w:rsidRPr="006B42D6">
              <w:rPr>
                <w:sz w:val="16"/>
                <w:szCs w:val="16"/>
              </w:rPr>
              <w:t>19.3</w:t>
            </w:r>
          </w:p>
        </w:tc>
        <w:tc>
          <w:tcPr>
            <w:tcW w:w="826" w:type="dxa"/>
            <w:tcBorders>
              <w:top w:val="nil"/>
              <w:left w:val="nil"/>
              <w:bottom w:val="nil"/>
              <w:right w:val="nil"/>
            </w:tcBorders>
            <w:shd w:val="clear" w:color="auto" w:fill="auto"/>
            <w:noWrap/>
            <w:vAlign w:val="center"/>
            <w:hideMark/>
          </w:tcPr>
          <w:p w14:paraId="798E0B8A" w14:textId="77777777" w:rsidR="008A1E55" w:rsidRPr="006B42D6" w:rsidRDefault="008A1E55" w:rsidP="00E16CAE">
            <w:pPr>
              <w:jc w:val="right"/>
              <w:rPr>
                <w:sz w:val="16"/>
                <w:szCs w:val="16"/>
              </w:rPr>
            </w:pPr>
            <w:r w:rsidRPr="006B42D6">
              <w:rPr>
                <w:sz w:val="16"/>
                <w:szCs w:val="16"/>
              </w:rPr>
              <w:t>-</w:t>
            </w:r>
          </w:p>
        </w:tc>
        <w:tc>
          <w:tcPr>
            <w:tcW w:w="1008" w:type="dxa"/>
            <w:tcBorders>
              <w:top w:val="nil"/>
              <w:left w:val="nil"/>
              <w:bottom w:val="nil"/>
              <w:right w:val="nil"/>
            </w:tcBorders>
            <w:shd w:val="clear" w:color="auto" w:fill="auto"/>
            <w:noWrap/>
            <w:vAlign w:val="center"/>
            <w:hideMark/>
          </w:tcPr>
          <w:p w14:paraId="595D96C8" w14:textId="77777777" w:rsidR="008A1E55" w:rsidRPr="006B42D6" w:rsidRDefault="008A1E55" w:rsidP="00E16CAE">
            <w:pPr>
              <w:jc w:val="right"/>
              <w:rPr>
                <w:sz w:val="16"/>
                <w:szCs w:val="16"/>
              </w:rPr>
            </w:pPr>
            <w:r w:rsidRPr="006B42D6">
              <w:rPr>
                <w:sz w:val="16"/>
                <w:szCs w:val="16"/>
              </w:rPr>
              <w:t>-</w:t>
            </w:r>
          </w:p>
        </w:tc>
        <w:tc>
          <w:tcPr>
            <w:tcW w:w="979" w:type="dxa"/>
            <w:tcBorders>
              <w:top w:val="nil"/>
              <w:left w:val="nil"/>
              <w:bottom w:val="nil"/>
              <w:right w:val="nil"/>
            </w:tcBorders>
            <w:shd w:val="clear" w:color="auto" w:fill="auto"/>
            <w:noWrap/>
            <w:vAlign w:val="center"/>
            <w:hideMark/>
          </w:tcPr>
          <w:p w14:paraId="766E54FD" w14:textId="77777777" w:rsidR="008A1E55" w:rsidRPr="006B42D6" w:rsidRDefault="008A1E55" w:rsidP="00E16CAE">
            <w:pPr>
              <w:jc w:val="right"/>
              <w:rPr>
                <w:sz w:val="16"/>
                <w:szCs w:val="16"/>
              </w:rPr>
            </w:pPr>
            <w:r w:rsidRPr="006B42D6">
              <w:rPr>
                <w:sz w:val="16"/>
                <w:szCs w:val="16"/>
              </w:rPr>
              <w:t>-</w:t>
            </w:r>
          </w:p>
        </w:tc>
        <w:tc>
          <w:tcPr>
            <w:tcW w:w="1086" w:type="dxa"/>
            <w:tcBorders>
              <w:top w:val="nil"/>
              <w:left w:val="nil"/>
              <w:bottom w:val="nil"/>
              <w:right w:val="nil"/>
            </w:tcBorders>
            <w:shd w:val="clear" w:color="auto" w:fill="auto"/>
            <w:noWrap/>
            <w:vAlign w:val="center"/>
            <w:hideMark/>
          </w:tcPr>
          <w:p w14:paraId="01BF620E" w14:textId="77777777" w:rsidR="008A1E55" w:rsidRPr="006B42D6" w:rsidRDefault="008A1E55" w:rsidP="00E16CAE">
            <w:pPr>
              <w:jc w:val="right"/>
              <w:rPr>
                <w:sz w:val="16"/>
                <w:szCs w:val="16"/>
              </w:rPr>
            </w:pPr>
            <w:r w:rsidRPr="006B42D6">
              <w:rPr>
                <w:sz w:val="16"/>
                <w:szCs w:val="16"/>
              </w:rPr>
              <w:t>-</w:t>
            </w:r>
          </w:p>
        </w:tc>
        <w:tc>
          <w:tcPr>
            <w:tcW w:w="950" w:type="dxa"/>
            <w:tcBorders>
              <w:top w:val="nil"/>
              <w:left w:val="nil"/>
              <w:bottom w:val="nil"/>
              <w:right w:val="nil"/>
            </w:tcBorders>
            <w:shd w:val="clear" w:color="auto" w:fill="auto"/>
            <w:noWrap/>
            <w:vAlign w:val="center"/>
            <w:hideMark/>
          </w:tcPr>
          <w:p w14:paraId="2621552E" w14:textId="77777777" w:rsidR="008A1E55" w:rsidRPr="006B42D6" w:rsidRDefault="008A1E55" w:rsidP="00E16CAE">
            <w:pPr>
              <w:jc w:val="right"/>
              <w:rPr>
                <w:sz w:val="16"/>
                <w:szCs w:val="16"/>
              </w:rPr>
            </w:pPr>
            <w:r w:rsidRPr="006B42D6">
              <w:rPr>
                <w:sz w:val="16"/>
                <w:szCs w:val="16"/>
              </w:rPr>
              <w:t>18.6</w:t>
            </w:r>
          </w:p>
        </w:tc>
        <w:tc>
          <w:tcPr>
            <w:tcW w:w="1039" w:type="dxa"/>
            <w:tcBorders>
              <w:top w:val="nil"/>
              <w:left w:val="nil"/>
              <w:bottom w:val="nil"/>
              <w:right w:val="nil"/>
            </w:tcBorders>
            <w:shd w:val="clear" w:color="auto" w:fill="auto"/>
            <w:noWrap/>
            <w:vAlign w:val="center"/>
            <w:hideMark/>
          </w:tcPr>
          <w:p w14:paraId="67CD91FD" w14:textId="77777777" w:rsidR="008A1E55" w:rsidRPr="006B42D6" w:rsidRDefault="008A1E55" w:rsidP="00E16CAE">
            <w:pPr>
              <w:jc w:val="right"/>
              <w:rPr>
                <w:sz w:val="16"/>
                <w:szCs w:val="16"/>
              </w:rPr>
            </w:pPr>
            <w:r w:rsidRPr="006B42D6">
              <w:rPr>
                <w:sz w:val="16"/>
                <w:szCs w:val="16"/>
              </w:rPr>
              <w:t>23.8</w:t>
            </w:r>
          </w:p>
        </w:tc>
        <w:tc>
          <w:tcPr>
            <w:tcW w:w="932" w:type="dxa"/>
            <w:tcBorders>
              <w:top w:val="nil"/>
              <w:left w:val="nil"/>
              <w:bottom w:val="nil"/>
              <w:right w:val="nil"/>
            </w:tcBorders>
            <w:shd w:val="clear" w:color="auto" w:fill="auto"/>
            <w:noWrap/>
            <w:vAlign w:val="center"/>
            <w:hideMark/>
          </w:tcPr>
          <w:p w14:paraId="5466844E" w14:textId="77777777" w:rsidR="008A1E55" w:rsidRPr="006B42D6" w:rsidRDefault="008A1E55" w:rsidP="00E16CAE">
            <w:pPr>
              <w:jc w:val="right"/>
              <w:rPr>
                <w:sz w:val="16"/>
                <w:szCs w:val="16"/>
              </w:rPr>
            </w:pPr>
            <w:r w:rsidRPr="006B42D6">
              <w:rPr>
                <w:sz w:val="16"/>
                <w:szCs w:val="16"/>
              </w:rPr>
              <w:t>-</w:t>
            </w:r>
          </w:p>
        </w:tc>
        <w:tc>
          <w:tcPr>
            <w:tcW w:w="1030" w:type="dxa"/>
            <w:tcBorders>
              <w:top w:val="nil"/>
              <w:left w:val="nil"/>
              <w:bottom w:val="nil"/>
              <w:right w:val="nil"/>
            </w:tcBorders>
            <w:shd w:val="clear" w:color="auto" w:fill="auto"/>
            <w:noWrap/>
            <w:vAlign w:val="center"/>
            <w:hideMark/>
          </w:tcPr>
          <w:p w14:paraId="7BEE85AA" w14:textId="77777777" w:rsidR="008A1E55" w:rsidRPr="006B42D6" w:rsidRDefault="008A1E55" w:rsidP="00E16CAE">
            <w:pPr>
              <w:jc w:val="right"/>
              <w:rPr>
                <w:sz w:val="16"/>
                <w:szCs w:val="16"/>
              </w:rPr>
            </w:pPr>
            <w:r w:rsidRPr="006B42D6">
              <w:rPr>
                <w:sz w:val="16"/>
                <w:szCs w:val="16"/>
              </w:rPr>
              <w:t>-</w:t>
            </w:r>
          </w:p>
        </w:tc>
        <w:tc>
          <w:tcPr>
            <w:tcW w:w="905" w:type="dxa"/>
            <w:tcBorders>
              <w:top w:val="nil"/>
              <w:left w:val="nil"/>
              <w:bottom w:val="nil"/>
              <w:right w:val="nil"/>
            </w:tcBorders>
            <w:shd w:val="clear" w:color="auto" w:fill="auto"/>
            <w:noWrap/>
            <w:vAlign w:val="center"/>
            <w:hideMark/>
          </w:tcPr>
          <w:p w14:paraId="088AC917" w14:textId="77777777" w:rsidR="008A1E55" w:rsidRPr="006B42D6" w:rsidRDefault="008A1E55" w:rsidP="00E16CAE">
            <w:pPr>
              <w:jc w:val="right"/>
              <w:rPr>
                <w:sz w:val="16"/>
                <w:szCs w:val="16"/>
              </w:rPr>
            </w:pPr>
            <w:r w:rsidRPr="006B42D6">
              <w:rPr>
                <w:sz w:val="16"/>
                <w:szCs w:val="16"/>
              </w:rPr>
              <w:t>-</w:t>
            </w:r>
          </w:p>
        </w:tc>
        <w:tc>
          <w:tcPr>
            <w:tcW w:w="998" w:type="dxa"/>
            <w:tcBorders>
              <w:top w:val="nil"/>
              <w:left w:val="nil"/>
              <w:bottom w:val="nil"/>
              <w:right w:val="nil"/>
            </w:tcBorders>
            <w:shd w:val="clear" w:color="auto" w:fill="auto"/>
            <w:noWrap/>
            <w:vAlign w:val="center"/>
            <w:hideMark/>
          </w:tcPr>
          <w:p w14:paraId="4F51346C" w14:textId="77777777" w:rsidR="008A1E55" w:rsidRPr="006B42D6" w:rsidRDefault="008A1E55" w:rsidP="00E16CAE">
            <w:pPr>
              <w:jc w:val="right"/>
              <w:rPr>
                <w:sz w:val="16"/>
                <w:szCs w:val="16"/>
              </w:rPr>
            </w:pPr>
            <w:r w:rsidRPr="006B42D6">
              <w:rPr>
                <w:sz w:val="16"/>
                <w:szCs w:val="16"/>
              </w:rPr>
              <w:t>-</w:t>
            </w:r>
          </w:p>
        </w:tc>
        <w:tc>
          <w:tcPr>
            <w:tcW w:w="827" w:type="dxa"/>
            <w:tcBorders>
              <w:top w:val="nil"/>
              <w:left w:val="nil"/>
              <w:bottom w:val="nil"/>
              <w:right w:val="nil"/>
            </w:tcBorders>
            <w:shd w:val="clear" w:color="auto" w:fill="auto"/>
            <w:noWrap/>
            <w:vAlign w:val="center"/>
            <w:hideMark/>
          </w:tcPr>
          <w:p w14:paraId="7954EE7E" w14:textId="77777777" w:rsidR="008A1E55" w:rsidRPr="006B42D6" w:rsidRDefault="008A1E55" w:rsidP="00E16CAE">
            <w:pPr>
              <w:jc w:val="right"/>
              <w:rPr>
                <w:sz w:val="16"/>
                <w:szCs w:val="16"/>
              </w:rPr>
            </w:pPr>
            <w:r w:rsidRPr="006B42D6">
              <w:rPr>
                <w:sz w:val="16"/>
                <w:szCs w:val="16"/>
              </w:rPr>
              <w:t>79.5</w:t>
            </w:r>
          </w:p>
        </w:tc>
      </w:tr>
      <w:tr w:rsidR="006B42D6" w:rsidRPr="006B42D6" w14:paraId="6529FBC3" w14:textId="77777777" w:rsidTr="00143C67">
        <w:trPr>
          <w:trHeight w:hRule="exact" w:val="227"/>
        </w:trPr>
        <w:tc>
          <w:tcPr>
            <w:tcW w:w="1668" w:type="dxa"/>
            <w:tcBorders>
              <w:top w:val="nil"/>
              <w:left w:val="nil"/>
              <w:bottom w:val="nil"/>
              <w:right w:val="nil"/>
            </w:tcBorders>
            <w:shd w:val="clear" w:color="auto" w:fill="auto"/>
            <w:noWrap/>
            <w:vAlign w:val="center"/>
            <w:hideMark/>
          </w:tcPr>
          <w:p w14:paraId="3BF093CA" w14:textId="77777777" w:rsidR="008A1E55" w:rsidRPr="006B42D6" w:rsidRDefault="008A1E55" w:rsidP="00E16CAE">
            <w:pPr>
              <w:rPr>
                <w:sz w:val="16"/>
                <w:szCs w:val="16"/>
              </w:rPr>
            </w:pPr>
            <w:r w:rsidRPr="006B42D6">
              <w:rPr>
                <w:sz w:val="16"/>
                <w:szCs w:val="16"/>
              </w:rPr>
              <w:t>Kusini Pemba</w:t>
            </w:r>
          </w:p>
        </w:tc>
        <w:tc>
          <w:tcPr>
            <w:tcW w:w="977" w:type="dxa"/>
            <w:tcBorders>
              <w:top w:val="nil"/>
              <w:left w:val="nil"/>
              <w:bottom w:val="nil"/>
              <w:right w:val="nil"/>
            </w:tcBorders>
            <w:shd w:val="clear" w:color="auto" w:fill="auto"/>
            <w:noWrap/>
            <w:vAlign w:val="center"/>
            <w:hideMark/>
          </w:tcPr>
          <w:p w14:paraId="176288B3" w14:textId="77777777" w:rsidR="008A1E55" w:rsidRPr="006B42D6" w:rsidRDefault="008A1E55" w:rsidP="00E16CAE">
            <w:pPr>
              <w:jc w:val="right"/>
              <w:rPr>
                <w:sz w:val="16"/>
                <w:szCs w:val="16"/>
              </w:rPr>
            </w:pPr>
            <w:r w:rsidRPr="006B42D6">
              <w:rPr>
                <w:sz w:val="16"/>
                <w:szCs w:val="16"/>
              </w:rPr>
              <w:t>19.1</w:t>
            </w:r>
          </w:p>
        </w:tc>
        <w:tc>
          <w:tcPr>
            <w:tcW w:w="826" w:type="dxa"/>
            <w:tcBorders>
              <w:top w:val="nil"/>
              <w:left w:val="nil"/>
              <w:bottom w:val="nil"/>
              <w:right w:val="nil"/>
            </w:tcBorders>
            <w:shd w:val="clear" w:color="auto" w:fill="auto"/>
            <w:noWrap/>
            <w:vAlign w:val="center"/>
            <w:hideMark/>
          </w:tcPr>
          <w:p w14:paraId="3A22E61D" w14:textId="77777777" w:rsidR="008A1E55" w:rsidRPr="006B42D6" w:rsidRDefault="008A1E55" w:rsidP="00E16CAE">
            <w:pPr>
              <w:jc w:val="right"/>
              <w:rPr>
                <w:sz w:val="16"/>
                <w:szCs w:val="16"/>
              </w:rPr>
            </w:pPr>
            <w:r w:rsidRPr="006B42D6">
              <w:rPr>
                <w:sz w:val="16"/>
                <w:szCs w:val="16"/>
              </w:rPr>
              <w:t>-</w:t>
            </w:r>
          </w:p>
        </w:tc>
        <w:tc>
          <w:tcPr>
            <w:tcW w:w="1008" w:type="dxa"/>
            <w:tcBorders>
              <w:top w:val="nil"/>
              <w:left w:val="nil"/>
              <w:bottom w:val="nil"/>
              <w:right w:val="nil"/>
            </w:tcBorders>
            <w:shd w:val="clear" w:color="auto" w:fill="auto"/>
            <w:noWrap/>
            <w:vAlign w:val="center"/>
            <w:hideMark/>
          </w:tcPr>
          <w:p w14:paraId="67E2AB04" w14:textId="77777777" w:rsidR="008A1E55" w:rsidRPr="006B42D6" w:rsidRDefault="008A1E55" w:rsidP="00E16CAE">
            <w:pPr>
              <w:jc w:val="right"/>
              <w:rPr>
                <w:sz w:val="16"/>
                <w:szCs w:val="16"/>
              </w:rPr>
            </w:pPr>
            <w:r w:rsidRPr="006B42D6">
              <w:rPr>
                <w:sz w:val="16"/>
                <w:szCs w:val="16"/>
              </w:rPr>
              <w:t>-</w:t>
            </w:r>
          </w:p>
        </w:tc>
        <w:tc>
          <w:tcPr>
            <w:tcW w:w="979" w:type="dxa"/>
            <w:tcBorders>
              <w:top w:val="nil"/>
              <w:left w:val="nil"/>
              <w:bottom w:val="nil"/>
              <w:right w:val="nil"/>
            </w:tcBorders>
            <w:shd w:val="clear" w:color="auto" w:fill="auto"/>
            <w:noWrap/>
            <w:vAlign w:val="center"/>
            <w:hideMark/>
          </w:tcPr>
          <w:p w14:paraId="7DC7B967" w14:textId="77777777" w:rsidR="008A1E55" w:rsidRPr="006B42D6" w:rsidRDefault="008A1E55" w:rsidP="00E16CAE">
            <w:pPr>
              <w:jc w:val="right"/>
              <w:rPr>
                <w:sz w:val="16"/>
                <w:szCs w:val="16"/>
              </w:rPr>
            </w:pPr>
            <w:r w:rsidRPr="006B42D6">
              <w:rPr>
                <w:sz w:val="16"/>
                <w:szCs w:val="16"/>
              </w:rPr>
              <w:t>-</w:t>
            </w:r>
          </w:p>
        </w:tc>
        <w:tc>
          <w:tcPr>
            <w:tcW w:w="1086" w:type="dxa"/>
            <w:tcBorders>
              <w:top w:val="nil"/>
              <w:left w:val="nil"/>
              <w:bottom w:val="nil"/>
              <w:right w:val="nil"/>
            </w:tcBorders>
            <w:shd w:val="clear" w:color="auto" w:fill="auto"/>
            <w:noWrap/>
            <w:vAlign w:val="center"/>
            <w:hideMark/>
          </w:tcPr>
          <w:p w14:paraId="72209568" w14:textId="77777777" w:rsidR="008A1E55" w:rsidRPr="006B42D6" w:rsidRDefault="008A1E55" w:rsidP="00E16CAE">
            <w:pPr>
              <w:jc w:val="right"/>
              <w:rPr>
                <w:sz w:val="16"/>
                <w:szCs w:val="16"/>
              </w:rPr>
            </w:pPr>
            <w:r w:rsidRPr="006B42D6">
              <w:rPr>
                <w:sz w:val="16"/>
                <w:szCs w:val="16"/>
              </w:rPr>
              <w:t>44.3</w:t>
            </w:r>
          </w:p>
        </w:tc>
        <w:tc>
          <w:tcPr>
            <w:tcW w:w="950" w:type="dxa"/>
            <w:tcBorders>
              <w:top w:val="nil"/>
              <w:left w:val="nil"/>
              <w:bottom w:val="nil"/>
              <w:right w:val="nil"/>
            </w:tcBorders>
            <w:shd w:val="clear" w:color="auto" w:fill="auto"/>
            <w:noWrap/>
            <w:vAlign w:val="center"/>
            <w:hideMark/>
          </w:tcPr>
          <w:p w14:paraId="6710B3AF" w14:textId="77777777" w:rsidR="008A1E55" w:rsidRPr="006B42D6" w:rsidRDefault="008A1E55" w:rsidP="00E16CAE">
            <w:pPr>
              <w:jc w:val="right"/>
              <w:rPr>
                <w:sz w:val="16"/>
                <w:szCs w:val="16"/>
              </w:rPr>
            </w:pPr>
            <w:r w:rsidRPr="006B42D6">
              <w:rPr>
                <w:sz w:val="16"/>
                <w:szCs w:val="16"/>
              </w:rPr>
              <w:t>38.2</w:t>
            </w:r>
          </w:p>
        </w:tc>
        <w:tc>
          <w:tcPr>
            <w:tcW w:w="1039" w:type="dxa"/>
            <w:tcBorders>
              <w:top w:val="nil"/>
              <w:left w:val="nil"/>
              <w:bottom w:val="nil"/>
              <w:right w:val="nil"/>
            </w:tcBorders>
            <w:shd w:val="clear" w:color="auto" w:fill="auto"/>
            <w:noWrap/>
            <w:vAlign w:val="center"/>
            <w:hideMark/>
          </w:tcPr>
          <w:p w14:paraId="06CA38FD" w14:textId="77777777" w:rsidR="008A1E55" w:rsidRPr="006B42D6" w:rsidRDefault="008A1E55" w:rsidP="00E16CAE">
            <w:pPr>
              <w:jc w:val="right"/>
              <w:rPr>
                <w:sz w:val="16"/>
                <w:szCs w:val="16"/>
              </w:rPr>
            </w:pPr>
            <w:r w:rsidRPr="006B42D6">
              <w:rPr>
                <w:sz w:val="16"/>
                <w:szCs w:val="16"/>
              </w:rPr>
              <w:t>29.8</w:t>
            </w:r>
          </w:p>
        </w:tc>
        <w:tc>
          <w:tcPr>
            <w:tcW w:w="932" w:type="dxa"/>
            <w:tcBorders>
              <w:top w:val="nil"/>
              <w:left w:val="nil"/>
              <w:bottom w:val="nil"/>
              <w:right w:val="nil"/>
            </w:tcBorders>
            <w:shd w:val="clear" w:color="auto" w:fill="auto"/>
            <w:noWrap/>
            <w:vAlign w:val="center"/>
            <w:hideMark/>
          </w:tcPr>
          <w:p w14:paraId="16F8F16B" w14:textId="77777777" w:rsidR="008A1E55" w:rsidRPr="006B42D6" w:rsidRDefault="008A1E55" w:rsidP="00E16CAE">
            <w:pPr>
              <w:jc w:val="right"/>
              <w:rPr>
                <w:sz w:val="16"/>
                <w:szCs w:val="16"/>
              </w:rPr>
            </w:pPr>
            <w:r w:rsidRPr="006B42D6">
              <w:rPr>
                <w:sz w:val="16"/>
                <w:szCs w:val="16"/>
              </w:rPr>
              <w:t>-</w:t>
            </w:r>
          </w:p>
        </w:tc>
        <w:tc>
          <w:tcPr>
            <w:tcW w:w="1030" w:type="dxa"/>
            <w:tcBorders>
              <w:top w:val="nil"/>
              <w:left w:val="nil"/>
              <w:bottom w:val="nil"/>
              <w:right w:val="nil"/>
            </w:tcBorders>
            <w:shd w:val="clear" w:color="auto" w:fill="auto"/>
            <w:noWrap/>
            <w:vAlign w:val="center"/>
            <w:hideMark/>
          </w:tcPr>
          <w:p w14:paraId="67524F7D" w14:textId="77777777" w:rsidR="008A1E55" w:rsidRPr="006B42D6" w:rsidRDefault="008A1E55" w:rsidP="00E16CAE">
            <w:pPr>
              <w:jc w:val="right"/>
              <w:rPr>
                <w:sz w:val="16"/>
                <w:szCs w:val="16"/>
              </w:rPr>
            </w:pPr>
            <w:r w:rsidRPr="006B42D6">
              <w:rPr>
                <w:sz w:val="16"/>
                <w:szCs w:val="16"/>
              </w:rPr>
              <w:t>-</w:t>
            </w:r>
          </w:p>
        </w:tc>
        <w:tc>
          <w:tcPr>
            <w:tcW w:w="905" w:type="dxa"/>
            <w:tcBorders>
              <w:top w:val="nil"/>
              <w:left w:val="nil"/>
              <w:bottom w:val="nil"/>
              <w:right w:val="nil"/>
            </w:tcBorders>
            <w:shd w:val="clear" w:color="auto" w:fill="auto"/>
            <w:noWrap/>
            <w:vAlign w:val="center"/>
            <w:hideMark/>
          </w:tcPr>
          <w:p w14:paraId="5BC06266" w14:textId="77777777" w:rsidR="008A1E55" w:rsidRPr="006B42D6" w:rsidRDefault="008A1E55" w:rsidP="00E16CAE">
            <w:pPr>
              <w:jc w:val="right"/>
              <w:rPr>
                <w:sz w:val="16"/>
                <w:szCs w:val="16"/>
              </w:rPr>
            </w:pPr>
            <w:r w:rsidRPr="006B42D6">
              <w:rPr>
                <w:sz w:val="16"/>
                <w:szCs w:val="16"/>
              </w:rPr>
              <w:t>-</w:t>
            </w:r>
          </w:p>
        </w:tc>
        <w:tc>
          <w:tcPr>
            <w:tcW w:w="998" w:type="dxa"/>
            <w:tcBorders>
              <w:top w:val="nil"/>
              <w:left w:val="nil"/>
              <w:bottom w:val="nil"/>
              <w:right w:val="nil"/>
            </w:tcBorders>
            <w:shd w:val="clear" w:color="auto" w:fill="auto"/>
            <w:noWrap/>
            <w:vAlign w:val="center"/>
            <w:hideMark/>
          </w:tcPr>
          <w:p w14:paraId="7E8BC3C9" w14:textId="77777777" w:rsidR="008A1E55" w:rsidRPr="006B42D6" w:rsidRDefault="008A1E55" w:rsidP="00E16CAE">
            <w:pPr>
              <w:jc w:val="right"/>
              <w:rPr>
                <w:sz w:val="16"/>
                <w:szCs w:val="16"/>
              </w:rPr>
            </w:pPr>
            <w:r w:rsidRPr="006B42D6">
              <w:rPr>
                <w:sz w:val="16"/>
                <w:szCs w:val="16"/>
              </w:rPr>
              <w:t>-</w:t>
            </w:r>
          </w:p>
        </w:tc>
        <w:tc>
          <w:tcPr>
            <w:tcW w:w="827" w:type="dxa"/>
            <w:tcBorders>
              <w:top w:val="nil"/>
              <w:left w:val="nil"/>
              <w:bottom w:val="nil"/>
              <w:right w:val="nil"/>
            </w:tcBorders>
            <w:shd w:val="clear" w:color="auto" w:fill="auto"/>
            <w:noWrap/>
            <w:vAlign w:val="center"/>
            <w:hideMark/>
          </w:tcPr>
          <w:p w14:paraId="52E2E2F7" w14:textId="77777777" w:rsidR="008A1E55" w:rsidRPr="006B42D6" w:rsidRDefault="008A1E55" w:rsidP="00E16CAE">
            <w:pPr>
              <w:jc w:val="right"/>
              <w:rPr>
                <w:sz w:val="16"/>
                <w:szCs w:val="16"/>
              </w:rPr>
            </w:pPr>
            <w:r w:rsidRPr="006B42D6">
              <w:rPr>
                <w:sz w:val="16"/>
                <w:szCs w:val="16"/>
              </w:rPr>
              <w:t>-</w:t>
            </w:r>
          </w:p>
        </w:tc>
      </w:tr>
      <w:tr w:rsidR="00A41AC7" w:rsidRPr="00143C67" w14:paraId="082885F1" w14:textId="77777777" w:rsidTr="00143C67">
        <w:trPr>
          <w:trHeight w:hRule="exact" w:val="227"/>
        </w:trPr>
        <w:tc>
          <w:tcPr>
            <w:tcW w:w="1668" w:type="dxa"/>
            <w:tcBorders>
              <w:top w:val="single" w:sz="4" w:space="0" w:color="auto"/>
              <w:left w:val="nil"/>
              <w:bottom w:val="single" w:sz="4" w:space="0" w:color="auto"/>
              <w:right w:val="nil"/>
            </w:tcBorders>
            <w:shd w:val="clear" w:color="auto" w:fill="E2EFD9" w:themeFill="accent6" w:themeFillTint="33"/>
            <w:noWrap/>
            <w:vAlign w:val="center"/>
            <w:hideMark/>
          </w:tcPr>
          <w:p w14:paraId="16AC6679" w14:textId="77777777" w:rsidR="008A1E55" w:rsidRPr="00143C67" w:rsidRDefault="008A1E55" w:rsidP="00E16CAE">
            <w:pPr>
              <w:rPr>
                <w:b/>
                <w:sz w:val="16"/>
                <w:szCs w:val="16"/>
              </w:rPr>
            </w:pPr>
            <w:r w:rsidRPr="00143C67">
              <w:rPr>
                <w:b/>
                <w:sz w:val="16"/>
                <w:szCs w:val="16"/>
              </w:rPr>
              <w:t>Tanzania Zanzibar</w:t>
            </w:r>
          </w:p>
        </w:tc>
        <w:tc>
          <w:tcPr>
            <w:tcW w:w="977" w:type="dxa"/>
            <w:tcBorders>
              <w:top w:val="single" w:sz="4" w:space="0" w:color="auto"/>
              <w:left w:val="nil"/>
              <w:bottom w:val="single" w:sz="4" w:space="0" w:color="auto"/>
              <w:right w:val="nil"/>
            </w:tcBorders>
            <w:shd w:val="clear" w:color="auto" w:fill="E2EFD9" w:themeFill="accent6" w:themeFillTint="33"/>
            <w:noWrap/>
            <w:vAlign w:val="center"/>
            <w:hideMark/>
          </w:tcPr>
          <w:p w14:paraId="6EE3E262" w14:textId="77777777" w:rsidR="008A1E55" w:rsidRPr="00143C67" w:rsidRDefault="008A1E55" w:rsidP="00E16CAE">
            <w:pPr>
              <w:jc w:val="right"/>
              <w:rPr>
                <w:b/>
                <w:sz w:val="16"/>
                <w:szCs w:val="16"/>
              </w:rPr>
            </w:pPr>
            <w:r w:rsidRPr="00143C67">
              <w:rPr>
                <w:b/>
                <w:sz w:val="16"/>
                <w:szCs w:val="16"/>
              </w:rPr>
              <w:t>100.0</w:t>
            </w:r>
          </w:p>
        </w:tc>
        <w:tc>
          <w:tcPr>
            <w:tcW w:w="826" w:type="dxa"/>
            <w:tcBorders>
              <w:top w:val="single" w:sz="4" w:space="0" w:color="auto"/>
              <w:left w:val="nil"/>
              <w:bottom w:val="single" w:sz="4" w:space="0" w:color="auto"/>
              <w:right w:val="nil"/>
            </w:tcBorders>
            <w:shd w:val="clear" w:color="auto" w:fill="E2EFD9" w:themeFill="accent6" w:themeFillTint="33"/>
            <w:noWrap/>
            <w:vAlign w:val="center"/>
            <w:hideMark/>
          </w:tcPr>
          <w:p w14:paraId="3770ACCF" w14:textId="77777777" w:rsidR="008A1E55" w:rsidRPr="00143C67" w:rsidRDefault="008A1E55" w:rsidP="00E16CAE">
            <w:pPr>
              <w:jc w:val="right"/>
              <w:rPr>
                <w:b/>
                <w:sz w:val="16"/>
                <w:szCs w:val="16"/>
              </w:rPr>
            </w:pPr>
            <w:r w:rsidRPr="00143C67">
              <w:rPr>
                <w:b/>
                <w:sz w:val="16"/>
                <w:szCs w:val="16"/>
              </w:rPr>
              <w:t>100.0</w:t>
            </w:r>
          </w:p>
        </w:tc>
        <w:tc>
          <w:tcPr>
            <w:tcW w:w="1008" w:type="dxa"/>
            <w:tcBorders>
              <w:top w:val="single" w:sz="4" w:space="0" w:color="auto"/>
              <w:left w:val="nil"/>
              <w:bottom w:val="single" w:sz="4" w:space="0" w:color="auto"/>
              <w:right w:val="nil"/>
            </w:tcBorders>
            <w:shd w:val="clear" w:color="auto" w:fill="E2EFD9" w:themeFill="accent6" w:themeFillTint="33"/>
            <w:noWrap/>
            <w:vAlign w:val="center"/>
            <w:hideMark/>
          </w:tcPr>
          <w:p w14:paraId="78A2478E" w14:textId="77777777" w:rsidR="008A1E55" w:rsidRPr="00143C67" w:rsidRDefault="008A1E55" w:rsidP="00E16CAE">
            <w:pPr>
              <w:jc w:val="right"/>
              <w:rPr>
                <w:b/>
                <w:sz w:val="16"/>
                <w:szCs w:val="16"/>
              </w:rPr>
            </w:pPr>
            <w:r w:rsidRPr="00143C67">
              <w:rPr>
                <w:b/>
                <w:sz w:val="16"/>
                <w:szCs w:val="16"/>
              </w:rPr>
              <w:t>100.0</w:t>
            </w:r>
          </w:p>
        </w:tc>
        <w:tc>
          <w:tcPr>
            <w:tcW w:w="979" w:type="dxa"/>
            <w:tcBorders>
              <w:top w:val="single" w:sz="4" w:space="0" w:color="auto"/>
              <w:left w:val="nil"/>
              <w:bottom w:val="single" w:sz="4" w:space="0" w:color="auto"/>
              <w:right w:val="nil"/>
            </w:tcBorders>
            <w:shd w:val="clear" w:color="auto" w:fill="E2EFD9" w:themeFill="accent6" w:themeFillTint="33"/>
            <w:noWrap/>
            <w:vAlign w:val="center"/>
            <w:hideMark/>
          </w:tcPr>
          <w:p w14:paraId="04A001EF" w14:textId="77777777" w:rsidR="008A1E55" w:rsidRPr="00143C67" w:rsidRDefault="008A1E55" w:rsidP="00E16CAE">
            <w:pPr>
              <w:jc w:val="right"/>
              <w:rPr>
                <w:b/>
                <w:sz w:val="16"/>
                <w:szCs w:val="16"/>
              </w:rPr>
            </w:pPr>
            <w:r w:rsidRPr="00143C67">
              <w:rPr>
                <w:b/>
                <w:sz w:val="16"/>
                <w:szCs w:val="16"/>
              </w:rPr>
              <w:t>100.0</w:t>
            </w:r>
          </w:p>
        </w:tc>
        <w:tc>
          <w:tcPr>
            <w:tcW w:w="1086" w:type="dxa"/>
            <w:tcBorders>
              <w:top w:val="single" w:sz="4" w:space="0" w:color="auto"/>
              <w:left w:val="nil"/>
              <w:bottom w:val="single" w:sz="4" w:space="0" w:color="auto"/>
              <w:right w:val="nil"/>
            </w:tcBorders>
            <w:shd w:val="clear" w:color="auto" w:fill="E2EFD9" w:themeFill="accent6" w:themeFillTint="33"/>
            <w:noWrap/>
            <w:vAlign w:val="center"/>
            <w:hideMark/>
          </w:tcPr>
          <w:p w14:paraId="0976DE4E" w14:textId="77777777" w:rsidR="008A1E55" w:rsidRPr="00143C67" w:rsidRDefault="008A1E55" w:rsidP="00E16CAE">
            <w:pPr>
              <w:jc w:val="right"/>
              <w:rPr>
                <w:b/>
                <w:sz w:val="16"/>
                <w:szCs w:val="16"/>
              </w:rPr>
            </w:pPr>
            <w:r w:rsidRPr="00143C67">
              <w:rPr>
                <w:b/>
                <w:sz w:val="16"/>
                <w:szCs w:val="16"/>
              </w:rPr>
              <w:t>100.0</w:t>
            </w:r>
          </w:p>
        </w:tc>
        <w:tc>
          <w:tcPr>
            <w:tcW w:w="950" w:type="dxa"/>
            <w:tcBorders>
              <w:top w:val="single" w:sz="4" w:space="0" w:color="auto"/>
              <w:left w:val="nil"/>
              <w:bottom w:val="single" w:sz="4" w:space="0" w:color="auto"/>
              <w:right w:val="nil"/>
            </w:tcBorders>
            <w:shd w:val="clear" w:color="auto" w:fill="E2EFD9" w:themeFill="accent6" w:themeFillTint="33"/>
            <w:noWrap/>
            <w:vAlign w:val="center"/>
            <w:hideMark/>
          </w:tcPr>
          <w:p w14:paraId="303B1DD2" w14:textId="77777777" w:rsidR="008A1E55" w:rsidRPr="00143C67" w:rsidRDefault="008A1E55" w:rsidP="00E16CAE">
            <w:pPr>
              <w:jc w:val="right"/>
              <w:rPr>
                <w:b/>
                <w:sz w:val="16"/>
                <w:szCs w:val="16"/>
              </w:rPr>
            </w:pPr>
            <w:r w:rsidRPr="00143C67">
              <w:rPr>
                <w:b/>
                <w:sz w:val="16"/>
                <w:szCs w:val="16"/>
              </w:rPr>
              <w:t>100.0</w:t>
            </w:r>
          </w:p>
        </w:tc>
        <w:tc>
          <w:tcPr>
            <w:tcW w:w="1039" w:type="dxa"/>
            <w:tcBorders>
              <w:top w:val="single" w:sz="4" w:space="0" w:color="auto"/>
              <w:left w:val="nil"/>
              <w:bottom w:val="single" w:sz="4" w:space="0" w:color="auto"/>
              <w:right w:val="nil"/>
            </w:tcBorders>
            <w:shd w:val="clear" w:color="auto" w:fill="E2EFD9" w:themeFill="accent6" w:themeFillTint="33"/>
            <w:noWrap/>
            <w:vAlign w:val="center"/>
            <w:hideMark/>
          </w:tcPr>
          <w:p w14:paraId="66F3BFB4" w14:textId="77777777" w:rsidR="008A1E55" w:rsidRPr="00143C67" w:rsidRDefault="008A1E55" w:rsidP="00E16CAE">
            <w:pPr>
              <w:jc w:val="right"/>
              <w:rPr>
                <w:b/>
                <w:sz w:val="16"/>
                <w:szCs w:val="16"/>
              </w:rPr>
            </w:pPr>
            <w:r w:rsidRPr="00143C67">
              <w:rPr>
                <w:b/>
                <w:sz w:val="16"/>
                <w:szCs w:val="16"/>
              </w:rPr>
              <w:t>100.0</w:t>
            </w:r>
          </w:p>
        </w:tc>
        <w:tc>
          <w:tcPr>
            <w:tcW w:w="932" w:type="dxa"/>
            <w:tcBorders>
              <w:top w:val="single" w:sz="4" w:space="0" w:color="auto"/>
              <w:left w:val="nil"/>
              <w:bottom w:val="single" w:sz="4" w:space="0" w:color="auto"/>
              <w:right w:val="nil"/>
            </w:tcBorders>
            <w:shd w:val="clear" w:color="auto" w:fill="E2EFD9" w:themeFill="accent6" w:themeFillTint="33"/>
            <w:noWrap/>
            <w:vAlign w:val="center"/>
            <w:hideMark/>
          </w:tcPr>
          <w:p w14:paraId="300E41FF" w14:textId="77777777" w:rsidR="008A1E55" w:rsidRPr="00143C67" w:rsidRDefault="008A1E55" w:rsidP="00E16CAE">
            <w:pPr>
              <w:jc w:val="right"/>
              <w:rPr>
                <w:b/>
                <w:sz w:val="16"/>
                <w:szCs w:val="16"/>
              </w:rPr>
            </w:pPr>
            <w:r w:rsidRPr="00143C67">
              <w:rPr>
                <w:b/>
                <w:sz w:val="16"/>
                <w:szCs w:val="16"/>
              </w:rPr>
              <w:t>-</w:t>
            </w:r>
          </w:p>
        </w:tc>
        <w:tc>
          <w:tcPr>
            <w:tcW w:w="1030" w:type="dxa"/>
            <w:tcBorders>
              <w:top w:val="single" w:sz="4" w:space="0" w:color="auto"/>
              <w:left w:val="nil"/>
              <w:bottom w:val="single" w:sz="4" w:space="0" w:color="auto"/>
              <w:right w:val="nil"/>
            </w:tcBorders>
            <w:shd w:val="clear" w:color="auto" w:fill="E2EFD9" w:themeFill="accent6" w:themeFillTint="33"/>
            <w:noWrap/>
            <w:vAlign w:val="center"/>
            <w:hideMark/>
          </w:tcPr>
          <w:p w14:paraId="2E0692CD" w14:textId="77777777" w:rsidR="008A1E55" w:rsidRPr="00143C67" w:rsidRDefault="008A1E55" w:rsidP="00E16CAE">
            <w:pPr>
              <w:jc w:val="right"/>
              <w:rPr>
                <w:b/>
                <w:sz w:val="16"/>
                <w:szCs w:val="16"/>
              </w:rPr>
            </w:pPr>
            <w:r w:rsidRPr="00143C67">
              <w:rPr>
                <w:b/>
                <w:sz w:val="16"/>
                <w:szCs w:val="16"/>
              </w:rPr>
              <w:t>-</w:t>
            </w:r>
          </w:p>
        </w:tc>
        <w:tc>
          <w:tcPr>
            <w:tcW w:w="905" w:type="dxa"/>
            <w:tcBorders>
              <w:top w:val="single" w:sz="4" w:space="0" w:color="auto"/>
              <w:left w:val="nil"/>
              <w:bottom w:val="single" w:sz="4" w:space="0" w:color="auto"/>
              <w:right w:val="nil"/>
            </w:tcBorders>
            <w:shd w:val="clear" w:color="auto" w:fill="E2EFD9" w:themeFill="accent6" w:themeFillTint="33"/>
            <w:noWrap/>
            <w:vAlign w:val="center"/>
            <w:hideMark/>
          </w:tcPr>
          <w:p w14:paraId="4D3AA108" w14:textId="77777777" w:rsidR="008A1E55" w:rsidRPr="00143C67" w:rsidRDefault="008A1E55" w:rsidP="00E16CAE">
            <w:pPr>
              <w:jc w:val="right"/>
              <w:rPr>
                <w:b/>
                <w:sz w:val="16"/>
                <w:szCs w:val="16"/>
              </w:rPr>
            </w:pPr>
            <w:r w:rsidRPr="00143C67">
              <w:rPr>
                <w:b/>
                <w:sz w:val="16"/>
                <w:szCs w:val="16"/>
              </w:rPr>
              <w:t>-</w:t>
            </w:r>
          </w:p>
        </w:tc>
        <w:tc>
          <w:tcPr>
            <w:tcW w:w="998" w:type="dxa"/>
            <w:tcBorders>
              <w:top w:val="single" w:sz="4" w:space="0" w:color="auto"/>
              <w:left w:val="nil"/>
              <w:bottom w:val="single" w:sz="4" w:space="0" w:color="auto"/>
              <w:right w:val="nil"/>
            </w:tcBorders>
            <w:shd w:val="clear" w:color="auto" w:fill="E2EFD9" w:themeFill="accent6" w:themeFillTint="33"/>
            <w:noWrap/>
            <w:vAlign w:val="center"/>
            <w:hideMark/>
          </w:tcPr>
          <w:p w14:paraId="5D409296" w14:textId="77777777" w:rsidR="008A1E55" w:rsidRPr="00143C67" w:rsidRDefault="008A1E55" w:rsidP="00E16CAE">
            <w:pPr>
              <w:jc w:val="right"/>
              <w:rPr>
                <w:b/>
                <w:sz w:val="16"/>
                <w:szCs w:val="16"/>
              </w:rPr>
            </w:pPr>
            <w:r w:rsidRPr="00143C67">
              <w:rPr>
                <w:b/>
                <w:sz w:val="16"/>
                <w:szCs w:val="16"/>
              </w:rPr>
              <w:t>-</w:t>
            </w:r>
          </w:p>
        </w:tc>
        <w:tc>
          <w:tcPr>
            <w:tcW w:w="827" w:type="dxa"/>
            <w:tcBorders>
              <w:top w:val="single" w:sz="4" w:space="0" w:color="auto"/>
              <w:left w:val="nil"/>
              <w:bottom w:val="single" w:sz="4" w:space="0" w:color="auto"/>
              <w:right w:val="nil"/>
            </w:tcBorders>
            <w:shd w:val="clear" w:color="auto" w:fill="E2EFD9" w:themeFill="accent6" w:themeFillTint="33"/>
            <w:noWrap/>
            <w:vAlign w:val="center"/>
            <w:hideMark/>
          </w:tcPr>
          <w:p w14:paraId="114466CD" w14:textId="77777777" w:rsidR="008A1E55" w:rsidRPr="00143C67" w:rsidRDefault="008A1E55" w:rsidP="00E16CAE">
            <w:pPr>
              <w:jc w:val="right"/>
              <w:rPr>
                <w:b/>
                <w:sz w:val="16"/>
                <w:szCs w:val="16"/>
              </w:rPr>
            </w:pPr>
            <w:r w:rsidRPr="00143C67">
              <w:rPr>
                <w:b/>
                <w:sz w:val="16"/>
                <w:szCs w:val="16"/>
              </w:rPr>
              <w:t>100.0</w:t>
            </w:r>
          </w:p>
        </w:tc>
      </w:tr>
    </w:tbl>
    <w:p w14:paraId="15A71C43" w14:textId="77777777" w:rsidR="008A1E55" w:rsidRPr="006B42D6" w:rsidRDefault="008A1E55" w:rsidP="008A1E55">
      <w:pPr>
        <w:pStyle w:val="Heading2"/>
        <w:sectPr w:rsidR="008A1E55" w:rsidRPr="006B42D6" w:rsidSect="00DD3FC5">
          <w:pgSz w:w="16840" w:h="11900" w:orient="landscape" w:code="9"/>
          <w:pgMar w:top="1440" w:right="1440" w:bottom="1440" w:left="1440" w:header="709" w:footer="709" w:gutter="0"/>
          <w:cols w:space="708"/>
          <w:docGrid w:linePitch="360"/>
        </w:sectPr>
      </w:pPr>
    </w:p>
    <w:p w14:paraId="46F3E22C" w14:textId="27D750DB" w:rsidR="008A1E55" w:rsidRPr="006B42D6" w:rsidRDefault="006C1D68" w:rsidP="008A1E55">
      <w:pPr>
        <w:pStyle w:val="Heading2"/>
      </w:pPr>
      <w:bookmarkStart w:id="870" w:name="_Toc82385802"/>
      <w:r w:rsidRPr="006B42D6">
        <w:lastRenderedPageBreak/>
        <w:t>6</w:t>
      </w:r>
      <w:r w:rsidR="008A1E55" w:rsidRPr="006B42D6">
        <w:t>.</w:t>
      </w:r>
      <w:r w:rsidR="00AC6872">
        <w:t>6</w:t>
      </w:r>
      <w:r w:rsidR="008A1E55" w:rsidRPr="006B42D6">
        <w:tab/>
      </w:r>
      <w:r w:rsidR="00011DD0">
        <w:t xml:space="preserve">Main </w:t>
      </w:r>
      <w:r w:rsidR="008A1E55" w:rsidRPr="006B42D6">
        <w:t>Source of Energy for Lighting</w:t>
      </w:r>
      <w:bookmarkEnd w:id="870"/>
    </w:p>
    <w:p w14:paraId="153895CB" w14:textId="680A3DE7" w:rsidR="008A1E55" w:rsidRPr="006B42D6" w:rsidRDefault="008A1E55" w:rsidP="008A1E55">
      <w:r w:rsidRPr="006B42D6">
        <w:t>The 2019/20 NSCA results show that, majority of agricultural households (3,189,141; 40.7 percent)</w:t>
      </w:r>
      <w:r w:rsidR="00FA2416">
        <w:t xml:space="preserve"> in Tanzania</w:t>
      </w:r>
      <w:r w:rsidRPr="006B42D6">
        <w:t xml:space="preserve"> reported to use solar as the</w:t>
      </w:r>
      <w:r w:rsidR="00011DD0">
        <w:t xml:space="preserve"> main</w:t>
      </w:r>
      <w:r w:rsidRPr="006B42D6">
        <w:t xml:space="preserve"> source of energy for lighting, followed by </w:t>
      </w:r>
      <w:r w:rsidR="00FA2416" w:rsidRPr="006B42D6">
        <w:t xml:space="preserve">torch/rechargeable lamp </w:t>
      </w:r>
      <w:r w:rsidR="00FA2416">
        <w:t>(</w:t>
      </w:r>
      <w:r w:rsidRPr="006B42D6">
        <w:t>2,232,833 households</w:t>
      </w:r>
      <w:r w:rsidR="00FA2416">
        <w:t xml:space="preserve">; </w:t>
      </w:r>
      <w:r w:rsidRPr="006B42D6">
        <w:t xml:space="preserve">28.5 percent) and </w:t>
      </w:r>
      <w:r w:rsidR="00FA2416" w:rsidRPr="006B42D6">
        <w:t xml:space="preserve">electricity </w:t>
      </w:r>
      <w:r w:rsidR="00FA2416">
        <w:t>(</w:t>
      </w:r>
      <w:r w:rsidRPr="006B42D6">
        <w:t>1,554,824 households</w:t>
      </w:r>
      <w:r w:rsidR="00FA2416">
        <w:t xml:space="preserve">; </w:t>
      </w:r>
      <w:r w:rsidRPr="006B42D6">
        <w:t>19.8 percent). The least number of households (6,625; 0.1 percent) were reported to use biogas</w:t>
      </w:r>
      <w:r w:rsidR="00FA2416">
        <w:t xml:space="preserve"> as the main source energy for lighting</w:t>
      </w:r>
      <w:r w:rsidRPr="006B42D6">
        <w:t xml:space="preserve"> (Table </w:t>
      </w:r>
      <w:r w:rsidR="006C1D68" w:rsidRPr="006B42D6">
        <w:t>6</w:t>
      </w:r>
      <w:r w:rsidRPr="006B42D6">
        <w:t>.11).</w:t>
      </w:r>
    </w:p>
    <w:p w14:paraId="36D73E20" w14:textId="77777777" w:rsidR="008A1E55" w:rsidRPr="006B42D6" w:rsidRDefault="008A1E55" w:rsidP="007A3EC9">
      <w:pPr>
        <w:spacing w:line="240" w:lineRule="auto"/>
      </w:pPr>
    </w:p>
    <w:p w14:paraId="7A771FFF" w14:textId="5A6FD955" w:rsidR="008A1E55" w:rsidRPr="006B42D6" w:rsidRDefault="008A1E55" w:rsidP="007200F6">
      <w:pPr>
        <w:pStyle w:val="Heading7"/>
      </w:pPr>
      <w:bookmarkStart w:id="871" w:name="_Toc82386246"/>
      <w:r w:rsidRPr="006B42D6">
        <w:t xml:space="preserve">Table </w:t>
      </w:r>
      <w:r w:rsidR="006C1D68" w:rsidRPr="006B42D6">
        <w:t>6</w:t>
      </w:r>
      <w:r w:rsidRPr="006B42D6">
        <w:t>.11</w:t>
      </w:r>
      <w:r w:rsidR="005420E0">
        <w:t>:</w:t>
      </w:r>
      <w:r w:rsidR="007A288F">
        <w:tab/>
      </w:r>
      <w:r w:rsidRPr="006B42D6">
        <w:t>Number and Percentage of Agricultural Households Reported Main Source of Energy for Cooking during 2019/20 Agricultural Year, Tanzania</w:t>
      </w:r>
      <w:bookmarkEnd w:id="871"/>
    </w:p>
    <w:tbl>
      <w:tblPr>
        <w:tblW w:w="9214" w:type="dxa"/>
        <w:tblLayout w:type="fixed"/>
        <w:tblLook w:val="04A0" w:firstRow="1" w:lastRow="0" w:firstColumn="1" w:lastColumn="0" w:noHBand="0" w:noVBand="1"/>
      </w:tblPr>
      <w:tblGrid>
        <w:gridCol w:w="2410"/>
        <w:gridCol w:w="1418"/>
        <w:gridCol w:w="992"/>
        <w:gridCol w:w="1276"/>
        <w:gridCol w:w="992"/>
        <w:gridCol w:w="1134"/>
        <w:gridCol w:w="992"/>
      </w:tblGrid>
      <w:tr w:rsidR="006B42D6" w:rsidRPr="006B42D6" w14:paraId="41AAE9B1" w14:textId="77777777" w:rsidTr="004F65CD">
        <w:trPr>
          <w:trHeight w:val="300"/>
        </w:trPr>
        <w:tc>
          <w:tcPr>
            <w:tcW w:w="2410" w:type="dxa"/>
            <w:vMerge w:val="restart"/>
            <w:tcBorders>
              <w:top w:val="single" w:sz="4" w:space="0" w:color="auto"/>
              <w:left w:val="nil"/>
              <w:bottom w:val="single" w:sz="4" w:space="0" w:color="000000"/>
              <w:right w:val="nil"/>
            </w:tcBorders>
            <w:shd w:val="clear" w:color="auto" w:fill="E2EFD9" w:themeFill="accent6" w:themeFillTint="33"/>
            <w:noWrap/>
            <w:vAlign w:val="center"/>
            <w:hideMark/>
          </w:tcPr>
          <w:p w14:paraId="471379B0" w14:textId="77777777" w:rsidR="008A1E55" w:rsidRPr="006B42D6" w:rsidRDefault="008A1E55" w:rsidP="00143C67">
            <w:pPr>
              <w:spacing w:line="240" w:lineRule="auto"/>
              <w:rPr>
                <w:sz w:val="20"/>
                <w:szCs w:val="20"/>
              </w:rPr>
            </w:pPr>
            <w:r w:rsidRPr="006B42D6">
              <w:rPr>
                <w:sz w:val="20"/>
                <w:szCs w:val="20"/>
              </w:rPr>
              <w:t>Main Source</w:t>
            </w:r>
          </w:p>
        </w:tc>
        <w:tc>
          <w:tcPr>
            <w:tcW w:w="2410" w:type="dxa"/>
            <w:gridSpan w:val="2"/>
            <w:tcBorders>
              <w:top w:val="single" w:sz="4" w:space="0" w:color="auto"/>
              <w:left w:val="nil"/>
              <w:bottom w:val="single" w:sz="4" w:space="0" w:color="auto"/>
              <w:right w:val="nil"/>
            </w:tcBorders>
            <w:shd w:val="clear" w:color="auto" w:fill="E2EFD9" w:themeFill="accent6" w:themeFillTint="33"/>
            <w:noWrap/>
            <w:vAlign w:val="center"/>
            <w:hideMark/>
          </w:tcPr>
          <w:p w14:paraId="51303F1C" w14:textId="77777777" w:rsidR="008A1E55" w:rsidRPr="006B42D6" w:rsidRDefault="008A1E55" w:rsidP="00143C67">
            <w:pPr>
              <w:spacing w:line="240" w:lineRule="auto"/>
              <w:jc w:val="center"/>
              <w:rPr>
                <w:sz w:val="20"/>
                <w:szCs w:val="20"/>
              </w:rPr>
            </w:pPr>
            <w:r w:rsidRPr="006B42D6">
              <w:rPr>
                <w:sz w:val="20"/>
                <w:szCs w:val="20"/>
              </w:rPr>
              <w:t xml:space="preserve">Tanzania </w:t>
            </w:r>
          </w:p>
        </w:tc>
        <w:tc>
          <w:tcPr>
            <w:tcW w:w="2268" w:type="dxa"/>
            <w:gridSpan w:val="2"/>
            <w:tcBorders>
              <w:top w:val="single" w:sz="4" w:space="0" w:color="auto"/>
              <w:left w:val="nil"/>
              <w:bottom w:val="single" w:sz="4" w:space="0" w:color="auto"/>
              <w:right w:val="nil"/>
            </w:tcBorders>
            <w:shd w:val="clear" w:color="auto" w:fill="E2EFD9" w:themeFill="accent6" w:themeFillTint="33"/>
            <w:noWrap/>
            <w:vAlign w:val="center"/>
            <w:hideMark/>
          </w:tcPr>
          <w:p w14:paraId="42F1FDC6" w14:textId="2A46A508" w:rsidR="008A1E55" w:rsidRPr="006B42D6" w:rsidRDefault="00EA1552" w:rsidP="00143C67">
            <w:pPr>
              <w:spacing w:line="240" w:lineRule="auto"/>
              <w:jc w:val="center"/>
              <w:rPr>
                <w:sz w:val="20"/>
                <w:szCs w:val="20"/>
              </w:rPr>
            </w:pPr>
            <w:r>
              <w:rPr>
                <w:sz w:val="20"/>
                <w:szCs w:val="20"/>
              </w:rPr>
              <w:t>Mainland Tanzania</w:t>
            </w:r>
          </w:p>
        </w:tc>
        <w:tc>
          <w:tcPr>
            <w:tcW w:w="2126" w:type="dxa"/>
            <w:gridSpan w:val="2"/>
            <w:tcBorders>
              <w:top w:val="single" w:sz="4" w:space="0" w:color="auto"/>
              <w:left w:val="nil"/>
              <w:bottom w:val="single" w:sz="4" w:space="0" w:color="auto"/>
              <w:right w:val="nil"/>
            </w:tcBorders>
            <w:shd w:val="clear" w:color="auto" w:fill="E2EFD9" w:themeFill="accent6" w:themeFillTint="33"/>
            <w:noWrap/>
            <w:vAlign w:val="center"/>
            <w:hideMark/>
          </w:tcPr>
          <w:p w14:paraId="58A15E49" w14:textId="77777777" w:rsidR="008A1E55" w:rsidRPr="006B42D6" w:rsidRDefault="008A1E55" w:rsidP="00143C67">
            <w:pPr>
              <w:spacing w:line="240" w:lineRule="auto"/>
              <w:jc w:val="center"/>
              <w:rPr>
                <w:sz w:val="20"/>
                <w:szCs w:val="20"/>
              </w:rPr>
            </w:pPr>
            <w:r w:rsidRPr="006B42D6">
              <w:rPr>
                <w:sz w:val="20"/>
                <w:szCs w:val="20"/>
              </w:rPr>
              <w:t>Tanzania Zanzibar</w:t>
            </w:r>
          </w:p>
        </w:tc>
      </w:tr>
      <w:tr w:rsidR="006B42D6" w:rsidRPr="006B42D6" w14:paraId="37A24AAF" w14:textId="77777777" w:rsidTr="004F65CD">
        <w:trPr>
          <w:trHeight w:val="300"/>
        </w:trPr>
        <w:tc>
          <w:tcPr>
            <w:tcW w:w="2410" w:type="dxa"/>
            <w:vMerge/>
            <w:tcBorders>
              <w:top w:val="single" w:sz="4" w:space="0" w:color="auto"/>
              <w:left w:val="nil"/>
              <w:bottom w:val="single" w:sz="4" w:space="0" w:color="000000"/>
              <w:right w:val="nil"/>
            </w:tcBorders>
            <w:shd w:val="clear" w:color="auto" w:fill="E2EFD9" w:themeFill="accent6" w:themeFillTint="33"/>
            <w:vAlign w:val="center"/>
            <w:hideMark/>
          </w:tcPr>
          <w:p w14:paraId="54D3F69A" w14:textId="77777777" w:rsidR="008A1E55" w:rsidRPr="006B42D6" w:rsidRDefault="008A1E55" w:rsidP="00143C67">
            <w:pPr>
              <w:spacing w:line="240" w:lineRule="auto"/>
              <w:rPr>
                <w:sz w:val="20"/>
                <w:szCs w:val="20"/>
              </w:rPr>
            </w:pPr>
          </w:p>
        </w:tc>
        <w:tc>
          <w:tcPr>
            <w:tcW w:w="1418" w:type="dxa"/>
            <w:tcBorders>
              <w:top w:val="single" w:sz="4" w:space="0" w:color="auto"/>
              <w:left w:val="nil"/>
              <w:bottom w:val="single" w:sz="4" w:space="0" w:color="auto"/>
              <w:right w:val="nil"/>
            </w:tcBorders>
            <w:shd w:val="clear" w:color="auto" w:fill="E2EFD9" w:themeFill="accent6" w:themeFillTint="33"/>
            <w:noWrap/>
            <w:vAlign w:val="center"/>
            <w:hideMark/>
          </w:tcPr>
          <w:p w14:paraId="62A860D6" w14:textId="77777777" w:rsidR="008A1E55" w:rsidRPr="006B42D6" w:rsidRDefault="008A1E55" w:rsidP="00143C67">
            <w:pPr>
              <w:spacing w:line="240" w:lineRule="auto"/>
              <w:jc w:val="center"/>
              <w:rPr>
                <w:sz w:val="20"/>
                <w:szCs w:val="20"/>
              </w:rPr>
            </w:pPr>
            <w:r w:rsidRPr="006B42D6">
              <w:rPr>
                <w:sz w:val="20"/>
                <w:szCs w:val="20"/>
              </w:rPr>
              <w:t>Number</w:t>
            </w:r>
          </w:p>
        </w:tc>
        <w:tc>
          <w:tcPr>
            <w:tcW w:w="992" w:type="dxa"/>
            <w:tcBorders>
              <w:top w:val="single" w:sz="4" w:space="0" w:color="auto"/>
              <w:left w:val="nil"/>
              <w:bottom w:val="single" w:sz="4" w:space="0" w:color="auto"/>
              <w:right w:val="nil"/>
            </w:tcBorders>
            <w:shd w:val="clear" w:color="auto" w:fill="E2EFD9" w:themeFill="accent6" w:themeFillTint="33"/>
            <w:noWrap/>
            <w:vAlign w:val="center"/>
            <w:hideMark/>
          </w:tcPr>
          <w:p w14:paraId="7097EB59" w14:textId="77777777" w:rsidR="008A1E55" w:rsidRPr="006B42D6" w:rsidRDefault="008A1E55" w:rsidP="00143C67">
            <w:pPr>
              <w:spacing w:line="240" w:lineRule="auto"/>
              <w:jc w:val="center"/>
              <w:rPr>
                <w:sz w:val="20"/>
                <w:szCs w:val="20"/>
              </w:rPr>
            </w:pPr>
            <w:r w:rsidRPr="006B42D6">
              <w:rPr>
                <w:sz w:val="20"/>
                <w:szCs w:val="20"/>
              </w:rPr>
              <w:t>Percent</w:t>
            </w:r>
          </w:p>
        </w:tc>
        <w:tc>
          <w:tcPr>
            <w:tcW w:w="1276" w:type="dxa"/>
            <w:tcBorders>
              <w:top w:val="single" w:sz="4" w:space="0" w:color="auto"/>
              <w:left w:val="nil"/>
              <w:bottom w:val="single" w:sz="4" w:space="0" w:color="auto"/>
              <w:right w:val="nil"/>
            </w:tcBorders>
            <w:shd w:val="clear" w:color="auto" w:fill="E2EFD9" w:themeFill="accent6" w:themeFillTint="33"/>
            <w:noWrap/>
            <w:vAlign w:val="center"/>
            <w:hideMark/>
          </w:tcPr>
          <w:p w14:paraId="0F2CADF8" w14:textId="77777777" w:rsidR="008A1E55" w:rsidRPr="006B42D6" w:rsidRDefault="008A1E55" w:rsidP="00143C67">
            <w:pPr>
              <w:spacing w:line="240" w:lineRule="auto"/>
              <w:jc w:val="center"/>
              <w:rPr>
                <w:sz w:val="20"/>
                <w:szCs w:val="20"/>
              </w:rPr>
            </w:pPr>
            <w:r w:rsidRPr="006B42D6">
              <w:rPr>
                <w:sz w:val="20"/>
                <w:szCs w:val="20"/>
              </w:rPr>
              <w:t>Number</w:t>
            </w:r>
          </w:p>
        </w:tc>
        <w:tc>
          <w:tcPr>
            <w:tcW w:w="992" w:type="dxa"/>
            <w:tcBorders>
              <w:top w:val="single" w:sz="4" w:space="0" w:color="auto"/>
              <w:left w:val="nil"/>
              <w:bottom w:val="single" w:sz="4" w:space="0" w:color="auto"/>
              <w:right w:val="nil"/>
            </w:tcBorders>
            <w:shd w:val="clear" w:color="auto" w:fill="E2EFD9" w:themeFill="accent6" w:themeFillTint="33"/>
            <w:noWrap/>
            <w:vAlign w:val="center"/>
            <w:hideMark/>
          </w:tcPr>
          <w:p w14:paraId="401AC7A7" w14:textId="77777777" w:rsidR="008A1E55" w:rsidRPr="006B42D6" w:rsidRDefault="008A1E55" w:rsidP="00143C67">
            <w:pPr>
              <w:spacing w:line="240" w:lineRule="auto"/>
              <w:jc w:val="center"/>
              <w:rPr>
                <w:sz w:val="20"/>
                <w:szCs w:val="20"/>
              </w:rPr>
            </w:pPr>
            <w:r w:rsidRPr="006B42D6">
              <w:rPr>
                <w:sz w:val="20"/>
                <w:szCs w:val="20"/>
              </w:rPr>
              <w:t>Percent</w:t>
            </w:r>
          </w:p>
        </w:tc>
        <w:tc>
          <w:tcPr>
            <w:tcW w:w="1134" w:type="dxa"/>
            <w:tcBorders>
              <w:top w:val="single" w:sz="4" w:space="0" w:color="auto"/>
              <w:left w:val="nil"/>
              <w:bottom w:val="single" w:sz="4" w:space="0" w:color="auto"/>
              <w:right w:val="nil"/>
            </w:tcBorders>
            <w:shd w:val="clear" w:color="auto" w:fill="E2EFD9" w:themeFill="accent6" w:themeFillTint="33"/>
            <w:noWrap/>
            <w:vAlign w:val="center"/>
            <w:hideMark/>
          </w:tcPr>
          <w:p w14:paraId="5E6A3339" w14:textId="77777777" w:rsidR="008A1E55" w:rsidRPr="006B42D6" w:rsidRDefault="008A1E55" w:rsidP="00143C67">
            <w:pPr>
              <w:spacing w:line="240" w:lineRule="auto"/>
              <w:jc w:val="center"/>
              <w:rPr>
                <w:sz w:val="20"/>
                <w:szCs w:val="20"/>
              </w:rPr>
            </w:pPr>
            <w:r w:rsidRPr="006B42D6">
              <w:rPr>
                <w:sz w:val="20"/>
                <w:szCs w:val="20"/>
              </w:rPr>
              <w:t>Number</w:t>
            </w:r>
          </w:p>
        </w:tc>
        <w:tc>
          <w:tcPr>
            <w:tcW w:w="992" w:type="dxa"/>
            <w:tcBorders>
              <w:top w:val="single" w:sz="4" w:space="0" w:color="auto"/>
              <w:left w:val="nil"/>
              <w:bottom w:val="single" w:sz="4" w:space="0" w:color="auto"/>
              <w:right w:val="nil"/>
            </w:tcBorders>
            <w:shd w:val="clear" w:color="auto" w:fill="E2EFD9" w:themeFill="accent6" w:themeFillTint="33"/>
            <w:noWrap/>
            <w:vAlign w:val="center"/>
            <w:hideMark/>
          </w:tcPr>
          <w:p w14:paraId="2B3BFE94" w14:textId="77777777" w:rsidR="008A1E55" w:rsidRPr="006B42D6" w:rsidRDefault="008A1E55" w:rsidP="00143C67">
            <w:pPr>
              <w:spacing w:line="240" w:lineRule="auto"/>
              <w:jc w:val="center"/>
              <w:rPr>
                <w:sz w:val="20"/>
                <w:szCs w:val="20"/>
              </w:rPr>
            </w:pPr>
            <w:r w:rsidRPr="006B42D6">
              <w:rPr>
                <w:sz w:val="20"/>
                <w:szCs w:val="20"/>
              </w:rPr>
              <w:t>Percent</w:t>
            </w:r>
          </w:p>
        </w:tc>
      </w:tr>
      <w:tr w:rsidR="006B42D6" w:rsidRPr="006B42D6" w14:paraId="7041806F" w14:textId="77777777" w:rsidTr="009514C8">
        <w:trPr>
          <w:trHeight w:hRule="exact" w:val="283"/>
        </w:trPr>
        <w:tc>
          <w:tcPr>
            <w:tcW w:w="2410" w:type="dxa"/>
            <w:tcBorders>
              <w:top w:val="nil"/>
              <w:left w:val="nil"/>
              <w:bottom w:val="nil"/>
              <w:right w:val="nil"/>
            </w:tcBorders>
            <w:shd w:val="clear" w:color="auto" w:fill="auto"/>
            <w:vAlign w:val="center"/>
            <w:hideMark/>
          </w:tcPr>
          <w:p w14:paraId="6817EA06" w14:textId="141CBD81" w:rsidR="008A1E55" w:rsidRPr="006B42D6" w:rsidRDefault="00DD3FC5" w:rsidP="00E16CAE">
            <w:pPr>
              <w:rPr>
                <w:sz w:val="20"/>
                <w:szCs w:val="20"/>
              </w:rPr>
            </w:pPr>
            <w:r>
              <w:rPr>
                <w:sz w:val="20"/>
                <w:szCs w:val="20"/>
              </w:rPr>
              <w:t>E</w:t>
            </w:r>
            <w:r w:rsidR="008A1E55" w:rsidRPr="006B42D6">
              <w:rPr>
                <w:sz w:val="20"/>
                <w:szCs w:val="20"/>
              </w:rPr>
              <w:t>lectricity</w:t>
            </w:r>
          </w:p>
        </w:tc>
        <w:tc>
          <w:tcPr>
            <w:tcW w:w="1418" w:type="dxa"/>
            <w:tcBorders>
              <w:top w:val="nil"/>
              <w:left w:val="nil"/>
              <w:bottom w:val="nil"/>
              <w:right w:val="nil"/>
            </w:tcBorders>
            <w:shd w:val="clear" w:color="auto" w:fill="auto"/>
            <w:noWrap/>
            <w:vAlign w:val="center"/>
            <w:hideMark/>
          </w:tcPr>
          <w:p w14:paraId="7879C8D6" w14:textId="77777777" w:rsidR="008A1E55" w:rsidRPr="006B42D6" w:rsidRDefault="008A1E55" w:rsidP="00E16CAE">
            <w:pPr>
              <w:jc w:val="right"/>
              <w:rPr>
                <w:sz w:val="20"/>
                <w:szCs w:val="20"/>
              </w:rPr>
            </w:pPr>
            <w:r w:rsidRPr="006B42D6">
              <w:rPr>
                <w:sz w:val="20"/>
                <w:szCs w:val="20"/>
              </w:rPr>
              <w:t>1,554,824</w:t>
            </w:r>
          </w:p>
        </w:tc>
        <w:tc>
          <w:tcPr>
            <w:tcW w:w="992" w:type="dxa"/>
            <w:tcBorders>
              <w:top w:val="nil"/>
              <w:left w:val="nil"/>
              <w:bottom w:val="nil"/>
              <w:right w:val="nil"/>
            </w:tcBorders>
            <w:shd w:val="clear" w:color="auto" w:fill="auto"/>
            <w:noWrap/>
            <w:vAlign w:val="center"/>
            <w:hideMark/>
          </w:tcPr>
          <w:p w14:paraId="731A9FB8" w14:textId="77777777" w:rsidR="008A1E55" w:rsidRPr="006B42D6" w:rsidRDefault="008A1E55" w:rsidP="00E16CAE">
            <w:pPr>
              <w:jc w:val="right"/>
              <w:rPr>
                <w:sz w:val="20"/>
                <w:szCs w:val="20"/>
              </w:rPr>
            </w:pPr>
            <w:r w:rsidRPr="006B42D6">
              <w:rPr>
                <w:sz w:val="20"/>
                <w:szCs w:val="20"/>
              </w:rPr>
              <w:t>19.8</w:t>
            </w:r>
          </w:p>
        </w:tc>
        <w:tc>
          <w:tcPr>
            <w:tcW w:w="1276" w:type="dxa"/>
            <w:tcBorders>
              <w:top w:val="nil"/>
              <w:left w:val="nil"/>
              <w:bottom w:val="nil"/>
              <w:right w:val="nil"/>
            </w:tcBorders>
            <w:shd w:val="clear" w:color="auto" w:fill="auto"/>
            <w:noWrap/>
            <w:vAlign w:val="center"/>
            <w:hideMark/>
          </w:tcPr>
          <w:p w14:paraId="5F6E37EC" w14:textId="77777777" w:rsidR="008A1E55" w:rsidRPr="006B42D6" w:rsidRDefault="008A1E55" w:rsidP="00E16CAE">
            <w:pPr>
              <w:jc w:val="right"/>
              <w:rPr>
                <w:sz w:val="20"/>
                <w:szCs w:val="20"/>
              </w:rPr>
            </w:pPr>
            <w:r w:rsidRPr="006B42D6">
              <w:rPr>
                <w:sz w:val="20"/>
                <w:szCs w:val="20"/>
              </w:rPr>
              <w:t>1,488,539</w:t>
            </w:r>
          </w:p>
        </w:tc>
        <w:tc>
          <w:tcPr>
            <w:tcW w:w="992" w:type="dxa"/>
            <w:tcBorders>
              <w:top w:val="nil"/>
              <w:left w:val="nil"/>
              <w:bottom w:val="nil"/>
              <w:right w:val="nil"/>
            </w:tcBorders>
            <w:shd w:val="clear" w:color="auto" w:fill="auto"/>
            <w:noWrap/>
            <w:vAlign w:val="center"/>
            <w:hideMark/>
          </w:tcPr>
          <w:p w14:paraId="22645019" w14:textId="77777777" w:rsidR="008A1E55" w:rsidRPr="006B42D6" w:rsidRDefault="008A1E55" w:rsidP="00E16CAE">
            <w:pPr>
              <w:jc w:val="right"/>
              <w:rPr>
                <w:sz w:val="20"/>
                <w:szCs w:val="20"/>
              </w:rPr>
            </w:pPr>
            <w:r w:rsidRPr="006B42D6">
              <w:rPr>
                <w:sz w:val="20"/>
                <w:szCs w:val="20"/>
              </w:rPr>
              <w:t>19.4</w:t>
            </w:r>
          </w:p>
        </w:tc>
        <w:tc>
          <w:tcPr>
            <w:tcW w:w="1134" w:type="dxa"/>
            <w:tcBorders>
              <w:top w:val="nil"/>
              <w:left w:val="nil"/>
              <w:bottom w:val="nil"/>
              <w:right w:val="nil"/>
            </w:tcBorders>
            <w:shd w:val="clear" w:color="auto" w:fill="auto"/>
            <w:noWrap/>
            <w:vAlign w:val="center"/>
            <w:hideMark/>
          </w:tcPr>
          <w:p w14:paraId="7D61901E" w14:textId="77777777" w:rsidR="008A1E55" w:rsidRPr="006B42D6" w:rsidRDefault="008A1E55" w:rsidP="00E16CAE">
            <w:pPr>
              <w:jc w:val="right"/>
              <w:rPr>
                <w:sz w:val="20"/>
                <w:szCs w:val="20"/>
              </w:rPr>
            </w:pPr>
            <w:r w:rsidRPr="006B42D6">
              <w:rPr>
                <w:sz w:val="20"/>
                <w:szCs w:val="20"/>
              </w:rPr>
              <w:t>66,285</w:t>
            </w:r>
          </w:p>
        </w:tc>
        <w:tc>
          <w:tcPr>
            <w:tcW w:w="992" w:type="dxa"/>
            <w:tcBorders>
              <w:top w:val="nil"/>
              <w:left w:val="nil"/>
              <w:bottom w:val="nil"/>
              <w:right w:val="nil"/>
            </w:tcBorders>
            <w:shd w:val="clear" w:color="auto" w:fill="auto"/>
            <w:noWrap/>
            <w:vAlign w:val="center"/>
            <w:hideMark/>
          </w:tcPr>
          <w:p w14:paraId="22E2C237" w14:textId="77777777" w:rsidR="008A1E55" w:rsidRPr="006B42D6" w:rsidRDefault="008A1E55" w:rsidP="00E16CAE">
            <w:pPr>
              <w:jc w:val="right"/>
              <w:rPr>
                <w:sz w:val="20"/>
                <w:szCs w:val="20"/>
              </w:rPr>
            </w:pPr>
            <w:r w:rsidRPr="006B42D6">
              <w:rPr>
                <w:sz w:val="20"/>
                <w:szCs w:val="20"/>
              </w:rPr>
              <w:t>36.8</w:t>
            </w:r>
          </w:p>
        </w:tc>
      </w:tr>
      <w:tr w:rsidR="006B42D6" w:rsidRPr="006B42D6" w14:paraId="5C4BE8B5" w14:textId="77777777" w:rsidTr="009514C8">
        <w:trPr>
          <w:trHeight w:hRule="exact" w:val="283"/>
        </w:trPr>
        <w:tc>
          <w:tcPr>
            <w:tcW w:w="2410" w:type="dxa"/>
            <w:tcBorders>
              <w:top w:val="nil"/>
              <w:left w:val="nil"/>
              <w:bottom w:val="nil"/>
              <w:right w:val="nil"/>
            </w:tcBorders>
            <w:shd w:val="clear" w:color="auto" w:fill="auto"/>
            <w:vAlign w:val="center"/>
            <w:hideMark/>
          </w:tcPr>
          <w:p w14:paraId="1BE914F8" w14:textId="77777777" w:rsidR="008A1E55" w:rsidRPr="006B42D6" w:rsidRDefault="008A1E55" w:rsidP="00E16CAE">
            <w:pPr>
              <w:rPr>
                <w:sz w:val="20"/>
                <w:szCs w:val="20"/>
              </w:rPr>
            </w:pPr>
            <w:r w:rsidRPr="006B42D6">
              <w:rPr>
                <w:sz w:val="20"/>
                <w:szCs w:val="20"/>
              </w:rPr>
              <w:t>Solar</w:t>
            </w:r>
          </w:p>
        </w:tc>
        <w:tc>
          <w:tcPr>
            <w:tcW w:w="1418" w:type="dxa"/>
            <w:tcBorders>
              <w:top w:val="nil"/>
              <w:left w:val="nil"/>
              <w:bottom w:val="nil"/>
              <w:right w:val="nil"/>
            </w:tcBorders>
            <w:shd w:val="clear" w:color="auto" w:fill="auto"/>
            <w:noWrap/>
            <w:vAlign w:val="center"/>
            <w:hideMark/>
          </w:tcPr>
          <w:p w14:paraId="57D61E46" w14:textId="77777777" w:rsidR="008A1E55" w:rsidRPr="006B42D6" w:rsidRDefault="008A1E55" w:rsidP="00E16CAE">
            <w:pPr>
              <w:jc w:val="right"/>
              <w:rPr>
                <w:sz w:val="20"/>
                <w:szCs w:val="20"/>
              </w:rPr>
            </w:pPr>
            <w:r w:rsidRPr="006B42D6">
              <w:rPr>
                <w:sz w:val="20"/>
                <w:szCs w:val="20"/>
              </w:rPr>
              <w:t>3,189,141</w:t>
            </w:r>
          </w:p>
        </w:tc>
        <w:tc>
          <w:tcPr>
            <w:tcW w:w="992" w:type="dxa"/>
            <w:tcBorders>
              <w:top w:val="nil"/>
              <w:left w:val="nil"/>
              <w:bottom w:val="nil"/>
              <w:right w:val="nil"/>
            </w:tcBorders>
            <w:shd w:val="clear" w:color="auto" w:fill="auto"/>
            <w:noWrap/>
            <w:vAlign w:val="center"/>
            <w:hideMark/>
          </w:tcPr>
          <w:p w14:paraId="4C543567" w14:textId="77777777" w:rsidR="008A1E55" w:rsidRPr="006B42D6" w:rsidRDefault="008A1E55" w:rsidP="00E16CAE">
            <w:pPr>
              <w:jc w:val="right"/>
              <w:rPr>
                <w:sz w:val="20"/>
                <w:szCs w:val="20"/>
              </w:rPr>
            </w:pPr>
            <w:r w:rsidRPr="006B42D6">
              <w:rPr>
                <w:sz w:val="20"/>
                <w:szCs w:val="20"/>
              </w:rPr>
              <w:t>40.7</w:t>
            </w:r>
          </w:p>
        </w:tc>
        <w:tc>
          <w:tcPr>
            <w:tcW w:w="1276" w:type="dxa"/>
            <w:tcBorders>
              <w:top w:val="nil"/>
              <w:left w:val="nil"/>
              <w:bottom w:val="nil"/>
              <w:right w:val="nil"/>
            </w:tcBorders>
            <w:shd w:val="clear" w:color="auto" w:fill="auto"/>
            <w:noWrap/>
            <w:vAlign w:val="center"/>
            <w:hideMark/>
          </w:tcPr>
          <w:p w14:paraId="55917F51" w14:textId="77777777" w:rsidR="008A1E55" w:rsidRPr="006B42D6" w:rsidRDefault="008A1E55" w:rsidP="00E16CAE">
            <w:pPr>
              <w:jc w:val="right"/>
              <w:rPr>
                <w:sz w:val="20"/>
                <w:szCs w:val="20"/>
              </w:rPr>
            </w:pPr>
            <w:r w:rsidRPr="006B42D6">
              <w:rPr>
                <w:sz w:val="20"/>
                <w:szCs w:val="20"/>
              </w:rPr>
              <w:t>3,171,862</w:t>
            </w:r>
          </w:p>
        </w:tc>
        <w:tc>
          <w:tcPr>
            <w:tcW w:w="992" w:type="dxa"/>
            <w:tcBorders>
              <w:top w:val="nil"/>
              <w:left w:val="nil"/>
              <w:bottom w:val="nil"/>
              <w:right w:val="nil"/>
            </w:tcBorders>
            <w:shd w:val="clear" w:color="auto" w:fill="auto"/>
            <w:noWrap/>
            <w:vAlign w:val="center"/>
            <w:hideMark/>
          </w:tcPr>
          <w:p w14:paraId="49CE2A88" w14:textId="77777777" w:rsidR="008A1E55" w:rsidRPr="006B42D6" w:rsidRDefault="008A1E55" w:rsidP="00E16CAE">
            <w:pPr>
              <w:jc w:val="right"/>
              <w:rPr>
                <w:sz w:val="20"/>
                <w:szCs w:val="20"/>
              </w:rPr>
            </w:pPr>
            <w:r w:rsidRPr="006B42D6">
              <w:rPr>
                <w:sz w:val="20"/>
                <w:szCs w:val="20"/>
              </w:rPr>
              <w:t>41.4</w:t>
            </w:r>
          </w:p>
        </w:tc>
        <w:tc>
          <w:tcPr>
            <w:tcW w:w="1134" w:type="dxa"/>
            <w:tcBorders>
              <w:top w:val="nil"/>
              <w:left w:val="nil"/>
              <w:bottom w:val="nil"/>
              <w:right w:val="nil"/>
            </w:tcBorders>
            <w:shd w:val="clear" w:color="auto" w:fill="auto"/>
            <w:noWrap/>
            <w:vAlign w:val="center"/>
            <w:hideMark/>
          </w:tcPr>
          <w:p w14:paraId="054270A9" w14:textId="77777777" w:rsidR="008A1E55" w:rsidRPr="006B42D6" w:rsidRDefault="008A1E55" w:rsidP="00E16CAE">
            <w:pPr>
              <w:jc w:val="right"/>
              <w:rPr>
                <w:sz w:val="20"/>
                <w:szCs w:val="20"/>
              </w:rPr>
            </w:pPr>
            <w:r w:rsidRPr="006B42D6">
              <w:rPr>
                <w:sz w:val="20"/>
                <w:szCs w:val="20"/>
              </w:rPr>
              <w:t>17,279</w:t>
            </w:r>
          </w:p>
        </w:tc>
        <w:tc>
          <w:tcPr>
            <w:tcW w:w="992" w:type="dxa"/>
            <w:tcBorders>
              <w:top w:val="nil"/>
              <w:left w:val="nil"/>
              <w:bottom w:val="nil"/>
              <w:right w:val="nil"/>
            </w:tcBorders>
            <w:shd w:val="clear" w:color="auto" w:fill="auto"/>
            <w:noWrap/>
            <w:vAlign w:val="center"/>
            <w:hideMark/>
          </w:tcPr>
          <w:p w14:paraId="60E8C149" w14:textId="77777777" w:rsidR="008A1E55" w:rsidRPr="006B42D6" w:rsidRDefault="008A1E55" w:rsidP="00E16CAE">
            <w:pPr>
              <w:jc w:val="right"/>
              <w:rPr>
                <w:sz w:val="20"/>
                <w:szCs w:val="20"/>
              </w:rPr>
            </w:pPr>
            <w:r w:rsidRPr="006B42D6">
              <w:rPr>
                <w:sz w:val="20"/>
                <w:szCs w:val="20"/>
              </w:rPr>
              <w:t>9.6</w:t>
            </w:r>
          </w:p>
        </w:tc>
      </w:tr>
      <w:tr w:rsidR="006B42D6" w:rsidRPr="006B42D6" w14:paraId="43053BE5" w14:textId="77777777" w:rsidTr="009514C8">
        <w:trPr>
          <w:trHeight w:hRule="exact" w:val="283"/>
        </w:trPr>
        <w:tc>
          <w:tcPr>
            <w:tcW w:w="2410" w:type="dxa"/>
            <w:tcBorders>
              <w:top w:val="nil"/>
              <w:left w:val="nil"/>
              <w:bottom w:val="nil"/>
              <w:right w:val="nil"/>
            </w:tcBorders>
            <w:shd w:val="clear" w:color="auto" w:fill="auto"/>
            <w:vAlign w:val="center"/>
            <w:hideMark/>
          </w:tcPr>
          <w:p w14:paraId="672B43C4" w14:textId="77777777" w:rsidR="008A1E55" w:rsidRPr="006B42D6" w:rsidRDefault="008A1E55" w:rsidP="00E16CAE">
            <w:pPr>
              <w:rPr>
                <w:sz w:val="20"/>
                <w:szCs w:val="20"/>
              </w:rPr>
            </w:pPr>
            <w:r w:rsidRPr="006B42D6">
              <w:rPr>
                <w:sz w:val="20"/>
                <w:szCs w:val="20"/>
              </w:rPr>
              <w:t>Biogas</w:t>
            </w:r>
          </w:p>
        </w:tc>
        <w:tc>
          <w:tcPr>
            <w:tcW w:w="1418" w:type="dxa"/>
            <w:tcBorders>
              <w:top w:val="nil"/>
              <w:left w:val="nil"/>
              <w:bottom w:val="nil"/>
              <w:right w:val="nil"/>
            </w:tcBorders>
            <w:shd w:val="clear" w:color="auto" w:fill="auto"/>
            <w:noWrap/>
            <w:vAlign w:val="center"/>
            <w:hideMark/>
          </w:tcPr>
          <w:p w14:paraId="01D39225" w14:textId="77777777" w:rsidR="008A1E55" w:rsidRPr="006B42D6" w:rsidRDefault="008A1E55" w:rsidP="00E16CAE">
            <w:pPr>
              <w:jc w:val="right"/>
              <w:rPr>
                <w:sz w:val="20"/>
                <w:szCs w:val="20"/>
              </w:rPr>
            </w:pPr>
            <w:r w:rsidRPr="006B42D6">
              <w:rPr>
                <w:sz w:val="20"/>
                <w:szCs w:val="20"/>
              </w:rPr>
              <w:t>6,625</w:t>
            </w:r>
          </w:p>
        </w:tc>
        <w:tc>
          <w:tcPr>
            <w:tcW w:w="992" w:type="dxa"/>
            <w:tcBorders>
              <w:top w:val="nil"/>
              <w:left w:val="nil"/>
              <w:bottom w:val="nil"/>
              <w:right w:val="nil"/>
            </w:tcBorders>
            <w:shd w:val="clear" w:color="auto" w:fill="auto"/>
            <w:noWrap/>
            <w:vAlign w:val="center"/>
            <w:hideMark/>
          </w:tcPr>
          <w:p w14:paraId="2C9A440C" w14:textId="77777777" w:rsidR="008A1E55" w:rsidRPr="006B42D6" w:rsidRDefault="008A1E55" w:rsidP="00E16CAE">
            <w:pPr>
              <w:jc w:val="right"/>
              <w:rPr>
                <w:sz w:val="20"/>
                <w:szCs w:val="20"/>
              </w:rPr>
            </w:pPr>
            <w:r w:rsidRPr="006B42D6">
              <w:rPr>
                <w:sz w:val="20"/>
                <w:szCs w:val="20"/>
              </w:rPr>
              <w:t>0.1</w:t>
            </w:r>
          </w:p>
        </w:tc>
        <w:tc>
          <w:tcPr>
            <w:tcW w:w="1276" w:type="dxa"/>
            <w:tcBorders>
              <w:top w:val="nil"/>
              <w:left w:val="nil"/>
              <w:bottom w:val="nil"/>
              <w:right w:val="nil"/>
            </w:tcBorders>
            <w:shd w:val="clear" w:color="auto" w:fill="auto"/>
            <w:noWrap/>
            <w:vAlign w:val="center"/>
            <w:hideMark/>
          </w:tcPr>
          <w:p w14:paraId="35315974" w14:textId="77777777" w:rsidR="008A1E55" w:rsidRPr="006B42D6" w:rsidRDefault="008A1E55" w:rsidP="00E16CAE">
            <w:pPr>
              <w:jc w:val="right"/>
              <w:rPr>
                <w:sz w:val="20"/>
                <w:szCs w:val="20"/>
              </w:rPr>
            </w:pPr>
            <w:r w:rsidRPr="006B42D6">
              <w:rPr>
                <w:sz w:val="20"/>
                <w:szCs w:val="20"/>
              </w:rPr>
              <w:t>6,625</w:t>
            </w:r>
          </w:p>
        </w:tc>
        <w:tc>
          <w:tcPr>
            <w:tcW w:w="992" w:type="dxa"/>
            <w:tcBorders>
              <w:top w:val="nil"/>
              <w:left w:val="nil"/>
              <w:bottom w:val="nil"/>
              <w:right w:val="nil"/>
            </w:tcBorders>
            <w:shd w:val="clear" w:color="auto" w:fill="auto"/>
            <w:noWrap/>
            <w:vAlign w:val="center"/>
            <w:hideMark/>
          </w:tcPr>
          <w:p w14:paraId="4141807F" w14:textId="77777777" w:rsidR="008A1E55" w:rsidRPr="006B42D6" w:rsidRDefault="008A1E55" w:rsidP="00E16CAE">
            <w:pPr>
              <w:jc w:val="right"/>
              <w:rPr>
                <w:sz w:val="20"/>
                <w:szCs w:val="20"/>
              </w:rPr>
            </w:pPr>
            <w:r w:rsidRPr="006B42D6">
              <w:rPr>
                <w:sz w:val="20"/>
                <w:szCs w:val="20"/>
              </w:rPr>
              <w:t>0.1</w:t>
            </w:r>
          </w:p>
        </w:tc>
        <w:tc>
          <w:tcPr>
            <w:tcW w:w="1134" w:type="dxa"/>
            <w:tcBorders>
              <w:top w:val="nil"/>
              <w:left w:val="nil"/>
              <w:bottom w:val="nil"/>
              <w:right w:val="nil"/>
            </w:tcBorders>
            <w:shd w:val="clear" w:color="auto" w:fill="auto"/>
            <w:noWrap/>
            <w:vAlign w:val="center"/>
            <w:hideMark/>
          </w:tcPr>
          <w:p w14:paraId="08EB5B50" w14:textId="77777777" w:rsidR="008A1E55" w:rsidRPr="006B42D6" w:rsidRDefault="008A1E55" w:rsidP="00E16CAE">
            <w:pPr>
              <w:jc w:val="right"/>
              <w:rPr>
                <w:sz w:val="20"/>
                <w:szCs w:val="20"/>
              </w:rPr>
            </w:pPr>
            <w:r w:rsidRPr="006B42D6">
              <w:rPr>
                <w:sz w:val="20"/>
                <w:szCs w:val="20"/>
              </w:rPr>
              <w:t>0</w:t>
            </w:r>
          </w:p>
        </w:tc>
        <w:tc>
          <w:tcPr>
            <w:tcW w:w="992" w:type="dxa"/>
            <w:tcBorders>
              <w:top w:val="nil"/>
              <w:left w:val="nil"/>
              <w:bottom w:val="nil"/>
              <w:right w:val="nil"/>
            </w:tcBorders>
            <w:shd w:val="clear" w:color="auto" w:fill="auto"/>
            <w:noWrap/>
            <w:vAlign w:val="center"/>
            <w:hideMark/>
          </w:tcPr>
          <w:p w14:paraId="481AB101" w14:textId="77777777" w:rsidR="008A1E55" w:rsidRPr="006B42D6" w:rsidRDefault="008A1E55" w:rsidP="00E16CAE">
            <w:pPr>
              <w:jc w:val="right"/>
              <w:rPr>
                <w:sz w:val="20"/>
                <w:szCs w:val="20"/>
              </w:rPr>
            </w:pPr>
            <w:r w:rsidRPr="006B42D6">
              <w:rPr>
                <w:sz w:val="20"/>
                <w:szCs w:val="20"/>
              </w:rPr>
              <w:t>0.0</w:t>
            </w:r>
          </w:p>
        </w:tc>
      </w:tr>
      <w:tr w:rsidR="006B42D6" w:rsidRPr="006B42D6" w14:paraId="3B65AE59" w14:textId="77777777" w:rsidTr="009514C8">
        <w:trPr>
          <w:trHeight w:hRule="exact" w:val="283"/>
        </w:trPr>
        <w:tc>
          <w:tcPr>
            <w:tcW w:w="2410" w:type="dxa"/>
            <w:tcBorders>
              <w:top w:val="nil"/>
              <w:left w:val="nil"/>
              <w:bottom w:val="nil"/>
              <w:right w:val="nil"/>
            </w:tcBorders>
            <w:shd w:val="clear" w:color="auto" w:fill="auto"/>
            <w:vAlign w:val="center"/>
            <w:hideMark/>
          </w:tcPr>
          <w:p w14:paraId="3AD79370" w14:textId="77777777" w:rsidR="008A1E55" w:rsidRPr="006B42D6" w:rsidRDefault="008A1E55" w:rsidP="00E16CAE">
            <w:pPr>
              <w:rPr>
                <w:sz w:val="20"/>
                <w:szCs w:val="20"/>
              </w:rPr>
            </w:pPr>
            <w:r w:rsidRPr="006B42D6">
              <w:rPr>
                <w:sz w:val="20"/>
                <w:szCs w:val="20"/>
              </w:rPr>
              <w:t>Hurricane Lamp</w:t>
            </w:r>
          </w:p>
        </w:tc>
        <w:tc>
          <w:tcPr>
            <w:tcW w:w="1418" w:type="dxa"/>
            <w:tcBorders>
              <w:top w:val="nil"/>
              <w:left w:val="nil"/>
              <w:bottom w:val="nil"/>
              <w:right w:val="nil"/>
            </w:tcBorders>
            <w:shd w:val="clear" w:color="auto" w:fill="auto"/>
            <w:noWrap/>
            <w:vAlign w:val="center"/>
            <w:hideMark/>
          </w:tcPr>
          <w:p w14:paraId="7B4001F5" w14:textId="77777777" w:rsidR="008A1E55" w:rsidRPr="006B42D6" w:rsidRDefault="008A1E55" w:rsidP="00E16CAE">
            <w:pPr>
              <w:jc w:val="right"/>
              <w:rPr>
                <w:sz w:val="20"/>
                <w:szCs w:val="20"/>
              </w:rPr>
            </w:pPr>
            <w:r w:rsidRPr="006B42D6">
              <w:rPr>
                <w:sz w:val="20"/>
                <w:szCs w:val="20"/>
              </w:rPr>
              <w:t>87,730</w:t>
            </w:r>
          </w:p>
        </w:tc>
        <w:tc>
          <w:tcPr>
            <w:tcW w:w="992" w:type="dxa"/>
            <w:tcBorders>
              <w:top w:val="nil"/>
              <w:left w:val="nil"/>
              <w:bottom w:val="nil"/>
              <w:right w:val="nil"/>
            </w:tcBorders>
            <w:shd w:val="clear" w:color="auto" w:fill="auto"/>
            <w:noWrap/>
            <w:vAlign w:val="center"/>
            <w:hideMark/>
          </w:tcPr>
          <w:p w14:paraId="6197FEC6" w14:textId="77777777" w:rsidR="008A1E55" w:rsidRPr="006B42D6" w:rsidRDefault="008A1E55" w:rsidP="00E16CAE">
            <w:pPr>
              <w:jc w:val="right"/>
              <w:rPr>
                <w:sz w:val="20"/>
                <w:szCs w:val="20"/>
              </w:rPr>
            </w:pPr>
            <w:r w:rsidRPr="006B42D6">
              <w:rPr>
                <w:sz w:val="20"/>
                <w:szCs w:val="20"/>
              </w:rPr>
              <w:t>1.1</w:t>
            </w:r>
          </w:p>
        </w:tc>
        <w:tc>
          <w:tcPr>
            <w:tcW w:w="1276" w:type="dxa"/>
            <w:tcBorders>
              <w:top w:val="nil"/>
              <w:left w:val="nil"/>
              <w:bottom w:val="nil"/>
              <w:right w:val="nil"/>
            </w:tcBorders>
            <w:shd w:val="clear" w:color="auto" w:fill="auto"/>
            <w:noWrap/>
            <w:vAlign w:val="center"/>
            <w:hideMark/>
          </w:tcPr>
          <w:p w14:paraId="1F15EBFD" w14:textId="77777777" w:rsidR="008A1E55" w:rsidRPr="006B42D6" w:rsidRDefault="008A1E55" w:rsidP="00E16CAE">
            <w:pPr>
              <w:jc w:val="right"/>
              <w:rPr>
                <w:sz w:val="20"/>
                <w:szCs w:val="20"/>
              </w:rPr>
            </w:pPr>
            <w:r w:rsidRPr="006B42D6">
              <w:rPr>
                <w:sz w:val="20"/>
                <w:szCs w:val="20"/>
              </w:rPr>
              <w:t>82,430</w:t>
            </w:r>
          </w:p>
        </w:tc>
        <w:tc>
          <w:tcPr>
            <w:tcW w:w="992" w:type="dxa"/>
            <w:tcBorders>
              <w:top w:val="nil"/>
              <w:left w:val="nil"/>
              <w:bottom w:val="nil"/>
              <w:right w:val="nil"/>
            </w:tcBorders>
            <w:shd w:val="clear" w:color="auto" w:fill="auto"/>
            <w:noWrap/>
            <w:vAlign w:val="center"/>
            <w:hideMark/>
          </w:tcPr>
          <w:p w14:paraId="270B1EA1" w14:textId="77777777" w:rsidR="008A1E55" w:rsidRPr="006B42D6" w:rsidRDefault="008A1E55" w:rsidP="00E16CAE">
            <w:pPr>
              <w:jc w:val="right"/>
              <w:rPr>
                <w:sz w:val="20"/>
                <w:szCs w:val="20"/>
              </w:rPr>
            </w:pPr>
            <w:r w:rsidRPr="006B42D6">
              <w:rPr>
                <w:sz w:val="20"/>
                <w:szCs w:val="20"/>
              </w:rPr>
              <w:t>1.1</w:t>
            </w:r>
          </w:p>
        </w:tc>
        <w:tc>
          <w:tcPr>
            <w:tcW w:w="1134" w:type="dxa"/>
            <w:tcBorders>
              <w:top w:val="nil"/>
              <w:left w:val="nil"/>
              <w:bottom w:val="nil"/>
              <w:right w:val="nil"/>
            </w:tcBorders>
            <w:shd w:val="clear" w:color="auto" w:fill="auto"/>
            <w:noWrap/>
            <w:vAlign w:val="center"/>
            <w:hideMark/>
          </w:tcPr>
          <w:p w14:paraId="70A2D888" w14:textId="77777777" w:rsidR="008A1E55" w:rsidRPr="006B42D6" w:rsidRDefault="008A1E55" w:rsidP="00E16CAE">
            <w:pPr>
              <w:jc w:val="right"/>
              <w:rPr>
                <w:sz w:val="20"/>
                <w:szCs w:val="20"/>
              </w:rPr>
            </w:pPr>
            <w:r w:rsidRPr="006B42D6">
              <w:rPr>
                <w:sz w:val="20"/>
                <w:szCs w:val="20"/>
              </w:rPr>
              <w:t>5,300</w:t>
            </w:r>
          </w:p>
        </w:tc>
        <w:tc>
          <w:tcPr>
            <w:tcW w:w="992" w:type="dxa"/>
            <w:tcBorders>
              <w:top w:val="nil"/>
              <w:left w:val="nil"/>
              <w:bottom w:val="nil"/>
              <w:right w:val="nil"/>
            </w:tcBorders>
            <w:shd w:val="clear" w:color="auto" w:fill="auto"/>
            <w:noWrap/>
            <w:vAlign w:val="center"/>
            <w:hideMark/>
          </w:tcPr>
          <w:p w14:paraId="3259D5A3" w14:textId="77777777" w:rsidR="008A1E55" w:rsidRPr="006B42D6" w:rsidRDefault="008A1E55" w:rsidP="00E16CAE">
            <w:pPr>
              <w:jc w:val="right"/>
              <w:rPr>
                <w:sz w:val="20"/>
                <w:szCs w:val="20"/>
              </w:rPr>
            </w:pPr>
            <w:r w:rsidRPr="006B42D6">
              <w:rPr>
                <w:sz w:val="20"/>
                <w:szCs w:val="20"/>
              </w:rPr>
              <w:t>2.9</w:t>
            </w:r>
          </w:p>
        </w:tc>
      </w:tr>
      <w:tr w:rsidR="006B42D6" w:rsidRPr="006B42D6" w14:paraId="2C1EAC40" w14:textId="77777777" w:rsidTr="009514C8">
        <w:trPr>
          <w:trHeight w:hRule="exact" w:val="283"/>
        </w:trPr>
        <w:tc>
          <w:tcPr>
            <w:tcW w:w="2410" w:type="dxa"/>
            <w:tcBorders>
              <w:top w:val="nil"/>
              <w:left w:val="nil"/>
              <w:bottom w:val="nil"/>
              <w:right w:val="nil"/>
            </w:tcBorders>
            <w:shd w:val="clear" w:color="auto" w:fill="auto"/>
            <w:vAlign w:val="center"/>
            <w:hideMark/>
          </w:tcPr>
          <w:p w14:paraId="46DE67E5" w14:textId="77777777" w:rsidR="008A1E55" w:rsidRPr="006B42D6" w:rsidRDefault="008A1E55" w:rsidP="00E16CAE">
            <w:pPr>
              <w:rPr>
                <w:sz w:val="20"/>
                <w:szCs w:val="20"/>
              </w:rPr>
            </w:pPr>
            <w:r w:rsidRPr="006B42D6">
              <w:rPr>
                <w:sz w:val="20"/>
                <w:szCs w:val="20"/>
              </w:rPr>
              <w:t>Pressure Lamp</w:t>
            </w:r>
          </w:p>
        </w:tc>
        <w:tc>
          <w:tcPr>
            <w:tcW w:w="1418" w:type="dxa"/>
            <w:tcBorders>
              <w:top w:val="nil"/>
              <w:left w:val="nil"/>
              <w:bottom w:val="nil"/>
              <w:right w:val="nil"/>
            </w:tcBorders>
            <w:shd w:val="clear" w:color="auto" w:fill="auto"/>
            <w:noWrap/>
            <w:vAlign w:val="center"/>
            <w:hideMark/>
          </w:tcPr>
          <w:p w14:paraId="5D4494AE" w14:textId="77777777" w:rsidR="008A1E55" w:rsidRPr="006B42D6" w:rsidRDefault="008A1E55" w:rsidP="00E16CAE">
            <w:pPr>
              <w:jc w:val="right"/>
              <w:rPr>
                <w:sz w:val="20"/>
                <w:szCs w:val="20"/>
              </w:rPr>
            </w:pPr>
            <w:r w:rsidRPr="006B42D6">
              <w:rPr>
                <w:sz w:val="20"/>
                <w:szCs w:val="20"/>
              </w:rPr>
              <w:t>38,772</w:t>
            </w:r>
          </w:p>
        </w:tc>
        <w:tc>
          <w:tcPr>
            <w:tcW w:w="992" w:type="dxa"/>
            <w:tcBorders>
              <w:top w:val="nil"/>
              <w:left w:val="nil"/>
              <w:bottom w:val="nil"/>
              <w:right w:val="nil"/>
            </w:tcBorders>
            <w:shd w:val="clear" w:color="auto" w:fill="auto"/>
            <w:noWrap/>
            <w:vAlign w:val="center"/>
            <w:hideMark/>
          </w:tcPr>
          <w:p w14:paraId="2B08C4E8" w14:textId="77777777" w:rsidR="008A1E55" w:rsidRPr="006B42D6" w:rsidRDefault="008A1E55" w:rsidP="00E16CAE">
            <w:pPr>
              <w:jc w:val="right"/>
              <w:rPr>
                <w:sz w:val="20"/>
                <w:szCs w:val="20"/>
              </w:rPr>
            </w:pPr>
            <w:r w:rsidRPr="006B42D6">
              <w:rPr>
                <w:sz w:val="20"/>
                <w:szCs w:val="20"/>
              </w:rPr>
              <w:t>0.5</w:t>
            </w:r>
          </w:p>
        </w:tc>
        <w:tc>
          <w:tcPr>
            <w:tcW w:w="1276" w:type="dxa"/>
            <w:tcBorders>
              <w:top w:val="nil"/>
              <w:left w:val="nil"/>
              <w:bottom w:val="nil"/>
              <w:right w:val="nil"/>
            </w:tcBorders>
            <w:shd w:val="clear" w:color="auto" w:fill="auto"/>
            <w:noWrap/>
            <w:vAlign w:val="center"/>
            <w:hideMark/>
          </w:tcPr>
          <w:p w14:paraId="0A76CF20" w14:textId="77777777" w:rsidR="008A1E55" w:rsidRPr="006B42D6" w:rsidRDefault="008A1E55" w:rsidP="00E16CAE">
            <w:pPr>
              <w:jc w:val="right"/>
              <w:rPr>
                <w:sz w:val="20"/>
                <w:szCs w:val="20"/>
              </w:rPr>
            </w:pPr>
            <w:r w:rsidRPr="006B42D6">
              <w:rPr>
                <w:sz w:val="20"/>
                <w:szCs w:val="20"/>
              </w:rPr>
              <w:t>35,711</w:t>
            </w:r>
          </w:p>
        </w:tc>
        <w:tc>
          <w:tcPr>
            <w:tcW w:w="992" w:type="dxa"/>
            <w:tcBorders>
              <w:top w:val="nil"/>
              <w:left w:val="nil"/>
              <w:bottom w:val="nil"/>
              <w:right w:val="nil"/>
            </w:tcBorders>
            <w:shd w:val="clear" w:color="auto" w:fill="auto"/>
            <w:noWrap/>
            <w:vAlign w:val="center"/>
            <w:hideMark/>
          </w:tcPr>
          <w:p w14:paraId="0AF4C61C" w14:textId="77777777" w:rsidR="008A1E55" w:rsidRPr="006B42D6" w:rsidRDefault="008A1E55" w:rsidP="00E16CAE">
            <w:pPr>
              <w:jc w:val="right"/>
              <w:rPr>
                <w:sz w:val="20"/>
                <w:szCs w:val="20"/>
              </w:rPr>
            </w:pPr>
            <w:r w:rsidRPr="006B42D6">
              <w:rPr>
                <w:sz w:val="20"/>
                <w:szCs w:val="20"/>
              </w:rPr>
              <w:t>0.5</w:t>
            </w:r>
          </w:p>
        </w:tc>
        <w:tc>
          <w:tcPr>
            <w:tcW w:w="1134" w:type="dxa"/>
            <w:tcBorders>
              <w:top w:val="nil"/>
              <w:left w:val="nil"/>
              <w:bottom w:val="nil"/>
              <w:right w:val="nil"/>
            </w:tcBorders>
            <w:shd w:val="clear" w:color="auto" w:fill="auto"/>
            <w:noWrap/>
            <w:vAlign w:val="center"/>
            <w:hideMark/>
          </w:tcPr>
          <w:p w14:paraId="6B60DE96" w14:textId="77777777" w:rsidR="008A1E55" w:rsidRPr="006B42D6" w:rsidRDefault="008A1E55" w:rsidP="00E16CAE">
            <w:pPr>
              <w:jc w:val="right"/>
              <w:rPr>
                <w:sz w:val="20"/>
                <w:szCs w:val="20"/>
              </w:rPr>
            </w:pPr>
            <w:r w:rsidRPr="006B42D6">
              <w:rPr>
                <w:sz w:val="20"/>
                <w:szCs w:val="20"/>
              </w:rPr>
              <w:t>3,061</w:t>
            </w:r>
          </w:p>
        </w:tc>
        <w:tc>
          <w:tcPr>
            <w:tcW w:w="992" w:type="dxa"/>
            <w:tcBorders>
              <w:top w:val="nil"/>
              <w:left w:val="nil"/>
              <w:bottom w:val="nil"/>
              <w:right w:val="nil"/>
            </w:tcBorders>
            <w:shd w:val="clear" w:color="auto" w:fill="auto"/>
            <w:noWrap/>
            <w:vAlign w:val="center"/>
            <w:hideMark/>
          </w:tcPr>
          <w:p w14:paraId="7E480617" w14:textId="77777777" w:rsidR="008A1E55" w:rsidRPr="006B42D6" w:rsidRDefault="008A1E55" w:rsidP="00E16CAE">
            <w:pPr>
              <w:jc w:val="right"/>
              <w:rPr>
                <w:sz w:val="20"/>
                <w:szCs w:val="20"/>
              </w:rPr>
            </w:pPr>
            <w:r w:rsidRPr="006B42D6">
              <w:rPr>
                <w:sz w:val="20"/>
                <w:szCs w:val="20"/>
              </w:rPr>
              <w:t>1.7</w:t>
            </w:r>
          </w:p>
        </w:tc>
      </w:tr>
      <w:tr w:rsidR="006B42D6" w:rsidRPr="006B42D6" w14:paraId="4B291BBE" w14:textId="77777777" w:rsidTr="009514C8">
        <w:trPr>
          <w:trHeight w:hRule="exact" w:val="283"/>
        </w:trPr>
        <w:tc>
          <w:tcPr>
            <w:tcW w:w="2410" w:type="dxa"/>
            <w:tcBorders>
              <w:top w:val="nil"/>
              <w:left w:val="nil"/>
              <w:bottom w:val="nil"/>
              <w:right w:val="nil"/>
            </w:tcBorders>
            <w:shd w:val="clear" w:color="auto" w:fill="auto"/>
            <w:vAlign w:val="center"/>
            <w:hideMark/>
          </w:tcPr>
          <w:p w14:paraId="2FC2CB86" w14:textId="77777777" w:rsidR="008A1E55" w:rsidRPr="006B42D6" w:rsidRDefault="008A1E55" w:rsidP="00E16CAE">
            <w:pPr>
              <w:rPr>
                <w:sz w:val="20"/>
                <w:szCs w:val="20"/>
              </w:rPr>
            </w:pPr>
            <w:r w:rsidRPr="006B42D6">
              <w:rPr>
                <w:sz w:val="20"/>
                <w:szCs w:val="20"/>
              </w:rPr>
              <w:t>Wick Lamp</w:t>
            </w:r>
          </w:p>
        </w:tc>
        <w:tc>
          <w:tcPr>
            <w:tcW w:w="1418" w:type="dxa"/>
            <w:tcBorders>
              <w:top w:val="nil"/>
              <w:left w:val="nil"/>
              <w:bottom w:val="nil"/>
              <w:right w:val="nil"/>
            </w:tcBorders>
            <w:shd w:val="clear" w:color="auto" w:fill="auto"/>
            <w:noWrap/>
            <w:vAlign w:val="center"/>
            <w:hideMark/>
          </w:tcPr>
          <w:p w14:paraId="5F0696F7" w14:textId="77777777" w:rsidR="008A1E55" w:rsidRPr="006B42D6" w:rsidRDefault="008A1E55" w:rsidP="00E16CAE">
            <w:pPr>
              <w:jc w:val="right"/>
              <w:rPr>
                <w:sz w:val="20"/>
                <w:szCs w:val="20"/>
              </w:rPr>
            </w:pPr>
            <w:r w:rsidRPr="006B42D6">
              <w:rPr>
                <w:sz w:val="20"/>
                <w:szCs w:val="20"/>
              </w:rPr>
              <w:t>541,994</w:t>
            </w:r>
          </w:p>
        </w:tc>
        <w:tc>
          <w:tcPr>
            <w:tcW w:w="992" w:type="dxa"/>
            <w:tcBorders>
              <w:top w:val="nil"/>
              <w:left w:val="nil"/>
              <w:bottom w:val="nil"/>
              <w:right w:val="nil"/>
            </w:tcBorders>
            <w:shd w:val="clear" w:color="auto" w:fill="auto"/>
            <w:noWrap/>
            <w:vAlign w:val="center"/>
            <w:hideMark/>
          </w:tcPr>
          <w:p w14:paraId="1ADA5FEB" w14:textId="77777777" w:rsidR="008A1E55" w:rsidRPr="006B42D6" w:rsidRDefault="008A1E55" w:rsidP="00E16CAE">
            <w:pPr>
              <w:jc w:val="right"/>
              <w:rPr>
                <w:sz w:val="20"/>
                <w:szCs w:val="20"/>
              </w:rPr>
            </w:pPr>
            <w:r w:rsidRPr="006B42D6">
              <w:rPr>
                <w:sz w:val="20"/>
                <w:szCs w:val="20"/>
              </w:rPr>
              <w:t>6.9</w:t>
            </w:r>
          </w:p>
        </w:tc>
        <w:tc>
          <w:tcPr>
            <w:tcW w:w="1276" w:type="dxa"/>
            <w:tcBorders>
              <w:top w:val="nil"/>
              <w:left w:val="nil"/>
              <w:bottom w:val="nil"/>
              <w:right w:val="nil"/>
            </w:tcBorders>
            <w:shd w:val="clear" w:color="auto" w:fill="auto"/>
            <w:noWrap/>
            <w:vAlign w:val="center"/>
            <w:hideMark/>
          </w:tcPr>
          <w:p w14:paraId="469E7A36" w14:textId="77777777" w:rsidR="008A1E55" w:rsidRPr="006B42D6" w:rsidRDefault="008A1E55" w:rsidP="00E16CAE">
            <w:pPr>
              <w:jc w:val="right"/>
              <w:rPr>
                <w:sz w:val="20"/>
                <w:szCs w:val="20"/>
              </w:rPr>
            </w:pPr>
            <w:r w:rsidRPr="006B42D6">
              <w:rPr>
                <w:sz w:val="20"/>
                <w:szCs w:val="20"/>
              </w:rPr>
              <w:t>459,244</w:t>
            </w:r>
          </w:p>
        </w:tc>
        <w:tc>
          <w:tcPr>
            <w:tcW w:w="992" w:type="dxa"/>
            <w:tcBorders>
              <w:top w:val="nil"/>
              <w:left w:val="nil"/>
              <w:bottom w:val="nil"/>
              <w:right w:val="nil"/>
            </w:tcBorders>
            <w:shd w:val="clear" w:color="auto" w:fill="auto"/>
            <w:noWrap/>
            <w:vAlign w:val="center"/>
            <w:hideMark/>
          </w:tcPr>
          <w:p w14:paraId="48C33A2A" w14:textId="77777777" w:rsidR="008A1E55" w:rsidRPr="006B42D6" w:rsidRDefault="008A1E55" w:rsidP="00E16CAE">
            <w:pPr>
              <w:jc w:val="right"/>
              <w:rPr>
                <w:sz w:val="20"/>
                <w:szCs w:val="20"/>
              </w:rPr>
            </w:pPr>
            <w:r w:rsidRPr="006B42D6">
              <w:rPr>
                <w:sz w:val="20"/>
                <w:szCs w:val="20"/>
              </w:rPr>
              <w:t>6.0</w:t>
            </w:r>
          </w:p>
        </w:tc>
        <w:tc>
          <w:tcPr>
            <w:tcW w:w="1134" w:type="dxa"/>
            <w:tcBorders>
              <w:top w:val="nil"/>
              <w:left w:val="nil"/>
              <w:bottom w:val="nil"/>
              <w:right w:val="nil"/>
            </w:tcBorders>
            <w:shd w:val="clear" w:color="auto" w:fill="auto"/>
            <w:noWrap/>
            <w:vAlign w:val="center"/>
            <w:hideMark/>
          </w:tcPr>
          <w:p w14:paraId="049B4137" w14:textId="77777777" w:rsidR="008A1E55" w:rsidRPr="006B42D6" w:rsidRDefault="008A1E55" w:rsidP="00E16CAE">
            <w:pPr>
              <w:jc w:val="right"/>
              <w:rPr>
                <w:sz w:val="20"/>
                <w:szCs w:val="20"/>
              </w:rPr>
            </w:pPr>
            <w:r w:rsidRPr="006B42D6">
              <w:rPr>
                <w:sz w:val="20"/>
                <w:szCs w:val="20"/>
              </w:rPr>
              <w:t>82,750</w:t>
            </w:r>
          </w:p>
        </w:tc>
        <w:tc>
          <w:tcPr>
            <w:tcW w:w="992" w:type="dxa"/>
            <w:tcBorders>
              <w:top w:val="nil"/>
              <w:left w:val="nil"/>
              <w:bottom w:val="nil"/>
              <w:right w:val="nil"/>
            </w:tcBorders>
            <w:shd w:val="clear" w:color="auto" w:fill="auto"/>
            <w:noWrap/>
            <w:vAlign w:val="center"/>
            <w:hideMark/>
          </w:tcPr>
          <w:p w14:paraId="53219A4B" w14:textId="77777777" w:rsidR="008A1E55" w:rsidRPr="006B42D6" w:rsidRDefault="008A1E55" w:rsidP="00E16CAE">
            <w:pPr>
              <w:jc w:val="right"/>
              <w:rPr>
                <w:sz w:val="20"/>
                <w:szCs w:val="20"/>
              </w:rPr>
            </w:pPr>
            <w:r w:rsidRPr="006B42D6">
              <w:rPr>
                <w:sz w:val="20"/>
                <w:szCs w:val="20"/>
              </w:rPr>
              <w:t>45.9</w:t>
            </w:r>
          </w:p>
        </w:tc>
      </w:tr>
      <w:tr w:rsidR="006B42D6" w:rsidRPr="006B42D6" w14:paraId="4A67D533" w14:textId="77777777" w:rsidTr="009514C8">
        <w:trPr>
          <w:trHeight w:hRule="exact" w:val="283"/>
        </w:trPr>
        <w:tc>
          <w:tcPr>
            <w:tcW w:w="2410" w:type="dxa"/>
            <w:tcBorders>
              <w:top w:val="nil"/>
              <w:left w:val="nil"/>
              <w:bottom w:val="nil"/>
              <w:right w:val="nil"/>
            </w:tcBorders>
            <w:shd w:val="clear" w:color="auto" w:fill="auto"/>
            <w:vAlign w:val="center"/>
            <w:hideMark/>
          </w:tcPr>
          <w:p w14:paraId="031A2277" w14:textId="77777777" w:rsidR="008A1E55" w:rsidRPr="006B42D6" w:rsidRDefault="008A1E55" w:rsidP="00E16CAE">
            <w:pPr>
              <w:rPr>
                <w:sz w:val="20"/>
                <w:szCs w:val="20"/>
              </w:rPr>
            </w:pPr>
            <w:r w:rsidRPr="006B42D6">
              <w:rPr>
                <w:sz w:val="20"/>
                <w:szCs w:val="20"/>
              </w:rPr>
              <w:t>Candles</w:t>
            </w:r>
          </w:p>
        </w:tc>
        <w:tc>
          <w:tcPr>
            <w:tcW w:w="1418" w:type="dxa"/>
            <w:tcBorders>
              <w:top w:val="nil"/>
              <w:left w:val="nil"/>
              <w:bottom w:val="nil"/>
              <w:right w:val="nil"/>
            </w:tcBorders>
            <w:shd w:val="clear" w:color="auto" w:fill="auto"/>
            <w:noWrap/>
            <w:vAlign w:val="center"/>
            <w:hideMark/>
          </w:tcPr>
          <w:p w14:paraId="1CA8EBED" w14:textId="77777777" w:rsidR="008A1E55" w:rsidRPr="006B42D6" w:rsidRDefault="008A1E55" w:rsidP="00E16CAE">
            <w:pPr>
              <w:jc w:val="right"/>
              <w:rPr>
                <w:sz w:val="20"/>
                <w:szCs w:val="20"/>
              </w:rPr>
            </w:pPr>
            <w:r w:rsidRPr="006B42D6">
              <w:rPr>
                <w:sz w:val="20"/>
                <w:szCs w:val="20"/>
              </w:rPr>
              <w:t>34,166</w:t>
            </w:r>
          </w:p>
        </w:tc>
        <w:tc>
          <w:tcPr>
            <w:tcW w:w="992" w:type="dxa"/>
            <w:tcBorders>
              <w:top w:val="nil"/>
              <w:left w:val="nil"/>
              <w:bottom w:val="nil"/>
              <w:right w:val="nil"/>
            </w:tcBorders>
            <w:shd w:val="clear" w:color="auto" w:fill="auto"/>
            <w:noWrap/>
            <w:vAlign w:val="center"/>
            <w:hideMark/>
          </w:tcPr>
          <w:p w14:paraId="176F9B86" w14:textId="77777777" w:rsidR="008A1E55" w:rsidRPr="006B42D6" w:rsidRDefault="008A1E55" w:rsidP="00E16CAE">
            <w:pPr>
              <w:jc w:val="right"/>
              <w:rPr>
                <w:sz w:val="20"/>
                <w:szCs w:val="20"/>
              </w:rPr>
            </w:pPr>
            <w:r w:rsidRPr="006B42D6">
              <w:rPr>
                <w:sz w:val="20"/>
                <w:szCs w:val="20"/>
              </w:rPr>
              <w:t>0.4</w:t>
            </w:r>
          </w:p>
        </w:tc>
        <w:tc>
          <w:tcPr>
            <w:tcW w:w="1276" w:type="dxa"/>
            <w:tcBorders>
              <w:top w:val="nil"/>
              <w:left w:val="nil"/>
              <w:bottom w:val="nil"/>
              <w:right w:val="nil"/>
            </w:tcBorders>
            <w:shd w:val="clear" w:color="auto" w:fill="auto"/>
            <w:noWrap/>
            <w:vAlign w:val="center"/>
            <w:hideMark/>
          </w:tcPr>
          <w:p w14:paraId="2FAE258B" w14:textId="77777777" w:rsidR="008A1E55" w:rsidRPr="006B42D6" w:rsidRDefault="008A1E55" w:rsidP="00E16CAE">
            <w:pPr>
              <w:jc w:val="right"/>
              <w:rPr>
                <w:sz w:val="20"/>
                <w:szCs w:val="20"/>
              </w:rPr>
            </w:pPr>
            <w:r w:rsidRPr="006B42D6">
              <w:rPr>
                <w:sz w:val="20"/>
                <w:szCs w:val="20"/>
              </w:rPr>
              <w:t>34,066</w:t>
            </w:r>
          </w:p>
        </w:tc>
        <w:tc>
          <w:tcPr>
            <w:tcW w:w="992" w:type="dxa"/>
            <w:tcBorders>
              <w:top w:val="nil"/>
              <w:left w:val="nil"/>
              <w:bottom w:val="nil"/>
              <w:right w:val="nil"/>
            </w:tcBorders>
            <w:shd w:val="clear" w:color="auto" w:fill="auto"/>
            <w:noWrap/>
            <w:vAlign w:val="center"/>
            <w:hideMark/>
          </w:tcPr>
          <w:p w14:paraId="46E3125F" w14:textId="77777777" w:rsidR="008A1E55" w:rsidRPr="006B42D6" w:rsidRDefault="008A1E55" w:rsidP="00E16CAE">
            <w:pPr>
              <w:jc w:val="right"/>
              <w:rPr>
                <w:sz w:val="20"/>
                <w:szCs w:val="20"/>
              </w:rPr>
            </w:pPr>
            <w:r w:rsidRPr="006B42D6">
              <w:rPr>
                <w:sz w:val="20"/>
                <w:szCs w:val="20"/>
              </w:rPr>
              <w:t>0.4</w:t>
            </w:r>
          </w:p>
        </w:tc>
        <w:tc>
          <w:tcPr>
            <w:tcW w:w="1134" w:type="dxa"/>
            <w:tcBorders>
              <w:top w:val="nil"/>
              <w:left w:val="nil"/>
              <w:bottom w:val="nil"/>
              <w:right w:val="nil"/>
            </w:tcBorders>
            <w:shd w:val="clear" w:color="auto" w:fill="auto"/>
            <w:noWrap/>
            <w:vAlign w:val="center"/>
            <w:hideMark/>
          </w:tcPr>
          <w:p w14:paraId="1044AE4A" w14:textId="77777777" w:rsidR="008A1E55" w:rsidRPr="006B42D6" w:rsidRDefault="008A1E55" w:rsidP="00E16CAE">
            <w:pPr>
              <w:jc w:val="right"/>
              <w:rPr>
                <w:sz w:val="20"/>
                <w:szCs w:val="20"/>
              </w:rPr>
            </w:pPr>
            <w:r w:rsidRPr="006B42D6">
              <w:rPr>
                <w:sz w:val="20"/>
                <w:szCs w:val="20"/>
              </w:rPr>
              <w:t>100</w:t>
            </w:r>
          </w:p>
        </w:tc>
        <w:tc>
          <w:tcPr>
            <w:tcW w:w="992" w:type="dxa"/>
            <w:tcBorders>
              <w:top w:val="nil"/>
              <w:left w:val="nil"/>
              <w:bottom w:val="nil"/>
              <w:right w:val="nil"/>
            </w:tcBorders>
            <w:shd w:val="clear" w:color="auto" w:fill="auto"/>
            <w:noWrap/>
            <w:vAlign w:val="center"/>
            <w:hideMark/>
          </w:tcPr>
          <w:p w14:paraId="35DF1650" w14:textId="77777777" w:rsidR="008A1E55" w:rsidRPr="006B42D6" w:rsidRDefault="008A1E55" w:rsidP="00E16CAE">
            <w:pPr>
              <w:jc w:val="right"/>
              <w:rPr>
                <w:sz w:val="20"/>
                <w:szCs w:val="20"/>
              </w:rPr>
            </w:pPr>
            <w:r w:rsidRPr="006B42D6">
              <w:rPr>
                <w:sz w:val="20"/>
                <w:szCs w:val="20"/>
              </w:rPr>
              <w:t>0.1</w:t>
            </w:r>
          </w:p>
        </w:tc>
      </w:tr>
      <w:tr w:rsidR="006B42D6" w:rsidRPr="006B42D6" w14:paraId="104CDC8C" w14:textId="77777777" w:rsidTr="009514C8">
        <w:trPr>
          <w:trHeight w:hRule="exact" w:val="283"/>
        </w:trPr>
        <w:tc>
          <w:tcPr>
            <w:tcW w:w="2410" w:type="dxa"/>
            <w:tcBorders>
              <w:top w:val="nil"/>
              <w:left w:val="nil"/>
              <w:bottom w:val="nil"/>
              <w:right w:val="nil"/>
            </w:tcBorders>
            <w:shd w:val="clear" w:color="auto" w:fill="auto"/>
            <w:vAlign w:val="center"/>
            <w:hideMark/>
          </w:tcPr>
          <w:p w14:paraId="0C6AF313" w14:textId="77777777" w:rsidR="008A1E55" w:rsidRPr="006B42D6" w:rsidRDefault="008A1E55" w:rsidP="00E16CAE">
            <w:pPr>
              <w:rPr>
                <w:sz w:val="20"/>
                <w:szCs w:val="20"/>
              </w:rPr>
            </w:pPr>
            <w:r w:rsidRPr="006B42D6">
              <w:rPr>
                <w:sz w:val="20"/>
                <w:szCs w:val="20"/>
              </w:rPr>
              <w:t>Firewood</w:t>
            </w:r>
          </w:p>
        </w:tc>
        <w:tc>
          <w:tcPr>
            <w:tcW w:w="1418" w:type="dxa"/>
            <w:tcBorders>
              <w:top w:val="nil"/>
              <w:left w:val="nil"/>
              <w:bottom w:val="nil"/>
              <w:right w:val="nil"/>
            </w:tcBorders>
            <w:shd w:val="clear" w:color="auto" w:fill="auto"/>
            <w:noWrap/>
            <w:vAlign w:val="center"/>
            <w:hideMark/>
          </w:tcPr>
          <w:p w14:paraId="7DFBE8CE" w14:textId="77777777" w:rsidR="008A1E55" w:rsidRPr="006B42D6" w:rsidRDefault="008A1E55" w:rsidP="00E16CAE">
            <w:pPr>
              <w:jc w:val="right"/>
              <w:rPr>
                <w:sz w:val="20"/>
                <w:szCs w:val="20"/>
              </w:rPr>
            </w:pPr>
            <w:r w:rsidRPr="006B42D6">
              <w:rPr>
                <w:sz w:val="20"/>
                <w:szCs w:val="20"/>
              </w:rPr>
              <w:t>61,307</w:t>
            </w:r>
          </w:p>
        </w:tc>
        <w:tc>
          <w:tcPr>
            <w:tcW w:w="992" w:type="dxa"/>
            <w:tcBorders>
              <w:top w:val="nil"/>
              <w:left w:val="nil"/>
              <w:bottom w:val="nil"/>
              <w:right w:val="nil"/>
            </w:tcBorders>
            <w:shd w:val="clear" w:color="auto" w:fill="auto"/>
            <w:noWrap/>
            <w:vAlign w:val="center"/>
            <w:hideMark/>
          </w:tcPr>
          <w:p w14:paraId="441F1CEC" w14:textId="77777777" w:rsidR="008A1E55" w:rsidRPr="006B42D6" w:rsidRDefault="008A1E55" w:rsidP="00E16CAE">
            <w:pPr>
              <w:jc w:val="right"/>
              <w:rPr>
                <w:sz w:val="20"/>
                <w:szCs w:val="20"/>
              </w:rPr>
            </w:pPr>
            <w:r w:rsidRPr="006B42D6">
              <w:rPr>
                <w:sz w:val="20"/>
                <w:szCs w:val="20"/>
              </w:rPr>
              <w:t>0.8</w:t>
            </w:r>
          </w:p>
        </w:tc>
        <w:tc>
          <w:tcPr>
            <w:tcW w:w="1276" w:type="dxa"/>
            <w:tcBorders>
              <w:top w:val="nil"/>
              <w:left w:val="nil"/>
              <w:bottom w:val="nil"/>
              <w:right w:val="nil"/>
            </w:tcBorders>
            <w:shd w:val="clear" w:color="auto" w:fill="auto"/>
            <w:noWrap/>
            <w:vAlign w:val="center"/>
            <w:hideMark/>
          </w:tcPr>
          <w:p w14:paraId="78A56DC3" w14:textId="77777777" w:rsidR="008A1E55" w:rsidRPr="006B42D6" w:rsidRDefault="008A1E55" w:rsidP="00E16CAE">
            <w:pPr>
              <w:jc w:val="right"/>
              <w:rPr>
                <w:sz w:val="20"/>
                <w:szCs w:val="20"/>
              </w:rPr>
            </w:pPr>
            <w:r w:rsidRPr="006B42D6">
              <w:rPr>
                <w:sz w:val="20"/>
                <w:szCs w:val="20"/>
              </w:rPr>
              <w:t>61,088</w:t>
            </w:r>
          </w:p>
        </w:tc>
        <w:tc>
          <w:tcPr>
            <w:tcW w:w="992" w:type="dxa"/>
            <w:tcBorders>
              <w:top w:val="nil"/>
              <w:left w:val="nil"/>
              <w:bottom w:val="nil"/>
              <w:right w:val="nil"/>
            </w:tcBorders>
            <w:shd w:val="clear" w:color="auto" w:fill="auto"/>
            <w:noWrap/>
            <w:vAlign w:val="center"/>
            <w:hideMark/>
          </w:tcPr>
          <w:p w14:paraId="7D70BE7C" w14:textId="77777777" w:rsidR="008A1E55" w:rsidRPr="006B42D6" w:rsidRDefault="008A1E55" w:rsidP="00E16CAE">
            <w:pPr>
              <w:jc w:val="right"/>
              <w:rPr>
                <w:sz w:val="20"/>
                <w:szCs w:val="20"/>
              </w:rPr>
            </w:pPr>
            <w:r w:rsidRPr="006B42D6">
              <w:rPr>
                <w:sz w:val="20"/>
                <w:szCs w:val="20"/>
              </w:rPr>
              <w:t>0.8</w:t>
            </w:r>
          </w:p>
        </w:tc>
        <w:tc>
          <w:tcPr>
            <w:tcW w:w="1134" w:type="dxa"/>
            <w:tcBorders>
              <w:top w:val="nil"/>
              <w:left w:val="nil"/>
              <w:bottom w:val="nil"/>
              <w:right w:val="nil"/>
            </w:tcBorders>
            <w:shd w:val="clear" w:color="auto" w:fill="auto"/>
            <w:noWrap/>
            <w:vAlign w:val="center"/>
            <w:hideMark/>
          </w:tcPr>
          <w:p w14:paraId="69488392" w14:textId="77777777" w:rsidR="008A1E55" w:rsidRPr="006B42D6" w:rsidRDefault="008A1E55" w:rsidP="00E16CAE">
            <w:pPr>
              <w:jc w:val="right"/>
              <w:rPr>
                <w:sz w:val="20"/>
                <w:szCs w:val="20"/>
              </w:rPr>
            </w:pPr>
            <w:r w:rsidRPr="006B42D6">
              <w:rPr>
                <w:sz w:val="20"/>
                <w:szCs w:val="20"/>
              </w:rPr>
              <w:t>219</w:t>
            </w:r>
          </w:p>
        </w:tc>
        <w:tc>
          <w:tcPr>
            <w:tcW w:w="992" w:type="dxa"/>
            <w:tcBorders>
              <w:top w:val="nil"/>
              <w:left w:val="nil"/>
              <w:bottom w:val="nil"/>
              <w:right w:val="nil"/>
            </w:tcBorders>
            <w:shd w:val="clear" w:color="auto" w:fill="auto"/>
            <w:noWrap/>
            <w:vAlign w:val="center"/>
            <w:hideMark/>
          </w:tcPr>
          <w:p w14:paraId="1DEC60DE" w14:textId="77777777" w:rsidR="008A1E55" w:rsidRPr="006B42D6" w:rsidRDefault="008A1E55" w:rsidP="00E16CAE">
            <w:pPr>
              <w:jc w:val="right"/>
              <w:rPr>
                <w:sz w:val="20"/>
                <w:szCs w:val="20"/>
              </w:rPr>
            </w:pPr>
            <w:r w:rsidRPr="006B42D6">
              <w:rPr>
                <w:sz w:val="20"/>
                <w:szCs w:val="20"/>
              </w:rPr>
              <w:t>0.1</w:t>
            </w:r>
          </w:p>
        </w:tc>
      </w:tr>
      <w:tr w:rsidR="006B42D6" w:rsidRPr="006B42D6" w14:paraId="13891084" w14:textId="77777777" w:rsidTr="009514C8">
        <w:trPr>
          <w:trHeight w:hRule="exact" w:val="283"/>
        </w:trPr>
        <w:tc>
          <w:tcPr>
            <w:tcW w:w="2410" w:type="dxa"/>
            <w:tcBorders>
              <w:top w:val="nil"/>
              <w:left w:val="nil"/>
              <w:bottom w:val="nil"/>
              <w:right w:val="nil"/>
            </w:tcBorders>
            <w:shd w:val="clear" w:color="auto" w:fill="auto"/>
            <w:vAlign w:val="center"/>
            <w:hideMark/>
          </w:tcPr>
          <w:p w14:paraId="6FB5ADAA" w14:textId="77777777" w:rsidR="008A1E55" w:rsidRPr="006B42D6" w:rsidRDefault="008A1E55" w:rsidP="00E16CAE">
            <w:pPr>
              <w:rPr>
                <w:sz w:val="20"/>
                <w:szCs w:val="20"/>
              </w:rPr>
            </w:pPr>
            <w:r w:rsidRPr="006B42D6">
              <w:rPr>
                <w:sz w:val="20"/>
                <w:szCs w:val="20"/>
              </w:rPr>
              <w:t>Torch/Rechargeable Lamp</w:t>
            </w:r>
          </w:p>
        </w:tc>
        <w:tc>
          <w:tcPr>
            <w:tcW w:w="1418" w:type="dxa"/>
            <w:tcBorders>
              <w:top w:val="nil"/>
              <w:left w:val="nil"/>
              <w:bottom w:val="nil"/>
              <w:right w:val="nil"/>
            </w:tcBorders>
            <w:shd w:val="clear" w:color="auto" w:fill="auto"/>
            <w:noWrap/>
            <w:vAlign w:val="center"/>
            <w:hideMark/>
          </w:tcPr>
          <w:p w14:paraId="27D4458D" w14:textId="77777777" w:rsidR="008A1E55" w:rsidRPr="006B42D6" w:rsidRDefault="008A1E55" w:rsidP="00E16CAE">
            <w:pPr>
              <w:jc w:val="right"/>
              <w:rPr>
                <w:sz w:val="20"/>
                <w:szCs w:val="20"/>
              </w:rPr>
            </w:pPr>
            <w:r w:rsidRPr="006B42D6">
              <w:rPr>
                <w:sz w:val="20"/>
                <w:szCs w:val="20"/>
              </w:rPr>
              <w:t>2,232,833</w:t>
            </w:r>
          </w:p>
        </w:tc>
        <w:tc>
          <w:tcPr>
            <w:tcW w:w="992" w:type="dxa"/>
            <w:tcBorders>
              <w:top w:val="nil"/>
              <w:left w:val="nil"/>
              <w:bottom w:val="nil"/>
              <w:right w:val="nil"/>
            </w:tcBorders>
            <w:shd w:val="clear" w:color="auto" w:fill="auto"/>
            <w:noWrap/>
            <w:vAlign w:val="center"/>
            <w:hideMark/>
          </w:tcPr>
          <w:p w14:paraId="157CF031" w14:textId="77777777" w:rsidR="008A1E55" w:rsidRPr="006B42D6" w:rsidRDefault="008A1E55" w:rsidP="00E16CAE">
            <w:pPr>
              <w:jc w:val="right"/>
              <w:rPr>
                <w:sz w:val="20"/>
                <w:szCs w:val="20"/>
              </w:rPr>
            </w:pPr>
            <w:r w:rsidRPr="006B42D6">
              <w:rPr>
                <w:sz w:val="20"/>
                <w:szCs w:val="20"/>
              </w:rPr>
              <w:t>28.5</w:t>
            </w:r>
          </w:p>
        </w:tc>
        <w:tc>
          <w:tcPr>
            <w:tcW w:w="1276" w:type="dxa"/>
            <w:tcBorders>
              <w:top w:val="nil"/>
              <w:left w:val="nil"/>
              <w:bottom w:val="nil"/>
              <w:right w:val="nil"/>
            </w:tcBorders>
            <w:shd w:val="clear" w:color="auto" w:fill="auto"/>
            <w:noWrap/>
            <w:vAlign w:val="center"/>
            <w:hideMark/>
          </w:tcPr>
          <w:p w14:paraId="75174397" w14:textId="77777777" w:rsidR="008A1E55" w:rsidRPr="006B42D6" w:rsidRDefault="008A1E55" w:rsidP="00E16CAE">
            <w:pPr>
              <w:jc w:val="right"/>
              <w:rPr>
                <w:sz w:val="20"/>
                <w:szCs w:val="20"/>
              </w:rPr>
            </w:pPr>
            <w:r w:rsidRPr="006B42D6">
              <w:rPr>
                <w:sz w:val="20"/>
                <w:szCs w:val="20"/>
              </w:rPr>
              <w:t>2,228,489</w:t>
            </w:r>
          </w:p>
        </w:tc>
        <w:tc>
          <w:tcPr>
            <w:tcW w:w="992" w:type="dxa"/>
            <w:tcBorders>
              <w:top w:val="nil"/>
              <w:left w:val="nil"/>
              <w:bottom w:val="nil"/>
              <w:right w:val="nil"/>
            </w:tcBorders>
            <w:shd w:val="clear" w:color="auto" w:fill="auto"/>
            <w:noWrap/>
            <w:vAlign w:val="center"/>
            <w:hideMark/>
          </w:tcPr>
          <w:p w14:paraId="1888F61D" w14:textId="77777777" w:rsidR="008A1E55" w:rsidRPr="006B42D6" w:rsidRDefault="008A1E55" w:rsidP="00E16CAE">
            <w:pPr>
              <w:jc w:val="right"/>
              <w:rPr>
                <w:sz w:val="20"/>
                <w:szCs w:val="20"/>
              </w:rPr>
            </w:pPr>
            <w:r w:rsidRPr="006B42D6">
              <w:rPr>
                <w:sz w:val="20"/>
                <w:szCs w:val="20"/>
              </w:rPr>
              <w:t>29.1</w:t>
            </w:r>
          </w:p>
        </w:tc>
        <w:tc>
          <w:tcPr>
            <w:tcW w:w="1134" w:type="dxa"/>
            <w:tcBorders>
              <w:top w:val="nil"/>
              <w:left w:val="nil"/>
              <w:bottom w:val="nil"/>
              <w:right w:val="nil"/>
            </w:tcBorders>
            <w:shd w:val="clear" w:color="auto" w:fill="auto"/>
            <w:noWrap/>
            <w:vAlign w:val="center"/>
            <w:hideMark/>
          </w:tcPr>
          <w:p w14:paraId="59566C8F" w14:textId="77777777" w:rsidR="008A1E55" w:rsidRPr="006B42D6" w:rsidRDefault="008A1E55" w:rsidP="00E16CAE">
            <w:pPr>
              <w:jc w:val="right"/>
              <w:rPr>
                <w:sz w:val="20"/>
                <w:szCs w:val="20"/>
              </w:rPr>
            </w:pPr>
            <w:r w:rsidRPr="006B42D6">
              <w:rPr>
                <w:sz w:val="20"/>
                <w:szCs w:val="20"/>
              </w:rPr>
              <w:t>4,344</w:t>
            </w:r>
          </w:p>
        </w:tc>
        <w:tc>
          <w:tcPr>
            <w:tcW w:w="992" w:type="dxa"/>
            <w:tcBorders>
              <w:top w:val="nil"/>
              <w:left w:val="nil"/>
              <w:bottom w:val="nil"/>
              <w:right w:val="nil"/>
            </w:tcBorders>
            <w:shd w:val="clear" w:color="auto" w:fill="auto"/>
            <w:noWrap/>
            <w:vAlign w:val="center"/>
            <w:hideMark/>
          </w:tcPr>
          <w:p w14:paraId="638F825D" w14:textId="77777777" w:rsidR="008A1E55" w:rsidRPr="006B42D6" w:rsidRDefault="008A1E55" w:rsidP="00E16CAE">
            <w:pPr>
              <w:jc w:val="right"/>
              <w:rPr>
                <w:sz w:val="20"/>
                <w:szCs w:val="20"/>
              </w:rPr>
            </w:pPr>
            <w:r w:rsidRPr="006B42D6">
              <w:rPr>
                <w:sz w:val="20"/>
                <w:szCs w:val="20"/>
              </w:rPr>
              <w:t>2.4</w:t>
            </w:r>
          </w:p>
        </w:tc>
      </w:tr>
      <w:tr w:rsidR="006B42D6" w:rsidRPr="006B42D6" w14:paraId="44E22B85" w14:textId="77777777" w:rsidTr="009514C8">
        <w:trPr>
          <w:trHeight w:hRule="exact" w:val="283"/>
        </w:trPr>
        <w:tc>
          <w:tcPr>
            <w:tcW w:w="2410" w:type="dxa"/>
            <w:tcBorders>
              <w:top w:val="nil"/>
              <w:left w:val="nil"/>
              <w:bottom w:val="nil"/>
              <w:right w:val="nil"/>
            </w:tcBorders>
            <w:shd w:val="clear" w:color="auto" w:fill="auto"/>
            <w:vAlign w:val="center"/>
            <w:hideMark/>
          </w:tcPr>
          <w:p w14:paraId="0C4B4C8E" w14:textId="77777777" w:rsidR="008A1E55" w:rsidRPr="006B42D6" w:rsidRDefault="008A1E55" w:rsidP="00E16CAE">
            <w:pPr>
              <w:rPr>
                <w:sz w:val="20"/>
                <w:szCs w:val="20"/>
              </w:rPr>
            </w:pPr>
            <w:r w:rsidRPr="006B42D6">
              <w:rPr>
                <w:sz w:val="20"/>
                <w:szCs w:val="20"/>
              </w:rPr>
              <w:t>Generator/Private source</w:t>
            </w:r>
          </w:p>
        </w:tc>
        <w:tc>
          <w:tcPr>
            <w:tcW w:w="1418" w:type="dxa"/>
            <w:tcBorders>
              <w:top w:val="nil"/>
              <w:left w:val="nil"/>
              <w:bottom w:val="nil"/>
              <w:right w:val="nil"/>
            </w:tcBorders>
            <w:shd w:val="clear" w:color="auto" w:fill="auto"/>
            <w:noWrap/>
            <w:vAlign w:val="center"/>
            <w:hideMark/>
          </w:tcPr>
          <w:p w14:paraId="3FC4AAB1" w14:textId="77777777" w:rsidR="008A1E55" w:rsidRPr="006B42D6" w:rsidRDefault="008A1E55" w:rsidP="00E16CAE">
            <w:pPr>
              <w:jc w:val="right"/>
              <w:rPr>
                <w:sz w:val="20"/>
                <w:szCs w:val="20"/>
              </w:rPr>
            </w:pPr>
            <w:r w:rsidRPr="006B42D6">
              <w:rPr>
                <w:sz w:val="20"/>
                <w:szCs w:val="20"/>
              </w:rPr>
              <w:t>14,153</w:t>
            </w:r>
          </w:p>
        </w:tc>
        <w:tc>
          <w:tcPr>
            <w:tcW w:w="992" w:type="dxa"/>
            <w:tcBorders>
              <w:top w:val="nil"/>
              <w:left w:val="nil"/>
              <w:bottom w:val="nil"/>
              <w:right w:val="nil"/>
            </w:tcBorders>
            <w:shd w:val="clear" w:color="auto" w:fill="auto"/>
            <w:noWrap/>
            <w:vAlign w:val="center"/>
            <w:hideMark/>
          </w:tcPr>
          <w:p w14:paraId="76D53099" w14:textId="77777777" w:rsidR="008A1E55" w:rsidRPr="006B42D6" w:rsidRDefault="008A1E55" w:rsidP="00E16CAE">
            <w:pPr>
              <w:jc w:val="right"/>
              <w:rPr>
                <w:sz w:val="20"/>
                <w:szCs w:val="20"/>
              </w:rPr>
            </w:pPr>
            <w:r w:rsidRPr="006B42D6">
              <w:rPr>
                <w:sz w:val="20"/>
                <w:szCs w:val="20"/>
              </w:rPr>
              <w:t>0.2</w:t>
            </w:r>
          </w:p>
        </w:tc>
        <w:tc>
          <w:tcPr>
            <w:tcW w:w="1276" w:type="dxa"/>
            <w:tcBorders>
              <w:top w:val="nil"/>
              <w:left w:val="nil"/>
              <w:bottom w:val="nil"/>
              <w:right w:val="nil"/>
            </w:tcBorders>
            <w:shd w:val="clear" w:color="auto" w:fill="auto"/>
            <w:noWrap/>
            <w:vAlign w:val="center"/>
            <w:hideMark/>
          </w:tcPr>
          <w:p w14:paraId="6BB657CA" w14:textId="77777777" w:rsidR="008A1E55" w:rsidRPr="006B42D6" w:rsidRDefault="008A1E55" w:rsidP="00E16CAE">
            <w:pPr>
              <w:jc w:val="right"/>
              <w:rPr>
                <w:sz w:val="20"/>
                <w:szCs w:val="20"/>
              </w:rPr>
            </w:pPr>
            <w:r w:rsidRPr="006B42D6">
              <w:rPr>
                <w:sz w:val="20"/>
                <w:szCs w:val="20"/>
              </w:rPr>
              <w:t>13,440</w:t>
            </w:r>
          </w:p>
        </w:tc>
        <w:tc>
          <w:tcPr>
            <w:tcW w:w="992" w:type="dxa"/>
            <w:tcBorders>
              <w:top w:val="nil"/>
              <w:left w:val="nil"/>
              <w:bottom w:val="nil"/>
              <w:right w:val="nil"/>
            </w:tcBorders>
            <w:shd w:val="clear" w:color="auto" w:fill="auto"/>
            <w:noWrap/>
            <w:vAlign w:val="center"/>
            <w:hideMark/>
          </w:tcPr>
          <w:p w14:paraId="4D52C41D" w14:textId="77777777" w:rsidR="008A1E55" w:rsidRPr="006B42D6" w:rsidRDefault="008A1E55" w:rsidP="00E16CAE">
            <w:pPr>
              <w:jc w:val="right"/>
              <w:rPr>
                <w:sz w:val="20"/>
                <w:szCs w:val="20"/>
              </w:rPr>
            </w:pPr>
            <w:r w:rsidRPr="006B42D6">
              <w:rPr>
                <w:sz w:val="20"/>
                <w:szCs w:val="20"/>
              </w:rPr>
              <w:t>0.2</w:t>
            </w:r>
          </w:p>
        </w:tc>
        <w:tc>
          <w:tcPr>
            <w:tcW w:w="1134" w:type="dxa"/>
            <w:tcBorders>
              <w:top w:val="nil"/>
              <w:left w:val="nil"/>
              <w:bottom w:val="nil"/>
              <w:right w:val="nil"/>
            </w:tcBorders>
            <w:shd w:val="clear" w:color="auto" w:fill="auto"/>
            <w:noWrap/>
            <w:vAlign w:val="center"/>
            <w:hideMark/>
          </w:tcPr>
          <w:p w14:paraId="7B3A5D61" w14:textId="77777777" w:rsidR="008A1E55" w:rsidRPr="006B42D6" w:rsidRDefault="008A1E55" w:rsidP="00E16CAE">
            <w:pPr>
              <w:jc w:val="right"/>
              <w:rPr>
                <w:sz w:val="20"/>
                <w:szCs w:val="20"/>
              </w:rPr>
            </w:pPr>
            <w:r w:rsidRPr="006B42D6">
              <w:rPr>
                <w:sz w:val="20"/>
                <w:szCs w:val="20"/>
              </w:rPr>
              <w:t>713</w:t>
            </w:r>
          </w:p>
        </w:tc>
        <w:tc>
          <w:tcPr>
            <w:tcW w:w="992" w:type="dxa"/>
            <w:tcBorders>
              <w:top w:val="nil"/>
              <w:left w:val="nil"/>
              <w:bottom w:val="nil"/>
              <w:right w:val="nil"/>
            </w:tcBorders>
            <w:shd w:val="clear" w:color="auto" w:fill="auto"/>
            <w:noWrap/>
            <w:vAlign w:val="center"/>
            <w:hideMark/>
          </w:tcPr>
          <w:p w14:paraId="091D5212" w14:textId="77777777" w:rsidR="008A1E55" w:rsidRPr="006B42D6" w:rsidRDefault="008A1E55" w:rsidP="00E16CAE">
            <w:pPr>
              <w:jc w:val="right"/>
              <w:rPr>
                <w:sz w:val="20"/>
                <w:szCs w:val="20"/>
              </w:rPr>
            </w:pPr>
            <w:r w:rsidRPr="006B42D6">
              <w:rPr>
                <w:sz w:val="20"/>
                <w:szCs w:val="20"/>
              </w:rPr>
              <w:t>0.4</w:t>
            </w:r>
          </w:p>
        </w:tc>
      </w:tr>
      <w:tr w:rsidR="006B42D6" w:rsidRPr="006B42D6" w14:paraId="106F5B05" w14:textId="77777777" w:rsidTr="009514C8">
        <w:trPr>
          <w:trHeight w:hRule="exact" w:val="283"/>
        </w:trPr>
        <w:tc>
          <w:tcPr>
            <w:tcW w:w="2410" w:type="dxa"/>
            <w:tcBorders>
              <w:top w:val="nil"/>
              <w:left w:val="nil"/>
              <w:bottom w:val="nil"/>
              <w:right w:val="nil"/>
            </w:tcBorders>
            <w:shd w:val="clear" w:color="auto" w:fill="auto"/>
            <w:vAlign w:val="center"/>
            <w:hideMark/>
          </w:tcPr>
          <w:p w14:paraId="33AC62E3" w14:textId="77777777" w:rsidR="008A1E55" w:rsidRPr="006B42D6" w:rsidRDefault="008A1E55" w:rsidP="00E16CAE">
            <w:pPr>
              <w:rPr>
                <w:sz w:val="20"/>
                <w:szCs w:val="20"/>
              </w:rPr>
            </w:pPr>
            <w:r w:rsidRPr="006B42D6">
              <w:rPr>
                <w:sz w:val="20"/>
                <w:szCs w:val="20"/>
              </w:rPr>
              <w:t xml:space="preserve">Other </w:t>
            </w:r>
          </w:p>
        </w:tc>
        <w:tc>
          <w:tcPr>
            <w:tcW w:w="1418" w:type="dxa"/>
            <w:tcBorders>
              <w:top w:val="nil"/>
              <w:left w:val="nil"/>
              <w:bottom w:val="nil"/>
              <w:right w:val="nil"/>
            </w:tcBorders>
            <w:shd w:val="clear" w:color="auto" w:fill="auto"/>
            <w:noWrap/>
            <w:vAlign w:val="center"/>
            <w:hideMark/>
          </w:tcPr>
          <w:p w14:paraId="775A6292" w14:textId="77777777" w:rsidR="008A1E55" w:rsidRPr="006B42D6" w:rsidRDefault="008A1E55" w:rsidP="00E16CAE">
            <w:pPr>
              <w:jc w:val="right"/>
              <w:rPr>
                <w:sz w:val="20"/>
                <w:szCs w:val="20"/>
              </w:rPr>
            </w:pPr>
            <w:r w:rsidRPr="006B42D6">
              <w:rPr>
                <w:sz w:val="20"/>
                <w:szCs w:val="20"/>
              </w:rPr>
              <w:t>75,868</w:t>
            </w:r>
          </w:p>
        </w:tc>
        <w:tc>
          <w:tcPr>
            <w:tcW w:w="992" w:type="dxa"/>
            <w:tcBorders>
              <w:top w:val="nil"/>
              <w:left w:val="nil"/>
              <w:bottom w:val="nil"/>
              <w:right w:val="nil"/>
            </w:tcBorders>
            <w:shd w:val="clear" w:color="auto" w:fill="auto"/>
            <w:noWrap/>
            <w:vAlign w:val="center"/>
            <w:hideMark/>
          </w:tcPr>
          <w:p w14:paraId="61847F83" w14:textId="77777777" w:rsidR="008A1E55" w:rsidRPr="006B42D6" w:rsidRDefault="008A1E55" w:rsidP="00E16CAE">
            <w:pPr>
              <w:jc w:val="right"/>
              <w:rPr>
                <w:sz w:val="20"/>
                <w:szCs w:val="20"/>
              </w:rPr>
            </w:pPr>
            <w:r w:rsidRPr="006B42D6">
              <w:rPr>
                <w:sz w:val="20"/>
                <w:szCs w:val="20"/>
              </w:rPr>
              <w:t>1.0</w:t>
            </w:r>
          </w:p>
        </w:tc>
        <w:tc>
          <w:tcPr>
            <w:tcW w:w="1276" w:type="dxa"/>
            <w:tcBorders>
              <w:top w:val="nil"/>
              <w:left w:val="nil"/>
              <w:bottom w:val="nil"/>
              <w:right w:val="nil"/>
            </w:tcBorders>
            <w:shd w:val="clear" w:color="auto" w:fill="auto"/>
            <w:noWrap/>
            <w:vAlign w:val="center"/>
            <w:hideMark/>
          </w:tcPr>
          <w:p w14:paraId="331CA3D3" w14:textId="77777777" w:rsidR="008A1E55" w:rsidRPr="006B42D6" w:rsidRDefault="008A1E55" w:rsidP="00E16CAE">
            <w:pPr>
              <w:jc w:val="right"/>
              <w:rPr>
                <w:sz w:val="20"/>
                <w:szCs w:val="20"/>
              </w:rPr>
            </w:pPr>
            <w:r w:rsidRPr="006B42D6">
              <w:rPr>
                <w:sz w:val="20"/>
                <w:szCs w:val="20"/>
              </w:rPr>
              <w:t>75,702</w:t>
            </w:r>
          </w:p>
        </w:tc>
        <w:tc>
          <w:tcPr>
            <w:tcW w:w="992" w:type="dxa"/>
            <w:tcBorders>
              <w:top w:val="nil"/>
              <w:left w:val="nil"/>
              <w:bottom w:val="nil"/>
              <w:right w:val="nil"/>
            </w:tcBorders>
            <w:shd w:val="clear" w:color="auto" w:fill="auto"/>
            <w:noWrap/>
            <w:vAlign w:val="center"/>
            <w:hideMark/>
          </w:tcPr>
          <w:p w14:paraId="6CC5AA52" w14:textId="77777777" w:rsidR="008A1E55" w:rsidRPr="006B42D6" w:rsidRDefault="008A1E55" w:rsidP="00E16CAE">
            <w:pPr>
              <w:jc w:val="right"/>
              <w:rPr>
                <w:sz w:val="20"/>
                <w:szCs w:val="20"/>
              </w:rPr>
            </w:pPr>
            <w:r w:rsidRPr="006B42D6">
              <w:rPr>
                <w:sz w:val="20"/>
                <w:szCs w:val="20"/>
              </w:rPr>
              <w:t>1.0</w:t>
            </w:r>
          </w:p>
        </w:tc>
        <w:tc>
          <w:tcPr>
            <w:tcW w:w="1134" w:type="dxa"/>
            <w:tcBorders>
              <w:top w:val="nil"/>
              <w:left w:val="nil"/>
              <w:bottom w:val="nil"/>
              <w:right w:val="nil"/>
            </w:tcBorders>
            <w:shd w:val="clear" w:color="auto" w:fill="auto"/>
            <w:noWrap/>
            <w:vAlign w:val="center"/>
            <w:hideMark/>
          </w:tcPr>
          <w:p w14:paraId="7623EF5E" w14:textId="77777777" w:rsidR="008A1E55" w:rsidRPr="006B42D6" w:rsidRDefault="008A1E55" w:rsidP="00E16CAE">
            <w:pPr>
              <w:jc w:val="right"/>
              <w:rPr>
                <w:sz w:val="20"/>
                <w:szCs w:val="20"/>
              </w:rPr>
            </w:pPr>
            <w:r w:rsidRPr="006B42D6">
              <w:rPr>
                <w:sz w:val="20"/>
                <w:szCs w:val="20"/>
              </w:rPr>
              <w:t>166</w:t>
            </w:r>
          </w:p>
        </w:tc>
        <w:tc>
          <w:tcPr>
            <w:tcW w:w="992" w:type="dxa"/>
            <w:tcBorders>
              <w:top w:val="nil"/>
              <w:left w:val="nil"/>
              <w:bottom w:val="nil"/>
              <w:right w:val="nil"/>
            </w:tcBorders>
            <w:shd w:val="clear" w:color="auto" w:fill="auto"/>
            <w:noWrap/>
            <w:vAlign w:val="center"/>
            <w:hideMark/>
          </w:tcPr>
          <w:p w14:paraId="5BA2D26C" w14:textId="77777777" w:rsidR="008A1E55" w:rsidRPr="006B42D6" w:rsidRDefault="008A1E55" w:rsidP="00E16CAE">
            <w:pPr>
              <w:jc w:val="right"/>
              <w:rPr>
                <w:sz w:val="20"/>
                <w:szCs w:val="20"/>
              </w:rPr>
            </w:pPr>
            <w:r w:rsidRPr="006B42D6">
              <w:rPr>
                <w:sz w:val="20"/>
                <w:szCs w:val="20"/>
              </w:rPr>
              <w:t>0.1</w:t>
            </w:r>
          </w:p>
        </w:tc>
      </w:tr>
      <w:tr w:rsidR="008A1E55" w:rsidRPr="00143C67" w14:paraId="0479E0AF" w14:textId="77777777" w:rsidTr="00DD3FC5">
        <w:trPr>
          <w:trHeight w:hRule="exact" w:val="283"/>
        </w:trPr>
        <w:tc>
          <w:tcPr>
            <w:tcW w:w="2410" w:type="dxa"/>
            <w:tcBorders>
              <w:top w:val="single" w:sz="4" w:space="0" w:color="auto"/>
              <w:left w:val="nil"/>
              <w:bottom w:val="single" w:sz="4" w:space="0" w:color="auto"/>
              <w:right w:val="nil"/>
            </w:tcBorders>
            <w:shd w:val="clear" w:color="auto" w:fill="E2EFD9" w:themeFill="accent6" w:themeFillTint="33"/>
            <w:vAlign w:val="center"/>
            <w:hideMark/>
          </w:tcPr>
          <w:p w14:paraId="1B0383DE" w14:textId="77777777" w:rsidR="008A1E55" w:rsidRPr="00143C67" w:rsidRDefault="008A1E55" w:rsidP="00E16CAE">
            <w:pPr>
              <w:rPr>
                <w:b/>
                <w:sz w:val="20"/>
                <w:szCs w:val="20"/>
              </w:rPr>
            </w:pPr>
            <w:r w:rsidRPr="00143C67">
              <w:rPr>
                <w:b/>
                <w:sz w:val="20"/>
                <w:szCs w:val="20"/>
              </w:rPr>
              <w:t>Total</w:t>
            </w:r>
          </w:p>
        </w:tc>
        <w:tc>
          <w:tcPr>
            <w:tcW w:w="1418" w:type="dxa"/>
            <w:tcBorders>
              <w:top w:val="single" w:sz="4" w:space="0" w:color="auto"/>
              <w:left w:val="nil"/>
              <w:bottom w:val="single" w:sz="4" w:space="0" w:color="auto"/>
              <w:right w:val="nil"/>
            </w:tcBorders>
            <w:shd w:val="clear" w:color="auto" w:fill="E2EFD9" w:themeFill="accent6" w:themeFillTint="33"/>
            <w:noWrap/>
            <w:vAlign w:val="center"/>
            <w:hideMark/>
          </w:tcPr>
          <w:p w14:paraId="70E6A633" w14:textId="77777777" w:rsidR="008A1E55" w:rsidRPr="00143C67" w:rsidRDefault="008A1E55" w:rsidP="00E16CAE">
            <w:pPr>
              <w:jc w:val="right"/>
              <w:rPr>
                <w:b/>
                <w:sz w:val="20"/>
                <w:szCs w:val="20"/>
              </w:rPr>
            </w:pPr>
            <w:r w:rsidRPr="00143C67">
              <w:rPr>
                <w:b/>
                <w:sz w:val="20"/>
                <w:szCs w:val="20"/>
              </w:rPr>
              <w:t>7,837,405</w:t>
            </w:r>
          </w:p>
        </w:tc>
        <w:tc>
          <w:tcPr>
            <w:tcW w:w="992" w:type="dxa"/>
            <w:tcBorders>
              <w:top w:val="single" w:sz="4" w:space="0" w:color="auto"/>
              <w:left w:val="nil"/>
              <w:bottom w:val="single" w:sz="4" w:space="0" w:color="auto"/>
              <w:right w:val="nil"/>
            </w:tcBorders>
            <w:shd w:val="clear" w:color="auto" w:fill="E2EFD9" w:themeFill="accent6" w:themeFillTint="33"/>
            <w:noWrap/>
            <w:vAlign w:val="center"/>
            <w:hideMark/>
          </w:tcPr>
          <w:p w14:paraId="5B82E877" w14:textId="77777777" w:rsidR="008A1E55" w:rsidRPr="00143C67" w:rsidRDefault="008A1E55" w:rsidP="00E16CAE">
            <w:pPr>
              <w:jc w:val="right"/>
              <w:rPr>
                <w:b/>
                <w:sz w:val="20"/>
                <w:szCs w:val="20"/>
              </w:rPr>
            </w:pPr>
            <w:r w:rsidRPr="00143C67">
              <w:rPr>
                <w:b/>
                <w:sz w:val="20"/>
                <w:szCs w:val="20"/>
              </w:rPr>
              <w:t>100.0</w:t>
            </w:r>
          </w:p>
        </w:tc>
        <w:tc>
          <w:tcPr>
            <w:tcW w:w="1276" w:type="dxa"/>
            <w:tcBorders>
              <w:top w:val="single" w:sz="4" w:space="0" w:color="auto"/>
              <w:left w:val="nil"/>
              <w:bottom w:val="single" w:sz="4" w:space="0" w:color="auto"/>
              <w:right w:val="nil"/>
            </w:tcBorders>
            <w:shd w:val="clear" w:color="auto" w:fill="E2EFD9" w:themeFill="accent6" w:themeFillTint="33"/>
            <w:noWrap/>
            <w:vAlign w:val="center"/>
            <w:hideMark/>
          </w:tcPr>
          <w:p w14:paraId="481CF379" w14:textId="77777777" w:rsidR="008A1E55" w:rsidRPr="00143C67" w:rsidRDefault="008A1E55" w:rsidP="00E16CAE">
            <w:pPr>
              <w:jc w:val="right"/>
              <w:rPr>
                <w:b/>
                <w:sz w:val="20"/>
                <w:szCs w:val="20"/>
              </w:rPr>
            </w:pPr>
            <w:r w:rsidRPr="00143C67">
              <w:rPr>
                <w:b/>
                <w:sz w:val="20"/>
                <w:szCs w:val="20"/>
              </w:rPr>
              <w:t>7,657,185</w:t>
            </w:r>
          </w:p>
        </w:tc>
        <w:tc>
          <w:tcPr>
            <w:tcW w:w="992" w:type="dxa"/>
            <w:tcBorders>
              <w:top w:val="single" w:sz="4" w:space="0" w:color="auto"/>
              <w:left w:val="nil"/>
              <w:bottom w:val="single" w:sz="4" w:space="0" w:color="auto"/>
              <w:right w:val="nil"/>
            </w:tcBorders>
            <w:shd w:val="clear" w:color="auto" w:fill="E2EFD9" w:themeFill="accent6" w:themeFillTint="33"/>
            <w:noWrap/>
            <w:vAlign w:val="center"/>
            <w:hideMark/>
          </w:tcPr>
          <w:p w14:paraId="19B5456C" w14:textId="77777777" w:rsidR="008A1E55" w:rsidRPr="00143C67" w:rsidRDefault="008A1E55" w:rsidP="00E16CAE">
            <w:pPr>
              <w:jc w:val="right"/>
              <w:rPr>
                <w:b/>
                <w:sz w:val="20"/>
                <w:szCs w:val="20"/>
              </w:rPr>
            </w:pPr>
            <w:r w:rsidRPr="00143C67">
              <w:rPr>
                <w:b/>
                <w:sz w:val="20"/>
                <w:szCs w:val="20"/>
              </w:rPr>
              <w:t>100.0</w:t>
            </w:r>
          </w:p>
        </w:tc>
        <w:tc>
          <w:tcPr>
            <w:tcW w:w="1134" w:type="dxa"/>
            <w:tcBorders>
              <w:top w:val="single" w:sz="4" w:space="0" w:color="auto"/>
              <w:left w:val="nil"/>
              <w:bottom w:val="single" w:sz="4" w:space="0" w:color="auto"/>
              <w:right w:val="nil"/>
            </w:tcBorders>
            <w:shd w:val="clear" w:color="auto" w:fill="E2EFD9" w:themeFill="accent6" w:themeFillTint="33"/>
            <w:noWrap/>
            <w:vAlign w:val="center"/>
            <w:hideMark/>
          </w:tcPr>
          <w:p w14:paraId="5A34F941" w14:textId="77777777" w:rsidR="008A1E55" w:rsidRPr="00143C67" w:rsidRDefault="008A1E55" w:rsidP="00E16CAE">
            <w:pPr>
              <w:jc w:val="right"/>
              <w:rPr>
                <w:b/>
                <w:sz w:val="20"/>
                <w:szCs w:val="20"/>
              </w:rPr>
            </w:pPr>
            <w:r w:rsidRPr="00143C67">
              <w:rPr>
                <w:b/>
                <w:sz w:val="20"/>
                <w:szCs w:val="20"/>
              </w:rPr>
              <w:t>180,220</w:t>
            </w:r>
          </w:p>
        </w:tc>
        <w:tc>
          <w:tcPr>
            <w:tcW w:w="992" w:type="dxa"/>
            <w:tcBorders>
              <w:top w:val="single" w:sz="4" w:space="0" w:color="auto"/>
              <w:left w:val="nil"/>
              <w:bottom w:val="single" w:sz="4" w:space="0" w:color="auto"/>
              <w:right w:val="nil"/>
            </w:tcBorders>
            <w:shd w:val="clear" w:color="auto" w:fill="E2EFD9" w:themeFill="accent6" w:themeFillTint="33"/>
            <w:noWrap/>
            <w:vAlign w:val="center"/>
            <w:hideMark/>
          </w:tcPr>
          <w:p w14:paraId="3D4B1538" w14:textId="77777777" w:rsidR="008A1E55" w:rsidRPr="00143C67" w:rsidRDefault="008A1E55" w:rsidP="00E16CAE">
            <w:pPr>
              <w:jc w:val="right"/>
              <w:rPr>
                <w:b/>
                <w:sz w:val="20"/>
                <w:szCs w:val="20"/>
              </w:rPr>
            </w:pPr>
            <w:r w:rsidRPr="00143C67">
              <w:rPr>
                <w:b/>
                <w:sz w:val="20"/>
                <w:szCs w:val="20"/>
              </w:rPr>
              <w:t>100.0</w:t>
            </w:r>
          </w:p>
        </w:tc>
      </w:tr>
    </w:tbl>
    <w:p w14:paraId="52AD5D29" w14:textId="77777777" w:rsidR="008A1E55" w:rsidRPr="006B42D6" w:rsidRDefault="008A1E55" w:rsidP="003C22B5"/>
    <w:p w14:paraId="5FDBC196" w14:textId="3ADE1599" w:rsidR="008A1E55" w:rsidRPr="006B42D6" w:rsidRDefault="008A1E55" w:rsidP="008A1E55">
      <w:r w:rsidRPr="006B42D6">
        <w:t xml:space="preserve">In </w:t>
      </w:r>
      <w:r w:rsidR="00EA1552">
        <w:t>Mainland Tanzania</w:t>
      </w:r>
      <w:r w:rsidRPr="006B42D6">
        <w:t xml:space="preserve">, majority of households (3,171,862; 41.4 percent) reported to use solar as the main source of energy for lighting, followed by those using torch/rechargeable lamp (2,228,489; 29.1 percent) and electricity (1,488,539; 19.4). Mtwara region had the largest number of households (203,598; 6.4 percent) reported to use solar as the main source of energy for lighting, followed by Tabora (201,314; 6.35 percent) and Kagera (200,099; 6.31 percent), while Katavi had the least number of households (43,408; 1.4 percent) (Table </w:t>
      </w:r>
      <w:r w:rsidR="006C1D68" w:rsidRPr="006B42D6">
        <w:t>6</w:t>
      </w:r>
      <w:r w:rsidRPr="006B42D6">
        <w:t xml:space="preserve">.11 &amp; </w:t>
      </w:r>
      <w:r w:rsidR="006C1D68" w:rsidRPr="006B42D6">
        <w:t>6</w:t>
      </w:r>
      <w:r w:rsidRPr="006B42D6">
        <w:t>.12).</w:t>
      </w:r>
    </w:p>
    <w:p w14:paraId="0C9E9394" w14:textId="77777777" w:rsidR="008A1E55" w:rsidRPr="006B42D6" w:rsidRDefault="008A1E55" w:rsidP="003C22B5">
      <w:pPr>
        <w:spacing w:line="240" w:lineRule="auto"/>
        <w:rPr>
          <w:strike/>
        </w:rPr>
      </w:pPr>
    </w:p>
    <w:p w14:paraId="3A904073" w14:textId="74EF6A71" w:rsidR="008A1E55" w:rsidRPr="006B42D6" w:rsidRDefault="008A1E55" w:rsidP="008A1E55">
      <w:r w:rsidRPr="006B42D6">
        <w:t xml:space="preserve">In Tanzania Zanzibar, majority of households (82,750; 45.9 percent) reported to use wick lamp as the main source of energy for lighting, followed by those using electricity (66,285; 36.8 percent) and solar (17,279; 9.6 percent). Kusini Pemba region had the largest number of households (26,352; 31.8 percent) reported to use wick lamp as the main source of energy for lighting, followed by Kaskazini Pemba (24,333; 29.4 percent), while Kusini Unguja had the least number of households (4,554; 5.5 percent) (Table </w:t>
      </w:r>
      <w:r w:rsidR="006C1D68" w:rsidRPr="006B42D6">
        <w:t>6</w:t>
      </w:r>
      <w:r w:rsidRPr="006B42D6">
        <w:t xml:space="preserve">.11 &amp; </w:t>
      </w:r>
      <w:r w:rsidR="006C1D68" w:rsidRPr="006B42D6">
        <w:t>6</w:t>
      </w:r>
      <w:r w:rsidRPr="006B42D6">
        <w:t>.12).</w:t>
      </w:r>
    </w:p>
    <w:p w14:paraId="4B0551A5" w14:textId="77777777" w:rsidR="008A1E55" w:rsidRPr="006B42D6" w:rsidRDefault="008A1E55" w:rsidP="008A1E55"/>
    <w:p w14:paraId="261A06ED" w14:textId="77777777" w:rsidR="008A1E55" w:rsidRPr="006B42D6" w:rsidRDefault="008A1E55" w:rsidP="008A1E55">
      <w:pPr>
        <w:sectPr w:rsidR="008A1E55" w:rsidRPr="006B42D6" w:rsidSect="00DD3FC5">
          <w:pgSz w:w="11900" w:h="16840" w:code="9"/>
          <w:pgMar w:top="1440" w:right="1440" w:bottom="1440" w:left="1440" w:header="709" w:footer="709" w:gutter="0"/>
          <w:cols w:space="708"/>
          <w:docGrid w:linePitch="360"/>
        </w:sectPr>
      </w:pPr>
    </w:p>
    <w:p w14:paraId="4F887FB9" w14:textId="0FF174B6" w:rsidR="008A1E55" w:rsidRPr="006B42D6" w:rsidRDefault="008A1E55" w:rsidP="007200F6">
      <w:pPr>
        <w:pStyle w:val="Heading7"/>
      </w:pPr>
      <w:bookmarkStart w:id="872" w:name="_Toc82386247"/>
      <w:r w:rsidRPr="006B42D6">
        <w:lastRenderedPageBreak/>
        <w:t xml:space="preserve">Table </w:t>
      </w:r>
      <w:r w:rsidR="006C1D68" w:rsidRPr="006B42D6">
        <w:t>6</w:t>
      </w:r>
      <w:r w:rsidRPr="006B42D6">
        <w:t>.12</w:t>
      </w:r>
      <w:r w:rsidR="005420E0">
        <w:t>:</w:t>
      </w:r>
      <w:r w:rsidR="007A288F">
        <w:tab/>
      </w:r>
      <w:r w:rsidRPr="006B42D6">
        <w:t>Percentage of Agricultural Households Reported Main Source of Energy for Lighting by Region During 2019/20 Agricultural Year, Tanzania</w:t>
      </w:r>
      <w:bookmarkEnd w:id="872"/>
    </w:p>
    <w:tbl>
      <w:tblPr>
        <w:tblW w:w="13048" w:type="dxa"/>
        <w:tblLook w:val="04A0" w:firstRow="1" w:lastRow="0" w:firstColumn="1" w:lastColumn="0" w:noHBand="0" w:noVBand="1"/>
      </w:tblPr>
      <w:tblGrid>
        <w:gridCol w:w="1668"/>
        <w:gridCol w:w="1031"/>
        <w:gridCol w:w="800"/>
        <w:gridCol w:w="804"/>
        <w:gridCol w:w="1047"/>
        <w:gridCol w:w="892"/>
        <w:gridCol w:w="1197"/>
        <w:gridCol w:w="853"/>
        <w:gridCol w:w="1008"/>
        <w:gridCol w:w="1350"/>
        <w:gridCol w:w="1594"/>
        <w:gridCol w:w="804"/>
      </w:tblGrid>
      <w:tr w:rsidR="006B42D6" w:rsidRPr="006B42D6" w14:paraId="381310A2" w14:textId="77777777" w:rsidTr="00143C67">
        <w:trPr>
          <w:trHeight w:val="227"/>
        </w:trPr>
        <w:tc>
          <w:tcPr>
            <w:tcW w:w="1668" w:type="dxa"/>
            <w:tcBorders>
              <w:top w:val="single" w:sz="4" w:space="0" w:color="auto"/>
              <w:left w:val="nil"/>
              <w:bottom w:val="single" w:sz="4" w:space="0" w:color="auto"/>
              <w:right w:val="nil"/>
            </w:tcBorders>
            <w:shd w:val="clear" w:color="auto" w:fill="E2EFD9" w:themeFill="accent6" w:themeFillTint="33"/>
            <w:noWrap/>
            <w:vAlign w:val="center"/>
            <w:hideMark/>
          </w:tcPr>
          <w:p w14:paraId="4298BCF1" w14:textId="77777777" w:rsidR="008A1E55" w:rsidRPr="006B42D6" w:rsidRDefault="008A1E55" w:rsidP="00143C67">
            <w:pPr>
              <w:spacing w:line="240" w:lineRule="auto"/>
              <w:rPr>
                <w:sz w:val="16"/>
                <w:szCs w:val="16"/>
              </w:rPr>
            </w:pPr>
            <w:r w:rsidRPr="006B42D6">
              <w:rPr>
                <w:sz w:val="16"/>
                <w:szCs w:val="16"/>
              </w:rPr>
              <w:t>Region</w:t>
            </w:r>
          </w:p>
        </w:tc>
        <w:tc>
          <w:tcPr>
            <w:tcW w:w="1031" w:type="dxa"/>
            <w:tcBorders>
              <w:top w:val="single" w:sz="4" w:space="0" w:color="auto"/>
              <w:left w:val="nil"/>
              <w:bottom w:val="single" w:sz="4" w:space="0" w:color="auto"/>
              <w:right w:val="nil"/>
            </w:tcBorders>
            <w:shd w:val="clear" w:color="auto" w:fill="E2EFD9" w:themeFill="accent6" w:themeFillTint="33"/>
            <w:vAlign w:val="center"/>
            <w:hideMark/>
          </w:tcPr>
          <w:p w14:paraId="78953021" w14:textId="43B340C5" w:rsidR="008A1E55" w:rsidRPr="006B42D6" w:rsidRDefault="00DD3FC5" w:rsidP="00143C67">
            <w:pPr>
              <w:spacing w:line="240" w:lineRule="auto"/>
              <w:jc w:val="right"/>
              <w:rPr>
                <w:sz w:val="16"/>
                <w:szCs w:val="16"/>
              </w:rPr>
            </w:pPr>
            <w:r>
              <w:rPr>
                <w:sz w:val="16"/>
                <w:szCs w:val="16"/>
              </w:rPr>
              <w:t>E</w:t>
            </w:r>
            <w:r w:rsidR="008A1E55" w:rsidRPr="006B42D6">
              <w:rPr>
                <w:sz w:val="16"/>
                <w:szCs w:val="16"/>
              </w:rPr>
              <w:t>lectricity</w:t>
            </w:r>
          </w:p>
        </w:tc>
        <w:tc>
          <w:tcPr>
            <w:tcW w:w="800" w:type="dxa"/>
            <w:tcBorders>
              <w:top w:val="single" w:sz="4" w:space="0" w:color="auto"/>
              <w:left w:val="nil"/>
              <w:bottom w:val="single" w:sz="4" w:space="0" w:color="auto"/>
              <w:right w:val="nil"/>
            </w:tcBorders>
            <w:shd w:val="clear" w:color="auto" w:fill="E2EFD9" w:themeFill="accent6" w:themeFillTint="33"/>
            <w:vAlign w:val="center"/>
            <w:hideMark/>
          </w:tcPr>
          <w:p w14:paraId="0E64663D" w14:textId="77777777" w:rsidR="008A1E55" w:rsidRPr="006B42D6" w:rsidRDefault="008A1E55" w:rsidP="00143C67">
            <w:pPr>
              <w:spacing w:line="240" w:lineRule="auto"/>
              <w:jc w:val="right"/>
              <w:rPr>
                <w:sz w:val="16"/>
                <w:szCs w:val="16"/>
              </w:rPr>
            </w:pPr>
            <w:r w:rsidRPr="006B42D6">
              <w:rPr>
                <w:sz w:val="16"/>
                <w:szCs w:val="16"/>
              </w:rPr>
              <w:t>Solar</w:t>
            </w:r>
          </w:p>
        </w:tc>
        <w:tc>
          <w:tcPr>
            <w:tcW w:w="804" w:type="dxa"/>
            <w:tcBorders>
              <w:top w:val="single" w:sz="4" w:space="0" w:color="auto"/>
              <w:left w:val="nil"/>
              <w:bottom w:val="single" w:sz="4" w:space="0" w:color="auto"/>
              <w:right w:val="nil"/>
            </w:tcBorders>
            <w:shd w:val="clear" w:color="auto" w:fill="E2EFD9" w:themeFill="accent6" w:themeFillTint="33"/>
            <w:vAlign w:val="center"/>
            <w:hideMark/>
          </w:tcPr>
          <w:p w14:paraId="3CB2FC91" w14:textId="77777777" w:rsidR="008A1E55" w:rsidRPr="006B42D6" w:rsidRDefault="008A1E55" w:rsidP="00143C67">
            <w:pPr>
              <w:spacing w:line="240" w:lineRule="auto"/>
              <w:jc w:val="right"/>
              <w:rPr>
                <w:sz w:val="16"/>
                <w:szCs w:val="16"/>
              </w:rPr>
            </w:pPr>
            <w:r w:rsidRPr="006B42D6">
              <w:rPr>
                <w:sz w:val="16"/>
                <w:szCs w:val="16"/>
              </w:rPr>
              <w:t>Biogas</w:t>
            </w:r>
          </w:p>
        </w:tc>
        <w:tc>
          <w:tcPr>
            <w:tcW w:w="1047" w:type="dxa"/>
            <w:tcBorders>
              <w:top w:val="single" w:sz="4" w:space="0" w:color="auto"/>
              <w:left w:val="nil"/>
              <w:bottom w:val="single" w:sz="4" w:space="0" w:color="auto"/>
              <w:right w:val="nil"/>
            </w:tcBorders>
            <w:shd w:val="clear" w:color="auto" w:fill="E2EFD9" w:themeFill="accent6" w:themeFillTint="33"/>
            <w:vAlign w:val="center"/>
            <w:hideMark/>
          </w:tcPr>
          <w:p w14:paraId="39900850" w14:textId="77777777" w:rsidR="008A1E55" w:rsidRPr="006B42D6" w:rsidRDefault="008A1E55" w:rsidP="00143C67">
            <w:pPr>
              <w:spacing w:line="240" w:lineRule="auto"/>
              <w:jc w:val="right"/>
              <w:rPr>
                <w:sz w:val="16"/>
                <w:szCs w:val="16"/>
              </w:rPr>
            </w:pPr>
            <w:r w:rsidRPr="006B42D6">
              <w:rPr>
                <w:sz w:val="16"/>
                <w:szCs w:val="16"/>
              </w:rPr>
              <w:t>Hurricane Lamp</w:t>
            </w:r>
          </w:p>
        </w:tc>
        <w:tc>
          <w:tcPr>
            <w:tcW w:w="892" w:type="dxa"/>
            <w:tcBorders>
              <w:top w:val="single" w:sz="4" w:space="0" w:color="auto"/>
              <w:left w:val="nil"/>
              <w:bottom w:val="single" w:sz="4" w:space="0" w:color="auto"/>
              <w:right w:val="nil"/>
            </w:tcBorders>
            <w:shd w:val="clear" w:color="auto" w:fill="E2EFD9" w:themeFill="accent6" w:themeFillTint="33"/>
            <w:vAlign w:val="center"/>
            <w:hideMark/>
          </w:tcPr>
          <w:p w14:paraId="659BC365" w14:textId="77777777" w:rsidR="008A1E55" w:rsidRPr="006B42D6" w:rsidRDefault="008A1E55" w:rsidP="00143C67">
            <w:pPr>
              <w:spacing w:line="240" w:lineRule="auto"/>
              <w:jc w:val="right"/>
              <w:rPr>
                <w:sz w:val="16"/>
                <w:szCs w:val="16"/>
              </w:rPr>
            </w:pPr>
            <w:r w:rsidRPr="006B42D6">
              <w:rPr>
                <w:sz w:val="16"/>
                <w:szCs w:val="16"/>
              </w:rPr>
              <w:t>Pressure Lamp</w:t>
            </w:r>
          </w:p>
        </w:tc>
        <w:tc>
          <w:tcPr>
            <w:tcW w:w="1197" w:type="dxa"/>
            <w:tcBorders>
              <w:top w:val="single" w:sz="4" w:space="0" w:color="auto"/>
              <w:left w:val="nil"/>
              <w:bottom w:val="single" w:sz="4" w:space="0" w:color="auto"/>
              <w:right w:val="nil"/>
            </w:tcBorders>
            <w:shd w:val="clear" w:color="auto" w:fill="E2EFD9" w:themeFill="accent6" w:themeFillTint="33"/>
            <w:vAlign w:val="center"/>
            <w:hideMark/>
          </w:tcPr>
          <w:p w14:paraId="23A3EDD5" w14:textId="77777777" w:rsidR="008A1E55" w:rsidRPr="006B42D6" w:rsidRDefault="008A1E55" w:rsidP="00143C67">
            <w:pPr>
              <w:spacing w:line="240" w:lineRule="auto"/>
              <w:jc w:val="right"/>
              <w:rPr>
                <w:sz w:val="16"/>
                <w:szCs w:val="16"/>
              </w:rPr>
            </w:pPr>
            <w:r w:rsidRPr="006B42D6">
              <w:rPr>
                <w:sz w:val="16"/>
                <w:szCs w:val="16"/>
              </w:rPr>
              <w:t>Wick Lamp</w:t>
            </w:r>
          </w:p>
        </w:tc>
        <w:tc>
          <w:tcPr>
            <w:tcW w:w="853" w:type="dxa"/>
            <w:tcBorders>
              <w:top w:val="single" w:sz="4" w:space="0" w:color="auto"/>
              <w:left w:val="nil"/>
              <w:bottom w:val="single" w:sz="4" w:space="0" w:color="auto"/>
              <w:right w:val="nil"/>
            </w:tcBorders>
            <w:shd w:val="clear" w:color="auto" w:fill="E2EFD9" w:themeFill="accent6" w:themeFillTint="33"/>
            <w:vAlign w:val="center"/>
            <w:hideMark/>
          </w:tcPr>
          <w:p w14:paraId="62E7CCAF" w14:textId="77777777" w:rsidR="008A1E55" w:rsidRPr="006B42D6" w:rsidRDefault="008A1E55" w:rsidP="00143C67">
            <w:pPr>
              <w:spacing w:line="240" w:lineRule="auto"/>
              <w:jc w:val="right"/>
              <w:rPr>
                <w:sz w:val="16"/>
                <w:szCs w:val="16"/>
              </w:rPr>
            </w:pPr>
            <w:r w:rsidRPr="006B42D6">
              <w:rPr>
                <w:sz w:val="16"/>
                <w:szCs w:val="16"/>
              </w:rPr>
              <w:t>Candles</w:t>
            </w:r>
          </w:p>
        </w:tc>
        <w:tc>
          <w:tcPr>
            <w:tcW w:w="1008" w:type="dxa"/>
            <w:tcBorders>
              <w:top w:val="single" w:sz="4" w:space="0" w:color="auto"/>
              <w:left w:val="nil"/>
              <w:bottom w:val="single" w:sz="4" w:space="0" w:color="auto"/>
              <w:right w:val="nil"/>
            </w:tcBorders>
            <w:shd w:val="clear" w:color="auto" w:fill="E2EFD9" w:themeFill="accent6" w:themeFillTint="33"/>
            <w:vAlign w:val="center"/>
            <w:hideMark/>
          </w:tcPr>
          <w:p w14:paraId="71A43A46" w14:textId="77777777" w:rsidR="008A1E55" w:rsidRPr="006B42D6" w:rsidRDefault="008A1E55" w:rsidP="00143C67">
            <w:pPr>
              <w:spacing w:line="240" w:lineRule="auto"/>
              <w:jc w:val="right"/>
              <w:rPr>
                <w:sz w:val="16"/>
                <w:szCs w:val="16"/>
              </w:rPr>
            </w:pPr>
            <w:r w:rsidRPr="006B42D6">
              <w:rPr>
                <w:sz w:val="16"/>
                <w:szCs w:val="16"/>
              </w:rPr>
              <w:t>Firewood</w:t>
            </w:r>
          </w:p>
        </w:tc>
        <w:tc>
          <w:tcPr>
            <w:tcW w:w="1350" w:type="dxa"/>
            <w:tcBorders>
              <w:top w:val="single" w:sz="4" w:space="0" w:color="auto"/>
              <w:left w:val="nil"/>
              <w:bottom w:val="single" w:sz="4" w:space="0" w:color="auto"/>
              <w:right w:val="nil"/>
            </w:tcBorders>
            <w:shd w:val="clear" w:color="auto" w:fill="E2EFD9" w:themeFill="accent6" w:themeFillTint="33"/>
            <w:vAlign w:val="center"/>
            <w:hideMark/>
          </w:tcPr>
          <w:p w14:paraId="445C946D" w14:textId="77777777" w:rsidR="008A1E55" w:rsidRPr="006B42D6" w:rsidRDefault="008A1E55" w:rsidP="00143C67">
            <w:pPr>
              <w:spacing w:line="240" w:lineRule="auto"/>
              <w:jc w:val="right"/>
              <w:rPr>
                <w:sz w:val="16"/>
                <w:szCs w:val="16"/>
              </w:rPr>
            </w:pPr>
            <w:r w:rsidRPr="006B42D6">
              <w:rPr>
                <w:sz w:val="16"/>
                <w:szCs w:val="16"/>
              </w:rPr>
              <w:t>Torch/ Rechargeable Lamp</w:t>
            </w:r>
          </w:p>
        </w:tc>
        <w:tc>
          <w:tcPr>
            <w:tcW w:w="1594" w:type="dxa"/>
            <w:tcBorders>
              <w:top w:val="single" w:sz="4" w:space="0" w:color="auto"/>
              <w:left w:val="nil"/>
              <w:bottom w:val="single" w:sz="4" w:space="0" w:color="auto"/>
              <w:right w:val="nil"/>
            </w:tcBorders>
            <w:shd w:val="clear" w:color="auto" w:fill="E2EFD9" w:themeFill="accent6" w:themeFillTint="33"/>
            <w:vAlign w:val="center"/>
            <w:hideMark/>
          </w:tcPr>
          <w:p w14:paraId="2EB70353" w14:textId="77777777" w:rsidR="008A1E55" w:rsidRPr="006B42D6" w:rsidRDefault="008A1E55" w:rsidP="00143C67">
            <w:pPr>
              <w:spacing w:line="240" w:lineRule="auto"/>
              <w:jc w:val="right"/>
              <w:rPr>
                <w:sz w:val="16"/>
                <w:szCs w:val="16"/>
              </w:rPr>
            </w:pPr>
            <w:r w:rsidRPr="006B42D6">
              <w:rPr>
                <w:sz w:val="16"/>
                <w:szCs w:val="16"/>
              </w:rPr>
              <w:t>Generator/Private source</w:t>
            </w:r>
          </w:p>
        </w:tc>
        <w:tc>
          <w:tcPr>
            <w:tcW w:w="804" w:type="dxa"/>
            <w:tcBorders>
              <w:top w:val="single" w:sz="4" w:space="0" w:color="auto"/>
              <w:left w:val="nil"/>
              <w:bottom w:val="single" w:sz="4" w:space="0" w:color="auto"/>
              <w:right w:val="nil"/>
            </w:tcBorders>
            <w:shd w:val="clear" w:color="auto" w:fill="E2EFD9" w:themeFill="accent6" w:themeFillTint="33"/>
            <w:vAlign w:val="center"/>
            <w:hideMark/>
          </w:tcPr>
          <w:p w14:paraId="3E0745F1" w14:textId="77777777" w:rsidR="008A1E55" w:rsidRPr="006B42D6" w:rsidRDefault="008A1E55" w:rsidP="00143C67">
            <w:pPr>
              <w:spacing w:line="240" w:lineRule="auto"/>
              <w:jc w:val="right"/>
              <w:rPr>
                <w:sz w:val="16"/>
                <w:szCs w:val="16"/>
              </w:rPr>
            </w:pPr>
            <w:r w:rsidRPr="006B42D6">
              <w:rPr>
                <w:sz w:val="16"/>
                <w:szCs w:val="16"/>
              </w:rPr>
              <w:t>Other</w:t>
            </w:r>
          </w:p>
        </w:tc>
      </w:tr>
      <w:tr w:rsidR="006B42D6" w:rsidRPr="006B42D6" w14:paraId="695B76FC" w14:textId="77777777" w:rsidTr="00143C67">
        <w:trPr>
          <w:trHeight w:hRule="exact" w:val="227"/>
        </w:trPr>
        <w:tc>
          <w:tcPr>
            <w:tcW w:w="1668" w:type="dxa"/>
            <w:tcBorders>
              <w:top w:val="nil"/>
              <w:left w:val="nil"/>
              <w:bottom w:val="nil"/>
              <w:right w:val="nil"/>
            </w:tcBorders>
            <w:shd w:val="clear" w:color="auto" w:fill="auto"/>
            <w:noWrap/>
            <w:vAlign w:val="center"/>
            <w:hideMark/>
          </w:tcPr>
          <w:p w14:paraId="4E71E7C6" w14:textId="77777777" w:rsidR="008A1E55" w:rsidRPr="006B42D6" w:rsidRDefault="008A1E55" w:rsidP="00E16CAE">
            <w:pPr>
              <w:rPr>
                <w:sz w:val="16"/>
                <w:szCs w:val="16"/>
              </w:rPr>
            </w:pPr>
            <w:r w:rsidRPr="006B42D6">
              <w:rPr>
                <w:sz w:val="16"/>
                <w:szCs w:val="16"/>
              </w:rPr>
              <w:t>Dodoma</w:t>
            </w:r>
          </w:p>
        </w:tc>
        <w:tc>
          <w:tcPr>
            <w:tcW w:w="1031" w:type="dxa"/>
            <w:tcBorders>
              <w:top w:val="nil"/>
              <w:left w:val="nil"/>
              <w:bottom w:val="nil"/>
              <w:right w:val="nil"/>
            </w:tcBorders>
            <w:shd w:val="clear" w:color="auto" w:fill="auto"/>
            <w:noWrap/>
            <w:vAlign w:val="center"/>
            <w:hideMark/>
          </w:tcPr>
          <w:p w14:paraId="02D5775E" w14:textId="77777777" w:rsidR="008A1E55" w:rsidRPr="006B42D6" w:rsidRDefault="008A1E55" w:rsidP="00E16CAE">
            <w:pPr>
              <w:jc w:val="right"/>
              <w:rPr>
                <w:sz w:val="16"/>
                <w:szCs w:val="16"/>
              </w:rPr>
            </w:pPr>
            <w:r w:rsidRPr="006B42D6">
              <w:rPr>
                <w:sz w:val="16"/>
                <w:szCs w:val="16"/>
              </w:rPr>
              <w:t>3.1</w:t>
            </w:r>
          </w:p>
        </w:tc>
        <w:tc>
          <w:tcPr>
            <w:tcW w:w="800" w:type="dxa"/>
            <w:tcBorders>
              <w:top w:val="nil"/>
              <w:left w:val="nil"/>
              <w:bottom w:val="nil"/>
              <w:right w:val="nil"/>
            </w:tcBorders>
            <w:shd w:val="clear" w:color="auto" w:fill="auto"/>
            <w:noWrap/>
            <w:vAlign w:val="center"/>
            <w:hideMark/>
          </w:tcPr>
          <w:p w14:paraId="5250FBDB" w14:textId="77777777" w:rsidR="008A1E55" w:rsidRPr="006B42D6" w:rsidRDefault="008A1E55" w:rsidP="00E16CAE">
            <w:pPr>
              <w:jc w:val="right"/>
              <w:rPr>
                <w:sz w:val="16"/>
                <w:szCs w:val="16"/>
              </w:rPr>
            </w:pPr>
            <w:r w:rsidRPr="006B42D6">
              <w:rPr>
                <w:sz w:val="16"/>
                <w:szCs w:val="16"/>
              </w:rPr>
              <w:t>5.8</w:t>
            </w:r>
          </w:p>
        </w:tc>
        <w:tc>
          <w:tcPr>
            <w:tcW w:w="804" w:type="dxa"/>
            <w:tcBorders>
              <w:top w:val="nil"/>
              <w:left w:val="nil"/>
              <w:bottom w:val="nil"/>
              <w:right w:val="nil"/>
            </w:tcBorders>
            <w:shd w:val="clear" w:color="auto" w:fill="auto"/>
            <w:noWrap/>
            <w:vAlign w:val="center"/>
            <w:hideMark/>
          </w:tcPr>
          <w:p w14:paraId="07DAEEEF" w14:textId="77777777" w:rsidR="008A1E55" w:rsidRPr="006B42D6" w:rsidRDefault="008A1E55" w:rsidP="00E16CAE">
            <w:pPr>
              <w:jc w:val="right"/>
              <w:rPr>
                <w:sz w:val="16"/>
                <w:szCs w:val="16"/>
              </w:rPr>
            </w:pPr>
            <w:r w:rsidRPr="006B42D6">
              <w:rPr>
                <w:sz w:val="16"/>
                <w:szCs w:val="16"/>
              </w:rPr>
              <w:t>-</w:t>
            </w:r>
          </w:p>
        </w:tc>
        <w:tc>
          <w:tcPr>
            <w:tcW w:w="1047" w:type="dxa"/>
            <w:tcBorders>
              <w:top w:val="nil"/>
              <w:left w:val="nil"/>
              <w:bottom w:val="nil"/>
              <w:right w:val="nil"/>
            </w:tcBorders>
            <w:shd w:val="clear" w:color="auto" w:fill="auto"/>
            <w:noWrap/>
            <w:vAlign w:val="center"/>
            <w:hideMark/>
          </w:tcPr>
          <w:p w14:paraId="750D004B" w14:textId="77777777" w:rsidR="008A1E55" w:rsidRPr="006B42D6" w:rsidRDefault="008A1E55" w:rsidP="00E16CAE">
            <w:pPr>
              <w:jc w:val="right"/>
              <w:rPr>
                <w:sz w:val="16"/>
                <w:szCs w:val="16"/>
              </w:rPr>
            </w:pPr>
            <w:r w:rsidRPr="006B42D6">
              <w:rPr>
                <w:sz w:val="16"/>
                <w:szCs w:val="16"/>
              </w:rPr>
              <w:t>3.9</w:t>
            </w:r>
          </w:p>
        </w:tc>
        <w:tc>
          <w:tcPr>
            <w:tcW w:w="892" w:type="dxa"/>
            <w:tcBorders>
              <w:top w:val="nil"/>
              <w:left w:val="nil"/>
              <w:bottom w:val="nil"/>
              <w:right w:val="nil"/>
            </w:tcBorders>
            <w:shd w:val="clear" w:color="auto" w:fill="auto"/>
            <w:noWrap/>
            <w:vAlign w:val="center"/>
            <w:hideMark/>
          </w:tcPr>
          <w:p w14:paraId="0ED1234D" w14:textId="77777777" w:rsidR="008A1E55" w:rsidRPr="006B42D6" w:rsidRDefault="008A1E55" w:rsidP="00E16CAE">
            <w:pPr>
              <w:jc w:val="right"/>
              <w:rPr>
                <w:sz w:val="16"/>
                <w:szCs w:val="16"/>
              </w:rPr>
            </w:pPr>
            <w:r w:rsidRPr="006B42D6">
              <w:rPr>
                <w:sz w:val="16"/>
                <w:szCs w:val="16"/>
              </w:rPr>
              <w:t>-</w:t>
            </w:r>
          </w:p>
        </w:tc>
        <w:tc>
          <w:tcPr>
            <w:tcW w:w="1197" w:type="dxa"/>
            <w:tcBorders>
              <w:top w:val="nil"/>
              <w:left w:val="nil"/>
              <w:bottom w:val="nil"/>
              <w:right w:val="nil"/>
            </w:tcBorders>
            <w:shd w:val="clear" w:color="auto" w:fill="auto"/>
            <w:noWrap/>
            <w:vAlign w:val="center"/>
            <w:hideMark/>
          </w:tcPr>
          <w:p w14:paraId="084403BD" w14:textId="77777777" w:rsidR="008A1E55" w:rsidRPr="006B42D6" w:rsidRDefault="008A1E55" w:rsidP="00E16CAE">
            <w:pPr>
              <w:jc w:val="right"/>
              <w:rPr>
                <w:sz w:val="16"/>
                <w:szCs w:val="16"/>
              </w:rPr>
            </w:pPr>
            <w:r w:rsidRPr="006B42D6">
              <w:rPr>
                <w:sz w:val="16"/>
                <w:szCs w:val="16"/>
              </w:rPr>
              <w:t>1.1</w:t>
            </w:r>
          </w:p>
        </w:tc>
        <w:tc>
          <w:tcPr>
            <w:tcW w:w="853" w:type="dxa"/>
            <w:tcBorders>
              <w:top w:val="nil"/>
              <w:left w:val="nil"/>
              <w:bottom w:val="nil"/>
              <w:right w:val="nil"/>
            </w:tcBorders>
            <w:shd w:val="clear" w:color="auto" w:fill="auto"/>
            <w:noWrap/>
            <w:vAlign w:val="center"/>
            <w:hideMark/>
          </w:tcPr>
          <w:p w14:paraId="34501711" w14:textId="77777777" w:rsidR="008A1E55" w:rsidRPr="006B42D6" w:rsidRDefault="008A1E55" w:rsidP="00E16CAE">
            <w:pPr>
              <w:jc w:val="right"/>
              <w:rPr>
                <w:sz w:val="16"/>
                <w:szCs w:val="16"/>
              </w:rPr>
            </w:pPr>
            <w:r w:rsidRPr="006B42D6">
              <w:rPr>
                <w:sz w:val="16"/>
                <w:szCs w:val="16"/>
              </w:rPr>
              <w:t>-</w:t>
            </w:r>
          </w:p>
        </w:tc>
        <w:tc>
          <w:tcPr>
            <w:tcW w:w="1008" w:type="dxa"/>
            <w:tcBorders>
              <w:top w:val="nil"/>
              <w:left w:val="nil"/>
              <w:bottom w:val="nil"/>
              <w:right w:val="nil"/>
            </w:tcBorders>
            <w:shd w:val="clear" w:color="auto" w:fill="auto"/>
            <w:noWrap/>
            <w:vAlign w:val="center"/>
            <w:hideMark/>
          </w:tcPr>
          <w:p w14:paraId="7F91C3DC" w14:textId="77777777" w:rsidR="008A1E55" w:rsidRPr="006B42D6" w:rsidRDefault="008A1E55" w:rsidP="00E16CAE">
            <w:pPr>
              <w:jc w:val="right"/>
              <w:rPr>
                <w:sz w:val="16"/>
                <w:szCs w:val="16"/>
              </w:rPr>
            </w:pPr>
            <w:r w:rsidRPr="006B42D6">
              <w:rPr>
                <w:sz w:val="16"/>
                <w:szCs w:val="16"/>
              </w:rPr>
              <w:t>7.2</w:t>
            </w:r>
          </w:p>
        </w:tc>
        <w:tc>
          <w:tcPr>
            <w:tcW w:w="1350" w:type="dxa"/>
            <w:tcBorders>
              <w:top w:val="nil"/>
              <w:left w:val="nil"/>
              <w:bottom w:val="nil"/>
              <w:right w:val="nil"/>
            </w:tcBorders>
            <w:shd w:val="clear" w:color="auto" w:fill="auto"/>
            <w:noWrap/>
            <w:vAlign w:val="center"/>
            <w:hideMark/>
          </w:tcPr>
          <w:p w14:paraId="1613C337" w14:textId="77777777" w:rsidR="008A1E55" w:rsidRPr="006B42D6" w:rsidRDefault="008A1E55" w:rsidP="00E16CAE">
            <w:pPr>
              <w:jc w:val="right"/>
              <w:rPr>
                <w:sz w:val="16"/>
                <w:szCs w:val="16"/>
              </w:rPr>
            </w:pPr>
            <w:r w:rsidRPr="006B42D6">
              <w:rPr>
                <w:sz w:val="16"/>
                <w:szCs w:val="16"/>
              </w:rPr>
              <w:t>11.8</w:t>
            </w:r>
          </w:p>
        </w:tc>
        <w:tc>
          <w:tcPr>
            <w:tcW w:w="1594" w:type="dxa"/>
            <w:tcBorders>
              <w:top w:val="nil"/>
              <w:left w:val="nil"/>
              <w:bottom w:val="nil"/>
              <w:right w:val="nil"/>
            </w:tcBorders>
            <w:shd w:val="clear" w:color="auto" w:fill="auto"/>
            <w:noWrap/>
            <w:vAlign w:val="center"/>
            <w:hideMark/>
          </w:tcPr>
          <w:p w14:paraId="0F34C4DD" w14:textId="77777777" w:rsidR="008A1E55" w:rsidRPr="006B42D6" w:rsidRDefault="008A1E55" w:rsidP="00E16CAE">
            <w:pPr>
              <w:jc w:val="right"/>
              <w:rPr>
                <w:sz w:val="16"/>
                <w:szCs w:val="16"/>
              </w:rPr>
            </w:pPr>
            <w:r w:rsidRPr="006B42D6">
              <w:rPr>
                <w:sz w:val="16"/>
                <w:szCs w:val="16"/>
              </w:rPr>
              <w:t>4.5</w:t>
            </w:r>
          </w:p>
        </w:tc>
        <w:tc>
          <w:tcPr>
            <w:tcW w:w="804" w:type="dxa"/>
            <w:tcBorders>
              <w:top w:val="nil"/>
              <w:left w:val="nil"/>
              <w:bottom w:val="nil"/>
              <w:right w:val="nil"/>
            </w:tcBorders>
            <w:shd w:val="clear" w:color="auto" w:fill="auto"/>
            <w:noWrap/>
            <w:vAlign w:val="center"/>
            <w:hideMark/>
          </w:tcPr>
          <w:p w14:paraId="76710861" w14:textId="77777777" w:rsidR="008A1E55" w:rsidRPr="006B42D6" w:rsidRDefault="008A1E55" w:rsidP="00E16CAE">
            <w:pPr>
              <w:jc w:val="right"/>
              <w:rPr>
                <w:sz w:val="16"/>
                <w:szCs w:val="16"/>
              </w:rPr>
            </w:pPr>
            <w:r w:rsidRPr="006B42D6">
              <w:rPr>
                <w:sz w:val="16"/>
                <w:szCs w:val="16"/>
              </w:rPr>
              <w:t>6.5</w:t>
            </w:r>
          </w:p>
        </w:tc>
      </w:tr>
      <w:tr w:rsidR="006B42D6" w:rsidRPr="006B42D6" w14:paraId="6DBCEABF" w14:textId="77777777" w:rsidTr="00143C67">
        <w:trPr>
          <w:trHeight w:hRule="exact" w:val="227"/>
        </w:trPr>
        <w:tc>
          <w:tcPr>
            <w:tcW w:w="1668" w:type="dxa"/>
            <w:tcBorders>
              <w:top w:val="nil"/>
              <w:left w:val="nil"/>
              <w:bottom w:val="nil"/>
              <w:right w:val="nil"/>
            </w:tcBorders>
            <w:shd w:val="clear" w:color="auto" w:fill="auto"/>
            <w:noWrap/>
            <w:vAlign w:val="center"/>
            <w:hideMark/>
          </w:tcPr>
          <w:p w14:paraId="74F08439" w14:textId="77777777" w:rsidR="008A1E55" w:rsidRPr="006B42D6" w:rsidRDefault="008A1E55" w:rsidP="00E16CAE">
            <w:pPr>
              <w:rPr>
                <w:sz w:val="16"/>
                <w:szCs w:val="16"/>
              </w:rPr>
            </w:pPr>
            <w:r w:rsidRPr="006B42D6">
              <w:rPr>
                <w:sz w:val="16"/>
                <w:szCs w:val="16"/>
              </w:rPr>
              <w:t>Arusha</w:t>
            </w:r>
          </w:p>
        </w:tc>
        <w:tc>
          <w:tcPr>
            <w:tcW w:w="1031" w:type="dxa"/>
            <w:tcBorders>
              <w:top w:val="nil"/>
              <w:left w:val="nil"/>
              <w:bottom w:val="nil"/>
              <w:right w:val="nil"/>
            </w:tcBorders>
            <w:shd w:val="clear" w:color="auto" w:fill="auto"/>
            <w:noWrap/>
            <w:vAlign w:val="center"/>
            <w:hideMark/>
          </w:tcPr>
          <w:p w14:paraId="4A0D8760" w14:textId="77777777" w:rsidR="008A1E55" w:rsidRPr="006B42D6" w:rsidRDefault="008A1E55" w:rsidP="00E16CAE">
            <w:pPr>
              <w:jc w:val="right"/>
              <w:rPr>
                <w:sz w:val="16"/>
                <w:szCs w:val="16"/>
              </w:rPr>
            </w:pPr>
            <w:r w:rsidRPr="006B42D6">
              <w:rPr>
                <w:sz w:val="16"/>
                <w:szCs w:val="16"/>
              </w:rPr>
              <w:t>3.2</w:t>
            </w:r>
          </w:p>
        </w:tc>
        <w:tc>
          <w:tcPr>
            <w:tcW w:w="800" w:type="dxa"/>
            <w:tcBorders>
              <w:top w:val="nil"/>
              <w:left w:val="nil"/>
              <w:bottom w:val="nil"/>
              <w:right w:val="nil"/>
            </w:tcBorders>
            <w:shd w:val="clear" w:color="auto" w:fill="auto"/>
            <w:noWrap/>
            <w:vAlign w:val="center"/>
            <w:hideMark/>
          </w:tcPr>
          <w:p w14:paraId="040F53B5" w14:textId="77777777" w:rsidR="008A1E55" w:rsidRPr="006B42D6" w:rsidRDefault="008A1E55" w:rsidP="00E16CAE">
            <w:pPr>
              <w:jc w:val="right"/>
              <w:rPr>
                <w:sz w:val="16"/>
                <w:szCs w:val="16"/>
              </w:rPr>
            </w:pPr>
            <w:r w:rsidRPr="006B42D6">
              <w:rPr>
                <w:sz w:val="16"/>
                <w:szCs w:val="16"/>
              </w:rPr>
              <w:t>2.7</w:t>
            </w:r>
          </w:p>
        </w:tc>
        <w:tc>
          <w:tcPr>
            <w:tcW w:w="804" w:type="dxa"/>
            <w:tcBorders>
              <w:top w:val="nil"/>
              <w:left w:val="nil"/>
              <w:bottom w:val="nil"/>
              <w:right w:val="nil"/>
            </w:tcBorders>
            <w:shd w:val="clear" w:color="auto" w:fill="auto"/>
            <w:noWrap/>
            <w:vAlign w:val="center"/>
            <w:hideMark/>
          </w:tcPr>
          <w:p w14:paraId="5B0AF475" w14:textId="77777777" w:rsidR="008A1E55" w:rsidRPr="006B42D6" w:rsidRDefault="008A1E55" w:rsidP="00E16CAE">
            <w:pPr>
              <w:jc w:val="right"/>
              <w:rPr>
                <w:sz w:val="16"/>
                <w:szCs w:val="16"/>
              </w:rPr>
            </w:pPr>
            <w:r w:rsidRPr="006B42D6">
              <w:rPr>
                <w:sz w:val="16"/>
                <w:szCs w:val="16"/>
              </w:rPr>
              <w:t>4.4</w:t>
            </w:r>
          </w:p>
        </w:tc>
        <w:tc>
          <w:tcPr>
            <w:tcW w:w="1047" w:type="dxa"/>
            <w:tcBorders>
              <w:top w:val="nil"/>
              <w:left w:val="nil"/>
              <w:bottom w:val="nil"/>
              <w:right w:val="nil"/>
            </w:tcBorders>
            <w:shd w:val="clear" w:color="auto" w:fill="auto"/>
            <w:noWrap/>
            <w:vAlign w:val="center"/>
            <w:hideMark/>
          </w:tcPr>
          <w:p w14:paraId="4E512510" w14:textId="77777777" w:rsidR="008A1E55" w:rsidRPr="006B42D6" w:rsidRDefault="008A1E55" w:rsidP="00E16CAE">
            <w:pPr>
              <w:jc w:val="right"/>
              <w:rPr>
                <w:sz w:val="16"/>
                <w:szCs w:val="16"/>
              </w:rPr>
            </w:pPr>
            <w:r w:rsidRPr="006B42D6">
              <w:rPr>
                <w:sz w:val="16"/>
                <w:szCs w:val="16"/>
              </w:rPr>
              <w:t>4.8</w:t>
            </w:r>
          </w:p>
        </w:tc>
        <w:tc>
          <w:tcPr>
            <w:tcW w:w="892" w:type="dxa"/>
            <w:tcBorders>
              <w:top w:val="nil"/>
              <w:left w:val="nil"/>
              <w:bottom w:val="nil"/>
              <w:right w:val="nil"/>
            </w:tcBorders>
            <w:shd w:val="clear" w:color="auto" w:fill="auto"/>
            <w:noWrap/>
            <w:vAlign w:val="center"/>
            <w:hideMark/>
          </w:tcPr>
          <w:p w14:paraId="1A07BA9F" w14:textId="77777777" w:rsidR="008A1E55" w:rsidRPr="006B42D6" w:rsidRDefault="008A1E55" w:rsidP="00E16CAE">
            <w:pPr>
              <w:jc w:val="right"/>
              <w:rPr>
                <w:sz w:val="16"/>
                <w:szCs w:val="16"/>
              </w:rPr>
            </w:pPr>
            <w:r w:rsidRPr="006B42D6">
              <w:rPr>
                <w:sz w:val="16"/>
                <w:szCs w:val="16"/>
              </w:rPr>
              <w:t>3.1</w:t>
            </w:r>
          </w:p>
        </w:tc>
        <w:tc>
          <w:tcPr>
            <w:tcW w:w="1197" w:type="dxa"/>
            <w:tcBorders>
              <w:top w:val="nil"/>
              <w:left w:val="nil"/>
              <w:bottom w:val="nil"/>
              <w:right w:val="nil"/>
            </w:tcBorders>
            <w:shd w:val="clear" w:color="auto" w:fill="auto"/>
            <w:noWrap/>
            <w:vAlign w:val="center"/>
            <w:hideMark/>
          </w:tcPr>
          <w:p w14:paraId="358F1724" w14:textId="77777777" w:rsidR="008A1E55" w:rsidRPr="006B42D6" w:rsidRDefault="008A1E55" w:rsidP="00E16CAE">
            <w:pPr>
              <w:jc w:val="right"/>
              <w:rPr>
                <w:sz w:val="16"/>
                <w:szCs w:val="16"/>
              </w:rPr>
            </w:pPr>
            <w:r w:rsidRPr="006B42D6">
              <w:rPr>
                <w:sz w:val="16"/>
                <w:szCs w:val="16"/>
              </w:rPr>
              <w:t>1.9</w:t>
            </w:r>
          </w:p>
        </w:tc>
        <w:tc>
          <w:tcPr>
            <w:tcW w:w="853" w:type="dxa"/>
            <w:tcBorders>
              <w:top w:val="nil"/>
              <w:left w:val="nil"/>
              <w:bottom w:val="nil"/>
              <w:right w:val="nil"/>
            </w:tcBorders>
            <w:shd w:val="clear" w:color="auto" w:fill="auto"/>
            <w:noWrap/>
            <w:vAlign w:val="center"/>
            <w:hideMark/>
          </w:tcPr>
          <w:p w14:paraId="4D778E74" w14:textId="77777777" w:rsidR="008A1E55" w:rsidRPr="006B42D6" w:rsidRDefault="008A1E55" w:rsidP="00E16CAE">
            <w:pPr>
              <w:jc w:val="right"/>
              <w:rPr>
                <w:sz w:val="16"/>
                <w:szCs w:val="16"/>
              </w:rPr>
            </w:pPr>
            <w:r w:rsidRPr="006B42D6">
              <w:rPr>
                <w:sz w:val="16"/>
                <w:szCs w:val="16"/>
              </w:rPr>
              <w:t>2.8</w:t>
            </w:r>
          </w:p>
        </w:tc>
        <w:tc>
          <w:tcPr>
            <w:tcW w:w="1008" w:type="dxa"/>
            <w:tcBorders>
              <w:top w:val="nil"/>
              <w:left w:val="nil"/>
              <w:bottom w:val="nil"/>
              <w:right w:val="nil"/>
            </w:tcBorders>
            <w:shd w:val="clear" w:color="auto" w:fill="auto"/>
            <w:noWrap/>
            <w:vAlign w:val="center"/>
            <w:hideMark/>
          </w:tcPr>
          <w:p w14:paraId="7EA0D1D4" w14:textId="77777777" w:rsidR="008A1E55" w:rsidRPr="006B42D6" w:rsidRDefault="008A1E55" w:rsidP="00E16CAE">
            <w:pPr>
              <w:jc w:val="right"/>
              <w:rPr>
                <w:sz w:val="16"/>
                <w:szCs w:val="16"/>
              </w:rPr>
            </w:pPr>
            <w:r w:rsidRPr="006B42D6">
              <w:rPr>
                <w:sz w:val="16"/>
                <w:szCs w:val="16"/>
              </w:rPr>
              <w:t>3.6</w:t>
            </w:r>
          </w:p>
        </w:tc>
        <w:tc>
          <w:tcPr>
            <w:tcW w:w="1350" w:type="dxa"/>
            <w:tcBorders>
              <w:top w:val="nil"/>
              <w:left w:val="nil"/>
              <w:bottom w:val="nil"/>
              <w:right w:val="nil"/>
            </w:tcBorders>
            <w:shd w:val="clear" w:color="auto" w:fill="auto"/>
            <w:noWrap/>
            <w:vAlign w:val="center"/>
            <w:hideMark/>
          </w:tcPr>
          <w:p w14:paraId="7A9E9C1C" w14:textId="77777777" w:rsidR="008A1E55" w:rsidRPr="006B42D6" w:rsidRDefault="008A1E55" w:rsidP="00E16CAE">
            <w:pPr>
              <w:jc w:val="right"/>
              <w:rPr>
                <w:sz w:val="16"/>
                <w:szCs w:val="16"/>
              </w:rPr>
            </w:pPr>
            <w:r w:rsidRPr="006B42D6">
              <w:rPr>
                <w:sz w:val="16"/>
                <w:szCs w:val="16"/>
              </w:rPr>
              <w:t>3.0</w:t>
            </w:r>
          </w:p>
        </w:tc>
        <w:tc>
          <w:tcPr>
            <w:tcW w:w="1594" w:type="dxa"/>
            <w:tcBorders>
              <w:top w:val="nil"/>
              <w:left w:val="nil"/>
              <w:bottom w:val="nil"/>
              <w:right w:val="nil"/>
            </w:tcBorders>
            <w:shd w:val="clear" w:color="auto" w:fill="auto"/>
            <w:noWrap/>
            <w:vAlign w:val="center"/>
            <w:hideMark/>
          </w:tcPr>
          <w:p w14:paraId="31D7E62B" w14:textId="77777777" w:rsidR="008A1E55" w:rsidRPr="006B42D6" w:rsidRDefault="008A1E55" w:rsidP="00E16CAE">
            <w:pPr>
              <w:jc w:val="right"/>
              <w:rPr>
                <w:sz w:val="16"/>
                <w:szCs w:val="16"/>
              </w:rPr>
            </w:pPr>
            <w:r w:rsidRPr="006B42D6">
              <w:rPr>
                <w:sz w:val="16"/>
                <w:szCs w:val="16"/>
              </w:rPr>
              <w:t>-</w:t>
            </w:r>
          </w:p>
        </w:tc>
        <w:tc>
          <w:tcPr>
            <w:tcW w:w="804" w:type="dxa"/>
            <w:tcBorders>
              <w:top w:val="nil"/>
              <w:left w:val="nil"/>
              <w:bottom w:val="nil"/>
              <w:right w:val="nil"/>
            </w:tcBorders>
            <w:shd w:val="clear" w:color="auto" w:fill="auto"/>
            <w:noWrap/>
            <w:vAlign w:val="center"/>
            <w:hideMark/>
          </w:tcPr>
          <w:p w14:paraId="42A5CD2C" w14:textId="77777777" w:rsidR="008A1E55" w:rsidRPr="006B42D6" w:rsidRDefault="008A1E55" w:rsidP="00E16CAE">
            <w:pPr>
              <w:jc w:val="right"/>
              <w:rPr>
                <w:sz w:val="16"/>
                <w:szCs w:val="16"/>
              </w:rPr>
            </w:pPr>
            <w:r w:rsidRPr="006B42D6">
              <w:rPr>
                <w:sz w:val="16"/>
                <w:szCs w:val="16"/>
              </w:rPr>
              <w:t>1.8</w:t>
            </w:r>
          </w:p>
        </w:tc>
      </w:tr>
      <w:tr w:rsidR="006B42D6" w:rsidRPr="006B42D6" w14:paraId="55CD797E" w14:textId="77777777" w:rsidTr="00143C67">
        <w:trPr>
          <w:trHeight w:hRule="exact" w:val="227"/>
        </w:trPr>
        <w:tc>
          <w:tcPr>
            <w:tcW w:w="1668" w:type="dxa"/>
            <w:tcBorders>
              <w:top w:val="nil"/>
              <w:left w:val="nil"/>
              <w:bottom w:val="nil"/>
              <w:right w:val="nil"/>
            </w:tcBorders>
            <w:shd w:val="clear" w:color="auto" w:fill="auto"/>
            <w:noWrap/>
            <w:vAlign w:val="center"/>
            <w:hideMark/>
          </w:tcPr>
          <w:p w14:paraId="03869275" w14:textId="77777777" w:rsidR="008A1E55" w:rsidRPr="006B42D6" w:rsidRDefault="008A1E55" w:rsidP="00E16CAE">
            <w:pPr>
              <w:rPr>
                <w:sz w:val="16"/>
                <w:szCs w:val="16"/>
              </w:rPr>
            </w:pPr>
            <w:r w:rsidRPr="006B42D6">
              <w:rPr>
                <w:sz w:val="16"/>
                <w:szCs w:val="16"/>
              </w:rPr>
              <w:t>Kilimanjaro</w:t>
            </w:r>
          </w:p>
        </w:tc>
        <w:tc>
          <w:tcPr>
            <w:tcW w:w="1031" w:type="dxa"/>
            <w:tcBorders>
              <w:top w:val="nil"/>
              <w:left w:val="nil"/>
              <w:bottom w:val="nil"/>
              <w:right w:val="nil"/>
            </w:tcBorders>
            <w:shd w:val="clear" w:color="auto" w:fill="auto"/>
            <w:noWrap/>
            <w:vAlign w:val="center"/>
            <w:hideMark/>
          </w:tcPr>
          <w:p w14:paraId="5CAD49BA" w14:textId="77777777" w:rsidR="008A1E55" w:rsidRPr="006B42D6" w:rsidRDefault="008A1E55" w:rsidP="00E16CAE">
            <w:pPr>
              <w:jc w:val="right"/>
              <w:rPr>
                <w:sz w:val="16"/>
                <w:szCs w:val="16"/>
              </w:rPr>
            </w:pPr>
            <w:r w:rsidRPr="006B42D6">
              <w:rPr>
                <w:sz w:val="16"/>
                <w:szCs w:val="16"/>
              </w:rPr>
              <w:t>9.2</w:t>
            </w:r>
          </w:p>
        </w:tc>
        <w:tc>
          <w:tcPr>
            <w:tcW w:w="800" w:type="dxa"/>
            <w:tcBorders>
              <w:top w:val="nil"/>
              <w:left w:val="nil"/>
              <w:bottom w:val="nil"/>
              <w:right w:val="nil"/>
            </w:tcBorders>
            <w:shd w:val="clear" w:color="auto" w:fill="auto"/>
            <w:noWrap/>
            <w:vAlign w:val="center"/>
            <w:hideMark/>
          </w:tcPr>
          <w:p w14:paraId="7EF23963" w14:textId="77777777" w:rsidR="008A1E55" w:rsidRPr="006B42D6" w:rsidRDefault="008A1E55" w:rsidP="00E16CAE">
            <w:pPr>
              <w:jc w:val="right"/>
              <w:rPr>
                <w:sz w:val="16"/>
                <w:szCs w:val="16"/>
              </w:rPr>
            </w:pPr>
            <w:r w:rsidRPr="006B42D6">
              <w:rPr>
                <w:sz w:val="16"/>
                <w:szCs w:val="16"/>
              </w:rPr>
              <w:t>2.4</w:t>
            </w:r>
          </w:p>
        </w:tc>
        <w:tc>
          <w:tcPr>
            <w:tcW w:w="804" w:type="dxa"/>
            <w:tcBorders>
              <w:top w:val="nil"/>
              <w:left w:val="nil"/>
              <w:bottom w:val="nil"/>
              <w:right w:val="nil"/>
            </w:tcBorders>
            <w:shd w:val="clear" w:color="auto" w:fill="auto"/>
            <w:noWrap/>
            <w:vAlign w:val="center"/>
            <w:hideMark/>
          </w:tcPr>
          <w:p w14:paraId="2D907C7C" w14:textId="77777777" w:rsidR="008A1E55" w:rsidRPr="006B42D6" w:rsidRDefault="008A1E55" w:rsidP="00E16CAE">
            <w:pPr>
              <w:jc w:val="right"/>
              <w:rPr>
                <w:sz w:val="16"/>
                <w:szCs w:val="16"/>
              </w:rPr>
            </w:pPr>
            <w:r w:rsidRPr="006B42D6">
              <w:rPr>
                <w:sz w:val="16"/>
                <w:szCs w:val="16"/>
              </w:rPr>
              <w:t>-</w:t>
            </w:r>
          </w:p>
        </w:tc>
        <w:tc>
          <w:tcPr>
            <w:tcW w:w="1047" w:type="dxa"/>
            <w:tcBorders>
              <w:top w:val="nil"/>
              <w:left w:val="nil"/>
              <w:bottom w:val="nil"/>
              <w:right w:val="nil"/>
            </w:tcBorders>
            <w:shd w:val="clear" w:color="auto" w:fill="auto"/>
            <w:noWrap/>
            <w:vAlign w:val="center"/>
            <w:hideMark/>
          </w:tcPr>
          <w:p w14:paraId="1B045BB8" w14:textId="77777777" w:rsidR="008A1E55" w:rsidRPr="006B42D6" w:rsidRDefault="008A1E55" w:rsidP="00E16CAE">
            <w:pPr>
              <w:jc w:val="right"/>
              <w:rPr>
                <w:sz w:val="16"/>
                <w:szCs w:val="16"/>
              </w:rPr>
            </w:pPr>
            <w:r w:rsidRPr="006B42D6">
              <w:rPr>
                <w:sz w:val="16"/>
                <w:szCs w:val="16"/>
              </w:rPr>
              <w:t>9.3</w:t>
            </w:r>
          </w:p>
        </w:tc>
        <w:tc>
          <w:tcPr>
            <w:tcW w:w="892" w:type="dxa"/>
            <w:tcBorders>
              <w:top w:val="nil"/>
              <w:left w:val="nil"/>
              <w:bottom w:val="nil"/>
              <w:right w:val="nil"/>
            </w:tcBorders>
            <w:shd w:val="clear" w:color="auto" w:fill="auto"/>
            <w:noWrap/>
            <w:vAlign w:val="center"/>
            <w:hideMark/>
          </w:tcPr>
          <w:p w14:paraId="113F5DF0" w14:textId="77777777" w:rsidR="008A1E55" w:rsidRPr="006B42D6" w:rsidRDefault="008A1E55" w:rsidP="00E16CAE">
            <w:pPr>
              <w:jc w:val="right"/>
              <w:rPr>
                <w:sz w:val="16"/>
                <w:szCs w:val="16"/>
              </w:rPr>
            </w:pPr>
            <w:r w:rsidRPr="006B42D6">
              <w:rPr>
                <w:sz w:val="16"/>
                <w:szCs w:val="16"/>
              </w:rPr>
              <w:t>10.0</w:t>
            </w:r>
          </w:p>
        </w:tc>
        <w:tc>
          <w:tcPr>
            <w:tcW w:w="1197" w:type="dxa"/>
            <w:tcBorders>
              <w:top w:val="nil"/>
              <w:left w:val="nil"/>
              <w:bottom w:val="nil"/>
              <w:right w:val="nil"/>
            </w:tcBorders>
            <w:shd w:val="clear" w:color="auto" w:fill="auto"/>
            <w:noWrap/>
            <w:vAlign w:val="center"/>
            <w:hideMark/>
          </w:tcPr>
          <w:p w14:paraId="47038D97" w14:textId="77777777" w:rsidR="008A1E55" w:rsidRPr="006B42D6" w:rsidRDefault="008A1E55" w:rsidP="00E16CAE">
            <w:pPr>
              <w:jc w:val="right"/>
              <w:rPr>
                <w:sz w:val="16"/>
                <w:szCs w:val="16"/>
              </w:rPr>
            </w:pPr>
            <w:r w:rsidRPr="006B42D6">
              <w:rPr>
                <w:sz w:val="16"/>
                <w:szCs w:val="16"/>
              </w:rPr>
              <w:t>6.3</w:t>
            </w:r>
          </w:p>
        </w:tc>
        <w:tc>
          <w:tcPr>
            <w:tcW w:w="853" w:type="dxa"/>
            <w:tcBorders>
              <w:top w:val="nil"/>
              <w:left w:val="nil"/>
              <w:bottom w:val="nil"/>
              <w:right w:val="nil"/>
            </w:tcBorders>
            <w:shd w:val="clear" w:color="auto" w:fill="auto"/>
            <w:noWrap/>
            <w:vAlign w:val="center"/>
            <w:hideMark/>
          </w:tcPr>
          <w:p w14:paraId="6E5BA5AE" w14:textId="77777777" w:rsidR="008A1E55" w:rsidRPr="006B42D6" w:rsidRDefault="008A1E55" w:rsidP="00E16CAE">
            <w:pPr>
              <w:jc w:val="right"/>
              <w:rPr>
                <w:sz w:val="16"/>
                <w:szCs w:val="16"/>
              </w:rPr>
            </w:pPr>
            <w:r w:rsidRPr="006B42D6">
              <w:rPr>
                <w:sz w:val="16"/>
                <w:szCs w:val="16"/>
              </w:rPr>
              <w:t>6.0</w:t>
            </w:r>
          </w:p>
        </w:tc>
        <w:tc>
          <w:tcPr>
            <w:tcW w:w="1008" w:type="dxa"/>
            <w:tcBorders>
              <w:top w:val="nil"/>
              <w:left w:val="nil"/>
              <w:bottom w:val="nil"/>
              <w:right w:val="nil"/>
            </w:tcBorders>
            <w:shd w:val="clear" w:color="auto" w:fill="auto"/>
            <w:noWrap/>
            <w:vAlign w:val="center"/>
            <w:hideMark/>
          </w:tcPr>
          <w:p w14:paraId="4CEFFD85" w14:textId="77777777" w:rsidR="008A1E55" w:rsidRPr="006B42D6" w:rsidRDefault="008A1E55" w:rsidP="00E16CAE">
            <w:pPr>
              <w:jc w:val="right"/>
              <w:rPr>
                <w:sz w:val="16"/>
                <w:szCs w:val="16"/>
              </w:rPr>
            </w:pPr>
            <w:r w:rsidRPr="006B42D6">
              <w:rPr>
                <w:sz w:val="16"/>
                <w:szCs w:val="16"/>
              </w:rPr>
              <w:t>2.5</w:t>
            </w:r>
          </w:p>
        </w:tc>
        <w:tc>
          <w:tcPr>
            <w:tcW w:w="1350" w:type="dxa"/>
            <w:tcBorders>
              <w:top w:val="nil"/>
              <w:left w:val="nil"/>
              <w:bottom w:val="nil"/>
              <w:right w:val="nil"/>
            </w:tcBorders>
            <w:shd w:val="clear" w:color="auto" w:fill="auto"/>
            <w:noWrap/>
            <w:vAlign w:val="center"/>
            <w:hideMark/>
          </w:tcPr>
          <w:p w14:paraId="2DDDB427" w14:textId="77777777" w:rsidR="008A1E55" w:rsidRPr="006B42D6" w:rsidRDefault="008A1E55" w:rsidP="00E16CAE">
            <w:pPr>
              <w:jc w:val="right"/>
              <w:rPr>
                <w:sz w:val="16"/>
                <w:szCs w:val="16"/>
              </w:rPr>
            </w:pPr>
            <w:r w:rsidRPr="006B42D6">
              <w:rPr>
                <w:sz w:val="16"/>
                <w:szCs w:val="16"/>
              </w:rPr>
              <w:t>1.6</w:t>
            </w:r>
          </w:p>
        </w:tc>
        <w:tc>
          <w:tcPr>
            <w:tcW w:w="1594" w:type="dxa"/>
            <w:tcBorders>
              <w:top w:val="nil"/>
              <w:left w:val="nil"/>
              <w:bottom w:val="nil"/>
              <w:right w:val="nil"/>
            </w:tcBorders>
            <w:shd w:val="clear" w:color="auto" w:fill="auto"/>
            <w:noWrap/>
            <w:vAlign w:val="center"/>
            <w:hideMark/>
          </w:tcPr>
          <w:p w14:paraId="2D551808" w14:textId="77777777" w:rsidR="008A1E55" w:rsidRPr="006B42D6" w:rsidRDefault="008A1E55" w:rsidP="00E16CAE">
            <w:pPr>
              <w:jc w:val="right"/>
              <w:rPr>
                <w:sz w:val="16"/>
                <w:szCs w:val="16"/>
              </w:rPr>
            </w:pPr>
            <w:r w:rsidRPr="006B42D6">
              <w:rPr>
                <w:sz w:val="16"/>
                <w:szCs w:val="16"/>
              </w:rPr>
              <w:t>1.2</w:t>
            </w:r>
          </w:p>
        </w:tc>
        <w:tc>
          <w:tcPr>
            <w:tcW w:w="804" w:type="dxa"/>
            <w:tcBorders>
              <w:top w:val="nil"/>
              <w:left w:val="nil"/>
              <w:bottom w:val="nil"/>
              <w:right w:val="nil"/>
            </w:tcBorders>
            <w:shd w:val="clear" w:color="auto" w:fill="auto"/>
            <w:noWrap/>
            <w:vAlign w:val="center"/>
            <w:hideMark/>
          </w:tcPr>
          <w:p w14:paraId="3487B8E8" w14:textId="77777777" w:rsidR="008A1E55" w:rsidRPr="006B42D6" w:rsidRDefault="008A1E55" w:rsidP="00E16CAE">
            <w:pPr>
              <w:jc w:val="right"/>
              <w:rPr>
                <w:sz w:val="16"/>
                <w:szCs w:val="16"/>
              </w:rPr>
            </w:pPr>
            <w:r w:rsidRPr="006B42D6">
              <w:rPr>
                <w:sz w:val="16"/>
                <w:szCs w:val="16"/>
              </w:rPr>
              <w:t>1.8</w:t>
            </w:r>
          </w:p>
        </w:tc>
      </w:tr>
      <w:tr w:rsidR="006B42D6" w:rsidRPr="006B42D6" w14:paraId="7497CC05" w14:textId="77777777" w:rsidTr="00143C67">
        <w:trPr>
          <w:trHeight w:hRule="exact" w:val="227"/>
        </w:trPr>
        <w:tc>
          <w:tcPr>
            <w:tcW w:w="1668" w:type="dxa"/>
            <w:tcBorders>
              <w:top w:val="nil"/>
              <w:left w:val="nil"/>
              <w:bottom w:val="nil"/>
              <w:right w:val="nil"/>
            </w:tcBorders>
            <w:shd w:val="clear" w:color="auto" w:fill="auto"/>
            <w:noWrap/>
            <w:vAlign w:val="center"/>
            <w:hideMark/>
          </w:tcPr>
          <w:p w14:paraId="46BAAF1D" w14:textId="77777777" w:rsidR="008A1E55" w:rsidRPr="006B42D6" w:rsidRDefault="008A1E55" w:rsidP="00E16CAE">
            <w:pPr>
              <w:rPr>
                <w:sz w:val="16"/>
                <w:szCs w:val="16"/>
              </w:rPr>
            </w:pPr>
            <w:r w:rsidRPr="006B42D6">
              <w:rPr>
                <w:sz w:val="16"/>
                <w:szCs w:val="16"/>
              </w:rPr>
              <w:t>Tanga</w:t>
            </w:r>
          </w:p>
        </w:tc>
        <w:tc>
          <w:tcPr>
            <w:tcW w:w="1031" w:type="dxa"/>
            <w:tcBorders>
              <w:top w:val="nil"/>
              <w:left w:val="nil"/>
              <w:bottom w:val="nil"/>
              <w:right w:val="nil"/>
            </w:tcBorders>
            <w:shd w:val="clear" w:color="auto" w:fill="auto"/>
            <w:noWrap/>
            <w:vAlign w:val="center"/>
            <w:hideMark/>
          </w:tcPr>
          <w:p w14:paraId="02DCCB4C" w14:textId="77777777" w:rsidR="008A1E55" w:rsidRPr="006B42D6" w:rsidRDefault="008A1E55" w:rsidP="00E16CAE">
            <w:pPr>
              <w:jc w:val="right"/>
              <w:rPr>
                <w:sz w:val="16"/>
                <w:szCs w:val="16"/>
              </w:rPr>
            </w:pPr>
            <w:r w:rsidRPr="006B42D6">
              <w:rPr>
                <w:sz w:val="16"/>
                <w:szCs w:val="16"/>
              </w:rPr>
              <w:t>5.4</w:t>
            </w:r>
          </w:p>
        </w:tc>
        <w:tc>
          <w:tcPr>
            <w:tcW w:w="800" w:type="dxa"/>
            <w:tcBorders>
              <w:top w:val="nil"/>
              <w:left w:val="nil"/>
              <w:bottom w:val="nil"/>
              <w:right w:val="nil"/>
            </w:tcBorders>
            <w:shd w:val="clear" w:color="auto" w:fill="auto"/>
            <w:noWrap/>
            <w:vAlign w:val="center"/>
            <w:hideMark/>
          </w:tcPr>
          <w:p w14:paraId="6B6FDB54" w14:textId="77777777" w:rsidR="008A1E55" w:rsidRPr="006B42D6" w:rsidRDefault="008A1E55" w:rsidP="00E16CAE">
            <w:pPr>
              <w:jc w:val="right"/>
              <w:rPr>
                <w:sz w:val="16"/>
                <w:szCs w:val="16"/>
              </w:rPr>
            </w:pPr>
            <w:r w:rsidRPr="006B42D6">
              <w:rPr>
                <w:sz w:val="16"/>
                <w:szCs w:val="16"/>
              </w:rPr>
              <w:t>2.9</w:t>
            </w:r>
          </w:p>
        </w:tc>
        <w:tc>
          <w:tcPr>
            <w:tcW w:w="804" w:type="dxa"/>
            <w:tcBorders>
              <w:top w:val="nil"/>
              <w:left w:val="nil"/>
              <w:bottom w:val="nil"/>
              <w:right w:val="nil"/>
            </w:tcBorders>
            <w:shd w:val="clear" w:color="auto" w:fill="auto"/>
            <w:noWrap/>
            <w:vAlign w:val="center"/>
            <w:hideMark/>
          </w:tcPr>
          <w:p w14:paraId="3D3E129D" w14:textId="77777777" w:rsidR="008A1E55" w:rsidRPr="006B42D6" w:rsidRDefault="008A1E55" w:rsidP="00E16CAE">
            <w:pPr>
              <w:jc w:val="right"/>
              <w:rPr>
                <w:sz w:val="16"/>
                <w:szCs w:val="16"/>
              </w:rPr>
            </w:pPr>
            <w:r w:rsidRPr="006B42D6">
              <w:rPr>
                <w:sz w:val="16"/>
                <w:szCs w:val="16"/>
              </w:rPr>
              <w:t>-</w:t>
            </w:r>
          </w:p>
        </w:tc>
        <w:tc>
          <w:tcPr>
            <w:tcW w:w="1047" w:type="dxa"/>
            <w:tcBorders>
              <w:top w:val="nil"/>
              <w:left w:val="nil"/>
              <w:bottom w:val="nil"/>
              <w:right w:val="nil"/>
            </w:tcBorders>
            <w:shd w:val="clear" w:color="auto" w:fill="auto"/>
            <w:noWrap/>
            <w:vAlign w:val="center"/>
            <w:hideMark/>
          </w:tcPr>
          <w:p w14:paraId="115CED93" w14:textId="77777777" w:rsidR="008A1E55" w:rsidRPr="006B42D6" w:rsidRDefault="008A1E55" w:rsidP="00E16CAE">
            <w:pPr>
              <w:jc w:val="right"/>
              <w:rPr>
                <w:sz w:val="16"/>
                <w:szCs w:val="16"/>
              </w:rPr>
            </w:pPr>
            <w:r w:rsidRPr="006B42D6">
              <w:rPr>
                <w:sz w:val="16"/>
                <w:szCs w:val="16"/>
              </w:rPr>
              <w:t>3.7</w:t>
            </w:r>
          </w:p>
        </w:tc>
        <w:tc>
          <w:tcPr>
            <w:tcW w:w="892" w:type="dxa"/>
            <w:tcBorders>
              <w:top w:val="nil"/>
              <w:left w:val="nil"/>
              <w:bottom w:val="nil"/>
              <w:right w:val="nil"/>
            </w:tcBorders>
            <w:shd w:val="clear" w:color="auto" w:fill="auto"/>
            <w:noWrap/>
            <w:vAlign w:val="center"/>
            <w:hideMark/>
          </w:tcPr>
          <w:p w14:paraId="3512E064" w14:textId="77777777" w:rsidR="008A1E55" w:rsidRPr="006B42D6" w:rsidRDefault="008A1E55" w:rsidP="00E16CAE">
            <w:pPr>
              <w:jc w:val="right"/>
              <w:rPr>
                <w:sz w:val="16"/>
                <w:szCs w:val="16"/>
              </w:rPr>
            </w:pPr>
            <w:r w:rsidRPr="006B42D6">
              <w:rPr>
                <w:sz w:val="16"/>
                <w:szCs w:val="16"/>
              </w:rPr>
              <w:t>22.1</w:t>
            </w:r>
          </w:p>
        </w:tc>
        <w:tc>
          <w:tcPr>
            <w:tcW w:w="1197" w:type="dxa"/>
            <w:tcBorders>
              <w:top w:val="nil"/>
              <w:left w:val="nil"/>
              <w:bottom w:val="nil"/>
              <w:right w:val="nil"/>
            </w:tcBorders>
            <w:shd w:val="clear" w:color="auto" w:fill="auto"/>
            <w:noWrap/>
            <w:vAlign w:val="center"/>
            <w:hideMark/>
          </w:tcPr>
          <w:p w14:paraId="30373AD0" w14:textId="77777777" w:rsidR="008A1E55" w:rsidRPr="006B42D6" w:rsidRDefault="008A1E55" w:rsidP="00E16CAE">
            <w:pPr>
              <w:jc w:val="right"/>
              <w:rPr>
                <w:sz w:val="16"/>
                <w:szCs w:val="16"/>
              </w:rPr>
            </w:pPr>
            <w:r w:rsidRPr="006B42D6">
              <w:rPr>
                <w:sz w:val="16"/>
                <w:szCs w:val="16"/>
              </w:rPr>
              <w:t>24.1</w:t>
            </w:r>
          </w:p>
        </w:tc>
        <w:tc>
          <w:tcPr>
            <w:tcW w:w="853" w:type="dxa"/>
            <w:tcBorders>
              <w:top w:val="nil"/>
              <w:left w:val="nil"/>
              <w:bottom w:val="nil"/>
              <w:right w:val="nil"/>
            </w:tcBorders>
            <w:shd w:val="clear" w:color="auto" w:fill="auto"/>
            <w:noWrap/>
            <w:vAlign w:val="center"/>
            <w:hideMark/>
          </w:tcPr>
          <w:p w14:paraId="51D81946" w14:textId="77777777" w:rsidR="008A1E55" w:rsidRPr="006B42D6" w:rsidRDefault="008A1E55" w:rsidP="00E16CAE">
            <w:pPr>
              <w:jc w:val="right"/>
              <w:rPr>
                <w:sz w:val="16"/>
                <w:szCs w:val="16"/>
              </w:rPr>
            </w:pPr>
            <w:r w:rsidRPr="006B42D6">
              <w:rPr>
                <w:sz w:val="16"/>
                <w:szCs w:val="16"/>
              </w:rPr>
              <w:t>1.6</w:t>
            </w:r>
          </w:p>
        </w:tc>
        <w:tc>
          <w:tcPr>
            <w:tcW w:w="1008" w:type="dxa"/>
            <w:tcBorders>
              <w:top w:val="nil"/>
              <w:left w:val="nil"/>
              <w:bottom w:val="nil"/>
              <w:right w:val="nil"/>
            </w:tcBorders>
            <w:shd w:val="clear" w:color="auto" w:fill="auto"/>
            <w:noWrap/>
            <w:vAlign w:val="center"/>
            <w:hideMark/>
          </w:tcPr>
          <w:p w14:paraId="6A4E78DB" w14:textId="77777777" w:rsidR="008A1E55" w:rsidRPr="006B42D6" w:rsidRDefault="008A1E55" w:rsidP="00E16CAE">
            <w:pPr>
              <w:jc w:val="right"/>
              <w:rPr>
                <w:sz w:val="16"/>
                <w:szCs w:val="16"/>
              </w:rPr>
            </w:pPr>
            <w:r w:rsidRPr="006B42D6">
              <w:rPr>
                <w:sz w:val="16"/>
                <w:szCs w:val="16"/>
              </w:rPr>
              <w:t>0.6</w:t>
            </w:r>
          </w:p>
        </w:tc>
        <w:tc>
          <w:tcPr>
            <w:tcW w:w="1350" w:type="dxa"/>
            <w:tcBorders>
              <w:top w:val="nil"/>
              <w:left w:val="nil"/>
              <w:bottom w:val="nil"/>
              <w:right w:val="nil"/>
            </w:tcBorders>
            <w:shd w:val="clear" w:color="auto" w:fill="auto"/>
            <w:noWrap/>
            <w:vAlign w:val="center"/>
            <w:hideMark/>
          </w:tcPr>
          <w:p w14:paraId="5F7F4F03" w14:textId="77777777" w:rsidR="008A1E55" w:rsidRPr="006B42D6" w:rsidRDefault="008A1E55" w:rsidP="00E16CAE">
            <w:pPr>
              <w:jc w:val="right"/>
              <w:rPr>
                <w:sz w:val="16"/>
                <w:szCs w:val="16"/>
              </w:rPr>
            </w:pPr>
            <w:r w:rsidRPr="006B42D6">
              <w:rPr>
                <w:sz w:val="16"/>
                <w:szCs w:val="16"/>
              </w:rPr>
              <w:t>2.3</w:t>
            </w:r>
          </w:p>
        </w:tc>
        <w:tc>
          <w:tcPr>
            <w:tcW w:w="1594" w:type="dxa"/>
            <w:tcBorders>
              <w:top w:val="nil"/>
              <w:left w:val="nil"/>
              <w:bottom w:val="nil"/>
              <w:right w:val="nil"/>
            </w:tcBorders>
            <w:shd w:val="clear" w:color="auto" w:fill="auto"/>
            <w:noWrap/>
            <w:vAlign w:val="center"/>
            <w:hideMark/>
          </w:tcPr>
          <w:p w14:paraId="3206FDAF" w14:textId="77777777" w:rsidR="008A1E55" w:rsidRPr="006B42D6" w:rsidRDefault="008A1E55" w:rsidP="00E16CAE">
            <w:pPr>
              <w:jc w:val="right"/>
              <w:rPr>
                <w:sz w:val="16"/>
                <w:szCs w:val="16"/>
              </w:rPr>
            </w:pPr>
            <w:r w:rsidRPr="006B42D6">
              <w:rPr>
                <w:sz w:val="16"/>
                <w:szCs w:val="16"/>
              </w:rPr>
              <w:t>24.0</w:t>
            </w:r>
          </w:p>
        </w:tc>
        <w:tc>
          <w:tcPr>
            <w:tcW w:w="804" w:type="dxa"/>
            <w:tcBorders>
              <w:top w:val="nil"/>
              <w:left w:val="nil"/>
              <w:bottom w:val="nil"/>
              <w:right w:val="nil"/>
            </w:tcBorders>
            <w:shd w:val="clear" w:color="auto" w:fill="auto"/>
            <w:noWrap/>
            <w:vAlign w:val="center"/>
            <w:hideMark/>
          </w:tcPr>
          <w:p w14:paraId="513EE303" w14:textId="77777777" w:rsidR="008A1E55" w:rsidRPr="006B42D6" w:rsidRDefault="008A1E55" w:rsidP="00E16CAE">
            <w:pPr>
              <w:jc w:val="right"/>
              <w:rPr>
                <w:sz w:val="16"/>
                <w:szCs w:val="16"/>
              </w:rPr>
            </w:pPr>
            <w:r w:rsidRPr="006B42D6">
              <w:rPr>
                <w:sz w:val="16"/>
                <w:szCs w:val="16"/>
              </w:rPr>
              <w:t>1.7</w:t>
            </w:r>
          </w:p>
        </w:tc>
      </w:tr>
      <w:tr w:rsidR="006B42D6" w:rsidRPr="006B42D6" w14:paraId="4738506C" w14:textId="77777777" w:rsidTr="00143C67">
        <w:trPr>
          <w:trHeight w:hRule="exact" w:val="227"/>
        </w:trPr>
        <w:tc>
          <w:tcPr>
            <w:tcW w:w="1668" w:type="dxa"/>
            <w:tcBorders>
              <w:top w:val="nil"/>
              <w:left w:val="nil"/>
              <w:bottom w:val="nil"/>
              <w:right w:val="nil"/>
            </w:tcBorders>
            <w:shd w:val="clear" w:color="auto" w:fill="auto"/>
            <w:noWrap/>
            <w:vAlign w:val="center"/>
            <w:hideMark/>
          </w:tcPr>
          <w:p w14:paraId="7E7AC52A" w14:textId="77777777" w:rsidR="008A1E55" w:rsidRPr="006B42D6" w:rsidRDefault="008A1E55" w:rsidP="00E16CAE">
            <w:pPr>
              <w:rPr>
                <w:sz w:val="16"/>
                <w:szCs w:val="16"/>
              </w:rPr>
            </w:pPr>
            <w:r w:rsidRPr="006B42D6">
              <w:rPr>
                <w:sz w:val="16"/>
                <w:szCs w:val="16"/>
              </w:rPr>
              <w:t>Morogoro</w:t>
            </w:r>
          </w:p>
        </w:tc>
        <w:tc>
          <w:tcPr>
            <w:tcW w:w="1031" w:type="dxa"/>
            <w:tcBorders>
              <w:top w:val="nil"/>
              <w:left w:val="nil"/>
              <w:bottom w:val="nil"/>
              <w:right w:val="nil"/>
            </w:tcBorders>
            <w:shd w:val="clear" w:color="auto" w:fill="auto"/>
            <w:noWrap/>
            <w:vAlign w:val="center"/>
            <w:hideMark/>
          </w:tcPr>
          <w:p w14:paraId="46EAC515" w14:textId="77777777" w:rsidR="008A1E55" w:rsidRPr="006B42D6" w:rsidRDefault="008A1E55" w:rsidP="00E16CAE">
            <w:pPr>
              <w:jc w:val="right"/>
              <w:rPr>
                <w:sz w:val="16"/>
                <w:szCs w:val="16"/>
              </w:rPr>
            </w:pPr>
            <w:r w:rsidRPr="006B42D6">
              <w:rPr>
                <w:sz w:val="16"/>
                <w:szCs w:val="16"/>
              </w:rPr>
              <w:t>5.7</w:t>
            </w:r>
          </w:p>
        </w:tc>
        <w:tc>
          <w:tcPr>
            <w:tcW w:w="800" w:type="dxa"/>
            <w:tcBorders>
              <w:top w:val="nil"/>
              <w:left w:val="nil"/>
              <w:bottom w:val="nil"/>
              <w:right w:val="nil"/>
            </w:tcBorders>
            <w:shd w:val="clear" w:color="auto" w:fill="auto"/>
            <w:noWrap/>
            <w:vAlign w:val="center"/>
            <w:hideMark/>
          </w:tcPr>
          <w:p w14:paraId="379794F7" w14:textId="77777777" w:rsidR="008A1E55" w:rsidRPr="006B42D6" w:rsidRDefault="008A1E55" w:rsidP="00E16CAE">
            <w:pPr>
              <w:jc w:val="right"/>
              <w:rPr>
                <w:sz w:val="16"/>
                <w:szCs w:val="16"/>
              </w:rPr>
            </w:pPr>
            <w:r w:rsidRPr="006B42D6">
              <w:rPr>
                <w:sz w:val="16"/>
                <w:szCs w:val="16"/>
              </w:rPr>
              <w:t>4.9</w:t>
            </w:r>
          </w:p>
        </w:tc>
        <w:tc>
          <w:tcPr>
            <w:tcW w:w="804" w:type="dxa"/>
            <w:tcBorders>
              <w:top w:val="nil"/>
              <w:left w:val="nil"/>
              <w:bottom w:val="nil"/>
              <w:right w:val="nil"/>
            </w:tcBorders>
            <w:shd w:val="clear" w:color="auto" w:fill="auto"/>
            <w:noWrap/>
            <w:vAlign w:val="center"/>
            <w:hideMark/>
          </w:tcPr>
          <w:p w14:paraId="4D3A9581" w14:textId="77777777" w:rsidR="008A1E55" w:rsidRPr="006B42D6" w:rsidRDefault="008A1E55" w:rsidP="00E16CAE">
            <w:pPr>
              <w:jc w:val="right"/>
              <w:rPr>
                <w:sz w:val="16"/>
                <w:szCs w:val="16"/>
              </w:rPr>
            </w:pPr>
            <w:r w:rsidRPr="006B42D6">
              <w:rPr>
                <w:sz w:val="16"/>
                <w:szCs w:val="16"/>
              </w:rPr>
              <w:t>3.8</w:t>
            </w:r>
          </w:p>
        </w:tc>
        <w:tc>
          <w:tcPr>
            <w:tcW w:w="1047" w:type="dxa"/>
            <w:tcBorders>
              <w:top w:val="nil"/>
              <w:left w:val="nil"/>
              <w:bottom w:val="nil"/>
              <w:right w:val="nil"/>
            </w:tcBorders>
            <w:shd w:val="clear" w:color="auto" w:fill="auto"/>
            <w:noWrap/>
            <w:vAlign w:val="center"/>
            <w:hideMark/>
          </w:tcPr>
          <w:p w14:paraId="5B866488" w14:textId="77777777" w:rsidR="008A1E55" w:rsidRPr="006B42D6" w:rsidRDefault="008A1E55" w:rsidP="00E16CAE">
            <w:pPr>
              <w:jc w:val="right"/>
              <w:rPr>
                <w:sz w:val="16"/>
                <w:szCs w:val="16"/>
              </w:rPr>
            </w:pPr>
            <w:r w:rsidRPr="006B42D6">
              <w:rPr>
                <w:sz w:val="16"/>
                <w:szCs w:val="16"/>
              </w:rPr>
              <w:t>6.4</w:t>
            </w:r>
          </w:p>
        </w:tc>
        <w:tc>
          <w:tcPr>
            <w:tcW w:w="892" w:type="dxa"/>
            <w:tcBorders>
              <w:top w:val="nil"/>
              <w:left w:val="nil"/>
              <w:bottom w:val="nil"/>
              <w:right w:val="nil"/>
            </w:tcBorders>
            <w:shd w:val="clear" w:color="auto" w:fill="auto"/>
            <w:noWrap/>
            <w:vAlign w:val="center"/>
            <w:hideMark/>
          </w:tcPr>
          <w:p w14:paraId="4DCB9A1C" w14:textId="77777777" w:rsidR="008A1E55" w:rsidRPr="006B42D6" w:rsidRDefault="008A1E55" w:rsidP="00E16CAE">
            <w:pPr>
              <w:jc w:val="right"/>
              <w:rPr>
                <w:sz w:val="16"/>
                <w:szCs w:val="16"/>
              </w:rPr>
            </w:pPr>
            <w:r w:rsidRPr="006B42D6">
              <w:rPr>
                <w:sz w:val="16"/>
                <w:szCs w:val="16"/>
              </w:rPr>
              <w:t>17.4</w:t>
            </w:r>
          </w:p>
        </w:tc>
        <w:tc>
          <w:tcPr>
            <w:tcW w:w="1197" w:type="dxa"/>
            <w:tcBorders>
              <w:top w:val="nil"/>
              <w:left w:val="nil"/>
              <w:bottom w:val="nil"/>
              <w:right w:val="nil"/>
            </w:tcBorders>
            <w:shd w:val="clear" w:color="auto" w:fill="auto"/>
            <w:noWrap/>
            <w:vAlign w:val="center"/>
            <w:hideMark/>
          </w:tcPr>
          <w:p w14:paraId="16E402CF" w14:textId="77777777" w:rsidR="008A1E55" w:rsidRPr="006B42D6" w:rsidRDefault="008A1E55" w:rsidP="00E16CAE">
            <w:pPr>
              <w:jc w:val="right"/>
              <w:rPr>
                <w:sz w:val="16"/>
                <w:szCs w:val="16"/>
              </w:rPr>
            </w:pPr>
            <w:r w:rsidRPr="006B42D6">
              <w:rPr>
                <w:sz w:val="16"/>
                <w:szCs w:val="16"/>
              </w:rPr>
              <w:t>5.2</w:t>
            </w:r>
          </w:p>
        </w:tc>
        <w:tc>
          <w:tcPr>
            <w:tcW w:w="853" w:type="dxa"/>
            <w:tcBorders>
              <w:top w:val="nil"/>
              <w:left w:val="nil"/>
              <w:bottom w:val="nil"/>
              <w:right w:val="nil"/>
            </w:tcBorders>
            <w:shd w:val="clear" w:color="auto" w:fill="auto"/>
            <w:noWrap/>
            <w:vAlign w:val="center"/>
            <w:hideMark/>
          </w:tcPr>
          <w:p w14:paraId="444C827C" w14:textId="77777777" w:rsidR="008A1E55" w:rsidRPr="006B42D6" w:rsidRDefault="008A1E55" w:rsidP="00E16CAE">
            <w:pPr>
              <w:jc w:val="right"/>
              <w:rPr>
                <w:sz w:val="16"/>
                <w:szCs w:val="16"/>
              </w:rPr>
            </w:pPr>
            <w:r w:rsidRPr="006B42D6">
              <w:rPr>
                <w:sz w:val="16"/>
                <w:szCs w:val="16"/>
              </w:rPr>
              <w:t>5.1</w:t>
            </w:r>
          </w:p>
        </w:tc>
        <w:tc>
          <w:tcPr>
            <w:tcW w:w="1008" w:type="dxa"/>
            <w:tcBorders>
              <w:top w:val="nil"/>
              <w:left w:val="nil"/>
              <w:bottom w:val="nil"/>
              <w:right w:val="nil"/>
            </w:tcBorders>
            <w:shd w:val="clear" w:color="auto" w:fill="auto"/>
            <w:noWrap/>
            <w:vAlign w:val="center"/>
            <w:hideMark/>
          </w:tcPr>
          <w:p w14:paraId="4636AD3B" w14:textId="77777777" w:rsidR="008A1E55" w:rsidRPr="006B42D6" w:rsidRDefault="008A1E55" w:rsidP="00E16CAE">
            <w:pPr>
              <w:jc w:val="right"/>
              <w:rPr>
                <w:sz w:val="16"/>
                <w:szCs w:val="16"/>
              </w:rPr>
            </w:pPr>
            <w:r w:rsidRPr="006B42D6">
              <w:rPr>
                <w:sz w:val="16"/>
                <w:szCs w:val="16"/>
              </w:rPr>
              <w:t>4.1</w:t>
            </w:r>
          </w:p>
        </w:tc>
        <w:tc>
          <w:tcPr>
            <w:tcW w:w="1350" w:type="dxa"/>
            <w:tcBorders>
              <w:top w:val="nil"/>
              <w:left w:val="nil"/>
              <w:bottom w:val="nil"/>
              <w:right w:val="nil"/>
            </w:tcBorders>
            <w:shd w:val="clear" w:color="auto" w:fill="auto"/>
            <w:noWrap/>
            <w:vAlign w:val="center"/>
            <w:hideMark/>
          </w:tcPr>
          <w:p w14:paraId="3AA096A3" w14:textId="77777777" w:rsidR="008A1E55" w:rsidRPr="006B42D6" w:rsidRDefault="008A1E55" w:rsidP="00E16CAE">
            <w:pPr>
              <w:jc w:val="right"/>
              <w:rPr>
                <w:sz w:val="16"/>
                <w:szCs w:val="16"/>
              </w:rPr>
            </w:pPr>
            <w:r w:rsidRPr="006B42D6">
              <w:rPr>
                <w:sz w:val="16"/>
                <w:szCs w:val="16"/>
              </w:rPr>
              <w:t>5.9</w:t>
            </w:r>
          </w:p>
        </w:tc>
        <w:tc>
          <w:tcPr>
            <w:tcW w:w="1594" w:type="dxa"/>
            <w:tcBorders>
              <w:top w:val="nil"/>
              <w:left w:val="nil"/>
              <w:bottom w:val="nil"/>
              <w:right w:val="nil"/>
            </w:tcBorders>
            <w:shd w:val="clear" w:color="auto" w:fill="auto"/>
            <w:noWrap/>
            <w:vAlign w:val="center"/>
            <w:hideMark/>
          </w:tcPr>
          <w:p w14:paraId="3DBFBBC3" w14:textId="77777777" w:rsidR="008A1E55" w:rsidRPr="006B42D6" w:rsidRDefault="008A1E55" w:rsidP="00E16CAE">
            <w:pPr>
              <w:jc w:val="right"/>
              <w:rPr>
                <w:sz w:val="16"/>
                <w:szCs w:val="16"/>
              </w:rPr>
            </w:pPr>
            <w:r w:rsidRPr="006B42D6">
              <w:rPr>
                <w:sz w:val="16"/>
                <w:szCs w:val="16"/>
              </w:rPr>
              <w:t>0.9</w:t>
            </w:r>
          </w:p>
        </w:tc>
        <w:tc>
          <w:tcPr>
            <w:tcW w:w="804" w:type="dxa"/>
            <w:tcBorders>
              <w:top w:val="nil"/>
              <w:left w:val="nil"/>
              <w:bottom w:val="nil"/>
              <w:right w:val="nil"/>
            </w:tcBorders>
            <w:shd w:val="clear" w:color="auto" w:fill="auto"/>
            <w:noWrap/>
            <w:vAlign w:val="center"/>
            <w:hideMark/>
          </w:tcPr>
          <w:p w14:paraId="7F930BCA" w14:textId="77777777" w:rsidR="008A1E55" w:rsidRPr="006B42D6" w:rsidRDefault="008A1E55" w:rsidP="00E16CAE">
            <w:pPr>
              <w:jc w:val="right"/>
              <w:rPr>
                <w:sz w:val="16"/>
                <w:szCs w:val="16"/>
              </w:rPr>
            </w:pPr>
            <w:r w:rsidRPr="006B42D6">
              <w:rPr>
                <w:sz w:val="16"/>
                <w:szCs w:val="16"/>
              </w:rPr>
              <w:t>1.3</w:t>
            </w:r>
          </w:p>
        </w:tc>
      </w:tr>
      <w:tr w:rsidR="006B42D6" w:rsidRPr="006B42D6" w14:paraId="414101B8" w14:textId="77777777" w:rsidTr="00143C67">
        <w:trPr>
          <w:trHeight w:hRule="exact" w:val="227"/>
        </w:trPr>
        <w:tc>
          <w:tcPr>
            <w:tcW w:w="1668" w:type="dxa"/>
            <w:tcBorders>
              <w:top w:val="nil"/>
              <w:left w:val="nil"/>
              <w:bottom w:val="nil"/>
              <w:right w:val="nil"/>
            </w:tcBorders>
            <w:shd w:val="clear" w:color="auto" w:fill="auto"/>
            <w:noWrap/>
            <w:vAlign w:val="center"/>
            <w:hideMark/>
          </w:tcPr>
          <w:p w14:paraId="56722BCE" w14:textId="77777777" w:rsidR="008A1E55" w:rsidRPr="006B42D6" w:rsidRDefault="008A1E55" w:rsidP="00E16CAE">
            <w:pPr>
              <w:rPr>
                <w:sz w:val="16"/>
                <w:szCs w:val="16"/>
              </w:rPr>
            </w:pPr>
            <w:r w:rsidRPr="006B42D6">
              <w:rPr>
                <w:sz w:val="16"/>
                <w:szCs w:val="16"/>
              </w:rPr>
              <w:t>Pwani</w:t>
            </w:r>
          </w:p>
        </w:tc>
        <w:tc>
          <w:tcPr>
            <w:tcW w:w="1031" w:type="dxa"/>
            <w:tcBorders>
              <w:top w:val="nil"/>
              <w:left w:val="nil"/>
              <w:bottom w:val="nil"/>
              <w:right w:val="nil"/>
            </w:tcBorders>
            <w:shd w:val="clear" w:color="auto" w:fill="auto"/>
            <w:noWrap/>
            <w:vAlign w:val="center"/>
            <w:hideMark/>
          </w:tcPr>
          <w:p w14:paraId="75075F3D" w14:textId="77777777" w:rsidR="008A1E55" w:rsidRPr="006B42D6" w:rsidRDefault="008A1E55" w:rsidP="00E16CAE">
            <w:pPr>
              <w:jc w:val="right"/>
              <w:rPr>
                <w:sz w:val="16"/>
                <w:szCs w:val="16"/>
              </w:rPr>
            </w:pPr>
            <w:r w:rsidRPr="006B42D6">
              <w:rPr>
                <w:sz w:val="16"/>
                <w:szCs w:val="16"/>
              </w:rPr>
              <w:t>3.2</w:t>
            </w:r>
          </w:p>
        </w:tc>
        <w:tc>
          <w:tcPr>
            <w:tcW w:w="800" w:type="dxa"/>
            <w:tcBorders>
              <w:top w:val="nil"/>
              <w:left w:val="nil"/>
              <w:bottom w:val="nil"/>
              <w:right w:val="nil"/>
            </w:tcBorders>
            <w:shd w:val="clear" w:color="auto" w:fill="auto"/>
            <w:noWrap/>
            <w:vAlign w:val="center"/>
            <w:hideMark/>
          </w:tcPr>
          <w:p w14:paraId="36DDAC75" w14:textId="77777777" w:rsidR="008A1E55" w:rsidRPr="006B42D6" w:rsidRDefault="008A1E55" w:rsidP="00E16CAE">
            <w:pPr>
              <w:jc w:val="right"/>
              <w:rPr>
                <w:sz w:val="16"/>
                <w:szCs w:val="16"/>
              </w:rPr>
            </w:pPr>
            <w:r w:rsidRPr="006B42D6">
              <w:rPr>
                <w:sz w:val="16"/>
                <w:szCs w:val="16"/>
              </w:rPr>
              <w:t>2.5</w:t>
            </w:r>
          </w:p>
        </w:tc>
        <w:tc>
          <w:tcPr>
            <w:tcW w:w="804" w:type="dxa"/>
            <w:tcBorders>
              <w:top w:val="nil"/>
              <w:left w:val="nil"/>
              <w:bottom w:val="nil"/>
              <w:right w:val="nil"/>
            </w:tcBorders>
            <w:shd w:val="clear" w:color="auto" w:fill="auto"/>
            <w:noWrap/>
            <w:vAlign w:val="center"/>
            <w:hideMark/>
          </w:tcPr>
          <w:p w14:paraId="712DE3BC" w14:textId="77777777" w:rsidR="008A1E55" w:rsidRPr="006B42D6" w:rsidRDefault="008A1E55" w:rsidP="00E16CAE">
            <w:pPr>
              <w:jc w:val="right"/>
              <w:rPr>
                <w:sz w:val="16"/>
                <w:szCs w:val="16"/>
              </w:rPr>
            </w:pPr>
            <w:r w:rsidRPr="006B42D6">
              <w:rPr>
                <w:sz w:val="16"/>
                <w:szCs w:val="16"/>
              </w:rPr>
              <w:t>-</w:t>
            </w:r>
          </w:p>
        </w:tc>
        <w:tc>
          <w:tcPr>
            <w:tcW w:w="1047" w:type="dxa"/>
            <w:tcBorders>
              <w:top w:val="nil"/>
              <w:left w:val="nil"/>
              <w:bottom w:val="nil"/>
              <w:right w:val="nil"/>
            </w:tcBorders>
            <w:shd w:val="clear" w:color="auto" w:fill="auto"/>
            <w:noWrap/>
            <w:vAlign w:val="center"/>
            <w:hideMark/>
          </w:tcPr>
          <w:p w14:paraId="08869E55" w14:textId="77777777" w:rsidR="008A1E55" w:rsidRPr="006B42D6" w:rsidRDefault="008A1E55" w:rsidP="00E16CAE">
            <w:pPr>
              <w:jc w:val="right"/>
              <w:rPr>
                <w:sz w:val="16"/>
                <w:szCs w:val="16"/>
              </w:rPr>
            </w:pPr>
            <w:r w:rsidRPr="006B42D6">
              <w:rPr>
                <w:sz w:val="16"/>
                <w:szCs w:val="16"/>
              </w:rPr>
              <w:t>1.2</w:t>
            </w:r>
          </w:p>
        </w:tc>
        <w:tc>
          <w:tcPr>
            <w:tcW w:w="892" w:type="dxa"/>
            <w:tcBorders>
              <w:top w:val="nil"/>
              <w:left w:val="nil"/>
              <w:bottom w:val="nil"/>
              <w:right w:val="nil"/>
            </w:tcBorders>
            <w:shd w:val="clear" w:color="auto" w:fill="auto"/>
            <w:noWrap/>
            <w:vAlign w:val="center"/>
            <w:hideMark/>
          </w:tcPr>
          <w:p w14:paraId="2F74E03F" w14:textId="77777777" w:rsidR="008A1E55" w:rsidRPr="006B42D6" w:rsidRDefault="008A1E55" w:rsidP="00E16CAE">
            <w:pPr>
              <w:jc w:val="right"/>
              <w:rPr>
                <w:sz w:val="16"/>
                <w:szCs w:val="16"/>
              </w:rPr>
            </w:pPr>
            <w:r w:rsidRPr="006B42D6">
              <w:rPr>
                <w:sz w:val="16"/>
                <w:szCs w:val="16"/>
              </w:rPr>
              <w:t>6.4</w:t>
            </w:r>
          </w:p>
        </w:tc>
        <w:tc>
          <w:tcPr>
            <w:tcW w:w="1197" w:type="dxa"/>
            <w:tcBorders>
              <w:top w:val="nil"/>
              <w:left w:val="nil"/>
              <w:bottom w:val="nil"/>
              <w:right w:val="nil"/>
            </w:tcBorders>
            <w:shd w:val="clear" w:color="auto" w:fill="auto"/>
            <w:noWrap/>
            <w:vAlign w:val="center"/>
            <w:hideMark/>
          </w:tcPr>
          <w:p w14:paraId="31CBA1A9" w14:textId="77777777" w:rsidR="008A1E55" w:rsidRPr="006B42D6" w:rsidRDefault="008A1E55" w:rsidP="00E16CAE">
            <w:pPr>
              <w:jc w:val="right"/>
              <w:rPr>
                <w:sz w:val="16"/>
                <w:szCs w:val="16"/>
              </w:rPr>
            </w:pPr>
            <w:r w:rsidRPr="006B42D6">
              <w:rPr>
                <w:sz w:val="16"/>
                <w:szCs w:val="16"/>
              </w:rPr>
              <w:t>7.6</w:t>
            </w:r>
          </w:p>
        </w:tc>
        <w:tc>
          <w:tcPr>
            <w:tcW w:w="853" w:type="dxa"/>
            <w:tcBorders>
              <w:top w:val="nil"/>
              <w:left w:val="nil"/>
              <w:bottom w:val="nil"/>
              <w:right w:val="nil"/>
            </w:tcBorders>
            <w:shd w:val="clear" w:color="auto" w:fill="auto"/>
            <w:noWrap/>
            <w:vAlign w:val="center"/>
            <w:hideMark/>
          </w:tcPr>
          <w:p w14:paraId="6C05A2E3" w14:textId="77777777" w:rsidR="008A1E55" w:rsidRPr="006B42D6" w:rsidRDefault="008A1E55" w:rsidP="00E16CAE">
            <w:pPr>
              <w:jc w:val="right"/>
              <w:rPr>
                <w:sz w:val="16"/>
                <w:szCs w:val="16"/>
              </w:rPr>
            </w:pPr>
            <w:r w:rsidRPr="006B42D6">
              <w:rPr>
                <w:sz w:val="16"/>
                <w:szCs w:val="16"/>
              </w:rPr>
              <w:t>1.3</w:t>
            </w:r>
          </w:p>
        </w:tc>
        <w:tc>
          <w:tcPr>
            <w:tcW w:w="1008" w:type="dxa"/>
            <w:tcBorders>
              <w:top w:val="nil"/>
              <w:left w:val="nil"/>
              <w:bottom w:val="nil"/>
              <w:right w:val="nil"/>
            </w:tcBorders>
            <w:shd w:val="clear" w:color="auto" w:fill="auto"/>
            <w:noWrap/>
            <w:vAlign w:val="center"/>
            <w:hideMark/>
          </w:tcPr>
          <w:p w14:paraId="2F46DE25" w14:textId="77777777" w:rsidR="008A1E55" w:rsidRPr="006B42D6" w:rsidRDefault="008A1E55" w:rsidP="00E16CAE">
            <w:pPr>
              <w:jc w:val="right"/>
              <w:rPr>
                <w:sz w:val="16"/>
                <w:szCs w:val="16"/>
              </w:rPr>
            </w:pPr>
            <w:r w:rsidRPr="006B42D6">
              <w:rPr>
                <w:sz w:val="16"/>
                <w:szCs w:val="16"/>
              </w:rPr>
              <w:t>2.9</w:t>
            </w:r>
          </w:p>
        </w:tc>
        <w:tc>
          <w:tcPr>
            <w:tcW w:w="1350" w:type="dxa"/>
            <w:tcBorders>
              <w:top w:val="nil"/>
              <w:left w:val="nil"/>
              <w:bottom w:val="nil"/>
              <w:right w:val="nil"/>
            </w:tcBorders>
            <w:shd w:val="clear" w:color="auto" w:fill="auto"/>
            <w:noWrap/>
            <w:vAlign w:val="center"/>
            <w:hideMark/>
          </w:tcPr>
          <w:p w14:paraId="4CC4F8B3" w14:textId="77777777" w:rsidR="008A1E55" w:rsidRPr="006B42D6" w:rsidRDefault="008A1E55" w:rsidP="00E16CAE">
            <w:pPr>
              <w:jc w:val="right"/>
              <w:rPr>
                <w:sz w:val="16"/>
                <w:szCs w:val="16"/>
              </w:rPr>
            </w:pPr>
            <w:r w:rsidRPr="006B42D6">
              <w:rPr>
                <w:sz w:val="16"/>
                <w:szCs w:val="16"/>
              </w:rPr>
              <w:t>2.1</w:t>
            </w:r>
          </w:p>
        </w:tc>
        <w:tc>
          <w:tcPr>
            <w:tcW w:w="1594" w:type="dxa"/>
            <w:tcBorders>
              <w:top w:val="nil"/>
              <w:left w:val="nil"/>
              <w:bottom w:val="nil"/>
              <w:right w:val="nil"/>
            </w:tcBorders>
            <w:shd w:val="clear" w:color="auto" w:fill="auto"/>
            <w:noWrap/>
            <w:vAlign w:val="center"/>
            <w:hideMark/>
          </w:tcPr>
          <w:p w14:paraId="3B85BAE7" w14:textId="77777777" w:rsidR="008A1E55" w:rsidRPr="006B42D6" w:rsidRDefault="008A1E55" w:rsidP="00E16CAE">
            <w:pPr>
              <w:jc w:val="right"/>
              <w:rPr>
                <w:sz w:val="16"/>
                <w:szCs w:val="16"/>
              </w:rPr>
            </w:pPr>
            <w:r w:rsidRPr="006B42D6">
              <w:rPr>
                <w:sz w:val="16"/>
                <w:szCs w:val="16"/>
              </w:rPr>
              <w:t>6.4</w:t>
            </w:r>
          </w:p>
        </w:tc>
        <w:tc>
          <w:tcPr>
            <w:tcW w:w="804" w:type="dxa"/>
            <w:tcBorders>
              <w:top w:val="nil"/>
              <w:left w:val="nil"/>
              <w:bottom w:val="nil"/>
              <w:right w:val="nil"/>
            </w:tcBorders>
            <w:shd w:val="clear" w:color="auto" w:fill="auto"/>
            <w:noWrap/>
            <w:vAlign w:val="center"/>
            <w:hideMark/>
          </w:tcPr>
          <w:p w14:paraId="145FFB86" w14:textId="77777777" w:rsidR="008A1E55" w:rsidRPr="006B42D6" w:rsidRDefault="008A1E55" w:rsidP="00E16CAE">
            <w:pPr>
              <w:jc w:val="right"/>
              <w:rPr>
                <w:sz w:val="16"/>
                <w:szCs w:val="16"/>
              </w:rPr>
            </w:pPr>
            <w:r w:rsidRPr="006B42D6">
              <w:rPr>
                <w:sz w:val="16"/>
                <w:szCs w:val="16"/>
              </w:rPr>
              <w:t>0.2</w:t>
            </w:r>
          </w:p>
        </w:tc>
      </w:tr>
      <w:tr w:rsidR="006B42D6" w:rsidRPr="006B42D6" w14:paraId="0798D9E6" w14:textId="77777777" w:rsidTr="00143C67">
        <w:trPr>
          <w:trHeight w:hRule="exact" w:val="227"/>
        </w:trPr>
        <w:tc>
          <w:tcPr>
            <w:tcW w:w="1668" w:type="dxa"/>
            <w:tcBorders>
              <w:top w:val="nil"/>
              <w:left w:val="nil"/>
              <w:bottom w:val="nil"/>
              <w:right w:val="nil"/>
            </w:tcBorders>
            <w:shd w:val="clear" w:color="auto" w:fill="auto"/>
            <w:noWrap/>
            <w:vAlign w:val="center"/>
            <w:hideMark/>
          </w:tcPr>
          <w:p w14:paraId="75EBD8F7" w14:textId="77777777" w:rsidR="008A1E55" w:rsidRPr="006B42D6" w:rsidRDefault="008A1E55" w:rsidP="00E16CAE">
            <w:pPr>
              <w:rPr>
                <w:sz w:val="16"/>
                <w:szCs w:val="16"/>
              </w:rPr>
            </w:pPr>
            <w:r w:rsidRPr="006B42D6">
              <w:rPr>
                <w:sz w:val="16"/>
                <w:szCs w:val="16"/>
              </w:rPr>
              <w:t>Dar Es Salaam</w:t>
            </w:r>
          </w:p>
        </w:tc>
        <w:tc>
          <w:tcPr>
            <w:tcW w:w="1031" w:type="dxa"/>
            <w:tcBorders>
              <w:top w:val="nil"/>
              <w:left w:val="nil"/>
              <w:bottom w:val="nil"/>
              <w:right w:val="nil"/>
            </w:tcBorders>
            <w:shd w:val="clear" w:color="auto" w:fill="auto"/>
            <w:noWrap/>
            <w:vAlign w:val="center"/>
            <w:hideMark/>
          </w:tcPr>
          <w:p w14:paraId="73EF75DC" w14:textId="77777777" w:rsidR="008A1E55" w:rsidRPr="006B42D6" w:rsidRDefault="008A1E55" w:rsidP="00E16CAE">
            <w:pPr>
              <w:jc w:val="right"/>
              <w:rPr>
                <w:sz w:val="16"/>
                <w:szCs w:val="16"/>
              </w:rPr>
            </w:pPr>
            <w:r w:rsidRPr="006B42D6">
              <w:rPr>
                <w:sz w:val="16"/>
                <w:szCs w:val="16"/>
              </w:rPr>
              <w:t>19.5</w:t>
            </w:r>
          </w:p>
        </w:tc>
        <w:tc>
          <w:tcPr>
            <w:tcW w:w="800" w:type="dxa"/>
            <w:tcBorders>
              <w:top w:val="nil"/>
              <w:left w:val="nil"/>
              <w:bottom w:val="nil"/>
              <w:right w:val="nil"/>
            </w:tcBorders>
            <w:shd w:val="clear" w:color="auto" w:fill="auto"/>
            <w:noWrap/>
            <w:vAlign w:val="center"/>
            <w:hideMark/>
          </w:tcPr>
          <w:p w14:paraId="44897C1F" w14:textId="77777777" w:rsidR="008A1E55" w:rsidRPr="006B42D6" w:rsidRDefault="008A1E55" w:rsidP="00E16CAE">
            <w:pPr>
              <w:jc w:val="right"/>
              <w:rPr>
                <w:sz w:val="16"/>
                <w:szCs w:val="16"/>
              </w:rPr>
            </w:pPr>
            <w:r w:rsidRPr="006B42D6">
              <w:rPr>
                <w:sz w:val="16"/>
                <w:szCs w:val="16"/>
              </w:rPr>
              <w:t>1.5</w:t>
            </w:r>
          </w:p>
        </w:tc>
        <w:tc>
          <w:tcPr>
            <w:tcW w:w="804" w:type="dxa"/>
            <w:tcBorders>
              <w:top w:val="nil"/>
              <w:left w:val="nil"/>
              <w:bottom w:val="nil"/>
              <w:right w:val="nil"/>
            </w:tcBorders>
            <w:shd w:val="clear" w:color="auto" w:fill="auto"/>
            <w:noWrap/>
            <w:vAlign w:val="center"/>
            <w:hideMark/>
          </w:tcPr>
          <w:p w14:paraId="696B8D32" w14:textId="77777777" w:rsidR="008A1E55" w:rsidRPr="006B42D6" w:rsidRDefault="008A1E55" w:rsidP="00E16CAE">
            <w:pPr>
              <w:jc w:val="right"/>
              <w:rPr>
                <w:sz w:val="16"/>
                <w:szCs w:val="16"/>
              </w:rPr>
            </w:pPr>
            <w:r w:rsidRPr="006B42D6">
              <w:rPr>
                <w:sz w:val="16"/>
                <w:szCs w:val="16"/>
              </w:rPr>
              <w:t>35.2</w:t>
            </w:r>
          </w:p>
        </w:tc>
        <w:tc>
          <w:tcPr>
            <w:tcW w:w="1047" w:type="dxa"/>
            <w:tcBorders>
              <w:top w:val="nil"/>
              <w:left w:val="nil"/>
              <w:bottom w:val="nil"/>
              <w:right w:val="nil"/>
            </w:tcBorders>
            <w:shd w:val="clear" w:color="auto" w:fill="auto"/>
            <w:noWrap/>
            <w:vAlign w:val="center"/>
            <w:hideMark/>
          </w:tcPr>
          <w:p w14:paraId="5E14B27F" w14:textId="77777777" w:rsidR="008A1E55" w:rsidRPr="006B42D6" w:rsidRDefault="008A1E55" w:rsidP="00E16CAE">
            <w:pPr>
              <w:jc w:val="right"/>
              <w:rPr>
                <w:sz w:val="16"/>
                <w:szCs w:val="16"/>
              </w:rPr>
            </w:pPr>
            <w:r w:rsidRPr="006B42D6">
              <w:rPr>
                <w:sz w:val="16"/>
                <w:szCs w:val="16"/>
              </w:rPr>
              <w:t>24.4</w:t>
            </w:r>
          </w:p>
        </w:tc>
        <w:tc>
          <w:tcPr>
            <w:tcW w:w="892" w:type="dxa"/>
            <w:tcBorders>
              <w:top w:val="nil"/>
              <w:left w:val="nil"/>
              <w:bottom w:val="nil"/>
              <w:right w:val="nil"/>
            </w:tcBorders>
            <w:shd w:val="clear" w:color="auto" w:fill="auto"/>
            <w:noWrap/>
            <w:vAlign w:val="center"/>
            <w:hideMark/>
          </w:tcPr>
          <w:p w14:paraId="5B108B3A" w14:textId="77777777" w:rsidR="008A1E55" w:rsidRPr="006B42D6" w:rsidRDefault="008A1E55" w:rsidP="00E16CAE">
            <w:pPr>
              <w:jc w:val="right"/>
              <w:rPr>
                <w:sz w:val="16"/>
                <w:szCs w:val="16"/>
              </w:rPr>
            </w:pPr>
            <w:r w:rsidRPr="006B42D6">
              <w:rPr>
                <w:sz w:val="16"/>
                <w:szCs w:val="16"/>
              </w:rPr>
              <w:t>2.4</w:t>
            </w:r>
          </w:p>
        </w:tc>
        <w:tc>
          <w:tcPr>
            <w:tcW w:w="1197" w:type="dxa"/>
            <w:tcBorders>
              <w:top w:val="nil"/>
              <w:left w:val="nil"/>
              <w:bottom w:val="nil"/>
              <w:right w:val="nil"/>
            </w:tcBorders>
            <w:shd w:val="clear" w:color="auto" w:fill="auto"/>
            <w:noWrap/>
            <w:vAlign w:val="center"/>
            <w:hideMark/>
          </w:tcPr>
          <w:p w14:paraId="24BA08CA" w14:textId="77777777" w:rsidR="008A1E55" w:rsidRPr="006B42D6" w:rsidRDefault="008A1E55" w:rsidP="00E16CAE">
            <w:pPr>
              <w:jc w:val="right"/>
              <w:rPr>
                <w:sz w:val="16"/>
                <w:szCs w:val="16"/>
              </w:rPr>
            </w:pPr>
            <w:r w:rsidRPr="006B42D6">
              <w:rPr>
                <w:sz w:val="16"/>
                <w:szCs w:val="16"/>
              </w:rPr>
              <w:t>1.3</w:t>
            </w:r>
          </w:p>
        </w:tc>
        <w:tc>
          <w:tcPr>
            <w:tcW w:w="853" w:type="dxa"/>
            <w:tcBorders>
              <w:top w:val="nil"/>
              <w:left w:val="nil"/>
              <w:bottom w:val="nil"/>
              <w:right w:val="nil"/>
            </w:tcBorders>
            <w:shd w:val="clear" w:color="auto" w:fill="auto"/>
            <w:noWrap/>
            <w:vAlign w:val="center"/>
            <w:hideMark/>
          </w:tcPr>
          <w:p w14:paraId="0FEFE342" w14:textId="77777777" w:rsidR="008A1E55" w:rsidRPr="006B42D6" w:rsidRDefault="008A1E55" w:rsidP="00E16CAE">
            <w:pPr>
              <w:jc w:val="right"/>
              <w:rPr>
                <w:sz w:val="16"/>
                <w:szCs w:val="16"/>
              </w:rPr>
            </w:pPr>
            <w:r w:rsidRPr="006B42D6">
              <w:rPr>
                <w:sz w:val="16"/>
                <w:szCs w:val="16"/>
              </w:rPr>
              <w:t>46.3</w:t>
            </w:r>
          </w:p>
        </w:tc>
        <w:tc>
          <w:tcPr>
            <w:tcW w:w="1008" w:type="dxa"/>
            <w:tcBorders>
              <w:top w:val="nil"/>
              <w:left w:val="nil"/>
              <w:bottom w:val="nil"/>
              <w:right w:val="nil"/>
            </w:tcBorders>
            <w:shd w:val="clear" w:color="auto" w:fill="auto"/>
            <w:noWrap/>
            <w:vAlign w:val="center"/>
            <w:hideMark/>
          </w:tcPr>
          <w:p w14:paraId="00EE2576" w14:textId="77777777" w:rsidR="008A1E55" w:rsidRPr="006B42D6" w:rsidRDefault="008A1E55" w:rsidP="00E16CAE">
            <w:pPr>
              <w:jc w:val="right"/>
              <w:rPr>
                <w:sz w:val="16"/>
                <w:szCs w:val="16"/>
              </w:rPr>
            </w:pPr>
            <w:r w:rsidRPr="006B42D6">
              <w:rPr>
                <w:sz w:val="16"/>
                <w:szCs w:val="16"/>
              </w:rPr>
              <w:t>1.5</w:t>
            </w:r>
          </w:p>
        </w:tc>
        <w:tc>
          <w:tcPr>
            <w:tcW w:w="1350" w:type="dxa"/>
            <w:tcBorders>
              <w:top w:val="nil"/>
              <w:left w:val="nil"/>
              <w:bottom w:val="nil"/>
              <w:right w:val="nil"/>
            </w:tcBorders>
            <w:shd w:val="clear" w:color="auto" w:fill="auto"/>
            <w:noWrap/>
            <w:vAlign w:val="center"/>
            <w:hideMark/>
          </w:tcPr>
          <w:p w14:paraId="4B1FC21C" w14:textId="77777777" w:rsidR="008A1E55" w:rsidRPr="006B42D6" w:rsidRDefault="008A1E55" w:rsidP="00E16CAE">
            <w:pPr>
              <w:jc w:val="right"/>
              <w:rPr>
                <w:sz w:val="16"/>
                <w:szCs w:val="16"/>
              </w:rPr>
            </w:pPr>
            <w:r w:rsidRPr="006B42D6">
              <w:rPr>
                <w:sz w:val="16"/>
                <w:szCs w:val="16"/>
              </w:rPr>
              <w:t>1.3</w:t>
            </w:r>
          </w:p>
        </w:tc>
        <w:tc>
          <w:tcPr>
            <w:tcW w:w="1594" w:type="dxa"/>
            <w:tcBorders>
              <w:top w:val="nil"/>
              <w:left w:val="nil"/>
              <w:bottom w:val="nil"/>
              <w:right w:val="nil"/>
            </w:tcBorders>
            <w:shd w:val="clear" w:color="auto" w:fill="auto"/>
            <w:noWrap/>
            <w:vAlign w:val="center"/>
            <w:hideMark/>
          </w:tcPr>
          <w:p w14:paraId="1C668664" w14:textId="77777777" w:rsidR="008A1E55" w:rsidRPr="006B42D6" w:rsidRDefault="008A1E55" w:rsidP="00E16CAE">
            <w:pPr>
              <w:jc w:val="right"/>
              <w:rPr>
                <w:sz w:val="16"/>
                <w:szCs w:val="16"/>
              </w:rPr>
            </w:pPr>
            <w:r w:rsidRPr="006B42D6">
              <w:rPr>
                <w:sz w:val="16"/>
                <w:szCs w:val="16"/>
              </w:rPr>
              <w:t>-</w:t>
            </w:r>
          </w:p>
        </w:tc>
        <w:tc>
          <w:tcPr>
            <w:tcW w:w="804" w:type="dxa"/>
            <w:tcBorders>
              <w:top w:val="nil"/>
              <w:left w:val="nil"/>
              <w:bottom w:val="nil"/>
              <w:right w:val="nil"/>
            </w:tcBorders>
            <w:shd w:val="clear" w:color="auto" w:fill="auto"/>
            <w:noWrap/>
            <w:vAlign w:val="center"/>
            <w:hideMark/>
          </w:tcPr>
          <w:p w14:paraId="243E5D95" w14:textId="77777777" w:rsidR="008A1E55" w:rsidRPr="006B42D6" w:rsidRDefault="008A1E55" w:rsidP="00E16CAE">
            <w:pPr>
              <w:jc w:val="right"/>
              <w:rPr>
                <w:sz w:val="16"/>
                <w:szCs w:val="16"/>
              </w:rPr>
            </w:pPr>
            <w:r w:rsidRPr="006B42D6">
              <w:rPr>
                <w:sz w:val="16"/>
                <w:szCs w:val="16"/>
              </w:rPr>
              <w:t>1.6</w:t>
            </w:r>
          </w:p>
        </w:tc>
      </w:tr>
      <w:tr w:rsidR="006B42D6" w:rsidRPr="006B42D6" w14:paraId="6A89820B" w14:textId="77777777" w:rsidTr="00143C67">
        <w:trPr>
          <w:trHeight w:hRule="exact" w:val="227"/>
        </w:trPr>
        <w:tc>
          <w:tcPr>
            <w:tcW w:w="1668" w:type="dxa"/>
            <w:tcBorders>
              <w:top w:val="nil"/>
              <w:left w:val="nil"/>
              <w:bottom w:val="nil"/>
              <w:right w:val="nil"/>
            </w:tcBorders>
            <w:shd w:val="clear" w:color="auto" w:fill="auto"/>
            <w:noWrap/>
            <w:vAlign w:val="center"/>
            <w:hideMark/>
          </w:tcPr>
          <w:p w14:paraId="0DEC0BF3" w14:textId="77777777" w:rsidR="008A1E55" w:rsidRPr="006B42D6" w:rsidRDefault="008A1E55" w:rsidP="00E16CAE">
            <w:pPr>
              <w:rPr>
                <w:sz w:val="16"/>
                <w:szCs w:val="16"/>
              </w:rPr>
            </w:pPr>
            <w:r w:rsidRPr="006B42D6">
              <w:rPr>
                <w:sz w:val="16"/>
                <w:szCs w:val="16"/>
              </w:rPr>
              <w:t>Lindi</w:t>
            </w:r>
          </w:p>
        </w:tc>
        <w:tc>
          <w:tcPr>
            <w:tcW w:w="1031" w:type="dxa"/>
            <w:tcBorders>
              <w:top w:val="nil"/>
              <w:left w:val="nil"/>
              <w:bottom w:val="nil"/>
              <w:right w:val="nil"/>
            </w:tcBorders>
            <w:shd w:val="clear" w:color="auto" w:fill="auto"/>
            <w:noWrap/>
            <w:vAlign w:val="center"/>
            <w:hideMark/>
          </w:tcPr>
          <w:p w14:paraId="33931004" w14:textId="77777777" w:rsidR="008A1E55" w:rsidRPr="006B42D6" w:rsidRDefault="008A1E55" w:rsidP="00E16CAE">
            <w:pPr>
              <w:jc w:val="right"/>
              <w:rPr>
                <w:sz w:val="16"/>
                <w:szCs w:val="16"/>
              </w:rPr>
            </w:pPr>
            <w:r w:rsidRPr="006B42D6">
              <w:rPr>
                <w:sz w:val="16"/>
                <w:szCs w:val="16"/>
              </w:rPr>
              <w:t>1.8</w:t>
            </w:r>
          </w:p>
        </w:tc>
        <w:tc>
          <w:tcPr>
            <w:tcW w:w="800" w:type="dxa"/>
            <w:tcBorders>
              <w:top w:val="nil"/>
              <w:left w:val="nil"/>
              <w:bottom w:val="nil"/>
              <w:right w:val="nil"/>
            </w:tcBorders>
            <w:shd w:val="clear" w:color="auto" w:fill="auto"/>
            <w:noWrap/>
            <w:vAlign w:val="center"/>
            <w:hideMark/>
          </w:tcPr>
          <w:p w14:paraId="2BDA3FC6" w14:textId="77777777" w:rsidR="008A1E55" w:rsidRPr="006B42D6" w:rsidRDefault="008A1E55" w:rsidP="00E16CAE">
            <w:pPr>
              <w:jc w:val="right"/>
              <w:rPr>
                <w:sz w:val="16"/>
                <w:szCs w:val="16"/>
              </w:rPr>
            </w:pPr>
            <w:r w:rsidRPr="006B42D6">
              <w:rPr>
                <w:sz w:val="16"/>
                <w:szCs w:val="16"/>
              </w:rPr>
              <w:t>3.9</w:t>
            </w:r>
          </w:p>
        </w:tc>
        <w:tc>
          <w:tcPr>
            <w:tcW w:w="804" w:type="dxa"/>
            <w:tcBorders>
              <w:top w:val="nil"/>
              <w:left w:val="nil"/>
              <w:bottom w:val="nil"/>
              <w:right w:val="nil"/>
            </w:tcBorders>
            <w:shd w:val="clear" w:color="auto" w:fill="auto"/>
            <w:noWrap/>
            <w:vAlign w:val="center"/>
            <w:hideMark/>
          </w:tcPr>
          <w:p w14:paraId="6ECD4BFE" w14:textId="77777777" w:rsidR="008A1E55" w:rsidRPr="006B42D6" w:rsidRDefault="008A1E55" w:rsidP="00E16CAE">
            <w:pPr>
              <w:jc w:val="right"/>
              <w:rPr>
                <w:sz w:val="16"/>
                <w:szCs w:val="16"/>
              </w:rPr>
            </w:pPr>
            <w:r w:rsidRPr="006B42D6">
              <w:rPr>
                <w:sz w:val="16"/>
                <w:szCs w:val="16"/>
              </w:rPr>
              <w:t>-</w:t>
            </w:r>
          </w:p>
        </w:tc>
        <w:tc>
          <w:tcPr>
            <w:tcW w:w="1047" w:type="dxa"/>
            <w:tcBorders>
              <w:top w:val="nil"/>
              <w:left w:val="nil"/>
              <w:bottom w:val="nil"/>
              <w:right w:val="nil"/>
            </w:tcBorders>
            <w:shd w:val="clear" w:color="auto" w:fill="auto"/>
            <w:noWrap/>
            <w:vAlign w:val="center"/>
            <w:hideMark/>
          </w:tcPr>
          <w:p w14:paraId="54E950E6" w14:textId="77777777" w:rsidR="008A1E55" w:rsidRPr="006B42D6" w:rsidRDefault="008A1E55" w:rsidP="00E16CAE">
            <w:pPr>
              <w:jc w:val="right"/>
              <w:rPr>
                <w:sz w:val="16"/>
                <w:szCs w:val="16"/>
              </w:rPr>
            </w:pPr>
            <w:r w:rsidRPr="006B42D6">
              <w:rPr>
                <w:sz w:val="16"/>
                <w:szCs w:val="16"/>
              </w:rPr>
              <w:t>1.5</w:t>
            </w:r>
          </w:p>
        </w:tc>
        <w:tc>
          <w:tcPr>
            <w:tcW w:w="892" w:type="dxa"/>
            <w:tcBorders>
              <w:top w:val="nil"/>
              <w:left w:val="nil"/>
              <w:bottom w:val="nil"/>
              <w:right w:val="nil"/>
            </w:tcBorders>
            <w:shd w:val="clear" w:color="auto" w:fill="auto"/>
            <w:noWrap/>
            <w:vAlign w:val="center"/>
            <w:hideMark/>
          </w:tcPr>
          <w:p w14:paraId="15D16AB0" w14:textId="77777777" w:rsidR="008A1E55" w:rsidRPr="006B42D6" w:rsidRDefault="008A1E55" w:rsidP="00E16CAE">
            <w:pPr>
              <w:jc w:val="right"/>
              <w:rPr>
                <w:sz w:val="16"/>
                <w:szCs w:val="16"/>
              </w:rPr>
            </w:pPr>
            <w:r w:rsidRPr="006B42D6">
              <w:rPr>
                <w:sz w:val="16"/>
                <w:szCs w:val="16"/>
              </w:rPr>
              <w:t>3.2</w:t>
            </w:r>
          </w:p>
        </w:tc>
        <w:tc>
          <w:tcPr>
            <w:tcW w:w="1197" w:type="dxa"/>
            <w:tcBorders>
              <w:top w:val="nil"/>
              <w:left w:val="nil"/>
              <w:bottom w:val="nil"/>
              <w:right w:val="nil"/>
            </w:tcBorders>
            <w:shd w:val="clear" w:color="auto" w:fill="auto"/>
            <w:noWrap/>
            <w:vAlign w:val="center"/>
            <w:hideMark/>
          </w:tcPr>
          <w:p w14:paraId="1DF6A154" w14:textId="77777777" w:rsidR="008A1E55" w:rsidRPr="006B42D6" w:rsidRDefault="008A1E55" w:rsidP="00E16CAE">
            <w:pPr>
              <w:jc w:val="right"/>
              <w:rPr>
                <w:sz w:val="16"/>
                <w:szCs w:val="16"/>
              </w:rPr>
            </w:pPr>
            <w:r w:rsidRPr="006B42D6">
              <w:rPr>
                <w:sz w:val="16"/>
                <w:szCs w:val="16"/>
              </w:rPr>
              <w:t>2.3</w:t>
            </w:r>
          </w:p>
        </w:tc>
        <w:tc>
          <w:tcPr>
            <w:tcW w:w="853" w:type="dxa"/>
            <w:tcBorders>
              <w:top w:val="nil"/>
              <w:left w:val="nil"/>
              <w:bottom w:val="nil"/>
              <w:right w:val="nil"/>
            </w:tcBorders>
            <w:shd w:val="clear" w:color="auto" w:fill="auto"/>
            <w:noWrap/>
            <w:vAlign w:val="center"/>
            <w:hideMark/>
          </w:tcPr>
          <w:p w14:paraId="1997E09F" w14:textId="77777777" w:rsidR="008A1E55" w:rsidRPr="006B42D6" w:rsidRDefault="008A1E55" w:rsidP="00E16CAE">
            <w:pPr>
              <w:jc w:val="right"/>
              <w:rPr>
                <w:sz w:val="16"/>
                <w:szCs w:val="16"/>
              </w:rPr>
            </w:pPr>
            <w:r w:rsidRPr="006B42D6">
              <w:rPr>
                <w:sz w:val="16"/>
                <w:szCs w:val="16"/>
              </w:rPr>
              <w:t>-</w:t>
            </w:r>
          </w:p>
        </w:tc>
        <w:tc>
          <w:tcPr>
            <w:tcW w:w="1008" w:type="dxa"/>
            <w:tcBorders>
              <w:top w:val="nil"/>
              <w:left w:val="nil"/>
              <w:bottom w:val="nil"/>
              <w:right w:val="nil"/>
            </w:tcBorders>
            <w:shd w:val="clear" w:color="auto" w:fill="auto"/>
            <w:noWrap/>
            <w:vAlign w:val="center"/>
            <w:hideMark/>
          </w:tcPr>
          <w:p w14:paraId="7290E3B7" w14:textId="77777777" w:rsidR="008A1E55" w:rsidRPr="006B42D6" w:rsidRDefault="008A1E55" w:rsidP="00E16CAE">
            <w:pPr>
              <w:jc w:val="right"/>
              <w:rPr>
                <w:sz w:val="16"/>
                <w:szCs w:val="16"/>
              </w:rPr>
            </w:pPr>
            <w:r w:rsidRPr="006B42D6">
              <w:rPr>
                <w:sz w:val="16"/>
                <w:szCs w:val="16"/>
              </w:rPr>
              <w:t>0.8</w:t>
            </w:r>
          </w:p>
        </w:tc>
        <w:tc>
          <w:tcPr>
            <w:tcW w:w="1350" w:type="dxa"/>
            <w:tcBorders>
              <w:top w:val="nil"/>
              <w:left w:val="nil"/>
              <w:bottom w:val="nil"/>
              <w:right w:val="nil"/>
            </w:tcBorders>
            <w:shd w:val="clear" w:color="auto" w:fill="auto"/>
            <w:noWrap/>
            <w:vAlign w:val="center"/>
            <w:hideMark/>
          </w:tcPr>
          <w:p w14:paraId="3B7CC6E9" w14:textId="77777777" w:rsidR="008A1E55" w:rsidRPr="006B42D6" w:rsidRDefault="008A1E55" w:rsidP="00E16CAE">
            <w:pPr>
              <w:jc w:val="right"/>
              <w:rPr>
                <w:sz w:val="16"/>
                <w:szCs w:val="16"/>
              </w:rPr>
            </w:pPr>
            <w:r w:rsidRPr="006B42D6">
              <w:rPr>
                <w:sz w:val="16"/>
                <w:szCs w:val="16"/>
              </w:rPr>
              <w:t>2.4</w:t>
            </w:r>
          </w:p>
        </w:tc>
        <w:tc>
          <w:tcPr>
            <w:tcW w:w="1594" w:type="dxa"/>
            <w:tcBorders>
              <w:top w:val="nil"/>
              <w:left w:val="nil"/>
              <w:bottom w:val="nil"/>
              <w:right w:val="nil"/>
            </w:tcBorders>
            <w:shd w:val="clear" w:color="auto" w:fill="auto"/>
            <w:noWrap/>
            <w:vAlign w:val="center"/>
            <w:hideMark/>
          </w:tcPr>
          <w:p w14:paraId="3CE7B3FC" w14:textId="77777777" w:rsidR="008A1E55" w:rsidRPr="006B42D6" w:rsidRDefault="008A1E55" w:rsidP="00E16CAE">
            <w:pPr>
              <w:jc w:val="right"/>
              <w:rPr>
                <w:sz w:val="16"/>
                <w:szCs w:val="16"/>
              </w:rPr>
            </w:pPr>
            <w:r w:rsidRPr="006B42D6">
              <w:rPr>
                <w:sz w:val="16"/>
                <w:szCs w:val="16"/>
              </w:rPr>
              <w:t>-</w:t>
            </w:r>
          </w:p>
        </w:tc>
        <w:tc>
          <w:tcPr>
            <w:tcW w:w="804" w:type="dxa"/>
            <w:tcBorders>
              <w:top w:val="nil"/>
              <w:left w:val="nil"/>
              <w:bottom w:val="nil"/>
              <w:right w:val="nil"/>
            </w:tcBorders>
            <w:shd w:val="clear" w:color="auto" w:fill="auto"/>
            <w:noWrap/>
            <w:vAlign w:val="center"/>
            <w:hideMark/>
          </w:tcPr>
          <w:p w14:paraId="1FF08E22" w14:textId="77777777" w:rsidR="008A1E55" w:rsidRPr="006B42D6" w:rsidRDefault="008A1E55" w:rsidP="00E16CAE">
            <w:pPr>
              <w:jc w:val="right"/>
              <w:rPr>
                <w:sz w:val="16"/>
                <w:szCs w:val="16"/>
              </w:rPr>
            </w:pPr>
            <w:r w:rsidRPr="006B42D6">
              <w:rPr>
                <w:sz w:val="16"/>
                <w:szCs w:val="16"/>
              </w:rPr>
              <w:t>14.9</w:t>
            </w:r>
          </w:p>
        </w:tc>
      </w:tr>
      <w:tr w:rsidR="006B42D6" w:rsidRPr="006B42D6" w14:paraId="1907BFD5" w14:textId="77777777" w:rsidTr="00143C67">
        <w:trPr>
          <w:trHeight w:hRule="exact" w:val="227"/>
        </w:trPr>
        <w:tc>
          <w:tcPr>
            <w:tcW w:w="1668" w:type="dxa"/>
            <w:tcBorders>
              <w:top w:val="nil"/>
              <w:left w:val="nil"/>
              <w:bottom w:val="nil"/>
              <w:right w:val="nil"/>
            </w:tcBorders>
            <w:shd w:val="clear" w:color="auto" w:fill="auto"/>
            <w:noWrap/>
            <w:vAlign w:val="center"/>
            <w:hideMark/>
          </w:tcPr>
          <w:p w14:paraId="384EDC14" w14:textId="77777777" w:rsidR="008A1E55" w:rsidRPr="006B42D6" w:rsidRDefault="008A1E55" w:rsidP="00E16CAE">
            <w:pPr>
              <w:rPr>
                <w:sz w:val="16"/>
                <w:szCs w:val="16"/>
              </w:rPr>
            </w:pPr>
            <w:r w:rsidRPr="006B42D6">
              <w:rPr>
                <w:sz w:val="16"/>
                <w:szCs w:val="16"/>
              </w:rPr>
              <w:t>Mtwara</w:t>
            </w:r>
          </w:p>
        </w:tc>
        <w:tc>
          <w:tcPr>
            <w:tcW w:w="1031" w:type="dxa"/>
            <w:tcBorders>
              <w:top w:val="nil"/>
              <w:left w:val="nil"/>
              <w:bottom w:val="nil"/>
              <w:right w:val="nil"/>
            </w:tcBorders>
            <w:shd w:val="clear" w:color="auto" w:fill="auto"/>
            <w:noWrap/>
            <w:vAlign w:val="center"/>
            <w:hideMark/>
          </w:tcPr>
          <w:p w14:paraId="445DBD50" w14:textId="77777777" w:rsidR="008A1E55" w:rsidRPr="006B42D6" w:rsidRDefault="008A1E55" w:rsidP="00E16CAE">
            <w:pPr>
              <w:jc w:val="right"/>
              <w:rPr>
                <w:sz w:val="16"/>
                <w:szCs w:val="16"/>
              </w:rPr>
            </w:pPr>
            <w:r w:rsidRPr="006B42D6">
              <w:rPr>
                <w:sz w:val="16"/>
                <w:szCs w:val="16"/>
              </w:rPr>
              <w:t>1.9</w:t>
            </w:r>
          </w:p>
        </w:tc>
        <w:tc>
          <w:tcPr>
            <w:tcW w:w="800" w:type="dxa"/>
            <w:tcBorders>
              <w:top w:val="nil"/>
              <w:left w:val="nil"/>
              <w:bottom w:val="nil"/>
              <w:right w:val="nil"/>
            </w:tcBorders>
            <w:shd w:val="clear" w:color="auto" w:fill="auto"/>
            <w:noWrap/>
            <w:vAlign w:val="center"/>
            <w:hideMark/>
          </w:tcPr>
          <w:p w14:paraId="5B347BEE" w14:textId="77777777" w:rsidR="008A1E55" w:rsidRPr="006B42D6" w:rsidRDefault="008A1E55" w:rsidP="00E16CAE">
            <w:pPr>
              <w:jc w:val="right"/>
              <w:rPr>
                <w:sz w:val="16"/>
                <w:szCs w:val="16"/>
              </w:rPr>
            </w:pPr>
            <w:r w:rsidRPr="006B42D6">
              <w:rPr>
                <w:sz w:val="16"/>
                <w:szCs w:val="16"/>
              </w:rPr>
              <w:t>6.4</w:t>
            </w:r>
          </w:p>
        </w:tc>
        <w:tc>
          <w:tcPr>
            <w:tcW w:w="804" w:type="dxa"/>
            <w:tcBorders>
              <w:top w:val="nil"/>
              <w:left w:val="nil"/>
              <w:bottom w:val="nil"/>
              <w:right w:val="nil"/>
            </w:tcBorders>
            <w:shd w:val="clear" w:color="auto" w:fill="auto"/>
            <w:noWrap/>
            <w:vAlign w:val="center"/>
            <w:hideMark/>
          </w:tcPr>
          <w:p w14:paraId="07833973" w14:textId="77777777" w:rsidR="008A1E55" w:rsidRPr="006B42D6" w:rsidRDefault="008A1E55" w:rsidP="00E16CAE">
            <w:pPr>
              <w:jc w:val="right"/>
              <w:rPr>
                <w:sz w:val="16"/>
                <w:szCs w:val="16"/>
              </w:rPr>
            </w:pPr>
            <w:r w:rsidRPr="006B42D6">
              <w:rPr>
                <w:sz w:val="16"/>
                <w:szCs w:val="16"/>
              </w:rPr>
              <w:t>-</w:t>
            </w:r>
          </w:p>
        </w:tc>
        <w:tc>
          <w:tcPr>
            <w:tcW w:w="1047" w:type="dxa"/>
            <w:tcBorders>
              <w:top w:val="nil"/>
              <w:left w:val="nil"/>
              <w:bottom w:val="nil"/>
              <w:right w:val="nil"/>
            </w:tcBorders>
            <w:shd w:val="clear" w:color="auto" w:fill="auto"/>
            <w:noWrap/>
            <w:vAlign w:val="center"/>
            <w:hideMark/>
          </w:tcPr>
          <w:p w14:paraId="503F980A" w14:textId="77777777" w:rsidR="008A1E55" w:rsidRPr="006B42D6" w:rsidRDefault="008A1E55" w:rsidP="00E16CAE">
            <w:pPr>
              <w:jc w:val="right"/>
              <w:rPr>
                <w:sz w:val="16"/>
                <w:szCs w:val="16"/>
              </w:rPr>
            </w:pPr>
            <w:r w:rsidRPr="006B42D6">
              <w:rPr>
                <w:sz w:val="16"/>
                <w:szCs w:val="16"/>
              </w:rPr>
              <w:t>1.7</w:t>
            </w:r>
          </w:p>
        </w:tc>
        <w:tc>
          <w:tcPr>
            <w:tcW w:w="892" w:type="dxa"/>
            <w:tcBorders>
              <w:top w:val="nil"/>
              <w:left w:val="nil"/>
              <w:bottom w:val="nil"/>
              <w:right w:val="nil"/>
            </w:tcBorders>
            <w:shd w:val="clear" w:color="auto" w:fill="auto"/>
            <w:noWrap/>
            <w:vAlign w:val="center"/>
            <w:hideMark/>
          </w:tcPr>
          <w:p w14:paraId="32B8985E" w14:textId="77777777" w:rsidR="008A1E55" w:rsidRPr="006B42D6" w:rsidRDefault="008A1E55" w:rsidP="00E16CAE">
            <w:pPr>
              <w:jc w:val="right"/>
              <w:rPr>
                <w:sz w:val="16"/>
                <w:szCs w:val="16"/>
              </w:rPr>
            </w:pPr>
            <w:r w:rsidRPr="006B42D6">
              <w:rPr>
                <w:sz w:val="16"/>
                <w:szCs w:val="16"/>
              </w:rPr>
              <w:t>1.9</w:t>
            </w:r>
          </w:p>
        </w:tc>
        <w:tc>
          <w:tcPr>
            <w:tcW w:w="1197" w:type="dxa"/>
            <w:tcBorders>
              <w:top w:val="nil"/>
              <w:left w:val="nil"/>
              <w:bottom w:val="nil"/>
              <w:right w:val="nil"/>
            </w:tcBorders>
            <w:shd w:val="clear" w:color="auto" w:fill="auto"/>
            <w:noWrap/>
            <w:vAlign w:val="center"/>
            <w:hideMark/>
          </w:tcPr>
          <w:p w14:paraId="6EBA14BA" w14:textId="77777777" w:rsidR="008A1E55" w:rsidRPr="006B42D6" w:rsidRDefault="008A1E55" w:rsidP="00E16CAE">
            <w:pPr>
              <w:jc w:val="right"/>
              <w:rPr>
                <w:sz w:val="16"/>
                <w:szCs w:val="16"/>
              </w:rPr>
            </w:pPr>
            <w:r w:rsidRPr="006B42D6">
              <w:rPr>
                <w:sz w:val="16"/>
                <w:szCs w:val="16"/>
              </w:rPr>
              <w:t>2.1</w:t>
            </w:r>
          </w:p>
        </w:tc>
        <w:tc>
          <w:tcPr>
            <w:tcW w:w="853" w:type="dxa"/>
            <w:tcBorders>
              <w:top w:val="nil"/>
              <w:left w:val="nil"/>
              <w:bottom w:val="nil"/>
              <w:right w:val="nil"/>
            </w:tcBorders>
            <w:shd w:val="clear" w:color="auto" w:fill="auto"/>
            <w:noWrap/>
            <w:vAlign w:val="center"/>
            <w:hideMark/>
          </w:tcPr>
          <w:p w14:paraId="73BA27D1" w14:textId="77777777" w:rsidR="008A1E55" w:rsidRPr="006B42D6" w:rsidRDefault="008A1E55" w:rsidP="00E16CAE">
            <w:pPr>
              <w:jc w:val="right"/>
              <w:rPr>
                <w:sz w:val="16"/>
                <w:szCs w:val="16"/>
              </w:rPr>
            </w:pPr>
            <w:r w:rsidRPr="006B42D6">
              <w:rPr>
                <w:sz w:val="16"/>
                <w:szCs w:val="16"/>
              </w:rPr>
              <w:t>0.7</w:t>
            </w:r>
          </w:p>
        </w:tc>
        <w:tc>
          <w:tcPr>
            <w:tcW w:w="1008" w:type="dxa"/>
            <w:tcBorders>
              <w:top w:val="nil"/>
              <w:left w:val="nil"/>
              <w:bottom w:val="nil"/>
              <w:right w:val="nil"/>
            </w:tcBorders>
            <w:shd w:val="clear" w:color="auto" w:fill="auto"/>
            <w:noWrap/>
            <w:vAlign w:val="center"/>
            <w:hideMark/>
          </w:tcPr>
          <w:p w14:paraId="47966DB1" w14:textId="77777777" w:rsidR="008A1E55" w:rsidRPr="006B42D6" w:rsidRDefault="008A1E55" w:rsidP="00E16CAE">
            <w:pPr>
              <w:jc w:val="right"/>
              <w:rPr>
                <w:sz w:val="16"/>
                <w:szCs w:val="16"/>
              </w:rPr>
            </w:pPr>
            <w:r w:rsidRPr="006B42D6">
              <w:rPr>
                <w:sz w:val="16"/>
                <w:szCs w:val="16"/>
              </w:rPr>
              <w:t>7.1</w:t>
            </w:r>
          </w:p>
        </w:tc>
        <w:tc>
          <w:tcPr>
            <w:tcW w:w="1350" w:type="dxa"/>
            <w:tcBorders>
              <w:top w:val="nil"/>
              <w:left w:val="nil"/>
              <w:bottom w:val="nil"/>
              <w:right w:val="nil"/>
            </w:tcBorders>
            <w:shd w:val="clear" w:color="auto" w:fill="auto"/>
            <w:noWrap/>
            <w:vAlign w:val="center"/>
            <w:hideMark/>
          </w:tcPr>
          <w:p w14:paraId="70FB0760" w14:textId="77777777" w:rsidR="008A1E55" w:rsidRPr="006B42D6" w:rsidRDefault="008A1E55" w:rsidP="00E16CAE">
            <w:pPr>
              <w:jc w:val="right"/>
              <w:rPr>
                <w:sz w:val="16"/>
                <w:szCs w:val="16"/>
              </w:rPr>
            </w:pPr>
            <w:r w:rsidRPr="006B42D6">
              <w:rPr>
                <w:sz w:val="16"/>
                <w:szCs w:val="16"/>
              </w:rPr>
              <w:t>2.5</w:t>
            </w:r>
          </w:p>
        </w:tc>
        <w:tc>
          <w:tcPr>
            <w:tcW w:w="1594" w:type="dxa"/>
            <w:tcBorders>
              <w:top w:val="nil"/>
              <w:left w:val="nil"/>
              <w:bottom w:val="nil"/>
              <w:right w:val="nil"/>
            </w:tcBorders>
            <w:shd w:val="clear" w:color="auto" w:fill="auto"/>
            <w:noWrap/>
            <w:vAlign w:val="center"/>
            <w:hideMark/>
          </w:tcPr>
          <w:p w14:paraId="6956D32D" w14:textId="77777777" w:rsidR="008A1E55" w:rsidRPr="006B42D6" w:rsidRDefault="008A1E55" w:rsidP="00E16CAE">
            <w:pPr>
              <w:jc w:val="right"/>
              <w:rPr>
                <w:sz w:val="16"/>
                <w:szCs w:val="16"/>
              </w:rPr>
            </w:pPr>
            <w:r w:rsidRPr="006B42D6">
              <w:rPr>
                <w:sz w:val="16"/>
                <w:szCs w:val="16"/>
              </w:rPr>
              <w:t>2.8</w:t>
            </w:r>
          </w:p>
        </w:tc>
        <w:tc>
          <w:tcPr>
            <w:tcW w:w="804" w:type="dxa"/>
            <w:tcBorders>
              <w:top w:val="nil"/>
              <w:left w:val="nil"/>
              <w:bottom w:val="nil"/>
              <w:right w:val="nil"/>
            </w:tcBorders>
            <w:shd w:val="clear" w:color="auto" w:fill="auto"/>
            <w:noWrap/>
            <w:vAlign w:val="center"/>
            <w:hideMark/>
          </w:tcPr>
          <w:p w14:paraId="42F0555E" w14:textId="77777777" w:rsidR="008A1E55" w:rsidRPr="006B42D6" w:rsidRDefault="008A1E55" w:rsidP="00E16CAE">
            <w:pPr>
              <w:jc w:val="right"/>
              <w:rPr>
                <w:sz w:val="16"/>
                <w:szCs w:val="16"/>
              </w:rPr>
            </w:pPr>
            <w:r w:rsidRPr="006B42D6">
              <w:rPr>
                <w:sz w:val="16"/>
                <w:szCs w:val="16"/>
              </w:rPr>
              <w:t>0.8</w:t>
            </w:r>
          </w:p>
        </w:tc>
      </w:tr>
      <w:tr w:rsidR="006B42D6" w:rsidRPr="006B42D6" w14:paraId="46A23078" w14:textId="77777777" w:rsidTr="00143C67">
        <w:trPr>
          <w:trHeight w:hRule="exact" w:val="227"/>
        </w:trPr>
        <w:tc>
          <w:tcPr>
            <w:tcW w:w="1668" w:type="dxa"/>
            <w:tcBorders>
              <w:top w:val="nil"/>
              <w:left w:val="nil"/>
              <w:bottom w:val="nil"/>
              <w:right w:val="nil"/>
            </w:tcBorders>
            <w:shd w:val="clear" w:color="auto" w:fill="auto"/>
            <w:noWrap/>
            <w:vAlign w:val="center"/>
            <w:hideMark/>
          </w:tcPr>
          <w:p w14:paraId="59570932" w14:textId="77777777" w:rsidR="008A1E55" w:rsidRPr="006B42D6" w:rsidRDefault="008A1E55" w:rsidP="00E16CAE">
            <w:pPr>
              <w:rPr>
                <w:sz w:val="16"/>
                <w:szCs w:val="16"/>
              </w:rPr>
            </w:pPr>
            <w:r w:rsidRPr="006B42D6">
              <w:rPr>
                <w:sz w:val="16"/>
                <w:szCs w:val="16"/>
              </w:rPr>
              <w:t>Ruvuma</w:t>
            </w:r>
          </w:p>
        </w:tc>
        <w:tc>
          <w:tcPr>
            <w:tcW w:w="1031" w:type="dxa"/>
            <w:tcBorders>
              <w:top w:val="nil"/>
              <w:left w:val="nil"/>
              <w:bottom w:val="nil"/>
              <w:right w:val="nil"/>
            </w:tcBorders>
            <w:shd w:val="clear" w:color="auto" w:fill="auto"/>
            <w:noWrap/>
            <w:vAlign w:val="center"/>
            <w:hideMark/>
          </w:tcPr>
          <w:p w14:paraId="7B08B38E" w14:textId="77777777" w:rsidR="008A1E55" w:rsidRPr="006B42D6" w:rsidRDefault="008A1E55" w:rsidP="00E16CAE">
            <w:pPr>
              <w:jc w:val="right"/>
              <w:rPr>
                <w:sz w:val="16"/>
                <w:szCs w:val="16"/>
              </w:rPr>
            </w:pPr>
            <w:r w:rsidRPr="006B42D6">
              <w:rPr>
                <w:sz w:val="16"/>
                <w:szCs w:val="16"/>
              </w:rPr>
              <w:t>3.5</w:t>
            </w:r>
          </w:p>
        </w:tc>
        <w:tc>
          <w:tcPr>
            <w:tcW w:w="800" w:type="dxa"/>
            <w:tcBorders>
              <w:top w:val="nil"/>
              <w:left w:val="nil"/>
              <w:bottom w:val="nil"/>
              <w:right w:val="nil"/>
            </w:tcBorders>
            <w:shd w:val="clear" w:color="auto" w:fill="auto"/>
            <w:noWrap/>
            <w:vAlign w:val="center"/>
            <w:hideMark/>
          </w:tcPr>
          <w:p w14:paraId="17DD3A1C" w14:textId="77777777" w:rsidR="008A1E55" w:rsidRPr="006B42D6" w:rsidRDefault="008A1E55" w:rsidP="00E16CAE">
            <w:pPr>
              <w:jc w:val="right"/>
              <w:rPr>
                <w:sz w:val="16"/>
                <w:szCs w:val="16"/>
              </w:rPr>
            </w:pPr>
            <w:r w:rsidRPr="006B42D6">
              <w:rPr>
                <w:sz w:val="16"/>
                <w:szCs w:val="16"/>
              </w:rPr>
              <w:t>6.2</w:t>
            </w:r>
          </w:p>
        </w:tc>
        <w:tc>
          <w:tcPr>
            <w:tcW w:w="804" w:type="dxa"/>
            <w:tcBorders>
              <w:top w:val="nil"/>
              <w:left w:val="nil"/>
              <w:bottom w:val="nil"/>
              <w:right w:val="nil"/>
            </w:tcBorders>
            <w:shd w:val="clear" w:color="auto" w:fill="auto"/>
            <w:noWrap/>
            <w:vAlign w:val="center"/>
            <w:hideMark/>
          </w:tcPr>
          <w:p w14:paraId="1D0B10D3" w14:textId="77777777" w:rsidR="008A1E55" w:rsidRPr="006B42D6" w:rsidRDefault="008A1E55" w:rsidP="00E16CAE">
            <w:pPr>
              <w:jc w:val="right"/>
              <w:rPr>
                <w:sz w:val="16"/>
                <w:szCs w:val="16"/>
              </w:rPr>
            </w:pPr>
            <w:r w:rsidRPr="006B42D6">
              <w:rPr>
                <w:sz w:val="16"/>
                <w:szCs w:val="16"/>
              </w:rPr>
              <w:t>11.2</w:t>
            </w:r>
          </w:p>
        </w:tc>
        <w:tc>
          <w:tcPr>
            <w:tcW w:w="1047" w:type="dxa"/>
            <w:tcBorders>
              <w:top w:val="nil"/>
              <w:left w:val="nil"/>
              <w:bottom w:val="nil"/>
              <w:right w:val="nil"/>
            </w:tcBorders>
            <w:shd w:val="clear" w:color="auto" w:fill="auto"/>
            <w:noWrap/>
            <w:vAlign w:val="center"/>
            <w:hideMark/>
          </w:tcPr>
          <w:p w14:paraId="4C914186" w14:textId="77777777" w:rsidR="008A1E55" w:rsidRPr="006B42D6" w:rsidRDefault="008A1E55" w:rsidP="00E16CAE">
            <w:pPr>
              <w:jc w:val="right"/>
              <w:rPr>
                <w:sz w:val="16"/>
                <w:szCs w:val="16"/>
              </w:rPr>
            </w:pPr>
            <w:r w:rsidRPr="006B42D6">
              <w:rPr>
                <w:sz w:val="16"/>
                <w:szCs w:val="16"/>
              </w:rPr>
              <w:t>2.2</w:t>
            </w:r>
          </w:p>
        </w:tc>
        <w:tc>
          <w:tcPr>
            <w:tcW w:w="892" w:type="dxa"/>
            <w:tcBorders>
              <w:top w:val="nil"/>
              <w:left w:val="nil"/>
              <w:bottom w:val="nil"/>
              <w:right w:val="nil"/>
            </w:tcBorders>
            <w:shd w:val="clear" w:color="auto" w:fill="auto"/>
            <w:noWrap/>
            <w:vAlign w:val="center"/>
            <w:hideMark/>
          </w:tcPr>
          <w:p w14:paraId="7B8B8778" w14:textId="77777777" w:rsidR="008A1E55" w:rsidRPr="006B42D6" w:rsidRDefault="008A1E55" w:rsidP="00E16CAE">
            <w:pPr>
              <w:jc w:val="right"/>
              <w:rPr>
                <w:sz w:val="16"/>
                <w:szCs w:val="16"/>
              </w:rPr>
            </w:pPr>
            <w:r w:rsidRPr="006B42D6">
              <w:rPr>
                <w:sz w:val="16"/>
                <w:szCs w:val="16"/>
              </w:rPr>
              <w:t>0.7</w:t>
            </w:r>
          </w:p>
        </w:tc>
        <w:tc>
          <w:tcPr>
            <w:tcW w:w="1197" w:type="dxa"/>
            <w:tcBorders>
              <w:top w:val="nil"/>
              <w:left w:val="nil"/>
              <w:bottom w:val="nil"/>
              <w:right w:val="nil"/>
            </w:tcBorders>
            <w:shd w:val="clear" w:color="auto" w:fill="auto"/>
            <w:noWrap/>
            <w:vAlign w:val="center"/>
            <w:hideMark/>
          </w:tcPr>
          <w:p w14:paraId="32D905F9" w14:textId="77777777" w:rsidR="008A1E55" w:rsidRPr="006B42D6" w:rsidRDefault="008A1E55" w:rsidP="00E16CAE">
            <w:pPr>
              <w:jc w:val="right"/>
              <w:rPr>
                <w:sz w:val="16"/>
                <w:szCs w:val="16"/>
              </w:rPr>
            </w:pPr>
            <w:r w:rsidRPr="006B42D6">
              <w:rPr>
                <w:sz w:val="16"/>
                <w:szCs w:val="16"/>
              </w:rPr>
              <w:t>0.2</w:t>
            </w:r>
          </w:p>
        </w:tc>
        <w:tc>
          <w:tcPr>
            <w:tcW w:w="853" w:type="dxa"/>
            <w:tcBorders>
              <w:top w:val="nil"/>
              <w:left w:val="nil"/>
              <w:bottom w:val="nil"/>
              <w:right w:val="nil"/>
            </w:tcBorders>
            <w:shd w:val="clear" w:color="auto" w:fill="auto"/>
            <w:noWrap/>
            <w:vAlign w:val="center"/>
            <w:hideMark/>
          </w:tcPr>
          <w:p w14:paraId="4AC6F334" w14:textId="77777777" w:rsidR="008A1E55" w:rsidRPr="006B42D6" w:rsidRDefault="008A1E55" w:rsidP="00E16CAE">
            <w:pPr>
              <w:jc w:val="right"/>
              <w:rPr>
                <w:sz w:val="16"/>
                <w:szCs w:val="16"/>
              </w:rPr>
            </w:pPr>
            <w:r w:rsidRPr="006B42D6">
              <w:rPr>
                <w:sz w:val="16"/>
                <w:szCs w:val="16"/>
              </w:rPr>
              <w:t>1.6</w:t>
            </w:r>
          </w:p>
        </w:tc>
        <w:tc>
          <w:tcPr>
            <w:tcW w:w="1008" w:type="dxa"/>
            <w:tcBorders>
              <w:top w:val="nil"/>
              <w:left w:val="nil"/>
              <w:bottom w:val="nil"/>
              <w:right w:val="nil"/>
            </w:tcBorders>
            <w:shd w:val="clear" w:color="auto" w:fill="auto"/>
            <w:noWrap/>
            <w:vAlign w:val="center"/>
            <w:hideMark/>
          </w:tcPr>
          <w:p w14:paraId="4D6CF23F" w14:textId="77777777" w:rsidR="008A1E55" w:rsidRPr="006B42D6" w:rsidRDefault="008A1E55" w:rsidP="00E16CAE">
            <w:pPr>
              <w:jc w:val="right"/>
              <w:rPr>
                <w:sz w:val="16"/>
                <w:szCs w:val="16"/>
              </w:rPr>
            </w:pPr>
            <w:r w:rsidRPr="006B42D6">
              <w:rPr>
                <w:sz w:val="16"/>
                <w:szCs w:val="16"/>
              </w:rPr>
              <w:t>4.2</w:t>
            </w:r>
          </w:p>
        </w:tc>
        <w:tc>
          <w:tcPr>
            <w:tcW w:w="1350" w:type="dxa"/>
            <w:tcBorders>
              <w:top w:val="nil"/>
              <w:left w:val="nil"/>
              <w:bottom w:val="nil"/>
              <w:right w:val="nil"/>
            </w:tcBorders>
            <w:shd w:val="clear" w:color="auto" w:fill="auto"/>
            <w:noWrap/>
            <w:vAlign w:val="center"/>
            <w:hideMark/>
          </w:tcPr>
          <w:p w14:paraId="67964B5A" w14:textId="77777777" w:rsidR="008A1E55" w:rsidRPr="006B42D6" w:rsidRDefault="008A1E55" w:rsidP="00E16CAE">
            <w:pPr>
              <w:jc w:val="right"/>
              <w:rPr>
                <w:sz w:val="16"/>
                <w:szCs w:val="16"/>
              </w:rPr>
            </w:pPr>
            <w:r w:rsidRPr="006B42D6">
              <w:rPr>
                <w:sz w:val="16"/>
                <w:szCs w:val="16"/>
              </w:rPr>
              <w:t>3.3</w:t>
            </w:r>
          </w:p>
        </w:tc>
        <w:tc>
          <w:tcPr>
            <w:tcW w:w="1594" w:type="dxa"/>
            <w:tcBorders>
              <w:top w:val="nil"/>
              <w:left w:val="nil"/>
              <w:bottom w:val="nil"/>
              <w:right w:val="nil"/>
            </w:tcBorders>
            <w:shd w:val="clear" w:color="auto" w:fill="auto"/>
            <w:noWrap/>
            <w:vAlign w:val="center"/>
            <w:hideMark/>
          </w:tcPr>
          <w:p w14:paraId="0BD5AE30" w14:textId="77777777" w:rsidR="008A1E55" w:rsidRPr="006B42D6" w:rsidRDefault="008A1E55" w:rsidP="00E16CAE">
            <w:pPr>
              <w:jc w:val="right"/>
              <w:rPr>
                <w:sz w:val="16"/>
                <w:szCs w:val="16"/>
              </w:rPr>
            </w:pPr>
            <w:r w:rsidRPr="006B42D6">
              <w:rPr>
                <w:sz w:val="16"/>
                <w:szCs w:val="16"/>
              </w:rPr>
              <w:t>-</w:t>
            </w:r>
          </w:p>
        </w:tc>
        <w:tc>
          <w:tcPr>
            <w:tcW w:w="804" w:type="dxa"/>
            <w:tcBorders>
              <w:top w:val="nil"/>
              <w:left w:val="nil"/>
              <w:bottom w:val="nil"/>
              <w:right w:val="nil"/>
            </w:tcBorders>
            <w:shd w:val="clear" w:color="auto" w:fill="auto"/>
            <w:noWrap/>
            <w:vAlign w:val="center"/>
            <w:hideMark/>
          </w:tcPr>
          <w:p w14:paraId="1F882FE5" w14:textId="77777777" w:rsidR="008A1E55" w:rsidRPr="006B42D6" w:rsidRDefault="008A1E55" w:rsidP="00E16CAE">
            <w:pPr>
              <w:jc w:val="right"/>
              <w:rPr>
                <w:sz w:val="16"/>
                <w:szCs w:val="16"/>
              </w:rPr>
            </w:pPr>
            <w:r w:rsidRPr="006B42D6">
              <w:rPr>
                <w:sz w:val="16"/>
                <w:szCs w:val="16"/>
              </w:rPr>
              <w:t>4.7</w:t>
            </w:r>
          </w:p>
        </w:tc>
      </w:tr>
      <w:tr w:rsidR="006B42D6" w:rsidRPr="006B42D6" w14:paraId="398FFA0D" w14:textId="77777777" w:rsidTr="00143C67">
        <w:trPr>
          <w:trHeight w:hRule="exact" w:val="227"/>
        </w:trPr>
        <w:tc>
          <w:tcPr>
            <w:tcW w:w="1668" w:type="dxa"/>
            <w:tcBorders>
              <w:top w:val="nil"/>
              <w:left w:val="nil"/>
              <w:bottom w:val="nil"/>
              <w:right w:val="nil"/>
            </w:tcBorders>
            <w:shd w:val="clear" w:color="auto" w:fill="auto"/>
            <w:noWrap/>
            <w:vAlign w:val="center"/>
            <w:hideMark/>
          </w:tcPr>
          <w:p w14:paraId="572A41FC" w14:textId="77777777" w:rsidR="008A1E55" w:rsidRPr="006B42D6" w:rsidRDefault="008A1E55" w:rsidP="00E16CAE">
            <w:pPr>
              <w:rPr>
                <w:sz w:val="16"/>
                <w:szCs w:val="16"/>
              </w:rPr>
            </w:pPr>
            <w:r w:rsidRPr="006B42D6">
              <w:rPr>
                <w:sz w:val="16"/>
                <w:szCs w:val="16"/>
              </w:rPr>
              <w:t>Iringa</w:t>
            </w:r>
          </w:p>
        </w:tc>
        <w:tc>
          <w:tcPr>
            <w:tcW w:w="1031" w:type="dxa"/>
            <w:tcBorders>
              <w:top w:val="nil"/>
              <w:left w:val="nil"/>
              <w:bottom w:val="nil"/>
              <w:right w:val="nil"/>
            </w:tcBorders>
            <w:shd w:val="clear" w:color="auto" w:fill="auto"/>
            <w:noWrap/>
            <w:vAlign w:val="center"/>
            <w:hideMark/>
          </w:tcPr>
          <w:p w14:paraId="0B324AF3" w14:textId="77777777" w:rsidR="008A1E55" w:rsidRPr="006B42D6" w:rsidRDefault="008A1E55" w:rsidP="00E16CAE">
            <w:pPr>
              <w:jc w:val="right"/>
              <w:rPr>
                <w:sz w:val="16"/>
                <w:szCs w:val="16"/>
              </w:rPr>
            </w:pPr>
            <w:r w:rsidRPr="006B42D6">
              <w:rPr>
                <w:sz w:val="16"/>
                <w:szCs w:val="16"/>
              </w:rPr>
              <w:t>3.4</w:t>
            </w:r>
          </w:p>
        </w:tc>
        <w:tc>
          <w:tcPr>
            <w:tcW w:w="800" w:type="dxa"/>
            <w:tcBorders>
              <w:top w:val="nil"/>
              <w:left w:val="nil"/>
              <w:bottom w:val="nil"/>
              <w:right w:val="nil"/>
            </w:tcBorders>
            <w:shd w:val="clear" w:color="auto" w:fill="auto"/>
            <w:noWrap/>
            <w:vAlign w:val="center"/>
            <w:hideMark/>
          </w:tcPr>
          <w:p w14:paraId="2371FD0F" w14:textId="77777777" w:rsidR="008A1E55" w:rsidRPr="006B42D6" w:rsidRDefault="008A1E55" w:rsidP="00E16CAE">
            <w:pPr>
              <w:jc w:val="right"/>
              <w:rPr>
                <w:sz w:val="16"/>
                <w:szCs w:val="16"/>
              </w:rPr>
            </w:pPr>
            <w:r w:rsidRPr="006B42D6">
              <w:rPr>
                <w:sz w:val="16"/>
                <w:szCs w:val="16"/>
              </w:rPr>
              <w:t>3.0</w:t>
            </w:r>
          </w:p>
        </w:tc>
        <w:tc>
          <w:tcPr>
            <w:tcW w:w="804" w:type="dxa"/>
            <w:tcBorders>
              <w:top w:val="nil"/>
              <w:left w:val="nil"/>
              <w:bottom w:val="nil"/>
              <w:right w:val="nil"/>
            </w:tcBorders>
            <w:shd w:val="clear" w:color="auto" w:fill="auto"/>
            <w:noWrap/>
            <w:vAlign w:val="center"/>
            <w:hideMark/>
          </w:tcPr>
          <w:p w14:paraId="6705E570" w14:textId="77777777" w:rsidR="008A1E55" w:rsidRPr="006B42D6" w:rsidRDefault="008A1E55" w:rsidP="00E16CAE">
            <w:pPr>
              <w:jc w:val="right"/>
              <w:rPr>
                <w:sz w:val="16"/>
                <w:szCs w:val="16"/>
              </w:rPr>
            </w:pPr>
            <w:r w:rsidRPr="006B42D6">
              <w:rPr>
                <w:sz w:val="16"/>
                <w:szCs w:val="16"/>
              </w:rPr>
              <w:t>-</w:t>
            </w:r>
          </w:p>
        </w:tc>
        <w:tc>
          <w:tcPr>
            <w:tcW w:w="1047" w:type="dxa"/>
            <w:tcBorders>
              <w:top w:val="nil"/>
              <w:left w:val="nil"/>
              <w:bottom w:val="nil"/>
              <w:right w:val="nil"/>
            </w:tcBorders>
            <w:shd w:val="clear" w:color="auto" w:fill="auto"/>
            <w:noWrap/>
            <w:vAlign w:val="center"/>
            <w:hideMark/>
          </w:tcPr>
          <w:p w14:paraId="683FF458" w14:textId="77777777" w:rsidR="008A1E55" w:rsidRPr="006B42D6" w:rsidRDefault="008A1E55" w:rsidP="00E16CAE">
            <w:pPr>
              <w:jc w:val="right"/>
              <w:rPr>
                <w:sz w:val="16"/>
                <w:szCs w:val="16"/>
              </w:rPr>
            </w:pPr>
            <w:r w:rsidRPr="006B42D6">
              <w:rPr>
                <w:sz w:val="16"/>
                <w:szCs w:val="16"/>
              </w:rPr>
              <w:t>6.7</w:t>
            </w:r>
          </w:p>
        </w:tc>
        <w:tc>
          <w:tcPr>
            <w:tcW w:w="892" w:type="dxa"/>
            <w:tcBorders>
              <w:top w:val="nil"/>
              <w:left w:val="nil"/>
              <w:bottom w:val="nil"/>
              <w:right w:val="nil"/>
            </w:tcBorders>
            <w:shd w:val="clear" w:color="auto" w:fill="auto"/>
            <w:noWrap/>
            <w:vAlign w:val="center"/>
            <w:hideMark/>
          </w:tcPr>
          <w:p w14:paraId="788DBB11" w14:textId="77777777" w:rsidR="008A1E55" w:rsidRPr="006B42D6" w:rsidRDefault="008A1E55" w:rsidP="00E16CAE">
            <w:pPr>
              <w:jc w:val="right"/>
              <w:rPr>
                <w:sz w:val="16"/>
                <w:szCs w:val="16"/>
              </w:rPr>
            </w:pPr>
            <w:r w:rsidRPr="006B42D6">
              <w:rPr>
                <w:sz w:val="16"/>
                <w:szCs w:val="16"/>
              </w:rPr>
              <w:t>-</w:t>
            </w:r>
          </w:p>
        </w:tc>
        <w:tc>
          <w:tcPr>
            <w:tcW w:w="1197" w:type="dxa"/>
            <w:tcBorders>
              <w:top w:val="nil"/>
              <w:left w:val="nil"/>
              <w:bottom w:val="nil"/>
              <w:right w:val="nil"/>
            </w:tcBorders>
            <w:shd w:val="clear" w:color="auto" w:fill="auto"/>
            <w:noWrap/>
            <w:vAlign w:val="center"/>
            <w:hideMark/>
          </w:tcPr>
          <w:p w14:paraId="704E78FA" w14:textId="77777777" w:rsidR="008A1E55" w:rsidRPr="006B42D6" w:rsidRDefault="008A1E55" w:rsidP="00E16CAE">
            <w:pPr>
              <w:jc w:val="right"/>
              <w:rPr>
                <w:sz w:val="16"/>
                <w:szCs w:val="16"/>
              </w:rPr>
            </w:pPr>
            <w:r w:rsidRPr="006B42D6">
              <w:rPr>
                <w:sz w:val="16"/>
                <w:szCs w:val="16"/>
              </w:rPr>
              <w:t>1.6</w:t>
            </w:r>
          </w:p>
        </w:tc>
        <w:tc>
          <w:tcPr>
            <w:tcW w:w="853" w:type="dxa"/>
            <w:tcBorders>
              <w:top w:val="nil"/>
              <w:left w:val="nil"/>
              <w:bottom w:val="nil"/>
              <w:right w:val="nil"/>
            </w:tcBorders>
            <w:shd w:val="clear" w:color="auto" w:fill="auto"/>
            <w:noWrap/>
            <w:vAlign w:val="center"/>
            <w:hideMark/>
          </w:tcPr>
          <w:p w14:paraId="0D840E20" w14:textId="77777777" w:rsidR="008A1E55" w:rsidRPr="006B42D6" w:rsidRDefault="008A1E55" w:rsidP="00E16CAE">
            <w:pPr>
              <w:jc w:val="right"/>
              <w:rPr>
                <w:sz w:val="16"/>
                <w:szCs w:val="16"/>
              </w:rPr>
            </w:pPr>
            <w:r w:rsidRPr="006B42D6">
              <w:rPr>
                <w:sz w:val="16"/>
                <w:szCs w:val="16"/>
              </w:rPr>
              <w:t>8.9</w:t>
            </w:r>
          </w:p>
        </w:tc>
        <w:tc>
          <w:tcPr>
            <w:tcW w:w="1008" w:type="dxa"/>
            <w:tcBorders>
              <w:top w:val="nil"/>
              <w:left w:val="nil"/>
              <w:bottom w:val="nil"/>
              <w:right w:val="nil"/>
            </w:tcBorders>
            <w:shd w:val="clear" w:color="auto" w:fill="auto"/>
            <w:noWrap/>
            <w:vAlign w:val="center"/>
            <w:hideMark/>
          </w:tcPr>
          <w:p w14:paraId="1E1EAC7B" w14:textId="77777777" w:rsidR="008A1E55" w:rsidRPr="006B42D6" w:rsidRDefault="008A1E55" w:rsidP="00E16CAE">
            <w:pPr>
              <w:jc w:val="right"/>
              <w:rPr>
                <w:sz w:val="16"/>
                <w:szCs w:val="16"/>
              </w:rPr>
            </w:pPr>
            <w:r w:rsidRPr="006B42D6">
              <w:rPr>
                <w:sz w:val="16"/>
                <w:szCs w:val="16"/>
              </w:rPr>
              <w:t>2.8</w:t>
            </w:r>
          </w:p>
        </w:tc>
        <w:tc>
          <w:tcPr>
            <w:tcW w:w="1350" w:type="dxa"/>
            <w:tcBorders>
              <w:top w:val="nil"/>
              <w:left w:val="nil"/>
              <w:bottom w:val="nil"/>
              <w:right w:val="nil"/>
            </w:tcBorders>
            <w:shd w:val="clear" w:color="auto" w:fill="auto"/>
            <w:noWrap/>
            <w:vAlign w:val="center"/>
            <w:hideMark/>
          </w:tcPr>
          <w:p w14:paraId="19CBAFC5" w14:textId="77777777" w:rsidR="008A1E55" w:rsidRPr="006B42D6" w:rsidRDefault="008A1E55" w:rsidP="00E16CAE">
            <w:pPr>
              <w:jc w:val="right"/>
              <w:rPr>
                <w:sz w:val="16"/>
                <w:szCs w:val="16"/>
              </w:rPr>
            </w:pPr>
            <w:r w:rsidRPr="006B42D6">
              <w:rPr>
                <w:sz w:val="16"/>
                <w:szCs w:val="16"/>
              </w:rPr>
              <w:t>1.9</w:t>
            </w:r>
          </w:p>
        </w:tc>
        <w:tc>
          <w:tcPr>
            <w:tcW w:w="1594" w:type="dxa"/>
            <w:tcBorders>
              <w:top w:val="nil"/>
              <w:left w:val="nil"/>
              <w:bottom w:val="nil"/>
              <w:right w:val="nil"/>
            </w:tcBorders>
            <w:shd w:val="clear" w:color="auto" w:fill="auto"/>
            <w:noWrap/>
            <w:vAlign w:val="center"/>
            <w:hideMark/>
          </w:tcPr>
          <w:p w14:paraId="3622DE2D" w14:textId="77777777" w:rsidR="008A1E55" w:rsidRPr="006B42D6" w:rsidRDefault="008A1E55" w:rsidP="00E16CAE">
            <w:pPr>
              <w:jc w:val="right"/>
              <w:rPr>
                <w:sz w:val="16"/>
                <w:szCs w:val="16"/>
              </w:rPr>
            </w:pPr>
            <w:r w:rsidRPr="006B42D6">
              <w:rPr>
                <w:sz w:val="16"/>
                <w:szCs w:val="16"/>
              </w:rPr>
              <w:t>-</w:t>
            </w:r>
          </w:p>
        </w:tc>
        <w:tc>
          <w:tcPr>
            <w:tcW w:w="804" w:type="dxa"/>
            <w:tcBorders>
              <w:top w:val="nil"/>
              <w:left w:val="nil"/>
              <w:bottom w:val="nil"/>
              <w:right w:val="nil"/>
            </w:tcBorders>
            <w:shd w:val="clear" w:color="auto" w:fill="auto"/>
            <w:noWrap/>
            <w:vAlign w:val="center"/>
            <w:hideMark/>
          </w:tcPr>
          <w:p w14:paraId="72B2345E" w14:textId="77777777" w:rsidR="008A1E55" w:rsidRPr="006B42D6" w:rsidRDefault="008A1E55" w:rsidP="00E16CAE">
            <w:pPr>
              <w:jc w:val="right"/>
              <w:rPr>
                <w:sz w:val="16"/>
                <w:szCs w:val="16"/>
              </w:rPr>
            </w:pPr>
            <w:r w:rsidRPr="006B42D6">
              <w:rPr>
                <w:sz w:val="16"/>
                <w:szCs w:val="16"/>
              </w:rPr>
              <w:t>4.8</w:t>
            </w:r>
          </w:p>
        </w:tc>
      </w:tr>
      <w:tr w:rsidR="006B42D6" w:rsidRPr="006B42D6" w14:paraId="6C2171E0" w14:textId="77777777" w:rsidTr="00143C67">
        <w:trPr>
          <w:trHeight w:hRule="exact" w:val="227"/>
        </w:trPr>
        <w:tc>
          <w:tcPr>
            <w:tcW w:w="1668" w:type="dxa"/>
            <w:tcBorders>
              <w:top w:val="nil"/>
              <w:left w:val="nil"/>
              <w:bottom w:val="nil"/>
              <w:right w:val="nil"/>
            </w:tcBorders>
            <w:shd w:val="clear" w:color="auto" w:fill="auto"/>
            <w:noWrap/>
            <w:vAlign w:val="center"/>
            <w:hideMark/>
          </w:tcPr>
          <w:p w14:paraId="6378A0F5" w14:textId="77777777" w:rsidR="008A1E55" w:rsidRPr="006B42D6" w:rsidRDefault="008A1E55" w:rsidP="00E16CAE">
            <w:pPr>
              <w:rPr>
                <w:sz w:val="16"/>
                <w:szCs w:val="16"/>
              </w:rPr>
            </w:pPr>
            <w:r w:rsidRPr="006B42D6">
              <w:rPr>
                <w:sz w:val="16"/>
                <w:szCs w:val="16"/>
              </w:rPr>
              <w:t>Mbeya</w:t>
            </w:r>
          </w:p>
        </w:tc>
        <w:tc>
          <w:tcPr>
            <w:tcW w:w="1031" w:type="dxa"/>
            <w:tcBorders>
              <w:top w:val="nil"/>
              <w:left w:val="nil"/>
              <w:bottom w:val="nil"/>
              <w:right w:val="nil"/>
            </w:tcBorders>
            <w:shd w:val="clear" w:color="auto" w:fill="auto"/>
            <w:noWrap/>
            <w:vAlign w:val="center"/>
            <w:hideMark/>
          </w:tcPr>
          <w:p w14:paraId="25C3C7D9" w14:textId="77777777" w:rsidR="008A1E55" w:rsidRPr="006B42D6" w:rsidRDefault="008A1E55" w:rsidP="00E16CAE">
            <w:pPr>
              <w:jc w:val="right"/>
              <w:rPr>
                <w:sz w:val="16"/>
                <w:szCs w:val="16"/>
              </w:rPr>
            </w:pPr>
            <w:r w:rsidRPr="006B42D6">
              <w:rPr>
                <w:sz w:val="16"/>
                <w:szCs w:val="16"/>
              </w:rPr>
              <w:t>8.8</w:t>
            </w:r>
          </w:p>
        </w:tc>
        <w:tc>
          <w:tcPr>
            <w:tcW w:w="800" w:type="dxa"/>
            <w:tcBorders>
              <w:top w:val="nil"/>
              <w:left w:val="nil"/>
              <w:bottom w:val="nil"/>
              <w:right w:val="nil"/>
            </w:tcBorders>
            <w:shd w:val="clear" w:color="auto" w:fill="auto"/>
            <w:noWrap/>
            <w:vAlign w:val="center"/>
            <w:hideMark/>
          </w:tcPr>
          <w:p w14:paraId="62D69870" w14:textId="77777777" w:rsidR="008A1E55" w:rsidRPr="006B42D6" w:rsidRDefault="008A1E55" w:rsidP="00E16CAE">
            <w:pPr>
              <w:jc w:val="right"/>
              <w:rPr>
                <w:sz w:val="16"/>
                <w:szCs w:val="16"/>
              </w:rPr>
            </w:pPr>
            <w:r w:rsidRPr="006B42D6">
              <w:rPr>
                <w:sz w:val="16"/>
                <w:szCs w:val="16"/>
              </w:rPr>
              <w:t>3.3</w:t>
            </w:r>
          </w:p>
        </w:tc>
        <w:tc>
          <w:tcPr>
            <w:tcW w:w="804" w:type="dxa"/>
            <w:tcBorders>
              <w:top w:val="nil"/>
              <w:left w:val="nil"/>
              <w:bottom w:val="nil"/>
              <w:right w:val="nil"/>
            </w:tcBorders>
            <w:shd w:val="clear" w:color="auto" w:fill="auto"/>
            <w:noWrap/>
            <w:vAlign w:val="center"/>
            <w:hideMark/>
          </w:tcPr>
          <w:p w14:paraId="5DA2DAE6" w14:textId="77777777" w:rsidR="008A1E55" w:rsidRPr="006B42D6" w:rsidRDefault="008A1E55" w:rsidP="00E16CAE">
            <w:pPr>
              <w:jc w:val="right"/>
              <w:rPr>
                <w:sz w:val="16"/>
                <w:szCs w:val="16"/>
              </w:rPr>
            </w:pPr>
            <w:r w:rsidRPr="006B42D6">
              <w:rPr>
                <w:sz w:val="16"/>
                <w:szCs w:val="16"/>
              </w:rPr>
              <w:t>3.4</w:t>
            </w:r>
          </w:p>
        </w:tc>
        <w:tc>
          <w:tcPr>
            <w:tcW w:w="1047" w:type="dxa"/>
            <w:tcBorders>
              <w:top w:val="nil"/>
              <w:left w:val="nil"/>
              <w:bottom w:val="nil"/>
              <w:right w:val="nil"/>
            </w:tcBorders>
            <w:shd w:val="clear" w:color="auto" w:fill="auto"/>
            <w:noWrap/>
            <w:vAlign w:val="center"/>
            <w:hideMark/>
          </w:tcPr>
          <w:p w14:paraId="4BB49E11" w14:textId="77777777" w:rsidR="008A1E55" w:rsidRPr="006B42D6" w:rsidRDefault="008A1E55" w:rsidP="00E16CAE">
            <w:pPr>
              <w:jc w:val="right"/>
              <w:rPr>
                <w:sz w:val="16"/>
                <w:szCs w:val="16"/>
              </w:rPr>
            </w:pPr>
            <w:r w:rsidRPr="006B42D6">
              <w:rPr>
                <w:sz w:val="16"/>
                <w:szCs w:val="16"/>
              </w:rPr>
              <w:t>3.1</w:t>
            </w:r>
          </w:p>
        </w:tc>
        <w:tc>
          <w:tcPr>
            <w:tcW w:w="892" w:type="dxa"/>
            <w:tcBorders>
              <w:top w:val="nil"/>
              <w:left w:val="nil"/>
              <w:bottom w:val="nil"/>
              <w:right w:val="nil"/>
            </w:tcBorders>
            <w:shd w:val="clear" w:color="auto" w:fill="auto"/>
            <w:noWrap/>
            <w:vAlign w:val="center"/>
            <w:hideMark/>
          </w:tcPr>
          <w:p w14:paraId="6B20DD52" w14:textId="77777777" w:rsidR="008A1E55" w:rsidRPr="006B42D6" w:rsidRDefault="008A1E55" w:rsidP="00E16CAE">
            <w:pPr>
              <w:jc w:val="right"/>
              <w:rPr>
                <w:sz w:val="16"/>
                <w:szCs w:val="16"/>
              </w:rPr>
            </w:pPr>
            <w:r w:rsidRPr="006B42D6">
              <w:rPr>
                <w:sz w:val="16"/>
                <w:szCs w:val="16"/>
              </w:rPr>
              <w:t>3.4</w:t>
            </w:r>
          </w:p>
        </w:tc>
        <w:tc>
          <w:tcPr>
            <w:tcW w:w="1197" w:type="dxa"/>
            <w:tcBorders>
              <w:top w:val="nil"/>
              <w:left w:val="nil"/>
              <w:bottom w:val="nil"/>
              <w:right w:val="nil"/>
            </w:tcBorders>
            <w:shd w:val="clear" w:color="auto" w:fill="auto"/>
            <w:noWrap/>
            <w:vAlign w:val="center"/>
            <w:hideMark/>
          </w:tcPr>
          <w:p w14:paraId="66D78940" w14:textId="77777777" w:rsidR="008A1E55" w:rsidRPr="006B42D6" w:rsidRDefault="008A1E55" w:rsidP="00E16CAE">
            <w:pPr>
              <w:jc w:val="right"/>
              <w:rPr>
                <w:sz w:val="16"/>
                <w:szCs w:val="16"/>
              </w:rPr>
            </w:pPr>
            <w:r w:rsidRPr="006B42D6">
              <w:rPr>
                <w:sz w:val="16"/>
                <w:szCs w:val="16"/>
              </w:rPr>
              <w:t>2.2</w:t>
            </w:r>
          </w:p>
        </w:tc>
        <w:tc>
          <w:tcPr>
            <w:tcW w:w="853" w:type="dxa"/>
            <w:tcBorders>
              <w:top w:val="nil"/>
              <w:left w:val="nil"/>
              <w:bottom w:val="nil"/>
              <w:right w:val="nil"/>
            </w:tcBorders>
            <w:shd w:val="clear" w:color="auto" w:fill="auto"/>
            <w:noWrap/>
            <w:vAlign w:val="center"/>
            <w:hideMark/>
          </w:tcPr>
          <w:p w14:paraId="75B93CD4" w14:textId="77777777" w:rsidR="008A1E55" w:rsidRPr="006B42D6" w:rsidRDefault="008A1E55" w:rsidP="00E16CAE">
            <w:pPr>
              <w:jc w:val="right"/>
              <w:rPr>
                <w:sz w:val="16"/>
                <w:szCs w:val="16"/>
              </w:rPr>
            </w:pPr>
            <w:r w:rsidRPr="006B42D6">
              <w:rPr>
                <w:sz w:val="16"/>
                <w:szCs w:val="16"/>
              </w:rPr>
              <w:t>9.3</w:t>
            </w:r>
          </w:p>
        </w:tc>
        <w:tc>
          <w:tcPr>
            <w:tcW w:w="1008" w:type="dxa"/>
            <w:tcBorders>
              <w:top w:val="nil"/>
              <w:left w:val="nil"/>
              <w:bottom w:val="nil"/>
              <w:right w:val="nil"/>
            </w:tcBorders>
            <w:shd w:val="clear" w:color="auto" w:fill="auto"/>
            <w:noWrap/>
            <w:vAlign w:val="center"/>
            <w:hideMark/>
          </w:tcPr>
          <w:p w14:paraId="5E5F9663" w14:textId="77777777" w:rsidR="008A1E55" w:rsidRPr="006B42D6" w:rsidRDefault="008A1E55" w:rsidP="00E16CAE">
            <w:pPr>
              <w:jc w:val="right"/>
              <w:rPr>
                <w:sz w:val="16"/>
                <w:szCs w:val="16"/>
              </w:rPr>
            </w:pPr>
            <w:r w:rsidRPr="006B42D6">
              <w:rPr>
                <w:sz w:val="16"/>
                <w:szCs w:val="16"/>
              </w:rPr>
              <w:t>2.6</w:t>
            </w:r>
          </w:p>
        </w:tc>
        <w:tc>
          <w:tcPr>
            <w:tcW w:w="1350" w:type="dxa"/>
            <w:tcBorders>
              <w:top w:val="nil"/>
              <w:left w:val="nil"/>
              <w:bottom w:val="nil"/>
              <w:right w:val="nil"/>
            </w:tcBorders>
            <w:shd w:val="clear" w:color="auto" w:fill="auto"/>
            <w:noWrap/>
            <w:vAlign w:val="center"/>
            <w:hideMark/>
          </w:tcPr>
          <w:p w14:paraId="14193A18" w14:textId="77777777" w:rsidR="008A1E55" w:rsidRPr="006B42D6" w:rsidRDefault="008A1E55" w:rsidP="00E16CAE">
            <w:pPr>
              <w:jc w:val="right"/>
              <w:rPr>
                <w:sz w:val="16"/>
                <w:szCs w:val="16"/>
              </w:rPr>
            </w:pPr>
            <w:r w:rsidRPr="006B42D6">
              <w:rPr>
                <w:sz w:val="16"/>
                <w:szCs w:val="16"/>
              </w:rPr>
              <w:t>5.5</w:t>
            </w:r>
          </w:p>
        </w:tc>
        <w:tc>
          <w:tcPr>
            <w:tcW w:w="1594" w:type="dxa"/>
            <w:tcBorders>
              <w:top w:val="nil"/>
              <w:left w:val="nil"/>
              <w:bottom w:val="nil"/>
              <w:right w:val="nil"/>
            </w:tcBorders>
            <w:shd w:val="clear" w:color="auto" w:fill="auto"/>
            <w:noWrap/>
            <w:vAlign w:val="center"/>
            <w:hideMark/>
          </w:tcPr>
          <w:p w14:paraId="26D6744D" w14:textId="77777777" w:rsidR="008A1E55" w:rsidRPr="006B42D6" w:rsidRDefault="008A1E55" w:rsidP="00E16CAE">
            <w:pPr>
              <w:jc w:val="right"/>
              <w:rPr>
                <w:sz w:val="16"/>
                <w:szCs w:val="16"/>
              </w:rPr>
            </w:pPr>
            <w:r w:rsidRPr="006B42D6">
              <w:rPr>
                <w:sz w:val="16"/>
                <w:szCs w:val="16"/>
              </w:rPr>
              <w:t>-</w:t>
            </w:r>
          </w:p>
        </w:tc>
        <w:tc>
          <w:tcPr>
            <w:tcW w:w="804" w:type="dxa"/>
            <w:tcBorders>
              <w:top w:val="nil"/>
              <w:left w:val="nil"/>
              <w:bottom w:val="nil"/>
              <w:right w:val="nil"/>
            </w:tcBorders>
            <w:shd w:val="clear" w:color="auto" w:fill="auto"/>
            <w:noWrap/>
            <w:vAlign w:val="center"/>
            <w:hideMark/>
          </w:tcPr>
          <w:p w14:paraId="0C386FB0" w14:textId="77777777" w:rsidR="008A1E55" w:rsidRPr="006B42D6" w:rsidRDefault="008A1E55" w:rsidP="00E16CAE">
            <w:pPr>
              <w:jc w:val="right"/>
              <w:rPr>
                <w:sz w:val="16"/>
                <w:szCs w:val="16"/>
              </w:rPr>
            </w:pPr>
            <w:r w:rsidRPr="006B42D6">
              <w:rPr>
                <w:sz w:val="16"/>
                <w:szCs w:val="16"/>
              </w:rPr>
              <w:t>6.5</w:t>
            </w:r>
          </w:p>
        </w:tc>
      </w:tr>
      <w:tr w:rsidR="006B42D6" w:rsidRPr="006B42D6" w14:paraId="3F4B2CAC" w14:textId="77777777" w:rsidTr="00143C67">
        <w:trPr>
          <w:trHeight w:hRule="exact" w:val="227"/>
        </w:trPr>
        <w:tc>
          <w:tcPr>
            <w:tcW w:w="1668" w:type="dxa"/>
            <w:tcBorders>
              <w:top w:val="nil"/>
              <w:left w:val="nil"/>
              <w:bottom w:val="nil"/>
              <w:right w:val="nil"/>
            </w:tcBorders>
            <w:shd w:val="clear" w:color="auto" w:fill="auto"/>
            <w:noWrap/>
            <w:vAlign w:val="center"/>
            <w:hideMark/>
          </w:tcPr>
          <w:p w14:paraId="5A1A8E64" w14:textId="77777777" w:rsidR="008A1E55" w:rsidRPr="006B42D6" w:rsidRDefault="008A1E55" w:rsidP="00E16CAE">
            <w:pPr>
              <w:rPr>
                <w:sz w:val="16"/>
                <w:szCs w:val="16"/>
              </w:rPr>
            </w:pPr>
            <w:r w:rsidRPr="006B42D6">
              <w:rPr>
                <w:sz w:val="16"/>
                <w:szCs w:val="16"/>
              </w:rPr>
              <w:t>Singida</w:t>
            </w:r>
          </w:p>
        </w:tc>
        <w:tc>
          <w:tcPr>
            <w:tcW w:w="1031" w:type="dxa"/>
            <w:tcBorders>
              <w:top w:val="nil"/>
              <w:left w:val="nil"/>
              <w:bottom w:val="nil"/>
              <w:right w:val="nil"/>
            </w:tcBorders>
            <w:shd w:val="clear" w:color="auto" w:fill="auto"/>
            <w:noWrap/>
            <w:vAlign w:val="center"/>
            <w:hideMark/>
          </w:tcPr>
          <w:p w14:paraId="47D58172" w14:textId="77777777" w:rsidR="008A1E55" w:rsidRPr="006B42D6" w:rsidRDefault="008A1E55" w:rsidP="00E16CAE">
            <w:pPr>
              <w:jc w:val="right"/>
              <w:rPr>
                <w:sz w:val="16"/>
                <w:szCs w:val="16"/>
              </w:rPr>
            </w:pPr>
            <w:r w:rsidRPr="006B42D6">
              <w:rPr>
                <w:sz w:val="16"/>
                <w:szCs w:val="16"/>
              </w:rPr>
              <w:t>1.7</w:t>
            </w:r>
          </w:p>
        </w:tc>
        <w:tc>
          <w:tcPr>
            <w:tcW w:w="800" w:type="dxa"/>
            <w:tcBorders>
              <w:top w:val="nil"/>
              <w:left w:val="nil"/>
              <w:bottom w:val="nil"/>
              <w:right w:val="nil"/>
            </w:tcBorders>
            <w:shd w:val="clear" w:color="auto" w:fill="auto"/>
            <w:noWrap/>
            <w:vAlign w:val="center"/>
            <w:hideMark/>
          </w:tcPr>
          <w:p w14:paraId="64D3DA90" w14:textId="77777777" w:rsidR="008A1E55" w:rsidRPr="006B42D6" w:rsidRDefault="008A1E55" w:rsidP="00E16CAE">
            <w:pPr>
              <w:jc w:val="right"/>
              <w:rPr>
                <w:sz w:val="16"/>
                <w:szCs w:val="16"/>
              </w:rPr>
            </w:pPr>
            <w:r w:rsidRPr="006B42D6">
              <w:rPr>
                <w:sz w:val="16"/>
                <w:szCs w:val="16"/>
              </w:rPr>
              <w:t>4.2</w:t>
            </w:r>
          </w:p>
        </w:tc>
        <w:tc>
          <w:tcPr>
            <w:tcW w:w="804" w:type="dxa"/>
            <w:tcBorders>
              <w:top w:val="nil"/>
              <w:left w:val="nil"/>
              <w:bottom w:val="nil"/>
              <w:right w:val="nil"/>
            </w:tcBorders>
            <w:shd w:val="clear" w:color="auto" w:fill="auto"/>
            <w:noWrap/>
            <w:vAlign w:val="center"/>
            <w:hideMark/>
          </w:tcPr>
          <w:p w14:paraId="2E74B296" w14:textId="77777777" w:rsidR="008A1E55" w:rsidRPr="006B42D6" w:rsidRDefault="008A1E55" w:rsidP="00E16CAE">
            <w:pPr>
              <w:jc w:val="right"/>
              <w:rPr>
                <w:sz w:val="16"/>
                <w:szCs w:val="16"/>
              </w:rPr>
            </w:pPr>
            <w:r w:rsidRPr="006B42D6">
              <w:rPr>
                <w:sz w:val="16"/>
                <w:szCs w:val="16"/>
              </w:rPr>
              <w:t>7.9</w:t>
            </w:r>
          </w:p>
        </w:tc>
        <w:tc>
          <w:tcPr>
            <w:tcW w:w="1047" w:type="dxa"/>
            <w:tcBorders>
              <w:top w:val="nil"/>
              <w:left w:val="nil"/>
              <w:bottom w:val="nil"/>
              <w:right w:val="nil"/>
            </w:tcBorders>
            <w:shd w:val="clear" w:color="auto" w:fill="auto"/>
            <w:noWrap/>
            <w:vAlign w:val="center"/>
            <w:hideMark/>
          </w:tcPr>
          <w:p w14:paraId="4DF3EA06" w14:textId="77777777" w:rsidR="008A1E55" w:rsidRPr="006B42D6" w:rsidRDefault="008A1E55" w:rsidP="00E16CAE">
            <w:pPr>
              <w:jc w:val="right"/>
              <w:rPr>
                <w:sz w:val="16"/>
                <w:szCs w:val="16"/>
              </w:rPr>
            </w:pPr>
            <w:r w:rsidRPr="006B42D6">
              <w:rPr>
                <w:sz w:val="16"/>
                <w:szCs w:val="16"/>
              </w:rPr>
              <w:t>1.8</w:t>
            </w:r>
          </w:p>
        </w:tc>
        <w:tc>
          <w:tcPr>
            <w:tcW w:w="892" w:type="dxa"/>
            <w:tcBorders>
              <w:top w:val="nil"/>
              <w:left w:val="nil"/>
              <w:bottom w:val="nil"/>
              <w:right w:val="nil"/>
            </w:tcBorders>
            <w:shd w:val="clear" w:color="auto" w:fill="auto"/>
            <w:noWrap/>
            <w:vAlign w:val="center"/>
            <w:hideMark/>
          </w:tcPr>
          <w:p w14:paraId="2165D79A" w14:textId="77777777" w:rsidR="008A1E55" w:rsidRPr="006B42D6" w:rsidRDefault="008A1E55" w:rsidP="00E16CAE">
            <w:pPr>
              <w:jc w:val="right"/>
              <w:rPr>
                <w:sz w:val="16"/>
                <w:szCs w:val="16"/>
              </w:rPr>
            </w:pPr>
            <w:r w:rsidRPr="006B42D6">
              <w:rPr>
                <w:sz w:val="16"/>
                <w:szCs w:val="16"/>
              </w:rPr>
              <w:t>1.8</w:t>
            </w:r>
          </w:p>
        </w:tc>
        <w:tc>
          <w:tcPr>
            <w:tcW w:w="1197" w:type="dxa"/>
            <w:tcBorders>
              <w:top w:val="nil"/>
              <w:left w:val="nil"/>
              <w:bottom w:val="nil"/>
              <w:right w:val="nil"/>
            </w:tcBorders>
            <w:shd w:val="clear" w:color="auto" w:fill="auto"/>
            <w:noWrap/>
            <w:vAlign w:val="center"/>
            <w:hideMark/>
          </w:tcPr>
          <w:p w14:paraId="5B0CE63E" w14:textId="77777777" w:rsidR="008A1E55" w:rsidRPr="006B42D6" w:rsidRDefault="008A1E55" w:rsidP="00E16CAE">
            <w:pPr>
              <w:jc w:val="right"/>
              <w:rPr>
                <w:sz w:val="16"/>
                <w:szCs w:val="16"/>
              </w:rPr>
            </w:pPr>
            <w:r w:rsidRPr="006B42D6">
              <w:rPr>
                <w:sz w:val="16"/>
                <w:szCs w:val="16"/>
              </w:rPr>
              <w:t>0.4</w:t>
            </w:r>
          </w:p>
        </w:tc>
        <w:tc>
          <w:tcPr>
            <w:tcW w:w="853" w:type="dxa"/>
            <w:tcBorders>
              <w:top w:val="nil"/>
              <w:left w:val="nil"/>
              <w:bottom w:val="nil"/>
              <w:right w:val="nil"/>
            </w:tcBorders>
            <w:shd w:val="clear" w:color="auto" w:fill="auto"/>
            <w:noWrap/>
            <w:vAlign w:val="center"/>
            <w:hideMark/>
          </w:tcPr>
          <w:p w14:paraId="18E9B450" w14:textId="77777777" w:rsidR="008A1E55" w:rsidRPr="006B42D6" w:rsidRDefault="008A1E55" w:rsidP="00E16CAE">
            <w:pPr>
              <w:jc w:val="right"/>
              <w:rPr>
                <w:sz w:val="16"/>
                <w:szCs w:val="16"/>
              </w:rPr>
            </w:pPr>
            <w:r w:rsidRPr="006B42D6">
              <w:rPr>
                <w:sz w:val="16"/>
                <w:szCs w:val="16"/>
              </w:rPr>
              <w:t>5.5</w:t>
            </w:r>
          </w:p>
        </w:tc>
        <w:tc>
          <w:tcPr>
            <w:tcW w:w="1008" w:type="dxa"/>
            <w:tcBorders>
              <w:top w:val="nil"/>
              <w:left w:val="nil"/>
              <w:bottom w:val="nil"/>
              <w:right w:val="nil"/>
            </w:tcBorders>
            <w:shd w:val="clear" w:color="auto" w:fill="auto"/>
            <w:noWrap/>
            <w:vAlign w:val="center"/>
            <w:hideMark/>
          </w:tcPr>
          <w:p w14:paraId="58B72818" w14:textId="77777777" w:rsidR="008A1E55" w:rsidRPr="006B42D6" w:rsidRDefault="008A1E55" w:rsidP="00E16CAE">
            <w:pPr>
              <w:jc w:val="right"/>
              <w:rPr>
                <w:sz w:val="16"/>
                <w:szCs w:val="16"/>
              </w:rPr>
            </w:pPr>
            <w:r w:rsidRPr="006B42D6">
              <w:rPr>
                <w:sz w:val="16"/>
                <w:szCs w:val="16"/>
              </w:rPr>
              <w:t>1.5</w:t>
            </w:r>
          </w:p>
        </w:tc>
        <w:tc>
          <w:tcPr>
            <w:tcW w:w="1350" w:type="dxa"/>
            <w:tcBorders>
              <w:top w:val="nil"/>
              <w:left w:val="nil"/>
              <w:bottom w:val="nil"/>
              <w:right w:val="nil"/>
            </w:tcBorders>
            <w:shd w:val="clear" w:color="auto" w:fill="auto"/>
            <w:noWrap/>
            <w:vAlign w:val="center"/>
            <w:hideMark/>
          </w:tcPr>
          <w:p w14:paraId="058A020E" w14:textId="77777777" w:rsidR="008A1E55" w:rsidRPr="006B42D6" w:rsidRDefault="008A1E55" w:rsidP="00E16CAE">
            <w:pPr>
              <w:jc w:val="right"/>
              <w:rPr>
                <w:sz w:val="16"/>
                <w:szCs w:val="16"/>
              </w:rPr>
            </w:pPr>
            <w:r w:rsidRPr="006B42D6">
              <w:rPr>
                <w:sz w:val="16"/>
                <w:szCs w:val="16"/>
              </w:rPr>
              <w:t>4.4</w:t>
            </w:r>
          </w:p>
        </w:tc>
        <w:tc>
          <w:tcPr>
            <w:tcW w:w="1594" w:type="dxa"/>
            <w:tcBorders>
              <w:top w:val="nil"/>
              <w:left w:val="nil"/>
              <w:bottom w:val="nil"/>
              <w:right w:val="nil"/>
            </w:tcBorders>
            <w:shd w:val="clear" w:color="auto" w:fill="auto"/>
            <w:noWrap/>
            <w:vAlign w:val="center"/>
            <w:hideMark/>
          </w:tcPr>
          <w:p w14:paraId="1A7D84B1" w14:textId="77777777" w:rsidR="008A1E55" w:rsidRPr="006B42D6" w:rsidRDefault="008A1E55" w:rsidP="00E16CAE">
            <w:pPr>
              <w:jc w:val="right"/>
              <w:rPr>
                <w:sz w:val="16"/>
                <w:szCs w:val="16"/>
              </w:rPr>
            </w:pPr>
            <w:r w:rsidRPr="006B42D6">
              <w:rPr>
                <w:sz w:val="16"/>
                <w:szCs w:val="16"/>
              </w:rPr>
              <w:t>20.1</w:t>
            </w:r>
          </w:p>
        </w:tc>
        <w:tc>
          <w:tcPr>
            <w:tcW w:w="804" w:type="dxa"/>
            <w:tcBorders>
              <w:top w:val="nil"/>
              <w:left w:val="nil"/>
              <w:bottom w:val="nil"/>
              <w:right w:val="nil"/>
            </w:tcBorders>
            <w:shd w:val="clear" w:color="auto" w:fill="auto"/>
            <w:noWrap/>
            <w:vAlign w:val="center"/>
            <w:hideMark/>
          </w:tcPr>
          <w:p w14:paraId="5C583737" w14:textId="77777777" w:rsidR="008A1E55" w:rsidRPr="006B42D6" w:rsidRDefault="008A1E55" w:rsidP="00E16CAE">
            <w:pPr>
              <w:jc w:val="right"/>
              <w:rPr>
                <w:sz w:val="16"/>
                <w:szCs w:val="16"/>
              </w:rPr>
            </w:pPr>
            <w:r w:rsidRPr="006B42D6">
              <w:rPr>
                <w:sz w:val="16"/>
                <w:szCs w:val="16"/>
              </w:rPr>
              <w:t>8.6</w:t>
            </w:r>
          </w:p>
        </w:tc>
      </w:tr>
      <w:tr w:rsidR="006B42D6" w:rsidRPr="006B42D6" w14:paraId="169A4188" w14:textId="77777777" w:rsidTr="00143C67">
        <w:trPr>
          <w:trHeight w:hRule="exact" w:val="227"/>
        </w:trPr>
        <w:tc>
          <w:tcPr>
            <w:tcW w:w="1668" w:type="dxa"/>
            <w:tcBorders>
              <w:top w:val="nil"/>
              <w:left w:val="nil"/>
              <w:bottom w:val="nil"/>
              <w:right w:val="nil"/>
            </w:tcBorders>
            <w:shd w:val="clear" w:color="auto" w:fill="auto"/>
            <w:noWrap/>
            <w:vAlign w:val="center"/>
            <w:hideMark/>
          </w:tcPr>
          <w:p w14:paraId="41FD8758" w14:textId="77777777" w:rsidR="008A1E55" w:rsidRPr="006B42D6" w:rsidRDefault="008A1E55" w:rsidP="00E16CAE">
            <w:pPr>
              <w:rPr>
                <w:sz w:val="16"/>
                <w:szCs w:val="16"/>
              </w:rPr>
            </w:pPr>
            <w:r w:rsidRPr="006B42D6">
              <w:rPr>
                <w:sz w:val="16"/>
                <w:szCs w:val="16"/>
              </w:rPr>
              <w:t>Tabora</w:t>
            </w:r>
          </w:p>
        </w:tc>
        <w:tc>
          <w:tcPr>
            <w:tcW w:w="1031" w:type="dxa"/>
            <w:tcBorders>
              <w:top w:val="nil"/>
              <w:left w:val="nil"/>
              <w:bottom w:val="nil"/>
              <w:right w:val="nil"/>
            </w:tcBorders>
            <w:shd w:val="clear" w:color="auto" w:fill="auto"/>
            <w:noWrap/>
            <w:vAlign w:val="center"/>
            <w:hideMark/>
          </w:tcPr>
          <w:p w14:paraId="363E1209" w14:textId="77777777" w:rsidR="008A1E55" w:rsidRPr="006B42D6" w:rsidRDefault="008A1E55" w:rsidP="00E16CAE">
            <w:pPr>
              <w:jc w:val="right"/>
              <w:rPr>
                <w:sz w:val="16"/>
                <w:szCs w:val="16"/>
              </w:rPr>
            </w:pPr>
            <w:r w:rsidRPr="006B42D6">
              <w:rPr>
                <w:sz w:val="16"/>
                <w:szCs w:val="16"/>
              </w:rPr>
              <w:t>2.4</w:t>
            </w:r>
          </w:p>
        </w:tc>
        <w:tc>
          <w:tcPr>
            <w:tcW w:w="800" w:type="dxa"/>
            <w:tcBorders>
              <w:top w:val="nil"/>
              <w:left w:val="nil"/>
              <w:bottom w:val="nil"/>
              <w:right w:val="nil"/>
            </w:tcBorders>
            <w:shd w:val="clear" w:color="auto" w:fill="auto"/>
            <w:noWrap/>
            <w:vAlign w:val="center"/>
            <w:hideMark/>
          </w:tcPr>
          <w:p w14:paraId="0646BFA9" w14:textId="77777777" w:rsidR="008A1E55" w:rsidRPr="006B42D6" w:rsidRDefault="008A1E55" w:rsidP="00E16CAE">
            <w:pPr>
              <w:jc w:val="right"/>
              <w:rPr>
                <w:sz w:val="16"/>
                <w:szCs w:val="16"/>
              </w:rPr>
            </w:pPr>
            <w:r w:rsidRPr="006B42D6">
              <w:rPr>
                <w:sz w:val="16"/>
                <w:szCs w:val="16"/>
              </w:rPr>
              <w:t>6.3</w:t>
            </w:r>
          </w:p>
        </w:tc>
        <w:tc>
          <w:tcPr>
            <w:tcW w:w="804" w:type="dxa"/>
            <w:tcBorders>
              <w:top w:val="nil"/>
              <w:left w:val="nil"/>
              <w:bottom w:val="nil"/>
              <w:right w:val="nil"/>
            </w:tcBorders>
            <w:shd w:val="clear" w:color="auto" w:fill="auto"/>
            <w:noWrap/>
            <w:vAlign w:val="center"/>
            <w:hideMark/>
          </w:tcPr>
          <w:p w14:paraId="63336872" w14:textId="77777777" w:rsidR="008A1E55" w:rsidRPr="006B42D6" w:rsidRDefault="008A1E55" w:rsidP="00E16CAE">
            <w:pPr>
              <w:jc w:val="right"/>
              <w:rPr>
                <w:sz w:val="16"/>
                <w:szCs w:val="16"/>
              </w:rPr>
            </w:pPr>
            <w:r w:rsidRPr="006B42D6">
              <w:rPr>
                <w:sz w:val="16"/>
                <w:szCs w:val="16"/>
              </w:rPr>
              <w:t>-</w:t>
            </w:r>
          </w:p>
        </w:tc>
        <w:tc>
          <w:tcPr>
            <w:tcW w:w="1047" w:type="dxa"/>
            <w:tcBorders>
              <w:top w:val="nil"/>
              <w:left w:val="nil"/>
              <w:bottom w:val="nil"/>
              <w:right w:val="nil"/>
            </w:tcBorders>
            <w:shd w:val="clear" w:color="auto" w:fill="auto"/>
            <w:noWrap/>
            <w:vAlign w:val="center"/>
            <w:hideMark/>
          </w:tcPr>
          <w:p w14:paraId="463AC424" w14:textId="77777777" w:rsidR="008A1E55" w:rsidRPr="006B42D6" w:rsidRDefault="008A1E55" w:rsidP="00E16CAE">
            <w:pPr>
              <w:jc w:val="right"/>
              <w:rPr>
                <w:sz w:val="16"/>
                <w:szCs w:val="16"/>
              </w:rPr>
            </w:pPr>
            <w:r w:rsidRPr="006B42D6">
              <w:rPr>
                <w:sz w:val="16"/>
                <w:szCs w:val="16"/>
              </w:rPr>
              <w:t>1.3</w:t>
            </w:r>
          </w:p>
        </w:tc>
        <w:tc>
          <w:tcPr>
            <w:tcW w:w="892" w:type="dxa"/>
            <w:tcBorders>
              <w:top w:val="nil"/>
              <w:left w:val="nil"/>
              <w:bottom w:val="nil"/>
              <w:right w:val="nil"/>
            </w:tcBorders>
            <w:shd w:val="clear" w:color="auto" w:fill="auto"/>
            <w:noWrap/>
            <w:vAlign w:val="center"/>
            <w:hideMark/>
          </w:tcPr>
          <w:p w14:paraId="5783740A" w14:textId="77777777" w:rsidR="008A1E55" w:rsidRPr="006B42D6" w:rsidRDefault="008A1E55" w:rsidP="00E16CAE">
            <w:pPr>
              <w:jc w:val="right"/>
              <w:rPr>
                <w:sz w:val="16"/>
                <w:szCs w:val="16"/>
              </w:rPr>
            </w:pPr>
            <w:r w:rsidRPr="006B42D6">
              <w:rPr>
                <w:sz w:val="16"/>
                <w:szCs w:val="16"/>
              </w:rPr>
              <w:t>0.4</w:t>
            </w:r>
          </w:p>
        </w:tc>
        <w:tc>
          <w:tcPr>
            <w:tcW w:w="1197" w:type="dxa"/>
            <w:tcBorders>
              <w:top w:val="nil"/>
              <w:left w:val="nil"/>
              <w:bottom w:val="nil"/>
              <w:right w:val="nil"/>
            </w:tcBorders>
            <w:shd w:val="clear" w:color="auto" w:fill="auto"/>
            <w:noWrap/>
            <w:vAlign w:val="center"/>
            <w:hideMark/>
          </w:tcPr>
          <w:p w14:paraId="6907911A" w14:textId="77777777" w:rsidR="008A1E55" w:rsidRPr="006B42D6" w:rsidRDefault="008A1E55" w:rsidP="00E16CAE">
            <w:pPr>
              <w:jc w:val="right"/>
              <w:rPr>
                <w:sz w:val="16"/>
                <w:szCs w:val="16"/>
              </w:rPr>
            </w:pPr>
            <w:r w:rsidRPr="006B42D6">
              <w:rPr>
                <w:sz w:val="16"/>
                <w:szCs w:val="16"/>
              </w:rPr>
              <w:t>1.3</w:t>
            </w:r>
          </w:p>
        </w:tc>
        <w:tc>
          <w:tcPr>
            <w:tcW w:w="853" w:type="dxa"/>
            <w:tcBorders>
              <w:top w:val="nil"/>
              <w:left w:val="nil"/>
              <w:bottom w:val="nil"/>
              <w:right w:val="nil"/>
            </w:tcBorders>
            <w:shd w:val="clear" w:color="auto" w:fill="auto"/>
            <w:noWrap/>
            <w:vAlign w:val="center"/>
            <w:hideMark/>
          </w:tcPr>
          <w:p w14:paraId="62567ABE" w14:textId="77777777" w:rsidR="008A1E55" w:rsidRPr="006B42D6" w:rsidRDefault="008A1E55" w:rsidP="00E16CAE">
            <w:pPr>
              <w:jc w:val="right"/>
              <w:rPr>
                <w:sz w:val="16"/>
                <w:szCs w:val="16"/>
              </w:rPr>
            </w:pPr>
            <w:r w:rsidRPr="006B42D6">
              <w:rPr>
                <w:sz w:val="16"/>
                <w:szCs w:val="16"/>
              </w:rPr>
              <w:t>-</w:t>
            </w:r>
          </w:p>
        </w:tc>
        <w:tc>
          <w:tcPr>
            <w:tcW w:w="1008" w:type="dxa"/>
            <w:tcBorders>
              <w:top w:val="nil"/>
              <w:left w:val="nil"/>
              <w:bottom w:val="nil"/>
              <w:right w:val="nil"/>
            </w:tcBorders>
            <w:shd w:val="clear" w:color="auto" w:fill="auto"/>
            <w:noWrap/>
            <w:vAlign w:val="center"/>
            <w:hideMark/>
          </w:tcPr>
          <w:p w14:paraId="2AAFC53C" w14:textId="77777777" w:rsidR="008A1E55" w:rsidRPr="006B42D6" w:rsidRDefault="008A1E55" w:rsidP="00E16CAE">
            <w:pPr>
              <w:jc w:val="right"/>
              <w:rPr>
                <w:sz w:val="16"/>
                <w:szCs w:val="16"/>
              </w:rPr>
            </w:pPr>
            <w:r w:rsidRPr="006B42D6">
              <w:rPr>
                <w:sz w:val="16"/>
                <w:szCs w:val="16"/>
              </w:rPr>
              <w:t>7.5</w:t>
            </w:r>
          </w:p>
        </w:tc>
        <w:tc>
          <w:tcPr>
            <w:tcW w:w="1350" w:type="dxa"/>
            <w:tcBorders>
              <w:top w:val="nil"/>
              <w:left w:val="nil"/>
              <w:bottom w:val="nil"/>
              <w:right w:val="nil"/>
            </w:tcBorders>
            <w:shd w:val="clear" w:color="auto" w:fill="auto"/>
            <w:noWrap/>
            <w:vAlign w:val="center"/>
            <w:hideMark/>
          </w:tcPr>
          <w:p w14:paraId="342E4C17" w14:textId="77777777" w:rsidR="008A1E55" w:rsidRPr="006B42D6" w:rsidRDefault="008A1E55" w:rsidP="00E16CAE">
            <w:pPr>
              <w:jc w:val="right"/>
              <w:rPr>
                <w:sz w:val="16"/>
                <w:szCs w:val="16"/>
              </w:rPr>
            </w:pPr>
            <w:r w:rsidRPr="006B42D6">
              <w:rPr>
                <w:sz w:val="16"/>
                <w:szCs w:val="16"/>
              </w:rPr>
              <w:t>5.2</w:t>
            </w:r>
          </w:p>
        </w:tc>
        <w:tc>
          <w:tcPr>
            <w:tcW w:w="1594" w:type="dxa"/>
            <w:tcBorders>
              <w:top w:val="nil"/>
              <w:left w:val="nil"/>
              <w:bottom w:val="nil"/>
              <w:right w:val="nil"/>
            </w:tcBorders>
            <w:shd w:val="clear" w:color="auto" w:fill="auto"/>
            <w:noWrap/>
            <w:vAlign w:val="center"/>
            <w:hideMark/>
          </w:tcPr>
          <w:p w14:paraId="6F29D828" w14:textId="77777777" w:rsidR="008A1E55" w:rsidRPr="006B42D6" w:rsidRDefault="008A1E55" w:rsidP="00E16CAE">
            <w:pPr>
              <w:jc w:val="right"/>
              <w:rPr>
                <w:sz w:val="16"/>
                <w:szCs w:val="16"/>
              </w:rPr>
            </w:pPr>
            <w:r w:rsidRPr="006B42D6">
              <w:rPr>
                <w:sz w:val="16"/>
                <w:szCs w:val="16"/>
              </w:rPr>
              <w:t>3.1</w:t>
            </w:r>
          </w:p>
        </w:tc>
        <w:tc>
          <w:tcPr>
            <w:tcW w:w="804" w:type="dxa"/>
            <w:tcBorders>
              <w:top w:val="nil"/>
              <w:left w:val="nil"/>
              <w:bottom w:val="nil"/>
              <w:right w:val="nil"/>
            </w:tcBorders>
            <w:shd w:val="clear" w:color="auto" w:fill="auto"/>
            <w:noWrap/>
            <w:vAlign w:val="center"/>
            <w:hideMark/>
          </w:tcPr>
          <w:p w14:paraId="33567383" w14:textId="77777777" w:rsidR="008A1E55" w:rsidRPr="006B42D6" w:rsidRDefault="008A1E55" w:rsidP="00E16CAE">
            <w:pPr>
              <w:jc w:val="right"/>
              <w:rPr>
                <w:sz w:val="16"/>
                <w:szCs w:val="16"/>
              </w:rPr>
            </w:pPr>
            <w:r w:rsidRPr="006B42D6">
              <w:rPr>
                <w:sz w:val="16"/>
                <w:szCs w:val="16"/>
              </w:rPr>
              <w:t>6.1</w:t>
            </w:r>
          </w:p>
        </w:tc>
      </w:tr>
      <w:tr w:rsidR="006B42D6" w:rsidRPr="006B42D6" w14:paraId="5D47481F" w14:textId="77777777" w:rsidTr="00143C67">
        <w:trPr>
          <w:trHeight w:hRule="exact" w:val="227"/>
        </w:trPr>
        <w:tc>
          <w:tcPr>
            <w:tcW w:w="1668" w:type="dxa"/>
            <w:tcBorders>
              <w:top w:val="nil"/>
              <w:left w:val="nil"/>
              <w:bottom w:val="nil"/>
              <w:right w:val="nil"/>
            </w:tcBorders>
            <w:shd w:val="clear" w:color="auto" w:fill="auto"/>
            <w:noWrap/>
            <w:vAlign w:val="center"/>
            <w:hideMark/>
          </w:tcPr>
          <w:p w14:paraId="36D0C930" w14:textId="77777777" w:rsidR="008A1E55" w:rsidRPr="006B42D6" w:rsidRDefault="008A1E55" w:rsidP="00E16CAE">
            <w:pPr>
              <w:rPr>
                <w:sz w:val="16"/>
                <w:szCs w:val="16"/>
              </w:rPr>
            </w:pPr>
            <w:r w:rsidRPr="006B42D6">
              <w:rPr>
                <w:sz w:val="16"/>
                <w:szCs w:val="16"/>
              </w:rPr>
              <w:t>Rukwa</w:t>
            </w:r>
          </w:p>
        </w:tc>
        <w:tc>
          <w:tcPr>
            <w:tcW w:w="1031" w:type="dxa"/>
            <w:tcBorders>
              <w:top w:val="nil"/>
              <w:left w:val="nil"/>
              <w:bottom w:val="nil"/>
              <w:right w:val="nil"/>
            </w:tcBorders>
            <w:shd w:val="clear" w:color="auto" w:fill="auto"/>
            <w:noWrap/>
            <w:vAlign w:val="center"/>
            <w:hideMark/>
          </w:tcPr>
          <w:p w14:paraId="02C2F48F" w14:textId="77777777" w:rsidR="008A1E55" w:rsidRPr="006B42D6" w:rsidRDefault="008A1E55" w:rsidP="00E16CAE">
            <w:pPr>
              <w:jc w:val="right"/>
              <w:rPr>
                <w:sz w:val="16"/>
                <w:szCs w:val="16"/>
              </w:rPr>
            </w:pPr>
            <w:r w:rsidRPr="006B42D6">
              <w:rPr>
                <w:sz w:val="16"/>
                <w:szCs w:val="16"/>
              </w:rPr>
              <w:t>1.8</w:t>
            </w:r>
          </w:p>
        </w:tc>
        <w:tc>
          <w:tcPr>
            <w:tcW w:w="800" w:type="dxa"/>
            <w:tcBorders>
              <w:top w:val="nil"/>
              <w:left w:val="nil"/>
              <w:bottom w:val="nil"/>
              <w:right w:val="nil"/>
            </w:tcBorders>
            <w:shd w:val="clear" w:color="auto" w:fill="auto"/>
            <w:noWrap/>
            <w:vAlign w:val="center"/>
            <w:hideMark/>
          </w:tcPr>
          <w:p w14:paraId="0C2CB552" w14:textId="77777777" w:rsidR="008A1E55" w:rsidRPr="006B42D6" w:rsidRDefault="008A1E55" w:rsidP="00E16CAE">
            <w:pPr>
              <w:jc w:val="right"/>
              <w:rPr>
                <w:sz w:val="16"/>
                <w:szCs w:val="16"/>
              </w:rPr>
            </w:pPr>
            <w:r w:rsidRPr="006B42D6">
              <w:rPr>
                <w:sz w:val="16"/>
                <w:szCs w:val="16"/>
              </w:rPr>
              <w:t>2.7</w:t>
            </w:r>
          </w:p>
        </w:tc>
        <w:tc>
          <w:tcPr>
            <w:tcW w:w="804" w:type="dxa"/>
            <w:tcBorders>
              <w:top w:val="nil"/>
              <w:left w:val="nil"/>
              <w:bottom w:val="nil"/>
              <w:right w:val="nil"/>
            </w:tcBorders>
            <w:shd w:val="clear" w:color="auto" w:fill="auto"/>
            <w:noWrap/>
            <w:vAlign w:val="center"/>
            <w:hideMark/>
          </w:tcPr>
          <w:p w14:paraId="2A34B414" w14:textId="77777777" w:rsidR="008A1E55" w:rsidRPr="006B42D6" w:rsidRDefault="008A1E55" w:rsidP="00E16CAE">
            <w:pPr>
              <w:jc w:val="right"/>
              <w:rPr>
                <w:sz w:val="16"/>
                <w:szCs w:val="16"/>
              </w:rPr>
            </w:pPr>
            <w:r w:rsidRPr="006B42D6">
              <w:rPr>
                <w:sz w:val="16"/>
                <w:szCs w:val="16"/>
              </w:rPr>
              <w:t>-</w:t>
            </w:r>
          </w:p>
        </w:tc>
        <w:tc>
          <w:tcPr>
            <w:tcW w:w="1047" w:type="dxa"/>
            <w:tcBorders>
              <w:top w:val="nil"/>
              <w:left w:val="nil"/>
              <w:bottom w:val="nil"/>
              <w:right w:val="nil"/>
            </w:tcBorders>
            <w:shd w:val="clear" w:color="auto" w:fill="auto"/>
            <w:noWrap/>
            <w:vAlign w:val="center"/>
            <w:hideMark/>
          </w:tcPr>
          <w:p w14:paraId="42ED30F5" w14:textId="77777777" w:rsidR="008A1E55" w:rsidRPr="006B42D6" w:rsidRDefault="008A1E55" w:rsidP="00E16CAE">
            <w:pPr>
              <w:jc w:val="right"/>
              <w:rPr>
                <w:sz w:val="16"/>
                <w:szCs w:val="16"/>
              </w:rPr>
            </w:pPr>
            <w:r w:rsidRPr="006B42D6">
              <w:rPr>
                <w:sz w:val="16"/>
                <w:szCs w:val="16"/>
              </w:rPr>
              <w:t>4.7</w:t>
            </w:r>
          </w:p>
        </w:tc>
        <w:tc>
          <w:tcPr>
            <w:tcW w:w="892" w:type="dxa"/>
            <w:tcBorders>
              <w:top w:val="nil"/>
              <w:left w:val="nil"/>
              <w:bottom w:val="nil"/>
              <w:right w:val="nil"/>
            </w:tcBorders>
            <w:shd w:val="clear" w:color="auto" w:fill="auto"/>
            <w:noWrap/>
            <w:vAlign w:val="center"/>
            <w:hideMark/>
          </w:tcPr>
          <w:p w14:paraId="207BFF76" w14:textId="77777777" w:rsidR="008A1E55" w:rsidRPr="006B42D6" w:rsidRDefault="008A1E55" w:rsidP="00E16CAE">
            <w:pPr>
              <w:jc w:val="right"/>
              <w:rPr>
                <w:sz w:val="16"/>
                <w:szCs w:val="16"/>
              </w:rPr>
            </w:pPr>
            <w:r w:rsidRPr="006B42D6">
              <w:rPr>
                <w:sz w:val="16"/>
                <w:szCs w:val="16"/>
              </w:rPr>
              <w:t>3.1</w:t>
            </w:r>
          </w:p>
        </w:tc>
        <w:tc>
          <w:tcPr>
            <w:tcW w:w="1197" w:type="dxa"/>
            <w:tcBorders>
              <w:top w:val="nil"/>
              <w:left w:val="nil"/>
              <w:bottom w:val="nil"/>
              <w:right w:val="nil"/>
            </w:tcBorders>
            <w:shd w:val="clear" w:color="auto" w:fill="auto"/>
            <w:noWrap/>
            <w:vAlign w:val="center"/>
            <w:hideMark/>
          </w:tcPr>
          <w:p w14:paraId="50040292" w14:textId="77777777" w:rsidR="008A1E55" w:rsidRPr="006B42D6" w:rsidRDefault="008A1E55" w:rsidP="00E16CAE">
            <w:pPr>
              <w:jc w:val="right"/>
              <w:rPr>
                <w:sz w:val="16"/>
                <w:szCs w:val="16"/>
              </w:rPr>
            </w:pPr>
            <w:r w:rsidRPr="006B42D6">
              <w:rPr>
                <w:sz w:val="16"/>
                <w:szCs w:val="16"/>
              </w:rPr>
              <w:t>10.4</w:t>
            </w:r>
          </w:p>
        </w:tc>
        <w:tc>
          <w:tcPr>
            <w:tcW w:w="853" w:type="dxa"/>
            <w:tcBorders>
              <w:top w:val="nil"/>
              <w:left w:val="nil"/>
              <w:bottom w:val="nil"/>
              <w:right w:val="nil"/>
            </w:tcBorders>
            <w:shd w:val="clear" w:color="auto" w:fill="auto"/>
            <w:noWrap/>
            <w:vAlign w:val="center"/>
            <w:hideMark/>
          </w:tcPr>
          <w:p w14:paraId="44E3776D" w14:textId="77777777" w:rsidR="008A1E55" w:rsidRPr="006B42D6" w:rsidRDefault="008A1E55" w:rsidP="00E16CAE">
            <w:pPr>
              <w:jc w:val="right"/>
              <w:rPr>
                <w:sz w:val="16"/>
                <w:szCs w:val="16"/>
              </w:rPr>
            </w:pPr>
            <w:r w:rsidRPr="006B42D6">
              <w:rPr>
                <w:sz w:val="16"/>
                <w:szCs w:val="16"/>
              </w:rPr>
              <w:t>-</w:t>
            </w:r>
          </w:p>
        </w:tc>
        <w:tc>
          <w:tcPr>
            <w:tcW w:w="1008" w:type="dxa"/>
            <w:tcBorders>
              <w:top w:val="nil"/>
              <w:left w:val="nil"/>
              <w:bottom w:val="nil"/>
              <w:right w:val="nil"/>
            </w:tcBorders>
            <w:shd w:val="clear" w:color="auto" w:fill="auto"/>
            <w:noWrap/>
            <w:vAlign w:val="center"/>
            <w:hideMark/>
          </w:tcPr>
          <w:p w14:paraId="65696903" w14:textId="77777777" w:rsidR="008A1E55" w:rsidRPr="006B42D6" w:rsidRDefault="008A1E55" w:rsidP="00E16CAE">
            <w:pPr>
              <w:jc w:val="right"/>
              <w:rPr>
                <w:sz w:val="16"/>
                <w:szCs w:val="16"/>
              </w:rPr>
            </w:pPr>
            <w:r w:rsidRPr="006B42D6">
              <w:rPr>
                <w:sz w:val="16"/>
                <w:szCs w:val="16"/>
              </w:rPr>
              <w:t>3.6</w:t>
            </w:r>
          </w:p>
        </w:tc>
        <w:tc>
          <w:tcPr>
            <w:tcW w:w="1350" w:type="dxa"/>
            <w:tcBorders>
              <w:top w:val="nil"/>
              <w:left w:val="nil"/>
              <w:bottom w:val="nil"/>
              <w:right w:val="nil"/>
            </w:tcBorders>
            <w:shd w:val="clear" w:color="auto" w:fill="auto"/>
            <w:noWrap/>
            <w:vAlign w:val="center"/>
            <w:hideMark/>
          </w:tcPr>
          <w:p w14:paraId="17EE7ED2" w14:textId="77777777" w:rsidR="008A1E55" w:rsidRPr="006B42D6" w:rsidRDefault="008A1E55" w:rsidP="00E16CAE">
            <w:pPr>
              <w:jc w:val="right"/>
              <w:rPr>
                <w:sz w:val="16"/>
                <w:szCs w:val="16"/>
              </w:rPr>
            </w:pPr>
            <w:r w:rsidRPr="006B42D6">
              <w:rPr>
                <w:sz w:val="16"/>
                <w:szCs w:val="16"/>
              </w:rPr>
              <w:t>2.2</w:t>
            </w:r>
          </w:p>
        </w:tc>
        <w:tc>
          <w:tcPr>
            <w:tcW w:w="1594" w:type="dxa"/>
            <w:tcBorders>
              <w:top w:val="nil"/>
              <w:left w:val="nil"/>
              <w:bottom w:val="nil"/>
              <w:right w:val="nil"/>
            </w:tcBorders>
            <w:shd w:val="clear" w:color="auto" w:fill="auto"/>
            <w:noWrap/>
            <w:vAlign w:val="center"/>
            <w:hideMark/>
          </w:tcPr>
          <w:p w14:paraId="3383F2E4" w14:textId="77777777" w:rsidR="008A1E55" w:rsidRPr="006B42D6" w:rsidRDefault="008A1E55" w:rsidP="00E16CAE">
            <w:pPr>
              <w:jc w:val="right"/>
              <w:rPr>
                <w:sz w:val="16"/>
                <w:szCs w:val="16"/>
              </w:rPr>
            </w:pPr>
            <w:r w:rsidRPr="006B42D6">
              <w:rPr>
                <w:sz w:val="16"/>
                <w:szCs w:val="16"/>
              </w:rPr>
              <w:t>1.3</w:t>
            </w:r>
          </w:p>
        </w:tc>
        <w:tc>
          <w:tcPr>
            <w:tcW w:w="804" w:type="dxa"/>
            <w:tcBorders>
              <w:top w:val="nil"/>
              <w:left w:val="nil"/>
              <w:bottom w:val="nil"/>
              <w:right w:val="nil"/>
            </w:tcBorders>
            <w:shd w:val="clear" w:color="auto" w:fill="auto"/>
            <w:noWrap/>
            <w:vAlign w:val="center"/>
            <w:hideMark/>
          </w:tcPr>
          <w:p w14:paraId="6809DBEF" w14:textId="77777777" w:rsidR="008A1E55" w:rsidRPr="006B42D6" w:rsidRDefault="008A1E55" w:rsidP="00E16CAE">
            <w:pPr>
              <w:jc w:val="right"/>
              <w:rPr>
                <w:sz w:val="16"/>
                <w:szCs w:val="16"/>
              </w:rPr>
            </w:pPr>
            <w:r w:rsidRPr="006B42D6">
              <w:rPr>
                <w:sz w:val="16"/>
                <w:szCs w:val="16"/>
              </w:rPr>
              <w:t>2.3</w:t>
            </w:r>
          </w:p>
        </w:tc>
      </w:tr>
      <w:tr w:rsidR="006B42D6" w:rsidRPr="006B42D6" w14:paraId="17B4AD44" w14:textId="77777777" w:rsidTr="00143C67">
        <w:trPr>
          <w:trHeight w:hRule="exact" w:val="227"/>
        </w:trPr>
        <w:tc>
          <w:tcPr>
            <w:tcW w:w="1668" w:type="dxa"/>
            <w:tcBorders>
              <w:top w:val="nil"/>
              <w:left w:val="nil"/>
              <w:bottom w:val="nil"/>
              <w:right w:val="nil"/>
            </w:tcBorders>
            <w:shd w:val="clear" w:color="auto" w:fill="auto"/>
            <w:noWrap/>
            <w:vAlign w:val="center"/>
            <w:hideMark/>
          </w:tcPr>
          <w:p w14:paraId="12A6C779" w14:textId="77777777" w:rsidR="008A1E55" w:rsidRPr="006B42D6" w:rsidRDefault="008A1E55" w:rsidP="00E16CAE">
            <w:pPr>
              <w:rPr>
                <w:sz w:val="16"/>
                <w:szCs w:val="16"/>
              </w:rPr>
            </w:pPr>
            <w:r w:rsidRPr="006B42D6">
              <w:rPr>
                <w:sz w:val="16"/>
                <w:szCs w:val="16"/>
              </w:rPr>
              <w:t>Kigoma</w:t>
            </w:r>
          </w:p>
        </w:tc>
        <w:tc>
          <w:tcPr>
            <w:tcW w:w="1031" w:type="dxa"/>
            <w:tcBorders>
              <w:top w:val="nil"/>
              <w:left w:val="nil"/>
              <w:bottom w:val="nil"/>
              <w:right w:val="nil"/>
            </w:tcBorders>
            <w:shd w:val="clear" w:color="auto" w:fill="auto"/>
            <w:noWrap/>
            <w:vAlign w:val="center"/>
            <w:hideMark/>
          </w:tcPr>
          <w:p w14:paraId="233F2A40" w14:textId="77777777" w:rsidR="008A1E55" w:rsidRPr="006B42D6" w:rsidRDefault="008A1E55" w:rsidP="00E16CAE">
            <w:pPr>
              <w:jc w:val="right"/>
              <w:rPr>
                <w:sz w:val="16"/>
                <w:szCs w:val="16"/>
              </w:rPr>
            </w:pPr>
            <w:r w:rsidRPr="006B42D6">
              <w:rPr>
                <w:sz w:val="16"/>
                <w:szCs w:val="16"/>
              </w:rPr>
              <w:t>2.9</w:t>
            </w:r>
          </w:p>
        </w:tc>
        <w:tc>
          <w:tcPr>
            <w:tcW w:w="800" w:type="dxa"/>
            <w:tcBorders>
              <w:top w:val="nil"/>
              <w:left w:val="nil"/>
              <w:bottom w:val="nil"/>
              <w:right w:val="nil"/>
            </w:tcBorders>
            <w:shd w:val="clear" w:color="auto" w:fill="auto"/>
            <w:noWrap/>
            <w:vAlign w:val="center"/>
            <w:hideMark/>
          </w:tcPr>
          <w:p w14:paraId="4944A30E" w14:textId="77777777" w:rsidR="008A1E55" w:rsidRPr="006B42D6" w:rsidRDefault="008A1E55" w:rsidP="00E16CAE">
            <w:pPr>
              <w:jc w:val="right"/>
              <w:rPr>
                <w:sz w:val="16"/>
                <w:szCs w:val="16"/>
              </w:rPr>
            </w:pPr>
            <w:r w:rsidRPr="006B42D6">
              <w:rPr>
                <w:sz w:val="16"/>
                <w:szCs w:val="16"/>
              </w:rPr>
              <w:t>4.8</w:t>
            </w:r>
          </w:p>
        </w:tc>
        <w:tc>
          <w:tcPr>
            <w:tcW w:w="804" w:type="dxa"/>
            <w:tcBorders>
              <w:top w:val="nil"/>
              <w:left w:val="nil"/>
              <w:bottom w:val="nil"/>
              <w:right w:val="nil"/>
            </w:tcBorders>
            <w:shd w:val="clear" w:color="auto" w:fill="auto"/>
            <w:noWrap/>
            <w:vAlign w:val="center"/>
            <w:hideMark/>
          </w:tcPr>
          <w:p w14:paraId="693026B3" w14:textId="77777777" w:rsidR="008A1E55" w:rsidRPr="006B42D6" w:rsidRDefault="008A1E55" w:rsidP="00E16CAE">
            <w:pPr>
              <w:jc w:val="right"/>
              <w:rPr>
                <w:sz w:val="16"/>
                <w:szCs w:val="16"/>
              </w:rPr>
            </w:pPr>
            <w:r w:rsidRPr="006B42D6">
              <w:rPr>
                <w:sz w:val="16"/>
                <w:szCs w:val="16"/>
              </w:rPr>
              <w:t>-</w:t>
            </w:r>
          </w:p>
        </w:tc>
        <w:tc>
          <w:tcPr>
            <w:tcW w:w="1047" w:type="dxa"/>
            <w:tcBorders>
              <w:top w:val="nil"/>
              <w:left w:val="nil"/>
              <w:bottom w:val="nil"/>
              <w:right w:val="nil"/>
            </w:tcBorders>
            <w:shd w:val="clear" w:color="auto" w:fill="auto"/>
            <w:noWrap/>
            <w:vAlign w:val="center"/>
            <w:hideMark/>
          </w:tcPr>
          <w:p w14:paraId="7749A054" w14:textId="77777777" w:rsidR="008A1E55" w:rsidRPr="006B42D6" w:rsidRDefault="008A1E55" w:rsidP="00E16CAE">
            <w:pPr>
              <w:jc w:val="right"/>
              <w:rPr>
                <w:sz w:val="16"/>
                <w:szCs w:val="16"/>
              </w:rPr>
            </w:pPr>
            <w:r w:rsidRPr="006B42D6">
              <w:rPr>
                <w:sz w:val="16"/>
                <w:szCs w:val="16"/>
              </w:rPr>
              <w:t>0.7</w:t>
            </w:r>
          </w:p>
        </w:tc>
        <w:tc>
          <w:tcPr>
            <w:tcW w:w="892" w:type="dxa"/>
            <w:tcBorders>
              <w:top w:val="nil"/>
              <w:left w:val="nil"/>
              <w:bottom w:val="nil"/>
              <w:right w:val="nil"/>
            </w:tcBorders>
            <w:shd w:val="clear" w:color="auto" w:fill="auto"/>
            <w:noWrap/>
            <w:vAlign w:val="center"/>
            <w:hideMark/>
          </w:tcPr>
          <w:p w14:paraId="5E98A7A8" w14:textId="77777777" w:rsidR="008A1E55" w:rsidRPr="006B42D6" w:rsidRDefault="008A1E55" w:rsidP="00E16CAE">
            <w:pPr>
              <w:jc w:val="right"/>
              <w:rPr>
                <w:sz w:val="16"/>
                <w:szCs w:val="16"/>
              </w:rPr>
            </w:pPr>
            <w:r w:rsidRPr="006B42D6">
              <w:rPr>
                <w:sz w:val="16"/>
                <w:szCs w:val="16"/>
              </w:rPr>
              <w:t>-</w:t>
            </w:r>
          </w:p>
        </w:tc>
        <w:tc>
          <w:tcPr>
            <w:tcW w:w="1197" w:type="dxa"/>
            <w:tcBorders>
              <w:top w:val="nil"/>
              <w:left w:val="nil"/>
              <w:bottom w:val="nil"/>
              <w:right w:val="nil"/>
            </w:tcBorders>
            <w:shd w:val="clear" w:color="auto" w:fill="auto"/>
            <w:noWrap/>
            <w:vAlign w:val="center"/>
            <w:hideMark/>
          </w:tcPr>
          <w:p w14:paraId="2164BCAA" w14:textId="77777777" w:rsidR="008A1E55" w:rsidRPr="006B42D6" w:rsidRDefault="008A1E55" w:rsidP="00E16CAE">
            <w:pPr>
              <w:jc w:val="right"/>
              <w:rPr>
                <w:sz w:val="16"/>
                <w:szCs w:val="16"/>
              </w:rPr>
            </w:pPr>
            <w:r w:rsidRPr="006B42D6">
              <w:rPr>
                <w:sz w:val="16"/>
                <w:szCs w:val="16"/>
              </w:rPr>
              <w:t>3.0</w:t>
            </w:r>
          </w:p>
        </w:tc>
        <w:tc>
          <w:tcPr>
            <w:tcW w:w="853" w:type="dxa"/>
            <w:tcBorders>
              <w:top w:val="nil"/>
              <w:left w:val="nil"/>
              <w:bottom w:val="nil"/>
              <w:right w:val="nil"/>
            </w:tcBorders>
            <w:shd w:val="clear" w:color="auto" w:fill="auto"/>
            <w:noWrap/>
            <w:vAlign w:val="center"/>
            <w:hideMark/>
          </w:tcPr>
          <w:p w14:paraId="30A67710" w14:textId="77777777" w:rsidR="008A1E55" w:rsidRPr="006B42D6" w:rsidRDefault="008A1E55" w:rsidP="00E16CAE">
            <w:pPr>
              <w:jc w:val="right"/>
              <w:rPr>
                <w:sz w:val="16"/>
                <w:szCs w:val="16"/>
              </w:rPr>
            </w:pPr>
            <w:r w:rsidRPr="006B42D6">
              <w:rPr>
                <w:sz w:val="16"/>
                <w:szCs w:val="16"/>
              </w:rPr>
              <w:t>-</w:t>
            </w:r>
          </w:p>
        </w:tc>
        <w:tc>
          <w:tcPr>
            <w:tcW w:w="1008" w:type="dxa"/>
            <w:tcBorders>
              <w:top w:val="nil"/>
              <w:left w:val="nil"/>
              <w:bottom w:val="nil"/>
              <w:right w:val="nil"/>
            </w:tcBorders>
            <w:shd w:val="clear" w:color="auto" w:fill="auto"/>
            <w:noWrap/>
            <w:vAlign w:val="center"/>
            <w:hideMark/>
          </w:tcPr>
          <w:p w14:paraId="7D326837" w14:textId="77777777" w:rsidR="008A1E55" w:rsidRPr="006B42D6" w:rsidRDefault="008A1E55" w:rsidP="00E16CAE">
            <w:pPr>
              <w:jc w:val="right"/>
              <w:rPr>
                <w:sz w:val="16"/>
                <w:szCs w:val="16"/>
              </w:rPr>
            </w:pPr>
            <w:r w:rsidRPr="006B42D6">
              <w:rPr>
                <w:sz w:val="16"/>
                <w:szCs w:val="16"/>
              </w:rPr>
              <w:t>3.8</w:t>
            </w:r>
          </w:p>
        </w:tc>
        <w:tc>
          <w:tcPr>
            <w:tcW w:w="1350" w:type="dxa"/>
            <w:tcBorders>
              <w:top w:val="nil"/>
              <w:left w:val="nil"/>
              <w:bottom w:val="nil"/>
              <w:right w:val="nil"/>
            </w:tcBorders>
            <w:shd w:val="clear" w:color="auto" w:fill="auto"/>
            <w:noWrap/>
            <w:vAlign w:val="center"/>
            <w:hideMark/>
          </w:tcPr>
          <w:p w14:paraId="11D50A28" w14:textId="77777777" w:rsidR="008A1E55" w:rsidRPr="006B42D6" w:rsidRDefault="008A1E55" w:rsidP="00E16CAE">
            <w:pPr>
              <w:jc w:val="right"/>
              <w:rPr>
                <w:sz w:val="16"/>
                <w:szCs w:val="16"/>
              </w:rPr>
            </w:pPr>
            <w:r w:rsidRPr="006B42D6">
              <w:rPr>
                <w:sz w:val="16"/>
                <w:szCs w:val="16"/>
              </w:rPr>
              <w:t>5.8</w:t>
            </w:r>
          </w:p>
        </w:tc>
        <w:tc>
          <w:tcPr>
            <w:tcW w:w="1594" w:type="dxa"/>
            <w:tcBorders>
              <w:top w:val="nil"/>
              <w:left w:val="nil"/>
              <w:bottom w:val="nil"/>
              <w:right w:val="nil"/>
            </w:tcBorders>
            <w:shd w:val="clear" w:color="auto" w:fill="auto"/>
            <w:noWrap/>
            <w:vAlign w:val="center"/>
            <w:hideMark/>
          </w:tcPr>
          <w:p w14:paraId="34F363E5" w14:textId="77777777" w:rsidR="008A1E55" w:rsidRPr="006B42D6" w:rsidRDefault="008A1E55" w:rsidP="00E16CAE">
            <w:pPr>
              <w:jc w:val="right"/>
              <w:rPr>
                <w:sz w:val="16"/>
                <w:szCs w:val="16"/>
              </w:rPr>
            </w:pPr>
            <w:r w:rsidRPr="006B42D6">
              <w:rPr>
                <w:sz w:val="16"/>
                <w:szCs w:val="16"/>
              </w:rPr>
              <w:t>2.6</w:t>
            </w:r>
          </w:p>
        </w:tc>
        <w:tc>
          <w:tcPr>
            <w:tcW w:w="804" w:type="dxa"/>
            <w:tcBorders>
              <w:top w:val="nil"/>
              <w:left w:val="nil"/>
              <w:bottom w:val="nil"/>
              <w:right w:val="nil"/>
            </w:tcBorders>
            <w:shd w:val="clear" w:color="auto" w:fill="auto"/>
            <w:noWrap/>
            <w:vAlign w:val="center"/>
            <w:hideMark/>
          </w:tcPr>
          <w:p w14:paraId="784C06FA" w14:textId="77777777" w:rsidR="008A1E55" w:rsidRPr="006B42D6" w:rsidRDefault="008A1E55" w:rsidP="00E16CAE">
            <w:pPr>
              <w:jc w:val="right"/>
              <w:rPr>
                <w:sz w:val="16"/>
                <w:szCs w:val="16"/>
              </w:rPr>
            </w:pPr>
            <w:r w:rsidRPr="006B42D6">
              <w:rPr>
                <w:sz w:val="16"/>
                <w:szCs w:val="16"/>
              </w:rPr>
              <w:t>10.3</w:t>
            </w:r>
          </w:p>
        </w:tc>
      </w:tr>
      <w:tr w:rsidR="006B42D6" w:rsidRPr="006B42D6" w14:paraId="172E983B" w14:textId="77777777" w:rsidTr="00143C67">
        <w:trPr>
          <w:trHeight w:hRule="exact" w:val="227"/>
        </w:trPr>
        <w:tc>
          <w:tcPr>
            <w:tcW w:w="1668" w:type="dxa"/>
            <w:tcBorders>
              <w:top w:val="nil"/>
              <w:left w:val="nil"/>
              <w:bottom w:val="nil"/>
              <w:right w:val="nil"/>
            </w:tcBorders>
            <w:shd w:val="clear" w:color="auto" w:fill="auto"/>
            <w:noWrap/>
            <w:vAlign w:val="center"/>
            <w:hideMark/>
          </w:tcPr>
          <w:p w14:paraId="0967DAB4" w14:textId="77777777" w:rsidR="008A1E55" w:rsidRPr="006B42D6" w:rsidRDefault="008A1E55" w:rsidP="00E16CAE">
            <w:pPr>
              <w:rPr>
                <w:sz w:val="16"/>
                <w:szCs w:val="16"/>
              </w:rPr>
            </w:pPr>
            <w:r w:rsidRPr="006B42D6">
              <w:rPr>
                <w:sz w:val="16"/>
                <w:szCs w:val="16"/>
              </w:rPr>
              <w:t>Shinyanga</w:t>
            </w:r>
          </w:p>
        </w:tc>
        <w:tc>
          <w:tcPr>
            <w:tcW w:w="1031" w:type="dxa"/>
            <w:tcBorders>
              <w:top w:val="nil"/>
              <w:left w:val="nil"/>
              <w:bottom w:val="nil"/>
              <w:right w:val="nil"/>
            </w:tcBorders>
            <w:shd w:val="clear" w:color="auto" w:fill="auto"/>
            <w:noWrap/>
            <w:vAlign w:val="center"/>
            <w:hideMark/>
          </w:tcPr>
          <w:p w14:paraId="703DEC6D" w14:textId="77777777" w:rsidR="008A1E55" w:rsidRPr="006B42D6" w:rsidRDefault="008A1E55" w:rsidP="00E16CAE">
            <w:pPr>
              <w:jc w:val="right"/>
              <w:rPr>
                <w:sz w:val="16"/>
                <w:szCs w:val="16"/>
              </w:rPr>
            </w:pPr>
            <w:r w:rsidRPr="006B42D6">
              <w:rPr>
                <w:sz w:val="16"/>
                <w:szCs w:val="16"/>
              </w:rPr>
              <w:t>1.3</w:t>
            </w:r>
          </w:p>
        </w:tc>
        <w:tc>
          <w:tcPr>
            <w:tcW w:w="800" w:type="dxa"/>
            <w:tcBorders>
              <w:top w:val="nil"/>
              <w:left w:val="nil"/>
              <w:bottom w:val="nil"/>
              <w:right w:val="nil"/>
            </w:tcBorders>
            <w:shd w:val="clear" w:color="auto" w:fill="auto"/>
            <w:noWrap/>
            <w:vAlign w:val="center"/>
            <w:hideMark/>
          </w:tcPr>
          <w:p w14:paraId="12A404EA" w14:textId="77777777" w:rsidR="008A1E55" w:rsidRPr="006B42D6" w:rsidRDefault="008A1E55" w:rsidP="00E16CAE">
            <w:pPr>
              <w:jc w:val="right"/>
              <w:rPr>
                <w:sz w:val="16"/>
                <w:szCs w:val="16"/>
              </w:rPr>
            </w:pPr>
            <w:r w:rsidRPr="006B42D6">
              <w:rPr>
                <w:sz w:val="16"/>
                <w:szCs w:val="16"/>
              </w:rPr>
              <w:t>3.1</w:t>
            </w:r>
          </w:p>
        </w:tc>
        <w:tc>
          <w:tcPr>
            <w:tcW w:w="804" w:type="dxa"/>
            <w:tcBorders>
              <w:top w:val="nil"/>
              <w:left w:val="nil"/>
              <w:bottom w:val="nil"/>
              <w:right w:val="nil"/>
            </w:tcBorders>
            <w:shd w:val="clear" w:color="auto" w:fill="auto"/>
            <w:noWrap/>
            <w:vAlign w:val="center"/>
            <w:hideMark/>
          </w:tcPr>
          <w:p w14:paraId="395D4D77" w14:textId="77777777" w:rsidR="008A1E55" w:rsidRPr="006B42D6" w:rsidRDefault="008A1E55" w:rsidP="00E16CAE">
            <w:pPr>
              <w:jc w:val="right"/>
              <w:rPr>
                <w:sz w:val="16"/>
                <w:szCs w:val="16"/>
              </w:rPr>
            </w:pPr>
            <w:r w:rsidRPr="006B42D6">
              <w:rPr>
                <w:sz w:val="16"/>
                <w:szCs w:val="16"/>
              </w:rPr>
              <w:t>-</w:t>
            </w:r>
          </w:p>
        </w:tc>
        <w:tc>
          <w:tcPr>
            <w:tcW w:w="1047" w:type="dxa"/>
            <w:tcBorders>
              <w:top w:val="nil"/>
              <w:left w:val="nil"/>
              <w:bottom w:val="nil"/>
              <w:right w:val="nil"/>
            </w:tcBorders>
            <w:shd w:val="clear" w:color="auto" w:fill="auto"/>
            <w:noWrap/>
            <w:vAlign w:val="center"/>
            <w:hideMark/>
          </w:tcPr>
          <w:p w14:paraId="4B719A82" w14:textId="77777777" w:rsidR="008A1E55" w:rsidRPr="006B42D6" w:rsidRDefault="008A1E55" w:rsidP="00E16CAE">
            <w:pPr>
              <w:jc w:val="right"/>
              <w:rPr>
                <w:sz w:val="16"/>
                <w:szCs w:val="16"/>
              </w:rPr>
            </w:pPr>
            <w:r w:rsidRPr="006B42D6">
              <w:rPr>
                <w:sz w:val="16"/>
                <w:szCs w:val="16"/>
              </w:rPr>
              <w:t>1.5</w:t>
            </w:r>
          </w:p>
        </w:tc>
        <w:tc>
          <w:tcPr>
            <w:tcW w:w="892" w:type="dxa"/>
            <w:tcBorders>
              <w:top w:val="nil"/>
              <w:left w:val="nil"/>
              <w:bottom w:val="nil"/>
              <w:right w:val="nil"/>
            </w:tcBorders>
            <w:shd w:val="clear" w:color="auto" w:fill="auto"/>
            <w:noWrap/>
            <w:vAlign w:val="center"/>
            <w:hideMark/>
          </w:tcPr>
          <w:p w14:paraId="6041439E" w14:textId="77777777" w:rsidR="008A1E55" w:rsidRPr="006B42D6" w:rsidRDefault="008A1E55" w:rsidP="00E16CAE">
            <w:pPr>
              <w:jc w:val="right"/>
              <w:rPr>
                <w:sz w:val="16"/>
                <w:szCs w:val="16"/>
              </w:rPr>
            </w:pPr>
            <w:r w:rsidRPr="006B42D6">
              <w:rPr>
                <w:sz w:val="16"/>
                <w:szCs w:val="16"/>
              </w:rPr>
              <w:t>0.4</w:t>
            </w:r>
          </w:p>
        </w:tc>
        <w:tc>
          <w:tcPr>
            <w:tcW w:w="1197" w:type="dxa"/>
            <w:tcBorders>
              <w:top w:val="nil"/>
              <w:left w:val="nil"/>
              <w:bottom w:val="nil"/>
              <w:right w:val="nil"/>
            </w:tcBorders>
            <w:shd w:val="clear" w:color="auto" w:fill="auto"/>
            <w:noWrap/>
            <w:vAlign w:val="center"/>
            <w:hideMark/>
          </w:tcPr>
          <w:p w14:paraId="42CBEECC" w14:textId="77777777" w:rsidR="008A1E55" w:rsidRPr="006B42D6" w:rsidRDefault="008A1E55" w:rsidP="00E16CAE">
            <w:pPr>
              <w:jc w:val="right"/>
              <w:rPr>
                <w:sz w:val="16"/>
                <w:szCs w:val="16"/>
              </w:rPr>
            </w:pPr>
            <w:r w:rsidRPr="006B42D6">
              <w:rPr>
                <w:sz w:val="16"/>
                <w:szCs w:val="16"/>
              </w:rPr>
              <w:t>0.3</w:t>
            </w:r>
          </w:p>
        </w:tc>
        <w:tc>
          <w:tcPr>
            <w:tcW w:w="853" w:type="dxa"/>
            <w:tcBorders>
              <w:top w:val="nil"/>
              <w:left w:val="nil"/>
              <w:bottom w:val="nil"/>
              <w:right w:val="nil"/>
            </w:tcBorders>
            <w:shd w:val="clear" w:color="auto" w:fill="auto"/>
            <w:noWrap/>
            <w:vAlign w:val="center"/>
            <w:hideMark/>
          </w:tcPr>
          <w:p w14:paraId="2494DF41" w14:textId="77777777" w:rsidR="008A1E55" w:rsidRPr="006B42D6" w:rsidRDefault="008A1E55" w:rsidP="00E16CAE">
            <w:pPr>
              <w:jc w:val="right"/>
              <w:rPr>
                <w:sz w:val="16"/>
                <w:szCs w:val="16"/>
              </w:rPr>
            </w:pPr>
            <w:r w:rsidRPr="006B42D6">
              <w:rPr>
                <w:sz w:val="16"/>
                <w:szCs w:val="16"/>
              </w:rPr>
              <w:t>2.4</w:t>
            </w:r>
          </w:p>
        </w:tc>
        <w:tc>
          <w:tcPr>
            <w:tcW w:w="1008" w:type="dxa"/>
            <w:tcBorders>
              <w:top w:val="nil"/>
              <w:left w:val="nil"/>
              <w:bottom w:val="nil"/>
              <w:right w:val="nil"/>
            </w:tcBorders>
            <w:shd w:val="clear" w:color="auto" w:fill="auto"/>
            <w:noWrap/>
            <w:vAlign w:val="center"/>
            <w:hideMark/>
          </w:tcPr>
          <w:p w14:paraId="7E457D9A" w14:textId="77777777" w:rsidR="008A1E55" w:rsidRPr="006B42D6" w:rsidRDefault="008A1E55" w:rsidP="00E16CAE">
            <w:pPr>
              <w:jc w:val="right"/>
              <w:rPr>
                <w:sz w:val="16"/>
                <w:szCs w:val="16"/>
              </w:rPr>
            </w:pPr>
            <w:r w:rsidRPr="006B42D6">
              <w:rPr>
                <w:sz w:val="16"/>
                <w:szCs w:val="16"/>
              </w:rPr>
              <w:t>2.1</w:t>
            </w:r>
          </w:p>
        </w:tc>
        <w:tc>
          <w:tcPr>
            <w:tcW w:w="1350" w:type="dxa"/>
            <w:tcBorders>
              <w:top w:val="nil"/>
              <w:left w:val="nil"/>
              <w:bottom w:val="nil"/>
              <w:right w:val="nil"/>
            </w:tcBorders>
            <w:shd w:val="clear" w:color="auto" w:fill="auto"/>
            <w:noWrap/>
            <w:vAlign w:val="center"/>
            <w:hideMark/>
          </w:tcPr>
          <w:p w14:paraId="4AF0779A" w14:textId="77777777" w:rsidR="008A1E55" w:rsidRPr="006B42D6" w:rsidRDefault="008A1E55" w:rsidP="00E16CAE">
            <w:pPr>
              <w:jc w:val="right"/>
              <w:rPr>
                <w:sz w:val="16"/>
                <w:szCs w:val="16"/>
              </w:rPr>
            </w:pPr>
            <w:r w:rsidRPr="006B42D6">
              <w:rPr>
                <w:sz w:val="16"/>
                <w:szCs w:val="16"/>
              </w:rPr>
              <w:t>3.6</w:t>
            </w:r>
          </w:p>
        </w:tc>
        <w:tc>
          <w:tcPr>
            <w:tcW w:w="1594" w:type="dxa"/>
            <w:tcBorders>
              <w:top w:val="nil"/>
              <w:left w:val="nil"/>
              <w:bottom w:val="nil"/>
              <w:right w:val="nil"/>
            </w:tcBorders>
            <w:shd w:val="clear" w:color="auto" w:fill="auto"/>
            <w:noWrap/>
            <w:vAlign w:val="center"/>
            <w:hideMark/>
          </w:tcPr>
          <w:p w14:paraId="06293620" w14:textId="77777777" w:rsidR="008A1E55" w:rsidRPr="006B42D6" w:rsidRDefault="008A1E55" w:rsidP="00E16CAE">
            <w:pPr>
              <w:jc w:val="right"/>
              <w:rPr>
                <w:sz w:val="16"/>
                <w:szCs w:val="16"/>
              </w:rPr>
            </w:pPr>
            <w:r w:rsidRPr="006B42D6">
              <w:rPr>
                <w:sz w:val="16"/>
                <w:szCs w:val="16"/>
              </w:rPr>
              <w:t>-</w:t>
            </w:r>
          </w:p>
        </w:tc>
        <w:tc>
          <w:tcPr>
            <w:tcW w:w="804" w:type="dxa"/>
            <w:tcBorders>
              <w:top w:val="nil"/>
              <w:left w:val="nil"/>
              <w:bottom w:val="nil"/>
              <w:right w:val="nil"/>
            </w:tcBorders>
            <w:shd w:val="clear" w:color="auto" w:fill="auto"/>
            <w:noWrap/>
            <w:vAlign w:val="center"/>
            <w:hideMark/>
          </w:tcPr>
          <w:p w14:paraId="760E21AB" w14:textId="77777777" w:rsidR="008A1E55" w:rsidRPr="006B42D6" w:rsidRDefault="008A1E55" w:rsidP="00E16CAE">
            <w:pPr>
              <w:jc w:val="right"/>
              <w:rPr>
                <w:sz w:val="16"/>
                <w:szCs w:val="16"/>
              </w:rPr>
            </w:pPr>
            <w:r w:rsidRPr="006B42D6">
              <w:rPr>
                <w:sz w:val="16"/>
                <w:szCs w:val="16"/>
              </w:rPr>
              <w:t>1.5</w:t>
            </w:r>
          </w:p>
        </w:tc>
      </w:tr>
      <w:tr w:rsidR="006B42D6" w:rsidRPr="006B42D6" w14:paraId="0AF3A3C2" w14:textId="77777777" w:rsidTr="00143C67">
        <w:trPr>
          <w:trHeight w:hRule="exact" w:val="227"/>
        </w:trPr>
        <w:tc>
          <w:tcPr>
            <w:tcW w:w="1668" w:type="dxa"/>
            <w:tcBorders>
              <w:top w:val="nil"/>
              <w:left w:val="nil"/>
              <w:bottom w:val="nil"/>
              <w:right w:val="nil"/>
            </w:tcBorders>
            <w:shd w:val="clear" w:color="auto" w:fill="auto"/>
            <w:noWrap/>
            <w:vAlign w:val="center"/>
            <w:hideMark/>
          </w:tcPr>
          <w:p w14:paraId="7192D3B1" w14:textId="77777777" w:rsidR="008A1E55" w:rsidRPr="006B42D6" w:rsidRDefault="008A1E55" w:rsidP="00E16CAE">
            <w:pPr>
              <w:rPr>
                <w:sz w:val="16"/>
                <w:szCs w:val="16"/>
              </w:rPr>
            </w:pPr>
            <w:r w:rsidRPr="006B42D6">
              <w:rPr>
                <w:sz w:val="16"/>
                <w:szCs w:val="16"/>
              </w:rPr>
              <w:t>Kagera</w:t>
            </w:r>
          </w:p>
        </w:tc>
        <w:tc>
          <w:tcPr>
            <w:tcW w:w="1031" w:type="dxa"/>
            <w:tcBorders>
              <w:top w:val="nil"/>
              <w:left w:val="nil"/>
              <w:bottom w:val="nil"/>
              <w:right w:val="nil"/>
            </w:tcBorders>
            <w:shd w:val="clear" w:color="auto" w:fill="auto"/>
            <w:noWrap/>
            <w:vAlign w:val="center"/>
            <w:hideMark/>
          </w:tcPr>
          <w:p w14:paraId="28D01959" w14:textId="77777777" w:rsidR="008A1E55" w:rsidRPr="006B42D6" w:rsidRDefault="008A1E55" w:rsidP="00E16CAE">
            <w:pPr>
              <w:jc w:val="right"/>
              <w:rPr>
                <w:sz w:val="16"/>
                <w:szCs w:val="16"/>
              </w:rPr>
            </w:pPr>
            <w:r w:rsidRPr="006B42D6">
              <w:rPr>
                <w:sz w:val="16"/>
                <w:szCs w:val="16"/>
              </w:rPr>
              <w:t>3.8</w:t>
            </w:r>
          </w:p>
        </w:tc>
        <w:tc>
          <w:tcPr>
            <w:tcW w:w="800" w:type="dxa"/>
            <w:tcBorders>
              <w:top w:val="nil"/>
              <w:left w:val="nil"/>
              <w:bottom w:val="nil"/>
              <w:right w:val="nil"/>
            </w:tcBorders>
            <w:shd w:val="clear" w:color="auto" w:fill="auto"/>
            <w:noWrap/>
            <w:vAlign w:val="center"/>
            <w:hideMark/>
          </w:tcPr>
          <w:p w14:paraId="52694279" w14:textId="77777777" w:rsidR="008A1E55" w:rsidRPr="006B42D6" w:rsidRDefault="008A1E55" w:rsidP="00E16CAE">
            <w:pPr>
              <w:jc w:val="right"/>
              <w:rPr>
                <w:sz w:val="16"/>
                <w:szCs w:val="16"/>
              </w:rPr>
            </w:pPr>
            <w:r w:rsidRPr="006B42D6">
              <w:rPr>
                <w:sz w:val="16"/>
                <w:szCs w:val="16"/>
              </w:rPr>
              <w:t>6.3</w:t>
            </w:r>
          </w:p>
        </w:tc>
        <w:tc>
          <w:tcPr>
            <w:tcW w:w="804" w:type="dxa"/>
            <w:tcBorders>
              <w:top w:val="nil"/>
              <w:left w:val="nil"/>
              <w:bottom w:val="nil"/>
              <w:right w:val="nil"/>
            </w:tcBorders>
            <w:shd w:val="clear" w:color="auto" w:fill="auto"/>
            <w:noWrap/>
            <w:vAlign w:val="center"/>
            <w:hideMark/>
          </w:tcPr>
          <w:p w14:paraId="2B27FF50" w14:textId="77777777" w:rsidR="008A1E55" w:rsidRPr="006B42D6" w:rsidRDefault="008A1E55" w:rsidP="00E16CAE">
            <w:pPr>
              <w:jc w:val="right"/>
              <w:rPr>
                <w:sz w:val="16"/>
                <w:szCs w:val="16"/>
              </w:rPr>
            </w:pPr>
            <w:r w:rsidRPr="006B42D6">
              <w:rPr>
                <w:sz w:val="16"/>
                <w:szCs w:val="16"/>
              </w:rPr>
              <w:t>13.3</w:t>
            </w:r>
          </w:p>
        </w:tc>
        <w:tc>
          <w:tcPr>
            <w:tcW w:w="1047" w:type="dxa"/>
            <w:tcBorders>
              <w:top w:val="nil"/>
              <w:left w:val="nil"/>
              <w:bottom w:val="nil"/>
              <w:right w:val="nil"/>
            </w:tcBorders>
            <w:shd w:val="clear" w:color="auto" w:fill="auto"/>
            <w:noWrap/>
            <w:vAlign w:val="center"/>
            <w:hideMark/>
          </w:tcPr>
          <w:p w14:paraId="387A745C" w14:textId="77777777" w:rsidR="008A1E55" w:rsidRPr="006B42D6" w:rsidRDefault="008A1E55" w:rsidP="00E16CAE">
            <w:pPr>
              <w:jc w:val="right"/>
              <w:rPr>
                <w:sz w:val="16"/>
                <w:szCs w:val="16"/>
              </w:rPr>
            </w:pPr>
            <w:r w:rsidRPr="006B42D6">
              <w:rPr>
                <w:sz w:val="16"/>
                <w:szCs w:val="16"/>
              </w:rPr>
              <w:t>10.8</w:t>
            </w:r>
          </w:p>
        </w:tc>
        <w:tc>
          <w:tcPr>
            <w:tcW w:w="892" w:type="dxa"/>
            <w:tcBorders>
              <w:top w:val="nil"/>
              <w:left w:val="nil"/>
              <w:bottom w:val="nil"/>
              <w:right w:val="nil"/>
            </w:tcBorders>
            <w:shd w:val="clear" w:color="auto" w:fill="auto"/>
            <w:noWrap/>
            <w:vAlign w:val="center"/>
            <w:hideMark/>
          </w:tcPr>
          <w:p w14:paraId="4CCEAE29" w14:textId="77777777" w:rsidR="008A1E55" w:rsidRPr="006B42D6" w:rsidRDefault="008A1E55" w:rsidP="00E16CAE">
            <w:pPr>
              <w:jc w:val="right"/>
              <w:rPr>
                <w:sz w:val="16"/>
                <w:szCs w:val="16"/>
              </w:rPr>
            </w:pPr>
            <w:r w:rsidRPr="006B42D6">
              <w:rPr>
                <w:sz w:val="16"/>
                <w:szCs w:val="16"/>
              </w:rPr>
              <w:t>11.5</w:t>
            </w:r>
          </w:p>
        </w:tc>
        <w:tc>
          <w:tcPr>
            <w:tcW w:w="1197" w:type="dxa"/>
            <w:tcBorders>
              <w:top w:val="nil"/>
              <w:left w:val="nil"/>
              <w:bottom w:val="nil"/>
              <w:right w:val="nil"/>
            </w:tcBorders>
            <w:shd w:val="clear" w:color="auto" w:fill="auto"/>
            <w:noWrap/>
            <w:vAlign w:val="center"/>
            <w:hideMark/>
          </w:tcPr>
          <w:p w14:paraId="2FFC3256" w14:textId="77777777" w:rsidR="008A1E55" w:rsidRPr="006B42D6" w:rsidRDefault="008A1E55" w:rsidP="00E16CAE">
            <w:pPr>
              <w:jc w:val="right"/>
              <w:rPr>
                <w:sz w:val="16"/>
                <w:szCs w:val="16"/>
              </w:rPr>
            </w:pPr>
            <w:r w:rsidRPr="006B42D6">
              <w:rPr>
                <w:sz w:val="16"/>
                <w:szCs w:val="16"/>
              </w:rPr>
              <w:t>21.6</w:t>
            </w:r>
          </w:p>
        </w:tc>
        <w:tc>
          <w:tcPr>
            <w:tcW w:w="853" w:type="dxa"/>
            <w:tcBorders>
              <w:top w:val="nil"/>
              <w:left w:val="nil"/>
              <w:bottom w:val="nil"/>
              <w:right w:val="nil"/>
            </w:tcBorders>
            <w:shd w:val="clear" w:color="auto" w:fill="auto"/>
            <w:noWrap/>
            <w:vAlign w:val="center"/>
            <w:hideMark/>
          </w:tcPr>
          <w:p w14:paraId="7923E61B" w14:textId="77777777" w:rsidR="008A1E55" w:rsidRPr="006B42D6" w:rsidRDefault="008A1E55" w:rsidP="00E16CAE">
            <w:pPr>
              <w:jc w:val="right"/>
              <w:rPr>
                <w:sz w:val="16"/>
                <w:szCs w:val="16"/>
              </w:rPr>
            </w:pPr>
            <w:r w:rsidRPr="006B42D6">
              <w:rPr>
                <w:sz w:val="16"/>
                <w:szCs w:val="16"/>
              </w:rPr>
              <w:t>-</w:t>
            </w:r>
          </w:p>
        </w:tc>
        <w:tc>
          <w:tcPr>
            <w:tcW w:w="1008" w:type="dxa"/>
            <w:tcBorders>
              <w:top w:val="nil"/>
              <w:left w:val="nil"/>
              <w:bottom w:val="nil"/>
              <w:right w:val="nil"/>
            </w:tcBorders>
            <w:shd w:val="clear" w:color="auto" w:fill="auto"/>
            <w:noWrap/>
            <w:vAlign w:val="center"/>
            <w:hideMark/>
          </w:tcPr>
          <w:p w14:paraId="713F83FB" w14:textId="77777777" w:rsidR="008A1E55" w:rsidRPr="006B42D6" w:rsidRDefault="008A1E55" w:rsidP="00E16CAE">
            <w:pPr>
              <w:jc w:val="right"/>
              <w:rPr>
                <w:sz w:val="16"/>
                <w:szCs w:val="16"/>
              </w:rPr>
            </w:pPr>
            <w:r w:rsidRPr="006B42D6">
              <w:rPr>
                <w:sz w:val="16"/>
                <w:szCs w:val="16"/>
              </w:rPr>
              <w:t>6.9</w:t>
            </w:r>
          </w:p>
        </w:tc>
        <w:tc>
          <w:tcPr>
            <w:tcW w:w="1350" w:type="dxa"/>
            <w:tcBorders>
              <w:top w:val="nil"/>
              <w:left w:val="nil"/>
              <w:bottom w:val="nil"/>
              <w:right w:val="nil"/>
            </w:tcBorders>
            <w:shd w:val="clear" w:color="auto" w:fill="auto"/>
            <w:noWrap/>
            <w:vAlign w:val="center"/>
            <w:hideMark/>
          </w:tcPr>
          <w:p w14:paraId="2CB71CDC" w14:textId="77777777" w:rsidR="008A1E55" w:rsidRPr="006B42D6" w:rsidRDefault="008A1E55" w:rsidP="00E16CAE">
            <w:pPr>
              <w:jc w:val="right"/>
              <w:rPr>
                <w:sz w:val="16"/>
                <w:szCs w:val="16"/>
              </w:rPr>
            </w:pPr>
            <w:r w:rsidRPr="006B42D6">
              <w:rPr>
                <w:sz w:val="16"/>
                <w:szCs w:val="16"/>
              </w:rPr>
              <w:t>4.6</w:t>
            </w:r>
          </w:p>
        </w:tc>
        <w:tc>
          <w:tcPr>
            <w:tcW w:w="1594" w:type="dxa"/>
            <w:tcBorders>
              <w:top w:val="nil"/>
              <w:left w:val="nil"/>
              <w:bottom w:val="nil"/>
              <w:right w:val="nil"/>
            </w:tcBorders>
            <w:shd w:val="clear" w:color="auto" w:fill="auto"/>
            <w:noWrap/>
            <w:vAlign w:val="center"/>
            <w:hideMark/>
          </w:tcPr>
          <w:p w14:paraId="07DAF453" w14:textId="77777777" w:rsidR="008A1E55" w:rsidRPr="006B42D6" w:rsidRDefault="008A1E55" w:rsidP="00E16CAE">
            <w:pPr>
              <w:jc w:val="right"/>
              <w:rPr>
                <w:sz w:val="16"/>
                <w:szCs w:val="16"/>
              </w:rPr>
            </w:pPr>
            <w:r w:rsidRPr="006B42D6">
              <w:rPr>
                <w:sz w:val="16"/>
                <w:szCs w:val="16"/>
              </w:rPr>
              <w:t>12.1</w:t>
            </w:r>
          </w:p>
        </w:tc>
        <w:tc>
          <w:tcPr>
            <w:tcW w:w="804" w:type="dxa"/>
            <w:tcBorders>
              <w:top w:val="nil"/>
              <w:left w:val="nil"/>
              <w:bottom w:val="nil"/>
              <w:right w:val="nil"/>
            </w:tcBorders>
            <w:shd w:val="clear" w:color="auto" w:fill="auto"/>
            <w:noWrap/>
            <w:vAlign w:val="center"/>
            <w:hideMark/>
          </w:tcPr>
          <w:p w14:paraId="75DBC3CE" w14:textId="77777777" w:rsidR="008A1E55" w:rsidRPr="006B42D6" w:rsidRDefault="008A1E55" w:rsidP="00E16CAE">
            <w:pPr>
              <w:jc w:val="right"/>
              <w:rPr>
                <w:sz w:val="16"/>
                <w:szCs w:val="16"/>
              </w:rPr>
            </w:pPr>
            <w:r w:rsidRPr="006B42D6">
              <w:rPr>
                <w:sz w:val="16"/>
                <w:szCs w:val="16"/>
              </w:rPr>
              <w:t>6.3</w:t>
            </w:r>
          </w:p>
        </w:tc>
      </w:tr>
      <w:tr w:rsidR="006B42D6" w:rsidRPr="006B42D6" w14:paraId="345D5ACA" w14:textId="77777777" w:rsidTr="00143C67">
        <w:trPr>
          <w:trHeight w:hRule="exact" w:val="227"/>
        </w:trPr>
        <w:tc>
          <w:tcPr>
            <w:tcW w:w="1668" w:type="dxa"/>
            <w:tcBorders>
              <w:top w:val="nil"/>
              <w:left w:val="nil"/>
              <w:bottom w:val="nil"/>
              <w:right w:val="nil"/>
            </w:tcBorders>
            <w:shd w:val="clear" w:color="auto" w:fill="auto"/>
            <w:noWrap/>
            <w:vAlign w:val="center"/>
            <w:hideMark/>
          </w:tcPr>
          <w:p w14:paraId="3FDE0EEF" w14:textId="77777777" w:rsidR="008A1E55" w:rsidRPr="006B42D6" w:rsidRDefault="008A1E55" w:rsidP="00E16CAE">
            <w:pPr>
              <w:rPr>
                <w:sz w:val="16"/>
                <w:szCs w:val="16"/>
              </w:rPr>
            </w:pPr>
            <w:r w:rsidRPr="006B42D6">
              <w:rPr>
                <w:sz w:val="16"/>
                <w:szCs w:val="16"/>
              </w:rPr>
              <w:t>Mwanza</w:t>
            </w:r>
          </w:p>
        </w:tc>
        <w:tc>
          <w:tcPr>
            <w:tcW w:w="1031" w:type="dxa"/>
            <w:tcBorders>
              <w:top w:val="nil"/>
              <w:left w:val="nil"/>
              <w:bottom w:val="nil"/>
              <w:right w:val="nil"/>
            </w:tcBorders>
            <w:shd w:val="clear" w:color="auto" w:fill="auto"/>
            <w:noWrap/>
            <w:vAlign w:val="center"/>
            <w:hideMark/>
          </w:tcPr>
          <w:p w14:paraId="44EFCF46" w14:textId="77777777" w:rsidR="008A1E55" w:rsidRPr="006B42D6" w:rsidRDefault="008A1E55" w:rsidP="00E16CAE">
            <w:pPr>
              <w:jc w:val="right"/>
              <w:rPr>
                <w:sz w:val="16"/>
                <w:szCs w:val="16"/>
              </w:rPr>
            </w:pPr>
            <w:r w:rsidRPr="006B42D6">
              <w:rPr>
                <w:sz w:val="16"/>
                <w:szCs w:val="16"/>
              </w:rPr>
              <w:t>4.2</w:t>
            </w:r>
          </w:p>
        </w:tc>
        <w:tc>
          <w:tcPr>
            <w:tcW w:w="800" w:type="dxa"/>
            <w:tcBorders>
              <w:top w:val="nil"/>
              <w:left w:val="nil"/>
              <w:bottom w:val="nil"/>
              <w:right w:val="nil"/>
            </w:tcBorders>
            <w:shd w:val="clear" w:color="auto" w:fill="auto"/>
            <w:noWrap/>
            <w:vAlign w:val="center"/>
            <w:hideMark/>
          </w:tcPr>
          <w:p w14:paraId="3EEF9236" w14:textId="77777777" w:rsidR="008A1E55" w:rsidRPr="006B42D6" w:rsidRDefault="008A1E55" w:rsidP="00E16CAE">
            <w:pPr>
              <w:jc w:val="right"/>
              <w:rPr>
                <w:sz w:val="16"/>
                <w:szCs w:val="16"/>
              </w:rPr>
            </w:pPr>
            <w:r w:rsidRPr="006B42D6">
              <w:rPr>
                <w:sz w:val="16"/>
                <w:szCs w:val="16"/>
              </w:rPr>
              <w:t>6.0</w:t>
            </w:r>
          </w:p>
        </w:tc>
        <w:tc>
          <w:tcPr>
            <w:tcW w:w="804" w:type="dxa"/>
            <w:tcBorders>
              <w:top w:val="nil"/>
              <w:left w:val="nil"/>
              <w:bottom w:val="nil"/>
              <w:right w:val="nil"/>
            </w:tcBorders>
            <w:shd w:val="clear" w:color="auto" w:fill="auto"/>
            <w:noWrap/>
            <w:vAlign w:val="center"/>
            <w:hideMark/>
          </w:tcPr>
          <w:p w14:paraId="07C8FD09" w14:textId="77777777" w:rsidR="008A1E55" w:rsidRPr="006B42D6" w:rsidRDefault="008A1E55" w:rsidP="00E16CAE">
            <w:pPr>
              <w:jc w:val="right"/>
              <w:rPr>
                <w:sz w:val="16"/>
                <w:szCs w:val="16"/>
              </w:rPr>
            </w:pPr>
            <w:r w:rsidRPr="006B42D6">
              <w:rPr>
                <w:sz w:val="16"/>
                <w:szCs w:val="16"/>
              </w:rPr>
              <w:t>-</w:t>
            </w:r>
          </w:p>
        </w:tc>
        <w:tc>
          <w:tcPr>
            <w:tcW w:w="1047" w:type="dxa"/>
            <w:tcBorders>
              <w:top w:val="nil"/>
              <w:left w:val="nil"/>
              <w:bottom w:val="nil"/>
              <w:right w:val="nil"/>
            </w:tcBorders>
            <w:shd w:val="clear" w:color="auto" w:fill="auto"/>
            <w:noWrap/>
            <w:vAlign w:val="center"/>
            <w:hideMark/>
          </w:tcPr>
          <w:p w14:paraId="449FE676" w14:textId="77777777" w:rsidR="008A1E55" w:rsidRPr="006B42D6" w:rsidRDefault="008A1E55" w:rsidP="00E16CAE">
            <w:pPr>
              <w:jc w:val="right"/>
              <w:rPr>
                <w:sz w:val="16"/>
                <w:szCs w:val="16"/>
              </w:rPr>
            </w:pPr>
            <w:r w:rsidRPr="006B42D6">
              <w:rPr>
                <w:sz w:val="16"/>
                <w:szCs w:val="16"/>
              </w:rPr>
              <w:t>2.2</w:t>
            </w:r>
          </w:p>
        </w:tc>
        <w:tc>
          <w:tcPr>
            <w:tcW w:w="892" w:type="dxa"/>
            <w:tcBorders>
              <w:top w:val="nil"/>
              <w:left w:val="nil"/>
              <w:bottom w:val="nil"/>
              <w:right w:val="nil"/>
            </w:tcBorders>
            <w:shd w:val="clear" w:color="auto" w:fill="auto"/>
            <w:noWrap/>
            <w:vAlign w:val="center"/>
            <w:hideMark/>
          </w:tcPr>
          <w:p w14:paraId="45590C71" w14:textId="77777777" w:rsidR="008A1E55" w:rsidRPr="006B42D6" w:rsidRDefault="008A1E55" w:rsidP="00E16CAE">
            <w:pPr>
              <w:jc w:val="right"/>
              <w:rPr>
                <w:sz w:val="16"/>
                <w:szCs w:val="16"/>
              </w:rPr>
            </w:pPr>
            <w:r w:rsidRPr="006B42D6">
              <w:rPr>
                <w:sz w:val="16"/>
                <w:szCs w:val="16"/>
              </w:rPr>
              <w:t>3.1</w:t>
            </w:r>
          </w:p>
        </w:tc>
        <w:tc>
          <w:tcPr>
            <w:tcW w:w="1197" w:type="dxa"/>
            <w:tcBorders>
              <w:top w:val="nil"/>
              <w:left w:val="nil"/>
              <w:bottom w:val="nil"/>
              <w:right w:val="nil"/>
            </w:tcBorders>
            <w:shd w:val="clear" w:color="auto" w:fill="auto"/>
            <w:noWrap/>
            <w:vAlign w:val="center"/>
            <w:hideMark/>
          </w:tcPr>
          <w:p w14:paraId="043F2126" w14:textId="77777777" w:rsidR="008A1E55" w:rsidRPr="006B42D6" w:rsidRDefault="008A1E55" w:rsidP="00E16CAE">
            <w:pPr>
              <w:jc w:val="right"/>
              <w:rPr>
                <w:sz w:val="16"/>
                <w:szCs w:val="16"/>
              </w:rPr>
            </w:pPr>
            <w:r w:rsidRPr="006B42D6">
              <w:rPr>
                <w:sz w:val="16"/>
                <w:szCs w:val="16"/>
              </w:rPr>
              <w:t>1.1</w:t>
            </w:r>
          </w:p>
        </w:tc>
        <w:tc>
          <w:tcPr>
            <w:tcW w:w="853" w:type="dxa"/>
            <w:tcBorders>
              <w:top w:val="nil"/>
              <w:left w:val="nil"/>
              <w:bottom w:val="nil"/>
              <w:right w:val="nil"/>
            </w:tcBorders>
            <w:shd w:val="clear" w:color="auto" w:fill="auto"/>
            <w:noWrap/>
            <w:vAlign w:val="center"/>
            <w:hideMark/>
          </w:tcPr>
          <w:p w14:paraId="04E756F8" w14:textId="77777777" w:rsidR="008A1E55" w:rsidRPr="006B42D6" w:rsidRDefault="008A1E55" w:rsidP="00E16CAE">
            <w:pPr>
              <w:jc w:val="right"/>
              <w:rPr>
                <w:sz w:val="16"/>
                <w:szCs w:val="16"/>
              </w:rPr>
            </w:pPr>
            <w:r w:rsidRPr="006B42D6">
              <w:rPr>
                <w:sz w:val="16"/>
                <w:szCs w:val="16"/>
              </w:rPr>
              <w:t>1.6</w:t>
            </w:r>
          </w:p>
        </w:tc>
        <w:tc>
          <w:tcPr>
            <w:tcW w:w="1008" w:type="dxa"/>
            <w:tcBorders>
              <w:top w:val="nil"/>
              <w:left w:val="nil"/>
              <w:bottom w:val="nil"/>
              <w:right w:val="nil"/>
            </w:tcBorders>
            <w:shd w:val="clear" w:color="auto" w:fill="auto"/>
            <w:noWrap/>
            <w:vAlign w:val="center"/>
            <w:hideMark/>
          </w:tcPr>
          <w:p w14:paraId="3A00295B" w14:textId="77777777" w:rsidR="008A1E55" w:rsidRPr="006B42D6" w:rsidRDefault="008A1E55" w:rsidP="00E16CAE">
            <w:pPr>
              <w:jc w:val="right"/>
              <w:rPr>
                <w:sz w:val="16"/>
                <w:szCs w:val="16"/>
              </w:rPr>
            </w:pPr>
            <w:r w:rsidRPr="006B42D6">
              <w:rPr>
                <w:sz w:val="16"/>
                <w:szCs w:val="16"/>
              </w:rPr>
              <w:t>3.6</w:t>
            </w:r>
          </w:p>
        </w:tc>
        <w:tc>
          <w:tcPr>
            <w:tcW w:w="1350" w:type="dxa"/>
            <w:tcBorders>
              <w:top w:val="nil"/>
              <w:left w:val="nil"/>
              <w:bottom w:val="nil"/>
              <w:right w:val="nil"/>
            </w:tcBorders>
            <w:shd w:val="clear" w:color="auto" w:fill="auto"/>
            <w:noWrap/>
            <w:vAlign w:val="center"/>
            <w:hideMark/>
          </w:tcPr>
          <w:p w14:paraId="333F69EB" w14:textId="77777777" w:rsidR="008A1E55" w:rsidRPr="006B42D6" w:rsidRDefault="008A1E55" w:rsidP="00E16CAE">
            <w:pPr>
              <w:jc w:val="right"/>
              <w:rPr>
                <w:sz w:val="16"/>
                <w:szCs w:val="16"/>
              </w:rPr>
            </w:pPr>
            <w:r w:rsidRPr="006B42D6">
              <w:rPr>
                <w:sz w:val="16"/>
                <w:szCs w:val="16"/>
              </w:rPr>
              <w:t>6.3</w:t>
            </w:r>
          </w:p>
        </w:tc>
        <w:tc>
          <w:tcPr>
            <w:tcW w:w="1594" w:type="dxa"/>
            <w:tcBorders>
              <w:top w:val="nil"/>
              <w:left w:val="nil"/>
              <w:bottom w:val="nil"/>
              <w:right w:val="nil"/>
            </w:tcBorders>
            <w:shd w:val="clear" w:color="auto" w:fill="auto"/>
            <w:noWrap/>
            <w:vAlign w:val="center"/>
            <w:hideMark/>
          </w:tcPr>
          <w:p w14:paraId="22CF1864" w14:textId="77777777" w:rsidR="008A1E55" w:rsidRPr="006B42D6" w:rsidRDefault="008A1E55" w:rsidP="00E16CAE">
            <w:pPr>
              <w:jc w:val="right"/>
              <w:rPr>
                <w:sz w:val="16"/>
                <w:szCs w:val="16"/>
              </w:rPr>
            </w:pPr>
            <w:r w:rsidRPr="006B42D6">
              <w:rPr>
                <w:sz w:val="16"/>
                <w:szCs w:val="16"/>
              </w:rPr>
              <w:t>1.9</w:t>
            </w:r>
          </w:p>
        </w:tc>
        <w:tc>
          <w:tcPr>
            <w:tcW w:w="804" w:type="dxa"/>
            <w:tcBorders>
              <w:top w:val="nil"/>
              <w:left w:val="nil"/>
              <w:bottom w:val="nil"/>
              <w:right w:val="nil"/>
            </w:tcBorders>
            <w:shd w:val="clear" w:color="auto" w:fill="auto"/>
            <w:noWrap/>
            <w:vAlign w:val="center"/>
            <w:hideMark/>
          </w:tcPr>
          <w:p w14:paraId="7DE77AC2" w14:textId="77777777" w:rsidR="008A1E55" w:rsidRPr="006B42D6" w:rsidRDefault="008A1E55" w:rsidP="00E16CAE">
            <w:pPr>
              <w:jc w:val="right"/>
              <w:rPr>
                <w:sz w:val="16"/>
                <w:szCs w:val="16"/>
              </w:rPr>
            </w:pPr>
            <w:r w:rsidRPr="006B42D6">
              <w:rPr>
                <w:sz w:val="16"/>
                <w:szCs w:val="16"/>
              </w:rPr>
              <w:t>3.6</w:t>
            </w:r>
          </w:p>
        </w:tc>
      </w:tr>
      <w:tr w:rsidR="006B42D6" w:rsidRPr="006B42D6" w14:paraId="67104C5E" w14:textId="77777777" w:rsidTr="00143C67">
        <w:trPr>
          <w:trHeight w:hRule="exact" w:val="227"/>
        </w:trPr>
        <w:tc>
          <w:tcPr>
            <w:tcW w:w="1668" w:type="dxa"/>
            <w:tcBorders>
              <w:top w:val="nil"/>
              <w:left w:val="nil"/>
              <w:bottom w:val="nil"/>
              <w:right w:val="nil"/>
            </w:tcBorders>
            <w:shd w:val="clear" w:color="auto" w:fill="auto"/>
            <w:noWrap/>
            <w:vAlign w:val="center"/>
            <w:hideMark/>
          </w:tcPr>
          <w:p w14:paraId="7C70CA06" w14:textId="77777777" w:rsidR="008A1E55" w:rsidRPr="006B42D6" w:rsidRDefault="008A1E55" w:rsidP="00E16CAE">
            <w:pPr>
              <w:rPr>
                <w:sz w:val="16"/>
                <w:szCs w:val="16"/>
              </w:rPr>
            </w:pPr>
            <w:r w:rsidRPr="006B42D6">
              <w:rPr>
                <w:sz w:val="16"/>
                <w:szCs w:val="16"/>
              </w:rPr>
              <w:t>Mara</w:t>
            </w:r>
          </w:p>
        </w:tc>
        <w:tc>
          <w:tcPr>
            <w:tcW w:w="1031" w:type="dxa"/>
            <w:tcBorders>
              <w:top w:val="nil"/>
              <w:left w:val="nil"/>
              <w:bottom w:val="nil"/>
              <w:right w:val="nil"/>
            </w:tcBorders>
            <w:shd w:val="clear" w:color="auto" w:fill="auto"/>
            <w:noWrap/>
            <w:vAlign w:val="center"/>
            <w:hideMark/>
          </w:tcPr>
          <w:p w14:paraId="0E0355CC" w14:textId="77777777" w:rsidR="008A1E55" w:rsidRPr="006B42D6" w:rsidRDefault="008A1E55" w:rsidP="00E16CAE">
            <w:pPr>
              <w:jc w:val="right"/>
              <w:rPr>
                <w:sz w:val="16"/>
                <w:szCs w:val="16"/>
              </w:rPr>
            </w:pPr>
            <w:r w:rsidRPr="006B42D6">
              <w:rPr>
                <w:sz w:val="16"/>
                <w:szCs w:val="16"/>
              </w:rPr>
              <w:t>1.8</w:t>
            </w:r>
          </w:p>
        </w:tc>
        <w:tc>
          <w:tcPr>
            <w:tcW w:w="800" w:type="dxa"/>
            <w:tcBorders>
              <w:top w:val="nil"/>
              <w:left w:val="nil"/>
              <w:bottom w:val="nil"/>
              <w:right w:val="nil"/>
            </w:tcBorders>
            <w:shd w:val="clear" w:color="auto" w:fill="auto"/>
            <w:noWrap/>
            <w:vAlign w:val="center"/>
            <w:hideMark/>
          </w:tcPr>
          <w:p w14:paraId="30FF3246" w14:textId="77777777" w:rsidR="008A1E55" w:rsidRPr="006B42D6" w:rsidRDefault="008A1E55" w:rsidP="00E16CAE">
            <w:pPr>
              <w:jc w:val="right"/>
              <w:rPr>
                <w:sz w:val="16"/>
                <w:szCs w:val="16"/>
              </w:rPr>
            </w:pPr>
            <w:r w:rsidRPr="006B42D6">
              <w:rPr>
                <w:sz w:val="16"/>
                <w:szCs w:val="16"/>
              </w:rPr>
              <w:t>3.9</w:t>
            </w:r>
          </w:p>
        </w:tc>
        <w:tc>
          <w:tcPr>
            <w:tcW w:w="804" w:type="dxa"/>
            <w:tcBorders>
              <w:top w:val="nil"/>
              <w:left w:val="nil"/>
              <w:bottom w:val="nil"/>
              <w:right w:val="nil"/>
            </w:tcBorders>
            <w:shd w:val="clear" w:color="auto" w:fill="auto"/>
            <w:noWrap/>
            <w:vAlign w:val="center"/>
            <w:hideMark/>
          </w:tcPr>
          <w:p w14:paraId="493885FD" w14:textId="77777777" w:rsidR="008A1E55" w:rsidRPr="006B42D6" w:rsidRDefault="008A1E55" w:rsidP="00E16CAE">
            <w:pPr>
              <w:jc w:val="right"/>
              <w:rPr>
                <w:sz w:val="16"/>
                <w:szCs w:val="16"/>
              </w:rPr>
            </w:pPr>
            <w:r w:rsidRPr="006B42D6">
              <w:rPr>
                <w:sz w:val="16"/>
                <w:szCs w:val="16"/>
              </w:rPr>
              <w:t>3.0</w:t>
            </w:r>
          </w:p>
        </w:tc>
        <w:tc>
          <w:tcPr>
            <w:tcW w:w="1047" w:type="dxa"/>
            <w:tcBorders>
              <w:top w:val="nil"/>
              <w:left w:val="nil"/>
              <w:bottom w:val="nil"/>
              <w:right w:val="nil"/>
            </w:tcBorders>
            <w:shd w:val="clear" w:color="auto" w:fill="auto"/>
            <w:noWrap/>
            <w:vAlign w:val="center"/>
            <w:hideMark/>
          </w:tcPr>
          <w:p w14:paraId="18791D98" w14:textId="77777777" w:rsidR="008A1E55" w:rsidRPr="006B42D6" w:rsidRDefault="008A1E55" w:rsidP="00E16CAE">
            <w:pPr>
              <w:jc w:val="right"/>
              <w:rPr>
                <w:sz w:val="16"/>
                <w:szCs w:val="16"/>
              </w:rPr>
            </w:pPr>
            <w:r w:rsidRPr="006B42D6">
              <w:rPr>
                <w:sz w:val="16"/>
                <w:szCs w:val="16"/>
              </w:rPr>
              <w:t>4.6</w:t>
            </w:r>
          </w:p>
        </w:tc>
        <w:tc>
          <w:tcPr>
            <w:tcW w:w="892" w:type="dxa"/>
            <w:tcBorders>
              <w:top w:val="nil"/>
              <w:left w:val="nil"/>
              <w:bottom w:val="nil"/>
              <w:right w:val="nil"/>
            </w:tcBorders>
            <w:shd w:val="clear" w:color="auto" w:fill="auto"/>
            <w:noWrap/>
            <w:vAlign w:val="center"/>
            <w:hideMark/>
          </w:tcPr>
          <w:p w14:paraId="79710C29" w14:textId="77777777" w:rsidR="008A1E55" w:rsidRPr="006B42D6" w:rsidRDefault="008A1E55" w:rsidP="00E16CAE">
            <w:pPr>
              <w:jc w:val="right"/>
              <w:rPr>
                <w:sz w:val="16"/>
                <w:szCs w:val="16"/>
              </w:rPr>
            </w:pPr>
            <w:r w:rsidRPr="006B42D6">
              <w:rPr>
                <w:sz w:val="16"/>
                <w:szCs w:val="16"/>
              </w:rPr>
              <w:t>0.9</w:t>
            </w:r>
          </w:p>
        </w:tc>
        <w:tc>
          <w:tcPr>
            <w:tcW w:w="1197" w:type="dxa"/>
            <w:tcBorders>
              <w:top w:val="nil"/>
              <w:left w:val="nil"/>
              <w:bottom w:val="nil"/>
              <w:right w:val="nil"/>
            </w:tcBorders>
            <w:shd w:val="clear" w:color="auto" w:fill="auto"/>
            <w:noWrap/>
            <w:vAlign w:val="center"/>
            <w:hideMark/>
          </w:tcPr>
          <w:p w14:paraId="00EC66BA" w14:textId="77777777" w:rsidR="008A1E55" w:rsidRPr="006B42D6" w:rsidRDefault="008A1E55" w:rsidP="00E16CAE">
            <w:pPr>
              <w:jc w:val="right"/>
              <w:rPr>
                <w:sz w:val="16"/>
                <w:szCs w:val="16"/>
              </w:rPr>
            </w:pPr>
            <w:r w:rsidRPr="006B42D6">
              <w:rPr>
                <w:sz w:val="16"/>
                <w:szCs w:val="16"/>
              </w:rPr>
              <w:t>3.4</w:t>
            </w:r>
          </w:p>
        </w:tc>
        <w:tc>
          <w:tcPr>
            <w:tcW w:w="853" w:type="dxa"/>
            <w:tcBorders>
              <w:top w:val="nil"/>
              <w:left w:val="nil"/>
              <w:bottom w:val="nil"/>
              <w:right w:val="nil"/>
            </w:tcBorders>
            <w:shd w:val="clear" w:color="auto" w:fill="auto"/>
            <w:noWrap/>
            <w:vAlign w:val="center"/>
            <w:hideMark/>
          </w:tcPr>
          <w:p w14:paraId="082D9B5B" w14:textId="77777777" w:rsidR="008A1E55" w:rsidRPr="006B42D6" w:rsidRDefault="008A1E55" w:rsidP="00E16CAE">
            <w:pPr>
              <w:jc w:val="right"/>
              <w:rPr>
                <w:sz w:val="16"/>
                <w:szCs w:val="16"/>
              </w:rPr>
            </w:pPr>
            <w:r w:rsidRPr="006B42D6">
              <w:rPr>
                <w:sz w:val="16"/>
                <w:szCs w:val="16"/>
              </w:rPr>
              <w:t>-</w:t>
            </w:r>
          </w:p>
        </w:tc>
        <w:tc>
          <w:tcPr>
            <w:tcW w:w="1008" w:type="dxa"/>
            <w:tcBorders>
              <w:top w:val="nil"/>
              <w:left w:val="nil"/>
              <w:bottom w:val="nil"/>
              <w:right w:val="nil"/>
            </w:tcBorders>
            <w:shd w:val="clear" w:color="auto" w:fill="auto"/>
            <w:noWrap/>
            <w:vAlign w:val="center"/>
            <w:hideMark/>
          </w:tcPr>
          <w:p w14:paraId="58ADA4DC" w14:textId="77777777" w:rsidR="008A1E55" w:rsidRPr="006B42D6" w:rsidRDefault="008A1E55" w:rsidP="00E16CAE">
            <w:pPr>
              <w:jc w:val="right"/>
              <w:rPr>
                <w:sz w:val="16"/>
                <w:szCs w:val="16"/>
              </w:rPr>
            </w:pPr>
            <w:r w:rsidRPr="006B42D6">
              <w:rPr>
                <w:sz w:val="16"/>
                <w:szCs w:val="16"/>
              </w:rPr>
              <w:t>1.7</w:t>
            </w:r>
          </w:p>
        </w:tc>
        <w:tc>
          <w:tcPr>
            <w:tcW w:w="1350" w:type="dxa"/>
            <w:tcBorders>
              <w:top w:val="nil"/>
              <w:left w:val="nil"/>
              <w:bottom w:val="nil"/>
              <w:right w:val="nil"/>
            </w:tcBorders>
            <w:shd w:val="clear" w:color="auto" w:fill="auto"/>
            <w:noWrap/>
            <w:vAlign w:val="center"/>
            <w:hideMark/>
          </w:tcPr>
          <w:p w14:paraId="189A771C" w14:textId="77777777" w:rsidR="008A1E55" w:rsidRPr="006B42D6" w:rsidRDefault="008A1E55" w:rsidP="00E16CAE">
            <w:pPr>
              <w:jc w:val="right"/>
              <w:rPr>
                <w:sz w:val="16"/>
                <w:szCs w:val="16"/>
              </w:rPr>
            </w:pPr>
            <w:r w:rsidRPr="006B42D6">
              <w:rPr>
                <w:sz w:val="16"/>
                <w:szCs w:val="16"/>
              </w:rPr>
              <w:t>2.7</w:t>
            </w:r>
          </w:p>
        </w:tc>
        <w:tc>
          <w:tcPr>
            <w:tcW w:w="1594" w:type="dxa"/>
            <w:tcBorders>
              <w:top w:val="nil"/>
              <w:left w:val="nil"/>
              <w:bottom w:val="nil"/>
              <w:right w:val="nil"/>
            </w:tcBorders>
            <w:shd w:val="clear" w:color="auto" w:fill="auto"/>
            <w:noWrap/>
            <w:vAlign w:val="center"/>
            <w:hideMark/>
          </w:tcPr>
          <w:p w14:paraId="78D82D9B" w14:textId="77777777" w:rsidR="008A1E55" w:rsidRPr="006B42D6" w:rsidRDefault="008A1E55" w:rsidP="00E16CAE">
            <w:pPr>
              <w:jc w:val="right"/>
              <w:rPr>
                <w:sz w:val="16"/>
                <w:szCs w:val="16"/>
              </w:rPr>
            </w:pPr>
            <w:r w:rsidRPr="006B42D6">
              <w:rPr>
                <w:sz w:val="16"/>
                <w:szCs w:val="16"/>
              </w:rPr>
              <w:t>1.4</w:t>
            </w:r>
          </w:p>
        </w:tc>
        <w:tc>
          <w:tcPr>
            <w:tcW w:w="804" w:type="dxa"/>
            <w:tcBorders>
              <w:top w:val="nil"/>
              <w:left w:val="nil"/>
              <w:bottom w:val="nil"/>
              <w:right w:val="nil"/>
            </w:tcBorders>
            <w:shd w:val="clear" w:color="auto" w:fill="auto"/>
            <w:noWrap/>
            <w:vAlign w:val="center"/>
            <w:hideMark/>
          </w:tcPr>
          <w:p w14:paraId="185A9B9B" w14:textId="77777777" w:rsidR="008A1E55" w:rsidRPr="006B42D6" w:rsidRDefault="008A1E55" w:rsidP="00E16CAE">
            <w:pPr>
              <w:jc w:val="right"/>
              <w:rPr>
                <w:sz w:val="16"/>
                <w:szCs w:val="16"/>
              </w:rPr>
            </w:pPr>
            <w:r w:rsidRPr="006B42D6">
              <w:rPr>
                <w:sz w:val="16"/>
                <w:szCs w:val="16"/>
              </w:rPr>
              <w:t>1.0</w:t>
            </w:r>
          </w:p>
        </w:tc>
      </w:tr>
      <w:tr w:rsidR="006B42D6" w:rsidRPr="006B42D6" w14:paraId="076FCE51" w14:textId="77777777" w:rsidTr="00143C67">
        <w:trPr>
          <w:trHeight w:hRule="exact" w:val="227"/>
        </w:trPr>
        <w:tc>
          <w:tcPr>
            <w:tcW w:w="1668" w:type="dxa"/>
            <w:tcBorders>
              <w:top w:val="nil"/>
              <w:left w:val="nil"/>
              <w:bottom w:val="nil"/>
              <w:right w:val="nil"/>
            </w:tcBorders>
            <w:shd w:val="clear" w:color="auto" w:fill="auto"/>
            <w:noWrap/>
            <w:vAlign w:val="center"/>
            <w:hideMark/>
          </w:tcPr>
          <w:p w14:paraId="774EA1CA" w14:textId="77777777" w:rsidR="008A1E55" w:rsidRPr="006B42D6" w:rsidRDefault="008A1E55" w:rsidP="00E16CAE">
            <w:pPr>
              <w:rPr>
                <w:sz w:val="16"/>
                <w:szCs w:val="16"/>
              </w:rPr>
            </w:pPr>
            <w:r w:rsidRPr="006B42D6">
              <w:rPr>
                <w:sz w:val="16"/>
                <w:szCs w:val="16"/>
              </w:rPr>
              <w:t>Manyara</w:t>
            </w:r>
          </w:p>
        </w:tc>
        <w:tc>
          <w:tcPr>
            <w:tcW w:w="1031" w:type="dxa"/>
            <w:tcBorders>
              <w:top w:val="nil"/>
              <w:left w:val="nil"/>
              <w:bottom w:val="nil"/>
              <w:right w:val="nil"/>
            </w:tcBorders>
            <w:shd w:val="clear" w:color="auto" w:fill="auto"/>
            <w:noWrap/>
            <w:vAlign w:val="center"/>
            <w:hideMark/>
          </w:tcPr>
          <w:p w14:paraId="1EA1B4F3" w14:textId="77777777" w:rsidR="008A1E55" w:rsidRPr="006B42D6" w:rsidRDefault="008A1E55" w:rsidP="00E16CAE">
            <w:pPr>
              <w:jc w:val="right"/>
              <w:rPr>
                <w:sz w:val="16"/>
                <w:szCs w:val="16"/>
              </w:rPr>
            </w:pPr>
            <w:r w:rsidRPr="006B42D6">
              <w:rPr>
                <w:sz w:val="16"/>
                <w:szCs w:val="16"/>
              </w:rPr>
              <w:t>2.7</w:t>
            </w:r>
          </w:p>
        </w:tc>
        <w:tc>
          <w:tcPr>
            <w:tcW w:w="800" w:type="dxa"/>
            <w:tcBorders>
              <w:top w:val="nil"/>
              <w:left w:val="nil"/>
              <w:bottom w:val="nil"/>
              <w:right w:val="nil"/>
            </w:tcBorders>
            <w:shd w:val="clear" w:color="auto" w:fill="auto"/>
            <w:noWrap/>
            <w:vAlign w:val="center"/>
            <w:hideMark/>
          </w:tcPr>
          <w:p w14:paraId="3CA79DC7" w14:textId="77777777" w:rsidR="008A1E55" w:rsidRPr="006B42D6" w:rsidRDefault="008A1E55" w:rsidP="00E16CAE">
            <w:pPr>
              <w:jc w:val="right"/>
              <w:rPr>
                <w:sz w:val="16"/>
                <w:szCs w:val="16"/>
              </w:rPr>
            </w:pPr>
            <w:r w:rsidRPr="006B42D6">
              <w:rPr>
                <w:sz w:val="16"/>
                <w:szCs w:val="16"/>
              </w:rPr>
              <w:t>3.8</w:t>
            </w:r>
          </w:p>
        </w:tc>
        <w:tc>
          <w:tcPr>
            <w:tcW w:w="804" w:type="dxa"/>
            <w:tcBorders>
              <w:top w:val="nil"/>
              <w:left w:val="nil"/>
              <w:bottom w:val="nil"/>
              <w:right w:val="nil"/>
            </w:tcBorders>
            <w:shd w:val="clear" w:color="auto" w:fill="auto"/>
            <w:noWrap/>
            <w:vAlign w:val="center"/>
            <w:hideMark/>
          </w:tcPr>
          <w:p w14:paraId="055CAA6C" w14:textId="77777777" w:rsidR="008A1E55" w:rsidRPr="006B42D6" w:rsidRDefault="008A1E55" w:rsidP="00E16CAE">
            <w:pPr>
              <w:jc w:val="right"/>
              <w:rPr>
                <w:sz w:val="16"/>
                <w:szCs w:val="16"/>
              </w:rPr>
            </w:pPr>
            <w:r w:rsidRPr="006B42D6">
              <w:rPr>
                <w:sz w:val="16"/>
                <w:szCs w:val="16"/>
              </w:rPr>
              <w:t>14.5</w:t>
            </w:r>
          </w:p>
        </w:tc>
        <w:tc>
          <w:tcPr>
            <w:tcW w:w="1047" w:type="dxa"/>
            <w:tcBorders>
              <w:top w:val="nil"/>
              <w:left w:val="nil"/>
              <w:bottom w:val="nil"/>
              <w:right w:val="nil"/>
            </w:tcBorders>
            <w:shd w:val="clear" w:color="auto" w:fill="auto"/>
            <w:noWrap/>
            <w:vAlign w:val="center"/>
            <w:hideMark/>
          </w:tcPr>
          <w:p w14:paraId="4F029D84" w14:textId="77777777" w:rsidR="008A1E55" w:rsidRPr="006B42D6" w:rsidRDefault="008A1E55" w:rsidP="00E16CAE">
            <w:pPr>
              <w:jc w:val="right"/>
              <w:rPr>
                <w:sz w:val="16"/>
                <w:szCs w:val="16"/>
              </w:rPr>
            </w:pPr>
            <w:r w:rsidRPr="006B42D6">
              <w:rPr>
                <w:sz w:val="16"/>
                <w:szCs w:val="16"/>
              </w:rPr>
              <w:t>1.1</w:t>
            </w:r>
          </w:p>
        </w:tc>
        <w:tc>
          <w:tcPr>
            <w:tcW w:w="892" w:type="dxa"/>
            <w:tcBorders>
              <w:top w:val="nil"/>
              <w:left w:val="nil"/>
              <w:bottom w:val="nil"/>
              <w:right w:val="nil"/>
            </w:tcBorders>
            <w:shd w:val="clear" w:color="auto" w:fill="auto"/>
            <w:noWrap/>
            <w:vAlign w:val="center"/>
            <w:hideMark/>
          </w:tcPr>
          <w:p w14:paraId="3261B835" w14:textId="77777777" w:rsidR="008A1E55" w:rsidRPr="006B42D6" w:rsidRDefault="008A1E55" w:rsidP="00E16CAE">
            <w:pPr>
              <w:jc w:val="right"/>
              <w:rPr>
                <w:sz w:val="16"/>
                <w:szCs w:val="16"/>
              </w:rPr>
            </w:pPr>
            <w:r w:rsidRPr="006B42D6">
              <w:rPr>
                <w:sz w:val="16"/>
                <w:szCs w:val="16"/>
              </w:rPr>
              <w:t>1.3</w:t>
            </w:r>
          </w:p>
        </w:tc>
        <w:tc>
          <w:tcPr>
            <w:tcW w:w="1197" w:type="dxa"/>
            <w:tcBorders>
              <w:top w:val="nil"/>
              <w:left w:val="nil"/>
              <w:bottom w:val="nil"/>
              <w:right w:val="nil"/>
            </w:tcBorders>
            <w:shd w:val="clear" w:color="auto" w:fill="auto"/>
            <w:noWrap/>
            <w:vAlign w:val="center"/>
            <w:hideMark/>
          </w:tcPr>
          <w:p w14:paraId="69E48844" w14:textId="77777777" w:rsidR="008A1E55" w:rsidRPr="006B42D6" w:rsidRDefault="008A1E55" w:rsidP="00E16CAE">
            <w:pPr>
              <w:jc w:val="right"/>
              <w:rPr>
                <w:sz w:val="16"/>
                <w:szCs w:val="16"/>
              </w:rPr>
            </w:pPr>
            <w:r w:rsidRPr="006B42D6">
              <w:rPr>
                <w:sz w:val="16"/>
                <w:szCs w:val="16"/>
              </w:rPr>
              <w:t>0.5</w:t>
            </w:r>
          </w:p>
        </w:tc>
        <w:tc>
          <w:tcPr>
            <w:tcW w:w="853" w:type="dxa"/>
            <w:tcBorders>
              <w:top w:val="nil"/>
              <w:left w:val="nil"/>
              <w:bottom w:val="nil"/>
              <w:right w:val="nil"/>
            </w:tcBorders>
            <w:shd w:val="clear" w:color="auto" w:fill="auto"/>
            <w:noWrap/>
            <w:vAlign w:val="center"/>
            <w:hideMark/>
          </w:tcPr>
          <w:p w14:paraId="7F4C8FB0" w14:textId="77777777" w:rsidR="008A1E55" w:rsidRPr="006B42D6" w:rsidRDefault="008A1E55" w:rsidP="00E16CAE">
            <w:pPr>
              <w:jc w:val="right"/>
              <w:rPr>
                <w:sz w:val="16"/>
                <w:szCs w:val="16"/>
              </w:rPr>
            </w:pPr>
            <w:r w:rsidRPr="006B42D6">
              <w:rPr>
                <w:sz w:val="16"/>
                <w:szCs w:val="16"/>
              </w:rPr>
              <w:t>-</w:t>
            </w:r>
          </w:p>
        </w:tc>
        <w:tc>
          <w:tcPr>
            <w:tcW w:w="1008" w:type="dxa"/>
            <w:tcBorders>
              <w:top w:val="nil"/>
              <w:left w:val="nil"/>
              <w:bottom w:val="nil"/>
              <w:right w:val="nil"/>
            </w:tcBorders>
            <w:shd w:val="clear" w:color="auto" w:fill="auto"/>
            <w:noWrap/>
            <w:vAlign w:val="center"/>
            <w:hideMark/>
          </w:tcPr>
          <w:p w14:paraId="37313DDC" w14:textId="77777777" w:rsidR="008A1E55" w:rsidRPr="006B42D6" w:rsidRDefault="008A1E55" w:rsidP="00E16CAE">
            <w:pPr>
              <w:jc w:val="right"/>
              <w:rPr>
                <w:sz w:val="16"/>
                <w:szCs w:val="16"/>
              </w:rPr>
            </w:pPr>
            <w:r w:rsidRPr="006B42D6">
              <w:rPr>
                <w:sz w:val="16"/>
                <w:szCs w:val="16"/>
              </w:rPr>
              <w:t>12.4</w:t>
            </w:r>
          </w:p>
        </w:tc>
        <w:tc>
          <w:tcPr>
            <w:tcW w:w="1350" w:type="dxa"/>
            <w:tcBorders>
              <w:top w:val="nil"/>
              <w:left w:val="nil"/>
              <w:bottom w:val="nil"/>
              <w:right w:val="nil"/>
            </w:tcBorders>
            <w:shd w:val="clear" w:color="auto" w:fill="auto"/>
            <w:noWrap/>
            <w:vAlign w:val="center"/>
            <w:hideMark/>
          </w:tcPr>
          <w:p w14:paraId="771F028D" w14:textId="77777777" w:rsidR="008A1E55" w:rsidRPr="006B42D6" w:rsidRDefault="008A1E55" w:rsidP="00E16CAE">
            <w:pPr>
              <w:jc w:val="right"/>
              <w:rPr>
                <w:sz w:val="16"/>
                <w:szCs w:val="16"/>
              </w:rPr>
            </w:pPr>
            <w:r w:rsidRPr="006B42D6">
              <w:rPr>
                <w:sz w:val="16"/>
                <w:szCs w:val="16"/>
              </w:rPr>
              <w:t>4.3</w:t>
            </w:r>
          </w:p>
        </w:tc>
        <w:tc>
          <w:tcPr>
            <w:tcW w:w="1594" w:type="dxa"/>
            <w:tcBorders>
              <w:top w:val="nil"/>
              <w:left w:val="nil"/>
              <w:bottom w:val="nil"/>
              <w:right w:val="nil"/>
            </w:tcBorders>
            <w:shd w:val="clear" w:color="auto" w:fill="auto"/>
            <w:noWrap/>
            <w:vAlign w:val="center"/>
            <w:hideMark/>
          </w:tcPr>
          <w:p w14:paraId="7BB1CF0F" w14:textId="77777777" w:rsidR="008A1E55" w:rsidRPr="006B42D6" w:rsidRDefault="008A1E55" w:rsidP="00E16CAE">
            <w:pPr>
              <w:jc w:val="right"/>
              <w:rPr>
                <w:sz w:val="16"/>
                <w:szCs w:val="16"/>
              </w:rPr>
            </w:pPr>
            <w:r w:rsidRPr="006B42D6">
              <w:rPr>
                <w:sz w:val="16"/>
                <w:szCs w:val="16"/>
              </w:rPr>
              <w:t>7.5</w:t>
            </w:r>
          </w:p>
        </w:tc>
        <w:tc>
          <w:tcPr>
            <w:tcW w:w="804" w:type="dxa"/>
            <w:tcBorders>
              <w:top w:val="nil"/>
              <w:left w:val="nil"/>
              <w:bottom w:val="nil"/>
              <w:right w:val="nil"/>
            </w:tcBorders>
            <w:shd w:val="clear" w:color="auto" w:fill="auto"/>
            <w:noWrap/>
            <w:vAlign w:val="center"/>
            <w:hideMark/>
          </w:tcPr>
          <w:p w14:paraId="6F616BC1" w14:textId="77777777" w:rsidR="008A1E55" w:rsidRPr="006B42D6" w:rsidRDefault="008A1E55" w:rsidP="00E16CAE">
            <w:pPr>
              <w:jc w:val="right"/>
              <w:rPr>
                <w:sz w:val="16"/>
                <w:szCs w:val="16"/>
              </w:rPr>
            </w:pPr>
            <w:r w:rsidRPr="006B42D6">
              <w:rPr>
                <w:sz w:val="16"/>
                <w:szCs w:val="16"/>
              </w:rPr>
              <w:t>4.3</w:t>
            </w:r>
          </w:p>
        </w:tc>
      </w:tr>
      <w:tr w:rsidR="006B42D6" w:rsidRPr="006B42D6" w14:paraId="76D76950" w14:textId="77777777" w:rsidTr="00143C67">
        <w:trPr>
          <w:trHeight w:hRule="exact" w:val="227"/>
        </w:trPr>
        <w:tc>
          <w:tcPr>
            <w:tcW w:w="1668" w:type="dxa"/>
            <w:tcBorders>
              <w:top w:val="nil"/>
              <w:left w:val="nil"/>
              <w:bottom w:val="nil"/>
              <w:right w:val="nil"/>
            </w:tcBorders>
            <w:shd w:val="clear" w:color="auto" w:fill="auto"/>
            <w:noWrap/>
            <w:vAlign w:val="center"/>
            <w:hideMark/>
          </w:tcPr>
          <w:p w14:paraId="674AAEFF" w14:textId="77777777" w:rsidR="008A1E55" w:rsidRPr="006B42D6" w:rsidRDefault="008A1E55" w:rsidP="00E16CAE">
            <w:pPr>
              <w:rPr>
                <w:sz w:val="16"/>
                <w:szCs w:val="16"/>
              </w:rPr>
            </w:pPr>
            <w:r w:rsidRPr="006B42D6">
              <w:rPr>
                <w:sz w:val="16"/>
                <w:szCs w:val="16"/>
              </w:rPr>
              <w:t>Njombe</w:t>
            </w:r>
          </w:p>
        </w:tc>
        <w:tc>
          <w:tcPr>
            <w:tcW w:w="1031" w:type="dxa"/>
            <w:tcBorders>
              <w:top w:val="nil"/>
              <w:left w:val="nil"/>
              <w:bottom w:val="nil"/>
              <w:right w:val="nil"/>
            </w:tcBorders>
            <w:shd w:val="clear" w:color="auto" w:fill="auto"/>
            <w:noWrap/>
            <w:vAlign w:val="center"/>
            <w:hideMark/>
          </w:tcPr>
          <w:p w14:paraId="372867F8" w14:textId="77777777" w:rsidR="008A1E55" w:rsidRPr="006B42D6" w:rsidRDefault="008A1E55" w:rsidP="00E16CAE">
            <w:pPr>
              <w:jc w:val="right"/>
              <w:rPr>
                <w:sz w:val="16"/>
                <w:szCs w:val="16"/>
              </w:rPr>
            </w:pPr>
            <w:r w:rsidRPr="006B42D6">
              <w:rPr>
                <w:sz w:val="16"/>
                <w:szCs w:val="16"/>
              </w:rPr>
              <w:t>2.3</w:t>
            </w:r>
          </w:p>
        </w:tc>
        <w:tc>
          <w:tcPr>
            <w:tcW w:w="800" w:type="dxa"/>
            <w:tcBorders>
              <w:top w:val="nil"/>
              <w:left w:val="nil"/>
              <w:bottom w:val="nil"/>
              <w:right w:val="nil"/>
            </w:tcBorders>
            <w:shd w:val="clear" w:color="auto" w:fill="auto"/>
            <w:noWrap/>
            <w:vAlign w:val="center"/>
            <w:hideMark/>
          </w:tcPr>
          <w:p w14:paraId="24296E2F" w14:textId="77777777" w:rsidR="008A1E55" w:rsidRPr="006B42D6" w:rsidRDefault="008A1E55" w:rsidP="00E16CAE">
            <w:pPr>
              <w:jc w:val="right"/>
              <w:rPr>
                <w:sz w:val="16"/>
                <w:szCs w:val="16"/>
              </w:rPr>
            </w:pPr>
            <w:r w:rsidRPr="006B42D6">
              <w:rPr>
                <w:sz w:val="16"/>
                <w:szCs w:val="16"/>
              </w:rPr>
              <w:t>2.7</w:t>
            </w:r>
          </w:p>
        </w:tc>
        <w:tc>
          <w:tcPr>
            <w:tcW w:w="804" w:type="dxa"/>
            <w:tcBorders>
              <w:top w:val="nil"/>
              <w:left w:val="nil"/>
              <w:bottom w:val="nil"/>
              <w:right w:val="nil"/>
            </w:tcBorders>
            <w:shd w:val="clear" w:color="auto" w:fill="auto"/>
            <w:noWrap/>
            <w:vAlign w:val="center"/>
            <w:hideMark/>
          </w:tcPr>
          <w:p w14:paraId="6474D9CA" w14:textId="77777777" w:rsidR="008A1E55" w:rsidRPr="006B42D6" w:rsidRDefault="008A1E55" w:rsidP="00E16CAE">
            <w:pPr>
              <w:jc w:val="right"/>
              <w:rPr>
                <w:sz w:val="16"/>
                <w:szCs w:val="16"/>
              </w:rPr>
            </w:pPr>
            <w:r w:rsidRPr="006B42D6">
              <w:rPr>
                <w:sz w:val="16"/>
                <w:szCs w:val="16"/>
              </w:rPr>
              <w:t>2.4</w:t>
            </w:r>
          </w:p>
        </w:tc>
        <w:tc>
          <w:tcPr>
            <w:tcW w:w="1047" w:type="dxa"/>
            <w:tcBorders>
              <w:top w:val="nil"/>
              <w:left w:val="nil"/>
              <w:bottom w:val="nil"/>
              <w:right w:val="nil"/>
            </w:tcBorders>
            <w:shd w:val="clear" w:color="auto" w:fill="auto"/>
            <w:noWrap/>
            <w:vAlign w:val="center"/>
            <w:hideMark/>
          </w:tcPr>
          <w:p w14:paraId="71D3F69E" w14:textId="77777777" w:rsidR="008A1E55" w:rsidRPr="006B42D6" w:rsidRDefault="008A1E55" w:rsidP="00E16CAE">
            <w:pPr>
              <w:jc w:val="right"/>
              <w:rPr>
                <w:sz w:val="16"/>
                <w:szCs w:val="16"/>
              </w:rPr>
            </w:pPr>
            <w:r w:rsidRPr="006B42D6">
              <w:rPr>
                <w:sz w:val="16"/>
                <w:szCs w:val="16"/>
              </w:rPr>
              <w:t>1.7</w:t>
            </w:r>
          </w:p>
        </w:tc>
        <w:tc>
          <w:tcPr>
            <w:tcW w:w="892" w:type="dxa"/>
            <w:tcBorders>
              <w:top w:val="nil"/>
              <w:left w:val="nil"/>
              <w:bottom w:val="nil"/>
              <w:right w:val="nil"/>
            </w:tcBorders>
            <w:shd w:val="clear" w:color="auto" w:fill="auto"/>
            <w:noWrap/>
            <w:vAlign w:val="center"/>
            <w:hideMark/>
          </w:tcPr>
          <w:p w14:paraId="6BA8FC3D" w14:textId="77777777" w:rsidR="008A1E55" w:rsidRPr="006B42D6" w:rsidRDefault="008A1E55" w:rsidP="00E16CAE">
            <w:pPr>
              <w:jc w:val="right"/>
              <w:rPr>
                <w:sz w:val="16"/>
                <w:szCs w:val="16"/>
              </w:rPr>
            </w:pPr>
            <w:r w:rsidRPr="006B42D6">
              <w:rPr>
                <w:sz w:val="16"/>
                <w:szCs w:val="16"/>
              </w:rPr>
              <w:t>-</w:t>
            </w:r>
          </w:p>
        </w:tc>
        <w:tc>
          <w:tcPr>
            <w:tcW w:w="1197" w:type="dxa"/>
            <w:tcBorders>
              <w:top w:val="nil"/>
              <w:left w:val="nil"/>
              <w:bottom w:val="nil"/>
              <w:right w:val="nil"/>
            </w:tcBorders>
            <w:shd w:val="clear" w:color="auto" w:fill="auto"/>
            <w:noWrap/>
            <w:vAlign w:val="center"/>
            <w:hideMark/>
          </w:tcPr>
          <w:p w14:paraId="4CE19F47" w14:textId="77777777" w:rsidR="008A1E55" w:rsidRPr="006B42D6" w:rsidRDefault="008A1E55" w:rsidP="00E16CAE">
            <w:pPr>
              <w:jc w:val="right"/>
              <w:rPr>
                <w:sz w:val="16"/>
                <w:szCs w:val="16"/>
              </w:rPr>
            </w:pPr>
            <w:r w:rsidRPr="006B42D6">
              <w:rPr>
                <w:sz w:val="16"/>
                <w:szCs w:val="16"/>
              </w:rPr>
              <w:t>0.4</w:t>
            </w:r>
          </w:p>
        </w:tc>
        <w:tc>
          <w:tcPr>
            <w:tcW w:w="853" w:type="dxa"/>
            <w:tcBorders>
              <w:top w:val="nil"/>
              <w:left w:val="nil"/>
              <w:bottom w:val="nil"/>
              <w:right w:val="nil"/>
            </w:tcBorders>
            <w:shd w:val="clear" w:color="auto" w:fill="auto"/>
            <w:noWrap/>
            <w:vAlign w:val="center"/>
            <w:hideMark/>
          </w:tcPr>
          <w:p w14:paraId="06A84F06" w14:textId="77777777" w:rsidR="008A1E55" w:rsidRPr="006B42D6" w:rsidRDefault="008A1E55" w:rsidP="00E16CAE">
            <w:pPr>
              <w:jc w:val="right"/>
              <w:rPr>
                <w:sz w:val="16"/>
                <w:szCs w:val="16"/>
              </w:rPr>
            </w:pPr>
            <w:r w:rsidRPr="006B42D6">
              <w:rPr>
                <w:sz w:val="16"/>
                <w:szCs w:val="16"/>
              </w:rPr>
              <w:t>3.2</w:t>
            </w:r>
          </w:p>
        </w:tc>
        <w:tc>
          <w:tcPr>
            <w:tcW w:w="1008" w:type="dxa"/>
            <w:tcBorders>
              <w:top w:val="nil"/>
              <w:left w:val="nil"/>
              <w:bottom w:val="nil"/>
              <w:right w:val="nil"/>
            </w:tcBorders>
            <w:shd w:val="clear" w:color="auto" w:fill="auto"/>
            <w:noWrap/>
            <w:vAlign w:val="center"/>
            <w:hideMark/>
          </w:tcPr>
          <w:p w14:paraId="01EC3FB2" w14:textId="77777777" w:rsidR="008A1E55" w:rsidRPr="006B42D6" w:rsidRDefault="008A1E55" w:rsidP="00E16CAE">
            <w:pPr>
              <w:jc w:val="right"/>
              <w:rPr>
                <w:sz w:val="16"/>
                <w:szCs w:val="16"/>
              </w:rPr>
            </w:pPr>
            <w:r w:rsidRPr="006B42D6">
              <w:rPr>
                <w:sz w:val="16"/>
                <w:szCs w:val="16"/>
              </w:rPr>
              <w:t>2.9</w:t>
            </w:r>
          </w:p>
        </w:tc>
        <w:tc>
          <w:tcPr>
            <w:tcW w:w="1350" w:type="dxa"/>
            <w:tcBorders>
              <w:top w:val="nil"/>
              <w:left w:val="nil"/>
              <w:bottom w:val="nil"/>
              <w:right w:val="nil"/>
            </w:tcBorders>
            <w:shd w:val="clear" w:color="auto" w:fill="auto"/>
            <w:noWrap/>
            <w:vAlign w:val="center"/>
            <w:hideMark/>
          </w:tcPr>
          <w:p w14:paraId="5F545113" w14:textId="77777777" w:rsidR="008A1E55" w:rsidRPr="006B42D6" w:rsidRDefault="008A1E55" w:rsidP="00E16CAE">
            <w:pPr>
              <w:jc w:val="right"/>
              <w:rPr>
                <w:sz w:val="16"/>
                <w:szCs w:val="16"/>
              </w:rPr>
            </w:pPr>
            <w:r w:rsidRPr="006B42D6">
              <w:rPr>
                <w:sz w:val="16"/>
                <w:szCs w:val="16"/>
              </w:rPr>
              <w:t>1.5</w:t>
            </w:r>
          </w:p>
        </w:tc>
        <w:tc>
          <w:tcPr>
            <w:tcW w:w="1594" w:type="dxa"/>
            <w:tcBorders>
              <w:top w:val="nil"/>
              <w:left w:val="nil"/>
              <w:bottom w:val="nil"/>
              <w:right w:val="nil"/>
            </w:tcBorders>
            <w:shd w:val="clear" w:color="auto" w:fill="auto"/>
            <w:noWrap/>
            <w:vAlign w:val="center"/>
            <w:hideMark/>
          </w:tcPr>
          <w:p w14:paraId="40B735B3" w14:textId="77777777" w:rsidR="008A1E55" w:rsidRPr="006B42D6" w:rsidRDefault="008A1E55" w:rsidP="00E16CAE">
            <w:pPr>
              <w:jc w:val="right"/>
              <w:rPr>
                <w:sz w:val="16"/>
                <w:szCs w:val="16"/>
              </w:rPr>
            </w:pPr>
            <w:r w:rsidRPr="006B42D6">
              <w:rPr>
                <w:sz w:val="16"/>
                <w:szCs w:val="16"/>
              </w:rPr>
              <w:t>-</w:t>
            </w:r>
          </w:p>
        </w:tc>
        <w:tc>
          <w:tcPr>
            <w:tcW w:w="804" w:type="dxa"/>
            <w:tcBorders>
              <w:top w:val="nil"/>
              <w:left w:val="nil"/>
              <w:bottom w:val="nil"/>
              <w:right w:val="nil"/>
            </w:tcBorders>
            <w:shd w:val="clear" w:color="auto" w:fill="auto"/>
            <w:noWrap/>
            <w:vAlign w:val="center"/>
            <w:hideMark/>
          </w:tcPr>
          <w:p w14:paraId="4F93DECE" w14:textId="77777777" w:rsidR="008A1E55" w:rsidRPr="006B42D6" w:rsidRDefault="008A1E55" w:rsidP="00E16CAE">
            <w:pPr>
              <w:jc w:val="right"/>
              <w:rPr>
                <w:sz w:val="16"/>
                <w:szCs w:val="16"/>
              </w:rPr>
            </w:pPr>
            <w:r w:rsidRPr="006B42D6">
              <w:rPr>
                <w:sz w:val="16"/>
                <w:szCs w:val="16"/>
              </w:rPr>
              <w:t>1.3</w:t>
            </w:r>
          </w:p>
        </w:tc>
      </w:tr>
      <w:tr w:rsidR="006B42D6" w:rsidRPr="006B42D6" w14:paraId="0C86B53E" w14:textId="77777777" w:rsidTr="00143C67">
        <w:trPr>
          <w:trHeight w:hRule="exact" w:val="227"/>
        </w:trPr>
        <w:tc>
          <w:tcPr>
            <w:tcW w:w="1668" w:type="dxa"/>
            <w:tcBorders>
              <w:top w:val="nil"/>
              <w:left w:val="nil"/>
              <w:bottom w:val="nil"/>
              <w:right w:val="nil"/>
            </w:tcBorders>
            <w:shd w:val="clear" w:color="auto" w:fill="auto"/>
            <w:noWrap/>
            <w:vAlign w:val="center"/>
            <w:hideMark/>
          </w:tcPr>
          <w:p w14:paraId="40F01228" w14:textId="77777777" w:rsidR="008A1E55" w:rsidRPr="006B42D6" w:rsidRDefault="008A1E55" w:rsidP="00E16CAE">
            <w:pPr>
              <w:rPr>
                <w:sz w:val="16"/>
                <w:szCs w:val="16"/>
              </w:rPr>
            </w:pPr>
            <w:r w:rsidRPr="006B42D6">
              <w:rPr>
                <w:sz w:val="16"/>
                <w:szCs w:val="16"/>
              </w:rPr>
              <w:t>Katavi</w:t>
            </w:r>
          </w:p>
        </w:tc>
        <w:tc>
          <w:tcPr>
            <w:tcW w:w="1031" w:type="dxa"/>
            <w:tcBorders>
              <w:top w:val="nil"/>
              <w:left w:val="nil"/>
              <w:bottom w:val="nil"/>
              <w:right w:val="nil"/>
            </w:tcBorders>
            <w:shd w:val="clear" w:color="auto" w:fill="auto"/>
            <w:noWrap/>
            <w:vAlign w:val="center"/>
            <w:hideMark/>
          </w:tcPr>
          <w:p w14:paraId="54F5582E" w14:textId="77777777" w:rsidR="008A1E55" w:rsidRPr="006B42D6" w:rsidRDefault="008A1E55" w:rsidP="00E16CAE">
            <w:pPr>
              <w:jc w:val="right"/>
              <w:rPr>
                <w:sz w:val="16"/>
                <w:szCs w:val="16"/>
              </w:rPr>
            </w:pPr>
            <w:r w:rsidRPr="006B42D6">
              <w:rPr>
                <w:sz w:val="16"/>
                <w:szCs w:val="16"/>
              </w:rPr>
              <w:t>0.7</w:t>
            </w:r>
          </w:p>
        </w:tc>
        <w:tc>
          <w:tcPr>
            <w:tcW w:w="800" w:type="dxa"/>
            <w:tcBorders>
              <w:top w:val="nil"/>
              <w:left w:val="nil"/>
              <w:bottom w:val="nil"/>
              <w:right w:val="nil"/>
            </w:tcBorders>
            <w:shd w:val="clear" w:color="auto" w:fill="auto"/>
            <w:noWrap/>
            <w:vAlign w:val="center"/>
            <w:hideMark/>
          </w:tcPr>
          <w:p w14:paraId="6344B9C5" w14:textId="77777777" w:rsidR="008A1E55" w:rsidRPr="006B42D6" w:rsidRDefault="008A1E55" w:rsidP="00E16CAE">
            <w:pPr>
              <w:jc w:val="right"/>
              <w:rPr>
                <w:sz w:val="16"/>
                <w:szCs w:val="16"/>
              </w:rPr>
            </w:pPr>
            <w:r w:rsidRPr="006B42D6">
              <w:rPr>
                <w:sz w:val="16"/>
                <w:szCs w:val="16"/>
              </w:rPr>
              <w:t>1.4</w:t>
            </w:r>
          </w:p>
        </w:tc>
        <w:tc>
          <w:tcPr>
            <w:tcW w:w="804" w:type="dxa"/>
            <w:tcBorders>
              <w:top w:val="nil"/>
              <w:left w:val="nil"/>
              <w:bottom w:val="nil"/>
              <w:right w:val="nil"/>
            </w:tcBorders>
            <w:shd w:val="clear" w:color="auto" w:fill="auto"/>
            <w:noWrap/>
            <w:vAlign w:val="center"/>
            <w:hideMark/>
          </w:tcPr>
          <w:p w14:paraId="5E97AB55" w14:textId="77777777" w:rsidR="008A1E55" w:rsidRPr="006B42D6" w:rsidRDefault="008A1E55" w:rsidP="00E16CAE">
            <w:pPr>
              <w:jc w:val="right"/>
              <w:rPr>
                <w:sz w:val="16"/>
                <w:szCs w:val="16"/>
              </w:rPr>
            </w:pPr>
            <w:r w:rsidRPr="006B42D6">
              <w:rPr>
                <w:sz w:val="16"/>
                <w:szCs w:val="16"/>
              </w:rPr>
              <w:t>0.9</w:t>
            </w:r>
          </w:p>
        </w:tc>
        <w:tc>
          <w:tcPr>
            <w:tcW w:w="1047" w:type="dxa"/>
            <w:tcBorders>
              <w:top w:val="nil"/>
              <w:left w:val="nil"/>
              <w:bottom w:val="nil"/>
              <w:right w:val="nil"/>
            </w:tcBorders>
            <w:shd w:val="clear" w:color="auto" w:fill="auto"/>
            <w:noWrap/>
            <w:vAlign w:val="center"/>
            <w:hideMark/>
          </w:tcPr>
          <w:p w14:paraId="7B94C3E0" w14:textId="77777777" w:rsidR="008A1E55" w:rsidRPr="006B42D6" w:rsidRDefault="008A1E55" w:rsidP="00E16CAE">
            <w:pPr>
              <w:jc w:val="right"/>
              <w:rPr>
                <w:sz w:val="16"/>
                <w:szCs w:val="16"/>
              </w:rPr>
            </w:pPr>
            <w:r w:rsidRPr="006B42D6">
              <w:rPr>
                <w:sz w:val="16"/>
                <w:szCs w:val="16"/>
              </w:rPr>
              <w:t>0.1</w:t>
            </w:r>
          </w:p>
        </w:tc>
        <w:tc>
          <w:tcPr>
            <w:tcW w:w="892" w:type="dxa"/>
            <w:tcBorders>
              <w:top w:val="nil"/>
              <w:left w:val="nil"/>
              <w:bottom w:val="nil"/>
              <w:right w:val="nil"/>
            </w:tcBorders>
            <w:shd w:val="clear" w:color="auto" w:fill="auto"/>
            <w:noWrap/>
            <w:vAlign w:val="center"/>
            <w:hideMark/>
          </w:tcPr>
          <w:p w14:paraId="152B6D13" w14:textId="77777777" w:rsidR="008A1E55" w:rsidRPr="006B42D6" w:rsidRDefault="008A1E55" w:rsidP="00E16CAE">
            <w:pPr>
              <w:jc w:val="right"/>
              <w:rPr>
                <w:sz w:val="16"/>
                <w:szCs w:val="16"/>
              </w:rPr>
            </w:pPr>
            <w:r w:rsidRPr="006B42D6">
              <w:rPr>
                <w:sz w:val="16"/>
                <w:szCs w:val="16"/>
              </w:rPr>
              <w:t>0.3</w:t>
            </w:r>
          </w:p>
        </w:tc>
        <w:tc>
          <w:tcPr>
            <w:tcW w:w="1197" w:type="dxa"/>
            <w:tcBorders>
              <w:top w:val="nil"/>
              <w:left w:val="nil"/>
              <w:bottom w:val="nil"/>
              <w:right w:val="nil"/>
            </w:tcBorders>
            <w:shd w:val="clear" w:color="auto" w:fill="auto"/>
            <w:noWrap/>
            <w:vAlign w:val="center"/>
            <w:hideMark/>
          </w:tcPr>
          <w:p w14:paraId="3E043FC1" w14:textId="77777777" w:rsidR="008A1E55" w:rsidRPr="006B42D6" w:rsidRDefault="008A1E55" w:rsidP="00E16CAE">
            <w:pPr>
              <w:jc w:val="right"/>
              <w:rPr>
                <w:sz w:val="16"/>
                <w:szCs w:val="16"/>
              </w:rPr>
            </w:pPr>
            <w:r w:rsidRPr="006B42D6">
              <w:rPr>
                <w:sz w:val="16"/>
                <w:szCs w:val="16"/>
              </w:rPr>
              <w:t>0.1</w:t>
            </w:r>
          </w:p>
        </w:tc>
        <w:tc>
          <w:tcPr>
            <w:tcW w:w="853" w:type="dxa"/>
            <w:tcBorders>
              <w:top w:val="nil"/>
              <w:left w:val="nil"/>
              <w:bottom w:val="nil"/>
              <w:right w:val="nil"/>
            </w:tcBorders>
            <w:shd w:val="clear" w:color="auto" w:fill="auto"/>
            <w:noWrap/>
            <w:vAlign w:val="center"/>
            <w:hideMark/>
          </w:tcPr>
          <w:p w14:paraId="440E9E63" w14:textId="77777777" w:rsidR="008A1E55" w:rsidRPr="006B42D6" w:rsidRDefault="008A1E55" w:rsidP="00E16CAE">
            <w:pPr>
              <w:jc w:val="right"/>
              <w:rPr>
                <w:sz w:val="16"/>
                <w:szCs w:val="16"/>
              </w:rPr>
            </w:pPr>
            <w:r w:rsidRPr="006B42D6">
              <w:rPr>
                <w:sz w:val="16"/>
                <w:szCs w:val="16"/>
              </w:rPr>
              <w:t>0.4</w:t>
            </w:r>
          </w:p>
        </w:tc>
        <w:tc>
          <w:tcPr>
            <w:tcW w:w="1008" w:type="dxa"/>
            <w:tcBorders>
              <w:top w:val="nil"/>
              <w:left w:val="nil"/>
              <w:bottom w:val="nil"/>
              <w:right w:val="nil"/>
            </w:tcBorders>
            <w:shd w:val="clear" w:color="auto" w:fill="auto"/>
            <w:noWrap/>
            <w:vAlign w:val="center"/>
            <w:hideMark/>
          </w:tcPr>
          <w:p w14:paraId="7FDF1C8B" w14:textId="77777777" w:rsidR="008A1E55" w:rsidRPr="006B42D6" w:rsidRDefault="008A1E55" w:rsidP="00E16CAE">
            <w:pPr>
              <w:jc w:val="right"/>
              <w:rPr>
                <w:sz w:val="16"/>
                <w:szCs w:val="16"/>
              </w:rPr>
            </w:pPr>
            <w:r w:rsidRPr="006B42D6">
              <w:rPr>
                <w:sz w:val="16"/>
                <w:szCs w:val="16"/>
              </w:rPr>
              <w:t>0.2</w:t>
            </w:r>
          </w:p>
        </w:tc>
        <w:tc>
          <w:tcPr>
            <w:tcW w:w="1350" w:type="dxa"/>
            <w:tcBorders>
              <w:top w:val="nil"/>
              <w:left w:val="nil"/>
              <w:bottom w:val="nil"/>
              <w:right w:val="nil"/>
            </w:tcBorders>
            <w:shd w:val="clear" w:color="auto" w:fill="auto"/>
            <w:noWrap/>
            <w:vAlign w:val="center"/>
            <w:hideMark/>
          </w:tcPr>
          <w:p w14:paraId="2D5705DF" w14:textId="77777777" w:rsidR="008A1E55" w:rsidRPr="006B42D6" w:rsidRDefault="008A1E55" w:rsidP="00E16CAE">
            <w:pPr>
              <w:jc w:val="right"/>
              <w:rPr>
                <w:sz w:val="16"/>
                <w:szCs w:val="16"/>
              </w:rPr>
            </w:pPr>
            <w:r w:rsidRPr="006B42D6">
              <w:rPr>
                <w:sz w:val="16"/>
                <w:szCs w:val="16"/>
              </w:rPr>
              <w:t>1.0</w:t>
            </w:r>
          </w:p>
        </w:tc>
        <w:tc>
          <w:tcPr>
            <w:tcW w:w="1594" w:type="dxa"/>
            <w:tcBorders>
              <w:top w:val="nil"/>
              <w:left w:val="nil"/>
              <w:bottom w:val="nil"/>
              <w:right w:val="nil"/>
            </w:tcBorders>
            <w:shd w:val="clear" w:color="auto" w:fill="auto"/>
            <w:noWrap/>
            <w:vAlign w:val="center"/>
            <w:hideMark/>
          </w:tcPr>
          <w:p w14:paraId="7E88FBC6" w14:textId="77777777" w:rsidR="008A1E55" w:rsidRPr="006B42D6" w:rsidRDefault="008A1E55" w:rsidP="00E16CAE">
            <w:pPr>
              <w:jc w:val="right"/>
              <w:rPr>
                <w:sz w:val="16"/>
                <w:szCs w:val="16"/>
              </w:rPr>
            </w:pPr>
            <w:r w:rsidRPr="006B42D6">
              <w:rPr>
                <w:sz w:val="16"/>
                <w:szCs w:val="16"/>
              </w:rPr>
              <w:t>2.8</w:t>
            </w:r>
          </w:p>
        </w:tc>
        <w:tc>
          <w:tcPr>
            <w:tcW w:w="804" w:type="dxa"/>
            <w:tcBorders>
              <w:top w:val="nil"/>
              <w:left w:val="nil"/>
              <w:bottom w:val="nil"/>
              <w:right w:val="nil"/>
            </w:tcBorders>
            <w:shd w:val="clear" w:color="auto" w:fill="auto"/>
            <w:noWrap/>
            <w:vAlign w:val="center"/>
            <w:hideMark/>
          </w:tcPr>
          <w:p w14:paraId="682FCADF" w14:textId="77777777" w:rsidR="008A1E55" w:rsidRPr="006B42D6" w:rsidRDefault="008A1E55" w:rsidP="00E16CAE">
            <w:pPr>
              <w:jc w:val="right"/>
              <w:rPr>
                <w:sz w:val="16"/>
                <w:szCs w:val="16"/>
              </w:rPr>
            </w:pPr>
            <w:r w:rsidRPr="006B42D6">
              <w:rPr>
                <w:sz w:val="16"/>
                <w:szCs w:val="16"/>
              </w:rPr>
              <w:t>0.4</w:t>
            </w:r>
          </w:p>
        </w:tc>
      </w:tr>
      <w:tr w:rsidR="006B42D6" w:rsidRPr="006B42D6" w14:paraId="3E8A0F81" w14:textId="77777777" w:rsidTr="00143C67">
        <w:trPr>
          <w:trHeight w:hRule="exact" w:val="227"/>
        </w:trPr>
        <w:tc>
          <w:tcPr>
            <w:tcW w:w="1668" w:type="dxa"/>
            <w:tcBorders>
              <w:top w:val="nil"/>
              <w:left w:val="nil"/>
              <w:bottom w:val="nil"/>
              <w:right w:val="nil"/>
            </w:tcBorders>
            <w:shd w:val="clear" w:color="auto" w:fill="auto"/>
            <w:noWrap/>
            <w:vAlign w:val="center"/>
            <w:hideMark/>
          </w:tcPr>
          <w:p w14:paraId="26E3B20A" w14:textId="77777777" w:rsidR="008A1E55" w:rsidRPr="006B42D6" w:rsidRDefault="008A1E55" w:rsidP="00E16CAE">
            <w:pPr>
              <w:rPr>
                <w:sz w:val="16"/>
                <w:szCs w:val="16"/>
              </w:rPr>
            </w:pPr>
            <w:r w:rsidRPr="006B42D6">
              <w:rPr>
                <w:sz w:val="16"/>
                <w:szCs w:val="16"/>
              </w:rPr>
              <w:t>Simiyu</w:t>
            </w:r>
          </w:p>
        </w:tc>
        <w:tc>
          <w:tcPr>
            <w:tcW w:w="1031" w:type="dxa"/>
            <w:tcBorders>
              <w:top w:val="nil"/>
              <w:left w:val="nil"/>
              <w:bottom w:val="nil"/>
              <w:right w:val="nil"/>
            </w:tcBorders>
            <w:shd w:val="clear" w:color="auto" w:fill="auto"/>
            <w:noWrap/>
            <w:vAlign w:val="center"/>
            <w:hideMark/>
          </w:tcPr>
          <w:p w14:paraId="0831EB0D" w14:textId="77777777" w:rsidR="008A1E55" w:rsidRPr="006B42D6" w:rsidRDefault="008A1E55" w:rsidP="00E16CAE">
            <w:pPr>
              <w:jc w:val="right"/>
              <w:rPr>
                <w:sz w:val="16"/>
                <w:szCs w:val="16"/>
              </w:rPr>
            </w:pPr>
            <w:r w:rsidRPr="006B42D6">
              <w:rPr>
                <w:sz w:val="16"/>
                <w:szCs w:val="16"/>
              </w:rPr>
              <w:t>1.3</w:t>
            </w:r>
          </w:p>
        </w:tc>
        <w:tc>
          <w:tcPr>
            <w:tcW w:w="800" w:type="dxa"/>
            <w:tcBorders>
              <w:top w:val="nil"/>
              <w:left w:val="nil"/>
              <w:bottom w:val="nil"/>
              <w:right w:val="nil"/>
            </w:tcBorders>
            <w:shd w:val="clear" w:color="auto" w:fill="auto"/>
            <w:noWrap/>
            <w:vAlign w:val="center"/>
            <w:hideMark/>
          </w:tcPr>
          <w:p w14:paraId="7E12F4C9" w14:textId="77777777" w:rsidR="008A1E55" w:rsidRPr="006B42D6" w:rsidRDefault="008A1E55" w:rsidP="00E16CAE">
            <w:pPr>
              <w:jc w:val="right"/>
              <w:rPr>
                <w:sz w:val="16"/>
                <w:szCs w:val="16"/>
              </w:rPr>
            </w:pPr>
            <w:r w:rsidRPr="006B42D6">
              <w:rPr>
                <w:sz w:val="16"/>
                <w:szCs w:val="16"/>
              </w:rPr>
              <w:t>2.0</w:t>
            </w:r>
          </w:p>
        </w:tc>
        <w:tc>
          <w:tcPr>
            <w:tcW w:w="804" w:type="dxa"/>
            <w:tcBorders>
              <w:top w:val="nil"/>
              <w:left w:val="nil"/>
              <w:bottom w:val="nil"/>
              <w:right w:val="nil"/>
            </w:tcBorders>
            <w:shd w:val="clear" w:color="auto" w:fill="auto"/>
            <w:noWrap/>
            <w:vAlign w:val="center"/>
            <w:hideMark/>
          </w:tcPr>
          <w:p w14:paraId="3845C386" w14:textId="77777777" w:rsidR="008A1E55" w:rsidRPr="006B42D6" w:rsidRDefault="008A1E55" w:rsidP="00E16CAE">
            <w:pPr>
              <w:jc w:val="right"/>
              <w:rPr>
                <w:sz w:val="16"/>
                <w:szCs w:val="16"/>
              </w:rPr>
            </w:pPr>
            <w:r w:rsidRPr="006B42D6">
              <w:rPr>
                <w:sz w:val="16"/>
                <w:szCs w:val="16"/>
              </w:rPr>
              <w:t>-</w:t>
            </w:r>
          </w:p>
        </w:tc>
        <w:tc>
          <w:tcPr>
            <w:tcW w:w="1047" w:type="dxa"/>
            <w:tcBorders>
              <w:top w:val="nil"/>
              <w:left w:val="nil"/>
              <w:bottom w:val="nil"/>
              <w:right w:val="nil"/>
            </w:tcBorders>
            <w:shd w:val="clear" w:color="auto" w:fill="auto"/>
            <w:noWrap/>
            <w:vAlign w:val="center"/>
            <w:hideMark/>
          </w:tcPr>
          <w:p w14:paraId="676AB2EF" w14:textId="77777777" w:rsidR="008A1E55" w:rsidRPr="006B42D6" w:rsidRDefault="008A1E55" w:rsidP="00E16CAE">
            <w:pPr>
              <w:jc w:val="right"/>
              <w:rPr>
                <w:sz w:val="16"/>
                <w:szCs w:val="16"/>
              </w:rPr>
            </w:pPr>
            <w:r w:rsidRPr="006B42D6">
              <w:rPr>
                <w:sz w:val="16"/>
                <w:szCs w:val="16"/>
              </w:rPr>
              <w:t>-</w:t>
            </w:r>
          </w:p>
        </w:tc>
        <w:tc>
          <w:tcPr>
            <w:tcW w:w="892" w:type="dxa"/>
            <w:tcBorders>
              <w:top w:val="nil"/>
              <w:left w:val="nil"/>
              <w:bottom w:val="nil"/>
              <w:right w:val="nil"/>
            </w:tcBorders>
            <w:shd w:val="clear" w:color="auto" w:fill="auto"/>
            <w:noWrap/>
            <w:vAlign w:val="center"/>
            <w:hideMark/>
          </w:tcPr>
          <w:p w14:paraId="035F7111" w14:textId="77777777" w:rsidR="008A1E55" w:rsidRPr="006B42D6" w:rsidRDefault="008A1E55" w:rsidP="00E16CAE">
            <w:pPr>
              <w:jc w:val="right"/>
              <w:rPr>
                <w:sz w:val="16"/>
                <w:szCs w:val="16"/>
              </w:rPr>
            </w:pPr>
            <w:r w:rsidRPr="006B42D6">
              <w:rPr>
                <w:sz w:val="16"/>
                <w:szCs w:val="16"/>
              </w:rPr>
              <w:t>-</w:t>
            </w:r>
          </w:p>
        </w:tc>
        <w:tc>
          <w:tcPr>
            <w:tcW w:w="1197" w:type="dxa"/>
            <w:tcBorders>
              <w:top w:val="nil"/>
              <w:left w:val="nil"/>
              <w:bottom w:val="nil"/>
              <w:right w:val="nil"/>
            </w:tcBorders>
            <w:shd w:val="clear" w:color="auto" w:fill="auto"/>
            <w:noWrap/>
            <w:vAlign w:val="center"/>
            <w:hideMark/>
          </w:tcPr>
          <w:p w14:paraId="7F813E69" w14:textId="77777777" w:rsidR="008A1E55" w:rsidRPr="006B42D6" w:rsidRDefault="008A1E55" w:rsidP="00E16CAE">
            <w:pPr>
              <w:jc w:val="right"/>
              <w:rPr>
                <w:sz w:val="16"/>
                <w:szCs w:val="16"/>
              </w:rPr>
            </w:pPr>
            <w:r w:rsidRPr="006B42D6">
              <w:rPr>
                <w:sz w:val="16"/>
                <w:szCs w:val="16"/>
              </w:rPr>
              <w:t>0.1</w:t>
            </w:r>
          </w:p>
        </w:tc>
        <w:tc>
          <w:tcPr>
            <w:tcW w:w="853" w:type="dxa"/>
            <w:tcBorders>
              <w:top w:val="nil"/>
              <w:left w:val="nil"/>
              <w:bottom w:val="nil"/>
              <w:right w:val="nil"/>
            </w:tcBorders>
            <w:shd w:val="clear" w:color="auto" w:fill="auto"/>
            <w:noWrap/>
            <w:vAlign w:val="center"/>
            <w:hideMark/>
          </w:tcPr>
          <w:p w14:paraId="1C444CEA" w14:textId="77777777" w:rsidR="008A1E55" w:rsidRPr="006B42D6" w:rsidRDefault="008A1E55" w:rsidP="00E16CAE">
            <w:pPr>
              <w:jc w:val="right"/>
              <w:rPr>
                <w:sz w:val="16"/>
                <w:szCs w:val="16"/>
              </w:rPr>
            </w:pPr>
            <w:r w:rsidRPr="006B42D6">
              <w:rPr>
                <w:sz w:val="16"/>
                <w:szCs w:val="16"/>
              </w:rPr>
              <w:t>1.4</w:t>
            </w:r>
          </w:p>
        </w:tc>
        <w:tc>
          <w:tcPr>
            <w:tcW w:w="1008" w:type="dxa"/>
            <w:tcBorders>
              <w:top w:val="nil"/>
              <w:left w:val="nil"/>
              <w:bottom w:val="nil"/>
              <w:right w:val="nil"/>
            </w:tcBorders>
            <w:shd w:val="clear" w:color="auto" w:fill="auto"/>
            <w:noWrap/>
            <w:vAlign w:val="center"/>
            <w:hideMark/>
          </w:tcPr>
          <w:p w14:paraId="03476FC6" w14:textId="77777777" w:rsidR="008A1E55" w:rsidRPr="006B42D6" w:rsidRDefault="008A1E55" w:rsidP="00E16CAE">
            <w:pPr>
              <w:jc w:val="right"/>
              <w:rPr>
                <w:sz w:val="16"/>
                <w:szCs w:val="16"/>
              </w:rPr>
            </w:pPr>
            <w:r w:rsidRPr="006B42D6">
              <w:rPr>
                <w:sz w:val="16"/>
                <w:szCs w:val="16"/>
              </w:rPr>
              <w:t>4.0</w:t>
            </w:r>
          </w:p>
        </w:tc>
        <w:tc>
          <w:tcPr>
            <w:tcW w:w="1350" w:type="dxa"/>
            <w:tcBorders>
              <w:top w:val="nil"/>
              <w:left w:val="nil"/>
              <w:bottom w:val="nil"/>
              <w:right w:val="nil"/>
            </w:tcBorders>
            <w:shd w:val="clear" w:color="auto" w:fill="auto"/>
            <w:noWrap/>
            <w:vAlign w:val="center"/>
            <w:hideMark/>
          </w:tcPr>
          <w:p w14:paraId="6697AC56" w14:textId="77777777" w:rsidR="008A1E55" w:rsidRPr="006B42D6" w:rsidRDefault="008A1E55" w:rsidP="00E16CAE">
            <w:pPr>
              <w:jc w:val="right"/>
              <w:rPr>
                <w:sz w:val="16"/>
                <w:szCs w:val="16"/>
              </w:rPr>
            </w:pPr>
            <w:r w:rsidRPr="006B42D6">
              <w:rPr>
                <w:sz w:val="16"/>
                <w:szCs w:val="16"/>
              </w:rPr>
              <w:t>4.2</w:t>
            </w:r>
          </w:p>
        </w:tc>
        <w:tc>
          <w:tcPr>
            <w:tcW w:w="1594" w:type="dxa"/>
            <w:tcBorders>
              <w:top w:val="nil"/>
              <w:left w:val="nil"/>
              <w:bottom w:val="nil"/>
              <w:right w:val="nil"/>
            </w:tcBorders>
            <w:shd w:val="clear" w:color="auto" w:fill="auto"/>
            <w:noWrap/>
            <w:vAlign w:val="center"/>
            <w:hideMark/>
          </w:tcPr>
          <w:p w14:paraId="63BB3BEE" w14:textId="77777777" w:rsidR="008A1E55" w:rsidRPr="006B42D6" w:rsidRDefault="008A1E55" w:rsidP="00E16CAE">
            <w:pPr>
              <w:jc w:val="right"/>
              <w:rPr>
                <w:sz w:val="16"/>
                <w:szCs w:val="16"/>
              </w:rPr>
            </w:pPr>
            <w:r w:rsidRPr="006B42D6">
              <w:rPr>
                <w:sz w:val="16"/>
                <w:szCs w:val="16"/>
              </w:rPr>
              <w:t>-</w:t>
            </w:r>
          </w:p>
        </w:tc>
        <w:tc>
          <w:tcPr>
            <w:tcW w:w="804" w:type="dxa"/>
            <w:tcBorders>
              <w:top w:val="nil"/>
              <w:left w:val="nil"/>
              <w:bottom w:val="nil"/>
              <w:right w:val="nil"/>
            </w:tcBorders>
            <w:shd w:val="clear" w:color="auto" w:fill="auto"/>
            <w:noWrap/>
            <w:vAlign w:val="center"/>
            <w:hideMark/>
          </w:tcPr>
          <w:p w14:paraId="20F6FE64" w14:textId="77777777" w:rsidR="008A1E55" w:rsidRPr="006B42D6" w:rsidRDefault="008A1E55" w:rsidP="00E16CAE">
            <w:pPr>
              <w:jc w:val="right"/>
              <w:rPr>
                <w:sz w:val="16"/>
                <w:szCs w:val="16"/>
              </w:rPr>
            </w:pPr>
            <w:r w:rsidRPr="006B42D6">
              <w:rPr>
                <w:sz w:val="16"/>
                <w:szCs w:val="16"/>
              </w:rPr>
              <w:t>0.8</w:t>
            </w:r>
          </w:p>
        </w:tc>
      </w:tr>
      <w:tr w:rsidR="006B42D6" w:rsidRPr="006B42D6" w14:paraId="4EB153E7" w14:textId="77777777" w:rsidTr="00143C67">
        <w:trPr>
          <w:trHeight w:hRule="exact" w:val="227"/>
        </w:trPr>
        <w:tc>
          <w:tcPr>
            <w:tcW w:w="1668" w:type="dxa"/>
            <w:tcBorders>
              <w:top w:val="nil"/>
              <w:left w:val="nil"/>
              <w:bottom w:val="nil"/>
              <w:right w:val="nil"/>
            </w:tcBorders>
            <w:shd w:val="clear" w:color="auto" w:fill="auto"/>
            <w:noWrap/>
            <w:vAlign w:val="center"/>
            <w:hideMark/>
          </w:tcPr>
          <w:p w14:paraId="5181A526" w14:textId="77777777" w:rsidR="008A1E55" w:rsidRPr="006B42D6" w:rsidRDefault="008A1E55" w:rsidP="00E16CAE">
            <w:pPr>
              <w:rPr>
                <w:sz w:val="16"/>
                <w:szCs w:val="16"/>
              </w:rPr>
            </w:pPr>
            <w:r w:rsidRPr="006B42D6">
              <w:rPr>
                <w:sz w:val="16"/>
                <w:szCs w:val="16"/>
              </w:rPr>
              <w:t>Geita</w:t>
            </w:r>
          </w:p>
        </w:tc>
        <w:tc>
          <w:tcPr>
            <w:tcW w:w="1031" w:type="dxa"/>
            <w:tcBorders>
              <w:top w:val="nil"/>
              <w:left w:val="nil"/>
              <w:bottom w:val="nil"/>
              <w:right w:val="nil"/>
            </w:tcBorders>
            <w:shd w:val="clear" w:color="auto" w:fill="auto"/>
            <w:noWrap/>
            <w:vAlign w:val="center"/>
            <w:hideMark/>
          </w:tcPr>
          <w:p w14:paraId="75A9821C" w14:textId="77777777" w:rsidR="008A1E55" w:rsidRPr="006B42D6" w:rsidRDefault="008A1E55" w:rsidP="00E16CAE">
            <w:pPr>
              <w:jc w:val="right"/>
              <w:rPr>
                <w:sz w:val="16"/>
                <w:szCs w:val="16"/>
              </w:rPr>
            </w:pPr>
            <w:r w:rsidRPr="006B42D6">
              <w:rPr>
                <w:sz w:val="16"/>
                <w:szCs w:val="16"/>
              </w:rPr>
              <w:t>1.4</w:t>
            </w:r>
          </w:p>
        </w:tc>
        <w:tc>
          <w:tcPr>
            <w:tcW w:w="800" w:type="dxa"/>
            <w:tcBorders>
              <w:top w:val="nil"/>
              <w:left w:val="nil"/>
              <w:bottom w:val="nil"/>
              <w:right w:val="nil"/>
            </w:tcBorders>
            <w:shd w:val="clear" w:color="auto" w:fill="auto"/>
            <w:noWrap/>
            <w:vAlign w:val="center"/>
            <w:hideMark/>
          </w:tcPr>
          <w:p w14:paraId="02F16E2D" w14:textId="77777777" w:rsidR="008A1E55" w:rsidRPr="006B42D6" w:rsidRDefault="008A1E55" w:rsidP="00E16CAE">
            <w:pPr>
              <w:jc w:val="right"/>
              <w:rPr>
                <w:sz w:val="16"/>
                <w:szCs w:val="16"/>
              </w:rPr>
            </w:pPr>
            <w:r w:rsidRPr="006B42D6">
              <w:rPr>
                <w:sz w:val="16"/>
                <w:szCs w:val="16"/>
              </w:rPr>
              <w:t>4.1</w:t>
            </w:r>
          </w:p>
        </w:tc>
        <w:tc>
          <w:tcPr>
            <w:tcW w:w="804" w:type="dxa"/>
            <w:tcBorders>
              <w:top w:val="nil"/>
              <w:left w:val="nil"/>
              <w:bottom w:val="nil"/>
              <w:right w:val="nil"/>
            </w:tcBorders>
            <w:shd w:val="clear" w:color="auto" w:fill="auto"/>
            <w:noWrap/>
            <w:vAlign w:val="center"/>
            <w:hideMark/>
          </w:tcPr>
          <w:p w14:paraId="031C6D86" w14:textId="77777777" w:rsidR="008A1E55" w:rsidRPr="006B42D6" w:rsidRDefault="008A1E55" w:rsidP="00E16CAE">
            <w:pPr>
              <w:jc w:val="right"/>
              <w:rPr>
                <w:sz w:val="16"/>
                <w:szCs w:val="16"/>
              </w:rPr>
            </w:pPr>
            <w:r w:rsidRPr="006B42D6">
              <w:rPr>
                <w:sz w:val="16"/>
                <w:szCs w:val="16"/>
              </w:rPr>
              <w:t>-</w:t>
            </w:r>
          </w:p>
        </w:tc>
        <w:tc>
          <w:tcPr>
            <w:tcW w:w="1047" w:type="dxa"/>
            <w:tcBorders>
              <w:top w:val="nil"/>
              <w:left w:val="nil"/>
              <w:bottom w:val="nil"/>
              <w:right w:val="nil"/>
            </w:tcBorders>
            <w:shd w:val="clear" w:color="auto" w:fill="auto"/>
            <w:noWrap/>
            <w:vAlign w:val="center"/>
            <w:hideMark/>
          </w:tcPr>
          <w:p w14:paraId="74A2517F" w14:textId="77777777" w:rsidR="008A1E55" w:rsidRPr="006B42D6" w:rsidRDefault="008A1E55" w:rsidP="00E16CAE">
            <w:pPr>
              <w:jc w:val="right"/>
              <w:rPr>
                <w:sz w:val="16"/>
                <w:szCs w:val="16"/>
              </w:rPr>
            </w:pPr>
            <w:r w:rsidRPr="006B42D6">
              <w:rPr>
                <w:sz w:val="16"/>
                <w:szCs w:val="16"/>
              </w:rPr>
              <w:t>0.2</w:t>
            </w:r>
          </w:p>
        </w:tc>
        <w:tc>
          <w:tcPr>
            <w:tcW w:w="892" w:type="dxa"/>
            <w:tcBorders>
              <w:top w:val="nil"/>
              <w:left w:val="nil"/>
              <w:bottom w:val="nil"/>
              <w:right w:val="nil"/>
            </w:tcBorders>
            <w:shd w:val="clear" w:color="auto" w:fill="auto"/>
            <w:noWrap/>
            <w:vAlign w:val="center"/>
            <w:hideMark/>
          </w:tcPr>
          <w:p w14:paraId="121D5F3C" w14:textId="77777777" w:rsidR="008A1E55" w:rsidRPr="006B42D6" w:rsidRDefault="008A1E55" w:rsidP="00E16CAE">
            <w:pPr>
              <w:jc w:val="right"/>
              <w:rPr>
                <w:sz w:val="16"/>
                <w:szCs w:val="16"/>
              </w:rPr>
            </w:pPr>
            <w:r w:rsidRPr="006B42D6">
              <w:rPr>
                <w:sz w:val="16"/>
                <w:szCs w:val="16"/>
              </w:rPr>
              <w:t>-</w:t>
            </w:r>
          </w:p>
        </w:tc>
        <w:tc>
          <w:tcPr>
            <w:tcW w:w="1197" w:type="dxa"/>
            <w:tcBorders>
              <w:top w:val="nil"/>
              <w:left w:val="nil"/>
              <w:bottom w:val="nil"/>
              <w:right w:val="nil"/>
            </w:tcBorders>
            <w:shd w:val="clear" w:color="auto" w:fill="auto"/>
            <w:noWrap/>
            <w:vAlign w:val="center"/>
            <w:hideMark/>
          </w:tcPr>
          <w:p w14:paraId="0BDB3493" w14:textId="77777777" w:rsidR="008A1E55" w:rsidRPr="006B42D6" w:rsidRDefault="008A1E55" w:rsidP="00E16CAE">
            <w:pPr>
              <w:jc w:val="right"/>
              <w:rPr>
                <w:sz w:val="16"/>
                <w:szCs w:val="16"/>
              </w:rPr>
            </w:pPr>
            <w:r w:rsidRPr="006B42D6">
              <w:rPr>
                <w:sz w:val="16"/>
                <w:szCs w:val="16"/>
              </w:rPr>
              <w:t>0.2</w:t>
            </w:r>
          </w:p>
        </w:tc>
        <w:tc>
          <w:tcPr>
            <w:tcW w:w="853" w:type="dxa"/>
            <w:tcBorders>
              <w:top w:val="nil"/>
              <w:left w:val="nil"/>
              <w:bottom w:val="nil"/>
              <w:right w:val="nil"/>
            </w:tcBorders>
            <w:shd w:val="clear" w:color="auto" w:fill="auto"/>
            <w:noWrap/>
            <w:vAlign w:val="center"/>
            <w:hideMark/>
          </w:tcPr>
          <w:p w14:paraId="737CB295" w14:textId="77777777" w:rsidR="008A1E55" w:rsidRPr="006B42D6" w:rsidRDefault="008A1E55" w:rsidP="00E16CAE">
            <w:pPr>
              <w:jc w:val="right"/>
              <w:rPr>
                <w:sz w:val="16"/>
                <w:szCs w:val="16"/>
              </w:rPr>
            </w:pPr>
            <w:r w:rsidRPr="006B42D6">
              <w:rPr>
                <w:sz w:val="16"/>
                <w:szCs w:val="16"/>
              </w:rPr>
              <w:t>-</w:t>
            </w:r>
          </w:p>
        </w:tc>
        <w:tc>
          <w:tcPr>
            <w:tcW w:w="1008" w:type="dxa"/>
            <w:tcBorders>
              <w:top w:val="nil"/>
              <w:left w:val="nil"/>
              <w:bottom w:val="nil"/>
              <w:right w:val="nil"/>
            </w:tcBorders>
            <w:shd w:val="clear" w:color="auto" w:fill="auto"/>
            <w:noWrap/>
            <w:vAlign w:val="center"/>
            <w:hideMark/>
          </w:tcPr>
          <w:p w14:paraId="11DBED67" w14:textId="77777777" w:rsidR="008A1E55" w:rsidRPr="006B42D6" w:rsidRDefault="008A1E55" w:rsidP="00E16CAE">
            <w:pPr>
              <w:jc w:val="right"/>
              <w:rPr>
                <w:sz w:val="16"/>
                <w:szCs w:val="16"/>
              </w:rPr>
            </w:pPr>
            <w:r w:rsidRPr="006B42D6">
              <w:rPr>
                <w:sz w:val="16"/>
                <w:szCs w:val="16"/>
              </w:rPr>
              <w:t>4.3</w:t>
            </w:r>
          </w:p>
        </w:tc>
        <w:tc>
          <w:tcPr>
            <w:tcW w:w="1350" w:type="dxa"/>
            <w:tcBorders>
              <w:top w:val="nil"/>
              <w:left w:val="nil"/>
              <w:bottom w:val="nil"/>
              <w:right w:val="nil"/>
            </w:tcBorders>
            <w:shd w:val="clear" w:color="auto" w:fill="auto"/>
            <w:noWrap/>
            <w:vAlign w:val="center"/>
            <w:hideMark/>
          </w:tcPr>
          <w:p w14:paraId="3D2F31DB" w14:textId="77777777" w:rsidR="008A1E55" w:rsidRPr="006B42D6" w:rsidRDefault="008A1E55" w:rsidP="00E16CAE">
            <w:pPr>
              <w:jc w:val="right"/>
              <w:rPr>
                <w:sz w:val="16"/>
                <w:szCs w:val="16"/>
              </w:rPr>
            </w:pPr>
            <w:r w:rsidRPr="006B42D6">
              <w:rPr>
                <w:sz w:val="16"/>
                <w:szCs w:val="16"/>
              </w:rPr>
              <w:t>4.9</w:t>
            </w:r>
          </w:p>
        </w:tc>
        <w:tc>
          <w:tcPr>
            <w:tcW w:w="1594" w:type="dxa"/>
            <w:tcBorders>
              <w:top w:val="nil"/>
              <w:left w:val="nil"/>
              <w:bottom w:val="nil"/>
              <w:right w:val="nil"/>
            </w:tcBorders>
            <w:shd w:val="clear" w:color="auto" w:fill="auto"/>
            <w:noWrap/>
            <w:vAlign w:val="center"/>
            <w:hideMark/>
          </w:tcPr>
          <w:p w14:paraId="56986331" w14:textId="77777777" w:rsidR="008A1E55" w:rsidRPr="006B42D6" w:rsidRDefault="008A1E55" w:rsidP="00E16CAE">
            <w:pPr>
              <w:jc w:val="right"/>
              <w:rPr>
                <w:sz w:val="16"/>
                <w:szCs w:val="16"/>
              </w:rPr>
            </w:pPr>
            <w:r w:rsidRPr="006B42D6">
              <w:rPr>
                <w:sz w:val="16"/>
                <w:szCs w:val="16"/>
              </w:rPr>
              <w:t>1.5</w:t>
            </w:r>
          </w:p>
        </w:tc>
        <w:tc>
          <w:tcPr>
            <w:tcW w:w="804" w:type="dxa"/>
            <w:tcBorders>
              <w:top w:val="nil"/>
              <w:left w:val="nil"/>
              <w:bottom w:val="nil"/>
              <w:right w:val="nil"/>
            </w:tcBorders>
            <w:shd w:val="clear" w:color="auto" w:fill="auto"/>
            <w:noWrap/>
            <w:vAlign w:val="center"/>
            <w:hideMark/>
          </w:tcPr>
          <w:p w14:paraId="2F223754" w14:textId="77777777" w:rsidR="008A1E55" w:rsidRPr="006B42D6" w:rsidRDefault="008A1E55" w:rsidP="00E16CAE">
            <w:pPr>
              <w:jc w:val="right"/>
              <w:rPr>
                <w:sz w:val="16"/>
                <w:szCs w:val="16"/>
              </w:rPr>
            </w:pPr>
            <w:r w:rsidRPr="006B42D6">
              <w:rPr>
                <w:sz w:val="16"/>
                <w:szCs w:val="16"/>
              </w:rPr>
              <w:t>3.7</w:t>
            </w:r>
          </w:p>
        </w:tc>
      </w:tr>
      <w:tr w:rsidR="006B42D6" w:rsidRPr="006B42D6" w14:paraId="279CFE20" w14:textId="77777777" w:rsidTr="00143C67">
        <w:trPr>
          <w:trHeight w:hRule="exact" w:val="227"/>
        </w:trPr>
        <w:tc>
          <w:tcPr>
            <w:tcW w:w="1668" w:type="dxa"/>
            <w:tcBorders>
              <w:top w:val="nil"/>
              <w:left w:val="nil"/>
              <w:bottom w:val="nil"/>
              <w:right w:val="nil"/>
            </w:tcBorders>
            <w:shd w:val="clear" w:color="auto" w:fill="auto"/>
            <w:noWrap/>
            <w:vAlign w:val="center"/>
            <w:hideMark/>
          </w:tcPr>
          <w:p w14:paraId="03EC9C37" w14:textId="77777777" w:rsidR="008A1E55" w:rsidRPr="006B42D6" w:rsidRDefault="008A1E55" w:rsidP="00E16CAE">
            <w:pPr>
              <w:rPr>
                <w:sz w:val="16"/>
                <w:szCs w:val="16"/>
              </w:rPr>
            </w:pPr>
            <w:r w:rsidRPr="006B42D6">
              <w:rPr>
                <w:sz w:val="16"/>
                <w:szCs w:val="16"/>
              </w:rPr>
              <w:t>Songwe</w:t>
            </w:r>
          </w:p>
        </w:tc>
        <w:tc>
          <w:tcPr>
            <w:tcW w:w="1031" w:type="dxa"/>
            <w:tcBorders>
              <w:top w:val="nil"/>
              <w:left w:val="nil"/>
              <w:bottom w:val="nil"/>
              <w:right w:val="nil"/>
            </w:tcBorders>
            <w:shd w:val="clear" w:color="auto" w:fill="auto"/>
            <w:noWrap/>
            <w:vAlign w:val="center"/>
            <w:hideMark/>
          </w:tcPr>
          <w:p w14:paraId="27318E8C" w14:textId="77777777" w:rsidR="008A1E55" w:rsidRPr="006B42D6" w:rsidRDefault="008A1E55" w:rsidP="00E16CAE">
            <w:pPr>
              <w:jc w:val="right"/>
              <w:rPr>
                <w:sz w:val="16"/>
                <w:szCs w:val="16"/>
              </w:rPr>
            </w:pPr>
            <w:r w:rsidRPr="006B42D6">
              <w:rPr>
                <w:sz w:val="16"/>
                <w:szCs w:val="16"/>
              </w:rPr>
              <w:t>3.0</w:t>
            </w:r>
          </w:p>
        </w:tc>
        <w:tc>
          <w:tcPr>
            <w:tcW w:w="800" w:type="dxa"/>
            <w:tcBorders>
              <w:top w:val="nil"/>
              <w:left w:val="nil"/>
              <w:bottom w:val="nil"/>
              <w:right w:val="nil"/>
            </w:tcBorders>
            <w:shd w:val="clear" w:color="auto" w:fill="auto"/>
            <w:noWrap/>
            <w:vAlign w:val="center"/>
            <w:hideMark/>
          </w:tcPr>
          <w:p w14:paraId="33365CEA" w14:textId="77777777" w:rsidR="008A1E55" w:rsidRPr="006B42D6" w:rsidRDefault="008A1E55" w:rsidP="00E16CAE">
            <w:pPr>
              <w:jc w:val="right"/>
              <w:rPr>
                <w:sz w:val="16"/>
                <w:szCs w:val="16"/>
              </w:rPr>
            </w:pPr>
            <w:r w:rsidRPr="006B42D6">
              <w:rPr>
                <w:sz w:val="16"/>
                <w:szCs w:val="16"/>
              </w:rPr>
              <w:t>3.0</w:t>
            </w:r>
          </w:p>
        </w:tc>
        <w:tc>
          <w:tcPr>
            <w:tcW w:w="804" w:type="dxa"/>
            <w:tcBorders>
              <w:top w:val="nil"/>
              <w:left w:val="nil"/>
              <w:bottom w:val="nil"/>
              <w:right w:val="nil"/>
            </w:tcBorders>
            <w:shd w:val="clear" w:color="auto" w:fill="auto"/>
            <w:noWrap/>
            <w:vAlign w:val="center"/>
            <w:hideMark/>
          </w:tcPr>
          <w:p w14:paraId="47973E7F" w14:textId="77777777" w:rsidR="008A1E55" w:rsidRPr="006B42D6" w:rsidRDefault="008A1E55" w:rsidP="00E16CAE">
            <w:pPr>
              <w:jc w:val="right"/>
              <w:rPr>
                <w:sz w:val="16"/>
                <w:szCs w:val="16"/>
              </w:rPr>
            </w:pPr>
            <w:r w:rsidRPr="006B42D6">
              <w:rPr>
                <w:sz w:val="16"/>
                <w:szCs w:val="16"/>
              </w:rPr>
              <w:t>-</w:t>
            </w:r>
          </w:p>
        </w:tc>
        <w:tc>
          <w:tcPr>
            <w:tcW w:w="1047" w:type="dxa"/>
            <w:tcBorders>
              <w:top w:val="nil"/>
              <w:left w:val="nil"/>
              <w:bottom w:val="nil"/>
              <w:right w:val="nil"/>
            </w:tcBorders>
            <w:shd w:val="clear" w:color="auto" w:fill="auto"/>
            <w:noWrap/>
            <w:vAlign w:val="center"/>
            <w:hideMark/>
          </w:tcPr>
          <w:p w14:paraId="10455E8A" w14:textId="77777777" w:rsidR="008A1E55" w:rsidRPr="006B42D6" w:rsidRDefault="008A1E55" w:rsidP="00E16CAE">
            <w:pPr>
              <w:jc w:val="right"/>
              <w:rPr>
                <w:sz w:val="16"/>
                <w:szCs w:val="16"/>
              </w:rPr>
            </w:pPr>
            <w:r w:rsidRPr="006B42D6">
              <w:rPr>
                <w:sz w:val="16"/>
                <w:szCs w:val="16"/>
              </w:rPr>
              <w:t>0.5</w:t>
            </w:r>
          </w:p>
        </w:tc>
        <w:tc>
          <w:tcPr>
            <w:tcW w:w="892" w:type="dxa"/>
            <w:tcBorders>
              <w:top w:val="nil"/>
              <w:left w:val="nil"/>
              <w:bottom w:val="nil"/>
              <w:right w:val="nil"/>
            </w:tcBorders>
            <w:shd w:val="clear" w:color="auto" w:fill="auto"/>
            <w:noWrap/>
            <w:vAlign w:val="center"/>
            <w:hideMark/>
          </w:tcPr>
          <w:p w14:paraId="504883C9" w14:textId="77777777" w:rsidR="008A1E55" w:rsidRPr="006B42D6" w:rsidRDefault="008A1E55" w:rsidP="00E16CAE">
            <w:pPr>
              <w:jc w:val="right"/>
              <w:rPr>
                <w:sz w:val="16"/>
                <w:szCs w:val="16"/>
              </w:rPr>
            </w:pPr>
            <w:r w:rsidRPr="006B42D6">
              <w:rPr>
                <w:sz w:val="16"/>
                <w:szCs w:val="16"/>
              </w:rPr>
              <w:t>6.4</w:t>
            </w:r>
          </w:p>
        </w:tc>
        <w:tc>
          <w:tcPr>
            <w:tcW w:w="1197" w:type="dxa"/>
            <w:tcBorders>
              <w:top w:val="nil"/>
              <w:left w:val="nil"/>
              <w:bottom w:val="nil"/>
              <w:right w:val="nil"/>
            </w:tcBorders>
            <w:shd w:val="clear" w:color="auto" w:fill="auto"/>
            <w:noWrap/>
            <w:vAlign w:val="center"/>
            <w:hideMark/>
          </w:tcPr>
          <w:p w14:paraId="08F4A3F1" w14:textId="77777777" w:rsidR="008A1E55" w:rsidRPr="006B42D6" w:rsidRDefault="008A1E55" w:rsidP="00E16CAE">
            <w:pPr>
              <w:jc w:val="right"/>
              <w:rPr>
                <w:sz w:val="16"/>
                <w:szCs w:val="16"/>
              </w:rPr>
            </w:pPr>
            <w:r w:rsidRPr="006B42D6">
              <w:rPr>
                <w:sz w:val="16"/>
                <w:szCs w:val="16"/>
              </w:rPr>
              <w:t>1.4</w:t>
            </w:r>
          </w:p>
        </w:tc>
        <w:tc>
          <w:tcPr>
            <w:tcW w:w="853" w:type="dxa"/>
            <w:tcBorders>
              <w:top w:val="nil"/>
              <w:left w:val="nil"/>
              <w:bottom w:val="nil"/>
              <w:right w:val="nil"/>
            </w:tcBorders>
            <w:shd w:val="clear" w:color="auto" w:fill="auto"/>
            <w:noWrap/>
            <w:vAlign w:val="center"/>
            <w:hideMark/>
          </w:tcPr>
          <w:p w14:paraId="2C4219F0" w14:textId="77777777" w:rsidR="008A1E55" w:rsidRPr="006B42D6" w:rsidRDefault="008A1E55" w:rsidP="00E16CAE">
            <w:pPr>
              <w:jc w:val="right"/>
              <w:rPr>
                <w:sz w:val="16"/>
                <w:szCs w:val="16"/>
              </w:rPr>
            </w:pPr>
            <w:r w:rsidRPr="006B42D6">
              <w:rPr>
                <w:sz w:val="16"/>
                <w:szCs w:val="16"/>
              </w:rPr>
              <w:t>2.0</w:t>
            </w:r>
          </w:p>
        </w:tc>
        <w:tc>
          <w:tcPr>
            <w:tcW w:w="1008" w:type="dxa"/>
            <w:tcBorders>
              <w:top w:val="nil"/>
              <w:left w:val="nil"/>
              <w:bottom w:val="nil"/>
              <w:right w:val="nil"/>
            </w:tcBorders>
            <w:shd w:val="clear" w:color="auto" w:fill="auto"/>
            <w:noWrap/>
            <w:vAlign w:val="center"/>
            <w:hideMark/>
          </w:tcPr>
          <w:p w14:paraId="7EE9C74D" w14:textId="77777777" w:rsidR="008A1E55" w:rsidRPr="006B42D6" w:rsidRDefault="008A1E55" w:rsidP="00E16CAE">
            <w:pPr>
              <w:jc w:val="right"/>
              <w:rPr>
                <w:sz w:val="16"/>
                <w:szCs w:val="16"/>
              </w:rPr>
            </w:pPr>
            <w:r w:rsidRPr="006B42D6">
              <w:rPr>
                <w:sz w:val="16"/>
                <w:szCs w:val="16"/>
              </w:rPr>
              <w:t>5.6</w:t>
            </w:r>
          </w:p>
        </w:tc>
        <w:tc>
          <w:tcPr>
            <w:tcW w:w="1350" w:type="dxa"/>
            <w:tcBorders>
              <w:top w:val="nil"/>
              <w:left w:val="nil"/>
              <w:bottom w:val="nil"/>
              <w:right w:val="nil"/>
            </w:tcBorders>
            <w:shd w:val="clear" w:color="auto" w:fill="auto"/>
            <w:noWrap/>
            <w:vAlign w:val="center"/>
            <w:hideMark/>
          </w:tcPr>
          <w:p w14:paraId="698FE13C" w14:textId="77777777" w:rsidR="008A1E55" w:rsidRPr="006B42D6" w:rsidRDefault="008A1E55" w:rsidP="00E16CAE">
            <w:pPr>
              <w:jc w:val="right"/>
              <w:rPr>
                <w:sz w:val="16"/>
                <w:szCs w:val="16"/>
              </w:rPr>
            </w:pPr>
            <w:r w:rsidRPr="006B42D6">
              <w:rPr>
                <w:sz w:val="16"/>
                <w:szCs w:val="16"/>
              </w:rPr>
              <w:t>5.6</w:t>
            </w:r>
          </w:p>
        </w:tc>
        <w:tc>
          <w:tcPr>
            <w:tcW w:w="1594" w:type="dxa"/>
            <w:tcBorders>
              <w:top w:val="nil"/>
              <w:left w:val="nil"/>
              <w:bottom w:val="nil"/>
              <w:right w:val="nil"/>
            </w:tcBorders>
            <w:shd w:val="clear" w:color="auto" w:fill="auto"/>
            <w:noWrap/>
            <w:vAlign w:val="center"/>
            <w:hideMark/>
          </w:tcPr>
          <w:p w14:paraId="4FC0BC33" w14:textId="77777777" w:rsidR="008A1E55" w:rsidRPr="006B42D6" w:rsidRDefault="008A1E55" w:rsidP="00E16CAE">
            <w:pPr>
              <w:jc w:val="right"/>
              <w:rPr>
                <w:sz w:val="16"/>
                <w:szCs w:val="16"/>
              </w:rPr>
            </w:pPr>
            <w:r w:rsidRPr="006B42D6">
              <w:rPr>
                <w:sz w:val="16"/>
                <w:szCs w:val="16"/>
              </w:rPr>
              <w:t>6.0</w:t>
            </w:r>
          </w:p>
        </w:tc>
        <w:tc>
          <w:tcPr>
            <w:tcW w:w="804" w:type="dxa"/>
            <w:tcBorders>
              <w:top w:val="nil"/>
              <w:left w:val="nil"/>
              <w:bottom w:val="nil"/>
              <w:right w:val="nil"/>
            </w:tcBorders>
            <w:shd w:val="clear" w:color="auto" w:fill="auto"/>
            <w:noWrap/>
            <w:vAlign w:val="center"/>
            <w:hideMark/>
          </w:tcPr>
          <w:p w14:paraId="3000BE9B" w14:textId="77777777" w:rsidR="008A1E55" w:rsidRPr="006B42D6" w:rsidRDefault="008A1E55" w:rsidP="00E16CAE">
            <w:pPr>
              <w:jc w:val="right"/>
              <w:rPr>
                <w:sz w:val="16"/>
                <w:szCs w:val="16"/>
              </w:rPr>
            </w:pPr>
            <w:r w:rsidRPr="006B42D6">
              <w:rPr>
                <w:sz w:val="16"/>
                <w:szCs w:val="16"/>
              </w:rPr>
              <w:t>3.0</w:t>
            </w:r>
          </w:p>
        </w:tc>
      </w:tr>
      <w:tr w:rsidR="006B42D6" w:rsidRPr="006B42D6" w14:paraId="2A1AA76C" w14:textId="77777777" w:rsidTr="00143C67">
        <w:trPr>
          <w:trHeight w:hRule="exact" w:val="227"/>
        </w:trPr>
        <w:tc>
          <w:tcPr>
            <w:tcW w:w="1668" w:type="dxa"/>
            <w:tcBorders>
              <w:top w:val="single" w:sz="4" w:space="0" w:color="auto"/>
              <w:left w:val="nil"/>
              <w:bottom w:val="single" w:sz="4" w:space="0" w:color="auto"/>
              <w:right w:val="nil"/>
            </w:tcBorders>
            <w:shd w:val="clear" w:color="auto" w:fill="E2EFD9" w:themeFill="accent6" w:themeFillTint="33"/>
            <w:noWrap/>
            <w:vAlign w:val="center"/>
            <w:hideMark/>
          </w:tcPr>
          <w:p w14:paraId="4CCDE5D8" w14:textId="2617C767" w:rsidR="008A1E55" w:rsidRPr="006B42D6" w:rsidRDefault="00143C67" w:rsidP="00E16CAE">
            <w:pPr>
              <w:rPr>
                <w:b/>
                <w:bCs/>
                <w:sz w:val="16"/>
                <w:szCs w:val="16"/>
              </w:rPr>
            </w:pPr>
            <w:r>
              <w:rPr>
                <w:b/>
                <w:bCs/>
                <w:sz w:val="16"/>
                <w:szCs w:val="16"/>
              </w:rPr>
              <w:t>Mainland Tanzania</w:t>
            </w:r>
          </w:p>
        </w:tc>
        <w:tc>
          <w:tcPr>
            <w:tcW w:w="1031" w:type="dxa"/>
            <w:tcBorders>
              <w:top w:val="single" w:sz="4" w:space="0" w:color="auto"/>
              <w:left w:val="nil"/>
              <w:bottom w:val="single" w:sz="4" w:space="0" w:color="auto"/>
              <w:right w:val="nil"/>
            </w:tcBorders>
            <w:shd w:val="clear" w:color="auto" w:fill="E2EFD9" w:themeFill="accent6" w:themeFillTint="33"/>
            <w:noWrap/>
            <w:vAlign w:val="center"/>
            <w:hideMark/>
          </w:tcPr>
          <w:p w14:paraId="11F76F9B" w14:textId="77777777" w:rsidR="008A1E55" w:rsidRPr="006B42D6" w:rsidRDefault="008A1E55" w:rsidP="00E16CAE">
            <w:pPr>
              <w:jc w:val="right"/>
              <w:rPr>
                <w:b/>
                <w:bCs/>
                <w:sz w:val="16"/>
                <w:szCs w:val="16"/>
              </w:rPr>
            </w:pPr>
            <w:r w:rsidRPr="006B42D6">
              <w:rPr>
                <w:b/>
                <w:bCs/>
                <w:sz w:val="16"/>
                <w:szCs w:val="16"/>
              </w:rPr>
              <w:t>100.0</w:t>
            </w:r>
          </w:p>
        </w:tc>
        <w:tc>
          <w:tcPr>
            <w:tcW w:w="800" w:type="dxa"/>
            <w:tcBorders>
              <w:top w:val="single" w:sz="4" w:space="0" w:color="auto"/>
              <w:left w:val="nil"/>
              <w:bottom w:val="single" w:sz="4" w:space="0" w:color="auto"/>
              <w:right w:val="nil"/>
            </w:tcBorders>
            <w:shd w:val="clear" w:color="auto" w:fill="E2EFD9" w:themeFill="accent6" w:themeFillTint="33"/>
            <w:noWrap/>
            <w:vAlign w:val="center"/>
            <w:hideMark/>
          </w:tcPr>
          <w:p w14:paraId="5C814282" w14:textId="77777777" w:rsidR="008A1E55" w:rsidRPr="006B42D6" w:rsidRDefault="008A1E55" w:rsidP="00E16CAE">
            <w:pPr>
              <w:jc w:val="right"/>
              <w:rPr>
                <w:b/>
                <w:bCs/>
                <w:sz w:val="16"/>
                <w:szCs w:val="16"/>
              </w:rPr>
            </w:pPr>
            <w:r w:rsidRPr="006B42D6">
              <w:rPr>
                <w:b/>
                <w:bCs/>
                <w:sz w:val="16"/>
                <w:szCs w:val="16"/>
              </w:rPr>
              <w:t>100.0</w:t>
            </w:r>
          </w:p>
        </w:tc>
        <w:tc>
          <w:tcPr>
            <w:tcW w:w="804" w:type="dxa"/>
            <w:tcBorders>
              <w:top w:val="single" w:sz="4" w:space="0" w:color="auto"/>
              <w:left w:val="nil"/>
              <w:bottom w:val="single" w:sz="4" w:space="0" w:color="auto"/>
              <w:right w:val="nil"/>
            </w:tcBorders>
            <w:shd w:val="clear" w:color="auto" w:fill="E2EFD9" w:themeFill="accent6" w:themeFillTint="33"/>
            <w:noWrap/>
            <w:vAlign w:val="center"/>
            <w:hideMark/>
          </w:tcPr>
          <w:p w14:paraId="65E14DB7" w14:textId="77777777" w:rsidR="008A1E55" w:rsidRPr="006B42D6" w:rsidRDefault="008A1E55" w:rsidP="00E16CAE">
            <w:pPr>
              <w:jc w:val="right"/>
              <w:rPr>
                <w:b/>
                <w:bCs/>
                <w:sz w:val="16"/>
                <w:szCs w:val="16"/>
              </w:rPr>
            </w:pPr>
            <w:r w:rsidRPr="006B42D6">
              <w:rPr>
                <w:b/>
                <w:bCs/>
                <w:sz w:val="16"/>
                <w:szCs w:val="16"/>
              </w:rPr>
              <w:t>100.0</w:t>
            </w:r>
          </w:p>
        </w:tc>
        <w:tc>
          <w:tcPr>
            <w:tcW w:w="1047" w:type="dxa"/>
            <w:tcBorders>
              <w:top w:val="single" w:sz="4" w:space="0" w:color="auto"/>
              <w:left w:val="nil"/>
              <w:bottom w:val="single" w:sz="4" w:space="0" w:color="auto"/>
              <w:right w:val="nil"/>
            </w:tcBorders>
            <w:shd w:val="clear" w:color="auto" w:fill="E2EFD9" w:themeFill="accent6" w:themeFillTint="33"/>
            <w:noWrap/>
            <w:vAlign w:val="center"/>
            <w:hideMark/>
          </w:tcPr>
          <w:p w14:paraId="0F6F532E" w14:textId="77777777" w:rsidR="008A1E55" w:rsidRPr="006B42D6" w:rsidRDefault="008A1E55" w:rsidP="00E16CAE">
            <w:pPr>
              <w:jc w:val="right"/>
              <w:rPr>
                <w:b/>
                <w:bCs/>
                <w:sz w:val="16"/>
                <w:szCs w:val="16"/>
              </w:rPr>
            </w:pPr>
            <w:r w:rsidRPr="006B42D6">
              <w:rPr>
                <w:b/>
                <w:bCs/>
                <w:sz w:val="16"/>
                <w:szCs w:val="16"/>
              </w:rPr>
              <w:t>100.0</w:t>
            </w:r>
          </w:p>
        </w:tc>
        <w:tc>
          <w:tcPr>
            <w:tcW w:w="892" w:type="dxa"/>
            <w:tcBorders>
              <w:top w:val="single" w:sz="4" w:space="0" w:color="auto"/>
              <w:left w:val="nil"/>
              <w:bottom w:val="single" w:sz="4" w:space="0" w:color="auto"/>
              <w:right w:val="nil"/>
            </w:tcBorders>
            <w:shd w:val="clear" w:color="auto" w:fill="E2EFD9" w:themeFill="accent6" w:themeFillTint="33"/>
            <w:noWrap/>
            <w:vAlign w:val="center"/>
            <w:hideMark/>
          </w:tcPr>
          <w:p w14:paraId="3CD6BC31" w14:textId="77777777" w:rsidR="008A1E55" w:rsidRPr="006B42D6" w:rsidRDefault="008A1E55" w:rsidP="00E16CAE">
            <w:pPr>
              <w:jc w:val="right"/>
              <w:rPr>
                <w:b/>
                <w:bCs/>
                <w:sz w:val="16"/>
                <w:szCs w:val="16"/>
              </w:rPr>
            </w:pPr>
            <w:r w:rsidRPr="006B42D6">
              <w:rPr>
                <w:b/>
                <w:bCs/>
                <w:sz w:val="16"/>
                <w:szCs w:val="16"/>
              </w:rPr>
              <w:t>100.0</w:t>
            </w:r>
          </w:p>
        </w:tc>
        <w:tc>
          <w:tcPr>
            <w:tcW w:w="1197" w:type="dxa"/>
            <w:tcBorders>
              <w:top w:val="single" w:sz="4" w:space="0" w:color="auto"/>
              <w:left w:val="nil"/>
              <w:bottom w:val="single" w:sz="4" w:space="0" w:color="auto"/>
              <w:right w:val="nil"/>
            </w:tcBorders>
            <w:shd w:val="clear" w:color="auto" w:fill="E2EFD9" w:themeFill="accent6" w:themeFillTint="33"/>
            <w:noWrap/>
            <w:vAlign w:val="center"/>
            <w:hideMark/>
          </w:tcPr>
          <w:p w14:paraId="14FE6B49" w14:textId="77777777" w:rsidR="008A1E55" w:rsidRPr="006B42D6" w:rsidRDefault="008A1E55" w:rsidP="00E16CAE">
            <w:pPr>
              <w:jc w:val="right"/>
              <w:rPr>
                <w:b/>
                <w:bCs/>
                <w:sz w:val="16"/>
                <w:szCs w:val="16"/>
              </w:rPr>
            </w:pPr>
            <w:r w:rsidRPr="006B42D6">
              <w:rPr>
                <w:b/>
                <w:bCs/>
                <w:sz w:val="16"/>
                <w:szCs w:val="16"/>
              </w:rPr>
              <w:t>100.0</w:t>
            </w:r>
          </w:p>
        </w:tc>
        <w:tc>
          <w:tcPr>
            <w:tcW w:w="853" w:type="dxa"/>
            <w:tcBorders>
              <w:top w:val="single" w:sz="4" w:space="0" w:color="auto"/>
              <w:left w:val="nil"/>
              <w:bottom w:val="single" w:sz="4" w:space="0" w:color="auto"/>
              <w:right w:val="nil"/>
            </w:tcBorders>
            <w:shd w:val="clear" w:color="auto" w:fill="E2EFD9" w:themeFill="accent6" w:themeFillTint="33"/>
            <w:noWrap/>
            <w:vAlign w:val="center"/>
            <w:hideMark/>
          </w:tcPr>
          <w:p w14:paraId="7F668DEE" w14:textId="77777777" w:rsidR="008A1E55" w:rsidRPr="006B42D6" w:rsidRDefault="008A1E55" w:rsidP="00E16CAE">
            <w:pPr>
              <w:jc w:val="right"/>
              <w:rPr>
                <w:b/>
                <w:bCs/>
                <w:sz w:val="16"/>
                <w:szCs w:val="16"/>
              </w:rPr>
            </w:pPr>
            <w:r w:rsidRPr="006B42D6">
              <w:rPr>
                <w:b/>
                <w:bCs/>
                <w:sz w:val="16"/>
                <w:szCs w:val="16"/>
              </w:rPr>
              <w:t>100.0</w:t>
            </w:r>
          </w:p>
        </w:tc>
        <w:tc>
          <w:tcPr>
            <w:tcW w:w="1008" w:type="dxa"/>
            <w:tcBorders>
              <w:top w:val="single" w:sz="4" w:space="0" w:color="auto"/>
              <w:left w:val="nil"/>
              <w:bottom w:val="single" w:sz="4" w:space="0" w:color="auto"/>
              <w:right w:val="nil"/>
            </w:tcBorders>
            <w:shd w:val="clear" w:color="auto" w:fill="E2EFD9" w:themeFill="accent6" w:themeFillTint="33"/>
            <w:noWrap/>
            <w:vAlign w:val="center"/>
            <w:hideMark/>
          </w:tcPr>
          <w:p w14:paraId="1C5FEF6E" w14:textId="77777777" w:rsidR="008A1E55" w:rsidRPr="006B42D6" w:rsidRDefault="008A1E55" w:rsidP="00E16CAE">
            <w:pPr>
              <w:jc w:val="right"/>
              <w:rPr>
                <w:b/>
                <w:bCs/>
                <w:sz w:val="16"/>
                <w:szCs w:val="16"/>
              </w:rPr>
            </w:pPr>
            <w:r w:rsidRPr="006B42D6">
              <w:rPr>
                <w:b/>
                <w:bCs/>
                <w:sz w:val="16"/>
                <w:szCs w:val="16"/>
              </w:rPr>
              <w:t>100.0</w:t>
            </w:r>
          </w:p>
        </w:tc>
        <w:tc>
          <w:tcPr>
            <w:tcW w:w="1350" w:type="dxa"/>
            <w:tcBorders>
              <w:top w:val="single" w:sz="4" w:space="0" w:color="auto"/>
              <w:left w:val="nil"/>
              <w:bottom w:val="single" w:sz="4" w:space="0" w:color="auto"/>
              <w:right w:val="nil"/>
            </w:tcBorders>
            <w:shd w:val="clear" w:color="auto" w:fill="E2EFD9" w:themeFill="accent6" w:themeFillTint="33"/>
            <w:noWrap/>
            <w:vAlign w:val="center"/>
            <w:hideMark/>
          </w:tcPr>
          <w:p w14:paraId="27710E21" w14:textId="77777777" w:rsidR="008A1E55" w:rsidRPr="006B42D6" w:rsidRDefault="008A1E55" w:rsidP="00E16CAE">
            <w:pPr>
              <w:jc w:val="right"/>
              <w:rPr>
                <w:b/>
                <w:bCs/>
                <w:sz w:val="16"/>
                <w:szCs w:val="16"/>
              </w:rPr>
            </w:pPr>
            <w:r w:rsidRPr="006B42D6">
              <w:rPr>
                <w:b/>
                <w:bCs/>
                <w:sz w:val="16"/>
                <w:szCs w:val="16"/>
              </w:rPr>
              <w:t>100.0</w:t>
            </w:r>
          </w:p>
        </w:tc>
        <w:tc>
          <w:tcPr>
            <w:tcW w:w="1594" w:type="dxa"/>
            <w:tcBorders>
              <w:top w:val="single" w:sz="4" w:space="0" w:color="auto"/>
              <w:left w:val="nil"/>
              <w:bottom w:val="single" w:sz="4" w:space="0" w:color="auto"/>
              <w:right w:val="nil"/>
            </w:tcBorders>
            <w:shd w:val="clear" w:color="auto" w:fill="E2EFD9" w:themeFill="accent6" w:themeFillTint="33"/>
            <w:noWrap/>
            <w:vAlign w:val="center"/>
            <w:hideMark/>
          </w:tcPr>
          <w:p w14:paraId="3737C02F" w14:textId="77777777" w:rsidR="008A1E55" w:rsidRPr="006B42D6" w:rsidRDefault="008A1E55" w:rsidP="00E16CAE">
            <w:pPr>
              <w:jc w:val="right"/>
              <w:rPr>
                <w:b/>
                <w:bCs/>
                <w:sz w:val="16"/>
                <w:szCs w:val="16"/>
              </w:rPr>
            </w:pPr>
            <w:r w:rsidRPr="006B42D6">
              <w:rPr>
                <w:b/>
                <w:bCs/>
                <w:sz w:val="16"/>
                <w:szCs w:val="16"/>
              </w:rPr>
              <w:t>100.0</w:t>
            </w:r>
          </w:p>
        </w:tc>
        <w:tc>
          <w:tcPr>
            <w:tcW w:w="804" w:type="dxa"/>
            <w:tcBorders>
              <w:top w:val="single" w:sz="4" w:space="0" w:color="auto"/>
              <w:left w:val="nil"/>
              <w:bottom w:val="single" w:sz="4" w:space="0" w:color="auto"/>
              <w:right w:val="nil"/>
            </w:tcBorders>
            <w:shd w:val="clear" w:color="auto" w:fill="E2EFD9" w:themeFill="accent6" w:themeFillTint="33"/>
            <w:noWrap/>
            <w:vAlign w:val="center"/>
            <w:hideMark/>
          </w:tcPr>
          <w:p w14:paraId="70D4ADC1" w14:textId="77777777" w:rsidR="008A1E55" w:rsidRPr="006B42D6" w:rsidRDefault="008A1E55" w:rsidP="00E16CAE">
            <w:pPr>
              <w:jc w:val="right"/>
              <w:rPr>
                <w:b/>
                <w:bCs/>
                <w:sz w:val="16"/>
                <w:szCs w:val="16"/>
              </w:rPr>
            </w:pPr>
            <w:r w:rsidRPr="006B42D6">
              <w:rPr>
                <w:b/>
                <w:bCs/>
                <w:sz w:val="16"/>
                <w:szCs w:val="16"/>
              </w:rPr>
              <w:t>100.0</w:t>
            </w:r>
          </w:p>
        </w:tc>
      </w:tr>
      <w:tr w:rsidR="006B42D6" w:rsidRPr="006B42D6" w14:paraId="081B98B7" w14:textId="77777777" w:rsidTr="00143C67">
        <w:trPr>
          <w:trHeight w:hRule="exact" w:val="227"/>
        </w:trPr>
        <w:tc>
          <w:tcPr>
            <w:tcW w:w="1668" w:type="dxa"/>
            <w:tcBorders>
              <w:top w:val="nil"/>
              <w:left w:val="nil"/>
              <w:bottom w:val="nil"/>
              <w:right w:val="nil"/>
            </w:tcBorders>
            <w:shd w:val="clear" w:color="auto" w:fill="auto"/>
            <w:noWrap/>
            <w:vAlign w:val="center"/>
            <w:hideMark/>
          </w:tcPr>
          <w:p w14:paraId="5B9599B3" w14:textId="77777777" w:rsidR="008A1E55" w:rsidRPr="006B42D6" w:rsidRDefault="008A1E55" w:rsidP="00E16CAE">
            <w:pPr>
              <w:rPr>
                <w:sz w:val="16"/>
                <w:szCs w:val="16"/>
              </w:rPr>
            </w:pPr>
            <w:r w:rsidRPr="006B42D6">
              <w:rPr>
                <w:sz w:val="16"/>
                <w:szCs w:val="16"/>
              </w:rPr>
              <w:t>Kaskazini Unguja</w:t>
            </w:r>
          </w:p>
        </w:tc>
        <w:tc>
          <w:tcPr>
            <w:tcW w:w="1031" w:type="dxa"/>
            <w:tcBorders>
              <w:top w:val="nil"/>
              <w:left w:val="nil"/>
              <w:bottom w:val="nil"/>
              <w:right w:val="nil"/>
            </w:tcBorders>
            <w:shd w:val="clear" w:color="auto" w:fill="auto"/>
            <w:noWrap/>
            <w:vAlign w:val="center"/>
            <w:hideMark/>
          </w:tcPr>
          <w:p w14:paraId="15363C1A" w14:textId="77777777" w:rsidR="008A1E55" w:rsidRPr="006B42D6" w:rsidRDefault="008A1E55" w:rsidP="00E16CAE">
            <w:pPr>
              <w:jc w:val="right"/>
              <w:rPr>
                <w:sz w:val="16"/>
                <w:szCs w:val="16"/>
              </w:rPr>
            </w:pPr>
            <w:r w:rsidRPr="006B42D6">
              <w:rPr>
                <w:sz w:val="16"/>
                <w:szCs w:val="16"/>
              </w:rPr>
              <w:t>12.1</w:t>
            </w:r>
          </w:p>
        </w:tc>
        <w:tc>
          <w:tcPr>
            <w:tcW w:w="800" w:type="dxa"/>
            <w:tcBorders>
              <w:top w:val="nil"/>
              <w:left w:val="nil"/>
              <w:bottom w:val="nil"/>
              <w:right w:val="nil"/>
            </w:tcBorders>
            <w:shd w:val="clear" w:color="auto" w:fill="auto"/>
            <w:noWrap/>
            <w:vAlign w:val="center"/>
            <w:hideMark/>
          </w:tcPr>
          <w:p w14:paraId="5CAC5D47" w14:textId="77777777" w:rsidR="008A1E55" w:rsidRPr="006B42D6" w:rsidRDefault="008A1E55" w:rsidP="00E16CAE">
            <w:pPr>
              <w:jc w:val="right"/>
              <w:rPr>
                <w:sz w:val="16"/>
                <w:szCs w:val="16"/>
              </w:rPr>
            </w:pPr>
            <w:r w:rsidRPr="006B42D6">
              <w:rPr>
                <w:sz w:val="16"/>
                <w:szCs w:val="16"/>
              </w:rPr>
              <w:t>29.9</w:t>
            </w:r>
          </w:p>
        </w:tc>
        <w:tc>
          <w:tcPr>
            <w:tcW w:w="804" w:type="dxa"/>
            <w:tcBorders>
              <w:top w:val="nil"/>
              <w:left w:val="nil"/>
              <w:bottom w:val="nil"/>
              <w:right w:val="nil"/>
            </w:tcBorders>
            <w:shd w:val="clear" w:color="auto" w:fill="auto"/>
            <w:noWrap/>
            <w:vAlign w:val="center"/>
            <w:hideMark/>
          </w:tcPr>
          <w:p w14:paraId="5B835099" w14:textId="77777777" w:rsidR="008A1E55" w:rsidRPr="006B42D6" w:rsidRDefault="008A1E55" w:rsidP="00E16CAE">
            <w:pPr>
              <w:jc w:val="right"/>
              <w:rPr>
                <w:sz w:val="16"/>
                <w:szCs w:val="16"/>
              </w:rPr>
            </w:pPr>
            <w:r w:rsidRPr="006B42D6">
              <w:rPr>
                <w:sz w:val="16"/>
                <w:szCs w:val="16"/>
              </w:rPr>
              <w:t>-</w:t>
            </w:r>
          </w:p>
        </w:tc>
        <w:tc>
          <w:tcPr>
            <w:tcW w:w="1047" w:type="dxa"/>
            <w:tcBorders>
              <w:top w:val="nil"/>
              <w:left w:val="nil"/>
              <w:bottom w:val="nil"/>
              <w:right w:val="nil"/>
            </w:tcBorders>
            <w:shd w:val="clear" w:color="auto" w:fill="auto"/>
            <w:noWrap/>
            <w:vAlign w:val="center"/>
            <w:hideMark/>
          </w:tcPr>
          <w:p w14:paraId="57B7D552" w14:textId="77777777" w:rsidR="008A1E55" w:rsidRPr="006B42D6" w:rsidRDefault="008A1E55" w:rsidP="00E16CAE">
            <w:pPr>
              <w:jc w:val="right"/>
              <w:rPr>
                <w:sz w:val="16"/>
                <w:szCs w:val="16"/>
              </w:rPr>
            </w:pPr>
            <w:r w:rsidRPr="006B42D6">
              <w:rPr>
                <w:sz w:val="16"/>
                <w:szCs w:val="16"/>
              </w:rPr>
              <w:t>2.8</w:t>
            </w:r>
          </w:p>
        </w:tc>
        <w:tc>
          <w:tcPr>
            <w:tcW w:w="892" w:type="dxa"/>
            <w:tcBorders>
              <w:top w:val="nil"/>
              <w:left w:val="nil"/>
              <w:bottom w:val="nil"/>
              <w:right w:val="nil"/>
            </w:tcBorders>
            <w:shd w:val="clear" w:color="auto" w:fill="auto"/>
            <w:noWrap/>
            <w:vAlign w:val="center"/>
            <w:hideMark/>
          </w:tcPr>
          <w:p w14:paraId="427F9F87" w14:textId="77777777" w:rsidR="008A1E55" w:rsidRPr="006B42D6" w:rsidRDefault="008A1E55" w:rsidP="00E16CAE">
            <w:pPr>
              <w:jc w:val="right"/>
              <w:rPr>
                <w:sz w:val="16"/>
                <w:szCs w:val="16"/>
              </w:rPr>
            </w:pPr>
            <w:r w:rsidRPr="006B42D6">
              <w:rPr>
                <w:sz w:val="16"/>
                <w:szCs w:val="16"/>
              </w:rPr>
              <w:t>2.5</w:t>
            </w:r>
          </w:p>
        </w:tc>
        <w:tc>
          <w:tcPr>
            <w:tcW w:w="1197" w:type="dxa"/>
            <w:tcBorders>
              <w:top w:val="nil"/>
              <w:left w:val="nil"/>
              <w:bottom w:val="nil"/>
              <w:right w:val="nil"/>
            </w:tcBorders>
            <w:shd w:val="clear" w:color="auto" w:fill="auto"/>
            <w:noWrap/>
            <w:vAlign w:val="center"/>
            <w:hideMark/>
          </w:tcPr>
          <w:p w14:paraId="3517D7BC" w14:textId="77777777" w:rsidR="008A1E55" w:rsidRPr="006B42D6" w:rsidRDefault="008A1E55" w:rsidP="00E16CAE">
            <w:pPr>
              <w:jc w:val="right"/>
              <w:rPr>
                <w:sz w:val="16"/>
                <w:szCs w:val="16"/>
              </w:rPr>
            </w:pPr>
            <w:r w:rsidRPr="006B42D6">
              <w:rPr>
                <w:sz w:val="16"/>
                <w:szCs w:val="16"/>
              </w:rPr>
              <w:t>21.0</w:t>
            </w:r>
          </w:p>
        </w:tc>
        <w:tc>
          <w:tcPr>
            <w:tcW w:w="853" w:type="dxa"/>
            <w:tcBorders>
              <w:top w:val="nil"/>
              <w:left w:val="nil"/>
              <w:bottom w:val="nil"/>
              <w:right w:val="nil"/>
            </w:tcBorders>
            <w:shd w:val="clear" w:color="auto" w:fill="auto"/>
            <w:noWrap/>
            <w:vAlign w:val="center"/>
            <w:hideMark/>
          </w:tcPr>
          <w:p w14:paraId="6EBC0B08" w14:textId="77777777" w:rsidR="008A1E55" w:rsidRPr="006B42D6" w:rsidRDefault="008A1E55" w:rsidP="00E16CAE">
            <w:pPr>
              <w:jc w:val="right"/>
              <w:rPr>
                <w:sz w:val="16"/>
                <w:szCs w:val="16"/>
              </w:rPr>
            </w:pPr>
            <w:r w:rsidRPr="006B42D6">
              <w:rPr>
                <w:sz w:val="16"/>
                <w:szCs w:val="16"/>
              </w:rPr>
              <w:t>-</w:t>
            </w:r>
          </w:p>
        </w:tc>
        <w:tc>
          <w:tcPr>
            <w:tcW w:w="1008" w:type="dxa"/>
            <w:tcBorders>
              <w:top w:val="nil"/>
              <w:left w:val="nil"/>
              <w:bottom w:val="nil"/>
              <w:right w:val="nil"/>
            </w:tcBorders>
            <w:shd w:val="clear" w:color="auto" w:fill="auto"/>
            <w:noWrap/>
            <w:vAlign w:val="center"/>
            <w:hideMark/>
          </w:tcPr>
          <w:p w14:paraId="3F00138A" w14:textId="77777777" w:rsidR="008A1E55" w:rsidRPr="006B42D6" w:rsidRDefault="008A1E55" w:rsidP="00E16CAE">
            <w:pPr>
              <w:jc w:val="right"/>
              <w:rPr>
                <w:sz w:val="16"/>
                <w:szCs w:val="16"/>
              </w:rPr>
            </w:pPr>
            <w:r w:rsidRPr="006B42D6">
              <w:rPr>
                <w:sz w:val="16"/>
                <w:szCs w:val="16"/>
              </w:rPr>
              <w:t>-</w:t>
            </w:r>
          </w:p>
        </w:tc>
        <w:tc>
          <w:tcPr>
            <w:tcW w:w="1350" w:type="dxa"/>
            <w:tcBorders>
              <w:top w:val="nil"/>
              <w:left w:val="nil"/>
              <w:bottom w:val="nil"/>
              <w:right w:val="nil"/>
            </w:tcBorders>
            <w:shd w:val="clear" w:color="auto" w:fill="auto"/>
            <w:noWrap/>
            <w:vAlign w:val="center"/>
            <w:hideMark/>
          </w:tcPr>
          <w:p w14:paraId="00FA62B0" w14:textId="77777777" w:rsidR="008A1E55" w:rsidRPr="006B42D6" w:rsidRDefault="008A1E55" w:rsidP="00E16CAE">
            <w:pPr>
              <w:jc w:val="right"/>
              <w:rPr>
                <w:sz w:val="16"/>
                <w:szCs w:val="16"/>
              </w:rPr>
            </w:pPr>
            <w:r w:rsidRPr="006B42D6">
              <w:rPr>
                <w:sz w:val="16"/>
                <w:szCs w:val="16"/>
              </w:rPr>
              <w:t>15.6</w:t>
            </w:r>
          </w:p>
        </w:tc>
        <w:tc>
          <w:tcPr>
            <w:tcW w:w="1594" w:type="dxa"/>
            <w:tcBorders>
              <w:top w:val="nil"/>
              <w:left w:val="nil"/>
              <w:bottom w:val="nil"/>
              <w:right w:val="nil"/>
            </w:tcBorders>
            <w:shd w:val="clear" w:color="auto" w:fill="auto"/>
            <w:noWrap/>
            <w:vAlign w:val="center"/>
            <w:hideMark/>
          </w:tcPr>
          <w:p w14:paraId="20A8AD57" w14:textId="77777777" w:rsidR="008A1E55" w:rsidRPr="006B42D6" w:rsidRDefault="008A1E55" w:rsidP="00E16CAE">
            <w:pPr>
              <w:jc w:val="right"/>
              <w:rPr>
                <w:sz w:val="16"/>
                <w:szCs w:val="16"/>
              </w:rPr>
            </w:pPr>
            <w:r w:rsidRPr="006B42D6">
              <w:rPr>
                <w:sz w:val="16"/>
                <w:szCs w:val="16"/>
              </w:rPr>
              <w:t>17.1</w:t>
            </w:r>
          </w:p>
        </w:tc>
        <w:tc>
          <w:tcPr>
            <w:tcW w:w="804" w:type="dxa"/>
            <w:tcBorders>
              <w:top w:val="nil"/>
              <w:left w:val="nil"/>
              <w:bottom w:val="nil"/>
              <w:right w:val="nil"/>
            </w:tcBorders>
            <w:shd w:val="clear" w:color="auto" w:fill="auto"/>
            <w:noWrap/>
            <w:vAlign w:val="center"/>
            <w:hideMark/>
          </w:tcPr>
          <w:p w14:paraId="020EAD50" w14:textId="77777777" w:rsidR="008A1E55" w:rsidRPr="006B42D6" w:rsidRDefault="008A1E55" w:rsidP="00E16CAE">
            <w:pPr>
              <w:jc w:val="right"/>
              <w:rPr>
                <w:sz w:val="16"/>
                <w:szCs w:val="16"/>
              </w:rPr>
            </w:pPr>
            <w:r w:rsidRPr="006B42D6">
              <w:rPr>
                <w:sz w:val="16"/>
                <w:szCs w:val="16"/>
              </w:rPr>
              <w:t>-</w:t>
            </w:r>
          </w:p>
        </w:tc>
      </w:tr>
      <w:tr w:rsidR="006B42D6" w:rsidRPr="006B42D6" w14:paraId="7209BB20" w14:textId="77777777" w:rsidTr="00143C67">
        <w:trPr>
          <w:trHeight w:hRule="exact" w:val="227"/>
        </w:trPr>
        <w:tc>
          <w:tcPr>
            <w:tcW w:w="1668" w:type="dxa"/>
            <w:tcBorders>
              <w:top w:val="nil"/>
              <w:left w:val="nil"/>
              <w:bottom w:val="nil"/>
              <w:right w:val="nil"/>
            </w:tcBorders>
            <w:shd w:val="clear" w:color="auto" w:fill="auto"/>
            <w:noWrap/>
            <w:vAlign w:val="center"/>
            <w:hideMark/>
          </w:tcPr>
          <w:p w14:paraId="25BE5A9F" w14:textId="77777777" w:rsidR="008A1E55" w:rsidRPr="006B42D6" w:rsidRDefault="008A1E55" w:rsidP="00E16CAE">
            <w:pPr>
              <w:rPr>
                <w:sz w:val="16"/>
                <w:szCs w:val="16"/>
              </w:rPr>
            </w:pPr>
            <w:r w:rsidRPr="006B42D6">
              <w:rPr>
                <w:sz w:val="16"/>
                <w:szCs w:val="16"/>
              </w:rPr>
              <w:t>Kusini Unguja</w:t>
            </w:r>
          </w:p>
        </w:tc>
        <w:tc>
          <w:tcPr>
            <w:tcW w:w="1031" w:type="dxa"/>
            <w:tcBorders>
              <w:top w:val="nil"/>
              <w:left w:val="nil"/>
              <w:bottom w:val="nil"/>
              <w:right w:val="nil"/>
            </w:tcBorders>
            <w:shd w:val="clear" w:color="auto" w:fill="auto"/>
            <w:noWrap/>
            <w:vAlign w:val="center"/>
            <w:hideMark/>
          </w:tcPr>
          <w:p w14:paraId="12A74615" w14:textId="77777777" w:rsidR="008A1E55" w:rsidRPr="006B42D6" w:rsidRDefault="008A1E55" w:rsidP="00E16CAE">
            <w:pPr>
              <w:jc w:val="right"/>
              <w:rPr>
                <w:sz w:val="16"/>
                <w:szCs w:val="16"/>
              </w:rPr>
            </w:pPr>
            <w:r w:rsidRPr="006B42D6">
              <w:rPr>
                <w:sz w:val="16"/>
                <w:szCs w:val="16"/>
              </w:rPr>
              <w:t>12.8</w:t>
            </w:r>
          </w:p>
        </w:tc>
        <w:tc>
          <w:tcPr>
            <w:tcW w:w="800" w:type="dxa"/>
            <w:tcBorders>
              <w:top w:val="nil"/>
              <w:left w:val="nil"/>
              <w:bottom w:val="nil"/>
              <w:right w:val="nil"/>
            </w:tcBorders>
            <w:shd w:val="clear" w:color="auto" w:fill="auto"/>
            <w:noWrap/>
            <w:vAlign w:val="center"/>
            <w:hideMark/>
          </w:tcPr>
          <w:p w14:paraId="363848AE" w14:textId="77777777" w:rsidR="008A1E55" w:rsidRPr="006B42D6" w:rsidRDefault="008A1E55" w:rsidP="00E16CAE">
            <w:pPr>
              <w:jc w:val="right"/>
              <w:rPr>
                <w:sz w:val="16"/>
                <w:szCs w:val="16"/>
              </w:rPr>
            </w:pPr>
            <w:r w:rsidRPr="006B42D6">
              <w:rPr>
                <w:sz w:val="16"/>
                <w:szCs w:val="16"/>
              </w:rPr>
              <w:t>11.7</w:t>
            </w:r>
          </w:p>
        </w:tc>
        <w:tc>
          <w:tcPr>
            <w:tcW w:w="804" w:type="dxa"/>
            <w:tcBorders>
              <w:top w:val="nil"/>
              <w:left w:val="nil"/>
              <w:bottom w:val="nil"/>
              <w:right w:val="nil"/>
            </w:tcBorders>
            <w:shd w:val="clear" w:color="auto" w:fill="auto"/>
            <w:noWrap/>
            <w:vAlign w:val="center"/>
            <w:hideMark/>
          </w:tcPr>
          <w:p w14:paraId="284905C4" w14:textId="77777777" w:rsidR="008A1E55" w:rsidRPr="006B42D6" w:rsidRDefault="008A1E55" w:rsidP="00E16CAE">
            <w:pPr>
              <w:jc w:val="right"/>
              <w:rPr>
                <w:sz w:val="16"/>
                <w:szCs w:val="16"/>
              </w:rPr>
            </w:pPr>
            <w:r w:rsidRPr="006B42D6">
              <w:rPr>
                <w:sz w:val="16"/>
                <w:szCs w:val="16"/>
              </w:rPr>
              <w:t>-</w:t>
            </w:r>
          </w:p>
        </w:tc>
        <w:tc>
          <w:tcPr>
            <w:tcW w:w="1047" w:type="dxa"/>
            <w:tcBorders>
              <w:top w:val="nil"/>
              <w:left w:val="nil"/>
              <w:bottom w:val="nil"/>
              <w:right w:val="nil"/>
            </w:tcBorders>
            <w:shd w:val="clear" w:color="auto" w:fill="auto"/>
            <w:noWrap/>
            <w:vAlign w:val="center"/>
            <w:hideMark/>
          </w:tcPr>
          <w:p w14:paraId="146EFFC8" w14:textId="77777777" w:rsidR="008A1E55" w:rsidRPr="006B42D6" w:rsidRDefault="008A1E55" w:rsidP="00E16CAE">
            <w:pPr>
              <w:jc w:val="right"/>
              <w:rPr>
                <w:sz w:val="16"/>
                <w:szCs w:val="16"/>
              </w:rPr>
            </w:pPr>
            <w:r w:rsidRPr="006B42D6">
              <w:rPr>
                <w:sz w:val="16"/>
                <w:szCs w:val="16"/>
              </w:rPr>
              <w:t>12.4</w:t>
            </w:r>
          </w:p>
        </w:tc>
        <w:tc>
          <w:tcPr>
            <w:tcW w:w="892" w:type="dxa"/>
            <w:tcBorders>
              <w:top w:val="nil"/>
              <w:left w:val="nil"/>
              <w:bottom w:val="nil"/>
              <w:right w:val="nil"/>
            </w:tcBorders>
            <w:shd w:val="clear" w:color="auto" w:fill="auto"/>
            <w:noWrap/>
            <w:vAlign w:val="center"/>
            <w:hideMark/>
          </w:tcPr>
          <w:p w14:paraId="01574B64" w14:textId="77777777" w:rsidR="008A1E55" w:rsidRPr="006B42D6" w:rsidRDefault="008A1E55" w:rsidP="00E16CAE">
            <w:pPr>
              <w:jc w:val="right"/>
              <w:rPr>
                <w:sz w:val="16"/>
                <w:szCs w:val="16"/>
              </w:rPr>
            </w:pPr>
            <w:r w:rsidRPr="006B42D6">
              <w:rPr>
                <w:sz w:val="16"/>
                <w:szCs w:val="16"/>
              </w:rPr>
              <w:t>-</w:t>
            </w:r>
          </w:p>
        </w:tc>
        <w:tc>
          <w:tcPr>
            <w:tcW w:w="1197" w:type="dxa"/>
            <w:tcBorders>
              <w:top w:val="nil"/>
              <w:left w:val="nil"/>
              <w:bottom w:val="nil"/>
              <w:right w:val="nil"/>
            </w:tcBorders>
            <w:shd w:val="clear" w:color="auto" w:fill="auto"/>
            <w:noWrap/>
            <w:vAlign w:val="center"/>
            <w:hideMark/>
          </w:tcPr>
          <w:p w14:paraId="0CF3E37E" w14:textId="77777777" w:rsidR="008A1E55" w:rsidRPr="006B42D6" w:rsidRDefault="008A1E55" w:rsidP="00E16CAE">
            <w:pPr>
              <w:jc w:val="right"/>
              <w:rPr>
                <w:sz w:val="16"/>
                <w:szCs w:val="16"/>
              </w:rPr>
            </w:pPr>
            <w:r w:rsidRPr="006B42D6">
              <w:rPr>
                <w:sz w:val="16"/>
                <w:szCs w:val="16"/>
              </w:rPr>
              <w:t>5.5</w:t>
            </w:r>
          </w:p>
        </w:tc>
        <w:tc>
          <w:tcPr>
            <w:tcW w:w="853" w:type="dxa"/>
            <w:tcBorders>
              <w:top w:val="nil"/>
              <w:left w:val="nil"/>
              <w:bottom w:val="nil"/>
              <w:right w:val="nil"/>
            </w:tcBorders>
            <w:shd w:val="clear" w:color="auto" w:fill="auto"/>
            <w:noWrap/>
            <w:vAlign w:val="center"/>
            <w:hideMark/>
          </w:tcPr>
          <w:p w14:paraId="036B1A0B" w14:textId="77777777" w:rsidR="008A1E55" w:rsidRPr="006B42D6" w:rsidRDefault="008A1E55" w:rsidP="00E16CAE">
            <w:pPr>
              <w:jc w:val="right"/>
              <w:rPr>
                <w:sz w:val="16"/>
                <w:szCs w:val="16"/>
              </w:rPr>
            </w:pPr>
            <w:r w:rsidRPr="006B42D6">
              <w:rPr>
                <w:sz w:val="16"/>
                <w:szCs w:val="16"/>
              </w:rPr>
              <w:t>55.0</w:t>
            </w:r>
          </w:p>
        </w:tc>
        <w:tc>
          <w:tcPr>
            <w:tcW w:w="1008" w:type="dxa"/>
            <w:tcBorders>
              <w:top w:val="nil"/>
              <w:left w:val="nil"/>
              <w:bottom w:val="nil"/>
              <w:right w:val="nil"/>
            </w:tcBorders>
            <w:shd w:val="clear" w:color="auto" w:fill="auto"/>
            <w:noWrap/>
            <w:vAlign w:val="center"/>
            <w:hideMark/>
          </w:tcPr>
          <w:p w14:paraId="3ED2B8A1" w14:textId="77777777" w:rsidR="008A1E55" w:rsidRPr="006B42D6" w:rsidRDefault="008A1E55" w:rsidP="00E16CAE">
            <w:pPr>
              <w:jc w:val="right"/>
              <w:rPr>
                <w:sz w:val="16"/>
                <w:szCs w:val="16"/>
              </w:rPr>
            </w:pPr>
            <w:r w:rsidRPr="006B42D6">
              <w:rPr>
                <w:sz w:val="16"/>
                <w:szCs w:val="16"/>
              </w:rPr>
              <w:t>78.5</w:t>
            </w:r>
          </w:p>
        </w:tc>
        <w:tc>
          <w:tcPr>
            <w:tcW w:w="1350" w:type="dxa"/>
            <w:tcBorders>
              <w:top w:val="nil"/>
              <w:left w:val="nil"/>
              <w:bottom w:val="nil"/>
              <w:right w:val="nil"/>
            </w:tcBorders>
            <w:shd w:val="clear" w:color="auto" w:fill="auto"/>
            <w:noWrap/>
            <w:vAlign w:val="center"/>
            <w:hideMark/>
          </w:tcPr>
          <w:p w14:paraId="3501C328" w14:textId="77777777" w:rsidR="008A1E55" w:rsidRPr="006B42D6" w:rsidRDefault="008A1E55" w:rsidP="00E16CAE">
            <w:pPr>
              <w:jc w:val="right"/>
              <w:rPr>
                <w:sz w:val="16"/>
                <w:szCs w:val="16"/>
              </w:rPr>
            </w:pPr>
            <w:r w:rsidRPr="006B42D6">
              <w:rPr>
                <w:sz w:val="16"/>
                <w:szCs w:val="16"/>
              </w:rPr>
              <w:t>37.4</w:t>
            </w:r>
          </w:p>
        </w:tc>
        <w:tc>
          <w:tcPr>
            <w:tcW w:w="1594" w:type="dxa"/>
            <w:tcBorders>
              <w:top w:val="nil"/>
              <w:left w:val="nil"/>
              <w:bottom w:val="nil"/>
              <w:right w:val="nil"/>
            </w:tcBorders>
            <w:shd w:val="clear" w:color="auto" w:fill="auto"/>
            <w:noWrap/>
            <w:vAlign w:val="center"/>
            <w:hideMark/>
          </w:tcPr>
          <w:p w14:paraId="1FA89C6A" w14:textId="77777777" w:rsidR="008A1E55" w:rsidRPr="006B42D6" w:rsidRDefault="008A1E55" w:rsidP="00E16CAE">
            <w:pPr>
              <w:jc w:val="right"/>
              <w:rPr>
                <w:sz w:val="16"/>
                <w:szCs w:val="16"/>
              </w:rPr>
            </w:pPr>
            <w:r w:rsidRPr="006B42D6">
              <w:rPr>
                <w:sz w:val="16"/>
                <w:szCs w:val="16"/>
              </w:rPr>
              <w:t>-</w:t>
            </w:r>
          </w:p>
        </w:tc>
        <w:tc>
          <w:tcPr>
            <w:tcW w:w="804" w:type="dxa"/>
            <w:tcBorders>
              <w:top w:val="nil"/>
              <w:left w:val="nil"/>
              <w:bottom w:val="nil"/>
              <w:right w:val="nil"/>
            </w:tcBorders>
            <w:shd w:val="clear" w:color="auto" w:fill="auto"/>
            <w:noWrap/>
            <w:vAlign w:val="center"/>
            <w:hideMark/>
          </w:tcPr>
          <w:p w14:paraId="228561E8" w14:textId="77777777" w:rsidR="008A1E55" w:rsidRPr="006B42D6" w:rsidRDefault="008A1E55" w:rsidP="00E16CAE">
            <w:pPr>
              <w:jc w:val="right"/>
              <w:rPr>
                <w:sz w:val="16"/>
                <w:szCs w:val="16"/>
              </w:rPr>
            </w:pPr>
            <w:r w:rsidRPr="006B42D6">
              <w:rPr>
                <w:sz w:val="16"/>
                <w:szCs w:val="16"/>
              </w:rPr>
              <w:t>-</w:t>
            </w:r>
          </w:p>
        </w:tc>
      </w:tr>
      <w:tr w:rsidR="006B42D6" w:rsidRPr="006B42D6" w14:paraId="40914AA6" w14:textId="77777777" w:rsidTr="00143C67">
        <w:trPr>
          <w:trHeight w:hRule="exact" w:val="227"/>
        </w:trPr>
        <w:tc>
          <w:tcPr>
            <w:tcW w:w="1668" w:type="dxa"/>
            <w:tcBorders>
              <w:top w:val="nil"/>
              <w:left w:val="nil"/>
              <w:bottom w:val="nil"/>
              <w:right w:val="nil"/>
            </w:tcBorders>
            <w:shd w:val="clear" w:color="auto" w:fill="auto"/>
            <w:noWrap/>
            <w:vAlign w:val="center"/>
            <w:hideMark/>
          </w:tcPr>
          <w:p w14:paraId="7A5C9D27" w14:textId="77777777" w:rsidR="008A1E55" w:rsidRPr="006B42D6" w:rsidRDefault="008A1E55" w:rsidP="00E16CAE">
            <w:pPr>
              <w:rPr>
                <w:sz w:val="16"/>
                <w:szCs w:val="16"/>
              </w:rPr>
            </w:pPr>
            <w:r w:rsidRPr="006B42D6">
              <w:rPr>
                <w:sz w:val="16"/>
                <w:szCs w:val="16"/>
              </w:rPr>
              <w:t>Mjini Magharibi</w:t>
            </w:r>
          </w:p>
        </w:tc>
        <w:tc>
          <w:tcPr>
            <w:tcW w:w="1031" w:type="dxa"/>
            <w:tcBorders>
              <w:top w:val="nil"/>
              <w:left w:val="nil"/>
              <w:bottom w:val="nil"/>
              <w:right w:val="nil"/>
            </w:tcBorders>
            <w:shd w:val="clear" w:color="auto" w:fill="auto"/>
            <w:noWrap/>
            <w:vAlign w:val="center"/>
            <w:hideMark/>
          </w:tcPr>
          <w:p w14:paraId="4E05DBFA" w14:textId="77777777" w:rsidR="008A1E55" w:rsidRPr="006B42D6" w:rsidRDefault="008A1E55" w:rsidP="00E16CAE">
            <w:pPr>
              <w:jc w:val="right"/>
              <w:rPr>
                <w:sz w:val="16"/>
                <w:szCs w:val="16"/>
              </w:rPr>
            </w:pPr>
            <w:r w:rsidRPr="006B42D6">
              <w:rPr>
                <w:sz w:val="16"/>
                <w:szCs w:val="16"/>
              </w:rPr>
              <w:t>27.9</w:t>
            </w:r>
          </w:p>
        </w:tc>
        <w:tc>
          <w:tcPr>
            <w:tcW w:w="800" w:type="dxa"/>
            <w:tcBorders>
              <w:top w:val="nil"/>
              <w:left w:val="nil"/>
              <w:bottom w:val="nil"/>
              <w:right w:val="nil"/>
            </w:tcBorders>
            <w:shd w:val="clear" w:color="auto" w:fill="auto"/>
            <w:noWrap/>
            <w:vAlign w:val="center"/>
            <w:hideMark/>
          </w:tcPr>
          <w:p w14:paraId="51D4D492" w14:textId="77777777" w:rsidR="008A1E55" w:rsidRPr="006B42D6" w:rsidRDefault="008A1E55" w:rsidP="00E16CAE">
            <w:pPr>
              <w:jc w:val="right"/>
              <w:rPr>
                <w:sz w:val="16"/>
                <w:szCs w:val="16"/>
              </w:rPr>
            </w:pPr>
            <w:r w:rsidRPr="006B42D6">
              <w:rPr>
                <w:sz w:val="16"/>
                <w:szCs w:val="16"/>
              </w:rPr>
              <w:t>23.8</w:t>
            </w:r>
          </w:p>
        </w:tc>
        <w:tc>
          <w:tcPr>
            <w:tcW w:w="804" w:type="dxa"/>
            <w:tcBorders>
              <w:top w:val="nil"/>
              <w:left w:val="nil"/>
              <w:bottom w:val="nil"/>
              <w:right w:val="nil"/>
            </w:tcBorders>
            <w:shd w:val="clear" w:color="auto" w:fill="auto"/>
            <w:noWrap/>
            <w:vAlign w:val="center"/>
            <w:hideMark/>
          </w:tcPr>
          <w:p w14:paraId="6CEBBB34" w14:textId="77777777" w:rsidR="008A1E55" w:rsidRPr="006B42D6" w:rsidRDefault="008A1E55" w:rsidP="00E16CAE">
            <w:pPr>
              <w:jc w:val="right"/>
              <w:rPr>
                <w:sz w:val="16"/>
                <w:szCs w:val="16"/>
              </w:rPr>
            </w:pPr>
            <w:r w:rsidRPr="006B42D6">
              <w:rPr>
                <w:sz w:val="16"/>
                <w:szCs w:val="16"/>
              </w:rPr>
              <w:t>-</w:t>
            </w:r>
          </w:p>
        </w:tc>
        <w:tc>
          <w:tcPr>
            <w:tcW w:w="1047" w:type="dxa"/>
            <w:tcBorders>
              <w:top w:val="nil"/>
              <w:left w:val="nil"/>
              <w:bottom w:val="nil"/>
              <w:right w:val="nil"/>
            </w:tcBorders>
            <w:shd w:val="clear" w:color="auto" w:fill="auto"/>
            <w:noWrap/>
            <w:vAlign w:val="center"/>
            <w:hideMark/>
          </w:tcPr>
          <w:p w14:paraId="2A79B5C0" w14:textId="77777777" w:rsidR="008A1E55" w:rsidRPr="006B42D6" w:rsidRDefault="008A1E55" w:rsidP="00E16CAE">
            <w:pPr>
              <w:jc w:val="right"/>
              <w:rPr>
                <w:sz w:val="16"/>
                <w:szCs w:val="16"/>
              </w:rPr>
            </w:pPr>
            <w:r w:rsidRPr="006B42D6">
              <w:rPr>
                <w:sz w:val="16"/>
                <w:szCs w:val="16"/>
              </w:rPr>
              <w:t>20.2</w:t>
            </w:r>
          </w:p>
        </w:tc>
        <w:tc>
          <w:tcPr>
            <w:tcW w:w="892" w:type="dxa"/>
            <w:tcBorders>
              <w:top w:val="nil"/>
              <w:left w:val="nil"/>
              <w:bottom w:val="nil"/>
              <w:right w:val="nil"/>
            </w:tcBorders>
            <w:shd w:val="clear" w:color="auto" w:fill="auto"/>
            <w:noWrap/>
            <w:vAlign w:val="center"/>
            <w:hideMark/>
          </w:tcPr>
          <w:p w14:paraId="1A3E43F8" w14:textId="77777777" w:rsidR="008A1E55" w:rsidRPr="006B42D6" w:rsidRDefault="008A1E55" w:rsidP="00E16CAE">
            <w:pPr>
              <w:jc w:val="right"/>
              <w:rPr>
                <w:sz w:val="16"/>
                <w:szCs w:val="16"/>
              </w:rPr>
            </w:pPr>
            <w:r w:rsidRPr="006B42D6">
              <w:rPr>
                <w:sz w:val="16"/>
                <w:szCs w:val="16"/>
              </w:rPr>
              <w:t>11.1</w:t>
            </w:r>
          </w:p>
        </w:tc>
        <w:tc>
          <w:tcPr>
            <w:tcW w:w="1197" w:type="dxa"/>
            <w:tcBorders>
              <w:top w:val="nil"/>
              <w:left w:val="nil"/>
              <w:bottom w:val="nil"/>
              <w:right w:val="nil"/>
            </w:tcBorders>
            <w:shd w:val="clear" w:color="auto" w:fill="auto"/>
            <w:noWrap/>
            <w:vAlign w:val="center"/>
            <w:hideMark/>
          </w:tcPr>
          <w:p w14:paraId="61C243EE" w14:textId="77777777" w:rsidR="008A1E55" w:rsidRPr="006B42D6" w:rsidRDefault="008A1E55" w:rsidP="00E16CAE">
            <w:pPr>
              <w:jc w:val="right"/>
              <w:rPr>
                <w:sz w:val="16"/>
                <w:szCs w:val="16"/>
              </w:rPr>
            </w:pPr>
            <w:r w:rsidRPr="006B42D6">
              <w:rPr>
                <w:sz w:val="16"/>
                <w:szCs w:val="16"/>
              </w:rPr>
              <w:t>12.3</w:t>
            </w:r>
          </w:p>
        </w:tc>
        <w:tc>
          <w:tcPr>
            <w:tcW w:w="853" w:type="dxa"/>
            <w:tcBorders>
              <w:top w:val="nil"/>
              <w:left w:val="nil"/>
              <w:bottom w:val="nil"/>
              <w:right w:val="nil"/>
            </w:tcBorders>
            <w:shd w:val="clear" w:color="auto" w:fill="auto"/>
            <w:noWrap/>
            <w:vAlign w:val="center"/>
            <w:hideMark/>
          </w:tcPr>
          <w:p w14:paraId="74B4DC32" w14:textId="77777777" w:rsidR="008A1E55" w:rsidRPr="006B42D6" w:rsidRDefault="008A1E55" w:rsidP="00E16CAE">
            <w:pPr>
              <w:jc w:val="right"/>
              <w:rPr>
                <w:sz w:val="16"/>
                <w:szCs w:val="16"/>
              </w:rPr>
            </w:pPr>
            <w:r w:rsidRPr="006B42D6">
              <w:rPr>
                <w:sz w:val="16"/>
                <w:szCs w:val="16"/>
              </w:rPr>
              <w:t>45.0</w:t>
            </w:r>
          </w:p>
        </w:tc>
        <w:tc>
          <w:tcPr>
            <w:tcW w:w="1008" w:type="dxa"/>
            <w:tcBorders>
              <w:top w:val="nil"/>
              <w:left w:val="nil"/>
              <w:bottom w:val="nil"/>
              <w:right w:val="nil"/>
            </w:tcBorders>
            <w:shd w:val="clear" w:color="auto" w:fill="auto"/>
            <w:noWrap/>
            <w:vAlign w:val="center"/>
            <w:hideMark/>
          </w:tcPr>
          <w:p w14:paraId="59706917" w14:textId="77777777" w:rsidR="008A1E55" w:rsidRPr="006B42D6" w:rsidRDefault="008A1E55" w:rsidP="00E16CAE">
            <w:pPr>
              <w:jc w:val="right"/>
              <w:rPr>
                <w:sz w:val="16"/>
                <w:szCs w:val="16"/>
              </w:rPr>
            </w:pPr>
            <w:r w:rsidRPr="006B42D6">
              <w:rPr>
                <w:sz w:val="16"/>
                <w:szCs w:val="16"/>
              </w:rPr>
              <w:t>21.5</w:t>
            </w:r>
          </w:p>
        </w:tc>
        <w:tc>
          <w:tcPr>
            <w:tcW w:w="1350" w:type="dxa"/>
            <w:tcBorders>
              <w:top w:val="nil"/>
              <w:left w:val="nil"/>
              <w:bottom w:val="nil"/>
              <w:right w:val="nil"/>
            </w:tcBorders>
            <w:shd w:val="clear" w:color="auto" w:fill="auto"/>
            <w:noWrap/>
            <w:vAlign w:val="center"/>
            <w:hideMark/>
          </w:tcPr>
          <w:p w14:paraId="487C8C2B" w14:textId="77777777" w:rsidR="008A1E55" w:rsidRPr="006B42D6" w:rsidRDefault="008A1E55" w:rsidP="00E16CAE">
            <w:pPr>
              <w:jc w:val="right"/>
              <w:rPr>
                <w:sz w:val="16"/>
                <w:szCs w:val="16"/>
              </w:rPr>
            </w:pPr>
            <w:r w:rsidRPr="006B42D6">
              <w:rPr>
                <w:sz w:val="16"/>
                <w:szCs w:val="16"/>
              </w:rPr>
              <w:t>23.8</w:t>
            </w:r>
          </w:p>
        </w:tc>
        <w:tc>
          <w:tcPr>
            <w:tcW w:w="1594" w:type="dxa"/>
            <w:tcBorders>
              <w:top w:val="nil"/>
              <w:left w:val="nil"/>
              <w:bottom w:val="nil"/>
              <w:right w:val="nil"/>
            </w:tcBorders>
            <w:shd w:val="clear" w:color="auto" w:fill="auto"/>
            <w:noWrap/>
            <w:vAlign w:val="center"/>
            <w:hideMark/>
          </w:tcPr>
          <w:p w14:paraId="6D1A2E47" w14:textId="77777777" w:rsidR="008A1E55" w:rsidRPr="006B42D6" w:rsidRDefault="008A1E55" w:rsidP="00E16CAE">
            <w:pPr>
              <w:jc w:val="right"/>
              <w:rPr>
                <w:sz w:val="16"/>
                <w:szCs w:val="16"/>
              </w:rPr>
            </w:pPr>
            <w:r w:rsidRPr="006B42D6">
              <w:rPr>
                <w:sz w:val="16"/>
                <w:szCs w:val="16"/>
              </w:rPr>
              <w:t>82.9</w:t>
            </w:r>
          </w:p>
        </w:tc>
        <w:tc>
          <w:tcPr>
            <w:tcW w:w="804" w:type="dxa"/>
            <w:tcBorders>
              <w:top w:val="nil"/>
              <w:left w:val="nil"/>
              <w:bottom w:val="nil"/>
              <w:right w:val="nil"/>
            </w:tcBorders>
            <w:shd w:val="clear" w:color="auto" w:fill="auto"/>
            <w:noWrap/>
            <w:vAlign w:val="center"/>
            <w:hideMark/>
          </w:tcPr>
          <w:p w14:paraId="206E3FC6" w14:textId="77777777" w:rsidR="008A1E55" w:rsidRPr="006B42D6" w:rsidRDefault="008A1E55" w:rsidP="00E16CAE">
            <w:pPr>
              <w:jc w:val="right"/>
              <w:rPr>
                <w:sz w:val="16"/>
                <w:szCs w:val="16"/>
              </w:rPr>
            </w:pPr>
            <w:r w:rsidRPr="006B42D6">
              <w:rPr>
                <w:sz w:val="16"/>
                <w:szCs w:val="16"/>
              </w:rPr>
              <w:t>-</w:t>
            </w:r>
          </w:p>
        </w:tc>
      </w:tr>
      <w:tr w:rsidR="006B42D6" w:rsidRPr="006B42D6" w14:paraId="59993919" w14:textId="77777777" w:rsidTr="00143C67">
        <w:trPr>
          <w:trHeight w:hRule="exact" w:val="227"/>
        </w:trPr>
        <w:tc>
          <w:tcPr>
            <w:tcW w:w="1668" w:type="dxa"/>
            <w:tcBorders>
              <w:top w:val="nil"/>
              <w:left w:val="nil"/>
              <w:bottom w:val="nil"/>
              <w:right w:val="nil"/>
            </w:tcBorders>
            <w:shd w:val="clear" w:color="auto" w:fill="auto"/>
            <w:noWrap/>
            <w:vAlign w:val="center"/>
            <w:hideMark/>
          </w:tcPr>
          <w:p w14:paraId="20E9933B" w14:textId="77777777" w:rsidR="008A1E55" w:rsidRPr="006B42D6" w:rsidRDefault="008A1E55" w:rsidP="00E16CAE">
            <w:pPr>
              <w:rPr>
                <w:sz w:val="16"/>
                <w:szCs w:val="16"/>
              </w:rPr>
            </w:pPr>
            <w:r w:rsidRPr="006B42D6">
              <w:rPr>
                <w:sz w:val="16"/>
                <w:szCs w:val="16"/>
              </w:rPr>
              <w:t>Kaskazini Pemba</w:t>
            </w:r>
          </w:p>
        </w:tc>
        <w:tc>
          <w:tcPr>
            <w:tcW w:w="1031" w:type="dxa"/>
            <w:tcBorders>
              <w:top w:val="nil"/>
              <w:left w:val="nil"/>
              <w:bottom w:val="nil"/>
              <w:right w:val="nil"/>
            </w:tcBorders>
            <w:shd w:val="clear" w:color="auto" w:fill="auto"/>
            <w:noWrap/>
            <w:vAlign w:val="center"/>
            <w:hideMark/>
          </w:tcPr>
          <w:p w14:paraId="3BC1F881" w14:textId="77777777" w:rsidR="008A1E55" w:rsidRPr="006B42D6" w:rsidRDefault="008A1E55" w:rsidP="00E16CAE">
            <w:pPr>
              <w:jc w:val="right"/>
              <w:rPr>
                <w:sz w:val="16"/>
                <w:szCs w:val="16"/>
              </w:rPr>
            </w:pPr>
            <w:r w:rsidRPr="006B42D6">
              <w:rPr>
                <w:sz w:val="16"/>
                <w:szCs w:val="16"/>
              </w:rPr>
              <w:t>17.6</w:t>
            </w:r>
          </w:p>
        </w:tc>
        <w:tc>
          <w:tcPr>
            <w:tcW w:w="800" w:type="dxa"/>
            <w:tcBorders>
              <w:top w:val="nil"/>
              <w:left w:val="nil"/>
              <w:bottom w:val="nil"/>
              <w:right w:val="nil"/>
            </w:tcBorders>
            <w:shd w:val="clear" w:color="auto" w:fill="auto"/>
            <w:noWrap/>
            <w:vAlign w:val="center"/>
            <w:hideMark/>
          </w:tcPr>
          <w:p w14:paraId="1B673DF0" w14:textId="77777777" w:rsidR="008A1E55" w:rsidRPr="006B42D6" w:rsidRDefault="008A1E55" w:rsidP="00E16CAE">
            <w:pPr>
              <w:jc w:val="right"/>
              <w:rPr>
                <w:sz w:val="16"/>
                <w:szCs w:val="16"/>
              </w:rPr>
            </w:pPr>
            <w:r w:rsidRPr="006B42D6">
              <w:rPr>
                <w:sz w:val="16"/>
                <w:szCs w:val="16"/>
              </w:rPr>
              <w:t>16.8</w:t>
            </w:r>
          </w:p>
        </w:tc>
        <w:tc>
          <w:tcPr>
            <w:tcW w:w="804" w:type="dxa"/>
            <w:tcBorders>
              <w:top w:val="nil"/>
              <w:left w:val="nil"/>
              <w:bottom w:val="nil"/>
              <w:right w:val="nil"/>
            </w:tcBorders>
            <w:shd w:val="clear" w:color="auto" w:fill="auto"/>
            <w:noWrap/>
            <w:vAlign w:val="center"/>
            <w:hideMark/>
          </w:tcPr>
          <w:p w14:paraId="62BFE831" w14:textId="77777777" w:rsidR="008A1E55" w:rsidRPr="006B42D6" w:rsidRDefault="008A1E55" w:rsidP="00E16CAE">
            <w:pPr>
              <w:jc w:val="right"/>
              <w:rPr>
                <w:sz w:val="16"/>
                <w:szCs w:val="16"/>
              </w:rPr>
            </w:pPr>
            <w:r w:rsidRPr="006B42D6">
              <w:rPr>
                <w:sz w:val="16"/>
                <w:szCs w:val="16"/>
              </w:rPr>
              <w:t>-</w:t>
            </w:r>
          </w:p>
        </w:tc>
        <w:tc>
          <w:tcPr>
            <w:tcW w:w="1047" w:type="dxa"/>
            <w:tcBorders>
              <w:top w:val="nil"/>
              <w:left w:val="nil"/>
              <w:bottom w:val="nil"/>
              <w:right w:val="nil"/>
            </w:tcBorders>
            <w:shd w:val="clear" w:color="auto" w:fill="auto"/>
            <w:noWrap/>
            <w:vAlign w:val="center"/>
            <w:hideMark/>
          </w:tcPr>
          <w:p w14:paraId="773B8EFE" w14:textId="77777777" w:rsidR="008A1E55" w:rsidRPr="006B42D6" w:rsidRDefault="008A1E55" w:rsidP="00E16CAE">
            <w:pPr>
              <w:jc w:val="right"/>
              <w:rPr>
                <w:sz w:val="16"/>
                <w:szCs w:val="16"/>
              </w:rPr>
            </w:pPr>
            <w:r w:rsidRPr="006B42D6">
              <w:rPr>
                <w:sz w:val="16"/>
                <w:szCs w:val="16"/>
              </w:rPr>
              <w:t>25.1</w:t>
            </w:r>
          </w:p>
        </w:tc>
        <w:tc>
          <w:tcPr>
            <w:tcW w:w="892" w:type="dxa"/>
            <w:tcBorders>
              <w:top w:val="nil"/>
              <w:left w:val="nil"/>
              <w:bottom w:val="nil"/>
              <w:right w:val="nil"/>
            </w:tcBorders>
            <w:shd w:val="clear" w:color="auto" w:fill="auto"/>
            <w:noWrap/>
            <w:vAlign w:val="center"/>
            <w:hideMark/>
          </w:tcPr>
          <w:p w14:paraId="42E99564" w14:textId="77777777" w:rsidR="008A1E55" w:rsidRPr="006B42D6" w:rsidRDefault="008A1E55" w:rsidP="00E16CAE">
            <w:pPr>
              <w:jc w:val="right"/>
              <w:rPr>
                <w:sz w:val="16"/>
                <w:szCs w:val="16"/>
              </w:rPr>
            </w:pPr>
            <w:r w:rsidRPr="006B42D6">
              <w:rPr>
                <w:sz w:val="16"/>
                <w:szCs w:val="16"/>
              </w:rPr>
              <w:t>8.8</w:t>
            </w:r>
          </w:p>
        </w:tc>
        <w:tc>
          <w:tcPr>
            <w:tcW w:w="1197" w:type="dxa"/>
            <w:tcBorders>
              <w:top w:val="nil"/>
              <w:left w:val="nil"/>
              <w:bottom w:val="nil"/>
              <w:right w:val="nil"/>
            </w:tcBorders>
            <w:shd w:val="clear" w:color="auto" w:fill="auto"/>
            <w:noWrap/>
            <w:vAlign w:val="center"/>
            <w:hideMark/>
          </w:tcPr>
          <w:p w14:paraId="1615058E" w14:textId="77777777" w:rsidR="008A1E55" w:rsidRPr="006B42D6" w:rsidRDefault="008A1E55" w:rsidP="00E16CAE">
            <w:pPr>
              <w:jc w:val="right"/>
              <w:rPr>
                <w:sz w:val="16"/>
                <w:szCs w:val="16"/>
              </w:rPr>
            </w:pPr>
            <w:r w:rsidRPr="006B42D6">
              <w:rPr>
                <w:sz w:val="16"/>
                <w:szCs w:val="16"/>
              </w:rPr>
              <w:t>29.4</w:t>
            </w:r>
          </w:p>
        </w:tc>
        <w:tc>
          <w:tcPr>
            <w:tcW w:w="853" w:type="dxa"/>
            <w:tcBorders>
              <w:top w:val="nil"/>
              <w:left w:val="nil"/>
              <w:bottom w:val="nil"/>
              <w:right w:val="nil"/>
            </w:tcBorders>
            <w:shd w:val="clear" w:color="auto" w:fill="auto"/>
            <w:noWrap/>
            <w:vAlign w:val="center"/>
            <w:hideMark/>
          </w:tcPr>
          <w:p w14:paraId="3F82E576" w14:textId="77777777" w:rsidR="008A1E55" w:rsidRPr="006B42D6" w:rsidRDefault="008A1E55" w:rsidP="00E16CAE">
            <w:pPr>
              <w:jc w:val="right"/>
              <w:rPr>
                <w:sz w:val="16"/>
                <w:szCs w:val="16"/>
              </w:rPr>
            </w:pPr>
            <w:r w:rsidRPr="006B42D6">
              <w:rPr>
                <w:sz w:val="16"/>
                <w:szCs w:val="16"/>
              </w:rPr>
              <w:t>-</w:t>
            </w:r>
          </w:p>
        </w:tc>
        <w:tc>
          <w:tcPr>
            <w:tcW w:w="1008" w:type="dxa"/>
            <w:tcBorders>
              <w:top w:val="nil"/>
              <w:left w:val="nil"/>
              <w:bottom w:val="nil"/>
              <w:right w:val="nil"/>
            </w:tcBorders>
            <w:shd w:val="clear" w:color="auto" w:fill="auto"/>
            <w:noWrap/>
            <w:vAlign w:val="center"/>
            <w:hideMark/>
          </w:tcPr>
          <w:p w14:paraId="1BA9C7A5" w14:textId="77777777" w:rsidR="008A1E55" w:rsidRPr="006B42D6" w:rsidRDefault="008A1E55" w:rsidP="00E16CAE">
            <w:pPr>
              <w:jc w:val="right"/>
              <w:rPr>
                <w:sz w:val="16"/>
                <w:szCs w:val="16"/>
              </w:rPr>
            </w:pPr>
            <w:r w:rsidRPr="006B42D6">
              <w:rPr>
                <w:sz w:val="16"/>
                <w:szCs w:val="16"/>
              </w:rPr>
              <w:t>-</w:t>
            </w:r>
          </w:p>
        </w:tc>
        <w:tc>
          <w:tcPr>
            <w:tcW w:w="1350" w:type="dxa"/>
            <w:tcBorders>
              <w:top w:val="nil"/>
              <w:left w:val="nil"/>
              <w:bottom w:val="nil"/>
              <w:right w:val="nil"/>
            </w:tcBorders>
            <w:shd w:val="clear" w:color="auto" w:fill="auto"/>
            <w:noWrap/>
            <w:vAlign w:val="center"/>
            <w:hideMark/>
          </w:tcPr>
          <w:p w14:paraId="5B5CCE5F" w14:textId="77777777" w:rsidR="008A1E55" w:rsidRPr="006B42D6" w:rsidRDefault="008A1E55" w:rsidP="00E16CAE">
            <w:pPr>
              <w:jc w:val="right"/>
              <w:rPr>
                <w:sz w:val="16"/>
                <w:szCs w:val="16"/>
              </w:rPr>
            </w:pPr>
            <w:r w:rsidRPr="006B42D6">
              <w:rPr>
                <w:sz w:val="16"/>
                <w:szCs w:val="16"/>
              </w:rPr>
              <w:t>6.2</w:t>
            </w:r>
          </w:p>
        </w:tc>
        <w:tc>
          <w:tcPr>
            <w:tcW w:w="1594" w:type="dxa"/>
            <w:tcBorders>
              <w:top w:val="nil"/>
              <w:left w:val="nil"/>
              <w:bottom w:val="nil"/>
              <w:right w:val="nil"/>
            </w:tcBorders>
            <w:shd w:val="clear" w:color="auto" w:fill="auto"/>
            <w:noWrap/>
            <w:vAlign w:val="center"/>
            <w:hideMark/>
          </w:tcPr>
          <w:p w14:paraId="1265ECA7" w14:textId="77777777" w:rsidR="008A1E55" w:rsidRPr="006B42D6" w:rsidRDefault="008A1E55" w:rsidP="00E16CAE">
            <w:pPr>
              <w:jc w:val="right"/>
              <w:rPr>
                <w:sz w:val="16"/>
                <w:szCs w:val="16"/>
              </w:rPr>
            </w:pPr>
            <w:r w:rsidRPr="006B42D6">
              <w:rPr>
                <w:sz w:val="16"/>
                <w:szCs w:val="16"/>
              </w:rPr>
              <w:t>-</w:t>
            </w:r>
          </w:p>
        </w:tc>
        <w:tc>
          <w:tcPr>
            <w:tcW w:w="804" w:type="dxa"/>
            <w:tcBorders>
              <w:top w:val="nil"/>
              <w:left w:val="nil"/>
              <w:bottom w:val="nil"/>
              <w:right w:val="nil"/>
            </w:tcBorders>
            <w:shd w:val="clear" w:color="auto" w:fill="auto"/>
            <w:noWrap/>
            <w:vAlign w:val="center"/>
            <w:hideMark/>
          </w:tcPr>
          <w:p w14:paraId="6B3489D9" w14:textId="77777777" w:rsidR="008A1E55" w:rsidRPr="006B42D6" w:rsidRDefault="008A1E55" w:rsidP="00E16CAE">
            <w:pPr>
              <w:jc w:val="right"/>
              <w:rPr>
                <w:sz w:val="16"/>
                <w:szCs w:val="16"/>
              </w:rPr>
            </w:pPr>
            <w:r w:rsidRPr="006B42D6">
              <w:rPr>
                <w:sz w:val="16"/>
                <w:szCs w:val="16"/>
              </w:rPr>
              <w:t>-</w:t>
            </w:r>
          </w:p>
        </w:tc>
      </w:tr>
      <w:tr w:rsidR="006B42D6" w:rsidRPr="006B42D6" w14:paraId="676AF398" w14:textId="77777777" w:rsidTr="00143C67">
        <w:trPr>
          <w:trHeight w:hRule="exact" w:val="227"/>
        </w:trPr>
        <w:tc>
          <w:tcPr>
            <w:tcW w:w="1668" w:type="dxa"/>
            <w:tcBorders>
              <w:top w:val="nil"/>
              <w:left w:val="nil"/>
              <w:bottom w:val="nil"/>
              <w:right w:val="nil"/>
            </w:tcBorders>
            <w:shd w:val="clear" w:color="auto" w:fill="auto"/>
            <w:noWrap/>
            <w:vAlign w:val="center"/>
            <w:hideMark/>
          </w:tcPr>
          <w:p w14:paraId="66306A3E" w14:textId="77777777" w:rsidR="008A1E55" w:rsidRPr="006B42D6" w:rsidRDefault="008A1E55" w:rsidP="00E16CAE">
            <w:pPr>
              <w:rPr>
                <w:sz w:val="16"/>
                <w:szCs w:val="16"/>
              </w:rPr>
            </w:pPr>
            <w:r w:rsidRPr="006B42D6">
              <w:rPr>
                <w:sz w:val="16"/>
                <w:szCs w:val="16"/>
              </w:rPr>
              <w:t>Kusini Pemba</w:t>
            </w:r>
          </w:p>
        </w:tc>
        <w:tc>
          <w:tcPr>
            <w:tcW w:w="1031" w:type="dxa"/>
            <w:tcBorders>
              <w:top w:val="nil"/>
              <w:left w:val="nil"/>
              <w:bottom w:val="nil"/>
              <w:right w:val="nil"/>
            </w:tcBorders>
            <w:shd w:val="clear" w:color="auto" w:fill="auto"/>
            <w:noWrap/>
            <w:vAlign w:val="center"/>
            <w:hideMark/>
          </w:tcPr>
          <w:p w14:paraId="6A68B785" w14:textId="77777777" w:rsidR="008A1E55" w:rsidRPr="006B42D6" w:rsidRDefault="008A1E55" w:rsidP="00E16CAE">
            <w:pPr>
              <w:jc w:val="right"/>
              <w:rPr>
                <w:sz w:val="16"/>
                <w:szCs w:val="16"/>
              </w:rPr>
            </w:pPr>
            <w:r w:rsidRPr="006B42D6">
              <w:rPr>
                <w:sz w:val="16"/>
                <w:szCs w:val="16"/>
              </w:rPr>
              <w:t>29.6</w:t>
            </w:r>
          </w:p>
        </w:tc>
        <w:tc>
          <w:tcPr>
            <w:tcW w:w="800" w:type="dxa"/>
            <w:tcBorders>
              <w:top w:val="nil"/>
              <w:left w:val="nil"/>
              <w:bottom w:val="nil"/>
              <w:right w:val="nil"/>
            </w:tcBorders>
            <w:shd w:val="clear" w:color="auto" w:fill="auto"/>
            <w:noWrap/>
            <w:vAlign w:val="center"/>
            <w:hideMark/>
          </w:tcPr>
          <w:p w14:paraId="4E5551D7" w14:textId="77777777" w:rsidR="008A1E55" w:rsidRPr="006B42D6" w:rsidRDefault="008A1E55" w:rsidP="00E16CAE">
            <w:pPr>
              <w:jc w:val="right"/>
              <w:rPr>
                <w:sz w:val="16"/>
                <w:szCs w:val="16"/>
              </w:rPr>
            </w:pPr>
            <w:r w:rsidRPr="006B42D6">
              <w:rPr>
                <w:sz w:val="16"/>
                <w:szCs w:val="16"/>
              </w:rPr>
              <w:t>17.7</w:t>
            </w:r>
          </w:p>
        </w:tc>
        <w:tc>
          <w:tcPr>
            <w:tcW w:w="804" w:type="dxa"/>
            <w:tcBorders>
              <w:top w:val="nil"/>
              <w:left w:val="nil"/>
              <w:bottom w:val="nil"/>
              <w:right w:val="nil"/>
            </w:tcBorders>
            <w:shd w:val="clear" w:color="auto" w:fill="auto"/>
            <w:noWrap/>
            <w:vAlign w:val="center"/>
            <w:hideMark/>
          </w:tcPr>
          <w:p w14:paraId="3A318DDB" w14:textId="77777777" w:rsidR="008A1E55" w:rsidRPr="006B42D6" w:rsidRDefault="008A1E55" w:rsidP="00E16CAE">
            <w:pPr>
              <w:jc w:val="right"/>
              <w:rPr>
                <w:sz w:val="16"/>
                <w:szCs w:val="16"/>
              </w:rPr>
            </w:pPr>
            <w:r w:rsidRPr="006B42D6">
              <w:rPr>
                <w:sz w:val="16"/>
                <w:szCs w:val="16"/>
              </w:rPr>
              <w:t>-</w:t>
            </w:r>
          </w:p>
        </w:tc>
        <w:tc>
          <w:tcPr>
            <w:tcW w:w="1047" w:type="dxa"/>
            <w:tcBorders>
              <w:top w:val="nil"/>
              <w:left w:val="nil"/>
              <w:bottom w:val="nil"/>
              <w:right w:val="nil"/>
            </w:tcBorders>
            <w:shd w:val="clear" w:color="auto" w:fill="auto"/>
            <w:noWrap/>
            <w:vAlign w:val="center"/>
            <w:hideMark/>
          </w:tcPr>
          <w:p w14:paraId="1A1BE1DA" w14:textId="77777777" w:rsidR="008A1E55" w:rsidRPr="006B42D6" w:rsidRDefault="008A1E55" w:rsidP="00E16CAE">
            <w:pPr>
              <w:jc w:val="right"/>
              <w:rPr>
                <w:sz w:val="16"/>
                <w:szCs w:val="16"/>
              </w:rPr>
            </w:pPr>
            <w:r w:rsidRPr="006B42D6">
              <w:rPr>
                <w:sz w:val="16"/>
                <w:szCs w:val="16"/>
              </w:rPr>
              <w:t>39.5</w:t>
            </w:r>
          </w:p>
        </w:tc>
        <w:tc>
          <w:tcPr>
            <w:tcW w:w="892" w:type="dxa"/>
            <w:tcBorders>
              <w:top w:val="nil"/>
              <w:left w:val="nil"/>
              <w:bottom w:val="nil"/>
              <w:right w:val="nil"/>
            </w:tcBorders>
            <w:shd w:val="clear" w:color="auto" w:fill="auto"/>
            <w:noWrap/>
            <w:vAlign w:val="center"/>
            <w:hideMark/>
          </w:tcPr>
          <w:p w14:paraId="3AB43320" w14:textId="77777777" w:rsidR="008A1E55" w:rsidRPr="006B42D6" w:rsidRDefault="008A1E55" w:rsidP="00E16CAE">
            <w:pPr>
              <w:jc w:val="right"/>
              <w:rPr>
                <w:sz w:val="16"/>
                <w:szCs w:val="16"/>
              </w:rPr>
            </w:pPr>
            <w:r w:rsidRPr="006B42D6">
              <w:rPr>
                <w:sz w:val="16"/>
                <w:szCs w:val="16"/>
              </w:rPr>
              <w:t>77.7</w:t>
            </w:r>
          </w:p>
        </w:tc>
        <w:tc>
          <w:tcPr>
            <w:tcW w:w="1197" w:type="dxa"/>
            <w:tcBorders>
              <w:top w:val="nil"/>
              <w:left w:val="nil"/>
              <w:bottom w:val="nil"/>
              <w:right w:val="nil"/>
            </w:tcBorders>
            <w:shd w:val="clear" w:color="auto" w:fill="auto"/>
            <w:noWrap/>
            <w:vAlign w:val="center"/>
            <w:hideMark/>
          </w:tcPr>
          <w:p w14:paraId="2E1A1EAE" w14:textId="77777777" w:rsidR="008A1E55" w:rsidRPr="006B42D6" w:rsidRDefault="008A1E55" w:rsidP="00E16CAE">
            <w:pPr>
              <w:jc w:val="right"/>
              <w:rPr>
                <w:sz w:val="16"/>
                <w:szCs w:val="16"/>
              </w:rPr>
            </w:pPr>
            <w:r w:rsidRPr="006B42D6">
              <w:rPr>
                <w:sz w:val="16"/>
                <w:szCs w:val="16"/>
              </w:rPr>
              <w:t>31.8</w:t>
            </w:r>
          </w:p>
        </w:tc>
        <w:tc>
          <w:tcPr>
            <w:tcW w:w="853" w:type="dxa"/>
            <w:tcBorders>
              <w:top w:val="nil"/>
              <w:left w:val="nil"/>
              <w:bottom w:val="nil"/>
              <w:right w:val="nil"/>
            </w:tcBorders>
            <w:shd w:val="clear" w:color="auto" w:fill="auto"/>
            <w:noWrap/>
            <w:vAlign w:val="center"/>
            <w:hideMark/>
          </w:tcPr>
          <w:p w14:paraId="3B17BAB3" w14:textId="77777777" w:rsidR="008A1E55" w:rsidRPr="006B42D6" w:rsidRDefault="008A1E55" w:rsidP="00E16CAE">
            <w:pPr>
              <w:jc w:val="right"/>
              <w:rPr>
                <w:sz w:val="16"/>
                <w:szCs w:val="16"/>
              </w:rPr>
            </w:pPr>
            <w:r w:rsidRPr="006B42D6">
              <w:rPr>
                <w:sz w:val="16"/>
                <w:szCs w:val="16"/>
              </w:rPr>
              <w:t>-</w:t>
            </w:r>
          </w:p>
        </w:tc>
        <w:tc>
          <w:tcPr>
            <w:tcW w:w="1008" w:type="dxa"/>
            <w:tcBorders>
              <w:top w:val="nil"/>
              <w:left w:val="nil"/>
              <w:bottom w:val="nil"/>
              <w:right w:val="nil"/>
            </w:tcBorders>
            <w:shd w:val="clear" w:color="auto" w:fill="auto"/>
            <w:noWrap/>
            <w:vAlign w:val="center"/>
            <w:hideMark/>
          </w:tcPr>
          <w:p w14:paraId="1862356E" w14:textId="77777777" w:rsidR="008A1E55" w:rsidRPr="006B42D6" w:rsidRDefault="008A1E55" w:rsidP="00E16CAE">
            <w:pPr>
              <w:jc w:val="right"/>
              <w:rPr>
                <w:sz w:val="16"/>
                <w:szCs w:val="16"/>
              </w:rPr>
            </w:pPr>
            <w:r w:rsidRPr="006B42D6">
              <w:rPr>
                <w:sz w:val="16"/>
                <w:szCs w:val="16"/>
              </w:rPr>
              <w:t>-</w:t>
            </w:r>
          </w:p>
        </w:tc>
        <w:tc>
          <w:tcPr>
            <w:tcW w:w="1350" w:type="dxa"/>
            <w:tcBorders>
              <w:top w:val="nil"/>
              <w:left w:val="nil"/>
              <w:bottom w:val="nil"/>
              <w:right w:val="nil"/>
            </w:tcBorders>
            <w:shd w:val="clear" w:color="auto" w:fill="auto"/>
            <w:noWrap/>
            <w:vAlign w:val="center"/>
            <w:hideMark/>
          </w:tcPr>
          <w:p w14:paraId="0AA86C9E" w14:textId="77777777" w:rsidR="008A1E55" w:rsidRPr="006B42D6" w:rsidRDefault="008A1E55" w:rsidP="00E16CAE">
            <w:pPr>
              <w:jc w:val="right"/>
              <w:rPr>
                <w:sz w:val="16"/>
                <w:szCs w:val="16"/>
              </w:rPr>
            </w:pPr>
            <w:r w:rsidRPr="006B42D6">
              <w:rPr>
                <w:sz w:val="16"/>
                <w:szCs w:val="16"/>
              </w:rPr>
              <w:t>17.0</w:t>
            </w:r>
          </w:p>
        </w:tc>
        <w:tc>
          <w:tcPr>
            <w:tcW w:w="1594" w:type="dxa"/>
            <w:tcBorders>
              <w:top w:val="nil"/>
              <w:left w:val="nil"/>
              <w:bottom w:val="nil"/>
              <w:right w:val="nil"/>
            </w:tcBorders>
            <w:shd w:val="clear" w:color="auto" w:fill="auto"/>
            <w:noWrap/>
            <w:vAlign w:val="center"/>
            <w:hideMark/>
          </w:tcPr>
          <w:p w14:paraId="7A5BB0F4" w14:textId="77777777" w:rsidR="008A1E55" w:rsidRPr="006B42D6" w:rsidRDefault="008A1E55" w:rsidP="00E16CAE">
            <w:pPr>
              <w:jc w:val="right"/>
              <w:rPr>
                <w:sz w:val="16"/>
                <w:szCs w:val="16"/>
              </w:rPr>
            </w:pPr>
            <w:r w:rsidRPr="006B42D6">
              <w:rPr>
                <w:sz w:val="16"/>
                <w:szCs w:val="16"/>
              </w:rPr>
              <w:t>-</w:t>
            </w:r>
          </w:p>
        </w:tc>
        <w:tc>
          <w:tcPr>
            <w:tcW w:w="804" w:type="dxa"/>
            <w:tcBorders>
              <w:top w:val="nil"/>
              <w:left w:val="nil"/>
              <w:bottom w:val="nil"/>
              <w:right w:val="nil"/>
            </w:tcBorders>
            <w:shd w:val="clear" w:color="auto" w:fill="auto"/>
            <w:noWrap/>
            <w:vAlign w:val="center"/>
            <w:hideMark/>
          </w:tcPr>
          <w:p w14:paraId="2AA06C64" w14:textId="77777777" w:rsidR="008A1E55" w:rsidRPr="006B42D6" w:rsidRDefault="008A1E55" w:rsidP="00E16CAE">
            <w:pPr>
              <w:jc w:val="right"/>
              <w:rPr>
                <w:sz w:val="16"/>
                <w:szCs w:val="16"/>
              </w:rPr>
            </w:pPr>
            <w:r w:rsidRPr="006B42D6">
              <w:rPr>
                <w:sz w:val="16"/>
                <w:szCs w:val="16"/>
              </w:rPr>
              <w:t>100.0</w:t>
            </w:r>
          </w:p>
        </w:tc>
      </w:tr>
      <w:tr w:rsidR="008A1E55" w:rsidRPr="006B42D6" w14:paraId="4D823912" w14:textId="77777777" w:rsidTr="00143C67">
        <w:trPr>
          <w:trHeight w:hRule="exact" w:val="227"/>
        </w:trPr>
        <w:tc>
          <w:tcPr>
            <w:tcW w:w="1668" w:type="dxa"/>
            <w:tcBorders>
              <w:top w:val="single" w:sz="4" w:space="0" w:color="auto"/>
              <w:left w:val="nil"/>
              <w:bottom w:val="single" w:sz="4" w:space="0" w:color="auto"/>
              <w:right w:val="nil"/>
            </w:tcBorders>
            <w:shd w:val="clear" w:color="auto" w:fill="E2EFD9" w:themeFill="accent6" w:themeFillTint="33"/>
            <w:noWrap/>
            <w:vAlign w:val="center"/>
            <w:hideMark/>
          </w:tcPr>
          <w:p w14:paraId="0D100210" w14:textId="77777777" w:rsidR="008A1E55" w:rsidRPr="006B42D6" w:rsidRDefault="008A1E55" w:rsidP="00E16CAE">
            <w:pPr>
              <w:rPr>
                <w:b/>
                <w:bCs/>
                <w:sz w:val="16"/>
                <w:szCs w:val="16"/>
              </w:rPr>
            </w:pPr>
            <w:r w:rsidRPr="006B42D6">
              <w:rPr>
                <w:b/>
                <w:bCs/>
                <w:sz w:val="16"/>
                <w:szCs w:val="16"/>
              </w:rPr>
              <w:t>Tanzania Zanzibar</w:t>
            </w:r>
          </w:p>
        </w:tc>
        <w:tc>
          <w:tcPr>
            <w:tcW w:w="1031" w:type="dxa"/>
            <w:tcBorders>
              <w:top w:val="single" w:sz="4" w:space="0" w:color="auto"/>
              <w:left w:val="nil"/>
              <w:bottom w:val="single" w:sz="4" w:space="0" w:color="auto"/>
              <w:right w:val="nil"/>
            </w:tcBorders>
            <w:shd w:val="clear" w:color="auto" w:fill="E2EFD9" w:themeFill="accent6" w:themeFillTint="33"/>
            <w:noWrap/>
            <w:vAlign w:val="center"/>
            <w:hideMark/>
          </w:tcPr>
          <w:p w14:paraId="3A2BCC3F" w14:textId="77777777" w:rsidR="008A1E55" w:rsidRPr="006B42D6" w:rsidRDefault="008A1E55" w:rsidP="00E16CAE">
            <w:pPr>
              <w:jc w:val="right"/>
              <w:rPr>
                <w:b/>
                <w:bCs/>
                <w:sz w:val="16"/>
                <w:szCs w:val="16"/>
              </w:rPr>
            </w:pPr>
            <w:r w:rsidRPr="006B42D6">
              <w:rPr>
                <w:b/>
                <w:bCs/>
                <w:sz w:val="16"/>
                <w:szCs w:val="16"/>
              </w:rPr>
              <w:t>100.0</w:t>
            </w:r>
          </w:p>
        </w:tc>
        <w:tc>
          <w:tcPr>
            <w:tcW w:w="800" w:type="dxa"/>
            <w:tcBorders>
              <w:top w:val="single" w:sz="4" w:space="0" w:color="auto"/>
              <w:left w:val="nil"/>
              <w:bottom w:val="single" w:sz="4" w:space="0" w:color="auto"/>
              <w:right w:val="nil"/>
            </w:tcBorders>
            <w:shd w:val="clear" w:color="auto" w:fill="E2EFD9" w:themeFill="accent6" w:themeFillTint="33"/>
            <w:noWrap/>
            <w:vAlign w:val="center"/>
            <w:hideMark/>
          </w:tcPr>
          <w:p w14:paraId="3D475BB6" w14:textId="77777777" w:rsidR="008A1E55" w:rsidRPr="006B42D6" w:rsidRDefault="008A1E55" w:rsidP="00E16CAE">
            <w:pPr>
              <w:jc w:val="right"/>
              <w:rPr>
                <w:b/>
                <w:bCs/>
                <w:sz w:val="16"/>
                <w:szCs w:val="16"/>
              </w:rPr>
            </w:pPr>
            <w:r w:rsidRPr="006B42D6">
              <w:rPr>
                <w:b/>
                <w:bCs/>
                <w:sz w:val="16"/>
                <w:szCs w:val="16"/>
              </w:rPr>
              <w:t>100.0</w:t>
            </w:r>
          </w:p>
        </w:tc>
        <w:tc>
          <w:tcPr>
            <w:tcW w:w="804" w:type="dxa"/>
            <w:tcBorders>
              <w:top w:val="single" w:sz="4" w:space="0" w:color="auto"/>
              <w:left w:val="nil"/>
              <w:bottom w:val="single" w:sz="4" w:space="0" w:color="auto"/>
              <w:right w:val="nil"/>
            </w:tcBorders>
            <w:shd w:val="clear" w:color="auto" w:fill="E2EFD9" w:themeFill="accent6" w:themeFillTint="33"/>
            <w:noWrap/>
            <w:vAlign w:val="center"/>
            <w:hideMark/>
          </w:tcPr>
          <w:p w14:paraId="75963240" w14:textId="77777777" w:rsidR="008A1E55" w:rsidRPr="006B42D6" w:rsidRDefault="008A1E55" w:rsidP="00E16CAE">
            <w:pPr>
              <w:jc w:val="right"/>
              <w:rPr>
                <w:b/>
                <w:bCs/>
                <w:sz w:val="16"/>
                <w:szCs w:val="16"/>
              </w:rPr>
            </w:pPr>
            <w:r w:rsidRPr="006B42D6">
              <w:rPr>
                <w:b/>
                <w:bCs/>
                <w:sz w:val="16"/>
                <w:szCs w:val="16"/>
              </w:rPr>
              <w:t>-</w:t>
            </w:r>
          </w:p>
        </w:tc>
        <w:tc>
          <w:tcPr>
            <w:tcW w:w="1047" w:type="dxa"/>
            <w:tcBorders>
              <w:top w:val="single" w:sz="4" w:space="0" w:color="auto"/>
              <w:left w:val="nil"/>
              <w:bottom w:val="single" w:sz="4" w:space="0" w:color="auto"/>
              <w:right w:val="nil"/>
            </w:tcBorders>
            <w:shd w:val="clear" w:color="auto" w:fill="E2EFD9" w:themeFill="accent6" w:themeFillTint="33"/>
            <w:noWrap/>
            <w:vAlign w:val="center"/>
            <w:hideMark/>
          </w:tcPr>
          <w:p w14:paraId="1E12B8FD" w14:textId="77777777" w:rsidR="008A1E55" w:rsidRPr="006B42D6" w:rsidRDefault="008A1E55" w:rsidP="00E16CAE">
            <w:pPr>
              <w:jc w:val="right"/>
              <w:rPr>
                <w:b/>
                <w:bCs/>
                <w:sz w:val="16"/>
                <w:szCs w:val="16"/>
              </w:rPr>
            </w:pPr>
            <w:r w:rsidRPr="006B42D6">
              <w:rPr>
                <w:b/>
                <w:bCs/>
                <w:sz w:val="16"/>
                <w:szCs w:val="16"/>
              </w:rPr>
              <w:t>100.0</w:t>
            </w:r>
          </w:p>
        </w:tc>
        <w:tc>
          <w:tcPr>
            <w:tcW w:w="892" w:type="dxa"/>
            <w:tcBorders>
              <w:top w:val="single" w:sz="4" w:space="0" w:color="auto"/>
              <w:left w:val="nil"/>
              <w:bottom w:val="single" w:sz="4" w:space="0" w:color="auto"/>
              <w:right w:val="nil"/>
            </w:tcBorders>
            <w:shd w:val="clear" w:color="auto" w:fill="E2EFD9" w:themeFill="accent6" w:themeFillTint="33"/>
            <w:noWrap/>
            <w:vAlign w:val="center"/>
            <w:hideMark/>
          </w:tcPr>
          <w:p w14:paraId="4F4F7F93" w14:textId="77777777" w:rsidR="008A1E55" w:rsidRPr="006B42D6" w:rsidRDefault="008A1E55" w:rsidP="00E16CAE">
            <w:pPr>
              <w:jc w:val="right"/>
              <w:rPr>
                <w:b/>
                <w:bCs/>
                <w:sz w:val="16"/>
                <w:szCs w:val="16"/>
              </w:rPr>
            </w:pPr>
            <w:r w:rsidRPr="006B42D6">
              <w:rPr>
                <w:b/>
                <w:bCs/>
                <w:sz w:val="16"/>
                <w:szCs w:val="16"/>
              </w:rPr>
              <w:t>100.0</w:t>
            </w:r>
          </w:p>
        </w:tc>
        <w:tc>
          <w:tcPr>
            <w:tcW w:w="1197" w:type="dxa"/>
            <w:tcBorders>
              <w:top w:val="single" w:sz="4" w:space="0" w:color="auto"/>
              <w:left w:val="nil"/>
              <w:bottom w:val="single" w:sz="4" w:space="0" w:color="auto"/>
              <w:right w:val="nil"/>
            </w:tcBorders>
            <w:shd w:val="clear" w:color="auto" w:fill="E2EFD9" w:themeFill="accent6" w:themeFillTint="33"/>
            <w:noWrap/>
            <w:vAlign w:val="center"/>
            <w:hideMark/>
          </w:tcPr>
          <w:p w14:paraId="37DE170D" w14:textId="77777777" w:rsidR="008A1E55" w:rsidRPr="006B42D6" w:rsidRDefault="008A1E55" w:rsidP="00E16CAE">
            <w:pPr>
              <w:jc w:val="right"/>
              <w:rPr>
                <w:b/>
                <w:bCs/>
                <w:sz w:val="16"/>
                <w:szCs w:val="16"/>
              </w:rPr>
            </w:pPr>
            <w:r w:rsidRPr="006B42D6">
              <w:rPr>
                <w:b/>
                <w:bCs/>
                <w:sz w:val="16"/>
                <w:szCs w:val="16"/>
              </w:rPr>
              <w:t>100.0</w:t>
            </w:r>
          </w:p>
        </w:tc>
        <w:tc>
          <w:tcPr>
            <w:tcW w:w="853" w:type="dxa"/>
            <w:tcBorders>
              <w:top w:val="single" w:sz="4" w:space="0" w:color="auto"/>
              <w:left w:val="nil"/>
              <w:bottom w:val="single" w:sz="4" w:space="0" w:color="auto"/>
              <w:right w:val="nil"/>
            </w:tcBorders>
            <w:shd w:val="clear" w:color="auto" w:fill="E2EFD9" w:themeFill="accent6" w:themeFillTint="33"/>
            <w:noWrap/>
            <w:vAlign w:val="center"/>
            <w:hideMark/>
          </w:tcPr>
          <w:p w14:paraId="5E270FBC" w14:textId="77777777" w:rsidR="008A1E55" w:rsidRPr="006B42D6" w:rsidRDefault="008A1E55" w:rsidP="00E16CAE">
            <w:pPr>
              <w:jc w:val="right"/>
              <w:rPr>
                <w:b/>
                <w:bCs/>
                <w:sz w:val="16"/>
                <w:szCs w:val="16"/>
              </w:rPr>
            </w:pPr>
            <w:r w:rsidRPr="006B42D6">
              <w:rPr>
                <w:b/>
                <w:bCs/>
                <w:sz w:val="16"/>
                <w:szCs w:val="16"/>
              </w:rPr>
              <w:t>100.0</w:t>
            </w:r>
          </w:p>
        </w:tc>
        <w:tc>
          <w:tcPr>
            <w:tcW w:w="1008" w:type="dxa"/>
            <w:tcBorders>
              <w:top w:val="single" w:sz="4" w:space="0" w:color="auto"/>
              <w:left w:val="nil"/>
              <w:bottom w:val="single" w:sz="4" w:space="0" w:color="auto"/>
              <w:right w:val="nil"/>
            </w:tcBorders>
            <w:shd w:val="clear" w:color="auto" w:fill="E2EFD9" w:themeFill="accent6" w:themeFillTint="33"/>
            <w:noWrap/>
            <w:vAlign w:val="center"/>
            <w:hideMark/>
          </w:tcPr>
          <w:p w14:paraId="1B937A1D" w14:textId="77777777" w:rsidR="008A1E55" w:rsidRPr="006B42D6" w:rsidRDefault="008A1E55" w:rsidP="00E16CAE">
            <w:pPr>
              <w:jc w:val="right"/>
              <w:rPr>
                <w:b/>
                <w:bCs/>
                <w:sz w:val="16"/>
                <w:szCs w:val="16"/>
              </w:rPr>
            </w:pPr>
            <w:r w:rsidRPr="006B42D6">
              <w:rPr>
                <w:b/>
                <w:bCs/>
                <w:sz w:val="16"/>
                <w:szCs w:val="16"/>
              </w:rPr>
              <w:t>100.0</w:t>
            </w:r>
          </w:p>
        </w:tc>
        <w:tc>
          <w:tcPr>
            <w:tcW w:w="1350" w:type="dxa"/>
            <w:tcBorders>
              <w:top w:val="single" w:sz="4" w:space="0" w:color="auto"/>
              <w:left w:val="nil"/>
              <w:bottom w:val="single" w:sz="4" w:space="0" w:color="auto"/>
              <w:right w:val="nil"/>
            </w:tcBorders>
            <w:shd w:val="clear" w:color="auto" w:fill="E2EFD9" w:themeFill="accent6" w:themeFillTint="33"/>
            <w:noWrap/>
            <w:vAlign w:val="center"/>
            <w:hideMark/>
          </w:tcPr>
          <w:p w14:paraId="03C063B6" w14:textId="77777777" w:rsidR="008A1E55" w:rsidRPr="006B42D6" w:rsidRDefault="008A1E55" w:rsidP="00E16CAE">
            <w:pPr>
              <w:jc w:val="right"/>
              <w:rPr>
                <w:b/>
                <w:bCs/>
                <w:sz w:val="16"/>
                <w:szCs w:val="16"/>
              </w:rPr>
            </w:pPr>
            <w:r w:rsidRPr="006B42D6">
              <w:rPr>
                <w:b/>
                <w:bCs/>
                <w:sz w:val="16"/>
                <w:szCs w:val="16"/>
              </w:rPr>
              <w:t>100.0</w:t>
            </w:r>
          </w:p>
        </w:tc>
        <w:tc>
          <w:tcPr>
            <w:tcW w:w="1594" w:type="dxa"/>
            <w:tcBorders>
              <w:top w:val="single" w:sz="4" w:space="0" w:color="auto"/>
              <w:left w:val="nil"/>
              <w:bottom w:val="single" w:sz="4" w:space="0" w:color="auto"/>
              <w:right w:val="nil"/>
            </w:tcBorders>
            <w:shd w:val="clear" w:color="auto" w:fill="E2EFD9" w:themeFill="accent6" w:themeFillTint="33"/>
            <w:noWrap/>
            <w:vAlign w:val="center"/>
            <w:hideMark/>
          </w:tcPr>
          <w:p w14:paraId="06BDE0F0" w14:textId="77777777" w:rsidR="008A1E55" w:rsidRPr="006B42D6" w:rsidRDefault="008A1E55" w:rsidP="00E16CAE">
            <w:pPr>
              <w:jc w:val="right"/>
              <w:rPr>
                <w:b/>
                <w:bCs/>
                <w:sz w:val="16"/>
                <w:szCs w:val="16"/>
              </w:rPr>
            </w:pPr>
            <w:r w:rsidRPr="006B42D6">
              <w:rPr>
                <w:b/>
                <w:bCs/>
                <w:sz w:val="16"/>
                <w:szCs w:val="16"/>
              </w:rPr>
              <w:t>100.0</w:t>
            </w:r>
          </w:p>
        </w:tc>
        <w:tc>
          <w:tcPr>
            <w:tcW w:w="804" w:type="dxa"/>
            <w:tcBorders>
              <w:top w:val="single" w:sz="4" w:space="0" w:color="auto"/>
              <w:left w:val="nil"/>
              <w:bottom w:val="single" w:sz="4" w:space="0" w:color="auto"/>
              <w:right w:val="nil"/>
            </w:tcBorders>
            <w:shd w:val="clear" w:color="auto" w:fill="E2EFD9" w:themeFill="accent6" w:themeFillTint="33"/>
            <w:noWrap/>
            <w:vAlign w:val="center"/>
            <w:hideMark/>
          </w:tcPr>
          <w:p w14:paraId="3D6B03EC" w14:textId="77777777" w:rsidR="008A1E55" w:rsidRPr="006B42D6" w:rsidRDefault="008A1E55" w:rsidP="00E16CAE">
            <w:pPr>
              <w:jc w:val="right"/>
              <w:rPr>
                <w:b/>
                <w:bCs/>
                <w:sz w:val="16"/>
                <w:szCs w:val="16"/>
              </w:rPr>
            </w:pPr>
            <w:r w:rsidRPr="006B42D6">
              <w:rPr>
                <w:b/>
                <w:bCs/>
                <w:sz w:val="16"/>
                <w:szCs w:val="16"/>
              </w:rPr>
              <w:t>100.0</w:t>
            </w:r>
          </w:p>
        </w:tc>
      </w:tr>
    </w:tbl>
    <w:p w14:paraId="17D43432" w14:textId="77777777" w:rsidR="008A1E55" w:rsidRPr="006B42D6" w:rsidRDefault="008A1E55" w:rsidP="008A1E55">
      <w:pPr>
        <w:rPr>
          <w:b/>
          <w:sz w:val="20"/>
          <w:szCs w:val="20"/>
        </w:rPr>
      </w:pPr>
    </w:p>
    <w:p w14:paraId="42E30EAC" w14:textId="77777777" w:rsidR="008A1E55" w:rsidRPr="006B42D6" w:rsidRDefault="008A1E55" w:rsidP="008A1E55">
      <w:pPr>
        <w:sectPr w:rsidR="008A1E55" w:rsidRPr="006B42D6" w:rsidSect="00DD3FC5">
          <w:pgSz w:w="16840" w:h="11900" w:orient="landscape" w:code="9"/>
          <w:pgMar w:top="1440" w:right="1440" w:bottom="1440" w:left="1440" w:header="709" w:footer="709" w:gutter="0"/>
          <w:cols w:space="708"/>
          <w:docGrid w:linePitch="360"/>
        </w:sectPr>
      </w:pPr>
    </w:p>
    <w:p w14:paraId="1BB6B248" w14:textId="71D86834" w:rsidR="008A1E55" w:rsidRPr="006B42D6" w:rsidRDefault="006C1D68" w:rsidP="008A1E55">
      <w:pPr>
        <w:pStyle w:val="Heading2"/>
      </w:pPr>
      <w:bookmarkStart w:id="873" w:name="_Toc82385803"/>
      <w:r w:rsidRPr="006B42D6">
        <w:lastRenderedPageBreak/>
        <w:t>6</w:t>
      </w:r>
      <w:r w:rsidR="008A1E55" w:rsidRPr="006B42D6">
        <w:t>.</w:t>
      </w:r>
      <w:r w:rsidR="00AC6872">
        <w:t>7</w:t>
      </w:r>
      <w:r w:rsidR="008A1E55" w:rsidRPr="006B42D6">
        <w:tab/>
        <w:t>Access to Drinking Water</w:t>
      </w:r>
      <w:bookmarkEnd w:id="873"/>
    </w:p>
    <w:p w14:paraId="4AE226CF" w14:textId="7A02AAD9" w:rsidR="008A1E55" w:rsidRPr="006B42D6" w:rsidRDefault="006C1D68" w:rsidP="008A1E55">
      <w:pPr>
        <w:pStyle w:val="Heading3"/>
      </w:pPr>
      <w:bookmarkStart w:id="874" w:name="_Toc82385804"/>
      <w:r w:rsidRPr="006B42D6">
        <w:t>6</w:t>
      </w:r>
      <w:r w:rsidR="008A1E55" w:rsidRPr="006B42D6">
        <w:t>.</w:t>
      </w:r>
      <w:r w:rsidR="00AC6872">
        <w:t>7</w:t>
      </w:r>
      <w:r w:rsidR="008A1E55" w:rsidRPr="006B42D6">
        <w:t>.1</w:t>
      </w:r>
      <w:r w:rsidR="008A1E55" w:rsidRPr="006B42D6">
        <w:tab/>
        <w:t>Wet Season</w:t>
      </w:r>
      <w:bookmarkEnd w:id="874"/>
    </w:p>
    <w:p w14:paraId="60F7A4F2" w14:textId="1E091D49" w:rsidR="008A1E55" w:rsidRPr="006B42D6" w:rsidRDefault="008A1E55" w:rsidP="008A1E55">
      <w:r w:rsidRPr="006B42D6">
        <w:t xml:space="preserve">The 2019/20 NSCA results show that, majority of agricultural households (3,250,900; 41.5 percent) reported to use piped water as the main source of drinking water during the wet season, followed by 1,003,934 households (12.8 percent) that reported to use unprotected well and 976,314 households (12.5 percent) that used surface water. The least number of households (6,016; 0.1 percent) were reported to use bottled water (Table </w:t>
      </w:r>
      <w:r w:rsidR="006C1D68" w:rsidRPr="006B42D6">
        <w:t>6</w:t>
      </w:r>
      <w:r w:rsidRPr="006B42D6">
        <w:t>.13).</w:t>
      </w:r>
    </w:p>
    <w:p w14:paraId="177FB846" w14:textId="77777777" w:rsidR="008A1E55" w:rsidRPr="003C22B5" w:rsidRDefault="008A1E55" w:rsidP="003C22B5">
      <w:pPr>
        <w:rPr>
          <w:sz w:val="20"/>
          <w:szCs w:val="20"/>
        </w:rPr>
      </w:pPr>
    </w:p>
    <w:p w14:paraId="19CD1F89" w14:textId="3D1733FF" w:rsidR="008A1E55" w:rsidRPr="006B42D6" w:rsidRDefault="008A1E55" w:rsidP="00686394">
      <w:pPr>
        <w:pStyle w:val="Heading7"/>
        <w:ind w:right="454"/>
      </w:pPr>
      <w:bookmarkStart w:id="875" w:name="_Toc82386248"/>
      <w:r w:rsidRPr="006B42D6">
        <w:t xml:space="preserve">Table </w:t>
      </w:r>
      <w:r w:rsidR="006C1D68" w:rsidRPr="006B42D6">
        <w:t>6</w:t>
      </w:r>
      <w:r w:rsidRPr="006B42D6">
        <w:t>.13</w:t>
      </w:r>
      <w:r w:rsidR="005420E0">
        <w:t>:</w:t>
      </w:r>
      <w:r w:rsidR="007A288F">
        <w:tab/>
      </w:r>
      <w:r w:rsidRPr="006B42D6">
        <w:t>Number and Percentage of Agricultural Households Reported Main Source of Drinking Water in Wet Season During 2019/20 Agricultural Year, Tanzania</w:t>
      </w:r>
      <w:bookmarkEnd w:id="875"/>
    </w:p>
    <w:tbl>
      <w:tblPr>
        <w:tblW w:w="9208" w:type="dxa"/>
        <w:tblLook w:val="04A0" w:firstRow="1" w:lastRow="0" w:firstColumn="1" w:lastColumn="0" w:noHBand="0" w:noVBand="1"/>
      </w:tblPr>
      <w:tblGrid>
        <w:gridCol w:w="2694"/>
        <w:gridCol w:w="1134"/>
        <w:gridCol w:w="1121"/>
        <w:gridCol w:w="1263"/>
        <w:gridCol w:w="876"/>
        <w:gridCol w:w="1105"/>
        <w:gridCol w:w="1015"/>
      </w:tblGrid>
      <w:tr w:rsidR="006B42D6" w:rsidRPr="006B42D6" w14:paraId="1F50EB6D" w14:textId="77777777" w:rsidTr="004F65CD">
        <w:trPr>
          <w:trHeight w:val="170"/>
        </w:trPr>
        <w:tc>
          <w:tcPr>
            <w:tcW w:w="2694" w:type="dxa"/>
            <w:vMerge w:val="restart"/>
            <w:tcBorders>
              <w:top w:val="single" w:sz="4" w:space="0" w:color="auto"/>
              <w:left w:val="nil"/>
              <w:bottom w:val="single" w:sz="4" w:space="0" w:color="000000"/>
              <w:right w:val="nil"/>
            </w:tcBorders>
            <w:shd w:val="clear" w:color="auto" w:fill="E2EFD9" w:themeFill="accent6" w:themeFillTint="33"/>
            <w:vAlign w:val="center"/>
            <w:hideMark/>
          </w:tcPr>
          <w:p w14:paraId="6D3F96E5" w14:textId="77777777" w:rsidR="008A1E55" w:rsidRPr="00A41AC7" w:rsidRDefault="008A1E55" w:rsidP="00E16CAE">
            <w:pPr>
              <w:rPr>
                <w:sz w:val="16"/>
                <w:szCs w:val="16"/>
              </w:rPr>
            </w:pPr>
            <w:r w:rsidRPr="00A41AC7">
              <w:rPr>
                <w:sz w:val="16"/>
                <w:szCs w:val="16"/>
              </w:rPr>
              <w:t>Source of Drinking Water</w:t>
            </w:r>
          </w:p>
        </w:tc>
        <w:tc>
          <w:tcPr>
            <w:tcW w:w="2255" w:type="dxa"/>
            <w:gridSpan w:val="2"/>
            <w:tcBorders>
              <w:top w:val="single" w:sz="4" w:space="0" w:color="auto"/>
              <w:left w:val="nil"/>
              <w:bottom w:val="single" w:sz="4" w:space="0" w:color="auto"/>
              <w:right w:val="nil"/>
            </w:tcBorders>
            <w:shd w:val="clear" w:color="auto" w:fill="E2EFD9" w:themeFill="accent6" w:themeFillTint="33"/>
            <w:noWrap/>
            <w:vAlign w:val="center"/>
            <w:hideMark/>
          </w:tcPr>
          <w:p w14:paraId="3B8CBE03" w14:textId="77777777" w:rsidR="008A1E55" w:rsidRPr="00A41AC7" w:rsidRDefault="008A1E55" w:rsidP="00E16CAE">
            <w:pPr>
              <w:jc w:val="center"/>
              <w:rPr>
                <w:sz w:val="16"/>
                <w:szCs w:val="16"/>
              </w:rPr>
            </w:pPr>
            <w:r w:rsidRPr="00A41AC7">
              <w:rPr>
                <w:sz w:val="16"/>
                <w:szCs w:val="16"/>
              </w:rPr>
              <w:t>Tanzania</w:t>
            </w:r>
          </w:p>
        </w:tc>
        <w:tc>
          <w:tcPr>
            <w:tcW w:w="2139" w:type="dxa"/>
            <w:gridSpan w:val="2"/>
            <w:tcBorders>
              <w:top w:val="single" w:sz="4" w:space="0" w:color="auto"/>
              <w:left w:val="nil"/>
              <w:bottom w:val="single" w:sz="4" w:space="0" w:color="auto"/>
              <w:right w:val="nil"/>
            </w:tcBorders>
            <w:shd w:val="clear" w:color="auto" w:fill="E2EFD9" w:themeFill="accent6" w:themeFillTint="33"/>
            <w:noWrap/>
            <w:vAlign w:val="center"/>
            <w:hideMark/>
          </w:tcPr>
          <w:p w14:paraId="21624572" w14:textId="7208161B" w:rsidR="008A1E55" w:rsidRPr="00A41AC7" w:rsidRDefault="00EA1552" w:rsidP="00E16CAE">
            <w:pPr>
              <w:jc w:val="center"/>
              <w:rPr>
                <w:sz w:val="16"/>
                <w:szCs w:val="16"/>
              </w:rPr>
            </w:pPr>
            <w:r>
              <w:rPr>
                <w:sz w:val="16"/>
                <w:szCs w:val="16"/>
              </w:rPr>
              <w:t>Mainland Tanzania</w:t>
            </w:r>
          </w:p>
        </w:tc>
        <w:tc>
          <w:tcPr>
            <w:tcW w:w="2120" w:type="dxa"/>
            <w:gridSpan w:val="2"/>
            <w:tcBorders>
              <w:top w:val="single" w:sz="4" w:space="0" w:color="auto"/>
              <w:left w:val="nil"/>
              <w:bottom w:val="single" w:sz="4" w:space="0" w:color="auto"/>
              <w:right w:val="nil"/>
            </w:tcBorders>
            <w:shd w:val="clear" w:color="auto" w:fill="E2EFD9" w:themeFill="accent6" w:themeFillTint="33"/>
            <w:noWrap/>
            <w:vAlign w:val="center"/>
            <w:hideMark/>
          </w:tcPr>
          <w:p w14:paraId="520EDD69" w14:textId="77777777" w:rsidR="008A1E55" w:rsidRPr="00A41AC7" w:rsidRDefault="008A1E55" w:rsidP="00E16CAE">
            <w:pPr>
              <w:jc w:val="center"/>
              <w:rPr>
                <w:sz w:val="16"/>
                <w:szCs w:val="16"/>
              </w:rPr>
            </w:pPr>
            <w:r w:rsidRPr="00A41AC7">
              <w:rPr>
                <w:sz w:val="16"/>
                <w:szCs w:val="16"/>
              </w:rPr>
              <w:t>Tanzania Zanzibar</w:t>
            </w:r>
          </w:p>
        </w:tc>
      </w:tr>
      <w:tr w:rsidR="006B42D6" w:rsidRPr="006B42D6" w14:paraId="00EBBDA1" w14:textId="77777777" w:rsidTr="004F65CD">
        <w:trPr>
          <w:trHeight w:val="170"/>
        </w:trPr>
        <w:tc>
          <w:tcPr>
            <w:tcW w:w="2694" w:type="dxa"/>
            <w:vMerge/>
            <w:tcBorders>
              <w:top w:val="single" w:sz="4" w:space="0" w:color="auto"/>
              <w:left w:val="nil"/>
              <w:bottom w:val="single" w:sz="4" w:space="0" w:color="000000"/>
              <w:right w:val="nil"/>
            </w:tcBorders>
            <w:shd w:val="clear" w:color="auto" w:fill="E2EFD9" w:themeFill="accent6" w:themeFillTint="33"/>
            <w:vAlign w:val="center"/>
            <w:hideMark/>
          </w:tcPr>
          <w:p w14:paraId="7E6465BF" w14:textId="77777777" w:rsidR="008A1E55" w:rsidRPr="00A41AC7" w:rsidRDefault="008A1E55" w:rsidP="00E16CAE">
            <w:pPr>
              <w:rPr>
                <w:sz w:val="16"/>
                <w:szCs w:val="16"/>
              </w:rPr>
            </w:pPr>
          </w:p>
        </w:tc>
        <w:tc>
          <w:tcPr>
            <w:tcW w:w="1134" w:type="dxa"/>
            <w:tcBorders>
              <w:top w:val="single" w:sz="4" w:space="0" w:color="auto"/>
              <w:left w:val="nil"/>
              <w:bottom w:val="single" w:sz="4" w:space="0" w:color="auto"/>
              <w:right w:val="nil"/>
            </w:tcBorders>
            <w:shd w:val="clear" w:color="auto" w:fill="E2EFD9" w:themeFill="accent6" w:themeFillTint="33"/>
            <w:noWrap/>
            <w:vAlign w:val="center"/>
            <w:hideMark/>
          </w:tcPr>
          <w:p w14:paraId="6CA05695" w14:textId="77777777" w:rsidR="008A1E55" w:rsidRPr="00A41AC7" w:rsidRDefault="008A1E55" w:rsidP="00143C67">
            <w:pPr>
              <w:jc w:val="center"/>
              <w:rPr>
                <w:sz w:val="16"/>
                <w:szCs w:val="16"/>
              </w:rPr>
            </w:pPr>
            <w:r w:rsidRPr="00A41AC7">
              <w:rPr>
                <w:sz w:val="16"/>
                <w:szCs w:val="16"/>
              </w:rPr>
              <w:t>Number</w:t>
            </w:r>
          </w:p>
        </w:tc>
        <w:tc>
          <w:tcPr>
            <w:tcW w:w="1121" w:type="dxa"/>
            <w:tcBorders>
              <w:top w:val="single" w:sz="4" w:space="0" w:color="auto"/>
              <w:left w:val="nil"/>
              <w:bottom w:val="single" w:sz="4" w:space="0" w:color="auto"/>
              <w:right w:val="nil"/>
            </w:tcBorders>
            <w:shd w:val="clear" w:color="auto" w:fill="E2EFD9" w:themeFill="accent6" w:themeFillTint="33"/>
            <w:noWrap/>
            <w:vAlign w:val="center"/>
            <w:hideMark/>
          </w:tcPr>
          <w:p w14:paraId="5E267841" w14:textId="77777777" w:rsidR="008A1E55" w:rsidRPr="00A41AC7" w:rsidRDefault="008A1E55" w:rsidP="00143C67">
            <w:pPr>
              <w:jc w:val="center"/>
              <w:rPr>
                <w:sz w:val="16"/>
                <w:szCs w:val="16"/>
              </w:rPr>
            </w:pPr>
            <w:r w:rsidRPr="00A41AC7">
              <w:rPr>
                <w:sz w:val="16"/>
                <w:szCs w:val="16"/>
              </w:rPr>
              <w:t>Percent</w:t>
            </w:r>
          </w:p>
        </w:tc>
        <w:tc>
          <w:tcPr>
            <w:tcW w:w="1263" w:type="dxa"/>
            <w:tcBorders>
              <w:top w:val="single" w:sz="4" w:space="0" w:color="auto"/>
              <w:left w:val="nil"/>
              <w:bottom w:val="single" w:sz="4" w:space="0" w:color="auto"/>
              <w:right w:val="nil"/>
            </w:tcBorders>
            <w:shd w:val="clear" w:color="auto" w:fill="E2EFD9" w:themeFill="accent6" w:themeFillTint="33"/>
            <w:noWrap/>
            <w:vAlign w:val="center"/>
            <w:hideMark/>
          </w:tcPr>
          <w:p w14:paraId="04E045A3" w14:textId="77777777" w:rsidR="008A1E55" w:rsidRPr="00A41AC7" w:rsidRDefault="008A1E55" w:rsidP="00143C67">
            <w:pPr>
              <w:jc w:val="center"/>
              <w:rPr>
                <w:sz w:val="16"/>
                <w:szCs w:val="16"/>
              </w:rPr>
            </w:pPr>
            <w:r w:rsidRPr="00A41AC7">
              <w:rPr>
                <w:sz w:val="16"/>
                <w:szCs w:val="16"/>
              </w:rPr>
              <w:t>Number</w:t>
            </w:r>
          </w:p>
        </w:tc>
        <w:tc>
          <w:tcPr>
            <w:tcW w:w="876" w:type="dxa"/>
            <w:tcBorders>
              <w:top w:val="single" w:sz="4" w:space="0" w:color="auto"/>
              <w:left w:val="nil"/>
              <w:bottom w:val="single" w:sz="4" w:space="0" w:color="auto"/>
              <w:right w:val="nil"/>
            </w:tcBorders>
            <w:shd w:val="clear" w:color="auto" w:fill="E2EFD9" w:themeFill="accent6" w:themeFillTint="33"/>
            <w:noWrap/>
            <w:vAlign w:val="center"/>
            <w:hideMark/>
          </w:tcPr>
          <w:p w14:paraId="2ADC2089" w14:textId="77777777" w:rsidR="008A1E55" w:rsidRPr="00A41AC7" w:rsidRDefault="008A1E55" w:rsidP="00143C67">
            <w:pPr>
              <w:jc w:val="center"/>
              <w:rPr>
                <w:sz w:val="16"/>
                <w:szCs w:val="16"/>
              </w:rPr>
            </w:pPr>
            <w:r w:rsidRPr="00A41AC7">
              <w:rPr>
                <w:sz w:val="16"/>
                <w:szCs w:val="16"/>
              </w:rPr>
              <w:t>Percent</w:t>
            </w:r>
          </w:p>
        </w:tc>
        <w:tc>
          <w:tcPr>
            <w:tcW w:w="1105" w:type="dxa"/>
            <w:tcBorders>
              <w:top w:val="single" w:sz="4" w:space="0" w:color="auto"/>
              <w:left w:val="nil"/>
              <w:bottom w:val="single" w:sz="4" w:space="0" w:color="auto"/>
              <w:right w:val="nil"/>
            </w:tcBorders>
            <w:shd w:val="clear" w:color="auto" w:fill="E2EFD9" w:themeFill="accent6" w:themeFillTint="33"/>
            <w:noWrap/>
            <w:vAlign w:val="center"/>
            <w:hideMark/>
          </w:tcPr>
          <w:p w14:paraId="59D8E296" w14:textId="77777777" w:rsidR="008A1E55" w:rsidRPr="00A41AC7" w:rsidRDefault="008A1E55" w:rsidP="00143C67">
            <w:pPr>
              <w:jc w:val="center"/>
              <w:rPr>
                <w:sz w:val="16"/>
                <w:szCs w:val="16"/>
              </w:rPr>
            </w:pPr>
            <w:r w:rsidRPr="00A41AC7">
              <w:rPr>
                <w:sz w:val="16"/>
                <w:szCs w:val="16"/>
              </w:rPr>
              <w:t>Number</w:t>
            </w:r>
          </w:p>
        </w:tc>
        <w:tc>
          <w:tcPr>
            <w:tcW w:w="1015" w:type="dxa"/>
            <w:tcBorders>
              <w:top w:val="single" w:sz="4" w:space="0" w:color="auto"/>
              <w:left w:val="nil"/>
              <w:bottom w:val="single" w:sz="4" w:space="0" w:color="auto"/>
              <w:right w:val="nil"/>
            </w:tcBorders>
            <w:shd w:val="clear" w:color="auto" w:fill="E2EFD9" w:themeFill="accent6" w:themeFillTint="33"/>
            <w:noWrap/>
            <w:vAlign w:val="center"/>
            <w:hideMark/>
          </w:tcPr>
          <w:p w14:paraId="707984E2" w14:textId="77777777" w:rsidR="008A1E55" w:rsidRPr="00A41AC7" w:rsidRDefault="008A1E55" w:rsidP="00143C67">
            <w:pPr>
              <w:jc w:val="center"/>
              <w:rPr>
                <w:sz w:val="16"/>
                <w:szCs w:val="16"/>
              </w:rPr>
            </w:pPr>
            <w:r w:rsidRPr="00A41AC7">
              <w:rPr>
                <w:sz w:val="16"/>
                <w:szCs w:val="16"/>
              </w:rPr>
              <w:t>Percent</w:t>
            </w:r>
          </w:p>
        </w:tc>
      </w:tr>
      <w:tr w:rsidR="006B42D6" w:rsidRPr="006B42D6" w14:paraId="25F463F1" w14:textId="77777777" w:rsidTr="00DE248A">
        <w:trPr>
          <w:trHeight w:val="283"/>
        </w:trPr>
        <w:tc>
          <w:tcPr>
            <w:tcW w:w="2694" w:type="dxa"/>
            <w:tcBorders>
              <w:top w:val="nil"/>
              <w:left w:val="nil"/>
              <w:bottom w:val="nil"/>
              <w:right w:val="nil"/>
            </w:tcBorders>
            <w:shd w:val="clear" w:color="auto" w:fill="auto"/>
            <w:vAlign w:val="center"/>
            <w:hideMark/>
          </w:tcPr>
          <w:p w14:paraId="6ED66FC6" w14:textId="77777777" w:rsidR="008A1E55" w:rsidRPr="00A41AC7" w:rsidRDefault="008A1E55" w:rsidP="00E16CAE">
            <w:pPr>
              <w:rPr>
                <w:sz w:val="16"/>
                <w:szCs w:val="16"/>
              </w:rPr>
            </w:pPr>
            <w:r w:rsidRPr="00A41AC7">
              <w:rPr>
                <w:sz w:val="16"/>
                <w:szCs w:val="16"/>
              </w:rPr>
              <w:t>Piped water</w:t>
            </w:r>
          </w:p>
        </w:tc>
        <w:tc>
          <w:tcPr>
            <w:tcW w:w="1134" w:type="dxa"/>
            <w:tcBorders>
              <w:top w:val="nil"/>
              <w:left w:val="nil"/>
              <w:bottom w:val="nil"/>
              <w:right w:val="nil"/>
            </w:tcBorders>
            <w:shd w:val="clear" w:color="auto" w:fill="auto"/>
            <w:noWrap/>
            <w:vAlign w:val="center"/>
            <w:hideMark/>
          </w:tcPr>
          <w:p w14:paraId="338AF82A" w14:textId="77777777" w:rsidR="008A1E55" w:rsidRPr="00A41AC7" w:rsidRDefault="008A1E55" w:rsidP="004F65CD">
            <w:pPr>
              <w:jc w:val="right"/>
              <w:rPr>
                <w:sz w:val="16"/>
                <w:szCs w:val="16"/>
              </w:rPr>
            </w:pPr>
            <w:r w:rsidRPr="00A41AC7">
              <w:rPr>
                <w:sz w:val="16"/>
                <w:szCs w:val="16"/>
              </w:rPr>
              <w:t>3,250,900</w:t>
            </w:r>
          </w:p>
        </w:tc>
        <w:tc>
          <w:tcPr>
            <w:tcW w:w="1121" w:type="dxa"/>
            <w:tcBorders>
              <w:top w:val="nil"/>
              <w:left w:val="nil"/>
              <w:bottom w:val="nil"/>
              <w:right w:val="nil"/>
            </w:tcBorders>
            <w:shd w:val="clear" w:color="auto" w:fill="auto"/>
            <w:noWrap/>
            <w:vAlign w:val="center"/>
            <w:hideMark/>
          </w:tcPr>
          <w:p w14:paraId="755F4496" w14:textId="77777777" w:rsidR="008A1E55" w:rsidRPr="00A41AC7" w:rsidRDefault="008A1E55" w:rsidP="004F65CD">
            <w:pPr>
              <w:jc w:val="right"/>
              <w:rPr>
                <w:sz w:val="16"/>
                <w:szCs w:val="16"/>
              </w:rPr>
            </w:pPr>
            <w:r w:rsidRPr="00A41AC7">
              <w:rPr>
                <w:sz w:val="16"/>
                <w:szCs w:val="16"/>
              </w:rPr>
              <w:t>41.5</w:t>
            </w:r>
          </w:p>
        </w:tc>
        <w:tc>
          <w:tcPr>
            <w:tcW w:w="1263" w:type="dxa"/>
            <w:tcBorders>
              <w:top w:val="nil"/>
              <w:left w:val="nil"/>
              <w:bottom w:val="nil"/>
              <w:right w:val="nil"/>
            </w:tcBorders>
            <w:shd w:val="clear" w:color="auto" w:fill="auto"/>
            <w:noWrap/>
            <w:vAlign w:val="center"/>
            <w:hideMark/>
          </w:tcPr>
          <w:p w14:paraId="62D72CD2" w14:textId="77777777" w:rsidR="008A1E55" w:rsidRPr="00A41AC7" w:rsidRDefault="008A1E55" w:rsidP="004F65CD">
            <w:pPr>
              <w:jc w:val="right"/>
              <w:rPr>
                <w:sz w:val="16"/>
                <w:szCs w:val="16"/>
              </w:rPr>
            </w:pPr>
            <w:r w:rsidRPr="00A41AC7">
              <w:rPr>
                <w:sz w:val="16"/>
                <w:szCs w:val="16"/>
              </w:rPr>
              <w:t>3,110,262</w:t>
            </w:r>
          </w:p>
        </w:tc>
        <w:tc>
          <w:tcPr>
            <w:tcW w:w="876" w:type="dxa"/>
            <w:tcBorders>
              <w:top w:val="nil"/>
              <w:left w:val="nil"/>
              <w:bottom w:val="nil"/>
              <w:right w:val="nil"/>
            </w:tcBorders>
            <w:shd w:val="clear" w:color="auto" w:fill="auto"/>
            <w:noWrap/>
            <w:vAlign w:val="center"/>
            <w:hideMark/>
          </w:tcPr>
          <w:p w14:paraId="73DF57B7" w14:textId="77777777" w:rsidR="008A1E55" w:rsidRPr="00A41AC7" w:rsidRDefault="008A1E55" w:rsidP="004F65CD">
            <w:pPr>
              <w:jc w:val="right"/>
              <w:rPr>
                <w:sz w:val="16"/>
                <w:szCs w:val="16"/>
              </w:rPr>
            </w:pPr>
            <w:r w:rsidRPr="00A41AC7">
              <w:rPr>
                <w:sz w:val="16"/>
                <w:szCs w:val="16"/>
              </w:rPr>
              <w:t>40.6</w:t>
            </w:r>
          </w:p>
        </w:tc>
        <w:tc>
          <w:tcPr>
            <w:tcW w:w="1105" w:type="dxa"/>
            <w:tcBorders>
              <w:top w:val="nil"/>
              <w:left w:val="nil"/>
              <w:bottom w:val="nil"/>
              <w:right w:val="nil"/>
            </w:tcBorders>
            <w:shd w:val="clear" w:color="auto" w:fill="auto"/>
            <w:noWrap/>
            <w:vAlign w:val="center"/>
            <w:hideMark/>
          </w:tcPr>
          <w:p w14:paraId="5A35091B" w14:textId="77777777" w:rsidR="008A1E55" w:rsidRPr="00A41AC7" w:rsidRDefault="008A1E55" w:rsidP="004F65CD">
            <w:pPr>
              <w:jc w:val="right"/>
              <w:rPr>
                <w:sz w:val="16"/>
                <w:szCs w:val="16"/>
              </w:rPr>
            </w:pPr>
            <w:r w:rsidRPr="00A41AC7">
              <w:rPr>
                <w:sz w:val="16"/>
                <w:szCs w:val="16"/>
              </w:rPr>
              <w:t>140,638</w:t>
            </w:r>
          </w:p>
        </w:tc>
        <w:tc>
          <w:tcPr>
            <w:tcW w:w="1015" w:type="dxa"/>
            <w:tcBorders>
              <w:top w:val="nil"/>
              <w:left w:val="nil"/>
              <w:bottom w:val="nil"/>
              <w:right w:val="nil"/>
            </w:tcBorders>
            <w:shd w:val="clear" w:color="auto" w:fill="auto"/>
            <w:noWrap/>
            <w:vAlign w:val="center"/>
            <w:hideMark/>
          </w:tcPr>
          <w:p w14:paraId="3FAB33F0" w14:textId="77777777" w:rsidR="008A1E55" w:rsidRPr="00A41AC7" w:rsidRDefault="008A1E55" w:rsidP="004F65CD">
            <w:pPr>
              <w:jc w:val="right"/>
              <w:rPr>
                <w:sz w:val="16"/>
                <w:szCs w:val="16"/>
              </w:rPr>
            </w:pPr>
            <w:r w:rsidRPr="00A41AC7">
              <w:rPr>
                <w:sz w:val="16"/>
                <w:szCs w:val="16"/>
              </w:rPr>
              <w:t>78.0</w:t>
            </w:r>
          </w:p>
        </w:tc>
      </w:tr>
      <w:tr w:rsidR="006B42D6" w:rsidRPr="006B42D6" w14:paraId="0C1DC2AF" w14:textId="77777777" w:rsidTr="00DE248A">
        <w:trPr>
          <w:trHeight w:val="283"/>
        </w:trPr>
        <w:tc>
          <w:tcPr>
            <w:tcW w:w="2694" w:type="dxa"/>
            <w:tcBorders>
              <w:top w:val="nil"/>
              <w:left w:val="nil"/>
              <w:bottom w:val="nil"/>
              <w:right w:val="nil"/>
            </w:tcBorders>
            <w:shd w:val="clear" w:color="auto" w:fill="auto"/>
            <w:vAlign w:val="center"/>
            <w:hideMark/>
          </w:tcPr>
          <w:p w14:paraId="2BAAE1A7" w14:textId="77777777" w:rsidR="008A1E55" w:rsidRPr="00A41AC7" w:rsidRDefault="008A1E55" w:rsidP="00E16CAE">
            <w:pPr>
              <w:rPr>
                <w:sz w:val="16"/>
                <w:szCs w:val="16"/>
              </w:rPr>
            </w:pPr>
            <w:r w:rsidRPr="00A41AC7">
              <w:rPr>
                <w:sz w:val="16"/>
                <w:szCs w:val="16"/>
              </w:rPr>
              <w:t>Protected well</w:t>
            </w:r>
          </w:p>
        </w:tc>
        <w:tc>
          <w:tcPr>
            <w:tcW w:w="1134" w:type="dxa"/>
            <w:tcBorders>
              <w:top w:val="nil"/>
              <w:left w:val="nil"/>
              <w:bottom w:val="nil"/>
              <w:right w:val="nil"/>
            </w:tcBorders>
            <w:shd w:val="clear" w:color="auto" w:fill="auto"/>
            <w:noWrap/>
            <w:vAlign w:val="center"/>
            <w:hideMark/>
          </w:tcPr>
          <w:p w14:paraId="559F99FC" w14:textId="77777777" w:rsidR="008A1E55" w:rsidRPr="00A41AC7" w:rsidRDefault="008A1E55" w:rsidP="004F65CD">
            <w:pPr>
              <w:jc w:val="right"/>
              <w:rPr>
                <w:sz w:val="16"/>
                <w:szCs w:val="16"/>
              </w:rPr>
            </w:pPr>
            <w:r w:rsidRPr="00A41AC7">
              <w:rPr>
                <w:sz w:val="16"/>
                <w:szCs w:val="16"/>
              </w:rPr>
              <w:t>832,783</w:t>
            </w:r>
          </w:p>
        </w:tc>
        <w:tc>
          <w:tcPr>
            <w:tcW w:w="1121" w:type="dxa"/>
            <w:tcBorders>
              <w:top w:val="nil"/>
              <w:left w:val="nil"/>
              <w:bottom w:val="nil"/>
              <w:right w:val="nil"/>
            </w:tcBorders>
            <w:shd w:val="clear" w:color="auto" w:fill="auto"/>
            <w:noWrap/>
            <w:vAlign w:val="center"/>
            <w:hideMark/>
          </w:tcPr>
          <w:p w14:paraId="66E33BFA" w14:textId="77777777" w:rsidR="008A1E55" w:rsidRPr="00A41AC7" w:rsidRDefault="008A1E55" w:rsidP="004F65CD">
            <w:pPr>
              <w:jc w:val="right"/>
              <w:rPr>
                <w:sz w:val="16"/>
                <w:szCs w:val="16"/>
              </w:rPr>
            </w:pPr>
            <w:r w:rsidRPr="00A41AC7">
              <w:rPr>
                <w:sz w:val="16"/>
                <w:szCs w:val="16"/>
              </w:rPr>
              <w:t>10.6</w:t>
            </w:r>
          </w:p>
        </w:tc>
        <w:tc>
          <w:tcPr>
            <w:tcW w:w="1263" w:type="dxa"/>
            <w:tcBorders>
              <w:top w:val="nil"/>
              <w:left w:val="nil"/>
              <w:bottom w:val="nil"/>
              <w:right w:val="nil"/>
            </w:tcBorders>
            <w:shd w:val="clear" w:color="auto" w:fill="auto"/>
            <w:noWrap/>
            <w:vAlign w:val="center"/>
            <w:hideMark/>
          </w:tcPr>
          <w:p w14:paraId="3680C115" w14:textId="77777777" w:rsidR="008A1E55" w:rsidRPr="00A41AC7" w:rsidRDefault="008A1E55" w:rsidP="004F65CD">
            <w:pPr>
              <w:jc w:val="right"/>
              <w:rPr>
                <w:sz w:val="16"/>
                <w:szCs w:val="16"/>
              </w:rPr>
            </w:pPr>
            <w:r w:rsidRPr="00A41AC7">
              <w:rPr>
                <w:sz w:val="16"/>
                <w:szCs w:val="16"/>
              </w:rPr>
              <w:t>808,296</w:t>
            </w:r>
          </w:p>
        </w:tc>
        <w:tc>
          <w:tcPr>
            <w:tcW w:w="876" w:type="dxa"/>
            <w:tcBorders>
              <w:top w:val="nil"/>
              <w:left w:val="nil"/>
              <w:bottom w:val="nil"/>
              <w:right w:val="nil"/>
            </w:tcBorders>
            <w:shd w:val="clear" w:color="auto" w:fill="auto"/>
            <w:noWrap/>
            <w:vAlign w:val="center"/>
            <w:hideMark/>
          </w:tcPr>
          <w:p w14:paraId="047C259D" w14:textId="77777777" w:rsidR="008A1E55" w:rsidRPr="00A41AC7" w:rsidRDefault="008A1E55" w:rsidP="004F65CD">
            <w:pPr>
              <w:jc w:val="right"/>
              <w:rPr>
                <w:sz w:val="16"/>
                <w:szCs w:val="16"/>
              </w:rPr>
            </w:pPr>
            <w:r w:rsidRPr="00A41AC7">
              <w:rPr>
                <w:sz w:val="16"/>
                <w:szCs w:val="16"/>
              </w:rPr>
              <w:t>10.6</w:t>
            </w:r>
          </w:p>
        </w:tc>
        <w:tc>
          <w:tcPr>
            <w:tcW w:w="1105" w:type="dxa"/>
            <w:tcBorders>
              <w:top w:val="nil"/>
              <w:left w:val="nil"/>
              <w:bottom w:val="nil"/>
              <w:right w:val="nil"/>
            </w:tcBorders>
            <w:shd w:val="clear" w:color="auto" w:fill="auto"/>
            <w:noWrap/>
            <w:vAlign w:val="center"/>
            <w:hideMark/>
          </w:tcPr>
          <w:p w14:paraId="29BBA97D" w14:textId="77777777" w:rsidR="008A1E55" w:rsidRPr="00A41AC7" w:rsidRDefault="008A1E55" w:rsidP="004F65CD">
            <w:pPr>
              <w:jc w:val="right"/>
              <w:rPr>
                <w:sz w:val="16"/>
                <w:szCs w:val="16"/>
              </w:rPr>
            </w:pPr>
            <w:r w:rsidRPr="00A41AC7">
              <w:rPr>
                <w:sz w:val="16"/>
                <w:szCs w:val="16"/>
              </w:rPr>
              <w:t>24,487</w:t>
            </w:r>
          </w:p>
        </w:tc>
        <w:tc>
          <w:tcPr>
            <w:tcW w:w="1015" w:type="dxa"/>
            <w:tcBorders>
              <w:top w:val="nil"/>
              <w:left w:val="nil"/>
              <w:bottom w:val="nil"/>
              <w:right w:val="nil"/>
            </w:tcBorders>
            <w:shd w:val="clear" w:color="auto" w:fill="auto"/>
            <w:noWrap/>
            <w:vAlign w:val="center"/>
            <w:hideMark/>
          </w:tcPr>
          <w:p w14:paraId="1F61F5C1" w14:textId="77777777" w:rsidR="008A1E55" w:rsidRPr="00A41AC7" w:rsidRDefault="008A1E55" w:rsidP="004F65CD">
            <w:pPr>
              <w:jc w:val="right"/>
              <w:rPr>
                <w:sz w:val="16"/>
                <w:szCs w:val="16"/>
              </w:rPr>
            </w:pPr>
            <w:r w:rsidRPr="00A41AC7">
              <w:rPr>
                <w:sz w:val="16"/>
                <w:szCs w:val="16"/>
              </w:rPr>
              <w:t>13.6</w:t>
            </w:r>
          </w:p>
        </w:tc>
      </w:tr>
      <w:tr w:rsidR="006B42D6" w:rsidRPr="006B42D6" w14:paraId="7D6887C5" w14:textId="77777777" w:rsidTr="00DE248A">
        <w:trPr>
          <w:trHeight w:val="283"/>
        </w:trPr>
        <w:tc>
          <w:tcPr>
            <w:tcW w:w="2694" w:type="dxa"/>
            <w:tcBorders>
              <w:top w:val="nil"/>
              <w:left w:val="nil"/>
              <w:bottom w:val="nil"/>
              <w:right w:val="nil"/>
            </w:tcBorders>
            <w:shd w:val="clear" w:color="auto" w:fill="auto"/>
            <w:vAlign w:val="center"/>
            <w:hideMark/>
          </w:tcPr>
          <w:p w14:paraId="6CC277AE" w14:textId="77777777" w:rsidR="008A1E55" w:rsidRPr="00A41AC7" w:rsidRDefault="008A1E55" w:rsidP="00E16CAE">
            <w:pPr>
              <w:rPr>
                <w:sz w:val="16"/>
                <w:szCs w:val="16"/>
              </w:rPr>
            </w:pPr>
            <w:r w:rsidRPr="00A41AC7">
              <w:rPr>
                <w:sz w:val="16"/>
                <w:szCs w:val="16"/>
              </w:rPr>
              <w:t>Protected/covered spring</w:t>
            </w:r>
          </w:p>
        </w:tc>
        <w:tc>
          <w:tcPr>
            <w:tcW w:w="1134" w:type="dxa"/>
            <w:tcBorders>
              <w:top w:val="nil"/>
              <w:left w:val="nil"/>
              <w:bottom w:val="nil"/>
              <w:right w:val="nil"/>
            </w:tcBorders>
            <w:shd w:val="clear" w:color="auto" w:fill="auto"/>
            <w:noWrap/>
            <w:vAlign w:val="center"/>
            <w:hideMark/>
          </w:tcPr>
          <w:p w14:paraId="7B7652AE" w14:textId="77777777" w:rsidR="008A1E55" w:rsidRPr="00A41AC7" w:rsidRDefault="008A1E55" w:rsidP="004F65CD">
            <w:pPr>
              <w:jc w:val="right"/>
              <w:rPr>
                <w:sz w:val="16"/>
                <w:szCs w:val="16"/>
              </w:rPr>
            </w:pPr>
            <w:r w:rsidRPr="00A41AC7">
              <w:rPr>
                <w:sz w:val="16"/>
                <w:szCs w:val="16"/>
              </w:rPr>
              <w:t>104,403</w:t>
            </w:r>
          </w:p>
        </w:tc>
        <w:tc>
          <w:tcPr>
            <w:tcW w:w="1121" w:type="dxa"/>
            <w:tcBorders>
              <w:top w:val="nil"/>
              <w:left w:val="nil"/>
              <w:bottom w:val="nil"/>
              <w:right w:val="nil"/>
            </w:tcBorders>
            <w:shd w:val="clear" w:color="auto" w:fill="auto"/>
            <w:noWrap/>
            <w:vAlign w:val="center"/>
            <w:hideMark/>
          </w:tcPr>
          <w:p w14:paraId="054EE2D0" w14:textId="77777777" w:rsidR="008A1E55" w:rsidRPr="00A41AC7" w:rsidRDefault="008A1E55" w:rsidP="004F65CD">
            <w:pPr>
              <w:jc w:val="right"/>
              <w:rPr>
                <w:sz w:val="16"/>
                <w:szCs w:val="16"/>
              </w:rPr>
            </w:pPr>
            <w:r w:rsidRPr="00A41AC7">
              <w:rPr>
                <w:sz w:val="16"/>
                <w:szCs w:val="16"/>
              </w:rPr>
              <w:t>1.3</w:t>
            </w:r>
          </w:p>
        </w:tc>
        <w:tc>
          <w:tcPr>
            <w:tcW w:w="1263" w:type="dxa"/>
            <w:tcBorders>
              <w:top w:val="nil"/>
              <w:left w:val="nil"/>
              <w:bottom w:val="nil"/>
              <w:right w:val="nil"/>
            </w:tcBorders>
            <w:shd w:val="clear" w:color="auto" w:fill="auto"/>
            <w:noWrap/>
            <w:vAlign w:val="center"/>
            <w:hideMark/>
          </w:tcPr>
          <w:p w14:paraId="3E5FF3F2" w14:textId="77777777" w:rsidR="008A1E55" w:rsidRPr="00A41AC7" w:rsidRDefault="008A1E55" w:rsidP="004F65CD">
            <w:pPr>
              <w:jc w:val="right"/>
              <w:rPr>
                <w:sz w:val="16"/>
                <w:szCs w:val="16"/>
              </w:rPr>
            </w:pPr>
            <w:r w:rsidRPr="00A41AC7">
              <w:rPr>
                <w:sz w:val="16"/>
                <w:szCs w:val="16"/>
              </w:rPr>
              <w:t>104,036</w:t>
            </w:r>
          </w:p>
        </w:tc>
        <w:tc>
          <w:tcPr>
            <w:tcW w:w="876" w:type="dxa"/>
            <w:tcBorders>
              <w:top w:val="nil"/>
              <w:left w:val="nil"/>
              <w:bottom w:val="nil"/>
              <w:right w:val="nil"/>
            </w:tcBorders>
            <w:shd w:val="clear" w:color="auto" w:fill="auto"/>
            <w:noWrap/>
            <w:vAlign w:val="center"/>
            <w:hideMark/>
          </w:tcPr>
          <w:p w14:paraId="021E4F1A" w14:textId="77777777" w:rsidR="008A1E55" w:rsidRPr="00A41AC7" w:rsidRDefault="008A1E55" w:rsidP="004F65CD">
            <w:pPr>
              <w:jc w:val="right"/>
              <w:rPr>
                <w:sz w:val="16"/>
                <w:szCs w:val="16"/>
              </w:rPr>
            </w:pPr>
            <w:r w:rsidRPr="00A41AC7">
              <w:rPr>
                <w:sz w:val="16"/>
                <w:szCs w:val="16"/>
              </w:rPr>
              <w:t>1.4</w:t>
            </w:r>
          </w:p>
        </w:tc>
        <w:tc>
          <w:tcPr>
            <w:tcW w:w="1105" w:type="dxa"/>
            <w:tcBorders>
              <w:top w:val="nil"/>
              <w:left w:val="nil"/>
              <w:bottom w:val="nil"/>
              <w:right w:val="nil"/>
            </w:tcBorders>
            <w:shd w:val="clear" w:color="auto" w:fill="auto"/>
            <w:noWrap/>
            <w:vAlign w:val="center"/>
            <w:hideMark/>
          </w:tcPr>
          <w:p w14:paraId="5FCD5729" w14:textId="77777777" w:rsidR="008A1E55" w:rsidRPr="00A41AC7" w:rsidRDefault="008A1E55" w:rsidP="004F65CD">
            <w:pPr>
              <w:jc w:val="right"/>
              <w:rPr>
                <w:sz w:val="16"/>
                <w:szCs w:val="16"/>
              </w:rPr>
            </w:pPr>
            <w:r w:rsidRPr="00A41AC7">
              <w:rPr>
                <w:sz w:val="16"/>
                <w:szCs w:val="16"/>
              </w:rPr>
              <w:t>367</w:t>
            </w:r>
          </w:p>
        </w:tc>
        <w:tc>
          <w:tcPr>
            <w:tcW w:w="1015" w:type="dxa"/>
            <w:tcBorders>
              <w:top w:val="nil"/>
              <w:left w:val="nil"/>
              <w:bottom w:val="nil"/>
              <w:right w:val="nil"/>
            </w:tcBorders>
            <w:shd w:val="clear" w:color="auto" w:fill="auto"/>
            <w:noWrap/>
            <w:vAlign w:val="center"/>
            <w:hideMark/>
          </w:tcPr>
          <w:p w14:paraId="63959B02" w14:textId="77777777" w:rsidR="008A1E55" w:rsidRPr="00A41AC7" w:rsidRDefault="008A1E55" w:rsidP="004F65CD">
            <w:pPr>
              <w:jc w:val="right"/>
              <w:rPr>
                <w:sz w:val="16"/>
                <w:szCs w:val="16"/>
              </w:rPr>
            </w:pPr>
            <w:r w:rsidRPr="00A41AC7">
              <w:rPr>
                <w:sz w:val="16"/>
                <w:szCs w:val="16"/>
              </w:rPr>
              <w:t>0.2</w:t>
            </w:r>
          </w:p>
        </w:tc>
      </w:tr>
      <w:tr w:rsidR="006B42D6" w:rsidRPr="006B42D6" w14:paraId="799AEDA4" w14:textId="77777777" w:rsidTr="00DE248A">
        <w:trPr>
          <w:trHeight w:val="283"/>
        </w:trPr>
        <w:tc>
          <w:tcPr>
            <w:tcW w:w="2694" w:type="dxa"/>
            <w:tcBorders>
              <w:top w:val="nil"/>
              <w:left w:val="nil"/>
              <w:bottom w:val="nil"/>
              <w:right w:val="nil"/>
            </w:tcBorders>
            <w:shd w:val="clear" w:color="auto" w:fill="auto"/>
            <w:vAlign w:val="center"/>
            <w:hideMark/>
          </w:tcPr>
          <w:p w14:paraId="2E2D8DEC" w14:textId="77777777" w:rsidR="008A1E55" w:rsidRPr="00A41AC7" w:rsidRDefault="008A1E55" w:rsidP="00E16CAE">
            <w:pPr>
              <w:rPr>
                <w:sz w:val="16"/>
                <w:szCs w:val="16"/>
              </w:rPr>
            </w:pPr>
            <w:r w:rsidRPr="00A41AC7">
              <w:rPr>
                <w:sz w:val="16"/>
                <w:szCs w:val="16"/>
              </w:rPr>
              <w:t>Unprotected Well</w:t>
            </w:r>
          </w:p>
        </w:tc>
        <w:tc>
          <w:tcPr>
            <w:tcW w:w="1134" w:type="dxa"/>
            <w:tcBorders>
              <w:top w:val="nil"/>
              <w:left w:val="nil"/>
              <w:bottom w:val="nil"/>
              <w:right w:val="nil"/>
            </w:tcBorders>
            <w:shd w:val="clear" w:color="auto" w:fill="auto"/>
            <w:noWrap/>
            <w:vAlign w:val="center"/>
            <w:hideMark/>
          </w:tcPr>
          <w:p w14:paraId="24AA6C3B" w14:textId="77777777" w:rsidR="008A1E55" w:rsidRPr="00A41AC7" w:rsidRDefault="008A1E55" w:rsidP="004F65CD">
            <w:pPr>
              <w:jc w:val="right"/>
              <w:rPr>
                <w:sz w:val="16"/>
                <w:szCs w:val="16"/>
              </w:rPr>
            </w:pPr>
            <w:r w:rsidRPr="00A41AC7">
              <w:rPr>
                <w:sz w:val="16"/>
                <w:szCs w:val="16"/>
              </w:rPr>
              <w:t>1,003,934</w:t>
            </w:r>
          </w:p>
        </w:tc>
        <w:tc>
          <w:tcPr>
            <w:tcW w:w="1121" w:type="dxa"/>
            <w:tcBorders>
              <w:top w:val="nil"/>
              <w:left w:val="nil"/>
              <w:bottom w:val="nil"/>
              <w:right w:val="nil"/>
            </w:tcBorders>
            <w:shd w:val="clear" w:color="auto" w:fill="auto"/>
            <w:noWrap/>
            <w:vAlign w:val="center"/>
            <w:hideMark/>
          </w:tcPr>
          <w:p w14:paraId="3906D093" w14:textId="77777777" w:rsidR="008A1E55" w:rsidRPr="00A41AC7" w:rsidRDefault="008A1E55" w:rsidP="004F65CD">
            <w:pPr>
              <w:jc w:val="right"/>
              <w:rPr>
                <w:sz w:val="16"/>
                <w:szCs w:val="16"/>
              </w:rPr>
            </w:pPr>
            <w:r w:rsidRPr="00A41AC7">
              <w:rPr>
                <w:sz w:val="16"/>
                <w:szCs w:val="16"/>
              </w:rPr>
              <w:t>12.8</w:t>
            </w:r>
          </w:p>
        </w:tc>
        <w:tc>
          <w:tcPr>
            <w:tcW w:w="1263" w:type="dxa"/>
            <w:tcBorders>
              <w:top w:val="nil"/>
              <w:left w:val="nil"/>
              <w:bottom w:val="nil"/>
              <w:right w:val="nil"/>
            </w:tcBorders>
            <w:shd w:val="clear" w:color="auto" w:fill="auto"/>
            <w:noWrap/>
            <w:vAlign w:val="center"/>
            <w:hideMark/>
          </w:tcPr>
          <w:p w14:paraId="557C79A2" w14:textId="77777777" w:rsidR="008A1E55" w:rsidRPr="00A41AC7" w:rsidRDefault="008A1E55" w:rsidP="004F65CD">
            <w:pPr>
              <w:jc w:val="right"/>
              <w:rPr>
                <w:sz w:val="16"/>
                <w:szCs w:val="16"/>
              </w:rPr>
            </w:pPr>
            <w:r w:rsidRPr="00A41AC7">
              <w:rPr>
                <w:sz w:val="16"/>
                <w:szCs w:val="16"/>
              </w:rPr>
              <w:t>991,434</w:t>
            </w:r>
          </w:p>
        </w:tc>
        <w:tc>
          <w:tcPr>
            <w:tcW w:w="876" w:type="dxa"/>
            <w:tcBorders>
              <w:top w:val="nil"/>
              <w:left w:val="nil"/>
              <w:bottom w:val="nil"/>
              <w:right w:val="nil"/>
            </w:tcBorders>
            <w:shd w:val="clear" w:color="auto" w:fill="auto"/>
            <w:noWrap/>
            <w:vAlign w:val="center"/>
            <w:hideMark/>
          </w:tcPr>
          <w:p w14:paraId="23531AB6" w14:textId="77777777" w:rsidR="008A1E55" w:rsidRPr="00A41AC7" w:rsidRDefault="008A1E55" w:rsidP="004F65CD">
            <w:pPr>
              <w:jc w:val="right"/>
              <w:rPr>
                <w:sz w:val="16"/>
                <w:szCs w:val="16"/>
              </w:rPr>
            </w:pPr>
            <w:r w:rsidRPr="00A41AC7">
              <w:rPr>
                <w:sz w:val="16"/>
                <w:szCs w:val="16"/>
              </w:rPr>
              <w:t>12.9</w:t>
            </w:r>
          </w:p>
        </w:tc>
        <w:tc>
          <w:tcPr>
            <w:tcW w:w="1105" w:type="dxa"/>
            <w:tcBorders>
              <w:top w:val="nil"/>
              <w:left w:val="nil"/>
              <w:bottom w:val="nil"/>
              <w:right w:val="nil"/>
            </w:tcBorders>
            <w:shd w:val="clear" w:color="auto" w:fill="auto"/>
            <w:noWrap/>
            <w:vAlign w:val="center"/>
            <w:hideMark/>
          </w:tcPr>
          <w:p w14:paraId="4634904F" w14:textId="77777777" w:rsidR="008A1E55" w:rsidRPr="00A41AC7" w:rsidRDefault="008A1E55" w:rsidP="004F65CD">
            <w:pPr>
              <w:jc w:val="right"/>
              <w:rPr>
                <w:sz w:val="16"/>
                <w:szCs w:val="16"/>
              </w:rPr>
            </w:pPr>
            <w:r w:rsidRPr="00A41AC7">
              <w:rPr>
                <w:sz w:val="16"/>
                <w:szCs w:val="16"/>
              </w:rPr>
              <w:t>12,500</w:t>
            </w:r>
          </w:p>
        </w:tc>
        <w:tc>
          <w:tcPr>
            <w:tcW w:w="1015" w:type="dxa"/>
            <w:tcBorders>
              <w:top w:val="nil"/>
              <w:left w:val="nil"/>
              <w:bottom w:val="nil"/>
              <w:right w:val="nil"/>
            </w:tcBorders>
            <w:shd w:val="clear" w:color="auto" w:fill="auto"/>
            <w:noWrap/>
            <w:vAlign w:val="center"/>
            <w:hideMark/>
          </w:tcPr>
          <w:p w14:paraId="6990F885" w14:textId="77777777" w:rsidR="008A1E55" w:rsidRPr="00A41AC7" w:rsidRDefault="008A1E55" w:rsidP="004F65CD">
            <w:pPr>
              <w:jc w:val="right"/>
              <w:rPr>
                <w:sz w:val="16"/>
                <w:szCs w:val="16"/>
              </w:rPr>
            </w:pPr>
            <w:r w:rsidRPr="00A41AC7">
              <w:rPr>
                <w:sz w:val="16"/>
                <w:szCs w:val="16"/>
              </w:rPr>
              <w:t>6.9</w:t>
            </w:r>
          </w:p>
        </w:tc>
      </w:tr>
      <w:tr w:rsidR="006B42D6" w:rsidRPr="006B42D6" w14:paraId="72F6917F" w14:textId="77777777" w:rsidTr="00DE248A">
        <w:trPr>
          <w:trHeight w:val="283"/>
        </w:trPr>
        <w:tc>
          <w:tcPr>
            <w:tcW w:w="2694" w:type="dxa"/>
            <w:tcBorders>
              <w:top w:val="nil"/>
              <w:left w:val="nil"/>
              <w:bottom w:val="nil"/>
              <w:right w:val="nil"/>
            </w:tcBorders>
            <w:shd w:val="clear" w:color="auto" w:fill="auto"/>
            <w:vAlign w:val="center"/>
            <w:hideMark/>
          </w:tcPr>
          <w:p w14:paraId="479B98ED" w14:textId="77777777" w:rsidR="008A1E55" w:rsidRPr="00A41AC7" w:rsidRDefault="008A1E55" w:rsidP="00E16CAE">
            <w:pPr>
              <w:rPr>
                <w:sz w:val="16"/>
                <w:szCs w:val="16"/>
              </w:rPr>
            </w:pPr>
            <w:r w:rsidRPr="00A41AC7">
              <w:rPr>
                <w:sz w:val="16"/>
                <w:szCs w:val="16"/>
              </w:rPr>
              <w:t>Unprotected spring</w:t>
            </w:r>
          </w:p>
        </w:tc>
        <w:tc>
          <w:tcPr>
            <w:tcW w:w="1134" w:type="dxa"/>
            <w:tcBorders>
              <w:top w:val="nil"/>
              <w:left w:val="nil"/>
              <w:bottom w:val="nil"/>
              <w:right w:val="nil"/>
            </w:tcBorders>
            <w:shd w:val="clear" w:color="auto" w:fill="auto"/>
            <w:noWrap/>
            <w:vAlign w:val="center"/>
            <w:hideMark/>
          </w:tcPr>
          <w:p w14:paraId="374688C0" w14:textId="77777777" w:rsidR="008A1E55" w:rsidRPr="00A41AC7" w:rsidRDefault="008A1E55" w:rsidP="004F65CD">
            <w:pPr>
              <w:jc w:val="right"/>
              <w:rPr>
                <w:sz w:val="16"/>
                <w:szCs w:val="16"/>
              </w:rPr>
            </w:pPr>
            <w:r w:rsidRPr="00A41AC7">
              <w:rPr>
                <w:sz w:val="16"/>
                <w:szCs w:val="16"/>
              </w:rPr>
              <w:t>333,257</w:t>
            </w:r>
          </w:p>
        </w:tc>
        <w:tc>
          <w:tcPr>
            <w:tcW w:w="1121" w:type="dxa"/>
            <w:tcBorders>
              <w:top w:val="nil"/>
              <w:left w:val="nil"/>
              <w:bottom w:val="nil"/>
              <w:right w:val="nil"/>
            </w:tcBorders>
            <w:shd w:val="clear" w:color="auto" w:fill="auto"/>
            <w:noWrap/>
            <w:vAlign w:val="center"/>
            <w:hideMark/>
          </w:tcPr>
          <w:p w14:paraId="27F9009F" w14:textId="77777777" w:rsidR="008A1E55" w:rsidRPr="00A41AC7" w:rsidRDefault="008A1E55" w:rsidP="004F65CD">
            <w:pPr>
              <w:jc w:val="right"/>
              <w:rPr>
                <w:sz w:val="16"/>
                <w:szCs w:val="16"/>
              </w:rPr>
            </w:pPr>
            <w:r w:rsidRPr="00A41AC7">
              <w:rPr>
                <w:sz w:val="16"/>
                <w:szCs w:val="16"/>
              </w:rPr>
              <w:t>4.3</w:t>
            </w:r>
          </w:p>
        </w:tc>
        <w:tc>
          <w:tcPr>
            <w:tcW w:w="1263" w:type="dxa"/>
            <w:tcBorders>
              <w:top w:val="nil"/>
              <w:left w:val="nil"/>
              <w:bottom w:val="nil"/>
              <w:right w:val="nil"/>
            </w:tcBorders>
            <w:shd w:val="clear" w:color="auto" w:fill="auto"/>
            <w:noWrap/>
            <w:vAlign w:val="center"/>
            <w:hideMark/>
          </w:tcPr>
          <w:p w14:paraId="1699A98F" w14:textId="77777777" w:rsidR="008A1E55" w:rsidRPr="00A41AC7" w:rsidRDefault="008A1E55" w:rsidP="004F65CD">
            <w:pPr>
              <w:jc w:val="right"/>
              <w:rPr>
                <w:sz w:val="16"/>
                <w:szCs w:val="16"/>
              </w:rPr>
            </w:pPr>
            <w:r w:rsidRPr="00A41AC7">
              <w:rPr>
                <w:sz w:val="16"/>
                <w:szCs w:val="16"/>
              </w:rPr>
              <w:t>333,200</w:t>
            </w:r>
          </w:p>
        </w:tc>
        <w:tc>
          <w:tcPr>
            <w:tcW w:w="876" w:type="dxa"/>
            <w:tcBorders>
              <w:top w:val="nil"/>
              <w:left w:val="nil"/>
              <w:bottom w:val="nil"/>
              <w:right w:val="nil"/>
            </w:tcBorders>
            <w:shd w:val="clear" w:color="auto" w:fill="auto"/>
            <w:noWrap/>
            <w:vAlign w:val="center"/>
            <w:hideMark/>
          </w:tcPr>
          <w:p w14:paraId="200A859A" w14:textId="77777777" w:rsidR="008A1E55" w:rsidRPr="00A41AC7" w:rsidRDefault="008A1E55" w:rsidP="004F65CD">
            <w:pPr>
              <w:jc w:val="right"/>
              <w:rPr>
                <w:sz w:val="16"/>
                <w:szCs w:val="16"/>
              </w:rPr>
            </w:pPr>
            <w:r w:rsidRPr="00A41AC7">
              <w:rPr>
                <w:sz w:val="16"/>
                <w:szCs w:val="16"/>
              </w:rPr>
              <w:t>4.4</w:t>
            </w:r>
          </w:p>
        </w:tc>
        <w:tc>
          <w:tcPr>
            <w:tcW w:w="1105" w:type="dxa"/>
            <w:tcBorders>
              <w:top w:val="nil"/>
              <w:left w:val="nil"/>
              <w:bottom w:val="nil"/>
              <w:right w:val="nil"/>
            </w:tcBorders>
            <w:shd w:val="clear" w:color="auto" w:fill="auto"/>
            <w:noWrap/>
            <w:vAlign w:val="center"/>
            <w:hideMark/>
          </w:tcPr>
          <w:p w14:paraId="4EB436B1" w14:textId="77777777" w:rsidR="008A1E55" w:rsidRPr="00A41AC7" w:rsidRDefault="008A1E55" w:rsidP="004F65CD">
            <w:pPr>
              <w:jc w:val="right"/>
              <w:rPr>
                <w:sz w:val="16"/>
                <w:szCs w:val="16"/>
              </w:rPr>
            </w:pPr>
            <w:r w:rsidRPr="00A41AC7">
              <w:rPr>
                <w:sz w:val="16"/>
                <w:szCs w:val="16"/>
              </w:rPr>
              <w:t>57</w:t>
            </w:r>
          </w:p>
        </w:tc>
        <w:tc>
          <w:tcPr>
            <w:tcW w:w="1015" w:type="dxa"/>
            <w:tcBorders>
              <w:top w:val="nil"/>
              <w:left w:val="nil"/>
              <w:bottom w:val="nil"/>
              <w:right w:val="nil"/>
            </w:tcBorders>
            <w:shd w:val="clear" w:color="auto" w:fill="auto"/>
            <w:noWrap/>
            <w:vAlign w:val="center"/>
            <w:hideMark/>
          </w:tcPr>
          <w:p w14:paraId="72A304A8" w14:textId="77777777" w:rsidR="008A1E55" w:rsidRPr="00A41AC7" w:rsidRDefault="008A1E55" w:rsidP="004F65CD">
            <w:pPr>
              <w:jc w:val="right"/>
              <w:rPr>
                <w:sz w:val="16"/>
                <w:szCs w:val="16"/>
              </w:rPr>
            </w:pPr>
            <w:r w:rsidRPr="00A41AC7">
              <w:rPr>
                <w:sz w:val="16"/>
                <w:szCs w:val="16"/>
              </w:rPr>
              <w:t>0.0</w:t>
            </w:r>
          </w:p>
        </w:tc>
      </w:tr>
      <w:tr w:rsidR="006B42D6" w:rsidRPr="006B42D6" w14:paraId="3762F999" w14:textId="77777777" w:rsidTr="00DE248A">
        <w:trPr>
          <w:trHeight w:val="283"/>
        </w:trPr>
        <w:tc>
          <w:tcPr>
            <w:tcW w:w="2694" w:type="dxa"/>
            <w:tcBorders>
              <w:top w:val="nil"/>
              <w:left w:val="nil"/>
              <w:bottom w:val="nil"/>
              <w:right w:val="nil"/>
            </w:tcBorders>
            <w:shd w:val="clear" w:color="auto" w:fill="auto"/>
            <w:vAlign w:val="center"/>
            <w:hideMark/>
          </w:tcPr>
          <w:p w14:paraId="7838A7B3" w14:textId="77777777" w:rsidR="008A1E55" w:rsidRPr="00A41AC7" w:rsidRDefault="008A1E55" w:rsidP="00E16CAE">
            <w:pPr>
              <w:rPr>
                <w:sz w:val="16"/>
                <w:szCs w:val="16"/>
              </w:rPr>
            </w:pPr>
            <w:r w:rsidRPr="00A41AC7">
              <w:rPr>
                <w:sz w:val="16"/>
                <w:szCs w:val="16"/>
              </w:rPr>
              <w:t>Surface water (lake/dam/river/stream)</w:t>
            </w:r>
          </w:p>
        </w:tc>
        <w:tc>
          <w:tcPr>
            <w:tcW w:w="1134" w:type="dxa"/>
            <w:tcBorders>
              <w:top w:val="nil"/>
              <w:left w:val="nil"/>
              <w:bottom w:val="nil"/>
              <w:right w:val="nil"/>
            </w:tcBorders>
            <w:shd w:val="clear" w:color="auto" w:fill="auto"/>
            <w:noWrap/>
            <w:vAlign w:val="center"/>
            <w:hideMark/>
          </w:tcPr>
          <w:p w14:paraId="308673E4" w14:textId="77777777" w:rsidR="008A1E55" w:rsidRPr="00A41AC7" w:rsidRDefault="008A1E55" w:rsidP="004F65CD">
            <w:pPr>
              <w:jc w:val="right"/>
              <w:rPr>
                <w:sz w:val="16"/>
                <w:szCs w:val="16"/>
              </w:rPr>
            </w:pPr>
            <w:r w:rsidRPr="00A41AC7">
              <w:rPr>
                <w:sz w:val="16"/>
                <w:szCs w:val="16"/>
              </w:rPr>
              <w:t>976,314</w:t>
            </w:r>
          </w:p>
        </w:tc>
        <w:tc>
          <w:tcPr>
            <w:tcW w:w="1121" w:type="dxa"/>
            <w:tcBorders>
              <w:top w:val="nil"/>
              <w:left w:val="nil"/>
              <w:bottom w:val="nil"/>
              <w:right w:val="nil"/>
            </w:tcBorders>
            <w:shd w:val="clear" w:color="auto" w:fill="auto"/>
            <w:noWrap/>
            <w:vAlign w:val="center"/>
            <w:hideMark/>
          </w:tcPr>
          <w:p w14:paraId="3118C107" w14:textId="77777777" w:rsidR="008A1E55" w:rsidRPr="00A41AC7" w:rsidRDefault="008A1E55" w:rsidP="004F65CD">
            <w:pPr>
              <w:jc w:val="right"/>
              <w:rPr>
                <w:sz w:val="16"/>
                <w:szCs w:val="16"/>
              </w:rPr>
            </w:pPr>
            <w:r w:rsidRPr="00A41AC7">
              <w:rPr>
                <w:sz w:val="16"/>
                <w:szCs w:val="16"/>
              </w:rPr>
              <w:t>12.5</w:t>
            </w:r>
          </w:p>
        </w:tc>
        <w:tc>
          <w:tcPr>
            <w:tcW w:w="1263" w:type="dxa"/>
            <w:tcBorders>
              <w:top w:val="nil"/>
              <w:left w:val="nil"/>
              <w:bottom w:val="nil"/>
              <w:right w:val="nil"/>
            </w:tcBorders>
            <w:shd w:val="clear" w:color="auto" w:fill="auto"/>
            <w:noWrap/>
            <w:vAlign w:val="center"/>
            <w:hideMark/>
          </w:tcPr>
          <w:p w14:paraId="1DB20329" w14:textId="77777777" w:rsidR="008A1E55" w:rsidRPr="00A41AC7" w:rsidRDefault="008A1E55" w:rsidP="004F65CD">
            <w:pPr>
              <w:jc w:val="right"/>
              <w:rPr>
                <w:sz w:val="16"/>
                <w:szCs w:val="16"/>
              </w:rPr>
            </w:pPr>
            <w:r w:rsidRPr="00A41AC7">
              <w:rPr>
                <w:sz w:val="16"/>
                <w:szCs w:val="16"/>
              </w:rPr>
              <w:t>975,178</w:t>
            </w:r>
          </w:p>
        </w:tc>
        <w:tc>
          <w:tcPr>
            <w:tcW w:w="876" w:type="dxa"/>
            <w:tcBorders>
              <w:top w:val="nil"/>
              <w:left w:val="nil"/>
              <w:bottom w:val="nil"/>
              <w:right w:val="nil"/>
            </w:tcBorders>
            <w:shd w:val="clear" w:color="auto" w:fill="auto"/>
            <w:noWrap/>
            <w:vAlign w:val="center"/>
            <w:hideMark/>
          </w:tcPr>
          <w:p w14:paraId="512FF8A9" w14:textId="77777777" w:rsidR="008A1E55" w:rsidRPr="00A41AC7" w:rsidRDefault="008A1E55" w:rsidP="004F65CD">
            <w:pPr>
              <w:jc w:val="right"/>
              <w:rPr>
                <w:sz w:val="16"/>
                <w:szCs w:val="16"/>
              </w:rPr>
            </w:pPr>
            <w:r w:rsidRPr="00A41AC7">
              <w:rPr>
                <w:sz w:val="16"/>
                <w:szCs w:val="16"/>
              </w:rPr>
              <w:t>12.7</w:t>
            </w:r>
          </w:p>
        </w:tc>
        <w:tc>
          <w:tcPr>
            <w:tcW w:w="1105" w:type="dxa"/>
            <w:tcBorders>
              <w:top w:val="nil"/>
              <w:left w:val="nil"/>
              <w:bottom w:val="nil"/>
              <w:right w:val="nil"/>
            </w:tcBorders>
            <w:shd w:val="clear" w:color="auto" w:fill="auto"/>
            <w:noWrap/>
            <w:vAlign w:val="center"/>
            <w:hideMark/>
          </w:tcPr>
          <w:p w14:paraId="38635126" w14:textId="77777777" w:rsidR="008A1E55" w:rsidRPr="00A41AC7" w:rsidRDefault="008A1E55" w:rsidP="004F65CD">
            <w:pPr>
              <w:jc w:val="right"/>
              <w:rPr>
                <w:sz w:val="16"/>
                <w:szCs w:val="16"/>
              </w:rPr>
            </w:pPr>
            <w:r w:rsidRPr="00A41AC7">
              <w:rPr>
                <w:sz w:val="16"/>
                <w:szCs w:val="16"/>
              </w:rPr>
              <w:t>1,136</w:t>
            </w:r>
          </w:p>
        </w:tc>
        <w:tc>
          <w:tcPr>
            <w:tcW w:w="1015" w:type="dxa"/>
            <w:tcBorders>
              <w:top w:val="nil"/>
              <w:left w:val="nil"/>
              <w:bottom w:val="nil"/>
              <w:right w:val="nil"/>
            </w:tcBorders>
            <w:shd w:val="clear" w:color="auto" w:fill="auto"/>
            <w:noWrap/>
            <w:vAlign w:val="center"/>
            <w:hideMark/>
          </w:tcPr>
          <w:p w14:paraId="552CEBE8" w14:textId="77777777" w:rsidR="008A1E55" w:rsidRPr="00A41AC7" w:rsidRDefault="008A1E55" w:rsidP="004F65CD">
            <w:pPr>
              <w:jc w:val="right"/>
              <w:rPr>
                <w:sz w:val="16"/>
                <w:szCs w:val="16"/>
              </w:rPr>
            </w:pPr>
            <w:r w:rsidRPr="00A41AC7">
              <w:rPr>
                <w:sz w:val="16"/>
                <w:szCs w:val="16"/>
              </w:rPr>
              <w:t>0.6</w:t>
            </w:r>
          </w:p>
        </w:tc>
      </w:tr>
      <w:tr w:rsidR="006B42D6" w:rsidRPr="006B42D6" w14:paraId="2163723D" w14:textId="77777777" w:rsidTr="00DE248A">
        <w:trPr>
          <w:trHeight w:val="283"/>
        </w:trPr>
        <w:tc>
          <w:tcPr>
            <w:tcW w:w="2694" w:type="dxa"/>
            <w:tcBorders>
              <w:top w:val="nil"/>
              <w:left w:val="nil"/>
              <w:bottom w:val="nil"/>
              <w:right w:val="nil"/>
            </w:tcBorders>
            <w:shd w:val="clear" w:color="auto" w:fill="auto"/>
            <w:vAlign w:val="center"/>
            <w:hideMark/>
          </w:tcPr>
          <w:p w14:paraId="6B0E4602" w14:textId="77777777" w:rsidR="008A1E55" w:rsidRPr="00A41AC7" w:rsidRDefault="008A1E55" w:rsidP="00E16CAE">
            <w:pPr>
              <w:rPr>
                <w:sz w:val="16"/>
                <w:szCs w:val="16"/>
              </w:rPr>
            </w:pPr>
            <w:r w:rsidRPr="00A41AC7">
              <w:rPr>
                <w:sz w:val="16"/>
                <w:szCs w:val="16"/>
              </w:rPr>
              <w:t>Covered rainwater catchment</w:t>
            </w:r>
          </w:p>
        </w:tc>
        <w:tc>
          <w:tcPr>
            <w:tcW w:w="1134" w:type="dxa"/>
            <w:tcBorders>
              <w:top w:val="nil"/>
              <w:left w:val="nil"/>
              <w:bottom w:val="nil"/>
              <w:right w:val="nil"/>
            </w:tcBorders>
            <w:shd w:val="clear" w:color="auto" w:fill="auto"/>
            <w:noWrap/>
            <w:vAlign w:val="center"/>
            <w:hideMark/>
          </w:tcPr>
          <w:p w14:paraId="1DA0BC5B" w14:textId="77777777" w:rsidR="008A1E55" w:rsidRPr="00A41AC7" w:rsidRDefault="008A1E55" w:rsidP="004F65CD">
            <w:pPr>
              <w:jc w:val="right"/>
              <w:rPr>
                <w:sz w:val="16"/>
                <w:szCs w:val="16"/>
              </w:rPr>
            </w:pPr>
            <w:r w:rsidRPr="00A41AC7">
              <w:rPr>
                <w:sz w:val="16"/>
                <w:szCs w:val="16"/>
              </w:rPr>
              <w:t>83,129</w:t>
            </w:r>
          </w:p>
        </w:tc>
        <w:tc>
          <w:tcPr>
            <w:tcW w:w="1121" w:type="dxa"/>
            <w:tcBorders>
              <w:top w:val="nil"/>
              <w:left w:val="nil"/>
              <w:bottom w:val="nil"/>
              <w:right w:val="nil"/>
            </w:tcBorders>
            <w:shd w:val="clear" w:color="auto" w:fill="auto"/>
            <w:noWrap/>
            <w:vAlign w:val="center"/>
            <w:hideMark/>
          </w:tcPr>
          <w:p w14:paraId="3A66ABD3" w14:textId="77777777" w:rsidR="008A1E55" w:rsidRPr="00A41AC7" w:rsidRDefault="008A1E55" w:rsidP="004F65CD">
            <w:pPr>
              <w:jc w:val="right"/>
              <w:rPr>
                <w:sz w:val="16"/>
                <w:szCs w:val="16"/>
              </w:rPr>
            </w:pPr>
            <w:r w:rsidRPr="00A41AC7">
              <w:rPr>
                <w:sz w:val="16"/>
                <w:szCs w:val="16"/>
              </w:rPr>
              <w:t>1.1</w:t>
            </w:r>
          </w:p>
        </w:tc>
        <w:tc>
          <w:tcPr>
            <w:tcW w:w="1263" w:type="dxa"/>
            <w:tcBorders>
              <w:top w:val="nil"/>
              <w:left w:val="nil"/>
              <w:bottom w:val="nil"/>
              <w:right w:val="nil"/>
            </w:tcBorders>
            <w:shd w:val="clear" w:color="auto" w:fill="auto"/>
            <w:noWrap/>
            <w:vAlign w:val="center"/>
            <w:hideMark/>
          </w:tcPr>
          <w:p w14:paraId="0FDAA369" w14:textId="77777777" w:rsidR="008A1E55" w:rsidRPr="00A41AC7" w:rsidRDefault="008A1E55" w:rsidP="004F65CD">
            <w:pPr>
              <w:jc w:val="right"/>
              <w:rPr>
                <w:sz w:val="16"/>
                <w:szCs w:val="16"/>
              </w:rPr>
            </w:pPr>
            <w:r w:rsidRPr="00A41AC7">
              <w:rPr>
                <w:sz w:val="16"/>
                <w:szCs w:val="16"/>
              </w:rPr>
              <w:t>83,072</w:t>
            </w:r>
          </w:p>
        </w:tc>
        <w:tc>
          <w:tcPr>
            <w:tcW w:w="876" w:type="dxa"/>
            <w:tcBorders>
              <w:top w:val="nil"/>
              <w:left w:val="nil"/>
              <w:bottom w:val="nil"/>
              <w:right w:val="nil"/>
            </w:tcBorders>
            <w:shd w:val="clear" w:color="auto" w:fill="auto"/>
            <w:noWrap/>
            <w:vAlign w:val="center"/>
            <w:hideMark/>
          </w:tcPr>
          <w:p w14:paraId="51BB99E2" w14:textId="77777777" w:rsidR="008A1E55" w:rsidRPr="00A41AC7" w:rsidRDefault="008A1E55" w:rsidP="004F65CD">
            <w:pPr>
              <w:jc w:val="right"/>
              <w:rPr>
                <w:sz w:val="16"/>
                <w:szCs w:val="16"/>
              </w:rPr>
            </w:pPr>
            <w:r w:rsidRPr="00A41AC7">
              <w:rPr>
                <w:sz w:val="16"/>
                <w:szCs w:val="16"/>
              </w:rPr>
              <w:t>1.1</w:t>
            </w:r>
          </w:p>
        </w:tc>
        <w:tc>
          <w:tcPr>
            <w:tcW w:w="1105" w:type="dxa"/>
            <w:tcBorders>
              <w:top w:val="nil"/>
              <w:left w:val="nil"/>
              <w:bottom w:val="nil"/>
              <w:right w:val="nil"/>
            </w:tcBorders>
            <w:shd w:val="clear" w:color="auto" w:fill="auto"/>
            <w:noWrap/>
            <w:vAlign w:val="center"/>
            <w:hideMark/>
          </w:tcPr>
          <w:p w14:paraId="250B496C" w14:textId="77777777" w:rsidR="008A1E55" w:rsidRPr="00A41AC7" w:rsidRDefault="008A1E55" w:rsidP="004F65CD">
            <w:pPr>
              <w:jc w:val="right"/>
              <w:rPr>
                <w:sz w:val="16"/>
                <w:szCs w:val="16"/>
              </w:rPr>
            </w:pPr>
            <w:r w:rsidRPr="00A41AC7">
              <w:rPr>
                <w:sz w:val="16"/>
                <w:szCs w:val="16"/>
              </w:rPr>
              <w:t>57</w:t>
            </w:r>
          </w:p>
        </w:tc>
        <w:tc>
          <w:tcPr>
            <w:tcW w:w="1015" w:type="dxa"/>
            <w:tcBorders>
              <w:top w:val="nil"/>
              <w:left w:val="nil"/>
              <w:bottom w:val="nil"/>
              <w:right w:val="nil"/>
            </w:tcBorders>
            <w:shd w:val="clear" w:color="auto" w:fill="auto"/>
            <w:noWrap/>
            <w:vAlign w:val="center"/>
            <w:hideMark/>
          </w:tcPr>
          <w:p w14:paraId="3D0C714D" w14:textId="77777777" w:rsidR="008A1E55" w:rsidRPr="00A41AC7" w:rsidRDefault="008A1E55" w:rsidP="004F65CD">
            <w:pPr>
              <w:jc w:val="right"/>
              <w:rPr>
                <w:sz w:val="16"/>
                <w:szCs w:val="16"/>
              </w:rPr>
            </w:pPr>
            <w:r w:rsidRPr="00A41AC7">
              <w:rPr>
                <w:sz w:val="16"/>
                <w:szCs w:val="16"/>
              </w:rPr>
              <w:t>0.03</w:t>
            </w:r>
          </w:p>
        </w:tc>
      </w:tr>
      <w:tr w:rsidR="006B42D6" w:rsidRPr="006B42D6" w14:paraId="0BF94566" w14:textId="77777777" w:rsidTr="00DE248A">
        <w:trPr>
          <w:trHeight w:val="283"/>
        </w:trPr>
        <w:tc>
          <w:tcPr>
            <w:tcW w:w="2694" w:type="dxa"/>
            <w:tcBorders>
              <w:top w:val="nil"/>
              <w:left w:val="nil"/>
              <w:bottom w:val="nil"/>
              <w:right w:val="nil"/>
            </w:tcBorders>
            <w:shd w:val="clear" w:color="auto" w:fill="auto"/>
            <w:vAlign w:val="center"/>
            <w:hideMark/>
          </w:tcPr>
          <w:p w14:paraId="7F224AC6" w14:textId="77777777" w:rsidR="008A1E55" w:rsidRPr="00A41AC7" w:rsidRDefault="008A1E55" w:rsidP="00E16CAE">
            <w:pPr>
              <w:rPr>
                <w:sz w:val="16"/>
                <w:szCs w:val="16"/>
              </w:rPr>
            </w:pPr>
            <w:r w:rsidRPr="00A41AC7">
              <w:rPr>
                <w:sz w:val="16"/>
                <w:szCs w:val="16"/>
              </w:rPr>
              <w:t>Uncovered rainwater catchment</w:t>
            </w:r>
          </w:p>
        </w:tc>
        <w:tc>
          <w:tcPr>
            <w:tcW w:w="1134" w:type="dxa"/>
            <w:tcBorders>
              <w:top w:val="nil"/>
              <w:left w:val="nil"/>
              <w:bottom w:val="nil"/>
              <w:right w:val="nil"/>
            </w:tcBorders>
            <w:shd w:val="clear" w:color="auto" w:fill="auto"/>
            <w:noWrap/>
            <w:vAlign w:val="center"/>
            <w:hideMark/>
          </w:tcPr>
          <w:p w14:paraId="619B8C1B" w14:textId="77777777" w:rsidR="008A1E55" w:rsidRPr="00A41AC7" w:rsidRDefault="008A1E55" w:rsidP="004F65CD">
            <w:pPr>
              <w:jc w:val="right"/>
              <w:rPr>
                <w:sz w:val="16"/>
                <w:szCs w:val="16"/>
              </w:rPr>
            </w:pPr>
            <w:r w:rsidRPr="00A41AC7">
              <w:rPr>
                <w:sz w:val="16"/>
                <w:szCs w:val="16"/>
              </w:rPr>
              <w:t>156,270</w:t>
            </w:r>
          </w:p>
        </w:tc>
        <w:tc>
          <w:tcPr>
            <w:tcW w:w="1121" w:type="dxa"/>
            <w:tcBorders>
              <w:top w:val="nil"/>
              <w:left w:val="nil"/>
              <w:bottom w:val="nil"/>
              <w:right w:val="nil"/>
            </w:tcBorders>
            <w:shd w:val="clear" w:color="auto" w:fill="auto"/>
            <w:noWrap/>
            <w:vAlign w:val="center"/>
            <w:hideMark/>
          </w:tcPr>
          <w:p w14:paraId="275AE384" w14:textId="77777777" w:rsidR="008A1E55" w:rsidRPr="00A41AC7" w:rsidRDefault="008A1E55" w:rsidP="004F65CD">
            <w:pPr>
              <w:jc w:val="right"/>
              <w:rPr>
                <w:sz w:val="16"/>
                <w:szCs w:val="16"/>
              </w:rPr>
            </w:pPr>
            <w:r w:rsidRPr="00A41AC7">
              <w:rPr>
                <w:sz w:val="16"/>
                <w:szCs w:val="16"/>
              </w:rPr>
              <w:t>2.0</w:t>
            </w:r>
          </w:p>
        </w:tc>
        <w:tc>
          <w:tcPr>
            <w:tcW w:w="1263" w:type="dxa"/>
            <w:tcBorders>
              <w:top w:val="nil"/>
              <w:left w:val="nil"/>
              <w:bottom w:val="nil"/>
              <w:right w:val="nil"/>
            </w:tcBorders>
            <w:shd w:val="clear" w:color="auto" w:fill="auto"/>
            <w:noWrap/>
            <w:vAlign w:val="center"/>
            <w:hideMark/>
          </w:tcPr>
          <w:p w14:paraId="64D71485" w14:textId="77777777" w:rsidR="008A1E55" w:rsidRPr="00A41AC7" w:rsidRDefault="008A1E55" w:rsidP="004F65CD">
            <w:pPr>
              <w:jc w:val="right"/>
              <w:rPr>
                <w:sz w:val="16"/>
                <w:szCs w:val="16"/>
              </w:rPr>
            </w:pPr>
            <w:r w:rsidRPr="00A41AC7">
              <w:rPr>
                <w:sz w:val="16"/>
                <w:szCs w:val="16"/>
              </w:rPr>
              <w:t>156,216</w:t>
            </w:r>
          </w:p>
        </w:tc>
        <w:tc>
          <w:tcPr>
            <w:tcW w:w="876" w:type="dxa"/>
            <w:tcBorders>
              <w:top w:val="nil"/>
              <w:left w:val="nil"/>
              <w:bottom w:val="nil"/>
              <w:right w:val="nil"/>
            </w:tcBorders>
            <w:shd w:val="clear" w:color="auto" w:fill="auto"/>
            <w:noWrap/>
            <w:vAlign w:val="center"/>
            <w:hideMark/>
          </w:tcPr>
          <w:p w14:paraId="2A3B1CCB" w14:textId="77777777" w:rsidR="008A1E55" w:rsidRPr="00A41AC7" w:rsidRDefault="008A1E55" w:rsidP="004F65CD">
            <w:pPr>
              <w:jc w:val="right"/>
              <w:rPr>
                <w:sz w:val="16"/>
                <w:szCs w:val="16"/>
              </w:rPr>
            </w:pPr>
            <w:r w:rsidRPr="00A41AC7">
              <w:rPr>
                <w:sz w:val="16"/>
                <w:szCs w:val="16"/>
              </w:rPr>
              <w:t>2.0</w:t>
            </w:r>
          </w:p>
        </w:tc>
        <w:tc>
          <w:tcPr>
            <w:tcW w:w="1105" w:type="dxa"/>
            <w:tcBorders>
              <w:top w:val="nil"/>
              <w:left w:val="nil"/>
              <w:bottom w:val="nil"/>
              <w:right w:val="nil"/>
            </w:tcBorders>
            <w:shd w:val="clear" w:color="auto" w:fill="auto"/>
            <w:noWrap/>
            <w:vAlign w:val="center"/>
            <w:hideMark/>
          </w:tcPr>
          <w:p w14:paraId="38CC4F7E" w14:textId="77777777" w:rsidR="008A1E55" w:rsidRPr="00A41AC7" w:rsidRDefault="008A1E55" w:rsidP="004F65CD">
            <w:pPr>
              <w:jc w:val="right"/>
              <w:rPr>
                <w:sz w:val="16"/>
                <w:szCs w:val="16"/>
              </w:rPr>
            </w:pPr>
            <w:r w:rsidRPr="00A41AC7">
              <w:rPr>
                <w:sz w:val="16"/>
                <w:szCs w:val="16"/>
              </w:rPr>
              <w:t>54</w:t>
            </w:r>
          </w:p>
        </w:tc>
        <w:tc>
          <w:tcPr>
            <w:tcW w:w="1015" w:type="dxa"/>
            <w:tcBorders>
              <w:top w:val="nil"/>
              <w:left w:val="nil"/>
              <w:bottom w:val="nil"/>
              <w:right w:val="nil"/>
            </w:tcBorders>
            <w:shd w:val="clear" w:color="auto" w:fill="auto"/>
            <w:noWrap/>
            <w:vAlign w:val="center"/>
            <w:hideMark/>
          </w:tcPr>
          <w:p w14:paraId="11127403" w14:textId="77777777" w:rsidR="008A1E55" w:rsidRPr="00A41AC7" w:rsidRDefault="008A1E55" w:rsidP="004F65CD">
            <w:pPr>
              <w:jc w:val="right"/>
              <w:rPr>
                <w:sz w:val="16"/>
                <w:szCs w:val="16"/>
              </w:rPr>
            </w:pPr>
            <w:r w:rsidRPr="00A41AC7">
              <w:rPr>
                <w:sz w:val="16"/>
                <w:szCs w:val="16"/>
              </w:rPr>
              <w:t>0.03</w:t>
            </w:r>
          </w:p>
        </w:tc>
      </w:tr>
      <w:tr w:rsidR="006B42D6" w:rsidRPr="006B42D6" w14:paraId="371C2890" w14:textId="77777777" w:rsidTr="00DE248A">
        <w:trPr>
          <w:trHeight w:val="283"/>
        </w:trPr>
        <w:tc>
          <w:tcPr>
            <w:tcW w:w="2694" w:type="dxa"/>
            <w:tcBorders>
              <w:top w:val="nil"/>
              <w:left w:val="nil"/>
              <w:bottom w:val="nil"/>
              <w:right w:val="nil"/>
            </w:tcBorders>
            <w:shd w:val="clear" w:color="auto" w:fill="auto"/>
            <w:vAlign w:val="center"/>
            <w:hideMark/>
          </w:tcPr>
          <w:p w14:paraId="74E81745" w14:textId="77777777" w:rsidR="008A1E55" w:rsidRPr="00A41AC7" w:rsidRDefault="008A1E55" w:rsidP="00E16CAE">
            <w:pPr>
              <w:rPr>
                <w:sz w:val="16"/>
                <w:szCs w:val="16"/>
              </w:rPr>
            </w:pPr>
            <w:r w:rsidRPr="00A41AC7">
              <w:rPr>
                <w:sz w:val="16"/>
                <w:szCs w:val="16"/>
              </w:rPr>
              <w:t>Water Vendor</w:t>
            </w:r>
          </w:p>
        </w:tc>
        <w:tc>
          <w:tcPr>
            <w:tcW w:w="1134" w:type="dxa"/>
            <w:tcBorders>
              <w:top w:val="nil"/>
              <w:left w:val="nil"/>
              <w:bottom w:val="nil"/>
              <w:right w:val="nil"/>
            </w:tcBorders>
            <w:shd w:val="clear" w:color="auto" w:fill="auto"/>
            <w:noWrap/>
            <w:vAlign w:val="center"/>
            <w:hideMark/>
          </w:tcPr>
          <w:p w14:paraId="06D19B45" w14:textId="77777777" w:rsidR="008A1E55" w:rsidRPr="00A41AC7" w:rsidRDefault="008A1E55" w:rsidP="004F65CD">
            <w:pPr>
              <w:jc w:val="right"/>
              <w:rPr>
                <w:sz w:val="16"/>
                <w:szCs w:val="16"/>
              </w:rPr>
            </w:pPr>
            <w:r w:rsidRPr="00A41AC7">
              <w:rPr>
                <w:sz w:val="16"/>
                <w:szCs w:val="16"/>
              </w:rPr>
              <w:t>53,199</w:t>
            </w:r>
          </w:p>
        </w:tc>
        <w:tc>
          <w:tcPr>
            <w:tcW w:w="1121" w:type="dxa"/>
            <w:tcBorders>
              <w:top w:val="nil"/>
              <w:left w:val="nil"/>
              <w:bottom w:val="nil"/>
              <w:right w:val="nil"/>
            </w:tcBorders>
            <w:shd w:val="clear" w:color="auto" w:fill="auto"/>
            <w:noWrap/>
            <w:vAlign w:val="center"/>
            <w:hideMark/>
          </w:tcPr>
          <w:p w14:paraId="323E5A71" w14:textId="77777777" w:rsidR="008A1E55" w:rsidRPr="00A41AC7" w:rsidRDefault="008A1E55" w:rsidP="004F65CD">
            <w:pPr>
              <w:jc w:val="right"/>
              <w:rPr>
                <w:sz w:val="16"/>
                <w:szCs w:val="16"/>
              </w:rPr>
            </w:pPr>
            <w:r w:rsidRPr="00A41AC7">
              <w:rPr>
                <w:sz w:val="16"/>
                <w:szCs w:val="16"/>
              </w:rPr>
              <w:t>0.7</w:t>
            </w:r>
          </w:p>
        </w:tc>
        <w:tc>
          <w:tcPr>
            <w:tcW w:w="1263" w:type="dxa"/>
            <w:tcBorders>
              <w:top w:val="nil"/>
              <w:left w:val="nil"/>
              <w:bottom w:val="nil"/>
              <w:right w:val="nil"/>
            </w:tcBorders>
            <w:shd w:val="clear" w:color="auto" w:fill="auto"/>
            <w:noWrap/>
            <w:vAlign w:val="center"/>
            <w:hideMark/>
          </w:tcPr>
          <w:p w14:paraId="1D20799E" w14:textId="77777777" w:rsidR="008A1E55" w:rsidRPr="00A41AC7" w:rsidRDefault="008A1E55" w:rsidP="004F65CD">
            <w:pPr>
              <w:jc w:val="right"/>
              <w:rPr>
                <w:sz w:val="16"/>
                <w:szCs w:val="16"/>
              </w:rPr>
            </w:pPr>
            <w:r w:rsidRPr="00A41AC7">
              <w:rPr>
                <w:sz w:val="16"/>
                <w:szCs w:val="16"/>
              </w:rPr>
              <w:t>53,058</w:t>
            </w:r>
          </w:p>
        </w:tc>
        <w:tc>
          <w:tcPr>
            <w:tcW w:w="876" w:type="dxa"/>
            <w:tcBorders>
              <w:top w:val="nil"/>
              <w:left w:val="nil"/>
              <w:bottom w:val="nil"/>
              <w:right w:val="nil"/>
            </w:tcBorders>
            <w:shd w:val="clear" w:color="auto" w:fill="auto"/>
            <w:noWrap/>
            <w:vAlign w:val="center"/>
            <w:hideMark/>
          </w:tcPr>
          <w:p w14:paraId="01E670B4" w14:textId="77777777" w:rsidR="008A1E55" w:rsidRPr="00A41AC7" w:rsidRDefault="008A1E55" w:rsidP="004F65CD">
            <w:pPr>
              <w:jc w:val="right"/>
              <w:rPr>
                <w:sz w:val="16"/>
                <w:szCs w:val="16"/>
              </w:rPr>
            </w:pPr>
            <w:r w:rsidRPr="00A41AC7">
              <w:rPr>
                <w:sz w:val="16"/>
                <w:szCs w:val="16"/>
              </w:rPr>
              <w:t>0.7</w:t>
            </w:r>
          </w:p>
        </w:tc>
        <w:tc>
          <w:tcPr>
            <w:tcW w:w="1105" w:type="dxa"/>
            <w:tcBorders>
              <w:top w:val="nil"/>
              <w:left w:val="nil"/>
              <w:bottom w:val="nil"/>
              <w:right w:val="nil"/>
            </w:tcBorders>
            <w:shd w:val="clear" w:color="auto" w:fill="auto"/>
            <w:noWrap/>
            <w:vAlign w:val="center"/>
            <w:hideMark/>
          </w:tcPr>
          <w:p w14:paraId="007E55C1" w14:textId="77777777" w:rsidR="008A1E55" w:rsidRPr="00A41AC7" w:rsidRDefault="008A1E55" w:rsidP="004F65CD">
            <w:pPr>
              <w:jc w:val="right"/>
              <w:rPr>
                <w:sz w:val="16"/>
                <w:szCs w:val="16"/>
              </w:rPr>
            </w:pPr>
            <w:r w:rsidRPr="00A41AC7">
              <w:rPr>
                <w:sz w:val="16"/>
                <w:szCs w:val="16"/>
              </w:rPr>
              <w:t>141</w:t>
            </w:r>
          </w:p>
        </w:tc>
        <w:tc>
          <w:tcPr>
            <w:tcW w:w="1015" w:type="dxa"/>
            <w:tcBorders>
              <w:top w:val="nil"/>
              <w:left w:val="nil"/>
              <w:bottom w:val="nil"/>
              <w:right w:val="nil"/>
            </w:tcBorders>
            <w:shd w:val="clear" w:color="auto" w:fill="auto"/>
            <w:noWrap/>
            <w:vAlign w:val="center"/>
            <w:hideMark/>
          </w:tcPr>
          <w:p w14:paraId="09AC6E9D" w14:textId="77777777" w:rsidR="008A1E55" w:rsidRPr="00A41AC7" w:rsidRDefault="008A1E55" w:rsidP="004F65CD">
            <w:pPr>
              <w:jc w:val="right"/>
              <w:rPr>
                <w:sz w:val="16"/>
                <w:szCs w:val="16"/>
              </w:rPr>
            </w:pPr>
            <w:r w:rsidRPr="00A41AC7">
              <w:rPr>
                <w:sz w:val="16"/>
                <w:szCs w:val="16"/>
              </w:rPr>
              <w:t>0.1</w:t>
            </w:r>
          </w:p>
        </w:tc>
      </w:tr>
      <w:tr w:rsidR="006B42D6" w:rsidRPr="006B42D6" w14:paraId="4BD1D507" w14:textId="77777777" w:rsidTr="00DE248A">
        <w:trPr>
          <w:trHeight w:val="283"/>
        </w:trPr>
        <w:tc>
          <w:tcPr>
            <w:tcW w:w="2694" w:type="dxa"/>
            <w:tcBorders>
              <w:top w:val="nil"/>
              <w:left w:val="nil"/>
              <w:bottom w:val="nil"/>
              <w:right w:val="nil"/>
            </w:tcBorders>
            <w:shd w:val="clear" w:color="auto" w:fill="auto"/>
            <w:vAlign w:val="center"/>
            <w:hideMark/>
          </w:tcPr>
          <w:p w14:paraId="4E4CF77B" w14:textId="77777777" w:rsidR="008A1E55" w:rsidRPr="00A41AC7" w:rsidRDefault="008A1E55" w:rsidP="00E16CAE">
            <w:pPr>
              <w:rPr>
                <w:sz w:val="16"/>
                <w:szCs w:val="16"/>
              </w:rPr>
            </w:pPr>
            <w:r w:rsidRPr="00A41AC7">
              <w:rPr>
                <w:sz w:val="16"/>
                <w:szCs w:val="16"/>
              </w:rPr>
              <w:t>Tanker truck</w:t>
            </w:r>
          </w:p>
        </w:tc>
        <w:tc>
          <w:tcPr>
            <w:tcW w:w="1134" w:type="dxa"/>
            <w:tcBorders>
              <w:top w:val="nil"/>
              <w:left w:val="nil"/>
              <w:bottom w:val="nil"/>
              <w:right w:val="nil"/>
            </w:tcBorders>
            <w:shd w:val="clear" w:color="auto" w:fill="auto"/>
            <w:noWrap/>
            <w:vAlign w:val="center"/>
            <w:hideMark/>
          </w:tcPr>
          <w:p w14:paraId="79BF0D8F" w14:textId="77777777" w:rsidR="008A1E55" w:rsidRPr="00A41AC7" w:rsidRDefault="008A1E55" w:rsidP="004F65CD">
            <w:pPr>
              <w:jc w:val="right"/>
              <w:rPr>
                <w:sz w:val="16"/>
                <w:szCs w:val="16"/>
              </w:rPr>
            </w:pPr>
            <w:r w:rsidRPr="00A41AC7">
              <w:rPr>
                <w:sz w:val="16"/>
                <w:szCs w:val="16"/>
              </w:rPr>
              <w:t>8,489</w:t>
            </w:r>
          </w:p>
        </w:tc>
        <w:tc>
          <w:tcPr>
            <w:tcW w:w="1121" w:type="dxa"/>
            <w:tcBorders>
              <w:top w:val="nil"/>
              <w:left w:val="nil"/>
              <w:bottom w:val="nil"/>
              <w:right w:val="nil"/>
            </w:tcBorders>
            <w:shd w:val="clear" w:color="auto" w:fill="auto"/>
            <w:noWrap/>
            <w:vAlign w:val="center"/>
            <w:hideMark/>
          </w:tcPr>
          <w:p w14:paraId="31782C06" w14:textId="77777777" w:rsidR="008A1E55" w:rsidRPr="00A41AC7" w:rsidRDefault="008A1E55" w:rsidP="004F65CD">
            <w:pPr>
              <w:jc w:val="right"/>
              <w:rPr>
                <w:sz w:val="16"/>
                <w:szCs w:val="16"/>
              </w:rPr>
            </w:pPr>
            <w:r w:rsidRPr="00A41AC7">
              <w:rPr>
                <w:sz w:val="16"/>
                <w:szCs w:val="16"/>
              </w:rPr>
              <w:t>0.1</w:t>
            </w:r>
          </w:p>
        </w:tc>
        <w:tc>
          <w:tcPr>
            <w:tcW w:w="1263" w:type="dxa"/>
            <w:tcBorders>
              <w:top w:val="nil"/>
              <w:left w:val="nil"/>
              <w:bottom w:val="nil"/>
              <w:right w:val="nil"/>
            </w:tcBorders>
            <w:shd w:val="clear" w:color="auto" w:fill="auto"/>
            <w:noWrap/>
            <w:vAlign w:val="center"/>
            <w:hideMark/>
          </w:tcPr>
          <w:p w14:paraId="6A3DAC6E" w14:textId="77777777" w:rsidR="008A1E55" w:rsidRPr="00A41AC7" w:rsidRDefault="008A1E55" w:rsidP="004F65CD">
            <w:pPr>
              <w:jc w:val="right"/>
              <w:rPr>
                <w:sz w:val="16"/>
                <w:szCs w:val="16"/>
              </w:rPr>
            </w:pPr>
            <w:r w:rsidRPr="00A41AC7">
              <w:rPr>
                <w:sz w:val="16"/>
                <w:szCs w:val="16"/>
              </w:rPr>
              <w:t>8,375</w:t>
            </w:r>
          </w:p>
        </w:tc>
        <w:tc>
          <w:tcPr>
            <w:tcW w:w="876" w:type="dxa"/>
            <w:tcBorders>
              <w:top w:val="nil"/>
              <w:left w:val="nil"/>
              <w:bottom w:val="nil"/>
              <w:right w:val="nil"/>
            </w:tcBorders>
            <w:shd w:val="clear" w:color="auto" w:fill="auto"/>
            <w:noWrap/>
            <w:vAlign w:val="center"/>
            <w:hideMark/>
          </w:tcPr>
          <w:p w14:paraId="5B0CF863" w14:textId="77777777" w:rsidR="008A1E55" w:rsidRPr="00A41AC7" w:rsidRDefault="008A1E55" w:rsidP="004F65CD">
            <w:pPr>
              <w:jc w:val="right"/>
              <w:rPr>
                <w:sz w:val="16"/>
                <w:szCs w:val="16"/>
              </w:rPr>
            </w:pPr>
            <w:r w:rsidRPr="00A41AC7">
              <w:rPr>
                <w:sz w:val="16"/>
                <w:szCs w:val="16"/>
              </w:rPr>
              <w:t>0.1</w:t>
            </w:r>
          </w:p>
        </w:tc>
        <w:tc>
          <w:tcPr>
            <w:tcW w:w="1105" w:type="dxa"/>
            <w:tcBorders>
              <w:top w:val="nil"/>
              <w:left w:val="nil"/>
              <w:bottom w:val="nil"/>
              <w:right w:val="nil"/>
            </w:tcBorders>
            <w:shd w:val="clear" w:color="auto" w:fill="auto"/>
            <w:noWrap/>
            <w:vAlign w:val="center"/>
            <w:hideMark/>
          </w:tcPr>
          <w:p w14:paraId="1BA1D48B" w14:textId="77777777" w:rsidR="008A1E55" w:rsidRPr="00A41AC7" w:rsidRDefault="008A1E55" w:rsidP="004F65CD">
            <w:pPr>
              <w:jc w:val="right"/>
              <w:rPr>
                <w:sz w:val="16"/>
                <w:szCs w:val="16"/>
              </w:rPr>
            </w:pPr>
            <w:r w:rsidRPr="00A41AC7">
              <w:rPr>
                <w:sz w:val="16"/>
                <w:szCs w:val="16"/>
              </w:rPr>
              <w:t>114</w:t>
            </w:r>
          </w:p>
        </w:tc>
        <w:tc>
          <w:tcPr>
            <w:tcW w:w="1015" w:type="dxa"/>
            <w:tcBorders>
              <w:top w:val="nil"/>
              <w:left w:val="nil"/>
              <w:bottom w:val="nil"/>
              <w:right w:val="nil"/>
            </w:tcBorders>
            <w:shd w:val="clear" w:color="auto" w:fill="auto"/>
            <w:noWrap/>
            <w:vAlign w:val="center"/>
            <w:hideMark/>
          </w:tcPr>
          <w:p w14:paraId="2A63A586" w14:textId="77777777" w:rsidR="008A1E55" w:rsidRPr="00A41AC7" w:rsidRDefault="008A1E55" w:rsidP="004F65CD">
            <w:pPr>
              <w:jc w:val="right"/>
              <w:rPr>
                <w:sz w:val="16"/>
                <w:szCs w:val="16"/>
              </w:rPr>
            </w:pPr>
            <w:r w:rsidRPr="00A41AC7">
              <w:rPr>
                <w:sz w:val="16"/>
                <w:szCs w:val="16"/>
              </w:rPr>
              <w:t>0.1</w:t>
            </w:r>
          </w:p>
        </w:tc>
      </w:tr>
      <w:tr w:rsidR="006B42D6" w:rsidRPr="006B42D6" w14:paraId="35CEABE0" w14:textId="77777777" w:rsidTr="00DE248A">
        <w:trPr>
          <w:trHeight w:val="283"/>
        </w:trPr>
        <w:tc>
          <w:tcPr>
            <w:tcW w:w="2694" w:type="dxa"/>
            <w:tcBorders>
              <w:top w:val="nil"/>
              <w:left w:val="nil"/>
              <w:bottom w:val="nil"/>
              <w:right w:val="nil"/>
            </w:tcBorders>
            <w:shd w:val="clear" w:color="auto" w:fill="auto"/>
            <w:vAlign w:val="center"/>
            <w:hideMark/>
          </w:tcPr>
          <w:p w14:paraId="4BE65518" w14:textId="77777777" w:rsidR="008A1E55" w:rsidRPr="00A41AC7" w:rsidRDefault="008A1E55" w:rsidP="00E16CAE">
            <w:pPr>
              <w:rPr>
                <w:sz w:val="16"/>
                <w:szCs w:val="16"/>
              </w:rPr>
            </w:pPr>
            <w:r w:rsidRPr="00A41AC7">
              <w:rPr>
                <w:sz w:val="16"/>
                <w:szCs w:val="16"/>
              </w:rPr>
              <w:t>Bottled water</w:t>
            </w:r>
          </w:p>
        </w:tc>
        <w:tc>
          <w:tcPr>
            <w:tcW w:w="1134" w:type="dxa"/>
            <w:tcBorders>
              <w:top w:val="nil"/>
              <w:left w:val="nil"/>
              <w:bottom w:val="nil"/>
              <w:right w:val="nil"/>
            </w:tcBorders>
            <w:shd w:val="clear" w:color="auto" w:fill="auto"/>
            <w:noWrap/>
            <w:vAlign w:val="center"/>
            <w:hideMark/>
          </w:tcPr>
          <w:p w14:paraId="5E5B549B" w14:textId="77777777" w:rsidR="008A1E55" w:rsidRPr="00A41AC7" w:rsidRDefault="008A1E55" w:rsidP="004F65CD">
            <w:pPr>
              <w:jc w:val="right"/>
              <w:rPr>
                <w:sz w:val="16"/>
                <w:szCs w:val="16"/>
              </w:rPr>
            </w:pPr>
            <w:r w:rsidRPr="00A41AC7">
              <w:rPr>
                <w:sz w:val="16"/>
                <w:szCs w:val="16"/>
              </w:rPr>
              <w:t>6,016</w:t>
            </w:r>
          </w:p>
        </w:tc>
        <w:tc>
          <w:tcPr>
            <w:tcW w:w="1121" w:type="dxa"/>
            <w:tcBorders>
              <w:top w:val="nil"/>
              <w:left w:val="nil"/>
              <w:bottom w:val="nil"/>
              <w:right w:val="nil"/>
            </w:tcBorders>
            <w:shd w:val="clear" w:color="auto" w:fill="auto"/>
            <w:noWrap/>
            <w:vAlign w:val="center"/>
            <w:hideMark/>
          </w:tcPr>
          <w:p w14:paraId="70C9A4CF" w14:textId="77777777" w:rsidR="008A1E55" w:rsidRPr="00A41AC7" w:rsidRDefault="008A1E55" w:rsidP="004F65CD">
            <w:pPr>
              <w:jc w:val="right"/>
              <w:rPr>
                <w:sz w:val="16"/>
                <w:szCs w:val="16"/>
              </w:rPr>
            </w:pPr>
            <w:r w:rsidRPr="00A41AC7">
              <w:rPr>
                <w:sz w:val="16"/>
                <w:szCs w:val="16"/>
              </w:rPr>
              <w:t>0.1</w:t>
            </w:r>
          </w:p>
        </w:tc>
        <w:tc>
          <w:tcPr>
            <w:tcW w:w="1263" w:type="dxa"/>
            <w:tcBorders>
              <w:top w:val="nil"/>
              <w:left w:val="nil"/>
              <w:bottom w:val="nil"/>
              <w:right w:val="nil"/>
            </w:tcBorders>
            <w:shd w:val="clear" w:color="auto" w:fill="auto"/>
            <w:noWrap/>
            <w:vAlign w:val="center"/>
            <w:hideMark/>
          </w:tcPr>
          <w:p w14:paraId="02C485A0" w14:textId="77777777" w:rsidR="008A1E55" w:rsidRPr="00A41AC7" w:rsidRDefault="008A1E55" w:rsidP="004F65CD">
            <w:pPr>
              <w:jc w:val="right"/>
              <w:rPr>
                <w:sz w:val="16"/>
                <w:szCs w:val="16"/>
              </w:rPr>
            </w:pPr>
            <w:r w:rsidRPr="00A41AC7">
              <w:rPr>
                <w:sz w:val="16"/>
                <w:szCs w:val="16"/>
              </w:rPr>
              <w:t>6,016</w:t>
            </w:r>
          </w:p>
        </w:tc>
        <w:tc>
          <w:tcPr>
            <w:tcW w:w="876" w:type="dxa"/>
            <w:tcBorders>
              <w:top w:val="nil"/>
              <w:left w:val="nil"/>
              <w:bottom w:val="nil"/>
              <w:right w:val="nil"/>
            </w:tcBorders>
            <w:shd w:val="clear" w:color="auto" w:fill="auto"/>
            <w:noWrap/>
            <w:vAlign w:val="center"/>
            <w:hideMark/>
          </w:tcPr>
          <w:p w14:paraId="4846F84E" w14:textId="77777777" w:rsidR="008A1E55" w:rsidRPr="00A41AC7" w:rsidRDefault="008A1E55" w:rsidP="004F65CD">
            <w:pPr>
              <w:jc w:val="right"/>
              <w:rPr>
                <w:sz w:val="16"/>
                <w:szCs w:val="16"/>
              </w:rPr>
            </w:pPr>
            <w:r w:rsidRPr="00A41AC7">
              <w:rPr>
                <w:sz w:val="16"/>
                <w:szCs w:val="16"/>
              </w:rPr>
              <w:t>0.1</w:t>
            </w:r>
          </w:p>
        </w:tc>
        <w:tc>
          <w:tcPr>
            <w:tcW w:w="1105" w:type="dxa"/>
            <w:tcBorders>
              <w:top w:val="nil"/>
              <w:left w:val="nil"/>
              <w:bottom w:val="nil"/>
              <w:right w:val="nil"/>
            </w:tcBorders>
            <w:shd w:val="clear" w:color="auto" w:fill="auto"/>
            <w:noWrap/>
            <w:vAlign w:val="center"/>
            <w:hideMark/>
          </w:tcPr>
          <w:p w14:paraId="65B0B67B" w14:textId="77777777" w:rsidR="008A1E55" w:rsidRPr="00A41AC7" w:rsidRDefault="008A1E55" w:rsidP="004F65CD">
            <w:pPr>
              <w:jc w:val="right"/>
              <w:rPr>
                <w:sz w:val="16"/>
                <w:szCs w:val="16"/>
              </w:rPr>
            </w:pPr>
            <w:r w:rsidRPr="00A41AC7">
              <w:rPr>
                <w:sz w:val="16"/>
                <w:szCs w:val="16"/>
              </w:rPr>
              <w:t>-</w:t>
            </w:r>
          </w:p>
        </w:tc>
        <w:tc>
          <w:tcPr>
            <w:tcW w:w="1015" w:type="dxa"/>
            <w:tcBorders>
              <w:top w:val="nil"/>
              <w:left w:val="nil"/>
              <w:bottom w:val="nil"/>
              <w:right w:val="nil"/>
            </w:tcBorders>
            <w:shd w:val="clear" w:color="auto" w:fill="auto"/>
            <w:noWrap/>
            <w:vAlign w:val="center"/>
            <w:hideMark/>
          </w:tcPr>
          <w:p w14:paraId="47557DFA" w14:textId="77777777" w:rsidR="008A1E55" w:rsidRPr="00A41AC7" w:rsidRDefault="008A1E55" w:rsidP="004F65CD">
            <w:pPr>
              <w:jc w:val="right"/>
              <w:rPr>
                <w:sz w:val="16"/>
                <w:szCs w:val="16"/>
              </w:rPr>
            </w:pPr>
            <w:r w:rsidRPr="00A41AC7">
              <w:rPr>
                <w:sz w:val="16"/>
                <w:szCs w:val="16"/>
              </w:rPr>
              <w:t>-</w:t>
            </w:r>
          </w:p>
        </w:tc>
      </w:tr>
      <w:tr w:rsidR="006B42D6" w:rsidRPr="006B42D6" w14:paraId="34FC451D" w14:textId="77777777" w:rsidTr="00DE248A">
        <w:trPr>
          <w:trHeight w:val="283"/>
        </w:trPr>
        <w:tc>
          <w:tcPr>
            <w:tcW w:w="2694" w:type="dxa"/>
            <w:tcBorders>
              <w:top w:val="nil"/>
              <w:left w:val="nil"/>
              <w:bottom w:val="nil"/>
              <w:right w:val="nil"/>
            </w:tcBorders>
            <w:shd w:val="clear" w:color="auto" w:fill="auto"/>
            <w:vAlign w:val="center"/>
            <w:hideMark/>
          </w:tcPr>
          <w:p w14:paraId="54A471DD" w14:textId="77777777" w:rsidR="008A1E55" w:rsidRPr="00A41AC7" w:rsidRDefault="008A1E55" w:rsidP="00E16CAE">
            <w:pPr>
              <w:rPr>
                <w:sz w:val="16"/>
                <w:szCs w:val="16"/>
              </w:rPr>
            </w:pPr>
            <w:r w:rsidRPr="00A41AC7">
              <w:rPr>
                <w:sz w:val="16"/>
                <w:szCs w:val="16"/>
              </w:rPr>
              <w:t>Borehole</w:t>
            </w:r>
          </w:p>
        </w:tc>
        <w:tc>
          <w:tcPr>
            <w:tcW w:w="1134" w:type="dxa"/>
            <w:tcBorders>
              <w:top w:val="nil"/>
              <w:left w:val="nil"/>
              <w:bottom w:val="nil"/>
              <w:right w:val="nil"/>
            </w:tcBorders>
            <w:shd w:val="clear" w:color="auto" w:fill="auto"/>
            <w:noWrap/>
            <w:vAlign w:val="center"/>
            <w:hideMark/>
          </w:tcPr>
          <w:p w14:paraId="43B0FBAF" w14:textId="77777777" w:rsidR="008A1E55" w:rsidRPr="00A41AC7" w:rsidRDefault="008A1E55" w:rsidP="004F65CD">
            <w:pPr>
              <w:jc w:val="right"/>
              <w:rPr>
                <w:sz w:val="16"/>
                <w:szCs w:val="16"/>
              </w:rPr>
            </w:pPr>
            <w:r w:rsidRPr="00A41AC7">
              <w:rPr>
                <w:sz w:val="16"/>
                <w:szCs w:val="16"/>
              </w:rPr>
              <w:t>131,373</w:t>
            </w:r>
          </w:p>
        </w:tc>
        <w:tc>
          <w:tcPr>
            <w:tcW w:w="1121" w:type="dxa"/>
            <w:tcBorders>
              <w:top w:val="nil"/>
              <w:left w:val="nil"/>
              <w:bottom w:val="nil"/>
              <w:right w:val="nil"/>
            </w:tcBorders>
            <w:shd w:val="clear" w:color="auto" w:fill="auto"/>
            <w:noWrap/>
            <w:vAlign w:val="center"/>
            <w:hideMark/>
          </w:tcPr>
          <w:p w14:paraId="77B43E97" w14:textId="77777777" w:rsidR="008A1E55" w:rsidRPr="00A41AC7" w:rsidRDefault="008A1E55" w:rsidP="004F65CD">
            <w:pPr>
              <w:jc w:val="right"/>
              <w:rPr>
                <w:sz w:val="16"/>
                <w:szCs w:val="16"/>
              </w:rPr>
            </w:pPr>
            <w:r w:rsidRPr="00A41AC7">
              <w:rPr>
                <w:sz w:val="16"/>
                <w:szCs w:val="16"/>
              </w:rPr>
              <w:t>1.7</w:t>
            </w:r>
          </w:p>
        </w:tc>
        <w:tc>
          <w:tcPr>
            <w:tcW w:w="1263" w:type="dxa"/>
            <w:tcBorders>
              <w:top w:val="nil"/>
              <w:left w:val="nil"/>
              <w:bottom w:val="nil"/>
              <w:right w:val="nil"/>
            </w:tcBorders>
            <w:shd w:val="clear" w:color="auto" w:fill="auto"/>
            <w:noWrap/>
            <w:vAlign w:val="center"/>
            <w:hideMark/>
          </w:tcPr>
          <w:p w14:paraId="58D214C6" w14:textId="77777777" w:rsidR="008A1E55" w:rsidRPr="00A41AC7" w:rsidRDefault="008A1E55" w:rsidP="004F65CD">
            <w:pPr>
              <w:jc w:val="right"/>
              <w:rPr>
                <w:sz w:val="16"/>
                <w:szCs w:val="16"/>
              </w:rPr>
            </w:pPr>
            <w:r w:rsidRPr="00A41AC7">
              <w:rPr>
                <w:sz w:val="16"/>
                <w:szCs w:val="16"/>
              </w:rPr>
              <w:t>130,706</w:t>
            </w:r>
          </w:p>
        </w:tc>
        <w:tc>
          <w:tcPr>
            <w:tcW w:w="876" w:type="dxa"/>
            <w:tcBorders>
              <w:top w:val="nil"/>
              <w:left w:val="nil"/>
              <w:bottom w:val="nil"/>
              <w:right w:val="nil"/>
            </w:tcBorders>
            <w:shd w:val="clear" w:color="auto" w:fill="auto"/>
            <w:noWrap/>
            <w:vAlign w:val="center"/>
            <w:hideMark/>
          </w:tcPr>
          <w:p w14:paraId="0E73DBC1" w14:textId="77777777" w:rsidR="008A1E55" w:rsidRPr="00A41AC7" w:rsidRDefault="008A1E55" w:rsidP="004F65CD">
            <w:pPr>
              <w:jc w:val="right"/>
              <w:rPr>
                <w:sz w:val="16"/>
                <w:szCs w:val="16"/>
              </w:rPr>
            </w:pPr>
            <w:r w:rsidRPr="00A41AC7">
              <w:rPr>
                <w:sz w:val="16"/>
                <w:szCs w:val="16"/>
              </w:rPr>
              <w:t>1.7</w:t>
            </w:r>
          </w:p>
        </w:tc>
        <w:tc>
          <w:tcPr>
            <w:tcW w:w="1105" w:type="dxa"/>
            <w:tcBorders>
              <w:top w:val="nil"/>
              <w:left w:val="nil"/>
              <w:bottom w:val="nil"/>
              <w:right w:val="nil"/>
            </w:tcBorders>
            <w:shd w:val="clear" w:color="auto" w:fill="auto"/>
            <w:noWrap/>
            <w:vAlign w:val="center"/>
            <w:hideMark/>
          </w:tcPr>
          <w:p w14:paraId="0DC23D34" w14:textId="77777777" w:rsidR="008A1E55" w:rsidRPr="00A41AC7" w:rsidRDefault="008A1E55" w:rsidP="004F65CD">
            <w:pPr>
              <w:jc w:val="right"/>
              <w:rPr>
                <w:sz w:val="16"/>
                <w:szCs w:val="16"/>
              </w:rPr>
            </w:pPr>
            <w:r w:rsidRPr="00A41AC7">
              <w:rPr>
                <w:sz w:val="16"/>
                <w:szCs w:val="16"/>
              </w:rPr>
              <w:t>667</w:t>
            </w:r>
          </w:p>
        </w:tc>
        <w:tc>
          <w:tcPr>
            <w:tcW w:w="1015" w:type="dxa"/>
            <w:tcBorders>
              <w:top w:val="nil"/>
              <w:left w:val="nil"/>
              <w:bottom w:val="nil"/>
              <w:right w:val="nil"/>
            </w:tcBorders>
            <w:shd w:val="clear" w:color="auto" w:fill="auto"/>
            <w:noWrap/>
            <w:vAlign w:val="center"/>
            <w:hideMark/>
          </w:tcPr>
          <w:p w14:paraId="6FB2AF4E" w14:textId="77777777" w:rsidR="008A1E55" w:rsidRPr="00A41AC7" w:rsidRDefault="008A1E55" w:rsidP="004F65CD">
            <w:pPr>
              <w:jc w:val="right"/>
              <w:rPr>
                <w:sz w:val="16"/>
                <w:szCs w:val="16"/>
              </w:rPr>
            </w:pPr>
            <w:r w:rsidRPr="00A41AC7">
              <w:rPr>
                <w:sz w:val="16"/>
                <w:szCs w:val="16"/>
              </w:rPr>
              <w:t>0.4</w:t>
            </w:r>
          </w:p>
        </w:tc>
      </w:tr>
      <w:tr w:rsidR="006B42D6" w:rsidRPr="006B42D6" w14:paraId="4A46880B" w14:textId="77777777" w:rsidTr="00DE248A">
        <w:trPr>
          <w:trHeight w:val="283"/>
        </w:trPr>
        <w:tc>
          <w:tcPr>
            <w:tcW w:w="2694" w:type="dxa"/>
            <w:tcBorders>
              <w:top w:val="nil"/>
              <w:left w:val="nil"/>
              <w:bottom w:val="nil"/>
              <w:right w:val="nil"/>
            </w:tcBorders>
            <w:shd w:val="clear" w:color="auto" w:fill="auto"/>
            <w:vAlign w:val="center"/>
            <w:hideMark/>
          </w:tcPr>
          <w:p w14:paraId="4CF43417" w14:textId="77777777" w:rsidR="008A1E55" w:rsidRPr="00A41AC7" w:rsidRDefault="008A1E55" w:rsidP="00E16CAE">
            <w:pPr>
              <w:rPr>
                <w:sz w:val="16"/>
                <w:szCs w:val="16"/>
              </w:rPr>
            </w:pPr>
            <w:r w:rsidRPr="00A41AC7">
              <w:rPr>
                <w:sz w:val="16"/>
                <w:szCs w:val="16"/>
              </w:rPr>
              <w:t>Other</w:t>
            </w:r>
          </w:p>
        </w:tc>
        <w:tc>
          <w:tcPr>
            <w:tcW w:w="1134" w:type="dxa"/>
            <w:tcBorders>
              <w:top w:val="nil"/>
              <w:left w:val="nil"/>
              <w:bottom w:val="nil"/>
              <w:right w:val="nil"/>
            </w:tcBorders>
            <w:shd w:val="clear" w:color="auto" w:fill="auto"/>
            <w:noWrap/>
            <w:vAlign w:val="center"/>
            <w:hideMark/>
          </w:tcPr>
          <w:p w14:paraId="4F7F25EE" w14:textId="77777777" w:rsidR="008A1E55" w:rsidRPr="00A41AC7" w:rsidRDefault="008A1E55" w:rsidP="004F65CD">
            <w:pPr>
              <w:jc w:val="right"/>
              <w:rPr>
                <w:sz w:val="16"/>
                <w:szCs w:val="16"/>
              </w:rPr>
            </w:pPr>
            <w:r w:rsidRPr="00A41AC7">
              <w:rPr>
                <w:sz w:val="16"/>
                <w:szCs w:val="16"/>
              </w:rPr>
              <w:t>897,340</w:t>
            </w:r>
          </w:p>
        </w:tc>
        <w:tc>
          <w:tcPr>
            <w:tcW w:w="1121" w:type="dxa"/>
            <w:tcBorders>
              <w:top w:val="nil"/>
              <w:left w:val="nil"/>
              <w:bottom w:val="nil"/>
              <w:right w:val="nil"/>
            </w:tcBorders>
            <w:shd w:val="clear" w:color="auto" w:fill="auto"/>
            <w:noWrap/>
            <w:vAlign w:val="center"/>
            <w:hideMark/>
          </w:tcPr>
          <w:p w14:paraId="5BDEF18D" w14:textId="77777777" w:rsidR="008A1E55" w:rsidRPr="00A41AC7" w:rsidRDefault="008A1E55" w:rsidP="004F65CD">
            <w:pPr>
              <w:jc w:val="right"/>
              <w:rPr>
                <w:sz w:val="16"/>
                <w:szCs w:val="16"/>
              </w:rPr>
            </w:pPr>
            <w:r w:rsidRPr="00A41AC7">
              <w:rPr>
                <w:sz w:val="16"/>
                <w:szCs w:val="16"/>
              </w:rPr>
              <w:t>11.4</w:t>
            </w:r>
          </w:p>
        </w:tc>
        <w:tc>
          <w:tcPr>
            <w:tcW w:w="1263" w:type="dxa"/>
            <w:tcBorders>
              <w:top w:val="nil"/>
              <w:left w:val="nil"/>
              <w:bottom w:val="nil"/>
              <w:right w:val="nil"/>
            </w:tcBorders>
            <w:shd w:val="clear" w:color="auto" w:fill="auto"/>
            <w:noWrap/>
            <w:vAlign w:val="center"/>
            <w:hideMark/>
          </w:tcPr>
          <w:p w14:paraId="12E5A31D" w14:textId="77777777" w:rsidR="008A1E55" w:rsidRPr="00A41AC7" w:rsidRDefault="008A1E55" w:rsidP="004F65CD">
            <w:pPr>
              <w:jc w:val="right"/>
              <w:rPr>
                <w:sz w:val="16"/>
                <w:szCs w:val="16"/>
              </w:rPr>
            </w:pPr>
            <w:r w:rsidRPr="00A41AC7">
              <w:rPr>
                <w:sz w:val="16"/>
                <w:szCs w:val="16"/>
              </w:rPr>
              <w:t>897,340</w:t>
            </w:r>
          </w:p>
        </w:tc>
        <w:tc>
          <w:tcPr>
            <w:tcW w:w="876" w:type="dxa"/>
            <w:tcBorders>
              <w:top w:val="nil"/>
              <w:left w:val="nil"/>
              <w:bottom w:val="nil"/>
              <w:right w:val="nil"/>
            </w:tcBorders>
            <w:shd w:val="clear" w:color="auto" w:fill="auto"/>
            <w:noWrap/>
            <w:vAlign w:val="center"/>
            <w:hideMark/>
          </w:tcPr>
          <w:p w14:paraId="0EAF50CD" w14:textId="77777777" w:rsidR="008A1E55" w:rsidRPr="00A41AC7" w:rsidRDefault="008A1E55" w:rsidP="004F65CD">
            <w:pPr>
              <w:jc w:val="right"/>
              <w:rPr>
                <w:sz w:val="16"/>
                <w:szCs w:val="16"/>
              </w:rPr>
            </w:pPr>
            <w:r w:rsidRPr="00A41AC7">
              <w:rPr>
                <w:sz w:val="16"/>
                <w:szCs w:val="16"/>
              </w:rPr>
              <w:t>11.7</w:t>
            </w:r>
          </w:p>
        </w:tc>
        <w:tc>
          <w:tcPr>
            <w:tcW w:w="1105" w:type="dxa"/>
            <w:tcBorders>
              <w:top w:val="nil"/>
              <w:left w:val="nil"/>
              <w:bottom w:val="nil"/>
              <w:right w:val="nil"/>
            </w:tcBorders>
            <w:shd w:val="clear" w:color="auto" w:fill="auto"/>
            <w:noWrap/>
            <w:vAlign w:val="center"/>
            <w:hideMark/>
          </w:tcPr>
          <w:p w14:paraId="76BB83F6" w14:textId="77777777" w:rsidR="008A1E55" w:rsidRPr="00A41AC7" w:rsidRDefault="008A1E55" w:rsidP="004F65CD">
            <w:pPr>
              <w:jc w:val="right"/>
              <w:rPr>
                <w:sz w:val="16"/>
                <w:szCs w:val="16"/>
              </w:rPr>
            </w:pPr>
            <w:r w:rsidRPr="00A41AC7">
              <w:rPr>
                <w:sz w:val="16"/>
                <w:szCs w:val="16"/>
              </w:rPr>
              <w:t>-</w:t>
            </w:r>
          </w:p>
        </w:tc>
        <w:tc>
          <w:tcPr>
            <w:tcW w:w="1015" w:type="dxa"/>
            <w:tcBorders>
              <w:top w:val="nil"/>
              <w:left w:val="nil"/>
              <w:bottom w:val="nil"/>
              <w:right w:val="nil"/>
            </w:tcBorders>
            <w:shd w:val="clear" w:color="auto" w:fill="auto"/>
            <w:noWrap/>
            <w:vAlign w:val="center"/>
            <w:hideMark/>
          </w:tcPr>
          <w:p w14:paraId="12C27D1D" w14:textId="77777777" w:rsidR="008A1E55" w:rsidRPr="00A41AC7" w:rsidRDefault="008A1E55" w:rsidP="004F65CD">
            <w:pPr>
              <w:jc w:val="right"/>
              <w:rPr>
                <w:sz w:val="16"/>
                <w:szCs w:val="16"/>
              </w:rPr>
            </w:pPr>
            <w:r w:rsidRPr="00A41AC7">
              <w:rPr>
                <w:sz w:val="16"/>
                <w:szCs w:val="16"/>
              </w:rPr>
              <w:t>-</w:t>
            </w:r>
          </w:p>
        </w:tc>
      </w:tr>
      <w:tr w:rsidR="00A41AC7" w:rsidRPr="00143C67" w14:paraId="5B907291" w14:textId="77777777" w:rsidTr="00DE248A">
        <w:trPr>
          <w:trHeight w:val="283"/>
        </w:trPr>
        <w:tc>
          <w:tcPr>
            <w:tcW w:w="2694" w:type="dxa"/>
            <w:tcBorders>
              <w:top w:val="single" w:sz="4" w:space="0" w:color="auto"/>
              <w:left w:val="nil"/>
              <w:bottom w:val="single" w:sz="4" w:space="0" w:color="auto"/>
              <w:right w:val="nil"/>
            </w:tcBorders>
            <w:shd w:val="clear" w:color="auto" w:fill="E2EFD9" w:themeFill="accent6" w:themeFillTint="33"/>
            <w:vAlign w:val="center"/>
            <w:hideMark/>
          </w:tcPr>
          <w:p w14:paraId="0EDDE4EB" w14:textId="77777777" w:rsidR="008A1E55" w:rsidRPr="00143C67" w:rsidRDefault="008A1E55" w:rsidP="00E16CAE">
            <w:pPr>
              <w:rPr>
                <w:b/>
                <w:sz w:val="16"/>
                <w:szCs w:val="16"/>
              </w:rPr>
            </w:pPr>
            <w:r w:rsidRPr="00143C67">
              <w:rPr>
                <w:b/>
                <w:sz w:val="16"/>
                <w:szCs w:val="16"/>
              </w:rPr>
              <w:t>Total</w:t>
            </w:r>
          </w:p>
        </w:tc>
        <w:tc>
          <w:tcPr>
            <w:tcW w:w="1134" w:type="dxa"/>
            <w:tcBorders>
              <w:top w:val="single" w:sz="4" w:space="0" w:color="auto"/>
              <w:left w:val="nil"/>
              <w:bottom w:val="single" w:sz="4" w:space="0" w:color="auto"/>
              <w:right w:val="nil"/>
            </w:tcBorders>
            <w:shd w:val="clear" w:color="auto" w:fill="E2EFD9" w:themeFill="accent6" w:themeFillTint="33"/>
            <w:noWrap/>
            <w:vAlign w:val="center"/>
            <w:hideMark/>
          </w:tcPr>
          <w:p w14:paraId="71A3B374" w14:textId="77777777" w:rsidR="008A1E55" w:rsidRPr="00143C67" w:rsidRDefault="008A1E55" w:rsidP="004F65CD">
            <w:pPr>
              <w:jc w:val="right"/>
              <w:rPr>
                <w:b/>
                <w:sz w:val="16"/>
                <w:szCs w:val="16"/>
              </w:rPr>
            </w:pPr>
            <w:r w:rsidRPr="00143C67">
              <w:rPr>
                <w:b/>
                <w:sz w:val="16"/>
                <w:szCs w:val="16"/>
              </w:rPr>
              <w:t>7,837,405</w:t>
            </w:r>
          </w:p>
        </w:tc>
        <w:tc>
          <w:tcPr>
            <w:tcW w:w="1121" w:type="dxa"/>
            <w:tcBorders>
              <w:top w:val="single" w:sz="4" w:space="0" w:color="auto"/>
              <w:left w:val="nil"/>
              <w:bottom w:val="single" w:sz="4" w:space="0" w:color="auto"/>
              <w:right w:val="nil"/>
            </w:tcBorders>
            <w:shd w:val="clear" w:color="auto" w:fill="E2EFD9" w:themeFill="accent6" w:themeFillTint="33"/>
            <w:noWrap/>
            <w:vAlign w:val="center"/>
            <w:hideMark/>
          </w:tcPr>
          <w:p w14:paraId="3028702A" w14:textId="77777777" w:rsidR="008A1E55" w:rsidRPr="00143C67" w:rsidRDefault="008A1E55" w:rsidP="004F65CD">
            <w:pPr>
              <w:jc w:val="right"/>
              <w:rPr>
                <w:b/>
                <w:sz w:val="16"/>
                <w:szCs w:val="16"/>
              </w:rPr>
            </w:pPr>
            <w:r w:rsidRPr="00143C67">
              <w:rPr>
                <w:b/>
                <w:sz w:val="16"/>
                <w:szCs w:val="16"/>
              </w:rPr>
              <w:t>100.0</w:t>
            </w:r>
          </w:p>
        </w:tc>
        <w:tc>
          <w:tcPr>
            <w:tcW w:w="1263" w:type="dxa"/>
            <w:tcBorders>
              <w:top w:val="single" w:sz="4" w:space="0" w:color="auto"/>
              <w:left w:val="nil"/>
              <w:bottom w:val="single" w:sz="4" w:space="0" w:color="auto"/>
              <w:right w:val="nil"/>
            </w:tcBorders>
            <w:shd w:val="clear" w:color="auto" w:fill="E2EFD9" w:themeFill="accent6" w:themeFillTint="33"/>
            <w:noWrap/>
            <w:vAlign w:val="center"/>
            <w:hideMark/>
          </w:tcPr>
          <w:p w14:paraId="1A63BB06" w14:textId="77777777" w:rsidR="008A1E55" w:rsidRPr="00143C67" w:rsidRDefault="008A1E55" w:rsidP="004F65CD">
            <w:pPr>
              <w:jc w:val="right"/>
              <w:rPr>
                <w:b/>
                <w:sz w:val="16"/>
                <w:szCs w:val="16"/>
              </w:rPr>
            </w:pPr>
            <w:r w:rsidRPr="00143C67">
              <w:rPr>
                <w:b/>
                <w:sz w:val="16"/>
                <w:szCs w:val="16"/>
              </w:rPr>
              <w:t>7,657,185</w:t>
            </w:r>
          </w:p>
        </w:tc>
        <w:tc>
          <w:tcPr>
            <w:tcW w:w="876" w:type="dxa"/>
            <w:tcBorders>
              <w:top w:val="single" w:sz="4" w:space="0" w:color="auto"/>
              <w:left w:val="nil"/>
              <w:bottom w:val="single" w:sz="4" w:space="0" w:color="auto"/>
              <w:right w:val="nil"/>
            </w:tcBorders>
            <w:shd w:val="clear" w:color="auto" w:fill="E2EFD9" w:themeFill="accent6" w:themeFillTint="33"/>
            <w:noWrap/>
            <w:vAlign w:val="center"/>
            <w:hideMark/>
          </w:tcPr>
          <w:p w14:paraId="7F0A9EC1" w14:textId="77777777" w:rsidR="008A1E55" w:rsidRPr="00143C67" w:rsidRDefault="008A1E55" w:rsidP="004F65CD">
            <w:pPr>
              <w:jc w:val="right"/>
              <w:rPr>
                <w:b/>
                <w:sz w:val="16"/>
                <w:szCs w:val="16"/>
              </w:rPr>
            </w:pPr>
            <w:r w:rsidRPr="00143C67">
              <w:rPr>
                <w:b/>
                <w:sz w:val="16"/>
                <w:szCs w:val="16"/>
              </w:rPr>
              <w:t>100.0</w:t>
            </w:r>
          </w:p>
        </w:tc>
        <w:tc>
          <w:tcPr>
            <w:tcW w:w="1105" w:type="dxa"/>
            <w:tcBorders>
              <w:top w:val="single" w:sz="4" w:space="0" w:color="auto"/>
              <w:left w:val="nil"/>
              <w:bottom w:val="single" w:sz="4" w:space="0" w:color="auto"/>
              <w:right w:val="nil"/>
            </w:tcBorders>
            <w:shd w:val="clear" w:color="auto" w:fill="E2EFD9" w:themeFill="accent6" w:themeFillTint="33"/>
            <w:noWrap/>
            <w:vAlign w:val="center"/>
            <w:hideMark/>
          </w:tcPr>
          <w:p w14:paraId="5579608D" w14:textId="77777777" w:rsidR="008A1E55" w:rsidRPr="00143C67" w:rsidRDefault="008A1E55" w:rsidP="004F65CD">
            <w:pPr>
              <w:jc w:val="right"/>
              <w:rPr>
                <w:b/>
                <w:sz w:val="16"/>
                <w:szCs w:val="16"/>
              </w:rPr>
            </w:pPr>
            <w:r w:rsidRPr="00143C67">
              <w:rPr>
                <w:b/>
                <w:sz w:val="16"/>
                <w:szCs w:val="16"/>
              </w:rPr>
              <w:t>180,220</w:t>
            </w:r>
          </w:p>
        </w:tc>
        <w:tc>
          <w:tcPr>
            <w:tcW w:w="1015" w:type="dxa"/>
            <w:tcBorders>
              <w:top w:val="single" w:sz="4" w:space="0" w:color="auto"/>
              <w:left w:val="nil"/>
              <w:bottom w:val="single" w:sz="4" w:space="0" w:color="auto"/>
              <w:right w:val="nil"/>
            </w:tcBorders>
            <w:shd w:val="clear" w:color="auto" w:fill="E2EFD9" w:themeFill="accent6" w:themeFillTint="33"/>
            <w:noWrap/>
            <w:vAlign w:val="center"/>
            <w:hideMark/>
          </w:tcPr>
          <w:p w14:paraId="2C79E69A" w14:textId="77777777" w:rsidR="008A1E55" w:rsidRPr="00143C67" w:rsidRDefault="008A1E55" w:rsidP="004F65CD">
            <w:pPr>
              <w:jc w:val="right"/>
              <w:rPr>
                <w:b/>
                <w:sz w:val="16"/>
                <w:szCs w:val="16"/>
              </w:rPr>
            </w:pPr>
            <w:r w:rsidRPr="00143C67">
              <w:rPr>
                <w:b/>
                <w:sz w:val="16"/>
                <w:szCs w:val="16"/>
              </w:rPr>
              <w:t>100.0</w:t>
            </w:r>
          </w:p>
        </w:tc>
      </w:tr>
    </w:tbl>
    <w:p w14:paraId="4F880F99" w14:textId="77777777" w:rsidR="008A1E55" w:rsidRPr="003C22B5" w:rsidRDefault="008A1E55" w:rsidP="003C22B5">
      <w:pPr>
        <w:rPr>
          <w:sz w:val="20"/>
          <w:szCs w:val="20"/>
        </w:rPr>
      </w:pPr>
    </w:p>
    <w:p w14:paraId="31CB4224" w14:textId="5EB873A3" w:rsidR="008A1E55" w:rsidRPr="006B42D6" w:rsidRDefault="008A1E55" w:rsidP="008A1E55">
      <w:r w:rsidRPr="006B42D6">
        <w:t xml:space="preserve">In </w:t>
      </w:r>
      <w:r w:rsidR="00EA1552">
        <w:t>Mainland Tanzania</w:t>
      </w:r>
      <w:r w:rsidRPr="006B42D6">
        <w:t xml:space="preserve">, majority of households (3,110,262; 40.6 percent) reported to use piped water as the main source of drinking water during the wet season, followed by those using unprotected well (991,434; 12.9 percent) and surface water (975,178; 12.7). Dar es Salaam region had the largest number of households (328,217; 10.6 percent) reported to use piped water as the main source of drinking water during the wet season, followed by Kilimanjaro (260,585; 8.4 percent) and Morogoro (245,601; 7.9 percent), while Katavi had the least number of households (34,763; 1.1 percent) (Table </w:t>
      </w:r>
      <w:r w:rsidR="006C1D68" w:rsidRPr="006B42D6">
        <w:t>6</w:t>
      </w:r>
      <w:r w:rsidRPr="006B42D6">
        <w:t>.13 &amp;</w:t>
      </w:r>
      <w:r w:rsidR="006C1D68" w:rsidRPr="006B42D6">
        <w:t xml:space="preserve"> 6</w:t>
      </w:r>
      <w:r w:rsidRPr="006B42D6">
        <w:t>.14).</w:t>
      </w:r>
    </w:p>
    <w:p w14:paraId="5DB52596" w14:textId="77777777" w:rsidR="008A1E55" w:rsidRPr="009514C8" w:rsidRDefault="008A1E55" w:rsidP="003C22B5">
      <w:pPr>
        <w:spacing w:line="240" w:lineRule="auto"/>
      </w:pPr>
    </w:p>
    <w:p w14:paraId="473EF1C0" w14:textId="77777777" w:rsidR="00DE248A" w:rsidRDefault="008A1E55" w:rsidP="008A1E55">
      <w:r w:rsidRPr="006B42D6">
        <w:t xml:space="preserve">In Tanzania Zanzibar, majority of households (140,638; 78.0 percent) reported to use piped water as the main source of drinking water during the wet season, followed by those using protected well (24,487; 13.6 percent) and unprotected well (12,500; 6.9 percent). Kusini Pemba region had the largest number of households (50,257; 35.7 percent) reported to use </w:t>
      </w:r>
    </w:p>
    <w:p w14:paraId="60C990C8" w14:textId="77777777" w:rsidR="00DE248A" w:rsidRDefault="00DE248A">
      <w:pPr>
        <w:spacing w:line="240" w:lineRule="auto"/>
        <w:contextualSpacing w:val="0"/>
        <w:jc w:val="left"/>
      </w:pPr>
      <w:r>
        <w:br w:type="page"/>
      </w:r>
    </w:p>
    <w:p w14:paraId="096FC26A" w14:textId="54CD3DD2" w:rsidR="008A1E55" w:rsidRDefault="008A1E55" w:rsidP="008A1E55">
      <w:r w:rsidRPr="006B42D6">
        <w:lastRenderedPageBreak/>
        <w:t xml:space="preserve">piped water as the main source of drinking water during the wet season, followed by Kaskazini Pemba (31,654; 22.5 percent), while Kusini Unguja had the least number of households (11,678; 8.3 percent) (Table </w:t>
      </w:r>
      <w:r w:rsidR="006C1D68" w:rsidRPr="006B42D6">
        <w:t>6</w:t>
      </w:r>
      <w:r w:rsidRPr="006B42D6">
        <w:t>.13 &amp;</w:t>
      </w:r>
      <w:r w:rsidR="006C1D68" w:rsidRPr="006B42D6">
        <w:t xml:space="preserve"> 6</w:t>
      </w:r>
      <w:r w:rsidRPr="006B42D6">
        <w:t>.14).</w:t>
      </w:r>
    </w:p>
    <w:p w14:paraId="00AF54EF" w14:textId="77777777" w:rsidR="00DD3FC5" w:rsidRPr="006B42D6" w:rsidRDefault="00DD3FC5" w:rsidP="008A1E55"/>
    <w:p w14:paraId="59F71BE0" w14:textId="77777777" w:rsidR="008A1E55" w:rsidRPr="006B42D6" w:rsidRDefault="008A1E55" w:rsidP="008A1E55">
      <w:pPr>
        <w:rPr>
          <w:rFonts w:ascii="TimesNewRomanPSMT" w:hAnsi="TimesNewRomanPSMT" w:cs="TimesNewRomanPSMT"/>
          <w:bCs/>
        </w:rPr>
        <w:sectPr w:rsidR="008A1E55" w:rsidRPr="006B42D6" w:rsidSect="00DD3FC5">
          <w:pgSz w:w="11900" w:h="16840" w:code="9"/>
          <w:pgMar w:top="1440" w:right="1440" w:bottom="1440" w:left="1440" w:header="709" w:footer="709" w:gutter="0"/>
          <w:cols w:space="708"/>
          <w:docGrid w:linePitch="360"/>
        </w:sectPr>
      </w:pPr>
    </w:p>
    <w:p w14:paraId="77F54659" w14:textId="3E329B39" w:rsidR="008A1E55" w:rsidRPr="006B42D6" w:rsidRDefault="008A1E55" w:rsidP="007200F6">
      <w:pPr>
        <w:pStyle w:val="Heading7"/>
      </w:pPr>
      <w:bookmarkStart w:id="876" w:name="_Toc82386249"/>
      <w:r w:rsidRPr="006B42D6">
        <w:lastRenderedPageBreak/>
        <w:t xml:space="preserve">Table </w:t>
      </w:r>
      <w:r w:rsidR="006C1D68" w:rsidRPr="006B42D6">
        <w:t>6</w:t>
      </w:r>
      <w:r w:rsidRPr="006B42D6">
        <w:t>.14</w:t>
      </w:r>
      <w:r w:rsidR="005420E0">
        <w:t>:</w:t>
      </w:r>
      <w:r w:rsidR="00AC6872">
        <w:tab/>
      </w:r>
      <w:r w:rsidRPr="006B42D6">
        <w:t>Percentage Distribution of Agricultural Households Reported Main Source of Drinking Water in Wet Season by Region During 2019/20 Agricultural Year</w:t>
      </w:r>
      <w:r w:rsidR="009077FA" w:rsidRPr="006B42D6">
        <w:t>, Tanzania</w:t>
      </w:r>
      <w:bookmarkEnd w:id="876"/>
    </w:p>
    <w:tbl>
      <w:tblPr>
        <w:tblW w:w="5000" w:type="pct"/>
        <w:tblLook w:val="04A0" w:firstRow="1" w:lastRow="0" w:firstColumn="1" w:lastColumn="0" w:noHBand="0" w:noVBand="1"/>
      </w:tblPr>
      <w:tblGrid>
        <w:gridCol w:w="1718"/>
        <w:gridCol w:w="978"/>
        <w:gridCol w:w="955"/>
        <w:gridCol w:w="1001"/>
        <w:gridCol w:w="1131"/>
        <w:gridCol w:w="1094"/>
        <w:gridCol w:w="1282"/>
        <w:gridCol w:w="1001"/>
        <w:gridCol w:w="1086"/>
        <w:gridCol w:w="760"/>
        <w:gridCol w:w="760"/>
        <w:gridCol w:w="760"/>
        <w:gridCol w:w="890"/>
        <w:gridCol w:w="760"/>
      </w:tblGrid>
      <w:tr w:rsidR="006B42D6" w:rsidRPr="006B42D6" w14:paraId="69121785" w14:textId="77777777" w:rsidTr="005420E0">
        <w:trPr>
          <w:trHeight w:val="227"/>
        </w:trPr>
        <w:tc>
          <w:tcPr>
            <w:tcW w:w="606" w:type="pct"/>
            <w:vMerge w:val="restart"/>
            <w:tcBorders>
              <w:top w:val="single" w:sz="4" w:space="0" w:color="auto"/>
              <w:left w:val="nil"/>
              <w:bottom w:val="single" w:sz="4" w:space="0" w:color="000000"/>
              <w:right w:val="nil"/>
            </w:tcBorders>
            <w:shd w:val="clear" w:color="auto" w:fill="E2EFD9" w:themeFill="accent6" w:themeFillTint="33"/>
            <w:noWrap/>
            <w:vAlign w:val="center"/>
            <w:hideMark/>
          </w:tcPr>
          <w:p w14:paraId="1798CCB4" w14:textId="77777777" w:rsidR="008A1E55" w:rsidRPr="006B42D6" w:rsidRDefault="008A1E55" w:rsidP="00DD3FC5">
            <w:pPr>
              <w:spacing w:line="240" w:lineRule="auto"/>
              <w:rPr>
                <w:sz w:val="16"/>
                <w:szCs w:val="16"/>
              </w:rPr>
            </w:pPr>
            <w:r w:rsidRPr="006B42D6">
              <w:rPr>
                <w:sz w:val="16"/>
                <w:szCs w:val="16"/>
              </w:rPr>
              <w:t>Region</w:t>
            </w:r>
          </w:p>
        </w:tc>
        <w:tc>
          <w:tcPr>
            <w:tcW w:w="4394" w:type="pct"/>
            <w:gridSpan w:val="13"/>
            <w:tcBorders>
              <w:top w:val="single" w:sz="4" w:space="0" w:color="auto"/>
              <w:left w:val="nil"/>
              <w:bottom w:val="nil"/>
              <w:right w:val="nil"/>
            </w:tcBorders>
            <w:shd w:val="clear" w:color="auto" w:fill="E2EFD9" w:themeFill="accent6" w:themeFillTint="33"/>
            <w:noWrap/>
            <w:vAlign w:val="center"/>
            <w:hideMark/>
          </w:tcPr>
          <w:p w14:paraId="5BF1DF58" w14:textId="77777777" w:rsidR="008A1E55" w:rsidRPr="006B42D6" w:rsidRDefault="008A1E55" w:rsidP="00DD3FC5">
            <w:pPr>
              <w:spacing w:line="240" w:lineRule="auto"/>
              <w:jc w:val="center"/>
              <w:rPr>
                <w:sz w:val="16"/>
                <w:szCs w:val="16"/>
              </w:rPr>
            </w:pPr>
            <w:r w:rsidRPr="006B42D6">
              <w:rPr>
                <w:sz w:val="16"/>
                <w:szCs w:val="16"/>
              </w:rPr>
              <w:t>Main Source of Drinking water</w:t>
            </w:r>
          </w:p>
        </w:tc>
      </w:tr>
      <w:tr w:rsidR="006B42D6" w:rsidRPr="006B42D6" w14:paraId="0D6D1C0C" w14:textId="77777777" w:rsidTr="005420E0">
        <w:trPr>
          <w:trHeight w:val="227"/>
        </w:trPr>
        <w:tc>
          <w:tcPr>
            <w:tcW w:w="606" w:type="pct"/>
            <w:vMerge/>
            <w:tcBorders>
              <w:top w:val="single" w:sz="4" w:space="0" w:color="auto"/>
              <w:left w:val="nil"/>
              <w:bottom w:val="single" w:sz="4" w:space="0" w:color="000000"/>
              <w:right w:val="nil"/>
            </w:tcBorders>
            <w:shd w:val="clear" w:color="auto" w:fill="E2EFD9" w:themeFill="accent6" w:themeFillTint="33"/>
            <w:vAlign w:val="center"/>
            <w:hideMark/>
          </w:tcPr>
          <w:p w14:paraId="761D4060" w14:textId="77777777" w:rsidR="008A1E55" w:rsidRPr="006B42D6" w:rsidRDefault="008A1E55" w:rsidP="00DD3FC5">
            <w:pPr>
              <w:spacing w:line="240" w:lineRule="auto"/>
              <w:rPr>
                <w:sz w:val="16"/>
                <w:szCs w:val="16"/>
              </w:rPr>
            </w:pPr>
          </w:p>
        </w:tc>
        <w:tc>
          <w:tcPr>
            <w:tcW w:w="345" w:type="pct"/>
            <w:tcBorders>
              <w:top w:val="single" w:sz="4" w:space="0" w:color="auto"/>
              <w:left w:val="nil"/>
              <w:bottom w:val="single" w:sz="4" w:space="0" w:color="auto"/>
              <w:right w:val="nil"/>
            </w:tcBorders>
            <w:shd w:val="clear" w:color="auto" w:fill="E2EFD9" w:themeFill="accent6" w:themeFillTint="33"/>
            <w:vAlign w:val="center"/>
            <w:hideMark/>
          </w:tcPr>
          <w:p w14:paraId="5B3B94C4" w14:textId="77777777" w:rsidR="008A1E55" w:rsidRPr="006B42D6" w:rsidRDefault="008A1E55" w:rsidP="00DD3FC5">
            <w:pPr>
              <w:spacing w:line="240" w:lineRule="auto"/>
              <w:rPr>
                <w:sz w:val="16"/>
                <w:szCs w:val="16"/>
              </w:rPr>
            </w:pPr>
            <w:r w:rsidRPr="006B42D6">
              <w:rPr>
                <w:sz w:val="16"/>
                <w:szCs w:val="16"/>
              </w:rPr>
              <w:t>Piped water</w:t>
            </w:r>
          </w:p>
        </w:tc>
        <w:tc>
          <w:tcPr>
            <w:tcW w:w="337" w:type="pct"/>
            <w:tcBorders>
              <w:top w:val="single" w:sz="4" w:space="0" w:color="auto"/>
              <w:left w:val="nil"/>
              <w:bottom w:val="single" w:sz="4" w:space="0" w:color="auto"/>
              <w:right w:val="nil"/>
            </w:tcBorders>
            <w:shd w:val="clear" w:color="auto" w:fill="E2EFD9" w:themeFill="accent6" w:themeFillTint="33"/>
            <w:vAlign w:val="center"/>
            <w:hideMark/>
          </w:tcPr>
          <w:p w14:paraId="17C700A4" w14:textId="77777777" w:rsidR="008A1E55" w:rsidRPr="006B42D6" w:rsidRDefault="008A1E55" w:rsidP="00DD3FC5">
            <w:pPr>
              <w:spacing w:line="240" w:lineRule="auto"/>
              <w:rPr>
                <w:sz w:val="16"/>
                <w:szCs w:val="16"/>
              </w:rPr>
            </w:pPr>
            <w:r w:rsidRPr="006B42D6">
              <w:rPr>
                <w:sz w:val="16"/>
                <w:szCs w:val="16"/>
              </w:rPr>
              <w:t>Protected well</w:t>
            </w:r>
          </w:p>
        </w:tc>
        <w:tc>
          <w:tcPr>
            <w:tcW w:w="353" w:type="pct"/>
            <w:tcBorders>
              <w:top w:val="single" w:sz="4" w:space="0" w:color="auto"/>
              <w:left w:val="nil"/>
              <w:bottom w:val="single" w:sz="4" w:space="0" w:color="auto"/>
              <w:right w:val="nil"/>
            </w:tcBorders>
            <w:shd w:val="clear" w:color="auto" w:fill="E2EFD9" w:themeFill="accent6" w:themeFillTint="33"/>
            <w:vAlign w:val="center"/>
            <w:hideMark/>
          </w:tcPr>
          <w:p w14:paraId="48705A76" w14:textId="77777777" w:rsidR="008A1E55" w:rsidRPr="006B42D6" w:rsidRDefault="008A1E55" w:rsidP="00DD3FC5">
            <w:pPr>
              <w:spacing w:line="240" w:lineRule="auto"/>
              <w:rPr>
                <w:sz w:val="16"/>
                <w:szCs w:val="16"/>
              </w:rPr>
            </w:pPr>
            <w:r w:rsidRPr="006B42D6">
              <w:rPr>
                <w:sz w:val="16"/>
                <w:szCs w:val="16"/>
              </w:rPr>
              <w:t>Protected/</w:t>
            </w:r>
            <w:r w:rsidRPr="006B42D6">
              <w:rPr>
                <w:sz w:val="16"/>
                <w:szCs w:val="16"/>
              </w:rPr>
              <w:br/>
              <w:t xml:space="preserve">covered </w:t>
            </w:r>
            <w:r w:rsidRPr="006B42D6">
              <w:rPr>
                <w:sz w:val="16"/>
                <w:szCs w:val="16"/>
              </w:rPr>
              <w:br/>
              <w:t>spring</w:t>
            </w:r>
          </w:p>
        </w:tc>
        <w:tc>
          <w:tcPr>
            <w:tcW w:w="399" w:type="pct"/>
            <w:tcBorders>
              <w:top w:val="single" w:sz="4" w:space="0" w:color="auto"/>
              <w:left w:val="nil"/>
              <w:bottom w:val="single" w:sz="4" w:space="0" w:color="auto"/>
              <w:right w:val="nil"/>
            </w:tcBorders>
            <w:shd w:val="clear" w:color="auto" w:fill="E2EFD9" w:themeFill="accent6" w:themeFillTint="33"/>
            <w:vAlign w:val="center"/>
            <w:hideMark/>
          </w:tcPr>
          <w:p w14:paraId="194B3444" w14:textId="77777777" w:rsidR="008A1E55" w:rsidRPr="006B42D6" w:rsidRDefault="008A1E55" w:rsidP="00DD3FC5">
            <w:pPr>
              <w:spacing w:line="240" w:lineRule="auto"/>
              <w:rPr>
                <w:sz w:val="16"/>
                <w:szCs w:val="16"/>
              </w:rPr>
            </w:pPr>
            <w:r w:rsidRPr="006B42D6">
              <w:rPr>
                <w:sz w:val="16"/>
                <w:szCs w:val="16"/>
              </w:rPr>
              <w:t xml:space="preserve">Unprotected </w:t>
            </w:r>
            <w:r w:rsidRPr="006B42D6">
              <w:rPr>
                <w:sz w:val="16"/>
                <w:szCs w:val="16"/>
              </w:rPr>
              <w:br/>
              <w:t>Well</w:t>
            </w:r>
          </w:p>
        </w:tc>
        <w:tc>
          <w:tcPr>
            <w:tcW w:w="386" w:type="pct"/>
            <w:tcBorders>
              <w:top w:val="single" w:sz="4" w:space="0" w:color="auto"/>
              <w:left w:val="nil"/>
              <w:bottom w:val="single" w:sz="4" w:space="0" w:color="auto"/>
              <w:right w:val="nil"/>
            </w:tcBorders>
            <w:shd w:val="clear" w:color="auto" w:fill="E2EFD9" w:themeFill="accent6" w:themeFillTint="33"/>
            <w:vAlign w:val="center"/>
            <w:hideMark/>
          </w:tcPr>
          <w:p w14:paraId="7520CE8B" w14:textId="77777777" w:rsidR="008A1E55" w:rsidRPr="006B42D6" w:rsidRDefault="008A1E55" w:rsidP="00DD3FC5">
            <w:pPr>
              <w:spacing w:line="240" w:lineRule="auto"/>
              <w:rPr>
                <w:sz w:val="16"/>
                <w:szCs w:val="16"/>
              </w:rPr>
            </w:pPr>
            <w:r w:rsidRPr="006B42D6">
              <w:rPr>
                <w:sz w:val="16"/>
                <w:szCs w:val="16"/>
              </w:rPr>
              <w:t>Unprotected spring</w:t>
            </w:r>
          </w:p>
        </w:tc>
        <w:tc>
          <w:tcPr>
            <w:tcW w:w="452" w:type="pct"/>
            <w:tcBorders>
              <w:top w:val="single" w:sz="4" w:space="0" w:color="auto"/>
              <w:left w:val="nil"/>
              <w:bottom w:val="single" w:sz="4" w:space="0" w:color="auto"/>
              <w:right w:val="nil"/>
            </w:tcBorders>
            <w:shd w:val="clear" w:color="auto" w:fill="E2EFD9" w:themeFill="accent6" w:themeFillTint="33"/>
            <w:vAlign w:val="center"/>
            <w:hideMark/>
          </w:tcPr>
          <w:p w14:paraId="06A0B365" w14:textId="77777777" w:rsidR="008A1E55" w:rsidRPr="006B42D6" w:rsidRDefault="008A1E55" w:rsidP="00DD3FC5">
            <w:pPr>
              <w:spacing w:line="240" w:lineRule="auto"/>
              <w:rPr>
                <w:sz w:val="16"/>
                <w:szCs w:val="16"/>
              </w:rPr>
            </w:pPr>
            <w:r w:rsidRPr="006B42D6">
              <w:rPr>
                <w:sz w:val="16"/>
                <w:szCs w:val="16"/>
              </w:rPr>
              <w:t>Surface water (lake/dam/</w:t>
            </w:r>
            <w:r w:rsidRPr="006B42D6">
              <w:rPr>
                <w:sz w:val="16"/>
                <w:szCs w:val="16"/>
              </w:rPr>
              <w:br/>
              <w:t>river/stream)</w:t>
            </w:r>
          </w:p>
        </w:tc>
        <w:tc>
          <w:tcPr>
            <w:tcW w:w="353" w:type="pct"/>
            <w:tcBorders>
              <w:top w:val="single" w:sz="4" w:space="0" w:color="auto"/>
              <w:left w:val="nil"/>
              <w:bottom w:val="single" w:sz="4" w:space="0" w:color="auto"/>
              <w:right w:val="nil"/>
            </w:tcBorders>
            <w:shd w:val="clear" w:color="auto" w:fill="E2EFD9" w:themeFill="accent6" w:themeFillTint="33"/>
            <w:vAlign w:val="center"/>
            <w:hideMark/>
          </w:tcPr>
          <w:p w14:paraId="5E0ED7C5" w14:textId="77777777" w:rsidR="008A1E55" w:rsidRPr="006B42D6" w:rsidRDefault="008A1E55" w:rsidP="00DD3FC5">
            <w:pPr>
              <w:spacing w:line="240" w:lineRule="auto"/>
              <w:rPr>
                <w:sz w:val="16"/>
                <w:szCs w:val="16"/>
              </w:rPr>
            </w:pPr>
            <w:r w:rsidRPr="006B42D6">
              <w:rPr>
                <w:sz w:val="16"/>
                <w:szCs w:val="16"/>
              </w:rPr>
              <w:t>Covered rainwater catchment</w:t>
            </w:r>
          </w:p>
        </w:tc>
        <w:tc>
          <w:tcPr>
            <w:tcW w:w="383" w:type="pct"/>
            <w:tcBorders>
              <w:top w:val="single" w:sz="4" w:space="0" w:color="auto"/>
              <w:left w:val="nil"/>
              <w:bottom w:val="single" w:sz="4" w:space="0" w:color="auto"/>
              <w:right w:val="nil"/>
            </w:tcBorders>
            <w:shd w:val="clear" w:color="auto" w:fill="E2EFD9" w:themeFill="accent6" w:themeFillTint="33"/>
            <w:vAlign w:val="center"/>
            <w:hideMark/>
          </w:tcPr>
          <w:p w14:paraId="7A78959A" w14:textId="77777777" w:rsidR="008A1E55" w:rsidRPr="006B42D6" w:rsidRDefault="008A1E55" w:rsidP="00DD3FC5">
            <w:pPr>
              <w:spacing w:line="240" w:lineRule="auto"/>
              <w:rPr>
                <w:sz w:val="16"/>
                <w:szCs w:val="16"/>
              </w:rPr>
            </w:pPr>
            <w:r w:rsidRPr="006B42D6">
              <w:rPr>
                <w:sz w:val="16"/>
                <w:szCs w:val="16"/>
              </w:rPr>
              <w:t>Uncovered rainwater catchment</w:t>
            </w:r>
          </w:p>
        </w:tc>
        <w:tc>
          <w:tcPr>
            <w:tcW w:w="268" w:type="pct"/>
            <w:tcBorders>
              <w:top w:val="single" w:sz="4" w:space="0" w:color="auto"/>
              <w:left w:val="nil"/>
              <w:bottom w:val="single" w:sz="4" w:space="0" w:color="auto"/>
              <w:right w:val="nil"/>
            </w:tcBorders>
            <w:shd w:val="clear" w:color="auto" w:fill="E2EFD9" w:themeFill="accent6" w:themeFillTint="33"/>
            <w:vAlign w:val="center"/>
            <w:hideMark/>
          </w:tcPr>
          <w:p w14:paraId="7F102A81" w14:textId="77777777" w:rsidR="008A1E55" w:rsidRPr="006B42D6" w:rsidRDefault="008A1E55" w:rsidP="00DD3FC5">
            <w:pPr>
              <w:spacing w:line="240" w:lineRule="auto"/>
              <w:rPr>
                <w:sz w:val="16"/>
                <w:szCs w:val="16"/>
              </w:rPr>
            </w:pPr>
            <w:r w:rsidRPr="006B42D6">
              <w:rPr>
                <w:sz w:val="16"/>
                <w:szCs w:val="16"/>
              </w:rPr>
              <w:t>Water Vendor</w:t>
            </w:r>
          </w:p>
        </w:tc>
        <w:tc>
          <w:tcPr>
            <w:tcW w:w="268" w:type="pct"/>
            <w:tcBorders>
              <w:top w:val="single" w:sz="4" w:space="0" w:color="auto"/>
              <w:left w:val="nil"/>
              <w:bottom w:val="single" w:sz="4" w:space="0" w:color="auto"/>
              <w:right w:val="nil"/>
            </w:tcBorders>
            <w:shd w:val="clear" w:color="auto" w:fill="E2EFD9" w:themeFill="accent6" w:themeFillTint="33"/>
            <w:vAlign w:val="center"/>
            <w:hideMark/>
          </w:tcPr>
          <w:p w14:paraId="2A3B96EB" w14:textId="77777777" w:rsidR="008A1E55" w:rsidRPr="006B42D6" w:rsidRDefault="008A1E55" w:rsidP="00DD3FC5">
            <w:pPr>
              <w:spacing w:line="240" w:lineRule="auto"/>
              <w:rPr>
                <w:sz w:val="16"/>
                <w:szCs w:val="16"/>
              </w:rPr>
            </w:pPr>
            <w:r w:rsidRPr="006B42D6">
              <w:rPr>
                <w:sz w:val="16"/>
                <w:szCs w:val="16"/>
              </w:rPr>
              <w:t>Tanker truck</w:t>
            </w:r>
          </w:p>
        </w:tc>
        <w:tc>
          <w:tcPr>
            <w:tcW w:w="268" w:type="pct"/>
            <w:tcBorders>
              <w:top w:val="single" w:sz="4" w:space="0" w:color="auto"/>
              <w:left w:val="nil"/>
              <w:bottom w:val="single" w:sz="4" w:space="0" w:color="auto"/>
              <w:right w:val="nil"/>
            </w:tcBorders>
            <w:shd w:val="clear" w:color="auto" w:fill="E2EFD9" w:themeFill="accent6" w:themeFillTint="33"/>
            <w:vAlign w:val="center"/>
            <w:hideMark/>
          </w:tcPr>
          <w:p w14:paraId="4B19792E" w14:textId="77777777" w:rsidR="008A1E55" w:rsidRPr="006B42D6" w:rsidRDefault="008A1E55" w:rsidP="00DD3FC5">
            <w:pPr>
              <w:spacing w:line="240" w:lineRule="auto"/>
              <w:rPr>
                <w:sz w:val="16"/>
                <w:szCs w:val="16"/>
              </w:rPr>
            </w:pPr>
            <w:r w:rsidRPr="006B42D6">
              <w:rPr>
                <w:sz w:val="16"/>
                <w:szCs w:val="16"/>
              </w:rPr>
              <w:t>Bottled water</w:t>
            </w:r>
          </w:p>
        </w:tc>
        <w:tc>
          <w:tcPr>
            <w:tcW w:w="314" w:type="pct"/>
            <w:tcBorders>
              <w:top w:val="single" w:sz="4" w:space="0" w:color="auto"/>
              <w:left w:val="nil"/>
              <w:bottom w:val="single" w:sz="4" w:space="0" w:color="auto"/>
              <w:right w:val="nil"/>
            </w:tcBorders>
            <w:shd w:val="clear" w:color="auto" w:fill="E2EFD9" w:themeFill="accent6" w:themeFillTint="33"/>
            <w:vAlign w:val="center"/>
            <w:hideMark/>
          </w:tcPr>
          <w:p w14:paraId="2B4AC250" w14:textId="77777777" w:rsidR="008A1E55" w:rsidRPr="006B42D6" w:rsidRDefault="008A1E55" w:rsidP="00DD3FC5">
            <w:pPr>
              <w:spacing w:line="240" w:lineRule="auto"/>
              <w:rPr>
                <w:sz w:val="16"/>
                <w:szCs w:val="16"/>
              </w:rPr>
            </w:pPr>
            <w:r w:rsidRPr="006B42D6">
              <w:rPr>
                <w:sz w:val="16"/>
                <w:szCs w:val="16"/>
              </w:rPr>
              <w:t>Borehole</w:t>
            </w:r>
          </w:p>
        </w:tc>
        <w:tc>
          <w:tcPr>
            <w:tcW w:w="268" w:type="pct"/>
            <w:tcBorders>
              <w:top w:val="single" w:sz="4" w:space="0" w:color="auto"/>
              <w:left w:val="nil"/>
              <w:bottom w:val="single" w:sz="4" w:space="0" w:color="auto"/>
              <w:right w:val="nil"/>
            </w:tcBorders>
            <w:shd w:val="clear" w:color="auto" w:fill="E2EFD9" w:themeFill="accent6" w:themeFillTint="33"/>
            <w:vAlign w:val="center"/>
            <w:hideMark/>
          </w:tcPr>
          <w:p w14:paraId="6E0D406A" w14:textId="77777777" w:rsidR="008A1E55" w:rsidRPr="006B42D6" w:rsidRDefault="008A1E55" w:rsidP="00DD3FC5">
            <w:pPr>
              <w:spacing w:line="240" w:lineRule="auto"/>
              <w:rPr>
                <w:sz w:val="16"/>
                <w:szCs w:val="16"/>
              </w:rPr>
            </w:pPr>
            <w:r w:rsidRPr="006B42D6">
              <w:rPr>
                <w:sz w:val="16"/>
                <w:szCs w:val="16"/>
              </w:rPr>
              <w:t xml:space="preserve">Other </w:t>
            </w:r>
          </w:p>
        </w:tc>
      </w:tr>
      <w:tr w:rsidR="006B42D6" w:rsidRPr="006B42D6" w14:paraId="1BB1AE8F" w14:textId="77777777" w:rsidTr="005420E0">
        <w:trPr>
          <w:trHeight w:hRule="exact" w:val="227"/>
        </w:trPr>
        <w:tc>
          <w:tcPr>
            <w:tcW w:w="606" w:type="pct"/>
            <w:tcBorders>
              <w:top w:val="nil"/>
              <w:left w:val="nil"/>
              <w:bottom w:val="nil"/>
              <w:right w:val="nil"/>
            </w:tcBorders>
            <w:shd w:val="clear" w:color="auto" w:fill="auto"/>
            <w:noWrap/>
            <w:vAlign w:val="center"/>
            <w:hideMark/>
          </w:tcPr>
          <w:p w14:paraId="2DD99D73" w14:textId="77777777" w:rsidR="008A1E55" w:rsidRPr="006B42D6" w:rsidRDefault="008A1E55" w:rsidP="00E16CAE">
            <w:pPr>
              <w:rPr>
                <w:sz w:val="16"/>
                <w:szCs w:val="16"/>
              </w:rPr>
            </w:pPr>
            <w:r w:rsidRPr="006B42D6">
              <w:rPr>
                <w:sz w:val="16"/>
                <w:szCs w:val="16"/>
              </w:rPr>
              <w:t>Dodoma</w:t>
            </w:r>
          </w:p>
        </w:tc>
        <w:tc>
          <w:tcPr>
            <w:tcW w:w="345" w:type="pct"/>
            <w:tcBorders>
              <w:top w:val="nil"/>
              <w:left w:val="nil"/>
              <w:bottom w:val="nil"/>
              <w:right w:val="nil"/>
            </w:tcBorders>
            <w:shd w:val="clear" w:color="auto" w:fill="auto"/>
            <w:noWrap/>
            <w:vAlign w:val="center"/>
            <w:hideMark/>
          </w:tcPr>
          <w:p w14:paraId="107A1B3F" w14:textId="77777777" w:rsidR="008A1E55" w:rsidRPr="006B42D6" w:rsidRDefault="008A1E55" w:rsidP="00E16CAE">
            <w:pPr>
              <w:jc w:val="right"/>
              <w:rPr>
                <w:sz w:val="16"/>
                <w:szCs w:val="16"/>
              </w:rPr>
            </w:pPr>
            <w:r w:rsidRPr="006B42D6">
              <w:rPr>
                <w:sz w:val="16"/>
                <w:szCs w:val="16"/>
              </w:rPr>
              <w:t>6.6</w:t>
            </w:r>
          </w:p>
        </w:tc>
        <w:tc>
          <w:tcPr>
            <w:tcW w:w="337" w:type="pct"/>
            <w:tcBorders>
              <w:top w:val="nil"/>
              <w:left w:val="nil"/>
              <w:bottom w:val="nil"/>
              <w:right w:val="nil"/>
            </w:tcBorders>
            <w:shd w:val="clear" w:color="auto" w:fill="auto"/>
            <w:noWrap/>
            <w:vAlign w:val="center"/>
            <w:hideMark/>
          </w:tcPr>
          <w:p w14:paraId="37740AE4" w14:textId="77777777" w:rsidR="008A1E55" w:rsidRPr="006B42D6" w:rsidRDefault="008A1E55" w:rsidP="00E16CAE">
            <w:pPr>
              <w:jc w:val="right"/>
              <w:rPr>
                <w:sz w:val="16"/>
                <w:szCs w:val="16"/>
              </w:rPr>
            </w:pPr>
            <w:r w:rsidRPr="006B42D6">
              <w:rPr>
                <w:sz w:val="16"/>
                <w:szCs w:val="16"/>
              </w:rPr>
              <w:t>2.9</w:t>
            </w:r>
          </w:p>
        </w:tc>
        <w:tc>
          <w:tcPr>
            <w:tcW w:w="353" w:type="pct"/>
            <w:tcBorders>
              <w:top w:val="nil"/>
              <w:left w:val="nil"/>
              <w:bottom w:val="nil"/>
              <w:right w:val="nil"/>
            </w:tcBorders>
            <w:shd w:val="clear" w:color="auto" w:fill="auto"/>
            <w:noWrap/>
            <w:vAlign w:val="center"/>
            <w:hideMark/>
          </w:tcPr>
          <w:p w14:paraId="79D29FD8" w14:textId="77777777" w:rsidR="008A1E55" w:rsidRPr="006B42D6" w:rsidRDefault="008A1E55" w:rsidP="00E16CAE">
            <w:pPr>
              <w:jc w:val="right"/>
              <w:rPr>
                <w:sz w:val="16"/>
                <w:szCs w:val="16"/>
              </w:rPr>
            </w:pPr>
            <w:r w:rsidRPr="006B42D6">
              <w:rPr>
                <w:sz w:val="16"/>
                <w:szCs w:val="16"/>
              </w:rPr>
              <w:t>13.9</w:t>
            </w:r>
          </w:p>
        </w:tc>
        <w:tc>
          <w:tcPr>
            <w:tcW w:w="399" w:type="pct"/>
            <w:tcBorders>
              <w:top w:val="nil"/>
              <w:left w:val="nil"/>
              <w:bottom w:val="nil"/>
              <w:right w:val="nil"/>
            </w:tcBorders>
            <w:shd w:val="clear" w:color="auto" w:fill="auto"/>
            <w:noWrap/>
            <w:vAlign w:val="center"/>
            <w:hideMark/>
          </w:tcPr>
          <w:p w14:paraId="204B2B90" w14:textId="77777777" w:rsidR="008A1E55" w:rsidRPr="006B42D6" w:rsidRDefault="008A1E55" w:rsidP="00E16CAE">
            <w:pPr>
              <w:jc w:val="right"/>
              <w:rPr>
                <w:sz w:val="16"/>
                <w:szCs w:val="16"/>
              </w:rPr>
            </w:pPr>
            <w:r w:rsidRPr="006B42D6">
              <w:rPr>
                <w:sz w:val="16"/>
                <w:szCs w:val="16"/>
              </w:rPr>
              <w:t>9.2</w:t>
            </w:r>
          </w:p>
        </w:tc>
        <w:tc>
          <w:tcPr>
            <w:tcW w:w="386" w:type="pct"/>
            <w:tcBorders>
              <w:top w:val="nil"/>
              <w:left w:val="nil"/>
              <w:bottom w:val="nil"/>
              <w:right w:val="nil"/>
            </w:tcBorders>
            <w:shd w:val="clear" w:color="auto" w:fill="auto"/>
            <w:noWrap/>
            <w:vAlign w:val="center"/>
            <w:hideMark/>
          </w:tcPr>
          <w:p w14:paraId="7ED30428" w14:textId="77777777" w:rsidR="008A1E55" w:rsidRPr="006B42D6" w:rsidRDefault="008A1E55" w:rsidP="00E16CAE">
            <w:pPr>
              <w:jc w:val="right"/>
              <w:rPr>
                <w:sz w:val="16"/>
                <w:szCs w:val="16"/>
              </w:rPr>
            </w:pPr>
            <w:r w:rsidRPr="006B42D6">
              <w:rPr>
                <w:sz w:val="16"/>
                <w:szCs w:val="16"/>
              </w:rPr>
              <w:t>5.4</w:t>
            </w:r>
          </w:p>
        </w:tc>
        <w:tc>
          <w:tcPr>
            <w:tcW w:w="452" w:type="pct"/>
            <w:tcBorders>
              <w:top w:val="nil"/>
              <w:left w:val="nil"/>
              <w:bottom w:val="nil"/>
              <w:right w:val="nil"/>
            </w:tcBorders>
            <w:shd w:val="clear" w:color="auto" w:fill="auto"/>
            <w:noWrap/>
            <w:vAlign w:val="center"/>
            <w:hideMark/>
          </w:tcPr>
          <w:p w14:paraId="0053725D" w14:textId="77777777" w:rsidR="008A1E55" w:rsidRPr="006B42D6" w:rsidRDefault="008A1E55" w:rsidP="00E16CAE">
            <w:pPr>
              <w:jc w:val="right"/>
              <w:rPr>
                <w:sz w:val="16"/>
                <w:szCs w:val="16"/>
              </w:rPr>
            </w:pPr>
            <w:r w:rsidRPr="006B42D6">
              <w:rPr>
                <w:sz w:val="16"/>
                <w:szCs w:val="16"/>
              </w:rPr>
              <w:t>8.0</w:t>
            </w:r>
          </w:p>
        </w:tc>
        <w:tc>
          <w:tcPr>
            <w:tcW w:w="353" w:type="pct"/>
            <w:tcBorders>
              <w:top w:val="nil"/>
              <w:left w:val="nil"/>
              <w:bottom w:val="nil"/>
              <w:right w:val="nil"/>
            </w:tcBorders>
            <w:shd w:val="clear" w:color="auto" w:fill="auto"/>
            <w:noWrap/>
            <w:vAlign w:val="center"/>
            <w:hideMark/>
          </w:tcPr>
          <w:p w14:paraId="1C5708C5" w14:textId="77777777" w:rsidR="008A1E55" w:rsidRPr="006B42D6" w:rsidRDefault="008A1E55" w:rsidP="00E16CAE">
            <w:pPr>
              <w:jc w:val="right"/>
              <w:rPr>
                <w:sz w:val="16"/>
                <w:szCs w:val="16"/>
              </w:rPr>
            </w:pPr>
            <w:r w:rsidRPr="006B42D6">
              <w:rPr>
                <w:sz w:val="16"/>
                <w:szCs w:val="16"/>
              </w:rPr>
              <w:t>0.9</w:t>
            </w:r>
          </w:p>
        </w:tc>
        <w:tc>
          <w:tcPr>
            <w:tcW w:w="383" w:type="pct"/>
            <w:tcBorders>
              <w:top w:val="nil"/>
              <w:left w:val="nil"/>
              <w:bottom w:val="nil"/>
              <w:right w:val="nil"/>
            </w:tcBorders>
            <w:shd w:val="clear" w:color="auto" w:fill="auto"/>
            <w:noWrap/>
            <w:vAlign w:val="center"/>
            <w:hideMark/>
          </w:tcPr>
          <w:p w14:paraId="51F81CC6" w14:textId="77777777" w:rsidR="008A1E55" w:rsidRPr="006B42D6" w:rsidRDefault="008A1E55" w:rsidP="00E16CAE">
            <w:pPr>
              <w:jc w:val="right"/>
              <w:rPr>
                <w:sz w:val="16"/>
                <w:szCs w:val="16"/>
              </w:rPr>
            </w:pPr>
            <w:r w:rsidRPr="006B42D6">
              <w:rPr>
                <w:sz w:val="16"/>
                <w:szCs w:val="16"/>
              </w:rPr>
              <w:t>7.7</w:t>
            </w:r>
          </w:p>
        </w:tc>
        <w:tc>
          <w:tcPr>
            <w:tcW w:w="268" w:type="pct"/>
            <w:tcBorders>
              <w:top w:val="nil"/>
              <w:left w:val="nil"/>
              <w:bottom w:val="nil"/>
              <w:right w:val="nil"/>
            </w:tcBorders>
            <w:shd w:val="clear" w:color="auto" w:fill="auto"/>
            <w:noWrap/>
            <w:vAlign w:val="center"/>
            <w:hideMark/>
          </w:tcPr>
          <w:p w14:paraId="3674AA6D" w14:textId="77777777" w:rsidR="008A1E55" w:rsidRPr="006B42D6" w:rsidRDefault="008A1E55" w:rsidP="00E16CAE">
            <w:pPr>
              <w:jc w:val="right"/>
              <w:rPr>
                <w:sz w:val="16"/>
                <w:szCs w:val="16"/>
              </w:rPr>
            </w:pPr>
            <w:r w:rsidRPr="006B42D6">
              <w:rPr>
                <w:sz w:val="16"/>
                <w:szCs w:val="16"/>
              </w:rPr>
              <w:t>7.4</w:t>
            </w:r>
          </w:p>
        </w:tc>
        <w:tc>
          <w:tcPr>
            <w:tcW w:w="268" w:type="pct"/>
            <w:tcBorders>
              <w:top w:val="nil"/>
              <w:left w:val="nil"/>
              <w:bottom w:val="nil"/>
              <w:right w:val="nil"/>
            </w:tcBorders>
            <w:shd w:val="clear" w:color="auto" w:fill="auto"/>
            <w:noWrap/>
            <w:vAlign w:val="center"/>
            <w:hideMark/>
          </w:tcPr>
          <w:p w14:paraId="34BAF0EA" w14:textId="77777777" w:rsidR="008A1E55" w:rsidRPr="006B42D6" w:rsidRDefault="008A1E55" w:rsidP="00E16CAE">
            <w:pPr>
              <w:jc w:val="right"/>
              <w:rPr>
                <w:sz w:val="16"/>
                <w:szCs w:val="16"/>
              </w:rPr>
            </w:pPr>
            <w:r w:rsidRPr="006B42D6">
              <w:rPr>
                <w:sz w:val="16"/>
                <w:szCs w:val="16"/>
              </w:rPr>
              <w:t>-</w:t>
            </w:r>
          </w:p>
        </w:tc>
        <w:tc>
          <w:tcPr>
            <w:tcW w:w="268" w:type="pct"/>
            <w:tcBorders>
              <w:top w:val="nil"/>
              <w:left w:val="nil"/>
              <w:bottom w:val="nil"/>
              <w:right w:val="nil"/>
            </w:tcBorders>
            <w:shd w:val="clear" w:color="auto" w:fill="auto"/>
            <w:noWrap/>
            <w:vAlign w:val="center"/>
            <w:hideMark/>
          </w:tcPr>
          <w:p w14:paraId="02B90845" w14:textId="77777777" w:rsidR="008A1E55" w:rsidRPr="006B42D6" w:rsidRDefault="008A1E55" w:rsidP="00E16CAE">
            <w:pPr>
              <w:jc w:val="right"/>
              <w:rPr>
                <w:sz w:val="16"/>
                <w:szCs w:val="16"/>
              </w:rPr>
            </w:pPr>
            <w:r w:rsidRPr="006B42D6">
              <w:rPr>
                <w:sz w:val="16"/>
                <w:szCs w:val="16"/>
              </w:rPr>
              <w:t>-</w:t>
            </w:r>
          </w:p>
        </w:tc>
        <w:tc>
          <w:tcPr>
            <w:tcW w:w="314" w:type="pct"/>
            <w:tcBorders>
              <w:top w:val="nil"/>
              <w:left w:val="nil"/>
              <w:bottom w:val="nil"/>
              <w:right w:val="nil"/>
            </w:tcBorders>
            <w:shd w:val="clear" w:color="auto" w:fill="auto"/>
            <w:noWrap/>
            <w:vAlign w:val="center"/>
            <w:hideMark/>
          </w:tcPr>
          <w:p w14:paraId="0F7EE894" w14:textId="77777777" w:rsidR="008A1E55" w:rsidRPr="006B42D6" w:rsidRDefault="008A1E55" w:rsidP="00E16CAE">
            <w:pPr>
              <w:jc w:val="right"/>
              <w:rPr>
                <w:sz w:val="16"/>
                <w:szCs w:val="16"/>
              </w:rPr>
            </w:pPr>
            <w:r w:rsidRPr="006B42D6">
              <w:rPr>
                <w:sz w:val="16"/>
                <w:szCs w:val="16"/>
              </w:rPr>
              <w:t>9.4</w:t>
            </w:r>
          </w:p>
        </w:tc>
        <w:tc>
          <w:tcPr>
            <w:tcW w:w="268" w:type="pct"/>
            <w:tcBorders>
              <w:top w:val="nil"/>
              <w:left w:val="nil"/>
              <w:bottom w:val="nil"/>
              <w:right w:val="nil"/>
            </w:tcBorders>
            <w:shd w:val="clear" w:color="auto" w:fill="auto"/>
            <w:noWrap/>
            <w:vAlign w:val="center"/>
            <w:hideMark/>
          </w:tcPr>
          <w:p w14:paraId="12AD4160" w14:textId="77777777" w:rsidR="008A1E55" w:rsidRPr="006B42D6" w:rsidRDefault="008A1E55" w:rsidP="00E16CAE">
            <w:pPr>
              <w:jc w:val="right"/>
              <w:rPr>
                <w:sz w:val="16"/>
                <w:szCs w:val="16"/>
              </w:rPr>
            </w:pPr>
            <w:r w:rsidRPr="006B42D6">
              <w:rPr>
                <w:sz w:val="16"/>
                <w:szCs w:val="16"/>
              </w:rPr>
              <w:t>5.6</w:t>
            </w:r>
          </w:p>
        </w:tc>
      </w:tr>
      <w:tr w:rsidR="006B42D6" w:rsidRPr="006B42D6" w14:paraId="407E22A5" w14:textId="77777777" w:rsidTr="005420E0">
        <w:trPr>
          <w:trHeight w:hRule="exact" w:val="227"/>
        </w:trPr>
        <w:tc>
          <w:tcPr>
            <w:tcW w:w="606" w:type="pct"/>
            <w:tcBorders>
              <w:top w:val="nil"/>
              <w:left w:val="nil"/>
              <w:bottom w:val="nil"/>
              <w:right w:val="nil"/>
            </w:tcBorders>
            <w:shd w:val="clear" w:color="auto" w:fill="auto"/>
            <w:noWrap/>
            <w:vAlign w:val="center"/>
            <w:hideMark/>
          </w:tcPr>
          <w:p w14:paraId="0A825DA6" w14:textId="77777777" w:rsidR="008A1E55" w:rsidRPr="006B42D6" w:rsidRDefault="008A1E55" w:rsidP="00E16CAE">
            <w:pPr>
              <w:rPr>
                <w:sz w:val="16"/>
                <w:szCs w:val="16"/>
              </w:rPr>
            </w:pPr>
            <w:r w:rsidRPr="006B42D6">
              <w:rPr>
                <w:sz w:val="16"/>
                <w:szCs w:val="16"/>
              </w:rPr>
              <w:t>Arusha</w:t>
            </w:r>
          </w:p>
        </w:tc>
        <w:tc>
          <w:tcPr>
            <w:tcW w:w="345" w:type="pct"/>
            <w:tcBorders>
              <w:top w:val="nil"/>
              <w:left w:val="nil"/>
              <w:bottom w:val="nil"/>
              <w:right w:val="nil"/>
            </w:tcBorders>
            <w:shd w:val="clear" w:color="auto" w:fill="auto"/>
            <w:noWrap/>
            <w:vAlign w:val="center"/>
            <w:hideMark/>
          </w:tcPr>
          <w:p w14:paraId="464F5789" w14:textId="77777777" w:rsidR="008A1E55" w:rsidRPr="006B42D6" w:rsidRDefault="008A1E55" w:rsidP="00E16CAE">
            <w:pPr>
              <w:jc w:val="right"/>
              <w:rPr>
                <w:sz w:val="16"/>
                <w:szCs w:val="16"/>
              </w:rPr>
            </w:pPr>
            <w:r w:rsidRPr="006B42D6">
              <w:rPr>
                <w:sz w:val="16"/>
                <w:szCs w:val="16"/>
              </w:rPr>
              <w:t>4.6</w:t>
            </w:r>
          </w:p>
        </w:tc>
        <w:tc>
          <w:tcPr>
            <w:tcW w:w="337" w:type="pct"/>
            <w:tcBorders>
              <w:top w:val="nil"/>
              <w:left w:val="nil"/>
              <w:bottom w:val="nil"/>
              <w:right w:val="nil"/>
            </w:tcBorders>
            <w:shd w:val="clear" w:color="auto" w:fill="auto"/>
            <w:noWrap/>
            <w:vAlign w:val="center"/>
            <w:hideMark/>
          </w:tcPr>
          <w:p w14:paraId="6CDDFF61" w14:textId="77777777" w:rsidR="008A1E55" w:rsidRPr="006B42D6" w:rsidRDefault="008A1E55" w:rsidP="00E16CAE">
            <w:pPr>
              <w:jc w:val="right"/>
              <w:rPr>
                <w:sz w:val="16"/>
                <w:szCs w:val="16"/>
              </w:rPr>
            </w:pPr>
            <w:r w:rsidRPr="006B42D6">
              <w:rPr>
                <w:sz w:val="16"/>
                <w:szCs w:val="16"/>
              </w:rPr>
              <w:t>1.2</w:t>
            </w:r>
          </w:p>
        </w:tc>
        <w:tc>
          <w:tcPr>
            <w:tcW w:w="353" w:type="pct"/>
            <w:tcBorders>
              <w:top w:val="nil"/>
              <w:left w:val="nil"/>
              <w:bottom w:val="nil"/>
              <w:right w:val="nil"/>
            </w:tcBorders>
            <w:shd w:val="clear" w:color="auto" w:fill="auto"/>
            <w:noWrap/>
            <w:vAlign w:val="center"/>
            <w:hideMark/>
          </w:tcPr>
          <w:p w14:paraId="1B9B1990" w14:textId="77777777" w:rsidR="008A1E55" w:rsidRPr="006B42D6" w:rsidRDefault="008A1E55" w:rsidP="00E16CAE">
            <w:pPr>
              <w:jc w:val="right"/>
              <w:rPr>
                <w:sz w:val="16"/>
                <w:szCs w:val="16"/>
              </w:rPr>
            </w:pPr>
            <w:r w:rsidRPr="006B42D6">
              <w:rPr>
                <w:sz w:val="16"/>
                <w:szCs w:val="16"/>
              </w:rPr>
              <w:t>2.6</w:t>
            </w:r>
          </w:p>
        </w:tc>
        <w:tc>
          <w:tcPr>
            <w:tcW w:w="399" w:type="pct"/>
            <w:tcBorders>
              <w:top w:val="nil"/>
              <w:left w:val="nil"/>
              <w:bottom w:val="nil"/>
              <w:right w:val="nil"/>
            </w:tcBorders>
            <w:shd w:val="clear" w:color="auto" w:fill="auto"/>
            <w:noWrap/>
            <w:vAlign w:val="center"/>
            <w:hideMark/>
          </w:tcPr>
          <w:p w14:paraId="28305D64" w14:textId="77777777" w:rsidR="008A1E55" w:rsidRPr="006B42D6" w:rsidRDefault="008A1E55" w:rsidP="00E16CAE">
            <w:pPr>
              <w:jc w:val="right"/>
              <w:rPr>
                <w:sz w:val="16"/>
                <w:szCs w:val="16"/>
              </w:rPr>
            </w:pPr>
            <w:r w:rsidRPr="006B42D6">
              <w:rPr>
                <w:sz w:val="16"/>
                <w:szCs w:val="16"/>
              </w:rPr>
              <w:t>0.1</w:t>
            </w:r>
          </w:p>
        </w:tc>
        <w:tc>
          <w:tcPr>
            <w:tcW w:w="386" w:type="pct"/>
            <w:tcBorders>
              <w:top w:val="nil"/>
              <w:left w:val="nil"/>
              <w:bottom w:val="nil"/>
              <w:right w:val="nil"/>
            </w:tcBorders>
            <w:shd w:val="clear" w:color="auto" w:fill="auto"/>
            <w:noWrap/>
            <w:vAlign w:val="center"/>
            <w:hideMark/>
          </w:tcPr>
          <w:p w14:paraId="627B8205" w14:textId="77777777" w:rsidR="008A1E55" w:rsidRPr="006B42D6" w:rsidRDefault="008A1E55" w:rsidP="00E16CAE">
            <w:pPr>
              <w:jc w:val="right"/>
              <w:rPr>
                <w:sz w:val="16"/>
                <w:szCs w:val="16"/>
              </w:rPr>
            </w:pPr>
            <w:r w:rsidRPr="006B42D6">
              <w:rPr>
                <w:sz w:val="16"/>
                <w:szCs w:val="16"/>
              </w:rPr>
              <w:t>1.6</w:t>
            </w:r>
          </w:p>
        </w:tc>
        <w:tc>
          <w:tcPr>
            <w:tcW w:w="452" w:type="pct"/>
            <w:tcBorders>
              <w:top w:val="nil"/>
              <w:left w:val="nil"/>
              <w:bottom w:val="nil"/>
              <w:right w:val="nil"/>
            </w:tcBorders>
            <w:shd w:val="clear" w:color="auto" w:fill="auto"/>
            <w:noWrap/>
            <w:vAlign w:val="center"/>
            <w:hideMark/>
          </w:tcPr>
          <w:p w14:paraId="3737D89A" w14:textId="77777777" w:rsidR="008A1E55" w:rsidRPr="006B42D6" w:rsidRDefault="008A1E55" w:rsidP="00E16CAE">
            <w:pPr>
              <w:jc w:val="right"/>
              <w:rPr>
                <w:sz w:val="16"/>
                <w:szCs w:val="16"/>
              </w:rPr>
            </w:pPr>
            <w:r w:rsidRPr="006B42D6">
              <w:rPr>
                <w:sz w:val="16"/>
                <w:szCs w:val="16"/>
              </w:rPr>
              <w:t>4.8</w:t>
            </w:r>
          </w:p>
        </w:tc>
        <w:tc>
          <w:tcPr>
            <w:tcW w:w="353" w:type="pct"/>
            <w:tcBorders>
              <w:top w:val="nil"/>
              <w:left w:val="nil"/>
              <w:bottom w:val="nil"/>
              <w:right w:val="nil"/>
            </w:tcBorders>
            <w:shd w:val="clear" w:color="auto" w:fill="auto"/>
            <w:noWrap/>
            <w:vAlign w:val="center"/>
            <w:hideMark/>
          </w:tcPr>
          <w:p w14:paraId="747D5D2A" w14:textId="77777777" w:rsidR="008A1E55" w:rsidRPr="006B42D6" w:rsidRDefault="008A1E55" w:rsidP="00E16CAE">
            <w:pPr>
              <w:jc w:val="right"/>
              <w:rPr>
                <w:sz w:val="16"/>
                <w:szCs w:val="16"/>
              </w:rPr>
            </w:pPr>
            <w:r w:rsidRPr="006B42D6">
              <w:rPr>
                <w:sz w:val="16"/>
                <w:szCs w:val="16"/>
              </w:rPr>
              <w:t>1.6</w:t>
            </w:r>
          </w:p>
        </w:tc>
        <w:tc>
          <w:tcPr>
            <w:tcW w:w="383" w:type="pct"/>
            <w:tcBorders>
              <w:top w:val="nil"/>
              <w:left w:val="nil"/>
              <w:bottom w:val="nil"/>
              <w:right w:val="nil"/>
            </w:tcBorders>
            <w:shd w:val="clear" w:color="auto" w:fill="auto"/>
            <w:noWrap/>
            <w:vAlign w:val="center"/>
            <w:hideMark/>
          </w:tcPr>
          <w:p w14:paraId="086C1091" w14:textId="77777777" w:rsidR="008A1E55" w:rsidRPr="006B42D6" w:rsidRDefault="008A1E55" w:rsidP="00E16CAE">
            <w:pPr>
              <w:jc w:val="right"/>
              <w:rPr>
                <w:sz w:val="16"/>
                <w:szCs w:val="16"/>
              </w:rPr>
            </w:pPr>
            <w:r w:rsidRPr="006B42D6">
              <w:rPr>
                <w:sz w:val="16"/>
                <w:szCs w:val="16"/>
              </w:rPr>
              <w:t>0.9</w:t>
            </w:r>
          </w:p>
        </w:tc>
        <w:tc>
          <w:tcPr>
            <w:tcW w:w="268" w:type="pct"/>
            <w:tcBorders>
              <w:top w:val="nil"/>
              <w:left w:val="nil"/>
              <w:bottom w:val="nil"/>
              <w:right w:val="nil"/>
            </w:tcBorders>
            <w:shd w:val="clear" w:color="auto" w:fill="auto"/>
            <w:noWrap/>
            <w:vAlign w:val="center"/>
            <w:hideMark/>
          </w:tcPr>
          <w:p w14:paraId="34C44B57" w14:textId="77777777" w:rsidR="008A1E55" w:rsidRPr="006B42D6" w:rsidRDefault="008A1E55" w:rsidP="00E16CAE">
            <w:pPr>
              <w:jc w:val="right"/>
              <w:rPr>
                <w:sz w:val="16"/>
                <w:szCs w:val="16"/>
              </w:rPr>
            </w:pPr>
            <w:r w:rsidRPr="006B42D6">
              <w:rPr>
                <w:sz w:val="16"/>
                <w:szCs w:val="16"/>
              </w:rPr>
              <w:t>2.2</w:t>
            </w:r>
          </w:p>
        </w:tc>
        <w:tc>
          <w:tcPr>
            <w:tcW w:w="268" w:type="pct"/>
            <w:tcBorders>
              <w:top w:val="nil"/>
              <w:left w:val="nil"/>
              <w:bottom w:val="nil"/>
              <w:right w:val="nil"/>
            </w:tcBorders>
            <w:shd w:val="clear" w:color="auto" w:fill="auto"/>
            <w:noWrap/>
            <w:vAlign w:val="center"/>
            <w:hideMark/>
          </w:tcPr>
          <w:p w14:paraId="698B1914" w14:textId="77777777" w:rsidR="008A1E55" w:rsidRPr="006B42D6" w:rsidRDefault="008A1E55" w:rsidP="00E16CAE">
            <w:pPr>
              <w:jc w:val="right"/>
              <w:rPr>
                <w:sz w:val="16"/>
                <w:szCs w:val="16"/>
              </w:rPr>
            </w:pPr>
            <w:r w:rsidRPr="006B42D6">
              <w:rPr>
                <w:sz w:val="16"/>
                <w:szCs w:val="16"/>
              </w:rPr>
              <w:t>4.4</w:t>
            </w:r>
          </w:p>
        </w:tc>
        <w:tc>
          <w:tcPr>
            <w:tcW w:w="268" w:type="pct"/>
            <w:tcBorders>
              <w:top w:val="nil"/>
              <w:left w:val="nil"/>
              <w:bottom w:val="nil"/>
              <w:right w:val="nil"/>
            </w:tcBorders>
            <w:shd w:val="clear" w:color="auto" w:fill="auto"/>
            <w:noWrap/>
            <w:vAlign w:val="center"/>
            <w:hideMark/>
          </w:tcPr>
          <w:p w14:paraId="184DF141" w14:textId="77777777" w:rsidR="008A1E55" w:rsidRPr="006B42D6" w:rsidRDefault="008A1E55" w:rsidP="00E16CAE">
            <w:pPr>
              <w:jc w:val="right"/>
              <w:rPr>
                <w:sz w:val="16"/>
                <w:szCs w:val="16"/>
              </w:rPr>
            </w:pPr>
            <w:r w:rsidRPr="006B42D6">
              <w:rPr>
                <w:sz w:val="16"/>
                <w:szCs w:val="16"/>
              </w:rPr>
              <w:t>-</w:t>
            </w:r>
          </w:p>
        </w:tc>
        <w:tc>
          <w:tcPr>
            <w:tcW w:w="314" w:type="pct"/>
            <w:tcBorders>
              <w:top w:val="nil"/>
              <w:left w:val="nil"/>
              <w:bottom w:val="nil"/>
              <w:right w:val="nil"/>
            </w:tcBorders>
            <w:shd w:val="clear" w:color="auto" w:fill="auto"/>
            <w:noWrap/>
            <w:vAlign w:val="center"/>
            <w:hideMark/>
          </w:tcPr>
          <w:p w14:paraId="012D0E0E" w14:textId="77777777" w:rsidR="008A1E55" w:rsidRPr="006B42D6" w:rsidRDefault="008A1E55" w:rsidP="00E16CAE">
            <w:pPr>
              <w:jc w:val="right"/>
              <w:rPr>
                <w:sz w:val="16"/>
                <w:szCs w:val="16"/>
              </w:rPr>
            </w:pPr>
            <w:r w:rsidRPr="006B42D6">
              <w:rPr>
                <w:sz w:val="16"/>
                <w:szCs w:val="16"/>
              </w:rPr>
              <w:t>0.2</w:t>
            </w:r>
          </w:p>
        </w:tc>
        <w:tc>
          <w:tcPr>
            <w:tcW w:w="268" w:type="pct"/>
            <w:tcBorders>
              <w:top w:val="nil"/>
              <w:left w:val="nil"/>
              <w:bottom w:val="nil"/>
              <w:right w:val="nil"/>
            </w:tcBorders>
            <w:shd w:val="clear" w:color="auto" w:fill="auto"/>
            <w:noWrap/>
            <w:vAlign w:val="center"/>
            <w:hideMark/>
          </w:tcPr>
          <w:p w14:paraId="3880CE7B" w14:textId="77777777" w:rsidR="008A1E55" w:rsidRPr="006B42D6" w:rsidRDefault="008A1E55" w:rsidP="00E16CAE">
            <w:pPr>
              <w:jc w:val="right"/>
              <w:rPr>
                <w:sz w:val="16"/>
                <w:szCs w:val="16"/>
              </w:rPr>
            </w:pPr>
            <w:r w:rsidRPr="006B42D6">
              <w:rPr>
                <w:sz w:val="16"/>
                <w:szCs w:val="16"/>
              </w:rPr>
              <w:t>1.0</w:t>
            </w:r>
          </w:p>
        </w:tc>
      </w:tr>
      <w:tr w:rsidR="006B42D6" w:rsidRPr="006B42D6" w14:paraId="30FA074E" w14:textId="77777777" w:rsidTr="005420E0">
        <w:trPr>
          <w:trHeight w:hRule="exact" w:val="227"/>
        </w:trPr>
        <w:tc>
          <w:tcPr>
            <w:tcW w:w="606" w:type="pct"/>
            <w:tcBorders>
              <w:top w:val="nil"/>
              <w:left w:val="nil"/>
              <w:bottom w:val="nil"/>
              <w:right w:val="nil"/>
            </w:tcBorders>
            <w:shd w:val="clear" w:color="auto" w:fill="auto"/>
            <w:noWrap/>
            <w:vAlign w:val="center"/>
            <w:hideMark/>
          </w:tcPr>
          <w:p w14:paraId="4203F0B4" w14:textId="77777777" w:rsidR="008A1E55" w:rsidRPr="006B42D6" w:rsidRDefault="008A1E55" w:rsidP="00E16CAE">
            <w:pPr>
              <w:rPr>
                <w:sz w:val="16"/>
                <w:szCs w:val="16"/>
              </w:rPr>
            </w:pPr>
            <w:r w:rsidRPr="006B42D6">
              <w:rPr>
                <w:sz w:val="16"/>
                <w:szCs w:val="16"/>
              </w:rPr>
              <w:t>Kilimanjaro</w:t>
            </w:r>
          </w:p>
        </w:tc>
        <w:tc>
          <w:tcPr>
            <w:tcW w:w="345" w:type="pct"/>
            <w:tcBorders>
              <w:top w:val="nil"/>
              <w:left w:val="nil"/>
              <w:bottom w:val="nil"/>
              <w:right w:val="nil"/>
            </w:tcBorders>
            <w:shd w:val="clear" w:color="auto" w:fill="auto"/>
            <w:noWrap/>
            <w:vAlign w:val="center"/>
            <w:hideMark/>
          </w:tcPr>
          <w:p w14:paraId="2C35FE49" w14:textId="77777777" w:rsidR="008A1E55" w:rsidRPr="006B42D6" w:rsidRDefault="008A1E55" w:rsidP="00E16CAE">
            <w:pPr>
              <w:jc w:val="right"/>
              <w:rPr>
                <w:sz w:val="16"/>
                <w:szCs w:val="16"/>
              </w:rPr>
            </w:pPr>
            <w:r w:rsidRPr="006B42D6">
              <w:rPr>
                <w:sz w:val="16"/>
                <w:szCs w:val="16"/>
              </w:rPr>
              <w:t>8.4</w:t>
            </w:r>
          </w:p>
        </w:tc>
        <w:tc>
          <w:tcPr>
            <w:tcW w:w="337" w:type="pct"/>
            <w:tcBorders>
              <w:top w:val="nil"/>
              <w:left w:val="nil"/>
              <w:bottom w:val="nil"/>
              <w:right w:val="nil"/>
            </w:tcBorders>
            <w:shd w:val="clear" w:color="auto" w:fill="auto"/>
            <w:noWrap/>
            <w:vAlign w:val="center"/>
            <w:hideMark/>
          </w:tcPr>
          <w:p w14:paraId="2E6908A4" w14:textId="77777777" w:rsidR="008A1E55" w:rsidRPr="006B42D6" w:rsidRDefault="008A1E55" w:rsidP="00E16CAE">
            <w:pPr>
              <w:jc w:val="right"/>
              <w:rPr>
                <w:sz w:val="16"/>
                <w:szCs w:val="16"/>
              </w:rPr>
            </w:pPr>
            <w:r w:rsidRPr="006B42D6">
              <w:rPr>
                <w:sz w:val="16"/>
                <w:szCs w:val="16"/>
              </w:rPr>
              <w:t>0.6</w:t>
            </w:r>
          </w:p>
        </w:tc>
        <w:tc>
          <w:tcPr>
            <w:tcW w:w="353" w:type="pct"/>
            <w:tcBorders>
              <w:top w:val="nil"/>
              <w:left w:val="nil"/>
              <w:bottom w:val="nil"/>
              <w:right w:val="nil"/>
            </w:tcBorders>
            <w:shd w:val="clear" w:color="auto" w:fill="auto"/>
            <w:noWrap/>
            <w:vAlign w:val="center"/>
            <w:hideMark/>
          </w:tcPr>
          <w:p w14:paraId="0E7D586B" w14:textId="77777777" w:rsidR="008A1E55" w:rsidRPr="006B42D6" w:rsidRDefault="008A1E55" w:rsidP="00E16CAE">
            <w:pPr>
              <w:jc w:val="right"/>
              <w:rPr>
                <w:sz w:val="16"/>
                <w:szCs w:val="16"/>
              </w:rPr>
            </w:pPr>
            <w:r w:rsidRPr="006B42D6">
              <w:rPr>
                <w:sz w:val="16"/>
                <w:szCs w:val="16"/>
              </w:rPr>
              <w:t>0.7</w:t>
            </w:r>
          </w:p>
        </w:tc>
        <w:tc>
          <w:tcPr>
            <w:tcW w:w="399" w:type="pct"/>
            <w:tcBorders>
              <w:top w:val="nil"/>
              <w:left w:val="nil"/>
              <w:bottom w:val="nil"/>
              <w:right w:val="nil"/>
            </w:tcBorders>
            <w:shd w:val="clear" w:color="auto" w:fill="auto"/>
            <w:noWrap/>
            <w:vAlign w:val="center"/>
            <w:hideMark/>
          </w:tcPr>
          <w:p w14:paraId="79B5B65E" w14:textId="77777777" w:rsidR="008A1E55" w:rsidRPr="006B42D6" w:rsidRDefault="008A1E55" w:rsidP="00E16CAE">
            <w:pPr>
              <w:jc w:val="right"/>
              <w:rPr>
                <w:sz w:val="16"/>
                <w:szCs w:val="16"/>
              </w:rPr>
            </w:pPr>
            <w:r w:rsidRPr="006B42D6">
              <w:rPr>
                <w:sz w:val="16"/>
                <w:szCs w:val="16"/>
              </w:rPr>
              <w:t>0.2</w:t>
            </w:r>
          </w:p>
        </w:tc>
        <w:tc>
          <w:tcPr>
            <w:tcW w:w="386" w:type="pct"/>
            <w:tcBorders>
              <w:top w:val="nil"/>
              <w:left w:val="nil"/>
              <w:bottom w:val="nil"/>
              <w:right w:val="nil"/>
            </w:tcBorders>
            <w:shd w:val="clear" w:color="auto" w:fill="auto"/>
            <w:noWrap/>
            <w:vAlign w:val="center"/>
            <w:hideMark/>
          </w:tcPr>
          <w:p w14:paraId="4B222883" w14:textId="77777777" w:rsidR="008A1E55" w:rsidRPr="006B42D6" w:rsidRDefault="008A1E55" w:rsidP="00E16CAE">
            <w:pPr>
              <w:jc w:val="right"/>
              <w:rPr>
                <w:sz w:val="16"/>
                <w:szCs w:val="16"/>
              </w:rPr>
            </w:pPr>
            <w:r w:rsidRPr="006B42D6">
              <w:rPr>
                <w:sz w:val="16"/>
                <w:szCs w:val="16"/>
              </w:rPr>
              <w:t>2.6</w:t>
            </w:r>
          </w:p>
        </w:tc>
        <w:tc>
          <w:tcPr>
            <w:tcW w:w="452" w:type="pct"/>
            <w:tcBorders>
              <w:top w:val="nil"/>
              <w:left w:val="nil"/>
              <w:bottom w:val="nil"/>
              <w:right w:val="nil"/>
            </w:tcBorders>
            <w:shd w:val="clear" w:color="auto" w:fill="auto"/>
            <w:noWrap/>
            <w:vAlign w:val="center"/>
            <w:hideMark/>
          </w:tcPr>
          <w:p w14:paraId="787906DF" w14:textId="77777777" w:rsidR="008A1E55" w:rsidRPr="006B42D6" w:rsidRDefault="008A1E55" w:rsidP="00E16CAE">
            <w:pPr>
              <w:jc w:val="right"/>
              <w:rPr>
                <w:sz w:val="16"/>
                <w:szCs w:val="16"/>
              </w:rPr>
            </w:pPr>
            <w:r w:rsidRPr="006B42D6">
              <w:rPr>
                <w:sz w:val="16"/>
                <w:szCs w:val="16"/>
              </w:rPr>
              <w:t>0.3</w:t>
            </w:r>
          </w:p>
        </w:tc>
        <w:tc>
          <w:tcPr>
            <w:tcW w:w="353" w:type="pct"/>
            <w:tcBorders>
              <w:top w:val="nil"/>
              <w:left w:val="nil"/>
              <w:bottom w:val="nil"/>
              <w:right w:val="nil"/>
            </w:tcBorders>
            <w:shd w:val="clear" w:color="auto" w:fill="auto"/>
            <w:noWrap/>
            <w:vAlign w:val="center"/>
            <w:hideMark/>
          </w:tcPr>
          <w:p w14:paraId="56099EAF" w14:textId="77777777" w:rsidR="008A1E55" w:rsidRPr="006B42D6" w:rsidRDefault="008A1E55" w:rsidP="00E16CAE">
            <w:pPr>
              <w:jc w:val="right"/>
              <w:rPr>
                <w:sz w:val="16"/>
                <w:szCs w:val="16"/>
              </w:rPr>
            </w:pPr>
            <w:r w:rsidRPr="006B42D6">
              <w:rPr>
                <w:sz w:val="16"/>
                <w:szCs w:val="16"/>
              </w:rPr>
              <w:t>2.2</w:t>
            </w:r>
          </w:p>
        </w:tc>
        <w:tc>
          <w:tcPr>
            <w:tcW w:w="383" w:type="pct"/>
            <w:tcBorders>
              <w:top w:val="nil"/>
              <w:left w:val="nil"/>
              <w:bottom w:val="nil"/>
              <w:right w:val="nil"/>
            </w:tcBorders>
            <w:shd w:val="clear" w:color="auto" w:fill="auto"/>
            <w:noWrap/>
            <w:vAlign w:val="center"/>
            <w:hideMark/>
          </w:tcPr>
          <w:p w14:paraId="4A197B36" w14:textId="77777777" w:rsidR="008A1E55" w:rsidRPr="006B42D6" w:rsidRDefault="008A1E55" w:rsidP="00E16CAE">
            <w:pPr>
              <w:jc w:val="right"/>
              <w:rPr>
                <w:sz w:val="16"/>
                <w:szCs w:val="16"/>
              </w:rPr>
            </w:pPr>
            <w:r w:rsidRPr="006B42D6">
              <w:rPr>
                <w:sz w:val="16"/>
                <w:szCs w:val="16"/>
              </w:rPr>
              <w:t>0.6</w:t>
            </w:r>
          </w:p>
        </w:tc>
        <w:tc>
          <w:tcPr>
            <w:tcW w:w="268" w:type="pct"/>
            <w:tcBorders>
              <w:top w:val="nil"/>
              <w:left w:val="nil"/>
              <w:bottom w:val="nil"/>
              <w:right w:val="nil"/>
            </w:tcBorders>
            <w:shd w:val="clear" w:color="auto" w:fill="auto"/>
            <w:noWrap/>
            <w:vAlign w:val="center"/>
            <w:hideMark/>
          </w:tcPr>
          <w:p w14:paraId="4E98A613" w14:textId="77777777" w:rsidR="008A1E55" w:rsidRPr="006B42D6" w:rsidRDefault="008A1E55" w:rsidP="00E16CAE">
            <w:pPr>
              <w:jc w:val="right"/>
              <w:rPr>
                <w:sz w:val="16"/>
                <w:szCs w:val="16"/>
              </w:rPr>
            </w:pPr>
            <w:r w:rsidRPr="006B42D6">
              <w:rPr>
                <w:sz w:val="16"/>
                <w:szCs w:val="16"/>
              </w:rPr>
              <w:t>3.4</w:t>
            </w:r>
          </w:p>
        </w:tc>
        <w:tc>
          <w:tcPr>
            <w:tcW w:w="268" w:type="pct"/>
            <w:tcBorders>
              <w:top w:val="nil"/>
              <w:left w:val="nil"/>
              <w:bottom w:val="nil"/>
              <w:right w:val="nil"/>
            </w:tcBorders>
            <w:shd w:val="clear" w:color="auto" w:fill="auto"/>
            <w:noWrap/>
            <w:vAlign w:val="center"/>
            <w:hideMark/>
          </w:tcPr>
          <w:p w14:paraId="5128107A" w14:textId="77777777" w:rsidR="008A1E55" w:rsidRPr="006B42D6" w:rsidRDefault="008A1E55" w:rsidP="00E16CAE">
            <w:pPr>
              <w:jc w:val="right"/>
              <w:rPr>
                <w:sz w:val="16"/>
                <w:szCs w:val="16"/>
              </w:rPr>
            </w:pPr>
            <w:r w:rsidRPr="006B42D6">
              <w:rPr>
                <w:sz w:val="16"/>
                <w:szCs w:val="16"/>
              </w:rPr>
              <w:t>-</w:t>
            </w:r>
          </w:p>
        </w:tc>
        <w:tc>
          <w:tcPr>
            <w:tcW w:w="268" w:type="pct"/>
            <w:tcBorders>
              <w:top w:val="nil"/>
              <w:left w:val="nil"/>
              <w:bottom w:val="nil"/>
              <w:right w:val="nil"/>
            </w:tcBorders>
            <w:shd w:val="clear" w:color="auto" w:fill="auto"/>
            <w:noWrap/>
            <w:vAlign w:val="center"/>
            <w:hideMark/>
          </w:tcPr>
          <w:p w14:paraId="090CEF8A" w14:textId="77777777" w:rsidR="008A1E55" w:rsidRPr="006B42D6" w:rsidRDefault="008A1E55" w:rsidP="00E16CAE">
            <w:pPr>
              <w:jc w:val="right"/>
              <w:rPr>
                <w:sz w:val="16"/>
                <w:szCs w:val="16"/>
              </w:rPr>
            </w:pPr>
            <w:r w:rsidRPr="006B42D6">
              <w:rPr>
                <w:sz w:val="16"/>
                <w:szCs w:val="16"/>
              </w:rPr>
              <w:t>-</w:t>
            </w:r>
          </w:p>
        </w:tc>
        <w:tc>
          <w:tcPr>
            <w:tcW w:w="314" w:type="pct"/>
            <w:tcBorders>
              <w:top w:val="nil"/>
              <w:left w:val="nil"/>
              <w:bottom w:val="nil"/>
              <w:right w:val="nil"/>
            </w:tcBorders>
            <w:shd w:val="clear" w:color="auto" w:fill="auto"/>
            <w:noWrap/>
            <w:vAlign w:val="center"/>
            <w:hideMark/>
          </w:tcPr>
          <w:p w14:paraId="504E4518" w14:textId="77777777" w:rsidR="008A1E55" w:rsidRPr="006B42D6" w:rsidRDefault="008A1E55" w:rsidP="00E16CAE">
            <w:pPr>
              <w:jc w:val="right"/>
              <w:rPr>
                <w:sz w:val="16"/>
                <w:szCs w:val="16"/>
              </w:rPr>
            </w:pPr>
            <w:r w:rsidRPr="006B42D6">
              <w:rPr>
                <w:sz w:val="16"/>
                <w:szCs w:val="16"/>
              </w:rPr>
              <w:t>1.4</w:t>
            </w:r>
          </w:p>
        </w:tc>
        <w:tc>
          <w:tcPr>
            <w:tcW w:w="268" w:type="pct"/>
            <w:tcBorders>
              <w:top w:val="nil"/>
              <w:left w:val="nil"/>
              <w:bottom w:val="nil"/>
              <w:right w:val="nil"/>
            </w:tcBorders>
            <w:shd w:val="clear" w:color="auto" w:fill="auto"/>
            <w:noWrap/>
            <w:vAlign w:val="center"/>
            <w:hideMark/>
          </w:tcPr>
          <w:p w14:paraId="65BD79E4" w14:textId="77777777" w:rsidR="008A1E55" w:rsidRPr="006B42D6" w:rsidRDefault="008A1E55" w:rsidP="00E16CAE">
            <w:pPr>
              <w:jc w:val="right"/>
              <w:rPr>
                <w:sz w:val="16"/>
                <w:szCs w:val="16"/>
              </w:rPr>
            </w:pPr>
            <w:r w:rsidRPr="006B42D6">
              <w:rPr>
                <w:sz w:val="16"/>
                <w:szCs w:val="16"/>
              </w:rPr>
              <w:t>0.9</w:t>
            </w:r>
          </w:p>
        </w:tc>
      </w:tr>
      <w:tr w:rsidR="006B42D6" w:rsidRPr="006B42D6" w14:paraId="4B779A97" w14:textId="77777777" w:rsidTr="005420E0">
        <w:trPr>
          <w:trHeight w:hRule="exact" w:val="227"/>
        </w:trPr>
        <w:tc>
          <w:tcPr>
            <w:tcW w:w="606" w:type="pct"/>
            <w:tcBorders>
              <w:top w:val="nil"/>
              <w:left w:val="nil"/>
              <w:bottom w:val="nil"/>
              <w:right w:val="nil"/>
            </w:tcBorders>
            <w:shd w:val="clear" w:color="auto" w:fill="auto"/>
            <w:noWrap/>
            <w:vAlign w:val="center"/>
            <w:hideMark/>
          </w:tcPr>
          <w:p w14:paraId="02F70F42" w14:textId="77777777" w:rsidR="008A1E55" w:rsidRPr="006B42D6" w:rsidRDefault="008A1E55" w:rsidP="00E16CAE">
            <w:pPr>
              <w:rPr>
                <w:sz w:val="16"/>
                <w:szCs w:val="16"/>
              </w:rPr>
            </w:pPr>
            <w:r w:rsidRPr="006B42D6">
              <w:rPr>
                <w:sz w:val="16"/>
                <w:szCs w:val="16"/>
              </w:rPr>
              <w:t>Tanga</w:t>
            </w:r>
          </w:p>
        </w:tc>
        <w:tc>
          <w:tcPr>
            <w:tcW w:w="345" w:type="pct"/>
            <w:tcBorders>
              <w:top w:val="nil"/>
              <w:left w:val="nil"/>
              <w:bottom w:val="nil"/>
              <w:right w:val="nil"/>
            </w:tcBorders>
            <w:shd w:val="clear" w:color="auto" w:fill="auto"/>
            <w:noWrap/>
            <w:vAlign w:val="center"/>
            <w:hideMark/>
          </w:tcPr>
          <w:p w14:paraId="5B111B3C" w14:textId="77777777" w:rsidR="008A1E55" w:rsidRPr="006B42D6" w:rsidRDefault="008A1E55" w:rsidP="00E16CAE">
            <w:pPr>
              <w:jc w:val="right"/>
              <w:rPr>
                <w:sz w:val="16"/>
                <w:szCs w:val="16"/>
              </w:rPr>
            </w:pPr>
            <w:r w:rsidRPr="006B42D6">
              <w:rPr>
                <w:sz w:val="16"/>
                <w:szCs w:val="16"/>
              </w:rPr>
              <w:t>4.3</w:t>
            </w:r>
          </w:p>
        </w:tc>
        <w:tc>
          <w:tcPr>
            <w:tcW w:w="337" w:type="pct"/>
            <w:tcBorders>
              <w:top w:val="nil"/>
              <w:left w:val="nil"/>
              <w:bottom w:val="nil"/>
              <w:right w:val="nil"/>
            </w:tcBorders>
            <w:shd w:val="clear" w:color="auto" w:fill="auto"/>
            <w:noWrap/>
            <w:vAlign w:val="center"/>
            <w:hideMark/>
          </w:tcPr>
          <w:p w14:paraId="3A4EB8D9" w14:textId="77777777" w:rsidR="008A1E55" w:rsidRPr="006B42D6" w:rsidRDefault="008A1E55" w:rsidP="00E16CAE">
            <w:pPr>
              <w:jc w:val="right"/>
              <w:rPr>
                <w:sz w:val="16"/>
                <w:szCs w:val="16"/>
              </w:rPr>
            </w:pPr>
            <w:r w:rsidRPr="006B42D6">
              <w:rPr>
                <w:sz w:val="16"/>
                <w:szCs w:val="16"/>
              </w:rPr>
              <w:t>1.4</w:t>
            </w:r>
          </w:p>
        </w:tc>
        <w:tc>
          <w:tcPr>
            <w:tcW w:w="353" w:type="pct"/>
            <w:tcBorders>
              <w:top w:val="nil"/>
              <w:left w:val="nil"/>
              <w:bottom w:val="nil"/>
              <w:right w:val="nil"/>
            </w:tcBorders>
            <w:shd w:val="clear" w:color="auto" w:fill="auto"/>
            <w:noWrap/>
            <w:vAlign w:val="center"/>
            <w:hideMark/>
          </w:tcPr>
          <w:p w14:paraId="79162476" w14:textId="77777777" w:rsidR="008A1E55" w:rsidRPr="006B42D6" w:rsidRDefault="008A1E55" w:rsidP="00E16CAE">
            <w:pPr>
              <w:jc w:val="right"/>
              <w:rPr>
                <w:sz w:val="16"/>
                <w:szCs w:val="16"/>
              </w:rPr>
            </w:pPr>
            <w:r w:rsidRPr="006B42D6">
              <w:rPr>
                <w:sz w:val="16"/>
                <w:szCs w:val="16"/>
              </w:rPr>
              <w:t>1.3</w:t>
            </w:r>
          </w:p>
        </w:tc>
        <w:tc>
          <w:tcPr>
            <w:tcW w:w="399" w:type="pct"/>
            <w:tcBorders>
              <w:top w:val="nil"/>
              <w:left w:val="nil"/>
              <w:bottom w:val="nil"/>
              <w:right w:val="nil"/>
            </w:tcBorders>
            <w:shd w:val="clear" w:color="auto" w:fill="auto"/>
            <w:noWrap/>
            <w:vAlign w:val="center"/>
            <w:hideMark/>
          </w:tcPr>
          <w:p w14:paraId="6181B595" w14:textId="77777777" w:rsidR="008A1E55" w:rsidRPr="006B42D6" w:rsidRDefault="008A1E55" w:rsidP="00E16CAE">
            <w:pPr>
              <w:jc w:val="right"/>
              <w:rPr>
                <w:sz w:val="16"/>
                <w:szCs w:val="16"/>
              </w:rPr>
            </w:pPr>
            <w:r w:rsidRPr="006B42D6">
              <w:rPr>
                <w:sz w:val="16"/>
                <w:szCs w:val="16"/>
              </w:rPr>
              <w:t>2.6</w:t>
            </w:r>
          </w:p>
        </w:tc>
        <w:tc>
          <w:tcPr>
            <w:tcW w:w="386" w:type="pct"/>
            <w:tcBorders>
              <w:top w:val="nil"/>
              <w:left w:val="nil"/>
              <w:bottom w:val="nil"/>
              <w:right w:val="nil"/>
            </w:tcBorders>
            <w:shd w:val="clear" w:color="auto" w:fill="auto"/>
            <w:noWrap/>
            <w:vAlign w:val="center"/>
            <w:hideMark/>
          </w:tcPr>
          <w:p w14:paraId="481FF290" w14:textId="77777777" w:rsidR="008A1E55" w:rsidRPr="006B42D6" w:rsidRDefault="008A1E55" w:rsidP="00E16CAE">
            <w:pPr>
              <w:jc w:val="right"/>
              <w:rPr>
                <w:sz w:val="16"/>
                <w:szCs w:val="16"/>
              </w:rPr>
            </w:pPr>
            <w:r w:rsidRPr="006B42D6">
              <w:rPr>
                <w:sz w:val="16"/>
                <w:szCs w:val="16"/>
              </w:rPr>
              <w:t>5.8</w:t>
            </w:r>
          </w:p>
        </w:tc>
        <w:tc>
          <w:tcPr>
            <w:tcW w:w="452" w:type="pct"/>
            <w:tcBorders>
              <w:top w:val="nil"/>
              <w:left w:val="nil"/>
              <w:bottom w:val="nil"/>
              <w:right w:val="nil"/>
            </w:tcBorders>
            <w:shd w:val="clear" w:color="auto" w:fill="auto"/>
            <w:noWrap/>
            <w:vAlign w:val="center"/>
            <w:hideMark/>
          </w:tcPr>
          <w:p w14:paraId="0CA96B90" w14:textId="77777777" w:rsidR="008A1E55" w:rsidRPr="006B42D6" w:rsidRDefault="008A1E55" w:rsidP="00E16CAE">
            <w:pPr>
              <w:jc w:val="right"/>
              <w:rPr>
                <w:sz w:val="16"/>
                <w:szCs w:val="16"/>
              </w:rPr>
            </w:pPr>
            <w:r w:rsidRPr="006B42D6">
              <w:rPr>
                <w:sz w:val="16"/>
                <w:szCs w:val="16"/>
              </w:rPr>
              <w:t>5.8</w:t>
            </w:r>
          </w:p>
        </w:tc>
        <w:tc>
          <w:tcPr>
            <w:tcW w:w="353" w:type="pct"/>
            <w:tcBorders>
              <w:top w:val="nil"/>
              <w:left w:val="nil"/>
              <w:bottom w:val="nil"/>
              <w:right w:val="nil"/>
            </w:tcBorders>
            <w:shd w:val="clear" w:color="auto" w:fill="auto"/>
            <w:noWrap/>
            <w:vAlign w:val="center"/>
            <w:hideMark/>
          </w:tcPr>
          <w:p w14:paraId="5A902058" w14:textId="77777777" w:rsidR="008A1E55" w:rsidRPr="006B42D6" w:rsidRDefault="008A1E55" w:rsidP="00E16CAE">
            <w:pPr>
              <w:jc w:val="right"/>
              <w:rPr>
                <w:sz w:val="16"/>
                <w:szCs w:val="16"/>
              </w:rPr>
            </w:pPr>
            <w:r w:rsidRPr="006B42D6">
              <w:rPr>
                <w:sz w:val="16"/>
                <w:szCs w:val="16"/>
              </w:rPr>
              <w:t>1.2</w:t>
            </w:r>
          </w:p>
        </w:tc>
        <w:tc>
          <w:tcPr>
            <w:tcW w:w="383" w:type="pct"/>
            <w:tcBorders>
              <w:top w:val="nil"/>
              <w:left w:val="nil"/>
              <w:bottom w:val="nil"/>
              <w:right w:val="nil"/>
            </w:tcBorders>
            <w:shd w:val="clear" w:color="auto" w:fill="auto"/>
            <w:noWrap/>
            <w:vAlign w:val="center"/>
            <w:hideMark/>
          </w:tcPr>
          <w:p w14:paraId="6635B02D" w14:textId="77777777" w:rsidR="008A1E55" w:rsidRPr="006B42D6" w:rsidRDefault="008A1E55" w:rsidP="00E16CAE">
            <w:pPr>
              <w:jc w:val="right"/>
              <w:rPr>
                <w:sz w:val="16"/>
                <w:szCs w:val="16"/>
              </w:rPr>
            </w:pPr>
            <w:r w:rsidRPr="006B42D6">
              <w:rPr>
                <w:sz w:val="16"/>
                <w:szCs w:val="16"/>
              </w:rPr>
              <w:t>2.4</w:t>
            </w:r>
          </w:p>
        </w:tc>
        <w:tc>
          <w:tcPr>
            <w:tcW w:w="268" w:type="pct"/>
            <w:tcBorders>
              <w:top w:val="nil"/>
              <w:left w:val="nil"/>
              <w:bottom w:val="nil"/>
              <w:right w:val="nil"/>
            </w:tcBorders>
            <w:shd w:val="clear" w:color="auto" w:fill="auto"/>
            <w:noWrap/>
            <w:vAlign w:val="center"/>
            <w:hideMark/>
          </w:tcPr>
          <w:p w14:paraId="34B490E1" w14:textId="77777777" w:rsidR="008A1E55" w:rsidRPr="006B42D6" w:rsidRDefault="008A1E55" w:rsidP="00E16CAE">
            <w:pPr>
              <w:jc w:val="right"/>
              <w:rPr>
                <w:sz w:val="16"/>
                <w:szCs w:val="16"/>
              </w:rPr>
            </w:pPr>
            <w:r w:rsidRPr="006B42D6">
              <w:rPr>
                <w:sz w:val="16"/>
                <w:szCs w:val="16"/>
              </w:rPr>
              <w:t>3.9</w:t>
            </w:r>
          </w:p>
        </w:tc>
        <w:tc>
          <w:tcPr>
            <w:tcW w:w="268" w:type="pct"/>
            <w:tcBorders>
              <w:top w:val="nil"/>
              <w:left w:val="nil"/>
              <w:bottom w:val="nil"/>
              <w:right w:val="nil"/>
            </w:tcBorders>
            <w:shd w:val="clear" w:color="auto" w:fill="auto"/>
            <w:noWrap/>
            <w:vAlign w:val="center"/>
            <w:hideMark/>
          </w:tcPr>
          <w:p w14:paraId="0E26DC1C" w14:textId="77777777" w:rsidR="008A1E55" w:rsidRPr="006B42D6" w:rsidRDefault="008A1E55" w:rsidP="00E16CAE">
            <w:pPr>
              <w:jc w:val="right"/>
              <w:rPr>
                <w:sz w:val="16"/>
                <w:szCs w:val="16"/>
              </w:rPr>
            </w:pPr>
            <w:r w:rsidRPr="006B42D6">
              <w:rPr>
                <w:sz w:val="16"/>
                <w:szCs w:val="16"/>
              </w:rPr>
              <w:t>2.1</w:t>
            </w:r>
          </w:p>
        </w:tc>
        <w:tc>
          <w:tcPr>
            <w:tcW w:w="268" w:type="pct"/>
            <w:tcBorders>
              <w:top w:val="nil"/>
              <w:left w:val="nil"/>
              <w:bottom w:val="nil"/>
              <w:right w:val="nil"/>
            </w:tcBorders>
            <w:shd w:val="clear" w:color="auto" w:fill="auto"/>
            <w:noWrap/>
            <w:vAlign w:val="center"/>
            <w:hideMark/>
          </w:tcPr>
          <w:p w14:paraId="03D6E5E2" w14:textId="77777777" w:rsidR="008A1E55" w:rsidRPr="006B42D6" w:rsidRDefault="008A1E55" w:rsidP="00E16CAE">
            <w:pPr>
              <w:jc w:val="right"/>
              <w:rPr>
                <w:sz w:val="16"/>
                <w:szCs w:val="16"/>
              </w:rPr>
            </w:pPr>
            <w:r w:rsidRPr="006B42D6">
              <w:rPr>
                <w:sz w:val="16"/>
                <w:szCs w:val="16"/>
              </w:rPr>
              <w:t>-</w:t>
            </w:r>
          </w:p>
        </w:tc>
        <w:tc>
          <w:tcPr>
            <w:tcW w:w="314" w:type="pct"/>
            <w:tcBorders>
              <w:top w:val="nil"/>
              <w:left w:val="nil"/>
              <w:bottom w:val="nil"/>
              <w:right w:val="nil"/>
            </w:tcBorders>
            <w:shd w:val="clear" w:color="auto" w:fill="auto"/>
            <w:noWrap/>
            <w:vAlign w:val="center"/>
            <w:hideMark/>
          </w:tcPr>
          <w:p w14:paraId="663DBC0E" w14:textId="77777777" w:rsidR="008A1E55" w:rsidRPr="006B42D6" w:rsidRDefault="008A1E55" w:rsidP="00E16CAE">
            <w:pPr>
              <w:jc w:val="right"/>
              <w:rPr>
                <w:sz w:val="16"/>
                <w:szCs w:val="16"/>
              </w:rPr>
            </w:pPr>
            <w:r w:rsidRPr="006B42D6">
              <w:rPr>
                <w:sz w:val="16"/>
                <w:szCs w:val="16"/>
              </w:rPr>
              <w:t>1.0</w:t>
            </w:r>
          </w:p>
        </w:tc>
        <w:tc>
          <w:tcPr>
            <w:tcW w:w="268" w:type="pct"/>
            <w:tcBorders>
              <w:top w:val="nil"/>
              <w:left w:val="nil"/>
              <w:bottom w:val="nil"/>
              <w:right w:val="nil"/>
            </w:tcBorders>
            <w:shd w:val="clear" w:color="auto" w:fill="auto"/>
            <w:noWrap/>
            <w:vAlign w:val="center"/>
            <w:hideMark/>
          </w:tcPr>
          <w:p w14:paraId="696464B0" w14:textId="77777777" w:rsidR="008A1E55" w:rsidRPr="006B42D6" w:rsidRDefault="008A1E55" w:rsidP="00E16CAE">
            <w:pPr>
              <w:jc w:val="right"/>
              <w:rPr>
                <w:sz w:val="16"/>
                <w:szCs w:val="16"/>
              </w:rPr>
            </w:pPr>
            <w:r w:rsidRPr="006B42D6">
              <w:rPr>
                <w:sz w:val="16"/>
                <w:szCs w:val="16"/>
              </w:rPr>
              <w:t>10.4</w:t>
            </w:r>
          </w:p>
        </w:tc>
      </w:tr>
      <w:tr w:rsidR="006B42D6" w:rsidRPr="006B42D6" w14:paraId="47343AF6" w14:textId="77777777" w:rsidTr="005420E0">
        <w:trPr>
          <w:trHeight w:hRule="exact" w:val="227"/>
        </w:trPr>
        <w:tc>
          <w:tcPr>
            <w:tcW w:w="606" w:type="pct"/>
            <w:tcBorders>
              <w:top w:val="nil"/>
              <w:left w:val="nil"/>
              <w:bottom w:val="nil"/>
              <w:right w:val="nil"/>
            </w:tcBorders>
            <w:shd w:val="clear" w:color="auto" w:fill="auto"/>
            <w:noWrap/>
            <w:vAlign w:val="center"/>
            <w:hideMark/>
          </w:tcPr>
          <w:p w14:paraId="467266DA" w14:textId="77777777" w:rsidR="008A1E55" w:rsidRPr="006B42D6" w:rsidRDefault="008A1E55" w:rsidP="00E16CAE">
            <w:pPr>
              <w:rPr>
                <w:sz w:val="16"/>
                <w:szCs w:val="16"/>
              </w:rPr>
            </w:pPr>
            <w:r w:rsidRPr="006B42D6">
              <w:rPr>
                <w:sz w:val="16"/>
                <w:szCs w:val="16"/>
              </w:rPr>
              <w:t>Morogoro</w:t>
            </w:r>
          </w:p>
        </w:tc>
        <w:tc>
          <w:tcPr>
            <w:tcW w:w="345" w:type="pct"/>
            <w:tcBorders>
              <w:top w:val="nil"/>
              <w:left w:val="nil"/>
              <w:bottom w:val="nil"/>
              <w:right w:val="nil"/>
            </w:tcBorders>
            <w:shd w:val="clear" w:color="auto" w:fill="auto"/>
            <w:noWrap/>
            <w:vAlign w:val="center"/>
            <w:hideMark/>
          </w:tcPr>
          <w:p w14:paraId="2DE0846D" w14:textId="77777777" w:rsidR="008A1E55" w:rsidRPr="006B42D6" w:rsidRDefault="008A1E55" w:rsidP="00E16CAE">
            <w:pPr>
              <w:jc w:val="right"/>
              <w:rPr>
                <w:sz w:val="16"/>
                <w:szCs w:val="16"/>
              </w:rPr>
            </w:pPr>
            <w:r w:rsidRPr="006B42D6">
              <w:rPr>
                <w:sz w:val="16"/>
                <w:szCs w:val="16"/>
              </w:rPr>
              <w:t>7.9</w:t>
            </w:r>
          </w:p>
        </w:tc>
        <w:tc>
          <w:tcPr>
            <w:tcW w:w="337" w:type="pct"/>
            <w:tcBorders>
              <w:top w:val="nil"/>
              <w:left w:val="nil"/>
              <w:bottom w:val="nil"/>
              <w:right w:val="nil"/>
            </w:tcBorders>
            <w:shd w:val="clear" w:color="auto" w:fill="auto"/>
            <w:noWrap/>
            <w:vAlign w:val="center"/>
            <w:hideMark/>
          </w:tcPr>
          <w:p w14:paraId="19450B2A" w14:textId="77777777" w:rsidR="008A1E55" w:rsidRPr="006B42D6" w:rsidRDefault="008A1E55" w:rsidP="00E16CAE">
            <w:pPr>
              <w:jc w:val="right"/>
              <w:rPr>
                <w:sz w:val="16"/>
                <w:szCs w:val="16"/>
              </w:rPr>
            </w:pPr>
            <w:r w:rsidRPr="006B42D6">
              <w:rPr>
                <w:sz w:val="16"/>
                <w:szCs w:val="16"/>
              </w:rPr>
              <w:t>7.8</w:t>
            </w:r>
          </w:p>
        </w:tc>
        <w:tc>
          <w:tcPr>
            <w:tcW w:w="353" w:type="pct"/>
            <w:tcBorders>
              <w:top w:val="nil"/>
              <w:left w:val="nil"/>
              <w:bottom w:val="nil"/>
              <w:right w:val="nil"/>
            </w:tcBorders>
            <w:shd w:val="clear" w:color="auto" w:fill="auto"/>
            <w:noWrap/>
            <w:vAlign w:val="center"/>
            <w:hideMark/>
          </w:tcPr>
          <w:p w14:paraId="08C9FB44" w14:textId="77777777" w:rsidR="008A1E55" w:rsidRPr="006B42D6" w:rsidRDefault="008A1E55" w:rsidP="00E16CAE">
            <w:pPr>
              <w:jc w:val="right"/>
              <w:rPr>
                <w:sz w:val="16"/>
                <w:szCs w:val="16"/>
              </w:rPr>
            </w:pPr>
            <w:r w:rsidRPr="006B42D6">
              <w:rPr>
                <w:sz w:val="16"/>
                <w:szCs w:val="16"/>
              </w:rPr>
              <w:t>2.2</w:t>
            </w:r>
          </w:p>
        </w:tc>
        <w:tc>
          <w:tcPr>
            <w:tcW w:w="399" w:type="pct"/>
            <w:tcBorders>
              <w:top w:val="nil"/>
              <w:left w:val="nil"/>
              <w:bottom w:val="nil"/>
              <w:right w:val="nil"/>
            </w:tcBorders>
            <w:shd w:val="clear" w:color="auto" w:fill="auto"/>
            <w:noWrap/>
            <w:vAlign w:val="center"/>
            <w:hideMark/>
          </w:tcPr>
          <w:p w14:paraId="47B90B3C" w14:textId="77777777" w:rsidR="008A1E55" w:rsidRPr="006B42D6" w:rsidRDefault="008A1E55" w:rsidP="00E16CAE">
            <w:pPr>
              <w:jc w:val="right"/>
              <w:rPr>
                <w:sz w:val="16"/>
                <w:szCs w:val="16"/>
              </w:rPr>
            </w:pPr>
            <w:r w:rsidRPr="006B42D6">
              <w:rPr>
                <w:sz w:val="16"/>
                <w:szCs w:val="16"/>
              </w:rPr>
              <w:t>2.6</w:t>
            </w:r>
          </w:p>
        </w:tc>
        <w:tc>
          <w:tcPr>
            <w:tcW w:w="386" w:type="pct"/>
            <w:tcBorders>
              <w:top w:val="nil"/>
              <w:left w:val="nil"/>
              <w:bottom w:val="nil"/>
              <w:right w:val="nil"/>
            </w:tcBorders>
            <w:shd w:val="clear" w:color="auto" w:fill="auto"/>
            <w:noWrap/>
            <w:vAlign w:val="center"/>
            <w:hideMark/>
          </w:tcPr>
          <w:p w14:paraId="20F0EB18" w14:textId="77777777" w:rsidR="008A1E55" w:rsidRPr="006B42D6" w:rsidRDefault="008A1E55" w:rsidP="00E16CAE">
            <w:pPr>
              <w:jc w:val="right"/>
              <w:rPr>
                <w:sz w:val="16"/>
                <w:szCs w:val="16"/>
              </w:rPr>
            </w:pPr>
            <w:r w:rsidRPr="006B42D6">
              <w:rPr>
                <w:sz w:val="16"/>
                <w:szCs w:val="16"/>
              </w:rPr>
              <w:t>3.8</w:t>
            </w:r>
          </w:p>
        </w:tc>
        <w:tc>
          <w:tcPr>
            <w:tcW w:w="452" w:type="pct"/>
            <w:tcBorders>
              <w:top w:val="nil"/>
              <w:left w:val="nil"/>
              <w:bottom w:val="nil"/>
              <w:right w:val="nil"/>
            </w:tcBorders>
            <w:shd w:val="clear" w:color="auto" w:fill="auto"/>
            <w:noWrap/>
            <w:vAlign w:val="center"/>
            <w:hideMark/>
          </w:tcPr>
          <w:p w14:paraId="5577B994" w14:textId="77777777" w:rsidR="008A1E55" w:rsidRPr="006B42D6" w:rsidRDefault="008A1E55" w:rsidP="00E16CAE">
            <w:pPr>
              <w:jc w:val="right"/>
              <w:rPr>
                <w:sz w:val="16"/>
                <w:szCs w:val="16"/>
              </w:rPr>
            </w:pPr>
            <w:r w:rsidRPr="006B42D6">
              <w:rPr>
                <w:sz w:val="16"/>
                <w:szCs w:val="16"/>
              </w:rPr>
              <w:t>3.8</w:t>
            </w:r>
          </w:p>
        </w:tc>
        <w:tc>
          <w:tcPr>
            <w:tcW w:w="353" w:type="pct"/>
            <w:tcBorders>
              <w:top w:val="nil"/>
              <w:left w:val="nil"/>
              <w:bottom w:val="nil"/>
              <w:right w:val="nil"/>
            </w:tcBorders>
            <w:shd w:val="clear" w:color="auto" w:fill="auto"/>
            <w:noWrap/>
            <w:vAlign w:val="center"/>
            <w:hideMark/>
          </w:tcPr>
          <w:p w14:paraId="6D175601" w14:textId="77777777" w:rsidR="008A1E55" w:rsidRPr="006B42D6" w:rsidRDefault="008A1E55" w:rsidP="00E16CAE">
            <w:pPr>
              <w:jc w:val="right"/>
              <w:rPr>
                <w:sz w:val="16"/>
                <w:szCs w:val="16"/>
              </w:rPr>
            </w:pPr>
            <w:r w:rsidRPr="006B42D6">
              <w:rPr>
                <w:sz w:val="16"/>
                <w:szCs w:val="16"/>
              </w:rPr>
              <w:t>3.1</w:t>
            </w:r>
          </w:p>
        </w:tc>
        <w:tc>
          <w:tcPr>
            <w:tcW w:w="383" w:type="pct"/>
            <w:tcBorders>
              <w:top w:val="nil"/>
              <w:left w:val="nil"/>
              <w:bottom w:val="nil"/>
              <w:right w:val="nil"/>
            </w:tcBorders>
            <w:shd w:val="clear" w:color="auto" w:fill="auto"/>
            <w:noWrap/>
            <w:vAlign w:val="center"/>
            <w:hideMark/>
          </w:tcPr>
          <w:p w14:paraId="334B4C24" w14:textId="77777777" w:rsidR="008A1E55" w:rsidRPr="006B42D6" w:rsidRDefault="008A1E55" w:rsidP="00E16CAE">
            <w:pPr>
              <w:jc w:val="right"/>
              <w:rPr>
                <w:sz w:val="16"/>
                <w:szCs w:val="16"/>
              </w:rPr>
            </w:pPr>
            <w:r w:rsidRPr="006B42D6">
              <w:rPr>
                <w:sz w:val="16"/>
                <w:szCs w:val="16"/>
              </w:rPr>
              <w:t>2.1</w:t>
            </w:r>
          </w:p>
        </w:tc>
        <w:tc>
          <w:tcPr>
            <w:tcW w:w="268" w:type="pct"/>
            <w:tcBorders>
              <w:top w:val="nil"/>
              <w:left w:val="nil"/>
              <w:bottom w:val="nil"/>
              <w:right w:val="nil"/>
            </w:tcBorders>
            <w:shd w:val="clear" w:color="auto" w:fill="auto"/>
            <w:noWrap/>
            <w:vAlign w:val="center"/>
            <w:hideMark/>
          </w:tcPr>
          <w:p w14:paraId="6AB4CA95" w14:textId="77777777" w:rsidR="008A1E55" w:rsidRPr="006B42D6" w:rsidRDefault="008A1E55" w:rsidP="00E16CAE">
            <w:pPr>
              <w:jc w:val="right"/>
              <w:rPr>
                <w:sz w:val="16"/>
                <w:szCs w:val="16"/>
              </w:rPr>
            </w:pPr>
            <w:r w:rsidRPr="006B42D6">
              <w:rPr>
                <w:sz w:val="16"/>
                <w:szCs w:val="16"/>
              </w:rPr>
              <w:t>5.5</w:t>
            </w:r>
          </w:p>
        </w:tc>
        <w:tc>
          <w:tcPr>
            <w:tcW w:w="268" w:type="pct"/>
            <w:tcBorders>
              <w:top w:val="nil"/>
              <w:left w:val="nil"/>
              <w:bottom w:val="nil"/>
              <w:right w:val="nil"/>
            </w:tcBorders>
            <w:shd w:val="clear" w:color="auto" w:fill="auto"/>
            <w:noWrap/>
            <w:vAlign w:val="center"/>
            <w:hideMark/>
          </w:tcPr>
          <w:p w14:paraId="34CC973D" w14:textId="77777777" w:rsidR="008A1E55" w:rsidRPr="006B42D6" w:rsidRDefault="008A1E55" w:rsidP="00E16CAE">
            <w:pPr>
              <w:jc w:val="right"/>
              <w:rPr>
                <w:sz w:val="16"/>
                <w:szCs w:val="16"/>
              </w:rPr>
            </w:pPr>
            <w:r w:rsidRPr="006B42D6">
              <w:rPr>
                <w:sz w:val="16"/>
                <w:szCs w:val="16"/>
              </w:rPr>
              <w:t>-</w:t>
            </w:r>
          </w:p>
        </w:tc>
        <w:tc>
          <w:tcPr>
            <w:tcW w:w="268" w:type="pct"/>
            <w:tcBorders>
              <w:top w:val="nil"/>
              <w:left w:val="nil"/>
              <w:bottom w:val="nil"/>
              <w:right w:val="nil"/>
            </w:tcBorders>
            <w:shd w:val="clear" w:color="auto" w:fill="auto"/>
            <w:noWrap/>
            <w:vAlign w:val="center"/>
            <w:hideMark/>
          </w:tcPr>
          <w:p w14:paraId="27D2C239" w14:textId="77777777" w:rsidR="008A1E55" w:rsidRPr="006B42D6" w:rsidRDefault="008A1E55" w:rsidP="00E16CAE">
            <w:pPr>
              <w:jc w:val="right"/>
              <w:rPr>
                <w:sz w:val="16"/>
                <w:szCs w:val="16"/>
              </w:rPr>
            </w:pPr>
            <w:r w:rsidRPr="006B42D6">
              <w:rPr>
                <w:sz w:val="16"/>
                <w:szCs w:val="16"/>
              </w:rPr>
              <w:t>-</w:t>
            </w:r>
          </w:p>
        </w:tc>
        <w:tc>
          <w:tcPr>
            <w:tcW w:w="314" w:type="pct"/>
            <w:tcBorders>
              <w:top w:val="nil"/>
              <w:left w:val="nil"/>
              <w:bottom w:val="nil"/>
              <w:right w:val="nil"/>
            </w:tcBorders>
            <w:shd w:val="clear" w:color="auto" w:fill="auto"/>
            <w:noWrap/>
            <w:vAlign w:val="center"/>
            <w:hideMark/>
          </w:tcPr>
          <w:p w14:paraId="5B71CDFC" w14:textId="77777777" w:rsidR="008A1E55" w:rsidRPr="006B42D6" w:rsidRDefault="008A1E55" w:rsidP="00E16CAE">
            <w:pPr>
              <w:jc w:val="right"/>
              <w:rPr>
                <w:sz w:val="16"/>
                <w:szCs w:val="16"/>
              </w:rPr>
            </w:pPr>
            <w:r w:rsidRPr="006B42D6">
              <w:rPr>
                <w:sz w:val="16"/>
                <w:szCs w:val="16"/>
              </w:rPr>
              <w:t>9.7</w:t>
            </w:r>
          </w:p>
        </w:tc>
        <w:tc>
          <w:tcPr>
            <w:tcW w:w="268" w:type="pct"/>
            <w:tcBorders>
              <w:top w:val="nil"/>
              <w:left w:val="nil"/>
              <w:bottom w:val="nil"/>
              <w:right w:val="nil"/>
            </w:tcBorders>
            <w:shd w:val="clear" w:color="auto" w:fill="auto"/>
            <w:noWrap/>
            <w:vAlign w:val="center"/>
            <w:hideMark/>
          </w:tcPr>
          <w:p w14:paraId="37F82F1D" w14:textId="77777777" w:rsidR="008A1E55" w:rsidRPr="006B42D6" w:rsidRDefault="008A1E55" w:rsidP="00E16CAE">
            <w:pPr>
              <w:jc w:val="right"/>
              <w:rPr>
                <w:sz w:val="16"/>
                <w:szCs w:val="16"/>
              </w:rPr>
            </w:pPr>
            <w:r w:rsidRPr="006B42D6">
              <w:rPr>
                <w:sz w:val="16"/>
                <w:szCs w:val="16"/>
              </w:rPr>
              <w:t>0.6</w:t>
            </w:r>
          </w:p>
        </w:tc>
      </w:tr>
      <w:tr w:rsidR="006B42D6" w:rsidRPr="006B42D6" w14:paraId="366A4BDC" w14:textId="77777777" w:rsidTr="005420E0">
        <w:trPr>
          <w:trHeight w:hRule="exact" w:val="227"/>
        </w:trPr>
        <w:tc>
          <w:tcPr>
            <w:tcW w:w="606" w:type="pct"/>
            <w:tcBorders>
              <w:top w:val="nil"/>
              <w:left w:val="nil"/>
              <w:bottom w:val="nil"/>
              <w:right w:val="nil"/>
            </w:tcBorders>
            <w:shd w:val="clear" w:color="auto" w:fill="auto"/>
            <w:noWrap/>
            <w:vAlign w:val="center"/>
            <w:hideMark/>
          </w:tcPr>
          <w:p w14:paraId="39C6B786" w14:textId="77777777" w:rsidR="008A1E55" w:rsidRPr="006B42D6" w:rsidRDefault="008A1E55" w:rsidP="00E16CAE">
            <w:pPr>
              <w:rPr>
                <w:sz w:val="16"/>
                <w:szCs w:val="16"/>
              </w:rPr>
            </w:pPr>
            <w:r w:rsidRPr="006B42D6">
              <w:rPr>
                <w:sz w:val="16"/>
                <w:szCs w:val="16"/>
              </w:rPr>
              <w:t>Pwani</w:t>
            </w:r>
          </w:p>
        </w:tc>
        <w:tc>
          <w:tcPr>
            <w:tcW w:w="345" w:type="pct"/>
            <w:tcBorders>
              <w:top w:val="nil"/>
              <w:left w:val="nil"/>
              <w:bottom w:val="nil"/>
              <w:right w:val="nil"/>
            </w:tcBorders>
            <w:shd w:val="clear" w:color="auto" w:fill="auto"/>
            <w:noWrap/>
            <w:vAlign w:val="center"/>
            <w:hideMark/>
          </w:tcPr>
          <w:p w14:paraId="177B6673" w14:textId="77777777" w:rsidR="008A1E55" w:rsidRPr="006B42D6" w:rsidRDefault="008A1E55" w:rsidP="00E16CAE">
            <w:pPr>
              <w:jc w:val="right"/>
              <w:rPr>
                <w:sz w:val="16"/>
                <w:szCs w:val="16"/>
              </w:rPr>
            </w:pPr>
            <w:r w:rsidRPr="006B42D6">
              <w:rPr>
                <w:sz w:val="16"/>
                <w:szCs w:val="16"/>
              </w:rPr>
              <w:t>2.4</w:t>
            </w:r>
          </w:p>
        </w:tc>
        <w:tc>
          <w:tcPr>
            <w:tcW w:w="337" w:type="pct"/>
            <w:tcBorders>
              <w:top w:val="nil"/>
              <w:left w:val="nil"/>
              <w:bottom w:val="nil"/>
              <w:right w:val="nil"/>
            </w:tcBorders>
            <w:shd w:val="clear" w:color="auto" w:fill="auto"/>
            <w:noWrap/>
            <w:vAlign w:val="center"/>
            <w:hideMark/>
          </w:tcPr>
          <w:p w14:paraId="74160A4A" w14:textId="77777777" w:rsidR="008A1E55" w:rsidRPr="006B42D6" w:rsidRDefault="008A1E55" w:rsidP="00E16CAE">
            <w:pPr>
              <w:jc w:val="right"/>
              <w:rPr>
                <w:sz w:val="16"/>
                <w:szCs w:val="16"/>
              </w:rPr>
            </w:pPr>
            <w:r w:rsidRPr="006B42D6">
              <w:rPr>
                <w:sz w:val="16"/>
                <w:szCs w:val="16"/>
              </w:rPr>
              <w:t>2.8</w:t>
            </w:r>
          </w:p>
        </w:tc>
        <w:tc>
          <w:tcPr>
            <w:tcW w:w="353" w:type="pct"/>
            <w:tcBorders>
              <w:top w:val="nil"/>
              <w:left w:val="nil"/>
              <w:bottom w:val="nil"/>
              <w:right w:val="nil"/>
            </w:tcBorders>
            <w:shd w:val="clear" w:color="auto" w:fill="auto"/>
            <w:noWrap/>
            <w:vAlign w:val="center"/>
            <w:hideMark/>
          </w:tcPr>
          <w:p w14:paraId="0C95A1C9" w14:textId="77777777" w:rsidR="008A1E55" w:rsidRPr="006B42D6" w:rsidRDefault="008A1E55" w:rsidP="00E16CAE">
            <w:pPr>
              <w:jc w:val="right"/>
              <w:rPr>
                <w:sz w:val="16"/>
                <w:szCs w:val="16"/>
              </w:rPr>
            </w:pPr>
            <w:r w:rsidRPr="006B42D6">
              <w:rPr>
                <w:sz w:val="16"/>
                <w:szCs w:val="16"/>
              </w:rPr>
              <w:t>2.7</w:t>
            </w:r>
          </w:p>
        </w:tc>
        <w:tc>
          <w:tcPr>
            <w:tcW w:w="399" w:type="pct"/>
            <w:tcBorders>
              <w:top w:val="nil"/>
              <w:left w:val="nil"/>
              <w:bottom w:val="nil"/>
              <w:right w:val="nil"/>
            </w:tcBorders>
            <w:shd w:val="clear" w:color="auto" w:fill="auto"/>
            <w:noWrap/>
            <w:vAlign w:val="center"/>
            <w:hideMark/>
          </w:tcPr>
          <w:p w14:paraId="636C5AE2" w14:textId="77777777" w:rsidR="008A1E55" w:rsidRPr="006B42D6" w:rsidRDefault="008A1E55" w:rsidP="00E16CAE">
            <w:pPr>
              <w:jc w:val="right"/>
              <w:rPr>
                <w:sz w:val="16"/>
                <w:szCs w:val="16"/>
              </w:rPr>
            </w:pPr>
            <w:r w:rsidRPr="006B42D6">
              <w:rPr>
                <w:sz w:val="16"/>
                <w:szCs w:val="16"/>
              </w:rPr>
              <w:t>5.8</w:t>
            </w:r>
          </w:p>
        </w:tc>
        <w:tc>
          <w:tcPr>
            <w:tcW w:w="386" w:type="pct"/>
            <w:tcBorders>
              <w:top w:val="nil"/>
              <w:left w:val="nil"/>
              <w:bottom w:val="nil"/>
              <w:right w:val="nil"/>
            </w:tcBorders>
            <w:shd w:val="clear" w:color="auto" w:fill="auto"/>
            <w:noWrap/>
            <w:vAlign w:val="center"/>
            <w:hideMark/>
          </w:tcPr>
          <w:p w14:paraId="4EE77927" w14:textId="77777777" w:rsidR="008A1E55" w:rsidRPr="006B42D6" w:rsidRDefault="008A1E55" w:rsidP="00E16CAE">
            <w:pPr>
              <w:jc w:val="right"/>
              <w:rPr>
                <w:sz w:val="16"/>
                <w:szCs w:val="16"/>
              </w:rPr>
            </w:pPr>
            <w:r w:rsidRPr="006B42D6">
              <w:rPr>
                <w:sz w:val="16"/>
                <w:szCs w:val="16"/>
              </w:rPr>
              <w:t>2.2</w:t>
            </w:r>
          </w:p>
        </w:tc>
        <w:tc>
          <w:tcPr>
            <w:tcW w:w="452" w:type="pct"/>
            <w:tcBorders>
              <w:top w:val="nil"/>
              <w:left w:val="nil"/>
              <w:bottom w:val="nil"/>
              <w:right w:val="nil"/>
            </w:tcBorders>
            <w:shd w:val="clear" w:color="auto" w:fill="auto"/>
            <w:noWrap/>
            <w:vAlign w:val="center"/>
            <w:hideMark/>
          </w:tcPr>
          <w:p w14:paraId="211F99F9" w14:textId="77777777" w:rsidR="008A1E55" w:rsidRPr="006B42D6" w:rsidRDefault="008A1E55" w:rsidP="00E16CAE">
            <w:pPr>
              <w:jc w:val="right"/>
              <w:rPr>
                <w:sz w:val="16"/>
                <w:szCs w:val="16"/>
              </w:rPr>
            </w:pPr>
            <w:r w:rsidRPr="006B42D6">
              <w:rPr>
                <w:sz w:val="16"/>
                <w:szCs w:val="16"/>
              </w:rPr>
              <w:t>1.3</w:t>
            </w:r>
          </w:p>
        </w:tc>
        <w:tc>
          <w:tcPr>
            <w:tcW w:w="353" w:type="pct"/>
            <w:tcBorders>
              <w:top w:val="nil"/>
              <w:left w:val="nil"/>
              <w:bottom w:val="nil"/>
              <w:right w:val="nil"/>
            </w:tcBorders>
            <w:shd w:val="clear" w:color="auto" w:fill="auto"/>
            <w:noWrap/>
            <w:vAlign w:val="center"/>
            <w:hideMark/>
          </w:tcPr>
          <w:p w14:paraId="54629FE6" w14:textId="77777777" w:rsidR="008A1E55" w:rsidRPr="006B42D6" w:rsidRDefault="008A1E55" w:rsidP="00E16CAE">
            <w:pPr>
              <w:jc w:val="right"/>
              <w:rPr>
                <w:sz w:val="16"/>
                <w:szCs w:val="16"/>
              </w:rPr>
            </w:pPr>
            <w:r w:rsidRPr="006B42D6">
              <w:rPr>
                <w:sz w:val="16"/>
                <w:szCs w:val="16"/>
              </w:rPr>
              <w:t>3.5</w:t>
            </w:r>
          </w:p>
        </w:tc>
        <w:tc>
          <w:tcPr>
            <w:tcW w:w="383" w:type="pct"/>
            <w:tcBorders>
              <w:top w:val="nil"/>
              <w:left w:val="nil"/>
              <w:bottom w:val="nil"/>
              <w:right w:val="nil"/>
            </w:tcBorders>
            <w:shd w:val="clear" w:color="auto" w:fill="auto"/>
            <w:noWrap/>
            <w:vAlign w:val="center"/>
            <w:hideMark/>
          </w:tcPr>
          <w:p w14:paraId="669D2E77" w14:textId="77777777" w:rsidR="008A1E55" w:rsidRPr="006B42D6" w:rsidRDefault="008A1E55" w:rsidP="00E16CAE">
            <w:pPr>
              <w:jc w:val="right"/>
              <w:rPr>
                <w:sz w:val="16"/>
                <w:szCs w:val="16"/>
              </w:rPr>
            </w:pPr>
            <w:r w:rsidRPr="006B42D6">
              <w:rPr>
                <w:sz w:val="16"/>
                <w:szCs w:val="16"/>
              </w:rPr>
              <w:t>9.6</w:t>
            </w:r>
          </w:p>
        </w:tc>
        <w:tc>
          <w:tcPr>
            <w:tcW w:w="268" w:type="pct"/>
            <w:tcBorders>
              <w:top w:val="nil"/>
              <w:left w:val="nil"/>
              <w:bottom w:val="nil"/>
              <w:right w:val="nil"/>
            </w:tcBorders>
            <w:shd w:val="clear" w:color="auto" w:fill="auto"/>
            <w:noWrap/>
            <w:vAlign w:val="center"/>
            <w:hideMark/>
          </w:tcPr>
          <w:p w14:paraId="370C8B5C" w14:textId="77777777" w:rsidR="008A1E55" w:rsidRPr="006B42D6" w:rsidRDefault="008A1E55" w:rsidP="00E16CAE">
            <w:pPr>
              <w:jc w:val="right"/>
              <w:rPr>
                <w:sz w:val="16"/>
                <w:szCs w:val="16"/>
              </w:rPr>
            </w:pPr>
            <w:r w:rsidRPr="006B42D6">
              <w:rPr>
                <w:sz w:val="16"/>
                <w:szCs w:val="16"/>
              </w:rPr>
              <w:t>2.6</w:t>
            </w:r>
          </w:p>
        </w:tc>
        <w:tc>
          <w:tcPr>
            <w:tcW w:w="268" w:type="pct"/>
            <w:tcBorders>
              <w:top w:val="nil"/>
              <w:left w:val="nil"/>
              <w:bottom w:val="nil"/>
              <w:right w:val="nil"/>
            </w:tcBorders>
            <w:shd w:val="clear" w:color="auto" w:fill="auto"/>
            <w:noWrap/>
            <w:vAlign w:val="center"/>
            <w:hideMark/>
          </w:tcPr>
          <w:p w14:paraId="774B131F" w14:textId="77777777" w:rsidR="008A1E55" w:rsidRPr="006B42D6" w:rsidRDefault="008A1E55" w:rsidP="00E16CAE">
            <w:pPr>
              <w:jc w:val="right"/>
              <w:rPr>
                <w:sz w:val="16"/>
                <w:szCs w:val="16"/>
              </w:rPr>
            </w:pPr>
            <w:r w:rsidRPr="006B42D6">
              <w:rPr>
                <w:sz w:val="16"/>
                <w:szCs w:val="16"/>
              </w:rPr>
              <w:t>2.0</w:t>
            </w:r>
          </w:p>
        </w:tc>
        <w:tc>
          <w:tcPr>
            <w:tcW w:w="268" w:type="pct"/>
            <w:tcBorders>
              <w:top w:val="nil"/>
              <w:left w:val="nil"/>
              <w:bottom w:val="nil"/>
              <w:right w:val="nil"/>
            </w:tcBorders>
            <w:shd w:val="clear" w:color="auto" w:fill="auto"/>
            <w:noWrap/>
            <w:vAlign w:val="center"/>
            <w:hideMark/>
          </w:tcPr>
          <w:p w14:paraId="16299023" w14:textId="77777777" w:rsidR="008A1E55" w:rsidRPr="006B42D6" w:rsidRDefault="008A1E55" w:rsidP="00E16CAE">
            <w:pPr>
              <w:jc w:val="right"/>
              <w:rPr>
                <w:sz w:val="16"/>
                <w:szCs w:val="16"/>
              </w:rPr>
            </w:pPr>
            <w:r w:rsidRPr="006B42D6">
              <w:rPr>
                <w:sz w:val="16"/>
                <w:szCs w:val="16"/>
              </w:rPr>
              <w:t>-</w:t>
            </w:r>
          </w:p>
        </w:tc>
        <w:tc>
          <w:tcPr>
            <w:tcW w:w="314" w:type="pct"/>
            <w:tcBorders>
              <w:top w:val="nil"/>
              <w:left w:val="nil"/>
              <w:bottom w:val="nil"/>
              <w:right w:val="nil"/>
            </w:tcBorders>
            <w:shd w:val="clear" w:color="auto" w:fill="auto"/>
            <w:noWrap/>
            <w:vAlign w:val="center"/>
            <w:hideMark/>
          </w:tcPr>
          <w:p w14:paraId="538B5C91" w14:textId="77777777" w:rsidR="008A1E55" w:rsidRPr="006B42D6" w:rsidRDefault="008A1E55" w:rsidP="00E16CAE">
            <w:pPr>
              <w:jc w:val="right"/>
              <w:rPr>
                <w:sz w:val="16"/>
                <w:szCs w:val="16"/>
              </w:rPr>
            </w:pPr>
            <w:r w:rsidRPr="006B42D6">
              <w:rPr>
                <w:sz w:val="16"/>
                <w:szCs w:val="16"/>
              </w:rPr>
              <w:t>2.1</w:t>
            </w:r>
          </w:p>
        </w:tc>
        <w:tc>
          <w:tcPr>
            <w:tcW w:w="268" w:type="pct"/>
            <w:tcBorders>
              <w:top w:val="nil"/>
              <w:left w:val="nil"/>
              <w:bottom w:val="nil"/>
              <w:right w:val="nil"/>
            </w:tcBorders>
            <w:shd w:val="clear" w:color="auto" w:fill="auto"/>
            <w:noWrap/>
            <w:vAlign w:val="center"/>
            <w:hideMark/>
          </w:tcPr>
          <w:p w14:paraId="246AF5F4" w14:textId="77777777" w:rsidR="008A1E55" w:rsidRPr="006B42D6" w:rsidRDefault="008A1E55" w:rsidP="00E16CAE">
            <w:pPr>
              <w:jc w:val="right"/>
              <w:rPr>
                <w:sz w:val="16"/>
                <w:szCs w:val="16"/>
              </w:rPr>
            </w:pPr>
            <w:r w:rsidRPr="006B42D6">
              <w:rPr>
                <w:sz w:val="16"/>
                <w:szCs w:val="16"/>
              </w:rPr>
              <w:t>2.1</w:t>
            </w:r>
          </w:p>
        </w:tc>
      </w:tr>
      <w:tr w:rsidR="006B42D6" w:rsidRPr="006B42D6" w14:paraId="7D9AE057" w14:textId="77777777" w:rsidTr="005420E0">
        <w:trPr>
          <w:trHeight w:hRule="exact" w:val="227"/>
        </w:trPr>
        <w:tc>
          <w:tcPr>
            <w:tcW w:w="606" w:type="pct"/>
            <w:tcBorders>
              <w:top w:val="nil"/>
              <w:left w:val="nil"/>
              <w:bottom w:val="nil"/>
              <w:right w:val="nil"/>
            </w:tcBorders>
            <w:shd w:val="clear" w:color="auto" w:fill="auto"/>
            <w:noWrap/>
            <w:vAlign w:val="center"/>
            <w:hideMark/>
          </w:tcPr>
          <w:p w14:paraId="26ED15EF" w14:textId="77777777" w:rsidR="008A1E55" w:rsidRPr="006B42D6" w:rsidRDefault="008A1E55" w:rsidP="00E16CAE">
            <w:pPr>
              <w:rPr>
                <w:sz w:val="16"/>
                <w:szCs w:val="16"/>
              </w:rPr>
            </w:pPr>
            <w:r w:rsidRPr="006B42D6">
              <w:rPr>
                <w:sz w:val="16"/>
                <w:szCs w:val="16"/>
              </w:rPr>
              <w:t>Dar Es Salaam</w:t>
            </w:r>
          </w:p>
        </w:tc>
        <w:tc>
          <w:tcPr>
            <w:tcW w:w="345" w:type="pct"/>
            <w:tcBorders>
              <w:top w:val="nil"/>
              <w:left w:val="nil"/>
              <w:bottom w:val="nil"/>
              <w:right w:val="nil"/>
            </w:tcBorders>
            <w:shd w:val="clear" w:color="auto" w:fill="auto"/>
            <w:noWrap/>
            <w:vAlign w:val="center"/>
            <w:hideMark/>
          </w:tcPr>
          <w:p w14:paraId="706F3196" w14:textId="77777777" w:rsidR="008A1E55" w:rsidRPr="006B42D6" w:rsidRDefault="008A1E55" w:rsidP="00E16CAE">
            <w:pPr>
              <w:jc w:val="right"/>
              <w:rPr>
                <w:sz w:val="16"/>
                <w:szCs w:val="16"/>
              </w:rPr>
            </w:pPr>
            <w:r w:rsidRPr="006B42D6">
              <w:rPr>
                <w:sz w:val="16"/>
                <w:szCs w:val="16"/>
              </w:rPr>
              <w:t>10.6</w:t>
            </w:r>
          </w:p>
        </w:tc>
        <w:tc>
          <w:tcPr>
            <w:tcW w:w="337" w:type="pct"/>
            <w:tcBorders>
              <w:top w:val="nil"/>
              <w:left w:val="nil"/>
              <w:bottom w:val="nil"/>
              <w:right w:val="nil"/>
            </w:tcBorders>
            <w:shd w:val="clear" w:color="auto" w:fill="auto"/>
            <w:noWrap/>
            <w:vAlign w:val="center"/>
            <w:hideMark/>
          </w:tcPr>
          <w:p w14:paraId="74CE376F" w14:textId="77777777" w:rsidR="008A1E55" w:rsidRPr="006B42D6" w:rsidRDefault="008A1E55" w:rsidP="00E16CAE">
            <w:pPr>
              <w:jc w:val="right"/>
              <w:rPr>
                <w:sz w:val="16"/>
                <w:szCs w:val="16"/>
              </w:rPr>
            </w:pPr>
            <w:r w:rsidRPr="006B42D6">
              <w:rPr>
                <w:sz w:val="16"/>
                <w:szCs w:val="16"/>
              </w:rPr>
              <w:t>3.0</w:t>
            </w:r>
          </w:p>
        </w:tc>
        <w:tc>
          <w:tcPr>
            <w:tcW w:w="353" w:type="pct"/>
            <w:tcBorders>
              <w:top w:val="nil"/>
              <w:left w:val="nil"/>
              <w:bottom w:val="nil"/>
              <w:right w:val="nil"/>
            </w:tcBorders>
            <w:shd w:val="clear" w:color="auto" w:fill="auto"/>
            <w:noWrap/>
            <w:vAlign w:val="center"/>
            <w:hideMark/>
          </w:tcPr>
          <w:p w14:paraId="2631858D" w14:textId="77777777" w:rsidR="008A1E55" w:rsidRPr="006B42D6" w:rsidRDefault="008A1E55" w:rsidP="00E16CAE">
            <w:pPr>
              <w:jc w:val="right"/>
              <w:rPr>
                <w:sz w:val="16"/>
                <w:szCs w:val="16"/>
              </w:rPr>
            </w:pPr>
            <w:r w:rsidRPr="006B42D6">
              <w:rPr>
                <w:sz w:val="16"/>
                <w:szCs w:val="16"/>
              </w:rPr>
              <w:t>3.3</w:t>
            </w:r>
          </w:p>
        </w:tc>
        <w:tc>
          <w:tcPr>
            <w:tcW w:w="399" w:type="pct"/>
            <w:tcBorders>
              <w:top w:val="nil"/>
              <w:left w:val="nil"/>
              <w:bottom w:val="nil"/>
              <w:right w:val="nil"/>
            </w:tcBorders>
            <w:shd w:val="clear" w:color="auto" w:fill="auto"/>
            <w:noWrap/>
            <w:vAlign w:val="center"/>
            <w:hideMark/>
          </w:tcPr>
          <w:p w14:paraId="54DD3F2C" w14:textId="77777777" w:rsidR="008A1E55" w:rsidRPr="006B42D6" w:rsidRDefault="008A1E55" w:rsidP="00E16CAE">
            <w:pPr>
              <w:jc w:val="right"/>
              <w:rPr>
                <w:sz w:val="16"/>
                <w:szCs w:val="16"/>
              </w:rPr>
            </w:pPr>
            <w:r w:rsidRPr="006B42D6">
              <w:rPr>
                <w:sz w:val="16"/>
                <w:szCs w:val="16"/>
              </w:rPr>
              <w:t>0.4</w:t>
            </w:r>
          </w:p>
        </w:tc>
        <w:tc>
          <w:tcPr>
            <w:tcW w:w="386" w:type="pct"/>
            <w:tcBorders>
              <w:top w:val="nil"/>
              <w:left w:val="nil"/>
              <w:bottom w:val="nil"/>
              <w:right w:val="nil"/>
            </w:tcBorders>
            <w:shd w:val="clear" w:color="auto" w:fill="auto"/>
            <w:noWrap/>
            <w:vAlign w:val="center"/>
            <w:hideMark/>
          </w:tcPr>
          <w:p w14:paraId="46CD69BA" w14:textId="77777777" w:rsidR="008A1E55" w:rsidRPr="006B42D6" w:rsidRDefault="008A1E55" w:rsidP="00E16CAE">
            <w:pPr>
              <w:jc w:val="right"/>
              <w:rPr>
                <w:sz w:val="16"/>
                <w:szCs w:val="16"/>
              </w:rPr>
            </w:pPr>
            <w:r w:rsidRPr="006B42D6">
              <w:rPr>
                <w:sz w:val="16"/>
                <w:szCs w:val="16"/>
              </w:rPr>
              <w:t>0.5</w:t>
            </w:r>
          </w:p>
        </w:tc>
        <w:tc>
          <w:tcPr>
            <w:tcW w:w="452" w:type="pct"/>
            <w:tcBorders>
              <w:top w:val="nil"/>
              <w:left w:val="nil"/>
              <w:bottom w:val="nil"/>
              <w:right w:val="nil"/>
            </w:tcBorders>
            <w:shd w:val="clear" w:color="auto" w:fill="auto"/>
            <w:noWrap/>
            <w:vAlign w:val="center"/>
            <w:hideMark/>
          </w:tcPr>
          <w:p w14:paraId="515DF03E" w14:textId="77777777" w:rsidR="008A1E55" w:rsidRPr="006B42D6" w:rsidRDefault="008A1E55" w:rsidP="00E16CAE">
            <w:pPr>
              <w:jc w:val="right"/>
              <w:rPr>
                <w:sz w:val="16"/>
                <w:szCs w:val="16"/>
              </w:rPr>
            </w:pPr>
            <w:r w:rsidRPr="006B42D6">
              <w:rPr>
                <w:sz w:val="16"/>
                <w:szCs w:val="16"/>
              </w:rPr>
              <w:t>0.3</w:t>
            </w:r>
          </w:p>
        </w:tc>
        <w:tc>
          <w:tcPr>
            <w:tcW w:w="353" w:type="pct"/>
            <w:tcBorders>
              <w:top w:val="nil"/>
              <w:left w:val="nil"/>
              <w:bottom w:val="nil"/>
              <w:right w:val="nil"/>
            </w:tcBorders>
            <w:shd w:val="clear" w:color="auto" w:fill="auto"/>
            <w:noWrap/>
            <w:vAlign w:val="center"/>
            <w:hideMark/>
          </w:tcPr>
          <w:p w14:paraId="1BD6550A" w14:textId="77777777" w:rsidR="008A1E55" w:rsidRPr="006B42D6" w:rsidRDefault="008A1E55" w:rsidP="00E16CAE">
            <w:pPr>
              <w:jc w:val="right"/>
              <w:rPr>
                <w:sz w:val="16"/>
                <w:szCs w:val="16"/>
              </w:rPr>
            </w:pPr>
            <w:r w:rsidRPr="006B42D6">
              <w:rPr>
                <w:sz w:val="16"/>
                <w:szCs w:val="16"/>
              </w:rPr>
              <w:t>3.7</w:t>
            </w:r>
          </w:p>
        </w:tc>
        <w:tc>
          <w:tcPr>
            <w:tcW w:w="383" w:type="pct"/>
            <w:tcBorders>
              <w:top w:val="nil"/>
              <w:left w:val="nil"/>
              <w:bottom w:val="nil"/>
              <w:right w:val="nil"/>
            </w:tcBorders>
            <w:shd w:val="clear" w:color="auto" w:fill="auto"/>
            <w:noWrap/>
            <w:vAlign w:val="center"/>
            <w:hideMark/>
          </w:tcPr>
          <w:p w14:paraId="0889244C" w14:textId="77777777" w:rsidR="008A1E55" w:rsidRPr="006B42D6" w:rsidRDefault="008A1E55" w:rsidP="00E16CAE">
            <w:pPr>
              <w:jc w:val="right"/>
              <w:rPr>
                <w:sz w:val="16"/>
                <w:szCs w:val="16"/>
              </w:rPr>
            </w:pPr>
            <w:r w:rsidRPr="006B42D6">
              <w:rPr>
                <w:sz w:val="16"/>
                <w:szCs w:val="16"/>
              </w:rPr>
              <w:t>2.0</w:t>
            </w:r>
          </w:p>
        </w:tc>
        <w:tc>
          <w:tcPr>
            <w:tcW w:w="268" w:type="pct"/>
            <w:tcBorders>
              <w:top w:val="nil"/>
              <w:left w:val="nil"/>
              <w:bottom w:val="nil"/>
              <w:right w:val="nil"/>
            </w:tcBorders>
            <w:shd w:val="clear" w:color="auto" w:fill="auto"/>
            <w:noWrap/>
            <w:vAlign w:val="center"/>
            <w:hideMark/>
          </w:tcPr>
          <w:p w14:paraId="10422BEA" w14:textId="77777777" w:rsidR="008A1E55" w:rsidRPr="006B42D6" w:rsidRDefault="008A1E55" w:rsidP="00E16CAE">
            <w:pPr>
              <w:jc w:val="right"/>
              <w:rPr>
                <w:sz w:val="16"/>
                <w:szCs w:val="16"/>
              </w:rPr>
            </w:pPr>
            <w:r w:rsidRPr="006B42D6">
              <w:rPr>
                <w:sz w:val="16"/>
                <w:szCs w:val="16"/>
              </w:rPr>
              <w:t>42.8</w:t>
            </w:r>
          </w:p>
        </w:tc>
        <w:tc>
          <w:tcPr>
            <w:tcW w:w="268" w:type="pct"/>
            <w:tcBorders>
              <w:top w:val="nil"/>
              <w:left w:val="nil"/>
              <w:bottom w:val="nil"/>
              <w:right w:val="nil"/>
            </w:tcBorders>
            <w:shd w:val="clear" w:color="auto" w:fill="auto"/>
            <w:noWrap/>
            <w:vAlign w:val="center"/>
            <w:hideMark/>
          </w:tcPr>
          <w:p w14:paraId="559B5B3E" w14:textId="77777777" w:rsidR="008A1E55" w:rsidRPr="006B42D6" w:rsidRDefault="008A1E55" w:rsidP="00E16CAE">
            <w:pPr>
              <w:jc w:val="right"/>
              <w:rPr>
                <w:sz w:val="16"/>
                <w:szCs w:val="16"/>
              </w:rPr>
            </w:pPr>
            <w:r w:rsidRPr="006B42D6">
              <w:rPr>
                <w:sz w:val="16"/>
                <w:szCs w:val="16"/>
              </w:rPr>
              <w:t>67.2</w:t>
            </w:r>
          </w:p>
        </w:tc>
        <w:tc>
          <w:tcPr>
            <w:tcW w:w="268" w:type="pct"/>
            <w:tcBorders>
              <w:top w:val="nil"/>
              <w:left w:val="nil"/>
              <w:bottom w:val="nil"/>
              <w:right w:val="nil"/>
            </w:tcBorders>
            <w:shd w:val="clear" w:color="auto" w:fill="auto"/>
            <w:noWrap/>
            <w:vAlign w:val="center"/>
            <w:hideMark/>
          </w:tcPr>
          <w:p w14:paraId="44082BF2" w14:textId="77777777" w:rsidR="008A1E55" w:rsidRPr="006B42D6" w:rsidRDefault="008A1E55" w:rsidP="00E16CAE">
            <w:pPr>
              <w:jc w:val="right"/>
              <w:rPr>
                <w:sz w:val="16"/>
                <w:szCs w:val="16"/>
              </w:rPr>
            </w:pPr>
            <w:r w:rsidRPr="006B42D6">
              <w:rPr>
                <w:sz w:val="16"/>
                <w:szCs w:val="16"/>
              </w:rPr>
              <w:t>80.4</w:t>
            </w:r>
          </w:p>
        </w:tc>
        <w:tc>
          <w:tcPr>
            <w:tcW w:w="314" w:type="pct"/>
            <w:tcBorders>
              <w:top w:val="nil"/>
              <w:left w:val="nil"/>
              <w:bottom w:val="nil"/>
              <w:right w:val="nil"/>
            </w:tcBorders>
            <w:shd w:val="clear" w:color="auto" w:fill="auto"/>
            <w:noWrap/>
            <w:vAlign w:val="center"/>
            <w:hideMark/>
          </w:tcPr>
          <w:p w14:paraId="088AB544" w14:textId="77777777" w:rsidR="008A1E55" w:rsidRPr="006B42D6" w:rsidRDefault="008A1E55" w:rsidP="00E16CAE">
            <w:pPr>
              <w:jc w:val="right"/>
              <w:rPr>
                <w:sz w:val="16"/>
                <w:szCs w:val="16"/>
              </w:rPr>
            </w:pPr>
            <w:r w:rsidRPr="006B42D6">
              <w:rPr>
                <w:sz w:val="16"/>
                <w:szCs w:val="16"/>
              </w:rPr>
              <w:t>0.5</w:t>
            </w:r>
          </w:p>
        </w:tc>
        <w:tc>
          <w:tcPr>
            <w:tcW w:w="268" w:type="pct"/>
            <w:tcBorders>
              <w:top w:val="nil"/>
              <w:left w:val="nil"/>
              <w:bottom w:val="nil"/>
              <w:right w:val="nil"/>
            </w:tcBorders>
            <w:shd w:val="clear" w:color="auto" w:fill="auto"/>
            <w:noWrap/>
            <w:vAlign w:val="center"/>
            <w:hideMark/>
          </w:tcPr>
          <w:p w14:paraId="4C5896B8" w14:textId="77777777" w:rsidR="008A1E55" w:rsidRPr="006B42D6" w:rsidRDefault="008A1E55" w:rsidP="00E16CAE">
            <w:pPr>
              <w:jc w:val="right"/>
              <w:rPr>
                <w:sz w:val="16"/>
                <w:szCs w:val="16"/>
              </w:rPr>
            </w:pPr>
            <w:r w:rsidRPr="006B42D6">
              <w:rPr>
                <w:sz w:val="16"/>
                <w:szCs w:val="16"/>
              </w:rPr>
              <w:t>1.1</w:t>
            </w:r>
          </w:p>
        </w:tc>
      </w:tr>
      <w:tr w:rsidR="006B42D6" w:rsidRPr="006B42D6" w14:paraId="12AE34EF" w14:textId="77777777" w:rsidTr="005420E0">
        <w:trPr>
          <w:trHeight w:hRule="exact" w:val="227"/>
        </w:trPr>
        <w:tc>
          <w:tcPr>
            <w:tcW w:w="606" w:type="pct"/>
            <w:tcBorders>
              <w:top w:val="nil"/>
              <w:left w:val="nil"/>
              <w:bottom w:val="nil"/>
              <w:right w:val="nil"/>
            </w:tcBorders>
            <w:shd w:val="clear" w:color="auto" w:fill="auto"/>
            <w:noWrap/>
            <w:vAlign w:val="center"/>
            <w:hideMark/>
          </w:tcPr>
          <w:p w14:paraId="399D5F18" w14:textId="77777777" w:rsidR="008A1E55" w:rsidRPr="006B42D6" w:rsidRDefault="008A1E55" w:rsidP="00E16CAE">
            <w:pPr>
              <w:rPr>
                <w:sz w:val="16"/>
                <w:szCs w:val="16"/>
              </w:rPr>
            </w:pPr>
            <w:r w:rsidRPr="006B42D6">
              <w:rPr>
                <w:sz w:val="16"/>
                <w:szCs w:val="16"/>
              </w:rPr>
              <w:t>Lindi</w:t>
            </w:r>
          </w:p>
        </w:tc>
        <w:tc>
          <w:tcPr>
            <w:tcW w:w="345" w:type="pct"/>
            <w:tcBorders>
              <w:top w:val="nil"/>
              <w:left w:val="nil"/>
              <w:bottom w:val="nil"/>
              <w:right w:val="nil"/>
            </w:tcBorders>
            <w:shd w:val="clear" w:color="auto" w:fill="auto"/>
            <w:noWrap/>
            <w:vAlign w:val="center"/>
            <w:hideMark/>
          </w:tcPr>
          <w:p w14:paraId="6555EE5D" w14:textId="77777777" w:rsidR="008A1E55" w:rsidRPr="006B42D6" w:rsidRDefault="008A1E55" w:rsidP="00E16CAE">
            <w:pPr>
              <w:jc w:val="right"/>
              <w:rPr>
                <w:sz w:val="16"/>
                <w:szCs w:val="16"/>
              </w:rPr>
            </w:pPr>
            <w:r w:rsidRPr="006B42D6">
              <w:rPr>
                <w:sz w:val="16"/>
                <w:szCs w:val="16"/>
              </w:rPr>
              <w:t>2.5</w:t>
            </w:r>
          </w:p>
        </w:tc>
        <w:tc>
          <w:tcPr>
            <w:tcW w:w="337" w:type="pct"/>
            <w:tcBorders>
              <w:top w:val="nil"/>
              <w:left w:val="nil"/>
              <w:bottom w:val="nil"/>
              <w:right w:val="nil"/>
            </w:tcBorders>
            <w:shd w:val="clear" w:color="auto" w:fill="auto"/>
            <w:noWrap/>
            <w:vAlign w:val="center"/>
            <w:hideMark/>
          </w:tcPr>
          <w:p w14:paraId="2CA64D0A" w14:textId="77777777" w:rsidR="008A1E55" w:rsidRPr="006B42D6" w:rsidRDefault="008A1E55" w:rsidP="00E16CAE">
            <w:pPr>
              <w:jc w:val="right"/>
              <w:rPr>
                <w:sz w:val="16"/>
                <w:szCs w:val="16"/>
              </w:rPr>
            </w:pPr>
            <w:r w:rsidRPr="006B42D6">
              <w:rPr>
                <w:sz w:val="16"/>
                <w:szCs w:val="16"/>
              </w:rPr>
              <w:t>2.7</w:t>
            </w:r>
          </w:p>
        </w:tc>
        <w:tc>
          <w:tcPr>
            <w:tcW w:w="353" w:type="pct"/>
            <w:tcBorders>
              <w:top w:val="nil"/>
              <w:left w:val="nil"/>
              <w:bottom w:val="nil"/>
              <w:right w:val="nil"/>
            </w:tcBorders>
            <w:shd w:val="clear" w:color="auto" w:fill="auto"/>
            <w:noWrap/>
            <w:vAlign w:val="center"/>
            <w:hideMark/>
          </w:tcPr>
          <w:p w14:paraId="02E637A7" w14:textId="77777777" w:rsidR="008A1E55" w:rsidRPr="006B42D6" w:rsidRDefault="008A1E55" w:rsidP="00E16CAE">
            <w:pPr>
              <w:jc w:val="right"/>
              <w:rPr>
                <w:sz w:val="16"/>
                <w:szCs w:val="16"/>
              </w:rPr>
            </w:pPr>
            <w:r w:rsidRPr="006B42D6">
              <w:rPr>
                <w:sz w:val="16"/>
                <w:szCs w:val="16"/>
              </w:rPr>
              <w:t>1.3</w:t>
            </w:r>
          </w:p>
        </w:tc>
        <w:tc>
          <w:tcPr>
            <w:tcW w:w="399" w:type="pct"/>
            <w:tcBorders>
              <w:top w:val="nil"/>
              <w:left w:val="nil"/>
              <w:bottom w:val="nil"/>
              <w:right w:val="nil"/>
            </w:tcBorders>
            <w:shd w:val="clear" w:color="auto" w:fill="auto"/>
            <w:noWrap/>
            <w:vAlign w:val="center"/>
            <w:hideMark/>
          </w:tcPr>
          <w:p w14:paraId="54F1ABED" w14:textId="77777777" w:rsidR="008A1E55" w:rsidRPr="006B42D6" w:rsidRDefault="008A1E55" w:rsidP="00E16CAE">
            <w:pPr>
              <w:jc w:val="right"/>
              <w:rPr>
                <w:sz w:val="16"/>
                <w:szCs w:val="16"/>
              </w:rPr>
            </w:pPr>
            <w:r w:rsidRPr="006B42D6">
              <w:rPr>
                <w:sz w:val="16"/>
                <w:szCs w:val="16"/>
              </w:rPr>
              <w:t>3.0</w:t>
            </w:r>
          </w:p>
        </w:tc>
        <w:tc>
          <w:tcPr>
            <w:tcW w:w="386" w:type="pct"/>
            <w:tcBorders>
              <w:top w:val="nil"/>
              <w:left w:val="nil"/>
              <w:bottom w:val="nil"/>
              <w:right w:val="nil"/>
            </w:tcBorders>
            <w:shd w:val="clear" w:color="auto" w:fill="auto"/>
            <w:noWrap/>
            <w:vAlign w:val="center"/>
            <w:hideMark/>
          </w:tcPr>
          <w:p w14:paraId="565D8E06" w14:textId="77777777" w:rsidR="008A1E55" w:rsidRPr="006B42D6" w:rsidRDefault="008A1E55" w:rsidP="00E16CAE">
            <w:pPr>
              <w:jc w:val="right"/>
              <w:rPr>
                <w:sz w:val="16"/>
                <w:szCs w:val="16"/>
              </w:rPr>
            </w:pPr>
            <w:r w:rsidRPr="006B42D6">
              <w:rPr>
                <w:sz w:val="16"/>
                <w:szCs w:val="16"/>
              </w:rPr>
              <w:t>1.9</w:t>
            </w:r>
          </w:p>
        </w:tc>
        <w:tc>
          <w:tcPr>
            <w:tcW w:w="452" w:type="pct"/>
            <w:tcBorders>
              <w:top w:val="nil"/>
              <w:left w:val="nil"/>
              <w:bottom w:val="nil"/>
              <w:right w:val="nil"/>
            </w:tcBorders>
            <w:shd w:val="clear" w:color="auto" w:fill="auto"/>
            <w:noWrap/>
            <w:vAlign w:val="center"/>
            <w:hideMark/>
          </w:tcPr>
          <w:p w14:paraId="5E1E4E60" w14:textId="77777777" w:rsidR="008A1E55" w:rsidRPr="006B42D6" w:rsidRDefault="008A1E55" w:rsidP="00E16CAE">
            <w:pPr>
              <w:jc w:val="right"/>
              <w:rPr>
                <w:sz w:val="16"/>
                <w:szCs w:val="16"/>
              </w:rPr>
            </w:pPr>
            <w:r w:rsidRPr="006B42D6">
              <w:rPr>
                <w:sz w:val="16"/>
                <w:szCs w:val="16"/>
              </w:rPr>
              <w:t>1.9</w:t>
            </w:r>
          </w:p>
        </w:tc>
        <w:tc>
          <w:tcPr>
            <w:tcW w:w="353" w:type="pct"/>
            <w:tcBorders>
              <w:top w:val="nil"/>
              <w:left w:val="nil"/>
              <w:bottom w:val="nil"/>
              <w:right w:val="nil"/>
            </w:tcBorders>
            <w:shd w:val="clear" w:color="auto" w:fill="auto"/>
            <w:noWrap/>
            <w:vAlign w:val="center"/>
            <w:hideMark/>
          </w:tcPr>
          <w:p w14:paraId="4BB19CAE" w14:textId="77777777" w:rsidR="008A1E55" w:rsidRPr="006B42D6" w:rsidRDefault="008A1E55" w:rsidP="00E16CAE">
            <w:pPr>
              <w:jc w:val="right"/>
              <w:rPr>
                <w:sz w:val="16"/>
                <w:szCs w:val="16"/>
              </w:rPr>
            </w:pPr>
            <w:r w:rsidRPr="006B42D6">
              <w:rPr>
                <w:sz w:val="16"/>
                <w:szCs w:val="16"/>
              </w:rPr>
              <w:t>4.8</w:t>
            </w:r>
          </w:p>
        </w:tc>
        <w:tc>
          <w:tcPr>
            <w:tcW w:w="383" w:type="pct"/>
            <w:tcBorders>
              <w:top w:val="nil"/>
              <w:left w:val="nil"/>
              <w:bottom w:val="nil"/>
              <w:right w:val="nil"/>
            </w:tcBorders>
            <w:shd w:val="clear" w:color="auto" w:fill="auto"/>
            <w:noWrap/>
            <w:vAlign w:val="center"/>
            <w:hideMark/>
          </w:tcPr>
          <w:p w14:paraId="77D496F3" w14:textId="77777777" w:rsidR="008A1E55" w:rsidRPr="006B42D6" w:rsidRDefault="008A1E55" w:rsidP="00E16CAE">
            <w:pPr>
              <w:jc w:val="right"/>
              <w:rPr>
                <w:sz w:val="16"/>
                <w:szCs w:val="16"/>
              </w:rPr>
            </w:pPr>
            <w:r w:rsidRPr="006B42D6">
              <w:rPr>
                <w:sz w:val="16"/>
                <w:szCs w:val="16"/>
              </w:rPr>
              <w:t>2.6</w:t>
            </w:r>
          </w:p>
        </w:tc>
        <w:tc>
          <w:tcPr>
            <w:tcW w:w="268" w:type="pct"/>
            <w:tcBorders>
              <w:top w:val="nil"/>
              <w:left w:val="nil"/>
              <w:bottom w:val="nil"/>
              <w:right w:val="nil"/>
            </w:tcBorders>
            <w:shd w:val="clear" w:color="auto" w:fill="auto"/>
            <w:noWrap/>
            <w:vAlign w:val="center"/>
            <w:hideMark/>
          </w:tcPr>
          <w:p w14:paraId="31AFDD04" w14:textId="77777777" w:rsidR="008A1E55" w:rsidRPr="006B42D6" w:rsidRDefault="008A1E55" w:rsidP="00E16CAE">
            <w:pPr>
              <w:jc w:val="right"/>
              <w:rPr>
                <w:sz w:val="16"/>
                <w:szCs w:val="16"/>
              </w:rPr>
            </w:pPr>
            <w:r w:rsidRPr="006B42D6">
              <w:rPr>
                <w:sz w:val="16"/>
                <w:szCs w:val="16"/>
              </w:rPr>
              <w:t>1.3</w:t>
            </w:r>
          </w:p>
        </w:tc>
        <w:tc>
          <w:tcPr>
            <w:tcW w:w="268" w:type="pct"/>
            <w:tcBorders>
              <w:top w:val="nil"/>
              <w:left w:val="nil"/>
              <w:bottom w:val="nil"/>
              <w:right w:val="nil"/>
            </w:tcBorders>
            <w:shd w:val="clear" w:color="auto" w:fill="auto"/>
            <w:noWrap/>
            <w:vAlign w:val="center"/>
            <w:hideMark/>
          </w:tcPr>
          <w:p w14:paraId="42BEBC4B" w14:textId="77777777" w:rsidR="008A1E55" w:rsidRPr="006B42D6" w:rsidRDefault="008A1E55" w:rsidP="00E16CAE">
            <w:pPr>
              <w:jc w:val="right"/>
              <w:rPr>
                <w:sz w:val="16"/>
                <w:szCs w:val="16"/>
              </w:rPr>
            </w:pPr>
            <w:r w:rsidRPr="006B42D6">
              <w:rPr>
                <w:sz w:val="16"/>
                <w:szCs w:val="16"/>
              </w:rPr>
              <w:t>-</w:t>
            </w:r>
          </w:p>
        </w:tc>
        <w:tc>
          <w:tcPr>
            <w:tcW w:w="268" w:type="pct"/>
            <w:tcBorders>
              <w:top w:val="nil"/>
              <w:left w:val="nil"/>
              <w:bottom w:val="nil"/>
              <w:right w:val="nil"/>
            </w:tcBorders>
            <w:shd w:val="clear" w:color="auto" w:fill="auto"/>
            <w:noWrap/>
            <w:vAlign w:val="center"/>
            <w:hideMark/>
          </w:tcPr>
          <w:p w14:paraId="2A4A5AEB" w14:textId="77777777" w:rsidR="008A1E55" w:rsidRPr="006B42D6" w:rsidRDefault="008A1E55" w:rsidP="00E16CAE">
            <w:pPr>
              <w:jc w:val="right"/>
              <w:rPr>
                <w:sz w:val="16"/>
                <w:szCs w:val="16"/>
              </w:rPr>
            </w:pPr>
            <w:r w:rsidRPr="006B42D6">
              <w:rPr>
                <w:sz w:val="16"/>
                <w:szCs w:val="16"/>
              </w:rPr>
              <w:t>-</w:t>
            </w:r>
          </w:p>
        </w:tc>
        <w:tc>
          <w:tcPr>
            <w:tcW w:w="314" w:type="pct"/>
            <w:tcBorders>
              <w:top w:val="nil"/>
              <w:left w:val="nil"/>
              <w:bottom w:val="nil"/>
              <w:right w:val="nil"/>
            </w:tcBorders>
            <w:shd w:val="clear" w:color="auto" w:fill="auto"/>
            <w:noWrap/>
            <w:vAlign w:val="center"/>
            <w:hideMark/>
          </w:tcPr>
          <w:p w14:paraId="018EC2C4" w14:textId="77777777" w:rsidR="008A1E55" w:rsidRPr="006B42D6" w:rsidRDefault="008A1E55" w:rsidP="00E16CAE">
            <w:pPr>
              <w:jc w:val="right"/>
              <w:rPr>
                <w:sz w:val="16"/>
                <w:szCs w:val="16"/>
              </w:rPr>
            </w:pPr>
            <w:r w:rsidRPr="006B42D6">
              <w:rPr>
                <w:sz w:val="16"/>
                <w:szCs w:val="16"/>
              </w:rPr>
              <w:t>0.7</w:t>
            </w:r>
          </w:p>
        </w:tc>
        <w:tc>
          <w:tcPr>
            <w:tcW w:w="268" w:type="pct"/>
            <w:tcBorders>
              <w:top w:val="nil"/>
              <w:left w:val="nil"/>
              <w:bottom w:val="nil"/>
              <w:right w:val="nil"/>
            </w:tcBorders>
            <w:shd w:val="clear" w:color="auto" w:fill="auto"/>
            <w:noWrap/>
            <w:vAlign w:val="center"/>
            <w:hideMark/>
          </w:tcPr>
          <w:p w14:paraId="5CD28110" w14:textId="77777777" w:rsidR="008A1E55" w:rsidRPr="006B42D6" w:rsidRDefault="008A1E55" w:rsidP="00E16CAE">
            <w:pPr>
              <w:jc w:val="right"/>
              <w:rPr>
                <w:sz w:val="16"/>
                <w:szCs w:val="16"/>
              </w:rPr>
            </w:pPr>
            <w:r w:rsidRPr="006B42D6">
              <w:rPr>
                <w:sz w:val="16"/>
                <w:szCs w:val="16"/>
              </w:rPr>
              <w:t>7.1</w:t>
            </w:r>
          </w:p>
        </w:tc>
      </w:tr>
      <w:tr w:rsidR="006B42D6" w:rsidRPr="006B42D6" w14:paraId="194CE8D7" w14:textId="77777777" w:rsidTr="005420E0">
        <w:trPr>
          <w:trHeight w:hRule="exact" w:val="227"/>
        </w:trPr>
        <w:tc>
          <w:tcPr>
            <w:tcW w:w="606" w:type="pct"/>
            <w:tcBorders>
              <w:top w:val="nil"/>
              <w:left w:val="nil"/>
              <w:bottom w:val="nil"/>
              <w:right w:val="nil"/>
            </w:tcBorders>
            <w:shd w:val="clear" w:color="auto" w:fill="auto"/>
            <w:noWrap/>
            <w:vAlign w:val="center"/>
            <w:hideMark/>
          </w:tcPr>
          <w:p w14:paraId="403165E7" w14:textId="77777777" w:rsidR="008A1E55" w:rsidRPr="006B42D6" w:rsidRDefault="008A1E55" w:rsidP="00E16CAE">
            <w:pPr>
              <w:rPr>
                <w:sz w:val="16"/>
                <w:szCs w:val="16"/>
              </w:rPr>
            </w:pPr>
            <w:r w:rsidRPr="006B42D6">
              <w:rPr>
                <w:sz w:val="16"/>
                <w:szCs w:val="16"/>
              </w:rPr>
              <w:t>Mtwara</w:t>
            </w:r>
          </w:p>
        </w:tc>
        <w:tc>
          <w:tcPr>
            <w:tcW w:w="345" w:type="pct"/>
            <w:tcBorders>
              <w:top w:val="nil"/>
              <w:left w:val="nil"/>
              <w:bottom w:val="nil"/>
              <w:right w:val="nil"/>
            </w:tcBorders>
            <w:shd w:val="clear" w:color="auto" w:fill="auto"/>
            <w:noWrap/>
            <w:vAlign w:val="center"/>
            <w:hideMark/>
          </w:tcPr>
          <w:p w14:paraId="421F27C8" w14:textId="77777777" w:rsidR="008A1E55" w:rsidRPr="006B42D6" w:rsidRDefault="008A1E55" w:rsidP="00E16CAE">
            <w:pPr>
              <w:jc w:val="right"/>
              <w:rPr>
                <w:sz w:val="16"/>
                <w:szCs w:val="16"/>
              </w:rPr>
            </w:pPr>
            <w:r w:rsidRPr="006B42D6">
              <w:rPr>
                <w:sz w:val="16"/>
                <w:szCs w:val="16"/>
              </w:rPr>
              <w:t>2.9</w:t>
            </w:r>
          </w:p>
        </w:tc>
        <w:tc>
          <w:tcPr>
            <w:tcW w:w="337" w:type="pct"/>
            <w:tcBorders>
              <w:top w:val="nil"/>
              <w:left w:val="nil"/>
              <w:bottom w:val="nil"/>
              <w:right w:val="nil"/>
            </w:tcBorders>
            <w:shd w:val="clear" w:color="auto" w:fill="auto"/>
            <w:noWrap/>
            <w:vAlign w:val="center"/>
            <w:hideMark/>
          </w:tcPr>
          <w:p w14:paraId="40460DD4" w14:textId="77777777" w:rsidR="008A1E55" w:rsidRPr="006B42D6" w:rsidRDefault="008A1E55" w:rsidP="00E16CAE">
            <w:pPr>
              <w:jc w:val="right"/>
              <w:rPr>
                <w:sz w:val="16"/>
                <w:szCs w:val="16"/>
              </w:rPr>
            </w:pPr>
            <w:r w:rsidRPr="006B42D6">
              <w:rPr>
                <w:sz w:val="16"/>
                <w:szCs w:val="16"/>
              </w:rPr>
              <w:t>6.9</w:t>
            </w:r>
          </w:p>
        </w:tc>
        <w:tc>
          <w:tcPr>
            <w:tcW w:w="353" w:type="pct"/>
            <w:tcBorders>
              <w:top w:val="nil"/>
              <w:left w:val="nil"/>
              <w:bottom w:val="nil"/>
              <w:right w:val="nil"/>
            </w:tcBorders>
            <w:shd w:val="clear" w:color="auto" w:fill="auto"/>
            <w:noWrap/>
            <w:vAlign w:val="center"/>
            <w:hideMark/>
          </w:tcPr>
          <w:p w14:paraId="5A8D669D" w14:textId="77777777" w:rsidR="008A1E55" w:rsidRPr="006B42D6" w:rsidRDefault="008A1E55" w:rsidP="00E16CAE">
            <w:pPr>
              <w:jc w:val="right"/>
              <w:rPr>
                <w:sz w:val="16"/>
                <w:szCs w:val="16"/>
              </w:rPr>
            </w:pPr>
            <w:r w:rsidRPr="006B42D6">
              <w:rPr>
                <w:sz w:val="16"/>
                <w:szCs w:val="16"/>
              </w:rPr>
              <w:t>4.9</w:t>
            </w:r>
          </w:p>
        </w:tc>
        <w:tc>
          <w:tcPr>
            <w:tcW w:w="399" w:type="pct"/>
            <w:tcBorders>
              <w:top w:val="nil"/>
              <w:left w:val="nil"/>
              <w:bottom w:val="nil"/>
              <w:right w:val="nil"/>
            </w:tcBorders>
            <w:shd w:val="clear" w:color="auto" w:fill="auto"/>
            <w:noWrap/>
            <w:vAlign w:val="center"/>
            <w:hideMark/>
          </w:tcPr>
          <w:p w14:paraId="7DA684C0" w14:textId="77777777" w:rsidR="008A1E55" w:rsidRPr="006B42D6" w:rsidRDefault="008A1E55" w:rsidP="00E16CAE">
            <w:pPr>
              <w:jc w:val="right"/>
              <w:rPr>
                <w:sz w:val="16"/>
                <w:szCs w:val="16"/>
              </w:rPr>
            </w:pPr>
            <w:r w:rsidRPr="006B42D6">
              <w:rPr>
                <w:sz w:val="16"/>
                <w:szCs w:val="16"/>
              </w:rPr>
              <w:t>4.5</w:t>
            </w:r>
          </w:p>
        </w:tc>
        <w:tc>
          <w:tcPr>
            <w:tcW w:w="386" w:type="pct"/>
            <w:tcBorders>
              <w:top w:val="nil"/>
              <w:left w:val="nil"/>
              <w:bottom w:val="nil"/>
              <w:right w:val="nil"/>
            </w:tcBorders>
            <w:shd w:val="clear" w:color="auto" w:fill="auto"/>
            <w:noWrap/>
            <w:vAlign w:val="center"/>
            <w:hideMark/>
          </w:tcPr>
          <w:p w14:paraId="783FB348" w14:textId="77777777" w:rsidR="008A1E55" w:rsidRPr="006B42D6" w:rsidRDefault="008A1E55" w:rsidP="00E16CAE">
            <w:pPr>
              <w:jc w:val="right"/>
              <w:rPr>
                <w:sz w:val="16"/>
                <w:szCs w:val="16"/>
              </w:rPr>
            </w:pPr>
            <w:r w:rsidRPr="006B42D6">
              <w:rPr>
                <w:sz w:val="16"/>
                <w:szCs w:val="16"/>
              </w:rPr>
              <w:t>4.4</w:t>
            </w:r>
          </w:p>
        </w:tc>
        <w:tc>
          <w:tcPr>
            <w:tcW w:w="452" w:type="pct"/>
            <w:tcBorders>
              <w:top w:val="nil"/>
              <w:left w:val="nil"/>
              <w:bottom w:val="nil"/>
              <w:right w:val="nil"/>
            </w:tcBorders>
            <w:shd w:val="clear" w:color="auto" w:fill="auto"/>
            <w:noWrap/>
            <w:vAlign w:val="center"/>
            <w:hideMark/>
          </w:tcPr>
          <w:p w14:paraId="3ECDC2F9" w14:textId="77777777" w:rsidR="008A1E55" w:rsidRPr="006B42D6" w:rsidRDefault="008A1E55" w:rsidP="00E16CAE">
            <w:pPr>
              <w:jc w:val="right"/>
              <w:rPr>
                <w:sz w:val="16"/>
                <w:szCs w:val="16"/>
              </w:rPr>
            </w:pPr>
            <w:r w:rsidRPr="006B42D6">
              <w:rPr>
                <w:sz w:val="16"/>
                <w:szCs w:val="16"/>
              </w:rPr>
              <w:t>2.4</w:t>
            </w:r>
          </w:p>
        </w:tc>
        <w:tc>
          <w:tcPr>
            <w:tcW w:w="353" w:type="pct"/>
            <w:tcBorders>
              <w:top w:val="nil"/>
              <w:left w:val="nil"/>
              <w:bottom w:val="nil"/>
              <w:right w:val="nil"/>
            </w:tcBorders>
            <w:shd w:val="clear" w:color="auto" w:fill="auto"/>
            <w:noWrap/>
            <w:vAlign w:val="center"/>
            <w:hideMark/>
          </w:tcPr>
          <w:p w14:paraId="76BDA0FF" w14:textId="77777777" w:rsidR="008A1E55" w:rsidRPr="006B42D6" w:rsidRDefault="008A1E55" w:rsidP="00E16CAE">
            <w:pPr>
              <w:jc w:val="right"/>
              <w:rPr>
                <w:sz w:val="16"/>
                <w:szCs w:val="16"/>
              </w:rPr>
            </w:pPr>
            <w:r w:rsidRPr="006B42D6">
              <w:rPr>
                <w:sz w:val="16"/>
                <w:szCs w:val="16"/>
              </w:rPr>
              <w:t>38.0</w:t>
            </w:r>
          </w:p>
        </w:tc>
        <w:tc>
          <w:tcPr>
            <w:tcW w:w="383" w:type="pct"/>
            <w:tcBorders>
              <w:top w:val="nil"/>
              <w:left w:val="nil"/>
              <w:bottom w:val="nil"/>
              <w:right w:val="nil"/>
            </w:tcBorders>
            <w:shd w:val="clear" w:color="auto" w:fill="auto"/>
            <w:noWrap/>
            <w:vAlign w:val="center"/>
            <w:hideMark/>
          </w:tcPr>
          <w:p w14:paraId="63D64EF8" w14:textId="77777777" w:rsidR="008A1E55" w:rsidRPr="006B42D6" w:rsidRDefault="008A1E55" w:rsidP="00E16CAE">
            <w:pPr>
              <w:jc w:val="right"/>
              <w:rPr>
                <w:sz w:val="16"/>
                <w:szCs w:val="16"/>
              </w:rPr>
            </w:pPr>
            <w:r w:rsidRPr="006B42D6">
              <w:rPr>
                <w:sz w:val="16"/>
                <w:szCs w:val="16"/>
              </w:rPr>
              <w:t>19.1</w:t>
            </w:r>
          </w:p>
        </w:tc>
        <w:tc>
          <w:tcPr>
            <w:tcW w:w="268" w:type="pct"/>
            <w:tcBorders>
              <w:top w:val="nil"/>
              <w:left w:val="nil"/>
              <w:bottom w:val="nil"/>
              <w:right w:val="nil"/>
            </w:tcBorders>
            <w:shd w:val="clear" w:color="auto" w:fill="auto"/>
            <w:noWrap/>
            <w:vAlign w:val="center"/>
            <w:hideMark/>
          </w:tcPr>
          <w:p w14:paraId="2FA07582" w14:textId="77777777" w:rsidR="008A1E55" w:rsidRPr="006B42D6" w:rsidRDefault="008A1E55" w:rsidP="00E16CAE">
            <w:pPr>
              <w:jc w:val="right"/>
              <w:rPr>
                <w:sz w:val="16"/>
                <w:szCs w:val="16"/>
              </w:rPr>
            </w:pPr>
            <w:r w:rsidRPr="006B42D6">
              <w:rPr>
                <w:sz w:val="16"/>
                <w:szCs w:val="16"/>
              </w:rPr>
              <w:t>-</w:t>
            </w:r>
          </w:p>
        </w:tc>
        <w:tc>
          <w:tcPr>
            <w:tcW w:w="268" w:type="pct"/>
            <w:tcBorders>
              <w:top w:val="nil"/>
              <w:left w:val="nil"/>
              <w:bottom w:val="nil"/>
              <w:right w:val="nil"/>
            </w:tcBorders>
            <w:shd w:val="clear" w:color="auto" w:fill="auto"/>
            <w:noWrap/>
            <w:vAlign w:val="center"/>
            <w:hideMark/>
          </w:tcPr>
          <w:p w14:paraId="39C8C7E8" w14:textId="77777777" w:rsidR="008A1E55" w:rsidRPr="006B42D6" w:rsidRDefault="008A1E55" w:rsidP="00E16CAE">
            <w:pPr>
              <w:jc w:val="right"/>
              <w:rPr>
                <w:sz w:val="16"/>
                <w:szCs w:val="16"/>
              </w:rPr>
            </w:pPr>
            <w:r w:rsidRPr="006B42D6">
              <w:rPr>
                <w:sz w:val="16"/>
                <w:szCs w:val="16"/>
              </w:rPr>
              <w:t>-</w:t>
            </w:r>
          </w:p>
        </w:tc>
        <w:tc>
          <w:tcPr>
            <w:tcW w:w="268" w:type="pct"/>
            <w:tcBorders>
              <w:top w:val="nil"/>
              <w:left w:val="nil"/>
              <w:bottom w:val="nil"/>
              <w:right w:val="nil"/>
            </w:tcBorders>
            <w:shd w:val="clear" w:color="auto" w:fill="auto"/>
            <w:noWrap/>
            <w:vAlign w:val="center"/>
            <w:hideMark/>
          </w:tcPr>
          <w:p w14:paraId="66A9D44A" w14:textId="77777777" w:rsidR="008A1E55" w:rsidRPr="006B42D6" w:rsidRDefault="008A1E55" w:rsidP="00E16CAE">
            <w:pPr>
              <w:jc w:val="right"/>
              <w:rPr>
                <w:sz w:val="16"/>
                <w:szCs w:val="16"/>
              </w:rPr>
            </w:pPr>
            <w:r w:rsidRPr="006B42D6">
              <w:rPr>
                <w:sz w:val="16"/>
                <w:szCs w:val="16"/>
              </w:rPr>
              <w:t>-</w:t>
            </w:r>
          </w:p>
        </w:tc>
        <w:tc>
          <w:tcPr>
            <w:tcW w:w="314" w:type="pct"/>
            <w:tcBorders>
              <w:top w:val="nil"/>
              <w:left w:val="nil"/>
              <w:bottom w:val="nil"/>
              <w:right w:val="nil"/>
            </w:tcBorders>
            <w:shd w:val="clear" w:color="auto" w:fill="auto"/>
            <w:noWrap/>
            <w:vAlign w:val="center"/>
            <w:hideMark/>
          </w:tcPr>
          <w:p w14:paraId="1C41FFE3" w14:textId="77777777" w:rsidR="008A1E55" w:rsidRPr="006B42D6" w:rsidRDefault="008A1E55" w:rsidP="00E16CAE">
            <w:pPr>
              <w:jc w:val="right"/>
              <w:rPr>
                <w:sz w:val="16"/>
                <w:szCs w:val="16"/>
              </w:rPr>
            </w:pPr>
            <w:r w:rsidRPr="006B42D6">
              <w:rPr>
                <w:sz w:val="16"/>
                <w:szCs w:val="16"/>
              </w:rPr>
              <w:t>0.1</w:t>
            </w:r>
          </w:p>
        </w:tc>
        <w:tc>
          <w:tcPr>
            <w:tcW w:w="268" w:type="pct"/>
            <w:tcBorders>
              <w:top w:val="nil"/>
              <w:left w:val="nil"/>
              <w:bottom w:val="nil"/>
              <w:right w:val="nil"/>
            </w:tcBorders>
            <w:shd w:val="clear" w:color="auto" w:fill="auto"/>
            <w:noWrap/>
            <w:vAlign w:val="center"/>
            <w:hideMark/>
          </w:tcPr>
          <w:p w14:paraId="2B027B9C" w14:textId="77777777" w:rsidR="008A1E55" w:rsidRPr="006B42D6" w:rsidRDefault="008A1E55" w:rsidP="00E16CAE">
            <w:pPr>
              <w:jc w:val="right"/>
              <w:rPr>
                <w:sz w:val="16"/>
                <w:szCs w:val="16"/>
              </w:rPr>
            </w:pPr>
            <w:r w:rsidRPr="006B42D6">
              <w:rPr>
                <w:sz w:val="16"/>
                <w:szCs w:val="16"/>
              </w:rPr>
              <w:t>1.0</w:t>
            </w:r>
          </w:p>
        </w:tc>
      </w:tr>
      <w:tr w:rsidR="006B42D6" w:rsidRPr="006B42D6" w14:paraId="711DED26" w14:textId="77777777" w:rsidTr="005420E0">
        <w:trPr>
          <w:trHeight w:hRule="exact" w:val="227"/>
        </w:trPr>
        <w:tc>
          <w:tcPr>
            <w:tcW w:w="606" w:type="pct"/>
            <w:tcBorders>
              <w:top w:val="nil"/>
              <w:left w:val="nil"/>
              <w:bottom w:val="nil"/>
              <w:right w:val="nil"/>
            </w:tcBorders>
            <w:shd w:val="clear" w:color="auto" w:fill="auto"/>
            <w:noWrap/>
            <w:vAlign w:val="center"/>
            <w:hideMark/>
          </w:tcPr>
          <w:p w14:paraId="368D396D" w14:textId="77777777" w:rsidR="008A1E55" w:rsidRPr="006B42D6" w:rsidRDefault="008A1E55" w:rsidP="00E16CAE">
            <w:pPr>
              <w:rPr>
                <w:sz w:val="16"/>
                <w:szCs w:val="16"/>
              </w:rPr>
            </w:pPr>
            <w:r w:rsidRPr="006B42D6">
              <w:rPr>
                <w:sz w:val="16"/>
                <w:szCs w:val="16"/>
              </w:rPr>
              <w:t>Ruvuma</w:t>
            </w:r>
          </w:p>
        </w:tc>
        <w:tc>
          <w:tcPr>
            <w:tcW w:w="345" w:type="pct"/>
            <w:tcBorders>
              <w:top w:val="nil"/>
              <w:left w:val="nil"/>
              <w:bottom w:val="nil"/>
              <w:right w:val="nil"/>
            </w:tcBorders>
            <w:shd w:val="clear" w:color="auto" w:fill="auto"/>
            <w:noWrap/>
            <w:vAlign w:val="center"/>
            <w:hideMark/>
          </w:tcPr>
          <w:p w14:paraId="62E0E2B6" w14:textId="77777777" w:rsidR="008A1E55" w:rsidRPr="006B42D6" w:rsidRDefault="008A1E55" w:rsidP="00E16CAE">
            <w:pPr>
              <w:jc w:val="right"/>
              <w:rPr>
                <w:sz w:val="16"/>
                <w:szCs w:val="16"/>
              </w:rPr>
            </w:pPr>
            <w:r w:rsidRPr="006B42D6">
              <w:rPr>
                <w:sz w:val="16"/>
                <w:szCs w:val="16"/>
              </w:rPr>
              <w:t>5.4</w:t>
            </w:r>
          </w:p>
        </w:tc>
        <w:tc>
          <w:tcPr>
            <w:tcW w:w="337" w:type="pct"/>
            <w:tcBorders>
              <w:top w:val="nil"/>
              <w:left w:val="nil"/>
              <w:bottom w:val="nil"/>
              <w:right w:val="nil"/>
            </w:tcBorders>
            <w:shd w:val="clear" w:color="auto" w:fill="auto"/>
            <w:noWrap/>
            <w:vAlign w:val="center"/>
            <w:hideMark/>
          </w:tcPr>
          <w:p w14:paraId="68665155" w14:textId="77777777" w:rsidR="008A1E55" w:rsidRPr="006B42D6" w:rsidRDefault="008A1E55" w:rsidP="00E16CAE">
            <w:pPr>
              <w:jc w:val="right"/>
              <w:rPr>
                <w:sz w:val="16"/>
                <w:szCs w:val="16"/>
              </w:rPr>
            </w:pPr>
            <w:r w:rsidRPr="006B42D6">
              <w:rPr>
                <w:sz w:val="16"/>
                <w:szCs w:val="16"/>
              </w:rPr>
              <w:t>6.7</w:t>
            </w:r>
          </w:p>
        </w:tc>
        <w:tc>
          <w:tcPr>
            <w:tcW w:w="353" w:type="pct"/>
            <w:tcBorders>
              <w:top w:val="nil"/>
              <w:left w:val="nil"/>
              <w:bottom w:val="nil"/>
              <w:right w:val="nil"/>
            </w:tcBorders>
            <w:shd w:val="clear" w:color="auto" w:fill="auto"/>
            <w:noWrap/>
            <w:vAlign w:val="center"/>
            <w:hideMark/>
          </w:tcPr>
          <w:p w14:paraId="384B1554" w14:textId="77777777" w:rsidR="008A1E55" w:rsidRPr="006B42D6" w:rsidRDefault="008A1E55" w:rsidP="00E16CAE">
            <w:pPr>
              <w:jc w:val="right"/>
              <w:rPr>
                <w:sz w:val="16"/>
                <w:szCs w:val="16"/>
              </w:rPr>
            </w:pPr>
            <w:r w:rsidRPr="006B42D6">
              <w:rPr>
                <w:sz w:val="16"/>
                <w:szCs w:val="16"/>
              </w:rPr>
              <w:t>6.0</w:t>
            </w:r>
          </w:p>
        </w:tc>
        <w:tc>
          <w:tcPr>
            <w:tcW w:w="399" w:type="pct"/>
            <w:tcBorders>
              <w:top w:val="nil"/>
              <w:left w:val="nil"/>
              <w:bottom w:val="nil"/>
              <w:right w:val="nil"/>
            </w:tcBorders>
            <w:shd w:val="clear" w:color="auto" w:fill="auto"/>
            <w:noWrap/>
            <w:vAlign w:val="center"/>
            <w:hideMark/>
          </w:tcPr>
          <w:p w14:paraId="337DFD20" w14:textId="77777777" w:rsidR="008A1E55" w:rsidRPr="006B42D6" w:rsidRDefault="008A1E55" w:rsidP="00E16CAE">
            <w:pPr>
              <w:jc w:val="right"/>
              <w:rPr>
                <w:sz w:val="16"/>
                <w:szCs w:val="16"/>
              </w:rPr>
            </w:pPr>
            <w:r w:rsidRPr="006B42D6">
              <w:rPr>
                <w:sz w:val="16"/>
                <w:szCs w:val="16"/>
              </w:rPr>
              <w:t>2.9</w:t>
            </w:r>
          </w:p>
        </w:tc>
        <w:tc>
          <w:tcPr>
            <w:tcW w:w="386" w:type="pct"/>
            <w:tcBorders>
              <w:top w:val="nil"/>
              <w:left w:val="nil"/>
              <w:bottom w:val="nil"/>
              <w:right w:val="nil"/>
            </w:tcBorders>
            <w:shd w:val="clear" w:color="auto" w:fill="auto"/>
            <w:noWrap/>
            <w:vAlign w:val="center"/>
            <w:hideMark/>
          </w:tcPr>
          <w:p w14:paraId="036484A7" w14:textId="77777777" w:rsidR="008A1E55" w:rsidRPr="006B42D6" w:rsidRDefault="008A1E55" w:rsidP="00E16CAE">
            <w:pPr>
              <w:jc w:val="right"/>
              <w:rPr>
                <w:sz w:val="16"/>
                <w:szCs w:val="16"/>
              </w:rPr>
            </w:pPr>
            <w:r w:rsidRPr="006B42D6">
              <w:rPr>
                <w:sz w:val="16"/>
                <w:szCs w:val="16"/>
              </w:rPr>
              <w:t>5.2</w:t>
            </w:r>
          </w:p>
        </w:tc>
        <w:tc>
          <w:tcPr>
            <w:tcW w:w="452" w:type="pct"/>
            <w:tcBorders>
              <w:top w:val="nil"/>
              <w:left w:val="nil"/>
              <w:bottom w:val="nil"/>
              <w:right w:val="nil"/>
            </w:tcBorders>
            <w:shd w:val="clear" w:color="auto" w:fill="auto"/>
            <w:noWrap/>
            <w:vAlign w:val="center"/>
            <w:hideMark/>
          </w:tcPr>
          <w:p w14:paraId="4241ADD8" w14:textId="77777777" w:rsidR="008A1E55" w:rsidRPr="006B42D6" w:rsidRDefault="008A1E55" w:rsidP="00E16CAE">
            <w:pPr>
              <w:jc w:val="right"/>
              <w:rPr>
                <w:sz w:val="16"/>
                <w:szCs w:val="16"/>
              </w:rPr>
            </w:pPr>
            <w:r w:rsidRPr="006B42D6">
              <w:rPr>
                <w:sz w:val="16"/>
                <w:szCs w:val="16"/>
              </w:rPr>
              <w:t>3.9</w:t>
            </w:r>
          </w:p>
        </w:tc>
        <w:tc>
          <w:tcPr>
            <w:tcW w:w="353" w:type="pct"/>
            <w:tcBorders>
              <w:top w:val="nil"/>
              <w:left w:val="nil"/>
              <w:bottom w:val="nil"/>
              <w:right w:val="nil"/>
            </w:tcBorders>
            <w:shd w:val="clear" w:color="auto" w:fill="auto"/>
            <w:noWrap/>
            <w:vAlign w:val="center"/>
            <w:hideMark/>
          </w:tcPr>
          <w:p w14:paraId="6CB713A1" w14:textId="77777777" w:rsidR="008A1E55" w:rsidRPr="006B42D6" w:rsidRDefault="008A1E55" w:rsidP="00E16CAE">
            <w:pPr>
              <w:jc w:val="right"/>
              <w:rPr>
                <w:sz w:val="16"/>
                <w:szCs w:val="16"/>
              </w:rPr>
            </w:pPr>
            <w:r w:rsidRPr="006B42D6">
              <w:rPr>
                <w:sz w:val="16"/>
                <w:szCs w:val="16"/>
              </w:rPr>
              <w:t>0.6</w:t>
            </w:r>
          </w:p>
        </w:tc>
        <w:tc>
          <w:tcPr>
            <w:tcW w:w="383" w:type="pct"/>
            <w:tcBorders>
              <w:top w:val="nil"/>
              <w:left w:val="nil"/>
              <w:bottom w:val="nil"/>
              <w:right w:val="nil"/>
            </w:tcBorders>
            <w:shd w:val="clear" w:color="auto" w:fill="auto"/>
            <w:noWrap/>
            <w:vAlign w:val="center"/>
            <w:hideMark/>
          </w:tcPr>
          <w:p w14:paraId="4678F15D" w14:textId="77777777" w:rsidR="008A1E55" w:rsidRPr="006B42D6" w:rsidRDefault="008A1E55" w:rsidP="00E16CAE">
            <w:pPr>
              <w:jc w:val="right"/>
              <w:rPr>
                <w:sz w:val="16"/>
                <w:szCs w:val="16"/>
              </w:rPr>
            </w:pPr>
            <w:r w:rsidRPr="006B42D6">
              <w:rPr>
                <w:sz w:val="16"/>
                <w:szCs w:val="16"/>
              </w:rPr>
              <w:t>0.8</w:t>
            </w:r>
          </w:p>
        </w:tc>
        <w:tc>
          <w:tcPr>
            <w:tcW w:w="268" w:type="pct"/>
            <w:tcBorders>
              <w:top w:val="nil"/>
              <w:left w:val="nil"/>
              <w:bottom w:val="nil"/>
              <w:right w:val="nil"/>
            </w:tcBorders>
            <w:shd w:val="clear" w:color="auto" w:fill="auto"/>
            <w:noWrap/>
            <w:vAlign w:val="center"/>
            <w:hideMark/>
          </w:tcPr>
          <w:p w14:paraId="28D04997" w14:textId="77777777" w:rsidR="008A1E55" w:rsidRPr="006B42D6" w:rsidRDefault="008A1E55" w:rsidP="00E16CAE">
            <w:pPr>
              <w:jc w:val="right"/>
              <w:rPr>
                <w:sz w:val="16"/>
                <w:szCs w:val="16"/>
              </w:rPr>
            </w:pPr>
            <w:r w:rsidRPr="006B42D6">
              <w:rPr>
                <w:sz w:val="16"/>
                <w:szCs w:val="16"/>
              </w:rPr>
              <w:t>-</w:t>
            </w:r>
          </w:p>
        </w:tc>
        <w:tc>
          <w:tcPr>
            <w:tcW w:w="268" w:type="pct"/>
            <w:tcBorders>
              <w:top w:val="nil"/>
              <w:left w:val="nil"/>
              <w:bottom w:val="nil"/>
              <w:right w:val="nil"/>
            </w:tcBorders>
            <w:shd w:val="clear" w:color="auto" w:fill="auto"/>
            <w:noWrap/>
            <w:vAlign w:val="center"/>
            <w:hideMark/>
          </w:tcPr>
          <w:p w14:paraId="59A3E04C" w14:textId="77777777" w:rsidR="008A1E55" w:rsidRPr="006B42D6" w:rsidRDefault="008A1E55" w:rsidP="00E16CAE">
            <w:pPr>
              <w:jc w:val="right"/>
              <w:rPr>
                <w:sz w:val="16"/>
                <w:szCs w:val="16"/>
              </w:rPr>
            </w:pPr>
            <w:r w:rsidRPr="006B42D6">
              <w:rPr>
                <w:sz w:val="16"/>
                <w:szCs w:val="16"/>
              </w:rPr>
              <w:t>-</w:t>
            </w:r>
          </w:p>
        </w:tc>
        <w:tc>
          <w:tcPr>
            <w:tcW w:w="268" w:type="pct"/>
            <w:tcBorders>
              <w:top w:val="nil"/>
              <w:left w:val="nil"/>
              <w:bottom w:val="nil"/>
              <w:right w:val="nil"/>
            </w:tcBorders>
            <w:shd w:val="clear" w:color="auto" w:fill="auto"/>
            <w:noWrap/>
            <w:vAlign w:val="center"/>
            <w:hideMark/>
          </w:tcPr>
          <w:p w14:paraId="7EE0B785" w14:textId="77777777" w:rsidR="008A1E55" w:rsidRPr="006B42D6" w:rsidRDefault="008A1E55" w:rsidP="00E16CAE">
            <w:pPr>
              <w:jc w:val="right"/>
              <w:rPr>
                <w:sz w:val="16"/>
                <w:szCs w:val="16"/>
              </w:rPr>
            </w:pPr>
            <w:r w:rsidRPr="006B42D6">
              <w:rPr>
                <w:sz w:val="16"/>
                <w:szCs w:val="16"/>
              </w:rPr>
              <w:t>-</w:t>
            </w:r>
          </w:p>
        </w:tc>
        <w:tc>
          <w:tcPr>
            <w:tcW w:w="314" w:type="pct"/>
            <w:tcBorders>
              <w:top w:val="nil"/>
              <w:left w:val="nil"/>
              <w:bottom w:val="nil"/>
              <w:right w:val="nil"/>
            </w:tcBorders>
            <w:shd w:val="clear" w:color="auto" w:fill="auto"/>
            <w:noWrap/>
            <w:vAlign w:val="center"/>
            <w:hideMark/>
          </w:tcPr>
          <w:p w14:paraId="0DED6972" w14:textId="77777777" w:rsidR="008A1E55" w:rsidRPr="006B42D6" w:rsidRDefault="008A1E55" w:rsidP="00E16CAE">
            <w:pPr>
              <w:jc w:val="right"/>
              <w:rPr>
                <w:sz w:val="16"/>
                <w:szCs w:val="16"/>
              </w:rPr>
            </w:pPr>
            <w:r w:rsidRPr="006B42D6">
              <w:rPr>
                <w:sz w:val="16"/>
                <w:szCs w:val="16"/>
              </w:rPr>
              <w:t>8.3</w:t>
            </w:r>
          </w:p>
        </w:tc>
        <w:tc>
          <w:tcPr>
            <w:tcW w:w="268" w:type="pct"/>
            <w:tcBorders>
              <w:top w:val="nil"/>
              <w:left w:val="nil"/>
              <w:bottom w:val="nil"/>
              <w:right w:val="nil"/>
            </w:tcBorders>
            <w:shd w:val="clear" w:color="auto" w:fill="auto"/>
            <w:noWrap/>
            <w:vAlign w:val="center"/>
            <w:hideMark/>
          </w:tcPr>
          <w:p w14:paraId="67F30544" w14:textId="77777777" w:rsidR="008A1E55" w:rsidRPr="006B42D6" w:rsidRDefault="008A1E55" w:rsidP="00E16CAE">
            <w:pPr>
              <w:jc w:val="right"/>
              <w:rPr>
                <w:sz w:val="16"/>
                <w:szCs w:val="16"/>
              </w:rPr>
            </w:pPr>
            <w:r w:rsidRPr="006B42D6">
              <w:rPr>
                <w:sz w:val="16"/>
                <w:szCs w:val="16"/>
              </w:rPr>
              <w:t>0.9</w:t>
            </w:r>
          </w:p>
        </w:tc>
      </w:tr>
      <w:tr w:rsidR="006B42D6" w:rsidRPr="006B42D6" w14:paraId="6151C111" w14:textId="77777777" w:rsidTr="005420E0">
        <w:trPr>
          <w:trHeight w:hRule="exact" w:val="227"/>
        </w:trPr>
        <w:tc>
          <w:tcPr>
            <w:tcW w:w="606" w:type="pct"/>
            <w:tcBorders>
              <w:top w:val="nil"/>
              <w:left w:val="nil"/>
              <w:bottom w:val="nil"/>
              <w:right w:val="nil"/>
            </w:tcBorders>
            <w:shd w:val="clear" w:color="auto" w:fill="auto"/>
            <w:noWrap/>
            <w:vAlign w:val="center"/>
            <w:hideMark/>
          </w:tcPr>
          <w:p w14:paraId="241FB6C7" w14:textId="77777777" w:rsidR="008A1E55" w:rsidRPr="006B42D6" w:rsidRDefault="008A1E55" w:rsidP="00E16CAE">
            <w:pPr>
              <w:rPr>
                <w:sz w:val="16"/>
                <w:szCs w:val="16"/>
              </w:rPr>
            </w:pPr>
            <w:r w:rsidRPr="006B42D6">
              <w:rPr>
                <w:sz w:val="16"/>
                <w:szCs w:val="16"/>
              </w:rPr>
              <w:t>Iringa</w:t>
            </w:r>
          </w:p>
        </w:tc>
        <w:tc>
          <w:tcPr>
            <w:tcW w:w="345" w:type="pct"/>
            <w:tcBorders>
              <w:top w:val="nil"/>
              <w:left w:val="nil"/>
              <w:bottom w:val="nil"/>
              <w:right w:val="nil"/>
            </w:tcBorders>
            <w:shd w:val="clear" w:color="auto" w:fill="auto"/>
            <w:noWrap/>
            <w:vAlign w:val="center"/>
            <w:hideMark/>
          </w:tcPr>
          <w:p w14:paraId="6FB3C064" w14:textId="77777777" w:rsidR="008A1E55" w:rsidRPr="006B42D6" w:rsidRDefault="008A1E55" w:rsidP="00E16CAE">
            <w:pPr>
              <w:jc w:val="right"/>
              <w:rPr>
                <w:sz w:val="16"/>
                <w:szCs w:val="16"/>
              </w:rPr>
            </w:pPr>
            <w:r w:rsidRPr="006B42D6">
              <w:rPr>
                <w:sz w:val="16"/>
                <w:szCs w:val="16"/>
              </w:rPr>
              <w:t>2.8</w:t>
            </w:r>
          </w:p>
        </w:tc>
        <w:tc>
          <w:tcPr>
            <w:tcW w:w="337" w:type="pct"/>
            <w:tcBorders>
              <w:top w:val="nil"/>
              <w:left w:val="nil"/>
              <w:bottom w:val="nil"/>
              <w:right w:val="nil"/>
            </w:tcBorders>
            <w:shd w:val="clear" w:color="auto" w:fill="auto"/>
            <w:noWrap/>
            <w:vAlign w:val="center"/>
            <w:hideMark/>
          </w:tcPr>
          <w:p w14:paraId="5DE89CD6" w14:textId="77777777" w:rsidR="008A1E55" w:rsidRPr="006B42D6" w:rsidRDefault="008A1E55" w:rsidP="00E16CAE">
            <w:pPr>
              <w:jc w:val="right"/>
              <w:rPr>
                <w:sz w:val="16"/>
                <w:szCs w:val="16"/>
              </w:rPr>
            </w:pPr>
            <w:r w:rsidRPr="006B42D6">
              <w:rPr>
                <w:sz w:val="16"/>
                <w:szCs w:val="16"/>
              </w:rPr>
              <w:t>2.0</w:t>
            </w:r>
          </w:p>
        </w:tc>
        <w:tc>
          <w:tcPr>
            <w:tcW w:w="353" w:type="pct"/>
            <w:tcBorders>
              <w:top w:val="nil"/>
              <w:left w:val="nil"/>
              <w:bottom w:val="nil"/>
              <w:right w:val="nil"/>
            </w:tcBorders>
            <w:shd w:val="clear" w:color="auto" w:fill="auto"/>
            <w:noWrap/>
            <w:vAlign w:val="center"/>
            <w:hideMark/>
          </w:tcPr>
          <w:p w14:paraId="3FD595C9" w14:textId="77777777" w:rsidR="008A1E55" w:rsidRPr="006B42D6" w:rsidRDefault="008A1E55" w:rsidP="00E16CAE">
            <w:pPr>
              <w:jc w:val="right"/>
              <w:rPr>
                <w:sz w:val="16"/>
                <w:szCs w:val="16"/>
              </w:rPr>
            </w:pPr>
            <w:r w:rsidRPr="006B42D6">
              <w:rPr>
                <w:sz w:val="16"/>
                <w:szCs w:val="16"/>
              </w:rPr>
              <w:t>0.8</w:t>
            </w:r>
          </w:p>
        </w:tc>
        <w:tc>
          <w:tcPr>
            <w:tcW w:w="399" w:type="pct"/>
            <w:tcBorders>
              <w:top w:val="nil"/>
              <w:left w:val="nil"/>
              <w:bottom w:val="nil"/>
              <w:right w:val="nil"/>
            </w:tcBorders>
            <w:shd w:val="clear" w:color="auto" w:fill="auto"/>
            <w:noWrap/>
            <w:vAlign w:val="center"/>
            <w:hideMark/>
          </w:tcPr>
          <w:p w14:paraId="7FE003E7" w14:textId="77777777" w:rsidR="008A1E55" w:rsidRPr="006B42D6" w:rsidRDefault="008A1E55" w:rsidP="00E16CAE">
            <w:pPr>
              <w:jc w:val="right"/>
              <w:rPr>
                <w:sz w:val="16"/>
                <w:szCs w:val="16"/>
              </w:rPr>
            </w:pPr>
            <w:r w:rsidRPr="006B42D6">
              <w:rPr>
                <w:sz w:val="16"/>
                <w:szCs w:val="16"/>
              </w:rPr>
              <w:t>1.5</w:t>
            </w:r>
          </w:p>
        </w:tc>
        <w:tc>
          <w:tcPr>
            <w:tcW w:w="386" w:type="pct"/>
            <w:tcBorders>
              <w:top w:val="nil"/>
              <w:left w:val="nil"/>
              <w:bottom w:val="nil"/>
              <w:right w:val="nil"/>
            </w:tcBorders>
            <w:shd w:val="clear" w:color="auto" w:fill="auto"/>
            <w:noWrap/>
            <w:vAlign w:val="center"/>
            <w:hideMark/>
          </w:tcPr>
          <w:p w14:paraId="5002A47C" w14:textId="77777777" w:rsidR="008A1E55" w:rsidRPr="006B42D6" w:rsidRDefault="008A1E55" w:rsidP="00E16CAE">
            <w:pPr>
              <w:jc w:val="right"/>
              <w:rPr>
                <w:sz w:val="16"/>
                <w:szCs w:val="16"/>
              </w:rPr>
            </w:pPr>
            <w:r w:rsidRPr="006B42D6">
              <w:rPr>
                <w:sz w:val="16"/>
                <w:szCs w:val="16"/>
              </w:rPr>
              <w:t>1.5</w:t>
            </w:r>
          </w:p>
        </w:tc>
        <w:tc>
          <w:tcPr>
            <w:tcW w:w="452" w:type="pct"/>
            <w:tcBorders>
              <w:top w:val="nil"/>
              <w:left w:val="nil"/>
              <w:bottom w:val="nil"/>
              <w:right w:val="nil"/>
            </w:tcBorders>
            <w:shd w:val="clear" w:color="auto" w:fill="auto"/>
            <w:noWrap/>
            <w:vAlign w:val="center"/>
            <w:hideMark/>
          </w:tcPr>
          <w:p w14:paraId="106D14B9" w14:textId="77777777" w:rsidR="008A1E55" w:rsidRPr="006B42D6" w:rsidRDefault="008A1E55" w:rsidP="00E16CAE">
            <w:pPr>
              <w:jc w:val="right"/>
              <w:rPr>
                <w:sz w:val="16"/>
                <w:szCs w:val="16"/>
              </w:rPr>
            </w:pPr>
            <w:r w:rsidRPr="006B42D6">
              <w:rPr>
                <w:sz w:val="16"/>
                <w:szCs w:val="16"/>
              </w:rPr>
              <w:t>4.0</w:t>
            </w:r>
          </w:p>
        </w:tc>
        <w:tc>
          <w:tcPr>
            <w:tcW w:w="353" w:type="pct"/>
            <w:tcBorders>
              <w:top w:val="nil"/>
              <w:left w:val="nil"/>
              <w:bottom w:val="nil"/>
              <w:right w:val="nil"/>
            </w:tcBorders>
            <w:shd w:val="clear" w:color="auto" w:fill="auto"/>
            <w:noWrap/>
            <w:vAlign w:val="center"/>
            <w:hideMark/>
          </w:tcPr>
          <w:p w14:paraId="43C0B15B" w14:textId="77777777" w:rsidR="008A1E55" w:rsidRPr="006B42D6" w:rsidRDefault="008A1E55" w:rsidP="00E16CAE">
            <w:pPr>
              <w:jc w:val="right"/>
              <w:rPr>
                <w:sz w:val="16"/>
                <w:szCs w:val="16"/>
              </w:rPr>
            </w:pPr>
            <w:r w:rsidRPr="006B42D6">
              <w:rPr>
                <w:sz w:val="16"/>
                <w:szCs w:val="16"/>
              </w:rPr>
              <w:t>0.7</w:t>
            </w:r>
          </w:p>
        </w:tc>
        <w:tc>
          <w:tcPr>
            <w:tcW w:w="383" w:type="pct"/>
            <w:tcBorders>
              <w:top w:val="nil"/>
              <w:left w:val="nil"/>
              <w:bottom w:val="nil"/>
              <w:right w:val="nil"/>
            </w:tcBorders>
            <w:shd w:val="clear" w:color="auto" w:fill="auto"/>
            <w:noWrap/>
            <w:vAlign w:val="center"/>
            <w:hideMark/>
          </w:tcPr>
          <w:p w14:paraId="5260DA15" w14:textId="77777777" w:rsidR="008A1E55" w:rsidRPr="006B42D6" w:rsidRDefault="008A1E55" w:rsidP="00E16CAE">
            <w:pPr>
              <w:jc w:val="right"/>
              <w:rPr>
                <w:sz w:val="16"/>
                <w:szCs w:val="16"/>
              </w:rPr>
            </w:pPr>
            <w:r w:rsidRPr="006B42D6">
              <w:rPr>
                <w:sz w:val="16"/>
                <w:szCs w:val="16"/>
              </w:rPr>
              <w:t>-</w:t>
            </w:r>
          </w:p>
        </w:tc>
        <w:tc>
          <w:tcPr>
            <w:tcW w:w="268" w:type="pct"/>
            <w:tcBorders>
              <w:top w:val="nil"/>
              <w:left w:val="nil"/>
              <w:bottom w:val="nil"/>
              <w:right w:val="nil"/>
            </w:tcBorders>
            <w:shd w:val="clear" w:color="auto" w:fill="auto"/>
            <w:noWrap/>
            <w:vAlign w:val="center"/>
            <w:hideMark/>
          </w:tcPr>
          <w:p w14:paraId="689B324A" w14:textId="77777777" w:rsidR="008A1E55" w:rsidRPr="006B42D6" w:rsidRDefault="008A1E55" w:rsidP="00E16CAE">
            <w:pPr>
              <w:jc w:val="right"/>
              <w:rPr>
                <w:sz w:val="16"/>
                <w:szCs w:val="16"/>
              </w:rPr>
            </w:pPr>
            <w:r w:rsidRPr="006B42D6">
              <w:rPr>
                <w:sz w:val="16"/>
                <w:szCs w:val="16"/>
              </w:rPr>
              <w:t>0.2</w:t>
            </w:r>
          </w:p>
        </w:tc>
        <w:tc>
          <w:tcPr>
            <w:tcW w:w="268" w:type="pct"/>
            <w:tcBorders>
              <w:top w:val="nil"/>
              <w:left w:val="nil"/>
              <w:bottom w:val="nil"/>
              <w:right w:val="nil"/>
            </w:tcBorders>
            <w:shd w:val="clear" w:color="auto" w:fill="auto"/>
            <w:noWrap/>
            <w:vAlign w:val="center"/>
            <w:hideMark/>
          </w:tcPr>
          <w:p w14:paraId="24E538D8" w14:textId="77777777" w:rsidR="008A1E55" w:rsidRPr="006B42D6" w:rsidRDefault="008A1E55" w:rsidP="00E16CAE">
            <w:pPr>
              <w:jc w:val="right"/>
              <w:rPr>
                <w:sz w:val="16"/>
                <w:szCs w:val="16"/>
              </w:rPr>
            </w:pPr>
            <w:r w:rsidRPr="006B42D6">
              <w:rPr>
                <w:sz w:val="16"/>
                <w:szCs w:val="16"/>
              </w:rPr>
              <w:t>-</w:t>
            </w:r>
          </w:p>
        </w:tc>
        <w:tc>
          <w:tcPr>
            <w:tcW w:w="268" w:type="pct"/>
            <w:tcBorders>
              <w:top w:val="nil"/>
              <w:left w:val="nil"/>
              <w:bottom w:val="nil"/>
              <w:right w:val="nil"/>
            </w:tcBorders>
            <w:shd w:val="clear" w:color="auto" w:fill="auto"/>
            <w:noWrap/>
            <w:vAlign w:val="center"/>
            <w:hideMark/>
          </w:tcPr>
          <w:p w14:paraId="08C288E5" w14:textId="77777777" w:rsidR="008A1E55" w:rsidRPr="006B42D6" w:rsidRDefault="008A1E55" w:rsidP="00E16CAE">
            <w:pPr>
              <w:jc w:val="right"/>
              <w:rPr>
                <w:sz w:val="16"/>
                <w:szCs w:val="16"/>
              </w:rPr>
            </w:pPr>
            <w:r w:rsidRPr="006B42D6">
              <w:rPr>
                <w:sz w:val="16"/>
                <w:szCs w:val="16"/>
              </w:rPr>
              <w:t>-</w:t>
            </w:r>
          </w:p>
        </w:tc>
        <w:tc>
          <w:tcPr>
            <w:tcW w:w="314" w:type="pct"/>
            <w:tcBorders>
              <w:top w:val="nil"/>
              <w:left w:val="nil"/>
              <w:bottom w:val="nil"/>
              <w:right w:val="nil"/>
            </w:tcBorders>
            <w:shd w:val="clear" w:color="auto" w:fill="auto"/>
            <w:noWrap/>
            <w:vAlign w:val="center"/>
            <w:hideMark/>
          </w:tcPr>
          <w:p w14:paraId="2A0A652D" w14:textId="77777777" w:rsidR="008A1E55" w:rsidRPr="006B42D6" w:rsidRDefault="008A1E55" w:rsidP="00E16CAE">
            <w:pPr>
              <w:jc w:val="right"/>
              <w:rPr>
                <w:sz w:val="16"/>
                <w:szCs w:val="16"/>
              </w:rPr>
            </w:pPr>
            <w:r w:rsidRPr="006B42D6">
              <w:rPr>
                <w:sz w:val="16"/>
                <w:szCs w:val="16"/>
              </w:rPr>
              <w:t>3.3</w:t>
            </w:r>
          </w:p>
        </w:tc>
        <w:tc>
          <w:tcPr>
            <w:tcW w:w="268" w:type="pct"/>
            <w:tcBorders>
              <w:top w:val="nil"/>
              <w:left w:val="nil"/>
              <w:bottom w:val="nil"/>
              <w:right w:val="nil"/>
            </w:tcBorders>
            <w:shd w:val="clear" w:color="auto" w:fill="auto"/>
            <w:noWrap/>
            <w:vAlign w:val="center"/>
            <w:hideMark/>
          </w:tcPr>
          <w:p w14:paraId="6BD83AB9" w14:textId="77777777" w:rsidR="008A1E55" w:rsidRPr="006B42D6" w:rsidRDefault="008A1E55" w:rsidP="00E16CAE">
            <w:pPr>
              <w:jc w:val="right"/>
              <w:rPr>
                <w:sz w:val="16"/>
                <w:szCs w:val="16"/>
              </w:rPr>
            </w:pPr>
            <w:r w:rsidRPr="006B42D6">
              <w:rPr>
                <w:sz w:val="16"/>
                <w:szCs w:val="16"/>
              </w:rPr>
              <w:t>4.7</w:t>
            </w:r>
          </w:p>
        </w:tc>
      </w:tr>
      <w:tr w:rsidR="006B42D6" w:rsidRPr="006B42D6" w14:paraId="27146BF3" w14:textId="77777777" w:rsidTr="005420E0">
        <w:trPr>
          <w:trHeight w:hRule="exact" w:val="227"/>
        </w:trPr>
        <w:tc>
          <w:tcPr>
            <w:tcW w:w="606" w:type="pct"/>
            <w:tcBorders>
              <w:top w:val="nil"/>
              <w:left w:val="nil"/>
              <w:bottom w:val="nil"/>
              <w:right w:val="nil"/>
            </w:tcBorders>
            <w:shd w:val="clear" w:color="auto" w:fill="auto"/>
            <w:noWrap/>
            <w:vAlign w:val="center"/>
            <w:hideMark/>
          </w:tcPr>
          <w:p w14:paraId="18689EBE" w14:textId="77777777" w:rsidR="008A1E55" w:rsidRPr="006B42D6" w:rsidRDefault="008A1E55" w:rsidP="00E16CAE">
            <w:pPr>
              <w:rPr>
                <w:sz w:val="16"/>
                <w:szCs w:val="16"/>
              </w:rPr>
            </w:pPr>
            <w:r w:rsidRPr="006B42D6">
              <w:rPr>
                <w:sz w:val="16"/>
                <w:szCs w:val="16"/>
              </w:rPr>
              <w:t>Mbeya</w:t>
            </w:r>
          </w:p>
        </w:tc>
        <w:tc>
          <w:tcPr>
            <w:tcW w:w="345" w:type="pct"/>
            <w:tcBorders>
              <w:top w:val="nil"/>
              <w:left w:val="nil"/>
              <w:bottom w:val="nil"/>
              <w:right w:val="nil"/>
            </w:tcBorders>
            <w:shd w:val="clear" w:color="auto" w:fill="auto"/>
            <w:noWrap/>
            <w:vAlign w:val="center"/>
            <w:hideMark/>
          </w:tcPr>
          <w:p w14:paraId="009E9247" w14:textId="77777777" w:rsidR="008A1E55" w:rsidRPr="006B42D6" w:rsidRDefault="008A1E55" w:rsidP="00E16CAE">
            <w:pPr>
              <w:jc w:val="right"/>
              <w:rPr>
                <w:sz w:val="16"/>
                <w:szCs w:val="16"/>
              </w:rPr>
            </w:pPr>
            <w:r w:rsidRPr="006B42D6">
              <w:rPr>
                <w:sz w:val="16"/>
                <w:szCs w:val="16"/>
              </w:rPr>
              <w:t>6.8</w:t>
            </w:r>
          </w:p>
        </w:tc>
        <w:tc>
          <w:tcPr>
            <w:tcW w:w="337" w:type="pct"/>
            <w:tcBorders>
              <w:top w:val="nil"/>
              <w:left w:val="nil"/>
              <w:bottom w:val="nil"/>
              <w:right w:val="nil"/>
            </w:tcBorders>
            <w:shd w:val="clear" w:color="auto" w:fill="auto"/>
            <w:noWrap/>
            <w:vAlign w:val="center"/>
            <w:hideMark/>
          </w:tcPr>
          <w:p w14:paraId="5E5E6A8F" w14:textId="77777777" w:rsidR="008A1E55" w:rsidRPr="006B42D6" w:rsidRDefault="008A1E55" w:rsidP="00E16CAE">
            <w:pPr>
              <w:jc w:val="right"/>
              <w:rPr>
                <w:sz w:val="16"/>
                <w:szCs w:val="16"/>
              </w:rPr>
            </w:pPr>
            <w:r w:rsidRPr="006B42D6">
              <w:rPr>
                <w:sz w:val="16"/>
                <w:szCs w:val="16"/>
              </w:rPr>
              <w:t>5.1</w:t>
            </w:r>
          </w:p>
        </w:tc>
        <w:tc>
          <w:tcPr>
            <w:tcW w:w="353" w:type="pct"/>
            <w:tcBorders>
              <w:top w:val="nil"/>
              <w:left w:val="nil"/>
              <w:bottom w:val="nil"/>
              <w:right w:val="nil"/>
            </w:tcBorders>
            <w:shd w:val="clear" w:color="auto" w:fill="auto"/>
            <w:noWrap/>
            <w:vAlign w:val="center"/>
            <w:hideMark/>
          </w:tcPr>
          <w:p w14:paraId="672AD5B3" w14:textId="77777777" w:rsidR="008A1E55" w:rsidRPr="006B42D6" w:rsidRDefault="008A1E55" w:rsidP="00E16CAE">
            <w:pPr>
              <w:jc w:val="right"/>
              <w:rPr>
                <w:sz w:val="16"/>
                <w:szCs w:val="16"/>
              </w:rPr>
            </w:pPr>
            <w:r w:rsidRPr="006B42D6">
              <w:rPr>
                <w:sz w:val="16"/>
                <w:szCs w:val="16"/>
              </w:rPr>
              <w:t>3.3</w:t>
            </w:r>
          </w:p>
        </w:tc>
        <w:tc>
          <w:tcPr>
            <w:tcW w:w="399" w:type="pct"/>
            <w:tcBorders>
              <w:top w:val="nil"/>
              <w:left w:val="nil"/>
              <w:bottom w:val="nil"/>
              <w:right w:val="nil"/>
            </w:tcBorders>
            <w:shd w:val="clear" w:color="auto" w:fill="auto"/>
            <w:noWrap/>
            <w:vAlign w:val="center"/>
            <w:hideMark/>
          </w:tcPr>
          <w:p w14:paraId="715532F4" w14:textId="77777777" w:rsidR="008A1E55" w:rsidRPr="006B42D6" w:rsidRDefault="008A1E55" w:rsidP="00E16CAE">
            <w:pPr>
              <w:jc w:val="right"/>
              <w:rPr>
                <w:sz w:val="16"/>
                <w:szCs w:val="16"/>
              </w:rPr>
            </w:pPr>
            <w:r w:rsidRPr="006B42D6">
              <w:rPr>
                <w:sz w:val="16"/>
                <w:szCs w:val="16"/>
              </w:rPr>
              <w:t>2.1</w:t>
            </w:r>
          </w:p>
        </w:tc>
        <w:tc>
          <w:tcPr>
            <w:tcW w:w="386" w:type="pct"/>
            <w:tcBorders>
              <w:top w:val="nil"/>
              <w:left w:val="nil"/>
              <w:bottom w:val="nil"/>
              <w:right w:val="nil"/>
            </w:tcBorders>
            <w:shd w:val="clear" w:color="auto" w:fill="auto"/>
            <w:noWrap/>
            <w:vAlign w:val="center"/>
            <w:hideMark/>
          </w:tcPr>
          <w:p w14:paraId="6C90AF4D" w14:textId="77777777" w:rsidR="008A1E55" w:rsidRPr="006B42D6" w:rsidRDefault="008A1E55" w:rsidP="00E16CAE">
            <w:pPr>
              <w:jc w:val="right"/>
              <w:rPr>
                <w:sz w:val="16"/>
                <w:szCs w:val="16"/>
              </w:rPr>
            </w:pPr>
            <w:r w:rsidRPr="006B42D6">
              <w:rPr>
                <w:sz w:val="16"/>
                <w:szCs w:val="16"/>
              </w:rPr>
              <w:t>3.1</w:t>
            </w:r>
          </w:p>
        </w:tc>
        <w:tc>
          <w:tcPr>
            <w:tcW w:w="452" w:type="pct"/>
            <w:tcBorders>
              <w:top w:val="nil"/>
              <w:left w:val="nil"/>
              <w:bottom w:val="nil"/>
              <w:right w:val="nil"/>
            </w:tcBorders>
            <w:shd w:val="clear" w:color="auto" w:fill="auto"/>
            <w:noWrap/>
            <w:vAlign w:val="center"/>
            <w:hideMark/>
          </w:tcPr>
          <w:p w14:paraId="05A21623" w14:textId="77777777" w:rsidR="008A1E55" w:rsidRPr="006B42D6" w:rsidRDefault="008A1E55" w:rsidP="00E16CAE">
            <w:pPr>
              <w:jc w:val="right"/>
              <w:rPr>
                <w:sz w:val="16"/>
                <w:szCs w:val="16"/>
              </w:rPr>
            </w:pPr>
            <w:r w:rsidRPr="006B42D6">
              <w:rPr>
                <w:sz w:val="16"/>
                <w:szCs w:val="16"/>
              </w:rPr>
              <w:t>3.8</w:t>
            </w:r>
          </w:p>
        </w:tc>
        <w:tc>
          <w:tcPr>
            <w:tcW w:w="353" w:type="pct"/>
            <w:tcBorders>
              <w:top w:val="nil"/>
              <w:left w:val="nil"/>
              <w:bottom w:val="nil"/>
              <w:right w:val="nil"/>
            </w:tcBorders>
            <w:shd w:val="clear" w:color="auto" w:fill="auto"/>
            <w:noWrap/>
            <w:vAlign w:val="center"/>
            <w:hideMark/>
          </w:tcPr>
          <w:p w14:paraId="3637E541" w14:textId="77777777" w:rsidR="008A1E55" w:rsidRPr="006B42D6" w:rsidRDefault="008A1E55" w:rsidP="00E16CAE">
            <w:pPr>
              <w:jc w:val="right"/>
              <w:rPr>
                <w:sz w:val="16"/>
                <w:szCs w:val="16"/>
              </w:rPr>
            </w:pPr>
            <w:r w:rsidRPr="006B42D6">
              <w:rPr>
                <w:sz w:val="16"/>
                <w:szCs w:val="16"/>
              </w:rPr>
              <w:t>4.6</w:t>
            </w:r>
          </w:p>
        </w:tc>
        <w:tc>
          <w:tcPr>
            <w:tcW w:w="383" w:type="pct"/>
            <w:tcBorders>
              <w:top w:val="nil"/>
              <w:left w:val="nil"/>
              <w:bottom w:val="nil"/>
              <w:right w:val="nil"/>
            </w:tcBorders>
            <w:shd w:val="clear" w:color="auto" w:fill="auto"/>
            <w:noWrap/>
            <w:vAlign w:val="center"/>
            <w:hideMark/>
          </w:tcPr>
          <w:p w14:paraId="1962AC5B" w14:textId="77777777" w:rsidR="008A1E55" w:rsidRPr="006B42D6" w:rsidRDefault="008A1E55" w:rsidP="00E16CAE">
            <w:pPr>
              <w:jc w:val="right"/>
              <w:rPr>
                <w:sz w:val="16"/>
                <w:szCs w:val="16"/>
              </w:rPr>
            </w:pPr>
            <w:r w:rsidRPr="006B42D6">
              <w:rPr>
                <w:sz w:val="16"/>
                <w:szCs w:val="16"/>
              </w:rPr>
              <w:t>4.4</w:t>
            </w:r>
          </w:p>
        </w:tc>
        <w:tc>
          <w:tcPr>
            <w:tcW w:w="268" w:type="pct"/>
            <w:tcBorders>
              <w:top w:val="nil"/>
              <w:left w:val="nil"/>
              <w:bottom w:val="nil"/>
              <w:right w:val="nil"/>
            </w:tcBorders>
            <w:shd w:val="clear" w:color="auto" w:fill="auto"/>
            <w:noWrap/>
            <w:vAlign w:val="center"/>
            <w:hideMark/>
          </w:tcPr>
          <w:p w14:paraId="797AEC4E" w14:textId="77777777" w:rsidR="008A1E55" w:rsidRPr="006B42D6" w:rsidRDefault="008A1E55" w:rsidP="00E16CAE">
            <w:pPr>
              <w:jc w:val="right"/>
              <w:rPr>
                <w:sz w:val="16"/>
                <w:szCs w:val="16"/>
              </w:rPr>
            </w:pPr>
            <w:r w:rsidRPr="006B42D6">
              <w:rPr>
                <w:sz w:val="16"/>
                <w:szCs w:val="16"/>
              </w:rPr>
              <w:t>1.7</w:t>
            </w:r>
          </w:p>
        </w:tc>
        <w:tc>
          <w:tcPr>
            <w:tcW w:w="268" w:type="pct"/>
            <w:tcBorders>
              <w:top w:val="nil"/>
              <w:left w:val="nil"/>
              <w:bottom w:val="nil"/>
              <w:right w:val="nil"/>
            </w:tcBorders>
            <w:shd w:val="clear" w:color="auto" w:fill="auto"/>
            <w:noWrap/>
            <w:vAlign w:val="center"/>
            <w:hideMark/>
          </w:tcPr>
          <w:p w14:paraId="7BC876F3" w14:textId="77777777" w:rsidR="008A1E55" w:rsidRPr="006B42D6" w:rsidRDefault="008A1E55" w:rsidP="00E16CAE">
            <w:pPr>
              <w:jc w:val="right"/>
              <w:rPr>
                <w:sz w:val="16"/>
                <w:szCs w:val="16"/>
              </w:rPr>
            </w:pPr>
            <w:r w:rsidRPr="006B42D6">
              <w:rPr>
                <w:sz w:val="16"/>
                <w:szCs w:val="16"/>
              </w:rPr>
              <w:t>17.5</w:t>
            </w:r>
          </w:p>
        </w:tc>
        <w:tc>
          <w:tcPr>
            <w:tcW w:w="268" w:type="pct"/>
            <w:tcBorders>
              <w:top w:val="nil"/>
              <w:left w:val="nil"/>
              <w:bottom w:val="nil"/>
              <w:right w:val="nil"/>
            </w:tcBorders>
            <w:shd w:val="clear" w:color="auto" w:fill="auto"/>
            <w:noWrap/>
            <w:vAlign w:val="center"/>
            <w:hideMark/>
          </w:tcPr>
          <w:p w14:paraId="548849FA" w14:textId="77777777" w:rsidR="008A1E55" w:rsidRPr="006B42D6" w:rsidRDefault="008A1E55" w:rsidP="00E16CAE">
            <w:pPr>
              <w:jc w:val="right"/>
              <w:rPr>
                <w:sz w:val="16"/>
                <w:szCs w:val="16"/>
              </w:rPr>
            </w:pPr>
            <w:r w:rsidRPr="006B42D6">
              <w:rPr>
                <w:sz w:val="16"/>
                <w:szCs w:val="16"/>
              </w:rPr>
              <w:t>3.6</w:t>
            </w:r>
          </w:p>
        </w:tc>
        <w:tc>
          <w:tcPr>
            <w:tcW w:w="314" w:type="pct"/>
            <w:tcBorders>
              <w:top w:val="nil"/>
              <w:left w:val="nil"/>
              <w:bottom w:val="nil"/>
              <w:right w:val="nil"/>
            </w:tcBorders>
            <w:shd w:val="clear" w:color="auto" w:fill="auto"/>
            <w:noWrap/>
            <w:vAlign w:val="center"/>
            <w:hideMark/>
          </w:tcPr>
          <w:p w14:paraId="0B8AE5D9" w14:textId="77777777" w:rsidR="008A1E55" w:rsidRPr="006B42D6" w:rsidRDefault="008A1E55" w:rsidP="00E16CAE">
            <w:pPr>
              <w:jc w:val="right"/>
              <w:rPr>
                <w:sz w:val="16"/>
                <w:szCs w:val="16"/>
              </w:rPr>
            </w:pPr>
            <w:r w:rsidRPr="006B42D6">
              <w:rPr>
                <w:sz w:val="16"/>
                <w:szCs w:val="16"/>
              </w:rPr>
              <w:t>0.6</w:t>
            </w:r>
          </w:p>
        </w:tc>
        <w:tc>
          <w:tcPr>
            <w:tcW w:w="268" w:type="pct"/>
            <w:tcBorders>
              <w:top w:val="nil"/>
              <w:left w:val="nil"/>
              <w:bottom w:val="nil"/>
              <w:right w:val="nil"/>
            </w:tcBorders>
            <w:shd w:val="clear" w:color="auto" w:fill="auto"/>
            <w:noWrap/>
            <w:vAlign w:val="center"/>
            <w:hideMark/>
          </w:tcPr>
          <w:p w14:paraId="6AA06A21" w14:textId="77777777" w:rsidR="008A1E55" w:rsidRPr="006B42D6" w:rsidRDefault="008A1E55" w:rsidP="00E16CAE">
            <w:pPr>
              <w:jc w:val="right"/>
              <w:rPr>
                <w:sz w:val="16"/>
                <w:szCs w:val="16"/>
              </w:rPr>
            </w:pPr>
            <w:r w:rsidRPr="006B42D6">
              <w:rPr>
                <w:sz w:val="16"/>
                <w:szCs w:val="16"/>
              </w:rPr>
              <w:t>4.6</w:t>
            </w:r>
          </w:p>
        </w:tc>
      </w:tr>
      <w:tr w:rsidR="006B42D6" w:rsidRPr="006B42D6" w14:paraId="7B2F8FBC" w14:textId="77777777" w:rsidTr="005420E0">
        <w:trPr>
          <w:trHeight w:hRule="exact" w:val="227"/>
        </w:trPr>
        <w:tc>
          <w:tcPr>
            <w:tcW w:w="606" w:type="pct"/>
            <w:tcBorders>
              <w:top w:val="nil"/>
              <w:left w:val="nil"/>
              <w:bottom w:val="nil"/>
              <w:right w:val="nil"/>
            </w:tcBorders>
            <w:shd w:val="clear" w:color="auto" w:fill="auto"/>
            <w:noWrap/>
            <w:vAlign w:val="center"/>
            <w:hideMark/>
          </w:tcPr>
          <w:p w14:paraId="557E1BB3" w14:textId="77777777" w:rsidR="008A1E55" w:rsidRPr="006B42D6" w:rsidRDefault="008A1E55" w:rsidP="00E16CAE">
            <w:pPr>
              <w:rPr>
                <w:sz w:val="16"/>
                <w:szCs w:val="16"/>
              </w:rPr>
            </w:pPr>
            <w:r w:rsidRPr="006B42D6">
              <w:rPr>
                <w:sz w:val="16"/>
                <w:szCs w:val="16"/>
              </w:rPr>
              <w:t>Singida</w:t>
            </w:r>
          </w:p>
        </w:tc>
        <w:tc>
          <w:tcPr>
            <w:tcW w:w="345" w:type="pct"/>
            <w:tcBorders>
              <w:top w:val="nil"/>
              <w:left w:val="nil"/>
              <w:bottom w:val="nil"/>
              <w:right w:val="nil"/>
            </w:tcBorders>
            <w:shd w:val="clear" w:color="auto" w:fill="auto"/>
            <w:noWrap/>
            <w:vAlign w:val="center"/>
            <w:hideMark/>
          </w:tcPr>
          <w:p w14:paraId="61F9745F" w14:textId="77777777" w:rsidR="008A1E55" w:rsidRPr="006B42D6" w:rsidRDefault="008A1E55" w:rsidP="00E16CAE">
            <w:pPr>
              <w:jc w:val="right"/>
              <w:rPr>
                <w:sz w:val="16"/>
                <w:szCs w:val="16"/>
              </w:rPr>
            </w:pPr>
            <w:r w:rsidRPr="006B42D6">
              <w:rPr>
                <w:sz w:val="16"/>
                <w:szCs w:val="16"/>
              </w:rPr>
              <w:t>2.4</w:t>
            </w:r>
          </w:p>
        </w:tc>
        <w:tc>
          <w:tcPr>
            <w:tcW w:w="337" w:type="pct"/>
            <w:tcBorders>
              <w:top w:val="nil"/>
              <w:left w:val="nil"/>
              <w:bottom w:val="nil"/>
              <w:right w:val="nil"/>
            </w:tcBorders>
            <w:shd w:val="clear" w:color="auto" w:fill="auto"/>
            <w:noWrap/>
            <w:vAlign w:val="center"/>
            <w:hideMark/>
          </w:tcPr>
          <w:p w14:paraId="39F25241" w14:textId="77777777" w:rsidR="008A1E55" w:rsidRPr="006B42D6" w:rsidRDefault="008A1E55" w:rsidP="00E16CAE">
            <w:pPr>
              <w:jc w:val="right"/>
              <w:rPr>
                <w:sz w:val="16"/>
                <w:szCs w:val="16"/>
              </w:rPr>
            </w:pPr>
            <w:r w:rsidRPr="006B42D6">
              <w:rPr>
                <w:sz w:val="16"/>
                <w:szCs w:val="16"/>
              </w:rPr>
              <w:t>2.1</w:t>
            </w:r>
          </w:p>
        </w:tc>
        <w:tc>
          <w:tcPr>
            <w:tcW w:w="353" w:type="pct"/>
            <w:tcBorders>
              <w:top w:val="nil"/>
              <w:left w:val="nil"/>
              <w:bottom w:val="nil"/>
              <w:right w:val="nil"/>
            </w:tcBorders>
            <w:shd w:val="clear" w:color="auto" w:fill="auto"/>
            <w:noWrap/>
            <w:vAlign w:val="center"/>
            <w:hideMark/>
          </w:tcPr>
          <w:p w14:paraId="204A571D" w14:textId="77777777" w:rsidR="008A1E55" w:rsidRPr="006B42D6" w:rsidRDefault="008A1E55" w:rsidP="00E16CAE">
            <w:pPr>
              <w:jc w:val="right"/>
              <w:rPr>
                <w:sz w:val="16"/>
                <w:szCs w:val="16"/>
              </w:rPr>
            </w:pPr>
            <w:r w:rsidRPr="006B42D6">
              <w:rPr>
                <w:sz w:val="16"/>
                <w:szCs w:val="16"/>
              </w:rPr>
              <w:t>2.1</w:t>
            </w:r>
          </w:p>
        </w:tc>
        <w:tc>
          <w:tcPr>
            <w:tcW w:w="399" w:type="pct"/>
            <w:tcBorders>
              <w:top w:val="nil"/>
              <w:left w:val="nil"/>
              <w:bottom w:val="nil"/>
              <w:right w:val="nil"/>
            </w:tcBorders>
            <w:shd w:val="clear" w:color="auto" w:fill="auto"/>
            <w:noWrap/>
            <w:vAlign w:val="center"/>
            <w:hideMark/>
          </w:tcPr>
          <w:p w14:paraId="5EFCC2A8" w14:textId="77777777" w:rsidR="008A1E55" w:rsidRPr="006B42D6" w:rsidRDefault="008A1E55" w:rsidP="00E16CAE">
            <w:pPr>
              <w:jc w:val="right"/>
              <w:rPr>
                <w:sz w:val="16"/>
                <w:szCs w:val="16"/>
              </w:rPr>
            </w:pPr>
            <w:r w:rsidRPr="006B42D6">
              <w:rPr>
                <w:sz w:val="16"/>
                <w:szCs w:val="16"/>
              </w:rPr>
              <w:t>3.5</w:t>
            </w:r>
          </w:p>
        </w:tc>
        <w:tc>
          <w:tcPr>
            <w:tcW w:w="386" w:type="pct"/>
            <w:tcBorders>
              <w:top w:val="nil"/>
              <w:left w:val="nil"/>
              <w:bottom w:val="nil"/>
              <w:right w:val="nil"/>
            </w:tcBorders>
            <w:shd w:val="clear" w:color="auto" w:fill="auto"/>
            <w:noWrap/>
            <w:vAlign w:val="center"/>
            <w:hideMark/>
          </w:tcPr>
          <w:p w14:paraId="21C4A00B" w14:textId="77777777" w:rsidR="008A1E55" w:rsidRPr="006B42D6" w:rsidRDefault="008A1E55" w:rsidP="00E16CAE">
            <w:pPr>
              <w:jc w:val="right"/>
              <w:rPr>
                <w:sz w:val="16"/>
                <w:szCs w:val="16"/>
              </w:rPr>
            </w:pPr>
            <w:r w:rsidRPr="006B42D6">
              <w:rPr>
                <w:sz w:val="16"/>
                <w:szCs w:val="16"/>
              </w:rPr>
              <w:t>5.0</w:t>
            </w:r>
          </w:p>
        </w:tc>
        <w:tc>
          <w:tcPr>
            <w:tcW w:w="452" w:type="pct"/>
            <w:tcBorders>
              <w:top w:val="nil"/>
              <w:left w:val="nil"/>
              <w:bottom w:val="nil"/>
              <w:right w:val="nil"/>
            </w:tcBorders>
            <w:shd w:val="clear" w:color="auto" w:fill="auto"/>
            <w:noWrap/>
            <w:vAlign w:val="center"/>
            <w:hideMark/>
          </w:tcPr>
          <w:p w14:paraId="0F3C86E3" w14:textId="77777777" w:rsidR="008A1E55" w:rsidRPr="006B42D6" w:rsidRDefault="008A1E55" w:rsidP="00E16CAE">
            <w:pPr>
              <w:jc w:val="right"/>
              <w:rPr>
                <w:sz w:val="16"/>
                <w:szCs w:val="16"/>
              </w:rPr>
            </w:pPr>
            <w:r w:rsidRPr="006B42D6">
              <w:rPr>
                <w:sz w:val="16"/>
                <w:szCs w:val="16"/>
              </w:rPr>
              <w:t>5.6</w:t>
            </w:r>
          </w:p>
        </w:tc>
        <w:tc>
          <w:tcPr>
            <w:tcW w:w="353" w:type="pct"/>
            <w:tcBorders>
              <w:top w:val="nil"/>
              <w:left w:val="nil"/>
              <w:bottom w:val="nil"/>
              <w:right w:val="nil"/>
            </w:tcBorders>
            <w:shd w:val="clear" w:color="auto" w:fill="auto"/>
            <w:noWrap/>
            <w:vAlign w:val="center"/>
            <w:hideMark/>
          </w:tcPr>
          <w:p w14:paraId="200F717B" w14:textId="77777777" w:rsidR="008A1E55" w:rsidRPr="006B42D6" w:rsidRDefault="008A1E55" w:rsidP="00E16CAE">
            <w:pPr>
              <w:jc w:val="right"/>
              <w:rPr>
                <w:sz w:val="16"/>
                <w:szCs w:val="16"/>
              </w:rPr>
            </w:pPr>
            <w:r w:rsidRPr="006B42D6">
              <w:rPr>
                <w:sz w:val="16"/>
                <w:szCs w:val="16"/>
              </w:rPr>
              <w:t>7.4</w:t>
            </w:r>
          </w:p>
        </w:tc>
        <w:tc>
          <w:tcPr>
            <w:tcW w:w="383" w:type="pct"/>
            <w:tcBorders>
              <w:top w:val="nil"/>
              <w:left w:val="nil"/>
              <w:bottom w:val="nil"/>
              <w:right w:val="nil"/>
            </w:tcBorders>
            <w:shd w:val="clear" w:color="auto" w:fill="auto"/>
            <w:noWrap/>
            <w:vAlign w:val="center"/>
            <w:hideMark/>
          </w:tcPr>
          <w:p w14:paraId="0B814C4F" w14:textId="77777777" w:rsidR="008A1E55" w:rsidRPr="006B42D6" w:rsidRDefault="008A1E55" w:rsidP="00E16CAE">
            <w:pPr>
              <w:jc w:val="right"/>
              <w:rPr>
                <w:sz w:val="16"/>
                <w:szCs w:val="16"/>
              </w:rPr>
            </w:pPr>
            <w:r w:rsidRPr="006B42D6">
              <w:rPr>
                <w:sz w:val="16"/>
                <w:szCs w:val="16"/>
              </w:rPr>
              <w:t>18.5</w:t>
            </w:r>
          </w:p>
        </w:tc>
        <w:tc>
          <w:tcPr>
            <w:tcW w:w="268" w:type="pct"/>
            <w:tcBorders>
              <w:top w:val="nil"/>
              <w:left w:val="nil"/>
              <w:bottom w:val="nil"/>
              <w:right w:val="nil"/>
            </w:tcBorders>
            <w:shd w:val="clear" w:color="auto" w:fill="auto"/>
            <w:noWrap/>
            <w:vAlign w:val="center"/>
            <w:hideMark/>
          </w:tcPr>
          <w:p w14:paraId="7A593741" w14:textId="77777777" w:rsidR="008A1E55" w:rsidRPr="006B42D6" w:rsidRDefault="008A1E55" w:rsidP="00E16CAE">
            <w:pPr>
              <w:jc w:val="right"/>
              <w:rPr>
                <w:sz w:val="16"/>
                <w:szCs w:val="16"/>
              </w:rPr>
            </w:pPr>
            <w:r w:rsidRPr="006B42D6">
              <w:rPr>
                <w:sz w:val="16"/>
                <w:szCs w:val="16"/>
              </w:rPr>
              <w:t>-</w:t>
            </w:r>
          </w:p>
        </w:tc>
        <w:tc>
          <w:tcPr>
            <w:tcW w:w="268" w:type="pct"/>
            <w:tcBorders>
              <w:top w:val="nil"/>
              <w:left w:val="nil"/>
              <w:bottom w:val="nil"/>
              <w:right w:val="nil"/>
            </w:tcBorders>
            <w:shd w:val="clear" w:color="auto" w:fill="auto"/>
            <w:noWrap/>
            <w:vAlign w:val="center"/>
            <w:hideMark/>
          </w:tcPr>
          <w:p w14:paraId="4BA9C088" w14:textId="77777777" w:rsidR="008A1E55" w:rsidRPr="006B42D6" w:rsidRDefault="008A1E55" w:rsidP="00E16CAE">
            <w:pPr>
              <w:jc w:val="right"/>
              <w:rPr>
                <w:sz w:val="16"/>
                <w:szCs w:val="16"/>
              </w:rPr>
            </w:pPr>
            <w:r w:rsidRPr="006B42D6">
              <w:rPr>
                <w:sz w:val="16"/>
                <w:szCs w:val="16"/>
              </w:rPr>
              <w:t>-</w:t>
            </w:r>
          </w:p>
        </w:tc>
        <w:tc>
          <w:tcPr>
            <w:tcW w:w="268" w:type="pct"/>
            <w:tcBorders>
              <w:top w:val="nil"/>
              <w:left w:val="nil"/>
              <w:bottom w:val="nil"/>
              <w:right w:val="nil"/>
            </w:tcBorders>
            <w:shd w:val="clear" w:color="auto" w:fill="auto"/>
            <w:noWrap/>
            <w:vAlign w:val="center"/>
            <w:hideMark/>
          </w:tcPr>
          <w:p w14:paraId="4A4C0E6D" w14:textId="77777777" w:rsidR="008A1E55" w:rsidRPr="006B42D6" w:rsidRDefault="008A1E55" w:rsidP="00E16CAE">
            <w:pPr>
              <w:jc w:val="right"/>
              <w:rPr>
                <w:sz w:val="16"/>
                <w:szCs w:val="16"/>
              </w:rPr>
            </w:pPr>
            <w:r w:rsidRPr="006B42D6">
              <w:rPr>
                <w:sz w:val="16"/>
                <w:szCs w:val="16"/>
              </w:rPr>
              <w:t>-</w:t>
            </w:r>
          </w:p>
        </w:tc>
        <w:tc>
          <w:tcPr>
            <w:tcW w:w="314" w:type="pct"/>
            <w:tcBorders>
              <w:top w:val="nil"/>
              <w:left w:val="nil"/>
              <w:bottom w:val="nil"/>
              <w:right w:val="nil"/>
            </w:tcBorders>
            <w:shd w:val="clear" w:color="auto" w:fill="auto"/>
            <w:noWrap/>
            <w:vAlign w:val="center"/>
            <w:hideMark/>
          </w:tcPr>
          <w:p w14:paraId="62D25073" w14:textId="77777777" w:rsidR="008A1E55" w:rsidRPr="006B42D6" w:rsidRDefault="008A1E55" w:rsidP="00E16CAE">
            <w:pPr>
              <w:jc w:val="right"/>
              <w:rPr>
                <w:sz w:val="16"/>
                <w:szCs w:val="16"/>
              </w:rPr>
            </w:pPr>
            <w:r w:rsidRPr="006B42D6">
              <w:rPr>
                <w:sz w:val="16"/>
                <w:szCs w:val="16"/>
              </w:rPr>
              <w:t>0.5</w:t>
            </w:r>
          </w:p>
        </w:tc>
        <w:tc>
          <w:tcPr>
            <w:tcW w:w="268" w:type="pct"/>
            <w:tcBorders>
              <w:top w:val="nil"/>
              <w:left w:val="nil"/>
              <w:bottom w:val="nil"/>
              <w:right w:val="nil"/>
            </w:tcBorders>
            <w:shd w:val="clear" w:color="auto" w:fill="auto"/>
            <w:noWrap/>
            <w:vAlign w:val="center"/>
            <w:hideMark/>
          </w:tcPr>
          <w:p w14:paraId="39653859" w14:textId="77777777" w:rsidR="008A1E55" w:rsidRPr="006B42D6" w:rsidRDefault="008A1E55" w:rsidP="00E16CAE">
            <w:pPr>
              <w:jc w:val="right"/>
              <w:rPr>
                <w:sz w:val="16"/>
                <w:szCs w:val="16"/>
              </w:rPr>
            </w:pPr>
            <w:r w:rsidRPr="006B42D6">
              <w:rPr>
                <w:sz w:val="16"/>
                <w:szCs w:val="16"/>
              </w:rPr>
              <w:t>4.2</w:t>
            </w:r>
          </w:p>
        </w:tc>
      </w:tr>
      <w:tr w:rsidR="006B42D6" w:rsidRPr="006B42D6" w14:paraId="497479EB" w14:textId="77777777" w:rsidTr="005420E0">
        <w:trPr>
          <w:trHeight w:hRule="exact" w:val="227"/>
        </w:trPr>
        <w:tc>
          <w:tcPr>
            <w:tcW w:w="606" w:type="pct"/>
            <w:tcBorders>
              <w:top w:val="nil"/>
              <w:left w:val="nil"/>
              <w:bottom w:val="nil"/>
              <w:right w:val="nil"/>
            </w:tcBorders>
            <w:shd w:val="clear" w:color="auto" w:fill="auto"/>
            <w:noWrap/>
            <w:vAlign w:val="center"/>
            <w:hideMark/>
          </w:tcPr>
          <w:p w14:paraId="6AAA2498" w14:textId="77777777" w:rsidR="008A1E55" w:rsidRPr="006B42D6" w:rsidRDefault="008A1E55" w:rsidP="00E16CAE">
            <w:pPr>
              <w:rPr>
                <w:sz w:val="16"/>
                <w:szCs w:val="16"/>
              </w:rPr>
            </w:pPr>
            <w:r w:rsidRPr="006B42D6">
              <w:rPr>
                <w:sz w:val="16"/>
                <w:szCs w:val="16"/>
              </w:rPr>
              <w:t>Tabora</w:t>
            </w:r>
          </w:p>
        </w:tc>
        <w:tc>
          <w:tcPr>
            <w:tcW w:w="345" w:type="pct"/>
            <w:tcBorders>
              <w:top w:val="nil"/>
              <w:left w:val="nil"/>
              <w:bottom w:val="nil"/>
              <w:right w:val="nil"/>
            </w:tcBorders>
            <w:shd w:val="clear" w:color="auto" w:fill="auto"/>
            <w:noWrap/>
            <w:vAlign w:val="center"/>
            <w:hideMark/>
          </w:tcPr>
          <w:p w14:paraId="1C4ABA75" w14:textId="77777777" w:rsidR="008A1E55" w:rsidRPr="006B42D6" w:rsidRDefault="008A1E55" w:rsidP="00E16CAE">
            <w:pPr>
              <w:jc w:val="right"/>
              <w:rPr>
                <w:sz w:val="16"/>
                <w:szCs w:val="16"/>
              </w:rPr>
            </w:pPr>
            <w:r w:rsidRPr="006B42D6">
              <w:rPr>
                <w:sz w:val="16"/>
                <w:szCs w:val="16"/>
              </w:rPr>
              <w:t>1.4</w:t>
            </w:r>
          </w:p>
        </w:tc>
        <w:tc>
          <w:tcPr>
            <w:tcW w:w="337" w:type="pct"/>
            <w:tcBorders>
              <w:top w:val="nil"/>
              <w:left w:val="nil"/>
              <w:bottom w:val="nil"/>
              <w:right w:val="nil"/>
            </w:tcBorders>
            <w:shd w:val="clear" w:color="auto" w:fill="auto"/>
            <w:noWrap/>
            <w:vAlign w:val="center"/>
            <w:hideMark/>
          </w:tcPr>
          <w:p w14:paraId="79DFC8CE" w14:textId="77777777" w:rsidR="008A1E55" w:rsidRPr="006B42D6" w:rsidRDefault="008A1E55" w:rsidP="00E16CAE">
            <w:pPr>
              <w:jc w:val="right"/>
              <w:rPr>
                <w:sz w:val="16"/>
                <w:szCs w:val="16"/>
              </w:rPr>
            </w:pPr>
            <w:r w:rsidRPr="006B42D6">
              <w:rPr>
                <w:sz w:val="16"/>
                <w:szCs w:val="16"/>
              </w:rPr>
              <w:t>6.8</w:t>
            </w:r>
          </w:p>
        </w:tc>
        <w:tc>
          <w:tcPr>
            <w:tcW w:w="353" w:type="pct"/>
            <w:tcBorders>
              <w:top w:val="nil"/>
              <w:left w:val="nil"/>
              <w:bottom w:val="nil"/>
              <w:right w:val="nil"/>
            </w:tcBorders>
            <w:shd w:val="clear" w:color="auto" w:fill="auto"/>
            <w:noWrap/>
            <w:vAlign w:val="center"/>
            <w:hideMark/>
          </w:tcPr>
          <w:p w14:paraId="192790C8" w14:textId="77777777" w:rsidR="008A1E55" w:rsidRPr="006B42D6" w:rsidRDefault="008A1E55" w:rsidP="00E16CAE">
            <w:pPr>
              <w:jc w:val="right"/>
              <w:rPr>
                <w:sz w:val="16"/>
                <w:szCs w:val="16"/>
              </w:rPr>
            </w:pPr>
            <w:r w:rsidRPr="006B42D6">
              <w:rPr>
                <w:sz w:val="16"/>
                <w:szCs w:val="16"/>
              </w:rPr>
              <w:t>0.7</w:t>
            </w:r>
          </w:p>
        </w:tc>
        <w:tc>
          <w:tcPr>
            <w:tcW w:w="399" w:type="pct"/>
            <w:tcBorders>
              <w:top w:val="nil"/>
              <w:left w:val="nil"/>
              <w:bottom w:val="nil"/>
              <w:right w:val="nil"/>
            </w:tcBorders>
            <w:shd w:val="clear" w:color="auto" w:fill="auto"/>
            <w:noWrap/>
            <w:vAlign w:val="center"/>
            <w:hideMark/>
          </w:tcPr>
          <w:p w14:paraId="1DEA0B92" w14:textId="77777777" w:rsidR="008A1E55" w:rsidRPr="006B42D6" w:rsidRDefault="008A1E55" w:rsidP="00E16CAE">
            <w:pPr>
              <w:jc w:val="right"/>
              <w:rPr>
                <w:sz w:val="16"/>
                <w:szCs w:val="16"/>
              </w:rPr>
            </w:pPr>
            <w:r w:rsidRPr="006B42D6">
              <w:rPr>
                <w:sz w:val="16"/>
                <w:szCs w:val="16"/>
              </w:rPr>
              <w:t>17.5</w:t>
            </w:r>
          </w:p>
        </w:tc>
        <w:tc>
          <w:tcPr>
            <w:tcW w:w="386" w:type="pct"/>
            <w:tcBorders>
              <w:top w:val="nil"/>
              <w:left w:val="nil"/>
              <w:bottom w:val="nil"/>
              <w:right w:val="nil"/>
            </w:tcBorders>
            <w:shd w:val="clear" w:color="auto" w:fill="auto"/>
            <w:noWrap/>
            <w:vAlign w:val="center"/>
            <w:hideMark/>
          </w:tcPr>
          <w:p w14:paraId="36CA9B62" w14:textId="77777777" w:rsidR="008A1E55" w:rsidRPr="006B42D6" w:rsidRDefault="008A1E55" w:rsidP="00E16CAE">
            <w:pPr>
              <w:jc w:val="right"/>
              <w:rPr>
                <w:sz w:val="16"/>
                <w:szCs w:val="16"/>
              </w:rPr>
            </w:pPr>
            <w:r w:rsidRPr="006B42D6">
              <w:rPr>
                <w:sz w:val="16"/>
                <w:szCs w:val="16"/>
              </w:rPr>
              <w:t>1.2</w:t>
            </w:r>
          </w:p>
        </w:tc>
        <w:tc>
          <w:tcPr>
            <w:tcW w:w="452" w:type="pct"/>
            <w:tcBorders>
              <w:top w:val="nil"/>
              <w:left w:val="nil"/>
              <w:bottom w:val="nil"/>
              <w:right w:val="nil"/>
            </w:tcBorders>
            <w:shd w:val="clear" w:color="auto" w:fill="auto"/>
            <w:noWrap/>
            <w:vAlign w:val="center"/>
            <w:hideMark/>
          </w:tcPr>
          <w:p w14:paraId="15B7D30C" w14:textId="77777777" w:rsidR="008A1E55" w:rsidRPr="006B42D6" w:rsidRDefault="008A1E55" w:rsidP="00E16CAE">
            <w:pPr>
              <w:jc w:val="right"/>
              <w:rPr>
                <w:sz w:val="16"/>
                <w:szCs w:val="16"/>
              </w:rPr>
            </w:pPr>
            <w:r w:rsidRPr="006B42D6">
              <w:rPr>
                <w:sz w:val="16"/>
                <w:szCs w:val="16"/>
              </w:rPr>
              <w:t>4.2</w:t>
            </w:r>
          </w:p>
        </w:tc>
        <w:tc>
          <w:tcPr>
            <w:tcW w:w="353" w:type="pct"/>
            <w:tcBorders>
              <w:top w:val="nil"/>
              <w:left w:val="nil"/>
              <w:bottom w:val="nil"/>
              <w:right w:val="nil"/>
            </w:tcBorders>
            <w:shd w:val="clear" w:color="auto" w:fill="auto"/>
            <w:noWrap/>
            <w:vAlign w:val="center"/>
            <w:hideMark/>
          </w:tcPr>
          <w:p w14:paraId="48284209" w14:textId="77777777" w:rsidR="008A1E55" w:rsidRPr="006B42D6" w:rsidRDefault="008A1E55" w:rsidP="00E16CAE">
            <w:pPr>
              <w:jc w:val="right"/>
              <w:rPr>
                <w:sz w:val="16"/>
                <w:szCs w:val="16"/>
              </w:rPr>
            </w:pPr>
            <w:r w:rsidRPr="006B42D6">
              <w:rPr>
                <w:sz w:val="16"/>
                <w:szCs w:val="16"/>
              </w:rPr>
              <w:t>5.0</w:t>
            </w:r>
          </w:p>
        </w:tc>
        <w:tc>
          <w:tcPr>
            <w:tcW w:w="383" w:type="pct"/>
            <w:tcBorders>
              <w:top w:val="nil"/>
              <w:left w:val="nil"/>
              <w:bottom w:val="nil"/>
              <w:right w:val="nil"/>
            </w:tcBorders>
            <w:shd w:val="clear" w:color="auto" w:fill="auto"/>
            <w:noWrap/>
            <w:vAlign w:val="center"/>
            <w:hideMark/>
          </w:tcPr>
          <w:p w14:paraId="4B7A2278" w14:textId="77777777" w:rsidR="008A1E55" w:rsidRPr="006B42D6" w:rsidRDefault="008A1E55" w:rsidP="00E16CAE">
            <w:pPr>
              <w:jc w:val="right"/>
              <w:rPr>
                <w:sz w:val="16"/>
                <w:szCs w:val="16"/>
              </w:rPr>
            </w:pPr>
            <w:r w:rsidRPr="006B42D6">
              <w:rPr>
                <w:sz w:val="16"/>
                <w:szCs w:val="16"/>
              </w:rPr>
              <w:t>1.9</w:t>
            </w:r>
          </w:p>
        </w:tc>
        <w:tc>
          <w:tcPr>
            <w:tcW w:w="268" w:type="pct"/>
            <w:tcBorders>
              <w:top w:val="nil"/>
              <w:left w:val="nil"/>
              <w:bottom w:val="nil"/>
              <w:right w:val="nil"/>
            </w:tcBorders>
            <w:shd w:val="clear" w:color="auto" w:fill="auto"/>
            <w:noWrap/>
            <w:vAlign w:val="center"/>
            <w:hideMark/>
          </w:tcPr>
          <w:p w14:paraId="27892F36" w14:textId="77777777" w:rsidR="008A1E55" w:rsidRPr="006B42D6" w:rsidRDefault="008A1E55" w:rsidP="00E16CAE">
            <w:pPr>
              <w:jc w:val="right"/>
              <w:rPr>
                <w:sz w:val="16"/>
                <w:szCs w:val="16"/>
              </w:rPr>
            </w:pPr>
            <w:r w:rsidRPr="006B42D6">
              <w:rPr>
                <w:sz w:val="16"/>
                <w:szCs w:val="16"/>
              </w:rPr>
              <w:t>9.3</w:t>
            </w:r>
          </w:p>
        </w:tc>
        <w:tc>
          <w:tcPr>
            <w:tcW w:w="268" w:type="pct"/>
            <w:tcBorders>
              <w:top w:val="nil"/>
              <w:left w:val="nil"/>
              <w:bottom w:val="nil"/>
              <w:right w:val="nil"/>
            </w:tcBorders>
            <w:shd w:val="clear" w:color="auto" w:fill="auto"/>
            <w:noWrap/>
            <w:vAlign w:val="center"/>
            <w:hideMark/>
          </w:tcPr>
          <w:p w14:paraId="54E4E762" w14:textId="77777777" w:rsidR="008A1E55" w:rsidRPr="006B42D6" w:rsidRDefault="008A1E55" w:rsidP="00E16CAE">
            <w:pPr>
              <w:jc w:val="right"/>
              <w:rPr>
                <w:sz w:val="16"/>
                <w:szCs w:val="16"/>
              </w:rPr>
            </w:pPr>
            <w:r w:rsidRPr="006B42D6">
              <w:rPr>
                <w:sz w:val="16"/>
                <w:szCs w:val="16"/>
              </w:rPr>
              <w:t>2.4</w:t>
            </w:r>
          </w:p>
        </w:tc>
        <w:tc>
          <w:tcPr>
            <w:tcW w:w="268" w:type="pct"/>
            <w:tcBorders>
              <w:top w:val="nil"/>
              <w:left w:val="nil"/>
              <w:bottom w:val="nil"/>
              <w:right w:val="nil"/>
            </w:tcBorders>
            <w:shd w:val="clear" w:color="auto" w:fill="auto"/>
            <w:noWrap/>
            <w:vAlign w:val="center"/>
            <w:hideMark/>
          </w:tcPr>
          <w:p w14:paraId="6C8D805A" w14:textId="77777777" w:rsidR="008A1E55" w:rsidRPr="006B42D6" w:rsidRDefault="008A1E55" w:rsidP="00E16CAE">
            <w:pPr>
              <w:jc w:val="right"/>
              <w:rPr>
                <w:sz w:val="16"/>
                <w:szCs w:val="16"/>
              </w:rPr>
            </w:pPr>
            <w:r w:rsidRPr="006B42D6">
              <w:rPr>
                <w:sz w:val="16"/>
                <w:szCs w:val="16"/>
              </w:rPr>
              <w:t>-</w:t>
            </w:r>
          </w:p>
        </w:tc>
        <w:tc>
          <w:tcPr>
            <w:tcW w:w="314" w:type="pct"/>
            <w:tcBorders>
              <w:top w:val="nil"/>
              <w:left w:val="nil"/>
              <w:bottom w:val="nil"/>
              <w:right w:val="nil"/>
            </w:tcBorders>
            <w:shd w:val="clear" w:color="auto" w:fill="auto"/>
            <w:noWrap/>
            <w:vAlign w:val="center"/>
            <w:hideMark/>
          </w:tcPr>
          <w:p w14:paraId="0B81F02A" w14:textId="77777777" w:rsidR="008A1E55" w:rsidRPr="006B42D6" w:rsidRDefault="008A1E55" w:rsidP="00E16CAE">
            <w:pPr>
              <w:jc w:val="right"/>
              <w:rPr>
                <w:sz w:val="16"/>
                <w:szCs w:val="16"/>
              </w:rPr>
            </w:pPr>
            <w:r w:rsidRPr="006B42D6">
              <w:rPr>
                <w:sz w:val="16"/>
                <w:szCs w:val="16"/>
              </w:rPr>
              <w:t>6.6</w:t>
            </w:r>
          </w:p>
        </w:tc>
        <w:tc>
          <w:tcPr>
            <w:tcW w:w="268" w:type="pct"/>
            <w:tcBorders>
              <w:top w:val="nil"/>
              <w:left w:val="nil"/>
              <w:bottom w:val="nil"/>
              <w:right w:val="nil"/>
            </w:tcBorders>
            <w:shd w:val="clear" w:color="auto" w:fill="auto"/>
            <w:noWrap/>
            <w:vAlign w:val="center"/>
            <w:hideMark/>
          </w:tcPr>
          <w:p w14:paraId="12E72B4A" w14:textId="77777777" w:rsidR="008A1E55" w:rsidRPr="006B42D6" w:rsidRDefault="008A1E55" w:rsidP="00E16CAE">
            <w:pPr>
              <w:jc w:val="right"/>
              <w:rPr>
                <w:sz w:val="16"/>
                <w:szCs w:val="16"/>
              </w:rPr>
            </w:pPr>
            <w:r w:rsidRPr="006B42D6">
              <w:rPr>
                <w:sz w:val="16"/>
                <w:szCs w:val="16"/>
              </w:rPr>
              <w:t>3.5</w:t>
            </w:r>
          </w:p>
        </w:tc>
      </w:tr>
      <w:tr w:rsidR="006B42D6" w:rsidRPr="006B42D6" w14:paraId="7F1265F9" w14:textId="77777777" w:rsidTr="005420E0">
        <w:trPr>
          <w:trHeight w:hRule="exact" w:val="227"/>
        </w:trPr>
        <w:tc>
          <w:tcPr>
            <w:tcW w:w="606" w:type="pct"/>
            <w:tcBorders>
              <w:top w:val="nil"/>
              <w:left w:val="nil"/>
              <w:bottom w:val="nil"/>
              <w:right w:val="nil"/>
            </w:tcBorders>
            <w:shd w:val="clear" w:color="auto" w:fill="auto"/>
            <w:noWrap/>
            <w:vAlign w:val="center"/>
            <w:hideMark/>
          </w:tcPr>
          <w:p w14:paraId="14760384" w14:textId="77777777" w:rsidR="008A1E55" w:rsidRPr="006B42D6" w:rsidRDefault="008A1E55" w:rsidP="00E16CAE">
            <w:pPr>
              <w:rPr>
                <w:sz w:val="16"/>
                <w:szCs w:val="16"/>
              </w:rPr>
            </w:pPr>
            <w:r w:rsidRPr="006B42D6">
              <w:rPr>
                <w:sz w:val="16"/>
                <w:szCs w:val="16"/>
              </w:rPr>
              <w:t>Rukwa</w:t>
            </w:r>
          </w:p>
        </w:tc>
        <w:tc>
          <w:tcPr>
            <w:tcW w:w="345" w:type="pct"/>
            <w:tcBorders>
              <w:top w:val="nil"/>
              <w:left w:val="nil"/>
              <w:bottom w:val="nil"/>
              <w:right w:val="nil"/>
            </w:tcBorders>
            <w:shd w:val="clear" w:color="auto" w:fill="auto"/>
            <w:noWrap/>
            <w:vAlign w:val="center"/>
            <w:hideMark/>
          </w:tcPr>
          <w:p w14:paraId="0E719BF3" w14:textId="77777777" w:rsidR="008A1E55" w:rsidRPr="006B42D6" w:rsidRDefault="008A1E55" w:rsidP="00E16CAE">
            <w:pPr>
              <w:jc w:val="right"/>
              <w:rPr>
                <w:sz w:val="16"/>
                <w:szCs w:val="16"/>
              </w:rPr>
            </w:pPr>
            <w:r w:rsidRPr="006B42D6">
              <w:rPr>
                <w:sz w:val="16"/>
                <w:szCs w:val="16"/>
              </w:rPr>
              <w:t>2.2</w:t>
            </w:r>
          </w:p>
        </w:tc>
        <w:tc>
          <w:tcPr>
            <w:tcW w:w="337" w:type="pct"/>
            <w:tcBorders>
              <w:top w:val="nil"/>
              <w:left w:val="nil"/>
              <w:bottom w:val="nil"/>
              <w:right w:val="nil"/>
            </w:tcBorders>
            <w:shd w:val="clear" w:color="auto" w:fill="auto"/>
            <w:noWrap/>
            <w:vAlign w:val="center"/>
            <w:hideMark/>
          </w:tcPr>
          <w:p w14:paraId="37786736" w14:textId="77777777" w:rsidR="008A1E55" w:rsidRPr="006B42D6" w:rsidRDefault="008A1E55" w:rsidP="00E16CAE">
            <w:pPr>
              <w:jc w:val="right"/>
              <w:rPr>
                <w:sz w:val="16"/>
                <w:szCs w:val="16"/>
              </w:rPr>
            </w:pPr>
            <w:r w:rsidRPr="006B42D6">
              <w:rPr>
                <w:sz w:val="16"/>
                <w:szCs w:val="16"/>
              </w:rPr>
              <w:t>2.1</w:t>
            </w:r>
          </w:p>
        </w:tc>
        <w:tc>
          <w:tcPr>
            <w:tcW w:w="353" w:type="pct"/>
            <w:tcBorders>
              <w:top w:val="nil"/>
              <w:left w:val="nil"/>
              <w:bottom w:val="nil"/>
              <w:right w:val="nil"/>
            </w:tcBorders>
            <w:shd w:val="clear" w:color="auto" w:fill="auto"/>
            <w:noWrap/>
            <w:vAlign w:val="center"/>
            <w:hideMark/>
          </w:tcPr>
          <w:p w14:paraId="211C435C" w14:textId="77777777" w:rsidR="008A1E55" w:rsidRPr="006B42D6" w:rsidRDefault="008A1E55" w:rsidP="00E16CAE">
            <w:pPr>
              <w:jc w:val="right"/>
              <w:rPr>
                <w:sz w:val="16"/>
                <w:szCs w:val="16"/>
              </w:rPr>
            </w:pPr>
            <w:r w:rsidRPr="006B42D6">
              <w:rPr>
                <w:sz w:val="16"/>
                <w:szCs w:val="16"/>
              </w:rPr>
              <w:t>4.7</w:t>
            </w:r>
          </w:p>
        </w:tc>
        <w:tc>
          <w:tcPr>
            <w:tcW w:w="399" w:type="pct"/>
            <w:tcBorders>
              <w:top w:val="nil"/>
              <w:left w:val="nil"/>
              <w:bottom w:val="nil"/>
              <w:right w:val="nil"/>
            </w:tcBorders>
            <w:shd w:val="clear" w:color="auto" w:fill="auto"/>
            <w:noWrap/>
            <w:vAlign w:val="center"/>
            <w:hideMark/>
          </w:tcPr>
          <w:p w14:paraId="5450D180" w14:textId="77777777" w:rsidR="008A1E55" w:rsidRPr="006B42D6" w:rsidRDefault="008A1E55" w:rsidP="00E16CAE">
            <w:pPr>
              <w:jc w:val="right"/>
              <w:rPr>
                <w:sz w:val="16"/>
                <w:szCs w:val="16"/>
              </w:rPr>
            </w:pPr>
            <w:r w:rsidRPr="006B42D6">
              <w:rPr>
                <w:sz w:val="16"/>
                <w:szCs w:val="16"/>
              </w:rPr>
              <w:t>3.4</w:t>
            </w:r>
          </w:p>
        </w:tc>
        <w:tc>
          <w:tcPr>
            <w:tcW w:w="386" w:type="pct"/>
            <w:tcBorders>
              <w:top w:val="nil"/>
              <w:left w:val="nil"/>
              <w:bottom w:val="nil"/>
              <w:right w:val="nil"/>
            </w:tcBorders>
            <w:shd w:val="clear" w:color="auto" w:fill="auto"/>
            <w:noWrap/>
            <w:vAlign w:val="center"/>
            <w:hideMark/>
          </w:tcPr>
          <w:p w14:paraId="3B81F45E" w14:textId="77777777" w:rsidR="008A1E55" w:rsidRPr="006B42D6" w:rsidRDefault="008A1E55" w:rsidP="00E16CAE">
            <w:pPr>
              <w:jc w:val="right"/>
              <w:rPr>
                <w:sz w:val="16"/>
                <w:szCs w:val="16"/>
              </w:rPr>
            </w:pPr>
            <w:r w:rsidRPr="006B42D6">
              <w:rPr>
                <w:sz w:val="16"/>
                <w:szCs w:val="16"/>
              </w:rPr>
              <w:t>4.1</w:t>
            </w:r>
          </w:p>
        </w:tc>
        <w:tc>
          <w:tcPr>
            <w:tcW w:w="452" w:type="pct"/>
            <w:tcBorders>
              <w:top w:val="nil"/>
              <w:left w:val="nil"/>
              <w:bottom w:val="nil"/>
              <w:right w:val="nil"/>
            </w:tcBorders>
            <w:shd w:val="clear" w:color="auto" w:fill="auto"/>
            <w:noWrap/>
            <w:vAlign w:val="center"/>
            <w:hideMark/>
          </w:tcPr>
          <w:p w14:paraId="03887DF6" w14:textId="77777777" w:rsidR="008A1E55" w:rsidRPr="006B42D6" w:rsidRDefault="008A1E55" w:rsidP="00E16CAE">
            <w:pPr>
              <w:jc w:val="right"/>
              <w:rPr>
                <w:sz w:val="16"/>
                <w:szCs w:val="16"/>
              </w:rPr>
            </w:pPr>
            <w:r w:rsidRPr="006B42D6">
              <w:rPr>
                <w:sz w:val="16"/>
                <w:szCs w:val="16"/>
              </w:rPr>
              <w:t>2.5</w:t>
            </w:r>
          </w:p>
        </w:tc>
        <w:tc>
          <w:tcPr>
            <w:tcW w:w="353" w:type="pct"/>
            <w:tcBorders>
              <w:top w:val="nil"/>
              <w:left w:val="nil"/>
              <w:bottom w:val="nil"/>
              <w:right w:val="nil"/>
            </w:tcBorders>
            <w:shd w:val="clear" w:color="auto" w:fill="auto"/>
            <w:noWrap/>
            <w:vAlign w:val="center"/>
            <w:hideMark/>
          </w:tcPr>
          <w:p w14:paraId="2655089B" w14:textId="77777777" w:rsidR="008A1E55" w:rsidRPr="006B42D6" w:rsidRDefault="008A1E55" w:rsidP="00E16CAE">
            <w:pPr>
              <w:jc w:val="right"/>
              <w:rPr>
                <w:sz w:val="16"/>
                <w:szCs w:val="16"/>
              </w:rPr>
            </w:pPr>
            <w:r w:rsidRPr="006B42D6">
              <w:rPr>
                <w:sz w:val="16"/>
                <w:szCs w:val="16"/>
              </w:rPr>
              <w:t>1.1</w:t>
            </w:r>
          </w:p>
        </w:tc>
        <w:tc>
          <w:tcPr>
            <w:tcW w:w="383" w:type="pct"/>
            <w:tcBorders>
              <w:top w:val="nil"/>
              <w:left w:val="nil"/>
              <w:bottom w:val="nil"/>
              <w:right w:val="nil"/>
            </w:tcBorders>
            <w:shd w:val="clear" w:color="auto" w:fill="auto"/>
            <w:noWrap/>
            <w:vAlign w:val="center"/>
            <w:hideMark/>
          </w:tcPr>
          <w:p w14:paraId="2737EBAA" w14:textId="77777777" w:rsidR="008A1E55" w:rsidRPr="006B42D6" w:rsidRDefault="008A1E55" w:rsidP="00E16CAE">
            <w:pPr>
              <w:jc w:val="right"/>
              <w:rPr>
                <w:sz w:val="16"/>
                <w:szCs w:val="16"/>
              </w:rPr>
            </w:pPr>
            <w:r w:rsidRPr="006B42D6">
              <w:rPr>
                <w:sz w:val="16"/>
                <w:szCs w:val="16"/>
              </w:rPr>
              <w:t>5.8</w:t>
            </w:r>
          </w:p>
        </w:tc>
        <w:tc>
          <w:tcPr>
            <w:tcW w:w="268" w:type="pct"/>
            <w:tcBorders>
              <w:top w:val="nil"/>
              <w:left w:val="nil"/>
              <w:bottom w:val="nil"/>
              <w:right w:val="nil"/>
            </w:tcBorders>
            <w:shd w:val="clear" w:color="auto" w:fill="auto"/>
            <w:noWrap/>
            <w:vAlign w:val="center"/>
            <w:hideMark/>
          </w:tcPr>
          <w:p w14:paraId="2758ABEE" w14:textId="77777777" w:rsidR="008A1E55" w:rsidRPr="006B42D6" w:rsidRDefault="008A1E55" w:rsidP="00E16CAE">
            <w:pPr>
              <w:jc w:val="right"/>
              <w:rPr>
                <w:sz w:val="16"/>
                <w:szCs w:val="16"/>
              </w:rPr>
            </w:pPr>
            <w:r w:rsidRPr="006B42D6">
              <w:rPr>
                <w:sz w:val="16"/>
                <w:szCs w:val="16"/>
              </w:rPr>
              <w:t>3.0</w:t>
            </w:r>
          </w:p>
        </w:tc>
        <w:tc>
          <w:tcPr>
            <w:tcW w:w="268" w:type="pct"/>
            <w:tcBorders>
              <w:top w:val="nil"/>
              <w:left w:val="nil"/>
              <w:bottom w:val="nil"/>
              <w:right w:val="nil"/>
            </w:tcBorders>
            <w:shd w:val="clear" w:color="auto" w:fill="auto"/>
            <w:noWrap/>
            <w:vAlign w:val="center"/>
            <w:hideMark/>
          </w:tcPr>
          <w:p w14:paraId="0FC894C4" w14:textId="77777777" w:rsidR="008A1E55" w:rsidRPr="006B42D6" w:rsidRDefault="008A1E55" w:rsidP="00E16CAE">
            <w:pPr>
              <w:jc w:val="right"/>
              <w:rPr>
                <w:sz w:val="16"/>
                <w:szCs w:val="16"/>
              </w:rPr>
            </w:pPr>
            <w:r w:rsidRPr="006B42D6">
              <w:rPr>
                <w:sz w:val="16"/>
                <w:szCs w:val="16"/>
              </w:rPr>
              <w:t>-</w:t>
            </w:r>
          </w:p>
        </w:tc>
        <w:tc>
          <w:tcPr>
            <w:tcW w:w="268" w:type="pct"/>
            <w:tcBorders>
              <w:top w:val="nil"/>
              <w:left w:val="nil"/>
              <w:bottom w:val="nil"/>
              <w:right w:val="nil"/>
            </w:tcBorders>
            <w:shd w:val="clear" w:color="auto" w:fill="auto"/>
            <w:noWrap/>
            <w:vAlign w:val="center"/>
            <w:hideMark/>
          </w:tcPr>
          <w:p w14:paraId="1CFFEBBC" w14:textId="77777777" w:rsidR="008A1E55" w:rsidRPr="006B42D6" w:rsidRDefault="008A1E55" w:rsidP="00E16CAE">
            <w:pPr>
              <w:jc w:val="right"/>
              <w:rPr>
                <w:sz w:val="16"/>
                <w:szCs w:val="16"/>
              </w:rPr>
            </w:pPr>
            <w:r w:rsidRPr="006B42D6">
              <w:rPr>
                <w:sz w:val="16"/>
                <w:szCs w:val="16"/>
              </w:rPr>
              <w:t>2.2</w:t>
            </w:r>
          </w:p>
        </w:tc>
        <w:tc>
          <w:tcPr>
            <w:tcW w:w="314" w:type="pct"/>
            <w:tcBorders>
              <w:top w:val="nil"/>
              <w:left w:val="nil"/>
              <w:bottom w:val="nil"/>
              <w:right w:val="nil"/>
            </w:tcBorders>
            <w:shd w:val="clear" w:color="auto" w:fill="auto"/>
            <w:noWrap/>
            <w:vAlign w:val="center"/>
            <w:hideMark/>
          </w:tcPr>
          <w:p w14:paraId="21035E8B" w14:textId="77777777" w:rsidR="008A1E55" w:rsidRPr="006B42D6" w:rsidRDefault="008A1E55" w:rsidP="00E16CAE">
            <w:pPr>
              <w:jc w:val="right"/>
              <w:rPr>
                <w:sz w:val="16"/>
                <w:szCs w:val="16"/>
              </w:rPr>
            </w:pPr>
            <w:r w:rsidRPr="006B42D6">
              <w:rPr>
                <w:sz w:val="16"/>
                <w:szCs w:val="16"/>
              </w:rPr>
              <w:t>12.2</w:t>
            </w:r>
          </w:p>
        </w:tc>
        <w:tc>
          <w:tcPr>
            <w:tcW w:w="268" w:type="pct"/>
            <w:tcBorders>
              <w:top w:val="nil"/>
              <w:left w:val="nil"/>
              <w:bottom w:val="nil"/>
              <w:right w:val="nil"/>
            </w:tcBorders>
            <w:shd w:val="clear" w:color="auto" w:fill="auto"/>
            <w:noWrap/>
            <w:vAlign w:val="center"/>
            <w:hideMark/>
          </w:tcPr>
          <w:p w14:paraId="194ECCC5" w14:textId="77777777" w:rsidR="008A1E55" w:rsidRPr="006B42D6" w:rsidRDefault="008A1E55" w:rsidP="00E16CAE">
            <w:pPr>
              <w:jc w:val="right"/>
              <w:rPr>
                <w:sz w:val="16"/>
                <w:szCs w:val="16"/>
              </w:rPr>
            </w:pPr>
            <w:r w:rsidRPr="006B42D6">
              <w:rPr>
                <w:sz w:val="16"/>
                <w:szCs w:val="16"/>
              </w:rPr>
              <w:t>3.1</w:t>
            </w:r>
          </w:p>
        </w:tc>
      </w:tr>
      <w:tr w:rsidR="006B42D6" w:rsidRPr="006B42D6" w14:paraId="5B29E33A" w14:textId="77777777" w:rsidTr="005420E0">
        <w:trPr>
          <w:trHeight w:hRule="exact" w:val="227"/>
        </w:trPr>
        <w:tc>
          <w:tcPr>
            <w:tcW w:w="606" w:type="pct"/>
            <w:tcBorders>
              <w:top w:val="nil"/>
              <w:left w:val="nil"/>
              <w:bottom w:val="nil"/>
              <w:right w:val="nil"/>
            </w:tcBorders>
            <w:shd w:val="clear" w:color="auto" w:fill="auto"/>
            <w:noWrap/>
            <w:vAlign w:val="center"/>
            <w:hideMark/>
          </w:tcPr>
          <w:p w14:paraId="7FDEFB70" w14:textId="77777777" w:rsidR="008A1E55" w:rsidRPr="006B42D6" w:rsidRDefault="008A1E55" w:rsidP="00E16CAE">
            <w:pPr>
              <w:rPr>
                <w:sz w:val="16"/>
                <w:szCs w:val="16"/>
              </w:rPr>
            </w:pPr>
            <w:r w:rsidRPr="006B42D6">
              <w:rPr>
                <w:sz w:val="16"/>
                <w:szCs w:val="16"/>
              </w:rPr>
              <w:t>Kigoma</w:t>
            </w:r>
          </w:p>
        </w:tc>
        <w:tc>
          <w:tcPr>
            <w:tcW w:w="345" w:type="pct"/>
            <w:tcBorders>
              <w:top w:val="nil"/>
              <w:left w:val="nil"/>
              <w:bottom w:val="nil"/>
              <w:right w:val="nil"/>
            </w:tcBorders>
            <w:shd w:val="clear" w:color="auto" w:fill="auto"/>
            <w:noWrap/>
            <w:vAlign w:val="center"/>
            <w:hideMark/>
          </w:tcPr>
          <w:p w14:paraId="2860ECCD" w14:textId="77777777" w:rsidR="008A1E55" w:rsidRPr="006B42D6" w:rsidRDefault="008A1E55" w:rsidP="00E16CAE">
            <w:pPr>
              <w:jc w:val="right"/>
              <w:rPr>
                <w:sz w:val="16"/>
                <w:szCs w:val="16"/>
              </w:rPr>
            </w:pPr>
            <w:r w:rsidRPr="006B42D6">
              <w:rPr>
                <w:sz w:val="16"/>
                <w:szCs w:val="16"/>
              </w:rPr>
              <w:t>4.3</w:t>
            </w:r>
          </w:p>
        </w:tc>
        <w:tc>
          <w:tcPr>
            <w:tcW w:w="337" w:type="pct"/>
            <w:tcBorders>
              <w:top w:val="nil"/>
              <w:left w:val="nil"/>
              <w:bottom w:val="nil"/>
              <w:right w:val="nil"/>
            </w:tcBorders>
            <w:shd w:val="clear" w:color="auto" w:fill="auto"/>
            <w:noWrap/>
            <w:vAlign w:val="center"/>
            <w:hideMark/>
          </w:tcPr>
          <w:p w14:paraId="29694AB8" w14:textId="77777777" w:rsidR="008A1E55" w:rsidRPr="006B42D6" w:rsidRDefault="008A1E55" w:rsidP="00E16CAE">
            <w:pPr>
              <w:jc w:val="right"/>
              <w:rPr>
                <w:sz w:val="16"/>
                <w:szCs w:val="16"/>
              </w:rPr>
            </w:pPr>
            <w:r w:rsidRPr="006B42D6">
              <w:rPr>
                <w:sz w:val="16"/>
                <w:szCs w:val="16"/>
              </w:rPr>
              <w:t>4.7</w:t>
            </w:r>
          </w:p>
        </w:tc>
        <w:tc>
          <w:tcPr>
            <w:tcW w:w="353" w:type="pct"/>
            <w:tcBorders>
              <w:top w:val="nil"/>
              <w:left w:val="nil"/>
              <w:bottom w:val="nil"/>
              <w:right w:val="nil"/>
            </w:tcBorders>
            <w:shd w:val="clear" w:color="auto" w:fill="auto"/>
            <w:noWrap/>
            <w:vAlign w:val="center"/>
            <w:hideMark/>
          </w:tcPr>
          <w:p w14:paraId="47642AF1" w14:textId="77777777" w:rsidR="008A1E55" w:rsidRPr="006B42D6" w:rsidRDefault="008A1E55" w:rsidP="00E16CAE">
            <w:pPr>
              <w:jc w:val="right"/>
              <w:rPr>
                <w:sz w:val="16"/>
                <w:szCs w:val="16"/>
              </w:rPr>
            </w:pPr>
            <w:r w:rsidRPr="006B42D6">
              <w:rPr>
                <w:sz w:val="16"/>
                <w:szCs w:val="16"/>
              </w:rPr>
              <w:t>16.0</w:t>
            </w:r>
          </w:p>
        </w:tc>
        <w:tc>
          <w:tcPr>
            <w:tcW w:w="399" w:type="pct"/>
            <w:tcBorders>
              <w:top w:val="nil"/>
              <w:left w:val="nil"/>
              <w:bottom w:val="nil"/>
              <w:right w:val="nil"/>
            </w:tcBorders>
            <w:shd w:val="clear" w:color="auto" w:fill="auto"/>
            <w:noWrap/>
            <w:vAlign w:val="center"/>
            <w:hideMark/>
          </w:tcPr>
          <w:p w14:paraId="68D03EEF" w14:textId="77777777" w:rsidR="008A1E55" w:rsidRPr="006B42D6" w:rsidRDefault="008A1E55" w:rsidP="00E16CAE">
            <w:pPr>
              <w:jc w:val="right"/>
              <w:rPr>
                <w:sz w:val="16"/>
                <w:szCs w:val="16"/>
              </w:rPr>
            </w:pPr>
            <w:r w:rsidRPr="006B42D6">
              <w:rPr>
                <w:sz w:val="16"/>
                <w:szCs w:val="16"/>
              </w:rPr>
              <w:t>3.5</w:t>
            </w:r>
          </w:p>
        </w:tc>
        <w:tc>
          <w:tcPr>
            <w:tcW w:w="386" w:type="pct"/>
            <w:tcBorders>
              <w:top w:val="nil"/>
              <w:left w:val="nil"/>
              <w:bottom w:val="nil"/>
              <w:right w:val="nil"/>
            </w:tcBorders>
            <w:shd w:val="clear" w:color="auto" w:fill="auto"/>
            <w:noWrap/>
            <w:vAlign w:val="center"/>
            <w:hideMark/>
          </w:tcPr>
          <w:p w14:paraId="180B396F" w14:textId="77777777" w:rsidR="008A1E55" w:rsidRPr="006B42D6" w:rsidRDefault="008A1E55" w:rsidP="00E16CAE">
            <w:pPr>
              <w:jc w:val="right"/>
              <w:rPr>
                <w:sz w:val="16"/>
                <w:szCs w:val="16"/>
              </w:rPr>
            </w:pPr>
            <w:r w:rsidRPr="006B42D6">
              <w:rPr>
                <w:sz w:val="16"/>
                <w:szCs w:val="16"/>
              </w:rPr>
              <w:t>5.6</w:t>
            </w:r>
          </w:p>
        </w:tc>
        <w:tc>
          <w:tcPr>
            <w:tcW w:w="452" w:type="pct"/>
            <w:tcBorders>
              <w:top w:val="nil"/>
              <w:left w:val="nil"/>
              <w:bottom w:val="nil"/>
              <w:right w:val="nil"/>
            </w:tcBorders>
            <w:shd w:val="clear" w:color="auto" w:fill="auto"/>
            <w:noWrap/>
            <w:vAlign w:val="center"/>
            <w:hideMark/>
          </w:tcPr>
          <w:p w14:paraId="01A70C4D" w14:textId="77777777" w:rsidR="008A1E55" w:rsidRPr="006B42D6" w:rsidRDefault="008A1E55" w:rsidP="00E16CAE">
            <w:pPr>
              <w:jc w:val="right"/>
              <w:rPr>
                <w:sz w:val="16"/>
                <w:szCs w:val="16"/>
              </w:rPr>
            </w:pPr>
            <w:r w:rsidRPr="006B42D6">
              <w:rPr>
                <w:sz w:val="16"/>
                <w:szCs w:val="16"/>
              </w:rPr>
              <w:t>7.2</w:t>
            </w:r>
          </w:p>
        </w:tc>
        <w:tc>
          <w:tcPr>
            <w:tcW w:w="353" w:type="pct"/>
            <w:tcBorders>
              <w:top w:val="nil"/>
              <w:left w:val="nil"/>
              <w:bottom w:val="nil"/>
              <w:right w:val="nil"/>
            </w:tcBorders>
            <w:shd w:val="clear" w:color="auto" w:fill="auto"/>
            <w:noWrap/>
            <w:vAlign w:val="center"/>
            <w:hideMark/>
          </w:tcPr>
          <w:p w14:paraId="008FA990" w14:textId="77777777" w:rsidR="008A1E55" w:rsidRPr="006B42D6" w:rsidRDefault="008A1E55" w:rsidP="00E16CAE">
            <w:pPr>
              <w:jc w:val="right"/>
              <w:rPr>
                <w:sz w:val="16"/>
                <w:szCs w:val="16"/>
              </w:rPr>
            </w:pPr>
            <w:r w:rsidRPr="006B42D6">
              <w:rPr>
                <w:sz w:val="16"/>
                <w:szCs w:val="16"/>
              </w:rPr>
              <w:t>0.7</w:t>
            </w:r>
          </w:p>
        </w:tc>
        <w:tc>
          <w:tcPr>
            <w:tcW w:w="383" w:type="pct"/>
            <w:tcBorders>
              <w:top w:val="nil"/>
              <w:left w:val="nil"/>
              <w:bottom w:val="nil"/>
              <w:right w:val="nil"/>
            </w:tcBorders>
            <w:shd w:val="clear" w:color="auto" w:fill="auto"/>
            <w:noWrap/>
            <w:vAlign w:val="center"/>
            <w:hideMark/>
          </w:tcPr>
          <w:p w14:paraId="2268A6A6" w14:textId="77777777" w:rsidR="008A1E55" w:rsidRPr="006B42D6" w:rsidRDefault="008A1E55" w:rsidP="00E16CAE">
            <w:pPr>
              <w:jc w:val="right"/>
              <w:rPr>
                <w:sz w:val="16"/>
                <w:szCs w:val="16"/>
              </w:rPr>
            </w:pPr>
            <w:r w:rsidRPr="006B42D6">
              <w:rPr>
                <w:sz w:val="16"/>
                <w:szCs w:val="16"/>
              </w:rPr>
              <w:t>1.0</w:t>
            </w:r>
          </w:p>
        </w:tc>
        <w:tc>
          <w:tcPr>
            <w:tcW w:w="268" w:type="pct"/>
            <w:tcBorders>
              <w:top w:val="nil"/>
              <w:left w:val="nil"/>
              <w:bottom w:val="nil"/>
              <w:right w:val="nil"/>
            </w:tcBorders>
            <w:shd w:val="clear" w:color="auto" w:fill="auto"/>
            <w:noWrap/>
            <w:vAlign w:val="center"/>
            <w:hideMark/>
          </w:tcPr>
          <w:p w14:paraId="23CDE929" w14:textId="77777777" w:rsidR="008A1E55" w:rsidRPr="006B42D6" w:rsidRDefault="008A1E55" w:rsidP="00E16CAE">
            <w:pPr>
              <w:jc w:val="right"/>
              <w:rPr>
                <w:sz w:val="16"/>
                <w:szCs w:val="16"/>
              </w:rPr>
            </w:pPr>
            <w:r w:rsidRPr="006B42D6">
              <w:rPr>
                <w:sz w:val="16"/>
                <w:szCs w:val="16"/>
              </w:rPr>
              <w:t>0.5</w:t>
            </w:r>
          </w:p>
        </w:tc>
        <w:tc>
          <w:tcPr>
            <w:tcW w:w="268" w:type="pct"/>
            <w:tcBorders>
              <w:top w:val="nil"/>
              <w:left w:val="nil"/>
              <w:bottom w:val="nil"/>
              <w:right w:val="nil"/>
            </w:tcBorders>
            <w:shd w:val="clear" w:color="auto" w:fill="auto"/>
            <w:noWrap/>
            <w:vAlign w:val="center"/>
            <w:hideMark/>
          </w:tcPr>
          <w:p w14:paraId="2D769397" w14:textId="77777777" w:rsidR="008A1E55" w:rsidRPr="006B42D6" w:rsidRDefault="008A1E55" w:rsidP="00E16CAE">
            <w:pPr>
              <w:jc w:val="right"/>
              <w:rPr>
                <w:sz w:val="16"/>
                <w:szCs w:val="16"/>
              </w:rPr>
            </w:pPr>
            <w:r w:rsidRPr="006B42D6">
              <w:rPr>
                <w:sz w:val="16"/>
                <w:szCs w:val="16"/>
              </w:rPr>
              <w:t>-</w:t>
            </w:r>
          </w:p>
        </w:tc>
        <w:tc>
          <w:tcPr>
            <w:tcW w:w="268" w:type="pct"/>
            <w:tcBorders>
              <w:top w:val="nil"/>
              <w:left w:val="nil"/>
              <w:bottom w:val="nil"/>
              <w:right w:val="nil"/>
            </w:tcBorders>
            <w:shd w:val="clear" w:color="auto" w:fill="auto"/>
            <w:noWrap/>
            <w:vAlign w:val="center"/>
            <w:hideMark/>
          </w:tcPr>
          <w:p w14:paraId="3908C0D7" w14:textId="77777777" w:rsidR="008A1E55" w:rsidRPr="006B42D6" w:rsidRDefault="008A1E55" w:rsidP="00E16CAE">
            <w:pPr>
              <w:jc w:val="right"/>
              <w:rPr>
                <w:sz w:val="16"/>
                <w:szCs w:val="16"/>
              </w:rPr>
            </w:pPr>
            <w:r w:rsidRPr="006B42D6">
              <w:rPr>
                <w:sz w:val="16"/>
                <w:szCs w:val="16"/>
              </w:rPr>
              <w:t>-</w:t>
            </w:r>
          </w:p>
        </w:tc>
        <w:tc>
          <w:tcPr>
            <w:tcW w:w="314" w:type="pct"/>
            <w:tcBorders>
              <w:top w:val="nil"/>
              <w:left w:val="nil"/>
              <w:bottom w:val="nil"/>
              <w:right w:val="nil"/>
            </w:tcBorders>
            <w:shd w:val="clear" w:color="auto" w:fill="auto"/>
            <w:noWrap/>
            <w:vAlign w:val="center"/>
            <w:hideMark/>
          </w:tcPr>
          <w:p w14:paraId="1FDAC40C" w14:textId="77777777" w:rsidR="008A1E55" w:rsidRPr="006B42D6" w:rsidRDefault="008A1E55" w:rsidP="00E16CAE">
            <w:pPr>
              <w:jc w:val="right"/>
              <w:rPr>
                <w:sz w:val="16"/>
                <w:szCs w:val="16"/>
              </w:rPr>
            </w:pPr>
            <w:r w:rsidRPr="006B42D6">
              <w:rPr>
                <w:sz w:val="16"/>
                <w:szCs w:val="16"/>
              </w:rPr>
              <w:t>6.3</w:t>
            </w:r>
          </w:p>
        </w:tc>
        <w:tc>
          <w:tcPr>
            <w:tcW w:w="268" w:type="pct"/>
            <w:tcBorders>
              <w:top w:val="nil"/>
              <w:left w:val="nil"/>
              <w:bottom w:val="nil"/>
              <w:right w:val="nil"/>
            </w:tcBorders>
            <w:shd w:val="clear" w:color="auto" w:fill="auto"/>
            <w:noWrap/>
            <w:vAlign w:val="center"/>
            <w:hideMark/>
          </w:tcPr>
          <w:p w14:paraId="269FCA8A" w14:textId="77777777" w:rsidR="008A1E55" w:rsidRPr="006B42D6" w:rsidRDefault="008A1E55" w:rsidP="00E16CAE">
            <w:pPr>
              <w:jc w:val="right"/>
              <w:rPr>
                <w:sz w:val="16"/>
                <w:szCs w:val="16"/>
              </w:rPr>
            </w:pPr>
            <w:r w:rsidRPr="006B42D6">
              <w:rPr>
                <w:sz w:val="16"/>
                <w:szCs w:val="16"/>
              </w:rPr>
              <w:t>2.9</w:t>
            </w:r>
          </w:p>
        </w:tc>
      </w:tr>
      <w:tr w:rsidR="006B42D6" w:rsidRPr="006B42D6" w14:paraId="5E4A27F6" w14:textId="77777777" w:rsidTr="005420E0">
        <w:trPr>
          <w:trHeight w:hRule="exact" w:val="227"/>
        </w:trPr>
        <w:tc>
          <w:tcPr>
            <w:tcW w:w="606" w:type="pct"/>
            <w:tcBorders>
              <w:top w:val="nil"/>
              <w:left w:val="nil"/>
              <w:bottom w:val="nil"/>
              <w:right w:val="nil"/>
            </w:tcBorders>
            <w:shd w:val="clear" w:color="auto" w:fill="auto"/>
            <w:noWrap/>
            <w:vAlign w:val="center"/>
            <w:hideMark/>
          </w:tcPr>
          <w:p w14:paraId="70FF12C4" w14:textId="77777777" w:rsidR="008A1E55" w:rsidRPr="006B42D6" w:rsidRDefault="008A1E55" w:rsidP="00E16CAE">
            <w:pPr>
              <w:rPr>
                <w:sz w:val="16"/>
                <w:szCs w:val="16"/>
              </w:rPr>
            </w:pPr>
            <w:r w:rsidRPr="006B42D6">
              <w:rPr>
                <w:sz w:val="16"/>
                <w:szCs w:val="16"/>
              </w:rPr>
              <w:t>Shinyanga</w:t>
            </w:r>
          </w:p>
        </w:tc>
        <w:tc>
          <w:tcPr>
            <w:tcW w:w="345" w:type="pct"/>
            <w:tcBorders>
              <w:top w:val="nil"/>
              <w:left w:val="nil"/>
              <w:bottom w:val="nil"/>
              <w:right w:val="nil"/>
            </w:tcBorders>
            <w:shd w:val="clear" w:color="auto" w:fill="auto"/>
            <w:noWrap/>
            <w:vAlign w:val="center"/>
            <w:hideMark/>
          </w:tcPr>
          <w:p w14:paraId="047FDC39" w14:textId="77777777" w:rsidR="008A1E55" w:rsidRPr="006B42D6" w:rsidRDefault="008A1E55" w:rsidP="00E16CAE">
            <w:pPr>
              <w:jc w:val="right"/>
              <w:rPr>
                <w:sz w:val="16"/>
                <w:szCs w:val="16"/>
              </w:rPr>
            </w:pPr>
            <w:r w:rsidRPr="006B42D6">
              <w:rPr>
                <w:sz w:val="16"/>
                <w:szCs w:val="16"/>
              </w:rPr>
              <w:t>2.0</w:t>
            </w:r>
          </w:p>
        </w:tc>
        <w:tc>
          <w:tcPr>
            <w:tcW w:w="337" w:type="pct"/>
            <w:tcBorders>
              <w:top w:val="nil"/>
              <w:left w:val="nil"/>
              <w:bottom w:val="nil"/>
              <w:right w:val="nil"/>
            </w:tcBorders>
            <w:shd w:val="clear" w:color="auto" w:fill="auto"/>
            <w:noWrap/>
            <w:vAlign w:val="center"/>
            <w:hideMark/>
          </w:tcPr>
          <w:p w14:paraId="3830234A" w14:textId="77777777" w:rsidR="008A1E55" w:rsidRPr="006B42D6" w:rsidRDefault="008A1E55" w:rsidP="00E16CAE">
            <w:pPr>
              <w:jc w:val="right"/>
              <w:rPr>
                <w:sz w:val="16"/>
                <w:szCs w:val="16"/>
              </w:rPr>
            </w:pPr>
            <w:r w:rsidRPr="006B42D6">
              <w:rPr>
                <w:sz w:val="16"/>
                <w:szCs w:val="16"/>
              </w:rPr>
              <w:t>4.8</w:t>
            </w:r>
          </w:p>
        </w:tc>
        <w:tc>
          <w:tcPr>
            <w:tcW w:w="353" w:type="pct"/>
            <w:tcBorders>
              <w:top w:val="nil"/>
              <w:left w:val="nil"/>
              <w:bottom w:val="nil"/>
              <w:right w:val="nil"/>
            </w:tcBorders>
            <w:shd w:val="clear" w:color="auto" w:fill="auto"/>
            <w:noWrap/>
            <w:vAlign w:val="center"/>
            <w:hideMark/>
          </w:tcPr>
          <w:p w14:paraId="29C6AAA5" w14:textId="77777777" w:rsidR="008A1E55" w:rsidRPr="006B42D6" w:rsidRDefault="008A1E55" w:rsidP="00E16CAE">
            <w:pPr>
              <w:jc w:val="right"/>
              <w:rPr>
                <w:sz w:val="16"/>
                <w:szCs w:val="16"/>
              </w:rPr>
            </w:pPr>
            <w:r w:rsidRPr="006B42D6">
              <w:rPr>
                <w:sz w:val="16"/>
                <w:szCs w:val="16"/>
              </w:rPr>
              <w:t>0.9</w:t>
            </w:r>
          </w:p>
        </w:tc>
        <w:tc>
          <w:tcPr>
            <w:tcW w:w="399" w:type="pct"/>
            <w:tcBorders>
              <w:top w:val="nil"/>
              <w:left w:val="nil"/>
              <w:bottom w:val="nil"/>
              <w:right w:val="nil"/>
            </w:tcBorders>
            <w:shd w:val="clear" w:color="auto" w:fill="auto"/>
            <w:noWrap/>
            <w:vAlign w:val="center"/>
            <w:hideMark/>
          </w:tcPr>
          <w:p w14:paraId="458D50D6" w14:textId="77777777" w:rsidR="008A1E55" w:rsidRPr="006B42D6" w:rsidRDefault="008A1E55" w:rsidP="00E16CAE">
            <w:pPr>
              <w:jc w:val="right"/>
              <w:rPr>
                <w:sz w:val="16"/>
                <w:szCs w:val="16"/>
              </w:rPr>
            </w:pPr>
            <w:r w:rsidRPr="006B42D6">
              <w:rPr>
                <w:sz w:val="16"/>
                <w:szCs w:val="16"/>
              </w:rPr>
              <w:t>4.6</w:t>
            </w:r>
          </w:p>
        </w:tc>
        <w:tc>
          <w:tcPr>
            <w:tcW w:w="386" w:type="pct"/>
            <w:tcBorders>
              <w:top w:val="nil"/>
              <w:left w:val="nil"/>
              <w:bottom w:val="nil"/>
              <w:right w:val="nil"/>
            </w:tcBorders>
            <w:shd w:val="clear" w:color="auto" w:fill="auto"/>
            <w:noWrap/>
            <w:vAlign w:val="center"/>
            <w:hideMark/>
          </w:tcPr>
          <w:p w14:paraId="5962F3DD" w14:textId="77777777" w:rsidR="008A1E55" w:rsidRPr="006B42D6" w:rsidRDefault="008A1E55" w:rsidP="00E16CAE">
            <w:pPr>
              <w:jc w:val="right"/>
              <w:rPr>
                <w:sz w:val="16"/>
                <w:szCs w:val="16"/>
              </w:rPr>
            </w:pPr>
            <w:r w:rsidRPr="006B42D6">
              <w:rPr>
                <w:sz w:val="16"/>
                <w:szCs w:val="16"/>
              </w:rPr>
              <w:t>1.9</w:t>
            </w:r>
          </w:p>
        </w:tc>
        <w:tc>
          <w:tcPr>
            <w:tcW w:w="452" w:type="pct"/>
            <w:tcBorders>
              <w:top w:val="nil"/>
              <w:left w:val="nil"/>
              <w:bottom w:val="nil"/>
              <w:right w:val="nil"/>
            </w:tcBorders>
            <w:shd w:val="clear" w:color="auto" w:fill="auto"/>
            <w:noWrap/>
            <w:vAlign w:val="center"/>
            <w:hideMark/>
          </w:tcPr>
          <w:p w14:paraId="4432421F" w14:textId="77777777" w:rsidR="008A1E55" w:rsidRPr="006B42D6" w:rsidRDefault="008A1E55" w:rsidP="00E16CAE">
            <w:pPr>
              <w:jc w:val="right"/>
              <w:rPr>
                <w:sz w:val="16"/>
                <w:szCs w:val="16"/>
              </w:rPr>
            </w:pPr>
            <w:r w:rsidRPr="006B42D6">
              <w:rPr>
                <w:sz w:val="16"/>
                <w:szCs w:val="16"/>
              </w:rPr>
              <w:t>3.7</w:t>
            </w:r>
          </w:p>
        </w:tc>
        <w:tc>
          <w:tcPr>
            <w:tcW w:w="353" w:type="pct"/>
            <w:tcBorders>
              <w:top w:val="nil"/>
              <w:left w:val="nil"/>
              <w:bottom w:val="nil"/>
              <w:right w:val="nil"/>
            </w:tcBorders>
            <w:shd w:val="clear" w:color="auto" w:fill="auto"/>
            <w:noWrap/>
            <w:vAlign w:val="center"/>
            <w:hideMark/>
          </w:tcPr>
          <w:p w14:paraId="571F7B1F" w14:textId="77777777" w:rsidR="008A1E55" w:rsidRPr="006B42D6" w:rsidRDefault="008A1E55" w:rsidP="00E16CAE">
            <w:pPr>
              <w:jc w:val="right"/>
              <w:rPr>
                <w:sz w:val="16"/>
                <w:szCs w:val="16"/>
              </w:rPr>
            </w:pPr>
            <w:r w:rsidRPr="006B42D6">
              <w:rPr>
                <w:sz w:val="16"/>
                <w:szCs w:val="16"/>
              </w:rPr>
              <w:t>0.1</w:t>
            </w:r>
          </w:p>
        </w:tc>
        <w:tc>
          <w:tcPr>
            <w:tcW w:w="383" w:type="pct"/>
            <w:tcBorders>
              <w:top w:val="nil"/>
              <w:left w:val="nil"/>
              <w:bottom w:val="nil"/>
              <w:right w:val="nil"/>
            </w:tcBorders>
            <w:shd w:val="clear" w:color="auto" w:fill="auto"/>
            <w:noWrap/>
            <w:vAlign w:val="center"/>
            <w:hideMark/>
          </w:tcPr>
          <w:p w14:paraId="6DC3489F" w14:textId="77777777" w:rsidR="008A1E55" w:rsidRPr="006B42D6" w:rsidRDefault="008A1E55" w:rsidP="00E16CAE">
            <w:pPr>
              <w:jc w:val="right"/>
              <w:rPr>
                <w:sz w:val="16"/>
                <w:szCs w:val="16"/>
              </w:rPr>
            </w:pPr>
            <w:r w:rsidRPr="006B42D6">
              <w:rPr>
                <w:sz w:val="16"/>
                <w:szCs w:val="16"/>
              </w:rPr>
              <w:t>0.6</w:t>
            </w:r>
          </w:p>
        </w:tc>
        <w:tc>
          <w:tcPr>
            <w:tcW w:w="268" w:type="pct"/>
            <w:tcBorders>
              <w:top w:val="nil"/>
              <w:left w:val="nil"/>
              <w:bottom w:val="nil"/>
              <w:right w:val="nil"/>
            </w:tcBorders>
            <w:shd w:val="clear" w:color="auto" w:fill="auto"/>
            <w:noWrap/>
            <w:vAlign w:val="center"/>
            <w:hideMark/>
          </w:tcPr>
          <w:p w14:paraId="77C5FF55" w14:textId="77777777" w:rsidR="008A1E55" w:rsidRPr="006B42D6" w:rsidRDefault="008A1E55" w:rsidP="00E16CAE">
            <w:pPr>
              <w:jc w:val="right"/>
              <w:rPr>
                <w:sz w:val="16"/>
                <w:szCs w:val="16"/>
              </w:rPr>
            </w:pPr>
            <w:r w:rsidRPr="006B42D6">
              <w:rPr>
                <w:sz w:val="16"/>
                <w:szCs w:val="16"/>
              </w:rPr>
              <w:t>0.5</w:t>
            </w:r>
          </w:p>
        </w:tc>
        <w:tc>
          <w:tcPr>
            <w:tcW w:w="268" w:type="pct"/>
            <w:tcBorders>
              <w:top w:val="nil"/>
              <w:left w:val="nil"/>
              <w:bottom w:val="nil"/>
              <w:right w:val="nil"/>
            </w:tcBorders>
            <w:shd w:val="clear" w:color="auto" w:fill="auto"/>
            <w:noWrap/>
            <w:vAlign w:val="center"/>
            <w:hideMark/>
          </w:tcPr>
          <w:p w14:paraId="01E15E96" w14:textId="77777777" w:rsidR="008A1E55" w:rsidRPr="006B42D6" w:rsidRDefault="008A1E55" w:rsidP="00E16CAE">
            <w:pPr>
              <w:jc w:val="right"/>
              <w:rPr>
                <w:sz w:val="16"/>
                <w:szCs w:val="16"/>
              </w:rPr>
            </w:pPr>
            <w:r w:rsidRPr="006B42D6">
              <w:rPr>
                <w:sz w:val="16"/>
                <w:szCs w:val="16"/>
              </w:rPr>
              <w:t>-</w:t>
            </w:r>
          </w:p>
        </w:tc>
        <w:tc>
          <w:tcPr>
            <w:tcW w:w="268" w:type="pct"/>
            <w:tcBorders>
              <w:top w:val="nil"/>
              <w:left w:val="nil"/>
              <w:bottom w:val="nil"/>
              <w:right w:val="nil"/>
            </w:tcBorders>
            <w:shd w:val="clear" w:color="auto" w:fill="auto"/>
            <w:noWrap/>
            <w:vAlign w:val="center"/>
            <w:hideMark/>
          </w:tcPr>
          <w:p w14:paraId="3DF659F6" w14:textId="77777777" w:rsidR="008A1E55" w:rsidRPr="006B42D6" w:rsidRDefault="008A1E55" w:rsidP="00E16CAE">
            <w:pPr>
              <w:jc w:val="right"/>
              <w:rPr>
                <w:sz w:val="16"/>
                <w:szCs w:val="16"/>
              </w:rPr>
            </w:pPr>
            <w:r w:rsidRPr="006B42D6">
              <w:rPr>
                <w:sz w:val="16"/>
                <w:szCs w:val="16"/>
              </w:rPr>
              <w:t>-</w:t>
            </w:r>
          </w:p>
        </w:tc>
        <w:tc>
          <w:tcPr>
            <w:tcW w:w="314" w:type="pct"/>
            <w:tcBorders>
              <w:top w:val="nil"/>
              <w:left w:val="nil"/>
              <w:bottom w:val="nil"/>
              <w:right w:val="nil"/>
            </w:tcBorders>
            <w:shd w:val="clear" w:color="auto" w:fill="auto"/>
            <w:noWrap/>
            <w:vAlign w:val="center"/>
            <w:hideMark/>
          </w:tcPr>
          <w:p w14:paraId="2EE6186C" w14:textId="77777777" w:rsidR="008A1E55" w:rsidRPr="006B42D6" w:rsidRDefault="008A1E55" w:rsidP="00E16CAE">
            <w:pPr>
              <w:jc w:val="right"/>
              <w:rPr>
                <w:sz w:val="16"/>
                <w:szCs w:val="16"/>
              </w:rPr>
            </w:pPr>
            <w:r w:rsidRPr="006B42D6">
              <w:rPr>
                <w:sz w:val="16"/>
                <w:szCs w:val="16"/>
              </w:rPr>
              <w:t>0.1</w:t>
            </w:r>
          </w:p>
        </w:tc>
        <w:tc>
          <w:tcPr>
            <w:tcW w:w="268" w:type="pct"/>
            <w:tcBorders>
              <w:top w:val="nil"/>
              <w:left w:val="nil"/>
              <w:bottom w:val="nil"/>
              <w:right w:val="nil"/>
            </w:tcBorders>
            <w:shd w:val="clear" w:color="auto" w:fill="auto"/>
            <w:noWrap/>
            <w:vAlign w:val="center"/>
            <w:hideMark/>
          </w:tcPr>
          <w:p w14:paraId="4C43C0D9" w14:textId="77777777" w:rsidR="008A1E55" w:rsidRPr="006B42D6" w:rsidRDefault="008A1E55" w:rsidP="00E16CAE">
            <w:pPr>
              <w:jc w:val="right"/>
              <w:rPr>
                <w:sz w:val="16"/>
                <w:szCs w:val="16"/>
              </w:rPr>
            </w:pPr>
            <w:r w:rsidRPr="006B42D6">
              <w:rPr>
                <w:sz w:val="16"/>
                <w:szCs w:val="16"/>
              </w:rPr>
              <w:t>1.4</w:t>
            </w:r>
          </w:p>
        </w:tc>
      </w:tr>
      <w:tr w:rsidR="006B42D6" w:rsidRPr="006B42D6" w14:paraId="5909C376" w14:textId="77777777" w:rsidTr="005420E0">
        <w:trPr>
          <w:trHeight w:hRule="exact" w:val="227"/>
        </w:trPr>
        <w:tc>
          <w:tcPr>
            <w:tcW w:w="606" w:type="pct"/>
            <w:tcBorders>
              <w:top w:val="nil"/>
              <w:left w:val="nil"/>
              <w:bottom w:val="nil"/>
              <w:right w:val="nil"/>
            </w:tcBorders>
            <w:shd w:val="clear" w:color="auto" w:fill="auto"/>
            <w:noWrap/>
            <w:vAlign w:val="center"/>
            <w:hideMark/>
          </w:tcPr>
          <w:p w14:paraId="5DEBEE1E" w14:textId="77777777" w:rsidR="008A1E55" w:rsidRPr="006B42D6" w:rsidRDefault="008A1E55" w:rsidP="00E16CAE">
            <w:pPr>
              <w:rPr>
                <w:sz w:val="16"/>
                <w:szCs w:val="16"/>
              </w:rPr>
            </w:pPr>
            <w:r w:rsidRPr="006B42D6">
              <w:rPr>
                <w:sz w:val="16"/>
                <w:szCs w:val="16"/>
              </w:rPr>
              <w:t>Kagera</w:t>
            </w:r>
          </w:p>
        </w:tc>
        <w:tc>
          <w:tcPr>
            <w:tcW w:w="345" w:type="pct"/>
            <w:tcBorders>
              <w:top w:val="nil"/>
              <w:left w:val="nil"/>
              <w:bottom w:val="nil"/>
              <w:right w:val="nil"/>
            </w:tcBorders>
            <w:shd w:val="clear" w:color="auto" w:fill="auto"/>
            <w:noWrap/>
            <w:vAlign w:val="center"/>
            <w:hideMark/>
          </w:tcPr>
          <w:p w14:paraId="3F1AE85D" w14:textId="77777777" w:rsidR="008A1E55" w:rsidRPr="006B42D6" w:rsidRDefault="008A1E55" w:rsidP="00E16CAE">
            <w:pPr>
              <w:jc w:val="right"/>
              <w:rPr>
                <w:sz w:val="16"/>
                <w:szCs w:val="16"/>
              </w:rPr>
            </w:pPr>
            <w:r w:rsidRPr="006B42D6">
              <w:rPr>
                <w:sz w:val="16"/>
                <w:szCs w:val="16"/>
              </w:rPr>
              <w:t>2.5</w:t>
            </w:r>
          </w:p>
        </w:tc>
        <w:tc>
          <w:tcPr>
            <w:tcW w:w="337" w:type="pct"/>
            <w:tcBorders>
              <w:top w:val="nil"/>
              <w:left w:val="nil"/>
              <w:bottom w:val="nil"/>
              <w:right w:val="nil"/>
            </w:tcBorders>
            <w:shd w:val="clear" w:color="auto" w:fill="auto"/>
            <w:noWrap/>
            <w:vAlign w:val="center"/>
            <w:hideMark/>
          </w:tcPr>
          <w:p w14:paraId="06510E1B" w14:textId="77777777" w:rsidR="008A1E55" w:rsidRPr="006B42D6" w:rsidRDefault="008A1E55" w:rsidP="00E16CAE">
            <w:pPr>
              <w:jc w:val="right"/>
              <w:rPr>
                <w:sz w:val="16"/>
                <w:szCs w:val="16"/>
              </w:rPr>
            </w:pPr>
            <w:r w:rsidRPr="006B42D6">
              <w:rPr>
                <w:sz w:val="16"/>
                <w:szCs w:val="16"/>
              </w:rPr>
              <w:t>3.6</w:t>
            </w:r>
          </w:p>
        </w:tc>
        <w:tc>
          <w:tcPr>
            <w:tcW w:w="353" w:type="pct"/>
            <w:tcBorders>
              <w:top w:val="nil"/>
              <w:left w:val="nil"/>
              <w:bottom w:val="nil"/>
              <w:right w:val="nil"/>
            </w:tcBorders>
            <w:shd w:val="clear" w:color="auto" w:fill="auto"/>
            <w:noWrap/>
            <w:vAlign w:val="center"/>
            <w:hideMark/>
          </w:tcPr>
          <w:p w14:paraId="6E96DEDF" w14:textId="77777777" w:rsidR="008A1E55" w:rsidRPr="006B42D6" w:rsidRDefault="008A1E55" w:rsidP="00E16CAE">
            <w:pPr>
              <w:jc w:val="right"/>
              <w:rPr>
                <w:sz w:val="16"/>
                <w:szCs w:val="16"/>
              </w:rPr>
            </w:pPr>
            <w:r w:rsidRPr="006B42D6">
              <w:rPr>
                <w:sz w:val="16"/>
                <w:szCs w:val="16"/>
              </w:rPr>
              <w:t>8.3</w:t>
            </w:r>
          </w:p>
        </w:tc>
        <w:tc>
          <w:tcPr>
            <w:tcW w:w="399" w:type="pct"/>
            <w:tcBorders>
              <w:top w:val="nil"/>
              <w:left w:val="nil"/>
              <w:bottom w:val="nil"/>
              <w:right w:val="nil"/>
            </w:tcBorders>
            <w:shd w:val="clear" w:color="auto" w:fill="auto"/>
            <w:noWrap/>
            <w:vAlign w:val="center"/>
            <w:hideMark/>
          </w:tcPr>
          <w:p w14:paraId="2CF112A4" w14:textId="77777777" w:rsidR="008A1E55" w:rsidRPr="006B42D6" w:rsidRDefault="008A1E55" w:rsidP="00E16CAE">
            <w:pPr>
              <w:jc w:val="right"/>
              <w:rPr>
                <w:sz w:val="16"/>
                <w:szCs w:val="16"/>
              </w:rPr>
            </w:pPr>
            <w:r w:rsidRPr="006B42D6">
              <w:rPr>
                <w:sz w:val="16"/>
                <w:szCs w:val="16"/>
              </w:rPr>
              <w:t>4.0</w:t>
            </w:r>
          </w:p>
        </w:tc>
        <w:tc>
          <w:tcPr>
            <w:tcW w:w="386" w:type="pct"/>
            <w:tcBorders>
              <w:top w:val="nil"/>
              <w:left w:val="nil"/>
              <w:bottom w:val="nil"/>
              <w:right w:val="nil"/>
            </w:tcBorders>
            <w:shd w:val="clear" w:color="auto" w:fill="auto"/>
            <w:noWrap/>
            <w:vAlign w:val="center"/>
            <w:hideMark/>
          </w:tcPr>
          <w:p w14:paraId="3764DA59" w14:textId="77777777" w:rsidR="008A1E55" w:rsidRPr="006B42D6" w:rsidRDefault="008A1E55" w:rsidP="00E16CAE">
            <w:pPr>
              <w:jc w:val="right"/>
              <w:rPr>
                <w:sz w:val="16"/>
                <w:szCs w:val="16"/>
              </w:rPr>
            </w:pPr>
            <w:r w:rsidRPr="006B42D6">
              <w:rPr>
                <w:sz w:val="16"/>
                <w:szCs w:val="16"/>
              </w:rPr>
              <w:t>11.7</w:t>
            </w:r>
          </w:p>
        </w:tc>
        <w:tc>
          <w:tcPr>
            <w:tcW w:w="452" w:type="pct"/>
            <w:tcBorders>
              <w:top w:val="nil"/>
              <w:left w:val="nil"/>
              <w:bottom w:val="nil"/>
              <w:right w:val="nil"/>
            </w:tcBorders>
            <w:shd w:val="clear" w:color="auto" w:fill="auto"/>
            <w:noWrap/>
            <w:vAlign w:val="center"/>
            <w:hideMark/>
          </w:tcPr>
          <w:p w14:paraId="331947B9" w14:textId="77777777" w:rsidR="008A1E55" w:rsidRPr="006B42D6" w:rsidRDefault="008A1E55" w:rsidP="00E16CAE">
            <w:pPr>
              <w:jc w:val="right"/>
              <w:rPr>
                <w:sz w:val="16"/>
                <w:szCs w:val="16"/>
              </w:rPr>
            </w:pPr>
            <w:r w:rsidRPr="006B42D6">
              <w:rPr>
                <w:sz w:val="16"/>
                <w:szCs w:val="16"/>
              </w:rPr>
              <w:t>12.0</w:t>
            </w:r>
          </w:p>
        </w:tc>
        <w:tc>
          <w:tcPr>
            <w:tcW w:w="353" w:type="pct"/>
            <w:tcBorders>
              <w:top w:val="nil"/>
              <w:left w:val="nil"/>
              <w:bottom w:val="nil"/>
              <w:right w:val="nil"/>
            </w:tcBorders>
            <w:shd w:val="clear" w:color="auto" w:fill="auto"/>
            <w:noWrap/>
            <w:vAlign w:val="center"/>
            <w:hideMark/>
          </w:tcPr>
          <w:p w14:paraId="6BE1514E" w14:textId="77777777" w:rsidR="008A1E55" w:rsidRPr="006B42D6" w:rsidRDefault="008A1E55" w:rsidP="00E16CAE">
            <w:pPr>
              <w:jc w:val="right"/>
              <w:rPr>
                <w:sz w:val="16"/>
                <w:szCs w:val="16"/>
              </w:rPr>
            </w:pPr>
            <w:r w:rsidRPr="006B42D6">
              <w:rPr>
                <w:sz w:val="16"/>
                <w:szCs w:val="16"/>
              </w:rPr>
              <w:t>5.6</w:t>
            </w:r>
          </w:p>
        </w:tc>
        <w:tc>
          <w:tcPr>
            <w:tcW w:w="383" w:type="pct"/>
            <w:tcBorders>
              <w:top w:val="nil"/>
              <w:left w:val="nil"/>
              <w:bottom w:val="nil"/>
              <w:right w:val="nil"/>
            </w:tcBorders>
            <w:shd w:val="clear" w:color="auto" w:fill="auto"/>
            <w:noWrap/>
            <w:vAlign w:val="center"/>
            <w:hideMark/>
          </w:tcPr>
          <w:p w14:paraId="3DF91A04" w14:textId="77777777" w:rsidR="008A1E55" w:rsidRPr="006B42D6" w:rsidRDefault="008A1E55" w:rsidP="00E16CAE">
            <w:pPr>
              <w:jc w:val="right"/>
              <w:rPr>
                <w:sz w:val="16"/>
                <w:szCs w:val="16"/>
              </w:rPr>
            </w:pPr>
            <w:r w:rsidRPr="006B42D6">
              <w:rPr>
                <w:sz w:val="16"/>
                <w:szCs w:val="16"/>
              </w:rPr>
              <w:t>2.0</w:t>
            </w:r>
          </w:p>
        </w:tc>
        <w:tc>
          <w:tcPr>
            <w:tcW w:w="268" w:type="pct"/>
            <w:tcBorders>
              <w:top w:val="nil"/>
              <w:left w:val="nil"/>
              <w:bottom w:val="nil"/>
              <w:right w:val="nil"/>
            </w:tcBorders>
            <w:shd w:val="clear" w:color="auto" w:fill="auto"/>
            <w:noWrap/>
            <w:vAlign w:val="center"/>
            <w:hideMark/>
          </w:tcPr>
          <w:p w14:paraId="1867EEE3" w14:textId="77777777" w:rsidR="008A1E55" w:rsidRPr="006B42D6" w:rsidRDefault="008A1E55" w:rsidP="00E16CAE">
            <w:pPr>
              <w:jc w:val="right"/>
              <w:rPr>
                <w:sz w:val="16"/>
                <w:szCs w:val="16"/>
              </w:rPr>
            </w:pPr>
            <w:r w:rsidRPr="006B42D6">
              <w:rPr>
                <w:sz w:val="16"/>
                <w:szCs w:val="16"/>
              </w:rPr>
              <w:t>1.0</w:t>
            </w:r>
          </w:p>
        </w:tc>
        <w:tc>
          <w:tcPr>
            <w:tcW w:w="268" w:type="pct"/>
            <w:tcBorders>
              <w:top w:val="nil"/>
              <w:left w:val="nil"/>
              <w:bottom w:val="nil"/>
              <w:right w:val="nil"/>
            </w:tcBorders>
            <w:shd w:val="clear" w:color="auto" w:fill="auto"/>
            <w:noWrap/>
            <w:vAlign w:val="center"/>
            <w:hideMark/>
          </w:tcPr>
          <w:p w14:paraId="66442F5D" w14:textId="77777777" w:rsidR="008A1E55" w:rsidRPr="006B42D6" w:rsidRDefault="008A1E55" w:rsidP="00E16CAE">
            <w:pPr>
              <w:jc w:val="right"/>
              <w:rPr>
                <w:sz w:val="16"/>
                <w:szCs w:val="16"/>
              </w:rPr>
            </w:pPr>
            <w:r w:rsidRPr="006B42D6">
              <w:rPr>
                <w:sz w:val="16"/>
                <w:szCs w:val="16"/>
              </w:rPr>
              <w:t>-</w:t>
            </w:r>
          </w:p>
        </w:tc>
        <w:tc>
          <w:tcPr>
            <w:tcW w:w="268" w:type="pct"/>
            <w:tcBorders>
              <w:top w:val="nil"/>
              <w:left w:val="nil"/>
              <w:bottom w:val="nil"/>
              <w:right w:val="nil"/>
            </w:tcBorders>
            <w:shd w:val="clear" w:color="auto" w:fill="auto"/>
            <w:noWrap/>
            <w:vAlign w:val="center"/>
            <w:hideMark/>
          </w:tcPr>
          <w:p w14:paraId="60D9E5C4" w14:textId="77777777" w:rsidR="008A1E55" w:rsidRPr="006B42D6" w:rsidRDefault="008A1E55" w:rsidP="00E16CAE">
            <w:pPr>
              <w:jc w:val="right"/>
              <w:rPr>
                <w:sz w:val="16"/>
                <w:szCs w:val="16"/>
              </w:rPr>
            </w:pPr>
            <w:r w:rsidRPr="006B42D6">
              <w:rPr>
                <w:sz w:val="16"/>
                <w:szCs w:val="16"/>
              </w:rPr>
              <w:t>4.3</w:t>
            </w:r>
          </w:p>
        </w:tc>
        <w:tc>
          <w:tcPr>
            <w:tcW w:w="314" w:type="pct"/>
            <w:tcBorders>
              <w:top w:val="nil"/>
              <w:left w:val="nil"/>
              <w:bottom w:val="nil"/>
              <w:right w:val="nil"/>
            </w:tcBorders>
            <w:shd w:val="clear" w:color="auto" w:fill="auto"/>
            <w:noWrap/>
            <w:vAlign w:val="center"/>
            <w:hideMark/>
          </w:tcPr>
          <w:p w14:paraId="22506805" w14:textId="77777777" w:rsidR="008A1E55" w:rsidRPr="006B42D6" w:rsidRDefault="008A1E55" w:rsidP="00E16CAE">
            <w:pPr>
              <w:jc w:val="right"/>
              <w:rPr>
                <w:sz w:val="16"/>
                <w:szCs w:val="16"/>
              </w:rPr>
            </w:pPr>
            <w:r w:rsidRPr="006B42D6">
              <w:rPr>
                <w:sz w:val="16"/>
                <w:szCs w:val="16"/>
              </w:rPr>
              <w:t>10.5</w:t>
            </w:r>
          </w:p>
        </w:tc>
        <w:tc>
          <w:tcPr>
            <w:tcW w:w="268" w:type="pct"/>
            <w:tcBorders>
              <w:top w:val="nil"/>
              <w:left w:val="nil"/>
              <w:bottom w:val="nil"/>
              <w:right w:val="nil"/>
            </w:tcBorders>
            <w:shd w:val="clear" w:color="auto" w:fill="auto"/>
            <w:noWrap/>
            <w:vAlign w:val="center"/>
            <w:hideMark/>
          </w:tcPr>
          <w:p w14:paraId="01B35D2A" w14:textId="77777777" w:rsidR="008A1E55" w:rsidRPr="006B42D6" w:rsidRDefault="008A1E55" w:rsidP="00E16CAE">
            <w:pPr>
              <w:jc w:val="right"/>
              <w:rPr>
                <w:sz w:val="16"/>
                <w:szCs w:val="16"/>
              </w:rPr>
            </w:pPr>
            <w:r w:rsidRPr="006B42D6">
              <w:rPr>
                <w:sz w:val="16"/>
                <w:szCs w:val="16"/>
              </w:rPr>
              <w:t>16.6</w:t>
            </w:r>
          </w:p>
        </w:tc>
      </w:tr>
      <w:tr w:rsidR="006B42D6" w:rsidRPr="006B42D6" w14:paraId="4B382B7D" w14:textId="77777777" w:rsidTr="005420E0">
        <w:trPr>
          <w:trHeight w:hRule="exact" w:val="227"/>
        </w:trPr>
        <w:tc>
          <w:tcPr>
            <w:tcW w:w="606" w:type="pct"/>
            <w:tcBorders>
              <w:top w:val="nil"/>
              <w:left w:val="nil"/>
              <w:bottom w:val="nil"/>
              <w:right w:val="nil"/>
            </w:tcBorders>
            <w:shd w:val="clear" w:color="auto" w:fill="auto"/>
            <w:noWrap/>
            <w:vAlign w:val="center"/>
            <w:hideMark/>
          </w:tcPr>
          <w:p w14:paraId="669C7057" w14:textId="77777777" w:rsidR="008A1E55" w:rsidRPr="006B42D6" w:rsidRDefault="008A1E55" w:rsidP="00E16CAE">
            <w:pPr>
              <w:rPr>
                <w:sz w:val="16"/>
                <w:szCs w:val="16"/>
              </w:rPr>
            </w:pPr>
            <w:r w:rsidRPr="006B42D6">
              <w:rPr>
                <w:sz w:val="16"/>
                <w:szCs w:val="16"/>
              </w:rPr>
              <w:t>Mwanza</w:t>
            </w:r>
          </w:p>
        </w:tc>
        <w:tc>
          <w:tcPr>
            <w:tcW w:w="345" w:type="pct"/>
            <w:tcBorders>
              <w:top w:val="nil"/>
              <w:left w:val="nil"/>
              <w:bottom w:val="nil"/>
              <w:right w:val="nil"/>
            </w:tcBorders>
            <w:shd w:val="clear" w:color="auto" w:fill="auto"/>
            <w:noWrap/>
            <w:vAlign w:val="center"/>
            <w:hideMark/>
          </w:tcPr>
          <w:p w14:paraId="1A8EAEB9" w14:textId="77777777" w:rsidR="008A1E55" w:rsidRPr="006B42D6" w:rsidRDefault="008A1E55" w:rsidP="00E16CAE">
            <w:pPr>
              <w:jc w:val="right"/>
              <w:rPr>
                <w:sz w:val="16"/>
                <w:szCs w:val="16"/>
              </w:rPr>
            </w:pPr>
            <w:r w:rsidRPr="006B42D6">
              <w:rPr>
                <w:sz w:val="16"/>
                <w:szCs w:val="16"/>
              </w:rPr>
              <w:t>3.4</w:t>
            </w:r>
          </w:p>
        </w:tc>
        <w:tc>
          <w:tcPr>
            <w:tcW w:w="337" w:type="pct"/>
            <w:tcBorders>
              <w:top w:val="nil"/>
              <w:left w:val="nil"/>
              <w:bottom w:val="nil"/>
              <w:right w:val="nil"/>
            </w:tcBorders>
            <w:shd w:val="clear" w:color="auto" w:fill="auto"/>
            <w:noWrap/>
            <w:vAlign w:val="center"/>
            <w:hideMark/>
          </w:tcPr>
          <w:p w14:paraId="6ED19F02" w14:textId="77777777" w:rsidR="008A1E55" w:rsidRPr="006B42D6" w:rsidRDefault="008A1E55" w:rsidP="00E16CAE">
            <w:pPr>
              <w:jc w:val="right"/>
              <w:rPr>
                <w:sz w:val="16"/>
                <w:szCs w:val="16"/>
              </w:rPr>
            </w:pPr>
            <w:r w:rsidRPr="006B42D6">
              <w:rPr>
                <w:sz w:val="16"/>
                <w:szCs w:val="16"/>
              </w:rPr>
              <w:t>7.4</w:t>
            </w:r>
          </w:p>
        </w:tc>
        <w:tc>
          <w:tcPr>
            <w:tcW w:w="353" w:type="pct"/>
            <w:tcBorders>
              <w:top w:val="nil"/>
              <w:left w:val="nil"/>
              <w:bottom w:val="nil"/>
              <w:right w:val="nil"/>
            </w:tcBorders>
            <w:shd w:val="clear" w:color="auto" w:fill="auto"/>
            <w:noWrap/>
            <w:vAlign w:val="center"/>
            <w:hideMark/>
          </w:tcPr>
          <w:p w14:paraId="7ACE0B94" w14:textId="77777777" w:rsidR="008A1E55" w:rsidRPr="006B42D6" w:rsidRDefault="008A1E55" w:rsidP="00E16CAE">
            <w:pPr>
              <w:jc w:val="right"/>
              <w:rPr>
                <w:sz w:val="16"/>
                <w:szCs w:val="16"/>
              </w:rPr>
            </w:pPr>
            <w:r w:rsidRPr="006B42D6">
              <w:rPr>
                <w:sz w:val="16"/>
                <w:szCs w:val="16"/>
              </w:rPr>
              <w:t>8.4</w:t>
            </w:r>
          </w:p>
        </w:tc>
        <w:tc>
          <w:tcPr>
            <w:tcW w:w="399" w:type="pct"/>
            <w:tcBorders>
              <w:top w:val="nil"/>
              <w:left w:val="nil"/>
              <w:bottom w:val="nil"/>
              <w:right w:val="nil"/>
            </w:tcBorders>
            <w:shd w:val="clear" w:color="auto" w:fill="auto"/>
            <w:noWrap/>
            <w:vAlign w:val="center"/>
            <w:hideMark/>
          </w:tcPr>
          <w:p w14:paraId="4D9F36B5" w14:textId="77777777" w:rsidR="008A1E55" w:rsidRPr="006B42D6" w:rsidRDefault="008A1E55" w:rsidP="00E16CAE">
            <w:pPr>
              <w:jc w:val="right"/>
              <w:rPr>
                <w:sz w:val="16"/>
                <w:szCs w:val="16"/>
              </w:rPr>
            </w:pPr>
            <w:r w:rsidRPr="006B42D6">
              <w:rPr>
                <w:sz w:val="16"/>
                <w:szCs w:val="16"/>
              </w:rPr>
              <w:t>10.2</w:t>
            </w:r>
          </w:p>
        </w:tc>
        <w:tc>
          <w:tcPr>
            <w:tcW w:w="386" w:type="pct"/>
            <w:tcBorders>
              <w:top w:val="nil"/>
              <w:left w:val="nil"/>
              <w:bottom w:val="nil"/>
              <w:right w:val="nil"/>
            </w:tcBorders>
            <w:shd w:val="clear" w:color="auto" w:fill="auto"/>
            <w:noWrap/>
            <w:vAlign w:val="center"/>
            <w:hideMark/>
          </w:tcPr>
          <w:p w14:paraId="7002A707" w14:textId="77777777" w:rsidR="008A1E55" w:rsidRPr="006B42D6" w:rsidRDefault="008A1E55" w:rsidP="00E16CAE">
            <w:pPr>
              <w:jc w:val="right"/>
              <w:rPr>
                <w:sz w:val="16"/>
                <w:szCs w:val="16"/>
              </w:rPr>
            </w:pPr>
            <w:r w:rsidRPr="006B42D6">
              <w:rPr>
                <w:sz w:val="16"/>
                <w:szCs w:val="16"/>
              </w:rPr>
              <w:t>7.9</w:t>
            </w:r>
          </w:p>
        </w:tc>
        <w:tc>
          <w:tcPr>
            <w:tcW w:w="452" w:type="pct"/>
            <w:tcBorders>
              <w:top w:val="nil"/>
              <w:left w:val="nil"/>
              <w:bottom w:val="nil"/>
              <w:right w:val="nil"/>
            </w:tcBorders>
            <w:shd w:val="clear" w:color="auto" w:fill="auto"/>
            <w:noWrap/>
            <w:vAlign w:val="center"/>
            <w:hideMark/>
          </w:tcPr>
          <w:p w14:paraId="30CE9940" w14:textId="77777777" w:rsidR="008A1E55" w:rsidRPr="006B42D6" w:rsidRDefault="008A1E55" w:rsidP="00E16CAE">
            <w:pPr>
              <w:jc w:val="right"/>
              <w:rPr>
                <w:sz w:val="16"/>
                <w:szCs w:val="16"/>
              </w:rPr>
            </w:pPr>
            <w:r w:rsidRPr="006B42D6">
              <w:rPr>
                <w:sz w:val="16"/>
                <w:szCs w:val="16"/>
              </w:rPr>
              <w:t>1.2</w:t>
            </w:r>
          </w:p>
        </w:tc>
        <w:tc>
          <w:tcPr>
            <w:tcW w:w="353" w:type="pct"/>
            <w:tcBorders>
              <w:top w:val="nil"/>
              <w:left w:val="nil"/>
              <w:bottom w:val="nil"/>
              <w:right w:val="nil"/>
            </w:tcBorders>
            <w:shd w:val="clear" w:color="auto" w:fill="auto"/>
            <w:noWrap/>
            <w:vAlign w:val="center"/>
            <w:hideMark/>
          </w:tcPr>
          <w:p w14:paraId="00DA00B3" w14:textId="77777777" w:rsidR="008A1E55" w:rsidRPr="006B42D6" w:rsidRDefault="008A1E55" w:rsidP="00E16CAE">
            <w:pPr>
              <w:jc w:val="right"/>
              <w:rPr>
                <w:sz w:val="16"/>
                <w:szCs w:val="16"/>
              </w:rPr>
            </w:pPr>
            <w:r w:rsidRPr="006B42D6">
              <w:rPr>
                <w:sz w:val="16"/>
                <w:szCs w:val="16"/>
              </w:rPr>
              <w:t>2.2</w:t>
            </w:r>
          </w:p>
        </w:tc>
        <w:tc>
          <w:tcPr>
            <w:tcW w:w="383" w:type="pct"/>
            <w:tcBorders>
              <w:top w:val="nil"/>
              <w:left w:val="nil"/>
              <w:bottom w:val="nil"/>
              <w:right w:val="nil"/>
            </w:tcBorders>
            <w:shd w:val="clear" w:color="auto" w:fill="auto"/>
            <w:noWrap/>
            <w:vAlign w:val="center"/>
            <w:hideMark/>
          </w:tcPr>
          <w:p w14:paraId="46597B57" w14:textId="77777777" w:rsidR="008A1E55" w:rsidRPr="006B42D6" w:rsidRDefault="008A1E55" w:rsidP="00E16CAE">
            <w:pPr>
              <w:jc w:val="right"/>
              <w:rPr>
                <w:sz w:val="16"/>
                <w:szCs w:val="16"/>
              </w:rPr>
            </w:pPr>
            <w:r w:rsidRPr="006B42D6">
              <w:rPr>
                <w:sz w:val="16"/>
                <w:szCs w:val="16"/>
              </w:rPr>
              <w:t>3.2</w:t>
            </w:r>
          </w:p>
        </w:tc>
        <w:tc>
          <w:tcPr>
            <w:tcW w:w="268" w:type="pct"/>
            <w:tcBorders>
              <w:top w:val="nil"/>
              <w:left w:val="nil"/>
              <w:bottom w:val="nil"/>
              <w:right w:val="nil"/>
            </w:tcBorders>
            <w:shd w:val="clear" w:color="auto" w:fill="auto"/>
            <w:noWrap/>
            <w:vAlign w:val="center"/>
            <w:hideMark/>
          </w:tcPr>
          <w:p w14:paraId="71DD87CE" w14:textId="77777777" w:rsidR="008A1E55" w:rsidRPr="006B42D6" w:rsidRDefault="008A1E55" w:rsidP="00E16CAE">
            <w:pPr>
              <w:jc w:val="right"/>
              <w:rPr>
                <w:sz w:val="16"/>
                <w:szCs w:val="16"/>
              </w:rPr>
            </w:pPr>
            <w:r w:rsidRPr="006B42D6">
              <w:rPr>
                <w:sz w:val="16"/>
                <w:szCs w:val="16"/>
              </w:rPr>
              <w:t>2.5</w:t>
            </w:r>
          </w:p>
        </w:tc>
        <w:tc>
          <w:tcPr>
            <w:tcW w:w="268" w:type="pct"/>
            <w:tcBorders>
              <w:top w:val="nil"/>
              <w:left w:val="nil"/>
              <w:bottom w:val="nil"/>
              <w:right w:val="nil"/>
            </w:tcBorders>
            <w:shd w:val="clear" w:color="auto" w:fill="auto"/>
            <w:noWrap/>
            <w:vAlign w:val="center"/>
            <w:hideMark/>
          </w:tcPr>
          <w:p w14:paraId="5AAFCEEA" w14:textId="77777777" w:rsidR="008A1E55" w:rsidRPr="006B42D6" w:rsidRDefault="008A1E55" w:rsidP="00E16CAE">
            <w:pPr>
              <w:jc w:val="right"/>
              <w:rPr>
                <w:sz w:val="16"/>
                <w:szCs w:val="16"/>
              </w:rPr>
            </w:pPr>
            <w:r w:rsidRPr="006B42D6">
              <w:rPr>
                <w:sz w:val="16"/>
                <w:szCs w:val="16"/>
              </w:rPr>
              <w:t>4.4</w:t>
            </w:r>
          </w:p>
        </w:tc>
        <w:tc>
          <w:tcPr>
            <w:tcW w:w="268" w:type="pct"/>
            <w:tcBorders>
              <w:top w:val="nil"/>
              <w:left w:val="nil"/>
              <w:bottom w:val="nil"/>
              <w:right w:val="nil"/>
            </w:tcBorders>
            <w:shd w:val="clear" w:color="auto" w:fill="auto"/>
            <w:noWrap/>
            <w:vAlign w:val="center"/>
            <w:hideMark/>
          </w:tcPr>
          <w:p w14:paraId="25A1C233" w14:textId="77777777" w:rsidR="008A1E55" w:rsidRPr="006B42D6" w:rsidRDefault="008A1E55" w:rsidP="00E16CAE">
            <w:pPr>
              <w:jc w:val="right"/>
              <w:rPr>
                <w:sz w:val="16"/>
                <w:szCs w:val="16"/>
              </w:rPr>
            </w:pPr>
            <w:r w:rsidRPr="006B42D6">
              <w:rPr>
                <w:sz w:val="16"/>
                <w:szCs w:val="16"/>
              </w:rPr>
              <w:t>-</w:t>
            </w:r>
          </w:p>
        </w:tc>
        <w:tc>
          <w:tcPr>
            <w:tcW w:w="314" w:type="pct"/>
            <w:tcBorders>
              <w:top w:val="nil"/>
              <w:left w:val="nil"/>
              <w:bottom w:val="nil"/>
              <w:right w:val="nil"/>
            </w:tcBorders>
            <w:shd w:val="clear" w:color="auto" w:fill="auto"/>
            <w:noWrap/>
            <w:vAlign w:val="center"/>
            <w:hideMark/>
          </w:tcPr>
          <w:p w14:paraId="49A3D42D" w14:textId="77777777" w:rsidR="008A1E55" w:rsidRPr="006B42D6" w:rsidRDefault="008A1E55" w:rsidP="00E16CAE">
            <w:pPr>
              <w:jc w:val="right"/>
              <w:rPr>
                <w:sz w:val="16"/>
                <w:szCs w:val="16"/>
              </w:rPr>
            </w:pPr>
            <w:r w:rsidRPr="006B42D6">
              <w:rPr>
                <w:sz w:val="16"/>
                <w:szCs w:val="16"/>
              </w:rPr>
              <w:t>9.2</w:t>
            </w:r>
          </w:p>
        </w:tc>
        <w:tc>
          <w:tcPr>
            <w:tcW w:w="268" w:type="pct"/>
            <w:tcBorders>
              <w:top w:val="nil"/>
              <w:left w:val="nil"/>
              <w:bottom w:val="nil"/>
              <w:right w:val="nil"/>
            </w:tcBorders>
            <w:shd w:val="clear" w:color="auto" w:fill="auto"/>
            <w:noWrap/>
            <w:vAlign w:val="center"/>
            <w:hideMark/>
          </w:tcPr>
          <w:p w14:paraId="2D0F9E49" w14:textId="77777777" w:rsidR="008A1E55" w:rsidRPr="006B42D6" w:rsidRDefault="008A1E55" w:rsidP="00E16CAE">
            <w:pPr>
              <w:jc w:val="right"/>
              <w:rPr>
                <w:sz w:val="16"/>
                <w:szCs w:val="16"/>
              </w:rPr>
            </w:pPr>
            <w:r w:rsidRPr="006B42D6">
              <w:rPr>
                <w:sz w:val="16"/>
                <w:szCs w:val="16"/>
              </w:rPr>
              <w:t>8.2</w:t>
            </w:r>
          </w:p>
        </w:tc>
      </w:tr>
      <w:tr w:rsidR="006B42D6" w:rsidRPr="006B42D6" w14:paraId="6626AF1A" w14:textId="77777777" w:rsidTr="005420E0">
        <w:trPr>
          <w:trHeight w:hRule="exact" w:val="227"/>
        </w:trPr>
        <w:tc>
          <w:tcPr>
            <w:tcW w:w="606" w:type="pct"/>
            <w:tcBorders>
              <w:top w:val="nil"/>
              <w:left w:val="nil"/>
              <w:bottom w:val="nil"/>
              <w:right w:val="nil"/>
            </w:tcBorders>
            <w:shd w:val="clear" w:color="auto" w:fill="auto"/>
            <w:noWrap/>
            <w:vAlign w:val="center"/>
            <w:hideMark/>
          </w:tcPr>
          <w:p w14:paraId="44E93380" w14:textId="77777777" w:rsidR="008A1E55" w:rsidRPr="006B42D6" w:rsidRDefault="008A1E55" w:rsidP="00E16CAE">
            <w:pPr>
              <w:rPr>
                <w:sz w:val="16"/>
                <w:szCs w:val="16"/>
              </w:rPr>
            </w:pPr>
            <w:r w:rsidRPr="006B42D6">
              <w:rPr>
                <w:sz w:val="16"/>
                <w:szCs w:val="16"/>
              </w:rPr>
              <w:t>Mara</w:t>
            </w:r>
          </w:p>
        </w:tc>
        <w:tc>
          <w:tcPr>
            <w:tcW w:w="345" w:type="pct"/>
            <w:tcBorders>
              <w:top w:val="nil"/>
              <w:left w:val="nil"/>
              <w:bottom w:val="nil"/>
              <w:right w:val="nil"/>
            </w:tcBorders>
            <w:shd w:val="clear" w:color="auto" w:fill="auto"/>
            <w:noWrap/>
            <w:vAlign w:val="center"/>
            <w:hideMark/>
          </w:tcPr>
          <w:p w14:paraId="41698E37" w14:textId="77777777" w:rsidR="008A1E55" w:rsidRPr="006B42D6" w:rsidRDefault="008A1E55" w:rsidP="00E16CAE">
            <w:pPr>
              <w:jc w:val="right"/>
              <w:rPr>
                <w:sz w:val="16"/>
                <w:szCs w:val="16"/>
              </w:rPr>
            </w:pPr>
            <w:r w:rsidRPr="006B42D6">
              <w:rPr>
                <w:sz w:val="16"/>
                <w:szCs w:val="16"/>
              </w:rPr>
              <w:t>1.3</w:t>
            </w:r>
          </w:p>
        </w:tc>
        <w:tc>
          <w:tcPr>
            <w:tcW w:w="337" w:type="pct"/>
            <w:tcBorders>
              <w:top w:val="nil"/>
              <w:left w:val="nil"/>
              <w:bottom w:val="nil"/>
              <w:right w:val="nil"/>
            </w:tcBorders>
            <w:shd w:val="clear" w:color="auto" w:fill="auto"/>
            <w:noWrap/>
            <w:vAlign w:val="center"/>
            <w:hideMark/>
          </w:tcPr>
          <w:p w14:paraId="0981B039" w14:textId="77777777" w:rsidR="008A1E55" w:rsidRPr="006B42D6" w:rsidRDefault="008A1E55" w:rsidP="00E16CAE">
            <w:pPr>
              <w:jc w:val="right"/>
              <w:rPr>
                <w:sz w:val="16"/>
                <w:szCs w:val="16"/>
              </w:rPr>
            </w:pPr>
            <w:r w:rsidRPr="006B42D6">
              <w:rPr>
                <w:sz w:val="16"/>
                <w:szCs w:val="16"/>
              </w:rPr>
              <w:t>2.1</w:t>
            </w:r>
          </w:p>
        </w:tc>
        <w:tc>
          <w:tcPr>
            <w:tcW w:w="353" w:type="pct"/>
            <w:tcBorders>
              <w:top w:val="nil"/>
              <w:left w:val="nil"/>
              <w:bottom w:val="nil"/>
              <w:right w:val="nil"/>
            </w:tcBorders>
            <w:shd w:val="clear" w:color="auto" w:fill="auto"/>
            <w:noWrap/>
            <w:vAlign w:val="center"/>
            <w:hideMark/>
          </w:tcPr>
          <w:p w14:paraId="4F521ED2" w14:textId="77777777" w:rsidR="008A1E55" w:rsidRPr="006B42D6" w:rsidRDefault="008A1E55" w:rsidP="00E16CAE">
            <w:pPr>
              <w:jc w:val="right"/>
              <w:rPr>
                <w:sz w:val="16"/>
                <w:szCs w:val="16"/>
              </w:rPr>
            </w:pPr>
            <w:r w:rsidRPr="006B42D6">
              <w:rPr>
                <w:sz w:val="16"/>
                <w:szCs w:val="16"/>
              </w:rPr>
              <w:t>4.0</w:t>
            </w:r>
          </w:p>
        </w:tc>
        <w:tc>
          <w:tcPr>
            <w:tcW w:w="399" w:type="pct"/>
            <w:tcBorders>
              <w:top w:val="nil"/>
              <w:left w:val="nil"/>
              <w:bottom w:val="nil"/>
              <w:right w:val="nil"/>
            </w:tcBorders>
            <w:shd w:val="clear" w:color="auto" w:fill="auto"/>
            <w:noWrap/>
            <w:vAlign w:val="center"/>
            <w:hideMark/>
          </w:tcPr>
          <w:p w14:paraId="1C754D43" w14:textId="77777777" w:rsidR="008A1E55" w:rsidRPr="006B42D6" w:rsidRDefault="008A1E55" w:rsidP="00E16CAE">
            <w:pPr>
              <w:jc w:val="right"/>
              <w:rPr>
                <w:sz w:val="16"/>
                <w:szCs w:val="16"/>
              </w:rPr>
            </w:pPr>
            <w:r w:rsidRPr="006B42D6">
              <w:rPr>
                <w:sz w:val="16"/>
                <w:szCs w:val="16"/>
              </w:rPr>
              <w:t>5.2</w:t>
            </w:r>
          </w:p>
        </w:tc>
        <w:tc>
          <w:tcPr>
            <w:tcW w:w="386" w:type="pct"/>
            <w:tcBorders>
              <w:top w:val="nil"/>
              <w:left w:val="nil"/>
              <w:bottom w:val="nil"/>
              <w:right w:val="nil"/>
            </w:tcBorders>
            <w:shd w:val="clear" w:color="auto" w:fill="auto"/>
            <w:noWrap/>
            <w:vAlign w:val="center"/>
            <w:hideMark/>
          </w:tcPr>
          <w:p w14:paraId="5B21B730" w14:textId="77777777" w:rsidR="008A1E55" w:rsidRPr="006B42D6" w:rsidRDefault="008A1E55" w:rsidP="00E16CAE">
            <w:pPr>
              <w:jc w:val="right"/>
              <w:rPr>
                <w:sz w:val="16"/>
                <w:szCs w:val="16"/>
              </w:rPr>
            </w:pPr>
            <w:r w:rsidRPr="006B42D6">
              <w:rPr>
                <w:sz w:val="16"/>
                <w:szCs w:val="16"/>
              </w:rPr>
              <w:t>4.6</w:t>
            </w:r>
          </w:p>
        </w:tc>
        <w:tc>
          <w:tcPr>
            <w:tcW w:w="452" w:type="pct"/>
            <w:tcBorders>
              <w:top w:val="nil"/>
              <w:left w:val="nil"/>
              <w:bottom w:val="nil"/>
              <w:right w:val="nil"/>
            </w:tcBorders>
            <w:shd w:val="clear" w:color="auto" w:fill="auto"/>
            <w:noWrap/>
            <w:vAlign w:val="center"/>
            <w:hideMark/>
          </w:tcPr>
          <w:p w14:paraId="377DA0F4" w14:textId="77777777" w:rsidR="008A1E55" w:rsidRPr="006B42D6" w:rsidRDefault="008A1E55" w:rsidP="00E16CAE">
            <w:pPr>
              <w:jc w:val="right"/>
              <w:rPr>
                <w:sz w:val="16"/>
                <w:szCs w:val="16"/>
              </w:rPr>
            </w:pPr>
            <w:r w:rsidRPr="006B42D6">
              <w:rPr>
                <w:sz w:val="16"/>
                <w:szCs w:val="16"/>
              </w:rPr>
              <w:t>3.6</w:t>
            </w:r>
          </w:p>
        </w:tc>
        <w:tc>
          <w:tcPr>
            <w:tcW w:w="353" w:type="pct"/>
            <w:tcBorders>
              <w:top w:val="nil"/>
              <w:left w:val="nil"/>
              <w:bottom w:val="nil"/>
              <w:right w:val="nil"/>
            </w:tcBorders>
            <w:shd w:val="clear" w:color="auto" w:fill="auto"/>
            <w:noWrap/>
            <w:vAlign w:val="center"/>
            <w:hideMark/>
          </w:tcPr>
          <w:p w14:paraId="6994756C" w14:textId="77777777" w:rsidR="008A1E55" w:rsidRPr="006B42D6" w:rsidRDefault="008A1E55" w:rsidP="00E16CAE">
            <w:pPr>
              <w:jc w:val="right"/>
              <w:rPr>
                <w:sz w:val="16"/>
                <w:szCs w:val="16"/>
              </w:rPr>
            </w:pPr>
            <w:r w:rsidRPr="006B42D6">
              <w:rPr>
                <w:sz w:val="16"/>
                <w:szCs w:val="16"/>
              </w:rPr>
              <w:t>2.2</w:t>
            </w:r>
          </w:p>
        </w:tc>
        <w:tc>
          <w:tcPr>
            <w:tcW w:w="383" w:type="pct"/>
            <w:tcBorders>
              <w:top w:val="nil"/>
              <w:left w:val="nil"/>
              <w:bottom w:val="nil"/>
              <w:right w:val="nil"/>
            </w:tcBorders>
            <w:shd w:val="clear" w:color="auto" w:fill="auto"/>
            <w:noWrap/>
            <w:vAlign w:val="center"/>
            <w:hideMark/>
          </w:tcPr>
          <w:p w14:paraId="7F69A6B1" w14:textId="77777777" w:rsidR="008A1E55" w:rsidRPr="006B42D6" w:rsidRDefault="008A1E55" w:rsidP="00E16CAE">
            <w:pPr>
              <w:jc w:val="right"/>
              <w:rPr>
                <w:sz w:val="16"/>
                <w:szCs w:val="16"/>
              </w:rPr>
            </w:pPr>
            <w:r w:rsidRPr="006B42D6">
              <w:rPr>
                <w:sz w:val="16"/>
                <w:szCs w:val="16"/>
              </w:rPr>
              <w:t>3.1</w:t>
            </w:r>
          </w:p>
        </w:tc>
        <w:tc>
          <w:tcPr>
            <w:tcW w:w="268" w:type="pct"/>
            <w:tcBorders>
              <w:top w:val="nil"/>
              <w:left w:val="nil"/>
              <w:bottom w:val="nil"/>
              <w:right w:val="nil"/>
            </w:tcBorders>
            <w:shd w:val="clear" w:color="auto" w:fill="auto"/>
            <w:noWrap/>
            <w:vAlign w:val="center"/>
            <w:hideMark/>
          </w:tcPr>
          <w:p w14:paraId="132CDB2D" w14:textId="77777777" w:rsidR="008A1E55" w:rsidRPr="006B42D6" w:rsidRDefault="008A1E55" w:rsidP="00E16CAE">
            <w:pPr>
              <w:jc w:val="right"/>
              <w:rPr>
                <w:sz w:val="16"/>
                <w:szCs w:val="16"/>
              </w:rPr>
            </w:pPr>
            <w:r w:rsidRPr="006B42D6">
              <w:rPr>
                <w:sz w:val="16"/>
                <w:szCs w:val="16"/>
              </w:rPr>
              <w:t>-</w:t>
            </w:r>
          </w:p>
        </w:tc>
        <w:tc>
          <w:tcPr>
            <w:tcW w:w="268" w:type="pct"/>
            <w:tcBorders>
              <w:top w:val="nil"/>
              <w:left w:val="nil"/>
              <w:bottom w:val="nil"/>
              <w:right w:val="nil"/>
            </w:tcBorders>
            <w:shd w:val="clear" w:color="auto" w:fill="auto"/>
            <w:noWrap/>
            <w:vAlign w:val="center"/>
            <w:hideMark/>
          </w:tcPr>
          <w:p w14:paraId="3AE0FF07" w14:textId="77777777" w:rsidR="008A1E55" w:rsidRPr="006B42D6" w:rsidRDefault="008A1E55" w:rsidP="00E16CAE">
            <w:pPr>
              <w:jc w:val="right"/>
              <w:rPr>
                <w:sz w:val="16"/>
                <w:szCs w:val="16"/>
              </w:rPr>
            </w:pPr>
            <w:r w:rsidRPr="006B42D6">
              <w:rPr>
                <w:sz w:val="16"/>
                <w:szCs w:val="16"/>
              </w:rPr>
              <w:t>-</w:t>
            </w:r>
          </w:p>
        </w:tc>
        <w:tc>
          <w:tcPr>
            <w:tcW w:w="268" w:type="pct"/>
            <w:tcBorders>
              <w:top w:val="nil"/>
              <w:left w:val="nil"/>
              <w:bottom w:val="nil"/>
              <w:right w:val="nil"/>
            </w:tcBorders>
            <w:shd w:val="clear" w:color="auto" w:fill="auto"/>
            <w:noWrap/>
            <w:vAlign w:val="center"/>
            <w:hideMark/>
          </w:tcPr>
          <w:p w14:paraId="64A4736D" w14:textId="77777777" w:rsidR="008A1E55" w:rsidRPr="006B42D6" w:rsidRDefault="008A1E55" w:rsidP="00E16CAE">
            <w:pPr>
              <w:jc w:val="right"/>
              <w:rPr>
                <w:sz w:val="16"/>
                <w:szCs w:val="16"/>
              </w:rPr>
            </w:pPr>
            <w:r w:rsidRPr="006B42D6">
              <w:rPr>
                <w:sz w:val="16"/>
                <w:szCs w:val="16"/>
              </w:rPr>
              <w:t>-</w:t>
            </w:r>
          </w:p>
        </w:tc>
        <w:tc>
          <w:tcPr>
            <w:tcW w:w="314" w:type="pct"/>
            <w:tcBorders>
              <w:top w:val="nil"/>
              <w:left w:val="nil"/>
              <w:bottom w:val="nil"/>
              <w:right w:val="nil"/>
            </w:tcBorders>
            <w:shd w:val="clear" w:color="auto" w:fill="auto"/>
            <w:noWrap/>
            <w:vAlign w:val="center"/>
            <w:hideMark/>
          </w:tcPr>
          <w:p w14:paraId="13ED0C2B" w14:textId="77777777" w:rsidR="008A1E55" w:rsidRPr="006B42D6" w:rsidRDefault="008A1E55" w:rsidP="00E16CAE">
            <w:pPr>
              <w:jc w:val="right"/>
              <w:rPr>
                <w:sz w:val="16"/>
                <w:szCs w:val="16"/>
              </w:rPr>
            </w:pPr>
            <w:r w:rsidRPr="006B42D6">
              <w:rPr>
                <w:sz w:val="16"/>
                <w:szCs w:val="16"/>
              </w:rPr>
              <w:t>0.4</w:t>
            </w:r>
          </w:p>
        </w:tc>
        <w:tc>
          <w:tcPr>
            <w:tcW w:w="268" w:type="pct"/>
            <w:tcBorders>
              <w:top w:val="nil"/>
              <w:left w:val="nil"/>
              <w:bottom w:val="nil"/>
              <w:right w:val="nil"/>
            </w:tcBorders>
            <w:shd w:val="clear" w:color="auto" w:fill="auto"/>
            <w:noWrap/>
            <w:vAlign w:val="center"/>
            <w:hideMark/>
          </w:tcPr>
          <w:p w14:paraId="07F892DC" w14:textId="77777777" w:rsidR="008A1E55" w:rsidRPr="006B42D6" w:rsidRDefault="008A1E55" w:rsidP="00E16CAE">
            <w:pPr>
              <w:jc w:val="right"/>
              <w:rPr>
                <w:sz w:val="16"/>
                <w:szCs w:val="16"/>
              </w:rPr>
            </w:pPr>
            <w:r w:rsidRPr="006B42D6">
              <w:rPr>
                <w:sz w:val="16"/>
                <w:szCs w:val="16"/>
              </w:rPr>
              <w:t>7.1</w:t>
            </w:r>
          </w:p>
        </w:tc>
      </w:tr>
      <w:tr w:rsidR="006B42D6" w:rsidRPr="006B42D6" w14:paraId="63698726" w14:textId="77777777" w:rsidTr="005420E0">
        <w:trPr>
          <w:trHeight w:hRule="exact" w:val="227"/>
        </w:trPr>
        <w:tc>
          <w:tcPr>
            <w:tcW w:w="606" w:type="pct"/>
            <w:tcBorders>
              <w:top w:val="nil"/>
              <w:left w:val="nil"/>
              <w:bottom w:val="nil"/>
              <w:right w:val="nil"/>
            </w:tcBorders>
            <w:shd w:val="clear" w:color="auto" w:fill="auto"/>
            <w:noWrap/>
            <w:vAlign w:val="center"/>
            <w:hideMark/>
          </w:tcPr>
          <w:p w14:paraId="75186696" w14:textId="77777777" w:rsidR="008A1E55" w:rsidRPr="006B42D6" w:rsidRDefault="008A1E55" w:rsidP="00E16CAE">
            <w:pPr>
              <w:rPr>
                <w:sz w:val="16"/>
                <w:szCs w:val="16"/>
              </w:rPr>
            </w:pPr>
            <w:r w:rsidRPr="006B42D6">
              <w:rPr>
                <w:sz w:val="16"/>
                <w:szCs w:val="16"/>
              </w:rPr>
              <w:t>Manyara</w:t>
            </w:r>
          </w:p>
        </w:tc>
        <w:tc>
          <w:tcPr>
            <w:tcW w:w="345" w:type="pct"/>
            <w:tcBorders>
              <w:top w:val="nil"/>
              <w:left w:val="nil"/>
              <w:bottom w:val="nil"/>
              <w:right w:val="nil"/>
            </w:tcBorders>
            <w:shd w:val="clear" w:color="auto" w:fill="auto"/>
            <w:noWrap/>
            <w:vAlign w:val="center"/>
            <w:hideMark/>
          </w:tcPr>
          <w:p w14:paraId="44248925" w14:textId="77777777" w:rsidR="008A1E55" w:rsidRPr="006B42D6" w:rsidRDefault="008A1E55" w:rsidP="00E16CAE">
            <w:pPr>
              <w:jc w:val="right"/>
              <w:rPr>
                <w:sz w:val="16"/>
                <w:szCs w:val="16"/>
              </w:rPr>
            </w:pPr>
            <w:r w:rsidRPr="006B42D6">
              <w:rPr>
                <w:sz w:val="16"/>
                <w:szCs w:val="16"/>
              </w:rPr>
              <w:t>4.7</w:t>
            </w:r>
          </w:p>
        </w:tc>
        <w:tc>
          <w:tcPr>
            <w:tcW w:w="337" w:type="pct"/>
            <w:tcBorders>
              <w:top w:val="nil"/>
              <w:left w:val="nil"/>
              <w:bottom w:val="nil"/>
              <w:right w:val="nil"/>
            </w:tcBorders>
            <w:shd w:val="clear" w:color="auto" w:fill="auto"/>
            <w:noWrap/>
            <w:vAlign w:val="center"/>
            <w:hideMark/>
          </w:tcPr>
          <w:p w14:paraId="48AE25A2" w14:textId="77777777" w:rsidR="008A1E55" w:rsidRPr="006B42D6" w:rsidRDefault="008A1E55" w:rsidP="00E16CAE">
            <w:pPr>
              <w:jc w:val="right"/>
              <w:rPr>
                <w:sz w:val="16"/>
                <w:szCs w:val="16"/>
              </w:rPr>
            </w:pPr>
            <w:r w:rsidRPr="006B42D6">
              <w:rPr>
                <w:sz w:val="16"/>
                <w:szCs w:val="16"/>
              </w:rPr>
              <w:t>1.0</w:t>
            </w:r>
          </w:p>
        </w:tc>
        <w:tc>
          <w:tcPr>
            <w:tcW w:w="353" w:type="pct"/>
            <w:tcBorders>
              <w:top w:val="nil"/>
              <w:left w:val="nil"/>
              <w:bottom w:val="nil"/>
              <w:right w:val="nil"/>
            </w:tcBorders>
            <w:shd w:val="clear" w:color="auto" w:fill="auto"/>
            <w:noWrap/>
            <w:vAlign w:val="center"/>
            <w:hideMark/>
          </w:tcPr>
          <w:p w14:paraId="5BE6A5D8" w14:textId="77777777" w:rsidR="008A1E55" w:rsidRPr="006B42D6" w:rsidRDefault="008A1E55" w:rsidP="00E16CAE">
            <w:pPr>
              <w:jc w:val="right"/>
              <w:rPr>
                <w:sz w:val="16"/>
                <w:szCs w:val="16"/>
              </w:rPr>
            </w:pPr>
            <w:r w:rsidRPr="006B42D6">
              <w:rPr>
                <w:sz w:val="16"/>
                <w:szCs w:val="16"/>
              </w:rPr>
              <w:t>1.1</w:t>
            </w:r>
          </w:p>
        </w:tc>
        <w:tc>
          <w:tcPr>
            <w:tcW w:w="399" w:type="pct"/>
            <w:tcBorders>
              <w:top w:val="nil"/>
              <w:left w:val="nil"/>
              <w:bottom w:val="nil"/>
              <w:right w:val="nil"/>
            </w:tcBorders>
            <w:shd w:val="clear" w:color="auto" w:fill="auto"/>
            <w:noWrap/>
            <w:vAlign w:val="center"/>
            <w:hideMark/>
          </w:tcPr>
          <w:p w14:paraId="3A75422F" w14:textId="77777777" w:rsidR="008A1E55" w:rsidRPr="006B42D6" w:rsidRDefault="008A1E55" w:rsidP="00E16CAE">
            <w:pPr>
              <w:jc w:val="right"/>
              <w:rPr>
                <w:sz w:val="16"/>
                <w:szCs w:val="16"/>
              </w:rPr>
            </w:pPr>
            <w:r w:rsidRPr="006B42D6">
              <w:rPr>
                <w:sz w:val="16"/>
                <w:szCs w:val="16"/>
              </w:rPr>
              <w:t>2.6</w:t>
            </w:r>
          </w:p>
        </w:tc>
        <w:tc>
          <w:tcPr>
            <w:tcW w:w="386" w:type="pct"/>
            <w:tcBorders>
              <w:top w:val="nil"/>
              <w:left w:val="nil"/>
              <w:bottom w:val="nil"/>
              <w:right w:val="nil"/>
            </w:tcBorders>
            <w:shd w:val="clear" w:color="auto" w:fill="auto"/>
            <w:noWrap/>
            <w:vAlign w:val="center"/>
            <w:hideMark/>
          </w:tcPr>
          <w:p w14:paraId="3F78E26F" w14:textId="77777777" w:rsidR="008A1E55" w:rsidRPr="006B42D6" w:rsidRDefault="008A1E55" w:rsidP="00E16CAE">
            <w:pPr>
              <w:jc w:val="right"/>
              <w:rPr>
                <w:sz w:val="16"/>
                <w:szCs w:val="16"/>
              </w:rPr>
            </w:pPr>
            <w:r w:rsidRPr="006B42D6">
              <w:rPr>
                <w:sz w:val="16"/>
                <w:szCs w:val="16"/>
              </w:rPr>
              <w:t>1.9</w:t>
            </w:r>
          </w:p>
        </w:tc>
        <w:tc>
          <w:tcPr>
            <w:tcW w:w="452" w:type="pct"/>
            <w:tcBorders>
              <w:top w:val="nil"/>
              <w:left w:val="nil"/>
              <w:bottom w:val="nil"/>
              <w:right w:val="nil"/>
            </w:tcBorders>
            <w:shd w:val="clear" w:color="auto" w:fill="auto"/>
            <w:noWrap/>
            <w:vAlign w:val="center"/>
            <w:hideMark/>
          </w:tcPr>
          <w:p w14:paraId="1B93A29B" w14:textId="77777777" w:rsidR="008A1E55" w:rsidRPr="006B42D6" w:rsidRDefault="008A1E55" w:rsidP="00E16CAE">
            <w:pPr>
              <w:jc w:val="right"/>
              <w:rPr>
                <w:sz w:val="16"/>
                <w:szCs w:val="16"/>
              </w:rPr>
            </w:pPr>
            <w:r w:rsidRPr="006B42D6">
              <w:rPr>
                <w:sz w:val="16"/>
                <w:szCs w:val="16"/>
              </w:rPr>
              <w:t>7.1</w:t>
            </w:r>
          </w:p>
        </w:tc>
        <w:tc>
          <w:tcPr>
            <w:tcW w:w="353" w:type="pct"/>
            <w:tcBorders>
              <w:top w:val="nil"/>
              <w:left w:val="nil"/>
              <w:bottom w:val="nil"/>
              <w:right w:val="nil"/>
            </w:tcBorders>
            <w:shd w:val="clear" w:color="auto" w:fill="auto"/>
            <w:noWrap/>
            <w:vAlign w:val="center"/>
            <w:hideMark/>
          </w:tcPr>
          <w:p w14:paraId="09D1C577" w14:textId="77777777" w:rsidR="008A1E55" w:rsidRPr="006B42D6" w:rsidRDefault="008A1E55" w:rsidP="00E16CAE">
            <w:pPr>
              <w:jc w:val="right"/>
              <w:rPr>
                <w:sz w:val="16"/>
                <w:szCs w:val="16"/>
              </w:rPr>
            </w:pPr>
            <w:r w:rsidRPr="006B42D6">
              <w:rPr>
                <w:sz w:val="16"/>
                <w:szCs w:val="16"/>
              </w:rPr>
              <w:t>2.2</w:t>
            </w:r>
          </w:p>
        </w:tc>
        <w:tc>
          <w:tcPr>
            <w:tcW w:w="383" w:type="pct"/>
            <w:tcBorders>
              <w:top w:val="nil"/>
              <w:left w:val="nil"/>
              <w:bottom w:val="nil"/>
              <w:right w:val="nil"/>
            </w:tcBorders>
            <w:shd w:val="clear" w:color="auto" w:fill="auto"/>
            <w:noWrap/>
            <w:vAlign w:val="center"/>
            <w:hideMark/>
          </w:tcPr>
          <w:p w14:paraId="4F911FB3" w14:textId="77777777" w:rsidR="008A1E55" w:rsidRPr="006B42D6" w:rsidRDefault="008A1E55" w:rsidP="00E16CAE">
            <w:pPr>
              <w:jc w:val="right"/>
              <w:rPr>
                <w:sz w:val="16"/>
                <w:szCs w:val="16"/>
              </w:rPr>
            </w:pPr>
            <w:r w:rsidRPr="006B42D6">
              <w:rPr>
                <w:sz w:val="16"/>
                <w:szCs w:val="16"/>
              </w:rPr>
              <w:t>2.5</w:t>
            </w:r>
          </w:p>
        </w:tc>
        <w:tc>
          <w:tcPr>
            <w:tcW w:w="268" w:type="pct"/>
            <w:tcBorders>
              <w:top w:val="nil"/>
              <w:left w:val="nil"/>
              <w:bottom w:val="nil"/>
              <w:right w:val="nil"/>
            </w:tcBorders>
            <w:shd w:val="clear" w:color="auto" w:fill="auto"/>
            <w:noWrap/>
            <w:vAlign w:val="center"/>
            <w:hideMark/>
          </w:tcPr>
          <w:p w14:paraId="0D79FC15" w14:textId="77777777" w:rsidR="008A1E55" w:rsidRPr="006B42D6" w:rsidRDefault="008A1E55" w:rsidP="00E16CAE">
            <w:pPr>
              <w:jc w:val="right"/>
              <w:rPr>
                <w:sz w:val="16"/>
                <w:szCs w:val="16"/>
              </w:rPr>
            </w:pPr>
            <w:r w:rsidRPr="006B42D6">
              <w:rPr>
                <w:sz w:val="16"/>
                <w:szCs w:val="16"/>
              </w:rPr>
              <w:t>1.5</w:t>
            </w:r>
          </w:p>
        </w:tc>
        <w:tc>
          <w:tcPr>
            <w:tcW w:w="268" w:type="pct"/>
            <w:tcBorders>
              <w:top w:val="nil"/>
              <w:left w:val="nil"/>
              <w:bottom w:val="nil"/>
              <w:right w:val="nil"/>
            </w:tcBorders>
            <w:shd w:val="clear" w:color="auto" w:fill="auto"/>
            <w:noWrap/>
            <w:vAlign w:val="center"/>
            <w:hideMark/>
          </w:tcPr>
          <w:p w14:paraId="1BC8743E" w14:textId="77777777" w:rsidR="008A1E55" w:rsidRPr="006B42D6" w:rsidRDefault="008A1E55" w:rsidP="00E16CAE">
            <w:pPr>
              <w:jc w:val="right"/>
              <w:rPr>
                <w:sz w:val="16"/>
                <w:szCs w:val="16"/>
              </w:rPr>
            </w:pPr>
            <w:r w:rsidRPr="006B42D6">
              <w:rPr>
                <w:sz w:val="16"/>
                <w:szCs w:val="16"/>
              </w:rPr>
              <w:t>-</w:t>
            </w:r>
          </w:p>
        </w:tc>
        <w:tc>
          <w:tcPr>
            <w:tcW w:w="268" w:type="pct"/>
            <w:tcBorders>
              <w:top w:val="nil"/>
              <w:left w:val="nil"/>
              <w:bottom w:val="nil"/>
              <w:right w:val="nil"/>
            </w:tcBorders>
            <w:shd w:val="clear" w:color="auto" w:fill="auto"/>
            <w:noWrap/>
            <w:vAlign w:val="center"/>
            <w:hideMark/>
          </w:tcPr>
          <w:p w14:paraId="7420345B" w14:textId="77777777" w:rsidR="008A1E55" w:rsidRPr="006B42D6" w:rsidRDefault="008A1E55" w:rsidP="00E16CAE">
            <w:pPr>
              <w:jc w:val="right"/>
              <w:rPr>
                <w:sz w:val="16"/>
                <w:szCs w:val="16"/>
              </w:rPr>
            </w:pPr>
            <w:r w:rsidRPr="006B42D6">
              <w:rPr>
                <w:sz w:val="16"/>
                <w:szCs w:val="16"/>
              </w:rPr>
              <w:t>-</w:t>
            </w:r>
          </w:p>
        </w:tc>
        <w:tc>
          <w:tcPr>
            <w:tcW w:w="314" w:type="pct"/>
            <w:tcBorders>
              <w:top w:val="nil"/>
              <w:left w:val="nil"/>
              <w:bottom w:val="nil"/>
              <w:right w:val="nil"/>
            </w:tcBorders>
            <w:shd w:val="clear" w:color="auto" w:fill="auto"/>
            <w:noWrap/>
            <w:vAlign w:val="center"/>
            <w:hideMark/>
          </w:tcPr>
          <w:p w14:paraId="12856BFD" w14:textId="77777777" w:rsidR="008A1E55" w:rsidRPr="006B42D6" w:rsidRDefault="008A1E55" w:rsidP="00E16CAE">
            <w:pPr>
              <w:jc w:val="right"/>
              <w:rPr>
                <w:sz w:val="16"/>
                <w:szCs w:val="16"/>
              </w:rPr>
            </w:pPr>
            <w:r w:rsidRPr="006B42D6">
              <w:rPr>
                <w:sz w:val="16"/>
                <w:szCs w:val="16"/>
              </w:rPr>
              <w:t>-</w:t>
            </w:r>
          </w:p>
        </w:tc>
        <w:tc>
          <w:tcPr>
            <w:tcW w:w="268" w:type="pct"/>
            <w:tcBorders>
              <w:top w:val="nil"/>
              <w:left w:val="nil"/>
              <w:bottom w:val="nil"/>
              <w:right w:val="nil"/>
            </w:tcBorders>
            <w:shd w:val="clear" w:color="auto" w:fill="auto"/>
            <w:noWrap/>
            <w:vAlign w:val="center"/>
            <w:hideMark/>
          </w:tcPr>
          <w:p w14:paraId="238C962A" w14:textId="77777777" w:rsidR="008A1E55" w:rsidRPr="006B42D6" w:rsidRDefault="008A1E55" w:rsidP="00E16CAE">
            <w:pPr>
              <w:jc w:val="right"/>
              <w:rPr>
                <w:sz w:val="16"/>
                <w:szCs w:val="16"/>
              </w:rPr>
            </w:pPr>
            <w:r w:rsidRPr="006B42D6">
              <w:rPr>
                <w:sz w:val="16"/>
                <w:szCs w:val="16"/>
              </w:rPr>
              <w:t>0.8</w:t>
            </w:r>
          </w:p>
        </w:tc>
      </w:tr>
      <w:tr w:rsidR="006B42D6" w:rsidRPr="006B42D6" w14:paraId="6727D1A0" w14:textId="77777777" w:rsidTr="005420E0">
        <w:trPr>
          <w:trHeight w:hRule="exact" w:val="227"/>
        </w:trPr>
        <w:tc>
          <w:tcPr>
            <w:tcW w:w="606" w:type="pct"/>
            <w:tcBorders>
              <w:top w:val="nil"/>
              <w:left w:val="nil"/>
              <w:bottom w:val="nil"/>
              <w:right w:val="nil"/>
            </w:tcBorders>
            <w:shd w:val="clear" w:color="auto" w:fill="auto"/>
            <w:noWrap/>
            <w:vAlign w:val="center"/>
            <w:hideMark/>
          </w:tcPr>
          <w:p w14:paraId="627297FE" w14:textId="77777777" w:rsidR="008A1E55" w:rsidRPr="006B42D6" w:rsidRDefault="008A1E55" w:rsidP="00E16CAE">
            <w:pPr>
              <w:rPr>
                <w:sz w:val="16"/>
                <w:szCs w:val="16"/>
              </w:rPr>
            </w:pPr>
            <w:r w:rsidRPr="006B42D6">
              <w:rPr>
                <w:sz w:val="16"/>
                <w:szCs w:val="16"/>
              </w:rPr>
              <w:t>Njombe</w:t>
            </w:r>
          </w:p>
        </w:tc>
        <w:tc>
          <w:tcPr>
            <w:tcW w:w="345" w:type="pct"/>
            <w:tcBorders>
              <w:top w:val="nil"/>
              <w:left w:val="nil"/>
              <w:bottom w:val="nil"/>
              <w:right w:val="nil"/>
            </w:tcBorders>
            <w:shd w:val="clear" w:color="auto" w:fill="auto"/>
            <w:noWrap/>
            <w:vAlign w:val="center"/>
            <w:hideMark/>
          </w:tcPr>
          <w:p w14:paraId="613DC749" w14:textId="77777777" w:rsidR="008A1E55" w:rsidRPr="006B42D6" w:rsidRDefault="008A1E55" w:rsidP="00E16CAE">
            <w:pPr>
              <w:jc w:val="right"/>
              <w:rPr>
                <w:sz w:val="16"/>
                <w:szCs w:val="16"/>
              </w:rPr>
            </w:pPr>
            <w:r w:rsidRPr="006B42D6">
              <w:rPr>
                <w:sz w:val="16"/>
                <w:szCs w:val="16"/>
              </w:rPr>
              <w:t>3.3</w:t>
            </w:r>
          </w:p>
        </w:tc>
        <w:tc>
          <w:tcPr>
            <w:tcW w:w="337" w:type="pct"/>
            <w:tcBorders>
              <w:top w:val="nil"/>
              <w:left w:val="nil"/>
              <w:bottom w:val="nil"/>
              <w:right w:val="nil"/>
            </w:tcBorders>
            <w:shd w:val="clear" w:color="auto" w:fill="auto"/>
            <w:noWrap/>
            <w:vAlign w:val="center"/>
            <w:hideMark/>
          </w:tcPr>
          <w:p w14:paraId="1A131776" w14:textId="77777777" w:rsidR="008A1E55" w:rsidRPr="006B42D6" w:rsidRDefault="008A1E55" w:rsidP="00E16CAE">
            <w:pPr>
              <w:jc w:val="right"/>
              <w:rPr>
                <w:sz w:val="16"/>
                <w:szCs w:val="16"/>
              </w:rPr>
            </w:pPr>
            <w:r w:rsidRPr="006B42D6">
              <w:rPr>
                <w:sz w:val="16"/>
                <w:szCs w:val="16"/>
              </w:rPr>
              <w:t>2.3</w:t>
            </w:r>
          </w:p>
        </w:tc>
        <w:tc>
          <w:tcPr>
            <w:tcW w:w="353" w:type="pct"/>
            <w:tcBorders>
              <w:top w:val="nil"/>
              <w:left w:val="nil"/>
              <w:bottom w:val="nil"/>
              <w:right w:val="nil"/>
            </w:tcBorders>
            <w:shd w:val="clear" w:color="auto" w:fill="auto"/>
            <w:noWrap/>
            <w:vAlign w:val="center"/>
            <w:hideMark/>
          </w:tcPr>
          <w:p w14:paraId="6977B878" w14:textId="77777777" w:rsidR="008A1E55" w:rsidRPr="006B42D6" w:rsidRDefault="008A1E55" w:rsidP="00E16CAE">
            <w:pPr>
              <w:jc w:val="right"/>
              <w:rPr>
                <w:sz w:val="16"/>
                <w:szCs w:val="16"/>
              </w:rPr>
            </w:pPr>
            <w:r w:rsidRPr="006B42D6">
              <w:rPr>
                <w:sz w:val="16"/>
                <w:szCs w:val="16"/>
              </w:rPr>
              <w:t>1.7</w:t>
            </w:r>
          </w:p>
        </w:tc>
        <w:tc>
          <w:tcPr>
            <w:tcW w:w="399" w:type="pct"/>
            <w:tcBorders>
              <w:top w:val="nil"/>
              <w:left w:val="nil"/>
              <w:bottom w:val="nil"/>
              <w:right w:val="nil"/>
            </w:tcBorders>
            <w:shd w:val="clear" w:color="auto" w:fill="auto"/>
            <w:noWrap/>
            <w:vAlign w:val="center"/>
            <w:hideMark/>
          </w:tcPr>
          <w:p w14:paraId="30ECD30C" w14:textId="77777777" w:rsidR="008A1E55" w:rsidRPr="006B42D6" w:rsidRDefault="008A1E55" w:rsidP="00E16CAE">
            <w:pPr>
              <w:jc w:val="right"/>
              <w:rPr>
                <w:sz w:val="16"/>
                <w:szCs w:val="16"/>
              </w:rPr>
            </w:pPr>
            <w:r w:rsidRPr="006B42D6">
              <w:rPr>
                <w:sz w:val="16"/>
                <w:szCs w:val="16"/>
              </w:rPr>
              <w:t>1.2</w:t>
            </w:r>
          </w:p>
        </w:tc>
        <w:tc>
          <w:tcPr>
            <w:tcW w:w="386" w:type="pct"/>
            <w:tcBorders>
              <w:top w:val="nil"/>
              <w:left w:val="nil"/>
              <w:bottom w:val="nil"/>
              <w:right w:val="nil"/>
            </w:tcBorders>
            <w:shd w:val="clear" w:color="auto" w:fill="auto"/>
            <w:noWrap/>
            <w:vAlign w:val="center"/>
            <w:hideMark/>
          </w:tcPr>
          <w:p w14:paraId="08694C14" w14:textId="77777777" w:rsidR="008A1E55" w:rsidRPr="006B42D6" w:rsidRDefault="008A1E55" w:rsidP="00E16CAE">
            <w:pPr>
              <w:jc w:val="right"/>
              <w:rPr>
                <w:sz w:val="16"/>
                <w:szCs w:val="16"/>
              </w:rPr>
            </w:pPr>
            <w:r w:rsidRPr="006B42D6">
              <w:rPr>
                <w:sz w:val="16"/>
                <w:szCs w:val="16"/>
              </w:rPr>
              <w:t>2.5</w:t>
            </w:r>
          </w:p>
        </w:tc>
        <w:tc>
          <w:tcPr>
            <w:tcW w:w="452" w:type="pct"/>
            <w:tcBorders>
              <w:top w:val="nil"/>
              <w:left w:val="nil"/>
              <w:bottom w:val="nil"/>
              <w:right w:val="nil"/>
            </w:tcBorders>
            <w:shd w:val="clear" w:color="auto" w:fill="auto"/>
            <w:noWrap/>
            <w:vAlign w:val="center"/>
            <w:hideMark/>
          </w:tcPr>
          <w:p w14:paraId="4A985124" w14:textId="77777777" w:rsidR="008A1E55" w:rsidRPr="006B42D6" w:rsidRDefault="008A1E55" w:rsidP="00E16CAE">
            <w:pPr>
              <w:jc w:val="right"/>
              <w:rPr>
                <w:sz w:val="16"/>
                <w:szCs w:val="16"/>
              </w:rPr>
            </w:pPr>
            <w:r w:rsidRPr="006B42D6">
              <w:rPr>
                <w:sz w:val="16"/>
                <w:szCs w:val="16"/>
              </w:rPr>
              <w:t>1.0</w:t>
            </w:r>
          </w:p>
        </w:tc>
        <w:tc>
          <w:tcPr>
            <w:tcW w:w="353" w:type="pct"/>
            <w:tcBorders>
              <w:top w:val="nil"/>
              <w:left w:val="nil"/>
              <w:bottom w:val="nil"/>
              <w:right w:val="nil"/>
            </w:tcBorders>
            <w:shd w:val="clear" w:color="auto" w:fill="auto"/>
            <w:noWrap/>
            <w:vAlign w:val="center"/>
            <w:hideMark/>
          </w:tcPr>
          <w:p w14:paraId="506D9C8E" w14:textId="77777777" w:rsidR="008A1E55" w:rsidRPr="006B42D6" w:rsidRDefault="008A1E55" w:rsidP="00E16CAE">
            <w:pPr>
              <w:jc w:val="right"/>
              <w:rPr>
                <w:sz w:val="16"/>
                <w:szCs w:val="16"/>
              </w:rPr>
            </w:pPr>
            <w:r w:rsidRPr="006B42D6">
              <w:rPr>
                <w:sz w:val="16"/>
                <w:szCs w:val="16"/>
              </w:rPr>
              <w:t>3.2</w:t>
            </w:r>
          </w:p>
        </w:tc>
        <w:tc>
          <w:tcPr>
            <w:tcW w:w="383" w:type="pct"/>
            <w:tcBorders>
              <w:top w:val="nil"/>
              <w:left w:val="nil"/>
              <w:bottom w:val="nil"/>
              <w:right w:val="nil"/>
            </w:tcBorders>
            <w:shd w:val="clear" w:color="auto" w:fill="auto"/>
            <w:noWrap/>
            <w:vAlign w:val="center"/>
            <w:hideMark/>
          </w:tcPr>
          <w:p w14:paraId="181BE28F" w14:textId="77777777" w:rsidR="008A1E55" w:rsidRPr="006B42D6" w:rsidRDefault="008A1E55" w:rsidP="00E16CAE">
            <w:pPr>
              <w:jc w:val="right"/>
              <w:rPr>
                <w:sz w:val="16"/>
                <w:szCs w:val="16"/>
              </w:rPr>
            </w:pPr>
            <w:r w:rsidRPr="006B42D6">
              <w:rPr>
                <w:sz w:val="16"/>
                <w:szCs w:val="16"/>
              </w:rPr>
              <w:t>2.4</w:t>
            </w:r>
          </w:p>
        </w:tc>
        <w:tc>
          <w:tcPr>
            <w:tcW w:w="268" w:type="pct"/>
            <w:tcBorders>
              <w:top w:val="nil"/>
              <w:left w:val="nil"/>
              <w:bottom w:val="nil"/>
              <w:right w:val="nil"/>
            </w:tcBorders>
            <w:shd w:val="clear" w:color="auto" w:fill="auto"/>
            <w:noWrap/>
            <w:vAlign w:val="center"/>
            <w:hideMark/>
          </w:tcPr>
          <w:p w14:paraId="00CF3BCE" w14:textId="77777777" w:rsidR="008A1E55" w:rsidRPr="006B42D6" w:rsidRDefault="008A1E55" w:rsidP="00E16CAE">
            <w:pPr>
              <w:jc w:val="right"/>
              <w:rPr>
                <w:sz w:val="16"/>
                <w:szCs w:val="16"/>
              </w:rPr>
            </w:pPr>
            <w:r w:rsidRPr="006B42D6">
              <w:rPr>
                <w:sz w:val="16"/>
                <w:szCs w:val="16"/>
              </w:rPr>
              <w:t>-</w:t>
            </w:r>
          </w:p>
        </w:tc>
        <w:tc>
          <w:tcPr>
            <w:tcW w:w="268" w:type="pct"/>
            <w:tcBorders>
              <w:top w:val="nil"/>
              <w:left w:val="nil"/>
              <w:bottom w:val="nil"/>
              <w:right w:val="nil"/>
            </w:tcBorders>
            <w:shd w:val="clear" w:color="auto" w:fill="auto"/>
            <w:noWrap/>
            <w:vAlign w:val="center"/>
            <w:hideMark/>
          </w:tcPr>
          <w:p w14:paraId="2935F5A0" w14:textId="77777777" w:rsidR="008A1E55" w:rsidRPr="006B42D6" w:rsidRDefault="008A1E55" w:rsidP="00E16CAE">
            <w:pPr>
              <w:jc w:val="right"/>
              <w:rPr>
                <w:sz w:val="16"/>
                <w:szCs w:val="16"/>
              </w:rPr>
            </w:pPr>
            <w:r w:rsidRPr="006B42D6">
              <w:rPr>
                <w:sz w:val="16"/>
                <w:szCs w:val="16"/>
              </w:rPr>
              <w:t>-</w:t>
            </w:r>
          </w:p>
        </w:tc>
        <w:tc>
          <w:tcPr>
            <w:tcW w:w="268" w:type="pct"/>
            <w:tcBorders>
              <w:top w:val="nil"/>
              <w:left w:val="nil"/>
              <w:bottom w:val="nil"/>
              <w:right w:val="nil"/>
            </w:tcBorders>
            <w:shd w:val="clear" w:color="auto" w:fill="auto"/>
            <w:noWrap/>
            <w:vAlign w:val="center"/>
            <w:hideMark/>
          </w:tcPr>
          <w:p w14:paraId="161CBFEA" w14:textId="77777777" w:rsidR="008A1E55" w:rsidRPr="006B42D6" w:rsidRDefault="008A1E55" w:rsidP="00E16CAE">
            <w:pPr>
              <w:jc w:val="right"/>
              <w:rPr>
                <w:sz w:val="16"/>
                <w:szCs w:val="16"/>
              </w:rPr>
            </w:pPr>
            <w:r w:rsidRPr="006B42D6">
              <w:rPr>
                <w:sz w:val="16"/>
                <w:szCs w:val="16"/>
              </w:rPr>
              <w:t>-</w:t>
            </w:r>
          </w:p>
        </w:tc>
        <w:tc>
          <w:tcPr>
            <w:tcW w:w="314" w:type="pct"/>
            <w:tcBorders>
              <w:top w:val="nil"/>
              <w:left w:val="nil"/>
              <w:bottom w:val="nil"/>
              <w:right w:val="nil"/>
            </w:tcBorders>
            <w:shd w:val="clear" w:color="auto" w:fill="auto"/>
            <w:noWrap/>
            <w:vAlign w:val="center"/>
            <w:hideMark/>
          </w:tcPr>
          <w:p w14:paraId="67FB293E" w14:textId="77777777" w:rsidR="008A1E55" w:rsidRPr="006B42D6" w:rsidRDefault="008A1E55" w:rsidP="00E16CAE">
            <w:pPr>
              <w:jc w:val="right"/>
              <w:rPr>
                <w:sz w:val="16"/>
                <w:szCs w:val="16"/>
              </w:rPr>
            </w:pPr>
            <w:r w:rsidRPr="006B42D6">
              <w:rPr>
                <w:sz w:val="16"/>
                <w:szCs w:val="16"/>
              </w:rPr>
              <w:t>0.3</w:t>
            </w:r>
          </w:p>
        </w:tc>
        <w:tc>
          <w:tcPr>
            <w:tcW w:w="268" w:type="pct"/>
            <w:tcBorders>
              <w:top w:val="nil"/>
              <w:left w:val="nil"/>
              <w:bottom w:val="nil"/>
              <w:right w:val="nil"/>
            </w:tcBorders>
            <w:shd w:val="clear" w:color="auto" w:fill="auto"/>
            <w:noWrap/>
            <w:vAlign w:val="center"/>
            <w:hideMark/>
          </w:tcPr>
          <w:p w14:paraId="296A1EAE" w14:textId="77777777" w:rsidR="008A1E55" w:rsidRPr="006B42D6" w:rsidRDefault="008A1E55" w:rsidP="00E16CAE">
            <w:pPr>
              <w:jc w:val="right"/>
              <w:rPr>
                <w:sz w:val="16"/>
                <w:szCs w:val="16"/>
              </w:rPr>
            </w:pPr>
            <w:r w:rsidRPr="006B42D6">
              <w:rPr>
                <w:sz w:val="16"/>
                <w:szCs w:val="16"/>
              </w:rPr>
              <w:t>0.0</w:t>
            </w:r>
          </w:p>
        </w:tc>
      </w:tr>
      <w:tr w:rsidR="006B42D6" w:rsidRPr="006B42D6" w14:paraId="48421C6A" w14:textId="77777777" w:rsidTr="005420E0">
        <w:trPr>
          <w:trHeight w:hRule="exact" w:val="227"/>
        </w:trPr>
        <w:tc>
          <w:tcPr>
            <w:tcW w:w="606" w:type="pct"/>
            <w:tcBorders>
              <w:top w:val="nil"/>
              <w:left w:val="nil"/>
              <w:bottom w:val="nil"/>
              <w:right w:val="nil"/>
            </w:tcBorders>
            <w:shd w:val="clear" w:color="auto" w:fill="auto"/>
            <w:noWrap/>
            <w:vAlign w:val="center"/>
            <w:hideMark/>
          </w:tcPr>
          <w:p w14:paraId="7DA1CDD9" w14:textId="77777777" w:rsidR="008A1E55" w:rsidRPr="006B42D6" w:rsidRDefault="008A1E55" w:rsidP="00E16CAE">
            <w:pPr>
              <w:rPr>
                <w:sz w:val="16"/>
                <w:szCs w:val="16"/>
              </w:rPr>
            </w:pPr>
            <w:r w:rsidRPr="006B42D6">
              <w:rPr>
                <w:sz w:val="16"/>
                <w:szCs w:val="16"/>
              </w:rPr>
              <w:t>Katavi</w:t>
            </w:r>
          </w:p>
        </w:tc>
        <w:tc>
          <w:tcPr>
            <w:tcW w:w="345" w:type="pct"/>
            <w:tcBorders>
              <w:top w:val="nil"/>
              <w:left w:val="nil"/>
              <w:bottom w:val="nil"/>
              <w:right w:val="nil"/>
            </w:tcBorders>
            <w:shd w:val="clear" w:color="auto" w:fill="auto"/>
            <w:noWrap/>
            <w:vAlign w:val="center"/>
            <w:hideMark/>
          </w:tcPr>
          <w:p w14:paraId="4362FF29" w14:textId="77777777" w:rsidR="008A1E55" w:rsidRPr="006B42D6" w:rsidRDefault="008A1E55" w:rsidP="00E16CAE">
            <w:pPr>
              <w:jc w:val="right"/>
              <w:rPr>
                <w:sz w:val="16"/>
                <w:szCs w:val="16"/>
              </w:rPr>
            </w:pPr>
            <w:r w:rsidRPr="006B42D6">
              <w:rPr>
                <w:sz w:val="16"/>
                <w:szCs w:val="16"/>
              </w:rPr>
              <w:t>1.1</w:t>
            </w:r>
          </w:p>
        </w:tc>
        <w:tc>
          <w:tcPr>
            <w:tcW w:w="337" w:type="pct"/>
            <w:tcBorders>
              <w:top w:val="nil"/>
              <w:left w:val="nil"/>
              <w:bottom w:val="nil"/>
              <w:right w:val="nil"/>
            </w:tcBorders>
            <w:shd w:val="clear" w:color="auto" w:fill="auto"/>
            <w:noWrap/>
            <w:vAlign w:val="center"/>
            <w:hideMark/>
          </w:tcPr>
          <w:p w14:paraId="47E38F27" w14:textId="77777777" w:rsidR="008A1E55" w:rsidRPr="006B42D6" w:rsidRDefault="008A1E55" w:rsidP="00E16CAE">
            <w:pPr>
              <w:jc w:val="right"/>
              <w:rPr>
                <w:sz w:val="16"/>
                <w:szCs w:val="16"/>
              </w:rPr>
            </w:pPr>
            <w:r w:rsidRPr="006B42D6">
              <w:rPr>
                <w:sz w:val="16"/>
                <w:szCs w:val="16"/>
              </w:rPr>
              <w:t>0.8</w:t>
            </w:r>
          </w:p>
        </w:tc>
        <w:tc>
          <w:tcPr>
            <w:tcW w:w="353" w:type="pct"/>
            <w:tcBorders>
              <w:top w:val="nil"/>
              <w:left w:val="nil"/>
              <w:bottom w:val="nil"/>
              <w:right w:val="nil"/>
            </w:tcBorders>
            <w:shd w:val="clear" w:color="auto" w:fill="auto"/>
            <w:noWrap/>
            <w:vAlign w:val="center"/>
            <w:hideMark/>
          </w:tcPr>
          <w:p w14:paraId="7FF79B0A" w14:textId="77777777" w:rsidR="008A1E55" w:rsidRPr="006B42D6" w:rsidRDefault="008A1E55" w:rsidP="00E16CAE">
            <w:pPr>
              <w:jc w:val="right"/>
              <w:rPr>
                <w:sz w:val="16"/>
                <w:szCs w:val="16"/>
              </w:rPr>
            </w:pPr>
            <w:r w:rsidRPr="006B42D6">
              <w:rPr>
                <w:sz w:val="16"/>
                <w:szCs w:val="16"/>
              </w:rPr>
              <w:t>1.0</w:t>
            </w:r>
          </w:p>
        </w:tc>
        <w:tc>
          <w:tcPr>
            <w:tcW w:w="399" w:type="pct"/>
            <w:tcBorders>
              <w:top w:val="nil"/>
              <w:left w:val="nil"/>
              <w:bottom w:val="nil"/>
              <w:right w:val="nil"/>
            </w:tcBorders>
            <w:shd w:val="clear" w:color="auto" w:fill="auto"/>
            <w:noWrap/>
            <w:vAlign w:val="center"/>
            <w:hideMark/>
          </w:tcPr>
          <w:p w14:paraId="5903C099" w14:textId="77777777" w:rsidR="008A1E55" w:rsidRPr="006B42D6" w:rsidRDefault="008A1E55" w:rsidP="00E16CAE">
            <w:pPr>
              <w:jc w:val="right"/>
              <w:rPr>
                <w:sz w:val="16"/>
                <w:szCs w:val="16"/>
              </w:rPr>
            </w:pPr>
            <w:r w:rsidRPr="006B42D6">
              <w:rPr>
                <w:sz w:val="16"/>
                <w:szCs w:val="16"/>
              </w:rPr>
              <w:t>1.7</w:t>
            </w:r>
          </w:p>
        </w:tc>
        <w:tc>
          <w:tcPr>
            <w:tcW w:w="386" w:type="pct"/>
            <w:tcBorders>
              <w:top w:val="nil"/>
              <w:left w:val="nil"/>
              <w:bottom w:val="nil"/>
              <w:right w:val="nil"/>
            </w:tcBorders>
            <w:shd w:val="clear" w:color="auto" w:fill="auto"/>
            <w:noWrap/>
            <w:vAlign w:val="center"/>
            <w:hideMark/>
          </w:tcPr>
          <w:p w14:paraId="00009211" w14:textId="77777777" w:rsidR="008A1E55" w:rsidRPr="006B42D6" w:rsidRDefault="008A1E55" w:rsidP="00E16CAE">
            <w:pPr>
              <w:jc w:val="right"/>
              <w:rPr>
                <w:sz w:val="16"/>
                <w:szCs w:val="16"/>
              </w:rPr>
            </w:pPr>
            <w:r w:rsidRPr="006B42D6">
              <w:rPr>
                <w:sz w:val="16"/>
                <w:szCs w:val="16"/>
              </w:rPr>
              <w:t>0.8</w:t>
            </w:r>
          </w:p>
        </w:tc>
        <w:tc>
          <w:tcPr>
            <w:tcW w:w="452" w:type="pct"/>
            <w:tcBorders>
              <w:top w:val="nil"/>
              <w:left w:val="nil"/>
              <w:bottom w:val="nil"/>
              <w:right w:val="nil"/>
            </w:tcBorders>
            <w:shd w:val="clear" w:color="auto" w:fill="auto"/>
            <w:noWrap/>
            <w:vAlign w:val="center"/>
            <w:hideMark/>
          </w:tcPr>
          <w:p w14:paraId="30F0398B" w14:textId="77777777" w:rsidR="008A1E55" w:rsidRPr="006B42D6" w:rsidRDefault="008A1E55" w:rsidP="00E16CAE">
            <w:pPr>
              <w:jc w:val="right"/>
              <w:rPr>
                <w:sz w:val="16"/>
                <w:szCs w:val="16"/>
              </w:rPr>
            </w:pPr>
            <w:r w:rsidRPr="006B42D6">
              <w:rPr>
                <w:sz w:val="16"/>
                <w:szCs w:val="16"/>
              </w:rPr>
              <w:t>0.9</w:t>
            </w:r>
          </w:p>
        </w:tc>
        <w:tc>
          <w:tcPr>
            <w:tcW w:w="353" w:type="pct"/>
            <w:tcBorders>
              <w:top w:val="nil"/>
              <w:left w:val="nil"/>
              <w:bottom w:val="nil"/>
              <w:right w:val="nil"/>
            </w:tcBorders>
            <w:shd w:val="clear" w:color="auto" w:fill="auto"/>
            <w:noWrap/>
            <w:vAlign w:val="center"/>
            <w:hideMark/>
          </w:tcPr>
          <w:p w14:paraId="0ADC5926" w14:textId="77777777" w:rsidR="008A1E55" w:rsidRPr="006B42D6" w:rsidRDefault="008A1E55" w:rsidP="00E16CAE">
            <w:pPr>
              <w:jc w:val="right"/>
              <w:rPr>
                <w:sz w:val="16"/>
                <w:szCs w:val="16"/>
              </w:rPr>
            </w:pPr>
            <w:r w:rsidRPr="006B42D6">
              <w:rPr>
                <w:sz w:val="16"/>
                <w:szCs w:val="16"/>
              </w:rPr>
              <w:t>0.2</w:t>
            </w:r>
          </w:p>
        </w:tc>
        <w:tc>
          <w:tcPr>
            <w:tcW w:w="383" w:type="pct"/>
            <w:tcBorders>
              <w:top w:val="nil"/>
              <w:left w:val="nil"/>
              <w:bottom w:val="nil"/>
              <w:right w:val="nil"/>
            </w:tcBorders>
            <w:shd w:val="clear" w:color="auto" w:fill="auto"/>
            <w:noWrap/>
            <w:vAlign w:val="center"/>
            <w:hideMark/>
          </w:tcPr>
          <w:p w14:paraId="4254CB4A" w14:textId="77777777" w:rsidR="008A1E55" w:rsidRPr="006B42D6" w:rsidRDefault="008A1E55" w:rsidP="00E16CAE">
            <w:pPr>
              <w:jc w:val="right"/>
              <w:rPr>
                <w:sz w:val="16"/>
                <w:szCs w:val="16"/>
              </w:rPr>
            </w:pPr>
            <w:r w:rsidRPr="006B42D6">
              <w:rPr>
                <w:sz w:val="16"/>
                <w:szCs w:val="16"/>
              </w:rPr>
              <w:t>0.0</w:t>
            </w:r>
          </w:p>
        </w:tc>
        <w:tc>
          <w:tcPr>
            <w:tcW w:w="268" w:type="pct"/>
            <w:tcBorders>
              <w:top w:val="nil"/>
              <w:left w:val="nil"/>
              <w:bottom w:val="nil"/>
              <w:right w:val="nil"/>
            </w:tcBorders>
            <w:shd w:val="clear" w:color="auto" w:fill="auto"/>
            <w:noWrap/>
            <w:vAlign w:val="center"/>
            <w:hideMark/>
          </w:tcPr>
          <w:p w14:paraId="4A07B079" w14:textId="77777777" w:rsidR="008A1E55" w:rsidRPr="006B42D6" w:rsidRDefault="008A1E55" w:rsidP="00E16CAE">
            <w:pPr>
              <w:jc w:val="right"/>
              <w:rPr>
                <w:sz w:val="16"/>
                <w:szCs w:val="16"/>
              </w:rPr>
            </w:pPr>
            <w:r w:rsidRPr="006B42D6">
              <w:rPr>
                <w:sz w:val="16"/>
                <w:szCs w:val="16"/>
              </w:rPr>
              <w:t>2.7</w:t>
            </w:r>
          </w:p>
        </w:tc>
        <w:tc>
          <w:tcPr>
            <w:tcW w:w="268" w:type="pct"/>
            <w:tcBorders>
              <w:top w:val="nil"/>
              <w:left w:val="nil"/>
              <w:bottom w:val="nil"/>
              <w:right w:val="nil"/>
            </w:tcBorders>
            <w:shd w:val="clear" w:color="auto" w:fill="auto"/>
            <w:noWrap/>
            <w:vAlign w:val="center"/>
            <w:hideMark/>
          </w:tcPr>
          <w:p w14:paraId="2409DC96" w14:textId="77777777" w:rsidR="008A1E55" w:rsidRPr="006B42D6" w:rsidRDefault="008A1E55" w:rsidP="00E16CAE">
            <w:pPr>
              <w:jc w:val="right"/>
              <w:rPr>
                <w:sz w:val="16"/>
                <w:szCs w:val="16"/>
              </w:rPr>
            </w:pPr>
            <w:r w:rsidRPr="006B42D6">
              <w:rPr>
                <w:sz w:val="16"/>
                <w:szCs w:val="16"/>
              </w:rPr>
              <w:t>-</w:t>
            </w:r>
          </w:p>
        </w:tc>
        <w:tc>
          <w:tcPr>
            <w:tcW w:w="268" w:type="pct"/>
            <w:tcBorders>
              <w:top w:val="nil"/>
              <w:left w:val="nil"/>
              <w:bottom w:val="nil"/>
              <w:right w:val="nil"/>
            </w:tcBorders>
            <w:shd w:val="clear" w:color="auto" w:fill="auto"/>
            <w:noWrap/>
            <w:vAlign w:val="center"/>
            <w:hideMark/>
          </w:tcPr>
          <w:p w14:paraId="29603D09" w14:textId="77777777" w:rsidR="008A1E55" w:rsidRPr="006B42D6" w:rsidRDefault="008A1E55" w:rsidP="00E16CAE">
            <w:pPr>
              <w:jc w:val="right"/>
              <w:rPr>
                <w:sz w:val="16"/>
                <w:szCs w:val="16"/>
              </w:rPr>
            </w:pPr>
            <w:r w:rsidRPr="006B42D6">
              <w:rPr>
                <w:sz w:val="16"/>
                <w:szCs w:val="16"/>
              </w:rPr>
              <w:t>-</w:t>
            </w:r>
          </w:p>
        </w:tc>
        <w:tc>
          <w:tcPr>
            <w:tcW w:w="314" w:type="pct"/>
            <w:tcBorders>
              <w:top w:val="nil"/>
              <w:left w:val="nil"/>
              <w:bottom w:val="nil"/>
              <w:right w:val="nil"/>
            </w:tcBorders>
            <w:shd w:val="clear" w:color="auto" w:fill="auto"/>
            <w:noWrap/>
            <w:vAlign w:val="center"/>
            <w:hideMark/>
          </w:tcPr>
          <w:p w14:paraId="6C12543D" w14:textId="77777777" w:rsidR="008A1E55" w:rsidRPr="006B42D6" w:rsidRDefault="008A1E55" w:rsidP="00E16CAE">
            <w:pPr>
              <w:jc w:val="right"/>
              <w:rPr>
                <w:sz w:val="16"/>
                <w:szCs w:val="16"/>
              </w:rPr>
            </w:pPr>
            <w:r w:rsidRPr="006B42D6">
              <w:rPr>
                <w:sz w:val="16"/>
                <w:szCs w:val="16"/>
              </w:rPr>
              <w:t>0.4</w:t>
            </w:r>
          </w:p>
        </w:tc>
        <w:tc>
          <w:tcPr>
            <w:tcW w:w="268" w:type="pct"/>
            <w:tcBorders>
              <w:top w:val="nil"/>
              <w:left w:val="nil"/>
              <w:bottom w:val="nil"/>
              <w:right w:val="nil"/>
            </w:tcBorders>
            <w:shd w:val="clear" w:color="auto" w:fill="auto"/>
            <w:noWrap/>
            <w:vAlign w:val="center"/>
            <w:hideMark/>
          </w:tcPr>
          <w:p w14:paraId="16369D6D" w14:textId="77777777" w:rsidR="008A1E55" w:rsidRPr="006B42D6" w:rsidRDefault="008A1E55" w:rsidP="00E16CAE">
            <w:pPr>
              <w:jc w:val="right"/>
              <w:rPr>
                <w:sz w:val="16"/>
                <w:szCs w:val="16"/>
              </w:rPr>
            </w:pPr>
            <w:r w:rsidRPr="006B42D6">
              <w:rPr>
                <w:sz w:val="16"/>
                <w:szCs w:val="16"/>
              </w:rPr>
              <w:t>0.4</w:t>
            </w:r>
          </w:p>
        </w:tc>
      </w:tr>
      <w:tr w:rsidR="006B42D6" w:rsidRPr="006B42D6" w14:paraId="4ACEB2B3" w14:textId="77777777" w:rsidTr="005420E0">
        <w:trPr>
          <w:trHeight w:hRule="exact" w:val="227"/>
        </w:trPr>
        <w:tc>
          <w:tcPr>
            <w:tcW w:w="606" w:type="pct"/>
            <w:tcBorders>
              <w:top w:val="nil"/>
              <w:left w:val="nil"/>
              <w:bottom w:val="nil"/>
              <w:right w:val="nil"/>
            </w:tcBorders>
            <w:shd w:val="clear" w:color="auto" w:fill="auto"/>
            <w:noWrap/>
            <w:vAlign w:val="center"/>
            <w:hideMark/>
          </w:tcPr>
          <w:p w14:paraId="2B48E2BB" w14:textId="77777777" w:rsidR="008A1E55" w:rsidRPr="006B42D6" w:rsidRDefault="008A1E55" w:rsidP="00E16CAE">
            <w:pPr>
              <w:rPr>
                <w:sz w:val="16"/>
                <w:szCs w:val="16"/>
              </w:rPr>
            </w:pPr>
            <w:r w:rsidRPr="006B42D6">
              <w:rPr>
                <w:sz w:val="16"/>
                <w:szCs w:val="16"/>
              </w:rPr>
              <w:t>Simiyu</w:t>
            </w:r>
          </w:p>
        </w:tc>
        <w:tc>
          <w:tcPr>
            <w:tcW w:w="345" w:type="pct"/>
            <w:tcBorders>
              <w:top w:val="nil"/>
              <w:left w:val="nil"/>
              <w:bottom w:val="nil"/>
              <w:right w:val="nil"/>
            </w:tcBorders>
            <w:shd w:val="clear" w:color="auto" w:fill="auto"/>
            <w:noWrap/>
            <w:vAlign w:val="center"/>
            <w:hideMark/>
          </w:tcPr>
          <w:p w14:paraId="262ED9B5" w14:textId="77777777" w:rsidR="008A1E55" w:rsidRPr="006B42D6" w:rsidRDefault="008A1E55" w:rsidP="00E16CAE">
            <w:pPr>
              <w:jc w:val="right"/>
              <w:rPr>
                <w:sz w:val="16"/>
                <w:szCs w:val="16"/>
              </w:rPr>
            </w:pPr>
            <w:r w:rsidRPr="006B42D6">
              <w:rPr>
                <w:sz w:val="16"/>
                <w:szCs w:val="16"/>
              </w:rPr>
              <w:t>1.5</w:t>
            </w:r>
          </w:p>
        </w:tc>
        <w:tc>
          <w:tcPr>
            <w:tcW w:w="337" w:type="pct"/>
            <w:tcBorders>
              <w:top w:val="nil"/>
              <w:left w:val="nil"/>
              <w:bottom w:val="nil"/>
              <w:right w:val="nil"/>
            </w:tcBorders>
            <w:shd w:val="clear" w:color="auto" w:fill="auto"/>
            <w:noWrap/>
            <w:vAlign w:val="center"/>
            <w:hideMark/>
          </w:tcPr>
          <w:p w14:paraId="6E62A9F3" w14:textId="77777777" w:rsidR="008A1E55" w:rsidRPr="006B42D6" w:rsidRDefault="008A1E55" w:rsidP="00E16CAE">
            <w:pPr>
              <w:jc w:val="right"/>
              <w:rPr>
                <w:sz w:val="16"/>
                <w:szCs w:val="16"/>
              </w:rPr>
            </w:pPr>
            <w:r w:rsidRPr="006B42D6">
              <w:rPr>
                <w:sz w:val="16"/>
                <w:szCs w:val="16"/>
              </w:rPr>
              <w:t>6.9</w:t>
            </w:r>
          </w:p>
        </w:tc>
        <w:tc>
          <w:tcPr>
            <w:tcW w:w="353" w:type="pct"/>
            <w:tcBorders>
              <w:top w:val="nil"/>
              <w:left w:val="nil"/>
              <w:bottom w:val="nil"/>
              <w:right w:val="nil"/>
            </w:tcBorders>
            <w:shd w:val="clear" w:color="auto" w:fill="auto"/>
            <w:noWrap/>
            <w:vAlign w:val="center"/>
            <w:hideMark/>
          </w:tcPr>
          <w:p w14:paraId="5A1ECE21" w14:textId="77777777" w:rsidR="008A1E55" w:rsidRPr="006B42D6" w:rsidRDefault="008A1E55" w:rsidP="00E16CAE">
            <w:pPr>
              <w:jc w:val="right"/>
              <w:rPr>
                <w:sz w:val="16"/>
                <w:szCs w:val="16"/>
              </w:rPr>
            </w:pPr>
            <w:r w:rsidRPr="006B42D6">
              <w:rPr>
                <w:sz w:val="16"/>
                <w:szCs w:val="16"/>
              </w:rPr>
              <w:t>1.8</w:t>
            </w:r>
          </w:p>
        </w:tc>
        <w:tc>
          <w:tcPr>
            <w:tcW w:w="399" w:type="pct"/>
            <w:tcBorders>
              <w:top w:val="nil"/>
              <w:left w:val="nil"/>
              <w:bottom w:val="nil"/>
              <w:right w:val="nil"/>
            </w:tcBorders>
            <w:shd w:val="clear" w:color="auto" w:fill="auto"/>
            <w:noWrap/>
            <w:vAlign w:val="center"/>
            <w:hideMark/>
          </w:tcPr>
          <w:p w14:paraId="6AD6B5C2" w14:textId="77777777" w:rsidR="008A1E55" w:rsidRPr="006B42D6" w:rsidRDefault="008A1E55" w:rsidP="00E16CAE">
            <w:pPr>
              <w:jc w:val="right"/>
              <w:rPr>
                <w:sz w:val="16"/>
                <w:szCs w:val="16"/>
              </w:rPr>
            </w:pPr>
            <w:r w:rsidRPr="006B42D6">
              <w:rPr>
                <w:sz w:val="16"/>
                <w:szCs w:val="16"/>
              </w:rPr>
              <w:t>1.4</w:t>
            </w:r>
          </w:p>
        </w:tc>
        <w:tc>
          <w:tcPr>
            <w:tcW w:w="386" w:type="pct"/>
            <w:tcBorders>
              <w:top w:val="nil"/>
              <w:left w:val="nil"/>
              <w:bottom w:val="nil"/>
              <w:right w:val="nil"/>
            </w:tcBorders>
            <w:shd w:val="clear" w:color="auto" w:fill="auto"/>
            <w:noWrap/>
            <w:vAlign w:val="center"/>
            <w:hideMark/>
          </w:tcPr>
          <w:p w14:paraId="4A07B149" w14:textId="77777777" w:rsidR="008A1E55" w:rsidRPr="006B42D6" w:rsidRDefault="008A1E55" w:rsidP="00E16CAE">
            <w:pPr>
              <w:jc w:val="right"/>
              <w:rPr>
                <w:sz w:val="16"/>
                <w:szCs w:val="16"/>
              </w:rPr>
            </w:pPr>
            <w:r w:rsidRPr="006B42D6">
              <w:rPr>
                <w:sz w:val="16"/>
                <w:szCs w:val="16"/>
              </w:rPr>
              <w:t>0.8</w:t>
            </w:r>
          </w:p>
        </w:tc>
        <w:tc>
          <w:tcPr>
            <w:tcW w:w="452" w:type="pct"/>
            <w:tcBorders>
              <w:top w:val="nil"/>
              <w:left w:val="nil"/>
              <w:bottom w:val="nil"/>
              <w:right w:val="nil"/>
            </w:tcBorders>
            <w:shd w:val="clear" w:color="auto" w:fill="auto"/>
            <w:noWrap/>
            <w:vAlign w:val="center"/>
            <w:hideMark/>
          </w:tcPr>
          <w:p w14:paraId="2429273F" w14:textId="77777777" w:rsidR="008A1E55" w:rsidRPr="006B42D6" w:rsidRDefault="008A1E55" w:rsidP="00E16CAE">
            <w:pPr>
              <w:jc w:val="right"/>
              <w:rPr>
                <w:sz w:val="16"/>
                <w:szCs w:val="16"/>
              </w:rPr>
            </w:pPr>
            <w:r w:rsidRPr="006B42D6">
              <w:rPr>
                <w:sz w:val="16"/>
                <w:szCs w:val="16"/>
              </w:rPr>
              <w:t>2.4</w:t>
            </w:r>
          </w:p>
        </w:tc>
        <w:tc>
          <w:tcPr>
            <w:tcW w:w="353" w:type="pct"/>
            <w:tcBorders>
              <w:top w:val="nil"/>
              <w:left w:val="nil"/>
              <w:bottom w:val="nil"/>
              <w:right w:val="nil"/>
            </w:tcBorders>
            <w:shd w:val="clear" w:color="auto" w:fill="auto"/>
            <w:noWrap/>
            <w:vAlign w:val="center"/>
            <w:hideMark/>
          </w:tcPr>
          <w:p w14:paraId="59D35AAD" w14:textId="77777777" w:rsidR="008A1E55" w:rsidRPr="006B42D6" w:rsidRDefault="008A1E55" w:rsidP="00E16CAE">
            <w:pPr>
              <w:jc w:val="right"/>
              <w:rPr>
                <w:sz w:val="16"/>
                <w:szCs w:val="16"/>
              </w:rPr>
            </w:pPr>
            <w:r w:rsidRPr="006B42D6">
              <w:rPr>
                <w:sz w:val="16"/>
                <w:szCs w:val="16"/>
              </w:rPr>
              <w:t>1.2</w:t>
            </w:r>
          </w:p>
        </w:tc>
        <w:tc>
          <w:tcPr>
            <w:tcW w:w="383" w:type="pct"/>
            <w:tcBorders>
              <w:top w:val="nil"/>
              <w:left w:val="nil"/>
              <w:bottom w:val="nil"/>
              <w:right w:val="nil"/>
            </w:tcBorders>
            <w:shd w:val="clear" w:color="auto" w:fill="auto"/>
            <w:noWrap/>
            <w:vAlign w:val="center"/>
            <w:hideMark/>
          </w:tcPr>
          <w:p w14:paraId="1C4A80EE" w14:textId="77777777" w:rsidR="008A1E55" w:rsidRPr="006B42D6" w:rsidRDefault="008A1E55" w:rsidP="00E16CAE">
            <w:pPr>
              <w:jc w:val="right"/>
              <w:rPr>
                <w:sz w:val="16"/>
                <w:szCs w:val="16"/>
              </w:rPr>
            </w:pPr>
            <w:r w:rsidRPr="006B42D6">
              <w:rPr>
                <w:sz w:val="16"/>
                <w:szCs w:val="16"/>
              </w:rPr>
              <w:t>2.0</w:t>
            </w:r>
          </w:p>
        </w:tc>
        <w:tc>
          <w:tcPr>
            <w:tcW w:w="268" w:type="pct"/>
            <w:tcBorders>
              <w:top w:val="nil"/>
              <w:left w:val="nil"/>
              <w:bottom w:val="nil"/>
              <w:right w:val="nil"/>
            </w:tcBorders>
            <w:shd w:val="clear" w:color="auto" w:fill="auto"/>
            <w:noWrap/>
            <w:vAlign w:val="center"/>
            <w:hideMark/>
          </w:tcPr>
          <w:p w14:paraId="7140FB61" w14:textId="77777777" w:rsidR="008A1E55" w:rsidRPr="006B42D6" w:rsidRDefault="008A1E55" w:rsidP="00E16CAE">
            <w:pPr>
              <w:jc w:val="right"/>
              <w:rPr>
                <w:sz w:val="16"/>
                <w:szCs w:val="16"/>
              </w:rPr>
            </w:pPr>
            <w:r w:rsidRPr="006B42D6">
              <w:rPr>
                <w:sz w:val="16"/>
                <w:szCs w:val="16"/>
              </w:rPr>
              <w:t>-</w:t>
            </w:r>
          </w:p>
        </w:tc>
        <w:tc>
          <w:tcPr>
            <w:tcW w:w="268" w:type="pct"/>
            <w:tcBorders>
              <w:top w:val="nil"/>
              <w:left w:val="nil"/>
              <w:bottom w:val="nil"/>
              <w:right w:val="nil"/>
            </w:tcBorders>
            <w:shd w:val="clear" w:color="auto" w:fill="auto"/>
            <w:noWrap/>
            <w:vAlign w:val="center"/>
            <w:hideMark/>
          </w:tcPr>
          <w:p w14:paraId="64F8BF08" w14:textId="77777777" w:rsidR="008A1E55" w:rsidRPr="006B42D6" w:rsidRDefault="008A1E55" w:rsidP="00E16CAE">
            <w:pPr>
              <w:jc w:val="right"/>
              <w:rPr>
                <w:sz w:val="16"/>
                <w:szCs w:val="16"/>
              </w:rPr>
            </w:pPr>
            <w:r w:rsidRPr="006B42D6">
              <w:rPr>
                <w:sz w:val="16"/>
                <w:szCs w:val="16"/>
              </w:rPr>
              <w:t>-</w:t>
            </w:r>
          </w:p>
        </w:tc>
        <w:tc>
          <w:tcPr>
            <w:tcW w:w="268" w:type="pct"/>
            <w:tcBorders>
              <w:top w:val="nil"/>
              <w:left w:val="nil"/>
              <w:bottom w:val="nil"/>
              <w:right w:val="nil"/>
            </w:tcBorders>
            <w:shd w:val="clear" w:color="auto" w:fill="auto"/>
            <w:noWrap/>
            <w:vAlign w:val="center"/>
            <w:hideMark/>
          </w:tcPr>
          <w:p w14:paraId="35C58D6B" w14:textId="77777777" w:rsidR="008A1E55" w:rsidRPr="006B42D6" w:rsidRDefault="008A1E55" w:rsidP="00E16CAE">
            <w:pPr>
              <w:jc w:val="right"/>
              <w:rPr>
                <w:sz w:val="16"/>
                <w:szCs w:val="16"/>
              </w:rPr>
            </w:pPr>
            <w:r w:rsidRPr="006B42D6">
              <w:rPr>
                <w:sz w:val="16"/>
                <w:szCs w:val="16"/>
              </w:rPr>
              <w:t>2.4</w:t>
            </w:r>
          </w:p>
        </w:tc>
        <w:tc>
          <w:tcPr>
            <w:tcW w:w="314" w:type="pct"/>
            <w:tcBorders>
              <w:top w:val="nil"/>
              <w:left w:val="nil"/>
              <w:bottom w:val="nil"/>
              <w:right w:val="nil"/>
            </w:tcBorders>
            <w:shd w:val="clear" w:color="auto" w:fill="auto"/>
            <w:noWrap/>
            <w:vAlign w:val="center"/>
            <w:hideMark/>
          </w:tcPr>
          <w:p w14:paraId="76CF10D8" w14:textId="77777777" w:rsidR="008A1E55" w:rsidRPr="006B42D6" w:rsidRDefault="008A1E55" w:rsidP="00E16CAE">
            <w:pPr>
              <w:jc w:val="right"/>
              <w:rPr>
                <w:sz w:val="16"/>
                <w:szCs w:val="16"/>
              </w:rPr>
            </w:pPr>
            <w:r w:rsidRPr="006B42D6">
              <w:rPr>
                <w:sz w:val="16"/>
                <w:szCs w:val="16"/>
              </w:rPr>
              <w:t>6.2</w:t>
            </w:r>
          </w:p>
        </w:tc>
        <w:tc>
          <w:tcPr>
            <w:tcW w:w="268" w:type="pct"/>
            <w:tcBorders>
              <w:top w:val="nil"/>
              <w:left w:val="nil"/>
              <w:bottom w:val="nil"/>
              <w:right w:val="nil"/>
            </w:tcBorders>
            <w:shd w:val="clear" w:color="auto" w:fill="auto"/>
            <w:noWrap/>
            <w:vAlign w:val="center"/>
            <w:hideMark/>
          </w:tcPr>
          <w:p w14:paraId="00C6198C" w14:textId="77777777" w:rsidR="008A1E55" w:rsidRPr="006B42D6" w:rsidRDefault="008A1E55" w:rsidP="00E16CAE">
            <w:pPr>
              <w:jc w:val="right"/>
              <w:rPr>
                <w:sz w:val="16"/>
                <w:szCs w:val="16"/>
              </w:rPr>
            </w:pPr>
            <w:r w:rsidRPr="006B42D6">
              <w:rPr>
                <w:sz w:val="16"/>
                <w:szCs w:val="16"/>
              </w:rPr>
              <w:t>2.6</w:t>
            </w:r>
          </w:p>
        </w:tc>
      </w:tr>
      <w:tr w:rsidR="006B42D6" w:rsidRPr="006B42D6" w14:paraId="41074EDB" w14:textId="77777777" w:rsidTr="005420E0">
        <w:trPr>
          <w:trHeight w:hRule="exact" w:val="227"/>
        </w:trPr>
        <w:tc>
          <w:tcPr>
            <w:tcW w:w="606" w:type="pct"/>
            <w:tcBorders>
              <w:top w:val="nil"/>
              <w:left w:val="nil"/>
              <w:bottom w:val="nil"/>
              <w:right w:val="nil"/>
            </w:tcBorders>
            <w:shd w:val="clear" w:color="auto" w:fill="auto"/>
            <w:noWrap/>
            <w:vAlign w:val="center"/>
            <w:hideMark/>
          </w:tcPr>
          <w:p w14:paraId="76AA689F" w14:textId="77777777" w:rsidR="008A1E55" w:rsidRPr="006B42D6" w:rsidRDefault="008A1E55" w:rsidP="00E16CAE">
            <w:pPr>
              <w:rPr>
                <w:sz w:val="16"/>
                <w:szCs w:val="16"/>
              </w:rPr>
            </w:pPr>
            <w:r w:rsidRPr="006B42D6">
              <w:rPr>
                <w:sz w:val="16"/>
                <w:szCs w:val="16"/>
              </w:rPr>
              <w:t>Geita</w:t>
            </w:r>
          </w:p>
        </w:tc>
        <w:tc>
          <w:tcPr>
            <w:tcW w:w="345" w:type="pct"/>
            <w:tcBorders>
              <w:top w:val="nil"/>
              <w:left w:val="nil"/>
              <w:bottom w:val="nil"/>
              <w:right w:val="nil"/>
            </w:tcBorders>
            <w:shd w:val="clear" w:color="auto" w:fill="auto"/>
            <w:noWrap/>
            <w:vAlign w:val="center"/>
            <w:hideMark/>
          </w:tcPr>
          <w:p w14:paraId="027CA123" w14:textId="77777777" w:rsidR="008A1E55" w:rsidRPr="006B42D6" w:rsidRDefault="008A1E55" w:rsidP="00E16CAE">
            <w:pPr>
              <w:jc w:val="right"/>
              <w:rPr>
                <w:sz w:val="16"/>
                <w:szCs w:val="16"/>
              </w:rPr>
            </w:pPr>
            <w:r w:rsidRPr="006B42D6">
              <w:rPr>
                <w:sz w:val="16"/>
                <w:szCs w:val="16"/>
              </w:rPr>
              <w:t>1.3</w:t>
            </w:r>
          </w:p>
        </w:tc>
        <w:tc>
          <w:tcPr>
            <w:tcW w:w="337" w:type="pct"/>
            <w:tcBorders>
              <w:top w:val="nil"/>
              <w:left w:val="nil"/>
              <w:bottom w:val="nil"/>
              <w:right w:val="nil"/>
            </w:tcBorders>
            <w:shd w:val="clear" w:color="auto" w:fill="auto"/>
            <w:noWrap/>
            <w:vAlign w:val="center"/>
            <w:hideMark/>
          </w:tcPr>
          <w:p w14:paraId="023E7B7C" w14:textId="77777777" w:rsidR="008A1E55" w:rsidRPr="006B42D6" w:rsidRDefault="008A1E55" w:rsidP="00E16CAE">
            <w:pPr>
              <w:jc w:val="right"/>
              <w:rPr>
                <w:sz w:val="16"/>
                <w:szCs w:val="16"/>
              </w:rPr>
            </w:pPr>
            <w:r w:rsidRPr="006B42D6">
              <w:rPr>
                <w:sz w:val="16"/>
                <w:szCs w:val="16"/>
              </w:rPr>
              <w:t>9.5</w:t>
            </w:r>
          </w:p>
        </w:tc>
        <w:tc>
          <w:tcPr>
            <w:tcW w:w="353" w:type="pct"/>
            <w:tcBorders>
              <w:top w:val="nil"/>
              <w:left w:val="nil"/>
              <w:bottom w:val="nil"/>
              <w:right w:val="nil"/>
            </w:tcBorders>
            <w:shd w:val="clear" w:color="auto" w:fill="auto"/>
            <w:noWrap/>
            <w:vAlign w:val="center"/>
            <w:hideMark/>
          </w:tcPr>
          <w:p w14:paraId="3213E744" w14:textId="77777777" w:rsidR="008A1E55" w:rsidRPr="006B42D6" w:rsidRDefault="008A1E55" w:rsidP="00E16CAE">
            <w:pPr>
              <w:jc w:val="right"/>
              <w:rPr>
                <w:sz w:val="16"/>
                <w:szCs w:val="16"/>
              </w:rPr>
            </w:pPr>
            <w:r w:rsidRPr="006B42D6">
              <w:rPr>
                <w:sz w:val="16"/>
                <w:szCs w:val="16"/>
              </w:rPr>
              <w:t>4.3</w:t>
            </w:r>
          </w:p>
        </w:tc>
        <w:tc>
          <w:tcPr>
            <w:tcW w:w="399" w:type="pct"/>
            <w:tcBorders>
              <w:top w:val="nil"/>
              <w:left w:val="nil"/>
              <w:bottom w:val="nil"/>
              <w:right w:val="nil"/>
            </w:tcBorders>
            <w:shd w:val="clear" w:color="auto" w:fill="auto"/>
            <w:noWrap/>
            <w:vAlign w:val="center"/>
            <w:hideMark/>
          </w:tcPr>
          <w:p w14:paraId="409BF46A" w14:textId="77777777" w:rsidR="008A1E55" w:rsidRPr="006B42D6" w:rsidRDefault="008A1E55" w:rsidP="00E16CAE">
            <w:pPr>
              <w:jc w:val="right"/>
              <w:rPr>
                <w:sz w:val="16"/>
                <w:szCs w:val="16"/>
              </w:rPr>
            </w:pPr>
            <w:r w:rsidRPr="006B42D6">
              <w:rPr>
                <w:sz w:val="16"/>
                <w:szCs w:val="16"/>
              </w:rPr>
              <w:t>5.0</w:t>
            </w:r>
          </w:p>
        </w:tc>
        <w:tc>
          <w:tcPr>
            <w:tcW w:w="386" w:type="pct"/>
            <w:tcBorders>
              <w:top w:val="nil"/>
              <w:left w:val="nil"/>
              <w:bottom w:val="nil"/>
              <w:right w:val="nil"/>
            </w:tcBorders>
            <w:shd w:val="clear" w:color="auto" w:fill="auto"/>
            <w:noWrap/>
            <w:vAlign w:val="center"/>
            <w:hideMark/>
          </w:tcPr>
          <w:p w14:paraId="39FC5B1A" w14:textId="77777777" w:rsidR="008A1E55" w:rsidRPr="006B42D6" w:rsidRDefault="008A1E55" w:rsidP="00E16CAE">
            <w:pPr>
              <w:jc w:val="right"/>
              <w:rPr>
                <w:sz w:val="16"/>
                <w:szCs w:val="16"/>
              </w:rPr>
            </w:pPr>
            <w:r w:rsidRPr="006B42D6">
              <w:rPr>
                <w:sz w:val="16"/>
                <w:szCs w:val="16"/>
              </w:rPr>
              <w:t>12.0</w:t>
            </w:r>
          </w:p>
        </w:tc>
        <w:tc>
          <w:tcPr>
            <w:tcW w:w="452" w:type="pct"/>
            <w:tcBorders>
              <w:top w:val="nil"/>
              <w:left w:val="nil"/>
              <w:bottom w:val="nil"/>
              <w:right w:val="nil"/>
            </w:tcBorders>
            <w:shd w:val="clear" w:color="auto" w:fill="auto"/>
            <w:noWrap/>
            <w:vAlign w:val="center"/>
            <w:hideMark/>
          </w:tcPr>
          <w:p w14:paraId="213FD10F" w14:textId="77777777" w:rsidR="008A1E55" w:rsidRPr="006B42D6" w:rsidRDefault="008A1E55" w:rsidP="00E16CAE">
            <w:pPr>
              <w:jc w:val="right"/>
              <w:rPr>
                <w:sz w:val="16"/>
                <w:szCs w:val="16"/>
              </w:rPr>
            </w:pPr>
            <w:r w:rsidRPr="006B42D6">
              <w:rPr>
                <w:sz w:val="16"/>
                <w:szCs w:val="16"/>
              </w:rPr>
              <w:t>0.7</w:t>
            </w:r>
          </w:p>
        </w:tc>
        <w:tc>
          <w:tcPr>
            <w:tcW w:w="353" w:type="pct"/>
            <w:tcBorders>
              <w:top w:val="nil"/>
              <w:left w:val="nil"/>
              <w:bottom w:val="nil"/>
              <w:right w:val="nil"/>
            </w:tcBorders>
            <w:shd w:val="clear" w:color="auto" w:fill="auto"/>
            <w:noWrap/>
            <w:vAlign w:val="center"/>
            <w:hideMark/>
          </w:tcPr>
          <w:p w14:paraId="2843F368" w14:textId="77777777" w:rsidR="008A1E55" w:rsidRPr="006B42D6" w:rsidRDefault="008A1E55" w:rsidP="00E16CAE">
            <w:pPr>
              <w:jc w:val="right"/>
              <w:rPr>
                <w:sz w:val="16"/>
                <w:szCs w:val="16"/>
              </w:rPr>
            </w:pPr>
            <w:r w:rsidRPr="006B42D6">
              <w:rPr>
                <w:sz w:val="16"/>
                <w:szCs w:val="16"/>
              </w:rPr>
              <w:t>-</w:t>
            </w:r>
          </w:p>
        </w:tc>
        <w:tc>
          <w:tcPr>
            <w:tcW w:w="383" w:type="pct"/>
            <w:tcBorders>
              <w:top w:val="nil"/>
              <w:left w:val="nil"/>
              <w:bottom w:val="nil"/>
              <w:right w:val="nil"/>
            </w:tcBorders>
            <w:shd w:val="clear" w:color="auto" w:fill="auto"/>
            <w:noWrap/>
            <w:vAlign w:val="center"/>
            <w:hideMark/>
          </w:tcPr>
          <w:p w14:paraId="51DDB725" w14:textId="77777777" w:rsidR="008A1E55" w:rsidRPr="006B42D6" w:rsidRDefault="008A1E55" w:rsidP="00E16CAE">
            <w:pPr>
              <w:jc w:val="right"/>
              <w:rPr>
                <w:sz w:val="16"/>
                <w:szCs w:val="16"/>
              </w:rPr>
            </w:pPr>
            <w:r w:rsidRPr="006B42D6">
              <w:rPr>
                <w:sz w:val="16"/>
                <w:szCs w:val="16"/>
              </w:rPr>
              <w:t>0.4</w:t>
            </w:r>
          </w:p>
        </w:tc>
        <w:tc>
          <w:tcPr>
            <w:tcW w:w="268" w:type="pct"/>
            <w:tcBorders>
              <w:top w:val="nil"/>
              <w:left w:val="nil"/>
              <w:bottom w:val="nil"/>
              <w:right w:val="nil"/>
            </w:tcBorders>
            <w:shd w:val="clear" w:color="auto" w:fill="auto"/>
            <w:noWrap/>
            <w:vAlign w:val="center"/>
            <w:hideMark/>
          </w:tcPr>
          <w:p w14:paraId="41C7E287" w14:textId="77777777" w:rsidR="008A1E55" w:rsidRPr="006B42D6" w:rsidRDefault="008A1E55" w:rsidP="00E16CAE">
            <w:pPr>
              <w:jc w:val="right"/>
              <w:rPr>
                <w:sz w:val="16"/>
                <w:szCs w:val="16"/>
              </w:rPr>
            </w:pPr>
            <w:r w:rsidRPr="006B42D6">
              <w:rPr>
                <w:sz w:val="16"/>
                <w:szCs w:val="16"/>
              </w:rPr>
              <w:t>4.7</w:t>
            </w:r>
          </w:p>
        </w:tc>
        <w:tc>
          <w:tcPr>
            <w:tcW w:w="268" w:type="pct"/>
            <w:tcBorders>
              <w:top w:val="nil"/>
              <w:left w:val="nil"/>
              <w:bottom w:val="nil"/>
              <w:right w:val="nil"/>
            </w:tcBorders>
            <w:shd w:val="clear" w:color="auto" w:fill="auto"/>
            <w:noWrap/>
            <w:vAlign w:val="center"/>
            <w:hideMark/>
          </w:tcPr>
          <w:p w14:paraId="2C4A37F3" w14:textId="77777777" w:rsidR="008A1E55" w:rsidRPr="006B42D6" w:rsidRDefault="008A1E55" w:rsidP="00E16CAE">
            <w:pPr>
              <w:jc w:val="right"/>
              <w:rPr>
                <w:sz w:val="16"/>
                <w:szCs w:val="16"/>
              </w:rPr>
            </w:pPr>
            <w:r w:rsidRPr="006B42D6">
              <w:rPr>
                <w:sz w:val="16"/>
                <w:szCs w:val="16"/>
              </w:rPr>
              <w:t>-</w:t>
            </w:r>
          </w:p>
        </w:tc>
        <w:tc>
          <w:tcPr>
            <w:tcW w:w="268" w:type="pct"/>
            <w:tcBorders>
              <w:top w:val="nil"/>
              <w:left w:val="nil"/>
              <w:bottom w:val="nil"/>
              <w:right w:val="nil"/>
            </w:tcBorders>
            <w:shd w:val="clear" w:color="auto" w:fill="auto"/>
            <w:noWrap/>
            <w:vAlign w:val="center"/>
            <w:hideMark/>
          </w:tcPr>
          <w:p w14:paraId="36513620" w14:textId="77777777" w:rsidR="008A1E55" w:rsidRPr="006B42D6" w:rsidRDefault="008A1E55" w:rsidP="00E16CAE">
            <w:pPr>
              <w:jc w:val="right"/>
              <w:rPr>
                <w:sz w:val="16"/>
                <w:szCs w:val="16"/>
              </w:rPr>
            </w:pPr>
            <w:r w:rsidRPr="006B42D6">
              <w:rPr>
                <w:sz w:val="16"/>
                <w:szCs w:val="16"/>
              </w:rPr>
              <w:t>-</w:t>
            </w:r>
          </w:p>
        </w:tc>
        <w:tc>
          <w:tcPr>
            <w:tcW w:w="314" w:type="pct"/>
            <w:tcBorders>
              <w:top w:val="nil"/>
              <w:left w:val="nil"/>
              <w:bottom w:val="nil"/>
              <w:right w:val="nil"/>
            </w:tcBorders>
            <w:shd w:val="clear" w:color="auto" w:fill="auto"/>
            <w:noWrap/>
            <w:vAlign w:val="center"/>
            <w:hideMark/>
          </w:tcPr>
          <w:p w14:paraId="64964316" w14:textId="77777777" w:rsidR="008A1E55" w:rsidRPr="006B42D6" w:rsidRDefault="008A1E55" w:rsidP="00E16CAE">
            <w:pPr>
              <w:jc w:val="right"/>
              <w:rPr>
                <w:sz w:val="16"/>
                <w:szCs w:val="16"/>
              </w:rPr>
            </w:pPr>
            <w:r w:rsidRPr="006B42D6">
              <w:rPr>
                <w:sz w:val="16"/>
                <w:szCs w:val="16"/>
              </w:rPr>
              <w:t>8.4</w:t>
            </w:r>
          </w:p>
        </w:tc>
        <w:tc>
          <w:tcPr>
            <w:tcW w:w="268" w:type="pct"/>
            <w:tcBorders>
              <w:top w:val="nil"/>
              <w:left w:val="nil"/>
              <w:bottom w:val="nil"/>
              <w:right w:val="nil"/>
            </w:tcBorders>
            <w:shd w:val="clear" w:color="auto" w:fill="auto"/>
            <w:noWrap/>
            <w:vAlign w:val="center"/>
            <w:hideMark/>
          </w:tcPr>
          <w:p w14:paraId="73989E8C" w14:textId="77777777" w:rsidR="008A1E55" w:rsidRPr="006B42D6" w:rsidRDefault="008A1E55" w:rsidP="00E16CAE">
            <w:pPr>
              <w:jc w:val="right"/>
              <w:rPr>
                <w:sz w:val="16"/>
                <w:szCs w:val="16"/>
              </w:rPr>
            </w:pPr>
            <w:r w:rsidRPr="006B42D6">
              <w:rPr>
                <w:sz w:val="16"/>
                <w:szCs w:val="16"/>
              </w:rPr>
              <w:t>4.1</w:t>
            </w:r>
          </w:p>
        </w:tc>
      </w:tr>
      <w:tr w:rsidR="006B42D6" w:rsidRPr="006B42D6" w14:paraId="20D95AFC" w14:textId="77777777" w:rsidTr="005420E0">
        <w:trPr>
          <w:trHeight w:hRule="exact" w:val="227"/>
        </w:trPr>
        <w:tc>
          <w:tcPr>
            <w:tcW w:w="606" w:type="pct"/>
            <w:tcBorders>
              <w:top w:val="nil"/>
              <w:left w:val="nil"/>
              <w:bottom w:val="nil"/>
              <w:right w:val="nil"/>
            </w:tcBorders>
            <w:shd w:val="clear" w:color="auto" w:fill="auto"/>
            <w:noWrap/>
            <w:vAlign w:val="center"/>
            <w:hideMark/>
          </w:tcPr>
          <w:p w14:paraId="5068F3E9" w14:textId="77777777" w:rsidR="008A1E55" w:rsidRPr="006B42D6" w:rsidRDefault="008A1E55" w:rsidP="00E16CAE">
            <w:pPr>
              <w:rPr>
                <w:sz w:val="16"/>
                <w:szCs w:val="16"/>
              </w:rPr>
            </w:pPr>
            <w:r w:rsidRPr="006B42D6">
              <w:rPr>
                <w:sz w:val="16"/>
                <w:szCs w:val="16"/>
              </w:rPr>
              <w:t>Songwe</w:t>
            </w:r>
          </w:p>
        </w:tc>
        <w:tc>
          <w:tcPr>
            <w:tcW w:w="345" w:type="pct"/>
            <w:tcBorders>
              <w:top w:val="nil"/>
              <w:left w:val="nil"/>
              <w:bottom w:val="nil"/>
              <w:right w:val="nil"/>
            </w:tcBorders>
            <w:shd w:val="clear" w:color="auto" w:fill="auto"/>
            <w:noWrap/>
            <w:vAlign w:val="center"/>
            <w:hideMark/>
          </w:tcPr>
          <w:p w14:paraId="65620F01" w14:textId="77777777" w:rsidR="008A1E55" w:rsidRPr="006B42D6" w:rsidRDefault="008A1E55" w:rsidP="00E16CAE">
            <w:pPr>
              <w:jc w:val="right"/>
              <w:rPr>
                <w:sz w:val="16"/>
                <w:szCs w:val="16"/>
              </w:rPr>
            </w:pPr>
            <w:r w:rsidRPr="006B42D6">
              <w:rPr>
                <w:sz w:val="16"/>
                <w:szCs w:val="16"/>
              </w:rPr>
              <w:t>3.4</w:t>
            </w:r>
          </w:p>
        </w:tc>
        <w:tc>
          <w:tcPr>
            <w:tcW w:w="337" w:type="pct"/>
            <w:tcBorders>
              <w:top w:val="nil"/>
              <w:left w:val="nil"/>
              <w:bottom w:val="nil"/>
              <w:right w:val="nil"/>
            </w:tcBorders>
            <w:shd w:val="clear" w:color="auto" w:fill="auto"/>
            <w:noWrap/>
            <w:vAlign w:val="center"/>
            <w:hideMark/>
          </w:tcPr>
          <w:p w14:paraId="7DE67FA3" w14:textId="77777777" w:rsidR="008A1E55" w:rsidRPr="006B42D6" w:rsidRDefault="008A1E55" w:rsidP="00E16CAE">
            <w:pPr>
              <w:jc w:val="right"/>
              <w:rPr>
                <w:sz w:val="16"/>
                <w:szCs w:val="16"/>
              </w:rPr>
            </w:pPr>
            <w:r w:rsidRPr="006B42D6">
              <w:rPr>
                <w:sz w:val="16"/>
                <w:szCs w:val="16"/>
              </w:rPr>
              <w:t>2.6</w:t>
            </w:r>
          </w:p>
        </w:tc>
        <w:tc>
          <w:tcPr>
            <w:tcW w:w="353" w:type="pct"/>
            <w:tcBorders>
              <w:top w:val="nil"/>
              <w:left w:val="nil"/>
              <w:bottom w:val="nil"/>
              <w:right w:val="nil"/>
            </w:tcBorders>
            <w:shd w:val="clear" w:color="auto" w:fill="auto"/>
            <w:noWrap/>
            <w:vAlign w:val="center"/>
            <w:hideMark/>
          </w:tcPr>
          <w:p w14:paraId="0EBB8E19" w14:textId="77777777" w:rsidR="008A1E55" w:rsidRPr="006B42D6" w:rsidRDefault="008A1E55" w:rsidP="00E16CAE">
            <w:pPr>
              <w:jc w:val="right"/>
              <w:rPr>
                <w:sz w:val="16"/>
                <w:szCs w:val="16"/>
              </w:rPr>
            </w:pPr>
            <w:r w:rsidRPr="006B42D6">
              <w:rPr>
                <w:sz w:val="16"/>
                <w:szCs w:val="16"/>
              </w:rPr>
              <w:t>2.3</w:t>
            </w:r>
          </w:p>
        </w:tc>
        <w:tc>
          <w:tcPr>
            <w:tcW w:w="399" w:type="pct"/>
            <w:tcBorders>
              <w:top w:val="nil"/>
              <w:left w:val="nil"/>
              <w:bottom w:val="nil"/>
              <w:right w:val="nil"/>
            </w:tcBorders>
            <w:shd w:val="clear" w:color="auto" w:fill="auto"/>
            <w:noWrap/>
            <w:vAlign w:val="center"/>
            <w:hideMark/>
          </w:tcPr>
          <w:p w14:paraId="4C470E8D" w14:textId="77777777" w:rsidR="008A1E55" w:rsidRPr="006B42D6" w:rsidRDefault="008A1E55" w:rsidP="00E16CAE">
            <w:pPr>
              <w:jc w:val="right"/>
              <w:rPr>
                <w:sz w:val="16"/>
                <w:szCs w:val="16"/>
              </w:rPr>
            </w:pPr>
            <w:r w:rsidRPr="006B42D6">
              <w:rPr>
                <w:sz w:val="16"/>
                <w:szCs w:val="16"/>
              </w:rPr>
              <w:t>1.3</w:t>
            </w:r>
          </w:p>
        </w:tc>
        <w:tc>
          <w:tcPr>
            <w:tcW w:w="386" w:type="pct"/>
            <w:tcBorders>
              <w:top w:val="nil"/>
              <w:left w:val="nil"/>
              <w:bottom w:val="nil"/>
              <w:right w:val="nil"/>
            </w:tcBorders>
            <w:shd w:val="clear" w:color="auto" w:fill="auto"/>
            <w:noWrap/>
            <w:vAlign w:val="center"/>
            <w:hideMark/>
          </w:tcPr>
          <w:p w14:paraId="5D061D46" w14:textId="77777777" w:rsidR="008A1E55" w:rsidRPr="006B42D6" w:rsidRDefault="008A1E55" w:rsidP="00E16CAE">
            <w:pPr>
              <w:jc w:val="right"/>
              <w:rPr>
                <w:sz w:val="16"/>
                <w:szCs w:val="16"/>
              </w:rPr>
            </w:pPr>
            <w:r w:rsidRPr="006B42D6">
              <w:rPr>
                <w:sz w:val="16"/>
                <w:szCs w:val="16"/>
              </w:rPr>
              <w:t>2.1</w:t>
            </w:r>
          </w:p>
        </w:tc>
        <w:tc>
          <w:tcPr>
            <w:tcW w:w="452" w:type="pct"/>
            <w:tcBorders>
              <w:top w:val="nil"/>
              <w:left w:val="nil"/>
              <w:bottom w:val="nil"/>
              <w:right w:val="nil"/>
            </w:tcBorders>
            <w:shd w:val="clear" w:color="auto" w:fill="auto"/>
            <w:noWrap/>
            <w:vAlign w:val="center"/>
            <w:hideMark/>
          </w:tcPr>
          <w:p w14:paraId="4E9DEF67" w14:textId="77777777" w:rsidR="008A1E55" w:rsidRPr="006B42D6" w:rsidRDefault="008A1E55" w:rsidP="00E16CAE">
            <w:pPr>
              <w:jc w:val="right"/>
              <w:rPr>
                <w:sz w:val="16"/>
                <w:szCs w:val="16"/>
              </w:rPr>
            </w:pPr>
            <w:r w:rsidRPr="006B42D6">
              <w:rPr>
                <w:sz w:val="16"/>
                <w:szCs w:val="16"/>
              </w:rPr>
              <w:t>7.6</w:t>
            </w:r>
          </w:p>
        </w:tc>
        <w:tc>
          <w:tcPr>
            <w:tcW w:w="353" w:type="pct"/>
            <w:tcBorders>
              <w:top w:val="nil"/>
              <w:left w:val="nil"/>
              <w:bottom w:val="nil"/>
              <w:right w:val="nil"/>
            </w:tcBorders>
            <w:shd w:val="clear" w:color="auto" w:fill="auto"/>
            <w:noWrap/>
            <w:vAlign w:val="center"/>
            <w:hideMark/>
          </w:tcPr>
          <w:p w14:paraId="1BF62E9E" w14:textId="77777777" w:rsidR="008A1E55" w:rsidRPr="006B42D6" w:rsidRDefault="008A1E55" w:rsidP="00E16CAE">
            <w:pPr>
              <w:jc w:val="right"/>
              <w:rPr>
                <w:sz w:val="16"/>
                <w:szCs w:val="16"/>
              </w:rPr>
            </w:pPr>
            <w:r w:rsidRPr="006B42D6">
              <w:rPr>
                <w:sz w:val="16"/>
                <w:szCs w:val="16"/>
              </w:rPr>
              <w:t>4.0</w:t>
            </w:r>
          </w:p>
        </w:tc>
        <w:tc>
          <w:tcPr>
            <w:tcW w:w="383" w:type="pct"/>
            <w:tcBorders>
              <w:top w:val="nil"/>
              <w:left w:val="nil"/>
              <w:bottom w:val="nil"/>
              <w:right w:val="nil"/>
            </w:tcBorders>
            <w:shd w:val="clear" w:color="auto" w:fill="auto"/>
            <w:noWrap/>
            <w:vAlign w:val="center"/>
            <w:hideMark/>
          </w:tcPr>
          <w:p w14:paraId="4E6721F7" w14:textId="77777777" w:rsidR="008A1E55" w:rsidRPr="006B42D6" w:rsidRDefault="008A1E55" w:rsidP="00E16CAE">
            <w:pPr>
              <w:jc w:val="right"/>
              <w:rPr>
                <w:sz w:val="16"/>
                <w:szCs w:val="16"/>
              </w:rPr>
            </w:pPr>
            <w:r w:rsidRPr="006B42D6">
              <w:rPr>
                <w:sz w:val="16"/>
                <w:szCs w:val="16"/>
              </w:rPr>
              <w:t>4.4</w:t>
            </w:r>
          </w:p>
        </w:tc>
        <w:tc>
          <w:tcPr>
            <w:tcW w:w="268" w:type="pct"/>
            <w:tcBorders>
              <w:top w:val="nil"/>
              <w:left w:val="nil"/>
              <w:bottom w:val="nil"/>
              <w:right w:val="nil"/>
            </w:tcBorders>
            <w:shd w:val="clear" w:color="auto" w:fill="auto"/>
            <w:noWrap/>
            <w:vAlign w:val="center"/>
            <w:hideMark/>
          </w:tcPr>
          <w:p w14:paraId="658ECDE8" w14:textId="77777777" w:rsidR="008A1E55" w:rsidRPr="006B42D6" w:rsidRDefault="008A1E55" w:rsidP="00E16CAE">
            <w:pPr>
              <w:jc w:val="right"/>
              <w:rPr>
                <w:sz w:val="16"/>
                <w:szCs w:val="16"/>
              </w:rPr>
            </w:pPr>
            <w:r w:rsidRPr="006B42D6">
              <w:rPr>
                <w:sz w:val="16"/>
                <w:szCs w:val="16"/>
              </w:rPr>
              <w:t>3.4</w:t>
            </w:r>
          </w:p>
        </w:tc>
        <w:tc>
          <w:tcPr>
            <w:tcW w:w="268" w:type="pct"/>
            <w:tcBorders>
              <w:top w:val="nil"/>
              <w:left w:val="nil"/>
              <w:bottom w:val="nil"/>
              <w:right w:val="nil"/>
            </w:tcBorders>
            <w:shd w:val="clear" w:color="auto" w:fill="auto"/>
            <w:noWrap/>
            <w:vAlign w:val="center"/>
            <w:hideMark/>
          </w:tcPr>
          <w:p w14:paraId="327E1A91" w14:textId="77777777" w:rsidR="008A1E55" w:rsidRPr="006B42D6" w:rsidRDefault="008A1E55" w:rsidP="00E16CAE">
            <w:pPr>
              <w:jc w:val="right"/>
              <w:rPr>
                <w:sz w:val="16"/>
                <w:szCs w:val="16"/>
              </w:rPr>
            </w:pPr>
            <w:r w:rsidRPr="006B42D6">
              <w:rPr>
                <w:sz w:val="16"/>
                <w:szCs w:val="16"/>
              </w:rPr>
              <w:t>-</w:t>
            </w:r>
          </w:p>
        </w:tc>
        <w:tc>
          <w:tcPr>
            <w:tcW w:w="268" w:type="pct"/>
            <w:tcBorders>
              <w:top w:val="nil"/>
              <w:left w:val="nil"/>
              <w:bottom w:val="nil"/>
              <w:right w:val="nil"/>
            </w:tcBorders>
            <w:shd w:val="clear" w:color="auto" w:fill="auto"/>
            <w:noWrap/>
            <w:vAlign w:val="center"/>
            <w:hideMark/>
          </w:tcPr>
          <w:p w14:paraId="2ACE0BFC" w14:textId="77777777" w:rsidR="008A1E55" w:rsidRPr="006B42D6" w:rsidRDefault="008A1E55" w:rsidP="00E16CAE">
            <w:pPr>
              <w:jc w:val="right"/>
              <w:rPr>
                <w:sz w:val="16"/>
                <w:szCs w:val="16"/>
              </w:rPr>
            </w:pPr>
            <w:r w:rsidRPr="006B42D6">
              <w:rPr>
                <w:sz w:val="16"/>
                <w:szCs w:val="16"/>
              </w:rPr>
              <w:t>7.2</w:t>
            </w:r>
          </w:p>
        </w:tc>
        <w:tc>
          <w:tcPr>
            <w:tcW w:w="314" w:type="pct"/>
            <w:tcBorders>
              <w:top w:val="nil"/>
              <w:left w:val="nil"/>
              <w:bottom w:val="nil"/>
              <w:right w:val="nil"/>
            </w:tcBorders>
            <w:shd w:val="clear" w:color="auto" w:fill="auto"/>
            <w:noWrap/>
            <w:vAlign w:val="center"/>
            <w:hideMark/>
          </w:tcPr>
          <w:p w14:paraId="3DAE9E2F" w14:textId="77777777" w:rsidR="008A1E55" w:rsidRPr="006B42D6" w:rsidRDefault="008A1E55" w:rsidP="00E16CAE">
            <w:pPr>
              <w:jc w:val="right"/>
              <w:rPr>
                <w:sz w:val="16"/>
                <w:szCs w:val="16"/>
              </w:rPr>
            </w:pPr>
            <w:r w:rsidRPr="006B42D6">
              <w:rPr>
                <w:sz w:val="16"/>
                <w:szCs w:val="16"/>
              </w:rPr>
              <w:t>1.4</w:t>
            </w:r>
          </w:p>
        </w:tc>
        <w:tc>
          <w:tcPr>
            <w:tcW w:w="268" w:type="pct"/>
            <w:tcBorders>
              <w:top w:val="nil"/>
              <w:left w:val="nil"/>
              <w:bottom w:val="nil"/>
              <w:right w:val="nil"/>
            </w:tcBorders>
            <w:shd w:val="clear" w:color="auto" w:fill="auto"/>
            <w:noWrap/>
            <w:vAlign w:val="center"/>
            <w:hideMark/>
          </w:tcPr>
          <w:p w14:paraId="6EF75088" w14:textId="77777777" w:rsidR="008A1E55" w:rsidRPr="006B42D6" w:rsidRDefault="008A1E55" w:rsidP="00E16CAE">
            <w:pPr>
              <w:jc w:val="right"/>
              <w:rPr>
                <w:sz w:val="16"/>
                <w:szCs w:val="16"/>
              </w:rPr>
            </w:pPr>
            <w:r w:rsidRPr="006B42D6">
              <w:rPr>
                <w:sz w:val="16"/>
                <w:szCs w:val="16"/>
              </w:rPr>
              <w:t>5.0</w:t>
            </w:r>
          </w:p>
        </w:tc>
      </w:tr>
      <w:tr w:rsidR="006B42D6" w:rsidRPr="006B42D6" w14:paraId="145300DA" w14:textId="77777777" w:rsidTr="005420E0">
        <w:trPr>
          <w:trHeight w:hRule="exact" w:val="227"/>
        </w:trPr>
        <w:tc>
          <w:tcPr>
            <w:tcW w:w="606" w:type="pct"/>
            <w:tcBorders>
              <w:top w:val="single" w:sz="4" w:space="0" w:color="auto"/>
              <w:left w:val="nil"/>
              <w:bottom w:val="single" w:sz="4" w:space="0" w:color="auto"/>
              <w:right w:val="nil"/>
            </w:tcBorders>
            <w:shd w:val="clear" w:color="auto" w:fill="E2EFD9" w:themeFill="accent6" w:themeFillTint="33"/>
            <w:noWrap/>
            <w:vAlign w:val="center"/>
            <w:hideMark/>
          </w:tcPr>
          <w:p w14:paraId="4D842679" w14:textId="5A610F4C" w:rsidR="008A1E55" w:rsidRPr="006B42D6" w:rsidRDefault="00EA1552" w:rsidP="00E16CAE">
            <w:pPr>
              <w:rPr>
                <w:b/>
                <w:bCs/>
                <w:sz w:val="16"/>
                <w:szCs w:val="16"/>
              </w:rPr>
            </w:pPr>
            <w:r>
              <w:rPr>
                <w:b/>
                <w:bCs/>
                <w:sz w:val="16"/>
                <w:szCs w:val="16"/>
              </w:rPr>
              <w:t>Mainland Tanzania</w:t>
            </w:r>
          </w:p>
        </w:tc>
        <w:tc>
          <w:tcPr>
            <w:tcW w:w="345" w:type="pct"/>
            <w:tcBorders>
              <w:top w:val="single" w:sz="4" w:space="0" w:color="auto"/>
              <w:left w:val="nil"/>
              <w:bottom w:val="single" w:sz="4" w:space="0" w:color="auto"/>
              <w:right w:val="nil"/>
            </w:tcBorders>
            <w:shd w:val="clear" w:color="auto" w:fill="E2EFD9" w:themeFill="accent6" w:themeFillTint="33"/>
            <w:noWrap/>
            <w:vAlign w:val="center"/>
            <w:hideMark/>
          </w:tcPr>
          <w:p w14:paraId="61C4E13F" w14:textId="77777777" w:rsidR="008A1E55" w:rsidRPr="006B42D6" w:rsidRDefault="008A1E55" w:rsidP="00E16CAE">
            <w:pPr>
              <w:jc w:val="right"/>
              <w:rPr>
                <w:b/>
                <w:bCs/>
                <w:sz w:val="16"/>
                <w:szCs w:val="16"/>
              </w:rPr>
            </w:pPr>
            <w:r w:rsidRPr="006B42D6">
              <w:rPr>
                <w:b/>
                <w:bCs/>
                <w:sz w:val="16"/>
                <w:szCs w:val="16"/>
              </w:rPr>
              <w:t>100.0</w:t>
            </w:r>
          </w:p>
        </w:tc>
        <w:tc>
          <w:tcPr>
            <w:tcW w:w="337" w:type="pct"/>
            <w:tcBorders>
              <w:top w:val="single" w:sz="4" w:space="0" w:color="auto"/>
              <w:left w:val="nil"/>
              <w:bottom w:val="single" w:sz="4" w:space="0" w:color="auto"/>
              <w:right w:val="nil"/>
            </w:tcBorders>
            <w:shd w:val="clear" w:color="auto" w:fill="E2EFD9" w:themeFill="accent6" w:themeFillTint="33"/>
            <w:noWrap/>
            <w:vAlign w:val="center"/>
            <w:hideMark/>
          </w:tcPr>
          <w:p w14:paraId="5902204D" w14:textId="77777777" w:rsidR="008A1E55" w:rsidRPr="006B42D6" w:rsidRDefault="008A1E55" w:rsidP="00E16CAE">
            <w:pPr>
              <w:jc w:val="right"/>
              <w:rPr>
                <w:b/>
                <w:bCs/>
                <w:sz w:val="16"/>
                <w:szCs w:val="16"/>
              </w:rPr>
            </w:pPr>
            <w:r w:rsidRPr="006B42D6">
              <w:rPr>
                <w:b/>
                <w:bCs/>
                <w:sz w:val="16"/>
                <w:szCs w:val="16"/>
              </w:rPr>
              <w:t>100.0</w:t>
            </w:r>
          </w:p>
        </w:tc>
        <w:tc>
          <w:tcPr>
            <w:tcW w:w="353" w:type="pct"/>
            <w:tcBorders>
              <w:top w:val="single" w:sz="4" w:space="0" w:color="auto"/>
              <w:left w:val="nil"/>
              <w:bottom w:val="single" w:sz="4" w:space="0" w:color="auto"/>
              <w:right w:val="nil"/>
            </w:tcBorders>
            <w:shd w:val="clear" w:color="auto" w:fill="E2EFD9" w:themeFill="accent6" w:themeFillTint="33"/>
            <w:noWrap/>
            <w:vAlign w:val="center"/>
            <w:hideMark/>
          </w:tcPr>
          <w:p w14:paraId="419E11D3" w14:textId="77777777" w:rsidR="008A1E55" w:rsidRPr="006B42D6" w:rsidRDefault="008A1E55" w:rsidP="00E16CAE">
            <w:pPr>
              <w:jc w:val="right"/>
              <w:rPr>
                <w:b/>
                <w:bCs/>
                <w:sz w:val="16"/>
                <w:szCs w:val="16"/>
              </w:rPr>
            </w:pPr>
            <w:r w:rsidRPr="006B42D6">
              <w:rPr>
                <w:b/>
                <w:bCs/>
                <w:sz w:val="16"/>
                <w:szCs w:val="16"/>
              </w:rPr>
              <w:t>100.0</w:t>
            </w:r>
          </w:p>
        </w:tc>
        <w:tc>
          <w:tcPr>
            <w:tcW w:w="399" w:type="pct"/>
            <w:tcBorders>
              <w:top w:val="single" w:sz="4" w:space="0" w:color="auto"/>
              <w:left w:val="nil"/>
              <w:bottom w:val="single" w:sz="4" w:space="0" w:color="auto"/>
              <w:right w:val="nil"/>
            </w:tcBorders>
            <w:shd w:val="clear" w:color="auto" w:fill="E2EFD9" w:themeFill="accent6" w:themeFillTint="33"/>
            <w:noWrap/>
            <w:vAlign w:val="center"/>
            <w:hideMark/>
          </w:tcPr>
          <w:p w14:paraId="681E9C0C" w14:textId="77777777" w:rsidR="008A1E55" w:rsidRPr="006B42D6" w:rsidRDefault="008A1E55" w:rsidP="00E16CAE">
            <w:pPr>
              <w:jc w:val="right"/>
              <w:rPr>
                <w:b/>
                <w:bCs/>
                <w:sz w:val="16"/>
                <w:szCs w:val="16"/>
              </w:rPr>
            </w:pPr>
            <w:r w:rsidRPr="006B42D6">
              <w:rPr>
                <w:b/>
                <w:bCs/>
                <w:sz w:val="16"/>
                <w:szCs w:val="16"/>
              </w:rPr>
              <w:t>100.0</w:t>
            </w:r>
          </w:p>
        </w:tc>
        <w:tc>
          <w:tcPr>
            <w:tcW w:w="386" w:type="pct"/>
            <w:tcBorders>
              <w:top w:val="single" w:sz="4" w:space="0" w:color="auto"/>
              <w:left w:val="nil"/>
              <w:bottom w:val="single" w:sz="4" w:space="0" w:color="auto"/>
              <w:right w:val="nil"/>
            </w:tcBorders>
            <w:shd w:val="clear" w:color="auto" w:fill="E2EFD9" w:themeFill="accent6" w:themeFillTint="33"/>
            <w:noWrap/>
            <w:vAlign w:val="center"/>
            <w:hideMark/>
          </w:tcPr>
          <w:p w14:paraId="795574BD" w14:textId="77777777" w:rsidR="008A1E55" w:rsidRPr="006B42D6" w:rsidRDefault="008A1E55" w:rsidP="00E16CAE">
            <w:pPr>
              <w:jc w:val="right"/>
              <w:rPr>
                <w:b/>
                <w:bCs/>
                <w:sz w:val="16"/>
                <w:szCs w:val="16"/>
              </w:rPr>
            </w:pPr>
            <w:r w:rsidRPr="006B42D6">
              <w:rPr>
                <w:b/>
                <w:bCs/>
                <w:sz w:val="16"/>
                <w:szCs w:val="16"/>
              </w:rPr>
              <w:t>100.0</w:t>
            </w:r>
          </w:p>
        </w:tc>
        <w:tc>
          <w:tcPr>
            <w:tcW w:w="452" w:type="pct"/>
            <w:tcBorders>
              <w:top w:val="single" w:sz="4" w:space="0" w:color="auto"/>
              <w:left w:val="nil"/>
              <w:bottom w:val="single" w:sz="4" w:space="0" w:color="auto"/>
              <w:right w:val="nil"/>
            </w:tcBorders>
            <w:shd w:val="clear" w:color="auto" w:fill="E2EFD9" w:themeFill="accent6" w:themeFillTint="33"/>
            <w:noWrap/>
            <w:vAlign w:val="center"/>
            <w:hideMark/>
          </w:tcPr>
          <w:p w14:paraId="5E6C6494" w14:textId="77777777" w:rsidR="008A1E55" w:rsidRPr="006B42D6" w:rsidRDefault="008A1E55" w:rsidP="00E16CAE">
            <w:pPr>
              <w:jc w:val="right"/>
              <w:rPr>
                <w:b/>
                <w:bCs/>
                <w:sz w:val="16"/>
                <w:szCs w:val="16"/>
              </w:rPr>
            </w:pPr>
            <w:r w:rsidRPr="006B42D6">
              <w:rPr>
                <w:b/>
                <w:bCs/>
                <w:sz w:val="16"/>
                <w:szCs w:val="16"/>
              </w:rPr>
              <w:t>100.0</w:t>
            </w:r>
          </w:p>
        </w:tc>
        <w:tc>
          <w:tcPr>
            <w:tcW w:w="353" w:type="pct"/>
            <w:tcBorders>
              <w:top w:val="single" w:sz="4" w:space="0" w:color="auto"/>
              <w:left w:val="nil"/>
              <w:bottom w:val="single" w:sz="4" w:space="0" w:color="auto"/>
              <w:right w:val="nil"/>
            </w:tcBorders>
            <w:shd w:val="clear" w:color="auto" w:fill="E2EFD9" w:themeFill="accent6" w:themeFillTint="33"/>
            <w:noWrap/>
            <w:vAlign w:val="center"/>
            <w:hideMark/>
          </w:tcPr>
          <w:p w14:paraId="7F5B6D95" w14:textId="77777777" w:rsidR="008A1E55" w:rsidRPr="006B42D6" w:rsidRDefault="008A1E55" w:rsidP="00E16CAE">
            <w:pPr>
              <w:jc w:val="right"/>
              <w:rPr>
                <w:b/>
                <w:bCs/>
                <w:sz w:val="16"/>
                <w:szCs w:val="16"/>
              </w:rPr>
            </w:pPr>
            <w:r w:rsidRPr="006B42D6">
              <w:rPr>
                <w:b/>
                <w:bCs/>
                <w:sz w:val="16"/>
                <w:szCs w:val="16"/>
              </w:rPr>
              <w:t>100.0</w:t>
            </w:r>
          </w:p>
        </w:tc>
        <w:tc>
          <w:tcPr>
            <w:tcW w:w="383" w:type="pct"/>
            <w:tcBorders>
              <w:top w:val="single" w:sz="4" w:space="0" w:color="auto"/>
              <w:left w:val="nil"/>
              <w:bottom w:val="single" w:sz="4" w:space="0" w:color="auto"/>
              <w:right w:val="nil"/>
            </w:tcBorders>
            <w:shd w:val="clear" w:color="auto" w:fill="E2EFD9" w:themeFill="accent6" w:themeFillTint="33"/>
            <w:noWrap/>
            <w:vAlign w:val="center"/>
            <w:hideMark/>
          </w:tcPr>
          <w:p w14:paraId="7187FBF1" w14:textId="77777777" w:rsidR="008A1E55" w:rsidRPr="006B42D6" w:rsidRDefault="008A1E55" w:rsidP="00E16CAE">
            <w:pPr>
              <w:jc w:val="right"/>
              <w:rPr>
                <w:b/>
                <w:bCs/>
                <w:sz w:val="16"/>
                <w:szCs w:val="16"/>
              </w:rPr>
            </w:pPr>
            <w:r w:rsidRPr="006B42D6">
              <w:rPr>
                <w:b/>
                <w:bCs/>
                <w:sz w:val="16"/>
                <w:szCs w:val="16"/>
              </w:rPr>
              <w:t>100.0</w:t>
            </w:r>
          </w:p>
        </w:tc>
        <w:tc>
          <w:tcPr>
            <w:tcW w:w="268" w:type="pct"/>
            <w:tcBorders>
              <w:top w:val="single" w:sz="4" w:space="0" w:color="auto"/>
              <w:left w:val="nil"/>
              <w:bottom w:val="single" w:sz="4" w:space="0" w:color="auto"/>
              <w:right w:val="nil"/>
            </w:tcBorders>
            <w:shd w:val="clear" w:color="auto" w:fill="E2EFD9" w:themeFill="accent6" w:themeFillTint="33"/>
            <w:noWrap/>
            <w:vAlign w:val="center"/>
            <w:hideMark/>
          </w:tcPr>
          <w:p w14:paraId="08D92E7C" w14:textId="77777777" w:rsidR="008A1E55" w:rsidRPr="006B42D6" w:rsidRDefault="008A1E55" w:rsidP="00E16CAE">
            <w:pPr>
              <w:jc w:val="right"/>
              <w:rPr>
                <w:b/>
                <w:bCs/>
                <w:sz w:val="16"/>
                <w:szCs w:val="16"/>
              </w:rPr>
            </w:pPr>
            <w:r w:rsidRPr="006B42D6">
              <w:rPr>
                <w:b/>
                <w:bCs/>
                <w:sz w:val="16"/>
                <w:szCs w:val="16"/>
              </w:rPr>
              <w:t>100.0</w:t>
            </w:r>
          </w:p>
        </w:tc>
        <w:tc>
          <w:tcPr>
            <w:tcW w:w="268" w:type="pct"/>
            <w:tcBorders>
              <w:top w:val="single" w:sz="4" w:space="0" w:color="auto"/>
              <w:left w:val="nil"/>
              <w:bottom w:val="single" w:sz="4" w:space="0" w:color="auto"/>
              <w:right w:val="nil"/>
            </w:tcBorders>
            <w:shd w:val="clear" w:color="auto" w:fill="E2EFD9" w:themeFill="accent6" w:themeFillTint="33"/>
            <w:noWrap/>
            <w:vAlign w:val="center"/>
            <w:hideMark/>
          </w:tcPr>
          <w:p w14:paraId="0ED90E1C" w14:textId="77777777" w:rsidR="008A1E55" w:rsidRPr="006B42D6" w:rsidRDefault="008A1E55" w:rsidP="00E16CAE">
            <w:pPr>
              <w:jc w:val="right"/>
              <w:rPr>
                <w:b/>
                <w:bCs/>
                <w:sz w:val="16"/>
                <w:szCs w:val="16"/>
              </w:rPr>
            </w:pPr>
            <w:r w:rsidRPr="006B42D6">
              <w:rPr>
                <w:b/>
                <w:bCs/>
                <w:sz w:val="16"/>
                <w:szCs w:val="16"/>
              </w:rPr>
              <w:t>100.0</w:t>
            </w:r>
          </w:p>
        </w:tc>
        <w:tc>
          <w:tcPr>
            <w:tcW w:w="268" w:type="pct"/>
            <w:tcBorders>
              <w:top w:val="single" w:sz="4" w:space="0" w:color="auto"/>
              <w:left w:val="nil"/>
              <w:bottom w:val="single" w:sz="4" w:space="0" w:color="auto"/>
              <w:right w:val="nil"/>
            </w:tcBorders>
            <w:shd w:val="clear" w:color="auto" w:fill="E2EFD9" w:themeFill="accent6" w:themeFillTint="33"/>
            <w:noWrap/>
            <w:vAlign w:val="center"/>
            <w:hideMark/>
          </w:tcPr>
          <w:p w14:paraId="37FF1174" w14:textId="77777777" w:rsidR="008A1E55" w:rsidRPr="006B42D6" w:rsidRDefault="008A1E55" w:rsidP="00E16CAE">
            <w:pPr>
              <w:jc w:val="right"/>
              <w:rPr>
                <w:b/>
                <w:bCs/>
                <w:sz w:val="16"/>
                <w:szCs w:val="16"/>
              </w:rPr>
            </w:pPr>
            <w:r w:rsidRPr="006B42D6">
              <w:rPr>
                <w:b/>
                <w:bCs/>
                <w:sz w:val="16"/>
                <w:szCs w:val="16"/>
              </w:rPr>
              <w:t>100.0</w:t>
            </w:r>
          </w:p>
        </w:tc>
        <w:tc>
          <w:tcPr>
            <w:tcW w:w="314" w:type="pct"/>
            <w:tcBorders>
              <w:top w:val="single" w:sz="4" w:space="0" w:color="auto"/>
              <w:left w:val="nil"/>
              <w:bottom w:val="single" w:sz="4" w:space="0" w:color="auto"/>
              <w:right w:val="nil"/>
            </w:tcBorders>
            <w:shd w:val="clear" w:color="auto" w:fill="E2EFD9" w:themeFill="accent6" w:themeFillTint="33"/>
            <w:noWrap/>
            <w:vAlign w:val="center"/>
            <w:hideMark/>
          </w:tcPr>
          <w:p w14:paraId="4F4D5B58" w14:textId="77777777" w:rsidR="008A1E55" w:rsidRPr="006B42D6" w:rsidRDefault="008A1E55" w:rsidP="00E16CAE">
            <w:pPr>
              <w:jc w:val="right"/>
              <w:rPr>
                <w:b/>
                <w:bCs/>
                <w:sz w:val="16"/>
                <w:szCs w:val="16"/>
              </w:rPr>
            </w:pPr>
            <w:r w:rsidRPr="006B42D6">
              <w:rPr>
                <w:b/>
                <w:bCs/>
                <w:sz w:val="16"/>
                <w:szCs w:val="16"/>
              </w:rPr>
              <w:t>100.0</w:t>
            </w:r>
          </w:p>
        </w:tc>
        <w:tc>
          <w:tcPr>
            <w:tcW w:w="268" w:type="pct"/>
            <w:tcBorders>
              <w:top w:val="single" w:sz="4" w:space="0" w:color="auto"/>
              <w:left w:val="nil"/>
              <w:bottom w:val="single" w:sz="4" w:space="0" w:color="auto"/>
              <w:right w:val="nil"/>
            </w:tcBorders>
            <w:shd w:val="clear" w:color="auto" w:fill="E2EFD9" w:themeFill="accent6" w:themeFillTint="33"/>
            <w:noWrap/>
            <w:vAlign w:val="center"/>
            <w:hideMark/>
          </w:tcPr>
          <w:p w14:paraId="65B60E64" w14:textId="77777777" w:rsidR="008A1E55" w:rsidRPr="006B42D6" w:rsidRDefault="008A1E55" w:rsidP="00E16CAE">
            <w:pPr>
              <w:jc w:val="right"/>
              <w:rPr>
                <w:b/>
                <w:bCs/>
                <w:sz w:val="16"/>
                <w:szCs w:val="16"/>
              </w:rPr>
            </w:pPr>
            <w:r w:rsidRPr="006B42D6">
              <w:rPr>
                <w:b/>
                <w:bCs/>
                <w:sz w:val="16"/>
                <w:szCs w:val="16"/>
              </w:rPr>
              <w:t>100.0</w:t>
            </w:r>
          </w:p>
        </w:tc>
      </w:tr>
      <w:tr w:rsidR="006B42D6" w:rsidRPr="006B42D6" w14:paraId="2EF7DCCD" w14:textId="77777777" w:rsidTr="005420E0">
        <w:trPr>
          <w:trHeight w:hRule="exact" w:val="227"/>
        </w:trPr>
        <w:tc>
          <w:tcPr>
            <w:tcW w:w="606" w:type="pct"/>
            <w:tcBorders>
              <w:top w:val="nil"/>
              <w:left w:val="nil"/>
              <w:bottom w:val="nil"/>
              <w:right w:val="nil"/>
            </w:tcBorders>
            <w:shd w:val="clear" w:color="auto" w:fill="auto"/>
            <w:noWrap/>
            <w:vAlign w:val="center"/>
            <w:hideMark/>
          </w:tcPr>
          <w:p w14:paraId="4F545B99" w14:textId="77777777" w:rsidR="008A1E55" w:rsidRPr="006B42D6" w:rsidRDefault="008A1E55" w:rsidP="00E16CAE">
            <w:pPr>
              <w:rPr>
                <w:sz w:val="16"/>
                <w:szCs w:val="16"/>
              </w:rPr>
            </w:pPr>
            <w:r w:rsidRPr="006B42D6">
              <w:rPr>
                <w:sz w:val="16"/>
                <w:szCs w:val="16"/>
              </w:rPr>
              <w:t>Kaskazini Unguja</w:t>
            </w:r>
          </w:p>
        </w:tc>
        <w:tc>
          <w:tcPr>
            <w:tcW w:w="345" w:type="pct"/>
            <w:tcBorders>
              <w:top w:val="nil"/>
              <w:left w:val="nil"/>
              <w:bottom w:val="nil"/>
              <w:right w:val="nil"/>
            </w:tcBorders>
            <w:shd w:val="clear" w:color="auto" w:fill="auto"/>
            <w:noWrap/>
            <w:vAlign w:val="center"/>
            <w:hideMark/>
          </w:tcPr>
          <w:p w14:paraId="724AE375" w14:textId="77777777" w:rsidR="008A1E55" w:rsidRPr="006B42D6" w:rsidRDefault="008A1E55" w:rsidP="00E16CAE">
            <w:pPr>
              <w:jc w:val="right"/>
              <w:rPr>
                <w:sz w:val="16"/>
                <w:szCs w:val="16"/>
              </w:rPr>
            </w:pPr>
            <w:r w:rsidRPr="006B42D6">
              <w:rPr>
                <w:sz w:val="16"/>
                <w:szCs w:val="16"/>
              </w:rPr>
              <w:t>19.3</w:t>
            </w:r>
          </w:p>
        </w:tc>
        <w:tc>
          <w:tcPr>
            <w:tcW w:w="337" w:type="pct"/>
            <w:tcBorders>
              <w:top w:val="nil"/>
              <w:left w:val="nil"/>
              <w:bottom w:val="nil"/>
              <w:right w:val="nil"/>
            </w:tcBorders>
            <w:shd w:val="clear" w:color="auto" w:fill="auto"/>
            <w:noWrap/>
            <w:vAlign w:val="center"/>
            <w:hideMark/>
          </w:tcPr>
          <w:p w14:paraId="3E04E867" w14:textId="77777777" w:rsidR="008A1E55" w:rsidRPr="006B42D6" w:rsidRDefault="008A1E55" w:rsidP="00E16CAE">
            <w:pPr>
              <w:jc w:val="right"/>
              <w:rPr>
                <w:sz w:val="16"/>
                <w:szCs w:val="16"/>
              </w:rPr>
            </w:pPr>
            <w:r w:rsidRPr="006B42D6">
              <w:rPr>
                <w:sz w:val="16"/>
                <w:szCs w:val="16"/>
              </w:rPr>
              <w:t>12.3</w:t>
            </w:r>
          </w:p>
        </w:tc>
        <w:tc>
          <w:tcPr>
            <w:tcW w:w="353" w:type="pct"/>
            <w:tcBorders>
              <w:top w:val="nil"/>
              <w:left w:val="nil"/>
              <w:bottom w:val="nil"/>
              <w:right w:val="nil"/>
            </w:tcBorders>
            <w:shd w:val="clear" w:color="auto" w:fill="auto"/>
            <w:noWrap/>
            <w:vAlign w:val="center"/>
            <w:hideMark/>
          </w:tcPr>
          <w:p w14:paraId="5D549CA5" w14:textId="77777777" w:rsidR="008A1E55" w:rsidRPr="006B42D6" w:rsidRDefault="008A1E55" w:rsidP="00E16CAE">
            <w:pPr>
              <w:jc w:val="right"/>
              <w:rPr>
                <w:sz w:val="16"/>
                <w:szCs w:val="16"/>
              </w:rPr>
            </w:pPr>
            <w:r w:rsidRPr="006B42D6">
              <w:rPr>
                <w:sz w:val="16"/>
                <w:szCs w:val="16"/>
              </w:rPr>
              <w:t>-</w:t>
            </w:r>
          </w:p>
        </w:tc>
        <w:tc>
          <w:tcPr>
            <w:tcW w:w="399" w:type="pct"/>
            <w:tcBorders>
              <w:top w:val="nil"/>
              <w:left w:val="nil"/>
              <w:bottom w:val="nil"/>
              <w:right w:val="nil"/>
            </w:tcBorders>
            <w:shd w:val="clear" w:color="auto" w:fill="auto"/>
            <w:noWrap/>
            <w:vAlign w:val="center"/>
            <w:hideMark/>
          </w:tcPr>
          <w:p w14:paraId="120A4EFE" w14:textId="77777777" w:rsidR="008A1E55" w:rsidRPr="006B42D6" w:rsidRDefault="008A1E55" w:rsidP="00E16CAE">
            <w:pPr>
              <w:jc w:val="right"/>
              <w:rPr>
                <w:sz w:val="16"/>
                <w:szCs w:val="16"/>
              </w:rPr>
            </w:pPr>
            <w:r w:rsidRPr="006B42D6">
              <w:rPr>
                <w:sz w:val="16"/>
                <w:szCs w:val="16"/>
              </w:rPr>
              <w:t>6.6</w:t>
            </w:r>
          </w:p>
        </w:tc>
        <w:tc>
          <w:tcPr>
            <w:tcW w:w="386" w:type="pct"/>
            <w:tcBorders>
              <w:top w:val="nil"/>
              <w:left w:val="nil"/>
              <w:bottom w:val="nil"/>
              <w:right w:val="nil"/>
            </w:tcBorders>
            <w:shd w:val="clear" w:color="auto" w:fill="auto"/>
            <w:noWrap/>
            <w:vAlign w:val="center"/>
            <w:hideMark/>
          </w:tcPr>
          <w:p w14:paraId="30853314" w14:textId="77777777" w:rsidR="008A1E55" w:rsidRPr="006B42D6" w:rsidRDefault="008A1E55" w:rsidP="00E16CAE">
            <w:pPr>
              <w:jc w:val="right"/>
              <w:rPr>
                <w:sz w:val="16"/>
                <w:szCs w:val="16"/>
              </w:rPr>
            </w:pPr>
            <w:r w:rsidRPr="006B42D6">
              <w:rPr>
                <w:sz w:val="16"/>
                <w:szCs w:val="16"/>
              </w:rPr>
              <w:t>-</w:t>
            </w:r>
          </w:p>
        </w:tc>
        <w:tc>
          <w:tcPr>
            <w:tcW w:w="452" w:type="pct"/>
            <w:tcBorders>
              <w:top w:val="nil"/>
              <w:left w:val="nil"/>
              <w:bottom w:val="nil"/>
              <w:right w:val="nil"/>
            </w:tcBorders>
            <w:shd w:val="clear" w:color="auto" w:fill="auto"/>
            <w:noWrap/>
            <w:vAlign w:val="center"/>
            <w:hideMark/>
          </w:tcPr>
          <w:p w14:paraId="010540B7" w14:textId="77777777" w:rsidR="008A1E55" w:rsidRPr="006B42D6" w:rsidRDefault="008A1E55" w:rsidP="00E16CAE">
            <w:pPr>
              <w:jc w:val="right"/>
              <w:rPr>
                <w:sz w:val="16"/>
                <w:szCs w:val="16"/>
              </w:rPr>
            </w:pPr>
            <w:r w:rsidRPr="006B42D6">
              <w:rPr>
                <w:sz w:val="16"/>
                <w:szCs w:val="16"/>
              </w:rPr>
              <w:t>4.2</w:t>
            </w:r>
          </w:p>
        </w:tc>
        <w:tc>
          <w:tcPr>
            <w:tcW w:w="353" w:type="pct"/>
            <w:tcBorders>
              <w:top w:val="nil"/>
              <w:left w:val="nil"/>
              <w:bottom w:val="nil"/>
              <w:right w:val="nil"/>
            </w:tcBorders>
            <w:shd w:val="clear" w:color="auto" w:fill="auto"/>
            <w:noWrap/>
            <w:vAlign w:val="center"/>
            <w:hideMark/>
          </w:tcPr>
          <w:p w14:paraId="419053AB" w14:textId="77777777" w:rsidR="008A1E55" w:rsidRPr="006B42D6" w:rsidRDefault="008A1E55" w:rsidP="00E16CAE">
            <w:pPr>
              <w:jc w:val="right"/>
              <w:rPr>
                <w:sz w:val="16"/>
                <w:szCs w:val="16"/>
              </w:rPr>
            </w:pPr>
            <w:r w:rsidRPr="006B42D6">
              <w:rPr>
                <w:sz w:val="16"/>
                <w:szCs w:val="16"/>
              </w:rPr>
              <w:t>-</w:t>
            </w:r>
          </w:p>
        </w:tc>
        <w:tc>
          <w:tcPr>
            <w:tcW w:w="383" w:type="pct"/>
            <w:tcBorders>
              <w:top w:val="nil"/>
              <w:left w:val="nil"/>
              <w:bottom w:val="nil"/>
              <w:right w:val="nil"/>
            </w:tcBorders>
            <w:shd w:val="clear" w:color="auto" w:fill="auto"/>
            <w:noWrap/>
            <w:vAlign w:val="center"/>
            <w:hideMark/>
          </w:tcPr>
          <w:p w14:paraId="58E6A0E3" w14:textId="77777777" w:rsidR="008A1E55" w:rsidRPr="006B42D6" w:rsidRDefault="008A1E55" w:rsidP="00E16CAE">
            <w:pPr>
              <w:jc w:val="right"/>
              <w:rPr>
                <w:sz w:val="16"/>
                <w:szCs w:val="16"/>
              </w:rPr>
            </w:pPr>
            <w:r w:rsidRPr="006B42D6">
              <w:rPr>
                <w:sz w:val="16"/>
                <w:szCs w:val="16"/>
              </w:rPr>
              <w:t>-</w:t>
            </w:r>
          </w:p>
        </w:tc>
        <w:tc>
          <w:tcPr>
            <w:tcW w:w="268" w:type="pct"/>
            <w:tcBorders>
              <w:top w:val="nil"/>
              <w:left w:val="nil"/>
              <w:bottom w:val="nil"/>
              <w:right w:val="nil"/>
            </w:tcBorders>
            <w:shd w:val="clear" w:color="auto" w:fill="auto"/>
            <w:noWrap/>
            <w:vAlign w:val="center"/>
            <w:hideMark/>
          </w:tcPr>
          <w:p w14:paraId="22B6FAA2" w14:textId="77777777" w:rsidR="008A1E55" w:rsidRPr="006B42D6" w:rsidRDefault="008A1E55" w:rsidP="00E16CAE">
            <w:pPr>
              <w:jc w:val="right"/>
              <w:rPr>
                <w:sz w:val="16"/>
                <w:szCs w:val="16"/>
              </w:rPr>
            </w:pPr>
            <w:r w:rsidRPr="006B42D6">
              <w:rPr>
                <w:sz w:val="16"/>
                <w:szCs w:val="16"/>
              </w:rPr>
              <w:t>100.0</w:t>
            </w:r>
          </w:p>
        </w:tc>
        <w:tc>
          <w:tcPr>
            <w:tcW w:w="268" w:type="pct"/>
            <w:tcBorders>
              <w:top w:val="nil"/>
              <w:left w:val="nil"/>
              <w:bottom w:val="nil"/>
              <w:right w:val="nil"/>
            </w:tcBorders>
            <w:shd w:val="clear" w:color="auto" w:fill="auto"/>
            <w:noWrap/>
            <w:vAlign w:val="center"/>
            <w:hideMark/>
          </w:tcPr>
          <w:p w14:paraId="60B9EE58" w14:textId="77777777" w:rsidR="008A1E55" w:rsidRPr="006B42D6" w:rsidRDefault="008A1E55" w:rsidP="00E16CAE">
            <w:pPr>
              <w:jc w:val="right"/>
              <w:rPr>
                <w:sz w:val="16"/>
                <w:szCs w:val="16"/>
              </w:rPr>
            </w:pPr>
            <w:r w:rsidRPr="006B42D6">
              <w:rPr>
                <w:sz w:val="16"/>
                <w:szCs w:val="16"/>
              </w:rPr>
              <w:t>100.0</w:t>
            </w:r>
          </w:p>
        </w:tc>
        <w:tc>
          <w:tcPr>
            <w:tcW w:w="268" w:type="pct"/>
            <w:tcBorders>
              <w:top w:val="nil"/>
              <w:left w:val="nil"/>
              <w:bottom w:val="nil"/>
              <w:right w:val="nil"/>
            </w:tcBorders>
            <w:shd w:val="clear" w:color="auto" w:fill="auto"/>
            <w:noWrap/>
            <w:vAlign w:val="center"/>
            <w:hideMark/>
          </w:tcPr>
          <w:p w14:paraId="57F98979" w14:textId="77777777" w:rsidR="008A1E55" w:rsidRPr="006B42D6" w:rsidRDefault="008A1E55" w:rsidP="00E16CAE">
            <w:pPr>
              <w:jc w:val="right"/>
              <w:rPr>
                <w:sz w:val="16"/>
                <w:szCs w:val="16"/>
              </w:rPr>
            </w:pPr>
            <w:r w:rsidRPr="006B42D6">
              <w:rPr>
                <w:sz w:val="16"/>
                <w:szCs w:val="16"/>
              </w:rPr>
              <w:t>-</w:t>
            </w:r>
          </w:p>
        </w:tc>
        <w:tc>
          <w:tcPr>
            <w:tcW w:w="314" w:type="pct"/>
            <w:tcBorders>
              <w:top w:val="nil"/>
              <w:left w:val="nil"/>
              <w:bottom w:val="nil"/>
              <w:right w:val="nil"/>
            </w:tcBorders>
            <w:shd w:val="clear" w:color="auto" w:fill="auto"/>
            <w:noWrap/>
            <w:vAlign w:val="center"/>
            <w:hideMark/>
          </w:tcPr>
          <w:p w14:paraId="1B1BC931" w14:textId="77777777" w:rsidR="008A1E55" w:rsidRPr="006B42D6" w:rsidRDefault="008A1E55" w:rsidP="00E16CAE">
            <w:pPr>
              <w:jc w:val="right"/>
              <w:rPr>
                <w:sz w:val="16"/>
                <w:szCs w:val="16"/>
              </w:rPr>
            </w:pPr>
            <w:r w:rsidRPr="006B42D6">
              <w:rPr>
                <w:sz w:val="16"/>
                <w:szCs w:val="16"/>
              </w:rPr>
              <w:t>57.0</w:t>
            </w:r>
          </w:p>
        </w:tc>
        <w:tc>
          <w:tcPr>
            <w:tcW w:w="268" w:type="pct"/>
            <w:tcBorders>
              <w:top w:val="nil"/>
              <w:left w:val="nil"/>
              <w:bottom w:val="nil"/>
              <w:right w:val="nil"/>
            </w:tcBorders>
            <w:shd w:val="clear" w:color="auto" w:fill="auto"/>
            <w:noWrap/>
            <w:vAlign w:val="center"/>
            <w:hideMark/>
          </w:tcPr>
          <w:p w14:paraId="1402154D" w14:textId="77777777" w:rsidR="008A1E55" w:rsidRPr="006B42D6" w:rsidRDefault="008A1E55" w:rsidP="00E16CAE">
            <w:pPr>
              <w:jc w:val="right"/>
              <w:rPr>
                <w:sz w:val="16"/>
                <w:szCs w:val="16"/>
              </w:rPr>
            </w:pPr>
            <w:r w:rsidRPr="006B42D6">
              <w:rPr>
                <w:sz w:val="16"/>
                <w:szCs w:val="16"/>
              </w:rPr>
              <w:t>-</w:t>
            </w:r>
          </w:p>
        </w:tc>
      </w:tr>
      <w:tr w:rsidR="006B42D6" w:rsidRPr="006B42D6" w14:paraId="211E9611" w14:textId="77777777" w:rsidTr="005420E0">
        <w:trPr>
          <w:trHeight w:hRule="exact" w:val="227"/>
        </w:trPr>
        <w:tc>
          <w:tcPr>
            <w:tcW w:w="606" w:type="pct"/>
            <w:tcBorders>
              <w:top w:val="nil"/>
              <w:left w:val="nil"/>
              <w:bottom w:val="nil"/>
              <w:right w:val="nil"/>
            </w:tcBorders>
            <w:shd w:val="clear" w:color="auto" w:fill="auto"/>
            <w:noWrap/>
            <w:vAlign w:val="center"/>
            <w:hideMark/>
          </w:tcPr>
          <w:p w14:paraId="75DE764B" w14:textId="77777777" w:rsidR="008A1E55" w:rsidRPr="006B42D6" w:rsidRDefault="008A1E55" w:rsidP="00E16CAE">
            <w:pPr>
              <w:rPr>
                <w:sz w:val="16"/>
                <w:szCs w:val="16"/>
              </w:rPr>
            </w:pPr>
            <w:r w:rsidRPr="006B42D6">
              <w:rPr>
                <w:sz w:val="16"/>
                <w:szCs w:val="16"/>
              </w:rPr>
              <w:t>Kusini Unguja</w:t>
            </w:r>
          </w:p>
        </w:tc>
        <w:tc>
          <w:tcPr>
            <w:tcW w:w="345" w:type="pct"/>
            <w:tcBorders>
              <w:top w:val="nil"/>
              <w:left w:val="nil"/>
              <w:bottom w:val="nil"/>
              <w:right w:val="nil"/>
            </w:tcBorders>
            <w:shd w:val="clear" w:color="auto" w:fill="auto"/>
            <w:noWrap/>
            <w:vAlign w:val="center"/>
            <w:hideMark/>
          </w:tcPr>
          <w:p w14:paraId="726D0292" w14:textId="77777777" w:rsidR="008A1E55" w:rsidRPr="006B42D6" w:rsidRDefault="008A1E55" w:rsidP="00E16CAE">
            <w:pPr>
              <w:jc w:val="right"/>
              <w:rPr>
                <w:sz w:val="16"/>
                <w:szCs w:val="16"/>
              </w:rPr>
            </w:pPr>
            <w:r w:rsidRPr="006B42D6">
              <w:rPr>
                <w:sz w:val="16"/>
                <w:szCs w:val="16"/>
              </w:rPr>
              <w:t>8.3</w:t>
            </w:r>
          </w:p>
        </w:tc>
        <w:tc>
          <w:tcPr>
            <w:tcW w:w="337" w:type="pct"/>
            <w:tcBorders>
              <w:top w:val="nil"/>
              <w:left w:val="nil"/>
              <w:bottom w:val="nil"/>
              <w:right w:val="nil"/>
            </w:tcBorders>
            <w:shd w:val="clear" w:color="auto" w:fill="auto"/>
            <w:noWrap/>
            <w:vAlign w:val="center"/>
            <w:hideMark/>
          </w:tcPr>
          <w:p w14:paraId="5B088775" w14:textId="77777777" w:rsidR="008A1E55" w:rsidRPr="006B42D6" w:rsidRDefault="008A1E55" w:rsidP="00E16CAE">
            <w:pPr>
              <w:jc w:val="right"/>
              <w:rPr>
                <w:sz w:val="16"/>
                <w:szCs w:val="16"/>
              </w:rPr>
            </w:pPr>
            <w:r w:rsidRPr="006B42D6">
              <w:rPr>
                <w:sz w:val="16"/>
                <w:szCs w:val="16"/>
              </w:rPr>
              <w:t>16.7</w:t>
            </w:r>
          </w:p>
        </w:tc>
        <w:tc>
          <w:tcPr>
            <w:tcW w:w="353" w:type="pct"/>
            <w:tcBorders>
              <w:top w:val="nil"/>
              <w:left w:val="nil"/>
              <w:bottom w:val="nil"/>
              <w:right w:val="nil"/>
            </w:tcBorders>
            <w:shd w:val="clear" w:color="auto" w:fill="auto"/>
            <w:noWrap/>
            <w:vAlign w:val="center"/>
            <w:hideMark/>
          </w:tcPr>
          <w:p w14:paraId="71418D69" w14:textId="77777777" w:rsidR="008A1E55" w:rsidRPr="006B42D6" w:rsidRDefault="008A1E55" w:rsidP="00E16CAE">
            <w:pPr>
              <w:jc w:val="right"/>
              <w:rPr>
                <w:sz w:val="16"/>
                <w:szCs w:val="16"/>
              </w:rPr>
            </w:pPr>
            <w:r w:rsidRPr="006B42D6">
              <w:rPr>
                <w:sz w:val="16"/>
                <w:szCs w:val="16"/>
              </w:rPr>
              <w:t>88.0</w:t>
            </w:r>
          </w:p>
        </w:tc>
        <w:tc>
          <w:tcPr>
            <w:tcW w:w="399" w:type="pct"/>
            <w:tcBorders>
              <w:top w:val="nil"/>
              <w:left w:val="nil"/>
              <w:bottom w:val="nil"/>
              <w:right w:val="nil"/>
            </w:tcBorders>
            <w:shd w:val="clear" w:color="auto" w:fill="auto"/>
            <w:noWrap/>
            <w:vAlign w:val="center"/>
            <w:hideMark/>
          </w:tcPr>
          <w:p w14:paraId="7ADAE349" w14:textId="77777777" w:rsidR="008A1E55" w:rsidRPr="006B42D6" w:rsidRDefault="008A1E55" w:rsidP="00E16CAE">
            <w:pPr>
              <w:jc w:val="right"/>
              <w:rPr>
                <w:sz w:val="16"/>
                <w:szCs w:val="16"/>
              </w:rPr>
            </w:pPr>
            <w:r w:rsidRPr="006B42D6">
              <w:rPr>
                <w:sz w:val="16"/>
                <w:szCs w:val="16"/>
              </w:rPr>
              <w:t>10.7</w:t>
            </w:r>
          </w:p>
        </w:tc>
        <w:tc>
          <w:tcPr>
            <w:tcW w:w="386" w:type="pct"/>
            <w:tcBorders>
              <w:top w:val="nil"/>
              <w:left w:val="nil"/>
              <w:bottom w:val="nil"/>
              <w:right w:val="nil"/>
            </w:tcBorders>
            <w:shd w:val="clear" w:color="auto" w:fill="auto"/>
            <w:noWrap/>
            <w:vAlign w:val="center"/>
            <w:hideMark/>
          </w:tcPr>
          <w:p w14:paraId="3A4E6852" w14:textId="77777777" w:rsidR="008A1E55" w:rsidRPr="006B42D6" w:rsidRDefault="008A1E55" w:rsidP="00E16CAE">
            <w:pPr>
              <w:jc w:val="right"/>
              <w:rPr>
                <w:sz w:val="16"/>
                <w:szCs w:val="16"/>
              </w:rPr>
            </w:pPr>
            <w:r w:rsidRPr="006B42D6">
              <w:rPr>
                <w:sz w:val="16"/>
                <w:szCs w:val="16"/>
              </w:rPr>
              <w:t>100.0</w:t>
            </w:r>
          </w:p>
        </w:tc>
        <w:tc>
          <w:tcPr>
            <w:tcW w:w="452" w:type="pct"/>
            <w:tcBorders>
              <w:top w:val="nil"/>
              <w:left w:val="nil"/>
              <w:bottom w:val="nil"/>
              <w:right w:val="nil"/>
            </w:tcBorders>
            <w:shd w:val="clear" w:color="auto" w:fill="auto"/>
            <w:noWrap/>
            <w:vAlign w:val="center"/>
            <w:hideMark/>
          </w:tcPr>
          <w:p w14:paraId="6D04F4EB" w14:textId="77777777" w:rsidR="008A1E55" w:rsidRPr="006B42D6" w:rsidRDefault="008A1E55" w:rsidP="00E16CAE">
            <w:pPr>
              <w:jc w:val="right"/>
              <w:rPr>
                <w:sz w:val="16"/>
                <w:szCs w:val="16"/>
              </w:rPr>
            </w:pPr>
            <w:r w:rsidRPr="006B42D6">
              <w:rPr>
                <w:sz w:val="16"/>
                <w:szCs w:val="16"/>
              </w:rPr>
              <w:t>-</w:t>
            </w:r>
          </w:p>
        </w:tc>
        <w:tc>
          <w:tcPr>
            <w:tcW w:w="353" w:type="pct"/>
            <w:tcBorders>
              <w:top w:val="nil"/>
              <w:left w:val="nil"/>
              <w:bottom w:val="nil"/>
              <w:right w:val="nil"/>
            </w:tcBorders>
            <w:shd w:val="clear" w:color="auto" w:fill="auto"/>
            <w:noWrap/>
            <w:vAlign w:val="center"/>
            <w:hideMark/>
          </w:tcPr>
          <w:p w14:paraId="7234C11F" w14:textId="77777777" w:rsidR="008A1E55" w:rsidRPr="006B42D6" w:rsidRDefault="008A1E55" w:rsidP="00E16CAE">
            <w:pPr>
              <w:jc w:val="right"/>
              <w:rPr>
                <w:sz w:val="16"/>
                <w:szCs w:val="16"/>
              </w:rPr>
            </w:pPr>
            <w:r w:rsidRPr="006B42D6">
              <w:rPr>
                <w:sz w:val="16"/>
                <w:szCs w:val="16"/>
              </w:rPr>
              <w:t>100.0</w:t>
            </w:r>
          </w:p>
        </w:tc>
        <w:tc>
          <w:tcPr>
            <w:tcW w:w="383" w:type="pct"/>
            <w:tcBorders>
              <w:top w:val="nil"/>
              <w:left w:val="nil"/>
              <w:bottom w:val="nil"/>
              <w:right w:val="nil"/>
            </w:tcBorders>
            <w:shd w:val="clear" w:color="auto" w:fill="auto"/>
            <w:noWrap/>
            <w:vAlign w:val="center"/>
            <w:hideMark/>
          </w:tcPr>
          <w:p w14:paraId="6CE1B5E0" w14:textId="77777777" w:rsidR="008A1E55" w:rsidRPr="006B42D6" w:rsidRDefault="008A1E55" w:rsidP="00E16CAE">
            <w:pPr>
              <w:jc w:val="right"/>
              <w:rPr>
                <w:sz w:val="16"/>
                <w:szCs w:val="16"/>
              </w:rPr>
            </w:pPr>
            <w:r w:rsidRPr="006B42D6">
              <w:rPr>
                <w:sz w:val="16"/>
                <w:szCs w:val="16"/>
              </w:rPr>
              <w:t>100.0</w:t>
            </w:r>
          </w:p>
        </w:tc>
        <w:tc>
          <w:tcPr>
            <w:tcW w:w="268" w:type="pct"/>
            <w:tcBorders>
              <w:top w:val="nil"/>
              <w:left w:val="nil"/>
              <w:bottom w:val="nil"/>
              <w:right w:val="nil"/>
            </w:tcBorders>
            <w:shd w:val="clear" w:color="auto" w:fill="auto"/>
            <w:noWrap/>
            <w:vAlign w:val="center"/>
            <w:hideMark/>
          </w:tcPr>
          <w:p w14:paraId="2A0B36B5" w14:textId="77777777" w:rsidR="008A1E55" w:rsidRPr="006B42D6" w:rsidRDefault="008A1E55" w:rsidP="00E16CAE">
            <w:pPr>
              <w:jc w:val="right"/>
              <w:rPr>
                <w:sz w:val="16"/>
                <w:szCs w:val="16"/>
              </w:rPr>
            </w:pPr>
            <w:r w:rsidRPr="006B42D6">
              <w:rPr>
                <w:sz w:val="16"/>
                <w:szCs w:val="16"/>
              </w:rPr>
              <w:t>-</w:t>
            </w:r>
          </w:p>
        </w:tc>
        <w:tc>
          <w:tcPr>
            <w:tcW w:w="268" w:type="pct"/>
            <w:tcBorders>
              <w:top w:val="nil"/>
              <w:left w:val="nil"/>
              <w:bottom w:val="nil"/>
              <w:right w:val="nil"/>
            </w:tcBorders>
            <w:shd w:val="clear" w:color="auto" w:fill="auto"/>
            <w:noWrap/>
            <w:vAlign w:val="center"/>
            <w:hideMark/>
          </w:tcPr>
          <w:p w14:paraId="0B3E79A0" w14:textId="77777777" w:rsidR="008A1E55" w:rsidRPr="006B42D6" w:rsidRDefault="008A1E55" w:rsidP="00E16CAE">
            <w:pPr>
              <w:jc w:val="right"/>
              <w:rPr>
                <w:sz w:val="16"/>
                <w:szCs w:val="16"/>
              </w:rPr>
            </w:pPr>
            <w:r w:rsidRPr="006B42D6">
              <w:rPr>
                <w:sz w:val="16"/>
                <w:szCs w:val="16"/>
              </w:rPr>
              <w:t>-</w:t>
            </w:r>
          </w:p>
        </w:tc>
        <w:tc>
          <w:tcPr>
            <w:tcW w:w="268" w:type="pct"/>
            <w:tcBorders>
              <w:top w:val="nil"/>
              <w:left w:val="nil"/>
              <w:bottom w:val="nil"/>
              <w:right w:val="nil"/>
            </w:tcBorders>
            <w:shd w:val="clear" w:color="auto" w:fill="auto"/>
            <w:noWrap/>
            <w:vAlign w:val="center"/>
            <w:hideMark/>
          </w:tcPr>
          <w:p w14:paraId="76CCA79E" w14:textId="77777777" w:rsidR="008A1E55" w:rsidRPr="006B42D6" w:rsidRDefault="008A1E55" w:rsidP="00E16CAE">
            <w:pPr>
              <w:jc w:val="right"/>
              <w:rPr>
                <w:sz w:val="16"/>
                <w:szCs w:val="16"/>
              </w:rPr>
            </w:pPr>
            <w:r w:rsidRPr="006B42D6">
              <w:rPr>
                <w:sz w:val="16"/>
                <w:szCs w:val="16"/>
              </w:rPr>
              <w:t>-</w:t>
            </w:r>
          </w:p>
        </w:tc>
        <w:tc>
          <w:tcPr>
            <w:tcW w:w="314" w:type="pct"/>
            <w:tcBorders>
              <w:top w:val="nil"/>
              <w:left w:val="nil"/>
              <w:bottom w:val="nil"/>
              <w:right w:val="nil"/>
            </w:tcBorders>
            <w:shd w:val="clear" w:color="auto" w:fill="auto"/>
            <w:noWrap/>
            <w:vAlign w:val="center"/>
            <w:hideMark/>
          </w:tcPr>
          <w:p w14:paraId="244756F4" w14:textId="77777777" w:rsidR="008A1E55" w:rsidRPr="006B42D6" w:rsidRDefault="008A1E55" w:rsidP="00E16CAE">
            <w:pPr>
              <w:jc w:val="right"/>
              <w:rPr>
                <w:sz w:val="16"/>
                <w:szCs w:val="16"/>
              </w:rPr>
            </w:pPr>
            <w:r w:rsidRPr="006B42D6">
              <w:rPr>
                <w:sz w:val="16"/>
                <w:szCs w:val="16"/>
              </w:rPr>
              <w:t>-</w:t>
            </w:r>
          </w:p>
        </w:tc>
        <w:tc>
          <w:tcPr>
            <w:tcW w:w="268" w:type="pct"/>
            <w:tcBorders>
              <w:top w:val="nil"/>
              <w:left w:val="nil"/>
              <w:bottom w:val="nil"/>
              <w:right w:val="nil"/>
            </w:tcBorders>
            <w:shd w:val="clear" w:color="auto" w:fill="auto"/>
            <w:noWrap/>
            <w:vAlign w:val="center"/>
            <w:hideMark/>
          </w:tcPr>
          <w:p w14:paraId="5FDFA089" w14:textId="77777777" w:rsidR="008A1E55" w:rsidRPr="006B42D6" w:rsidRDefault="008A1E55" w:rsidP="00E16CAE">
            <w:pPr>
              <w:jc w:val="right"/>
              <w:rPr>
                <w:sz w:val="16"/>
                <w:szCs w:val="16"/>
              </w:rPr>
            </w:pPr>
            <w:r w:rsidRPr="006B42D6">
              <w:rPr>
                <w:sz w:val="16"/>
                <w:szCs w:val="16"/>
              </w:rPr>
              <w:t>-</w:t>
            </w:r>
          </w:p>
        </w:tc>
      </w:tr>
      <w:tr w:rsidR="006B42D6" w:rsidRPr="006B42D6" w14:paraId="039BCE30" w14:textId="77777777" w:rsidTr="005420E0">
        <w:trPr>
          <w:trHeight w:hRule="exact" w:val="227"/>
        </w:trPr>
        <w:tc>
          <w:tcPr>
            <w:tcW w:w="606" w:type="pct"/>
            <w:tcBorders>
              <w:top w:val="nil"/>
              <w:left w:val="nil"/>
              <w:bottom w:val="nil"/>
              <w:right w:val="nil"/>
            </w:tcBorders>
            <w:shd w:val="clear" w:color="auto" w:fill="auto"/>
            <w:noWrap/>
            <w:vAlign w:val="center"/>
            <w:hideMark/>
          </w:tcPr>
          <w:p w14:paraId="2D6FCC0A" w14:textId="77777777" w:rsidR="008A1E55" w:rsidRPr="006B42D6" w:rsidRDefault="008A1E55" w:rsidP="00E16CAE">
            <w:pPr>
              <w:rPr>
                <w:sz w:val="16"/>
                <w:szCs w:val="16"/>
              </w:rPr>
            </w:pPr>
            <w:r w:rsidRPr="006B42D6">
              <w:rPr>
                <w:sz w:val="16"/>
                <w:szCs w:val="16"/>
              </w:rPr>
              <w:t>Mjini Magharibi</w:t>
            </w:r>
          </w:p>
        </w:tc>
        <w:tc>
          <w:tcPr>
            <w:tcW w:w="345" w:type="pct"/>
            <w:tcBorders>
              <w:top w:val="nil"/>
              <w:left w:val="nil"/>
              <w:bottom w:val="nil"/>
              <w:right w:val="nil"/>
            </w:tcBorders>
            <w:shd w:val="clear" w:color="auto" w:fill="auto"/>
            <w:noWrap/>
            <w:vAlign w:val="center"/>
            <w:hideMark/>
          </w:tcPr>
          <w:p w14:paraId="34F36883" w14:textId="77777777" w:rsidR="008A1E55" w:rsidRPr="006B42D6" w:rsidRDefault="008A1E55" w:rsidP="00E16CAE">
            <w:pPr>
              <w:jc w:val="right"/>
              <w:rPr>
                <w:sz w:val="16"/>
                <w:szCs w:val="16"/>
              </w:rPr>
            </w:pPr>
            <w:r w:rsidRPr="006B42D6">
              <w:rPr>
                <w:sz w:val="16"/>
                <w:szCs w:val="16"/>
              </w:rPr>
              <w:t>14.2</w:t>
            </w:r>
          </w:p>
        </w:tc>
        <w:tc>
          <w:tcPr>
            <w:tcW w:w="337" w:type="pct"/>
            <w:tcBorders>
              <w:top w:val="nil"/>
              <w:left w:val="nil"/>
              <w:bottom w:val="nil"/>
              <w:right w:val="nil"/>
            </w:tcBorders>
            <w:shd w:val="clear" w:color="auto" w:fill="auto"/>
            <w:noWrap/>
            <w:vAlign w:val="center"/>
            <w:hideMark/>
          </w:tcPr>
          <w:p w14:paraId="78FD2B00" w14:textId="77777777" w:rsidR="008A1E55" w:rsidRPr="006B42D6" w:rsidRDefault="008A1E55" w:rsidP="00E16CAE">
            <w:pPr>
              <w:jc w:val="right"/>
              <w:rPr>
                <w:sz w:val="16"/>
                <w:szCs w:val="16"/>
              </w:rPr>
            </w:pPr>
            <w:r w:rsidRPr="006B42D6">
              <w:rPr>
                <w:sz w:val="16"/>
                <w:szCs w:val="16"/>
              </w:rPr>
              <w:t>51.5</w:t>
            </w:r>
          </w:p>
        </w:tc>
        <w:tc>
          <w:tcPr>
            <w:tcW w:w="353" w:type="pct"/>
            <w:tcBorders>
              <w:top w:val="nil"/>
              <w:left w:val="nil"/>
              <w:bottom w:val="nil"/>
              <w:right w:val="nil"/>
            </w:tcBorders>
            <w:shd w:val="clear" w:color="auto" w:fill="auto"/>
            <w:noWrap/>
            <w:vAlign w:val="center"/>
            <w:hideMark/>
          </w:tcPr>
          <w:p w14:paraId="23678ECC" w14:textId="77777777" w:rsidR="008A1E55" w:rsidRPr="006B42D6" w:rsidRDefault="008A1E55" w:rsidP="00E16CAE">
            <w:pPr>
              <w:jc w:val="right"/>
              <w:rPr>
                <w:sz w:val="16"/>
                <w:szCs w:val="16"/>
              </w:rPr>
            </w:pPr>
            <w:r w:rsidRPr="006B42D6">
              <w:rPr>
                <w:sz w:val="16"/>
                <w:szCs w:val="16"/>
              </w:rPr>
              <w:t>12.0</w:t>
            </w:r>
          </w:p>
        </w:tc>
        <w:tc>
          <w:tcPr>
            <w:tcW w:w="399" w:type="pct"/>
            <w:tcBorders>
              <w:top w:val="nil"/>
              <w:left w:val="nil"/>
              <w:bottom w:val="nil"/>
              <w:right w:val="nil"/>
            </w:tcBorders>
            <w:shd w:val="clear" w:color="auto" w:fill="auto"/>
            <w:noWrap/>
            <w:vAlign w:val="center"/>
            <w:hideMark/>
          </w:tcPr>
          <w:p w14:paraId="56DDDBE2" w14:textId="77777777" w:rsidR="008A1E55" w:rsidRPr="006B42D6" w:rsidRDefault="008A1E55" w:rsidP="00E16CAE">
            <w:pPr>
              <w:jc w:val="right"/>
              <w:rPr>
                <w:sz w:val="16"/>
                <w:szCs w:val="16"/>
              </w:rPr>
            </w:pPr>
            <w:r w:rsidRPr="006B42D6">
              <w:rPr>
                <w:sz w:val="16"/>
                <w:szCs w:val="16"/>
              </w:rPr>
              <w:t>16.9</w:t>
            </w:r>
          </w:p>
        </w:tc>
        <w:tc>
          <w:tcPr>
            <w:tcW w:w="386" w:type="pct"/>
            <w:tcBorders>
              <w:top w:val="nil"/>
              <w:left w:val="nil"/>
              <w:bottom w:val="nil"/>
              <w:right w:val="nil"/>
            </w:tcBorders>
            <w:shd w:val="clear" w:color="auto" w:fill="auto"/>
            <w:noWrap/>
            <w:vAlign w:val="center"/>
            <w:hideMark/>
          </w:tcPr>
          <w:p w14:paraId="18495AA6" w14:textId="77777777" w:rsidR="008A1E55" w:rsidRPr="006B42D6" w:rsidRDefault="008A1E55" w:rsidP="00E16CAE">
            <w:pPr>
              <w:jc w:val="right"/>
              <w:rPr>
                <w:sz w:val="16"/>
                <w:szCs w:val="16"/>
              </w:rPr>
            </w:pPr>
            <w:r w:rsidRPr="006B42D6">
              <w:rPr>
                <w:sz w:val="16"/>
                <w:szCs w:val="16"/>
              </w:rPr>
              <w:t>-</w:t>
            </w:r>
          </w:p>
        </w:tc>
        <w:tc>
          <w:tcPr>
            <w:tcW w:w="452" w:type="pct"/>
            <w:tcBorders>
              <w:top w:val="nil"/>
              <w:left w:val="nil"/>
              <w:bottom w:val="nil"/>
              <w:right w:val="nil"/>
            </w:tcBorders>
            <w:shd w:val="clear" w:color="auto" w:fill="auto"/>
            <w:noWrap/>
            <w:vAlign w:val="center"/>
            <w:hideMark/>
          </w:tcPr>
          <w:p w14:paraId="51275B36" w14:textId="77777777" w:rsidR="008A1E55" w:rsidRPr="006B42D6" w:rsidRDefault="008A1E55" w:rsidP="00E16CAE">
            <w:pPr>
              <w:jc w:val="right"/>
              <w:rPr>
                <w:sz w:val="16"/>
                <w:szCs w:val="16"/>
              </w:rPr>
            </w:pPr>
            <w:r w:rsidRPr="006B42D6">
              <w:rPr>
                <w:sz w:val="16"/>
                <w:szCs w:val="16"/>
              </w:rPr>
              <w:t>95.8</w:t>
            </w:r>
          </w:p>
        </w:tc>
        <w:tc>
          <w:tcPr>
            <w:tcW w:w="353" w:type="pct"/>
            <w:tcBorders>
              <w:top w:val="nil"/>
              <w:left w:val="nil"/>
              <w:bottom w:val="nil"/>
              <w:right w:val="nil"/>
            </w:tcBorders>
            <w:shd w:val="clear" w:color="auto" w:fill="auto"/>
            <w:noWrap/>
            <w:vAlign w:val="center"/>
            <w:hideMark/>
          </w:tcPr>
          <w:p w14:paraId="6DE2F657" w14:textId="77777777" w:rsidR="008A1E55" w:rsidRPr="006B42D6" w:rsidRDefault="008A1E55" w:rsidP="00E16CAE">
            <w:pPr>
              <w:jc w:val="right"/>
              <w:rPr>
                <w:sz w:val="16"/>
                <w:szCs w:val="16"/>
              </w:rPr>
            </w:pPr>
            <w:r w:rsidRPr="006B42D6">
              <w:rPr>
                <w:sz w:val="16"/>
                <w:szCs w:val="16"/>
              </w:rPr>
              <w:t>-</w:t>
            </w:r>
          </w:p>
        </w:tc>
        <w:tc>
          <w:tcPr>
            <w:tcW w:w="383" w:type="pct"/>
            <w:tcBorders>
              <w:top w:val="nil"/>
              <w:left w:val="nil"/>
              <w:bottom w:val="nil"/>
              <w:right w:val="nil"/>
            </w:tcBorders>
            <w:shd w:val="clear" w:color="auto" w:fill="auto"/>
            <w:noWrap/>
            <w:vAlign w:val="center"/>
            <w:hideMark/>
          </w:tcPr>
          <w:p w14:paraId="37114BA3" w14:textId="77777777" w:rsidR="008A1E55" w:rsidRPr="006B42D6" w:rsidRDefault="008A1E55" w:rsidP="00E16CAE">
            <w:pPr>
              <w:jc w:val="right"/>
              <w:rPr>
                <w:sz w:val="16"/>
                <w:szCs w:val="16"/>
              </w:rPr>
            </w:pPr>
            <w:r w:rsidRPr="006B42D6">
              <w:rPr>
                <w:sz w:val="16"/>
                <w:szCs w:val="16"/>
              </w:rPr>
              <w:t>-</w:t>
            </w:r>
          </w:p>
        </w:tc>
        <w:tc>
          <w:tcPr>
            <w:tcW w:w="268" w:type="pct"/>
            <w:tcBorders>
              <w:top w:val="nil"/>
              <w:left w:val="nil"/>
              <w:bottom w:val="nil"/>
              <w:right w:val="nil"/>
            </w:tcBorders>
            <w:shd w:val="clear" w:color="auto" w:fill="auto"/>
            <w:noWrap/>
            <w:vAlign w:val="center"/>
            <w:hideMark/>
          </w:tcPr>
          <w:p w14:paraId="2D8F7293" w14:textId="77777777" w:rsidR="008A1E55" w:rsidRPr="006B42D6" w:rsidRDefault="008A1E55" w:rsidP="00E16CAE">
            <w:pPr>
              <w:jc w:val="right"/>
              <w:rPr>
                <w:sz w:val="16"/>
                <w:szCs w:val="16"/>
              </w:rPr>
            </w:pPr>
            <w:r w:rsidRPr="006B42D6">
              <w:rPr>
                <w:sz w:val="16"/>
                <w:szCs w:val="16"/>
              </w:rPr>
              <w:t>-</w:t>
            </w:r>
          </w:p>
        </w:tc>
        <w:tc>
          <w:tcPr>
            <w:tcW w:w="268" w:type="pct"/>
            <w:tcBorders>
              <w:top w:val="nil"/>
              <w:left w:val="nil"/>
              <w:bottom w:val="nil"/>
              <w:right w:val="nil"/>
            </w:tcBorders>
            <w:shd w:val="clear" w:color="auto" w:fill="auto"/>
            <w:noWrap/>
            <w:vAlign w:val="center"/>
            <w:hideMark/>
          </w:tcPr>
          <w:p w14:paraId="732B3A61" w14:textId="77777777" w:rsidR="008A1E55" w:rsidRPr="006B42D6" w:rsidRDefault="008A1E55" w:rsidP="00E16CAE">
            <w:pPr>
              <w:jc w:val="right"/>
              <w:rPr>
                <w:sz w:val="16"/>
                <w:szCs w:val="16"/>
              </w:rPr>
            </w:pPr>
            <w:r w:rsidRPr="006B42D6">
              <w:rPr>
                <w:sz w:val="16"/>
                <w:szCs w:val="16"/>
              </w:rPr>
              <w:t>-</w:t>
            </w:r>
          </w:p>
        </w:tc>
        <w:tc>
          <w:tcPr>
            <w:tcW w:w="268" w:type="pct"/>
            <w:tcBorders>
              <w:top w:val="nil"/>
              <w:left w:val="nil"/>
              <w:bottom w:val="nil"/>
              <w:right w:val="nil"/>
            </w:tcBorders>
            <w:shd w:val="clear" w:color="auto" w:fill="auto"/>
            <w:noWrap/>
            <w:vAlign w:val="center"/>
            <w:hideMark/>
          </w:tcPr>
          <w:p w14:paraId="5C6B984B" w14:textId="77777777" w:rsidR="008A1E55" w:rsidRPr="006B42D6" w:rsidRDefault="008A1E55" w:rsidP="00E16CAE">
            <w:pPr>
              <w:jc w:val="right"/>
              <w:rPr>
                <w:sz w:val="16"/>
                <w:szCs w:val="16"/>
              </w:rPr>
            </w:pPr>
            <w:r w:rsidRPr="006B42D6">
              <w:rPr>
                <w:sz w:val="16"/>
                <w:szCs w:val="16"/>
              </w:rPr>
              <w:t>-</w:t>
            </w:r>
          </w:p>
        </w:tc>
        <w:tc>
          <w:tcPr>
            <w:tcW w:w="314" w:type="pct"/>
            <w:tcBorders>
              <w:top w:val="nil"/>
              <w:left w:val="nil"/>
              <w:bottom w:val="nil"/>
              <w:right w:val="nil"/>
            </w:tcBorders>
            <w:shd w:val="clear" w:color="auto" w:fill="auto"/>
            <w:noWrap/>
            <w:vAlign w:val="center"/>
            <w:hideMark/>
          </w:tcPr>
          <w:p w14:paraId="26BE553B" w14:textId="77777777" w:rsidR="008A1E55" w:rsidRPr="006B42D6" w:rsidRDefault="008A1E55" w:rsidP="00E16CAE">
            <w:pPr>
              <w:jc w:val="right"/>
              <w:rPr>
                <w:sz w:val="16"/>
                <w:szCs w:val="16"/>
              </w:rPr>
            </w:pPr>
            <w:r w:rsidRPr="006B42D6">
              <w:rPr>
                <w:sz w:val="16"/>
                <w:szCs w:val="16"/>
              </w:rPr>
              <w:t>7.2</w:t>
            </w:r>
          </w:p>
        </w:tc>
        <w:tc>
          <w:tcPr>
            <w:tcW w:w="268" w:type="pct"/>
            <w:tcBorders>
              <w:top w:val="nil"/>
              <w:left w:val="nil"/>
              <w:bottom w:val="nil"/>
              <w:right w:val="nil"/>
            </w:tcBorders>
            <w:shd w:val="clear" w:color="auto" w:fill="auto"/>
            <w:noWrap/>
            <w:vAlign w:val="center"/>
            <w:hideMark/>
          </w:tcPr>
          <w:p w14:paraId="6ED8860F" w14:textId="77777777" w:rsidR="008A1E55" w:rsidRPr="006B42D6" w:rsidRDefault="008A1E55" w:rsidP="00E16CAE">
            <w:pPr>
              <w:jc w:val="right"/>
              <w:rPr>
                <w:sz w:val="16"/>
                <w:szCs w:val="16"/>
              </w:rPr>
            </w:pPr>
            <w:r w:rsidRPr="006B42D6">
              <w:rPr>
                <w:sz w:val="16"/>
                <w:szCs w:val="16"/>
              </w:rPr>
              <w:t>-</w:t>
            </w:r>
          </w:p>
        </w:tc>
      </w:tr>
      <w:tr w:rsidR="006B42D6" w:rsidRPr="006B42D6" w14:paraId="1307935B" w14:textId="77777777" w:rsidTr="005420E0">
        <w:trPr>
          <w:trHeight w:hRule="exact" w:val="227"/>
        </w:trPr>
        <w:tc>
          <w:tcPr>
            <w:tcW w:w="606" w:type="pct"/>
            <w:tcBorders>
              <w:top w:val="nil"/>
              <w:left w:val="nil"/>
              <w:bottom w:val="nil"/>
              <w:right w:val="nil"/>
            </w:tcBorders>
            <w:shd w:val="clear" w:color="auto" w:fill="auto"/>
            <w:noWrap/>
            <w:vAlign w:val="center"/>
            <w:hideMark/>
          </w:tcPr>
          <w:p w14:paraId="0B41A7BC" w14:textId="77777777" w:rsidR="008A1E55" w:rsidRPr="006B42D6" w:rsidRDefault="008A1E55" w:rsidP="00E16CAE">
            <w:pPr>
              <w:rPr>
                <w:sz w:val="16"/>
                <w:szCs w:val="16"/>
              </w:rPr>
            </w:pPr>
            <w:r w:rsidRPr="006B42D6">
              <w:rPr>
                <w:sz w:val="16"/>
                <w:szCs w:val="16"/>
              </w:rPr>
              <w:t>Kaskazini Pemba</w:t>
            </w:r>
          </w:p>
        </w:tc>
        <w:tc>
          <w:tcPr>
            <w:tcW w:w="345" w:type="pct"/>
            <w:tcBorders>
              <w:top w:val="nil"/>
              <w:left w:val="nil"/>
              <w:bottom w:val="nil"/>
              <w:right w:val="nil"/>
            </w:tcBorders>
            <w:shd w:val="clear" w:color="auto" w:fill="auto"/>
            <w:noWrap/>
            <w:vAlign w:val="center"/>
            <w:hideMark/>
          </w:tcPr>
          <w:p w14:paraId="70CC95C9" w14:textId="77777777" w:rsidR="008A1E55" w:rsidRPr="006B42D6" w:rsidRDefault="008A1E55" w:rsidP="00E16CAE">
            <w:pPr>
              <w:jc w:val="right"/>
              <w:rPr>
                <w:sz w:val="16"/>
                <w:szCs w:val="16"/>
              </w:rPr>
            </w:pPr>
            <w:r w:rsidRPr="006B42D6">
              <w:rPr>
                <w:sz w:val="16"/>
                <w:szCs w:val="16"/>
              </w:rPr>
              <w:t>22.5</w:t>
            </w:r>
          </w:p>
        </w:tc>
        <w:tc>
          <w:tcPr>
            <w:tcW w:w="337" w:type="pct"/>
            <w:tcBorders>
              <w:top w:val="nil"/>
              <w:left w:val="nil"/>
              <w:bottom w:val="nil"/>
              <w:right w:val="nil"/>
            </w:tcBorders>
            <w:shd w:val="clear" w:color="auto" w:fill="auto"/>
            <w:noWrap/>
            <w:vAlign w:val="center"/>
            <w:hideMark/>
          </w:tcPr>
          <w:p w14:paraId="739B2C96" w14:textId="77777777" w:rsidR="008A1E55" w:rsidRPr="006B42D6" w:rsidRDefault="008A1E55" w:rsidP="00E16CAE">
            <w:pPr>
              <w:jc w:val="right"/>
              <w:rPr>
                <w:sz w:val="16"/>
                <w:szCs w:val="16"/>
              </w:rPr>
            </w:pPr>
            <w:r w:rsidRPr="006B42D6">
              <w:rPr>
                <w:sz w:val="16"/>
                <w:szCs w:val="16"/>
              </w:rPr>
              <w:t>15.0</w:t>
            </w:r>
          </w:p>
        </w:tc>
        <w:tc>
          <w:tcPr>
            <w:tcW w:w="353" w:type="pct"/>
            <w:tcBorders>
              <w:top w:val="nil"/>
              <w:left w:val="nil"/>
              <w:bottom w:val="nil"/>
              <w:right w:val="nil"/>
            </w:tcBorders>
            <w:shd w:val="clear" w:color="auto" w:fill="auto"/>
            <w:noWrap/>
            <w:vAlign w:val="center"/>
            <w:hideMark/>
          </w:tcPr>
          <w:p w14:paraId="230A7E57" w14:textId="77777777" w:rsidR="008A1E55" w:rsidRPr="006B42D6" w:rsidRDefault="008A1E55" w:rsidP="00E16CAE">
            <w:pPr>
              <w:jc w:val="right"/>
              <w:rPr>
                <w:sz w:val="16"/>
                <w:szCs w:val="16"/>
              </w:rPr>
            </w:pPr>
            <w:r w:rsidRPr="006B42D6">
              <w:rPr>
                <w:sz w:val="16"/>
                <w:szCs w:val="16"/>
              </w:rPr>
              <w:t>-</w:t>
            </w:r>
          </w:p>
        </w:tc>
        <w:tc>
          <w:tcPr>
            <w:tcW w:w="399" w:type="pct"/>
            <w:tcBorders>
              <w:top w:val="nil"/>
              <w:left w:val="nil"/>
              <w:bottom w:val="nil"/>
              <w:right w:val="nil"/>
            </w:tcBorders>
            <w:shd w:val="clear" w:color="auto" w:fill="auto"/>
            <w:noWrap/>
            <w:vAlign w:val="center"/>
            <w:hideMark/>
          </w:tcPr>
          <w:p w14:paraId="649D8F38" w14:textId="77777777" w:rsidR="008A1E55" w:rsidRPr="006B42D6" w:rsidRDefault="008A1E55" w:rsidP="00E16CAE">
            <w:pPr>
              <w:jc w:val="right"/>
              <w:rPr>
                <w:sz w:val="16"/>
                <w:szCs w:val="16"/>
              </w:rPr>
            </w:pPr>
            <w:r w:rsidRPr="006B42D6">
              <w:rPr>
                <w:sz w:val="16"/>
                <w:szCs w:val="16"/>
              </w:rPr>
              <w:t>43.7</w:t>
            </w:r>
          </w:p>
        </w:tc>
        <w:tc>
          <w:tcPr>
            <w:tcW w:w="386" w:type="pct"/>
            <w:tcBorders>
              <w:top w:val="nil"/>
              <w:left w:val="nil"/>
              <w:bottom w:val="nil"/>
              <w:right w:val="nil"/>
            </w:tcBorders>
            <w:shd w:val="clear" w:color="auto" w:fill="auto"/>
            <w:noWrap/>
            <w:vAlign w:val="center"/>
            <w:hideMark/>
          </w:tcPr>
          <w:p w14:paraId="0B8C395A" w14:textId="77777777" w:rsidR="008A1E55" w:rsidRPr="006B42D6" w:rsidRDefault="008A1E55" w:rsidP="00E16CAE">
            <w:pPr>
              <w:jc w:val="right"/>
              <w:rPr>
                <w:sz w:val="16"/>
                <w:szCs w:val="16"/>
              </w:rPr>
            </w:pPr>
            <w:r w:rsidRPr="006B42D6">
              <w:rPr>
                <w:sz w:val="16"/>
                <w:szCs w:val="16"/>
              </w:rPr>
              <w:t>-</w:t>
            </w:r>
          </w:p>
        </w:tc>
        <w:tc>
          <w:tcPr>
            <w:tcW w:w="452" w:type="pct"/>
            <w:tcBorders>
              <w:top w:val="nil"/>
              <w:left w:val="nil"/>
              <w:bottom w:val="nil"/>
              <w:right w:val="nil"/>
            </w:tcBorders>
            <w:shd w:val="clear" w:color="auto" w:fill="auto"/>
            <w:noWrap/>
            <w:vAlign w:val="center"/>
            <w:hideMark/>
          </w:tcPr>
          <w:p w14:paraId="1D80FBA7" w14:textId="77777777" w:rsidR="008A1E55" w:rsidRPr="006B42D6" w:rsidRDefault="008A1E55" w:rsidP="00E16CAE">
            <w:pPr>
              <w:jc w:val="right"/>
              <w:rPr>
                <w:sz w:val="16"/>
                <w:szCs w:val="16"/>
              </w:rPr>
            </w:pPr>
            <w:r w:rsidRPr="006B42D6">
              <w:rPr>
                <w:sz w:val="16"/>
                <w:szCs w:val="16"/>
              </w:rPr>
              <w:t>-</w:t>
            </w:r>
          </w:p>
        </w:tc>
        <w:tc>
          <w:tcPr>
            <w:tcW w:w="353" w:type="pct"/>
            <w:tcBorders>
              <w:top w:val="nil"/>
              <w:left w:val="nil"/>
              <w:bottom w:val="nil"/>
              <w:right w:val="nil"/>
            </w:tcBorders>
            <w:shd w:val="clear" w:color="auto" w:fill="auto"/>
            <w:noWrap/>
            <w:vAlign w:val="center"/>
            <w:hideMark/>
          </w:tcPr>
          <w:p w14:paraId="7842F3DB" w14:textId="77777777" w:rsidR="008A1E55" w:rsidRPr="006B42D6" w:rsidRDefault="008A1E55" w:rsidP="00E16CAE">
            <w:pPr>
              <w:jc w:val="right"/>
              <w:rPr>
                <w:sz w:val="16"/>
                <w:szCs w:val="16"/>
              </w:rPr>
            </w:pPr>
            <w:r w:rsidRPr="006B42D6">
              <w:rPr>
                <w:sz w:val="16"/>
                <w:szCs w:val="16"/>
              </w:rPr>
              <w:t>-</w:t>
            </w:r>
          </w:p>
        </w:tc>
        <w:tc>
          <w:tcPr>
            <w:tcW w:w="383" w:type="pct"/>
            <w:tcBorders>
              <w:top w:val="nil"/>
              <w:left w:val="nil"/>
              <w:bottom w:val="nil"/>
              <w:right w:val="nil"/>
            </w:tcBorders>
            <w:shd w:val="clear" w:color="auto" w:fill="auto"/>
            <w:noWrap/>
            <w:vAlign w:val="center"/>
            <w:hideMark/>
          </w:tcPr>
          <w:p w14:paraId="3B920F9F" w14:textId="77777777" w:rsidR="008A1E55" w:rsidRPr="006B42D6" w:rsidRDefault="008A1E55" w:rsidP="00E16CAE">
            <w:pPr>
              <w:jc w:val="right"/>
              <w:rPr>
                <w:sz w:val="16"/>
                <w:szCs w:val="16"/>
              </w:rPr>
            </w:pPr>
            <w:r w:rsidRPr="006B42D6">
              <w:rPr>
                <w:sz w:val="16"/>
                <w:szCs w:val="16"/>
              </w:rPr>
              <w:t>-</w:t>
            </w:r>
          </w:p>
        </w:tc>
        <w:tc>
          <w:tcPr>
            <w:tcW w:w="268" w:type="pct"/>
            <w:tcBorders>
              <w:top w:val="nil"/>
              <w:left w:val="nil"/>
              <w:bottom w:val="nil"/>
              <w:right w:val="nil"/>
            </w:tcBorders>
            <w:shd w:val="clear" w:color="auto" w:fill="auto"/>
            <w:noWrap/>
            <w:vAlign w:val="center"/>
            <w:hideMark/>
          </w:tcPr>
          <w:p w14:paraId="6D6E125D" w14:textId="77777777" w:rsidR="008A1E55" w:rsidRPr="006B42D6" w:rsidRDefault="008A1E55" w:rsidP="00E16CAE">
            <w:pPr>
              <w:jc w:val="right"/>
              <w:rPr>
                <w:sz w:val="16"/>
                <w:szCs w:val="16"/>
              </w:rPr>
            </w:pPr>
            <w:r w:rsidRPr="006B42D6">
              <w:rPr>
                <w:sz w:val="16"/>
                <w:szCs w:val="16"/>
              </w:rPr>
              <w:t>-</w:t>
            </w:r>
          </w:p>
        </w:tc>
        <w:tc>
          <w:tcPr>
            <w:tcW w:w="268" w:type="pct"/>
            <w:tcBorders>
              <w:top w:val="nil"/>
              <w:left w:val="nil"/>
              <w:bottom w:val="nil"/>
              <w:right w:val="nil"/>
            </w:tcBorders>
            <w:shd w:val="clear" w:color="auto" w:fill="auto"/>
            <w:noWrap/>
            <w:vAlign w:val="center"/>
            <w:hideMark/>
          </w:tcPr>
          <w:p w14:paraId="32C35E31" w14:textId="77777777" w:rsidR="008A1E55" w:rsidRPr="006B42D6" w:rsidRDefault="008A1E55" w:rsidP="00E16CAE">
            <w:pPr>
              <w:jc w:val="right"/>
              <w:rPr>
                <w:sz w:val="16"/>
                <w:szCs w:val="16"/>
              </w:rPr>
            </w:pPr>
            <w:r w:rsidRPr="006B42D6">
              <w:rPr>
                <w:sz w:val="16"/>
                <w:szCs w:val="16"/>
              </w:rPr>
              <w:t>-</w:t>
            </w:r>
          </w:p>
        </w:tc>
        <w:tc>
          <w:tcPr>
            <w:tcW w:w="268" w:type="pct"/>
            <w:tcBorders>
              <w:top w:val="nil"/>
              <w:left w:val="nil"/>
              <w:bottom w:val="nil"/>
              <w:right w:val="nil"/>
            </w:tcBorders>
            <w:shd w:val="clear" w:color="auto" w:fill="auto"/>
            <w:noWrap/>
            <w:vAlign w:val="center"/>
            <w:hideMark/>
          </w:tcPr>
          <w:p w14:paraId="0C014091" w14:textId="77777777" w:rsidR="008A1E55" w:rsidRPr="006B42D6" w:rsidRDefault="008A1E55" w:rsidP="00E16CAE">
            <w:pPr>
              <w:jc w:val="right"/>
              <w:rPr>
                <w:sz w:val="16"/>
                <w:szCs w:val="16"/>
              </w:rPr>
            </w:pPr>
            <w:r w:rsidRPr="006B42D6">
              <w:rPr>
                <w:sz w:val="16"/>
                <w:szCs w:val="16"/>
              </w:rPr>
              <w:t>-</w:t>
            </w:r>
          </w:p>
        </w:tc>
        <w:tc>
          <w:tcPr>
            <w:tcW w:w="314" w:type="pct"/>
            <w:tcBorders>
              <w:top w:val="nil"/>
              <w:left w:val="nil"/>
              <w:bottom w:val="nil"/>
              <w:right w:val="nil"/>
            </w:tcBorders>
            <w:shd w:val="clear" w:color="auto" w:fill="auto"/>
            <w:noWrap/>
            <w:vAlign w:val="center"/>
            <w:hideMark/>
          </w:tcPr>
          <w:p w14:paraId="2716A816" w14:textId="77777777" w:rsidR="008A1E55" w:rsidRPr="006B42D6" w:rsidRDefault="008A1E55" w:rsidP="00E16CAE">
            <w:pPr>
              <w:jc w:val="right"/>
              <w:rPr>
                <w:sz w:val="16"/>
                <w:szCs w:val="16"/>
              </w:rPr>
            </w:pPr>
            <w:r w:rsidRPr="006B42D6">
              <w:rPr>
                <w:sz w:val="16"/>
                <w:szCs w:val="16"/>
              </w:rPr>
              <w:t>-</w:t>
            </w:r>
          </w:p>
        </w:tc>
        <w:tc>
          <w:tcPr>
            <w:tcW w:w="268" w:type="pct"/>
            <w:tcBorders>
              <w:top w:val="nil"/>
              <w:left w:val="nil"/>
              <w:bottom w:val="nil"/>
              <w:right w:val="nil"/>
            </w:tcBorders>
            <w:shd w:val="clear" w:color="auto" w:fill="auto"/>
            <w:noWrap/>
            <w:vAlign w:val="center"/>
            <w:hideMark/>
          </w:tcPr>
          <w:p w14:paraId="2B3B0A51" w14:textId="77777777" w:rsidR="008A1E55" w:rsidRPr="006B42D6" w:rsidRDefault="008A1E55" w:rsidP="00E16CAE">
            <w:pPr>
              <w:jc w:val="right"/>
              <w:rPr>
                <w:sz w:val="16"/>
                <w:szCs w:val="16"/>
              </w:rPr>
            </w:pPr>
            <w:r w:rsidRPr="006B42D6">
              <w:rPr>
                <w:sz w:val="16"/>
                <w:szCs w:val="16"/>
              </w:rPr>
              <w:t>-</w:t>
            </w:r>
          </w:p>
        </w:tc>
      </w:tr>
      <w:tr w:rsidR="006B42D6" w:rsidRPr="006B42D6" w14:paraId="0C72A33C" w14:textId="77777777" w:rsidTr="005420E0">
        <w:trPr>
          <w:trHeight w:hRule="exact" w:val="227"/>
        </w:trPr>
        <w:tc>
          <w:tcPr>
            <w:tcW w:w="606" w:type="pct"/>
            <w:tcBorders>
              <w:top w:val="nil"/>
              <w:left w:val="nil"/>
              <w:bottom w:val="nil"/>
              <w:right w:val="nil"/>
            </w:tcBorders>
            <w:shd w:val="clear" w:color="auto" w:fill="auto"/>
            <w:noWrap/>
            <w:vAlign w:val="center"/>
            <w:hideMark/>
          </w:tcPr>
          <w:p w14:paraId="24ACB9F1" w14:textId="77777777" w:rsidR="008A1E55" w:rsidRPr="006B42D6" w:rsidRDefault="008A1E55" w:rsidP="00E16CAE">
            <w:pPr>
              <w:rPr>
                <w:sz w:val="16"/>
                <w:szCs w:val="16"/>
              </w:rPr>
            </w:pPr>
            <w:r w:rsidRPr="006B42D6">
              <w:rPr>
                <w:sz w:val="16"/>
                <w:szCs w:val="16"/>
              </w:rPr>
              <w:t>Kusini Pemba</w:t>
            </w:r>
          </w:p>
        </w:tc>
        <w:tc>
          <w:tcPr>
            <w:tcW w:w="345" w:type="pct"/>
            <w:tcBorders>
              <w:top w:val="nil"/>
              <w:left w:val="nil"/>
              <w:bottom w:val="nil"/>
              <w:right w:val="nil"/>
            </w:tcBorders>
            <w:shd w:val="clear" w:color="auto" w:fill="auto"/>
            <w:noWrap/>
            <w:vAlign w:val="center"/>
            <w:hideMark/>
          </w:tcPr>
          <w:p w14:paraId="116608A7" w14:textId="77777777" w:rsidR="008A1E55" w:rsidRPr="006B42D6" w:rsidRDefault="008A1E55" w:rsidP="00E16CAE">
            <w:pPr>
              <w:jc w:val="right"/>
              <w:rPr>
                <w:sz w:val="16"/>
                <w:szCs w:val="16"/>
              </w:rPr>
            </w:pPr>
            <w:r w:rsidRPr="006B42D6">
              <w:rPr>
                <w:sz w:val="16"/>
                <w:szCs w:val="16"/>
              </w:rPr>
              <w:t>35.7</w:t>
            </w:r>
          </w:p>
        </w:tc>
        <w:tc>
          <w:tcPr>
            <w:tcW w:w="337" w:type="pct"/>
            <w:tcBorders>
              <w:top w:val="nil"/>
              <w:left w:val="nil"/>
              <w:bottom w:val="nil"/>
              <w:right w:val="nil"/>
            </w:tcBorders>
            <w:shd w:val="clear" w:color="auto" w:fill="auto"/>
            <w:noWrap/>
            <w:vAlign w:val="center"/>
            <w:hideMark/>
          </w:tcPr>
          <w:p w14:paraId="1266A7B1" w14:textId="77777777" w:rsidR="008A1E55" w:rsidRPr="006B42D6" w:rsidRDefault="008A1E55" w:rsidP="00E16CAE">
            <w:pPr>
              <w:jc w:val="right"/>
              <w:rPr>
                <w:sz w:val="16"/>
                <w:szCs w:val="16"/>
              </w:rPr>
            </w:pPr>
            <w:r w:rsidRPr="006B42D6">
              <w:rPr>
                <w:sz w:val="16"/>
                <w:szCs w:val="16"/>
              </w:rPr>
              <w:t>4.5</w:t>
            </w:r>
          </w:p>
        </w:tc>
        <w:tc>
          <w:tcPr>
            <w:tcW w:w="353" w:type="pct"/>
            <w:tcBorders>
              <w:top w:val="nil"/>
              <w:left w:val="nil"/>
              <w:bottom w:val="nil"/>
              <w:right w:val="nil"/>
            </w:tcBorders>
            <w:shd w:val="clear" w:color="auto" w:fill="auto"/>
            <w:noWrap/>
            <w:vAlign w:val="center"/>
            <w:hideMark/>
          </w:tcPr>
          <w:p w14:paraId="073BED8C" w14:textId="77777777" w:rsidR="008A1E55" w:rsidRPr="006B42D6" w:rsidRDefault="008A1E55" w:rsidP="00E16CAE">
            <w:pPr>
              <w:jc w:val="right"/>
              <w:rPr>
                <w:sz w:val="16"/>
                <w:szCs w:val="16"/>
              </w:rPr>
            </w:pPr>
            <w:r w:rsidRPr="006B42D6">
              <w:rPr>
                <w:sz w:val="16"/>
                <w:szCs w:val="16"/>
              </w:rPr>
              <w:t>-</w:t>
            </w:r>
          </w:p>
        </w:tc>
        <w:tc>
          <w:tcPr>
            <w:tcW w:w="399" w:type="pct"/>
            <w:tcBorders>
              <w:top w:val="nil"/>
              <w:left w:val="nil"/>
              <w:bottom w:val="nil"/>
              <w:right w:val="nil"/>
            </w:tcBorders>
            <w:shd w:val="clear" w:color="auto" w:fill="auto"/>
            <w:noWrap/>
            <w:vAlign w:val="center"/>
            <w:hideMark/>
          </w:tcPr>
          <w:p w14:paraId="2114C8D6" w14:textId="77777777" w:rsidR="008A1E55" w:rsidRPr="006B42D6" w:rsidRDefault="008A1E55" w:rsidP="00E16CAE">
            <w:pPr>
              <w:jc w:val="right"/>
              <w:rPr>
                <w:sz w:val="16"/>
                <w:szCs w:val="16"/>
              </w:rPr>
            </w:pPr>
            <w:r w:rsidRPr="006B42D6">
              <w:rPr>
                <w:sz w:val="16"/>
                <w:szCs w:val="16"/>
              </w:rPr>
              <w:t>22.2</w:t>
            </w:r>
          </w:p>
        </w:tc>
        <w:tc>
          <w:tcPr>
            <w:tcW w:w="386" w:type="pct"/>
            <w:tcBorders>
              <w:top w:val="nil"/>
              <w:left w:val="nil"/>
              <w:bottom w:val="nil"/>
              <w:right w:val="nil"/>
            </w:tcBorders>
            <w:shd w:val="clear" w:color="auto" w:fill="auto"/>
            <w:noWrap/>
            <w:vAlign w:val="center"/>
            <w:hideMark/>
          </w:tcPr>
          <w:p w14:paraId="35697D54" w14:textId="77777777" w:rsidR="008A1E55" w:rsidRPr="006B42D6" w:rsidRDefault="008A1E55" w:rsidP="00E16CAE">
            <w:pPr>
              <w:jc w:val="right"/>
              <w:rPr>
                <w:sz w:val="16"/>
                <w:szCs w:val="16"/>
              </w:rPr>
            </w:pPr>
            <w:r w:rsidRPr="006B42D6">
              <w:rPr>
                <w:sz w:val="16"/>
                <w:szCs w:val="16"/>
              </w:rPr>
              <w:t>-</w:t>
            </w:r>
          </w:p>
        </w:tc>
        <w:tc>
          <w:tcPr>
            <w:tcW w:w="452" w:type="pct"/>
            <w:tcBorders>
              <w:top w:val="nil"/>
              <w:left w:val="nil"/>
              <w:bottom w:val="nil"/>
              <w:right w:val="nil"/>
            </w:tcBorders>
            <w:shd w:val="clear" w:color="auto" w:fill="auto"/>
            <w:noWrap/>
            <w:vAlign w:val="center"/>
            <w:hideMark/>
          </w:tcPr>
          <w:p w14:paraId="2AF9D336" w14:textId="77777777" w:rsidR="008A1E55" w:rsidRPr="006B42D6" w:rsidRDefault="008A1E55" w:rsidP="00E16CAE">
            <w:pPr>
              <w:jc w:val="right"/>
              <w:rPr>
                <w:sz w:val="16"/>
                <w:szCs w:val="16"/>
              </w:rPr>
            </w:pPr>
            <w:r w:rsidRPr="006B42D6">
              <w:rPr>
                <w:sz w:val="16"/>
                <w:szCs w:val="16"/>
              </w:rPr>
              <w:t>-</w:t>
            </w:r>
          </w:p>
        </w:tc>
        <w:tc>
          <w:tcPr>
            <w:tcW w:w="353" w:type="pct"/>
            <w:tcBorders>
              <w:top w:val="nil"/>
              <w:left w:val="nil"/>
              <w:bottom w:val="nil"/>
              <w:right w:val="nil"/>
            </w:tcBorders>
            <w:shd w:val="clear" w:color="auto" w:fill="auto"/>
            <w:noWrap/>
            <w:vAlign w:val="center"/>
            <w:hideMark/>
          </w:tcPr>
          <w:p w14:paraId="4D289456" w14:textId="77777777" w:rsidR="008A1E55" w:rsidRPr="006B42D6" w:rsidRDefault="008A1E55" w:rsidP="00E16CAE">
            <w:pPr>
              <w:jc w:val="right"/>
              <w:rPr>
                <w:sz w:val="16"/>
                <w:szCs w:val="16"/>
              </w:rPr>
            </w:pPr>
            <w:r w:rsidRPr="006B42D6">
              <w:rPr>
                <w:sz w:val="16"/>
                <w:szCs w:val="16"/>
              </w:rPr>
              <w:t>-</w:t>
            </w:r>
          </w:p>
        </w:tc>
        <w:tc>
          <w:tcPr>
            <w:tcW w:w="383" w:type="pct"/>
            <w:tcBorders>
              <w:top w:val="nil"/>
              <w:left w:val="nil"/>
              <w:bottom w:val="nil"/>
              <w:right w:val="nil"/>
            </w:tcBorders>
            <w:shd w:val="clear" w:color="auto" w:fill="auto"/>
            <w:noWrap/>
            <w:vAlign w:val="center"/>
            <w:hideMark/>
          </w:tcPr>
          <w:p w14:paraId="28CF794A" w14:textId="77777777" w:rsidR="008A1E55" w:rsidRPr="006B42D6" w:rsidRDefault="008A1E55" w:rsidP="00E16CAE">
            <w:pPr>
              <w:jc w:val="right"/>
              <w:rPr>
                <w:sz w:val="16"/>
                <w:szCs w:val="16"/>
              </w:rPr>
            </w:pPr>
            <w:r w:rsidRPr="006B42D6">
              <w:rPr>
                <w:sz w:val="16"/>
                <w:szCs w:val="16"/>
              </w:rPr>
              <w:t>-</w:t>
            </w:r>
          </w:p>
        </w:tc>
        <w:tc>
          <w:tcPr>
            <w:tcW w:w="268" w:type="pct"/>
            <w:tcBorders>
              <w:top w:val="nil"/>
              <w:left w:val="nil"/>
              <w:bottom w:val="nil"/>
              <w:right w:val="nil"/>
            </w:tcBorders>
            <w:shd w:val="clear" w:color="auto" w:fill="auto"/>
            <w:noWrap/>
            <w:vAlign w:val="center"/>
            <w:hideMark/>
          </w:tcPr>
          <w:p w14:paraId="3A6CE1C0" w14:textId="77777777" w:rsidR="008A1E55" w:rsidRPr="006B42D6" w:rsidRDefault="008A1E55" w:rsidP="00E16CAE">
            <w:pPr>
              <w:jc w:val="right"/>
              <w:rPr>
                <w:sz w:val="16"/>
                <w:szCs w:val="16"/>
              </w:rPr>
            </w:pPr>
            <w:r w:rsidRPr="006B42D6">
              <w:rPr>
                <w:sz w:val="16"/>
                <w:szCs w:val="16"/>
              </w:rPr>
              <w:t>-</w:t>
            </w:r>
          </w:p>
        </w:tc>
        <w:tc>
          <w:tcPr>
            <w:tcW w:w="268" w:type="pct"/>
            <w:tcBorders>
              <w:top w:val="nil"/>
              <w:left w:val="nil"/>
              <w:bottom w:val="nil"/>
              <w:right w:val="nil"/>
            </w:tcBorders>
            <w:shd w:val="clear" w:color="auto" w:fill="auto"/>
            <w:noWrap/>
            <w:vAlign w:val="center"/>
            <w:hideMark/>
          </w:tcPr>
          <w:p w14:paraId="7E1D62BB" w14:textId="77777777" w:rsidR="008A1E55" w:rsidRPr="006B42D6" w:rsidRDefault="008A1E55" w:rsidP="00E16CAE">
            <w:pPr>
              <w:jc w:val="right"/>
              <w:rPr>
                <w:sz w:val="16"/>
                <w:szCs w:val="16"/>
              </w:rPr>
            </w:pPr>
            <w:r w:rsidRPr="006B42D6">
              <w:rPr>
                <w:sz w:val="16"/>
                <w:szCs w:val="16"/>
              </w:rPr>
              <w:t>-</w:t>
            </w:r>
          </w:p>
        </w:tc>
        <w:tc>
          <w:tcPr>
            <w:tcW w:w="268" w:type="pct"/>
            <w:tcBorders>
              <w:top w:val="nil"/>
              <w:left w:val="nil"/>
              <w:bottom w:val="nil"/>
              <w:right w:val="nil"/>
            </w:tcBorders>
            <w:shd w:val="clear" w:color="auto" w:fill="auto"/>
            <w:noWrap/>
            <w:vAlign w:val="center"/>
            <w:hideMark/>
          </w:tcPr>
          <w:p w14:paraId="486193EC" w14:textId="77777777" w:rsidR="008A1E55" w:rsidRPr="006B42D6" w:rsidRDefault="008A1E55" w:rsidP="00E16CAE">
            <w:pPr>
              <w:jc w:val="right"/>
              <w:rPr>
                <w:sz w:val="16"/>
                <w:szCs w:val="16"/>
              </w:rPr>
            </w:pPr>
            <w:r w:rsidRPr="006B42D6">
              <w:rPr>
                <w:sz w:val="16"/>
                <w:szCs w:val="16"/>
              </w:rPr>
              <w:t>-</w:t>
            </w:r>
          </w:p>
        </w:tc>
        <w:tc>
          <w:tcPr>
            <w:tcW w:w="314" w:type="pct"/>
            <w:tcBorders>
              <w:top w:val="nil"/>
              <w:left w:val="nil"/>
              <w:bottom w:val="nil"/>
              <w:right w:val="nil"/>
            </w:tcBorders>
            <w:shd w:val="clear" w:color="auto" w:fill="auto"/>
            <w:noWrap/>
            <w:vAlign w:val="center"/>
            <w:hideMark/>
          </w:tcPr>
          <w:p w14:paraId="6274A577" w14:textId="77777777" w:rsidR="008A1E55" w:rsidRPr="006B42D6" w:rsidRDefault="008A1E55" w:rsidP="00E16CAE">
            <w:pPr>
              <w:jc w:val="right"/>
              <w:rPr>
                <w:sz w:val="16"/>
                <w:szCs w:val="16"/>
              </w:rPr>
            </w:pPr>
            <w:r w:rsidRPr="006B42D6">
              <w:rPr>
                <w:sz w:val="16"/>
                <w:szCs w:val="16"/>
              </w:rPr>
              <w:t>35.8</w:t>
            </w:r>
          </w:p>
        </w:tc>
        <w:tc>
          <w:tcPr>
            <w:tcW w:w="268" w:type="pct"/>
            <w:tcBorders>
              <w:top w:val="nil"/>
              <w:left w:val="nil"/>
              <w:bottom w:val="nil"/>
              <w:right w:val="nil"/>
            </w:tcBorders>
            <w:shd w:val="clear" w:color="auto" w:fill="auto"/>
            <w:noWrap/>
            <w:vAlign w:val="center"/>
            <w:hideMark/>
          </w:tcPr>
          <w:p w14:paraId="2FFCB32D" w14:textId="77777777" w:rsidR="008A1E55" w:rsidRPr="006B42D6" w:rsidRDefault="008A1E55" w:rsidP="00E16CAE">
            <w:pPr>
              <w:jc w:val="right"/>
              <w:rPr>
                <w:sz w:val="16"/>
                <w:szCs w:val="16"/>
              </w:rPr>
            </w:pPr>
            <w:r w:rsidRPr="006B42D6">
              <w:rPr>
                <w:sz w:val="16"/>
                <w:szCs w:val="16"/>
              </w:rPr>
              <w:t>-</w:t>
            </w:r>
          </w:p>
        </w:tc>
      </w:tr>
      <w:tr w:rsidR="00A41AC7" w:rsidRPr="006B42D6" w14:paraId="1647E6C9" w14:textId="77777777" w:rsidTr="005420E0">
        <w:trPr>
          <w:trHeight w:hRule="exact" w:val="227"/>
        </w:trPr>
        <w:tc>
          <w:tcPr>
            <w:tcW w:w="606" w:type="pct"/>
            <w:tcBorders>
              <w:top w:val="single" w:sz="4" w:space="0" w:color="auto"/>
              <w:left w:val="nil"/>
              <w:bottom w:val="single" w:sz="4" w:space="0" w:color="auto"/>
              <w:right w:val="nil"/>
            </w:tcBorders>
            <w:shd w:val="clear" w:color="auto" w:fill="E2EFD9" w:themeFill="accent6" w:themeFillTint="33"/>
            <w:noWrap/>
            <w:vAlign w:val="center"/>
            <w:hideMark/>
          </w:tcPr>
          <w:p w14:paraId="24ECFF21" w14:textId="77777777" w:rsidR="008A1E55" w:rsidRPr="006B42D6" w:rsidRDefault="008A1E55" w:rsidP="00E16CAE">
            <w:pPr>
              <w:rPr>
                <w:b/>
                <w:bCs/>
                <w:sz w:val="16"/>
                <w:szCs w:val="16"/>
              </w:rPr>
            </w:pPr>
            <w:r w:rsidRPr="006B42D6">
              <w:rPr>
                <w:b/>
                <w:bCs/>
                <w:sz w:val="16"/>
                <w:szCs w:val="16"/>
              </w:rPr>
              <w:t>Tanzania Zanzibar</w:t>
            </w:r>
          </w:p>
        </w:tc>
        <w:tc>
          <w:tcPr>
            <w:tcW w:w="345" w:type="pct"/>
            <w:tcBorders>
              <w:top w:val="single" w:sz="4" w:space="0" w:color="auto"/>
              <w:left w:val="nil"/>
              <w:bottom w:val="single" w:sz="4" w:space="0" w:color="auto"/>
              <w:right w:val="nil"/>
            </w:tcBorders>
            <w:shd w:val="clear" w:color="auto" w:fill="E2EFD9" w:themeFill="accent6" w:themeFillTint="33"/>
            <w:noWrap/>
            <w:vAlign w:val="center"/>
            <w:hideMark/>
          </w:tcPr>
          <w:p w14:paraId="33044FA9" w14:textId="77777777" w:rsidR="008A1E55" w:rsidRPr="006B42D6" w:rsidRDefault="008A1E55" w:rsidP="00E16CAE">
            <w:pPr>
              <w:jc w:val="right"/>
              <w:rPr>
                <w:b/>
                <w:bCs/>
                <w:sz w:val="16"/>
                <w:szCs w:val="16"/>
              </w:rPr>
            </w:pPr>
            <w:r w:rsidRPr="006B42D6">
              <w:rPr>
                <w:b/>
                <w:bCs/>
                <w:sz w:val="16"/>
                <w:szCs w:val="16"/>
              </w:rPr>
              <w:t>100.0</w:t>
            </w:r>
          </w:p>
        </w:tc>
        <w:tc>
          <w:tcPr>
            <w:tcW w:w="337" w:type="pct"/>
            <w:tcBorders>
              <w:top w:val="single" w:sz="4" w:space="0" w:color="auto"/>
              <w:left w:val="nil"/>
              <w:bottom w:val="single" w:sz="4" w:space="0" w:color="auto"/>
              <w:right w:val="nil"/>
            </w:tcBorders>
            <w:shd w:val="clear" w:color="auto" w:fill="E2EFD9" w:themeFill="accent6" w:themeFillTint="33"/>
            <w:noWrap/>
            <w:vAlign w:val="center"/>
            <w:hideMark/>
          </w:tcPr>
          <w:p w14:paraId="4770C27D" w14:textId="77777777" w:rsidR="008A1E55" w:rsidRPr="006B42D6" w:rsidRDefault="008A1E55" w:rsidP="00E16CAE">
            <w:pPr>
              <w:jc w:val="right"/>
              <w:rPr>
                <w:b/>
                <w:bCs/>
                <w:sz w:val="16"/>
                <w:szCs w:val="16"/>
              </w:rPr>
            </w:pPr>
            <w:r w:rsidRPr="006B42D6">
              <w:rPr>
                <w:b/>
                <w:bCs/>
                <w:sz w:val="16"/>
                <w:szCs w:val="16"/>
              </w:rPr>
              <w:t>100.0</w:t>
            </w:r>
          </w:p>
        </w:tc>
        <w:tc>
          <w:tcPr>
            <w:tcW w:w="353" w:type="pct"/>
            <w:tcBorders>
              <w:top w:val="single" w:sz="4" w:space="0" w:color="auto"/>
              <w:left w:val="nil"/>
              <w:bottom w:val="single" w:sz="4" w:space="0" w:color="auto"/>
              <w:right w:val="nil"/>
            </w:tcBorders>
            <w:shd w:val="clear" w:color="auto" w:fill="E2EFD9" w:themeFill="accent6" w:themeFillTint="33"/>
            <w:noWrap/>
            <w:vAlign w:val="center"/>
            <w:hideMark/>
          </w:tcPr>
          <w:p w14:paraId="4BE202D0" w14:textId="77777777" w:rsidR="008A1E55" w:rsidRPr="006B42D6" w:rsidRDefault="008A1E55" w:rsidP="00E16CAE">
            <w:pPr>
              <w:jc w:val="right"/>
              <w:rPr>
                <w:b/>
                <w:bCs/>
                <w:sz w:val="16"/>
                <w:szCs w:val="16"/>
              </w:rPr>
            </w:pPr>
            <w:r w:rsidRPr="006B42D6">
              <w:rPr>
                <w:b/>
                <w:bCs/>
                <w:sz w:val="16"/>
                <w:szCs w:val="16"/>
              </w:rPr>
              <w:t>100.0</w:t>
            </w:r>
          </w:p>
        </w:tc>
        <w:tc>
          <w:tcPr>
            <w:tcW w:w="399" w:type="pct"/>
            <w:tcBorders>
              <w:top w:val="single" w:sz="4" w:space="0" w:color="auto"/>
              <w:left w:val="nil"/>
              <w:bottom w:val="single" w:sz="4" w:space="0" w:color="auto"/>
              <w:right w:val="nil"/>
            </w:tcBorders>
            <w:shd w:val="clear" w:color="auto" w:fill="E2EFD9" w:themeFill="accent6" w:themeFillTint="33"/>
            <w:noWrap/>
            <w:vAlign w:val="center"/>
            <w:hideMark/>
          </w:tcPr>
          <w:p w14:paraId="3892B164" w14:textId="77777777" w:rsidR="008A1E55" w:rsidRPr="006B42D6" w:rsidRDefault="008A1E55" w:rsidP="00E16CAE">
            <w:pPr>
              <w:jc w:val="right"/>
              <w:rPr>
                <w:b/>
                <w:bCs/>
                <w:sz w:val="16"/>
                <w:szCs w:val="16"/>
              </w:rPr>
            </w:pPr>
            <w:r w:rsidRPr="006B42D6">
              <w:rPr>
                <w:b/>
                <w:bCs/>
                <w:sz w:val="16"/>
                <w:szCs w:val="16"/>
              </w:rPr>
              <w:t>100.0</w:t>
            </w:r>
          </w:p>
        </w:tc>
        <w:tc>
          <w:tcPr>
            <w:tcW w:w="386" w:type="pct"/>
            <w:tcBorders>
              <w:top w:val="single" w:sz="4" w:space="0" w:color="auto"/>
              <w:left w:val="nil"/>
              <w:bottom w:val="single" w:sz="4" w:space="0" w:color="auto"/>
              <w:right w:val="nil"/>
            </w:tcBorders>
            <w:shd w:val="clear" w:color="auto" w:fill="E2EFD9" w:themeFill="accent6" w:themeFillTint="33"/>
            <w:noWrap/>
            <w:vAlign w:val="center"/>
            <w:hideMark/>
          </w:tcPr>
          <w:p w14:paraId="6EAC1C45" w14:textId="77777777" w:rsidR="008A1E55" w:rsidRPr="006B42D6" w:rsidRDefault="008A1E55" w:rsidP="00E16CAE">
            <w:pPr>
              <w:jc w:val="right"/>
              <w:rPr>
                <w:b/>
                <w:bCs/>
                <w:sz w:val="16"/>
                <w:szCs w:val="16"/>
              </w:rPr>
            </w:pPr>
            <w:r w:rsidRPr="006B42D6">
              <w:rPr>
                <w:b/>
                <w:bCs/>
                <w:sz w:val="16"/>
                <w:szCs w:val="16"/>
              </w:rPr>
              <w:t>100.0</w:t>
            </w:r>
          </w:p>
        </w:tc>
        <w:tc>
          <w:tcPr>
            <w:tcW w:w="452" w:type="pct"/>
            <w:tcBorders>
              <w:top w:val="single" w:sz="4" w:space="0" w:color="auto"/>
              <w:left w:val="nil"/>
              <w:bottom w:val="single" w:sz="4" w:space="0" w:color="auto"/>
              <w:right w:val="nil"/>
            </w:tcBorders>
            <w:shd w:val="clear" w:color="auto" w:fill="E2EFD9" w:themeFill="accent6" w:themeFillTint="33"/>
            <w:noWrap/>
            <w:vAlign w:val="center"/>
            <w:hideMark/>
          </w:tcPr>
          <w:p w14:paraId="5BC58631" w14:textId="77777777" w:rsidR="008A1E55" w:rsidRPr="006B42D6" w:rsidRDefault="008A1E55" w:rsidP="00E16CAE">
            <w:pPr>
              <w:jc w:val="right"/>
              <w:rPr>
                <w:b/>
                <w:bCs/>
                <w:sz w:val="16"/>
                <w:szCs w:val="16"/>
              </w:rPr>
            </w:pPr>
            <w:r w:rsidRPr="006B42D6">
              <w:rPr>
                <w:b/>
                <w:bCs/>
                <w:sz w:val="16"/>
                <w:szCs w:val="16"/>
              </w:rPr>
              <w:t>100.0</w:t>
            </w:r>
          </w:p>
        </w:tc>
        <w:tc>
          <w:tcPr>
            <w:tcW w:w="353" w:type="pct"/>
            <w:tcBorders>
              <w:top w:val="single" w:sz="4" w:space="0" w:color="auto"/>
              <w:left w:val="nil"/>
              <w:bottom w:val="single" w:sz="4" w:space="0" w:color="auto"/>
              <w:right w:val="nil"/>
            </w:tcBorders>
            <w:shd w:val="clear" w:color="auto" w:fill="E2EFD9" w:themeFill="accent6" w:themeFillTint="33"/>
            <w:noWrap/>
            <w:vAlign w:val="center"/>
            <w:hideMark/>
          </w:tcPr>
          <w:p w14:paraId="43B9DAD8" w14:textId="77777777" w:rsidR="008A1E55" w:rsidRPr="006B42D6" w:rsidRDefault="008A1E55" w:rsidP="00E16CAE">
            <w:pPr>
              <w:jc w:val="right"/>
              <w:rPr>
                <w:b/>
                <w:bCs/>
                <w:sz w:val="16"/>
                <w:szCs w:val="16"/>
              </w:rPr>
            </w:pPr>
            <w:r w:rsidRPr="006B42D6">
              <w:rPr>
                <w:b/>
                <w:bCs/>
                <w:sz w:val="16"/>
                <w:szCs w:val="16"/>
              </w:rPr>
              <w:t>100.0</w:t>
            </w:r>
          </w:p>
        </w:tc>
        <w:tc>
          <w:tcPr>
            <w:tcW w:w="383" w:type="pct"/>
            <w:tcBorders>
              <w:top w:val="single" w:sz="4" w:space="0" w:color="auto"/>
              <w:left w:val="nil"/>
              <w:bottom w:val="single" w:sz="4" w:space="0" w:color="auto"/>
              <w:right w:val="nil"/>
            </w:tcBorders>
            <w:shd w:val="clear" w:color="auto" w:fill="E2EFD9" w:themeFill="accent6" w:themeFillTint="33"/>
            <w:noWrap/>
            <w:vAlign w:val="center"/>
            <w:hideMark/>
          </w:tcPr>
          <w:p w14:paraId="4C0D7087" w14:textId="77777777" w:rsidR="008A1E55" w:rsidRPr="006B42D6" w:rsidRDefault="008A1E55" w:rsidP="00E16CAE">
            <w:pPr>
              <w:jc w:val="right"/>
              <w:rPr>
                <w:b/>
                <w:bCs/>
                <w:sz w:val="16"/>
                <w:szCs w:val="16"/>
              </w:rPr>
            </w:pPr>
            <w:r w:rsidRPr="006B42D6">
              <w:rPr>
                <w:b/>
                <w:bCs/>
                <w:sz w:val="16"/>
                <w:szCs w:val="16"/>
              </w:rPr>
              <w:t>100.0</w:t>
            </w:r>
          </w:p>
        </w:tc>
        <w:tc>
          <w:tcPr>
            <w:tcW w:w="268" w:type="pct"/>
            <w:tcBorders>
              <w:top w:val="single" w:sz="4" w:space="0" w:color="auto"/>
              <w:left w:val="nil"/>
              <w:bottom w:val="single" w:sz="4" w:space="0" w:color="auto"/>
              <w:right w:val="nil"/>
            </w:tcBorders>
            <w:shd w:val="clear" w:color="auto" w:fill="E2EFD9" w:themeFill="accent6" w:themeFillTint="33"/>
            <w:noWrap/>
            <w:vAlign w:val="center"/>
            <w:hideMark/>
          </w:tcPr>
          <w:p w14:paraId="3AA2BFA3" w14:textId="77777777" w:rsidR="008A1E55" w:rsidRPr="006B42D6" w:rsidRDefault="008A1E55" w:rsidP="00E16CAE">
            <w:pPr>
              <w:jc w:val="right"/>
              <w:rPr>
                <w:b/>
                <w:bCs/>
                <w:sz w:val="16"/>
                <w:szCs w:val="16"/>
              </w:rPr>
            </w:pPr>
            <w:r w:rsidRPr="006B42D6">
              <w:rPr>
                <w:b/>
                <w:bCs/>
                <w:sz w:val="16"/>
                <w:szCs w:val="16"/>
              </w:rPr>
              <w:t>100.0</w:t>
            </w:r>
          </w:p>
        </w:tc>
        <w:tc>
          <w:tcPr>
            <w:tcW w:w="268" w:type="pct"/>
            <w:tcBorders>
              <w:top w:val="single" w:sz="4" w:space="0" w:color="auto"/>
              <w:left w:val="nil"/>
              <w:bottom w:val="single" w:sz="4" w:space="0" w:color="auto"/>
              <w:right w:val="nil"/>
            </w:tcBorders>
            <w:shd w:val="clear" w:color="auto" w:fill="E2EFD9" w:themeFill="accent6" w:themeFillTint="33"/>
            <w:noWrap/>
            <w:vAlign w:val="center"/>
            <w:hideMark/>
          </w:tcPr>
          <w:p w14:paraId="109EACD4" w14:textId="77777777" w:rsidR="008A1E55" w:rsidRPr="006B42D6" w:rsidRDefault="008A1E55" w:rsidP="00E16CAE">
            <w:pPr>
              <w:jc w:val="right"/>
              <w:rPr>
                <w:b/>
                <w:bCs/>
                <w:sz w:val="16"/>
                <w:szCs w:val="16"/>
              </w:rPr>
            </w:pPr>
            <w:r w:rsidRPr="006B42D6">
              <w:rPr>
                <w:b/>
                <w:bCs/>
                <w:sz w:val="16"/>
                <w:szCs w:val="16"/>
              </w:rPr>
              <w:t>100.0</w:t>
            </w:r>
          </w:p>
        </w:tc>
        <w:tc>
          <w:tcPr>
            <w:tcW w:w="268" w:type="pct"/>
            <w:tcBorders>
              <w:top w:val="single" w:sz="4" w:space="0" w:color="auto"/>
              <w:left w:val="nil"/>
              <w:bottom w:val="single" w:sz="4" w:space="0" w:color="auto"/>
              <w:right w:val="nil"/>
            </w:tcBorders>
            <w:shd w:val="clear" w:color="auto" w:fill="E2EFD9" w:themeFill="accent6" w:themeFillTint="33"/>
            <w:noWrap/>
            <w:vAlign w:val="center"/>
            <w:hideMark/>
          </w:tcPr>
          <w:p w14:paraId="325907F9" w14:textId="77777777" w:rsidR="008A1E55" w:rsidRPr="006B42D6" w:rsidRDefault="008A1E55" w:rsidP="00E16CAE">
            <w:pPr>
              <w:jc w:val="right"/>
              <w:rPr>
                <w:b/>
                <w:bCs/>
                <w:sz w:val="16"/>
                <w:szCs w:val="16"/>
              </w:rPr>
            </w:pPr>
            <w:r w:rsidRPr="006B42D6">
              <w:rPr>
                <w:b/>
                <w:bCs/>
                <w:sz w:val="16"/>
                <w:szCs w:val="16"/>
              </w:rPr>
              <w:t>-</w:t>
            </w:r>
          </w:p>
        </w:tc>
        <w:tc>
          <w:tcPr>
            <w:tcW w:w="314" w:type="pct"/>
            <w:tcBorders>
              <w:top w:val="single" w:sz="4" w:space="0" w:color="auto"/>
              <w:left w:val="nil"/>
              <w:bottom w:val="single" w:sz="4" w:space="0" w:color="auto"/>
              <w:right w:val="nil"/>
            </w:tcBorders>
            <w:shd w:val="clear" w:color="auto" w:fill="E2EFD9" w:themeFill="accent6" w:themeFillTint="33"/>
            <w:noWrap/>
            <w:vAlign w:val="center"/>
            <w:hideMark/>
          </w:tcPr>
          <w:p w14:paraId="1C93B5D3" w14:textId="77777777" w:rsidR="008A1E55" w:rsidRPr="006B42D6" w:rsidRDefault="008A1E55" w:rsidP="00E16CAE">
            <w:pPr>
              <w:jc w:val="right"/>
              <w:rPr>
                <w:b/>
                <w:bCs/>
                <w:sz w:val="16"/>
                <w:szCs w:val="16"/>
              </w:rPr>
            </w:pPr>
            <w:r w:rsidRPr="006B42D6">
              <w:rPr>
                <w:b/>
                <w:bCs/>
                <w:sz w:val="16"/>
                <w:szCs w:val="16"/>
              </w:rPr>
              <w:t>100.0</w:t>
            </w:r>
          </w:p>
        </w:tc>
        <w:tc>
          <w:tcPr>
            <w:tcW w:w="268" w:type="pct"/>
            <w:tcBorders>
              <w:top w:val="single" w:sz="4" w:space="0" w:color="auto"/>
              <w:left w:val="nil"/>
              <w:bottom w:val="single" w:sz="4" w:space="0" w:color="auto"/>
              <w:right w:val="nil"/>
            </w:tcBorders>
            <w:shd w:val="clear" w:color="auto" w:fill="E2EFD9" w:themeFill="accent6" w:themeFillTint="33"/>
            <w:noWrap/>
            <w:vAlign w:val="center"/>
            <w:hideMark/>
          </w:tcPr>
          <w:p w14:paraId="69B31560" w14:textId="77777777" w:rsidR="008A1E55" w:rsidRPr="006B42D6" w:rsidRDefault="008A1E55" w:rsidP="00E16CAE">
            <w:pPr>
              <w:jc w:val="right"/>
              <w:rPr>
                <w:b/>
                <w:bCs/>
                <w:sz w:val="16"/>
                <w:szCs w:val="16"/>
              </w:rPr>
            </w:pPr>
            <w:r w:rsidRPr="006B42D6">
              <w:rPr>
                <w:b/>
                <w:bCs/>
                <w:sz w:val="16"/>
                <w:szCs w:val="16"/>
              </w:rPr>
              <w:t>-</w:t>
            </w:r>
          </w:p>
        </w:tc>
      </w:tr>
    </w:tbl>
    <w:p w14:paraId="5F6D5781" w14:textId="77777777" w:rsidR="008A1E55" w:rsidRPr="006B42D6" w:rsidRDefault="008A1E55" w:rsidP="008A1E55">
      <w:pPr>
        <w:rPr>
          <w:rFonts w:ascii="TimesNewRomanPSMT" w:hAnsi="TimesNewRomanPSMT" w:cs="TimesNewRomanPSMT"/>
          <w:bCs/>
        </w:rPr>
        <w:sectPr w:rsidR="008A1E55" w:rsidRPr="006B42D6" w:rsidSect="00DD3FC5">
          <w:pgSz w:w="16840" w:h="11900" w:orient="landscape" w:code="9"/>
          <w:pgMar w:top="1440" w:right="1440" w:bottom="1440" w:left="1440" w:header="709" w:footer="709" w:gutter="0"/>
          <w:cols w:space="708"/>
          <w:docGrid w:linePitch="360"/>
        </w:sectPr>
      </w:pPr>
    </w:p>
    <w:p w14:paraId="00C2C955" w14:textId="403576C0" w:rsidR="008A1E55" w:rsidRPr="006B42D6" w:rsidRDefault="006C1D68" w:rsidP="008A1E55">
      <w:pPr>
        <w:pStyle w:val="Heading3"/>
      </w:pPr>
      <w:bookmarkStart w:id="877" w:name="_Toc82385805"/>
      <w:r w:rsidRPr="006B42D6">
        <w:lastRenderedPageBreak/>
        <w:t>6</w:t>
      </w:r>
      <w:r w:rsidR="008A1E55" w:rsidRPr="006B42D6">
        <w:t>.</w:t>
      </w:r>
      <w:r w:rsidR="00AC6872">
        <w:t>7</w:t>
      </w:r>
      <w:r w:rsidR="008A1E55" w:rsidRPr="006B42D6">
        <w:t>.2</w:t>
      </w:r>
      <w:r w:rsidR="008A1E55" w:rsidRPr="006B42D6">
        <w:tab/>
        <w:t>Dry Season</w:t>
      </w:r>
      <w:bookmarkEnd w:id="877"/>
    </w:p>
    <w:p w14:paraId="179ABDC1" w14:textId="5E197951" w:rsidR="008A1E55" w:rsidRDefault="008A1E55" w:rsidP="008A1E55">
      <w:r w:rsidRPr="006B42D6">
        <w:t xml:space="preserve">Majority of agricultural households (3,464,199; 44.2 percent) in Tanzania reported to use piped water as the main source of drinking water during the dry season, followed by 1,291,071 households (16.5 percent) that reported to use surface water and 1,214,606 households (15.5 percent) that used unprotected well. The least number of households (5,711; 0.1 percent) were reported to use bottled water (Table </w:t>
      </w:r>
      <w:r w:rsidR="006C1D68" w:rsidRPr="006B42D6">
        <w:t>6</w:t>
      </w:r>
      <w:r w:rsidRPr="006B42D6">
        <w:t>.15).</w:t>
      </w:r>
    </w:p>
    <w:p w14:paraId="125002E7" w14:textId="77777777" w:rsidR="00AC6872" w:rsidRPr="006B42D6" w:rsidRDefault="00AC6872" w:rsidP="0024189E">
      <w:pPr>
        <w:spacing w:line="240" w:lineRule="auto"/>
      </w:pPr>
    </w:p>
    <w:p w14:paraId="266E4691" w14:textId="3679AE87" w:rsidR="008A1E55" w:rsidRPr="006B42D6" w:rsidRDefault="008A1E55" w:rsidP="007200F6">
      <w:pPr>
        <w:pStyle w:val="Heading7"/>
      </w:pPr>
      <w:bookmarkStart w:id="878" w:name="_Toc82386250"/>
      <w:r w:rsidRPr="006B42D6">
        <w:t xml:space="preserve">Table </w:t>
      </w:r>
      <w:r w:rsidR="00F83A4C" w:rsidRPr="006B42D6">
        <w:t>6</w:t>
      </w:r>
      <w:r w:rsidRPr="006B42D6">
        <w:t>.15</w:t>
      </w:r>
      <w:r w:rsidR="005420E0">
        <w:t>:</w:t>
      </w:r>
      <w:r w:rsidR="007A288F">
        <w:tab/>
      </w:r>
      <w:r w:rsidRPr="006B42D6">
        <w:t>Number and Percentage of Agricultural Households Reported Main Source of Drinking Water in Dry Season During 2019/20 Agricultural Year, Tanzania</w:t>
      </w:r>
      <w:bookmarkEnd w:id="878"/>
    </w:p>
    <w:tbl>
      <w:tblPr>
        <w:tblW w:w="5000" w:type="pct"/>
        <w:tblLook w:val="04A0" w:firstRow="1" w:lastRow="0" w:firstColumn="1" w:lastColumn="0" w:noHBand="0" w:noVBand="1"/>
      </w:tblPr>
      <w:tblGrid>
        <w:gridCol w:w="3634"/>
        <w:gridCol w:w="1096"/>
        <w:gridCol w:w="832"/>
        <w:gridCol w:w="1095"/>
        <w:gridCol w:w="831"/>
        <w:gridCol w:w="911"/>
        <w:gridCol w:w="837"/>
      </w:tblGrid>
      <w:tr w:rsidR="006B42D6" w:rsidRPr="006B42D6" w14:paraId="5629D21B" w14:textId="77777777" w:rsidTr="005420E0">
        <w:trPr>
          <w:trHeight w:val="283"/>
        </w:trPr>
        <w:tc>
          <w:tcPr>
            <w:tcW w:w="1967" w:type="pct"/>
            <w:vMerge w:val="restart"/>
            <w:tcBorders>
              <w:top w:val="single" w:sz="4" w:space="0" w:color="auto"/>
              <w:left w:val="nil"/>
              <w:bottom w:val="single" w:sz="4" w:space="0" w:color="000000"/>
              <w:right w:val="nil"/>
            </w:tcBorders>
            <w:shd w:val="clear" w:color="auto" w:fill="E2EFD9" w:themeFill="accent6" w:themeFillTint="33"/>
            <w:vAlign w:val="center"/>
            <w:hideMark/>
          </w:tcPr>
          <w:p w14:paraId="6F95FE04" w14:textId="77777777" w:rsidR="008A1E55" w:rsidRPr="006B42D6" w:rsidRDefault="008A1E55" w:rsidP="00DD3FC5">
            <w:pPr>
              <w:spacing w:line="240" w:lineRule="auto"/>
              <w:rPr>
                <w:sz w:val="18"/>
                <w:szCs w:val="18"/>
              </w:rPr>
            </w:pPr>
            <w:r w:rsidRPr="006B42D6">
              <w:rPr>
                <w:sz w:val="18"/>
                <w:szCs w:val="18"/>
              </w:rPr>
              <w:t>Source of Drinking Water</w:t>
            </w:r>
          </w:p>
        </w:tc>
        <w:tc>
          <w:tcPr>
            <w:tcW w:w="1043" w:type="pct"/>
            <w:gridSpan w:val="2"/>
            <w:tcBorders>
              <w:top w:val="single" w:sz="4" w:space="0" w:color="auto"/>
              <w:left w:val="nil"/>
              <w:bottom w:val="nil"/>
              <w:right w:val="nil"/>
            </w:tcBorders>
            <w:shd w:val="clear" w:color="auto" w:fill="E2EFD9" w:themeFill="accent6" w:themeFillTint="33"/>
            <w:noWrap/>
            <w:vAlign w:val="bottom"/>
            <w:hideMark/>
          </w:tcPr>
          <w:p w14:paraId="683EDB62" w14:textId="77777777" w:rsidR="008A1E55" w:rsidRPr="006B42D6" w:rsidRDefault="008A1E55" w:rsidP="00DD3FC5">
            <w:pPr>
              <w:spacing w:line="240" w:lineRule="auto"/>
              <w:jc w:val="center"/>
              <w:rPr>
                <w:sz w:val="18"/>
                <w:szCs w:val="18"/>
              </w:rPr>
            </w:pPr>
            <w:r w:rsidRPr="006B42D6">
              <w:rPr>
                <w:sz w:val="18"/>
                <w:szCs w:val="18"/>
              </w:rPr>
              <w:t>Tanzania</w:t>
            </w:r>
          </w:p>
        </w:tc>
        <w:tc>
          <w:tcPr>
            <w:tcW w:w="1043" w:type="pct"/>
            <w:gridSpan w:val="2"/>
            <w:tcBorders>
              <w:top w:val="single" w:sz="4" w:space="0" w:color="auto"/>
              <w:left w:val="nil"/>
              <w:bottom w:val="nil"/>
              <w:right w:val="nil"/>
            </w:tcBorders>
            <w:shd w:val="clear" w:color="auto" w:fill="E2EFD9" w:themeFill="accent6" w:themeFillTint="33"/>
            <w:noWrap/>
            <w:vAlign w:val="bottom"/>
            <w:hideMark/>
          </w:tcPr>
          <w:p w14:paraId="4E732939" w14:textId="5E0DBD3F" w:rsidR="008A1E55" w:rsidRPr="006B42D6" w:rsidRDefault="00EA1552" w:rsidP="00DD3FC5">
            <w:pPr>
              <w:spacing w:line="240" w:lineRule="auto"/>
              <w:jc w:val="center"/>
              <w:rPr>
                <w:sz w:val="18"/>
                <w:szCs w:val="18"/>
              </w:rPr>
            </w:pPr>
            <w:r>
              <w:rPr>
                <w:sz w:val="18"/>
                <w:szCs w:val="18"/>
              </w:rPr>
              <w:t>Mainland Tanzania</w:t>
            </w:r>
          </w:p>
        </w:tc>
        <w:tc>
          <w:tcPr>
            <w:tcW w:w="946" w:type="pct"/>
            <w:gridSpan w:val="2"/>
            <w:tcBorders>
              <w:top w:val="single" w:sz="4" w:space="0" w:color="auto"/>
              <w:left w:val="nil"/>
              <w:bottom w:val="nil"/>
              <w:right w:val="nil"/>
            </w:tcBorders>
            <w:shd w:val="clear" w:color="auto" w:fill="E2EFD9" w:themeFill="accent6" w:themeFillTint="33"/>
            <w:noWrap/>
            <w:vAlign w:val="bottom"/>
            <w:hideMark/>
          </w:tcPr>
          <w:p w14:paraId="33015BC1" w14:textId="77777777" w:rsidR="008A1E55" w:rsidRPr="006B42D6" w:rsidRDefault="008A1E55" w:rsidP="00DD3FC5">
            <w:pPr>
              <w:spacing w:line="240" w:lineRule="auto"/>
              <w:jc w:val="center"/>
              <w:rPr>
                <w:sz w:val="18"/>
                <w:szCs w:val="18"/>
              </w:rPr>
            </w:pPr>
            <w:r w:rsidRPr="006B42D6">
              <w:rPr>
                <w:sz w:val="18"/>
                <w:szCs w:val="18"/>
              </w:rPr>
              <w:t>Tanzania Zanzibar</w:t>
            </w:r>
          </w:p>
        </w:tc>
      </w:tr>
      <w:tr w:rsidR="006B42D6" w:rsidRPr="006B42D6" w14:paraId="6111758F" w14:textId="77777777" w:rsidTr="005420E0">
        <w:trPr>
          <w:trHeight w:val="283"/>
        </w:trPr>
        <w:tc>
          <w:tcPr>
            <w:tcW w:w="1967" w:type="pct"/>
            <w:vMerge/>
            <w:tcBorders>
              <w:top w:val="single" w:sz="4" w:space="0" w:color="auto"/>
              <w:left w:val="nil"/>
              <w:bottom w:val="single" w:sz="4" w:space="0" w:color="000000"/>
              <w:right w:val="nil"/>
            </w:tcBorders>
            <w:shd w:val="clear" w:color="auto" w:fill="E2EFD9" w:themeFill="accent6" w:themeFillTint="33"/>
            <w:vAlign w:val="center"/>
            <w:hideMark/>
          </w:tcPr>
          <w:p w14:paraId="1D6E2B3B" w14:textId="77777777" w:rsidR="008A1E55" w:rsidRPr="006B42D6" w:rsidRDefault="008A1E55" w:rsidP="00DD3FC5">
            <w:pPr>
              <w:spacing w:line="240" w:lineRule="auto"/>
              <w:rPr>
                <w:sz w:val="18"/>
                <w:szCs w:val="18"/>
              </w:rPr>
            </w:pPr>
          </w:p>
        </w:tc>
        <w:tc>
          <w:tcPr>
            <w:tcW w:w="593" w:type="pct"/>
            <w:tcBorders>
              <w:top w:val="nil"/>
              <w:left w:val="nil"/>
              <w:bottom w:val="single" w:sz="4" w:space="0" w:color="auto"/>
              <w:right w:val="nil"/>
            </w:tcBorders>
            <w:shd w:val="clear" w:color="auto" w:fill="E2EFD9" w:themeFill="accent6" w:themeFillTint="33"/>
            <w:noWrap/>
            <w:vAlign w:val="center"/>
            <w:hideMark/>
          </w:tcPr>
          <w:p w14:paraId="267D2C9C" w14:textId="77777777" w:rsidR="008A1E55" w:rsidRPr="006B42D6" w:rsidRDefault="008A1E55" w:rsidP="00143C67">
            <w:pPr>
              <w:spacing w:line="240" w:lineRule="auto"/>
              <w:jc w:val="center"/>
              <w:rPr>
                <w:sz w:val="18"/>
                <w:szCs w:val="18"/>
              </w:rPr>
            </w:pPr>
            <w:r w:rsidRPr="006B42D6">
              <w:rPr>
                <w:sz w:val="18"/>
                <w:szCs w:val="18"/>
              </w:rPr>
              <w:t>Number</w:t>
            </w:r>
          </w:p>
        </w:tc>
        <w:tc>
          <w:tcPr>
            <w:tcW w:w="450" w:type="pct"/>
            <w:tcBorders>
              <w:top w:val="nil"/>
              <w:left w:val="nil"/>
              <w:bottom w:val="single" w:sz="4" w:space="0" w:color="auto"/>
              <w:right w:val="nil"/>
            </w:tcBorders>
            <w:shd w:val="clear" w:color="auto" w:fill="E2EFD9" w:themeFill="accent6" w:themeFillTint="33"/>
            <w:noWrap/>
            <w:vAlign w:val="center"/>
            <w:hideMark/>
          </w:tcPr>
          <w:p w14:paraId="2B251CAA" w14:textId="77777777" w:rsidR="008A1E55" w:rsidRPr="006B42D6" w:rsidRDefault="008A1E55" w:rsidP="00143C67">
            <w:pPr>
              <w:spacing w:line="240" w:lineRule="auto"/>
              <w:jc w:val="center"/>
              <w:rPr>
                <w:sz w:val="18"/>
                <w:szCs w:val="18"/>
              </w:rPr>
            </w:pPr>
            <w:r w:rsidRPr="006B42D6">
              <w:rPr>
                <w:sz w:val="18"/>
                <w:szCs w:val="18"/>
              </w:rPr>
              <w:t>Percent</w:t>
            </w:r>
          </w:p>
        </w:tc>
        <w:tc>
          <w:tcPr>
            <w:tcW w:w="593" w:type="pct"/>
            <w:tcBorders>
              <w:top w:val="nil"/>
              <w:left w:val="nil"/>
              <w:bottom w:val="single" w:sz="4" w:space="0" w:color="auto"/>
              <w:right w:val="nil"/>
            </w:tcBorders>
            <w:shd w:val="clear" w:color="auto" w:fill="E2EFD9" w:themeFill="accent6" w:themeFillTint="33"/>
            <w:noWrap/>
            <w:vAlign w:val="center"/>
            <w:hideMark/>
          </w:tcPr>
          <w:p w14:paraId="49C95DE1" w14:textId="77777777" w:rsidR="008A1E55" w:rsidRPr="006B42D6" w:rsidRDefault="008A1E55" w:rsidP="00143C67">
            <w:pPr>
              <w:spacing w:line="240" w:lineRule="auto"/>
              <w:jc w:val="center"/>
              <w:rPr>
                <w:sz w:val="18"/>
                <w:szCs w:val="18"/>
              </w:rPr>
            </w:pPr>
            <w:r w:rsidRPr="006B42D6">
              <w:rPr>
                <w:sz w:val="18"/>
                <w:szCs w:val="18"/>
              </w:rPr>
              <w:t>Number</w:t>
            </w:r>
          </w:p>
        </w:tc>
        <w:tc>
          <w:tcPr>
            <w:tcW w:w="450" w:type="pct"/>
            <w:tcBorders>
              <w:top w:val="nil"/>
              <w:left w:val="nil"/>
              <w:bottom w:val="single" w:sz="4" w:space="0" w:color="auto"/>
              <w:right w:val="nil"/>
            </w:tcBorders>
            <w:shd w:val="clear" w:color="auto" w:fill="E2EFD9" w:themeFill="accent6" w:themeFillTint="33"/>
            <w:noWrap/>
            <w:vAlign w:val="center"/>
            <w:hideMark/>
          </w:tcPr>
          <w:p w14:paraId="4D235C73" w14:textId="77777777" w:rsidR="008A1E55" w:rsidRPr="006B42D6" w:rsidRDefault="008A1E55" w:rsidP="00143C67">
            <w:pPr>
              <w:spacing w:line="240" w:lineRule="auto"/>
              <w:jc w:val="center"/>
              <w:rPr>
                <w:sz w:val="18"/>
                <w:szCs w:val="18"/>
              </w:rPr>
            </w:pPr>
            <w:r w:rsidRPr="006B42D6">
              <w:rPr>
                <w:sz w:val="18"/>
                <w:szCs w:val="18"/>
              </w:rPr>
              <w:t>Percent</w:t>
            </w:r>
          </w:p>
        </w:tc>
        <w:tc>
          <w:tcPr>
            <w:tcW w:w="493" w:type="pct"/>
            <w:tcBorders>
              <w:top w:val="nil"/>
              <w:left w:val="nil"/>
              <w:bottom w:val="single" w:sz="4" w:space="0" w:color="auto"/>
              <w:right w:val="nil"/>
            </w:tcBorders>
            <w:shd w:val="clear" w:color="auto" w:fill="E2EFD9" w:themeFill="accent6" w:themeFillTint="33"/>
            <w:noWrap/>
            <w:vAlign w:val="center"/>
            <w:hideMark/>
          </w:tcPr>
          <w:p w14:paraId="609E8E34" w14:textId="77777777" w:rsidR="008A1E55" w:rsidRPr="006B42D6" w:rsidRDefault="008A1E55" w:rsidP="00143C67">
            <w:pPr>
              <w:spacing w:line="240" w:lineRule="auto"/>
              <w:jc w:val="center"/>
              <w:rPr>
                <w:sz w:val="18"/>
                <w:szCs w:val="18"/>
              </w:rPr>
            </w:pPr>
            <w:r w:rsidRPr="006B42D6">
              <w:rPr>
                <w:sz w:val="18"/>
                <w:szCs w:val="18"/>
              </w:rPr>
              <w:t>Number</w:t>
            </w:r>
          </w:p>
        </w:tc>
        <w:tc>
          <w:tcPr>
            <w:tcW w:w="453" w:type="pct"/>
            <w:tcBorders>
              <w:top w:val="nil"/>
              <w:left w:val="nil"/>
              <w:bottom w:val="single" w:sz="4" w:space="0" w:color="auto"/>
              <w:right w:val="nil"/>
            </w:tcBorders>
            <w:shd w:val="clear" w:color="auto" w:fill="E2EFD9" w:themeFill="accent6" w:themeFillTint="33"/>
            <w:noWrap/>
            <w:vAlign w:val="center"/>
            <w:hideMark/>
          </w:tcPr>
          <w:p w14:paraId="3DC24658" w14:textId="77777777" w:rsidR="008A1E55" w:rsidRPr="006B42D6" w:rsidRDefault="008A1E55" w:rsidP="00143C67">
            <w:pPr>
              <w:spacing w:line="240" w:lineRule="auto"/>
              <w:jc w:val="center"/>
              <w:rPr>
                <w:sz w:val="18"/>
                <w:szCs w:val="18"/>
              </w:rPr>
            </w:pPr>
            <w:r w:rsidRPr="006B42D6">
              <w:rPr>
                <w:sz w:val="18"/>
                <w:szCs w:val="18"/>
              </w:rPr>
              <w:t>Percent</w:t>
            </w:r>
          </w:p>
        </w:tc>
      </w:tr>
      <w:tr w:rsidR="006B42D6" w:rsidRPr="006B42D6" w14:paraId="668B01E4" w14:textId="77777777" w:rsidTr="005420E0">
        <w:trPr>
          <w:trHeight w:val="283"/>
        </w:trPr>
        <w:tc>
          <w:tcPr>
            <w:tcW w:w="1967" w:type="pct"/>
            <w:tcBorders>
              <w:top w:val="nil"/>
              <w:left w:val="nil"/>
              <w:bottom w:val="nil"/>
              <w:right w:val="nil"/>
            </w:tcBorders>
            <w:shd w:val="clear" w:color="auto" w:fill="auto"/>
            <w:vAlign w:val="center"/>
            <w:hideMark/>
          </w:tcPr>
          <w:p w14:paraId="75D7D5BF" w14:textId="77777777" w:rsidR="008A1E55" w:rsidRPr="006B42D6" w:rsidRDefault="008A1E55" w:rsidP="00E16CAE">
            <w:pPr>
              <w:rPr>
                <w:sz w:val="18"/>
                <w:szCs w:val="18"/>
              </w:rPr>
            </w:pPr>
            <w:r w:rsidRPr="006B42D6">
              <w:rPr>
                <w:sz w:val="18"/>
                <w:szCs w:val="18"/>
              </w:rPr>
              <w:t>Piped water</w:t>
            </w:r>
          </w:p>
        </w:tc>
        <w:tc>
          <w:tcPr>
            <w:tcW w:w="593" w:type="pct"/>
            <w:tcBorders>
              <w:top w:val="nil"/>
              <w:left w:val="nil"/>
              <w:bottom w:val="nil"/>
              <w:right w:val="nil"/>
            </w:tcBorders>
            <w:shd w:val="clear" w:color="auto" w:fill="auto"/>
            <w:noWrap/>
            <w:vAlign w:val="center"/>
            <w:hideMark/>
          </w:tcPr>
          <w:p w14:paraId="743008AE" w14:textId="77777777" w:rsidR="008A1E55" w:rsidRPr="006B42D6" w:rsidRDefault="008A1E55" w:rsidP="00143C67">
            <w:pPr>
              <w:jc w:val="right"/>
              <w:rPr>
                <w:sz w:val="18"/>
                <w:szCs w:val="18"/>
              </w:rPr>
            </w:pPr>
            <w:r w:rsidRPr="006B42D6">
              <w:rPr>
                <w:sz w:val="18"/>
                <w:szCs w:val="18"/>
              </w:rPr>
              <w:t>3,464,199</w:t>
            </w:r>
          </w:p>
        </w:tc>
        <w:tc>
          <w:tcPr>
            <w:tcW w:w="450" w:type="pct"/>
            <w:tcBorders>
              <w:top w:val="nil"/>
              <w:left w:val="nil"/>
              <w:bottom w:val="nil"/>
              <w:right w:val="nil"/>
            </w:tcBorders>
            <w:shd w:val="clear" w:color="auto" w:fill="auto"/>
            <w:noWrap/>
            <w:vAlign w:val="center"/>
            <w:hideMark/>
          </w:tcPr>
          <w:p w14:paraId="71C9E4A2" w14:textId="77777777" w:rsidR="008A1E55" w:rsidRPr="006B42D6" w:rsidRDefault="008A1E55" w:rsidP="00143C67">
            <w:pPr>
              <w:jc w:val="right"/>
              <w:rPr>
                <w:sz w:val="18"/>
                <w:szCs w:val="18"/>
              </w:rPr>
            </w:pPr>
            <w:r w:rsidRPr="006B42D6">
              <w:rPr>
                <w:sz w:val="18"/>
                <w:szCs w:val="18"/>
              </w:rPr>
              <w:t>44.2</w:t>
            </w:r>
          </w:p>
        </w:tc>
        <w:tc>
          <w:tcPr>
            <w:tcW w:w="593" w:type="pct"/>
            <w:tcBorders>
              <w:top w:val="nil"/>
              <w:left w:val="nil"/>
              <w:bottom w:val="nil"/>
              <w:right w:val="nil"/>
            </w:tcBorders>
            <w:shd w:val="clear" w:color="auto" w:fill="auto"/>
            <w:noWrap/>
            <w:vAlign w:val="center"/>
            <w:hideMark/>
          </w:tcPr>
          <w:p w14:paraId="69550A91" w14:textId="77777777" w:rsidR="008A1E55" w:rsidRPr="006B42D6" w:rsidRDefault="008A1E55" w:rsidP="00143C67">
            <w:pPr>
              <w:jc w:val="right"/>
              <w:rPr>
                <w:sz w:val="18"/>
                <w:szCs w:val="18"/>
              </w:rPr>
            </w:pPr>
            <w:r w:rsidRPr="006B42D6">
              <w:rPr>
                <w:sz w:val="18"/>
                <w:szCs w:val="18"/>
              </w:rPr>
              <w:t>3,324,552</w:t>
            </w:r>
          </w:p>
        </w:tc>
        <w:tc>
          <w:tcPr>
            <w:tcW w:w="450" w:type="pct"/>
            <w:tcBorders>
              <w:top w:val="nil"/>
              <w:left w:val="nil"/>
              <w:bottom w:val="nil"/>
              <w:right w:val="nil"/>
            </w:tcBorders>
            <w:shd w:val="clear" w:color="auto" w:fill="auto"/>
            <w:noWrap/>
            <w:vAlign w:val="center"/>
            <w:hideMark/>
          </w:tcPr>
          <w:p w14:paraId="7E835648" w14:textId="77777777" w:rsidR="008A1E55" w:rsidRPr="006B42D6" w:rsidRDefault="008A1E55" w:rsidP="00143C67">
            <w:pPr>
              <w:jc w:val="right"/>
              <w:rPr>
                <w:sz w:val="18"/>
                <w:szCs w:val="18"/>
              </w:rPr>
            </w:pPr>
            <w:r w:rsidRPr="006B42D6">
              <w:rPr>
                <w:sz w:val="18"/>
                <w:szCs w:val="18"/>
              </w:rPr>
              <w:t>43.4</w:t>
            </w:r>
          </w:p>
        </w:tc>
        <w:tc>
          <w:tcPr>
            <w:tcW w:w="493" w:type="pct"/>
            <w:tcBorders>
              <w:top w:val="nil"/>
              <w:left w:val="nil"/>
              <w:bottom w:val="nil"/>
              <w:right w:val="nil"/>
            </w:tcBorders>
            <w:shd w:val="clear" w:color="auto" w:fill="auto"/>
            <w:noWrap/>
            <w:vAlign w:val="center"/>
            <w:hideMark/>
          </w:tcPr>
          <w:p w14:paraId="0F9200CB" w14:textId="77777777" w:rsidR="008A1E55" w:rsidRPr="006B42D6" w:rsidRDefault="008A1E55" w:rsidP="00143C67">
            <w:pPr>
              <w:jc w:val="right"/>
              <w:rPr>
                <w:sz w:val="18"/>
                <w:szCs w:val="18"/>
              </w:rPr>
            </w:pPr>
            <w:r w:rsidRPr="006B42D6">
              <w:rPr>
                <w:sz w:val="18"/>
                <w:szCs w:val="18"/>
              </w:rPr>
              <w:t>139,647</w:t>
            </w:r>
          </w:p>
        </w:tc>
        <w:tc>
          <w:tcPr>
            <w:tcW w:w="453" w:type="pct"/>
            <w:tcBorders>
              <w:top w:val="nil"/>
              <w:left w:val="nil"/>
              <w:bottom w:val="nil"/>
              <w:right w:val="nil"/>
            </w:tcBorders>
            <w:shd w:val="clear" w:color="auto" w:fill="auto"/>
            <w:noWrap/>
            <w:vAlign w:val="center"/>
            <w:hideMark/>
          </w:tcPr>
          <w:p w14:paraId="6F35304E" w14:textId="77777777" w:rsidR="008A1E55" w:rsidRPr="006B42D6" w:rsidRDefault="008A1E55" w:rsidP="00143C67">
            <w:pPr>
              <w:jc w:val="right"/>
              <w:rPr>
                <w:sz w:val="18"/>
                <w:szCs w:val="18"/>
              </w:rPr>
            </w:pPr>
            <w:r w:rsidRPr="006B42D6">
              <w:rPr>
                <w:sz w:val="18"/>
                <w:szCs w:val="18"/>
              </w:rPr>
              <w:t>77.5</w:t>
            </w:r>
          </w:p>
        </w:tc>
      </w:tr>
      <w:tr w:rsidR="006B42D6" w:rsidRPr="006B42D6" w14:paraId="0F796790" w14:textId="77777777" w:rsidTr="005420E0">
        <w:trPr>
          <w:trHeight w:val="283"/>
        </w:trPr>
        <w:tc>
          <w:tcPr>
            <w:tcW w:w="1967" w:type="pct"/>
            <w:tcBorders>
              <w:top w:val="nil"/>
              <w:left w:val="nil"/>
              <w:bottom w:val="nil"/>
              <w:right w:val="nil"/>
            </w:tcBorders>
            <w:shd w:val="clear" w:color="auto" w:fill="auto"/>
            <w:vAlign w:val="center"/>
            <w:hideMark/>
          </w:tcPr>
          <w:p w14:paraId="7DD474D8" w14:textId="77777777" w:rsidR="008A1E55" w:rsidRPr="006B42D6" w:rsidRDefault="008A1E55" w:rsidP="00E16CAE">
            <w:pPr>
              <w:rPr>
                <w:sz w:val="18"/>
                <w:szCs w:val="18"/>
              </w:rPr>
            </w:pPr>
            <w:r w:rsidRPr="006B42D6">
              <w:rPr>
                <w:sz w:val="18"/>
                <w:szCs w:val="18"/>
              </w:rPr>
              <w:t>Protected well</w:t>
            </w:r>
          </w:p>
        </w:tc>
        <w:tc>
          <w:tcPr>
            <w:tcW w:w="593" w:type="pct"/>
            <w:tcBorders>
              <w:top w:val="nil"/>
              <w:left w:val="nil"/>
              <w:bottom w:val="nil"/>
              <w:right w:val="nil"/>
            </w:tcBorders>
            <w:shd w:val="clear" w:color="auto" w:fill="auto"/>
            <w:noWrap/>
            <w:vAlign w:val="center"/>
            <w:hideMark/>
          </w:tcPr>
          <w:p w14:paraId="5A938DAF" w14:textId="77777777" w:rsidR="008A1E55" w:rsidRPr="006B42D6" w:rsidRDefault="008A1E55" w:rsidP="00143C67">
            <w:pPr>
              <w:jc w:val="right"/>
              <w:rPr>
                <w:sz w:val="18"/>
                <w:szCs w:val="18"/>
              </w:rPr>
            </w:pPr>
            <w:r w:rsidRPr="006B42D6">
              <w:rPr>
                <w:sz w:val="18"/>
                <w:szCs w:val="18"/>
              </w:rPr>
              <w:t>940,887</w:t>
            </w:r>
          </w:p>
        </w:tc>
        <w:tc>
          <w:tcPr>
            <w:tcW w:w="450" w:type="pct"/>
            <w:tcBorders>
              <w:top w:val="nil"/>
              <w:left w:val="nil"/>
              <w:bottom w:val="nil"/>
              <w:right w:val="nil"/>
            </w:tcBorders>
            <w:shd w:val="clear" w:color="auto" w:fill="auto"/>
            <w:noWrap/>
            <w:vAlign w:val="center"/>
            <w:hideMark/>
          </w:tcPr>
          <w:p w14:paraId="69AF5F4B" w14:textId="77777777" w:rsidR="008A1E55" w:rsidRPr="006B42D6" w:rsidRDefault="008A1E55" w:rsidP="00143C67">
            <w:pPr>
              <w:jc w:val="right"/>
              <w:rPr>
                <w:sz w:val="18"/>
                <w:szCs w:val="18"/>
              </w:rPr>
            </w:pPr>
            <w:r w:rsidRPr="006B42D6">
              <w:rPr>
                <w:sz w:val="18"/>
                <w:szCs w:val="18"/>
              </w:rPr>
              <w:t>12.0</w:t>
            </w:r>
          </w:p>
        </w:tc>
        <w:tc>
          <w:tcPr>
            <w:tcW w:w="593" w:type="pct"/>
            <w:tcBorders>
              <w:top w:val="nil"/>
              <w:left w:val="nil"/>
              <w:bottom w:val="nil"/>
              <w:right w:val="nil"/>
            </w:tcBorders>
            <w:shd w:val="clear" w:color="auto" w:fill="auto"/>
            <w:noWrap/>
            <w:vAlign w:val="center"/>
            <w:hideMark/>
          </w:tcPr>
          <w:p w14:paraId="07E7AF98" w14:textId="77777777" w:rsidR="008A1E55" w:rsidRPr="006B42D6" w:rsidRDefault="008A1E55" w:rsidP="00143C67">
            <w:pPr>
              <w:jc w:val="right"/>
              <w:rPr>
                <w:sz w:val="18"/>
                <w:szCs w:val="18"/>
              </w:rPr>
            </w:pPr>
            <w:r w:rsidRPr="006B42D6">
              <w:rPr>
                <w:sz w:val="18"/>
                <w:szCs w:val="18"/>
              </w:rPr>
              <w:t>916,217</w:t>
            </w:r>
          </w:p>
        </w:tc>
        <w:tc>
          <w:tcPr>
            <w:tcW w:w="450" w:type="pct"/>
            <w:tcBorders>
              <w:top w:val="nil"/>
              <w:left w:val="nil"/>
              <w:bottom w:val="nil"/>
              <w:right w:val="nil"/>
            </w:tcBorders>
            <w:shd w:val="clear" w:color="auto" w:fill="auto"/>
            <w:noWrap/>
            <w:vAlign w:val="center"/>
            <w:hideMark/>
          </w:tcPr>
          <w:p w14:paraId="5E480A8C" w14:textId="77777777" w:rsidR="008A1E55" w:rsidRPr="006B42D6" w:rsidRDefault="008A1E55" w:rsidP="00143C67">
            <w:pPr>
              <w:jc w:val="right"/>
              <w:rPr>
                <w:sz w:val="18"/>
                <w:szCs w:val="18"/>
              </w:rPr>
            </w:pPr>
            <w:r w:rsidRPr="006B42D6">
              <w:rPr>
                <w:sz w:val="18"/>
                <w:szCs w:val="18"/>
              </w:rPr>
              <w:t>12.0</w:t>
            </w:r>
          </w:p>
        </w:tc>
        <w:tc>
          <w:tcPr>
            <w:tcW w:w="493" w:type="pct"/>
            <w:tcBorders>
              <w:top w:val="nil"/>
              <w:left w:val="nil"/>
              <w:bottom w:val="nil"/>
              <w:right w:val="nil"/>
            </w:tcBorders>
            <w:shd w:val="clear" w:color="auto" w:fill="auto"/>
            <w:noWrap/>
            <w:vAlign w:val="center"/>
            <w:hideMark/>
          </w:tcPr>
          <w:p w14:paraId="0CC97CC5" w14:textId="77777777" w:rsidR="008A1E55" w:rsidRPr="006B42D6" w:rsidRDefault="008A1E55" w:rsidP="00143C67">
            <w:pPr>
              <w:jc w:val="right"/>
              <w:rPr>
                <w:sz w:val="18"/>
                <w:szCs w:val="18"/>
              </w:rPr>
            </w:pPr>
            <w:r w:rsidRPr="006B42D6">
              <w:rPr>
                <w:sz w:val="18"/>
                <w:szCs w:val="18"/>
              </w:rPr>
              <w:t>24,670</w:t>
            </w:r>
          </w:p>
        </w:tc>
        <w:tc>
          <w:tcPr>
            <w:tcW w:w="453" w:type="pct"/>
            <w:tcBorders>
              <w:top w:val="nil"/>
              <w:left w:val="nil"/>
              <w:bottom w:val="nil"/>
              <w:right w:val="nil"/>
            </w:tcBorders>
            <w:shd w:val="clear" w:color="auto" w:fill="auto"/>
            <w:noWrap/>
            <w:vAlign w:val="center"/>
            <w:hideMark/>
          </w:tcPr>
          <w:p w14:paraId="28C4583A" w14:textId="77777777" w:rsidR="008A1E55" w:rsidRPr="006B42D6" w:rsidRDefault="008A1E55" w:rsidP="00143C67">
            <w:pPr>
              <w:jc w:val="right"/>
              <w:rPr>
                <w:sz w:val="18"/>
                <w:szCs w:val="18"/>
              </w:rPr>
            </w:pPr>
            <w:r w:rsidRPr="006B42D6">
              <w:rPr>
                <w:sz w:val="18"/>
                <w:szCs w:val="18"/>
              </w:rPr>
              <w:t>13.7</w:t>
            </w:r>
          </w:p>
        </w:tc>
      </w:tr>
      <w:tr w:rsidR="006B42D6" w:rsidRPr="006B42D6" w14:paraId="2D780CC1" w14:textId="77777777" w:rsidTr="005420E0">
        <w:trPr>
          <w:trHeight w:val="283"/>
        </w:trPr>
        <w:tc>
          <w:tcPr>
            <w:tcW w:w="1967" w:type="pct"/>
            <w:tcBorders>
              <w:top w:val="nil"/>
              <w:left w:val="nil"/>
              <w:bottom w:val="nil"/>
              <w:right w:val="nil"/>
            </w:tcBorders>
            <w:shd w:val="clear" w:color="auto" w:fill="auto"/>
            <w:vAlign w:val="center"/>
            <w:hideMark/>
          </w:tcPr>
          <w:p w14:paraId="3F86C585" w14:textId="77777777" w:rsidR="008A1E55" w:rsidRPr="006B42D6" w:rsidRDefault="008A1E55" w:rsidP="00E16CAE">
            <w:pPr>
              <w:rPr>
                <w:sz w:val="18"/>
                <w:szCs w:val="18"/>
              </w:rPr>
            </w:pPr>
            <w:r w:rsidRPr="006B42D6">
              <w:rPr>
                <w:sz w:val="18"/>
                <w:szCs w:val="18"/>
              </w:rPr>
              <w:t>Protected/covered spring</w:t>
            </w:r>
          </w:p>
        </w:tc>
        <w:tc>
          <w:tcPr>
            <w:tcW w:w="593" w:type="pct"/>
            <w:tcBorders>
              <w:top w:val="nil"/>
              <w:left w:val="nil"/>
              <w:bottom w:val="nil"/>
              <w:right w:val="nil"/>
            </w:tcBorders>
            <w:shd w:val="clear" w:color="auto" w:fill="auto"/>
            <w:noWrap/>
            <w:vAlign w:val="center"/>
            <w:hideMark/>
          </w:tcPr>
          <w:p w14:paraId="305460B9" w14:textId="77777777" w:rsidR="008A1E55" w:rsidRPr="006B42D6" w:rsidRDefault="008A1E55" w:rsidP="00143C67">
            <w:pPr>
              <w:jc w:val="right"/>
              <w:rPr>
                <w:sz w:val="18"/>
                <w:szCs w:val="18"/>
              </w:rPr>
            </w:pPr>
            <w:r w:rsidRPr="006B42D6">
              <w:rPr>
                <w:sz w:val="18"/>
                <w:szCs w:val="18"/>
              </w:rPr>
              <w:t>129,045</w:t>
            </w:r>
          </w:p>
        </w:tc>
        <w:tc>
          <w:tcPr>
            <w:tcW w:w="450" w:type="pct"/>
            <w:tcBorders>
              <w:top w:val="nil"/>
              <w:left w:val="nil"/>
              <w:bottom w:val="nil"/>
              <w:right w:val="nil"/>
            </w:tcBorders>
            <w:shd w:val="clear" w:color="auto" w:fill="auto"/>
            <w:noWrap/>
            <w:vAlign w:val="center"/>
            <w:hideMark/>
          </w:tcPr>
          <w:p w14:paraId="300F7824" w14:textId="77777777" w:rsidR="008A1E55" w:rsidRPr="006B42D6" w:rsidRDefault="008A1E55" w:rsidP="00143C67">
            <w:pPr>
              <w:jc w:val="right"/>
              <w:rPr>
                <w:sz w:val="18"/>
                <w:szCs w:val="18"/>
              </w:rPr>
            </w:pPr>
            <w:r w:rsidRPr="006B42D6">
              <w:rPr>
                <w:sz w:val="18"/>
                <w:szCs w:val="18"/>
              </w:rPr>
              <w:t>1.6</w:t>
            </w:r>
          </w:p>
        </w:tc>
        <w:tc>
          <w:tcPr>
            <w:tcW w:w="593" w:type="pct"/>
            <w:tcBorders>
              <w:top w:val="nil"/>
              <w:left w:val="nil"/>
              <w:bottom w:val="nil"/>
              <w:right w:val="nil"/>
            </w:tcBorders>
            <w:shd w:val="clear" w:color="auto" w:fill="auto"/>
            <w:noWrap/>
            <w:vAlign w:val="center"/>
            <w:hideMark/>
          </w:tcPr>
          <w:p w14:paraId="5C80DC3C" w14:textId="77777777" w:rsidR="008A1E55" w:rsidRPr="006B42D6" w:rsidRDefault="008A1E55" w:rsidP="00143C67">
            <w:pPr>
              <w:jc w:val="right"/>
              <w:rPr>
                <w:sz w:val="18"/>
                <w:szCs w:val="18"/>
              </w:rPr>
            </w:pPr>
            <w:r w:rsidRPr="006B42D6">
              <w:rPr>
                <w:sz w:val="18"/>
                <w:szCs w:val="18"/>
              </w:rPr>
              <w:t>128,348</w:t>
            </w:r>
          </w:p>
        </w:tc>
        <w:tc>
          <w:tcPr>
            <w:tcW w:w="450" w:type="pct"/>
            <w:tcBorders>
              <w:top w:val="nil"/>
              <w:left w:val="nil"/>
              <w:bottom w:val="nil"/>
              <w:right w:val="nil"/>
            </w:tcBorders>
            <w:shd w:val="clear" w:color="auto" w:fill="auto"/>
            <w:noWrap/>
            <w:vAlign w:val="center"/>
            <w:hideMark/>
          </w:tcPr>
          <w:p w14:paraId="568DDDDC" w14:textId="77777777" w:rsidR="008A1E55" w:rsidRPr="006B42D6" w:rsidRDefault="008A1E55" w:rsidP="00143C67">
            <w:pPr>
              <w:jc w:val="right"/>
              <w:rPr>
                <w:sz w:val="18"/>
                <w:szCs w:val="18"/>
              </w:rPr>
            </w:pPr>
            <w:r w:rsidRPr="006B42D6">
              <w:rPr>
                <w:sz w:val="18"/>
                <w:szCs w:val="18"/>
              </w:rPr>
              <w:t>1.7</w:t>
            </w:r>
          </w:p>
        </w:tc>
        <w:tc>
          <w:tcPr>
            <w:tcW w:w="493" w:type="pct"/>
            <w:tcBorders>
              <w:top w:val="nil"/>
              <w:left w:val="nil"/>
              <w:bottom w:val="nil"/>
              <w:right w:val="nil"/>
            </w:tcBorders>
            <w:shd w:val="clear" w:color="auto" w:fill="auto"/>
            <w:noWrap/>
            <w:vAlign w:val="center"/>
            <w:hideMark/>
          </w:tcPr>
          <w:p w14:paraId="1B8528A0" w14:textId="77777777" w:rsidR="008A1E55" w:rsidRPr="006B42D6" w:rsidRDefault="008A1E55" w:rsidP="00143C67">
            <w:pPr>
              <w:jc w:val="right"/>
              <w:rPr>
                <w:sz w:val="18"/>
                <w:szCs w:val="18"/>
              </w:rPr>
            </w:pPr>
            <w:r w:rsidRPr="006B42D6">
              <w:rPr>
                <w:sz w:val="18"/>
                <w:szCs w:val="18"/>
              </w:rPr>
              <w:t>697</w:t>
            </w:r>
          </w:p>
        </w:tc>
        <w:tc>
          <w:tcPr>
            <w:tcW w:w="453" w:type="pct"/>
            <w:tcBorders>
              <w:top w:val="nil"/>
              <w:left w:val="nil"/>
              <w:bottom w:val="nil"/>
              <w:right w:val="nil"/>
            </w:tcBorders>
            <w:shd w:val="clear" w:color="auto" w:fill="auto"/>
            <w:noWrap/>
            <w:vAlign w:val="center"/>
            <w:hideMark/>
          </w:tcPr>
          <w:p w14:paraId="5E744496" w14:textId="77777777" w:rsidR="008A1E55" w:rsidRPr="006B42D6" w:rsidRDefault="008A1E55" w:rsidP="00143C67">
            <w:pPr>
              <w:jc w:val="right"/>
              <w:rPr>
                <w:sz w:val="18"/>
                <w:szCs w:val="18"/>
              </w:rPr>
            </w:pPr>
            <w:r w:rsidRPr="006B42D6">
              <w:rPr>
                <w:sz w:val="18"/>
                <w:szCs w:val="18"/>
              </w:rPr>
              <w:t>0.4</w:t>
            </w:r>
          </w:p>
        </w:tc>
      </w:tr>
      <w:tr w:rsidR="006B42D6" w:rsidRPr="006B42D6" w14:paraId="22268753" w14:textId="77777777" w:rsidTr="005420E0">
        <w:trPr>
          <w:trHeight w:val="283"/>
        </w:trPr>
        <w:tc>
          <w:tcPr>
            <w:tcW w:w="1967" w:type="pct"/>
            <w:tcBorders>
              <w:top w:val="nil"/>
              <w:left w:val="nil"/>
              <w:bottom w:val="nil"/>
              <w:right w:val="nil"/>
            </w:tcBorders>
            <w:shd w:val="clear" w:color="auto" w:fill="auto"/>
            <w:vAlign w:val="center"/>
            <w:hideMark/>
          </w:tcPr>
          <w:p w14:paraId="718E0EEB" w14:textId="77777777" w:rsidR="008A1E55" w:rsidRPr="006B42D6" w:rsidRDefault="008A1E55" w:rsidP="00E16CAE">
            <w:pPr>
              <w:rPr>
                <w:sz w:val="18"/>
                <w:szCs w:val="18"/>
              </w:rPr>
            </w:pPr>
            <w:r w:rsidRPr="006B42D6">
              <w:rPr>
                <w:sz w:val="18"/>
                <w:szCs w:val="18"/>
              </w:rPr>
              <w:t>Unprotected well</w:t>
            </w:r>
          </w:p>
        </w:tc>
        <w:tc>
          <w:tcPr>
            <w:tcW w:w="593" w:type="pct"/>
            <w:tcBorders>
              <w:top w:val="nil"/>
              <w:left w:val="nil"/>
              <w:bottom w:val="nil"/>
              <w:right w:val="nil"/>
            </w:tcBorders>
            <w:shd w:val="clear" w:color="auto" w:fill="auto"/>
            <w:noWrap/>
            <w:vAlign w:val="center"/>
            <w:hideMark/>
          </w:tcPr>
          <w:p w14:paraId="71DF4029" w14:textId="77777777" w:rsidR="008A1E55" w:rsidRPr="006B42D6" w:rsidRDefault="008A1E55" w:rsidP="00143C67">
            <w:pPr>
              <w:jc w:val="right"/>
              <w:rPr>
                <w:sz w:val="18"/>
                <w:szCs w:val="18"/>
              </w:rPr>
            </w:pPr>
            <w:r w:rsidRPr="006B42D6">
              <w:rPr>
                <w:sz w:val="18"/>
                <w:szCs w:val="18"/>
              </w:rPr>
              <w:t>1,214,606</w:t>
            </w:r>
          </w:p>
        </w:tc>
        <w:tc>
          <w:tcPr>
            <w:tcW w:w="450" w:type="pct"/>
            <w:tcBorders>
              <w:top w:val="nil"/>
              <w:left w:val="nil"/>
              <w:bottom w:val="nil"/>
              <w:right w:val="nil"/>
            </w:tcBorders>
            <w:shd w:val="clear" w:color="auto" w:fill="auto"/>
            <w:noWrap/>
            <w:vAlign w:val="center"/>
            <w:hideMark/>
          </w:tcPr>
          <w:p w14:paraId="1CAD493A" w14:textId="77777777" w:rsidR="008A1E55" w:rsidRPr="006B42D6" w:rsidRDefault="008A1E55" w:rsidP="00143C67">
            <w:pPr>
              <w:jc w:val="right"/>
              <w:rPr>
                <w:sz w:val="18"/>
                <w:szCs w:val="18"/>
              </w:rPr>
            </w:pPr>
            <w:r w:rsidRPr="006B42D6">
              <w:rPr>
                <w:sz w:val="18"/>
                <w:szCs w:val="18"/>
              </w:rPr>
              <w:t>15.5</w:t>
            </w:r>
          </w:p>
        </w:tc>
        <w:tc>
          <w:tcPr>
            <w:tcW w:w="593" w:type="pct"/>
            <w:tcBorders>
              <w:top w:val="nil"/>
              <w:left w:val="nil"/>
              <w:bottom w:val="nil"/>
              <w:right w:val="nil"/>
            </w:tcBorders>
            <w:shd w:val="clear" w:color="auto" w:fill="auto"/>
            <w:noWrap/>
            <w:vAlign w:val="center"/>
            <w:hideMark/>
          </w:tcPr>
          <w:p w14:paraId="3EDEF1F0" w14:textId="77777777" w:rsidR="008A1E55" w:rsidRPr="006B42D6" w:rsidRDefault="008A1E55" w:rsidP="00143C67">
            <w:pPr>
              <w:jc w:val="right"/>
              <w:rPr>
                <w:sz w:val="18"/>
                <w:szCs w:val="18"/>
              </w:rPr>
            </w:pPr>
            <w:r w:rsidRPr="006B42D6">
              <w:rPr>
                <w:sz w:val="18"/>
                <w:szCs w:val="18"/>
              </w:rPr>
              <w:t>1,201,425</w:t>
            </w:r>
          </w:p>
        </w:tc>
        <w:tc>
          <w:tcPr>
            <w:tcW w:w="450" w:type="pct"/>
            <w:tcBorders>
              <w:top w:val="nil"/>
              <w:left w:val="nil"/>
              <w:bottom w:val="nil"/>
              <w:right w:val="nil"/>
            </w:tcBorders>
            <w:shd w:val="clear" w:color="auto" w:fill="auto"/>
            <w:noWrap/>
            <w:vAlign w:val="center"/>
            <w:hideMark/>
          </w:tcPr>
          <w:p w14:paraId="09F4630D" w14:textId="77777777" w:rsidR="008A1E55" w:rsidRPr="006B42D6" w:rsidRDefault="008A1E55" w:rsidP="00143C67">
            <w:pPr>
              <w:jc w:val="right"/>
              <w:rPr>
                <w:sz w:val="18"/>
                <w:szCs w:val="18"/>
              </w:rPr>
            </w:pPr>
            <w:r w:rsidRPr="006B42D6">
              <w:rPr>
                <w:sz w:val="18"/>
                <w:szCs w:val="18"/>
              </w:rPr>
              <w:t>15.7</w:t>
            </w:r>
          </w:p>
        </w:tc>
        <w:tc>
          <w:tcPr>
            <w:tcW w:w="493" w:type="pct"/>
            <w:tcBorders>
              <w:top w:val="nil"/>
              <w:left w:val="nil"/>
              <w:bottom w:val="nil"/>
              <w:right w:val="nil"/>
            </w:tcBorders>
            <w:shd w:val="clear" w:color="auto" w:fill="auto"/>
            <w:noWrap/>
            <w:vAlign w:val="center"/>
            <w:hideMark/>
          </w:tcPr>
          <w:p w14:paraId="7F889B8C" w14:textId="77777777" w:rsidR="008A1E55" w:rsidRPr="006B42D6" w:rsidRDefault="008A1E55" w:rsidP="00143C67">
            <w:pPr>
              <w:jc w:val="right"/>
              <w:rPr>
                <w:sz w:val="18"/>
                <w:szCs w:val="18"/>
              </w:rPr>
            </w:pPr>
            <w:r w:rsidRPr="006B42D6">
              <w:rPr>
                <w:sz w:val="18"/>
                <w:szCs w:val="18"/>
              </w:rPr>
              <w:t>13,181</w:t>
            </w:r>
          </w:p>
        </w:tc>
        <w:tc>
          <w:tcPr>
            <w:tcW w:w="453" w:type="pct"/>
            <w:tcBorders>
              <w:top w:val="nil"/>
              <w:left w:val="nil"/>
              <w:bottom w:val="nil"/>
              <w:right w:val="nil"/>
            </w:tcBorders>
            <w:shd w:val="clear" w:color="auto" w:fill="auto"/>
            <w:noWrap/>
            <w:vAlign w:val="center"/>
            <w:hideMark/>
          </w:tcPr>
          <w:p w14:paraId="36C4420C" w14:textId="77777777" w:rsidR="008A1E55" w:rsidRPr="006B42D6" w:rsidRDefault="008A1E55" w:rsidP="00143C67">
            <w:pPr>
              <w:jc w:val="right"/>
              <w:rPr>
                <w:sz w:val="18"/>
                <w:szCs w:val="18"/>
              </w:rPr>
            </w:pPr>
            <w:r w:rsidRPr="006B42D6">
              <w:rPr>
                <w:sz w:val="18"/>
                <w:szCs w:val="18"/>
              </w:rPr>
              <w:t>7.3</w:t>
            </w:r>
          </w:p>
        </w:tc>
      </w:tr>
      <w:tr w:rsidR="006B42D6" w:rsidRPr="006B42D6" w14:paraId="45C1879F" w14:textId="77777777" w:rsidTr="005420E0">
        <w:trPr>
          <w:trHeight w:val="283"/>
        </w:trPr>
        <w:tc>
          <w:tcPr>
            <w:tcW w:w="1967" w:type="pct"/>
            <w:tcBorders>
              <w:top w:val="nil"/>
              <w:left w:val="nil"/>
              <w:bottom w:val="nil"/>
              <w:right w:val="nil"/>
            </w:tcBorders>
            <w:shd w:val="clear" w:color="auto" w:fill="auto"/>
            <w:vAlign w:val="center"/>
            <w:hideMark/>
          </w:tcPr>
          <w:p w14:paraId="3B224123" w14:textId="77777777" w:rsidR="008A1E55" w:rsidRPr="006B42D6" w:rsidRDefault="008A1E55" w:rsidP="00E16CAE">
            <w:pPr>
              <w:rPr>
                <w:sz w:val="18"/>
                <w:szCs w:val="18"/>
              </w:rPr>
            </w:pPr>
            <w:r w:rsidRPr="006B42D6">
              <w:rPr>
                <w:sz w:val="18"/>
                <w:szCs w:val="18"/>
              </w:rPr>
              <w:t>Unprotected spring</w:t>
            </w:r>
          </w:p>
        </w:tc>
        <w:tc>
          <w:tcPr>
            <w:tcW w:w="593" w:type="pct"/>
            <w:tcBorders>
              <w:top w:val="nil"/>
              <w:left w:val="nil"/>
              <w:bottom w:val="nil"/>
              <w:right w:val="nil"/>
            </w:tcBorders>
            <w:shd w:val="clear" w:color="auto" w:fill="auto"/>
            <w:noWrap/>
            <w:vAlign w:val="center"/>
            <w:hideMark/>
          </w:tcPr>
          <w:p w14:paraId="2C29A838" w14:textId="77777777" w:rsidR="008A1E55" w:rsidRPr="006B42D6" w:rsidRDefault="008A1E55" w:rsidP="00143C67">
            <w:pPr>
              <w:jc w:val="right"/>
              <w:rPr>
                <w:sz w:val="18"/>
                <w:szCs w:val="18"/>
              </w:rPr>
            </w:pPr>
            <w:r w:rsidRPr="006B42D6">
              <w:rPr>
                <w:sz w:val="18"/>
                <w:szCs w:val="18"/>
              </w:rPr>
              <w:t>363,820</w:t>
            </w:r>
          </w:p>
        </w:tc>
        <w:tc>
          <w:tcPr>
            <w:tcW w:w="450" w:type="pct"/>
            <w:tcBorders>
              <w:top w:val="nil"/>
              <w:left w:val="nil"/>
              <w:bottom w:val="nil"/>
              <w:right w:val="nil"/>
            </w:tcBorders>
            <w:shd w:val="clear" w:color="auto" w:fill="auto"/>
            <w:noWrap/>
            <w:vAlign w:val="center"/>
            <w:hideMark/>
          </w:tcPr>
          <w:p w14:paraId="55273147" w14:textId="77777777" w:rsidR="008A1E55" w:rsidRPr="006B42D6" w:rsidRDefault="008A1E55" w:rsidP="00143C67">
            <w:pPr>
              <w:jc w:val="right"/>
              <w:rPr>
                <w:sz w:val="18"/>
                <w:szCs w:val="18"/>
              </w:rPr>
            </w:pPr>
            <w:r w:rsidRPr="006B42D6">
              <w:rPr>
                <w:sz w:val="18"/>
                <w:szCs w:val="18"/>
              </w:rPr>
              <w:t>4.6</w:t>
            </w:r>
          </w:p>
        </w:tc>
        <w:tc>
          <w:tcPr>
            <w:tcW w:w="593" w:type="pct"/>
            <w:tcBorders>
              <w:top w:val="nil"/>
              <w:left w:val="nil"/>
              <w:bottom w:val="nil"/>
              <w:right w:val="nil"/>
            </w:tcBorders>
            <w:shd w:val="clear" w:color="auto" w:fill="auto"/>
            <w:noWrap/>
            <w:vAlign w:val="center"/>
            <w:hideMark/>
          </w:tcPr>
          <w:p w14:paraId="5B9A4ED4" w14:textId="77777777" w:rsidR="008A1E55" w:rsidRPr="006B42D6" w:rsidRDefault="008A1E55" w:rsidP="00143C67">
            <w:pPr>
              <w:jc w:val="right"/>
              <w:rPr>
                <w:sz w:val="18"/>
                <w:szCs w:val="18"/>
              </w:rPr>
            </w:pPr>
            <w:r w:rsidRPr="006B42D6">
              <w:rPr>
                <w:sz w:val="18"/>
                <w:szCs w:val="18"/>
              </w:rPr>
              <w:t>363,766</w:t>
            </w:r>
          </w:p>
        </w:tc>
        <w:tc>
          <w:tcPr>
            <w:tcW w:w="450" w:type="pct"/>
            <w:tcBorders>
              <w:top w:val="nil"/>
              <w:left w:val="nil"/>
              <w:bottom w:val="nil"/>
              <w:right w:val="nil"/>
            </w:tcBorders>
            <w:shd w:val="clear" w:color="auto" w:fill="auto"/>
            <w:noWrap/>
            <w:vAlign w:val="center"/>
            <w:hideMark/>
          </w:tcPr>
          <w:p w14:paraId="49CEF348" w14:textId="77777777" w:rsidR="008A1E55" w:rsidRPr="006B42D6" w:rsidRDefault="008A1E55" w:rsidP="00143C67">
            <w:pPr>
              <w:jc w:val="right"/>
              <w:rPr>
                <w:sz w:val="18"/>
                <w:szCs w:val="18"/>
              </w:rPr>
            </w:pPr>
            <w:r w:rsidRPr="006B42D6">
              <w:rPr>
                <w:sz w:val="18"/>
                <w:szCs w:val="18"/>
              </w:rPr>
              <w:t>4.8</w:t>
            </w:r>
          </w:p>
        </w:tc>
        <w:tc>
          <w:tcPr>
            <w:tcW w:w="493" w:type="pct"/>
            <w:tcBorders>
              <w:top w:val="nil"/>
              <w:left w:val="nil"/>
              <w:bottom w:val="nil"/>
              <w:right w:val="nil"/>
            </w:tcBorders>
            <w:shd w:val="clear" w:color="auto" w:fill="auto"/>
            <w:noWrap/>
            <w:vAlign w:val="center"/>
            <w:hideMark/>
          </w:tcPr>
          <w:p w14:paraId="2357E9F3" w14:textId="77777777" w:rsidR="008A1E55" w:rsidRPr="006B42D6" w:rsidRDefault="008A1E55" w:rsidP="00143C67">
            <w:pPr>
              <w:jc w:val="right"/>
              <w:rPr>
                <w:sz w:val="18"/>
                <w:szCs w:val="18"/>
              </w:rPr>
            </w:pPr>
            <w:r w:rsidRPr="006B42D6">
              <w:rPr>
                <w:sz w:val="18"/>
                <w:szCs w:val="18"/>
              </w:rPr>
              <w:t>54</w:t>
            </w:r>
          </w:p>
        </w:tc>
        <w:tc>
          <w:tcPr>
            <w:tcW w:w="453" w:type="pct"/>
            <w:tcBorders>
              <w:top w:val="nil"/>
              <w:left w:val="nil"/>
              <w:bottom w:val="nil"/>
              <w:right w:val="nil"/>
            </w:tcBorders>
            <w:shd w:val="clear" w:color="auto" w:fill="auto"/>
            <w:noWrap/>
            <w:vAlign w:val="center"/>
            <w:hideMark/>
          </w:tcPr>
          <w:p w14:paraId="7EB6CC1E" w14:textId="77777777" w:rsidR="008A1E55" w:rsidRPr="006B42D6" w:rsidRDefault="008A1E55" w:rsidP="00143C67">
            <w:pPr>
              <w:jc w:val="right"/>
              <w:rPr>
                <w:sz w:val="18"/>
                <w:szCs w:val="18"/>
              </w:rPr>
            </w:pPr>
            <w:r w:rsidRPr="006B42D6">
              <w:rPr>
                <w:sz w:val="18"/>
                <w:szCs w:val="18"/>
              </w:rPr>
              <w:t>0.03</w:t>
            </w:r>
          </w:p>
        </w:tc>
      </w:tr>
      <w:tr w:rsidR="006B42D6" w:rsidRPr="006B42D6" w14:paraId="466B8943" w14:textId="77777777" w:rsidTr="005420E0">
        <w:trPr>
          <w:trHeight w:val="283"/>
        </w:trPr>
        <w:tc>
          <w:tcPr>
            <w:tcW w:w="1967" w:type="pct"/>
            <w:tcBorders>
              <w:top w:val="nil"/>
              <w:left w:val="nil"/>
              <w:bottom w:val="nil"/>
              <w:right w:val="nil"/>
            </w:tcBorders>
            <w:shd w:val="clear" w:color="auto" w:fill="auto"/>
            <w:vAlign w:val="center"/>
            <w:hideMark/>
          </w:tcPr>
          <w:p w14:paraId="2C7CA7D1" w14:textId="77777777" w:rsidR="008A1E55" w:rsidRPr="006B42D6" w:rsidRDefault="008A1E55" w:rsidP="00E16CAE">
            <w:pPr>
              <w:rPr>
                <w:sz w:val="18"/>
                <w:szCs w:val="18"/>
              </w:rPr>
            </w:pPr>
            <w:r w:rsidRPr="006B42D6">
              <w:rPr>
                <w:sz w:val="18"/>
                <w:szCs w:val="18"/>
              </w:rPr>
              <w:t>Surface water (lake/dam/river/stream)</w:t>
            </w:r>
          </w:p>
        </w:tc>
        <w:tc>
          <w:tcPr>
            <w:tcW w:w="593" w:type="pct"/>
            <w:tcBorders>
              <w:top w:val="nil"/>
              <w:left w:val="nil"/>
              <w:bottom w:val="nil"/>
              <w:right w:val="nil"/>
            </w:tcBorders>
            <w:shd w:val="clear" w:color="auto" w:fill="auto"/>
            <w:noWrap/>
            <w:vAlign w:val="center"/>
            <w:hideMark/>
          </w:tcPr>
          <w:p w14:paraId="453EDA96" w14:textId="77777777" w:rsidR="008A1E55" w:rsidRPr="006B42D6" w:rsidRDefault="008A1E55" w:rsidP="00143C67">
            <w:pPr>
              <w:jc w:val="right"/>
              <w:rPr>
                <w:sz w:val="18"/>
                <w:szCs w:val="18"/>
              </w:rPr>
            </w:pPr>
            <w:r w:rsidRPr="006B42D6">
              <w:rPr>
                <w:sz w:val="18"/>
                <w:szCs w:val="18"/>
              </w:rPr>
              <w:t>1,291,071</w:t>
            </w:r>
          </w:p>
        </w:tc>
        <w:tc>
          <w:tcPr>
            <w:tcW w:w="450" w:type="pct"/>
            <w:tcBorders>
              <w:top w:val="nil"/>
              <w:left w:val="nil"/>
              <w:bottom w:val="nil"/>
              <w:right w:val="nil"/>
            </w:tcBorders>
            <w:shd w:val="clear" w:color="auto" w:fill="auto"/>
            <w:noWrap/>
            <w:vAlign w:val="center"/>
            <w:hideMark/>
          </w:tcPr>
          <w:p w14:paraId="17548848" w14:textId="77777777" w:rsidR="008A1E55" w:rsidRPr="006B42D6" w:rsidRDefault="008A1E55" w:rsidP="00143C67">
            <w:pPr>
              <w:jc w:val="right"/>
              <w:rPr>
                <w:sz w:val="18"/>
                <w:szCs w:val="18"/>
              </w:rPr>
            </w:pPr>
            <w:r w:rsidRPr="006B42D6">
              <w:rPr>
                <w:sz w:val="18"/>
                <w:szCs w:val="18"/>
              </w:rPr>
              <w:t>16.5</w:t>
            </w:r>
          </w:p>
        </w:tc>
        <w:tc>
          <w:tcPr>
            <w:tcW w:w="593" w:type="pct"/>
            <w:tcBorders>
              <w:top w:val="nil"/>
              <w:left w:val="nil"/>
              <w:bottom w:val="nil"/>
              <w:right w:val="nil"/>
            </w:tcBorders>
            <w:shd w:val="clear" w:color="auto" w:fill="auto"/>
            <w:noWrap/>
            <w:vAlign w:val="center"/>
            <w:hideMark/>
          </w:tcPr>
          <w:p w14:paraId="20FCF931" w14:textId="77777777" w:rsidR="008A1E55" w:rsidRPr="006B42D6" w:rsidRDefault="008A1E55" w:rsidP="00143C67">
            <w:pPr>
              <w:jc w:val="right"/>
              <w:rPr>
                <w:sz w:val="18"/>
                <w:szCs w:val="18"/>
              </w:rPr>
            </w:pPr>
            <w:r w:rsidRPr="006B42D6">
              <w:rPr>
                <w:sz w:val="18"/>
                <w:szCs w:val="18"/>
              </w:rPr>
              <w:t>1,290,144</w:t>
            </w:r>
          </w:p>
        </w:tc>
        <w:tc>
          <w:tcPr>
            <w:tcW w:w="450" w:type="pct"/>
            <w:tcBorders>
              <w:top w:val="nil"/>
              <w:left w:val="nil"/>
              <w:bottom w:val="nil"/>
              <w:right w:val="nil"/>
            </w:tcBorders>
            <w:shd w:val="clear" w:color="auto" w:fill="auto"/>
            <w:noWrap/>
            <w:vAlign w:val="center"/>
            <w:hideMark/>
          </w:tcPr>
          <w:p w14:paraId="23F087C5" w14:textId="77777777" w:rsidR="008A1E55" w:rsidRPr="006B42D6" w:rsidRDefault="008A1E55" w:rsidP="00143C67">
            <w:pPr>
              <w:jc w:val="right"/>
              <w:rPr>
                <w:sz w:val="18"/>
                <w:szCs w:val="18"/>
              </w:rPr>
            </w:pPr>
            <w:r w:rsidRPr="006B42D6">
              <w:rPr>
                <w:sz w:val="18"/>
                <w:szCs w:val="18"/>
              </w:rPr>
              <w:t>16.8</w:t>
            </w:r>
          </w:p>
        </w:tc>
        <w:tc>
          <w:tcPr>
            <w:tcW w:w="493" w:type="pct"/>
            <w:tcBorders>
              <w:top w:val="nil"/>
              <w:left w:val="nil"/>
              <w:bottom w:val="nil"/>
              <w:right w:val="nil"/>
            </w:tcBorders>
            <w:shd w:val="clear" w:color="auto" w:fill="auto"/>
            <w:noWrap/>
            <w:vAlign w:val="center"/>
            <w:hideMark/>
          </w:tcPr>
          <w:p w14:paraId="5D956888" w14:textId="77777777" w:rsidR="008A1E55" w:rsidRPr="006B42D6" w:rsidRDefault="008A1E55" w:rsidP="00143C67">
            <w:pPr>
              <w:jc w:val="right"/>
              <w:rPr>
                <w:sz w:val="18"/>
                <w:szCs w:val="18"/>
              </w:rPr>
            </w:pPr>
            <w:r w:rsidRPr="006B42D6">
              <w:rPr>
                <w:sz w:val="18"/>
                <w:szCs w:val="18"/>
              </w:rPr>
              <w:t>927</w:t>
            </w:r>
          </w:p>
        </w:tc>
        <w:tc>
          <w:tcPr>
            <w:tcW w:w="453" w:type="pct"/>
            <w:tcBorders>
              <w:top w:val="nil"/>
              <w:left w:val="nil"/>
              <w:bottom w:val="nil"/>
              <w:right w:val="nil"/>
            </w:tcBorders>
            <w:shd w:val="clear" w:color="auto" w:fill="auto"/>
            <w:noWrap/>
            <w:vAlign w:val="center"/>
            <w:hideMark/>
          </w:tcPr>
          <w:p w14:paraId="47D80CB0" w14:textId="77777777" w:rsidR="008A1E55" w:rsidRPr="006B42D6" w:rsidRDefault="008A1E55" w:rsidP="00143C67">
            <w:pPr>
              <w:jc w:val="right"/>
              <w:rPr>
                <w:sz w:val="18"/>
                <w:szCs w:val="18"/>
              </w:rPr>
            </w:pPr>
            <w:r w:rsidRPr="006B42D6">
              <w:rPr>
                <w:sz w:val="18"/>
                <w:szCs w:val="18"/>
              </w:rPr>
              <w:t>0.5</w:t>
            </w:r>
          </w:p>
        </w:tc>
      </w:tr>
      <w:tr w:rsidR="006B42D6" w:rsidRPr="006B42D6" w14:paraId="44A8F657" w14:textId="77777777" w:rsidTr="005420E0">
        <w:trPr>
          <w:trHeight w:val="283"/>
        </w:trPr>
        <w:tc>
          <w:tcPr>
            <w:tcW w:w="1967" w:type="pct"/>
            <w:tcBorders>
              <w:top w:val="nil"/>
              <w:left w:val="nil"/>
              <w:bottom w:val="nil"/>
              <w:right w:val="nil"/>
            </w:tcBorders>
            <w:shd w:val="clear" w:color="auto" w:fill="auto"/>
            <w:vAlign w:val="center"/>
            <w:hideMark/>
          </w:tcPr>
          <w:p w14:paraId="267DBA90" w14:textId="77777777" w:rsidR="008A1E55" w:rsidRPr="006B42D6" w:rsidRDefault="008A1E55" w:rsidP="00E16CAE">
            <w:pPr>
              <w:rPr>
                <w:sz w:val="18"/>
                <w:szCs w:val="18"/>
              </w:rPr>
            </w:pPr>
            <w:r w:rsidRPr="006B42D6">
              <w:rPr>
                <w:sz w:val="18"/>
                <w:szCs w:val="18"/>
              </w:rPr>
              <w:t>Covered rainwater catchment</w:t>
            </w:r>
          </w:p>
        </w:tc>
        <w:tc>
          <w:tcPr>
            <w:tcW w:w="593" w:type="pct"/>
            <w:tcBorders>
              <w:top w:val="nil"/>
              <w:left w:val="nil"/>
              <w:bottom w:val="nil"/>
              <w:right w:val="nil"/>
            </w:tcBorders>
            <w:shd w:val="clear" w:color="auto" w:fill="auto"/>
            <w:noWrap/>
            <w:vAlign w:val="center"/>
            <w:hideMark/>
          </w:tcPr>
          <w:p w14:paraId="406AFD61" w14:textId="77777777" w:rsidR="008A1E55" w:rsidRPr="006B42D6" w:rsidRDefault="008A1E55" w:rsidP="00143C67">
            <w:pPr>
              <w:jc w:val="right"/>
              <w:rPr>
                <w:sz w:val="18"/>
                <w:szCs w:val="18"/>
              </w:rPr>
            </w:pPr>
            <w:r w:rsidRPr="006B42D6">
              <w:rPr>
                <w:sz w:val="18"/>
                <w:szCs w:val="18"/>
              </w:rPr>
              <w:t>49,463</w:t>
            </w:r>
          </w:p>
        </w:tc>
        <w:tc>
          <w:tcPr>
            <w:tcW w:w="450" w:type="pct"/>
            <w:tcBorders>
              <w:top w:val="nil"/>
              <w:left w:val="nil"/>
              <w:bottom w:val="nil"/>
              <w:right w:val="nil"/>
            </w:tcBorders>
            <w:shd w:val="clear" w:color="auto" w:fill="auto"/>
            <w:noWrap/>
            <w:vAlign w:val="center"/>
            <w:hideMark/>
          </w:tcPr>
          <w:p w14:paraId="63874E9F" w14:textId="77777777" w:rsidR="008A1E55" w:rsidRPr="006B42D6" w:rsidRDefault="008A1E55" w:rsidP="00143C67">
            <w:pPr>
              <w:jc w:val="right"/>
              <w:rPr>
                <w:sz w:val="18"/>
                <w:szCs w:val="18"/>
              </w:rPr>
            </w:pPr>
            <w:r w:rsidRPr="006B42D6">
              <w:rPr>
                <w:sz w:val="18"/>
                <w:szCs w:val="18"/>
              </w:rPr>
              <w:t>0.6</w:t>
            </w:r>
          </w:p>
        </w:tc>
        <w:tc>
          <w:tcPr>
            <w:tcW w:w="593" w:type="pct"/>
            <w:tcBorders>
              <w:top w:val="nil"/>
              <w:left w:val="nil"/>
              <w:bottom w:val="nil"/>
              <w:right w:val="nil"/>
            </w:tcBorders>
            <w:shd w:val="clear" w:color="auto" w:fill="auto"/>
            <w:noWrap/>
            <w:vAlign w:val="center"/>
            <w:hideMark/>
          </w:tcPr>
          <w:p w14:paraId="58E0288A" w14:textId="77777777" w:rsidR="008A1E55" w:rsidRPr="006B42D6" w:rsidRDefault="008A1E55" w:rsidP="00143C67">
            <w:pPr>
              <w:jc w:val="right"/>
              <w:rPr>
                <w:sz w:val="18"/>
                <w:szCs w:val="18"/>
              </w:rPr>
            </w:pPr>
            <w:r w:rsidRPr="006B42D6">
              <w:rPr>
                <w:sz w:val="18"/>
                <w:szCs w:val="18"/>
              </w:rPr>
              <w:t>49,463</w:t>
            </w:r>
          </w:p>
        </w:tc>
        <w:tc>
          <w:tcPr>
            <w:tcW w:w="450" w:type="pct"/>
            <w:tcBorders>
              <w:top w:val="nil"/>
              <w:left w:val="nil"/>
              <w:bottom w:val="nil"/>
              <w:right w:val="nil"/>
            </w:tcBorders>
            <w:shd w:val="clear" w:color="auto" w:fill="auto"/>
            <w:noWrap/>
            <w:vAlign w:val="center"/>
            <w:hideMark/>
          </w:tcPr>
          <w:p w14:paraId="2A801CDC" w14:textId="77777777" w:rsidR="008A1E55" w:rsidRPr="006B42D6" w:rsidRDefault="008A1E55" w:rsidP="00143C67">
            <w:pPr>
              <w:jc w:val="right"/>
              <w:rPr>
                <w:sz w:val="18"/>
                <w:szCs w:val="18"/>
              </w:rPr>
            </w:pPr>
            <w:r w:rsidRPr="006B42D6">
              <w:rPr>
                <w:sz w:val="18"/>
                <w:szCs w:val="18"/>
              </w:rPr>
              <w:t>0.6</w:t>
            </w:r>
          </w:p>
        </w:tc>
        <w:tc>
          <w:tcPr>
            <w:tcW w:w="493" w:type="pct"/>
            <w:tcBorders>
              <w:top w:val="nil"/>
              <w:left w:val="nil"/>
              <w:bottom w:val="nil"/>
              <w:right w:val="nil"/>
            </w:tcBorders>
            <w:shd w:val="clear" w:color="auto" w:fill="auto"/>
            <w:noWrap/>
            <w:vAlign w:val="center"/>
            <w:hideMark/>
          </w:tcPr>
          <w:p w14:paraId="0FDFFEE3" w14:textId="77777777" w:rsidR="008A1E55" w:rsidRPr="006B42D6" w:rsidRDefault="008A1E55" w:rsidP="00143C67">
            <w:pPr>
              <w:jc w:val="right"/>
              <w:rPr>
                <w:sz w:val="18"/>
                <w:szCs w:val="18"/>
              </w:rPr>
            </w:pPr>
            <w:r w:rsidRPr="006B42D6">
              <w:rPr>
                <w:sz w:val="18"/>
                <w:szCs w:val="18"/>
              </w:rPr>
              <w:t>-</w:t>
            </w:r>
          </w:p>
        </w:tc>
        <w:tc>
          <w:tcPr>
            <w:tcW w:w="453" w:type="pct"/>
            <w:tcBorders>
              <w:top w:val="nil"/>
              <w:left w:val="nil"/>
              <w:bottom w:val="nil"/>
              <w:right w:val="nil"/>
            </w:tcBorders>
            <w:shd w:val="clear" w:color="auto" w:fill="auto"/>
            <w:noWrap/>
            <w:vAlign w:val="center"/>
            <w:hideMark/>
          </w:tcPr>
          <w:p w14:paraId="1F421193" w14:textId="77777777" w:rsidR="008A1E55" w:rsidRPr="006B42D6" w:rsidRDefault="008A1E55" w:rsidP="00143C67">
            <w:pPr>
              <w:jc w:val="right"/>
              <w:rPr>
                <w:sz w:val="18"/>
                <w:szCs w:val="18"/>
              </w:rPr>
            </w:pPr>
            <w:r w:rsidRPr="006B42D6">
              <w:rPr>
                <w:sz w:val="18"/>
                <w:szCs w:val="18"/>
              </w:rPr>
              <w:t>-</w:t>
            </w:r>
          </w:p>
        </w:tc>
      </w:tr>
      <w:tr w:rsidR="006B42D6" w:rsidRPr="006B42D6" w14:paraId="60CD8747" w14:textId="77777777" w:rsidTr="005420E0">
        <w:trPr>
          <w:trHeight w:val="283"/>
        </w:trPr>
        <w:tc>
          <w:tcPr>
            <w:tcW w:w="1967" w:type="pct"/>
            <w:tcBorders>
              <w:top w:val="nil"/>
              <w:left w:val="nil"/>
              <w:bottom w:val="nil"/>
              <w:right w:val="nil"/>
            </w:tcBorders>
            <w:shd w:val="clear" w:color="auto" w:fill="auto"/>
            <w:vAlign w:val="center"/>
            <w:hideMark/>
          </w:tcPr>
          <w:p w14:paraId="20FF3B74" w14:textId="77777777" w:rsidR="008A1E55" w:rsidRPr="006B42D6" w:rsidRDefault="008A1E55" w:rsidP="00E16CAE">
            <w:pPr>
              <w:rPr>
                <w:sz w:val="18"/>
                <w:szCs w:val="18"/>
              </w:rPr>
            </w:pPr>
            <w:r w:rsidRPr="006B42D6">
              <w:rPr>
                <w:sz w:val="18"/>
                <w:szCs w:val="18"/>
              </w:rPr>
              <w:t>Uncovered rainwater catchment</w:t>
            </w:r>
          </w:p>
        </w:tc>
        <w:tc>
          <w:tcPr>
            <w:tcW w:w="593" w:type="pct"/>
            <w:tcBorders>
              <w:top w:val="nil"/>
              <w:left w:val="nil"/>
              <w:bottom w:val="nil"/>
              <w:right w:val="nil"/>
            </w:tcBorders>
            <w:shd w:val="clear" w:color="auto" w:fill="auto"/>
            <w:noWrap/>
            <w:vAlign w:val="center"/>
            <w:hideMark/>
          </w:tcPr>
          <w:p w14:paraId="7A988E6E" w14:textId="77777777" w:rsidR="008A1E55" w:rsidRPr="006B42D6" w:rsidRDefault="008A1E55" w:rsidP="00143C67">
            <w:pPr>
              <w:jc w:val="right"/>
              <w:rPr>
                <w:sz w:val="18"/>
                <w:szCs w:val="18"/>
              </w:rPr>
            </w:pPr>
            <w:r w:rsidRPr="006B42D6">
              <w:rPr>
                <w:sz w:val="18"/>
                <w:szCs w:val="18"/>
              </w:rPr>
              <w:t>77,250</w:t>
            </w:r>
          </w:p>
        </w:tc>
        <w:tc>
          <w:tcPr>
            <w:tcW w:w="450" w:type="pct"/>
            <w:tcBorders>
              <w:top w:val="nil"/>
              <w:left w:val="nil"/>
              <w:bottom w:val="nil"/>
              <w:right w:val="nil"/>
            </w:tcBorders>
            <w:shd w:val="clear" w:color="auto" w:fill="auto"/>
            <w:noWrap/>
            <w:vAlign w:val="center"/>
            <w:hideMark/>
          </w:tcPr>
          <w:p w14:paraId="499D0221" w14:textId="77777777" w:rsidR="008A1E55" w:rsidRPr="006B42D6" w:rsidRDefault="008A1E55" w:rsidP="00143C67">
            <w:pPr>
              <w:jc w:val="right"/>
              <w:rPr>
                <w:sz w:val="18"/>
                <w:szCs w:val="18"/>
              </w:rPr>
            </w:pPr>
            <w:r w:rsidRPr="006B42D6">
              <w:rPr>
                <w:sz w:val="18"/>
                <w:szCs w:val="18"/>
              </w:rPr>
              <w:t>1.0</w:t>
            </w:r>
          </w:p>
        </w:tc>
        <w:tc>
          <w:tcPr>
            <w:tcW w:w="593" w:type="pct"/>
            <w:tcBorders>
              <w:top w:val="nil"/>
              <w:left w:val="nil"/>
              <w:bottom w:val="nil"/>
              <w:right w:val="nil"/>
            </w:tcBorders>
            <w:shd w:val="clear" w:color="auto" w:fill="auto"/>
            <w:noWrap/>
            <w:vAlign w:val="center"/>
            <w:hideMark/>
          </w:tcPr>
          <w:p w14:paraId="276782AF" w14:textId="77777777" w:rsidR="008A1E55" w:rsidRPr="006B42D6" w:rsidRDefault="008A1E55" w:rsidP="00143C67">
            <w:pPr>
              <w:jc w:val="right"/>
              <w:rPr>
                <w:sz w:val="18"/>
                <w:szCs w:val="18"/>
              </w:rPr>
            </w:pPr>
            <w:r w:rsidRPr="006B42D6">
              <w:rPr>
                <w:sz w:val="18"/>
                <w:szCs w:val="18"/>
              </w:rPr>
              <w:t>77,196</w:t>
            </w:r>
          </w:p>
        </w:tc>
        <w:tc>
          <w:tcPr>
            <w:tcW w:w="450" w:type="pct"/>
            <w:tcBorders>
              <w:top w:val="nil"/>
              <w:left w:val="nil"/>
              <w:bottom w:val="nil"/>
              <w:right w:val="nil"/>
            </w:tcBorders>
            <w:shd w:val="clear" w:color="auto" w:fill="auto"/>
            <w:noWrap/>
            <w:vAlign w:val="center"/>
            <w:hideMark/>
          </w:tcPr>
          <w:p w14:paraId="490D2D1E" w14:textId="77777777" w:rsidR="008A1E55" w:rsidRPr="006B42D6" w:rsidRDefault="008A1E55" w:rsidP="00143C67">
            <w:pPr>
              <w:jc w:val="right"/>
              <w:rPr>
                <w:sz w:val="18"/>
                <w:szCs w:val="18"/>
              </w:rPr>
            </w:pPr>
            <w:r w:rsidRPr="006B42D6">
              <w:rPr>
                <w:sz w:val="18"/>
                <w:szCs w:val="18"/>
              </w:rPr>
              <w:t>1.0</w:t>
            </w:r>
          </w:p>
        </w:tc>
        <w:tc>
          <w:tcPr>
            <w:tcW w:w="493" w:type="pct"/>
            <w:tcBorders>
              <w:top w:val="nil"/>
              <w:left w:val="nil"/>
              <w:bottom w:val="nil"/>
              <w:right w:val="nil"/>
            </w:tcBorders>
            <w:shd w:val="clear" w:color="auto" w:fill="auto"/>
            <w:noWrap/>
            <w:vAlign w:val="center"/>
            <w:hideMark/>
          </w:tcPr>
          <w:p w14:paraId="1988C4EC" w14:textId="77777777" w:rsidR="008A1E55" w:rsidRPr="006B42D6" w:rsidRDefault="008A1E55" w:rsidP="00143C67">
            <w:pPr>
              <w:jc w:val="right"/>
              <w:rPr>
                <w:sz w:val="18"/>
                <w:szCs w:val="18"/>
              </w:rPr>
            </w:pPr>
            <w:r w:rsidRPr="006B42D6">
              <w:rPr>
                <w:sz w:val="18"/>
                <w:szCs w:val="18"/>
              </w:rPr>
              <w:t>54</w:t>
            </w:r>
          </w:p>
        </w:tc>
        <w:tc>
          <w:tcPr>
            <w:tcW w:w="453" w:type="pct"/>
            <w:tcBorders>
              <w:top w:val="nil"/>
              <w:left w:val="nil"/>
              <w:bottom w:val="nil"/>
              <w:right w:val="nil"/>
            </w:tcBorders>
            <w:shd w:val="clear" w:color="auto" w:fill="auto"/>
            <w:noWrap/>
            <w:vAlign w:val="center"/>
            <w:hideMark/>
          </w:tcPr>
          <w:p w14:paraId="2EF7503A" w14:textId="77777777" w:rsidR="008A1E55" w:rsidRPr="006B42D6" w:rsidRDefault="008A1E55" w:rsidP="00143C67">
            <w:pPr>
              <w:jc w:val="right"/>
              <w:rPr>
                <w:sz w:val="18"/>
                <w:szCs w:val="18"/>
              </w:rPr>
            </w:pPr>
            <w:r w:rsidRPr="006B42D6">
              <w:rPr>
                <w:sz w:val="18"/>
                <w:szCs w:val="18"/>
              </w:rPr>
              <w:t>0.03</w:t>
            </w:r>
          </w:p>
        </w:tc>
      </w:tr>
      <w:tr w:rsidR="006B42D6" w:rsidRPr="006B42D6" w14:paraId="6CFB99ED" w14:textId="77777777" w:rsidTr="005420E0">
        <w:trPr>
          <w:trHeight w:val="283"/>
        </w:trPr>
        <w:tc>
          <w:tcPr>
            <w:tcW w:w="1967" w:type="pct"/>
            <w:tcBorders>
              <w:top w:val="nil"/>
              <w:left w:val="nil"/>
              <w:bottom w:val="nil"/>
              <w:right w:val="nil"/>
            </w:tcBorders>
            <w:shd w:val="clear" w:color="auto" w:fill="auto"/>
            <w:vAlign w:val="center"/>
            <w:hideMark/>
          </w:tcPr>
          <w:p w14:paraId="47CB9033" w14:textId="77777777" w:rsidR="008A1E55" w:rsidRPr="006B42D6" w:rsidRDefault="008A1E55" w:rsidP="00E16CAE">
            <w:pPr>
              <w:rPr>
                <w:sz w:val="18"/>
                <w:szCs w:val="18"/>
              </w:rPr>
            </w:pPr>
            <w:r w:rsidRPr="006B42D6">
              <w:rPr>
                <w:sz w:val="18"/>
                <w:szCs w:val="18"/>
              </w:rPr>
              <w:t>Water vendor</w:t>
            </w:r>
          </w:p>
        </w:tc>
        <w:tc>
          <w:tcPr>
            <w:tcW w:w="593" w:type="pct"/>
            <w:tcBorders>
              <w:top w:val="nil"/>
              <w:left w:val="nil"/>
              <w:bottom w:val="nil"/>
              <w:right w:val="nil"/>
            </w:tcBorders>
            <w:shd w:val="clear" w:color="auto" w:fill="auto"/>
            <w:noWrap/>
            <w:vAlign w:val="center"/>
            <w:hideMark/>
          </w:tcPr>
          <w:p w14:paraId="6767D376" w14:textId="77777777" w:rsidR="008A1E55" w:rsidRPr="006B42D6" w:rsidRDefault="008A1E55" w:rsidP="00143C67">
            <w:pPr>
              <w:jc w:val="right"/>
              <w:rPr>
                <w:sz w:val="18"/>
                <w:szCs w:val="18"/>
              </w:rPr>
            </w:pPr>
            <w:r w:rsidRPr="006B42D6">
              <w:rPr>
                <w:sz w:val="18"/>
                <w:szCs w:val="18"/>
              </w:rPr>
              <w:t>88,661</w:t>
            </w:r>
          </w:p>
        </w:tc>
        <w:tc>
          <w:tcPr>
            <w:tcW w:w="450" w:type="pct"/>
            <w:tcBorders>
              <w:top w:val="nil"/>
              <w:left w:val="nil"/>
              <w:bottom w:val="nil"/>
              <w:right w:val="nil"/>
            </w:tcBorders>
            <w:shd w:val="clear" w:color="auto" w:fill="auto"/>
            <w:noWrap/>
            <w:vAlign w:val="center"/>
            <w:hideMark/>
          </w:tcPr>
          <w:p w14:paraId="15283507" w14:textId="77777777" w:rsidR="008A1E55" w:rsidRPr="006B42D6" w:rsidRDefault="008A1E55" w:rsidP="00143C67">
            <w:pPr>
              <w:jc w:val="right"/>
              <w:rPr>
                <w:sz w:val="18"/>
                <w:szCs w:val="18"/>
              </w:rPr>
            </w:pPr>
            <w:r w:rsidRPr="006B42D6">
              <w:rPr>
                <w:sz w:val="18"/>
                <w:szCs w:val="18"/>
              </w:rPr>
              <w:t>1.1</w:t>
            </w:r>
          </w:p>
        </w:tc>
        <w:tc>
          <w:tcPr>
            <w:tcW w:w="593" w:type="pct"/>
            <w:tcBorders>
              <w:top w:val="nil"/>
              <w:left w:val="nil"/>
              <w:bottom w:val="nil"/>
              <w:right w:val="nil"/>
            </w:tcBorders>
            <w:shd w:val="clear" w:color="auto" w:fill="auto"/>
            <w:noWrap/>
            <w:vAlign w:val="center"/>
            <w:hideMark/>
          </w:tcPr>
          <w:p w14:paraId="42871B3E" w14:textId="77777777" w:rsidR="008A1E55" w:rsidRPr="006B42D6" w:rsidRDefault="008A1E55" w:rsidP="00143C67">
            <w:pPr>
              <w:jc w:val="right"/>
              <w:rPr>
                <w:sz w:val="18"/>
                <w:szCs w:val="18"/>
              </w:rPr>
            </w:pPr>
            <w:r w:rsidRPr="006B42D6">
              <w:rPr>
                <w:sz w:val="18"/>
                <w:szCs w:val="18"/>
              </w:rPr>
              <w:t>88,520</w:t>
            </w:r>
          </w:p>
        </w:tc>
        <w:tc>
          <w:tcPr>
            <w:tcW w:w="450" w:type="pct"/>
            <w:tcBorders>
              <w:top w:val="nil"/>
              <w:left w:val="nil"/>
              <w:bottom w:val="nil"/>
              <w:right w:val="nil"/>
            </w:tcBorders>
            <w:shd w:val="clear" w:color="auto" w:fill="auto"/>
            <w:noWrap/>
            <w:vAlign w:val="center"/>
            <w:hideMark/>
          </w:tcPr>
          <w:p w14:paraId="542D0139" w14:textId="77777777" w:rsidR="008A1E55" w:rsidRPr="006B42D6" w:rsidRDefault="008A1E55" w:rsidP="00143C67">
            <w:pPr>
              <w:jc w:val="right"/>
              <w:rPr>
                <w:sz w:val="18"/>
                <w:szCs w:val="18"/>
              </w:rPr>
            </w:pPr>
            <w:r w:rsidRPr="006B42D6">
              <w:rPr>
                <w:sz w:val="18"/>
                <w:szCs w:val="18"/>
              </w:rPr>
              <w:t>1.2</w:t>
            </w:r>
          </w:p>
        </w:tc>
        <w:tc>
          <w:tcPr>
            <w:tcW w:w="493" w:type="pct"/>
            <w:tcBorders>
              <w:top w:val="nil"/>
              <w:left w:val="nil"/>
              <w:bottom w:val="nil"/>
              <w:right w:val="nil"/>
            </w:tcBorders>
            <w:shd w:val="clear" w:color="auto" w:fill="auto"/>
            <w:noWrap/>
            <w:vAlign w:val="center"/>
            <w:hideMark/>
          </w:tcPr>
          <w:p w14:paraId="5D94D088" w14:textId="77777777" w:rsidR="008A1E55" w:rsidRPr="006B42D6" w:rsidRDefault="008A1E55" w:rsidP="00143C67">
            <w:pPr>
              <w:jc w:val="right"/>
              <w:rPr>
                <w:sz w:val="18"/>
                <w:szCs w:val="18"/>
              </w:rPr>
            </w:pPr>
            <w:r w:rsidRPr="006B42D6">
              <w:rPr>
                <w:sz w:val="18"/>
                <w:szCs w:val="18"/>
              </w:rPr>
              <w:t>141</w:t>
            </w:r>
          </w:p>
        </w:tc>
        <w:tc>
          <w:tcPr>
            <w:tcW w:w="453" w:type="pct"/>
            <w:tcBorders>
              <w:top w:val="nil"/>
              <w:left w:val="nil"/>
              <w:bottom w:val="nil"/>
              <w:right w:val="nil"/>
            </w:tcBorders>
            <w:shd w:val="clear" w:color="auto" w:fill="auto"/>
            <w:noWrap/>
            <w:vAlign w:val="center"/>
            <w:hideMark/>
          </w:tcPr>
          <w:p w14:paraId="3110CFAB" w14:textId="77777777" w:rsidR="008A1E55" w:rsidRPr="006B42D6" w:rsidRDefault="008A1E55" w:rsidP="00143C67">
            <w:pPr>
              <w:jc w:val="right"/>
              <w:rPr>
                <w:sz w:val="18"/>
                <w:szCs w:val="18"/>
              </w:rPr>
            </w:pPr>
            <w:r w:rsidRPr="006B42D6">
              <w:rPr>
                <w:sz w:val="18"/>
                <w:szCs w:val="18"/>
              </w:rPr>
              <w:t>0.1</w:t>
            </w:r>
          </w:p>
        </w:tc>
      </w:tr>
      <w:tr w:rsidR="006B42D6" w:rsidRPr="006B42D6" w14:paraId="119C1A7D" w14:textId="77777777" w:rsidTr="005420E0">
        <w:trPr>
          <w:trHeight w:val="283"/>
        </w:trPr>
        <w:tc>
          <w:tcPr>
            <w:tcW w:w="1967" w:type="pct"/>
            <w:tcBorders>
              <w:top w:val="nil"/>
              <w:left w:val="nil"/>
              <w:bottom w:val="nil"/>
              <w:right w:val="nil"/>
            </w:tcBorders>
            <w:shd w:val="clear" w:color="auto" w:fill="auto"/>
            <w:vAlign w:val="center"/>
            <w:hideMark/>
          </w:tcPr>
          <w:p w14:paraId="0B4D0BE4" w14:textId="77777777" w:rsidR="008A1E55" w:rsidRPr="006B42D6" w:rsidRDefault="008A1E55" w:rsidP="00E16CAE">
            <w:pPr>
              <w:rPr>
                <w:sz w:val="18"/>
                <w:szCs w:val="18"/>
              </w:rPr>
            </w:pPr>
            <w:r w:rsidRPr="006B42D6">
              <w:rPr>
                <w:sz w:val="18"/>
                <w:szCs w:val="18"/>
              </w:rPr>
              <w:t>Tanker truck</w:t>
            </w:r>
          </w:p>
        </w:tc>
        <w:tc>
          <w:tcPr>
            <w:tcW w:w="593" w:type="pct"/>
            <w:tcBorders>
              <w:top w:val="nil"/>
              <w:left w:val="nil"/>
              <w:bottom w:val="nil"/>
              <w:right w:val="nil"/>
            </w:tcBorders>
            <w:shd w:val="clear" w:color="auto" w:fill="auto"/>
            <w:noWrap/>
            <w:vAlign w:val="center"/>
            <w:hideMark/>
          </w:tcPr>
          <w:p w14:paraId="25CDE7CC" w14:textId="77777777" w:rsidR="008A1E55" w:rsidRPr="006B42D6" w:rsidRDefault="008A1E55" w:rsidP="00143C67">
            <w:pPr>
              <w:jc w:val="right"/>
              <w:rPr>
                <w:sz w:val="18"/>
                <w:szCs w:val="18"/>
              </w:rPr>
            </w:pPr>
            <w:r w:rsidRPr="006B42D6">
              <w:rPr>
                <w:sz w:val="18"/>
                <w:szCs w:val="18"/>
              </w:rPr>
              <w:t>13,756</w:t>
            </w:r>
          </w:p>
        </w:tc>
        <w:tc>
          <w:tcPr>
            <w:tcW w:w="450" w:type="pct"/>
            <w:tcBorders>
              <w:top w:val="nil"/>
              <w:left w:val="nil"/>
              <w:bottom w:val="nil"/>
              <w:right w:val="nil"/>
            </w:tcBorders>
            <w:shd w:val="clear" w:color="auto" w:fill="auto"/>
            <w:noWrap/>
            <w:vAlign w:val="center"/>
            <w:hideMark/>
          </w:tcPr>
          <w:p w14:paraId="674238E6" w14:textId="77777777" w:rsidR="008A1E55" w:rsidRPr="006B42D6" w:rsidRDefault="008A1E55" w:rsidP="00143C67">
            <w:pPr>
              <w:jc w:val="right"/>
              <w:rPr>
                <w:sz w:val="18"/>
                <w:szCs w:val="18"/>
              </w:rPr>
            </w:pPr>
            <w:r w:rsidRPr="006B42D6">
              <w:rPr>
                <w:sz w:val="18"/>
                <w:szCs w:val="18"/>
              </w:rPr>
              <w:t>0.2</w:t>
            </w:r>
          </w:p>
        </w:tc>
        <w:tc>
          <w:tcPr>
            <w:tcW w:w="593" w:type="pct"/>
            <w:tcBorders>
              <w:top w:val="nil"/>
              <w:left w:val="nil"/>
              <w:bottom w:val="nil"/>
              <w:right w:val="nil"/>
            </w:tcBorders>
            <w:shd w:val="clear" w:color="auto" w:fill="auto"/>
            <w:noWrap/>
            <w:vAlign w:val="center"/>
            <w:hideMark/>
          </w:tcPr>
          <w:p w14:paraId="728DCDCE" w14:textId="77777777" w:rsidR="008A1E55" w:rsidRPr="006B42D6" w:rsidRDefault="008A1E55" w:rsidP="00143C67">
            <w:pPr>
              <w:jc w:val="right"/>
              <w:rPr>
                <w:sz w:val="18"/>
                <w:szCs w:val="18"/>
              </w:rPr>
            </w:pPr>
            <w:r w:rsidRPr="006B42D6">
              <w:rPr>
                <w:sz w:val="18"/>
                <w:szCs w:val="18"/>
              </w:rPr>
              <w:t>13,578</w:t>
            </w:r>
          </w:p>
        </w:tc>
        <w:tc>
          <w:tcPr>
            <w:tcW w:w="450" w:type="pct"/>
            <w:tcBorders>
              <w:top w:val="nil"/>
              <w:left w:val="nil"/>
              <w:bottom w:val="nil"/>
              <w:right w:val="nil"/>
            </w:tcBorders>
            <w:shd w:val="clear" w:color="auto" w:fill="auto"/>
            <w:noWrap/>
            <w:vAlign w:val="center"/>
            <w:hideMark/>
          </w:tcPr>
          <w:p w14:paraId="451D5A83" w14:textId="77777777" w:rsidR="008A1E55" w:rsidRPr="006B42D6" w:rsidRDefault="008A1E55" w:rsidP="00143C67">
            <w:pPr>
              <w:jc w:val="right"/>
              <w:rPr>
                <w:sz w:val="18"/>
                <w:szCs w:val="18"/>
              </w:rPr>
            </w:pPr>
            <w:r w:rsidRPr="006B42D6">
              <w:rPr>
                <w:sz w:val="18"/>
                <w:szCs w:val="18"/>
              </w:rPr>
              <w:t>0.2</w:t>
            </w:r>
          </w:p>
        </w:tc>
        <w:tc>
          <w:tcPr>
            <w:tcW w:w="493" w:type="pct"/>
            <w:tcBorders>
              <w:top w:val="nil"/>
              <w:left w:val="nil"/>
              <w:bottom w:val="nil"/>
              <w:right w:val="nil"/>
            </w:tcBorders>
            <w:shd w:val="clear" w:color="auto" w:fill="auto"/>
            <w:noWrap/>
            <w:vAlign w:val="center"/>
            <w:hideMark/>
          </w:tcPr>
          <w:p w14:paraId="1226250A" w14:textId="77777777" w:rsidR="008A1E55" w:rsidRPr="006B42D6" w:rsidRDefault="008A1E55" w:rsidP="00143C67">
            <w:pPr>
              <w:jc w:val="right"/>
              <w:rPr>
                <w:sz w:val="18"/>
                <w:szCs w:val="18"/>
              </w:rPr>
            </w:pPr>
            <w:r w:rsidRPr="006B42D6">
              <w:rPr>
                <w:sz w:val="18"/>
                <w:szCs w:val="18"/>
              </w:rPr>
              <w:t>178</w:t>
            </w:r>
          </w:p>
        </w:tc>
        <w:tc>
          <w:tcPr>
            <w:tcW w:w="453" w:type="pct"/>
            <w:tcBorders>
              <w:top w:val="nil"/>
              <w:left w:val="nil"/>
              <w:bottom w:val="nil"/>
              <w:right w:val="nil"/>
            </w:tcBorders>
            <w:shd w:val="clear" w:color="auto" w:fill="auto"/>
            <w:noWrap/>
            <w:vAlign w:val="center"/>
            <w:hideMark/>
          </w:tcPr>
          <w:p w14:paraId="5C67B51E" w14:textId="77777777" w:rsidR="008A1E55" w:rsidRPr="006B42D6" w:rsidRDefault="008A1E55" w:rsidP="00143C67">
            <w:pPr>
              <w:jc w:val="right"/>
              <w:rPr>
                <w:sz w:val="18"/>
                <w:szCs w:val="18"/>
              </w:rPr>
            </w:pPr>
            <w:r w:rsidRPr="006B42D6">
              <w:rPr>
                <w:sz w:val="18"/>
                <w:szCs w:val="18"/>
              </w:rPr>
              <w:t>0.1</w:t>
            </w:r>
          </w:p>
        </w:tc>
      </w:tr>
      <w:tr w:rsidR="006B42D6" w:rsidRPr="006B42D6" w14:paraId="00446646" w14:textId="77777777" w:rsidTr="005420E0">
        <w:trPr>
          <w:trHeight w:val="283"/>
        </w:trPr>
        <w:tc>
          <w:tcPr>
            <w:tcW w:w="1967" w:type="pct"/>
            <w:tcBorders>
              <w:top w:val="nil"/>
              <w:left w:val="nil"/>
              <w:bottom w:val="nil"/>
              <w:right w:val="nil"/>
            </w:tcBorders>
            <w:shd w:val="clear" w:color="auto" w:fill="auto"/>
            <w:vAlign w:val="center"/>
            <w:hideMark/>
          </w:tcPr>
          <w:p w14:paraId="2CB0F80A" w14:textId="77777777" w:rsidR="008A1E55" w:rsidRPr="006B42D6" w:rsidRDefault="008A1E55" w:rsidP="00E16CAE">
            <w:pPr>
              <w:rPr>
                <w:sz w:val="18"/>
                <w:szCs w:val="18"/>
              </w:rPr>
            </w:pPr>
            <w:r w:rsidRPr="006B42D6">
              <w:rPr>
                <w:sz w:val="18"/>
                <w:szCs w:val="18"/>
              </w:rPr>
              <w:t>Bottled water</w:t>
            </w:r>
          </w:p>
        </w:tc>
        <w:tc>
          <w:tcPr>
            <w:tcW w:w="593" w:type="pct"/>
            <w:tcBorders>
              <w:top w:val="nil"/>
              <w:left w:val="nil"/>
              <w:bottom w:val="nil"/>
              <w:right w:val="nil"/>
            </w:tcBorders>
            <w:shd w:val="clear" w:color="auto" w:fill="auto"/>
            <w:noWrap/>
            <w:vAlign w:val="center"/>
            <w:hideMark/>
          </w:tcPr>
          <w:p w14:paraId="1C286E2D" w14:textId="77777777" w:rsidR="008A1E55" w:rsidRPr="006B42D6" w:rsidRDefault="008A1E55" w:rsidP="00143C67">
            <w:pPr>
              <w:jc w:val="right"/>
              <w:rPr>
                <w:sz w:val="18"/>
                <w:szCs w:val="18"/>
              </w:rPr>
            </w:pPr>
            <w:r w:rsidRPr="006B42D6">
              <w:rPr>
                <w:sz w:val="18"/>
                <w:szCs w:val="18"/>
              </w:rPr>
              <w:t>5,711</w:t>
            </w:r>
          </w:p>
        </w:tc>
        <w:tc>
          <w:tcPr>
            <w:tcW w:w="450" w:type="pct"/>
            <w:tcBorders>
              <w:top w:val="nil"/>
              <w:left w:val="nil"/>
              <w:bottom w:val="nil"/>
              <w:right w:val="nil"/>
            </w:tcBorders>
            <w:shd w:val="clear" w:color="auto" w:fill="auto"/>
            <w:noWrap/>
            <w:vAlign w:val="center"/>
            <w:hideMark/>
          </w:tcPr>
          <w:p w14:paraId="56178651" w14:textId="77777777" w:rsidR="008A1E55" w:rsidRPr="006B42D6" w:rsidRDefault="008A1E55" w:rsidP="00143C67">
            <w:pPr>
              <w:jc w:val="right"/>
              <w:rPr>
                <w:sz w:val="18"/>
                <w:szCs w:val="18"/>
              </w:rPr>
            </w:pPr>
            <w:r w:rsidRPr="006B42D6">
              <w:rPr>
                <w:sz w:val="18"/>
                <w:szCs w:val="18"/>
              </w:rPr>
              <w:t>0.1</w:t>
            </w:r>
          </w:p>
        </w:tc>
        <w:tc>
          <w:tcPr>
            <w:tcW w:w="593" w:type="pct"/>
            <w:tcBorders>
              <w:top w:val="nil"/>
              <w:left w:val="nil"/>
              <w:bottom w:val="nil"/>
              <w:right w:val="nil"/>
            </w:tcBorders>
            <w:shd w:val="clear" w:color="auto" w:fill="auto"/>
            <w:noWrap/>
            <w:vAlign w:val="center"/>
            <w:hideMark/>
          </w:tcPr>
          <w:p w14:paraId="5F88C6B0" w14:textId="77777777" w:rsidR="008A1E55" w:rsidRPr="006B42D6" w:rsidRDefault="008A1E55" w:rsidP="00143C67">
            <w:pPr>
              <w:jc w:val="right"/>
              <w:rPr>
                <w:sz w:val="18"/>
                <w:szCs w:val="18"/>
              </w:rPr>
            </w:pPr>
            <w:r w:rsidRPr="006B42D6">
              <w:rPr>
                <w:sz w:val="18"/>
                <w:szCs w:val="18"/>
              </w:rPr>
              <w:t>5,711</w:t>
            </w:r>
          </w:p>
        </w:tc>
        <w:tc>
          <w:tcPr>
            <w:tcW w:w="450" w:type="pct"/>
            <w:tcBorders>
              <w:top w:val="nil"/>
              <w:left w:val="nil"/>
              <w:bottom w:val="nil"/>
              <w:right w:val="nil"/>
            </w:tcBorders>
            <w:shd w:val="clear" w:color="auto" w:fill="auto"/>
            <w:noWrap/>
            <w:vAlign w:val="center"/>
            <w:hideMark/>
          </w:tcPr>
          <w:p w14:paraId="1D3B320B" w14:textId="77777777" w:rsidR="008A1E55" w:rsidRPr="006B42D6" w:rsidRDefault="008A1E55" w:rsidP="00143C67">
            <w:pPr>
              <w:jc w:val="right"/>
              <w:rPr>
                <w:sz w:val="18"/>
                <w:szCs w:val="18"/>
              </w:rPr>
            </w:pPr>
            <w:r w:rsidRPr="006B42D6">
              <w:rPr>
                <w:sz w:val="18"/>
                <w:szCs w:val="18"/>
              </w:rPr>
              <w:t>0.1</w:t>
            </w:r>
          </w:p>
        </w:tc>
        <w:tc>
          <w:tcPr>
            <w:tcW w:w="493" w:type="pct"/>
            <w:tcBorders>
              <w:top w:val="nil"/>
              <w:left w:val="nil"/>
              <w:bottom w:val="nil"/>
              <w:right w:val="nil"/>
            </w:tcBorders>
            <w:shd w:val="clear" w:color="auto" w:fill="auto"/>
            <w:noWrap/>
            <w:vAlign w:val="center"/>
            <w:hideMark/>
          </w:tcPr>
          <w:p w14:paraId="02FB9D40" w14:textId="77777777" w:rsidR="008A1E55" w:rsidRPr="006B42D6" w:rsidRDefault="008A1E55" w:rsidP="00143C67">
            <w:pPr>
              <w:jc w:val="right"/>
              <w:rPr>
                <w:sz w:val="18"/>
                <w:szCs w:val="18"/>
              </w:rPr>
            </w:pPr>
            <w:r w:rsidRPr="006B42D6">
              <w:rPr>
                <w:sz w:val="18"/>
                <w:szCs w:val="18"/>
              </w:rPr>
              <w:t>-</w:t>
            </w:r>
          </w:p>
        </w:tc>
        <w:tc>
          <w:tcPr>
            <w:tcW w:w="453" w:type="pct"/>
            <w:tcBorders>
              <w:top w:val="nil"/>
              <w:left w:val="nil"/>
              <w:bottom w:val="nil"/>
              <w:right w:val="nil"/>
            </w:tcBorders>
            <w:shd w:val="clear" w:color="auto" w:fill="auto"/>
            <w:noWrap/>
            <w:vAlign w:val="center"/>
            <w:hideMark/>
          </w:tcPr>
          <w:p w14:paraId="09CC5E25" w14:textId="77777777" w:rsidR="008A1E55" w:rsidRPr="006B42D6" w:rsidRDefault="008A1E55" w:rsidP="00143C67">
            <w:pPr>
              <w:jc w:val="right"/>
              <w:rPr>
                <w:sz w:val="18"/>
                <w:szCs w:val="18"/>
              </w:rPr>
            </w:pPr>
            <w:r w:rsidRPr="006B42D6">
              <w:rPr>
                <w:sz w:val="18"/>
                <w:szCs w:val="18"/>
              </w:rPr>
              <w:t>-</w:t>
            </w:r>
          </w:p>
        </w:tc>
      </w:tr>
      <w:tr w:rsidR="006B42D6" w:rsidRPr="006B42D6" w14:paraId="0F990CC2" w14:textId="77777777" w:rsidTr="005420E0">
        <w:trPr>
          <w:trHeight w:val="283"/>
        </w:trPr>
        <w:tc>
          <w:tcPr>
            <w:tcW w:w="1967" w:type="pct"/>
            <w:tcBorders>
              <w:top w:val="nil"/>
              <w:left w:val="nil"/>
              <w:bottom w:val="nil"/>
              <w:right w:val="nil"/>
            </w:tcBorders>
            <w:shd w:val="clear" w:color="auto" w:fill="auto"/>
            <w:vAlign w:val="center"/>
            <w:hideMark/>
          </w:tcPr>
          <w:p w14:paraId="5B1431B5" w14:textId="77777777" w:rsidR="008A1E55" w:rsidRPr="006B42D6" w:rsidRDefault="008A1E55" w:rsidP="00E16CAE">
            <w:pPr>
              <w:rPr>
                <w:sz w:val="18"/>
                <w:szCs w:val="18"/>
              </w:rPr>
            </w:pPr>
            <w:r w:rsidRPr="006B42D6">
              <w:rPr>
                <w:sz w:val="18"/>
                <w:szCs w:val="18"/>
              </w:rPr>
              <w:t>Borehole</w:t>
            </w:r>
          </w:p>
        </w:tc>
        <w:tc>
          <w:tcPr>
            <w:tcW w:w="593" w:type="pct"/>
            <w:tcBorders>
              <w:top w:val="nil"/>
              <w:left w:val="nil"/>
              <w:bottom w:val="nil"/>
              <w:right w:val="nil"/>
            </w:tcBorders>
            <w:shd w:val="clear" w:color="auto" w:fill="auto"/>
            <w:noWrap/>
            <w:vAlign w:val="center"/>
            <w:hideMark/>
          </w:tcPr>
          <w:p w14:paraId="30C3D6BC" w14:textId="77777777" w:rsidR="008A1E55" w:rsidRPr="006B42D6" w:rsidRDefault="008A1E55" w:rsidP="00143C67">
            <w:pPr>
              <w:jc w:val="right"/>
              <w:rPr>
                <w:sz w:val="18"/>
                <w:szCs w:val="18"/>
              </w:rPr>
            </w:pPr>
            <w:r w:rsidRPr="006B42D6">
              <w:rPr>
                <w:sz w:val="18"/>
                <w:szCs w:val="18"/>
              </w:rPr>
              <w:t>152,690</w:t>
            </w:r>
          </w:p>
        </w:tc>
        <w:tc>
          <w:tcPr>
            <w:tcW w:w="450" w:type="pct"/>
            <w:tcBorders>
              <w:top w:val="nil"/>
              <w:left w:val="nil"/>
              <w:bottom w:val="nil"/>
              <w:right w:val="nil"/>
            </w:tcBorders>
            <w:shd w:val="clear" w:color="auto" w:fill="auto"/>
            <w:noWrap/>
            <w:vAlign w:val="center"/>
            <w:hideMark/>
          </w:tcPr>
          <w:p w14:paraId="6411AD6E" w14:textId="77777777" w:rsidR="008A1E55" w:rsidRPr="006B42D6" w:rsidRDefault="008A1E55" w:rsidP="00143C67">
            <w:pPr>
              <w:jc w:val="right"/>
              <w:rPr>
                <w:sz w:val="18"/>
                <w:szCs w:val="18"/>
              </w:rPr>
            </w:pPr>
            <w:r w:rsidRPr="006B42D6">
              <w:rPr>
                <w:sz w:val="18"/>
                <w:szCs w:val="18"/>
              </w:rPr>
              <w:t>1.9</w:t>
            </w:r>
          </w:p>
        </w:tc>
        <w:tc>
          <w:tcPr>
            <w:tcW w:w="593" w:type="pct"/>
            <w:tcBorders>
              <w:top w:val="nil"/>
              <w:left w:val="nil"/>
              <w:bottom w:val="nil"/>
              <w:right w:val="nil"/>
            </w:tcBorders>
            <w:shd w:val="clear" w:color="auto" w:fill="auto"/>
            <w:noWrap/>
            <w:vAlign w:val="center"/>
            <w:hideMark/>
          </w:tcPr>
          <w:p w14:paraId="15374B93" w14:textId="77777777" w:rsidR="008A1E55" w:rsidRPr="006B42D6" w:rsidRDefault="008A1E55" w:rsidP="00143C67">
            <w:pPr>
              <w:jc w:val="right"/>
              <w:rPr>
                <w:sz w:val="18"/>
                <w:szCs w:val="18"/>
              </w:rPr>
            </w:pPr>
            <w:r w:rsidRPr="006B42D6">
              <w:rPr>
                <w:sz w:val="18"/>
                <w:szCs w:val="18"/>
              </w:rPr>
              <w:t>152,023</w:t>
            </w:r>
          </w:p>
        </w:tc>
        <w:tc>
          <w:tcPr>
            <w:tcW w:w="450" w:type="pct"/>
            <w:tcBorders>
              <w:top w:val="nil"/>
              <w:left w:val="nil"/>
              <w:bottom w:val="nil"/>
              <w:right w:val="nil"/>
            </w:tcBorders>
            <w:shd w:val="clear" w:color="auto" w:fill="auto"/>
            <w:noWrap/>
            <w:vAlign w:val="center"/>
            <w:hideMark/>
          </w:tcPr>
          <w:p w14:paraId="055B0E7D" w14:textId="77777777" w:rsidR="008A1E55" w:rsidRPr="006B42D6" w:rsidRDefault="008A1E55" w:rsidP="00143C67">
            <w:pPr>
              <w:jc w:val="right"/>
              <w:rPr>
                <w:sz w:val="18"/>
                <w:szCs w:val="18"/>
              </w:rPr>
            </w:pPr>
            <w:r w:rsidRPr="006B42D6">
              <w:rPr>
                <w:sz w:val="18"/>
                <w:szCs w:val="18"/>
              </w:rPr>
              <w:t>2.0</w:t>
            </w:r>
          </w:p>
        </w:tc>
        <w:tc>
          <w:tcPr>
            <w:tcW w:w="493" w:type="pct"/>
            <w:tcBorders>
              <w:top w:val="nil"/>
              <w:left w:val="nil"/>
              <w:bottom w:val="nil"/>
              <w:right w:val="nil"/>
            </w:tcBorders>
            <w:shd w:val="clear" w:color="auto" w:fill="auto"/>
            <w:noWrap/>
            <w:vAlign w:val="center"/>
            <w:hideMark/>
          </w:tcPr>
          <w:p w14:paraId="11477AD9" w14:textId="77777777" w:rsidR="008A1E55" w:rsidRPr="006B42D6" w:rsidRDefault="008A1E55" w:rsidP="00143C67">
            <w:pPr>
              <w:jc w:val="right"/>
              <w:rPr>
                <w:sz w:val="18"/>
                <w:szCs w:val="18"/>
              </w:rPr>
            </w:pPr>
            <w:r w:rsidRPr="006B42D6">
              <w:rPr>
                <w:sz w:val="18"/>
                <w:szCs w:val="18"/>
              </w:rPr>
              <w:t>667</w:t>
            </w:r>
          </w:p>
        </w:tc>
        <w:tc>
          <w:tcPr>
            <w:tcW w:w="453" w:type="pct"/>
            <w:tcBorders>
              <w:top w:val="nil"/>
              <w:left w:val="nil"/>
              <w:bottom w:val="nil"/>
              <w:right w:val="nil"/>
            </w:tcBorders>
            <w:shd w:val="clear" w:color="auto" w:fill="auto"/>
            <w:noWrap/>
            <w:vAlign w:val="center"/>
            <w:hideMark/>
          </w:tcPr>
          <w:p w14:paraId="7E409B76" w14:textId="77777777" w:rsidR="008A1E55" w:rsidRPr="006B42D6" w:rsidRDefault="008A1E55" w:rsidP="00143C67">
            <w:pPr>
              <w:jc w:val="right"/>
              <w:rPr>
                <w:sz w:val="18"/>
                <w:szCs w:val="18"/>
              </w:rPr>
            </w:pPr>
            <w:r w:rsidRPr="006B42D6">
              <w:rPr>
                <w:sz w:val="18"/>
                <w:szCs w:val="18"/>
              </w:rPr>
              <w:t>0.4</w:t>
            </w:r>
          </w:p>
        </w:tc>
      </w:tr>
      <w:tr w:rsidR="006B42D6" w:rsidRPr="006B42D6" w14:paraId="47264ABF" w14:textId="77777777" w:rsidTr="005420E0">
        <w:trPr>
          <w:trHeight w:val="283"/>
        </w:trPr>
        <w:tc>
          <w:tcPr>
            <w:tcW w:w="1967" w:type="pct"/>
            <w:tcBorders>
              <w:top w:val="nil"/>
              <w:left w:val="nil"/>
              <w:bottom w:val="nil"/>
              <w:right w:val="nil"/>
            </w:tcBorders>
            <w:shd w:val="clear" w:color="auto" w:fill="auto"/>
            <w:vAlign w:val="center"/>
            <w:hideMark/>
          </w:tcPr>
          <w:p w14:paraId="7D8B30EF" w14:textId="77777777" w:rsidR="008A1E55" w:rsidRPr="006B42D6" w:rsidRDefault="008A1E55" w:rsidP="00E16CAE">
            <w:pPr>
              <w:rPr>
                <w:sz w:val="18"/>
                <w:szCs w:val="18"/>
              </w:rPr>
            </w:pPr>
            <w:r w:rsidRPr="006B42D6">
              <w:rPr>
                <w:sz w:val="18"/>
                <w:szCs w:val="18"/>
              </w:rPr>
              <w:t xml:space="preserve">Other </w:t>
            </w:r>
          </w:p>
        </w:tc>
        <w:tc>
          <w:tcPr>
            <w:tcW w:w="593" w:type="pct"/>
            <w:tcBorders>
              <w:top w:val="nil"/>
              <w:left w:val="nil"/>
              <w:bottom w:val="nil"/>
              <w:right w:val="nil"/>
            </w:tcBorders>
            <w:shd w:val="clear" w:color="auto" w:fill="auto"/>
            <w:noWrap/>
            <w:vAlign w:val="center"/>
            <w:hideMark/>
          </w:tcPr>
          <w:p w14:paraId="5FE14572" w14:textId="77777777" w:rsidR="008A1E55" w:rsidRPr="006B42D6" w:rsidRDefault="008A1E55" w:rsidP="00143C67">
            <w:pPr>
              <w:jc w:val="right"/>
              <w:rPr>
                <w:sz w:val="18"/>
                <w:szCs w:val="18"/>
              </w:rPr>
            </w:pPr>
            <w:r w:rsidRPr="006B42D6">
              <w:rPr>
                <w:sz w:val="18"/>
                <w:szCs w:val="18"/>
              </w:rPr>
              <w:t>46,247</w:t>
            </w:r>
          </w:p>
        </w:tc>
        <w:tc>
          <w:tcPr>
            <w:tcW w:w="450" w:type="pct"/>
            <w:tcBorders>
              <w:top w:val="nil"/>
              <w:left w:val="nil"/>
              <w:bottom w:val="nil"/>
              <w:right w:val="nil"/>
            </w:tcBorders>
            <w:shd w:val="clear" w:color="auto" w:fill="auto"/>
            <w:noWrap/>
            <w:vAlign w:val="center"/>
            <w:hideMark/>
          </w:tcPr>
          <w:p w14:paraId="603213BC" w14:textId="77777777" w:rsidR="008A1E55" w:rsidRPr="006B42D6" w:rsidRDefault="008A1E55" w:rsidP="00143C67">
            <w:pPr>
              <w:jc w:val="right"/>
              <w:rPr>
                <w:sz w:val="18"/>
                <w:szCs w:val="18"/>
              </w:rPr>
            </w:pPr>
            <w:r w:rsidRPr="006B42D6">
              <w:rPr>
                <w:sz w:val="18"/>
                <w:szCs w:val="18"/>
              </w:rPr>
              <w:t>0.6</w:t>
            </w:r>
          </w:p>
        </w:tc>
        <w:tc>
          <w:tcPr>
            <w:tcW w:w="593" w:type="pct"/>
            <w:tcBorders>
              <w:top w:val="nil"/>
              <w:left w:val="nil"/>
              <w:bottom w:val="nil"/>
              <w:right w:val="nil"/>
            </w:tcBorders>
            <w:shd w:val="clear" w:color="auto" w:fill="auto"/>
            <w:noWrap/>
            <w:vAlign w:val="center"/>
            <w:hideMark/>
          </w:tcPr>
          <w:p w14:paraId="7C2BEDA8" w14:textId="77777777" w:rsidR="008A1E55" w:rsidRPr="006B42D6" w:rsidRDefault="008A1E55" w:rsidP="00143C67">
            <w:pPr>
              <w:jc w:val="right"/>
              <w:rPr>
                <w:sz w:val="18"/>
                <w:szCs w:val="18"/>
              </w:rPr>
            </w:pPr>
            <w:r w:rsidRPr="006B42D6">
              <w:rPr>
                <w:sz w:val="18"/>
                <w:szCs w:val="18"/>
              </w:rPr>
              <w:t>46,247</w:t>
            </w:r>
          </w:p>
        </w:tc>
        <w:tc>
          <w:tcPr>
            <w:tcW w:w="450" w:type="pct"/>
            <w:tcBorders>
              <w:top w:val="nil"/>
              <w:left w:val="nil"/>
              <w:bottom w:val="nil"/>
              <w:right w:val="nil"/>
            </w:tcBorders>
            <w:shd w:val="clear" w:color="auto" w:fill="auto"/>
            <w:noWrap/>
            <w:vAlign w:val="center"/>
            <w:hideMark/>
          </w:tcPr>
          <w:p w14:paraId="3C49487B" w14:textId="77777777" w:rsidR="008A1E55" w:rsidRPr="006B42D6" w:rsidRDefault="008A1E55" w:rsidP="00143C67">
            <w:pPr>
              <w:jc w:val="right"/>
              <w:rPr>
                <w:sz w:val="18"/>
                <w:szCs w:val="18"/>
              </w:rPr>
            </w:pPr>
            <w:r w:rsidRPr="006B42D6">
              <w:rPr>
                <w:sz w:val="18"/>
                <w:szCs w:val="18"/>
              </w:rPr>
              <w:t>0.6</w:t>
            </w:r>
          </w:p>
        </w:tc>
        <w:tc>
          <w:tcPr>
            <w:tcW w:w="493" w:type="pct"/>
            <w:tcBorders>
              <w:top w:val="nil"/>
              <w:left w:val="nil"/>
              <w:bottom w:val="nil"/>
              <w:right w:val="nil"/>
            </w:tcBorders>
            <w:shd w:val="clear" w:color="auto" w:fill="auto"/>
            <w:noWrap/>
            <w:vAlign w:val="center"/>
            <w:hideMark/>
          </w:tcPr>
          <w:p w14:paraId="626E79A9" w14:textId="77777777" w:rsidR="008A1E55" w:rsidRPr="006B42D6" w:rsidRDefault="008A1E55" w:rsidP="00143C67">
            <w:pPr>
              <w:jc w:val="right"/>
              <w:rPr>
                <w:sz w:val="18"/>
                <w:szCs w:val="18"/>
              </w:rPr>
            </w:pPr>
            <w:r w:rsidRPr="006B42D6">
              <w:rPr>
                <w:sz w:val="18"/>
                <w:szCs w:val="18"/>
              </w:rPr>
              <w:t>-</w:t>
            </w:r>
          </w:p>
        </w:tc>
        <w:tc>
          <w:tcPr>
            <w:tcW w:w="453" w:type="pct"/>
            <w:tcBorders>
              <w:top w:val="nil"/>
              <w:left w:val="nil"/>
              <w:bottom w:val="nil"/>
              <w:right w:val="nil"/>
            </w:tcBorders>
            <w:shd w:val="clear" w:color="auto" w:fill="auto"/>
            <w:noWrap/>
            <w:vAlign w:val="center"/>
            <w:hideMark/>
          </w:tcPr>
          <w:p w14:paraId="433E4693" w14:textId="77777777" w:rsidR="008A1E55" w:rsidRPr="006B42D6" w:rsidRDefault="008A1E55" w:rsidP="00143C67">
            <w:pPr>
              <w:jc w:val="right"/>
              <w:rPr>
                <w:sz w:val="18"/>
                <w:szCs w:val="18"/>
              </w:rPr>
            </w:pPr>
            <w:r w:rsidRPr="006B42D6">
              <w:rPr>
                <w:sz w:val="18"/>
                <w:szCs w:val="18"/>
              </w:rPr>
              <w:t>-</w:t>
            </w:r>
          </w:p>
        </w:tc>
      </w:tr>
      <w:tr w:rsidR="008A1E55" w:rsidRPr="00143C67" w14:paraId="58C71CEF" w14:textId="77777777" w:rsidTr="005420E0">
        <w:trPr>
          <w:trHeight w:val="283"/>
        </w:trPr>
        <w:tc>
          <w:tcPr>
            <w:tcW w:w="1967" w:type="pct"/>
            <w:tcBorders>
              <w:top w:val="single" w:sz="4" w:space="0" w:color="auto"/>
              <w:left w:val="nil"/>
              <w:bottom w:val="single" w:sz="4" w:space="0" w:color="auto"/>
              <w:right w:val="nil"/>
            </w:tcBorders>
            <w:shd w:val="clear" w:color="auto" w:fill="E2EFD9" w:themeFill="accent6" w:themeFillTint="33"/>
            <w:vAlign w:val="center"/>
            <w:hideMark/>
          </w:tcPr>
          <w:p w14:paraId="230E56F5" w14:textId="77777777" w:rsidR="008A1E55" w:rsidRPr="00143C67" w:rsidRDefault="008A1E55" w:rsidP="00E16CAE">
            <w:pPr>
              <w:rPr>
                <w:b/>
                <w:sz w:val="18"/>
                <w:szCs w:val="18"/>
              </w:rPr>
            </w:pPr>
            <w:r w:rsidRPr="00143C67">
              <w:rPr>
                <w:b/>
                <w:sz w:val="18"/>
                <w:szCs w:val="18"/>
              </w:rPr>
              <w:t>Total</w:t>
            </w:r>
          </w:p>
        </w:tc>
        <w:tc>
          <w:tcPr>
            <w:tcW w:w="593" w:type="pct"/>
            <w:tcBorders>
              <w:top w:val="single" w:sz="4" w:space="0" w:color="auto"/>
              <w:left w:val="nil"/>
              <w:bottom w:val="single" w:sz="4" w:space="0" w:color="auto"/>
              <w:right w:val="nil"/>
            </w:tcBorders>
            <w:shd w:val="clear" w:color="auto" w:fill="E2EFD9" w:themeFill="accent6" w:themeFillTint="33"/>
            <w:noWrap/>
            <w:vAlign w:val="center"/>
            <w:hideMark/>
          </w:tcPr>
          <w:p w14:paraId="782AB91C" w14:textId="77777777" w:rsidR="008A1E55" w:rsidRPr="00143C67" w:rsidRDefault="008A1E55" w:rsidP="00143C67">
            <w:pPr>
              <w:jc w:val="right"/>
              <w:rPr>
                <w:b/>
                <w:sz w:val="18"/>
                <w:szCs w:val="18"/>
              </w:rPr>
            </w:pPr>
            <w:r w:rsidRPr="00143C67">
              <w:rPr>
                <w:b/>
                <w:sz w:val="18"/>
                <w:szCs w:val="18"/>
              </w:rPr>
              <w:t>7,837,405</w:t>
            </w:r>
          </w:p>
        </w:tc>
        <w:tc>
          <w:tcPr>
            <w:tcW w:w="450" w:type="pct"/>
            <w:tcBorders>
              <w:top w:val="single" w:sz="4" w:space="0" w:color="auto"/>
              <w:left w:val="nil"/>
              <w:bottom w:val="single" w:sz="4" w:space="0" w:color="auto"/>
              <w:right w:val="nil"/>
            </w:tcBorders>
            <w:shd w:val="clear" w:color="auto" w:fill="E2EFD9" w:themeFill="accent6" w:themeFillTint="33"/>
            <w:noWrap/>
            <w:vAlign w:val="center"/>
            <w:hideMark/>
          </w:tcPr>
          <w:p w14:paraId="1A0C6BA6" w14:textId="77777777" w:rsidR="008A1E55" w:rsidRPr="00143C67" w:rsidRDefault="008A1E55" w:rsidP="00143C67">
            <w:pPr>
              <w:jc w:val="right"/>
              <w:rPr>
                <w:b/>
                <w:sz w:val="18"/>
                <w:szCs w:val="18"/>
              </w:rPr>
            </w:pPr>
            <w:r w:rsidRPr="00143C67">
              <w:rPr>
                <w:b/>
                <w:sz w:val="18"/>
                <w:szCs w:val="18"/>
              </w:rPr>
              <w:t>100.0</w:t>
            </w:r>
          </w:p>
        </w:tc>
        <w:tc>
          <w:tcPr>
            <w:tcW w:w="593" w:type="pct"/>
            <w:tcBorders>
              <w:top w:val="single" w:sz="4" w:space="0" w:color="auto"/>
              <w:left w:val="nil"/>
              <w:bottom w:val="single" w:sz="4" w:space="0" w:color="auto"/>
              <w:right w:val="nil"/>
            </w:tcBorders>
            <w:shd w:val="clear" w:color="auto" w:fill="E2EFD9" w:themeFill="accent6" w:themeFillTint="33"/>
            <w:noWrap/>
            <w:vAlign w:val="center"/>
            <w:hideMark/>
          </w:tcPr>
          <w:p w14:paraId="698A782C" w14:textId="77777777" w:rsidR="008A1E55" w:rsidRPr="00143C67" w:rsidRDefault="008A1E55" w:rsidP="00143C67">
            <w:pPr>
              <w:jc w:val="right"/>
              <w:rPr>
                <w:b/>
                <w:sz w:val="18"/>
                <w:szCs w:val="18"/>
              </w:rPr>
            </w:pPr>
            <w:r w:rsidRPr="00143C67">
              <w:rPr>
                <w:b/>
                <w:sz w:val="18"/>
                <w:szCs w:val="18"/>
              </w:rPr>
              <w:t>7,657,185</w:t>
            </w:r>
          </w:p>
        </w:tc>
        <w:tc>
          <w:tcPr>
            <w:tcW w:w="450" w:type="pct"/>
            <w:tcBorders>
              <w:top w:val="single" w:sz="4" w:space="0" w:color="auto"/>
              <w:left w:val="nil"/>
              <w:bottom w:val="single" w:sz="4" w:space="0" w:color="auto"/>
              <w:right w:val="nil"/>
            </w:tcBorders>
            <w:shd w:val="clear" w:color="auto" w:fill="E2EFD9" w:themeFill="accent6" w:themeFillTint="33"/>
            <w:noWrap/>
            <w:vAlign w:val="center"/>
            <w:hideMark/>
          </w:tcPr>
          <w:p w14:paraId="00312B05" w14:textId="77777777" w:rsidR="008A1E55" w:rsidRPr="00143C67" w:rsidRDefault="008A1E55" w:rsidP="00143C67">
            <w:pPr>
              <w:jc w:val="right"/>
              <w:rPr>
                <w:b/>
                <w:sz w:val="18"/>
                <w:szCs w:val="18"/>
              </w:rPr>
            </w:pPr>
            <w:r w:rsidRPr="00143C67">
              <w:rPr>
                <w:b/>
                <w:sz w:val="18"/>
                <w:szCs w:val="18"/>
              </w:rPr>
              <w:t>100.0</w:t>
            </w:r>
          </w:p>
        </w:tc>
        <w:tc>
          <w:tcPr>
            <w:tcW w:w="493" w:type="pct"/>
            <w:tcBorders>
              <w:top w:val="single" w:sz="4" w:space="0" w:color="auto"/>
              <w:left w:val="nil"/>
              <w:bottom w:val="single" w:sz="4" w:space="0" w:color="auto"/>
              <w:right w:val="nil"/>
            </w:tcBorders>
            <w:shd w:val="clear" w:color="auto" w:fill="E2EFD9" w:themeFill="accent6" w:themeFillTint="33"/>
            <w:noWrap/>
            <w:vAlign w:val="center"/>
            <w:hideMark/>
          </w:tcPr>
          <w:p w14:paraId="794C1C08" w14:textId="77777777" w:rsidR="008A1E55" w:rsidRPr="00143C67" w:rsidRDefault="008A1E55" w:rsidP="00143C67">
            <w:pPr>
              <w:jc w:val="right"/>
              <w:rPr>
                <w:b/>
                <w:sz w:val="18"/>
                <w:szCs w:val="18"/>
              </w:rPr>
            </w:pPr>
            <w:r w:rsidRPr="00143C67">
              <w:rPr>
                <w:b/>
                <w:sz w:val="18"/>
                <w:szCs w:val="18"/>
              </w:rPr>
              <w:t>180,220</w:t>
            </w:r>
          </w:p>
        </w:tc>
        <w:tc>
          <w:tcPr>
            <w:tcW w:w="453" w:type="pct"/>
            <w:tcBorders>
              <w:top w:val="single" w:sz="4" w:space="0" w:color="auto"/>
              <w:left w:val="nil"/>
              <w:bottom w:val="single" w:sz="4" w:space="0" w:color="auto"/>
              <w:right w:val="nil"/>
            </w:tcBorders>
            <w:shd w:val="clear" w:color="auto" w:fill="E2EFD9" w:themeFill="accent6" w:themeFillTint="33"/>
            <w:noWrap/>
            <w:vAlign w:val="center"/>
            <w:hideMark/>
          </w:tcPr>
          <w:p w14:paraId="77DC481B" w14:textId="77777777" w:rsidR="008A1E55" w:rsidRPr="00143C67" w:rsidRDefault="008A1E55" w:rsidP="00143C67">
            <w:pPr>
              <w:jc w:val="right"/>
              <w:rPr>
                <w:b/>
                <w:sz w:val="18"/>
                <w:szCs w:val="18"/>
              </w:rPr>
            </w:pPr>
            <w:r w:rsidRPr="00143C67">
              <w:rPr>
                <w:b/>
                <w:sz w:val="18"/>
                <w:szCs w:val="18"/>
              </w:rPr>
              <w:t>100.0</w:t>
            </w:r>
          </w:p>
        </w:tc>
      </w:tr>
    </w:tbl>
    <w:p w14:paraId="7241CBFD" w14:textId="77777777" w:rsidR="00AC6872" w:rsidRPr="006B42D6" w:rsidRDefault="00AC6872" w:rsidP="0024189E">
      <w:pPr>
        <w:spacing w:line="240" w:lineRule="auto"/>
      </w:pPr>
    </w:p>
    <w:p w14:paraId="4C2B13C6" w14:textId="42F18856" w:rsidR="008A1E55" w:rsidRPr="006B42D6" w:rsidRDefault="008A1E55" w:rsidP="008A1E55">
      <w:r w:rsidRPr="006B42D6">
        <w:t xml:space="preserve">In </w:t>
      </w:r>
      <w:r w:rsidR="00EA1552">
        <w:t>Mainland Tanzania</w:t>
      </w:r>
      <w:r w:rsidRPr="006B42D6">
        <w:t xml:space="preserve">, majority of households (3,324,552; 43.4 percent) reported to use piped water as the main source of drinking water during the dry season, followed by those using surface water (1,290,144; 16.8 percent) and unprotected well (1,201,425; 15.7). Dar es Salaam region had the largest number of households (334,336; 10.1 percent) reported to use piped water as the main source of drinking water during the dry season, followed by Kilimanjaro (263,615; 7.9 percent) and Morogoro (243,623; 7.3 percent), while Mara had the least number of households (29,229; 0.9 percent) (Table </w:t>
      </w:r>
      <w:r w:rsidR="00F83A4C" w:rsidRPr="006B42D6">
        <w:t>6</w:t>
      </w:r>
      <w:r w:rsidRPr="006B42D6">
        <w:t xml:space="preserve">.15 &amp; </w:t>
      </w:r>
      <w:r w:rsidR="00F83A4C" w:rsidRPr="006B42D6">
        <w:t>6</w:t>
      </w:r>
      <w:r w:rsidRPr="006B42D6">
        <w:t>.16).</w:t>
      </w:r>
    </w:p>
    <w:p w14:paraId="2BA28319" w14:textId="77777777" w:rsidR="008A1E55" w:rsidRPr="00DD3FC5" w:rsidRDefault="008A1E55" w:rsidP="0024189E">
      <w:pPr>
        <w:spacing w:line="240" w:lineRule="auto"/>
        <w:rPr>
          <w:sz w:val="20"/>
          <w:szCs w:val="20"/>
        </w:rPr>
      </w:pPr>
    </w:p>
    <w:p w14:paraId="105866F6" w14:textId="2A3D0230" w:rsidR="00AC6872" w:rsidRPr="006B42D6" w:rsidRDefault="008A1E55" w:rsidP="008A1E55">
      <w:r w:rsidRPr="006B42D6">
        <w:t xml:space="preserve">In Tanzania Zanzibar, majority of households (139,647; 77.5 percent) reported to use piped water as the main source of drinking water during the dry season, followed by those using protected well (24,670; 13.7 percent) and unprotected well (13,181; 7.3 percent). Kusini Pemba region had the largest number of households (49,713; 35.6 percent) reported to use piped water as the main source of drinking water during the dry season, followed by </w:t>
      </w:r>
      <w:r w:rsidRPr="006B42D6">
        <w:lastRenderedPageBreak/>
        <w:t xml:space="preserve">Kaskazini Pemba (31,243; 22.4 percent), while Kusini Unguja had the least number of households (11,563; 8.3 percent) (Table </w:t>
      </w:r>
      <w:r w:rsidR="00F83A4C" w:rsidRPr="006B42D6">
        <w:t>6</w:t>
      </w:r>
      <w:r w:rsidRPr="006B42D6">
        <w:t xml:space="preserve">.15 &amp; </w:t>
      </w:r>
      <w:r w:rsidR="00F83A4C" w:rsidRPr="006B42D6">
        <w:t>6</w:t>
      </w:r>
      <w:r w:rsidRPr="006B42D6">
        <w:t>.16).</w:t>
      </w:r>
    </w:p>
    <w:p w14:paraId="609BA7F7" w14:textId="77777777" w:rsidR="008A1E55" w:rsidRPr="006B42D6" w:rsidRDefault="008A1E55" w:rsidP="008A1E55">
      <w:pPr>
        <w:sectPr w:rsidR="008A1E55" w:rsidRPr="006B42D6" w:rsidSect="00DD3FC5">
          <w:pgSz w:w="11900" w:h="16840" w:code="9"/>
          <w:pgMar w:top="1440" w:right="1440" w:bottom="1440" w:left="1440" w:header="709" w:footer="709" w:gutter="0"/>
          <w:cols w:space="708"/>
          <w:docGrid w:linePitch="360"/>
        </w:sectPr>
      </w:pPr>
    </w:p>
    <w:p w14:paraId="4E879FDF" w14:textId="0189C67B" w:rsidR="008A1E55" w:rsidRPr="006B42D6" w:rsidRDefault="008A1E55" w:rsidP="007200F6">
      <w:pPr>
        <w:pStyle w:val="Heading7"/>
      </w:pPr>
      <w:bookmarkStart w:id="879" w:name="_Toc82386251"/>
      <w:r w:rsidRPr="006B42D6">
        <w:lastRenderedPageBreak/>
        <w:t xml:space="preserve">Table </w:t>
      </w:r>
      <w:r w:rsidR="00F83A4C" w:rsidRPr="006B42D6">
        <w:t>6</w:t>
      </w:r>
      <w:r w:rsidRPr="006B42D6">
        <w:t>.16</w:t>
      </w:r>
      <w:r w:rsidR="0024189E">
        <w:t>:</w:t>
      </w:r>
      <w:r w:rsidR="00AC6872">
        <w:tab/>
      </w:r>
      <w:r w:rsidRPr="006B42D6">
        <w:t>Percentage Distribution of Agricultural Households Reported Main Source of Drinking Water in Dry Season by Region During 2019/20 Agricultural Year, Tanzania</w:t>
      </w:r>
      <w:bookmarkEnd w:id="879"/>
      <w:r w:rsidRPr="006B42D6">
        <w:t xml:space="preserve"> </w:t>
      </w:r>
    </w:p>
    <w:tbl>
      <w:tblPr>
        <w:tblW w:w="5000" w:type="pct"/>
        <w:tblLook w:val="04A0" w:firstRow="1" w:lastRow="0" w:firstColumn="1" w:lastColumn="0" w:noHBand="0" w:noVBand="1"/>
      </w:tblPr>
      <w:tblGrid>
        <w:gridCol w:w="1851"/>
        <w:gridCol w:w="856"/>
        <w:gridCol w:w="972"/>
        <w:gridCol w:w="1134"/>
        <w:gridCol w:w="1029"/>
        <w:gridCol w:w="1058"/>
        <w:gridCol w:w="1256"/>
        <w:gridCol w:w="1052"/>
        <w:gridCol w:w="998"/>
        <w:gridCol w:w="814"/>
        <w:gridCol w:w="814"/>
        <w:gridCol w:w="814"/>
        <w:gridCol w:w="893"/>
        <w:gridCol w:w="635"/>
      </w:tblGrid>
      <w:tr w:rsidR="006B42D6" w:rsidRPr="006B42D6" w14:paraId="32218120" w14:textId="77777777" w:rsidTr="0024189E">
        <w:trPr>
          <w:trHeight w:val="759"/>
        </w:trPr>
        <w:tc>
          <w:tcPr>
            <w:tcW w:w="653" w:type="pct"/>
            <w:tcBorders>
              <w:top w:val="single" w:sz="4" w:space="0" w:color="auto"/>
              <w:left w:val="nil"/>
              <w:bottom w:val="single" w:sz="4" w:space="0" w:color="auto"/>
              <w:right w:val="nil"/>
            </w:tcBorders>
            <w:shd w:val="clear" w:color="auto" w:fill="E2EFD9" w:themeFill="accent6" w:themeFillTint="33"/>
            <w:noWrap/>
            <w:vAlign w:val="center"/>
            <w:hideMark/>
          </w:tcPr>
          <w:p w14:paraId="440D127E" w14:textId="77777777" w:rsidR="008A1E55" w:rsidRPr="009514C8" w:rsidRDefault="008A1E55" w:rsidP="00E16CAE">
            <w:pPr>
              <w:rPr>
                <w:sz w:val="15"/>
                <w:szCs w:val="15"/>
              </w:rPr>
            </w:pPr>
            <w:r w:rsidRPr="009514C8">
              <w:rPr>
                <w:sz w:val="15"/>
                <w:szCs w:val="15"/>
              </w:rPr>
              <w:t>Region</w:t>
            </w:r>
          </w:p>
        </w:tc>
        <w:tc>
          <w:tcPr>
            <w:tcW w:w="302" w:type="pct"/>
            <w:tcBorders>
              <w:top w:val="single" w:sz="4" w:space="0" w:color="auto"/>
              <w:left w:val="nil"/>
              <w:bottom w:val="single" w:sz="4" w:space="0" w:color="auto"/>
              <w:right w:val="nil"/>
            </w:tcBorders>
            <w:shd w:val="clear" w:color="auto" w:fill="E2EFD9" w:themeFill="accent6" w:themeFillTint="33"/>
            <w:vAlign w:val="center"/>
            <w:hideMark/>
          </w:tcPr>
          <w:p w14:paraId="448B3581" w14:textId="77777777" w:rsidR="008A1E55" w:rsidRPr="009514C8" w:rsidRDefault="008A1E55" w:rsidP="00E16CAE">
            <w:pPr>
              <w:rPr>
                <w:sz w:val="15"/>
                <w:szCs w:val="15"/>
              </w:rPr>
            </w:pPr>
            <w:r w:rsidRPr="009514C8">
              <w:rPr>
                <w:sz w:val="15"/>
                <w:szCs w:val="15"/>
              </w:rPr>
              <w:t xml:space="preserve">Piped </w:t>
            </w:r>
          </w:p>
          <w:p w14:paraId="2B906583" w14:textId="77777777" w:rsidR="008A1E55" w:rsidRPr="009514C8" w:rsidRDefault="008A1E55" w:rsidP="00E16CAE">
            <w:pPr>
              <w:rPr>
                <w:sz w:val="15"/>
                <w:szCs w:val="15"/>
              </w:rPr>
            </w:pPr>
            <w:r w:rsidRPr="009514C8">
              <w:rPr>
                <w:sz w:val="15"/>
                <w:szCs w:val="15"/>
              </w:rPr>
              <w:t>water</w:t>
            </w:r>
          </w:p>
        </w:tc>
        <w:tc>
          <w:tcPr>
            <w:tcW w:w="343" w:type="pct"/>
            <w:tcBorders>
              <w:top w:val="single" w:sz="4" w:space="0" w:color="auto"/>
              <w:left w:val="nil"/>
              <w:bottom w:val="single" w:sz="4" w:space="0" w:color="auto"/>
              <w:right w:val="nil"/>
            </w:tcBorders>
            <w:shd w:val="clear" w:color="auto" w:fill="E2EFD9" w:themeFill="accent6" w:themeFillTint="33"/>
            <w:vAlign w:val="center"/>
            <w:hideMark/>
          </w:tcPr>
          <w:p w14:paraId="5D932FA6" w14:textId="77777777" w:rsidR="008A1E55" w:rsidRPr="009514C8" w:rsidRDefault="008A1E55" w:rsidP="00E16CAE">
            <w:pPr>
              <w:rPr>
                <w:sz w:val="15"/>
                <w:szCs w:val="15"/>
              </w:rPr>
            </w:pPr>
            <w:r w:rsidRPr="009514C8">
              <w:rPr>
                <w:sz w:val="15"/>
                <w:szCs w:val="15"/>
              </w:rPr>
              <w:t>Protected well</w:t>
            </w:r>
          </w:p>
        </w:tc>
        <w:tc>
          <w:tcPr>
            <w:tcW w:w="400" w:type="pct"/>
            <w:tcBorders>
              <w:top w:val="single" w:sz="4" w:space="0" w:color="auto"/>
              <w:left w:val="nil"/>
              <w:bottom w:val="single" w:sz="4" w:space="0" w:color="auto"/>
              <w:right w:val="nil"/>
            </w:tcBorders>
            <w:shd w:val="clear" w:color="auto" w:fill="E2EFD9" w:themeFill="accent6" w:themeFillTint="33"/>
            <w:vAlign w:val="center"/>
            <w:hideMark/>
          </w:tcPr>
          <w:p w14:paraId="7297E412" w14:textId="77777777" w:rsidR="008A1E55" w:rsidRPr="009514C8" w:rsidRDefault="008A1E55" w:rsidP="00E16CAE">
            <w:pPr>
              <w:rPr>
                <w:sz w:val="15"/>
                <w:szCs w:val="15"/>
              </w:rPr>
            </w:pPr>
            <w:r w:rsidRPr="009514C8">
              <w:rPr>
                <w:sz w:val="15"/>
                <w:szCs w:val="15"/>
              </w:rPr>
              <w:t>Protected/</w:t>
            </w:r>
          </w:p>
          <w:p w14:paraId="48156E8A" w14:textId="77777777" w:rsidR="008A1E55" w:rsidRPr="009514C8" w:rsidRDefault="008A1E55" w:rsidP="00E16CAE">
            <w:pPr>
              <w:rPr>
                <w:sz w:val="15"/>
                <w:szCs w:val="15"/>
              </w:rPr>
            </w:pPr>
            <w:r w:rsidRPr="009514C8">
              <w:rPr>
                <w:sz w:val="15"/>
                <w:szCs w:val="15"/>
              </w:rPr>
              <w:t>covered spring</w:t>
            </w:r>
          </w:p>
        </w:tc>
        <w:tc>
          <w:tcPr>
            <w:tcW w:w="363" w:type="pct"/>
            <w:tcBorders>
              <w:top w:val="single" w:sz="4" w:space="0" w:color="auto"/>
              <w:left w:val="nil"/>
              <w:bottom w:val="single" w:sz="4" w:space="0" w:color="auto"/>
              <w:right w:val="nil"/>
            </w:tcBorders>
            <w:shd w:val="clear" w:color="auto" w:fill="E2EFD9" w:themeFill="accent6" w:themeFillTint="33"/>
            <w:vAlign w:val="center"/>
            <w:hideMark/>
          </w:tcPr>
          <w:p w14:paraId="793E8277" w14:textId="77777777" w:rsidR="008A1E55" w:rsidRPr="009514C8" w:rsidRDefault="008A1E55" w:rsidP="00E16CAE">
            <w:pPr>
              <w:rPr>
                <w:sz w:val="15"/>
                <w:szCs w:val="15"/>
              </w:rPr>
            </w:pPr>
            <w:r w:rsidRPr="009514C8">
              <w:rPr>
                <w:sz w:val="15"/>
                <w:szCs w:val="15"/>
              </w:rPr>
              <w:t>Unprotected Well</w:t>
            </w:r>
          </w:p>
        </w:tc>
        <w:tc>
          <w:tcPr>
            <w:tcW w:w="373" w:type="pct"/>
            <w:tcBorders>
              <w:top w:val="single" w:sz="4" w:space="0" w:color="auto"/>
              <w:left w:val="nil"/>
              <w:bottom w:val="single" w:sz="4" w:space="0" w:color="auto"/>
              <w:right w:val="nil"/>
            </w:tcBorders>
            <w:shd w:val="clear" w:color="auto" w:fill="E2EFD9" w:themeFill="accent6" w:themeFillTint="33"/>
            <w:vAlign w:val="center"/>
            <w:hideMark/>
          </w:tcPr>
          <w:p w14:paraId="6E20035E" w14:textId="77777777" w:rsidR="008A1E55" w:rsidRPr="009514C8" w:rsidRDefault="008A1E55" w:rsidP="00E16CAE">
            <w:pPr>
              <w:rPr>
                <w:sz w:val="15"/>
                <w:szCs w:val="15"/>
              </w:rPr>
            </w:pPr>
            <w:r w:rsidRPr="009514C8">
              <w:rPr>
                <w:sz w:val="15"/>
                <w:szCs w:val="15"/>
              </w:rPr>
              <w:t>Unprotected spring</w:t>
            </w:r>
          </w:p>
        </w:tc>
        <w:tc>
          <w:tcPr>
            <w:tcW w:w="443" w:type="pct"/>
            <w:tcBorders>
              <w:top w:val="single" w:sz="4" w:space="0" w:color="auto"/>
              <w:left w:val="nil"/>
              <w:bottom w:val="single" w:sz="4" w:space="0" w:color="auto"/>
              <w:right w:val="nil"/>
            </w:tcBorders>
            <w:shd w:val="clear" w:color="auto" w:fill="E2EFD9" w:themeFill="accent6" w:themeFillTint="33"/>
            <w:vAlign w:val="center"/>
            <w:hideMark/>
          </w:tcPr>
          <w:p w14:paraId="5D2E1BF7" w14:textId="77777777" w:rsidR="008A1E55" w:rsidRPr="009514C8" w:rsidRDefault="008A1E55" w:rsidP="00E16CAE">
            <w:pPr>
              <w:rPr>
                <w:sz w:val="15"/>
                <w:szCs w:val="15"/>
              </w:rPr>
            </w:pPr>
            <w:r w:rsidRPr="009514C8">
              <w:rPr>
                <w:sz w:val="15"/>
                <w:szCs w:val="15"/>
              </w:rPr>
              <w:t>Surface water (lake/dam/</w:t>
            </w:r>
          </w:p>
          <w:p w14:paraId="4CF3C572" w14:textId="77777777" w:rsidR="008A1E55" w:rsidRPr="009514C8" w:rsidRDefault="008A1E55" w:rsidP="00E16CAE">
            <w:pPr>
              <w:rPr>
                <w:sz w:val="15"/>
                <w:szCs w:val="15"/>
              </w:rPr>
            </w:pPr>
            <w:r w:rsidRPr="009514C8">
              <w:rPr>
                <w:sz w:val="15"/>
                <w:szCs w:val="15"/>
              </w:rPr>
              <w:t>river/stream)</w:t>
            </w:r>
          </w:p>
        </w:tc>
        <w:tc>
          <w:tcPr>
            <w:tcW w:w="371" w:type="pct"/>
            <w:tcBorders>
              <w:top w:val="single" w:sz="4" w:space="0" w:color="auto"/>
              <w:left w:val="nil"/>
              <w:bottom w:val="single" w:sz="4" w:space="0" w:color="auto"/>
              <w:right w:val="nil"/>
            </w:tcBorders>
            <w:shd w:val="clear" w:color="auto" w:fill="E2EFD9" w:themeFill="accent6" w:themeFillTint="33"/>
            <w:vAlign w:val="center"/>
            <w:hideMark/>
          </w:tcPr>
          <w:p w14:paraId="3EEA83C6" w14:textId="77777777" w:rsidR="008A1E55" w:rsidRPr="009514C8" w:rsidRDefault="008A1E55" w:rsidP="00E16CAE">
            <w:pPr>
              <w:rPr>
                <w:sz w:val="15"/>
                <w:szCs w:val="15"/>
              </w:rPr>
            </w:pPr>
            <w:r w:rsidRPr="009514C8">
              <w:rPr>
                <w:sz w:val="15"/>
                <w:szCs w:val="15"/>
              </w:rPr>
              <w:t>Covered rainwater catchment</w:t>
            </w:r>
          </w:p>
        </w:tc>
        <w:tc>
          <w:tcPr>
            <w:tcW w:w="352" w:type="pct"/>
            <w:tcBorders>
              <w:top w:val="single" w:sz="4" w:space="0" w:color="auto"/>
              <w:left w:val="nil"/>
              <w:bottom w:val="single" w:sz="4" w:space="0" w:color="auto"/>
              <w:right w:val="nil"/>
            </w:tcBorders>
            <w:shd w:val="clear" w:color="auto" w:fill="E2EFD9" w:themeFill="accent6" w:themeFillTint="33"/>
            <w:vAlign w:val="center"/>
            <w:hideMark/>
          </w:tcPr>
          <w:p w14:paraId="45CE2935" w14:textId="77777777" w:rsidR="008A1E55" w:rsidRPr="009514C8" w:rsidRDefault="008A1E55" w:rsidP="00E16CAE">
            <w:pPr>
              <w:rPr>
                <w:sz w:val="15"/>
                <w:szCs w:val="15"/>
              </w:rPr>
            </w:pPr>
            <w:r w:rsidRPr="009514C8">
              <w:rPr>
                <w:sz w:val="15"/>
                <w:szCs w:val="15"/>
              </w:rPr>
              <w:t>Uncovered rainwater catchment</w:t>
            </w:r>
          </w:p>
        </w:tc>
        <w:tc>
          <w:tcPr>
            <w:tcW w:w="287" w:type="pct"/>
            <w:tcBorders>
              <w:top w:val="single" w:sz="4" w:space="0" w:color="auto"/>
              <w:left w:val="nil"/>
              <w:bottom w:val="single" w:sz="4" w:space="0" w:color="auto"/>
              <w:right w:val="nil"/>
            </w:tcBorders>
            <w:shd w:val="clear" w:color="auto" w:fill="E2EFD9" w:themeFill="accent6" w:themeFillTint="33"/>
            <w:vAlign w:val="center"/>
            <w:hideMark/>
          </w:tcPr>
          <w:p w14:paraId="110FADC6" w14:textId="77777777" w:rsidR="008A1E55" w:rsidRPr="009514C8" w:rsidRDefault="008A1E55" w:rsidP="00E16CAE">
            <w:pPr>
              <w:rPr>
                <w:sz w:val="15"/>
                <w:szCs w:val="15"/>
              </w:rPr>
            </w:pPr>
            <w:r w:rsidRPr="009514C8">
              <w:rPr>
                <w:sz w:val="15"/>
                <w:szCs w:val="15"/>
              </w:rPr>
              <w:t>Water Vendor</w:t>
            </w:r>
          </w:p>
        </w:tc>
        <w:tc>
          <w:tcPr>
            <w:tcW w:w="287" w:type="pct"/>
            <w:tcBorders>
              <w:top w:val="single" w:sz="4" w:space="0" w:color="auto"/>
              <w:left w:val="nil"/>
              <w:bottom w:val="single" w:sz="4" w:space="0" w:color="auto"/>
              <w:right w:val="nil"/>
            </w:tcBorders>
            <w:shd w:val="clear" w:color="auto" w:fill="E2EFD9" w:themeFill="accent6" w:themeFillTint="33"/>
            <w:vAlign w:val="center"/>
            <w:hideMark/>
          </w:tcPr>
          <w:p w14:paraId="218A3E67" w14:textId="77777777" w:rsidR="008A1E55" w:rsidRPr="009514C8" w:rsidRDefault="008A1E55" w:rsidP="00E16CAE">
            <w:pPr>
              <w:rPr>
                <w:sz w:val="15"/>
                <w:szCs w:val="15"/>
              </w:rPr>
            </w:pPr>
            <w:r w:rsidRPr="009514C8">
              <w:rPr>
                <w:sz w:val="15"/>
                <w:szCs w:val="15"/>
              </w:rPr>
              <w:t>Tanker truck</w:t>
            </w:r>
          </w:p>
        </w:tc>
        <w:tc>
          <w:tcPr>
            <w:tcW w:w="287" w:type="pct"/>
            <w:tcBorders>
              <w:top w:val="single" w:sz="4" w:space="0" w:color="auto"/>
              <w:left w:val="nil"/>
              <w:bottom w:val="single" w:sz="4" w:space="0" w:color="auto"/>
              <w:right w:val="nil"/>
            </w:tcBorders>
            <w:shd w:val="clear" w:color="auto" w:fill="E2EFD9" w:themeFill="accent6" w:themeFillTint="33"/>
            <w:vAlign w:val="center"/>
            <w:hideMark/>
          </w:tcPr>
          <w:p w14:paraId="4F88B51B" w14:textId="77777777" w:rsidR="008A1E55" w:rsidRPr="009514C8" w:rsidRDefault="008A1E55" w:rsidP="00E16CAE">
            <w:pPr>
              <w:rPr>
                <w:sz w:val="15"/>
                <w:szCs w:val="15"/>
              </w:rPr>
            </w:pPr>
            <w:r w:rsidRPr="009514C8">
              <w:rPr>
                <w:sz w:val="15"/>
                <w:szCs w:val="15"/>
              </w:rPr>
              <w:t>Bottled water</w:t>
            </w:r>
          </w:p>
        </w:tc>
        <w:tc>
          <w:tcPr>
            <w:tcW w:w="315" w:type="pct"/>
            <w:tcBorders>
              <w:top w:val="single" w:sz="4" w:space="0" w:color="auto"/>
              <w:left w:val="nil"/>
              <w:bottom w:val="single" w:sz="4" w:space="0" w:color="auto"/>
              <w:right w:val="nil"/>
            </w:tcBorders>
            <w:shd w:val="clear" w:color="auto" w:fill="E2EFD9" w:themeFill="accent6" w:themeFillTint="33"/>
            <w:vAlign w:val="center"/>
            <w:hideMark/>
          </w:tcPr>
          <w:p w14:paraId="4A98B5C8" w14:textId="77777777" w:rsidR="008A1E55" w:rsidRPr="009514C8" w:rsidRDefault="008A1E55" w:rsidP="00E16CAE">
            <w:pPr>
              <w:rPr>
                <w:sz w:val="15"/>
                <w:szCs w:val="15"/>
              </w:rPr>
            </w:pPr>
            <w:r w:rsidRPr="009514C8">
              <w:rPr>
                <w:sz w:val="15"/>
                <w:szCs w:val="15"/>
              </w:rPr>
              <w:t>Borehole</w:t>
            </w:r>
          </w:p>
        </w:tc>
        <w:tc>
          <w:tcPr>
            <w:tcW w:w="226" w:type="pct"/>
            <w:tcBorders>
              <w:top w:val="single" w:sz="4" w:space="0" w:color="auto"/>
              <w:left w:val="nil"/>
              <w:bottom w:val="single" w:sz="4" w:space="0" w:color="auto"/>
              <w:right w:val="nil"/>
            </w:tcBorders>
            <w:shd w:val="clear" w:color="auto" w:fill="E2EFD9" w:themeFill="accent6" w:themeFillTint="33"/>
            <w:vAlign w:val="center"/>
            <w:hideMark/>
          </w:tcPr>
          <w:p w14:paraId="5F82A5DA" w14:textId="77777777" w:rsidR="008A1E55" w:rsidRPr="009514C8" w:rsidRDefault="008A1E55" w:rsidP="00E16CAE">
            <w:pPr>
              <w:rPr>
                <w:sz w:val="15"/>
                <w:szCs w:val="15"/>
              </w:rPr>
            </w:pPr>
            <w:r w:rsidRPr="009514C8">
              <w:rPr>
                <w:sz w:val="15"/>
                <w:szCs w:val="15"/>
              </w:rPr>
              <w:t xml:space="preserve">Other </w:t>
            </w:r>
          </w:p>
        </w:tc>
      </w:tr>
      <w:tr w:rsidR="006B42D6" w:rsidRPr="006B42D6" w14:paraId="4C0C16B6" w14:textId="77777777" w:rsidTr="0024189E">
        <w:trPr>
          <w:trHeight w:hRule="exact" w:val="198"/>
        </w:trPr>
        <w:tc>
          <w:tcPr>
            <w:tcW w:w="653" w:type="pct"/>
            <w:tcBorders>
              <w:top w:val="nil"/>
              <w:left w:val="nil"/>
              <w:bottom w:val="nil"/>
              <w:right w:val="nil"/>
            </w:tcBorders>
            <w:shd w:val="clear" w:color="auto" w:fill="auto"/>
            <w:noWrap/>
            <w:vAlign w:val="center"/>
            <w:hideMark/>
          </w:tcPr>
          <w:p w14:paraId="4A6375CD" w14:textId="77777777" w:rsidR="008A1E55" w:rsidRPr="006B42D6" w:rsidRDefault="008A1E55" w:rsidP="00E16CAE">
            <w:pPr>
              <w:rPr>
                <w:sz w:val="16"/>
                <w:szCs w:val="16"/>
              </w:rPr>
            </w:pPr>
            <w:r w:rsidRPr="006B42D6">
              <w:rPr>
                <w:sz w:val="16"/>
                <w:szCs w:val="16"/>
              </w:rPr>
              <w:t>Dodoma</w:t>
            </w:r>
          </w:p>
        </w:tc>
        <w:tc>
          <w:tcPr>
            <w:tcW w:w="302" w:type="pct"/>
            <w:tcBorders>
              <w:top w:val="nil"/>
              <w:left w:val="nil"/>
              <w:bottom w:val="nil"/>
              <w:right w:val="nil"/>
            </w:tcBorders>
            <w:shd w:val="clear" w:color="auto" w:fill="auto"/>
            <w:noWrap/>
            <w:vAlign w:val="center"/>
            <w:hideMark/>
          </w:tcPr>
          <w:p w14:paraId="64AB16C2" w14:textId="77777777" w:rsidR="008A1E55" w:rsidRPr="006B42D6" w:rsidRDefault="008A1E55" w:rsidP="00E16CAE">
            <w:pPr>
              <w:jc w:val="right"/>
              <w:rPr>
                <w:sz w:val="16"/>
                <w:szCs w:val="16"/>
              </w:rPr>
            </w:pPr>
            <w:r w:rsidRPr="006B42D6">
              <w:rPr>
                <w:sz w:val="16"/>
                <w:szCs w:val="16"/>
              </w:rPr>
              <w:t>6.5</w:t>
            </w:r>
          </w:p>
        </w:tc>
        <w:tc>
          <w:tcPr>
            <w:tcW w:w="343" w:type="pct"/>
            <w:tcBorders>
              <w:top w:val="nil"/>
              <w:left w:val="nil"/>
              <w:bottom w:val="nil"/>
              <w:right w:val="nil"/>
            </w:tcBorders>
            <w:shd w:val="clear" w:color="auto" w:fill="auto"/>
            <w:noWrap/>
            <w:vAlign w:val="center"/>
            <w:hideMark/>
          </w:tcPr>
          <w:p w14:paraId="1294EFCA" w14:textId="77777777" w:rsidR="008A1E55" w:rsidRPr="006B42D6" w:rsidRDefault="008A1E55" w:rsidP="00E16CAE">
            <w:pPr>
              <w:jc w:val="right"/>
              <w:rPr>
                <w:sz w:val="16"/>
                <w:szCs w:val="16"/>
              </w:rPr>
            </w:pPr>
            <w:r w:rsidRPr="006B42D6">
              <w:rPr>
                <w:sz w:val="16"/>
                <w:szCs w:val="16"/>
              </w:rPr>
              <w:t>3.2</w:t>
            </w:r>
          </w:p>
        </w:tc>
        <w:tc>
          <w:tcPr>
            <w:tcW w:w="400" w:type="pct"/>
            <w:tcBorders>
              <w:top w:val="nil"/>
              <w:left w:val="nil"/>
              <w:bottom w:val="nil"/>
              <w:right w:val="nil"/>
            </w:tcBorders>
            <w:shd w:val="clear" w:color="auto" w:fill="auto"/>
            <w:noWrap/>
            <w:vAlign w:val="center"/>
            <w:hideMark/>
          </w:tcPr>
          <w:p w14:paraId="76BFCDA7" w14:textId="77777777" w:rsidR="008A1E55" w:rsidRPr="006B42D6" w:rsidRDefault="008A1E55" w:rsidP="00E16CAE">
            <w:pPr>
              <w:jc w:val="right"/>
              <w:rPr>
                <w:sz w:val="16"/>
                <w:szCs w:val="16"/>
              </w:rPr>
            </w:pPr>
            <w:r w:rsidRPr="006B42D6">
              <w:rPr>
                <w:sz w:val="16"/>
                <w:szCs w:val="16"/>
              </w:rPr>
              <w:t>9.7</w:t>
            </w:r>
          </w:p>
        </w:tc>
        <w:tc>
          <w:tcPr>
            <w:tcW w:w="363" w:type="pct"/>
            <w:tcBorders>
              <w:top w:val="nil"/>
              <w:left w:val="nil"/>
              <w:bottom w:val="nil"/>
              <w:right w:val="nil"/>
            </w:tcBorders>
            <w:shd w:val="clear" w:color="auto" w:fill="auto"/>
            <w:noWrap/>
            <w:vAlign w:val="center"/>
            <w:hideMark/>
          </w:tcPr>
          <w:p w14:paraId="3741857E" w14:textId="77777777" w:rsidR="008A1E55" w:rsidRPr="006B42D6" w:rsidRDefault="008A1E55" w:rsidP="00E16CAE">
            <w:pPr>
              <w:jc w:val="right"/>
              <w:rPr>
                <w:sz w:val="16"/>
                <w:szCs w:val="16"/>
              </w:rPr>
            </w:pPr>
            <w:r w:rsidRPr="006B42D6">
              <w:rPr>
                <w:sz w:val="16"/>
                <w:szCs w:val="16"/>
              </w:rPr>
              <w:t>10.4</w:t>
            </w:r>
          </w:p>
        </w:tc>
        <w:tc>
          <w:tcPr>
            <w:tcW w:w="373" w:type="pct"/>
            <w:tcBorders>
              <w:top w:val="nil"/>
              <w:left w:val="nil"/>
              <w:bottom w:val="nil"/>
              <w:right w:val="nil"/>
            </w:tcBorders>
            <w:shd w:val="clear" w:color="auto" w:fill="auto"/>
            <w:noWrap/>
            <w:vAlign w:val="center"/>
            <w:hideMark/>
          </w:tcPr>
          <w:p w14:paraId="67AAF622" w14:textId="77777777" w:rsidR="008A1E55" w:rsidRPr="006B42D6" w:rsidRDefault="008A1E55" w:rsidP="00E16CAE">
            <w:pPr>
              <w:jc w:val="right"/>
              <w:rPr>
                <w:sz w:val="16"/>
                <w:szCs w:val="16"/>
              </w:rPr>
            </w:pPr>
            <w:r w:rsidRPr="006B42D6">
              <w:rPr>
                <w:sz w:val="16"/>
                <w:szCs w:val="16"/>
              </w:rPr>
              <w:t>5.6</w:t>
            </w:r>
          </w:p>
        </w:tc>
        <w:tc>
          <w:tcPr>
            <w:tcW w:w="443" w:type="pct"/>
            <w:tcBorders>
              <w:top w:val="nil"/>
              <w:left w:val="nil"/>
              <w:bottom w:val="nil"/>
              <w:right w:val="nil"/>
            </w:tcBorders>
            <w:shd w:val="clear" w:color="auto" w:fill="auto"/>
            <w:noWrap/>
            <w:vAlign w:val="center"/>
            <w:hideMark/>
          </w:tcPr>
          <w:p w14:paraId="24B15B82" w14:textId="77777777" w:rsidR="008A1E55" w:rsidRPr="006B42D6" w:rsidRDefault="008A1E55" w:rsidP="00E16CAE">
            <w:pPr>
              <w:jc w:val="right"/>
              <w:rPr>
                <w:sz w:val="16"/>
                <w:szCs w:val="16"/>
              </w:rPr>
            </w:pPr>
            <w:r w:rsidRPr="006B42D6">
              <w:rPr>
                <w:sz w:val="16"/>
                <w:szCs w:val="16"/>
              </w:rPr>
              <w:t>5.9</w:t>
            </w:r>
          </w:p>
        </w:tc>
        <w:tc>
          <w:tcPr>
            <w:tcW w:w="371" w:type="pct"/>
            <w:tcBorders>
              <w:top w:val="nil"/>
              <w:left w:val="nil"/>
              <w:bottom w:val="nil"/>
              <w:right w:val="nil"/>
            </w:tcBorders>
            <w:shd w:val="clear" w:color="auto" w:fill="auto"/>
            <w:noWrap/>
            <w:vAlign w:val="center"/>
            <w:hideMark/>
          </w:tcPr>
          <w:p w14:paraId="431045F2" w14:textId="77777777" w:rsidR="008A1E55" w:rsidRPr="006B42D6" w:rsidRDefault="008A1E55" w:rsidP="00E16CAE">
            <w:pPr>
              <w:jc w:val="right"/>
              <w:rPr>
                <w:sz w:val="16"/>
                <w:szCs w:val="16"/>
              </w:rPr>
            </w:pPr>
            <w:r w:rsidRPr="006B42D6">
              <w:rPr>
                <w:sz w:val="16"/>
                <w:szCs w:val="16"/>
              </w:rPr>
              <w:t>1.2</w:t>
            </w:r>
          </w:p>
        </w:tc>
        <w:tc>
          <w:tcPr>
            <w:tcW w:w="352" w:type="pct"/>
            <w:tcBorders>
              <w:top w:val="nil"/>
              <w:left w:val="nil"/>
              <w:bottom w:val="nil"/>
              <w:right w:val="nil"/>
            </w:tcBorders>
            <w:shd w:val="clear" w:color="auto" w:fill="auto"/>
            <w:noWrap/>
            <w:vAlign w:val="center"/>
            <w:hideMark/>
          </w:tcPr>
          <w:p w14:paraId="625825D6" w14:textId="77777777" w:rsidR="008A1E55" w:rsidRPr="006B42D6" w:rsidRDefault="008A1E55" w:rsidP="00E16CAE">
            <w:pPr>
              <w:jc w:val="right"/>
              <w:rPr>
                <w:sz w:val="16"/>
                <w:szCs w:val="16"/>
              </w:rPr>
            </w:pPr>
            <w:r w:rsidRPr="006B42D6">
              <w:rPr>
                <w:sz w:val="16"/>
                <w:szCs w:val="16"/>
              </w:rPr>
              <w:t>10.1</w:t>
            </w:r>
          </w:p>
        </w:tc>
        <w:tc>
          <w:tcPr>
            <w:tcW w:w="287" w:type="pct"/>
            <w:tcBorders>
              <w:top w:val="nil"/>
              <w:left w:val="nil"/>
              <w:bottom w:val="nil"/>
              <w:right w:val="nil"/>
            </w:tcBorders>
            <w:shd w:val="clear" w:color="auto" w:fill="auto"/>
            <w:noWrap/>
            <w:vAlign w:val="center"/>
            <w:hideMark/>
          </w:tcPr>
          <w:p w14:paraId="6AB0632C" w14:textId="77777777" w:rsidR="008A1E55" w:rsidRPr="006B42D6" w:rsidRDefault="008A1E55" w:rsidP="00E16CAE">
            <w:pPr>
              <w:jc w:val="right"/>
              <w:rPr>
                <w:sz w:val="16"/>
                <w:szCs w:val="16"/>
              </w:rPr>
            </w:pPr>
            <w:r w:rsidRPr="006B42D6">
              <w:rPr>
                <w:sz w:val="16"/>
                <w:szCs w:val="16"/>
              </w:rPr>
              <w:t>6.3</w:t>
            </w:r>
          </w:p>
        </w:tc>
        <w:tc>
          <w:tcPr>
            <w:tcW w:w="287" w:type="pct"/>
            <w:tcBorders>
              <w:top w:val="nil"/>
              <w:left w:val="nil"/>
              <w:bottom w:val="nil"/>
              <w:right w:val="nil"/>
            </w:tcBorders>
            <w:shd w:val="clear" w:color="auto" w:fill="auto"/>
            <w:noWrap/>
            <w:vAlign w:val="center"/>
            <w:hideMark/>
          </w:tcPr>
          <w:p w14:paraId="0BD9866C" w14:textId="77777777" w:rsidR="008A1E55" w:rsidRPr="006B42D6" w:rsidRDefault="008A1E55" w:rsidP="00E16CAE">
            <w:pPr>
              <w:jc w:val="right"/>
              <w:rPr>
                <w:sz w:val="16"/>
                <w:szCs w:val="16"/>
              </w:rPr>
            </w:pPr>
            <w:r w:rsidRPr="006B42D6">
              <w:rPr>
                <w:sz w:val="16"/>
                <w:szCs w:val="16"/>
              </w:rPr>
              <w:t>-</w:t>
            </w:r>
          </w:p>
        </w:tc>
        <w:tc>
          <w:tcPr>
            <w:tcW w:w="287" w:type="pct"/>
            <w:tcBorders>
              <w:top w:val="nil"/>
              <w:left w:val="nil"/>
              <w:bottom w:val="nil"/>
              <w:right w:val="nil"/>
            </w:tcBorders>
            <w:shd w:val="clear" w:color="auto" w:fill="auto"/>
            <w:noWrap/>
            <w:vAlign w:val="center"/>
            <w:hideMark/>
          </w:tcPr>
          <w:p w14:paraId="3306A53E" w14:textId="77777777" w:rsidR="008A1E55" w:rsidRPr="006B42D6" w:rsidRDefault="008A1E55" w:rsidP="00E16CAE">
            <w:pPr>
              <w:jc w:val="right"/>
              <w:rPr>
                <w:sz w:val="16"/>
                <w:szCs w:val="16"/>
              </w:rPr>
            </w:pPr>
            <w:r w:rsidRPr="006B42D6">
              <w:rPr>
                <w:sz w:val="16"/>
                <w:szCs w:val="16"/>
              </w:rPr>
              <w:t>2.7</w:t>
            </w:r>
          </w:p>
        </w:tc>
        <w:tc>
          <w:tcPr>
            <w:tcW w:w="315" w:type="pct"/>
            <w:tcBorders>
              <w:top w:val="nil"/>
              <w:left w:val="nil"/>
              <w:bottom w:val="nil"/>
              <w:right w:val="nil"/>
            </w:tcBorders>
            <w:shd w:val="clear" w:color="auto" w:fill="auto"/>
            <w:noWrap/>
            <w:vAlign w:val="center"/>
            <w:hideMark/>
          </w:tcPr>
          <w:p w14:paraId="20FE045B" w14:textId="77777777" w:rsidR="008A1E55" w:rsidRPr="006B42D6" w:rsidRDefault="008A1E55" w:rsidP="00E16CAE">
            <w:pPr>
              <w:jc w:val="right"/>
              <w:rPr>
                <w:sz w:val="16"/>
                <w:szCs w:val="16"/>
              </w:rPr>
            </w:pPr>
            <w:r w:rsidRPr="006B42D6">
              <w:rPr>
                <w:sz w:val="16"/>
                <w:szCs w:val="16"/>
              </w:rPr>
              <w:t>9.1</w:t>
            </w:r>
          </w:p>
        </w:tc>
        <w:tc>
          <w:tcPr>
            <w:tcW w:w="226" w:type="pct"/>
            <w:tcBorders>
              <w:top w:val="nil"/>
              <w:left w:val="nil"/>
              <w:bottom w:val="nil"/>
              <w:right w:val="nil"/>
            </w:tcBorders>
            <w:shd w:val="clear" w:color="auto" w:fill="auto"/>
            <w:noWrap/>
            <w:vAlign w:val="center"/>
            <w:hideMark/>
          </w:tcPr>
          <w:p w14:paraId="4BF9DFD0" w14:textId="77777777" w:rsidR="008A1E55" w:rsidRPr="006B42D6" w:rsidRDefault="008A1E55" w:rsidP="00E16CAE">
            <w:pPr>
              <w:jc w:val="right"/>
              <w:rPr>
                <w:sz w:val="16"/>
                <w:szCs w:val="16"/>
              </w:rPr>
            </w:pPr>
            <w:r w:rsidRPr="006B42D6">
              <w:rPr>
                <w:sz w:val="16"/>
                <w:szCs w:val="16"/>
              </w:rPr>
              <w:t>8.4</w:t>
            </w:r>
          </w:p>
        </w:tc>
      </w:tr>
      <w:tr w:rsidR="006B42D6" w:rsidRPr="006B42D6" w14:paraId="6E3328C1" w14:textId="77777777" w:rsidTr="0024189E">
        <w:trPr>
          <w:trHeight w:hRule="exact" w:val="198"/>
        </w:trPr>
        <w:tc>
          <w:tcPr>
            <w:tcW w:w="653" w:type="pct"/>
            <w:tcBorders>
              <w:top w:val="nil"/>
              <w:left w:val="nil"/>
              <w:bottom w:val="nil"/>
              <w:right w:val="nil"/>
            </w:tcBorders>
            <w:shd w:val="clear" w:color="auto" w:fill="auto"/>
            <w:noWrap/>
            <w:vAlign w:val="center"/>
            <w:hideMark/>
          </w:tcPr>
          <w:p w14:paraId="06D03064" w14:textId="77777777" w:rsidR="008A1E55" w:rsidRPr="006B42D6" w:rsidRDefault="008A1E55" w:rsidP="00E16CAE">
            <w:pPr>
              <w:rPr>
                <w:sz w:val="16"/>
                <w:szCs w:val="16"/>
              </w:rPr>
            </w:pPr>
            <w:r w:rsidRPr="006B42D6">
              <w:rPr>
                <w:sz w:val="16"/>
                <w:szCs w:val="16"/>
              </w:rPr>
              <w:t>Arusha</w:t>
            </w:r>
          </w:p>
        </w:tc>
        <w:tc>
          <w:tcPr>
            <w:tcW w:w="302" w:type="pct"/>
            <w:tcBorders>
              <w:top w:val="nil"/>
              <w:left w:val="nil"/>
              <w:bottom w:val="nil"/>
              <w:right w:val="nil"/>
            </w:tcBorders>
            <w:shd w:val="clear" w:color="auto" w:fill="auto"/>
            <w:noWrap/>
            <w:vAlign w:val="center"/>
            <w:hideMark/>
          </w:tcPr>
          <w:p w14:paraId="7BDD31DC" w14:textId="77777777" w:rsidR="008A1E55" w:rsidRPr="006B42D6" w:rsidRDefault="008A1E55" w:rsidP="00E16CAE">
            <w:pPr>
              <w:jc w:val="right"/>
              <w:rPr>
                <w:sz w:val="16"/>
                <w:szCs w:val="16"/>
              </w:rPr>
            </w:pPr>
            <w:r w:rsidRPr="006B42D6">
              <w:rPr>
                <w:sz w:val="16"/>
                <w:szCs w:val="16"/>
              </w:rPr>
              <w:t>4.5</w:t>
            </w:r>
          </w:p>
        </w:tc>
        <w:tc>
          <w:tcPr>
            <w:tcW w:w="343" w:type="pct"/>
            <w:tcBorders>
              <w:top w:val="nil"/>
              <w:left w:val="nil"/>
              <w:bottom w:val="nil"/>
              <w:right w:val="nil"/>
            </w:tcBorders>
            <w:shd w:val="clear" w:color="auto" w:fill="auto"/>
            <w:noWrap/>
            <w:vAlign w:val="center"/>
            <w:hideMark/>
          </w:tcPr>
          <w:p w14:paraId="6FCEB456" w14:textId="77777777" w:rsidR="008A1E55" w:rsidRPr="006B42D6" w:rsidRDefault="008A1E55" w:rsidP="00E16CAE">
            <w:pPr>
              <w:jc w:val="right"/>
              <w:rPr>
                <w:sz w:val="16"/>
                <w:szCs w:val="16"/>
              </w:rPr>
            </w:pPr>
            <w:r w:rsidRPr="006B42D6">
              <w:rPr>
                <w:sz w:val="16"/>
                <w:szCs w:val="16"/>
              </w:rPr>
              <w:t>1.3</w:t>
            </w:r>
          </w:p>
        </w:tc>
        <w:tc>
          <w:tcPr>
            <w:tcW w:w="400" w:type="pct"/>
            <w:tcBorders>
              <w:top w:val="nil"/>
              <w:left w:val="nil"/>
              <w:bottom w:val="nil"/>
              <w:right w:val="nil"/>
            </w:tcBorders>
            <w:shd w:val="clear" w:color="auto" w:fill="auto"/>
            <w:noWrap/>
            <w:vAlign w:val="center"/>
            <w:hideMark/>
          </w:tcPr>
          <w:p w14:paraId="67E94B57" w14:textId="77777777" w:rsidR="008A1E55" w:rsidRPr="006B42D6" w:rsidRDefault="008A1E55" w:rsidP="00E16CAE">
            <w:pPr>
              <w:jc w:val="right"/>
              <w:rPr>
                <w:sz w:val="16"/>
                <w:szCs w:val="16"/>
              </w:rPr>
            </w:pPr>
            <w:r w:rsidRPr="006B42D6">
              <w:rPr>
                <w:sz w:val="16"/>
                <w:szCs w:val="16"/>
              </w:rPr>
              <w:t>2.4</w:t>
            </w:r>
          </w:p>
        </w:tc>
        <w:tc>
          <w:tcPr>
            <w:tcW w:w="363" w:type="pct"/>
            <w:tcBorders>
              <w:top w:val="nil"/>
              <w:left w:val="nil"/>
              <w:bottom w:val="nil"/>
              <w:right w:val="nil"/>
            </w:tcBorders>
            <w:shd w:val="clear" w:color="auto" w:fill="auto"/>
            <w:noWrap/>
            <w:vAlign w:val="center"/>
            <w:hideMark/>
          </w:tcPr>
          <w:p w14:paraId="7BFC2B6F" w14:textId="77777777" w:rsidR="008A1E55" w:rsidRPr="006B42D6" w:rsidRDefault="008A1E55" w:rsidP="00E16CAE">
            <w:pPr>
              <w:jc w:val="right"/>
              <w:rPr>
                <w:sz w:val="16"/>
                <w:szCs w:val="16"/>
              </w:rPr>
            </w:pPr>
            <w:r w:rsidRPr="006B42D6">
              <w:rPr>
                <w:sz w:val="16"/>
                <w:szCs w:val="16"/>
              </w:rPr>
              <w:t>0.1</w:t>
            </w:r>
          </w:p>
        </w:tc>
        <w:tc>
          <w:tcPr>
            <w:tcW w:w="373" w:type="pct"/>
            <w:tcBorders>
              <w:top w:val="nil"/>
              <w:left w:val="nil"/>
              <w:bottom w:val="nil"/>
              <w:right w:val="nil"/>
            </w:tcBorders>
            <w:shd w:val="clear" w:color="auto" w:fill="auto"/>
            <w:noWrap/>
            <w:vAlign w:val="center"/>
            <w:hideMark/>
          </w:tcPr>
          <w:p w14:paraId="141B3192" w14:textId="77777777" w:rsidR="008A1E55" w:rsidRPr="006B42D6" w:rsidRDefault="008A1E55" w:rsidP="00E16CAE">
            <w:pPr>
              <w:jc w:val="right"/>
              <w:rPr>
                <w:sz w:val="16"/>
                <w:szCs w:val="16"/>
              </w:rPr>
            </w:pPr>
            <w:r w:rsidRPr="006B42D6">
              <w:rPr>
                <w:sz w:val="16"/>
                <w:szCs w:val="16"/>
              </w:rPr>
              <w:t>1.6</w:t>
            </w:r>
          </w:p>
        </w:tc>
        <w:tc>
          <w:tcPr>
            <w:tcW w:w="443" w:type="pct"/>
            <w:tcBorders>
              <w:top w:val="nil"/>
              <w:left w:val="nil"/>
              <w:bottom w:val="nil"/>
              <w:right w:val="nil"/>
            </w:tcBorders>
            <w:shd w:val="clear" w:color="auto" w:fill="auto"/>
            <w:noWrap/>
            <w:vAlign w:val="center"/>
            <w:hideMark/>
          </w:tcPr>
          <w:p w14:paraId="72496569" w14:textId="77777777" w:rsidR="008A1E55" w:rsidRPr="006B42D6" w:rsidRDefault="008A1E55" w:rsidP="00E16CAE">
            <w:pPr>
              <w:jc w:val="right"/>
              <w:rPr>
                <w:sz w:val="16"/>
                <w:szCs w:val="16"/>
              </w:rPr>
            </w:pPr>
            <w:r w:rsidRPr="006B42D6">
              <w:rPr>
                <w:sz w:val="16"/>
                <w:szCs w:val="16"/>
              </w:rPr>
              <w:t>3.4</w:t>
            </w:r>
          </w:p>
        </w:tc>
        <w:tc>
          <w:tcPr>
            <w:tcW w:w="371" w:type="pct"/>
            <w:tcBorders>
              <w:top w:val="nil"/>
              <w:left w:val="nil"/>
              <w:bottom w:val="nil"/>
              <w:right w:val="nil"/>
            </w:tcBorders>
            <w:shd w:val="clear" w:color="auto" w:fill="auto"/>
            <w:noWrap/>
            <w:vAlign w:val="center"/>
            <w:hideMark/>
          </w:tcPr>
          <w:p w14:paraId="04C44FE7" w14:textId="77777777" w:rsidR="008A1E55" w:rsidRPr="006B42D6" w:rsidRDefault="008A1E55" w:rsidP="00E16CAE">
            <w:pPr>
              <w:jc w:val="right"/>
              <w:rPr>
                <w:sz w:val="16"/>
                <w:szCs w:val="16"/>
              </w:rPr>
            </w:pPr>
            <w:r w:rsidRPr="006B42D6">
              <w:rPr>
                <w:sz w:val="16"/>
                <w:szCs w:val="16"/>
              </w:rPr>
              <w:t>1.6</w:t>
            </w:r>
          </w:p>
        </w:tc>
        <w:tc>
          <w:tcPr>
            <w:tcW w:w="352" w:type="pct"/>
            <w:tcBorders>
              <w:top w:val="nil"/>
              <w:left w:val="nil"/>
              <w:bottom w:val="nil"/>
              <w:right w:val="nil"/>
            </w:tcBorders>
            <w:shd w:val="clear" w:color="auto" w:fill="auto"/>
            <w:noWrap/>
            <w:vAlign w:val="center"/>
            <w:hideMark/>
          </w:tcPr>
          <w:p w14:paraId="7A3A13FA" w14:textId="77777777" w:rsidR="008A1E55" w:rsidRPr="006B42D6" w:rsidRDefault="008A1E55" w:rsidP="00E16CAE">
            <w:pPr>
              <w:jc w:val="right"/>
              <w:rPr>
                <w:sz w:val="16"/>
                <w:szCs w:val="16"/>
              </w:rPr>
            </w:pPr>
            <w:r w:rsidRPr="006B42D6">
              <w:rPr>
                <w:sz w:val="16"/>
                <w:szCs w:val="16"/>
              </w:rPr>
              <w:t>-</w:t>
            </w:r>
          </w:p>
        </w:tc>
        <w:tc>
          <w:tcPr>
            <w:tcW w:w="287" w:type="pct"/>
            <w:tcBorders>
              <w:top w:val="nil"/>
              <w:left w:val="nil"/>
              <w:bottom w:val="nil"/>
              <w:right w:val="nil"/>
            </w:tcBorders>
            <w:shd w:val="clear" w:color="auto" w:fill="auto"/>
            <w:noWrap/>
            <w:vAlign w:val="center"/>
            <w:hideMark/>
          </w:tcPr>
          <w:p w14:paraId="211D4D77" w14:textId="77777777" w:rsidR="008A1E55" w:rsidRPr="006B42D6" w:rsidRDefault="008A1E55" w:rsidP="00E16CAE">
            <w:pPr>
              <w:jc w:val="right"/>
              <w:rPr>
                <w:sz w:val="16"/>
                <w:szCs w:val="16"/>
              </w:rPr>
            </w:pPr>
            <w:r w:rsidRPr="006B42D6">
              <w:rPr>
                <w:sz w:val="16"/>
                <w:szCs w:val="16"/>
              </w:rPr>
              <w:t>1.6</w:t>
            </w:r>
          </w:p>
        </w:tc>
        <w:tc>
          <w:tcPr>
            <w:tcW w:w="287" w:type="pct"/>
            <w:tcBorders>
              <w:top w:val="nil"/>
              <w:left w:val="nil"/>
              <w:bottom w:val="nil"/>
              <w:right w:val="nil"/>
            </w:tcBorders>
            <w:shd w:val="clear" w:color="auto" w:fill="auto"/>
            <w:noWrap/>
            <w:vAlign w:val="center"/>
            <w:hideMark/>
          </w:tcPr>
          <w:p w14:paraId="7C319A94" w14:textId="77777777" w:rsidR="008A1E55" w:rsidRPr="006B42D6" w:rsidRDefault="008A1E55" w:rsidP="00E16CAE">
            <w:pPr>
              <w:jc w:val="right"/>
              <w:rPr>
                <w:sz w:val="16"/>
                <w:szCs w:val="16"/>
              </w:rPr>
            </w:pPr>
            <w:r w:rsidRPr="006B42D6">
              <w:rPr>
                <w:sz w:val="16"/>
                <w:szCs w:val="16"/>
              </w:rPr>
              <w:t>7.1</w:t>
            </w:r>
          </w:p>
        </w:tc>
        <w:tc>
          <w:tcPr>
            <w:tcW w:w="287" w:type="pct"/>
            <w:tcBorders>
              <w:top w:val="nil"/>
              <w:left w:val="nil"/>
              <w:bottom w:val="nil"/>
              <w:right w:val="nil"/>
            </w:tcBorders>
            <w:shd w:val="clear" w:color="auto" w:fill="auto"/>
            <w:noWrap/>
            <w:vAlign w:val="center"/>
            <w:hideMark/>
          </w:tcPr>
          <w:p w14:paraId="1604237E" w14:textId="77777777" w:rsidR="008A1E55" w:rsidRPr="006B42D6" w:rsidRDefault="008A1E55" w:rsidP="00E16CAE">
            <w:pPr>
              <w:jc w:val="right"/>
              <w:rPr>
                <w:sz w:val="16"/>
                <w:szCs w:val="16"/>
              </w:rPr>
            </w:pPr>
            <w:r w:rsidRPr="006B42D6">
              <w:rPr>
                <w:sz w:val="16"/>
                <w:szCs w:val="16"/>
              </w:rPr>
              <w:t>-</w:t>
            </w:r>
          </w:p>
        </w:tc>
        <w:tc>
          <w:tcPr>
            <w:tcW w:w="315" w:type="pct"/>
            <w:tcBorders>
              <w:top w:val="nil"/>
              <w:left w:val="nil"/>
              <w:bottom w:val="nil"/>
              <w:right w:val="nil"/>
            </w:tcBorders>
            <w:shd w:val="clear" w:color="auto" w:fill="auto"/>
            <w:noWrap/>
            <w:vAlign w:val="center"/>
            <w:hideMark/>
          </w:tcPr>
          <w:p w14:paraId="37D258D7" w14:textId="77777777" w:rsidR="008A1E55" w:rsidRPr="006B42D6" w:rsidRDefault="008A1E55" w:rsidP="00E16CAE">
            <w:pPr>
              <w:jc w:val="right"/>
              <w:rPr>
                <w:sz w:val="16"/>
                <w:szCs w:val="16"/>
              </w:rPr>
            </w:pPr>
            <w:r w:rsidRPr="006B42D6">
              <w:rPr>
                <w:sz w:val="16"/>
                <w:szCs w:val="16"/>
              </w:rPr>
              <w:t>0.4</w:t>
            </w:r>
          </w:p>
        </w:tc>
        <w:tc>
          <w:tcPr>
            <w:tcW w:w="226" w:type="pct"/>
            <w:tcBorders>
              <w:top w:val="nil"/>
              <w:left w:val="nil"/>
              <w:bottom w:val="nil"/>
              <w:right w:val="nil"/>
            </w:tcBorders>
            <w:shd w:val="clear" w:color="auto" w:fill="auto"/>
            <w:noWrap/>
            <w:vAlign w:val="center"/>
            <w:hideMark/>
          </w:tcPr>
          <w:p w14:paraId="1BA6EF33" w14:textId="77777777" w:rsidR="008A1E55" w:rsidRPr="006B42D6" w:rsidRDefault="008A1E55" w:rsidP="00E16CAE">
            <w:pPr>
              <w:jc w:val="right"/>
              <w:rPr>
                <w:sz w:val="16"/>
                <w:szCs w:val="16"/>
              </w:rPr>
            </w:pPr>
            <w:r w:rsidRPr="006B42D6">
              <w:rPr>
                <w:sz w:val="16"/>
                <w:szCs w:val="16"/>
              </w:rPr>
              <w:t>1.6</w:t>
            </w:r>
          </w:p>
        </w:tc>
      </w:tr>
      <w:tr w:rsidR="006B42D6" w:rsidRPr="006B42D6" w14:paraId="4885154C" w14:textId="77777777" w:rsidTr="0024189E">
        <w:trPr>
          <w:trHeight w:hRule="exact" w:val="198"/>
        </w:trPr>
        <w:tc>
          <w:tcPr>
            <w:tcW w:w="653" w:type="pct"/>
            <w:tcBorders>
              <w:top w:val="nil"/>
              <w:left w:val="nil"/>
              <w:bottom w:val="nil"/>
              <w:right w:val="nil"/>
            </w:tcBorders>
            <w:shd w:val="clear" w:color="auto" w:fill="auto"/>
            <w:noWrap/>
            <w:vAlign w:val="center"/>
            <w:hideMark/>
          </w:tcPr>
          <w:p w14:paraId="3BAF5AEA" w14:textId="77777777" w:rsidR="008A1E55" w:rsidRPr="006B42D6" w:rsidRDefault="008A1E55" w:rsidP="00E16CAE">
            <w:pPr>
              <w:rPr>
                <w:sz w:val="16"/>
                <w:szCs w:val="16"/>
              </w:rPr>
            </w:pPr>
            <w:r w:rsidRPr="006B42D6">
              <w:rPr>
                <w:sz w:val="16"/>
                <w:szCs w:val="16"/>
              </w:rPr>
              <w:t>Kilimanjaro</w:t>
            </w:r>
          </w:p>
        </w:tc>
        <w:tc>
          <w:tcPr>
            <w:tcW w:w="302" w:type="pct"/>
            <w:tcBorders>
              <w:top w:val="nil"/>
              <w:left w:val="nil"/>
              <w:bottom w:val="nil"/>
              <w:right w:val="nil"/>
            </w:tcBorders>
            <w:shd w:val="clear" w:color="auto" w:fill="auto"/>
            <w:noWrap/>
            <w:vAlign w:val="center"/>
            <w:hideMark/>
          </w:tcPr>
          <w:p w14:paraId="513FA4F0" w14:textId="77777777" w:rsidR="008A1E55" w:rsidRPr="006B42D6" w:rsidRDefault="008A1E55" w:rsidP="00E16CAE">
            <w:pPr>
              <w:jc w:val="right"/>
              <w:rPr>
                <w:sz w:val="16"/>
                <w:szCs w:val="16"/>
              </w:rPr>
            </w:pPr>
            <w:r w:rsidRPr="006B42D6">
              <w:rPr>
                <w:sz w:val="16"/>
                <w:szCs w:val="16"/>
              </w:rPr>
              <w:t>7.9</w:t>
            </w:r>
          </w:p>
        </w:tc>
        <w:tc>
          <w:tcPr>
            <w:tcW w:w="343" w:type="pct"/>
            <w:tcBorders>
              <w:top w:val="nil"/>
              <w:left w:val="nil"/>
              <w:bottom w:val="nil"/>
              <w:right w:val="nil"/>
            </w:tcBorders>
            <w:shd w:val="clear" w:color="auto" w:fill="auto"/>
            <w:noWrap/>
            <w:vAlign w:val="center"/>
            <w:hideMark/>
          </w:tcPr>
          <w:p w14:paraId="11A7748A" w14:textId="77777777" w:rsidR="008A1E55" w:rsidRPr="006B42D6" w:rsidRDefault="008A1E55" w:rsidP="00E16CAE">
            <w:pPr>
              <w:jc w:val="right"/>
              <w:rPr>
                <w:sz w:val="16"/>
                <w:szCs w:val="16"/>
              </w:rPr>
            </w:pPr>
            <w:r w:rsidRPr="006B42D6">
              <w:rPr>
                <w:sz w:val="16"/>
                <w:szCs w:val="16"/>
              </w:rPr>
              <w:t>0.6</w:t>
            </w:r>
          </w:p>
        </w:tc>
        <w:tc>
          <w:tcPr>
            <w:tcW w:w="400" w:type="pct"/>
            <w:tcBorders>
              <w:top w:val="nil"/>
              <w:left w:val="nil"/>
              <w:bottom w:val="nil"/>
              <w:right w:val="nil"/>
            </w:tcBorders>
            <w:shd w:val="clear" w:color="auto" w:fill="auto"/>
            <w:noWrap/>
            <w:vAlign w:val="center"/>
            <w:hideMark/>
          </w:tcPr>
          <w:p w14:paraId="602E9471" w14:textId="77777777" w:rsidR="008A1E55" w:rsidRPr="006B42D6" w:rsidRDefault="008A1E55" w:rsidP="00E16CAE">
            <w:pPr>
              <w:jc w:val="right"/>
              <w:rPr>
                <w:sz w:val="16"/>
                <w:szCs w:val="16"/>
              </w:rPr>
            </w:pPr>
            <w:r w:rsidRPr="006B42D6">
              <w:rPr>
                <w:sz w:val="16"/>
                <w:szCs w:val="16"/>
              </w:rPr>
              <w:t>1.0</w:t>
            </w:r>
          </w:p>
        </w:tc>
        <w:tc>
          <w:tcPr>
            <w:tcW w:w="363" w:type="pct"/>
            <w:tcBorders>
              <w:top w:val="nil"/>
              <w:left w:val="nil"/>
              <w:bottom w:val="nil"/>
              <w:right w:val="nil"/>
            </w:tcBorders>
            <w:shd w:val="clear" w:color="auto" w:fill="auto"/>
            <w:noWrap/>
            <w:vAlign w:val="center"/>
            <w:hideMark/>
          </w:tcPr>
          <w:p w14:paraId="7601A9BC" w14:textId="77777777" w:rsidR="008A1E55" w:rsidRPr="006B42D6" w:rsidRDefault="008A1E55" w:rsidP="00E16CAE">
            <w:pPr>
              <w:jc w:val="right"/>
              <w:rPr>
                <w:sz w:val="16"/>
                <w:szCs w:val="16"/>
              </w:rPr>
            </w:pPr>
            <w:r w:rsidRPr="006B42D6">
              <w:rPr>
                <w:sz w:val="16"/>
                <w:szCs w:val="16"/>
              </w:rPr>
              <w:t>0.2</w:t>
            </w:r>
          </w:p>
        </w:tc>
        <w:tc>
          <w:tcPr>
            <w:tcW w:w="373" w:type="pct"/>
            <w:tcBorders>
              <w:top w:val="nil"/>
              <w:left w:val="nil"/>
              <w:bottom w:val="nil"/>
              <w:right w:val="nil"/>
            </w:tcBorders>
            <w:shd w:val="clear" w:color="auto" w:fill="auto"/>
            <w:noWrap/>
            <w:vAlign w:val="center"/>
            <w:hideMark/>
          </w:tcPr>
          <w:p w14:paraId="38D986B6" w14:textId="77777777" w:rsidR="008A1E55" w:rsidRPr="006B42D6" w:rsidRDefault="008A1E55" w:rsidP="00E16CAE">
            <w:pPr>
              <w:jc w:val="right"/>
              <w:rPr>
                <w:sz w:val="16"/>
                <w:szCs w:val="16"/>
              </w:rPr>
            </w:pPr>
            <w:r w:rsidRPr="006B42D6">
              <w:rPr>
                <w:sz w:val="16"/>
                <w:szCs w:val="16"/>
              </w:rPr>
              <w:t>2.7</w:t>
            </w:r>
          </w:p>
        </w:tc>
        <w:tc>
          <w:tcPr>
            <w:tcW w:w="443" w:type="pct"/>
            <w:tcBorders>
              <w:top w:val="nil"/>
              <w:left w:val="nil"/>
              <w:bottom w:val="nil"/>
              <w:right w:val="nil"/>
            </w:tcBorders>
            <w:shd w:val="clear" w:color="auto" w:fill="auto"/>
            <w:noWrap/>
            <w:vAlign w:val="center"/>
            <w:hideMark/>
          </w:tcPr>
          <w:p w14:paraId="0C11BFE0" w14:textId="77777777" w:rsidR="008A1E55" w:rsidRPr="006B42D6" w:rsidRDefault="008A1E55" w:rsidP="00E16CAE">
            <w:pPr>
              <w:jc w:val="right"/>
              <w:rPr>
                <w:sz w:val="16"/>
                <w:szCs w:val="16"/>
              </w:rPr>
            </w:pPr>
            <w:r w:rsidRPr="006B42D6">
              <w:rPr>
                <w:sz w:val="16"/>
                <w:szCs w:val="16"/>
              </w:rPr>
              <w:t>0.4</w:t>
            </w:r>
          </w:p>
        </w:tc>
        <w:tc>
          <w:tcPr>
            <w:tcW w:w="371" w:type="pct"/>
            <w:tcBorders>
              <w:top w:val="nil"/>
              <w:left w:val="nil"/>
              <w:bottom w:val="nil"/>
              <w:right w:val="nil"/>
            </w:tcBorders>
            <w:shd w:val="clear" w:color="auto" w:fill="auto"/>
            <w:noWrap/>
            <w:vAlign w:val="center"/>
            <w:hideMark/>
          </w:tcPr>
          <w:p w14:paraId="1FFA99FE" w14:textId="77777777" w:rsidR="008A1E55" w:rsidRPr="006B42D6" w:rsidRDefault="008A1E55" w:rsidP="00E16CAE">
            <w:pPr>
              <w:jc w:val="right"/>
              <w:rPr>
                <w:sz w:val="16"/>
                <w:szCs w:val="16"/>
              </w:rPr>
            </w:pPr>
            <w:r w:rsidRPr="006B42D6">
              <w:rPr>
                <w:sz w:val="16"/>
                <w:szCs w:val="16"/>
              </w:rPr>
              <w:t>1.3</w:t>
            </w:r>
          </w:p>
        </w:tc>
        <w:tc>
          <w:tcPr>
            <w:tcW w:w="352" w:type="pct"/>
            <w:tcBorders>
              <w:top w:val="nil"/>
              <w:left w:val="nil"/>
              <w:bottom w:val="nil"/>
              <w:right w:val="nil"/>
            </w:tcBorders>
            <w:shd w:val="clear" w:color="auto" w:fill="auto"/>
            <w:noWrap/>
            <w:vAlign w:val="center"/>
            <w:hideMark/>
          </w:tcPr>
          <w:p w14:paraId="6BF25FCA" w14:textId="77777777" w:rsidR="008A1E55" w:rsidRPr="006B42D6" w:rsidRDefault="008A1E55" w:rsidP="00E16CAE">
            <w:pPr>
              <w:jc w:val="right"/>
              <w:rPr>
                <w:sz w:val="16"/>
                <w:szCs w:val="16"/>
              </w:rPr>
            </w:pPr>
            <w:r w:rsidRPr="006B42D6">
              <w:rPr>
                <w:sz w:val="16"/>
                <w:szCs w:val="16"/>
              </w:rPr>
              <w:t>1.0</w:t>
            </w:r>
          </w:p>
        </w:tc>
        <w:tc>
          <w:tcPr>
            <w:tcW w:w="287" w:type="pct"/>
            <w:tcBorders>
              <w:top w:val="nil"/>
              <w:left w:val="nil"/>
              <w:bottom w:val="nil"/>
              <w:right w:val="nil"/>
            </w:tcBorders>
            <w:shd w:val="clear" w:color="auto" w:fill="auto"/>
            <w:noWrap/>
            <w:vAlign w:val="center"/>
            <w:hideMark/>
          </w:tcPr>
          <w:p w14:paraId="4C51C344" w14:textId="77777777" w:rsidR="008A1E55" w:rsidRPr="006B42D6" w:rsidRDefault="008A1E55" w:rsidP="00E16CAE">
            <w:pPr>
              <w:jc w:val="right"/>
              <w:rPr>
                <w:sz w:val="16"/>
                <w:szCs w:val="16"/>
              </w:rPr>
            </w:pPr>
            <w:r w:rsidRPr="006B42D6">
              <w:rPr>
                <w:sz w:val="16"/>
                <w:szCs w:val="16"/>
              </w:rPr>
              <w:t>2.0</w:t>
            </w:r>
          </w:p>
        </w:tc>
        <w:tc>
          <w:tcPr>
            <w:tcW w:w="287" w:type="pct"/>
            <w:tcBorders>
              <w:top w:val="nil"/>
              <w:left w:val="nil"/>
              <w:bottom w:val="nil"/>
              <w:right w:val="nil"/>
            </w:tcBorders>
            <w:shd w:val="clear" w:color="auto" w:fill="auto"/>
            <w:noWrap/>
            <w:vAlign w:val="center"/>
            <w:hideMark/>
          </w:tcPr>
          <w:p w14:paraId="77BCDD58" w14:textId="77777777" w:rsidR="008A1E55" w:rsidRPr="006B42D6" w:rsidRDefault="008A1E55" w:rsidP="00E16CAE">
            <w:pPr>
              <w:jc w:val="right"/>
              <w:rPr>
                <w:sz w:val="16"/>
                <w:szCs w:val="16"/>
              </w:rPr>
            </w:pPr>
            <w:r w:rsidRPr="006B42D6">
              <w:rPr>
                <w:sz w:val="16"/>
                <w:szCs w:val="16"/>
              </w:rPr>
              <w:t>8.0</w:t>
            </w:r>
          </w:p>
        </w:tc>
        <w:tc>
          <w:tcPr>
            <w:tcW w:w="287" w:type="pct"/>
            <w:tcBorders>
              <w:top w:val="nil"/>
              <w:left w:val="nil"/>
              <w:bottom w:val="nil"/>
              <w:right w:val="nil"/>
            </w:tcBorders>
            <w:shd w:val="clear" w:color="auto" w:fill="auto"/>
            <w:noWrap/>
            <w:vAlign w:val="center"/>
            <w:hideMark/>
          </w:tcPr>
          <w:p w14:paraId="23846A6A" w14:textId="77777777" w:rsidR="008A1E55" w:rsidRPr="006B42D6" w:rsidRDefault="008A1E55" w:rsidP="00E16CAE">
            <w:pPr>
              <w:jc w:val="right"/>
              <w:rPr>
                <w:sz w:val="16"/>
                <w:szCs w:val="16"/>
              </w:rPr>
            </w:pPr>
            <w:r w:rsidRPr="006B42D6">
              <w:rPr>
                <w:sz w:val="16"/>
                <w:szCs w:val="16"/>
              </w:rPr>
              <w:t>-</w:t>
            </w:r>
          </w:p>
        </w:tc>
        <w:tc>
          <w:tcPr>
            <w:tcW w:w="315" w:type="pct"/>
            <w:tcBorders>
              <w:top w:val="nil"/>
              <w:left w:val="nil"/>
              <w:bottom w:val="nil"/>
              <w:right w:val="nil"/>
            </w:tcBorders>
            <w:shd w:val="clear" w:color="auto" w:fill="auto"/>
            <w:noWrap/>
            <w:vAlign w:val="center"/>
            <w:hideMark/>
          </w:tcPr>
          <w:p w14:paraId="29F31849" w14:textId="77777777" w:rsidR="008A1E55" w:rsidRPr="006B42D6" w:rsidRDefault="008A1E55" w:rsidP="00E16CAE">
            <w:pPr>
              <w:jc w:val="right"/>
              <w:rPr>
                <w:sz w:val="16"/>
                <w:szCs w:val="16"/>
              </w:rPr>
            </w:pPr>
            <w:r w:rsidRPr="006B42D6">
              <w:rPr>
                <w:sz w:val="16"/>
                <w:szCs w:val="16"/>
              </w:rPr>
              <w:t>1.5</w:t>
            </w:r>
          </w:p>
        </w:tc>
        <w:tc>
          <w:tcPr>
            <w:tcW w:w="226" w:type="pct"/>
            <w:tcBorders>
              <w:top w:val="nil"/>
              <w:left w:val="nil"/>
              <w:bottom w:val="nil"/>
              <w:right w:val="nil"/>
            </w:tcBorders>
            <w:shd w:val="clear" w:color="auto" w:fill="auto"/>
            <w:noWrap/>
            <w:vAlign w:val="center"/>
            <w:hideMark/>
          </w:tcPr>
          <w:p w14:paraId="6DF76FB3" w14:textId="77777777" w:rsidR="008A1E55" w:rsidRPr="006B42D6" w:rsidRDefault="008A1E55" w:rsidP="00E16CAE">
            <w:pPr>
              <w:jc w:val="right"/>
              <w:rPr>
                <w:sz w:val="16"/>
                <w:szCs w:val="16"/>
              </w:rPr>
            </w:pPr>
            <w:r w:rsidRPr="006B42D6">
              <w:rPr>
                <w:sz w:val="16"/>
                <w:szCs w:val="16"/>
              </w:rPr>
              <w:t>1.0</w:t>
            </w:r>
          </w:p>
        </w:tc>
      </w:tr>
      <w:tr w:rsidR="006B42D6" w:rsidRPr="006B42D6" w14:paraId="5606034A" w14:textId="77777777" w:rsidTr="0024189E">
        <w:trPr>
          <w:trHeight w:hRule="exact" w:val="198"/>
        </w:trPr>
        <w:tc>
          <w:tcPr>
            <w:tcW w:w="653" w:type="pct"/>
            <w:tcBorders>
              <w:top w:val="nil"/>
              <w:left w:val="nil"/>
              <w:bottom w:val="nil"/>
              <w:right w:val="nil"/>
            </w:tcBorders>
            <w:shd w:val="clear" w:color="auto" w:fill="auto"/>
            <w:noWrap/>
            <w:vAlign w:val="center"/>
            <w:hideMark/>
          </w:tcPr>
          <w:p w14:paraId="348ED469" w14:textId="77777777" w:rsidR="008A1E55" w:rsidRPr="006B42D6" w:rsidRDefault="008A1E55" w:rsidP="00E16CAE">
            <w:pPr>
              <w:rPr>
                <w:sz w:val="16"/>
                <w:szCs w:val="16"/>
              </w:rPr>
            </w:pPr>
            <w:r w:rsidRPr="006B42D6">
              <w:rPr>
                <w:sz w:val="16"/>
                <w:szCs w:val="16"/>
              </w:rPr>
              <w:t>Tanga</w:t>
            </w:r>
          </w:p>
        </w:tc>
        <w:tc>
          <w:tcPr>
            <w:tcW w:w="302" w:type="pct"/>
            <w:tcBorders>
              <w:top w:val="nil"/>
              <w:left w:val="nil"/>
              <w:bottom w:val="nil"/>
              <w:right w:val="nil"/>
            </w:tcBorders>
            <w:shd w:val="clear" w:color="auto" w:fill="auto"/>
            <w:noWrap/>
            <w:vAlign w:val="center"/>
            <w:hideMark/>
          </w:tcPr>
          <w:p w14:paraId="667784C7" w14:textId="77777777" w:rsidR="008A1E55" w:rsidRPr="006B42D6" w:rsidRDefault="008A1E55" w:rsidP="00E16CAE">
            <w:pPr>
              <w:jc w:val="right"/>
              <w:rPr>
                <w:sz w:val="16"/>
                <w:szCs w:val="16"/>
              </w:rPr>
            </w:pPr>
            <w:r w:rsidRPr="006B42D6">
              <w:rPr>
                <w:sz w:val="16"/>
                <w:szCs w:val="16"/>
              </w:rPr>
              <w:t>4.7</w:t>
            </w:r>
          </w:p>
        </w:tc>
        <w:tc>
          <w:tcPr>
            <w:tcW w:w="343" w:type="pct"/>
            <w:tcBorders>
              <w:top w:val="nil"/>
              <w:left w:val="nil"/>
              <w:bottom w:val="nil"/>
              <w:right w:val="nil"/>
            </w:tcBorders>
            <w:shd w:val="clear" w:color="auto" w:fill="auto"/>
            <w:noWrap/>
            <w:vAlign w:val="center"/>
            <w:hideMark/>
          </w:tcPr>
          <w:p w14:paraId="122DAED2" w14:textId="77777777" w:rsidR="008A1E55" w:rsidRPr="006B42D6" w:rsidRDefault="008A1E55" w:rsidP="00E16CAE">
            <w:pPr>
              <w:jc w:val="right"/>
              <w:rPr>
                <w:sz w:val="16"/>
                <w:szCs w:val="16"/>
              </w:rPr>
            </w:pPr>
            <w:r w:rsidRPr="006B42D6">
              <w:rPr>
                <w:sz w:val="16"/>
                <w:szCs w:val="16"/>
              </w:rPr>
              <w:t>2.2</w:t>
            </w:r>
          </w:p>
        </w:tc>
        <w:tc>
          <w:tcPr>
            <w:tcW w:w="400" w:type="pct"/>
            <w:tcBorders>
              <w:top w:val="nil"/>
              <w:left w:val="nil"/>
              <w:bottom w:val="nil"/>
              <w:right w:val="nil"/>
            </w:tcBorders>
            <w:shd w:val="clear" w:color="auto" w:fill="auto"/>
            <w:noWrap/>
            <w:vAlign w:val="center"/>
            <w:hideMark/>
          </w:tcPr>
          <w:p w14:paraId="7D9870AC" w14:textId="77777777" w:rsidR="008A1E55" w:rsidRPr="006B42D6" w:rsidRDefault="008A1E55" w:rsidP="00E16CAE">
            <w:pPr>
              <w:jc w:val="right"/>
              <w:rPr>
                <w:sz w:val="16"/>
                <w:szCs w:val="16"/>
              </w:rPr>
            </w:pPr>
            <w:r w:rsidRPr="006B42D6">
              <w:rPr>
                <w:sz w:val="16"/>
                <w:szCs w:val="16"/>
              </w:rPr>
              <w:t>3.9</w:t>
            </w:r>
          </w:p>
        </w:tc>
        <w:tc>
          <w:tcPr>
            <w:tcW w:w="363" w:type="pct"/>
            <w:tcBorders>
              <w:top w:val="nil"/>
              <w:left w:val="nil"/>
              <w:bottom w:val="nil"/>
              <w:right w:val="nil"/>
            </w:tcBorders>
            <w:shd w:val="clear" w:color="auto" w:fill="auto"/>
            <w:noWrap/>
            <w:vAlign w:val="center"/>
            <w:hideMark/>
          </w:tcPr>
          <w:p w14:paraId="5C277423" w14:textId="77777777" w:rsidR="008A1E55" w:rsidRPr="006B42D6" w:rsidRDefault="008A1E55" w:rsidP="00E16CAE">
            <w:pPr>
              <w:jc w:val="right"/>
              <w:rPr>
                <w:sz w:val="16"/>
                <w:szCs w:val="16"/>
              </w:rPr>
            </w:pPr>
            <w:r w:rsidRPr="006B42D6">
              <w:rPr>
                <w:sz w:val="16"/>
                <w:szCs w:val="16"/>
              </w:rPr>
              <w:t>3.1</w:t>
            </w:r>
          </w:p>
        </w:tc>
        <w:tc>
          <w:tcPr>
            <w:tcW w:w="373" w:type="pct"/>
            <w:tcBorders>
              <w:top w:val="nil"/>
              <w:left w:val="nil"/>
              <w:bottom w:val="nil"/>
              <w:right w:val="nil"/>
            </w:tcBorders>
            <w:shd w:val="clear" w:color="auto" w:fill="auto"/>
            <w:noWrap/>
            <w:vAlign w:val="center"/>
            <w:hideMark/>
          </w:tcPr>
          <w:p w14:paraId="709F5414" w14:textId="77777777" w:rsidR="008A1E55" w:rsidRPr="006B42D6" w:rsidRDefault="008A1E55" w:rsidP="00E16CAE">
            <w:pPr>
              <w:jc w:val="right"/>
              <w:rPr>
                <w:sz w:val="16"/>
                <w:szCs w:val="16"/>
              </w:rPr>
            </w:pPr>
            <w:r w:rsidRPr="006B42D6">
              <w:rPr>
                <w:sz w:val="16"/>
                <w:szCs w:val="16"/>
              </w:rPr>
              <w:t>6.5</w:t>
            </w:r>
          </w:p>
        </w:tc>
        <w:tc>
          <w:tcPr>
            <w:tcW w:w="443" w:type="pct"/>
            <w:tcBorders>
              <w:top w:val="nil"/>
              <w:left w:val="nil"/>
              <w:bottom w:val="nil"/>
              <w:right w:val="nil"/>
            </w:tcBorders>
            <w:shd w:val="clear" w:color="auto" w:fill="auto"/>
            <w:noWrap/>
            <w:vAlign w:val="center"/>
            <w:hideMark/>
          </w:tcPr>
          <w:p w14:paraId="2B697CA7" w14:textId="77777777" w:rsidR="008A1E55" w:rsidRPr="006B42D6" w:rsidRDefault="008A1E55" w:rsidP="00E16CAE">
            <w:pPr>
              <w:jc w:val="right"/>
              <w:rPr>
                <w:sz w:val="16"/>
                <w:szCs w:val="16"/>
              </w:rPr>
            </w:pPr>
            <w:r w:rsidRPr="006B42D6">
              <w:rPr>
                <w:sz w:val="16"/>
                <w:szCs w:val="16"/>
              </w:rPr>
              <w:t>7.6</w:t>
            </w:r>
          </w:p>
        </w:tc>
        <w:tc>
          <w:tcPr>
            <w:tcW w:w="371" w:type="pct"/>
            <w:tcBorders>
              <w:top w:val="nil"/>
              <w:left w:val="nil"/>
              <w:bottom w:val="nil"/>
              <w:right w:val="nil"/>
            </w:tcBorders>
            <w:shd w:val="clear" w:color="auto" w:fill="auto"/>
            <w:noWrap/>
            <w:vAlign w:val="center"/>
            <w:hideMark/>
          </w:tcPr>
          <w:p w14:paraId="08DFD00A" w14:textId="77777777" w:rsidR="008A1E55" w:rsidRPr="006B42D6" w:rsidRDefault="008A1E55" w:rsidP="00E16CAE">
            <w:pPr>
              <w:jc w:val="right"/>
              <w:rPr>
                <w:sz w:val="16"/>
                <w:szCs w:val="16"/>
              </w:rPr>
            </w:pPr>
            <w:r w:rsidRPr="006B42D6">
              <w:rPr>
                <w:sz w:val="16"/>
                <w:szCs w:val="16"/>
              </w:rPr>
              <w:t>1.5</w:t>
            </w:r>
          </w:p>
        </w:tc>
        <w:tc>
          <w:tcPr>
            <w:tcW w:w="352" w:type="pct"/>
            <w:tcBorders>
              <w:top w:val="nil"/>
              <w:left w:val="nil"/>
              <w:bottom w:val="nil"/>
              <w:right w:val="nil"/>
            </w:tcBorders>
            <w:shd w:val="clear" w:color="auto" w:fill="auto"/>
            <w:noWrap/>
            <w:vAlign w:val="center"/>
            <w:hideMark/>
          </w:tcPr>
          <w:p w14:paraId="0D3CBA0C" w14:textId="77777777" w:rsidR="008A1E55" w:rsidRPr="006B42D6" w:rsidRDefault="008A1E55" w:rsidP="00E16CAE">
            <w:pPr>
              <w:jc w:val="right"/>
              <w:rPr>
                <w:sz w:val="16"/>
                <w:szCs w:val="16"/>
              </w:rPr>
            </w:pPr>
            <w:r w:rsidRPr="006B42D6">
              <w:rPr>
                <w:sz w:val="16"/>
                <w:szCs w:val="16"/>
              </w:rPr>
              <w:t>2.7</w:t>
            </w:r>
          </w:p>
        </w:tc>
        <w:tc>
          <w:tcPr>
            <w:tcW w:w="287" w:type="pct"/>
            <w:tcBorders>
              <w:top w:val="nil"/>
              <w:left w:val="nil"/>
              <w:bottom w:val="nil"/>
              <w:right w:val="nil"/>
            </w:tcBorders>
            <w:shd w:val="clear" w:color="auto" w:fill="auto"/>
            <w:noWrap/>
            <w:vAlign w:val="center"/>
            <w:hideMark/>
          </w:tcPr>
          <w:p w14:paraId="6DBA0A7D" w14:textId="77777777" w:rsidR="008A1E55" w:rsidRPr="006B42D6" w:rsidRDefault="008A1E55" w:rsidP="00E16CAE">
            <w:pPr>
              <w:jc w:val="right"/>
              <w:rPr>
                <w:sz w:val="16"/>
                <w:szCs w:val="16"/>
              </w:rPr>
            </w:pPr>
            <w:r w:rsidRPr="006B42D6">
              <w:rPr>
                <w:sz w:val="16"/>
                <w:szCs w:val="16"/>
              </w:rPr>
              <w:t>6.4</w:t>
            </w:r>
          </w:p>
        </w:tc>
        <w:tc>
          <w:tcPr>
            <w:tcW w:w="287" w:type="pct"/>
            <w:tcBorders>
              <w:top w:val="nil"/>
              <w:left w:val="nil"/>
              <w:bottom w:val="nil"/>
              <w:right w:val="nil"/>
            </w:tcBorders>
            <w:shd w:val="clear" w:color="auto" w:fill="auto"/>
            <w:noWrap/>
            <w:vAlign w:val="center"/>
            <w:hideMark/>
          </w:tcPr>
          <w:p w14:paraId="15315D17" w14:textId="77777777" w:rsidR="008A1E55" w:rsidRPr="006B42D6" w:rsidRDefault="008A1E55" w:rsidP="00E16CAE">
            <w:pPr>
              <w:jc w:val="right"/>
              <w:rPr>
                <w:sz w:val="16"/>
                <w:szCs w:val="16"/>
              </w:rPr>
            </w:pPr>
            <w:r w:rsidRPr="006B42D6">
              <w:rPr>
                <w:sz w:val="16"/>
                <w:szCs w:val="16"/>
              </w:rPr>
              <w:t>6.1</w:t>
            </w:r>
          </w:p>
        </w:tc>
        <w:tc>
          <w:tcPr>
            <w:tcW w:w="287" w:type="pct"/>
            <w:tcBorders>
              <w:top w:val="nil"/>
              <w:left w:val="nil"/>
              <w:bottom w:val="nil"/>
              <w:right w:val="nil"/>
            </w:tcBorders>
            <w:shd w:val="clear" w:color="auto" w:fill="auto"/>
            <w:noWrap/>
            <w:vAlign w:val="center"/>
            <w:hideMark/>
          </w:tcPr>
          <w:p w14:paraId="21CD029D" w14:textId="77777777" w:rsidR="008A1E55" w:rsidRPr="006B42D6" w:rsidRDefault="008A1E55" w:rsidP="00E16CAE">
            <w:pPr>
              <w:jc w:val="right"/>
              <w:rPr>
                <w:sz w:val="16"/>
                <w:szCs w:val="16"/>
              </w:rPr>
            </w:pPr>
            <w:r w:rsidRPr="006B42D6">
              <w:rPr>
                <w:sz w:val="16"/>
                <w:szCs w:val="16"/>
              </w:rPr>
              <w:t>-</w:t>
            </w:r>
          </w:p>
        </w:tc>
        <w:tc>
          <w:tcPr>
            <w:tcW w:w="315" w:type="pct"/>
            <w:tcBorders>
              <w:top w:val="nil"/>
              <w:left w:val="nil"/>
              <w:bottom w:val="nil"/>
              <w:right w:val="nil"/>
            </w:tcBorders>
            <w:shd w:val="clear" w:color="auto" w:fill="auto"/>
            <w:noWrap/>
            <w:vAlign w:val="center"/>
            <w:hideMark/>
          </w:tcPr>
          <w:p w14:paraId="50EA10E8" w14:textId="77777777" w:rsidR="008A1E55" w:rsidRPr="006B42D6" w:rsidRDefault="008A1E55" w:rsidP="00E16CAE">
            <w:pPr>
              <w:jc w:val="right"/>
              <w:rPr>
                <w:sz w:val="16"/>
                <w:szCs w:val="16"/>
              </w:rPr>
            </w:pPr>
            <w:r w:rsidRPr="006B42D6">
              <w:rPr>
                <w:sz w:val="16"/>
                <w:szCs w:val="16"/>
              </w:rPr>
              <w:t>1.0</w:t>
            </w:r>
          </w:p>
        </w:tc>
        <w:tc>
          <w:tcPr>
            <w:tcW w:w="226" w:type="pct"/>
            <w:tcBorders>
              <w:top w:val="nil"/>
              <w:left w:val="nil"/>
              <w:bottom w:val="nil"/>
              <w:right w:val="nil"/>
            </w:tcBorders>
            <w:shd w:val="clear" w:color="auto" w:fill="auto"/>
            <w:noWrap/>
            <w:vAlign w:val="center"/>
            <w:hideMark/>
          </w:tcPr>
          <w:p w14:paraId="3E97863F" w14:textId="77777777" w:rsidR="008A1E55" w:rsidRPr="006B42D6" w:rsidRDefault="008A1E55" w:rsidP="00E16CAE">
            <w:pPr>
              <w:jc w:val="right"/>
              <w:rPr>
                <w:sz w:val="16"/>
                <w:szCs w:val="16"/>
              </w:rPr>
            </w:pPr>
            <w:r w:rsidRPr="006B42D6">
              <w:rPr>
                <w:sz w:val="16"/>
                <w:szCs w:val="16"/>
              </w:rPr>
              <w:t>2.5</w:t>
            </w:r>
          </w:p>
        </w:tc>
      </w:tr>
      <w:tr w:rsidR="006B42D6" w:rsidRPr="006B42D6" w14:paraId="32CF9C06" w14:textId="77777777" w:rsidTr="0024189E">
        <w:trPr>
          <w:trHeight w:hRule="exact" w:val="198"/>
        </w:trPr>
        <w:tc>
          <w:tcPr>
            <w:tcW w:w="653" w:type="pct"/>
            <w:tcBorders>
              <w:top w:val="nil"/>
              <w:left w:val="nil"/>
              <w:bottom w:val="nil"/>
              <w:right w:val="nil"/>
            </w:tcBorders>
            <w:shd w:val="clear" w:color="auto" w:fill="auto"/>
            <w:noWrap/>
            <w:vAlign w:val="center"/>
            <w:hideMark/>
          </w:tcPr>
          <w:p w14:paraId="3FB91702" w14:textId="77777777" w:rsidR="008A1E55" w:rsidRPr="006B42D6" w:rsidRDefault="008A1E55" w:rsidP="00E16CAE">
            <w:pPr>
              <w:rPr>
                <w:sz w:val="16"/>
                <w:szCs w:val="16"/>
              </w:rPr>
            </w:pPr>
            <w:r w:rsidRPr="006B42D6">
              <w:rPr>
                <w:sz w:val="16"/>
                <w:szCs w:val="16"/>
              </w:rPr>
              <w:t>Morogoro</w:t>
            </w:r>
          </w:p>
        </w:tc>
        <w:tc>
          <w:tcPr>
            <w:tcW w:w="302" w:type="pct"/>
            <w:tcBorders>
              <w:top w:val="nil"/>
              <w:left w:val="nil"/>
              <w:bottom w:val="nil"/>
              <w:right w:val="nil"/>
            </w:tcBorders>
            <w:shd w:val="clear" w:color="auto" w:fill="auto"/>
            <w:noWrap/>
            <w:vAlign w:val="center"/>
            <w:hideMark/>
          </w:tcPr>
          <w:p w14:paraId="3AB47B7F" w14:textId="77777777" w:rsidR="008A1E55" w:rsidRPr="006B42D6" w:rsidRDefault="008A1E55" w:rsidP="00E16CAE">
            <w:pPr>
              <w:jc w:val="right"/>
              <w:rPr>
                <w:sz w:val="16"/>
                <w:szCs w:val="16"/>
              </w:rPr>
            </w:pPr>
            <w:r w:rsidRPr="006B42D6">
              <w:rPr>
                <w:sz w:val="16"/>
                <w:szCs w:val="16"/>
              </w:rPr>
              <w:t>7.3</w:t>
            </w:r>
          </w:p>
        </w:tc>
        <w:tc>
          <w:tcPr>
            <w:tcW w:w="343" w:type="pct"/>
            <w:tcBorders>
              <w:top w:val="nil"/>
              <w:left w:val="nil"/>
              <w:bottom w:val="nil"/>
              <w:right w:val="nil"/>
            </w:tcBorders>
            <w:shd w:val="clear" w:color="auto" w:fill="auto"/>
            <w:noWrap/>
            <w:vAlign w:val="center"/>
            <w:hideMark/>
          </w:tcPr>
          <w:p w14:paraId="38F293D3" w14:textId="77777777" w:rsidR="008A1E55" w:rsidRPr="006B42D6" w:rsidRDefault="008A1E55" w:rsidP="00E16CAE">
            <w:pPr>
              <w:jc w:val="right"/>
              <w:rPr>
                <w:sz w:val="16"/>
                <w:szCs w:val="16"/>
              </w:rPr>
            </w:pPr>
            <w:r w:rsidRPr="006B42D6">
              <w:rPr>
                <w:sz w:val="16"/>
                <w:szCs w:val="16"/>
              </w:rPr>
              <w:t>6.9</w:t>
            </w:r>
          </w:p>
        </w:tc>
        <w:tc>
          <w:tcPr>
            <w:tcW w:w="400" w:type="pct"/>
            <w:tcBorders>
              <w:top w:val="nil"/>
              <w:left w:val="nil"/>
              <w:bottom w:val="nil"/>
              <w:right w:val="nil"/>
            </w:tcBorders>
            <w:shd w:val="clear" w:color="auto" w:fill="auto"/>
            <w:noWrap/>
            <w:vAlign w:val="center"/>
            <w:hideMark/>
          </w:tcPr>
          <w:p w14:paraId="4D1DD394" w14:textId="77777777" w:rsidR="008A1E55" w:rsidRPr="006B42D6" w:rsidRDefault="008A1E55" w:rsidP="00E16CAE">
            <w:pPr>
              <w:jc w:val="right"/>
              <w:rPr>
                <w:sz w:val="16"/>
                <w:szCs w:val="16"/>
              </w:rPr>
            </w:pPr>
            <w:r w:rsidRPr="006B42D6">
              <w:rPr>
                <w:sz w:val="16"/>
                <w:szCs w:val="16"/>
              </w:rPr>
              <w:t>1.9</w:t>
            </w:r>
          </w:p>
        </w:tc>
        <w:tc>
          <w:tcPr>
            <w:tcW w:w="363" w:type="pct"/>
            <w:tcBorders>
              <w:top w:val="nil"/>
              <w:left w:val="nil"/>
              <w:bottom w:val="nil"/>
              <w:right w:val="nil"/>
            </w:tcBorders>
            <w:shd w:val="clear" w:color="auto" w:fill="auto"/>
            <w:noWrap/>
            <w:vAlign w:val="center"/>
            <w:hideMark/>
          </w:tcPr>
          <w:p w14:paraId="0C4AAB03" w14:textId="77777777" w:rsidR="008A1E55" w:rsidRPr="006B42D6" w:rsidRDefault="008A1E55" w:rsidP="00E16CAE">
            <w:pPr>
              <w:jc w:val="right"/>
              <w:rPr>
                <w:sz w:val="16"/>
                <w:szCs w:val="16"/>
              </w:rPr>
            </w:pPr>
            <w:r w:rsidRPr="006B42D6">
              <w:rPr>
                <w:sz w:val="16"/>
                <w:szCs w:val="16"/>
              </w:rPr>
              <w:t>2.2</w:t>
            </w:r>
          </w:p>
        </w:tc>
        <w:tc>
          <w:tcPr>
            <w:tcW w:w="373" w:type="pct"/>
            <w:tcBorders>
              <w:top w:val="nil"/>
              <w:left w:val="nil"/>
              <w:bottom w:val="nil"/>
              <w:right w:val="nil"/>
            </w:tcBorders>
            <w:shd w:val="clear" w:color="auto" w:fill="auto"/>
            <w:noWrap/>
            <w:vAlign w:val="center"/>
            <w:hideMark/>
          </w:tcPr>
          <w:p w14:paraId="278F4831" w14:textId="77777777" w:rsidR="008A1E55" w:rsidRPr="006B42D6" w:rsidRDefault="008A1E55" w:rsidP="00E16CAE">
            <w:pPr>
              <w:jc w:val="right"/>
              <w:rPr>
                <w:sz w:val="16"/>
                <w:szCs w:val="16"/>
              </w:rPr>
            </w:pPr>
            <w:r w:rsidRPr="006B42D6">
              <w:rPr>
                <w:sz w:val="16"/>
                <w:szCs w:val="16"/>
              </w:rPr>
              <w:t>3.5</w:t>
            </w:r>
          </w:p>
        </w:tc>
        <w:tc>
          <w:tcPr>
            <w:tcW w:w="443" w:type="pct"/>
            <w:tcBorders>
              <w:top w:val="nil"/>
              <w:left w:val="nil"/>
              <w:bottom w:val="nil"/>
              <w:right w:val="nil"/>
            </w:tcBorders>
            <w:shd w:val="clear" w:color="auto" w:fill="auto"/>
            <w:noWrap/>
            <w:vAlign w:val="center"/>
            <w:hideMark/>
          </w:tcPr>
          <w:p w14:paraId="3ED138D2" w14:textId="77777777" w:rsidR="008A1E55" w:rsidRPr="006B42D6" w:rsidRDefault="008A1E55" w:rsidP="00E16CAE">
            <w:pPr>
              <w:jc w:val="right"/>
              <w:rPr>
                <w:sz w:val="16"/>
                <w:szCs w:val="16"/>
              </w:rPr>
            </w:pPr>
            <w:r w:rsidRPr="006B42D6">
              <w:rPr>
                <w:sz w:val="16"/>
                <w:szCs w:val="16"/>
              </w:rPr>
              <w:t>3.3</w:t>
            </w:r>
          </w:p>
        </w:tc>
        <w:tc>
          <w:tcPr>
            <w:tcW w:w="371" w:type="pct"/>
            <w:tcBorders>
              <w:top w:val="nil"/>
              <w:left w:val="nil"/>
              <w:bottom w:val="nil"/>
              <w:right w:val="nil"/>
            </w:tcBorders>
            <w:shd w:val="clear" w:color="auto" w:fill="auto"/>
            <w:noWrap/>
            <w:vAlign w:val="center"/>
            <w:hideMark/>
          </w:tcPr>
          <w:p w14:paraId="7B7DB2E4" w14:textId="77777777" w:rsidR="008A1E55" w:rsidRPr="006B42D6" w:rsidRDefault="008A1E55" w:rsidP="00E16CAE">
            <w:pPr>
              <w:jc w:val="right"/>
              <w:rPr>
                <w:sz w:val="16"/>
                <w:szCs w:val="16"/>
              </w:rPr>
            </w:pPr>
            <w:r w:rsidRPr="006B42D6">
              <w:rPr>
                <w:sz w:val="16"/>
                <w:szCs w:val="16"/>
              </w:rPr>
              <w:t>3.4</w:t>
            </w:r>
          </w:p>
        </w:tc>
        <w:tc>
          <w:tcPr>
            <w:tcW w:w="352" w:type="pct"/>
            <w:tcBorders>
              <w:top w:val="nil"/>
              <w:left w:val="nil"/>
              <w:bottom w:val="nil"/>
              <w:right w:val="nil"/>
            </w:tcBorders>
            <w:shd w:val="clear" w:color="auto" w:fill="auto"/>
            <w:noWrap/>
            <w:vAlign w:val="center"/>
            <w:hideMark/>
          </w:tcPr>
          <w:p w14:paraId="2044D688" w14:textId="77777777" w:rsidR="008A1E55" w:rsidRPr="006B42D6" w:rsidRDefault="008A1E55" w:rsidP="00E16CAE">
            <w:pPr>
              <w:jc w:val="right"/>
              <w:rPr>
                <w:sz w:val="16"/>
                <w:szCs w:val="16"/>
              </w:rPr>
            </w:pPr>
            <w:r w:rsidRPr="006B42D6">
              <w:rPr>
                <w:sz w:val="16"/>
                <w:szCs w:val="16"/>
              </w:rPr>
              <w:t>2.2</w:t>
            </w:r>
          </w:p>
        </w:tc>
        <w:tc>
          <w:tcPr>
            <w:tcW w:w="287" w:type="pct"/>
            <w:tcBorders>
              <w:top w:val="nil"/>
              <w:left w:val="nil"/>
              <w:bottom w:val="nil"/>
              <w:right w:val="nil"/>
            </w:tcBorders>
            <w:shd w:val="clear" w:color="auto" w:fill="auto"/>
            <w:noWrap/>
            <w:vAlign w:val="center"/>
            <w:hideMark/>
          </w:tcPr>
          <w:p w14:paraId="0BE6E312" w14:textId="77777777" w:rsidR="008A1E55" w:rsidRPr="006B42D6" w:rsidRDefault="008A1E55" w:rsidP="00E16CAE">
            <w:pPr>
              <w:jc w:val="right"/>
              <w:rPr>
                <w:sz w:val="16"/>
                <w:szCs w:val="16"/>
              </w:rPr>
            </w:pPr>
            <w:r w:rsidRPr="006B42D6">
              <w:rPr>
                <w:sz w:val="16"/>
                <w:szCs w:val="16"/>
              </w:rPr>
              <w:t>4.0</w:t>
            </w:r>
          </w:p>
        </w:tc>
        <w:tc>
          <w:tcPr>
            <w:tcW w:w="287" w:type="pct"/>
            <w:tcBorders>
              <w:top w:val="nil"/>
              <w:left w:val="nil"/>
              <w:bottom w:val="nil"/>
              <w:right w:val="nil"/>
            </w:tcBorders>
            <w:shd w:val="clear" w:color="auto" w:fill="auto"/>
            <w:noWrap/>
            <w:vAlign w:val="center"/>
            <w:hideMark/>
          </w:tcPr>
          <w:p w14:paraId="33A1DDD7" w14:textId="77777777" w:rsidR="008A1E55" w:rsidRPr="006B42D6" w:rsidRDefault="008A1E55" w:rsidP="00E16CAE">
            <w:pPr>
              <w:jc w:val="right"/>
              <w:rPr>
                <w:sz w:val="16"/>
                <w:szCs w:val="16"/>
              </w:rPr>
            </w:pPr>
            <w:r w:rsidRPr="006B42D6">
              <w:rPr>
                <w:sz w:val="16"/>
                <w:szCs w:val="16"/>
              </w:rPr>
              <w:t>-</w:t>
            </w:r>
          </w:p>
        </w:tc>
        <w:tc>
          <w:tcPr>
            <w:tcW w:w="287" w:type="pct"/>
            <w:tcBorders>
              <w:top w:val="nil"/>
              <w:left w:val="nil"/>
              <w:bottom w:val="nil"/>
              <w:right w:val="nil"/>
            </w:tcBorders>
            <w:shd w:val="clear" w:color="auto" w:fill="auto"/>
            <w:noWrap/>
            <w:vAlign w:val="center"/>
            <w:hideMark/>
          </w:tcPr>
          <w:p w14:paraId="63C852B3" w14:textId="77777777" w:rsidR="008A1E55" w:rsidRPr="006B42D6" w:rsidRDefault="008A1E55" w:rsidP="00E16CAE">
            <w:pPr>
              <w:jc w:val="right"/>
              <w:rPr>
                <w:sz w:val="16"/>
                <w:szCs w:val="16"/>
              </w:rPr>
            </w:pPr>
            <w:r w:rsidRPr="006B42D6">
              <w:rPr>
                <w:sz w:val="16"/>
                <w:szCs w:val="16"/>
              </w:rPr>
              <w:t>3.0</w:t>
            </w:r>
          </w:p>
        </w:tc>
        <w:tc>
          <w:tcPr>
            <w:tcW w:w="315" w:type="pct"/>
            <w:tcBorders>
              <w:top w:val="nil"/>
              <w:left w:val="nil"/>
              <w:bottom w:val="nil"/>
              <w:right w:val="nil"/>
            </w:tcBorders>
            <w:shd w:val="clear" w:color="auto" w:fill="auto"/>
            <w:noWrap/>
            <w:vAlign w:val="center"/>
            <w:hideMark/>
          </w:tcPr>
          <w:p w14:paraId="171995D1" w14:textId="77777777" w:rsidR="008A1E55" w:rsidRPr="006B42D6" w:rsidRDefault="008A1E55" w:rsidP="00E16CAE">
            <w:pPr>
              <w:jc w:val="right"/>
              <w:rPr>
                <w:sz w:val="16"/>
                <w:szCs w:val="16"/>
              </w:rPr>
            </w:pPr>
            <w:r w:rsidRPr="006B42D6">
              <w:rPr>
                <w:sz w:val="16"/>
                <w:szCs w:val="16"/>
              </w:rPr>
              <w:t>9.0</w:t>
            </w:r>
          </w:p>
        </w:tc>
        <w:tc>
          <w:tcPr>
            <w:tcW w:w="226" w:type="pct"/>
            <w:tcBorders>
              <w:top w:val="nil"/>
              <w:left w:val="nil"/>
              <w:bottom w:val="nil"/>
              <w:right w:val="nil"/>
            </w:tcBorders>
            <w:shd w:val="clear" w:color="auto" w:fill="auto"/>
            <w:noWrap/>
            <w:vAlign w:val="center"/>
            <w:hideMark/>
          </w:tcPr>
          <w:p w14:paraId="4B951EE9" w14:textId="77777777" w:rsidR="008A1E55" w:rsidRPr="006B42D6" w:rsidRDefault="008A1E55" w:rsidP="00E16CAE">
            <w:pPr>
              <w:jc w:val="right"/>
              <w:rPr>
                <w:sz w:val="16"/>
                <w:szCs w:val="16"/>
              </w:rPr>
            </w:pPr>
            <w:r w:rsidRPr="006B42D6">
              <w:rPr>
                <w:sz w:val="16"/>
                <w:szCs w:val="16"/>
              </w:rPr>
              <w:t>1.3</w:t>
            </w:r>
          </w:p>
        </w:tc>
      </w:tr>
      <w:tr w:rsidR="006B42D6" w:rsidRPr="006B42D6" w14:paraId="58989F56" w14:textId="77777777" w:rsidTr="0024189E">
        <w:trPr>
          <w:trHeight w:hRule="exact" w:val="198"/>
        </w:trPr>
        <w:tc>
          <w:tcPr>
            <w:tcW w:w="653" w:type="pct"/>
            <w:tcBorders>
              <w:top w:val="nil"/>
              <w:left w:val="nil"/>
              <w:bottom w:val="nil"/>
              <w:right w:val="nil"/>
            </w:tcBorders>
            <w:shd w:val="clear" w:color="auto" w:fill="auto"/>
            <w:noWrap/>
            <w:vAlign w:val="center"/>
            <w:hideMark/>
          </w:tcPr>
          <w:p w14:paraId="61A161AD" w14:textId="77777777" w:rsidR="008A1E55" w:rsidRPr="006B42D6" w:rsidRDefault="008A1E55" w:rsidP="00E16CAE">
            <w:pPr>
              <w:rPr>
                <w:sz w:val="16"/>
                <w:szCs w:val="16"/>
              </w:rPr>
            </w:pPr>
            <w:r w:rsidRPr="006B42D6">
              <w:rPr>
                <w:sz w:val="16"/>
                <w:szCs w:val="16"/>
              </w:rPr>
              <w:t>Pwani</w:t>
            </w:r>
          </w:p>
        </w:tc>
        <w:tc>
          <w:tcPr>
            <w:tcW w:w="302" w:type="pct"/>
            <w:tcBorders>
              <w:top w:val="nil"/>
              <w:left w:val="nil"/>
              <w:bottom w:val="nil"/>
              <w:right w:val="nil"/>
            </w:tcBorders>
            <w:shd w:val="clear" w:color="auto" w:fill="auto"/>
            <w:noWrap/>
            <w:vAlign w:val="center"/>
            <w:hideMark/>
          </w:tcPr>
          <w:p w14:paraId="072D1F57" w14:textId="77777777" w:rsidR="008A1E55" w:rsidRPr="006B42D6" w:rsidRDefault="008A1E55" w:rsidP="00E16CAE">
            <w:pPr>
              <w:jc w:val="right"/>
              <w:rPr>
                <w:sz w:val="16"/>
                <w:szCs w:val="16"/>
              </w:rPr>
            </w:pPr>
            <w:r w:rsidRPr="006B42D6">
              <w:rPr>
                <w:sz w:val="16"/>
                <w:szCs w:val="16"/>
              </w:rPr>
              <w:t>2.6</w:t>
            </w:r>
          </w:p>
        </w:tc>
        <w:tc>
          <w:tcPr>
            <w:tcW w:w="343" w:type="pct"/>
            <w:tcBorders>
              <w:top w:val="nil"/>
              <w:left w:val="nil"/>
              <w:bottom w:val="nil"/>
              <w:right w:val="nil"/>
            </w:tcBorders>
            <w:shd w:val="clear" w:color="auto" w:fill="auto"/>
            <w:noWrap/>
            <w:vAlign w:val="center"/>
            <w:hideMark/>
          </w:tcPr>
          <w:p w14:paraId="6917F8E3" w14:textId="77777777" w:rsidR="008A1E55" w:rsidRPr="006B42D6" w:rsidRDefault="008A1E55" w:rsidP="00E16CAE">
            <w:pPr>
              <w:jc w:val="right"/>
              <w:rPr>
                <w:sz w:val="16"/>
                <w:szCs w:val="16"/>
              </w:rPr>
            </w:pPr>
            <w:r w:rsidRPr="006B42D6">
              <w:rPr>
                <w:sz w:val="16"/>
                <w:szCs w:val="16"/>
              </w:rPr>
              <w:t>3.0</w:t>
            </w:r>
          </w:p>
        </w:tc>
        <w:tc>
          <w:tcPr>
            <w:tcW w:w="400" w:type="pct"/>
            <w:tcBorders>
              <w:top w:val="nil"/>
              <w:left w:val="nil"/>
              <w:bottom w:val="nil"/>
              <w:right w:val="nil"/>
            </w:tcBorders>
            <w:shd w:val="clear" w:color="auto" w:fill="auto"/>
            <w:noWrap/>
            <w:vAlign w:val="center"/>
            <w:hideMark/>
          </w:tcPr>
          <w:p w14:paraId="57B403B7" w14:textId="77777777" w:rsidR="008A1E55" w:rsidRPr="006B42D6" w:rsidRDefault="008A1E55" w:rsidP="00E16CAE">
            <w:pPr>
              <w:jc w:val="right"/>
              <w:rPr>
                <w:sz w:val="16"/>
                <w:szCs w:val="16"/>
              </w:rPr>
            </w:pPr>
            <w:r w:rsidRPr="006B42D6">
              <w:rPr>
                <w:sz w:val="16"/>
                <w:szCs w:val="16"/>
              </w:rPr>
              <w:t>3.1</w:t>
            </w:r>
          </w:p>
        </w:tc>
        <w:tc>
          <w:tcPr>
            <w:tcW w:w="363" w:type="pct"/>
            <w:tcBorders>
              <w:top w:val="nil"/>
              <w:left w:val="nil"/>
              <w:bottom w:val="nil"/>
              <w:right w:val="nil"/>
            </w:tcBorders>
            <w:shd w:val="clear" w:color="auto" w:fill="auto"/>
            <w:noWrap/>
            <w:vAlign w:val="center"/>
            <w:hideMark/>
          </w:tcPr>
          <w:p w14:paraId="2FFF68DC" w14:textId="77777777" w:rsidR="008A1E55" w:rsidRPr="006B42D6" w:rsidRDefault="008A1E55" w:rsidP="00E16CAE">
            <w:pPr>
              <w:jc w:val="right"/>
              <w:rPr>
                <w:sz w:val="16"/>
                <w:szCs w:val="16"/>
              </w:rPr>
            </w:pPr>
            <w:r w:rsidRPr="006B42D6">
              <w:rPr>
                <w:sz w:val="16"/>
                <w:szCs w:val="16"/>
              </w:rPr>
              <w:t>5.6</w:t>
            </w:r>
          </w:p>
        </w:tc>
        <w:tc>
          <w:tcPr>
            <w:tcW w:w="373" w:type="pct"/>
            <w:tcBorders>
              <w:top w:val="nil"/>
              <w:left w:val="nil"/>
              <w:bottom w:val="nil"/>
              <w:right w:val="nil"/>
            </w:tcBorders>
            <w:shd w:val="clear" w:color="auto" w:fill="auto"/>
            <w:noWrap/>
            <w:vAlign w:val="center"/>
            <w:hideMark/>
          </w:tcPr>
          <w:p w14:paraId="7466908B" w14:textId="77777777" w:rsidR="008A1E55" w:rsidRPr="006B42D6" w:rsidRDefault="008A1E55" w:rsidP="00E16CAE">
            <w:pPr>
              <w:jc w:val="right"/>
              <w:rPr>
                <w:sz w:val="16"/>
                <w:szCs w:val="16"/>
              </w:rPr>
            </w:pPr>
            <w:r w:rsidRPr="006B42D6">
              <w:rPr>
                <w:sz w:val="16"/>
                <w:szCs w:val="16"/>
              </w:rPr>
              <w:t>1.9</w:t>
            </w:r>
          </w:p>
        </w:tc>
        <w:tc>
          <w:tcPr>
            <w:tcW w:w="443" w:type="pct"/>
            <w:tcBorders>
              <w:top w:val="nil"/>
              <w:left w:val="nil"/>
              <w:bottom w:val="nil"/>
              <w:right w:val="nil"/>
            </w:tcBorders>
            <w:shd w:val="clear" w:color="auto" w:fill="auto"/>
            <w:noWrap/>
            <w:vAlign w:val="center"/>
            <w:hideMark/>
          </w:tcPr>
          <w:p w14:paraId="1DC40F6C" w14:textId="77777777" w:rsidR="008A1E55" w:rsidRPr="006B42D6" w:rsidRDefault="008A1E55" w:rsidP="00E16CAE">
            <w:pPr>
              <w:jc w:val="right"/>
              <w:rPr>
                <w:sz w:val="16"/>
                <w:szCs w:val="16"/>
              </w:rPr>
            </w:pPr>
            <w:r w:rsidRPr="006B42D6">
              <w:rPr>
                <w:sz w:val="16"/>
                <w:szCs w:val="16"/>
              </w:rPr>
              <w:t>1.2</w:t>
            </w:r>
          </w:p>
        </w:tc>
        <w:tc>
          <w:tcPr>
            <w:tcW w:w="371" w:type="pct"/>
            <w:tcBorders>
              <w:top w:val="nil"/>
              <w:left w:val="nil"/>
              <w:bottom w:val="nil"/>
              <w:right w:val="nil"/>
            </w:tcBorders>
            <w:shd w:val="clear" w:color="auto" w:fill="auto"/>
            <w:noWrap/>
            <w:vAlign w:val="center"/>
            <w:hideMark/>
          </w:tcPr>
          <w:p w14:paraId="05905D82" w14:textId="77777777" w:rsidR="008A1E55" w:rsidRPr="006B42D6" w:rsidRDefault="008A1E55" w:rsidP="00E16CAE">
            <w:pPr>
              <w:jc w:val="right"/>
              <w:rPr>
                <w:sz w:val="16"/>
                <w:szCs w:val="16"/>
              </w:rPr>
            </w:pPr>
            <w:r w:rsidRPr="006B42D6">
              <w:rPr>
                <w:sz w:val="16"/>
                <w:szCs w:val="16"/>
              </w:rPr>
              <w:t>0.8</w:t>
            </w:r>
          </w:p>
        </w:tc>
        <w:tc>
          <w:tcPr>
            <w:tcW w:w="352" w:type="pct"/>
            <w:tcBorders>
              <w:top w:val="nil"/>
              <w:left w:val="nil"/>
              <w:bottom w:val="nil"/>
              <w:right w:val="nil"/>
            </w:tcBorders>
            <w:shd w:val="clear" w:color="auto" w:fill="auto"/>
            <w:noWrap/>
            <w:vAlign w:val="center"/>
            <w:hideMark/>
          </w:tcPr>
          <w:p w14:paraId="0E5FEB58" w14:textId="77777777" w:rsidR="008A1E55" w:rsidRPr="006B42D6" w:rsidRDefault="008A1E55" w:rsidP="00E16CAE">
            <w:pPr>
              <w:jc w:val="right"/>
              <w:rPr>
                <w:sz w:val="16"/>
                <w:szCs w:val="16"/>
              </w:rPr>
            </w:pPr>
            <w:r w:rsidRPr="006B42D6">
              <w:rPr>
                <w:sz w:val="16"/>
                <w:szCs w:val="16"/>
              </w:rPr>
              <w:t>1.4</w:t>
            </w:r>
          </w:p>
        </w:tc>
        <w:tc>
          <w:tcPr>
            <w:tcW w:w="287" w:type="pct"/>
            <w:tcBorders>
              <w:top w:val="nil"/>
              <w:left w:val="nil"/>
              <w:bottom w:val="nil"/>
              <w:right w:val="nil"/>
            </w:tcBorders>
            <w:shd w:val="clear" w:color="auto" w:fill="auto"/>
            <w:noWrap/>
            <w:vAlign w:val="center"/>
            <w:hideMark/>
          </w:tcPr>
          <w:p w14:paraId="10D43B68" w14:textId="77777777" w:rsidR="008A1E55" w:rsidRPr="006B42D6" w:rsidRDefault="008A1E55" w:rsidP="00E16CAE">
            <w:pPr>
              <w:jc w:val="right"/>
              <w:rPr>
                <w:sz w:val="16"/>
                <w:szCs w:val="16"/>
              </w:rPr>
            </w:pPr>
            <w:r w:rsidRPr="006B42D6">
              <w:rPr>
                <w:sz w:val="16"/>
                <w:szCs w:val="16"/>
              </w:rPr>
              <w:t>4.2</w:t>
            </w:r>
          </w:p>
        </w:tc>
        <w:tc>
          <w:tcPr>
            <w:tcW w:w="287" w:type="pct"/>
            <w:tcBorders>
              <w:top w:val="nil"/>
              <w:left w:val="nil"/>
              <w:bottom w:val="nil"/>
              <w:right w:val="nil"/>
            </w:tcBorders>
            <w:shd w:val="clear" w:color="auto" w:fill="auto"/>
            <w:noWrap/>
            <w:vAlign w:val="center"/>
            <w:hideMark/>
          </w:tcPr>
          <w:p w14:paraId="38F7AD3E" w14:textId="77777777" w:rsidR="008A1E55" w:rsidRPr="006B42D6" w:rsidRDefault="008A1E55" w:rsidP="00E16CAE">
            <w:pPr>
              <w:jc w:val="right"/>
              <w:rPr>
                <w:sz w:val="16"/>
                <w:szCs w:val="16"/>
              </w:rPr>
            </w:pPr>
            <w:r w:rsidRPr="006B42D6">
              <w:rPr>
                <w:sz w:val="16"/>
                <w:szCs w:val="16"/>
              </w:rPr>
              <w:t>-</w:t>
            </w:r>
          </w:p>
        </w:tc>
        <w:tc>
          <w:tcPr>
            <w:tcW w:w="287" w:type="pct"/>
            <w:tcBorders>
              <w:top w:val="nil"/>
              <w:left w:val="nil"/>
              <w:bottom w:val="nil"/>
              <w:right w:val="nil"/>
            </w:tcBorders>
            <w:shd w:val="clear" w:color="auto" w:fill="auto"/>
            <w:noWrap/>
            <w:vAlign w:val="center"/>
            <w:hideMark/>
          </w:tcPr>
          <w:p w14:paraId="10BE00AA" w14:textId="77777777" w:rsidR="008A1E55" w:rsidRPr="006B42D6" w:rsidRDefault="008A1E55" w:rsidP="00E16CAE">
            <w:pPr>
              <w:jc w:val="right"/>
              <w:rPr>
                <w:sz w:val="16"/>
                <w:szCs w:val="16"/>
              </w:rPr>
            </w:pPr>
            <w:r w:rsidRPr="006B42D6">
              <w:rPr>
                <w:sz w:val="16"/>
                <w:szCs w:val="16"/>
              </w:rPr>
              <w:t>-</w:t>
            </w:r>
          </w:p>
        </w:tc>
        <w:tc>
          <w:tcPr>
            <w:tcW w:w="315" w:type="pct"/>
            <w:tcBorders>
              <w:top w:val="nil"/>
              <w:left w:val="nil"/>
              <w:bottom w:val="nil"/>
              <w:right w:val="nil"/>
            </w:tcBorders>
            <w:shd w:val="clear" w:color="auto" w:fill="auto"/>
            <w:noWrap/>
            <w:vAlign w:val="center"/>
            <w:hideMark/>
          </w:tcPr>
          <w:p w14:paraId="642C24C4" w14:textId="77777777" w:rsidR="008A1E55" w:rsidRPr="006B42D6" w:rsidRDefault="008A1E55" w:rsidP="00E16CAE">
            <w:pPr>
              <w:jc w:val="right"/>
              <w:rPr>
                <w:sz w:val="16"/>
                <w:szCs w:val="16"/>
              </w:rPr>
            </w:pPr>
            <w:r w:rsidRPr="006B42D6">
              <w:rPr>
                <w:sz w:val="16"/>
                <w:szCs w:val="16"/>
              </w:rPr>
              <w:t>1.6</w:t>
            </w:r>
          </w:p>
        </w:tc>
        <w:tc>
          <w:tcPr>
            <w:tcW w:w="226" w:type="pct"/>
            <w:tcBorders>
              <w:top w:val="nil"/>
              <w:left w:val="nil"/>
              <w:bottom w:val="nil"/>
              <w:right w:val="nil"/>
            </w:tcBorders>
            <w:shd w:val="clear" w:color="auto" w:fill="auto"/>
            <w:noWrap/>
            <w:vAlign w:val="center"/>
            <w:hideMark/>
          </w:tcPr>
          <w:p w14:paraId="0C8B5716" w14:textId="77777777" w:rsidR="008A1E55" w:rsidRPr="006B42D6" w:rsidRDefault="008A1E55" w:rsidP="00E16CAE">
            <w:pPr>
              <w:jc w:val="right"/>
              <w:rPr>
                <w:sz w:val="16"/>
                <w:szCs w:val="16"/>
              </w:rPr>
            </w:pPr>
            <w:r w:rsidRPr="006B42D6">
              <w:rPr>
                <w:sz w:val="16"/>
                <w:szCs w:val="16"/>
              </w:rPr>
              <w:t>1.6</w:t>
            </w:r>
          </w:p>
        </w:tc>
      </w:tr>
      <w:tr w:rsidR="006B42D6" w:rsidRPr="006B42D6" w14:paraId="372C3CBF" w14:textId="77777777" w:rsidTr="0024189E">
        <w:trPr>
          <w:trHeight w:hRule="exact" w:val="198"/>
        </w:trPr>
        <w:tc>
          <w:tcPr>
            <w:tcW w:w="653" w:type="pct"/>
            <w:tcBorders>
              <w:top w:val="nil"/>
              <w:left w:val="nil"/>
              <w:bottom w:val="nil"/>
              <w:right w:val="nil"/>
            </w:tcBorders>
            <w:shd w:val="clear" w:color="auto" w:fill="auto"/>
            <w:noWrap/>
            <w:vAlign w:val="center"/>
            <w:hideMark/>
          </w:tcPr>
          <w:p w14:paraId="722596DB" w14:textId="77777777" w:rsidR="008A1E55" w:rsidRPr="006B42D6" w:rsidRDefault="008A1E55" w:rsidP="00E16CAE">
            <w:pPr>
              <w:rPr>
                <w:sz w:val="16"/>
                <w:szCs w:val="16"/>
              </w:rPr>
            </w:pPr>
            <w:r w:rsidRPr="006B42D6">
              <w:rPr>
                <w:sz w:val="16"/>
                <w:szCs w:val="16"/>
              </w:rPr>
              <w:t>Dar Es Salaam</w:t>
            </w:r>
          </w:p>
        </w:tc>
        <w:tc>
          <w:tcPr>
            <w:tcW w:w="302" w:type="pct"/>
            <w:tcBorders>
              <w:top w:val="nil"/>
              <w:left w:val="nil"/>
              <w:bottom w:val="nil"/>
              <w:right w:val="nil"/>
            </w:tcBorders>
            <w:shd w:val="clear" w:color="auto" w:fill="auto"/>
            <w:noWrap/>
            <w:vAlign w:val="center"/>
            <w:hideMark/>
          </w:tcPr>
          <w:p w14:paraId="27194FFD" w14:textId="77777777" w:rsidR="008A1E55" w:rsidRPr="006B42D6" w:rsidRDefault="008A1E55" w:rsidP="00E16CAE">
            <w:pPr>
              <w:jc w:val="right"/>
              <w:rPr>
                <w:sz w:val="16"/>
                <w:szCs w:val="16"/>
              </w:rPr>
            </w:pPr>
            <w:r w:rsidRPr="006B42D6">
              <w:rPr>
                <w:sz w:val="16"/>
                <w:szCs w:val="16"/>
              </w:rPr>
              <w:t>10.1</w:t>
            </w:r>
          </w:p>
        </w:tc>
        <w:tc>
          <w:tcPr>
            <w:tcW w:w="343" w:type="pct"/>
            <w:tcBorders>
              <w:top w:val="nil"/>
              <w:left w:val="nil"/>
              <w:bottom w:val="nil"/>
              <w:right w:val="nil"/>
            </w:tcBorders>
            <w:shd w:val="clear" w:color="auto" w:fill="auto"/>
            <w:noWrap/>
            <w:vAlign w:val="center"/>
            <w:hideMark/>
          </w:tcPr>
          <w:p w14:paraId="111E5D47" w14:textId="77777777" w:rsidR="008A1E55" w:rsidRPr="006B42D6" w:rsidRDefault="008A1E55" w:rsidP="00E16CAE">
            <w:pPr>
              <w:jc w:val="right"/>
              <w:rPr>
                <w:sz w:val="16"/>
                <w:szCs w:val="16"/>
              </w:rPr>
            </w:pPr>
            <w:r w:rsidRPr="006B42D6">
              <w:rPr>
                <w:sz w:val="16"/>
                <w:szCs w:val="16"/>
              </w:rPr>
              <w:t>2.5</w:t>
            </w:r>
          </w:p>
        </w:tc>
        <w:tc>
          <w:tcPr>
            <w:tcW w:w="400" w:type="pct"/>
            <w:tcBorders>
              <w:top w:val="nil"/>
              <w:left w:val="nil"/>
              <w:bottom w:val="nil"/>
              <w:right w:val="nil"/>
            </w:tcBorders>
            <w:shd w:val="clear" w:color="auto" w:fill="auto"/>
            <w:noWrap/>
            <w:vAlign w:val="center"/>
            <w:hideMark/>
          </w:tcPr>
          <w:p w14:paraId="54ED2164" w14:textId="77777777" w:rsidR="008A1E55" w:rsidRPr="006B42D6" w:rsidRDefault="008A1E55" w:rsidP="00E16CAE">
            <w:pPr>
              <w:jc w:val="right"/>
              <w:rPr>
                <w:sz w:val="16"/>
                <w:szCs w:val="16"/>
              </w:rPr>
            </w:pPr>
            <w:r w:rsidRPr="006B42D6">
              <w:rPr>
                <w:sz w:val="16"/>
                <w:szCs w:val="16"/>
              </w:rPr>
              <w:t>2.7</w:t>
            </w:r>
          </w:p>
        </w:tc>
        <w:tc>
          <w:tcPr>
            <w:tcW w:w="363" w:type="pct"/>
            <w:tcBorders>
              <w:top w:val="nil"/>
              <w:left w:val="nil"/>
              <w:bottom w:val="nil"/>
              <w:right w:val="nil"/>
            </w:tcBorders>
            <w:shd w:val="clear" w:color="auto" w:fill="auto"/>
            <w:noWrap/>
            <w:vAlign w:val="center"/>
            <w:hideMark/>
          </w:tcPr>
          <w:p w14:paraId="2826E6CD" w14:textId="77777777" w:rsidR="008A1E55" w:rsidRPr="006B42D6" w:rsidRDefault="008A1E55" w:rsidP="00E16CAE">
            <w:pPr>
              <w:jc w:val="right"/>
              <w:rPr>
                <w:sz w:val="16"/>
                <w:szCs w:val="16"/>
              </w:rPr>
            </w:pPr>
            <w:r w:rsidRPr="006B42D6">
              <w:rPr>
                <w:sz w:val="16"/>
                <w:szCs w:val="16"/>
              </w:rPr>
              <w:t>0.5</w:t>
            </w:r>
          </w:p>
        </w:tc>
        <w:tc>
          <w:tcPr>
            <w:tcW w:w="373" w:type="pct"/>
            <w:tcBorders>
              <w:top w:val="nil"/>
              <w:left w:val="nil"/>
              <w:bottom w:val="nil"/>
              <w:right w:val="nil"/>
            </w:tcBorders>
            <w:shd w:val="clear" w:color="auto" w:fill="auto"/>
            <w:noWrap/>
            <w:vAlign w:val="center"/>
            <w:hideMark/>
          </w:tcPr>
          <w:p w14:paraId="77710868" w14:textId="77777777" w:rsidR="008A1E55" w:rsidRPr="006B42D6" w:rsidRDefault="008A1E55" w:rsidP="00E16CAE">
            <w:pPr>
              <w:jc w:val="right"/>
              <w:rPr>
                <w:sz w:val="16"/>
                <w:szCs w:val="16"/>
              </w:rPr>
            </w:pPr>
            <w:r w:rsidRPr="006B42D6">
              <w:rPr>
                <w:sz w:val="16"/>
                <w:szCs w:val="16"/>
              </w:rPr>
              <w:t>0.2</w:t>
            </w:r>
          </w:p>
        </w:tc>
        <w:tc>
          <w:tcPr>
            <w:tcW w:w="443" w:type="pct"/>
            <w:tcBorders>
              <w:top w:val="nil"/>
              <w:left w:val="nil"/>
              <w:bottom w:val="nil"/>
              <w:right w:val="nil"/>
            </w:tcBorders>
            <w:shd w:val="clear" w:color="auto" w:fill="auto"/>
            <w:noWrap/>
            <w:vAlign w:val="center"/>
            <w:hideMark/>
          </w:tcPr>
          <w:p w14:paraId="465C77FD" w14:textId="77777777" w:rsidR="008A1E55" w:rsidRPr="006B42D6" w:rsidRDefault="008A1E55" w:rsidP="00E16CAE">
            <w:pPr>
              <w:jc w:val="right"/>
              <w:rPr>
                <w:sz w:val="16"/>
                <w:szCs w:val="16"/>
              </w:rPr>
            </w:pPr>
            <w:r w:rsidRPr="006B42D6">
              <w:rPr>
                <w:sz w:val="16"/>
                <w:szCs w:val="16"/>
              </w:rPr>
              <w:t>0.2</w:t>
            </w:r>
          </w:p>
        </w:tc>
        <w:tc>
          <w:tcPr>
            <w:tcW w:w="371" w:type="pct"/>
            <w:tcBorders>
              <w:top w:val="nil"/>
              <w:left w:val="nil"/>
              <w:bottom w:val="nil"/>
              <w:right w:val="nil"/>
            </w:tcBorders>
            <w:shd w:val="clear" w:color="auto" w:fill="auto"/>
            <w:noWrap/>
            <w:vAlign w:val="center"/>
            <w:hideMark/>
          </w:tcPr>
          <w:p w14:paraId="647408A3" w14:textId="77777777" w:rsidR="008A1E55" w:rsidRPr="006B42D6" w:rsidRDefault="008A1E55" w:rsidP="00E16CAE">
            <w:pPr>
              <w:jc w:val="right"/>
              <w:rPr>
                <w:sz w:val="16"/>
                <w:szCs w:val="16"/>
              </w:rPr>
            </w:pPr>
            <w:r w:rsidRPr="006B42D6">
              <w:rPr>
                <w:sz w:val="16"/>
                <w:szCs w:val="16"/>
              </w:rPr>
              <w:t>2.6</w:t>
            </w:r>
          </w:p>
        </w:tc>
        <w:tc>
          <w:tcPr>
            <w:tcW w:w="352" w:type="pct"/>
            <w:tcBorders>
              <w:top w:val="nil"/>
              <w:left w:val="nil"/>
              <w:bottom w:val="nil"/>
              <w:right w:val="nil"/>
            </w:tcBorders>
            <w:shd w:val="clear" w:color="auto" w:fill="auto"/>
            <w:noWrap/>
            <w:vAlign w:val="center"/>
            <w:hideMark/>
          </w:tcPr>
          <w:p w14:paraId="527C4C5A" w14:textId="77777777" w:rsidR="008A1E55" w:rsidRPr="006B42D6" w:rsidRDefault="008A1E55" w:rsidP="00E16CAE">
            <w:pPr>
              <w:jc w:val="right"/>
              <w:rPr>
                <w:sz w:val="16"/>
                <w:szCs w:val="16"/>
              </w:rPr>
            </w:pPr>
            <w:r w:rsidRPr="006B42D6">
              <w:rPr>
                <w:sz w:val="16"/>
                <w:szCs w:val="16"/>
              </w:rPr>
              <w:t>-</w:t>
            </w:r>
          </w:p>
        </w:tc>
        <w:tc>
          <w:tcPr>
            <w:tcW w:w="287" w:type="pct"/>
            <w:tcBorders>
              <w:top w:val="nil"/>
              <w:left w:val="nil"/>
              <w:bottom w:val="nil"/>
              <w:right w:val="nil"/>
            </w:tcBorders>
            <w:shd w:val="clear" w:color="auto" w:fill="auto"/>
            <w:noWrap/>
            <w:vAlign w:val="center"/>
            <w:hideMark/>
          </w:tcPr>
          <w:p w14:paraId="0589EB32" w14:textId="77777777" w:rsidR="008A1E55" w:rsidRPr="006B42D6" w:rsidRDefault="008A1E55" w:rsidP="00E16CAE">
            <w:pPr>
              <w:jc w:val="right"/>
              <w:rPr>
                <w:sz w:val="16"/>
                <w:szCs w:val="16"/>
              </w:rPr>
            </w:pPr>
            <w:r w:rsidRPr="006B42D6">
              <w:rPr>
                <w:sz w:val="16"/>
                <w:szCs w:val="16"/>
              </w:rPr>
              <w:t>31.4</w:t>
            </w:r>
          </w:p>
        </w:tc>
        <w:tc>
          <w:tcPr>
            <w:tcW w:w="287" w:type="pct"/>
            <w:tcBorders>
              <w:top w:val="nil"/>
              <w:left w:val="nil"/>
              <w:bottom w:val="nil"/>
              <w:right w:val="nil"/>
            </w:tcBorders>
            <w:shd w:val="clear" w:color="auto" w:fill="auto"/>
            <w:noWrap/>
            <w:vAlign w:val="center"/>
            <w:hideMark/>
          </w:tcPr>
          <w:p w14:paraId="1710901E" w14:textId="77777777" w:rsidR="008A1E55" w:rsidRPr="006B42D6" w:rsidRDefault="008A1E55" w:rsidP="00E16CAE">
            <w:pPr>
              <w:jc w:val="right"/>
              <w:rPr>
                <w:sz w:val="16"/>
                <w:szCs w:val="16"/>
              </w:rPr>
            </w:pPr>
            <w:r w:rsidRPr="006B42D6">
              <w:rPr>
                <w:sz w:val="16"/>
                <w:szCs w:val="16"/>
              </w:rPr>
              <w:t>60.4</w:t>
            </w:r>
          </w:p>
        </w:tc>
        <w:tc>
          <w:tcPr>
            <w:tcW w:w="287" w:type="pct"/>
            <w:tcBorders>
              <w:top w:val="nil"/>
              <w:left w:val="nil"/>
              <w:bottom w:val="nil"/>
              <w:right w:val="nil"/>
            </w:tcBorders>
            <w:shd w:val="clear" w:color="auto" w:fill="auto"/>
            <w:noWrap/>
            <w:vAlign w:val="center"/>
            <w:hideMark/>
          </w:tcPr>
          <w:p w14:paraId="71759627" w14:textId="77777777" w:rsidR="008A1E55" w:rsidRPr="006B42D6" w:rsidRDefault="008A1E55" w:rsidP="00E16CAE">
            <w:pPr>
              <w:jc w:val="right"/>
              <w:rPr>
                <w:sz w:val="16"/>
                <w:szCs w:val="16"/>
              </w:rPr>
            </w:pPr>
            <w:r w:rsidRPr="006B42D6">
              <w:rPr>
                <w:sz w:val="16"/>
                <w:szCs w:val="16"/>
              </w:rPr>
              <w:t>69.1</w:t>
            </w:r>
          </w:p>
        </w:tc>
        <w:tc>
          <w:tcPr>
            <w:tcW w:w="315" w:type="pct"/>
            <w:tcBorders>
              <w:top w:val="nil"/>
              <w:left w:val="nil"/>
              <w:bottom w:val="nil"/>
              <w:right w:val="nil"/>
            </w:tcBorders>
            <w:shd w:val="clear" w:color="auto" w:fill="auto"/>
            <w:noWrap/>
            <w:vAlign w:val="center"/>
            <w:hideMark/>
          </w:tcPr>
          <w:p w14:paraId="470E4C68" w14:textId="77777777" w:rsidR="008A1E55" w:rsidRPr="006B42D6" w:rsidRDefault="008A1E55" w:rsidP="00E16CAE">
            <w:pPr>
              <w:jc w:val="right"/>
              <w:rPr>
                <w:sz w:val="16"/>
                <w:szCs w:val="16"/>
              </w:rPr>
            </w:pPr>
            <w:r w:rsidRPr="006B42D6">
              <w:rPr>
                <w:sz w:val="16"/>
                <w:szCs w:val="16"/>
              </w:rPr>
              <w:t>0.6</w:t>
            </w:r>
          </w:p>
        </w:tc>
        <w:tc>
          <w:tcPr>
            <w:tcW w:w="226" w:type="pct"/>
            <w:tcBorders>
              <w:top w:val="nil"/>
              <w:left w:val="nil"/>
              <w:bottom w:val="nil"/>
              <w:right w:val="nil"/>
            </w:tcBorders>
            <w:shd w:val="clear" w:color="auto" w:fill="auto"/>
            <w:noWrap/>
            <w:vAlign w:val="center"/>
            <w:hideMark/>
          </w:tcPr>
          <w:p w14:paraId="0A95FD8A" w14:textId="77777777" w:rsidR="008A1E55" w:rsidRPr="006B42D6" w:rsidRDefault="008A1E55" w:rsidP="00E16CAE">
            <w:pPr>
              <w:jc w:val="right"/>
              <w:rPr>
                <w:sz w:val="16"/>
                <w:szCs w:val="16"/>
              </w:rPr>
            </w:pPr>
            <w:r w:rsidRPr="006B42D6">
              <w:rPr>
                <w:sz w:val="16"/>
                <w:szCs w:val="16"/>
              </w:rPr>
              <w:t>1.9</w:t>
            </w:r>
          </w:p>
        </w:tc>
      </w:tr>
      <w:tr w:rsidR="006B42D6" w:rsidRPr="006B42D6" w14:paraId="526285F7" w14:textId="77777777" w:rsidTr="0024189E">
        <w:trPr>
          <w:trHeight w:hRule="exact" w:val="198"/>
        </w:trPr>
        <w:tc>
          <w:tcPr>
            <w:tcW w:w="653" w:type="pct"/>
            <w:tcBorders>
              <w:top w:val="nil"/>
              <w:left w:val="nil"/>
              <w:bottom w:val="nil"/>
              <w:right w:val="nil"/>
            </w:tcBorders>
            <w:shd w:val="clear" w:color="auto" w:fill="auto"/>
            <w:noWrap/>
            <w:vAlign w:val="center"/>
            <w:hideMark/>
          </w:tcPr>
          <w:p w14:paraId="37234C45" w14:textId="77777777" w:rsidR="008A1E55" w:rsidRPr="006B42D6" w:rsidRDefault="008A1E55" w:rsidP="00E16CAE">
            <w:pPr>
              <w:rPr>
                <w:sz w:val="16"/>
                <w:szCs w:val="16"/>
              </w:rPr>
            </w:pPr>
            <w:r w:rsidRPr="006B42D6">
              <w:rPr>
                <w:sz w:val="16"/>
                <w:szCs w:val="16"/>
              </w:rPr>
              <w:t>Lindi</w:t>
            </w:r>
          </w:p>
        </w:tc>
        <w:tc>
          <w:tcPr>
            <w:tcW w:w="302" w:type="pct"/>
            <w:tcBorders>
              <w:top w:val="nil"/>
              <w:left w:val="nil"/>
              <w:bottom w:val="nil"/>
              <w:right w:val="nil"/>
            </w:tcBorders>
            <w:shd w:val="clear" w:color="auto" w:fill="auto"/>
            <w:noWrap/>
            <w:vAlign w:val="center"/>
            <w:hideMark/>
          </w:tcPr>
          <w:p w14:paraId="6031C795" w14:textId="77777777" w:rsidR="008A1E55" w:rsidRPr="006B42D6" w:rsidRDefault="008A1E55" w:rsidP="00E16CAE">
            <w:pPr>
              <w:jc w:val="right"/>
              <w:rPr>
                <w:sz w:val="16"/>
                <w:szCs w:val="16"/>
              </w:rPr>
            </w:pPr>
            <w:r w:rsidRPr="006B42D6">
              <w:rPr>
                <w:sz w:val="16"/>
                <w:szCs w:val="16"/>
              </w:rPr>
              <w:t>3.5</w:t>
            </w:r>
          </w:p>
        </w:tc>
        <w:tc>
          <w:tcPr>
            <w:tcW w:w="343" w:type="pct"/>
            <w:tcBorders>
              <w:top w:val="nil"/>
              <w:left w:val="nil"/>
              <w:bottom w:val="nil"/>
              <w:right w:val="nil"/>
            </w:tcBorders>
            <w:shd w:val="clear" w:color="auto" w:fill="auto"/>
            <w:noWrap/>
            <w:vAlign w:val="center"/>
            <w:hideMark/>
          </w:tcPr>
          <w:p w14:paraId="70C29B22" w14:textId="77777777" w:rsidR="008A1E55" w:rsidRPr="006B42D6" w:rsidRDefault="008A1E55" w:rsidP="00E16CAE">
            <w:pPr>
              <w:jc w:val="right"/>
              <w:rPr>
                <w:sz w:val="16"/>
                <w:szCs w:val="16"/>
              </w:rPr>
            </w:pPr>
            <w:r w:rsidRPr="006B42D6">
              <w:rPr>
                <w:sz w:val="16"/>
                <w:szCs w:val="16"/>
              </w:rPr>
              <w:t>3.4</w:t>
            </w:r>
          </w:p>
        </w:tc>
        <w:tc>
          <w:tcPr>
            <w:tcW w:w="400" w:type="pct"/>
            <w:tcBorders>
              <w:top w:val="nil"/>
              <w:left w:val="nil"/>
              <w:bottom w:val="nil"/>
              <w:right w:val="nil"/>
            </w:tcBorders>
            <w:shd w:val="clear" w:color="auto" w:fill="auto"/>
            <w:noWrap/>
            <w:vAlign w:val="center"/>
            <w:hideMark/>
          </w:tcPr>
          <w:p w14:paraId="74C658CA" w14:textId="77777777" w:rsidR="008A1E55" w:rsidRPr="006B42D6" w:rsidRDefault="008A1E55" w:rsidP="00E16CAE">
            <w:pPr>
              <w:jc w:val="right"/>
              <w:rPr>
                <w:sz w:val="16"/>
                <w:szCs w:val="16"/>
              </w:rPr>
            </w:pPr>
            <w:r w:rsidRPr="006B42D6">
              <w:rPr>
                <w:sz w:val="16"/>
                <w:szCs w:val="16"/>
              </w:rPr>
              <w:t>0.9</w:t>
            </w:r>
          </w:p>
        </w:tc>
        <w:tc>
          <w:tcPr>
            <w:tcW w:w="363" w:type="pct"/>
            <w:tcBorders>
              <w:top w:val="nil"/>
              <w:left w:val="nil"/>
              <w:bottom w:val="nil"/>
              <w:right w:val="nil"/>
            </w:tcBorders>
            <w:shd w:val="clear" w:color="auto" w:fill="auto"/>
            <w:noWrap/>
            <w:vAlign w:val="center"/>
            <w:hideMark/>
          </w:tcPr>
          <w:p w14:paraId="78493DE2" w14:textId="77777777" w:rsidR="008A1E55" w:rsidRPr="006B42D6" w:rsidRDefault="008A1E55" w:rsidP="00E16CAE">
            <w:pPr>
              <w:jc w:val="right"/>
              <w:rPr>
                <w:sz w:val="16"/>
                <w:szCs w:val="16"/>
              </w:rPr>
            </w:pPr>
            <w:r w:rsidRPr="006B42D6">
              <w:rPr>
                <w:sz w:val="16"/>
                <w:szCs w:val="16"/>
              </w:rPr>
              <w:t>2.9</w:t>
            </w:r>
          </w:p>
        </w:tc>
        <w:tc>
          <w:tcPr>
            <w:tcW w:w="373" w:type="pct"/>
            <w:tcBorders>
              <w:top w:val="nil"/>
              <w:left w:val="nil"/>
              <w:bottom w:val="nil"/>
              <w:right w:val="nil"/>
            </w:tcBorders>
            <w:shd w:val="clear" w:color="auto" w:fill="auto"/>
            <w:noWrap/>
            <w:vAlign w:val="center"/>
            <w:hideMark/>
          </w:tcPr>
          <w:p w14:paraId="2CD7F4B9" w14:textId="77777777" w:rsidR="008A1E55" w:rsidRPr="006B42D6" w:rsidRDefault="008A1E55" w:rsidP="00E16CAE">
            <w:pPr>
              <w:jc w:val="right"/>
              <w:rPr>
                <w:sz w:val="16"/>
                <w:szCs w:val="16"/>
              </w:rPr>
            </w:pPr>
            <w:r w:rsidRPr="006B42D6">
              <w:rPr>
                <w:sz w:val="16"/>
                <w:szCs w:val="16"/>
              </w:rPr>
              <w:t>2.2</w:t>
            </w:r>
          </w:p>
        </w:tc>
        <w:tc>
          <w:tcPr>
            <w:tcW w:w="443" w:type="pct"/>
            <w:tcBorders>
              <w:top w:val="nil"/>
              <w:left w:val="nil"/>
              <w:bottom w:val="nil"/>
              <w:right w:val="nil"/>
            </w:tcBorders>
            <w:shd w:val="clear" w:color="auto" w:fill="auto"/>
            <w:noWrap/>
            <w:vAlign w:val="center"/>
            <w:hideMark/>
          </w:tcPr>
          <w:p w14:paraId="73D42D27" w14:textId="77777777" w:rsidR="008A1E55" w:rsidRPr="006B42D6" w:rsidRDefault="008A1E55" w:rsidP="00E16CAE">
            <w:pPr>
              <w:jc w:val="right"/>
              <w:rPr>
                <w:sz w:val="16"/>
                <w:szCs w:val="16"/>
              </w:rPr>
            </w:pPr>
            <w:r w:rsidRPr="006B42D6">
              <w:rPr>
                <w:sz w:val="16"/>
                <w:szCs w:val="16"/>
              </w:rPr>
              <w:t>2.2</w:t>
            </w:r>
          </w:p>
        </w:tc>
        <w:tc>
          <w:tcPr>
            <w:tcW w:w="371" w:type="pct"/>
            <w:tcBorders>
              <w:top w:val="nil"/>
              <w:left w:val="nil"/>
              <w:bottom w:val="nil"/>
              <w:right w:val="nil"/>
            </w:tcBorders>
            <w:shd w:val="clear" w:color="auto" w:fill="auto"/>
            <w:noWrap/>
            <w:vAlign w:val="center"/>
            <w:hideMark/>
          </w:tcPr>
          <w:p w14:paraId="2DD52A1B" w14:textId="77777777" w:rsidR="008A1E55" w:rsidRPr="006B42D6" w:rsidRDefault="008A1E55" w:rsidP="00E16CAE">
            <w:pPr>
              <w:jc w:val="right"/>
              <w:rPr>
                <w:sz w:val="16"/>
                <w:szCs w:val="16"/>
              </w:rPr>
            </w:pPr>
            <w:r w:rsidRPr="006B42D6">
              <w:rPr>
                <w:sz w:val="16"/>
                <w:szCs w:val="16"/>
              </w:rPr>
              <w:t>4.1</w:t>
            </w:r>
          </w:p>
        </w:tc>
        <w:tc>
          <w:tcPr>
            <w:tcW w:w="352" w:type="pct"/>
            <w:tcBorders>
              <w:top w:val="nil"/>
              <w:left w:val="nil"/>
              <w:bottom w:val="nil"/>
              <w:right w:val="nil"/>
            </w:tcBorders>
            <w:shd w:val="clear" w:color="auto" w:fill="auto"/>
            <w:noWrap/>
            <w:vAlign w:val="center"/>
            <w:hideMark/>
          </w:tcPr>
          <w:p w14:paraId="65BD07E0" w14:textId="77777777" w:rsidR="008A1E55" w:rsidRPr="006B42D6" w:rsidRDefault="008A1E55" w:rsidP="00E16CAE">
            <w:pPr>
              <w:jc w:val="right"/>
              <w:rPr>
                <w:sz w:val="16"/>
                <w:szCs w:val="16"/>
              </w:rPr>
            </w:pPr>
            <w:r w:rsidRPr="006B42D6">
              <w:rPr>
                <w:sz w:val="16"/>
                <w:szCs w:val="16"/>
              </w:rPr>
              <w:t>0.8</w:t>
            </w:r>
          </w:p>
        </w:tc>
        <w:tc>
          <w:tcPr>
            <w:tcW w:w="287" w:type="pct"/>
            <w:tcBorders>
              <w:top w:val="nil"/>
              <w:left w:val="nil"/>
              <w:bottom w:val="nil"/>
              <w:right w:val="nil"/>
            </w:tcBorders>
            <w:shd w:val="clear" w:color="auto" w:fill="auto"/>
            <w:noWrap/>
            <w:vAlign w:val="center"/>
            <w:hideMark/>
          </w:tcPr>
          <w:p w14:paraId="1FE413D0" w14:textId="77777777" w:rsidR="008A1E55" w:rsidRPr="006B42D6" w:rsidRDefault="008A1E55" w:rsidP="00E16CAE">
            <w:pPr>
              <w:jc w:val="right"/>
              <w:rPr>
                <w:sz w:val="16"/>
                <w:szCs w:val="16"/>
              </w:rPr>
            </w:pPr>
            <w:r w:rsidRPr="006B42D6">
              <w:rPr>
                <w:sz w:val="16"/>
                <w:szCs w:val="16"/>
              </w:rPr>
              <w:t>5.4</w:t>
            </w:r>
          </w:p>
        </w:tc>
        <w:tc>
          <w:tcPr>
            <w:tcW w:w="287" w:type="pct"/>
            <w:tcBorders>
              <w:top w:val="nil"/>
              <w:left w:val="nil"/>
              <w:bottom w:val="nil"/>
              <w:right w:val="nil"/>
            </w:tcBorders>
            <w:shd w:val="clear" w:color="auto" w:fill="auto"/>
            <w:noWrap/>
            <w:vAlign w:val="center"/>
            <w:hideMark/>
          </w:tcPr>
          <w:p w14:paraId="0BD8DA92" w14:textId="77777777" w:rsidR="008A1E55" w:rsidRPr="006B42D6" w:rsidRDefault="008A1E55" w:rsidP="00E16CAE">
            <w:pPr>
              <w:jc w:val="right"/>
              <w:rPr>
                <w:sz w:val="16"/>
                <w:szCs w:val="16"/>
              </w:rPr>
            </w:pPr>
            <w:r w:rsidRPr="006B42D6">
              <w:rPr>
                <w:sz w:val="16"/>
                <w:szCs w:val="16"/>
              </w:rPr>
              <w:t>0.9</w:t>
            </w:r>
          </w:p>
        </w:tc>
        <w:tc>
          <w:tcPr>
            <w:tcW w:w="287" w:type="pct"/>
            <w:tcBorders>
              <w:top w:val="nil"/>
              <w:left w:val="nil"/>
              <w:bottom w:val="nil"/>
              <w:right w:val="nil"/>
            </w:tcBorders>
            <w:shd w:val="clear" w:color="auto" w:fill="auto"/>
            <w:noWrap/>
            <w:vAlign w:val="center"/>
            <w:hideMark/>
          </w:tcPr>
          <w:p w14:paraId="1945DBDF" w14:textId="77777777" w:rsidR="008A1E55" w:rsidRPr="006B42D6" w:rsidRDefault="008A1E55" w:rsidP="00E16CAE">
            <w:pPr>
              <w:jc w:val="right"/>
              <w:rPr>
                <w:sz w:val="16"/>
                <w:szCs w:val="16"/>
              </w:rPr>
            </w:pPr>
            <w:r w:rsidRPr="006B42D6">
              <w:rPr>
                <w:sz w:val="16"/>
                <w:szCs w:val="16"/>
              </w:rPr>
              <w:t>-</w:t>
            </w:r>
          </w:p>
        </w:tc>
        <w:tc>
          <w:tcPr>
            <w:tcW w:w="315" w:type="pct"/>
            <w:tcBorders>
              <w:top w:val="nil"/>
              <w:left w:val="nil"/>
              <w:bottom w:val="nil"/>
              <w:right w:val="nil"/>
            </w:tcBorders>
            <w:shd w:val="clear" w:color="auto" w:fill="auto"/>
            <w:noWrap/>
            <w:vAlign w:val="center"/>
            <w:hideMark/>
          </w:tcPr>
          <w:p w14:paraId="2810C2C5" w14:textId="77777777" w:rsidR="008A1E55" w:rsidRPr="006B42D6" w:rsidRDefault="008A1E55" w:rsidP="00E16CAE">
            <w:pPr>
              <w:jc w:val="right"/>
              <w:rPr>
                <w:sz w:val="16"/>
                <w:szCs w:val="16"/>
              </w:rPr>
            </w:pPr>
            <w:r w:rsidRPr="006B42D6">
              <w:rPr>
                <w:sz w:val="16"/>
                <w:szCs w:val="16"/>
              </w:rPr>
              <w:t>1.8</w:t>
            </w:r>
          </w:p>
        </w:tc>
        <w:tc>
          <w:tcPr>
            <w:tcW w:w="226" w:type="pct"/>
            <w:tcBorders>
              <w:top w:val="nil"/>
              <w:left w:val="nil"/>
              <w:bottom w:val="nil"/>
              <w:right w:val="nil"/>
            </w:tcBorders>
            <w:shd w:val="clear" w:color="auto" w:fill="auto"/>
            <w:noWrap/>
            <w:vAlign w:val="center"/>
            <w:hideMark/>
          </w:tcPr>
          <w:p w14:paraId="260CC15B" w14:textId="77777777" w:rsidR="008A1E55" w:rsidRPr="006B42D6" w:rsidRDefault="008A1E55" w:rsidP="00E16CAE">
            <w:pPr>
              <w:jc w:val="right"/>
              <w:rPr>
                <w:sz w:val="16"/>
                <w:szCs w:val="16"/>
              </w:rPr>
            </w:pPr>
            <w:r w:rsidRPr="006B42D6">
              <w:rPr>
                <w:sz w:val="16"/>
                <w:szCs w:val="16"/>
              </w:rPr>
              <w:t>3.1</w:t>
            </w:r>
          </w:p>
        </w:tc>
      </w:tr>
      <w:tr w:rsidR="006B42D6" w:rsidRPr="006B42D6" w14:paraId="2A9976B3" w14:textId="77777777" w:rsidTr="0024189E">
        <w:trPr>
          <w:trHeight w:hRule="exact" w:val="198"/>
        </w:trPr>
        <w:tc>
          <w:tcPr>
            <w:tcW w:w="653" w:type="pct"/>
            <w:tcBorders>
              <w:top w:val="nil"/>
              <w:left w:val="nil"/>
              <w:bottom w:val="nil"/>
              <w:right w:val="nil"/>
            </w:tcBorders>
            <w:shd w:val="clear" w:color="auto" w:fill="auto"/>
            <w:noWrap/>
            <w:vAlign w:val="center"/>
            <w:hideMark/>
          </w:tcPr>
          <w:p w14:paraId="28BA40A1" w14:textId="77777777" w:rsidR="008A1E55" w:rsidRPr="006B42D6" w:rsidRDefault="008A1E55" w:rsidP="00E16CAE">
            <w:pPr>
              <w:rPr>
                <w:sz w:val="16"/>
                <w:szCs w:val="16"/>
              </w:rPr>
            </w:pPr>
            <w:r w:rsidRPr="006B42D6">
              <w:rPr>
                <w:sz w:val="16"/>
                <w:szCs w:val="16"/>
              </w:rPr>
              <w:t>Mtwara</w:t>
            </w:r>
          </w:p>
        </w:tc>
        <w:tc>
          <w:tcPr>
            <w:tcW w:w="302" w:type="pct"/>
            <w:tcBorders>
              <w:top w:val="nil"/>
              <w:left w:val="nil"/>
              <w:bottom w:val="nil"/>
              <w:right w:val="nil"/>
            </w:tcBorders>
            <w:shd w:val="clear" w:color="auto" w:fill="auto"/>
            <w:noWrap/>
            <w:vAlign w:val="center"/>
            <w:hideMark/>
          </w:tcPr>
          <w:p w14:paraId="0C4E298C" w14:textId="77777777" w:rsidR="008A1E55" w:rsidRPr="006B42D6" w:rsidRDefault="008A1E55" w:rsidP="00E16CAE">
            <w:pPr>
              <w:jc w:val="right"/>
              <w:rPr>
                <w:sz w:val="16"/>
                <w:szCs w:val="16"/>
              </w:rPr>
            </w:pPr>
            <w:r w:rsidRPr="006B42D6">
              <w:rPr>
                <w:sz w:val="16"/>
                <w:szCs w:val="16"/>
              </w:rPr>
              <w:t>3.1</w:t>
            </w:r>
          </w:p>
        </w:tc>
        <w:tc>
          <w:tcPr>
            <w:tcW w:w="343" w:type="pct"/>
            <w:tcBorders>
              <w:top w:val="nil"/>
              <w:left w:val="nil"/>
              <w:bottom w:val="nil"/>
              <w:right w:val="nil"/>
            </w:tcBorders>
            <w:shd w:val="clear" w:color="auto" w:fill="auto"/>
            <w:noWrap/>
            <w:vAlign w:val="center"/>
            <w:hideMark/>
          </w:tcPr>
          <w:p w14:paraId="2D9C9728" w14:textId="77777777" w:rsidR="008A1E55" w:rsidRPr="006B42D6" w:rsidRDefault="008A1E55" w:rsidP="00E16CAE">
            <w:pPr>
              <w:jc w:val="right"/>
              <w:rPr>
                <w:sz w:val="16"/>
                <w:szCs w:val="16"/>
              </w:rPr>
            </w:pPr>
            <w:r w:rsidRPr="006B42D6">
              <w:rPr>
                <w:sz w:val="16"/>
                <w:szCs w:val="16"/>
              </w:rPr>
              <w:t>6.0</w:t>
            </w:r>
          </w:p>
        </w:tc>
        <w:tc>
          <w:tcPr>
            <w:tcW w:w="400" w:type="pct"/>
            <w:tcBorders>
              <w:top w:val="nil"/>
              <w:left w:val="nil"/>
              <w:bottom w:val="nil"/>
              <w:right w:val="nil"/>
            </w:tcBorders>
            <w:shd w:val="clear" w:color="auto" w:fill="auto"/>
            <w:noWrap/>
            <w:vAlign w:val="center"/>
            <w:hideMark/>
          </w:tcPr>
          <w:p w14:paraId="6B5FB551" w14:textId="77777777" w:rsidR="008A1E55" w:rsidRPr="006B42D6" w:rsidRDefault="008A1E55" w:rsidP="00E16CAE">
            <w:pPr>
              <w:jc w:val="right"/>
              <w:rPr>
                <w:sz w:val="16"/>
                <w:szCs w:val="16"/>
              </w:rPr>
            </w:pPr>
            <w:r w:rsidRPr="006B42D6">
              <w:rPr>
                <w:sz w:val="16"/>
                <w:szCs w:val="16"/>
              </w:rPr>
              <w:t>3.1</w:t>
            </w:r>
          </w:p>
        </w:tc>
        <w:tc>
          <w:tcPr>
            <w:tcW w:w="363" w:type="pct"/>
            <w:tcBorders>
              <w:top w:val="nil"/>
              <w:left w:val="nil"/>
              <w:bottom w:val="nil"/>
              <w:right w:val="nil"/>
            </w:tcBorders>
            <w:shd w:val="clear" w:color="auto" w:fill="auto"/>
            <w:noWrap/>
            <w:vAlign w:val="center"/>
            <w:hideMark/>
          </w:tcPr>
          <w:p w14:paraId="51BBD1D2" w14:textId="77777777" w:rsidR="008A1E55" w:rsidRPr="006B42D6" w:rsidRDefault="008A1E55" w:rsidP="00E16CAE">
            <w:pPr>
              <w:jc w:val="right"/>
              <w:rPr>
                <w:sz w:val="16"/>
                <w:szCs w:val="16"/>
              </w:rPr>
            </w:pPr>
            <w:r w:rsidRPr="006B42D6">
              <w:rPr>
                <w:sz w:val="16"/>
                <w:szCs w:val="16"/>
              </w:rPr>
              <w:t>3.7</w:t>
            </w:r>
          </w:p>
        </w:tc>
        <w:tc>
          <w:tcPr>
            <w:tcW w:w="373" w:type="pct"/>
            <w:tcBorders>
              <w:top w:val="nil"/>
              <w:left w:val="nil"/>
              <w:bottom w:val="nil"/>
              <w:right w:val="nil"/>
            </w:tcBorders>
            <w:shd w:val="clear" w:color="auto" w:fill="auto"/>
            <w:noWrap/>
            <w:vAlign w:val="center"/>
            <w:hideMark/>
          </w:tcPr>
          <w:p w14:paraId="2D6D469F" w14:textId="77777777" w:rsidR="008A1E55" w:rsidRPr="006B42D6" w:rsidRDefault="008A1E55" w:rsidP="00E16CAE">
            <w:pPr>
              <w:jc w:val="right"/>
              <w:rPr>
                <w:sz w:val="16"/>
                <w:szCs w:val="16"/>
              </w:rPr>
            </w:pPr>
            <w:r w:rsidRPr="006B42D6">
              <w:rPr>
                <w:sz w:val="16"/>
                <w:szCs w:val="16"/>
              </w:rPr>
              <w:t>3.8</w:t>
            </w:r>
          </w:p>
        </w:tc>
        <w:tc>
          <w:tcPr>
            <w:tcW w:w="443" w:type="pct"/>
            <w:tcBorders>
              <w:top w:val="nil"/>
              <w:left w:val="nil"/>
              <w:bottom w:val="nil"/>
              <w:right w:val="nil"/>
            </w:tcBorders>
            <w:shd w:val="clear" w:color="auto" w:fill="auto"/>
            <w:noWrap/>
            <w:vAlign w:val="center"/>
            <w:hideMark/>
          </w:tcPr>
          <w:p w14:paraId="543B19BA" w14:textId="77777777" w:rsidR="008A1E55" w:rsidRPr="006B42D6" w:rsidRDefault="008A1E55" w:rsidP="00E16CAE">
            <w:pPr>
              <w:jc w:val="right"/>
              <w:rPr>
                <w:sz w:val="16"/>
                <w:szCs w:val="16"/>
              </w:rPr>
            </w:pPr>
            <w:r w:rsidRPr="006B42D6">
              <w:rPr>
                <w:sz w:val="16"/>
                <w:szCs w:val="16"/>
              </w:rPr>
              <w:t>3.0</w:t>
            </w:r>
          </w:p>
        </w:tc>
        <w:tc>
          <w:tcPr>
            <w:tcW w:w="371" w:type="pct"/>
            <w:tcBorders>
              <w:top w:val="nil"/>
              <w:left w:val="nil"/>
              <w:bottom w:val="nil"/>
              <w:right w:val="nil"/>
            </w:tcBorders>
            <w:shd w:val="clear" w:color="auto" w:fill="auto"/>
            <w:noWrap/>
            <w:vAlign w:val="center"/>
            <w:hideMark/>
          </w:tcPr>
          <w:p w14:paraId="7A56D7D9" w14:textId="77777777" w:rsidR="008A1E55" w:rsidRPr="006B42D6" w:rsidRDefault="008A1E55" w:rsidP="00E16CAE">
            <w:pPr>
              <w:jc w:val="right"/>
              <w:rPr>
                <w:sz w:val="16"/>
                <w:szCs w:val="16"/>
              </w:rPr>
            </w:pPr>
            <w:r w:rsidRPr="006B42D6">
              <w:rPr>
                <w:sz w:val="16"/>
                <w:szCs w:val="16"/>
              </w:rPr>
              <w:t>36.6</w:t>
            </w:r>
          </w:p>
        </w:tc>
        <w:tc>
          <w:tcPr>
            <w:tcW w:w="352" w:type="pct"/>
            <w:tcBorders>
              <w:top w:val="nil"/>
              <w:left w:val="nil"/>
              <w:bottom w:val="nil"/>
              <w:right w:val="nil"/>
            </w:tcBorders>
            <w:shd w:val="clear" w:color="auto" w:fill="auto"/>
            <w:noWrap/>
            <w:vAlign w:val="center"/>
            <w:hideMark/>
          </w:tcPr>
          <w:p w14:paraId="70A39385" w14:textId="77777777" w:rsidR="008A1E55" w:rsidRPr="006B42D6" w:rsidRDefault="008A1E55" w:rsidP="00E16CAE">
            <w:pPr>
              <w:jc w:val="right"/>
              <w:rPr>
                <w:sz w:val="16"/>
                <w:szCs w:val="16"/>
              </w:rPr>
            </w:pPr>
            <w:r w:rsidRPr="006B42D6">
              <w:rPr>
                <w:sz w:val="16"/>
                <w:szCs w:val="16"/>
              </w:rPr>
              <w:t>32.7</w:t>
            </w:r>
          </w:p>
        </w:tc>
        <w:tc>
          <w:tcPr>
            <w:tcW w:w="287" w:type="pct"/>
            <w:tcBorders>
              <w:top w:val="nil"/>
              <w:left w:val="nil"/>
              <w:bottom w:val="nil"/>
              <w:right w:val="nil"/>
            </w:tcBorders>
            <w:shd w:val="clear" w:color="auto" w:fill="auto"/>
            <w:noWrap/>
            <w:vAlign w:val="center"/>
            <w:hideMark/>
          </w:tcPr>
          <w:p w14:paraId="4E5F408A" w14:textId="77777777" w:rsidR="008A1E55" w:rsidRPr="006B42D6" w:rsidRDefault="008A1E55" w:rsidP="00E16CAE">
            <w:pPr>
              <w:jc w:val="right"/>
              <w:rPr>
                <w:sz w:val="16"/>
                <w:szCs w:val="16"/>
              </w:rPr>
            </w:pPr>
            <w:r w:rsidRPr="006B42D6">
              <w:rPr>
                <w:sz w:val="16"/>
                <w:szCs w:val="16"/>
              </w:rPr>
              <w:t>0.9</w:t>
            </w:r>
          </w:p>
        </w:tc>
        <w:tc>
          <w:tcPr>
            <w:tcW w:w="287" w:type="pct"/>
            <w:tcBorders>
              <w:top w:val="nil"/>
              <w:left w:val="nil"/>
              <w:bottom w:val="nil"/>
              <w:right w:val="nil"/>
            </w:tcBorders>
            <w:shd w:val="clear" w:color="auto" w:fill="auto"/>
            <w:noWrap/>
            <w:vAlign w:val="center"/>
            <w:hideMark/>
          </w:tcPr>
          <w:p w14:paraId="373BC546" w14:textId="77777777" w:rsidR="008A1E55" w:rsidRPr="006B42D6" w:rsidRDefault="008A1E55" w:rsidP="00E16CAE">
            <w:pPr>
              <w:jc w:val="right"/>
              <w:rPr>
                <w:sz w:val="16"/>
                <w:szCs w:val="16"/>
              </w:rPr>
            </w:pPr>
            <w:r w:rsidRPr="006B42D6">
              <w:rPr>
                <w:sz w:val="16"/>
                <w:szCs w:val="16"/>
              </w:rPr>
              <w:t>-</w:t>
            </w:r>
          </w:p>
        </w:tc>
        <w:tc>
          <w:tcPr>
            <w:tcW w:w="287" w:type="pct"/>
            <w:tcBorders>
              <w:top w:val="nil"/>
              <w:left w:val="nil"/>
              <w:bottom w:val="nil"/>
              <w:right w:val="nil"/>
            </w:tcBorders>
            <w:shd w:val="clear" w:color="auto" w:fill="auto"/>
            <w:noWrap/>
            <w:vAlign w:val="center"/>
            <w:hideMark/>
          </w:tcPr>
          <w:p w14:paraId="0B0BF1CA" w14:textId="77777777" w:rsidR="008A1E55" w:rsidRPr="006B42D6" w:rsidRDefault="008A1E55" w:rsidP="00E16CAE">
            <w:pPr>
              <w:jc w:val="right"/>
              <w:rPr>
                <w:sz w:val="16"/>
                <w:szCs w:val="16"/>
              </w:rPr>
            </w:pPr>
            <w:r w:rsidRPr="006B42D6">
              <w:rPr>
                <w:sz w:val="16"/>
                <w:szCs w:val="16"/>
              </w:rPr>
              <w:t>-</w:t>
            </w:r>
          </w:p>
        </w:tc>
        <w:tc>
          <w:tcPr>
            <w:tcW w:w="315" w:type="pct"/>
            <w:tcBorders>
              <w:top w:val="nil"/>
              <w:left w:val="nil"/>
              <w:bottom w:val="nil"/>
              <w:right w:val="nil"/>
            </w:tcBorders>
            <w:shd w:val="clear" w:color="auto" w:fill="auto"/>
            <w:noWrap/>
            <w:vAlign w:val="center"/>
            <w:hideMark/>
          </w:tcPr>
          <w:p w14:paraId="64478050" w14:textId="77777777" w:rsidR="008A1E55" w:rsidRPr="006B42D6" w:rsidRDefault="008A1E55" w:rsidP="00E16CAE">
            <w:pPr>
              <w:jc w:val="right"/>
              <w:rPr>
                <w:sz w:val="16"/>
                <w:szCs w:val="16"/>
              </w:rPr>
            </w:pPr>
            <w:r w:rsidRPr="006B42D6">
              <w:rPr>
                <w:sz w:val="16"/>
                <w:szCs w:val="16"/>
              </w:rPr>
              <w:t>0.3</w:t>
            </w:r>
          </w:p>
        </w:tc>
        <w:tc>
          <w:tcPr>
            <w:tcW w:w="226" w:type="pct"/>
            <w:tcBorders>
              <w:top w:val="nil"/>
              <w:left w:val="nil"/>
              <w:bottom w:val="nil"/>
              <w:right w:val="nil"/>
            </w:tcBorders>
            <w:shd w:val="clear" w:color="auto" w:fill="auto"/>
            <w:noWrap/>
            <w:vAlign w:val="center"/>
            <w:hideMark/>
          </w:tcPr>
          <w:p w14:paraId="2612642A" w14:textId="77777777" w:rsidR="008A1E55" w:rsidRPr="006B42D6" w:rsidRDefault="008A1E55" w:rsidP="00E16CAE">
            <w:pPr>
              <w:jc w:val="right"/>
              <w:rPr>
                <w:sz w:val="16"/>
                <w:szCs w:val="16"/>
              </w:rPr>
            </w:pPr>
            <w:r w:rsidRPr="006B42D6">
              <w:rPr>
                <w:sz w:val="16"/>
                <w:szCs w:val="16"/>
              </w:rPr>
              <w:t>-</w:t>
            </w:r>
          </w:p>
        </w:tc>
      </w:tr>
      <w:tr w:rsidR="006B42D6" w:rsidRPr="006B42D6" w14:paraId="21899CE7" w14:textId="77777777" w:rsidTr="0024189E">
        <w:trPr>
          <w:trHeight w:hRule="exact" w:val="198"/>
        </w:trPr>
        <w:tc>
          <w:tcPr>
            <w:tcW w:w="653" w:type="pct"/>
            <w:tcBorders>
              <w:top w:val="nil"/>
              <w:left w:val="nil"/>
              <w:bottom w:val="nil"/>
              <w:right w:val="nil"/>
            </w:tcBorders>
            <w:shd w:val="clear" w:color="auto" w:fill="auto"/>
            <w:noWrap/>
            <w:vAlign w:val="center"/>
            <w:hideMark/>
          </w:tcPr>
          <w:p w14:paraId="5C6B89E4" w14:textId="77777777" w:rsidR="008A1E55" w:rsidRPr="006B42D6" w:rsidRDefault="008A1E55" w:rsidP="00E16CAE">
            <w:pPr>
              <w:rPr>
                <w:sz w:val="16"/>
                <w:szCs w:val="16"/>
              </w:rPr>
            </w:pPr>
            <w:r w:rsidRPr="006B42D6">
              <w:rPr>
                <w:sz w:val="16"/>
                <w:szCs w:val="16"/>
              </w:rPr>
              <w:t>Ruvuma</w:t>
            </w:r>
          </w:p>
        </w:tc>
        <w:tc>
          <w:tcPr>
            <w:tcW w:w="302" w:type="pct"/>
            <w:tcBorders>
              <w:top w:val="nil"/>
              <w:left w:val="nil"/>
              <w:bottom w:val="nil"/>
              <w:right w:val="nil"/>
            </w:tcBorders>
            <w:shd w:val="clear" w:color="auto" w:fill="auto"/>
            <w:noWrap/>
            <w:vAlign w:val="center"/>
            <w:hideMark/>
          </w:tcPr>
          <w:p w14:paraId="2495DA01" w14:textId="77777777" w:rsidR="008A1E55" w:rsidRPr="006B42D6" w:rsidRDefault="008A1E55" w:rsidP="00E16CAE">
            <w:pPr>
              <w:jc w:val="right"/>
              <w:rPr>
                <w:sz w:val="16"/>
                <w:szCs w:val="16"/>
              </w:rPr>
            </w:pPr>
            <w:r w:rsidRPr="006B42D6">
              <w:rPr>
                <w:sz w:val="16"/>
                <w:szCs w:val="16"/>
              </w:rPr>
              <w:t>5.0</w:t>
            </w:r>
          </w:p>
        </w:tc>
        <w:tc>
          <w:tcPr>
            <w:tcW w:w="343" w:type="pct"/>
            <w:tcBorders>
              <w:top w:val="nil"/>
              <w:left w:val="nil"/>
              <w:bottom w:val="nil"/>
              <w:right w:val="nil"/>
            </w:tcBorders>
            <w:shd w:val="clear" w:color="auto" w:fill="auto"/>
            <w:noWrap/>
            <w:vAlign w:val="center"/>
            <w:hideMark/>
          </w:tcPr>
          <w:p w14:paraId="23D91A9A" w14:textId="77777777" w:rsidR="008A1E55" w:rsidRPr="006B42D6" w:rsidRDefault="008A1E55" w:rsidP="00E16CAE">
            <w:pPr>
              <w:jc w:val="right"/>
              <w:rPr>
                <w:sz w:val="16"/>
                <w:szCs w:val="16"/>
              </w:rPr>
            </w:pPr>
            <w:r w:rsidRPr="006B42D6">
              <w:rPr>
                <w:sz w:val="16"/>
                <w:szCs w:val="16"/>
              </w:rPr>
              <w:t>6.1</w:t>
            </w:r>
          </w:p>
        </w:tc>
        <w:tc>
          <w:tcPr>
            <w:tcW w:w="400" w:type="pct"/>
            <w:tcBorders>
              <w:top w:val="nil"/>
              <w:left w:val="nil"/>
              <w:bottom w:val="nil"/>
              <w:right w:val="nil"/>
            </w:tcBorders>
            <w:shd w:val="clear" w:color="auto" w:fill="auto"/>
            <w:noWrap/>
            <w:vAlign w:val="center"/>
            <w:hideMark/>
          </w:tcPr>
          <w:p w14:paraId="5ADE4F4C" w14:textId="77777777" w:rsidR="008A1E55" w:rsidRPr="006B42D6" w:rsidRDefault="008A1E55" w:rsidP="00E16CAE">
            <w:pPr>
              <w:jc w:val="right"/>
              <w:rPr>
                <w:sz w:val="16"/>
                <w:szCs w:val="16"/>
              </w:rPr>
            </w:pPr>
            <w:r w:rsidRPr="006B42D6">
              <w:rPr>
                <w:sz w:val="16"/>
                <w:szCs w:val="16"/>
              </w:rPr>
              <w:t>5.6</w:t>
            </w:r>
          </w:p>
        </w:tc>
        <w:tc>
          <w:tcPr>
            <w:tcW w:w="363" w:type="pct"/>
            <w:tcBorders>
              <w:top w:val="nil"/>
              <w:left w:val="nil"/>
              <w:bottom w:val="nil"/>
              <w:right w:val="nil"/>
            </w:tcBorders>
            <w:shd w:val="clear" w:color="auto" w:fill="auto"/>
            <w:noWrap/>
            <w:vAlign w:val="center"/>
            <w:hideMark/>
          </w:tcPr>
          <w:p w14:paraId="1D951025" w14:textId="77777777" w:rsidR="008A1E55" w:rsidRPr="006B42D6" w:rsidRDefault="008A1E55" w:rsidP="00E16CAE">
            <w:pPr>
              <w:jc w:val="right"/>
              <w:rPr>
                <w:sz w:val="16"/>
                <w:szCs w:val="16"/>
              </w:rPr>
            </w:pPr>
            <w:r w:rsidRPr="006B42D6">
              <w:rPr>
                <w:sz w:val="16"/>
                <w:szCs w:val="16"/>
              </w:rPr>
              <w:t>2.4</w:t>
            </w:r>
          </w:p>
        </w:tc>
        <w:tc>
          <w:tcPr>
            <w:tcW w:w="373" w:type="pct"/>
            <w:tcBorders>
              <w:top w:val="nil"/>
              <w:left w:val="nil"/>
              <w:bottom w:val="nil"/>
              <w:right w:val="nil"/>
            </w:tcBorders>
            <w:shd w:val="clear" w:color="auto" w:fill="auto"/>
            <w:noWrap/>
            <w:vAlign w:val="center"/>
            <w:hideMark/>
          </w:tcPr>
          <w:p w14:paraId="7A9926BE" w14:textId="77777777" w:rsidR="008A1E55" w:rsidRPr="006B42D6" w:rsidRDefault="008A1E55" w:rsidP="00E16CAE">
            <w:pPr>
              <w:jc w:val="right"/>
              <w:rPr>
                <w:sz w:val="16"/>
                <w:szCs w:val="16"/>
              </w:rPr>
            </w:pPr>
            <w:r w:rsidRPr="006B42D6">
              <w:rPr>
                <w:sz w:val="16"/>
                <w:szCs w:val="16"/>
              </w:rPr>
              <w:t>4.3</w:t>
            </w:r>
          </w:p>
        </w:tc>
        <w:tc>
          <w:tcPr>
            <w:tcW w:w="443" w:type="pct"/>
            <w:tcBorders>
              <w:top w:val="nil"/>
              <w:left w:val="nil"/>
              <w:bottom w:val="nil"/>
              <w:right w:val="nil"/>
            </w:tcBorders>
            <w:shd w:val="clear" w:color="auto" w:fill="auto"/>
            <w:noWrap/>
            <w:vAlign w:val="center"/>
            <w:hideMark/>
          </w:tcPr>
          <w:p w14:paraId="607035EA" w14:textId="77777777" w:rsidR="008A1E55" w:rsidRPr="006B42D6" w:rsidRDefault="008A1E55" w:rsidP="00E16CAE">
            <w:pPr>
              <w:jc w:val="right"/>
              <w:rPr>
                <w:sz w:val="16"/>
                <w:szCs w:val="16"/>
              </w:rPr>
            </w:pPr>
            <w:r w:rsidRPr="006B42D6">
              <w:rPr>
                <w:sz w:val="16"/>
                <w:szCs w:val="16"/>
              </w:rPr>
              <w:t>3.5</w:t>
            </w:r>
          </w:p>
        </w:tc>
        <w:tc>
          <w:tcPr>
            <w:tcW w:w="371" w:type="pct"/>
            <w:tcBorders>
              <w:top w:val="nil"/>
              <w:left w:val="nil"/>
              <w:bottom w:val="nil"/>
              <w:right w:val="nil"/>
            </w:tcBorders>
            <w:shd w:val="clear" w:color="auto" w:fill="auto"/>
            <w:noWrap/>
            <w:vAlign w:val="center"/>
            <w:hideMark/>
          </w:tcPr>
          <w:p w14:paraId="4BD14B9E" w14:textId="77777777" w:rsidR="008A1E55" w:rsidRPr="006B42D6" w:rsidRDefault="008A1E55" w:rsidP="00E16CAE">
            <w:pPr>
              <w:jc w:val="right"/>
              <w:rPr>
                <w:sz w:val="16"/>
                <w:szCs w:val="16"/>
              </w:rPr>
            </w:pPr>
            <w:r w:rsidRPr="006B42D6">
              <w:rPr>
                <w:sz w:val="16"/>
                <w:szCs w:val="16"/>
              </w:rPr>
              <w:t>0.7</w:t>
            </w:r>
          </w:p>
        </w:tc>
        <w:tc>
          <w:tcPr>
            <w:tcW w:w="352" w:type="pct"/>
            <w:tcBorders>
              <w:top w:val="nil"/>
              <w:left w:val="nil"/>
              <w:bottom w:val="nil"/>
              <w:right w:val="nil"/>
            </w:tcBorders>
            <w:shd w:val="clear" w:color="auto" w:fill="auto"/>
            <w:noWrap/>
            <w:vAlign w:val="center"/>
            <w:hideMark/>
          </w:tcPr>
          <w:p w14:paraId="374EBEAC" w14:textId="77777777" w:rsidR="008A1E55" w:rsidRPr="006B42D6" w:rsidRDefault="008A1E55" w:rsidP="00E16CAE">
            <w:pPr>
              <w:jc w:val="right"/>
              <w:rPr>
                <w:sz w:val="16"/>
                <w:szCs w:val="16"/>
              </w:rPr>
            </w:pPr>
            <w:r w:rsidRPr="006B42D6">
              <w:rPr>
                <w:sz w:val="16"/>
                <w:szCs w:val="16"/>
              </w:rPr>
              <w:t>-</w:t>
            </w:r>
          </w:p>
        </w:tc>
        <w:tc>
          <w:tcPr>
            <w:tcW w:w="287" w:type="pct"/>
            <w:tcBorders>
              <w:top w:val="nil"/>
              <w:left w:val="nil"/>
              <w:bottom w:val="nil"/>
              <w:right w:val="nil"/>
            </w:tcBorders>
            <w:shd w:val="clear" w:color="auto" w:fill="auto"/>
            <w:noWrap/>
            <w:vAlign w:val="center"/>
            <w:hideMark/>
          </w:tcPr>
          <w:p w14:paraId="62F590E4" w14:textId="77777777" w:rsidR="008A1E55" w:rsidRPr="006B42D6" w:rsidRDefault="008A1E55" w:rsidP="00E16CAE">
            <w:pPr>
              <w:jc w:val="right"/>
              <w:rPr>
                <w:sz w:val="16"/>
                <w:szCs w:val="16"/>
              </w:rPr>
            </w:pPr>
            <w:r w:rsidRPr="006B42D6">
              <w:rPr>
                <w:sz w:val="16"/>
                <w:szCs w:val="16"/>
              </w:rPr>
              <w:t>0.1</w:t>
            </w:r>
          </w:p>
        </w:tc>
        <w:tc>
          <w:tcPr>
            <w:tcW w:w="287" w:type="pct"/>
            <w:tcBorders>
              <w:top w:val="nil"/>
              <w:left w:val="nil"/>
              <w:bottom w:val="nil"/>
              <w:right w:val="nil"/>
            </w:tcBorders>
            <w:shd w:val="clear" w:color="auto" w:fill="auto"/>
            <w:noWrap/>
            <w:vAlign w:val="center"/>
            <w:hideMark/>
          </w:tcPr>
          <w:p w14:paraId="01C474D1" w14:textId="77777777" w:rsidR="008A1E55" w:rsidRPr="006B42D6" w:rsidRDefault="008A1E55" w:rsidP="00E16CAE">
            <w:pPr>
              <w:jc w:val="right"/>
              <w:rPr>
                <w:sz w:val="16"/>
                <w:szCs w:val="16"/>
              </w:rPr>
            </w:pPr>
            <w:r w:rsidRPr="006B42D6">
              <w:rPr>
                <w:sz w:val="16"/>
                <w:szCs w:val="16"/>
              </w:rPr>
              <w:t>-</w:t>
            </w:r>
          </w:p>
        </w:tc>
        <w:tc>
          <w:tcPr>
            <w:tcW w:w="287" w:type="pct"/>
            <w:tcBorders>
              <w:top w:val="nil"/>
              <w:left w:val="nil"/>
              <w:bottom w:val="nil"/>
              <w:right w:val="nil"/>
            </w:tcBorders>
            <w:shd w:val="clear" w:color="auto" w:fill="auto"/>
            <w:noWrap/>
            <w:vAlign w:val="center"/>
            <w:hideMark/>
          </w:tcPr>
          <w:p w14:paraId="68C21E4F" w14:textId="77777777" w:rsidR="008A1E55" w:rsidRPr="006B42D6" w:rsidRDefault="008A1E55" w:rsidP="00E16CAE">
            <w:pPr>
              <w:jc w:val="right"/>
              <w:rPr>
                <w:sz w:val="16"/>
                <w:szCs w:val="16"/>
              </w:rPr>
            </w:pPr>
            <w:r w:rsidRPr="006B42D6">
              <w:rPr>
                <w:sz w:val="16"/>
                <w:szCs w:val="16"/>
              </w:rPr>
              <w:t>-</w:t>
            </w:r>
          </w:p>
        </w:tc>
        <w:tc>
          <w:tcPr>
            <w:tcW w:w="315" w:type="pct"/>
            <w:tcBorders>
              <w:top w:val="nil"/>
              <w:left w:val="nil"/>
              <w:bottom w:val="nil"/>
              <w:right w:val="nil"/>
            </w:tcBorders>
            <w:shd w:val="clear" w:color="auto" w:fill="auto"/>
            <w:noWrap/>
            <w:vAlign w:val="center"/>
            <w:hideMark/>
          </w:tcPr>
          <w:p w14:paraId="7A11B93B" w14:textId="77777777" w:rsidR="008A1E55" w:rsidRPr="006B42D6" w:rsidRDefault="008A1E55" w:rsidP="00E16CAE">
            <w:pPr>
              <w:jc w:val="right"/>
              <w:rPr>
                <w:sz w:val="16"/>
                <w:szCs w:val="16"/>
              </w:rPr>
            </w:pPr>
            <w:r w:rsidRPr="006B42D6">
              <w:rPr>
                <w:sz w:val="16"/>
                <w:szCs w:val="16"/>
              </w:rPr>
              <w:t>7.6</w:t>
            </w:r>
          </w:p>
        </w:tc>
        <w:tc>
          <w:tcPr>
            <w:tcW w:w="226" w:type="pct"/>
            <w:tcBorders>
              <w:top w:val="nil"/>
              <w:left w:val="nil"/>
              <w:bottom w:val="nil"/>
              <w:right w:val="nil"/>
            </w:tcBorders>
            <w:shd w:val="clear" w:color="auto" w:fill="auto"/>
            <w:noWrap/>
            <w:vAlign w:val="center"/>
            <w:hideMark/>
          </w:tcPr>
          <w:p w14:paraId="14FBF8EF" w14:textId="77777777" w:rsidR="008A1E55" w:rsidRPr="006B42D6" w:rsidRDefault="008A1E55" w:rsidP="00E16CAE">
            <w:pPr>
              <w:jc w:val="right"/>
              <w:rPr>
                <w:sz w:val="16"/>
                <w:szCs w:val="16"/>
              </w:rPr>
            </w:pPr>
            <w:r w:rsidRPr="006B42D6">
              <w:rPr>
                <w:sz w:val="16"/>
                <w:szCs w:val="16"/>
              </w:rPr>
              <w:t>-</w:t>
            </w:r>
          </w:p>
        </w:tc>
      </w:tr>
      <w:tr w:rsidR="006B42D6" w:rsidRPr="006B42D6" w14:paraId="1023A3DA" w14:textId="77777777" w:rsidTr="0024189E">
        <w:trPr>
          <w:trHeight w:hRule="exact" w:val="198"/>
        </w:trPr>
        <w:tc>
          <w:tcPr>
            <w:tcW w:w="653" w:type="pct"/>
            <w:tcBorders>
              <w:top w:val="nil"/>
              <w:left w:val="nil"/>
              <w:bottom w:val="nil"/>
              <w:right w:val="nil"/>
            </w:tcBorders>
            <w:shd w:val="clear" w:color="auto" w:fill="auto"/>
            <w:noWrap/>
            <w:vAlign w:val="center"/>
            <w:hideMark/>
          </w:tcPr>
          <w:p w14:paraId="3755069C" w14:textId="77777777" w:rsidR="008A1E55" w:rsidRPr="006B42D6" w:rsidRDefault="008A1E55" w:rsidP="00E16CAE">
            <w:pPr>
              <w:rPr>
                <w:sz w:val="16"/>
                <w:szCs w:val="16"/>
              </w:rPr>
            </w:pPr>
            <w:r w:rsidRPr="006B42D6">
              <w:rPr>
                <w:sz w:val="16"/>
                <w:szCs w:val="16"/>
              </w:rPr>
              <w:t>Iringa</w:t>
            </w:r>
          </w:p>
        </w:tc>
        <w:tc>
          <w:tcPr>
            <w:tcW w:w="302" w:type="pct"/>
            <w:tcBorders>
              <w:top w:val="nil"/>
              <w:left w:val="nil"/>
              <w:bottom w:val="nil"/>
              <w:right w:val="nil"/>
            </w:tcBorders>
            <w:shd w:val="clear" w:color="auto" w:fill="auto"/>
            <w:noWrap/>
            <w:vAlign w:val="center"/>
            <w:hideMark/>
          </w:tcPr>
          <w:p w14:paraId="53EB6D75" w14:textId="77777777" w:rsidR="008A1E55" w:rsidRPr="006B42D6" w:rsidRDefault="008A1E55" w:rsidP="00E16CAE">
            <w:pPr>
              <w:jc w:val="right"/>
              <w:rPr>
                <w:sz w:val="16"/>
                <w:szCs w:val="16"/>
              </w:rPr>
            </w:pPr>
            <w:r w:rsidRPr="006B42D6">
              <w:rPr>
                <w:sz w:val="16"/>
                <w:szCs w:val="16"/>
              </w:rPr>
              <w:t>3.0</w:t>
            </w:r>
          </w:p>
        </w:tc>
        <w:tc>
          <w:tcPr>
            <w:tcW w:w="343" w:type="pct"/>
            <w:tcBorders>
              <w:top w:val="nil"/>
              <w:left w:val="nil"/>
              <w:bottom w:val="nil"/>
              <w:right w:val="nil"/>
            </w:tcBorders>
            <w:shd w:val="clear" w:color="auto" w:fill="auto"/>
            <w:noWrap/>
            <w:vAlign w:val="center"/>
            <w:hideMark/>
          </w:tcPr>
          <w:p w14:paraId="09D2F2BB" w14:textId="77777777" w:rsidR="008A1E55" w:rsidRPr="006B42D6" w:rsidRDefault="008A1E55" w:rsidP="00E16CAE">
            <w:pPr>
              <w:jc w:val="right"/>
              <w:rPr>
                <w:sz w:val="16"/>
                <w:szCs w:val="16"/>
              </w:rPr>
            </w:pPr>
            <w:r w:rsidRPr="006B42D6">
              <w:rPr>
                <w:sz w:val="16"/>
                <w:szCs w:val="16"/>
              </w:rPr>
              <w:t>2.0</w:t>
            </w:r>
          </w:p>
        </w:tc>
        <w:tc>
          <w:tcPr>
            <w:tcW w:w="400" w:type="pct"/>
            <w:tcBorders>
              <w:top w:val="nil"/>
              <w:left w:val="nil"/>
              <w:bottom w:val="nil"/>
              <w:right w:val="nil"/>
            </w:tcBorders>
            <w:shd w:val="clear" w:color="auto" w:fill="auto"/>
            <w:noWrap/>
            <w:vAlign w:val="center"/>
            <w:hideMark/>
          </w:tcPr>
          <w:p w14:paraId="7CB69F82" w14:textId="77777777" w:rsidR="008A1E55" w:rsidRPr="006B42D6" w:rsidRDefault="008A1E55" w:rsidP="00E16CAE">
            <w:pPr>
              <w:jc w:val="right"/>
              <w:rPr>
                <w:sz w:val="16"/>
                <w:szCs w:val="16"/>
              </w:rPr>
            </w:pPr>
            <w:r w:rsidRPr="006B42D6">
              <w:rPr>
                <w:sz w:val="16"/>
                <w:szCs w:val="16"/>
              </w:rPr>
              <w:t>1.1</w:t>
            </w:r>
          </w:p>
        </w:tc>
        <w:tc>
          <w:tcPr>
            <w:tcW w:w="363" w:type="pct"/>
            <w:tcBorders>
              <w:top w:val="nil"/>
              <w:left w:val="nil"/>
              <w:bottom w:val="nil"/>
              <w:right w:val="nil"/>
            </w:tcBorders>
            <w:shd w:val="clear" w:color="auto" w:fill="auto"/>
            <w:noWrap/>
            <w:vAlign w:val="center"/>
            <w:hideMark/>
          </w:tcPr>
          <w:p w14:paraId="05124B8C" w14:textId="77777777" w:rsidR="008A1E55" w:rsidRPr="006B42D6" w:rsidRDefault="008A1E55" w:rsidP="00E16CAE">
            <w:pPr>
              <w:jc w:val="right"/>
              <w:rPr>
                <w:sz w:val="16"/>
                <w:szCs w:val="16"/>
              </w:rPr>
            </w:pPr>
            <w:r w:rsidRPr="006B42D6">
              <w:rPr>
                <w:sz w:val="16"/>
                <w:szCs w:val="16"/>
              </w:rPr>
              <w:t>2.4</w:t>
            </w:r>
          </w:p>
        </w:tc>
        <w:tc>
          <w:tcPr>
            <w:tcW w:w="373" w:type="pct"/>
            <w:tcBorders>
              <w:top w:val="nil"/>
              <w:left w:val="nil"/>
              <w:bottom w:val="nil"/>
              <w:right w:val="nil"/>
            </w:tcBorders>
            <w:shd w:val="clear" w:color="auto" w:fill="auto"/>
            <w:noWrap/>
            <w:vAlign w:val="center"/>
            <w:hideMark/>
          </w:tcPr>
          <w:p w14:paraId="29E8DD27" w14:textId="77777777" w:rsidR="008A1E55" w:rsidRPr="006B42D6" w:rsidRDefault="008A1E55" w:rsidP="00E16CAE">
            <w:pPr>
              <w:jc w:val="right"/>
              <w:rPr>
                <w:sz w:val="16"/>
                <w:szCs w:val="16"/>
              </w:rPr>
            </w:pPr>
            <w:r w:rsidRPr="006B42D6">
              <w:rPr>
                <w:sz w:val="16"/>
                <w:szCs w:val="16"/>
              </w:rPr>
              <w:t>2.2</w:t>
            </w:r>
          </w:p>
        </w:tc>
        <w:tc>
          <w:tcPr>
            <w:tcW w:w="443" w:type="pct"/>
            <w:tcBorders>
              <w:top w:val="nil"/>
              <w:left w:val="nil"/>
              <w:bottom w:val="nil"/>
              <w:right w:val="nil"/>
            </w:tcBorders>
            <w:shd w:val="clear" w:color="auto" w:fill="auto"/>
            <w:noWrap/>
            <w:vAlign w:val="center"/>
            <w:hideMark/>
          </w:tcPr>
          <w:p w14:paraId="6578E9D9" w14:textId="77777777" w:rsidR="008A1E55" w:rsidRPr="006B42D6" w:rsidRDefault="008A1E55" w:rsidP="00E16CAE">
            <w:pPr>
              <w:jc w:val="right"/>
              <w:rPr>
                <w:sz w:val="16"/>
                <w:szCs w:val="16"/>
              </w:rPr>
            </w:pPr>
            <w:r w:rsidRPr="006B42D6">
              <w:rPr>
                <w:sz w:val="16"/>
                <w:szCs w:val="16"/>
              </w:rPr>
              <w:t>3.8</w:t>
            </w:r>
          </w:p>
        </w:tc>
        <w:tc>
          <w:tcPr>
            <w:tcW w:w="371" w:type="pct"/>
            <w:tcBorders>
              <w:top w:val="nil"/>
              <w:left w:val="nil"/>
              <w:bottom w:val="nil"/>
              <w:right w:val="nil"/>
            </w:tcBorders>
            <w:shd w:val="clear" w:color="auto" w:fill="auto"/>
            <w:noWrap/>
            <w:vAlign w:val="center"/>
            <w:hideMark/>
          </w:tcPr>
          <w:p w14:paraId="6AB00B03" w14:textId="77777777" w:rsidR="008A1E55" w:rsidRPr="006B42D6" w:rsidRDefault="008A1E55" w:rsidP="00E16CAE">
            <w:pPr>
              <w:jc w:val="right"/>
              <w:rPr>
                <w:sz w:val="16"/>
                <w:szCs w:val="16"/>
              </w:rPr>
            </w:pPr>
            <w:r w:rsidRPr="006B42D6">
              <w:rPr>
                <w:sz w:val="16"/>
                <w:szCs w:val="16"/>
              </w:rPr>
              <w:t>0.6</w:t>
            </w:r>
          </w:p>
        </w:tc>
        <w:tc>
          <w:tcPr>
            <w:tcW w:w="352" w:type="pct"/>
            <w:tcBorders>
              <w:top w:val="nil"/>
              <w:left w:val="nil"/>
              <w:bottom w:val="nil"/>
              <w:right w:val="nil"/>
            </w:tcBorders>
            <w:shd w:val="clear" w:color="auto" w:fill="auto"/>
            <w:noWrap/>
            <w:vAlign w:val="center"/>
            <w:hideMark/>
          </w:tcPr>
          <w:p w14:paraId="7EA3627B" w14:textId="77777777" w:rsidR="008A1E55" w:rsidRPr="006B42D6" w:rsidRDefault="008A1E55" w:rsidP="00E16CAE">
            <w:pPr>
              <w:jc w:val="right"/>
              <w:rPr>
                <w:sz w:val="16"/>
                <w:szCs w:val="16"/>
              </w:rPr>
            </w:pPr>
            <w:r w:rsidRPr="006B42D6">
              <w:rPr>
                <w:sz w:val="16"/>
                <w:szCs w:val="16"/>
              </w:rPr>
              <w:t>-</w:t>
            </w:r>
          </w:p>
        </w:tc>
        <w:tc>
          <w:tcPr>
            <w:tcW w:w="287" w:type="pct"/>
            <w:tcBorders>
              <w:top w:val="nil"/>
              <w:left w:val="nil"/>
              <w:bottom w:val="nil"/>
              <w:right w:val="nil"/>
            </w:tcBorders>
            <w:shd w:val="clear" w:color="auto" w:fill="auto"/>
            <w:noWrap/>
            <w:vAlign w:val="center"/>
            <w:hideMark/>
          </w:tcPr>
          <w:p w14:paraId="5D05F434" w14:textId="77777777" w:rsidR="008A1E55" w:rsidRPr="006B42D6" w:rsidRDefault="008A1E55" w:rsidP="00E16CAE">
            <w:pPr>
              <w:jc w:val="right"/>
              <w:rPr>
                <w:sz w:val="16"/>
                <w:szCs w:val="16"/>
              </w:rPr>
            </w:pPr>
            <w:r w:rsidRPr="006B42D6">
              <w:rPr>
                <w:sz w:val="16"/>
                <w:szCs w:val="16"/>
              </w:rPr>
              <w:t>0.1</w:t>
            </w:r>
          </w:p>
        </w:tc>
        <w:tc>
          <w:tcPr>
            <w:tcW w:w="287" w:type="pct"/>
            <w:tcBorders>
              <w:top w:val="nil"/>
              <w:left w:val="nil"/>
              <w:bottom w:val="nil"/>
              <w:right w:val="nil"/>
            </w:tcBorders>
            <w:shd w:val="clear" w:color="auto" w:fill="auto"/>
            <w:noWrap/>
            <w:vAlign w:val="center"/>
            <w:hideMark/>
          </w:tcPr>
          <w:p w14:paraId="487661E8" w14:textId="77777777" w:rsidR="008A1E55" w:rsidRPr="006B42D6" w:rsidRDefault="008A1E55" w:rsidP="00E16CAE">
            <w:pPr>
              <w:jc w:val="right"/>
              <w:rPr>
                <w:sz w:val="16"/>
                <w:szCs w:val="16"/>
              </w:rPr>
            </w:pPr>
            <w:r w:rsidRPr="006B42D6">
              <w:rPr>
                <w:sz w:val="16"/>
                <w:szCs w:val="16"/>
              </w:rPr>
              <w:t>-</w:t>
            </w:r>
          </w:p>
        </w:tc>
        <w:tc>
          <w:tcPr>
            <w:tcW w:w="287" w:type="pct"/>
            <w:tcBorders>
              <w:top w:val="nil"/>
              <w:left w:val="nil"/>
              <w:bottom w:val="nil"/>
              <w:right w:val="nil"/>
            </w:tcBorders>
            <w:shd w:val="clear" w:color="auto" w:fill="auto"/>
            <w:noWrap/>
            <w:vAlign w:val="center"/>
            <w:hideMark/>
          </w:tcPr>
          <w:p w14:paraId="0096D428" w14:textId="77777777" w:rsidR="008A1E55" w:rsidRPr="006B42D6" w:rsidRDefault="008A1E55" w:rsidP="00E16CAE">
            <w:pPr>
              <w:jc w:val="right"/>
              <w:rPr>
                <w:sz w:val="16"/>
                <w:szCs w:val="16"/>
              </w:rPr>
            </w:pPr>
            <w:r w:rsidRPr="006B42D6">
              <w:rPr>
                <w:sz w:val="16"/>
                <w:szCs w:val="16"/>
              </w:rPr>
              <w:t>-</w:t>
            </w:r>
          </w:p>
        </w:tc>
        <w:tc>
          <w:tcPr>
            <w:tcW w:w="315" w:type="pct"/>
            <w:tcBorders>
              <w:top w:val="nil"/>
              <w:left w:val="nil"/>
              <w:bottom w:val="nil"/>
              <w:right w:val="nil"/>
            </w:tcBorders>
            <w:shd w:val="clear" w:color="auto" w:fill="auto"/>
            <w:noWrap/>
            <w:vAlign w:val="center"/>
            <w:hideMark/>
          </w:tcPr>
          <w:p w14:paraId="3555B1F6" w14:textId="77777777" w:rsidR="008A1E55" w:rsidRPr="006B42D6" w:rsidRDefault="008A1E55" w:rsidP="00E16CAE">
            <w:pPr>
              <w:jc w:val="right"/>
              <w:rPr>
                <w:sz w:val="16"/>
                <w:szCs w:val="16"/>
              </w:rPr>
            </w:pPr>
            <w:r w:rsidRPr="006B42D6">
              <w:rPr>
                <w:sz w:val="16"/>
                <w:szCs w:val="16"/>
              </w:rPr>
              <w:t>3.3</w:t>
            </w:r>
          </w:p>
        </w:tc>
        <w:tc>
          <w:tcPr>
            <w:tcW w:w="226" w:type="pct"/>
            <w:tcBorders>
              <w:top w:val="nil"/>
              <w:left w:val="nil"/>
              <w:bottom w:val="nil"/>
              <w:right w:val="nil"/>
            </w:tcBorders>
            <w:shd w:val="clear" w:color="auto" w:fill="auto"/>
            <w:noWrap/>
            <w:vAlign w:val="center"/>
            <w:hideMark/>
          </w:tcPr>
          <w:p w14:paraId="33990362" w14:textId="77777777" w:rsidR="008A1E55" w:rsidRPr="006B42D6" w:rsidRDefault="008A1E55" w:rsidP="00E16CAE">
            <w:pPr>
              <w:jc w:val="right"/>
              <w:rPr>
                <w:sz w:val="16"/>
                <w:szCs w:val="16"/>
              </w:rPr>
            </w:pPr>
            <w:r w:rsidRPr="006B42D6">
              <w:rPr>
                <w:sz w:val="16"/>
                <w:szCs w:val="16"/>
              </w:rPr>
              <w:t>0.5</w:t>
            </w:r>
          </w:p>
        </w:tc>
      </w:tr>
      <w:tr w:rsidR="006B42D6" w:rsidRPr="006B42D6" w14:paraId="4295AE81" w14:textId="77777777" w:rsidTr="0024189E">
        <w:trPr>
          <w:trHeight w:hRule="exact" w:val="198"/>
        </w:trPr>
        <w:tc>
          <w:tcPr>
            <w:tcW w:w="653" w:type="pct"/>
            <w:tcBorders>
              <w:top w:val="nil"/>
              <w:left w:val="nil"/>
              <w:bottom w:val="nil"/>
              <w:right w:val="nil"/>
            </w:tcBorders>
            <w:shd w:val="clear" w:color="auto" w:fill="auto"/>
            <w:noWrap/>
            <w:vAlign w:val="center"/>
            <w:hideMark/>
          </w:tcPr>
          <w:p w14:paraId="4251AAD7" w14:textId="77777777" w:rsidR="008A1E55" w:rsidRPr="006B42D6" w:rsidRDefault="008A1E55" w:rsidP="00E16CAE">
            <w:pPr>
              <w:rPr>
                <w:sz w:val="16"/>
                <w:szCs w:val="16"/>
              </w:rPr>
            </w:pPr>
            <w:r w:rsidRPr="006B42D6">
              <w:rPr>
                <w:sz w:val="16"/>
                <w:szCs w:val="16"/>
              </w:rPr>
              <w:t>Mbeya</w:t>
            </w:r>
          </w:p>
        </w:tc>
        <w:tc>
          <w:tcPr>
            <w:tcW w:w="302" w:type="pct"/>
            <w:tcBorders>
              <w:top w:val="nil"/>
              <w:left w:val="nil"/>
              <w:bottom w:val="nil"/>
              <w:right w:val="nil"/>
            </w:tcBorders>
            <w:shd w:val="clear" w:color="auto" w:fill="auto"/>
            <w:noWrap/>
            <w:vAlign w:val="center"/>
            <w:hideMark/>
          </w:tcPr>
          <w:p w14:paraId="5213C49F" w14:textId="77777777" w:rsidR="008A1E55" w:rsidRPr="006B42D6" w:rsidRDefault="008A1E55" w:rsidP="00E16CAE">
            <w:pPr>
              <w:jc w:val="right"/>
              <w:rPr>
                <w:sz w:val="16"/>
                <w:szCs w:val="16"/>
              </w:rPr>
            </w:pPr>
            <w:r w:rsidRPr="006B42D6">
              <w:rPr>
                <w:sz w:val="16"/>
                <w:szCs w:val="16"/>
              </w:rPr>
              <w:t>6.6</w:t>
            </w:r>
          </w:p>
        </w:tc>
        <w:tc>
          <w:tcPr>
            <w:tcW w:w="343" w:type="pct"/>
            <w:tcBorders>
              <w:top w:val="nil"/>
              <w:left w:val="nil"/>
              <w:bottom w:val="nil"/>
              <w:right w:val="nil"/>
            </w:tcBorders>
            <w:shd w:val="clear" w:color="auto" w:fill="auto"/>
            <w:noWrap/>
            <w:vAlign w:val="center"/>
            <w:hideMark/>
          </w:tcPr>
          <w:p w14:paraId="5B6AE712" w14:textId="77777777" w:rsidR="008A1E55" w:rsidRPr="006B42D6" w:rsidRDefault="008A1E55" w:rsidP="00E16CAE">
            <w:pPr>
              <w:jc w:val="right"/>
              <w:rPr>
                <w:sz w:val="16"/>
                <w:szCs w:val="16"/>
              </w:rPr>
            </w:pPr>
            <w:r w:rsidRPr="006B42D6">
              <w:rPr>
                <w:sz w:val="16"/>
                <w:szCs w:val="16"/>
              </w:rPr>
              <w:t>5.3</w:t>
            </w:r>
          </w:p>
        </w:tc>
        <w:tc>
          <w:tcPr>
            <w:tcW w:w="400" w:type="pct"/>
            <w:tcBorders>
              <w:top w:val="nil"/>
              <w:left w:val="nil"/>
              <w:bottom w:val="nil"/>
              <w:right w:val="nil"/>
            </w:tcBorders>
            <w:shd w:val="clear" w:color="auto" w:fill="auto"/>
            <w:noWrap/>
            <w:vAlign w:val="center"/>
            <w:hideMark/>
          </w:tcPr>
          <w:p w14:paraId="2F2F792D" w14:textId="77777777" w:rsidR="008A1E55" w:rsidRPr="006B42D6" w:rsidRDefault="008A1E55" w:rsidP="00E16CAE">
            <w:pPr>
              <w:jc w:val="right"/>
              <w:rPr>
                <w:sz w:val="16"/>
                <w:szCs w:val="16"/>
              </w:rPr>
            </w:pPr>
            <w:r w:rsidRPr="006B42D6">
              <w:rPr>
                <w:sz w:val="16"/>
                <w:szCs w:val="16"/>
              </w:rPr>
              <w:t>5.3</w:t>
            </w:r>
          </w:p>
        </w:tc>
        <w:tc>
          <w:tcPr>
            <w:tcW w:w="363" w:type="pct"/>
            <w:tcBorders>
              <w:top w:val="nil"/>
              <w:left w:val="nil"/>
              <w:bottom w:val="nil"/>
              <w:right w:val="nil"/>
            </w:tcBorders>
            <w:shd w:val="clear" w:color="auto" w:fill="auto"/>
            <w:noWrap/>
            <w:vAlign w:val="center"/>
            <w:hideMark/>
          </w:tcPr>
          <w:p w14:paraId="4B4892CE" w14:textId="77777777" w:rsidR="008A1E55" w:rsidRPr="006B42D6" w:rsidRDefault="008A1E55" w:rsidP="00E16CAE">
            <w:pPr>
              <w:jc w:val="right"/>
              <w:rPr>
                <w:sz w:val="16"/>
                <w:szCs w:val="16"/>
              </w:rPr>
            </w:pPr>
            <w:r w:rsidRPr="006B42D6">
              <w:rPr>
                <w:sz w:val="16"/>
                <w:szCs w:val="16"/>
              </w:rPr>
              <w:t>2.2</w:t>
            </w:r>
          </w:p>
        </w:tc>
        <w:tc>
          <w:tcPr>
            <w:tcW w:w="373" w:type="pct"/>
            <w:tcBorders>
              <w:top w:val="nil"/>
              <w:left w:val="nil"/>
              <w:bottom w:val="nil"/>
              <w:right w:val="nil"/>
            </w:tcBorders>
            <w:shd w:val="clear" w:color="auto" w:fill="auto"/>
            <w:noWrap/>
            <w:vAlign w:val="center"/>
            <w:hideMark/>
          </w:tcPr>
          <w:p w14:paraId="3A34D269" w14:textId="77777777" w:rsidR="008A1E55" w:rsidRPr="006B42D6" w:rsidRDefault="008A1E55" w:rsidP="00E16CAE">
            <w:pPr>
              <w:jc w:val="right"/>
              <w:rPr>
                <w:sz w:val="16"/>
                <w:szCs w:val="16"/>
              </w:rPr>
            </w:pPr>
            <w:r w:rsidRPr="006B42D6">
              <w:rPr>
                <w:sz w:val="16"/>
                <w:szCs w:val="16"/>
              </w:rPr>
              <w:t>3.7</w:t>
            </w:r>
          </w:p>
        </w:tc>
        <w:tc>
          <w:tcPr>
            <w:tcW w:w="443" w:type="pct"/>
            <w:tcBorders>
              <w:top w:val="nil"/>
              <w:left w:val="nil"/>
              <w:bottom w:val="nil"/>
              <w:right w:val="nil"/>
            </w:tcBorders>
            <w:shd w:val="clear" w:color="auto" w:fill="auto"/>
            <w:noWrap/>
            <w:vAlign w:val="center"/>
            <w:hideMark/>
          </w:tcPr>
          <w:p w14:paraId="1778DD5D" w14:textId="77777777" w:rsidR="008A1E55" w:rsidRPr="006B42D6" w:rsidRDefault="008A1E55" w:rsidP="00E16CAE">
            <w:pPr>
              <w:jc w:val="right"/>
              <w:rPr>
                <w:sz w:val="16"/>
                <w:szCs w:val="16"/>
              </w:rPr>
            </w:pPr>
            <w:r w:rsidRPr="006B42D6">
              <w:rPr>
                <w:sz w:val="16"/>
                <w:szCs w:val="16"/>
              </w:rPr>
              <w:t>3.9</w:t>
            </w:r>
          </w:p>
        </w:tc>
        <w:tc>
          <w:tcPr>
            <w:tcW w:w="371" w:type="pct"/>
            <w:tcBorders>
              <w:top w:val="nil"/>
              <w:left w:val="nil"/>
              <w:bottom w:val="nil"/>
              <w:right w:val="nil"/>
            </w:tcBorders>
            <w:shd w:val="clear" w:color="auto" w:fill="auto"/>
            <w:noWrap/>
            <w:vAlign w:val="center"/>
            <w:hideMark/>
          </w:tcPr>
          <w:p w14:paraId="12D0FCC0" w14:textId="77777777" w:rsidR="008A1E55" w:rsidRPr="006B42D6" w:rsidRDefault="008A1E55" w:rsidP="00E16CAE">
            <w:pPr>
              <w:jc w:val="right"/>
              <w:rPr>
                <w:sz w:val="16"/>
                <w:szCs w:val="16"/>
              </w:rPr>
            </w:pPr>
            <w:r w:rsidRPr="006B42D6">
              <w:rPr>
                <w:sz w:val="16"/>
                <w:szCs w:val="16"/>
              </w:rPr>
              <w:t>7.9</w:t>
            </w:r>
          </w:p>
        </w:tc>
        <w:tc>
          <w:tcPr>
            <w:tcW w:w="352" w:type="pct"/>
            <w:tcBorders>
              <w:top w:val="nil"/>
              <w:left w:val="nil"/>
              <w:bottom w:val="nil"/>
              <w:right w:val="nil"/>
            </w:tcBorders>
            <w:shd w:val="clear" w:color="auto" w:fill="auto"/>
            <w:noWrap/>
            <w:vAlign w:val="center"/>
            <w:hideMark/>
          </w:tcPr>
          <w:p w14:paraId="767CFB8F" w14:textId="77777777" w:rsidR="008A1E55" w:rsidRPr="006B42D6" w:rsidRDefault="008A1E55" w:rsidP="00E16CAE">
            <w:pPr>
              <w:jc w:val="right"/>
              <w:rPr>
                <w:sz w:val="16"/>
                <w:szCs w:val="16"/>
              </w:rPr>
            </w:pPr>
            <w:r w:rsidRPr="006B42D6">
              <w:rPr>
                <w:sz w:val="16"/>
                <w:szCs w:val="16"/>
              </w:rPr>
              <w:t>1.2</w:t>
            </w:r>
          </w:p>
        </w:tc>
        <w:tc>
          <w:tcPr>
            <w:tcW w:w="287" w:type="pct"/>
            <w:tcBorders>
              <w:top w:val="nil"/>
              <w:left w:val="nil"/>
              <w:bottom w:val="nil"/>
              <w:right w:val="nil"/>
            </w:tcBorders>
            <w:shd w:val="clear" w:color="auto" w:fill="auto"/>
            <w:noWrap/>
            <w:vAlign w:val="center"/>
            <w:hideMark/>
          </w:tcPr>
          <w:p w14:paraId="33CB846D" w14:textId="77777777" w:rsidR="008A1E55" w:rsidRPr="006B42D6" w:rsidRDefault="008A1E55" w:rsidP="00E16CAE">
            <w:pPr>
              <w:jc w:val="right"/>
              <w:rPr>
                <w:sz w:val="16"/>
                <w:szCs w:val="16"/>
              </w:rPr>
            </w:pPr>
            <w:r w:rsidRPr="006B42D6">
              <w:rPr>
                <w:sz w:val="16"/>
                <w:szCs w:val="16"/>
              </w:rPr>
              <w:t>3.3</w:t>
            </w:r>
          </w:p>
        </w:tc>
        <w:tc>
          <w:tcPr>
            <w:tcW w:w="287" w:type="pct"/>
            <w:tcBorders>
              <w:top w:val="nil"/>
              <w:left w:val="nil"/>
              <w:bottom w:val="nil"/>
              <w:right w:val="nil"/>
            </w:tcBorders>
            <w:shd w:val="clear" w:color="auto" w:fill="auto"/>
            <w:noWrap/>
            <w:vAlign w:val="center"/>
            <w:hideMark/>
          </w:tcPr>
          <w:p w14:paraId="21A41D98" w14:textId="77777777" w:rsidR="008A1E55" w:rsidRPr="006B42D6" w:rsidRDefault="008A1E55" w:rsidP="00E16CAE">
            <w:pPr>
              <w:jc w:val="right"/>
              <w:rPr>
                <w:sz w:val="16"/>
                <w:szCs w:val="16"/>
              </w:rPr>
            </w:pPr>
            <w:r w:rsidRPr="006B42D6">
              <w:rPr>
                <w:sz w:val="16"/>
                <w:szCs w:val="16"/>
              </w:rPr>
              <w:t>10.8</w:t>
            </w:r>
          </w:p>
        </w:tc>
        <w:tc>
          <w:tcPr>
            <w:tcW w:w="287" w:type="pct"/>
            <w:tcBorders>
              <w:top w:val="nil"/>
              <w:left w:val="nil"/>
              <w:bottom w:val="nil"/>
              <w:right w:val="nil"/>
            </w:tcBorders>
            <w:shd w:val="clear" w:color="auto" w:fill="auto"/>
            <w:noWrap/>
            <w:vAlign w:val="center"/>
            <w:hideMark/>
          </w:tcPr>
          <w:p w14:paraId="30101B73" w14:textId="77777777" w:rsidR="008A1E55" w:rsidRPr="006B42D6" w:rsidRDefault="008A1E55" w:rsidP="00E16CAE">
            <w:pPr>
              <w:jc w:val="right"/>
              <w:rPr>
                <w:sz w:val="16"/>
                <w:szCs w:val="16"/>
              </w:rPr>
            </w:pPr>
            <w:r w:rsidRPr="006B42D6">
              <w:rPr>
                <w:sz w:val="16"/>
                <w:szCs w:val="16"/>
              </w:rPr>
              <w:t>3.8</w:t>
            </w:r>
          </w:p>
        </w:tc>
        <w:tc>
          <w:tcPr>
            <w:tcW w:w="315" w:type="pct"/>
            <w:tcBorders>
              <w:top w:val="nil"/>
              <w:left w:val="nil"/>
              <w:bottom w:val="nil"/>
              <w:right w:val="nil"/>
            </w:tcBorders>
            <w:shd w:val="clear" w:color="auto" w:fill="auto"/>
            <w:noWrap/>
            <w:vAlign w:val="center"/>
            <w:hideMark/>
          </w:tcPr>
          <w:p w14:paraId="74F9CC56" w14:textId="77777777" w:rsidR="008A1E55" w:rsidRPr="006B42D6" w:rsidRDefault="008A1E55" w:rsidP="00E16CAE">
            <w:pPr>
              <w:jc w:val="right"/>
              <w:rPr>
                <w:sz w:val="16"/>
                <w:szCs w:val="16"/>
              </w:rPr>
            </w:pPr>
            <w:r w:rsidRPr="006B42D6">
              <w:rPr>
                <w:sz w:val="16"/>
                <w:szCs w:val="16"/>
              </w:rPr>
              <w:t>1.4</w:t>
            </w:r>
          </w:p>
        </w:tc>
        <w:tc>
          <w:tcPr>
            <w:tcW w:w="226" w:type="pct"/>
            <w:tcBorders>
              <w:top w:val="nil"/>
              <w:left w:val="nil"/>
              <w:bottom w:val="nil"/>
              <w:right w:val="nil"/>
            </w:tcBorders>
            <w:shd w:val="clear" w:color="auto" w:fill="auto"/>
            <w:noWrap/>
            <w:vAlign w:val="center"/>
            <w:hideMark/>
          </w:tcPr>
          <w:p w14:paraId="2E20FCF9" w14:textId="77777777" w:rsidR="008A1E55" w:rsidRPr="006B42D6" w:rsidRDefault="008A1E55" w:rsidP="00E16CAE">
            <w:pPr>
              <w:jc w:val="right"/>
              <w:rPr>
                <w:sz w:val="16"/>
                <w:szCs w:val="16"/>
              </w:rPr>
            </w:pPr>
            <w:r w:rsidRPr="006B42D6">
              <w:rPr>
                <w:sz w:val="16"/>
                <w:szCs w:val="16"/>
              </w:rPr>
              <w:t>7.9</w:t>
            </w:r>
          </w:p>
        </w:tc>
      </w:tr>
      <w:tr w:rsidR="006B42D6" w:rsidRPr="006B42D6" w14:paraId="426AE593" w14:textId="77777777" w:rsidTr="0024189E">
        <w:trPr>
          <w:trHeight w:hRule="exact" w:val="198"/>
        </w:trPr>
        <w:tc>
          <w:tcPr>
            <w:tcW w:w="653" w:type="pct"/>
            <w:tcBorders>
              <w:top w:val="nil"/>
              <w:left w:val="nil"/>
              <w:bottom w:val="nil"/>
              <w:right w:val="nil"/>
            </w:tcBorders>
            <w:shd w:val="clear" w:color="auto" w:fill="auto"/>
            <w:noWrap/>
            <w:vAlign w:val="center"/>
            <w:hideMark/>
          </w:tcPr>
          <w:p w14:paraId="035460BC" w14:textId="77777777" w:rsidR="008A1E55" w:rsidRPr="006B42D6" w:rsidRDefault="008A1E55" w:rsidP="00E16CAE">
            <w:pPr>
              <w:rPr>
                <w:sz w:val="16"/>
                <w:szCs w:val="16"/>
              </w:rPr>
            </w:pPr>
            <w:r w:rsidRPr="006B42D6">
              <w:rPr>
                <w:sz w:val="16"/>
                <w:szCs w:val="16"/>
              </w:rPr>
              <w:t>Singida</w:t>
            </w:r>
          </w:p>
        </w:tc>
        <w:tc>
          <w:tcPr>
            <w:tcW w:w="302" w:type="pct"/>
            <w:tcBorders>
              <w:top w:val="nil"/>
              <w:left w:val="nil"/>
              <w:bottom w:val="nil"/>
              <w:right w:val="nil"/>
            </w:tcBorders>
            <w:shd w:val="clear" w:color="auto" w:fill="auto"/>
            <w:noWrap/>
            <w:vAlign w:val="center"/>
            <w:hideMark/>
          </w:tcPr>
          <w:p w14:paraId="570FC5EA" w14:textId="77777777" w:rsidR="008A1E55" w:rsidRPr="006B42D6" w:rsidRDefault="008A1E55" w:rsidP="00E16CAE">
            <w:pPr>
              <w:jc w:val="right"/>
              <w:rPr>
                <w:sz w:val="16"/>
                <w:szCs w:val="16"/>
              </w:rPr>
            </w:pPr>
            <w:r w:rsidRPr="006B42D6">
              <w:rPr>
                <w:sz w:val="16"/>
                <w:szCs w:val="16"/>
              </w:rPr>
              <w:t>2.5</w:t>
            </w:r>
          </w:p>
        </w:tc>
        <w:tc>
          <w:tcPr>
            <w:tcW w:w="343" w:type="pct"/>
            <w:tcBorders>
              <w:top w:val="nil"/>
              <w:left w:val="nil"/>
              <w:bottom w:val="nil"/>
              <w:right w:val="nil"/>
            </w:tcBorders>
            <w:shd w:val="clear" w:color="auto" w:fill="auto"/>
            <w:noWrap/>
            <w:vAlign w:val="center"/>
            <w:hideMark/>
          </w:tcPr>
          <w:p w14:paraId="13289601" w14:textId="77777777" w:rsidR="008A1E55" w:rsidRPr="006B42D6" w:rsidRDefault="008A1E55" w:rsidP="00E16CAE">
            <w:pPr>
              <w:jc w:val="right"/>
              <w:rPr>
                <w:sz w:val="16"/>
                <w:szCs w:val="16"/>
              </w:rPr>
            </w:pPr>
            <w:r w:rsidRPr="006B42D6">
              <w:rPr>
                <w:sz w:val="16"/>
                <w:szCs w:val="16"/>
              </w:rPr>
              <w:t>2.3</w:t>
            </w:r>
          </w:p>
        </w:tc>
        <w:tc>
          <w:tcPr>
            <w:tcW w:w="400" w:type="pct"/>
            <w:tcBorders>
              <w:top w:val="nil"/>
              <w:left w:val="nil"/>
              <w:bottom w:val="nil"/>
              <w:right w:val="nil"/>
            </w:tcBorders>
            <w:shd w:val="clear" w:color="auto" w:fill="auto"/>
            <w:noWrap/>
            <w:vAlign w:val="center"/>
            <w:hideMark/>
          </w:tcPr>
          <w:p w14:paraId="170F4F60" w14:textId="77777777" w:rsidR="008A1E55" w:rsidRPr="006B42D6" w:rsidRDefault="008A1E55" w:rsidP="00E16CAE">
            <w:pPr>
              <w:jc w:val="right"/>
              <w:rPr>
                <w:sz w:val="16"/>
                <w:szCs w:val="16"/>
              </w:rPr>
            </w:pPr>
            <w:r w:rsidRPr="006B42D6">
              <w:rPr>
                <w:sz w:val="16"/>
                <w:szCs w:val="16"/>
              </w:rPr>
              <w:t>1.5</w:t>
            </w:r>
          </w:p>
        </w:tc>
        <w:tc>
          <w:tcPr>
            <w:tcW w:w="363" w:type="pct"/>
            <w:tcBorders>
              <w:top w:val="nil"/>
              <w:left w:val="nil"/>
              <w:bottom w:val="nil"/>
              <w:right w:val="nil"/>
            </w:tcBorders>
            <w:shd w:val="clear" w:color="auto" w:fill="auto"/>
            <w:noWrap/>
            <w:vAlign w:val="center"/>
            <w:hideMark/>
          </w:tcPr>
          <w:p w14:paraId="4164D364" w14:textId="77777777" w:rsidR="008A1E55" w:rsidRPr="006B42D6" w:rsidRDefault="008A1E55" w:rsidP="00E16CAE">
            <w:pPr>
              <w:jc w:val="right"/>
              <w:rPr>
                <w:sz w:val="16"/>
                <w:szCs w:val="16"/>
              </w:rPr>
            </w:pPr>
            <w:r w:rsidRPr="006B42D6">
              <w:rPr>
                <w:sz w:val="16"/>
                <w:szCs w:val="16"/>
              </w:rPr>
              <w:t>4.8</w:t>
            </w:r>
          </w:p>
        </w:tc>
        <w:tc>
          <w:tcPr>
            <w:tcW w:w="373" w:type="pct"/>
            <w:tcBorders>
              <w:top w:val="nil"/>
              <w:left w:val="nil"/>
              <w:bottom w:val="nil"/>
              <w:right w:val="nil"/>
            </w:tcBorders>
            <w:shd w:val="clear" w:color="auto" w:fill="auto"/>
            <w:noWrap/>
            <w:vAlign w:val="center"/>
            <w:hideMark/>
          </w:tcPr>
          <w:p w14:paraId="540E8209" w14:textId="77777777" w:rsidR="008A1E55" w:rsidRPr="006B42D6" w:rsidRDefault="008A1E55" w:rsidP="00E16CAE">
            <w:pPr>
              <w:jc w:val="right"/>
              <w:rPr>
                <w:sz w:val="16"/>
                <w:szCs w:val="16"/>
              </w:rPr>
            </w:pPr>
            <w:r w:rsidRPr="006B42D6">
              <w:rPr>
                <w:sz w:val="16"/>
                <w:szCs w:val="16"/>
              </w:rPr>
              <w:t>3.7</w:t>
            </w:r>
          </w:p>
        </w:tc>
        <w:tc>
          <w:tcPr>
            <w:tcW w:w="443" w:type="pct"/>
            <w:tcBorders>
              <w:top w:val="nil"/>
              <w:left w:val="nil"/>
              <w:bottom w:val="nil"/>
              <w:right w:val="nil"/>
            </w:tcBorders>
            <w:shd w:val="clear" w:color="auto" w:fill="auto"/>
            <w:noWrap/>
            <w:vAlign w:val="center"/>
            <w:hideMark/>
          </w:tcPr>
          <w:p w14:paraId="4B9F83E3" w14:textId="77777777" w:rsidR="008A1E55" w:rsidRPr="006B42D6" w:rsidRDefault="008A1E55" w:rsidP="00E16CAE">
            <w:pPr>
              <w:jc w:val="right"/>
              <w:rPr>
                <w:sz w:val="16"/>
                <w:szCs w:val="16"/>
              </w:rPr>
            </w:pPr>
            <w:r w:rsidRPr="006B42D6">
              <w:rPr>
                <w:sz w:val="16"/>
                <w:szCs w:val="16"/>
              </w:rPr>
              <w:t>4.5</w:t>
            </w:r>
          </w:p>
        </w:tc>
        <w:tc>
          <w:tcPr>
            <w:tcW w:w="371" w:type="pct"/>
            <w:tcBorders>
              <w:top w:val="nil"/>
              <w:left w:val="nil"/>
              <w:bottom w:val="nil"/>
              <w:right w:val="nil"/>
            </w:tcBorders>
            <w:shd w:val="clear" w:color="auto" w:fill="auto"/>
            <w:noWrap/>
            <w:vAlign w:val="center"/>
            <w:hideMark/>
          </w:tcPr>
          <w:p w14:paraId="41937587" w14:textId="77777777" w:rsidR="008A1E55" w:rsidRPr="006B42D6" w:rsidRDefault="008A1E55" w:rsidP="00E16CAE">
            <w:pPr>
              <w:jc w:val="right"/>
              <w:rPr>
                <w:sz w:val="16"/>
                <w:szCs w:val="16"/>
              </w:rPr>
            </w:pPr>
            <w:r w:rsidRPr="006B42D6">
              <w:rPr>
                <w:sz w:val="16"/>
                <w:szCs w:val="16"/>
              </w:rPr>
              <w:t>11.8</w:t>
            </w:r>
          </w:p>
        </w:tc>
        <w:tc>
          <w:tcPr>
            <w:tcW w:w="352" w:type="pct"/>
            <w:tcBorders>
              <w:top w:val="nil"/>
              <w:left w:val="nil"/>
              <w:bottom w:val="nil"/>
              <w:right w:val="nil"/>
            </w:tcBorders>
            <w:shd w:val="clear" w:color="auto" w:fill="auto"/>
            <w:noWrap/>
            <w:vAlign w:val="center"/>
            <w:hideMark/>
          </w:tcPr>
          <w:p w14:paraId="5110A29E" w14:textId="77777777" w:rsidR="008A1E55" w:rsidRPr="006B42D6" w:rsidRDefault="008A1E55" w:rsidP="00E16CAE">
            <w:pPr>
              <w:jc w:val="right"/>
              <w:rPr>
                <w:sz w:val="16"/>
                <w:szCs w:val="16"/>
              </w:rPr>
            </w:pPr>
            <w:r w:rsidRPr="006B42D6">
              <w:rPr>
                <w:sz w:val="16"/>
                <w:szCs w:val="16"/>
              </w:rPr>
              <w:t>34.0</w:t>
            </w:r>
          </w:p>
        </w:tc>
        <w:tc>
          <w:tcPr>
            <w:tcW w:w="287" w:type="pct"/>
            <w:tcBorders>
              <w:top w:val="nil"/>
              <w:left w:val="nil"/>
              <w:bottom w:val="nil"/>
              <w:right w:val="nil"/>
            </w:tcBorders>
            <w:shd w:val="clear" w:color="auto" w:fill="auto"/>
            <w:noWrap/>
            <w:vAlign w:val="center"/>
            <w:hideMark/>
          </w:tcPr>
          <w:p w14:paraId="063B7ACB" w14:textId="77777777" w:rsidR="008A1E55" w:rsidRPr="006B42D6" w:rsidRDefault="008A1E55" w:rsidP="00E16CAE">
            <w:pPr>
              <w:jc w:val="right"/>
              <w:rPr>
                <w:sz w:val="16"/>
                <w:szCs w:val="16"/>
              </w:rPr>
            </w:pPr>
            <w:r w:rsidRPr="006B42D6">
              <w:rPr>
                <w:sz w:val="16"/>
                <w:szCs w:val="16"/>
              </w:rPr>
              <w:t>-</w:t>
            </w:r>
          </w:p>
        </w:tc>
        <w:tc>
          <w:tcPr>
            <w:tcW w:w="287" w:type="pct"/>
            <w:tcBorders>
              <w:top w:val="nil"/>
              <w:left w:val="nil"/>
              <w:bottom w:val="nil"/>
              <w:right w:val="nil"/>
            </w:tcBorders>
            <w:shd w:val="clear" w:color="auto" w:fill="auto"/>
            <w:noWrap/>
            <w:vAlign w:val="center"/>
            <w:hideMark/>
          </w:tcPr>
          <w:p w14:paraId="32E266BC" w14:textId="77777777" w:rsidR="008A1E55" w:rsidRPr="006B42D6" w:rsidRDefault="008A1E55" w:rsidP="00E16CAE">
            <w:pPr>
              <w:jc w:val="right"/>
              <w:rPr>
                <w:sz w:val="16"/>
                <w:szCs w:val="16"/>
              </w:rPr>
            </w:pPr>
            <w:r w:rsidRPr="006B42D6">
              <w:rPr>
                <w:sz w:val="16"/>
                <w:szCs w:val="16"/>
              </w:rPr>
              <w:t>-</w:t>
            </w:r>
          </w:p>
        </w:tc>
        <w:tc>
          <w:tcPr>
            <w:tcW w:w="287" w:type="pct"/>
            <w:tcBorders>
              <w:top w:val="nil"/>
              <w:left w:val="nil"/>
              <w:bottom w:val="nil"/>
              <w:right w:val="nil"/>
            </w:tcBorders>
            <w:shd w:val="clear" w:color="auto" w:fill="auto"/>
            <w:noWrap/>
            <w:vAlign w:val="center"/>
            <w:hideMark/>
          </w:tcPr>
          <w:p w14:paraId="328BFB7C" w14:textId="77777777" w:rsidR="008A1E55" w:rsidRPr="006B42D6" w:rsidRDefault="008A1E55" w:rsidP="00E16CAE">
            <w:pPr>
              <w:jc w:val="right"/>
              <w:rPr>
                <w:sz w:val="16"/>
                <w:szCs w:val="16"/>
              </w:rPr>
            </w:pPr>
            <w:r w:rsidRPr="006B42D6">
              <w:rPr>
                <w:sz w:val="16"/>
                <w:szCs w:val="16"/>
              </w:rPr>
              <w:t>-</w:t>
            </w:r>
          </w:p>
        </w:tc>
        <w:tc>
          <w:tcPr>
            <w:tcW w:w="315" w:type="pct"/>
            <w:tcBorders>
              <w:top w:val="nil"/>
              <w:left w:val="nil"/>
              <w:bottom w:val="nil"/>
              <w:right w:val="nil"/>
            </w:tcBorders>
            <w:shd w:val="clear" w:color="auto" w:fill="auto"/>
            <w:noWrap/>
            <w:vAlign w:val="center"/>
            <w:hideMark/>
          </w:tcPr>
          <w:p w14:paraId="3F3B9EEF" w14:textId="77777777" w:rsidR="008A1E55" w:rsidRPr="006B42D6" w:rsidRDefault="008A1E55" w:rsidP="00E16CAE">
            <w:pPr>
              <w:jc w:val="right"/>
              <w:rPr>
                <w:sz w:val="16"/>
                <w:szCs w:val="16"/>
              </w:rPr>
            </w:pPr>
            <w:r w:rsidRPr="006B42D6">
              <w:rPr>
                <w:sz w:val="16"/>
                <w:szCs w:val="16"/>
              </w:rPr>
              <w:t>0.6</w:t>
            </w:r>
          </w:p>
        </w:tc>
        <w:tc>
          <w:tcPr>
            <w:tcW w:w="226" w:type="pct"/>
            <w:tcBorders>
              <w:top w:val="nil"/>
              <w:left w:val="nil"/>
              <w:bottom w:val="nil"/>
              <w:right w:val="nil"/>
            </w:tcBorders>
            <w:shd w:val="clear" w:color="auto" w:fill="auto"/>
            <w:noWrap/>
            <w:vAlign w:val="center"/>
            <w:hideMark/>
          </w:tcPr>
          <w:p w14:paraId="6D4D1D53" w14:textId="77777777" w:rsidR="008A1E55" w:rsidRPr="006B42D6" w:rsidRDefault="008A1E55" w:rsidP="00E16CAE">
            <w:pPr>
              <w:jc w:val="right"/>
              <w:rPr>
                <w:sz w:val="16"/>
                <w:szCs w:val="16"/>
              </w:rPr>
            </w:pPr>
            <w:r w:rsidRPr="006B42D6">
              <w:rPr>
                <w:sz w:val="16"/>
                <w:szCs w:val="16"/>
              </w:rPr>
              <w:t>10.1</w:t>
            </w:r>
          </w:p>
        </w:tc>
      </w:tr>
      <w:tr w:rsidR="006B42D6" w:rsidRPr="006B42D6" w14:paraId="7410AB2E" w14:textId="77777777" w:rsidTr="0024189E">
        <w:trPr>
          <w:trHeight w:hRule="exact" w:val="198"/>
        </w:trPr>
        <w:tc>
          <w:tcPr>
            <w:tcW w:w="653" w:type="pct"/>
            <w:tcBorders>
              <w:top w:val="nil"/>
              <w:left w:val="nil"/>
              <w:bottom w:val="nil"/>
              <w:right w:val="nil"/>
            </w:tcBorders>
            <w:shd w:val="clear" w:color="auto" w:fill="auto"/>
            <w:noWrap/>
            <w:vAlign w:val="center"/>
            <w:hideMark/>
          </w:tcPr>
          <w:p w14:paraId="19F60BF3" w14:textId="77777777" w:rsidR="008A1E55" w:rsidRPr="006B42D6" w:rsidRDefault="008A1E55" w:rsidP="00E16CAE">
            <w:pPr>
              <w:rPr>
                <w:sz w:val="16"/>
                <w:szCs w:val="16"/>
              </w:rPr>
            </w:pPr>
            <w:r w:rsidRPr="006B42D6">
              <w:rPr>
                <w:sz w:val="16"/>
                <w:szCs w:val="16"/>
              </w:rPr>
              <w:t>Tabora</w:t>
            </w:r>
          </w:p>
        </w:tc>
        <w:tc>
          <w:tcPr>
            <w:tcW w:w="302" w:type="pct"/>
            <w:tcBorders>
              <w:top w:val="nil"/>
              <w:left w:val="nil"/>
              <w:bottom w:val="nil"/>
              <w:right w:val="nil"/>
            </w:tcBorders>
            <w:shd w:val="clear" w:color="auto" w:fill="auto"/>
            <w:noWrap/>
            <w:vAlign w:val="center"/>
            <w:hideMark/>
          </w:tcPr>
          <w:p w14:paraId="0F353110" w14:textId="77777777" w:rsidR="008A1E55" w:rsidRPr="006B42D6" w:rsidRDefault="008A1E55" w:rsidP="00E16CAE">
            <w:pPr>
              <w:jc w:val="right"/>
              <w:rPr>
                <w:sz w:val="16"/>
                <w:szCs w:val="16"/>
              </w:rPr>
            </w:pPr>
            <w:r w:rsidRPr="006B42D6">
              <w:rPr>
                <w:sz w:val="16"/>
                <w:szCs w:val="16"/>
              </w:rPr>
              <w:t>1.5</w:t>
            </w:r>
          </w:p>
        </w:tc>
        <w:tc>
          <w:tcPr>
            <w:tcW w:w="343" w:type="pct"/>
            <w:tcBorders>
              <w:top w:val="nil"/>
              <w:left w:val="nil"/>
              <w:bottom w:val="nil"/>
              <w:right w:val="nil"/>
            </w:tcBorders>
            <w:shd w:val="clear" w:color="auto" w:fill="auto"/>
            <w:noWrap/>
            <w:vAlign w:val="center"/>
            <w:hideMark/>
          </w:tcPr>
          <w:p w14:paraId="06A7E6BE" w14:textId="77777777" w:rsidR="008A1E55" w:rsidRPr="006B42D6" w:rsidRDefault="008A1E55" w:rsidP="00E16CAE">
            <w:pPr>
              <w:jc w:val="right"/>
              <w:rPr>
                <w:sz w:val="16"/>
                <w:szCs w:val="16"/>
              </w:rPr>
            </w:pPr>
            <w:r w:rsidRPr="006B42D6">
              <w:rPr>
                <w:sz w:val="16"/>
                <w:szCs w:val="16"/>
              </w:rPr>
              <w:t>6.4</w:t>
            </w:r>
          </w:p>
        </w:tc>
        <w:tc>
          <w:tcPr>
            <w:tcW w:w="400" w:type="pct"/>
            <w:tcBorders>
              <w:top w:val="nil"/>
              <w:left w:val="nil"/>
              <w:bottom w:val="nil"/>
              <w:right w:val="nil"/>
            </w:tcBorders>
            <w:shd w:val="clear" w:color="auto" w:fill="auto"/>
            <w:noWrap/>
            <w:vAlign w:val="center"/>
            <w:hideMark/>
          </w:tcPr>
          <w:p w14:paraId="724BB5C7" w14:textId="77777777" w:rsidR="008A1E55" w:rsidRPr="006B42D6" w:rsidRDefault="008A1E55" w:rsidP="00E16CAE">
            <w:pPr>
              <w:jc w:val="right"/>
              <w:rPr>
                <w:sz w:val="16"/>
                <w:szCs w:val="16"/>
              </w:rPr>
            </w:pPr>
            <w:r w:rsidRPr="006B42D6">
              <w:rPr>
                <w:sz w:val="16"/>
                <w:szCs w:val="16"/>
              </w:rPr>
              <w:t>0.7</w:t>
            </w:r>
          </w:p>
        </w:tc>
        <w:tc>
          <w:tcPr>
            <w:tcW w:w="363" w:type="pct"/>
            <w:tcBorders>
              <w:top w:val="nil"/>
              <w:left w:val="nil"/>
              <w:bottom w:val="nil"/>
              <w:right w:val="nil"/>
            </w:tcBorders>
            <w:shd w:val="clear" w:color="auto" w:fill="auto"/>
            <w:noWrap/>
            <w:vAlign w:val="center"/>
            <w:hideMark/>
          </w:tcPr>
          <w:p w14:paraId="5D897A51" w14:textId="77777777" w:rsidR="008A1E55" w:rsidRPr="006B42D6" w:rsidRDefault="008A1E55" w:rsidP="00E16CAE">
            <w:pPr>
              <w:jc w:val="right"/>
              <w:rPr>
                <w:sz w:val="16"/>
                <w:szCs w:val="16"/>
              </w:rPr>
            </w:pPr>
            <w:r w:rsidRPr="006B42D6">
              <w:rPr>
                <w:sz w:val="16"/>
                <w:szCs w:val="16"/>
              </w:rPr>
              <w:t>15.9</w:t>
            </w:r>
          </w:p>
        </w:tc>
        <w:tc>
          <w:tcPr>
            <w:tcW w:w="373" w:type="pct"/>
            <w:tcBorders>
              <w:top w:val="nil"/>
              <w:left w:val="nil"/>
              <w:bottom w:val="nil"/>
              <w:right w:val="nil"/>
            </w:tcBorders>
            <w:shd w:val="clear" w:color="auto" w:fill="auto"/>
            <w:noWrap/>
            <w:vAlign w:val="center"/>
            <w:hideMark/>
          </w:tcPr>
          <w:p w14:paraId="7E266C55" w14:textId="77777777" w:rsidR="008A1E55" w:rsidRPr="006B42D6" w:rsidRDefault="008A1E55" w:rsidP="00E16CAE">
            <w:pPr>
              <w:jc w:val="right"/>
              <w:rPr>
                <w:sz w:val="16"/>
                <w:szCs w:val="16"/>
              </w:rPr>
            </w:pPr>
            <w:r w:rsidRPr="006B42D6">
              <w:rPr>
                <w:sz w:val="16"/>
                <w:szCs w:val="16"/>
              </w:rPr>
              <w:t>0.9</w:t>
            </w:r>
          </w:p>
        </w:tc>
        <w:tc>
          <w:tcPr>
            <w:tcW w:w="443" w:type="pct"/>
            <w:tcBorders>
              <w:top w:val="nil"/>
              <w:left w:val="nil"/>
              <w:bottom w:val="nil"/>
              <w:right w:val="nil"/>
            </w:tcBorders>
            <w:shd w:val="clear" w:color="auto" w:fill="auto"/>
            <w:noWrap/>
            <w:vAlign w:val="center"/>
            <w:hideMark/>
          </w:tcPr>
          <w:p w14:paraId="23170333" w14:textId="77777777" w:rsidR="008A1E55" w:rsidRPr="006B42D6" w:rsidRDefault="008A1E55" w:rsidP="00E16CAE">
            <w:pPr>
              <w:jc w:val="right"/>
              <w:rPr>
                <w:sz w:val="16"/>
                <w:szCs w:val="16"/>
              </w:rPr>
            </w:pPr>
            <w:r w:rsidRPr="006B42D6">
              <w:rPr>
                <w:sz w:val="16"/>
                <w:szCs w:val="16"/>
              </w:rPr>
              <w:t>3.6</w:t>
            </w:r>
          </w:p>
        </w:tc>
        <w:tc>
          <w:tcPr>
            <w:tcW w:w="371" w:type="pct"/>
            <w:tcBorders>
              <w:top w:val="nil"/>
              <w:left w:val="nil"/>
              <w:bottom w:val="nil"/>
              <w:right w:val="nil"/>
            </w:tcBorders>
            <w:shd w:val="clear" w:color="auto" w:fill="auto"/>
            <w:noWrap/>
            <w:vAlign w:val="center"/>
            <w:hideMark/>
          </w:tcPr>
          <w:p w14:paraId="44E27AFE" w14:textId="77777777" w:rsidR="008A1E55" w:rsidRPr="006B42D6" w:rsidRDefault="008A1E55" w:rsidP="00E16CAE">
            <w:pPr>
              <w:jc w:val="right"/>
              <w:rPr>
                <w:sz w:val="16"/>
                <w:szCs w:val="16"/>
              </w:rPr>
            </w:pPr>
            <w:r w:rsidRPr="006B42D6">
              <w:rPr>
                <w:sz w:val="16"/>
                <w:szCs w:val="16"/>
              </w:rPr>
              <w:t>2.8</w:t>
            </w:r>
          </w:p>
        </w:tc>
        <w:tc>
          <w:tcPr>
            <w:tcW w:w="352" w:type="pct"/>
            <w:tcBorders>
              <w:top w:val="nil"/>
              <w:left w:val="nil"/>
              <w:bottom w:val="nil"/>
              <w:right w:val="nil"/>
            </w:tcBorders>
            <w:shd w:val="clear" w:color="auto" w:fill="auto"/>
            <w:noWrap/>
            <w:vAlign w:val="center"/>
            <w:hideMark/>
          </w:tcPr>
          <w:p w14:paraId="3F953658" w14:textId="77777777" w:rsidR="008A1E55" w:rsidRPr="006B42D6" w:rsidRDefault="008A1E55" w:rsidP="00E16CAE">
            <w:pPr>
              <w:jc w:val="right"/>
              <w:rPr>
                <w:sz w:val="16"/>
                <w:szCs w:val="16"/>
              </w:rPr>
            </w:pPr>
            <w:r w:rsidRPr="006B42D6">
              <w:rPr>
                <w:sz w:val="16"/>
                <w:szCs w:val="16"/>
              </w:rPr>
              <w:t>0.5</w:t>
            </w:r>
          </w:p>
        </w:tc>
        <w:tc>
          <w:tcPr>
            <w:tcW w:w="287" w:type="pct"/>
            <w:tcBorders>
              <w:top w:val="nil"/>
              <w:left w:val="nil"/>
              <w:bottom w:val="nil"/>
              <w:right w:val="nil"/>
            </w:tcBorders>
            <w:shd w:val="clear" w:color="auto" w:fill="auto"/>
            <w:noWrap/>
            <w:vAlign w:val="center"/>
            <w:hideMark/>
          </w:tcPr>
          <w:p w14:paraId="5A52A02A" w14:textId="77777777" w:rsidR="008A1E55" w:rsidRPr="006B42D6" w:rsidRDefault="008A1E55" w:rsidP="00E16CAE">
            <w:pPr>
              <w:jc w:val="right"/>
              <w:rPr>
                <w:sz w:val="16"/>
                <w:szCs w:val="16"/>
              </w:rPr>
            </w:pPr>
            <w:r w:rsidRPr="006B42D6">
              <w:rPr>
                <w:sz w:val="16"/>
                <w:szCs w:val="16"/>
              </w:rPr>
              <w:t>7.5</w:t>
            </w:r>
          </w:p>
        </w:tc>
        <w:tc>
          <w:tcPr>
            <w:tcW w:w="287" w:type="pct"/>
            <w:tcBorders>
              <w:top w:val="nil"/>
              <w:left w:val="nil"/>
              <w:bottom w:val="nil"/>
              <w:right w:val="nil"/>
            </w:tcBorders>
            <w:shd w:val="clear" w:color="auto" w:fill="auto"/>
            <w:noWrap/>
            <w:vAlign w:val="center"/>
            <w:hideMark/>
          </w:tcPr>
          <w:p w14:paraId="2ED74F10" w14:textId="77777777" w:rsidR="008A1E55" w:rsidRPr="006B42D6" w:rsidRDefault="008A1E55" w:rsidP="00E16CAE">
            <w:pPr>
              <w:jc w:val="right"/>
              <w:rPr>
                <w:sz w:val="16"/>
                <w:szCs w:val="16"/>
              </w:rPr>
            </w:pPr>
            <w:r w:rsidRPr="006B42D6">
              <w:rPr>
                <w:sz w:val="16"/>
                <w:szCs w:val="16"/>
              </w:rPr>
              <w:t>-</w:t>
            </w:r>
          </w:p>
        </w:tc>
        <w:tc>
          <w:tcPr>
            <w:tcW w:w="287" w:type="pct"/>
            <w:tcBorders>
              <w:top w:val="nil"/>
              <w:left w:val="nil"/>
              <w:bottom w:val="nil"/>
              <w:right w:val="nil"/>
            </w:tcBorders>
            <w:shd w:val="clear" w:color="auto" w:fill="auto"/>
            <w:noWrap/>
            <w:vAlign w:val="center"/>
            <w:hideMark/>
          </w:tcPr>
          <w:p w14:paraId="1500F08E" w14:textId="77777777" w:rsidR="008A1E55" w:rsidRPr="006B42D6" w:rsidRDefault="008A1E55" w:rsidP="00E16CAE">
            <w:pPr>
              <w:jc w:val="right"/>
              <w:rPr>
                <w:sz w:val="16"/>
                <w:szCs w:val="16"/>
              </w:rPr>
            </w:pPr>
            <w:r w:rsidRPr="006B42D6">
              <w:rPr>
                <w:sz w:val="16"/>
                <w:szCs w:val="16"/>
              </w:rPr>
              <w:t>-</w:t>
            </w:r>
          </w:p>
        </w:tc>
        <w:tc>
          <w:tcPr>
            <w:tcW w:w="315" w:type="pct"/>
            <w:tcBorders>
              <w:top w:val="nil"/>
              <w:left w:val="nil"/>
              <w:bottom w:val="nil"/>
              <w:right w:val="nil"/>
            </w:tcBorders>
            <w:shd w:val="clear" w:color="auto" w:fill="auto"/>
            <w:noWrap/>
            <w:vAlign w:val="center"/>
            <w:hideMark/>
          </w:tcPr>
          <w:p w14:paraId="601945F6" w14:textId="77777777" w:rsidR="008A1E55" w:rsidRPr="006B42D6" w:rsidRDefault="008A1E55" w:rsidP="00E16CAE">
            <w:pPr>
              <w:jc w:val="right"/>
              <w:rPr>
                <w:sz w:val="16"/>
                <w:szCs w:val="16"/>
              </w:rPr>
            </w:pPr>
            <w:r w:rsidRPr="006B42D6">
              <w:rPr>
                <w:sz w:val="16"/>
                <w:szCs w:val="16"/>
              </w:rPr>
              <w:t>6.4</w:t>
            </w:r>
          </w:p>
        </w:tc>
        <w:tc>
          <w:tcPr>
            <w:tcW w:w="226" w:type="pct"/>
            <w:tcBorders>
              <w:top w:val="nil"/>
              <w:left w:val="nil"/>
              <w:bottom w:val="nil"/>
              <w:right w:val="nil"/>
            </w:tcBorders>
            <w:shd w:val="clear" w:color="auto" w:fill="auto"/>
            <w:noWrap/>
            <w:vAlign w:val="center"/>
            <w:hideMark/>
          </w:tcPr>
          <w:p w14:paraId="449DC80E" w14:textId="77777777" w:rsidR="008A1E55" w:rsidRPr="006B42D6" w:rsidRDefault="008A1E55" w:rsidP="00E16CAE">
            <w:pPr>
              <w:jc w:val="right"/>
              <w:rPr>
                <w:sz w:val="16"/>
                <w:szCs w:val="16"/>
              </w:rPr>
            </w:pPr>
            <w:r w:rsidRPr="006B42D6">
              <w:rPr>
                <w:sz w:val="16"/>
                <w:szCs w:val="16"/>
              </w:rPr>
              <w:t>3.3</w:t>
            </w:r>
          </w:p>
        </w:tc>
      </w:tr>
      <w:tr w:rsidR="006B42D6" w:rsidRPr="006B42D6" w14:paraId="0B3E9A1D" w14:textId="77777777" w:rsidTr="0024189E">
        <w:trPr>
          <w:trHeight w:hRule="exact" w:val="198"/>
        </w:trPr>
        <w:tc>
          <w:tcPr>
            <w:tcW w:w="653" w:type="pct"/>
            <w:tcBorders>
              <w:top w:val="nil"/>
              <w:left w:val="nil"/>
              <w:bottom w:val="nil"/>
              <w:right w:val="nil"/>
            </w:tcBorders>
            <w:shd w:val="clear" w:color="auto" w:fill="auto"/>
            <w:noWrap/>
            <w:vAlign w:val="center"/>
            <w:hideMark/>
          </w:tcPr>
          <w:p w14:paraId="3E840BB5" w14:textId="77777777" w:rsidR="008A1E55" w:rsidRPr="006B42D6" w:rsidRDefault="008A1E55" w:rsidP="00E16CAE">
            <w:pPr>
              <w:rPr>
                <w:sz w:val="16"/>
                <w:szCs w:val="16"/>
              </w:rPr>
            </w:pPr>
            <w:r w:rsidRPr="006B42D6">
              <w:rPr>
                <w:sz w:val="16"/>
                <w:szCs w:val="16"/>
              </w:rPr>
              <w:t>Rukwa</w:t>
            </w:r>
          </w:p>
        </w:tc>
        <w:tc>
          <w:tcPr>
            <w:tcW w:w="302" w:type="pct"/>
            <w:tcBorders>
              <w:top w:val="nil"/>
              <w:left w:val="nil"/>
              <w:bottom w:val="nil"/>
              <w:right w:val="nil"/>
            </w:tcBorders>
            <w:shd w:val="clear" w:color="auto" w:fill="auto"/>
            <w:noWrap/>
            <w:vAlign w:val="center"/>
            <w:hideMark/>
          </w:tcPr>
          <w:p w14:paraId="6AC1EC4D" w14:textId="77777777" w:rsidR="008A1E55" w:rsidRPr="006B42D6" w:rsidRDefault="008A1E55" w:rsidP="00E16CAE">
            <w:pPr>
              <w:jc w:val="right"/>
              <w:rPr>
                <w:sz w:val="16"/>
                <w:szCs w:val="16"/>
              </w:rPr>
            </w:pPr>
            <w:r w:rsidRPr="006B42D6">
              <w:rPr>
                <w:sz w:val="16"/>
                <w:szCs w:val="16"/>
              </w:rPr>
              <w:t>2.2</w:t>
            </w:r>
          </w:p>
        </w:tc>
        <w:tc>
          <w:tcPr>
            <w:tcW w:w="343" w:type="pct"/>
            <w:tcBorders>
              <w:top w:val="nil"/>
              <w:left w:val="nil"/>
              <w:bottom w:val="nil"/>
              <w:right w:val="nil"/>
            </w:tcBorders>
            <w:shd w:val="clear" w:color="auto" w:fill="auto"/>
            <w:noWrap/>
            <w:vAlign w:val="center"/>
            <w:hideMark/>
          </w:tcPr>
          <w:p w14:paraId="2C93461A" w14:textId="77777777" w:rsidR="008A1E55" w:rsidRPr="006B42D6" w:rsidRDefault="008A1E55" w:rsidP="00E16CAE">
            <w:pPr>
              <w:jc w:val="right"/>
              <w:rPr>
                <w:sz w:val="16"/>
                <w:szCs w:val="16"/>
              </w:rPr>
            </w:pPr>
            <w:r w:rsidRPr="006B42D6">
              <w:rPr>
                <w:sz w:val="16"/>
                <w:szCs w:val="16"/>
              </w:rPr>
              <w:t>2.6</w:t>
            </w:r>
          </w:p>
        </w:tc>
        <w:tc>
          <w:tcPr>
            <w:tcW w:w="400" w:type="pct"/>
            <w:tcBorders>
              <w:top w:val="nil"/>
              <w:left w:val="nil"/>
              <w:bottom w:val="nil"/>
              <w:right w:val="nil"/>
            </w:tcBorders>
            <w:shd w:val="clear" w:color="auto" w:fill="auto"/>
            <w:noWrap/>
            <w:vAlign w:val="center"/>
            <w:hideMark/>
          </w:tcPr>
          <w:p w14:paraId="28F51E27" w14:textId="77777777" w:rsidR="008A1E55" w:rsidRPr="006B42D6" w:rsidRDefault="008A1E55" w:rsidP="00E16CAE">
            <w:pPr>
              <w:jc w:val="right"/>
              <w:rPr>
                <w:sz w:val="16"/>
                <w:szCs w:val="16"/>
              </w:rPr>
            </w:pPr>
            <w:r w:rsidRPr="006B42D6">
              <w:rPr>
                <w:sz w:val="16"/>
                <w:szCs w:val="16"/>
              </w:rPr>
              <w:t>6.9</w:t>
            </w:r>
          </w:p>
        </w:tc>
        <w:tc>
          <w:tcPr>
            <w:tcW w:w="363" w:type="pct"/>
            <w:tcBorders>
              <w:top w:val="nil"/>
              <w:left w:val="nil"/>
              <w:bottom w:val="nil"/>
              <w:right w:val="nil"/>
            </w:tcBorders>
            <w:shd w:val="clear" w:color="auto" w:fill="auto"/>
            <w:noWrap/>
            <w:vAlign w:val="center"/>
            <w:hideMark/>
          </w:tcPr>
          <w:p w14:paraId="5E927550" w14:textId="77777777" w:rsidR="008A1E55" w:rsidRPr="006B42D6" w:rsidRDefault="008A1E55" w:rsidP="00E16CAE">
            <w:pPr>
              <w:jc w:val="right"/>
              <w:rPr>
                <w:sz w:val="16"/>
                <w:szCs w:val="16"/>
              </w:rPr>
            </w:pPr>
            <w:r w:rsidRPr="006B42D6">
              <w:rPr>
                <w:sz w:val="16"/>
                <w:szCs w:val="16"/>
              </w:rPr>
              <w:t>3.3</w:t>
            </w:r>
          </w:p>
        </w:tc>
        <w:tc>
          <w:tcPr>
            <w:tcW w:w="373" w:type="pct"/>
            <w:tcBorders>
              <w:top w:val="nil"/>
              <w:left w:val="nil"/>
              <w:bottom w:val="nil"/>
              <w:right w:val="nil"/>
            </w:tcBorders>
            <w:shd w:val="clear" w:color="auto" w:fill="auto"/>
            <w:noWrap/>
            <w:vAlign w:val="center"/>
            <w:hideMark/>
          </w:tcPr>
          <w:p w14:paraId="33AB7247" w14:textId="77777777" w:rsidR="008A1E55" w:rsidRPr="006B42D6" w:rsidRDefault="008A1E55" w:rsidP="00E16CAE">
            <w:pPr>
              <w:jc w:val="right"/>
              <w:rPr>
                <w:sz w:val="16"/>
                <w:szCs w:val="16"/>
              </w:rPr>
            </w:pPr>
            <w:r w:rsidRPr="006B42D6">
              <w:rPr>
                <w:sz w:val="16"/>
                <w:szCs w:val="16"/>
              </w:rPr>
              <w:t>5.5</w:t>
            </w:r>
          </w:p>
        </w:tc>
        <w:tc>
          <w:tcPr>
            <w:tcW w:w="443" w:type="pct"/>
            <w:tcBorders>
              <w:top w:val="nil"/>
              <w:left w:val="nil"/>
              <w:bottom w:val="nil"/>
              <w:right w:val="nil"/>
            </w:tcBorders>
            <w:shd w:val="clear" w:color="auto" w:fill="auto"/>
            <w:noWrap/>
            <w:vAlign w:val="center"/>
            <w:hideMark/>
          </w:tcPr>
          <w:p w14:paraId="534BDD11" w14:textId="77777777" w:rsidR="008A1E55" w:rsidRPr="006B42D6" w:rsidRDefault="008A1E55" w:rsidP="00E16CAE">
            <w:pPr>
              <w:jc w:val="right"/>
              <w:rPr>
                <w:sz w:val="16"/>
                <w:szCs w:val="16"/>
              </w:rPr>
            </w:pPr>
            <w:r w:rsidRPr="006B42D6">
              <w:rPr>
                <w:sz w:val="16"/>
                <w:szCs w:val="16"/>
              </w:rPr>
              <w:t>2.4</w:t>
            </w:r>
          </w:p>
        </w:tc>
        <w:tc>
          <w:tcPr>
            <w:tcW w:w="371" w:type="pct"/>
            <w:tcBorders>
              <w:top w:val="nil"/>
              <w:left w:val="nil"/>
              <w:bottom w:val="nil"/>
              <w:right w:val="nil"/>
            </w:tcBorders>
            <w:shd w:val="clear" w:color="auto" w:fill="auto"/>
            <w:noWrap/>
            <w:vAlign w:val="center"/>
            <w:hideMark/>
          </w:tcPr>
          <w:p w14:paraId="206CB5C3" w14:textId="77777777" w:rsidR="008A1E55" w:rsidRPr="006B42D6" w:rsidRDefault="008A1E55" w:rsidP="00E16CAE">
            <w:pPr>
              <w:jc w:val="right"/>
              <w:rPr>
                <w:sz w:val="16"/>
                <w:szCs w:val="16"/>
              </w:rPr>
            </w:pPr>
            <w:r w:rsidRPr="006B42D6">
              <w:rPr>
                <w:sz w:val="16"/>
                <w:szCs w:val="16"/>
              </w:rPr>
              <w:t>2.0</w:t>
            </w:r>
          </w:p>
        </w:tc>
        <w:tc>
          <w:tcPr>
            <w:tcW w:w="352" w:type="pct"/>
            <w:tcBorders>
              <w:top w:val="nil"/>
              <w:left w:val="nil"/>
              <w:bottom w:val="nil"/>
              <w:right w:val="nil"/>
            </w:tcBorders>
            <w:shd w:val="clear" w:color="auto" w:fill="auto"/>
            <w:noWrap/>
            <w:vAlign w:val="center"/>
            <w:hideMark/>
          </w:tcPr>
          <w:p w14:paraId="0585B27D" w14:textId="77777777" w:rsidR="008A1E55" w:rsidRPr="006B42D6" w:rsidRDefault="008A1E55" w:rsidP="00E16CAE">
            <w:pPr>
              <w:jc w:val="right"/>
              <w:rPr>
                <w:sz w:val="16"/>
                <w:szCs w:val="16"/>
              </w:rPr>
            </w:pPr>
            <w:r w:rsidRPr="006B42D6">
              <w:rPr>
                <w:sz w:val="16"/>
                <w:szCs w:val="16"/>
              </w:rPr>
              <w:t>0.2</w:t>
            </w:r>
          </w:p>
        </w:tc>
        <w:tc>
          <w:tcPr>
            <w:tcW w:w="287" w:type="pct"/>
            <w:tcBorders>
              <w:top w:val="nil"/>
              <w:left w:val="nil"/>
              <w:bottom w:val="nil"/>
              <w:right w:val="nil"/>
            </w:tcBorders>
            <w:shd w:val="clear" w:color="auto" w:fill="auto"/>
            <w:noWrap/>
            <w:vAlign w:val="center"/>
            <w:hideMark/>
          </w:tcPr>
          <w:p w14:paraId="751D252C" w14:textId="77777777" w:rsidR="008A1E55" w:rsidRPr="006B42D6" w:rsidRDefault="008A1E55" w:rsidP="00E16CAE">
            <w:pPr>
              <w:jc w:val="right"/>
              <w:rPr>
                <w:sz w:val="16"/>
                <w:szCs w:val="16"/>
              </w:rPr>
            </w:pPr>
            <w:r w:rsidRPr="006B42D6">
              <w:rPr>
                <w:sz w:val="16"/>
                <w:szCs w:val="16"/>
              </w:rPr>
              <w:t>2.5</w:t>
            </w:r>
          </w:p>
        </w:tc>
        <w:tc>
          <w:tcPr>
            <w:tcW w:w="287" w:type="pct"/>
            <w:tcBorders>
              <w:top w:val="nil"/>
              <w:left w:val="nil"/>
              <w:bottom w:val="nil"/>
              <w:right w:val="nil"/>
            </w:tcBorders>
            <w:shd w:val="clear" w:color="auto" w:fill="auto"/>
            <w:noWrap/>
            <w:vAlign w:val="center"/>
            <w:hideMark/>
          </w:tcPr>
          <w:p w14:paraId="7A27F8ED" w14:textId="77777777" w:rsidR="008A1E55" w:rsidRPr="006B42D6" w:rsidRDefault="008A1E55" w:rsidP="00E16CAE">
            <w:pPr>
              <w:jc w:val="right"/>
              <w:rPr>
                <w:sz w:val="16"/>
                <w:szCs w:val="16"/>
              </w:rPr>
            </w:pPr>
            <w:r w:rsidRPr="006B42D6">
              <w:rPr>
                <w:sz w:val="16"/>
                <w:szCs w:val="16"/>
              </w:rPr>
              <w:t>-</w:t>
            </w:r>
          </w:p>
        </w:tc>
        <w:tc>
          <w:tcPr>
            <w:tcW w:w="287" w:type="pct"/>
            <w:tcBorders>
              <w:top w:val="nil"/>
              <w:left w:val="nil"/>
              <w:bottom w:val="nil"/>
              <w:right w:val="nil"/>
            </w:tcBorders>
            <w:shd w:val="clear" w:color="auto" w:fill="auto"/>
            <w:noWrap/>
            <w:vAlign w:val="center"/>
            <w:hideMark/>
          </w:tcPr>
          <w:p w14:paraId="6A858452" w14:textId="77777777" w:rsidR="008A1E55" w:rsidRPr="006B42D6" w:rsidRDefault="008A1E55" w:rsidP="00E16CAE">
            <w:pPr>
              <w:jc w:val="right"/>
              <w:rPr>
                <w:sz w:val="16"/>
                <w:szCs w:val="16"/>
              </w:rPr>
            </w:pPr>
            <w:r w:rsidRPr="006B42D6">
              <w:rPr>
                <w:sz w:val="16"/>
                <w:szCs w:val="16"/>
              </w:rPr>
              <w:t>2.3</w:t>
            </w:r>
          </w:p>
        </w:tc>
        <w:tc>
          <w:tcPr>
            <w:tcW w:w="315" w:type="pct"/>
            <w:tcBorders>
              <w:top w:val="nil"/>
              <w:left w:val="nil"/>
              <w:bottom w:val="nil"/>
              <w:right w:val="nil"/>
            </w:tcBorders>
            <w:shd w:val="clear" w:color="auto" w:fill="auto"/>
            <w:noWrap/>
            <w:vAlign w:val="center"/>
            <w:hideMark/>
          </w:tcPr>
          <w:p w14:paraId="1F32311B" w14:textId="77777777" w:rsidR="008A1E55" w:rsidRPr="006B42D6" w:rsidRDefault="008A1E55" w:rsidP="00E16CAE">
            <w:pPr>
              <w:jc w:val="right"/>
              <w:rPr>
                <w:sz w:val="16"/>
                <w:szCs w:val="16"/>
              </w:rPr>
            </w:pPr>
            <w:r w:rsidRPr="006B42D6">
              <w:rPr>
                <w:sz w:val="16"/>
                <w:szCs w:val="16"/>
              </w:rPr>
              <w:t>11.7</w:t>
            </w:r>
          </w:p>
        </w:tc>
        <w:tc>
          <w:tcPr>
            <w:tcW w:w="226" w:type="pct"/>
            <w:tcBorders>
              <w:top w:val="nil"/>
              <w:left w:val="nil"/>
              <w:bottom w:val="nil"/>
              <w:right w:val="nil"/>
            </w:tcBorders>
            <w:shd w:val="clear" w:color="auto" w:fill="auto"/>
            <w:noWrap/>
            <w:vAlign w:val="center"/>
            <w:hideMark/>
          </w:tcPr>
          <w:p w14:paraId="6392A130" w14:textId="77777777" w:rsidR="008A1E55" w:rsidRPr="006B42D6" w:rsidRDefault="008A1E55" w:rsidP="00E16CAE">
            <w:pPr>
              <w:jc w:val="right"/>
              <w:rPr>
                <w:sz w:val="16"/>
                <w:szCs w:val="16"/>
              </w:rPr>
            </w:pPr>
            <w:r w:rsidRPr="006B42D6">
              <w:rPr>
                <w:sz w:val="16"/>
                <w:szCs w:val="16"/>
              </w:rPr>
              <w:t>1.3</w:t>
            </w:r>
          </w:p>
        </w:tc>
      </w:tr>
      <w:tr w:rsidR="006B42D6" w:rsidRPr="006B42D6" w14:paraId="10B18EE1" w14:textId="77777777" w:rsidTr="0024189E">
        <w:trPr>
          <w:trHeight w:hRule="exact" w:val="198"/>
        </w:trPr>
        <w:tc>
          <w:tcPr>
            <w:tcW w:w="653" w:type="pct"/>
            <w:tcBorders>
              <w:top w:val="nil"/>
              <w:left w:val="nil"/>
              <w:bottom w:val="nil"/>
              <w:right w:val="nil"/>
            </w:tcBorders>
            <w:shd w:val="clear" w:color="auto" w:fill="auto"/>
            <w:noWrap/>
            <w:vAlign w:val="center"/>
            <w:hideMark/>
          </w:tcPr>
          <w:p w14:paraId="7BAAFEAF" w14:textId="77777777" w:rsidR="008A1E55" w:rsidRPr="006B42D6" w:rsidRDefault="008A1E55" w:rsidP="00E16CAE">
            <w:pPr>
              <w:rPr>
                <w:sz w:val="16"/>
                <w:szCs w:val="16"/>
              </w:rPr>
            </w:pPr>
            <w:r w:rsidRPr="006B42D6">
              <w:rPr>
                <w:sz w:val="16"/>
                <w:szCs w:val="16"/>
              </w:rPr>
              <w:t>Kigoma</w:t>
            </w:r>
          </w:p>
        </w:tc>
        <w:tc>
          <w:tcPr>
            <w:tcW w:w="302" w:type="pct"/>
            <w:tcBorders>
              <w:top w:val="nil"/>
              <w:left w:val="nil"/>
              <w:bottom w:val="nil"/>
              <w:right w:val="nil"/>
            </w:tcBorders>
            <w:shd w:val="clear" w:color="auto" w:fill="auto"/>
            <w:noWrap/>
            <w:vAlign w:val="center"/>
            <w:hideMark/>
          </w:tcPr>
          <w:p w14:paraId="69F96998" w14:textId="77777777" w:rsidR="008A1E55" w:rsidRPr="006B42D6" w:rsidRDefault="008A1E55" w:rsidP="00E16CAE">
            <w:pPr>
              <w:jc w:val="right"/>
              <w:rPr>
                <w:sz w:val="16"/>
                <w:szCs w:val="16"/>
              </w:rPr>
            </w:pPr>
            <w:r w:rsidRPr="006B42D6">
              <w:rPr>
                <w:sz w:val="16"/>
                <w:szCs w:val="16"/>
              </w:rPr>
              <w:t>4.1</w:t>
            </w:r>
          </w:p>
        </w:tc>
        <w:tc>
          <w:tcPr>
            <w:tcW w:w="343" w:type="pct"/>
            <w:tcBorders>
              <w:top w:val="nil"/>
              <w:left w:val="nil"/>
              <w:bottom w:val="nil"/>
              <w:right w:val="nil"/>
            </w:tcBorders>
            <w:shd w:val="clear" w:color="auto" w:fill="auto"/>
            <w:noWrap/>
            <w:vAlign w:val="center"/>
            <w:hideMark/>
          </w:tcPr>
          <w:p w14:paraId="2054ED53" w14:textId="77777777" w:rsidR="008A1E55" w:rsidRPr="006B42D6" w:rsidRDefault="008A1E55" w:rsidP="00E16CAE">
            <w:pPr>
              <w:jc w:val="right"/>
              <w:rPr>
                <w:sz w:val="16"/>
                <w:szCs w:val="16"/>
              </w:rPr>
            </w:pPr>
            <w:r w:rsidRPr="006B42D6">
              <w:rPr>
                <w:sz w:val="16"/>
                <w:szCs w:val="16"/>
              </w:rPr>
              <w:t>4.5</w:t>
            </w:r>
          </w:p>
        </w:tc>
        <w:tc>
          <w:tcPr>
            <w:tcW w:w="400" w:type="pct"/>
            <w:tcBorders>
              <w:top w:val="nil"/>
              <w:left w:val="nil"/>
              <w:bottom w:val="nil"/>
              <w:right w:val="nil"/>
            </w:tcBorders>
            <w:shd w:val="clear" w:color="auto" w:fill="auto"/>
            <w:noWrap/>
            <w:vAlign w:val="center"/>
            <w:hideMark/>
          </w:tcPr>
          <w:p w14:paraId="75213B5A" w14:textId="77777777" w:rsidR="008A1E55" w:rsidRPr="006B42D6" w:rsidRDefault="008A1E55" w:rsidP="00E16CAE">
            <w:pPr>
              <w:jc w:val="right"/>
              <w:rPr>
                <w:sz w:val="16"/>
                <w:szCs w:val="16"/>
              </w:rPr>
            </w:pPr>
            <w:r w:rsidRPr="006B42D6">
              <w:rPr>
                <w:sz w:val="16"/>
                <w:szCs w:val="16"/>
              </w:rPr>
              <w:t>12.3</w:t>
            </w:r>
          </w:p>
        </w:tc>
        <w:tc>
          <w:tcPr>
            <w:tcW w:w="363" w:type="pct"/>
            <w:tcBorders>
              <w:top w:val="nil"/>
              <w:left w:val="nil"/>
              <w:bottom w:val="nil"/>
              <w:right w:val="nil"/>
            </w:tcBorders>
            <w:shd w:val="clear" w:color="auto" w:fill="auto"/>
            <w:noWrap/>
            <w:vAlign w:val="center"/>
            <w:hideMark/>
          </w:tcPr>
          <w:p w14:paraId="16EEE05D" w14:textId="77777777" w:rsidR="008A1E55" w:rsidRPr="006B42D6" w:rsidRDefault="008A1E55" w:rsidP="00E16CAE">
            <w:pPr>
              <w:jc w:val="right"/>
              <w:rPr>
                <w:sz w:val="16"/>
                <w:szCs w:val="16"/>
              </w:rPr>
            </w:pPr>
            <w:r w:rsidRPr="006B42D6">
              <w:rPr>
                <w:sz w:val="16"/>
                <w:szCs w:val="16"/>
              </w:rPr>
              <w:t>3.3</w:t>
            </w:r>
          </w:p>
        </w:tc>
        <w:tc>
          <w:tcPr>
            <w:tcW w:w="373" w:type="pct"/>
            <w:tcBorders>
              <w:top w:val="nil"/>
              <w:left w:val="nil"/>
              <w:bottom w:val="nil"/>
              <w:right w:val="nil"/>
            </w:tcBorders>
            <w:shd w:val="clear" w:color="auto" w:fill="auto"/>
            <w:noWrap/>
            <w:vAlign w:val="center"/>
            <w:hideMark/>
          </w:tcPr>
          <w:p w14:paraId="6521FC37" w14:textId="77777777" w:rsidR="008A1E55" w:rsidRPr="006B42D6" w:rsidRDefault="008A1E55" w:rsidP="00E16CAE">
            <w:pPr>
              <w:jc w:val="right"/>
              <w:rPr>
                <w:sz w:val="16"/>
                <w:szCs w:val="16"/>
              </w:rPr>
            </w:pPr>
            <w:r w:rsidRPr="006B42D6">
              <w:rPr>
                <w:sz w:val="16"/>
                <w:szCs w:val="16"/>
              </w:rPr>
              <w:t>5.3</w:t>
            </w:r>
          </w:p>
        </w:tc>
        <w:tc>
          <w:tcPr>
            <w:tcW w:w="443" w:type="pct"/>
            <w:tcBorders>
              <w:top w:val="nil"/>
              <w:left w:val="nil"/>
              <w:bottom w:val="nil"/>
              <w:right w:val="nil"/>
            </w:tcBorders>
            <w:shd w:val="clear" w:color="auto" w:fill="auto"/>
            <w:noWrap/>
            <w:vAlign w:val="center"/>
            <w:hideMark/>
          </w:tcPr>
          <w:p w14:paraId="63D5BF2B" w14:textId="77777777" w:rsidR="008A1E55" w:rsidRPr="006B42D6" w:rsidRDefault="008A1E55" w:rsidP="00E16CAE">
            <w:pPr>
              <w:jc w:val="right"/>
              <w:rPr>
                <w:sz w:val="16"/>
                <w:szCs w:val="16"/>
              </w:rPr>
            </w:pPr>
            <w:r w:rsidRPr="006B42D6">
              <w:rPr>
                <w:sz w:val="16"/>
                <w:szCs w:val="16"/>
              </w:rPr>
              <w:t>6.6</w:t>
            </w:r>
          </w:p>
        </w:tc>
        <w:tc>
          <w:tcPr>
            <w:tcW w:w="371" w:type="pct"/>
            <w:tcBorders>
              <w:top w:val="nil"/>
              <w:left w:val="nil"/>
              <w:bottom w:val="nil"/>
              <w:right w:val="nil"/>
            </w:tcBorders>
            <w:shd w:val="clear" w:color="auto" w:fill="auto"/>
            <w:noWrap/>
            <w:vAlign w:val="center"/>
            <w:hideMark/>
          </w:tcPr>
          <w:p w14:paraId="1A13B1C2" w14:textId="77777777" w:rsidR="008A1E55" w:rsidRPr="006B42D6" w:rsidRDefault="008A1E55" w:rsidP="00E16CAE">
            <w:pPr>
              <w:jc w:val="right"/>
              <w:rPr>
                <w:sz w:val="16"/>
                <w:szCs w:val="16"/>
              </w:rPr>
            </w:pPr>
            <w:r w:rsidRPr="006B42D6">
              <w:rPr>
                <w:sz w:val="16"/>
                <w:szCs w:val="16"/>
              </w:rPr>
              <w:t>0.6</w:t>
            </w:r>
          </w:p>
        </w:tc>
        <w:tc>
          <w:tcPr>
            <w:tcW w:w="352" w:type="pct"/>
            <w:tcBorders>
              <w:top w:val="nil"/>
              <w:left w:val="nil"/>
              <w:bottom w:val="nil"/>
              <w:right w:val="nil"/>
            </w:tcBorders>
            <w:shd w:val="clear" w:color="auto" w:fill="auto"/>
            <w:noWrap/>
            <w:vAlign w:val="center"/>
            <w:hideMark/>
          </w:tcPr>
          <w:p w14:paraId="009730DA" w14:textId="77777777" w:rsidR="008A1E55" w:rsidRPr="006B42D6" w:rsidRDefault="008A1E55" w:rsidP="00E16CAE">
            <w:pPr>
              <w:jc w:val="right"/>
              <w:rPr>
                <w:sz w:val="16"/>
                <w:szCs w:val="16"/>
              </w:rPr>
            </w:pPr>
            <w:r w:rsidRPr="006B42D6">
              <w:rPr>
                <w:sz w:val="16"/>
                <w:szCs w:val="16"/>
              </w:rPr>
              <w:t>-</w:t>
            </w:r>
          </w:p>
        </w:tc>
        <w:tc>
          <w:tcPr>
            <w:tcW w:w="287" w:type="pct"/>
            <w:tcBorders>
              <w:top w:val="nil"/>
              <w:left w:val="nil"/>
              <w:bottom w:val="nil"/>
              <w:right w:val="nil"/>
            </w:tcBorders>
            <w:shd w:val="clear" w:color="auto" w:fill="auto"/>
            <w:noWrap/>
            <w:vAlign w:val="center"/>
            <w:hideMark/>
          </w:tcPr>
          <w:p w14:paraId="4339D8B6" w14:textId="77777777" w:rsidR="008A1E55" w:rsidRPr="006B42D6" w:rsidRDefault="008A1E55" w:rsidP="00E16CAE">
            <w:pPr>
              <w:jc w:val="right"/>
              <w:rPr>
                <w:sz w:val="16"/>
                <w:szCs w:val="16"/>
              </w:rPr>
            </w:pPr>
            <w:r w:rsidRPr="006B42D6">
              <w:rPr>
                <w:sz w:val="16"/>
                <w:szCs w:val="16"/>
              </w:rPr>
              <w:t>-</w:t>
            </w:r>
          </w:p>
        </w:tc>
        <w:tc>
          <w:tcPr>
            <w:tcW w:w="287" w:type="pct"/>
            <w:tcBorders>
              <w:top w:val="nil"/>
              <w:left w:val="nil"/>
              <w:bottom w:val="nil"/>
              <w:right w:val="nil"/>
            </w:tcBorders>
            <w:shd w:val="clear" w:color="auto" w:fill="auto"/>
            <w:noWrap/>
            <w:vAlign w:val="center"/>
            <w:hideMark/>
          </w:tcPr>
          <w:p w14:paraId="1D3B9CD5" w14:textId="77777777" w:rsidR="008A1E55" w:rsidRPr="006B42D6" w:rsidRDefault="008A1E55" w:rsidP="00E16CAE">
            <w:pPr>
              <w:jc w:val="right"/>
              <w:rPr>
                <w:sz w:val="16"/>
                <w:szCs w:val="16"/>
              </w:rPr>
            </w:pPr>
            <w:r w:rsidRPr="006B42D6">
              <w:rPr>
                <w:sz w:val="16"/>
                <w:szCs w:val="16"/>
              </w:rPr>
              <w:t>-</w:t>
            </w:r>
          </w:p>
        </w:tc>
        <w:tc>
          <w:tcPr>
            <w:tcW w:w="287" w:type="pct"/>
            <w:tcBorders>
              <w:top w:val="nil"/>
              <w:left w:val="nil"/>
              <w:bottom w:val="nil"/>
              <w:right w:val="nil"/>
            </w:tcBorders>
            <w:shd w:val="clear" w:color="auto" w:fill="auto"/>
            <w:noWrap/>
            <w:vAlign w:val="center"/>
            <w:hideMark/>
          </w:tcPr>
          <w:p w14:paraId="12FC46BD" w14:textId="77777777" w:rsidR="008A1E55" w:rsidRPr="006B42D6" w:rsidRDefault="008A1E55" w:rsidP="00E16CAE">
            <w:pPr>
              <w:jc w:val="right"/>
              <w:rPr>
                <w:sz w:val="16"/>
                <w:szCs w:val="16"/>
              </w:rPr>
            </w:pPr>
            <w:r w:rsidRPr="006B42D6">
              <w:rPr>
                <w:sz w:val="16"/>
                <w:szCs w:val="16"/>
              </w:rPr>
              <w:t>8.0</w:t>
            </w:r>
          </w:p>
        </w:tc>
        <w:tc>
          <w:tcPr>
            <w:tcW w:w="315" w:type="pct"/>
            <w:tcBorders>
              <w:top w:val="nil"/>
              <w:left w:val="nil"/>
              <w:bottom w:val="nil"/>
              <w:right w:val="nil"/>
            </w:tcBorders>
            <w:shd w:val="clear" w:color="auto" w:fill="auto"/>
            <w:noWrap/>
            <w:vAlign w:val="center"/>
            <w:hideMark/>
          </w:tcPr>
          <w:p w14:paraId="73326C57" w14:textId="77777777" w:rsidR="008A1E55" w:rsidRPr="006B42D6" w:rsidRDefault="008A1E55" w:rsidP="00E16CAE">
            <w:pPr>
              <w:jc w:val="right"/>
              <w:rPr>
                <w:sz w:val="16"/>
                <w:szCs w:val="16"/>
              </w:rPr>
            </w:pPr>
            <w:r w:rsidRPr="006B42D6">
              <w:rPr>
                <w:sz w:val="16"/>
                <w:szCs w:val="16"/>
              </w:rPr>
              <w:t>5.0</w:t>
            </w:r>
          </w:p>
        </w:tc>
        <w:tc>
          <w:tcPr>
            <w:tcW w:w="226" w:type="pct"/>
            <w:tcBorders>
              <w:top w:val="nil"/>
              <w:left w:val="nil"/>
              <w:bottom w:val="nil"/>
              <w:right w:val="nil"/>
            </w:tcBorders>
            <w:shd w:val="clear" w:color="auto" w:fill="auto"/>
            <w:noWrap/>
            <w:vAlign w:val="center"/>
            <w:hideMark/>
          </w:tcPr>
          <w:p w14:paraId="707341D5" w14:textId="77777777" w:rsidR="008A1E55" w:rsidRPr="006B42D6" w:rsidRDefault="008A1E55" w:rsidP="00E16CAE">
            <w:pPr>
              <w:jc w:val="right"/>
              <w:rPr>
                <w:sz w:val="16"/>
                <w:szCs w:val="16"/>
              </w:rPr>
            </w:pPr>
            <w:r w:rsidRPr="006B42D6">
              <w:rPr>
                <w:sz w:val="16"/>
                <w:szCs w:val="16"/>
              </w:rPr>
              <w:t>4.1</w:t>
            </w:r>
          </w:p>
        </w:tc>
      </w:tr>
      <w:tr w:rsidR="006B42D6" w:rsidRPr="006B42D6" w14:paraId="36CA004F" w14:textId="77777777" w:rsidTr="0024189E">
        <w:trPr>
          <w:trHeight w:hRule="exact" w:val="198"/>
        </w:trPr>
        <w:tc>
          <w:tcPr>
            <w:tcW w:w="653" w:type="pct"/>
            <w:tcBorders>
              <w:top w:val="nil"/>
              <w:left w:val="nil"/>
              <w:bottom w:val="nil"/>
              <w:right w:val="nil"/>
            </w:tcBorders>
            <w:shd w:val="clear" w:color="auto" w:fill="auto"/>
            <w:noWrap/>
            <w:vAlign w:val="center"/>
            <w:hideMark/>
          </w:tcPr>
          <w:p w14:paraId="06C30304" w14:textId="77777777" w:rsidR="008A1E55" w:rsidRPr="006B42D6" w:rsidRDefault="008A1E55" w:rsidP="00E16CAE">
            <w:pPr>
              <w:rPr>
                <w:sz w:val="16"/>
                <w:szCs w:val="16"/>
              </w:rPr>
            </w:pPr>
            <w:r w:rsidRPr="006B42D6">
              <w:rPr>
                <w:sz w:val="16"/>
                <w:szCs w:val="16"/>
              </w:rPr>
              <w:t>Shinyanga</w:t>
            </w:r>
          </w:p>
        </w:tc>
        <w:tc>
          <w:tcPr>
            <w:tcW w:w="302" w:type="pct"/>
            <w:tcBorders>
              <w:top w:val="nil"/>
              <w:left w:val="nil"/>
              <w:bottom w:val="nil"/>
              <w:right w:val="nil"/>
            </w:tcBorders>
            <w:shd w:val="clear" w:color="auto" w:fill="auto"/>
            <w:noWrap/>
            <w:vAlign w:val="center"/>
            <w:hideMark/>
          </w:tcPr>
          <w:p w14:paraId="0257698D" w14:textId="77777777" w:rsidR="008A1E55" w:rsidRPr="006B42D6" w:rsidRDefault="008A1E55" w:rsidP="00E16CAE">
            <w:pPr>
              <w:jc w:val="right"/>
              <w:rPr>
                <w:sz w:val="16"/>
                <w:szCs w:val="16"/>
              </w:rPr>
            </w:pPr>
            <w:r w:rsidRPr="006B42D6">
              <w:rPr>
                <w:sz w:val="16"/>
                <w:szCs w:val="16"/>
              </w:rPr>
              <w:t>1.9</w:t>
            </w:r>
          </w:p>
        </w:tc>
        <w:tc>
          <w:tcPr>
            <w:tcW w:w="343" w:type="pct"/>
            <w:tcBorders>
              <w:top w:val="nil"/>
              <w:left w:val="nil"/>
              <w:bottom w:val="nil"/>
              <w:right w:val="nil"/>
            </w:tcBorders>
            <w:shd w:val="clear" w:color="auto" w:fill="auto"/>
            <w:noWrap/>
            <w:vAlign w:val="center"/>
            <w:hideMark/>
          </w:tcPr>
          <w:p w14:paraId="6E79096E" w14:textId="77777777" w:rsidR="008A1E55" w:rsidRPr="006B42D6" w:rsidRDefault="008A1E55" w:rsidP="00E16CAE">
            <w:pPr>
              <w:jc w:val="right"/>
              <w:rPr>
                <w:sz w:val="16"/>
                <w:szCs w:val="16"/>
              </w:rPr>
            </w:pPr>
            <w:r w:rsidRPr="006B42D6">
              <w:rPr>
                <w:sz w:val="16"/>
                <w:szCs w:val="16"/>
              </w:rPr>
              <w:t>4.7</w:t>
            </w:r>
          </w:p>
        </w:tc>
        <w:tc>
          <w:tcPr>
            <w:tcW w:w="400" w:type="pct"/>
            <w:tcBorders>
              <w:top w:val="nil"/>
              <w:left w:val="nil"/>
              <w:bottom w:val="nil"/>
              <w:right w:val="nil"/>
            </w:tcBorders>
            <w:shd w:val="clear" w:color="auto" w:fill="auto"/>
            <w:noWrap/>
            <w:vAlign w:val="center"/>
            <w:hideMark/>
          </w:tcPr>
          <w:p w14:paraId="346BBE8B" w14:textId="77777777" w:rsidR="008A1E55" w:rsidRPr="006B42D6" w:rsidRDefault="008A1E55" w:rsidP="00E16CAE">
            <w:pPr>
              <w:jc w:val="right"/>
              <w:rPr>
                <w:sz w:val="16"/>
                <w:szCs w:val="16"/>
              </w:rPr>
            </w:pPr>
            <w:r w:rsidRPr="006B42D6">
              <w:rPr>
                <w:sz w:val="16"/>
                <w:szCs w:val="16"/>
              </w:rPr>
              <w:t>1.0</w:t>
            </w:r>
          </w:p>
        </w:tc>
        <w:tc>
          <w:tcPr>
            <w:tcW w:w="363" w:type="pct"/>
            <w:tcBorders>
              <w:top w:val="nil"/>
              <w:left w:val="nil"/>
              <w:bottom w:val="nil"/>
              <w:right w:val="nil"/>
            </w:tcBorders>
            <w:shd w:val="clear" w:color="auto" w:fill="auto"/>
            <w:noWrap/>
            <w:vAlign w:val="center"/>
            <w:hideMark/>
          </w:tcPr>
          <w:p w14:paraId="2479B589" w14:textId="77777777" w:rsidR="008A1E55" w:rsidRPr="006B42D6" w:rsidRDefault="008A1E55" w:rsidP="00E16CAE">
            <w:pPr>
              <w:jc w:val="right"/>
              <w:rPr>
                <w:sz w:val="16"/>
                <w:szCs w:val="16"/>
              </w:rPr>
            </w:pPr>
            <w:r w:rsidRPr="006B42D6">
              <w:rPr>
                <w:sz w:val="16"/>
                <w:szCs w:val="16"/>
              </w:rPr>
              <w:t>4.5</w:t>
            </w:r>
          </w:p>
        </w:tc>
        <w:tc>
          <w:tcPr>
            <w:tcW w:w="373" w:type="pct"/>
            <w:tcBorders>
              <w:top w:val="nil"/>
              <w:left w:val="nil"/>
              <w:bottom w:val="nil"/>
              <w:right w:val="nil"/>
            </w:tcBorders>
            <w:shd w:val="clear" w:color="auto" w:fill="auto"/>
            <w:noWrap/>
            <w:vAlign w:val="center"/>
            <w:hideMark/>
          </w:tcPr>
          <w:p w14:paraId="6C3616D8" w14:textId="77777777" w:rsidR="008A1E55" w:rsidRPr="006B42D6" w:rsidRDefault="008A1E55" w:rsidP="00E16CAE">
            <w:pPr>
              <w:jc w:val="right"/>
              <w:rPr>
                <w:sz w:val="16"/>
                <w:szCs w:val="16"/>
              </w:rPr>
            </w:pPr>
            <w:r w:rsidRPr="006B42D6">
              <w:rPr>
                <w:sz w:val="16"/>
                <w:szCs w:val="16"/>
              </w:rPr>
              <w:t>1.9</w:t>
            </w:r>
          </w:p>
        </w:tc>
        <w:tc>
          <w:tcPr>
            <w:tcW w:w="443" w:type="pct"/>
            <w:tcBorders>
              <w:top w:val="nil"/>
              <w:left w:val="nil"/>
              <w:bottom w:val="nil"/>
              <w:right w:val="nil"/>
            </w:tcBorders>
            <w:shd w:val="clear" w:color="auto" w:fill="auto"/>
            <w:noWrap/>
            <w:vAlign w:val="center"/>
            <w:hideMark/>
          </w:tcPr>
          <w:p w14:paraId="721740A5" w14:textId="77777777" w:rsidR="008A1E55" w:rsidRPr="006B42D6" w:rsidRDefault="008A1E55" w:rsidP="00E16CAE">
            <w:pPr>
              <w:jc w:val="right"/>
              <w:rPr>
                <w:sz w:val="16"/>
                <w:szCs w:val="16"/>
              </w:rPr>
            </w:pPr>
            <w:r w:rsidRPr="006B42D6">
              <w:rPr>
                <w:sz w:val="16"/>
                <w:szCs w:val="16"/>
              </w:rPr>
              <w:t>2.6</w:t>
            </w:r>
          </w:p>
        </w:tc>
        <w:tc>
          <w:tcPr>
            <w:tcW w:w="371" w:type="pct"/>
            <w:tcBorders>
              <w:top w:val="nil"/>
              <w:left w:val="nil"/>
              <w:bottom w:val="nil"/>
              <w:right w:val="nil"/>
            </w:tcBorders>
            <w:shd w:val="clear" w:color="auto" w:fill="auto"/>
            <w:noWrap/>
            <w:vAlign w:val="center"/>
            <w:hideMark/>
          </w:tcPr>
          <w:p w14:paraId="0117F49A" w14:textId="77777777" w:rsidR="008A1E55" w:rsidRPr="006B42D6" w:rsidRDefault="008A1E55" w:rsidP="00E16CAE">
            <w:pPr>
              <w:jc w:val="right"/>
              <w:rPr>
                <w:sz w:val="16"/>
                <w:szCs w:val="16"/>
              </w:rPr>
            </w:pPr>
            <w:r w:rsidRPr="006B42D6">
              <w:rPr>
                <w:sz w:val="16"/>
                <w:szCs w:val="16"/>
              </w:rPr>
              <w:t>0.6</w:t>
            </w:r>
          </w:p>
        </w:tc>
        <w:tc>
          <w:tcPr>
            <w:tcW w:w="352" w:type="pct"/>
            <w:tcBorders>
              <w:top w:val="nil"/>
              <w:left w:val="nil"/>
              <w:bottom w:val="nil"/>
              <w:right w:val="nil"/>
            </w:tcBorders>
            <w:shd w:val="clear" w:color="auto" w:fill="auto"/>
            <w:noWrap/>
            <w:vAlign w:val="center"/>
            <w:hideMark/>
          </w:tcPr>
          <w:p w14:paraId="0F0F78C3" w14:textId="77777777" w:rsidR="008A1E55" w:rsidRPr="006B42D6" w:rsidRDefault="008A1E55" w:rsidP="00E16CAE">
            <w:pPr>
              <w:jc w:val="right"/>
              <w:rPr>
                <w:sz w:val="16"/>
                <w:szCs w:val="16"/>
              </w:rPr>
            </w:pPr>
            <w:r w:rsidRPr="006B42D6">
              <w:rPr>
                <w:sz w:val="16"/>
                <w:szCs w:val="16"/>
              </w:rPr>
              <w:t>0.3</w:t>
            </w:r>
          </w:p>
        </w:tc>
        <w:tc>
          <w:tcPr>
            <w:tcW w:w="287" w:type="pct"/>
            <w:tcBorders>
              <w:top w:val="nil"/>
              <w:left w:val="nil"/>
              <w:bottom w:val="nil"/>
              <w:right w:val="nil"/>
            </w:tcBorders>
            <w:shd w:val="clear" w:color="auto" w:fill="auto"/>
            <w:noWrap/>
            <w:vAlign w:val="center"/>
            <w:hideMark/>
          </w:tcPr>
          <w:p w14:paraId="5F9888E3" w14:textId="77777777" w:rsidR="008A1E55" w:rsidRPr="006B42D6" w:rsidRDefault="008A1E55" w:rsidP="00E16CAE">
            <w:pPr>
              <w:jc w:val="right"/>
              <w:rPr>
                <w:sz w:val="16"/>
                <w:szCs w:val="16"/>
              </w:rPr>
            </w:pPr>
            <w:r w:rsidRPr="006B42D6">
              <w:rPr>
                <w:sz w:val="16"/>
                <w:szCs w:val="16"/>
              </w:rPr>
              <w:t>0.4</w:t>
            </w:r>
          </w:p>
        </w:tc>
        <w:tc>
          <w:tcPr>
            <w:tcW w:w="287" w:type="pct"/>
            <w:tcBorders>
              <w:top w:val="nil"/>
              <w:left w:val="nil"/>
              <w:bottom w:val="nil"/>
              <w:right w:val="nil"/>
            </w:tcBorders>
            <w:shd w:val="clear" w:color="auto" w:fill="auto"/>
            <w:noWrap/>
            <w:vAlign w:val="center"/>
            <w:hideMark/>
          </w:tcPr>
          <w:p w14:paraId="79C84CB5" w14:textId="77777777" w:rsidR="008A1E55" w:rsidRPr="006B42D6" w:rsidRDefault="008A1E55" w:rsidP="00E16CAE">
            <w:pPr>
              <w:jc w:val="right"/>
              <w:rPr>
                <w:sz w:val="16"/>
                <w:szCs w:val="16"/>
              </w:rPr>
            </w:pPr>
            <w:r w:rsidRPr="006B42D6">
              <w:rPr>
                <w:sz w:val="16"/>
                <w:szCs w:val="16"/>
              </w:rPr>
              <w:t>-</w:t>
            </w:r>
          </w:p>
        </w:tc>
        <w:tc>
          <w:tcPr>
            <w:tcW w:w="287" w:type="pct"/>
            <w:tcBorders>
              <w:top w:val="nil"/>
              <w:left w:val="nil"/>
              <w:bottom w:val="nil"/>
              <w:right w:val="nil"/>
            </w:tcBorders>
            <w:shd w:val="clear" w:color="auto" w:fill="auto"/>
            <w:noWrap/>
            <w:vAlign w:val="center"/>
            <w:hideMark/>
          </w:tcPr>
          <w:p w14:paraId="1433B4FE" w14:textId="77777777" w:rsidR="008A1E55" w:rsidRPr="006B42D6" w:rsidRDefault="008A1E55" w:rsidP="00E16CAE">
            <w:pPr>
              <w:jc w:val="right"/>
              <w:rPr>
                <w:sz w:val="16"/>
                <w:szCs w:val="16"/>
              </w:rPr>
            </w:pPr>
            <w:r w:rsidRPr="006B42D6">
              <w:rPr>
                <w:sz w:val="16"/>
                <w:szCs w:val="16"/>
              </w:rPr>
              <w:t>-</w:t>
            </w:r>
          </w:p>
        </w:tc>
        <w:tc>
          <w:tcPr>
            <w:tcW w:w="315" w:type="pct"/>
            <w:tcBorders>
              <w:top w:val="nil"/>
              <w:left w:val="nil"/>
              <w:bottom w:val="nil"/>
              <w:right w:val="nil"/>
            </w:tcBorders>
            <w:shd w:val="clear" w:color="auto" w:fill="auto"/>
            <w:noWrap/>
            <w:vAlign w:val="center"/>
            <w:hideMark/>
          </w:tcPr>
          <w:p w14:paraId="1EB323DB" w14:textId="77777777" w:rsidR="008A1E55" w:rsidRPr="006B42D6" w:rsidRDefault="008A1E55" w:rsidP="00E16CAE">
            <w:pPr>
              <w:jc w:val="right"/>
              <w:rPr>
                <w:sz w:val="16"/>
                <w:szCs w:val="16"/>
              </w:rPr>
            </w:pPr>
            <w:r w:rsidRPr="006B42D6">
              <w:rPr>
                <w:sz w:val="16"/>
                <w:szCs w:val="16"/>
              </w:rPr>
              <w:t>0.1</w:t>
            </w:r>
          </w:p>
        </w:tc>
        <w:tc>
          <w:tcPr>
            <w:tcW w:w="226" w:type="pct"/>
            <w:tcBorders>
              <w:top w:val="nil"/>
              <w:left w:val="nil"/>
              <w:bottom w:val="nil"/>
              <w:right w:val="nil"/>
            </w:tcBorders>
            <w:shd w:val="clear" w:color="auto" w:fill="auto"/>
            <w:noWrap/>
            <w:vAlign w:val="center"/>
            <w:hideMark/>
          </w:tcPr>
          <w:p w14:paraId="59734925" w14:textId="77777777" w:rsidR="008A1E55" w:rsidRPr="006B42D6" w:rsidRDefault="008A1E55" w:rsidP="00E16CAE">
            <w:pPr>
              <w:jc w:val="right"/>
              <w:rPr>
                <w:sz w:val="16"/>
                <w:szCs w:val="16"/>
              </w:rPr>
            </w:pPr>
            <w:r w:rsidRPr="006B42D6">
              <w:rPr>
                <w:sz w:val="16"/>
                <w:szCs w:val="16"/>
              </w:rPr>
              <w:t>8.0</w:t>
            </w:r>
          </w:p>
        </w:tc>
      </w:tr>
      <w:tr w:rsidR="006B42D6" w:rsidRPr="006B42D6" w14:paraId="3388CBC2" w14:textId="77777777" w:rsidTr="0024189E">
        <w:trPr>
          <w:trHeight w:hRule="exact" w:val="198"/>
        </w:trPr>
        <w:tc>
          <w:tcPr>
            <w:tcW w:w="653" w:type="pct"/>
            <w:tcBorders>
              <w:top w:val="nil"/>
              <w:left w:val="nil"/>
              <w:bottom w:val="nil"/>
              <w:right w:val="nil"/>
            </w:tcBorders>
            <w:shd w:val="clear" w:color="auto" w:fill="auto"/>
            <w:noWrap/>
            <w:vAlign w:val="center"/>
            <w:hideMark/>
          </w:tcPr>
          <w:p w14:paraId="7E7AB7CE" w14:textId="77777777" w:rsidR="008A1E55" w:rsidRPr="006B42D6" w:rsidRDefault="008A1E55" w:rsidP="00E16CAE">
            <w:pPr>
              <w:rPr>
                <w:sz w:val="16"/>
                <w:szCs w:val="16"/>
              </w:rPr>
            </w:pPr>
            <w:r w:rsidRPr="006B42D6">
              <w:rPr>
                <w:sz w:val="16"/>
                <w:szCs w:val="16"/>
              </w:rPr>
              <w:t>Kagera</w:t>
            </w:r>
          </w:p>
        </w:tc>
        <w:tc>
          <w:tcPr>
            <w:tcW w:w="302" w:type="pct"/>
            <w:tcBorders>
              <w:top w:val="nil"/>
              <w:left w:val="nil"/>
              <w:bottom w:val="nil"/>
              <w:right w:val="nil"/>
            </w:tcBorders>
            <w:shd w:val="clear" w:color="auto" w:fill="auto"/>
            <w:noWrap/>
            <w:vAlign w:val="center"/>
            <w:hideMark/>
          </w:tcPr>
          <w:p w14:paraId="44EA4343" w14:textId="77777777" w:rsidR="008A1E55" w:rsidRPr="006B42D6" w:rsidRDefault="008A1E55" w:rsidP="00E16CAE">
            <w:pPr>
              <w:jc w:val="right"/>
              <w:rPr>
                <w:sz w:val="16"/>
                <w:szCs w:val="16"/>
              </w:rPr>
            </w:pPr>
            <w:r w:rsidRPr="006B42D6">
              <w:rPr>
                <w:sz w:val="16"/>
                <w:szCs w:val="16"/>
              </w:rPr>
              <w:t>3.3</w:t>
            </w:r>
          </w:p>
        </w:tc>
        <w:tc>
          <w:tcPr>
            <w:tcW w:w="343" w:type="pct"/>
            <w:tcBorders>
              <w:top w:val="nil"/>
              <w:left w:val="nil"/>
              <w:bottom w:val="nil"/>
              <w:right w:val="nil"/>
            </w:tcBorders>
            <w:shd w:val="clear" w:color="auto" w:fill="auto"/>
            <w:noWrap/>
            <w:vAlign w:val="center"/>
            <w:hideMark/>
          </w:tcPr>
          <w:p w14:paraId="6A232AB1" w14:textId="77777777" w:rsidR="008A1E55" w:rsidRPr="006B42D6" w:rsidRDefault="008A1E55" w:rsidP="00E16CAE">
            <w:pPr>
              <w:jc w:val="right"/>
              <w:rPr>
                <w:sz w:val="16"/>
                <w:szCs w:val="16"/>
              </w:rPr>
            </w:pPr>
            <w:r w:rsidRPr="006B42D6">
              <w:rPr>
                <w:sz w:val="16"/>
                <w:szCs w:val="16"/>
              </w:rPr>
              <w:t>3.4</w:t>
            </w:r>
          </w:p>
        </w:tc>
        <w:tc>
          <w:tcPr>
            <w:tcW w:w="400" w:type="pct"/>
            <w:tcBorders>
              <w:top w:val="nil"/>
              <w:left w:val="nil"/>
              <w:bottom w:val="nil"/>
              <w:right w:val="nil"/>
            </w:tcBorders>
            <w:shd w:val="clear" w:color="auto" w:fill="auto"/>
            <w:noWrap/>
            <w:vAlign w:val="center"/>
            <w:hideMark/>
          </w:tcPr>
          <w:p w14:paraId="6229C1D5" w14:textId="77777777" w:rsidR="008A1E55" w:rsidRPr="006B42D6" w:rsidRDefault="008A1E55" w:rsidP="00E16CAE">
            <w:pPr>
              <w:jc w:val="right"/>
              <w:rPr>
                <w:sz w:val="16"/>
                <w:szCs w:val="16"/>
              </w:rPr>
            </w:pPr>
            <w:r w:rsidRPr="006B42D6">
              <w:rPr>
                <w:sz w:val="16"/>
                <w:szCs w:val="16"/>
              </w:rPr>
              <w:t>13.8</w:t>
            </w:r>
          </w:p>
        </w:tc>
        <w:tc>
          <w:tcPr>
            <w:tcW w:w="363" w:type="pct"/>
            <w:tcBorders>
              <w:top w:val="nil"/>
              <w:left w:val="nil"/>
              <w:bottom w:val="nil"/>
              <w:right w:val="nil"/>
            </w:tcBorders>
            <w:shd w:val="clear" w:color="auto" w:fill="auto"/>
            <w:noWrap/>
            <w:vAlign w:val="center"/>
            <w:hideMark/>
          </w:tcPr>
          <w:p w14:paraId="76FDFA0B" w14:textId="77777777" w:rsidR="008A1E55" w:rsidRPr="006B42D6" w:rsidRDefault="008A1E55" w:rsidP="00E16CAE">
            <w:pPr>
              <w:jc w:val="right"/>
              <w:rPr>
                <w:sz w:val="16"/>
                <w:szCs w:val="16"/>
              </w:rPr>
            </w:pPr>
            <w:r w:rsidRPr="006B42D6">
              <w:rPr>
                <w:sz w:val="16"/>
                <w:szCs w:val="16"/>
              </w:rPr>
              <w:t>4.4</w:t>
            </w:r>
          </w:p>
        </w:tc>
        <w:tc>
          <w:tcPr>
            <w:tcW w:w="373" w:type="pct"/>
            <w:tcBorders>
              <w:top w:val="nil"/>
              <w:left w:val="nil"/>
              <w:bottom w:val="nil"/>
              <w:right w:val="nil"/>
            </w:tcBorders>
            <w:shd w:val="clear" w:color="auto" w:fill="auto"/>
            <w:noWrap/>
            <w:vAlign w:val="center"/>
            <w:hideMark/>
          </w:tcPr>
          <w:p w14:paraId="086E66E5" w14:textId="77777777" w:rsidR="008A1E55" w:rsidRPr="006B42D6" w:rsidRDefault="008A1E55" w:rsidP="00E16CAE">
            <w:pPr>
              <w:jc w:val="right"/>
              <w:rPr>
                <w:sz w:val="16"/>
                <w:szCs w:val="16"/>
              </w:rPr>
            </w:pPr>
            <w:r w:rsidRPr="006B42D6">
              <w:rPr>
                <w:sz w:val="16"/>
                <w:szCs w:val="16"/>
              </w:rPr>
              <w:t>11.3</w:t>
            </w:r>
          </w:p>
        </w:tc>
        <w:tc>
          <w:tcPr>
            <w:tcW w:w="443" w:type="pct"/>
            <w:tcBorders>
              <w:top w:val="nil"/>
              <w:left w:val="nil"/>
              <w:bottom w:val="nil"/>
              <w:right w:val="nil"/>
            </w:tcBorders>
            <w:shd w:val="clear" w:color="auto" w:fill="auto"/>
            <w:noWrap/>
            <w:vAlign w:val="center"/>
            <w:hideMark/>
          </w:tcPr>
          <w:p w14:paraId="0E6E0C14" w14:textId="77777777" w:rsidR="008A1E55" w:rsidRPr="006B42D6" w:rsidRDefault="008A1E55" w:rsidP="00E16CAE">
            <w:pPr>
              <w:jc w:val="right"/>
              <w:rPr>
                <w:sz w:val="16"/>
                <w:szCs w:val="16"/>
              </w:rPr>
            </w:pPr>
            <w:r w:rsidRPr="006B42D6">
              <w:rPr>
                <w:sz w:val="16"/>
                <w:szCs w:val="16"/>
              </w:rPr>
              <w:t>15.5</w:t>
            </w:r>
          </w:p>
        </w:tc>
        <w:tc>
          <w:tcPr>
            <w:tcW w:w="371" w:type="pct"/>
            <w:tcBorders>
              <w:top w:val="nil"/>
              <w:left w:val="nil"/>
              <w:bottom w:val="nil"/>
              <w:right w:val="nil"/>
            </w:tcBorders>
            <w:shd w:val="clear" w:color="auto" w:fill="auto"/>
            <w:noWrap/>
            <w:vAlign w:val="center"/>
            <w:hideMark/>
          </w:tcPr>
          <w:p w14:paraId="2ED2072D" w14:textId="77777777" w:rsidR="008A1E55" w:rsidRPr="006B42D6" w:rsidRDefault="008A1E55" w:rsidP="00E16CAE">
            <w:pPr>
              <w:jc w:val="right"/>
              <w:rPr>
                <w:sz w:val="16"/>
                <w:szCs w:val="16"/>
              </w:rPr>
            </w:pPr>
            <w:r w:rsidRPr="006B42D6">
              <w:rPr>
                <w:sz w:val="16"/>
                <w:szCs w:val="16"/>
              </w:rPr>
              <w:t>9.7</w:t>
            </w:r>
          </w:p>
        </w:tc>
        <w:tc>
          <w:tcPr>
            <w:tcW w:w="352" w:type="pct"/>
            <w:tcBorders>
              <w:top w:val="nil"/>
              <w:left w:val="nil"/>
              <w:bottom w:val="nil"/>
              <w:right w:val="nil"/>
            </w:tcBorders>
            <w:shd w:val="clear" w:color="auto" w:fill="auto"/>
            <w:noWrap/>
            <w:vAlign w:val="center"/>
            <w:hideMark/>
          </w:tcPr>
          <w:p w14:paraId="4A6A0DC2" w14:textId="77777777" w:rsidR="008A1E55" w:rsidRPr="006B42D6" w:rsidRDefault="008A1E55" w:rsidP="00E16CAE">
            <w:pPr>
              <w:jc w:val="right"/>
              <w:rPr>
                <w:sz w:val="16"/>
                <w:szCs w:val="16"/>
              </w:rPr>
            </w:pPr>
            <w:r w:rsidRPr="006B42D6">
              <w:rPr>
                <w:sz w:val="16"/>
                <w:szCs w:val="16"/>
              </w:rPr>
              <w:t>2.7</w:t>
            </w:r>
          </w:p>
        </w:tc>
        <w:tc>
          <w:tcPr>
            <w:tcW w:w="287" w:type="pct"/>
            <w:tcBorders>
              <w:top w:val="nil"/>
              <w:left w:val="nil"/>
              <w:bottom w:val="nil"/>
              <w:right w:val="nil"/>
            </w:tcBorders>
            <w:shd w:val="clear" w:color="auto" w:fill="auto"/>
            <w:noWrap/>
            <w:vAlign w:val="center"/>
            <w:hideMark/>
          </w:tcPr>
          <w:p w14:paraId="619E9F18" w14:textId="77777777" w:rsidR="008A1E55" w:rsidRPr="006B42D6" w:rsidRDefault="008A1E55" w:rsidP="00E16CAE">
            <w:pPr>
              <w:jc w:val="right"/>
              <w:rPr>
                <w:sz w:val="16"/>
                <w:szCs w:val="16"/>
              </w:rPr>
            </w:pPr>
            <w:r w:rsidRPr="006B42D6">
              <w:rPr>
                <w:sz w:val="16"/>
                <w:szCs w:val="16"/>
              </w:rPr>
              <w:t>0.6</w:t>
            </w:r>
          </w:p>
        </w:tc>
        <w:tc>
          <w:tcPr>
            <w:tcW w:w="287" w:type="pct"/>
            <w:tcBorders>
              <w:top w:val="nil"/>
              <w:left w:val="nil"/>
              <w:bottom w:val="nil"/>
              <w:right w:val="nil"/>
            </w:tcBorders>
            <w:shd w:val="clear" w:color="auto" w:fill="auto"/>
            <w:noWrap/>
            <w:vAlign w:val="center"/>
            <w:hideMark/>
          </w:tcPr>
          <w:p w14:paraId="1D4A50D6" w14:textId="77777777" w:rsidR="008A1E55" w:rsidRPr="006B42D6" w:rsidRDefault="008A1E55" w:rsidP="00E16CAE">
            <w:pPr>
              <w:jc w:val="right"/>
              <w:rPr>
                <w:sz w:val="16"/>
                <w:szCs w:val="16"/>
              </w:rPr>
            </w:pPr>
            <w:r w:rsidRPr="006B42D6">
              <w:rPr>
                <w:sz w:val="16"/>
                <w:szCs w:val="16"/>
              </w:rPr>
              <w:t>4.6</w:t>
            </w:r>
          </w:p>
        </w:tc>
        <w:tc>
          <w:tcPr>
            <w:tcW w:w="287" w:type="pct"/>
            <w:tcBorders>
              <w:top w:val="nil"/>
              <w:left w:val="nil"/>
              <w:bottom w:val="nil"/>
              <w:right w:val="nil"/>
            </w:tcBorders>
            <w:shd w:val="clear" w:color="auto" w:fill="auto"/>
            <w:noWrap/>
            <w:vAlign w:val="center"/>
            <w:hideMark/>
          </w:tcPr>
          <w:p w14:paraId="470BD18C" w14:textId="77777777" w:rsidR="008A1E55" w:rsidRPr="006B42D6" w:rsidRDefault="008A1E55" w:rsidP="00E16CAE">
            <w:pPr>
              <w:jc w:val="right"/>
              <w:rPr>
                <w:sz w:val="16"/>
                <w:szCs w:val="16"/>
              </w:rPr>
            </w:pPr>
            <w:r w:rsidRPr="006B42D6">
              <w:rPr>
                <w:sz w:val="16"/>
                <w:szCs w:val="16"/>
              </w:rPr>
              <w:t>4.5</w:t>
            </w:r>
          </w:p>
        </w:tc>
        <w:tc>
          <w:tcPr>
            <w:tcW w:w="315" w:type="pct"/>
            <w:tcBorders>
              <w:top w:val="nil"/>
              <w:left w:val="nil"/>
              <w:bottom w:val="nil"/>
              <w:right w:val="nil"/>
            </w:tcBorders>
            <w:shd w:val="clear" w:color="auto" w:fill="auto"/>
            <w:noWrap/>
            <w:vAlign w:val="center"/>
            <w:hideMark/>
          </w:tcPr>
          <w:p w14:paraId="2B72BD5B" w14:textId="77777777" w:rsidR="008A1E55" w:rsidRPr="006B42D6" w:rsidRDefault="008A1E55" w:rsidP="00E16CAE">
            <w:pPr>
              <w:jc w:val="right"/>
              <w:rPr>
                <w:sz w:val="16"/>
                <w:szCs w:val="16"/>
              </w:rPr>
            </w:pPr>
            <w:r w:rsidRPr="006B42D6">
              <w:rPr>
                <w:sz w:val="16"/>
                <w:szCs w:val="16"/>
              </w:rPr>
              <w:t>9.0</w:t>
            </w:r>
          </w:p>
        </w:tc>
        <w:tc>
          <w:tcPr>
            <w:tcW w:w="226" w:type="pct"/>
            <w:tcBorders>
              <w:top w:val="nil"/>
              <w:left w:val="nil"/>
              <w:bottom w:val="nil"/>
              <w:right w:val="nil"/>
            </w:tcBorders>
            <w:shd w:val="clear" w:color="auto" w:fill="auto"/>
            <w:noWrap/>
            <w:vAlign w:val="center"/>
            <w:hideMark/>
          </w:tcPr>
          <w:p w14:paraId="6BD70933" w14:textId="77777777" w:rsidR="008A1E55" w:rsidRPr="006B42D6" w:rsidRDefault="008A1E55" w:rsidP="00E16CAE">
            <w:pPr>
              <w:jc w:val="right"/>
              <w:rPr>
                <w:sz w:val="16"/>
                <w:szCs w:val="16"/>
              </w:rPr>
            </w:pPr>
            <w:r w:rsidRPr="006B42D6">
              <w:rPr>
                <w:sz w:val="16"/>
                <w:szCs w:val="16"/>
              </w:rPr>
              <w:t>17.7</w:t>
            </w:r>
          </w:p>
        </w:tc>
      </w:tr>
      <w:tr w:rsidR="006B42D6" w:rsidRPr="006B42D6" w14:paraId="20F47E00" w14:textId="77777777" w:rsidTr="0024189E">
        <w:trPr>
          <w:trHeight w:hRule="exact" w:val="198"/>
        </w:trPr>
        <w:tc>
          <w:tcPr>
            <w:tcW w:w="653" w:type="pct"/>
            <w:tcBorders>
              <w:top w:val="nil"/>
              <w:left w:val="nil"/>
              <w:bottom w:val="nil"/>
              <w:right w:val="nil"/>
            </w:tcBorders>
            <w:shd w:val="clear" w:color="auto" w:fill="auto"/>
            <w:noWrap/>
            <w:vAlign w:val="center"/>
            <w:hideMark/>
          </w:tcPr>
          <w:p w14:paraId="21FDB06A" w14:textId="77777777" w:rsidR="008A1E55" w:rsidRPr="006B42D6" w:rsidRDefault="008A1E55" w:rsidP="00E16CAE">
            <w:pPr>
              <w:rPr>
                <w:sz w:val="16"/>
                <w:szCs w:val="16"/>
              </w:rPr>
            </w:pPr>
            <w:r w:rsidRPr="006B42D6">
              <w:rPr>
                <w:sz w:val="16"/>
                <w:szCs w:val="16"/>
              </w:rPr>
              <w:t>Mwanza</w:t>
            </w:r>
          </w:p>
        </w:tc>
        <w:tc>
          <w:tcPr>
            <w:tcW w:w="302" w:type="pct"/>
            <w:tcBorders>
              <w:top w:val="nil"/>
              <w:left w:val="nil"/>
              <w:bottom w:val="nil"/>
              <w:right w:val="nil"/>
            </w:tcBorders>
            <w:shd w:val="clear" w:color="auto" w:fill="auto"/>
            <w:noWrap/>
            <w:vAlign w:val="center"/>
            <w:hideMark/>
          </w:tcPr>
          <w:p w14:paraId="1C658B4E" w14:textId="77777777" w:rsidR="008A1E55" w:rsidRPr="006B42D6" w:rsidRDefault="008A1E55" w:rsidP="00E16CAE">
            <w:pPr>
              <w:jc w:val="right"/>
              <w:rPr>
                <w:sz w:val="16"/>
                <w:szCs w:val="16"/>
              </w:rPr>
            </w:pPr>
            <w:r w:rsidRPr="006B42D6">
              <w:rPr>
                <w:sz w:val="16"/>
                <w:szCs w:val="16"/>
              </w:rPr>
              <w:t>3.9</w:t>
            </w:r>
          </w:p>
        </w:tc>
        <w:tc>
          <w:tcPr>
            <w:tcW w:w="343" w:type="pct"/>
            <w:tcBorders>
              <w:top w:val="nil"/>
              <w:left w:val="nil"/>
              <w:bottom w:val="nil"/>
              <w:right w:val="nil"/>
            </w:tcBorders>
            <w:shd w:val="clear" w:color="auto" w:fill="auto"/>
            <w:noWrap/>
            <w:vAlign w:val="center"/>
            <w:hideMark/>
          </w:tcPr>
          <w:p w14:paraId="7E9DFD08" w14:textId="77777777" w:rsidR="008A1E55" w:rsidRPr="006B42D6" w:rsidRDefault="008A1E55" w:rsidP="00E16CAE">
            <w:pPr>
              <w:jc w:val="right"/>
              <w:rPr>
                <w:sz w:val="16"/>
                <w:szCs w:val="16"/>
              </w:rPr>
            </w:pPr>
            <w:r w:rsidRPr="006B42D6">
              <w:rPr>
                <w:sz w:val="16"/>
                <w:szCs w:val="16"/>
              </w:rPr>
              <w:t>8.5</w:t>
            </w:r>
          </w:p>
        </w:tc>
        <w:tc>
          <w:tcPr>
            <w:tcW w:w="400" w:type="pct"/>
            <w:tcBorders>
              <w:top w:val="nil"/>
              <w:left w:val="nil"/>
              <w:bottom w:val="nil"/>
              <w:right w:val="nil"/>
            </w:tcBorders>
            <w:shd w:val="clear" w:color="auto" w:fill="auto"/>
            <w:noWrap/>
            <w:vAlign w:val="center"/>
            <w:hideMark/>
          </w:tcPr>
          <w:p w14:paraId="0E0129F9" w14:textId="77777777" w:rsidR="008A1E55" w:rsidRPr="006B42D6" w:rsidRDefault="008A1E55" w:rsidP="00E16CAE">
            <w:pPr>
              <w:jc w:val="right"/>
              <w:rPr>
                <w:sz w:val="16"/>
                <w:szCs w:val="16"/>
              </w:rPr>
            </w:pPr>
            <w:r w:rsidRPr="006B42D6">
              <w:rPr>
                <w:sz w:val="16"/>
                <w:szCs w:val="16"/>
              </w:rPr>
              <w:t>6.9</w:t>
            </w:r>
          </w:p>
        </w:tc>
        <w:tc>
          <w:tcPr>
            <w:tcW w:w="363" w:type="pct"/>
            <w:tcBorders>
              <w:top w:val="nil"/>
              <w:left w:val="nil"/>
              <w:bottom w:val="nil"/>
              <w:right w:val="nil"/>
            </w:tcBorders>
            <w:shd w:val="clear" w:color="auto" w:fill="auto"/>
            <w:noWrap/>
            <w:vAlign w:val="center"/>
            <w:hideMark/>
          </w:tcPr>
          <w:p w14:paraId="5DB3F7EB" w14:textId="77777777" w:rsidR="008A1E55" w:rsidRPr="006B42D6" w:rsidRDefault="008A1E55" w:rsidP="00E16CAE">
            <w:pPr>
              <w:jc w:val="right"/>
              <w:rPr>
                <w:sz w:val="16"/>
                <w:szCs w:val="16"/>
              </w:rPr>
            </w:pPr>
            <w:r w:rsidRPr="006B42D6">
              <w:rPr>
                <w:sz w:val="16"/>
                <w:szCs w:val="16"/>
              </w:rPr>
              <w:t>10.0</w:t>
            </w:r>
          </w:p>
        </w:tc>
        <w:tc>
          <w:tcPr>
            <w:tcW w:w="373" w:type="pct"/>
            <w:tcBorders>
              <w:top w:val="nil"/>
              <w:left w:val="nil"/>
              <w:bottom w:val="nil"/>
              <w:right w:val="nil"/>
            </w:tcBorders>
            <w:shd w:val="clear" w:color="auto" w:fill="auto"/>
            <w:noWrap/>
            <w:vAlign w:val="center"/>
            <w:hideMark/>
          </w:tcPr>
          <w:p w14:paraId="5C3AD0A1" w14:textId="77777777" w:rsidR="008A1E55" w:rsidRPr="006B42D6" w:rsidRDefault="008A1E55" w:rsidP="00E16CAE">
            <w:pPr>
              <w:jc w:val="right"/>
              <w:rPr>
                <w:sz w:val="16"/>
                <w:szCs w:val="16"/>
              </w:rPr>
            </w:pPr>
            <w:r w:rsidRPr="006B42D6">
              <w:rPr>
                <w:sz w:val="16"/>
                <w:szCs w:val="16"/>
              </w:rPr>
              <w:t>6.3</w:t>
            </w:r>
          </w:p>
        </w:tc>
        <w:tc>
          <w:tcPr>
            <w:tcW w:w="443" w:type="pct"/>
            <w:tcBorders>
              <w:top w:val="nil"/>
              <w:left w:val="nil"/>
              <w:bottom w:val="nil"/>
              <w:right w:val="nil"/>
            </w:tcBorders>
            <w:shd w:val="clear" w:color="auto" w:fill="auto"/>
            <w:noWrap/>
            <w:vAlign w:val="center"/>
            <w:hideMark/>
          </w:tcPr>
          <w:p w14:paraId="57629DA8" w14:textId="77777777" w:rsidR="008A1E55" w:rsidRPr="006B42D6" w:rsidRDefault="008A1E55" w:rsidP="00E16CAE">
            <w:pPr>
              <w:jc w:val="right"/>
              <w:rPr>
                <w:sz w:val="16"/>
                <w:szCs w:val="16"/>
              </w:rPr>
            </w:pPr>
            <w:r w:rsidRPr="006B42D6">
              <w:rPr>
                <w:sz w:val="16"/>
                <w:szCs w:val="16"/>
              </w:rPr>
              <w:t>1.6</w:t>
            </w:r>
          </w:p>
        </w:tc>
        <w:tc>
          <w:tcPr>
            <w:tcW w:w="371" w:type="pct"/>
            <w:tcBorders>
              <w:top w:val="nil"/>
              <w:left w:val="nil"/>
              <w:bottom w:val="nil"/>
              <w:right w:val="nil"/>
            </w:tcBorders>
            <w:shd w:val="clear" w:color="auto" w:fill="auto"/>
            <w:noWrap/>
            <w:vAlign w:val="center"/>
            <w:hideMark/>
          </w:tcPr>
          <w:p w14:paraId="7D4728D1" w14:textId="77777777" w:rsidR="008A1E55" w:rsidRPr="006B42D6" w:rsidRDefault="008A1E55" w:rsidP="00E16CAE">
            <w:pPr>
              <w:jc w:val="right"/>
              <w:rPr>
                <w:sz w:val="16"/>
                <w:szCs w:val="16"/>
              </w:rPr>
            </w:pPr>
            <w:r w:rsidRPr="006B42D6">
              <w:rPr>
                <w:sz w:val="16"/>
                <w:szCs w:val="16"/>
              </w:rPr>
              <w:t>-</w:t>
            </w:r>
          </w:p>
        </w:tc>
        <w:tc>
          <w:tcPr>
            <w:tcW w:w="352" w:type="pct"/>
            <w:tcBorders>
              <w:top w:val="nil"/>
              <w:left w:val="nil"/>
              <w:bottom w:val="nil"/>
              <w:right w:val="nil"/>
            </w:tcBorders>
            <w:shd w:val="clear" w:color="auto" w:fill="auto"/>
            <w:noWrap/>
            <w:vAlign w:val="center"/>
            <w:hideMark/>
          </w:tcPr>
          <w:p w14:paraId="2DF5E49F" w14:textId="77777777" w:rsidR="008A1E55" w:rsidRPr="006B42D6" w:rsidRDefault="008A1E55" w:rsidP="00E16CAE">
            <w:pPr>
              <w:jc w:val="right"/>
              <w:rPr>
                <w:sz w:val="16"/>
                <w:szCs w:val="16"/>
              </w:rPr>
            </w:pPr>
            <w:r w:rsidRPr="006B42D6">
              <w:rPr>
                <w:sz w:val="16"/>
                <w:szCs w:val="16"/>
              </w:rPr>
              <w:t>1.3</w:t>
            </w:r>
          </w:p>
        </w:tc>
        <w:tc>
          <w:tcPr>
            <w:tcW w:w="287" w:type="pct"/>
            <w:tcBorders>
              <w:top w:val="nil"/>
              <w:left w:val="nil"/>
              <w:bottom w:val="nil"/>
              <w:right w:val="nil"/>
            </w:tcBorders>
            <w:shd w:val="clear" w:color="auto" w:fill="auto"/>
            <w:noWrap/>
            <w:vAlign w:val="center"/>
            <w:hideMark/>
          </w:tcPr>
          <w:p w14:paraId="4D5063A1" w14:textId="77777777" w:rsidR="008A1E55" w:rsidRPr="006B42D6" w:rsidRDefault="008A1E55" w:rsidP="00E16CAE">
            <w:pPr>
              <w:jc w:val="right"/>
              <w:rPr>
                <w:sz w:val="16"/>
                <w:szCs w:val="16"/>
              </w:rPr>
            </w:pPr>
            <w:r w:rsidRPr="006B42D6">
              <w:rPr>
                <w:sz w:val="16"/>
                <w:szCs w:val="16"/>
              </w:rPr>
              <w:t>4.2</w:t>
            </w:r>
          </w:p>
        </w:tc>
        <w:tc>
          <w:tcPr>
            <w:tcW w:w="287" w:type="pct"/>
            <w:tcBorders>
              <w:top w:val="nil"/>
              <w:left w:val="nil"/>
              <w:bottom w:val="nil"/>
              <w:right w:val="nil"/>
            </w:tcBorders>
            <w:shd w:val="clear" w:color="auto" w:fill="auto"/>
            <w:noWrap/>
            <w:vAlign w:val="center"/>
            <w:hideMark/>
          </w:tcPr>
          <w:p w14:paraId="200AF65A" w14:textId="77777777" w:rsidR="008A1E55" w:rsidRPr="006B42D6" w:rsidRDefault="008A1E55" w:rsidP="00E16CAE">
            <w:pPr>
              <w:jc w:val="right"/>
              <w:rPr>
                <w:sz w:val="16"/>
                <w:szCs w:val="16"/>
              </w:rPr>
            </w:pPr>
            <w:r w:rsidRPr="006B42D6">
              <w:rPr>
                <w:sz w:val="16"/>
                <w:szCs w:val="16"/>
              </w:rPr>
              <w:t>-</w:t>
            </w:r>
          </w:p>
        </w:tc>
        <w:tc>
          <w:tcPr>
            <w:tcW w:w="287" w:type="pct"/>
            <w:tcBorders>
              <w:top w:val="nil"/>
              <w:left w:val="nil"/>
              <w:bottom w:val="nil"/>
              <w:right w:val="nil"/>
            </w:tcBorders>
            <w:shd w:val="clear" w:color="auto" w:fill="auto"/>
            <w:noWrap/>
            <w:vAlign w:val="center"/>
            <w:hideMark/>
          </w:tcPr>
          <w:p w14:paraId="5F998C85" w14:textId="77777777" w:rsidR="008A1E55" w:rsidRPr="006B42D6" w:rsidRDefault="008A1E55" w:rsidP="00E16CAE">
            <w:pPr>
              <w:jc w:val="right"/>
              <w:rPr>
                <w:sz w:val="16"/>
                <w:szCs w:val="16"/>
              </w:rPr>
            </w:pPr>
            <w:r w:rsidRPr="006B42D6">
              <w:rPr>
                <w:sz w:val="16"/>
                <w:szCs w:val="16"/>
              </w:rPr>
              <w:t>-</w:t>
            </w:r>
          </w:p>
        </w:tc>
        <w:tc>
          <w:tcPr>
            <w:tcW w:w="315" w:type="pct"/>
            <w:tcBorders>
              <w:top w:val="nil"/>
              <w:left w:val="nil"/>
              <w:bottom w:val="nil"/>
              <w:right w:val="nil"/>
            </w:tcBorders>
            <w:shd w:val="clear" w:color="auto" w:fill="auto"/>
            <w:noWrap/>
            <w:vAlign w:val="center"/>
            <w:hideMark/>
          </w:tcPr>
          <w:p w14:paraId="20B0C281" w14:textId="77777777" w:rsidR="008A1E55" w:rsidRPr="006B42D6" w:rsidRDefault="008A1E55" w:rsidP="00E16CAE">
            <w:pPr>
              <w:jc w:val="right"/>
              <w:rPr>
                <w:sz w:val="16"/>
                <w:szCs w:val="16"/>
              </w:rPr>
            </w:pPr>
            <w:r w:rsidRPr="006B42D6">
              <w:rPr>
                <w:sz w:val="16"/>
                <w:szCs w:val="16"/>
              </w:rPr>
              <w:t>11.2</w:t>
            </w:r>
          </w:p>
        </w:tc>
        <w:tc>
          <w:tcPr>
            <w:tcW w:w="226" w:type="pct"/>
            <w:tcBorders>
              <w:top w:val="nil"/>
              <w:left w:val="nil"/>
              <w:bottom w:val="nil"/>
              <w:right w:val="nil"/>
            </w:tcBorders>
            <w:shd w:val="clear" w:color="auto" w:fill="auto"/>
            <w:noWrap/>
            <w:vAlign w:val="center"/>
            <w:hideMark/>
          </w:tcPr>
          <w:p w14:paraId="38228FD4" w14:textId="77777777" w:rsidR="008A1E55" w:rsidRPr="006B42D6" w:rsidRDefault="008A1E55" w:rsidP="00E16CAE">
            <w:pPr>
              <w:jc w:val="right"/>
              <w:rPr>
                <w:sz w:val="16"/>
                <w:szCs w:val="16"/>
              </w:rPr>
            </w:pPr>
            <w:r w:rsidRPr="006B42D6">
              <w:rPr>
                <w:sz w:val="16"/>
                <w:szCs w:val="16"/>
              </w:rPr>
              <w:t>7.9</w:t>
            </w:r>
          </w:p>
        </w:tc>
      </w:tr>
      <w:tr w:rsidR="006B42D6" w:rsidRPr="006B42D6" w14:paraId="0E5E4718" w14:textId="77777777" w:rsidTr="0024189E">
        <w:trPr>
          <w:trHeight w:hRule="exact" w:val="198"/>
        </w:trPr>
        <w:tc>
          <w:tcPr>
            <w:tcW w:w="653" w:type="pct"/>
            <w:tcBorders>
              <w:top w:val="nil"/>
              <w:left w:val="nil"/>
              <w:bottom w:val="nil"/>
              <w:right w:val="nil"/>
            </w:tcBorders>
            <w:shd w:val="clear" w:color="auto" w:fill="auto"/>
            <w:noWrap/>
            <w:vAlign w:val="center"/>
            <w:hideMark/>
          </w:tcPr>
          <w:p w14:paraId="5E929280" w14:textId="77777777" w:rsidR="008A1E55" w:rsidRPr="006B42D6" w:rsidRDefault="008A1E55" w:rsidP="00E16CAE">
            <w:pPr>
              <w:rPr>
                <w:sz w:val="16"/>
                <w:szCs w:val="16"/>
              </w:rPr>
            </w:pPr>
            <w:r w:rsidRPr="006B42D6">
              <w:rPr>
                <w:sz w:val="16"/>
                <w:szCs w:val="16"/>
              </w:rPr>
              <w:t>Mara</w:t>
            </w:r>
          </w:p>
        </w:tc>
        <w:tc>
          <w:tcPr>
            <w:tcW w:w="302" w:type="pct"/>
            <w:tcBorders>
              <w:top w:val="nil"/>
              <w:left w:val="nil"/>
              <w:bottom w:val="nil"/>
              <w:right w:val="nil"/>
            </w:tcBorders>
            <w:shd w:val="clear" w:color="auto" w:fill="auto"/>
            <w:noWrap/>
            <w:vAlign w:val="center"/>
            <w:hideMark/>
          </w:tcPr>
          <w:p w14:paraId="380B23CC" w14:textId="77777777" w:rsidR="008A1E55" w:rsidRPr="006B42D6" w:rsidRDefault="008A1E55" w:rsidP="00E16CAE">
            <w:pPr>
              <w:jc w:val="right"/>
              <w:rPr>
                <w:sz w:val="16"/>
                <w:szCs w:val="16"/>
              </w:rPr>
            </w:pPr>
            <w:r w:rsidRPr="006B42D6">
              <w:rPr>
                <w:sz w:val="16"/>
                <w:szCs w:val="16"/>
              </w:rPr>
              <w:t>0.9</w:t>
            </w:r>
          </w:p>
        </w:tc>
        <w:tc>
          <w:tcPr>
            <w:tcW w:w="343" w:type="pct"/>
            <w:tcBorders>
              <w:top w:val="nil"/>
              <w:left w:val="nil"/>
              <w:bottom w:val="nil"/>
              <w:right w:val="nil"/>
            </w:tcBorders>
            <w:shd w:val="clear" w:color="auto" w:fill="auto"/>
            <w:noWrap/>
            <w:vAlign w:val="center"/>
            <w:hideMark/>
          </w:tcPr>
          <w:p w14:paraId="1E692726" w14:textId="77777777" w:rsidR="008A1E55" w:rsidRPr="006B42D6" w:rsidRDefault="008A1E55" w:rsidP="00E16CAE">
            <w:pPr>
              <w:jc w:val="right"/>
              <w:rPr>
                <w:sz w:val="16"/>
                <w:szCs w:val="16"/>
              </w:rPr>
            </w:pPr>
            <w:r w:rsidRPr="006B42D6">
              <w:rPr>
                <w:sz w:val="16"/>
                <w:szCs w:val="16"/>
              </w:rPr>
              <w:t>3.0</w:t>
            </w:r>
          </w:p>
        </w:tc>
        <w:tc>
          <w:tcPr>
            <w:tcW w:w="400" w:type="pct"/>
            <w:tcBorders>
              <w:top w:val="nil"/>
              <w:left w:val="nil"/>
              <w:bottom w:val="nil"/>
              <w:right w:val="nil"/>
            </w:tcBorders>
            <w:shd w:val="clear" w:color="auto" w:fill="auto"/>
            <w:noWrap/>
            <w:vAlign w:val="center"/>
            <w:hideMark/>
          </w:tcPr>
          <w:p w14:paraId="430F8EB5" w14:textId="77777777" w:rsidR="008A1E55" w:rsidRPr="006B42D6" w:rsidRDefault="008A1E55" w:rsidP="00E16CAE">
            <w:pPr>
              <w:jc w:val="right"/>
              <w:rPr>
                <w:sz w:val="16"/>
                <w:szCs w:val="16"/>
              </w:rPr>
            </w:pPr>
            <w:r w:rsidRPr="006B42D6">
              <w:rPr>
                <w:sz w:val="16"/>
                <w:szCs w:val="16"/>
              </w:rPr>
              <w:t>4.1</w:t>
            </w:r>
          </w:p>
        </w:tc>
        <w:tc>
          <w:tcPr>
            <w:tcW w:w="363" w:type="pct"/>
            <w:tcBorders>
              <w:top w:val="nil"/>
              <w:left w:val="nil"/>
              <w:bottom w:val="nil"/>
              <w:right w:val="nil"/>
            </w:tcBorders>
            <w:shd w:val="clear" w:color="auto" w:fill="auto"/>
            <w:noWrap/>
            <w:vAlign w:val="center"/>
            <w:hideMark/>
          </w:tcPr>
          <w:p w14:paraId="46E28E8B" w14:textId="77777777" w:rsidR="008A1E55" w:rsidRPr="006B42D6" w:rsidRDefault="008A1E55" w:rsidP="00E16CAE">
            <w:pPr>
              <w:jc w:val="right"/>
              <w:rPr>
                <w:sz w:val="16"/>
                <w:szCs w:val="16"/>
              </w:rPr>
            </w:pPr>
            <w:r w:rsidRPr="006B42D6">
              <w:rPr>
                <w:sz w:val="16"/>
                <w:szCs w:val="16"/>
              </w:rPr>
              <w:t>5.0</w:t>
            </w:r>
          </w:p>
        </w:tc>
        <w:tc>
          <w:tcPr>
            <w:tcW w:w="373" w:type="pct"/>
            <w:tcBorders>
              <w:top w:val="nil"/>
              <w:left w:val="nil"/>
              <w:bottom w:val="nil"/>
              <w:right w:val="nil"/>
            </w:tcBorders>
            <w:shd w:val="clear" w:color="auto" w:fill="auto"/>
            <w:noWrap/>
            <w:vAlign w:val="center"/>
            <w:hideMark/>
          </w:tcPr>
          <w:p w14:paraId="7C834DB3" w14:textId="77777777" w:rsidR="008A1E55" w:rsidRPr="006B42D6" w:rsidRDefault="008A1E55" w:rsidP="00E16CAE">
            <w:pPr>
              <w:jc w:val="right"/>
              <w:rPr>
                <w:sz w:val="16"/>
                <w:szCs w:val="16"/>
              </w:rPr>
            </w:pPr>
            <w:r w:rsidRPr="006B42D6">
              <w:rPr>
                <w:sz w:val="16"/>
                <w:szCs w:val="16"/>
              </w:rPr>
              <w:t>4.7</w:t>
            </w:r>
          </w:p>
        </w:tc>
        <w:tc>
          <w:tcPr>
            <w:tcW w:w="443" w:type="pct"/>
            <w:tcBorders>
              <w:top w:val="nil"/>
              <w:left w:val="nil"/>
              <w:bottom w:val="nil"/>
              <w:right w:val="nil"/>
            </w:tcBorders>
            <w:shd w:val="clear" w:color="auto" w:fill="auto"/>
            <w:noWrap/>
            <w:vAlign w:val="center"/>
            <w:hideMark/>
          </w:tcPr>
          <w:p w14:paraId="5448B8BF" w14:textId="77777777" w:rsidR="008A1E55" w:rsidRPr="006B42D6" w:rsidRDefault="008A1E55" w:rsidP="00E16CAE">
            <w:pPr>
              <w:jc w:val="right"/>
              <w:rPr>
                <w:sz w:val="16"/>
                <w:szCs w:val="16"/>
              </w:rPr>
            </w:pPr>
            <w:r w:rsidRPr="006B42D6">
              <w:rPr>
                <w:sz w:val="16"/>
                <w:szCs w:val="16"/>
              </w:rPr>
              <w:t>6.9</w:t>
            </w:r>
          </w:p>
        </w:tc>
        <w:tc>
          <w:tcPr>
            <w:tcW w:w="371" w:type="pct"/>
            <w:tcBorders>
              <w:top w:val="nil"/>
              <w:left w:val="nil"/>
              <w:bottom w:val="nil"/>
              <w:right w:val="nil"/>
            </w:tcBorders>
            <w:shd w:val="clear" w:color="auto" w:fill="auto"/>
            <w:noWrap/>
            <w:vAlign w:val="center"/>
            <w:hideMark/>
          </w:tcPr>
          <w:p w14:paraId="04E466CF" w14:textId="77777777" w:rsidR="008A1E55" w:rsidRPr="006B42D6" w:rsidRDefault="008A1E55" w:rsidP="00E16CAE">
            <w:pPr>
              <w:jc w:val="right"/>
              <w:rPr>
                <w:sz w:val="16"/>
                <w:szCs w:val="16"/>
              </w:rPr>
            </w:pPr>
            <w:r w:rsidRPr="006B42D6">
              <w:rPr>
                <w:sz w:val="16"/>
                <w:szCs w:val="16"/>
              </w:rPr>
              <w:t>3.0</w:t>
            </w:r>
          </w:p>
        </w:tc>
        <w:tc>
          <w:tcPr>
            <w:tcW w:w="352" w:type="pct"/>
            <w:tcBorders>
              <w:top w:val="nil"/>
              <w:left w:val="nil"/>
              <w:bottom w:val="nil"/>
              <w:right w:val="nil"/>
            </w:tcBorders>
            <w:shd w:val="clear" w:color="auto" w:fill="auto"/>
            <w:noWrap/>
            <w:vAlign w:val="center"/>
            <w:hideMark/>
          </w:tcPr>
          <w:p w14:paraId="4948CA7F" w14:textId="77777777" w:rsidR="008A1E55" w:rsidRPr="006B42D6" w:rsidRDefault="008A1E55" w:rsidP="00E16CAE">
            <w:pPr>
              <w:jc w:val="right"/>
              <w:rPr>
                <w:sz w:val="16"/>
                <w:szCs w:val="16"/>
              </w:rPr>
            </w:pPr>
            <w:r w:rsidRPr="006B42D6">
              <w:rPr>
                <w:sz w:val="16"/>
                <w:szCs w:val="16"/>
              </w:rPr>
              <w:t>1.0</w:t>
            </w:r>
          </w:p>
        </w:tc>
        <w:tc>
          <w:tcPr>
            <w:tcW w:w="287" w:type="pct"/>
            <w:tcBorders>
              <w:top w:val="nil"/>
              <w:left w:val="nil"/>
              <w:bottom w:val="nil"/>
              <w:right w:val="nil"/>
            </w:tcBorders>
            <w:shd w:val="clear" w:color="auto" w:fill="auto"/>
            <w:noWrap/>
            <w:vAlign w:val="center"/>
            <w:hideMark/>
          </w:tcPr>
          <w:p w14:paraId="088D45ED" w14:textId="77777777" w:rsidR="008A1E55" w:rsidRPr="006B42D6" w:rsidRDefault="008A1E55" w:rsidP="00E16CAE">
            <w:pPr>
              <w:jc w:val="right"/>
              <w:rPr>
                <w:sz w:val="16"/>
                <w:szCs w:val="16"/>
              </w:rPr>
            </w:pPr>
            <w:r w:rsidRPr="006B42D6">
              <w:rPr>
                <w:sz w:val="16"/>
                <w:szCs w:val="16"/>
              </w:rPr>
              <w:t>0.2</w:t>
            </w:r>
          </w:p>
        </w:tc>
        <w:tc>
          <w:tcPr>
            <w:tcW w:w="287" w:type="pct"/>
            <w:tcBorders>
              <w:top w:val="nil"/>
              <w:left w:val="nil"/>
              <w:bottom w:val="nil"/>
              <w:right w:val="nil"/>
            </w:tcBorders>
            <w:shd w:val="clear" w:color="auto" w:fill="auto"/>
            <w:noWrap/>
            <w:vAlign w:val="center"/>
            <w:hideMark/>
          </w:tcPr>
          <w:p w14:paraId="2EC05C22" w14:textId="77777777" w:rsidR="008A1E55" w:rsidRPr="006B42D6" w:rsidRDefault="008A1E55" w:rsidP="00E16CAE">
            <w:pPr>
              <w:jc w:val="right"/>
              <w:rPr>
                <w:sz w:val="16"/>
                <w:szCs w:val="16"/>
              </w:rPr>
            </w:pPr>
            <w:r w:rsidRPr="006B42D6">
              <w:rPr>
                <w:sz w:val="16"/>
                <w:szCs w:val="16"/>
              </w:rPr>
              <w:t>-</w:t>
            </w:r>
          </w:p>
        </w:tc>
        <w:tc>
          <w:tcPr>
            <w:tcW w:w="287" w:type="pct"/>
            <w:tcBorders>
              <w:top w:val="nil"/>
              <w:left w:val="nil"/>
              <w:bottom w:val="nil"/>
              <w:right w:val="nil"/>
            </w:tcBorders>
            <w:shd w:val="clear" w:color="auto" w:fill="auto"/>
            <w:noWrap/>
            <w:vAlign w:val="center"/>
            <w:hideMark/>
          </w:tcPr>
          <w:p w14:paraId="249B3F52" w14:textId="77777777" w:rsidR="008A1E55" w:rsidRPr="006B42D6" w:rsidRDefault="008A1E55" w:rsidP="00E16CAE">
            <w:pPr>
              <w:jc w:val="right"/>
              <w:rPr>
                <w:sz w:val="16"/>
                <w:szCs w:val="16"/>
              </w:rPr>
            </w:pPr>
            <w:r w:rsidRPr="006B42D6">
              <w:rPr>
                <w:sz w:val="16"/>
                <w:szCs w:val="16"/>
              </w:rPr>
              <w:t>-</w:t>
            </w:r>
          </w:p>
        </w:tc>
        <w:tc>
          <w:tcPr>
            <w:tcW w:w="315" w:type="pct"/>
            <w:tcBorders>
              <w:top w:val="nil"/>
              <w:left w:val="nil"/>
              <w:bottom w:val="nil"/>
              <w:right w:val="nil"/>
            </w:tcBorders>
            <w:shd w:val="clear" w:color="auto" w:fill="auto"/>
            <w:noWrap/>
            <w:vAlign w:val="center"/>
            <w:hideMark/>
          </w:tcPr>
          <w:p w14:paraId="72D904C1" w14:textId="77777777" w:rsidR="008A1E55" w:rsidRPr="006B42D6" w:rsidRDefault="008A1E55" w:rsidP="00E16CAE">
            <w:pPr>
              <w:jc w:val="right"/>
              <w:rPr>
                <w:sz w:val="16"/>
                <w:szCs w:val="16"/>
              </w:rPr>
            </w:pPr>
            <w:r w:rsidRPr="006B42D6">
              <w:rPr>
                <w:sz w:val="16"/>
                <w:szCs w:val="16"/>
              </w:rPr>
              <w:t>1.2</w:t>
            </w:r>
          </w:p>
        </w:tc>
        <w:tc>
          <w:tcPr>
            <w:tcW w:w="226" w:type="pct"/>
            <w:tcBorders>
              <w:top w:val="nil"/>
              <w:left w:val="nil"/>
              <w:bottom w:val="nil"/>
              <w:right w:val="nil"/>
            </w:tcBorders>
            <w:shd w:val="clear" w:color="auto" w:fill="auto"/>
            <w:noWrap/>
            <w:vAlign w:val="center"/>
            <w:hideMark/>
          </w:tcPr>
          <w:p w14:paraId="0A984366" w14:textId="77777777" w:rsidR="008A1E55" w:rsidRPr="006B42D6" w:rsidRDefault="008A1E55" w:rsidP="00E16CAE">
            <w:pPr>
              <w:jc w:val="right"/>
              <w:rPr>
                <w:sz w:val="16"/>
                <w:szCs w:val="16"/>
              </w:rPr>
            </w:pPr>
            <w:r w:rsidRPr="006B42D6">
              <w:rPr>
                <w:sz w:val="16"/>
                <w:szCs w:val="16"/>
              </w:rPr>
              <w:t>3.3</w:t>
            </w:r>
          </w:p>
        </w:tc>
      </w:tr>
      <w:tr w:rsidR="006B42D6" w:rsidRPr="006B42D6" w14:paraId="4C2E4909" w14:textId="77777777" w:rsidTr="0024189E">
        <w:trPr>
          <w:trHeight w:hRule="exact" w:val="198"/>
        </w:trPr>
        <w:tc>
          <w:tcPr>
            <w:tcW w:w="653" w:type="pct"/>
            <w:tcBorders>
              <w:top w:val="nil"/>
              <w:left w:val="nil"/>
              <w:bottom w:val="nil"/>
              <w:right w:val="nil"/>
            </w:tcBorders>
            <w:shd w:val="clear" w:color="auto" w:fill="auto"/>
            <w:noWrap/>
            <w:vAlign w:val="center"/>
            <w:hideMark/>
          </w:tcPr>
          <w:p w14:paraId="51DA2F8C" w14:textId="77777777" w:rsidR="008A1E55" w:rsidRPr="006B42D6" w:rsidRDefault="008A1E55" w:rsidP="00E16CAE">
            <w:pPr>
              <w:rPr>
                <w:sz w:val="16"/>
                <w:szCs w:val="16"/>
              </w:rPr>
            </w:pPr>
            <w:r w:rsidRPr="006B42D6">
              <w:rPr>
                <w:sz w:val="16"/>
                <w:szCs w:val="16"/>
              </w:rPr>
              <w:t>Manyara</w:t>
            </w:r>
          </w:p>
        </w:tc>
        <w:tc>
          <w:tcPr>
            <w:tcW w:w="302" w:type="pct"/>
            <w:tcBorders>
              <w:top w:val="nil"/>
              <w:left w:val="nil"/>
              <w:bottom w:val="nil"/>
              <w:right w:val="nil"/>
            </w:tcBorders>
            <w:shd w:val="clear" w:color="auto" w:fill="auto"/>
            <w:noWrap/>
            <w:vAlign w:val="center"/>
            <w:hideMark/>
          </w:tcPr>
          <w:p w14:paraId="3A5EE0CE" w14:textId="77777777" w:rsidR="008A1E55" w:rsidRPr="006B42D6" w:rsidRDefault="008A1E55" w:rsidP="00E16CAE">
            <w:pPr>
              <w:jc w:val="right"/>
              <w:rPr>
                <w:sz w:val="16"/>
                <w:szCs w:val="16"/>
              </w:rPr>
            </w:pPr>
            <w:r w:rsidRPr="006B42D6">
              <w:rPr>
                <w:sz w:val="16"/>
                <w:szCs w:val="16"/>
              </w:rPr>
              <w:t>4.7</w:t>
            </w:r>
          </w:p>
        </w:tc>
        <w:tc>
          <w:tcPr>
            <w:tcW w:w="343" w:type="pct"/>
            <w:tcBorders>
              <w:top w:val="nil"/>
              <w:left w:val="nil"/>
              <w:bottom w:val="nil"/>
              <w:right w:val="nil"/>
            </w:tcBorders>
            <w:shd w:val="clear" w:color="auto" w:fill="auto"/>
            <w:noWrap/>
            <w:vAlign w:val="center"/>
            <w:hideMark/>
          </w:tcPr>
          <w:p w14:paraId="64E31B98" w14:textId="77777777" w:rsidR="008A1E55" w:rsidRPr="006B42D6" w:rsidRDefault="008A1E55" w:rsidP="00E16CAE">
            <w:pPr>
              <w:jc w:val="right"/>
              <w:rPr>
                <w:sz w:val="16"/>
                <w:szCs w:val="16"/>
              </w:rPr>
            </w:pPr>
            <w:r w:rsidRPr="006B42D6">
              <w:rPr>
                <w:sz w:val="16"/>
                <w:szCs w:val="16"/>
              </w:rPr>
              <w:t>1.1</w:t>
            </w:r>
          </w:p>
        </w:tc>
        <w:tc>
          <w:tcPr>
            <w:tcW w:w="400" w:type="pct"/>
            <w:tcBorders>
              <w:top w:val="nil"/>
              <w:left w:val="nil"/>
              <w:bottom w:val="nil"/>
              <w:right w:val="nil"/>
            </w:tcBorders>
            <w:shd w:val="clear" w:color="auto" w:fill="auto"/>
            <w:noWrap/>
            <w:vAlign w:val="center"/>
            <w:hideMark/>
          </w:tcPr>
          <w:p w14:paraId="77A69179" w14:textId="77777777" w:rsidR="008A1E55" w:rsidRPr="006B42D6" w:rsidRDefault="008A1E55" w:rsidP="00E16CAE">
            <w:pPr>
              <w:jc w:val="right"/>
              <w:rPr>
                <w:sz w:val="16"/>
                <w:szCs w:val="16"/>
              </w:rPr>
            </w:pPr>
            <w:r w:rsidRPr="006B42D6">
              <w:rPr>
                <w:sz w:val="16"/>
                <w:szCs w:val="16"/>
              </w:rPr>
              <w:t>0.9</w:t>
            </w:r>
          </w:p>
        </w:tc>
        <w:tc>
          <w:tcPr>
            <w:tcW w:w="363" w:type="pct"/>
            <w:tcBorders>
              <w:top w:val="nil"/>
              <w:left w:val="nil"/>
              <w:bottom w:val="nil"/>
              <w:right w:val="nil"/>
            </w:tcBorders>
            <w:shd w:val="clear" w:color="auto" w:fill="auto"/>
            <w:noWrap/>
            <w:vAlign w:val="center"/>
            <w:hideMark/>
          </w:tcPr>
          <w:p w14:paraId="4C27C771" w14:textId="77777777" w:rsidR="008A1E55" w:rsidRPr="006B42D6" w:rsidRDefault="008A1E55" w:rsidP="00E16CAE">
            <w:pPr>
              <w:jc w:val="right"/>
              <w:rPr>
                <w:sz w:val="16"/>
                <w:szCs w:val="16"/>
              </w:rPr>
            </w:pPr>
            <w:r w:rsidRPr="006B42D6">
              <w:rPr>
                <w:sz w:val="16"/>
                <w:szCs w:val="16"/>
              </w:rPr>
              <w:t>2.0</w:t>
            </w:r>
          </w:p>
        </w:tc>
        <w:tc>
          <w:tcPr>
            <w:tcW w:w="373" w:type="pct"/>
            <w:tcBorders>
              <w:top w:val="nil"/>
              <w:left w:val="nil"/>
              <w:bottom w:val="nil"/>
              <w:right w:val="nil"/>
            </w:tcBorders>
            <w:shd w:val="clear" w:color="auto" w:fill="auto"/>
            <w:noWrap/>
            <w:vAlign w:val="center"/>
            <w:hideMark/>
          </w:tcPr>
          <w:p w14:paraId="2D1B16E3" w14:textId="77777777" w:rsidR="008A1E55" w:rsidRPr="006B42D6" w:rsidRDefault="008A1E55" w:rsidP="00E16CAE">
            <w:pPr>
              <w:jc w:val="right"/>
              <w:rPr>
                <w:sz w:val="16"/>
                <w:szCs w:val="16"/>
              </w:rPr>
            </w:pPr>
            <w:r w:rsidRPr="006B42D6">
              <w:rPr>
                <w:sz w:val="16"/>
                <w:szCs w:val="16"/>
              </w:rPr>
              <w:t>1.9</w:t>
            </w:r>
          </w:p>
        </w:tc>
        <w:tc>
          <w:tcPr>
            <w:tcW w:w="443" w:type="pct"/>
            <w:tcBorders>
              <w:top w:val="nil"/>
              <w:left w:val="nil"/>
              <w:bottom w:val="nil"/>
              <w:right w:val="nil"/>
            </w:tcBorders>
            <w:shd w:val="clear" w:color="auto" w:fill="auto"/>
            <w:noWrap/>
            <w:vAlign w:val="center"/>
            <w:hideMark/>
          </w:tcPr>
          <w:p w14:paraId="0349DE55" w14:textId="77777777" w:rsidR="008A1E55" w:rsidRPr="006B42D6" w:rsidRDefault="008A1E55" w:rsidP="00E16CAE">
            <w:pPr>
              <w:jc w:val="right"/>
              <w:rPr>
                <w:sz w:val="16"/>
                <w:szCs w:val="16"/>
              </w:rPr>
            </w:pPr>
            <w:r w:rsidRPr="006B42D6">
              <w:rPr>
                <w:sz w:val="16"/>
                <w:szCs w:val="16"/>
              </w:rPr>
              <w:t>5.5</w:t>
            </w:r>
          </w:p>
        </w:tc>
        <w:tc>
          <w:tcPr>
            <w:tcW w:w="371" w:type="pct"/>
            <w:tcBorders>
              <w:top w:val="nil"/>
              <w:left w:val="nil"/>
              <w:bottom w:val="nil"/>
              <w:right w:val="nil"/>
            </w:tcBorders>
            <w:shd w:val="clear" w:color="auto" w:fill="auto"/>
            <w:noWrap/>
            <w:vAlign w:val="center"/>
            <w:hideMark/>
          </w:tcPr>
          <w:p w14:paraId="43E30A84" w14:textId="77777777" w:rsidR="008A1E55" w:rsidRPr="006B42D6" w:rsidRDefault="008A1E55" w:rsidP="00E16CAE">
            <w:pPr>
              <w:jc w:val="right"/>
              <w:rPr>
                <w:sz w:val="16"/>
                <w:szCs w:val="16"/>
              </w:rPr>
            </w:pPr>
            <w:r w:rsidRPr="006B42D6">
              <w:rPr>
                <w:sz w:val="16"/>
                <w:szCs w:val="16"/>
              </w:rPr>
              <w:t>2.0</w:t>
            </w:r>
          </w:p>
        </w:tc>
        <w:tc>
          <w:tcPr>
            <w:tcW w:w="352" w:type="pct"/>
            <w:tcBorders>
              <w:top w:val="nil"/>
              <w:left w:val="nil"/>
              <w:bottom w:val="nil"/>
              <w:right w:val="nil"/>
            </w:tcBorders>
            <w:shd w:val="clear" w:color="auto" w:fill="auto"/>
            <w:noWrap/>
            <w:vAlign w:val="center"/>
            <w:hideMark/>
          </w:tcPr>
          <w:p w14:paraId="7817472A" w14:textId="77777777" w:rsidR="008A1E55" w:rsidRPr="006B42D6" w:rsidRDefault="008A1E55" w:rsidP="00E16CAE">
            <w:pPr>
              <w:jc w:val="right"/>
              <w:rPr>
                <w:sz w:val="16"/>
                <w:szCs w:val="16"/>
              </w:rPr>
            </w:pPr>
            <w:r w:rsidRPr="006B42D6">
              <w:rPr>
                <w:sz w:val="16"/>
                <w:szCs w:val="16"/>
              </w:rPr>
              <w:t>2.7</w:t>
            </w:r>
          </w:p>
        </w:tc>
        <w:tc>
          <w:tcPr>
            <w:tcW w:w="287" w:type="pct"/>
            <w:tcBorders>
              <w:top w:val="nil"/>
              <w:left w:val="nil"/>
              <w:bottom w:val="nil"/>
              <w:right w:val="nil"/>
            </w:tcBorders>
            <w:shd w:val="clear" w:color="auto" w:fill="auto"/>
            <w:noWrap/>
            <w:vAlign w:val="center"/>
            <w:hideMark/>
          </w:tcPr>
          <w:p w14:paraId="3012059A" w14:textId="77777777" w:rsidR="008A1E55" w:rsidRPr="006B42D6" w:rsidRDefault="008A1E55" w:rsidP="00E16CAE">
            <w:pPr>
              <w:jc w:val="right"/>
              <w:rPr>
                <w:sz w:val="16"/>
                <w:szCs w:val="16"/>
              </w:rPr>
            </w:pPr>
            <w:r w:rsidRPr="006B42D6">
              <w:rPr>
                <w:sz w:val="16"/>
                <w:szCs w:val="16"/>
              </w:rPr>
              <w:t>1.7</w:t>
            </w:r>
          </w:p>
        </w:tc>
        <w:tc>
          <w:tcPr>
            <w:tcW w:w="287" w:type="pct"/>
            <w:tcBorders>
              <w:top w:val="nil"/>
              <w:left w:val="nil"/>
              <w:bottom w:val="nil"/>
              <w:right w:val="nil"/>
            </w:tcBorders>
            <w:shd w:val="clear" w:color="auto" w:fill="auto"/>
            <w:noWrap/>
            <w:vAlign w:val="center"/>
            <w:hideMark/>
          </w:tcPr>
          <w:p w14:paraId="3E6DBBCA" w14:textId="77777777" w:rsidR="008A1E55" w:rsidRPr="006B42D6" w:rsidRDefault="008A1E55" w:rsidP="00E16CAE">
            <w:pPr>
              <w:jc w:val="right"/>
              <w:rPr>
                <w:sz w:val="16"/>
                <w:szCs w:val="16"/>
              </w:rPr>
            </w:pPr>
            <w:r w:rsidRPr="006B42D6">
              <w:rPr>
                <w:sz w:val="16"/>
                <w:szCs w:val="16"/>
              </w:rPr>
              <w:t>2.1</w:t>
            </w:r>
          </w:p>
        </w:tc>
        <w:tc>
          <w:tcPr>
            <w:tcW w:w="287" w:type="pct"/>
            <w:tcBorders>
              <w:top w:val="nil"/>
              <w:left w:val="nil"/>
              <w:bottom w:val="nil"/>
              <w:right w:val="nil"/>
            </w:tcBorders>
            <w:shd w:val="clear" w:color="auto" w:fill="auto"/>
            <w:noWrap/>
            <w:vAlign w:val="center"/>
            <w:hideMark/>
          </w:tcPr>
          <w:p w14:paraId="12C9FBDE" w14:textId="77777777" w:rsidR="008A1E55" w:rsidRPr="006B42D6" w:rsidRDefault="008A1E55" w:rsidP="00E16CAE">
            <w:pPr>
              <w:jc w:val="right"/>
              <w:rPr>
                <w:sz w:val="16"/>
                <w:szCs w:val="16"/>
              </w:rPr>
            </w:pPr>
            <w:r w:rsidRPr="006B42D6">
              <w:rPr>
                <w:sz w:val="16"/>
                <w:szCs w:val="16"/>
              </w:rPr>
              <w:t>-</w:t>
            </w:r>
          </w:p>
        </w:tc>
        <w:tc>
          <w:tcPr>
            <w:tcW w:w="315" w:type="pct"/>
            <w:tcBorders>
              <w:top w:val="nil"/>
              <w:left w:val="nil"/>
              <w:bottom w:val="nil"/>
              <w:right w:val="nil"/>
            </w:tcBorders>
            <w:shd w:val="clear" w:color="auto" w:fill="auto"/>
            <w:noWrap/>
            <w:vAlign w:val="center"/>
            <w:hideMark/>
          </w:tcPr>
          <w:p w14:paraId="69D03210" w14:textId="77777777" w:rsidR="008A1E55" w:rsidRPr="006B42D6" w:rsidRDefault="008A1E55" w:rsidP="00E16CAE">
            <w:pPr>
              <w:jc w:val="right"/>
              <w:rPr>
                <w:sz w:val="16"/>
                <w:szCs w:val="16"/>
              </w:rPr>
            </w:pPr>
            <w:r w:rsidRPr="006B42D6">
              <w:rPr>
                <w:sz w:val="16"/>
                <w:szCs w:val="16"/>
              </w:rPr>
              <w:t>-</w:t>
            </w:r>
          </w:p>
        </w:tc>
        <w:tc>
          <w:tcPr>
            <w:tcW w:w="226" w:type="pct"/>
            <w:tcBorders>
              <w:top w:val="nil"/>
              <w:left w:val="nil"/>
              <w:bottom w:val="nil"/>
              <w:right w:val="nil"/>
            </w:tcBorders>
            <w:shd w:val="clear" w:color="auto" w:fill="auto"/>
            <w:noWrap/>
            <w:vAlign w:val="center"/>
            <w:hideMark/>
          </w:tcPr>
          <w:p w14:paraId="731D756A" w14:textId="77777777" w:rsidR="008A1E55" w:rsidRPr="006B42D6" w:rsidRDefault="008A1E55" w:rsidP="00E16CAE">
            <w:pPr>
              <w:jc w:val="right"/>
              <w:rPr>
                <w:sz w:val="16"/>
                <w:szCs w:val="16"/>
              </w:rPr>
            </w:pPr>
            <w:r w:rsidRPr="006B42D6">
              <w:rPr>
                <w:sz w:val="16"/>
                <w:szCs w:val="16"/>
              </w:rPr>
              <w:t>0.4</w:t>
            </w:r>
          </w:p>
        </w:tc>
      </w:tr>
      <w:tr w:rsidR="006B42D6" w:rsidRPr="006B42D6" w14:paraId="37AF7734" w14:textId="77777777" w:rsidTr="0024189E">
        <w:trPr>
          <w:trHeight w:hRule="exact" w:val="198"/>
        </w:trPr>
        <w:tc>
          <w:tcPr>
            <w:tcW w:w="653" w:type="pct"/>
            <w:tcBorders>
              <w:top w:val="nil"/>
              <w:left w:val="nil"/>
              <w:bottom w:val="nil"/>
              <w:right w:val="nil"/>
            </w:tcBorders>
            <w:shd w:val="clear" w:color="auto" w:fill="auto"/>
            <w:noWrap/>
            <w:vAlign w:val="center"/>
            <w:hideMark/>
          </w:tcPr>
          <w:p w14:paraId="26B4BCE8" w14:textId="77777777" w:rsidR="008A1E55" w:rsidRPr="006B42D6" w:rsidRDefault="008A1E55" w:rsidP="00E16CAE">
            <w:pPr>
              <w:rPr>
                <w:sz w:val="16"/>
                <w:szCs w:val="16"/>
              </w:rPr>
            </w:pPr>
            <w:r w:rsidRPr="006B42D6">
              <w:rPr>
                <w:sz w:val="16"/>
                <w:szCs w:val="16"/>
              </w:rPr>
              <w:t>Njombe</w:t>
            </w:r>
          </w:p>
        </w:tc>
        <w:tc>
          <w:tcPr>
            <w:tcW w:w="302" w:type="pct"/>
            <w:tcBorders>
              <w:top w:val="nil"/>
              <w:left w:val="nil"/>
              <w:bottom w:val="nil"/>
              <w:right w:val="nil"/>
            </w:tcBorders>
            <w:shd w:val="clear" w:color="auto" w:fill="auto"/>
            <w:noWrap/>
            <w:vAlign w:val="center"/>
            <w:hideMark/>
          </w:tcPr>
          <w:p w14:paraId="7EBFD390" w14:textId="77777777" w:rsidR="008A1E55" w:rsidRPr="006B42D6" w:rsidRDefault="008A1E55" w:rsidP="00E16CAE">
            <w:pPr>
              <w:jc w:val="right"/>
              <w:rPr>
                <w:sz w:val="16"/>
                <w:szCs w:val="16"/>
              </w:rPr>
            </w:pPr>
            <w:r w:rsidRPr="006B42D6">
              <w:rPr>
                <w:sz w:val="16"/>
                <w:szCs w:val="16"/>
              </w:rPr>
              <w:t>3.0</w:t>
            </w:r>
          </w:p>
        </w:tc>
        <w:tc>
          <w:tcPr>
            <w:tcW w:w="343" w:type="pct"/>
            <w:tcBorders>
              <w:top w:val="nil"/>
              <w:left w:val="nil"/>
              <w:bottom w:val="nil"/>
              <w:right w:val="nil"/>
            </w:tcBorders>
            <w:shd w:val="clear" w:color="auto" w:fill="auto"/>
            <w:noWrap/>
            <w:vAlign w:val="center"/>
            <w:hideMark/>
          </w:tcPr>
          <w:p w14:paraId="20243FDD" w14:textId="77777777" w:rsidR="008A1E55" w:rsidRPr="006B42D6" w:rsidRDefault="008A1E55" w:rsidP="00E16CAE">
            <w:pPr>
              <w:jc w:val="right"/>
              <w:rPr>
                <w:sz w:val="16"/>
                <w:szCs w:val="16"/>
              </w:rPr>
            </w:pPr>
            <w:r w:rsidRPr="006B42D6">
              <w:rPr>
                <w:sz w:val="16"/>
                <w:szCs w:val="16"/>
              </w:rPr>
              <w:t>2.1</w:t>
            </w:r>
          </w:p>
        </w:tc>
        <w:tc>
          <w:tcPr>
            <w:tcW w:w="400" w:type="pct"/>
            <w:tcBorders>
              <w:top w:val="nil"/>
              <w:left w:val="nil"/>
              <w:bottom w:val="nil"/>
              <w:right w:val="nil"/>
            </w:tcBorders>
            <w:shd w:val="clear" w:color="auto" w:fill="auto"/>
            <w:noWrap/>
            <w:vAlign w:val="center"/>
            <w:hideMark/>
          </w:tcPr>
          <w:p w14:paraId="29B2C133" w14:textId="77777777" w:rsidR="008A1E55" w:rsidRPr="006B42D6" w:rsidRDefault="008A1E55" w:rsidP="00E16CAE">
            <w:pPr>
              <w:jc w:val="right"/>
              <w:rPr>
                <w:sz w:val="16"/>
                <w:szCs w:val="16"/>
              </w:rPr>
            </w:pPr>
            <w:r w:rsidRPr="006B42D6">
              <w:rPr>
                <w:sz w:val="16"/>
                <w:szCs w:val="16"/>
              </w:rPr>
              <w:t>1.8</w:t>
            </w:r>
          </w:p>
        </w:tc>
        <w:tc>
          <w:tcPr>
            <w:tcW w:w="363" w:type="pct"/>
            <w:tcBorders>
              <w:top w:val="nil"/>
              <w:left w:val="nil"/>
              <w:bottom w:val="nil"/>
              <w:right w:val="nil"/>
            </w:tcBorders>
            <w:shd w:val="clear" w:color="auto" w:fill="auto"/>
            <w:noWrap/>
            <w:vAlign w:val="center"/>
            <w:hideMark/>
          </w:tcPr>
          <w:p w14:paraId="49AA990B" w14:textId="77777777" w:rsidR="008A1E55" w:rsidRPr="006B42D6" w:rsidRDefault="008A1E55" w:rsidP="00E16CAE">
            <w:pPr>
              <w:jc w:val="right"/>
              <w:rPr>
                <w:sz w:val="16"/>
                <w:szCs w:val="16"/>
              </w:rPr>
            </w:pPr>
            <w:r w:rsidRPr="006B42D6">
              <w:rPr>
                <w:sz w:val="16"/>
                <w:szCs w:val="16"/>
              </w:rPr>
              <w:t>0.9</w:t>
            </w:r>
          </w:p>
        </w:tc>
        <w:tc>
          <w:tcPr>
            <w:tcW w:w="373" w:type="pct"/>
            <w:tcBorders>
              <w:top w:val="nil"/>
              <w:left w:val="nil"/>
              <w:bottom w:val="nil"/>
              <w:right w:val="nil"/>
            </w:tcBorders>
            <w:shd w:val="clear" w:color="auto" w:fill="auto"/>
            <w:noWrap/>
            <w:vAlign w:val="center"/>
            <w:hideMark/>
          </w:tcPr>
          <w:p w14:paraId="30BE1AD5" w14:textId="77777777" w:rsidR="008A1E55" w:rsidRPr="006B42D6" w:rsidRDefault="008A1E55" w:rsidP="00E16CAE">
            <w:pPr>
              <w:jc w:val="right"/>
              <w:rPr>
                <w:sz w:val="16"/>
                <w:szCs w:val="16"/>
              </w:rPr>
            </w:pPr>
            <w:r w:rsidRPr="006B42D6">
              <w:rPr>
                <w:sz w:val="16"/>
                <w:szCs w:val="16"/>
              </w:rPr>
              <w:t>2.9</w:t>
            </w:r>
          </w:p>
        </w:tc>
        <w:tc>
          <w:tcPr>
            <w:tcW w:w="443" w:type="pct"/>
            <w:tcBorders>
              <w:top w:val="nil"/>
              <w:left w:val="nil"/>
              <w:bottom w:val="nil"/>
              <w:right w:val="nil"/>
            </w:tcBorders>
            <w:shd w:val="clear" w:color="auto" w:fill="auto"/>
            <w:noWrap/>
            <w:vAlign w:val="center"/>
            <w:hideMark/>
          </w:tcPr>
          <w:p w14:paraId="08181D12" w14:textId="77777777" w:rsidR="008A1E55" w:rsidRPr="006B42D6" w:rsidRDefault="008A1E55" w:rsidP="00E16CAE">
            <w:pPr>
              <w:jc w:val="right"/>
              <w:rPr>
                <w:sz w:val="16"/>
                <w:szCs w:val="16"/>
              </w:rPr>
            </w:pPr>
            <w:r w:rsidRPr="006B42D6">
              <w:rPr>
                <w:sz w:val="16"/>
                <w:szCs w:val="16"/>
              </w:rPr>
              <w:t>1.0</w:t>
            </w:r>
          </w:p>
        </w:tc>
        <w:tc>
          <w:tcPr>
            <w:tcW w:w="371" w:type="pct"/>
            <w:tcBorders>
              <w:top w:val="nil"/>
              <w:left w:val="nil"/>
              <w:bottom w:val="nil"/>
              <w:right w:val="nil"/>
            </w:tcBorders>
            <w:shd w:val="clear" w:color="auto" w:fill="auto"/>
            <w:noWrap/>
            <w:vAlign w:val="center"/>
            <w:hideMark/>
          </w:tcPr>
          <w:p w14:paraId="201FFE27" w14:textId="77777777" w:rsidR="008A1E55" w:rsidRPr="006B42D6" w:rsidRDefault="008A1E55" w:rsidP="00E16CAE">
            <w:pPr>
              <w:jc w:val="right"/>
              <w:rPr>
                <w:sz w:val="16"/>
                <w:szCs w:val="16"/>
              </w:rPr>
            </w:pPr>
            <w:r w:rsidRPr="006B42D6">
              <w:rPr>
                <w:sz w:val="16"/>
                <w:szCs w:val="16"/>
              </w:rPr>
              <w:t>2.7</w:t>
            </w:r>
          </w:p>
        </w:tc>
        <w:tc>
          <w:tcPr>
            <w:tcW w:w="352" w:type="pct"/>
            <w:tcBorders>
              <w:top w:val="nil"/>
              <w:left w:val="nil"/>
              <w:bottom w:val="nil"/>
              <w:right w:val="nil"/>
            </w:tcBorders>
            <w:shd w:val="clear" w:color="auto" w:fill="auto"/>
            <w:noWrap/>
            <w:vAlign w:val="center"/>
            <w:hideMark/>
          </w:tcPr>
          <w:p w14:paraId="0665E401" w14:textId="77777777" w:rsidR="008A1E55" w:rsidRPr="006B42D6" w:rsidRDefault="008A1E55" w:rsidP="00E16CAE">
            <w:pPr>
              <w:jc w:val="right"/>
              <w:rPr>
                <w:sz w:val="16"/>
                <w:szCs w:val="16"/>
              </w:rPr>
            </w:pPr>
            <w:r w:rsidRPr="006B42D6">
              <w:rPr>
                <w:sz w:val="16"/>
                <w:szCs w:val="16"/>
              </w:rPr>
              <w:t>2.5</w:t>
            </w:r>
          </w:p>
        </w:tc>
        <w:tc>
          <w:tcPr>
            <w:tcW w:w="287" w:type="pct"/>
            <w:tcBorders>
              <w:top w:val="nil"/>
              <w:left w:val="nil"/>
              <w:bottom w:val="nil"/>
              <w:right w:val="nil"/>
            </w:tcBorders>
            <w:shd w:val="clear" w:color="auto" w:fill="auto"/>
            <w:noWrap/>
            <w:vAlign w:val="center"/>
            <w:hideMark/>
          </w:tcPr>
          <w:p w14:paraId="0DE8B8EF" w14:textId="77777777" w:rsidR="008A1E55" w:rsidRPr="006B42D6" w:rsidRDefault="008A1E55" w:rsidP="00E16CAE">
            <w:pPr>
              <w:jc w:val="right"/>
              <w:rPr>
                <w:sz w:val="16"/>
                <w:szCs w:val="16"/>
              </w:rPr>
            </w:pPr>
            <w:r w:rsidRPr="006B42D6">
              <w:rPr>
                <w:sz w:val="16"/>
                <w:szCs w:val="16"/>
              </w:rPr>
              <w:t>-</w:t>
            </w:r>
          </w:p>
        </w:tc>
        <w:tc>
          <w:tcPr>
            <w:tcW w:w="287" w:type="pct"/>
            <w:tcBorders>
              <w:top w:val="nil"/>
              <w:left w:val="nil"/>
              <w:bottom w:val="nil"/>
              <w:right w:val="nil"/>
            </w:tcBorders>
            <w:shd w:val="clear" w:color="auto" w:fill="auto"/>
            <w:noWrap/>
            <w:vAlign w:val="center"/>
            <w:hideMark/>
          </w:tcPr>
          <w:p w14:paraId="340B4FA3" w14:textId="77777777" w:rsidR="008A1E55" w:rsidRPr="006B42D6" w:rsidRDefault="008A1E55" w:rsidP="00E16CAE">
            <w:pPr>
              <w:jc w:val="right"/>
              <w:rPr>
                <w:sz w:val="16"/>
                <w:szCs w:val="16"/>
              </w:rPr>
            </w:pPr>
            <w:r w:rsidRPr="006B42D6">
              <w:rPr>
                <w:sz w:val="16"/>
                <w:szCs w:val="16"/>
              </w:rPr>
              <w:t>-</w:t>
            </w:r>
          </w:p>
        </w:tc>
        <w:tc>
          <w:tcPr>
            <w:tcW w:w="287" w:type="pct"/>
            <w:tcBorders>
              <w:top w:val="nil"/>
              <w:left w:val="nil"/>
              <w:bottom w:val="nil"/>
              <w:right w:val="nil"/>
            </w:tcBorders>
            <w:shd w:val="clear" w:color="auto" w:fill="auto"/>
            <w:noWrap/>
            <w:vAlign w:val="center"/>
            <w:hideMark/>
          </w:tcPr>
          <w:p w14:paraId="30FAFD80" w14:textId="77777777" w:rsidR="008A1E55" w:rsidRPr="006B42D6" w:rsidRDefault="008A1E55" w:rsidP="00E16CAE">
            <w:pPr>
              <w:jc w:val="right"/>
              <w:rPr>
                <w:sz w:val="16"/>
                <w:szCs w:val="16"/>
              </w:rPr>
            </w:pPr>
            <w:r w:rsidRPr="006B42D6">
              <w:rPr>
                <w:sz w:val="16"/>
                <w:szCs w:val="16"/>
              </w:rPr>
              <w:t>4.0</w:t>
            </w:r>
          </w:p>
        </w:tc>
        <w:tc>
          <w:tcPr>
            <w:tcW w:w="315" w:type="pct"/>
            <w:tcBorders>
              <w:top w:val="nil"/>
              <w:left w:val="nil"/>
              <w:bottom w:val="nil"/>
              <w:right w:val="nil"/>
            </w:tcBorders>
            <w:shd w:val="clear" w:color="auto" w:fill="auto"/>
            <w:noWrap/>
            <w:vAlign w:val="center"/>
            <w:hideMark/>
          </w:tcPr>
          <w:p w14:paraId="27DBF6D0" w14:textId="77777777" w:rsidR="008A1E55" w:rsidRPr="006B42D6" w:rsidRDefault="008A1E55" w:rsidP="00E16CAE">
            <w:pPr>
              <w:jc w:val="right"/>
              <w:rPr>
                <w:sz w:val="16"/>
                <w:szCs w:val="16"/>
              </w:rPr>
            </w:pPr>
            <w:r w:rsidRPr="006B42D6">
              <w:rPr>
                <w:sz w:val="16"/>
                <w:szCs w:val="16"/>
              </w:rPr>
              <w:t>0.1</w:t>
            </w:r>
          </w:p>
        </w:tc>
        <w:tc>
          <w:tcPr>
            <w:tcW w:w="226" w:type="pct"/>
            <w:tcBorders>
              <w:top w:val="nil"/>
              <w:left w:val="nil"/>
              <w:bottom w:val="nil"/>
              <w:right w:val="nil"/>
            </w:tcBorders>
            <w:shd w:val="clear" w:color="auto" w:fill="auto"/>
            <w:noWrap/>
            <w:vAlign w:val="center"/>
            <w:hideMark/>
          </w:tcPr>
          <w:p w14:paraId="3C983ED6" w14:textId="77777777" w:rsidR="008A1E55" w:rsidRPr="006B42D6" w:rsidRDefault="008A1E55" w:rsidP="00E16CAE">
            <w:pPr>
              <w:jc w:val="right"/>
              <w:rPr>
                <w:sz w:val="16"/>
                <w:szCs w:val="16"/>
              </w:rPr>
            </w:pPr>
            <w:r w:rsidRPr="006B42D6">
              <w:rPr>
                <w:sz w:val="16"/>
                <w:szCs w:val="16"/>
              </w:rPr>
              <w:t>0.6</w:t>
            </w:r>
          </w:p>
        </w:tc>
      </w:tr>
      <w:tr w:rsidR="006B42D6" w:rsidRPr="006B42D6" w14:paraId="14C36935" w14:textId="77777777" w:rsidTr="0024189E">
        <w:trPr>
          <w:trHeight w:hRule="exact" w:val="198"/>
        </w:trPr>
        <w:tc>
          <w:tcPr>
            <w:tcW w:w="653" w:type="pct"/>
            <w:tcBorders>
              <w:top w:val="nil"/>
              <w:left w:val="nil"/>
              <w:bottom w:val="nil"/>
              <w:right w:val="nil"/>
            </w:tcBorders>
            <w:shd w:val="clear" w:color="auto" w:fill="auto"/>
            <w:noWrap/>
            <w:vAlign w:val="center"/>
            <w:hideMark/>
          </w:tcPr>
          <w:p w14:paraId="617CC919" w14:textId="77777777" w:rsidR="008A1E55" w:rsidRPr="006B42D6" w:rsidRDefault="008A1E55" w:rsidP="00E16CAE">
            <w:pPr>
              <w:rPr>
                <w:sz w:val="16"/>
                <w:szCs w:val="16"/>
              </w:rPr>
            </w:pPr>
            <w:r w:rsidRPr="006B42D6">
              <w:rPr>
                <w:sz w:val="16"/>
                <w:szCs w:val="16"/>
              </w:rPr>
              <w:t>Katavi</w:t>
            </w:r>
          </w:p>
        </w:tc>
        <w:tc>
          <w:tcPr>
            <w:tcW w:w="302" w:type="pct"/>
            <w:tcBorders>
              <w:top w:val="nil"/>
              <w:left w:val="nil"/>
              <w:bottom w:val="nil"/>
              <w:right w:val="nil"/>
            </w:tcBorders>
            <w:shd w:val="clear" w:color="auto" w:fill="auto"/>
            <w:noWrap/>
            <w:vAlign w:val="center"/>
            <w:hideMark/>
          </w:tcPr>
          <w:p w14:paraId="0B3BC1AA" w14:textId="77777777" w:rsidR="008A1E55" w:rsidRPr="006B42D6" w:rsidRDefault="008A1E55" w:rsidP="00E16CAE">
            <w:pPr>
              <w:jc w:val="right"/>
              <w:rPr>
                <w:sz w:val="16"/>
                <w:szCs w:val="16"/>
              </w:rPr>
            </w:pPr>
            <w:r w:rsidRPr="006B42D6">
              <w:rPr>
                <w:sz w:val="16"/>
                <w:szCs w:val="16"/>
              </w:rPr>
              <w:t>1.1</w:t>
            </w:r>
          </w:p>
        </w:tc>
        <w:tc>
          <w:tcPr>
            <w:tcW w:w="343" w:type="pct"/>
            <w:tcBorders>
              <w:top w:val="nil"/>
              <w:left w:val="nil"/>
              <w:bottom w:val="nil"/>
              <w:right w:val="nil"/>
            </w:tcBorders>
            <w:shd w:val="clear" w:color="auto" w:fill="auto"/>
            <w:noWrap/>
            <w:vAlign w:val="center"/>
            <w:hideMark/>
          </w:tcPr>
          <w:p w14:paraId="0E815AB9" w14:textId="77777777" w:rsidR="008A1E55" w:rsidRPr="006B42D6" w:rsidRDefault="008A1E55" w:rsidP="00E16CAE">
            <w:pPr>
              <w:jc w:val="right"/>
              <w:rPr>
                <w:sz w:val="16"/>
                <w:szCs w:val="16"/>
              </w:rPr>
            </w:pPr>
            <w:r w:rsidRPr="006B42D6">
              <w:rPr>
                <w:sz w:val="16"/>
                <w:szCs w:val="16"/>
              </w:rPr>
              <w:t>0.7</w:t>
            </w:r>
          </w:p>
        </w:tc>
        <w:tc>
          <w:tcPr>
            <w:tcW w:w="400" w:type="pct"/>
            <w:tcBorders>
              <w:top w:val="nil"/>
              <w:left w:val="nil"/>
              <w:bottom w:val="nil"/>
              <w:right w:val="nil"/>
            </w:tcBorders>
            <w:shd w:val="clear" w:color="auto" w:fill="auto"/>
            <w:noWrap/>
            <w:vAlign w:val="center"/>
            <w:hideMark/>
          </w:tcPr>
          <w:p w14:paraId="13821505" w14:textId="77777777" w:rsidR="008A1E55" w:rsidRPr="006B42D6" w:rsidRDefault="008A1E55" w:rsidP="00E16CAE">
            <w:pPr>
              <w:jc w:val="right"/>
              <w:rPr>
                <w:sz w:val="16"/>
                <w:szCs w:val="16"/>
              </w:rPr>
            </w:pPr>
            <w:r w:rsidRPr="006B42D6">
              <w:rPr>
                <w:sz w:val="16"/>
                <w:szCs w:val="16"/>
              </w:rPr>
              <w:t>0.8</w:t>
            </w:r>
          </w:p>
        </w:tc>
        <w:tc>
          <w:tcPr>
            <w:tcW w:w="363" w:type="pct"/>
            <w:tcBorders>
              <w:top w:val="nil"/>
              <w:left w:val="nil"/>
              <w:bottom w:val="nil"/>
              <w:right w:val="nil"/>
            </w:tcBorders>
            <w:shd w:val="clear" w:color="auto" w:fill="auto"/>
            <w:noWrap/>
            <w:vAlign w:val="center"/>
            <w:hideMark/>
          </w:tcPr>
          <w:p w14:paraId="006D21EF" w14:textId="77777777" w:rsidR="008A1E55" w:rsidRPr="006B42D6" w:rsidRDefault="008A1E55" w:rsidP="00E16CAE">
            <w:pPr>
              <w:jc w:val="right"/>
              <w:rPr>
                <w:sz w:val="16"/>
                <w:szCs w:val="16"/>
              </w:rPr>
            </w:pPr>
            <w:r w:rsidRPr="006B42D6">
              <w:rPr>
                <w:sz w:val="16"/>
                <w:szCs w:val="16"/>
              </w:rPr>
              <w:t>1.5</w:t>
            </w:r>
          </w:p>
        </w:tc>
        <w:tc>
          <w:tcPr>
            <w:tcW w:w="373" w:type="pct"/>
            <w:tcBorders>
              <w:top w:val="nil"/>
              <w:left w:val="nil"/>
              <w:bottom w:val="nil"/>
              <w:right w:val="nil"/>
            </w:tcBorders>
            <w:shd w:val="clear" w:color="auto" w:fill="auto"/>
            <w:noWrap/>
            <w:vAlign w:val="center"/>
            <w:hideMark/>
          </w:tcPr>
          <w:p w14:paraId="75BB7B61" w14:textId="77777777" w:rsidR="008A1E55" w:rsidRPr="006B42D6" w:rsidRDefault="008A1E55" w:rsidP="00E16CAE">
            <w:pPr>
              <w:jc w:val="right"/>
              <w:rPr>
                <w:sz w:val="16"/>
                <w:szCs w:val="16"/>
              </w:rPr>
            </w:pPr>
            <w:r w:rsidRPr="006B42D6">
              <w:rPr>
                <w:sz w:val="16"/>
                <w:szCs w:val="16"/>
              </w:rPr>
              <w:t>0.8</w:t>
            </w:r>
          </w:p>
        </w:tc>
        <w:tc>
          <w:tcPr>
            <w:tcW w:w="443" w:type="pct"/>
            <w:tcBorders>
              <w:top w:val="nil"/>
              <w:left w:val="nil"/>
              <w:bottom w:val="nil"/>
              <w:right w:val="nil"/>
            </w:tcBorders>
            <w:shd w:val="clear" w:color="auto" w:fill="auto"/>
            <w:noWrap/>
            <w:vAlign w:val="center"/>
            <w:hideMark/>
          </w:tcPr>
          <w:p w14:paraId="347922DD" w14:textId="77777777" w:rsidR="008A1E55" w:rsidRPr="006B42D6" w:rsidRDefault="008A1E55" w:rsidP="00E16CAE">
            <w:pPr>
              <w:jc w:val="right"/>
              <w:rPr>
                <w:sz w:val="16"/>
                <w:szCs w:val="16"/>
              </w:rPr>
            </w:pPr>
            <w:r w:rsidRPr="006B42D6">
              <w:rPr>
                <w:sz w:val="16"/>
                <w:szCs w:val="16"/>
              </w:rPr>
              <w:t>0.7</w:t>
            </w:r>
          </w:p>
        </w:tc>
        <w:tc>
          <w:tcPr>
            <w:tcW w:w="371" w:type="pct"/>
            <w:tcBorders>
              <w:top w:val="nil"/>
              <w:left w:val="nil"/>
              <w:bottom w:val="nil"/>
              <w:right w:val="nil"/>
            </w:tcBorders>
            <w:shd w:val="clear" w:color="auto" w:fill="auto"/>
            <w:noWrap/>
            <w:vAlign w:val="center"/>
            <w:hideMark/>
          </w:tcPr>
          <w:p w14:paraId="263B4996" w14:textId="77777777" w:rsidR="008A1E55" w:rsidRPr="006B42D6" w:rsidRDefault="008A1E55" w:rsidP="00E16CAE">
            <w:pPr>
              <w:jc w:val="right"/>
              <w:rPr>
                <w:sz w:val="16"/>
                <w:szCs w:val="16"/>
              </w:rPr>
            </w:pPr>
            <w:r w:rsidRPr="006B42D6">
              <w:rPr>
                <w:sz w:val="16"/>
                <w:szCs w:val="16"/>
              </w:rPr>
              <w:t>0.6</w:t>
            </w:r>
          </w:p>
        </w:tc>
        <w:tc>
          <w:tcPr>
            <w:tcW w:w="352" w:type="pct"/>
            <w:tcBorders>
              <w:top w:val="nil"/>
              <w:left w:val="nil"/>
              <w:bottom w:val="nil"/>
              <w:right w:val="nil"/>
            </w:tcBorders>
            <w:shd w:val="clear" w:color="auto" w:fill="auto"/>
            <w:noWrap/>
            <w:vAlign w:val="center"/>
            <w:hideMark/>
          </w:tcPr>
          <w:p w14:paraId="4B82B60A" w14:textId="77777777" w:rsidR="008A1E55" w:rsidRPr="006B42D6" w:rsidRDefault="008A1E55" w:rsidP="00E16CAE">
            <w:pPr>
              <w:jc w:val="right"/>
              <w:rPr>
                <w:sz w:val="16"/>
                <w:szCs w:val="16"/>
              </w:rPr>
            </w:pPr>
            <w:r w:rsidRPr="006B42D6">
              <w:rPr>
                <w:sz w:val="16"/>
                <w:szCs w:val="16"/>
              </w:rPr>
              <w:t>0.1</w:t>
            </w:r>
          </w:p>
        </w:tc>
        <w:tc>
          <w:tcPr>
            <w:tcW w:w="287" w:type="pct"/>
            <w:tcBorders>
              <w:top w:val="nil"/>
              <w:left w:val="nil"/>
              <w:bottom w:val="nil"/>
              <w:right w:val="nil"/>
            </w:tcBorders>
            <w:shd w:val="clear" w:color="auto" w:fill="auto"/>
            <w:noWrap/>
            <w:vAlign w:val="center"/>
            <w:hideMark/>
          </w:tcPr>
          <w:p w14:paraId="708E8076" w14:textId="77777777" w:rsidR="008A1E55" w:rsidRPr="006B42D6" w:rsidRDefault="008A1E55" w:rsidP="00E16CAE">
            <w:pPr>
              <w:jc w:val="right"/>
              <w:rPr>
                <w:sz w:val="16"/>
                <w:szCs w:val="16"/>
              </w:rPr>
            </w:pPr>
            <w:r w:rsidRPr="006B42D6">
              <w:rPr>
                <w:sz w:val="16"/>
                <w:szCs w:val="16"/>
              </w:rPr>
              <w:t>1.6</w:t>
            </w:r>
          </w:p>
        </w:tc>
        <w:tc>
          <w:tcPr>
            <w:tcW w:w="287" w:type="pct"/>
            <w:tcBorders>
              <w:top w:val="nil"/>
              <w:left w:val="nil"/>
              <w:bottom w:val="nil"/>
              <w:right w:val="nil"/>
            </w:tcBorders>
            <w:shd w:val="clear" w:color="auto" w:fill="auto"/>
            <w:noWrap/>
            <w:vAlign w:val="center"/>
            <w:hideMark/>
          </w:tcPr>
          <w:p w14:paraId="25E31F1D" w14:textId="77777777" w:rsidR="008A1E55" w:rsidRPr="006B42D6" w:rsidRDefault="008A1E55" w:rsidP="00E16CAE">
            <w:pPr>
              <w:jc w:val="right"/>
              <w:rPr>
                <w:sz w:val="16"/>
                <w:szCs w:val="16"/>
              </w:rPr>
            </w:pPr>
            <w:r w:rsidRPr="006B42D6">
              <w:rPr>
                <w:sz w:val="16"/>
                <w:szCs w:val="16"/>
              </w:rPr>
              <w:t>-</w:t>
            </w:r>
          </w:p>
        </w:tc>
        <w:tc>
          <w:tcPr>
            <w:tcW w:w="287" w:type="pct"/>
            <w:tcBorders>
              <w:top w:val="nil"/>
              <w:left w:val="nil"/>
              <w:bottom w:val="nil"/>
              <w:right w:val="nil"/>
            </w:tcBorders>
            <w:shd w:val="clear" w:color="auto" w:fill="auto"/>
            <w:noWrap/>
            <w:vAlign w:val="center"/>
            <w:hideMark/>
          </w:tcPr>
          <w:p w14:paraId="152D52E9" w14:textId="77777777" w:rsidR="008A1E55" w:rsidRPr="006B42D6" w:rsidRDefault="008A1E55" w:rsidP="00E16CAE">
            <w:pPr>
              <w:jc w:val="right"/>
              <w:rPr>
                <w:sz w:val="16"/>
                <w:szCs w:val="16"/>
              </w:rPr>
            </w:pPr>
            <w:r w:rsidRPr="006B42D6">
              <w:rPr>
                <w:sz w:val="16"/>
                <w:szCs w:val="16"/>
              </w:rPr>
              <w:t>-</w:t>
            </w:r>
          </w:p>
        </w:tc>
        <w:tc>
          <w:tcPr>
            <w:tcW w:w="315" w:type="pct"/>
            <w:tcBorders>
              <w:top w:val="nil"/>
              <w:left w:val="nil"/>
              <w:bottom w:val="nil"/>
              <w:right w:val="nil"/>
            </w:tcBorders>
            <w:shd w:val="clear" w:color="auto" w:fill="auto"/>
            <w:noWrap/>
            <w:vAlign w:val="center"/>
            <w:hideMark/>
          </w:tcPr>
          <w:p w14:paraId="06D2710A" w14:textId="77777777" w:rsidR="008A1E55" w:rsidRPr="006B42D6" w:rsidRDefault="008A1E55" w:rsidP="00E16CAE">
            <w:pPr>
              <w:jc w:val="right"/>
              <w:rPr>
                <w:sz w:val="16"/>
                <w:szCs w:val="16"/>
              </w:rPr>
            </w:pPr>
            <w:r w:rsidRPr="006B42D6">
              <w:rPr>
                <w:sz w:val="16"/>
                <w:szCs w:val="16"/>
              </w:rPr>
              <w:t>0.2</w:t>
            </w:r>
          </w:p>
        </w:tc>
        <w:tc>
          <w:tcPr>
            <w:tcW w:w="226" w:type="pct"/>
            <w:tcBorders>
              <w:top w:val="nil"/>
              <w:left w:val="nil"/>
              <w:bottom w:val="nil"/>
              <w:right w:val="nil"/>
            </w:tcBorders>
            <w:shd w:val="clear" w:color="auto" w:fill="auto"/>
            <w:noWrap/>
            <w:vAlign w:val="center"/>
            <w:hideMark/>
          </w:tcPr>
          <w:p w14:paraId="52474F8B" w14:textId="77777777" w:rsidR="008A1E55" w:rsidRPr="006B42D6" w:rsidRDefault="008A1E55" w:rsidP="00E16CAE">
            <w:pPr>
              <w:jc w:val="right"/>
              <w:rPr>
                <w:sz w:val="16"/>
                <w:szCs w:val="16"/>
              </w:rPr>
            </w:pPr>
            <w:r w:rsidRPr="006B42D6">
              <w:rPr>
                <w:sz w:val="16"/>
                <w:szCs w:val="16"/>
              </w:rPr>
              <w:t>0.8</w:t>
            </w:r>
          </w:p>
        </w:tc>
      </w:tr>
      <w:tr w:rsidR="006B42D6" w:rsidRPr="006B42D6" w14:paraId="6B280BEB" w14:textId="77777777" w:rsidTr="0024189E">
        <w:trPr>
          <w:trHeight w:hRule="exact" w:val="198"/>
        </w:trPr>
        <w:tc>
          <w:tcPr>
            <w:tcW w:w="653" w:type="pct"/>
            <w:tcBorders>
              <w:top w:val="nil"/>
              <w:left w:val="nil"/>
              <w:bottom w:val="nil"/>
              <w:right w:val="nil"/>
            </w:tcBorders>
            <w:shd w:val="clear" w:color="auto" w:fill="auto"/>
            <w:noWrap/>
            <w:vAlign w:val="center"/>
            <w:hideMark/>
          </w:tcPr>
          <w:p w14:paraId="27A7C456" w14:textId="77777777" w:rsidR="008A1E55" w:rsidRPr="006B42D6" w:rsidRDefault="008A1E55" w:rsidP="00E16CAE">
            <w:pPr>
              <w:rPr>
                <w:sz w:val="16"/>
                <w:szCs w:val="16"/>
              </w:rPr>
            </w:pPr>
            <w:r w:rsidRPr="006B42D6">
              <w:rPr>
                <w:sz w:val="16"/>
                <w:szCs w:val="16"/>
              </w:rPr>
              <w:t>Simiyu</w:t>
            </w:r>
          </w:p>
        </w:tc>
        <w:tc>
          <w:tcPr>
            <w:tcW w:w="302" w:type="pct"/>
            <w:tcBorders>
              <w:top w:val="nil"/>
              <w:left w:val="nil"/>
              <w:bottom w:val="nil"/>
              <w:right w:val="nil"/>
            </w:tcBorders>
            <w:shd w:val="clear" w:color="auto" w:fill="auto"/>
            <w:noWrap/>
            <w:vAlign w:val="center"/>
            <w:hideMark/>
          </w:tcPr>
          <w:p w14:paraId="6A23E5EA" w14:textId="77777777" w:rsidR="008A1E55" w:rsidRPr="006B42D6" w:rsidRDefault="008A1E55" w:rsidP="00E16CAE">
            <w:pPr>
              <w:jc w:val="right"/>
              <w:rPr>
                <w:sz w:val="16"/>
                <w:szCs w:val="16"/>
              </w:rPr>
            </w:pPr>
            <w:r w:rsidRPr="006B42D6">
              <w:rPr>
                <w:sz w:val="16"/>
                <w:szCs w:val="16"/>
              </w:rPr>
              <w:t>1.6</w:t>
            </w:r>
          </w:p>
        </w:tc>
        <w:tc>
          <w:tcPr>
            <w:tcW w:w="343" w:type="pct"/>
            <w:tcBorders>
              <w:top w:val="nil"/>
              <w:left w:val="nil"/>
              <w:bottom w:val="nil"/>
              <w:right w:val="nil"/>
            </w:tcBorders>
            <w:shd w:val="clear" w:color="auto" w:fill="auto"/>
            <w:noWrap/>
            <w:vAlign w:val="center"/>
            <w:hideMark/>
          </w:tcPr>
          <w:p w14:paraId="7E383791" w14:textId="77777777" w:rsidR="008A1E55" w:rsidRPr="006B42D6" w:rsidRDefault="008A1E55" w:rsidP="00E16CAE">
            <w:pPr>
              <w:jc w:val="right"/>
              <w:rPr>
                <w:sz w:val="16"/>
                <w:szCs w:val="16"/>
              </w:rPr>
            </w:pPr>
            <w:r w:rsidRPr="006B42D6">
              <w:rPr>
                <w:sz w:val="16"/>
                <w:szCs w:val="16"/>
              </w:rPr>
              <w:t>6.8</w:t>
            </w:r>
          </w:p>
        </w:tc>
        <w:tc>
          <w:tcPr>
            <w:tcW w:w="400" w:type="pct"/>
            <w:tcBorders>
              <w:top w:val="nil"/>
              <w:left w:val="nil"/>
              <w:bottom w:val="nil"/>
              <w:right w:val="nil"/>
            </w:tcBorders>
            <w:shd w:val="clear" w:color="auto" w:fill="auto"/>
            <w:noWrap/>
            <w:vAlign w:val="center"/>
            <w:hideMark/>
          </w:tcPr>
          <w:p w14:paraId="4DB8B5A7" w14:textId="77777777" w:rsidR="008A1E55" w:rsidRPr="006B42D6" w:rsidRDefault="008A1E55" w:rsidP="00E16CAE">
            <w:pPr>
              <w:jc w:val="right"/>
              <w:rPr>
                <w:sz w:val="16"/>
                <w:szCs w:val="16"/>
              </w:rPr>
            </w:pPr>
            <w:r w:rsidRPr="006B42D6">
              <w:rPr>
                <w:sz w:val="16"/>
                <w:szCs w:val="16"/>
              </w:rPr>
              <w:t>2.0</w:t>
            </w:r>
          </w:p>
        </w:tc>
        <w:tc>
          <w:tcPr>
            <w:tcW w:w="363" w:type="pct"/>
            <w:tcBorders>
              <w:top w:val="nil"/>
              <w:left w:val="nil"/>
              <w:bottom w:val="nil"/>
              <w:right w:val="nil"/>
            </w:tcBorders>
            <w:shd w:val="clear" w:color="auto" w:fill="auto"/>
            <w:noWrap/>
            <w:vAlign w:val="center"/>
            <w:hideMark/>
          </w:tcPr>
          <w:p w14:paraId="421DAACC" w14:textId="77777777" w:rsidR="008A1E55" w:rsidRPr="006B42D6" w:rsidRDefault="008A1E55" w:rsidP="00E16CAE">
            <w:pPr>
              <w:jc w:val="right"/>
              <w:rPr>
                <w:sz w:val="16"/>
                <w:szCs w:val="16"/>
              </w:rPr>
            </w:pPr>
            <w:r w:rsidRPr="006B42D6">
              <w:rPr>
                <w:sz w:val="16"/>
                <w:szCs w:val="16"/>
              </w:rPr>
              <w:t>1.6</w:t>
            </w:r>
          </w:p>
        </w:tc>
        <w:tc>
          <w:tcPr>
            <w:tcW w:w="373" w:type="pct"/>
            <w:tcBorders>
              <w:top w:val="nil"/>
              <w:left w:val="nil"/>
              <w:bottom w:val="nil"/>
              <w:right w:val="nil"/>
            </w:tcBorders>
            <w:shd w:val="clear" w:color="auto" w:fill="auto"/>
            <w:noWrap/>
            <w:vAlign w:val="center"/>
            <w:hideMark/>
          </w:tcPr>
          <w:p w14:paraId="072E39DE" w14:textId="77777777" w:rsidR="008A1E55" w:rsidRPr="006B42D6" w:rsidRDefault="008A1E55" w:rsidP="00E16CAE">
            <w:pPr>
              <w:jc w:val="right"/>
              <w:rPr>
                <w:sz w:val="16"/>
                <w:szCs w:val="16"/>
              </w:rPr>
            </w:pPr>
            <w:r w:rsidRPr="006B42D6">
              <w:rPr>
                <w:sz w:val="16"/>
                <w:szCs w:val="16"/>
              </w:rPr>
              <w:t>0.8</w:t>
            </w:r>
          </w:p>
        </w:tc>
        <w:tc>
          <w:tcPr>
            <w:tcW w:w="443" w:type="pct"/>
            <w:tcBorders>
              <w:top w:val="nil"/>
              <w:left w:val="nil"/>
              <w:bottom w:val="nil"/>
              <w:right w:val="nil"/>
            </w:tcBorders>
            <w:shd w:val="clear" w:color="auto" w:fill="auto"/>
            <w:noWrap/>
            <w:vAlign w:val="center"/>
            <w:hideMark/>
          </w:tcPr>
          <w:p w14:paraId="136EA064" w14:textId="77777777" w:rsidR="008A1E55" w:rsidRPr="006B42D6" w:rsidRDefault="008A1E55" w:rsidP="00E16CAE">
            <w:pPr>
              <w:jc w:val="right"/>
              <w:rPr>
                <w:sz w:val="16"/>
                <w:szCs w:val="16"/>
              </w:rPr>
            </w:pPr>
            <w:r w:rsidRPr="006B42D6">
              <w:rPr>
                <w:sz w:val="16"/>
                <w:szCs w:val="16"/>
              </w:rPr>
              <w:t>2.4</w:t>
            </w:r>
          </w:p>
        </w:tc>
        <w:tc>
          <w:tcPr>
            <w:tcW w:w="371" w:type="pct"/>
            <w:tcBorders>
              <w:top w:val="nil"/>
              <w:left w:val="nil"/>
              <w:bottom w:val="nil"/>
              <w:right w:val="nil"/>
            </w:tcBorders>
            <w:shd w:val="clear" w:color="auto" w:fill="auto"/>
            <w:noWrap/>
            <w:vAlign w:val="center"/>
            <w:hideMark/>
          </w:tcPr>
          <w:p w14:paraId="160BCC49" w14:textId="77777777" w:rsidR="008A1E55" w:rsidRPr="006B42D6" w:rsidRDefault="008A1E55" w:rsidP="00E16CAE">
            <w:pPr>
              <w:jc w:val="right"/>
              <w:rPr>
                <w:sz w:val="16"/>
                <w:szCs w:val="16"/>
              </w:rPr>
            </w:pPr>
            <w:r w:rsidRPr="006B42D6">
              <w:rPr>
                <w:sz w:val="16"/>
                <w:szCs w:val="16"/>
              </w:rPr>
              <w:t>-</w:t>
            </w:r>
          </w:p>
        </w:tc>
        <w:tc>
          <w:tcPr>
            <w:tcW w:w="352" w:type="pct"/>
            <w:tcBorders>
              <w:top w:val="nil"/>
              <w:left w:val="nil"/>
              <w:bottom w:val="nil"/>
              <w:right w:val="nil"/>
            </w:tcBorders>
            <w:shd w:val="clear" w:color="auto" w:fill="auto"/>
            <w:noWrap/>
            <w:vAlign w:val="center"/>
            <w:hideMark/>
          </w:tcPr>
          <w:p w14:paraId="5DA8C996" w14:textId="77777777" w:rsidR="008A1E55" w:rsidRPr="006B42D6" w:rsidRDefault="008A1E55" w:rsidP="00E16CAE">
            <w:pPr>
              <w:jc w:val="right"/>
              <w:rPr>
                <w:sz w:val="16"/>
                <w:szCs w:val="16"/>
              </w:rPr>
            </w:pPr>
            <w:r w:rsidRPr="006B42D6">
              <w:rPr>
                <w:sz w:val="16"/>
                <w:szCs w:val="16"/>
              </w:rPr>
              <w:t>0.3</w:t>
            </w:r>
          </w:p>
        </w:tc>
        <w:tc>
          <w:tcPr>
            <w:tcW w:w="287" w:type="pct"/>
            <w:tcBorders>
              <w:top w:val="nil"/>
              <w:left w:val="nil"/>
              <w:bottom w:val="nil"/>
              <w:right w:val="nil"/>
            </w:tcBorders>
            <w:shd w:val="clear" w:color="auto" w:fill="auto"/>
            <w:noWrap/>
            <w:vAlign w:val="center"/>
            <w:hideMark/>
          </w:tcPr>
          <w:p w14:paraId="2F4A5AC2" w14:textId="77777777" w:rsidR="008A1E55" w:rsidRPr="006B42D6" w:rsidRDefault="008A1E55" w:rsidP="00E16CAE">
            <w:pPr>
              <w:jc w:val="right"/>
              <w:rPr>
                <w:sz w:val="16"/>
                <w:szCs w:val="16"/>
              </w:rPr>
            </w:pPr>
            <w:r w:rsidRPr="006B42D6">
              <w:rPr>
                <w:sz w:val="16"/>
                <w:szCs w:val="16"/>
              </w:rPr>
              <w:t>0.8</w:t>
            </w:r>
          </w:p>
        </w:tc>
        <w:tc>
          <w:tcPr>
            <w:tcW w:w="287" w:type="pct"/>
            <w:tcBorders>
              <w:top w:val="nil"/>
              <w:left w:val="nil"/>
              <w:bottom w:val="nil"/>
              <w:right w:val="nil"/>
            </w:tcBorders>
            <w:shd w:val="clear" w:color="auto" w:fill="auto"/>
            <w:noWrap/>
            <w:vAlign w:val="center"/>
            <w:hideMark/>
          </w:tcPr>
          <w:p w14:paraId="52888118" w14:textId="77777777" w:rsidR="008A1E55" w:rsidRPr="006B42D6" w:rsidRDefault="008A1E55" w:rsidP="00E16CAE">
            <w:pPr>
              <w:jc w:val="right"/>
              <w:rPr>
                <w:sz w:val="16"/>
                <w:szCs w:val="16"/>
              </w:rPr>
            </w:pPr>
            <w:r w:rsidRPr="006B42D6">
              <w:rPr>
                <w:sz w:val="16"/>
                <w:szCs w:val="16"/>
              </w:rPr>
              <w:t>-</w:t>
            </w:r>
          </w:p>
        </w:tc>
        <w:tc>
          <w:tcPr>
            <w:tcW w:w="287" w:type="pct"/>
            <w:tcBorders>
              <w:top w:val="nil"/>
              <w:left w:val="nil"/>
              <w:bottom w:val="nil"/>
              <w:right w:val="nil"/>
            </w:tcBorders>
            <w:shd w:val="clear" w:color="auto" w:fill="auto"/>
            <w:noWrap/>
            <w:vAlign w:val="center"/>
            <w:hideMark/>
          </w:tcPr>
          <w:p w14:paraId="59CD4D89" w14:textId="77777777" w:rsidR="008A1E55" w:rsidRPr="006B42D6" w:rsidRDefault="008A1E55" w:rsidP="00E16CAE">
            <w:pPr>
              <w:jc w:val="right"/>
              <w:rPr>
                <w:sz w:val="16"/>
                <w:szCs w:val="16"/>
              </w:rPr>
            </w:pPr>
            <w:r w:rsidRPr="006B42D6">
              <w:rPr>
                <w:sz w:val="16"/>
                <w:szCs w:val="16"/>
              </w:rPr>
              <w:t>2.5</w:t>
            </w:r>
          </w:p>
        </w:tc>
        <w:tc>
          <w:tcPr>
            <w:tcW w:w="315" w:type="pct"/>
            <w:tcBorders>
              <w:top w:val="nil"/>
              <w:left w:val="nil"/>
              <w:bottom w:val="nil"/>
              <w:right w:val="nil"/>
            </w:tcBorders>
            <w:shd w:val="clear" w:color="auto" w:fill="auto"/>
            <w:noWrap/>
            <w:vAlign w:val="center"/>
            <w:hideMark/>
          </w:tcPr>
          <w:p w14:paraId="3424561D" w14:textId="77777777" w:rsidR="008A1E55" w:rsidRPr="006B42D6" w:rsidRDefault="008A1E55" w:rsidP="00E16CAE">
            <w:pPr>
              <w:jc w:val="right"/>
              <w:rPr>
                <w:sz w:val="16"/>
                <w:szCs w:val="16"/>
              </w:rPr>
            </w:pPr>
            <w:r w:rsidRPr="006B42D6">
              <w:rPr>
                <w:sz w:val="16"/>
                <w:szCs w:val="16"/>
              </w:rPr>
              <w:t>6.5</w:t>
            </w:r>
          </w:p>
        </w:tc>
        <w:tc>
          <w:tcPr>
            <w:tcW w:w="226" w:type="pct"/>
            <w:tcBorders>
              <w:top w:val="nil"/>
              <w:left w:val="nil"/>
              <w:bottom w:val="nil"/>
              <w:right w:val="nil"/>
            </w:tcBorders>
            <w:shd w:val="clear" w:color="auto" w:fill="auto"/>
            <w:noWrap/>
            <w:vAlign w:val="center"/>
            <w:hideMark/>
          </w:tcPr>
          <w:p w14:paraId="71086C1A" w14:textId="77777777" w:rsidR="008A1E55" w:rsidRPr="006B42D6" w:rsidRDefault="008A1E55" w:rsidP="00E16CAE">
            <w:pPr>
              <w:jc w:val="right"/>
              <w:rPr>
                <w:sz w:val="16"/>
                <w:szCs w:val="16"/>
              </w:rPr>
            </w:pPr>
            <w:r w:rsidRPr="006B42D6">
              <w:rPr>
                <w:sz w:val="16"/>
                <w:szCs w:val="16"/>
              </w:rPr>
              <w:t>2.4</w:t>
            </w:r>
          </w:p>
        </w:tc>
      </w:tr>
      <w:tr w:rsidR="006B42D6" w:rsidRPr="006B42D6" w14:paraId="217E5019" w14:textId="77777777" w:rsidTr="0024189E">
        <w:trPr>
          <w:trHeight w:hRule="exact" w:val="198"/>
        </w:trPr>
        <w:tc>
          <w:tcPr>
            <w:tcW w:w="653" w:type="pct"/>
            <w:tcBorders>
              <w:top w:val="nil"/>
              <w:left w:val="nil"/>
              <w:bottom w:val="nil"/>
              <w:right w:val="nil"/>
            </w:tcBorders>
            <w:shd w:val="clear" w:color="auto" w:fill="auto"/>
            <w:noWrap/>
            <w:vAlign w:val="center"/>
            <w:hideMark/>
          </w:tcPr>
          <w:p w14:paraId="7A5E148D" w14:textId="77777777" w:rsidR="008A1E55" w:rsidRPr="006B42D6" w:rsidRDefault="008A1E55" w:rsidP="00E16CAE">
            <w:pPr>
              <w:rPr>
                <w:sz w:val="16"/>
                <w:szCs w:val="16"/>
              </w:rPr>
            </w:pPr>
            <w:r w:rsidRPr="006B42D6">
              <w:rPr>
                <w:sz w:val="16"/>
                <w:szCs w:val="16"/>
              </w:rPr>
              <w:t>Geita</w:t>
            </w:r>
          </w:p>
        </w:tc>
        <w:tc>
          <w:tcPr>
            <w:tcW w:w="302" w:type="pct"/>
            <w:tcBorders>
              <w:top w:val="nil"/>
              <w:left w:val="nil"/>
              <w:bottom w:val="nil"/>
              <w:right w:val="nil"/>
            </w:tcBorders>
            <w:shd w:val="clear" w:color="auto" w:fill="auto"/>
            <w:noWrap/>
            <w:vAlign w:val="center"/>
            <w:hideMark/>
          </w:tcPr>
          <w:p w14:paraId="064771DE" w14:textId="77777777" w:rsidR="008A1E55" w:rsidRPr="006B42D6" w:rsidRDefault="008A1E55" w:rsidP="00E16CAE">
            <w:pPr>
              <w:jc w:val="right"/>
              <w:rPr>
                <w:sz w:val="16"/>
                <w:szCs w:val="16"/>
              </w:rPr>
            </w:pPr>
            <w:r w:rsidRPr="006B42D6">
              <w:rPr>
                <w:sz w:val="16"/>
                <w:szCs w:val="16"/>
              </w:rPr>
              <w:t>1.2</w:t>
            </w:r>
          </w:p>
        </w:tc>
        <w:tc>
          <w:tcPr>
            <w:tcW w:w="343" w:type="pct"/>
            <w:tcBorders>
              <w:top w:val="nil"/>
              <w:left w:val="nil"/>
              <w:bottom w:val="nil"/>
              <w:right w:val="nil"/>
            </w:tcBorders>
            <w:shd w:val="clear" w:color="auto" w:fill="auto"/>
            <w:noWrap/>
            <w:vAlign w:val="center"/>
            <w:hideMark/>
          </w:tcPr>
          <w:p w14:paraId="7DE802DF" w14:textId="77777777" w:rsidR="008A1E55" w:rsidRPr="006B42D6" w:rsidRDefault="008A1E55" w:rsidP="00E16CAE">
            <w:pPr>
              <w:jc w:val="right"/>
              <w:rPr>
                <w:sz w:val="16"/>
                <w:szCs w:val="16"/>
              </w:rPr>
            </w:pPr>
            <w:r w:rsidRPr="006B42D6">
              <w:rPr>
                <w:sz w:val="16"/>
                <w:szCs w:val="16"/>
              </w:rPr>
              <w:t>8.9</w:t>
            </w:r>
          </w:p>
        </w:tc>
        <w:tc>
          <w:tcPr>
            <w:tcW w:w="400" w:type="pct"/>
            <w:tcBorders>
              <w:top w:val="nil"/>
              <w:left w:val="nil"/>
              <w:bottom w:val="nil"/>
              <w:right w:val="nil"/>
            </w:tcBorders>
            <w:shd w:val="clear" w:color="auto" w:fill="auto"/>
            <w:noWrap/>
            <w:vAlign w:val="center"/>
            <w:hideMark/>
          </w:tcPr>
          <w:p w14:paraId="48C3322D" w14:textId="77777777" w:rsidR="008A1E55" w:rsidRPr="006B42D6" w:rsidRDefault="008A1E55" w:rsidP="00E16CAE">
            <w:pPr>
              <w:jc w:val="right"/>
              <w:rPr>
                <w:sz w:val="16"/>
                <w:szCs w:val="16"/>
              </w:rPr>
            </w:pPr>
            <w:r w:rsidRPr="006B42D6">
              <w:rPr>
                <w:sz w:val="16"/>
                <w:szCs w:val="16"/>
              </w:rPr>
              <w:t>4.1</w:t>
            </w:r>
          </w:p>
        </w:tc>
        <w:tc>
          <w:tcPr>
            <w:tcW w:w="363" w:type="pct"/>
            <w:tcBorders>
              <w:top w:val="nil"/>
              <w:left w:val="nil"/>
              <w:bottom w:val="nil"/>
              <w:right w:val="nil"/>
            </w:tcBorders>
            <w:shd w:val="clear" w:color="auto" w:fill="auto"/>
            <w:noWrap/>
            <w:vAlign w:val="center"/>
            <w:hideMark/>
          </w:tcPr>
          <w:p w14:paraId="0368CA48" w14:textId="77777777" w:rsidR="008A1E55" w:rsidRPr="006B42D6" w:rsidRDefault="008A1E55" w:rsidP="00E16CAE">
            <w:pPr>
              <w:jc w:val="right"/>
              <w:rPr>
                <w:sz w:val="16"/>
                <w:szCs w:val="16"/>
              </w:rPr>
            </w:pPr>
            <w:r w:rsidRPr="006B42D6">
              <w:rPr>
                <w:sz w:val="16"/>
                <w:szCs w:val="16"/>
              </w:rPr>
              <w:t>5.2</w:t>
            </w:r>
          </w:p>
        </w:tc>
        <w:tc>
          <w:tcPr>
            <w:tcW w:w="373" w:type="pct"/>
            <w:tcBorders>
              <w:top w:val="nil"/>
              <w:left w:val="nil"/>
              <w:bottom w:val="nil"/>
              <w:right w:val="nil"/>
            </w:tcBorders>
            <w:shd w:val="clear" w:color="auto" w:fill="auto"/>
            <w:noWrap/>
            <w:vAlign w:val="center"/>
            <w:hideMark/>
          </w:tcPr>
          <w:p w14:paraId="6624EF24" w14:textId="77777777" w:rsidR="008A1E55" w:rsidRPr="006B42D6" w:rsidRDefault="008A1E55" w:rsidP="00E16CAE">
            <w:pPr>
              <w:jc w:val="right"/>
              <w:rPr>
                <w:sz w:val="16"/>
                <w:szCs w:val="16"/>
              </w:rPr>
            </w:pPr>
            <w:r w:rsidRPr="006B42D6">
              <w:rPr>
                <w:sz w:val="16"/>
                <w:szCs w:val="16"/>
              </w:rPr>
              <w:t>13.5</w:t>
            </w:r>
          </w:p>
        </w:tc>
        <w:tc>
          <w:tcPr>
            <w:tcW w:w="443" w:type="pct"/>
            <w:tcBorders>
              <w:top w:val="nil"/>
              <w:left w:val="nil"/>
              <w:bottom w:val="nil"/>
              <w:right w:val="nil"/>
            </w:tcBorders>
            <w:shd w:val="clear" w:color="auto" w:fill="auto"/>
            <w:noWrap/>
            <w:vAlign w:val="center"/>
            <w:hideMark/>
          </w:tcPr>
          <w:p w14:paraId="31F720C1" w14:textId="77777777" w:rsidR="008A1E55" w:rsidRPr="006B42D6" w:rsidRDefault="008A1E55" w:rsidP="00E16CAE">
            <w:pPr>
              <w:jc w:val="right"/>
              <w:rPr>
                <w:sz w:val="16"/>
                <w:szCs w:val="16"/>
              </w:rPr>
            </w:pPr>
            <w:r w:rsidRPr="006B42D6">
              <w:rPr>
                <w:sz w:val="16"/>
                <w:szCs w:val="16"/>
              </w:rPr>
              <w:t>0.6</w:t>
            </w:r>
          </w:p>
        </w:tc>
        <w:tc>
          <w:tcPr>
            <w:tcW w:w="371" w:type="pct"/>
            <w:tcBorders>
              <w:top w:val="nil"/>
              <w:left w:val="nil"/>
              <w:bottom w:val="nil"/>
              <w:right w:val="nil"/>
            </w:tcBorders>
            <w:shd w:val="clear" w:color="auto" w:fill="auto"/>
            <w:noWrap/>
            <w:vAlign w:val="center"/>
            <w:hideMark/>
          </w:tcPr>
          <w:p w14:paraId="70B05C6F" w14:textId="77777777" w:rsidR="008A1E55" w:rsidRPr="006B42D6" w:rsidRDefault="008A1E55" w:rsidP="00E16CAE">
            <w:pPr>
              <w:jc w:val="right"/>
              <w:rPr>
                <w:sz w:val="16"/>
                <w:szCs w:val="16"/>
              </w:rPr>
            </w:pPr>
            <w:r w:rsidRPr="006B42D6">
              <w:rPr>
                <w:sz w:val="16"/>
                <w:szCs w:val="16"/>
              </w:rPr>
              <w:t>-</w:t>
            </w:r>
          </w:p>
        </w:tc>
        <w:tc>
          <w:tcPr>
            <w:tcW w:w="352" w:type="pct"/>
            <w:tcBorders>
              <w:top w:val="nil"/>
              <w:left w:val="nil"/>
              <w:bottom w:val="nil"/>
              <w:right w:val="nil"/>
            </w:tcBorders>
            <w:shd w:val="clear" w:color="auto" w:fill="auto"/>
            <w:noWrap/>
            <w:vAlign w:val="center"/>
            <w:hideMark/>
          </w:tcPr>
          <w:p w14:paraId="38D703BD" w14:textId="77777777" w:rsidR="008A1E55" w:rsidRPr="006B42D6" w:rsidRDefault="008A1E55" w:rsidP="00E16CAE">
            <w:pPr>
              <w:jc w:val="right"/>
              <w:rPr>
                <w:sz w:val="16"/>
                <w:szCs w:val="16"/>
              </w:rPr>
            </w:pPr>
            <w:r w:rsidRPr="006B42D6">
              <w:rPr>
                <w:sz w:val="16"/>
                <w:szCs w:val="16"/>
              </w:rPr>
              <w:t>0.3</w:t>
            </w:r>
          </w:p>
        </w:tc>
        <w:tc>
          <w:tcPr>
            <w:tcW w:w="287" w:type="pct"/>
            <w:tcBorders>
              <w:top w:val="nil"/>
              <w:left w:val="nil"/>
              <w:bottom w:val="nil"/>
              <w:right w:val="nil"/>
            </w:tcBorders>
            <w:shd w:val="clear" w:color="auto" w:fill="auto"/>
            <w:noWrap/>
            <w:vAlign w:val="center"/>
            <w:hideMark/>
          </w:tcPr>
          <w:p w14:paraId="2BB7356A" w14:textId="77777777" w:rsidR="008A1E55" w:rsidRPr="006B42D6" w:rsidRDefault="008A1E55" w:rsidP="00E16CAE">
            <w:pPr>
              <w:jc w:val="right"/>
              <w:rPr>
                <w:sz w:val="16"/>
                <w:szCs w:val="16"/>
              </w:rPr>
            </w:pPr>
            <w:r w:rsidRPr="006B42D6">
              <w:rPr>
                <w:sz w:val="16"/>
                <w:szCs w:val="16"/>
              </w:rPr>
              <w:t>6.6</w:t>
            </w:r>
          </w:p>
        </w:tc>
        <w:tc>
          <w:tcPr>
            <w:tcW w:w="287" w:type="pct"/>
            <w:tcBorders>
              <w:top w:val="nil"/>
              <w:left w:val="nil"/>
              <w:bottom w:val="nil"/>
              <w:right w:val="nil"/>
            </w:tcBorders>
            <w:shd w:val="clear" w:color="auto" w:fill="auto"/>
            <w:noWrap/>
            <w:vAlign w:val="center"/>
            <w:hideMark/>
          </w:tcPr>
          <w:p w14:paraId="2E88EF7D" w14:textId="77777777" w:rsidR="008A1E55" w:rsidRPr="006B42D6" w:rsidRDefault="008A1E55" w:rsidP="00E16CAE">
            <w:pPr>
              <w:jc w:val="right"/>
              <w:rPr>
                <w:sz w:val="16"/>
                <w:szCs w:val="16"/>
              </w:rPr>
            </w:pPr>
            <w:r w:rsidRPr="006B42D6">
              <w:rPr>
                <w:sz w:val="16"/>
                <w:szCs w:val="16"/>
              </w:rPr>
              <w:t>-</w:t>
            </w:r>
          </w:p>
        </w:tc>
        <w:tc>
          <w:tcPr>
            <w:tcW w:w="287" w:type="pct"/>
            <w:tcBorders>
              <w:top w:val="nil"/>
              <w:left w:val="nil"/>
              <w:bottom w:val="nil"/>
              <w:right w:val="nil"/>
            </w:tcBorders>
            <w:shd w:val="clear" w:color="auto" w:fill="auto"/>
            <w:noWrap/>
            <w:vAlign w:val="center"/>
            <w:hideMark/>
          </w:tcPr>
          <w:p w14:paraId="565848EE" w14:textId="77777777" w:rsidR="008A1E55" w:rsidRPr="006B42D6" w:rsidRDefault="008A1E55" w:rsidP="00E16CAE">
            <w:pPr>
              <w:jc w:val="right"/>
              <w:rPr>
                <w:sz w:val="16"/>
                <w:szCs w:val="16"/>
              </w:rPr>
            </w:pPr>
            <w:r w:rsidRPr="006B42D6">
              <w:rPr>
                <w:sz w:val="16"/>
                <w:szCs w:val="16"/>
              </w:rPr>
              <w:t>-</w:t>
            </w:r>
          </w:p>
        </w:tc>
        <w:tc>
          <w:tcPr>
            <w:tcW w:w="315" w:type="pct"/>
            <w:tcBorders>
              <w:top w:val="nil"/>
              <w:left w:val="nil"/>
              <w:bottom w:val="nil"/>
              <w:right w:val="nil"/>
            </w:tcBorders>
            <w:shd w:val="clear" w:color="auto" w:fill="auto"/>
            <w:noWrap/>
            <w:vAlign w:val="center"/>
            <w:hideMark/>
          </w:tcPr>
          <w:p w14:paraId="13F2A6FC" w14:textId="77777777" w:rsidR="008A1E55" w:rsidRPr="006B42D6" w:rsidRDefault="008A1E55" w:rsidP="00E16CAE">
            <w:pPr>
              <w:jc w:val="right"/>
              <w:rPr>
                <w:sz w:val="16"/>
                <w:szCs w:val="16"/>
              </w:rPr>
            </w:pPr>
            <w:r w:rsidRPr="006B42D6">
              <w:rPr>
                <w:sz w:val="16"/>
                <w:szCs w:val="16"/>
              </w:rPr>
              <w:t>9.2</w:t>
            </w:r>
          </w:p>
        </w:tc>
        <w:tc>
          <w:tcPr>
            <w:tcW w:w="226" w:type="pct"/>
            <w:tcBorders>
              <w:top w:val="nil"/>
              <w:left w:val="nil"/>
              <w:bottom w:val="nil"/>
              <w:right w:val="nil"/>
            </w:tcBorders>
            <w:shd w:val="clear" w:color="auto" w:fill="auto"/>
            <w:noWrap/>
            <w:vAlign w:val="center"/>
            <w:hideMark/>
          </w:tcPr>
          <w:p w14:paraId="5EFCC0D3" w14:textId="77777777" w:rsidR="008A1E55" w:rsidRPr="006B42D6" w:rsidRDefault="008A1E55" w:rsidP="00E16CAE">
            <w:pPr>
              <w:jc w:val="right"/>
              <w:rPr>
                <w:sz w:val="16"/>
                <w:szCs w:val="16"/>
              </w:rPr>
            </w:pPr>
            <w:r w:rsidRPr="006B42D6">
              <w:rPr>
                <w:sz w:val="16"/>
                <w:szCs w:val="16"/>
              </w:rPr>
              <w:t>3.0</w:t>
            </w:r>
          </w:p>
        </w:tc>
      </w:tr>
      <w:tr w:rsidR="006B42D6" w:rsidRPr="006B42D6" w14:paraId="6A0CD1EA" w14:textId="77777777" w:rsidTr="0024189E">
        <w:trPr>
          <w:trHeight w:hRule="exact" w:val="198"/>
        </w:trPr>
        <w:tc>
          <w:tcPr>
            <w:tcW w:w="653" w:type="pct"/>
            <w:tcBorders>
              <w:top w:val="nil"/>
              <w:left w:val="nil"/>
              <w:bottom w:val="nil"/>
              <w:right w:val="nil"/>
            </w:tcBorders>
            <w:shd w:val="clear" w:color="auto" w:fill="auto"/>
            <w:noWrap/>
            <w:vAlign w:val="center"/>
            <w:hideMark/>
          </w:tcPr>
          <w:p w14:paraId="05D382B6" w14:textId="77777777" w:rsidR="008A1E55" w:rsidRPr="006B42D6" w:rsidRDefault="008A1E55" w:rsidP="00E16CAE">
            <w:pPr>
              <w:rPr>
                <w:sz w:val="16"/>
                <w:szCs w:val="16"/>
              </w:rPr>
            </w:pPr>
            <w:r w:rsidRPr="006B42D6">
              <w:rPr>
                <w:sz w:val="16"/>
                <w:szCs w:val="16"/>
              </w:rPr>
              <w:t>Songwe</w:t>
            </w:r>
          </w:p>
        </w:tc>
        <w:tc>
          <w:tcPr>
            <w:tcW w:w="302" w:type="pct"/>
            <w:tcBorders>
              <w:top w:val="nil"/>
              <w:left w:val="nil"/>
              <w:bottom w:val="nil"/>
              <w:right w:val="nil"/>
            </w:tcBorders>
            <w:shd w:val="clear" w:color="auto" w:fill="auto"/>
            <w:noWrap/>
            <w:vAlign w:val="center"/>
            <w:hideMark/>
          </w:tcPr>
          <w:p w14:paraId="1E4A395D" w14:textId="77777777" w:rsidR="008A1E55" w:rsidRPr="006B42D6" w:rsidRDefault="008A1E55" w:rsidP="00E16CAE">
            <w:pPr>
              <w:jc w:val="right"/>
              <w:rPr>
                <w:sz w:val="16"/>
                <w:szCs w:val="16"/>
              </w:rPr>
            </w:pPr>
            <w:r w:rsidRPr="006B42D6">
              <w:rPr>
                <w:sz w:val="16"/>
                <w:szCs w:val="16"/>
              </w:rPr>
              <w:t>3.3</w:t>
            </w:r>
          </w:p>
        </w:tc>
        <w:tc>
          <w:tcPr>
            <w:tcW w:w="343" w:type="pct"/>
            <w:tcBorders>
              <w:top w:val="nil"/>
              <w:left w:val="nil"/>
              <w:bottom w:val="nil"/>
              <w:right w:val="nil"/>
            </w:tcBorders>
            <w:shd w:val="clear" w:color="auto" w:fill="auto"/>
            <w:noWrap/>
            <w:vAlign w:val="center"/>
            <w:hideMark/>
          </w:tcPr>
          <w:p w14:paraId="208775EF" w14:textId="77777777" w:rsidR="008A1E55" w:rsidRPr="006B42D6" w:rsidRDefault="008A1E55" w:rsidP="00E16CAE">
            <w:pPr>
              <w:jc w:val="right"/>
              <w:rPr>
                <w:sz w:val="16"/>
                <w:szCs w:val="16"/>
              </w:rPr>
            </w:pPr>
            <w:r w:rsidRPr="006B42D6">
              <w:rPr>
                <w:sz w:val="16"/>
                <w:szCs w:val="16"/>
              </w:rPr>
              <w:t>2.6</w:t>
            </w:r>
          </w:p>
        </w:tc>
        <w:tc>
          <w:tcPr>
            <w:tcW w:w="400" w:type="pct"/>
            <w:tcBorders>
              <w:top w:val="nil"/>
              <w:left w:val="nil"/>
              <w:bottom w:val="nil"/>
              <w:right w:val="nil"/>
            </w:tcBorders>
            <w:shd w:val="clear" w:color="auto" w:fill="auto"/>
            <w:noWrap/>
            <w:vAlign w:val="center"/>
            <w:hideMark/>
          </w:tcPr>
          <w:p w14:paraId="07C420CD" w14:textId="77777777" w:rsidR="008A1E55" w:rsidRPr="006B42D6" w:rsidRDefault="008A1E55" w:rsidP="00E16CAE">
            <w:pPr>
              <w:jc w:val="right"/>
              <w:rPr>
                <w:sz w:val="16"/>
                <w:szCs w:val="16"/>
              </w:rPr>
            </w:pPr>
            <w:r w:rsidRPr="006B42D6">
              <w:rPr>
                <w:sz w:val="16"/>
                <w:szCs w:val="16"/>
              </w:rPr>
              <w:t>2.3</w:t>
            </w:r>
          </w:p>
        </w:tc>
        <w:tc>
          <w:tcPr>
            <w:tcW w:w="363" w:type="pct"/>
            <w:tcBorders>
              <w:top w:val="nil"/>
              <w:left w:val="nil"/>
              <w:bottom w:val="nil"/>
              <w:right w:val="nil"/>
            </w:tcBorders>
            <w:shd w:val="clear" w:color="auto" w:fill="auto"/>
            <w:noWrap/>
            <w:vAlign w:val="center"/>
            <w:hideMark/>
          </w:tcPr>
          <w:p w14:paraId="0A2B1D2F" w14:textId="77777777" w:rsidR="008A1E55" w:rsidRPr="006B42D6" w:rsidRDefault="008A1E55" w:rsidP="00E16CAE">
            <w:pPr>
              <w:jc w:val="right"/>
              <w:rPr>
                <w:sz w:val="16"/>
                <w:szCs w:val="16"/>
              </w:rPr>
            </w:pPr>
            <w:r w:rsidRPr="006B42D6">
              <w:rPr>
                <w:sz w:val="16"/>
                <w:szCs w:val="16"/>
              </w:rPr>
              <w:t>2.1</w:t>
            </w:r>
          </w:p>
        </w:tc>
        <w:tc>
          <w:tcPr>
            <w:tcW w:w="373" w:type="pct"/>
            <w:tcBorders>
              <w:top w:val="nil"/>
              <w:left w:val="nil"/>
              <w:bottom w:val="nil"/>
              <w:right w:val="nil"/>
            </w:tcBorders>
            <w:shd w:val="clear" w:color="auto" w:fill="auto"/>
            <w:noWrap/>
            <w:vAlign w:val="center"/>
            <w:hideMark/>
          </w:tcPr>
          <w:p w14:paraId="330B5D35" w14:textId="77777777" w:rsidR="008A1E55" w:rsidRPr="006B42D6" w:rsidRDefault="008A1E55" w:rsidP="00E16CAE">
            <w:pPr>
              <w:jc w:val="right"/>
              <w:rPr>
                <w:sz w:val="16"/>
                <w:szCs w:val="16"/>
              </w:rPr>
            </w:pPr>
            <w:r w:rsidRPr="006B42D6">
              <w:rPr>
                <w:sz w:val="16"/>
                <w:szCs w:val="16"/>
              </w:rPr>
              <w:t>2.2</w:t>
            </w:r>
          </w:p>
        </w:tc>
        <w:tc>
          <w:tcPr>
            <w:tcW w:w="443" w:type="pct"/>
            <w:tcBorders>
              <w:top w:val="nil"/>
              <w:left w:val="nil"/>
              <w:bottom w:val="nil"/>
              <w:right w:val="nil"/>
            </w:tcBorders>
            <w:shd w:val="clear" w:color="auto" w:fill="auto"/>
            <w:noWrap/>
            <w:vAlign w:val="center"/>
            <w:hideMark/>
          </w:tcPr>
          <w:p w14:paraId="56037885" w14:textId="77777777" w:rsidR="008A1E55" w:rsidRPr="006B42D6" w:rsidRDefault="008A1E55" w:rsidP="00E16CAE">
            <w:pPr>
              <w:jc w:val="right"/>
              <w:rPr>
                <w:sz w:val="16"/>
                <w:szCs w:val="16"/>
              </w:rPr>
            </w:pPr>
            <w:r w:rsidRPr="006B42D6">
              <w:rPr>
                <w:sz w:val="16"/>
                <w:szCs w:val="16"/>
              </w:rPr>
              <w:t>7.6</w:t>
            </w:r>
          </w:p>
        </w:tc>
        <w:tc>
          <w:tcPr>
            <w:tcW w:w="371" w:type="pct"/>
            <w:tcBorders>
              <w:top w:val="nil"/>
              <w:left w:val="nil"/>
              <w:bottom w:val="nil"/>
              <w:right w:val="nil"/>
            </w:tcBorders>
            <w:shd w:val="clear" w:color="auto" w:fill="auto"/>
            <w:noWrap/>
            <w:vAlign w:val="center"/>
            <w:hideMark/>
          </w:tcPr>
          <w:p w14:paraId="5E335DFB" w14:textId="77777777" w:rsidR="008A1E55" w:rsidRPr="006B42D6" w:rsidRDefault="008A1E55" w:rsidP="00E16CAE">
            <w:pPr>
              <w:jc w:val="right"/>
              <w:rPr>
                <w:sz w:val="16"/>
                <w:szCs w:val="16"/>
              </w:rPr>
            </w:pPr>
            <w:r w:rsidRPr="006B42D6">
              <w:rPr>
                <w:sz w:val="16"/>
                <w:szCs w:val="16"/>
              </w:rPr>
              <w:t>2.1</w:t>
            </w:r>
          </w:p>
        </w:tc>
        <w:tc>
          <w:tcPr>
            <w:tcW w:w="352" w:type="pct"/>
            <w:tcBorders>
              <w:top w:val="nil"/>
              <w:left w:val="nil"/>
              <w:bottom w:val="nil"/>
              <w:right w:val="nil"/>
            </w:tcBorders>
            <w:shd w:val="clear" w:color="auto" w:fill="auto"/>
            <w:noWrap/>
            <w:vAlign w:val="center"/>
            <w:hideMark/>
          </w:tcPr>
          <w:p w14:paraId="73A953F3" w14:textId="77777777" w:rsidR="008A1E55" w:rsidRPr="006B42D6" w:rsidRDefault="008A1E55" w:rsidP="00E16CAE">
            <w:pPr>
              <w:jc w:val="right"/>
              <w:rPr>
                <w:sz w:val="16"/>
                <w:szCs w:val="16"/>
              </w:rPr>
            </w:pPr>
            <w:r w:rsidRPr="006B42D6">
              <w:rPr>
                <w:sz w:val="16"/>
                <w:szCs w:val="16"/>
              </w:rPr>
              <w:t>1.8</w:t>
            </w:r>
          </w:p>
        </w:tc>
        <w:tc>
          <w:tcPr>
            <w:tcW w:w="287" w:type="pct"/>
            <w:tcBorders>
              <w:top w:val="nil"/>
              <w:left w:val="nil"/>
              <w:bottom w:val="nil"/>
              <w:right w:val="nil"/>
            </w:tcBorders>
            <w:shd w:val="clear" w:color="auto" w:fill="auto"/>
            <w:noWrap/>
            <w:vAlign w:val="center"/>
            <w:hideMark/>
          </w:tcPr>
          <w:p w14:paraId="42069573" w14:textId="77777777" w:rsidR="008A1E55" w:rsidRPr="006B42D6" w:rsidRDefault="008A1E55" w:rsidP="00E16CAE">
            <w:pPr>
              <w:jc w:val="right"/>
              <w:rPr>
                <w:sz w:val="16"/>
                <w:szCs w:val="16"/>
              </w:rPr>
            </w:pPr>
            <w:r w:rsidRPr="006B42D6">
              <w:rPr>
                <w:sz w:val="16"/>
                <w:szCs w:val="16"/>
              </w:rPr>
              <w:t>7.9</w:t>
            </w:r>
          </w:p>
        </w:tc>
        <w:tc>
          <w:tcPr>
            <w:tcW w:w="287" w:type="pct"/>
            <w:tcBorders>
              <w:top w:val="nil"/>
              <w:left w:val="nil"/>
              <w:bottom w:val="nil"/>
              <w:right w:val="nil"/>
            </w:tcBorders>
            <w:shd w:val="clear" w:color="auto" w:fill="auto"/>
            <w:noWrap/>
            <w:vAlign w:val="center"/>
            <w:hideMark/>
          </w:tcPr>
          <w:p w14:paraId="11A04681" w14:textId="77777777" w:rsidR="008A1E55" w:rsidRPr="006B42D6" w:rsidRDefault="008A1E55" w:rsidP="00E16CAE">
            <w:pPr>
              <w:jc w:val="right"/>
              <w:rPr>
                <w:sz w:val="16"/>
                <w:szCs w:val="16"/>
              </w:rPr>
            </w:pPr>
            <w:r w:rsidRPr="006B42D6">
              <w:rPr>
                <w:sz w:val="16"/>
                <w:szCs w:val="16"/>
              </w:rPr>
              <w:t>-</w:t>
            </w:r>
          </w:p>
        </w:tc>
        <w:tc>
          <w:tcPr>
            <w:tcW w:w="287" w:type="pct"/>
            <w:tcBorders>
              <w:top w:val="nil"/>
              <w:left w:val="nil"/>
              <w:bottom w:val="nil"/>
              <w:right w:val="nil"/>
            </w:tcBorders>
            <w:shd w:val="clear" w:color="auto" w:fill="auto"/>
            <w:noWrap/>
            <w:vAlign w:val="center"/>
            <w:hideMark/>
          </w:tcPr>
          <w:p w14:paraId="4CBD81A7" w14:textId="77777777" w:rsidR="008A1E55" w:rsidRPr="006B42D6" w:rsidRDefault="008A1E55" w:rsidP="00E16CAE">
            <w:pPr>
              <w:jc w:val="right"/>
              <w:rPr>
                <w:sz w:val="16"/>
                <w:szCs w:val="16"/>
              </w:rPr>
            </w:pPr>
            <w:r w:rsidRPr="006B42D6">
              <w:rPr>
                <w:sz w:val="16"/>
                <w:szCs w:val="16"/>
              </w:rPr>
              <w:t>-</w:t>
            </w:r>
          </w:p>
        </w:tc>
        <w:tc>
          <w:tcPr>
            <w:tcW w:w="315" w:type="pct"/>
            <w:tcBorders>
              <w:top w:val="nil"/>
              <w:left w:val="nil"/>
              <w:bottom w:val="nil"/>
              <w:right w:val="nil"/>
            </w:tcBorders>
            <w:shd w:val="clear" w:color="auto" w:fill="auto"/>
            <w:noWrap/>
            <w:vAlign w:val="center"/>
            <w:hideMark/>
          </w:tcPr>
          <w:p w14:paraId="1D23C5C0" w14:textId="77777777" w:rsidR="008A1E55" w:rsidRPr="006B42D6" w:rsidRDefault="008A1E55" w:rsidP="00E16CAE">
            <w:pPr>
              <w:jc w:val="right"/>
              <w:rPr>
                <w:sz w:val="16"/>
                <w:szCs w:val="16"/>
              </w:rPr>
            </w:pPr>
            <w:r w:rsidRPr="006B42D6">
              <w:rPr>
                <w:sz w:val="16"/>
                <w:szCs w:val="16"/>
              </w:rPr>
              <w:t>1.2</w:t>
            </w:r>
          </w:p>
        </w:tc>
        <w:tc>
          <w:tcPr>
            <w:tcW w:w="226" w:type="pct"/>
            <w:tcBorders>
              <w:top w:val="nil"/>
              <w:left w:val="nil"/>
              <w:bottom w:val="nil"/>
              <w:right w:val="nil"/>
            </w:tcBorders>
            <w:shd w:val="clear" w:color="auto" w:fill="auto"/>
            <w:noWrap/>
            <w:vAlign w:val="center"/>
            <w:hideMark/>
          </w:tcPr>
          <w:p w14:paraId="006627AD" w14:textId="77777777" w:rsidR="008A1E55" w:rsidRPr="006B42D6" w:rsidRDefault="008A1E55" w:rsidP="00E16CAE">
            <w:pPr>
              <w:jc w:val="right"/>
              <w:rPr>
                <w:sz w:val="16"/>
                <w:szCs w:val="16"/>
              </w:rPr>
            </w:pPr>
            <w:r w:rsidRPr="006B42D6">
              <w:rPr>
                <w:sz w:val="16"/>
                <w:szCs w:val="16"/>
              </w:rPr>
              <w:t>7.4</w:t>
            </w:r>
          </w:p>
        </w:tc>
      </w:tr>
      <w:tr w:rsidR="006B42D6" w:rsidRPr="006B42D6" w14:paraId="1CAE2C7D" w14:textId="77777777" w:rsidTr="0024189E">
        <w:trPr>
          <w:trHeight w:hRule="exact" w:val="227"/>
        </w:trPr>
        <w:tc>
          <w:tcPr>
            <w:tcW w:w="653" w:type="pct"/>
            <w:tcBorders>
              <w:top w:val="single" w:sz="4" w:space="0" w:color="auto"/>
              <w:left w:val="nil"/>
              <w:bottom w:val="single" w:sz="4" w:space="0" w:color="auto"/>
              <w:right w:val="nil"/>
            </w:tcBorders>
            <w:shd w:val="clear" w:color="auto" w:fill="E2EFD9" w:themeFill="accent6" w:themeFillTint="33"/>
            <w:noWrap/>
            <w:vAlign w:val="center"/>
            <w:hideMark/>
          </w:tcPr>
          <w:p w14:paraId="08DDF573" w14:textId="1D38D72D" w:rsidR="008A1E55" w:rsidRPr="006B42D6" w:rsidRDefault="00EA1552" w:rsidP="00257DF7">
            <w:pPr>
              <w:jc w:val="left"/>
              <w:rPr>
                <w:b/>
                <w:bCs/>
                <w:sz w:val="16"/>
                <w:szCs w:val="16"/>
              </w:rPr>
            </w:pPr>
            <w:r>
              <w:rPr>
                <w:b/>
                <w:bCs/>
                <w:sz w:val="16"/>
                <w:szCs w:val="16"/>
              </w:rPr>
              <w:t>Mainland Tanzania</w:t>
            </w:r>
          </w:p>
        </w:tc>
        <w:tc>
          <w:tcPr>
            <w:tcW w:w="302" w:type="pct"/>
            <w:tcBorders>
              <w:top w:val="single" w:sz="4" w:space="0" w:color="auto"/>
              <w:left w:val="nil"/>
              <w:bottom w:val="single" w:sz="4" w:space="0" w:color="auto"/>
              <w:right w:val="nil"/>
            </w:tcBorders>
            <w:shd w:val="clear" w:color="auto" w:fill="E2EFD9" w:themeFill="accent6" w:themeFillTint="33"/>
            <w:noWrap/>
            <w:vAlign w:val="center"/>
            <w:hideMark/>
          </w:tcPr>
          <w:p w14:paraId="461DECCE" w14:textId="77777777" w:rsidR="008A1E55" w:rsidRPr="006B42D6" w:rsidRDefault="008A1E55" w:rsidP="00E16CAE">
            <w:pPr>
              <w:jc w:val="right"/>
              <w:rPr>
                <w:b/>
                <w:bCs/>
                <w:sz w:val="16"/>
                <w:szCs w:val="16"/>
              </w:rPr>
            </w:pPr>
            <w:r w:rsidRPr="006B42D6">
              <w:rPr>
                <w:b/>
                <w:bCs/>
                <w:sz w:val="16"/>
                <w:szCs w:val="16"/>
              </w:rPr>
              <w:t>100.0</w:t>
            </w:r>
          </w:p>
        </w:tc>
        <w:tc>
          <w:tcPr>
            <w:tcW w:w="343" w:type="pct"/>
            <w:tcBorders>
              <w:top w:val="single" w:sz="4" w:space="0" w:color="auto"/>
              <w:left w:val="nil"/>
              <w:bottom w:val="single" w:sz="4" w:space="0" w:color="auto"/>
              <w:right w:val="nil"/>
            </w:tcBorders>
            <w:shd w:val="clear" w:color="auto" w:fill="E2EFD9" w:themeFill="accent6" w:themeFillTint="33"/>
            <w:noWrap/>
            <w:vAlign w:val="center"/>
            <w:hideMark/>
          </w:tcPr>
          <w:p w14:paraId="0512853D" w14:textId="77777777" w:rsidR="008A1E55" w:rsidRPr="006B42D6" w:rsidRDefault="008A1E55" w:rsidP="00E16CAE">
            <w:pPr>
              <w:jc w:val="right"/>
              <w:rPr>
                <w:b/>
                <w:bCs/>
                <w:sz w:val="16"/>
                <w:szCs w:val="16"/>
              </w:rPr>
            </w:pPr>
            <w:r w:rsidRPr="006B42D6">
              <w:rPr>
                <w:b/>
                <w:bCs/>
                <w:sz w:val="16"/>
                <w:szCs w:val="16"/>
              </w:rPr>
              <w:t>100.0</w:t>
            </w:r>
          </w:p>
        </w:tc>
        <w:tc>
          <w:tcPr>
            <w:tcW w:w="400" w:type="pct"/>
            <w:tcBorders>
              <w:top w:val="single" w:sz="4" w:space="0" w:color="auto"/>
              <w:left w:val="nil"/>
              <w:bottom w:val="single" w:sz="4" w:space="0" w:color="auto"/>
              <w:right w:val="nil"/>
            </w:tcBorders>
            <w:shd w:val="clear" w:color="auto" w:fill="E2EFD9" w:themeFill="accent6" w:themeFillTint="33"/>
            <w:noWrap/>
            <w:vAlign w:val="center"/>
            <w:hideMark/>
          </w:tcPr>
          <w:p w14:paraId="328E25F1" w14:textId="77777777" w:rsidR="008A1E55" w:rsidRPr="006B42D6" w:rsidRDefault="008A1E55" w:rsidP="00E16CAE">
            <w:pPr>
              <w:jc w:val="right"/>
              <w:rPr>
                <w:b/>
                <w:bCs/>
                <w:sz w:val="16"/>
                <w:szCs w:val="16"/>
              </w:rPr>
            </w:pPr>
            <w:r w:rsidRPr="006B42D6">
              <w:rPr>
                <w:b/>
                <w:bCs/>
                <w:sz w:val="16"/>
                <w:szCs w:val="16"/>
              </w:rPr>
              <w:t>100.0</w:t>
            </w:r>
          </w:p>
        </w:tc>
        <w:tc>
          <w:tcPr>
            <w:tcW w:w="363" w:type="pct"/>
            <w:tcBorders>
              <w:top w:val="single" w:sz="4" w:space="0" w:color="auto"/>
              <w:left w:val="nil"/>
              <w:bottom w:val="single" w:sz="4" w:space="0" w:color="auto"/>
              <w:right w:val="nil"/>
            </w:tcBorders>
            <w:shd w:val="clear" w:color="auto" w:fill="E2EFD9" w:themeFill="accent6" w:themeFillTint="33"/>
            <w:noWrap/>
            <w:vAlign w:val="center"/>
            <w:hideMark/>
          </w:tcPr>
          <w:p w14:paraId="12524B8C" w14:textId="77777777" w:rsidR="008A1E55" w:rsidRPr="006B42D6" w:rsidRDefault="008A1E55" w:rsidP="00E16CAE">
            <w:pPr>
              <w:jc w:val="right"/>
              <w:rPr>
                <w:b/>
                <w:bCs/>
                <w:sz w:val="16"/>
                <w:szCs w:val="16"/>
              </w:rPr>
            </w:pPr>
            <w:r w:rsidRPr="006B42D6">
              <w:rPr>
                <w:b/>
                <w:bCs/>
                <w:sz w:val="16"/>
                <w:szCs w:val="16"/>
              </w:rPr>
              <w:t>100.0</w:t>
            </w:r>
          </w:p>
        </w:tc>
        <w:tc>
          <w:tcPr>
            <w:tcW w:w="373" w:type="pct"/>
            <w:tcBorders>
              <w:top w:val="single" w:sz="4" w:space="0" w:color="auto"/>
              <w:left w:val="nil"/>
              <w:bottom w:val="single" w:sz="4" w:space="0" w:color="auto"/>
              <w:right w:val="nil"/>
            </w:tcBorders>
            <w:shd w:val="clear" w:color="auto" w:fill="E2EFD9" w:themeFill="accent6" w:themeFillTint="33"/>
            <w:noWrap/>
            <w:vAlign w:val="center"/>
            <w:hideMark/>
          </w:tcPr>
          <w:p w14:paraId="7A28E7CA" w14:textId="77777777" w:rsidR="008A1E55" w:rsidRPr="006B42D6" w:rsidRDefault="008A1E55" w:rsidP="00E16CAE">
            <w:pPr>
              <w:jc w:val="right"/>
              <w:rPr>
                <w:b/>
                <w:bCs/>
                <w:sz w:val="16"/>
                <w:szCs w:val="16"/>
              </w:rPr>
            </w:pPr>
            <w:r w:rsidRPr="006B42D6">
              <w:rPr>
                <w:b/>
                <w:bCs/>
                <w:sz w:val="16"/>
                <w:szCs w:val="16"/>
              </w:rPr>
              <w:t>100.0</w:t>
            </w:r>
          </w:p>
        </w:tc>
        <w:tc>
          <w:tcPr>
            <w:tcW w:w="443" w:type="pct"/>
            <w:tcBorders>
              <w:top w:val="single" w:sz="4" w:space="0" w:color="auto"/>
              <w:left w:val="nil"/>
              <w:bottom w:val="single" w:sz="4" w:space="0" w:color="auto"/>
              <w:right w:val="nil"/>
            </w:tcBorders>
            <w:shd w:val="clear" w:color="auto" w:fill="E2EFD9" w:themeFill="accent6" w:themeFillTint="33"/>
            <w:noWrap/>
            <w:vAlign w:val="center"/>
            <w:hideMark/>
          </w:tcPr>
          <w:p w14:paraId="0E51177D" w14:textId="77777777" w:rsidR="008A1E55" w:rsidRPr="006B42D6" w:rsidRDefault="008A1E55" w:rsidP="00E16CAE">
            <w:pPr>
              <w:jc w:val="right"/>
              <w:rPr>
                <w:b/>
                <w:bCs/>
                <w:sz w:val="16"/>
                <w:szCs w:val="16"/>
              </w:rPr>
            </w:pPr>
            <w:r w:rsidRPr="006B42D6">
              <w:rPr>
                <w:b/>
                <w:bCs/>
                <w:sz w:val="16"/>
                <w:szCs w:val="16"/>
              </w:rPr>
              <w:t>100.0</w:t>
            </w:r>
          </w:p>
        </w:tc>
        <w:tc>
          <w:tcPr>
            <w:tcW w:w="371" w:type="pct"/>
            <w:tcBorders>
              <w:top w:val="single" w:sz="4" w:space="0" w:color="auto"/>
              <w:left w:val="nil"/>
              <w:bottom w:val="single" w:sz="4" w:space="0" w:color="auto"/>
              <w:right w:val="nil"/>
            </w:tcBorders>
            <w:shd w:val="clear" w:color="auto" w:fill="E2EFD9" w:themeFill="accent6" w:themeFillTint="33"/>
            <w:noWrap/>
            <w:vAlign w:val="center"/>
            <w:hideMark/>
          </w:tcPr>
          <w:p w14:paraId="57FEC77D" w14:textId="77777777" w:rsidR="008A1E55" w:rsidRPr="006B42D6" w:rsidRDefault="008A1E55" w:rsidP="00E16CAE">
            <w:pPr>
              <w:jc w:val="right"/>
              <w:rPr>
                <w:b/>
                <w:bCs/>
                <w:sz w:val="16"/>
                <w:szCs w:val="16"/>
              </w:rPr>
            </w:pPr>
            <w:r w:rsidRPr="006B42D6">
              <w:rPr>
                <w:b/>
                <w:bCs/>
                <w:sz w:val="16"/>
                <w:szCs w:val="16"/>
              </w:rPr>
              <w:t>100.0</w:t>
            </w:r>
          </w:p>
        </w:tc>
        <w:tc>
          <w:tcPr>
            <w:tcW w:w="352" w:type="pct"/>
            <w:tcBorders>
              <w:top w:val="single" w:sz="4" w:space="0" w:color="auto"/>
              <w:left w:val="nil"/>
              <w:bottom w:val="single" w:sz="4" w:space="0" w:color="auto"/>
              <w:right w:val="nil"/>
            </w:tcBorders>
            <w:shd w:val="clear" w:color="auto" w:fill="E2EFD9" w:themeFill="accent6" w:themeFillTint="33"/>
            <w:noWrap/>
            <w:vAlign w:val="center"/>
            <w:hideMark/>
          </w:tcPr>
          <w:p w14:paraId="6437DF46" w14:textId="77777777" w:rsidR="008A1E55" w:rsidRPr="006B42D6" w:rsidRDefault="008A1E55" w:rsidP="00E16CAE">
            <w:pPr>
              <w:jc w:val="right"/>
              <w:rPr>
                <w:b/>
                <w:bCs/>
                <w:sz w:val="16"/>
                <w:szCs w:val="16"/>
              </w:rPr>
            </w:pPr>
            <w:r w:rsidRPr="006B42D6">
              <w:rPr>
                <w:b/>
                <w:bCs/>
                <w:sz w:val="16"/>
                <w:szCs w:val="16"/>
              </w:rPr>
              <w:t>100.0</w:t>
            </w:r>
          </w:p>
        </w:tc>
        <w:tc>
          <w:tcPr>
            <w:tcW w:w="287" w:type="pct"/>
            <w:tcBorders>
              <w:top w:val="single" w:sz="4" w:space="0" w:color="auto"/>
              <w:left w:val="nil"/>
              <w:bottom w:val="single" w:sz="4" w:space="0" w:color="auto"/>
              <w:right w:val="nil"/>
            </w:tcBorders>
            <w:shd w:val="clear" w:color="auto" w:fill="E2EFD9" w:themeFill="accent6" w:themeFillTint="33"/>
            <w:noWrap/>
            <w:vAlign w:val="center"/>
            <w:hideMark/>
          </w:tcPr>
          <w:p w14:paraId="4E7D6A9A" w14:textId="77777777" w:rsidR="008A1E55" w:rsidRPr="006B42D6" w:rsidRDefault="008A1E55" w:rsidP="00E16CAE">
            <w:pPr>
              <w:jc w:val="right"/>
              <w:rPr>
                <w:b/>
                <w:bCs/>
                <w:sz w:val="16"/>
                <w:szCs w:val="16"/>
              </w:rPr>
            </w:pPr>
            <w:r w:rsidRPr="006B42D6">
              <w:rPr>
                <w:b/>
                <w:bCs/>
                <w:sz w:val="16"/>
                <w:szCs w:val="16"/>
              </w:rPr>
              <w:t>100.0</w:t>
            </w:r>
          </w:p>
        </w:tc>
        <w:tc>
          <w:tcPr>
            <w:tcW w:w="287" w:type="pct"/>
            <w:tcBorders>
              <w:top w:val="single" w:sz="4" w:space="0" w:color="auto"/>
              <w:left w:val="nil"/>
              <w:bottom w:val="single" w:sz="4" w:space="0" w:color="auto"/>
              <w:right w:val="nil"/>
            </w:tcBorders>
            <w:shd w:val="clear" w:color="auto" w:fill="E2EFD9" w:themeFill="accent6" w:themeFillTint="33"/>
            <w:noWrap/>
            <w:vAlign w:val="center"/>
            <w:hideMark/>
          </w:tcPr>
          <w:p w14:paraId="3C6F7E8C" w14:textId="77777777" w:rsidR="008A1E55" w:rsidRPr="006B42D6" w:rsidRDefault="008A1E55" w:rsidP="00E16CAE">
            <w:pPr>
              <w:jc w:val="right"/>
              <w:rPr>
                <w:b/>
                <w:bCs/>
                <w:sz w:val="16"/>
                <w:szCs w:val="16"/>
              </w:rPr>
            </w:pPr>
            <w:r w:rsidRPr="006B42D6">
              <w:rPr>
                <w:b/>
                <w:bCs/>
                <w:sz w:val="16"/>
                <w:szCs w:val="16"/>
              </w:rPr>
              <w:t>100.0</w:t>
            </w:r>
          </w:p>
        </w:tc>
        <w:tc>
          <w:tcPr>
            <w:tcW w:w="287" w:type="pct"/>
            <w:tcBorders>
              <w:top w:val="single" w:sz="4" w:space="0" w:color="auto"/>
              <w:left w:val="nil"/>
              <w:bottom w:val="single" w:sz="4" w:space="0" w:color="auto"/>
              <w:right w:val="nil"/>
            </w:tcBorders>
            <w:shd w:val="clear" w:color="auto" w:fill="E2EFD9" w:themeFill="accent6" w:themeFillTint="33"/>
            <w:noWrap/>
            <w:vAlign w:val="center"/>
            <w:hideMark/>
          </w:tcPr>
          <w:p w14:paraId="1C568A37" w14:textId="77777777" w:rsidR="008A1E55" w:rsidRPr="006B42D6" w:rsidRDefault="008A1E55" w:rsidP="00E16CAE">
            <w:pPr>
              <w:jc w:val="right"/>
              <w:rPr>
                <w:b/>
                <w:bCs/>
                <w:sz w:val="16"/>
                <w:szCs w:val="16"/>
              </w:rPr>
            </w:pPr>
            <w:r w:rsidRPr="006B42D6">
              <w:rPr>
                <w:b/>
                <w:bCs/>
                <w:sz w:val="16"/>
                <w:szCs w:val="16"/>
              </w:rPr>
              <w:t>100.0</w:t>
            </w:r>
          </w:p>
        </w:tc>
        <w:tc>
          <w:tcPr>
            <w:tcW w:w="315" w:type="pct"/>
            <w:tcBorders>
              <w:top w:val="single" w:sz="4" w:space="0" w:color="auto"/>
              <w:left w:val="nil"/>
              <w:bottom w:val="single" w:sz="4" w:space="0" w:color="auto"/>
              <w:right w:val="nil"/>
            </w:tcBorders>
            <w:shd w:val="clear" w:color="auto" w:fill="E2EFD9" w:themeFill="accent6" w:themeFillTint="33"/>
            <w:noWrap/>
            <w:vAlign w:val="center"/>
            <w:hideMark/>
          </w:tcPr>
          <w:p w14:paraId="3F013327" w14:textId="77777777" w:rsidR="008A1E55" w:rsidRPr="006B42D6" w:rsidRDefault="008A1E55" w:rsidP="00E16CAE">
            <w:pPr>
              <w:jc w:val="right"/>
              <w:rPr>
                <w:b/>
                <w:bCs/>
                <w:sz w:val="16"/>
                <w:szCs w:val="16"/>
              </w:rPr>
            </w:pPr>
            <w:r w:rsidRPr="006B42D6">
              <w:rPr>
                <w:b/>
                <w:bCs/>
                <w:sz w:val="16"/>
                <w:szCs w:val="16"/>
              </w:rPr>
              <w:t>100.0</w:t>
            </w:r>
          </w:p>
        </w:tc>
        <w:tc>
          <w:tcPr>
            <w:tcW w:w="226" w:type="pct"/>
            <w:tcBorders>
              <w:top w:val="single" w:sz="4" w:space="0" w:color="auto"/>
              <w:left w:val="nil"/>
              <w:bottom w:val="single" w:sz="4" w:space="0" w:color="auto"/>
              <w:right w:val="nil"/>
            </w:tcBorders>
            <w:shd w:val="clear" w:color="auto" w:fill="E2EFD9" w:themeFill="accent6" w:themeFillTint="33"/>
            <w:noWrap/>
            <w:vAlign w:val="center"/>
            <w:hideMark/>
          </w:tcPr>
          <w:p w14:paraId="2C142A79" w14:textId="77777777" w:rsidR="008A1E55" w:rsidRPr="006B42D6" w:rsidRDefault="008A1E55" w:rsidP="00E16CAE">
            <w:pPr>
              <w:jc w:val="right"/>
              <w:rPr>
                <w:b/>
                <w:bCs/>
                <w:sz w:val="16"/>
                <w:szCs w:val="16"/>
              </w:rPr>
            </w:pPr>
            <w:r w:rsidRPr="006B42D6">
              <w:rPr>
                <w:b/>
                <w:bCs/>
                <w:sz w:val="16"/>
                <w:szCs w:val="16"/>
              </w:rPr>
              <w:t>100.0</w:t>
            </w:r>
          </w:p>
        </w:tc>
      </w:tr>
      <w:tr w:rsidR="006B42D6" w:rsidRPr="006B42D6" w14:paraId="0D89CA67" w14:textId="77777777" w:rsidTr="0024189E">
        <w:trPr>
          <w:trHeight w:hRule="exact" w:val="198"/>
        </w:trPr>
        <w:tc>
          <w:tcPr>
            <w:tcW w:w="653" w:type="pct"/>
            <w:tcBorders>
              <w:top w:val="nil"/>
              <w:left w:val="nil"/>
              <w:bottom w:val="nil"/>
              <w:right w:val="nil"/>
            </w:tcBorders>
            <w:shd w:val="clear" w:color="auto" w:fill="auto"/>
            <w:noWrap/>
            <w:vAlign w:val="center"/>
            <w:hideMark/>
          </w:tcPr>
          <w:p w14:paraId="60ED8AA7" w14:textId="77777777" w:rsidR="008A1E55" w:rsidRPr="006B42D6" w:rsidRDefault="008A1E55" w:rsidP="00E16CAE">
            <w:pPr>
              <w:rPr>
                <w:sz w:val="16"/>
                <w:szCs w:val="16"/>
              </w:rPr>
            </w:pPr>
            <w:r w:rsidRPr="006B42D6">
              <w:rPr>
                <w:sz w:val="16"/>
                <w:szCs w:val="16"/>
              </w:rPr>
              <w:t>Kaskazini Unguja</w:t>
            </w:r>
          </w:p>
        </w:tc>
        <w:tc>
          <w:tcPr>
            <w:tcW w:w="302" w:type="pct"/>
            <w:tcBorders>
              <w:top w:val="nil"/>
              <w:left w:val="nil"/>
              <w:bottom w:val="nil"/>
              <w:right w:val="nil"/>
            </w:tcBorders>
            <w:shd w:val="clear" w:color="auto" w:fill="auto"/>
            <w:noWrap/>
            <w:vAlign w:val="center"/>
            <w:hideMark/>
          </w:tcPr>
          <w:p w14:paraId="13ED214E" w14:textId="77777777" w:rsidR="008A1E55" w:rsidRPr="006B42D6" w:rsidRDefault="008A1E55" w:rsidP="00E16CAE">
            <w:pPr>
              <w:jc w:val="right"/>
              <w:rPr>
                <w:sz w:val="16"/>
                <w:szCs w:val="16"/>
              </w:rPr>
            </w:pPr>
            <w:r w:rsidRPr="006B42D6">
              <w:rPr>
                <w:sz w:val="16"/>
                <w:szCs w:val="16"/>
              </w:rPr>
              <w:t>19.1</w:t>
            </w:r>
          </w:p>
        </w:tc>
        <w:tc>
          <w:tcPr>
            <w:tcW w:w="343" w:type="pct"/>
            <w:tcBorders>
              <w:top w:val="nil"/>
              <w:left w:val="nil"/>
              <w:bottom w:val="nil"/>
              <w:right w:val="nil"/>
            </w:tcBorders>
            <w:shd w:val="clear" w:color="auto" w:fill="auto"/>
            <w:noWrap/>
            <w:vAlign w:val="center"/>
            <w:hideMark/>
          </w:tcPr>
          <w:p w14:paraId="0B2371C0" w14:textId="77777777" w:rsidR="008A1E55" w:rsidRPr="006B42D6" w:rsidRDefault="008A1E55" w:rsidP="00E16CAE">
            <w:pPr>
              <w:jc w:val="right"/>
              <w:rPr>
                <w:sz w:val="16"/>
                <w:szCs w:val="16"/>
              </w:rPr>
            </w:pPr>
            <w:r w:rsidRPr="006B42D6">
              <w:rPr>
                <w:sz w:val="16"/>
                <w:szCs w:val="16"/>
              </w:rPr>
              <w:t>11.9</w:t>
            </w:r>
          </w:p>
        </w:tc>
        <w:tc>
          <w:tcPr>
            <w:tcW w:w="400" w:type="pct"/>
            <w:tcBorders>
              <w:top w:val="nil"/>
              <w:left w:val="nil"/>
              <w:bottom w:val="nil"/>
              <w:right w:val="nil"/>
            </w:tcBorders>
            <w:shd w:val="clear" w:color="auto" w:fill="auto"/>
            <w:noWrap/>
            <w:vAlign w:val="center"/>
            <w:hideMark/>
          </w:tcPr>
          <w:p w14:paraId="69CF8001" w14:textId="77777777" w:rsidR="008A1E55" w:rsidRPr="006B42D6" w:rsidRDefault="008A1E55" w:rsidP="00E16CAE">
            <w:pPr>
              <w:jc w:val="right"/>
              <w:rPr>
                <w:sz w:val="16"/>
                <w:szCs w:val="16"/>
              </w:rPr>
            </w:pPr>
            <w:r w:rsidRPr="006B42D6">
              <w:rPr>
                <w:sz w:val="16"/>
                <w:szCs w:val="16"/>
              </w:rPr>
              <w:t>-</w:t>
            </w:r>
          </w:p>
        </w:tc>
        <w:tc>
          <w:tcPr>
            <w:tcW w:w="363" w:type="pct"/>
            <w:tcBorders>
              <w:top w:val="nil"/>
              <w:left w:val="nil"/>
              <w:bottom w:val="nil"/>
              <w:right w:val="nil"/>
            </w:tcBorders>
            <w:shd w:val="clear" w:color="auto" w:fill="auto"/>
            <w:noWrap/>
            <w:vAlign w:val="center"/>
            <w:hideMark/>
          </w:tcPr>
          <w:p w14:paraId="586E9B7A" w14:textId="77777777" w:rsidR="008A1E55" w:rsidRPr="006B42D6" w:rsidRDefault="008A1E55" w:rsidP="00E16CAE">
            <w:pPr>
              <w:jc w:val="right"/>
              <w:rPr>
                <w:sz w:val="16"/>
                <w:szCs w:val="16"/>
              </w:rPr>
            </w:pPr>
            <w:r w:rsidRPr="006B42D6">
              <w:rPr>
                <w:sz w:val="16"/>
                <w:szCs w:val="16"/>
              </w:rPr>
              <w:t>9.0</w:t>
            </w:r>
          </w:p>
        </w:tc>
        <w:tc>
          <w:tcPr>
            <w:tcW w:w="373" w:type="pct"/>
            <w:tcBorders>
              <w:top w:val="nil"/>
              <w:left w:val="nil"/>
              <w:bottom w:val="nil"/>
              <w:right w:val="nil"/>
            </w:tcBorders>
            <w:shd w:val="clear" w:color="auto" w:fill="auto"/>
            <w:noWrap/>
            <w:vAlign w:val="center"/>
            <w:hideMark/>
          </w:tcPr>
          <w:p w14:paraId="264F6D7D" w14:textId="77777777" w:rsidR="008A1E55" w:rsidRPr="006B42D6" w:rsidRDefault="008A1E55" w:rsidP="00E16CAE">
            <w:pPr>
              <w:jc w:val="right"/>
              <w:rPr>
                <w:sz w:val="16"/>
                <w:szCs w:val="16"/>
              </w:rPr>
            </w:pPr>
            <w:r w:rsidRPr="006B42D6">
              <w:rPr>
                <w:sz w:val="16"/>
                <w:szCs w:val="16"/>
              </w:rPr>
              <w:t>-</w:t>
            </w:r>
          </w:p>
        </w:tc>
        <w:tc>
          <w:tcPr>
            <w:tcW w:w="443" w:type="pct"/>
            <w:tcBorders>
              <w:top w:val="nil"/>
              <w:left w:val="nil"/>
              <w:bottom w:val="nil"/>
              <w:right w:val="nil"/>
            </w:tcBorders>
            <w:shd w:val="clear" w:color="auto" w:fill="auto"/>
            <w:noWrap/>
            <w:vAlign w:val="center"/>
            <w:hideMark/>
          </w:tcPr>
          <w:p w14:paraId="502829E7" w14:textId="77777777" w:rsidR="008A1E55" w:rsidRPr="006B42D6" w:rsidRDefault="008A1E55" w:rsidP="00E16CAE">
            <w:pPr>
              <w:jc w:val="right"/>
              <w:rPr>
                <w:sz w:val="16"/>
                <w:szCs w:val="16"/>
              </w:rPr>
            </w:pPr>
            <w:r w:rsidRPr="006B42D6">
              <w:rPr>
                <w:sz w:val="16"/>
                <w:szCs w:val="16"/>
              </w:rPr>
              <w:t>10.4</w:t>
            </w:r>
          </w:p>
        </w:tc>
        <w:tc>
          <w:tcPr>
            <w:tcW w:w="371" w:type="pct"/>
            <w:tcBorders>
              <w:top w:val="nil"/>
              <w:left w:val="nil"/>
              <w:bottom w:val="nil"/>
              <w:right w:val="nil"/>
            </w:tcBorders>
            <w:shd w:val="clear" w:color="auto" w:fill="auto"/>
            <w:noWrap/>
            <w:vAlign w:val="center"/>
            <w:hideMark/>
          </w:tcPr>
          <w:p w14:paraId="2FDC666D" w14:textId="77777777" w:rsidR="008A1E55" w:rsidRPr="006B42D6" w:rsidRDefault="008A1E55" w:rsidP="00E16CAE">
            <w:pPr>
              <w:jc w:val="right"/>
              <w:rPr>
                <w:sz w:val="16"/>
                <w:szCs w:val="16"/>
              </w:rPr>
            </w:pPr>
            <w:r w:rsidRPr="006B42D6">
              <w:rPr>
                <w:sz w:val="16"/>
                <w:szCs w:val="16"/>
              </w:rPr>
              <w:t>-</w:t>
            </w:r>
          </w:p>
        </w:tc>
        <w:tc>
          <w:tcPr>
            <w:tcW w:w="352" w:type="pct"/>
            <w:tcBorders>
              <w:top w:val="nil"/>
              <w:left w:val="nil"/>
              <w:bottom w:val="nil"/>
              <w:right w:val="nil"/>
            </w:tcBorders>
            <w:shd w:val="clear" w:color="auto" w:fill="auto"/>
            <w:noWrap/>
            <w:vAlign w:val="center"/>
            <w:hideMark/>
          </w:tcPr>
          <w:p w14:paraId="35521F77" w14:textId="77777777" w:rsidR="008A1E55" w:rsidRPr="006B42D6" w:rsidRDefault="008A1E55" w:rsidP="00E16CAE">
            <w:pPr>
              <w:jc w:val="right"/>
              <w:rPr>
                <w:sz w:val="16"/>
                <w:szCs w:val="16"/>
              </w:rPr>
            </w:pPr>
            <w:r w:rsidRPr="006B42D6">
              <w:rPr>
                <w:sz w:val="16"/>
                <w:szCs w:val="16"/>
              </w:rPr>
              <w:t>-</w:t>
            </w:r>
          </w:p>
        </w:tc>
        <w:tc>
          <w:tcPr>
            <w:tcW w:w="287" w:type="pct"/>
            <w:tcBorders>
              <w:top w:val="nil"/>
              <w:left w:val="nil"/>
              <w:bottom w:val="nil"/>
              <w:right w:val="nil"/>
            </w:tcBorders>
            <w:shd w:val="clear" w:color="auto" w:fill="auto"/>
            <w:noWrap/>
            <w:vAlign w:val="center"/>
            <w:hideMark/>
          </w:tcPr>
          <w:p w14:paraId="2A8DF717" w14:textId="77777777" w:rsidR="008A1E55" w:rsidRPr="006B42D6" w:rsidRDefault="008A1E55" w:rsidP="00E16CAE">
            <w:pPr>
              <w:jc w:val="right"/>
              <w:rPr>
                <w:sz w:val="16"/>
                <w:szCs w:val="16"/>
              </w:rPr>
            </w:pPr>
            <w:r w:rsidRPr="006B42D6">
              <w:rPr>
                <w:sz w:val="16"/>
                <w:szCs w:val="16"/>
              </w:rPr>
              <w:t>100.0</w:t>
            </w:r>
          </w:p>
        </w:tc>
        <w:tc>
          <w:tcPr>
            <w:tcW w:w="287" w:type="pct"/>
            <w:tcBorders>
              <w:top w:val="nil"/>
              <w:left w:val="nil"/>
              <w:bottom w:val="nil"/>
              <w:right w:val="nil"/>
            </w:tcBorders>
            <w:shd w:val="clear" w:color="auto" w:fill="auto"/>
            <w:noWrap/>
            <w:vAlign w:val="center"/>
            <w:hideMark/>
          </w:tcPr>
          <w:p w14:paraId="234D058C" w14:textId="77777777" w:rsidR="008A1E55" w:rsidRPr="006B42D6" w:rsidRDefault="008A1E55" w:rsidP="00E16CAE">
            <w:pPr>
              <w:jc w:val="right"/>
              <w:rPr>
                <w:sz w:val="16"/>
                <w:szCs w:val="16"/>
              </w:rPr>
            </w:pPr>
            <w:r w:rsidRPr="006B42D6">
              <w:rPr>
                <w:sz w:val="16"/>
                <w:szCs w:val="16"/>
              </w:rPr>
              <w:t>100.0</w:t>
            </w:r>
          </w:p>
        </w:tc>
        <w:tc>
          <w:tcPr>
            <w:tcW w:w="287" w:type="pct"/>
            <w:tcBorders>
              <w:top w:val="nil"/>
              <w:left w:val="nil"/>
              <w:bottom w:val="nil"/>
              <w:right w:val="nil"/>
            </w:tcBorders>
            <w:shd w:val="clear" w:color="auto" w:fill="auto"/>
            <w:noWrap/>
            <w:vAlign w:val="center"/>
            <w:hideMark/>
          </w:tcPr>
          <w:p w14:paraId="5CDA9DAE" w14:textId="77777777" w:rsidR="008A1E55" w:rsidRPr="006B42D6" w:rsidRDefault="008A1E55" w:rsidP="00E16CAE">
            <w:pPr>
              <w:jc w:val="right"/>
              <w:rPr>
                <w:sz w:val="16"/>
                <w:szCs w:val="16"/>
              </w:rPr>
            </w:pPr>
            <w:r w:rsidRPr="006B42D6">
              <w:rPr>
                <w:sz w:val="16"/>
                <w:szCs w:val="16"/>
              </w:rPr>
              <w:t>-</w:t>
            </w:r>
          </w:p>
        </w:tc>
        <w:tc>
          <w:tcPr>
            <w:tcW w:w="315" w:type="pct"/>
            <w:tcBorders>
              <w:top w:val="nil"/>
              <w:left w:val="nil"/>
              <w:bottom w:val="nil"/>
              <w:right w:val="nil"/>
            </w:tcBorders>
            <w:shd w:val="clear" w:color="auto" w:fill="auto"/>
            <w:noWrap/>
            <w:vAlign w:val="center"/>
            <w:hideMark/>
          </w:tcPr>
          <w:p w14:paraId="49E00389" w14:textId="77777777" w:rsidR="008A1E55" w:rsidRPr="006B42D6" w:rsidRDefault="008A1E55" w:rsidP="00E16CAE">
            <w:pPr>
              <w:jc w:val="right"/>
              <w:rPr>
                <w:sz w:val="16"/>
                <w:szCs w:val="16"/>
              </w:rPr>
            </w:pPr>
            <w:r w:rsidRPr="006B42D6">
              <w:rPr>
                <w:sz w:val="16"/>
                <w:szCs w:val="16"/>
              </w:rPr>
              <w:t>57.0</w:t>
            </w:r>
          </w:p>
        </w:tc>
        <w:tc>
          <w:tcPr>
            <w:tcW w:w="226" w:type="pct"/>
            <w:tcBorders>
              <w:top w:val="nil"/>
              <w:left w:val="nil"/>
              <w:bottom w:val="nil"/>
              <w:right w:val="nil"/>
            </w:tcBorders>
            <w:shd w:val="clear" w:color="auto" w:fill="auto"/>
            <w:noWrap/>
            <w:vAlign w:val="center"/>
            <w:hideMark/>
          </w:tcPr>
          <w:p w14:paraId="31F48B1E" w14:textId="77777777" w:rsidR="008A1E55" w:rsidRPr="006B42D6" w:rsidRDefault="008A1E55" w:rsidP="00E16CAE">
            <w:pPr>
              <w:jc w:val="right"/>
              <w:rPr>
                <w:sz w:val="16"/>
                <w:szCs w:val="16"/>
              </w:rPr>
            </w:pPr>
            <w:r w:rsidRPr="006B42D6">
              <w:rPr>
                <w:sz w:val="16"/>
                <w:szCs w:val="16"/>
              </w:rPr>
              <w:t>-</w:t>
            </w:r>
          </w:p>
        </w:tc>
      </w:tr>
      <w:tr w:rsidR="006B42D6" w:rsidRPr="006B42D6" w14:paraId="48857102" w14:textId="77777777" w:rsidTr="0024189E">
        <w:trPr>
          <w:trHeight w:hRule="exact" w:val="198"/>
        </w:trPr>
        <w:tc>
          <w:tcPr>
            <w:tcW w:w="653" w:type="pct"/>
            <w:tcBorders>
              <w:top w:val="nil"/>
              <w:left w:val="nil"/>
              <w:bottom w:val="nil"/>
              <w:right w:val="nil"/>
            </w:tcBorders>
            <w:shd w:val="clear" w:color="auto" w:fill="auto"/>
            <w:noWrap/>
            <w:vAlign w:val="center"/>
            <w:hideMark/>
          </w:tcPr>
          <w:p w14:paraId="7A269659" w14:textId="77777777" w:rsidR="008A1E55" w:rsidRPr="006B42D6" w:rsidRDefault="008A1E55" w:rsidP="00E16CAE">
            <w:pPr>
              <w:rPr>
                <w:sz w:val="16"/>
                <w:szCs w:val="16"/>
              </w:rPr>
            </w:pPr>
            <w:r w:rsidRPr="006B42D6">
              <w:rPr>
                <w:sz w:val="16"/>
                <w:szCs w:val="16"/>
              </w:rPr>
              <w:t>Kusini Unguja</w:t>
            </w:r>
          </w:p>
        </w:tc>
        <w:tc>
          <w:tcPr>
            <w:tcW w:w="302" w:type="pct"/>
            <w:tcBorders>
              <w:top w:val="nil"/>
              <w:left w:val="nil"/>
              <w:bottom w:val="nil"/>
              <w:right w:val="nil"/>
            </w:tcBorders>
            <w:shd w:val="clear" w:color="auto" w:fill="auto"/>
            <w:noWrap/>
            <w:vAlign w:val="center"/>
            <w:hideMark/>
          </w:tcPr>
          <w:p w14:paraId="3562D8BB" w14:textId="77777777" w:rsidR="008A1E55" w:rsidRPr="006B42D6" w:rsidRDefault="008A1E55" w:rsidP="00E16CAE">
            <w:pPr>
              <w:jc w:val="right"/>
              <w:rPr>
                <w:sz w:val="16"/>
                <w:szCs w:val="16"/>
              </w:rPr>
            </w:pPr>
            <w:r w:rsidRPr="006B42D6">
              <w:rPr>
                <w:sz w:val="16"/>
                <w:szCs w:val="16"/>
              </w:rPr>
              <w:t>8.3</w:t>
            </w:r>
          </w:p>
        </w:tc>
        <w:tc>
          <w:tcPr>
            <w:tcW w:w="343" w:type="pct"/>
            <w:tcBorders>
              <w:top w:val="nil"/>
              <w:left w:val="nil"/>
              <w:bottom w:val="nil"/>
              <w:right w:val="nil"/>
            </w:tcBorders>
            <w:shd w:val="clear" w:color="auto" w:fill="auto"/>
            <w:noWrap/>
            <w:vAlign w:val="center"/>
            <w:hideMark/>
          </w:tcPr>
          <w:p w14:paraId="2C215647" w14:textId="77777777" w:rsidR="008A1E55" w:rsidRPr="006B42D6" w:rsidRDefault="008A1E55" w:rsidP="00E16CAE">
            <w:pPr>
              <w:jc w:val="right"/>
              <w:rPr>
                <w:sz w:val="16"/>
                <w:szCs w:val="16"/>
              </w:rPr>
            </w:pPr>
            <w:r w:rsidRPr="006B42D6">
              <w:rPr>
                <w:sz w:val="16"/>
                <w:szCs w:val="16"/>
              </w:rPr>
              <w:t>17.5</w:t>
            </w:r>
          </w:p>
        </w:tc>
        <w:tc>
          <w:tcPr>
            <w:tcW w:w="400" w:type="pct"/>
            <w:tcBorders>
              <w:top w:val="nil"/>
              <w:left w:val="nil"/>
              <w:bottom w:val="nil"/>
              <w:right w:val="nil"/>
            </w:tcBorders>
            <w:shd w:val="clear" w:color="auto" w:fill="auto"/>
            <w:noWrap/>
            <w:vAlign w:val="center"/>
            <w:hideMark/>
          </w:tcPr>
          <w:p w14:paraId="15F79B31" w14:textId="77777777" w:rsidR="008A1E55" w:rsidRPr="006B42D6" w:rsidRDefault="008A1E55" w:rsidP="00E16CAE">
            <w:pPr>
              <w:jc w:val="right"/>
              <w:rPr>
                <w:sz w:val="16"/>
                <w:szCs w:val="16"/>
              </w:rPr>
            </w:pPr>
            <w:r w:rsidRPr="006B42D6">
              <w:rPr>
                <w:sz w:val="16"/>
                <w:szCs w:val="16"/>
              </w:rPr>
              <w:t>30.6</w:t>
            </w:r>
          </w:p>
        </w:tc>
        <w:tc>
          <w:tcPr>
            <w:tcW w:w="363" w:type="pct"/>
            <w:tcBorders>
              <w:top w:val="nil"/>
              <w:left w:val="nil"/>
              <w:bottom w:val="nil"/>
              <w:right w:val="nil"/>
            </w:tcBorders>
            <w:shd w:val="clear" w:color="auto" w:fill="auto"/>
            <w:noWrap/>
            <w:vAlign w:val="center"/>
            <w:hideMark/>
          </w:tcPr>
          <w:p w14:paraId="57095F85" w14:textId="77777777" w:rsidR="008A1E55" w:rsidRPr="006B42D6" w:rsidRDefault="008A1E55" w:rsidP="00E16CAE">
            <w:pPr>
              <w:jc w:val="right"/>
              <w:rPr>
                <w:sz w:val="16"/>
                <w:szCs w:val="16"/>
              </w:rPr>
            </w:pPr>
            <w:r w:rsidRPr="006B42D6">
              <w:rPr>
                <w:sz w:val="16"/>
                <w:szCs w:val="16"/>
              </w:rPr>
              <w:t>10.5</w:t>
            </w:r>
          </w:p>
        </w:tc>
        <w:tc>
          <w:tcPr>
            <w:tcW w:w="373" w:type="pct"/>
            <w:tcBorders>
              <w:top w:val="nil"/>
              <w:left w:val="nil"/>
              <w:bottom w:val="nil"/>
              <w:right w:val="nil"/>
            </w:tcBorders>
            <w:shd w:val="clear" w:color="auto" w:fill="auto"/>
            <w:noWrap/>
            <w:vAlign w:val="center"/>
            <w:hideMark/>
          </w:tcPr>
          <w:p w14:paraId="1DA25E6A" w14:textId="77777777" w:rsidR="008A1E55" w:rsidRPr="006B42D6" w:rsidRDefault="008A1E55" w:rsidP="00E16CAE">
            <w:pPr>
              <w:jc w:val="right"/>
              <w:rPr>
                <w:sz w:val="16"/>
                <w:szCs w:val="16"/>
              </w:rPr>
            </w:pPr>
            <w:r w:rsidRPr="006B42D6">
              <w:rPr>
                <w:sz w:val="16"/>
                <w:szCs w:val="16"/>
              </w:rPr>
              <w:t>100.0</w:t>
            </w:r>
          </w:p>
        </w:tc>
        <w:tc>
          <w:tcPr>
            <w:tcW w:w="443" w:type="pct"/>
            <w:tcBorders>
              <w:top w:val="nil"/>
              <w:left w:val="nil"/>
              <w:bottom w:val="nil"/>
              <w:right w:val="nil"/>
            </w:tcBorders>
            <w:shd w:val="clear" w:color="auto" w:fill="auto"/>
            <w:noWrap/>
            <w:vAlign w:val="center"/>
            <w:hideMark/>
          </w:tcPr>
          <w:p w14:paraId="790CCDF7" w14:textId="77777777" w:rsidR="008A1E55" w:rsidRPr="006B42D6" w:rsidRDefault="008A1E55" w:rsidP="00E16CAE">
            <w:pPr>
              <w:jc w:val="right"/>
              <w:rPr>
                <w:sz w:val="16"/>
                <w:szCs w:val="16"/>
              </w:rPr>
            </w:pPr>
            <w:r w:rsidRPr="006B42D6">
              <w:rPr>
                <w:sz w:val="16"/>
                <w:szCs w:val="16"/>
              </w:rPr>
              <w:t>-</w:t>
            </w:r>
          </w:p>
        </w:tc>
        <w:tc>
          <w:tcPr>
            <w:tcW w:w="371" w:type="pct"/>
            <w:tcBorders>
              <w:top w:val="nil"/>
              <w:left w:val="nil"/>
              <w:bottom w:val="nil"/>
              <w:right w:val="nil"/>
            </w:tcBorders>
            <w:shd w:val="clear" w:color="auto" w:fill="auto"/>
            <w:noWrap/>
            <w:vAlign w:val="center"/>
            <w:hideMark/>
          </w:tcPr>
          <w:p w14:paraId="7B46652D" w14:textId="77777777" w:rsidR="008A1E55" w:rsidRPr="006B42D6" w:rsidRDefault="008A1E55" w:rsidP="00E16CAE">
            <w:pPr>
              <w:jc w:val="right"/>
              <w:rPr>
                <w:sz w:val="16"/>
                <w:szCs w:val="16"/>
              </w:rPr>
            </w:pPr>
            <w:r w:rsidRPr="006B42D6">
              <w:rPr>
                <w:sz w:val="16"/>
                <w:szCs w:val="16"/>
              </w:rPr>
              <w:t>-</w:t>
            </w:r>
          </w:p>
        </w:tc>
        <w:tc>
          <w:tcPr>
            <w:tcW w:w="352" w:type="pct"/>
            <w:tcBorders>
              <w:top w:val="nil"/>
              <w:left w:val="nil"/>
              <w:bottom w:val="nil"/>
              <w:right w:val="nil"/>
            </w:tcBorders>
            <w:shd w:val="clear" w:color="auto" w:fill="auto"/>
            <w:noWrap/>
            <w:vAlign w:val="center"/>
            <w:hideMark/>
          </w:tcPr>
          <w:p w14:paraId="56A477A4" w14:textId="77777777" w:rsidR="008A1E55" w:rsidRPr="006B42D6" w:rsidRDefault="008A1E55" w:rsidP="00E16CAE">
            <w:pPr>
              <w:jc w:val="right"/>
              <w:rPr>
                <w:sz w:val="16"/>
                <w:szCs w:val="16"/>
              </w:rPr>
            </w:pPr>
            <w:r w:rsidRPr="006B42D6">
              <w:rPr>
                <w:sz w:val="16"/>
                <w:szCs w:val="16"/>
              </w:rPr>
              <w:t>100.0</w:t>
            </w:r>
          </w:p>
        </w:tc>
        <w:tc>
          <w:tcPr>
            <w:tcW w:w="287" w:type="pct"/>
            <w:tcBorders>
              <w:top w:val="nil"/>
              <w:left w:val="nil"/>
              <w:bottom w:val="nil"/>
              <w:right w:val="nil"/>
            </w:tcBorders>
            <w:shd w:val="clear" w:color="auto" w:fill="auto"/>
            <w:noWrap/>
            <w:vAlign w:val="center"/>
            <w:hideMark/>
          </w:tcPr>
          <w:p w14:paraId="7E8EB800" w14:textId="77777777" w:rsidR="008A1E55" w:rsidRPr="006B42D6" w:rsidRDefault="008A1E55" w:rsidP="00E16CAE">
            <w:pPr>
              <w:jc w:val="right"/>
              <w:rPr>
                <w:sz w:val="16"/>
                <w:szCs w:val="16"/>
              </w:rPr>
            </w:pPr>
            <w:r w:rsidRPr="006B42D6">
              <w:rPr>
                <w:sz w:val="16"/>
                <w:szCs w:val="16"/>
              </w:rPr>
              <w:t>-</w:t>
            </w:r>
          </w:p>
        </w:tc>
        <w:tc>
          <w:tcPr>
            <w:tcW w:w="287" w:type="pct"/>
            <w:tcBorders>
              <w:top w:val="nil"/>
              <w:left w:val="nil"/>
              <w:bottom w:val="nil"/>
              <w:right w:val="nil"/>
            </w:tcBorders>
            <w:shd w:val="clear" w:color="auto" w:fill="auto"/>
            <w:noWrap/>
            <w:vAlign w:val="center"/>
            <w:hideMark/>
          </w:tcPr>
          <w:p w14:paraId="4435C7A5" w14:textId="77777777" w:rsidR="008A1E55" w:rsidRPr="006B42D6" w:rsidRDefault="008A1E55" w:rsidP="00E16CAE">
            <w:pPr>
              <w:jc w:val="right"/>
              <w:rPr>
                <w:sz w:val="16"/>
                <w:szCs w:val="16"/>
              </w:rPr>
            </w:pPr>
            <w:r w:rsidRPr="006B42D6">
              <w:rPr>
                <w:sz w:val="16"/>
                <w:szCs w:val="16"/>
              </w:rPr>
              <w:t>-</w:t>
            </w:r>
          </w:p>
        </w:tc>
        <w:tc>
          <w:tcPr>
            <w:tcW w:w="287" w:type="pct"/>
            <w:tcBorders>
              <w:top w:val="nil"/>
              <w:left w:val="nil"/>
              <w:bottom w:val="nil"/>
              <w:right w:val="nil"/>
            </w:tcBorders>
            <w:shd w:val="clear" w:color="auto" w:fill="auto"/>
            <w:noWrap/>
            <w:vAlign w:val="center"/>
            <w:hideMark/>
          </w:tcPr>
          <w:p w14:paraId="5E38D14B" w14:textId="77777777" w:rsidR="008A1E55" w:rsidRPr="006B42D6" w:rsidRDefault="008A1E55" w:rsidP="00E16CAE">
            <w:pPr>
              <w:jc w:val="right"/>
              <w:rPr>
                <w:sz w:val="16"/>
                <w:szCs w:val="16"/>
              </w:rPr>
            </w:pPr>
            <w:r w:rsidRPr="006B42D6">
              <w:rPr>
                <w:sz w:val="16"/>
                <w:szCs w:val="16"/>
              </w:rPr>
              <w:t>-</w:t>
            </w:r>
          </w:p>
        </w:tc>
        <w:tc>
          <w:tcPr>
            <w:tcW w:w="315" w:type="pct"/>
            <w:tcBorders>
              <w:top w:val="nil"/>
              <w:left w:val="nil"/>
              <w:bottom w:val="nil"/>
              <w:right w:val="nil"/>
            </w:tcBorders>
            <w:shd w:val="clear" w:color="auto" w:fill="auto"/>
            <w:noWrap/>
            <w:vAlign w:val="center"/>
            <w:hideMark/>
          </w:tcPr>
          <w:p w14:paraId="44C2079B" w14:textId="77777777" w:rsidR="008A1E55" w:rsidRPr="006B42D6" w:rsidRDefault="008A1E55" w:rsidP="00E16CAE">
            <w:pPr>
              <w:jc w:val="right"/>
              <w:rPr>
                <w:sz w:val="16"/>
                <w:szCs w:val="16"/>
              </w:rPr>
            </w:pPr>
            <w:r w:rsidRPr="006B42D6">
              <w:rPr>
                <w:sz w:val="16"/>
                <w:szCs w:val="16"/>
              </w:rPr>
              <w:t>-</w:t>
            </w:r>
          </w:p>
        </w:tc>
        <w:tc>
          <w:tcPr>
            <w:tcW w:w="226" w:type="pct"/>
            <w:tcBorders>
              <w:top w:val="nil"/>
              <w:left w:val="nil"/>
              <w:bottom w:val="nil"/>
              <w:right w:val="nil"/>
            </w:tcBorders>
            <w:shd w:val="clear" w:color="auto" w:fill="auto"/>
            <w:noWrap/>
            <w:vAlign w:val="center"/>
            <w:hideMark/>
          </w:tcPr>
          <w:p w14:paraId="62AAAB95" w14:textId="77777777" w:rsidR="008A1E55" w:rsidRPr="006B42D6" w:rsidRDefault="008A1E55" w:rsidP="00E16CAE">
            <w:pPr>
              <w:jc w:val="right"/>
              <w:rPr>
                <w:sz w:val="16"/>
                <w:szCs w:val="16"/>
              </w:rPr>
            </w:pPr>
            <w:r w:rsidRPr="006B42D6">
              <w:rPr>
                <w:sz w:val="16"/>
                <w:szCs w:val="16"/>
              </w:rPr>
              <w:t>-</w:t>
            </w:r>
          </w:p>
        </w:tc>
      </w:tr>
      <w:tr w:rsidR="006B42D6" w:rsidRPr="006B42D6" w14:paraId="652F70FD" w14:textId="77777777" w:rsidTr="0024189E">
        <w:trPr>
          <w:trHeight w:hRule="exact" w:val="198"/>
        </w:trPr>
        <w:tc>
          <w:tcPr>
            <w:tcW w:w="653" w:type="pct"/>
            <w:tcBorders>
              <w:top w:val="nil"/>
              <w:left w:val="nil"/>
              <w:bottom w:val="nil"/>
              <w:right w:val="nil"/>
            </w:tcBorders>
            <w:shd w:val="clear" w:color="auto" w:fill="auto"/>
            <w:noWrap/>
            <w:vAlign w:val="center"/>
            <w:hideMark/>
          </w:tcPr>
          <w:p w14:paraId="424D398F" w14:textId="77777777" w:rsidR="008A1E55" w:rsidRPr="006B42D6" w:rsidRDefault="008A1E55" w:rsidP="00E16CAE">
            <w:pPr>
              <w:rPr>
                <w:sz w:val="16"/>
                <w:szCs w:val="16"/>
              </w:rPr>
            </w:pPr>
            <w:r w:rsidRPr="006B42D6">
              <w:rPr>
                <w:sz w:val="16"/>
                <w:szCs w:val="16"/>
              </w:rPr>
              <w:t>Mjini Magharibi</w:t>
            </w:r>
          </w:p>
        </w:tc>
        <w:tc>
          <w:tcPr>
            <w:tcW w:w="302" w:type="pct"/>
            <w:tcBorders>
              <w:top w:val="nil"/>
              <w:left w:val="nil"/>
              <w:bottom w:val="nil"/>
              <w:right w:val="nil"/>
            </w:tcBorders>
            <w:shd w:val="clear" w:color="auto" w:fill="auto"/>
            <w:noWrap/>
            <w:vAlign w:val="center"/>
            <w:hideMark/>
          </w:tcPr>
          <w:p w14:paraId="27A60901" w14:textId="77777777" w:rsidR="008A1E55" w:rsidRPr="006B42D6" w:rsidRDefault="008A1E55" w:rsidP="00E16CAE">
            <w:pPr>
              <w:jc w:val="right"/>
              <w:rPr>
                <w:sz w:val="16"/>
                <w:szCs w:val="16"/>
              </w:rPr>
            </w:pPr>
            <w:r w:rsidRPr="006B42D6">
              <w:rPr>
                <w:sz w:val="16"/>
                <w:szCs w:val="16"/>
              </w:rPr>
              <w:t>14.6</w:t>
            </w:r>
          </w:p>
        </w:tc>
        <w:tc>
          <w:tcPr>
            <w:tcW w:w="343" w:type="pct"/>
            <w:tcBorders>
              <w:top w:val="nil"/>
              <w:left w:val="nil"/>
              <w:bottom w:val="nil"/>
              <w:right w:val="nil"/>
            </w:tcBorders>
            <w:shd w:val="clear" w:color="auto" w:fill="auto"/>
            <w:noWrap/>
            <w:vAlign w:val="center"/>
            <w:hideMark/>
          </w:tcPr>
          <w:p w14:paraId="27B42DFA" w14:textId="77777777" w:rsidR="008A1E55" w:rsidRPr="006B42D6" w:rsidRDefault="008A1E55" w:rsidP="00E16CAE">
            <w:pPr>
              <w:jc w:val="right"/>
              <w:rPr>
                <w:sz w:val="16"/>
                <w:szCs w:val="16"/>
              </w:rPr>
            </w:pPr>
            <w:r w:rsidRPr="006B42D6">
              <w:rPr>
                <w:sz w:val="16"/>
                <w:szCs w:val="16"/>
              </w:rPr>
              <w:t>50.0</w:t>
            </w:r>
          </w:p>
        </w:tc>
        <w:tc>
          <w:tcPr>
            <w:tcW w:w="400" w:type="pct"/>
            <w:tcBorders>
              <w:top w:val="nil"/>
              <w:left w:val="nil"/>
              <w:bottom w:val="nil"/>
              <w:right w:val="nil"/>
            </w:tcBorders>
            <w:shd w:val="clear" w:color="auto" w:fill="auto"/>
            <w:noWrap/>
            <w:vAlign w:val="center"/>
            <w:hideMark/>
          </w:tcPr>
          <w:p w14:paraId="465495A7" w14:textId="77777777" w:rsidR="008A1E55" w:rsidRPr="006B42D6" w:rsidRDefault="008A1E55" w:rsidP="00E16CAE">
            <w:pPr>
              <w:jc w:val="right"/>
              <w:rPr>
                <w:sz w:val="16"/>
                <w:szCs w:val="16"/>
              </w:rPr>
            </w:pPr>
            <w:r w:rsidRPr="006B42D6">
              <w:rPr>
                <w:sz w:val="16"/>
                <w:szCs w:val="16"/>
              </w:rPr>
              <w:t>12.8</w:t>
            </w:r>
          </w:p>
        </w:tc>
        <w:tc>
          <w:tcPr>
            <w:tcW w:w="363" w:type="pct"/>
            <w:tcBorders>
              <w:top w:val="nil"/>
              <w:left w:val="nil"/>
              <w:bottom w:val="nil"/>
              <w:right w:val="nil"/>
            </w:tcBorders>
            <w:shd w:val="clear" w:color="auto" w:fill="auto"/>
            <w:noWrap/>
            <w:vAlign w:val="center"/>
            <w:hideMark/>
          </w:tcPr>
          <w:p w14:paraId="35FE0C99" w14:textId="77777777" w:rsidR="008A1E55" w:rsidRPr="006B42D6" w:rsidRDefault="008A1E55" w:rsidP="00E16CAE">
            <w:pPr>
              <w:jc w:val="right"/>
              <w:rPr>
                <w:sz w:val="16"/>
                <w:szCs w:val="16"/>
              </w:rPr>
            </w:pPr>
            <w:r w:rsidRPr="006B42D6">
              <w:rPr>
                <w:sz w:val="16"/>
                <w:szCs w:val="16"/>
              </w:rPr>
              <w:t>16.0</w:t>
            </w:r>
          </w:p>
        </w:tc>
        <w:tc>
          <w:tcPr>
            <w:tcW w:w="373" w:type="pct"/>
            <w:tcBorders>
              <w:top w:val="nil"/>
              <w:left w:val="nil"/>
              <w:bottom w:val="nil"/>
              <w:right w:val="nil"/>
            </w:tcBorders>
            <w:shd w:val="clear" w:color="auto" w:fill="auto"/>
            <w:noWrap/>
            <w:vAlign w:val="center"/>
            <w:hideMark/>
          </w:tcPr>
          <w:p w14:paraId="6E3616C1" w14:textId="77777777" w:rsidR="008A1E55" w:rsidRPr="006B42D6" w:rsidRDefault="008A1E55" w:rsidP="00E16CAE">
            <w:pPr>
              <w:jc w:val="right"/>
              <w:rPr>
                <w:sz w:val="16"/>
                <w:szCs w:val="16"/>
              </w:rPr>
            </w:pPr>
            <w:r w:rsidRPr="006B42D6">
              <w:rPr>
                <w:sz w:val="16"/>
                <w:szCs w:val="16"/>
              </w:rPr>
              <w:t>-</w:t>
            </w:r>
          </w:p>
        </w:tc>
        <w:tc>
          <w:tcPr>
            <w:tcW w:w="443" w:type="pct"/>
            <w:tcBorders>
              <w:top w:val="nil"/>
              <w:left w:val="nil"/>
              <w:bottom w:val="nil"/>
              <w:right w:val="nil"/>
            </w:tcBorders>
            <w:shd w:val="clear" w:color="auto" w:fill="auto"/>
            <w:noWrap/>
            <w:vAlign w:val="center"/>
            <w:hideMark/>
          </w:tcPr>
          <w:p w14:paraId="2C13EDC4" w14:textId="77777777" w:rsidR="008A1E55" w:rsidRPr="006B42D6" w:rsidRDefault="008A1E55" w:rsidP="00E16CAE">
            <w:pPr>
              <w:jc w:val="right"/>
              <w:rPr>
                <w:sz w:val="16"/>
                <w:szCs w:val="16"/>
              </w:rPr>
            </w:pPr>
            <w:r w:rsidRPr="006B42D6">
              <w:rPr>
                <w:sz w:val="16"/>
                <w:szCs w:val="16"/>
              </w:rPr>
              <w:t>89.6</w:t>
            </w:r>
          </w:p>
        </w:tc>
        <w:tc>
          <w:tcPr>
            <w:tcW w:w="371" w:type="pct"/>
            <w:tcBorders>
              <w:top w:val="nil"/>
              <w:left w:val="nil"/>
              <w:bottom w:val="nil"/>
              <w:right w:val="nil"/>
            </w:tcBorders>
            <w:shd w:val="clear" w:color="auto" w:fill="auto"/>
            <w:noWrap/>
            <w:vAlign w:val="center"/>
            <w:hideMark/>
          </w:tcPr>
          <w:p w14:paraId="1395313A" w14:textId="77777777" w:rsidR="008A1E55" w:rsidRPr="006B42D6" w:rsidRDefault="008A1E55" w:rsidP="00E16CAE">
            <w:pPr>
              <w:jc w:val="right"/>
              <w:rPr>
                <w:sz w:val="16"/>
                <w:szCs w:val="16"/>
              </w:rPr>
            </w:pPr>
            <w:r w:rsidRPr="006B42D6">
              <w:rPr>
                <w:sz w:val="16"/>
                <w:szCs w:val="16"/>
              </w:rPr>
              <w:t>-</w:t>
            </w:r>
          </w:p>
        </w:tc>
        <w:tc>
          <w:tcPr>
            <w:tcW w:w="352" w:type="pct"/>
            <w:tcBorders>
              <w:top w:val="nil"/>
              <w:left w:val="nil"/>
              <w:bottom w:val="nil"/>
              <w:right w:val="nil"/>
            </w:tcBorders>
            <w:shd w:val="clear" w:color="auto" w:fill="auto"/>
            <w:noWrap/>
            <w:vAlign w:val="center"/>
            <w:hideMark/>
          </w:tcPr>
          <w:p w14:paraId="5D8E3A50" w14:textId="77777777" w:rsidR="008A1E55" w:rsidRPr="006B42D6" w:rsidRDefault="008A1E55" w:rsidP="00E16CAE">
            <w:pPr>
              <w:jc w:val="right"/>
              <w:rPr>
                <w:sz w:val="16"/>
                <w:szCs w:val="16"/>
              </w:rPr>
            </w:pPr>
            <w:r w:rsidRPr="006B42D6">
              <w:rPr>
                <w:sz w:val="16"/>
                <w:szCs w:val="16"/>
              </w:rPr>
              <w:t>-</w:t>
            </w:r>
          </w:p>
        </w:tc>
        <w:tc>
          <w:tcPr>
            <w:tcW w:w="287" w:type="pct"/>
            <w:tcBorders>
              <w:top w:val="nil"/>
              <w:left w:val="nil"/>
              <w:bottom w:val="nil"/>
              <w:right w:val="nil"/>
            </w:tcBorders>
            <w:shd w:val="clear" w:color="auto" w:fill="auto"/>
            <w:noWrap/>
            <w:vAlign w:val="center"/>
            <w:hideMark/>
          </w:tcPr>
          <w:p w14:paraId="345FEA67" w14:textId="77777777" w:rsidR="008A1E55" w:rsidRPr="006B42D6" w:rsidRDefault="008A1E55" w:rsidP="00E16CAE">
            <w:pPr>
              <w:jc w:val="right"/>
              <w:rPr>
                <w:sz w:val="16"/>
                <w:szCs w:val="16"/>
              </w:rPr>
            </w:pPr>
            <w:r w:rsidRPr="006B42D6">
              <w:rPr>
                <w:sz w:val="16"/>
                <w:szCs w:val="16"/>
              </w:rPr>
              <w:t>-</w:t>
            </w:r>
          </w:p>
        </w:tc>
        <w:tc>
          <w:tcPr>
            <w:tcW w:w="287" w:type="pct"/>
            <w:tcBorders>
              <w:top w:val="nil"/>
              <w:left w:val="nil"/>
              <w:bottom w:val="nil"/>
              <w:right w:val="nil"/>
            </w:tcBorders>
            <w:shd w:val="clear" w:color="auto" w:fill="auto"/>
            <w:noWrap/>
            <w:vAlign w:val="center"/>
            <w:hideMark/>
          </w:tcPr>
          <w:p w14:paraId="5EB03500" w14:textId="77777777" w:rsidR="008A1E55" w:rsidRPr="006B42D6" w:rsidRDefault="008A1E55" w:rsidP="00E16CAE">
            <w:pPr>
              <w:jc w:val="right"/>
              <w:rPr>
                <w:sz w:val="16"/>
                <w:szCs w:val="16"/>
              </w:rPr>
            </w:pPr>
            <w:r w:rsidRPr="006B42D6">
              <w:rPr>
                <w:sz w:val="16"/>
                <w:szCs w:val="16"/>
              </w:rPr>
              <w:t>-</w:t>
            </w:r>
          </w:p>
        </w:tc>
        <w:tc>
          <w:tcPr>
            <w:tcW w:w="287" w:type="pct"/>
            <w:tcBorders>
              <w:top w:val="nil"/>
              <w:left w:val="nil"/>
              <w:bottom w:val="nil"/>
              <w:right w:val="nil"/>
            </w:tcBorders>
            <w:shd w:val="clear" w:color="auto" w:fill="auto"/>
            <w:noWrap/>
            <w:vAlign w:val="center"/>
            <w:hideMark/>
          </w:tcPr>
          <w:p w14:paraId="28EE3B0F" w14:textId="77777777" w:rsidR="008A1E55" w:rsidRPr="006B42D6" w:rsidRDefault="008A1E55" w:rsidP="00E16CAE">
            <w:pPr>
              <w:jc w:val="right"/>
              <w:rPr>
                <w:sz w:val="16"/>
                <w:szCs w:val="16"/>
              </w:rPr>
            </w:pPr>
            <w:r w:rsidRPr="006B42D6">
              <w:rPr>
                <w:sz w:val="16"/>
                <w:szCs w:val="16"/>
              </w:rPr>
              <w:t>-</w:t>
            </w:r>
          </w:p>
        </w:tc>
        <w:tc>
          <w:tcPr>
            <w:tcW w:w="315" w:type="pct"/>
            <w:tcBorders>
              <w:top w:val="nil"/>
              <w:left w:val="nil"/>
              <w:bottom w:val="nil"/>
              <w:right w:val="nil"/>
            </w:tcBorders>
            <w:shd w:val="clear" w:color="auto" w:fill="auto"/>
            <w:noWrap/>
            <w:vAlign w:val="center"/>
            <w:hideMark/>
          </w:tcPr>
          <w:p w14:paraId="565C842B" w14:textId="77777777" w:rsidR="008A1E55" w:rsidRPr="006B42D6" w:rsidRDefault="008A1E55" w:rsidP="00E16CAE">
            <w:pPr>
              <w:jc w:val="right"/>
              <w:rPr>
                <w:sz w:val="16"/>
                <w:szCs w:val="16"/>
              </w:rPr>
            </w:pPr>
            <w:r w:rsidRPr="006B42D6">
              <w:rPr>
                <w:sz w:val="16"/>
                <w:szCs w:val="16"/>
              </w:rPr>
              <w:t>7.2</w:t>
            </w:r>
          </w:p>
        </w:tc>
        <w:tc>
          <w:tcPr>
            <w:tcW w:w="226" w:type="pct"/>
            <w:tcBorders>
              <w:top w:val="nil"/>
              <w:left w:val="nil"/>
              <w:bottom w:val="nil"/>
              <w:right w:val="nil"/>
            </w:tcBorders>
            <w:shd w:val="clear" w:color="auto" w:fill="auto"/>
            <w:noWrap/>
            <w:vAlign w:val="center"/>
            <w:hideMark/>
          </w:tcPr>
          <w:p w14:paraId="364737AB" w14:textId="77777777" w:rsidR="008A1E55" w:rsidRPr="006B42D6" w:rsidRDefault="008A1E55" w:rsidP="00E16CAE">
            <w:pPr>
              <w:jc w:val="right"/>
              <w:rPr>
                <w:sz w:val="16"/>
                <w:szCs w:val="16"/>
              </w:rPr>
            </w:pPr>
            <w:r w:rsidRPr="006B42D6">
              <w:rPr>
                <w:sz w:val="16"/>
                <w:szCs w:val="16"/>
              </w:rPr>
              <w:t>-</w:t>
            </w:r>
          </w:p>
        </w:tc>
      </w:tr>
      <w:tr w:rsidR="006B42D6" w:rsidRPr="006B42D6" w14:paraId="3132A426" w14:textId="77777777" w:rsidTr="0024189E">
        <w:trPr>
          <w:trHeight w:hRule="exact" w:val="198"/>
        </w:trPr>
        <w:tc>
          <w:tcPr>
            <w:tcW w:w="653" w:type="pct"/>
            <w:tcBorders>
              <w:top w:val="nil"/>
              <w:left w:val="nil"/>
              <w:bottom w:val="nil"/>
              <w:right w:val="nil"/>
            </w:tcBorders>
            <w:shd w:val="clear" w:color="auto" w:fill="auto"/>
            <w:noWrap/>
            <w:vAlign w:val="center"/>
            <w:hideMark/>
          </w:tcPr>
          <w:p w14:paraId="680E79E4" w14:textId="77777777" w:rsidR="008A1E55" w:rsidRPr="006B42D6" w:rsidRDefault="008A1E55" w:rsidP="00E16CAE">
            <w:pPr>
              <w:rPr>
                <w:sz w:val="16"/>
                <w:szCs w:val="16"/>
              </w:rPr>
            </w:pPr>
            <w:r w:rsidRPr="006B42D6">
              <w:rPr>
                <w:sz w:val="16"/>
                <w:szCs w:val="16"/>
              </w:rPr>
              <w:t>Kaskazini Pemba</w:t>
            </w:r>
          </w:p>
        </w:tc>
        <w:tc>
          <w:tcPr>
            <w:tcW w:w="302" w:type="pct"/>
            <w:tcBorders>
              <w:top w:val="nil"/>
              <w:left w:val="nil"/>
              <w:bottom w:val="nil"/>
              <w:right w:val="nil"/>
            </w:tcBorders>
            <w:shd w:val="clear" w:color="auto" w:fill="auto"/>
            <w:noWrap/>
            <w:vAlign w:val="center"/>
            <w:hideMark/>
          </w:tcPr>
          <w:p w14:paraId="0E6713D2" w14:textId="77777777" w:rsidR="008A1E55" w:rsidRPr="006B42D6" w:rsidRDefault="008A1E55" w:rsidP="00E16CAE">
            <w:pPr>
              <w:jc w:val="right"/>
              <w:rPr>
                <w:sz w:val="16"/>
                <w:szCs w:val="16"/>
              </w:rPr>
            </w:pPr>
            <w:r w:rsidRPr="006B42D6">
              <w:rPr>
                <w:sz w:val="16"/>
                <w:szCs w:val="16"/>
              </w:rPr>
              <w:t>22.4</w:t>
            </w:r>
          </w:p>
        </w:tc>
        <w:tc>
          <w:tcPr>
            <w:tcW w:w="343" w:type="pct"/>
            <w:tcBorders>
              <w:top w:val="nil"/>
              <w:left w:val="nil"/>
              <w:bottom w:val="nil"/>
              <w:right w:val="nil"/>
            </w:tcBorders>
            <w:shd w:val="clear" w:color="auto" w:fill="auto"/>
            <w:noWrap/>
            <w:vAlign w:val="center"/>
            <w:hideMark/>
          </w:tcPr>
          <w:p w14:paraId="237019A9" w14:textId="77777777" w:rsidR="008A1E55" w:rsidRPr="006B42D6" w:rsidRDefault="008A1E55" w:rsidP="00E16CAE">
            <w:pPr>
              <w:jc w:val="right"/>
              <w:rPr>
                <w:sz w:val="16"/>
                <w:szCs w:val="16"/>
              </w:rPr>
            </w:pPr>
            <w:r w:rsidRPr="006B42D6">
              <w:rPr>
                <w:sz w:val="16"/>
                <w:szCs w:val="16"/>
              </w:rPr>
              <w:t>16.1</w:t>
            </w:r>
          </w:p>
        </w:tc>
        <w:tc>
          <w:tcPr>
            <w:tcW w:w="400" w:type="pct"/>
            <w:tcBorders>
              <w:top w:val="nil"/>
              <w:left w:val="nil"/>
              <w:bottom w:val="nil"/>
              <w:right w:val="nil"/>
            </w:tcBorders>
            <w:shd w:val="clear" w:color="auto" w:fill="auto"/>
            <w:noWrap/>
            <w:vAlign w:val="center"/>
            <w:hideMark/>
          </w:tcPr>
          <w:p w14:paraId="1E952EFB" w14:textId="77777777" w:rsidR="008A1E55" w:rsidRPr="006B42D6" w:rsidRDefault="008A1E55" w:rsidP="00E16CAE">
            <w:pPr>
              <w:jc w:val="right"/>
              <w:rPr>
                <w:sz w:val="16"/>
                <w:szCs w:val="16"/>
              </w:rPr>
            </w:pPr>
            <w:r w:rsidRPr="006B42D6">
              <w:rPr>
                <w:sz w:val="16"/>
                <w:szCs w:val="16"/>
              </w:rPr>
              <w:t>-</w:t>
            </w:r>
          </w:p>
        </w:tc>
        <w:tc>
          <w:tcPr>
            <w:tcW w:w="363" w:type="pct"/>
            <w:tcBorders>
              <w:top w:val="nil"/>
              <w:left w:val="nil"/>
              <w:bottom w:val="nil"/>
              <w:right w:val="nil"/>
            </w:tcBorders>
            <w:shd w:val="clear" w:color="auto" w:fill="auto"/>
            <w:noWrap/>
            <w:vAlign w:val="center"/>
            <w:hideMark/>
          </w:tcPr>
          <w:p w14:paraId="5C380AB4" w14:textId="77777777" w:rsidR="008A1E55" w:rsidRPr="006B42D6" w:rsidRDefault="008A1E55" w:rsidP="00E16CAE">
            <w:pPr>
              <w:jc w:val="right"/>
              <w:rPr>
                <w:sz w:val="16"/>
                <w:szCs w:val="16"/>
              </w:rPr>
            </w:pPr>
            <w:r w:rsidRPr="006B42D6">
              <w:rPr>
                <w:sz w:val="16"/>
                <w:szCs w:val="16"/>
              </w:rPr>
              <w:t>42.3</w:t>
            </w:r>
          </w:p>
        </w:tc>
        <w:tc>
          <w:tcPr>
            <w:tcW w:w="373" w:type="pct"/>
            <w:tcBorders>
              <w:top w:val="nil"/>
              <w:left w:val="nil"/>
              <w:bottom w:val="nil"/>
              <w:right w:val="nil"/>
            </w:tcBorders>
            <w:shd w:val="clear" w:color="auto" w:fill="auto"/>
            <w:noWrap/>
            <w:vAlign w:val="center"/>
            <w:hideMark/>
          </w:tcPr>
          <w:p w14:paraId="6CFF8C15" w14:textId="77777777" w:rsidR="008A1E55" w:rsidRPr="006B42D6" w:rsidRDefault="008A1E55" w:rsidP="00E16CAE">
            <w:pPr>
              <w:jc w:val="right"/>
              <w:rPr>
                <w:sz w:val="16"/>
                <w:szCs w:val="16"/>
              </w:rPr>
            </w:pPr>
            <w:r w:rsidRPr="006B42D6">
              <w:rPr>
                <w:sz w:val="16"/>
                <w:szCs w:val="16"/>
              </w:rPr>
              <w:t>-</w:t>
            </w:r>
          </w:p>
        </w:tc>
        <w:tc>
          <w:tcPr>
            <w:tcW w:w="443" w:type="pct"/>
            <w:tcBorders>
              <w:top w:val="nil"/>
              <w:left w:val="nil"/>
              <w:bottom w:val="nil"/>
              <w:right w:val="nil"/>
            </w:tcBorders>
            <w:shd w:val="clear" w:color="auto" w:fill="auto"/>
            <w:noWrap/>
            <w:vAlign w:val="center"/>
            <w:hideMark/>
          </w:tcPr>
          <w:p w14:paraId="22ADE2AA" w14:textId="77777777" w:rsidR="008A1E55" w:rsidRPr="006B42D6" w:rsidRDefault="008A1E55" w:rsidP="00E16CAE">
            <w:pPr>
              <w:jc w:val="right"/>
              <w:rPr>
                <w:sz w:val="16"/>
                <w:szCs w:val="16"/>
              </w:rPr>
            </w:pPr>
            <w:r w:rsidRPr="006B42D6">
              <w:rPr>
                <w:sz w:val="16"/>
                <w:szCs w:val="16"/>
              </w:rPr>
              <w:t>-</w:t>
            </w:r>
          </w:p>
        </w:tc>
        <w:tc>
          <w:tcPr>
            <w:tcW w:w="371" w:type="pct"/>
            <w:tcBorders>
              <w:top w:val="nil"/>
              <w:left w:val="nil"/>
              <w:bottom w:val="nil"/>
              <w:right w:val="nil"/>
            </w:tcBorders>
            <w:shd w:val="clear" w:color="auto" w:fill="auto"/>
            <w:noWrap/>
            <w:vAlign w:val="center"/>
            <w:hideMark/>
          </w:tcPr>
          <w:p w14:paraId="03DD4FEE" w14:textId="77777777" w:rsidR="008A1E55" w:rsidRPr="006B42D6" w:rsidRDefault="008A1E55" w:rsidP="00E16CAE">
            <w:pPr>
              <w:jc w:val="right"/>
              <w:rPr>
                <w:sz w:val="16"/>
                <w:szCs w:val="16"/>
              </w:rPr>
            </w:pPr>
            <w:r w:rsidRPr="006B42D6">
              <w:rPr>
                <w:sz w:val="16"/>
                <w:szCs w:val="16"/>
              </w:rPr>
              <w:t>-</w:t>
            </w:r>
          </w:p>
        </w:tc>
        <w:tc>
          <w:tcPr>
            <w:tcW w:w="352" w:type="pct"/>
            <w:tcBorders>
              <w:top w:val="nil"/>
              <w:left w:val="nil"/>
              <w:bottom w:val="nil"/>
              <w:right w:val="nil"/>
            </w:tcBorders>
            <w:shd w:val="clear" w:color="auto" w:fill="auto"/>
            <w:noWrap/>
            <w:vAlign w:val="center"/>
            <w:hideMark/>
          </w:tcPr>
          <w:p w14:paraId="5C500B77" w14:textId="77777777" w:rsidR="008A1E55" w:rsidRPr="006B42D6" w:rsidRDefault="008A1E55" w:rsidP="00E16CAE">
            <w:pPr>
              <w:jc w:val="right"/>
              <w:rPr>
                <w:sz w:val="16"/>
                <w:szCs w:val="16"/>
              </w:rPr>
            </w:pPr>
            <w:r w:rsidRPr="006B42D6">
              <w:rPr>
                <w:sz w:val="16"/>
                <w:szCs w:val="16"/>
              </w:rPr>
              <w:t>-</w:t>
            </w:r>
          </w:p>
        </w:tc>
        <w:tc>
          <w:tcPr>
            <w:tcW w:w="287" w:type="pct"/>
            <w:tcBorders>
              <w:top w:val="nil"/>
              <w:left w:val="nil"/>
              <w:bottom w:val="nil"/>
              <w:right w:val="nil"/>
            </w:tcBorders>
            <w:shd w:val="clear" w:color="auto" w:fill="auto"/>
            <w:noWrap/>
            <w:vAlign w:val="center"/>
            <w:hideMark/>
          </w:tcPr>
          <w:p w14:paraId="05D4C24E" w14:textId="77777777" w:rsidR="008A1E55" w:rsidRPr="006B42D6" w:rsidRDefault="008A1E55" w:rsidP="00E16CAE">
            <w:pPr>
              <w:jc w:val="right"/>
              <w:rPr>
                <w:sz w:val="16"/>
                <w:szCs w:val="16"/>
              </w:rPr>
            </w:pPr>
            <w:r w:rsidRPr="006B42D6">
              <w:rPr>
                <w:sz w:val="16"/>
                <w:szCs w:val="16"/>
              </w:rPr>
              <w:t>-</w:t>
            </w:r>
          </w:p>
        </w:tc>
        <w:tc>
          <w:tcPr>
            <w:tcW w:w="287" w:type="pct"/>
            <w:tcBorders>
              <w:top w:val="nil"/>
              <w:left w:val="nil"/>
              <w:bottom w:val="nil"/>
              <w:right w:val="nil"/>
            </w:tcBorders>
            <w:shd w:val="clear" w:color="auto" w:fill="auto"/>
            <w:noWrap/>
            <w:vAlign w:val="center"/>
            <w:hideMark/>
          </w:tcPr>
          <w:p w14:paraId="4E2ED74B" w14:textId="77777777" w:rsidR="008A1E55" w:rsidRPr="006B42D6" w:rsidRDefault="008A1E55" w:rsidP="00E16CAE">
            <w:pPr>
              <w:jc w:val="right"/>
              <w:rPr>
                <w:sz w:val="16"/>
                <w:szCs w:val="16"/>
              </w:rPr>
            </w:pPr>
            <w:r w:rsidRPr="006B42D6">
              <w:rPr>
                <w:sz w:val="16"/>
                <w:szCs w:val="16"/>
              </w:rPr>
              <w:t>-</w:t>
            </w:r>
          </w:p>
        </w:tc>
        <w:tc>
          <w:tcPr>
            <w:tcW w:w="287" w:type="pct"/>
            <w:tcBorders>
              <w:top w:val="nil"/>
              <w:left w:val="nil"/>
              <w:bottom w:val="nil"/>
              <w:right w:val="nil"/>
            </w:tcBorders>
            <w:shd w:val="clear" w:color="auto" w:fill="auto"/>
            <w:noWrap/>
            <w:vAlign w:val="center"/>
            <w:hideMark/>
          </w:tcPr>
          <w:p w14:paraId="7606317C" w14:textId="77777777" w:rsidR="008A1E55" w:rsidRPr="006B42D6" w:rsidRDefault="008A1E55" w:rsidP="00E16CAE">
            <w:pPr>
              <w:jc w:val="right"/>
              <w:rPr>
                <w:sz w:val="16"/>
                <w:szCs w:val="16"/>
              </w:rPr>
            </w:pPr>
            <w:r w:rsidRPr="006B42D6">
              <w:rPr>
                <w:sz w:val="16"/>
                <w:szCs w:val="16"/>
              </w:rPr>
              <w:t>-</w:t>
            </w:r>
          </w:p>
        </w:tc>
        <w:tc>
          <w:tcPr>
            <w:tcW w:w="315" w:type="pct"/>
            <w:tcBorders>
              <w:top w:val="nil"/>
              <w:left w:val="nil"/>
              <w:bottom w:val="nil"/>
              <w:right w:val="nil"/>
            </w:tcBorders>
            <w:shd w:val="clear" w:color="auto" w:fill="auto"/>
            <w:noWrap/>
            <w:vAlign w:val="center"/>
            <w:hideMark/>
          </w:tcPr>
          <w:p w14:paraId="66A548B2" w14:textId="77777777" w:rsidR="008A1E55" w:rsidRPr="006B42D6" w:rsidRDefault="008A1E55" w:rsidP="00E16CAE">
            <w:pPr>
              <w:jc w:val="right"/>
              <w:rPr>
                <w:sz w:val="16"/>
                <w:szCs w:val="16"/>
              </w:rPr>
            </w:pPr>
            <w:r w:rsidRPr="006B42D6">
              <w:rPr>
                <w:sz w:val="16"/>
                <w:szCs w:val="16"/>
              </w:rPr>
              <w:t>-</w:t>
            </w:r>
          </w:p>
        </w:tc>
        <w:tc>
          <w:tcPr>
            <w:tcW w:w="226" w:type="pct"/>
            <w:tcBorders>
              <w:top w:val="nil"/>
              <w:left w:val="nil"/>
              <w:bottom w:val="nil"/>
              <w:right w:val="nil"/>
            </w:tcBorders>
            <w:shd w:val="clear" w:color="auto" w:fill="auto"/>
            <w:noWrap/>
            <w:vAlign w:val="center"/>
            <w:hideMark/>
          </w:tcPr>
          <w:p w14:paraId="6DE2CF2B" w14:textId="77777777" w:rsidR="008A1E55" w:rsidRPr="006B42D6" w:rsidRDefault="008A1E55" w:rsidP="00E16CAE">
            <w:pPr>
              <w:jc w:val="right"/>
              <w:rPr>
                <w:sz w:val="16"/>
                <w:szCs w:val="16"/>
              </w:rPr>
            </w:pPr>
            <w:r w:rsidRPr="006B42D6">
              <w:rPr>
                <w:sz w:val="16"/>
                <w:szCs w:val="16"/>
              </w:rPr>
              <w:t>-</w:t>
            </w:r>
          </w:p>
        </w:tc>
      </w:tr>
      <w:tr w:rsidR="006B42D6" w:rsidRPr="006B42D6" w14:paraId="77275C4D" w14:textId="77777777" w:rsidTr="0024189E">
        <w:trPr>
          <w:trHeight w:hRule="exact" w:val="198"/>
        </w:trPr>
        <w:tc>
          <w:tcPr>
            <w:tcW w:w="653" w:type="pct"/>
            <w:tcBorders>
              <w:top w:val="nil"/>
              <w:left w:val="nil"/>
              <w:bottom w:val="nil"/>
              <w:right w:val="nil"/>
            </w:tcBorders>
            <w:shd w:val="clear" w:color="auto" w:fill="auto"/>
            <w:noWrap/>
            <w:vAlign w:val="center"/>
            <w:hideMark/>
          </w:tcPr>
          <w:p w14:paraId="7ED025A2" w14:textId="77777777" w:rsidR="008A1E55" w:rsidRPr="006B42D6" w:rsidRDefault="008A1E55" w:rsidP="00E16CAE">
            <w:pPr>
              <w:rPr>
                <w:sz w:val="16"/>
                <w:szCs w:val="16"/>
              </w:rPr>
            </w:pPr>
            <w:r w:rsidRPr="006B42D6">
              <w:rPr>
                <w:sz w:val="16"/>
                <w:szCs w:val="16"/>
              </w:rPr>
              <w:t>Kusini Pemba</w:t>
            </w:r>
          </w:p>
        </w:tc>
        <w:tc>
          <w:tcPr>
            <w:tcW w:w="302" w:type="pct"/>
            <w:tcBorders>
              <w:top w:val="nil"/>
              <w:left w:val="nil"/>
              <w:bottom w:val="nil"/>
              <w:right w:val="nil"/>
            </w:tcBorders>
            <w:shd w:val="clear" w:color="auto" w:fill="auto"/>
            <w:noWrap/>
            <w:vAlign w:val="center"/>
            <w:hideMark/>
          </w:tcPr>
          <w:p w14:paraId="1240C445" w14:textId="77777777" w:rsidR="008A1E55" w:rsidRPr="006B42D6" w:rsidRDefault="008A1E55" w:rsidP="00E16CAE">
            <w:pPr>
              <w:jc w:val="right"/>
              <w:rPr>
                <w:sz w:val="16"/>
                <w:szCs w:val="16"/>
              </w:rPr>
            </w:pPr>
            <w:r w:rsidRPr="006B42D6">
              <w:rPr>
                <w:sz w:val="16"/>
                <w:szCs w:val="16"/>
              </w:rPr>
              <w:t>35.6</w:t>
            </w:r>
          </w:p>
        </w:tc>
        <w:tc>
          <w:tcPr>
            <w:tcW w:w="343" w:type="pct"/>
            <w:tcBorders>
              <w:top w:val="nil"/>
              <w:left w:val="nil"/>
              <w:bottom w:val="nil"/>
              <w:right w:val="nil"/>
            </w:tcBorders>
            <w:shd w:val="clear" w:color="auto" w:fill="auto"/>
            <w:noWrap/>
            <w:vAlign w:val="center"/>
            <w:hideMark/>
          </w:tcPr>
          <w:p w14:paraId="59B64DD4" w14:textId="77777777" w:rsidR="008A1E55" w:rsidRPr="006B42D6" w:rsidRDefault="008A1E55" w:rsidP="00E16CAE">
            <w:pPr>
              <w:jc w:val="right"/>
              <w:rPr>
                <w:sz w:val="16"/>
                <w:szCs w:val="16"/>
              </w:rPr>
            </w:pPr>
            <w:r w:rsidRPr="006B42D6">
              <w:rPr>
                <w:sz w:val="16"/>
                <w:szCs w:val="16"/>
              </w:rPr>
              <w:t>4.5</w:t>
            </w:r>
          </w:p>
        </w:tc>
        <w:tc>
          <w:tcPr>
            <w:tcW w:w="400" w:type="pct"/>
            <w:tcBorders>
              <w:top w:val="nil"/>
              <w:left w:val="nil"/>
              <w:bottom w:val="nil"/>
              <w:right w:val="nil"/>
            </w:tcBorders>
            <w:shd w:val="clear" w:color="auto" w:fill="auto"/>
            <w:noWrap/>
            <w:vAlign w:val="center"/>
            <w:hideMark/>
          </w:tcPr>
          <w:p w14:paraId="41D491C9" w14:textId="77777777" w:rsidR="008A1E55" w:rsidRPr="006B42D6" w:rsidRDefault="008A1E55" w:rsidP="00E16CAE">
            <w:pPr>
              <w:jc w:val="right"/>
              <w:rPr>
                <w:sz w:val="16"/>
                <w:szCs w:val="16"/>
              </w:rPr>
            </w:pPr>
            <w:r w:rsidRPr="006B42D6">
              <w:rPr>
                <w:sz w:val="16"/>
                <w:szCs w:val="16"/>
              </w:rPr>
              <w:t>56.7</w:t>
            </w:r>
          </w:p>
        </w:tc>
        <w:tc>
          <w:tcPr>
            <w:tcW w:w="363" w:type="pct"/>
            <w:tcBorders>
              <w:top w:val="nil"/>
              <w:left w:val="nil"/>
              <w:bottom w:val="nil"/>
              <w:right w:val="nil"/>
            </w:tcBorders>
            <w:shd w:val="clear" w:color="auto" w:fill="auto"/>
            <w:noWrap/>
            <w:vAlign w:val="center"/>
            <w:hideMark/>
          </w:tcPr>
          <w:p w14:paraId="12E9A8B5" w14:textId="77777777" w:rsidR="008A1E55" w:rsidRPr="006B42D6" w:rsidRDefault="008A1E55" w:rsidP="00E16CAE">
            <w:pPr>
              <w:jc w:val="right"/>
              <w:rPr>
                <w:sz w:val="16"/>
                <w:szCs w:val="16"/>
              </w:rPr>
            </w:pPr>
            <w:r w:rsidRPr="006B42D6">
              <w:rPr>
                <w:sz w:val="16"/>
                <w:szCs w:val="16"/>
              </w:rPr>
              <w:t>22.1</w:t>
            </w:r>
          </w:p>
        </w:tc>
        <w:tc>
          <w:tcPr>
            <w:tcW w:w="373" w:type="pct"/>
            <w:tcBorders>
              <w:top w:val="nil"/>
              <w:left w:val="nil"/>
              <w:bottom w:val="nil"/>
              <w:right w:val="nil"/>
            </w:tcBorders>
            <w:shd w:val="clear" w:color="auto" w:fill="auto"/>
            <w:noWrap/>
            <w:vAlign w:val="center"/>
            <w:hideMark/>
          </w:tcPr>
          <w:p w14:paraId="28F9F5AE" w14:textId="77777777" w:rsidR="008A1E55" w:rsidRPr="006B42D6" w:rsidRDefault="008A1E55" w:rsidP="00E16CAE">
            <w:pPr>
              <w:jc w:val="right"/>
              <w:rPr>
                <w:sz w:val="16"/>
                <w:szCs w:val="16"/>
              </w:rPr>
            </w:pPr>
            <w:r w:rsidRPr="006B42D6">
              <w:rPr>
                <w:sz w:val="16"/>
                <w:szCs w:val="16"/>
              </w:rPr>
              <w:t>-</w:t>
            </w:r>
          </w:p>
        </w:tc>
        <w:tc>
          <w:tcPr>
            <w:tcW w:w="443" w:type="pct"/>
            <w:tcBorders>
              <w:top w:val="nil"/>
              <w:left w:val="nil"/>
              <w:bottom w:val="nil"/>
              <w:right w:val="nil"/>
            </w:tcBorders>
            <w:shd w:val="clear" w:color="auto" w:fill="auto"/>
            <w:noWrap/>
            <w:vAlign w:val="center"/>
            <w:hideMark/>
          </w:tcPr>
          <w:p w14:paraId="1852EA75" w14:textId="77777777" w:rsidR="008A1E55" w:rsidRPr="006B42D6" w:rsidRDefault="008A1E55" w:rsidP="00E16CAE">
            <w:pPr>
              <w:jc w:val="right"/>
              <w:rPr>
                <w:sz w:val="16"/>
                <w:szCs w:val="16"/>
              </w:rPr>
            </w:pPr>
            <w:r w:rsidRPr="006B42D6">
              <w:rPr>
                <w:sz w:val="16"/>
                <w:szCs w:val="16"/>
              </w:rPr>
              <w:t>-</w:t>
            </w:r>
          </w:p>
        </w:tc>
        <w:tc>
          <w:tcPr>
            <w:tcW w:w="371" w:type="pct"/>
            <w:tcBorders>
              <w:top w:val="nil"/>
              <w:left w:val="nil"/>
              <w:bottom w:val="nil"/>
              <w:right w:val="nil"/>
            </w:tcBorders>
            <w:shd w:val="clear" w:color="auto" w:fill="auto"/>
            <w:noWrap/>
            <w:vAlign w:val="center"/>
            <w:hideMark/>
          </w:tcPr>
          <w:p w14:paraId="3FF9409A" w14:textId="77777777" w:rsidR="008A1E55" w:rsidRPr="006B42D6" w:rsidRDefault="008A1E55" w:rsidP="00E16CAE">
            <w:pPr>
              <w:jc w:val="right"/>
              <w:rPr>
                <w:sz w:val="16"/>
                <w:szCs w:val="16"/>
              </w:rPr>
            </w:pPr>
            <w:r w:rsidRPr="006B42D6">
              <w:rPr>
                <w:sz w:val="16"/>
                <w:szCs w:val="16"/>
              </w:rPr>
              <w:t>-</w:t>
            </w:r>
          </w:p>
        </w:tc>
        <w:tc>
          <w:tcPr>
            <w:tcW w:w="352" w:type="pct"/>
            <w:tcBorders>
              <w:top w:val="nil"/>
              <w:left w:val="nil"/>
              <w:bottom w:val="nil"/>
              <w:right w:val="nil"/>
            </w:tcBorders>
            <w:shd w:val="clear" w:color="auto" w:fill="auto"/>
            <w:noWrap/>
            <w:vAlign w:val="center"/>
            <w:hideMark/>
          </w:tcPr>
          <w:p w14:paraId="58303354" w14:textId="77777777" w:rsidR="008A1E55" w:rsidRPr="006B42D6" w:rsidRDefault="008A1E55" w:rsidP="00E16CAE">
            <w:pPr>
              <w:jc w:val="right"/>
              <w:rPr>
                <w:sz w:val="16"/>
                <w:szCs w:val="16"/>
              </w:rPr>
            </w:pPr>
            <w:r w:rsidRPr="006B42D6">
              <w:rPr>
                <w:sz w:val="16"/>
                <w:szCs w:val="16"/>
              </w:rPr>
              <w:t>-</w:t>
            </w:r>
          </w:p>
        </w:tc>
        <w:tc>
          <w:tcPr>
            <w:tcW w:w="287" w:type="pct"/>
            <w:tcBorders>
              <w:top w:val="nil"/>
              <w:left w:val="nil"/>
              <w:bottom w:val="nil"/>
              <w:right w:val="nil"/>
            </w:tcBorders>
            <w:shd w:val="clear" w:color="auto" w:fill="auto"/>
            <w:noWrap/>
            <w:vAlign w:val="center"/>
            <w:hideMark/>
          </w:tcPr>
          <w:p w14:paraId="4C2E001F" w14:textId="77777777" w:rsidR="008A1E55" w:rsidRPr="006B42D6" w:rsidRDefault="008A1E55" w:rsidP="00E16CAE">
            <w:pPr>
              <w:jc w:val="right"/>
              <w:rPr>
                <w:sz w:val="16"/>
                <w:szCs w:val="16"/>
              </w:rPr>
            </w:pPr>
            <w:r w:rsidRPr="006B42D6">
              <w:rPr>
                <w:sz w:val="16"/>
                <w:szCs w:val="16"/>
              </w:rPr>
              <w:t>-</w:t>
            </w:r>
          </w:p>
        </w:tc>
        <w:tc>
          <w:tcPr>
            <w:tcW w:w="287" w:type="pct"/>
            <w:tcBorders>
              <w:top w:val="nil"/>
              <w:left w:val="nil"/>
              <w:bottom w:val="nil"/>
              <w:right w:val="nil"/>
            </w:tcBorders>
            <w:shd w:val="clear" w:color="auto" w:fill="auto"/>
            <w:noWrap/>
            <w:vAlign w:val="center"/>
            <w:hideMark/>
          </w:tcPr>
          <w:p w14:paraId="1BC7809A" w14:textId="77777777" w:rsidR="008A1E55" w:rsidRPr="006B42D6" w:rsidRDefault="008A1E55" w:rsidP="00E16CAE">
            <w:pPr>
              <w:jc w:val="right"/>
              <w:rPr>
                <w:sz w:val="16"/>
                <w:szCs w:val="16"/>
              </w:rPr>
            </w:pPr>
            <w:r w:rsidRPr="006B42D6">
              <w:rPr>
                <w:sz w:val="16"/>
                <w:szCs w:val="16"/>
              </w:rPr>
              <w:t>-</w:t>
            </w:r>
          </w:p>
        </w:tc>
        <w:tc>
          <w:tcPr>
            <w:tcW w:w="287" w:type="pct"/>
            <w:tcBorders>
              <w:top w:val="nil"/>
              <w:left w:val="nil"/>
              <w:bottom w:val="nil"/>
              <w:right w:val="nil"/>
            </w:tcBorders>
            <w:shd w:val="clear" w:color="auto" w:fill="auto"/>
            <w:noWrap/>
            <w:vAlign w:val="center"/>
            <w:hideMark/>
          </w:tcPr>
          <w:p w14:paraId="4F9D5788" w14:textId="77777777" w:rsidR="008A1E55" w:rsidRPr="006B42D6" w:rsidRDefault="008A1E55" w:rsidP="00E16CAE">
            <w:pPr>
              <w:jc w:val="right"/>
              <w:rPr>
                <w:sz w:val="16"/>
                <w:szCs w:val="16"/>
              </w:rPr>
            </w:pPr>
            <w:r w:rsidRPr="006B42D6">
              <w:rPr>
                <w:sz w:val="16"/>
                <w:szCs w:val="16"/>
              </w:rPr>
              <w:t>-</w:t>
            </w:r>
          </w:p>
        </w:tc>
        <w:tc>
          <w:tcPr>
            <w:tcW w:w="315" w:type="pct"/>
            <w:tcBorders>
              <w:top w:val="nil"/>
              <w:left w:val="nil"/>
              <w:bottom w:val="nil"/>
              <w:right w:val="nil"/>
            </w:tcBorders>
            <w:shd w:val="clear" w:color="auto" w:fill="auto"/>
            <w:noWrap/>
            <w:vAlign w:val="center"/>
            <w:hideMark/>
          </w:tcPr>
          <w:p w14:paraId="6233D019" w14:textId="77777777" w:rsidR="008A1E55" w:rsidRPr="006B42D6" w:rsidRDefault="008A1E55" w:rsidP="00E16CAE">
            <w:pPr>
              <w:jc w:val="right"/>
              <w:rPr>
                <w:sz w:val="16"/>
                <w:szCs w:val="16"/>
              </w:rPr>
            </w:pPr>
            <w:r w:rsidRPr="006B42D6">
              <w:rPr>
                <w:sz w:val="16"/>
                <w:szCs w:val="16"/>
              </w:rPr>
              <w:t>35.8</w:t>
            </w:r>
          </w:p>
        </w:tc>
        <w:tc>
          <w:tcPr>
            <w:tcW w:w="226" w:type="pct"/>
            <w:tcBorders>
              <w:top w:val="nil"/>
              <w:left w:val="nil"/>
              <w:bottom w:val="nil"/>
              <w:right w:val="nil"/>
            </w:tcBorders>
            <w:shd w:val="clear" w:color="auto" w:fill="auto"/>
            <w:noWrap/>
            <w:vAlign w:val="center"/>
            <w:hideMark/>
          </w:tcPr>
          <w:p w14:paraId="78C34B29" w14:textId="77777777" w:rsidR="008A1E55" w:rsidRPr="006B42D6" w:rsidRDefault="008A1E55" w:rsidP="00E16CAE">
            <w:pPr>
              <w:jc w:val="right"/>
              <w:rPr>
                <w:sz w:val="16"/>
                <w:szCs w:val="16"/>
              </w:rPr>
            </w:pPr>
            <w:r w:rsidRPr="006B42D6">
              <w:rPr>
                <w:sz w:val="16"/>
                <w:szCs w:val="16"/>
              </w:rPr>
              <w:t>-</w:t>
            </w:r>
          </w:p>
        </w:tc>
      </w:tr>
      <w:tr w:rsidR="008A1E55" w:rsidRPr="006B42D6" w14:paraId="33224213" w14:textId="77777777" w:rsidTr="0024189E">
        <w:trPr>
          <w:trHeight w:hRule="exact" w:val="227"/>
        </w:trPr>
        <w:tc>
          <w:tcPr>
            <w:tcW w:w="653" w:type="pct"/>
            <w:tcBorders>
              <w:top w:val="single" w:sz="4" w:space="0" w:color="auto"/>
              <w:left w:val="nil"/>
              <w:bottom w:val="single" w:sz="4" w:space="0" w:color="auto"/>
              <w:right w:val="nil"/>
            </w:tcBorders>
            <w:shd w:val="clear" w:color="auto" w:fill="E2EFD9" w:themeFill="accent6" w:themeFillTint="33"/>
            <w:noWrap/>
            <w:vAlign w:val="center"/>
            <w:hideMark/>
          </w:tcPr>
          <w:p w14:paraId="3C0CF247" w14:textId="77777777" w:rsidR="008A1E55" w:rsidRPr="006B42D6" w:rsidRDefault="008A1E55" w:rsidP="00E16CAE">
            <w:pPr>
              <w:rPr>
                <w:b/>
                <w:bCs/>
                <w:sz w:val="16"/>
                <w:szCs w:val="16"/>
              </w:rPr>
            </w:pPr>
            <w:r w:rsidRPr="006B42D6">
              <w:rPr>
                <w:b/>
                <w:bCs/>
                <w:sz w:val="16"/>
                <w:szCs w:val="16"/>
              </w:rPr>
              <w:t>Tanzania Zanzibar</w:t>
            </w:r>
          </w:p>
        </w:tc>
        <w:tc>
          <w:tcPr>
            <w:tcW w:w="302" w:type="pct"/>
            <w:tcBorders>
              <w:top w:val="single" w:sz="4" w:space="0" w:color="auto"/>
              <w:left w:val="nil"/>
              <w:bottom w:val="single" w:sz="4" w:space="0" w:color="auto"/>
              <w:right w:val="nil"/>
            </w:tcBorders>
            <w:shd w:val="clear" w:color="auto" w:fill="E2EFD9" w:themeFill="accent6" w:themeFillTint="33"/>
            <w:noWrap/>
            <w:vAlign w:val="center"/>
            <w:hideMark/>
          </w:tcPr>
          <w:p w14:paraId="57B774D1" w14:textId="77777777" w:rsidR="008A1E55" w:rsidRPr="006B42D6" w:rsidRDefault="008A1E55" w:rsidP="00E16CAE">
            <w:pPr>
              <w:jc w:val="right"/>
              <w:rPr>
                <w:b/>
                <w:bCs/>
                <w:sz w:val="16"/>
                <w:szCs w:val="16"/>
              </w:rPr>
            </w:pPr>
            <w:r w:rsidRPr="006B42D6">
              <w:rPr>
                <w:b/>
                <w:bCs/>
                <w:sz w:val="16"/>
                <w:szCs w:val="16"/>
              </w:rPr>
              <w:t>100.0</w:t>
            </w:r>
          </w:p>
        </w:tc>
        <w:tc>
          <w:tcPr>
            <w:tcW w:w="343" w:type="pct"/>
            <w:tcBorders>
              <w:top w:val="single" w:sz="4" w:space="0" w:color="auto"/>
              <w:left w:val="nil"/>
              <w:bottom w:val="single" w:sz="4" w:space="0" w:color="auto"/>
              <w:right w:val="nil"/>
            </w:tcBorders>
            <w:shd w:val="clear" w:color="auto" w:fill="E2EFD9" w:themeFill="accent6" w:themeFillTint="33"/>
            <w:noWrap/>
            <w:vAlign w:val="center"/>
            <w:hideMark/>
          </w:tcPr>
          <w:p w14:paraId="34096CC3" w14:textId="77777777" w:rsidR="008A1E55" w:rsidRPr="006B42D6" w:rsidRDefault="008A1E55" w:rsidP="00E16CAE">
            <w:pPr>
              <w:jc w:val="right"/>
              <w:rPr>
                <w:b/>
                <w:bCs/>
                <w:sz w:val="16"/>
                <w:szCs w:val="16"/>
              </w:rPr>
            </w:pPr>
            <w:r w:rsidRPr="006B42D6">
              <w:rPr>
                <w:b/>
                <w:bCs/>
                <w:sz w:val="16"/>
                <w:szCs w:val="16"/>
              </w:rPr>
              <w:t>100.0</w:t>
            </w:r>
          </w:p>
        </w:tc>
        <w:tc>
          <w:tcPr>
            <w:tcW w:w="400" w:type="pct"/>
            <w:tcBorders>
              <w:top w:val="single" w:sz="4" w:space="0" w:color="auto"/>
              <w:left w:val="nil"/>
              <w:bottom w:val="single" w:sz="4" w:space="0" w:color="auto"/>
              <w:right w:val="nil"/>
            </w:tcBorders>
            <w:shd w:val="clear" w:color="auto" w:fill="E2EFD9" w:themeFill="accent6" w:themeFillTint="33"/>
            <w:noWrap/>
            <w:vAlign w:val="center"/>
            <w:hideMark/>
          </w:tcPr>
          <w:p w14:paraId="689E51D3" w14:textId="77777777" w:rsidR="008A1E55" w:rsidRPr="006B42D6" w:rsidRDefault="008A1E55" w:rsidP="00E16CAE">
            <w:pPr>
              <w:jc w:val="right"/>
              <w:rPr>
                <w:b/>
                <w:bCs/>
                <w:sz w:val="16"/>
                <w:szCs w:val="16"/>
              </w:rPr>
            </w:pPr>
            <w:r w:rsidRPr="006B42D6">
              <w:rPr>
                <w:b/>
                <w:bCs/>
                <w:sz w:val="16"/>
                <w:szCs w:val="16"/>
              </w:rPr>
              <w:t>100.0</w:t>
            </w:r>
          </w:p>
        </w:tc>
        <w:tc>
          <w:tcPr>
            <w:tcW w:w="363" w:type="pct"/>
            <w:tcBorders>
              <w:top w:val="single" w:sz="4" w:space="0" w:color="auto"/>
              <w:left w:val="nil"/>
              <w:bottom w:val="single" w:sz="4" w:space="0" w:color="auto"/>
              <w:right w:val="nil"/>
            </w:tcBorders>
            <w:shd w:val="clear" w:color="auto" w:fill="E2EFD9" w:themeFill="accent6" w:themeFillTint="33"/>
            <w:noWrap/>
            <w:vAlign w:val="center"/>
            <w:hideMark/>
          </w:tcPr>
          <w:p w14:paraId="1CB5F574" w14:textId="77777777" w:rsidR="008A1E55" w:rsidRPr="006B42D6" w:rsidRDefault="008A1E55" w:rsidP="00E16CAE">
            <w:pPr>
              <w:jc w:val="right"/>
              <w:rPr>
                <w:b/>
                <w:bCs/>
                <w:sz w:val="16"/>
                <w:szCs w:val="16"/>
              </w:rPr>
            </w:pPr>
            <w:r w:rsidRPr="006B42D6">
              <w:rPr>
                <w:b/>
                <w:bCs/>
                <w:sz w:val="16"/>
                <w:szCs w:val="16"/>
              </w:rPr>
              <w:t>100.0</w:t>
            </w:r>
          </w:p>
        </w:tc>
        <w:tc>
          <w:tcPr>
            <w:tcW w:w="373" w:type="pct"/>
            <w:tcBorders>
              <w:top w:val="single" w:sz="4" w:space="0" w:color="auto"/>
              <w:left w:val="nil"/>
              <w:bottom w:val="single" w:sz="4" w:space="0" w:color="auto"/>
              <w:right w:val="nil"/>
            </w:tcBorders>
            <w:shd w:val="clear" w:color="auto" w:fill="E2EFD9" w:themeFill="accent6" w:themeFillTint="33"/>
            <w:noWrap/>
            <w:vAlign w:val="center"/>
            <w:hideMark/>
          </w:tcPr>
          <w:p w14:paraId="0B9628E7" w14:textId="77777777" w:rsidR="008A1E55" w:rsidRPr="006B42D6" w:rsidRDefault="008A1E55" w:rsidP="00E16CAE">
            <w:pPr>
              <w:jc w:val="right"/>
              <w:rPr>
                <w:b/>
                <w:bCs/>
                <w:sz w:val="16"/>
                <w:szCs w:val="16"/>
              </w:rPr>
            </w:pPr>
            <w:r w:rsidRPr="006B42D6">
              <w:rPr>
                <w:b/>
                <w:bCs/>
                <w:sz w:val="16"/>
                <w:szCs w:val="16"/>
              </w:rPr>
              <w:t>100.0</w:t>
            </w:r>
          </w:p>
        </w:tc>
        <w:tc>
          <w:tcPr>
            <w:tcW w:w="443" w:type="pct"/>
            <w:tcBorders>
              <w:top w:val="single" w:sz="4" w:space="0" w:color="auto"/>
              <w:left w:val="nil"/>
              <w:bottom w:val="single" w:sz="4" w:space="0" w:color="auto"/>
              <w:right w:val="nil"/>
            </w:tcBorders>
            <w:shd w:val="clear" w:color="auto" w:fill="E2EFD9" w:themeFill="accent6" w:themeFillTint="33"/>
            <w:noWrap/>
            <w:vAlign w:val="center"/>
            <w:hideMark/>
          </w:tcPr>
          <w:p w14:paraId="1AABDD84" w14:textId="77777777" w:rsidR="008A1E55" w:rsidRPr="006B42D6" w:rsidRDefault="008A1E55" w:rsidP="00E16CAE">
            <w:pPr>
              <w:jc w:val="right"/>
              <w:rPr>
                <w:b/>
                <w:bCs/>
                <w:sz w:val="16"/>
                <w:szCs w:val="16"/>
              </w:rPr>
            </w:pPr>
            <w:r w:rsidRPr="006B42D6">
              <w:rPr>
                <w:b/>
                <w:bCs/>
                <w:sz w:val="16"/>
                <w:szCs w:val="16"/>
              </w:rPr>
              <w:t>100.0</w:t>
            </w:r>
          </w:p>
        </w:tc>
        <w:tc>
          <w:tcPr>
            <w:tcW w:w="371" w:type="pct"/>
            <w:tcBorders>
              <w:top w:val="single" w:sz="4" w:space="0" w:color="auto"/>
              <w:left w:val="nil"/>
              <w:bottom w:val="single" w:sz="4" w:space="0" w:color="auto"/>
              <w:right w:val="nil"/>
            </w:tcBorders>
            <w:shd w:val="clear" w:color="auto" w:fill="E2EFD9" w:themeFill="accent6" w:themeFillTint="33"/>
            <w:noWrap/>
            <w:vAlign w:val="center"/>
            <w:hideMark/>
          </w:tcPr>
          <w:p w14:paraId="4E5DE240" w14:textId="77777777" w:rsidR="008A1E55" w:rsidRPr="006B42D6" w:rsidRDefault="008A1E55" w:rsidP="00E16CAE">
            <w:pPr>
              <w:jc w:val="right"/>
              <w:rPr>
                <w:b/>
                <w:bCs/>
                <w:sz w:val="16"/>
                <w:szCs w:val="16"/>
              </w:rPr>
            </w:pPr>
            <w:r w:rsidRPr="006B42D6">
              <w:rPr>
                <w:b/>
                <w:bCs/>
                <w:sz w:val="16"/>
                <w:szCs w:val="16"/>
              </w:rPr>
              <w:t>-</w:t>
            </w:r>
          </w:p>
        </w:tc>
        <w:tc>
          <w:tcPr>
            <w:tcW w:w="352" w:type="pct"/>
            <w:tcBorders>
              <w:top w:val="single" w:sz="4" w:space="0" w:color="auto"/>
              <w:left w:val="nil"/>
              <w:bottom w:val="single" w:sz="4" w:space="0" w:color="auto"/>
              <w:right w:val="nil"/>
            </w:tcBorders>
            <w:shd w:val="clear" w:color="auto" w:fill="E2EFD9" w:themeFill="accent6" w:themeFillTint="33"/>
            <w:noWrap/>
            <w:vAlign w:val="center"/>
            <w:hideMark/>
          </w:tcPr>
          <w:p w14:paraId="02BD8E2A" w14:textId="77777777" w:rsidR="008A1E55" w:rsidRPr="006B42D6" w:rsidRDefault="008A1E55" w:rsidP="00E16CAE">
            <w:pPr>
              <w:jc w:val="right"/>
              <w:rPr>
                <w:b/>
                <w:bCs/>
                <w:sz w:val="16"/>
                <w:szCs w:val="16"/>
              </w:rPr>
            </w:pPr>
            <w:r w:rsidRPr="006B42D6">
              <w:rPr>
                <w:b/>
                <w:bCs/>
                <w:sz w:val="16"/>
                <w:szCs w:val="16"/>
              </w:rPr>
              <w:t>100.0</w:t>
            </w:r>
          </w:p>
        </w:tc>
        <w:tc>
          <w:tcPr>
            <w:tcW w:w="287" w:type="pct"/>
            <w:tcBorders>
              <w:top w:val="single" w:sz="4" w:space="0" w:color="auto"/>
              <w:left w:val="nil"/>
              <w:bottom w:val="single" w:sz="4" w:space="0" w:color="auto"/>
              <w:right w:val="nil"/>
            </w:tcBorders>
            <w:shd w:val="clear" w:color="auto" w:fill="E2EFD9" w:themeFill="accent6" w:themeFillTint="33"/>
            <w:noWrap/>
            <w:vAlign w:val="center"/>
            <w:hideMark/>
          </w:tcPr>
          <w:p w14:paraId="3D039DBA" w14:textId="77777777" w:rsidR="008A1E55" w:rsidRPr="006B42D6" w:rsidRDefault="008A1E55" w:rsidP="00E16CAE">
            <w:pPr>
              <w:jc w:val="right"/>
              <w:rPr>
                <w:b/>
                <w:bCs/>
                <w:sz w:val="16"/>
                <w:szCs w:val="16"/>
              </w:rPr>
            </w:pPr>
            <w:r w:rsidRPr="006B42D6">
              <w:rPr>
                <w:b/>
                <w:bCs/>
                <w:sz w:val="16"/>
                <w:szCs w:val="16"/>
              </w:rPr>
              <w:t>100.0</w:t>
            </w:r>
          </w:p>
        </w:tc>
        <w:tc>
          <w:tcPr>
            <w:tcW w:w="287" w:type="pct"/>
            <w:tcBorders>
              <w:top w:val="single" w:sz="4" w:space="0" w:color="auto"/>
              <w:left w:val="nil"/>
              <w:bottom w:val="single" w:sz="4" w:space="0" w:color="auto"/>
              <w:right w:val="nil"/>
            </w:tcBorders>
            <w:shd w:val="clear" w:color="auto" w:fill="E2EFD9" w:themeFill="accent6" w:themeFillTint="33"/>
            <w:noWrap/>
            <w:vAlign w:val="center"/>
            <w:hideMark/>
          </w:tcPr>
          <w:p w14:paraId="4EC6B274" w14:textId="77777777" w:rsidR="008A1E55" w:rsidRPr="006B42D6" w:rsidRDefault="008A1E55" w:rsidP="00E16CAE">
            <w:pPr>
              <w:jc w:val="right"/>
              <w:rPr>
                <w:b/>
                <w:bCs/>
                <w:sz w:val="16"/>
                <w:szCs w:val="16"/>
              </w:rPr>
            </w:pPr>
            <w:r w:rsidRPr="006B42D6">
              <w:rPr>
                <w:b/>
                <w:bCs/>
                <w:sz w:val="16"/>
                <w:szCs w:val="16"/>
              </w:rPr>
              <w:t>100.0</w:t>
            </w:r>
          </w:p>
        </w:tc>
        <w:tc>
          <w:tcPr>
            <w:tcW w:w="287" w:type="pct"/>
            <w:tcBorders>
              <w:top w:val="single" w:sz="4" w:space="0" w:color="auto"/>
              <w:left w:val="nil"/>
              <w:bottom w:val="single" w:sz="4" w:space="0" w:color="auto"/>
              <w:right w:val="nil"/>
            </w:tcBorders>
            <w:shd w:val="clear" w:color="auto" w:fill="E2EFD9" w:themeFill="accent6" w:themeFillTint="33"/>
            <w:noWrap/>
            <w:vAlign w:val="center"/>
            <w:hideMark/>
          </w:tcPr>
          <w:p w14:paraId="37B8DA5E" w14:textId="77777777" w:rsidR="008A1E55" w:rsidRPr="006B42D6" w:rsidRDefault="008A1E55" w:rsidP="00E16CAE">
            <w:pPr>
              <w:jc w:val="right"/>
              <w:rPr>
                <w:b/>
                <w:bCs/>
                <w:sz w:val="16"/>
                <w:szCs w:val="16"/>
              </w:rPr>
            </w:pPr>
            <w:r w:rsidRPr="006B42D6">
              <w:rPr>
                <w:b/>
                <w:bCs/>
                <w:sz w:val="16"/>
                <w:szCs w:val="16"/>
              </w:rPr>
              <w:t>-</w:t>
            </w:r>
          </w:p>
        </w:tc>
        <w:tc>
          <w:tcPr>
            <w:tcW w:w="315" w:type="pct"/>
            <w:tcBorders>
              <w:top w:val="single" w:sz="4" w:space="0" w:color="auto"/>
              <w:left w:val="nil"/>
              <w:bottom w:val="single" w:sz="4" w:space="0" w:color="auto"/>
              <w:right w:val="nil"/>
            </w:tcBorders>
            <w:shd w:val="clear" w:color="auto" w:fill="E2EFD9" w:themeFill="accent6" w:themeFillTint="33"/>
            <w:noWrap/>
            <w:vAlign w:val="center"/>
            <w:hideMark/>
          </w:tcPr>
          <w:p w14:paraId="499E13E7" w14:textId="77777777" w:rsidR="008A1E55" w:rsidRPr="006B42D6" w:rsidRDefault="008A1E55" w:rsidP="00E16CAE">
            <w:pPr>
              <w:jc w:val="right"/>
              <w:rPr>
                <w:b/>
                <w:bCs/>
                <w:sz w:val="16"/>
                <w:szCs w:val="16"/>
              </w:rPr>
            </w:pPr>
            <w:r w:rsidRPr="006B42D6">
              <w:rPr>
                <w:b/>
                <w:bCs/>
                <w:sz w:val="16"/>
                <w:szCs w:val="16"/>
              </w:rPr>
              <w:t>100.0</w:t>
            </w:r>
          </w:p>
        </w:tc>
        <w:tc>
          <w:tcPr>
            <w:tcW w:w="226" w:type="pct"/>
            <w:tcBorders>
              <w:top w:val="single" w:sz="4" w:space="0" w:color="auto"/>
              <w:left w:val="nil"/>
              <w:bottom w:val="single" w:sz="4" w:space="0" w:color="auto"/>
              <w:right w:val="nil"/>
            </w:tcBorders>
            <w:shd w:val="clear" w:color="auto" w:fill="E2EFD9" w:themeFill="accent6" w:themeFillTint="33"/>
            <w:noWrap/>
            <w:vAlign w:val="center"/>
            <w:hideMark/>
          </w:tcPr>
          <w:p w14:paraId="506E50E5" w14:textId="77777777" w:rsidR="008A1E55" w:rsidRPr="006B42D6" w:rsidRDefault="008A1E55" w:rsidP="00E16CAE">
            <w:pPr>
              <w:jc w:val="right"/>
              <w:rPr>
                <w:b/>
                <w:bCs/>
                <w:sz w:val="16"/>
                <w:szCs w:val="16"/>
              </w:rPr>
            </w:pPr>
            <w:r w:rsidRPr="006B42D6">
              <w:rPr>
                <w:b/>
                <w:bCs/>
                <w:sz w:val="16"/>
                <w:szCs w:val="16"/>
              </w:rPr>
              <w:t>-</w:t>
            </w:r>
          </w:p>
        </w:tc>
      </w:tr>
    </w:tbl>
    <w:p w14:paraId="444DA76C" w14:textId="77777777" w:rsidR="008A1E55" w:rsidRPr="006B42D6" w:rsidRDefault="008A1E55" w:rsidP="008A1E55">
      <w:pPr>
        <w:rPr>
          <w:sz w:val="18"/>
          <w:szCs w:val="18"/>
        </w:rPr>
      </w:pPr>
    </w:p>
    <w:p w14:paraId="519415D1" w14:textId="77777777" w:rsidR="008A1E55" w:rsidRPr="006B42D6" w:rsidRDefault="008A1E55" w:rsidP="008A1E55">
      <w:pPr>
        <w:rPr>
          <w:sz w:val="18"/>
          <w:szCs w:val="18"/>
        </w:rPr>
        <w:sectPr w:rsidR="008A1E55" w:rsidRPr="006B42D6" w:rsidSect="00DD3FC5">
          <w:pgSz w:w="16840" w:h="11900" w:orient="landscape" w:code="9"/>
          <w:pgMar w:top="1440" w:right="1440" w:bottom="1440" w:left="1440" w:header="709" w:footer="709" w:gutter="0"/>
          <w:cols w:space="708"/>
          <w:docGrid w:linePitch="360"/>
        </w:sectPr>
      </w:pPr>
    </w:p>
    <w:p w14:paraId="3915CD11" w14:textId="05F0C89E" w:rsidR="008A1E55" w:rsidRPr="006B42D6" w:rsidRDefault="00F83A4C" w:rsidP="008A1E55">
      <w:pPr>
        <w:pStyle w:val="Heading2"/>
      </w:pPr>
      <w:bookmarkStart w:id="880" w:name="_Toc82385806"/>
      <w:r w:rsidRPr="006B42D6">
        <w:lastRenderedPageBreak/>
        <w:t>6</w:t>
      </w:r>
      <w:r w:rsidR="008A1E55" w:rsidRPr="006B42D6">
        <w:t>.</w:t>
      </w:r>
      <w:r w:rsidR="00AC6872">
        <w:t>8</w:t>
      </w:r>
      <w:r w:rsidR="008A1E55" w:rsidRPr="006B42D6">
        <w:tab/>
        <w:t>Distance to Source of Drinking Water</w:t>
      </w:r>
      <w:bookmarkEnd w:id="880"/>
      <w:r w:rsidR="008A1E55" w:rsidRPr="006B42D6">
        <w:t xml:space="preserve"> </w:t>
      </w:r>
    </w:p>
    <w:p w14:paraId="1468CC5C" w14:textId="2FC42D49" w:rsidR="008A1E55" w:rsidRPr="006B42D6" w:rsidRDefault="008A1E55" w:rsidP="008A1E55">
      <w:r w:rsidRPr="006B42D6">
        <w:t>Distance to water sources during wet and dry season</w:t>
      </w:r>
      <w:r w:rsidR="00DE248A">
        <w:t>s</w:t>
      </w:r>
      <w:r w:rsidRPr="006B42D6">
        <w:t xml:space="preserve"> was almost the same regardless of the type of water source. The findings show that, during wet season, 5,806,789 households (74.1 percent) in Tanzania reported to obtain drinking water in a distance of less than 1 kilometer compared to 4,858,590 households (62.0 percent) during dry season in 2019/20 agricultural year. Few households (33,250; 0.4 percent) obtained drinking water from a distance of 10 kilometer and above during wet season compared to 81,417 households (1.0 percent) during dry season (Table </w:t>
      </w:r>
      <w:r w:rsidR="00F83A4C" w:rsidRPr="006B42D6">
        <w:t>6</w:t>
      </w:r>
      <w:r w:rsidRPr="006B42D6">
        <w:t xml:space="preserve">.17 &amp; </w:t>
      </w:r>
      <w:r w:rsidR="00F83A4C" w:rsidRPr="006B42D6">
        <w:t>6</w:t>
      </w:r>
      <w:r w:rsidRPr="006B42D6">
        <w:t xml:space="preserve">.18). </w:t>
      </w:r>
    </w:p>
    <w:p w14:paraId="1374AE55" w14:textId="77777777" w:rsidR="008A1E55" w:rsidRPr="006B42D6" w:rsidRDefault="008A1E55" w:rsidP="00257DF7">
      <w:pPr>
        <w:spacing w:line="240" w:lineRule="auto"/>
      </w:pPr>
    </w:p>
    <w:p w14:paraId="7586B430" w14:textId="014D13AB" w:rsidR="008A1E55" w:rsidRDefault="008A1E55" w:rsidP="008A1E55">
      <w:r w:rsidRPr="006B42D6">
        <w:t xml:space="preserve">Most households in </w:t>
      </w:r>
      <w:r w:rsidR="00EA1552">
        <w:t>Mainland Tanzania</w:t>
      </w:r>
      <w:r w:rsidRPr="006B42D6">
        <w:t xml:space="preserve"> (5,629,890; 73.5 percent) obtained water in a distance of less than 1 kilometer during wet season compared to 4,682,221 households (61.1 percent) during dry season. In Tanzania Zanzibar, about 98 percent of households reported to obtain drinking water from a distance of less than 1 kilometer during both wet and dry seasons (Table </w:t>
      </w:r>
      <w:r w:rsidR="00F83A4C" w:rsidRPr="006B42D6">
        <w:t>6</w:t>
      </w:r>
      <w:r w:rsidRPr="006B42D6">
        <w:t xml:space="preserve">.17 &amp; </w:t>
      </w:r>
      <w:r w:rsidR="00F83A4C" w:rsidRPr="006B42D6">
        <w:t>6</w:t>
      </w:r>
      <w:r w:rsidRPr="006B42D6">
        <w:t>.18).</w:t>
      </w:r>
    </w:p>
    <w:p w14:paraId="04F8386E" w14:textId="77777777" w:rsidR="00AC6872" w:rsidRPr="006B42D6" w:rsidRDefault="00AC6872" w:rsidP="00DD3FC5">
      <w:pPr>
        <w:spacing w:line="240" w:lineRule="auto"/>
      </w:pPr>
    </w:p>
    <w:p w14:paraId="4BBB8228" w14:textId="1D900466" w:rsidR="008A1E55" w:rsidRPr="006B42D6" w:rsidRDefault="008A1E55" w:rsidP="00686394">
      <w:pPr>
        <w:pStyle w:val="Heading7"/>
        <w:ind w:right="1361"/>
      </w:pPr>
      <w:bookmarkStart w:id="881" w:name="_Toc82386252"/>
      <w:r w:rsidRPr="006B42D6">
        <w:t xml:space="preserve">Table </w:t>
      </w:r>
      <w:r w:rsidR="00F83A4C" w:rsidRPr="006B42D6">
        <w:t>6</w:t>
      </w:r>
      <w:r w:rsidRPr="006B42D6">
        <w:t>.17</w:t>
      </w:r>
      <w:r w:rsidR="0024189E">
        <w:t>:</w:t>
      </w:r>
      <w:r w:rsidR="00AC6872">
        <w:tab/>
      </w:r>
      <w:r w:rsidRPr="006B42D6">
        <w:t>Number and Percentage of Agricultural Households Reported Distance to Source of Drinking Water in Wet Season by Region during 2019/20 Agricultural Year</w:t>
      </w:r>
      <w:bookmarkEnd w:id="881"/>
    </w:p>
    <w:tbl>
      <w:tblPr>
        <w:tblW w:w="7984" w:type="dxa"/>
        <w:tblLook w:val="04A0" w:firstRow="1" w:lastRow="0" w:firstColumn="1" w:lastColumn="0" w:noHBand="0" w:noVBand="1"/>
      </w:tblPr>
      <w:tblGrid>
        <w:gridCol w:w="1624"/>
        <w:gridCol w:w="1206"/>
        <w:gridCol w:w="914"/>
        <w:gridCol w:w="1206"/>
        <w:gridCol w:w="914"/>
        <w:gridCol w:w="1105"/>
        <w:gridCol w:w="1015"/>
      </w:tblGrid>
      <w:tr w:rsidR="006B42D6" w:rsidRPr="006B42D6" w14:paraId="70B3A575" w14:textId="77777777" w:rsidTr="004F65CD">
        <w:trPr>
          <w:trHeight w:val="300"/>
        </w:trPr>
        <w:tc>
          <w:tcPr>
            <w:tcW w:w="1624" w:type="dxa"/>
            <w:vMerge w:val="restart"/>
            <w:tcBorders>
              <w:top w:val="single" w:sz="4" w:space="0" w:color="auto"/>
              <w:left w:val="nil"/>
              <w:bottom w:val="single" w:sz="4" w:space="0" w:color="000000"/>
              <w:right w:val="nil"/>
            </w:tcBorders>
            <w:shd w:val="clear" w:color="auto" w:fill="E2EFD9" w:themeFill="accent6" w:themeFillTint="33"/>
            <w:noWrap/>
            <w:vAlign w:val="center"/>
            <w:hideMark/>
          </w:tcPr>
          <w:p w14:paraId="737D27F2" w14:textId="77777777" w:rsidR="008A1E55" w:rsidRPr="006B42D6" w:rsidRDefault="008A1E55" w:rsidP="00E16CAE">
            <w:pPr>
              <w:rPr>
                <w:sz w:val="18"/>
                <w:szCs w:val="18"/>
              </w:rPr>
            </w:pPr>
            <w:r w:rsidRPr="006B42D6">
              <w:rPr>
                <w:sz w:val="18"/>
                <w:szCs w:val="18"/>
              </w:rPr>
              <w:t>Distance (Km) </w:t>
            </w:r>
          </w:p>
        </w:tc>
        <w:tc>
          <w:tcPr>
            <w:tcW w:w="2120" w:type="dxa"/>
            <w:gridSpan w:val="2"/>
            <w:tcBorders>
              <w:top w:val="single" w:sz="4" w:space="0" w:color="auto"/>
              <w:left w:val="nil"/>
              <w:bottom w:val="single" w:sz="4" w:space="0" w:color="auto"/>
              <w:right w:val="nil"/>
            </w:tcBorders>
            <w:shd w:val="clear" w:color="auto" w:fill="E2EFD9" w:themeFill="accent6" w:themeFillTint="33"/>
            <w:noWrap/>
            <w:vAlign w:val="bottom"/>
            <w:hideMark/>
          </w:tcPr>
          <w:p w14:paraId="237272F1" w14:textId="77777777" w:rsidR="008A1E55" w:rsidRPr="006B42D6" w:rsidRDefault="008A1E55" w:rsidP="00E16CAE">
            <w:pPr>
              <w:jc w:val="center"/>
              <w:rPr>
                <w:sz w:val="18"/>
                <w:szCs w:val="18"/>
              </w:rPr>
            </w:pPr>
            <w:r w:rsidRPr="006B42D6">
              <w:rPr>
                <w:sz w:val="18"/>
                <w:szCs w:val="18"/>
              </w:rPr>
              <w:t>Tanzania</w:t>
            </w:r>
          </w:p>
        </w:tc>
        <w:tc>
          <w:tcPr>
            <w:tcW w:w="2120" w:type="dxa"/>
            <w:gridSpan w:val="2"/>
            <w:tcBorders>
              <w:top w:val="single" w:sz="4" w:space="0" w:color="auto"/>
              <w:left w:val="nil"/>
              <w:bottom w:val="single" w:sz="4" w:space="0" w:color="auto"/>
              <w:right w:val="nil"/>
            </w:tcBorders>
            <w:shd w:val="clear" w:color="auto" w:fill="E2EFD9" w:themeFill="accent6" w:themeFillTint="33"/>
            <w:noWrap/>
            <w:vAlign w:val="bottom"/>
            <w:hideMark/>
          </w:tcPr>
          <w:p w14:paraId="78B03D1F" w14:textId="1E77A735" w:rsidR="008A1E55" w:rsidRPr="006B42D6" w:rsidRDefault="00EA1552" w:rsidP="00E16CAE">
            <w:pPr>
              <w:jc w:val="center"/>
              <w:rPr>
                <w:sz w:val="18"/>
                <w:szCs w:val="18"/>
              </w:rPr>
            </w:pPr>
            <w:r>
              <w:rPr>
                <w:sz w:val="18"/>
                <w:szCs w:val="18"/>
              </w:rPr>
              <w:t>Mainland Tanzania</w:t>
            </w:r>
          </w:p>
        </w:tc>
        <w:tc>
          <w:tcPr>
            <w:tcW w:w="2120" w:type="dxa"/>
            <w:gridSpan w:val="2"/>
            <w:tcBorders>
              <w:top w:val="single" w:sz="4" w:space="0" w:color="auto"/>
              <w:left w:val="nil"/>
              <w:bottom w:val="single" w:sz="4" w:space="0" w:color="auto"/>
              <w:right w:val="nil"/>
            </w:tcBorders>
            <w:shd w:val="clear" w:color="auto" w:fill="E2EFD9" w:themeFill="accent6" w:themeFillTint="33"/>
            <w:noWrap/>
            <w:vAlign w:val="bottom"/>
            <w:hideMark/>
          </w:tcPr>
          <w:p w14:paraId="1C25C999" w14:textId="77777777" w:rsidR="008A1E55" w:rsidRPr="006B42D6" w:rsidRDefault="008A1E55" w:rsidP="00E16CAE">
            <w:pPr>
              <w:jc w:val="center"/>
              <w:rPr>
                <w:sz w:val="18"/>
                <w:szCs w:val="18"/>
              </w:rPr>
            </w:pPr>
            <w:r w:rsidRPr="006B42D6">
              <w:rPr>
                <w:sz w:val="18"/>
                <w:szCs w:val="18"/>
              </w:rPr>
              <w:t>Tanzania Zanzibar</w:t>
            </w:r>
          </w:p>
        </w:tc>
      </w:tr>
      <w:tr w:rsidR="006B42D6" w:rsidRPr="006B42D6" w14:paraId="229C2DC9" w14:textId="77777777" w:rsidTr="004F65CD">
        <w:trPr>
          <w:trHeight w:val="270"/>
        </w:trPr>
        <w:tc>
          <w:tcPr>
            <w:tcW w:w="1624" w:type="dxa"/>
            <w:vMerge/>
            <w:tcBorders>
              <w:top w:val="single" w:sz="4" w:space="0" w:color="auto"/>
              <w:left w:val="nil"/>
              <w:bottom w:val="single" w:sz="4" w:space="0" w:color="000000"/>
              <w:right w:val="nil"/>
            </w:tcBorders>
            <w:shd w:val="clear" w:color="auto" w:fill="E2EFD9" w:themeFill="accent6" w:themeFillTint="33"/>
            <w:vAlign w:val="center"/>
            <w:hideMark/>
          </w:tcPr>
          <w:p w14:paraId="36DF6028" w14:textId="77777777" w:rsidR="008A1E55" w:rsidRPr="006B42D6" w:rsidRDefault="008A1E55" w:rsidP="00E16CAE">
            <w:pPr>
              <w:rPr>
                <w:sz w:val="18"/>
                <w:szCs w:val="18"/>
              </w:rPr>
            </w:pPr>
          </w:p>
        </w:tc>
        <w:tc>
          <w:tcPr>
            <w:tcW w:w="1206" w:type="dxa"/>
            <w:tcBorders>
              <w:top w:val="single" w:sz="4" w:space="0" w:color="auto"/>
              <w:left w:val="nil"/>
              <w:bottom w:val="single" w:sz="4" w:space="0" w:color="auto"/>
              <w:right w:val="nil"/>
            </w:tcBorders>
            <w:shd w:val="clear" w:color="auto" w:fill="E2EFD9" w:themeFill="accent6" w:themeFillTint="33"/>
            <w:noWrap/>
            <w:vAlign w:val="center"/>
            <w:hideMark/>
          </w:tcPr>
          <w:p w14:paraId="3278B2AD" w14:textId="77777777" w:rsidR="008A1E55" w:rsidRPr="006B42D6" w:rsidRDefault="008A1E55" w:rsidP="00143C67">
            <w:pPr>
              <w:jc w:val="center"/>
              <w:rPr>
                <w:sz w:val="18"/>
                <w:szCs w:val="18"/>
              </w:rPr>
            </w:pPr>
            <w:r w:rsidRPr="006B42D6">
              <w:rPr>
                <w:sz w:val="18"/>
                <w:szCs w:val="18"/>
              </w:rPr>
              <w:t>Number</w:t>
            </w:r>
          </w:p>
        </w:tc>
        <w:tc>
          <w:tcPr>
            <w:tcW w:w="914" w:type="dxa"/>
            <w:tcBorders>
              <w:top w:val="single" w:sz="4" w:space="0" w:color="auto"/>
              <w:left w:val="nil"/>
              <w:bottom w:val="single" w:sz="4" w:space="0" w:color="auto"/>
              <w:right w:val="nil"/>
            </w:tcBorders>
            <w:shd w:val="clear" w:color="auto" w:fill="E2EFD9" w:themeFill="accent6" w:themeFillTint="33"/>
            <w:noWrap/>
            <w:vAlign w:val="center"/>
            <w:hideMark/>
          </w:tcPr>
          <w:p w14:paraId="5B6B7003" w14:textId="77777777" w:rsidR="008A1E55" w:rsidRPr="006B42D6" w:rsidRDefault="008A1E55" w:rsidP="00143C67">
            <w:pPr>
              <w:jc w:val="center"/>
              <w:rPr>
                <w:sz w:val="18"/>
                <w:szCs w:val="18"/>
              </w:rPr>
            </w:pPr>
            <w:r w:rsidRPr="006B42D6">
              <w:rPr>
                <w:sz w:val="18"/>
                <w:szCs w:val="18"/>
              </w:rPr>
              <w:t>Percent</w:t>
            </w:r>
          </w:p>
        </w:tc>
        <w:tc>
          <w:tcPr>
            <w:tcW w:w="1206" w:type="dxa"/>
            <w:tcBorders>
              <w:top w:val="single" w:sz="4" w:space="0" w:color="auto"/>
              <w:left w:val="nil"/>
              <w:bottom w:val="single" w:sz="4" w:space="0" w:color="auto"/>
              <w:right w:val="nil"/>
            </w:tcBorders>
            <w:shd w:val="clear" w:color="auto" w:fill="E2EFD9" w:themeFill="accent6" w:themeFillTint="33"/>
            <w:noWrap/>
            <w:vAlign w:val="center"/>
            <w:hideMark/>
          </w:tcPr>
          <w:p w14:paraId="43B502C6" w14:textId="77777777" w:rsidR="008A1E55" w:rsidRPr="006B42D6" w:rsidRDefault="008A1E55" w:rsidP="00143C67">
            <w:pPr>
              <w:jc w:val="center"/>
              <w:rPr>
                <w:sz w:val="18"/>
                <w:szCs w:val="18"/>
              </w:rPr>
            </w:pPr>
            <w:r w:rsidRPr="006B42D6">
              <w:rPr>
                <w:sz w:val="18"/>
                <w:szCs w:val="18"/>
              </w:rPr>
              <w:t>Number</w:t>
            </w:r>
          </w:p>
        </w:tc>
        <w:tc>
          <w:tcPr>
            <w:tcW w:w="914" w:type="dxa"/>
            <w:tcBorders>
              <w:top w:val="single" w:sz="4" w:space="0" w:color="auto"/>
              <w:left w:val="nil"/>
              <w:bottom w:val="single" w:sz="4" w:space="0" w:color="auto"/>
              <w:right w:val="nil"/>
            </w:tcBorders>
            <w:shd w:val="clear" w:color="auto" w:fill="E2EFD9" w:themeFill="accent6" w:themeFillTint="33"/>
            <w:noWrap/>
            <w:vAlign w:val="center"/>
            <w:hideMark/>
          </w:tcPr>
          <w:p w14:paraId="12383E0C" w14:textId="77777777" w:rsidR="008A1E55" w:rsidRPr="006B42D6" w:rsidRDefault="008A1E55" w:rsidP="00143C67">
            <w:pPr>
              <w:jc w:val="center"/>
              <w:rPr>
                <w:sz w:val="18"/>
                <w:szCs w:val="18"/>
              </w:rPr>
            </w:pPr>
            <w:r w:rsidRPr="006B42D6">
              <w:rPr>
                <w:sz w:val="18"/>
                <w:szCs w:val="18"/>
              </w:rPr>
              <w:t>Percent</w:t>
            </w:r>
          </w:p>
        </w:tc>
        <w:tc>
          <w:tcPr>
            <w:tcW w:w="1105" w:type="dxa"/>
            <w:tcBorders>
              <w:top w:val="single" w:sz="4" w:space="0" w:color="auto"/>
              <w:left w:val="nil"/>
              <w:bottom w:val="single" w:sz="4" w:space="0" w:color="auto"/>
              <w:right w:val="nil"/>
            </w:tcBorders>
            <w:shd w:val="clear" w:color="auto" w:fill="E2EFD9" w:themeFill="accent6" w:themeFillTint="33"/>
            <w:noWrap/>
            <w:vAlign w:val="center"/>
            <w:hideMark/>
          </w:tcPr>
          <w:p w14:paraId="12B11D37" w14:textId="77777777" w:rsidR="008A1E55" w:rsidRPr="006B42D6" w:rsidRDefault="008A1E55" w:rsidP="00143C67">
            <w:pPr>
              <w:jc w:val="center"/>
              <w:rPr>
                <w:sz w:val="18"/>
                <w:szCs w:val="18"/>
              </w:rPr>
            </w:pPr>
            <w:r w:rsidRPr="006B42D6">
              <w:rPr>
                <w:sz w:val="18"/>
                <w:szCs w:val="18"/>
              </w:rPr>
              <w:t>Number</w:t>
            </w:r>
          </w:p>
        </w:tc>
        <w:tc>
          <w:tcPr>
            <w:tcW w:w="1015" w:type="dxa"/>
            <w:tcBorders>
              <w:top w:val="single" w:sz="4" w:space="0" w:color="auto"/>
              <w:left w:val="nil"/>
              <w:bottom w:val="single" w:sz="4" w:space="0" w:color="auto"/>
              <w:right w:val="nil"/>
            </w:tcBorders>
            <w:shd w:val="clear" w:color="auto" w:fill="E2EFD9" w:themeFill="accent6" w:themeFillTint="33"/>
            <w:noWrap/>
            <w:vAlign w:val="center"/>
            <w:hideMark/>
          </w:tcPr>
          <w:p w14:paraId="2FBA8C11" w14:textId="77777777" w:rsidR="008A1E55" w:rsidRPr="006B42D6" w:rsidRDefault="008A1E55" w:rsidP="00143C67">
            <w:pPr>
              <w:jc w:val="center"/>
              <w:rPr>
                <w:sz w:val="18"/>
                <w:szCs w:val="18"/>
              </w:rPr>
            </w:pPr>
            <w:r w:rsidRPr="006B42D6">
              <w:rPr>
                <w:sz w:val="18"/>
                <w:szCs w:val="18"/>
              </w:rPr>
              <w:t>Percent</w:t>
            </w:r>
          </w:p>
        </w:tc>
      </w:tr>
      <w:tr w:rsidR="006B42D6" w:rsidRPr="006B42D6" w14:paraId="476D4B87" w14:textId="77777777" w:rsidTr="00750BB9">
        <w:trPr>
          <w:trHeight w:val="300"/>
        </w:trPr>
        <w:tc>
          <w:tcPr>
            <w:tcW w:w="1624" w:type="dxa"/>
            <w:tcBorders>
              <w:top w:val="nil"/>
              <w:left w:val="nil"/>
              <w:bottom w:val="nil"/>
              <w:right w:val="nil"/>
            </w:tcBorders>
            <w:shd w:val="clear" w:color="auto" w:fill="auto"/>
            <w:noWrap/>
            <w:vAlign w:val="center"/>
            <w:hideMark/>
          </w:tcPr>
          <w:p w14:paraId="5C95480B" w14:textId="24C13692" w:rsidR="008A1E55" w:rsidRPr="006B42D6" w:rsidRDefault="008A1E55" w:rsidP="00E16CAE">
            <w:pPr>
              <w:rPr>
                <w:sz w:val="18"/>
                <w:szCs w:val="18"/>
              </w:rPr>
            </w:pPr>
            <w:r w:rsidRPr="006B42D6">
              <w:rPr>
                <w:sz w:val="18"/>
                <w:szCs w:val="18"/>
              </w:rPr>
              <w:t>Less than 1</w:t>
            </w:r>
            <w:r w:rsidR="00ED7363">
              <w:rPr>
                <w:sz w:val="18"/>
                <w:szCs w:val="18"/>
              </w:rPr>
              <w:t xml:space="preserve"> K</w:t>
            </w:r>
            <w:r w:rsidRPr="006B42D6">
              <w:rPr>
                <w:sz w:val="18"/>
                <w:szCs w:val="18"/>
              </w:rPr>
              <w:t>m</w:t>
            </w:r>
          </w:p>
        </w:tc>
        <w:tc>
          <w:tcPr>
            <w:tcW w:w="1206" w:type="dxa"/>
            <w:tcBorders>
              <w:top w:val="nil"/>
              <w:left w:val="nil"/>
              <w:bottom w:val="nil"/>
              <w:right w:val="nil"/>
            </w:tcBorders>
            <w:shd w:val="clear" w:color="auto" w:fill="auto"/>
            <w:noWrap/>
            <w:vAlign w:val="center"/>
            <w:hideMark/>
          </w:tcPr>
          <w:p w14:paraId="65F9A789" w14:textId="77777777" w:rsidR="008A1E55" w:rsidRPr="006B42D6" w:rsidRDefault="008A1E55" w:rsidP="00E16CAE">
            <w:pPr>
              <w:jc w:val="right"/>
              <w:rPr>
                <w:sz w:val="18"/>
                <w:szCs w:val="18"/>
              </w:rPr>
            </w:pPr>
            <w:r w:rsidRPr="006B42D6">
              <w:rPr>
                <w:sz w:val="18"/>
                <w:szCs w:val="18"/>
              </w:rPr>
              <w:t>5,806,789</w:t>
            </w:r>
          </w:p>
        </w:tc>
        <w:tc>
          <w:tcPr>
            <w:tcW w:w="914" w:type="dxa"/>
            <w:tcBorders>
              <w:top w:val="nil"/>
              <w:left w:val="nil"/>
              <w:bottom w:val="nil"/>
              <w:right w:val="nil"/>
            </w:tcBorders>
            <w:shd w:val="clear" w:color="auto" w:fill="auto"/>
            <w:noWrap/>
            <w:vAlign w:val="center"/>
            <w:hideMark/>
          </w:tcPr>
          <w:p w14:paraId="359D0EEF" w14:textId="77777777" w:rsidR="008A1E55" w:rsidRPr="006B42D6" w:rsidRDefault="008A1E55" w:rsidP="00E16CAE">
            <w:pPr>
              <w:jc w:val="right"/>
              <w:rPr>
                <w:sz w:val="18"/>
                <w:szCs w:val="18"/>
              </w:rPr>
            </w:pPr>
            <w:r w:rsidRPr="006B42D6">
              <w:rPr>
                <w:sz w:val="18"/>
                <w:szCs w:val="18"/>
              </w:rPr>
              <w:t>74.1</w:t>
            </w:r>
          </w:p>
        </w:tc>
        <w:tc>
          <w:tcPr>
            <w:tcW w:w="1206" w:type="dxa"/>
            <w:tcBorders>
              <w:top w:val="nil"/>
              <w:left w:val="nil"/>
              <w:bottom w:val="nil"/>
              <w:right w:val="nil"/>
            </w:tcBorders>
            <w:shd w:val="clear" w:color="auto" w:fill="auto"/>
            <w:noWrap/>
            <w:vAlign w:val="center"/>
            <w:hideMark/>
          </w:tcPr>
          <w:p w14:paraId="6552AA55" w14:textId="77777777" w:rsidR="008A1E55" w:rsidRPr="006B42D6" w:rsidRDefault="008A1E55" w:rsidP="00E16CAE">
            <w:pPr>
              <w:jc w:val="right"/>
              <w:rPr>
                <w:sz w:val="18"/>
                <w:szCs w:val="18"/>
              </w:rPr>
            </w:pPr>
            <w:r w:rsidRPr="006B42D6">
              <w:rPr>
                <w:sz w:val="18"/>
                <w:szCs w:val="18"/>
              </w:rPr>
              <w:t>5,629,890</w:t>
            </w:r>
          </w:p>
        </w:tc>
        <w:tc>
          <w:tcPr>
            <w:tcW w:w="914" w:type="dxa"/>
            <w:tcBorders>
              <w:top w:val="nil"/>
              <w:left w:val="nil"/>
              <w:bottom w:val="nil"/>
              <w:right w:val="nil"/>
            </w:tcBorders>
            <w:shd w:val="clear" w:color="auto" w:fill="auto"/>
            <w:noWrap/>
            <w:vAlign w:val="center"/>
            <w:hideMark/>
          </w:tcPr>
          <w:p w14:paraId="2F5D71F8" w14:textId="77777777" w:rsidR="008A1E55" w:rsidRPr="006B42D6" w:rsidRDefault="008A1E55" w:rsidP="00E16CAE">
            <w:pPr>
              <w:jc w:val="right"/>
              <w:rPr>
                <w:sz w:val="18"/>
                <w:szCs w:val="18"/>
              </w:rPr>
            </w:pPr>
            <w:r w:rsidRPr="006B42D6">
              <w:rPr>
                <w:sz w:val="18"/>
                <w:szCs w:val="18"/>
              </w:rPr>
              <w:t>73.5</w:t>
            </w:r>
          </w:p>
        </w:tc>
        <w:tc>
          <w:tcPr>
            <w:tcW w:w="1105" w:type="dxa"/>
            <w:tcBorders>
              <w:top w:val="nil"/>
              <w:left w:val="nil"/>
              <w:bottom w:val="nil"/>
              <w:right w:val="nil"/>
            </w:tcBorders>
            <w:shd w:val="clear" w:color="auto" w:fill="auto"/>
            <w:noWrap/>
            <w:vAlign w:val="center"/>
            <w:hideMark/>
          </w:tcPr>
          <w:p w14:paraId="2EEA10EF" w14:textId="77777777" w:rsidR="008A1E55" w:rsidRPr="006B42D6" w:rsidRDefault="008A1E55" w:rsidP="00E16CAE">
            <w:pPr>
              <w:jc w:val="right"/>
              <w:rPr>
                <w:sz w:val="18"/>
                <w:szCs w:val="18"/>
              </w:rPr>
            </w:pPr>
            <w:r w:rsidRPr="006B42D6">
              <w:rPr>
                <w:sz w:val="18"/>
                <w:szCs w:val="18"/>
              </w:rPr>
              <w:t>176,899</w:t>
            </w:r>
          </w:p>
        </w:tc>
        <w:tc>
          <w:tcPr>
            <w:tcW w:w="1015" w:type="dxa"/>
            <w:tcBorders>
              <w:top w:val="nil"/>
              <w:left w:val="nil"/>
              <w:bottom w:val="nil"/>
              <w:right w:val="nil"/>
            </w:tcBorders>
            <w:shd w:val="clear" w:color="auto" w:fill="auto"/>
            <w:noWrap/>
            <w:vAlign w:val="center"/>
            <w:hideMark/>
          </w:tcPr>
          <w:p w14:paraId="6498727F" w14:textId="77777777" w:rsidR="008A1E55" w:rsidRPr="006B42D6" w:rsidRDefault="008A1E55" w:rsidP="00E16CAE">
            <w:pPr>
              <w:jc w:val="right"/>
              <w:rPr>
                <w:sz w:val="18"/>
                <w:szCs w:val="18"/>
              </w:rPr>
            </w:pPr>
            <w:r w:rsidRPr="006B42D6">
              <w:rPr>
                <w:sz w:val="18"/>
                <w:szCs w:val="18"/>
              </w:rPr>
              <w:t>98.2</w:t>
            </w:r>
          </w:p>
        </w:tc>
      </w:tr>
      <w:tr w:rsidR="006B42D6" w:rsidRPr="006B42D6" w14:paraId="2F9F19DD" w14:textId="77777777" w:rsidTr="00750BB9">
        <w:trPr>
          <w:trHeight w:val="300"/>
        </w:trPr>
        <w:tc>
          <w:tcPr>
            <w:tcW w:w="1624" w:type="dxa"/>
            <w:tcBorders>
              <w:top w:val="nil"/>
              <w:left w:val="nil"/>
              <w:bottom w:val="nil"/>
              <w:right w:val="nil"/>
            </w:tcBorders>
            <w:shd w:val="clear" w:color="auto" w:fill="auto"/>
            <w:noWrap/>
            <w:vAlign w:val="center"/>
            <w:hideMark/>
          </w:tcPr>
          <w:p w14:paraId="46F74845" w14:textId="77777777" w:rsidR="008A1E55" w:rsidRPr="006B42D6" w:rsidRDefault="008A1E55" w:rsidP="00E16CAE">
            <w:pPr>
              <w:rPr>
                <w:sz w:val="18"/>
                <w:szCs w:val="18"/>
              </w:rPr>
            </w:pPr>
            <w:r w:rsidRPr="006B42D6">
              <w:rPr>
                <w:sz w:val="18"/>
                <w:szCs w:val="18"/>
              </w:rPr>
              <w:t>1.00 - 1.99 Km</w:t>
            </w:r>
          </w:p>
        </w:tc>
        <w:tc>
          <w:tcPr>
            <w:tcW w:w="1206" w:type="dxa"/>
            <w:tcBorders>
              <w:top w:val="nil"/>
              <w:left w:val="nil"/>
              <w:bottom w:val="nil"/>
              <w:right w:val="nil"/>
            </w:tcBorders>
            <w:shd w:val="clear" w:color="auto" w:fill="auto"/>
            <w:noWrap/>
            <w:vAlign w:val="center"/>
            <w:hideMark/>
          </w:tcPr>
          <w:p w14:paraId="179C4AD2" w14:textId="77777777" w:rsidR="008A1E55" w:rsidRPr="006B42D6" w:rsidRDefault="008A1E55" w:rsidP="00E16CAE">
            <w:pPr>
              <w:jc w:val="right"/>
              <w:rPr>
                <w:sz w:val="18"/>
                <w:szCs w:val="18"/>
              </w:rPr>
            </w:pPr>
            <w:r w:rsidRPr="006B42D6">
              <w:rPr>
                <w:sz w:val="18"/>
                <w:szCs w:val="18"/>
              </w:rPr>
              <w:t>1,172,740</w:t>
            </w:r>
          </w:p>
        </w:tc>
        <w:tc>
          <w:tcPr>
            <w:tcW w:w="914" w:type="dxa"/>
            <w:tcBorders>
              <w:top w:val="nil"/>
              <w:left w:val="nil"/>
              <w:bottom w:val="nil"/>
              <w:right w:val="nil"/>
            </w:tcBorders>
            <w:shd w:val="clear" w:color="auto" w:fill="auto"/>
            <w:noWrap/>
            <w:vAlign w:val="center"/>
            <w:hideMark/>
          </w:tcPr>
          <w:p w14:paraId="61EF2644" w14:textId="77777777" w:rsidR="008A1E55" w:rsidRPr="006B42D6" w:rsidRDefault="008A1E55" w:rsidP="00E16CAE">
            <w:pPr>
              <w:jc w:val="right"/>
              <w:rPr>
                <w:sz w:val="18"/>
                <w:szCs w:val="18"/>
              </w:rPr>
            </w:pPr>
            <w:r w:rsidRPr="006B42D6">
              <w:rPr>
                <w:sz w:val="18"/>
                <w:szCs w:val="18"/>
              </w:rPr>
              <w:t>15.0</w:t>
            </w:r>
          </w:p>
        </w:tc>
        <w:tc>
          <w:tcPr>
            <w:tcW w:w="1206" w:type="dxa"/>
            <w:tcBorders>
              <w:top w:val="nil"/>
              <w:left w:val="nil"/>
              <w:bottom w:val="nil"/>
              <w:right w:val="nil"/>
            </w:tcBorders>
            <w:shd w:val="clear" w:color="auto" w:fill="auto"/>
            <w:noWrap/>
            <w:vAlign w:val="center"/>
            <w:hideMark/>
          </w:tcPr>
          <w:p w14:paraId="2E9BDF96" w14:textId="77777777" w:rsidR="008A1E55" w:rsidRPr="006B42D6" w:rsidRDefault="008A1E55" w:rsidP="00E16CAE">
            <w:pPr>
              <w:jc w:val="right"/>
              <w:rPr>
                <w:sz w:val="18"/>
                <w:szCs w:val="18"/>
              </w:rPr>
            </w:pPr>
            <w:r w:rsidRPr="006B42D6">
              <w:rPr>
                <w:sz w:val="18"/>
                <w:szCs w:val="18"/>
              </w:rPr>
              <w:t>1,170,312</w:t>
            </w:r>
          </w:p>
        </w:tc>
        <w:tc>
          <w:tcPr>
            <w:tcW w:w="914" w:type="dxa"/>
            <w:tcBorders>
              <w:top w:val="nil"/>
              <w:left w:val="nil"/>
              <w:bottom w:val="nil"/>
              <w:right w:val="nil"/>
            </w:tcBorders>
            <w:shd w:val="clear" w:color="auto" w:fill="auto"/>
            <w:noWrap/>
            <w:vAlign w:val="center"/>
            <w:hideMark/>
          </w:tcPr>
          <w:p w14:paraId="2CDD5203" w14:textId="77777777" w:rsidR="008A1E55" w:rsidRPr="006B42D6" w:rsidRDefault="008A1E55" w:rsidP="00E16CAE">
            <w:pPr>
              <w:jc w:val="right"/>
              <w:rPr>
                <w:sz w:val="18"/>
                <w:szCs w:val="18"/>
              </w:rPr>
            </w:pPr>
            <w:r w:rsidRPr="006B42D6">
              <w:rPr>
                <w:sz w:val="18"/>
                <w:szCs w:val="18"/>
              </w:rPr>
              <w:t>15.3</w:t>
            </w:r>
          </w:p>
        </w:tc>
        <w:tc>
          <w:tcPr>
            <w:tcW w:w="1105" w:type="dxa"/>
            <w:tcBorders>
              <w:top w:val="nil"/>
              <w:left w:val="nil"/>
              <w:bottom w:val="nil"/>
              <w:right w:val="nil"/>
            </w:tcBorders>
            <w:shd w:val="clear" w:color="auto" w:fill="auto"/>
            <w:noWrap/>
            <w:vAlign w:val="center"/>
            <w:hideMark/>
          </w:tcPr>
          <w:p w14:paraId="41A012BC" w14:textId="77777777" w:rsidR="008A1E55" w:rsidRPr="006B42D6" w:rsidRDefault="008A1E55" w:rsidP="00E16CAE">
            <w:pPr>
              <w:jc w:val="right"/>
              <w:rPr>
                <w:sz w:val="18"/>
                <w:szCs w:val="18"/>
              </w:rPr>
            </w:pPr>
            <w:r w:rsidRPr="006B42D6">
              <w:rPr>
                <w:sz w:val="18"/>
                <w:szCs w:val="18"/>
              </w:rPr>
              <w:t>2,428</w:t>
            </w:r>
          </w:p>
        </w:tc>
        <w:tc>
          <w:tcPr>
            <w:tcW w:w="1015" w:type="dxa"/>
            <w:tcBorders>
              <w:top w:val="nil"/>
              <w:left w:val="nil"/>
              <w:bottom w:val="nil"/>
              <w:right w:val="nil"/>
            </w:tcBorders>
            <w:shd w:val="clear" w:color="auto" w:fill="auto"/>
            <w:noWrap/>
            <w:vAlign w:val="center"/>
            <w:hideMark/>
          </w:tcPr>
          <w:p w14:paraId="34FB8160" w14:textId="77777777" w:rsidR="008A1E55" w:rsidRPr="006B42D6" w:rsidRDefault="008A1E55" w:rsidP="00E16CAE">
            <w:pPr>
              <w:jc w:val="right"/>
              <w:rPr>
                <w:sz w:val="18"/>
                <w:szCs w:val="18"/>
              </w:rPr>
            </w:pPr>
            <w:r w:rsidRPr="006B42D6">
              <w:rPr>
                <w:sz w:val="18"/>
                <w:szCs w:val="18"/>
              </w:rPr>
              <w:t>1.3</w:t>
            </w:r>
          </w:p>
        </w:tc>
      </w:tr>
      <w:tr w:rsidR="006B42D6" w:rsidRPr="006B42D6" w14:paraId="6925241C" w14:textId="77777777" w:rsidTr="00750BB9">
        <w:trPr>
          <w:trHeight w:val="300"/>
        </w:trPr>
        <w:tc>
          <w:tcPr>
            <w:tcW w:w="1624" w:type="dxa"/>
            <w:tcBorders>
              <w:top w:val="nil"/>
              <w:left w:val="nil"/>
              <w:bottom w:val="nil"/>
              <w:right w:val="nil"/>
            </w:tcBorders>
            <w:shd w:val="clear" w:color="auto" w:fill="auto"/>
            <w:noWrap/>
            <w:vAlign w:val="center"/>
            <w:hideMark/>
          </w:tcPr>
          <w:p w14:paraId="05B012E6" w14:textId="77777777" w:rsidR="008A1E55" w:rsidRPr="006B42D6" w:rsidRDefault="008A1E55" w:rsidP="00E16CAE">
            <w:pPr>
              <w:rPr>
                <w:sz w:val="18"/>
                <w:szCs w:val="18"/>
              </w:rPr>
            </w:pPr>
            <w:r w:rsidRPr="006B42D6">
              <w:rPr>
                <w:sz w:val="18"/>
                <w:szCs w:val="18"/>
              </w:rPr>
              <w:t>2.00 - 2.99 Km</w:t>
            </w:r>
          </w:p>
        </w:tc>
        <w:tc>
          <w:tcPr>
            <w:tcW w:w="1206" w:type="dxa"/>
            <w:tcBorders>
              <w:top w:val="nil"/>
              <w:left w:val="nil"/>
              <w:bottom w:val="nil"/>
              <w:right w:val="nil"/>
            </w:tcBorders>
            <w:shd w:val="clear" w:color="auto" w:fill="auto"/>
            <w:noWrap/>
            <w:vAlign w:val="center"/>
            <w:hideMark/>
          </w:tcPr>
          <w:p w14:paraId="4ED1AC57" w14:textId="77777777" w:rsidR="008A1E55" w:rsidRPr="006B42D6" w:rsidRDefault="008A1E55" w:rsidP="00E16CAE">
            <w:pPr>
              <w:jc w:val="right"/>
              <w:rPr>
                <w:sz w:val="18"/>
                <w:szCs w:val="18"/>
              </w:rPr>
            </w:pPr>
            <w:r w:rsidRPr="006B42D6">
              <w:rPr>
                <w:sz w:val="18"/>
                <w:szCs w:val="18"/>
              </w:rPr>
              <w:t>492,612</w:t>
            </w:r>
          </w:p>
        </w:tc>
        <w:tc>
          <w:tcPr>
            <w:tcW w:w="914" w:type="dxa"/>
            <w:tcBorders>
              <w:top w:val="nil"/>
              <w:left w:val="nil"/>
              <w:bottom w:val="nil"/>
              <w:right w:val="nil"/>
            </w:tcBorders>
            <w:shd w:val="clear" w:color="auto" w:fill="auto"/>
            <w:noWrap/>
            <w:vAlign w:val="center"/>
            <w:hideMark/>
          </w:tcPr>
          <w:p w14:paraId="5CCD5494" w14:textId="77777777" w:rsidR="008A1E55" w:rsidRPr="006B42D6" w:rsidRDefault="008A1E55" w:rsidP="00E16CAE">
            <w:pPr>
              <w:jc w:val="right"/>
              <w:rPr>
                <w:sz w:val="18"/>
                <w:szCs w:val="18"/>
              </w:rPr>
            </w:pPr>
            <w:r w:rsidRPr="006B42D6">
              <w:rPr>
                <w:sz w:val="18"/>
                <w:szCs w:val="18"/>
              </w:rPr>
              <w:t>6.3</w:t>
            </w:r>
          </w:p>
        </w:tc>
        <w:tc>
          <w:tcPr>
            <w:tcW w:w="1206" w:type="dxa"/>
            <w:tcBorders>
              <w:top w:val="nil"/>
              <w:left w:val="nil"/>
              <w:bottom w:val="nil"/>
              <w:right w:val="nil"/>
            </w:tcBorders>
            <w:shd w:val="clear" w:color="auto" w:fill="auto"/>
            <w:noWrap/>
            <w:vAlign w:val="center"/>
            <w:hideMark/>
          </w:tcPr>
          <w:p w14:paraId="4C329CD6" w14:textId="77777777" w:rsidR="008A1E55" w:rsidRPr="006B42D6" w:rsidRDefault="008A1E55" w:rsidP="00E16CAE">
            <w:pPr>
              <w:jc w:val="right"/>
              <w:rPr>
                <w:sz w:val="18"/>
                <w:szCs w:val="18"/>
              </w:rPr>
            </w:pPr>
            <w:r w:rsidRPr="006B42D6">
              <w:rPr>
                <w:sz w:val="18"/>
                <w:szCs w:val="18"/>
              </w:rPr>
              <w:t>491,850</w:t>
            </w:r>
          </w:p>
        </w:tc>
        <w:tc>
          <w:tcPr>
            <w:tcW w:w="914" w:type="dxa"/>
            <w:tcBorders>
              <w:top w:val="nil"/>
              <w:left w:val="nil"/>
              <w:bottom w:val="nil"/>
              <w:right w:val="nil"/>
            </w:tcBorders>
            <w:shd w:val="clear" w:color="auto" w:fill="auto"/>
            <w:noWrap/>
            <w:vAlign w:val="center"/>
            <w:hideMark/>
          </w:tcPr>
          <w:p w14:paraId="4CB7AD3C" w14:textId="77777777" w:rsidR="008A1E55" w:rsidRPr="006B42D6" w:rsidRDefault="008A1E55" w:rsidP="00E16CAE">
            <w:pPr>
              <w:jc w:val="right"/>
              <w:rPr>
                <w:sz w:val="18"/>
                <w:szCs w:val="18"/>
              </w:rPr>
            </w:pPr>
            <w:r w:rsidRPr="006B42D6">
              <w:rPr>
                <w:sz w:val="18"/>
                <w:szCs w:val="18"/>
              </w:rPr>
              <w:t>6.4</w:t>
            </w:r>
          </w:p>
        </w:tc>
        <w:tc>
          <w:tcPr>
            <w:tcW w:w="1105" w:type="dxa"/>
            <w:tcBorders>
              <w:top w:val="nil"/>
              <w:left w:val="nil"/>
              <w:bottom w:val="nil"/>
              <w:right w:val="nil"/>
            </w:tcBorders>
            <w:shd w:val="clear" w:color="auto" w:fill="auto"/>
            <w:noWrap/>
            <w:vAlign w:val="center"/>
            <w:hideMark/>
          </w:tcPr>
          <w:p w14:paraId="3D7DBB6D" w14:textId="77777777" w:rsidR="008A1E55" w:rsidRPr="006B42D6" w:rsidRDefault="008A1E55" w:rsidP="00E16CAE">
            <w:pPr>
              <w:jc w:val="right"/>
              <w:rPr>
                <w:sz w:val="18"/>
                <w:szCs w:val="18"/>
              </w:rPr>
            </w:pPr>
            <w:r w:rsidRPr="006B42D6">
              <w:rPr>
                <w:sz w:val="18"/>
                <w:szCs w:val="18"/>
              </w:rPr>
              <w:t>762</w:t>
            </w:r>
          </w:p>
        </w:tc>
        <w:tc>
          <w:tcPr>
            <w:tcW w:w="1015" w:type="dxa"/>
            <w:tcBorders>
              <w:top w:val="nil"/>
              <w:left w:val="nil"/>
              <w:bottom w:val="nil"/>
              <w:right w:val="nil"/>
            </w:tcBorders>
            <w:shd w:val="clear" w:color="auto" w:fill="auto"/>
            <w:noWrap/>
            <w:vAlign w:val="center"/>
            <w:hideMark/>
          </w:tcPr>
          <w:p w14:paraId="1B8C1C44" w14:textId="77777777" w:rsidR="008A1E55" w:rsidRPr="006B42D6" w:rsidRDefault="008A1E55" w:rsidP="00E16CAE">
            <w:pPr>
              <w:jc w:val="right"/>
              <w:rPr>
                <w:sz w:val="18"/>
                <w:szCs w:val="18"/>
              </w:rPr>
            </w:pPr>
            <w:r w:rsidRPr="006B42D6">
              <w:rPr>
                <w:sz w:val="18"/>
                <w:szCs w:val="18"/>
              </w:rPr>
              <w:t>0.4</w:t>
            </w:r>
          </w:p>
        </w:tc>
      </w:tr>
      <w:tr w:rsidR="006B42D6" w:rsidRPr="006B42D6" w14:paraId="56858794" w14:textId="77777777" w:rsidTr="00750BB9">
        <w:trPr>
          <w:trHeight w:val="300"/>
        </w:trPr>
        <w:tc>
          <w:tcPr>
            <w:tcW w:w="1624" w:type="dxa"/>
            <w:tcBorders>
              <w:top w:val="nil"/>
              <w:left w:val="nil"/>
              <w:bottom w:val="nil"/>
              <w:right w:val="nil"/>
            </w:tcBorders>
            <w:shd w:val="clear" w:color="auto" w:fill="auto"/>
            <w:noWrap/>
            <w:vAlign w:val="center"/>
            <w:hideMark/>
          </w:tcPr>
          <w:p w14:paraId="50E723FB" w14:textId="77777777" w:rsidR="008A1E55" w:rsidRPr="006B42D6" w:rsidRDefault="008A1E55" w:rsidP="00E16CAE">
            <w:pPr>
              <w:rPr>
                <w:sz w:val="18"/>
                <w:szCs w:val="18"/>
              </w:rPr>
            </w:pPr>
            <w:r w:rsidRPr="006B42D6">
              <w:rPr>
                <w:sz w:val="18"/>
                <w:szCs w:val="18"/>
              </w:rPr>
              <w:t>3.00 - 4.99 Km</w:t>
            </w:r>
          </w:p>
        </w:tc>
        <w:tc>
          <w:tcPr>
            <w:tcW w:w="1206" w:type="dxa"/>
            <w:tcBorders>
              <w:top w:val="nil"/>
              <w:left w:val="nil"/>
              <w:bottom w:val="nil"/>
              <w:right w:val="nil"/>
            </w:tcBorders>
            <w:shd w:val="clear" w:color="auto" w:fill="auto"/>
            <w:noWrap/>
            <w:vAlign w:val="center"/>
            <w:hideMark/>
          </w:tcPr>
          <w:p w14:paraId="4E5C3DE8" w14:textId="77777777" w:rsidR="008A1E55" w:rsidRPr="006B42D6" w:rsidRDefault="008A1E55" w:rsidP="00E16CAE">
            <w:pPr>
              <w:jc w:val="right"/>
              <w:rPr>
                <w:sz w:val="18"/>
                <w:szCs w:val="18"/>
              </w:rPr>
            </w:pPr>
            <w:r w:rsidRPr="006B42D6">
              <w:rPr>
                <w:sz w:val="18"/>
                <w:szCs w:val="18"/>
              </w:rPr>
              <w:t>235,212</w:t>
            </w:r>
          </w:p>
        </w:tc>
        <w:tc>
          <w:tcPr>
            <w:tcW w:w="914" w:type="dxa"/>
            <w:tcBorders>
              <w:top w:val="nil"/>
              <w:left w:val="nil"/>
              <w:bottom w:val="nil"/>
              <w:right w:val="nil"/>
            </w:tcBorders>
            <w:shd w:val="clear" w:color="auto" w:fill="auto"/>
            <w:noWrap/>
            <w:vAlign w:val="center"/>
            <w:hideMark/>
          </w:tcPr>
          <w:p w14:paraId="43BFD26F" w14:textId="77777777" w:rsidR="008A1E55" w:rsidRPr="006B42D6" w:rsidRDefault="008A1E55" w:rsidP="00E16CAE">
            <w:pPr>
              <w:jc w:val="right"/>
              <w:rPr>
                <w:sz w:val="18"/>
                <w:szCs w:val="18"/>
              </w:rPr>
            </w:pPr>
            <w:r w:rsidRPr="006B42D6">
              <w:rPr>
                <w:sz w:val="18"/>
                <w:szCs w:val="18"/>
              </w:rPr>
              <w:t>3.0</w:t>
            </w:r>
          </w:p>
        </w:tc>
        <w:tc>
          <w:tcPr>
            <w:tcW w:w="1206" w:type="dxa"/>
            <w:tcBorders>
              <w:top w:val="nil"/>
              <w:left w:val="nil"/>
              <w:bottom w:val="nil"/>
              <w:right w:val="nil"/>
            </w:tcBorders>
            <w:shd w:val="clear" w:color="auto" w:fill="auto"/>
            <w:noWrap/>
            <w:vAlign w:val="center"/>
            <w:hideMark/>
          </w:tcPr>
          <w:p w14:paraId="30F8CE68" w14:textId="77777777" w:rsidR="008A1E55" w:rsidRPr="006B42D6" w:rsidRDefault="008A1E55" w:rsidP="00E16CAE">
            <w:pPr>
              <w:jc w:val="right"/>
              <w:rPr>
                <w:sz w:val="18"/>
                <w:szCs w:val="18"/>
              </w:rPr>
            </w:pPr>
            <w:r w:rsidRPr="006B42D6">
              <w:rPr>
                <w:sz w:val="18"/>
                <w:szCs w:val="18"/>
              </w:rPr>
              <w:t>235,212</w:t>
            </w:r>
          </w:p>
        </w:tc>
        <w:tc>
          <w:tcPr>
            <w:tcW w:w="914" w:type="dxa"/>
            <w:tcBorders>
              <w:top w:val="nil"/>
              <w:left w:val="nil"/>
              <w:bottom w:val="nil"/>
              <w:right w:val="nil"/>
            </w:tcBorders>
            <w:shd w:val="clear" w:color="auto" w:fill="auto"/>
            <w:noWrap/>
            <w:vAlign w:val="center"/>
            <w:hideMark/>
          </w:tcPr>
          <w:p w14:paraId="54133CB4" w14:textId="77777777" w:rsidR="008A1E55" w:rsidRPr="006B42D6" w:rsidRDefault="008A1E55" w:rsidP="00E16CAE">
            <w:pPr>
              <w:jc w:val="right"/>
              <w:rPr>
                <w:sz w:val="18"/>
                <w:szCs w:val="18"/>
              </w:rPr>
            </w:pPr>
            <w:r w:rsidRPr="006B42D6">
              <w:rPr>
                <w:sz w:val="18"/>
                <w:szCs w:val="18"/>
              </w:rPr>
              <w:t>3.1</w:t>
            </w:r>
          </w:p>
        </w:tc>
        <w:tc>
          <w:tcPr>
            <w:tcW w:w="1105" w:type="dxa"/>
            <w:tcBorders>
              <w:top w:val="nil"/>
              <w:left w:val="nil"/>
              <w:bottom w:val="nil"/>
              <w:right w:val="nil"/>
            </w:tcBorders>
            <w:shd w:val="clear" w:color="auto" w:fill="auto"/>
            <w:noWrap/>
            <w:vAlign w:val="center"/>
            <w:hideMark/>
          </w:tcPr>
          <w:p w14:paraId="010CA5D4" w14:textId="77777777" w:rsidR="008A1E55" w:rsidRPr="006B42D6" w:rsidRDefault="008A1E55" w:rsidP="00E16CAE">
            <w:pPr>
              <w:jc w:val="right"/>
              <w:rPr>
                <w:sz w:val="18"/>
                <w:szCs w:val="18"/>
              </w:rPr>
            </w:pPr>
            <w:r w:rsidRPr="006B42D6">
              <w:rPr>
                <w:sz w:val="18"/>
                <w:szCs w:val="18"/>
              </w:rPr>
              <w:t>-</w:t>
            </w:r>
          </w:p>
        </w:tc>
        <w:tc>
          <w:tcPr>
            <w:tcW w:w="1015" w:type="dxa"/>
            <w:tcBorders>
              <w:top w:val="nil"/>
              <w:left w:val="nil"/>
              <w:bottom w:val="nil"/>
              <w:right w:val="nil"/>
            </w:tcBorders>
            <w:shd w:val="clear" w:color="auto" w:fill="auto"/>
            <w:noWrap/>
            <w:vAlign w:val="center"/>
            <w:hideMark/>
          </w:tcPr>
          <w:p w14:paraId="5D4260B9" w14:textId="77777777" w:rsidR="008A1E55" w:rsidRPr="006B42D6" w:rsidRDefault="008A1E55" w:rsidP="00E16CAE">
            <w:pPr>
              <w:jc w:val="right"/>
              <w:rPr>
                <w:sz w:val="18"/>
                <w:szCs w:val="18"/>
              </w:rPr>
            </w:pPr>
            <w:r w:rsidRPr="006B42D6">
              <w:rPr>
                <w:sz w:val="18"/>
                <w:szCs w:val="18"/>
              </w:rPr>
              <w:t>-</w:t>
            </w:r>
          </w:p>
        </w:tc>
      </w:tr>
      <w:tr w:rsidR="006B42D6" w:rsidRPr="006B42D6" w14:paraId="54028CCF" w14:textId="77777777" w:rsidTr="00750BB9">
        <w:trPr>
          <w:trHeight w:val="300"/>
        </w:trPr>
        <w:tc>
          <w:tcPr>
            <w:tcW w:w="1624" w:type="dxa"/>
            <w:tcBorders>
              <w:top w:val="nil"/>
              <w:left w:val="nil"/>
              <w:bottom w:val="nil"/>
              <w:right w:val="nil"/>
            </w:tcBorders>
            <w:shd w:val="clear" w:color="auto" w:fill="auto"/>
            <w:noWrap/>
            <w:vAlign w:val="center"/>
            <w:hideMark/>
          </w:tcPr>
          <w:p w14:paraId="5BAF0D0F" w14:textId="77777777" w:rsidR="008A1E55" w:rsidRPr="006B42D6" w:rsidRDefault="008A1E55" w:rsidP="00E16CAE">
            <w:pPr>
              <w:rPr>
                <w:sz w:val="18"/>
                <w:szCs w:val="18"/>
              </w:rPr>
            </w:pPr>
            <w:r w:rsidRPr="006B42D6">
              <w:rPr>
                <w:sz w:val="18"/>
                <w:szCs w:val="18"/>
              </w:rPr>
              <w:t>5.00 - 9.99 Km</w:t>
            </w:r>
          </w:p>
        </w:tc>
        <w:tc>
          <w:tcPr>
            <w:tcW w:w="1206" w:type="dxa"/>
            <w:tcBorders>
              <w:top w:val="nil"/>
              <w:left w:val="nil"/>
              <w:bottom w:val="nil"/>
              <w:right w:val="nil"/>
            </w:tcBorders>
            <w:shd w:val="clear" w:color="auto" w:fill="auto"/>
            <w:noWrap/>
            <w:vAlign w:val="center"/>
            <w:hideMark/>
          </w:tcPr>
          <w:p w14:paraId="6594DF8C" w14:textId="77777777" w:rsidR="008A1E55" w:rsidRPr="006B42D6" w:rsidRDefault="008A1E55" w:rsidP="00E16CAE">
            <w:pPr>
              <w:jc w:val="right"/>
              <w:rPr>
                <w:sz w:val="18"/>
                <w:szCs w:val="18"/>
              </w:rPr>
            </w:pPr>
            <w:r w:rsidRPr="006B42D6">
              <w:rPr>
                <w:sz w:val="18"/>
                <w:szCs w:val="18"/>
              </w:rPr>
              <w:t>96,806</w:t>
            </w:r>
          </w:p>
        </w:tc>
        <w:tc>
          <w:tcPr>
            <w:tcW w:w="914" w:type="dxa"/>
            <w:tcBorders>
              <w:top w:val="nil"/>
              <w:left w:val="nil"/>
              <w:bottom w:val="nil"/>
              <w:right w:val="nil"/>
            </w:tcBorders>
            <w:shd w:val="clear" w:color="auto" w:fill="auto"/>
            <w:noWrap/>
            <w:vAlign w:val="center"/>
            <w:hideMark/>
          </w:tcPr>
          <w:p w14:paraId="1B50FBAB" w14:textId="77777777" w:rsidR="008A1E55" w:rsidRPr="006B42D6" w:rsidRDefault="008A1E55" w:rsidP="00E16CAE">
            <w:pPr>
              <w:jc w:val="right"/>
              <w:rPr>
                <w:sz w:val="18"/>
                <w:szCs w:val="18"/>
              </w:rPr>
            </w:pPr>
            <w:r w:rsidRPr="006B42D6">
              <w:rPr>
                <w:sz w:val="18"/>
                <w:szCs w:val="18"/>
              </w:rPr>
              <w:t>1.2</w:t>
            </w:r>
          </w:p>
        </w:tc>
        <w:tc>
          <w:tcPr>
            <w:tcW w:w="1206" w:type="dxa"/>
            <w:tcBorders>
              <w:top w:val="nil"/>
              <w:left w:val="nil"/>
              <w:bottom w:val="nil"/>
              <w:right w:val="nil"/>
            </w:tcBorders>
            <w:shd w:val="clear" w:color="auto" w:fill="auto"/>
            <w:noWrap/>
            <w:vAlign w:val="center"/>
            <w:hideMark/>
          </w:tcPr>
          <w:p w14:paraId="0CD381A0" w14:textId="77777777" w:rsidR="008A1E55" w:rsidRPr="006B42D6" w:rsidRDefault="008A1E55" w:rsidP="00E16CAE">
            <w:pPr>
              <w:jc w:val="right"/>
              <w:rPr>
                <w:sz w:val="18"/>
                <w:szCs w:val="18"/>
              </w:rPr>
            </w:pPr>
            <w:r w:rsidRPr="006B42D6">
              <w:rPr>
                <w:sz w:val="18"/>
                <w:szCs w:val="18"/>
              </w:rPr>
              <w:t>96,806</w:t>
            </w:r>
          </w:p>
        </w:tc>
        <w:tc>
          <w:tcPr>
            <w:tcW w:w="914" w:type="dxa"/>
            <w:tcBorders>
              <w:top w:val="nil"/>
              <w:left w:val="nil"/>
              <w:bottom w:val="nil"/>
              <w:right w:val="nil"/>
            </w:tcBorders>
            <w:shd w:val="clear" w:color="auto" w:fill="auto"/>
            <w:noWrap/>
            <w:vAlign w:val="center"/>
            <w:hideMark/>
          </w:tcPr>
          <w:p w14:paraId="29209AF0" w14:textId="77777777" w:rsidR="008A1E55" w:rsidRPr="006B42D6" w:rsidRDefault="008A1E55" w:rsidP="00E16CAE">
            <w:pPr>
              <w:jc w:val="right"/>
              <w:rPr>
                <w:sz w:val="18"/>
                <w:szCs w:val="18"/>
              </w:rPr>
            </w:pPr>
            <w:r w:rsidRPr="006B42D6">
              <w:rPr>
                <w:sz w:val="18"/>
                <w:szCs w:val="18"/>
              </w:rPr>
              <w:t>1.3</w:t>
            </w:r>
          </w:p>
        </w:tc>
        <w:tc>
          <w:tcPr>
            <w:tcW w:w="1105" w:type="dxa"/>
            <w:tcBorders>
              <w:top w:val="nil"/>
              <w:left w:val="nil"/>
              <w:bottom w:val="nil"/>
              <w:right w:val="nil"/>
            </w:tcBorders>
            <w:shd w:val="clear" w:color="auto" w:fill="auto"/>
            <w:noWrap/>
            <w:vAlign w:val="center"/>
            <w:hideMark/>
          </w:tcPr>
          <w:p w14:paraId="62E4AB6C" w14:textId="77777777" w:rsidR="008A1E55" w:rsidRPr="006B42D6" w:rsidRDefault="008A1E55" w:rsidP="00E16CAE">
            <w:pPr>
              <w:jc w:val="right"/>
              <w:rPr>
                <w:sz w:val="18"/>
                <w:szCs w:val="18"/>
              </w:rPr>
            </w:pPr>
            <w:r w:rsidRPr="006B42D6">
              <w:rPr>
                <w:sz w:val="18"/>
                <w:szCs w:val="18"/>
              </w:rPr>
              <w:t>-</w:t>
            </w:r>
          </w:p>
        </w:tc>
        <w:tc>
          <w:tcPr>
            <w:tcW w:w="1015" w:type="dxa"/>
            <w:tcBorders>
              <w:top w:val="nil"/>
              <w:left w:val="nil"/>
              <w:bottom w:val="nil"/>
              <w:right w:val="nil"/>
            </w:tcBorders>
            <w:shd w:val="clear" w:color="auto" w:fill="auto"/>
            <w:noWrap/>
            <w:vAlign w:val="center"/>
            <w:hideMark/>
          </w:tcPr>
          <w:p w14:paraId="79913DF3" w14:textId="77777777" w:rsidR="008A1E55" w:rsidRPr="006B42D6" w:rsidRDefault="008A1E55" w:rsidP="00E16CAE">
            <w:pPr>
              <w:jc w:val="right"/>
              <w:rPr>
                <w:sz w:val="18"/>
                <w:szCs w:val="18"/>
              </w:rPr>
            </w:pPr>
            <w:r w:rsidRPr="006B42D6">
              <w:rPr>
                <w:sz w:val="18"/>
                <w:szCs w:val="18"/>
              </w:rPr>
              <w:t>-</w:t>
            </w:r>
          </w:p>
        </w:tc>
      </w:tr>
      <w:tr w:rsidR="006B42D6" w:rsidRPr="006B42D6" w14:paraId="2ED07A14" w14:textId="77777777" w:rsidTr="00750BB9">
        <w:trPr>
          <w:trHeight w:val="300"/>
        </w:trPr>
        <w:tc>
          <w:tcPr>
            <w:tcW w:w="1624" w:type="dxa"/>
            <w:tcBorders>
              <w:top w:val="nil"/>
              <w:left w:val="nil"/>
              <w:bottom w:val="nil"/>
              <w:right w:val="nil"/>
            </w:tcBorders>
            <w:shd w:val="clear" w:color="auto" w:fill="auto"/>
            <w:noWrap/>
            <w:vAlign w:val="center"/>
            <w:hideMark/>
          </w:tcPr>
          <w:p w14:paraId="00E0D305" w14:textId="77777777" w:rsidR="008A1E55" w:rsidRPr="006B42D6" w:rsidRDefault="008A1E55" w:rsidP="00E16CAE">
            <w:pPr>
              <w:rPr>
                <w:sz w:val="18"/>
                <w:szCs w:val="18"/>
              </w:rPr>
            </w:pPr>
            <w:r w:rsidRPr="006B42D6">
              <w:rPr>
                <w:sz w:val="18"/>
                <w:szCs w:val="18"/>
              </w:rPr>
              <w:t>10 Km and above</w:t>
            </w:r>
          </w:p>
        </w:tc>
        <w:tc>
          <w:tcPr>
            <w:tcW w:w="1206" w:type="dxa"/>
            <w:tcBorders>
              <w:top w:val="nil"/>
              <w:left w:val="nil"/>
              <w:bottom w:val="nil"/>
              <w:right w:val="nil"/>
            </w:tcBorders>
            <w:shd w:val="clear" w:color="auto" w:fill="auto"/>
            <w:noWrap/>
            <w:vAlign w:val="center"/>
            <w:hideMark/>
          </w:tcPr>
          <w:p w14:paraId="4C0C16EC" w14:textId="77777777" w:rsidR="008A1E55" w:rsidRPr="006B42D6" w:rsidRDefault="008A1E55" w:rsidP="00E16CAE">
            <w:pPr>
              <w:jc w:val="right"/>
              <w:rPr>
                <w:sz w:val="18"/>
                <w:szCs w:val="18"/>
              </w:rPr>
            </w:pPr>
            <w:r w:rsidRPr="006B42D6">
              <w:rPr>
                <w:sz w:val="18"/>
                <w:szCs w:val="18"/>
              </w:rPr>
              <w:t>33,250</w:t>
            </w:r>
          </w:p>
        </w:tc>
        <w:tc>
          <w:tcPr>
            <w:tcW w:w="914" w:type="dxa"/>
            <w:tcBorders>
              <w:top w:val="nil"/>
              <w:left w:val="nil"/>
              <w:bottom w:val="nil"/>
              <w:right w:val="nil"/>
            </w:tcBorders>
            <w:shd w:val="clear" w:color="auto" w:fill="auto"/>
            <w:noWrap/>
            <w:vAlign w:val="center"/>
            <w:hideMark/>
          </w:tcPr>
          <w:p w14:paraId="06D826BE" w14:textId="77777777" w:rsidR="008A1E55" w:rsidRPr="006B42D6" w:rsidRDefault="008A1E55" w:rsidP="00E16CAE">
            <w:pPr>
              <w:jc w:val="right"/>
              <w:rPr>
                <w:sz w:val="18"/>
                <w:szCs w:val="18"/>
              </w:rPr>
            </w:pPr>
            <w:r w:rsidRPr="006B42D6">
              <w:rPr>
                <w:sz w:val="18"/>
                <w:szCs w:val="18"/>
              </w:rPr>
              <w:t>0.4</w:t>
            </w:r>
          </w:p>
        </w:tc>
        <w:tc>
          <w:tcPr>
            <w:tcW w:w="1206" w:type="dxa"/>
            <w:tcBorders>
              <w:top w:val="nil"/>
              <w:left w:val="nil"/>
              <w:bottom w:val="nil"/>
              <w:right w:val="nil"/>
            </w:tcBorders>
            <w:shd w:val="clear" w:color="auto" w:fill="auto"/>
            <w:noWrap/>
            <w:vAlign w:val="center"/>
            <w:hideMark/>
          </w:tcPr>
          <w:p w14:paraId="2D52FF25" w14:textId="77777777" w:rsidR="008A1E55" w:rsidRPr="006B42D6" w:rsidRDefault="008A1E55" w:rsidP="00E16CAE">
            <w:pPr>
              <w:jc w:val="right"/>
              <w:rPr>
                <w:sz w:val="18"/>
                <w:szCs w:val="18"/>
              </w:rPr>
            </w:pPr>
            <w:r w:rsidRPr="006B42D6">
              <w:rPr>
                <w:sz w:val="18"/>
                <w:szCs w:val="18"/>
              </w:rPr>
              <w:t>33,120</w:t>
            </w:r>
          </w:p>
        </w:tc>
        <w:tc>
          <w:tcPr>
            <w:tcW w:w="914" w:type="dxa"/>
            <w:tcBorders>
              <w:top w:val="nil"/>
              <w:left w:val="nil"/>
              <w:bottom w:val="nil"/>
              <w:right w:val="nil"/>
            </w:tcBorders>
            <w:shd w:val="clear" w:color="auto" w:fill="auto"/>
            <w:noWrap/>
            <w:vAlign w:val="center"/>
            <w:hideMark/>
          </w:tcPr>
          <w:p w14:paraId="64130A27" w14:textId="77777777" w:rsidR="008A1E55" w:rsidRPr="006B42D6" w:rsidRDefault="008A1E55" w:rsidP="00E16CAE">
            <w:pPr>
              <w:jc w:val="right"/>
              <w:rPr>
                <w:sz w:val="18"/>
                <w:szCs w:val="18"/>
              </w:rPr>
            </w:pPr>
            <w:r w:rsidRPr="006B42D6">
              <w:rPr>
                <w:sz w:val="18"/>
                <w:szCs w:val="18"/>
              </w:rPr>
              <w:t>0.4</w:t>
            </w:r>
          </w:p>
        </w:tc>
        <w:tc>
          <w:tcPr>
            <w:tcW w:w="1105" w:type="dxa"/>
            <w:tcBorders>
              <w:top w:val="nil"/>
              <w:left w:val="nil"/>
              <w:bottom w:val="nil"/>
              <w:right w:val="nil"/>
            </w:tcBorders>
            <w:shd w:val="clear" w:color="auto" w:fill="auto"/>
            <w:noWrap/>
            <w:vAlign w:val="center"/>
            <w:hideMark/>
          </w:tcPr>
          <w:p w14:paraId="49796098" w14:textId="77777777" w:rsidR="008A1E55" w:rsidRPr="006B42D6" w:rsidRDefault="008A1E55" w:rsidP="00E16CAE">
            <w:pPr>
              <w:jc w:val="right"/>
              <w:rPr>
                <w:sz w:val="18"/>
                <w:szCs w:val="18"/>
              </w:rPr>
            </w:pPr>
            <w:r w:rsidRPr="006B42D6">
              <w:rPr>
                <w:sz w:val="18"/>
                <w:szCs w:val="18"/>
              </w:rPr>
              <w:t>130</w:t>
            </w:r>
          </w:p>
        </w:tc>
        <w:tc>
          <w:tcPr>
            <w:tcW w:w="1015" w:type="dxa"/>
            <w:tcBorders>
              <w:top w:val="nil"/>
              <w:left w:val="nil"/>
              <w:bottom w:val="nil"/>
              <w:right w:val="nil"/>
            </w:tcBorders>
            <w:shd w:val="clear" w:color="auto" w:fill="auto"/>
            <w:noWrap/>
            <w:vAlign w:val="center"/>
            <w:hideMark/>
          </w:tcPr>
          <w:p w14:paraId="507B8CAC" w14:textId="77777777" w:rsidR="008A1E55" w:rsidRPr="006B42D6" w:rsidRDefault="008A1E55" w:rsidP="00E16CAE">
            <w:pPr>
              <w:jc w:val="right"/>
              <w:rPr>
                <w:sz w:val="18"/>
                <w:szCs w:val="18"/>
              </w:rPr>
            </w:pPr>
            <w:r w:rsidRPr="006B42D6">
              <w:rPr>
                <w:sz w:val="18"/>
                <w:szCs w:val="18"/>
              </w:rPr>
              <w:t>0.1</w:t>
            </w:r>
          </w:p>
        </w:tc>
      </w:tr>
      <w:tr w:rsidR="008A1E55" w:rsidRPr="006B42D6" w14:paraId="1CD59136" w14:textId="77777777" w:rsidTr="00750BB9">
        <w:trPr>
          <w:trHeight w:val="300"/>
        </w:trPr>
        <w:tc>
          <w:tcPr>
            <w:tcW w:w="1624" w:type="dxa"/>
            <w:tcBorders>
              <w:top w:val="single" w:sz="4" w:space="0" w:color="auto"/>
              <w:left w:val="nil"/>
              <w:bottom w:val="single" w:sz="4" w:space="0" w:color="auto"/>
              <w:right w:val="nil"/>
            </w:tcBorders>
            <w:shd w:val="clear" w:color="auto" w:fill="E2EFD9" w:themeFill="accent6" w:themeFillTint="33"/>
            <w:noWrap/>
            <w:vAlign w:val="center"/>
            <w:hideMark/>
          </w:tcPr>
          <w:p w14:paraId="0EE811B5" w14:textId="77777777" w:rsidR="008A1E55" w:rsidRPr="00143C67" w:rsidRDefault="008A1E55" w:rsidP="00E16CAE">
            <w:pPr>
              <w:rPr>
                <w:b/>
                <w:sz w:val="18"/>
                <w:szCs w:val="18"/>
              </w:rPr>
            </w:pPr>
            <w:r w:rsidRPr="00143C67">
              <w:rPr>
                <w:b/>
                <w:sz w:val="18"/>
                <w:szCs w:val="18"/>
              </w:rPr>
              <w:t>Total</w:t>
            </w:r>
          </w:p>
        </w:tc>
        <w:tc>
          <w:tcPr>
            <w:tcW w:w="1206" w:type="dxa"/>
            <w:tcBorders>
              <w:top w:val="single" w:sz="4" w:space="0" w:color="auto"/>
              <w:left w:val="nil"/>
              <w:bottom w:val="single" w:sz="4" w:space="0" w:color="auto"/>
              <w:right w:val="nil"/>
            </w:tcBorders>
            <w:shd w:val="clear" w:color="auto" w:fill="E2EFD9" w:themeFill="accent6" w:themeFillTint="33"/>
            <w:noWrap/>
            <w:vAlign w:val="center"/>
            <w:hideMark/>
          </w:tcPr>
          <w:p w14:paraId="77FC0852" w14:textId="77777777" w:rsidR="008A1E55" w:rsidRPr="00143C67" w:rsidRDefault="008A1E55" w:rsidP="00E16CAE">
            <w:pPr>
              <w:jc w:val="right"/>
              <w:rPr>
                <w:b/>
                <w:sz w:val="18"/>
                <w:szCs w:val="18"/>
              </w:rPr>
            </w:pPr>
            <w:r w:rsidRPr="00143C67">
              <w:rPr>
                <w:b/>
                <w:sz w:val="18"/>
                <w:szCs w:val="18"/>
              </w:rPr>
              <w:t>7,837,407</w:t>
            </w:r>
          </w:p>
        </w:tc>
        <w:tc>
          <w:tcPr>
            <w:tcW w:w="914" w:type="dxa"/>
            <w:tcBorders>
              <w:top w:val="single" w:sz="4" w:space="0" w:color="auto"/>
              <w:left w:val="nil"/>
              <w:bottom w:val="single" w:sz="4" w:space="0" w:color="auto"/>
              <w:right w:val="nil"/>
            </w:tcBorders>
            <w:shd w:val="clear" w:color="auto" w:fill="E2EFD9" w:themeFill="accent6" w:themeFillTint="33"/>
            <w:noWrap/>
            <w:vAlign w:val="center"/>
            <w:hideMark/>
          </w:tcPr>
          <w:p w14:paraId="1AD81B24" w14:textId="77777777" w:rsidR="008A1E55" w:rsidRPr="00143C67" w:rsidRDefault="008A1E55" w:rsidP="00E16CAE">
            <w:pPr>
              <w:jc w:val="right"/>
              <w:rPr>
                <w:b/>
                <w:sz w:val="18"/>
                <w:szCs w:val="18"/>
              </w:rPr>
            </w:pPr>
            <w:r w:rsidRPr="00143C67">
              <w:rPr>
                <w:b/>
                <w:sz w:val="18"/>
                <w:szCs w:val="18"/>
              </w:rPr>
              <w:t>100.0</w:t>
            </w:r>
          </w:p>
        </w:tc>
        <w:tc>
          <w:tcPr>
            <w:tcW w:w="1206" w:type="dxa"/>
            <w:tcBorders>
              <w:top w:val="single" w:sz="4" w:space="0" w:color="auto"/>
              <w:left w:val="nil"/>
              <w:bottom w:val="single" w:sz="4" w:space="0" w:color="auto"/>
              <w:right w:val="nil"/>
            </w:tcBorders>
            <w:shd w:val="clear" w:color="auto" w:fill="E2EFD9" w:themeFill="accent6" w:themeFillTint="33"/>
            <w:noWrap/>
            <w:vAlign w:val="center"/>
            <w:hideMark/>
          </w:tcPr>
          <w:p w14:paraId="6F95F689" w14:textId="77777777" w:rsidR="008A1E55" w:rsidRPr="00143C67" w:rsidRDefault="008A1E55" w:rsidP="00E16CAE">
            <w:pPr>
              <w:jc w:val="right"/>
              <w:rPr>
                <w:b/>
                <w:sz w:val="18"/>
                <w:szCs w:val="18"/>
              </w:rPr>
            </w:pPr>
            <w:r w:rsidRPr="00143C67">
              <w:rPr>
                <w:b/>
                <w:sz w:val="18"/>
                <w:szCs w:val="18"/>
              </w:rPr>
              <w:t>7,657,190</w:t>
            </w:r>
          </w:p>
        </w:tc>
        <w:tc>
          <w:tcPr>
            <w:tcW w:w="914" w:type="dxa"/>
            <w:tcBorders>
              <w:top w:val="single" w:sz="4" w:space="0" w:color="auto"/>
              <w:left w:val="nil"/>
              <w:bottom w:val="single" w:sz="4" w:space="0" w:color="auto"/>
              <w:right w:val="nil"/>
            </w:tcBorders>
            <w:shd w:val="clear" w:color="auto" w:fill="E2EFD9" w:themeFill="accent6" w:themeFillTint="33"/>
            <w:noWrap/>
            <w:vAlign w:val="center"/>
            <w:hideMark/>
          </w:tcPr>
          <w:p w14:paraId="671FEA64" w14:textId="77777777" w:rsidR="008A1E55" w:rsidRPr="00143C67" w:rsidRDefault="008A1E55" w:rsidP="00E16CAE">
            <w:pPr>
              <w:jc w:val="right"/>
              <w:rPr>
                <w:b/>
                <w:sz w:val="18"/>
                <w:szCs w:val="18"/>
              </w:rPr>
            </w:pPr>
            <w:r w:rsidRPr="00143C67">
              <w:rPr>
                <w:b/>
                <w:sz w:val="18"/>
                <w:szCs w:val="18"/>
              </w:rPr>
              <w:t>100.0</w:t>
            </w:r>
          </w:p>
        </w:tc>
        <w:tc>
          <w:tcPr>
            <w:tcW w:w="1105" w:type="dxa"/>
            <w:tcBorders>
              <w:top w:val="single" w:sz="4" w:space="0" w:color="auto"/>
              <w:left w:val="nil"/>
              <w:bottom w:val="single" w:sz="4" w:space="0" w:color="auto"/>
              <w:right w:val="nil"/>
            </w:tcBorders>
            <w:shd w:val="clear" w:color="auto" w:fill="E2EFD9" w:themeFill="accent6" w:themeFillTint="33"/>
            <w:noWrap/>
            <w:vAlign w:val="center"/>
            <w:hideMark/>
          </w:tcPr>
          <w:p w14:paraId="4E6FEBA6" w14:textId="77777777" w:rsidR="008A1E55" w:rsidRPr="00143C67" w:rsidRDefault="008A1E55" w:rsidP="00E16CAE">
            <w:pPr>
              <w:jc w:val="right"/>
              <w:rPr>
                <w:b/>
                <w:sz w:val="18"/>
                <w:szCs w:val="18"/>
              </w:rPr>
            </w:pPr>
            <w:r w:rsidRPr="00143C67">
              <w:rPr>
                <w:b/>
                <w:sz w:val="18"/>
                <w:szCs w:val="18"/>
              </w:rPr>
              <w:t>180,217</w:t>
            </w:r>
          </w:p>
        </w:tc>
        <w:tc>
          <w:tcPr>
            <w:tcW w:w="1015" w:type="dxa"/>
            <w:tcBorders>
              <w:top w:val="single" w:sz="4" w:space="0" w:color="auto"/>
              <w:left w:val="nil"/>
              <w:bottom w:val="single" w:sz="4" w:space="0" w:color="auto"/>
              <w:right w:val="nil"/>
            </w:tcBorders>
            <w:shd w:val="clear" w:color="auto" w:fill="E2EFD9" w:themeFill="accent6" w:themeFillTint="33"/>
            <w:noWrap/>
            <w:vAlign w:val="center"/>
            <w:hideMark/>
          </w:tcPr>
          <w:p w14:paraId="36B019AB" w14:textId="77777777" w:rsidR="008A1E55" w:rsidRPr="00143C67" w:rsidRDefault="008A1E55" w:rsidP="00E16CAE">
            <w:pPr>
              <w:jc w:val="right"/>
              <w:rPr>
                <w:b/>
                <w:sz w:val="18"/>
                <w:szCs w:val="18"/>
              </w:rPr>
            </w:pPr>
            <w:r w:rsidRPr="00143C67">
              <w:rPr>
                <w:b/>
                <w:sz w:val="18"/>
                <w:szCs w:val="18"/>
              </w:rPr>
              <w:t>100.0</w:t>
            </w:r>
          </w:p>
        </w:tc>
      </w:tr>
    </w:tbl>
    <w:p w14:paraId="48308129" w14:textId="77777777" w:rsidR="008A1E55" w:rsidRPr="006B42D6" w:rsidRDefault="008A1E55" w:rsidP="008A1E55"/>
    <w:p w14:paraId="07D7D2BF" w14:textId="39057ADF" w:rsidR="008A1E55" w:rsidRPr="006B42D6" w:rsidRDefault="008A1E55" w:rsidP="00686394">
      <w:pPr>
        <w:pStyle w:val="Heading7"/>
        <w:ind w:right="1361"/>
      </w:pPr>
      <w:bookmarkStart w:id="882" w:name="_Toc82386253"/>
      <w:r w:rsidRPr="006B42D6">
        <w:t xml:space="preserve">Table </w:t>
      </w:r>
      <w:r w:rsidR="00F83A4C" w:rsidRPr="006B42D6">
        <w:t>6</w:t>
      </w:r>
      <w:r w:rsidRPr="006B42D6">
        <w:t>.18</w:t>
      </w:r>
      <w:r w:rsidR="0024189E">
        <w:t>:</w:t>
      </w:r>
      <w:r w:rsidR="00AC6872">
        <w:tab/>
      </w:r>
      <w:r w:rsidRPr="006B42D6">
        <w:t>Number and Percentage of Agricultural Households Reported Distance to Source of Drinking Water in Dry Season by Region during 2019/20 Agricultural Year</w:t>
      </w:r>
      <w:r w:rsidR="009077FA" w:rsidRPr="006B42D6">
        <w:t>, Tanzania</w:t>
      </w:r>
      <w:bookmarkEnd w:id="882"/>
    </w:p>
    <w:tbl>
      <w:tblPr>
        <w:tblW w:w="8470" w:type="dxa"/>
        <w:tblLook w:val="04A0" w:firstRow="1" w:lastRow="0" w:firstColumn="1" w:lastColumn="0" w:noHBand="0" w:noVBand="1"/>
      </w:tblPr>
      <w:tblGrid>
        <w:gridCol w:w="2026"/>
        <w:gridCol w:w="1222"/>
        <w:gridCol w:w="926"/>
        <w:gridCol w:w="1222"/>
        <w:gridCol w:w="926"/>
        <w:gridCol w:w="1119"/>
        <w:gridCol w:w="1029"/>
      </w:tblGrid>
      <w:tr w:rsidR="006B42D6" w:rsidRPr="006B42D6" w14:paraId="39AF7F2C" w14:textId="77777777" w:rsidTr="004F65CD">
        <w:trPr>
          <w:trHeight w:val="325"/>
        </w:trPr>
        <w:tc>
          <w:tcPr>
            <w:tcW w:w="2026" w:type="dxa"/>
            <w:vMerge w:val="restart"/>
            <w:tcBorders>
              <w:top w:val="single" w:sz="4" w:space="0" w:color="auto"/>
              <w:left w:val="nil"/>
              <w:bottom w:val="single" w:sz="4" w:space="0" w:color="000000"/>
              <w:right w:val="nil"/>
            </w:tcBorders>
            <w:shd w:val="clear" w:color="auto" w:fill="E2EFD9" w:themeFill="accent6" w:themeFillTint="33"/>
            <w:noWrap/>
            <w:vAlign w:val="center"/>
            <w:hideMark/>
          </w:tcPr>
          <w:p w14:paraId="7DBC9C7C" w14:textId="77777777" w:rsidR="008A1E55" w:rsidRPr="006B42D6" w:rsidRDefault="008A1E55" w:rsidP="00DD3FC5">
            <w:pPr>
              <w:spacing w:line="240" w:lineRule="auto"/>
              <w:rPr>
                <w:sz w:val="18"/>
                <w:szCs w:val="18"/>
              </w:rPr>
            </w:pPr>
            <w:r w:rsidRPr="006B42D6">
              <w:rPr>
                <w:sz w:val="18"/>
                <w:szCs w:val="18"/>
              </w:rPr>
              <w:t>Distance (Km)</w:t>
            </w:r>
          </w:p>
        </w:tc>
        <w:tc>
          <w:tcPr>
            <w:tcW w:w="2148" w:type="dxa"/>
            <w:gridSpan w:val="2"/>
            <w:tcBorders>
              <w:top w:val="single" w:sz="4" w:space="0" w:color="auto"/>
              <w:left w:val="nil"/>
              <w:bottom w:val="single" w:sz="4" w:space="0" w:color="auto"/>
              <w:right w:val="nil"/>
            </w:tcBorders>
            <w:shd w:val="clear" w:color="auto" w:fill="E2EFD9" w:themeFill="accent6" w:themeFillTint="33"/>
            <w:noWrap/>
            <w:vAlign w:val="center"/>
            <w:hideMark/>
          </w:tcPr>
          <w:p w14:paraId="47CC3C9A" w14:textId="77777777" w:rsidR="008A1E55" w:rsidRPr="006B42D6" w:rsidRDefault="008A1E55" w:rsidP="00DD3FC5">
            <w:pPr>
              <w:spacing w:line="240" w:lineRule="auto"/>
              <w:jc w:val="center"/>
              <w:rPr>
                <w:sz w:val="18"/>
                <w:szCs w:val="18"/>
              </w:rPr>
            </w:pPr>
            <w:r w:rsidRPr="006B42D6">
              <w:rPr>
                <w:sz w:val="18"/>
                <w:szCs w:val="18"/>
              </w:rPr>
              <w:t>Tanzania</w:t>
            </w:r>
          </w:p>
        </w:tc>
        <w:tc>
          <w:tcPr>
            <w:tcW w:w="2148" w:type="dxa"/>
            <w:gridSpan w:val="2"/>
            <w:tcBorders>
              <w:top w:val="single" w:sz="4" w:space="0" w:color="auto"/>
              <w:left w:val="nil"/>
              <w:bottom w:val="single" w:sz="4" w:space="0" w:color="auto"/>
              <w:right w:val="nil"/>
            </w:tcBorders>
            <w:shd w:val="clear" w:color="auto" w:fill="E2EFD9" w:themeFill="accent6" w:themeFillTint="33"/>
            <w:noWrap/>
            <w:vAlign w:val="center"/>
            <w:hideMark/>
          </w:tcPr>
          <w:p w14:paraId="013DCE05" w14:textId="608204F8" w:rsidR="008A1E55" w:rsidRPr="006B42D6" w:rsidRDefault="00EA1552" w:rsidP="00DD3FC5">
            <w:pPr>
              <w:spacing w:line="240" w:lineRule="auto"/>
              <w:jc w:val="center"/>
              <w:rPr>
                <w:sz w:val="18"/>
                <w:szCs w:val="18"/>
              </w:rPr>
            </w:pPr>
            <w:r>
              <w:rPr>
                <w:sz w:val="18"/>
                <w:szCs w:val="18"/>
              </w:rPr>
              <w:t>Mainland Tanzania</w:t>
            </w:r>
          </w:p>
        </w:tc>
        <w:tc>
          <w:tcPr>
            <w:tcW w:w="2148" w:type="dxa"/>
            <w:gridSpan w:val="2"/>
            <w:tcBorders>
              <w:top w:val="single" w:sz="4" w:space="0" w:color="auto"/>
              <w:left w:val="nil"/>
              <w:bottom w:val="single" w:sz="4" w:space="0" w:color="auto"/>
              <w:right w:val="nil"/>
            </w:tcBorders>
            <w:shd w:val="clear" w:color="auto" w:fill="E2EFD9" w:themeFill="accent6" w:themeFillTint="33"/>
            <w:noWrap/>
            <w:vAlign w:val="center"/>
            <w:hideMark/>
          </w:tcPr>
          <w:p w14:paraId="3B1542C6" w14:textId="77777777" w:rsidR="008A1E55" w:rsidRPr="006B42D6" w:rsidRDefault="008A1E55" w:rsidP="00DD3FC5">
            <w:pPr>
              <w:spacing w:line="240" w:lineRule="auto"/>
              <w:jc w:val="center"/>
              <w:rPr>
                <w:sz w:val="18"/>
                <w:szCs w:val="18"/>
              </w:rPr>
            </w:pPr>
            <w:r w:rsidRPr="006B42D6">
              <w:rPr>
                <w:sz w:val="18"/>
                <w:szCs w:val="18"/>
              </w:rPr>
              <w:t>Tanzania Zanzibar</w:t>
            </w:r>
          </w:p>
        </w:tc>
      </w:tr>
      <w:tr w:rsidR="006B42D6" w:rsidRPr="006B42D6" w14:paraId="216013A3" w14:textId="77777777" w:rsidTr="004F65CD">
        <w:trPr>
          <w:trHeight w:val="227"/>
        </w:trPr>
        <w:tc>
          <w:tcPr>
            <w:tcW w:w="2026" w:type="dxa"/>
            <w:vMerge/>
            <w:tcBorders>
              <w:top w:val="single" w:sz="4" w:space="0" w:color="auto"/>
              <w:left w:val="nil"/>
              <w:bottom w:val="single" w:sz="4" w:space="0" w:color="000000"/>
              <w:right w:val="nil"/>
            </w:tcBorders>
            <w:shd w:val="clear" w:color="auto" w:fill="E2EFD9" w:themeFill="accent6" w:themeFillTint="33"/>
            <w:vAlign w:val="center"/>
            <w:hideMark/>
          </w:tcPr>
          <w:p w14:paraId="1CAE86BD" w14:textId="77777777" w:rsidR="008A1E55" w:rsidRPr="006B42D6" w:rsidRDefault="008A1E55" w:rsidP="00DD3FC5">
            <w:pPr>
              <w:spacing w:line="240" w:lineRule="auto"/>
              <w:rPr>
                <w:sz w:val="18"/>
                <w:szCs w:val="18"/>
              </w:rPr>
            </w:pPr>
          </w:p>
        </w:tc>
        <w:tc>
          <w:tcPr>
            <w:tcW w:w="1222" w:type="dxa"/>
            <w:tcBorders>
              <w:top w:val="single" w:sz="4" w:space="0" w:color="auto"/>
              <w:left w:val="nil"/>
              <w:bottom w:val="single" w:sz="4" w:space="0" w:color="auto"/>
              <w:right w:val="nil"/>
            </w:tcBorders>
            <w:shd w:val="clear" w:color="auto" w:fill="E2EFD9" w:themeFill="accent6" w:themeFillTint="33"/>
            <w:noWrap/>
            <w:hideMark/>
          </w:tcPr>
          <w:p w14:paraId="6E73CCA3" w14:textId="77777777" w:rsidR="008A1E55" w:rsidRPr="006B42D6" w:rsidRDefault="008A1E55" w:rsidP="00143C67">
            <w:pPr>
              <w:spacing w:line="240" w:lineRule="auto"/>
              <w:jc w:val="center"/>
              <w:rPr>
                <w:sz w:val="18"/>
                <w:szCs w:val="18"/>
              </w:rPr>
            </w:pPr>
            <w:r w:rsidRPr="006B42D6">
              <w:rPr>
                <w:sz w:val="18"/>
                <w:szCs w:val="18"/>
              </w:rPr>
              <w:t>Number</w:t>
            </w:r>
          </w:p>
        </w:tc>
        <w:tc>
          <w:tcPr>
            <w:tcW w:w="926" w:type="dxa"/>
            <w:tcBorders>
              <w:top w:val="single" w:sz="4" w:space="0" w:color="auto"/>
              <w:left w:val="nil"/>
              <w:bottom w:val="single" w:sz="4" w:space="0" w:color="auto"/>
              <w:right w:val="nil"/>
            </w:tcBorders>
            <w:shd w:val="clear" w:color="auto" w:fill="E2EFD9" w:themeFill="accent6" w:themeFillTint="33"/>
            <w:noWrap/>
            <w:hideMark/>
          </w:tcPr>
          <w:p w14:paraId="6B7E6A18" w14:textId="77777777" w:rsidR="008A1E55" w:rsidRPr="006B42D6" w:rsidRDefault="008A1E55" w:rsidP="00143C67">
            <w:pPr>
              <w:spacing w:line="240" w:lineRule="auto"/>
              <w:jc w:val="center"/>
              <w:rPr>
                <w:sz w:val="18"/>
                <w:szCs w:val="18"/>
              </w:rPr>
            </w:pPr>
            <w:r w:rsidRPr="006B42D6">
              <w:rPr>
                <w:sz w:val="18"/>
                <w:szCs w:val="18"/>
              </w:rPr>
              <w:t>Percent</w:t>
            </w:r>
          </w:p>
        </w:tc>
        <w:tc>
          <w:tcPr>
            <w:tcW w:w="1222" w:type="dxa"/>
            <w:tcBorders>
              <w:top w:val="single" w:sz="4" w:space="0" w:color="auto"/>
              <w:left w:val="nil"/>
              <w:bottom w:val="single" w:sz="4" w:space="0" w:color="auto"/>
              <w:right w:val="nil"/>
            </w:tcBorders>
            <w:shd w:val="clear" w:color="auto" w:fill="E2EFD9" w:themeFill="accent6" w:themeFillTint="33"/>
            <w:noWrap/>
            <w:hideMark/>
          </w:tcPr>
          <w:p w14:paraId="6BB915AC" w14:textId="77777777" w:rsidR="008A1E55" w:rsidRPr="006B42D6" w:rsidRDefault="008A1E55" w:rsidP="00143C67">
            <w:pPr>
              <w:spacing w:line="240" w:lineRule="auto"/>
              <w:jc w:val="center"/>
              <w:rPr>
                <w:sz w:val="18"/>
                <w:szCs w:val="18"/>
              </w:rPr>
            </w:pPr>
            <w:r w:rsidRPr="006B42D6">
              <w:rPr>
                <w:sz w:val="18"/>
                <w:szCs w:val="18"/>
              </w:rPr>
              <w:t>Number</w:t>
            </w:r>
          </w:p>
        </w:tc>
        <w:tc>
          <w:tcPr>
            <w:tcW w:w="926" w:type="dxa"/>
            <w:tcBorders>
              <w:top w:val="single" w:sz="4" w:space="0" w:color="auto"/>
              <w:left w:val="nil"/>
              <w:bottom w:val="single" w:sz="4" w:space="0" w:color="auto"/>
              <w:right w:val="nil"/>
            </w:tcBorders>
            <w:shd w:val="clear" w:color="auto" w:fill="E2EFD9" w:themeFill="accent6" w:themeFillTint="33"/>
            <w:noWrap/>
            <w:hideMark/>
          </w:tcPr>
          <w:p w14:paraId="36816A89" w14:textId="77777777" w:rsidR="008A1E55" w:rsidRPr="006B42D6" w:rsidRDefault="008A1E55" w:rsidP="00143C67">
            <w:pPr>
              <w:spacing w:line="240" w:lineRule="auto"/>
              <w:jc w:val="center"/>
              <w:rPr>
                <w:sz w:val="18"/>
                <w:szCs w:val="18"/>
              </w:rPr>
            </w:pPr>
            <w:r w:rsidRPr="006B42D6">
              <w:rPr>
                <w:sz w:val="18"/>
                <w:szCs w:val="18"/>
              </w:rPr>
              <w:t>Percent</w:t>
            </w:r>
          </w:p>
        </w:tc>
        <w:tc>
          <w:tcPr>
            <w:tcW w:w="1119" w:type="dxa"/>
            <w:tcBorders>
              <w:top w:val="single" w:sz="4" w:space="0" w:color="auto"/>
              <w:left w:val="nil"/>
              <w:bottom w:val="single" w:sz="4" w:space="0" w:color="auto"/>
              <w:right w:val="nil"/>
            </w:tcBorders>
            <w:shd w:val="clear" w:color="auto" w:fill="E2EFD9" w:themeFill="accent6" w:themeFillTint="33"/>
            <w:noWrap/>
            <w:hideMark/>
          </w:tcPr>
          <w:p w14:paraId="1DE0D7C6" w14:textId="77777777" w:rsidR="008A1E55" w:rsidRPr="006B42D6" w:rsidRDefault="008A1E55" w:rsidP="00143C67">
            <w:pPr>
              <w:spacing w:line="240" w:lineRule="auto"/>
              <w:jc w:val="center"/>
              <w:rPr>
                <w:sz w:val="18"/>
                <w:szCs w:val="18"/>
              </w:rPr>
            </w:pPr>
            <w:r w:rsidRPr="006B42D6">
              <w:rPr>
                <w:sz w:val="18"/>
                <w:szCs w:val="18"/>
              </w:rPr>
              <w:t>Number</w:t>
            </w:r>
          </w:p>
        </w:tc>
        <w:tc>
          <w:tcPr>
            <w:tcW w:w="1028" w:type="dxa"/>
            <w:tcBorders>
              <w:top w:val="single" w:sz="4" w:space="0" w:color="auto"/>
              <w:left w:val="nil"/>
              <w:bottom w:val="single" w:sz="4" w:space="0" w:color="auto"/>
              <w:right w:val="nil"/>
            </w:tcBorders>
            <w:shd w:val="clear" w:color="auto" w:fill="E2EFD9" w:themeFill="accent6" w:themeFillTint="33"/>
            <w:noWrap/>
            <w:hideMark/>
          </w:tcPr>
          <w:p w14:paraId="55C27DC7" w14:textId="77777777" w:rsidR="008A1E55" w:rsidRPr="006B42D6" w:rsidRDefault="008A1E55" w:rsidP="00143C67">
            <w:pPr>
              <w:spacing w:line="240" w:lineRule="auto"/>
              <w:jc w:val="center"/>
              <w:rPr>
                <w:sz w:val="18"/>
                <w:szCs w:val="18"/>
              </w:rPr>
            </w:pPr>
            <w:r w:rsidRPr="006B42D6">
              <w:rPr>
                <w:sz w:val="18"/>
                <w:szCs w:val="18"/>
              </w:rPr>
              <w:t>Percent</w:t>
            </w:r>
          </w:p>
        </w:tc>
      </w:tr>
      <w:tr w:rsidR="006B42D6" w:rsidRPr="006B42D6" w14:paraId="55430DD5" w14:textId="77777777" w:rsidTr="00DD3FC5">
        <w:trPr>
          <w:trHeight w:val="340"/>
        </w:trPr>
        <w:tc>
          <w:tcPr>
            <w:tcW w:w="2026" w:type="dxa"/>
            <w:tcBorders>
              <w:top w:val="nil"/>
              <w:left w:val="nil"/>
              <w:bottom w:val="nil"/>
              <w:right w:val="nil"/>
            </w:tcBorders>
            <w:shd w:val="clear" w:color="auto" w:fill="auto"/>
            <w:noWrap/>
            <w:vAlign w:val="center"/>
            <w:hideMark/>
          </w:tcPr>
          <w:p w14:paraId="7DDE0D9B" w14:textId="77777777" w:rsidR="008A1E55" w:rsidRPr="006B42D6" w:rsidRDefault="008A1E55" w:rsidP="00E16CAE">
            <w:pPr>
              <w:rPr>
                <w:sz w:val="18"/>
                <w:szCs w:val="18"/>
              </w:rPr>
            </w:pPr>
            <w:r w:rsidRPr="006B42D6">
              <w:rPr>
                <w:sz w:val="18"/>
                <w:szCs w:val="18"/>
              </w:rPr>
              <w:t>Less than 1 km</w:t>
            </w:r>
          </w:p>
        </w:tc>
        <w:tc>
          <w:tcPr>
            <w:tcW w:w="1222" w:type="dxa"/>
            <w:tcBorders>
              <w:top w:val="nil"/>
              <w:left w:val="nil"/>
              <w:bottom w:val="nil"/>
              <w:right w:val="nil"/>
            </w:tcBorders>
            <w:shd w:val="clear" w:color="auto" w:fill="auto"/>
            <w:noWrap/>
            <w:vAlign w:val="center"/>
            <w:hideMark/>
          </w:tcPr>
          <w:p w14:paraId="4ABCF8C1" w14:textId="77777777" w:rsidR="008A1E55" w:rsidRPr="006B42D6" w:rsidRDefault="008A1E55" w:rsidP="00E16CAE">
            <w:pPr>
              <w:jc w:val="right"/>
              <w:rPr>
                <w:sz w:val="18"/>
                <w:szCs w:val="18"/>
              </w:rPr>
            </w:pPr>
            <w:r w:rsidRPr="006B42D6">
              <w:rPr>
                <w:sz w:val="18"/>
                <w:szCs w:val="18"/>
              </w:rPr>
              <w:t>4,858,590</w:t>
            </w:r>
          </w:p>
        </w:tc>
        <w:tc>
          <w:tcPr>
            <w:tcW w:w="926" w:type="dxa"/>
            <w:tcBorders>
              <w:top w:val="nil"/>
              <w:left w:val="nil"/>
              <w:bottom w:val="nil"/>
              <w:right w:val="nil"/>
            </w:tcBorders>
            <w:shd w:val="clear" w:color="auto" w:fill="auto"/>
            <w:noWrap/>
            <w:vAlign w:val="center"/>
            <w:hideMark/>
          </w:tcPr>
          <w:p w14:paraId="4E9FF149" w14:textId="77777777" w:rsidR="008A1E55" w:rsidRPr="006B42D6" w:rsidRDefault="008A1E55" w:rsidP="00E16CAE">
            <w:pPr>
              <w:jc w:val="right"/>
              <w:rPr>
                <w:sz w:val="18"/>
                <w:szCs w:val="18"/>
              </w:rPr>
            </w:pPr>
            <w:r w:rsidRPr="006B42D6">
              <w:rPr>
                <w:sz w:val="18"/>
                <w:szCs w:val="18"/>
              </w:rPr>
              <w:t>62.0</w:t>
            </w:r>
          </w:p>
        </w:tc>
        <w:tc>
          <w:tcPr>
            <w:tcW w:w="1222" w:type="dxa"/>
            <w:tcBorders>
              <w:top w:val="nil"/>
              <w:left w:val="nil"/>
              <w:bottom w:val="nil"/>
              <w:right w:val="nil"/>
            </w:tcBorders>
            <w:shd w:val="clear" w:color="auto" w:fill="auto"/>
            <w:noWrap/>
            <w:vAlign w:val="center"/>
            <w:hideMark/>
          </w:tcPr>
          <w:p w14:paraId="68F849F2" w14:textId="77777777" w:rsidR="008A1E55" w:rsidRPr="006B42D6" w:rsidRDefault="008A1E55" w:rsidP="00E16CAE">
            <w:pPr>
              <w:jc w:val="right"/>
              <w:rPr>
                <w:sz w:val="18"/>
                <w:szCs w:val="18"/>
              </w:rPr>
            </w:pPr>
            <w:r w:rsidRPr="006B42D6">
              <w:rPr>
                <w:sz w:val="18"/>
                <w:szCs w:val="18"/>
              </w:rPr>
              <w:t>4,682,221</w:t>
            </w:r>
          </w:p>
        </w:tc>
        <w:tc>
          <w:tcPr>
            <w:tcW w:w="926" w:type="dxa"/>
            <w:tcBorders>
              <w:top w:val="nil"/>
              <w:left w:val="nil"/>
              <w:bottom w:val="nil"/>
              <w:right w:val="nil"/>
            </w:tcBorders>
            <w:shd w:val="clear" w:color="auto" w:fill="auto"/>
            <w:noWrap/>
            <w:vAlign w:val="center"/>
            <w:hideMark/>
          </w:tcPr>
          <w:p w14:paraId="1839AD3F" w14:textId="77777777" w:rsidR="008A1E55" w:rsidRPr="006B42D6" w:rsidRDefault="008A1E55" w:rsidP="00E16CAE">
            <w:pPr>
              <w:jc w:val="right"/>
              <w:rPr>
                <w:sz w:val="18"/>
                <w:szCs w:val="18"/>
              </w:rPr>
            </w:pPr>
            <w:r w:rsidRPr="006B42D6">
              <w:rPr>
                <w:sz w:val="18"/>
                <w:szCs w:val="18"/>
              </w:rPr>
              <w:t>61.1</w:t>
            </w:r>
          </w:p>
        </w:tc>
        <w:tc>
          <w:tcPr>
            <w:tcW w:w="1119" w:type="dxa"/>
            <w:tcBorders>
              <w:top w:val="nil"/>
              <w:left w:val="nil"/>
              <w:bottom w:val="nil"/>
              <w:right w:val="nil"/>
            </w:tcBorders>
            <w:shd w:val="clear" w:color="auto" w:fill="auto"/>
            <w:noWrap/>
            <w:vAlign w:val="center"/>
            <w:hideMark/>
          </w:tcPr>
          <w:p w14:paraId="77B805AD" w14:textId="77777777" w:rsidR="008A1E55" w:rsidRPr="006B42D6" w:rsidRDefault="008A1E55" w:rsidP="00E16CAE">
            <w:pPr>
              <w:jc w:val="right"/>
              <w:rPr>
                <w:sz w:val="18"/>
                <w:szCs w:val="18"/>
              </w:rPr>
            </w:pPr>
            <w:r w:rsidRPr="006B42D6">
              <w:rPr>
                <w:sz w:val="18"/>
                <w:szCs w:val="18"/>
              </w:rPr>
              <w:t>176,369</w:t>
            </w:r>
          </w:p>
        </w:tc>
        <w:tc>
          <w:tcPr>
            <w:tcW w:w="1028" w:type="dxa"/>
            <w:tcBorders>
              <w:top w:val="nil"/>
              <w:left w:val="nil"/>
              <w:bottom w:val="nil"/>
              <w:right w:val="nil"/>
            </w:tcBorders>
            <w:shd w:val="clear" w:color="auto" w:fill="auto"/>
            <w:noWrap/>
            <w:vAlign w:val="center"/>
            <w:hideMark/>
          </w:tcPr>
          <w:p w14:paraId="69BEBC1A" w14:textId="77777777" w:rsidR="008A1E55" w:rsidRPr="006B42D6" w:rsidRDefault="008A1E55" w:rsidP="00E16CAE">
            <w:pPr>
              <w:jc w:val="right"/>
              <w:rPr>
                <w:sz w:val="18"/>
                <w:szCs w:val="18"/>
              </w:rPr>
            </w:pPr>
            <w:r w:rsidRPr="006B42D6">
              <w:rPr>
                <w:sz w:val="18"/>
                <w:szCs w:val="18"/>
              </w:rPr>
              <w:t>97.9</w:t>
            </w:r>
          </w:p>
        </w:tc>
      </w:tr>
      <w:tr w:rsidR="006B42D6" w:rsidRPr="006B42D6" w14:paraId="1E71FA77" w14:textId="77777777" w:rsidTr="00DD3FC5">
        <w:trPr>
          <w:trHeight w:val="340"/>
        </w:trPr>
        <w:tc>
          <w:tcPr>
            <w:tcW w:w="2026" w:type="dxa"/>
            <w:tcBorders>
              <w:top w:val="nil"/>
              <w:left w:val="nil"/>
              <w:bottom w:val="nil"/>
              <w:right w:val="nil"/>
            </w:tcBorders>
            <w:shd w:val="clear" w:color="auto" w:fill="auto"/>
            <w:noWrap/>
            <w:vAlign w:val="center"/>
            <w:hideMark/>
          </w:tcPr>
          <w:p w14:paraId="08767CCC" w14:textId="7FFC687C" w:rsidR="008A1E55" w:rsidRPr="006B42D6" w:rsidRDefault="008A1E55" w:rsidP="00E16CAE">
            <w:pPr>
              <w:rPr>
                <w:sz w:val="18"/>
                <w:szCs w:val="18"/>
              </w:rPr>
            </w:pPr>
            <w:r w:rsidRPr="006B42D6">
              <w:rPr>
                <w:sz w:val="18"/>
                <w:szCs w:val="18"/>
              </w:rPr>
              <w:t>1.00 - 1.99 Km</w:t>
            </w:r>
          </w:p>
        </w:tc>
        <w:tc>
          <w:tcPr>
            <w:tcW w:w="1222" w:type="dxa"/>
            <w:tcBorders>
              <w:top w:val="nil"/>
              <w:left w:val="nil"/>
              <w:bottom w:val="nil"/>
              <w:right w:val="nil"/>
            </w:tcBorders>
            <w:shd w:val="clear" w:color="auto" w:fill="auto"/>
            <w:noWrap/>
            <w:vAlign w:val="center"/>
            <w:hideMark/>
          </w:tcPr>
          <w:p w14:paraId="449E5E79" w14:textId="77777777" w:rsidR="008A1E55" w:rsidRPr="006B42D6" w:rsidRDefault="008A1E55" w:rsidP="00E16CAE">
            <w:pPr>
              <w:jc w:val="right"/>
              <w:rPr>
                <w:sz w:val="18"/>
                <w:szCs w:val="18"/>
              </w:rPr>
            </w:pPr>
            <w:r w:rsidRPr="006B42D6">
              <w:rPr>
                <w:sz w:val="18"/>
                <w:szCs w:val="18"/>
              </w:rPr>
              <w:t>1,434,353</w:t>
            </w:r>
          </w:p>
        </w:tc>
        <w:tc>
          <w:tcPr>
            <w:tcW w:w="926" w:type="dxa"/>
            <w:tcBorders>
              <w:top w:val="nil"/>
              <w:left w:val="nil"/>
              <w:bottom w:val="nil"/>
              <w:right w:val="nil"/>
            </w:tcBorders>
            <w:shd w:val="clear" w:color="auto" w:fill="auto"/>
            <w:noWrap/>
            <w:vAlign w:val="center"/>
            <w:hideMark/>
          </w:tcPr>
          <w:p w14:paraId="0A9B22EC" w14:textId="77777777" w:rsidR="008A1E55" w:rsidRPr="006B42D6" w:rsidRDefault="008A1E55" w:rsidP="00E16CAE">
            <w:pPr>
              <w:jc w:val="right"/>
              <w:rPr>
                <w:sz w:val="18"/>
                <w:szCs w:val="18"/>
              </w:rPr>
            </w:pPr>
            <w:r w:rsidRPr="006B42D6">
              <w:rPr>
                <w:sz w:val="18"/>
                <w:szCs w:val="18"/>
              </w:rPr>
              <w:t>18.3</w:t>
            </w:r>
          </w:p>
        </w:tc>
        <w:tc>
          <w:tcPr>
            <w:tcW w:w="1222" w:type="dxa"/>
            <w:tcBorders>
              <w:top w:val="nil"/>
              <w:left w:val="nil"/>
              <w:bottom w:val="nil"/>
              <w:right w:val="nil"/>
            </w:tcBorders>
            <w:shd w:val="clear" w:color="auto" w:fill="auto"/>
            <w:noWrap/>
            <w:vAlign w:val="center"/>
            <w:hideMark/>
          </w:tcPr>
          <w:p w14:paraId="7C977ED7" w14:textId="77777777" w:rsidR="008A1E55" w:rsidRPr="006B42D6" w:rsidRDefault="008A1E55" w:rsidP="00E16CAE">
            <w:pPr>
              <w:jc w:val="right"/>
              <w:rPr>
                <w:sz w:val="18"/>
                <w:szCs w:val="18"/>
              </w:rPr>
            </w:pPr>
            <w:r w:rsidRPr="006B42D6">
              <w:rPr>
                <w:sz w:val="18"/>
                <w:szCs w:val="18"/>
              </w:rPr>
              <w:t>1,431,781</w:t>
            </w:r>
          </w:p>
        </w:tc>
        <w:tc>
          <w:tcPr>
            <w:tcW w:w="926" w:type="dxa"/>
            <w:tcBorders>
              <w:top w:val="nil"/>
              <w:left w:val="nil"/>
              <w:bottom w:val="nil"/>
              <w:right w:val="nil"/>
            </w:tcBorders>
            <w:shd w:val="clear" w:color="auto" w:fill="auto"/>
            <w:noWrap/>
            <w:vAlign w:val="center"/>
            <w:hideMark/>
          </w:tcPr>
          <w:p w14:paraId="5AE9E668" w14:textId="77777777" w:rsidR="008A1E55" w:rsidRPr="006B42D6" w:rsidRDefault="008A1E55" w:rsidP="00E16CAE">
            <w:pPr>
              <w:jc w:val="right"/>
              <w:rPr>
                <w:sz w:val="18"/>
                <w:szCs w:val="18"/>
              </w:rPr>
            </w:pPr>
            <w:r w:rsidRPr="006B42D6">
              <w:rPr>
                <w:sz w:val="18"/>
                <w:szCs w:val="18"/>
              </w:rPr>
              <w:t>18.7</w:t>
            </w:r>
          </w:p>
        </w:tc>
        <w:tc>
          <w:tcPr>
            <w:tcW w:w="1119" w:type="dxa"/>
            <w:tcBorders>
              <w:top w:val="nil"/>
              <w:left w:val="nil"/>
              <w:bottom w:val="nil"/>
              <w:right w:val="nil"/>
            </w:tcBorders>
            <w:shd w:val="clear" w:color="auto" w:fill="auto"/>
            <w:noWrap/>
            <w:vAlign w:val="center"/>
            <w:hideMark/>
          </w:tcPr>
          <w:p w14:paraId="5A38F7A0" w14:textId="77777777" w:rsidR="008A1E55" w:rsidRPr="006B42D6" w:rsidRDefault="008A1E55" w:rsidP="00E16CAE">
            <w:pPr>
              <w:jc w:val="right"/>
              <w:rPr>
                <w:sz w:val="18"/>
                <w:szCs w:val="18"/>
              </w:rPr>
            </w:pPr>
            <w:r w:rsidRPr="006B42D6">
              <w:rPr>
                <w:sz w:val="18"/>
                <w:szCs w:val="18"/>
              </w:rPr>
              <w:t>2,572</w:t>
            </w:r>
          </w:p>
        </w:tc>
        <w:tc>
          <w:tcPr>
            <w:tcW w:w="1028" w:type="dxa"/>
            <w:tcBorders>
              <w:top w:val="nil"/>
              <w:left w:val="nil"/>
              <w:bottom w:val="nil"/>
              <w:right w:val="nil"/>
            </w:tcBorders>
            <w:shd w:val="clear" w:color="auto" w:fill="auto"/>
            <w:noWrap/>
            <w:vAlign w:val="center"/>
            <w:hideMark/>
          </w:tcPr>
          <w:p w14:paraId="568098C7" w14:textId="77777777" w:rsidR="008A1E55" w:rsidRPr="006B42D6" w:rsidRDefault="008A1E55" w:rsidP="00E16CAE">
            <w:pPr>
              <w:jc w:val="right"/>
              <w:rPr>
                <w:sz w:val="18"/>
                <w:szCs w:val="18"/>
              </w:rPr>
            </w:pPr>
            <w:r w:rsidRPr="006B42D6">
              <w:rPr>
                <w:sz w:val="18"/>
                <w:szCs w:val="18"/>
              </w:rPr>
              <w:t>1.4</w:t>
            </w:r>
          </w:p>
        </w:tc>
      </w:tr>
      <w:tr w:rsidR="006B42D6" w:rsidRPr="006B42D6" w14:paraId="761D6D8F" w14:textId="77777777" w:rsidTr="00DD3FC5">
        <w:trPr>
          <w:trHeight w:val="340"/>
        </w:trPr>
        <w:tc>
          <w:tcPr>
            <w:tcW w:w="2026" w:type="dxa"/>
            <w:tcBorders>
              <w:top w:val="nil"/>
              <w:left w:val="nil"/>
              <w:bottom w:val="nil"/>
              <w:right w:val="nil"/>
            </w:tcBorders>
            <w:shd w:val="clear" w:color="auto" w:fill="auto"/>
            <w:noWrap/>
            <w:vAlign w:val="center"/>
            <w:hideMark/>
          </w:tcPr>
          <w:p w14:paraId="15A2577D" w14:textId="77777777" w:rsidR="008A1E55" w:rsidRPr="006B42D6" w:rsidRDefault="008A1E55" w:rsidP="00E16CAE">
            <w:pPr>
              <w:rPr>
                <w:sz w:val="18"/>
                <w:szCs w:val="18"/>
              </w:rPr>
            </w:pPr>
            <w:r w:rsidRPr="006B42D6">
              <w:rPr>
                <w:sz w:val="18"/>
                <w:szCs w:val="18"/>
              </w:rPr>
              <w:t>2.00 - 2.99 Km</w:t>
            </w:r>
          </w:p>
        </w:tc>
        <w:tc>
          <w:tcPr>
            <w:tcW w:w="1222" w:type="dxa"/>
            <w:tcBorders>
              <w:top w:val="nil"/>
              <w:left w:val="nil"/>
              <w:bottom w:val="nil"/>
              <w:right w:val="nil"/>
            </w:tcBorders>
            <w:shd w:val="clear" w:color="auto" w:fill="auto"/>
            <w:noWrap/>
            <w:vAlign w:val="center"/>
            <w:hideMark/>
          </w:tcPr>
          <w:p w14:paraId="100308FD" w14:textId="77777777" w:rsidR="008A1E55" w:rsidRPr="006B42D6" w:rsidRDefault="008A1E55" w:rsidP="00E16CAE">
            <w:pPr>
              <w:jc w:val="right"/>
              <w:rPr>
                <w:sz w:val="18"/>
                <w:szCs w:val="18"/>
              </w:rPr>
            </w:pPr>
            <w:r w:rsidRPr="006B42D6">
              <w:rPr>
                <w:sz w:val="18"/>
                <w:szCs w:val="18"/>
              </w:rPr>
              <w:t>743,196</w:t>
            </w:r>
          </w:p>
        </w:tc>
        <w:tc>
          <w:tcPr>
            <w:tcW w:w="926" w:type="dxa"/>
            <w:tcBorders>
              <w:top w:val="nil"/>
              <w:left w:val="nil"/>
              <w:bottom w:val="nil"/>
              <w:right w:val="nil"/>
            </w:tcBorders>
            <w:shd w:val="clear" w:color="auto" w:fill="auto"/>
            <w:noWrap/>
            <w:vAlign w:val="center"/>
            <w:hideMark/>
          </w:tcPr>
          <w:p w14:paraId="5F7C9CB0" w14:textId="77777777" w:rsidR="008A1E55" w:rsidRPr="006B42D6" w:rsidRDefault="008A1E55" w:rsidP="00E16CAE">
            <w:pPr>
              <w:jc w:val="right"/>
              <w:rPr>
                <w:sz w:val="18"/>
                <w:szCs w:val="18"/>
              </w:rPr>
            </w:pPr>
            <w:r w:rsidRPr="006B42D6">
              <w:rPr>
                <w:sz w:val="18"/>
                <w:szCs w:val="18"/>
              </w:rPr>
              <w:t>9.5</w:t>
            </w:r>
          </w:p>
        </w:tc>
        <w:tc>
          <w:tcPr>
            <w:tcW w:w="1222" w:type="dxa"/>
            <w:tcBorders>
              <w:top w:val="nil"/>
              <w:left w:val="nil"/>
              <w:bottom w:val="nil"/>
              <w:right w:val="nil"/>
            </w:tcBorders>
            <w:shd w:val="clear" w:color="auto" w:fill="auto"/>
            <w:noWrap/>
            <w:vAlign w:val="center"/>
            <w:hideMark/>
          </w:tcPr>
          <w:p w14:paraId="4A93F06B" w14:textId="77777777" w:rsidR="008A1E55" w:rsidRPr="006B42D6" w:rsidRDefault="008A1E55" w:rsidP="00E16CAE">
            <w:pPr>
              <w:jc w:val="right"/>
              <w:rPr>
                <w:sz w:val="18"/>
                <w:szCs w:val="18"/>
              </w:rPr>
            </w:pPr>
            <w:r w:rsidRPr="006B42D6">
              <w:rPr>
                <w:sz w:val="18"/>
                <w:szCs w:val="18"/>
              </w:rPr>
              <w:t>742,528</w:t>
            </w:r>
          </w:p>
        </w:tc>
        <w:tc>
          <w:tcPr>
            <w:tcW w:w="926" w:type="dxa"/>
            <w:tcBorders>
              <w:top w:val="nil"/>
              <w:left w:val="nil"/>
              <w:bottom w:val="nil"/>
              <w:right w:val="nil"/>
            </w:tcBorders>
            <w:shd w:val="clear" w:color="auto" w:fill="auto"/>
            <w:noWrap/>
            <w:vAlign w:val="center"/>
            <w:hideMark/>
          </w:tcPr>
          <w:p w14:paraId="287B029A" w14:textId="77777777" w:rsidR="008A1E55" w:rsidRPr="006B42D6" w:rsidRDefault="008A1E55" w:rsidP="00E16CAE">
            <w:pPr>
              <w:jc w:val="right"/>
              <w:rPr>
                <w:sz w:val="18"/>
                <w:szCs w:val="18"/>
              </w:rPr>
            </w:pPr>
            <w:r w:rsidRPr="006B42D6">
              <w:rPr>
                <w:sz w:val="18"/>
                <w:szCs w:val="18"/>
              </w:rPr>
              <w:t>9.7</w:t>
            </w:r>
          </w:p>
        </w:tc>
        <w:tc>
          <w:tcPr>
            <w:tcW w:w="1119" w:type="dxa"/>
            <w:tcBorders>
              <w:top w:val="nil"/>
              <w:left w:val="nil"/>
              <w:bottom w:val="nil"/>
              <w:right w:val="nil"/>
            </w:tcBorders>
            <w:shd w:val="clear" w:color="auto" w:fill="auto"/>
            <w:noWrap/>
            <w:vAlign w:val="center"/>
            <w:hideMark/>
          </w:tcPr>
          <w:p w14:paraId="121F9D99" w14:textId="77777777" w:rsidR="008A1E55" w:rsidRPr="006B42D6" w:rsidRDefault="008A1E55" w:rsidP="00E16CAE">
            <w:pPr>
              <w:jc w:val="right"/>
              <w:rPr>
                <w:sz w:val="18"/>
                <w:szCs w:val="18"/>
              </w:rPr>
            </w:pPr>
            <w:r w:rsidRPr="006B42D6">
              <w:rPr>
                <w:sz w:val="18"/>
                <w:szCs w:val="18"/>
              </w:rPr>
              <w:t>668</w:t>
            </w:r>
          </w:p>
        </w:tc>
        <w:tc>
          <w:tcPr>
            <w:tcW w:w="1028" w:type="dxa"/>
            <w:tcBorders>
              <w:top w:val="nil"/>
              <w:left w:val="nil"/>
              <w:bottom w:val="nil"/>
              <w:right w:val="nil"/>
            </w:tcBorders>
            <w:shd w:val="clear" w:color="auto" w:fill="auto"/>
            <w:noWrap/>
            <w:vAlign w:val="center"/>
            <w:hideMark/>
          </w:tcPr>
          <w:p w14:paraId="61EDAD47" w14:textId="77777777" w:rsidR="008A1E55" w:rsidRPr="006B42D6" w:rsidRDefault="008A1E55" w:rsidP="00E16CAE">
            <w:pPr>
              <w:jc w:val="right"/>
              <w:rPr>
                <w:sz w:val="18"/>
                <w:szCs w:val="18"/>
              </w:rPr>
            </w:pPr>
            <w:r w:rsidRPr="006B42D6">
              <w:rPr>
                <w:sz w:val="18"/>
                <w:szCs w:val="18"/>
              </w:rPr>
              <w:t>0.4</w:t>
            </w:r>
          </w:p>
        </w:tc>
      </w:tr>
      <w:tr w:rsidR="006B42D6" w:rsidRPr="006B42D6" w14:paraId="722D8C98" w14:textId="77777777" w:rsidTr="00DD3FC5">
        <w:trPr>
          <w:trHeight w:val="340"/>
        </w:trPr>
        <w:tc>
          <w:tcPr>
            <w:tcW w:w="2026" w:type="dxa"/>
            <w:tcBorders>
              <w:top w:val="nil"/>
              <w:left w:val="nil"/>
              <w:bottom w:val="nil"/>
              <w:right w:val="nil"/>
            </w:tcBorders>
            <w:shd w:val="clear" w:color="auto" w:fill="auto"/>
            <w:noWrap/>
            <w:vAlign w:val="center"/>
            <w:hideMark/>
          </w:tcPr>
          <w:p w14:paraId="6200EEF3" w14:textId="77777777" w:rsidR="008A1E55" w:rsidRPr="006B42D6" w:rsidRDefault="008A1E55" w:rsidP="00E16CAE">
            <w:pPr>
              <w:rPr>
                <w:sz w:val="18"/>
                <w:szCs w:val="18"/>
              </w:rPr>
            </w:pPr>
            <w:r w:rsidRPr="006B42D6">
              <w:rPr>
                <w:sz w:val="18"/>
                <w:szCs w:val="18"/>
              </w:rPr>
              <w:t>3.00 - 4.99 Km</w:t>
            </w:r>
          </w:p>
        </w:tc>
        <w:tc>
          <w:tcPr>
            <w:tcW w:w="1222" w:type="dxa"/>
            <w:tcBorders>
              <w:top w:val="nil"/>
              <w:left w:val="nil"/>
              <w:bottom w:val="nil"/>
              <w:right w:val="nil"/>
            </w:tcBorders>
            <w:shd w:val="clear" w:color="auto" w:fill="auto"/>
            <w:noWrap/>
            <w:vAlign w:val="center"/>
            <w:hideMark/>
          </w:tcPr>
          <w:p w14:paraId="58DBBE9C" w14:textId="77777777" w:rsidR="008A1E55" w:rsidRPr="006B42D6" w:rsidRDefault="008A1E55" w:rsidP="00E16CAE">
            <w:pPr>
              <w:jc w:val="right"/>
              <w:rPr>
                <w:sz w:val="18"/>
                <w:szCs w:val="18"/>
              </w:rPr>
            </w:pPr>
            <w:r w:rsidRPr="006B42D6">
              <w:rPr>
                <w:sz w:val="18"/>
                <w:szCs w:val="18"/>
              </w:rPr>
              <w:t>452,718</w:t>
            </w:r>
          </w:p>
        </w:tc>
        <w:tc>
          <w:tcPr>
            <w:tcW w:w="926" w:type="dxa"/>
            <w:tcBorders>
              <w:top w:val="nil"/>
              <w:left w:val="nil"/>
              <w:bottom w:val="nil"/>
              <w:right w:val="nil"/>
            </w:tcBorders>
            <w:shd w:val="clear" w:color="auto" w:fill="auto"/>
            <w:noWrap/>
            <w:vAlign w:val="center"/>
            <w:hideMark/>
          </w:tcPr>
          <w:p w14:paraId="012C5AD1" w14:textId="77777777" w:rsidR="008A1E55" w:rsidRPr="006B42D6" w:rsidRDefault="008A1E55" w:rsidP="00E16CAE">
            <w:pPr>
              <w:jc w:val="right"/>
              <w:rPr>
                <w:sz w:val="18"/>
                <w:szCs w:val="18"/>
              </w:rPr>
            </w:pPr>
            <w:r w:rsidRPr="006B42D6">
              <w:rPr>
                <w:sz w:val="18"/>
                <w:szCs w:val="18"/>
              </w:rPr>
              <w:t>5.8</w:t>
            </w:r>
          </w:p>
        </w:tc>
        <w:tc>
          <w:tcPr>
            <w:tcW w:w="1222" w:type="dxa"/>
            <w:tcBorders>
              <w:top w:val="nil"/>
              <w:left w:val="nil"/>
              <w:bottom w:val="nil"/>
              <w:right w:val="nil"/>
            </w:tcBorders>
            <w:shd w:val="clear" w:color="auto" w:fill="auto"/>
            <w:noWrap/>
            <w:vAlign w:val="center"/>
            <w:hideMark/>
          </w:tcPr>
          <w:p w14:paraId="1DA4A5DF" w14:textId="77777777" w:rsidR="008A1E55" w:rsidRPr="006B42D6" w:rsidRDefault="008A1E55" w:rsidP="00E16CAE">
            <w:pPr>
              <w:jc w:val="right"/>
              <w:rPr>
                <w:sz w:val="18"/>
                <w:szCs w:val="18"/>
              </w:rPr>
            </w:pPr>
            <w:r w:rsidRPr="006B42D6">
              <w:rPr>
                <w:sz w:val="18"/>
                <w:szCs w:val="18"/>
              </w:rPr>
              <w:t>452,584</w:t>
            </w:r>
          </w:p>
        </w:tc>
        <w:tc>
          <w:tcPr>
            <w:tcW w:w="926" w:type="dxa"/>
            <w:tcBorders>
              <w:top w:val="nil"/>
              <w:left w:val="nil"/>
              <w:bottom w:val="nil"/>
              <w:right w:val="nil"/>
            </w:tcBorders>
            <w:shd w:val="clear" w:color="auto" w:fill="auto"/>
            <w:noWrap/>
            <w:vAlign w:val="center"/>
            <w:hideMark/>
          </w:tcPr>
          <w:p w14:paraId="507C1A5A" w14:textId="77777777" w:rsidR="008A1E55" w:rsidRPr="006B42D6" w:rsidRDefault="008A1E55" w:rsidP="00E16CAE">
            <w:pPr>
              <w:jc w:val="right"/>
              <w:rPr>
                <w:sz w:val="18"/>
                <w:szCs w:val="18"/>
              </w:rPr>
            </w:pPr>
            <w:r w:rsidRPr="006B42D6">
              <w:rPr>
                <w:sz w:val="18"/>
                <w:szCs w:val="18"/>
              </w:rPr>
              <w:t>5.9</w:t>
            </w:r>
          </w:p>
        </w:tc>
        <w:tc>
          <w:tcPr>
            <w:tcW w:w="1119" w:type="dxa"/>
            <w:tcBorders>
              <w:top w:val="nil"/>
              <w:left w:val="nil"/>
              <w:bottom w:val="nil"/>
              <w:right w:val="nil"/>
            </w:tcBorders>
            <w:shd w:val="clear" w:color="auto" w:fill="auto"/>
            <w:noWrap/>
            <w:vAlign w:val="center"/>
            <w:hideMark/>
          </w:tcPr>
          <w:p w14:paraId="440BD8D5" w14:textId="77777777" w:rsidR="008A1E55" w:rsidRPr="006B42D6" w:rsidRDefault="008A1E55" w:rsidP="00E16CAE">
            <w:pPr>
              <w:jc w:val="right"/>
              <w:rPr>
                <w:sz w:val="18"/>
                <w:szCs w:val="18"/>
              </w:rPr>
            </w:pPr>
            <w:r w:rsidRPr="006B42D6">
              <w:rPr>
                <w:sz w:val="18"/>
                <w:szCs w:val="18"/>
              </w:rPr>
              <w:t>134</w:t>
            </w:r>
          </w:p>
        </w:tc>
        <w:tc>
          <w:tcPr>
            <w:tcW w:w="1028" w:type="dxa"/>
            <w:tcBorders>
              <w:top w:val="nil"/>
              <w:left w:val="nil"/>
              <w:bottom w:val="nil"/>
              <w:right w:val="nil"/>
            </w:tcBorders>
            <w:shd w:val="clear" w:color="auto" w:fill="auto"/>
            <w:noWrap/>
            <w:vAlign w:val="center"/>
            <w:hideMark/>
          </w:tcPr>
          <w:p w14:paraId="158A355A" w14:textId="77777777" w:rsidR="008A1E55" w:rsidRPr="006B42D6" w:rsidRDefault="008A1E55" w:rsidP="00E16CAE">
            <w:pPr>
              <w:jc w:val="right"/>
              <w:rPr>
                <w:sz w:val="18"/>
                <w:szCs w:val="18"/>
              </w:rPr>
            </w:pPr>
            <w:r w:rsidRPr="006B42D6">
              <w:rPr>
                <w:sz w:val="18"/>
                <w:szCs w:val="18"/>
              </w:rPr>
              <w:t>0.1</w:t>
            </w:r>
          </w:p>
        </w:tc>
      </w:tr>
      <w:tr w:rsidR="006B42D6" w:rsidRPr="006B42D6" w14:paraId="7F071DC4" w14:textId="77777777" w:rsidTr="00DD3FC5">
        <w:trPr>
          <w:trHeight w:val="340"/>
        </w:trPr>
        <w:tc>
          <w:tcPr>
            <w:tcW w:w="2026" w:type="dxa"/>
            <w:tcBorders>
              <w:top w:val="nil"/>
              <w:left w:val="nil"/>
              <w:bottom w:val="nil"/>
              <w:right w:val="nil"/>
            </w:tcBorders>
            <w:shd w:val="clear" w:color="auto" w:fill="auto"/>
            <w:noWrap/>
            <w:vAlign w:val="center"/>
            <w:hideMark/>
          </w:tcPr>
          <w:p w14:paraId="58778752" w14:textId="77777777" w:rsidR="008A1E55" w:rsidRPr="006B42D6" w:rsidRDefault="008A1E55" w:rsidP="00E16CAE">
            <w:pPr>
              <w:rPr>
                <w:sz w:val="18"/>
                <w:szCs w:val="18"/>
              </w:rPr>
            </w:pPr>
            <w:r w:rsidRPr="006B42D6">
              <w:rPr>
                <w:sz w:val="18"/>
                <w:szCs w:val="18"/>
              </w:rPr>
              <w:t>5.00 - 9.99 Km</w:t>
            </w:r>
          </w:p>
        </w:tc>
        <w:tc>
          <w:tcPr>
            <w:tcW w:w="1222" w:type="dxa"/>
            <w:tcBorders>
              <w:top w:val="nil"/>
              <w:left w:val="nil"/>
              <w:bottom w:val="nil"/>
              <w:right w:val="nil"/>
            </w:tcBorders>
            <w:shd w:val="clear" w:color="auto" w:fill="auto"/>
            <w:noWrap/>
            <w:vAlign w:val="center"/>
            <w:hideMark/>
          </w:tcPr>
          <w:p w14:paraId="7C8F4866" w14:textId="77777777" w:rsidR="008A1E55" w:rsidRPr="006B42D6" w:rsidRDefault="008A1E55" w:rsidP="00E16CAE">
            <w:pPr>
              <w:jc w:val="right"/>
              <w:rPr>
                <w:sz w:val="18"/>
                <w:szCs w:val="18"/>
              </w:rPr>
            </w:pPr>
            <w:r w:rsidRPr="006B42D6">
              <w:rPr>
                <w:sz w:val="18"/>
                <w:szCs w:val="18"/>
              </w:rPr>
              <w:t>267,130</w:t>
            </w:r>
          </w:p>
        </w:tc>
        <w:tc>
          <w:tcPr>
            <w:tcW w:w="926" w:type="dxa"/>
            <w:tcBorders>
              <w:top w:val="nil"/>
              <w:left w:val="nil"/>
              <w:bottom w:val="nil"/>
              <w:right w:val="nil"/>
            </w:tcBorders>
            <w:shd w:val="clear" w:color="auto" w:fill="auto"/>
            <w:noWrap/>
            <w:vAlign w:val="center"/>
            <w:hideMark/>
          </w:tcPr>
          <w:p w14:paraId="1FD97BAD" w14:textId="77777777" w:rsidR="008A1E55" w:rsidRPr="006B42D6" w:rsidRDefault="008A1E55" w:rsidP="00E16CAE">
            <w:pPr>
              <w:jc w:val="right"/>
              <w:rPr>
                <w:sz w:val="18"/>
                <w:szCs w:val="18"/>
              </w:rPr>
            </w:pPr>
            <w:r w:rsidRPr="006B42D6">
              <w:rPr>
                <w:sz w:val="18"/>
                <w:szCs w:val="18"/>
              </w:rPr>
              <w:t>3.4</w:t>
            </w:r>
          </w:p>
        </w:tc>
        <w:tc>
          <w:tcPr>
            <w:tcW w:w="1222" w:type="dxa"/>
            <w:tcBorders>
              <w:top w:val="nil"/>
              <w:left w:val="nil"/>
              <w:bottom w:val="nil"/>
              <w:right w:val="nil"/>
            </w:tcBorders>
            <w:shd w:val="clear" w:color="auto" w:fill="auto"/>
            <w:noWrap/>
            <w:vAlign w:val="center"/>
            <w:hideMark/>
          </w:tcPr>
          <w:p w14:paraId="756A50D2" w14:textId="77777777" w:rsidR="008A1E55" w:rsidRPr="006B42D6" w:rsidRDefault="008A1E55" w:rsidP="00E16CAE">
            <w:pPr>
              <w:jc w:val="right"/>
              <w:rPr>
                <w:sz w:val="18"/>
                <w:szCs w:val="18"/>
              </w:rPr>
            </w:pPr>
            <w:r w:rsidRPr="006B42D6">
              <w:rPr>
                <w:sz w:val="18"/>
                <w:szCs w:val="18"/>
              </w:rPr>
              <w:t>267,023</w:t>
            </w:r>
          </w:p>
        </w:tc>
        <w:tc>
          <w:tcPr>
            <w:tcW w:w="926" w:type="dxa"/>
            <w:tcBorders>
              <w:top w:val="nil"/>
              <w:left w:val="nil"/>
              <w:bottom w:val="nil"/>
              <w:right w:val="nil"/>
            </w:tcBorders>
            <w:shd w:val="clear" w:color="auto" w:fill="auto"/>
            <w:noWrap/>
            <w:vAlign w:val="center"/>
            <w:hideMark/>
          </w:tcPr>
          <w:p w14:paraId="0AAB723E" w14:textId="77777777" w:rsidR="008A1E55" w:rsidRPr="006B42D6" w:rsidRDefault="008A1E55" w:rsidP="00E16CAE">
            <w:pPr>
              <w:jc w:val="right"/>
              <w:rPr>
                <w:sz w:val="18"/>
                <w:szCs w:val="18"/>
              </w:rPr>
            </w:pPr>
            <w:r w:rsidRPr="006B42D6">
              <w:rPr>
                <w:sz w:val="18"/>
                <w:szCs w:val="18"/>
              </w:rPr>
              <w:t>3.5</w:t>
            </w:r>
          </w:p>
        </w:tc>
        <w:tc>
          <w:tcPr>
            <w:tcW w:w="1119" w:type="dxa"/>
            <w:tcBorders>
              <w:top w:val="nil"/>
              <w:left w:val="nil"/>
              <w:bottom w:val="nil"/>
              <w:right w:val="nil"/>
            </w:tcBorders>
            <w:shd w:val="clear" w:color="auto" w:fill="auto"/>
            <w:noWrap/>
            <w:vAlign w:val="center"/>
            <w:hideMark/>
          </w:tcPr>
          <w:p w14:paraId="6E4A6201" w14:textId="77777777" w:rsidR="008A1E55" w:rsidRPr="006B42D6" w:rsidRDefault="008A1E55" w:rsidP="00E16CAE">
            <w:pPr>
              <w:jc w:val="right"/>
              <w:rPr>
                <w:sz w:val="18"/>
                <w:szCs w:val="18"/>
              </w:rPr>
            </w:pPr>
            <w:r w:rsidRPr="006B42D6">
              <w:rPr>
                <w:sz w:val="18"/>
                <w:szCs w:val="18"/>
              </w:rPr>
              <w:t>107</w:t>
            </w:r>
          </w:p>
        </w:tc>
        <w:tc>
          <w:tcPr>
            <w:tcW w:w="1028" w:type="dxa"/>
            <w:tcBorders>
              <w:top w:val="nil"/>
              <w:left w:val="nil"/>
              <w:bottom w:val="nil"/>
              <w:right w:val="nil"/>
            </w:tcBorders>
            <w:shd w:val="clear" w:color="auto" w:fill="auto"/>
            <w:noWrap/>
            <w:vAlign w:val="center"/>
            <w:hideMark/>
          </w:tcPr>
          <w:p w14:paraId="369EA405" w14:textId="77777777" w:rsidR="008A1E55" w:rsidRPr="006B42D6" w:rsidRDefault="008A1E55" w:rsidP="00E16CAE">
            <w:pPr>
              <w:jc w:val="right"/>
              <w:rPr>
                <w:sz w:val="18"/>
                <w:szCs w:val="18"/>
              </w:rPr>
            </w:pPr>
            <w:r w:rsidRPr="006B42D6">
              <w:rPr>
                <w:sz w:val="18"/>
                <w:szCs w:val="18"/>
              </w:rPr>
              <w:t>0.1</w:t>
            </w:r>
          </w:p>
        </w:tc>
      </w:tr>
      <w:tr w:rsidR="006B42D6" w:rsidRPr="006B42D6" w14:paraId="60BA4E1E" w14:textId="77777777" w:rsidTr="00DD3FC5">
        <w:trPr>
          <w:trHeight w:val="340"/>
        </w:trPr>
        <w:tc>
          <w:tcPr>
            <w:tcW w:w="2026" w:type="dxa"/>
            <w:tcBorders>
              <w:top w:val="nil"/>
              <w:left w:val="nil"/>
              <w:bottom w:val="nil"/>
              <w:right w:val="nil"/>
            </w:tcBorders>
            <w:shd w:val="clear" w:color="auto" w:fill="auto"/>
            <w:noWrap/>
            <w:vAlign w:val="center"/>
            <w:hideMark/>
          </w:tcPr>
          <w:p w14:paraId="4F0DF31F" w14:textId="77777777" w:rsidR="008A1E55" w:rsidRPr="006B42D6" w:rsidRDefault="008A1E55" w:rsidP="00E16CAE">
            <w:pPr>
              <w:rPr>
                <w:sz w:val="18"/>
                <w:szCs w:val="18"/>
              </w:rPr>
            </w:pPr>
            <w:r w:rsidRPr="006B42D6">
              <w:rPr>
                <w:sz w:val="18"/>
                <w:szCs w:val="18"/>
              </w:rPr>
              <w:t>10 Km and above</w:t>
            </w:r>
          </w:p>
        </w:tc>
        <w:tc>
          <w:tcPr>
            <w:tcW w:w="1222" w:type="dxa"/>
            <w:tcBorders>
              <w:top w:val="nil"/>
              <w:left w:val="nil"/>
              <w:bottom w:val="nil"/>
              <w:right w:val="nil"/>
            </w:tcBorders>
            <w:shd w:val="clear" w:color="auto" w:fill="auto"/>
            <w:noWrap/>
            <w:vAlign w:val="center"/>
            <w:hideMark/>
          </w:tcPr>
          <w:p w14:paraId="6534BD1B" w14:textId="77777777" w:rsidR="008A1E55" w:rsidRPr="006B42D6" w:rsidRDefault="008A1E55" w:rsidP="00E16CAE">
            <w:pPr>
              <w:jc w:val="right"/>
              <w:rPr>
                <w:sz w:val="18"/>
                <w:szCs w:val="18"/>
              </w:rPr>
            </w:pPr>
            <w:r w:rsidRPr="006B42D6">
              <w:rPr>
                <w:sz w:val="18"/>
                <w:szCs w:val="18"/>
              </w:rPr>
              <w:t>81,417</w:t>
            </w:r>
          </w:p>
        </w:tc>
        <w:tc>
          <w:tcPr>
            <w:tcW w:w="926" w:type="dxa"/>
            <w:tcBorders>
              <w:top w:val="nil"/>
              <w:left w:val="nil"/>
              <w:bottom w:val="nil"/>
              <w:right w:val="nil"/>
            </w:tcBorders>
            <w:shd w:val="clear" w:color="auto" w:fill="auto"/>
            <w:noWrap/>
            <w:vAlign w:val="center"/>
            <w:hideMark/>
          </w:tcPr>
          <w:p w14:paraId="3347B4A3" w14:textId="77777777" w:rsidR="008A1E55" w:rsidRPr="006B42D6" w:rsidRDefault="008A1E55" w:rsidP="00E16CAE">
            <w:pPr>
              <w:jc w:val="right"/>
              <w:rPr>
                <w:sz w:val="18"/>
                <w:szCs w:val="18"/>
              </w:rPr>
            </w:pPr>
            <w:r w:rsidRPr="006B42D6">
              <w:rPr>
                <w:sz w:val="18"/>
                <w:szCs w:val="18"/>
              </w:rPr>
              <w:t>1.0</w:t>
            </w:r>
          </w:p>
        </w:tc>
        <w:tc>
          <w:tcPr>
            <w:tcW w:w="1222" w:type="dxa"/>
            <w:tcBorders>
              <w:top w:val="nil"/>
              <w:left w:val="nil"/>
              <w:bottom w:val="nil"/>
              <w:right w:val="nil"/>
            </w:tcBorders>
            <w:shd w:val="clear" w:color="auto" w:fill="auto"/>
            <w:noWrap/>
            <w:vAlign w:val="center"/>
            <w:hideMark/>
          </w:tcPr>
          <w:p w14:paraId="60E9A668" w14:textId="77777777" w:rsidR="008A1E55" w:rsidRPr="006B42D6" w:rsidRDefault="008A1E55" w:rsidP="00E16CAE">
            <w:pPr>
              <w:jc w:val="right"/>
              <w:rPr>
                <w:sz w:val="18"/>
                <w:szCs w:val="18"/>
              </w:rPr>
            </w:pPr>
            <w:r w:rsidRPr="006B42D6">
              <w:rPr>
                <w:sz w:val="18"/>
                <w:szCs w:val="18"/>
              </w:rPr>
              <w:t>81,050</w:t>
            </w:r>
          </w:p>
        </w:tc>
        <w:tc>
          <w:tcPr>
            <w:tcW w:w="926" w:type="dxa"/>
            <w:tcBorders>
              <w:top w:val="nil"/>
              <w:left w:val="nil"/>
              <w:bottom w:val="nil"/>
              <w:right w:val="nil"/>
            </w:tcBorders>
            <w:shd w:val="clear" w:color="auto" w:fill="auto"/>
            <w:noWrap/>
            <w:vAlign w:val="center"/>
            <w:hideMark/>
          </w:tcPr>
          <w:p w14:paraId="7EA1D1C6" w14:textId="77777777" w:rsidR="008A1E55" w:rsidRPr="006B42D6" w:rsidRDefault="008A1E55" w:rsidP="00E16CAE">
            <w:pPr>
              <w:jc w:val="right"/>
              <w:rPr>
                <w:sz w:val="18"/>
                <w:szCs w:val="18"/>
              </w:rPr>
            </w:pPr>
            <w:r w:rsidRPr="006B42D6">
              <w:rPr>
                <w:sz w:val="18"/>
                <w:szCs w:val="18"/>
              </w:rPr>
              <w:t>1.1</w:t>
            </w:r>
          </w:p>
        </w:tc>
        <w:tc>
          <w:tcPr>
            <w:tcW w:w="1119" w:type="dxa"/>
            <w:tcBorders>
              <w:top w:val="nil"/>
              <w:left w:val="nil"/>
              <w:bottom w:val="nil"/>
              <w:right w:val="nil"/>
            </w:tcBorders>
            <w:shd w:val="clear" w:color="auto" w:fill="auto"/>
            <w:noWrap/>
            <w:vAlign w:val="center"/>
            <w:hideMark/>
          </w:tcPr>
          <w:p w14:paraId="20F98BA6" w14:textId="77777777" w:rsidR="008A1E55" w:rsidRPr="006B42D6" w:rsidRDefault="008A1E55" w:rsidP="00E16CAE">
            <w:pPr>
              <w:jc w:val="right"/>
              <w:rPr>
                <w:sz w:val="18"/>
                <w:szCs w:val="18"/>
              </w:rPr>
            </w:pPr>
            <w:r w:rsidRPr="006B42D6">
              <w:rPr>
                <w:sz w:val="18"/>
                <w:szCs w:val="18"/>
              </w:rPr>
              <w:t>367</w:t>
            </w:r>
          </w:p>
        </w:tc>
        <w:tc>
          <w:tcPr>
            <w:tcW w:w="1028" w:type="dxa"/>
            <w:tcBorders>
              <w:top w:val="nil"/>
              <w:left w:val="nil"/>
              <w:bottom w:val="nil"/>
              <w:right w:val="nil"/>
            </w:tcBorders>
            <w:shd w:val="clear" w:color="auto" w:fill="auto"/>
            <w:noWrap/>
            <w:vAlign w:val="center"/>
            <w:hideMark/>
          </w:tcPr>
          <w:p w14:paraId="206F1661" w14:textId="77777777" w:rsidR="008A1E55" w:rsidRPr="006B42D6" w:rsidRDefault="008A1E55" w:rsidP="00E16CAE">
            <w:pPr>
              <w:jc w:val="right"/>
              <w:rPr>
                <w:sz w:val="18"/>
                <w:szCs w:val="18"/>
              </w:rPr>
            </w:pPr>
            <w:r w:rsidRPr="006B42D6">
              <w:rPr>
                <w:sz w:val="18"/>
                <w:szCs w:val="18"/>
              </w:rPr>
              <w:t>0.2</w:t>
            </w:r>
          </w:p>
        </w:tc>
      </w:tr>
      <w:tr w:rsidR="008A1E55" w:rsidRPr="006B42D6" w14:paraId="1D4F9727" w14:textId="77777777" w:rsidTr="00DD3FC5">
        <w:trPr>
          <w:trHeight w:val="340"/>
        </w:trPr>
        <w:tc>
          <w:tcPr>
            <w:tcW w:w="2026" w:type="dxa"/>
            <w:tcBorders>
              <w:top w:val="single" w:sz="4" w:space="0" w:color="auto"/>
              <w:left w:val="nil"/>
              <w:bottom w:val="single" w:sz="4" w:space="0" w:color="auto"/>
              <w:right w:val="nil"/>
            </w:tcBorders>
            <w:shd w:val="clear" w:color="auto" w:fill="E2EFD9" w:themeFill="accent6" w:themeFillTint="33"/>
            <w:noWrap/>
            <w:vAlign w:val="center"/>
            <w:hideMark/>
          </w:tcPr>
          <w:p w14:paraId="6653CEA8" w14:textId="77777777" w:rsidR="008A1E55" w:rsidRPr="00143C67" w:rsidRDefault="008A1E55" w:rsidP="00E16CAE">
            <w:pPr>
              <w:rPr>
                <w:b/>
                <w:sz w:val="18"/>
                <w:szCs w:val="18"/>
              </w:rPr>
            </w:pPr>
            <w:r w:rsidRPr="00143C67">
              <w:rPr>
                <w:b/>
                <w:sz w:val="18"/>
                <w:szCs w:val="18"/>
              </w:rPr>
              <w:t>Total</w:t>
            </w:r>
          </w:p>
        </w:tc>
        <w:tc>
          <w:tcPr>
            <w:tcW w:w="1222" w:type="dxa"/>
            <w:tcBorders>
              <w:top w:val="single" w:sz="4" w:space="0" w:color="auto"/>
              <w:left w:val="nil"/>
              <w:bottom w:val="single" w:sz="4" w:space="0" w:color="auto"/>
              <w:right w:val="nil"/>
            </w:tcBorders>
            <w:shd w:val="clear" w:color="auto" w:fill="E2EFD9" w:themeFill="accent6" w:themeFillTint="33"/>
            <w:noWrap/>
            <w:vAlign w:val="center"/>
            <w:hideMark/>
          </w:tcPr>
          <w:p w14:paraId="382BE33D" w14:textId="77777777" w:rsidR="008A1E55" w:rsidRPr="00143C67" w:rsidRDefault="008A1E55" w:rsidP="00E16CAE">
            <w:pPr>
              <w:jc w:val="right"/>
              <w:rPr>
                <w:b/>
                <w:sz w:val="18"/>
                <w:szCs w:val="18"/>
              </w:rPr>
            </w:pPr>
            <w:r w:rsidRPr="00143C67">
              <w:rPr>
                <w:b/>
                <w:sz w:val="18"/>
                <w:szCs w:val="18"/>
              </w:rPr>
              <w:t>7,837,404</w:t>
            </w:r>
          </w:p>
        </w:tc>
        <w:tc>
          <w:tcPr>
            <w:tcW w:w="926" w:type="dxa"/>
            <w:tcBorders>
              <w:top w:val="single" w:sz="4" w:space="0" w:color="auto"/>
              <w:left w:val="nil"/>
              <w:bottom w:val="single" w:sz="4" w:space="0" w:color="auto"/>
              <w:right w:val="nil"/>
            </w:tcBorders>
            <w:shd w:val="clear" w:color="auto" w:fill="E2EFD9" w:themeFill="accent6" w:themeFillTint="33"/>
            <w:noWrap/>
            <w:vAlign w:val="center"/>
            <w:hideMark/>
          </w:tcPr>
          <w:p w14:paraId="06B97DB2" w14:textId="77777777" w:rsidR="008A1E55" w:rsidRPr="00143C67" w:rsidRDefault="008A1E55" w:rsidP="00E16CAE">
            <w:pPr>
              <w:jc w:val="right"/>
              <w:rPr>
                <w:b/>
                <w:sz w:val="18"/>
                <w:szCs w:val="18"/>
              </w:rPr>
            </w:pPr>
            <w:r w:rsidRPr="00143C67">
              <w:rPr>
                <w:b/>
                <w:sz w:val="18"/>
                <w:szCs w:val="18"/>
              </w:rPr>
              <w:t>100.0</w:t>
            </w:r>
          </w:p>
        </w:tc>
        <w:tc>
          <w:tcPr>
            <w:tcW w:w="1222" w:type="dxa"/>
            <w:tcBorders>
              <w:top w:val="single" w:sz="4" w:space="0" w:color="auto"/>
              <w:left w:val="nil"/>
              <w:bottom w:val="single" w:sz="4" w:space="0" w:color="auto"/>
              <w:right w:val="nil"/>
            </w:tcBorders>
            <w:shd w:val="clear" w:color="auto" w:fill="E2EFD9" w:themeFill="accent6" w:themeFillTint="33"/>
            <w:noWrap/>
            <w:vAlign w:val="center"/>
            <w:hideMark/>
          </w:tcPr>
          <w:p w14:paraId="1517C3AC" w14:textId="77777777" w:rsidR="008A1E55" w:rsidRPr="00143C67" w:rsidRDefault="008A1E55" w:rsidP="00E16CAE">
            <w:pPr>
              <w:jc w:val="right"/>
              <w:rPr>
                <w:b/>
                <w:sz w:val="18"/>
                <w:szCs w:val="18"/>
              </w:rPr>
            </w:pPr>
            <w:r w:rsidRPr="00143C67">
              <w:rPr>
                <w:b/>
                <w:sz w:val="18"/>
                <w:szCs w:val="18"/>
              </w:rPr>
              <w:t>7,657,187</w:t>
            </w:r>
          </w:p>
        </w:tc>
        <w:tc>
          <w:tcPr>
            <w:tcW w:w="926" w:type="dxa"/>
            <w:tcBorders>
              <w:top w:val="single" w:sz="4" w:space="0" w:color="auto"/>
              <w:left w:val="nil"/>
              <w:bottom w:val="single" w:sz="4" w:space="0" w:color="auto"/>
              <w:right w:val="nil"/>
            </w:tcBorders>
            <w:shd w:val="clear" w:color="auto" w:fill="E2EFD9" w:themeFill="accent6" w:themeFillTint="33"/>
            <w:noWrap/>
            <w:vAlign w:val="center"/>
            <w:hideMark/>
          </w:tcPr>
          <w:p w14:paraId="4BBA6531" w14:textId="77777777" w:rsidR="008A1E55" w:rsidRPr="00143C67" w:rsidRDefault="008A1E55" w:rsidP="00E16CAE">
            <w:pPr>
              <w:jc w:val="right"/>
              <w:rPr>
                <w:b/>
                <w:sz w:val="18"/>
                <w:szCs w:val="18"/>
              </w:rPr>
            </w:pPr>
            <w:r w:rsidRPr="00143C67">
              <w:rPr>
                <w:b/>
                <w:sz w:val="18"/>
                <w:szCs w:val="18"/>
              </w:rPr>
              <w:t>100.0</w:t>
            </w:r>
          </w:p>
        </w:tc>
        <w:tc>
          <w:tcPr>
            <w:tcW w:w="1119" w:type="dxa"/>
            <w:tcBorders>
              <w:top w:val="single" w:sz="4" w:space="0" w:color="auto"/>
              <w:left w:val="nil"/>
              <w:bottom w:val="single" w:sz="4" w:space="0" w:color="auto"/>
              <w:right w:val="nil"/>
            </w:tcBorders>
            <w:shd w:val="clear" w:color="auto" w:fill="E2EFD9" w:themeFill="accent6" w:themeFillTint="33"/>
            <w:noWrap/>
            <w:vAlign w:val="center"/>
            <w:hideMark/>
          </w:tcPr>
          <w:p w14:paraId="48C8DC1F" w14:textId="77777777" w:rsidR="008A1E55" w:rsidRPr="00143C67" w:rsidRDefault="008A1E55" w:rsidP="00E16CAE">
            <w:pPr>
              <w:jc w:val="right"/>
              <w:rPr>
                <w:b/>
                <w:sz w:val="18"/>
                <w:szCs w:val="18"/>
              </w:rPr>
            </w:pPr>
            <w:r w:rsidRPr="00143C67">
              <w:rPr>
                <w:b/>
                <w:sz w:val="18"/>
                <w:szCs w:val="18"/>
              </w:rPr>
              <w:t>180,217</w:t>
            </w:r>
          </w:p>
        </w:tc>
        <w:tc>
          <w:tcPr>
            <w:tcW w:w="1028" w:type="dxa"/>
            <w:tcBorders>
              <w:top w:val="single" w:sz="4" w:space="0" w:color="auto"/>
              <w:left w:val="nil"/>
              <w:bottom w:val="single" w:sz="4" w:space="0" w:color="auto"/>
              <w:right w:val="nil"/>
            </w:tcBorders>
            <w:shd w:val="clear" w:color="auto" w:fill="E2EFD9" w:themeFill="accent6" w:themeFillTint="33"/>
            <w:noWrap/>
            <w:vAlign w:val="center"/>
            <w:hideMark/>
          </w:tcPr>
          <w:p w14:paraId="5CB16A80" w14:textId="77777777" w:rsidR="008A1E55" w:rsidRPr="00143C67" w:rsidRDefault="008A1E55" w:rsidP="00E16CAE">
            <w:pPr>
              <w:jc w:val="right"/>
              <w:rPr>
                <w:b/>
                <w:sz w:val="18"/>
                <w:szCs w:val="18"/>
              </w:rPr>
            </w:pPr>
            <w:r w:rsidRPr="00143C67">
              <w:rPr>
                <w:b/>
                <w:sz w:val="18"/>
                <w:szCs w:val="18"/>
              </w:rPr>
              <w:t>100.0</w:t>
            </w:r>
          </w:p>
        </w:tc>
      </w:tr>
    </w:tbl>
    <w:p w14:paraId="1166872A" w14:textId="2FF89973" w:rsidR="008A1E55" w:rsidRPr="006B42D6" w:rsidRDefault="00F83A4C" w:rsidP="008A1E55">
      <w:pPr>
        <w:pStyle w:val="Heading2"/>
      </w:pPr>
      <w:bookmarkStart w:id="883" w:name="_Toc82385807"/>
      <w:r w:rsidRPr="006B42D6">
        <w:lastRenderedPageBreak/>
        <w:t>6</w:t>
      </w:r>
      <w:r w:rsidR="008A1E55" w:rsidRPr="006B42D6">
        <w:t>.</w:t>
      </w:r>
      <w:r w:rsidR="00AC6872">
        <w:t>9</w:t>
      </w:r>
      <w:r w:rsidR="008A1E55" w:rsidRPr="006B42D6">
        <w:tab/>
        <w:t>Time Spent to Main Source of Drinking Water</w:t>
      </w:r>
      <w:bookmarkEnd w:id="883"/>
    </w:p>
    <w:p w14:paraId="255C217D" w14:textId="140A2130" w:rsidR="008A1E55" w:rsidRDefault="008A1E55" w:rsidP="008A1E55">
      <w:r w:rsidRPr="006B42D6">
        <w:t>The findings show that, during wet season, majority of households (4,884,803; 62.3 percent) spent less than 10 minutes to and from main source of drinking water in Tanzania while few households (1,336,433;</w:t>
      </w:r>
      <w:r w:rsidR="00DE248A">
        <w:t xml:space="preserve"> </w:t>
      </w:r>
      <w:r w:rsidRPr="006B42D6">
        <w:t xml:space="preserve">17.1 percent), spent 1 hour and above to and from main source of drinking water. In </w:t>
      </w:r>
      <w:r w:rsidR="00EA1552">
        <w:t>Mainland Tanzania</w:t>
      </w:r>
      <w:r w:rsidRPr="006B42D6">
        <w:t xml:space="preserve">, majority of households (4,718,375; 61.6 percent) had been spending less than 10 minutes to and from main source of drinking water and few households (76,394; 1.0 percent) spent 40 to 49 minutes during wet season. In Tanzania Zanzibar, majority of households (166,428; 92.3 percent) spent less than 10 minutes to and from main source of drinking water and few households (1,415; 0.8 percent) spent 20 to 29 minutes (Table </w:t>
      </w:r>
      <w:r w:rsidR="00F83A4C" w:rsidRPr="006B42D6">
        <w:t>6</w:t>
      </w:r>
      <w:r w:rsidRPr="006B42D6">
        <w:t>.19).</w:t>
      </w:r>
    </w:p>
    <w:p w14:paraId="0632DCE6" w14:textId="77777777" w:rsidR="00114D61" w:rsidRPr="006B42D6" w:rsidRDefault="00114D61" w:rsidP="007A3EC9">
      <w:pPr>
        <w:spacing w:line="240" w:lineRule="auto"/>
      </w:pPr>
    </w:p>
    <w:p w14:paraId="1ABD1CD3" w14:textId="39A4F885" w:rsidR="008A1E55" w:rsidRPr="006B42D6" w:rsidRDefault="008A1E55" w:rsidP="007200F6">
      <w:pPr>
        <w:pStyle w:val="Heading7"/>
      </w:pPr>
      <w:bookmarkStart w:id="884" w:name="_Toc82386254"/>
      <w:r w:rsidRPr="006B42D6">
        <w:t xml:space="preserve">Table </w:t>
      </w:r>
      <w:r w:rsidR="00F83A4C" w:rsidRPr="006B42D6">
        <w:t>6</w:t>
      </w:r>
      <w:r w:rsidRPr="006B42D6">
        <w:t>.19</w:t>
      </w:r>
      <w:r w:rsidR="0024189E">
        <w:t>:</w:t>
      </w:r>
      <w:r w:rsidR="007A288F">
        <w:tab/>
      </w:r>
      <w:r w:rsidRPr="006B42D6">
        <w:t>Number and Percentage of Agricultural Households Reported Time Spent to and from Source of Drinking Water in Wet Season during 2018/19 Agricultural Year, Tanzania</w:t>
      </w:r>
      <w:bookmarkEnd w:id="884"/>
    </w:p>
    <w:tbl>
      <w:tblPr>
        <w:tblW w:w="9417" w:type="dxa"/>
        <w:tblLook w:val="04A0" w:firstRow="1" w:lastRow="0" w:firstColumn="1" w:lastColumn="0" w:noHBand="0" w:noVBand="1"/>
      </w:tblPr>
      <w:tblGrid>
        <w:gridCol w:w="1668"/>
        <w:gridCol w:w="1417"/>
        <w:gridCol w:w="1121"/>
        <w:gridCol w:w="11"/>
        <w:gridCol w:w="1468"/>
        <w:gridCol w:w="1121"/>
        <w:gridCol w:w="11"/>
        <w:gridCol w:w="1344"/>
        <w:gridCol w:w="1245"/>
        <w:gridCol w:w="11"/>
      </w:tblGrid>
      <w:tr w:rsidR="006B42D6" w:rsidRPr="006B42D6" w14:paraId="3DE71E74" w14:textId="77777777" w:rsidTr="004F65CD">
        <w:trPr>
          <w:trHeight w:val="280"/>
        </w:trPr>
        <w:tc>
          <w:tcPr>
            <w:tcW w:w="1668" w:type="dxa"/>
            <w:vMerge w:val="restart"/>
            <w:tcBorders>
              <w:top w:val="single" w:sz="4" w:space="0" w:color="auto"/>
              <w:left w:val="nil"/>
              <w:bottom w:val="single" w:sz="4" w:space="0" w:color="000000"/>
              <w:right w:val="nil"/>
            </w:tcBorders>
            <w:shd w:val="clear" w:color="auto" w:fill="E2EFD9" w:themeFill="accent6" w:themeFillTint="33"/>
            <w:noWrap/>
            <w:vAlign w:val="center"/>
            <w:hideMark/>
          </w:tcPr>
          <w:p w14:paraId="64079C8C" w14:textId="67EADDC3" w:rsidR="008A1E55" w:rsidRPr="006B42D6" w:rsidRDefault="008A1E55" w:rsidP="00E16CAE">
            <w:pPr>
              <w:rPr>
                <w:sz w:val="18"/>
                <w:szCs w:val="18"/>
              </w:rPr>
            </w:pPr>
            <w:r w:rsidRPr="006B42D6">
              <w:rPr>
                <w:sz w:val="18"/>
                <w:szCs w:val="18"/>
              </w:rPr>
              <w:t xml:space="preserve">Time </w:t>
            </w:r>
            <w:r w:rsidR="00DE248A">
              <w:rPr>
                <w:sz w:val="18"/>
                <w:szCs w:val="18"/>
              </w:rPr>
              <w:t>(Minutes)</w:t>
            </w:r>
          </w:p>
        </w:tc>
        <w:tc>
          <w:tcPr>
            <w:tcW w:w="2549" w:type="dxa"/>
            <w:gridSpan w:val="3"/>
            <w:tcBorders>
              <w:top w:val="single" w:sz="4" w:space="0" w:color="auto"/>
              <w:left w:val="nil"/>
              <w:bottom w:val="single" w:sz="4" w:space="0" w:color="auto"/>
              <w:right w:val="nil"/>
            </w:tcBorders>
            <w:shd w:val="clear" w:color="auto" w:fill="E2EFD9" w:themeFill="accent6" w:themeFillTint="33"/>
            <w:noWrap/>
            <w:vAlign w:val="bottom"/>
            <w:hideMark/>
          </w:tcPr>
          <w:p w14:paraId="130D9528" w14:textId="77777777" w:rsidR="008A1E55" w:rsidRPr="006B42D6" w:rsidRDefault="008A1E55" w:rsidP="00E16CAE">
            <w:pPr>
              <w:jc w:val="center"/>
              <w:rPr>
                <w:sz w:val="18"/>
                <w:szCs w:val="18"/>
              </w:rPr>
            </w:pPr>
            <w:r w:rsidRPr="006B42D6">
              <w:rPr>
                <w:sz w:val="18"/>
                <w:szCs w:val="18"/>
              </w:rPr>
              <w:t>Tanzania</w:t>
            </w:r>
          </w:p>
        </w:tc>
        <w:tc>
          <w:tcPr>
            <w:tcW w:w="2600" w:type="dxa"/>
            <w:gridSpan w:val="3"/>
            <w:tcBorders>
              <w:top w:val="single" w:sz="4" w:space="0" w:color="auto"/>
              <w:left w:val="nil"/>
              <w:bottom w:val="single" w:sz="4" w:space="0" w:color="auto"/>
              <w:right w:val="nil"/>
            </w:tcBorders>
            <w:shd w:val="clear" w:color="auto" w:fill="E2EFD9" w:themeFill="accent6" w:themeFillTint="33"/>
            <w:noWrap/>
            <w:vAlign w:val="bottom"/>
            <w:hideMark/>
          </w:tcPr>
          <w:p w14:paraId="0B1FE166" w14:textId="4E75771A" w:rsidR="008A1E55" w:rsidRPr="006B42D6" w:rsidRDefault="00EA1552" w:rsidP="00E16CAE">
            <w:pPr>
              <w:jc w:val="center"/>
              <w:rPr>
                <w:sz w:val="18"/>
                <w:szCs w:val="18"/>
              </w:rPr>
            </w:pPr>
            <w:r>
              <w:rPr>
                <w:sz w:val="18"/>
                <w:szCs w:val="18"/>
              </w:rPr>
              <w:t>Mainland Tanzania</w:t>
            </w:r>
          </w:p>
        </w:tc>
        <w:tc>
          <w:tcPr>
            <w:tcW w:w="2600" w:type="dxa"/>
            <w:gridSpan w:val="3"/>
            <w:tcBorders>
              <w:top w:val="single" w:sz="4" w:space="0" w:color="auto"/>
              <w:left w:val="nil"/>
              <w:bottom w:val="single" w:sz="4" w:space="0" w:color="auto"/>
              <w:right w:val="nil"/>
            </w:tcBorders>
            <w:shd w:val="clear" w:color="auto" w:fill="E2EFD9" w:themeFill="accent6" w:themeFillTint="33"/>
            <w:noWrap/>
            <w:vAlign w:val="bottom"/>
            <w:hideMark/>
          </w:tcPr>
          <w:p w14:paraId="6116AC91" w14:textId="77777777" w:rsidR="008A1E55" w:rsidRPr="006B42D6" w:rsidRDefault="008A1E55" w:rsidP="00E16CAE">
            <w:pPr>
              <w:jc w:val="center"/>
              <w:rPr>
                <w:sz w:val="18"/>
                <w:szCs w:val="18"/>
              </w:rPr>
            </w:pPr>
            <w:r w:rsidRPr="006B42D6">
              <w:rPr>
                <w:sz w:val="18"/>
                <w:szCs w:val="18"/>
              </w:rPr>
              <w:t>Tanzania Zanzibar</w:t>
            </w:r>
          </w:p>
        </w:tc>
      </w:tr>
      <w:tr w:rsidR="006B42D6" w:rsidRPr="006B42D6" w14:paraId="3FAE7DD6" w14:textId="77777777" w:rsidTr="004F65CD">
        <w:trPr>
          <w:gridAfter w:val="1"/>
          <w:wAfter w:w="11" w:type="dxa"/>
          <w:trHeight w:val="241"/>
        </w:trPr>
        <w:tc>
          <w:tcPr>
            <w:tcW w:w="1668" w:type="dxa"/>
            <w:vMerge/>
            <w:tcBorders>
              <w:top w:val="single" w:sz="4" w:space="0" w:color="auto"/>
              <w:left w:val="nil"/>
              <w:bottom w:val="single" w:sz="4" w:space="0" w:color="000000"/>
              <w:right w:val="nil"/>
            </w:tcBorders>
            <w:shd w:val="clear" w:color="auto" w:fill="E2EFD9" w:themeFill="accent6" w:themeFillTint="33"/>
            <w:vAlign w:val="center"/>
            <w:hideMark/>
          </w:tcPr>
          <w:p w14:paraId="66881191" w14:textId="77777777" w:rsidR="008A1E55" w:rsidRPr="006B42D6" w:rsidRDefault="008A1E55" w:rsidP="00E16CAE">
            <w:pPr>
              <w:rPr>
                <w:sz w:val="18"/>
                <w:szCs w:val="18"/>
              </w:rPr>
            </w:pPr>
          </w:p>
        </w:tc>
        <w:tc>
          <w:tcPr>
            <w:tcW w:w="1417" w:type="dxa"/>
            <w:tcBorders>
              <w:top w:val="nil"/>
              <w:left w:val="nil"/>
              <w:bottom w:val="single" w:sz="4" w:space="0" w:color="auto"/>
              <w:right w:val="nil"/>
            </w:tcBorders>
            <w:shd w:val="clear" w:color="auto" w:fill="E2EFD9" w:themeFill="accent6" w:themeFillTint="33"/>
            <w:noWrap/>
            <w:vAlign w:val="bottom"/>
            <w:hideMark/>
          </w:tcPr>
          <w:p w14:paraId="0D16E82E" w14:textId="77777777" w:rsidR="008A1E55" w:rsidRPr="006B42D6" w:rsidRDefault="008A1E55" w:rsidP="00143C67">
            <w:pPr>
              <w:jc w:val="center"/>
              <w:rPr>
                <w:sz w:val="18"/>
                <w:szCs w:val="18"/>
              </w:rPr>
            </w:pPr>
            <w:r w:rsidRPr="006B42D6">
              <w:rPr>
                <w:sz w:val="18"/>
                <w:szCs w:val="18"/>
              </w:rPr>
              <w:t>Number</w:t>
            </w:r>
          </w:p>
        </w:tc>
        <w:tc>
          <w:tcPr>
            <w:tcW w:w="1121" w:type="dxa"/>
            <w:tcBorders>
              <w:top w:val="nil"/>
              <w:left w:val="nil"/>
              <w:bottom w:val="single" w:sz="4" w:space="0" w:color="auto"/>
              <w:right w:val="nil"/>
            </w:tcBorders>
            <w:shd w:val="clear" w:color="auto" w:fill="E2EFD9" w:themeFill="accent6" w:themeFillTint="33"/>
            <w:noWrap/>
            <w:vAlign w:val="bottom"/>
            <w:hideMark/>
          </w:tcPr>
          <w:p w14:paraId="42D5F3E5" w14:textId="77777777" w:rsidR="008A1E55" w:rsidRPr="006B42D6" w:rsidRDefault="008A1E55" w:rsidP="00143C67">
            <w:pPr>
              <w:jc w:val="center"/>
              <w:rPr>
                <w:sz w:val="18"/>
                <w:szCs w:val="18"/>
              </w:rPr>
            </w:pPr>
            <w:r w:rsidRPr="006B42D6">
              <w:rPr>
                <w:sz w:val="18"/>
                <w:szCs w:val="18"/>
              </w:rPr>
              <w:t>Percent</w:t>
            </w:r>
          </w:p>
        </w:tc>
        <w:tc>
          <w:tcPr>
            <w:tcW w:w="1479" w:type="dxa"/>
            <w:gridSpan w:val="2"/>
            <w:tcBorders>
              <w:top w:val="nil"/>
              <w:left w:val="nil"/>
              <w:bottom w:val="single" w:sz="4" w:space="0" w:color="auto"/>
              <w:right w:val="nil"/>
            </w:tcBorders>
            <w:shd w:val="clear" w:color="auto" w:fill="E2EFD9" w:themeFill="accent6" w:themeFillTint="33"/>
            <w:noWrap/>
            <w:vAlign w:val="bottom"/>
            <w:hideMark/>
          </w:tcPr>
          <w:p w14:paraId="24FA6119" w14:textId="77777777" w:rsidR="008A1E55" w:rsidRPr="006B42D6" w:rsidRDefault="008A1E55" w:rsidP="00143C67">
            <w:pPr>
              <w:jc w:val="center"/>
              <w:rPr>
                <w:sz w:val="18"/>
                <w:szCs w:val="18"/>
              </w:rPr>
            </w:pPr>
            <w:r w:rsidRPr="006B42D6">
              <w:rPr>
                <w:sz w:val="18"/>
                <w:szCs w:val="18"/>
              </w:rPr>
              <w:t>Number</w:t>
            </w:r>
          </w:p>
        </w:tc>
        <w:tc>
          <w:tcPr>
            <w:tcW w:w="1121" w:type="dxa"/>
            <w:tcBorders>
              <w:top w:val="nil"/>
              <w:left w:val="nil"/>
              <w:bottom w:val="single" w:sz="4" w:space="0" w:color="auto"/>
              <w:right w:val="nil"/>
            </w:tcBorders>
            <w:shd w:val="clear" w:color="auto" w:fill="E2EFD9" w:themeFill="accent6" w:themeFillTint="33"/>
            <w:noWrap/>
            <w:vAlign w:val="bottom"/>
            <w:hideMark/>
          </w:tcPr>
          <w:p w14:paraId="346BCBCF" w14:textId="77777777" w:rsidR="008A1E55" w:rsidRPr="006B42D6" w:rsidRDefault="008A1E55" w:rsidP="00143C67">
            <w:pPr>
              <w:jc w:val="center"/>
              <w:rPr>
                <w:sz w:val="18"/>
                <w:szCs w:val="18"/>
              </w:rPr>
            </w:pPr>
            <w:r w:rsidRPr="006B42D6">
              <w:rPr>
                <w:sz w:val="18"/>
                <w:szCs w:val="18"/>
              </w:rPr>
              <w:t>Percent</w:t>
            </w:r>
          </w:p>
        </w:tc>
        <w:tc>
          <w:tcPr>
            <w:tcW w:w="1355" w:type="dxa"/>
            <w:gridSpan w:val="2"/>
            <w:tcBorders>
              <w:top w:val="nil"/>
              <w:left w:val="nil"/>
              <w:bottom w:val="single" w:sz="4" w:space="0" w:color="auto"/>
              <w:right w:val="nil"/>
            </w:tcBorders>
            <w:shd w:val="clear" w:color="auto" w:fill="E2EFD9" w:themeFill="accent6" w:themeFillTint="33"/>
            <w:noWrap/>
            <w:vAlign w:val="bottom"/>
            <w:hideMark/>
          </w:tcPr>
          <w:p w14:paraId="267681DE" w14:textId="77777777" w:rsidR="008A1E55" w:rsidRPr="006B42D6" w:rsidRDefault="008A1E55" w:rsidP="00143C67">
            <w:pPr>
              <w:jc w:val="center"/>
              <w:rPr>
                <w:sz w:val="18"/>
                <w:szCs w:val="18"/>
              </w:rPr>
            </w:pPr>
            <w:r w:rsidRPr="006B42D6">
              <w:rPr>
                <w:sz w:val="18"/>
                <w:szCs w:val="18"/>
              </w:rPr>
              <w:t>Number</w:t>
            </w:r>
          </w:p>
        </w:tc>
        <w:tc>
          <w:tcPr>
            <w:tcW w:w="1245" w:type="dxa"/>
            <w:tcBorders>
              <w:top w:val="nil"/>
              <w:left w:val="nil"/>
              <w:bottom w:val="single" w:sz="4" w:space="0" w:color="auto"/>
              <w:right w:val="nil"/>
            </w:tcBorders>
            <w:shd w:val="clear" w:color="auto" w:fill="E2EFD9" w:themeFill="accent6" w:themeFillTint="33"/>
            <w:noWrap/>
            <w:vAlign w:val="bottom"/>
            <w:hideMark/>
          </w:tcPr>
          <w:p w14:paraId="2B60E7EF" w14:textId="77777777" w:rsidR="008A1E55" w:rsidRPr="006B42D6" w:rsidRDefault="008A1E55" w:rsidP="00143C67">
            <w:pPr>
              <w:jc w:val="center"/>
              <w:rPr>
                <w:sz w:val="18"/>
                <w:szCs w:val="18"/>
              </w:rPr>
            </w:pPr>
            <w:r w:rsidRPr="006B42D6">
              <w:rPr>
                <w:sz w:val="18"/>
                <w:szCs w:val="18"/>
              </w:rPr>
              <w:t>Percent</w:t>
            </w:r>
          </w:p>
        </w:tc>
      </w:tr>
      <w:tr w:rsidR="006B42D6" w:rsidRPr="006B42D6" w14:paraId="23D5C080" w14:textId="77777777" w:rsidTr="00DE248A">
        <w:trPr>
          <w:gridAfter w:val="1"/>
          <w:wAfter w:w="11" w:type="dxa"/>
          <w:trHeight w:val="300"/>
        </w:trPr>
        <w:tc>
          <w:tcPr>
            <w:tcW w:w="1668" w:type="dxa"/>
            <w:tcBorders>
              <w:top w:val="nil"/>
              <w:left w:val="nil"/>
              <w:bottom w:val="nil"/>
              <w:right w:val="nil"/>
            </w:tcBorders>
            <w:shd w:val="clear" w:color="auto" w:fill="auto"/>
            <w:vAlign w:val="center"/>
            <w:hideMark/>
          </w:tcPr>
          <w:p w14:paraId="241E558F" w14:textId="4F252DE9" w:rsidR="008A1E55" w:rsidRPr="006B42D6" w:rsidRDefault="008A1E55" w:rsidP="00E16CAE">
            <w:pPr>
              <w:rPr>
                <w:sz w:val="18"/>
                <w:szCs w:val="18"/>
              </w:rPr>
            </w:pPr>
            <w:r w:rsidRPr="006B42D6">
              <w:rPr>
                <w:sz w:val="18"/>
                <w:szCs w:val="18"/>
              </w:rPr>
              <w:t>Less than</w:t>
            </w:r>
            <w:r w:rsidR="00DE248A">
              <w:rPr>
                <w:sz w:val="18"/>
                <w:szCs w:val="18"/>
              </w:rPr>
              <w:t xml:space="preserve"> </w:t>
            </w:r>
            <w:r w:rsidRPr="006B42D6">
              <w:rPr>
                <w:sz w:val="18"/>
                <w:szCs w:val="18"/>
              </w:rPr>
              <w:t xml:space="preserve">10 </w:t>
            </w:r>
          </w:p>
        </w:tc>
        <w:tc>
          <w:tcPr>
            <w:tcW w:w="1417" w:type="dxa"/>
            <w:tcBorders>
              <w:top w:val="nil"/>
              <w:left w:val="nil"/>
              <w:bottom w:val="nil"/>
              <w:right w:val="nil"/>
            </w:tcBorders>
            <w:shd w:val="clear" w:color="auto" w:fill="auto"/>
            <w:noWrap/>
            <w:vAlign w:val="center"/>
            <w:hideMark/>
          </w:tcPr>
          <w:p w14:paraId="3AC5081F" w14:textId="77777777" w:rsidR="008A1E55" w:rsidRPr="006B42D6" w:rsidRDefault="008A1E55" w:rsidP="00DE248A">
            <w:pPr>
              <w:jc w:val="right"/>
              <w:rPr>
                <w:sz w:val="18"/>
                <w:szCs w:val="18"/>
              </w:rPr>
            </w:pPr>
            <w:r w:rsidRPr="006B42D6">
              <w:rPr>
                <w:sz w:val="18"/>
                <w:szCs w:val="18"/>
              </w:rPr>
              <w:t>4,884,803</w:t>
            </w:r>
          </w:p>
        </w:tc>
        <w:tc>
          <w:tcPr>
            <w:tcW w:w="1121" w:type="dxa"/>
            <w:tcBorders>
              <w:top w:val="nil"/>
              <w:left w:val="nil"/>
              <w:bottom w:val="nil"/>
              <w:right w:val="nil"/>
            </w:tcBorders>
            <w:shd w:val="clear" w:color="auto" w:fill="auto"/>
            <w:noWrap/>
            <w:vAlign w:val="center"/>
            <w:hideMark/>
          </w:tcPr>
          <w:p w14:paraId="33D55771" w14:textId="77777777" w:rsidR="008A1E55" w:rsidRPr="006B42D6" w:rsidRDefault="008A1E55" w:rsidP="00DE248A">
            <w:pPr>
              <w:jc w:val="right"/>
              <w:rPr>
                <w:sz w:val="18"/>
                <w:szCs w:val="18"/>
              </w:rPr>
            </w:pPr>
            <w:r w:rsidRPr="006B42D6">
              <w:rPr>
                <w:sz w:val="18"/>
                <w:szCs w:val="18"/>
              </w:rPr>
              <w:t>62.3</w:t>
            </w:r>
          </w:p>
        </w:tc>
        <w:tc>
          <w:tcPr>
            <w:tcW w:w="1479" w:type="dxa"/>
            <w:gridSpan w:val="2"/>
            <w:tcBorders>
              <w:top w:val="nil"/>
              <w:left w:val="nil"/>
              <w:bottom w:val="nil"/>
              <w:right w:val="nil"/>
            </w:tcBorders>
            <w:shd w:val="clear" w:color="auto" w:fill="auto"/>
            <w:noWrap/>
            <w:vAlign w:val="center"/>
            <w:hideMark/>
          </w:tcPr>
          <w:p w14:paraId="1A885D26" w14:textId="77777777" w:rsidR="008A1E55" w:rsidRPr="006B42D6" w:rsidRDefault="008A1E55" w:rsidP="00DE248A">
            <w:pPr>
              <w:jc w:val="right"/>
              <w:rPr>
                <w:sz w:val="18"/>
                <w:szCs w:val="18"/>
              </w:rPr>
            </w:pPr>
            <w:r w:rsidRPr="006B42D6">
              <w:rPr>
                <w:sz w:val="18"/>
                <w:szCs w:val="18"/>
              </w:rPr>
              <w:t>4,718,375</w:t>
            </w:r>
          </w:p>
        </w:tc>
        <w:tc>
          <w:tcPr>
            <w:tcW w:w="1121" w:type="dxa"/>
            <w:tcBorders>
              <w:top w:val="nil"/>
              <w:left w:val="nil"/>
              <w:bottom w:val="nil"/>
              <w:right w:val="nil"/>
            </w:tcBorders>
            <w:shd w:val="clear" w:color="auto" w:fill="auto"/>
            <w:noWrap/>
            <w:vAlign w:val="center"/>
            <w:hideMark/>
          </w:tcPr>
          <w:p w14:paraId="7C6A3F23" w14:textId="77777777" w:rsidR="008A1E55" w:rsidRPr="006B42D6" w:rsidRDefault="008A1E55" w:rsidP="00DE248A">
            <w:pPr>
              <w:jc w:val="right"/>
              <w:rPr>
                <w:sz w:val="18"/>
                <w:szCs w:val="18"/>
              </w:rPr>
            </w:pPr>
            <w:r w:rsidRPr="006B42D6">
              <w:rPr>
                <w:sz w:val="18"/>
                <w:szCs w:val="18"/>
              </w:rPr>
              <w:t>61.6</w:t>
            </w:r>
          </w:p>
        </w:tc>
        <w:tc>
          <w:tcPr>
            <w:tcW w:w="1355" w:type="dxa"/>
            <w:gridSpan w:val="2"/>
            <w:tcBorders>
              <w:top w:val="nil"/>
              <w:left w:val="nil"/>
              <w:bottom w:val="nil"/>
              <w:right w:val="nil"/>
            </w:tcBorders>
            <w:shd w:val="clear" w:color="auto" w:fill="auto"/>
            <w:noWrap/>
            <w:vAlign w:val="center"/>
            <w:hideMark/>
          </w:tcPr>
          <w:p w14:paraId="130514BC" w14:textId="77777777" w:rsidR="008A1E55" w:rsidRPr="006B42D6" w:rsidRDefault="008A1E55" w:rsidP="00DE248A">
            <w:pPr>
              <w:jc w:val="right"/>
              <w:rPr>
                <w:sz w:val="18"/>
                <w:szCs w:val="18"/>
              </w:rPr>
            </w:pPr>
            <w:r w:rsidRPr="006B42D6">
              <w:rPr>
                <w:sz w:val="18"/>
                <w:szCs w:val="18"/>
              </w:rPr>
              <w:t>166,428</w:t>
            </w:r>
          </w:p>
        </w:tc>
        <w:tc>
          <w:tcPr>
            <w:tcW w:w="1245" w:type="dxa"/>
            <w:tcBorders>
              <w:top w:val="nil"/>
              <w:left w:val="nil"/>
              <w:bottom w:val="nil"/>
              <w:right w:val="nil"/>
            </w:tcBorders>
            <w:shd w:val="clear" w:color="auto" w:fill="auto"/>
            <w:noWrap/>
            <w:vAlign w:val="center"/>
            <w:hideMark/>
          </w:tcPr>
          <w:p w14:paraId="44F91CE1" w14:textId="77777777" w:rsidR="008A1E55" w:rsidRPr="006B42D6" w:rsidRDefault="008A1E55" w:rsidP="00DE248A">
            <w:pPr>
              <w:jc w:val="right"/>
              <w:rPr>
                <w:sz w:val="18"/>
                <w:szCs w:val="18"/>
              </w:rPr>
            </w:pPr>
            <w:r w:rsidRPr="006B42D6">
              <w:rPr>
                <w:sz w:val="18"/>
                <w:szCs w:val="18"/>
              </w:rPr>
              <w:t>92.3</w:t>
            </w:r>
          </w:p>
        </w:tc>
      </w:tr>
      <w:tr w:rsidR="006B42D6" w:rsidRPr="006B42D6" w14:paraId="5A06E09E" w14:textId="77777777" w:rsidTr="00DE248A">
        <w:trPr>
          <w:gridAfter w:val="1"/>
          <w:wAfter w:w="11" w:type="dxa"/>
          <w:trHeight w:val="300"/>
        </w:trPr>
        <w:tc>
          <w:tcPr>
            <w:tcW w:w="1668" w:type="dxa"/>
            <w:tcBorders>
              <w:top w:val="nil"/>
              <w:left w:val="nil"/>
              <w:bottom w:val="nil"/>
              <w:right w:val="nil"/>
            </w:tcBorders>
            <w:shd w:val="clear" w:color="auto" w:fill="auto"/>
            <w:vAlign w:val="center"/>
            <w:hideMark/>
          </w:tcPr>
          <w:p w14:paraId="5A46C364" w14:textId="77777777" w:rsidR="008A1E55" w:rsidRPr="006B42D6" w:rsidRDefault="008A1E55" w:rsidP="00E16CAE">
            <w:pPr>
              <w:rPr>
                <w:sz w:val="18"/>
                <w:szCs w:val="18"/>
              </w:rPr>
            </w:pPr>
            <w:r w:rsidRPr="006B42D6">
              <w:rPr>
                <w:sz w:val="18"/>
                <w:szCs w:val="18"/>
              </w:rPr>
              <w:t>10.00 - 19.00</w:t>
            </w:r>
          </w:p>
        </w:tc>
        <w:tc>
          <w:tcPr>
            <w:tcW w:w="1417" w:type="dxa"/>
            <w:tcBorders>
              <w:top w:val="nil"/>
              <w:left w:val="nil"/>
              <w:bottom w:val="nil"/>
              <w:right w:val="nil"/>
            </w:tcBorders>
            <w:shd w:val="clear" w:color="auto" w:fill="auto"/>
            <w:noWrap/>
            <w:vAlign w:val="center"/>
            <w:hideMark/>
          </w:tcPr>
          <w:p w14:paraId="67C2CBD0" w14:textId="77777777" w:rsidR="008A1E55" w:rsidRPr="006B42D6" w:rsidRDefault="008A1E55" w:rsidP="00DE248A">
            <w:pPr>
              <w:jc w:val="right"/>
              <w:rPr>
                <w:sz w:val="18"/>
                <w:szCs w:val="18"/>
              </w:rPr>
            </w:pPr>
            <w:r w:rsidRPr="006B42D6">
              <w:rPr>
                <w:sz w:val="18"/>
                <w:szCs w:val="18"/>
              </w:rPr>
              <w:t>497,955</w:t>
            </w:r>
          </w:p>
        </w:tc>
        <w:tc>
          <w:tcPr>
            <w:tcW w:w="1121" w:type="dxa"/>
            <w:tcBorders>
              <w:top w:val="nil"/>
              <w:left w:val="nil"/>
              <w:bottom w:val="nil"/>
              <w:right w:val="nil"/>
            </w:tcBorders>
            <w:shd w:val="clear" w:color="auto" w:fill="auto"/>
            <w:noWrap/>
            <w:vAlign w:val="center"/>
            <w:hideMark/>
          </w:tcPr>
          <w:p w14:paraId="3711C766" w14:textId="77777777" w:rsidR="008A1E55" w:rsidRPr="006B42D6" w:rsidRDefault="008A1E55" w:rsidP="00DE248A">
            <w:pPr>
              <w:jc w:val="right"/>
              <w:rPr>
                <w:sz w:val="18"/>
                <w:szCs w:val="18"/>
              </w:rPr>
            </w:pPr>
            <w:r w:rsidRPr="006B42D6">
              <w:rPr>
                <w:sz w:val="18"/>
                <w:szCs w:val="18"/>
              </w:rPr>
              <w:t>6.4</w:t>
            </w:r>
          </w:p>
        </w:tc>
        <w:tc>
          <w:tcPr>
            <w:tcW w:w="1479" w:type="dxa"/>
            <w:gridSpan w:val="2"/>
            <w:tcBorders>
              <w:top w:val="nil"/>
              <w:left w:val="nil"/>
              <w:bottom w:val="nil"/>
              <w:right w:val="nil"/>
            </w:tcBorders>
            <w:shd w:val="clear" w:color="auto" w:fill="auto"/>
            <w:noWrap/>
            <w:vAlign w:val="center"/>
            <w:hideMark/>
          </w:tcPr>
          <w:p w14:paraId="401B6FEB" w14:textId="77777777" w:rsidR="008A1E55" w:rsidRPr="006B42D6" w:rsidRDefault="008A1E55" w:rsidP="00DE248A">
            <w:pPr>
              <w:jc w:val="right"/>
              <w:rPr>
                <w:sz w:val="18"/>
                <w:szCs w:val="18"/>
              </w:rPr>
            </w:pPr>
            <w:r w:rsidRPr="006B42D6">
              <w:rPr>
                <w:sz w:val="18"/>
                <w:szCs w:val="18"/>
              </w:rPr>
              <w:t>493,834</w:t>
            </w:r>
          </w:p>
        </w:tc>
        <w:tc>
          <w:tcPr>
            <w:tcW w:w="1121" w:type="dxa"/>
            <w:tcBorders>
              <w:top w:val="nil"/>
              <w:left w:val="nil"/>
              <w:bottom w:val="nil"/>
              <w:right w:val="nil"/>
            </w:tcBorders>
            <w:shd w:val="clear" w:color="auto" w:fill="auto"/>
            <w:noWrap/>
            <w:vAlign w:val="center"/>
            <w:hideMark/>
          </w:tcPr>
          <w:p w14:paraId="77A1585E" w14:textId="77777777" w:rsidR="008A1E55" w:rsidRPr="006B42D6" w:rsidRDefault="008A1E55" w:rsidP="00DE248A">
            <w:pPr>
              <w:jc w:val="right"/>
              <w:rPr>
                <w:sz w:val="18"/>
                <w:szCs w:val="18"/>
              </w:rPr>
            </w:pPr>
            <w:r w:rsidRPr="006B42D6">
              <w:rPr>
                <w:sz w:val="18"/>
                <w:szCs w:val="18"/>
              </w:rPr>
              <w:t>6.4</w:t>
            </w:r>
          </w:p>
        </w:tc>
        <w:tc>
          <w:tcPr>
            <w:tcW w:w="1355" w:type="dxa"/>
            <w:gridSpan w:val="2"/>
            <w:tcBorders>
              <w:top w:val="nil"/>
              <w:left w:val="nil"/>
              <w:bottom w:val="nil"/>
              <w:right w:val="nil"/>
            </w:tcBorders>
            <w:shd w:val="clear" w:color="auto" w:fill="auto"/>
            <w:noWrap/>
            <w:vAlign w:val="center"/>
            <w:hideMark/>
          </w:tcPr>
          <w:p w14:paraId="03C811BA" w14:textId="77777777" w:rsidR="008A1E55" w:rsidRPr="006B42D6" w:rsidRDefault="008A1E55" w:rsidP="00DE248A">
            <w:pPr>
              <w:jc w:val="right"/>
              <w:rPr>
                <w:sz w:val="18"/>
                <w:szCs w:val="18"/>
              </w:rPr>
            </w:pPr>
            <w:r w:rsidRPr="006B42D6">
              <w:rPr>
                <w:sz w:val="18"/>
                <w:szCs w:val="18"/>
              </w:rPr>
              <w:t>4,121</w:t>
            </w:r>
          </w:p>
        </w:tc>
        <w:tc>
          <w:tcPr>
            <w:tcW w:w="1245" w:type="dxa"/>
            <w:tcBorders>
              <w:top w:val="nil"/>
              <w:left w:val="nil"/>
              <w:bottom w:val="nil"/>
              <w:right w:val="nil"/>
            </w:tcBorders>
            <w:shd w:val="clear" w:color="auto" w:fill="auto"/>
            <w:noWrap/>
            <w:vAlign w:val="center"/>
            <w:hideMark/>
          </w:tcPr>
          <w:p w14:paraId="2D5CBE8D" w14:textId="77777777" w:rsidR="008A1E55" w:rsidRPr="006B42D6" w:rsidRDefault="008A1E55" w:rsidP="00DE248A">
            <w:pPr>
              <w:jc w:val="right"/>
              <w:rPr>
                <w:sz w:val="18"/>
                <w:szCs w:val="18"/>
              </w:rPr>
            </w:pPr>
            <w:r w:rsidRPr="006B42D6">
              <w:rPr>
                <w:sz w:val="18"/>
                <w:szCs w:val="18"/>
              </w:rPr>
              <w:t>2.3</w:t>
            </w:r>
          </w:p>
        </w:tc>
      </w:tr>
      <w:tr w:rsidR="006B42D6" w:rsidRPr="006B42D6" w14:paraId="0EC74108" w14:textId="77777777" w:rsidTr="00DE248A">
        <w:trPr>
          <w:gridAfter w:val="1"/>
          <w:wAfter w:w="11" w:type="dxa"/>
          <w:trHeight w:val="300"/>
        </w:trPr>
        <w:tc>
          <w:tcPr>
            <w:tcW w:w="1668" w:type="dxa"/>
            <w:tcBorders>
              <w:top w:val="nil"/>
              <w:left w:val="nil"/>
              <w:bottom w:val="nil"/>
              <w:right w:val="nil"/>
            </w:tcBorders>
            <w:shd w:val="clear" w:color="auto" w:fill="auto"/>
            <w:vAlign w:val="center"/>
            <w:hideMark/>
          </w:tcPr>
          <w:p w14:paraId="54E3EC7B" w14:textId="77777777" w:rsidR="008A1E55" w:rsidRPr="006B42D6" w:rsidRDefault="008A1E55" w:rsidP="00E16CAE">
            <w:pPr>
              <w:rPr>
                <w:sz w:val="18"/>
                <w:szCs w:val="18"/>
              </w:rPr>
            </w:pPr>
            <w:r w:rsidRPr="006B42D6">
              <w:rPr>
                <w:sz w:val="18"/>
                <w:szCs w:val="18"/>
              </w:rPr>
              <w:t>20.00 - 29.00</w:t>
            </w:r>
          </w:p>
        </w:tc>
        <w:tc>
          <w:tcPr>
            <w:tcW w:w="1417" w:type="dxa"/>
            <w:tcBorders>
              <w:top w:val="nil"/>
              <w:left w:val="nil"/>
              <w:bottom w:val="nil"/>
              <w:right w:val="nil"/>
            </w:tcBorders>
            <w:shd w:val="clear" w:color="auto" w:fill="auto"/>
            <w:noWrap/>
            <w:vAlign w:val="center"/>
            <w:hideMark/>
          </w:tcPr>
          <w:p w14:paraId="46F417C7" w14:textId="77777777" w:rsidR="008A1E55" w:rsidRPr="006B42D6" w:rsidRDefault="008A1E55" w:rsidP="00DE248A">
            <w:pPr>
              <w:jc w:val="right"/>
              <w:rPr>
                <w:sz w:val="18"/>
                <w:szCs w:val="18"/>
              </w:rPr>
            </w:pPr>
            <w:r w:rsidRPr="006B42D6">
              <w:rPr>
                <w:sz w:val="18"/>
                <w:szCs w:val="18"/>
              </w:rPr>
              <w:t>325,462</w:t>
            </w:r>
          </w:p>
        </w:tc>
        <w:tc>
          <w:tcPr>
            <w:tcW w:w="1121" w:type="dxa"/>
            <w:tcBorders>
              <w:top w:val="nil"/>
              <w:left w:val="nil"/>
              <w:bottom w:val="nil"/>
              <w:right w:val="nil"/>
            </w:tcBorders>
            <w:shd w:val="clear" w:color="auto" w:fill="auto"/>
            <w:noWrap/>
            <w:vAlign w:val="center"/>
            <w:hideMark/>
          </w:tcPr>
          <w:p w14:paraId="1D41191E" w14:textId="77777777" w:rsidR="008A1E55" w:rsidRPr="006B42D6" w:rsidRDefault="008A1E55" w:rsidP="00DE248A">
            <w:pPr>
              <w:jc w:val="right"/>
              <w:rPr>
                <w:sz w:val="18"/>
                <w:szCs w:val="18"/>
              </w:rPr>
            </w:pPr>
            <w:r w:rsidRPr="006B42D6">
              <w:rPr>
                <w:sz w:val="18"/>
                <w:szCs w:val="18"/>
              </w:rPr>
              <w:t>4.2</w:t>
            </w:r>
          </w:p>
        </w:tc>
        <w:tc>
          <w:tcPr>
            <w:tcW w:w="1479" w:type="dxa"/>
            <w:gridSpan w:val="2"/>
            <w:tcBorders>
              <w:top w:val="nil"/>
              <w:left w:val="nil"/>
              <w:bottom w:val="nil"/>
              <w:right w:val="nil"/>
            </w:tcBorders>
            <w:shd w:val="clear" w:color="auto" w:fill="auto"/>
            <w:noWrap/>
            <w:vAlign w:val="center"/>
            <w:hideMark/>
          </w:tcPr>
          <w:p w14:paraId="656D55FC" w14:textId="77777777" w:rsidR="008A1E55" w:rsidRPr="006B42D6" w:rsidRDefault="008A1E55" w:rsidP="00DE248A">
            <w:pPr>
              <w:jc w:val="right"/>
              <w:rPr>
                <w:sz w:val="18"/>
                <w:szCs w:val="18"/>
              </w:rPr>
            </w:pPr>
            <w:r w:rsidRPr="006B42D6">
              <w:rPr>
                <w:sz w:val="18"/>
                <w:szCs w:val="18"/>
              </w:rPr>
              <w:t>324,047</w:t>
            </w:r>
          </w:p>
        </w:tc>
        <w:tc>
          <w:tcPr>
            <w:tcW w:w="1121" w:type="dxa"/>
            <w:tcBorders>
              <w:top w:val="nil"/>
              <w:left w:val="nil"/>
              <w:bottom w:val="nil"/>
              <w:right w:val="nil"/>
            </w:tcBorders>
            <w:shd w:val="clear" w:color="auto" w:fill="auto"/>
            <w:noWrap/>
            <w:vAlign w:val="center"/>
            <w:hideMark/>
          </w:tcPr>
          <w:p w14:paraId="2E888654" w14:textId="77777777" w:rsidR="008A1E55" w:rsidRPr="006B42D6" w:rsidRDefault="008A1E55" w:rsidP="00DE248A">
            <w:pPr>
              <w:jc w:val="right"/>
              <w:rPr>
                <w:sz w:val="18"/>
                <w:szCs w:val="18"/>
              </w:rPr>
            </w:pPr>
            <w:r w:rsidRPr="006B42D6">
              <w:rPr>
                <w:sz w:val="18"/>
                <w:szCs w:val="18"/>
              </w:rPr>
              <w:t>4.2</w:t>
            </w:r>
          </w:p>
        </w:tc>
        <w:tc>
          <w:tcPr>
            <w:tcW w:w="1355" w:type="dxa"/>
            <w:gridSpan w:val="2"/>
            <w:tcBorders>
              <w:top w:val="nil"/>
              <w:left w:val="nil"/>
              <w:bottom w:val="nil"/>
              <w:right w:val="nil"/>
            </w:tcBorders>
            <w:shd w:val="clear" w:color="auto" w:fill="auto"/>
            <w:noWrap/>
            <w:vAlign w:val="center"/>
            <w:hideMark/>
          </w:tcPr>
          <w:p w14:paraId="46961FEE" w14:textId="77777777" w:rsidR="008A1E55" w:rsidRPr="006B42D6" w:rsidRDefault="008A1E55" w:rsidP="00DE248A">
            <w:pPr>
              <w:jc w:val="right"/>
              <w:rPr>
                <w:sz w:val="18"/>
                <w:szCs w:val="18"/>
              </w:rPr>
            </w:pPr>
            <w:r w:rsidRPr="006B42D6">
              <w:rPr>
                <w:sz w:val="18"/>
                <w:szCs w:val="18"/>
              </w:rPr>
              <w:t>1,415</w:t>
            </w:r>
          </w:p>
        </w:tc>
        <w:tc>
          <w:tcPr>
            <w:tcW w:w="1245" w:type="dxa"/>
            <w:tcBorders>
              <w:top w:val="nil"/>
              <w:left w:val="nil"/>
              <w:bottom w:val="nil"/>
              <w:right w:val="nil"/>
            </w:tcBorders>
            <w:shd w:val="clear" w:color="auto" w:fill="auto"/>
            <w:noWrap/>
            <w:vAlign w:val="center"/>
            <w:hideMark/>
          </w:tcPr>
          <w:p w14:paraId="0853B805" w14:textId="77777777" w:rsidR="008A1E55" w:rsidRPr="006B42D6" w:rsidRDefault="008A1E55" w:rsidP="00DE248A">
            <w:pPr>
              <w:jc w:val="right"/>
              <w:rPr>
                <w:sz w:val="18"/>
                <w:szCs w:val="18"/>
              </w:rPr>
            </w:pPr>
            <w:r w:rsidRPr="006B42D6">
              <w:rPr>
                <w:sz w:val="18"/>
                <w:szCs w:val="18"/>
              </w:rPr>
              <w:t>0.8</w:t>
            </w:r>
          </w:p>
        </w:tc>
      </w:tr>
      <w:tr w:rsidR="006B42D6" w:rsidRPr="006B42D6" w14:paraId="078AD62F" w14:textId="77777777" w:rsidTr="00DE248A">
        <w:trPr>
          <w:gridAfter w:val="1"/>
          <w:wAfter w:w="11" w:type="dxa"/>
          <w:trHeight w:val="300"/>
        </w:trPr>
        <w:tc>
          <w:tcPr>
            <w:tcW w:w="1668" w:type="dxa"/>
            <w:tcBorders>
              <w:top w:val="nil"/>
              <w:left w:val="nil"/>
              <w:bottom w:val="nil"/>
              <w:right w:val="nil"/>
            </w:tcBorders>
            <w:shd w:val="clear" w:color="auto" w:fill="auto"/>
            <w:vAlign w:val="center"/>
            <w:hideMark/>
          </w:tcPr>
          <w:p w14:paraId="0D167FA4" w14:textId="77777777" w:rsidR="008A1E55" w:rsidRPr="006B42D6" w:rsidRDefault="008A1E55" w:rsidP="00E16CAE">
            <w:pPr>
              <w:rPr>
                <w:sz w:val="18"/>
                <w:szCs w:val="18"/>
              </w:rPr>
            </w:pPr>
            <w:r w:rsidRPr="006B42D6">
              <w:rPr>
                <w:sz w:val="18"/>
                <w:szCs w:val="18"/>
              </w:rPr>
              <w:t>30.00 - 39.00</w:t>
            </w:r>
          </w:p>
        </w:tc>
        <w:tc>
          <w:tcPr>
            <w:tcW w:w="1417" w:type="dxa"/>
            <w:tcBorders>
              <w:top w:val="nil"/>
              <w:left w:val="nil"/>
              <w:bottom w:val="nil"/>
              <w:right w:val="nil"/>
            </w:tcBorders>
            <w:shd w:val="clear" w:color="auto" w:fill="auto"/>
            <w:noWrap/>
            <w:vAlign w:val="center"/>
            <w:hideMark/>
          </w:tcPr>
          <w:p w14:paraId="332B5EBE" w14:textId="77777777" w:rsidR="008A1E55" w:rsidRPr="006B42D6" w:rsidRDefault="008A1E55" w:rsidP="00DE248A">
            <w:pPr>
              <w:jc w:val="right"/>
              <w:rPr>
                <w:sz w:val="18"/>
                <w:szCs w:val="18"/>
              </w:rPr>
            </w:pPr>
            <w:r w:rsidRPr="006B42D6">
              <w:rPr>
                <w:sz w:val="18"/>
                <w:szCs w:val="18"/>
              </w:rPr>
              <w:t>390,786</w:t>
            </w:r>
          </w:p>
        </w:tc>
        <w:tc>
          <w:tcPr>
            <w:tcW w:w="1121" w:type="dxa"/>
            <w:tcBorders>
              <w:top w:val="nil"/>
              <w:left w:val="nil"/>
              <w:bottom w:val="nil"/>
              <w:right w:val="nil"/>
            </w:tcBorders>
            <w:shd w:val="clear" w:color="auto" w:fill="auto"/>
            <w:noWrap/>
            <w:vAlign w:val="center"/>
            <w:hideMark/>
          </w:tcPr>
          <w:p w14:paraId="21DE604A" w14:textId="77777777" w:rsidR="008A1E55" w:rsidRPr="006B42D6" w:rsidRDefault="008A1E55" w:rsidP="00DE248A">
            <w:pPr>
              <w:jc w:val="right"/>
              <w:rPr>
                <w:sz w:val="18"/>
                <w:szCs w:val="18"/>
              </w:rPr>
            </w:pPr>
            <w:r w:rsidRPr="006B42D6">
              <w:rPr>
                <w:sz w:val="18"/>
                <w:szCs w:val="18"/>
              </w:rPr>
              <w:t>5.0</w:t>
            </w:r>
          </w:p>
        </w:tc>
        <w:tc>
          <w:tcPr>
            <w:tcW w:w="1479" w:type="dxa"/>
            <w:gridSpan w:val="2"/>
            <w:tcBorders>
              <w:top w:val="nil"/>
              <w:left w:val="nil"/>
              <w:bottom w:val="nil"/>
              <w:right w:val="nil"/>
            </w:tcBorders>
            <w:shd w:val="clear" w:color="auto" w:fill="auto"/>
            <w:noWrap/>
            <w:vAlign w:val="center"/>
            <w:hideMark/>
          </w:tcPr>
          <w:p w14:paraId="6B20B260" w14:textId="77777777" w:rsidR="008A1E55" w:rsidRPr="006B42D6" w:rsidRDefault="008A1E55" w:rsidP="00DE248A">
            <w:pPr>
              <w:jc w:val="right"/>
              <w:rPr>
                <w:sz w:val="18"/>
                <w:szCs w:val="18"/>
              </w:rPr>
            </w:pPr>
            <w:r w:rsidRPr="006B42D6">
              <w:rPr>
                <w:sz w:val="18"/>
                <w:szCs w:val="18"/>
              </w:rPr>
              <w:t>389,279</w:t>
            </w:r>
          </w:p>
        </w:tc>
        <w:tc>
          <w:tcPr>
            <w:tcW w:w="1121" w:type="dxa"/>
            <w:tcBorders>
              <w:top w:val="nil"/>
              <w:left w:val="nil"/>
              <w:bottom w:val="nil"/>
              <w:right w:val="nil"/>
            </w:tcBorders>
            <w:shd w:val="clear" w:color="auto" w:fill="auto"/>
            <w:noWrap/>
            <w:vAlign w:val="center"/>
            <w:hideMark/>
          </w:tcPr>
          <w:p w14:paraId="6067EF41" w14:textId="77777777" w:rsidR="008A1E55" w:rsidRPr="006B42D6" w:rsidRDefault="008A1E55" w:rsidP="00DE248A">
            <w:pPr>
              <w:jc w:val="right"/>
              <w:rPr>
                <w:sz w:val="18"/>
                <w:szCs w:val="18"/>
              </w:rPr>
            </w:pPr>
            <w:r w:rsidRPr="006B42D6">
              <w:rPr>
                <w:sz w:val="18"/>
                <w:szCs w:val="18"/>
              </w:rPr>
              <w:t>5.1</w:t>
            </w:r>
          </w:p>
        </w:tc>
        <w:tc>
          <w:tcPr>
            <w:tcW w:w="1355" w:type="dxa"/>
            <w:gridSpan w:val="2"/>
            <w:tcBorders>
              <w:top w:val="nil"/>
              <w:left w:val="nil"/>
              <w:bottom w:val="nil"/>
              <w:right w:val="nil"/>
            </w:tcBorders>
            <w:shd w:val="clear" w:color="auto" w:fill="auto"/>
            <w:noWrap/>
            <w:vAlign w:val="center"/>
            <w:hideMark/>
          </w:tcPr>
          <w:p w14:paraId="0E527D7D" w14:textId="77777777" w:rsidR="008A1E55" w:rsidRPr="006B42D6" w:rsidRDefault="008A1E55" w:rsidP="00DE248A">
            <w:pPr>
              <w:jc w:val="right"/>
              <w:rPr>
                <w:sz w:val="18"/>
                <w:szCs w:val="18"/>
              </w:rPr>
            </w:pPr>
            <w:r w:rsidRPr="006B42D6">
              <w:rPr>
                <w:sz w:val="18"/>
                <w:szCs w:val="18"/>
              </w:rPr>
              <w:t>1,507</w:t>
            </w:r>
          </w:p>
        </w:tc>
        <w:tc>
          <w:tcPr>
            <w:tcW w:w="1245" w:type="dxa"/>
            <w:tcBorders>
              <w:top w:val="nil"/>
              <w:left w:val="nil"/>
              <w:bottom w:val="nil"/>
              <w:right w:val="nil"/>
            </w:tcBorders>
            <w:shd w:val="clear" w:color="auto" w:fill="auto"/>
            <w:noWrap/>
            <w:vAlign w:val="center"/>
            <w:hideMark/>
          </w:tcPr>
          <w:p w14:paraId="0DA4D4F8" w14:textId="77777777" w:rsidR="008A1E55" w:rsidRPr="006B42D6" w:rsidRDefault="008A1E55" w:rsidP="00DE248A">
            <w:pPr>
              <w:jc w:val="right"/>
              <w:rPr>
                <w:sz w:val="18"/>
                <w:szCs w:val="18"/>
              </w:rPr>
            </w:pPr>
            <w:r w:rsidRPr="006B42D6">
              <w:rPr>
                <w:sz w:val="18"/>
                <w:szCs w:val="18"/>
              </w:rPr>
              <w:t>0.8</w:t>
            </w:r>
          </w:p>
        </w:tc>
      </w:tr>
      <w:tr w:rsidR="006B42D6" w:rsidRPr="006B42D6" w14:paraId="4C567A40" w14:textId="77777777" w:rsidTr="00DE248A">
        <w:trPr>
          <w:gridAfter w:val="1"/>
          <w:wAfter w:w="11" w:type="dxa"/>
          <w:trHeight w:val="320"/>
        </w:trPr>
        <w:tc>
          <w:tcPr>
            <w:tcW w:w="1668" w:type="dxa"/>
            <w:tcBorders>
              <w:top w:val="nil"/>
              <w:left w:val="nil"/>
              <w:bottom w:val="nil"/>
              <w:right w:val="nil"/>
            </w:tcBorders>
            <w:shd w:val="clear" w:color="auto" w:fill="auto"/>
            <w:vAlign w:val="center"/>
            <w:hideMark/>
          </w:tcPr>
          <w:p w14:paraId="7447835E" w14:textId="77777777" w:rsidR="008A1E55" w:rsidRPr="006B42D6" w:rsidRDefault="008A1E55" w:rsidP="00E16CAE">
            <w:pPr>
              <w:rPr>
                <w:sz w:val="18"/>
                <w:szCs w:val="18"/>
              </w:rPr>
            </w:pPr>
            <w:r w:rsidRPr="006B42D6">
              <w:rPr>
                <w:sz w:val="18"/>
                <w:szCs w:val="18"/>
              </w:rPr>
              <w:t>40.00 - 49.00</w:t>
            </w:r>
          </w:p>
        </w:tc>
        <w:tc>
          <w:tcPr>
            <w:tcW w:w="1417" w:type="dxa"/>
            <w:tcBorders>
              <w:top w:val="nil"/>
              <w:left w:val="nil"/>
              <w:bottom w:val="nil"/>
              <w:right w:val="nil"/>
            </w:tcBorders>
            <w:shd w:val="clear" w:color="auto" w:fill="auto"/>
            <w:noWrap/>
            <w:vAlign w:val="center"/>
            <w:hideMark/>
          </w:tcPr>
          <w:p w14:paraId="7687931F" w14:textId="77777777" w:rsidR="008A1E55" w:rsidRPr="006B42D6" w:rsidRDefault="008A1E55" w:rsidP="00DE248A">
            <w:pPr>
              <w:jc w:val="right"/>
              <w:rPr>
                <w:sz w:val="18"/>
                <w:szCs w:val="18"/>
              </w:rPr>
            </w:pPr>
            <w:r w:rsidRPr="006B42D6">
              <w:rPr>
                <w:sz w:val="18"/>
                <w:szCs w:val="18"/>
              </w:rPr>
              <w:t>76,394</w:t>
            </w:r>
          </w:p>
        </w:tc>
        <w:tc>
          <w:tcPr>
            <w:tcW w:w="1121" w:type="dxa"/>
            <w:tcBorders>
              <w:top w:val="nil"/>
              <w:left w:val="nil"/>
              <w:bottom w:val="nil"/>
              <w:right w:val="nil"/>
            </w:tcBorders>
            <w:shd w:val="clear" w:color="auto" w:fill="auto"/>
            <w:noWrap/>
            <w:vAlign w:val="center"/>
            <w:hideMark/>
          </w:tcPr>
          <w:p w14:paraId="4A2414B5" w14:textId="77777777" w:rsidR="008A1E55" w:rsidRPr="006B42D6" w:rsidRDefault="008A1E55" w:rsidP="00DE248A">
            <w:pPr>
              <w:jc w:val="right"/>
              <w:rPr>
                <w:sz w:val="18"/>
                <w:szCs w:val="18"/>
              </w:rPr>
            </w:pPr>
            <w:r w:rsidRPr="006B42D6">
              <w:rPr>
                <w:sz w:val="18"/>
                <w:szCs w:val="18"/>
              </w:rPr>
              <w:t>1.0</w:t>
            </w:r>
          </w:p>
        </w:tc>
        <w:tc>
          <w:tcPr>
            <w:tcW w:w="1479" w:type="dxa"/>
            <w:gridSpan w:val="2"/>
            <w:tcBorders>
              <w:top w:val="nil"/>
              <w:left w:val="nil"/>
              <w:bottom w:val="nil"/>
              <w:right w:val="nil"/>
            </w:tcBorders>
            <w:shd w:val="clear" w:color="auto" w:fill="auto"/>
            <w:noWrap/>
            <w:vAlign w:val="center"/>
            <w:hideMark/>
          </w:tcPr>
          <w:p w14:paraId="653B34C0" w14:textId="77777777" w:rsidR="008A1E55" w:rsidRPr="006B42D6" w:rsidRDefault="008A1E55" w:rsidP="00DE248A">
            <w:pPr>
              <w:jc w:val="right"/>
              <w:rPr>
                <w:sz w:val="18"/>
                <w:szCs w:val="18"/>
              </w:rPr>
            </w:pPr>
            <w:r w:rsidRPr="006B42D6">
              <w:rPr>
                <w:sz w:val="18"/>
                <w:szCs w:val="18"/>
              </w:rPr>
              <w:t>76,394</w:t>
            </w:r>
          </w:p>
        </w:tc>
        <w:tc>
          <w:tcPr>
            <w:tcW w:w="1121" w:type="dxa"/>
            <w:tcBorders>
              <w:top w:val="nil"/>
              <w:left w:val="nil"/>
              <w:bottom w:val="nil"/>
              <w:right w:val="nil"/>
            </w:tcBorders>
            <w:shd w:val="clear" w:color="auto" w:fill="auto"/>
            <w:noWrap/>
            <w:vAlign w:val="center"/>
            <w:hideMark/>
          </w:tcPr>
          <w:p w14:paraId="2B639127" w14:textId="77777777" w:rsidR="008A1E55" w:rsidRPr="006B42D6" w:rsidRDefault="008A1E55" w:rsidP="00DE248A">
            <w:pPr>
              <w:jc w:val="right"/>
              <w:rPr>
                <w:sz w:val="18"/>
                <w:szCs w:val="18"/>
              </w:rPr>
            </w:pPr>
            <w:r w:rsidRPr="006B42D6">
              <w:rPr>
                <w:sz w:val="18"/>
                <w:szCs w:val="18"/>
              </w:rPr>
              <w:t>1.0</w:t>
            </w:r>
          </w:p>
        </w:tc>
        <w:tc>
          <w:tcPr>
            <w:tcW w:w="1355" w:type="dxa"/>
            <w:gridSpan w:val="2"/>
            <w:tcBorders>
              <w:top w:val="nil"/>
              <w:left w:val="nil"/>
              <w:bottom w:val="nil"/>
              <w:right w:val="nil"/>
            </w:tcBorders>
            <w:shd w:val="clear" w:color="auto" w:fill="auto"/>
            <w:noWrap/>
            <w:vAlign w:val="center"/>
            <w:hideMark/>
          </w:tcPr>
          <w:p w14:paraId="25C4521F" w14:textId="77777777" w:rsidR="008A1E55" w:rsidRPr="006B42D6" w:rsidRDefault="008A1E55" w:rsidP="00DE248A">
            <w:pPr>
              <w:jc w:val="right"/>
              <w:rPr>
                <w:sz w:val="18"/>
                <w:szCs w:val="18"/>
              </w:rPr>
            </w:pPr>
            <w:r w:rsidRPr="006B42D6">
              <w:rPr>
                <w:sz w:val="18"/>
                <w:szCs w:val="18"/>
              </w:rPr>
              <w:t>0</w:t>
            </w:r>
          </w:p>
        </w:tc>
        <w:tc>
          <w:tcPr>
            <w:tcW w:w="1245" w:type="dxa"/>
            <w:tcBorders>
              <w:top w:val="nil"/>
              <w:left w:val="nil"/>
              <w:bottom w:val="nil"/>
              <w:right w:val="nil"/>
            </w:tcBorders>
            <w:shd w:val="clear" w:color="auto" w:fill="auto"/>
            <w:noWrap/>
            <w:vAlign w:val="center"/>
            <w:hideMark/>
          </w:tcPr>
          <w:p w14:paraId="778F37A4" w14:textId="77777777" w:rsidR="008A1E55" w:rsidRPr="006B42D6" w:rsidRDefault="008A1E55" w:rsidP="00DE248A">
            <w:pPr>
              <w:jc w:val="right"/>
              <w:rPr>
                <w:sz w:val="18"/>
                <w:szCs w:val="18"/>
              </w:rPr>
            </w:pPr>
            <w:r w:rsidRPr="006B42D6">
              <w:rPr>
                <w:sz w:val="18"/>
                <w:szCs w:val="18"/>
              </w:rPr>
              <w:t>0.0</w:t>
            </w:r>
          </w:p>
        </w:tc>
      </w:tr>
      <w:tr w:rsidR="006B42D6" w:rsidRPr="006B42D6" w14:paraId="0C1D0887" w14:textId="77777777" w:rsidTr="00DE248A">
        <w:trPr>
          <w:gridAfter w:val="1"/>
          <w:wAfter w:w="11" w:type="dxa"/>
          <w:trHeight w:val="320"/>
        </w:trPr>
        <w:tc>
          <w:tcPr>
            <w:tcW w:w="1668" w:type="dxa"/>
            <w:tcBorders>
              <w:top w:val="nil"/>
              <w:left w:val="nil"/>
              <w:bottom w:val="nil"/>
              <w:right w:val="nil"/>
            </w:tcBorders>
            <w:shd w:val="clear" w:color="auto" w:fill="auto"/>
            <w:vAlign w:val="center"/>
            <w:hideMark/>
          </w:tcPr>
          <w:p w14:paraId="2C9CC3D7" w14:textId="77777777" w:rsidR="008A1E55" w:rsidRPr="006B42D6" w:rsidRDefault="008A1E55" w:rsidP="00E16CAE">
            <w:pPr>
              <w:rPr>
                <w:sz w:val="18"/>
                <w:szCs w:val="18"/>
              </w:rPr>
            </w:pPr>
            <w:r w:rsidRPr="006B42D6">
              <w:rPr>
                <w:sz w:val="18"/>
                <w:szCs w:val="18"/>
              </w:rPr>
              <w:t>50.00 - 59.00</w:t>
            </w:r>
          </w:p>
        </w:tc>
        <w:tc>
          <w:tcPr>
            <w:tcW w:w="1417" w:type="dxa"/>
            <w:tcBorders>
              <w:top w:val="nil"/>
              <w:left w:val="nil"/>
              <w:bottom w:val="nil"/>
              <w:right w:val="nil"/>
            </w:tcBorders>
            <w:shd w:val="clear" w:color="auto" w:fill="auto"/>
            <w:noWrap/>
            <w:vAlign w:val="center"/>
            <w:hideMark/>
          </w:tcPr>
          <w:p w14:paraId="1511D9BD" w14:textId="77777777" w:rsidR="008A1E55" w:rsidRPr="006B42D6" w:rsidRDefault="008A1E55" w:rsidP="00DE248A">
            <w:pPr>
              <w:jc w:val="right"/>
              <w:rPr>
                <w:sz w:val="18"/>
                <w:szCs w:val="18"/>
              </w:rPr>
            </w:pPr>
            <w:r w:rsidRPr="006B42D6">
              <w:rPr>
                <w:sz w:val="18"/>
                <w:szCs w:val="18"/>
              </w:rPr>
              <w:t>325,566</w:t>
            </w:r>
          </w:p>
        </w:tc>
        <w:tc>
          <w:tcPr>
            <w:tcW w:w="1121" w:type="dxa"/>
            <w:tcBorders>
              <w:top w:val="nil"/>
              <w:left w:val="nil"/>
              <w:bottom w:val="nil"/>
              <w:right w:val="nil"/>
            </w:tcBorders>
            <w:shd w:val="clear" w:color="auto" w:fill="auto"/>
            <w:noWrap/>
            <w:vAlign w:val="center"/>
            <w:hideMark/>
          </w:tcPr>
          <w:p w14:paraId="68DAD7D6" w14:textId="77777777" w:rsidR="008A1E55" w:rsidRPr="006B42D6" w:rsidRDefault="008A1E55" w:rsidP="00DE248A">
            <w:pPr>
              <w:jc w:val="right"/>
              <w:rPr>
                <w:sz w:val="18"/>
                <w:szCs w:val="18"/>
              </w:rPr>
            </w:pPr>
            <w:r w:rsidRPr="006B42D6">
              <w:rPr>
                <w:sz w:val="18"/>
                <w:szCs w:val="18"/>
              </w:rPr>
              <w:t>4.2</w:t>
            </w:r>
          </w:p>
        </w:tc>
        <w:tc>
          <w:tcPr>
            <w:tcW w:w="1479" w:type="dxa"/>
            <w:gridSpan w:val="2"/>
            <w:tcBorders>
              <w:top w:val="nil"/>
              <w:left w:val="nil"/>
              <w:bottom w:val="nil"/>
              <w:right w:val="nil"/>
            </w:tcBorders>
            <w:shd w:val="clear" w:color="auto" w:fill="auto"/>
            <w:noWrap/>
            <w:vAlign w:val="center"/>
            <w:hideMark/>
          </w:tcPr>
          <w:p w14:paraId="2E972514" w14:textId="77777777" w:rsidR="008A1E55" w:rsidRPr="006B42D6" w:rsidRDefault="008A1E55" w:rsidP="00DE248A">
            <w:pPr>
              <w:jc w:val="right"/>
              <w:rPr>
                <w:sz w:val="18"/>
                <w:szCs w:val="18"/>
              </w:rPr>
            </w:pPr>
            <w:r w:rsidRPr="006B42D6">
              <w:rPr>
                <w:sz w:val="18"/>
                <w:szCs w:val="18"/>
              </w:rPr>
              <w:t>322,399</w:t>
            </w:r>
          </w:p>
        </w:tc>
        <w:tc>
          <w:tcPr>
            <w:tcW w:w="1121" w:type="dxa"/>
            <w:tcBorders>
              <w:top w:val="nil"/>
              <w:left w:val="nil"/>
              <w:bottom w:val="nil"/>
              <w:right w:val="nil"/>
            </w:tcBorders>
            <w:shd w:val="clear" w:color="auto" w:fill="auto"/>
            <w:noWrap/>
            <w:vAlign w:val="center"/>
            <w:hideMark/>
          </w:tcPr>
          <w:p w14:paraId="77763F29" w14:textId="77777777" w:rsidR="008A1E55" w:rsidRPr="006B42D6" w:rsidRDefault="008A1E55" w:rsidP="00DE248A">
            <w:pPr>
              <w:jc w:val="right"/>
              <w:rPr>
                <w:sz w:val="18"/>
                <w:szCs w:val="18"/>
              </w:rPr>
            </w:pPr>
            <w:r w:rsidRPr="006B42D6">
              <w:rPr>
                <w:sz w:val="18"/>
                <w:szCs w:val="18"/>
              </w:rPr>
              <w:t>4.2</w:t>
            </w:r>
          </w:p>
        </w:tc>
        <w:tc>
          <w:tcPr>
            <w:tcW w:w="1355" w:type="dxa"/>
            <w:gridSpan w:val="2"/>
            <w:tcBorders>
              <w:top w:val="nil"/>
              <w:left w:val="nil"/>
              <w:bottom w:val="nil"/>
              <w:right w:val="nil"/>
            </w:tcBorders>
            <w:shd w:val="clear" w:color="auto" w:fill="auto"/>
            <w:noWrap/>
            <w:vAlign w:val="center"/>
            <w:hideMark/>
          </w:tcPr>
          <w:p w14:paraId="0E62125E" w14:textId="77777777" w:rsidR="008A1E55" w:rsidRPr="006B42D6" w:rsidRDefault="008A1E55" w:rsidP="00DE248A">
            <w:pPr>
              <w:jc w:val="right"/>
              <w:rPr>
                <w:sz w:val="18"/>
                <w:szCs w:val="18"/>
              </w:rPr>
            </w:pPr>
            <w:r w:rsidRPr="006B42D6">
              <w:rPr>
                <w:sz w:val="18"/>
                <w:szCs w:val="18"/>
              </w:rPr>
              <w:t>3,167</w:t>
            </w:r>
          </w:p>
        </w:tc>
        <w:tc>
          <w:tcPr>
            <w:tcW w:w="1245" w:type="dxa"/>
            <w:tcBorders>
              <w:top w:val="nil"/>
              <w:left w:val="nil"/>
              <w:bottom w:val="nil"/>
              <w:right w:val="nil"/>
            </w:tcBorders>
            <w:shd w:val="clear" w:color="auto" w:fill="auto"/>
            <w:noWrap/>
            <w:vAlign w:val="center"/>
            <w:hideMark/>
          </w:tcPr>
          <w:p w14:paraId="63674709" w14:textId="77777777" w:rsidR="008A1E55" w:rsidRPr="006B42D6" w:rsidRDefault="008A1E55" w:rsidP="00DE248A">
            <w:pPr>
              <w:jc w:val="right"/>
              <w:rPr>
                <w:sz w:val="18"/>
                <w:szCs w:val="18"/>
              </w:rPr>
            </w:pPr>
            <w:r w:rsidRPr="006B42D6">
              <w:rPr>
                <w:sz w:val="18"/>
                <w:szCs w:val="18"/>
              </w:rPr>
              <w:t>1.8</w:t>
            </w:r>
          </w:p>
        </w:tc>
      </w:tr>
      <w:tr w:rsidR="006B42D6" w:rsidRPr="006B42D6" w14:paraId="78DB056E" w14:textId="77777777" w:rsidTr="00DE248A">
        <w:trPr>
          <w:gridAfter w:val="1"/>
          <w:wAfter w:w="11" w:type="dxa"/>
          <w:trHeight w:val="320"/>
        </w:trPr>
        <w:tc>
          <w:tcPr>
            <w:tcW w:w="1668" w:type="dxa"/>
            <w:tcBorders>
              <w:top w:val="nil"/>
              <w:left w:val="nil"/>
              <w:bottom w:val="nil"/>
              <w:right w:val="nil"/>
            </w:tcBorders>
            <w:shd w:val="clear" w:color="auto" w:fill="auto"/>
            <w:vAlign w:val="center"/>
            <w:hideMark/>
          </w:tcPr>
          <w:p w14:paraId="50DCD7DE" w14:textId="1E496FF5" w:rsidR="008A1E55" w:rsidRPr="006B42D6" w:rsidRDefault="00DE248A" w:rsidP="00E16CAE">
            <w:pPr>
              <w:rPr>
                <w:sz w:val="18"/>
                <w:szCs w:val="18"/>
              </w:rPr>
            </w:pPr>
            <w:r>
              <w:rPr>
                <w:sz w:val="18"/>
                <w:szCs w:val="18"/>
              </w:rPr>
              <w:t>60</w:t>
            </w:r>
            <w:r w:rsidRPr="006B42D6">
              <w:rPr>
                <w:sz w:val="18"/>
                <w:szCs w:val="18"/>
              </w:rPr>
              <w:t>.00</w:t>
            </w:r>
            <w:r>
              <w:rPr>
                <w:sz w:val="18"/>
                <w:szCs w:val="18"/>
              </w:rPr>
              <w:t xml:space="preserve"> </w:t>
            </w:r>
            <w:r w:rsidR="008A1E55" w:rsidRPr="006B42D6">
              <w:rPr>
                <w:sz w:val="18"/>
                <w:szCs w:val="18"/>
              </w:rPr>
              <w:t>and above</w:t>
            </w:r>
          </w:p>
        </w:tc>
        <w:tc>
          <w:tcPr>
            <w:tcW w:w="1417" w:type="dxa"/>
            <w:tcBorders>
              <w:top w:val="nil"/>
              <w:left w:val="nil"/>
              <w:bottom w:val="nil"/>
              <w:right w:val="nil"/>
            </w:tcBorders>
            <w:shd w:val="clear" w:color="auto" w:fill="auto"/>
            <w:noWrap/>
            <w:vAlign w:val="center"/>
            <w:hideMark/>
          </w:tcPr>
          <w:p w14:paraId="43523BA9" w14:textId="77777777" w:rsidR="008A1E55" w:rsidRPr="006B42D6" w:rsidRDefault="008A1E55" w:rsidP="00DE248A">
            <w:pPr>
              <w:jc w:val="right"/>
              <w:rPr>
                <w:sz w:val="18"/>
                <w:szCs w:val="18"/>
              </w:rPr>
            </w:pPr>
            <w:r w:rsidRPr="006B42D6">
              <w:rPr>
                <w:sz w:val="18"/>
                <w:szCs w:val="18"/>
              </w:rPr>
              <w:t>1,336,433</w:t>
            </w:r>
          </w:p>
        </w:tc>
        <w:tc>
          <w:tcPr>
            <w:tcW w:w="1121" w:type="dxa"/>
            <w:tcBorders>
              <w:top w:val="nil"/>
              <w:left w:val="nil"/>
              <w:bottom w:val="nil"/>
              <w:right w:val="nil"/>
            </w:tcBorders>
            <w:shd w:val="clear" w:color="auto" w:fill="auto"/>
            <w:noWrap/>
            <w:vAlign w:val="center"/>
            <w:hideMark/>
          </w:tcPr>
          <w:p w14:paraId="44C79E55" w14:textId="77777777" w:rsidR="008A1E55" w:rsidRPr="006B42D6" w:rsidRDefault="008A1E55" w:rsidP="00DE248A">
            <w:pPr>
              <w:jc w:val="right"/>
              <w:rPr>
                <w:sz w:val="18"/>
                <w:szCs w:val="18"/>
              </w:rPr>
            </w:pPr>
            <w:r w:rsidRPr="006B42D6">
              <w:rPr>
                <w:sz w:val="18"/>
                <w:szCs w:val="18"/>
              </w:rPr>
              <w:t>17.1</w:t>
            </w:r>
          </w:p>
        </w:tc>
        <w:tc>
          <w:tcPr>
            <w:tcW w:w="1479" w:type="dxa"/>
            <w:gridSpan w:val="2"/>
            <w:tcBorders>
              <w:top w:val="nil"/>
              <w:left w:val="nil"/>
              <w:bottom w:val="nil"/>
              <w:right w:val="nil"/>
            </w:tcBorders>
            <w:shd w:val="clear" w:color="auto" w:fill="auto"/>
            <w:noWrap/>
            <w:vAlign w:val="center"/>
            <w:hideMark/>
          </w:tcPr>
          <w:p w14:paraId="3911F7D9" w14:textId="77777777" w:rsidR="008A1E55" w:rsidRPr="006B42D6" w:rsidRDefault="008A1E55" w:rsidP="00DE248A">
            <w:pPr>
              <w:jc w:val="right"/>
              <w:rPr>
                <w:sz w:val="18"/>
                <w:szCs w:val="18"/>
              </w:rPr>
            </w:pPr>
            <w:r w:rsidRPr="006B42D6">
              <w:rPr>
                <w:sz w:val="18"/>
                <w:szCs w:val="18"/>
              </w:rPr>
              <w:t>1,332,849</w:t>
            </w:r>
          </w:p>
        </w:tc>
        <w:tc>
          <w:tcPr>
            <w:tcW w:w="1121" w:type="dxa"/>
            <w:tcBorders>
              <w:top w:val="nil"/>
              <w:left w:val="nil"/>
              <w:bottom w:val="nil"/>
              <w:right w:val="nil"/>
            </w:tcBorders>
            <w:shd w:val="clear" w:color="auto" w:fill="auto"/>
            <w:noWrap/>
            <w:vAlign w:val="center"/>
            <w:hideMark/>
          </w:tcPr>
          <w:p w14:paraId="015E18ED" w14:textId="77777777" w:rsidR="008A1E55" w:rsidRPr="006B42D6" w:rsidRDefault="008A1E55" w:rsidP="00DE248A">
            <w:pPr>
              <w:jc w:val="right"/>
              <w:rPr>
                <w:sz w:val="18"/>
                <w:szCs w:val="18"/>
              </w:rPr>
            </w:pPr>
            <w:r w:rsidRPr="006B42D6">
              <w:rPr>
                <w:sz w:val="18"/>
                <w:szCs w:val="18"/>
              </w:rPr>
              <w:t>17.4</w:t>
            </w:r>
          </w:p>
        </w:tc>
        <w:tc>
          <w:tcPr>
            <w:tcW w:w="1355" w:type="dxa"/>
            <w:gridSpan w:val="2"/>
            <w:tcBorders>
              <w:top w:val="nil"/>
              <w:left w:val="nil"/>
              <w:bottom w:val="nil"/>
              <w:right w:val="nil"/>
            </w:tcBorders>
            <w:shd w:val="clear" w:color="auto" w:fill="auto"/>
            <w:noWrap/>
            <w:vAlign w:val="center"/>
            <w:hideMark/>
          </w:tcPr>
          <w:p w14:paraId="11EEEE74" w14:textId="77777777" w:rsidR="008A1E55" w:rsidRPr="006B42D6" w:rsidRDefault="008A1E55" w:rsidP="00DE248A">
            <w:pPr>
              <w:jc w:val="right"/>
              <w:rPr>
                <w:sz w:val="18"/>
                <w:szCs w:val="18"/>
              </w:rPr>
            </w:pPr>
            <w:r w:rsidRPr="006B42D6">
              <w:rPr>
                <w:sz w:val="18"/>
                <w:szCs w:val="18"/>
              </w:rPr>
              <w:t>3,584</w:t>
            </w:r>
          </w:p>
        </w:tc>
        <w:tc>
          <w:tcPr>
            <w:tcW w:w="1245" w:type="dxa"/>
            <w:tcBorders>
              <w:top w:val="nil"/>
              <w:left w:val="nil"/>
              <w:bottom w:val="nil"/>
              <w:right w:val="nil"/>
            </w:tcBorders>
            <w:shd w:val="clear" w:color="auto" w:fill="auto"/>
            <w:noWrap/>
            <w:vAlign w:val="center"/>
            <w:hideMark/>
          </w:tcPr>
          <w:p w14:paraId="163E8E05" w14:textId="77777777" w:rsidR="008A1E55" w:rsidRPr="006B42D6" w:rsidRDefault="008A1E55" w:rsidP="00DE248A">
            <w:pPr>
              <w:jc w:val="right"/>
              <w:rPr>
                <w:sz w:val="18"/>
                <w:szCs w:val="18"/>
              </w:rPr>
            </w:pPr>
            <w:r w:rsidRPr="006B42D6">
              <w:rPr>
                <w:sz w:val="18"/>
                <w:szCs w:val="18"/>
              </w:rPr>
              <w:t>2.0</w:t>
            </w:r>
          </w:p>
        </w:tc>
      </w:tr>
      <w:tr w:rsidR="008A1E55" w:rsidRPr="006B42D6" w14:paraId="61A4CA3C" w14:textId="77777777" w:rsidTr="00DE248A">
        <w:trPr>
          <w:gridAfter w:val="1"/>
          <w:wAfter w:w="11" w:type="dxa"/>
          <w:trHeight w:val="320"/>
        </w:trPr>
        <w:tc>
          <w:tcPr>
            <w:tcW w:w="1668" w:type="dxa"/>
            <w:tcBorders>
              <w:top w:val="single" w:sz="4" w:space="0" w:color="auto"/>
              <w:left w:val="nil"/>
              <w:bottom w:val="single" w:sz="4" w:space="0" w:color="auto"/>
              <w:right w:val="nil"/>
            </w:tcBorders>
            <w:shd w:val="clear" w:color="auto" w:fill="E2EFD9" w:themeFill="accent6" w:themeFillTint="33"/>
            <w:vAlign w:val="center"/>
            <w:hideMark/>
          </w:tcPr>
          <w:p w14:paraId="056C4A95" w14:textId="77777777" w:rsidR="008A1E55" w:rsidRPr="00143C67" w:rsidRDefault="008A1E55" w:rsidP="00E16CAE">
            <w:pPr>
              <w:rPr>
                <w:b/>
                <w:sz w:val="18"/>
                <w:szCs w:val="18"/>
              </w:rPr>
            </w:pPr>
            <w:r w:rsidRPr="00143C67">
              <w:rPr>
                <w:b/>
                <w:sz w:val="18"/>
                <w:szCs w:val="18"/>
              </w:rPr>
              <w:t>Total</w:t>
            </w:r>
          </w:p>
        </w:tc>
        <w:tc>
          <w:tcPr>
            <w:tcW w:w="1417" w:type="dxa"/>
            <w:tcBorders>
              <w:top w:val="single" w:sz="4" w:space="0" w:color="auto"/>
              <w:left w:val="nil"/>
              <w:bottom w:val="single" w:sz="4" w:space="0" w:color="auto"/>
              <w:right w:val="nil"/>
            </w:tcBorders>
            <w:shd w:val="clear" w:color="auto" w:fill="E2EFD9" w:themeFill="accent6" w:themeFillTint="33"/>
            <w:noWrap/>
            <w:vAlign w:val="center"/>
            <w:hideMark/>
          </w:tcPr>
          <w:p w14:paraId="2675EA81" w14:textId="77777777" w:rsidR="008A1E55" w:rsidRPr="00143C67" w:rsidRDefault="008A1E55" w:rsidP="00DE248A">
            <w:pPr>
              <w:jc w:val="right"/>
              <w:rPr>
                <w:b/>
                <w:sz w:val="18"/>
                <w:szCs w:val="18"/>
              </w:rPr>
            </w:pPr>
            <w:r w:rsidRPr="00143C67">
              <w:rPr>
                <w:b/>
                <w:sz w:val="18"/>
                <w:szCs w:val="18"/>
              </w:rPr>
              <w:t>7,837,399</w:t>
            </w:r>
          </w:p>
        </w:tc>
        <w:tc>
          <w:tcPr>
            <w:tcW w:w="1121" w:type="dxa"/>
            <w:tcBorders>
              <w:top w:val="single" w:sz="4" w:space="0" w:color="auto"/>
              <w:left w:val="nil"/>
              <w:bottom w:val="single" w:sz="4" w:space="0" w:color="auto"/>
              <w:right w:val="nil"/>
            </w:tcBorders>
            <w:shd w:val="clear" w:color="auto" w:fill="E2EFD9" w:themeFill="accent6" w:themeFillTint="33"/>
            <w:noWrap/>
            <w:vAlign w:val="center"/>
            <w:hideMark/>
          </w:tcPr>
          <w:p w14:paraId="14B22F6E" w14:textId="77777777" w:rsidR="008A1E55" w:rsidRPr="00143C67" w:rsidRDefault="008A1E55" w:rsidP="00DE248A">
            <w:pPr>
              <w:jc w:val="right"/>
              <w:rPr>
                <w:b/>
                <w:sz w:val="18"/>
                <w:szCs w:val="18"/>
              </w:rPr>
            </w:pPr>
            <w:r w:rsidRPr="00143C67">
              <w:rPr>
                <w:b/>
                <w:sz w:val="18"/>
                <w:szCs w:val="18"/>
              </w:rPr>
              <w:t>100.0</w:t>
            </w:r>
          </w:p>
        </w:tc>
        <w:tc>
          <w:tcPr>
            <w:tcW w:w="1479" w:type="dxa"/>
            <w:gridSpan w:val="2"/>
            <w:tcBorders>
              <w:top w:val="single" w:sz="4" w:space="0" w:color="auto"/>
              <w:left w:val="nil"/>
              <w:bottom w:val="single" w:sz="4" w:space="0" w:color="auto"/>
              <w:right w:val="nil"/>
            </w:tcBorders>
            <w:shd w:val="clear" w:color="auto" w:fill="E2EFD9" w:themeFill="accent6" w:themeFillTint="33"/>
            <w:noWrap/>
            <w:vAlign w:val="center"/>
            <w:hideMark/>
          </w:tcPr>
          <w:p w14:paraId="12D25D44" w14:textId="77777777" w:rsidR="008A1E55" w:rsidRPr="00143C67" w:rsidRDefault="008A1E55" w:rsidP="00DE248A">
            <w:pPr>
              <w:jc w:val="right"/>
              <w:rPr>
                <w:b/>
                <w:sz w:val="18"/>
                <w:szCs w:val="18"/>
              </w:rPr>
            </w:pPr>
            <w:r w:rsidRPr="00143C67">
              <w:rPr>
                <w:b/>
                <w:sz w:val="18"/>
                <w:szCs w:val="18"/>
              </w:rPr>
              <w:t>7,657,177</w:t>
            </w:r>
          </w:p>
        </w:tc>
        <w:tc>
          <w:tcPr>
            <w:tcW w:w="1121" w:type="dxa"/>
            <w:tcBorders>
              <w:top w:val="single" w:sz="4" w:space="0" w:color="auto"/>
              <w:left w:val="nil"/>
              <w:bottom w:val="single" w:sz="4" w:space="0" w:color="auto"/>
              <w:right w:val="nil"/>
            </w:tcBorders>
            <w:shd w:val="clear" w:color="auto" w:fill="E2EFD9" w:themeFill="accent6" w:themeFillTint="33"/>
            <w:noWrap/>
            <w:vAlign w:val="center"/>
            <w:hideMark/>
          </w:tcPr>
          <w:p w14:paraId="2B50A610" w14:textId="77777777" w:rsidR="008A1E55" w:rsidRPr="00143C67" w:rsidRDefault="008A1E55" w:rsidP="00DE248A">
            <w:pPr>
              <w:jc w:val="right"/>
              <w:rPr>
                <w:b/>
                <w:sz w:val="18"/>
                <w:szCs w:val="18"/>
              </w:rPr>
            </w:pPr>
            <w:r w:rsidRPr="00143C67">
              <w:rPr>
                <w:b/>
                <w:sz w:val="18"/>
                <w:szCs w:val="18"/>
              </w:rPr>
              <w:t>100.0</w:t>
            </w:r>
          </w:p>
        </w:tc>
        <w:tc>
          <w:tcPr>
            <w:tcW w:w="1355" w:type="dxa"/>
            <w:gridSpan w:val="2"/>
            <w:tcBorders>
              <w:top w:val="single" w:sz="4" w:space="0" w:color="auto"/>
              <w:left w:val="nil"/>
              <w:bottom w:val="single" w:sz="4" w:space="0" w:color="auto"/>
              <w:right w:val="nil"/>
            </w:tcBorders>
            <w:shd w:val="clear" w:color="auto" w:fill="E2EFD9" w:themeFill="accent6" w:themeFillTint="33"/>
            <w:noWrap/>
            <w:vAlign w:val="center"/>
            <w:hideMark/>
          </w:tcPr>
          <w:p w14:paraId="4FFF7BAB" w14:textId="77777777" w:rsidR="008A1E55" w:rsidRPr="00143C67" w:rsidRDefault="008A1E55" w:rsidP="00DE248A">
            <w:pPr>
              <w:jc w:val="right"/>
              <w:rPr>
                <w:b/>
                <w:sz w:val="18"/>
                <w:szCs w:val="18"/>
              </w:rPr>
            </w:pPr>
            <w:r w:rsidRPr="00143C67">
              <w:rPr>
                <w:b/>
                <w:sz w:val="18"/>
                <w:szCs w:val="18"/>
              </w:rPr>
              <w:t>180,222</w:t>
            </w:r>
          </w:p>
        </w:tc>
        <w:tc>
          <w:tcPr>
            <w:tcW w:w="1245" w:type="dxa"/>
            <w:tcBorders>
              <w:top w:val="single" w:sz="4" w:space="0" w:color="auto"/>
              <w:left w:val="nil"/>
              <w:bottom w:val="single" w:sz="4" w:space="0" w:color="auto"/>
              <w:right w:val="nil"/>
            </w:tcBorders>
            <w:shd w:val="clear" w:color="auto" w:fill="E2EFD9" w:themeFill="accent6" w:themeFillTint="33"/>
            <w:noWrap/>
            <w:vAlign w:val="center"/>
            <w:hideMark/>
          </w:tcPr>
          <w:p w14:paraId="17383061" w14:textId="77777777" w:rsidR="008A1E55" w:rsidRPr="00143C67" w:rsidRDefault="008A1E55" w:rsidP="00DE248A">
            <w:pPr>
              <w:jc w:val="right"/>
              <w:rPr>
                <w:b/>
                <w:sz w:val="18"/>
                <w:szCs w:val="18"/>
              </w:rPr>
            </w:pPr>
            <w:r w:rsidRPr="00143C67">
              <w:rPr>
                <w:b/>
                <w:sz w:val="18"/>
                <w:szCs w:val="18"/>
              </w:rPr>
              <w:t>100.0</w:t>
            </w:r>
          </w:p>
        </w:tc>
      </w:tr>
    </w:tbl>
    <w:p w14:paraId="09EF4734" w14:textId="77777777" w:rsidR="008A1E55" w:rsidRPr="006B42D6" w:rsidRDefault="008A1E55" w:rsidP="008A1E55"/>
    <w:p w14:paraId="3B8B3C7B" w14:textId="0A574047" w:rsidR="008A1E55" w:rsidRPr="006B42D6" w:rsidRDefault="008A1E55" w:rsidP="008A1E55">
      <w:r w:rsidRPr="006B42D6">
        <w:t xml:space="preserve">The findings further show that, during dry season, majority of households (3,888,479; 49.6 percent) spent less than 10 minutes to and from main source of drinking water in Tanzania while few households (103,915; 1.3 percent), spent 40 to 49 minutes to and from main source of drinking water. In </w:t>
      </w:r>
      <w:r w:rsidR="00EA1552">
        <w:t>Mainland Tanzania</w:t>
      </w:r>
      <w:r w:rsidRPr="006B42D6">
        <w:t xml:space="preserve">, majority of households (3,722,755; 48.6 percent) had been spending less than 10 minutes to and from main source of drinking water and few households (103,915; 1.4 percent) spent 40 to 49 minutes during dry season. In Tanzania Zanzibar, majority of households (165,724; 92.0 percent) spent less than 10 minutes to and from main source of drinking water and few households (1,361; 0.8 percent) spent 20 to 29 minutes (Table </w:t>
      </w:r>
      <w:r w:rsidR="00F83A4C" w:rsidRPr="006B42D6">
        <w:t>6</w:t>
      </w:r>
      <w:r w:rsidRPr="006B42D6">
        <w:t>.20).</w:t>
      </w:r>
    </w:p>
    <w:p w14:paraId="679C0310" w14:textId="77777777" w:rsidR="008A1E55" w:rsidRPr="006B42D6" w:rsidRDefault="008A1E55" w:rsidP="008A1E55"/>
    <w:p w14:paraId="2678AB08" w14:textId="77777777" w:rsidR="00EA010E" w:rsidRPr="006B42D6" w:rsidRDefault="00EA010E">
      <w:pPr>
        <w:rPr>
          <w:b/>
          <w:sz w:val="22"/>
          <w:szCs w:val="22"/>
        </w:rPr>
      </w:pPr>
      <w:r w:rsidRPr="006B42D6">
        <w:rPr>
          <w:b/>
          <w:sz w:val="22"/>
          <w:szCs w:val="22"/>
        </w:rPr>
        <w:br w:type="page"/>
      </w:r>
    </w:p>
    <w:p w14:paraId="7E3F52F8" w14:textId="08DEE0D5" w:rsidR="008A1E55" w:rsidRPr="006B42D6" w:rsidRDefault="008A1E55" w:rsidP="007200F6">
      <w:pPr>
        <w:pStyle w:val="Heading7"/>
      </w:pPr>
      <w:bookmarkStart w:id="885" w:name="_Toc82386255"/>
      <w:r w:rsidRPr="006B42D6">
        <w:lastRenderedPageBreak/>
        <w:t xml:space="preserve">Table </w:t>
      </w:r>
      <w:r w:rsidR="00F83A4C" w:rsidRPr="006B42D6">
        <w:t>6</w:t>
      </w:r>
      <w:r w:rsidRPr="006B42D6">
        <w:t>.20</w:t>
      </w:r>
      <w:r w:rsidR="0024189E">
        <w:t>:</w:t>
      </w:r>
      <w:r w:rsidR="007A288F">
        <w:tab/>
      </w:r>
      <w:r w:rsidRPr="006B42D6">
        <w:t>Number and Percentage of Agricultural Households Reported Time Spent to and from Source of Drinking Water in Dry Season during 2018/19 Agricultural Year, Tanzania</w:t>
      </w:r>
      <w:bookmarkEnd w:id="885"/>
    </w:p>
    <w:tbl>
      <w:tblPr>
        <w:tblW w:w="9394" w:type="dxa"/>
        <w:tblLook w:val="04A0" w:firstRow="1" w:lastRow="0" w:firstColumn="1" w:lastColumn="0" w:noHBand="0" w:noVBand="1"/>
      </w:tblPr>
      <w:tblGrid>
        <w:gridCol w:w="1809"/>
        <w:gridCol w:w="1437"/>
        <w:gridCol w:w="1207"/>
        <w:gridCol w:w="1437"/>
        <w:gridCol w:w="1303"/>
        <w:gridCol w:w="1324"/>
        <w:gridCol w:w="877"/>
      </w:tblGrid>
      <w:tr w:rsidR="00DE248A" w:rsidRPr="006B42D6" w14:paraId="02807D32" w14:textId="77777777" w:rsidTr="004F65CD">
        <w:trPr>
          <w:trHeight w:val="300"/>
        </w:trPr>
        <w:tc>
          <w:tcPr>
            <w:tcW w:w="1809" w:type="dxa"/>
            <w:vMerge w:val="restart"/>
            <w:tcBorders>
              <w:top w:val="single" w:sz="4" w:space="0" w:color="auto"/>
              <w:left w:val="nil"/>
              <w:bottom w:val="single" w:sz="4" w:space="0" w:color="000000"/>
              <w:right w:val="nil"/>
            </w:tcBorders>
            <w:shd w:val="clear" w:color="auto" w:fill="E2EFD9" w:themeFill="accent6" w:themeFillTint="33"/>
            <w:noWrap/>
            <w:vAlign w:val="center"/>
            <w:hideMark/>
          </w:tcPr>
          <w:p w14:paraId="5E5EF532" w14:textId="5A83E076" w:rsidR="008A1E55" w:rsidRPr="006B42D6" w:rsidRDefault="008A1E55" w:rsidP="00E16CAE">
            <w:pPr>
              <w:rPr>
                <w:sz w:val="18"/>
                <w:szCs w:val="18"/>
              </w:rPr>
            </w:pPr>
            <w:r w:rsidRPr="006B42D6">
              <w:rPr>
                <w:sz w:val="18"/>
                <w:szCs w:val="18"/>
              </w:rPr>
              <w:t>Time</w:t>
            </w:r>
            <w:r w:rsidR="00DE248A">
              <w:rPr>
                <w:sz w:val="18"/>
                <w:szCs w:val="18"/>
              </w:rPr>
              <w:t xml:space="preserve"> (Minutes)</w:t>
            </w:r>
            <w:r w:rsidRPr="006B42D6">
              <w:rPr>
                <w:sz w:val="18"/>
                <w:szCs w:val="18"/>
              </w:rPr>
              <w:t xml:space="preserve"> </w:t>
            </w:r>
          </w:p>
        </w:tc>
        <w:tc>
          <w:tcPr>
            <w:tcW w:w="2644" w:type="dxa"/>
            <w:gridSpan w:val="2"/>
            <w:tcBorders>
              <w:top w:val="single" w:sz="4" w:space="0" w:color="auto"/>
              <w:left w:val="nil"/>
              <w:bottom w:val="single" w:sz="4" w:space="0" w:color="auto"/>
              <w:right w:val="nil"/>
            </w:tcBorders>
            <w:shd w:val="clear" w:color="auto" w:fill="E2EFD9" w:themeFill="accent6" w:themeFillTint="33"/>
            <w:noWrap/>
            <w:vAlign w:val="center"/>
            <w:hideMark/>
          </w:tcPr>
          <w:p w14:paraId="7BF157CD" w14:textId="77777777" w:rsidR="008A1E55" w:rsidRPr="006B42D6" w:rsidRDefault="008A1E55" w:rsidP="00E16CAE">
            <w:pPr>
              <w:jc w:val="center"/>
              <w:rPr>
                <w:sz w:val="18"/>
                <w:szCs w:val="18"/>
              </w:rPr>
            </w:pPr>
            <w:r w:rsidRPr="006B42D6">
              <w:rPr>
                <w:sz w:val="18"/>
                <w:szCs w:val="18"/>
              </w:rPr>
              <w:t>Tanzania</w:t>
            </w:r>
          </w:p>
        </w:tc>
        <w:tc>
          <w:tcPr>
            <w:tcW w:w="2740" w:type="dxa"/>
            <w:gridSpan w:val="2"/>
            <w:tcBorders>
              <w:top w:val="single" w:sz="4" w:space="0" w:color="auto"/>
              <w:left w:val="nil"/>
              <w:bottom w:val="single" w:sz="4" w:space="0" w:color="auto"/>
              <w:right w:val="nil"/>
            </w:tcBorders>
            <w:shd w:val="clear" w:color="auto" w:fill="E2EFD9" w:themeFill="accent6" w:themeFillTint="33"/>
            <w:noWrap/>
            <w:vAlign w:val="center"/>
            <w:hideMark/>
          </w:tcPr>
          <w:p w14:paraId="74C24F1A" w14:textId="34CC6641" w:rsidR="008A1E55" w:rsidRPr="006B42D6" w:rsidRDefault="00EA1552" w:rsidP="00E16CAE">
            <w:pPr>
              <w:jc w:val="center"/>
              <w:rPr>
                <w:sz w:val="18"/>
                <w:szCs w:val="18"/>
              </w:rPr>
            </w:pPr>
            <w:r>
              <w:rPr>
                <w:sz w:val="18"/>
                <w:szCs w:val="18"/>
              </w:rPr>
              <w:t>Mainland Tanzania</w:t>
            </w:r>
          </w:p>
        </w:tc>
        <w:tc>
          <w:tcPr>
            <w:tcW w:w="2201" w:type="dxa"/>
            <w:gridSpan w:val="2"/>
            <w:tcBorders>
              <w:top w:val="single" w:sz="4" w:space="0" w:color="auto"/>
              <w:left w:val="nil"/>
              <w:bottom w:val="single" w:sz="4" w:space="0" w:color="auto"/>
              <w:right w:val="nil"/>
            </w:tcBorders>
            <w:shd w:val="clear" w:color="auto" w:fill="E2EFD9" w:themeFill="accent6" w:themeFillTint="33"/>
            <w:noWrap/>
            <w:vAlign w:val="center"/>
            <w:hideMark/>
          </w:tcPr>
          <w:p w14:paraId="5D618D8F" w14:textId="77777777" w:rsidR="008A1E55" w:rsidRPr="006B42D6" w:rsidRDefault="008A1E55" w:rsidP="00E16CAE">
            <w:pPr>
              <w:jc w:val="center"/>
              <w:rPr>
                <w:sz w:val="18"/>
                <w:szCs w:val="18"/>
              </w:rPr>
            </w:pPr>
            <w:r w:rsidRPr="006B42D6">
              <w:rPr>
                <w:sz w:val="18"/>
                <w:szCs w:val="18"/>
              </w:rPr>
              <w:t>Tanzania Zanzibar</w:t>
            </w:r>
          </w:p>
        </w:tc>
      </w:tr>
      <w:tr w:rsidR="00DE248A" w:rsidRPr="006B42D6" w14:paraId="6AF75971" w14:textId="77777777" w:rsidTr="004F65CD">
        <w:trPr>
          <w:trHeight w:val="214"/>
        </w:trPr>
        <w:tc>
          <w:tcPr>
            <w:tcW w:w="1809" w:type="dxa"/>
            <w:vMerge/>
            <w:tcBorders>
              <w:top w:val="single" w:sz="4" w:space="0" w:color="auto"/>
              <w:left w:val="nil"/>
              <w:bottom w:val="single" w:sz="4" w:space="0" w:color="000000"/>
              <w:right w:val="nil"/>
            </w:tcBorders>
            <w:shd w:val="clear" w:color="auto" w:fill="E2EFD9" w:themeFill="accent6" w:themeFillTint="33"/>
            <w:vAlign w:val="center"/>
            <w:hideMark/>
          </w:tcPr>
          <w:p w14:paraId="164F9D44" w14:textId="77777777" w:rsidR="008A1E55" w:rsidRPr="006B42D6" w:rsidRDefault="008A1E55" w:rsidP="00E16CAE">
            <w:pPr>
              <w:rPr>
                <w:sz w:val="18"/>
                <w:szCs w:val="18"/>
              </w:rPr>
            </w:pPr>
          </w:p>
        </w:tc>
        <w:tc>
          <w:tcPr>
            <w:tcW w:w="1437" w:type="dxa"/>
            <w:tcBorders>
              <w:top w:val="single" w:sz="4" w:space="0" w:color="auto"/>
              <w:left w:val="nil"/>
              <w:bottom w:val="single" w:sz="4" w:space="0" w:color="auto"/>
              <w:right w:val="nil"/>
            </w:tcBorders>
            <w:shd w:val="clear" w:color="auto" w:fill="E2EFD9" w:themeFill="accent6" w:themeFillTint="33"/>
            <w:noWrap/>
            <w:vAlign w:val="center"/>
            <w:hideMark/>
          </w:tcPr>
          <w:p w14:paraId="0750F2BB" w14:textId="77777777" w:rsidR="008A1E55" w:rsidRPr="006B42D6" w:rsidRDefault="008A1E55" w:rsidP="00143C67">
            <w:pPr>
              <w:jc w:val="center"/>
              <w:rPr>
                <w:sz w:val="18"/>
                <w:szCs w:val="18"/>
              </w:rPr>
            </w:pPr>
            <w:r w:rsidRPr="006B42D6">
              <w:rPr>
                <w:sz w:val="18"/>
                <w:szCs w:val="18"/>
              </w:rPr>
              <w:t>Number</w:t>
            </w:r>
          </w:p>
        </w:tc>
        <w:tc>
          <w:tcPr>
            <w:tcW w:w="1207" w:type="dxa"/>
            <w:tcBorders>
              <w:top w:val="single" w:sz="4" w:space="0" w:color="auto"/>
              <w:left w:val="nil"/>
              <w:bottom w:val="single" w:sz="4" w:space="0" w:color="auto"/>
              <w:right w:val="nil"/>
            </w:tcBorders>
            <w:shd w:val="clear" w:color="auto" w:fill="E2EFD9" w:themeFill="accent6" w:themeFillTint="33"/>
            <w:noWrap/>
            <w:vAlign w:val="center"/>
            <w:hideMark/>
          </w:tcPr>
          <w:p w14:paraId="477C9CD1" w14:textId="77777777" w:rsidR="008A1E55" w:rsidRPr="006B42D6" w:rsidRDefault="008A1E55" w:rsidP="00143C67">
            <w:pPr>
              <w:jc w:val="center"/>
              <w:rPr>
                <w:sz w:val="18"/>
                <w:szCs w:val="18"/>
              </w:rPr>
            </w:pPr>
            <w:r w:rsidRPr="006B42D6">
              <w:rPr>
                <w:sz w:val="18"/>
                <w:szCs w:val="18"/>
              </w:rPr>
              <w:t>Percent</w:t>
            </w:r>
          </w:p>
        </w:tc>
        <w:tc>
          <w:tcPr>
            <w:tcW w:w="1437" w:type="dxa"/>
            <w:tcBorders>
              <w:top w:val="single" w:sz="4" w:space="0" w:color="auto"/>
              <w:left w:val="nil"/>
              <w:bottom w:val="single" w:sz="4" w:space="0" w:color="auto"/>
              <w:right w:val="nil"/>
            </w:tcBorders>
            <w:shd w:val="clear" w:color="auto" w:fill="E2EFD9" w:themeFill="accent6" w:themeFillTint="33"/>
            <w:noWrap/>
            <w:vAlign w:val="center"/>
            <w:hideMark/>
          </w:tcPr>
          <w:p w14:paraId="1298D033" w14:textId="77777777" w:rsidR="008A1E55" w:rsidRPr="006B42D6" w:rsidRDefault="008A1E55" w:rsidP="00143C67">
            <w:pPr>
              <w:jc w:val="center"/>
              <w:rPr>
                <w:sz w:val="18"/>
                <w:szCs w:val="18"/>
              </w:rPr>
            </w:pPr>
            <w:r w:rsidRPr="006B42D6">
              <w:rPr>
                <w:sz w:val="18"/>
                <w:szCs w:val="18"/>
              </w:rPr>
              <w:t>Number</w:t>
            </w:r>
          </w:p>
        </w:tc>
        <w:tc>
          <w:tcPr>
            <w:tcW w:w="1303" w:type="dxa"/>
            <w:tcBorders>
              <w:top w:val="single" w:sz="4" w:space="0" w:color="auto"/>
              <w:left w:val="nil"/>
              <w:bottom w:val="single" w:sz="4" w:space="0" w:color="auto"/>
              <w:right w:val="nil"/>
            </w:tcBorders>
            <w:shd w:val="clear" w:color="auto" w:fill="E2EFD9" w:themeFill="accent6" w:themeFillTint="33"/>
            <w:noWrap/>
            <w:vAlign w:val="center"/>
            <w:hideMark/>
          </w:tcPr>
          <w:p w14:paraId="0B77F8F1" w14:textId="77777777" w:rsidR="008A1E55" w:rsidRPr="006B42D6" w:rsidRDefault="008A1E55" w:rsidP="00143C67">
            <w:pPr>
              <w:jc w:val="center"/>
              <w:rPr>
                <w:sz w:val="18"/>
                <w:szCs w:val="18"/>
              </w:rPr>
            </w:pPr>
            <w:r w:rsidRPr="006B42D6">
              <w:rPr>
                <w:sz w:val="18"/>
                <w:szCs w:val="18"/>
              </w:rPr>
              <w:t>Percent</w:t>
            </w:r>
          </w:p>
        </w:tc>
        <w:tc>
          <w:tcPr>
            <w:tcW w:w="1324" w:type="dxa"/>
            <w:tcBorders>
              <w:top w:val="single" w:sz="4" w:space="0" w:color="auto"/>
              <w:left w:val="nil"/>
              <w:bottom w:val="single" w:sz="4" w:space="0" w:color="auto"/>
              <w:right w:val="nil"/>
            </w:tcBorders>
            <w:shd w:val="clear" w:color="auto" w:fill="E2EFD9" w:themeFill="accent6" w:themeFillTint="33"/>
            <w:noWrap/>
            <w:vAlign w:val="center"/>
            <w:hideMark/>
          </w:tcPr>
          <w:p w14:paraId="1495E2CF" w14:textId="77777777" w:rsidR="008A1E55" w:rsidRPr="006B42D6" w:rsidRDefault="008A1E55" w:rsidP="00143C67">
            <w:pPr>
              <w:jc w:val="center"/>
              <w:rPr>
                <w:sz w:val="18"/>
                <w:szCs w:val="18"/>
              </w:rPr>
            </w:pPr>
            <w:r w:rsidRPr="006B42D6">
              <w:rPr>
                <w:sz w:val="18"/>
                <w:szCs w:val="18"/>
              </w:rPr>
              <w:t>Number</w:t>
            </w:r>
          </w:p>
        </w:tc>
        <w:tc>
          <w:tcPr>
            <w:tcW w:w="877" w:type="dxa"/>
            <w:tcBorders>
              <w:top w:val="single" w:sz="4" w:space="0" w:color="auto"/>
              <w:left w:val="nil"/>
              <w:bottom w:val="single" w:sz="4" w:space="0" w:color="auto"/>
              <w:right w:val="nil"/>
            </w:tcBorders>
            <w:shd w:val="clear" w:color="auto" w:fill="E2EFD9" w:themeFill="accent6" w:themeFillTint="33"/>
            <w:noWrap/>
            <w:vAlign w:val="center"/>
            <w:hideMark/>
          </w:tcPr>
          <w:p w14:paraId="552AEDF3" w14:textId="77777777" w:rsidR="008A1E55" w:rsidRPr="006B42D6" w:rsidRDefault="008A1E55" w:rsidP="00143C67">
            <w:pPr>
              <w:jc w:val="center"/>
              <w:rPr>
                <w:sz w:val="18"/>
                <w:szCs w:val="18"/>
              </w:rPr>
            </w:pPr>
            <w:r w:rsidRPr="006B42D6">
              <w:rPr>
                <w:sz w:val="18"/>
                <w:szCs w:val="18"/>
              </w:rPr>
              <w:t>Percent</w:t>
            </w:r>
          </w:p>
        </w:tc>
      </w:tr>
      <w:tr w:rsidR="00DE248A" w:rsidRPr="006B42D6" w14:paraId="3CE8685A" w14:textId="77777777" w:rsidTr="00DE248A">
        <w:trPr>
          <w:trHeight w:val="360"/>
        </w:trPr>
        <w:tc>
          <w:tcPr>
            <w:tcW w:w="1809" w:type="dxa"/>
            <w:tcBorders>
              <w:top w:val="nil"/>
              <w:left w:val="nil"/>
              <w:bottom w:val="nil"/>
              <w:right w:val="nil"/>
            </w:tcBorders>
            <w:shd w:val="clear" w:color="auto" w:fill="auto"/>
            <w:vAlign w:val="center"/>
            <w:hideMark/>
          </w:tcPr>
          <w:p w14:paraId="2E2F3FE9" w14:textId="1046ECE8" w:rsidR="008A1E55" w:rsidRPr="006B42D6" w:rsidRDefault="008A1E55" w:rsidP="00E16CAE">
            <w:pPr>
              <w:rPr>
                <w:sz w:val="18"/>
                <w:szCs w:val="18"/>
              </w:rPr>
            </w:pPr>
            <w:r w:rsidRPr="006B42D6">
              <w:rPr>
                <w:sz w:val="18"/>
                <w:szCs w:val="18"/>
              </w:rPr>
              <w:t xml:space="preserve">Less than10 </w:t>
            </w:r>
          </w:p>
        </w:tc>
        <w:tc>
          <w:tcPr>
            <w:tcW w:w="1437" w:type="dxa"/>
            <w:tcBorders>
              <w:top w:val="nil"/>
              <w:left w:val="nil"/>
              <w:bottom w:val="nil"/>
              <w:right w:val="nil"/>
            </w:tcBorders>
            <w:shd w:val="clear" w:color="auto" w:fill="auto"/>
            <w:noWrap/>
            <w:vAlign w:val="center"/>
            <w:hideMark/>
          </w:tcPr>
          <w:p w14:paraId="65B38ADC" w14:textId="77777777" w:rsidR="008A1E55" w:rsidRPr="006B42D6" w:rsidRDefault="008A1E55" w:rsidP="00E16CAE">
            <w:pPr>
              <w:jc w:val="right"/>
              <w:rPr>
                <w:sz w:val="18"/>
                <w:szCs w:val="18"/>
              </w:rPr>
            </w:pPr>
            <w:r w:rsidRPr="006B42D6">
              <w:rPr>
                <w:sz w:val="18"/>
                <w:szCs w:val="18"/>
              </w:rPr>
              <w:t>3,888,479</w:t>
            </w:r>
          </w:p>
        </w:tc>
        <w:tc>
          <w:tcPr>
            <w:tcW w:w="1207" w:type="dxa"/>
            <w:tcBorders>
              <w:top w:val="nil"/>
              <w:left w:val="nil"/>
              <w:bottom w:val="nil"/>
              <w:right w:val="nil"/>
            </w:tcBorders>
            <w:shd w:val="clear" w:color="auto" w:fill="auto"/>
            <w:noWrap/>
            <w:vAlign w:val="center"/>
            <w:hideMark/>
          </w:tcPr>
          <w:p w14:paraId="33E3031F" w14:textId="77777777" w:rsidR="008A1E55" w:rsidRPr="006B42D6" w:rsidRDefault="008A1E55" w:rsidP="00E16CAE">
            <w:pPr>
              <w:jc w:val="right"/>
              <w:rPr>
                <w:sz w:val="18"/>
                <w:szCs w:val="18"/>
              </w:rPr>
            </w:pPr>
            <w:r w:rsidRPr="006B42D6">
              <w:rPr>
                <w:sz w:val="18"/>
                <w:szCs w:val="18"/>
              </w:rPr>
              <w:t>49.6</w:t>
            </w:r>
          </w:p>
        </w:tc>
        <w:tc>
          <w:tcPr>
            <w:tcW w:w="1437" w:type="dxa"/>
            <w:tcBorders>
              <w:top w:val="nil"/>
              <w:left w:val="nil"/>
              <w:bottom w:val="nil"/>
              <w:right w:val="nil"/>
            </w:tcBorders>
            <w:shd w:val="clear" w:color="auto" w:fill="auto"/>
            <w:noWrap/>
            <w:vAlign w:val="center"/>
            <w:hideMark/>
          </w:tcPr>
          <w:p w14:paraId="26FB9700" w14:textId="77777777" w:rsidR="008A1E55" w:rsidRPr="006B42D6" w:rsidRDefault="008A1E55" w:rsidP="00E16CAE">
            <w:pPr>
              <w:jc w:val="right"/>
              <w:rPr>
                <w:sz w:val="18"/>
                <w:szCs w:val="18"/>
              </w:rPr>
            </w:pPr>
            <w:r w:rsidRPr="006B42D6">
              <w:rPr>
                <w:sz w:val="18"/>
                <w:szCs w:val="18"/>
              </w:rPr>
              <w:t>3,722,755</w:t>
            </w:r>
          </w:p>
        </w:tc>
        <w:tc>
          <w:tcPr>
            <w:tcW w:w="1303" w:type="dxa"/>
            <w:tcBorders>
              <w:top w:val="nil"/>
              <w:left w:val="nil"/>
              <w:bottom w:val="nil"/>
              <w:right w:val="nil"/>
            </w:tcBorders>
            <w:shd w:val="clear" w:color="auto" w:fill="auto"/>
            <w:noWrap/>
            <w:vAlign w:val="center"/>
            <w:hideMark/>
          </w:tcPr>
          <w:p w14:paraId="1CDCB391" w14:textId="77777777" w:rsidR="008A1E55" w:rsidRPr="006B42D6" w:rsidRDefault="008A1E55" w:rsidP="00E16CAE">
            <w:pPr>
              <w:jc w:val="right"/>
              <w:rPr>
                <w:sz w:val="18"/>
                <w:szCs w:val="18"/>
              </w:rPr>
            </w:pPr>
            <w:r w:rsidRPr="006B42D6">
              <w:rPr>
                <w:sz w:val="18"/>
                <w:szCs w:val="18"/>
              </w:rPr>
              <w:t>48.6</w:t>
            </w:r>
          </w:p>
        </w:tc>
        <w:tc>
          <w:tcPr>
            <w:tcW w:w="1324" w:type="dxa"/>
            <w:tcBorders>
              <w:top w:val="nil"/>
              <w:left w:val="nil"/>
              <w:bottom w:val="nil"/>
              <w:right w:val="nil"/>
            </w:tcBorders>
            <w:shd w:val="clear" w:color="auto" w:fill="auto"/>
            <w:noWrap/>
            <w:vAlign w:val="center"/>
            <w:hideMark/>
          </w:tcPr>
          <w:p w14:paraId="59E18FF9" w14:textId="77777777" w:rsidR="008A1E55" w:rsidRPr="006B42D6" w:rsidRDefault="008A1E55" w:rsidP="00E16CAE">
            <w:pPr>
              <w:jc w:val="right"/>
              <w:rPr>
                <w:sz w:val="18"/>
                <w:szCs w:val="18"/>
              </w:rPr>
            </w:pPr>
            <w:r w:rsidRPr="006B42D6">
              <w:rPr>
                <w:sz w:val="18"/>
                <w:szCs w:val="18"/>
              </w:rPr>
              <w:t>165,724</w:t>
            </w:r>
          </w:p>
        </w:tc>
        <w:tc>
          <w:tcPr>
            <w:tcW w:w="877" w:type="dxa"/>
            <w:tcBorders>
              <w:top w:val="nil"/>
              <w:left w:val="nil"/>
              <w:bottom w:val="nil"/>
              <w:right w:val="nil"/>
            </w:tcBorders>
            <w:shd w:val="clear" w:color="auto" w:fill="auto"/>
            <w:noWrap/>
            <w:vAlign w:val="center"/>
            <w:hideMark/>
          </w:tcPr>
          <w:p w14:paraId="3D5D3C8B" w14:textId="77777777" w:rsidR="008A1E55" w:rsidRPr="006B42D6" w:rsidRDefault="008A1E55" w:rsidP="00E16CAE">
            <w:pPr>
              <w:jc w:val="right"/>
              <w:rPr>
                <w:sz w:val="18"/>
                <w:szCs w:val="18"/>
              </w:rPr>
            </w:pPr>
            <w:r w:rsidRPr="006B42D6">
              <w:rPr>
                <w:sz w:val="18"/>
                <w:szCs w:val="18"/>
              </w:rPr>
              <w:t>92.0</w:t>
            </w:r>
          </w:p>
        </w:tc>
      </w:tr>
      <w:tr w:rsidR="00DE248A" w:rsidRPr="006B42D6" w14:paraId="0193253D" w14:textId="77777777" w:rsidTr="00DE248A">
        <w:trPr>
          <w:trHeight w:val="360"/>
        </w:trPr>
        <w:tc>
          <w:tcPr>
            <w:tcW w:w="1809" w:type="dxa"/>
            <w:tcBorders>
              <w:top w:val="nil"/>
              <w:left w:val="nil"/>
              <w:bottom w:val="nil"/>
              <w:right w:val="nil"/>
            </w:tcBorders>
            <w:shd w:val="clear" w:color="auto" w:fill="auto"/>
            <w:vAlign w:val="center"/>
            <w:hideMark/>
          </w:tcPr>
          <w:p w14:paraId="3AF825F4" w14:textId="77777777" w:rsidR="008A1E55" w:rsidRPr="006B42D6" w:rsidRDefault="008A1E55" w:rsidP="00E16CAE">
            <w:pPr>
              <w:rPr>
                <w:sz w:val="18"/>
                <w:szCs w:val="18"/>
              </w:rPr>
            </w:pPr>
            <w:r w:rsidRPr="006B42D6">
              <w:rPr>
                <w:sz w:val="18"/>
                <w:szCs w:val="18"/>
              </w:rPr>
              <w:t>10.00 - 19.00</w:t>
            </w:r>
          </w:p>
        </w:tc>
        <w:tc>
          <w:tcPr>
            <w:tcW w:w="1437" w:type="dxa"/>
            <w:tcBorders>
              <w:top w:val="nil"/>
              <w:left w:val="nil"/>
              <w:bottom w:val="nil"/>
              <w:right w:val="nil"/>
            </w:tcBorders>
            <w:shd w:val="clear" w:color="auto" w:fill="auto"/>
            <w:noWrap/>
            <w:vAlign w:val="center"/>
            <w:hideMark/>
          </w:tcPr>
          <w:p w14:paraId="5CD4D2A3" w14:textId="77777777" w:rsidR="008A1E55" w:rsidRPr="006B42D6" w:rsidRDefault="008A1E55" w:rsidP="00E16CAE">
            <w:pPr>
              <w:jc w:val="right"/>
              <w:rPr>
                <w:sz w:val="18"/>
                <w:szCs w:val="18"/>
              </w:rPr>
            </w:pPr>
            <w:r w:rsidRPr="006B42D6">
              <w:rPr>
                <w:sz w:val="18"/>
                <w:szCs w:val="18"/>
              </w:rPr>
              <w:t>475,658</w:t>
            </w:r>
          </w:p>
        </w:tc>
        <w:tc>
          <w:tcPr>
            <w:tcW w:w="1207" w:type="dxa"/>
            <w:tcBorders>
              <w:top w:val="nil"/>
              <w:left w:val="nil"/>
              <w:bottom w:val="nil"/>
              <w:right w:val="nil"/>
            </w:tcBorders>
            <w:shd w:val="clear" w:color="auto" w:fill="auto"/>
            <w:noWrap/>
            <w:vAlign w:val="center"/>
            <w:hideMark/>
          </w:tcPr>
          <w:p w14:paraId="6BA19E9D" w14:textId="77777777" w:rsidR="008A1E55" w:rsidRPr="006B42D6" w:rsidRDefault="008A1E55" w:rsidP="00E16CAE">
            <w:pPr>
              <w:jc w:val="right"/>
              <w:rPr>
                <w:sz w:val="18"/>
                <w:szCs w:val="18"/>
              </w:rPr>
            </w:pPr>
            <w:r w:rsidRPr="006B42D6">
              <w:rPr>
                <w:sz w:val="18"/>
                <w:szCs w:val="18"/>
              </w:rPr>
              <w:t>6.1</w:t>
            </w:r>
          </w:p>
        </w:tc>
        <w:tc>
          <w:tcPr>
            <w:tcW w:w="1437" w:type="dxa"/>
            <w:tcBorders>
              <w:top w:val="nil"/>
              <w:left w:val="nil"/>
              <w:bottom w:val="nil"/>
              <w:right w:val="nil"/>
            </w:tcBorders>
            <w:shd w:val="clear" w:color="auto" w:fill="auto"/>
            <w:noWrap/>
            <w:vAlign w:val="center"/>
            <w:hideMark/>
          </w:tcPr>
          <w:p w14:paraId="324EE05A" w14:textId="77777777" w:rsidR="008A1E55" w:rsidRPr="006B42D6" w:rsidRDefault="008A1E55" w:rsidP="00E16CAE">
            <w:pPr>
              <w:jc w:val="right"/>
              <w:rPr>
                <w:sz w:val="18"/>
                <w:szCs w:val="18"/>
              </w:rPr>
            </w:pPr>
            <w:r w:rsidRPr="006B42D6">
              <w:rPr>
                <w:sz w:val="18"/>
                <w:szCs w:val="18"/>
              </w:rPr>
              <w:t>471,719</w:t>
            </w:r>
          </w:p>
        </w:tc>
        <w:tc>
          <w:tcPr>
            <w:tcW w:w="1303" w:type="dxa"/>
            <w:tcBorders>
              <w:top w:val="nil"/>
              <w:left w:val="nil"/>
              <w:bottom w:val="nil"/>
              <w:right w:val="nil"/>
            </w:tcBorders>
            <w:shd w:val="clear" w:color="auto" w:fill="auto"/>
            <w:noWrap/>
            <w:vAlign w:val="center"/>
            <w:hideMark/>
          </w:tcPr>
          <w:p w14:paraId="1701A527" w14:textId="77777777" w:rsidR="008A1E55" w:rsidRPr="006B42D6" w:rsidRDefault="008A1E55" w:rsidP="00E16CAE">
            <w:pPr>
              <w:jc w:val="right"/>
              <w:rPr>
                <w:sz w:val="18"/>
                <w:szCs w:val="18"/>
              </w:rPr>
            </w:pPr>
            <w:r w:rsidRPr="006B42D6">
              <w:rPr>
                <w:sz w:val="18"/>
                <w:szCs w:val="18"/>
              </w:rPr>
              <w:t>6.2</w:t>
            </w:r>
          </w:p>
        </w:tc>
        <w:tc>
          <w:tcPr>
            <w:tcW w:w="1324" w:type="dxa"/>
            <w:tcBorders>
              <w:top w:val="nil"/>
              <w:left w:val="nil"/>
              <w:bottom w:val="nil"/>
              <w:right w:val="nil"/>
            </w:tcBorders>
            <w:shd w:val="clear" w:color="auto" w:fill="auto"/>
            <w:noWrap/>
            <w:vAlign w:val="center"/>
            <w:hideMark/>
          </w:tcPr>
          <w:p w14:paraId="35299572" w14:textId="77777777" w:rsidR="008A1E55" w:rsidRPr="006B42D6" w:rsidRDefault="008A1E55" w:rsidP="00E16CAE">
            <w:pPr>
              <w:jc w:val="right"/>
              <w:rPr>
                <w:sz w:val="18"/>
                <w:szCs w:val="18"/>
              </w:rPr>
            </w:pPr>
            <w:r w:rsidRPr="006B42D6">
              <w:rPr>
                <w:sz w:val="18"/>
                <w:szCs w:val="18"/>
              </w:rPr>
              <w:t>3,939</w:t>
            </w:r>
          </w:p>
        </w:tc>
        <w:tc>
          <w:tcPr>
            <w:tcW w:w="877" w:type="dxa"/>
            <w:tcBorders>
              <w:top w:val="nil"/>
              <w:left w:val="nil"/>
              <w:bottom w:val="nil"/>
              <w:right w:val="nil"/>
            </w:tcBorders>
            <w:shd w:val="clear" w:color="auto" w:fill="auto"/>
            <w:noWrap/>
            <w:vAlign w:val="center"/>
            <w:hideMark/>
          </w:tcPr>
          <w:p w14:paraId="17570CCF" w14:textId="77777777" w:rsidR="008A1E55" w:rsidRPr="006B42D6" w:rsidRDefault="008A1E55" w:rsidP="00E16CAE">
            <w:pPr>
              <w:jc w:val="right"/>
              <w:rPr>
                <w:sz w:val="18"/>
                <w:szCs w:val="18"/>
              </w:rPr>
            </w:pPr>
            <w:r w:rsidRPr="006B42D6">
              <w:rPr>
                <w:sz w:val="18"/>
                <w:szCs w:val="18"/>
              </w:rPr>
              <w:t>2.2</w:t>
            </w:r>
          </w:p>
        </w:tc>
      </w:tr>
      <w:tr w:rsidR="00DE248A" w:rsidRPr="006B42D6" w14:paraId="4EC75BF3" w14:textId="77777777" w:rsidTr="00DE248A">
        <w:trPr>
          <w:trHeight w:val="360"/>
        </w:trPr>
        <w:tc>
          <w:tcPr>
            <w:tcW w:w="1809" w:type="dxa"/>
            <w:tcBorders>
              <w:top w:val="nil"/>
              <w:left w:val="nil"/>
              <w:bottom w:val="nil"/>
              <w:right w:val="nil"/>
            </w:tcBorders>
            <w:shd w:val="clear" w:color="auto" w:fill="auto"/>
            <w:vAlign w:val="center"/>
            <w:hideMark/>
          </w:tcPr>
          <w:p w14:paraId="050845F1" w14:textId="77777777" w:rsidR="008A1E55" w:rsidRPr="006B42D6" w:rsidRDefault="008A1E55" w:rsidP="00E16CAE">
            <w:pPr>
              <w:rPr>
                <w:sz w:val="18"/>
                <w:szCs w:val="18"/>
              </w:rPr>
            </w:pPr>
            <w:r w:rsidRPr="006B42D6">
              <w:rPr>
                <w:sz w:val="18"/>
                <w:szCs w:val="18"/>
              </w:rPr>
              <w:t>20.00 - 29.00</w:t>
            </w:r>
          </w:p>
        </w:tc>
        <w:tc>
          <w:tcPr>
            <w:tcW w:w="1437" w:type="dxa"/>
            <w:tcBorders>
              <w:top w:val="nil"/>
              <w:left w:val="nil"/>
              <w:bottom w:val="nil"/>
              <w:right w:val="nil"/>
            </w:tcBorders>
            <w:shd w:val="clear" w:color="auto" w:fill="auto"/>
            <w:noWrap/>
            <w:vAlign w:val="center"/>
            <w:hideMark/>
          </w:tcPr>
          <w:p w14:paraId="296FEB8C" w14:textId="77777777" w:rsidR="008A1E55" w:rsidRPr="006B42D6" w:rsidRDefault="008A1E55" w:rsidP="00E16CAE">
            <w:pPr>
              <w:jc w:val="right"/>
              <w:rPr>
                <w:sz w:val="18"/>
                <w:szCs w:val="18"/>
              </w:rPr>
            </w:pPr>
            <w:r w:rsidRPr="006B42D6">
              <w:rPr>
                <w:sz w:val="18"/>
                <w:szCs w:val="18"/>
              </w:rPr>
              <w:t>349,394</w:t>
            </w:r>
          </w:p>
        </w:tc>
        <w:tc>
          <w:tcPr>
            <w:tcW w:w="1207" w:type="dxa"/>
            <w:tcBorders>
              <w:top w:val="nil"/>
              <w:left w:val="nil"/>
              <w:bottom w:val="nil"/>
              <w:right w:val="nil"/>
            </w:tcBorders>
            <w:shd w:val="clear" w:color="auto" w:fill="auto"/>
            <w:noWrap/>
            <w:vAlign w:val="center"/>
            <w:hideMark/>
          </w:tcPr>
          <w:p w14:paraId="45AC134A" w14:textId="77777777" w:rsidR="008A1E55" w:rsidRPr="006B42D6" w:rsidRDefault="008A1E55" w:rsidP="00E16CAE">
            <w:pPr>
              <w:jc w:val="right"/>
              <w:rPr>
                <w:sz w:val="18"/>
                <w:szCs w:val="18"/>
              </w:rPr>
            </w:pPr>
            <w:r w:rsidRPr="006B42D6">
              <w:rPr>
                <w:sz w:val="18"/>
                <w:szCs w:val="18"/>
              </w:rPr>
              <w:t>4.5</w:t>
            </w:r>
          </w:p>
        </w:tc>
        <w:tc>
          <w:tcPr>
            <w:tcW w:w="1437" w:type="dxa"/>
            <w:tcBorders>
              <w:top w:val="nil"/>
              <w:left w:val="nil"/>
              <w:bottom w:val="nil"/>
              <w:right w:val="nil"/>
            </w:tcBorders>
            <w:shd w:val="clear" w:color="auto" w:fill="auto"/>
            <w:noWrap/>
            <w:vAlign w:val="center"/>
            <w:hideMark/>
          </w:tcPr>
          <w:p w14:paraId="756CC5A0" w14:textId="77777777" w:rsidR="008A1E55" w:rsidRPr="006B42D6" w:rsidRDefault="008A1E55" w:rsidP="00E16CAE">
            <w:pPr>
              <w:jc w:val="right"/>
              <w:rPr>
                <w:sz w:val="18"/>
                <w:szCs w:val="18"/>
              </w:rPr>
            </w:pPr>
            <w:r w:rsidRPr="006B42D6">
              <w:rPr>
                <w:sz w:val="18"/>
                <w:szCs w:val="18"/>
              </w:rPr>
              <w:t>348,033</w:t>
            </w:r>
          </w:p>
        </w:tc>
        <w:tc>
          <w:tcPr>
            <w:tcW w:w="1303" w:type="dxa"/>
            <w:tcBorders>
              <w:top w:val="nil"/>
              <w:left w:val="nil"/>
              <w:bottom w:val="nil"/>
              <w:right w:val="nil"/>
            </w:tcBorders>
            <w:shd w:val="clear" w:color="auto" w:fill="auto"/>
            <w:noWrap/>
            <w:vAlign w:val="center"/>
            <w:hideMark/>
          </w:tcPr>
          <w:p w14:paraId="68E67512" w14:textId="77777777" w:rsidR="008A1E55" w:rsidRPr="006B42D6" w:rsidRDefault="008A1E55" w:rsidP="00E16CAE">
            <w:pPr>
              <w:jc w:val="right"/>
              <w:rPr>
                <w:sz w:val="18"/>
                <w:szCs w:val="18"/>
              </w:rPr>
            </w:pPr>
            <w:r w:rsidRPr="006B42D6">
              <w:rPr>
                <w:sz w:val="18"/>
                <w:szCs w:val="18"/>
              </w:rPr>
              <w:t>4.5</w:t>
            </w:r>
          </w:p>
        </w:tc>
        <w:tc>
          <w:tcPr>
            <w:tcW w:w="1324" w:type="dxa"/>
            <w:tcBorders>
              <w:top w:val="nil"/>
              <w:left w:val="nil"/>
              <w:bottom w:val="nil"/>
              <w:right w:val="nil"/>
            </w:tcBorders>
            <w:shd w:val="clear" w:color="auto" w:fill="auto"/>
            <w:noWrap/>
            <w:vAlign w:val="center"/>
            <w:hideMark/>
          </w:tcPr>
          <w:p w14:paraId="6C262DBF" w14:textId="77777777" w:rsidR="008A1E55" w:rsidRPr="006B42D6" w:rsidRDefault="008A1E55" w:rsidP="00E16CAE">
            <w:pPr>
              <w:jc w:val="right"/>
              <w:rPr>
                <w:sz w:val="18"/>
                <w:szCs w:val="18"/>
              </w:rPr>
            </w:pPr>
            <w:r w:rsidRPr="006B42D6">
              <w:rPr>
                <w:sz w:val="18"/>
                <w:szCs w:val="18"/>
              </w:rPr>
              <w:t>1,361</w:t>
            </w:r>
          </w:p>
        </w:tc>
        <w:tc>
          <w:tcPr>
            <w:tcW w:w="877" w:type="dxa"/>
            <w:tcBorders>
              <w:top w:val="nil"/>
              <w:left w:val="nil"/>
              <w:bottom w:val="nil"/>
              <w:right w:val="nil"/>
            </w:tcBorders>
            <w:shd w:val="clear" w:color="auto" w:fill="auto"/>
            <w:noWrap/>
            <w:vAlign w:val="center"/>
            <w:hideMark/>
          </w:tcPr>
          <w:p w14:paraId="0FB5DC0B" w14:textId="77777777" w:rsidR="008A1E55" w:rsidRPr="006B42D6" w:rsidRDefault="008A1E55" w:rsidP="00E16CAE">
            <w:pPr>
              <w:jc w:val="right"/>
              <w:rPr>
                <w:sz w:val="18"/>
                <w:szCs w:val="18"/>
              </w:rPr>
            </w:pPr>
            <w:r w:rsidRPr="006B42D6">
              <w:rPr>
                <w:sz w:val="18"/>
                <w:szCs w:val="18"/>
              </w:rPr>
              <w:t>0.8</w:t>
            </w:r>
          </w:p>
        </w:tc>
      </w:tr>
      <w:tr w:rsidR="00DE248A" w:rsidRPr="006B42D6" w14:paraId="76ECB8BD" w14:textId="77777777" w:rsidTr="00DE248A">
        <w:trPr>
          <w:trHeight w:val="360"/>
        </w:trPr>
        <w:tc>
          <w:tcPr>
            <w:tcW w:w="1809" w:type="dxa"/>
            <w:tcBorders>
              <w:top w:val="nil"/>
              <w:left w:val="nil"/>
              <w:bottom w:val="nil"/>
              <w:right w:val="nil"/>
            </w:tcBorders>
            <w:shd w:val="clear" w:color="auto" w:fill="auto"/>
            <w:vAlign w:val="center"/>
            <w:hideMark/>
          </w:tcPr>
          <w:p w14:paraId="511F5DD5" w14:textId="77777777" w:rsidR="008A1E55" w:rsidRPr="006B42D6" w:rsidRDefault="008A1E55" w:rsidP="00E16CAE">
            <w:pPr>
              <w:rPr>
                <w:sz w:val="18"/>
                <w:szCs w:val="18"/>
              </w:rPr>
            </w:pPr>
            <w:r w:rsidRPr="006B42D6">
              <w:rPr>
                <w:sz w:val="18"/>
                <w:szCs w:val="18"/>
              </w:rPr>
              <w:t>30.00 - 39.00</w:t>
            </w:r>
          </w:p>
        </w:tc>
        <w:tc>
          <w:tcPr>
            <w:tcW w:w="1437" w:type="dxa"/>
            <w:tcBorders>
              <w:top w:val="nil"/>
              <w:left w:val="nil"/>
              <w:bottom w:val="nil"/>
              <w:right w:val="nil"/>
            </w:tcBorders>
            <w:shd w:val="clear" w:color="auto" w:fill="auto"/>
            <w:noWrap/>
            <w:vAlign w:val="center"/>
            <w:hideMark/>
          </w:tcPr>
          <w:p w14:paraId="3B5F8514" w14:textId="77777777" w:rsidR="008A1E55" w:rsidRPr="006B42D6" w:rsidRDefault="008A1E55" w:rsidP="00E16CAE">
            <w:pPr>
              <w:jc w:val="right"/>
              <w:rPr>
                <w:sz w:val="18"/>
                <w:szCs w:val="18"/>
              </w:rPr>
            </w:pPr>
            <w:r w:rsidRPr="006B42D6">
              <w:rPr>
                <w:sz w:val="18"/>
                <w:szCs w:val="18"/>
              </w:rPr>
              <w:t>474,412</w:t>
            </w:r>
          </w:p>
        </w:tc>
        <w:tc>
          <w:tcPr>
            <w:tcW w:w="1207" w:type="dxa"/>
            <w:tcBorders>
              <w:top w:val="nil"/>
              <w:left w:val="nil"/>
              <w:bottom w:val="nil"/>
              <w:right w:val="nil"/>
            </w:tcBorders>
            <w:shd w:val="clear" w:color="auto" w:fill="auto"/>
            <w:noWrap/>
            <w:vAlign w:val="center"/>
            <w:hideMark/>
          </w:tcPr>
          <w:p w14:paraId="5A811BCB" w14:textId="77777777" w:rsidR="008A1E55" w:rsidRPr="006B42D6" w:rsidRDefault="008A1E55" w:rsidP="00E16CAE">
            <w:pPr>
              <w:jc w:val="right"/>
              <w:rPr>
                <w:sz w:val="18"/>
                <w:szCs w:val="18"/>
              </w:rPr>
            </w:pPr>
            <w:r w:rsidRPr="006B42D6">
              <w:rPr>
                <w:sz w:val="18"/>
                <w:szCs w:val="18"/>
              </w:rPr>
              <w:t>6.1</w:t>
            </w:r>
          </w:p>
        </w:tc>
        <w:tc>
          <w:tcPr>
            <w:tcW w:w="1437" w:type="dxa"/>
            <w:tcBorders>
              <w:top w:val="nil"/>
              <w:left w:val="nil"/>
              <w:bottom w:val="nil"/>
              <w:right w:val="nil"/>
            </w:tcBorders>
            <w:shd w:val="clear" w:color="auto" w:fill="auto"/>
            <w:noWrap/>
            <w:vAlign w:val="center"/>
            <w:hideMark/>
          </w:tcPr>
          <w:p w14:paraId="2614182F" w14:textId="77777777" w:rsidR="008A1E55" w:rsidRPr="006B42D6" w:rsidRDefault="008A1E55" w:rsidP="00E16CAE">
            <w:pPr>
              <w:jc w:val="right"/>
              <w:rPr>
                <w:sz w:val="18"/>
                <w:szCs w:val="18"/>
              </w:rPr>
            </w:pPr>
            <w:r w:rsidRPr="006B42D6">
              <w:rPr>
                <w:sz w:val="18"/>
                <w:szCs w:val="18"/>
              </w:rPr>
              <w:t>472,632</w:t>
            </w:r>
          </w:p>
        </w:tc>
        <w:tc>
          <w:tcPr>
            <w:tcW w:w="1303" w:type="dxa"/>
            <w:tcBorders>
              <w:top w:val="nil"/>
              <w:left w:val="nil"/>
              <w:bottom w:val="nil"/>
              <w:right w:val="nil"/>
            </w:tcBorders>
            <w:shd w:val="clear" w:color="auto" w:fill="auto"/>
            <w:noWrap/>
            <w:vAlign w:val="center"/>
            <w:hideMark/>
          </w:tcPr>
          <w:p w14:paraId="6BF089F4" w14:textId="77777777" w:rsidR="008A1E55" w:rsidRPr="006B42D6" w:rsidRDefault="008A1E55" w:rsidP="00E16CAE">
            <w:pPr>
              <w:jc w:val="right"/>
              <w:rPr>
                <w:sz w:val="18"/>
                <w:szCs w:val="18"/>
              </w:rPr>
            </w:pPr>
            <w:r w:rsidRPr="006B42D6">
              <w:rPr>
                <w:sz w:val="18"/>
                <w:szCs w:val="18"/>
              </w:rPr>
              <w:t>6.2</w:t>
            </w:r>
          </w:p>
        </w:tc>
        <w:tc>
          <w:tcPr>
            <w:tcW w:w="1324" w:type="dxa"/>
            <w:tcBorders>
              <w:top w:val="nil"/>
              <w:left w:val="nil"/>
              <w:bottom w:val="nil"/>
              <w:right w:val="nil"/>
            </w:tcBorders>
            <w:shd w:val="clear" w:color="auto" w:fill="auto"/>
            <w:noWrap/>
            <w:vAlign w:val="center"/>
            <w:hideMark/>
          </w:tcPr>
          <w:p w14:paraId="05E94F67" w14:textId="77777777" w:rsidR="008A1E55" w:rsidRPr="006B42D6" w:rsidRDefault="008A1E55" w:rsidP="00E16CAE">
            <w:pPr>
              <w:jc w:val="right"/>
              <w:rPr>
                <w:sz w:val="18"/>
                <w:szCs w:val="18"/>
              </w:rPr>
            </w:pPr>
            <w:r w:rsidRPr="006B42D6">
              <w:rPr>
                <w:sz w:val="18"/>
                <w:szCs w:val="18"/>
              </w:rPr>
              <w:t>1,780</w:t>
            </w:r>
          </w:p>
        </w:tc>
        <w:tc>
          <w:tcPr>
            <w:tcW w:w="877" w:type="dxa"/>
            <w:tcBorders>
              <w:top w:val="nil"/>
              <w:left w:val="nil"/>
              <w:bottom w:val="nil"/>
              <w:right w:val="nil"/>
            </w:tcBorders>
            <w:shd w:val="clear" w:color="auto" w:fill="auto"/>
            <w:noWrap/>
            <w:vAlign w:val="center"/>
            <w:hideMark/>
          </w:tcPr>
          <w:p w14:paraId="6297DC56" w14:textId="77777777" w:rsidR="008A1E55" w:rsidRPr="006B42D6" w:rsidRDefault="008A1E55" w:rsidP="00E16CAE">
            <w:pPr>
              <w:jc w:val="right"/>
              <w:rPr>
                <w:sz w:val="18"/>
                <w:szCs w:val="18"/>
              </w:rPr>
            </w:pPr>
            <w:r w:rsidRPr="006B42D6">
              <w:rPr>
                <w:sz w:val="18"/>
                <w:szCs w:val="18"/>
              </w:rPr>
              <w:t>1.0</w:t>
            </w:r>
          </w:p>
        </w:tc>
      </w:tr>
      <w:tr w:rsidR="00DE248A" w:rsidRPr="006B42D6" w14:paraId="5070DB54" w14:textId="77777777" w:rsidTr="00DE248A">
        <w:trPr>
          <w:trHeight w:val="360"/>
        </w:trPr>
        <w:tc>
          <w:tcPr>
            <w:tcW w:w="1809" w:type="dxa"/>
            <w:tcBorders>
              <w:top w:val="nil"/>
              <w:left w:val="nil"/>
              <w:bottom w:val="nil"/>
              <w:right w:val="nil"/>
            </w:tcBorders>
            <w:shd w:val="clear" w:color="auto" w:fill="auto"/>
            <w:vAlign w:val="center"/>
            <w:hideMark/>
          </w:tcPr>
          <w:p w14:paraId="72782145" w14:textId="77777777" w:rsidR="008A1E55" w:rsidRPr="006B42D6" w:rsidRDefault="008A1E55" w:rsidP="00E16CAE">
            <w:pPr>
              <w:rPr>
                <w:sz w:val="18"/>
                <w:szCs w:val="18"/>
              </w:rPr>
            </w:pPr>
            <w:r w:rsidRPr="006B42D6">
              <w:rPr>
                <w:sz w:val="18"/>
                <w:szCs w:val="18"/>
              </w:rPr>
              <w:t>40.00 - 49.00</w:t>
            </w:r>
          </w:p>
        </w:tc>
        <w:tc>
          <w:tcPr>
            <w:tcW w:w="1437" w:type="dxa"/>
            <w:tcBorders>
              <w:top w:val="nil"/>
              <w:left w:val="nil"/>
              <w:bottom w:val="nil"/>
              <w:right w:val="nil"/>
            </w:tcBorders>
            <w:shd w:val="clear" w:color="auto" w:fill="auto"/>
            <w:noWrap/>
            <w:vAlign w:val="center"/>
            <w:hideMark/>
          </w:tcPr>
          <w:p w14:paraId="05A14297" w14:textId="77777777" w:rsidR="008A1E55" w:rsidRPr="006B42D6" w:rsidRDefault="008A1E55" w:rsidP="00E16CAE">
            <w:pPr>
              <w:jc w:val="right"/>
              <w:rPr>
                <w:sz w:val="18"/>
                <w:szCs w:val="18"/>
              </w:rPr>
            </w:pPr>
            <w:r w:rsidRPr="006B42D6">
              <w:rPr>
                <w:sz w:val="18"/>
                <w:szCs w:val="18"/>
              </w:rPr>
              <w:t>103,915</w:t>
            </w:r>
          </w:p>
        </w:tc>
        <w:tc>
          <w:tcPr>
            <w:tcW w:w="1207" w:type="dxa"/>
            <w:tcBorders>
              <w:top w:val="nil"/>
              <w:left w:val="nil"/>
              <w:bottom w:val="nil"/>
              <w:right w:val="nil"/>
            </w:tcBorders>
            <w:shd w:val="clear" w:color="auto" w:fill="auto"/>
            <w:noWrap/>
            <w:vAlign w:val="center"/>
            <w:hideMark/>
          </w:tcPr>
          <w:p w14:paraId="16844B56" w14:textId="77777777" w:rsidR="008A1E55" w:rsidRPr="006B42D6" w:rsidRDefault="008A1E55" w:rsidP="00E16CAE">
            <w:pPr>
              <w:jc w:val="right"/>
              <w:rPr>
                <w:sz w:val="18"/>
                <w:szCs w:val="18"/>
              </w:rPr>
            </w:pPr>
            <w:r w:rsidRPr="006B42D6">
              <w:rPr>
                <w:sz w:val="18"/>
                <w:szCs w:val="18"/>
              </w:rPr>
              <w:t>1.3</w:t>
            </w:r>
          </w:p>
        </w:tc>
        <w:tc>
          <w:tcPr>
            <w:tcW w:w="1437" w:type="dxa"/>
            <w:tcBorders>
              <w:top w:val="nil"/>
              <w:left w:val="nil"/>
              <w:bottom w:val="nil"/>
              <w:right w:val="nil"/>
            </w:tcBorders>
            <w:shd w:val="clear" w:color="auto" w:fill="auto"/>
            <w:noWrap/>
            <w:vAlign w:val="center"/>
            <w:hideMark/>
          </w:tcPr>
          <w:p w14:paraId="6C4AE9B9" w14:textId="77777777" w:rsidR="008A1E55" w:rsidRPr="006B42D6" w:rsidRDefault="008A1E55" w:rsidP="00E16CAE">
            <w:pPr>
              <w:jc w:val="right"/>
              <w:rPr>
                <w:sz w:val="18"/>
                <w:szCs w:val="18"/>
              </w:rPr>
            </w:pPr>
            <w:r w:rsidRPr="006B42D6">
              <w:rPr>
                <w:sz w:val="18"/>
                <w:szCs w:val="18"/>
              </w:rPr>
              <w:t>103,915</w:t>
            </w:r>
          </w:p>
        </w:tc>
        <w:tc>
          <w:tcPr>
            <w:tcW w:w="1303" w:type="dxa"/>
            <w:tcBorders>
              <w:top w:val="nil"/>
              <w:left w:val="nil"/>
              <w:bottom w:val="nil"/>
              <w:right w:val="nil"/>
            </w:tcBorders>
            <w:shd w:val="clear" w:color="auto" w:fill="auto"/>
            <w:noWrap/>
            <w:vAlign w:val="center"/>
            <w:hideMark/>
          </w:tcPr>
          <w:p w14:paraId="10F542FD" w14:textId="77777777" w:rsidR="008A1E55" w:rsidRPr="006B42D6" w:rsidRDefault="008A1E55" w:rsidP="00E16CAE">
            <w:pPr>
              <w:jc w:val="right"/>
              <w:rPr>
                <w:sz w:val="18"/>
                <w:szCs w:val="18"/>
              </w:rPr>
            </w:pPr>
            <w:r w:rsidRPr="006B42D6">
              <w:rPr>
                <w:sz w:val="18"/>
                <w:szCs w:val="18"/>
              </w:rPr>
              <w:t>1.4</w:t>
            </w:r>
          </w:p>
        </w:tc>
        <w:tc>
          <w:tcPr>
            <w:tcW w:w="1324" w:type="dxa"/>
            <w:tcBorders>
              <w:top w:val="nil"/>
              <w:left w:val="nil"/>
              <w:bottom w:val="nil"/>
              <w:right w:val="nil"/>
            </w:tcBorders>
            <w:shd w:val="clear" w:color="auto" w:fill="auto"/>
            <w:noWrap/>
            <w:vAlign w:val="center"/>
            <w:hideMark/>
          </w:tcPr>
          <w:p w14:paraId="2C17A33A" w14:textId="77777777" w:rsidR="008A1E55" w:rsidRPr="006B42D6" w:rsidRDefault="008A1E55" w:rsidP="00E16CAE">
            <w:pPr>
              <w:jc w:val="right"/>
              <w:rPr>
                <w:sz w:val="18"/>
                <w:szCs w:val="18"/>
              </w:rPr>
            </w:pPr>
            <w:r w:rsidRPr="006B42D6">
              <w:rPr>
                <w:sz w:val="18"/>
                <w:szCs w:val="18"/>
              </w:rPr>
              <w:t>-</w:t>
            </w:r>
          </w:p>
        </w:tc>
        <w:tc>
          <w:tcPr>
            <w:tcW w:w="877" w:type="dxa"/>
            <w:tcBorders>
              <w:top w:val="nil"/>
              <w:left w:val="nil"/>
              <w:bottom w:val="nil"/>
              <w:right w:val="nil"/>
            </w:tcBorders>
            <w:shd w:val="clear" w:color="auto" w:fill="auto"/>
            <w:noWrap/>
            <w:vAlign w:val="center"/>
            <w:hideMark/>
          </w:tcPr>
          <w:p w14:paraId="21DDAE35" w14:textId="77777777" w:rsidR="008A1E55" w:rsidRPr="006B42D6" w:rsidRDefault="008A1E55" w:rsidP="00E16CAE">
            <w:pPr>
              <w:jc w:val="right"/>
              <w:rPr>
                <w:sz w:val="18"/>
                <w:szCs w:val="18"/>
              </w:rPr>
            </w:pPr>
            <w:r w:rsidRPr="006B42D6">
              <w:rPr>
                <w:sz w:val="18"/>
                <w:szCs w:val="18"/>
              </w:rPr>
              <w:t>-</w:t>
            </w:r>
          </w:p>
        </w:tc>
      </w:tr>
      <w:tr w:rsidR="00DE248A" w:rsidRPr="006B42D6" w14:paraId="307C4A6A" w14:textId="77777777" w:rsidTr="00DE248A">
        <w:trPr>
          <w:trHeight w:val="360"/>
        </w:trPr>
        <w:tc>
          <w:tcPr>
            <w:tcW w:w="1809" w:type="dxa"/>
            <w:tcBorders>
              <w:top w:val="nil"/>
              <w:left w:val="nil"/>
              <w:bottom w:val="nil"/>
              <w:right w:val="nil"/>
            </w:tcBorders>
            <w:shd w:val="clear" w:color="auto" w:fill="auto"/>
            <w:vAlign w:val="center"/>
            <w:hideMark/>
          </w:tcPr>
          <w:p w14:paraId="149B0893" w14:textId="77777777" w:rsidR="008A1E55" w:rsidRPr="006B42D6" w:rsidRDefault="008A1E55" w:rsidP="00E16CAE">
            <w:pPr>
              <w:rPr>
                <w:sz w:val="18"/>
                <w:szCs w:val="18"/>
              </w:rPr>
            </w:pPr>
            <w:r w:rsidRPr="006B42D6">
              <w:rPr>
                <w:sz w:val="18"/>
                <w:szCs w:val="18"/>
              </w:rPr>
              <w:t>50.00 - 59.00</w:t>
            </w:r>
          </w:p>
        </w:tc>
        <w:tc>
          <w:tcPr>
            <w:tcW w:w="1437" w:type="dxa"/>
            <w:tcBorders>
              <w:top w:val="nil"/>
              <w:left w:val="nil"/>
              <w:bottom w:val="nil"/>
              <w:right w:val="nil"/>
            </w:tcBorders>
            <w:shd w:val="clear" w:color="auto" w:fill="auto"/>
            <w:noWrap/>
            <w:vAlign w:val="center"/>
            <w:hideMark/>
          </w:tcPr>
          <w:p w14:paraId="1AA4A7D3" w14:textId="77777777" w:rsidR="008A1E55" w:rsidRPr="006B42D6" w:rsidRDefault="008A1E55" w:rsidP="00E16CAE">
            <w:pPr>
              <w:jc w:val="right"/>
              <w:rPr>
                <w:sz w:val="18"/>
                <w:szCs w:val="18"/>
              </w:rPr>
            </w:pPr>
            <w:r w:rsidRPr="006B42D6">
              <w:rPr>
                <w:sz w:val="18"/>
                <w:szCs w:val="18"/>
              </w:rPr>
              <w:t>354,879</w:t>
            </w:r>
          </w:p>
        </w:tc>
        <w:tc>
          <w:tcPr>
            <w:tcW w:w="1207" w:type="dxa"/>
            <w:tcBorders>
              <w:top w:val="nil"/>
              <w:left w:val="nil"/>
              <w:bottom w:val="nil"/>
              <w:right w:val="nil"/>
            </w:tcBorders>
            <w:shd w:val="clear" w:color="auto" w:fill="auto"/>
            <w:noWrap/>
            <w:vAlign w:val="center"/>
            <w:hideMark/>
          </w:tcPr>
          <w:p w14:paraId="39C71AE0" w14:textId="77777777" w:rsidR="008A1E55" w:rsidRPr="006B42D6" w:rsidRDefault="008A1E55" w:rsidP="00E16CAE">
            <w:pPr>
              <w:jc w:val="right"/>
              <w:rPr>
                <w:sz w:val="18"/>
                <w:szCs w:val="18"/>
              </w:rPr>
            </w:pPr>
            <w:r w:rsidRPr="006B42D6">
              <w:rPr>
                <w:sz w:val="18"/>
                <w:szCs w:val="18"/>
              </w:rPr>
              <w:t>4.5</w:t>
            </w:r>
          </w:p>
        </w:tc>
        <w:tc>
          <w:tcPr>
            <w:tcW w:w="1437" w:type="dxa"/>
            <w:tcBorders>
              <w:top w:val="nil"/>
              <w:left w:val="nil"/>
              <w:bottom w:val="nil"/>
              <w:right w:val="nil"/>
            </w:tcBorders>
            <w:shd w:val="clear" w:color="auto" w:fill="auto"/>
            <w:noWrap/>
            <w:vAlign w:val="center"/>
            <w:hideMark/>
          </w:tcPr>
          <w:p w14:paraId="265ED952" w14:textId="77777777" w:rsidR="008A1E55" w:rsidRPr="006B42D6" w:rsidRDefault="008A1E55" w:rsidP="00E16CAE">
            <w:pPr>
              <w:jc w:val="right"/>
              <w:rPr>
                <w:sz w:val="18"/>
                <w:szCs w:val="18"/>
              </w:rPr>
            </w:pPr>
            <w:r w:rsidRPr="006B42D6">
              <w:rPr>
                <w:sz w:val="18"/>
                <w:szCs w:val="18"/>
              </w:rPr>
              <w:t>351,349</w:t>
            </w:r>
          </w:p>
        </w:tc>
        <w:tc>
          <w:tcPr>
            <w:tcW w:w="1303" w:type="dxa"/>
            <w:tcBorders>
              <w:top w:val="nil"/>
              <w:left w:val="nil"/>
              <w:bottom w:val="nil"/>
              <w:right w:val="nil"/>
            </w:tcBorders>
            <w:shd w:val="clear" w:color="auto" w:fill="auto"/>
            <w:noWrap/>
            <w:vAlign w:val="center"/>
            <w:hideMark/>
          </w:tcPr>
          <w:p w14:paraId="1FC3DF61" w14:textId="77777777" w:rsidR="008A1E55" w:rsidRPr="006B42D6" w:rsidRDefault="008A1E55" w:rsidP="00E16CAE">
            <w:pPr>
              <w:jc w:val="right"/>
              <w:rPr>
                <w:sz w:val="18"/>
                <w:szCs w:val="18"/>
              </w:rPr>
            </w:pPr>
            <w:r w:rsidRPr="006B42D6">
              <w:rPr>
                <w:sz w:val="18"/>
                <w:szCs w:val="18"/>
              </w:rPr>
              <w:t>4.6</w:t>
            </w:r>
          </w:p>
        </w:tc>
        <w:tc>
          <w:tcPr>
            <w:tcW w:w="1324" w:type="dxa"/>
            <w:tcBorders>
              <w:top w:val="nil"/>
              <w:left w:val="nil"/>
              <w:bottom w:val="nil"/>
              <w:right w:val="nil"/>
            </w:tcBorders>
            <w:shd w:val="clear" w:color="auto" w:fill="auto"/>
            <w:noWrap/>
            <w:vAlign w:val="center"/>
            <w:hideMark/>
          </w:tcPr>
          <w:p w14:paraId="385D55BE" w14:textId="77777777" w:rsidR="008A1E55" w:rsidRPr="006B42D6" w:rsidRDefault="008A1E55" w:rsidP="00E16CAE">
            <w:pPr>
              <w:jc w:val="right"/>
              <w:rPr>
                <w:sz w:val="18"/>
                <w:szCs w:val="18"/>
              </w:rPr>
            </w:pPr>
            <w:r w:rsidRPr="006B42D6">
              <w:rPr>
                <w:sz w:val="18"/>
                <w:szCs w:val="18"/>
              </w:rPr>
              <w:t>3,530</w:t>
            </w:r>
          </w:p>
        </w:tc>
        <w:tc>
          <w:tcPr>
            <w:tcW w:w="877" w:type="dxa"/>
            <w:tcBorders>
              <w:top w:val="nil"/>
              <w:left w:val="nil"/>
              <w:bottom w:val="nil"/>
              <w:right w:val="nil"/>
            </w:tcBorders>
            <w:shd w:val="clear" w:color="auto" w:fill="auto"/>
            <w:noWrap/>
            <w:vAlign w:val="center"/>
            <w:hideMark/>
          </w:tcPr>
          <w:p w14:paraId="6FAF3B21" w14:textId="77777777" w:rsidR="008A1E55" w:rsidRPr="006B42D6" w:rsidRDefault="008A1E55" w:rsidP="00E16CAE">
            <w:pPr>
              <w:jc w:val="right"/>
              <w:rPr>
                <w:sz w:val="18"/>
                <w:szCs w:val="18"/>
              </w:rPr>
            </w:pPr>
            <w:r w:rsidRPr="006B42D6">
              <w:rPr>
                <w:sz w:val="18"/>
                <w:szCs w:val="18"/>
              </w:rPr>
              <w:t>2.0</w:t>
            </w:r>
          </w:p>
        </w:tc>
      </w:tr>
      <w:tr w:rsidR="00DE248A" w:rsidRPr="006B42D6" w14:paraId="740D069F" w14:textId="77777777" w:rsidTr="00DE248A">
        <w:trPr>
          <w:trHeight w:val="360"/>
        </w:trPr>
        <w:tc>
          <w:tcPr>
            <w:tcW w:w="1809" w:type="dxa"/>
            <w:tcBorders>
              <w:top w:val="nil"/>
              <w:left w:val="nil"/>
              <w:bottom w:val="nil"/>
              <w:right w:val="nil"/>
            </w:tcBorders>
            <w:shd w:val="clear" w:color="auto" w:fill="auto"/>
            <w:vAlign w:val="center"/>
            <w:hideMark/>
          </w:tcPr>
          <w:p w14:paraId="2B3F8DDD" w14:textId="6BE2BE83" w:rsidR="008A1E55" w:rsidRPr="006B42D6" w:rsidRDefault="00DE248A" w:rsidP="00E16CAE">
            <w:pPr>
              <w:rPr>
                <w:sz w:val="18"/>
                <w:szCs w:val="18"/>
              </w:rPr>
            </w:pPr>
            <w:r>
              <w:rPr>
                <w:sz w:val="18"/>
                <w:szCs w:val="18"/>
              </w:rPr>
              <w:t>60.00 and</w:t>
            </w:r>
            <w:r w:rsidR="008A1E55" w:rsidRPr="006B42D6">
              <w:rPr>
                <w:sz w:val="18"/>
                <w:szCs w:val="18"/>
              </w:rPr>
              <w:t xml:space="preserve"> above</w:t>
            </w:r>
          </w:p>
        </w:tc>
        <w:tc>
          <w:tcPr>
            <w:tcW w:w="1437" w:type="dxa"/>
            <w:tcBorders>
              <w:top w:val="nil"/>
              <w:left w:val="nil"/>
              <w:bottom w:val="nil"/>
              <w:right w:val="nil"/>
            </w:tcBorders>
            <w:shd w:val="clear" w:color="auto" w:fill="auto"/>
            <w:noWrap/>
            <w:vAlign w:val="center"/>
            <w:hideMark/>
          </w:tcPr>
          <w:p w14:paraId="40322A75" w14:textId="77777777" w:rsidR="008A1E55" w:rsidRPr="006B42D6" w:rsidRDefault="008A1E55" w:rsidP="00E16CAE">
            <w:pPr>
              <w:jc w:val="right"/>
              <w:rPr>
                <w:sz w:val="18"/>
                <w:szCs w:val="18"/>
              </w:rPr>
            </w:pPr>
            <w:r w:rsidRPr="006B42D6">
              <w:rPr>
                <w:sz w:val="18"/>
                <w:szCs w:val="18"/>
              </w:rPr>
              <w:t>2,190,670</w:t>
            </w:r>
          </w:p>
        </w:tc>
        <w:tc>
          <w:tcPr>
            <w:tcW w:w="1207" w:type="dxa"/>
            <w:tcBorders>
              <w:top w:val="nil"/>
              <w:left w:val="nil"/>
              <w:bottom w:val="nil"/>
              <w:right w:val="nil"/>
            </w:tcBorders>
            <w:shd w:val="clear" w:color="auto" w:fill="auto"/>
            <w:noWrap/>
            <w:vAlign w:val="center"/>
            <w:hideMark/>
          </w:tcPr>
          <w:p w14:paraId="5F9395CE" w14:textId="77777777" w:rsidR="008A1E55" w:rsidRPr="006B42D6" w:rsidRDefault="008A1E55" w:rsidP="00E16CAE">
            <w:pPr>
              <w:jc w:val="right"/>
              <w:rPr>
                <w:sz w:val="18"/>
                <w:szCs w:val="18"/>
              </w:rPr>
            </w:pPr>
            <w:r w:rsidRPr="006B42D6">
              <w:rPr>
                <w:sz w:val="18"/>
                <w:szCs w:val="18"/>
              </w:rPr>
              <w:t>28.0</w:t>
            </w:r>
          </w:p>
        </w:tc>
        <w:tc>
          <w:tcPr>
            <w:tcW w:w="1437" w:type="dxa"/>
            <w:tcBorders>
              <w:top w:val="nil"/>
              <w:left w:val="nil"/>
              <w:bottom w:val="nil"/>
              <w:right w:val="nil"/>
            </w:tcBorders>
            <w:shd w:val="clear" w:color="auto" w:fill="auto"/>
            <w:noWrap/>
            <w:vAlign w:val="center"/>
            <w:hideMark/>
          </w:tcPr>
          <w:p w14:paraId="3BE6EEBB" w14:textId="77777777" w:rsidR="008A1E55" w:rsidRPr="006B42D6" w:rsidRDefault="008A1E55" w:rsidP="00E16CAE">
            <w:pPr>
              <w:jc w:val="right"/>
              <w:rPr>
                <w:sz w:val="18"/>
                <w:szCs w:val="18"/>
              </w:rPr>
            </w:pPr>
            <w:r w:rsidRPr="006B42D6">
              <w:rPr>
                <w:sz w:val="18"/>
                <w:szCs w:val="18"/>
              </w:rPr>
              <w:t>2,186,784</w:t>
            </w:r>
          </w:p>
        </w:tc>
        <w:tc>
          <w:tcPr>
            <w:tcW w:w="1303" w:type="dxa"/>
            <w:tcBorders>
              <w:top w:val="nil"/>
              <w:left w:val="nil"/>
              <w:bottom w:val="nil"/>
              <w:right w:val="nil"/>
            </w:tcBorders>
            <w:shd w:val="clear" w:color="auto" w:fill="auto"/>
            <w:noWrap/>
            <w:vAlign w:val="center"/>
            <w:hideMark/>
          </w:tcPr>
          <w:p w14:paraId="25614F2E" w14:textId="77777777" w:rsidR="008A1E55" w:rsidRPr="006B42D6" w:rsidRDefault="008A1E55" w:rsidP="00E16CAE">
            <w:pPr>
              <w:jc w:val="right"/>
              <w:rPr>
                <w:sz w:val="18"/>
                <w:szCs w:val="18"/>
              </w:rPr>
            </w:pPr>
            <w:r w:rsidRPr="006B42D6">
              <w:rPr>
                <w:sz w:val="18"/>
                <w:szCs w:val="18"/>
              </w:rPr>
              <w:t>28.6</w:t>
            </w:r>
          </w:p>
        </w:tc>
        <w:tc>
          <w:tcPr>
            <w:tcW w:w="1324" w:type="dxa"/>
            <w:tcBorders>
              <w:top w:val="nil"/>
              <w:left w:val="nil"/>
              <w:bottom w:val="nil"/>
              <w:right w:val="nil"/>
            </w:tcBorders>
            <w:shd w:val="clear" w:color="auto" w:fill="auto"/>
            <w:noWrap/>
            <w:vAlign w:val="center"/>
            <w:hideMark/>
          </w:tcPr>
          <w:p w14:paraId="212769FC" w14:textId="77777777" w:rsidR="008A1E55" w:rsidRPr="006B42D6" w:rsidRDefault="008A1E55" w:rsidP="00E16CAE">
            <w:pPr>
              <w:jc w:val="right"/>
              <w:rPr>
                <w:sz w:val="18"/>
                <w:szCs w:val="18"/>
              </w:rPr>
            </w:pPr>
            <w:r w:rsidRPr="006B42D6">
              <w:rPr>
                <w:sz w:val="18"/>
                <w:szCs w:val="18"/>
              </w:rPr>
              <w:t>3,886</w:t>
            </w:r>
          </w:p>
        </w:tc>
        <w:tc>
          <w:tcPr>
            <w:tcW w:w="877" w:type="dxa"/>
            <w:tcBorders>
              <w:top w:val="nil"/>
              <w:left w:val="nil"/>
              <w:bottom w:val="nil"/>
              <w:right w:val="nil"/>
            </w:tcBorders>
            <w:shd w:val="clear" w:color="auto" w:fill="auto"/>
            <w:noWrap/>
            <w:vAlign w:val="center"/>
            <w:hideMark/>
          </w:tcPr>
          <w:p w14:paraId="0019ACF6" w14:textId="77777777" w:rsidR="008A1E55" w:rsidRPr="006B42D6" w:rsidRDefault="008A1E55" w:rsidP="00E16CAE">
            <w:pPr>
              <w:jc w:val="right"/>
              <w:rPr>
                <w:sz w:val="18"/>
                <w:szCs w:val="18"/>
              </w:rPr>
            </w:pPr>
            <w:r w:rsidRPr="006B42D6">
              <w:rPr>
                <w:sz w:val="18"/>
                <w:szCs w:val="18"/>
              </w:rPr>
              <w:t>2.2</w:t>
            </w:r>
          </w:p>
        </w:tc>
      </w:tr>
      <w:tr w:rsidR="00DE248A" w:rsidRPr="006B42D6" w14:paraId="25314385" w14:textId="77777777" w:rsidTr="00DE248A">
        <w:trPr>
          <w:trHeight w:val="360"/>
        </w:trPr>
        <w:tc>
          <w:tcPr>
            <w:tcW w:w="1809" w:type="dxa"/>
            <w:tcBorders>
              <w:top w:val="single" w:sz="4" w:space="0" w:color="auto"/>
              <w:left w:val="nil"/>
              <w:bottom w:val="single" w:sz="4" w:space="0" w:color="auto"/>
              <w:right w:val="nil"/>
            </w:tcBorders>
            <w:shd w:val="clear" w:color="auto" w:fill="E2EFD9" w:themeFill="accent6" w:themeFillTint="33"/>
            <w:vAlign w:val="center"/>
            <w:hideMark/>
          </w:tcPr>
          <w:p w14:paraId="32C3F6E1" w14:textId="77777777" w:rsidR="008A1E55" w:rsidRPr="00143C67" w:rsidRDefault="008A1E55" w:rsidP="00E16CAE">
            <w:pPr>
              <w:rPr>
                <w:b/>
                <w:sz w:val="18"/>
                <w:szCs w:val="18"/>
              </w:rPr>
            </w:pPr>
            <w:r w:rsidRPr="00143C67">
              <w:rPr>
                <w:b/>
                <w:sz w:val="18"/>
                <w:szCs w:val="18"/>
              </w:rPr>
              <w:t>Total</w:t>
            </w:r>
          </w:p>
        </w:tc>
        <w:tc>
          <w:tcPr>
            <w:tcW w:w="1437" w:type="dxa"/>
            <w:tcBorders>
              <w:top w:val="single" w:sz="4" w:space="0" w:color="auto"/>
              <w:left w:val="nil"/>
              <w:bottom w:val="single" w:sz="4" w:space="0" w:color="auto"/>
              <w:right w:val="nil"/>
            </w:tcBorders>
            <w:shd w:val="clear" w:color="auto" w:fill="E2EFD9" w:themeFill="accent6" w:themeFillTint="33"/>
            <w:noWrap/>
            <w:vAlign w:val="center"/>
            <w:hideMark/>
          </w:tcPr>
          <w:p w14:paraId="22E2D342" w14:textId="77777777" w:rsidR="008A1E55" w:rsidRPr="00143C67" w:rsidRDefault="008A1E55" w:rsidP="00E16CAE">
            <w:pPr>
              <w:jc w:val="right"/>
              <w:rPr>
                <w:b/>
                <w:sz w:val="18"/>
                <w:szCs w:val="18"/>
              </w:rPr>
            </w:pPr>
            <w:r w:rsidRPr="00143C67">
              <w:rPr>
                <w:b/>
                <w:sz w:val="18"/>
                <w:szCs w:val="18"/>
              </w:rPr>
              <w:t>7,837,407</w:t>
            </w:r>
          </w:p>
        </w:tc>
        <w:tc>
          <w:tcPr>
            <w:tcW w:w="1207" w:type="dxa"/>
            <w:tcBorders>
              <w:top w:val="single" w:sz="4" w:space="0" w:color="auto"/>
              <w:left w:val="nil"/>
              <w:bottom w:val="single" w:sz="4" w:space="0" w:color="auto"/>
              <w:right w:val="nil"/>
            </w:tcBorders>
            <w:shd w:val="clear" w:color="auto" w:fill="E2EFD9" w:themeFill="accent6" w:themeFillTint="33"/>
            <w:noWrap/>
            <w:vAlign w:val="center"/>
            <w:hideMark/>
          </w:tcPr>
          <w:p w14:paraId="72CF4352" w14:textId="77777777" w:rsidR="008A1E55" w:rsidRPr="00143C67" w:rsidRDefault="008A1E55" w:rsidP="00E16CAE">
            <w:pPr>
              <w:jc w:val="right"/>
              <w:rPr>
                <w:b/>
                <w:sz w:val="18"/>
                <w:szCs w:val="18"/>
              </w:rPr>
            </w:pPr>
            <w:r w:rsidRPr="00143C67">
              <w:rPr>
                <w:b/>
                <w:sz w:val="18"/>
                <w:szCs w:val="18"/>
              </w:rPr>
              <w:t>100.0</w:t>
            </w:r>
          </w:p>
        </w:tc>
        <w:tc>
          <w:tcPr>
            <w:tcW w:w="1437" w:type="dxa"/>
            <w:tcBorders>
              <w:top w:val="single" w:sz="4" w:space="0" w:color="auto"/>
              <w:left w:val="nil"/>
              <w:bottom w:val="single" w:sz="4" w:space="0" w:color="auto"/>
              <w:right w:val="nil"/>
            </w:tcBorders>
            <w:shd w:val="clear" w:color="auto" w:fill="E2EFD9" w:themeFill="accent6" w:themeFillTint="33"/>
            <w:noWrap/>
            <w:vAlign w:val="center"/>
            <w:hideMark/>
          </w:tcPr>
          <w:p w14:paraId="14569169" w14:textId="77777777" w:rsidR="008A1E55" w:rsidRPr="00143C67" w:rsidRDefault="008A1E55" w:rsidP="00E16CAE">
            <w:pPr>
              <w:jc w:val="right"/>
              <w:rPr>
                <w:b/>
                <w:sz w:val="18"/>
                <w:szCs w:val="18"/>
              </w:rPr>
            </w:pPr>
            <w:r w:rsidRPr="00143C67">
              <w:rPr>
                <w:b/>
                <w:sz w:val="18"/>
                <w:szCs w:val="18"/>
              </w:rPr>
              <w:t>7,657,187</w:t>
            </w:r>
          </w:p>
        </w:tc>
        <w:tc>
          <w:tcPr>
            <w:tcW w:w="1303" w:type="dxa"/>
            <w:tcBorders>
              <w:top w:val="single" w:sz="4" w:space="0" w:color="auto"/>
              <w:left w:val="nil"/>
              <w:bottom w:val="single" w:sz="4" w:space="0" w:color="auto"/>
              <w:right w:val="nil"/>
            </w:tcBorders>
            <w:shd w:val="clear" w:color="auto" w:fill="E2EFD9" w:themeFill="accent6" w:themeFillTint="33"/>
            <w:noWrap/>
            <w:vAlign w:val="center"/>
            <w:hideMark/>
          </w:tcPr>
          <w:p w14:paraId="58151CEB" w14:textId="77777777" w:rsidR="008A1E55" w:rsidRPr="00143C67" w:rsidRDefault="008A1E55" w:rsidP="00E16CAE">
            <w:pPr>
              <w:jc w:val="right"/>
              <w:rPr>
                <w:b/>
                <w:sz w:val="18"/>
                <w:szCs w:val="18"/>
              </w:rPr>
            </w:pPr>
            <w:r w:rsidRPr="00143C67">
              <w:rPr>
                <w:b/>
                <w:sz w:val="18"/>
                <w:szCs w:val="18"/>
              </w:rPr>
              <w:t>100.0</w:t>
            </w:r>
          </w:p>
        </w:tc>
        <w:tc>
          <w:tcPr>
            <w:tcW w:w="1324" w:type="dxa"/>
            <w:tcBorders>
              <w:top w:val="single" w:sz="4" w:space="0" w:color="auto"/>
              <w:left w:val="nil"/>
              <w:bottom w:val="single" w:sz="4" w:space="0" w:color="auto"/>
              <w:right w:val="nil"/>
            </w:tcBorders>
            <w:shd w:val="clear" w:color="auto" w:fill="E2EFD9" w:themeFill="accent6" w:themeFillTint="33"/>
            <w:noWrap/>
            <w:vAlign w:val="center"/>
            <w:hideMark/>
          </w:tcPr>
          <w:p w14:paraId="3D0350EB" w14:textId="77777777" w:rsidR="008A1E55" w:rsidRPr="00143C67" w:rsidRDefault="008A1E55" w:rsidP="00E16CAE">
            <w:pPr>
              <w:jc w:val="right"/>
              <w:rPr>
                <w:b/>
                <w:sz w:val="18"/>
                <w:szCs w:val="18"/>
              </w:rPr>
            </w:pPr>
            <w:r w:rsidRPr="00143C67">
              <w:rPr>
                <w:b/>
                <w:sz w:val="18"/>
                <w:szCs w:val="18"/>
              </w:rPr>
              <w:t>180,220</w:t>
            </w:r>
          </w:p>
        </w:tc>
        <w:tc>
          <w:tcPr>
            <w:tcW w:w="877" w:type="dxa"/>
            <w:tcBorders>
              <w:top w:val="single" w:sz="4" w:space="0" w:color="auto"/>
              <w:left w:val="nil"/>
              <w:bottom w:val="single" w:sz="4" w:space="0" w:color="auto"/>
              <w:right w:val="nil"/>
            </w:tcBorders>
            <w:shd w:val="clear" w:color="auto" w:fill="E2EFD9" w:themeFill="accent6" w:themeFillTint="33"/>
            <w:noWrap/>
            <w:vAlign w:val="center"/>
            <w:hideMark/>
          </w:tcPr>
          <w:p w14:paraId="43441047" w14:textId="77777777" w:rsidR="008A1E55" w:rsidRPr="00143C67" w:rsidRDefault="008A1E55" w:rsidP="00E16CAE">
            <w:pPr>
              <w:jc w:val="right"/>
              <w:rPr>
                <w:b/>
                <w:sz w:val="18"/>
                <w:szCs w:val="18"/>
              </w:rPr>
            </w:pPr>
            <w:r w:rsidRPr="00143C67">
              <w:rPr>
                <w:b/>
                <w:sz w:val="18"/>
                <w:szCs w:val="18"/>
              </w:rPr>
              <w:t>100.0</w:t>
            </w:r>
          </w:p>
        </w:tc>
      </w:tr>
    </w:tbl>
    <w:p w14:paraId="6DF802FB" w14:textId="77777777" w:rsidR="008A1E55" w:rsidRPr="006B42D6" w:rsidRDefault="008A1E55" w:rsidP="008A1E55"/>
    <w:p w14:paraId="5E9743D4" w14:textId="5CDF8899" w:rsidR="008A1E55" w:rsidRPr="006B42D6" w:rsidRDefault="008A1E55" w:rsidP="008A1E55">
      <w:r w:rsidRPr="006B42D6">
        <w:t>Compared to 2007/08 agriculture census, the number of households that spent 1 hour and above to and from main source of drinking water during wet season in Tanzania has decreased from 20.0 percent in 2007/08 to 17.1 percent in 2019/20 agricultural year; whereas the number of household spending less than 10 minutes has increased from 24.4 percent in 2007/08 to 62.3 percent in 2019/20. Similar pattern was observed during dry season as the number of households that spent 1 hour and above decreased from 36.9 percent to 28.0 percent while households that spen</w:t>
      </w:r>
      <w:r w:rsidR="00F90639">
        <w:t>t</w:t>
      </w:r>
      <w:r w:rsidRPr="006B42D6">
        <w:t>s less than 10 minutes has increased from 18.6 percent in 2007/08 to 49.6 percent in 2019/20.</w:t>
      </w:r>
    </w:p>
    <w:p w14:paraId="6C12048A" w14:textId="77777777" w:rsidR="008A1E55" w:rsidRPr="006B42D6" w:rsidRDefault="008A1E55" w:rsidP="007A3EC9">
      <w:pPr>
        <w:spacing w:line="240" w:lineRule="auto"/>
      </w:pPr>
    </w:p>
    <w:p w14:paraId="0A450AE3" w14:textId="2D00E625" w:rsidR="008A1E55" w:rsidRPr="006B42D6" w:rsidRDefault="00F83A4C" w:rsidP="008A1E55">
      <w:pPr>
        <w:pStyle w:val="Heading2"/>
      </w:pPr>
      <w:bookmarkStart w:id="886" w:name="_Toc82385808"/>
      <w:r w:rsidRPr="006B42D6">
        <w:t>6</w:t>
      </w:r>
      <w:r w:rsidR="008A1E55" w:rsidRPr="006B42D6">
        <w:t>.1</w:t>
      </w:r>
      <w:r w:rsidR="00AC6872">
        <w:t>0</w:t>
      </w:r>
      <w:r w:rsidR="008A1E55" w:rsidRPr="006B42D6">
        <w:tab/>
        <w:t>Ownership of Assets</w:t>
      </w:r>
      <w:bookmarkEnd w:id="886"/>
    </w:p>
    <w:p w14:paraId="688E485C" w14:textId="41A76689" w:rsidR="008A1E55" w:rsidRPr="006B42D6" w:rsidRDefault="008A1E55" w:rsidP="008A1E55">
      <w:pPr>
        <w:rPr>
          <w:lang w:bidi="en-US"/>
        </w:rPr>
      </w:pPr>
      <w:r w:rsidRPr="006B42D6">
        <w:rPr>
          <w:lang w:bidi="en-US"/>
        </w:rPr>
        <w:t xml:space="preserve">Ownership of assets is an important variable in assessing the household’s economic well-being. The </w:t>
      </w:r>
      <w:r w:rsidRPr="006B42D6">
        <w:t>findings show that, telephone</w:t>
      </w:r>
      <w:r w:rsidR="00194B64">
        <w:t xml:space="preserve"> (</w:t>
      </w:r>
      <w:r w:rsidRPr="006B42D6">
        <w:t>mobile</w:t>
      </w:r>
      <w:r w:rsidR="00194B64">
        <w:t>)</w:t>
      </w:r>
      <w:r w:rsidRPr="006B42D6">
        <w:t xml:space="preserve"> was owned by majority of agricultural households (6,387,758; 81.5 percent), followed by torch (4,964,248; 63.3 percent) and radio/cassette (3743,660; 47.8 percent) during 2019/20 agricultural year. On the other hand, bajaji was owned by the least number of households (32,864; 0.4 percent) (Table </w:t>
      </w:r>
      <w:r w:rsidR="00F83A4C" w:rsidRPr="006B42D6">
        <w:t>6</w:t>
      </w:r>
      <w:r w:rsidRPr="006B42D6">
        <w:t>.21).</w:t>
      </w:r>
    </w:p>
    <w:p w14:paraId="357ADB99" w14:textId="77777777" w:rsidR="008A1E55" w:rsidRPr="006B42D6" w:rsidRDefault="008A1E55" w:rsidP="003C22B5">
      <w:pPr>
        <w:spacing w:line="240" w:lineRule="auto"/>
      </w:pPr>
    </w:p>
    <w:p w14:paraId="5941C7A5" w14:textId="4BEB8DD6" w:rsidR="00AC6872" w:rsidRDefault="008A1E55" w:rsidP="008A1E55">
      <w:r w:rsidRPr="006B42D6">
        <w:t xml:space="preserve">In </w:t>
      </w:r>
      <w:r w:rsidR="00EA1552">
        <w:t>Mainland Tanzania</w:t>
      </w:r>
      <w:r w:rsidRPr="006B42D6">
        <w:t xml:space="preserve">, telephone </w:t>
      </w:r>
      <w:r w:rsidR="00EC782F">
        <w:t>(</w:t>
      </w:r>
      <w:r w:rsidRPr="006B42D6">
        <w:t>mobile</w:t>
      </w:r>
      <w:r w:rsidR="00EC782F">
        <w:t>)</w:t>
      </w:r>
      <w:r w:rsidRPr="006B42D6">
        <w:t xml:space="preserve"> w</w:t>
      </w:r>
      <w:r w:rsidR="00F90639">
        <w:t>as</w:t>
      </w:r>
      <w:r w:rsidRPr="006B42D6">
        <w:t xml:space="preserve"> owned by majority of agricultural households (6,221,185; 81.2 percent), followed by torch (4,874,005; 63.7 percent) and radio/cassette (3,659,248; 47.8 percent), while </w:t>
      </w:r>
      <w:r w:rsidRPr="006B42D6">
        <w:rPr>
          <w:i/>
        </w:rPr>
        <w:t>bajaji</w:t>
      </w:r>
      <w:r w:rsidRPr="006B42D6">
        <w:t xml:space="preserve"> (32,587; 0.4 percent) and telephone</w:t>
      </w:r>
      <w:r w:rsidR="00194B64">
        <w:t xml:space="preserve"> (</w:t>
      </w:r>
      <w:r w:rsidRPr="006B42D6">
        <w:t>landline</w:t>
      </w:r>
      <w:r w:rsidR="00194B64">
        <w:t>)</w:t>
      </w:r>
      <w:r w:rsidRPr="006B42D6">
        <w:t xml:space="preserve"> (49,244; 0.6 percent) were owned by few households. In Tanzania Zanzibar, majority of agricultural households (166,573; 92.4 percent) owned </w:t>
      </w:r>
      <w:r w:rsidR="00EC782F">
        <w:t>telephone (</w:t>
      </w:r>
      <w:r w:rsidRPr="006B42D6">
        <w:t>mobile</w:t>
      </w:r>
      <w:r w:rsidR="00EC782F">
        <w:t>)</w:t>
      </w:r>
      <w:r w:rsidRPr="006B42D6">
        <w:t>, followed by kerosene lamp (134,917;</w:t>
      </w:r>
      <w:r w:rsidR="00EC782F">
        <w:t xml:space="preserve"> </w:t>
      </w:r>
      <w:r w:rsidRPr="006B42D6">
        <w:t xml:space="preserve">74.9 percent) and bicycle (96,449; 53.5 percent), while few households owned </w:t>
      </w:r>
      <w:r w:rsidRPr="006B42D6">
        <w:rPr>
          <w:i/>
        </w:rPr>
        <w:t>bajaji</w:t>
      </w:r>
      <w:r w:rsidRPr="006B42D6">
        <w:t xml:space="preserve"> (277; 0.2 percent) (Table </w:t>
      </w:r>
      <w:r w:rsidR="00F83A4C" w:rsidRPr="006B42D6">
        <w:t>6</w:t>
      </w:r>
      <w:r w:rsidRPr="006B42D6">
        <w:t xml:space="preserve">.21). </w:t>
      </w:r>
    </w:p>
    <w:p w14:paraId="4B94D81D" w14:textId="69640F09" w:rsidR="008A1E55" w:rsidRPr="006B42D6" w:rsidRDefault="008A1E55" w:rsidP="0037522F">
      <w:pPr>
        <w:pStyle w:val="Heading7"/>
        <w:ind w:right="1191"/>
      </w:pPr>
      <w:bookmarkStart w:id="887" w:name="_Toc82386256"/>
      <w:r w:rsidRPr="006B42D6">
        <w:lastRenderedPageBreak/>
        <w:t xml:space="preserve">Table </w:t>
      </w:r>
      <w:r w:rsidR="00F83A4C" w:rsidRPr="006B42D6">
        <w:t>6</w:t>
      </w:r>
      <w:r w:rsidRPr="006B42D6">
        <w:t>.21</w:t>
      </w:r>
      <w:r w:rsidR="0024189E">
        <w:t>:</w:t>
      </w:r>
      <w:r w:rsidR="007A288F">
        <w:tab/>
      </w:r>
      <w:r w:rsidRPr="006B42D6">
        <w:t>Percentage of Agricultural Households Reported Ownership of Assets During 2019/20 Agricultural Year, Tanzania</w:t>
      </w:r>
      <w:bookmarkEnd w:id="887"/>
      <w:r w:rsidRPr="006B42D6">
        <w:t xml:space="preserve"> </w:t>
      </w:r>
    </w:p>
    <w:tbl>
      <w:tblPr>
        <w:tblW w:w="8324" w:type="dxa"/>
        <w:tblLook w:val="04A0" w:firstRow="1" w:lastRow="0" w:firstColumn="1" w:lastColumn="0" w:noHBand="0" w:noVBand="1"/>
      </w:tblPr>
      <w:tblGrid>
        <w:gridCol w:w="2804"/>
        <w:gridCol w:w="1880"/>
        <w:gridCol w:w="1760"/>
        <w:gridCol w:w="1880"/>
      </w:tblGrid>
      <w:tr w:rsidR="006B42D6" w:rsidRPr="00194B64" w14:paraId="322BD1A4" w14:textId="77777777" w:rsidTr="00F90639">
        <w:trPr>
          <w:trHeight w:val="280"/>
        </w:trPr>
        <w:tc>
          <w:tcPr>
            <w:tcW w:w="2804" w:type="dxa"/>
            <w:tcBorders>
              <w:top w:val="single" w:sz="4" w:space="0" w:color="auto"/>
              <w:left w:val="nil"/>
              <w:bottom w:val="single" w:sz="4" w:space="0" w:color="auto"/>
              <w:right w:val="nil"/>
            </w:tcBorders>
            <w:shd w:val="clear" w:color="auto" w:fill="E2EFD9" w:themeFill="accent6" w:themeFillTint="33"/>
            <w:noWrap/>
            <w:vAlign w:val="center"/>
            <w:hideMark/>
          </w:tcPr>
          <w:p w14:paraId="28339BD7" w14:textId="77777777" w:rsidR="008A1E55" w:rsidRPr="00194B64" w:rsidRDefault="008A1E55" w:rsidP="00E16CAE">
            <w:pPr>
              <w:rPr>
                <w:sz w:val="18"/>
                <w:szCs w:val="18"/>
              </w:rPr>
            </w:pPr>
            <w:r w:rsidRPr="00194B64">
              <w:rPr>
                <w:sz w:val="18"/>
                <w:szCs w:val="18"/>
              </w:rPr>
              <w:t>Asset</w:t>
            </w:r>
          </w:p>
        </w:tc>
        <w:tc>
          <w:tcPr>
            <w:tcW w:w="1880" w:type="dxa"/>
            <w:tcBorders>
              <w:top w:val="single" w:sz="4" w:space="0" w:color="auto"/>
              <w:left w:val="nil"/>
              <w:bottom w:val="single" w:sz="4" w:space="0" w:color="auto"/>
              <w:right w:val="nil"/>
            </w:tcBorders>
            <w:shd w:val="clear" w:color="auto" w:fill="E2EFD9" w:themeFill="accent6" w:themeFillTint="33"/>
            <w:noWrap/>
            <w:vAlign w:val="center"/>
            <w:hideMark/>
          </w:tcPr>
          <w:p w14:paraId="5EEE4FA2" w14:textId="77777777" w:rsidR="008A1E55" w:rsidRPr="00194B64" w:rsidRDefault="008A1E55" w:rsidP="00F90639">
            <w:pPr>
              <w:jc w:val="center"/>
              <w:rPr>
                <w:sz w:val="18"/>
                <w:szCs w:val="18"/>
              </w:rPr>
            </w:pPr>
            <w:r w:rsidRPr="00194B64">
              <w:rPr>
                <w:sz w:val="18"/>
                <w:szCs w:val="18"/>
              </w:rPr>
              <w:t>Tanzania</w:t>
            </w:r>
          </w:p>
        </w:tc>
        <w:tc>
          <w:tcPr>
            <w:tcW w:w="1760" w:type="dxa"/>
            <w:tcBorders>
              <w:top w:val="single" w:sz="4" w:space="0" w:color="auto"/>
              <w:left w:val="nil"/>
              <w:bottom w:val="single" w:sz="4" w:space="0" w:color="auto"/>
              <w:right w:val="nil"/>
            </w:tcBorders>
            <w:shd w:val="clear" w:color="auto" w:fill="E2EFD9" w:themeFill="accent6" w:themeFillTint="33"/>
            <w:noWrap/>
            <w:vAlign w:val="center"/>
            <w:hideMark/>
          </w:tcPr>
          <w:p w14:paraId="7771F375" w14:textId="0D8D428E" w:rsidR="008A1E55" w:rsidRPr="00194B64" w:rsidRDefault="00EA1552" w:rsidP="00F90639">
            <w:pPr>
              <w:jc w:val="center"/>
              <w:rPr>
                <w:sz w:val="18"/>
                <w:szCs w:val="18"/>
              </w:rPr>
            </w:pPr>
            <w:r w:rsidRPr="00194B64">
              <w:rPr>
                <w:sz w:val="18"/>
                <w:szCs w:val="18"/>
              </w:rPr>
              <w:t>Mainland Tanzania</w:t>
            </w:r>
          </w:p>
        </w:tc>
        <w:tc>
          <w:tcPr>
            <w:tcW w:w="1880" w:type="dxa"/>
            <w:tcBorders>
              <w:top w:val="single" w:sz="4" w:space="0" w:color="auto"/>
              <w:left w:val="nil"/>
              <w:bottom w:val="single" w:sz="4" w:space="0" w:color="auto"/>
              <w:right w:val="nil"/>
            </w:tcBorders>
            <w:shd w:val="clear" w:color="auto" w:fill="E2EFD9" w:themeFill="accent6" w:themeFillTint="33"/>
            <w:noWrap/>
            <w:vAlign w:val="center"/>
            <w:hideMark/>
          </w:tcPr>
          <w:p w14:paraId="6995C823" w14:textId="77777777" w:rsidR="008A1E55" w:rsidRPr="00194B64" w:rsidRDefault="008A1E55" w:rsidP="00F90639">
            <w:pPr>
              <w:jc w:val="center"/>
              <w:rPr>
                <w:sz w:val="18"/>
                <w:szCs w:val="18"/>
              </w:rPr>
            </w:pPr>
            <w:r w:rsidRPr="00194B64">
              <w:rPr>
                <w:sz w:val="18"/>
                <w:szCs w:val="18"/>
              </w:rPr>
              <w:t>Tanzania Zanzibar</w:t>
            </w:r>
          </w:p>
        </w:tc>
      </w:tr>
      <w:tr w:rsidR="006B42D6" w:rsidRPr="006B42D6" w14:paraId="5ADD1722" w14:textId="77777777" w:rsidTr="00194B64">
        <w:trPr>
          <w:trHeight w:val="340"/>
        </w:trPr>
        <w:tc>
          <w:tcPr>
            <w:tcW w:w="2804" w:type="dxa"/>
            <w:tcBorders>
              <w:top w:val="single" w:sz="4" w:space="0" w:color="auto"/>
              <w:left w:val="nil"/>
              <w:bottom w:val="nil"/>
              <w:right w:val="nil"/>
            </w:tcBorders>
            <w:shd w:val="clear" w:color="auto" w:fill="auto"/>
            <w:noWrap/>
            <w:vAlign w:val="bottom"/>
            <w:hideMark/>
          </w:tcPr>
          <w:p w14:paraId="56163BC5" w14:textId="4B9E9C9E" w:rsidR="008A1E55" w:rsidRPr="00194B64" w:rsidRDefault="008A1E55" w:rsidP="00E16CAE">
            <w:pPr>
              <w:rPr>
                <w:sz w:val="18"/>
                <w:szCs w:val="18"/>
              </w:rPr>
            </w:pPr>
            <w:r w:rsidRPr="00194B64">
              <w:rPr>
                <w:sz w:val="18"/>
                <w:szCs w:val="18"/>
              </w:rPr>
              <w:t>Radio/cassette (music system)</w:t>
            </w:r>
          </w:p>
        </w:tc>
        <w:tc>
          <w:tcPr>
            <w:tcW w:w="1880" w:type="dxa"/>
            <w:tcBorders>
              <w:top w:val="single" w:sz="4" w:space="0" w:color="auto"/>
              <w:left w:val="nil"/>
              <w:bottom w:val="nil"/>
              <w:right w:val="nil"/>
            </w:tcBorders>
            <w:shd w:val="clear" w:color="auto" w:fill="auto"/>
            <w:noWrap/>
            <w:vAlign w:val="bottom"/>
            <w:hideMark/>
          </w:tcPr>
          <w:p w14:paraId="2DFFE170" w14:textId="77777777" w:rsidR="008A1E55" w:rsidRPr="00194B64" w:rsidRDefault="008A1E55" w:rsidP="00E16CAE">
            <w:pPr>
              <w:jc w:val="right"/>
              <w:rPr>
                <w:sz w:val="18"/>
                <w:szCs w:val="18"/>
              </w:rPr>
            </w:pPr>
            <w:r w:rsidRPr="00194B64">
              <w:rPr>
                <w:sz w:val="18"/>
                <w:szCs w:val="18"/>
              </w:rPr>
              <w:t>47.8</w:t>
            </w:r>
          </w:p>
        </w:tc>
        <w:tc>
          <w:tcPr>
            <w:tcW w:w="1760" w:type="dxa"/>
            <w:tcBorders>
              <w:top w:val="single" w:sz="4" w:space="0" w:color="auto"/>
              <w:left w:val="nil"/>
              <w:bottom w:val="nil"/>
              <w:right w:val="nil"/>
            </w:tcBorders>
            <w:shd w:val="clear" w:color="auto" w:fill="auto"/>
            <w:noWrap/>
            <w:vAlign w:val="bottom"/>
            <w:hideMark/>
          </w:tcPr>
          <w:p w14:paraId="4C785C9B" w14:textId="77777777" w:rsidR="008A1E55" w:rsidRPr="00194B64" w:rsidRDefault="008A1E55" w:rsidP="00E16CAE">
            <w:pPr>
              <w:jc w:val="right"/>
              <w:rPr>
                <w:sz w:val="18"/>
                <w:szCs w:val="18"/>
              </w:rPr>
            </w:pPr>
            <w:r w:rsidRPr="00194B64">
              <w:rPr>
                <w:sz w:val="18"/>
                <w:szCs w:val="18"/>
              </w:rPr>
              <w:t>47.8</w:t>
            </w:r>
          </w:p>
        </w:tc>
        <w:tc>
          <w:tcPr>
            <w:tcW w:w="1880" w:type="dxa"/>
            <w:tcBorders>
              <w:top w:val="single" w:sz="4" w:space="0" w:color="auto"/>
              <w:left w:val="nil"/>
              <w:bottom w:val="nil"/>
              <w:right w:val="nil"/>
            </w:tcBorders>
            <w:shd w:val="clear" w:color="auto" w:fill="auto"/>
            <w:noWrap/>
            <w:vAlign w:val="bottom"/>
            <w:hideMark/>
          </w:tcPr>
          <w:p w14:paraId="408574C2" w14:textId="77777777" w:rsidR="008A1E55" w:rsidRPr="00194B64" w:rsidRDefault="008A1E55" w:rsidP="00E16CAE">
            <w:pPr>
              <w:jc w:val="right"/>
              <w:rPr>
                <w:sz w:val="18"/>
                <w:szCs w:val="18"/>
              </w:rPr>
            </w:pPr>
            <w:r w:rsidRPr="00194B64">
              <w:rPr>
                <w:sz w:val="18"/>
                <w:szCs w:val="18"/>
              </w:rPr>
              <w:t>46.8</w:t>
            </w:r>
          </w:p>
        </w:tc>
      </w:tr>
      <w:tr w:rsidR="006B42D6" w:rsidRPr="006B42D6" w14:paraId="3867547B" w14:textId="77777777" w:rsidTr="00194B64">
        <w:trPr>
          <w:trHeight w:val="340"/>
        </w:trPr>
        <w:tc>
          <w:tcPr>
            <w:tcW w:w="2804" w:type="dxa"/>
            <w:tcBorders>
              <w:top w:val="nil"/>
              <w:left w:val="nil"/>
              <w:bottom w:val="nil"/>
              <w:right w:val="nil"/>
            </w:tcBorders>
            <w:shd w:val="clear" w:color="auto" w:fill="auto"/>
            <w:noWrap/>
            <w:vAlign w:val="bottom"/>
            <w:hideMark/>
          </w:tcPr>
          <w:p w14:paraId="6ECD5954" w14:textId="77777777" w:rsidR="008A1E55" w:rsidRPr="00194B64" w:rsidRDefault="008A1E55" w:rsidP="00E16CAE">
            <w:pPr>
              <w:rPr>
                <w:sz w:val="18"/>
                <w:szCs w:val="18"/>
              </w:rPr>
            </w:pPr>
            <w:r w:rsidRPr="00194B64">
              <w:rPr>
                <w:sz w:val="18"/>
                <w:szCs w:val="18"/>
              </w:rPr>
              <w:t>Telephone (landline)</w:t>
            </w:r>
          </w:p>
        </w:tc>
        <w:tc>
          <w:tcPr>
            <w:tcW w:w="1880" w:type="dxa"/>
            <w:tcBorders>
              <w:top w:val="nil"/>
              <w:left w:val="nil"/>
              <w:bottom w:val="nil"/>
              <w:right w:val="nil"/>
            </w:tcBorders>
            <w:shd w:val="clear" w:color="auto" w:fill="auto"/>
            <w:noWrap/>
            <w:vAlign w:val="bottom"/>
            <w:hideMark/>
          </w:tcPr>
          <w:p w14:paraId="56E8CD85" w14:textId="77777777" w:rsidR="008A1E55" w:rsidRPr="00194B64" w:rsidRDefault="008A1E55" w:rsidP="00E16CAE">
            <w:pPr>
              <w:jc w:val="right"/>
              <w:rPr>
                <w:sz w:val="18"/>
                <w:szCs w:val="18"/>
              </w:rPr>
            </w:pPr>
            <w:r w:rsidRPr="00194B64">
              <w:rPr>
                <w:sz w:val="18"/>
                <w:szCs w:val="18"/>
              </w:rPr>
              <w:t>0.6</w:t>
            </w:r>
          </w:p>
        </w:tc>
        <w:tc>
          <w:tcPr>
            <w:tcW w:w="1760" w:type="dxa"/>
            <w:tcBorders>
              <w:top w:val="nil"/>
              <w:left w:val="nil"/>
              <w:bottom w:val="nil"/>
              <w:right w:val="nil"/>
            </w:tcBorders>
            <w:shd w:val="clear" w:color="auto" w:fill="auto"/>
            <w:noWrap/>
            <w:vAlign w:val="bottom"/>
            <w:hideMark/>
          </w:tcPr>
          <w:p w14:paraId="3C2157A2" w14:textId="77777777" w:rsidR="008A1E55" w:rsidRPr="00194B64" w:rsidRDefault="008A1E55" w:rsidP="00E16CAE">
            <w:pPr>
              <w:jc w:val="right"/>
              <w:rPr>
                <w:sz w:val="18"/>
                <w:szCs w:val="18"/>
              </w:rPr>
            </w:pPr>
            <w:r w:rsidRPr="00194B64">
              <w:rPr>
                <w:sz w:val="18"/>
                <w:szCs w:val="18"/>
              </w:rPr>
              <w:t>0.6</w:t>
            </w:r>
          </w:p>
        </w:tc>
        <w:tc>
          <w:tcPr>
            <w:tcW w:w="1880" w:type="dxa"/>
            <w:tcBorders>
              <w:top w:val="nil"/>
              <w:left w:val="nil"/>
              <w:bottom w:val="nil"/>
              <w:right w:val="nil"/>
            </w:tcBorders>
            <w:shd w:val="clear" w:color="auto" w:fill="auto"/>
            <w:noWrap/>
            <w:vAlign w:val="bottom"/>
            <w:hideMark/>
          </w:tcPr>
          <w:p w14:paraId="662BC667" w14:textId="77777777" w:rsidR="008A1E55" w:rsidRPr="00194B64" w:rsidRDefault="008A1E55" w:rsidP="00E16CAE">
            <w:pPr>
              <w:jc w:val="right"/>
              <w:rPr>
                <w:sz w:val="18"/>
                <w:szCs w:val="18"/>
              </w:rPr>
            </w:pPr>
            <w:r w:rsidRPr="00194B64">
              <w:rPr>
                <w:sz w:val="18"/>
                <w:szCs w:val="18"/>
              </w:rPr>
              <w:t>0.2</w:t>
            </w:r>
          </w:p>
        </w:tc>
      </w:tr>
      <w:tr w:rsidR="006B42D6" w:rsidRPr="006B42D6" w14:paraId="6C6AEC82" w14:textId="77777777" w:rsidTr="00194B64">
        <w:trPr>
          <w:trHeight w:val="340"/>
        </w:trPr>
        <w:tc>
          <w:tcPr>
            <w:tcW w:w="2804" w:type="dxa"/>
            <w:tcBorders>
              <w:top w:val="nil"/>
              <w:left w:val="nil"/>
              <w:bottom w:val="nil"/>
              <w:right w:val="nil"/>
            </w:tcBorders>
            <w:shd w:val="clear" w:color="auto" w:fill="auto"/>
            <w:noWrap/>
            <w:vAlign w:val="bottom"/>
            <w:hideMark/>
          </w:tcPr>
          <w:p w14:paraId="6F20BE35" w14:textId="77777777" w:rsidR="008A1E55" w:rsidRPr="00194B64" w:rsidRDefault="008A1E55" w:rsidP="00E16CAE">
            <w:pPr>
              <w:rPr>
                <w:sz w:val="18"/>
                <w:szCs w:val="18"/>
              </w:rPr>
            </w:pPr>
            <w:r w:rsidRPr="00194B64">
              <w:rPr>
                <w:sz w:val="18"/>
                <w:szCs w:val="18"/>
              </w:rPr>
              <w:t>Telephone (mobile)</w:t>
            </w:r>
          </w:p>
        </w:tc>
        <w:tc>
          <w:tcPr>
            <w:tcW w:w="1880" w:type="dxa"/>
            <w:tcBorders>
              <w:top w:val="nil"/>
              <w:left w:val="nil"/>
              <w:bottom w:val="nil"/>
              <w:right w:val="nil"/>
            </w:tcBorders>
            <w:shd w:val="clear" w:color="auto" w:fill="auto"/>
            <w:noWrap/>
            <w:vAlign w:val="bottom"/>
            <w:hideMark/>
          </w:tcPr>
          <w:p w14:paraId="562DFB0D" w14:textId="77777777" w:rsidR="008A1E55" w:rsidRPr="00194B64" w:rsidRDefault="008A1E55" w:rsidP="00E16CAE">
            <w:pPr>
              <w:jc w:val="right"/>
              <w:rPr>
                <w:sz w:val="18"/>
                <w:szCs w:val="18"/>
              </w:rPr>
            </w:pPr>
            <w:r w:rsidRPr="00194B64">
              <w:rPr>
                <w:sz w:val="18"/>
                <w:szCs w:val="18"/>
              </w:rPr>
              <w:t>81.5</w:t>
            </w:r>
          </w:p>
        </w:tc>
        <w:tc>
          <w:tcPr>
            <w:tcW w:w="1760" w:type="dxa"/>
            <w:tcBorders>
              <w:top w:val="nil"/>
              <w:left w:val="nil"/>
              <w:bottom w:val="nil"/>
              <w:right w:val="nil"/>
            </w:tcBorders>
            <w:shd w:val="clear" w:color="auto" w:fill="auto"/>
            <w:noWrap/>
            <w:vAlign w:val="bottom"/>
            <w:hideMark/>
          </w:tcPr>
          <w:p w14:paraId="3D050F0B" w14:textId="77777777" w:rsidR="008A1E55" w:rsidRPr="00194B64" w:rsidRDefault="008A1E55" w:rsidP="00E16CAE">
            <w:pPr>
              <w:jc w:val="right"/>
              <w:rPr>
                <w:sz w:val="18"/>
                <w:szCs w:val="18"/>
              </w:rPr>
            </w:pPr>
            <w:r w:rsidRPr="00194B64">
              <w:rPr>
                <w:sz w:val="18"/>
                <w:szCs w:val="18"/>
              </w:rPr>
              <w:t>81.2</w:t>
            </w:r>
          </w:p>
        </w:tc>
        <w:tc>
          <w:tcPr>
            <w:tcW w:w="1880" w:type="dxa"/>
            <w:tcBorders>
              <w:top w:val="nil"/>
              <w:left w:val="nil"/>
              <w:bottom w:val="nil"/>
              <w:right w:val="nil"/>
            </w:tcBorders>
            <w:shd w:val="clear" w:color="auto" w:fill="auto"/>
            <w:noWrap/>
            <w:vAlign w:val="bottom"/>
            <w:hideMark/>
          </w:tcPr>
          <w:p w14:paraId="061EF35D" w14:textId="77777777" w:rsidR="008A1E55" w:rsidRPr="00194B64" w:rsidRDefault="008A1E55" w:rsidP="00E16CAE">
            <w:pPr>
              <w:jc w:val="right"/>
              <w:rPr>
                <w:sz w:val="18"/>
                <w:szCs w:val="18"/>
              </w:rPr>
            </w:pPr>
            <w:r w:rsidRPr="00194B64">
              <w:rPr>
                <w:sz w:val="18"/>
                <w:szCs w:val="18"/>
              </w:rPr>
              <w:t>92.4</w:t>
            </w:r>
          </w:p>
        </w:tc>
      </w:tr>
      <w:tr w:rsidR="006B42D6" w:rsidRPr="006B42D6" w14:paraId="78E5E039" w14:textId="77777777" w:rsidTr="00194B64">
        <w:trPr>
          <w:trHeight w:val="340"/>
        </w:trPr>
        <w:tc>
          <w:tcPr>
            <w:tcW w:w="2804" w:type="dxa"/>
            <w:tcBorders>
              <w:top w:val="nil"/>
              <w:left w:val="nil"/>
              <w:bottom w:val="nil"/>
              <w:right w:val="nil"/>
            </w:tcBorders>
            <w:shd w:val="clear" w:color="auto" w:fill="auto"/>
            <w:noWrap/>
            <w:vAlign w:val="bottom"/>
            <w:hideMark/>
          </w:tcPr>
          <w:p w14:paraId="5D001A21" w14:textId="77777777" w:rsidR="008A1E55" w:rsidRPr="00194B64" w:rsidRDefault="008A1E55" w:rsidP="00E16CAE">
            <w:pPr>
              <w:rPr>
                <w:sz w:val="18"/>
                <w:szCs w:val="18"/>
              </w:rPr>
            </w:pPr>
            <w:r w:rsidRPr="00194B64">
              <w:rPr>
                <w:sz w:val="18"/>
                <w:szCs w:val="18"/>
              </w:rPr>
              <w:t>Pressing Iron</w:t>
            </w:r>
          </w:p>
        </w:tc>
        <w:tc>
          <w:tcPr>
            <w:tcW w:w="1880" w:type="dxa"/>
            <w:tcBorders>
              <w:top w:val="nil"/>
              <w:left w:val="nil"/>
              <w:bottom w:val="nil"/>
              <w:right w:val="nil"/>
            </w:tcBorders>
            <w:shd w:val="clear" w:color="auto" w:fill="auto"/>
            <w:noWrap/>
            <w:vAlign w:val="bottom"/>
            <w:hideMark/>
          </w:tcPr>
          <w:p w14:paraId="67F75B32" w14:textId="77777777" w:rsidR="008A1E55" w:rsidRPr="00194B64" w:rsidRDefault="008A1E55" w:rsidP="00E16CAE">
            <w:pPr>
              <w:jc w:val="right"/>
              <w:rPr>
                <w:sz w:val="18"/>
                <w:szCs w:val="18"/>
              </w:rPr>
            </w:pPr>
            <w:r w:rsidRPr="00194B64">
              <w:rPr>
                <w:sz w:val="18"/>
                <w:szCs w:val="18"/>
              </w:rPr>
              <w:t>21.2</w:t>
            </w:r>
          </w:p>
        </w:tc>
        <w:tc>
          <w:tcPr>
            <w:tcW w:w="1760" w:type="dxa"/>
            <w:tcBorders>
              <w:top w:val="nil"/>
              <w:left w:val="nil"/>
              <w:bottom w:val="nil"/>
              <w:right w:val="nil"/>
            </w:tcBorders>
            <w:shd w:val="clear" w:color="auto" w:fill="auto"/>
            <w:noWrap/>
            <w:vAlign w:val="bottom"/>
            <w:hideMark/>
          </w:tcPr>
          <w:p w14:paraId="17728CFF" w14:textId="77777777" w:rsidR="008A1E55" w:rsidRPr="00194B64" w:rsidRDefault="008A1E55" w:rsidP="00E16CAE">
            <w:pPr>
              <w:jc w:val="right"/>
              <w:rPr>
                <w:sz w:val="18"/>
                <w:szCs w:val="18"/>
              </w:rPr>
            </w:pPr>
            <w:r w:rsidRPr="00194B64">
              <w:rPr>
                <w:sz w:val="18"/>
                <w:szCs w:val="18"/>
              </w:rPr>
              <w:t>21.1</w:t>
            </w:r>
          </w:p>
        </w:tc>
        <w:tc>
          <w:tcPr>
            <w:tcW w:w="1880" w:type="dxa"/>
            <w:tcBorders>
              <w:top w:val="nil"/>
              <w:left w:val="nil"/>
              <w:bottom w:val="nil"/>
              <w:right w:val="nil"/>
            </w:tcBorders>
            <w:shd w:val="clear" w:color="auto" w:fill="auto"/>
            <w:noWrap/>
            <w:vAlign w:val="bottom"/>
            <w:hideMark/>
          </w:tcPr>
          <w:p w14:paraId="2097C178" w14:textId="77777777" w:rsidR="008A1E55" w:rsidRPr="00194B64" w:rsidRDefault="008A1E55" w:rsidP="00E16CAE">
            <w:pPr>
              <w:jc w:val="right"/>
              <w:rPr>
                <w:sz w:val="18"/>
                <w:szCs w:val="18"/>
              </w:rPr>
            </w:pPr>
            <w:r w:rsidRPr="00194B64">
              <w:rPr>
                <w:sz w:val="18"/>
                <w:szCs w:val="18"/>
              </w:rPr>
              <w:t>23.3</w:t>
            </w:r>
          </w:p>
        </w:tc>
      </w:tr>
      <w:tr w:rsidR="006B42D6" w:rsidRPr="006B42D6" w14:paraId="68F3B7B4" w14:textId="77777777" w:rsidTr="00194B64">
        <w:trPr>
          <w:trHeight w:val="340"/>
        </w:trPr>
        <w:tc>
          <w:tcPr>
            <w:tcW w:w="2804" w:type="dxa"/>
            <w:tcBorders>
              <w:top w:val="nil"/>
              <w:left w:val="nil"/>
              <w:bottom w:val="nil"/>
              <w:right w:val="nil"/>
            </w:tcBorders>
            <w:shd w:val="clear" w:color="auto" w:fill="auto"/>
            <w:noWrap/>
            <w:vAlign w:val="bottom"/>
            <w:hideMark/>
          </w:tcPr>
          <w:p w14:paraId="25D7DD6D" w14:textId="77777777" w:rsidR="008A1E55" w:rsidRPr="00194B64" w:rsidRDefault="008A1E55" w:rsidP="00E16CAE">
            <w:pPr>
              <w:rPr>
                <w:sz w:val="18"/>
                <w:szCs w:val="18"/>
              </w:rPr>
            </w:pPr>
            <w:r w:rsidRPr="00194B64">
              <w:rPr>
                <w:sz w:val="18"/>
                <w:szCs w:val="18"/>
              </w:rPr>
              <w:t>Wheelbarrow</w:t>
            </w:r>
          </w:p>
        </w:tc>
        <w:tc>
          <w:tcPr>
            <w:tcW w:w="1880" w:type="dxa"/>
            <w:tcBorders>
              <w:top w:val="nil"/>
              <w:left w:val="nil"/>
              <w:bottom w:val="nil"/>
              <w:right w:val="nil"/>
            </w:tcBorders>
            <w:shd w:val="clear" w:color="auto" w:fill="auto"/>
            <w:noWrap/>
            <w:vAlign w:val="bottom"/>
            <w:hideMark/>
          </w:tcPr>
          <w:p w14:paraId="655655AB" w14:textId="77777777" w:rsidR="008A1E55" w:rsidRPr="00194B64" w:rsidRDefault="008A1E55" w:rsidP="00E16CAE">
            <w:pPr>
              <w:jc w:val="right"/>
              <w:rPr>
                <w:sz w:val="18"/>
                <w:szCs w:val="18"/>
              </w:rPr>
            </w:pPr>
            <w:r w:rsidRPr="00194B64">
              <w:rPr>
                <w:sz w:val="18"/>
                <w:szCs w:val="18"/>
              </w:rPr>
              <w:t>7.0</w:t>
            </w:r>
          </w:p>
        </w:tc>
        <w:tc>
          <w:tcPr>
            <w:tcW w:w="1760" w:type="dxa"/>
            <w:tcBorders>
              <w:top w:val="nil"/>
              <w:left w:val="nil"/>
              <w:bottom w:val="nil"/>
              <w:right w:val="nil"/>
            </w:tcBorders>
            <w:shd w:val="clear" w:color="auto" w:fill="auto"/>
            <w:noWrap/>
            <w:vAlign w:val="bottom"/>
            <w:hideMark/>
          </w:tcPr>
          <w:p w14:paraId="3C216E5E" w14:textId="77777777" w:rsidR="008A1E55" w:rsidRPr="00194B64" w:rsidRDefault="008A1E55" w:rsidP="00E16CAE">
            <w:pPr>
              <w:jc w:val="right"/>
              <w:rPr>
                <w:sz w:val="18"/>
                <w:szCs w:val="18"/>
              </w:rPr>
            </w:pPr>
            <w:r w:rsidRPr="00194B64">
              <w:rPr>
                <w:sz w:val="18"/>
                <w:szCs w:val="18"/>
              </w:rPr>
              <w:t>7.1</w:t>
            </w:r>
          </w:p>
        </w:tc>
        <w:tc>
          <w:tcPr>
            <w:tcW w:w="1880" w:type="dxa"/>
            <w:tcBorders>
              <w:top w:val="nil"/>
              <w:left w:val="nil"/>
              <w:bottom w:val="nil"/>
              <w:right w:val="nil"/>
            </w:tcBorders>
            <w:shd w:val="clear" w:color="auto" w:fill="auto"/>
            <w:noWrap/>
            <w:vAlign w:val="bottom"/>
            <w:hideMark/>
          </w:tcPr>
          <w:p w14:paraId="6993DF8B" w14:textId="77777777" w:rsidR="008A1E55" w:rsidRPr="00194B64" w:rsidRDefault="008A1E55" w:rsidP="00E16CAE">
            <w:pPr>
              <w:jc w:val="right"/>
              <w:rPr>
                <w:sz w:val="18"/>
                <w:szCs w:val="18"/>
              </w:rPr>
            </w:pPr>
            <w:r w:rsidRPr="00194B64">
              <w:rPr>
                <w:sz w:val="18"/>
                <w:szCs w:val="18"/>
              </w:rPr>
              <w:t>3.3</w:t>
            </w:r>
          </w:p>
        </w:tc>
      </w:tr>
      <w:tr w:rsidR="006B42D6" w:rsidRPr="006B42D6" w14:paraId="659A80AB" w14:textId="77777777" w:rsidTr="00194B64">
        <w:trPr>
          <w:trHeight w:val="340"/>
        </w:trPr>
        <w:tc>
          <w:tcPr>
            <w:tcW w:w="2804" w:type="dxa"/>
            <w:tcBorders>
              <w:top w:val="nil"/>
              <w:left w:val="nil"/>
              <w:bottom w:val="nil"/>
              <w:right w:val="nil"/>
            </w:tcBorders>
            <w:shd w:val="clear" w:color="auto" w:fill="auto"/>
            <w:noWrap/>
            <w:vAlign w:val="bottom"/>
            <w:hideMark/>
          </w:tcPr>
          <w:p w14:paraId="68DB56EB" w14:textId="77777777" w:rsidR="008A1E55" w:rsidRPr="00194B64" w:rsidRDefault="008A1E55" w:rsidP="00E16CAE">
            <w:pPr>
              <w:rPr>
                <w:sz w:val="18"/>
                <w:szCs w:val="18"/>
              </w:rPr>
            </w:pPr>
            <w:r w:rsidRPr="00194B64">
              <w:rPr>
                <w:sz w:val="18"/>
                <w:szCs w:val="18"/>
              </w:rPr>
              <w:t>Bicycle</w:t>
            </w:r>
          </w:p>
        </w:tc>
        <w:tc>
          <w:tcPr>
            <w:tcW w:w="1880" w:type="dxa"/>
            <w:tcBorders>
              <w:top w:val="nil"/>
              <w:left w:val="nil"/>
              <w:bottom w:val="nil"/>
              <w:right w:val="nil"/>
            </w:tcBorders>
            <w:shd w:val="clear" w:color="auto" w:fill="auto"/>
            <w:noWrap/>
            <w:vAlign w:val="bottom"/>
            <w:hideMark/>
          </w:tcPr>
          <w:p w14:paraId="41A2701B" w14:textId="77777777" w:rsidR="008A1E55" w:rsidRPr="00194B64" w:rsidRDefault="008A1E55" w:rsidP="00E16CAE">
            <w:pPr>
              <w:jc w:val="right"/>
              <w:rPr>
                <w:sz w:val="18"/>
                <w:szCs w:val="18"/>
              </w:rPr>
            </w:pPr>
            <w:r w:rsidRPr="00194B64">
              <w:rPr>
                <w:sz w:val="18"/>
                <w:szCs w:val="18"/>
              </w:rPr>
              <w:t>41.8</w:t>
            </w:r>
          </w:p>
        </w:tc>
        <w:tc>
          <w:tcPr>
            <w:tcW w:w="1760" w:type="dxa"/>
            <w:tcBorders>
              <w:top w:val="nil"/>
              <w:left w:val="nil"/>
              <w:bottom w:val="nil"/>
              <w:right w:val="nil"/>
            </w:tcBorders>
            <w:shd w:val="clear" w:color="auto" w:fill="auto"/>
            <w:noWrap/>
            <w:vAlign w:val="bottom"/>
            <w:hideMark/>
          </w:tcPr>
          <w:p w14:paraId="0FB38385" w14:textId="77777777" w:rsidR="008A1E55" w:rsidRPr="00194B64" w:rsidRDefault="008A1E55" w:rsidP="00E16CAE">
            <w:pPr>
              <w:jc w:val="right"/>
              <w:rPr>
                <w:sz w:val="18"/>
                <w:szCs w:val="18"/>
              </w:rPr>
            </w:pPr>
            <w:r w:rsidRPr="00194B64">
              <w:rPr>
                <w:sz w:val="18"/>
                <w:szCs w:val="18"/>
              </w:rPr>
              <w:t>41.5</w:t>
            </w:r>
          </w:p>
        </w:tc>
        <w:tc>
          <w:tcPr>
            <w:tcW w:w="1880" w:type="dxa"/>
            <w:tcBorders>
              <w:top w:val="nil"/>
              <w:left w:val="nil"/>
              <w:bottom w:val="nil"/>
              <w:right w:val="nil"/>
            </w:tcBorders>
            <w:shd w:val="clear" w:color="auto" w:fill="auto"/>
            <w:noWrap/>
            <w:vAlign w:val="bottom"/>
            <w:hideMark/>
          </w:tcPr>
          <w:p w14:paraId="74C93245" w14:textId="77777777" w:rsidR="008A1E55" w:rsidRPr="00194B64" w:rsidRDefault="008A1E55" w:rsidP="00E16CAE">
            <w:pPr>
              <w:jc w:val="right"/>
              <w:rPr>
                <w:sz w:val="18"/>
                <w:szCs w:val="18"/>
              </w:rPr>
            </w:pPr>
            <w:r w:rsidRPr="00194B64">
              <w:rPr>
                <w:sz w:val="18"/>
                <w:szCs w:val="18"/>
              </w:rPr>
              <w:t>53.5</w:t>
            </w:r>
          </w:p>
        </w:tc>
      </w:tr>
      <w:tr w:rsidR="006B42D6" w:rsidRPr="006B42D6" w14:paraId="6635E1C8" w14:textId="77777777" w:rsidTr="00194B64">
        <w:trPr>
          <w:trHeight w:val="340"/>
        </w:trPr>
        <w:tc>
          <w:tcPr>
            <w:tcW w:w="2804" w:type="dxa"/>
            <w:tcBorders>
              <w:top w:val="nil"/>
              <w:left w:val="nil"/>
              <w:bottom w:val="nil"/>
              <w:right w:val="nil"/>
            </w:tcBorders>
            <w:shd w:val="clear" w:color="auto" w:fill="auto"/>
            <w:noWrap/>
            <w:vAlign w:val="bottom"/>
            <w:hideMark/>
          </w:tcPr>
          <w:p w14:paraId="734706D8" w14:textId="77777777" w:rsidR="008A1E55" w:rsidRPr="00194B64" w:rsidRDefault="008A1E55" w:rsidP="00E16CAE">
            <w:pPr>
              <w:rPr>
                <w:sz w:val="18"/>
                <w:szCs w:val="18"/>
              </w:rPr>
            </w:pPr>
            <w:r w:rsidRPr="00194B64">
              <w:rPr>
                <w:sz w:val="18"/>
                <w:szCs w:val="18"/>
              </w:rPr>
              <w:t>Vehicle</w:t>
            </w:r>
          </w:p>
        </w:tc>
        <w:tc>
          <w:tcPr>
            <w:tcW w:w="1880" w:type="dxa"/>
            <w:tcBorders>
              <w:top w:val="nil"/>
              <w:left w:val="nil"/>
              <w:bottom w:val="nil"/>
              <w:right w:val="nil"/>
            </w:tcBorders>
            <w:shd w:val="clear" w:color="auto" w:fill="auto"/>
            <w:noWrap/>
            <w:vAlign w:val="bottom"/>
            <w:hideMark/>
          </w:tcPr>
          <w:p w14:paraId="06DE8DCC" w14:textId="77777777" w:rsidR="008A1E55" w:rsidRPr="00194B64" w:rsidRDefault="008A1E55" w:rsidP="00E16CAE">
            <w:pPr>
              <w:jc w:val="right"/>
              <w:rPr>
                <w:sz w:val="18"/>
                <w:szCs w:val="18"/>
              </w:rPr>
            </w:pPr>
            <w:r w:rsidRPr="00194B64">
              <w:rPr>
                <w:sz w:val="18"/>
                <w:szCs w:val="18"/>
              </w:rPr>
              <w:t>2.6</w:t>
            </w:r>
          </w:p>
        </w:tc>
        <w:tc>
          <w:tcPr>
            <w:tcW w:w="1760" w:type="dxa"/>
            <w:tcBorders>
              <w:top w:val="nil"/>
              <w:left w:val="nil"/>
              <w:bottom w:val="nil"/>
              <w:right w:val="nil"/>
            </w:tcBorders>
            <w:shd w:val="clear" w:color="auto" w:fill="auto"/>
            <w:noWrap/>
            <w:vAlign w:val="bottom"/>
            <w:hideMark/>
          </w:tcPr>
          <w:p w14:paraId="22F2925E" w14:textId="77777777" w:rsidR="008A1E55" w:rsidRPr="00194B64" w:rsidRDefault="008A1E55" w:rsidP="00E16CAE">
            <w:pPr>
              <w:jc w:val="right"/>
              <w:rPr>
                <w:sz w:val="18"/>
                <w:szCs w:val="18"/>
              </w:rPr>
            </w:pPr>
            <w:r w:rsidRPr="00194B64">
              <w:rPr>
                <w:sz w:val="18"/>
                <w:szCs w:val="18"/>
              </w:rPr>
              <w:t>2.6</w:t>
            </w:r>
          </w:p>
        </w:tc>
        <w:tc>
          <w:tcPr>
            <w:tcW w:w="1880" w:type="dxa"/>
            <w:tcBorders>
              <w:top w:val="nil"/>
              <w:left w:val="nil"/>
              <w:bottom w:val="nil"/>
              <w:right w:val="nil"/>
            </w:tcBorders>
            <w:shd w:val="clear" w:color="auto" w:fill="auto"/>
            <w:noWrap/>
            <w:vAlign w:val="bottom"/>
            <w:hideMark/>
          </w:tcPr>
          <w:p w14:paraId="4EE5F005" w14:textId="77777777" w:rsidR="008A1E55" w:rsidRPr="00194B64" w:rsidRDefault="008A1E55" w:rsidP="00E16CAE">
            <w:pPr>
              <w:jc w:val="right"/>
              <w:rPr>
                <w:sz w:val="18"/>
                <w:szCs w:val="18"/>
              </w:rPr>
            </w:pPr>
            <w:r w:rsidRPr="00194B64">
              <w:rPr>
                <w:sz w:val="18"/>
                <w:szCs w:val="18"/>
              </w:rPr>
              <w:t>4.1</w:t>
            </w:r>
          </w:p>
        </w:tc>
      </w:tr>
      <w:tr w:rsidR="006B42D6" w:rsidRPr="006B42D6" w14:paraId="460F2D69" w14:textId="77777777" w:rsidTr="00194B64">
        <w:trPr>
          <w:trHeight w:val="340"/>
        </w:trPr>
        <w:tc>
          <w:tcPr>
            <w:tcW w:w="2804" w:type="dxa"/>
            <w:tcBorders>
              <w:top w:val="nil"/>
              <w:left w:val="nil"/>
              <w:bottom w:val="nil"/>
              <w:right w:val="nil"/>
            </w:tcBorders>
            <w:shd w:val="clear" w:color="auto" w:fill="auto"/>
            <w:noWrap/>
            <w:vAlign w:val="bottom"/>
            <w:hideMark/>
          </w:tcPr>
          <w:p w14:paraId="3C239A10" w14:textId="77777777" w:rsidR="008A1E55" w:rsidRPr="00194B64" w:rsidRDefault="008A1E55" w:rsidP="00E16CAE">
            <w:pPr>
              <w:rPr>
                <w:sz w:val="18"/>
                <w:szCs w:val="18"/>
              </w:rPr>
            </w:pPr>
            <w:r w:rsidRPr="00194B64">
              <w:rPr>
                <w:sz w:val="18"/>
                <w:szCs w:val="18"/>
              </w:rPr>
              <w:t>Television</w:t>
            </w:r>
          </w:p>
        </w:tc>
        <w:tc>
          <w:tcPr>
            <w:tcW w:w="1880" w:type="dxa"/>
            <w:tcBorders>
              <w:top w:val="nil"/>
              <w:left w:val="nil"/>
              <w:bottom w:val="nil"/>
              <w:right w:val="nil"/>
            </w:tcBorders>
            <w:shd w:val="clear" w:color="auto" w:fill="auto"/>
            <w:noWrap/>
            <w:vAlign w:val="bottom"/>
            <w:hideMark/>
          </w:tcPr>
          <w:p w14:paraId="3CDA1A93" w14:textId="77777777" w:rsidR="008A1E55" w:rsidRPr="00194B64" w:rsidRDefault="008A1E55" w:rsidP="00E16CAE">
            <w:pPr>
              <w:jc w:val="right"/>
              <w:rPr>
                <w:sz w:val="18"/>
                <w:szCs w:val="18"/>
              </w:rPr>
            </w:pPr>
            <w:r w:rsidRPr="00194B64">
              <w:rPr>
                <w:sz w:val="18"/>
                <w:szCs w:val="18"/>
              </w:rPr>
              <w:t>19.0</w:t>
            </w:r>
          </w:p>
        </w:tc>
        <w:tc>
          <w:tcPr>
            <w:tcW w:w="1760" w:type="dxa"/>
            <w:tcBorders>
              <w:top w:val="nil"/>
              <w:left w:val="nil"/>
              <w:bottom w:val="nil"/>
              <w:right w:val="nil"/>
            </w:tcBorders>
            <w:shd w:val="clear" w:color="auto" w:fill="auto"/>
            <w:noWrap/>
            <w:vAlign w:val="bottom"/>
            <w:hideMark/>
          </w:tcPr>
          <w:p w14:paraId="163A4D2D" w14:textId="77777777" w:rsidR="008A1E55" w:rsidRPr="00194B64" w:rsidRDefault="008A1E55" w:rsidP="00E16CAE">
            <w:pPr>
              <w:jc w:val="right"/>
              <w:rPr>
                <w:sz w:val="18"/>
                <w:szCs w:val="18"/>
              </w:rPr>
            </w:pPr>
            <w:r w:rsidRPr="00194B64">
              <w:rPr>
                <w:sz w:val="18"/>
                <w:szCs w:val="18"/>
              </w:rPr>
              <w:t>18.8</w:t>
            </w:r>
          </w:p>
        </w:tc>
        <w:tc>
          <w:tcPr>
            <w:tcW w:w="1880" w:type="dxa"/>
            <w:tcBorders>
              <w:top w:val="nil"/>
              <w:left w:val="nil"/>
              <w:bottom w:val="nil"/>
              <w:right w:val="nil"/>
            </w:tcBorders>
            <w:shd w:val="clear" w:color="auto" w:fill="auto"/>
            <w:noWrap/>
            <w:vAlign w:val="bottom"/>
            <w:hideMark/>
          </w:tcPr>
          <w:p w14:paraId="55AF6DAB" w14:textId="77777777" w:rsidR="008A1E55" w:rsidRPr="00194B64" w:rsidRDefault="008A1E55" w:rsidP="00E16CAE">
            <w:pPr>
              <w:jc w:val="right"/>
              <w:rPr>
                <w:sz w:val="18"/>
                <w:szCs w:val="18"/>
              </w:rPr>
            </w:pPr>
            <w:r w:rsidRPr="00194B64">
              <w:rPr>
                <w:sz w:val="18"/>
                <w:szCs w:val="18"/>
              </w:rPr>
              <w:t>26.2</w:t>
            </w:r>
          </w:p>
        </w:tc>
      </w:tr>
      <w:tr w:rsidR="006B42D6" w:rsidRPr="006B42D6" w14:paraId="79764C97" w14:textId="77777777" w:rsidTr="00194B64">
        <w:trPr>
          <w:trHeight w:val="340"/>
        </w:trPr>
        <w:tc>
          <w:tcPr>
            <w:tcW w:w="2804" w:type="dxa"/>
            <w:tcBorders>
              <w:top w:val="nil"/>
              <w:left w:val="nil"/>
              <w:bottom w:val="nil"/>
              <w:right w:val="nil"/>
            </w:tcBorders>
            <w:shd w:val="clear" w:color="auto" w:fill="auto"/>
            <w:noWrap/>
            <w:vAlign w:val="bottom"/>
            <w:hideMark/>
          </w:tcPr>
          <w:p w14:paraId="4F4DEB63" w14:textId="77777777" w:rsidR="008A1E55" w:rsidRPr="00194B64" w:rsidRDefault="008A1E55" w:rsidP="00E16CAE">
            <w:pPr>
              <w:rPr>
                <w:sz w:val="18"/>
                <w:szCs w:val="18"/>
              </w:rPr>
            </w:pPr>
            <w:r w:rsidRPr="00194B64">
              <w:rPr>
                <w:sz w:val="18"/>
                <w:szCs w:val="18"/>
              </w:rPr>
              <w:t>Refrigerator</w:t>
            </w:r>
          </w:p>
        </w:tc>
        <w:tc>
          <w:tcPr>
            <w:tcW w:w="1880" w:type="dxa"/>
            <w:tcBorders>
              <w:top w:val="nil"/>
              <w:left w:val="nil"/>
              <w:bottom w:val="nil"/>
              <w:right w:val="nil"/>
            </w:tcBorders>
            <w:shd w:val="clear" w:color="auto" w:fill="auto"/>
            <w:noWrap/>
            <w:vAlign w:val="bottom"/>
            <w:hideMark/>
          </w:tcPr>
          <w:p w14:paraId="7B4C116C" w14:textId="77777777" w:rsidR="008A1E55" w:rsidRPr="00194B64" w:rsidRDefault="008A1E55" w:rsidP="00E16CAE">
            <w:pPr>
              <w:jc w:val="right"/>
              <w:rPr>
                <w:sz w:val="18"/>
                <w:szCs w:val="18"/>
              </w:rPr>
            </w:pPr>
            <w:r w:rsidRPr="00194B64">
              <w:rPr>
                <w:sz w:val="18"/>
                <w:szCs w:val="18"/>
              </w:rPr>
              <w:t>6.2</w:t>
            </w:r>
          </w:p>
        </w:tc>
        <w:tc>
          <w:tcPr>
            <w:tcW w:w="1760" w:type="dxa"/>
            <w:tcBorders>
              <w:top w:val="nil"/>
              <w:left w:val="nil"/>
              <w:bottom w:val="nil"/>
              <w:right w:val="nil"/>
            </w:tcBorders>
            <w:shd w:val="clear" w:color="auto" w:fill="auto"/>
            <w:noWrap/>
            <w:vAlign w:val="bottom"/>
            <w:hideMark/>
          </w:tcPr>
          <w:p w14:paraId="304561FC" w14:textId="77777777" w:rsidR="008A1E55" w:rsidRPr="00194B64" w:rsidRDefault="008A1E55" w:rsidP="00E16CAE">
            <w:pPr>
              <w:jc w:val="right"/>
              <w:rPr>
                <w:sz w:val="18"/>
                <w:szCs w:val="18"/>
              </w:rPr>
            </w:pPr>
            <w:r w:rsidRPr="00194B64">
              <w:rPr>
                <w:sz w:val="18"/>
                <w:szCs w:val="18"/>
              </w:rPr>
              <w:t>5.9</w:t>
            </w:r>
          </w:p>
        </w:tc>
        <w:tc>
          <w:tcPr>
            <w:tcW w:w="1880" w:type="dxa"/>
            <w:tcBorders>
              <w:top w:val="nil"/>
              <w:left w:val="nil"/>
              <w:bottom w:val="nil"/>
              <w:right w:val="nil"/>
            </w:tcBorders>
            <w:shd w:val="clear" w:color="auto" w:fill="auto"/>
            <w:noWrap/>
            <w:vAlign w:val="bottom"/>
            <w:hideMark/>
          </w:tcPr>
          <w:p w14:paraId="70CCBCDD" w14:textId="77777777" w:rsidR="008A1E55" w:rsidRPr="00194B64" w:rsidRDefault="008A1E55" w:rsidP="00E16CAE">
            <w:pPr>
              <w:jc w:val="right"/>
              <w:rPr>
                <w:sz w:val="18"/>
                <w:szCs w:val="18"/>
              </w:rPr>
            </w:pPr>
            <w:r w:rsidRPr="00194B64">
              <w:rPr>
                <w:sz w:val="18"/>
                <w:szCs w:val="18"/>
              </w:rPr>
              <w:t>18.5</w:t>
            </w:r>
          </w:p>
        </w:tc>
      </w:tr>
      <w:tr w:rsidR="006B42D6" w:rsidRPr="006B42D6" w14:paraId="10105F43" w14:textId="77777777" w:rsidTr="00194B64">
        <w:trPr>
          <w:trHeight w:val="340"/>
        </w:trPr>
        <w:tc>
          <w:tcPr>
            <w:tcW w:w="2804" w:type="dxa"/>
            <w:tcBorders>
              <w:top w:val="nil"/>
              <w:left w:val="nil"/>
              <w:bottom w:val="nil"/>
              <w:right w:val="nil"/>
            </w:tcBorders>
            <w:shd w:val="clear" w:color="auto" w:fill="auto"/>
            <w:noWrap/>
            <w:vAlign w:val="bottom"/>
            <w:hideMark/>
          </w:tcPr>
          <w:p w14:paraId="4A6522AF" w14:textId="4E70D7B2" w:rsidR="008A1E55" w:rsidRPr="00194B64" w:rsidRDefault="008A1E55" w:rsidP="00E16CAE">
            <w:pPr>
              <w:rPr>
                <w:sz w:val="18"/>
                <w:szCs w:val="18"/>
              </w:rPr>
            </w:pPr>
            <w:r w:rsidRPr="00194B64">
              <w:rPr>
                <w:sz w:val="18"/>
                <w:szCs w:val="18"/>
              </w:rPr>
              <w:t xml:space="preserve">Motor </w:t>
            </w:r>
            <w:r w:rsidR="00194B64" w:rsidRPr="00194B64">
              <w:rPr>
                <w:sz w:val="18"/>
                <w:szCs w:val="18"/>
              </w:rPr>
              <w:t>c</w:t>
            </w:r>
            <w:r w:rsidRPr="00194B64">
              <w:rPr>
                <w:sz w:val="18"/>
                <w:szCs w:val="18"/>
              </w:rPr>
              <w:t>ycle</w:t>
            </w:r>
          </w:p>
        </w:tc>
        <w:tc>
          <w:tcPr>
            <w:tcW w:w="1880" w:type="dxa"/>
            <w:tcBorders>
              <w:top w:val="nil"/>
              <w:left w:val="nil"/>
              <w:bottom w:val="nil"/>
              <w:right w:val="nil"/>
            </w:tcBorders>
            <w:shd w:val="clear" w:color="auto" w:fill="auto"/>
            <w:noWrap/>
            <w:vAlign w:val="bottom"/>
            <w:hideMark/>
          </w:tcPr>
          <w:p w14:paraId="24F067B8" w14:textId="77777777" w:rsidR="008A1E55" w:rsidRPr="00194B64" w:rsidRDefault="008A1E55" w:rsidP="00E16CAE">
            <w:pPr>
              <w:jc w:val="right"/>
              <w:rPr>
                <w:sz w:val="18"/>
                <w:szCs w:val="18"/>
              </w:rPr>
            </w:pPr>
            <w:r w:rsidRPr="00194B64">
              <w:rPr>
                <w:sz w:val="18"/>
                <w:szCs w:val="18"/>
              </w:rPr>
              <w:t>12.4</w:t>
            </w:r>
          </w:p>
        </w:tc>
        <w:tc>
          <w:tcPr>
            <w:tcW w:w="1760" w:type="dxa"/>
            <w:tcBorders>
              <w:top w:val="nil"/>
              <w:left w:val="nil"/>
              <w:bottom w:val="nil"/>
              <w:right w:val="nil"/>
            </w:tcBorders>
            <w:shd w:val="clear" w:color="auto" w:fill="auto"/>
            <w:noWrap/>
            <w:vAlign w:val="bottom"/>
            <w:hideMark/>
          </w:tcPr>
          <w:p w14:paraId="35C7D702" w14:textId="77777777" w:rsidR="008A1E55" w:rsidRPr="00194B64" w:rsidRDefault="008A1E55" w:rsidP="00E16CAE">
            <w:pPr>
              <w:jc w:val="right"/>
              <w:rPr>
                <w:sz w:val="18"/>
                <w:szCs w:val="18"/>
              </w:rPr>
            </w:pPr>
            <w:r w:rsidRPr="00194B64">
              <w:rPr>
                <w:sz w:val="18"/>
                <w:szCs w:val="18"/>
              </w:rPr>
              <w:t>12.4</w:t>
            </w:r>
          </w:p>
        </w:tc>
        <w:tc>
          <w:tcPr>
            <w:tcW w:w="1880" w:type="dxa"/>
            <w:tcBorders>
              <w:top w:val="nil"/>
              <w:left w:val="nil"/>
              <w:bottom w:val="nil"/>
              <w:right w:val="nil"/>
            </w:tcBorders>
            <w:shd w:val="clear" w:color="auto" w:fill="auto"/>
            <w:noWrap/>
            <w:vAlign w:val="bottom"/>
            <w:hideMark/>
          </w:tcPr>
          <w:p w14:paraId="4E904769" w14:textId="77777777" w:rsidR="008A1E55" w:rsidRPr="00194B64" w:rsidRDefault="008A1E55" w:rsidP="00E16CAE">
            <w:pPr>
              <w:jc w:val="right"/>
              <w:rPr>
                <w:sz w:val="18"/>
                <w:szCs w:val="18"/>
              </w:rPr>
            </w:pPr>
            <w:r w:rsidRPr="00194B64">
              <w:rPr>
                <w:sz w:val="18"/>
                <w:szCs w:val="18"/>
              </w:rPr>
              <w:t>13.8</w:t>
            </w:r>
          </w:p>
        </w:tc>
      </w:tr>
      <w:tr w:rsidR="006B42D6" w:rsidRPr="006B42D6" w14:paraId="29D6CB74" w14:textId="77777777" w:rsidTr="00194B64">
        <w:trPr>
          <w:trHeight w:val="340"/>
        </w:trPr>
        <w:tc>
          <w:tcPr>
            <w:tcW w:w="2804" w:type="dxa"/>
            <w:tcBorders>
              <w:top w:val="nil"/>
              <w:left w:val="nil"/>
              <w:bottom w:val="nil"/>
              <w:right w:val="nil"/>
            </w:tcBorders>
            <w:shd w:val="clear" w:color="auto" w:fill="auto"/>
            <w:noWrap/>
            <w:vAlign w:val="bottom"/>
            <w:hideMark/>
          </w:tcPr>
          <w:p w14:paraId="5F235831" w14:textId="77777777" w:rsidR="008A1E55" w:rsidRPr="00194B64" w:rsidRDefault="008A1E55" w:rsidP="00E16CAE">
            <w:pPr>
              <w:rPr>
                <w:sz w:val="18"/>
                <w:szCs w:val="18"/>
              </w:rPr>
            </w:pPr>
            <w:r w:rsidRPr="00194B64">
              <w:rPr>
                <w:sz w:val="18"/>
                <w:szCs w:val="18"/>
              </w:rPr>
              <w:t>Tricycle</w:t>
            </w:r>
          </w:p>
        </w:tc>
        <w:tc>
          <w:tcPr>
            <w:tcW w:w="1880" w:type="dxa"/>
            <w:tcBorders>
              <w:top w:val="nil"/>
              <w:left w:val="nil"/>
              <w:bottom w:val="nil"/>
              <w:right w:val="nil"/>
            </w:tcBorders>
            <w:shd w:val="clear" w:color="auto" w:fill="auto"/>
            <w:noWrap/>
            <w:vAlign w:val="bottom"/>
            <w:hideMark/>
          </w:tcPr>
          <w:p w14:paraId="69FB3B3F" w14:textId="77777777" w:rsidR="008A1E55" w:rsidRPr="00194B64" w:rsidRDefault="008A1E55" w:rsidP="00E16CAE">
            <w:pPr>
              <w:jc w:val="right"/>
              <w:rPr>
                <w:sz w:val="18"/>
                <w:szCs w:val="18"/>
              </w:rPr>
            </w:pPr>
            <w:r w:rsidRPr="00194B64">
              <w:rPr>
                <w:sz w:val="18"/>
                <w:szCs w:val="18"/>
              </w:rPr>
              <w:t>0.4</w:t>
            </w:r>
          </w:p>
        </w:tc>
        <w:tc>
          <w:tcPr>
            <w:tcW w:w="1760" w:type="dxa"/>
            <w:tcBorders>
              <w:top w:val="nil"/>
              <w:left w:val="nil"/>
              <w:bottom w:val="nil"/>
              <w:right w:val="nil"/>
            </w:tcBorders>
            <w:shd w:val="clear" w:color="auto" w:fill="auto"/>
            <w:noWrap/>
            <w:vAlign w:val="bottom"/>
            <w:hideMark/>
          </w:tcPr>
          <w:p w14:paraId="661CCBDB" w14:textId="77777777" w:rsidR="008A1E55" w:rsidRPr="00194B64" w:rsidRDefault="008A1E55" w:rsidP="00E16CAE">
            <w:pPr>
              <w:jc w:val="right"/>
              <w:rPr>
                <w:sz w:val="18"/>
                <w:szCs w:val="18"/>
              </w:rPr>
            </w:pPr>
            <w:r w:rsidRPr="00194B64">
              <w:rPr>
                <w:sz w:val="18"/>
                <w:szCs w:val="18"/>
              </w:rPr>
              <w:t>0.4</w:t>
            </w:r>
          </w:p>
        </w:tc>
        <w:tc>
          <w:tcPr>
            <w:tcW w:w="1880" w:type="dxa"/>
            <w:tcBorders>
              <w:top w:val="nil"/>
              <w:left w:val="nil"/>
              <w:bottom w:val="nil"/>
              <w:right w:val="nil"/>
            </w:tcBorders>
            <w:shd w:val="clear" w:color="auto" w:fill="auto"/>
            <w:noWrap/>
            <w:vAlign w:val="bottom"/>
            <w:hideMark/>
          </w:tcPr>
          <w:p w14:paraId="79C586F1" w14:textId="77777777" w:rsidR="008A1E55" w:rsidRPr="00194B64" w:rsidRDefault="008A1E55" w:rsidP="00E16CAE">
            <w:pPr>
              <w:jc w:val="right"/>
              <w:rPr>
                <w:sz w:val="18"/>
                <w:szCs w:val="18"/>
              </w:rPr>
            </w:pPr>
            <w:r w:rsidRPr="00194B64">
              <w:rPr>
                <w:sz w:val="18"/>
                <w:szCs w:val="18"/>
              </w:rPr>
              <w:t>0.2</w:t>
            </w:r>
          </w:p>
        </w:tc>
      </w:tr>
      <w:tr w:rsidR="006B42D6" w:rsidRPr="006B42D6" w14:paraId="3A0E1E6D" w14:textId="77777777" w:rsidTr="00194B64">
        <w:trPr>
          <w:trHeight w:val="340"/>
        </w:trPr>
        <w:tc>
          <w:tcPr>
            <w:tcW w:w="2804" w:type="dxa"/>
            <w:tcBorders>
              <w:top w:val="nil"/>
              <w:left w:val="nil"/>
              <w:bottom w:val="nil"/>
              <w:right w:val="nil"/>
            </w:tcBorders>
            <w:shd w:val="clear" w:color="auto" w:fill="auto"/>
            <w:noWrap/>
            <w:vAlign w:val="bottom"/>
            <w:hideMark/>
          </w:tcPr>
          <w:p w14:paraId="3047FD61" w14:textId="77777777" w:rsidR="008A1E55" w:rsidRPr="00194B64" w:rsidRDefault="008A1E55" w:rsidP="00E16CAE">
            <w:pPr>
              <w:rPr>
                <w:sz w:val="18"/>
                <w:szCs w:val="18"/>
              </w:rPr>
            </w:pPr>
            <w:r w:rsidRPr="00194B64">
              <w:rPr>
                <w:sz w:val="18"/>
                <w:szCs w:val="18"/>
              </w:rPr>
              <w:t>Personal computer/laptop</w:t>
            </w:r>
          </w:p>
        </w:tc>
        <w:tc>
          <w:tcPr>
            <w:tcW w:w="1880" w:type="dxa"/>
            <w:tcBorders>
              <w:top w:val="nil"/>
              <w:left w:val="nil"/>
              <w:bottom w:val="nil"/>
              <w:right w:val="nil"/>
            </w:tcBorders>
            <w:shd w:val="clear" w:color="auto" w:fill="auto"/>
            <w:noWrap/>
            <w:vAlign w:val="bottom"/>
            <w:hideMark/>
          </w:tcPr>
          <w:p w14:paraId="54D03CB7" w14:textId="77777777" w:rsidR="008A1E55" w:rsidRPr="00194B64" w:rsidRDefault="008A1E55" w:rsidP="00E16CAE">
            <w:pPr>
              <w:jc w:val="right"/>
              <w:rPr>
                <w:sz w:val="18"/>
                <w:szCs w:val="18"/>
              </w:rPr>
            </w:pPr>
            <w:r w:rsidRPr="00194B64">
              <w:rPr>
                <w:sz w:val="18"/>
                <w:szCs w:val="18"/>
              </w:rPr>
              <w:t>2.2</w:t>
            </w:r>
          </w:p>
        </w:tc>
        <w:tc>
          <w:tcPr>
            <w:tcW w:w="1760" w:type="dxa"/>
            <w:tcBorders>
              <w:top w:val="nil"/>
              <w:left w:val="nil"/>
              <w:bottom w:val="nil"/>
              <w:right w:val="nil"/>
            </w:tcBorders>
            <w:shd w:val="clear" w:color="auto" w:fill="auto"/>
            <w:noWrap/>
            <w:vAlign w:val="bottom"/>
            <w:hideMark/>
          </w:tcPr>
          <w:p w14:paraId="53B62773" w14:textId="77777777" w:rsidR="008A1E55" w:rsidRPr="00194B64" w:rsidRDefault="008A1E55" w:rsidP="00E16CAE">
            <w:pPr>
              <w:jc w:val="right"/>
              <w:rPr>
                <w:sz w:val="18"/>
                <w:szCs w:val="18"/>
              </w:rPr>
            </w:pPr>
            <w:r w:rsidRPr="00194B64">
              <w:rPr>
                <w:sz w:val="18"/>
                <w:szCs w:val="18"/>
              </w:rPr>
              <w:t>2.2</w:t>
            </w:r>
          </w:p>
        </w:tc>
        <w:tc>
          <w:tcPr>
            <w:tcW w:w="1880" w:type="dxa"/>
            <w:tcBorders>
              <w:top w:val="nil"/>
              <w:left w:val="nil"/>
              <w:bottom w:val="nil"/>
              <w:right w:val="nil"/>
            </w:tcBorders>
            <w:shd w:val="clear" w:color="auto" w:fill="auto"/>
            <w:noWrap/>
            <w:vAlign w:val="bottom"/>
            <w:hideMark/>
          </w:tcPr>
          <w:p w14:paraId="0E1440FF" w14:textId="77777777" w:rsidR="008A1E55" w:rsidRPr="00194B64" w:rsidRDefault="008A1E55" w:rsidP="00E16CAE">
            <w:pPr>
              <w:jc w:val="right"/>
              <w:rPr>
                <w:sz w:val="18"/>
                <w:szCs w:val="18"/>
              </w:rPr>
            </w:pPr>
            <w:r w:rsidRPr="00194B64">
              <w:rPr>
                <w:sz w:val="18"/>
                <w:szCs w:val="18"/>
              </w:rPr>
              <w:t>2.9</w:t>
            </w:r>
          </w:p>
        </w:tc>
      </w:tr>
      <w:tr w:rsidR="006B42D6" w:rsidRPr="006B42D6" w14:paraId="61CB7872" w14:textId="77777777" w:rsidTr="00194B64">
        <w:trPr>
          <w:trHeight w:val="340"/>
        </w:trPr>
        <w:tc>
          <w:tcPr>
            <w:tcW w:w="2804" w:type="dxa"/>
            <w:tcBorders>
              <w:top w:val="nil"/>
              <w:left w:val="nil"/>
              <w:bottom w:val="nil"/>
              <w:right w:val="nil"/>
            </w:tcBorders>
            <w:shd w:val="clear" w:color="auto" w:fill="auto"/>
            <w:noWrap/>
            <w:vAlign w:val="bottom"/>
            <w:hideMark/>
          </w:tcPr>
          <w:p w14:paraId="4AB20062" w14:textId="5A0FB6A2" w:rsidR="008A1E55" w:rsidRPr="00194B64" w:rsidRDefault="008A1E55" w:rsidP="00E16CAE">
            <w:pPr>
              <w:rPr>
                <w:sz w:val="18"/>
                <w:szCs w:val="18"/>
              </w:rPr>
            </w:pPr>
            <w:r w:rsidRPr="00194B64">
              <w:rPr>
                <w:sz w:val="18"/>
                <w:szCs w:val="18"/>
              </w:rPr>
              <w:t>Kerosene lamp</w:t>
            </w:r>
          </w:p>
        </w:tc>
        <w:tc>
          <w:tcPr>
            <w:tcW w:w="1880" w:type="dxa"/>
            <w:tcBorders>
              <w:top w:val="nil"/>
              <w:left w:val="nil"/>
              <w:bottom w:val="nil"/>
              <w:right w:val="nil"/>
            </w:tcBorders>
            <w:shd w:val="clear" w:color="auto" w:fill="auto"/>
            <w:noWrap/>
            <w:vAlign w:val="bottom"/>
            <w:hideMark/>
          </w:tcPr>
          <w:p w14:paraId="29C57FB4" w14:textId="77777777" w:rsidR="008A1E55" w:rsidRPr="00194B64" w:rsidRDefault="008A1E55" w:rsidP="00E16CAE">
            <w:pPr>
              <w:jc w:val="right"/>
              <w:rPr>
                <w:sz w:val="18"/>
                <w:szCs w:val="18"/>
              </w:rPr>
            </w:pPr>
            <w:r w:rsidRPr="00194B64">
              <w:rPr>
                <w:sz w:val="18"/>
                <w:szCs w:val="18"/>
              </w:rPr>
              <w:t>16.1</w:t>
            </w:r>
          </w:p>
        </w:tc>
        <w:tc>
          <w:tcPr>
            <w:tcW w:w="1760" w:type="dxa"/>
            <w:tcBorders>
              <w:top w:val="nil"/>
              <w:left w:val="nil"/>
              <w:bottom w:val="nil"/>
              <w:right w:val="nil"/>
            </w:tcBorders>
            <w:shd w:val="clear" w:color="auto" w:fill="auto"/>
            <w:noWrap/>
            <w:vAlign w:val="bottom"/>
            <w:hideMark/>
          </w:tcPr>
          <w:p w14:paraId="18C0D68A" w14:textId="77777777" w:rsidR="008A1E55" w:rsidRPr="00194B64" w:rsidRDefault="008A1E55" w:rsidP="00E16CAE">
            <w:pPr>
              <w:jc w:val="right"/>
              <w:rPr>
                <w:sz w:val="18"/>
                <w:szCs w:val="18"/>
              </w:rPr>
            </w:pPr>
            <w:r w:rsidRPr="00194B64">
              <w:rPr>
                <w:sz w:val="18"/>
                <w:szCs w:val="18"/>
              </w:rPr>
              <w:t>14.7</w:t>
            </w:r>
          </w:p>
        </w:tc>
        <w:tc>
          <w:tcPr>
            <w:tcW w:w="1880" w:type="dxa"/>
            <w:tcBorders>
              <w:top w:val="nil"/>
              <w:left w:val="nil"/>
              <w:bottom w:val="nil"/>
              <w:right w:val="nil"/>
            </w:tcBorders>
            <w:shd w:val="clear" w:color="auto" w:fill="auto"/>
            <w:noWrap/>
            <w:vAlign w:val="bottom"/>
            <w:hideMark/>
          </w:tcPr>
          <w:p w14:paraId="38F31DD0" w14:textId="77777777" w:rsidR="008A1E55" w:rsidRPr="00194B64" w:rsidRDefault="008A1E55" w:rsidP="00E16CAE">
            <w:pPr>
              <w:jc w:val="right"/>
              <w:rPr>
                <w:sz w:val="18"/>
                <w:szCs w:val="18"/>
              </w:rPr>
            </w:pPr>
            <w:r w:rsidRPr="00194B64">
              <w:rPr>
                <w:sz w:val="18"/>
                <w:szCs w:val="18"/>
              </w:rPr>
              <w:t>74.9</w:t>
            </w:r>
          </w:p>
        </w:tc>
      </w:tr>
      <w:tr w:rsidR="006B42D6" w:rsidRPr="006B42D6" w14:paraId="775CBAA4" w14:textId="77777777" w:rsidTr="00194B64">
        <w:trPr>
          <w:trHeight w:val="340"/>
        </w:trPr>
        <w:tc>
          <w:tcPr>
            <w:tcW w:w="2804" w:type="dxa"/>
            <w:tcBorders>
              <w:top w:val="nil"/>
              <w:left w:val="nil"/>
              <w:bottom w:val="nil"/>
              <w:right w:val="nil"/>
            </w:tcBorders>
            <w:shd w:val="clear" w:color="auto" w:fill="auto"/>
            <w:noWrap/>
            <w:vAlign w:val="bottom"/>
            <w:hideMark/>
          </w:tcPr>
          <w:p w14:paraId="55D89CFB" w14:textId="77777777" w:rsidR="008A1E55" w:rsidRPr="00194B64" w:rsidRDefault="008A1E55" w:rsidP="00E16CAE">
            <w:pPr>
              <w:rPr>
                <w:sz w:val="18"/>
                <w:szCs w:val="18"/>
              </w:rPr>
            </w:pPr>
            <w:r w:rsidRPr="00194B64">
              <w:rPr>
                <w:sz w:val="18"/>
                <w:szCs w:val="18"/>
              </w:rPr>
              <w:t>Solar panel</w:t>
            </w:r>
          </w:p>
        </w:tc>
        <w:tc>
          <w:tcPr>
            <w:tcW w:w="1880" w:type="dxa"/>
            <w:tcBorders>
              <w:top w:val="nil"/>
              <w:left w:val="nil"/>
              <w:bottom w:val="nil"/>
              <w:right w:val="nil"/>
            </w:tcBorders>
            <w:shd w:val="clear" w:color="auto" w:fill="auto"/>
            <w:noWrap/>
            <w:vAlign w:val="bottom"/>
            <w:hideMark/>
          </w:tcPr>
          <w:p w14:paraId="720B34C7" w14:textId="77777777" w:rsidR="008A1E55" w:rsidRPr="00194B64" w:rsidRDefault="008A1E55" w:rsidP="00E16CAE">
            <w:pPr>
              <w:jc w:val="right"/>
              <w:rPr>
                <w:sz w:val="18"/>
                <w:szCs w:val="18"/>
              </w:rPr>
            </w:pPr>
            <w:r w:rsidRPr="00194B64">
              <w:rPr>
                <w:sz w:val="18"/>
                <w:szCs w:val="18"/>
              </w:rPr>
              <w:t>45.8</w:t>
            </w:r>
          </w:p>
        </w:tc>
        <w:tc>
          <w:tcPr>
            <w:tcW w:w="1760" w:type="dxa"/>
            <w:tcBorders>
              <w:top w:val="nil"/>
              <w:left w:val="nil"/>
              <w:bottom w:val="nil"/>
              <w:right w:val="nil"/>
            </w:tcBorders>
            <w:shd w:val="clear" w:color="auto" w:fill="auto"/>
            <w:noWrap/>
            <w:vAlign w:val="bottom"/>
            <w:hideMark/>
          </w:tcPr>
          <w:p w14:paraId="32F4B034" w14:textId="77777777" w:rsidR="008A1E55" w:rsidRPr="00194B64" w:rsidRDefault="008A1E55" w:rsidP="00E16CAE">
            <w:pPr>
              <w:jc w:val="right"/>
              <w:rPr>
                <w:sz w:val="18"/>
                <w:szCs w:val="18"/>
              </w:rPr>
            </w:pPr>
            <w:r w:rsidRPr="00194B64">
              <w:rPr>
                <w:sz w:val="18"/>
                <w:szCs w:val="18"/>
              </w:rPr>
              <w:t>46.5</w:t>
            </w:r>
          </w:p>
        </w:tc>
        <w:tc>
          <w:tcPr>
            <w:tcW w:w="1880" w:type="dxa"/>
            <w:tcBorders>
              <w:top w:val="nil"/>
              <w:left w:val="nil"/>
              <w:bottom w:val="nil"/>
              <w:right w:val="nil"/>
            </w:tcBorders>
            <w:shd w:val="clear" w:color="auto" w:fill="auto"/>
            <w:noWrap/>
            <w:vAlign w:val="bottom"/>
            <w:hideMark/>
          </w:tcPr>
          <w:p w14:paraId="701882BF" w14:textId="77777777" w:rsidR="008A1E55" w:rsidRPr="00194B64" w:rsidRDefault="008A1E55" w:rsidP="00E16CAE">
            <w:pPr>
              <w:jc w:val="right"/>
              <w:rPr>
                <w:sz w:val="18"/>
                <w:szCs w:val="18"/>
              </w:rPr>
            </w:pPr>
            <w:r w:rsidRPr="00194B64">
              <w:rPr>
                <w:sz w:val="18"/>
                <w:szCs w:val="18"/>
              </w:rPr>
              <w:t>12.3</w:t>
            </w:r>
          </w:p>
        </w:tc>
      </w:tr>
      <w:tr w:rsidR="006B42D6" w:rsidRPr="006B42D6" w14:paraId="0D581820" w14:textId="77777777" w:rsidTr="00194B64">
        <w:trPr>
          <w:trHeight w:val="340"/>
        </w:trPr>
        <w:tc>
          <w:tcPr>
            <w:tcW w:w="2804" w:type="dxa"/>
            <w:tcBorders>
              <w:top w:val="nil"/>
              <w:left w:val="nil"/>
              <w:bottom w:val="nil"/>
              <w:right w:val="nil"/>
            </w:tcBorders>
            <w:shd w:val="clear" w:color="auto" w:fill="auto"/>
            <w:noWrap/>
            <w:vAlign w:val="bottom"/>
            <w:hideMark/>
          </w:tcPr>
          <w:p w14:paraId="3B711D17" w14:textId="77777777" w:rsidR="008A1E55" w:rsidRPr="00194B64" w:rsidRDefault="008A1E55" w:rsidP="00E16CAE">
            <w:pPr>
              <w:rPr>
                <w:sz w:val="18"/>
                <w:szCs w:val="18"/>
              </w:rPr>
            </w:pPr>
            <w:r w:rsidRPr="00194B64">
              <w:rPr>
                <w:sz w:val="18"/>
                <w:szCs w:val="18"/>
              </w:rPr>
              <w:t>Generator</w:t>
            </w:r>
          </w:p>
        </w:tc>
        <w:tc>
          <w:tcPr>
            <w:tcW w:w="1880" w:type="dxa"/>
            <w:tcBorders>
              <w:top w:val="nil"/>
              <w:left w:val="nil"/>
              <w:bottom w:val="nil"/>
              <w:right w:val="nil"/>
            </w:tcBorders>
            <w:shd w:val="clear" w:color="auto" w:fill="auto"/>
            <w:noWrap/>
            <w:vAlign w:val="bottom"/>
            <w:hideMark/>
          </w:tcPr>
          <w:p w14:paraId="7D75CA67" w14:textId="77777777" w:rsidR="008A1E55" w:rsidRPr="00194B64" w:rsidRDefault="008A1E55" w:rsidP="00E16CAE">
            <w:pPr>
              <w:jc w:val="right"/>
              <w:rPr>
                <w:sz w:val="18"/>
                <w:szCs w:val="18"/>
              </w:rPr>
            </w:pPr>
            <w:r w:rsidRPr="00194B64">
              <w:rPr>
                <w:sz w:val="18"/>
                <w:szCs w:val="18"/>
              </w:rPr>
              <w:t>1.2</w:t>
            </w:r>
          </w:p>
        </w:tc>
        <w:tc>
          <w:tcPr>
            <w:tcW w:w="1760" w:type="dxa"/>
            <w:tcBorders>
              <w:top w:val="nil"/>
              <w:left w:val="nil"/>
              <w:bottom w:val="nil"/>
              <w:right w:val="nil"/>
            </w:tcBorders>
            <w:shd w:val="clear" w:color="auto" w:fill="auto"/>
            <w:noWrap/>
            <w:vAlign w:val="bottom"/>
            <w:hideMark/>
          </w:tcPr>
          <w:p w14:paraId="2AE2C376" w14:textId="77777777" w:rsidR="008A1E55" w:rsidRPr="00194B64" w:rsidRDefault="008A1E55" w:rsidP="00E16CAE">
            <w:pPr>
              <w:jc w:val="right"/>
              <w:rPr>
                <w:sz w:val="18"/>
                <w:szCs w:val="18"/>
              </w:rPr>
            </w:pPr>
            <w:r w:rsidRPr="00194B64">
              <w:rPr>
                <w:sz w:val="18"/>
                <w:szCs w:val="18"/>
              </w:rPr>
              <w:t>1.2</w:t>
            </w:r>
          </w:p>
        </w:tc>
        <w:tc>
          <w:tcPr>
            <w:tcW w:w="1880" w:type="dxa"/>
            <w:tcBorders>
              <w:top w:val="nil"/>
              <w:left w:val="nil"/>
              <w:bottom w:val="nil"/>
              <w:right w:val="nil"/>
            </w:tcBorders>
            <w:shd w:val="clear" w:color="auto" w:fill="auto"/>
            <w:noWrap/>
            <w:vAlign w:val="bottom"/>
            <w:hideMark/>
          </w:tcPr>
          <w:p w14:paraId="58714B06" w14:textId="77777777" w:rsidR="008A1E55" w:rsidRPr="00194B64" w:rsidRDefault="008A1E55" w:rsidP="00E16CAE">
            <w:pPr>
              <w:jc w:val="right"/>
              <w:rPr>
                <w:sz w:val="18"/>
                <w:szCs w:val="18"/>
              </w:rPr>
            </w:pPr>
            <w:r w:rsidRPr="00194B64">
              <w:rPr>
                <w:sz w:val="18"/>
                <w:szCs w:val="18"/>
              </w:rPr>
              <w:t>1.2</w:t>
            </w:r>
          </w:p>
        </w:tc>
      </w:tr>
      <w:tr w:rsidR="006B42D6" w:rsidRPr="006B42D6" w14:paraId="2F55262A" w14:textId="77777777" w:rsidTr="00194B64">
        <w:trPr>
          <w:trHeight w:val="340"/>
        </w:trPr>
        <w:tc>
          <w:tcPr>
            <w:tcW w:w="2804" w:type="dxa"/>
            <w:tcBorders>
              <w:top w:val="nil"/>
              <w:left w:val="nil"/>
              <w:right w:val="nil"/>
            </w:tcBorders>
            <w:shd w:val="clear" w:color="auto" w:fill="auto"/>
            <w:noWrap/>
            <w:vAlign w:val="bottom"/>
            <w:hideMark/>
          </w:tcPr>
          <w:p w14:paraId="07A2292B" w14:textId="101D7018" w:rsidR="008A1E55" w:rsidRPr="00194B64" w:rsidRDefault="008A1E55" w:rsidP="00E16CAE">
            <w:pPr>
              <w:rPr>
                <w:sz w:val="18"/>
                <w:szCs w:val="18"/>
              </w:rPr>
            </w:pPr>
            <w:r w:rsidRPr="00194B64">
              <w:rPr>
                <w:sz w:val="18"/>
                <w:szCs w:val="18"/>
              </w:rPr>
              <w:t>Electric/gas stove</w:t>
            </w:r>
          </w:p>
        </w:tc>
        <w:tc>
          <w:tcPr>
            <w:tcW w:w="1880" w:type="dxa"/>
            <w:tcBorders>
              <w:top w:val="nil"/>
              <w:left w:val="nil"/>
              <w:right w:val="nil"/>
            </w:tcBorders>
            <w:shd w:val="clear" w:color="auto" w:fill="auto"/>
            <w:noWrap/>
            <w:vAlign w:val="bottom"/>
            <w:hideMark/>
          </w:tcPr>
          <w:p w14:paraId="73120A2B" w14:textId="77777777" w:rsidR="008A1E55" w:rsidRPr="00194B64" w:rsidRDefault="008A1E55" w:rsidP="00E16CAE">
            <w:pPr>
              <w:jc w:val="right"/>
              <w:rPr>
                <w:sz w:val="18"/>
                <w:szCs w:val="18"/>
              </w:rPr>
            </w:pPr>
            <w:r w:rsidRPr="00194B64">
              <w:rPr>
                <w:sz w:val="18"/>
                <w:szCs w:val="18"/>
              </w:rPr>
              <w:t>9.6</w:t>
            </w:r>
          </w:p>
        </w:tc>
        <w:tc>
          <w:tcPr>
            <w:tcW w:w="1760" w:type="dxa"/>
            <w:tcBorders>
              <w:top w:val="nil"/>
              <w:left w:val="nil"/>
              <w:right w:val="nil"/>
            </w:tcBorders>
            <w:shd w:val="clear" w:color="auto" w:fill="auto"/>
            <w:noWrap/>
            <w:vAlign w:val="bottom"/>
            <w:hideMark/>
          </w:tcPr>
          <w:p w14:paraId="161D12A1" w14:textId="77777777" w:rsidR="008A1E55" w:rsidRPr="00194B64" w:rsidRDefault="008A1E55" w:rsidP="00E16CAE">
            <w:pPr>
              <w:jc w:val="right"/>
              <w:rPr>
                <w:sz w:val="18"/>
                <w:szCs w:val="18"/>
              </w:rPr>
            </w:pPr>
            <w:r w:rsidRPr="00194B64">
              <w:rPr>
                <w:sz w:val="18"/>
                <w:szCs w:val="18"/>
              </w:rPr>
              <w:t>9.5</w:t>
            </w:r>
          </w:p>
        </w:tc>
        <w:tc>
          <w:tcPr>
            <w:tcW w:w="1880" w:type="dxa"/>
            <w:tcBorders>
              <w:top w:val="nil"/>
              <w:left w:val="nil"/>
              <w:right w:val="nil"/>
            </w:tcBorders>
            <w:shd w:val="clear" w:color="auto" w:fill="auto"/>
            <w:noWrap/>
            <w:vAlign w:val="bottom"/>
            <w:hideMark/>
          </w:tcPr>
          <w:p w14:paraId="74605977" w14:textId="77777777" w:rsidR="008A1E55" w:rsidRPr="00194B64" w:rsidRDefault="008A1E55" w:rsidP="00E16CAE">
            <w:pPr>
              <w:jc w:val="right"/>
              <w:rPr>
                <w:sz w:val="18"/>
                <w:szCs w:val="18"/>
              </w:rPr>
            </w:pPr>
            <w:r w:rsidRPr="00194B64">
              <w:rPr>
                <w:sz w:val="18"/>
                <w:szCs w:val="18"/>
              </w:rPr>
              <w:t>12.8</w:t>
            </w:r>
          </w:p>
        </w:tc>
      </w:tr>
      <w:tr w:rsidR="008A1E55" w:rsidRPr="006B42D6" w14:paraId="0BD95E9F" w14:textId="77777777" w:rsidTr="00194B64">
        <w:trPr>
          <w:trHeight w:val="340"/>
        </w:trPr>
        <w:tc>
          <w:tcPr>
            <w:tcW w:w="2804" w:type="dxa"/>
            <w:tcBorders>
              <w:top w:val="nil"/>
              <w:left w:val="nil"/>
              <w:bottom w:val="single" w:sz="4" w:space="0" w:color="auto"/>
              <w:right w:val="nil"/>
            </w:tcBorders>
            <w:shd w:val="clear" w:color="auto" w:fill="auto"/>
            <w:noWrap/>
            <w:vAlign w:val="bottom"/>
            <w:hideMark/>
          </w:tcPr>
          <w:p w14:paraId="70A5DD84" w14:textId="77777777" w:rsidR="008A1E55" w:rsidRPr="00194B64" w:rsidRDefault="008A1E55" w:rsidP="00E16CAE">
            <w:pPr>
              <w:rPr>
                <w:sz w:val="18"/>
                <w:szCs w:val="18"/>
              </w:rPr>
            </w:pPr>
            <w:r w:rsidRPr="00194B64">
              <w:rPr>
                <w:sz w:val="18"/>
                <w:szCs w:val="18"/>
              </w:rPr>
              <w:t>Torch</w:t>
            </w:r>
          </w:p>
        </w:tc>
        <w:tc>
          <w:tcPr>
            <w:tcW w:w="1880" w:type="dxa"/>
            <w:tcBorders>
              <w:top w:val="nil"/>
              <w:left w:val="nil"/>
              <w:bottom w:val="single" w:sz="4" w:space="0" w:color="auto"/>
              <w:right w:val="nil"/>
            </w:tcBorders>
            <w:shd w:val="clear" w:color="auto" w:fill="auto"/>
            <w:noWrap/>
            <w:vAlign w:val="bottom"/>
            <w:hideMark/>
          </w:tcPr>
          <w:p w14:paraId="262FFD00" w14:textId="77777777" w:rsidR="008A1E55" w:rsidRPr="00194B64" w:rsidRDefault="008A1E55" w:rsidP="00E16CAE">
            <w:pPr>
              <w:jc w:val="right"/>
              <w:rPr>
                <w:sz w:val="18"/>
                <w:szCs w:val="18"/>
              </w:rPr>
            </w:pPr>
            <w:r w:rsidRPr="00194B64">
              <w:rPr>
                <w:sz w:val="18"/>
                <w:szCs w:val="18"/>
              </w:rPr>
              <w:t>63.3</w:t>
            </w:r>
          </w:p>
        </w:tc>
        <w:tc>
          <w:tcPr>
            <w:tcW w:w="1760" w:type="dxa"/>
            <w:tcBorders>
              <w:top w:val="nil"/>
              <w:left w:val="nil"/>
              <w:bottom w:val="single" w:sz="4" w:space="0" w:color="auto"/>
              <w:right w:val="nil"/>
            </w:tcBorders>
            <w:shd w:val="clear" w:color="auto" w:fill="auto"/>
            <w:noWrap/>
            <w:vAlign w:val="bottom"/>
            <w:hideMark/>
          </w:tcPr>
          <w:p w14:paraId="1A09C025" w14:textId="77777777" w:rsidR="008A1E55" w:rsidRPr="00194B64" w:rsidRDefault="008A1E55" w:rsidP="00E16CAE">
            <w:pPr>
              <w:jc w:val="right"/>
              <w:rPr>
                <w:sz w:val="18"/>
                <w:szCs w:val="18"/>
              </w:rPr>
            </w:pPr>
            <w:r w:rsidRPr="00194B64">
              <w:rPr>
                <w:sz w:val="18"/>
                <w:szCs w:val="18"/>
              </w:rPr>
              <w:t>63.7</w:t>
            </w:r>
          </w:p>
        </w:tc>
        <w:tc>
          <w:tcPr>
            <w:tcW w:w="1880" w:type="dxa"/>
            <w:tcBorders>
              <w:top w:val="nil"/>
              <w:left w:val="nil"/>
              <w:bottom w:val="single" w:sz="4" w:space="0" w:color="auto"/>
              <w:right w:val="nil"/>
            </w:tcBorders>
            <w:shd w:val="clear" w:color="auto" w:fill="auto"/>
            <w:noWrap/>
            <w:vAlign w:val="bottom"/>
            <w:hideMark/>
          </w:tcPr>
          <w:p w14:paraId="031D0870" w14:textId="77777777" w:rsidR="008A1E55" w:rsidRPr="00194B64" w:rsidRDefault="008A1E55" w:rsidP="00E16CAE">
            <w:pPr>
              <w:jc w:val="right"/>
              <w:rPr>
                <w:sz w:val="18"/>
                <w:szCs w:val="18"/>
              </w:rPr>
            </w:pPr>
            <w:r w:rsidRPr="00194B64">
              <w:rPr>
                <w:sz w:val="18"/>
                <w:szCs w:val="18"/>
              </w:rPr>
              <w:t>50.1</w:t>
            </w:r>
          </w:p>
        </w:tc>
      </w:tr>
    </w:tbl>
    <w:p w14:paraId="25DC7D0F" w14:textId="77777777" w:rsidR="009077FA" w:rsidRPr="006B42D6" w:rsidRDefault="009077FA" w:rsidP="005C2EFC">
      <w:pPr>
        <w:pStyle w:val="Heading2"/>
      </w:pPr>
    </w:p>
    <w:p w14:paraId="10B79158" w14:textId="7C15FE45" w:rsidR="003F5E45" w:rsidRPr="006B42D6" w:rsidRDefault="00F83A4C" w:rsidP="005C2EFC">
      <w:pPr>
        <w:pStyle w:val="Heading2"/>
      </w:pPr>
      <w:bookmarkStart w:id="888" w:name="_Toc82385809"/>
      <w:r w:rsidRPr="006B42D6">
        <w:t>6</w:t>
      </w:r>
      <w:r w:rsidR="003F5E45" w:rsidRPr="006B42D6">
        <w:t>.1</w:t>
      </w:r>
      <w:r w:rsidR="00AC6872">
        <w:t>1</w:t>
      </w:r>
      <w:r w:rsidR="003F5E45" w:rsidRPr="006B42D6">
        <w:tab/>
        <w:t>Food Consumption Pattern</w:t>
      </w:r>
      <w:bookmarkEnd w:id="888"/>
    </w:p>
    <w:p w14:paraId="6D4FA160" w14:textId="12B6CF4D" w:rsidR="003F5E45" w:rsidRPr="006B42D6" w:rsidRDefault="00F83A4C" w:rsidP="005C2EFC">
      <w:pPr>
        <w:pStyle w:val="Heading3"/>
      </w:pPr>
      <w:bookmarkStart w:id="889" w:name="_Toc82385810"/>
      <w:r w:rsidRPr="006B42D6">
        <w:t>6</w:t>
      </w:r>
      <w:r w:rsidR="003F5E45" w:rsidRPr="006B42D6">
        <w:t>.1</w:t>
      </w:r>
      <w:r w:rsidR="00AC6872">
        <w:t>1</w:t>
      </w:r>
      <w:r w:rsidR="003F5E45" w:rsidRPr="006B42D6">
        <w:t>.1</w:t>
      </w:r>
      <w:r w:rsidR="00E72F89" w:rsidRPr="006B42D6">
        <w:tab/>
      </w:r>
      <w:r w:rsidR="003F5E45" w:rsidRPr="006B42D6">
        <w:t>Number of Meals per Day</w:t>
      </w:r>
      <w:bookmarkEnd w:id="889"/>
      <w:r w:rsidR="003F5E45" w:rsidRPr="006B42D6">
        <w:t xml:space="preserve"> </w:t>
      </w:r>
    </w:p>
    <w:p w14:paraId="7B8E68E3" w14:textId="5AEB2ABF" w:rsidR="00C328EC" w:rsidRPr="006B42D6" w:rsidRDefault="00C328EC" w:rsidP="005C2EFC">
      <w:pPr>
        <w:pStyle w:val="Default"/>
        <w:spacing w:line="360" w:lineRule="auto"/>
        <w:jc w:val="both"/>
        <w:rPr>
          <w:color w:val="auto"/>
        </w:rPr>
      </w:pPr>
      <w:r w:rsidRPr="006B42D6">
        <w:rPr>
          <w:color w:val="auto"/>
        </w:rPr>
        <w:t>Census results show that, most of the agricultural households in Tanzania reported to take three meals per day (</w:t>
      </w:r>
      <w:r w:rsidR="0042109E" w:rsidRPr="006B42D6">
        <w:rPr>
          <w:color w:val="auto"/>
        </w:rPr>
        <w:t xml:space="preserve">4,028,800; </w:t>
      </w:r>
      <w:r w:rsidRPr="006B42D6">
        <w:rPr>
          <w:color w:val="auto"/>
        </w:rPr>
        <w:t>51.4 percent), followed by those who take two meals per day (</w:t>
      </w:r>
      <w:r w:rsidR="00D3111B" w:rsidRPr="006B42D6">
        <w:rPr>
          <w:color w:val="auto"/>
        </w:rPr>
        <w:t xml:space="preserve">3,663,798; </w:t>
      </w:r>
      <w:r w:rsidRPr="006B42D6">
        <w:rPr>
          <w:color w:val="auto"/>
        </w:rPr>
        <w:t xml:space="preserve">46.7 percent) and </w:t>
      </w:r>
      <w:r w:rsidR="00D3111B" w:rsidRPr="006B42D6">
        <w:rPr>
          <w:color w:val="auto"/>
        </w:rPr>
        <w:t xml:space="preserve">(137,001; </w:t>
      </w:r>
      <w:r w:rsidRPr="006B42D6">
        <w:rPr>
          <w:color w:val="auto"/>
        </w:rPr>
        <w:t>1.7 percent</w:t>
      </w:r>
      <w:r w:rsidR="00D3111B" w:rsidRPr="006B42D6">
        <w:rPr>
          <w:color w:val="auto"/>
        </w:rPr>
        <w:t>)</w:t>
      </w:r>
      <w:r w:rsidRPr="006B42D6">
        <w:rPr>
          <w:color w:val="auto"/>
        </w:rPr>
        <w:t xml:space="preserve"> take meals once a day. However, very few agricultural households (0.1 percent) took four meals per day during 2019/20 agricultural year (Figure </w:t>
      </w:r>
      <w:r w:rsidR="00F83A4C" w:rsidRPr="006B42D6">
        <w:rPr>
          <w:color w:val="auto"/>
        </w:rPr>
        <w:t>6</w:t>
      </w:r>
      <w:r w:rsidRPr="006B42D6">
        <w:rPr>
          <w:color w:val="auto"/>
        </w:rPr>
        <w:t>.</w:t>
      </w:r>
      <w:r w:rsidR="008A1E55" w:rsidRPr="006B42D6">
        <w:rPr>
          <w:color w:val="auto"/>
        </w:rPr>
        <w:t>1</w:t>
      </w:r>
      <w:r w:rsidRPr="006B42D6">
        <w:rPr>
          <w:color w:val="auto"/>
        </w:rPr>
        <w:t>).</w:t>
      </w:r>
    </w:p>
    <w:p w14:paraId="215AD2F7" w14:textId="77777777" w:rsidR="00C328EC" w:rsidRPr="006B42D6" w:rsidRDefault="00C328EC" w:rsidP="007A3EC9">
      <w:pPr>
        <w:pStyle w:val="Default"/>
        <w:jc w:val="both"/>
        <w:rPr>
          <w:color w:val="auto"/>
        </w:rPr>
      </w:pPr>
    </w:p>
    <w:p w14:paraId="345C0301" w14:textId="63EC86D7" w:rsidR="00C328EC" w:rsidRPr="006B42D6" w:rsidRDefault="00C328EC" w:rsidP="005C2EFC">
      <w:pPr>
        <w:pStyle w:val="Default"/>
        <w:spacing w:line="360" w:lineRule="auto"/>
        <w:jc w:val="both"/>
        <w:rPr>
          <w:color w:val="auto"/>
        </w:rPr>
      </w:pPr>
      <w:r w:rsidRPr="006B42D6">
        <w:rPr>
          <w:color w:val="auto"/>
        </w:rPr>
        <w:t xml:space="preserve">In comparison, the number of households that take three meals per day has increased by 6.4 percent from 45.0 percent </w:t>
      </w:r>
      <w:r w:rsidR="00D3111B" w:rsidRPr="006B42D6">
        <w:rPr>
          <w:color w:val="auto"/>
        </w:rPr>
        <w:t xml:space="preserve">in 2007/08 </w:t>
      </w:r>
      <w:r w:rsidRPr="006B42D6">
        <w:rPr>
          <w:color w:val="auto"/>
        </w:rPr>
        <w:t xml:space="preserve">to 51.4 percent </w:t>
      </w:r>
      <w:r w:rsidR="00D3111B" w:rsidRPr="006B42D6">
        <w:rPr>
          <w:color w:val="auto"/>
        </w:rPr>
        <w:t>in</w:t>
      </w:r>
      <w:r w:rsidRPr="006B42D6">
        <w:rPr>
          <w:color w:val="auto"/>
        </w:rPr>
        <w:t xml:space="preserve"> 2019/20</w:t>
      </w:r>
      <w:r w:rsidR="00D3111B" w:rsidRPr="006B42D6">
        <w:rPr>
          <w:color w:val="auto"/>
        </w:rPr>
        <w:t xml:space="preserve"> agricultural year</w:t>
      </w:r>
      <w:r w:rsidRPr="006B42D6">
        <w:rPr>
          <w:color w:val="auto"/>
        </w:rPr>
        <w:t xml:space="preserve">. On the other hand, the number of households that take two meals per day has decreased by </w:t>
      </w:r>
      <w:r w:rsidR="00D3111B" w:rsidRPr="006B42D6">
        <w:rPr>
          <w:color w:val="auto"/>
        </w:rPr>
        <w:t>6</w:t>
      </w:r>
      <w:r w:rsidRPr="006B42D6">
        <w:rPr>
          <w:color w:val="auto"/>
        </w:rPr>
        <w:t>.</w:t>
      </w:r>
      <w:r w:rsidR="00D3111B" w:rsidRPr="006B42D6">
        <w:rPr>
          <w:color w:val="auto"/>
        </w:rPr>
        <w:t>3</w:t>
      </w:r>
      <w:r w:rsidRPr="006B42D6">
        <w:rPr>
          <w:color w:val="auto"/>
        </w:rPr>
        <w:t xml:space="preserve"> percent from 53.0 percent in 2007/08 to 46.7 percent in 2019/20. </w:t>
      </w:r>
    </w:p>
    <w:p w14:paraId="32A53B2A" w14:textId="77777777" w:rsidR="003F5E45" w:rsidRPr="006B42D6" w:rsidRDefault="003F5E45" w:rsidP="005C2EFC">
      <w:pPr>
        <w:pStyle w:val="Default"/>
        <w:spacing w:line="360" w:lineRule="auto"/>
        <w:jc w:val="both"/>
        <w:rPr>
          <w:color w:val="auto"/>
        </w:rPr>
      </w:pPr>
    </w:p>
    <w:p w14:paraId="6F2D6B08" w14:textId="77777777" w:rsidR="009077FA" w:rsidRPr="006B42D6" w:rsidRDefault="009077FA" w:rsidP="005C2EFC">
      <w:pPr>
        <w:adjustRightInd w:val="0"/>
        <w:rPr>
          <w:b/>
          <w:bCs/>
          <w:sz w:val="20"/>
          <w:szCs w:val="20"/>
        </w:rPr>
      </w:pPr>
    </w:p>
    <w:p w14:paraId="30378795" w14:textId="629C2BFE" w:rsidR="00EA010E" w:rsidRPr="006B42D6" w:rsidRDefault="00EA010E">
      <w:pPr>
        <w:rPr>
          <w:b/>
          <w:bCs/>
          <w:sz w:val="20"/>
          <w:szCs w:val="20"/>
        </w:rPr>
      </w:pPr>
      <w:r w:rsidRPr="006B42D6">
        <w:rPr>
          <w:b/>
          <w:bCs/>
          <w:sz w:val="20"/>
          <w:szCs w:val="20"/>
        </w:rPr>
        <w:br w:type="page"/>
      </w:r>
    </w:p>
    <w:p w14:paraId="07DB777A" w14:textId="0C054758" w:rsidR="003F5E45" w:rsidRPr="006B42D6" w:rsidRDefault="003F5E45" w:rsidP="002B2700">
      <w:pPr>
        <w:pStyle w:val="Caption"/>
      </w:pPr>
      <w:bookmarkStart w:id="890" w:name="_Toc82386464"/>
      <w:r w:rsidRPr="006B42D6">
        <w:lastRenderedPageBreak/>
        <w:t xml:space="preserve">Figure </w:t>
      </w:r>
      <w:r w:rsidR="00F83A4C" w:rsidRPr="006B42D6">
        <w:t>6</w:t>
      </w:r>
      <w:r w:rsidRPr="006B42D6">
        <w:t>.1</w:t>
      </w:r>
      <w:r w:rsidR="007A288F">
        <w:t>:</w:t>
      </w:r>
      <w:r w:rsidR="007A288F">
        <w:tab/>
      </w:r>
      <w:r w:rsidRPr="006B42D6">
        <w:t xml:space="preserve">Percentage of Agricultural Households Reported </w:t>
      </w:r>
      <w:r w:rsidR="00D3111B" w:rsidRPr="006B42D6">
        <w:t>N</w:t>
      </w:r>
      <w:r w:rsidRPr="006B42D6">
        <w:t xml:space="preserve">umber of Meals </w:t>
      </w:r>
      <w:r w:rsidR="00D3111B" w:rsidRPr="006B42D6">
        <w:t>N</w:t>
      </w:r>
      <w:r w:rsidRPr="006B42D6">
        <w:t xml:space="preserve">ormally </w:t>
      </w:r>
      <w:r w:rsidR="00D3111B" w:rsidRPr="006B42D6">
        <w:t>T</w:t>
      </w:r>
      <w:r w:rsidRPr="006B42D6">
        <w:t>ake</w:t>
      </w:r>
      <w:r w:rsidR="00D3111B" w:rsidRPr="006B42D6">
        <w:t>n</w:t>
      </w:r>
      <w:r w:rsidRPr="006B42D6">
        <w:t xml:space="preserve"> per </w:t>
      </w:r>
      <w:r w:rsidR="00D3111B" w:rsidRPr="006B42D6">
        <w:t>D</w:t>
      </w:r>
      <w:r w:rsidRPr="006B42D6">
        <w:t xml:space="preserve">ay </w:t>
      </w:r>
      <w:r w:rsidR="00D3111B" w:rsidRPr="006B42D6">
        <w:t>D</w:t>
      </w:r>
      <w:r w:rsidRPr="006B42D6">
        <w:t xml:space="preserve">uring 2019/20 Agricultural </w:t>
      </w:r>
      <w:r w:rsidR="00D3111B" w:rsidRPr="006B42D6">
        <w:t>Y</w:t>
      </w:r>
      <w:r w:rsidRPr="006B42D6">
        <w:t>ear</w:t>
      </w:r>
      <w:r w:rsidR="00D3111B" w:rsidRPr="006B42D6">
        <w:t>, Tanzania</w:t>
      </w:r>
      <w:bookmarkEnd w:id="890"/>
      <w:r w:rsidR="00D3111B" w:rsidRPr="006B42D6">
        <w:t xml:space="preserve"> </w:t>
      </w:r>
    </w:p>
    <w:p w14:paraId="09834629" w14:textId="1E263A2E" w:rsidR="003F5E45" w:rsidRPr="006B42D6" w:rsidRDefault="009264F6" w:rsidP="005C2EFC">
      <w:pPr>
        <w:adjustRightInd w:val="0"/>
        <w:rPr>
          <w:b/>
          <w:bCs/>
        </w:rPr>
      </w:pPr>
      <w:r w:rsidRPr="009264F6">
        <w:rPr>
          <w:noProof/>
          <w:highlight w:val="lightGray"/>
        </w:rPr>
        <w:drawing>
          <wp:inline distT="0" distB="0" distL="0" distR="0" wp14:anchorId="3B92A761" wp14:editId="26F709AD">
            <wp:extent cx="5727700" cy="2616200"/>
            <wp:effectExtent l="0" t="0" r="12700" b="12700"/>
            <wp:docPr id="137" name="Chart 137">
              <a:extLst xmlns:a="http://schemas.openxmlformats.org/drawingml/2006/main">
                <a:ext uri="{FF2B5EF4-FFF2-40B4-BE49-F238E27FC236}">
                  <a16:creationId xmlns:a16="http://schemas.microsoft.com/office/drawing/2014/main" id="{00418A2D-187E-E444-BAB2-32147E117C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0"/>
              </a:graphicData>
            </a:graphic>
          </wp:inline>
        </w:drawing>
      </w:r>
    </w:p>
    <w:p w14:paraId="0C274746" w14:textId="77777777" w:rsidR="003F5E45" w:rsidRPr="006B42D6" w:rsidRDefault="003F5E45" w:rsidP="0037522F">
      <w:pPr>
        <w:pStyle w:val="Default"/>
        <w:jc w:val="both"/>
        <w:rPr>
          <w:color w:val="auto"/>
        </w:rPr>
      </w:pPr>
    </w:p>
    <w:p w14:paraId="3C21CED3" w14:textId="03FDDB99" w:rsidR="00C328EC" w:rsidRPr="006B42D6" w:rsidRDefault="00C328EC" w:rsidP="005C2EFC">
      <w:pPr>
        <w:pStyle w:val="Default"/>
        <w:spacing w:line="360" w:lineRule="auto"/>
        <w:jc w:val="both"/>
        <w:rPr>
          <w:color w:val="auto"/>
        </w:rPr>
      </w:pPr>
      <w:r w:rsidRPr="006B42D6">
        <w:rPr>
          <w:color w:val="auto"/>
        </w:rPr>
        <w:t xml:space="preserve">In </w:t>
      </w:r>
      <w:r w:rsidR="00EA1552">
        <w:rPr>
          <w:color w:val="auto"/>
        </w:rPr>
        <w:t>Mainland Tanzania</w:t>
      </w:r>
      <w:r w:rsidRPr="006B42D6">
        <w:rPr>
          <w:color w:val="auto"/>
        </w:rPr>
        <w:t>, the number of households reported to take three meals per day has increased from 41 percent in 2007/08 to 51.6 percent in 2019/20, while those taking one meal per day had decreased from 2 percent in 2007/08 to 1.7 percent in 2019/20</w:t>
      </w:r>
      <w:r w:rsidR="00F05186" w:rsidRPr="006B42D6">
        <w:rPr>
          <w:color w:val="auto"/>
        </w:rPr>
        <w:t xml:space="preserve"> agricultural years</w:t>
      </w:r>
      <w:r w:rsidRPr="006B42D6">
        <w:rPr>
          <w:color w:val="auto"/>
        </w:rPr>
        <w:t>. In addition, the households taking two meals per day has also decreased from 57 percent in 2007/08 to 46.6 percent in 2019/20</w:t>
      </w:r>
      <w:r w:rsidR="00F05186" w:rsidRPr="006B42D6">
        <w:rPr>
          <w:color w:val="auto"/>
        </w:rPr>
        <w:t xml:space="preserve"> agricultural year</w:t>
      </w:r>
      <w:r w:rsidRPr="006B42D6">
        <w:rPr>
          <w:color w:val="auto"/>
        </w:rPr>
        <w:t xml:space="preserve">. </w:t>
      </w:r>
    </w:p>
    <w:p w14:paraId="73D7896F" w14:textId="77777777" w:rsidR="00F05186" w:rsidRPr="006B42D6" w:rsidRDefault="00F05186" w:rsidP="0037522F">
      <w:pPr>
        <w:pStyle w:val="Default"/>
        <w:jc w:val="both"/>
        <w:rPr>
          <w:color w:val="auto"/>
        </w:rPr>
      </w:pPr>
    </w:p>
    <w:p w14:paraId="70453A20" w14:textId="42CC9D00" w:rsidR="00C328EC" w:rsidRPr="006B42D6" w:rsidRDefault="00F05186" w:rsidP="005C2EFC">
      <w:pPr>
        <w:pStyle w:val="Default"/>
        <w:spacing w:line="360" w:lineRule="auto"/>
        <w:jc w:val="both"/>
        <w:rPr>
          <w:color w:val="auto"/>
        </w:rPr>
      </w:pPr>
      <w:r w:rsidRPr="006B42D6">
        <w:rPr>
          <w:color w:val="auto"/>
        </w:rPr>
        <w:t xml:space="preserve">In Tanzania Zanzibar, </w:t>
      </w:r>
      <w:r w:rsidR="00C328EC" w:rsidRPr="006B42D6">
        <w:rPr>
          <w:color w:val="auto"/>
        </w:rPr>
        <w:t xml:space="preserve">the number of </w:t>
      </w:r>
      <w:r w:rsidRPr="006B42D6">
        <w:rPr>
          <w:color w:val="auto"/>
        </w:rPr>
        <w:t>households taking three meals per day has increased from 40 percent in 2007/08 to 43.8 percent in 2019/20</w:t>
      </w:r>
      <w:r w:rsidR="00C328EC" w:rsidRPr="006B42D6">
        <w:rPr>
          <w:color w:val="auto"/>
        </w:rPr>
        <w:t xml:space="preserve">, and those </w:t>
      </w:r>
      <w:r w:rsidRPr="006B42D6">
        <w:rPr>
          <w:color w:val="auto"/>
        </w:rPr>
        <w:t>who have been taking one meal per day has also increased from 3 percent in 2007/08 to 3.4 percent in 2019/20 agricultural years</w:t>
      </w:r>
      <w:r w:rsidR="00C328EC" w:rsidRPr="006B42D6">
        <w:rPr>
          <w:color w:val="auto"/>
        </w:rPr>
        <w:t xml:space="preserve">. However, households taking two meals per day has decreased from 57 percent in 2007/8 to 52.8 percent in 2019/20 (Figure </w:t>
      </w:r>
      <w:r w:rsidR="00F83A4C" w:rsidRPr="006B42D6">
        <w:rPr>
          <w:color w:val="auto"/>
        </w:rPr>
        <w:t>6</w:t>
      </w:r>
      <w:r w:rsidR="00C328EC" w:rsidRPr="006B42D6">
        <w:rPr>
          <w:color w:val="auto"/>
        </w:rPr>
        <w:t>.1).</w:t>
      </w:r>
    </w:p>
    <w:p w14:paraId="0C9F13B0" w14:textId="77777777" w:rsidR="003F5E45" w:rsidRPr="006B42D6" w:rsidRDefault="003F5E45" w:rsidP="0037522F">
      <w:pPr>
        <w:pStyle w:val="Default"/>
        <w:jc w:val="both"/>
        <w:rPr>
          <w:color w:val="auto"/>
        </w:rPr>
      </w:pPr>
    </w:p>
    <w:p w14:paraId="4DC301D5" w14:textId="42976B0B" w:rsidR="003F5E45" w:rsidRPr="006B42D6" w:rsidRDefault="00114D61" w:rsidP="005C2EFC">
      <w:pPr>
        <w:pStyle w:val="Heading3"/>
      </w:pPr>
      <w:bookmarkStart w:id="891" w:name="_Toc82385811"/>
      <w:r>
        <w:t>6</w:t>
      </w:r>
      <w:r w:rsidR="003F5E45" w:rsidRPr="006B42D6">
        <w:t>.1</w:t>
      </w:r>
      <w:r w:rsidR="00AC6872">
        <w:t>1</w:t>
      </w:r>
      <w:r w:rsidR="003F5E45" w:rsidRPr="006B42D6">
        <w:t>.2</w:t>
      </w:r>
      <w:r w:rsidR="00E72F89" w:rsidRPr="006B42D6">
        <w:tab/>
      </w:r>
      <w:r w:rsidR="00F11F40" w:rsidRPr="006B42D6">
        <w:t xml:space="preserve">Meat </w:t>
      </w:r>
      <w:r w:rsidR="003F5E45" w:rsidRPr="006B42D6">
        <w:t>Consu</w:t>
      </w:r>
      <w:r w:rsidR="00F11F40" w:rsidRPr="006B42D6">
        <w:t>mption</w:t>
      </w:r>
      <w:bookmarkEnd w:id="891"/>
      <w:r w:rsidR="00F11F40" w:rsidRPr="006B42D6">
        <w:t xml:space="preserve"> </w:t>
      </w:r>
    </w:p>
    <w:p w14:paraId="64602AD0" w14:textId="7CB242DE" w:rsidR="00C328EC" w:rsidRPr="006B42D6" w:rsidRDefault="00C328EC" w:rsidP="005C2EFC">
      <w:pPr>
        <w:pStyle w:val="Default"/>
        <w:spacing w:line="360" w:lineRule="auto"/>
        <w:jc w:val="both"/>
        <w:rPr>
          <w:color w:val="auto"/>
        </w:rPr>
      </w:pPr>
      <w:r w:rsidRPr="006B42D6">
        <w:rPr>
          <w:color w:val="auto"/>
        </w:rPr>
        <w:t xml:space="preserve">The Census results show that, 3,756,195 </w:t>
      </w:r>
      <w:r w:rsidR="004A1F47" w:rsidRPr="006B42D6">
        <w:rPr>
          <w:color w:val="auto"/>
        </w:rPr>
        <w:t xml:space="preserve">households </w:t>
      </w:r>
      <w:r w:rsidRPr="006B42D6">
        <w:rPr>
          <w:color w:val="auto"/>
        </w:rPr>
        <w:t xml:space="preserve">(47.9 percent) reported to consume meat at least once in the last seven days during 2019/20 agricultural year, while 4,081,210 households (52.1 percent) reported not to eat meat at all. In addition, 41,299 households (0.5 percent) reported to consume meat in all days of the past seven days. However, 1,711,534 households (21.8 percent) </w:t>
      </w:r>
      <w:r w:rsidR="006F2C61" w:rsidRPr="006B42D6">
        <w:rPr>
          <w:color w:val="auto"/>
        </w:rPr>
        <w:t>reported to</w:t>
      </w:r>
      <w:r w:rsidRPr="006B42D6">
        <w:rPr>
          <w:color w:val="auto"/>
        </w:rPr>
        <w:t xml:space="preserve"> consume meat once in the last seven days (Table </w:t>
      </w:r>
      <w:r w:rsidR="00F83A4C" w:rsidRPr="006B42D6">
        <w:rPr>
          <w:color w:val="auto"/>
        </w:rPr>
        <w:t>6</w:t>
      </w:r>
      <w:r w:rsidR="00B24B89" w:rsidRPr="006B42D6">
        <w:rPr>
          <w:color w:val="auto"/>
        </w:rPr>
        <w:t>.</w:t>
      </w:r>
      <w:r w:rsidR="008A1E55" w:rsidRPr="006B42D6">
        <w:rPr>
          <w:color w:val="auto"/>
        </w:rPr>
        <w:t>22</w:t>
      </w:r>
      <w:r w:rsidRPr="006B42D6">
        <w:rPr>
          <w:color w:val="auto"/>
        </w:rPr>
        <w:t>).</w:t>
      </w:r>
    </w:p>
    <w:p w14:paraId="58576645" w14:textId="77777777" w:rsidR="00C328EC" w:rsidRPr="006B42D6" w:rsidRDefault="00C328EC" w:rsidP="0037522F">
      <w:pPr>
        <w:pStyle w:val="Default"/>
        <w:jc w:val="both"/>
        <w:rPr>
          <w:color w:val="auto"/>
        </w:rPr>
      </w:pPr>
    </w:p>
    <w:p w14:paraId="11B6AEC5" w14:textId="6E3AEF49" w:rsidR="0037522F" w:rsidRPr="009264F6" w:rsidRDefault="00C328EC" w:rsidP="009264F6">
      <w:pPr>
        <w:pStyle w:val="Default"/>
        <w:spacing w:line="360" w:lineRule="auto"/>
        <w:jc w:val="both"/>
        <w:rPr>
          <w:color w:val="auto"/>
        </w:rPr>
      </w:pPr>
      <w:r w:rsidRPr="006B42D6">
        <w:rPr>
          <w:color w:val="auto"/>
        </w:rPr>
        <w:t xml:space="preserve">In comparison, percentage of households that reported to consume meat in all days of the last seven days has increased by 0.3 percent from 0.2 percent </w:t>
      </w:r>
      <w:r w:rsidR="006F2C61" w:rsidRPr="006B42D6">
        <w:rPr>
          <w:color w:val="auto"/>
        </w:rPr>
        <w:t xml:space="preserve">in 2007/08 </w:t>
      </w:r>
      <w:r w:rsidRPr="006B42D6">
        <w:rPr>
          <w:color w:val="auto"/>
        </w:rPr>
        <w:t>to 0.5 percent in 2019/20</w:t>
      </w:r>
      <w:r w:rsidR="006F2C61" w:rsidRPr="006B42D6">
        <w:rPr>
          <w:color w:val="auto"/>
        </w:rPr>
        <w:t xml:space="preserve"> agricultural year</w:t>
      </w:r>
      <w:r w:rsidRPr="006B42D6">
        <w:rPr>
          <w:color w:val="auto"/>
        </w:rPr>
        <w:t xml:space="preserve">. </w:t>
      </w:r>
      <w:r w:rsidR="0037522F">
        <w:br w:type="page"/>
      </w:r>
    </w:p>
    <w:p w14:paraId="596BEBE3" w14:textId="3EA1CD4C" w:rsidR="003F5E45" w:rsidRPr="006B42D6" w:rsidRDefault="003F5E45" w:rsidP="007200F6">
      <w:pPr>
        <w:pStyle w:val="Heading7"/>
      </w:pPr>
      <w:bookmarkStart w:id="892" w:name="_Toc82386257"/>
      <w:r w:rsidRPr="006B42D6">
        <w:lastRenderedPageBreak/>
        <w:t xml:space="preserve">Table </w:t>
      </w:r>
      <w:r w:rsidR="00F83A4C" w:rsidRPr="006B42D6">
        <w:t>6</w:t>
      </w:r>
      <w:r w:rsidR="00B24B89" w:rsidRPr="006B42D6">
        <w:t>.</w:t>
      </w:r>
      <w:r w:rsidR="008A1E55" w:rsidRPr="006B42D6">
        <w:t>22</w:t>
      </w:r>
      <w:r w:rsidR="0024189E">
        <w:t>:</w:t>
      </w:r>
      <w:r w:rsidR="00AC6872">
        <w:tab/>
      </w:r>
      <w:r w:rsidRPr="006B42D6">
        <w:t xml:space="preserve">Number and Percentage of Households </w:t>
      </w:r>
      <w:r w:rsidR="007234C0" w:rsidRPr="006B42D6">
        <w:t>Reported to Consume</w:t>
      </w:r>
      <w:r w:rsidRPr="006B42D6">
        <w:t xml:space="preserve"> Meat in </w:t>
      </w:r>
      <w:r w:rsidR="009E54C7" w:rsidRPr="006B42D6">
        <w:t>L</w:t>
      </w:r>
      <w:r w:rsidRPr="006B42D6">
        <w:t>ast 7 days</w:t>
      </w:r>
      <w:r w:rsidR="007234C0" w:rsidRPr="006B42D6">
        <w:t xml:space="preserve"> in 2007</w:t>
      </w:r>
      <w:r w:rsidRPr="006B42D6">
        <w:t>/</w:t>
      </w:r>
      <w:r w:rsidR="007234C0" w:rsidRPr="006B42D6">
        <w:t>08 and</w:t>
      </w:r>
      <w:r w:rsidRPr="006B42D6">
        <w:t xml:space="preserve"> 20</w:t>
      </w:r>
      <w:r w:rsidR="007234C0" w:rsidRPr="006B42D6">
        <w:t>19</w:t>
      </w:r>
      <w:r w:rsidRPr="006B42D6">
        <w:t>/</w:t>
      </w:r>
      <w:r w:rsidR="007234C0" w:rsidRPr="006B42D6">
        <w:t>20</w:t>
      </w:r>
      <w:r w:rsidR="00616D21" w:rsidRPr="006B42D6">
        <w:t xml:space="preserve"> Agriculture Censuses, Tanzania</w:t>
      </w:r>
      <w:bookmarkEnd w:id="892"/>
    </w:p>
    <w:tbl>
      <w:tblPr>
        <w:tblW w:w="5000" w:type="pct"/>
        <w:tblBorders>
          <w:top w:val="single" w:sz="4" w:space="0" w:color="auto"/>
          <w:bottom w:val="single" w:sz="4" w:space="0" w:color="auto"/>
        </w:tblBorders>
        <w:tblLook w:val="04A0" w:firstRow="1" w:lastRow="0" w:firstColumn="1" w:lastColumn="0" w:noHBand="0" w:noVBand="1"/>
      </w:tblPr>
      <w:tblGrid>
        <w:gridCol w:w="1491"/>
        <w:gridCol w:w="1486"/>
        <w:gridCol w:w="1044"/>
        <w:gridCol w:w="1121"/>
        <w:gridCol w:w="1023"/>
        <w:gridCol w:w="1025"/>
        <w:gridCol w:w="1023"/>
        <w:gridCol w:w="1023"/>
      </w:tblGrid>
      <w:tr w:rsidR="006B42D6" w:rsidRPr="006B42D6" w14:paraId="71C77214" w14:textId="77777777" w:rsidTr="004F65CD">
        <w:trPr>
          <w:trHeight w:val="270"/>
        </w:trPr>
        <w:tc>
          <w:tcPr>
            <w:tcW w:w="574" w:type="pct"/>
            <w:vMerge w:val="restart"/>
            <w:tcBorders>
              <w:top w:val="single" w:sz="4" w:space="0" w:color="auto"/>
              <w:bottom w:val="single" w:sz="4" w:space="0" w:color="auto"/>
              <w:right w:val="single" w:sz="4" w:space="0" w:color="auto"/>
            </w:tcBorders>
            <w:shd w:val="clear" w:color="auto" w:fill="E2EFD9" w:themeFill="accent6" w:themeFillTint="33"/>
            <w:noWrap/>
            <w:vAlign w:val="center"/>
          </w:tcPr>
          <w:p w14:paraId="1C454D7E" w14:textId="285E6AD5" w:rsidR="003F5E45" w:rsidRPr="00143C67" w:rsidRDefault="00750BB9" w:rsidP="005C2EFC">
            <w:pPr>
              <w:rPr>
                <w:sz w:val="18"/>
                <w:szCs w:val="18"/>
              </w:rPr>
            </w:pPr>
            <w:r w:rsidRPr="00143C67">
              <w:rPr>
                <w:sz w:val="18"/>
                <w:szCs w:val="18"/>
              </w:rPr>
              <w:t xml:space="preserve">Agricultural </w:t>
            </w:r>
            <w:r w:rsidR="003F5E45" w:rsidRPr="00143C67">
              <w:rPr>
                <w:sz w:val="18"/>
                <w:szCs w:val="18"/>
              </w:rPr>
              <w:t>Year</w:t>
            </w:r>
          </w:p>
        </w:tc>
        <w:tc>
          <w:tcPr>
            <w:tcW w:w="598" w:type="pct"/>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tcPr>
          <w:p w14:paraId="29BA8F13" w14:textId="1EA106E2" w:rsidR="003F5E45" w:rsidRPr="00143C67" w:rsidRDefault="003F5E45" w:rsidP="005C2EFC">
            <w:pPr>
              <w:rPr>
                <w:sz w:val="18"/>
                <w:szCs w:val="18"/>
              </w:rPr>
            </w:pPr>
            <w:r w:rsidRPr="00143C67">
              <w:rPr>
                <w:sz w:val="18"/>
                <w:szCs w:val="18"/>
              </w:rPr>
              <w:t>N</w:t>
            </w:r>
            <w:r w:rsidR="0042109E" w:rsidRPr="00143C67">
              <w:rPr>
                <w:sz w:val="18"/>
                <w:szCs w:val="18"/>
              </w:rPr>
              <w:t>umber of</w:t>
            </w:r>
            <w:r w:rsidRPr="00143C67">
              <w:rPr>
                <w:sz w:val="18"/>
                <w:szCs w:val="18"/>
              </w:rPr>
              <w:t xml:space="preserve"> Meals</w:t>
            </w:r>
          </w:p>
        </w:tc>
        <w:tc>
          <w:tcPr>
            <w:tcW w:w="1319" w:type="pct"/>
            <w:gridSpan w:val="2"/>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tcPr>
          <w:p w14:paraId="750F9D7F" w14:textId="77777777" w:rsidR="003F5E45" w:rsidRPr="00143C67" w:rsidRDefault="003F5E45" w:rsidP="00B24B89">
            <w:pPr>
              <w:jc w:val="center"/>
              <w:rPr>
                <w:sz w:val="18"/>
                <w:szCs w:val="18"/>
              </w:rPr>
            </w:pPr>
            <w:r w:rsidRPr="00143C67">
              <w:rPr>
                <w:sz w:val="18"/>
                <w:szCs w:val="18"/>
              </w:rPr>
              <w:t>Tanzania</w:t>
            </w:r>
          </w:p>
        </w:tc>
        <w:tc>
          <w:tcPr>
            <w:tcW w:w="1255" w:type="pct"/>
            <w:gridSpan w:val="2"/>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tcPr>
          <w:p w14:paraId="731A09EB" w14:textId="545745C3" w:rsidR="003F5E45" w:rsidRPr="00143C67" w:rsidRDefault="00EA1552" w:rsidP="00B24B89">
            <w:pPr>
              <w:jc w:val="center"/>
              <w:rPr>
                <w:sz w:val="18"/>
                <w:szCs w:val="18"/>
              </w:rPr>
            </w:pPr>
            <w:r w:rsidRPr="00143C67">
              <w:rPr>
                <w:sz w:val="18"/>
                <w:szCs w:val="18"/>
              </w:rPr>
              <w:t>Mainland Tanzania</w:t>
            </w:r>
          </w:p>
        </w:tc>
        <w:tc>
          <w:tcPr>
            <w:tcW w:w="1255" w:type="pct"/>
            <w:gridSpan w:val="2"/>
            <w:tcBorders>
              <w:top w:val="single" w:sz="4" w:space="0" w:color="auto"/>
              <w:left w:val="single" w:sz="4" w:space="0" w:color="auto"/>
              <w:bottom w:val="single" w:sz="4" w:space="0" w:color="auto"/>
            </w:tcBorders>
            <w:shd w:val="clear" w:color="auto" w:fill="E2EFD9" w:themeFill="accent6" w:themeFillTint="33"/>
            <w:vAlign w:val="center"/>
          </w:tcPr>
          <w:p w14:paraId="48FB7515" w14:textId="056A5C01" w:rsidR="003F5E45" w:rsidRPr="00143C67" w:rsidRDefault="0042109E" w:rsidP="00B24B89">
            <w:pPr>
              <w:jc w:val="center"/>
              <w:rPr>
                <w:sz w:val="18"/>
                <w:szCs w:val="18"/>
              </w:rPr>
            </w:pPr>
            <w:r w:rsidRPr="00143C67">
              <w:rPr>
                <w:sz w:val="18"/>
                <w:szCs w:val="18"/>
              </w:rPr>
              <w:t xml:space="preserve">Tanzania </w:t>
            </w:r>
            <w:r w:rsidR="003F5E45" w:rsidRPr="00143C67">
              <w:rPr>
                <w:sz w:val="18"/>
                <w:szCs w:val="18"/>
              </w:rPr>
              <w:t>Zanzibar</w:t>
            </w:r>
          </w:p>
        </w:tc>
      </w:tr>
      <w:tr w:rsidR="006B42D6" w:rsidRPr="006B42D6" w14:paraId="10AAAB06" w14:textId="77777777" w:rsidTr="004F65CD">
        <w:trPr>
          <w:trHeight w:val="270"/>
        </w:trPr>
        <w:tc>
          <w:tcPr>
            <w:tcW w:w="574" w:type="pct"/>
            <w:vMerge/>
            <w:tcBorders>
              <w:top w:val="single" w:sz="4" w:space="0" w:color="auto"/>
              <w:bottom w:val="single" w:sz="4" w:space="0" w:color="auto"/>
              <w:right w:val="single" w:sz="4" w:space="0" w:color="auto"/>
            </w:tcBorders>
            <w:shd w:val="clear" w:color="auto" w:fill="E2EFD9" w:themeFill="accent6" w:themeFillTint="33"/>
            <w:noWrap/>
            <w:vAlign w:val="center"/>
            <w:hideMark/>
          </w:tcPr>
          <w:p w14:paraId="0B70661A" w14:textId="77777777" w:rsidR="003F5E45" w:rsidRPr="00143C67" w:rsidRDefault="003F5E45" w:rsidP="005C2EFC">
            <w:pPr>
              <w:rPr>
                <w:sz w:val="18"/>
                <w:szCs w:val="18"/>
              </w:rPr>
            </w:pPr>
          </w:p>
        </w:tc>
        <w:tc>
          <w:tcPr>
            <w:tcW w:w="598" w:type="pct"/>
            <w:vMerge/>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7209983B" w14:textId="77777777" w:rsidR="003F5E45" w:rsidRPr="00143C67" w:rsidRDefault="003F5E45" w:rsidP="005C2EFC">
            <w:pPr>
              <w:rPr>
                <w:sz w:val="18"/>
                <w:szCs w:val="18"/>
              </w:rPr>
            </w:pPr>
          </w:p>
        </w:tc>
        <w:tc>
          <w:tcPr>
            <w:tcW w:w="639" w:type="pct"/>
            <w:tcBorders>
              <w:top w:val="single" w:sz="4" w:space="0" w:color="auto"/>
              <w:left w:val="single" w:sz="4" w:space="0" w:color="auto"/>
              <w:bottom w:val="single" w:sz="4" w:space="0" w:color="auto"/>
            </w:tcBorders>
            <w:shd w:val="clear" w:color="auto" w:fill="E2EFD9" w:themeFill="accent6" w:themeFillTint="33"/>
            <w:noWrap/>
            <w:vAlign w:val="center"/>
            <w:hideMark/>
          </w:tcPr>
          <w:p w14:paraId="752216C0" w14:textId="77777777" w:rsidR="003F5E45" w:rsidRPr="00143C67" w:rsidRDefault="003F5E45" w:rsidP="00143C67">
            <w:pPr>
              <w:jc w:val="center"/>
              <w:rPr>
                <w:sz w:val="18"/>
                <w:szCs w:val="18"/>
              </w:rPr>
            </w:pPr>
            <w:r w:rsidRPr="00143C67">
              <w:rPr>
                <w:sz w:val="18"/>
                <w:szCs w:val="18"/>
              </w:rPr>
              <w:t>Number</w:t>
            </w:r>
          </w:p>
        </w:tc>
        <w:tc>
          <w:tcPr>
            <w:tcW w:w="680" w:type="pct"/>
            <w:tcBorders>
              <w:top w:val="single" w:sz="4" w:space="0" w:color="auto"/>
              <w:bottom w:val="single" w:sz="4" w:space="0" w:color="auto"/>
              <w:right w:val="single" w:sz="4" w:space="0" w:color="auto"/>
            </w:tcBorders>
            <w:shd w:val="clear" w:color="auto" w:fill="E2EFD9" w:themeFill="accent6" w:themeFillTint="33"/>
            <w:noWrap/>
            <w:vAlign w:val="center"/>
          </w:tcPr>
          <w:p w14:paraId="37CFC5C0" w14:textId="77777777" w:rsidR="003F5E45" w:rsidRPr="00143C67" w:rsidRDefault="003F5E45" w:rsidP="00143C67">
            <w:pPr>
              <w:jc w:val="center"/>
              <w:rPr>
                <w:sz w:val="18"/>
                <w:szCs w:val="18"/>
              </w:rPr>
            </w:pPr>
            <w:r w:rsidRPr="00143C67">
              <w:rPr>
                <w:sz w:val="18"/>
                <w:szCs w:val="18"/>
              </w:rPr>
              <w:t>Percent</w:t>
            </w:r>
          </w:p>
        </w:tc>
        <w:tc>
          <w:tcPr>
            <w:tcW w:w="627" w:type="pct"/>
            <w:tcBorders>
              <w:top w:val="single" w:sz="4" w:space="0" w:color="auto"/>
              <w:left w:val="single" w:sz="4" w:space="0" w:color="auto"/>
              <w:bottom w:val="single" w:sz="4" w:space="0" w:color="auto"/>
            </w:tcBorders>
            <w:shd w:val="clear" w:color="auto" w:fill="E2EFD9" w:themeFill="accent6" w:themeFillTint="33"/>
            <w:noWrap/>
            <w:vAlign w:val="center"/>
          </w:tcPr>
          <w:p w14:paraId="38E23649" w14:textId="77777777" w:rsidR="003F5E45" w:rsidRPr="00143C67" w:rsidRDefault="003F5E45" w:rsidP="00143C67">
            <w:pPr>
              <w:jc w:val="center"/>
              <w:rPr>
                <w:sz w:val="18"/>
                <w:szCs w:val="18"/>
              </w:rPr>
            </w:pPr>
            <w:r w:rsidRPr="00143C67">
              <w:rPr>
                <w:sz w:val="18"/>
                <w:szCs w:val="18"/>
              </w:rPr>
              <w:t>Number</w:t>
            </w:r>
          </w:p>
        </w:tc>
        <w:tc>
          <w:tcPr>
            <w:tcW w:w="628" w:type="pct"/>
            <w:tcBorders>
              <w:top w:val="single" w:sz="4" w:space="0" w:color="auto"/>
              <w:bottom w:val="single" w:sz="4" w:space="0" w:color="auto"/>
              <w:right w:val="single" w:sz="4" w:space="0" w:color="auto"/>
            </w:tcBorders>
            <w:shd w:val="clear" w:color="auto" w:fill="E2EFD9" w:themeFill="accent6" w:themeFillTint="33"/>
            <w:vAlign w:val="center"/>
          </w:tcPr>
          <w:p w14:paraId="594958B3" w14:textId="77777777" w:rsidR="003F5E45" w:rsidRPr="00143C67" w:rsidRDefault="003F5E45" w:rsidP="00143C67">
            <w:pPr>
              <w:jc w:val="center"/>
              <w:rPr>
                <w:sz w:val="18"/>
                <w:szCs w:val="18"/>
              </w:rPr>
            </w:pPr>
            <w:r w:rsidRPr="00143C67">
              <w:rPr>
                <w:sz w:val="18"/>
                <w:szCs w:val="18"/>
              </w:rPr>
              <w:t>Percent</w:t>
            </w:r>
          </w:p>
        </w:tc>
        <w:tc>
          <w:tcPr>
            <w:tcW w:w="627" w:type="pct"/>
            <w:tcBorders>
              <w:top w:val="single" w:sz="4" w:space="0" w:color="auto"/>
              <w:left w:val="single" w:sz="4" w:space="0" w:color="auto"/>
              <w:bottom w:val="single" w:sz="4" w:space="0" w:color="auto"/>
            </w:tcBorders>
            <w:shd w:val="clear" w:color="auto" w:fill="E2EFD9" w:themeFill="accent6" w:themeFillTint="33"/>
            <w:vAlign w:val="center"/>
          </w:tcPr>
          <w:p w14:paraId="6DDC9E1F" w14:textId="77777777" w:rsidR="003F5E45" w:rsidRPr="00143C67" w:rsidRDefault="003F5E45" w:rsidP="00143C67">
            <w:pPr>
              <w:jc w:val="center"/>
              <w:rPr>
                <w:sz w:val="18"/>
                <w:szCs w:val="18"/>
              </w:rPr>
            </w:pPr>
            <w:r w:rsidRPr="00143C67">
              <w:rPr>
                <w:sz w:val="18"/>
                <w:szCs w:val="18"/>
              </w:rPr>
              <w:t>Number</w:t>
            </w:r>
          </w:p>
        </w:tc>
        <w:tc>
          <w:tcPr>
            <w:tcW w:w="628" w:type="pct"/>
            <w:tcBorders>
              <w:top w:val="single" w:sz="4" w:space="0" w:color="auto"/>
              <w:bottom w:val="single" w:sz="4" w:space="0" w:color="auto"/>
            </w:tcBorders>
            <w:shd w:val="clear" w:color="auto" w:fill="E2EFD9" w:themeFill="accent6" w:themeFillTint="33"/>
            <w:vAlign w:val="center"/>
          </w:tcPr>
          <w:p w14:paraId="43AAF5F6" w14:textId="77777777" w:rsidR="003F5E45" w:rsidRPr="00143C67" w:rsidRDefault="003F5E45" w:rsidP="00143C67">
            <w:pPr>
              <w:jc w:val="center"/>
              <w:rPr>
                <w:sz w:val="18"/>
                <w:szCs w:val="18"/>
              </w:rPr>
            </w:pPr>
            <w:r w:rsidRPr="00143C67">
              <w:rPr>
                <w:sz w:val="18"/>
                <w:szCs w:val="18"/>
              </w:rPr>
              <w:t>Percent</w:t>
            </w:r>
          </w:p>
        </w:tc>
      </w:tr>
      <w:tr w:rsidR="006B42D6" w:rsidRPr="006B42D6" w14:paraId="63AACAFD" w14:textId="77777777" w:rsidTr="00143C67">
        <w:trPr>
          <w:trHeight w:val="340"/>
        </w:trPr>
        <w:tc>
          <w:tcPr>
            <w:tcW w:w="574" w:type="pct"/>
            <w:vMerge w:val="restart"/>
            <w:tcBorders>
              <w:top w:val="single" w:sz="4" w:space="0" w:color="auto"/>
              <w:bottom w:val="nil"/>
              <w:right w:val="single" w:sz="4" w:space="0" w:color="auto"/>
            </w:tcBorders>
            <w:shd w:val="clear" w:color="auto" w:fill="auto"/>
            <w:noWrap/>
            <w:vAlign w:val="center"/>
            <w:hideMark/>
          </w:tcPr>
          <w:p w14:paraId="7E6FB1AF" w14:textId="77777777" w:rsidR="003F5E45" w:rsidRPr="006B42D6" w:rsidRDefault="003F5E45" w:rsidP="00750BB9">
            <w:pPr>
              <w:jc w:val="left"/>
              <w:rPr>
                <w:sz w:val="18"/>
                <w:szCs w:val="18"/>
              </w:rPr>
            </w:pPr>
            <w:r w:rsidRPr="006B42D6">
              <w:rPr>
                <w:sz w:val="18"/>
                <w:szCs w:val="18"/>
              </w:rPr>
              <w:t>2019/20</w:t>
            </w:r>
          </w:p>
          <w:p w14:paraId="1E0082BC" w14:textId="77777777" w:rsidR="003F5E45" w:rsidRPr="006B42D6" w:rsidRDefault="003F5E45" w:rsidP="00750BB9">
            <w:pPr>
              <w:jc w:val="left"/>
              <w:rPr>
                <w:sz w:val="18"/>
                <w:szCs w:val="18"/>
              </w:rPr>
            </w:pPr>
          </w:p>
        </w:tc>
        <w:tc>
          <w:tcPr>
            <w:tcW w:w="598" w:type="pct"/>
            <w:tcBorders>
              <w:top w:val="single" w:sz="4" w:space="0" w:color="auto"/>
              <w:left w:val="single" w:sz="4" w:space="0" w:color="auto"/>
              <w:bottom w:val="nil"/>
              <w:right w:val="single" w:sz="4" w:space="0" w:color="auto"/>
            </w:tcBorders>
            <w:shd w:val="clear" w:color="auto" w:fill="auto"/>
            <w:noWrap/>
            <w:vAlign w:val="center"/>
          </w:tcPr>
          <w:p w14:paraId="14A41907" w14:textId="77777777" w:rsidR="003F5E45" w:rsidRPr="006B42D6" w:rsidRDefault="003F5E45" w:rsidP="00750BB9">
            <w:pPr>
              <w:jc w:val="left"/>
              <w:rPr>
                <w:sz w:val="18"/>
                <w:szCs w:val="18"/>
              </w:rPr>
            </w:pPr>
            <w:r w:rsidRPr="006B42D6">
              <w:rPr>
                <w:sz w:val="18"/>
                <w:szCs w:val="18"/>
              </w:rPr>
              <w:t>Not Eaten</w:t>
            </w:r>
          </w:p>
        </w:tc>
        <w:tc>
          <w:tcPr>
            <w:tcW w:w="639" w:type="pct"/>
            <w:tcBorders>
              <w:top w:val="single" w:sz="4" w:space="0" w:color="auto"/>
              <w:left w:val="single" w:sz="4" w:space="0" w:color="auto"/>
              <w:bottom w:val="nil"/>
            </w:tcBorders>
            <w:shd w:val="clear" w:color="auto" w:fill="auto"/>
            <w:noWrap/>
            <w:vAlign w:val="center"/>
          </w:tcPr>
          <w:p w14:paraId="7660D3E4" w14:textId="77777777" w:rsidR="003F5E45" w:rsidRPr="006B42D6" w:rsidRDefault="003F5E45" w:rsidP="00143C67">
            <w:pPr>
              <w:jc w:val="right"/>
              <w:rPr>
                <w:sz w:val="18"/>
                <w:szCs w:val="18"/>
              </w:rPr>
            </w:pPr>
            <w:r w:rsidRPr="006B42D6">
              <w:rPr>
                <w:sz w:val="18"/>
                <w:szCs w:val="18"/>
              </w:rPr>
              <w:t>4,081,210</w:t>
            </w:r>
          </w:p>
        </w:tc>
        <w:tc>
          <w:tcPr>
            <w:tcW w:w="680" w:type="pct"/>
            <w:tcBorders>
              <w:top w:val="single" w:sz="4" w:space="0" w:color="auto"/>
              <w:bottom w:val="nil"/>
              <w:right w:val="single" w:sz="4" w:space="0" w:color="auto"/>
            </w:tcBorders>
            <w:shd w:val="clear" w:color="auto" w:fill="auto"/>
            <w:noWrap/>
            <w:vAlign w:val="center"/>
          </w:tcPr>
          <w:p w14:paraId="7BADD46D" w14:textId="77777777" w:rsidR="003F5E45" w:rsidRPr="006B42D6" w:rsidRDefault="003F5E45" w:rsidP="00143C67">
            <w:pPr>
              <w:jc w:val="right"/>
              <w:rPr>
                <w:sz w:val="18"/>
                <w:szCs w:val="18"/>
              </w:rPr>
            </w:pPr>
            <w:r w:rsidRPr="006B42D6">
              <w:rPr>
                <w:sz w:val="18"/>
                <w:szCs w:val="18"/>
              </w:rPr>
              <w:t>52.1</w:t>
            </w:r>
          </w:p>
        </w:tc>
        <w:tc>
          <w:tcPr>
            <w:tcW w:w="627" w:type="pct"/>
            <w:tcBorders>
              <w:top w:val="single" w:sz="4" w:space="0" w:color="auto"/>
              <w:left w:val="single" w:sz="4" w:space="0" w:color="auto"/>
              <w:bottom w:val="nil"/>
            </w:tcBorders>
            <w:shd w:val="clear" w:color="auto" w:fill="auto"/>
            <w:noWrap/>
            <w:vAlign w:val="center"/>
          </w:tcPr>
          <w:p w14:paraId="56BB4A83" w14:textId="77777777" w:rsidR="003F5E45" w:rsidRPr="006B42D6" w:rsidRDefault="003F5E45" w:rsidP="00143C67">
            <w:pPr>
              <w:jc w:val="right"/>
              <w:rPr>
                <w:sz w:val="18"/>
                <w:szCs w:val="18"/>
              </w:rPr>
            </w:pPr>
            <w:r w:rsidRPr="006B42D6">
              <w:rPr>
                <w:sz w:val="18"/>
                <w:szCs w:val="18"/>
              </w:rPr>
              <w:t>3,963,355</w:t>
            </w:r>
          </w:p>
        </w:tc>
        <w:tc>
          <w:tcPr>
            <w:tcW w:w="628" w:type="pct"/>
            <w:tcBorders>
              <w:top w:val="single" w:sz="4" w:space="0" w:color="auto"/>
              <w:bottom w:val="nil"/>
              <w:right w:val="single" w:sz="4" w:space="0" w:color="auto"/>
            </w:tcBorders>
            <w:vAlign w:val="center"/>
          </w:tcPr>
          <w:p w14:paraId="6A26799A" w14:textId="77777777" w:rsidR="003F5E45" w:rsidRPr="006B42D6" w:rsidRDefault="003F5E45" w:rsidP="00143C67">
            <w:pPr>
              <w:jc w:val="right"/>
              <w:rPr>
                <w:sz w:val="18"/>
                <w:szCs w:val="18"/>
              </w:rPr>
            </w:pPr>
            <w:r w:rsidRPr="006B42D6">
              <w:rPr>
                <w:sz w:val="18"/>
                <w:szCs w:val="18"/>
              </w:rPr>
              <w:t>51.8</w:t>
            </w:r>
          </w:p>
        </w:tc>
        <w:tc>
          <w:tcPr>
            <w:tcW w:w="627" w:type="pct"/>
            <w:tcBorders>
              <w:top w:val="single" w:sz="4" w:space="0" w:color="auto"/>
              <w:left w:val="single" w:sz="4" w:space="0" w:color="auto"/>
              <w:bottom w:val="nil"/>
            </w:tcBorders>
            <w:vAlign w:val="center"/>
          </w:tcPr>
          <w:p w14:paraId="6113E601" w14:textId="77777777" w:rsidR="003F5E45" w:rsidRPr="006B42D6" w:rsidRDefault="003F5E45" w:rsidP="00143C67">
            <w:pPr>
              <w:jc w:val="right"/>
              <w:rPr>
                <w:sz w:val="18"/>
                <w:szCs w:val="18"/>
              </w:rPr>
            </w:pPr>
            <w:r w:rsidRPr="006B42D6">
              <w:rPr>
                <w:sz w:val="18"/>
                <w:szCs w:val="18"/>
              </w:rPr>
              <w:t>117,854</w:t>
            </w:r>
          </w:p>
        </w:tc>
        <w:tc>
          <w:tcPr>
            <w:tcW w:w="628" w:type="pct"/>
            <w:tcBorders>
              <w:top w:val="single" w:sz="4" w:space="0" w:color="auto"/>
              <w:bottom w:val="nil"/>
            </w:tcBorders>
            <w:vAlign w:val="center"/>
          </w:tcPr>
          <w:p w14:paraId="536BA521" w14:textId="77777777" w:rsidR="003F5E45" w:rsidRPr="006B42D6" w:rsidRDefault="003F5E45" w:rsidP="00143C67">
            <w:pPr>
              <w:jc w:val="right"/>
              <w:rPr>
                <w:sz w:val="18"/>
                <w:szCs w:val="18"/>
              </w:rPr>
            </w:pPr>
            <w:r w:rsidRPr="006B42D6">
              <w:rPr>
                <w:sz w:val="18"/>
                <w:szCs w:val="18"/>
              </w:rPr>
              <w:t>65.4</w:t>
            </w:r>
          </w:p>
        </w:tc>
      </w:tr>
      <w:tr w:rsidR="006B42D6" w:rsidRPr="006B42D6" w14:paraId="2548AE53" w14:textId="77777777" w:rsidTr="00143C67">
        <w:trPr>
          <w:trHeight w:val="340"/>
        </w:trPr>
        <w:tc>
          <w:tcPr>
            <w:tcW w:w="574" w:type="pct"/>
            <w:vMerge/>
            <w:tcBorders>
              <w:top w:val="nil"/>
              <w:bottom w:val="nil"/>
              <w:right w:val="single" w:sz="4" w:space="0" w:color="auto"/>
            </w:tcBorders>
            <w:vAlign w:val="center"/>
            <w:hideMark/>
          </w:tcPr>
          <w:p w14:paraId="2A3A2A3F" w14:textId="77777777" w:rsidR="003F5E45" w:rsidRPr="006B42D6" w:rsidRDefault="003F5E45" w:rsidP="00750BB9">
            <w:pPr>
              <w:jc w:val="left"/>
              <w:rPr>
                <w:sz w:val="18"/>
                <w:szCs w:val="18"/>
              </w:rPr>
            </w:pPr>
          </w:p>
        </w:tc>
        <w:tc>
          <w:tcPr>
            <w:tcW w:w="598" w:type="pct"/>
            <w:tcBorders>
              <w:top w:val="nil"/>
              <w:left w:val="single" w:sz="4" w:space="0" w:color="auto"/>
              <w:bottom w:val="nil"/>
              <w:right w:val="single" w:sz="4" w:space="0" w:color="auto"/>
            </w:tcBorders>
            <w:shd w:val="clear" w:color="auto" w:fill="auto"/>
            <w:noWrap/>
            <w:vAlign w:val="center"/>
          </w:tcPr>
          <w:p w14:paraId="147380AA" w14:textId="77777777" w:rsidR="003F5E45" w:rsidRPr="006B42D6" w:rsidRDefault="003F5E45" w:rsidP="00750BB9">
            <w:pPr>
              <w:jc w:val="left"/>
              <w:rPr>
                <w:sz w:val="18"/>
                <w:szCs w:val="18"/>
              </w:rPr>
            </w:pPr>
            <w:r w:rsidRPr="006B42D6">
              <w:rPr>
                <w:sz w:val="18"/>
                <w:szCs w:val="18"/>
              </w:rPr>
              <w:t>One</w:t>
            </w:r>
          </w:p>
        </w:tc>
        <w:tc>
          <w:tcPr>
            <w:tcW w:w="639" w:type="pct"/>
            <w:tcBorders>
              <w:top w:val="nil"/>
              <w:left w:val="single" w:sz="4" w:space="0" w:color="auto"/>
              <w:bottom w:val="nil"/>
            </w:tcBorders>
            <w:shd w:val="clear" w:color="auto" w:fill="auto"/>
            <w:noWrap/>
            <w:vAlign w:val="center"/>
          </w:tcPr>
          <w:p w14:paraId="2E1BC211" w14:textId="77777777" w:rsidR="003F5E45" w:rsidRPr="006B42D6" w:rsidRDefault="003F5E45" w:rsidP="00143C67">
            <w:pPr>
              <w:jc w:val="right"/>
              <w:rPr>
                <w:sz w:val="18"/>
                <w:szCs w:val="18"/>
              </w:rPr>
            </w:pPr>
            <w:r w:rsidRPr="006B42D6">
              <w:rPr>
                <w:sz w:val="18"/>
                <w:szCs w:val="18"/>
              </w:rPr>
              <w:t>1,711,534</w:t>
            </w:r>
          </w:p>
        </w:tc>
        <w:tc>
          <w:tcPr>
            <w:tcW w:w="680" w:type="pct"/>
            <w:tcBorders>
              <w:top w:val="nil"/>
              <w:bottom w:val="nil"/>
              <w:right w:val="single" w:sz="4" w:space="0" w:color="auto"/>
            </w:tcBorders>
            <w:shd w:val="clear" w:color="auto" w:fill="auto"/>
            <w:noWrap/>
            <w:vAlign w:val="center"/>
          </w:tcPr>
          <w:p w14:paraId="79F0C483" w14:textId="77777777" w:rsidR="003F5E45" w:rsidRPr="006B42D6" w:rsidRDefault="003F5E45" w:rsidP="00143C67">
            <w:pPr>
              <w:jc w:val="right"/>
              <w:rPr>
                <w:sz w:val="18"/>
                <w:szCs w:val="18"/>
              </w:rPr>
            </w:pPr>
            <w:r w:rsidRPr="006B42D6">
              <w:rPr>
                <w:sz w:val="18"/>
                <w:szCs w:val="18"/>
              </w:rPr>
              <w:t>21.8</w:t>
            </w:r>
          </w:p>
        </w:tc>
        <w:tc>
          <w:tcPr>
            <w:tcW w:w="627" w:type="pct"/>
            <w:tcBorders>
              <w:top w:val="nil"/>
              <w:left w:val="single" w:sz="4" w:space="0" w:color="auto"/>
              <w:bottom w:val="nil"/>
            </w:tcBorders>
            <w:shd w:val="clear" w:color="auto" w:fill="auto"/>
            <w:noWrap/>
            <w:vAlign w:val="center"/>
          </w:tcPr>
          <w:p w14:paraId="24AFDA97" w14:textId="77777777" w:rsidR="003F5E45" w:rsidRPr="006B42D6" w:rsidRDefault="003F5E45" w:rsidP="00143C67">
            <w:pPr>
              <w:jc w:val="right"/>
              <w:rPr>
                <w:sz w:val="18"/>
                <w:szCs w:val="18"/>
              </w:rPr>
            </w:pPr>
            <w:r w:rsidRPr="006B42D6">
              <w:rPr>
                <w:sz w:val="18"/>
                <w:szCs w:val="18"/>
              </w:rPr>
              <w:t>1,685,542</w:t>
            </w:r>
          </w:p>
        </w:tc>
        <w:tc>
          <w:tcPr>
            <w:tcW w:w="628" w:type="pct"/>
            <w:tcBorders>
              <w:top w:val="nil"/>
              <w:bottom w:val="nil"/>
              <w:right w:val="single" w:sz="4" w:space="0" w:color="auto"/>
            </w:tcBorders>
            <w:vAlign w:val="center"/>
          </w:tcPr>
          <w:p w14:paraId="09619638" w14:textId="77777777" w:rsidR="003F5E45" w:rsidRPr="006B42D6" w:rsidRDefault="003F5E45" w:rsidP="00143C67">
            <w:pPr>
              <w:jc w:val="right"/>
              <w:rPr>
                <w:sz w:val="18"/>
                <w:szCs w:val="18"/>
              </w:rPr>
            </w:pPr>
            <w:r w:rsidRPr="006B42D6">
              <w:rPr>
                <w:sz w:val="18"/>
                <w:szCs w:val="18"/>
              </w:rPr>
              <w:t>22.0</w:t>
            </w:r>
          </w:p>
        </w:tc>
        <w:tc>
          <w:tcPr>
            <w:tcW w:w="627" w:type="pct"/>
            <w:tcBorders>
              <w:top w:val="nil"/>
              <w:left w:val="single" w:sz="4" w:space="0" w:color="auto"/>
              <w:bottom w:val="nil"/>
            </w:tcBorders>
            <w:vAlign w:val="center"/>
          </w:tcPr>
          <w:p w14:paraId="7FCCA121" w14:textId="77777777" w:rsidR="003F5E45" w:rsidRPr="006B42D6" w:rsidRDefault="003F5E45" w:rsidP="00143C67">
            <w:pPr>
              <w:jc w:val="right"/>
              <w:rPr>
                <w:sz w:val="18"/>
                <w:szCs w:val="18"/>
              </w:rPr>
            </w:pPr>
            <w:r w:rsidRPr="006B42D6">
              <w:rPr>
                <w:sz w:val="18"/>
                <w:szCs w:val="18"/>
              </w:rPr>
              <w:t>25,990</w:t>
            </w:r>
          </w:p>
        </w:tc>
        <w:tc>
          <w:tcPr>
            <w:tcW w:w="628" w:type="pct"/>
            <w:tcBorders>
              <w:top w:val="nil"/>
              <w:bottom w:val="nil"/>
            </w:tcBorders>
            <w:vAlign w:val="center"/>
          </w:tcPr>
          <w:p w14:paraId="684E776E" w14:textId="77777777" w:rsidR="003F5E45" w:rsidRPr="006B42D6" w:rsidRDefault="003F5E45" w:rsidP="00143C67">
            <w:pPr>
              <w:jc w:val="right"/>
              <w:rPr>
                <w:sz w:val="18"/>
                <w:szCs w:val="18"/>
              </w:rPr>
            </w:pPr>
            <w:r w:rsidRPr="006B42D6">
              <w:rPr>
                <w:sz w:val="18"/>
                <w:szCs w:val="18"/>
              </w:rPr>
              <w:t>14.4</w:t>
            </w:r>
          </w:p>
        </w:tc>
      </w:tr>
      <w:tr w:rsidR="006B42D6" w:rsidRPr="006B42D6" w14:paraId="521FE109" w14:textId="77777777" w:rsidTr="00143C67">
        <w:trPr>
          <w:trHeight w:val="340"/>
        </w:trPr>
        <w:tc>
          <w:tcPr>
            <w:tcW w:w="574" w:type="pct"/>
            <w:vMerge/>
            <w:tcBorders>
              <w:top w:val="nil"/>
              <w:bottom w:val="nil"/>
              <w:right w:val="single" w:sz="4" w:space="0" w:color="auto"/>
            </w:tcBorders>
            <w:vAlign w:val="center"/>
            <w:hideMark/>
          </w:tcPr>
          <w:p w14:paraId="70546730" w14:textId="77777777" w:rsidR="003F5E45" w:rsidRPr="006B42D6" w:rsidRDefault="003F5E45" w:rsidP="00750BB9">
            <w:pPr>
              <w:jc w:val="left"/>
              <w:rPr>
                <w:sz w:val="18"/>
                <w:szCs w:val="18"/>
              </w:rPr>
            </w:pPr>
          </w:p>
        </w:tc>
        <w:tc>
          <w:tcPr>
            <w:tcW w:w="598" w:type="pct"/>
            <w:tcBorders>
              <w:top w:val="nil"/>
              <w:left w:val="single" w:sz="4" w:space="0" w:color="auto"/>
              <w:bottom w:val="nil"/>
              <w:right w:val="single" w:sz="4" w:space="0" w:color="auto"/>
            </w:tcBorders>
            <w:shd w:val="clear" w:color="auto" w:fill="auto"/>
            <w:noWrap/>
            <w:vAlign w:val="center"/>
          </w:tcPr>
          <w:p w14:paraId="71078FC0" w14:textId="77777777" w:rsidR="003F5E45" w:rsidRPr="006B42D6" w:rsidRDefault="003F5E45" w:rsidP="00750BB9">
            <w:pPr>
              <w:jc w:val="left"/>
              <w:rPr>
                <w:sz w:val="18"/>
                <w:szCs w:val="18"/>
              </w:rPr>
            </w:pPr>
            <w:r w:rsidRPr="006B42D6">
              <w:rPr>
                <w:sz w:val="18"/>
                <w:szCs w:val="18"/>
              </w:rPr>
              <w:t>Two</w:t>
            </w:r>
          </w:p>
        </w:tc>
        <w:tc>
          <w:tcPr>
            <w:tcW w:w="639" w:type="pct"/>
            <w:tcBorders>
              <w:top w:val="nil"/>
              <w:left w:val="single" w:sz="4" w:space="0" w:color="auto"/>
              <w:bottom w:val="nil"/>
            </w:tcBorders>
            <w:shd w:val="clear" w:color="auto" w:fill="auto"/>
            <w:noWrap/>
            <w:vAlign w:val="center"/>
          </w:tcPr>
          <w:p w14:paraId="4A22A792" w14:textId="77777777" w:rsidR="003F5E45" w:rsidRPr="006B42D6" w:rsidRDefault="003F5E45" w:rsidP="00143C67">
            <w:pPr>
              <w:jc w:val="right"/>
              <w:rPr>
                <w:sz w:val="18"/>
                <w:szCs w:val="18"/>
              </w:rPr>
            </w:pPr>
            <w:r w:rsidRPr="006B42D6">
              <w:rPr>
                <w:sz w:val="18"/>
                <w:szCs w:val="18"/>
              </w:rPr>
              <w:t>1,234,552</w:t>
            </w:r>
          </w:p>
        </w:tc>
        <w:tc>
          <w:tcPr>
            <w:tcW w:w="680" w:type="pct"/>
            <w:tcBorders>
              <w:top w:val="nil"/>
              <w:bottom w:val="nil"/>
              <w:right w:val="single" w:sz="4" w:space="0" w:color="auto"/>
            </w:tcBorders>
            <w:shd w:val="clear" w:color="auto" w:fill="auto"/>
            <w:noWrap/>
            <w:vAlign w:val="center"/>
          </w:tcPr>
          <w:p w14:paraId="2E835864" w14:textId="77777777" w:rsidR="003F5E45" w:rsidRPr="006B42D6" w:rsidRDefault="003F5E45" w:rsidP="00143C67">
            <w:pPr>
              <w:jc w:val="right"/>
              <w:rPr>
                <w:sz w:val="18"/>
                <w:szCs w:val="18"/>
              </w:rPr>
            </w:pPr>
            <w:r w:rsidRPr="006B42D6">
              <w:rPr>
                <w:sz w:val="18"/>
                <w:szCs w:val="18"/>
              </w:rPr>
              <w:t>15.8</w:t>
            </w:r>
          </w:p>
        </w:tc>
        <w:tc>
          <w:tcPr>
            <w:tcW w:w="627" w:type="pct"/>
            <w:tcBorders>
              <w:top w:val="nil"/>
              <w:left w:val="single" w:sz="4" w:space="0" w:color="auto"/>
              <w:bottom w:val="nil"/>
            </w:tcBorders>
            <w:shd w:val="clear" w:color="auto" w:fill="auto"/>
            <w:noWrap/>
            <w:vAlign w:val="center"/>
          </w:tcPr>
          <w:p w14:paraId="7FE2D1AF" w14:textId="77777777" w:rsidR="003F5E45" w:rsidRPr="006B42D6" w:rsidRDefault="003F5E45" w:rsidP="00143C67">
            <w:pPr>
              <w:jc w:val="right"/>
              <w:rPr>
                <w:sz w:val="18"/>
                <w:szCs w:val="18"/>
              </w:rPr>
            </w:pPr>
            <w:r w:rsidRPr="006B42D6">
              <w:rPr>
                <w:sz w:val="18"/>
                <w:szCs w:val="18"/>
              </w:rPr>
              <w:t>1,215,638</w:t>
            </w:r>
          </w:p>
        </w:tc>
        <w:tc>
          <w:tcPr>
            <w:tcW w:w="628" w:type="pct"/>
            <w:tcBorders>
              <w:top w:val="nil"/>
              <w:bottom w:val="nil"/>
              <w:right w:val="single" w:sz="4" w:space="0" w:color="auto"/>
            </w:tcBorders>
            <w:vAlign w:val="center"/>
          </w:tcPr>
          <w:p w14:paraId="3B933337" w14:textId="77777777" w:rsidR="003F5E45" w:rsidRPr="006B42D6" w:rsidRDefault="003F5E45" w:rsidP="00143C67">
            <w:pPr>
              <w:jc w:val="right"/>
              <w:rPr>
                <w:sz w:val="18"/>
                <w:szCs w:val="18"/>
              </w:rPr>
            </w:pPr>
            <w:r w:rsidRPr="006B42D6">
              <w:rPr>
                <w:sz w:val="18"/>
                <w:szCs w:val="18"/>
              </w:rPr>
              <w:t>15.9</w:t>
            </w:r>
          </w:p>
        </w:tc>
        <w:tc>
          <w:tcPr>
            <w:tcW w:w="627" w:type="pct"/>
            <w:tcBorders>
              <w:top w:val="nil"/>
              <w:left w:val="single" w:sz="4" w:space="0" w:color="auto"/>
              <w:bottom w:val="nil"/>
            </w:tcBorders>
            <w:vAlign w:val="center"/>
          </w:tcPr>
          <w:p w14:paraId="19209C93" w14:textId="77777777" w:rsidR="003F5E45" w:rsidRPr="006B42D6" w:rsidRDefault="003F5E45" w:rsidP="00143C67">
            <w:pPr>
              <w:jc w:val="right"/>
              <w:rPr>
                <w:sz w:val="18"/>
                <w:szCs w:val="18"/>
              </w:rPr>
            </w:pPr>
            <w:r w:rsidRPr="006B42D6">
              <w:rPr>
                <w:sz w:val="18"/>
                <w:szCs w:val="18"/>
              </w:rPr>
              <w:t>18,914</w:t>
            </w:r>
          </w:p>
        </w:tc>
        <w:tc>
          <w:tcPr>
            <w:tcW w:w="628" w:type="pct"/>
            <w:tcBorders>
              <w:top w:val="nil"/>
              <w:bottom w:val="nil"/>
            </w:tcBorders>
            <w:vAlign w:val="center"/>
          </w:tcPr>
          <w:p w14:paraId="132373D8" w14:textId="77777777" w:rsidR="003F5E45" w:rsidRPr="006B42D6" w:rsidRDefault="003F5E45" w:rsidP="00143C67">
            <w:pPr>
              <w:jc w:val="right"/>
              <w:rPr>
                <w:sz w:val="18"/>
                <w:szCs w:val="18"/>
              </w:rPr>
            </w:pPr>
            <w:r w:rsidRPr="006B42D6">
              <w:rPr>
                <w:sz w:val="18"/>
                <w:szCs w:val="18"/>
              </w:rPr>
              <w:t>10.5</w:t>
            </w:r>
          </w:p>
        </w:tc>
      </w:tr>
      <w:tr w:rsidR="006B42D6" w:rsidRPr="006B42D6" w14:paraId="3B1B362F" w14:textId="77777777" w:rsidTr="00143C67">
        <w:trPr>
          <w:trHeight w:val="340"/>
        </w:trPr>
        <w:tc>
          <w:tcPr>
            <w:tcW w:w="574" w:type="pct"/>
            <w:vMerge/>
            <w:tcBorders>
              <w:top w:val="nil"/>
              <w:bottom w:val="nil"/>
              <w:right w:val="single" w:sz="4" w:space="0" w:color="auto"/>
            </w:tcBorders>
            <w:vAlign w:val="center"/>
            <w:hideMark/>
          </w:tcPr>
          <w:p w14:paraId="2C08FF9F" w14:textId="77777777" w:rsidR="003F5E45" w:rsidRPr="006B42D6" w:rsidRDefault="003F5E45" w:rsidP="00750BB9">
            <w:pPr>
              <w:jc w:val="left"/>
              <w:rPr>
                <w:sz w:val="18"/>
                <w:szCs w:val="18"/>
              </w:rPr>
            </w:pPr>
          </w:p>
        </w:tc>
        <w:tc>
          <w:tcPr>
            <w:tcW w:w="598" w:type="pct"/>
            <w:tcBorders>
              <w:top w:val="nil"/>
              <w:left w:val="single" w:sz="4" w:space="0" w:color="auto"/>
              <w:bottom w:val="nil"/>
              <w:right w:val="single" w:sz="4" w:space="0" w:color="auto"/>
            </w:tcBorders>
            <w:shd w:val="clear" w:color="auto" w:fill="auto"/>
            <w:noWrap/>
            <w:vAlign w:val="center"/>
          </w:tcPr>
          <w:p w14:paraId="70433912" w14:textId="77777777" w:rsidR="003F5E45" w:rsidRPr="006B42D6" w:rsidRDefault="003F5E45" w:rsidP="00750BB9">
            <w:pPr>
              <w:jc w:val="left"/>
              <w:rPr>
                <w:sz w:val="18"/>
                <w:szCs w:val="18"/>
              </w:rPr>
            </w:pPr>
            <w:r w:rsidRPr="006B42D6">
              <w:rPr>
                <w:sz w:val="18"/>
                <w:szCs w:val="18"/>
              </w:rPr>
              <w:t>Three</w:t>
            </w:r>
          </w:p>
        </w:tc>
        <w:tc>
          <w:tcPr>
            <w:tcW w:w="639" w:type="pct"/>
            <w:tcBorders>
              <w:top w:val="nil"/>
              <w:left w:val="single" w:sz="4" w:space="0" w:color="auto"/>
              <w:bottom w:val="nil"/>
            </w:tcBorders>
            <w:shd w:val="clear" w:color="auto" w:fill="auto"/>
            <w:noWrap/>
            <w:vAlign w:val="center"/>
          </w:tcPr>
          <w:p w14:paraId="5DF15E39" w14:textId="77777777" w:rsidR="003F5E45" w:rsidRPr="006B42D6" w:rsidRDefault="003F5E45" w:rsidP="00143C67">
            <w:pPr>
              <w:jc w:val="right"/>
              <w:rPr>
                <w:sz w:val="18"/>
                <w:szCs w:val="18"/>
              </w:rPr>
            </w:pPr>
            <w:r w:rsidRPr="006B42D6">
              <w:rPr>
                <w:sz w:val="18"/>
                <w:szCs w:val="18"/>
              </w:rPr>
              <w:t>540,733</w:t>
            </w:r>
          </w:p>
        </w:tc>
        <w:tc>
          <w:tcPr>
            <w:tcW w:w="680" w:type="pct"/>
            <w:tcBorders>
              <w:top w:val="nil"/>
              <w:bottom w:val="nil"/>
              <w:right w:val="single" w:sz="4" w:space="0" w:color="auto"/>
            </w:tcBorders>
            <w:shd w:val="clear" w:color="auto" w:fill="auto"/>
            <w:noWrap/>
            <w:vAlign w:val="center"/>
          </w:tcPr>
          <w:p w14:paraId="0FB8A61F" w14:textId="77777777" w:rsidR="003F5E45" w:rsidRPr="006B42D6" w:rsidRDefault="003F5E45" w:rsidP="00143C67">
            <w:pPr>
              <w:jc w:val="right"/>
              <w:rPr>
                <w:sz w:val="18"/>
                <w:szCs w:val="18"/>
              </w:rPr>
            </w:pPr>
            <w:r w:rsidRPr="006B42D6">
              <w:rPr>
                <w:sz w:val="18"/>
                <w:szCs w:val="18"/>
              </w:rPr>
              <w:t>6.9</w:t>
            </w:r>
          </w:p>
        </w:tc>
        <w:tc>
          <w:tcPr>
            <w:tcW w:w="627" w:type="pct"/>
            <w:tcBorders>
              <w:top w:val="nil"/>
              <w:left w:val="single" w:sz="4" w:space="0" w:color="auto"/>
              <w:bottom w:val="nil"/>
            </w:tcBorders>
            <w:shd w:val="clear" w:color="auto" w:fill="auto"/>
            <w:noWrap/>
            <w:vAlign w:val="center"/>
          </w:tcPr>
          <w:p w14:paraId="39C9BEF1" w14:textId="77777777" w:rsidR="003F5E45" w:rsidRPr="006B42D6" w:rsidRDefault="003F5E45" w:rsidP="00143C67">
            <w:pPr>
              <w:jc w:val="right"/>
              <w:rPr>
                <w:sz w:val="18"/>
                <w:szCs w:val="18"/>
              </w:rPr>
            </w:pPr>
            <w:r w:rsidRPr="006B42D6">
              <w:rPr>
                <w:sz w:val="18"/>
                <w:szCs w:val="18"/>
              </w:rPr>
              <w:t>530,738</w:t>
            </w:r>
          </w:p>
        </w:tc>
        <w:tc>
          <w:tcPr>
            <w:tcW w:w="628" w:type="pct"/>
            <w:tcBorders>
              <w:top w:val="nil"/>
              <w:bottom w:val="nil"/>
              <w:right w:val="single" w:sz="4" w:space="0" w:color="auto"/>
            </w:tcBorders>
            <w:vAlign w:val="center"/>
          </w:tcPr>
          <w:p w14:paraId="0BAEE890" w14:textId="77777777" w:rsidR="003F5E45" w:rsidRPr="006B42D6" w:rsidRDefault="003F5E45" w:rsidP="00143C67">
            <w:pPr>
              <w:jc w:val="right"/>
              <w:rPr>
                <w:sz w:val="18"/>
                <w:szCs w:val="18"/>
              </w:rPr>
            </w:pPr>
            <w:r w:rsidRPr="006B42D6">
              <w:rPr>
                <w:sz w:val="18"/>
                <w:szCs w:val="18"/>
              </w:rPr>
              <w:t>6.9</w:t>
            </w:r>
          </w:p>
        </w:tc>
        <w:tc>
          <w:tcPr>
            <w:tcW w:w="627" w:type="pct"/>
            <w:tcBorders>
              <w:top w:val="nil"/>
              <w:left w:val="single" w:sz="4" w:space="0" w:color="auto"/>
              <w:bottom w:val="nil"/>
            </w:tcBorders>
            <w:vAlign w:val="center"/>
          </w:tcPr>
          <w:p w14:paraId="501C9AF4" w14:textId="77777777" w:rsidR="003F5E45" w:rsidRPr="006B42D6" w:rsidRDefault="003F5E45" w:rsidP="00143C67">
            <w:pPr>
              <w:jc w:val="right"/>
              <w:rPr>
                <w:sz w:val="18"/>
                <w:szCs w:val="18"/>
              </w:rPr>
            </w:pPr>
            <w:r w:rsidRPr="006B42D6">
              <w:rPr>
                <w:sz w:val="18"/>
                <w:szCs w:val="18"/>
              </w:rPr>
              <w:t>9,997</w:t>
            </w:r>
          </w:p>
        </w:tc>
        <w:tc>
          <w:tcPr>
            <w:tcW w:w="628" w:type="pct"/>
            <w:tcBorders>
              <w:top w:val="nil"/>
              <w:bottom w:val="nil"/>
            </w:tcBorders>
            <w:vAlign w:val="center"/>
          </w:tcPr>
          <w:p w14:paraId="747156C8" w14:textId="77777777" w:rsidR="003F5E45" w:rsidRPr="006B42D6" w:rsidRDefault="003F5E45" w:rsidP="00143C67">
            <w:pPr>
              <w:jc w:val="right"/>
              <w:rPr>
                <w:sz w:val="18"/>
                <w:szCs w:val="18"/>
              </w:rPr>
            </w:pPr>
            <w:r w:rsidRPr="006B42D6">
              <w:rPr>
                <w:sz w:val="18"/>
                <w:szCs w:val="18"/>
              </w:rPr>
              <w:t>5.5</w:t>
            </w:r>
          </w:p>
        </w:tc>
      </w:tr>
      <w:tr w:rsidR="006B42D6" w:rsidRPr="006B42D6" w14:paraId="1D6E596B" w14:textId="77777777" w:rsidTr="00143C67">
        <w:trPr>
          <w:trHeight w:val="340"/>
        </w:trPr>
        <w:tc>
          <w:tcPr>
            <w:tcW w:w="574" w:type="pct"/>
            <w:vMerge/>
            <w:tcBorders>
              <w:top w:val="nil"/>
              <w:bottom w:val="nil"/>
              <w:right w:val="single" w:sz="4" w:space="0" w:color="auto"/>
            </w:tcBorders>
            <w:vAlign w:val="center"/>
            <w:hideMark/>
          </w:tcPr>
          <w:p w14:paraId="1DFA88E9" w14:textId="77777777" w:rsidR="003F5E45" w:rsidRPr="006B42D6" w:rsidRDefault="003F5E45" w:rsidP="00750BB9">
            <w:pPr>
              <w:jc w:val="left"/>
              <w:rPr>
                <w:sz w:val="18"/>
                <w:szCs w:val="18"/>
              </w:rPr>
            </w:pPr>
          </w:p>
        </w:tc>
        <w:tc>
          <w:tcPr>
            <w:tcW w:w="598" w:type="pct"/>
            <w:tcBorders>
              <w:top w:val="nil"/>
              <w:left w:val="single" w:sz="4" w:space="0" w:color="auto"/>
              <w:bottom w:val="nil"/>
              <w:right w:val="single" w:sz="4" w:space="0" w:color="auto"/>
            </w:tcBorders>
            <w:shd w:val="clear" w:color="auto" w:fill="auto"/>
            <w:noWrap/>
            <w:vAlign w:val="center"/>
          </w:tcPr>
          <w:p w14:paraId="2F631256" w14:textId="77777777" w:rsidR="003F5E45" w:rsidRPr="006B42D6" w:rsidRDefault="003F5E45" w:rsidP="00750BB9">
            <w:pPr>
              <w:jc w:val="left"/>
              <w:rPr>
                <w:sz w:val="18"/>
                <w:szCs w:val="18"/>
              </w:rPr>
            </w:pPr>
            <w:r w:rsidRPr="006B42D6">
              <w:rPr>
                <w:sz w:val="18"/>
                <w:szCs w:val="18"/>
              </w:rPr>
              <w:t>Four</w:t>
            </w:r>
          </w:p>
        </w:tc>
        <w:tc>
          <w:tcPr>
            <w:tcW w:w="639" w:type="pct"/>
            <w:tcBorders>
              <w:top w:val="nil"/>
              <w:left w:val="single" w:sz="4" w:space="0" w:color="auto"/>
              <w:bottom w:val="nil"/>
            </w:tcBorders>
            <w:shd w:val="clear" w:color="auto" w:fill="auto"/>
            <w:noWrap/>
            <w:vAlign w:val="center"/>
          </w:tcPr>
          <w:p w14:paraId="06C32FDB" w14:textId="77777777" w:rsidR="003F5E45" w:rsidRPr="006B42D6" w:rsidRDefault="003F5E45" w:rsidP="00143C67">
            <w:pPr>
              <w:jc w:val="right"/>
              <w:rPr>
                <w:sz w:val="18"/>
                <w:szCs w:val="18"/>
              </w:rPr>
            </w:pPr>
            <w:r w:rsidRPr="006B42D6">
              <w:rPr>
                <w:sz w:val="18"/>
                <w:szCs w:val="18"/>
              </w:rPr>
              <w:t>148,545</w:t>
            </w:r>
          </w:p>
        </w:tc>
        <w:tc>
          <w:tcPr>
            <w:tcW w:w="680" w:type="pct"/>
            <w:tcBorders>
              <w:top w:val="nil"/>
              <w:bottom w:val="nil"/>
              <w:right w:val="single" w:sz="4" w:space="0" w:color="auto"/>
            </w:tcBorders>
            <w:shd w:val="clear" w:color="auto" w:fill="auto"/>
            <w:noWrap/>
            <w:vAlign w:val="center"/>
          </w:tcPr>
          <w:p w14:paraId="090FAA65" w14:textId="77777777" w:rsidR="003F5E45" w:rsidRPr="006B42D6" w:rsidRDefault="003F5E45" w:rsidP="00143C67">
            <w:pPr>
              <w:jc w:val="right"/>
              <w:rPr>
                <w:sz w:val="18"/>
                <w:szCs w:val="18"/>
              </w:rPr>
            </w:pPr>
            <w:r w:rsidRPr="006B42D6">
              <w:rPr>
                <w:sz w:val="18"/>
                <w:szCs w:val="18"/>
              </w:rPr>
              <w:t>1.9</w:t>
            </w:r>
          </w:p>
        </w:tc>
        <w:tc>
          <w:tcPr>
            <w:tcW w:w="627" w:type="pct"/>
            <w:tcBorders>
              <w:top w:val="nil"/>
              <w:left w:val="single" w:sz="4" w:space="0" w:color="auto"/>
              <w:bottom w:val="nil"/>
            </w:tcBorders>
            <w:shd w:val="clear" w:color="auto" w:fill="auto"/>
            <w:noWrap/>
            <w:vAlign w:val="center"/>
          </w:tcPr>
          <w:p w14:paraId="3908A342" w14:textId="77777777" w:rsidR="003F5E45" w:rsidRPr="006B42D6" w:rsidRDefault="003F5E45" w:rsidP="00143C67">
            <w:pPr>
              <w:jc w:val="right"/>
              <w:rPr>
                <w:sz w:val="18"/>
                <w:szCs w:val="18"/>
              </w:rPr>
            </w:pPr>
            <w:r w:rsidRPr="006B42D6">
              <w:rPr>
                <w:sz w:val="18"/>
                <w:szCs w:val="18"/>
              </w:rPr>
              <w:t>144,204</w:t>
            </w:r>
          </w:p>
        </w:tc>
        <w:tc>
          <w:tcPr>
            <w:tcW w:w="628" w:type="pct"/>
            <w:tcBorders>
              <w:top w:val="nil"/>
              <w:bottom w:val="nil"/>
              <w:right w:val="single" w:sz="4" w:space="0" w:color="auto"/>
            </w:tcBorders>
            <w:vAlign w:val="center"/>
          </w:tcPr>
          <w:p w14:paraId="1B6BE828" w14:textId="77777777" w:rsidR="003F5E45" w:rsidRPr="006B42D6" w:rsidRDefault="003F5E45" w:rsidP="00143C67">
            <w:pPr>
              <w:jc w:val="right"/>
              <w:rPr>
                <w:sz w:val="18"/>
                <w:szCs w:val="18"/>
              </w:rPr>
            </w:pPr>
            <w:r w:rsidRPr="006B42D6">
              <w:rPr>
                <w:sz w:val="18"/>
                <w:szCs w:val="18"/>
              </w:rPr>
              <w:t>1.9</w:t>
            </w:r>
          </w:p>
        </w:tc>
        <w:tc>
          <w:tcPr>
            <w:tcW w:w="627" w:type="pct"/>
            <w:tcBorders>
              <w:top w:val="nil"/>
              <w:left w:val="single" w:sz="4" w:space="0" w:color="auto"/>
              <w:bottom w:val="nil"/>
            </w:tcBorders>
            <w:vAlign w:val="center"/>
          </w:tcPr>
          <w:p w14:paraId="15B5FD75" w14:textId="77777777" w:rsidR="003F5E45" w:rsidRPr="006B42D6" w:rsidRDefault="003F5E45" w:rsidP="00143C67">
            <w:pPr>
              <w:jc w:val="right"/>
              <w:rPr>
                <w:sz w:val="18"/>
                <w:szCs w:val="18"/>
              </w:rPr>
            </w:pPr>
            <w:r w:rsidRPr="006B42D6">
              <w:rPr>
                <w:sz w:val="18"/>
                <w:szCs w:val="18"/>
              </w:rPr>
              <w:t>4,340</w:t>
            </w:r>
          </w:p>
        </w:tc>
        <w:tc>
          <w:tcPr>
            <w:tcW w:w="628" w:type="pct"/>
            <w:tcBorders>
              <w:top w:val="nil"/>
              <w:bottom w:val="nil"/>
            </w:tcBorders>
            <w:vAlign w:val="center"/>
          </w:tcPr>
          <w:p w14:paraId="01C92A74" w14:textId="77777777" w:rsidR="003F5E45" w:rsidRPr="006B42D6" w:rsidRDefault="003F5E45" w:rsidP="00143C67">
            <w:pPr>
              <w:jc w:val="right"/>
              <w:rPr>
                <w:sz w:val="18"/>
                <w:szCs w:val="18"/>
              </w:rPr>
            </w:pPr>
            <w:r w:rsidRPr="006B42D6">
              <w:rPr>
                <w:sz w:val="18"/>
                <w:szCs w:val="18"/>
              </w:rPr>
              <w:t>2.4</w:t>
            </w:r>
          </w:p>
        </w:tc>
      </w:tr>
      <w:tr w:rsidR="006B42D6" w:rsidRPr="006B42D6" w14:paraId="1D02C7D5" w14:textId="77777777" w:rsidTr="00143C67">
        <w:trPr>
          <w:trHeight w:val="340"/>
        </w:trPr>
        <w:tc>
          <w:tcPr>
            <w:tcW w:w="574" w:type="pct"/>
            <w:vMerge/>
            <w:tcBorders>
              <w:top w:val="nil"/>
              <w:bottom w:val="nil"/>
              <w:right w:val="single" w:sz="4" w:space="0" w:color="auto"/>
            </w:tcBorders>
            <w:vAlign w:val="center"/>
            <w:hideMark/>
          </w:tcPr>
          <w:p w14:paraId="2D6916F8" w14:textId="77777777" w:rsidR="003F5E45" w:rsidRPr="006B42D6" w:rsidRDefault="003F5E45" w:rsidP="00750BB9">
            <w:pPr>
              <w:jc w:val="left"/>
              <w:rPr>
                <w:sz w:val="18"/>
                <w:szCs w:val="18"/>
              </w:rPr>
            </w:pPr>
          </w:p>
        </w:tc>
        <w:tc>
          <w:tcPr>
            <w:tcW w:w="598" w:type="pct"/>
            <w:tcBorders>
              <w:top w:val="nil"/>
              <w:left w:val="single" w:sz="4" w:space="0" w:color="auto"/>
              <w:bottom w:val="nil"/>
              <w:right w:val="single" w:sz="4" w:space="0" w:color="auto"/>
            </w:tcBorders>
            <w:shd w:val="clear" w:color="auto" w:fill="auto"/>
            <w:noWrap/>
            <w:vAlign w:val="center"/>
          </w:tcPr>
          <w:p w14:paraId="33A3024F" w14:textId="77777777" w:rsidR="003F5E45" w:rsidRPr="006B42D6" w:rsidRDefault="003F5E45" w:rsidP="00750BB9">
            <w:pPr>
              <w:jc w:val="left"/>
              <w:rPr>
                <w:sz w:val="18"/>
                <w:szCs w:val="18"/>
              </w:rPr>
            </w:pPr>
            <w:r w:rsidRPr="006B42D6">
              <w:rPr>
                <w:sz w:val="18"/>
                <w:szCs w:val="18"/>
              </w:rPr>
              <w:t>Five</w:t>
            </w:r>
          </w:p>
        </w:tc>
        <w:tc>
          <w:tcPr>
            <w:tcW w:w="639" w:type="pct"/>
            <w:tcBorders>
              <w:top w:val="nil"/>
              <w:left w:val="single" w:sz="4" w:space="0" w:color="auto"/>
              <w:bottom w:val="nil"/>
            </w:tcBorders>
            <w:shd w:val="clear" w:color="auto" w:fill="auto"/>
            <w:noWrap/>
            <w:vAlign w:val="center"/>
          </w:tcPr>
          <w:p w14:paraId="0F9C5EDA" w14:textId="77777777" w:rsidR="003F5E45" w:rsidRPr="006B42D6" w:rsidRDefault="003F5E45" w:rsidP="00143C67">
            <w:pPr>
              <w:jc w:val="right"/>
              <w:rPr>
                <w:sz w:val="18"/>
                <w:szCs w:val="18"/>
              </w:rPr>
            </w:pPr>
            <w:r w:rsidRPr="006B42D6">
              <w:rPr>
                <w:sz w:val="18"/>
                <w:szCs w:val="18"/>
              </w:rPr>
              <w:t>61,489</w:t>
            </w:r>
          </w:p>
        </w:tc>
        <w:tc>
          <w:tcPr>
            <w:tcW w:w="680" w:type="pct"/>
            <w:tcBorders>
              <w:top w:val="nil"/>
              <w:bottom w:val="nil"/>
              <w:right w:val="single" w:sz="4" w:space="0" w:color="auto"/>
            </w:tcBorders>
            <w:shd w:val="clear" w:color="auto" w:fill="auto"/>
            <w:noWrap/>
            <w:vAlign w:val="center"/>
          </w:tcPr>
          <w:p w14:paraId="7CEF95FA" w14:textId="77777777" w:rsidR="003F5E45" w:rsidRPr="006B42D6" w:rsidRDefault="003F5E45" w:rsidP="00143C67">
            <w:pPr>
              <w:jc w:val="right"/>
              <w:rPr>
                <w:sz w:val="18"/>
                <w:szCs w:val="18"/>
              </w:rPr>
            </w:pPr>
            <w:r w:rsidRPr="006B42D6">
              <w:rPr>
                <w:sz w:val="18"/>
                <w:szCs w:val="18"/>
              </w:rPr>
              <w:t>0.8</w:t>
            </w:r>
          </w:p>
        </w:tc>
        <w:tc>
          <w:tcPr>
            <w:tcW w:w="627" w:type="pct"/>
            <w:tcBorders>
              <w:top w:val="nil"/>
              <w:left w:val="single" w:sz="4" w:space="0" w:color="auto"/>
              <w:bottom w:val="nil"/>
            </w:tcBorders>
            <w:shd w:val="clear" w:color="auto" w:fill="auto"/>
            <w:noWrap/>
            <w:vAlign w:val="center"/>
          </w:tcPr>
          <w:p w14:paraId="0E598E49" w14:textId="77777777" w:rsidR="003F5E45" w:rsidRPr="006B42D6" w:rsidRDefault="003F5E45" w:rsidP="00143C67">
            <w:pPr>
              <w:jc w:val="right"/>
              <w:rPr>
                <w:sz w:val="18"/>
                <w:szCs w:val="18"/>
              </w:rPr>
            </w:pPr>
            <w:r w:rsidRPr="006B42D6">
              <w:rPr>
                <w:sz w:val="18"/>
                <w:szCs w:val="18"/>
              </w:rPr>
              <w:t>59,788</w:t>
            </w:r>
          </w:p>
        </w:tc>
        <w:tc>
          <w:tcPr>
            <w:tcW w:w="628" w:type="pct"/>
            <w:tcBorders>
              <w:top w:val="nil"/>
              <w:bottom w:val="nil"/>
              <w:right w:val="single" w:sz="4" w:space="0" w:color="auto"/>
            </w:tcBorders>
            <w:vAlign w:val="center"/>
          </w:tcPr>
          <w:p w14:paraId="1CB440BE" w14:textId="77777777" w:rsidR="003F5E45" w:rsidRPr="006B42D6" w:rsidRDefault="003F5E45" w:rsidP="00143C67">
            <w:pPr>
              <w:jc w:val="right"/>
              <w:rPr>
                <w:sz w:val="18"/>
                <w:szCs w:val="18"/>
              </w:rPr>
            </w:pPr>
            <w:r w:rsidRPr="006B42D6">
              <w:rPr>
                <w:sz w:val="18"/>
                <w:szCs w:val="18"/>
              </w:rPr>
              <w:t>0.8</w:t>
            </w:r>
          </w:p>
        </w:tc>
        <w:tc>
          <w:tcPr>
            <w:tcW w:w="627" w:type="pct"/>
            <w:tcBorders>
              <w:top w:val="nil"/>
              <w:left w:val="single" w:sz="4" w:space="0" w:color="auto"/>
              <w:bottom w:val="nil"/>
            </w:tcBorders>
            <w:vAlign w:val="center"/>
          </w:tcPr>
          <w:p w14:paraId="4A2471AB" w14:textId="77777777" w:rsidR="003F5E45" w:rsidRPr="006B42D6" w:rsidRDefault="003F5E45" w:rsidP="00143C67">
            <w:pPr>
              <w:jc w:val="right"/>
              <w:rPr>
                <w:sz w:val="18"/>
                <w:szCs w:val="18"/>
              </w:rPr>
            </w:pPr>
            <w:r w:rsidRPr="006B42D6">
              <w:rPr>
                <w:sz w:val="18"/>
                <w:szCs w:val="18"/>
              </w:rPr>
              <w:t>1,698</w:t>
            </w:r>
          </w:p>
        </w:tc>
        <w:tc>
          <w:tcPr>
            <w:tcW w:w="628" w:type="pct"/>
            <w:tcBorders>
              <w:top w:val="nil"/>
              <w:bottom w:val="nil"/>
            </w:tcBorders>
            <w:vAlign w:val="center"/>
          </w:tcPr>
          <w:p w14:paraId="7329933F" w14:textId="77777777" w:rsidR="003F5E45" w:rsidRPr="006B42D6" w:rsidRDefault="003F5E45" w:rsidP="00143C67">
            <w:pPr>
              <w:jc w:val="right"/>
              <w:rPr>
                <w:sz w:val="18"/>
                <w:szCs w:val="18"/>
              </w:rPr>
            </w:pPr>
            <w:r w:rsidRPr="006B42D6">
              <w:rPr>
                <w:sz w:val="18"/>
                <w:szCs w:val="18"/>
              </w:rPr>
              <w:t>0.9</w:t>
            </w:r>
          </w:p>
        </w:tc>
      </w:tr>
      <w:tr w:rsidR="006B42D6" w:rsidRPr="006B42D6" w14:paraId="4D75F856" w14:textId="77777777" w:rsidTr="00143C67">
        <w:trPr>
          <w:trHeight w:val="340"/>
        </w:trPr>
        <w:tc>
          <w:tcPr>
            <w:tcW w:w="574" w:type="pct"/>
            <w:vMerge/>
            <w:tcBorders>
              <w:top w:val="nil"/>
              <w:bottom w:val="nil"/>
              <w:right w:val="single" w:sz="4" w:space="0" w:color="auto"/>
            </w:tcBorders>
            <w:vAlign w:val="center"/>
            <w:hideMark/>
          </w:tcPr>
          <w:p w14:paraId="0EB8F83F" w14:textId="77777777" w:rsidR="003F5E45" w:rsidRPr="006B42D6" w:rsidRDefault="003F5E45" w:rsidP="00750BB9">
            <w:pPr>
              <w:jc w:val="left"/>
              <w:rPr>
                <w:sz w:val="18"/>
                <w:szCs w:val="18"/>
              </w:rPr>
            </w:pPr>
          </w:p>
        </w:tc>
        <w:tc>
          <w:tcPr>
            <w:tcW w:w="598" w:type="pct"/>
            <w:tcBorders>
              <w:top w:val="nil"/>
              <w:left w:val="single" w:sz="4" w:space="0" w:color="auto"/>
              <w:bottom w:val="nil"/>
              <w:right w:val="single" w:sz="4" w:space="0" w:color="auto"/>
            </w:tcBorders>
            <w:shd w:val="clear" w:color="auto" w:fill="auto"/>
            <w:noWrap/>
            <w:vAlign w:val="center"/>
          </w:tcPr>
          <w:p w14:paraId="69182F66" w14:textId="77777777" w:rsidR="003F5E45" w:rsidRPr="006B42D6" w:rsidRDefault="003F5E45" w:rsidP="00750BB9">
            <w:pPr>
              <w:jc w:val="left"/>
              <w:rPr>
                <w:sz w:val="18"/>
                <w:szCs w:val="18"/>
              </w:rPr>
            </w:pPr>
            <w:r w:rsidRPr="006B42D6">
              <w:rPr>
                <w:sz w:val="18"/>
                <w:szCs w:val="18"/>
              </w:rPr>
              <w:t>Six</w:t>
            </w:r>
          </w:p>
        </w:tc>
        <w:tc>
          <w:tcPr>
            <w:tcW w:w="639" w:type="pct"/>
            <w:tcBorders>
              <w:top w:val="nil"/>
              <w:left w:val="single" w:sz="4" w:space="0" w:color="auto"/>
              <w:bottom w:val="nil"/>
            </w:tcBorders>
            <w:shd w:val="clear" w:color="auto" w:fill="auto"/>
            <w:noWrap/>
            <w:vAlign w:val="center"/>
          </w:tcPr>
          <w:p w14:paraId="5FDF43D4" w14:textId="77777777" w:rsidR="003F5E45" w:rsidRPr="006B42D6" w:rsidRDefault="003F5E45" w:rsidP="00143C67">
            <w:pPr>
              <w:jc w:val="right"/>
              <w:rPr>
                <w:sz w:val="18"/>
                <w:szCs w:val="18"/>
              </w:rPr>
            </w:pPr>
            <w:r w:rsidRPr="006B42D6">
              <w:rPr>
                <w:sz w:val="18"/>
                <w:szCs w:val="18"/>
              </w:rPr>
              <w:t>18,043</w:t>
            </w:r>
          </w:p>
        </w:tc>
        <w:tc>
          <w:tcPr>
            <w:tcW w:w="680" w:type="pct"/>
            <w:tcBorders>
              <w:top w:val="nil"/>
              <w:bottom w:val="nil"/>
              <w:right w:val="single" w:sz="4" w:space="0" w:color="auto"/>
            </w:tcBorders>
            <w:shd w:val="clear" w:color="auto" w:fill="auto"/>
            <w:noWrap/>
            <w:vAlign w:val="center"/>
          </w:tcPr>
          <w:p w14:paraId="133A0BD0" w14:textId="77777777" w:rsidR="003F5E45" w:rsidRPr="006B42D6" w:rsidRDefault="003F5E45" w:rsidP="00143C67">
            <w:pPr>
              <w:jc w:val="right"/>
              <w:rPr>
                <w:sz w:val="18"/>
                <w:szCs w:val="18"/>
              </w:rPr>
            </w:pPr>
            <w:r w:rsidRPr="006B42D6">
              <w:rPr>
                <w:sz w:val="18"/>
                <w:szCs w:val="18"/>
              </w:rPr>
              <w:t>0.2</w:t>
            </w:r>
          </w:p>
        </w:tc>
        <w:tc>
          <w:tcPr>
            <w:tcW w:w="627" w:type="pct"/>
            <w:tcBorders>
              <w:top w:val="nil"/>
              <w:left w:val="single" w:sz="4" w:space="0" w:color="auto"/>
              <w:bottom w:val="nil"/>
            </w:tcBorders>
            <w:shd w:val="clear" w:color="auto" w:fill="auto"/>
            <w:noWrap/>
            <w:vAlign w:val="center"/>
          </w:tcPr>
          <w:p w14:paraId="34E3DE57" w14:textId="77777777" w:rsidR="003F5E45" w:rsidRPr="006B42D6" w:rsidRDefault="003F5E45" w:rsidP="00143C67">
            <w:pPr>
              <w:jc w:val="right"/>
              <w:rPr>
                <w:sz w:val="18"/>
                <w:szCs w:val="18"/>
              </w:rPr>
            </w:pPr>
            <w:r w:rsidRPr="006B42D6">
              <w:rPr>
                <w:sz w:val="18"/>
                <w:szCs w:val="18"/>
              </w:rPr>
              <w:t>17,523</w:t>
            </w:r>
          </w:p>
        </w:tc>
        <w:tc>
          <w:tcPr>
            <w:tcW w:w="628" w:type="pct"/>
            <w:tcBorders>
              <w:top w:val="nil"/>
              <w:bottom w:val="nil"/>
              <w:right w:val="single" w:sz="4" w:space="0" w:color="auto"/>
            </w:tcBorders>
            <w:vAlign w:val="center"/>
          </w:tcPr>
          <w:p w14:paraId="24D576CA" w14:textId="77777777" w:rsidR="003F5E45" w:rsidRPr="006B42D6" w:rsidRDefault="003F5E45" w:rsidP="00143C67">
            <w:pPr>
              <w:jc w:val="right"/>
              <w:rPr>
                <w:sz w:val="18"/>
                <w:szCs w:val="18"/>
              </w:rPr>
            </w:pPr>
            <w:r w:rsidRPr="006B42D6">
              <w:rPr>
                <w:sz w:val="18"/>
                <w:szCs w:val="18"/>
              </w:rPr>
              <w:t>0.2</w:t>
            </w:r>
          </w:p>
        </w:tc>
        <w:tc>
          <w:tcPr>
            <w:tcW w:w="627" w:type="pct"/>
            <w:tcBorders>
              <w:top w:val="nil"/>
              <w:left w:val="single" w:sz="4" w:space="0" w:color="auto"/>
              <w:bottom w:val="nil"/>
            </w:tcBorders>
            <w:vAlign w:val="center"/>
          </w:tcPr>
          <w:p w14:paraId="2C3AEC4A" w14:textId="77777777" w:rsidR="003F5E45" w:rsidRPr="006B42D6" w:rsidRDefault="003F5E45" w:rsidP="00143C67">
            <w:pPr>
              <w:jc w:val="right"/>
              <w:rPr>
                <w:sz w:val="18"/>
                <w:szCs w:val="18"/>
              </w:rPr>
            </w:pPr>
            <w:r w:rsidRPr="006B42D6">
              <w:rPr>
                <w:sz w:val="18"/>
                <w:szCs w:val="18"/>
              </w:rPr>
              <w:t>520</w:t>
            </w:r>
          </w:p>
        </w:tc>
        <w:tc>
          <w:tcPr>
            <w:tcW w:w="628" w:type="pct"/>
            <w:tcBorders>
              <w:top w:val="nil"/>
              <w:bottom w:val="nil"/>
            </w:tcBorders>
            <w:vAlign w:val="center"/>
          </w:tcPr>
          <w:p w14:paraId="6B87A29B" w14:textId="77777777" w:rsidR="003F5E45" w:rsidRPr="006B42D6" w:rsidRDefault="003F5E45" w:rsidP="00143C67">
            <w:pPr>
              <w:jc w:val="right"/>
              <w:rPr>
                <w:sz w:val="18"/>
                <w:szCs w:val="18"/>
              </w:rPr>
            </w:pPr>
            <w:r w:rsidRPr="006B42D6">
              <w:rPr>
                <w:sz w:val="18"/>
                <w:szCs w:val="18"/>
              </w:rPr>
              <w:t>0.3</w:t>
            </w:r>
          </w:p>
        </w:tc>
      </w:tr>
      <w:tr w:rsidR="006B42D6" w:rsidRPr="006B42D6" w14:paraId="795DB3AE" w14:textId="77777777" w:rsidTr="00143C67">
        <w:trPr>
          <w:trHeight w:val="340"/>
        </w:trPr>
        <w:tc>
          <w:tcPr>
            <w:tcW w:w="574" w:type="pct"/>
            <w:vMerge/>
            <w:tcBorders>
              <w:top w:val="nil"/>
              <w:bottom w:val="single" w:sz="4" w:space="0" w:color="auto"/>
              <w:right w:val="single" w:sz="4" w:space="0" w:color="auto"/>
            </w:tcBorders>
            <w:vAlign w:val="center"/>
            <w:hideMark/>
          </w:tcPr>
          <w:p w14:paraId="41C4E7F7" w14:textId="77777777" w:rsidR="003F5E45" w:rsidRPr="006B42D6" w:rsidRDefault="003F5E45" w:rsidP="00750BB9">
            <w:pPr>
              <w:jc w:val="left"/>
              <w:rPr>
                <w:sz w:val="18"/>
                <w:szCs w:val="18"/>
              </w:rPr>
            </w:pPr>
          </w:p>
        </w:tc>
        <w:tc>
          <w:tcPr>
            <w:tcW w:w="598" w:type="pct"/>
            <w:tcBorders>
              <w:top w:val="nil"/>
              <w:left w:val="single" w:sz="4" w:space="0" w:color="auto"/>
              <w:bottom w:val="single" w:sz="4" w:space="0" w:color="auto"/>
              <w:right w:val="single" w:sz="4" w:space="0" w:color="auto"/>
            </w:tcBorders>
            <w:shd w:val="clear" w:color="auto" w:fill="auto"/>
            <w:noWrap/>
            <w:vAlign w:val="center"/>
          </w:tcPr>
          <w:p w14:paraId="3A03B7B6" w14:textId="77777777" w:rsidR="003F5E45" w:rsidRPr="006B42D6" w:rsidRDefault="003F5E45" w:rsidP="00750BB9">
            <w:pPr>
              <w:jc w:val="left"/>
              <w:rPr>
                <w:sz w:val="18"/>
                <w:szCs w:val="18"/>
              </w:rPr>
            </w:pPr>
            <w:r w:rsidRPr="006B42D6">
              <w:rPr>
                <w:sz w:val="18"/>
                <w:szCs w:val="18"/>
              </w:rPr>
              <w:t>Seven</w:t>
            </w:r>
          </w:p>
        </w:tc>
        <w:tc>
          <w:tcPr>
            <w:tcW w:w="639" w:type="pct"/>
            <w:tcBorders>
              <w:top w:val="nil"/>
              <w:left w:val="single" w:sz="4" w:space="0" w:color="auto"/>
              <w:bottom w:val="single" w:sz="4" w:space="0" w:color="auto"/>
            </w:tcBorders>
            <w:shd w:val="clear" w:color="auto" w:fill="auto"/>
            <w:noWrap/>
            <w:vAlign w:val="center"/>
          </w:tcPr>
          <w:p w14:paraId="3BAB97CF" w14:textId="77777777" w:rsidR="003F5E45" w:rsidRPr="006B42D6" w:rsidRDefault="003F5E45" w:rsidP="00143C67">
            <w:pPr>
              <w:jc w:val="right"/>
              <w:rPr>
                <w:sz w:val="18"/>
                <w:szCs w:val="18"/>
              </w:rPr>
            </w:pPr>
            <w:r w:rsidRPr="006B42D6">
              <w:rPr>
                <w:sz w:val="18"/>
                <w:szCs w:val="18"/>
              </w:rPr>
              <w:t>41,299</w:t>
            </w:r>
          </w:p>
        </w:tc>
        <w:tc>
          <w:tcPr>
            <w:tcW w:w="680" w:type="pct"/>
            <w:tcBorders>
              <w:top w:val="nil"/>
              <w:bottom w:val="single" w:sz="4" w:space="0" w:color="auto"/>
              <w:right w:val="single" w:sz="4" w:space="0" w:color="auto"/>
            </w:tcBorders>
            <w:shd w:val="clear" w:color="auto" w:fill="auto"/>
            <w:noWrap/>
            <w:vAlign w:val="center"/>
          </w:tcPr>
          <w:p w14:paraId="40EBC01C" w14:textId="77777777" w:rsidR="003F5E45" w:rsidRPr="006B42D6" w:rsidRDefault="003F5E45" w:rsidP="00143C67">
            <w:pPr>
              <w:jc w:val="right"/>
              <w:rPr>
                <w:sz w:val="18"/>
                <w:szCs w:val="18"/>
              </w:rPr>
            </w:pPr>
            <w:r w:rsidRPr="006B42D6">
              <w:rPr>
                <w:sz w:val="18"/>
                <w:szCs w:val="18"/>
              </w:rPr>
              <w:t>0.5</w:t>
            </w:r>
          </w:p>
        </w:tc>
        <w:tc>
          <w:tcPr>
            <w:tcW w:w="627" w:type="pct"/>
            <w:tcBorders>
              <w:top w:val="nil"/>
              <w:left w:val="single" w:sz="4" w:space="0" w:color="auto"/>
              <w:bottom w:val="single" w:sz="4" w:space="0" w:color="auto"/>
            </w:tcBorders>
            <w:shd w:val="clear" w:color="auto" w:fill="auto"/>
            <w:noWrap/>
            <w:vAlign w:val="center"/>
          </w:tcPr>
          <w:p w14:paraId="2F35B8D5" w14:textId="77777777" w:rsidR="003F5E45" w:rsidRPr="006B42D6" w:rsidRDefault="003F5E45" w:rsidP="00143C67">
            <w:pPr>
              <w:jc w:val="right"/>
              <w:rPr>
                <w:sz w:val="18"/>
                <w:szCs w:val="18"/>
              </w:rPr>
            </w:pPr>
            <w:r w:rsidRPr="006B42D6">
              <w:rPr>
                <w:sz w:val="18"/>
                <w:szCs w:val="18"/>
              </w:rPr>
              <w:t>40,393</w:t>
            </w:r>
          </w:p>
        </w:tc>
        <w:tc>
          <w:tcPr>
            <w:tcW w:w="628" w:type="pct"/>
            <w:tcBorders>
              <w:top w:val="nil"/>
              <w:bottom w:val="single" w:sz="4" w:space="0" w:color="auto"/>
              <w:right w:val="single" w:sz="4" w:space="0" w:color="auto"/>
            </w:tcBorders>
            <w:vAlign w:val="center"/>
          </w:tcPr>
          <w:p w14:paraId="3B0081DF" w14:textId="77777777" w:rsidR="003F5E45" w:rsidRPr="006B42D6" w:rsidRDefault="003F5E45" w:rsidP="00143C67">
            <w:pPr>
              <w:jc w:val="right"/>
              <w:rPr>
                <w:sz w:val="18"/>
                <w:szCs w:val="18"/>
              </w:rPr>
            </w:pPr>
            <w:r w:rsidRPr="006B42D6">
              <w:rPr>
                <w:sz w:val="18"/>
                <w:szCs w:val="18"/>
              </w:rPr>
              <w:t>0.5</w:t>
            </w:r>
          </w:p>
        </w:tc>
        <w:tc>
          <w:tcPr>
            <w:tcW w:w="627" w:type="pct"/>
            <w:tcBorders>
              <w:top w:val="nil"/>
              <w:left w:val="single" w:sz="4" w:space="0" w:color="auto"/>
              <w:bottom w:val="single" w:sz="4" w:space="0" w:color="auto"/>
            </w:tcBorders>
            <w:vAlign w:val="center"/>
          </w:tcPr>
          <w:p w14:paraId="1D830E39" w14:textId="77777777" w:rsidR="003F5E45" w:rsidRPr="006B42D6" w:rsidRDefault="003F5E45" w:rsidP="00143C67">
            <w:pPr>
              <w:jc w:val="right"/>
              <w:rPr>
                <w:sz w:val="18"/>
                <w:szCs w:val="18"/>
              </w:rPr>
            </w:pPr>
            <w:r w:rsidRPr="006B42D6">
              <w:rPr>
                <w:sz w:val="18"/>
                <w:szCs w:val="18"/>
              </w:rPr>
              <w:t>904</w:t>
            </w:r>
          </w:p>
        </w:tc>
        <w:tc>
          <w:tcPr>
            <w:tcW w:w="628" w:type="pct"/>
            <w:tcBorders>
              <w:top w:val="nil"/>
              <w:bottom w:val="single" w:sz="4" w:space="0" w:color="auto"/>
            </w:tcBorders>
            <w:vAlign w:val="center"/>
          </w:tcPr>
          <w:p w14:paraId="47C55BC0" w14:textId="77777777" w:rsidR="003F5E45" w:rsidRPr="006B42D6" w:rsidRDefault="003F5E45" w:rsidP="00143C67">
            <w:pPr>
              <w:jc w:val="right"/>
              <w:rPr>
                <w:sz w:val="18"/>
                <w:szCs w:val="18"/>
              </w:rPr>
            </w:pPr>
            <w:r w:rsidRPr="006B42D6">
              <w:rPr>
                <w:sz w:val="18"/>
                <w:szCs w:val="18"/>
              </w:rPr>
              <w:t>0.5</w:t>
            </w:r>
          </w:p>
        </w:tc>
      </w:tr>
      <w:tr w:rsidR="006B42D6" w:rsidRPr="006B42D6" w14:paraId="3DCAA652" w14:textId="77777777" w:rsidTr="00143C67">
        <w:trPr>
          <w:trHeight w:val="340"/>
        </w:trPr>
        <w:tc>
          <w:tcPr>
            <w:tcW w:w="574" w:type="pct"/>
            <w:vMerge/>
            <w:tcBorders>
              <w:top w:val="single" w:sz="4" w:space="0" w:color="auto"/>
              <w:bottom w:val="single" w:sz="4" w:space="0" w:color="auto"/>
              <w:right w:val="single" w:sz="4" w:space="0" w:color="auto"/>
            </w:tcBorders>
            <w:vAlign w:val="center"/>
            <w:hideMark/>
          </w:tcPr>
          <w:p w14:paraId="1AC31FBC" w14:textId="77777777" w:rsidR="003F5E45" w:rsidRPr="006B42D6" w:rsidRDefault="003F5E45" w:rsidP="00750BB9">
            <w:pPr>
              <w:jc w:val="left"/>
              <w:rPr>
                <w:sz w:val="18"/>
                <w:szCs w:val="18"/>
              </w:rPr>
            </w:pPr>
          </w:p>
        </w:tc>
        <w:tc>
          <w:tcPr>
            <w:tcW w:w="598" w:type="pct"/>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tcPr>
          <w:p w14:paraId="4AA53D26" w14:textId="77777777" w:rsidR="003F5E45" w:rsidRPr="006B42D6" w:rsidRDefault="003F5E45" w:rsidP="00750BB9">
            <w:pPr>
              <w:jc w:val="left"/>
              <w:rPr>
                <w:b/>
                <w:bCs/>
                <w:sz w:val="18"/>
                <w:szCs w:val="18"/>
              </w:rPr>
            </w:pPr>
            <w:r w:rsidRPr="006B42D6">
              <w:rPr>
                <w:b/>
                <w:bCs/>
                <w:sz w:val="18"/>
                <w:szCs w:val="18"/>
              </w:rPr>
              <w:t>Total</w:t>
            </w:r>
          </w:p>
        </w:tc>
        <w:tc>
          <w:tcPr>
            <w:tcW w:w="639" w:type="pct"/>
            <w:tcBorders>
              <w:top w:val="single" w:sz="4" w:space="0" w:color="auto"/>
              <w:left w:val="single" w:sz="4" w:space="0" w:color="auto"/>
              <w:bottom w:val="single" w:sz="4" w:space="0" w:color="auto"/>
            </w:tcBorders>
            <w:shd w:val="clear" w:color="auto" w:fill="E2EFD9" w:themeFill="accent6" w:themeFillTint="33"/>
            <w:noWrap/>
            <w:vAlign w:val="center"/>
          </w:tcPr>
          <w:p w14:paraId="4027AA14" w14:textId="77777777" w:rsidR="003F5E45" w:rsidRPr="006B42D6" w:rsidRDefault="003F5E45" w:rsidP="00143C67">
            <w:pPr>
              <w:jc w:val="right"/>
              <w:rPr>
                <w:b/>
                <w:bCs/>
                <w:sz w:val="18"/>
                <w:szCs w:val="18"/>
              </w:rPr>
            </w:pPr>
            <w:r w:rsidRPr="006B42D6">
              <w:rPr>
                <w:b/>
                <w:bCs/>
                <w:sz w:val="18"/>
                <w:szCs w:val="18"/>
              </w:rPr>
              <w:t>7,837,405</w:t>
            </w:r>
          </w:p>
        </w:tc>
        <w:tc>
          <w:tcPr>
            <w:tcW w:w="680" w:type="pct"/>
            <w:tcBorders>
              <w:top w:val="single" w:sz="4" w:space="0" w:color="auto"/>
              <w:bottom w:val="single" w:sz="4" w:space="0" w:color="auto"/>
              <w:right w:val="single" w:sz="4" w:space="0" w:color="auto"/>
            </w:tcBorders>
            <w:shd w:val="clear" w:color="auto" w:fill="E2EFD9" w:themeFill="accent6" w:themeFillTint="33"/>
            <w:noWrap/>
            <w:vAlign w:val="center"/>
          </w:tcPr>
          <w:p w14:paraId="4CB4A1D9" w14:textId="77777777" w:rsidR="003F5E45" w:rsidRPr="006B42D6" w:rsidRDefault="003F5E45" w:rsidP="00143C67">
            <w:pPr>
              <w:jc w:val="right"/>
              <w:rPr>
                <w:b/>
                <w:bCs/>
                <w:sz w:val="18"/>
                <w:szCs w:val="18"/>
              </w:rPr>
            </w:pPr>
            <w:r w:rsidRPr="006B42D6">
              <w:rPr>
                <w:b/>
                <w:bCs/>
                <w:sz w:val="18"/>
                <w:szCs w:val="18"/>
              </w:rPr>
              <w:t>100</w:t>
            </w:r>
          </w:p>
        </w:tc>
        <w:tc>
          <w:tcPr>
            <w:tcW w:w="627" w:type="pct"/>
            <w:tcBorders>
              <w:top w:val="single" w:sz="4" w:space="0" w:color="auto"/>
              <w:left w:val="single" w:sz="4" w:space="0" w:color="auto"/>
              <w:bottom w:val="single" w:sz="4" w:space="0" w:color="auto"/>
            </w:tcBorders>
            <w:shd w:val="clear" w:color="auto" w:fill="E2EFD9" w:themeFill="accent6" w:themeFillTint="33"/>
            <w:noWrap/>
            <w:vAlign w:val="center"/>
          </w:tcPr>
          <w:p w14:paraId="48B1E0D7" w14:textId="77777777" w:rsidR="003F5E45" w:rsidRPr="006B42D6" w:rsidRDefault="003F5E45" w:rsidP="00143C67">
            <w:pPr>
              <w:jc w:val="right"/>
              <w:rPr>
                <w:b/>
                <w:bCs/>
                <w:sz w:val="18"/>
                <w:szCs w:val="18"/>
              </w:rPr>
            </w:pPr>
            <w:r w:rsidRPr="006B42D6">
              <w:rPr>
                <w:b/>
                <w:bCs/>
                <w:sz w:val="18"/>
                <w:szCs w:val="18"/>
              </w:rPr>
              <w:t>7,657,181</w:t>
            </w:r>
          </w:p>
        </w:tc>
        <w:tc>
          <w:tcPr>
            <w:tcW w:w="628" w:type="pct"/>
            <w:tcBorders>
              <w:top w:val="single" w:sz="4" w:space="0" w:color="auto"/>
              <w:bottom w:val="single" w:sz="4" w:space="0" w:color="auto"/>
              <w:right w:val="single" w:sz="4" w:space="0" w:color="auto"/>
            </w:tcBorders>
            <w:shd w:val="clear" w:color="auto" w:fill="E2EFD9" w:themeFill="accent6" w:themeFillTint="33"/>
            <w:vAlign w:val="center"/>
          </w:tcPr>
          <w:p w14:paraId="6B0B7E3B" w14:textId="77777777" w:rsidR="003F5E45" w:rsidRPr="006B42D6" w:rsidRDefault="003F5E45" w:rsidP="00143C67">
            <w:pPr>
              <w:jc w:val="right"/>
              <w:rPr>
                <w:b/>
                <w:bCs/>
                <w:sz w:val="18"/>
                <w:szCs w:val="18"/>
              </w:rPr>
            </w:pPr>
            <w:r w:rsidRPr="006B42D6">
              <w:rPr>
                <w:b/>
                <w:bCs/>
                <w:sz w:val="18"/>
                <w:szCs w:val="18"/>
              </w:rPr>
              <w:t>100</w:t>
            </w:r>
          </w:p>
        </w:tc>
        <w:tc>
          <w:tcPr>
            <w:tcW w:w="627" w:type="pct"/>
            <w:tcBorders>
              <w:top w:val="single" w:sz="4" w:space="0" w:color="auto"/>
              <w:left w:val="single" w:sz="4" w:space="0" w:color="auto"/>
              <w:bottom w:val="single" w:sz="4" w:space="0" w:color="auto"/>
            </w:tcBorders>
            <w:shd w:val="clear" w:color="auto" w:fill="E2EFD9" w:themeFill="accent6" w:themeFillTint="33"/>
            <w:vAlign w:val="center"/>
          </w:tcPr>
          <w:p w14:paraId="32F68D61" w14:textId="77777777" w:rsidR="003F5E45" w:rsidRPr="006B42D6" w:rsidRDefault="003F5E45" w:rsidP="00143C67">
            <w:pPr>
              <w:jc w:val="right"/>
              <w:rPr>
                <w:b/>
                <w:bCs/>
                <w:sz w:val="18"/>
                <w:szCs w:val="18"/>
              </w:rPr>
            </w:pPr>
            <w:r w:rsidRPr="006B42D6">
              <w:rPr>
                <w:b/>
                <w:bCs/>
                <w:sz w:val="18"/>
                <w:szCs w:val="18"/>
              </w:rPr>
              <w:t>180,217</w:t>
            </w:r>
          </w:p>
        </w:tc>
        <w:tc>
          <w:tcPr>
            <w:tcW w:w="628" w:type="pct"/>
            <w:tcBorders>
              <w:top w:val="single" w:sz="4" w:space="0" w:color="auto"/>
              <w:bottom w:val="single" w:sz="4" w:space="0" w:color="auto"/>
            </w:tcBorders>
            <w:shd w:val="clear" w:color="auto" w:fill="E2EFD9" w:themeFill="accent6" w:themeFillTint="33"/>
            <w:vAlign w:val="center"/>
          </w:tcPr>
          <w:p w14:paraId="379A841A" w14:textId="77777777" w:rsidR="003F5E45" w:rsidRPr="006B42D6" w:rsidRDefault="003F5E45" w:rsidP="00143C67">
            <w:pPr>
              <w:jc w:val="right"/>
              <w:rPr>
                <w:b/>
                <w:bCs/>
                <w:sz w:val="18"/>
                <w:szCs w:val="18"/>
              </w:rPr>
            </w:pPr>
            <w:r w:rsidRPr="006B42D6">
              <w:rPr>
                <w:b/>
                <w:bCs/>
                <w:sz w:val="18"/>
                <w:szCs w:val="18"/>
              </w:rPr>
              <w:t>100</w:t>
            </w:r>
          </w:p>
        </w:tc>
      </w:tr>
      <w:tr w:rsidR="006B42D6" w:rsidRPr="006B42D6" w14:paraId="64E50913" w14:textId="77777777" w:rsidTr="00143C67">
        <w:trPr>
          <w:trHeight w:val="340"/>
        </w:trPr>
        <w:tc>
          <w:tcPr>
            <w:tcW w:w="574" w:type="pct"/>
            <w:vMerge w:val="restart"/>
            <w:tcBorders>
              <w:top w:val="single" w:sz="4" w:space="0" w:color="auto"/>
              <w:bottom w:val="nil"/>
              <w:right w:val="single" w:sz="4" w:space="0" w:color="auto"/>
            </w:tcBorders>
            <w:vAlign w:val="center"/>
          </w:tcPr>
          <w:p w14:paraId="225B7F91" w14:textId="77777777" w:rsidR="003F5E45" w:rsidRPr="006B42D6" w:rsidRDefault="003F5E45" w:rsidP="00750BB9">
            <w:pPr>
              <w:jc w:val="left"/>
              <w:rPr>
                <w:sz w:val="18"/>
                <w:szCs w:val="18"/>
              </w:rPr>
            </w:pPr>
            <w:r w:rsidRPr="006B42D6">
              <w:rPr>
                <w:sz w:val="18"/>
                <w:szCs w:val="18"/>
              </w:rPr>
              <w:t>2007/08</w:t>
            </w:r>
          </w:p>
        </w:tc>
        <w:tc>
          <w:tcPr>
            <w:tcW w:w="598" w:type="pct"/>
            <w:tcBorders>
              <w:top w:val="single" w:sz="4" w:space="0" w:color="auto"/>
              <w:left w:val="single" w:sz="4" w:space="0" w:color="auto"/>
              <w:bottom w:val="nil"/>
              <w:right w:val="single" w:sz="4" w:space="0" w:color="auto"/>
            </w:tcBorders>
            <w:shd w:val="clear" w:color="auto" w:fill="auto"/>
            <w:noWrap/>
            <w:vAlign w:val="center"/>
          </w:tcPr>
          <w:p w14:paraId="2B39A71B" w14:textId="77777777" w:rsidR="003F5E45" w:rsidRPr="006B42D6" w:rsidRDefault="003F5E45" w:rsidP="00750BB9">
            <w:pPr>
              <w:jc w:val="left"/>
              <w:rPr>
                <w:b/>
                <w:bCs/>
                <w:sz w:val="18"/>
                <w:szCs w:val="18"/>
              </w:rPr>
            </w:pPr>
            <w:r w:rsidRPr="006B42D6">
              <w:rPr>
                <w:sz w:val="18"/>
                <w:szCs w:val="18"/>
              </w:rPr>
              <w:t>Not Eaten</w:t>
            </w:r>
          </w:p>
        </w:tc>
        <w:tc>
          <w:tcPr>
            <w:tcW w:w="639" w:type="pct"/>
            <w:tcBorders>
              <w:top w:val="single" w:sz="4" w:space="0" w:color="auto"/>
              <w:left w:val="single" w:sz="4" w:space="0" w:color="auto"/>
              <w:bottom w:val="nil"/>
            </w:tcBorders>
            <w:shd w:val="clear" w:color="auto" w:fill="auto"/>
            <w:noWrap/>
            <w:vAlign w:val="center"/>
          </w:tcPr>
          <w:p w14:paraId="5DCC90F2" w14:textId="77777777" w:rsidR="003F5E45" w:rsidRPr="006B42D6" w:rsidRDefault="003F5E45" w:rsidP="00143C67">
            <w:pPr>
              <w:jc w:val="right"/>
              <w:rPr>
                <w:b/>
                <w:bCs/>
                <w:sz w:val="18"/>
                <w:szCs w:val="18"/>
              </w:rPr>
            </w:pPr>
            <w:r w:rsidRPr="006B42D6">
              <w:rPr>
                <w:sz w:val="18"/>
                <w:szCs w:val="18"/>
              </w:rPr>
              <w:t>2,210,009</w:t>
            </w:r>
          </w:p>
        </w:tc>
        <w:tc>
          <w:tcPr>
            <w:tcW w:w="680" w:type="pct"/>
            <w:tcBorders>
              <w:top w:val="single" w:sz="4" w:space="0" w:color="auto"/>
              <w:bottom w:val="nil"/>
              <w:right w:val="single" w:sz="4" w:space="0" w:color="auto"/>
            </w:tcBorders>
            <w:shd w:val="clear" w:color="auto" w:fill="auto"/>
            <w:noWrap/>
            <w:vAlign w:val="center"/>
          </w:tcPr>
          <w:p w14:paraId="0BE18176" w14:textId="77777777" w:rsidR="003F5E45" w:rsidRPr="006B42D6" w:rsidRDefault="003F5E45" w:rsidP="00143C67">
            <w:pPr>
              <w:jc w:val="right"/>
              <w:rPr>
                <w:b/>
                <w:bCs/>
                <w:sz w:val="18"/>
                <w:szCs w:val="18"/>
              </w:rPr>
            </w:pPr>
            <w:r w:rsidRPr="006B42D6">
              <w:rPr>
                <w:sz w:val="18"/>
                <w:szCs w:val="18"/>
              </w:rPr>
              <w:t>37.9</w:t>
            </w:r>
          </w:p>
        </w:tc>
        <w:tc>
          <w:tcPr>
            <w:tcW w:w="627" w:type="pct"/>
            <w:tcBorders>
              <w:top w:val="single" w:sz="4" w:space="0" w:color="auto"/>
              <w:left w:val="single" w:sz="4" w:space="0" w:color="auto"/>
              <w:bottom w:val="nil"/>
            </w:tcBorders>
            <w:shd w:val="clear" w:color="auto" w:fill="auto"/>
            <w:noWrap/>
            <w:vAlign w:val="center"/>
          </w:tcPr>
          <w:p w14:paraId="653054C5" w14:textId="77777777" w:rsidR="003F5E45" w:rsidRPr="006B42D6" w:rsidRDefault="003F5E45" w:rsidP="00143C67">
            <w:pPr>
              <w:jc w:val="right"/>
              <w:rPr>
                <w:b/>
                <w:bCs/>
                <w:sz w:val="18"/>
                <w:szCs w:val="18"/>
              </w:rPr>
            </w:pPr>
            <w:r w:rsidRPr="006B42D6">
              <w:rPr>
                <w:sz w:val="18"/>
                <w:szCs w:val="18"/>
              </w:rPr>
              <w:t>2,122,106</w:t>
            </w:r>
          </w:p>
        </w:tc>
        <w:tc>
          <w:tcPr>
            <w:tcW w:w="628" w:type="pct"/>
            <w:tcBorders>
              <w:top w:val="single" w:sz="4" w:space="0" w:color="auto"/>
              <w:bottom w:val="nil"/>
              <w:right w:val="single" w:sz="4" w:space="0" w:color="auto"/>
            </w:tcBorders>
            <w:vAlign w:val="center"/>
          </w:tcPr>
          <w:p w14:paraId="0A30FFA8" w14:textId="77777777" w:rsidR="003F5E45" w:rsidRPr="006B42D6" w:rsidRDefault="003F5E45" w:rsidP="00143C67">
            <w:pPr>
              <w:jc w:val="right"/>
              <w:rPr>
                <w:b/>
                <w:bCs/>
                <w:sz w:val="18"/>
                <w:szCs w:val="18"/>
              </w:rPr>
            </w:pPr>
            <w:r w:rsidRPr="006B42D6">
              <w:rPr>
                <w:sz w:val="18"/>
                <w:szCs w:val="18"/>
              </w:rPr>
              <w:t>37.2</w:t>
            </w:r>
          </w:p>
        </w:tc>
        <w:tc>
          <w:tcPr>
            <w:tcW w:w="627" w:type="pct"/>
            <w:tcBorders>
              <w:top w:val="single" w:sz="4" w:space="0" w:color="auto"/>
              <w:left w:val="single" w:sz="4" w:space="0" w:color="auto"/>
              <w:bottom w:val="nil"/>
            </w:tcBorders>
            <w:vAlign w:val="center"/>
          </w:tcPr>
          <w:p w14:paraId="14CC8DB3" w14:textId="77777777" w:rsidR="003F5E45" w:rsidRPr="006B42D6" w:rsidRDefault="003F5E45" w:rsidP="00143C67">
            <w:pPr>
              <w:jc w:val="right"/>
              <w:rPr>
                <w:b/>
                <w:bCs/>
                <w:sz w:val="18"/>
                <w:szCs w:val="18"/>
              </w:rPr>
            </w:pPr>
            <w:r w:rsidRPr="006B42D6">
              <w:rPr>
                <w:sz w:val="18"/>
                <w:szCs w:val="18"/>
              </w:rPr>
              <w:t>87,903</w:t>
            </w:r>
          </w:p>
        </w:tc>
        <w:tc>
          <w:tcPr>
            <w:tcW w:w="628" w:type="pct"/>
            <w:tcBorders>
              <w:top w:val="single" w:sz="4" w:space="0" w:color="auto"/>
              <w:bottom w:val="nil"/>
            </w:tcBorders>
            <w:vAlign w:val="center"/>
          </w:tcPr>
          <w:p w14:paraId="0664D250" w14:textId="77777777" w:rsidR="003F5E45" w:rsidRPr="006B42D6" w:rsidRDefault="003F5E45" w:rsidP="00143C67">
            <w:pPr>
              <w:jc w:val="right"/>
              <w:rPr>
                <w:b/>
                <w:bCs/>
                <w:sz w:val="18"/>
                <w:szCs w:val="18"/>
              </w:rPr>
            </w:pPr>
            <w:r w:rsidRPr="006B42D6">
              <w:rPr>
                <w:sz w:val="18"/>
                <w:szCs w:val="18"/>
              </w:rPr>
              <w:t>66.5</w:t>
            </w:r>
          </w:p>
        </w:tc>
      </w:tr>
      <w:tr w:rsidR="006B42D6" w:rsidRPr="006B42D6" w14:paraId="78B34E07" w14:textId="77777777" w:rsidTr="00143C67">
        <w:trPr>
          <w:trHeight w:val="340"/>
        </w:trPr>
        <w:tc>
          <w:tcPr>
            <w:tcW w:w="574" w:type="pct"/>
            <w:vMerge/>
            <w:tcBorders>
              <w:top w:val="nil"/>
              <w:bottom w:val="nil"/>
              <w:right w:val="single" w:sz="4" w:space="0" w:color="auto"/>
            </w:tcBorders>
            <w:vAlign w:val="center"/>
          </w:tcPr>
          <w:p w14:paraId="4199F8B7" w14:textId="77777777" w:rsidR="003F5E45" w:rsidRPr="006B42D6" w:rsidRDefault="003F5E45" w:rsidP="00750BB9">
            <w:pPr>
              <w:jc w:val="right"/>
              <w:rPr>
                <w:sz w:val="18"/>
                <w:szCs w:val="18"/>
              </w:rPr>
            </w:pPr>
          </w:p>
        </w:tc>
        <w:tc>
          <w:tcPr>
            <w:tcW w:w="598" w:type="pct"/>
            <w:tcBorders>
              <w:top w:val="nil"/>
              <w:left w:val="single" w:sz="4" w:space="0" w:color="auto"/>
              <w:bottom w:val="nil"/>
              <w:right w:val="single" w:sz="4" w:space="0" w:color="auto"/>
            </w:tcBorders>
            <w:shd w:val="clear" w:color="auto" w:fill="auto"/>
            <w:noWrap/>
            <w:vAlign w:val="center"/>
          </w:tcPr>
          <w:p w14:paraId="4AE76404" w14:textId="77777777" w:rsidR="003F5E45" w:rsidRPr="006B42D6" w:rsidRDefault="003F5E45" w:rsidP="00750BB9">
            <w:pPr>
              <w:jc w:val="left"/>
              <w:rPr>
                <w:b/>
                <w:bCs/>
                <w:sz w:val="18"/>
                <w:szCs w:val="18"/>
              </w:rPr>
            </w:pPr>
            <w:r w:rsidRPr="006B42D6">
              <w:rPr>
                <w:sz w:val="18"/>
                <w:szCs w:val="18"/>
              </w:rPr>
              <w:t>One</w:t>
            </w:r>
          </w:p>
        </w:tc>
        <w:tc>
          <w:tcPr>
            <w:tcW w:w="639" w:type="pct"/>
            <w:tcBorders>
              <w:top w:val="nil"/>
              <w:left w:val="single" w:sz="4" w:space="0" w:color="auto"/>
              <w:bottom w:val="nil"/>
            </w:tcBorders>
            <w:shd w:val="clear" w:color="auto" w:fill="auto"/>
            <w:noWrap/>
            <w:vAlign w:val="center"/>
          </w:tcPr>
          <w:p w14:paraId="29F4B7A2" w14:textId="77777777" w:rsidR="003F5E45" w:rsidRPr="006B42D6" w:rsidRDefault="003F5E45" w:rsidP="00143C67">
            <w:pPr>
              <w:jc w:val="right"/>
              <w:rPr>
                <w:b/>
                <w:bCs/>
                <w:sz w:val="18"/>
                <w:szCs w:val="18"/>
              </w:rPr>
            </w:pPr>
            <w:r w:rsidRPr="006B42D6">
              <w:rPr>
                <w:sz w:val="18"/>
                <w:szCs w:val="18"/>
              </w:rPr>
              <w:t>2,136,833</w:t>
            </w:r>
          </w:p>
        </w:tc>
        <w:tc>
          <w:tcPr>
            <w:tcW w:w="680" w:type="pct"/>
            <w:tcBorders>
              <w:top w:val="nil"/>
              <w:bottom w:val="nil"/>
              <w:right w:val="single" w:sz="4" w:space="0" w:color="auto"/>
            </w:tcBorders>
            <w:shd w:val="clear" w:color="auto" w:fill="auto"/>
            <w:noWrap/>
            <w:vAlign w:val="center"/>
          </w:tcPr>
          <w:p w14:paraId="2C3594F3" w14:textId="77777777" w:rsidR="003F5E45" w:rsidRPr="006B42D6" w:rsidRDefault="003F5E45" w:rsidP="00143C67">
            <w:pPr>
              <w:jc w:val="right"/>
              <w:rPr>
                <w:b/>
                <w:bCs/>
                <w:sz w:val="18"/>
                <w:szCs w:val="18"/>
              </w:rPr>
            </w:pPr>
            <w:r w:rsidRPr="006B42D6">
              <w:rPr>
                <w:sz w:val="18"/>
                <w:szCs w:val="18"/>
              </w:rPr>
              <w:t>36.6</w:t>
            </w:r>
          </w:p>
        </w:tc>
        <w:tc>
          <w:tcPr>
            <w:tcW w:w="627" w:type="pct"/>
            <w:tcBorders>
              <w:top w:val="nil"/>
              <w:left w:val="single" w:sz="4" w:space="0" w:color="auto"/>
              <w:bottom w:val="nil"/>
            </w:tcBorders>
            <w:shd w:val="clear" w:color="auto" w:fill="auto"/>
            <w:noWrap/>
            <w:vAlign w:val="center"/>
          </w:tcPr>
          <w:p w14:paraId="1E9FF29D" w14:textId="77777777" w:rsidR="003F5E45" w:rsidRPr="006B42D6" w:rsidRDefault="003F5E45" w:rsidP="00143C67">
            <w:pPr>
              <w:jc w:val="right"/>
              <w:rPr>
                <w:b/>
                <w:bCs/>
                <w:sz w:val="18"/>
                <w:szCs w:val="18"/>
              </w:rPr>
            </w:pPr>
            <w:r w:rsidRPr="006B42D6">
              <w:rPr>
                <w:sz w:val="18"/>
                <w:szCs w:val="18"/>
              </w:rPr>
              <w:t>2,110,777</w:t>
            </w:r>
          </w:p>
        </w:tc>
        <w:tc>
          <w:tcPr>
            <w:tcW w:w="628" w:type="pct"/>
            <w:tcBorders>
              <w:top w:val="nil"/>
              <w:bottom w:val="nil"/>
              <w:right w:val="single" w:sz="4" w:space="0" w:color="auto"/>
            </w:tcBorders>
            <w:vAlign w:val="center"/>
          </w:tcPr>
          <w:p w14:paraId="792B3DAF" w14:textId="77777777" w:rsidR="003F5E45" w:rsidRPr="006B42D6" w:rsidRDefault="003F5E45" w:rsidP="00143C67">
            <w:pPr>
              <w:jc w:val="right"/>
              <w:rPr>
                <w:b/>
                <w:bCs/>
                <w:sz w:val="18"/>
                <w:szCs w:val="18"/>
              </w:rPr>
            </w:pPr>
            <w:r w:rsidRPr="006B42D6">
              <w:rPr>
                <w:sz w:val="18"/>
                <w:szCs w:val="18"/>
              </w:rPr>
              <w:t>37.0</w:t>
            </w:r>
          </w:p>
        </w:tc>
        <w:tc>
          <w:tcPr>
            <w:tcW w:w="627" w:type="pct"/>
            <w:tcBorders>
              <w:top w:val="nil"/>
              <w:left w:val="single" w:sz="4" w:space="0" w:color="auto"/>
              <w:bottom w:val="nil"/>
            </w:tcBorders>
            <w:vAlign w:val="center"/>
          </w:tcPr>
          <w:p w14:paraId="0AEA5BD0" w14:textId="77777777" w:rsidR="003F5E45" w:rsidRPr="006B42D6" w:rsidRDefault="003F5E45" w:rsidP="00143C67">
            <w:pPr>
              <w:jc w:val="right"/>
              <w:rPr>
                <w:b/>
                <w:bCs/>
                <w:sz w:val="18"/>
                <w:szCs w:val="18"/>
              </w:rPr>
            </w:pPr>
            <w:r w:rsidRPr="006B42D6">
              <w:rPr>
                <w:sz w:val="18"/>
                <w:szCs w:val="18"/>
              </w:rPr>
              <w:t>26,056</w:t>
            </w:r>
          </w:p>
        </w:tc>
        <w:tc>
          <w:tcPr>
            <w:tcW w:w="628" w:type="pct"/>
            <w:tcBorders>
              <w:top w:val="nil"/>
              <w:bottom w:val="nil"/>
            </w:tcBorders>
            <w:vAlign w:val="center"/>
          </w:tcPr>
          <w:p w14:paraId="5BD0EA24" w14:textId="77777777" w:rsidR="003F5E45" w:rsidRPr="006B42D6" w:rsidRDefault="003F5E45" w:rsidP="00143C67">
            <w:pPr>
              <w:jc w:val="right"/>
              <w:rPr>
                <w:b/>
                <w:bCs/>
                <w:sz w:val="18"/>
                <w:szCs w:val="18"/>
              </w:rPr>
            </w:pPr>
            <w:r w:rsidRPr="006B42D6">
              <w:rPr>
                <w:sz w:val="18"/>
                <w:szCs w:val="18"/>
              </w:rPr>
              <w:t>19.7</w:t>
            </w:r>
          </w:p>
        </w:tc>
      </w:tr>
      <w:tr w:rsidR="006B42D6" w:rsidRPr="006B42D6" w14:paraId="1C5E31CB" w14:textId="77777777" w:rsidTr="00143C67">
        <w:trPr>
          <w:trHeight w:val="340"/>
        </w:trPr>
        <w:tc>
          <w:tcPr>
            <w:tcW w:w="574" w:type="pct"/>
            <w:vMerge/>
            <w:tcBorders>
              <w:top w:val="nil"/>
              <w:bottom w:val="nil"/>
              <w:right w:val="single" w:sz="4" w:space="0" w:color="auto"/>
            </w:tcBorders>
            <w:vAlign w:val="center"/>
          </w:tcPr>
          <w:p w14:paraId="11C5526A" w14:textId="77777777" w:rsidR="003F5E45" w:rsidRPr="006B42D6" w:rsidRDefault="003F5E45" w:rsidP="00750BB9">
            <w:pPr>
              <w:jc w:val="right"/>
              <w:rPr>
                <w:sz w:val="18"/>
                <w:szCs w:val="18"/>
              </w:rPr>
            </w:pPr>
          </w:p>
        </w:tc>
        <w:tc>
          <w:tcPr>
            <w:tcW w:w="598" w:type="pct"/>
            <w:tcBorders>
              <w:top w:val="nil"/>
              <w:left w:val="single" w:sz="4" w:space="0" w:color="auto"/>
              <w:bottom w:val="nil"/>
              <w:right w:val="single" w:sz="4" w:space="0" w:color="auto"/>
            </w:tcBorders>
            <w:shd w:val="clear" w:color="auto" w:fill="auto"/>
            <w:noWrap/>
            <w:vAlign w:val="center"/>
          </w:tcPr>
          <w:p w14:paraId="59F76753" w14:textId="77777777" w:rsidR="003F5E45" w:rsidRPr="006B42D6" w:rsidRDefault="003F5E45" w:rsidP="00750BB9">
            <w:pPr>
              <w:jc w:val="left"/>
              <w:rPr>
                <w:b/>
                <w:bCs/>
                <w:sz w:val="18"/>
                <w:szCs w:val="18"/>
              </w:rPr>
            </w:pPr>
            <w:r w:rsidRPr="006B42D6">
              <w:rPr>
                <w:sz w:val="18"/>
                <w:szCs w:val="18"/>
              </w:rPr>
              <w:t>Two</w:t>
            </w:r>
          </w:p>
        </w:tc>
        <w:tc>
          <w:tcPr>
            <w:tcW w:w="639" w:type="pct"/>
            <w:tcBorders>
              <w:top w:val="nil"/>
              <w:left w:val="single" w:sz="4" w:space="0" w:color="auto"/>
              <w:bottom w:val="nil"/>
            </w:tcBorders>
            <w:shd w:val="clear" w:color="auto" w:fill="auto"/>
            <w:noWrap/>
            <w:vAlign w:val="center"/>
          </w:tcPr>
          <w:p w14:paraId="0343CB8C" w14:textId="77777777" w:rsidR="003F5E45" w:rsidRPr="006B42D6" w:rsidRDefault="003F5E45" w:rsidP="00143C67">
            <w:pPr>
              <w:jc w:val="right"/>
              <w:rPr>
                <w:b/>
                <w:bCs/>
                <w:sz w:val="18"/>
                <w:szCs w:val="18"/>
              </w:rPr>
            </w:pPr>
            <w:r w:rsidRPr="006B42D6">
              <w:rPr>
                <w:sz w:val="18"/>
                <w:szCs w:val="18"/>
              </w:rPr>
              <w:t>1,058,232</w:t>
            </w:r>
          </w:p>
        </w:tc>
        <w:tc>
          <w:tcPr>
            <w:tcW w:w="680" w:type="pct"/>
            <w:tcBorders>
              <w:top w:val="nil"/>
              <w:bottom w:val="nil"/>
              <w:right w:val="single" w:sz="4" w:space="0" w:color="auto"/>
            </w:tcBorders>
            <w:shd w:val="clear" w:color="auto" w:fill="auto"/>
            <w:noWrap/>
            <w:vAlign w:val="center"/>
          </w:tcPr>
          <w:p w14:paraId="5AE47F04" w14:textId="77777777" w:rsidR="003F5E45" w:rsidRPr="006B42D6" w:rsidRDefault="003F5E45" w:rsidP="00143C67">
            <w:pPr>
              <w:jc w:val="right"/>
              <w:rPr>
                <w:b/>
                <w:bCs/>
                <w:sz w:val="18"/>
                <w:szCs w:val="18"/>
              </w:rPr>
            </w:pPr>
            <w:r w:rsidRPr="006B42D6">
              <w:rPr>
                <w:sz w:val="18"/>
                <w:szCs w:val="18"/>
              </w:rPr>
              <w:t>18.1</w:t>
            </w:r>
          </w:p>
        </w:tc>
        <w:tc>
          <w:tcPr>
            <w:tcW w:w="627" w:type="pct"/>
            <w:tcBorders>
              <w:top w:val="nil"/>
              <w:left w:val="single" w:sz="4" w:space="0" w:color="auto"/>
              <w:bottom w:val="nil"/>
            </w:tcBorders>
            <w:shd w:val="clear" w:color="auto" w:fill="auto"/>
            <w:noWrap/>
            <w:vAlign w:val="center"/>
          </w:tcPr>
          <w:p w14:paraId="0AE9AF66" w14:textId="77777777" w:rsidR="003F5E45" w:rsidRPr="006B42D6" w:rsidRDefault="003F5E45" w:rsidP="00143C67">
            <w:pPr>
              <w:jc w:val="right"/>
              <w:rPr>
                <w:b/>
                <w:bCs/>
                <w:sz w:val="18"/>
                <w:szCs w:val="18"/>
              </w:rPr>
            </w:pPr>
            <w:r w:rsidRPr="006B42D6">
              <w:rPr>
                <w:sz w:val="18"/>
                <w:szCs w:val="18"/>
              </w:rPr>
              <w:t>1,044,842</w:t>
            </w:r>
          </w:p>
        </w:tc>
        <w:tc>
          <w:tcPr>
            <w:tcW w:w="628" w:type="pct"/>
            <w:tcBorders>
              <w:top w:val="nil"/>
              <w:bottom w:val="nil"/>
              <w:right w:val="single" w:sz="4" w:space="0" w:color="auto"/>
            </w:tcBorders>
            <w:vAlign w:val="center"/>
          </w:tcPr>
          <w:p w14:paraId="41FA9899" w14:textId="77777777" w:rsidR="003F5E45" w:rsidRPr="006B42D6" w:rsidRDefault="003F5E45" w:rsidP="00143C67">
            <w:pPr>
              <w:jc w:val="right"/>
              <w:rPr>
                <w:b/>
                <w:bCs/>
                <w:sz w:val="18"/>
                <w:szCs w:val="18"/>
              </w:rPr>
            </w:pPr>
            <w:r w:rsidRPr="006B42D6">
              <w:rPr>
                <w:sz w:val="18"/>
                <w:szCs w:val="18"/>
              </w:rPr>
              <w:t>18.3</w:t>
            </w:r>
          </w:p>
        </w:tc>
        <w:tc>
          <w:tcPr>
            <w:tcW w:w="627" w:type="pct"/>
            <w:tcBorders>
              <w:top w:val="nil"/>
              <w:left w:val="single" w:sz="4" w:space="0" w:color="auto"/>
              <w:bottom w:val="nil"/>
            </w:tcBorders>
            <w:vAlign w:val="center"/>
          </w:tcPr>
          <w:p w14:paraId="45BCF66E" w14:textId="77777777" w:rsidR="003F5E45" w:rsidRPr="006B42D6" w:rsidRDefault="003F5E45" w:rsidP="00143C67">
            <w:pPr>
              <w:jc w:val="right"/>
              <w:rPr>
                <w:b/>
                <w:bCs/>
                <w:sz w:val="18"/>
                <w:szCs w:val="18"/>
              </w:rPr>
            </w:pPr>
            <w:r w:rsidRPr="006B42D6">
              <w:rPr>
                <w:sz w:val="18"/>
                <w:szCs w:val="18"/>
              </w:rPr>
              <w:t>13,389</w:t>
            </w:r>
          </w:p>
        </w:tc>
        <w:tc>
          <w:tcPr>
            <w:tcW w:w="628" w:type="pct"/>
            <w:tcBorders>
              <w:top w:val="nil"/>
              <w:bottom w:val="nil"/>
            </w:tcBorders>
            <w:vAlign w:val="center"/>
          </w:tcPr>
          <w:p w14:paraId="7D46B36C" w14:textId="77777777" w:rsidR="003F5E45" w:rsidRPr="006B42D6" w:rsidRDefault="003F5E45" w:rsidP="00143C67">
            <w:pPr>
              <w:jc w:val="right"/>
              <w:rPr>
                <w:b/>
                <w:bCs/>
                <w:sz w:val="18"/>
                <w:szCs w:val="18"/>
              </w:rPr>
            </w:pPr>
            <w:r w:rsidRPr="006B42D6">
              <w:rPr>
                <w:sz w:val="18"/>
                <w:szCs w:val="18"/>
              </w:rPr>
              <w:t>10.1</w:t>
            </w:r>
          </w:p>
        </w:tc>
      </w:tr>
      <w:tr w:rsidR="006B42D6" w:rsidRPr="006B42D6" w14:paraId="7C65A98E" w14:textId="77777777" w:rsidTr="00143C67">
        <w:trPr>
          <w:trHeight w:val="340"/>
        </w:trPr>
        <w:tc>
          <w:tcPr>
            <w:tcW w:w="574" w:type="pct"/>
            <w:vMerge/>
            <w:tcBorders>
              <w:top w:val="nil"/>
              <w:bottom w:val="nil"/>
              <w:right w:val="single" w:sz="4" w:space="0" w:color="auto"/>
            </w:tcBorders>
            <w:vAlign w:val="center"/>
          </w:tcPr>
          <w:p w14:paraId="64A90073" w14:textId="77777777" w:rsidR="003F5E45" w:rsidRPr="006B42D6" w:rsidRDefault="003F5E45" w:rsidP="00750BB9">
            <w:pPr>
              <w:jc w:val="right"/>
              <w:rPr>
                <w:sz w:val="18"/>
                <w:szCs w:val="18"/>
              </w:rPr>
            </w:pPr>
          </w:p>
        </w:tc>
        <w:tc>
          <w:tcPr>
            <w:tcW w:w="598" w:type="pct"/>
            <w:tcBorders>
              <w:top w:val="nil"/>
              <w:left w:val="single" w:sz="4" w:space="0" w:color="auto"/>
              <w:bottom w:val="nil"/>
              <w:right w:val="single" w:sz="4" w:space="0" w:color="auto"/>
            </w:tcBorders>
            <w:shd w:val="clear" w:color="auto" w:fill="auto"/>
            <w:noWrap/>
            <w:vAlign w:val="center"/>
          </w:tcPr>
          <w:p w14:paraId="42833576" w14:textId="77777777" w:rsidR="003F5E45" w:rsidRPr="006B42D6" w:rsidRDefault="003F5E45" w:rsidP="00750BB9">
            <w:pPr>
              <w:jc w:val="left"/>
              <w:rPr>
                <w:b/>
                <w:bCs/>
                <w:sz w:val="18"/>
                <w:szCs w:val="18"/>
              </w:rPr>
            </w:pPr>
            <w:r w:rsidRPr="006B42D6">
              <w:rPr>
                <w:sz w:val="18"/>
                <w:szCs w:val="18"/>
              </w:rPr>
              <w:t>Three</w:t>
            </w:r>
          </w:p>
        </w:tc>
        <w:tc>
          <w:tcPr>
            <w:tcW w:w="639" w:type="pct"/>
            <w:tcBorders>
              <w:top w:val="nil"/>
              <w:left w:val="single" w:sz="4" w:space="0" w:color="auto"/>
              <w:bottom w:val="nil"/>
            </w:tcBorders>
            <w:shd w:val="clear" w:color="auto" w:fill="auto"/>
            <w:noWrap/>
            <w:vAlign w:val="center"/>
          </w:tcPr>
          <w:p w14:paraId="3EA6C91B" w14:textId="77777777" w:rsidR="003F5E45" w:rsidRPr="006B42D6" w:rsidRDefault="003F5E45" w:rsidP="00143C67">
            <w:pPr>
              <w:jc w:val="right"/>
              <w:rPr>
                <w:b/>
                <w:bCs/>
                <w:sz w:val="18"/>
                <w:szCs w:val="18"/>
              </w:rPr>
            </w:pPr>
            <w:r w:rsidRPr="006B42D6">
              <w:rPr>
                <w:sz w:val="18"/>
                <w:szCs w:val="18"/>
              </w:rPr>
              <w:t>309,293</w:t>
            </w:r>
          </w:p>
        </w:tc>
        <w:tc>
          <w:tcPr>
            <w:tcW w:w="680" w:type="pct"/>
            <w:tcBorders>
              <w:top w:val="nil"/>
              <w:bottom w:val="nil"/>
              <w:right w:val="single" w:sz="4" w:space="0" w:color="auto"/>
            </w:tcBorders>
            <w:shd w:val="clear" w:color="auto" w:fill="auto"/>
            <w:noWrap/>
            <w:vAlign w:val="center"/>
          </w:tcPr>
          <w:p w14:paraId="1F7DF776" w14:textId="77777777" w:rsidR="003F5E45" w:rsidRPr="006B42D6" w:rsidRDefault="003F5E45" w:rsidP="00143C67">
            <w:pPr>
              <w:jc w:val="right"/>
              <w:rPr>
                <w:b/>
                <w:bCs/>
                <w:sz w:val="18"/>
                <w:szCs w:val="18"/>
              </w:rPr>
            </w:pPr>
            <w:r w:rsidRPr="006B42D6">
              <w:rPr>
                <w:sz w:val="18"/>
                <w:szCs w:val="18"/>
              </w:rPr>
              <w:t>5.3</w:t>
            </w:r>
          </w:p>
        </w:tc>
        <w:tc>
          <w:tcPr>
            <w:tcW w:w="627" w:type="pct"/>
            <w:tcBorders>
              <w:top w:val="nil"/>
              <w:left w:val="single" w:sz="4" w:space="0" w:color="auto"/>
              <w:bottom w:val="nil"/>
            </w:tcBorders>
            <w:shd w:val="clear" w:color="auto" w:fill="auto"/>
            <w:noWrap/>
            <w:vAlign w:val="center"/>
          </w:tcPr>
          <w:p w14:paraId="3E8B3DDD" w14:textId="77777777" w:rsidR="003F5E45" w:rsidRPr="006B42D6" w:rsidRDefault="003F5E45" w:rsidP="00143C67">
            <w:pPr>
              <w:jc w:val="right"/>
              <w:rPr>
                <w:b/>
                <w:bCs/>
                <w:sz w:val="18"/>
                <w:szCs w:val="18"/>
              </w:rPr>
            </w:pPr>
            <w:r w:rsidRPr="006B42D6">
              <w:rPr>
                <w:sz w:val="18"/>
                <w:szCs w:val="18"/>
              </w:rPr>
              <w:t>305,501</w:t>
            </w:r>
          </w:p>
        </w:tc>
        <w:tc>
          <w:tcPr>
            <w:tcW w:w="628" w:type="pct"/>
            <w:tcBorders>
              <w:top w:val="nil"/>
              <w:bottom w:val="nil"/>
              <w:right w:val="single" w:sz="4" w:space="0" w:color="auto"/>
            </w:tcBorders>
            <w:vAlign w:val="center"/>
          </w:tcPr>
          <w:p w14:paraId="7ED11282" w14:textId="77777777" w:rsidR="003F5E45" w:rsidRPr="006B42D6" w:rsidRDefault="003F5E45" w:rsidP="00143C67">
            <w:pPr>
              <w:jc w:val="right"/>
              <w:rPr>
                <w:b/>
                <w:bCs/>
                <w:sz w:val="18"/>
                <w:szCs w:val="18"/>
              </w:rPr>
            </w:pPr>
            <w:r w:rsidRPr="006B42D6">
              <w:rPr>
                <w:sz w:val="18"/>
                <w:szCs w:val="18"/>
              </w:rPr>
              <w:t>5.4</w:t>
            </w:r>
          </w:p>
        </w:tc>
        <w:tc>
          <w:tcPr>
            <w:tcW w:w="627" w:type="pct"/>
            <w:tcBorders>
              <w:top w:val="nil"/>
              <w:left w:val="single" w:sz="4" w:space="0" w:color="auto"/>
              <w:bottom w:val="nil"/>
            </w:tcBorders>
            <w:vAlign w:val="center"/>
          </w:tcPr>
          <w:p w14:paraId="35C01384" w14:textId="77777777" w:rsidR="003F5E45" w:rsidRPr="006B42D6" w:rsidRDefault="003F5E45" w:rsidP="00143C67">
            <w:pPr>
              <w:jc w:val="right"/>
              <w:rPr>
                <w:b/>
                <w:bCs/>
                <w:sz w:val="18"/>
                <w:szCs w:val="18"/>
              </w:rPr>
            </w:pPr>
            <w:r w:rsidRPr="006B42D6">
              <w:rPr>
                <w:sz w:val="18"/>
                <w:szCs w:val="18"/>
              </w:rPr>
              <w:t>3,791</w:t>
            </w:r>
          </w:p>
        </w:tc>
        <w:tc>
          <w:tcPr>
            <w:tcW w:w="628" w:type="pct"/>
            <w:tcBorders>
              <w:top w:val="nil"/>
              <w:bottom w:val="nil"/>
            </w:tcBorders>
            <w:vAlign w:val="center"/>
          </w:tcPr>
          <w:p w14:paraId="24B98665" w14:textId="77777777" w:rsidR="003F5E45" w:rsidRPr="006B42D6" w:rsidRDefault="003F5E45" w:rsidP="00143C67">
            <w:pPr>
              <w:jc w:val="right"/>
              <w:rPr>
                <w:b/>
                <w:bCs/>
                <w:sz w:val="18"/>
                <w:szCs w:val="18"/>
              </w:rPr>
            </w:pPr>
            <w:r w:rsidRPr="006B42D6">
              <w:rPr>
                <w:sz w:val="18"/>
                <w:szCs w:val="18"/>
              </w:rPr>
              <w:t>2.9</w:t>
            </w:r>
          </w:p>
        </w:tc>
      </w:tr>
      <w:tr w:rsidR="006B42D6" w:rsidRPr="006B42D6" w14:paraId="26EF4EFA" w14:textId="77777777" w:rsidTr="00143C67">
        <w:trPr>
          <w:trHeight w:val="340"/>
        </w:trPr>
        <w:tc>
          <w:tcPr>
            <w:tcW w:w="574" w:type="pct"/>
            <w:vMerge/>
            <w:tcBorders>
              <w:top w:val="nil"/>
              <w:bottom w:val="nil"/>
              <w:right w:val="single" w:sz="4" w:space="0" w:color="auto"/>
            </w:tcBorders>
            <w:vAlign w:val="center"/>
          </w:tcPr>
          <w:p w14:paraId="632696C2" w14:textId="77777777" w:rsidR="003F5E45" w:rsidRPr="006B42D6" w:rsidRDefault="003F5E45" w:rsidP="00750BB9">
            <w:pPr>
              <w:jc w:val="right"/>
              <w:rPr>
                <w:sz w:val="18"/>
                <w:szCs w:val="18"/>
              </w:rPr>
            </w:pPr>
          </w:p>
        </w:tc>
        <w:tc>
          <w:tcPr>
            <w:tcW w:w="598" w:type="pct"/>
            <w:tcBorders>
              <w:top w:val="nil"/>
              <w:left w:val="single" w:sz="4" w:space="0" w:color="auto"/>
              <w:bottom w:val="nil"/>
              <w:right w:val="single" w:sz="4" w:space="0" w:color="auto"/>
            </w:tcBorders>
            <w:shd w:val="clear" w:color="auto" w:fill="auto"/>
            <w:noWrap/>
            <w:vAlign w:val="center"/>
          </w:tcPr>
          <w:p w14:paraId="5A727926" w14:textId="77777777" w:rsidR="003F5E45" w:rsidRPr="006B42D6" w:rsidRDefault="003F5E45" w:rsidP="00750BB9">
            <w:pPr>
              <w:jc w:val="left"/>
              <w:rPr>
                <w:b/>
                <w:bCs/>
                <w:sz w:val="18"/>
                <w:szCs w:val="18"/>
              </w:rPr>
            </w:pPr>
            <w:r w:rsidRPr="006B42D6">
              <w:rPr>
                <w:sz w:val="18"/>
                <w:szCs w:val="18"/>
              </w:rPr>
              <w:t>Four</w:t>
            </w:r>
          </w:p>
        </w:tc>
        <w:tc>
          <w:tcPr>
            <w:tcW w:w="639" w:type="pct"/>
            <w:tcBorders>
              <w:top w:val="nil"/>
              <w:left w:val="single" w:sz="4" w:space="0" w:color="auto"/>
              <w:bottom w:val="nil"/>
            </w:tcBorders>
            <w:shd w:val="clear" w:color="auto" w:fill="auto"/>
            <w:noWrap/>
            <w:vAlign w:val="center"/>
          </w:tcPr>
          <w:p w14:paraId="749E9D7D" w14:textId="77777777" w:rsidR="003F5E45" w:rsidRPr="006B42D6" w:rsidRDefault="003F5E45" w:rsidP="00143C67">
            <w:pPr>
              <w:jc w:val="right"/>
              <w:rPr>
                <w:b/>
                <w:bCs/>
                <w:sz w:val="18"/>
                <w:szCs w:val="18"/>
              </w:rPr>
            </w:pPr>
            <w:r w:rsidRPr="006B42D6">
              <w:rPr>
                <w:sz w:val="18"/>
                <w:szCs w:val="18"/>
              </w:rPr>
              <w:t>80,028</w:t>
            </w:r>
          </w:p>
        </w:tc>
        <w:tc>
          <w:tcPr>
            <w:tcW w:w="680" w:type="pct"/>
            <w:tcBorders>
              <w:top w:val="nil"/>
              <w:bottom w:val="nil"/>
              <w:right w:val="single" w:sz="4" w:space="0" w:color="auto"/>
            </w:tcBorders>
            <w:shd w:val="clear" w:color="auto" w:fill="auto"/>
            <w:noWrap/>
            <w:vAlign w:val="center"/>
          </w:tcPr>
          <w:p w14:paraId="040CB9D4" w14:textId="77777777" w:rsidR="003F5E45" w:rsidRPr="006B42D6" w:rsidRDefault="003F5E45" w:rsidP="00143C67">
            <w:pPr>
              <w:jc w:val="right"/>
              <w:rPr>
                <w:b/>
                <w:bCs/>
                <w:sz w:val="18"/>
                <w:szCs w:val="18"/>
              </w:rPr>
            </w:pPr>
            <w:r w:rsidRPr="006B42D6">
              <w:rPr>
                <w:sz w:val="18"/>
                <w:szCs w:val="18"/>
              </w:rPr>
              <w:t>1.4</w:t>
            </w:r>
          </w:p>
        </w:tc>
        <w:tc>
          <w:tcPr>
            <w:tcW w:w="627" w:type="pct"/>
            <w:tcBorders>
              <w:top w:val="nil"/>
              <w:left w:val="single" w:sz="4" w:space="0" w:color="auto"/>
              <w:bottom w:val="nil"/>
            </w:tcBorders>
            <w:shd w:val="clear" w:color="auto" w:fill="auto"/>
            <w:noWrap/>
            <w:vAlign w:val="center"/>
          </w:tcPr>
          <w:p w14:paraId="77419F67" w14:textId="77777777" w:rsidR="003F5E45" w:rsidRPr="006B42D6" w:rsidRDefault="003F5E45" w:rsidP="00143C67">
            <w:pPr>
              <w:jc w:val="right"/>
              <w:rPr>
                <w:b/>
                <w:bCs/>
                <w:sz w:val="18"/>
                <w:szCs w:val="18"/>
              </w:rPr>
            </w:pPr>
            <w:r w:rsidRPr="006B42D6">
              <w:rPr>
                <w:sz w:val="18"/>
                <w:szCs w:val="18"/>
              </w:rPr>
              <w:t>79,453</w:t>
            </w:r>
          </w:p>
        </w:tc>
        <w:tc>
          <w:tcPr>
            <w:tcW w:w="628" w:type="pct"/>
            <w:tcBorders>
              <w:top w:val="nil"/>
              <w:bottom w:val="nil"/>
              <w:right w:val="single" w:sz="4" w:space="0" w:color="auto"/>
            </w:tcBorders>
            <w:vAlign w:val="center"/>
          </w:tcPr>
          <w:p w14:paraId="2B8D24C3" w14:textId="77777777" w:rsidR="003F5E45" w:rsidRPr="006B42D6" w:rsidRDefault="003F5E45" w:rsidP="00143C67">
            <w:pPr>
              <w:jc w:val="right"/>
              <w:rPr>
                <w:b/>
                <w:bCs/>
                <w:sz w:val="18"/>
                <w:szCs w:val="18"/>
              </w:rPr>
            </w:pPr>
            <w:r w:rsidRPr="006B42D6">
              <w:rPr>
                <w:sz w:val="18"/>
                <w:szCs w:val="18"/>
              </w:rPr>
              <w:t>1.4</w:t>
            </w:r>
          </w:p>
        </w:tc>
        <w:tc>
          <w:tcPr>
            <w:tcW w:w="627" w:type="pct"/>
            <w:tcBorders>
              <w:top w:val="nil"/>
              <w:left w:val="single" w:sz="4" w:space="0" w:color="auto"/>
              <w:bottom w:val="nil"/>
            </w:tcBorders>
            <w:vAlign w:val="center"/>
          </w:tcPr>
          <w:p w14:paraId="60C80782" w14:textId="77777777" w:rsidR="003F5E45" w:rsidRPr="006B42D6" w:rsidRDefault="003F5E45" w:rsidP="00143C67">
            <w:pPr>
              <w:jc w:val="right"/>
              <w:rPr>
                <w:b/>
                <w:bCs/>
                <w:sz w:val="18"/>
                <w:szCs w:val="18"/>
              </w:rPr>
            </w:pPr>
            <w:r w:rsidRPr="006B42D6">
              <w:rPr>
                <w:sz w:val="18"/>
                <w:szCs w:val="18"/>
              </w:rPr>
              <w:t>575</w:t>
            </w:r>
          </w:p>
        </w:tc>
        <w:tc>
          <w:tcPr>
            <w:tcW w:w="628" w:type="pct"/>
            <w:tcBorders>
              <w:top w:val="nil"/>
              <w:bottom w:val="nil"/>
            </w:tcBorders>
            <w:vAlign w:val="center"/>
          </w:tcPr>
          <w:p w14:paraId="74D4E8AE" w14:textId="77777777" w:rsidR="003F5E45" w:rsidRPr="006B42D6" w:rsidRDefault="003F5E45" w:rsidP="00143C67">
            <w:pPr>
              <w:jc w:val="right"/>
              <w:rPr>
                <w:b/>
                <w:bCs/>
                <w:sz w:val="18"/>
                <w:szCs w:val="18"/>
              </w:rPr>
            </w:pPr>
            <w:r w:rsidRPr="006B42D6">
              <w:rPr>
                <w:sz w:val="18"/>
                <w:szCs w:val="18"/>
              </w:rPr>
              <w:t>0.4</w:t>
            </w:r>
          </w:p>
        </w:tc>
      </w:tr>
      <w:tr w:rsidR="006B42D6" w:rsidRPr="006B42D6" w14:paraId="263E7F96" w14:textId="77777777" w:rsidTr="00143C67">
        <w:trPr>
          <w:trHeight w:val="340"/>
        </w:trPr>
        <w:tc>
          <w:tcPr>
            <w:tcW w:w="574" w:type="pct"/>
            <w:vMerge/>
            <w:tcBorders>
              <w:top w:val="nil"/>
              <w:bottom w:val="nil"/>
              <w:right w:val="single" w:sz="4" w:space="0" w:color="auto"/>
            </w:tcBorders>
            <w:vAlign w:val="center"/>
          </w:tcPr>
          <w:p w14:paraId="45B598B9" w14:textId="77777777" w:rsidR="003F5E45" w:rsidRPr="006B42D6" w:rsidRDefault="003F5E45" w:rsidP="00750BB9">
            <w:pPr>
              <w:jc w:val="right"/>
              <w:rPr>
                <w:sz w:val="18"/>
                <w:szCs w:val="18"/>
              </w:rPr>
            </w:pPr>
          </w:p>
        </w:tc>
        <w:tc>
          <w:tcPr>
            <w:tcW w:w="598" w:type="pct"/>
            <w:tcBorders>
              <w:top w:val="nil"/>
              <w:left w:val="single" w:sz="4" w:space="0" w:color="auto"/>
              <w:bottom w:val="nil"/>
              <w:right w:val="single" w:sz="4" w:space="0" w:color="auto"/>
            </w:tcBorders>
            <w:shd w:val="clear" w:color="auto" w:fill="auto"/>
            <w:noWrap/>
            <w:vAlign w:val="center"/>
          </w:tcPr>
          <w:p w14:paraId="62B0CB1F" w14:textId="77777777" w:rsidR="003F5E45" w:rsidRPr="006B42D6" w:rsidRDefault="003F5E45" w:rsidP="00750BB9">
            <w:pPr>
              <w:jc w:val="left"/>
              <w:rPr>
                <w:b/>
                <w:bCs/>
                <w:sz w:val="18"/>
                <w:szCs w:val="18"/>
              </w:rPr>
            </w:pPr>
            <w:r w:rsidRPr="006B42D6">
              <w:rPr>
                <w:sz w:val="18"/>
                <w:szCs w:val="18"/>
              </w:rPr>
              <w:t>Five</w:t>
            </w:r>
          </w:p>
        </w:tc>
        <w:tc>
          <w:tcPr>
            <w:tcW w:w="639" w:type="pct"/>
            <w:tcBorders>
              <w:top w:val="nil"/>
              <w:left w:val="single" w:sz="4" w:space="0" w:color="auto"/>
              <w:bottom w:val="nil"/>
            </w:tcBorders>
            <w:shd w:val="clear" w:color="auto" w:fill="auto"/>
            <w:noWrap/>
            <w:vAlign w:val="center"/>
          </w:tcPr>
          <w:p w14:paraId="336D3CE7" w14:textId="77777777" w:rsidR="003F5E45" w:rsidRPr="006B42D6" w:rsidRDefault="003F5E45" w:rsidP="00143C67">
            <w:pPr>
              <w:jc w:val="right"/>
              <w:rPr>
                <w:b/>
                <w:bCs/>
                <w:sz w:val="18"/>
                <w:szCs w:val="18"/>
              </w:rPr>
            </w:pPr>
            <w:r w:rsidRPr="006B42D6">
              <w:rPr>
                <w:sz w:val="18"/>
                <w:szCs w:val="18"/>
              </w:rPr>
              <w:t>25,849</w:t>
            </w:r>
          </w:p>
        </w:tc>
        <w:tc>
          <w:tcPr>
            <w:tcW w:w="680" w:type="pct"/>
            <w:tcBorders>
              <w:top w:val="nil"/>
              <w:bottom w:val="nil"/>
              <w:right w:val="single" w:sz="4" w:space="0" w:color="auto"/>
            </w:tcBorders>
            <w:shd w:val="clear" w:color="auto" w:fill="auto"/>
            <w:noWrap/>
            <w:vAlign w:val="center"/>
          </w:tcPr>
          <w:p w14:paraId="00C63F31" w14:textId="77777777" w:rsidR="003F5E45" w:rsidRPr="006B42D6" w:rsidRDefault="003F5E45" w:rsidP="00143C67">
            <w:pPr>
              <w:jc w:val="right"/>
              <w:rPr>
                <w:b/>
                <w:bCs/>
                <w:sz w:val="18"/>
                <w:szCs w:val="18"/>
              </w:rPr>
            </w:pPr>
            <w:r w:rsidRPr="006B42D6">
              <w:rPr>
                <w:sz w:val="18"/>
                <w:szCs w:val="18"/>
              </w:rPr>
              <w:t>0.4</w:t>
            </w:r>
          </w:p>
        </w:tc>
        <w:tc>
          <w:tcPr>
            <w:tcW w:w="627" w:type="pct"/>
            <w:tcBorders>
              <w:top w:val="nil"/>
              <w:left w:val="single" w:sz="4" w:space="0" w:color="auto"/>
              <w:bottom w:val="nil"/>
            </w:tcBorders>
            <w:shd w:val="clear" w:color="auto" w:fill="auto"/>
            <w:noWrap/>
            <w:vAlign w:val="center"/>
          </w:tcPr>
          <w:p w14:paraId="5072E309" w14:textId="77777777" w:rsidR="003F5E45" w:rsidRPr="006B42D6" w:rsidRDefault="003F5E45" w:rsidP="00143C67">
            <w:pPr>
              <w:jc w:val="right"/>
              <w:rPr>
                <w:b/>
                <w:bCs/>
                <w:sz w:val="18"/>
                <w:szCs w:val="18"/>
              </w:rPr>
            </w:pPr>
            <w:r w:rsidRPr="006B42D6">
              <w:rPr>
                <w:sz w:val="18"/>
                <w:szCs w:val="18"/>
              </w:rPr>
              <w:t>25,497</w:t>
            </w:r>
          </w:p>
        </w:tc>
        <w:tc>
          <w:tcPr>
            <w:tcW w:w="628" w:type="pct"/>
            <w:tcBorders>
              <w:top w:val="nil"/>
              <w:bottom w:val="nil"/>
              <w:right w:val="single" w:sz="4" w:space="0" w:color="auto"/>
            </w:tcBorders>
            <w:vAlign w:val="center"/>
          </w:tcPr>
          <w:p w14:paraId="627CBEDD" w14:textId="77777777" w:rsidR="003F5E45" w:rsidRPr="006B42D6" w:rsidRDefault="003F5E45" w:rsidP="00143C67">
            <w:pPr>
              <w:jc w:val="right"/>
              <w:rPr>
                <w:b/>
                <w:bCs/>
                <w:sz w:val="18"/>
                <w:szCs w:val="18"/>
              </w:rPr>
            </w:pPr>
            <w:r w:rsidRPr="006B42D6">
              <w:rPr>
                <w:sz w:val="18"/>
                <w:szCs w:val="18"/>
              </w:rPr>
              <w:t>0.4</w:t>
            </w:r>
          </w:p>
        </w:tc>
        <w:tc>
          <w:tcPr>
            <w:tcW w:w="627" w:type="pct"/>
            <w:tcBorders>
              <w:top w:val="nil"/>
              <w:left w:val="single" w:sz="4" w:space="0" w:color="auto"/>
              <w:bottom w:val="nil"/>
            </w:tcBorders>
            <w:vAlign w:val="center"/>
          </w:tcPr>
          <w:p w14:paraId="66B30D7C" w14:textId="77777777" w:rsidR="003F5E45" w:rsidRPr="006B42D6" w:rsidRDefault="003F5E45" w:rsidP="00143C67">
            <w:pPr>
              <w:jc w:val="right"/>
              <w:rPr>
                <w:b/>
                <w:bCs/>
                <w:sz w:val="18"/>
                <w:szCs w:val="18"/>
              </w:rPr>
            </w:pPr>
            <w:r w:rsidRPr="006B42D6">
              <w:rPr>
                <w:sz w:val="18"/>
                <w:szCs w:val="18"/>
              </w:rPr>
              <w:t>352</w:t>
            </w:r>
          </w:p>
        </w:tc>
        <w:tc>
          <w:tcPr>
            <w:tcW w:w="628" w:type="pct"/>
            <w:tcBorders>
              <w:top w:val="nil"/>
              <w:bottom w:val="nil"/>
            </w:tcBorders>
            <w:vAlign w:val="center"/>
          </w:tcPr>
          <w:p w14:paraId="7E1928C8" w14:textId="77777777" w:rsidR="003F5E45" w:rsidRPr="006B42D6" w:rsidRDefault="003F5E45" w:rsidP="00143C67">
            <w:pPr>
              <w:jc w:val="right"/>
              <w:rPr>
                <w:b/>
                <w:bCs/>
                <w:sz w:val="18"/>
                <w:szCs w:val="18"/>
              </w:rPr>
            </w:pPr>
            <w:r w:rsidRPr="006B42D6">
              <w:rPr>
                <w:sz w:val="18"/>
                <w:szCs w:val="18"/>
              </w:rPr>
              <w:t>0.3</w:t>
            </w:r>
          </w:p>
        </w:tc>
      </w:tr>
      <w:tr w:rsidR="006B42D6" w:rsidRPr="006B42D6" w14:paraId="70BB179C" w14:textId="77777777" w:rsidTr="00143C67">
        <w:trPr>
          <w:trHeight w:val="340"/>
        </w:trPr>
        <w:tc>
          <w:tcPr>
            <w:tcW w:w="574" w:type="pct"/>
            <w:vMerge/>
            <w:tcBorders>
              <w:top w:val="nil"/>
              <w:bottom w:val="nil"/>
              <w:right w:val="single" w:sz="4" w:space="0" w:color="auto"/>
            </w:tcBorders>
            <w:vAlign w:val="center"/>
          </w:tcPr>
          <w:p w14:paraId="46B16BF1" w14:textId="77777777" w:rsidR="003F5E45" w:rsidRPr="006B42D6" w:rsidRDefault="003F5E45" w:rsidP="00750BB9">
            <w:pPr>
              <w:jc w:val="right"/>
              <w:rPr>
                <w:sz w:val="18"/>
                <w:szCs w:val="18"/>
              </w:rPr>
            </w:pPr>
          </w:p>
        </w:tc>
        <w:tc>
          <w:tcPr>
            <w:tcW w:w="598" w:type="pct"/>
            <w:tcBorders>
              <w:top w:val="nil"/>
              <w:left w:val="single" w:sz="4" w:space="0" w:color="auto"/>
              <w:bottom w:val="nil"/>
              <w:right w:val="single" w:sz="4" w:space="0" w:color="auto"/>
            </w:tcBorders>
            <w:shd w:val="clear" w:color="auto" w:fill="auto"/>
            <w:noWrap/>
            <w:vAlign w:val="center"/>
          </w:tcPr>
          <w:p w14:paraId="1F86DD36" w14:textId="77777777" w:rsidR="003F5E45" w:rsidRPr="006B42D6" w:rsidRDefault="003F5E45" w:rsidP="00750BB9">
            <w:pPr>
              <w:jc w:val="left"/>
              <w:rPr>
                <w:b/>
                <w:bCs/>
                <w:sz w:val="18"/>
                <w:szCs w:val="18"/>
              </w:rPr>
            </w:pPr>
            <w:r w:rsidRPr="006B42D6">
              <w:rPr>
                <w:sz w:val="18"/>
                <w:szCs w:val="18"/>
              </w:rPr>
              <w:t>Six</w:t>
            </w:r>
          </w:p>
        </w:tc>
        <w:tc>
          <w:tcPr>
            <w:tcW w:w="639" w:type="pct"/>
            <w:tcBorders>
              <w:top w:val="nil"/>
              <w:left w:val="single" w:sz="4" w:space="0" w:color="auto"/>
              <w:bottom w:val="nil"/>
            </w:tcBorders>
            <w:shd w:val="clear" w:color="auto" w:fill="auto"/>
            <w:noWrap/>
            <w:vAlign w:val="center"/>
          </w:tcPr>
          <w:p w14:paraId="13E1203C" w14:textId="77777777" w:rsidR="003F5E45" w:rsidRPr="006B42D6" w:rsidRDefault="003F5E45" w:rsidP="00143C67">
            <w:pPr>
              <w:jc w:val="right"/>
              <w:rPr>
                <w:b/>
                <w:bCs/>
                <w:sz w:val="18"/>
                <w:szCs w:val="18"/>
              </w:rPr>
            </w:pPr>
            <w:r w:rsidRPr="006B42D6">
              <w:rPr>
                <w:sz w:val="18"/>
                <w:szCs w:val="18"/>
              </w:rPr>
              <w:t>5,681</w:t>
            </w:r>
          </w:p>
        </w:tc>
        <w:tc>
          <w:tcPr>
            <w:tcW w:w="680" w:type="pct"/>
            <w:tcBorders>
              <w:top w:val="nil"/>
              <w:bottom w:val="nil"/>
              <w:right w:val="single" w:sz="4" w:space="0" w:color="auto"/>
            </w:tcBorders>
            <w:shd w:val="clear" w:color="auto" w:fill="auto"/>
            <w:noWrap/>
            <w:vAlign w:val="center"/>
          </w:tcPr>
          <w:p w14:paraId="3E9E5971" w14:textId="77777777" w:rsidR="003F5E45" w:rsidRPr="006B42D6" w:rsidRDefault="003F5E45" w:rsidP="00143C67">
            <w:pPr>
              <w:jc w:val="right"/>
              <w:rPr>
                <w:b/>
                <w:bCs/>
                <w:sz w:val="18"/>
                <w:szCs w:val="18"/>
              </w:rPr>
            </w:pPr>
            <w:r w:rsidRPr="006B42D6">
              <w:rPr>
                <w:sz w:val="18"/>
                <w:szCs w:val="18"/>
              </w:rPr>
              <w:t>0.1</w:t>
            </w:r>
          </w:p>
        </w:tc>
        <w:tc>
          <w:tcPr>
            <w:tcW w:w="627" w:type="pct"/>
            <w:tcBorders>
              <w:top w:val="nil"/>
              <w:left w:val="single" w:sz="4" w:space="0" w:color="auto"/>
              <w:bottom w:val="nil"/>
            </w:tcBorders>
            <w:shd w:val="clear" w:color="auto" w:fill="auto"/>
            <w:noWrap/>
            <w:vAlign w:val="center"/>
          </w:tcPr>
          <w:p w14:paraId="5BDA0E01" w14:textId="77777777" w:rsidR="003F5E45" w:rsidRPr="006B42D6" w:rsidRDefault="003F5E45" w:rsidP="00143C67">
            <w:pPr>
              <w:jc w:val="right"/>
              <w:rPr>
                <w:b/>
                <w:bCs/>
                <w:sz w:val="18"/>
                <w:szCs w:val="18"/>
              </w:rPr>
            </w:pPr>
            <w:r w:rsidRPr="006B42D6">
              <w:rPr>
                <w:sz w:val="18"/>
                <w:szCs w:val="18"/>
              </w:rPr>
              <w:t>5,654</w:t>
            </w:r>
          </w:p>
        </w:tc>
        <w:tc>
          <w:tcPr>
            <w:tcW w:w="628" w:type="pct"/>
            <w:tcBorders>
              <w:top w:val="nil"/>
              <w:bottom w:val="nil"/>
              <w:right w:val="single" w:sz="4" w:space="0" w:color="auto"/>
            </w:tcBorders>
            <w:vAlign w:val="center"/>
          </w:tcPr>
          <w:p w14:paraId="575820EA" w14:textId="77777777" w:rsidR="003F5E45" w:rsidRPr="006B42D6" w:rsidRDefault="003F5E45" w:rsidP="00143C67">
            <w:pPr>
              <w:jc w:val="right"/>
              <w:rPr>
                <w:b/>
                <w:bCs/>
                <w:sz w:val="18"/>
                <w:szCs w:val="18"/>
              </w:rPr>
            </w:pPr>
            <w:r w:rsidRPr="006B42D6">
              <w:rPr>
                <w:sz w:val="18"/>
                <w:szCs w:val="18"/>
              </w:rPr>
              <w:t>0.1</w:t>
            </w:r>
          </w:p>
        </w:tc>
        <w:tc>
          <w:tcPr>
            <w:tcW w:w="627" w:type="pct"/>
            <w:tcBorders>
              <w:top w:val="nil"/>
              <w:left w:val="single" w:sz="4" w:space="0" w:color="auto"/>
              <w:bottom w:val="nil"/>
            </w:tcBorders>
            <w:vAlign w:val="center"/>
          </w:tcPr>
          <w:p w14:paraId="6AF3A811" w14:textId="77777777" w:rsidR="003F5E45" w:rsidRPr="006B42D6" w:rsidRDefault="003F5E45" w:rsidP="00143C67">
            <w:pPr>
              <w:jc w:val="right"/>
              <w:rPr>
                <w:b/>
                <w:bCs/>
                <w:sz w:val="18"/>
                <w:szCs w:val="18"/>
              </w:rPr>
            </w:pPr>
            <w:r w:rsidRPr="006B42D6">
              <w:rPr>
                <w:sz w:val="18"/>
                <w:szCs w:val="18"/>
              </w:rPr>
              <w:t>27</w:t>
            </w:r>
          </w:p>
        </w:tc>
        <w:tc>
          <w:tcPr>
            <w:tcW w:w="628" w:type="pct"/>
            <w:tcBorders>
              <w:top w:val="nil"/>
              <w:bottom w:val="nil"/>
            </w:tcBorders>
            <w:vAlign w:val="center"/>
          </w:tcPr>
          <w:p w14:paraId="20838612" w14:textId="77777777" w:rsidR="003F5E45" w:rsidRPr="006B42D6" w:rsidRDefault="003F5E45" w:rsidP="00143C67">
            <w:pPr>
              <w:jc w:val="right"/>
              <w:rPr>
                <w:b/>
                <w:bCs/>
                <w:sz w:val="18"/>
                <w:szCs w:val="18"/>
              </w:rPr>
            </w:pPr>
            <w:r w:rsidRPr="006B42D6">
              <w:rPr>
                <w:sz w:val="18"/>
                <w:szCs w:val="18"/>
              </w:rPr>
              <w:t>0.0</w:t>
            </w:r>
          </w:p>
        </w:tc>
      </w:tr>
      <w:tr w:rsidR="006B42D6" w:rsidRPr="006B42D6" w14:paraId="69C852DD" w14:textId="77777777" w:rsidTr="00143C67">
        <w:trPr>
          <w:trHeight w:val="340"/>
        </w:trPr>
        <w:tc>
          <w:tcPr>
            <w:tcW w:w="574" w:type="pct"/>
            <w:vMerge/>
            <w:tcBorders>
              <w:top w:val="nil"/>
              <w:bottom w:val="single" w:sz="4" w:space="0" w:color="auto"/>
              <w:right w:val="single" w:sz="4" w:space="0" w:color="auto"/>
            </w:tcBorders>
            <w:vAlign w:val="center"/>
          </w:tcPr>
          <w:p w14:paraId="5485A8EB" w14:textId="77777777" w:rsidR="003F5E45" w:rsidRPr="006B42D6" w:rsidRDefault="003F5E45" w:rsidP="00750BB9">
            <w:pPr>
              <w:jc w:val="right"/>
              <w:rPr>
                <w:sz w:val="18"/>
                <w:szCs w:val="18"/>
              </w:rPr>
            </w:pPr>
          </w:p>
        </w:tc>
        <w:tc>
          <w:tcPr>
            <w:tcW w:w="598" w:type="pct"/>
            <w:tcBorders>
              <w:top w:val="nil"/>
              <w:left w:val="single" w:sz="4" w:space="0" w:color="auto"/>
              <w:bottom w:val="single" w:sz="4" w:space="0" w:color="auto"/>
              <w:right w:val="single" w:sz="4" w:space="0" w:color="auto"/>
            </w:tcBorders>
            <w:shd w:val="clear" w:color="auto" w:fill="auto"/>
            <w:noWrap/>
            <w:vAlign w:val="center"/>
          </w:tcPr>
          <w:p w14:paraId="26AE12EB" w14:textId="77777777" w:rsidR="003F5E45" w:rsidRPr="006B42D6" w:rsidRDefault="003F5E45" w:rsidP="00750BB9">
            <w:pPr>
              <w:jc w:val="left"/>
              <w:rPr>
                <w:b/>
                <w:bCs/>
                <w:sz w:val="18"/>
                <w:szCs w:val="18"/>
              </w:rPr>
            </w:pPr>
            <w:r w:rsidRPr="006B42D6">
              <w:rPr>
                <w:sz w:val="18"/>
                <w:szCs w:val="18"/>
              </w:rPr>
              <w:t>Seven</w:t>
            </w:r>
          </w:p>
        </w:tc>
        <w:tc>
          <w:tcPr>
            <w:tcW w:w="639" w:type="pct"/>
            <w:tcBorders>
              <w:top w:val="nil"/>
              <w:left w:val="single" w:sz="4" w:space="0" w:color="auto"/>
              <w:bottom w:val="single" w:sz="4" w:space="0" w:color="auto"/>
            </w:tcBorders>
            <w:shd w:val="clear" w:color="auto" w:fill="auto"/>
            <w:noWrap/>
            <w:vAlign w:val="center"/>
          </w:tcPr>
          <w:p w14:paraId="7F188926" w14:textId="77777777" w:rsidR="003F5E45" w:rsidRPr="006B42D6" w:rsidRDefault="003F5E45" w:rsidP="00143C67">
            <w:pPr>
              <w:jc w:val="right"/>
              <w:rPr>
                <w:b/>
                <w:bCs/>
                <w:sz w:val="18"/>
                <w:szCs w:val="18"/>
              </w:rPr>
            </w:pPr>
            <w:r w:rsidRPr="006B42D6">
              <w:rPr>
                <w:sz w:val="18"/>
                <w:szCs w:val="18"/>
              </w:rPr>
              <w:t>12,596</w:t>
            </w:r>
          </w:p>
        </w:tc>
        <w:tc>
          <w:tcPr>
            <w:tcW w:w="680" w:type="pct"/>
            <w:tcBorders>
              <w:top w:val="nil"/>
              <w:bottom w:val="single" w:sz="4" w:space="0" w:color="auto"/>
              <w:right w:val="single" w:sz="4" w:space="0" w:color="auto"/>
            </w:tcBorders>
            <w:shd w:val="clear" w:color="auto" w:fill="auto"/>
            <w:noWrap/>
            <w:vAlign w:val="center"/>
          </w:tcPr>
          <w:p w14:paraId="6B527774" w14:textId="77777777" w:rsidR="003F5E45" w:rsidRPr="006B42D6" w:rsidRDefault="003F5E45" w:rsidP="00143C67">
            <w:pPr>
              <w:jc w:val="right"/>
              <w:rPr>
                <w:b/>
                <w:bCs/>
                <w:sz w:val="18"/>
                <w:szCs w:val="18"/>
              </w:rPr>
            </w:pPr>
            <w:r w:rsidRPr="006B42D6">
              <w:rPr>
                <w:sz w:val="18"/>
                <w:szCs w:val="18"/>
              </w:rPr>
              <w:t>0.2</w:t>
            </w:r>
          </w:p>
        </w:tc>
        <w:tc>
          <w:tcPr>
            <w:tcW w:w="627" w:type="pct"/>
            <w:tcBorders>
              <w:top w:val="nil"/>
              <w:left w:val="single" w:sz="4" w:space="0" w:color="auto"/>
              <w:bottom w:val="single" w:sz="4" w:space="0" w:color="auto"/>
            </w:tcBorders>
            <w:shd w:val="clear" w:color="auto" w:fill="auto"/>
            <w:noWrap/>
            <w:vAlign w:val="center"/>
          </w:tcPr>
          <w:p w14:paraId="55BD98B2" w14:textId="77777777" w:rsidR="003F5E45" w:rsidRPr="006B42D6" w:rsidRDefault="003F5E45" w:rsidP="00143C67">
            <w:pPr>
              <w:jc w:val="right"/>
              <w:rPr>
                <w:b/>
                <w:bCs/>
                <w:sz w:val="18"/>
                <w:szCs w:val="18"/>
              </w:rPr>
            </w:pPr>
            <w:r w:rsidRPr="006B42D6">
              <w:rPr>
                <w:sz w:val="18"/>
                <w:szCs w:val="18"/>
              </w:rPr>
              <w:t>12,498</w:t>
            </w:r>
          </w:p>
        </w:tc>
        <w:tc>
          <w:tcPr>
            <w:tcW w:w="628" w:type="pct"/>
            <w:tcBorders>
              <w:top w:val="nil"/>
              <w:bottom w:val="single" w:sz="4" w:space="0" w:color="auto"/>
              <w:right w:val="single" w:sz="4" w:space="0" w:color="auto"/>
            </w:tcBorders>
            <w:vAlign w:val="center"/>
          </w:tcPr>
          <w:p w14:paraId="6597D2BB" w14:textId="77777777" w:rsidR="003F5E45" w:rsidRPr="006B42D6" w:rsidRDefault="003F5E45" w:rsidP="00143C67">
            <w:pPr>
              <w:jc w:val="right"/>
              <w:rPr>
                <w:b/>
                <w:bCs/>
                <w:sz w:val="18"/>
                <w:szCs w:val="18"/>
              </w:rPr>
            </w:pPr>
            <w:r w:rsidRPr="006B42D6">
              <w:rPr>
                <w:sz w:val="18"/>
                <w:szCs w:val="18"/>
              </w:rPr>
              <w:t>0.2</w:t>
            </w:r>
          </w:p>
        </w:tc>
        <w:tc>
          <w:tcPr>
            <w:tcW w:w="627" w:type="pct"/>
            <w:tcBorders>
              <w:top w:val="nil"/>
              <w:left w:val="single" w:sz="4" w:space="0" w:color="auto"/>
              <w:bottom w:val="single" w:sz="4" w:space="0" w:color="auto"/>
            </w:tcBorders>
            <w:vAlign w:val="center"/>
          </w:tcPr>
          <w:p w14:paraId="0C7C499F" w14:textId="77777777" w:rsidR="003F5E45" w:rsidRPr="006B42D6" w:rsidRDefault="003F5E45" w:rsidP="00143C67">
            <w:pPr>
              <w:jc w:val="right"/>
              <w:rPr>
                <w:b/>
                <w:bCs/>
                <w:sz w:val="18"/>
                <w:szCs w:val="18"/>
              </w:rPr>
            </w:pPr>
            <w:r w:rsidRPr="006B42D6">
              <w:rPr>
                <w:sz w:val="18"/>
                <w:szCs w:val="18"/>
              </w:rPr>
              <w:t>99</w:t>
            </w:r>
          </w:p>
        </w:tc>
        <w:tc>
          <w:tcPr>
            <w:tcW w:w="628" w:type="pct"/>
            <w:tcBorders>
              <w:top w:val="nil"/>
              <w:bottom w:val="single" w:sz="4" w:space="0" w:color="auto"/>
            </w:tcBorders>
            <w:vAlign w:val="center"/>
          </w:tcPr>
          <w:p w14:paraId="17210BA4" w14:textId="77777777" w:rsidR="003F5E45" w:rsidRPr="006B42D6" w:rsidRDefault="003F5E45" w:rsidP="00143C67">
            <w:pPr>
              <w:jc w:val="right"/>
              <w:rPr>
                <w:b/>
                <w:bCs/>
                <w:sz w:val="18"/>
                <w:szCs w:val="18"/>
              </w:rPr>
            </w:pPr>
            <w:r w:rsidRPr="006B42D6">
              <w:rPr>
                <w:sz w:val="18"/>
                <w:szCs w:val="18"/>
              </w:rPr>
              <w:t>0.1</w:t>
            </w:r>
          </w:p>
        </w:tc>
      </w:tr>
      <w:tr w:rsidR="006B42D6" w:rsidRPr="006B42D6" w14:paraId="2C7668F4" w14:textId="77777777" w:rsidTr="00143C67">
        <w:trPr>
          <w:trHeight w:val="340"/>
        </w:trPr>
        <w:tc>
          <w:tcPr>
            <w:tcW w:w="574" w:type="pct"/>
            <w:vMerge/>
            <w:tcBorders>
              <w:top w:val="single" w:sz="4" w:space="0" w:color="auto"/>
              <w:right w:val="single" w:sz="4" w:space="0" w:color="auto"/>
            </w:tcBorders>
            <w:vAlign w:val="center"/>
          </w:tcPr>
          <w:p w14:paraId="451FE2A5" w14:textId="77777777" w:rsidR="003F5E45" w:rsidRPr="006B42D6" w:rsidRDefault="003F5E45" w:rsidP="00750BB9">
            <w:pPr>
              <w:jc w:val="right"/>
              <w:rPr>
                <w:sz w:val="18"/>
                <w:szCs w:val="18"/>
              </w:rPr>
            </w:pPr>
          </w:p>
        </w:tc>
        <w:tc>
          <w:tcPr>
            <w:tcW w:w="598" w:type="pct"/>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tcPr>
          <w:p w14:paraId="73469F2B" w14:textId="77777777" w:rsidR="003F5E45" w:rsidRPr="006B42D6" w:rsidRDefault="003F5E45" w:rsidP="00750BB9">
            <w:pPr>
              <w:jc w:val="left"/>
              <w:rPr>
                <w:b/>
                <w:bCs/>
                <w:sz w:val="18"/>
                <w:szCs w:val="18"/>
              </w:rPr>
            </w:pPr>
            <w:r w:rsidRPr="006B42D6">
              <w:rPr>
                <w:b/>
                <w:bCs/>
                <w:sz w:val="18"/>
                <w:szCs w:val="18"/>
              </w:rPr>
              <w:t>Total</w:t>
            </w:r>
          </w:p>
        </w:tc>
        <w:tc>
          <w:tcPr>
            <w:tcW w:w="639" w:type="pct"/>
            <w:tcBorders>
              <w:top w:val="single" w:sz="4" w:space="0" w:color="auto"/>
              <w:left w:val="single" w:sz="4" w:space="0" w:color="auto"/>
              <w:bottom w:val="single" w:sz="4" w:space="0" w:color="auto"/>
            </w:tcBorders>
            <w:shd w:val="clear" w:color="auto" w:fill="E2EFD9" w:themeFill="accent6" w:themeFillTint="33"/>
            <w:noWrap/>
            <w:vAlign w:val="center"/>
          </w:tcPr>
          <w:p w14:paraId="77551C8B" w14:textId="77777777" w:rsidR="003F5E45" w:rsidRPr="006B42D6" w:rsidRDefault="003F5E45" w:rsidP="00143C67">
            <w:pPr>
              <w:jc w:val="right"/>
              <w:rPr>
                <w:b/>
                <w:bCs/>
                <w:sz w:val="18"/>
                <w:szCs w:val="18"/>
              </w:rPr>
            </w:pPr>
            <w:r w:rsidRPr="006B42D6">
              <w:rPr>
                <w:b/>
                <w:bCs/>
                <w:sz w:val="18"/>
                <w:szCs w:val="18"/>
              </w:rPr>
              <w:t>5,838,523</w:t>
            </w:r>
          </w:p>
        </w:tc>
        <w:tc>
          <w:tcPr>
            <w:tcW w:w="680" w:type="pct"/>
            <w:tcBorders>
              <w:top w:val="single" w:sz="4" w:space="0" w:color="auto"/>
              <w:right w:val="single" w:sz="4" w:space="0" w:color="auto"/>
            </w:tcBorders>
            <w:shd w:val="clear" w:color="auto" w:fill="E2EFD9" w:themeFill="accent6" w:themeFillTint="33"/>
            <w:noWrap/>
            <w:vAlign w:val="center"/>
          </w:tcPr>
          <w:p w14:paraId="1734FE4E" w14:textId="78DCB277" w:rsidR="003F5E45" w:rsidRPr="006B42D6" w:rsidRDefault="003F5E45" w:rsidP="00143C67">
            <w:pPr>
              <w:jc w:val="right"/>
              <w:rPr>
                <w:b/>
                <w:bCs/>
                <w:sz w:val="18"/>
                <w:szCs w:val="18"/>
              </w:rPr>
            </w:pPr>
            <w:r w:rsidRPr="006B42D6">
              <w:rPr>
                <w:b/>
                <w:bCs/>
                <w:sz w:val="18"/>
                <w:szCs w:val="18"/>
              </w:rPr>
              <w:t>100</w:t>
            </w:r>
            <w:r w:rsidR="00750BB9">
              <w:rPr>
                <w:b/>
                <w:bCs/>
                <w:sz w:val="18"/>
                <w:szCs w:val="18"/>
              </w:rPr>
              <w:t>.0</w:t>
            </w:r>
          </w:p>
        </w:tc>
        <w:tc>
          <w:tcPr>
            <w:tcW w:w="627" w:type="pct"/>
            <w:tcBorders>
              <w:top w:val="single" w:sz="4" w:space="0" w:color="auto"/>
              <w:left w:val="single" w:sz="4" w:space="0" w:color="auto"/>
              <w:bottom w:val="single" w:sz="4" w:space="0" w:color="auto"/>
            </w:tcBorders>
            <w:shd w:val="clear" w:color="auto" w:fill="E2EFD9" w:themeFill="accent6" w:themeFillTint="33"/>
            <w:noWrap/>
            <w:vAlign w:val="center"/>
          </w:tcPr>
          <w:p w14:paraId="670CA8E9" w14:textId="77777777" w:rsidR="003F5E45" w:rsidRPr="006B42D6" w:rsidRDefault="003F5E45" w:rsidP="00143C67">
            <w:pPr>
              <w:jc w:val="right"/>
              <w:rPr>
                <w:b/>
                <w:bCs/>
                <w:sz w:val="18"/>
                <w:szCs w:val="18"/>
              </w:rPr>
            </w:pPr>
            <w:r w:rsidRPr="006B42D6">
              <w:rPr>
                <w:b/>
                <w:bCs/>
                <w:sz w:val="18"/>
                <w:szCs w:val="18"/>
              </w:rPr>
              <w:t>5,706,329</w:t>
            </w:r>
          </w:p>
        </w:tc>
        <w:tc>
          <w:tcPr>
            <w:tcW w:w="628" w:type="pct"/>
            <w:tcBorders>
              <w:top w:val="single" w:sz="4" w:space="0" w:color="auto"/>
              <w:bottom w:val="single" w:sz="4" w:space="0" w:color="auto"/>
              <w:right w:val="single" w:sz="4" w:space="0" w:color="auto"/>
            </w:tcBorders>
            <w:shd w:val="clear" w:color="auto" w:fill="E2EFD9" w:themeFill="accent6" w:themeFillTint="33"/>
            <w:vAlign w:val="center"/>
          </w:tcPr>
          <w:p w14:paraId="6BB8E3C9" w14:textId="1BA984A4" w:rsidR="003F5E45" w:rsidRPr="006B42D6" w:rsidRDefault="003F5E45" w:rsidP="00143C67">
            <w:pPr>
              <w:jc w:val="right"/>
              <w:rPr>
                <w:b/>
                <w:bCs/>
                <w:sz w:val="18"/>
                <w:szCs w:val="18"/>
              </w:rPr>
            </w:pPr>
            <w:r w:rsidRPr="006B42D6">
              <w:rPr>
                <w:b/>
                <w:bCs/>
                <w:sz w:val="18"/>
                <w:szCs w:val="18"/>
              </w:rPr>
              <w:t>100</w:t>
            </w:r>
            <w:r w:rsidR="00750BB9">
              <w:rPr>
                <w:b/>
                <w:bCs/>
                <w:sz w:val="18"/>
                <w:szCs w:val="18"/>
              </w:rPr>
              <w:t>.0</w:t>
            </w:r>
          </w:p>
        </w:tc>
        <w:tc>
          <w:tcPr>
            <w:tcW w:w="627" w:type="pct"/>
            <w:tcBorders>
              <w:top w:val="single" w:sz="4" w:space="0" w:color="auto"/>
              <w:left w:val="single" w:sz="4" w:space="0" w:color="auto"/>
            </w:tcBorders>
            <w:shd w:val="clear" w:color="auto" w:fill="E2EFD9" w:themeFill="accent6" w:themeFillTint="33"/>
            <w:vAlign w:val="center"/>
          </w:tcPr>
          <w:p w14:paraId="2F077A80" w14:textId="77777777" w:rsidR="003F5E45" w:rsidRPr="006B42D6" w:rsidRDefault="003F5E45" w:rsidP="00143C67">
            <w:pPr>
              <w:jc w:val="right"/>
              <w:rPr>
                <w:b/>
                <w:bCs/>
                <w:sz w:val="18"/>
                <w:szCs w:val="18"/>
              </w:rPr>
            </w:pPr>
            <w:r w:rsidRPr="006B42D6">
              <w:rPr>
                <w:b/>
                <w:bCs/>
                <w:sz w:val="18"/>
                <w:szCs w:val="18"/>
              </w:rPr>
              <w:t>132,193</w:t>
            </w:r>
          </w:p>
        </w:tc>
        <w:tc>
          <w:tcPr>
            <w:tcW w:w="628" w:type="pct"/>
            <w:tcBorders>
              <w:top w:val="single" w:sz="4" w:space="0" w:color="auto"/>
            </w:tcBorders>
            <w:shd w:val="clear" w:color="auto" w:fill="E2EFD9" w:themeFill="accent6" w:themeFillTint="33"/>
            <w:vAlign w:val="center"/>
          </w:tcPr>
          <w:p w14:paraId="4CF34A4E" w14:textId="5AAA9A04" w:rsidR="003F5E45" w:rsidRPr="006B42D6" w:rsidRDefault="003F5E45" w:rsidP="00143C67">
            <w:pPr>
              <w:jc w:val="right"/>
              <w:rPr>
                <w:b/>
                <w:bCs/>
                <w:sz w:val="18"/>
                <w:szCs w:val="18"/>
              </w:rPr>
            </w:pPr>
            <w:r w:rsidRPr="006B42D6">
              <w:rPr>
                <w:b/>
                <w:bCs/>
                <w:sz w:val="18"/>
                <w:szCs w:val="18"/>
              </w:rPr>
              <w:t>100</w:t>
            </w:r>
            <w:r w:rsidR="00750BB9">
              <w:rPr>
                <w:b/>
                <w:bCs/>
                <w:sz w:val="18"/>
                <w:szCs w:val="18"/>
              </w:rPr>
              <w:t>.0</w:t>
            </w:r>
          </w:p>
        </w:tc>
      </w:tr>
    </w:tbl>
    <w:p w14:paraId="55A53194" w14:textId="5A983EEA" w:rsidR="00E257C1" w:rsidRPr="006B42D6" w:rsidRDefault="00E257C1" w:rsidP="00750BB9">
      <w:pPr>
        <w:pStyle w:val="Default"/>
        <w:spacing w:line="360" w:lineRule="auto"/>
        <w:jc w:val="both"/>
        <w:rPr>
          <w:color w:val="auto"/>
        </w:rPr>
      </w:pPr>
    </w:p>
    <w:p w14:paraId="07DC1E41" w14:textId="5832EBA9" w:rsidR="00C328EC" w:rsidRPr="006B42D6" w:rsidRDefault="00C328EC" w:rsidP="005C2EFC">
      <w:pPr>
        <w:pStyle w:val="Default"/>
        <w:spacing w:line="360" w:lineRule="auto"/>
        <w:jc w:val="both"/>
        <w:rPr>
          <w:color w:val="auto"/>
        </w:rPr>
      </w:pPr>
      <w:r w:rsidRPr="006B42D6">
        <w:rPr>
          <w:color w:val="auto"/>
        </w:rPr>
        <w:t xml:space="preserve">In </w:t>
      </w:r>
      <w:r w:rsidR="00EA1552">
        <w:rPr>
          <w:color w:val="auto"/>
        </w:rPr>
        <w:t>Mainland Tanzania</w:t>
      </w:r>
      <w:r w:rsidRPr="006B42D6">
        <w:rPr>
          <w:color w:val="auto"/>
        </w:rPr>
        <w:t>, a total of 3,</w:t>
      </w:r>
      <w:r w:rsidR="00121EE6" w:rsidRPr="006B42D6">
        <w:rPr>
          <w:color w:val="auto"/>
        </w:rPr>
        <w:t>693,827</w:t>
      </w:r>
      <w:r w:rsidRPr="006B42D6">
        <w:rPr>
          <w:color w:val="auto"/>
        </w:rPr>
        <w:t xml:space="preserve"> agricultural households (</w:t>
      </w:r>
      <w:r w:rsidR="00121EE6" w:rsidRPr="006B42D6">
        <w:rPr>
          <w:color w:val="auto"/>
        </w:rPr>
        <w:t xml:space="preserve">48.2 </w:t>
      </w:r>
      <w:r w:rsidRPr="006B42D6">
        <w:rPr>
          <w:color w:val="auto"/>
        </w:rPr>
        <w:t xml:space="preserve">percent) </w:t>
      </w:r>
      <w:r w:rsidR="00121EE6" w:rsidRPr="006B42D6">
        <w:rPr>
          <w:color w:val="auto"/>
        </w:rPr>
        <w:t>reported to consume meat at least once in the last seven days</w:t>
      </w:r>
      <w:r w:rsidRPr="006B42D6">
        <w:rPr>
          <w:color w:val="auto"/>
        </w:rPr>
        <w:t>,</w:t>
      </w:r>
      <w:r w:rsidR="00121EE6" w:rsidRPr="006B42D6">
        <w:rPr>
          <w:color w:val="auto"/>
        </w:rPr>
        <w:t xml:space="preserve"> while 3,963,555 households (51.8 percent) reported not to eat meat at all. In addition, 40,393 households (0.5 percent) reported to consume meat in all days of the past seven days. However, 1,685,542 households (22.0 percent) reported to consume meat once in the last seven days</w:t>
      </w:r>
      <w:r w:rsidR="00431EC3" w:rsidRPr="006B42D6">
        <w:rPr>
          <w:color w:val="auto"/>
        </w:rPr>
        <w:t>.</w:t>
      </w:r>
      <w:r w:rsidRPr="006B42D6">
        <w:rPr>
          <w:color w:val="auto"/>
        </w:rPr>
        <w:t xml:space="preserve"> </w:t>
      </w:r>
    </w:p>
    <w:p w14:paraId="36631BFF" w14:textId="77777777" w:rsidR="00121EE6" w:rsidRPr="006B42D6" w:rsidRDefault="00121EE6" w:rsidP="007A3EC9">
      <w:pPr>
        <w:pStyle w:val="Default"/>
        <w:jc w:val="both"/>
        <w:rPr>
          <w:color w:val="auto"/>
        </w:rPr>
      </w:pPr>
    </w:p>
    <w:p w14:paraId="54D4B799" w14:textId="0097766A" w:rsidR="00C328EC" w:rsidRPr="006B42D6" w:rsidRDefault="00121EE6" w:rsidP="005C2EFC">
      <w:pPr>
        <w:pStyle w:val="Default"/>
        <w:spacing w:line="360" w:lineRule="auto"/>
        <w:jc w:val="both"/>
        <w:rPr>
          <w:color w:val="auto"/>
        </w:rPr>
      </w:pPr>
      <w:r w:rsidRPr="006B42D6">
        <w:rPr>
          <w:color w:val="auto"/>
        </w:rPr>
        <w:t>In Tanzania Zanzibar, a total of</w:t>
      </w:r>
      <w:r w:rsidR="00C328EC" w:rsidRPr="006B42D6">
        <w:rPr>
          <w:color w:val="auto"/>
        </w:rPr>
        <w:t xml:space="preserve"> </w:t>
      </w:r>
      <w:r w:rsidR="00FE79B4" w:rsidRPr="006B42D6">
        <w:rPr>
          <w:color w:val="auto"/>
        </w:rPr>
        <w:t xml:space="preserve">62,363 </w:t>
      </w:r>
      <w:r w:rsidRPr="006B42D6">
        <w:rPr>
          <w:color w:val="auto"/>
        </w:rPr>
        <w:t xml:space="preserve">agricultural </w:t>
      </w:r>
      <w:r w:rsidR="00C328EC" w:rsidRPr="006B42D6">
        <w:rPr>
          <w:color w:val="auto"/>
        </w:rPr>
        <w:t>households</w:t>
      </w:r>
      <w:r w:rsidRPr="006B42D6">
        <w:rPr>
          <w:color w:val="auto"/>
        </w:rPr>
        <w:t xml:space="preserve"> (</w:t>
      </w:r>
      <w:r w:rsidR="00FE79B4" w:rsidRPr="006B42D6">
        <w:rPr>
          <w:color w:val="auto"/>
        </w:rPr>
        <w:t>34.6</w:t>
      </w:r>
      <w:r w:rsidR="00C328EC" w:rsidRPr="006B42D6">
        <w:rPr>
          <w:color w:val="auto"/>
        </w:rPr>
        <w:t xml:space="preserve"> percent) </w:t>
      </w:r>
      <w:r w:rsidRPr="006B42D6">
        <w:rPr>
          <w:color w:val="auto"/>
        </w:rPr>
        <w:t xml:space="preserve">reported to consume meat at least once in the last seven days, while 117,854 households (65.4 percent) reported not to eat meat at all. In addition, </w:t>
      </w:r>
      <w:r w:rsidR="00FE79B4" w:rsidRPr="006B42D6">
        <w:rPr>
          <w:color w:val="auto"/>
        </w:rPr>
        <w:t xml:space="preserve">25,990 </w:t>
      </w:r>
      <w:r w:rsidRPr="006B42D6">
        <w:rPr>
          <w:color w:val="auto"/>
        </w:rPr>
        <w:t>households (</w:t>
      </w:r>
      <w:r w:rsidR="00FE79B4" w:rsidRPr="006B42D6">
        <w:rPr>
          <w:color w:val="auto"/>
        </w:rPr>
        <w:t>14.4</w:t>
      </w:r>
      <w:r w:rsidRPr="006B42D6">
        <w:rPr>
          <w:color w:val="auto"/>
        </w:rPr>
        <w:t xml:space="preserve"> percent) reported to consume meat </w:t>
      </w:r>
      <w:r w:rsidR="00FE79B4" w:rsidRPr="006B42D6">
        <w:rPr>
          <w:color w:val="auto"/>
        </w:rPr>
        <w:t xml:space="preserve">once in the </w:t>
      </w:r>
      <w:r w:rsidRPr="006B42D6">
        <w:rPr>
          <w:color w:val="auto"/>
        </w:rPr>
        <w:t xml:space="preserve">past seven days. However, </w:t>
      </w:r>
      <w:r w:rsidR="00FE79B4" w:rsidRPr="006B42D6">
        <w:rPr>
          <w:color w:val="auto"/>
        </w:rPr>
        <w:t>904</w:t>
      </w:r>
      <w:r w:rsidRPr="006B42D6">
        <w:rPr>
          <w:color w:val="auto"/>
        </w:rPr>
        <w:t xml:space="preserve"> households (</w:t>
      </w:r>
      <w:r w:rsidR="00FE79B4" w:rsidRPr="006B42D6">
        <w:rPr>
          <w:color w:val="auto"/>
        </w:rPr>
        <w:t>0</w:t>
      </w:r>
      <w:r w:rsidRPr="006B42D6">
        <w:rPr>
          <w:color w:val="auto"/>
        </w:rPr>
        <w:t>.</w:t>
      </w:r>
      <w:r w:rsidR="00FE79B4" w:rsidRPr="006B42D6">
        <w:rPr>
          <w:color w:val="auto"/>
        </w:rPr>
        <w:t>5</w:t>
      </w:r>
      <w:r w:rsidRPr="006B42D6">
        <w:rPr>
          <w:color w:val="auto"/>
        </w:rPr>
        <w:t xml:space="preserve"> percent) reported to consume meat in </w:t>
      </w:r>
      <w:r w:rsidR="00FE79B4" w:rsidRPr="006B42D6">
        <w:rPr>
          <w:color w:val="auto"/>
        </w:rPr>
        <w:t xml:space="preserve">all days of the </w:t>
      </w:r>
      <w:r w:rsidRPr="006B42D6">
        <w:rPr>
          <w:color w:val="auto"/>
        </w:rPr>
        <w:t>last seven days</w:t>
      </w:r>
      <w:r w:rsidR="00431EC3" w:rsidRPr="006B42D6">
        <w:rPr>
          <w:color w:val="auto"/>
        </w:rPr>
        <w:t>.</w:t>
      </w:r>
    </w:p>
    <w:p w14:paraId="17D5D376" w14:textId="011E1F4D" w:rsidR="006F2C61" w:rsidRPr="007A288F" w:rsidRDefault="007A288F" w:rsidP="007A288F">
      <w:pPr>
        <w:spacing w:line="240" w:lineRule="auto"/>
        <w:contextualSpacing w:val="0"/>
        <w:jc w:val="left"/>
        <w:rPr>
          <w:rFonts w:eastAsia="Calibri"/>
        </w:rPr>
      </w:pPr>
      <w:r>
        <w:br w:type="page"/>
      </w:r>
    </w:p>
    <w:p w14:paraId="51FC6D07" w14:textId="67F60849" w:rsidR="003F5E45" w:rsidRPr="006B42D6" w:rsidRDefault="00F83A4C" w:rsidP="005C2EFC">
      <w:pPr>
        <w:pStyle w:val="Heading3"/>
      </w:pPr>
      <w:bookmarkStart w:id="893" w:name="_Toc82385812"/>
      <w:r w:rsidRPr="006B42D6">
        <w:lastRenderedPageBreak/>
        <w:t>6</w:t>
      </w:r>
      <w:r w:rsidR="003F5E45" w:rsidRPr="006B42D6">
        <w:t>.1</w:t>
      </w:r>
      <w:r w:rsidR="00AC6872">
        <w:t>1</w:t>
      </w:r>
      <w:r w:rsidR="003F5E45" w:rsidRPr="006B42D6">
        <w:t>.3</w:t>
      </w:r>
      <w:r w:rsidR="003F5E45" w:rsidRPr="006B42D6">
        <w:tab/>
      </w:r>
      <w:r w:rsidR="00F11F40" w:rsidRPr="006B42D6">
        <w:t xml:space="preserve">Fish </w:t>
      </w:r>
      <w:r w:rsidR="003F5E45" w:rsidRPr="006B42D6">
        <w:t>Consum</w:t>
      </w:r>
      <w:r w:rsidR="00F11F40" w:rsidRPr="006B42D6">
        <w:t>ption</w:t>
      </w:r>
      <w:bookmarkEnd w:id="893"/>
      <w:r w:rsidR="003F5E45" w:rsidRPr="006B42D6">
        <w:t xml:space="preserve"> </w:t>
      </w:r>
    </w:p>
    <w:p w14:paraId="16E9E98E" w14:textId="732F56FB" w:rsidR="00FE79B4" w:rsidRPr="006B42D6" w:rsidRDefault="00C328EC" w:rsidP="005C2EFC">
      <w:pPr>
        <w:pStyle w:val="Default"/>
        <w:spacing w:line="360" w:lineRule="auto"/>
        <w:jc w:val="both"/>
        <w:rPr>
          <w:color w:val="auto"/>
        </w:rPr>
      </w:pPr>
      <w:r w:rsidRPr="006B42D6">
        <w:rPr>
          <w:color w:val="auto"/>
        </w:rPr>
        <w:t xml:space="preserve">The Census results show that, </w:t>
      </w:r>
      <w:r w:rsidR="00464DAF" w:rsidRPr="006B42D6">
        <w:rPr>
          <w:color w:val="auto"/>
        </w:rPr>
        <w:t>4,870,106</w:t>
      </w:r>
      <w:r w:rsidRPr="006B42D6">
        <w:rPr>
          <w:color w:val="auto"/>
        </w:rPr>
        <w:t xml:space="preserve"> households </w:t>
      </w:r>
      <w:r w:rsidR="00464DAF" w:rsidRPr="006B42D6">
        <w:rPr>
          <w:color w:val="auto"/>
        </w:rPr>
        <w:t xml:space="preserve">reported to </w:t>
      </w:r>
      <w:r w:rsidRPr="006B42D6">
        <w:rPr>
          <w:color w:val="auto"/>
        </w:rPr>
        <w:t>consume fish in the last seven days during 2019/20 agricultural year in Tanzania. Number of households that never ate fish in the last seven days was 2,967,29</w:t>
      </w:r>
      <w:r w:rsidR="00464DAF" w:rsidRPr="006B42D6">
        <w:rPr>
          <w:color w:val="auto"/>
        </w:rPr>
        <w:t>9</w:t>
      </w:r>
      <w:r w:rsidRPr="006B42D6">
        <w:rPr>
          <w:color w:val="auto"/>
        </w:rPr>
        <w:t xml:space="preserve"> (37.9 percent) while, 317,035 households (4.0 percent) reported to consume fish in all days </w:t>
      </w:r>
      <w:r w:rsidR="00464DAF" w:rsidRPr="006B42D6">
        <w:rPr>
          <w:color w:val="auto"/>
        </w:rPr>
        <w:t>of last seven days</w:t>
      </w:r>
      <w:r w:rsidRPr="006B42D6">
        <w:rPr>
          <w:color w:val="auto"/>
        </w:rPr>
        <w:t xml:space="preserve">. However, 1,289,500 (16.5 percent) households ate fish once in the last seven days (Figure </w:t>
      </w:r>
      <w:r w:rsidR="00F83A4C" w:rsidRPr="006B42D6">
        <w:rPr>
          <w:color w:val="auto"/>
        </w:rPr>
        <w:t>6</w:t>
      </w:r>
      <w:r w:rsidRPr="006B42D6">
        <w:rPr>
          <w:color w:val="auto"/>
        </w:rPr>
        <w:t>.</w:t>
      </w:r>
      <w:r w:rsidR="008A1E55" w:rsidRPr="006B42D6">
        <w:rPr>
          <w:color w:val="auto"/>
        </w:rPr>
        <w:t>2</w:t>
      </w:r>
      <w:r w:rsidRPr="006B42D6">
        <w:rPr>
          <w:color w:val="auto"/>
        </w:rPr>
        <w:t>).</w:t>
      </w:r>
    </w:p>
    <w:p w14:paraId="061B2F46" w14:textId="77777777" w:rsidR="00464DAF" w:rsidRPr="006B42D6" w:rsidRDefault="00464DAF" w:rsidP="0037522F">
      <w:pPr>
        <w:pStyle w:val="Default"/>
        <w:jc w:val="both"/>
        <w:rPr>
          <w:color w:val="auto"/>
        </w:rPr>
      </w:pPr>
    </w:p>
    <w:p w14:paraId="07DBD864" w14:textId="025DE317" w:rsidR="00C328EC" w:rsidRPr="006B42D6" w:rsidRDefault="00C328EC" w:rsidP="005C2EFC">
      <w:pPr>
        <w:pStyle w:val="Default"/>
        <w:spacing w:line="360" w:lineRule="auto"/>
        <w:jc w:val="both"/>
        <w:rPr>
          <w:color w:val="auto"/>
        </w:rPr>
      </w:pPr>
      <w:r w:rsidRPr="006B42D6">
        <w:rPr>
          <w:color w:val="auto"/>
        </w:rPr>
        <w:t xml:space="preserve">In comparison, the number of households that reported to consume fish in three days of the last seven days increased by 1.3 percent from 11.0 percent </w:t>
      </w:r>
      <w:r w:rsidR="00FE79B4" w:rsidRPr="006B42D6">
        <w:rPr>
          <w:color w:val="auto"/>
        </w:rPr>
        <w:t xml:space="preserve">2007/08 </w:t>
      </w:r>
      <w:r w:rsidRPr="006B42D6">
        <w:rPr>
          <w:color w:val="auto"/>
        </w:rPr>
        <w:t>to 12.3 percent in 2019/20</w:t>
      </w:r>
      <w:r w:rsidR="00FE79B4" w:rsidRPr="006B42D6">
        <w:rPr>
          <w:color w:val="auto"/>
        </w:rPr>
        <w:t xml:space="preserve"> agricultural year</w:t>
      </w:r>
      <w:r w:rsidRPr="006B42D6">
        <w:rPr>
          <w:color w:val="auto"/>
        </w:rPr>
        <w:t xml:space="preserve">. Also, percentage of households that reported to consume fish in five days of </w:t>
      </w:r>
      <w:r w:rsidR="00464DAF" w:rsidRPr="006B42D6">
        <w:rPr>
          <w:color w:val="auto"/>
        </w:rPr>
        <w:t>last seven days</w:t>
      </w:r>
      <w:r w:rsidRPr="006B42D6">
        <w:rPr>
          <w:color w:val="auto"/>
        </w:rPr>
        <w:t xml:space="preserve"> has increased by 0.</w:t>
      </w:r>
      <w:r w:rsidR="00431EC3" w:rsidRPr="006B42D6">
        <w:rPr>
          <w:color w:val="auto"/>
        </w:rPr>
        <w:t>5</w:t>
      </w:r>
      <w:r w:rsidRPr="006B42D6">
        <w:rPr>
          <w:color w:val="auto"/>
        </w:rPr>
        <w:t xml:space="preserve"> from 3.9 percent in 2007/8 to 4.4 percent in 2019/20. However, the percentage of households that reported to have consumed fish in all days of the last seven days has decreased by 0.1 percent from 4.1 percent in 2007/8 to 4.0 percent in 2019/20. </w:t>
      </w:r>
    </w:p>
    <w:p w14:paraId="2297C185" w14:textId="77777777" w:rsidR="00431EC3" w:rsidRPr="006B42D6" w:rsidRDefault="00431EC3" w:rsidP="0037522F">
      <w:pPr>
        <w:pStyle w:val="Default"/>
        <w:jc w:val="both"/>
        <w:rPr>
          <w:color w:val="auto"/>
        </w:rPr>
      </w:pPr>
    </w:p>
    <w:p w14:paraId="18474B07" w14:textId="604DAE34" w:rsidR="003F5E45" w:rsidRPr="006B42D6" w:rsidRDefault="003F5E45" w:rsidP="00EA010E">
      <w:pPr>
        <w:pStyle w:val="Caption"/>
      </w:pPr>
      <w:bookmarkStart w:id="894" w:name="_Toc82386465"/>
      <w:r w:rsidRPr="006B42D6">
        <w:t xml:space="preserve">Figure </w:t>
      </w:r>
      <w:r w:rsidR="00F83A4C" w:rsidRPr="006B42D6">
        <w:t>6</w:t>
      </w:r>
      <w:r w:rsidRPr="006B42D6">
        <w:t>.</w:t>
      </w:r>
      <w:r w:rsidR="008A1E55" w:rsidRPr="006B42D6">
        <w:t>2</w:t>
      </w:r>
      <w:r w:rsidR="0024189E">
        <w:t>:</w:t>
      </w:r>
      <w:r w:rsidR="007A288F">
        <w:tab/>
      </w:r>
      <w:r w:rsidRPr="006B42D6">
        <w:t xml:space="preserve">Percentage of Agricultural Households Reported Number of </w:t>
      </w:r>
      <w:r w:rsidR="00F05186" w:rsidRPr="006B42D6">
        <w:t>D</w:t>
      </w:r>
      <w:r w:rsidRPr="006B42D6">
        <w:t xml:space="preserve">ays the </w:t>
      </w:r>
      <w:r w:rsidR="00F05186" w:rsidRPr="006B42D6">
        <w:t>H</w:t>
      </w:r>
      <w:r w:rsidRPr="006B42D6">
        <w:t xml:space="preserve">ousehold Consumed Fish in the Last Seven Days </w:t>
      </w:r>
      <w:r w:rsidR="00F05186" w:rsidRPr="006B42D6">
        <w:t>D</w:t>
      </w:r>
      <w:r w:rsidRPr="006B42D6">
        <w:t xml:space="preserve">uring 2019/20 Agricultural </w:t>
      </w:r>
      <w:r w:rsidR="00431EC3" w:rsidRPr="006B42D6">
        <w:t>Y</w:t>
      </w:r>
      <w:r w:rsidRPr="006B42D6">
        <w:t>ear</w:t>
      </w:r>
      <w:r w:rsidR="00431EC3" w:rsidRPr="006B42D6">
        <w:t>, Tanzania</w:t>
      </w:r>
      <w:bookmarkEnd w:id="894"/>
      <w:r w:rsidR="00431EC3" w:rsidRPr="006B42D6">
        <w:t xml:space="preserve"> </w:t>
      </w:r>
    </w:p>
    <w:p w14:paraId="0216089D" w14:textId="6C92C727" w:rsidR="003F5E45" w:rsidRPr="006B42D6" w:rsidRDefault="00C240EA" w:rsidP="005C2EFC">
      <w:pPr>
        <w:adjustRightInd w:val="0"/>
        <w:rPr>
          <w:b/>
          <w:bCs/>
        </w:rPr>
      </w:pPr>
      <w:r>
        <w:rPr>
          <w:noProof/>
        </w:rPr>
        <w:drawing>
          <wp:inline distT="0" distB="0" distL="0" distR="0" wp14:anchorId="55EF1E46" wp14:editId="234AF50E">
            <wp:extent cx="5727700" cy="3064510"/>
            <wp:effectExtent l="0" t="0" r="12700" b="8890"/>
            <wp:docPr id="130" name="Chart 130">
              <a:extLst xmlns:a="http://schemas.openxmlformats.org/drawingml/2006/main">
                <a:ext uri="{FF2B5EF4-FFF2-40B4-BE49-F238E27FC236}">
                  <a16:creationId xmlns:a16="http://schemas.microsoft.com/office/drawing/2014/main" id="{9DA80796-8B72-1440-977F-5FBFCF3CB3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1"/>
              </a:graphicData>
            </a:graphic>
          </wp:inline>
        </w:drawing>
      </w:r>
    </w:p>
    <w:p w14:paraId="37506ACF" w14:textId="77777777" w:rsidR="003F5E45" w:rsidRPr="006B42D6" w:rsidRDefault="003F5E45" w:rsidP="0037522F">
      <w:pPr>
        <w:pStyle w:val="Default"/>
        <w:jc w:val="both"/>
        <w:rPr>
          <w:color w:val="auto"/>
        </w:rPr>
      </w:pPr>
    </w:p>
    <w:p w14:paraId="4F001EDA" w14:textId="4FA5A543" w:rsidR="00431EC3" w:rsidRPr="006B42D6" w:rsidRDefault="00431EC3" w:rsidP="00431EC3">
      <w:pPr>
        <w:pStyle w:val="Default"/>
        <w:spacing w:line="360" w:lineRule="auto"/>
        <w:jc w:val="both"/>
        <w:rPr>
          <w:color w:val="auto"/>
        </w:rPr>
      </w:pPr>
      <w:r w:rsidRPr="006B42D6">
        <w:rPr>
          <w:color w:val="auto"/>
        </w:rPr>
        <w:t xml:space="preserve">In </w:t>
      </w:r>
      <w:r w:rsidR="00EA1552">
        <w:rPr>
          <w:color w:val="auto"/>
        </w:rPr>
        <w:t>Mainland Tanzania</w:t>
      </w:r>
      <w:r w:rsidRPr="006B42D6">
        <w:rPr>
          <w:color w:val="auto"/>
        </w:rPr>
        <w:t>, a total of 4,710,279 agricultural households (61.5 percent) reported to consume fish at least once in the last seven days, while 2,946,906 households (</w:t>
      </w:r>
      <w:r w:rsidR="003D43AE" w:rsidRPr="006B42D6">
        <w:rPr>
          <w:color w:val="auto"/>
        </w:rPr>
        <w:t>38.5</w:t>
      </w:r>
      <w:r w:rsidRPr="006B42D6">
        <w:rPr>
          <w:color w:val="auto"/>
        </w:rPr>
        <w:t xml:space="preserve"> percent) reported not to eat fish at all. In addition, </w:t>
      </w:r>
      <w:r w:rsidR="003D43AE" w:rsidRPr="006B42D6">
        <w:rPr>
          <w:color w:val="auto"/>
        </w:rPr>
        <w:t>282,237</w:t>
      </w:r>
      <w:r w:rsidRPr="006B42D6">
        <w:rPr>
          <w:color w:val="auto"/>
        </w:rPr>
        <w:t xml:space="preserve"> households (</w:t>
      </w:r>
      <w:r w:rsidR="003D43AE" w:rsidRPr="006B42D6">
        <w:rPr>
          <w:color w:val="auto"/>
        </w:rPr>
        <w:t>3</w:t>
      </w:r>
      <w:r w:rsidRPr="006B42D6">
        <w:rPr>
          <w:color w:val="auto"/>
        </w:rPr>
        <w:t>.</w:t>
      </w:r>
      <w:r w:rsidR="003D43AE" w:rsidRPr="006B42D6">
        <w:rPr>
          <w:color w:val="auto"/>
        </w:rPr>
        <w:t>7</w:t>
      </w:r>
      <w:r w:rsidRPr="006B42D6">
        <w:rPr>
          <w:color w:val="auto"/>
        </w:rPr>
        <w:t xml:space="preserve"> percent) reported to consume meat in all days of the past seven days. However, 1,</w:t>
      </w:r>
      <w:r w:rsidR="003D43AE" w:rsidRPr="006B42D6">
        <w:rPr>
          <w:color w:val="auto"/>
        </w:rPr>
        <w:t>278,940</w:t>
      </w:r>
      <w:r w:rsidRPr="006B42D6">
        <w:rPr>
          <w:color w:val="auto"/>
        </w:rPr>
        <w:t xml:space="preserve"> households (</w:t>
      </w:r>
      <w:r w:rsidR="003D43AE" w:rsidRPr="006B42D6">
        <w:rPr>
          <w:color w:val="auto"/>
        </w:rPr>
        <w:t>16</w:t>
      </w:r>
      <w:r w:rsidRPr="006B42D6">
        <w:rPr>
          <w:color w:val="auto"/>
        </w:rPr>
        <w:t>.</w:t>
      </w:r>
      <w:r w:rsidR="003D43AE" w:rsidRPr="006B42D6">
        <w:rPr>
          <w:color w:val="auto"/>
        </w:rPr>
        <w:t>7</w:t>
      </w:r>
      <w:r w:rsidRPr="006B42D6">
        <w:rPr>
          <w:color w:val="auto"/>
        </w:rPr>
        <w:t xml:space="preserve"> percent) reported to consume fish once in the last seven days. </w:t>
      </w:r>
    </w:p>
    <w:p w14:paraId="02274A87" w14:textId="272E8597" w:rsidR="00C328EC" w:rsidRDefault="00431EC3" w:rsidP="005C2EFC">
      <w:pPr>
        <w:pStyle w:val="Default"/>
        <w:spacing w:line="360" w:lineRule="auto"/>
        <w:jc w:val="both"/>
        <w:rPr>
          <w:color w:val="auto"/>
        </w:rPr>
      </w:pPr>
      <w:r w:rsidRPr="006B42D6">
        <w:rPr>
          <w:color w:val="auto"/>
        </w:rPr>
        <w:lastRenderedPageBreak/>
        <w:t xml:space="preserve">In Tanzania Zanzibar, a total of </w:t>
      </w:r>
      <w:r w:rsidR="003D43AE" w:rsidRPr="006B42D6">
        <w:rPr>
          <w:color w:val="auto"/>
        </w:rPr>
        <w:t>159,827</w:t>
      </w:r>
      <w:r w:rsidRPr="006B42D6">
        <w:rPr>
          <w:color w:val="auto"/>
        </w:rPr>
        <w:t xml:space="preserve"> agricultural households (</w:t>
      </w:r>
      <w:r w:rsidR="003D43AE" w:rsidRPr="006B42D6">
        <w:rPr>
          <w:color w:val="auto"/>
        </w:rPr>
        <w:t>88.7</w:t>
      </w:r>
      <w:r w:rsidRPr="006B42D6">
        <w:rPr>
          <w:color w:val="auto"/>
        </w:rPr>
        <w:t xml:space="preserve"> percent) reported to consume fish at least once in the last seven days, while </w:t>
      </w:r>
      <w:r w:rsidR="003D43AE" w:rsidRPr="006B42D6">
        <w:rPr>
          <w:color w:val="auto"/>
        </w:rPr>
        <w:t>20,391</w:t>
      </w:r>
      <w:r w:rsidRPr="006B42D6">
        <w:rPr>
          <w:color w:val="auto"/>
        </w:rPr>
        <w:t xml:space="preserve"> households (</w:t>
      </w:r>
      <w:r w:rsidR="003D43AE" w:rsidRPr="006B42D6">
        <w:rPr>
          <w:color w:val="auto"/>
        </w:rPr>
        <w:t>11.3</w:t>
      </w:r>
      <w:r w:rsidRPr="006B42D6">
        <w:rPr>
          <w:color w:val="auto"/>
        </w:rPr>
        <w:t xml:space="preserve"> percent) reported not to eat fish at all. In addition, </w:t>
      </w:r>
      <w:r w:rsidR="00B05DE8" w:rsidRPr="006B42D6">
        <w:rPr>
          <w:color w:val="auto"/>
        </w:rPr>
        <w:t>10</w:t>
      </w:r>
      <w:r w:rsidRPr="006B42D6">
        <w:rPr>
          <w:color w:val="auto"/>
        </w:rPr>
        <w:t>,</w:t>
      </w:r>
      <w:r w:rsidR="00B05DE8" w:rsidRPr="006B42D6">
        <w:rPr>
          <w:color w:val="auto"/>
        </w:rPr>
        <w:t>560</w:t>
      </w:r>
      <w:r w:rsidRPr="006B42D6">
        <w:rPr>
          <w:color w:val="auto"/>
        </w:rPr>
        <w:t xml:space="preserve"> households (</w:t>
      </w:r>
      <w:r w:rsidR="00B05DE8" w:rsidRPr="006B42D6">
        <w:rPr>
          <w:color w:val="auto"/>
        </w:rPr>
        <w:t>5.9</w:t>
      </w:r>
      <w:r w:rsidRPr="006B42D6">
        <w:rPr>
          <w:color w:val="auto"/>
        </w:rPr>
        <w:t xml:space="preserve"> percent) reported to consume fish once in the past seven days. However, </w:t>
      </w:r>
      <w:r w:rsidR="00B05DE8" w:rsidRPr="006B42D6">
        <w:rPr>
          <w:color w:val="auto"/>
        </w:rPr>
        <w:t>34,798</w:t>
      </w:r>
      <w:r w:rsidRPr="006B42D6">
        <w:rPr>
          <w:color w:val="auto"/>
        </w:rPr>
        <w:t xml:space="preserve"> households (</w:t>
      </w:r>
      <w:r w:rsidR="00B05DE8" w:rsidRPr="006B42D6">
        <w:rPr>
          <w:color w:val="auto"/>
        </w:rPr>
        <w:t>19.3</w:t>
      </w:r>
      <w:r w:rsidRPr="006B42D6">
        <w:rPr>
          <w:color w:val="auto"/>
        </w:rPr>
        <w:t xml:space="preserve"> percent) reported to consume meat in all days of the last seven days.</w:t>
      </w:r>
    </w:p>
    <w:p w14:paraId="3EC7B943" w14:textId="77777777" w:rsidR="007A288F" w:rsidRPr="006B42D6" w:rsidRDefault="007A288F" w:rsidP="0024189E">
      <w:pPr>
        <w:pStyle w:val="Default"/>
        <w:jc w:val="both"/>
        <w:rPr>
          <w:color w:val="auto"/>
        </w:rPr>
      </w:pPr>
    </w:p>
    <w:p w14:paraId="1AA11B08" w14:textId="3AE875E4" w:rsidR="003F5E45" w:rsidRPr="006B42D6" w:rsidRDefault="00F83A4C" w:rsidP="005C2EFC">
      <w:pPr>
        <w:pStyle w:val="Heading3"/>
      </w:pPr>
      <w:bookmarkStart w:id="895" w:name="_Toc82385813"/>
      <w:r w:rsidRPr="006B42D6">
        <w:t>6</w:t>
      </w:r>
      <w:r w:rsidR="003F5E45" w:rsidRPr="006B42D6">
        <w:t>.1</w:t>
      </w:r>
      <w:r w:rsidR="00AC6872">
        <w:t>1</w:t>
      </w:r>
      <w:r w:rsidR="003F5E45" w:rsidRPr="006B42D6">
        <w:t>.4</w:t>
      </w:r>
      <w:r w:rsidR="0000655E" w:rsidRPr="006B42D6">
        <w:tab/>
      </w:r>
      <w:r w:rsidR="003F5E45" w:rsidRPr="006B42D6">
        <w:t>Status of Food Satisfaction</w:t>
      </w:r>
      <w:bookmarkEnd w:id="895"/>
      <w:r w:rsidR="003F5E45" w:rsidRPr="006B42D6">
        <w:t xml:space="preserve"> </w:t>
      </w:r>
    </w:p>
    <w:p w14:paraId="46112721" w14:textId="34BD061F" w:rsidR="00C328EC" w:rsidRPr="006B42D6" w:rsidRDefault="00C328EC" w:rsidP="005C2EFC">
      <w:r w:rsidRPr="006B42D6">
        <w:t xml:space="preserve">The </w:t>
      </w:r>
      <w:r w:rsidR="00F11F40" w:rsidRPr="006B42D6">
        <w:t>C</w:t>
      </w:r>
      <w:r w:rsidRPr="006B42D6">
        <w:t xml:space="preserve">ensus results show that, in the last twelve months prior to the execution period of the 2019/20 NSCA, a total of 2,989,185 agricultural households (38.1 percent) in Tanzania </w:t>
      </w:r>
      <w:r w:rsidR="00F11F40" w:rsidRPr="006B42D6">
        <w:t>had never</w:t>
      </w:r>
      <w:r w:rsidRPr="006B42D6">
        <w:t xml:space="preserve"> experience</w:t>
      </w:r>
      <w:r w:rsidR="00F11F40" w:rsidRPr="006B42D6">
        <w:t>d</w:t>
      </w:r>
      <w:r w:rsidRPr="006B42D6">
        <w:t xml:space="preserve"> food shortage problems. Moreover, 2,541,474 households (32.4 percent), </w:t>
      </w:r>
      <w:r w:rsidR="00F11F40" w:rsidRPr="006B42D6">
        <w:t xml:space="preserve">were </w:t>
      </w:r>
      <w:r w:rsidRPr="006B42D6">
        <w:t>rarely experienc</w:t>
      </w:r>
      <w:r w:rsidR="00F11F40" w:rsidRPr="006B42D6">
        <w:t>ing</w:t>
      </w:r>
      <w:r w:rsidRPr="006B42D6">
        <w:t xml:space="preserve"> problems in satisfying the food needs; 785,165 households (10.0 percent) sometimes experienced problems in satisfying their food needs; </w:t>
      </w:r>
      <w:r w:rsidR="00F11F40" w:rsidRPr="006B42D6">
        <w:t>1,492,258 households (</w:t>
      </w:r>
      <w:r w:rsidRPr="006B42D6">
        <w:t>19.0 percent</w:t>
      </w:r>
      <w:r w:rsidR="00F11F40" w:rsidRPr="006B42D6">
        <w:t xml:space="preserve">) </w:t>
      </w:r>
      <w:r w:rsidRPr="006B42D6">
        <w:t xml:space="preserve">often experienced problems; and </w:t>
      </w:r>
      <w:r w:rsidR="00F11F40" w:rsidRPr="006B42D6">
        <w:t xml:space="preserve">29,326 </w:t>
      </w:r>
      <w:r w:rsidRPr="006B42D6">
        <w:t xml:space="preserve">households </w:t>
      </w:r>
      <w:r w:rsidR="00F11F40" w:rsidRPr="006B42D6">
        <w:t xml:space="preserve">(0.4 percent) </w:t>
      </w:r>
      <w:r w:rsidRPr="006B42D6">
        <w:t xml:space="preserve">always had food problems (Figure </w:t>
      </w:r>
      <w:r w:rsidR="00F83A4C" w:rsidRPr="006B42D6">
        <w:t>6</w:t>
      </w:r>
      <w:r w:rsidRPr="006B42D6">
        <w:t>.</w:t>
      </w:r>
      <w:r w:rsidR="008A1E55" w:rsidRPr="006B42D6">
        <w:t>3</w:t>
      </w:r>
      <w:r w:rsidRPr="006B42D6">
        <w:t xml:space="preserve">). </w:t>
      </w:r>
    </w:p>
    <w:p w14:paraId="4CB546E7" w14:textId="77777777" w:rsidR="00C328EC" w:rsidRPr="006B42D6" w:rsidRDefault="00C328EC" w:rsidP="0024189E">
      <w:pPr>
        <w:spacing w:line="240" w:lineRule="auto"/>
      </w:pPr>
    </w:p>
    <w:p w14:paraId="631B8AD1" w14:textId="757FF9C2" w:rsidR="00F05186" w:rsidRPr="006B42D6" w:rsidRDefault="00C328EC" w:rsidP="005C2EFC">
      <w:pPr>
        <w:tabs>
          <w:tab w:val="left" w:pos="3468"/>
        </w:tabs>
      </w:pPr>
      <w:r w:rsidRPr="006B42D6">
        <w:t xml:space="preserve">In comparison, households that always had food problems has decreased by 5.9 percent from 6.3 percent </w:t>
      </w:r>
      <w:r w:rsidR="00DC33F2" w:rsidRPr="006B42D6">
        <w:t xml:space="preserve">in 2007/08 </w:t>
      </w:r>
      <w:r w:rsidRPr="006B42D6">
        <w:t>to 0.4 percent in 2019/20</w:t>
      </w:r>
      <w:r w:rsidR="00DC33F2" w:rsidRPr="006B42D6">
        <w:t xml:space="preserve"> agricultural years</w:t>
      </w:r>
      <w:r w:rsidRPr="006B42D6">
        <w:t>. Households never experienced food insufficiency problems have decreased by 2.4 percent f</w:t>
      </w:r>
      <w:r w:rsidR="00DC33F2" w:rsidRPr="006B42D6">
        <w:t>ro</w:t>
      </w:r>
      <w:r w:rsidRPr="006B42D6">
        <w:t xml:space="preserve">m 40.5 percent </w:t>
      </w:r>
      <w:r w:rsidR="00DC33F2" w:rsidRPr="006B42D6">
        <w:t xml:space="preserve">in 2007/08 </w:t>
      </w:r>
      <w:r w:rsidRPr="006B42D6">
        <w:t>to 38.1 percent in 2019/20. Also, number of households rarely experienced problems in satisfying food requirements in the last twelve months has decreased from 33.6 percent to 32.4 percent in 2019/20</w:t>
      </w:r>
      <w:r w:rsidR="00DC33F2" w:rsidRPr="006B42D6">
        <w:t xml:space="preserve"> agricultural years</w:t>
      </w:r>
      <w:r w:rsidRPr="006B42D6">
        <w:t xml:space="preserve"> (Table </w:t>
      </w:r>
      <w:r w:rsidR="00F83A4C" w:rsidRPr="006B42D6">
        <w:t>6</w:t>
      </w:r>
      <w:r w:rsidR="00B24B89" w:rsidRPr="006B42D6">
        <w:t>.</w:t>
      </w:r>
      <w:r w:rsidR="008A1E55" w:rsidRPr="006B42D6">
        <w:t>2</w:t>
      </w:r>
      <w:r w:rsidR="00B24B89" w:rsidRPr="006B42D6">
        <w:t>3</w:t>
      </w:r>
      <w:r w:rsidRPr="006B42D6">
        <w:t>).</w:t>
      </w:r>
    </w:p>
    <w:p w14:paraId="50113547" w14:textId="5697D784" w:rsidR="00C328EC" w:rsidRPr="006B42D6" w:rsidRDefault="00C328EC" w:rsidP="0024189E">
      <w:pPr>
        <w:tabs>
          <w:tab w:val="left" w:pos="3468"/>
        </w:tabs>
        <w:spacing w:line="240" w:lineRule="auto"/>
      </w:pPr>
    </w:p>
    <w:p w14:paraId="2674CEB8" w14:textId="35C2CE20" w:rsidR="00F05186" w:rsidRPr="006B42D6" w:rsidRDefault="00DC33F2" w:rsidP="005C2EFC">
      <w:pPr>
        <w:tabs>
          <w:tab w:val="left" w:pos="3468"/>
        </w:tabs>
      </w:pPr>
      <w:r w:rsidRPr="006B42D6">
        <w:t xml:space="preserve">Furthermore, the percentage of people experiencing food problems requirement sometimes has slightly increased from 9.9 percent in 2007/8 to </w:t>
      </w:r>
      <w:r w:rsidR="00C328EC" w:rsidRPr="006B42D6">
        <w:t>10.0 percent of households in 2019/20</w:t>
      </w:r>
      <w:r w:rsidR="009B6698" w:rsidRPr="006B42D6">
        <w:t>, and</w:t>
      </w:r>
      <w:r w:rsidR="00C328EC" w:rsidRPr="006B42D6">
        <w:t xml:space="preserve"> </w:t>
      </w:r>
      <w:r w:rsidR="009B6698" w:rsidRPr="006B42D6">
        <w:t xml:space="preserve">those </w:t>
      </w:r>
      <w:r w:rsidR="008A1E55" w:rsidRPr="006B42D6">
        <w:t>often-experienced</w:t>
      </w:r>
      <w:r w:rsidR="00C328EC" w:rsidRPr="006B42D6">
        <w:t xml:space="preserve"> food problems</w:t>
      </w:r>
      <w:r w:rsidRPr="006B42D6">
        <w:t xml:space="preserve"> have</w:t>
      </w:r>
      <w:r w:rsidR="00C328EC" w:rsidRPr="006B42D6">
        <w:t xml:space="preserve"> increased by 9.3 percent from 9.7 percent in 2007/8 to 19</w:t>
      </w:r>
      <w:r w:rsidR="009B6698" w:rsidRPr="006B42D6">
        <w:t>.0</w:t>
      </w:r>
      <w:r w:rsidR="00C328EC" w:rsidRPr="006B42D6">
        <w:t xml:space="preserve"> percent in 2019/20.</w:t>
      </w:r>
    </w:p>
    <w:p w14:paraId="1562AB03" w14:textId="738111C3" w:rsidR="00C41AC6" w:rsidRDefault="00C41AC6">
      <w:pPr>
        <w:spacing w:line="240" w:lineRule="auto"/>
        <w:contextualSpacing w:val="0"/>
        <w:jc w:val="left"/>
      </w:pPr>
      <w:r>
        <w:br w:type="page"/>
      </w:r>
    </w:p>
    <w:p w14:paraId="4D5A5B34" w14:textId="71E2A330" w:rsidR="003F5E45" w:rsidRPr="006B42D6" w:rsidRDefault="003F5E45" w:rsidP="00C41AC6">
      <w:pPr>
        <w:pStyle w:val="Caption"/>
        <w:ind w:left="1140" w:right="-397" w:hanging="1140"/>
      </w:pPr>
      <w:bookmarkStart w:id="896" w:name="_Toc82386466"/>
      <w:r w:rsidRPr="006B42D6">
        <w:lastRenderedPageBreak/>
        <w:t xml:space="preserve">Figure </w:t>
      </w:r>
      <w:r w:rsidR="00F83A4C" w:rsidRPr="006B42D6">
        <w:t>6</w:t>
      </w:r>
      <w:r w:rsidRPr="006B42D6">
        <w:t>.</w:t>
      </w:r>
      <w:r w:rsidR="008A1E55" w:rsidRPr="006B42D6">
        <w:t>3</w:t>
      </w:r>
      <w:r w:rsidR="007A288F">
        <w:t>:</w:t>
      </w:r>
      <w:r w:rsidR="007A288F">
        <w:tab/>
      </w:r>
      <w:r w:rsidRPr="006B42D6">
        <w:t xml:space="preserve">Percentage of Agricultural Households Reported the </w:t>
      </w:r>
      <w:r w:rsidR="009E54C7" w:rsidRPr="006B42D6">
        <w:t>S</w:t>
      </w:r>
      <w:r w:rsidRPr="006B42D6">
        <w:t xml:space="preserve">tatus of </w:t>
      </w:r>
      <w:r w:rsidR="009E54C7" w:rsidRPr="006B42D6">
        <w:t>F</w:t>
      </w:r>
      <w:r w:rsidRPr="006B42D6">
        <w:t xml:space="preserve">ood </w:t>
      </w:r>
      <w:r w:rsidR="009E54C7" w:rsidRPr="006B42D6">
        <w:t>S</w:t>
      </w:r>
      <w:r w:rsidRPr="006B42D6">
        <w:t xml:space="preserve">atisfaction in the </w:t>
      </w:r>
      <w:r w:rsidR="009E54C7" w:rsidRPr="006B42D6">
        <w:t>L</w:t>
      </w:r>
      <w:r w:rsidRPr="006B42D6">
        <w:t xml:space="preserve">ast </w:t>
      </w:r>
      <w:r w:rsidR="009E54C7" w:rsidRPr="006B42D6">
        <w:t>T</w:t>
      </w:r>
      <w:r w:rsidRPr="006B42D6">
        <w:t xml:space="preserve">welve </w:t>
      </w:r>
      <w:r w:rsidR="009E54C7" w:rsidRPr="006B42D6">
        <w:t>M</w:t>
      </w:r>
      <w:r w:rsidRPr="006B42D6">
        <w:t xml:space="preserve">onths During 2019/20 Agricultural </w:t>
      </w:r>
      <w:r w:rsidR="009E54C7" w:rsidRPr="006B42D6">
        <w:t>Y</w:t>
      </w:r>
      <w:r w:rsidRPr="006B42D6">
        <w:t>ear</w:t>
      </w:r>
      <w:r w:rsidR="009E54C7" w:rsidRPr="006B42D6">
        <w:t>, Tanzania</w:t>
      </w:r>
      <w:bookmarkEnd w:id="896"/>
    </w:p>
    <w:p w14:paraId="1E69AA11" w14:textId="496F882C" w:rsidR="003F5E45" w:rsidRPr="006B42D6" w:rsidRDefault="008C6860" w:rsidP="005C2EFC">
      <w:pPr>
        <w:adjustRightInd w:val="0"/>
        <w:rPr>
          <w:b/>
          <w:bCs/>
        </w:rPr>
      </w:pPr>
      <w:r w:rsidRPr="00BA5046">
        <w:rPr>
          <w:noProof/>
          <w:sz w:val="18"/>
          <w:szCs w:val="18"/>
        </w:rPr>
        <w:drawing>
          <wp:inline distT="0" distB="0" distL="0" distR="0" wp14:anchorId="56C7EEBA" wp14:editId="43BF0AEB">
            <wp:extent cx="6116320" cy="2648102"/>
            <wp:effectExtent l="0" t="0" r="17780" b="6350"/>
            <wp:docPr id="18" name="Chart 18">
              <a:extLst xmlns:a="http://schemas.openxmlformats.org/drawingml/2006/main">
                <a:ext uri="{FF2B5EF4-FFF2-40B4-BE49-F238E27FC236}">
                  <a16:creationId xmlns:a16="http://schemas.microsoft.com/office/drawing/2014/main" id="{854C3D49-22DB-4787-8E32-09069DED29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2"/>
              </a:graphicData>
            </a:graphic>
          </wp:inline>
        </w:drawing>
      </w:r>
    </w:p>
    <w:p w14:paraId="4FA4D040" w14:textId="77777777" w:rsidR="00C41AC6" w:rsidRDefault="00C41AC6" w:rsidP="005C2EFC">
      <w:pPr>
        <w:rPr>
          <w:b/>
          <w:bCs/>
        </w:rPr>
      </w:pPr>
    </w:p>
    <w:p w14:paraId="313930F3" w14:textId="3E474813" w:rsidR="00FB08DC" w:rsidRPr="006B42D6" w:rsidRDefault="00C328EC" w:rsidP="005C2EFC">
      <w:r w:rsidRPr="006B42D6">
        <w:t xml:space="preserve">In </w:t>
      </w:r>
      <w:r w:rsidR="00EA1552">
        <w:t>Mainland Tanzania</w:t>
      </w:r>
      <w:r w:rsidRPr="006B42D6">
        <w:t xml:space="preserve">, </w:t>
      </w:r>
      <w:r w:rsidR="009B6698" w:rsidRPr="006B42D6">
        <w:t xml:space="preserve">a total of 2,930,023 households (38.3 percent) reported </w:t>
      </w:r>
      <w:r w:rsidRPr="006B42D6">
        <w:t>never experienced food insufficiency</w:t>
      </w:r>
      <w:r w:rsidR="00FB08DC" w:rsidRPr="006B42D6">
        <w:t xml:space="preserve">, followed by those reported to seldomly experienced food insufficiency (2,864,069 households; 32.2 percent), </w:t>
      </w:r>
      <w:r w:rsidR="009B6698" w:rsidRPr="006B42D6">
        <w:t>while</w:t>
      </w:r>
      <w:r w:rsidR="00FB08DC" w:rsidRPr="006B42D6">
        <w:t xml:space="preserve"> 28,953 households (0.4 percent) reported to always experienced food insufficiency</w:t>
      </w:r>
      <w:r w:rsidRPr="006B42D6">
        <w:t>.</w:t>
      </w:r>
    </w:p>
    <w:p w14:paraId="595ACDD7" w14:textId="77777777" w:rsidR="009B6698" w:rsidRPr="006B42D6" w:rsidRDefault="009B6698" w:rsidP="0024189E">
      <w:pPr>
        <w:pStyle w:val="Default"/>
        <w:jc w:val="both"/>
        <w:rPr>
          <w:color w:val="auto"/>
        </w:rPr>
      </w:pPr>
    </w:p>
    <w:p w14:paraId="177BD8D9" w14:textId="02FF7D34" w:rsidR="00FB08DC" w:rsidRDefault="00FB08DC" w:rsidP="00FB08DC">
      <w:r w:rsidRPr="006B42D6">
        <w:t>In Tanzania Zanzibar, a total of 73,405 households (40.7 percent) reported seldomly experienced food insufficiency, followed by those reported never to experienced food insufficiency (59,162 households; 32.8 percent), while 373 households (0.2 percent) reported to always experienced food insufficiency.</w:t>
      </w:r>
    </w:p>
    <w:p w14:paraId="1E72F169" w14:textId="77777777" w:rsidR="00AC6872" w:rsidRPr="006B42D6" w:rsidRDefault="00AC6872" w:rsidP="0024189E">
      <w:pPr>
        <w:spacing w:line="240" w:lineRule="auto"/>
      </w:pPr>
    </w:p>
    <w:p w14:paraId="53261B79" w14:textId="1F20F9AD" w:rsidR="003F5E45" w:rsidRPr="006B42D6" w:rsidRDefault="003F5E45" w:rsidP="007200F6">
      <w:pPr>
        <w:pStyle w:val="Heading7"/>
      </w:pPr>
      <w:bookmarkStart w:id="897" w:name="_Toc82386258"/>
      <w:r w:rsidRPr="006B42D6">
        <w:t xml:space="preserve">Table </w:t>
      </w:r>
      <w:r w:rsidR="00F83A4C" w:rsidRPr="006B42D6">
        <w:t>6</w:t>
      </w:r>
      <w:r w:rsidR="00B24B89" w:rsidRPr="006B42D6">
        <w:t>.</w:t>
      </w:r>
      <w:r w:rsidR="008A1E55" w:rsidRPr="006B42D6">
        <w:t>2</w:t>
      </w:r>
      <w:r w:rsidR="00B24B89" w:rsidRPr="006B42D6">
        <w:t>3</w:t>
      </w:r>
      <w:r w:rsidR="0024189E">
        <w:t>:</w:t>
      </w:r>
      <w:r w:rsidR="00AC6872">
        <w:tab/>
      </w:r>
      <w:r w:rsidRPr="006B42D6">
        <w:t xml:space="preserve">Number and Percentage of </w:t>
      </w:r>
      <w:r w:rsidR="00F05186" w:rsidRPr="006B42D6">
        <w:t>H</w:t>
      </w:r>
      <w:r w:rsidRPr="006B42D6">
        <w:t xml:space="preserve">ouseholds </w:t>
      </w:r>
      <w:r w:rsidR="00010A9A" w:rsidRPr="006B42D6">
        <w:t xml:space="preserve">Reported </w:t>
      </w:r>
      <w:r w:rsidR="00F05186" w:rsidRPr="006B42D6">
        <w:t>S</w:t>
      </w:r>
      <w:r w:rsidRPr="006B42D6">
        <w:t xml:space="preserve">tatus of </w:t>
      </w:r>
      <w:r w:rsidR="00F05186" w:rsidRPr="006B42D6">
        <w:t>F</w:t>
      </w:r>
      <w:r w:rsidRPr="006B42D6">
        <w:t xml:space="preserve">ood </w:t>
      </w:r>
      <w:r w:rsidR="00F05186" w:rsidRPr="006B42D6">
        <w:t>S</w:t>
      </w:r>
      <w:r w:rsidRPr="006B42D6">
        <w:t xml:space="preserve">atisfaction in the </w:t>
      </w:r>
      <w:r w:rsidR="00F05186" w:rsidRPr="006B42D6">
        <w:t>L</w:t>
      </w:r>
      <w:r w:rsidRPr="006B42D6">
        <w:t xml:space="preserve">ast </w:t>
      </w:r>
      <w:r w:rsidR="00F05186" w:rsidRPr="006B42D6">
        <w:t>T</w:t>
      </w:r>
      <w:r w:rsidRPr="006B42D6">
        <w:t xml:space="preserve">welve </w:t>
      </w:r>
      <w:r w:rsidR="00F05186" w:rsidRPr="006B42D6">
        <w:t>M</w:t>
      </w:r>
      <w:r w:rsidRPr="006B42D6">
        <w:t xml:space="preserve">onths </w:t>
      </w:r>
      <w:r w:rsidR="00F05186" w:rsidRPr="006B42D6">
        <w:t>D</w:t>
      </w:r>
      <w:r w:rsidRPr="006B42D6">
        <w:t>uring</w:t>
      </w:r>
      <w:r w:rsidR="00010A9A" w:rsidRPr="006B42D6">
        <w:t xml:space="preserve"> 2007/08 and </w:t>
      </w:r>
      <w:r w:rsidRPr="006B42D6">
        <w:t>2019/20</w:t>
      </w:r>
      <w:r w:rsidR="00010A9A" w:rsidRPr="006B42D6">
        <w:t xml:space="preserve"> Agricultural Year, Tanzania</w:t>
      </w:r>
      <w:bookmarkEnd w:id="897"/>
    </w:p>
    <w:tbl>
      <w:tblPr>
        <w:tblW w:w="9290" w:type="dxa"/>
        <w:tblInd w:w="-5" w:type="dxa"/>
        <w:tblLook w:val="04A0" w:firstRow="1" w:lastRow="0" w:firstColumn="1" w:lastColumn="0" w:noHBand="0" w:noVBand="1"/>
      </w:tblPr>
      <w:tblGrid>
        <w:gridCol w:w="867"/>
        <w:gridCol w:w="1176"/>
        <w:gridCol w:w="1567"/>
        <w:gridCol w:w="1147"/>
        <w:gridCol w:w="1133"/>
        <w:gridCol w:w="1131"/>
        <w:gridCol w:w="1138"/>
        <w:gridCol w:w="1131"/>
      </w:tblGrid>
      <w:tr w:rsidR="006B42D6" w:rsidRPr="00143C67" w14:paraId="37E117B6" w14:textId="77777777" w:rsidTr="00257DF7">
        <w:trPr>
          <w:trHeight w:val="58"/>
        </w:trPr>
        <w:tc>
          <w:tcPr>
            <w:tcW w:w="867" w:type="dxa"/>
            <w:vMerge w:val="restart"/>
            <w:tcBorders>
              <w:top w:val="single" w:sz="4" w:space="0" w:color="auto"/>
              <w:right w:val="single" w:sz="4" w:space="0" w:color="auto"/>
            </w:tcBorders>
            <w:shd w:val="clear" w:color="auto" w:fill="E2EFD9" w:themeFill="accent6" w:themeFillTint="33"/>
            <w:noWrap/>
            <w:vAlign w:val="center"/>
            <w:hideMark/>
          </w:tcPr>
          <w:p w14:paraId="77F8E4DE" w14:textId="77777777" w:rsidR="003F5E45" w:rsidRPr="00143C67" w:rsidRDefault="003F5E45" w:rsidP="005C2EFC">
            <w:pPr>
              <w:rPr>
                <w:bCs/>
                <w:sz w:val="16"/>
                <w:szCs w:val="16"/>
              </w:rPr>
            </w:pPr>
            <w:r w:rsidRPr="00143C67">
              <w:rPr>
                <w:bCs/>
                <w:sz w:val="16"/>
                <w:szCs w:val="16"/>
              </w:rPr>
              <w:t>Year</w:t>
            </w:r>
          </w:p>
        </w:tc>
        <w:tc>
          <w:tcPr>
            <w:tcW w:w="1176" w:type="dxa"/>
            <w:vMerge w:val="restart"/>
            <w:tcBorders>
              <w:top w:val="single" w:sz="4" w:space="0" w:color="auto"/>
              <w:left w:val="single" w:sz="4" w:space="0" w:color="auto"/>
              <w:right w:val="single" w:sz="4" w:space="0" w:color="auto"/>
            </w:tcBorders>
            <w:shd w:val="clear" w:color="auto" w:fill="E2EFD9" w:themeFill="accent6" w:themeFillTint="33"/>
            <w:vAlign w:val="center"/>
          </w:tcPr>
          <w:p w14:paraId="227118C7" w14:textId="77777777" w:rsidR="003F5E45" w:rsidRPr="00143C67" w:rsidRDefault="003F5E45" w:rsidP="005C2EFC">
            <w:pPr>
              <w:rPr>
                <w:sz w:val="16"/>
                <w:szCs w:val="16"/>
              </w:rPr>
            </w:pPr>
            <w:r w:rsidRPr="00143C67">
              <w:rPr>
                <w:sz w:val="16"/>
                <w:szCs w:val="16"/>
              </w:rPr>
              <w:t>Satisfaction</w:t>
            </w:r>
          </w:p>
        </w:tc>
        <w:tc>
          <w:tcPr>
            <w:tcW w:w="2714" w:type="dxa"/>
            <w:gridSpan w:val="2"/>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67D05525" w14:textId="77777777" w:rsidR="003F5E45" w:rsidRPr="00143C67" w:rsidRDefault="003F5E45" w:rsidP="00B24B89">
            <w:pPr>
              <w:jc w:val="center"/>
              <w:rPr>
                <w:sz w:val="16"/>
                <w:szCs w:val="16"/>
              </w:rPr>
            </w:pPr>
            <w:r w:rsidRPr="00143C67">
              <w:rPr>
                <w:sz w:val="16"/>
                <w:szCs w:val="16"/>
              </w:rPr>
              <w:t>Tanzania</w:t>
            </w:r>
          </w:p>
        </w:tc>
        <w:tc>
          <w:tcPr>
            <w:tcW w:w="2264" w:type="dxa"/>
            <w:gridSpan w:val="2"/>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E5F57E4" w14:textId="29C96410" w:rsidR="003F5E45" w:rsidRPr="00143C67" w:rsidRDefault="00EA1552" w:rsidP="00B24B89">
            <w:pPr>
              <w:jc w:val="center"/>
              <w:rPr>
                <w:sz w:val="16"/>
                <w:szCs w:val="16"/>
              </w:rPr>
            </w:pPr>
            <w:r w:rsidRPr="00143C67">
              <w:rPr>
                <w:sz w:val="16"/>
                <w:szCs w:val="16"/>
              </w:rPr>
              <w:t>Mainland Tanzania</w:t>
            </w:r>
          </w:p>
        </w:tc>
        <w:tc>
          <w:tcPr>
            <w:tcW w:w="2269" w:type="dxa"/>
            <w:gridSpan w:val="2"/>
            <w:tcBorders>
              <w:top w:val="single" w:sz="4" w:space="0" w:color="auto"/>
              <w:left w:val="single" w:sz="4" w:space="0" w:color="auto"/>
              <w:bottom w:val="single" w:sz="4" w:space="0" w:color="auto"/>
            </w:tcBorders>
            <w:shd w:val="clear" w:color="auto" w:fill="E2EFD9" w:themeFill="accent6" w:themeFillTint="33"/>
            <w:vAlign w:val="center"/>
          </w:tcPr>
          <w:p w14:paraId="6ABB8B6F" w14:textId="591D9D8D" w:rsidR="003F5E45" w:rsidRPr="00143C67" w:rsidRDefault="00F05186" w:rsidP="00B24B89">
            <w:pPr>
              <w:jc w:val="center"/>
              <w:rPr>
                <w:sz w:val="16"/>
                <w:szCs w:val="16"/>
              </w:rPr>
            </w:pPr>
            <w:r w:rsidRPr="00143C67">
              <w:rPr>
                <w:sz w:val="16"/>
                <w:szCs w:val="16"/>
              </w:rPr>
              <w:t xml:space="preserve">Tanzania </w:t>
            </w:r>
            <w:r w:rsidR="003F5E45" w:rsidRPr="00143C67">
              <w:rPr>
                <w:sz w:val="16"/>
                <w:szCs w:val="16"/>
              </w:rPr>
              <w:t>Zanzibar</w:t>
            </w:r>
          </w:p>
        </w:tc>
      </w:tr>
      <w:tr w:rsidR="006B42D6" w:rsidRPr="006B42D6" w14:paraId="4B140D19" w14:textId="77777777" w:rsidTr="004F65CD">
        <w:trPr>
          <w:trHeight w:val="269"/>
        </w:trPr>
        <w:tc>
          <w:tcPr>
            <w:tcW w:w="867" w:type="dxa"/>
            <w:vMerge/>
            <w:tcBorders>
              <w:bottom w:val="single" w:sz="4" w:space="0" w:color="auto"/>
              <w:right w:val="single" w:sz="4" w:space="0" w:color="auto"/>
            </w:tcBorders>
            <w:shd w:val="clear" w:color="auto" w:fill="E2EFD9" w:themeFill="accent6" w:themeFillTint="33"/>
            <w:noWrap/>
            <w:vAlign w:val="center"/>
          </w:tcPr>
          <w:p w14:paraId="51577AA8" w14:textId="77777777" w:rsidR="003F5E45" w:rsidRPr="006B42D6" w:rsidRDefault="003F5E45" w:rsidP="005C2EFC">
            <w:pPr>
              <w:rPr>
                <w:sz w:val="16"/>
                <w:szCs w:val="16"/>
              </w:rPr>
            </w:pPr>
          </w:p>
        </w:tc>
        <w:tc>
          <w:tcPr>
            <w:tcW w:w="1176" w:type="dxa"/>
            <w:vMerge/>
            <w:tcBorders>
              <w:left w:val="single" w:sz="4" w:space="0" w:color="auto"/>
              <w:bottom w:val="single" w:sz="4" w:space="0" w:color="auto"/>
              <w:right w:val="single" w:sz="4" w:space="0" w:color="auto"/>
            </w:tcBorders>
            <w:shd w:val="clear" w:color="auto" w:fill="E2EFD9" w:themeFill="accent6" w:themeFillTint="33"/>
            <w:vAlign w:val="center"/>
          </w:tcPr>
          <w:p w14:paraId="24095B32" w14:textId="77777777" w:rsidR="003F5E45" w:rsidRPr="00143C67" w:rsidRDefault="003F5E45" w:rsidP="005C2EFC">
            <w:pPr>
              <w:rPr>
                <w:b/>
                <w:sz w:val="16"/>
                <w:szCs w:val="16"/>
              </w:rPr>
            </w:pPr>
          </w:p>
        </w:tc>
        <w:tc>
          <w:tcPr>
            <w:tcW w:w="1567" w:type="dxa"/>
            <w:tcBorders>
              <w:top w:val="single" w:sz="4" w:space="0" w:color="auto"/>
              <w:left w:val="single" w:sz="4" w:space="0" w:color="auto"/>
              <w:bottom w:val="single" w:sz="4" w:space="0" w:color="auto"/>
            </w:tcBorders>
            <w:shd w:val="clear" w:color="auto" w:fill="E2EFD9" w:themeFill="accent6" w:themeFillTint="33"/>
            <w:noWrap/>
            <w:vAlign w:val="center"/>
          </w:tcPr>
          <w:p w14:paraId="15FC50AD" w14:textId="77777777" w:rsidR="003F5E45" w:rsidRPr="00143C67" w:rsidRDefault="003F5E45" w:rsidP="00143C67">
            <w:pPr>
              <w:jc w:val="center"/>
              <w:rPr>
                <w:sz w:val="16"/>
                <w:szCs w:val="16"/>
              </w:rPr>
            </w:pPr>
            <w:r w:rsidRPr="00143C67">
              <w:rPr>
                <w:sz w:val="16"/>
                <w:szCs w:val="16"/>
              </w:rPr>
              <w:t>Number</w:t>
            </w:r>
          </w:p>
        </w:tc>
        <w:tc>
          <w:tcPr>
            <w:tcW w:w="1147" w:type="dxa"/>
            <w:tcBorders>
              <w:top w:val="single" w:sz="4" w:space="0" w:color="auto"/>
              <w:bottom w:val="single" w:sz="4" w:space="0" w:color="auto"/>
              <w:right w:val="single" w:sz="4" w:space="0" w:color="auto"/>
            </w:tcBorders>
            <w:shd w:val="clear" w:color="auto" w:fill="E2EFD9" w:themeFill="accent6" w:themeFillTint="33"/>
            <w:vAlign w:val="center"/>
          </w:tcPr>
          <w:p w14:paraId="0BAFC994" w14:textId="77777777" w:rsidR="003F5E45" w:rsidRPr="00143C67" w:rsidRDefault="003F5E45" w:rsidP="00143C67">
            <w:pPr>
              <w:jc w:val="center"/>
              <w:rPr>
                <w:sz w:val="16"/>
                <w:szCs w:val="16"/>
              </w:rPr>
            </w:pPr>
            <w:r w:rsidRPr="00143C67">
              <w:rPr>
                <w:sz w:val="16"/>
                <w:szCs w:val="16"/>
              </w:rPr>
              <w:t>Percent</w:t>
            </w:r>
          </w:p>
        </w:tc>
        <w:tc>
          <w:tcPr>
            <w:tcW w:w="1133" w:type="dxa"/>
            <w:tcBorders>
              <w:top w:val="single" w:sz="4" w:space="0" w:color="auto"/>
              <w:left w:val="single" w:sz="4" w:space="0" w:color="auto"/>
              <w:bottom w:val="single" w:sz="4" w:space="0" w:color="auto"/>
            </w:tcBorders>
            <w:shd w:val="clear" w:color="auto" w:fill="E2EFD9" w:themeFill="accent6" w:themeFillTint="33"/>
            <w:vAlign w:val="center"/>
          </w:tcPr>
          <w:p w14:paraId="71D4E63D" w14:textId="77777777" w:rsidR="003F5E45" w:rsidRPr="00143C67" w:rsidRDefault="003F5E45" w:rsidP="00143C67">
            <w:pPr>
              <w:jc w:val="center"/>
              <w:rPr>
                <w:sz w:val="16"/>
                <w:szCs w:val="16"/>
              </w:rPr>
            </w:pPr>
            <w:r w:rsidRPr="00143C67">
              <w:rPr>
                <w:sz w:val="16"/>
                <w:szCs w:val="16"/>
              </w:rPr>
              <w:t>Number</w:t>
            </w:r>
          </w:p>
        </w:tc>
        <w:tc>
          <w:tcPr>
            <w:tcW w:w="1131" w:type="dxa"/>
            <w:tcBorders>
              <w:top w:val="single" w:sz="4" w:space="0" w:color="auto"/>
              <w:bottom w:val="single" w:sz="4" w:space="0" w:color="auto"/>
              <w:right w:val="single" w:sz="4" w:space="0" w:color="auto"/>
            </w:tcBorders>
            <w:shd w:val="clear" w:color="auto" w:fill="E2EFD9" w:themeFill="accent6" w:themeFillTint="33"/>
            <w:vAlign w:val="center"/>
          </w:tcPr>
          <w:p w14:paraId="0F91AA33" w14:textId="77777777" w:rsidR="003F5E45" w:rsidRPr="00143C67" w:rsidRDefault="003F5E45" w:rsidP="00143C67">
            <w:pPr>
              <w:jc w:val="center"/>
              <w:rPr>
                <w:sz w:val="16"/>
                <w:szCs w:val="16"/>
              </w:rPr>
            </w:pPr>
            <w:r w:rsidRPr="00143C67">
              <w:rPr>
                <w:sz w:val="16"/>
                <w:szCs w:val="16"/>
              </w:rPr>
              <w:t>Percent</w:t>
            </w:r>
          </w:p>
        </w:tc>
        <w:tc>
          <w:tcPr>
            <w:tcW w:w="1138" w:type="dxa"/>
            <w:tcBorders>
              <w:top w:val="single" w:sz="4" w:space="0" w:color="auto"/>
              <w:left w:val="single" w:sz="4" w:space="0" w:color="auto"/>
              <w:bottom w:val="single" w:sz="4" w:space="0" w:color="auto"/>
            </w:tcBorders>
            <w:shd w:val="clear" w:color="auto" w:fill="E2EFD9" w:themeFill="accent6" w:themeFillTint="33"/>
            <w:vAlign w:val="center"/>
          </w:tcPr>
          <w:p w14:paraId="623B19B4" w14:textId="77777777" w:rsidR="003F5E45" w:rsidRPr="00143C67" w:rsidRDefault="003F5E45" w:rsidP="00143C67">
            <w:pPr>
              <w:jc w:val="center"/>
              <w:rPr>
                <w:sz w:val="16"/>
                <w:szCs w:val="16"/>
              </w:rPr>
            </w:pPr>
            <w:r w:rsidRPr="00143C67">
              <w:rPr>
                <w:sz w:val="16"/>
                <w:szCs w:val="16"/>
              </w:rPr>
              <w:t>Number</w:t>
            </w:r>
          </w:p>
        </w:tc>
        <w:tc>
          <w:tcPr>
            <w:tcW w:w="1131" w:type="dxa"/>
            <w:tcBorders>
              <w:top w:val="single" w:sz="4" w:space="0" w:color="auto"/>
              <w:bottom w:val="single" w:sz="4" w:space="0" w:color="auto"/>
            </w:tcBorders>
            <w:shd w:val="clear" w:color="auto" w:fill="E2EFD9" w:themeFill="accent6" w:themeFillTint="33"/>
            <w:vAlign w:val="center"/>
          </w:tcPr>
          <w:p w14:paraId="1055EA8E" w14:textId="77777777" w:rsidR="003F5E45" w:rsidRPr="00143C67" w:rsidRDefault="003F5E45" w:rsidP="00143C67">
            <w:pPr>
              <w:jc w:val="center"/>
              <w:rPr>
                <w:sz w:val="16"/>
                <w:szCs w:val="16"/>
              </w:rPr>
            </w:pPr>
            <w:r w:rsidRPr="00143C67">
              <w:rPr>
                <w:sz w:val="16"/>
                <w:szCs w:val="16"/>
              </w:rPr>
              <w:t>Percent</w:t>
            </w:r>
          </w:p>
        </w:tc>
      </w:tr>
      <w:tr w:rsidR="006B42D6" w:rsidRPr="006B42D6" w14:paraId="24CFFA6B" w14:textId="77777777" w:rsidTr="00A850C6">
        <w:trPr>
          <w:trHeight w:val="58"/>
        </w:trPr>
        <w:tc>
          <w:tcPr>
            <w:tcW w:w="867" w:type="dxa"/>
            <w:vMerge w:val="restart"/>
            <w:tcBorders>
              <w:top w:val="single" w:sz="4" w:space="0" w:color="auto"/>
              <w:right w:val="single" w:sz="4" w:space="0" w:color="auto"/>
            </w:tcBorders>
            <w:shd w:val="clear" w:color="auto" w:fill="auto"/>
            <w:noWrap/>
            <w:vAlign w:val="center"/>
            <w:hideMark/>
          </w:tcPr>
          <w:p w14:paraId="5B4744CF" w14:textId="77777777" w:rsidR="003F5E45" w:rsidRPr="006B42D6" w:rsidRDefault="003F5E45" w:rsidP="005C2EFC">
            <w:pPr>
              <w:rPr>
                <w:b/>
                <w:bCs/>
                <w:sz w:val="16"/>
                <w:szCs w:val="16"/>
              </w:rPr>
            </w:pPr>
            <w:r w:rsidRPr="006B42D6">
              <w:rPr>
                <w:b/>
                <w:bCs/>
                <w:sz w:val="16"/>
                <w:szCs w:val="16"/>
              </w:rPr>
              <w:t>2019/20</w:t>
            </w:r>
          </w:p>
        </w:tc>
        <w:tc>
          <w:tcPr>
            <w:tcW w:w="1176" w:type="dxa"/>
            <w:tcBorders>
              <w:top w:val="single" w:sz="4" w:space="0" w:color="auto"/>
              <w:left w:val="single" w:sz="4" w:space="0" w:color="auto"/>
              <w:right w:val="single" w:sz="4" w:space="0" w:color="auto"/>
            </w:tcBorders>
            <w:shd w:val="clear" w:color="auto" w:fill="auto"/>
            <w:noWrap/>
            <w:vAlign w:val="center"/>
            <w:hideMark/>
          </w:tcPr>
          <w:p w14:paraId="58279309" w14:textId="77777777" w:rsidR="003F5E45" w:rsidRPr="006B42D6" w:rsidRDefault="003F5E45" w:rsidP="005C2EFC">
            <w:pPr>
              <w:rPr>
                <w:b/>
                <w:bCs/>
                <w:sz w:val="16"/>
                <w:szCs w:val="16"/>
              </w:rPr>
            </w:pPr>
            <w:r w:rsidRPr="006B42D6">
              <w:rPr>
                <w:b/>
                <w:bCs/>
                <w:sz w:val="16"/>
                <w:szCs w:val="16"/>
              </w:rPr>
              <w:t>Never</w:t>
            </w:r>
          </w:p>
        </w:tc>
        <w:tc>
          <w:tcPr>
            <w:tcW w:w="1567" w:type="dxa"/>
            <w:tcBorders>
              <w:top w:val="single" w:sz="4" w:space="0" w:color="auto"/>
              <w:left w:val="single" w:sz="4" w:space="0" w:color="auto"/>
            </w:tcBorders>
            <w:shd w:val="clear" w:color="auto" w:fill="auto"/>
            <w:noWrap/>
            <w:vAlign w:val="bottom"/>
          </w:tcPr>
          <w:p w14:paraId="0140B84F" w14:textId="77777777" w:rsidR="003F5E45" w:rsidRPr="006B42D6" w:rsidRDefault="003F5E45" w:rsidP="00B24B89">
            <w:pPr>
              <w:jc w:val="right"/>
              <w:rPr>
                <w:sz w:val="16"/>
                <w:szCs w:val="16"/>
              </w:rPr>
            </w:pPr>
            <w:r w:rsidRPr="006B42D6">
              <w:rPr>
                <w:sz w:val="16"/>
                <w:szCs w:val="16"/>
              </w:rPr>
              <w:t xml:space="preserve">2,989,185 </w:t>
            </w:r>
          </w:p>
        </w:tc>
        <w:tc>
          <w:tcPr>
            <w:tcW w:w="1147" w:type="dxa"/>
            <w:tcBorders>
              <w:top w:val="single" w:sz="4" w:space="0" w:color="auto"/>
              <w:right w:val="single" w:sz="4" w:space="0" w:color="auto"/>
            </w:tcBorders>
            <w:vAlign w:val="bottom"/>
          </w:tcPr>
          <w:p w14:paraId="2AEB61BA" w14:textId="77777777" w:rsidR="003F5E45" w:rsidRPr="006B42D6" w:rsidRDefault="003F5E45" w:rsidP="00B24B89">
            <w:pPr>
              <w:jc w:val="right"/>
              <w:rPr>
                <w:sz w:val="16"/>
                <w:szCs w:val="16"/>
              </w:rPr>
            </w:pPr>
            <w:r w:rsidRPr="006B42D6">
              <w:rPr>
                <w:sz w:val="16"/>
                <w:szCs w:val="16"/>
              </w:rPr>
              <w:t>38.1</w:t>
            </w:r>
          </w:p>
        </w:tc>
        <w:tc>
          <w:tcPr>
            <w:tcW w:w="1133" w:type="dxa"/>
            <w:tcBorders>
              <w:top w:val="single" w:sz="4" w:space="0" w:color="auto"/>
              <w:left w:val="single" w:sz="4" w:space="0" w:color="auto"/>
            </w:tcBorders>
            <w:vAlign w:val="bottom"/>
          </w:tcPr>
          <w:p w14:paraId="2310EACC" w14:textId="77777777" w:rsidR="003F5E45" w:rsidRPr="006B42D6" w:rsidRDefault="003F5E45" w:rsidP="00B24B89">
            <w:pPr>
              <w:jc w:val="right"/>
              <w:rPr>
                <w:sz w:val="16"/>
                <w:szCs w:val="16"/>
              </w:rPr>
            </w:pPr>
            <w:r w:rsidRPr="006B42D6">
              <w:rPr>
                <w:sz w:val="16"/>
                <w:szCs w:val="16"/>
              </w:rPr>
              <w:t xml:space="preserve">2,930,023 </w:t>
            </w:r>
          </w:p>
        </w:tc>
        <w:tc>
          <w:tcPr>
            <w:tcW w:w="1131" w:type="dxa"/>
            <w:tcBorders>
              <w:top w:val="single" w:sz="4" w:space="0" w:color="auto"/>
              <w:right w:val="single" w:sz="4" w:space="0" w:color="auto"/>
            </w:tcBorders>
            <w:vAlign w:val="bottom"/>
          </w:tcPr>
          <w:p w14:paraId="5B0C6B5D" w14:textId="77777777" w:rsidR="003F5E45" w:rsidRPr="006B42D6" w:rsidRDefault="003F5E45" w:rsidP="00B24B89">
            <w:pPr>
              <w:jc w:val="right"/>
              <w:rPr>
                <w:sz w:val="16"/>
                <w:szCs w:val="16"/>
              </w:rPr>
            </w:pPr>
            <w:r w:rsidRPr="006B42D6">
              <w:rPr>
                <w:sz w:val="16"/>
                <w:szCs w:val="16"/>
              </w:rPr>
              <w:t>38.3</w:t>
            </w:r>
          </w:p>
        </w:tc>
        <w:tc>
          <w:tcPr>
            <w:tcW w:w="1138" w:type="dxa"/>
            <w:tcBorders>
              <w:top w:val="single" w:sz="4" w:space="0" w:color="auto"/>
              <w:left w:val="single" w:sz="4" w:space="0" w:color="auto"/>
            </w:tcBorders>
            <w:vAlign w:val="bottom"/>
          </w:tcPr>
          <w:p w14:paraId="067FA96A" w14:textId="20E69230" w:rsidR="003F5E45" w:rsidRPr="006B42D6" w:rsidRDefault="003F5E45" w:rsidP="007A288F">
            <w:pPr>
              <w:jc w:val="right"/>
              <w:rPr>
                <w:sz w:val="16"/>
                <w:szCs w:val="16"/>
              </w:rPr>
            </w:pPr>
            <w:r w:rsidRPr="006B42D6">
              <w:rPr>
                <w:sz w:val="16"/>
                <w:szCs w:val="16"/>
              </w:rPr>
              <w:t>59,162</w:t>
            </w:r>
          </w:p>
        </w:tc>
        <w:tc>
          <w:tcPr>
            <w:tcW w:w="1131" w:type="dxa"/>
            <w:tcBorders>
              <w:top w:val="single" w:sz="4" w:space="0" w:color="auto"/>
            </w:tcBorders>
            <w:vAlign w:val="bottom"/>
          </w:tcPr>
          <w:p w14:paraId="6A930266" w14:textId="77777777" w:rsidR="003F5E45" w:rsidRPr="006B42D6" w:rsidRDefault="003F5E45" w:rsidP="00B24B89">
            <w:pPr>
              <w:jc w:val="right"/>
              <w:rPr>
                <w:sz w:val="16"/>
                <w:szCs w:val="16"/>
              </w:rPr>
            </w:pPr>
            <w:r w:rsidRPr="006B42D6">
              <w:rPr>
                <w:sz w:val="16"/>
                <w:szCs w:val="16"/>
              </w:rPr>
              <w:t>32.8</w:t>
            </w:r>
          </w:p>
        </w:tc>
      </w:tr>
      <w:tr w:rsidR="006B42D6" w:rsidRPr="006B42D6" w14:paraId="69A4DBCD" w14:textId="77777777" w:rsidTr="00A850C6">
        <w:trPr>
          <w:trHeight w:val="58"/>
        </w:trPr>
        <w:tc>
          <w:tcPr>
            <w:tcW w:w="867" w:type="dxa"/>
            <w:vMerge/>
            <w:tcBorders>
              <w:right w:val="single" w:sz="4" w:space="0" w:color="auto"/>
            </w:tcBorders>
            <w:vAlign w:val="center"/>
            <w:hideMark/>
          </w:tcPr>
          <w:p w14:paraId="59C69BE8" w14:textId="77777777" w:rsidR="003F5E45" w:rsidRPr="006B42D6" w:rsidRDefault="003F5E45" w:rsidP="005C2EFC">
            <w:pPr>
              <w:rPr>
                <w:b/>
                <w:bCs/>
                <w:sz w:val="16"/>
                <w:szCs w:val="16"/>
              </w:rPr>
            </w:pPr>
          </w:p>
        </w:tc>
        <w:tc>
          <w:tcPr>
            <w:tcW w:w="1176" w:type="dxa"/>
            <w:tcBorders>
              <w:left w:val="single" w:sz="4" w:space="0" w:color="auto"/>
              <w:right w:val="single" w:sz="4" w:space="0" w:color="auto"/>
            </w:tcBorders>
            <w:shd w:val="clear" w:color="auto" w:fill="auto"/>
            <w:noWrap/>
            <w:vAlign w:val="center"/>
            <w:hideMark/>
          </w:tcPr>
          <w:p w14:paraId="33580699" w14:textId="77777777" w:rsidR="003F5E45" w:rsidRPr="006B42D6" w:rsidRDefault="003F5E45" w:rsidP="005C2EFC">
            <w:pPr>
              <w:rPr>
                <w:sz w:val="16"/>
                <w:szCs w:val="16"/>
              </w:rPr>
            </w:pPr>
            <w:r w:rsidRPr="006B42D6">
              <w:rPr>
                <w:sz w:val="16"/>
                <w:szCs w:val="16"/>
              </w:rPr>
              <w:t>Seldom</w:t>
            </w:r>
          </w:p>
        </w:tc>
        <w:tc>
          <w:tcPr>
            <w:tcW w:w="1567" w:type="dxa"/>
            <w:tcBorders>
              <w:left w:val="single" w:sz="4" w:space="0" w:color="auto"/>
            </w:tcBorders>
            <w:shd w:val="clear" w:color="auto" w:fill="auto"/>
            <w:noWrap/>
            <w:vAlign w:val="bottom"/>
          </w:tcPr>
          <w:p w14:paraId="5301E3F6" w14:textId="77777777" w:rsidR="003F5E45" w:rsidRPr="006B42D6" w:rsidRDefault="003F5E45" w:rsidP="00B24B89">
            <w:pPr>
              <w:jc w:val="right"/>
              <w:rPr>
                <w:sz w:val="16"/>
                <w:szCs w:val="16"/>
              </w:rPr>
            </w:pPr>
            <w:r w:rsidRPr="006B42D6">
              <w:rPr>
                <w:sz w:val="16"/>
                <w:szCs w:val="16"/>
              </w:rPr>
              <w:t xml:space="preserve">2,541,474 </w:t>
            </w:r>
          </w:p>
        </w:tc>
        <w:tc>
          <w:tcPr>
            <w:tcW w:w="1147" w:type="dxa"/>
            <w:tcBorders>
              <w:right w:val="single" w:sz="4" w:space="0" w:color="auto"/>
            </w:tcBorders>
            <w:vAlign w:val="bottom"/>
          </w:tcPr>
          <w:p w14:paraId="0A93400B" w14:textId="77777777" w:rsidR="003F5E45" w:rsidRPr="006B42D6" w:rsidRDefault="003F5E45" w:rsidP="00B24B89">
            <w:pPr>
              <w:jc w:val="right"/>
              <w:rPr>
                <w:sz w:val="16"/>
                <w:szCs w:val="16"/>
              </w:rPr>
            </w:pPr>
            <w:r w:rsidRPr="006B42D6">
              <w:rPr>
                <w:sz w:val="16"/>
                <w:szCs w:val="16"/>
              </w:rPr>
              <w:t>32.4</w:t>
            </w:r>
          </w:p>
        </w:tc>
        <w:tc>
          <w:tcPr>
            <w:tcW w:w="1133" w:type="dxa"/>
            <w:tcBorders>
              <w:left w:val="single" w:sz="4" w:space="0" w:color="auto"/>
            </w:tcBorders>
            <w:vAlign w:val="bottom"/>
          </w:tcPr>
          <w:p w14:paraId="4E0C9A25" w14:textId="77777777" w:rsidR="003F5E45" w:rsidRPr="006B42D6" w:rsidRDefault="003F5E45" w:rsidP="00B24B89">
            <w:pPr>
              <w:jc w:val="right"/>
              <w:rPr>
                <w:sz w:val="16"/>
                <w:szCs w:val="16"/>
              </w:rPr>
            </w:pPr>
            <w:r w:rsidRPr="006B42D6">
              <w:rPr>
                <w:sz w:val="16"/>
                <w:szCs w:val="16"/>
              </w:rPr>
              <w:t xml:space="preserve">2,468,069 </w:t>
            </w:r>
          </w:p>
        </w:tc>
        <w:tc>
          <w:tcPr>
            <w:tcW w:w="1131" w:type="dxa"/>
            <w:tcBorders>
              <w:right w:val="single" w:sz="4" w:space="0" w:color="auto"/>
            </w:tcBorders>
            <w:vAlign w:val="bottom"/>
          </w:tcPr>
          <w:p w14:paraId="54826777" w14:textId="77777777" w:rsidR="003F5E45" w:rsidRPr="006B42D6" w:rsidRDefault="003F5E45" w:rsidP="00B24B89">
            <w:pPr>
              <w:jc w:val="right"/>
              <w:rPr>
                <w:sz w:val="16"/>
                <w:szCs w:val="16"/>
              </w:rPr>
            </w:pPr>
            <w:r w:rsidRPr="006B42D6">
              <w:rPr>
                <w:sz w:val="16"/>
                <w:szCs w:val="16"/>
              </w:rPr>
              <w:t>32.2</w:t>
            </w:r>
          </w:p>
        </w:tc>
        <w:tc>
          <w:tcPr>
            <w:tcW w:w="1138" w:type="dxa"/>
            <w:tcBorders>
              <w:left w:val="single" w:sz="4" w:space="0" w:color="auto"/>
            </w:tcBorders>
            <w:vAlign w:val="bottom"/>
          </w:tcPr>
          <w:p w14:paraId="29C81AE5" w14:textId="62C690A9" w:rsidR="003F5E45" w:rsidRPr="006B42D6" w:rsidRDefault="003F5E45" w:rsidP="007A288F">
            <w:pPr>
              <w:jc w:val="right"/>
              <w:rPr>
                <w:sz w:val="16"/>
                <w:szCs w:val="16"/>
              </w:rPr>
            </w:pPr>
            <w:r w:rsidRPr="006B42D6">
              <w:rPr>
                <w:sz w:val="16"/>
                <w:szCs w:val="16"/>
              </w:rPr>
              <w:t>73,405</w:t>
            </w:r>
          </w:p>
        </w:tc>
        <w:tc>
          <w:tcPr>
            <w:tcW w:w="1131" w:type="dxa"/>
            <w:vAlign w:val="bottom"/>
          </w:tcPr>
          <w:p w14:paraId="7CBC94C9" w14:textId="77777777" w:rsidR="003F5E45" w:rsidRPr="006B42D6" w:rsidRDefault="003F5E45" w:rsidP="00B24B89">
            <w:pPr>
              <w:jc w:val="right"/>
              <w:rPr>
                <w:sz w:val="16"/>
                <w:szCs w:val="16"/>
              </w:rPr>
            </w:pPr>
            <w:r w:rsidRPr="006B42D6">
              <w:rPr>
                <w:sz w:val="16"/>
                <w:szCs w:val="16"/>
              </w:rPr>
              <w:t>40.7</w:t>
            </w:r>
          </w:p>
        </w:tc>
      </w:tr>
      <w:tr w:rsidR="006B42D6" w:rsidRPr="006B42D6" w14:paraId="528EA7FF" w14:textId="77777777" w:rsidTr="00A850C6">
        <w:trPr>
          <w:trHeight w:val="58"/>
        </w:trPr>
        <w:tc>
          <w:tcPr>
            <w:tcW w:w="867" w:type="dxa"/>
            <w:vMerge/>
            <w:tcBorders>
              <w:right w:val="single" w:sz="4" w:space="0" w:color="auto"/>
            </w:tcBorders>
            <w:vAlign w:val="center"/>
            <w:hideMark/>
          </w:tcPr>
          <w:p w14:paraId="7491402E" w14:textId="77777777" w:rsidR="003F5E45" w:rsidRPr="006B42D6" w:rsidRDefault="003F5E45" w:rsidP="005C2EFC">
            <w:pPr>
              <w:rPr>
                <w:b/>
                <w:bCs/>
                <w:sz w:val="16"/>
                <w:szCs w:val="16"/>
              </w:rPr>
            </w:pPr>
          </w:p>
        </w:tc>
        <w:tc>
          <w:tcPr>
            <w:tcW w:w="1176" w:type="dxa"/>
            <w:tcBorders>
              <w:left w:val="single" w:sz="4" w:space="0" w:color="auto"/>
              <w:right w:val="single" w:sz="4" w:space="0" w:color="auto"/>
            </w:tcBorders>
            <w:shd w:val="clear" w:color="auto" w:fill="auto"/>
            <w:noWrap/>
            <w:vAlign w:val="center"/>
            <w:hideMark/>
          </w:tcPr>
          <w:p w14:paraId="03581675" w14:textId="77777777" w:rsidR="003F5E45" w:rsidRPr="006B42D6" w:rsidRDefault="003F5E45" w:rsidP="005C2EFC">
            <w:pPr>
              <w:rPr>
                <w:sz w:val="16"/>
                <w:szCs w:val="16"/>
              </w:rPr>
            </w:pPr>
            <w:r w:rsidRPr="006B42D6">
              <w:rPr>
                <w:sz w:val="16"/>
                <w:szCs w:val="16"/>
              </w:rPr>
              <w:t>Sometimes</w:t>
            </w:r>
          </w:p>
        </w:tc>
        <w:tc>
          <w:tcPr>
            <w:tcW w:w="1567" w:type="dxa"/>
            <w:tcBorders>
              <w:left w:val="single" w:sz="4" w:space="0" w:color="auto"/>
            </w:tcBorders>
            <w:shd w:val="clear" w:color="auto" w:fill="auto"/>
            <w:noWrap/>
            <w:vAlign w:val="bottom"/>
          </w:tcPr>
          <w:p w14:paraId="65622FCA" w14:textId="77777777" w:rsidR="003F5E45" w:rsidRPr="006B42D6" w:rsidRDefault="003F5E45" w:rsidP="00B24B89">
            <w:pPr>
              <w:jc w:val="right"/>
              <w:rPr>
                <w:sz w:val="16"/>
                <w:szCs w:val="16"/>
              </w:rPr>
            </w:pPr>
            <w:r w:rsidRPr="006B42D6">
              <w:rPr>
                <w:sz w:val="16"/>
                <w:szCs w:val="16"/>
              </w:rPr>
              <w:t xml:space="preserve">785,165 </w:t>
            </w:r>
          </w:p>
        </w:tc>
        <w:tc>
          <w:tcPr>
            <w:tcW w:w="1147" w:type="dxa"/>
            <w:tcBorders>
              <w:right w:val="single" w:sz="4" w:space="0" w:color="auto"/>
            </w:tcBorders>
            <w:vAlign w:val="bottom"/>
          </w:tcPr>
          <w:p w14:paraId="02D03573" w14:textId="77777777" w:rsidR="003F5E45" w:rsidRPr="006B42D6" w:rsidRDefault="003F5E45" w:rsidP="00B24B89">
            <w:pPr>
              <w:jc w:val="right"/>
              <w:rPr>
                <w:sz w:val="16"/>
                <w:szCs w:val="16"/>
              </w:rPr>
            </w:pPr>
            <w:r w:rsidRPr="006B42D6">
              <w:rPr>
                <w:sz w:val="16"/>
                <w:szCs w:val="16"/>
              </w:rPr>
              <w:t>10.0</w:t>
            </w:r>
          </w:p>
        </w:tc>
        <w:tc>
          <w:tcPr>
            <w:tcW w:w="1133" w:type="dxa"/>
            <w:tcBorders>
              <w:left w:val="single" w:sz="4" w:space="0" w:color="auto"/>
            </w:tcBorders>
            <w:vAlign w:val="bottom"/>
          </w:tcPr>
          <w:p w14:paraId="089F20D2" w14:textId="77777777" w:rsidR="003F5E45" w:rsidRPr="006B42D6" w:rsidRDefault="003F5E45" w:rsidP="00B24B89">
            <w:pPr>
              <w:jc w:val="right"/>
              <w:rPr>
                <w:sz w:val="16"/>
                <w:szCs w:val="16"/>
              </w:rPr>
            </w:pPr>
            <w:r w:rsidRPr="006B42D6">
              <w:rPr>
                <w:sz w:val="16"/>
                <w:szCs w:val="16"/>
              </w:rPr>
              <w:t xml:space="preserve">769,820 </w:t>
            </w:r>
          </w:p>
        </w:tc>
        <w:tc>
          <w:tcPr>
            <w:tcW w:w="1131" w:type="dxa"/>
            <w:tcBorders>
              <w:right w:val="single" w:sz="4" w:space="0" w:color="auto"/>
            </w:tcBorders>
            <w:vAlign w:val="bottom"/>
          </w:tcPr>
          <w:p w14:paraId="5BBAD9ED" w14:textId="77777777" w:rsidR="003F5E45" w:rsidRPr="006B42D6" w:rsidRDefault="003F5E45" w:rsidP="00B24B89">
            <w:pPr>
              <w:jc w:val="right"/>
              <w:rPr>
                <w:sz w:val="16"/>
                <w:szCs w:val="16"/>
              </w:rPr>
            </w:pPr>
            <w:r w:rsidRPr="006B42D6">
              <w:rPr>
                <w:sz w:val="16"/>
                <w:szCs w:val="16"/>
              </w:rPr>
              <w:t>10.1</w:t>
            </w:r>
          </w:p>
        </w:tc>
        <w:tc>
          <w:tcPr>
            <w:tcW w:w="1138" w:type="dxa"/>
            <w:tcBorders>
              <w:left w:val="single" w:sz="4" w:space="0" w:color="auto"/>
            </w:tcBorders>
            <w:vAlign w:val="bottom"/>
          </w:tcPr>
          <w:p w14:paraId="2A474E6D" w14:textId="3ABC22BE" w:rsidR="003F5E45" w:rsidRPr="006B42D6" w:rsidRDefault="003F5E45" w:rsidP="007A288F">
            <w:pPr>
              <w:jc w:val="right"/>
              <w:rPr>
                <w:sz w:val="16"/>
                <w:szCs w:val="16"/>
              </w:rPr>
            </w:pPr>
            <w:r w:rsidRPr="006B42D6">
              <w:rPr>
                <w:sz w:val="16"/>
                <w:szCs w:val="16"/>
              </w:rPr>
              <w:t>15,345</w:t>
            </w:r>
          </w:p>
        </w:tc>
        <w:tc>
          <w:tcPr>
            <w:tcW w:w="1131" w:type="dxa"/>
            <w:vAlign w:val="bottom"/>
          </w:tcPr>
          <w:p w14:paraId="0C988763" w14:textId="77777777" w:rsidR="003F5E45" w:rsidRPr="006B42D6" w:rsidRDefault="003F5E45" w:rsidP="00B24B89">
            <w:pPr>
              <w:jc w:val="right"/>
              <w:rPr>
                <w:sz w:val="16"/>
                <w:szCs w:val="16"/>
              </w:rPr>
            </w:pPr>
            <w:r w:rsidRPr="006B42D6">
              <w:rPr>
                <w:sz w:val="16"/>
                <w:szCs w:val="16"/>
              </w:rPr>
              <w:t>8.5</w:t>
            </w:r>
          </w:p>
        </w:tc>
      </w:tr>
      <w:tr w:rsidR="006B42D6" w:rsidRPr="006B42D6" w14:paraId="13925FF0" w14:textId="77777777" w:rsidTr="00A850C6">
        <w:trPr>
          <w:trHeight w:val="58"/>
        </w:trPr>
        <w:tc>
          <w:tcPr>
            <w:tcW w:w="867" w:type="dxa"/>
            <w:vMerge/>
            <w:tcBorders>
              <w:right w:val="single" w:sz="4" w:space="0" w:color="auto"/>
            </w:tcBorders>
            <w:vAlign w:val="center"/>
            <w:hideMark/>
          </w:tcPr>
          <w:p w14:paraId="45CFC2F8" w14:textId="77777777" w:rsidR="003F5E45" w:rsidRPr="006B42D6" w:rsidRDefault="003F5E45" w:rsidP="005C2EFC">
            <w:pPr>
              <w:rPr>
                <w:b/>
                <w:bCs/>
                <w:sz w:val="16"/>
                <w:szCs w:val="16"/>
              </w:rPr>
            </w:pPr>
          </w:p>
        </w:tc>
        <w:tc>
          <w:tcPr>
            <w:tcW w:w="1176" w:type="dxa"/>
            <w:tcBorders>
              <w:left w:val="single" w:sz="4" w:space="0" w:color="auto"/>
              <w:right w:val="single" w:sz="4" w:space="0" w:color="auto"/>
            </w:tcBorders>
            <w:shd w:val="clear" w:color="auto" w:fill="auto"/>
            <w:noWrap/>
            <w:vAlign w:val="center"/>
            <w:hideMark/>
          </w:tcPr>
          <w:p w14:paraId="4E777C0F" w14:textId="77777777" w:rsidR="003F5E45" w:rsidRPr="006B42D6" w:rsidRDefault="003F5E45" w:rsidP="005C2EFC">
            <w:pPr>
              <w:rPr>
                <w:sz w:val="16"/>
                <w:szCs w:val="16"/>
              </w:rPr>
            </w:pPr>
            <w:r w:rsidRPr="006B42D6">
              <w:rPr>
                <w:sz w:val="16"/>
                <w:szCs w:val="16"/>
              </w:rPr>
              <w:t>Often</w:t>
            </w:r>
          </w:p>
        </w:tc>
        <w:tc>
          <w:tcPr>
            <w:tcW w:w="1567" w:type="dxa"/>
            <w:tcBorders>
              <w:left w:val="single" w:sz="4" w:space="0" w:color="auto"/>
            </w:tcBorders>
            <w:shd w:val="clear" w:color="auto" w:fill="auto"/>
            <w:noWrap/>
            <w:vAlign w:val="bottom"/>
          </w:tcPr>
          <w:p w14:paraId="58DF2EBA" w14:textId="77777777" w:rsidR="003F5E45" w:rsidRPr="006B42D6" w:rsidRDefault="003F5E45" w:rsidP="00B24B89">
            <w:pPr>
              <w:jc w:val="right"/>
              <w:rPr>
                <w:sz w:val="16"/>
                <w:szCs w:val="16"/>
              </w:rPr>
            </w:pPr>
            <w:r w:rsidRPr="006B42D6">
              <w:rPr>
                <w:sz w:val="16"/>
                <w:szCs w:val="16"/>
              </w:rPr>
              <w:t xml:space="preserve">1,492,258 </w:t>
            </w:r>
          </w:p>
        </w:tc>
        <w:tc>
          <w:tcPr>
            <w:tcW w:w="1147" w:type="dxa"/>
            <w:tcBorders>
              <w:right w:val="single" w:sz="4" w:space="0" w:color="auto"/>
            </w:tcBorders>
            <w:vAlign w:val="bottom"/>
          </w:tcPr>
          <w:p w14:paraId="05108943" w14:textId="77777777" w:rsidR="003F5E45" w:rsidRPr="006B42D6" w:rsidRDefault="003F5E45" w:rsidP="00B24B89">
            <w:pPr>
              <w:jc w:val="right"/>
              <w:rPr>
                <w:sz w:val="16"/>
                <w:szCs w:val="16"/>
              </w:rPr>
            </w:pPr>
            <w:r w:rsidRPr="006B42D6">
              <w:rPr>
                <w:sz w:val="16"/>
                <w:szCs w:val="16"/>
              </w:rPr>
              <w:t>19.0</w:t>
            </w:r>
          </w:p>
        </w:tc>
        <w:tc>
          <w:tcPr>
            <w:tcW w:w="1133" w:type="dxa"/>
            <w:tcBorders>
              <w:left w:val="single" w:sz="4" w:space="0" w:color="auto"/>
            </w:tcBorders>
            <w:vAlign w:val="bottom"/>
          </w:tcPr>
          <w:p w14:paraId="666E9432" w14:textId="77777777" w:rsidR="003F5E45" w:rsidRPr="006B42D6" w:rsidRDefault="003F5E45" w:rsidP="00B24B89">
            <w:pPr>
              <w:jc w:val="right"/>
              <w:rPr>
                <w:sz w:val="16"/>
                <w:szCs w:val="16"/>
              </w:rPr>
            </w:pPr>
            <w:r w:rsidRPr="006B42D6">
              <w:rPr>
                <w:sz w:val="16"/>
                <w:szCs w:val="16"/>
              </w:rPr>
              <w:t xml:space="preserve">1,460,322 </w:t>
            </w:r>
          </w:p>
        </w:tc>
        <w:tc>
          <w:tcPr>
            <w:tcW w:w="1131" w:type="dxa"/>
            <w:tcBorders>
              <w:right w:val="single" w:sz="4" w:space="0" w:color="auto"/>
            </w:tcBorders>
            <w:vAlign w:val="bottom"/>
          </w:tcPr>
          <w:p w14:paraId="3B383F98" w14:textId="77777777" w:rsidR="003F5E45" w:rsidRPr="006B42D6" w:rsidRDefault="003F5E45" w:rsidP="00B24B89">
            <w:pPr>
              <w:jc w:val="right"/>
              <w:rPr>
                <w:sz w:val="16"/>
                <w:szCs w:val="16"/>
              </w:rPr>
            </w:pPr>
            <w:r w:rsidRPr="006B42D6">
              <w:rPr>
                <w:sz w:val="16"/>
                <w:szCs w:val="16"/>
              </w:rPr>
              <w:t>19.1</w:t>
            </w:r>
          </w:p>
        </w:tc>
        <w:tc>
          <w:tcPr>
            <w:tcW w:w="1138" w:type="dxa"/>
            <w:tcBorders>
              <w:left w:val="single" w:sz="4" w:space="0" w:color="auto"/>
            </w:tcBorders>
            <w:vAlign w:val="bottom"/>
          </w:tcPr>
          <w:p w14:paraId="77EC869A" w14:textId="7BDCEF93" w:rsidR="003F5E45" w:rsidRPr="006B42D6" w:rsidRDefault="003F5E45" w:rsidP="007A288F">
            <w:pPr>
              <w:jc w:val="right"/>
              <w:rPr>
                <w:sz w:val="16"/>
                <w:szCs w:val="16"/>
              </w:rPr>
            </w:pPr>
            <w:r w:rsidRPr="006B42D6">
              <w:rPr>
                <w:sz w:val="16"/>
                <w:szCs w:val="16"/>
              </w:rPr>
              <w:t>31,936</w:t>
            </w:r>
          </w:p>
        </w:tc>
        <w:tc>
          <w:tcPr>
            <w:tcW w:w="1131" w:type="dxa"/>
            <w:vAlign w:val="bottom"/>
          </w:tcPr>
          <w:p w14:paraId="47F4C0B9" w14:textId="77777777" w:rsidR="003F5E45" w:rsidRPr="006B42D6" w:rsidRDefault="003F5E45" w:rsidP="00B24B89">
            <w:pPr>
              <w:jc w:val="right"/>
              <w:rPr>
                <w:sz w:val="16"/>
                <w:szCs w:val="16"/>
              </w:rPr>
            </w:pPr>
            <w:r w:rsidRPr="006B42D6">
              <w:rPr>
                <w:sz w:val="16"/>
                <w:szCs w:val="16"/>
              </w:rPr>
              <w:t>17.7</w:t>
            </w:r>
          </w:p>
        </w:tc>
      </w:tr>
      <w:tr w:rsidR="006B42D6" w:rsidRPr="006B42D6" w14:paraId="3DE4EBF6" w14:textId="77777777" w:rsidTr="00A850C6">
        <w:trPr>
          <w:trHeight w:val="58"/>
        </w:trPr>
        <w:tc>
          <w:tcPr>
            <w:tcW w:w="867" w:type="dxa"/>
            <w:vMerge/>
            <w:tcBorders>
              <w:right w:val="single" w:sz="4" w:space="0" w:color="auto"/>
            </w:tcBorders>
            <w:vAlign w:val="center"/>
            <w:hideMark/>
          </w:tcPr>
          <w:p w14:paraId="71772EC9" w14:textId="77777777" w:rsidR="003F5E45" w:rsidRPr="006B42D6" w:rsidRDefault="003F5E45" w:rsidP="005C2EFC">
            <w:pPr>
              <w:rPr>
                <w:b/>
                <w:bCs/>
                <w:sz w:val="16"/>
                <w:szCs w:val="16"/>
              </w:rPr>
            </w:pPr>
          </w:p>
        </w:tc>
        <w:tc>
          <w:tcPr>
            <w:tcW w:w="1176" w:type="dxa"/>
            <w:tcBorders>
              <w:left w:val="single" w:sz="4" w:space="0" w:color="auto"/>
              <w:bottom w:val="single" w:sz="4" w:space="0" w:color="auto"/>
              <w:right w:val="single" w:sz="4" w:space="0" w:color="auto"/>
            </w:tcBorders>
            <w:shd w:val="clear" w:color="auto" w:fill="auto"/>
            <w:noWrap/>
            <w:vAlign w:val="center"/>
            <w:hideMark/>
          </w:tcPr>
          <w:p w14:paraId="044AC27E" w14:textId="77777777" w:rsidR="003F5E45" w:rsidRPr="006B42D6" w:rsidRDefault="003F5E45" w:rsidP="005C2EFC">
            <w:pPr>
              <w:rPr>
                <w:sz w:val="16"/>
                <w:szCs w:val="16"/>
              </w:rPr>
            </w:pPr>
            <w:r w:rsidRPr="006B42D6">
              <w:rPr>
                <w:sz w:val="16"/>
                <w:szCs w:val="16"/>
              </w:rPr>
              <w:t>Always</w:t>
            </w:r>
          </w:p>
        </w:tc>
        <w:tc>
          <w:tcPr>
            <w:tcW w:w="1567" w:type="dxa"/>
            <w:tcBorders>
              <w:left w:val="single" w:sz="4" w:space="0" w:color="auto"/>
              <w:bottom w:val="single" w:sz="4" w:space="0" w:color="auto"/>
            </w:tcBorders>
            <w:shd w:val="clear" w:color="auto" w:fill="auto"/>
            <w:noWrap/>
            <w:vAlign w:val="bottom"/>
          </w:tcPr>
          <w:p w14:paraId="43141DC9" w14:textId="77777777" w:rsidR="003F5E45" w:rsidRPr="006B42D6" w:rsidRDefault="003F5E45" w:rsidP="00B24B89">
            <w:pPr>
              <w:jc w:val="right"/>
              <w:rPr>
                <w:sz w:val="16"/>
                <w:szCs w:val="16"/>
              </w:rPr>
            </w:pPr>
            <w:r w:rsidRPr="006B42D6">
              <w:rPr>
                <w:sz w:val="16"/>
                <w:szCs w:val="16"/>
              </w:rPr>
              <w:t xml:space="preserve">29,326 </w:t>
            </w:r>
          </w:p>
        </w:tc>
        <w:tc>
          <w:tcPr>
            <w:tcW w:w="1147" w:type="dxa"/>
            <w:tcBorders>
              <w:bottom w:val="single" w:sz="4" w:space="0" w:color="auto"/>
              <w:right w:val="single" w:sz="4" w:space="0" w:color="auto"/>
            </w:tcBorders>
            <w:vAlign w:val="bottom"/>
          </w:tcPr>
          <w:p w14:paraId="75C782D4" w14:textId="77777777" w:rsidR="003F5E45" w:rsidRPr="006B42D6" w:rsidRDefault="003F5E45" w:rsidP="00B24B89">
            <w:pPr>
              <w:jc w:val="right"/>
              <w:rPr>
                <w:sz w:val="16"/>
                <w:szCs w:val="16"/>
              </w:rPr>
            </w:pPr>
            <w:r w:rsidRPr="006B42D6">
              <w:rPr>
                <w:sz w:val="16"/>
                <w:szCs w:val="16"/>
              </w:rPr>
              <w:t>0.4</w:t>
            </w:r>
          </w:p>
        </w:tc>
        <w:tc>
          <w:tcPr>
            <w:tcW w:w="1133" w:type="dxa"/>
            <w:tcBorders>
              <w:left w:val="single" w:sz="4" w:space="0" w:color="auto"/>
              <w:bottom w:val="single" w:sz="4" w:space="0" w:color="auto"/>
            </w:tcBorders>
            <w:vAlign w:val="bottom"/>
          </w:tcPr>
          <w:p w14:paraId="01F304EB" w14:textId="77777777" w:rsidR="003F5E45" w:rsidRPr="006B42D6" w:rsidRDefault="003F5E45" w:rsidP="00B24B89">
            <w:pPr>
              <w:jc w:val="right"/>
              <w:rPr>
                <w:sz w:val="16"/>
                <w:szCs w:val="16"/>
              </w:rPr>
            </w:pPr>
            <w:r w:rsidRPr="006B42D6">
              <w:rPr>
                <w:sz w:val="16"/>
                <w:szCs w:val="16"/>
              </w:rPr>
              <w:t xml:space="preserve">28,953 </w:t>
            </w:r>
          </w:p>
        </w:tc>
        <w:tc>
          <w:tcPr>
            <w:tcW w:w="1131" w:type="dxa"/>
            <w:tcBorders>
              <w:bottom w:val="single" w:sz="4" w:space="0" w:color="auto"/>
              <w:right w:val="single" w:sz="4" w:space="0" w:color="auto"/>
            </w:tcBorders>
            <w:vAlign w:val="bottom"/>
          </w:tcPr>
          <w:p w14:paraId="63104F43" w14:textId="77777777" w:rsidR="003F5E45" w:rsidRPr="006B42D6" w:rsidRDefault="003F5E45" w:rsidP="00B24B89">
            <w:pPr>
              <w:jc w:val="right"/>
              <w:rPr>
                <w:sz w:val="16"/>
                <w:szCs w:val="16"/>
              </w:rPr>
            </w:pPr>
            <w:r w:rsidRPr="006B42D6">
              <w:rPr>
                <w:sz w:val="16"/>
                <w:szCs w:val="16"/>
              </w:rPr>
              <w:t>0.4</w:t>
            </w:r>
          </w:p>
        </w:tc>
        <w:tc>
          <w:tcPr>
            <w:tcW w:w="1138" w:type="dxa"/>
            <w:tcBorders>
              <w:left w:val="single" w:sz="4" w:space="0" w:color="auto"/>
              <w:bottom w:val="single" w:sz="4" w:space="0" w:color="auto"/>
            </w:tcBorders>
            <w:vAlign w:val="bottom"/>
          </w:tcPr>
          <w:p w14:paraId="03BD9769" w14:textId="57CC7E50" w:rsidR="003F5E45" w:rsidRPr="006B42D6" w:rsidRDefault="003F5E45" w:rsidP="007A288F">
            <w:pPr>
              <w:jc w:val="right"/>
              <w:rPr>
                <w:sz w:val="16"/>
                <w:szCs w:val="16"/>
              </w:rPr>
            </w:pPr>
            <w:r w:rsidRPr="006B42D6">
              <w:rPr>
                <w:sz w:val="16"/>
                <w:szCs w:val="16"/>
              </w:rPr>
              <w:t>373</w:t>
            </w:r>
          </w:p>
        </w:tc>
        <w:tc>
          <w:tcPr>
            <w:tcW w:w="1131" w:type="dxa"/>
            <w:tcBorders>
              <w:bottom w:val="single" w:sz="4" w:space="0" w:color="auto"/>
            </w:tcBorders>
            <w:vAlign w:val="bottom"/>
          </w:tcPr>
          <w:p w14:paraId="1B664800" w14:textId="77777777" w:rsidR="003F5E45" w:rsidRPr="006B42D6" w:rsidRDefault="003F5E45" w:rsidP="00B24B89">
            <w:pPr>
              <w:jc w:val="right"/>
              <w:rPr>
                <w:sz w:val="16"/>
                <w:szCs w:val="16"/>
              </w:rPr>
            </w:pPr>
            <w:r w:rsidRPr="006B42D6">
              <w:rPr>
                <w:sz w:val="16"/>
                <w:szCs w:val="16"/>
              </w:rPr>
              <w:t>0.2</w:t>
            </w:r>
          </w:p>
        </w:tc>
      </w:tr>
      <w:tr w:rsidR="006B42D6" w:rsidRPr="006B42D6" w14:paraId="4DCFA7D6" w14:textId="77777777" w:rsidTr="00257DF7">
        <w:trPr>
          <w:trHeight w:val="58"/>
        </w:trPr>
        <w:tc>
          <w:tcPr>
            <w:tcW w:w="867" w:type="dxa"/>
            <w:vMerge/>
            <w:tcBorders>
              <w:bottom w:val="single" w:sz="4" w:space="0" w:color="auto"/>
              <w:right w:val="single" w:sz="4" w:space="0" w:color="auto"/>
            </w:tcBorders>
            <w:vAlign w:val="center"/>
            <w:hideMark/>
          </w:tcPr>
          <w:p w14:paraId="123D0C8B" w14:textId="77777777" w:rsidR="003F5E45" w:rsidRPr="006B42D6" w:rsidRDefault="003F5E45" w:rsidP="005C2EFC">
            <w:pPr>
              <w:rPr>
                <w:b/>
                <w:bCs/>
                <w:sz w:val="16"/>
                <w:szCs w:val="16"/>
              </w:rPr>
            </w:pPr>
          </w:p>
        </w:tc>
        <w:tc>
          <w:tcPr>
            <w:tcW w:w="1176"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4B16F19C" w14:textId="77777777" w:rsidR="003F5E45" w:rsidRPr="006B42D6" w:rsidRDefault="003F5E45" w:rsidP="005C2EFC">
            <w:pPr>
              <w:rPr>
                <w:b/>
                <w:bCs/>
                <w:sz w:val="16"/>
                <w:szCs w:val="16"/>
              </w:rPr>
            </w:pPr>
            <w:r w:rsidRPr="006B42D6">
              <w:rPr>
                <w:b/>
                <w:bCs/>
                <w:sz w:val="16"/>
                <w:szCs w:val="16"/>
              </w:rPr>
              <w:t>Total</w:t>
            </w:r>
          </w:p>
        </w:tc>
        <w:tc>
          <w:tcPr>
            <w:tcW w:w="1567" w:type="dxa"/>
            <w:tcBorders>
              <w:top w:val="single" w:sz="4" w:space="0" w:color="auto"/>
              <w:left w:val="single" w:sz="4" w:space="0" w:color="auto"/>
              <w:bottom w:val="single" w:sz="4" w:space="0" w:color="auto"/>
            </w:tcBorders>
            <w:shd w:val="clear" w:color="auto" w:fill="E2EFD9" w:themeFill="accent6" w:themeFillTint="33"/>
            <w:noWrap/>
            <w:vAlign w:val="bottom"/>
          </w:tcPr>
          <w:p w14:paraId="4A3FC197" w14:textId="77777777" w:rsidR="003F5E45" w:rsidRPr="006B42D6" w:rsidRDefault="003F5E45" w:rsidP="00B24B89">
            <w:pPr>
              <w:jc w:val="right"/>
              <w:rPr>
                <w:b/>
                <w:bCs/>
                <w:sz w:val="16"/>
                <w:szCs w:val="16"/>
              </w:rPr>
            </w:pPr>
            <w:r w:rsidRPr="006B42D6">
              <w:rPr>
                <w:b/>
                <w:bCs/>
                <w:sz w:val="16"/>
                <w:szCs w:val="16"/>
              </w:rPr>
              <w:t xml:space="preserve">7,837,408 </w:t>
            </w:r>
          </w:p>
        </w:tc>
        <w:tc>
          <w:tcPr>
            <w:tcW w:w="1147" w:type="dxa"/>
            <w:tcBorders>
              <w:top w:val="single" w:sz="4" w:space="0" w:color="auto"/>
              <w:bottom w:val="single" w:sz="4" w:space="0" w:color="auto"/>
              <w:right w:val="single" w:sz="4" w:space="0" w:color="auto"/>
            </w:tcBorders>
            <w:shd w:val="clear" w:color="auto" w:fill="E2EFD9" w:themeFill="accent6" w:themeFillTint="33"/>
            <w:vAlign w:val="bottom"/>
          </w:tcPr>
          <w:p w14:paraId="0AF2A87B" w14:textId="77777777" w:rsidR="003F5E45" w:rsidRPr="006B42D6" w:rsidRDefault="003F5E45" w:rsidP="00B24B89">
            <w:pPr>
              <w:jc w:val="right"/>
              <w:rPr>
                <w:b/>
                <w:bCs/>
                <w:sz w:val="16"/>
                <w:szCs w:val="16"/>
              </w:rPr>
            </w:pPr>
            <w:r w:rsidRPr="006B42D6">
              <w:rPr>
                <w:b/>
                <w:bCs/>
                <w:sz w:val="16"/>
                <w:szCs w:val="16"/>
              </w:rPr>
              <w:t>100</w:t>
            </w:r>
          </w:p>
        </w:tc>
        <w:tc>
          <w:tcPr>
            <w:tcW w:w="1133" w:type="dxa"/>
            <w:tcBorders>
              <w:top w:val="single" w:sz="4" w:space="0" w:color="auto"/>
              <w:left w:val="single" w:sz="4" w:space="0" w:color="auto"/>
              <w:bottom w:val="single" w:sz="4" w:space="0" w:color="auto"/>
            </w:tcBorders>
            <w:shd w:val="clear" w:color="auto" w:fill="E2EFD9" w:themeFill="accent6" w:themeFillTint="33"/>
            <w:vAlign w:val="bottom"/>
          </w:tcPr>
          <w:p w14:paraId="1A363C5F" w14:textId="77777777" w:rsidR="003F5E45" w:rsidRPr="006B42D6" w:rsidRDefault="003F5E45" w:rsidP="00B24B89">
            <w:pPr>
              <w:jc w:val="right"/>
              <w:rPr>
                <w:b/>
                <w:bCs/>
                <w:sz w:val="16"/>
                <w:szCs w:val="16"/>
              </w:rPr>
            </w:pPr>
            <w:r w:rsidRPr="006B42D6">
              <w:rPr>
                <w:b/>
                <w:bCs/>
                <w:sz w:val="16"/>
                <w:szCs w:val="16"/>
              </w:rPr>
              <w:t xml:space="preserve">7,657,187 </w:t>
            </w:r>
          </w:p>
        </w:tc>
        <w:tc>
          <w:tcPr>
            <w:tcW w:w="1131" w:type="dxa"/>
            <w:tcBorders>
              <w:top w:val="single" w:sz="4" w:space="0" w:color="auto"/>
              <w:bottom w:val="single" w:sz="4" w:space="0" w:color="auto"/>
              <w:right w:val="single" w:sz="4" w:space="0" w:color="auto"/>
            </w:tcBorders>
            <w:shd w:val="clear" w:color="auto" w:fill="E2EFD9" w:themeFill="accent6" w:themeFillTint="33"/>
            <w:vAlign w:val="bottom"/>
          </w:tcPr>
          <w:p w14:paraId="2DB6B924" w14:textId="77777777" w:rsidR="003F5E45" w:rsidRPr="006B42D6" w:rsidRDefault="003F5E45" w:rsidP="00B24B89">
            <w:pPr>
              <w:jc w:val="right"/>
              <w:rPr>
                <w:b/>
                <w:bCs/>
                <w:sz w:val="16"/>
                <w:szCs w:val="16"/>
              </w:rPr>
            </w:pPr>
            <w:r w:rsidRPr="006B42D6">
              <w:rPr>
                <w:b/>
                <w:bCs/>
                <w:sz w:val="16"/>
                <w:szCs w:val="16"/>
              </w:rPr>
              <w:t>100</w:t>
            </w:r>
          </w:p>
        </w:tc>
        <w:tc>
          <w:tcPr>
            <w:tcW w:w="1138" w:type="dxa"/>
            <w:tcBorders>
              <w:top w:val="single" w:sz="4" w:space="0" w:color="auto"/>
              <w:left w:val="single" w:sz="4" w:space="0" w:color="auto"/>
              <w:bottom w:val="single" w:sz="4" w:space="0" w:color="auto"/>
            </w:tcBorders>
            <w:shd w:val="clear" w:color="auto" w:fill="E2EFD9" w:themeFill="accent6" w:themeFillTint="33"/>
            <w:vAlign w:val="bottom"/>
          </w:tcPr>
          <w:p w14:paraId="55E96F7F" w14:textId="0FC4621E" w:rsidR="003F5E45" w:rsidRPr="006B42D6" w:rsidRDefault="003F5E45" w:rsidP="007A288F">
            <w:pPr>
              <w:jc w:val="right"/>
              <w:rPr>
                <w:b/>
                <w:bCs/>
                <w:sz w:val="16"/>
                <w:szCs w:val="16"/>
              </w:rPr>
            </w:pPr>
            <w:r w:rsidRPr="006B42D6">
              <w:rPr>
                <w:b/>
                <w:bCs/>
                <w:sz w:val="16"/>
                <w:szCs w:val="16"/>
              </w:rPr>
              <w:t>180,221</w:t>
            </w:r>
          </w:p>
        </w:tc>
        <w:tc>
          <w:tcPr>
            <w:tcW w:w="1131" w:type="dxa"/>
            <w:tcBorders>
              <w:top w:val="single" w:sz="4" w:space="0" w:color="auto"/>
              <w:bottom w:val="single" w:sz="4" w:space="0" w:color="auto"/>
            </w:tcBorders>
            <w:shd w:val="clear" w:color="auto" w:fill="E2EFD9" w:themeFill="accent6" w:themeFillTint="33"/>
            <w:vAlign w:val="bottom"/>
          </w:tcPr>
          <w:p w14:paraId="776737AC" w14:textId="77777777" w:rsidR="003F5E45" w:rsidRPr="006B42D6" w:rsidRDefault="003F5E45" w:rsidP="00B24B89">
            <w:pPr>
              <w:jc w:val="right"/>
              <w:rPr>
                <w:b/>
                <w:bCs/>
                <w:sz w:val="16"/>
                <w:szCs w:val="16"/>
              </w:rPr>
            </w:pPr>
            <w:r w:rsidRPr="006B42D6">
              <w:rPr>
                <w:b/>
                <w:bCs/>
                <w:sz w:val="16"/>
                <w:szCs w:val="16"/>
              </w:rPr>
              <w:t>100</w:t>
            </w:r>
          </w:p>
        </w:tc>
      </w:tr>
      <w:tr w:rsidR="006B42D6" w:rsidRPr="006B42D6" w14:paraId="2BA3A332" w14:textId="77777777" w:rsidTr="00A850C6">
        <w:trPr>
          <w:trHeight w:val="58"/>
        </w:trPr>
        <w:tc>
          <w:tcPr>
            <w:tcW w:w="867" w:type="dxa"/>
            <w:tcBorders>
              <w:top w:val="single" w:sz="4" w:space="0" w:color="auto"/>
              <w:right w:val="single" w:sz="4" w:space="0" w:color="auto"/>
            </w:tcBorders>
            <w:vAlign w:val="center"/>
          </w:tcPr>
          <w:p w14:paraId="32669B61" w14:textId="77777777" w:rsidR="003F5E45" w:rsidRPr="006B42D6" w:rsidRDefault="003F5E45" w:rsidP="005C2EFC">
            <w:pPr>
              <w:rPr>
                <w:b/>
                <w:bCs/>
                <w:sz w:val="16"/>
                <w:szCs w:val="16"/>
              </w:rPr>
            </w:pPr>
          </w:p>
        </w:tc>
        <w:tc>
          <w:tcPr>
            <w:tcW w:w="1176" w:type="dxa"/>
            <w:tcBorders>
              <w:top w:val="single" w:sz="4" w:space="0" w:color="auto"/>
              <w:left w:val="single" w:sz="4" w:space="0" w:color="auto"/>
              <w:right w:val="single" w:sz="4" w:space="0" w:color="auto"/>
            </w:tcBorders>
            <w:shd w:val="clear" w:color="auto" w:fill="auto"/>
            <w:noWrap/>
            <w:vAlign w:val="center"/>
          </w:tcPr>
          <w:p w14:paraId="25639B87" w14:textId="77777777" w:rsidR="003F5E45" w:rsidRPr="006B42D6" w:rsidRDefault="003F5E45" w:rsidP="005C2EFC">
            <w:pPr>
              <w:rPr>
                <w:b/>
                <w:bCs/>
                <w:sz w:val="16"/>
                <w:szCs w:val="16"/>
              </w:rPr>
            </w:pPr>
            <w:r w:rsidRPr="006B42D6">
              <w:rPr>
                <w:sz w:val="16"/>
                <w:szCs w:val="16"/>
              </w:rPr>
              <w:t>Never</w:t>
            </w:r>
          </w:p>
        </w:tc>
        <w:tc>
          <w:tcPr>
            <w:tcW w:w="1567" w:type="dxa"/>
            <w:tcBorders>
              <w:top w:val="single" w:sz="4" w:space="0" w:color="auto"/>
              <w:left w:val="single" w:sz="4" w:space="0" w:color="auto"/>
            </w:tcBorders>
            <w:shd w:val="clear" w:color="auto" w:fill="auto"/>
            <w:noWrap/>
            <w:vAlign w:val="bottom"/>
          </w:tcPr>
          <w:p w14:paraId="795241DD" w14:textId="77777777" w:rsidR="003F5E45" w:rsidRPr="006B42D6" w:rsidRDefault="003F5E45" w:rsidP="00B24B89">
            <w:pPr>
              <w:jc w:val="right"/>
              <w:rPr>
                <w:b/>
                <w:bCs/>
                <w:sz w:val="16"/>
                <w:szCs w:val="16"/>
              </w:rPr>
            </w:pPr>
            <w:r w:rsidRPr="006B42D6">
              <w:rPr>
                <w:sz w:val="16"/>
                <w:szCs w:val="16"/>
              </w:rPr>
              <w:t xml:space="preserve">2,362,254 </w:t>
            </w:r>
          </w:p>
        </w:tc>
        <w:tc>
          <w:tcPr>
            <w:tcW w:w="1147" w:type="dxa"/>
            <w:tcBorders>
              <w:top w:val="single" w:sz="4" w:space="0" w:color="auto"/>
              <w:right w:val="single" w:sz="4" w:space="0" w:color="auto"/>
            </w:tcBorders>
            <w:vAlign w:val="bottom"/>
          </w:tcPr>
          <w:p w14:paraId="63B5A17C" w14:textId="77777777" w:rsidR="003F5E45" w:rsidRPr="006B42D6" w:rsidRDefault="003F5E45" w:rsidP="00B24B89">
            <w:pPr>
              <w:jc w:val="right"/>
              <w:rPr>
                <w:b/>
                <w:bCs/>
                <w:sz w:val="16"/>
                <w:szCs w:val="16"/>
              </w:rPr>
            </w:pPr>
            <w:r w:rsidRPr="006B42D6">
              <w:rPr>
                <w:sz w:val="16"/>
                <w:szCs w:val="16"/>
              </w:rPr>
              <w:t>40.5</w:t>
            </w:r>
          </w:p>
        </w:tc>
        <w:tc>
          <w:tcPr>
            <w:tcW w:w="1133" w:type="dxa"/>
            <w:tcBorders>
              <w:top w:val="single" w:sz="4" w:space="0" w:color="auto"/>
              <w:left w:val="single" w:sz="4" w:space="0" w:color="auto"/>
            </w:tcBorders>
            <w:vAlign w:val="bottom"/>
          </w:tcPr>
          <w:p w14:paraId="4A0108F5" w14:textId="77777777" w:rsidR="003F5E45" w:rsidRPr="006B42D6" w:rsidRDefault="003F5E45" w:rsidP="00B24B89">
            <w:pPr>
              <w:jc w:val="right"/>
              <w:rPr>
                <w:b/>
                <w:bCs/>
                <w:sz w:val="16"/>
                <w:szCs w:val="16"/>
              </w:rPr>
            </w:pPr>
            <w:r w:rsidRPr="006B42D6">
              <w:rPr>
                <w:sz w:val="16"/>
                <w:szCs w:val="16"/>
              </w:rPr>
              <w:t xml:space="preserve">2,308,002 </w:t>
            </w:r>
          </w:p>
        </w:tc>
        <w:tc>
          <w:tcPr>
            <w:tcW w:w="1131" w:type="dxa"/>
            <w:tcBorders>
              <w:top w:val="single" w:sz="4" w:space="0" w:color="auto"/>
              <w:right w:val="single" w:sz="4" w:space="0" w:color="auto"/>
            </w:tcBorders>
            <w:vAlign w:val="bottom"/>
          </w:tcPr>
          <w:p w14:paraId="24C182F6" w14:textId="77777777" w:rsidR="003F5E45" w:rsidRPr="006B42D6" w:rsidRDefault="003F5E45" w:rsidP="00B24B89">
            <w:pPr>
              <w:jc w:val="right"/>
              <w:rPr>
                <w:b/>
                <w:bCs/>
                <w:sz w:val="16"/>
                <w:szCs w:val="16"/>
              </w:rPr>
            </w:pPr>
            <w:r w:rsidRPr="006B42D6">
              <w:rPr>
                <w:sz w:val="16"/>
                <w:szCs w:val="16"/>
              </w:rPr>
              <w:t>40.4</w:t>
            </w:r>
          </w:p>
        </w:tc>
        <w:tc>
          <w:tcPr>
            <w:tcW w:w="1138" w:type="dxa"/>
            <w:tcBorders>
              <w:top w:val="single" w:sz="4" w:space="0" w:color="auto"/>
              <w:left w:val="single" w:sz="4" w:space="0" w:color="auto"/>
            </w:tcBorders>
            <w:vAlign w:val="bottom"/>
          </w:tcPr>
          <w:p w14:paraId="2EC9D6AF" w14:textId="78517C0E" w:rsidR="003F5E45" w:rsidRPr="006B42D6" w:rsidRDefault="003F5E45" w:rsidP="007A288F">
            <w:pPr>
              <w:jc w:val="right"/>
              <w:rPr>
                <w:b/>
                <w:bCs/>
                <w:sz w:val="16"/>
                <w:szCs w:val="16"/>
              </w:rPr>
            </w:pPr>
            <w:r w:rsidRPr="006B42D6">
              <w:rPr>
                <w:sz w:val="16"/>
                <w:szCs w:val="16"/>
              </w:rPr>
              <w:t>54,252</w:t>
            </w:r>
          </w:p>
        </w:tc>
        <w:tc>
          <w:tcPr>
            <w:tcW w:w="1131" w:type="dxa"/>
            <w:tcBorders>
              <w:top w:val="single" w:sz="4" w:space="0" w:color="auto"/>
            </w:tcBorders>
            <w:vAlign w:val="bottom"/>
          </w:tcPr>
          <w:p w14:paraId="103DBDB6" w14:textId="77777777" w:rsidR="003F5E45" w:rsidRPr="006B42D6" w:rsidRDefault="003F5E45" w:rsidP="00B24B89">
            <w:pPr>
              <w:jc w:val="right"/>
              <w:rPr>
                <w:b/>
                <w:bCs/>
                <w:sz w:val="16"/>
                <w:szCs w:val="16"/>
              </w:rPr>
            </w:pPr>
            <w:r w:rsidRPr="006B42D6">
              <w:rPr>
                <w:sz w:val="16"/>
                <w:szCs w:val="16"/>
              </w:rPr>
              <w:t>41.0</w:t>
            </w:r>
          </w:p>
        </w:tc>
      </w:tr>
      <w:tr w:rsidR="006B42D6" w:rsidRPr="006B42D6" w14:paraId="0AF55CB4" w14:textId="77777777" w:rsidTr="00A850C6">
        <w:trPr>
          <w:trHeight w:val="58"/>
        </w:trPr>
        <w:tc>
          <w:tcPr>
            <w:tcW w:w="867" w:type="dxa"/>
            <w:tcBorders>
              <w:right w:val="single" w:sz="4" w:space="0" w:color="auto"/>
            </w:tcBorders>
            <w:vAlign w:val="center"/>
          </w:tcPr>
          <w:p w14:paraId="3FB871DB" w14:textId="77777777" w:rsidR="003F5E45" w:rsidRPr="006B42D6" w:rsidRDefault="003F5E45" w:rsidP="005C2EFC">
            <w:pPr>
              <w:rPr>
                <w:b/>
                <w:bCs/>
                <w:sz w:val="16"/>
                <w:szCs w:val="16"/>
              </w:rPr>
            </w:pPr>
          </w:p>
        </w:tc>
        <w:tc>
          <w:tcPr>
            <w:tcW w:w="1176" w:type="dxa"/>
            <w:tcBorders>
              <w:left w:val="single" w:sz="4" w:space="0" w:color="auto"/>
              <w:right w:val="single" w:sz="4" w:space="0" w:color="auto"/>
            </w:tcBorders>
            <w:shd w:val="clear" w:color="auto" w:fill="auto"/>
            <w:noWrap/>
            <w:vAlign w:val="center"/>
          </w:tcPr>
          <w:p w14:paraId="21F4BD58" w14:textId="77777777" w:rsidR="003F5E45" w:rsidRPr="006B42D6" w:rsidRDefault="003F5E45" w:rsidP="005C2EFC">
            <w:pPr>
              <w:rPr>
                <w:b/>
                <w:bCs/>
                <w:sz w:val="16"/>
                <w:szCs w:val="16"/>
              </w:rPr>
            </w:pPr>
            <w:r w:rsidRPr="006B42D6">
              <w:rPr>
                <w:sz w:val="16"/>
                <w:szCs w:val="16"/>
              </w:rPr>
              <w:t>Seldom</w:t>
            </w:r>
          </w:p>
        </w:tc>
        <w:tc>
          <w:tcPr>
            <w:tcW w:w="1567" w:type="dxa"/>
            <w:tcBorders>
              <w:left w:val="single" w:sz="4" w:space="0" w:color="auto"/>
            </w:tcBorders>
            <w:shd w:val="clear" w:color="auto" w:fill="auto"/>
            <w:noWrap/>
            <w:vAlign w:val="bottom"/>
          </w:tcPr>
          <w:p w14:paraId="4510AA31" w14:textId="77777777" w:rsidR="003F5E45" w:rsidRPr="006B42D6" w:rsidRDefault="003F5E45" w:rsidP="00B24B89">
            <w:pPr>
              <w:jc w:val="right"/>
              <w:rPr>
                <w:b/>
                <w:bCs/>
                <w:sz w:val="16"/>
                <w:szCs w:val="16"/>
              </w:rPr>
            </w:pPr>
            <w:r w:rsidRPr="006B42D6">
              <w:rPr>
                <w:sz w:val="16"/>
                <w:szCs w:val="16"/>
              </w:rPr>
              <w:t xml:space="preserve">1,960,865 </w:t>
            </w:r>
          </w:p>
        </w:tc>
        <w:tc>
          <w:tcPr>
            <w:tcW w:w="1147" w:type="dxa"/>
            <w:tcBorders>
              <w:right w:val="single" w:sz="4" w:space="0" w:color="auto"/>
            </w:tcBorders>
            <w:vAlign w:val="bottom"/>
          </w:tcPr>
          <w:p w14:paraId="2B5DEFBF" w14:textId="77777777" w:rsidR="003F5E45" w:rsidRPr="006B42D6" w:rsidRDefault="003F5E45" w:rsidP="00B24B89">
            <w:pPr>
              <w:jc w:val="right"/>
              <w:rPr>
                <w:b/>
                <w:bCs/>
                <w:sz w:val="16"/>
                <w:szCs w:val="16"/>
              </w:rPr>
            </w:pPr>
            <w:r w:rsidRPr="006B42D6">
              <w:rPr>
                <w:sz w:val="16"/>
                <w:szCs w:val="16"/>
              </w:rPr>
              <w:t>33.6</w:t>
            </w:r>
          </w:p>
        </w:tc>
        <w:tc>
          <w:tcPr>
            <w:tcW w:w="1133" w:type="dxa"/>
            <w:tcBorders>
              <w:left w:val="single" w:sz="4" w:space="0" w:color="auto"/>
            </w:tcBorders>
            <w:vAlign w:val="bottom"/>
          </w:tcPr>
          <w:p w14:paraId="4DC332F9" w14:textId="77777777" w:rsidR="003F5E45" w:rsidRPr="006B42D6" w:rsidRDefault="003F5E45" w:rsidP="00B24B89">
            <w:pPr>
              <w:jc w:val="right"/>
              <w:rPr>
                <w:b/>
                <w:bCs/>
                <w:sz w:val="16"/>
                <w:szCs w:val="16"/>
              </w:rPr>
            </w:pPr>
            <w:r w:rsidRPr="006B42D6">
              <w:rPr>
                <w:sz w:val="16"/>
                <w:szCs w:val="16"/>
              </w:rPr>
              <w:t xml:space="preserve">1,913,138 </w:t>
            </w:r>
          </w:p>
        </w:tc>
        <w:tc>
          <w:tcPr>
            <w:tcW w:w="1131" w:type="dxa"/>
            <w:tcBorders>
              <w:right w:val="single" w:sz="4" w:space="0" w:color="auto"/>
            </w:tcBorders>
            <w:vAlign w:val="bottom"/>
          </w:tcPr>
          <w:p w14:paraId="54876A53" w14:textId="77777777" w:rsidR="003F5E45" w:rsidRPr="006B42D6" w:rsidRDefault="003F5E45" w:rsidP="00B24B89">
            <w:pPr>
              <w:jc w:val="right"/>
              <w:rPr>
                <w:b/>
                <w:bCs/>
                <w:sz w:val="16"/>
                <w:szCs w:val="16"/>
              </w:rPr>
            </w:pPr>
            <w:r w:rsidRPr="006B42D6">
              <w:rPr>
                <w:sz w:val="16"/>
                <w:szCs w:val="16"/>
              </w:rPr>
              <w:t>33.5</w:t>
            </w:r>
          </w:p>
        </w:tc>
        <w:tc>
          <w:tcPr>
            <w:tcW w:w="1138" w:type="dxa"/>
            <w:tcBorders>
              <w:left w:val="single" w:sz="4" w:space="0" w:color="auto"/>
            </w:tcBorders>
            <w:vAlign w:val="bottom"/>
          </w:tcPr>
          <w:p w14:paraId="6A06D342" w14:textId="4F3B3760" w:rsidR="003F5E45" w:rsidRPr="006B42D6" w:rsidRDefault="003F5E45" w:rsidP="007A288F">
            <w:pPr>
              <w:jc w:val="right"/>
              <w:rPr>
                <w:b/>
                <w:bCs/>
                <w:sz w:val="16"/>
                <w:szCs w:val="16"/>
              </w:rPr>
            </w:pPr>
            <w:r w:rsidRPr="006B42D6">
              <w:rPr>
                <w:sz w:val="16"/>
                <w:szCs w:val="16"/>
              </w:rPr>
              <w:t>47,727</w:t>
            </w:r>
          </w:p>
        </w:tc>
        <w:tc>
          <w:tcPr>
            <w:tcW w:w="1131" w:type="dxa"/>
            <w:vAlign w:val="bottom"/>
          </w:tcPr>
          <w:p w14:paraId="22E37467" w14:textId="77777777" w:rsidR="003F5E45" w:rsidRPr="006B42D6" w:rsidRDefault="003F5E45" w:rsidP="00B24B89">
            <w:pPr>
              <w:jc w:val="right"/>
              <w:rPr>
                <w:b/>
                <w:bCs/>
                <w:sz w:val="16"/>
                <w:szCs w:val="16"/>
              </w:rPr>
            </w:pPr>
            <w:r w:rsidRPr="006B42D6">
              <w:rPr>
                <w:sz w:val="16"/>
                <w:szCs w:val="16"/>
              </w:rPr>
              <w:t>36.1</w:t>
            </w:r>
          </w:p>
        </w:tc>
      </w:tr>
      <w:tr w:rsidR="006B42D6" w:rsidRPr="006B42D6" w14:paraId="741254DA" w14:textId="77777777" w:rsidTr="00A850C6">
        <w:trPr>
          <w:trHeight w:val="58"/>
        </w:trPr>
        <w:tc>
          <w:tcPr>
            <w:tcW w:w="867" w:type="dxa"/>
            <w:tcBorders>
              <w:right w:val="single" w:sz="4" w:space="0" w:color="auto"/>
            </w:tcBorders>
            <w:vAlign w:val="center"/>
          </w:tcPr>
          <w:p w14:paraId="01F20B3C" w14:textId="77777777" w:rsidR="003F5E45" w:rsidRPr="006B42D6" w:rsidRDefault="003F5E45" w:rsidP="005C2EFC">
            <w:pPr>
              <w:rPr>
                <w:b/>
                <w:bCs/>
                <w:sz w:val="16"/>
                <w:szCs w:val="16"/>
              </w:rPr>
            </w:pPr>
            <w:r w:rsidRPr="006B42D6">
              <w:rPr>
                <w:b/>
                <w:bCs/>
                <w:sz w:val="16"/>
                <w:szCs w:val="16"/>
              </w:rPr>
              <w:t>2007/08</w:t>
            </w:r>
          </w:p>
        </w:tc>
        <w:tc>
          <w:tcPr>
            <w:tcW w:w="1176" w:type="dxa"/>
            <w:tcBorders>
              <w:left w:val="single" w:sz="4" w:space="0" w:color="auto"/>
              <w:right w:val="single" w:sz="4" w:space="0" w:color="auto"/>
            </w:tcBorders>
            <w:shd w:val="clear" w:color="auto" w:fill="auto"/>
            <w:noWrap/>
            <w:vAlign w:val="center"/>
          </w:tcPr>
          <w:p w14:paraId="3DA5A5DC" w14:textId="77777777" w:rsidR="003F5E45" w:rsidRPr="006B42D6" w:rsidRDefault="003F5E45" w:rsidP="005C2EFC">
            <w:pPr>
              <w:rPr>
                <w:b/>
                <w:bCs/>
                <w:sz w:val="16"/>
                <w:szCs w:val="16"/>
              </w:rPr>
            </w:pPr>
            <w:r w:rsidRPr="006B42D6">
              <w:rPr>
                <w:sz w:val="16"/>
                <w:szCs w:val="16"/>
              </w:rPr>
              <w:t>Sometimes</w:t>
            </w:r>
          </w:p>
        </w:tc>
        <w:tc>
          <w:tcPr>
            <w:tcW w:w="1567" w:type="dxa"/>
            <w:tcBorders>
              <w:left w:val="single" w:sz="4" w:space="0" w:color="auto"/>
            </w:tcBorders>
            <w:shd w:val="clear" w:color="auto" w:fill="auto"/>
            <w:noWrap/>
            <w:vAlign w:val="bottom"/>
          </w:tcPr>
          <w:p w14:paraId="16D8B115" w14:textId="77777777" w:rsidR="003F5E45" w:rsidRPr="006B42D6" w:rsidRDefault="003F5E45" w:rsidP="00B24B89">
            <w:pPr>
              <w:jc w:val="right"/>
              <w:rPr>
                <w:b/>
                <w:bCs/>
                <w:sz w:val="16"/>
                <w:szCs w:val="16"/>
              </w:rPr>
            </w:pPr>
            <w:r w:rsidRPr="006B42D6">
              <w:rPr>
                <w:sz w:val="16"/>
                <w:szCs w:val="16"/>
              </w:rPr>
              <w:t xml:space="preserve">580,026 </w:t>
            </w:r>
          </w:p>
        </w:tc>
        <w:tc>
          <w:tcPr>
            <w:tcW w:w="1147" w:type="dxa"/>
            <w:tcBorders>
              <w:right w:val="single" w:sz="4" w:space="0" w:color="auto"/>
            </w:tcBorders>
            <w:vAlign w:val="bottom"/>
          </w:tcPr>
          <w:p w14:paraId="120E3A0A" w14:textId="77777777" w:rsidR="003F5E45" w:rsidRPr="006B42D6" w:rsidRDefault="003F5E45" w:rsidP="00B24B89">
            <w:pPr>
              <w:jc w:val="right"/>
              <w:rPr>
                <w:b/>
                <w:bCs/>
                <w:sz w:val="16"/>
                <w:szCs w:val="16"/>
              </w:rPr>
            </w:pPr>
            <w:r w:rsidRPr="006B42D6">
              <w:rPr>
                <w:sz w:val="16"/>
                <w:szCs w:val="16"/>
              </w:rPr>
              <w:t>9.9</w:t>
            </w:r>
          </w:p>
        </w:tc>
        <w:tc>
          <w:tcPr>
            <w:tcW w:w="1133" w:type="dxa"/>
            <w:tcBorders>
              <w:left w:val="single" w:sz="4" w:space="0" w:color="auto"/>
            </w:tcBorders>
            <w:vAlign w:val="bottom"/>
          </w:tcPr>
          <w:p w14:paraId="46D54914" w14:textId="77777777" w:rsidR="003F5E45" w:rsidRPr="006B42D6" w:rsidRDefault="003F5E45" w:rsidP="00B24B89">
            <w:pPr>
              <w:jc w:val="right"/>
              <w:rPr>
                <w:b/>
                <w:bCs/>
                <w:sz w:val="16"/>
                <w:szCs w:val="16"/>
              </w:rPr>
            </w:pPr>
            <w:r w:rsidRPr="006B42D6">
              <w:rPr>
                <w:sz w:val="16"/>
                <w:szCs w:val="16"/>
              </w:rPr>
              <w:t xml:space="preserve">567,835 </w:t>
            </w:r>
          </w:p>
        </w:tc>
        <w:tc>
          <w:tcPr>
            <w:tcW w:w="1131" w:type="dxa"/>
            <w:tcBorders>
              <w:right w:val="single" w:sz="4" w:space="0" w:color="auto"/>
            </w:tcBorders>
            <w:vAlign w:val="bottom"/>
          </w:tcPr>
          <w:p w14:paraId="7F616DFC" w14:textId="77777777" w:rsidR="003F5E45" w:rsidRPr="006B42D6" w:rsidRDefault="003F5E45" w:rsidP="00B24B89">
            <w:pPr>
              <w:jc w:val="right"/>
              <w:rPr>
                <w:b/>
                <w:bCs/>
                <w:sz w:val="16"/>
                <w:szCs w:val="16"/>
              </w:rPr>
            </w:pPr>
            <w:r w:rsidRPr="006B42D6">
              <w:rPr>
                <w:sz w:val="16"/>
                <w:szCs w:val="16"/>
              </w:rPr>
              <w:t>10.0</w:t>
            </w:r>
          </w:p>
        </w:tc>
        <w:tc>
          <w:tcPr>
            <w:tcW w:w="1138" w:type="dxa"/>
            <w:tcBorders>
              <w:left w:val="single" w:sz="4" w:space="0" w:color="auto"/>
            </w:tcBorders>
            <w:vAlign w:val="bottom"/>
          </w:tcPr>
          <w:p w14:paraId="57C56810" w14:textId="7459214C" w:rsidR="003F5E45" w:rsidRPr="006B42D6" w:rsidRDefault="003F5E45" w:rsidP="007A288F">
            <w:pPr>
              <w:jc w:val="right"/>
              <w:rPr>
                <w:b/>
                <w:bCs/>
                <w:sz w:val="16"/>
                <w:szCs w:val="16"/>
              </w:rPr>
            </w:pPr>
            <w:r w:rsidRPr="006B42D6">
              <w:rPr>
                <w:sz w:val="16"/>
                <w:szCs w:val="16"/>
              </w:rPr>
              <w:t>12,192</w:t>
            </w:r>
          </w:p>
        </w:tc>
        <w:tc>
          <w:tcPr>
            <w:tcW w:w="1131" w:type="dxa"/>
            <w:vAlign w:val="bottom"/>
          </w:tcPr>
          <w:p w14:paraId="4B36100B" w14:textId="77777777" w:rsidR="003F5E45" w:rsidRPr="006B42D6" w:rsidRDefault="003F5E45" w:rsidP="00B24B89">
            <w:pPr>
              <w:jc w:val="right"/>
              <w:rPr>
                <w:b/>
                <w:bCs/>
                <w:sz w:val="16"/>
                <w:szCs w:val="16"/>
              </w:rPr>
            </w:pPr>
            <w:r w:rsidRPr="006B42D6">
              <w:rPr>
                <w:sz w:val="16"/>
                <w:szCs w:val="16"/>
              </w:rPr>
              <w:t>9.2</w:t>
            </w:r>
          </w:p>
        </w:tc>
      </w:tr>
      <w:tr w:rsidR="006B42D6" w:rsidRPr="006B42D6" w14:paraId="57D35119" w14:textId="77777777" w:rsidTr="00A850C6">
        <w:trPr>
          <w:trHeight w:val="58"/>
        </w:trPr>
        <w:tc>
          <w:tcPr>
            <w:tcW w:w="867" w:type="dxa"/>
            <w:tcBorders>
              <w:right w:val="single" w:sz="4" w:space="0" w:color="auto"/>
            </w:tcBorders>
            <w:vAlign w:val="center"/>
          </w:tcPr>
          <w:p w14:paraId="7E4E2DBF" w14:textId="77777777" w:rsidR="003F5E45" w:rsidRPr="006B42D6" w:rsidRDefault="003F5E45" w:rsidP="005C2EFC">
            <w:pPr>
              <w:rPr>
                <w:b/>
                <w:bCs/>
                <w:sz w:val="16"/>
                <w:szCs w:val="16"/>
              </w:rPr>
            </w:pPr>
          </w:p>
        </w:tc>
        <w:tc>
          <w:tcPr>
            <w:tcW w:w="1176" w:type="dxa"/>
            <w:tcBorders>
              <w:left w:val="single" w:sz="4" w:space="0" w:color="auto"/>
              <w:right w:val="single" w:sz="4" w:space="0" w:color="auto"/>
            </w:tcBorders>
            <w:shd w:val="clear" w:color="auto" w:fill="auto"/>
            <w:noWrap/>
            <w:vAlign w:val="center"/>
          </w:tcPr>
          <w:p w14:paraId="183DF0A6" w14:textId="77777777" w:rsidR="003F5E45" w:rsidRPr="006B42D6" w:rsidRDefault="003F5E45" w:rsidP="005C2EFC">
            <w:pPr>
              <w:rPr>
                <w:b/>
                <w:bCs/>
                <w:sz w:val="16"/>
                <w:szCs w:val="16"/>
              </w:rPr>
            </w:pPr>
            <w:r w:rsidRPr="006B42D6">
              <w:rPr>
                <w:sz w:val="16"/>
                <w:szCs w:val="16"/>
              </w:rPr>
              <w:t>Often</w:t>
            </w:r>
          </w:p>
        </w:tc>
        <w:tc>
          <w:tcPr>
            <w:tcW w:w="1567" w:type="dxa"/>
            <w:tcBorders>
              <w:left w:val="single" w:sz="4" w:space="0" w:color="auto"/>
            </w:tcBorders>
            <w:shd w:val="clear" w:color="auto" w:fill="auto"/>
            <w:noWrap/>
            <w:vAlign w:val="bottom"/>
          </w:tcPr>
          <w:p w14:paraId="1B45D850" w14:textId="77777777" w:rsidR="003F5E45" w:rsidRPr="006B42D6" w:rsidRDefault="003F5E45" w:rsidP="00B24B89">
            <w:pPr>
              <w:jc w:val="right"/>
              <w:rPr>
                <w:b/>
                <w:bCs/>
                <w:sz w:val="16"/>
                <w:szCs w:val="16"/>
              </w:rPr>
            </w:pPr>
            <w:r w:rsidRPr="006B42D6">
              <w:rPr>
                <w:sz w:val="16"/>
                <w:szCs w:val="16"/>
              </w:rPr>
              <w:t xml:space="preserve">567,716 </w:t>
            </w:r>
          </w:p>
        </w:tc>
        <w:tc>
          <w:tcPr>
            <w:tcW w:w="1147" w:type="dxa"/>
            <w:tcBorders>
              <w:right w:val="single" w:sz="4" w:space="0" w:color="auto"/>
            </w:tcBorders>
            <w:vAlign w:val="bottom"/>
          </w:tcPr>
          <w:p w14:paraId="61883DE4" w14:textId="77777777" w:rsidR="003F5E45" w:rsidRPr="006B42D6" w:rsidRDefault="003F5E45" w:rsidP="00B24B89">
            <w:pPr>
              <w:jc w:val="right"/>
              <w:rPr>
                <w:b/>
                <w:bCs/>
                <w:sz w:val="16"/>
                <w:szCs w:val="16"/>
              </w:rPr>
            </w:pPr>
            <w:r w:rsidRPr="006B42D6">
              <w:rPr>
                <w:sz w:val="16"/>
                <w:szCs w:val="16"/>
              </w:rPr>
              <w:t>9.7</w:t>
            </w:r>
          </w:p>
        </w:tc>
        <w:tc>
          <w:tcPr>
            <w:tcW w:w="1133" w:type="dxa"/>
            <w:tcBorders>
              <w:left w:val="single" w:sz="4" w:space="0" w:color="auto"/>
            </w:tcBorders>
            <w:vAlign w:val="bottom"/>
          </w:tcPr>
          <w:p w14:paraId="42BB42F2" w14:textId="77777777" w:rsidR="003F5E45" w:rsidRPr="006B42D6" w:rsidRDefault="003F5E45" w:rsidP="00B24B89">
            <w:pPr>
              <w:jc w:val="right"/>
              <w:rPr>
                <w:b/>
                <w:bCs/>
                <w:sz w:val="16"/>
                <w:szCs w:val="16"/>
              </w:rPr>
            </w:pPr>
            <w:r w:rsidRPr="006B42D6">
              <w:rPr>
                <w:sz w:val="16"/>
                <w:szCs w:val="16"/>
              </w:rPr>
              <w:t xml:space="preserve">556,312 </w:t>
            </w:r>
          </w:p>
        </w:tc>
        <w:tc>
          <w:tcPr>
            <w:tcW w:w="1131" w:type="dxa"/>
            <w:tcBorders>
              <w:right w:val="single" w:sz="4" w:space="0" w:color="auto"/>
            </w:tcBorders>
            <w:vAlign w:val="bottom"/>
          </w:tcPr>
          <w:p w14:paraId="25042611" w14:textId="77777777" w:rsidR="003F5E45" w:rsidRPr="006B42D6" w:rsidRDefault="003F5E45" w:rsidP="00B24B89">
            <w:pPr>
              <w:jc w:val="right"/>
              <w:rPr>
                <w:b/>
                <w:bCs/>
                <w:sz w:val="16"/>
                <w:szCs w:val="16"/>
              </w:rPr>
            </w:pPr>
            <w:r w:rsidRPr="006B42D6">
              <w:rPr>
                <w:sz w:val="16"/>
                <w:szCs w:val="16"/>
              </w:rPr>
              <w:t>9.7</w:t>
            </w:r>
          </w:p>
        </w:tc>
        <w:tc>
          <w:tcPr>
            <w:tcW w:w="1138" w:type="dxa"/>
            <w:tcBorders>
              <w:left w:val="single" w:sz="4" w:space="0" w:color="auto"/>
            </w:tcBorders>
            <w:vAlign w:val="bottom"/>
          </w:tcPr>
          <w:p w14:paraId="2B352016" w14:textId="56AA8D8D" w:rsidR="003F5E45" w:rsidRPr="006B42D6" w:rsidRDefault="003F5E45" w:rsidP="007A288F">
            <w:pPr>
              <w:jc w:val="right"/>
              <w:rPr>
                <w:b/>
                <w:bCs/>
                <w:sz w:val="16"/>
                <w:szCs w:val="16"/>
              </w:rPr>
            </w:pPr>
            <w:r w:rsidRPr="006B42D6">
              <w:rPr>
                <w:sz w:val="16"/>
                <w:szCs w:val="16"/>
              </w:rPr>
              <w:t>11,404</w:t>
            </w:r>
          </w:p>
        </w:tc>
        <w:tc>
          <w:tcPr>
            <w:tcW w:w="1131" w:type="dxa"/>
            <w:vAlign w:val="bottom"/>
          </w:tcPr>
          <w:p w14:paraId="301CB187" w14:textId="77777777" w:rsidR="003F5E45" w:rsidRPr="006B42D6" w:rsidRDefault="003F5E45" w:rsidP="00B24B89">
            <w:pPr>
              <w:jc w:val="right"/>
              <w:rPr>
                <w:b/>
                <w:bCs/>
                <w:sz w:val="16"/>
                <w:szCs w:val="16"/>
              </w:rPr>
            </w:pPr>
            <w:r w:rsidRPr="006B42D6">
              <w:rPr>
                <w:sz w:val="16"/>
                <w:szCs w:val="16"/>
              </w:rPr>
              <w:t>8.6</w:t>
            </w:r>
          </w:p>
        </w:tc>
      </w:tr>
      <w:tr w:rsidR="006B42D6" w:rsidRPr="006B42D6" w14:paraId="17356FD6" w14:textId="77777777" w:rsidTr="00A850C6">
        <w:trPr>
          <w:trHeight w:val="58"/>
        </w:trPr>
        <w:tc>
          <w:tcPr>
            <w:tcW w:w="867" w:type="dxa"/>
            <w:tcBorders>
              <w:right w:val="single" w:sz="4" w:space="0" w:color="auto"/>
            </w:tcBorders>
            <w:vAlign w:val="center"/>
          </w:tcPr>
          <w:p w14:paraId="60DB09BE" w14:textId="77777777" w:rsidR="003F5E45" w:rsidRPr="006B42D6" w:rsidRDefault="003F5E45" w:rsidP="005C2EFC">
            <w:pPr>
              <w:rPr>
                <w:b/>
                <w:bCs/>
                <w:sz w:val="16"/>
                <w:szCs w:val="16"/>
              </w:rPr>
            </w:pPr>
          </w:p>
        </w:tc>
        <w:tc>
          <w:tcPr>
            <w:tcW w:w="1176" w:type="dxa"/>
            <w:tcBorders>
              <w:left w:val="single" w:sz="4" w:space="0" w:color="auto"/>
              <w:bottom w:val="single" w:sz="4" w:space="0" w:color="auto"/>
              <w:right w:val="single" w:sz="4" w:space="0" w:color="auto"/>
            </w:tcBorders>
            <w:shd w:val="clear" w:color="auto" w:fill="auto"/>
            <w:noWrap/>
            <w:vAlign w:val="center"/>
          </w:tcPr>
          <w:p w14:paraId="4E1199CF" w14:textId="77777777" w:rsidR="003F5E45" w:rsidRPr="006B42D6" w:rsidRDefault="003F5E45" w:rsidP="005C2EFC">
            <w:pPr>
              <w:rPr>
                <w:b/>
                <w:bCs/>
                <w:sz w:val="16"/>
                <w:szCs w:val="16"/>
              </w:rPr>
            </w:pPr>
            <w:r w:rsidRPr="006B42D6">
              <w:rPr>
                <w:sz w:val="16"/>
                <w:szCs w:val="16"/>
              </w:rPr>
              <w:t>Always</w:t>
            </w:r>
          </w:p>
        </w:tc>
        <w:tc>
          <w:tcPr>
            <w:tcW w:w="1567" w:type="dxa"/>
            <w:tcBorders>
              <w:left w:val="single" w:sz="4" w:space="0" w:color="auto"/>
              <w:bottom w:val="single" w:sz="4" w:space="0" w:color="auto"/>
            </w:tcBorders>
            <w:shd w:val="clear" w:color="auto" w:fill="auto"/>
            <w:noWrap/>
            <w:vAlign w:val="bottom"/>
          </w:tcPr>
          <w:p w14:paraId="14468799" w14:textId="77777777" w:rsidR="003F5E45" w:rsidRPr="006B42D6" w:rsidRDefault="003F5E45" w:rsidP="00B24B89">
            <w:pPr>
              <w:jc w:val="right"/>
              <w:rPr>
                <w:b/>
                <w:bCs/>
                <w:sz w:val="16"/>
                <w:szCs w:val="16"/>
              </w:rPr>
            </w:pPr>
            <w:r w:rsidRPr="006B42D6">
              <w:rPr>
                <w:sz w:val="16"/>
                <w:szCs w:val="16"/>
              </w:rPr>
              <w:t xml:space="preserve">367,662 </w:t>
            </w:r>
          </w:p>
        </w:tc>
        <w:tc>
          <w:tcPr>
            <w:tcW w:w="1147" w:type="dxa"/>
            <w:tcBorders>
              <w:bottom w:val="single" w:sz="4" w:space="0" w:color="auto"/>
              <w:right w:val="single" w:sz="4" w:space="0" w:color="auto"/>
            </w:tcBorders>
            <w:vAlign w:val="bottom"/>
          </w:tcPr>
          <w:p w14:paraId="70CCB38C" w14:textId="77777777" w:rsidR="003F5E45" w:rsidRPr="006B42D6" w:rsidRDefault="003F5E45" w:rsidP="00B24B89">
            <w:pPr>
              <w:jc w:val="right"/>
              <w:rPr>
                <w:b/>
                <w:bCs/>
                <w:sz w:val="16"/>
                <w:szCs w:val="16"/>
              </w:rPr>
            </w:pPr>
            <w:r w:rsidRPr="006B42D6">
              <w:rPr>
                <w:sz w:val="16"/>
                <w:szCs w:val="16"/>
              </w:rPr>
              <w:t>6.3</w:t>
            </w:r>
          </w:p>
        </w:tc>
        <w:tc>
          <w:tcPr>
            <w:tcW w:w="1133" w:type="dxa"/>
            <w:tcBorders>
              <w:left w:val="single" w:sz="4" w:space="0" w:color="auto"/>
              <w:bottom w:val="single" w:sz="4" w:space="0" w:color="auto"/>
            </w:tcBorders>
            <w:vAlign w:val="bottom"/>
          </w:tcPr>
          <w:p w14:paraId="7811002F" w14:textId="77777777" w:rsidR="003F5E45" w:rsidRPr="006B42D6" w:rsidRDefault="003F5E45" w:rsidP="00B24B89">
            <w:pPr>
              <w:jc w:val="right"/>
              <w:rPr>
                <w:b/>
                <w:bCs/>
                <w:sz w:val="16"/>
                <w:szCs w:val="16"/>
              </w:rPr>
            </w:pPr>
            <w:r w:rsidRPr="006B42D6">
              <w:rPr>
                <w:sz w:val="16"/>
                <w:szCs w:val="16"/>
              </w:rPr>
              <w:t xml:space="preserve">361,043 </w:t>
            </w:r>
          </w:p>
        </w:tc>
        <w:tc>
          <w:tcPr>
            <w:tcW w:w="1131" w:type="dxa"/>
            <w:tcBorders>
              <w:bottom w:val="single" w:sz="4" w:space="0" w:color="auto"/>
              <w:right w:val="single" w:sz="4" w:space="0" w:color="auto"/>
            </w:tcBorders>
            <w:vAlign w:val="bottom"/>
          </w:tcPr>
          <w:p w14:paraId="3F4114DE" w14:textId="77777777" w:rsidR="003F5E45" w:rsidRPr="006B42D6" w:rsidRDefault="003F5E45" w:rsidP="00B24B89">
            <w:pPr>
              <w:jc w:val="right"/>
              <w:rPr>
                <w:b/>
                <w:bCs/>
                <w:sz w:val="16"/>
                <w:szCs w:val="16"/>
              </w:rPr>
            </w:pPr>
            <w:r w:rsidRPr="006B42D6">
              <w:rPr>
                <w:sz w:val="16"/>
                <w:szCs w:val="16"/>
              </w:rPr>
              <w:t>6.3</w:t>
            </w:r>
          </w:p>
        </w:tc>
        <w:tc>
          <w:tcPr>
            <w:tcW w:w="1138" w:type="dxa"/>
            <w:tcBorders>
              <w:left w:val="single" w:sz="4" w:space="0" w:color="auto"/>
              <w:bottom w:val="single" w:sz="4" w:space="0" w:color="auto"/>
            </w:tcBorders>
            <w:vAlign w:val="bottom"/>
          </w:tcPr>
          <w:p w14:paraId="3ECA63FD" w14:textId="29664A1A" w:rsidR="003F5E45" w:rsidRPr="006B42D6" w:rsidRDefault="003F5E45" w:rsidP="007A288F">
            <w:pPr>
              <w:jc w:val="right"/>
              <w:rPr>
                <w:b/>
                <w:bCs/>
                <w:sz w:val="16"/>
                <w:szCs w:val="16"/>
              </w:rPr>
            </w:pPr>
            <w:r w:rsidRPr="006B42D6">
              <w:rPr>
                <w:sz w:val="16"/>
                <w:szCs w:val="16"/>
              </w:rPr>
              <w:t>6,619</w:t>
            </w:r>
          </w:p>
        </w:tc>
        <w:tc>
          <w:tcPr>
            <w:tcW w:w="1131" w:type="dxa"/>
            <w:tcBorders>
              <w:bottom w:val="single" w:sz="4" w:space="0" w:color="auto"/>
            </w:tcBorders>
            <w:vAlign w:val="bottom"/>
          </w:tcPr>
          <w:p w14:paraId="756AA47E" w14:textId="77777777" w:rsidR="003F5E45" w:rsidRPr="006B42D6" w:rsidRDefault="003F5E45" w:rsidP="00B24B89">
            <w:pPr>
              <w:jc w:val="right"/>
              <w:rPr>
                <w:b/>
                <w:bCs/>
                <w:sz w:val="16"/>
                <w:szCs w:val="16"/>
              </w:rPr>
            </w:pPr>
            <w:r w:rsidRPr="006B42D6">
              <w:rPr>
                <w:sz w:val="16"/>
                <w:szCs w:val="16"/>
              </w:rPr>
              <w:t>5.0</w:t>
            </w:r>
          </w:p>
        </w:tc>
      </w:tr>
      <w:tr w:rsidR="006B42D6" w:rsidRPr="006B42D6" w14:paraId="1478C690" w14:textId="77777777" w:rsidTr="00257DF7">
        <w:trPr>
          <w:trHeight w:val="58"/>
        </w:trPr>
        <w:tc>
          <w:tcPr>
            <w:tcW w:w="867" w:type="dxa"/>
            <w:tcBorders>
              <w:bottom w:val="single" w:sz="4" w:space="0" w:color="auto"/>
              <w:right w:val="single" w:sz="4" w:space="0" w:color="auto"/>
            </w:tcBorders>
            <w:vAlign w:val="center"/>
          </w:tcPr>
          <w:p w14:paraId="7810142B" w14:textId="77777777" w:rsidR="003F5E45" w:rsidRPr="006B42D6" w:rsidRDefault="003F5E45" w:rsidP="005C2EFC">
            <w:pPr>
              <w:rPr>
                <w:b/>
                <w:bCs/>
                <w:sz w:val="16"/>
                <w:szCs w:val="16"/>
              </w:rPr>
            </w:pPr>
          </w:p>
        </w:tc>
        <w:tc>
          <w:tcPr>
            <w:tcW w:w="1176"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tcPr>
          <w:p w14:paraId="1BE2B500" w14:textId="77777777" w:rsidR="003F5E45" w:rsidRPr="006B42D6" w:rsidRDefault="003F5E45" w:rsidP="005C2EFC">
            <w:pPr>
              <w:rPr>
                <w:b/>
                <w:bCs/>
                <w:sz w:val="16"/>
                <w:szCs w:val="16"/>
              </w:rPr>
            </w:pPr>
            <w:r w:rsidRPr="006B42D6">
              <w:rPr>
                <w:b/>
                <w:bCs/>
                <w:sz w:val="16"/>
                <w:szCs w:val="16"/>
              </w:rPr>
              <w:t>Total</w:t>
            </w:r>
          </w:p>
        </w:tc>
        <w:tc>
          <w:tcPr>
            <w:tcW w:w="1567" w:type="dxa"/>
            <w:tcBorders>
              <w:top w:val="single" w:sz="4" w:space="0" w:color="auto"/>
              <w:left w:val="single" w:sz="4" w:space="0" w:color="auto"/>
              <w:bottom w:val="single" w:sz="4" w:space="0" w:color="auto"/>
            </w:tcBorders>
            <w:shd w:val="clear" w:color="auto" w:fill="E2EFD9" w:themeFill="accent6" w:themeFillTint="33"/>
            <w:noWrap/>
            <w:vAlign w:val="center"/>
          </w:tcPr>
          <w:p w14:paraId="634692BF" w14:textId="77777777" w:rsidR="003F5E45" w:rsidRPr="006B42D6" w:rsidRDefault="003F5E45" w:rsidP="007A288F">
            <w:pPr>
              <w:jc w:val="right"/>
              <w:rPr>
                <w:b/>
                <w:bCs/>
                <w:sz w:val="16"/>
                <w:szCs w:val="16"/>
              </w:rPr>
            </w:pPr>
            <w:r w:rsidRPr="006B42D6">
              <w:rPr>
                <w:b/>
                <w:bCs/>
                <w:sz w:val="16"/>
                <w:szCs w:val="16"/>
              </w:rPr>
              <w:t xml:space="preserve">5,838,523 </w:t>
            </w:r>
          </w:p>
        </w:tc>
        <w:tc>
          <w:tcPr>
            <w:tcW w:w="1147" w:type="dxa"/>
            <w:tcBorders>
              <w:top w:val="single" w:sz="4" w:space="0" w:color="auto"/>
              <w:bottom w:val="single" w:sz="4" w:space="0" w:color="auto"/>
              <w:right w:val="single" w:sz="4" w:space="0" w:color="auto"/>
            </w:tcBorders>
            <w:shd w:val="clear" w:color="auto" w:fill="E2EFD9" w:themeFill="accent6" w:themeFillTint="33"/>
            <w:vAlign w:val="center"/>
          </w:tcPr>
          <w:p w14:paraId="257889BF" w14:textId="77777777" w:rsidR="003F5E45" w:rsidRPr="006B42D6" w:rsidRDefault="003F5E45" w:rsidP="007A288F">
            <w:pPr>
              <w:jc w:val="right"/>
              <w:rPr>
                <w:b/>
                <w:bCs/>
                <w:sz w:val="16"/>
                <w:szCs w:val="16"/>
              </w:rPr>
            </w:pPr>
            <w:r w:rsidRPr="006B42D6">
              <w:rPr>
                <w:b/>
                <w:bCs/>
                <w:sz w:val="16"/>
                <w:szCs w:val="16"/>
              </w:rPr>
              <w:t>100</w:t>
            </w:r>
          </w:p>
        </w:tc>
        <w:tc>
          <w:tcPr>
            <w:tcW w:w="1133" w:type="dxa"/>
            <w:tcBorders>
              <w:top w:val="single" w:sz="4" w:space="0" w:color="auto"/>
              <w:left w:val="single" w:sz="4" w:space="0" w:color="auto"/>
              <w:bottom w:val="single" w:sz="4" w:space="0" w:color="auto"/>
            </w:tcBorders>
            <w:shd w:val="clear" w:color="auto" w:fill="E2EFD9" w:themeFill="accent6" w:themeFillTint="33"/>
            <w:vAlign w:val="bottom"/>
          </w:tcPr>
          <w:p w14:paraId="1C492E7E" w14:textId="77777777" w:rsidR="003F5E45" w:rsidRPr="006B42D6" w:rsidRDefault="003F5E45" w:rsidP="00F11F40">
            <w:pPr>
              <w:jc w:val="right"/>
              <w:rPr>
                <w:b/>
                <w:bCs/>
                <w:sz w:val="16"/>
                <w:szCs w:val="16"/>
              </w:rPr>
            </w:pPr>
            <w:r w:rsidRPr="006B42D6">
              <w:rPr>
                <w:b/>
                <w:bCs/>
                <w:sz w:val="16"/>
                <w:szCs w:val="16"/>
              </w:rPr>
              <w:t xml:space="preserve">5,706,329 </w:t>
            </w:r>
          </w:p>
        </w:tc>
        <w:tc>
          <w:tcPr>
            <w:tcW w:w="1131" w:type="dxa"/>
            <w:tcBorders>
              <w:top w:val="single" w:sz="4" w:space="0" w:color="auto"/>
              <w:bottom w:val="single" w:sz="4" w:space="0" w:color="auto"/>
              <w:right w:val="single" w:sz="4" w:space="0" w:color="auto"/>
            </w:tcBorders>
            <w:shd w:val="clear" w:color="auto" w:fill="E2EFD9" w:themeFill="accent6" w:themeFillTint="33"/>
            <w:vAlign w:val="bottom"/>
          </w:tcPr>
          <w:p w14:paraId="3E8963E7" w14:textId="77777777" w:rsidR="003F5E45" w:rsidRPr="006B42D6" w:rsidRDefault="003F5E45" w:rsidP="00F11F40">
            <w:pPr>
              <w:jc w:val="right"/>
              <w:rPr>
                <w:b/>
                <w:bCs/>
                <w:sz w:val="16"/>
                <w:szCs w:val="16"/>
              </w:rPr>
            </w:pPr>
            <w:r w:rsidRPr="006B42D6">
              <w:rPr>
                <w:b/>
                <w:bCs/>
                <w:sz w:val="16"/>
                <w:szCs w:val="16"/>
              </w:rPr>
              <w:t>100</w:t>
            </w:r>
          </w:p>
        </w:tc>
        <w:tc>
          <w:tcPr>
            <w:tcW w:w="1138" w:type="dxa"/>
            <w:tcBorders>
              <w:top w:val="single" w:sz="4" w:space="0" w:color="auto"/>
              <w:left w:val="single" w:sz="4" w:space="0" w:color="auto"/>
              <w:bottom w:val="single" w:sz="4" w:space="0" w:color="auto"/>
            </w:tcBorders>
            <w:shd w:val="clear" w:color="auto" w:fill="E2EFD9" w:themeFill="accent6" w:themeFillTint="33"/>
            <w:vAlign w:val="bottom"/>
          </w:tcPr>
          <w:p w14:paraId="37CA5D60" w14:textId="23745901" w:rsidR="003F5E45" w:rsidRPr="006B42D6" w:rsidRDefault="003F5E45" w:rsidP="007A288F">
            <w:pPr>
              <w:jc w:val="right"/>
              <w:rPr>
                <w:b/>
                <w:bCs/>
                <w:sz w:val="16"/>
                <w:szCs w:val="16"/>
              </w:rPr>
            </w:pPr>
            <w:r w:rsidRPr="006B42D6">
              <w:rPr>
                <w:b/>
                <w:bCs/>
                <w:sz w:val="16"/>
                <w:szCs w:val="16"/>
              </w:rPr>
              <w:t>132,193</w:t>
            </w:r>
          </w:p>
        </w:tc>
        <w:tc>
          <w:tcPr>
            <w:tcW w:w="1131" w:type="dxa"/>
            <w:tcBorders>
              <w:top w:val="single" w:sz="4" w:space="0" w:color="auto"/>
              <w:bottom w:val="single" w:sz="4" w:space="0" w:color="auto"/>
            </w:tcBorders>
            <w:shd w:val="clear" w:color="auto" w:fill="E2EFD9" w:themeFill="accent6" w:themeFillTint="33"/>
            <w:vAlign w:val="bottom"/>
          </w:tcPr>
          <w:p w14:paraId="696CF826" w14:textId="77777777" w:rsidR="003F5E45" w:rsidRPr="006B42D6" w:rsidRDefault="003F5E45" w:rsidP="00F11F40">
            <w:pPr>
              <w:jc w:val="right"/>
              <w:rPr>
                <w:b/>
                <w:bCs/>
                <w:sz w:val="16"/>
                <w:szCs w:val="16"/>
              </w:rPr>
            </w:pPr>
            <w:r w:rsidRPr="006B42D6">
              <w:rPr>
                <w:b/>
                <w:bCs/>
                <w:sz w:val="16"/>
                <w:szCs w:val="16"/>
              </w:rPr>
              <w:t>100</w:t>
            </w:r>
          </w:p>
        </w:tc>
      </w:tr>
    </w:tbl>
    <w:p w14:paraId="60B799A8" w14:textId="77777777" w:rsidR="00C41AC6" w:rsidRDefault="00C41AC6">
      <w:pPr>
        <w:spacing w:line="240" w:lineRule="auto"/>
        <w:contextualSpacing w:val="0"/>
        <w:jc w:val="left"/>
      </w:pPr>
      <w:r>
        <w:br w:type="page"/>
      </w:r>
    </w:p>
    <w:p w14:paraId="06A59B7A" w14:textId="589BBC51" w:rsidR="003F5E45" w:rsidRPr="006B42D6" w:rsidRDefault="00F83A4C" w:rsidP="005C2EFC">
      <w:pPr>
        <w:pStyle w:val="Heading3"/>
      </w:pPr>
      <w:bookmarkStart w:id="898" w:name="_Toc82385814"/>
      <w:r w:rsidRPr="006B42D6">
        <w:lastRenderedPageBreak/>
        <w:t>6</w:t>
      </w:r>
      <w:r w:rsidR="003F5E45" w:rsidRPr="006B42D6">
        <w:t>.1</w:t>
      </w:r>
      <w:r w:rsidR="00AC6872">
        <w:t>1</w:t>
      </w:r>
      <w:r w:rsidR="003F5E45" w:rsidRPr="006B42D6">
        <w:t>.5</w:t>
      </w:r>
      <w:r w:rsidR="003F5E45" w:rsidRPr="006B42D6">
        <w:tab/>
        <w:t>Main Source of Household Income</w:t>
      </w:r>
      <w:bookmarkEnd w:id="898"/>
      <w:r w:rsidR="003F5E45" w:rsidRPr="006B42D6">
        <w:tab/>
      </w:r>
      <w:r w:rsidR="003F5E45" w:rsidRPr="006B42D6">
        <w:tab/>
      </w:r>
    </w:p>
    <w:p w14:paraId="2751E55E" w14:textId="5B95D971" w:rsidR="00AD7879" w:rsidRPr="006B42D6" w:rsidRDefault="00055593" w:rsidP="005C2EFC">
      <w:pPr>
        <w:adjustRightInd w:val="0"/>
      </w:pPr>
      <w:r w:rsidRPr="006B42D6">
        <w:t>During 2019/20 agricultural year</w:t>
      </w:r>
      <w:r w:rsidR="00AD7879" w:rsidRPr="006B42D6">
        <w:t xml:space="preserve">, </w:t>
      </w:r>
      <w:r w:rsidRPr="006B42D6">
        <w:t>a total of</w:t>
      </w:r>
      <w:r w:rsidR="00AD7879" w:rsidRPr="006B42D6">
        <w:t xml:space="preserve"> 3,490,327 </w:t>
      </w:r>
      <w:r w:rsidRPr="006B42D6">
        <w:t xml:space="preserve">agricultural </w:t>
      </w:r>
      <w:r w:rsidR="00AD7879" w:rsidRPr="006B42D6">
        <w:t>households (44.5 percent) reported sales of food crops as the main source of cash income in Tanzania. It was followed by casual earnings (</w:t>
      </w:r>
      <w:r w:rsidR="00010A9A" w:rsidRPr="006B42D6">
        <w:t xml:space="preserve">1,234, 056; </w:t>
      </w:r>
      <w:r w:rsidR="00AD7879" w:rsidRPr="006B42D6">
        <w:t>15.7 percent) and business income (</w:t>
      </w:r>
      <w:r w:rsidR="00010A9A" w:rsidRPr="006B42D6">
        <w:t xml:space="preserve">1,093,310; </w:t>
      </w:r>
      <w:r w:rsidR="00AD7879" w:rsidRPr="006B42D6">
        <w:t xml:space="preserve">13.9 percent). </w:t>
      </w:r>
      <w:r w:rsidRPr="006B42D6">
        <w:t>Furthermore, f</w:t>
      </w:r>
      <w:r w:rsidR="00AD7879" w:rsidRPr="006B42D6">
        <w:t xml:space="preserve">ish farming </w:t>
      </w:r>
      <w:r w:rsidRPr="006B42D6">
        <w:t xml:space="preserve">was reported by few households </w:t>
      </w:r>
      <w:r w:rsidR="00AD7879" w:rsidRPr="006B42D6">
        <w:t>(</w:t>
      </w:r>
      <w:r w:rsidRPr="006B42D6">
        <w:t xml:space="preserve">2,729; </w:t>
      </w:r>
      <w:r w:rsidR="00AD7879" w:rsidRPr="006B42D6">
        <w:t xml:space="preserve">0.03 percent) </w:t>
      </w:r>
      <w:r w:rsidRPr="006B42D6">
        <w:t xml:space="preserve">as their main </w:t>
      </w:r>
      <w:r w:rsidR="00AD7879" w:rsidRPr="006B42D6">
        <w:t xml:space="preserve">source of income (Figure </w:t>
      </w:r>
      <w:r w:rsidR="00F83A4C" w:rsidRPr="006B42D6">
        <w:t>6</w:t>
      </w:r>
      <w:r w:rsidR="00AD7879" w:rsidRPr="006B42D6">
        <w:t>.</w:t>
      </w:r>
      <w:r w:rsidR="008A1E55" w:rsidRPr="006B42D6">
        <w:t>4</w:t>
      </w:r>
      <w:r w:rsidR="00AD7879" w:rsidRPr="006B42D6">
        <w:t xml:space="preserve">). </w:t>
      </w:r>
    </w:p>
    <w:p w14:paraId="5994F120" w14:textId="77777777" w:rsidR="009077FA" w:rsidRPr="006B42D6" w:rsidRDefault="009077FA" w:rsidP="007A3EC9">
      <w:pPr>
        <w:adjustRightInd w:val="0"/>
        <w:spacing w:line="240" w:lineRule="auto"/>
      </w:pPr>
    </w:p>
    <w:p w14:paraId="0BD91933" w14:textId="699462BD" w:rsidR="00AD7879" w:rsidRDefault="00AD7879" w:rsidP="005C2EFC">
      <w:pPr>
        <w:adjustRightInd w:val="0"/>
      </w:pPr>
      <w:r w:rsidRPr="006B42D6">
        <w:t xml:space="preserve">In comparison, the number of households reported casual cash earnings as among of the earning activity was increased by 7.9 percent from 7.8 percent </w:t>
      </w:r>
      <w:r w:rsidR="00055593" w:rsidRPr="006B42D6">
        <w:t xml:space="preserve">in 2007/08 </w:t>
      </w:r>
      <w:r w:rsidRPr="006B42D6">
        <w:t>to 15.7 percent in 2019/20. Likewise, there was an increase by 7.9 percent of household that reported business income as the earning activity from 6.0 percent in 2007/8 to 13.9 percent in 2019/20</w:t>
      </w:r>
      <w:r w:rsidR="00055593" w:rsidRPr="006B42D6">
        <w:t xml:space="preserve"> agricultural years</w:t>
      </w:r>
      <w:r w:rsidRPr="006B42D6">
        <w:t>.</w:t>
      </w:r>
    </w:p>
    <w:p w14:paraId="7C9CDB67" w14:textId="2899EA17" w:rsidR="00AC6872" w:rsidRDefault="00AC6872" w:rsidP="005C2EFC">
      <w:pPr>
        <w:adjustRightInd w:val="0"/>
      </w:pPr>
    </w:p>
    <w:p w14:paraId="2AFF227A" w14:textId="71D2A99C" w:rsidR="003F5E45" w:rsidRPr="006B42D6" w:rsidRDefault="003F5E45" w:rsidP="00EA010E">
      <w:pPr>
        <w:pStyle w:val="Caption"/>
      </w:pPr>
      <w:bookmarkStart w:id="899" w:name="_Toc82386467"/>
      <w:r w:rsidRPr="006B42D6">
        <w:t xml:space="preserve">Figure </w:t>
      </w:r>
      <w:r w:rsidR="00F83A4C" w:rsidRPr="006B42D6">
        <w:t>6</w:t>
      </w:r>
      <w:r w:rsidRPr="006B42D6">
        <w:t>.</w:t>
      </w:r>
      <w:r w:rsidR="008A1E55" w:rsidRPr="006B42D6">
        <w:t>4</w:t>
      </w:r>
      <w:r w:rsidR="0024189E">
        <w:t>:</w:t>
      </w:r>
      <w:r w:rsidR="00AC6872">
        <w:tab/>
      </w:r>
      <w:r w:rsidRPr="006B42D6">
        <w:t>Percentage of Households by Main Source of Cash Income</w:t>
      </w:r>
      <w:r w:rsidR="00055593" w:rsidRPr="006B42D6">
        <w:t xml:space="preserve"> in </w:t>
      </w:r>
      <w:r w:rsidRPr="006B42D6">
        <w:t>2007/</w:t>
      </w:r>
      <w:r w:rsidR="00C36413">
        <w:t>0</w:t>
      </w:r>
      <w:r w:rsidRPr="006B42D6">
        <w:t xml:space="preserve">8 and 2019/20 Agricultural </w:t>
      </w:r>
      <w:r w:rsidR="00F05186" w:rsidRPr="006B42D6">
        <w:t>Y</w:t>
      </w:r>
      <w:r w:rsidRPr="006B42D6">
        <w:t>ears</w:t>
      </w:r>
      <w:r w:rsidR="00F05186" w:rsidRPr="006B42D6">
        <w:t xml:space="preserve">, </w:t>
      </w:r>
      <w:r w:rsidRPr="006B42D6">
        <w:t>Tanzania</w:t>
      </w:r>
      <w:bookmarkEnd w:id="2"/>
      <w:bookmarkEnd w:id="4"/>
      <w:bookmarkEnd w:id="5"/>
      <w:bookmarkEnd w:id="899"/>
      <w:r w:rsidRPr="006B42D6">
        <w:t xml:space="preserve"> </w:t>
      </w:r>
    </w:p>
    <w:p w14:paraId="18DA77E4" w14:textId="11C33632" w:rsidR="003F5E45" w:rsidRPr="006B42D6" w:rsidRDefault="00A9564A" w:rsidP="005C2EFC">
      <w:pPr>
        <w:adjustRightInd w:val="0"/>
        <w:rPr>
          <w:b/>
          <w:bCs/>
        </w:rPr>
      </w:pPr>
      <w:r w:rsidRPr="00C82B37">
        <w:rPr>
          <w:noProof/>
          <w:sz w:val="10"/>
          <w:szCs w:val="10"/>
        </w:rPr>
        <w:drawing>
          <wp:inline distT="0" distB="0" distL="0" distR="0" wp14:anchorId="0902C90D" wp14:editId="14BE30D3">
            <wp:extent cx="5530215" cy="3694176"/>
            <wp:effectExtent l="0" t="0" r="6985" b="14605"/>
            <wp:docPr id="16" name="Chart 16">
              <a:extLst xmlns:a="http://schemas.openxmlformats.org/drawingml/2006/main">
                <a:ext uri="{FF2B5EF4-FFF2-40B4-BE49-F238E27FC236}">
                  <a16:creationId xmlns:a16="http://schemas.microsoft.com/office/drawing/2014/main" id="{7F25BA6B-948C-49EF-AFBE-4A9714B873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3"/>
              </a:graphicData>
            </a:graphic>
          </wp:inline>
        </w:drawing>
      </w:r>
    </w:p>
    <w:p w14:paraId="103629F1" w14:textId="77777777" w:rsidR="003F5E45" w:rsidRPr="006B42D6" w:rsidRDefault="003F5E45" w:rsidP="0024189E">
      <w:pPr>
        <w:spacing w:line="240" w:lineRule="auto"/>
      </w:pPr>
    </w:p>
    <w:p w14:paraId="31D237E4" w14:textId="4A459EA3" w:rsidR="00AD7879" w:rsidRPr="006B42D6" w:rsidRDefault="00AD7879" w:rsidP="005C2EFC">
      <w:r w:rsidRPr="006B42D6">
        <w:t xml:space="preserve">In </w:t>
      </w:r>
      <w:r w:rsidR="00EA1552">
        <w:t>Mainland Tanzania</w:t>
      </w:r>
      <w:r w:rsidRPr="006B42D6">
        <w:t>, the sale</w:t>
      </w:r>
      <w:r w:rsidR="00C51E64" w:rsidRPr="006B42D6">
        <w:t>s</w:t>
      </w:r>
      <w:r w:rsidRPr="006B42D6">
        <w:t xml:space="preserve"> of food crops </w:t>
      </w:r>
      <w:r w:rsidR="00A41AC7" w:rsidRPr="006B42D6">
        <w:t>were</w:t>
      </w:r>
      <w:r w:rsidRPr="006B42D6">
        <w:t xml:space="preserve"> the main source of households’ income (</w:t>
      </w:r>
      <w:r w:rsidR="00055593" w:rsidRPr="006B42D6">
        <w:t xml:space="preserve">3,457,562; </w:t>
      </w:r>
      <w:r w:rsidRPr="006B42D6">
        <w:t>45.2 percent</w:t>
      </w:r>
      <w:r w:rsidR="00055593" w:rsidRPr="006B42D6">
        <w:t>)</w:t>
      </w:r>
      <w:r w:rsidRPr="006B42D6">
        <w:t xml:space="preserve">, on which Kagera </w:t>
      </w:r>
      <w:r w:rsidR="00AC452A" w:rsidRPr="006B42D6">
        <w:t>r</w:t>
      </w:r>
      <w:r w:rsidRPr="006B42D6">
        <w:t xml:space="preserve">egion reported the highest </w:t>
      </w:r>
      <w:r w:rsidR="00AC452A" w:rsidRPr="006B42D6">
        <w:t>number</w:t>
      </w:r>
      <w:r w:rsidRPr="006B42D6">
        <w:t xml:space="preserve"> </w:t>
      </w:r>
      <w:r w:rsidR="00AC452A" w:rsidRPr="006B42D6">
        <w:t xml:space="preserve">households </w:t>
      </w:r>
      <w:r w:rsidRPr="006B42D6">
        <w:t>(297,861; 8.6 percent)</w:t>
      </w:r>
      <w:r w:rsidR="00C51E64" w:rsidRPr="006B42D6">
        <w:t xml:space="preserve">, </w:t>
      </w:r>
      <w:r w:rsidRPr="006B42D6">
        <w:t xml:space="preserve">followed by </w:t>
      </w:r>
      <w:r w:rsidR="00C51E64" w:rsidRPr="006B42D6">
        <w:t>Dodoma (278,882; 8.1</w:t>
      </w:r>
      <w:r w:rsidRPr="006B42D6">
        <w:t xml:space="preserve"> percent)</w:t>
      </w:r>
      <w:r w:rsidR="00C51E64" w:rsidRPr="006B42D6">
        <w:t xml:space="preserve"> and Morogoro (233,838; </w:t>
      </w:r>
      <w:r w:rsidR="00C51E64" w:rsidRPr="006B42D6">
        <w:lastRenderedPageBreak/>
        <w:t>6</w:t>
      </w:r>
      <w:r w:rsidRPr="006B42D6">
        <w:t>.</w:t>
      </w:r>
      <w:r w:rsidR="00C51E64" w:rsidRPr="006B42D6">
        <w:t>8</w:t>
      </w:r>
      <w:r w:rsidRPr="006B42D6">
        <w:t xml:space="preserve"> percent). </w:t>
      </w:r>
      <w:r w:rsidR="00C51E64" w:rsidRPr="006B42D6">
        <w:t>Katavi region had the least number of households</w:t>
      </w:r>
      <w:r w:rsidRPr="006B42D6">
        <w:t xml:space="preserve"> </w:t>
      </w:r>
      <w:r w:rsidR="00C51E64" w:rsidRPr="006B42D6">
        <w:t xml:space="preserve">(42,702; 1.2 </w:t>
      </w:r>
      <w:r w:rsidRPr="006B42D6">
        <w:t xml:space="preserve">percent) reported </w:t>
      </w:r>
      <w:r w:rsidR="00C51E64" w:rsidRPr="006B42D6">
        <w:t>sales of food crops a</w:t>
      </w:r>
      <w:r w:rsidRPr="006B42D6">
        <w:t>s</w:t>
      </w:r>
      <w:r w:rsidR="00C51E64" w:rsidRPr="006B42D6">
        <w:t xml:space="preserve"> main s</w:t>
      </w:r>
      <w:r w:rsidRPr="006B42D6">
        <w:t>ource of household</w:t>
      </w:r>
      <w:r w:rsidR="00C51E64" w:rsidRPr="006B42D6">
        <w:t>s’</w:t>
      </w:r>
      <w:r w:rsidRPr="006B42D6">
        <w:t xml:space="preserve"> income.</w:t>
      </w:r>
    </w:p>
    <w:p w14:paraId="4A783723" w14:textId="77777777" w:rsidR="003F5E45" w:rsidRPr="006B42D6" w:rsidRDefault="003F5E45" w:rsidP="0024189E">
      <w:pPr>
        <w:spacing w:line="240" w:lineRule="auto"/>
      </w:pPr>
    </w:p>
    <w:p w14:paraId="7DD7C0E3" w14:textId="7E8EA425" w:rsidR="00AD7879" w:rsidRDefault="00AD7879" w:rsidP="005C2EFC">
      <w:r w:rsidRPr="006B42D6">
        <w:t xml:space="preserve">In </w:t>
      </w:r>
      <w:r w:rsidR="009E54C7" w:rsidRPr="006B42D6">
        <w:t xml:space="preserve">Tanzania </w:t>
      </w:r>
      <w:r w:rsidRPr="006B42D6">
        <w:t>Zanzibar</w:t>
      </w:r>
      <w:r w:rsidR="00C51E64" w:rsidRPr="006B42D6">
        <w:t>,</w:t>
      </w:r>
      <w:r w:rsidRPr="006B42D6">
        <w:t xml:space="preserve"> the leading source of cash income was casual cash earnings (</w:t>
      </w:r>
      <w:r w:rsidR="00AC452A" w:rsidRPr="006B42D6">
        <w:t>34,505;</w:t>
      </w:r>
      <w:r w:rsidRPr="006B42D6">
        <w:t xml:space="preserve">19.1 percent), </w:t>
      </w:r>
      <w:r w:rsidR="00C51E64" w:rsidRPr="006B42D6">
        <w:t xml:space="preserve">on which </w:t>
      </w:r>
      <w:r w:rsidR="00AC452A" w:rsidRPr="006B42D6">
        <w:t>Kusini Pemba</w:t>
      </w:r>
      <w:r w:rsidR="00C51E64" w:rsidRPr="006B42D6">
        <w:t xml:space="preserve"> </w:t>
      </w:r>
      <w:r w:rsidR="00AC452A" w:rsidRPr="006B42D6">
        <w:t>r</w:t>
      </w:r>
      <w:r w:rsidR="00C51E64" w:rsidRPr="006B42D6">
        <w:t xml:space="preserve">egion reported the highest </w:t>
      </w:r>
      <w:r w:rsidR="00AC452A" w:rsidRPr="006B42D6">
        <w:t>number</w:t>
      </w:r>
      <w:r w:rsidR="00C51E64" w:rsidRPr="006B42D6">
        <w:t xml:space="preserve"> </w:t>
      </w:r>
      <w:r w:rsidR="00AC452A" w:rsidRPr="006B42D6">
        <w:t xml:space="preserve">households </w:t>
      </w:r>
      <w:r w:rsidR="00C51E64" w:rsidRPr="006B42D6">
        <w:t>(</w:t>
      </w:r>
      <w:r w:rsidR="00AC452A" w:rsidRPr="006B42D6">
        <w:t>9,447</w:t>
      </w:r>
      <w:r w:rsidR="00C51E64" w:rsidRPr="006B42D6">
        <w:t xml:space="preserve">; </w:t>
      </w:r>
      <w:r w:rsidR="00AC452A" w:rsidRPr="006B42D6">
        <w:t>27.4</w:t>
      </w:r>
      <w:r w:rsidR="00C51E64" w:rsidRPr="006B42D6">
        <w:t xml:space="preserve"> percent), followed by </w:t>
      </w:r>
      <w:r w:rsidR="00AC452A" w:rsidRPr="006B42D6">
        <w:t xml:space="preserve">Kaskazini Pemba </w:t>
      </w:r>
      <w:r w:rsidR="00C51E64" w:rsidRPr="006B42D6">
        <w:t>(</w:t>
      </w:r>
      <w:r w:rsidR="00AC452A" w:rsidRPr="006B42D6">
        <w:t>8,897</w:t>
      </w:r>
      <w:r w:rsidR="00C51E64" w:rsidRPr="006B42D6">
        <w:t xml:space="preserve">; </w:t>
      </w:r>
      <w:r w:rsidR="00AC452A" w:rsidRPr="006B42D6">
        <w:t>25.8</w:t>
      </w:r>
      <w:r w:rsidR="00C51E64" w:rsidRPr="006B42D6">
        <w:t xml:space="preserve"> percent) and </w:t>
      </w:r>
      <w:r w:rsidR="00AC452A" w:rsidRPr="006B42D6">
        <w:t xml:space="preserve">Kusini Unguja </w:t>
      </w:r>
      <w:r w:rsidR="00C51E64" w:rsidRPr="006B42D6">
        <w:t>had the least number of households (</w:t>
      </w:r>
      <w:r w:rsidR="00AC452A" w:rsidRPr="006B42D6">
        <w:t>3,161</w:t>
      </w:r>
      <w:r w:rsidR="00C51E64" w:rsidRPr="006B42D6">
        <w:t xml:space="preserve">; </w:t>
      </w:r>
      <w:r w:rsidR="00AC452A" w:rsidRPr="006B42D6">
        <w:t>9</w:t>
      </w:r>
      <w:r w:rsidR="00C51E64" w:rsidRPr="006B42D6">
        <w:t xml:space="preserve">.2 percent) reported </w:t>
      </w:r>
      <w:r w:rsidR="00AC452A" w:rsidRPr="006B42D6">
        <w:t xml:space="preserve">casual cash earnings </w:t>
      </w:r>
      <w:r w:rsidR="00C51E64" w:rsidRPr="006B42D6">
        <w:t xml:space="preserve">as main source of households’ income </w:t>
      </w:r>
      <w:r w:rsidRPr="006B42D6">
        <w:t xml:space="preserve">(Table </w:t>
      </w:r>
      <w:r w:rsidR="00F83A4C" w:rsidRPr="006B42D6">
        <w:t>6</w:t>
      </w:r>
      <w:r w:rsidR="00B24B89" w:rsidRPr="006B42D6">
        <w:t>.</w:t>
      </w:r>
      <w:r w:rsidR="008A1E55" w:rsidRPr="006B42D6">
        <w:t>2</w:t>
      </w:r>
      <w:r w:rsidR="00B24B89" w:rsidRPr="006B42D6">
        <w:t>4</w:t>
      </w:r>
      <w:r w:rsidRPr="006B42D6">
        <w:t>).</w:t>
      </w:r>
    </w:p>
    <w:p w14:paraId="413C2D5B" w14:textId="77777777" w:rsidR="00C41AC6" w:rsidRPr="006B42D6" w:rsidRDefault="00C41AC6" w:rsidP="005C2EFC"/>
    <w:p w14:paraId="3F2F8327" w14:textId="308391C3" w:rsidR="003F5E45" w:rsidRPr="006B42D6" w:rsidRDefault="003F5E45" w:rsidP="0037522F">
      <w:pPr>
        <w:pStyle w:val="Heading7"/>
        <w:ind w:right="397"/>
      </w:pPr>
      <w:bookmarkStart w:id="900" w:name="_Toc82386259"/>
      <w:r w:rsidRPr="006B42D6">
        <w:t xml:space="preserve">Table </w:t>
      </w:r>
      <w:r w:rsidR="00F83A4C" w:rsidRPr="006B42D6">
        <w:t>6</w:t>
      </w:r>
      <w:r w:rsidR="00B24B89" w:rsidRPr="006B42D6">
        <w:t>.</w:t>
      </w:r>
      <w:r w:rsidR="008A1E55" w:rsidRPr="006B42D6">
        <w:t>2</w:t>
      </w:r>
      <w:r w:rsidR="00B24B89" w:rsidRPr="006B42D6">
        <w:t>4</w:t>
      </w:r>
      <w:r w:rsidR="0024189E">
        <w:t>:</w:t>
      </w:r>
      <w:r w:rsidR="00AC6872">
        <w:tab/>
      </w:r>
      <w:r w:rsidRPr="006B42D6">
        <w:t xml:space="preserve">Percentage of Agricultural Households Reported Main Source of Household Income </w:t>
      </w:r>
      <w:r w:rsidR="009E54C7" w:rsidRPr="006B42D6">
        <w:t>D</w:t>
      </w:r>
      <w:r w:rsidRPr="006B42D6">
        <w:t xml:space="preserve">uring </w:t>
      </w:r>
      <w:r w:rsidR="00616D21" w:rsidRPr="006B42D6">
        <w:t>2007/</w:t>
      </w:r>
      <w:r w:rsidRPr="006B42D6">
        <w:t>0</w:t>
      </w:r>
      <w:r w:rsidR="00616D21" w:rsidRPr="006B42D6">
        <w:t>8 and 2019</w:t>
      </w:r>
      <w:r w:rsidRPr="006B42D6">
        <w:t>/</w:t>
      </w:r>
      <w:r w:rsidR="00616D21" w:rsidRPr="006B42D6">
        <w:t>20 Agriculture Censuses, Tanzania</w:t>
      </w:r>
      <w:bookmarkEnd w:id="900"/>
    </w:p>
    <w:tbl>
      <w:tblPr>
        <w:tblW w:w="0" w:type="auto"/>
        <w:tblLook w:val="04A0" w:firstRow="1" w:lastRow="0" w:firstColumn="1" w:lastColumn="0" w:noHBand="0" w:noVBand="1"/>
      </w:tblPr>
      <w:tblGrid>
        <w:gridCol w:w="1770"/>
        <w:gridCol w:w="766"/>
        <w:gridCol w:w="1378"/>
        <w:gridCol w:w="1337"/>
        <w:gridCol w:w="766"/>
        <w:gridCol w:w="1378"/>
        <w:gridCol w:w="1337"/>
      </w:tblGrid>
      <w:tr w:rsidR="006B42D6" w:rsidRPr="004F65CD" w14:paraId="52E9BEB6" w14:textId="77777777" w:rsidTr="004F65CD">
        <w:trPr>
          <w:trHeight w:val="241"/>
        </w:trPr>
        <w:tc>
          <w:tcPr>
            <w:tcW w:w="0" w:type="auto"/>
            <w:vMerge w:val="restart"/>
            <w:tcBorders>
              <w:top w:val="single" w:sz="4" w:space="0" w:color="auto"/>
              <w:left w:val="nil"/>
              <w:bottom w:val="single" w:sz="4" w:space="0" w:color="auto"/>
              <w:right w:val="nil"/>
            </w:tcBorders>
            <w:shd w:val="clear" w:color="auto" w:fill="E2EFD9" w:themeFill="accent6" w:themeFillTint="33"/>
            <w:noWrap/>
            <w:vAlign w:val="center"/>
            <w:hideMark/>
          </w:tcPr>
          <w:p w14:paraId="25D11B69" w14:textId="1B1FCF6A" w:rsidR="00010A9A" w:rsidRPr="004F65CD" w:rsidRDefault="00010A9A" w:rsidP="00010A9A">
            <w:pPr>
              <w:rPr>
                <w:bCs/>
                <w:sz w:val="15"/>
                <w:szCs w:val="15"/>
              </w:rPr>
            </w:pPr>
            <w:r w:rsidRPr="004F65CD">
              <w:rPr>
                <w:bCs/>
                <w:sz w:val="15"/>
                <w:szCs w:val="15"/>
              </w:rPr>
              <w:t>Main Source</w:t>
            </w:r>
          </w:p>
        </w:tc>
        <w:tc>
          <w:tcPr>
            <w:tcW w:w="0" w:type="auto"/>
            <w:gridSpan w:val="3"/>
            <w:tcBorders>
              <w:top w:val="single" w:sz="4" w:space="0" w:color="auto"/>
              <w:left w:val="nil"/>
              <w:bottom w:val="single" w:sz="4" w:space="0" w:color="auto"/>
              <w:right w:val="nil"/>
            </w:tcBorders>
            <w:shd w:val="clear" w:color="auto" w:fill="E2EFD9" w:themeFill="accent6" w:themeFillTint="33"/>
            <w:noWrap/>
            <w:vAlign w:val="center"/>
            <w:hideMark/>
          </w:tcPr>
          <w:p w14:paraId="621555EC" w14:textId="77777777" w:rsidR="00010A9A" w:rsidRPr="004F65CD" w:rsidRDefault="00010A9A" w:rsidP="00010A9A">
            <w:pPr>
              <w:jc w:val="center"/>
              <w:rPr>
                <w:bCs/>
                <w:sz w:val="15"/>
                <w:szCs w:val="15"/>
              </w:rPr>
            </w:pPr>
            <w:r w:rsidRPr="004F65CD">
              <w:rPr>
                <w:bCs/>
                <w:sz w:val="15"/>
                <w:szCs w:val="15"/>
              </w:rPr>
              <w:t>2019/20</w:t>
            </w:r>
          </w:p>
        </w:tc>
        <w:tc>
          <w:tcPr>
            <w:tcW w:w="0" w:type="auto"/>
            <w:gridSpan w:val="3"/>
            <w:tcBorders>
              <w:top w:val="single" w:sz="4" w:space="0" w:color="auto"/>
              <w:left w:val="single" w:sz="4" w:space="0" w:color="auto"/>
              <w:bottom w:val="single" w:sz="4" w:space="0" w:color="auto"/>
              <w:right w:val="nil"/>
            </w:tcBorders>
            <w:shd w:val="clear" w:color="auto" w:fill="E2EFD9" w:themeFill="accent6" w:themeFillTint="33"/>
            <w:noWrap/>
            <w:vAlign w:val="center"/>
            <w:hideMark/>
          </w:tcPr>
          <w:p w14:paraId="678E2336" w14:textId="77777777" w:rsidR="00010A9A" w:rsidRPr="004F65CD" w:rsidRDefault="00010A9A" w:rsidP="00010A9A">
            <w:pPr>
              <w:jc w:val="center"/>
              <w:rPr>
                <w:bCs/>
                <w:sz w:val="15"/>
                <w:szCs w:val="15"/>
              </w:rPr>
            </w:pPr>
            <w:r w:rsidRPr="004F65CD">
              <w:rPr>
                <w:bCs/>
                <w:sz w:val="15"/>
                <w:szCs w:val="15"/>
              </w:rPr>
              <w:t>2007/08</w:t>
            </w:r>
          </w:p>
        </w:tc>
      </w:tr>
      <w:tr w:rsidR="006B42D6" w:rsidRPr="004F65CD" w14:paraId="49608DC6" w14:textId="77777777" w:rsidTr="00257DF7">
        <w:trPr>
          <w:trHeight w:val="283"/>
        </w:trPr>
        <w:tc>
          <w:tcPr>
            <w:tcW w:w="0" w:type="auto"/>
            <w:vMerge/>
            <w:tcBorders>
              <w:top w:val="single" w:sz="4" w:space="0" w:color="auto"/>
              <w:left w:val="nil"/>
              <w:bottom w:val="single" w:sz="4" w:space="0" w:color="auto"/>
              <w:right w:val="nil"/>
            </w:tcBorders>
            <w:shd w:val="clear" w:color="auto" w:fill="E2EFD9" w:themeFill="accent6" w:themeFillTint="33"/>
            <w:vAlign w:val="center"/>
            <w:hideMark/>
          </w:tcPr>
          <w:p w14:paraId="6C461BC3" w14:textId="77777777" w:rsidR="00010A9A" w:rsidRPr="004F65CD" w:rsidRDefault="00010A9A" w:rsidP="0024189E">
            <w:pPr>
              <w:jc w:val="left"/>
              <w:rPr>
                <w:bCs/>
                <w:sz w:val="15"/>
                <w:szCs w:val="15"/>
              </w:rPr>
            </w:pPr>
          </w:p>
        </w:tc>
        <w:tc>
          <w:tcPr>
            <w:tcW w:w="0" w:type="auto"/>
            <w:tcBorders>
              <w:top w:val="nil"/>
              <w:left w:val="nil"/>
              <w:bottom w:val="single" w:sz="4" w:space="0" w:color="auto"/>
              <w:right w:val="nil"/>
            </w:tcBorders>
            <w:shd w:val="clear" w:color="auto" w:fill="E2EFD9" w:themeFill="accent6" w:themeFillTint="33"/>
            <w:noWrap/>
            <w:vAlign w:val="center"/>
            <w:hideMark/>
          </w:tcPr>
          <w:p w14:paraId="58A40B43" w14:textId="1F61544D" w:rsidR="00010A9A" w:rsidRPr="004F65CD" w:rsidRDefault="00010A9A" w:rsidP="0024189E">
            <w:pPr>
              <w:jc w:val="left"/>
              <w:rPr>
                <w:bCs/>
                <w:sz w:val="15"/>
                <w:szCs w:val="15"/>
              </w:rPr>
            </w:pPr>
            <w:r w:rsidRPr="004F65CD">
              <w:rPr>
                <w:bCs/>
                <w:sz w:val="15"/>
                <w:szCs w:val="15"/>
              </w:rPr>
              <w:t>Tanzania</w:t>
            </w:r>
          </w:p>
        </w:tc>
        <w:tc>
          <w:tcPr>
            <w:tcW w:w="0" w:type="auto"/>
            <w:tcBorders>
              <w:top w:val="nil"/>
              <w:left w:val="nil"/>
              <w:bottom w:val="single" w:sz="4" w:space="0" w:color="auto"/>
              <w:right w:val="nil"/>
            </w:tcBorders>
            <w:shd w:val="clear" w:color="auto" w:fill="E2EFD9" w:themeFill="accent6" w:themeFillTint="33"/>
            <w:noWrap/>
            <w:vAlign w:val="center"/>
            <w:hideMark/>
          </w:tcPr>
          <w:p w14:paraId="2850FA42" w14:textId="3823D689" w:rsidR="00010A9A" w:rsidRPr="004F65CD" w:rsidRDefault="00EA1552" w:rsidP="0024189E">
            <w:pPr>
              <w:jc w:val="left"/>
              <w:rPr>
                <w:bCs/>
                <w:sz w:val="15"/>
                <w:szCs w:val="15"/>
              </w:rPr>
            </w:pPr>
            <w:r w:rsidRPr="004F65CD">
              <w:rPr>
                <w:bCs/>
                <w:sz w:val="15"/>
                <w:szCs w:val="15"/>
              </w:rPr>
              <w:t>Mainland Tanzania</w:t>
            </w:r>
          </w:p>
        </w:tc>
        <w:tc>
          <w:tcPr>
            <w:tcW w:w="0" w:type="auto"/>
            <w:tcBorders>
              <w:top w:val="nil"/>
              <w:left w:val="nil"/>
              <w:bottom w:val="single" w:sz="4" w:space="0" w:color="auto"/>
              <w:right w:val="nil"/>
            </w:tcBorders>
            <w:shd w:val="clear" w:color="auto" w:fill="E2EFD9" w:themeFill="accent6" w:themeFillTint="33"/>
            <w:noWrap/>
            <w:vAlign w:val="center"/>
            <w:hideMark/>
          </w:tcPr>
          <w:p w14:paraId="459D858D" w14:textId="1A9B1A13" w:rsidR="00010A9A" w:rsidRPr="004F65CD" w:rsidRDefault="00AC452A" w:rsidP="0024189E">
            <w:pPr>
              <w:jc w:val="left"/>
              <w:rPr>
                <w:bCs/>
                <w:sz w:val="15"/>
                <w:szCs w:val="15"/>
              </w:rPr>
            </w:pPr>
            <w:r w:rsidRPr="004F65CD">
              <w:rPr>
                <w:bCs/>
                <w:sz w:val="15"/>
                <w:szCs w:val="15"/>
              </w:rPr>
              <w:t xml:space="preserve">Tanzania </w:t>
            </w:r>
            <w:r w:rsidR="00010A9A" w:rsidRPr="004F65CD">
              <w:rPr>
                <w:bCs/>
                <w:sz w:val="15"/>
                <w:szCs w:val="15"/>
              </w:rPr>
              <w:t>Zanzibar</w:t>
            </w:r>
          </w:p>
        </w:tc>
        <w:tc>
          <w:tcPr>
            <w:tcW w:w="0" w:type="auto"/>
            <w:tcBorders>
              <w:top w:val="nil"/>
              <w:left w:val="single" w:sz="4" w:space="0" w:color="auto"/>
              <w:bottom w:val="single" w:sz="4" w:space="0" w:color="auto"/>
              <w:right w:val="nil"/>
            </w:tcBorders>
            <w:shd w:val="clear" w:color="auto" w:fill="E2EFD9" w:themeFill="accent6" w:themeFillTint="33"/>
            <w:noWrap/>
            <w:vAlign w:val="center"/>
            <w:hideMark/>
          </w:tcPr>
          <w:p w14:paraId="47194851" w14:textId="0D5CC011" w:rsidR="00010A9A" w:rsidRPr="004F65CD" w:rsidRDefault="00010A9A" w:rsidP="0024189E">
            <w:pPr>
              <w:jc w:val="left"/>
              <w:rPr>
                <w:bCs/>
                <w:sz w:val="15"/>
                <w:szCs w:val="15"/>
              </w:rPr>
            </w:pPr>
            <w:r w:rsidRPr="004F65CD">
              <w:rPr>
                <w:bCs/>
                <w:sz w:val="15"/>
                <w:szCs w:val="15"/>
              </w:rPr>
              <w:t>Tanzania</w:t>
            </w:r>
          </w:p>
        </w:tc>
        <w:tc>
          <w:tcPr>
            <w:tcW w:w="0" w:type="auto"/>
            <w:tcBorders>
              <w:top w:val="nil"/>
              <w:left w:val="nil"/>
              <w:bottom w:val="single" w:sz="4" w:space="0" w:color="auto"/>
              <w:right w:val="nil"/>
            </w:tcBorders>
            <w:shd w:val="clear" w:color="auto" w:fill="E2EFD9" w:themeFill="accent6" w:themeFillTint="33"/>
            <w:noWrap/>
            <w:vAlign w:val="center"/>
            <w:hideMark/>
          </w:tcPr>
          <w:p w14:paraId="2FF819F4" w14:textId="0765EEB3" w:rsidR="00010A9A" w:rsidRPr="004F65CD" w:rsidRDefault="004F65CD" w:rsidP="0024189E">
            <w:pPr>
              <w:jc w:val="left"/>
              <w:rPr>
                <w:bCs/>
                <w:sz w:val="15"/>
                <w:szCs w:val="15"/>
              </w:rPr>
            </w:pPr>
            <w:r w:rsidRPr="004F65CD">
              <w:rPr>
                <w:bCs/>
                <w:sz w:val="15"/>
                <w:szCs w:val="15"/>
              </w:rPr>
              <w:t xml:space="preserve">Mainland </w:t>
            </w:r>
            <w:r w:rsidR="00AC452A" w:rsidRPr="004F65CD">
              <w:rPr>
                <w:bCs/>
                <w:sz w:val="15"/>
                <w:szCs w:val="15"/>
              </w:rPr>
              <w:t xml:space="preserve">Tanzania </w:t>
            </w:r>
          </w:p>
        </w:tc>
        <w:tc>
          <w:tcPr>
            <w:tcW w:w="0" w:type="auto"/>
            <w:tcBorders>
              <w:top w:val="nil"/>
              <w:left w:val="nil"/>
              <w:bottom w:val="single" w:sz="4" w:space="0" w:color="auto"/>
              <w:right w:val="nil"/>
            </w:tcBorders>
            <w:shd w:val="clear" w:color="auto" w:fill="E2EFD9" w:themeFill="accent6" w:themeFillTint="33"/>
            <w:noWrap/>
            <w:vAlign w:val="center"/>
            <w:hideMark/>
          </w:tcPr>
          <w:p w14:paraId="5C0866E7" w14:textId="68E78EFF" w:rsidR="00010A9A" w:rsidRPr="004F65CD" w:rsidRDefault="00AC452A" w:rsidP="0024189E">
            <w:pPr>
              <w:jc w:val="left"/>
              <w:rPr>
                <w:bCs/>
                <w:sz w:val="15"/>
                <w:szCs w:val="15"/>
              </w:rPr>
            </w:pPr>
            <w:r w:rsidRPr="004F65CD">
              <w:rPr>
                <w:bCs/>
                <w:sz w:val="15"/>
                <w:szCs w:val="15"/>
              </w:rPr>
              <w:t xml:space="preserve">Tanzania </w:t>
            </w:r>
            <w:r w:rsidR="00010A9A" w:rsidRPr="004F65CD">
              <w:rPr>
                <w:bCs/>
                <w:sz w:val="15"/>
                <w:szCs w:val="15"/>
              </w:rPr>
              <w:t>Zanzibar</w:t>
            </w:r>
          </w:p>
        </w:tc>
      </w:tr>
      <w:tr w:rsidR="006B42D6" w:rsidRPr="004F65CD" w14:paraId="202709B1" w14:textId="77777777" w:rsidTr="00010A9A">
        <w:trPr>
          <w:trHeight w:val="283"/>
        </w:trPr>
        <w:tc>
          <w:tcPr>
            <w:tcW w:w="0" w:type="auto"/>
            <w:tcBorders>
              <w:top w:val="nil"/>
              <w:left w:val="nil"/>
              <w:bottom w:val="nil"/>
              <w:right w:val="nil"/>
            </w:tcBorders>
            <w:shd w:val="clear" w:color="auto" w:fill="auto"/>
            <w:vAlign w:val="center"/>
            <w:hideMark/>
          </w:tcPr>
          <w:p w14:paraId="182BC750" w14:textId="77777777" w:rsidR="00010A9A" w:rsidRPr="004F65CD" w:rsidRDefault="00010A9A" w:rsidP="00010A9A">
            <w:pPr>
              <w:rPr>
                <w:sz w:val="15"/>
                <w:szCs w:val="15"/>
              </w:rPr>
            </w:pPr>
            <w:r w:rsidRPr="004F65CD">
              <w:rPr>
                <w:sz w:val="15"/>
                <w:szCs w:val="15"/>
              </w:rPr>
              <w:t>Sale of food crops</w:t>
            </w:r>
          </w:p>
        </w:tc>
        <w:tc>
          <w:tcPr>
            <w:tcW w:w="0" w:type="auto"/>
            <w:tcBorders>
              <w:top w:val="nil"/>
              <w:left w:val="nil"/>
              <w:bottom w:val="nil"/>
              <w:right w:val="nil"/>
            </w:tcBorders>
            <w:shd w:val="clear" w:color="auto" w:fill="auto"/>
            <w:noWrap/>
            <w:vAlign w:val="center"/>
            <w:hideMark/>
          </w:tcPr>
          <w:p w14:paraId="628A0E7E" w14:textId="77777777" w:rsidR="00010A9A" w:rsidRPr="004F65CD" w:rsidRDefault="00010A9A" w:rsidP="00010A9A">
            <w:pPr>
              <w:jc w:val="right"/>
              <w:rPr>
                <w:sz w:val="15"/>
                <w:szCs w:val="15"/>
              </w:rPr>
            </w:pPr>
            <w:r w:rsidRPr="004F65CD">
              <w:rPr>
                <w:sz w:val="15"/>
                <w:szCs w:val="15"/>
              </w:rPr>
              <w:t>44.5</w:t>
            </w:r>
          </w:p>
        </w:tc>
        <w:tc>
          <w:tcPr>
            <w:tcW w:w="0" w:type="auto"/>
            <w:tcBorders>
              <w:top w:val="nil"/>
              <w:left w:val="nil"/>
              <w:bottom w:val="nil"/>
              <w:right w:val="nil"/>
            </w:tcBorders>
            <w:shd w:val="clear" w:color="auto" w:fill="auto"/>
            <w:noWrap/>
            <w:vAlign w:val="center"/>
            <w:hideMark/>
          </w:tcPr>
          <w:p w14:paraId="655AEE15" w14:textId="77777777" w:rsidR="00010A9A" w:rsidRPr="004F65CD" w:rsidRDefault="00010A9A" w:rsidP="00010A9A">
            <w:pPr>
              <w:jc w:val="right"/>
              <w:rPr>
                <w:sz w:val="15"/>
                <w:szCs w:val="15"/>
              </w:rPr>
            </w:pPr>
            <w:r w:rsidRPr="004F65CD">
              <w:rPr>
                <w:sz w:val="15"/>
                <w:szCs w:val="15"/>
              </w:rPr>
              <w:t>45.2</w:t>
            </w:r>
          </w:p>
        </w:tc>
        <w:tc>
          <w:tcPr>
            <w:tcW w:w="0" w:type="auto"/>
            <w:tcBorders>
              <w:top w:val="nil"/>
              <w:left w:val="nil"/>
              <w:bottom w:val="nil"/>
              <w:right w:val="nil"/>
            </w:tcBorders>
            <w:shd w:val="clear" w:color="auto" w:fill="auto"/>
            <w:noWrap/>
            <w:vAlign w:val="center"/>
            <w:hideMark/>
          </w:tcPr>
          <w:p w14:paraId="6C6C9490" w14:textId="77777777" w:rsidR="00010A9A" w:rsidRPr="004F65CD" w:rsidRDefault="00010A9A" w:rsidP="00010A9A">
            <w:pPr>
              <w:jc w:val="right"/>
              <w:rPr>
                <w:sz w:val="15"/>
                <w:szCs w:val="15"/>
              </w:rPr>
            </w:pPr>
            <w:r w:rsidRPr="004F65CD">
              <w:rPr>
                <w:sz w:val="15"/>
                <w:szCs w:val="15"/>
              </w:rPr>
              <w:t>18.2</w:t>
            </w:r>
          </w:p>
        </w:tc>
        <w:tc>
          <w:tcPr>
            <w:tcW w:w="0" w:type="auto"/>
            <w:tcBorders>
              <w:top w:val="nil"/>
              <w:left w:val="single" w:sz="4" w:space="0" w:color="auto"/>
              <w:bottom w:val="nil"/>
              <w:right w:val="nil"/>
            </w:tcBorders>
            <w:shd w:val="clear" w:color="auto" w:fill="auto"/>
            <w:noWrap/>
            <w:vAlign w:val="center"/>
            <w:hideMark/>
          </w:tcPr>
          <w:p w14:paraId="1C8C3899" w14:textId="77777777" w:rsidR="00010A9A" w:rsidRPr="004F65CD" w:rsidRDefault="00010A9A" w:rsidP="00010A9A">
            <w:pPr>
              <w:jc w:val="right"/>
              <w:rPr>
                <w:sz w:val="15"/>
                <w:szCs w:val="15"/>
              </w:rPr>
            </w:pPr>
            <w:r w:rsidRPr="004F65CD">
              <w:rPr>
                <w:sz w:val="15"/>
                <w:szCs w:val="15"/>
              </w:rPr>
              <w:t>61.6</w:t>
            </w:r>
          </w:p>
        </w:tc>
        <w:tc>
          <w:tcPr>
            <w:tcW w:w="0" w:type="auto"/>
            <w:tcBorders>
              <w:top w:val="nil"/>
              <w:left w:val="nil"/>
              <w:bottom w:val="nil"/>
              <w:right w:val="nil"/>
            </w:tcBorders>
            <w:shd w:val="clear" w:color="auto" w:fill="auto"/>
            <w:noWrap/>
            <w:vAlign w:val="center"/>
            <w:hideMark/>
          </w:tcPr>
          <w:p w14:paraId="4A6408CB" w14:textId="77777777" w:rsidR="00010A9A" w:rsidRPr="004F65CD" w:rsidRDefault="00010A9A" w:rsidP="00010A9A">
            <w:pPr>
              <w:jc w:val="right"/>
              <w:rPr>
                <w:sz w:val="15"/>
                <w:szCs w:val="15"/>
              </w:rPr>
            </w:pPr>
            <w:r w:rsidRPr="004F65CD">
              <w:rPr>
                <w:sz w:val="15"/>
                <w:szCs w:val="15"/>
              </w:rPr>
              <w:t>62.3</w:t>
            </w:r>
          </w:p>
        </w:tc>
        <w:tc>
          <w:tcPr>
            <w:tcW w:w="0" w:type="auto"/>
            <w:tcBorders>
              <w:top w:val="nil"/>
              <w:left w:val="nil"/>
              <w:bottom w:val="nil"/>
              <w:right w:val="nil"/>
            </w:tcBorders>
            <w:shd w:val="clear" w:color="auto" w:fill="auto"/>
            <w:noWrap/>
            <w:vAlign w:val="center"/>
            <w:hideMark/>
          </w:tcPr>
          <w:p w14:paraId="7AB22AF6" w14:textId="77777777" w:rsidR="00010A9A" w:rsidRPr="004F65CD" w:rsidRDefault="00010A9A" w:rsidP="00010A9A">
            <w:pPr>
              <w:jc w:val="right"/>
              <w:rPr>
                <w:sz w:val="15"/>
                <w:szCs w:val="15"/>
              </w:rPr>
            </w:pPr>
            <w:r w:rsidRPr="004F65CD">
              <w:rPr>
                <w:sz w:val="15"/>
                <w:szCs w:val="15"/>
              </w:rPr>
              <w:t>31.4</w:t>
            </w:r>
          </w:p>
        </w:tc>
      </w:tr>
      <w:tr w:rsidR="006B42D6" w:rsidRPr="004F65CD" w14:paraId="406AC918" w14:textId="77777777" w:rsidTr="00010A9A">
        <w:trPr>
          <w:trHeight w:val="283"/>
        </w:trPr>
        <w:tc>
          <w:tcPr>
            <w:tcW w:w="0" w:type="auto"/>
            <w:tcBorders>
              <w:top w:val="nil"/>
              <w:left w:val="nil"/>
              <w:bottom w:val="nil"/>
              <w:right w:val="nil"/>
            </w:tcBorders>
            <w:shd w:val="clear" w:color="auto" w:fill="auto"/>
            <w:vAlign w:val="center"/>
            <w:hideMark/>
          </w:tcPr>
          <w:p w14:paraId="14AB9B8D" w14:textId="77777777" w:rsidR="00010A9A" w:rsidRPr="004F65CD" w:rsidRDefault="00010A9A" w:rsidP="00010A9A">
            <w:pPr>
              <w:rPr>
                <w:sz w:val="15"/>
                <w:szCs w:val="15"/>
              </w:rPr>
            </w:pPr>
            <w:r w:rsidRPr="004F65CD">
              <w:rPr>
                <w:sz w:val="15"/>
                <w:szCs w:val="15"/>
              </w:rPr>
              <w:t>Sale of Livestock</w:t>
            </w:r>
          </w:p>
        </w:tc>
        <w:tc>
          <w:tcPr>
            <w:tcW w:w="0" w:type="auto"/>
            <w:tcBorders>
              <w:top w:val="nil"/>
              <w:left w:val="nil"/>
              <w:bottom w:val="nil"/>
              <w:right w:val="nil"/>
            </w:tcBorders>
            <w:shd w:val="clear" w:color="auto" w:fill="auto"/>
            <w:noWrap/>
            <w:vAlign w:val="center"/>
            <w:hideMark/>
          </w:tcPr>
          <w:p w14:paraId="167B384E" w14:textId="77777777" w:rsidR="00010A9A" w:rsidRPr="004F65CD" w:rsidRDefault="00010A9A" w:rsidP="00010A9A">
            <w:pPr>
              <w:jc w:val="right"/>
              <w:rPr>
                <w:sz w:val="15"/>
                <w:szCs w:val="15"/>
              </w:rPr>
            </w:pPr>
            <w:r w:rsidRPr="004F65CD">
              <w:rPr>
                <w:sz w:val="15"/>
                <w:szCs w:val="15"/>
              </w:rPr>
              <w:t>3.4</w:t>
            </w:r>
          </w:p>
        </w:tc>
        <w:tc>
          <w:tcPr>
            <w:tcW w:w="0" w:type="auto"/>
            <w:tcBorders>
              <w:top w:val="nil"/>
              <w:left w:val="nil"/>
              <w:bottom w:val="nil"/>
              <w:right w:val="nil"/>
            </w:tcBorders>
            <w:shd w:val="clear" w:color="auto" w:fill="auto"/>
            <w:noWrap/>
            <w:vAlign w:val="center"/>
            <w:hideMark/>
          </w:tcPr>
          <w:p w14:paraId="102BD823" w14:textId="77777777" w:rsidR="00010A9A" w:rsidRPr="004F65CD" w:rsidRDefault="00010A9A" w:rsidP="00010A9A">
            <w:pPr>
              <w:jc w:val="right"/>
              <w:rPr>
                <w:sz w:val="15"/>
                <w:szCs w:val="15"/>
              </w:rPr>
            </w:pPr>
            <w:r w:rsidRPr="004F65CD">
              <w:rPr>
                <w:sz w:val="15"/>
                <w:szCs w:val="15"/>
              </w:rPr>
              <w:t>3.5</w:t>
            </w:r>
          </w:p>
        </w:tc>
        <w:tc>
          <w:tcPr>
            <w:tcW w:w="0" w:type="auto"/>
            <w:tcBorders>
              <w:top w:val="nil"/>
              <w:left w:val="nil"/>
              <w:bottom w:val="nil"/>
              <w:right w:val="nil"/>
            </w:tcBorders>
            <w:shd w:val="clear" w:color="auto" w:fill="auto"/>
            <w:noWrap/>
            <w:vAlign w:val="center"/>
            <w:hideMark/>
          </w:tcPr>
          <w:p w14:paraId="7D0F7B59" w14:textId="77777777" w:rsidR="00010A9A" w:rsidRPr="004F65CD" w:rsidRDefault="00010A9A" w:rsidP="00010A9A">
            <w:pPr>
              <w:jc w:val="right"/>
              <w:rPr>
                <w:sz w:val="15"/>
                <w:szCs w:val="15"/>
              </w:rPr>
            </w:pPr>
            <w:r w:rsidRPr="004F65CD">
              <w:rPr>
                <w:sz w:val="15"/>
                <w:szCs w:val="15"/>
              </w:rPr>
              <w:t>0.9</w:t>
            </w:r>
          </w:p>
        </w:tc>
        <w:tc>
          <w:tcPr>
            <w:tcW w:w="0" w:type="auto"/>
            <w:tcBorders>
              <w:top w:val="nil"/>
              <w:left w:val="single" w:sz="4" w:space="0" w:color="auto"/>
              <w:bottom w:val="nil"/>
              <w:right w:val="nil"/>
            </w:tcBorders>
            <w:shd w:val="clear" w:color="auto" w:fill="auto"/>
            <w:noWrap/>
            <w:vAlign w:val="center"/>
            <w:hideMark/>
          </w:tcPr>
          <w:p w14:paraId="55FBEDDB" w14:textId="77777777" w:rsidR="00010A9A" w:rsidRPr="004F65CD" w:rsidRDefault="00010A9A" w:rsidP="00010A9A">
            <w:pPr>
              <w:jc w:val="right"/>
              <w:rPr>
                <w:sz w:val="15"/>
                <w:szCs w:val="15"/>
              </w:rPr>
            </w:pPr>
            <w:r w:rsidRPr="004F65CD">
              <w:rPr>
                <w:sz w:val="15"/>
                <w:szCs w:val="15"/>
              </w:rPr>
              <w:t>3.9</w:t>
            </w:r>
          </w:p>
        </w:tc>
        <w:tc>
          <w:tcPr>
            <w:tcW w:w="0" w:type="auto"/>
            <w:tcBorders>
              <w:top w:val="nil"/>
              <w:left w:val="nil"/>
              <w:bottom w:val="nil"/>
              <w:right w:val="nil"/>
            </w:tcBorders>
            <w:shd w:val="clear" w:color="auto" w:fill="auto"/>
            <w:noWrap/>
            <w:vAlign w:val="center"/>
            <w:hideMark/>
          </w:tcPr>
          <w:p w14:paraId="3CE0D362" w14:textId="77777777" w:rsidR="00010A9A" w:rsidRPr="004F65CD" w:rsidRDefault="00010A9A" w:rsidP="00010A9A">
            <w:pPr>
              <w:jc w:val="right"/>
              <w:rPr>
                <w:sz w:val="15"/>
                <w:szCs w:val="15"/>
              </w:rPr>
            </w:pPr>
            <w:r w:rsidRPr="004F65CD">
              <w:rPr>
                <w:sz w:val="15"/>
                <w:szCs w:val="15"/>
              </w:rPr>
              <w:t>3.9</w:t>
            </w:r>
          </w:p>
        </w:tc>
        <w:tc>
          <w:tcPr>
            <w:tcW w:w="0" w:type="auto"/>
            <w:tcBorders>
              <w:top w:val="nil"/>
              <w:left w:val="nil"/>
              <w:bottom w:val="nil"/>
              <w:right w:val="nil"/>
            </w:tcBorders>
            <w:shd w:val="clear" w:color="auto" w:fill="auto"/>
            <w:noWrap/>
            <w:vAlign w:val="center"/>
            <w:hideMark/>
          </w:tcPr>
          <w:p w14:paraId="181A34DD" w14:textId="77777777" w:rsidR="00010A9A" w:rsidRPr="004F65CD" w:rsidRDefault="00010A9A" w:rsidP="00010A9A">
            <w:pPr>
              <w:jc w:val="right"/>
              <w:rPr>
                <w:sz w:val="15"/>
                <w:szCs w:val="15"/>
              </w:rPr>
            </w:pPr>
            <w:r w:rsidRPr="004F65CD">
              <w:rPr>
                <w:sz w:val="15"/>
                <w:szCs w:val="15"/>
              </w:rPr>
              <w:t>1.7</w:t>
            </w:r>
          </w:p>
        </w:tc>
      </w:tr>
      <w:tr w:rsidR="006B42D6" w:rsidRPr="004F65CD" w14:paraId="55EE33E6" w14:textId="77777777" w:rsidTr="00010A9A">
        <w:trPr>
          <w:trHeight w:val="283"/>
        </w:trPr>
        <w:tc>
          <w:tcPr>
            <w:tcW w:w="0" w:type="auto"/>
            <w:tcBorders>
              <w:top w:val="nil"/>
              <w:left w:val="nil"/>
              <w:bottom w:val="nil"/>
              <w:right w:val="nil"/>
            </w:tcBorders>
            <w:shd w:val="clear" w:color="auto" w:fill="auto"/>
            <w:vAlign w:val="center"/>
            <w:hideMark/>
          </w:tcPr>
          <w:p w14:paraId="5BB16A25" w14:textId="77777777" w:rsidR="00010A9A" w:rsidRPr="004F65CD" w:rsidRDefault="00010A9A" w:rsidP="00010A9A">
            <w:pPr>
              <w:rPr>
                <w:sz w:val="15"/>
                <w:szCs w:val="15"/>
              </w:rPr>
            </w:pPr>
            <w:r w:rsidRPr="004F65CD">
              <w:rPr>
                <w:sz w:val="15"/>
                <w:szCs w:val="15"/>
              </w:rPr>
              <w:t>Sale of livestock products</w:t>
            </w:r>
          </w:p>
        </w:tc>
        <w:tc>
          <w:tcPr>
            <w:tcW w:w="0" w:type="auto"/>
            <w:tcBorders>
              <w:top w:val="nil"/>
              <w:left w:val="nil"/>
              <w:bottom w:val="nil"/>
              <w:right w:val="nil"/>
            </w:tcBorders>
            <w:shd w:val="clear" w:color="auto" w:fill="auto"/>
            <w:noWrap/>
            <w:vAlign w:val="center"/>
            <w:hideMark/>
          </w:tcPr>
          <w:p w14:paraId="4041F1C5" w14:textId="77777777" w:rsidR="00010A9A" w:rsidRPr="004F65CD" w:rsidRDefault="00010A9A" w:rsidP="00010A9A">
            <w:pPr>
              <w:jc w:val="right"/>
              <w:rPr>
                <w:sz w:val="15"/>
                <w:szCs w:val="15"/>
              </w:rPr>
            </w:pPr>
            <w:r w:rsidRPr="004F65CD">
              <w:rPr>
                <w:sz w:val="15"/>
                <w:szCs w:val="15"/>
              </w:rPr>
              <w:t>1.2</w:t>
            </w:r>
          </w:p>
        </w:tc>
        <w:tc>
          <w:tcPr>
            <w:tcW w:w="0" w:type="auto"/>
            <w:tcBorders>
              <w:top w:val="nil"/>
              <w:left w:val="nil"/>
              <w:bottom w:val="nil"/>
              <w:right w:val="nil"/>
            </w:tcBorders>
            <w:shd w:val="clear" w:color="auto" w:fill="auto"/>
            <w:noWrap/>
            <w:vAlign w:val="center"/>
            <w:hideMark/>
          </w:tcPr>
          <w:p w14:paraId="3CE4F4B9" w14:textId="77777777" w:rsidR="00010A9A" w:rsidRPr="004F65CD" w:rsidRDefault="00010A9A" w:rsidP="00010A9A">
            <w:pPr>
              <w:jc w:val="right"/>
              <w:rPr>
                <w:sz w:val="15"/>
                <w:szCs w:val="15"/>
              </w:rPr>
            </w:pPr>
            <w:r w:rsidRPr="004F65CD">
              <w:rPr>
                <w:sz w:val="15"/>
                <w:szCs w:val="15"/>
              </w:rPr>
              <w:t>1.2</w:t>
            </w:r>
          </w:p>
        </w:tc>
        <w:tc>
          <w:tcPr>
            <w:tcW w:w="0" w:type="auto"/>
            <w:tcBorders>
              <w:top w:val="nil"/>
              <w:left w:val="nil"/>
              <w:bottom w:val="nil"/>
              <w:right w:val="nil"/>
            </w:tcBorders>
            <w:shd w:val="clear" w:color="auto" w:fill="auto"/>
            <w:noWrap/>
            <w:vAlign w:val="center"/>
            <w:hideMark/>
          </w:tcPr>
          <w:p w14:paraId="368D3519" w14:textId="77777777" w:rsidR="00010A9A" w:rsidRPr="004F65CD" w:rsidRDefault="00010A9A" w:rsidP="00010A9A">
            <w:pPr>
              <w:jc w:val="right"/>
              <w:rPr>
                <w:sz w:val="15"/>
                <w:szCs w:val="15"/>
              </w:rPr>
            </w:pPr>
            <w:r w:rsidRPr="004F65CD">
              <w:rPr>
                <w:sz w:val="15"/>
                <w:szCs w:val="15"/>
              </w:rPr>
              <w:t>1.4</w:t>
            </w:r>
          </w:p>
        </w:tc>
        <w:tc>
          <w:tcPr>
            <w:tcW w:w="0" w:type="auto"/>
            <w:tcBorders>
              <w:top w:val="nil"/>
              <w:left w:val="single" w:sz="4" w:space="0" w:color="auto"/>
              <w:bottom w:val="nil"/>
              <w:right w:val="nil"/>
            </w:tcBorders>
            <w:shd w:val="clear" w:color="auto" w:fill="auto"/>
            <w:noWrap/>
            <w:vAlign w:val="center"/>
            <w:hideMark/>
          </w:tcPr>
          <w:p w14:paraId="623ADC64" w14:textId="77777777" w:rsidR="00010A9A" w:rsidRPr="004F65CD" w:rsidRDefault="00010A9A" w:rsidP="00010A9A">
            <w:pPr>
              <w:jc w:val="right"/>
              <w:rPr>
                <w:sz w:val="15"/>
                <w:szCs w:val="15"/>
              </w:rPr>
            </w:pPr>
            <w:r w:rsidRPr="004F65CD">
              <w:rPr>
                <w:sz w:val="15"/>
                <w:szCs w:val="15"/>
              </w:rPr>
              <w:t>2.5</w:t>
            </w:r>
          </w:p>
        </w:tc>
        <w:tc>
          <w:tcPr>
            <w:tcW w:w="0" w:type="auto"/>
            <w:tcBorders>
              <w:top w:val="nil"/>
              <w:left w:val="nil"/>
              <w:bottom w:val="nil"/>
              <w:right w:val="nil"/>
            </w:tcBorders>
            <w:shd w:val="clear" w:color="auto" w:fill="auto"/>
            <w:noWrap/>
            <w:vAlign w:val="center"/>
            <w:hideMark/>
          </w:tcPr>
          <w:p w14:paraId="0725E024" w14:textId="77777777" w:rsidR="00010A9A" w:rsidRPr="004F65CD" w:rsidRDefault="00010A9A" w:rsidP="00010A9A">
            <w:pPr>
              <w:jc w:val="right"/>
              <w:rPr>
                <w:sz w:val="15"/>
                <w:szCs w:val="15"/>
              </w:rPr>
            </w:pPr>
            <w:r w:rsidRPr="004F65CD">
              <w:rPr>
                <w:sz w:val="15"/>
                <w:szCs w:val="15"/>
              </w:rPr>
              <w:t>2.5</w:t>
            </w:r>
          </w:p>
        </w:tc>
        <w:tc>
          <w:tcPr>
            <w:tcW w:w="0" w:type="auto"/>
            <w:tcBorders>
              <w:top w:val="nil"/>
              <w:left w:val="nil"/>
              <w:bottom w:val="nil"/>
              <w:right w:val="nil"/>
            </w:tcBorders>
            <w:shd w:val="clear" w:color="auto" w:fill="auto"/>
            <w:noWrap/>
            <w:vAlign w:val="center"/>
            <w:hideMark/>
          </w:tcPr>
          <w:p w14:paraId="53148990" w14:textId="77777777" w:rsidR="00010A9A" w:rsidRPr="004F65CD" w:rsidRDefault="00010A9A" w:rsidP="00010A9A">
            <w:pPr>
              <w:jc w:val="right"/>
              <w:rPr>
                <w:sz w:val="15"/>
                <w:szCs w:val="15"/>
              </w:rPr>
            </w:pPr>
            <w:r w:rsidRPr="004F65CD">
              <w:rPr>
                <w:sz w:val="15"/>
                <w:szCs w:val="15"/>
              </w:rPr>
              <w:t>2.5</w:t>
            </w:r>
          </w:p>
        </w:tc>
      </w:tr>
      <w:tr w:rsidR="006B42D6" w:rsidRPr="004F65CD" w14:paraId="6AE99E24" w14:textId="77777777" w:rsidTr="00010A9A">
        <w:trPr>
          <w:trHeight w:val="283"/>
        </w:trPr>
        <w:tc>
          <w:tcPr>
            <w:tcW w:w="0" w:type="auto"/>
            <w:tcBorders>
              <w:top w:val="nil"/>
              <w:left w:val="nil"/>
              <w:bottom w:val="nil"/>
              <w:right w:val="nil"/>
            </w:tcBorders>
            <w:shd w:val="clear" w:color="auto" w:fill="auto"/>
            <w:vAlign w:val="center"/>
            <w:hideMark/>
          </w:tcPr>
          <w:p w14:paraId="2E49EF8C" w14:textId="77777777" w:rsidR="00010A9A" w:rsidRPr="004F65CD" w:rsidRDefault="00010A9A" w:rsidP="00010A9A">
            <w:pPr>
              <w:rPr>
                <w:sz w:val="15"/>
                <w:szCs w:val="15"/>
              </w:rPr>
            </w:pPr>
            <w:r w:rsidRPr="004F65CD">
              <w:rPr>
                <w:sz w:val="15"/>
                <w:szCs w:val="15"/>
              </w:rPr>
              <w:t>Sale of cash crops</w:t>
            </w:r>
          </w:p>
        </w:tc>
        <w:tc>
          <w:tcPr>
            <w:tcW w:w="0" w:type="auto"/>
            <w:tcBorders>
              <w:top w:val="nil"/>
              <w:left w:val="nil"/>
              <w:bottom w:val="nil"/>
              <w:right w:val="nil"/>
            </w:tcBorders>
            <w:shd w:val="clear" w:color="auto" w:fill="auto"/>
            <w:noWrap/>
            <w:vAlign w:val="center"/>
            <w:hideMark/>
          </w:tcPr>
          <w:p w14:paraId="6577A466" w14:textId="77777777" w:rsidR="00010A9A" w:rsidRPr="004F65CD" w:rsidRDefault="00010A9A" w:rsidP="00010A9A">
            <w:pPr>
              <w:jc w:val="right"/>
              <w:rPr>
                <w:sz w:val="15"/>
                <w:szCs w:val="15"/>
              </w:rPr>
            </w:pPr>
            <w:r w:rsidRPr="004F65CD">
              <w:rPr>
                <w:sz w:val="15"/>
                <w:szCs w:val="15"/>
              </w:rPr>
              <w:t>6.9</w:t>
            </w:r>
          </w:p>
        </w:tc>
        <w:tc>
          <w:tcPr>
            <w:tcW w:w="0" w:type="auto"/>
            <w:tcBorders>
              <w:top w:val="nil"/>
              <w:left w:val="nil"/>
              <w:bottom w:val="nil"/>
              <w:right w:val="nil"/>
            </w:tcBorders>
            <w:shd w:val="clear" w:color="auto" w:fill="auto"/>
            <w:noWrap/>
            <w:vAlign w:val="center"/>
            <w:hideMark/>
          </w:tcPr>
          <w:p w14:paraId="39EAD564" w14:textId="77777777" w:rsidR="00010A9A" w:rsidRPr="004F65CD" w:rsidRDefault="00010A9A" w:rsidP="00010A9A">
            <w:pPr>
              <w:jc w:val="right"/>
              <w:rPr>
                <w:sz w:val="15"/>
                <w:szCs w:val="15"/>
              </w:rPr>
            </w:pPr>
            <w:r w:rsidRPr="004F65CD">
              <w:rPr>
                <w:sz w:val="15"/>
                <w:szCs w:val="15"/>
              </w:rPr>
              <w:t>7</w:t>
            </w:r>
          </w:p>
        </w:tc>
        <w:tc>
          <w:tcPr>
            <w:tcW w:w="0" w:type="auto"/>
            <w:tcBorders>
              <w:top w:val="nil"/>
              <w:left w:val="nil"/>
              <w:bottom w:val="nil"/>
              <w:right w:val="nil"/>
            </w:tcBorders>
            <w:shd w:val="clear" w:color="auto" w:fill="auto"/>
            <w:noWrap/>
            <w:vAlign w:val="center"/>
            <w:hideMark/>
          </w:tcPr>
          <w:p w14:paraId="01092C3B" w14:textId="77777777" w:rsidR="00010A9A" w:rsidRPr="004F65CD" w:rsidRDefault="00010A9A" w:rsidP="00010A9A">
            <w:pPr>
              <w:jc w:val="right"/>
              <w:rPr>
                <w:sz w:val="15"/>
                <w:szCs w:val="15"/>
              </w:rPr>
            </w:pPr>
            <w:r w:rsidRPr="004F65CD">
              <w:rPr>
                <w:sz w:val="15"/>
                <w:szCs w:val="15"/>
              </w:rPr>
              <w:t>3.4</w:t>
            </w:r>
          </w:p>
        </w:tc>
        <w:tc>
          <w:tcPr>
            <w:tcW w:w="0" w:type="auto"/>
            <w:tcBorders>
              <w:top w:val="nil"/>
              <w:left w:val="single" w:sz="4" w:space="0" w:color="auto"/>
              <w:bottom w:val="nil"/>
              <w:right w:val="nil"/>
            </w:tcBorders>
            <w:shd w:val="clear" w:color="auto" w:fill="auto"/>
            <w:noWrap/>
            <w:vAlign w:val="center"/>
            <w:hideMark/>
          </w:tcPr>
          <w:p w14:paraId="57F2912C" w14:textId="77777777" w:rsidR="00010A9A" w:rsidRPr="004F65CD" w:rsidRDefault="00010A9A" w:rsidP="00010A9A">
            <w:pPr>
              <w:jc w:val="right"/>
              <w:rPr>
                <w:sz w:val="15"/>
                <w:szCs w:val="15"/>
              </w:rPr>
            </w:pPr>
            <w:r w:rsidRPr="004F65CD">
              <w:rPr>
                <w:sz w:val="15"/>
                <w:szCs w:val="15"/>
              </w:rPr>
              <w:t>9.9</w:t>
            </w:r>
          </w:p>
        </w:tc>
        <w:tc>
          <w:tcPr>
            <w:tcW w:w="0" w:type="auto"/>
            <w:tcBorders>
              <w:top w:val="nil"/>
              <w:left w:val="nil"/>
              <w:bottom w:val="nil"/>
              <w:right w:val="nil"/>
            </w:tcBorders>
            <w:shd w:val="clear" w:color="auto" w:fill="auto"/>
            <w:noWrap/>
            <w:vAlign w:val="center"/>
            <w:hideMark/>
          </w:tcPr>
          <w:p w14:paraId="0FB8389A" w14:textId="77777777" w:rsidR="00010A9A" w:rsidRPr="004F65CD" w:rsidRDefault="00010A9A" w:rsidP="00010A9A">
            <w:pPr>
              <w:jc w:val="right"/>
              <w:rPr>
                <w:sz w:val="15"/>
                <w:szCs w:val="15"/>
              </w:rPr>
            </w:pPr>
            <w:r w:rsidRPr="004F65CD">
              <w:rPr>
                <w:sz w:val="15"/>
                <w:szCs w:val="15"/>
              </w:rPr>
              <w:t>10</w:t>
            </w:r>
          </w:p>
        </w:tc>
        <w:tc>
          <w:tcPr>
            <w:tcW w:w="0" w:type="auto"/>
            <w:tcBorders>
              <w:top w:val="nil"/>
              <w:left w:val="nil"/>
              <w:bottom w:val="nil"/>
              <w:right w:val="nil"/>
            </w:tcBorders>
            <w:shd w:val="clear" w:color="auto" w:fill="auto"/>
            <w:noWrap/>
            <w:vAlign w:val="center"/>
            <w:hideMark/>
          </w:tcPr>
          <w:p w14:paraId="2960354D" w14:textId="77777777" w:rsidR="00010A9A" w:rsidRPr="004F65CD" w:rsidRDefault="00010A9A" w:rsidP="00010A9A">
            <w:pPr>
              <w:jc w:val="right"/>
              <w:rPr>
                <w:sz w:val="15"/>
                <w:szCs w:val="15"/>
              </w:rPr>
            </w:pPr>
            <w:r w:rsidRPr="004F65CD">
              <w:rPr>
                <w:sz w:val="15"/>
                <w:szCs w:val="15"/>
              </w:rPr>
              <w:t>2.9</w:t>
            </w:r>
          </w:p>
        </w:tc>
      </w:tr>
      <w:tr w:rsidR="006B42D6" w:rsidRPr="004F65CD" w14:paraId="4D23C762" w14:textId="77777777" w:rsidTr="00010A9A">
        <w:trPr>
          <w:trHeight w:val="283"/>
        </w:trPr>
        <w:tc>
          <w:tcPr>
            <w:tcW w:w="0" w:type="auto"/>
            <w:tcBorders>
              <w:top w:val="nil"/>
              <w:left w:val="nil"/>
              <w:bottom w:val="nil"/>
              <w:right w:val="nil"/>
            </w:tcBorders>
            <w:shd w:val="clear" w:color="auto" w:fill="auto"/>
            <w:vAlign w:val="center"/>
            <w:hideMark/>
          </w:tcPr>
          <w:p w14:paraId="1F64BCBF" w14:textId="77777777" w:rsidR="00010A9A" w:rsidRPr="004F65CD" w:rsidRDefault="00010A9A" w:rsidP="00010A9A">
            <w:pPr>
              <w:rPr>
                <w:sz w:val="15"/>
                <w:szCs w:val="15"/>
              </w:rPr>
            </w:pPr>
            <w:r w:rsidRPr="004F65CD">
              <w:rPr>
                <w:sz w:val="15"/>
                <w:szCs w:val="15"/>
              </w:rPr>
              <w:t>Sale of forest products</w:t>
            </w:r>
          </w:p>
        </w:tc>
        <w:tc>
          <w:tcPr>
            <w:tcW w:w="0" w:type="auto"/>
            <w:tcBorders>
              <w:top w:val="nil"/>
              <w:left w:val="nil"/>
              <w:bottom w:val="nil"/>
              <w:right w:val="nil"/>
            </w:tcBorders>
            <w:shd w:val="clear" w:color="auto" w:fill="auto"/>
            <w:noWrap/>
            <w:vAlign w:val="center"/>
            <w:hideMark/>
          </w:tcPr>
          <w:p w14:paraId="76A9B3FD" w14:textId="77777777" w:rsidR="00010A9A" w:rsidRPr="004F65CD" w:rsidRDefault="00010A9A" w:rsidP="00010A9A">
            <w:pPr>
              <w:jc w:val="right"/>
              <w:rPr>
                <w:sz w:val="15"/>
                <w:szCs w:val="15"/>
              </w:rPr>
            </w:pPr>
            <w:r w:rsidRPr="004F65CD">
              <w:rPr>
                <w:sz w:val="15"/>
                <w:szCs w:val="15"/>
              </w:rPr>
              <w:t>0.4</w:t>
            </w:r>
          </w:p>
        </w:tc>
        <w:tc>
          <w:tcPr>
            <w:tcW w:w="0" w:type="auto"/>
            <w:tcBorders>
              <w:top w:val="nil"/>
              <w:left w:val="nil"/>
              <w:bottom w:val="nil"/>
              <w:right w:val="nil"/>
            </w:tcBorders>
            <w:shd w:val="clear" w:color="auto" w:fill="auto"/>
            <w:noWrap/>
            <w:vAlign w:val="center"/>
            <w:hideMark/>
          </w:tcPr>
          <w:p w14:paraId="676AF17C" w14:textId="77777777" w:rsidR="00010A9A" w:rsidRPr="004F65CD" w:rsidRDefault="00010A9A" w:rsidP="00010A9A">
            <w:pPr>
              <w:jc w:val="right"/>
              <w:rPr>
                <w:sz w:val="15"/>
                <w:szCs w:val="15"/>
              </w:rPr>
            </w:pPr>
            <w:r w:rsidRPr="004F65CD">
              <w:rPr>
                <w:sz w:val="15"/>
                <w:szCs w:val="15"/>
              </w:rPr>
              <w:t>0.4</w:t>
            </w:r>
          </w:p>
        </w:tc>
        <w:tc>
          <w:tcPr>
            <w:tcW w:w="0" w:type="auto"/>
            <w:tcBorders>
              <w:top w:val="nil"/>
              <w:left w:val="nil"/>
              <w:bottom w:val="nil"/>
              <w:right w:val="nil"/>
            </w:tcBorders>
            <w:shd w:val="clear" w:color="auto" w:fill="auto"/>
            <w:noWrap/>
            <w:vAlign w:val="center"/>
            <w:hideMark/>
          </w:tcPr>
          <w:p w14:paraId="0CBF1690" w14:textId="77777777" w:rsidR="00010A9A" w:rsidRPr="004F65CD" w:rsidRDefault="00010A9A" w:rsidP="00010A9A">
            <w:pPr>
              <w:jc w:val="right"/>
              <w:rPr>
                <w:sz w:val="15"/>
                <w:szCs w:val="15"/>
              </w:rPr>
            </w:pPr>
            <w:r w:rsidRPr="004F65CD">
              <w:rPr>
                <w:sz w:val="15"/>
                <w:szCs w:val="15"/>
              </w:rPr>
              <w:t>0.1</w:t>
            </w:r>
          </w:p>
        </w:tc>
        <w:tc>
          <w:tcPr>
            <w:tcW w:w="0" w:type="auto"/>
            <w:tcBorders>
              <w:top w:val="nil"/>
              <w:left w:val="single" w:sz="4" w:space="0" w:color="auto"/>
              <w:bottom w:val="nil"/>
              <w:right w:val="nil"/>
            </w:tcBorders>
            <w:shd w:val="clear" w:color="auto" w:fill="auto"/>
            <w:noWrap/>
            <w:vAlign w:val="center"/>
            <w:hideMark/>
          </w:tcPr>
          <w:p w14:paraId="19D15719" w14:textId="77777777" w:rsidR="00010A9A" w:rsidRPr="004F65CD" w:rsidRDefault="00010A9A" w:rsidP="00010A9A">
            <w:pPr>
              <w:jc w:val="right"/>
              <w:rPr>
                <w:sz w:val="15"/>
                <w:szCs w:val="15"/>
              </w:rPr>
            </w:pPr>
            <w:r w:rsidRPr="004F65CD">
              <w:rPr>
                <w:sz w:val="15"/>
                <w:szCs w:val="15"/>
              </w:rPr>
              <w:t>1.1</w:t>
            </w:r>
          </w:p>
        </w:tc>
        <w:tc>
          <w:tcPr>
            <w:tcW w:w="0" w:type="auto"/>
            <w:tcBorders>
              <w:top w:val="nil"/>
              <w:left w:val="nil"/>
              <w:bottom w:val="nil"/>
              <w:right w:val="nil"/>
            </w:tcBorders>
            <w:shd w:val="clear" w:color="auto" w:fill="auto"/>
            <w:noWrap/>
            <w:vAlign w:val="center"/>
            <w:hideMark/>
          </w:tcPr>
          <w:p w14:paraId="0F072A2F" w14:textId="77777777" w:rsidR="00010A9A" w:rsidRPr="004F65CD" w:rsidRDefault="00010A9A" w:rsidP="00010A9A">
            <w:pPr>
              <w:jc w:val="right"/>
              <w:rPr>
                <w:sz w:val="15"/>
                <w:szCs w:val="15"/>
              </w:rPr>
            </w:pPr>
            <w:r w:rsidRPr="004F65CD">
              <w:rPr>
                <w:sz w:val="15"/>
                <w:szCs w:val="15"/>
              </w:rPr>
              <w:t>1.1</w:t>
            </w:r>
          </w:p>
        </w:tc>
        <w:tc>
          <w:tcPr>
            <w:tcW w:w="0" w:type="auto"/>
            <w:tcBorders>
              <w:top w:val="nil"/>
              <w:left w:val="nil"/>
              <w:bottom w:val="nil"/>
              <w:right w:val="nil"/>
            </w:tcBorders>
            <w:shd w:val="clear" w:color="auto" w:fill="auto"/>
            <w:noWrap/>
            <w:vAlign w:val="center"/>
            <w:hideMark/>
          </w:tcPr>
          <w:p w14:paraId="20EA0739" w14:textId="77777777" w:rsidR="00010A9A" w:rsidRPr="004F65CD" w:rsidRDefault="00010A9A" w:rsidP="00010A9A">
            <w:pPr>
              <w:jc w:val="right"/>
              <w:rPr>
                <w:sz w:val="15"/>
                <w:szCs w:val="15"/>
              </w:rPr>
            </w:pPr>
            <w:r w:rsidRPr="004F65CD">
              <w:rPr>
                <w:sz w:val="15"/>
                <w:szCs w:val="15"/>
              </w:rPr>
              <w:t>1</w:t>
            </w:r>
          </w:p>
        </w:tc>
      </w:tr>
      <w:tr w:rsidR="006B42D6" w:rsidRPr="004F65CD" w14:paraId="1E461B71" w14:textId="77777777" w:rsidTr="00010A9A">
        <w:trPr>
          <w:trHeight w:val="283"/>
        </w:trPr>
        <w:tc>
          <w:tcPr>
            <w:tcW w:w="0" w:type="auto"/>
            <w:tcBorders>
              <w:top w:val="nil"/>
              <w:left w:val="nil"/>
              <w:bottom w:val="nil"/>
              <w:right w:val="nil"/>
            </w:tcBorders>
            <w:shd w:val="clear" w:color="auto" w:fill="auto"/>
            <w:vAlign w:val="center"/>
            <w:hideMark/>
          </w:tcPr>
          <w:p w14:paraId="70A4E4D9" w14:textId="77777777" w:rsidR="00010A9A" w:rsidRPr="004F65CD" w:rsidRDefault="00010A9A" w:rsidP="00010A9A">
            <w:pPr>
              <w:rPr>
                <w:sz w:val="15"/>
                <w:szCs w:val="15"/>
              </w:rPr>
            </w:pPr>
            <w:r w:rsidRPr="004F65CD">
              <w:rPr>
                <w:sz w:val="15"/>
                <w:szCs w:val="15"/>
              </w:rPr>
              <w:t>Business income</w:t>
            </w:r>
          </w:p>
        </w:tc>
        <w:tc>
          <w:tcPr>
            <w:tcW w:w="0" w:type="auto"/>
            <w:tcBorders>
              <w:top w:val="nil"/>
              <w:left w:val="nil"/>
              <w:bottom w:val="nil"/>
              <w:right w:val="nil"/>
            </w:tcBorders>
            <w:shd w:val="clear" w:color="auto" w:fill="auto"/>
            <w:noWrap/>
            <w:vAlign w:val="center"/>
            <w:hideMark/>
          </w:tcPr>
          <w:p w14:paraId="00EC4868" w14:textId="77777777" w:rsidR="00010A9A" w:rsidRPr="004F65CD" w:rsidRDefault="00010A9A" w:rsidP="00010A9A">
            <w:pPr>
              <w:jc w:val="right"/>
              <w:rPr>
                <w:sz w:val="15"/>
                <w:szCs w:val="15"/>
              </w:rPr>
            </w:pPr>
            <w:r w:rsidRPr="004F65CD">
              <w:rPr>
                <w:sz w:val="15"/>
                <w:szCs w:val="15"/>
              </w:rPr>
              <w:t>13.9</w:t>
            </w:r>
          </w:p>
        </w:tc>
        <w:tc>
          <w:tcPr>
            <w:tcW w:w="0" w:type="auto"/>
            <w:tcBorders>
              <w:top w:val="nil"/>
              <w:left w:val="nil"/>
              <w:bottom w:val="nil"/>
              <w:right w:val="nil"/>
            </w:tcBorders>
            <w:shd w:val="clear" w:color="auto" w:fill="auto"/>
            <w:noWrap/>
            <w:vAlign w:val="center"/>
            <w:hideMark/>
          </w:tcPr>
          <w:p w14:paraId="03A25CBB" w14:textId="77777777" w:rsidR="00010A9A" w:rsidRPr="004F65CD" w:rsidRDefault="00010A9A" w:rsidP="00010A9A">
            <w:pPr>
              <w:jc w:val="right"/>
              <w:rPr>
                <w:sz w:val="15"/>
                <w:szCs w:val="15"/>
              </w:rPr>
            </w:pPr>
            <w:r w:rsidRPr="004F65CD">
              <w:rPr>
                <w:sz w:val="15"/>
                <w:szCs w:val="15"/>
              </w:rPr>
              <w:t>13.9</w:t>
            </w:r>
          </w:p>
        </w:tc>
        <w:tc>
          <w:tcPr>
            <w:tcW w:w="0" w:type="auto"/>
            <w:tcBorders>
              <w:top w:val="nil"/>
              <w:left w:val="nil"/>
              <w:bottom w:val="nil"/>
              <w:right w:val="nil"/>
            </w:tcBorders>
            <w:shd w:val="clear" w:color="auto" w:fill="auto"/>
            <w:noWrap/>
            <w:vAlign w:val="center"/>
            <w:hideMark/>
          </w:tcPr>
          <w:p w14:paraId="06CC2617" w14:textId="77777777" w:rsidR="00010A9A" w:rsidRPr="004F65CD" w:rsidRDefault="00010A9A" w:rsidP="00010A9A">
            <w:pPr>
              <w:jc w:val="right"/>
              <w:rPr>
                <w:sz w:val="15"/>
                <w:szCs w:val="15"/>
              </w:rPr>
            </w:pPr>
            <w:r w:rsidRPr="004F65CD">
              <w:rPr>
                <w:sz w:val="15"/>
                <w:szCs w:val="15"/>
              </w:rPr>
              <w:t>17.5</w:t>
            </w:r>
          </w:p>
        </w:tc>
        <w:tc>
          <w:tcPr>
            <w:tcW w:w="0" w:type="auto"/>
            <w:tcBorders>
              <w:top w:val="nil"/>
              <w:left w:val="single" w:sz="4" w:space="0" w:color="auto"/>
              <w:bottom w:val="nil"/>
              <w:right w:val="nil"/>
            </w:tcBorders>
            <w:shd w:val="clear" w:color="auto" w:fill="auto"/>
            <w:noWrap/>
            <w:vAlign w:val="center"/>
            <w:hideMark/>
          </w:tcPr>
          <w:p w14:paraId="60DDE926" w14:textId="77777777" w:rsidR="00010A9A" w:rsidRPr="004F65CD" w:rsidRDefault="00010A9A" w:rsidP="00010A9A">
            <w:pPr>
              <w:jc w:val="right"/>
              <w:rPr>
                <w:sz w:val="15"/>
                <w:szCs w:val="15"/>
              </w:rPr>
            </w:pPr>
            <w:r w:rsidRPr="004F65CD">
              <w:rPr>
                <w:sz w:val="15"/>
                <w:szCs w:val="15"/>
              </w:rPr>
              <w:t>6</w:t>
            </w:r>
          </w:p>
        </w:tc>
        <w:tc>
          <w:tcPr>
            <w:tcW w:w="0" w:type="auto"/>
            <w:tcBorders>
              <w:top w:val="nil"/>
              <w:left w:val="nil"/>
              <w:bottom w:val="nil"/>
              <w:right w:val="nil"/>
            </w:tcBorders>
            <w:shd w:val="clear" w:color="auto" w:fill="auto"/>
            <w:noWrap/>
            <w:vAlign w:val="center"/>
            <w:hideMark/>
          </w:tcPr>
          <w:p w14:paraId="3C46387E" w14:textId="77777777" w:rsidR="00010A9A" w:rsidRPr="004F65CD" w:rsidRDefault="00010A9A" w:rsidP="00010A9A">
            <w:pPr>
              <w:jc w:val="right"/>
              <w:rPr>
                <w:sz w:val="15"/>
                <w:szCs w:val="15"/>
              </w:rPr>
            </w:pPr>
            <w:r w:rsidRPr="004F65CD">
              <w:rPr>
                <w:sz w:val="15"/>
                <w:szCs w:val="15"/>
              </w:rPr>
              <w:t>5.8</w:t>
            </w:r>
          </w:p>
        </w:tc>
        <w:tc>
          <w:tcPr>
            <w:tcW w:w="0" w:type="auto"/>
            <w:tcBorders>
              <w:top w:val="nil"/>
              <w:left w:val="nil"/>
              <w:bottom w:val="nil"/>
              <w:right w:val="nil"/>
            </w:tcBorders>
            <w:shd w:val="clear" w:color="auto" w:fill="auto"/>
            <w:noWrap/>
            <w:vAlign w:val="center"/>
            <w:hideMark/>
          </w:tcPr>
          <w:p w14:paraId="6CF21615" w14:textId="77777777" w:rsidR="00010A9A" w:rsidRPr="004F65CD" w:rsidRDefault="00010A9A" w:rsidP="00010A9A">
            <w:pPr>
              <w:jc w:val="right"/>
              <w:rPr>
                <w:sz w:val="15"/>
                <w:szCs w:val="15"/>
              </w:rPr>
            </w:pPr>
            <w:r w:rsidRPr="004F65CD">
              <w:rPr>
                <w:sz w:val="15"/>
                <w:szCs w:val="15"/>
              </w:rPr>
              <w:t>12.8</w:t>
            </w:r>
          </w:p>
        </w:tc>
      </w:tr>
      <w:tr w:rsidR="006B42D6" w:rsidRPr="004F65CD" w14:paraId="29ACB63C" w14:textId="77777777" w:rsidTr="00010A9A">
        <w:trPr>
          <w:trHeight w:val="283"/>
        </w:trPr>
        <w:tc>
          <w:tcPr>
            <w:tcW w:w="0" w:type="auto"/>
            <w:tcBorders>
              <w:top w:val="nil"/>
              <w:left w:val="nil"/>
              <w:bottom w:val="nil"/>
              <w:right w:val="nil"/>
            </w:tcBorders>
            <w:shd w:val="clear" w:color="auto" w:fill="auto"/>
            <w:vAlign w:val="center"/>
            <w:hideMark/>
          </w:tcPr>
          <w:p w14:paraId="0297829D" w14:textId="77777777" w:rsidR="00010A9A" w:rsidRPr="004F65CD" w:rsidRDefault="00010A9A" w:rsidP="00010A9A">
            <w:pPr>
              <w:rPr>
                <w:sz w:val="15"/>
                <w:szCs w:val="15"/>
              </w:rPr>
            </w:pPr>
            <w:r w:rsidRPr="004F65CD">
              <w:rPr>
                <w:sz w:val="15"/>
                <w:szCs w:val="15"/>
              </w:rPr>
              <w:t>Wages or salaries in cash</w:t>
            </w:r>
          </w:p>
        </w:tc>
        <w:tc>
          <w:tcPr>
            <w:tcW w:w="0" w:type="auto"/>
            <w:tcBorders>
              <w:top w:val="nil"/>
              <w:left w:val="nil"/>
              <w:bottom w:val="nil"/>
              <w:right w:val="nil"/>
            </w:tcBorders>
            <w:shd w:val="clear" w:color="auto" w:fill="auto"/>
            <w:noWrap/>
            <w:vAlign w:val="center"/>
            <w:hideMark/>
          </w:tcPr>
          <w:p w14:paraId="097A7C3B" w14:textId="77777777" w:rsidR="00010A9A" w:rsidRPr="004F65CD" w:rsidRDefault="00010A9A" w:rsidP="00010A9A">
            <w:pPr>
              <w:jc w:val="right"/>
              <w:rPr>
                <w:sz w:val="15"/>
                <w:szCs w:val="15"/>
              </w:rPr>
            </w:pPr>
            <w:r w:rsidRPr="004F65CD">
              <w:rPr>
                <w:sz w:val="15"/>
                <w:szCs w:val="15"/>
              </w:rPr>
              <w:t>4.4</w:t>
            </w:r>
          </w:p>
        </w:tc>
        <w:tc>
          <w:tcPr>
            <w:tcW w:w="0" w:type="auto"/>
            <w:tcBorders>
              <w:top w:val="nil"/>
              <w:left w:val="nil"/>
              <w:bottom w:val="nil"/>
              <w:right w:val="nil"/>
            </w:tcBorders>
            <w:shd w:val="clear" w:color="auto" w:fill="auto"/>
            <w:noWrap/>
            <w:vAlign w:val="center"/>
            <w:hideMark/>
          </w:tcPr>
          <w:p w14:paraId="3AFCA9F2" w14:textId="77777777" w:rsidR="00010A9A" w:rsidRPr="004F65CD" w:rsidRDefault="00010A9A" w:rsidP="00010A9A">
            <w:pPr>
              <w:jc w:val="right"/>
              <w:rPr>
                <w:sz w:val="15"/>
                <w:szCs w:val="15"/>
              </w:rPr>
            </w:pPr>
            <w:r w:rsidRPr="004F65CD">
              <w:rPr>
                <w:sz w:val="15"/>
                <w:szCs w:val="15"/>
              </w:rPr>
              <w:t>4.3</w:t>
            </w:r>
          </w:p>
        </w:tc>
        <w:tc>
          <w:tcPr>
            <w:tcW w:w="0" w:type="auto"/>
            <w:tcBorders>
              <w:top w:val="nil"/>
              <w:left w:val="nil"/>
              <w:bottom w:val="nil"/>
              <w:right w:val="nil"/>
            </w:tcBorders>
            <w:shd w:val="clear" w:color="auto" w:fill="auto"/>
            <w:noWrap/>
            <w:vAlign w:val="center"/>
            <w:hideMark/>
          </w:tcPr>
          <w:p w14:paraId="0A107077" w14:textId="77777777" w:rsidR="00010A9A" w:rsidRPr="004F65CD" w:rsidRDefault="00010A9A" w:rsidP="00010A9A">
            <w:pPr>
              <w:jc w:val="right"/>
              <w:rPr>
                <w:sz w:val="15"/>
                <w:szCs w:val="15"/>
              </w:rPr>
            </w:pPr>
            <w:r w:rsidRPr="004F65CD">
              <w:rPr>
                <w:sz w:val="15"/>
                <w:szCs w:val="15"/>
              </w:rPr>
              <w:t>9.5</w:t>
            </w:r>
          </w:p>
        </w:tc>
        <w:tc>
          <w:tcPr>
            <w:tcW w:w="0" w:type="auto"/>
            <w:tcBorders>
              <w:top w:val="nil"/>
              <w:left w:val="single" w:sz="4" w:space="0" w:color="auto"/>
              <w:bottom w:val="nil"/>
              <w:right w:val="nil"/>
            </w:tcBorders>
            <w:shd w:val="clear" w:color="auto" w:fill="auto"/>
            <w:noWrap/>
            <w:vAlign w:val="center"/>
            <w:hideMark/>
          </w:tcPr>
          <w:p w14:paraId="33B73B54" w14:textId="77777777" w:rsidR="00010A9A" w:rsidRPr="004F65CD" w:rsidRDefault="00010A9A" w:rsidP="00010A9A">
            <w:pPr>
              <w:jc w:val="right"/>
              <w:rPr>
                <w:sz w:val="15"/>
                <w:szCs w:val="15"/>
              </w:rPr>
            </w:pPr>
            <w:r w:rsidRPr="004F65CD">
              <w:rPr>
                <w:sz w:val="15"/>
                <w:szCs w:val="15"/>
              </w:rPr>
              <w:t>2.8</w:t>
            </w:r>
          </w:p>
        </w:tc>
        <w:tc>
          <w:tcPr>
            <w:tcW w:w="0" w:type="auto"/>
            <w:tcBorders>
              <w:top w:val="nil"/>
              <w:left w:val="nil"/>
              <w:bottom w:val="nil"/>
              <w:right w:val="nil"/>
            </w:tcBorders>
            <w:shd w:val="clear" w:color="auto" w:fill="auto"/>
            <w:noWrap/>
            <w:vAlign w:val="center"/>
            <w:hideMark/>
          </w:tcPr>
          <w:p w14:paraId="176BE4E7" w14:textId="77777777" w:rsidR="00010A9A" w:rsidRPr="004F65CD" w:rsidRDefault="00010A9A" w:rsidP="00010A9A">
            <w:pPr>
              <w:jc w:val="right"/>
              <w:rPr>
                <w:sz w:val="15"/>
                <w:szCs w:val="15"/>
              </w:rPr>
            </w:pPr>
            <w:r w:rsidRPr="004F65CD">
              <w:rPr>
                <w:sz w:val="15"/>
                <w:szCs w:val="15"/>
              </w:rPr>
              <w:t>2.6</w:t>
            </w:r>
          </w:p>
        </w:tc>
        <w:tc>
          <w:tcPr>
            <w:tcW w:w="0" w:type="auto"/>
            <w:tcBorders>
              <w:top w:val="nil"/>
              <w:left w:val="nil"/>
              <w:bottom w:val="nil"/>
              <w:right w:val="nil"/>
            </w:tcBorders>
            <w:shd w:val="clear" w:color="auto" w:fill="auto"/>
            <w:noWrap/>
            <w:vAlign w:val="center"/>
            <w:hideMark/>
          </w:tcPr>
          <w:p w14:paraId="21392E2A" w14:textId="77777777" w:rsidR="00010A9A" w:rsidRPr="004F65CD" w:rsidRDefault="00010A9A" w:rsidP="00010A9A">
            <w:pPr>
              <w:jc w:val="right"/>
              <w:rPr>
                <w:sz w:val="15"/>
                <w:szCs w:val="15"/>
              </w:rPr>
            </w:pPr>
            <w:r w:rsidRPr="004F65CD">
              <w:rPr>
                <w:sz w:val="15"/>
                <w:szCs w:val="15"/>
              </w:rPr>
              <w:t>12.6</w:t>
            </w:r>
          </w:p>
        </w:tc>
      </w:tr>
      <w:tr w:rsidR="006B42D6" w:rsidRPr="004F65CD" w14:paraId="5CC5199E" w14:textId="77777777" w:rsidTr="00010A9A">
        <w:trPr>
          <w:trHeight w:val="283"/>
        </w:trPr>
        <w:tc>
          <w:tcPr>
            <w:tcW w:w="0" w:type="auto"/>
            <w:tcBorders>
              <w:top w:val="nil"/>
              <w:left w:val="nil"/>
              <w:bottom w:val="nil"/>
              <w:right w:val="nil"/>
            </w:tcBorders>
            <w:shd w:val="clear" w:color="auto" w:fill="auto"/>
            <w:vAlign w:val="center"/>
            <w:hideMark/>
          </w:tcPr>
          <w:p w14:paraId="61D7DF61" w14:textId="77777777" w:rsidR="00010A9A" w:rsidRPr="004F65CD" w:rsidRDefault="00010A9A" w:rsidP="00010A9A">
            <w:pPr>
              <w:rPr>
                <w:sz w:val="15"/>
                <w:szCs w:val="15"/>
              </w:rPr>
            </w:pPr>
            <w:r w:rsidRPr="004F65CD">
              <w:rPr>
                <w:sz w:val="15"/>
                <w:szCs w:val="15"/>
              </w:rPr>
              <w:t>Casual cash earnings</w:t>
            </w:r>
          </w:p>
        </w:tc>
        <w:tc>
          <w:tcPr>
            <w:tcW w:w="0" w:type="auto"/>
            <w:tcBorders>
              <w:top w:val="nil"/>
              <w:left w:val="nil"/>
              <w:bottom w:val="nil"/>
              <w:right w:val="nil"/>
            </w:tcBorders>
            <w:shd w:val="clear" w:color="auto" w:fill="auto"/>
            <w:noWrap/>
            <w:vAlign w:val="center"/>
            <w:hideMark/>
          </w:tcPr>
          <w:p w14:paraId="31A1864C" w14:textId="77777777" w:rsidR="00010A9A" w:rsidRPr="004F65CD" w:rsidRDefault="00010A9A" w:rsidP="00010A9A">
            <w:pPr>
              <w:jc w:val="right"/>
              <w:rPr>
                <w:sz w:val="15"/>
                <w:szCs w:val="15"/>
              </w:rPr>
            </w:pPr>
            <w:r w:rsidRPr="004F65CD">
              <w:rPr>
                <w:sz w:val="15"/>
                <w:szCs w:val="15"/>
              </w:rPr>
              <w:t>15.7</w:t>
            </w:r>
          </w:p>
        </w:tc>
        <w:tc>
          <w:tcPr>
            <w:tcW w:w="0" w:type="auto"/>
            <w:tcBorders>
              <w:top w:val="nil"/>
              <w:left w:val="nil"/>
              <w:bottom w:val="nil"/>
              <w:right w:val="nil"/>
            </w:tcBorders>
            <w:shd w:val="clear" w:color="auto" w:fill="auto"/>
            <w:noWrap/>
            <w:vAlign w:val="center"/>
            <w:hideMark/>
          </w:tcPr>
          <w:p w14:paraId="1CA9E754" w14:textId="77777777" w:rsidR="00010A9A" w:rsidRPr="004F65CD" w:rsidRDefault="00010A9A" w:rsidP="00010A9A">
            <w:pPr>
              <w:jc w:val="right"/>
              <w:rPr>
                <w:sz w:val="15"/>
                <w:szCs w:val="15"/>
              </w:rPr>
            </w:pPr>
            <w:r w:rsidRPr="004F65CD">
              <w:rPr>
                <w:sz w:val="15"/>
                <w:szCs w:val="15"/>
              </w:rPr>
              <w:t>15.7</w:t>
            </w:r>
          </w:p>
        </w:tc>
        <w:tc>
          <w:tcPr>
            <w:tcW w:w="0" w:type="auto"/>
            <w:tcBorders>
              <w:top w:val="nil"/>
              <w:left w:val="nil"/>
              <w:bottom w:val="nil"/>
              <w:right w:val="nil"/>
            </w:tcBorders>
            <w:shd w:val="clear" w:color="auto" w:fill="auto"/>
            <w:noWrap/>
            <w:vAlign w:val="center"/>
            <w:hideMark/>
          </w:tcPr>
          <w:p w14:paraId="3D1C5390" w14:textId="77777777" w:rsidR="00010A9A" w:rsidRPr="004F65CD" w:rsidRDefault="00010A9A" w:rsidP="00010A9A">
            <w:pPr>
              <w:jc w:val="right"/>
              <w:rPr>
                <w:sz w:val="15"/>
                <w:szCs w:val="15"/>
              </w:rPr>
            </w:pPr>
            <w:r w:rsidRPr="004F65CD">
              <w:rPr>
                <w:sz w:val="15"/>
                <w:szCs w:val="15"/>
              </w:rPr>
              <w:t>19.1</w:t>
            </w:r>
          </w:p>
        </w:tc>
        <w:tc>
          <w:tcPr>
            <w:tcW w:w="0" w:type="auto"/>
            <w:tcBorders>
              <w:top w:val="nil"/>
              <w:left w:val="single" w:sz="4" w:space="0" w:color="auto"/>
              <w:bottom w:val="nil"/>
              <w:right w:val="nil"/>
            </w:tcBorders>
            <w:shd w:val="clear" w:color="auto" w:fill="auto"/>
            <w:noWrap/>
            <w:vAlign w:val="center"/>
            <w:hideMark/>
          </w:tcPr>
          <w:p w14:paraId="02BE912F" w14:textId="77777777" w:rsidR="00010A9A" w:rsidRPr="004F65CD" w:rsidRDefault="00010A9A" w:rsidP="00010A9A">
            <w:pPr>
              <w:jc w:val="right"/>
              <w:rPr>
                <w:sz w:val="15"/>
                <w:szCs w:val="15"/>
              </w:rPr>
            </w:pPr>
            <w:r w:rsidRPr="004F65CD">
              <w:rPr>
                <w:sz w:val="15"/>
                <w:szCs w:val="15"/>
              </w:rPr>
              <w:t>7.8</w:t>
            </w:r>
          </w:p>
        </w:tc>
        <w:tc>
          <w:tcPr>
            <w:tcW w:w="0" w:type="auto"/>
            <w:tcBorders>
              <w:top w:val="nil"/>
              <w:left w:val="nil"/>
              <w:bottom w:val="nil"/>
              <w:right w:val="nil"/>
            </w:tcBorders>
            <w:shd w:val="clear" w:color="auto" w:fill="auto"/>
            <w:noWrap/>
            <w:vAlign w:val="center"/>
            <w:hideMark/>
          </w:tcPr>
          <w:p w14:paraId="63D471B1" w14:textId="77777777" w:rsidR="00010A9A" w:rsidRPr="004F65CD" w:rsidRDefault="00010A9A" w:rsidP="00010A9A">
            <w:pPr>
              <w:jc w:val="right"/>
              <w:rPr>
                <w:sz w:val="15"/>
                <w:szCs w:val="15"/>
              </w:rPr>
            </w:pPr>
            <w:r w:rsidRPr="004F65CD">
              <w:rPr>
                <w:sz w:val="15"/>
                <w:szCs w:val="15"/>
              </w:rPr>
              <w:t>7.7</w:t>
            </w:r>
          </w:p>
        </w:tc>
        <w:tc>
          <w:tcPr>
            <w:tcW w:w="0" w:type="auto"/>
            <w:tcBorders>
              <w:top w:val="nil"/>
              <w:left w:val="nil"/>
              <w:bottom w:val="nil"/>
              <w:right w:val="nil"/>
            </w:tcBorders>
            <w:shd w:val="clear" w:color="auto" w:fill="auto"/>
            <w:noWrap/>
            <w:vAlign w:val="center"/>
            <w:hideMark/>
          </w:tcPr>
          <w:p w14:paraId="681A874A" w14:textId="77777777" w:rsidR="00010A9A" w:rsidRPr="004F65CD" w:rsidRDefault="00010A9A" w:rsidP="00010A9A">
            <w:pPr>
              <w:jc w:val="right"/>
              <w:rPr>
                <w:sz w:val="15"/>
                <w:szCs w:val="15"/>
              </w:rPr>
            </w:pPr>
            <w:r w:rsidRPr="004F65CD">
              <w:rPr>
                <w:sz w:val="15"/>
                <w:szCs w:val="15"/>
              </w:rPr>
              <w:t>9.9</w:t>
            </w:r>
          </w:p>
        </w:tc>
      </w:tr>
      <w:tr w:rsidR="006B42D6" w:rsidRPr="004F65CD" w14:paraId="5D6C551B" w14:textId="77777777" w:rsidTr="00010A9A">
        <w:trPr>
          <w:trHeight w:val="283"/>
        </w:trPr>
        <w:tc>
          <w:tcPr>
            <w:tcW w:w="0" w:type="auto"/>
            <w:tcBorders>
              <w:top w:val="nil"/>
              <w:left w:val="nil"/>
              <w:bottom w:val="nil"/>
              <w:right w:val="nil"/>
            </w:tcBorders>
            <w:shd w:val="clear" w:color="auto" w:fill="auto"/>
            <w:vAlign w:val="center"/>
            <w:hideMark/>
          </w:tcPr>
          <w:p w14:paraId="1074A648" w14:textId="77777777" w:rsidR="00010A9A" w:rsidRPr="004F65CD" w:rsidRDefault="00010A9A" w:rsidP="00010A9A">
            <w:pPr>
              <w:rPr>
                <w:sz w:val="15"/>
                <w:szCs w:val="15"/>
              </w:rPr>
            </w:pPr>
            <w:r w:rsidRPr="004F65CD">
              <w:rPr>
                <w:sz w:val="15"/>
                <w:szCs w:val="15"/>
              </w:rPr>
              <w:t>Cash remittances</w:t>
            </w:r>
          </w:p>
        </w:tc>
        <w:tc>
          <w:tcPr>
            <w:tcW w:w="0" w:type="auto"/>
            <w:tcBorders>
              <w:top w:val="nil"/>
              <w:left w:val="nil"/>
              <w:bottom w:val="nil"/>
              <w:right w:val="nil"/>
            </w:tcBorders>
            <w:shd w:val="clear" w:color="auto" w:fill="auto"/>
            <w:noWrap/>
            <w:vAlign w:val="center"/>
            <w:hideMark/>
          </w:tcPr>
          <w:p w14:paraId="661BD080" w14:textId="77777777" w:rsidR="00010A9A" w:rsidRPr="004F65CD" w:rsidRDefault="00010A9A" w:rsidP="00010A9A">
            <w:pPr>
              <w:jc w:val="right"/>
              <w:rPr>
                <w:sz w:val="15"/>
                <w:szCs w:val="15"/>
              </w:rPr>
            </w:pPr>
            <w:r w:rsidRPr="004F65CD">
              <w:rPr>
                <w:sz w:val="15"/>
                <w:szCs w:val="15"/>
              </w:rPr>
              <w:t>4.8</w:t>
            </w:r>
          </w:p>
        </w:tc>
        <w:tc>
          <w:tcPr>
            <w:tcW w:w="0" w:type="auto"/>
            <w:tcBorders>
              <w:top w:val="nil"/>
              <w:left w:val="nil"/>
              <w:bottom w:val="nil"/>
              <w:right w:val="nil"/>
            </w:tcBorders>
            <w:shd w:val="clear" w:color="auto" w:fill="auto"/>
            <w:noWrap/>
            <w:vAlign w:val="center"/>
            <w:hideMark/>
          </w:tcPr>
          <w:p w14:paraId="541AAF1E" w14:textId="77777777" w:rsidR="00010A9A" w:rsidRPr="004F65CD" w:rsidRDefault="00010A9A" w:rsidP="00010A9A">
            <w:pPr>
              <w:jc w:val="right"/>
              <w:rPr>
                <w:sz w:val="15"/>
                <w:szCs w:val="15"/>
              </w:rPr>
            </w:pPr>
            <w:r w:rsidRPr="004F65CD">
              <w:rPr>
                <w:sz w:val="15"/>
                <w:szCs w:val="15"/>
              </w:rPr>
              <w:t>4.6</w:t>
            </w:r>
          </w:p>
        </w:tc>
        <w:tc>
          <w:tcPr>
            <w:tcW w:w="0" w:type="auto"/>
            <w:tcBorders>
              <w:top w:val="nil"/>
              <w:left w:val="nil"/>
              <w:bottom w:val="nil"/>
              <w:right w:val="nil"/>
            </w:tcBorders>
            <w:shd w:val="clear" w:color="auto" w:fill="auto"/>
            <w:noWrap/>
            <w:vAlign w:val="center"/>
            <w:hideMark/>
          </w:tcPr>
          <w:p w14:paraId="1EBCEBF7" w14:textId="77777777" w:rsidR="00010A9A" w:rsidRPr="004F65CD" w:rsidRDefault="00010A9A" w:rsidP="00010A9A">
            <w:pPr>
              <w:jc w:val="right"/>
              <w:rPr>
                <w:sz w:val="15"/>
                <w:szCs w:val="15"/>
              </w:rPr>
            </w:pPr>
            <w:r w:rsidRPr="004F65CD">
              <w:rPr>
                <w:sz w:val="15"/>
                <w:szCs w:val="15"/>
              </w:rPr>
              <w:t>10.7</w:t>
            </w:r>
          </w:p>
        </w:tc>
        <w:tc>
          <w:tcPr>
            <w:tcW w:w="0" w:type="auto"/>
            <w:tcBorders>
              <w:top w:val="nil"/>
              <w:left w:val="single" w:sz="4" w:space="0" w:color="auto"/>
              <w:bottom w:val="nil"/>
              <w:right w:val="nil"/>
            </w:tcBorders>
            <w:shd w:val="clear" w:color="auto" w:fill="auto"/>
            <w:noWrap/>
            <w:vAlign w:val="center"/>
            <w:hideMark/>
          </w:tcPr>
          <w:p w14:paraId="50B522F1" w14:textId="77777777" w:rsidR="00010A9A" w:rsidRPr="004F65CD" w:rsidRDefault="00010A9A" w:rsidP="00010A9A">
            <w:pPr>
              <w:jc w:val="right"/>
              <w:rPr>
                <w:sz w:val="15"/>
                <w:szCs w:val="15"/>
              </w:rPr>
            </w:pPr>
            <w:r w:rsidRPr="004F65CD">
              <w:rPr>
                <w:sz w:val="15"/>
                <w:szCs w:val="15"/>
              </w:rPr>
              <w:t>1.9</w:t>
            </w:r>
          </w:p>
        </w:tc>
        <w:tc>
          <w:tcPr>
            <w:tcW w:w="0" w:type="auto"/>
            <w:tcBorders>
              <w:top w:val="nil"/>
              <w:left w:val="nil"/>
              <w:bottom w:val="nil"/>
              <w:right w:val="nil"/>
            </w:tcBorders>
            <w:shd w:val="clear" w:color="auto" w:fill="auto"/>
            <w:noWrap/>
            <w:vAlign w:val="center"/>
            <w:hideMark/>
          </w:tcPr>
          <w:p w14:paraId="500A6AF1" w14:textId="77777777" w:rsidR="00010A9A" w:rsidRPr="004F65CD" w:rsidRDefault="00010A9A" w:rsidP="00010A9A">
            <w:pPr>
              <w:jc w:val="right"/>
              <w:rPr>
                <w:sz w:val="15"/>
                <w:szCs w:val="15"/>
              </w:rPr>
            </w:pPr>
            <w:r w:rsidRPr="004F65CD">
              <w:rPr>
                <w:sz w:val="15"/>
                <w:szCs w:val="15"/>
              </w:rPr>
              <w:t>1.8</w:t>
            </w:r>
          </w:p>
        </w:tc>
        <w:tc>
          <w:tcPr>
            <w:tcW w:w="0" w:type="auto"/>
            <w:tcBorders>
              <w:top w:val="nil"/>
              <w:left w:val="nil"/>
              <w:bottom w:val="nil"/>
              <w:right w:val="nil"/>
            </w:tcBorders>
            <w:shd w:val="clear" w:color="auto" w:fill="auto"/>
            <w:noWrap/>
            <w:vAlign w:val="center"/>
            <w:hideMark/>
          </w:tcPr>
          <w:p w14:paraId="3AB56EE7" w14:textId="77777777" w:rsidR="00010A9A" w:rsidRPr="004F65CD" w:rsidRDefault="00010A9A" w:rsidP="00010A9A">
            <w:pPr>
              <w:jc w:val="right"/>
              <w:rPr>
                <w:sz w:val="15"/>
                <w:szCs w:val="15"/>
              </w:rPr>
            </w:pPr>
            <w:r w:rsidRPr="004F65CD">
              <w:rPr>
                <w:sz w:val="15"/>
                <w:szCs w:val="15"/>
              </w:rPr>
              <w:t>8.2</w:t>
            </w:r>
          </w:p>
        </w:tc>
      </w:tr>
      <w:tr w:rsidR="006B42D6" w:rsidRPr="004F65CD" w14:paraId="02E627F3" w14:textId="77777777" w:rsidTr="00010A9A">
        <w:trPr>
          <w:trHeight w:val="283"/>
        </w:trPr>
        <w:tc>
          <w:tcPr>
            <w:tcW w:w="0" w:type="auto"/>
            <w:tcBorders>
              <w:top w:val="nil"/>
              <w:left w:val="nil"/>
              <w:bottom w:val="nil"/>
              <w:right w:val="nil"/>
            </w:tcBorders>
            <w:shd w:val="clear" w:color="auto" w:fill="auto"/>
            <w:vAlign w:val="center"/>
            <w:hideMark/>
          </w:tcPr>
          <w:p w14:paraId="2009C7B3" w14:textId="77777777" w:rsidR="00010A9A" w:rsidRPr="004F65CD" w:rsidRDefault="00010A9A" w:rsidP="00010A9A">
            <w:pPr>
              <w:rPr>
                <w:sz w:val="15"/>
                <w:szCs w:val="15"/>
              </w:rPr>
            </w:pPr>
            <w:r w:rsidRPr="004F65CD">
              <w:rPr>
                <w:sz w:val="15"/>
                <w:szCs w:val="15"/>
              </w:rPr>
              <w:t>Fishing</w:t>
            </w:r>
          </w:p>
        </w:tc>
        <w:tc>
          <w:tcPr>
            <w:tcW w:w="0" w:type="auto"/>
            <w:tcBorders>
              <w:top w:val="nil"/>
              <w:left w:val="nil"/>
              <w:bottom w:val="nil"/>
              <w:right w:val="nil"/>
            </w:tcBorders>
            <w:shd w:val="clear" w:color="auto" w:fill="auto"/>
            <w:noWrap/>
            <w:vAlign w:val="center"/>
            <w:hideMark/>
          </w:tcPr>
          <w:p w14:paraId="323EDE2B" w14:textId="77777777" w:rsidR="00010A9A" w:rsidRPr="004F65CD" w:rsidRDefault="00010A9A" w:rsidP="00010A9A">
            <w:pPr>
              <w:jc w:val="right"/>
              <w:rPr>
                <w:sz w:val="15"/>
                <w:szCs w:val="15"/>
              </w:rPr>
            </w:pPr>
            <w:r w:rsidRPr="004F65CD">
              <w:rPr>
                <w:sz w:val="15"/>
                <w:szCs w:val="15"/>
              </w:rPr>
              <w:t>1.9</w:t>
            </w:r>
          </w:p>
        </w:tc>
        <w:tc>
          <w:tcPr>
            <w:tcW w:w="0" w:type="auto"/>
            <w:tcBorders>
              <w:top w:val="nil"/>
              <w:left w:val="nil"/>
              <w:bottom w:val="nil"/>
              <w:right w:val="nil"/>
            </w:tcBorders>
            <w:shd w:val="clear" w:color="auto" w:fill="auto"/>
            <w:noWrap/>
            <w:vAlign w:val="center"/>
            <w:hideMark/>
          </w:tcPr>
          <w:p w14:paraId="30DDDDAE" w14:textId="77777777" w:rsidR="00010A9A" w:rsidRPr="004F65CD" w:rsidRDefault="00010A9A" w:rsidP="00010A9A">
            <w:pPr>
              <w:jc w:val="right"/>
              <w:rPr>
                <w:sz w:val="15"/>
                <w:szCs w:val="15"/>
              </w:rPr>
            </w:pPr>
            <w:r w:rsidRPr="004F65CD">
              <w:rPr>
                <w:sz w:val="15"/>
                <w:szCs w:val="15"/>
              </w:rPr>
              <w:t>1.6</w:t>
            </w:r>
          </w:p>
        </w:tc>
        <w:tc>
          <w:tcPr>
            <w:tcW w:w="0" w:type="auto"/>
            <w:tcBorders>
              <w:top w:val="nil"/>
              <w:left w:val="nil"/>
              <w:bottom w:val="nil"/>
              <w:right w:val="nil"/>
            </w:tcBorders>
            <w:shd w:val="clear" w:color="auto" w:fill="auto"/>
            <w:noWrap/>
            <w:vAlign w:val="center"/>
            <w:hideMark/>
          </w:tcPr>
          <w:p w14:paraId="4A8E2FAE" w14:textId="77777777" w:rsidR="00010A9A" w:rsidRPr="004F65CD" w:rsidRDefault="00010A9A" w:rsidP="00010A9A">
            <w:pPr>
              <w:jc w:val="right"/>
              <w:rPr>
                <w:sz w:val="15"/>
                <w:szCs w:val="15"/>
              </w:rPr>
            </w:pPr>
            <w:r w:rsidRPr="004F65CD">
              <w:rPr>
                <w:sz w:val="15"/>
                <w:szCs w:val="15"/>
              </w:rPr>
              <w:t>15.5</w:t>
            </w:r>
          </w:p>
        </w:tc>
        <w:tc>
          <w:tcPr>
            <w:tcW w:w="0" w:type="auto"/>
            <w:tcBorders>
              <w:top w:val="nil"/>
              <w:left w:val="single" w:sz="4" w:space="0" w:color="auto"/>
              <w:bottom w:val="nil"/>
              <w:right w:val="nil"/>
            </w:tcBorders>
            <w:shd w:val="clear" w:color="auto" w:fill="auto"/>
            <w:noWrap/>
            <w:vAlign w:val="center"/>
            <w:hideMark/>
          </w:tcPr>
          <w:p w14:paraId="4BC80D63" w14:textId="77777777" w:rsidR="00010A9A" w:rsidRPr="004F65CD" w:rsidRDefault="00010A9A" w:rsidP="00010A9A">
            <w:pPr>
              <w:jc w:val="right"/>
              <w:rPr>
                <w:sz w:val="15"/>
                <w:szCs w:val="15"/>
              </w:rPr>
            </w:pPr>
            <w:r w:rsidRPr="004F65CD">
              <w:rPr>
                <w:sz w:val="15"/>
                <w:szCs w:val="15"/>
              </w:rPr>
              <w:t>1.4</w:t>
            </w:r>
          </w:p>
        </w:tc>
        <w:tc>
          <w:tcPr>
            <w:tcW w:w="0" w:type="auto"/>
            <w:tcBorders>
              <w:top w:val="nil"/>
              <w:left w:val="nil"/>
              <w:bottom w:val="nil"/>
              <w:right w:val="nil"/>
            </w:tcBorders>
            <w:shd w:val="clear" w:color="auto" w:fill="auto"/>
            <w:noWrap/>
            <w:vAlign w:val="center"/>
            <w:hideMark/>
          </w:tcPr>
          <w:p w14:paraId="54B66D60" w14:textId="77777777" w:rsidR="00010A9A" w:rsidRPr="004F65CD" w:rsidRDefault="00010A9A" w:rsidP="00010A9A">
            <w:pPr>
              <w:jc w:val="right"/>
              <w:rPr>
                <w:sz w:val="15"/>
                <w:szCs w:val="15"/>
              </w:rPr>
            </w:pPr>
            <w:r w:rsidRPr="004F65CD">
              <w:rPr>
                <w:sz w:val="15"/>
                <w:szCs w:val="15"/>
              </w:rPr>
              <w:t>1.1</w:t>
            </w:r>
          </w:p>
        </w:tc>
        <w:tc>
          <w:tcPr>
            <w:tcW w:w="0" w:type="auto"/>
            <w:tcBorders>
              <w:top w:val="nil"/>
              <w:left w:val="nil"/>
              <w:bottom w:val="nil"/>
              <w:right w:val="nil"/>
            </w:tcBorders>
            <w:shd w:val="clear" w:color="auto" w:fill="auto"/>
            <w:noWrap/>
            <w:vAlign w:val="center"/>
            <w:hideMark/>
          </w:tcPr>
          <w:p w14:paraId="758ED09E" w14:textId="77777777" w:rsidR="00010A9A" w:rsidRPr="004F65CD" w:rsidRDefault="00010A9A" w:rsidP="00010A9A">
            <w:pPr>
              <w:jc w:val="right"/>
              <w:rPr>
                <w:sz w:val="15"/>
                <w:szCs w:val="15"/>
              </w:rPr>
            </w:pPr>
            <w:r w:rsidRPr="004F65CD">
              <w:rPr>
                <w:sz w:val="15"/>
                <w:szCs w:val="15"/>
              </w:rPr>
              <w:t>14.9</w:t>
            </w:r>
          </w:p>
        </w:tc>
      </w:tr>
      <w:tr w:rsidR="006B42D6" w:rsidRPr="004F65CD" w14:paraId="7D3D9CD3" w14:textId="77777777" w:rsidTr="00010A9A">
        <w:trPr>
          <w:trHeight w:val="283"/>
        </w:trPr>
        <w:tc>
          <w:tcPr>
            <w:tcW w:w="0" w:type="auto"/>
            <w:tcBorders>
              <w:top w:val="nil"/>
              <w:left w:val="nil"/>
              <w:bottom w:val="nil"/>
              <w:right w:val="nil"/>
            </w:tcBorders>
            <w:shd w:val="clear" w:color="auto" w:fill="auto"/>
            <w:vAlign w:val="center"/>
            <w:hideMark/>
          </w:tcPr>
          <w:p w14:paraId="52975424" w14:textId="77777777" w:rsidR="00010A9A" w:rsidRPr="004F65CD" w:rsidRDefault="00010A9A" w:rsidP="00010A9A">
            <w:pPr>
              <w:rPr>
                <w:sz w:val="15"/>
                <w:szCs w:val="15"/>
              </w:rPr>
            </w:pPr>
            <w:r w:rsidRPr="004F65CD">
              <w:rPr>
                <w:sz w:val="15"/>
                <w:szCs w:val="15"/>
              </w:rPr>
              <w:t>Fish farming</w:t>
            </w:r>
          </w:p>
        </w:tc>
        <w:tc>
          <w:tcPr>
            <w:tcW w:w="0" w:type="auto"/>
            <w:tcBorders>
              <w:top w:val="nil"/>
              <w:left w:val="nil"/>
              <w:bottom w:val="nil"/>
              <w:right w:val="nil"/>
            </w:tcBorders>
            <w:shd w:val="clear" w:color="auto" w:fill="auto"/>
            <w:noWrap/>
            <w:vAlign w:val="center"/>
            <w:hideMark/>
          </w:tcPr>
          <w:p w14:paraId="1283D222" w14:textId="77777777" w:rsidR="00010A9A" w:rsidRPr="004F65CD" w:rsidRDefault="00010A9A" w:rsidP="00010A9A">
            <w:pPr>
              <w:jc w:val="right"/>
              <w:rPr>
                <w:sz w:val="15"/>
                <w:szCs w:val="15"/>
              </w:rPr>
            </w:pPr>
            <w:r w:rsidRPr="004F65CD">
              <w:rPr>
                <w:sz w:val="15"/>
                <w:szCs w:val="15"/>
              </w:rPr>
              <w:t>0.03</w:t>
            </w:r>
          </w:p>
        </w:tc>
        <w:tc>
          <w:tcPr>
            <w:tcW w:w="0" w:type="auto"/>
            <w:tcBorders>
              <w:top w:val="nil"/>
              <w:left w:val="nil"/>
              <w:bottom w:val="nil"/>
              <w:right w:val="nil"/>
            </w:tcBorders>
            <w:shd w:val="clear" w:color="auto" w:fill="auto"/>
            <w:noWrap/>
            <w:vAlign w:val="center"/>
            <w:hideMark/>
          </w:tcPr>
          <w:p w14:paraId="66211FCA" w14:textId="77777777" w:rsidR="00010A9A" w:rsidRPr="004F65CD" w:rsidRDefault="00010A9A" w:rsidP="00010A9A">
            <w:pPr>
              <w:jc w:val="right"/>
              <w:rPr>
                <w:sz w:val="15"/>
                <w:szCs w:val="15"/>
              </w:rPr>
            </w:pPr>
            <w:r w:rsidRPr="004F65CD">
              <w:rPr>
                <w:sz w:val="15"/>
                <w:szCs w:val="15"/>
              </w:rPr>
              <w:t>0.04</w:t>
            </w:r>
          </w:p>
        </w:tc>
        <w:tc>
          <w:tcPr>
            <w:tcW w:w="0" w:type="auto"/>
            <w:tcBorders>
              <w:top w:val="nil"/>
              <w:left w:val="nil"/>
              <w:bottom w:val="nil"/>
              <w:right w:val="nil"/>
            </w:tcBorders>
            <w:shd w:val="clear" w:color="auto" w:fill="auto"/>
            <w:noWrap/>
            <w:vAlign w:val="center"/>
            <w:hideMark/>
          </w:tcPr>
          <w:p w14:paraId="1FCD867D" w14:textId="77777777" w:rsidR="00010A9A" w:rsidRPr="004F65CD" w:rsidRDefault="00010A9A" w:rsidP="00010A9A">
            <w:pPr>
              <w:jc w:val="right"/>
              <w:rPr>
                <w:sz w:val="15"/>
                <w:szCs w:val="15"/>
              </w:rPr>
            </w:pPr>
            <w:r w:rsidRPr="004F65CD">
              <w:rPr>
                <w:sz w:val="15"/>
                <w:szCs w:val="15"/>
              </w:rPr>
              <w:t>-</w:t>
            </w:r>
          </w:p>
        </w:tc>
        <w:tc>
          <w:tcPr>
            <w:tcW w:w="0" w:type="auto"/>
            <w:tcBorders>
              <w:top w:val="nil"/>
              <w:left w:val="single" w:sz="4" w:space="0" w:color="auto"/>
              <w:bottom w:val="nil"/>
              <w:right w:val="nil"/>
            </w:tcBorders>
            <w:shd w:val="clear" w:color="auto" w:fill="auto"/>
            <w:noWrap/>
            <w:vAlign w:val="center"/>
            <w:hideMark/>
          </w:tcPr>
          <w:p w14:paraId="2AAD37C9" w14:textId="77777777" w:rsidR="00010A9A" w:rsidRPr="004F65CD" w:rsidRDefault="00010A9A" w:rsidP="00010A9A">
            <w:pPr>
              <w:jc w:val="right"/>
              <w:rPr>
                <w:sz w:val="15"/>
                <w:szCs w:val="15"/>
              </w:rPr>
            </w:pPr>
            <w:r w:rsidRPr="004F65CD">
              <w:rPr>
                <w:sz w:val="15"/>
                <w:szCs w:val="15"/>
              </w:rPr>
              <w:t>n/a</w:t>
            </w:r>
          </w:p>
        </w:tc>
        <w:tc>
          <w:tcPr>
            <w:tcW w:w="0" w:type="auto"/>
            <w:tcBorders>
              <w:top w:val="nil"/>
              <w:left w:val="nil"/>
              <w:bottom w:val="nil"/>
              <w:right w:val="nil"/>
            </w:tcBorders>
            <w:shd w:val="clear" w:color="auto" w:fill="auto"/>
            <w:noWrap/>
            <w:vAlign w:val="center"/>
            <w:hideMark/>
          </w:tcPr>
          <w:p w14:paraId="5241F3B5" w14:textId="77777777" w:rsidR="00010A9A" w:rsidRPr="004F65CD" w:rsidRDefault="00010A9A" w:rsidP="00010A9A">
            <w:pPr>
              <w:jc w:val="right"/>
              <w:rPr>
                <w:sz w:val="15"/>
                <w:szCs w:val="15"/>
              </w:rPr>
            </w:pPr>
            <w:r w:rsidRPr="004F65CD">
              <w:rPr>
                <w:sz w:val="15"/>
                <w:szCs w:val="15"/>
              </w:rPr>
              <w:t>n/a</w:t>
            </w:r>
          </w:p>
        </w:tc>
        <w:tc>
          <w:tcPr>
            <w:tcW w:w="0" w:type="auto"/>
            <w:tcBorders>
              <w:top w:val="nil"/>
              <w:left w:val="nil"/>
              <w:bottom w:val="nil"/>
              <w:right w:val="nil"/>
            </w:tcBorders>
            <w:shd w:val="clear" w:color="auto" w:fill="auto"/>
            <w:noWrap/>
            <w:vAlign w:val="center"/>
            <w:hideMark/>
          </w:tcPr>
          <w:p w14:paraId="472F50DA" w14:textId="77777777" w:rsidR="00010A9A" w:rsidRPr="004F65CD" w:rsidRDefault="00010A9A" w:rsidP="00010A9A">
            <w:pPr>
              <w:jc w:val="right"/>
              <w:rPr>
                <w:sz w:val="15"/>
                <w:szCs w:val="15"/>
              </w:rPr>
            </w:pPr>
            <w:r w:rsidRPr="004F65CD">
              <w:rPr>
                <w:sz w:val="15"/>
                <w:szCs w:val="15"/>
              </w:rPr>
              <w:t>n/a</w:t>
            </w:r>
          </w:p>
        </w:tc>
      </w:tr>
      <w:tr w:rsidR="006B42D6" w:rsidRPr="004F65CD" w14:paraId="6DD94291" w14:textId="77777777" w:rsidTr="00010A9A">
        <w:trPr>
          <w:trHeight w:val="283"/>
        </w:trPr>
        <w:tc>
          <w:tcPr>
            <w:tcW w:w="0" w:type="auto"/>
            <w:tcBorders>
              <w:top w:val="nil"/>
              <w:left w:val="nil"/>
              <w:bottom w:val="nil"/>
              <w:right w:val="nil"/>
            </w:tcBorders>
            <w:shd w:val="clear" w:color="auto" w:fill="auto"/>
            <w:vAlign w:val="center"/>
            <w:hideMark/>
          </w:tcPr>
          <w:p w14:paraId="3FB63E7E" w14:textId="77777777" w:rsidR="00010A9A" w:rsidRPr="004F65CD" w:rsidRDefault="00010A9A" w:rsidP="00010A9A">
            <w:pPr>
              <w:rPr>
                <w:sz w:val="15"/>
                <w:szCs w:val="15"/>
              </w:rPr>
            </w:pPr>
            <w:r w:rsidRPr="004F65CD">
              <w:rPr>
                <w:sz w:val="15"/>
                <w:szCs w:val="15"/>
              </w:rPr>
              <w:t>Other</w:t>
            </w:r>
          </w:p>
        </w:tc>
        <w:tc>
          <w:tcPr>
            <w:tcW w:w="0" w:type="auto"/>
            <w:tcBorders>
              <w:top w:val="nil"/>
              <w:left w:val="nil"/>
              <w:bottom w:val="nil"/>
              <w:right w:val="nil"/>
            </w:tcBorders>
            <w:shd w:val="clear" w:color="auto" w:fill="auto"/>
            <w:noWrap/>
            <w:vAlign w:val="center"/>
            <w:hideMark/>
          </w:tcPr>
          <w:p w14:paraId="4D883AB8" w14:textId="77777777" w:rsidR="00010A9A" w:rsidRPr="004F65CD" w:rsidRDefault="00010A9A" w:rsidP="00010A9A">
            <w:pPr>
              <w:jc w:val="right"/>
              <w:rPr>
                <w:sz w:val="15"/>
                <w:szCs w:val="15"/>
              </w:rPr>
            </w:pPr>
            <w:r w:rsidRPr="004F65CD">
              <w:rPr>
                <w:sz w:val="15"/>
                <w:szCs w:val="15"/>
              </w:rPr>
              <w:t>2.7</w:t>
            </w:r>
          </w:p>
        </w:tc>
        <w:tc>
          <w:tcPr>
            <w:tcW w:w="0" w:type="auto"/>
            <w:tcBorders>
              <w:top w:val="nil"/>
              <w:left w:val="nil"/>
              <w:bottom w:val="nil"/>
              <w:right w:val="nil"/>
            </w:tcBorders>
            <w:shd w:val="clear" w:color="auto" w:fill="auto"/>
            <w:noWrap/>
            <w:vAlign w:val="center"/>
            <w:hideMark/>
          </w:tcPr>
          <w:p w14:paraId="7E41819A" w14:textId="77777777" w:rsidR="00010A9A" w:rsidRPr="004F65CD" w:rsidRDefault="00010A9A" w:rsidP="00010A9A">
            <w:pPr>
              <w:jc w:val="right"/>
              <w:rPr>
                <w:sz w:val="15"/>
                <w:szCs w:val="15"/>
              </w:rPr>
            </w:pPr>
            <w:r w:rsidRPr="004F65CD">
              <w:rPr>
                <w:sz w:val="15"/>
                <w:szCs w:val="15"/>
              </w:rPr>
              <w:t>2.7</w:t>
            </w:r>
          </w:p>
        </w:tc>
        <w:tc>
          <w:tcPr>
            <w:tcW w:w="0" w:type="auto"/>
            <w:tcBorders>
              <w:top w:val="nil"/>
              <w:left w:val="nil"/>
              <w:bottom w:val="nil"/>
              <w:right w:val="nil"/>
            </w:tcBorders>
            <w:shd w:val="clear" w:color="auto" w:fill="auto"/>
            <w:noWrap/>
            <w:vAlign w:val="center"/>
            <w:hideMark/>
          </w:tcPr>
          <w:p w14:paraId="3215EC34" w14:textId="77777777" w:rsidR="00010A9A" w:rsidRPr="004F65CD" w:rsidRDefault="00010A9A" w:rsidP="00010A9A">
            <w:pPr>
              <w:jc w:val="right"/>
              <w:rPr>
                <w:sz w:val="15"/>
                <w:szCs w:val="15"/>
              </w:rPr>
            </w:pPr>
            <w:r w:rsidRPr="004F65CD">
              <w:rPr>
                <w:sz w:val="15"/>
                <w:szCs w:val="15"/>
              </w:rPr>
              <w:t>3.6</w:t>
            </w:r>
          </w:p>
        </w:tc>
        <w:tc>
          <w:tcPr>
            <w:tcW w:w="0" w:type="auto"/>
            <w:tcBorders>
              <w:top w:val="nil"/>
              <w:left w:val="single" w:sz="4" w:space="0" w:color="auto"/>
              <w:bottom w:val="nil"/>
              <w:right w:val="nil"/>
            </w:tcBorders>
            <w:shd w:val="clear" w:color="auto" w:fill="auto"/>
            <w:noWrap/>
            <w:vAlign w:val="center"/>
            <w:hideMark/>
          </w:tcPr>
          <w:p w14:paraId="0E135917" w14:textId="77777777" w:rsidR="00010A9A" w:rsidRPr="004F65CD" w:rsidRDefault="00010A9A" w:rsidP="00010A9A">
            <w:pPr>
              <w:jc w:val="right"/>
              <w:rPr>
                <w:sz w:val="15"/>
                <w:szCs w:val="15"/>
              </w:rPr>
            </w:pPr>
            <w:r w:rsidRPr="004F65CD">
              <w:rPr>
                <w:sz w:val="15"/>
                <w:szCs w:val="15"/>
              </w:rPr>
              <w:t>0.7</w:t>
            </w:r>
          </w:p>
        </w:tc>
        <w:tc>
          <w:tcPr>
            <w:tcW w:w="0" w:type="auto"/>
            <w:tcBorders>
              <w:top w:val="nil"/>
              <w:left w:val="nil"/>
              <w:bottom w:val="nil"/>
              <w:right w:val="nil"/>
            </w:tcBorders>
            <w:shd w:val="clear" w:color="auto" w:fill="auto"/>
            <w:noWrap/>
            <w:vAlign w:val="center"/>
            <w:hideMark/>
          </w:tcPr>
          <w:p w14:paraId="174D84CD" w14:textId="77777777" w:rsidR="00010A9A" w:rsidRPr="004F65CD" w:rsidRDefault="00010A9A" w:rsidP="00010A9A">
            <w:pPr>
              <w:jc w:val="right"/>
              <w:rPr>
                <w:sz w:val="15"/>
                <w:szCs w:val="15"/>
              </w:rPr>
            </w:pPr>
            <w:r w:rsidRPr="004F65CD">
              <w:rPr>
                <w:sz w:val="15"/>
                <w:szCs w:val="15"/>
              </w:rPr>
              <w:t>0.7</w:t>
            </w:r>
          </w:p>
        </w:tc>
        <w:tc>
          <w:tcPr>
            <w:tcW w:w="0" w:type="auto"/>
            <w:tcBorders>
              <w:top w:val="nil"/>
              <w:left w:val="nil"/>
              <w:bottom w:val="nil"/>
              <w:right w:val="nil"/>
            </w:tcBorders>
            <w:shd w:val="clear" w:color="auto" w:fill="auto"/>
            <w:noWrap/>
            <w:vAlign w:val="center"/>
            <w:hideMark/>
          </w:tcPr>
          <w:p w14:paraId="13EC5DDA" w14:textId="77777777" w:rsidR="00010A9A" w:rsidRPr="004F65CD" w:rsidRDefault="00010A9A" w:rsidP="00010A9A">
            <w:pPr>
              <w:jc w:val="right"/>
              <w:rPr>
                <w:sz w:val="15"/>
                <w:szCs w:val="15"/>
              </w:rPr>
            </w:pPr>
            <w:r w:rsidRPr="004F65CD">
              <w:rPr>
                <w:sz w:val="15"/>
                <w:szCs w:val="15"/>
              </w:rPr>
              <w:t>1.2</w:t>
            </w:r>
          </w:p>
        </w:tc>
      </w:tr>
      <w:tr w:rsidR="006B42D6" w:rsidRPr="004F65CD" w14:paraId="7BFD15AF" w14:textId="77777777" w:rsidTr="00010A9A">
        <w:trPr>
          <w:trHeight w:val="283"/>
        </w:trPr>
        <w:tc>
          <w:tcPr>
            <w:tcW w:w="0" w:type="auto"/>
            <w:tcBorders>
              <w:top w:val="nil"/>
              <w:left w:val="nil"/>
              <w:bottom w:val="nil"/>
              <w:right w:val="nil"/>
            </w:tcBorders>
            <w:shd w:val="clear" w:color="auto" w:fill="auto"/>
            <w:vAlign w:val="center"/>
            <w:hideMark/>
          </w:tcPr>
          <w:p w14:paraId="42DBB4BA" w14:textId="77777777" w:rsidR="00010A9A" w:rsidRPr="004F65CD" w:rsidRDefault="00010A9A" w:rsidP="00010A9A">
            <w:pPr>
              <w:rPr>
                <w:sz w:val="15"/>
                <w:szCs w:val="15"/>
              </w:rPr>
            </w:pPr>
            <w:r w:rsidRPr="004F65CD">
              <w:rPr>
                <w:sz w:val="15"/>
                <w:szCs w:val="15"/>
              </w:rPr>
              <w:t>Not Applicable</w:t>
            </w:r>
          </w:p>
        </w:tc>
        <w:tc>
          <w:tcPr>
            <w:tcW w:w="0" w:type="auto"/>
            <w:tcBorders>
              <w:top w:val="nil"/>
              <w:left w:val="nil"/>
              <w:bottom w:val="nil"/>
              <w:right w:val="nil"/>
            </w:tcBorders>
            <w:shd w:val="clear" w:color="auto" w:fill="auto"/>
            <w:noWrap/>
            <w:vAlign w:val="center"/>
            <w:hideMark/>
          </w:tcPr>
          <w:p w14:paraId="01B12DBF" w14:textId="77777777" w:rsidR="00010A9A" w:rsidRPr="004F65CD" w:rsidRDefault="00010A9A" w:rsidP="00010A9A">
            <w:pPr>
              <w:jc w:val="right"/>
              <w:rPr>
                <w:sz w:val="15"/>
                <w:szCs w:val="15"/>
              </w:rPr>
            </w:pPr>
            <w:r w:rsidRPr="004F65CD">
              <w:rPr>
                <w:sz w:val="15"/>
                <w:szCs w:val="15"/>
              </w:rPr>
              <w:t>n/a</w:t>
            </w:r>
          </w:p>
        </w:tc>
        <w:tc>
          <w:tcPr>
            <w:tcW w:w="0" w:type="auto"/>
            <w:tcBorders>
              <w:top w:val="nil"/>
              <w:left w:val="nil"/>
              <w:bottom w:val="nil"/>
              <w:right w:val="nil"/>
            </w:tcBorders>
            <w:shd w:val="clear" w:color="auto" w:fill="auto"/>
            <w:noWrap/>
            <w:vAlign w:val="center"/>
            <w:hideMark/>
          </w:tcPr>
          <w:p w14:paraId="0534BAA1" w14:textId="77777777" w:rsidR="00010A9A" w:rsidRPr="004F65CD" w:rsidRDefault="00010A9A" w:rsidP="00010A9A">
            <w:pPr>
              <w:jc w:val="right"/>
              <w:rPr>
                <w:sz w:val="15"/>
                <w:szCs w:val="15"/>
              </w:rPr>
            </w:pPr>
            <w:r w:rsidRPr="004F65CD">
              <w:rPr>
                <w:sz w:val="15"/>
                <w:szCs w:val="15"/>
              </w:rPr>
              <w:t>n/a</w:t>
            </w:r>
          </w:p>
        </w:tc>
        <w:tc>
          <w:tcPr>
            <w:tcW w:w="0" w:type="auto"/>
            <w:tcBorders>
              <w:top w:val="nil"/>
              <w:left w:val="nil"/>
              <w:bottom w:val="nil"/>
              <w:right w:val="nil"/>
            </w:tcBorders>
            <w:shd w:val="clear" w:color="auto" w:fill="auto"/>
            <w:noWrap/>
            <w:vAlign w:val="center"/>
            <w:hideMark/>
          </w:tcPr>
          <w:p w14:paraId="52E8557B" w14:textId="77777777" w:rsidR="00010A9A" w:rsidRPr="004F65CD" w:rsidRDefault="00010A9A" w:rsidP="00010A9A">
            <w:pPr>
              <w:jc w:val="right"/>
              <w:rPr>
                <w:sz w:val="15"/>
                <w:szCs w:val="15"/>
              </w:rPr>
            </w:pPr>
            <w:r w:rsidRPr="004F65CD">
              <w:rPr>
                <w:sz w:val="15"/>
                <w:szCs w:val="15"/>
              </w:rPr>
              <w:t>n/a</w:t>
            </w:r>
          </w:p>
        </w:tc>
        <w:tc>
          <w:tcPr>
            <w:tcW w:w="0" w:type="auto"/>
            <w:tcBorders>
              <w:top w:val="nil"/>
              <w:left w:val="single" w:sz="4" w:space="0" w:color="auto"/>
              <w:bottom w:val="nil"/>
              <w:right w:val="nil"/>
            </w:tcBorders>
            <w:shd w:val="clear" w:color="auto" w:fill="auto"/>
            <w:noWrap/>
            <w:vAlign w:val="center"/>
            <w:hideMark/>
          </w:tcPr>
          <w:p w14:paraId="362439D9" w14:textId="77777777" w:rsidR="00010A9A" w:rsidRPr="004F65CD" w:rsidRDefault="00010A9A" w:rsidP="00010A9A">
            <w:pPr>
              <w:jc w:val="right"/>
              <w:rPr>
                <w:sz w:val="15"/>
                <w:szCs w:val="15"/>
              </w:rPr>
            </w:pPr>
            <w:r w:rsidRPr="004F65CD">
              <w:rPr>
                <w:sz w:val="15"/>
                <w:szCs w:val="15"/>
              </w:rPr>
              <w:t>0.5</w:t>
            </w:r>
          </w:p>
        </w:tc>
        <w:tc>
          <w:tcPr>
            <w:tcW w:w="0" w:type="auto"/>
            <w:tcBorders>
              <w:top w:val="nil"/>
              <w:left w:val="nil"/>
              <w:bottom w:val="nil"/>
              <w:right w:val="nil"/>
            </w:tcBorders>
            <w:shd w:val="clear" w:color="auto" w:fill="auto"/>
            <w:noWrap/>
            <w:vAlign w:val="center"/>
            <w:hideMark/>
          </w:tcPr>
          <w:p w14:paraId="26CC1326" w14:textId="77777777" w:rsidR="00010A9A" w:rsidRPr="004F65CD" w:rsidRDefault="00010A9A" w:rsidP="00010A9A">
            <w:pPr>
              <w:jc w:val="right"/>
              <w:rPr>
                <w:sz w:val="15"/>
                <w:szCs w:val="15"/>
              </w:rPr>
            </w:pPr>
            <w:r w:rsidRPr="004F65CD">
              <w:rPr>
                <w:sz w:val="15"/>
                <w:szCs w:val="15"/>
              </w:rPr>
              <w:t>0.5</w:t>
            </w:r>
          </w:p>
        </w:tc>
        <w:tc>
          <w:tcPr>
            <w:tcW w:w="0" w:type="auto"/>
            <w:tcBorders>
              <w:top w:val="nil"/>
              <w:left w:val="nil"/>
              <w:bottom w:val="nil"/>
              <w:right w:val="nil"/>
            </w:tcBorders>
            <w:shd w:val="clear" w:color="auto" w:fill="auto"/>
            <w:noWrap/>
            <w:vAlign w:val="center"/>
            <w:hideMark/>
          </w:tcPr>
          <w:p w14:paraId="7E07600F" w14:textId="77777777" w:rsidR="00010A9A" w:rsidRPr="004F65CD" w:rsidRDefault="00010A9A" w:rsidP="00010A9A">
            <w:pPr>
              <w:jc w:val="right"/>
              <w:rPr>
                <w:sz w:val="15"/>
                <w:szCs w:val="15"/>
              </w:rPr>
            </w:pPr>
            <w:r w:rsidRPr="004F65CD">
              <w:rPr>
                <w:sz w:val="15"/>
                <w:szCs w:val="15"/>
              </w:rPr>
              <w:t>0.8</w:t>
            </w:r>
          </w:p>
        </w:tc>
      </w:tr>
      <w:tr w:rsidR="00AC452A" w:rsidRPr="004F65CD" w14:paraId="1DF04B58" w14:textId="77777777" w:rsidTr="00257DF7">
        <w:trPr>
          <w:trHeight w:val="283"/>
        </w:trPr>
        <w:tc>
          <w:tcPr>
            <w:tcW w:w="0" w:type="auto"/>
            <w:tcBorders>
              <w:top w:val="single" w:sz="4" w:space="0" w:color="auto"/>
              <w:left w:val="nil"/>
              <w:bottom w:val="single" w:sz="4" w:space="0" w:color="auto"/>
              <w:right w:val="nil"/>
            </w:tcBorders>
            <w:shd w:val="clear" w:color="auto" w:fill="E2EFD9" w:themeFill="accent6" w:themeFillTint="33"/>
            <w:vAlign w:val="center"/>
            <w:hideMark/>
          </w:tcPr>
          <w:p w14:paraId="3735CCB1" w14:textId="6190F055" w:rsidR="00010A9A" w:rsidRPr="004F65CD" w:rsidRDefault="00010A9A" w:rsidP="00010A9A">
            <w:pPr>
              <w:rPr>
                <w:b/>
                <w:bCs/>
                <w:sz w:val="15"/>
                <w:szCs w:val="15"/>
              </w:rPr>
            </w:pPr>
            <w:r w:rsidRPr="004F65CD">
              <w:rPr>
                <w:b/>
                <w:bCs/>
                <w:sz w:val="15"/>
                <w:szCs w:val="15"/>
              </w:rPr>
              <w:t xml:space="preserve">Total </w:t>
            </w:r>
          </w:p>
        </w:tc>
        <w:tc>
          <w:tcPr>
            <w:tcW w:w="0" w:type="auto"/>
            <w:tcBorders>
              <w:top w:val="single" w:sz="4" w:space="0" w:color="auto"/>
              <w:left w:val="nil"/>
              <w:bottom w:val="single" w:sz="4" w:space="0" w:color="auto"/>
              <w:right w:val="nil"/>
            </w:tcBorders>
            <w:shd w:val="clear" w:color="auto" w:fill="E2EFD9" w:themeFill="accent6" w:themeFillTint="33"/>
            <w:noWrap/>
            <w:vAlign w:val="center"/>
            <w:hideMark/>
          </w:tcPr>
          <w:p w14:paraId="25FA6E5B" w14:textId="408BBB2A" w:rsidR="00010A9A" w:rsidRPr="004F65CD" w:rsidRDefault="00010A9A" w:rsidP="00010A9A">
            <w:pPr>
              <w:jc w:val="right"/>
              <w:rPr>
                <w:b/>
                <w:bCs/>
                <w:sz w:val="15"/>
                <w:szCs w:val="15"/>
              </w:rPr>
            </w:pPr>
            <w:r w:rsidRPr="004F65CD">
              <w:rPr>
                <w:b/>
                <w:bCs/>
                <w:sz w:val="15"/>
                <w:szCs w:val="15"/>
              </w:rPr>
              <w:t>100</w:t>
            </w:r>
            <w:r w:rsidR="004F65CD">
              <w:rPr>
                <w:b/>
                <w:bCs/>
                <w:sz w:val="15"/>
                <w:szCs w:val="15"/>
              </w:rPr>
              <w:t>.0</w:t>
            </w:r>
          </w:p>
        </w:tc>
        <w:tc>
          <w:tcPr>
            <w:tcW w:w="0" w:type="auto"/>
            <w:tcBorders>
              <w:top w:val="single" w:sz="4" w:space="0" w:color="auto"/>
              <w:left w:val="nil"/>
              <w:bottom w:val="single" w:sz="4" w:space="0" w:color="auto"/>
              <w:right w:val="nil"/>
            </w:tcBorders>
            <w:shd w:val="clear" w:color="auto" w:fill="E2EFD9" w:themeFill="accent6" w:themeFillTint="33"/>
            <w:noWrap/>
            <w:vAlign w:val="center"/>
            <w:hideMark/>
          </w:tcPr>
          <w:p w14:paraId="13685A8D" w14:textId="259545C1" w:rsidR="00010A9A" w:rsidRPr="004F65CD" w:rsidRDefault="00010A9A" w:rsidP="00010A9A">
            <w:pPr>
              <w:jc w:val="right"/>
              <w:rPr>
                <w:b/>
                <w:bCs/>
                <w:sz w:val="15"/>
                <w:szCs w:val="15"/>
              </w:rPr>
            </w:pPr>
            <w:r w:rsidRPr="004F65CD">
              <w:rPr>
                <w:b/>
                <w:bCs/>
                <w:sz w:val="15"/>
                <w:szCs w:val="15"/>
              </w:rPr>
              <w:t>100</w:t>
            </w:r>
            <w:r w:rsidR="004F65CD">
              <w:rPr>
                <w:b/>
                <w:bCs/>
                <w:sz w:val="15"/>
                <w:szCs w:val="15"/>
              </w:rPr>
              <w:t>.0</w:t>
            </w:r>
          </w:p>
        </w:tc>
        <w:tc>
          <w:tcPr>
            <w:tcW w:w="0" w:type="auto"/>
            <w:tcBorders>
              <w:top w:val="single" w:sz="4" w:space="0" w:color="auto"/>
              <w:left w:val="nil"/>
              <w:bottom w:val="single" w:sz="4" w:space="0" w:color="auto"/>
              <w:right w:val="nil"/>
            </w:tcBorders>
            <w:shd w:val="clear" w:color="auto" w:fill="E2EFD9" w:themeFill="accent6" w:themeFillTint="33"/>
            <w:noWrap/>
            <w:vAlign w:val="center"/>
            <w:hideMark/>
          </w:tcPr>
          <w:p w14:paraId="25667D42" w14:textId="5B087F9C" w:rsidR="00010A9A" w:rsidRPr="004F65CD" w:rsidRDefault="00010A9A" w:rsidP="00010A9A">
            <w:pPr>
              <w:jc w:val="right"/>
              <w:rPr>
                <w:b/>
                <w:bCs/>
                <w:sz w:val="15"/>
                <w:szCs w:val="15"/>
              </w:rPr>
            </w:pPr>
            <w:r w:rsidRPr="004F65CD">
              <w:rPr>
                <w:b/>
                <w:bCs/>
                <w:sz w:val="15"/>
                <w:szCs w:val="15"/>
              </w:rPr>
              <w:t>100</w:t>
            </w:r>
            <w:r w:rsidR="004F65CD">
              <w:rPr>
                <w:b/>
                <w:bCs/>
                <w:sz w:val="15"/>
                <w:szCs w:val="15"/>
              </w:rPr>
              <w:t>.0</w:t>
            </w:r>
          </w:p>
        </w:tc>
        <w:tc>
          <w:tcPr>
            <w:tcW w:w="0" w:type="auto"/>
            <w:tcBorders>
              <w:top w:val="single" w:sz="4" w:space="0" w:color="auto"/>
              <w:left w:val="single" w:sz="4" w:space="0" w:color="auto"/>
              <w:bottom w:val="single" w:sz="4" w:space="0" w:color="auto"/>
              <w:right w:val="nil"/>
            </w:tcBorders>
            <w:shd w:val="clear" w:color="auto" w:fill="E2EFD9" w:themeFill="accent6" w:themeFillTint="33"/>
            <w:noWrap/>
            <w:vAlign w:val="center"/>
            <w:hideMark/>
          </w:tcPr>
          <w:p w14:paraId="67E022FE" w14:textId="583D3D4C" w:rsidR="00010A9A" w:rsidRPr="004F65CD" w:rsidRDefault="00010A9A" w:rsidP="00010A9A">
            <w:pPr>
              <w:jc w:val="right"/>
              <w:rPr>
                <w:b/>
                <w:bCs/>
                <w:sz w:val="15"/>
                <w:szCs w:val="15"/>
              </w:rPr>
            </w:pPr>
            <w:r w:rsidRPr="004F65CD">
              <w:rPr>
                <w:b/>
                <w:bCs/>
                <w:sz w:val="15"/>
                <w:szCs w:val="15"/>
              </w:rPr>
              <w:t>100</w:t>
            </w:r>
            <w:r w:rsidR="004F65CD">
              <w:rPr>
                <w:b/>
                <w:bCs/>
                <w:sz w:val="15"/>
                <w:szCs w:val="15"/>
              </w:rPr>
              <w:t>.0</w:t>
            </w:r>
          </w:p>
        </w:tc>
        <w:tc>
          <w:tcPr>
            <w:tcW w:w="0" w:type="auto"/>
            <w:tcBorders>
              <w:top w:val="single" w:sz="4" w:space="0" w:color="auto"/>
              <w:left w:val="nil"/>
              <w:bottom w:val="single" w:sz="4" w:space="0" w:color="auto"/>
              <w:right w:val="nil"/>
            </w:tcBorders>
            <w:shd w:val="clear" w:color="auto" w:fill="E2EFD9" w:themeFill="accent6" w:themeFillTint="33"/>
            <w:noWrap/>
            <w:vAlign w:val="center"/>
            <w:hideMark/>
          </w:tcPr>
          <w:p w14:paraId="1CAB5832" w14:textId="0C3DA548" w:rsidR="00010A9A" w:rsidRPr="004F65CD" w:rsidRDefault="00010A9A" w:rsidP="00010A9A">
            <w:pPr>
              <w:jc w:val="right"/>
              <w:rPr>
                <w:b/>
                <w:bCs/>
                <w:sz w:val="15"/>
                <w:szCs w:val="15"/>
              </w:rPr>
            </w:pPr>
            <w:r w:rsidRPr="004F65CD">
              <w:rPr>
                <w:b/>
                <w:bCs/>
                <w:sz w:val="15"/>
                <w:szCs w:val="15"/>
              </w:rPr>
              <w:t>100</w:t>
            </w:r>
            <w:r w:rsidR="004F65CD">
              <w:rPr>
                <w:b/>
                <w:bCs/>
                <w:sz w:val="15"/>
                <w:szCs w:val="15"/>
              </w:rPr>
              <w:t>.0</w:t>
            </w:r>
          </w:p>
        </w:tc>
        <w:tc>
          <w:tcPr>
            <w:tcW w:w="0" w:type="auto"/>
            <w:tcBorders>
              <w:top w:val="single" w:sz="4" w:space="0" w:color="auto"/>
              <w:left w:val="nil"/>
              <w:bottom w:val="single" w:sz="4" w:space="0" w:color="auto"/>
              <w:right w:val="nil"/>
            </w:tcBorders>
            <w:shd w:val="clear" w:color="auto" w:fill="E2EFD9" w:themeFill="accent6" w:themeFillTint="33"/>
            <w:noWrap/>
            <w:vAlign w:val="center"/>
            <w:hideMark/>
          </w:tcPr>
          <w:p w14:paraId="74633B8B" w14:textId="2A534470" w:rsidR="00010A9A" w:rsidRPr="004F65CD" w:rsidRDefault="00010A9A" w:rsidP="00010A9A">
            <w:pPr>
              <w:jc w:val="right"/>
              <w:rPr>
                <w:b/>
                <w:bCs/>
                <w:sz w:val="15"/>
                <w:szCs w:val="15"/>
              </w:rPr>
            </w:pPr>
            <w:r w:rsidRPr="004F65CD">
              <w:rPr>
                <w:b/>
                <w:bCs/>
                <w:sz w:val="15"/>
                <w:szCs w:val="15"/>
              </w:rPr>
              <w:t>100</w:t>
            </w:r>
            <w:r w:rsidR="004F65CD">
              <w:rPr>
                <w:b/>
                <w:bCs/>
                <w:sz w:val="15"/>
                <w:szCs w:val="15"/>
              </w:rPr>
              <w:t>.0</w:t>
            </w:r>
          </w:p>
        </w:tc>
      </w:tr>
    </w:tbl>
    <w:p w14:paraId="597A46BF" w14:textId="77777777" w:rsidR="003F5E45" w:rsidRPr="006B42D6" w:rsidRDefault="003F5E45" w:rsidP="00983C32"/>
    <w:p w14:paraId="2EEA552C" w14:textId="77777777" w:rsidR="003F5E45" w:rsidRPr="006B42D6" w:rsidRDefault="003F5E45" w:rsidP="00983C32"/>
    <w:p w14:paraId="78115A68" w14:textId="77777777" w:rsidR="00487F84" w:rsidRDefault="00487F84" w:rsidP="00134CB5">
      <w:pPr>
        <w:pStyle w:val="Title"/>
        <w:sectPr w:rsidR="00487F84" w:rsidSect="00DD3FC5">
          <w:pgSz w:w="11900" w:h="16840" w:code="9"/>
          <w:pgMar w:top="1384" w:right="1440" w:bottom="1440" w:left="1440" w:header="709" w:footer="709" w:gutter="0"/>
          <w:cols w:space="708"/>
          <w:docGrid w:linePitch="360"/>
        </w:sectPr>
      </w:pPr>
    </w:p>
    <w:p w14:paraId="66665FD5" w14:textId="333AF68D" w:rsidR="00134CB5" w:rsidRDefault="00134CB5" w:rsidP="00134CB5">
      <w:pPr>
        <w:pStyle w:val="Title"/>
      </w:pPr>
      <w:bookmarkStart w:id="901" w:name="_Toc82385815"/>
      <w:r>
        <w:lastRenderedPageBreak/>
        <w:t>CHAPTER SEVEN</w:t>
      </w:r>
      <w:bookmarkEnd w:id="901"/>
    </w:p>
    <w:p w14:paraId="3CEA8FF3" w14:textId="739641C7" w:rsidR="009077FA" w:rsidRPr="006B42D6" w:rsidRDefault="00A36B36" w:rsidP="00134CB5">
      <w:pPr>
        <w:pStyle w:val="Subtitle"/>
      </w:pPr>
      <w:bookmarkStart w:id="902" w:name="_Toc82385816"/>
      <w:r w:rsidRPr="006B42D6">
        <w:t>CONCLUSION AND RECOMMENDATION</w:t>
      </w:r>
      <w:bookmarkEnd w:id="902"/>
    </w:p>
    <w:p w14:paraId="7181BB92" w14:textId="4287D70D" w:rsidR="002A3B51" w:rsidRPr="006B42D6" w:rsidRDefault="009077FA" w:rsidP="00AC6872">
      <w:pPr>
        <w:pStyle w:val="Heading1"/>
      </w:pPr>
      <w:bookmarkStart w:id="903" w:name="_Toc82385817"/>
      <w:r w:rsidRPr="006B42D6">
        <w:t>7.</w:t>
      </w:r>
      <w:r w:rsidR="00AC6872">
        <w:t>0</w:t>
      </w:r>
      <w:r w:rsidRPr="006B42D6">
        <w:tab/>
        <w:t>Introduction</w:t>
      </w:r>
      <w:bookmarkEnd w:id="903"/>
    </w:p>
    <w:p w14:paraId="1D9D2D20" w14:textId="4C3E8AC0" w:rsidR="00A107D0" w:rsidRPr="006B42D6" w:rsidRDefault="00A107D0" w:rsidP="00A107D0">
      <w:r w:rsidRPr="006B42D6">
        <w:t>The 2019/20 National Sample Census of Agriculture collected a large amount of data on, inter alia, crop</w:t>
      </w:r>
      <w:r w:rsidR="009077FA" w:rsidRPr="006B42D6">
        <w:t>s</w:t>
      </w:r>
      <w:r w:rsidRPr="006B42D6">
        <w:t xml:space="preserve"> and livestock production, planted and harvested areas, input use, storage, marketing, farmer’s access to extension services, as well as fish farming. The coverage was both for smallholder farmers and large</w:t>
      </w:r>
      <w:r w:rsidR="00C82B37">
        <w:t xml:space="preserve"> </w:t>
      </w:r>
      <w:r w:rsidRPr="006B42D6">
        <w:t xml:space="preserve">scale farms. Wherever possible, data for the 2019/20 Census is compared with the previous </w:t>
      </w:r>
      <w:r w:rsidR="00C82B37">
        <w:t>c</w:t>
      </w:r>
      <w:r w:rsidRPr="006B42D6">
        <w:t>ensus</w:t>
      </w:r>
      <w:r w:rsidR="00C82B37">
        <w:t>es</w:t>
      </w:r>
      <w:r w:rsidRPr="006B42D6">
        <w:t xml:space="preserve"> data so as to identify any structural changes between the census periods. </w:t>
      </w:r>
    </w:p>
    <w:p w14:paraId="2806688B" w14:textId="77777777" w:rsidR="009077FA" w:rsidRPr="006B42D6" w:rsidRDefault="009077FA" w:rsidP="0024189E">
      <w:pPr>
        <w:spacing w:line="240" w:lineRule="auto"/>
      </w:pPr>
    </w:p>
    <w:p w14:paraId="31D8DD59" w14:textId="6E43D250" w:rsidR="00A107D0" w:rsidRDefault="00A107D0" w:rsidP="00A107D0">
      <w:r w:rsidRPr="006B42D6">
        <w:t>The conclusion is organized into four sections</w:t>
      </w:r>
      <w:r w:rsidR="00DC3091">
        <w:t>.</w:t>
      </w:r>
      <w:r w:rsidRPr="006B42D6">
        <w:t xml:space="preserve"> The first section gives conclusions with respect to the current status of agriculture in Tanzania in general. It focuses on the agricultural household characteristics; main type of agricultural activities of the household; and land access and use pattern. The second section describes conclusion regarding the current status of crop sub-sector in Tanzania, and it focuses mainly on production, area under production and productivity, use of inputs, irrigation farming and access to extension services. The third section gives conclusion with regard to the main findings of the livestock sub-sector and focuses on livestock numbers by species, regional distribution of livestock, livestock diseases, access to livestock extension services and their contribution to crop production. The fourth section discusses conclusion in regard to fish farming in terms of fish farming systems, type of stocked fish and production, fish sales and fish feeds.</w:t>
      </w:r>
    </w:p>
    <w:p w14:paraId="2C45A096" w14:textId="77777777" w:rsidR="007242B6" w:rsidRPr="006B42D6" w:rsidRDefault="007242B6" w:rsidP="007A3EC9">
      <w:pPr>
        <w:spacing w:line="240" w:lineRule="auto"/>
      </w:pPr>
    </w:p>
    <w:p w14:paraId="229AD3C3" w14:textId="76E53E7E" w:rsidR="002A3B51" w:rsidRPr="006B42D6" w:rsidRDefault="009077FA" w:rsidP="005C2EFC">
      <w:pPr>
        <w:pStyle w:val="Heading2"/>
      </w:pPr>
      <w:bookmarkStart w:id="904" w:name="_Toc82385818"/>
      <w:r w:rsidRPr="006B42D6">
        <w:t>7</w:t>
      </w:r>
      <w:r w:rsidR="002A3B51" w:rsidRPr="006B42D6">
        <w:t>.</w:t>
      </w:r>
      <w:r w:rsidR="00AC6872">
        <w:t>1</w:t>
      </w:r>
      <w:r w:rsidR="002A3B51" w:rsidRPr="006B42D6">
        <w:tab/>
        <w:t>Conclusion</w:t>
      </w:r>
      <w:bookmarkEnd w:id="904"/>
    </w:p>
    <w:p w14:paraId="5C074986" w14:textId="4CD16C91" w:rsidR="00E257C1" w:rsidRDefault="009077FA" w:rsidP="00E773D7">
      <w:pPr>
        <w:pStyle w:val="Heading3"/>
      </w:pPr>
      <w:bookmarkStart w:id="905" w:name="_Toc82385819"/>
      <w:r w:rsidRPr="006B42D6">
        <w:t>7</w:t>
      </w:r>
      <w:r w:rsidR="002A3B51" w:rsidRPr="006B42D6">
        <w:t>.</w:t>
      </w:r>
      <w:r w:rsidR="00AC6872">
        <w:t>1</w:t>
      </w:r>
      <w:r w:rsidR="002A3B51" w:rsidRPr="006B42D6">
        <w:t>.1</w:t>
      </w:r>
      <w:r w:rsidR="002A3B51" w:rsidRPr="006B42D6">
        <w:tab/>
        <w:t>Status of the Agriculture in Tanzania</w:t>
      </w:r>
      <w:bookmarkEnd w:id="905"/>
    </w:p>
    <w:p w14:paraId="193EDC6E" w14:textId="77777777" w:rsidR="007155AB" w:rsidRPr="007A288F" w:rsidRDefault="007155AB" w:rsidP="00384B40">
      <w:pPr>
        <w:spacing w:line="240" w:lineRule="auto"/>
        <w:rPr>
          <w:sz w:val="10"/>
          <w:szCs w:val="10"/>
        </w:rPr>
      </w:pPr>
    </w:p>
    <w:p w14:paraId="2CBDDAEE" w14:textId="1665B29E" w:rsidR="00A107D0" w:rsidRDefault="00A107D0" w:rsidP="00A107D0">
      <w:pPr>
        <w:pStyle w:val="ListParagraph"/>
        <w:numPr>
          <w:ilvl w:val="0"/>
          <w:numId w:val="8"/>
        </w:numPr>
        <w:spacing w:after="160" w:line="360" w:lineRule="auto"/>
        <w:ind w:left="426" w:hanging="426"/>
      </w:pPr>
      <w:r w:rsidRPr="006B42D6">
        <w:t>The 2019/20 National Sample Census of Agriculture results show that, a total of 7,837,405 households were involved in agricultural activities, of which 7,657,185 (97.7</w:t>
      </w:r>
      <w:r w:rsidR="00317E32" w:rsidRPr="006B42D6">
        <w:t xml:space="preserve"> percent</w:t>
      </w:r>
      <w:r w:rsidRPr="006B42D6">
        <w:t>) were in Mainland</w:t>
      </w:r>
      <w:r w:rsidR="007155AB">
        <w:t xml:space="preserve"> Tanzania</w:t>
      </w:r>
      <w:r w:rsidRPr="006B42D6">
        <w:t xml:space="preserve"> and 180,220 (2.3</w:t>
      </w:r>
      <w:r w:rsidR="00317E32" w:rsidRPr="006B42D6">
        <w:t xml:space="preserve"> percent</w:t>
      </w:r>
      <w:r w:rsidRPr="006B42D6">
        <w:t xml:space="preserve">) in </w:t>
      </w:r>
      <w:r w:rsidR="007155AB">
        <w:t>Tanzania</w:t>
      </w:r>
      <w:r w:rsidR="007155AB" w:rsidRPr="006B42D6">
        <w:t xml:space="preserve"> </w:t>
      </w:r>
      <w:r w:rsidRPr="006B42D6">
        <w:t xml:space="preserve">Zanzibar. </w:t>
      </w:r>
      <w:r w:rsidRPr="006B42D6">
        <w:rPr>
          <w:lang w:val="en-GB"/>
        </w:rPr>
        <w:t>In term of locality, 6,325, 358 (80.7 percent) households were in rural areas and 1,512,043 (19.3 percent) of the households were in urban areas. The number of agricultural households has increased from 5,838,523 in 200</w:t>
      </w:r>
      <w:r w:rsidR="009077FA" w:rsidRPr="006B42D6">
        <w:rPr>
          <w:lang w:val="en-GB"/>
        </w:rPr>
        <w:t>7</w:t>
      </w:r>
      <w:r w:rsidRPr="006B42D6">
        <w:rPr>
          <w:lang w:val="en-GB"/>
        </w:rPr>
        <w:t>/</w:t>
      </w:r>
      <w:r w:rsidR="009077FA" w:rsidRPr="006B42D6">
        <w:rPr>
          <w:lang w:val="en-GB"/>
        </w:rPr>
        <w:t>08</w:t>
      </w:r>
      <w:r w:rsidRPr="006B42D6">
        <w:rPr>
          <w:lang w:val="en-GB"/>
        </w:rPr>
        <w:t xml:space="preserve"> to </w:t>
      </w:r>
      <w:r w:rsidRPr="006B42D6">
        <w:t xml:space="preserve">7,837,405 </w:t>
      </w:r>
      <w:r w:rsidRPr="006B42D6">
        <w:rPr>
          <w:lang w:val="en-GB"/>
        </w:rPr>
        <w:t xml:space="preserve">in 2019/20 NSCA. </w:t>
      </w:r>
      <w:r w:rsidRPr="006B42D6">
        <w:t xml:space="preserve">Crop production was the most common agricultural activity at the national level with 5,088,135 households (64.3 percent), followed by 2,589,156 households (33.3 percent) engaged in crop and livestock, 157,290 households (2.0 percent) engaged in livestock </w:t>
      </w:r>
      <w:r w:rsidRPr="006B42D6">
        <w:lastRenderedPageBreak/>
        <w:t>only, whilst the least number of households were involved in fish farming (1,358), followed by pastoralism (1,465) jointly having less than one percent</w:t>
      </w:r>
      <w:r w:rsidR="007155AB">
        <w:t>;</w:t>
      </w:r>
    </w:p>
    <w:p w14:paraId="5682130A" w14:textId="77777777" w:rsidR="0024189E" w:rsidRPr="006B42D6" w:rsidRDefault="0024189E" w:rsidP="00143C67">
      <w:pPr>
        <w:pStyle w:val="ListParagraph"/>
        <w:spacing w:after="160" w:line="240" w:lineRule="auto"/>
        <w:ind w:left="426"/>
      </w:pPr>
    </w:p>
    <w:p w14:paraId="0A84A9CA" w14:textId="572156F3" w:rsidR="00A107D0" w:rsidRDefault="00A107D0" w:rsidP="00A107D0">
      <w:pPr>
        <w:pStyle w:val="ListParagraph"/>
        <w:numPr>
          <w:ilvl w:val="0"/>
          <w:numId w:val="8"/>
        </w:numPr>
        <w:spacing w:after="160" w:line="360" w:lineRule="auto"/>
        <w:ind w:left="426" w:hanging="426"/>
      </w:pPr>
      <w:r w:rsidRPr="006B42D6">
        <w:t xml:space="preserve">It has been observed that, there has been an increasing trend for the households involved in “crop only”, “crop and livestock” and “livestock only” activities since the last two Agriculture Census conducted in </w:t>
      </w:r>
      <w:r w:rsidR="0078683A" w:rsidRPr="006B42D6">
        <w:t>2002/03</w:t>
      </w:r>
      <w:r w:rsidR="0078683A">
        <w:t xml:space="preserve"> and </w:t>
      </w:r>
      <w:r w:rsidRPr="006B42D6">
        <w:t>2007/08, while decreasing trend has been revealed for those households involved in “pastoralist” activities</w:t>
      </w:r>
      <w:r w:rsidR="007155AB">
        <w:t>;</w:t>
      </w:r>
    </w:p>
    <w:p w14:paraId="35118CD5" w14:textId="77777777" w:rsidR="0024189E" w:rsidRPr="0024189E" w:rsidRDefault="0024189E" w:rsidP="0024189E">
      <w:pPr>
        <w:pStyle w:val="ListParagraph"/>
        <w:spacing w:after="160" w:line="240" w:lineRule="auto"/>
        <w:ind w:left="426"/>
        <w:rPr>
          <w:sz w:val="15"/>
          <w:szCs w:val="15"/>
        </w:rPr>
      </w:pPr>
    </w:p>
    <w:p w14:paraId="1E726F3F" w14:textId="7D549813" w:rsidR="00A107D0" w:rsidRDefault="00A107D0" w:rsidP="00A107D0">
      <w:pPr>
        <w:pStyle w:val="ListParagraph"/>
        <w:numPr>
          <w:ilvl w:val="0"/>
          <w:numId w:val="8"/>
        </w:numPr>
        <w:spacing w:after="160" w:line="360" w:lineRule="auto"/>
        <w:ind w:left="426" w:hanging="426"/>
      </w:pPr>
      <w:r w:rsidRPr="006B42D6">
        <w:t xml:space="preserve">In </w:t>
      </w:r>
      <w:r w:rsidR="00EA1552">
        <w:t>Mainland Tanzania</w:t>
      </w:r>
      <w:r w:rsidRPr="006B42D6">
        <w:t xml:space="preserve">, large number of households engaged in agriculture were recorded in Dodoma, Kagera, Dar es Salaam, Morogoro and Mwanza regions </w:t>
      </w:r>
      <w:r w:rsidR="009077FA" w:rsidRPr="006B42D6">
        <w:t>ranged from</w:t>
      </w:r>
      <w:r w:rsidRPr="006B42D6">
        <w:t xml:space="preserve"> 400,000 </w:t>
      </w:r>
      <w:r w:rsidR="009077FA" w:rsidRPr="006B42D6">
        <w:t>to</w:t>
      </w:r>
      <w:r w:rsidRPr="006B42D6">
        <w:t xml:space="preserve"> 5</w:t>
      </w:r>
      <w:r w:rsidR="009077FA" w:rsidRPr="006B42D6">
        <w:t>2</w:t>
      </w:r>
      <w:r w:rsidRPr="006B42D6">
        <w:t xml:space="preserve">0,000 households; followed by Mbeya, Tabora, Tanga, Kigoma, Ruvuma, and Mtwara regions </w:t>
      </w:r>
      <w:r w:rsidR="009077FA" w:rsidRPr="006B42D6">
        <w:t xml:space="preserve">ranged </w:t>
      </w:r>
      <w:r w:rsidR="00880D5E" w:rsidRPr="006B42D6">
        <w:t>between</w:t>
      </w:r>
      <w:r w:rsidRPr="006B42D6">
        <w:t xml:space="preserve"> 30</w:t>
      </w:r>
      <w:r w:rsidR="00880D5E" w:rsidRPr="006B42D6">
        <w:t>0,000</w:t>
      </w:r>
      <w:r w:rsidRPr="006B42D6">
        <w:t xml:space="preserve"> </w:t>
      </w:r>
      <w:r w:rsidR="00880D5E" w:rsidRPr="006B42D6">
        <w:t>and</w:t>
      </w:r>
      <w:r w:rsidR="009077FA" w:rsidRPr="006B42D6">
        <w:t xml:space="preserve"> </w:t>
      </w:r>
      <w:r w:rsidRPr="006B42D6">
        <w:t xml:space="preserve">400,000 households. Katavi region had the least number of households engaged in agriculture (76,867), followed by Njombe (160,108). In </w:t>
      </w:r>
      <w:r w:rsidR="00880D5E" w:rsidRPr="006B42D6">
        <w:t xml:space="preserve">Tanzania </w:t>
      </w:r>
      <w:r w:rsidRPr="006B42D6">
        <w:t xml:space="preserve">Zanzibar, </w:t>
      </w:r>
      <w:r w:rsidR="00880D5E" w:rsidRPr="006B42D6">
        <w:t xml:space="preserve">Kusini </w:t>
      </w:r>
      <w:r w:rsidRPr="006B42D6">
        <w:t>Pemba</w:t>
      </w:r>
      <w:r w:rsidR="00880D5E" w:rsidRPr="006B42D6">
        <w:t xml:space="preserve"> and Kaskazini Pemba </w:t>
      </w:r>
      <w:r w:rsidRPr="006B42D6">
        <w:t xml:space="preserve">had large number of agriculture households </w:t>
      </w:r>
      <w:r w:rsidR="00195DC0" w:rsidRPr="006B42D6">
        <w:t>ranged between</w:t>
      </w:r>
      <w:r w:rsidRPr="006B42D6">
        <w:t xml:space="preserve"> 40,000 </w:t>
      </w:r>
      <w:r w:rsidR="00195DC0" w:rsidRPr="006B42D6">
        <w:t>and</w:t>
      </w:r>
      <w:r w:rsidRPr="006B42D6">
        <w:t xml:space="preserve"> 55,000 households, while region with the least number of households engaged in agriculture was Kusini Unguja with 17,593</w:t>
      </w:r>
      <w:r w:rsidR="00195DC0" w:rsidRPr="006B42D6">
        <w:t xml:space="preserve"> households</w:t>
      </w:r>
      <w:r w:rsidR="007155AB">
        <w:t>;</w:t>
      </w:r>
    </w:p>
    <w:p w14:paraId="315B02CB" w14:textId="77777777" w:rsidR="0024189E" w:rsidRPr="0024189E" w:rsidRDefault="0024189E" w:rsidP="0024189E">
      <w:pPr>
        <w:pStyle w:val="ListParagraph"/>
        <w:spacing w:after="160" w:line="240" w:lineRule="auto"/>
        <w:ind w:left="426"/>
        <w:rPr>
          <w:sz w:val="15"/>
          <w:szCs w:val="15"/>
        </w:rPr>
      </w:pPr>
    </w:p>
    <w:p w14:paraId="27227498" w14:textId="2895EFF9" w:rsidR="00A107D0" w:rsidRDefault="00A107D0" w:rsidP="00A107D0">
      <w:pPr>
        <w:pStyle w:val="ListParagraph"/>
        <w:numPr>
          <w:ilvl w:val="0"/>
          <w:numId w:val="8"/>
        </w:numPr>
        <w:spacing w:after="160" w:line="360" w:lineRule="auto"/>
        <w:ind w:left="426" w:hanging="426"/>
        <w:rPr>
          <w:lang w:val="en-GB"/>
        </w:rPr>
      </w:pPr>
      <w:r w:rsidRPr="006B42D6">
        <w:t>The</w:t>
      </w:r>
      <w:r w:rsidRPr="006B42D6">
        <w:rPr>
          <w:lang w:val="en-GB"/>
        </w:rPr>
        <w:t xml:space="preserve"> population of agricultural</w:t>
      </w:r>
      <w:r w:rsidR="00C47DC8" w:rsidRPr="006B42D6">
        <w:rPr>
          <w:lang w:val="en-GB"/>
        </w:rPr>
        <w:t xml:space="preserve"> </w:t>
      </w:r>
      <w:r w:rsidRPr="006B42D6">
        <w:rPr>
          <w:lang w:val="en-GB"/>
        </w:rPr>
        <w:t xml:space="preserve">household members in Tanzania was 40,992,748 (39,902,860 in </w:t>
      </w:r>
      <w:r w:rsidR="00EA1552">
        <w:rPr>
          <w:lang w:val="en-GB"/>
        </w:rPr>
        <w:t>Mainland Tanzania</w:t>
      </w:r>
      <w:r w:rsidRPr="006B42D6">
        <w:rPr>
          <w:lang w:val="en-GB"/>
        </w:rPr>
        <w:t xml:space="preserve"> and 1,089,888 in </w:t>
      </w:r>
      <w:r w:rsidR="00C47DC8" w:rsidRPr="006B42D6">
        <w:rPr>
          <w:lang w:val="en-GB"/>
        </w:rPr>
        <w:t xml:space="preserve">Tanzania </w:t>
      </w:r>
      <w:r w:rsidRPr="006B42D6">
        <w:rPr>
          <w:lang w:val="en-GB"/>
        </w:rPr>
        <w:t>Zanzibar), of which 49.8 percent were males and 50.2 percent were females. The population of agricultural household’s members has increased from 31 million in 2007/08 to 4</w:t>
      </w:r>
      <w:r w:rsidR="00C47DC8" w:rsidRPr="006B42D6">
        <w:rPr>
          <w:lang w:val="en-GB"/>
        </w:rPr>
        <w:t>1</w:t>
      </w:r>
      <w:r w:rsidRPr="006B42D6">
        <w:rPr>
          <w:lang w:val="en-GB"/>
        </w:rPr>
        <w:t xml:space="preserve"> million in 2019/20 N</w:t>
      </w:r>
      <w:r w:rsidR="00C47DC8" w:rsidRPr="006B42D6">
        <w:rPr>
          <w:lang w:val="en-GB"/>
        </w:rPr>
        <w:t>SCA</w:t>
      </w:r>
      <w:r w:rsidRPr="006B42D6">
        <w:rPr>
          <w:lang w:val="en-GB"/>
        </w:rPr>
        <w:t>. Furthermore, about 44 percent of the 2019/20 agricultural population was below 15 years of age while that of the 15-64 years age group which participates most in production accounted for 51 percent of the agricultural population and 5 percent of the population was above 65 years</w:t>
      </w:r>
      <w:r w:rsidR="007155AB">
        <w:rPr>
          <w:lang w:val="en-GB"/>
        </w:rPr>
        <w:t>;</w:t>
      </w:r>
    </w:p>
    <w:p w14:paraId="31B6B369" w14:textId="77777777" w:rsidR="00454EA4" w:rsidRPr="0024189E" w:rsidRDefault="00454EA4" w:rsidP="0024189E">
      <w:pPr>
        <w:pStyle w:val="ListParagraph"/>
        <w:spacing w:after="160" w:line="240" w:lineRule="auto"/>
        <w:ind w:left="426"/>
        <w:rPr>
          <w:sz w:val="15"/>
          <w:szCs w:val="15"/>
          <w:lang w:val="en-GB"/>
        </w:rPr>
      </w:pPr>
    </w:p>
    <w:p w14:paraId="5591E8F5" w14:textId="195C2029" w:rsidR="0024189E" w:rsidRDefault="00A107D0" w:rsidP="0024189E">
      <w:pPr>
        <w:pStyle w:val="ListParagraph"/>
        <w:numPr>
          <w:ilvl w:val="0"/>
          <w:numId w:val="8"/>
        </w:numPr>
        <w:spacing w:after="160" w:line="360" w:lineRule="auto"/>
        <w:ind w:left="426" w:hanging="426"/>
      </w:pPr>
      <w:r w:rsidRPr="006B42D6">
        <w:t xml:space="preserve">Taking together the number of agricultural households in Tanzania and the population of agricultural smallholder’s members, one can deduce that the average household size for agricultural household was 5.2 persons as compared to 5.3 in 2007/08. In </w:t>
      </w:r>
      <w:r w:rsidR="00EA1552">
        <w:t>Mainland Tanzania</w:t>
      </w:r>
      <w:r w:rsidRPr="006B42D6">
        <w:t xml:space="preserve">, Simiyu region had the largest average number of </w:t>
      </w:r>
      <w:r w:rsidR="00C82B37">
        <w:t>persons</w:t>
      </w:r>
      <w:r w:rsidRPr="006B42D6">
        <w:t xml:space="preserve"> per household (7.3), followed by Tabora and </w:t>
      </w:r>
      <w:r w:rsidR="00C82B37">
        <w:t>Geita</w:t>
      </w:r>
      <w:r w:rsidRPr="006B42D6">
        <w:t xml:space="preserve"> (7.1). The smallest household size w</w:t>
      </w:r>
      <w:r w:rsidR="00C82B37">
        <w:t>as</w:t>
      </w:r>
      <w:r w:rsidRPr="006B42D6">
        <w:t xml:space="preserve"> in Njombe (3.7), followed by Lindi (3.8). </w:t>
      </w:r>
      <w:r w:rsidR="00C47DC8" w:rsidRPr="006B42D6">
        <w:t xml:space="preserve">Tanzania </w:t>
      </w:r>
      <w:r w:rsidRPr="006B42D6">
        <w:t xml:space="preserve">Zanzibar had a slightly larger average household size than </w:t>
      </w:r>
      <w:r w:rsidR="00EA1552">
        <w:t>Mainland Tanzania</w:t>
      </w:r>
      <w:r w:rsidRPr="006B42D6">
        <w:t xml:space="preserve"> with an average of 6.0 persons per household, and all of its regions having an average above 5 persons per household</w:t>
      </w:r>
      <w:r w:rsidR="007155AB">
        <w:t>;</w:t>
      </w:r>
    </w:p>
    <w:p w14:paraId="204C5B56" w14:textId="77777777" w:rsidR="0024189E" w:rsidRPr="0024189E" w:rsidRDefault="0024189E" w:rsidP="0024189E">
      <w:pPr>
        <w:pStyle w:val="ListParagraph"/>
        <w:spacing w:after="160" w:line="240" w:lineRule="auto"/>
        <w:ind w:left="426"/>
        <w:rPr>
          <w:sz w:val="15"/>
          <w:szCs w:val="15"/>
        </w:rPr>
      </w:pPr>
    </w:p>
    <w:p w14:paraId="123A641B" w14:textId="05566C2B" w:rsidR="00C82B37" w:rsidRDefault="00A107D0" w:rsidP="00C82B37">
      <w:pPr>
        <w:pStyle w:val="ListParagraph"/>
        <w:numPr>
          <w:ilvl w:val="0"/>
          <w:numId w:val="8"/>
        </w:numPr>
        <w:spacing w:after="160" w:line="360" w:lineRule="auto"/>
        <w:ind w:left="426" w:hanging="426"/>
      </w:pPr>
      <w:r w:rsidRPr="006B42D6">
        <w:lastRenderedPageBreak/>
        <w:t>The 2019/20 NSCA results show that total usable land available to smallholder farmers was 20,588,</w:t>
      </w:r>
      <w:r w:rsidR="0078683A">
        <w:t>267</w:t>
      </w:r>
      <w:r w:rsidRPr="006B42D6">
        <w:t xml:space="preserve"> ha (20,</w:t>
      </w:r>
      <w:r w:rsidR="0078683A">
        <w:t xml:space="preserve">588,027 were </w:t>
      </w:r>
      <w:r w:rsidRPr="006B42D6">
        <w:t xml:space="preserve">in </w:t>
      </w:r>
      <w:r w:rsidR="00EA1552">
        <w:t>Mainland Tanzania</w:t>
      </w:r>
      <w:r w:rsidRPr="006B42D6">
        <w:t xml:space="preserve"> and 186,240 in </w:t>
      </w:r>
      <w:r w:rsidR="00C47DC8" w:rsidRPr="006B42D6">
        <w:t xml:space="preserve">Tanzania </w:t>
      </w:r>
      <w:r w:rsidRPr="006B42D6">
        <w:t xml:space="preserve">Zanzibar), equivalent to 2.7 ha per household. The total area of utilized land was </w:t>
      </w:r>
      <w:r w:rsidR="0078683A">
        <w:t>16,717,289</w:t>
      </w:r>
      <w:r w:rsidRPr="006B42D6">
        <w:t xml:space="preserve"> ha (8</w:t>
      </w:r>
      <w:r w:rsidR="0078683A">
        <w:t xml:space="preserve">0.5 </w:t>
      </w:r>
      <w:r w:rsidRPr="006B42D6">
        <w:t>percent of the total usable land available), giving an average land area utilized for agriculture per household of 2.</w:t>
      </w:r>
      <w:r w:rsidR="0078683A">
        <w:t>1</w:t>
      </w:r>
      <w:r w:rsidRPr="006B42D6">
        <w:t xml:space="preserve"> ha</w:t>
      </w:r>
      <w:r w:rsidR="007155AB">
        <w:t>;</w:t>
      </w:r>
      <w:r w:rsidRPr="006B42D6">
        <w:t xml:space="preserve"> </w:t>
      </w:r>
    </w:p>
    <w:p w14:paraId="5DE86D6C" w14:textId="77777777" w:rsidR="00C82B37" w:rsidRPr="00C82B37" w:rsidRDefault="00C82B37" w:rsidP="00C82B37">
      <w:pPr>
        <w:pStyle w:val="ListParagraph"/>
        <w:spacing w:after="160" w:line="240" w:lineRule="auto"/>
        <w:ind w:left="426"/>
        <w:rPr>
          <w:sz w:val="15"/>
          <w:szCs w:val="15"/>
        </w:rPr>
      </w:pPr>
    </w:p>
    <w:p w14:paraId="4AB9A0EA" w14:textId="2C58C378" w:rsidR="00A107D0" w:rsidRDefault="00A107D0" w:rsidP="00A107D0">
      <w:pPr>
        <w:pStyle w:val="ListParagraph"/>
        <w:numPr>
          <w:ilvl w:val="0"/>
          <w:numId w:val="8"/>
        </w:numPr>
        <w:spacing w:after="160" w:line="360" w:lineRule="auto"/>
        <w:ind w:left="426" w:hanging="426"/>
      </w:pPr>
      <w:r w:rsidRPr="006B42D6">
        <w:t xml:space="preserve">The results further revealed that land was dominantly planted with annual crops occupying 57.9 percent of the total land area used in 2019/20, whereas permanent crops (including planted trees) accounts for 9.3 percent and 6.6 percent was planted with a mixture of annual and permanent crops. The area kept under fallow was 8.5 percent whereas the area under fish farming was the least common type of land use with 0.04 percent. Only </w:t>
      </w:r>
      <w:r w:rsidR="0078683A">
        <w:t>5.9</w:t>
      </w:r>
      <w:r w:rsidRPr="006B42D6">
        <w:t xml:space="preserve"> percent of usable land available to smallholder farmers was not used</w:t>
      </w:r>
      <w:r w:rsidR="007155AB">
        <w:t>;</w:t>
      </w:r>
      <w:r w:rsidRPr="006B42D6">
        <w:t xml:space="preserve"> </w:t>
      </w:r>
    </w:p>
    <w:p w14:paraId="644F992D" w14:textId="77777777" w:rsidR="0024189E" w:rsidRPr="0024189E" w:rsidRDefault="0024189E" w:rsidP="0024189E">
      <w:pPr>
        <w:pStyle w:val="ListParagraph"/>
        <w:spacing w:after="160" w:line="240" w:lineRule="auto"/>
        <w:ind w:left="426"/>
        <w:rPr>
          <w:sz w:val="15"/>
          <w:szCs w:val="15"/>
        </w:rPr>
      </w:pPr>
    </w:p>
    <w:p w14:paraId="675C2F80" w14:textId="77777777" w:rsidR="0024189E" w:rsidRDefault="00A107D0" w:rsidP="00A107D0">
      <w:pPr>
        <w:pStyle w:val="ListParagraph"/>
        <w:numPr>
          <w:ilvl w:val="0"/>
          <w:numId w:val="8"/>
        </w:numPr>
        <w:spacing w:after="160" w:line="360" w:lineRule="auto"/>
        <w:ind w:left="426" w:hanging="426"/>
      </w:pPr>
      <w:r w:rsidRPr="006B42D6">
        <w:t xml:space="preserve">At national level, about </w:t>
      </w:r>
      <w:r w:rsidR="00C47DC8" w:rsidRPr="006B42D6">
        <w:t>one-</w:t>
      </w:r>
      <w:r w:rsidRPr="006B42D6">
        <w:t xml:space="preserve">third (33.0 percent) of the </w:t>
      </w:r>
      <w:r w:rsidR="00C47DC8" w:rsidRPr="006B42D6">
        <w:t xml:space="preserve">agricultural </w:t>
      </w:r>
      <w:r w:rsidRPr="006B42D6">
        <w:t>households indicated to have sufficient land available for their use</w:t>
      </w:r>
      <w:r w:rsidR="00C47DC8" w:rsidRPr="006B42D6">
        <w:t>,</w:t>
      </w:r>
      <w:r w:rsidRPr="006B42D6">
        <w:t xml:space="preserve"> while the remaining 67.0 percent considered the land to be insufficient. Land sufficiency in </w:t>
      </w:r>
      <w:r w:rsidR="00C47DC8" w:rsidRPr="006B42D6">
        <w:t xml:space="preserve">Tanzania </w:t>
      </w:r>
      <w:r w:rsidRPr="006B42D6">
        <w:t xml:space="preserve">Zanzibar (51.2 percent) was relatively better compared to that of </w:t>
      </w:r>
      <w:r w:rsidR="00EA1552">
        <w:t>Mainland Tanzania</w:t>
      </w:r>
      <w:r w:rsidRPr="006B42D6">
        <w:t xml:space="preserve"> </w:t>
      </w:r>
      <w:r w:rsidR="006C1D68" w:rsidRPr="006B42D6">
        <w:t>(</w:t>
      </w:r>
      <w:r w:rsidRPr="006B42D6">
        <w:t>32.6 percent</w:t>
      </w:r>
      <w:r w:rsidR="006C1D68" w:rsidRPr="006B42D6">
        <w:t>)</w:t>
      </w:r>
      <w:r w:rsidR="007155AB">
        <w:t>;</w:t>
      </w:r>
    </w:p>
    <w:p w14:paraId="07D19521" w14:textId="490BDE4E" w:rsidR="0024189E" w:rsidRPr="0024189E" w:rsidRDefault="0024189E" w:rsidP="0024189E">
      <w:pPr>
        <w:pStyle w:val="ListParagraph"/>
        <w:spacing w:after="160" w:line="240" w:lineRule="auto"/>
        <w:ind w:left="426"/>
        <w:rPr>
          <w:sz w:val="15"/>
          <w:szCs w:val="15"/>
        </w:rPr>
      </w:pPr>
      <w:r w:rsidRPr="006B42D6">
        <w:t xml:space="preserve"> </w:t>
      </w:r>
    </w:p>
    <w:p w14:paraId="2F5DF670" w14:textId="5697212F" w:rsidR="00A107D0" w:rsidRDefault="00A107D0" w:rsidP="00A107D0">
      <w:pPr>
        <w:pStyle w:val="ListParagraph"/>
        <w:numPr>
          <w:ilvl w:val="0"/>
          <w:numId w:val="8"/>
        </w:numPr>
        <w:spacing w:after="160" w:line="360" w:lineRule="auto"/>
        <w:ind w:left="426" w:hanging="426"/>
      </w:pPr>
      <w:r w:rsidRPr="006B42D6">
        <w:t xml:space="preserve">Land sufficiency varied greatly between regions of </w:t>
      </w:r>
      <w:r w:rsidR="00EA1552">
        <w:t>Mainland Tanzania</w:t>
      </w:r>
      <w:r w:rsidRPr="006B42D6">
        <w:t>. In Mtwara, Lindi and Pwani regions at least 50 percent or slightly more of the households reported land sufficiency while all other regions reported land sufficiency below 50 percent. In the latter group, land scarcity was most acute in Arusha, Rukwa, Kilimanjaro, Simiyu and Katavi regions where more than 80</w:t>
      </w:r>
      <w:r w:rsidR="007D4BEC">
        <w:t xml:space="preserve"> percent</w:t>
      </w:r>
      <w:r w:rsidRPr="006B42D6">
        <w:t xml:space="preserve"> of the households reported land insufficiency. On the other hand, Mjini Magharibi and Kaskazini Pemba in </w:t>
      </w:r>
      <w:r w:rsidR="006C1D68" w:rsidRPr="006B42D6">
        <w:t xml:space="preserve">Tanzania </w:t>
      </w:r>
      <w:r w:rsidRPr="006B42D6">
        <w:t>Zanzibar showed acute land scarcity with land sufficiency below 50 percent</w:t>
      </w:r>
      <w:r w:rsidR="007155AB">
        <w:t>;</w:t>
      </w:r>
    </w:p>
    <w:p w14:paraId="7EE0E030" w14:textId="77777777" w:rsidR="0024189E" w:rsidRPr="0024189E" w:rsidRDefault="0024189E" w:rsidP="0024189E">
      <w:pPr>
        <w:pStyle w:val="ListParagraph"/>
        <w:spacing w:after="160" w:line="240" w:lineRule="auto"/>
        <w:ind w:left="426"/>
        <w:rPr>
          <w:sz w:val="15"/>
          <w:szCs w:val="15"/>
        </w:rPr>
      </w:pPr>
    </w:p>
    <w:p w14:paraId="42C3E481" w14:textId="140582A8" w:rsidR="00A107D0" w:rsidRDefault="00A107D0" w:rsidP="00A107D0">
      <w:pPr>
        <w:pStyle w:val="ListParagraph"/>
        <w:numPr>
          <w:ilvl w:val="0"/>
          <w:numId w:val="8"/>
        </w:numPr>
        <w:spacing w:after="160" w:line="360" w:lineRule="auto"/>
        <w:ind w:left="426" w:hanging="426"/>
      </w:pPr>
      <w:r w:rsidRPr="006B42D6">
        <w:t>During the 2019/20 agricultural year, most of the agricultural households were affected by the climate changes, high cost of inputs, limited access to land, pest and diseases, as well as low prices for their agricultural produce</w:t>
      </w:r>
      <w:r w:rsidR="007155AB">
        <w:t>; and</w:t>
      </w:r>
    </w:p>
    <w:p w14:paraId="32722C31" w14:textId="77777777" w:rsidR="0024189E" w:rsidRPr="0024189E" w:rsidRDefault="0024189E" w:rsidP="0024189E">
      <w:pPr>
        <w:pStyle w:val="ListParagraph"/>
        <w:spacing w:after="160" w:line="240" w:lineRule="auto"/>
        <w:ind w:left="426"/>
        <w:rPr>
          <w:sz w:val="15"/>
          <w:szCs w:val="15"/>
        </w:rPr>
      </w:pPr>
    </w:p>
    <w:p w14:paraId="7021FD14" w14:textId="61162060" w:rsidR="00A107D0" w:rsidRDefault="00A107D0" w:rsidP="00A107D0">
      <w:pPr>
        <w:pStyle w:val="ListParagraph"/>
        <w:numPr>
          <w:ilvl w:val="0"/>
          <w:numId w:val="8"/>
        </w:numPr>
        <w:spacing w:after="160" w:line="360" w:lineRule="auto"/>
        <w:ind w:left="426" w:hanging="426"/>
      </w:pPr>
      <w:r w:rsidRPr="006B42D6">
        <w:t>Climate change and theft were the main challenges faced by the agricultural households in Mainland</w:t>
      </w:r>
      <w:r w:rsidR="007155AB">
        <w:t xml:space="preserve"> Tanzania</w:t>
      </w:r>
      <w:r w:rsidRPr="006B42D6">
        <w:t xml:space="preserve"> and </w:t>
      </w:r>
      <w:r w:rsidR="007155AB">
        <w:t xml:space="preserve">Tanzania </w:t>
      </w:r>
      <w:r w:rsidRPr="006B42D6">
        <w:t>Zanzibar, respectively.</w:t>
      </w:r>
    </w:p>
    <w:p w14:paraId="28E4F524" w14:textId="7385E083" w:rsidR="0024189E" w:rsidRDefault="0024189E">
      <w:pPr>
        <w:spacing w:line="240" w:lineRule="auto"/>
        <w:contextualSpacing w:val="0"/>
        <w:jc w:val="left"/>
      </w:pPr>
      <w:r>
        <w:br w:type="page"/>
      </w:r>
    </w:p>
    <w:p w14:paraId="11ACA112" w14:textId="37A04DC9" w:rsidR="002A3B51" w:rsidRPr="006B42D6" w:rsidRDefault="009077FA" w:rsidP="00224B51">
      <w:pPr>
        <w:pStyle w:val="Heading3"/>
      </w:pPr>
      <w:bookmarkStart w:id="906" w:name="_Toc82385820"/>
      <w:r w:rsidRPr="006B42D6">
        <w:lastRenderedPageBreak/>
        <w:t>7</w:t>
      </w:r>
      <w:r w:rsidR="002A3B51" w:rsidRPr="006B42D6">
        <w:t>.</w:t>
      </w:r>
      <w:r w:rsidR="00AC6872">
        <w:t>1</w:t>
      </w:r>
      <w:r w:rsidR="002A3B51" w:rsidRPr="006B42D6">
        <w:t>.2</w:t>
      </w:r>
      <w:r w:rsidR="002A3B51" w:rsidRPr="006B42D6">
        <w:tab/>
      </w:r>
      <w:r w:rsidR="00317E32" w:rsidRPr="006B42D6">
        <w:t>S</w:t>
      </w:r>
      <w:r w:rsidR="002A3B51" w:rsidRPr="006B42D6">
        <w:t>tatus of Crop Sub-sector in Tanzania</w:t>
      </w:r>
      <w:bookmarkEnd w:id="906"/>
    </w:p>
    <w:p w14:paraId="450DE0CA" w14:textId="5A9982B8" w:rsidR="00A107D0" w:rsidRDefault="00A107D0" w:rsidP="00A107D0">
      <w:pPr>
        <w:pStyle w:val="ListParagraph"/>
        <w:numPr>
          <w:ilvl w:val="0"/>
          <w:numId w:val="10"/>
        </w:numPr>
        <w:spacing w:after="160" w:line="360" w:lineRule="auto"/>
        <w:ind w:left="426" w:hanging="426"/>
      </w:pPr>
      <w:r w:rsidRPr="006B42D6">
        <w:t xml:space="preserve">The crop sub-sector plays an important role in Tanzania economy providing jobs, subsistence and income to 7,677,291 agricultural households growing crops (98.0 percent of the total agriculture households). The number of crops growing households has increased by 32.9 percent since the 2007/08 </w:t>
      </w:r>
      <w:r w:rsidR="00DE41C4">
        <w:t>a</w:t>
      </w:r>
      <w:r w:rsidRPr="006B42D6">
        <w:t xml:space="preserve">griculture </w:t>
      </w:r>
      <w:r w:rsidR="00DE41C4">
        <w:t>c</w:t>
      </w:r>
      <w:r w:rsidRPr="006B42D6">
        <w:t>ensus</w:t>
      </w:r>
      <w:r w:rsidR="007155AB">
        <w:t>;</w:t>
      </w:r>
      <w:r w:rsidRPr="006B42D6">
        <w:t xml:space="preserve"> </w:t>
      </w:r>
    </w:p>
    <w:p w14:paraId="52E9B1F9" w14:textId="77777777" w:rsidR="0024189E" w:rsidRPr="0024189E" w:rsidRDefault="0024189E" w:rsidP="0024189E">
      <w:pPr>
        <w:pStyle w:val="ListParagraph"/>
        <w:spacing w:after="160" w:line="240" w:lineRule="auto"/>
        <w:ind w:left="426"/>
        <w:rPr>
          <w:sz w:val="15"/>
          <w:szCs w:val="15"/>
        </w:rPr>
      </w:pPr>
    </w:p>
    <w:p w14:paraId="407575C8" w14:textId="2D029046" w:rsidR="00A107D0" w:rsidRDefault="00A107D0" w:rsidP="00A107D0">
      <w:pPr>
        <w:pStyle w:val="ListParagraph"/>
        <w:numPr>
          <w:ilvl w:val="0"/>
          <w:numId w:val="10"/>
        </w:numPr>
        <w:spacing w:after="160" w:line="360" w:lineRule="auto"/>
        <w:ind w:left="426" w:hanging="426"/>
      </w:pPr>
      <w:r w:rsidRPr="006B42D6">
        <w:t xml:space="preserve">There is a wide variety of crops grown in the country, nevertheless, maize dominates smallholder crop production. Other important food crops include cassava, bananas, paddy, beans and groundnuts. The rest of the crops </w:t>
      </w:r>
      <w:r w:rsidR="00DE41C4">
        <w:t>were</w:t>
      </w:r>
      <w:r w:rsidRPr="006B42D6">
        <w:t xml:space="preserve"> only grown in small amounts, albeit, some of these crops such as tea, cashew nuts and coffee have significant importance in certain areas where the climate is more suitable for their production</w:t>
      </w:r>
      <w:r w:rsidR="007155AB">
        <w:t>;</w:t>
      </w:r>
    </w:p>
    <w:p w14:paraId="1EF5AD70" w14:textId="77777777" w:rsidR="0024189E" w:rsidRPr="0024189E" w:rsidRDefault="0024189E" w:rsidP="0024189E">
      <w:pPr>
        <w:pStyle w:val="ListParagraph"/>
        <w:spacing w:after="160" w:line="240" w:lineRule="auto"/>
        <w:ind w:left="426"/>
        <w:rPr>
          <w:sz w:val="15"/>
          <w:szCs w:val="15"/>
        </w:rPr>
      </w:pPr>
    </w:p>
    <w:p w14:paraId="75344FAC" w14:textId="520B6D24" w:rsidR="00A107D0" w:rsidRDefault="00A107D0" w:rsidP="00A107D0">
      <w:pPr>
        <w:pStyle w:val="ListParagraph"/>
        <w:numPr>
          <w:ilvl w:val="0"/>
          <w:numId w:val="10"/>
        </w:numPr>
        <w:spacing w:after="160" w:line="360" w:lineRule="auto"/>
        <w:ind w:left="426" w:hanging="426"/>
      </w:pPr>
      <w:r w:rsidRPr="006B42D6">
        <w:t>Maize, paddy and sorghum were the major cereal crops grown in Tanzania during the 2019/20 agricultural year, occupying the largest planted area. Among the three major crops, maize had a largest share of planted area compared to others, while the least crop was sorghum</w:t>
      </w:r>
      <w:r w:rsidR="007155AB">
        <w:t>;</w:t>
      </w:r>
      <w:r w:rsidRPr="006B42D6">
        <w:t xml:space="preserve"> </w:t>
      </w:r>
    </w:p>
    <w:p w14:paraId="1B66D48C" w14:textId="77777777" w:rsidR="0024189E" w:rsidRPr="0024189E" w:rsidRDefault="0024189E" w:rsidP="0024189E">
      <w:pPr>
        <w:pStyle w:val="ListParagraph"/>
        <w:spacing w:after="160" w:line="240" w:lineRule="auto"/>
        <w:ind w:left="426"/>
        <w:rPr>
          <w:sz w:val="15"/>
          <w:szCs w:val="15"/>
        </w:rPr>
      </w:pPr>
    </w:p>
    <w:p w14:paraId="72E16767" w14:textId="52F4C9DD" w:rsidR="00A107D0" w:rsidRDefault="00A107D0" w:rsidP="00A107D0">
      <w:pPr>
        <w:pStyle w:val="ListParagraph"/>
        <w:numPr>
          <w:ilvl w:val="0"/>
          <w:numId w:val="10"/>
        </w:numPr>
        <w:spacing w:after="160" w:line="360" w:lineRule="auto"/>
        <w:ind w:left="426" w:hanging="426"/>
      </w:pPr>
      <w:r w:rsidRPr="006B42D6">
        <w:t xml:space="preserve">The 2019/20 NSCA results show that, the total production of major cereal crops </w:t>
      </w:r>
      <w:r w:rsidR="00F815C9">
        <w:t xml:space="preserve">in Tanzania </w:t>
      </w:r>
      <w:r w:rsidRPr="006B42D6">
        <w:t>was 10,</w:t>
      </w:r>
      <w:r w:rsidR="0078683A">
        <w:t>761,559</w:t>
      </w:r>
      <w:r w:rsidRPr="006B42D6">
        <w:t xml:space="preserve"> tons, whereby maize </w:t>
      </w:r>
      <w:r w:rsidR="00F815C9">
        <w:t>was leading (</w:t>
      </w:r>
      <w:r w:rsidRPr="006B42D6">
        <w:t>6,5</w:t>
      </w:r>
      <w:r w:rsidR="0078683A">
        <w:t>04,725</w:t>
      </w:r>
      <w:r w:rsidRPr="006B42D6">
        <w:t xml:space="preserve"> tons</w:t>
      </w:r>
      <w:r w:rsidR="00F815C9">
        <w:t>)</w:t>
      </w:r>
      <w:r w:rsidRPr="006B42D6">
        <w:t xml:space="preserve">, </w:t>
      </w:r>
      <w:r w:rsidR="00F815C9">
        <w:t xml:space="preserve">followed </w:t>
      </w:r>
      <w:r w:rsidRPr="006B42D6">
        <w:t xml:space="preserve">paddy </w:t>
      </w:r>
      <w:r w:rsidR="00F815C9">
        <w:t>(</w:t>
      </w:r>
      <w:r w:rsidRPr="006B42D6">
        <w:t>3,</w:t>
      </w:r>
      <w:r w:rsidR="0078683A">
        <w:t>380,715</w:t>
      </w:r>
      <w:r w:rsidRPr="006B42D6">
        <w:t xml:space="preserve"> tons</w:t>
      </w:r>
      <w:r w:rsidR="00F815C9">
        <w:t>)</w:t>
      </w:r>
      <w:r w:rsidRPr="006B42D6">
        <w:t xml:space="preserve"> and sorghum </w:t>
      </w:r>
      <w:r w:rsidR="00F815C9">
        <w:t>(</w:t>
      </w:r>
      <w:r w:rsidR="0078683A">
        <w:t>601,470</w:t>
      </w:r>
      <w:r w:rsidRPr="006B42D6">
        <w:t xml:space="preserve"> tons</w:t>
      </w:r>
      <w:r w:rsidR="00F815C9">
        <w:t>);</w:t>
      </w:r>
    </w:p>
    <w:p w14:paraId="13F0F64F" w14:textId="77777777" w:rsidR="0024189E" w:rsidRPr="0024189E" w:rsidRDefault="0024189E" w:rsidP="0024189E">
      <w:pPr>
        <w:pStyle w:val="ListParagraph"/>
        <w:spacing w:after="160" w:line="240" w:lineRule="auto"/>
        <w:ind w:left="426"/>
        <w:rPr>
          <w:sz w:val="15"/>
          <w:szCs w:val="15"/>
        </w:rPr>
      </w:pPr>
    </w:p>
    <w:p w14:paraId="4C48C63D" w14:textId="1E25F211" w:rsidR="00A107D0" w:rsidRDefault="00A107D0" w:rsidP="00A107D0">
      <w:pPr>
        <w:pStyle w:val="ListParagraph"/>
        <w:numPr>
          <w:ilvl w:val="0"/>
          <w:numId w:val="10"/>
        </w:numPr>
        <w:spacing w:after="160" w:line="360" w:lineRule="auto"/>
        <w:ind w:left="426" w:hanging="426"/>
      </w:pPr>
      <w:r w:rsidRPr="006B42D6">
        <w:t>Cassava, sweet potatoes and Irish potatoes, were reported as major grown roots and tuber crops for 2019/20 agricultural year, occupying the total area of 1,095,713 hectares. The total production of these crops was 2,564,829 tons, while cassava contributing larger part of it compared to other crops. Cassava and sweet potatoes were the major roots and tuber crops produced in both Mainland</w:t>
      </w:r>
      <w:r w:rsidR="007155AB">
        <w:t xml:space="preserve"> Tanzania</w:t>
      </w:r>
      <w:r w:rsidRPr="006B42D6">
        <w:t xml:space="preserve"> and </w:t>
      </w:r>
      <w:r w:rsidR="007155AB">
        <w:t>Tanzania</w:t>
      </w:r>
      <w:r w:rsidR="007155AB" w:rsidRPr="006B42D6">
        <w:t xml:space="preserve"> </w:t>
      </w:r>
      <w:r w:rsidRPr="006B42D6">
        <w:t>Zanzibar</w:t>
      </w:r>
      <w:r w:rsidR="007155AB">
        <w:t>;</w:t>
      </w:r>
    </w:p>
    <w:p w14:paraId="30C446F3" w14:textId="77777777" w:rsidR="0024189E" w:rsidRPr="0024189E" w:rsidRDefault="0024189E" w:rsidP="0024189E">
      <w:pPr>
        <w:pStyle w:val="ListParagraph"/>
        <w:spacing w:after="160" w:line="240" w:lineRule="auto"/>
        <w:ind w:left="426"/>
        <w:rPr>
          <w:sz w:val="15"/>
          <w:szCs w:val="15"/>
        </w:rPr>
      </w:pPr>
    </w:p>
    <w:p w14:paraId="1EE9FAB0" w14:textId="74E2AAC5" w:rsidR="00A107D0" w:rsidRDefault="00A107D0" w:rsidP="00A107D0">
      <w:pPr>
        <w:pStyle w:val="ListParagraph"/>
        <w:numPr>
          <w:ilvl w:val="0"/>
          <w:numId w:val="10"/>
        </w:numPr>
        <w:spacing w:after="160" w:line="360" w:lineRule="auto"/>
        <w:ind w:left="426" w:hanging="426"/>
      </w:pPr>
      <w:r w:rsidRPr="006B42D6">
        <w:t>It was also observed that, beans and cow-peas were the major pulses grown in the country, in 2019/20 agricultural year. The total area occupied by these crops was 892,786 hectares, while beans taking the largest part of it. On the other hand, the total production of these two crops by both smallholder farmers and large-scale farms were 801,149 tons</w:t>
      </w:r>
      <w:r w:rsidR="007155AB">
        <w:t>;</w:t>
      </w:r>
    </w:p>
    <w:p w14:paraId="36BE473F" w14:textId="77777777" w:rsidR="0024189E" w:rsidRPr="0024189E" w:rsidRDefault="0024189E" w:rsidP="0024189E">
      <w:pPr>
        <w:pStyle w:val="ListParagraph"/>
        <w:spacing w:after="160" w:line="240" w:lineRule="auto"/>
        <w:ind w:left="426"/>
        <w:rPr>
          <w:sz w:val="15"/>
          <w:szCs w:val="15"/>
        </w:rPr>
      </w:pPr>
    </w:p>
    <w:p w14:paraId="1142F454" w14:textId="3A380BED" w:rsidR="00A107D0" w:rsidRDefault="00A107D0" w:rsidP="00A107D0">
      <w:pPr>
        <w:pStyle w:val="ListParagraph"/>
        <w:numPr>
          <w:ilvl w:val="0"/>
          <w:numId w:val="10"/>
        </w:numPr>
        <w:spacing w:after="160" w:line="360" w:lineRule="auto"/>
        <w:ind w:left="426" w:hanging="426"/>
      </w:pPr>
      <w:r w:rsidRPr="006B42D6">
        <w:t>In 2019/20 agricultural year, sunflower, sesame and palm oil were observed as main oil seeds and nuts grown in Tanzania, with a total planted area of 1,523,009 hectares. This area was utilized by both smallholder and large-scale farmers. The largest area was occupied by sunflower, with the area of 537,786 hectares</w:t>
      </w:r>
      <w:r w:rsidR="007155AB">
        <w:t>;</w:t>
      </w:r>
    </w:p>
    <w:p w14:paraId="50A3EB71" w14:textId="5C3F5907" w:rsidR="00A107D0" w:rsidRDefault="00A107D0" w:rsidP="00A107D0">
      <w:pPr>
        <w:pStyle w:val="ListParagraph"/>
        <w:numPr>
          <w:ilvl w:val="0"/>
          <w:numId w:val="10"/>
        </w:numPr>
        <w:spacing w:after="160" w:line="360" w:lineRule="auto"/>
        <w:ind w:left="426" w:hanging="426"/>
      </w:pPr>
      <w:r w:rsidRPr="006B42D6">
        <w:lastRenderedPageBreak/>
        <w:t>The total production of oil seeds and nuts was 1,282,286 tons, of which groundnuts was leading with a total of 621,911 tons, followed by sunflower with 508,209 tons and sesame production of 128,152 tons. Groundnuts observed to produce largest part of production of oil seeds and nuts in both Mainland</w:t>
      </w:r>
      <w:r w:rsidR="007155AB">
        <w:t xml:space="preserve"> Tanzania</w:t>
      </w:r>
      <w:r w:rsidRPr="006B42D6">
        <w:t xml:space="preserve"> and </w:t>
      </w:r>
      <w:r w:rsidR="007155AB">
        <w:t xml:space="preserve">Tanzania </w:t>
      </w:r>
      <w:r w:rsidRPr="006B42D6">
        <w:t>Zanzibar</w:t>
      </w:r>
      <w:r w:rsidR="007155AB">
        <w:t>;</w:t>
      </w:r>
    </w:p>
    <w:p w14:paraId="054745F3" w14:textId="77777777" w:rsidR="0024189E" w:rsidRPr="0024189E" w:rsidRDefault="0024189E" w:rsidP="0024189E">
      <w:pPr>
        <w:pStyle w:val="ListParagraph"/>
        <w:spacing w:after="160" w:line="240" w:lineRule="auto"/>
        <w:ind w:left="426"/>
        <w:rPr>
          <w:sz w:val="15"/>
          <w:szCs w:val="15"/>
        </w:rPr>
      </w:pPr>
    </w:p>
    <w:p w14:paraId="3B8C3F58" w14:textId="1A533E0B" w:rsidR="00A107D0" w:rsidRDefault="00A107D0" w:rsidP="00A107D0">
      <w:pPr>
        <w:pStyle w:val="ListParagraph"/>
        <w:numPr>
          <w:ilvl w:val="0"/>
          <w:numId w:val="10"/>
        </w:numPr>
        <w:spacing w:after="160" w:line="360" w:lineRule="auto"/>
        <w:ind w:left="426" w:hanging="426"/>
      </w:pPr>
      <w:r w:rsidRPr="006B42D6">
        <w:t>The 2019/20 NSCA results show that, out of the 7,677,291 agriculture’s households growing crops, 411,108 households (5.4 percent) practiced irrigation (88.4 percent in Mainland</w:t>
      </w:r>
      <w:r w:rsidR="007155AB" w:rsidRPr="007155AB">
        <w:t xml:space="preserve"> </w:t>
      </w:r>
      <w:r w:rsidR="007155AB">
        <w:t>Tanzania</w:t>
      </w:r>
      <w:r w:rsidRPr="006B42D6">
        <w:t xml:space="preserve"> and 11.6 percent in </w:t>
      </w:r>
      <w:r w:rsidR="007155AB">
        <w:t>Tanzania</w:t>
      </w:r>
      <w:r w:rsidR="007155AB" w:rsidRPr="006B42D6">
        <w:t xml:space="preserve"> </w:t>
      </w:r>
      <w:r w:rsidRPr="006B42D6">
        <w:t>Zanzibar). These households irrigated an area of 289,381 hectares planted with crops (94.3 percent in Mainland</w:t>
      </w:r>
      <w:r w:rsidR="007155AB">
        <w:t xml:space="preserve"> Tanzania</w:t>
      </w:r>
      <w:r w:rsidRPr="006B42D6">
        <w:t xml:space="preserve">; 5.7 percent in </w:t>
      </w:r>
      <w:r w:rsidR="007155AB">
        <w:t xml:space="preserve">Tanzania </w:t>
      </w:r>
      <w:r w:rsidRPr="006B42D6">
        <w:t>Zanzibar), equivalent to 2.5 percent of the total area planted with crops</w:t>
      </w:r>
      <w:r w:rsidR="007155AB">
        <w:t>;</w:t>
      </w:r>
    </w:p>
    <w:p w14:paraId="067FD968" w14:textId="77777777" w:rsidR="0024189E" w:rsidRPr="0024189E" w:rsidRDefault="0024189E" w:rsidP="0024189E">
      <w:pPr>
        <w:pStyle w:val="ListParagraph"/>
        <w:spacing w:after="160" w:line="240" w:lineRule="auto"/>
        <w:ind w:left="426"/>
        <w:rPr>
          <w:sz w:val="15"/>
          <w:szCs w:val="15"/>
        </w:rPr>
      </w:pPr>
    </w:p>
    <w:p w14:paraId="0E66DF06" w14:textId="71C4211A" w:rsidR="00A107D0" w:rsidRDefault="00A107D0" w:rsidP="00A107D0">
      <w:pPr>
        <w:pStyle w:val="ListParagraph"/>
        <w:numPr>
          <w:ilvl w:val="0"/>
          <w:numId w:val="10"/>
        </w:numPr>
        <w:spacing w:after="160" w:line="360" w:lineRule="auto"/>
        <w:ind w:left="426" w:hanging="426"/>
      </w:pPr>
      <w:r w:rsidRPr="006B42D6">
        <w:t>It has been observed that, out of the total area cultivated (11.8 million hectares) during the 2019/20 agricultural year, more than 75 percent of it was planted with local seed, while the share of improved seed was 22 percent</w:t>
      </w:r>
      <w:r w:rsidR="007155AB">
        <w:t>;</w:t>
      </w:r>
    </w:p>
    <w:p w14:paraId="0C36D6BD" w14:textId="77777777" w:rsidR="0024189E" w:rsidRPr="0024189E" w:rsidRDefault="0024189E" w:rsidP="0024189E">
      <w:pPr>
        <w:pStyle w:val="ListParagraph"/>
        <w:spacing w:after="160" w:line="240" w:lineRule="auto"/>
        <w:ind w:left="426"/>
        <w:rPr>
          <w:sz w:val="15"/>
          <w:szCs w:val="15"/>
        </w:rPr>
      </w:pPr>
    </w:p>
    <w:p w14:paraId="1B86AAAB" w14:textId="1D43D9E8" w:rsidR="00A107D0" w:rsidRDefault="00A107D0" w:rsidP="00A107D0">
      <w:pPr>
        <w:pStyle w:val="ListParagraph"/>
        <w:numPr>
          <w:ilvl w:val="0"/>
          <w:numId w:val="10"/>
        </w:numPr>
        <w:spacing w:after="160" w:line="360" w:lineRule="auto"/>
        <w:ind w:left="426" w:hanging="426"/>
      </w:pPr>
      <w:r w:rsidRPr="006B42D6">
        <w:t>The census results show that, 2.5 million hectares (26.6 percent of the total planted area) was applied with fertilizer (2.4 million hectares were in Mainland</w:t>
      </w:r>
      <w:r w:rsidR="007155AB" w:rsidRPr="007155AB">
        <w:t xml:space="preserve"> </w:t>
      </w:r>
      <w:r w:rsidR="007155AB">
        <w:t>Tanzania</w:t>
      </w:r>
      <w:r w:rsidRPr="006B42D6">
        <w:t xml:space="preserve"> and 31,613 hectares in </w:t>
      </w:r>
      <w:r w:rsidR="007155AB">
        <w:t>Tanzania</w:t>
      </w:r>
      <w:r w:rsidR="007155AB" w:rsidRPr="006B42D6">
        <w:t xml:space="preserve"> </w:t>
      </w:r>
      <w:r w:rsidRPr="006B42D6">
        <w:t>Zanzibar). Area applied with organic fertilizers dominated by 62.3 percent when compared to area applied with inorganic fertilizers</w:t>
      </w:r>
      <w:r w:rsidR="007155AB">
        <w:t>;</w:t>
      </w:r>
    </w:p>
    <w:p w14:paraId="4C5F4A98" w14:textId="77777777" w:rsidR="0024189E" w:rsidRPr="0024189E" w:rsidRDefault="0024189E" w:rsidP="0024189E">
      <w:pPr>
        <w:pStyle w:val="ListParagraph"/>
        <w:spacing w:after="160" w:line="240" w:lineRule="auto"/>
        <w:ind w:left="426"/>
        <w:rPr>
          <w:sz w:val="15"/>
          <w:szCs w:val="15"/>
        </w:rPr>
      </w:pPr>
    </w:p>
    <w:p w14:paraId="184E3286" w14:textId="7EBD8899" w:rsidR="00A107D0" w:rsidRDefault="00A107D0" w:rsidP="00A107D0">
      <w:pPr>
        <w:pStyle w:val="ListParagraph"/>
        <w:numPr>
          <w:ilvl w:val="0"/>
          <w:numId w:val="10"/>
        </w:numPr>
        <w:spacing w:after="160" w:line="360" w:lineRule="auto"/>
        <w:ind w:left="426" w:hanging="426"/>
      </w:pPr>
      <w:r w:rsidRPr="006B42D6">
        <w:t xml:space="preserve">The majority of the agricultural households in the country processed their maize crop, with the purpose of adding value, followed by those households which processed paddy, and then sunflower, as compared to other crops, during the reference period. Most of the agricultural households in </w:t>
      </w:r>
      <w:r w:rsidR="007155AB">
        <w:t xml:space="preserve">Tanzania </w:t>
      </w:r>
      <w:r w:rsidRPr="006B42D6">
        <w:t>Zanzibar, reported to process paddy crop compared with other types of crops</w:t>
      </w:r>
      <w:r w:rsidR="007155AB">
        <w:t>;</w:t>
      </w:r>
    </w:p>
    <w:p w14:paraId="482E5E8D" w14:textId="77777777" w:rsidR="0024189E" w:rsidRPr="0024189E" w:rsidRDefault="0024189E" w:rsidP="0024189E">
      <w:pPr>
        <w:pStyle w:val="ListParagraph"/>
        <w:spacing w:after="160" w:line="240" w:lineRule="auto"/>
        <w:ind w:left="426"/>
        <w:rPr>
          <w:sz w:val="15"/>
          <w:szCs w:val="15"/>
        </w:rPr>
      </w:pPr>
    </w:p>
    <w:p w14:paraId="0AF4EE56" w14:textId="35EE2290" w:rsidR="00A107D0" w:rsidRDefault="00A107D0" w:rsidP="00A107D0">
      <w:pPr>
        <w:pStyle w:val="ListParagraph"/>
        <w:numPr>
          <w:ilvl w:val="0"/>
          <w:numId w:val="10"/>
        </w:numPr>
        <w:spacing w:after="160" w:line="360" w:lineRule="auto"/>
        <w:ind w:left="426" w:hanging="426"/>
      </w:pPr>
      <w:r w:rsidRPr="006B42D6">
        <w:t>Crop yields are very low as can be implied from limited capital investment in smallholder agriculture as well as very small areas undertaking irrigated agriculture and the use of complementary inputs such as fertilizer and pesticides is equally low</w:t>
      </w:r>
      <w:r w:rsidR="007155AB">
        <w:t>;</w:t>
      </w:r>
    </w:p>
    <w:p w14:paraId="0BB0B1E7" w14:textId="77777777" w:rsidR="0024189E" w:rsidRPr="0024189E" w:rsidRDefault="0024189E" w:rsidP="0024189E">
      <w:pPr>
        <w:pStyle w:val="ListParagraph"/>
        <w:spacing w:after="160" w:line="240" w:lineRule="auto"/>
        <w:ind w:left="426"/>
        <w:rPr>
          <w:sz w:val="15"/>
          <w:szCs w:val="15"/>
        </w:rPr>
      </w:pPr>
    </w:p>
    <w:p w14:paraId="716820CC" w14:textId="14A59841" w:rsidR="00A107D0" w:rsidRDefault="007242B6" w:rsidP="00A107D0">
      <w:pPr>
        <w:pStyle w:val="ListParagraph"/>
        <w:numPr>
          <w:ilvl w:val="0"/>
          <w:numId w:val="10"/>
        </w:numPr>
        <w:spacing w:after="160" w:line="360" w:lineRule="auto"/>
        <w:ind w:left="426" w:hanging="426"/>
      </w:pPr>
      <w:r>
        <w:t>Low</w:t>
      </w:r>
      <w:r w:rsidR="00A107D0" w:rsidRPr="006B42D6">
        <w:t xml:space="preserve"> coverage of extension services was evident</w:t>
      </w:r>
      <w:r>
        <w:t>;</w:t>
      </w:r>
      <w:r w:rsidR="00A107D0" w:rsidRPr="006B42D6">
        <w:t xml:space="preserve"> some of the highest crop producing regions received less extension than other regions. Even though oxen use is largely limited to areas that have large population of cattle such as Shinyanga hand cultivation remains the predominant means of land cultivation</w:t>
      </w:r>
      <w:r w:rsidR="007155AB">
        <w:t>; and</w:t>
      </w:r>
    </w:p>
    <w:p w14:paraId="2FCEA4F8" w14:textId="77777777" w:rsidR="0024189E" w:rsidRPr="0024189E" w:rsidRDefault="0024189E" w:rsidP="0024189E">
      <w:pPr>
        <w:pStyle w:val="ListParagraph"/>
        <w:spacing w:after="160" w:line="240" w:lineRule="auto"/>
        <w:ind w:left="426"/>
        <w:rPr>
          <w:sz w:val="15"/>
          <w:szCs w:val="15"/>
        </w:rPr>
      </w:pPr>
    </w:p>
    <w:p w14:paraId="42BF1DDB" w14:textId="464D5C76" w:rsidR="00A107D0" w:rsidRDefault="00A107D0" w:rsidP="00A107D0">
      <w:pPr>
        <w:pStyle w:val="ListParagraph"/>
        <w:numPr>
          <w:ilvl w:val="0"/>
          <w:numId w:val="10"/>
        </w:numPr>
        <w:spacing w:after="160" w:line="360" w:lineRule="auto"/>
        <w:ind w:left="426" w:hanging="426"/>
      </w:pPr>
      <w:r w:rsidRPr="006B42D6">
        <w:t>Besides most of the smallholder farmers being affected by climate change (17.</w:t>
      </w:r>
      <w:r w:rsidR="007242B6">
        <w:t>8</w:t>
      </w:r>
      <w:r w:rsidRPr="006B42D6">
        <w:t xml:space="preserve"> percent), other constraints that affected the agricultural activities during 2019/20 agriculture year </w:t>
      </w:r>
      <w:r w:rsidRPr="006B42D6">
        <w:lastRenderedPageBreak/>
        <w:t>were cost of inputs (</w:t>
      </w:r>
      <w:r w:rsidR="007242B6">
        <w:t>15.6</w:t>
      </w:r>
      <w:r w:rsidRPr="006B42D6">
        <w:t xml:space="preserve"> percent), access to land (</w:t>
      </w:r>
      <w:r w:rsidR="007242B6">
        <w:t>13.5</w:t>
      </w:r>
      <w:r w:rsidRPr="006B42D6">
        <w:t xml:space="preserve"> percent), low prices of agricultural produces (</w:t>
      </w:r>
      <w:r w:rsidR="007242B6">
        <w:t>7.2</w:t>
      </w:r>
      <w:r w:rsidRPr="006B42D6">
        <w:t xml:space="preserve"> percent), and pest and diseases (6.</w:t>
      </w:r>
      <w:r w:rsidR="007242B6">
        <w:t>7</w:t>
      </w:r>
      <w:r w:rsidRPr="006B42D6">
        <w:t xml:space="preserve"> percent).</w:t>
      </w:r>
    </w:p>
    <w:p w14:paraId="20E1068B" w14:textId="77777777" w:rsidR="00DF261C" w:rsidRDefault="00DF261C" w:rsidP="00DF261C">
      <w:pPr>
        <w:spacing w:after="160" w:line="240" w:lineRule="auto"/>
      </w:pPr>
    </w:p>
    <w:p w14:paraId="36ABFEE4" w14:textId="7AE46FF3" w:rsidR="002A3B51" w:rsidRPr="006B42D6" w:rsidRDefault="009077FA" w:rsidP="00A6025E">
      <w:pPr>
        <w:pStyle w:val="Heading3"/>
      </w:pPr>
      <w:bookmarkStart w:id="907" w:name="_Toc82385821"/>
      <w:r w:rsidRPr="006B42D6">
        <w:t>7</w:t>
      </w:r>
      <w:r w:rsidR="002A3B51" w:rsidRPr="006B42D6">
        <w:t>.</w:t>
      </w:r>
      <w:r w:rsidR="00AC6872">
        <w:t>1</w:t>
      </w:r>
      <w:r w:rsidR="002A3B51" w:rsidRPr="006B42D6">
        <w:t>.3</w:t>
      </w:r>
      <w:r w:rsidR="002A3B51" w:rsidRPr="006B42D6">
        <w:tab/>
        <w:t>Status of the Livestock Sub-sector in Tanzania</w:t>
      </w:r>
      <w:bookmarkEnd w:id="907"/>
    </w:p>
    <w:p w14:paraId="7E16C3F0" w14:textId="259B9024" w:rsidR="00A6025E" w:rsidRDefault="00A6025E" w:rsidP="00A6025E">
      <w:pPr>
        <w:pStyle w:val="ListParagraph"/>
        <w:numPr>
          <w:ilvl w:val="0"/>
          <w:numId w:val="11"/>
        </w:numPr>
        <w:spacing w:after="160" w:line="360" w:lineRule="auto"/>
        <w:ind w:left="426" w:hanging="426"/>
      </w:pPr>
      <w:r w:rsidRPr="006B42D6">
        <w:t>The 2019/20 NSCA results show that, main livestock species kept by smallholder farmers include cattle, goats, sheep, pigs and chicken. In 2019/20 Agricultural year, there were about 2.7 million households which kept livestock. In the surveyed households, cattle were the most dominant specie followed by goats, sheep and pigs. As of 1</w:t>
      </w:r>
      <w:r w:rsidRPr="006B42D6">
        <w:rPr>
          <w:vertAlign w:val="superscript"/>
        </w:rPr>
        <w:t>st</w:t>
      </w:r>
      <w:r w:rsidRPr="006B42D6">
        <w:t xml:space="preserve"> August 2020, the respective numbers and percentages were 33,928,390 (48.3 percent) for cattle, 24,568,396 (35.0 percent) for goats, 8,516,990 (12.1 percent) for sheep and 3,208,493 (4.6 percent) for pigs. Most of the livestock (99.2 percent) were kept by the smallholder farmers. The contribution of large-scale farms being less than one percent. The total number of chickens reported was 87.7 million, of which 75.1 million were recorded from smallholders and 12.5 million from large scale farms</w:t>
      </w:r>
      <w:r w:rsidR="009077FA" w:rsidRPr="006B42D6">
        <w:t>;</w:t>
      </w:r>
    </w:p>
    <w:p w14:paraId="5BF58AF2" w14:textId="77777777" w:rsidR="0024189E" w:rsidRPr="0024189E" w:rsidRDefault="0024189E" w:rsidP="0024189E">
      <w:pPr>
        <w:pStyle w:val="ListParagraph"/>
        <w:spacing w:after="160" w:line="240" w:lineRule="auto"/>
        <w:ind w:left="426"/>
        <w:rPr>
          <w:sz w:val="15"/>
          <w:szCs w:val="15"/>
        </w:rPr>
      </w:pPr>
    </w:p>
    <w:p w14:paraId="4A67C3D3" w14:textId="75E045E5" w:rsidR="00A6025E" w:rsidRDefault="00A6025E" w:rsidP="00A6025E">
      <w:pPr>
        <w:pStyle w:val="ListParagraph"/>
        <w:numPr>
          <w:ilvl w:val="0"/>
          <w:numId w:val="11"/>
        </w:numPr>
        <w:spacing w:after="160" w:line="360" w:lineRule="auto"/>
        <w:ind w:left="426" w:hanging="426"/>
      </w:pPr>
      <w:r w:rsidRPr="006B42D6">
        <w:t>For the three consecutive agriculture censuses conducted, the results show that, there is an increasing trend of livestock population in the country;</w:t>
      </w:r>
    </w:p>
    <w:p w14:paraId="37E6562E" w14:textId="77777777" w:rsidR="0024189E" w:rsidRPr="0024189E" w:rsidRDefault="0024189E" w:rsidP="0024189E">
      <w:pPr>
        <w:pStyle w:val="ListParagraph"/>
        <w:spacing w:after="160" w:line="240" w:lineRule="auto"/>
        <w:ind w:left="426"/>
        <w:rPr>
          <w:sz w:val="15"/>
          <w:szCs w:val="15"/>
        </w:rPr>
      </w:pPr>
    </w:p>
    <w:p w14:paraId="09D05663" w14:textId="1A850372" w:rsidR="00A6025E" w:rsidRDefault="00A6025E" w:rsidP="00A6025E">
      <w:pPr>
        <w:pStyle w:val="ListParagraph"/>
        <w:numPr>
          <w:ilvl w:val="0"/>
          <w:numId w:val="11"/>
        </w:numPr>
        <w:spacing w:after="160" w:line="360" w:lineRule="auto"/>
        <w:ind w:left="426" w:hanging="426"/>
      </w:pPr>
      <w:r w:rsidRPr="006B42D6">
        <w:t>Branding and cattle’s color were the main method of cattle identification used by households in Mainland</w:t>
      </w:r>
      <w:r w:rsidR="007155AB" w:rsidRPr="007155AB">
        <w:t xml:space="preserve"> </w:t>
      </w:r>
      <w:r w:rsidR="007155AB">
        <w:t>Tanzania</w:t>
      </w:r>
      <w:r w:rsidRPr="006B42D6">
        <w:t xml:space="preserve"> and </w:t>
      </w:r>
      <w:r w:rsidR="007155AB">
        <w:t>Tanzania</w:t>
      </w:r>
      <w:r w:rsidR="007155AB" w:rsidRPr="006B42D6">
        <w:t xml:space="preserve"> </w:t>
      </w:r>
      <w:r w:rsidRPr="006B42D6">
        <w:t>Zanzibar, respectively;</w:t>
      </w:r>
    </w:p>
    <w:p w14:paraId="7BE1F2FE" w14:textId="77777777" w:rsidR="0024189E" w:rsidRPr="0024189E" w:rsidRDefault="0024189E" w:rsidP="0024189E">
      <w:pPr>
        <w:pStyle w:val="ListParagraph"/>
        <w:spacing w:after="160" w:line="240" w:lineRule="auto"/>
        <w:ind w:left="426"/>
        <w:rPr>
          <w:sz w:val="15"/>
          <w:szCs w:val="15"/>
        </w:rPr>
      </w:pPr>
    </w:p>
    <w:p w14:paraId="188EDA8D" w14:textId="2633FE86" w:rsidR="00A6025E" w:rsidRDefault="00A6025E" w:rsidP="00A6025E">
      <w:pPr>
        <w:pStyle w:val="ListParagraph"/>
        <w:numPr>
          <w:ilvl w:val="0"/>
          <w:numId w:val="11"/>
        </w:numPr>
        <w:spacing w:after="160" w:line="360" w:lineRule="auto"/>
        <w:ind w:left="426" w:hanging="426"/>
      </w:pPr>
      <w:r w:rsidRPr="006B42D6">
        <w:t>The total production of cow milk in the country from smallholder farmers and large-scale farms for 2019/20 agricultural years was about 3 billion lit</w:t>
      </w:r>
      <w:r w:rsidR="007242B6">
        <w:t>re</w:t>
      </w:r>
      <w:r w:rsidRPr="006B42D6">
        <w:t>s, goat milk production was about 25 million litr</w:t>
      </w:r>
      <w:r w:rsidR="007242B6">
        <w:t>e</w:t>
      </w:r>
      <w:r w:rsidRPr="006B42D6">
        <w:t>s;</w:t>
      </w:r>
      <w:r w:rsidR="009077FA" w:rsidRPr="006B42D6">
        <w:t xml:space="preserve"> and</w:t>
      </w:r>
    </w:p>
    <w:p w14:paraId="33B82516" w14:textId="77777777" w:rsidR="0024189E" w:rsidRPr="0024189E" w:rsidRDefault="0024189E" w:rsidP="0024189E">
      <w:pPr>
        <w:pStyle w:val="ListParagraph"/>
        <w:spacing w:after="160" w:line="240" w:lineRule="auto"/>
        <w:ind w:left="426"/>
        <w:rPr>
          <w:sz w:val="15"/>
          <w:szCs w:val="15"/>
        </w:rPr>
      </w:pPr>
    </w:p>
    <w:p w14:paraId="379274CA" w14:textId="1AF2AD10" w:rsidR="00A6025E" w:rsidRDefault="00A6025E" w:rsidP="005C2EFC">
      <w:pPr>
        <w:pStyle w:val="ListParagraph"/>
        <w:numPr>
          <w:ilvl w:val="0"/>
          <w:numId w:val="11"/>
        </w:numPr>
        <w:spacing w:after="160" w:line="360" w:lineRule="auto"/>
        <w:ind w:left="426" w:hanging="426"/>
      </w:pPr>
      <w:r w:rsidRPr="006B42D6">
        <w:t>Methods used to control ticks for cattle, goat and sheep were spraying, dipping and smearing. The census results show that more than 70 percent of the households keeping livestock in the country, reported to use spraying method to control tick disease on cattle, goat and sheep</w:t>
      </w:r>
      <w:r w:rsidR="009077FA" w:rsidRPr="006B42D6">
        <w:t>.</w:t>
      </w:r>
    </w:p>
    <w:p w14:paraId="6AE5F4E9" w14:textId="410DEC03" w:rsidR="00DF261C" w:rsidRDefault="00DF261C">
      <w:pPr>
        <w:spacing w:line="240" w:lineRule="auto"/>
        <w:contextualSpacing w:val="0"/>
        <w:jc w:val="left"/>
      </w:pPr>
      <w:r>
        <w:br w:type="page"/>
      </w:r>
    </w:p>
    <w:p w14:paraId="4045B20B" w14:textId="13BF1172" w:rsidR="002A3B51" w:rsidRPr="006B42D6" w:rsidRDefault="009077FA" w:rsidP="00A6025E">
      <w:pPr>
        <w:pStyle w:val="Heading3"/>
      </w:pPr>
      <w:bookmarkStart w:id="908" w:name="_Toc82385822"/>
      <w:r w:rsidRPr="006B42D6">
        <w:lastRenderedPageBreak/>
        <w:t>7</w:t>
      </w:r>
      <w:r w:rsidR="002A3B51" w:rsidRPr="006B42D6">
        <w:t>.</w:t>
      </w:r>
      <w:r w:rsidR="00AC6872">
        <w:t>1</w:t>
      </w:r>
      <w:r w:rsidR="002A3B51" w:rsidRPr="006B42D6">
        <w:t>.4</w:t>
      </w:r>
      <w:r w:rsidR="002A3B51" w:rsidRPr="006B42D6">
        <w:tab/>
        <w:t xml:space="preserve">Status of Fish </w:t>
      </w:r>
      <w:r w:rsidR="00AD5A3C">
        <w:t>F</w:t>
      </w:r>
      <w:r w:rsidR="002A3B51" w:rsidRPr="006B42D6">
        <w:t>arming in Tanzania</w:t>
      </w:r>
      <w:bookmarkEnd w:id="908"/>
    </w:p>
    <w:p w14:paraId="1168D07E" w14:textId="3A737EA1" w:rsidR="00A6025E" w:rsidRDefault="00A6025E" w:rsidP="00A6025E">
      <w:pPr>
        <w:numPr>
          <w:ilvl w:val="0"/>
          <w:numId w:val="9"/>
        </w:numPr>
        <w:spacing w:after="160"/>
        <w:rPr>
          <w:rFonts w:eastAsia="SimSun"/>
        </w:rPr>
      </w:pPr>
      <w:r w:rsidRPr="006B42D6">
        <w:rPr>
          <w:rFonts w:eastAsia="SimSun"/>
          <w:lang w:eastAsia="zh-CN"/>
        </w:rPr>
        <w:t>It was reported that, more than 2</w:t>
      </w:r>
      <w:r w:rsidR="007242B6">
        <w:rPr>
          <w:rFonts w:eastAsia="SimSun"/>
          <w:lang w:eastAsia="zh-CN"/>
        </w:rPr>
        <w:t>6,000</w:t>
      </w:r>
      <w:r w:rsidRPr="006B42D6">
        <w:rPr>
          <w:rFonts w:eastAsia="SimSun"/>
          <w:lang w:eastAsia="zh-CN"/>
        </w:rPr>
        <w:t xml:space="preserve"> of smallholder households and 78 large scale farms were engaged in fish farming in the country, during the 2019/20 agricultural year;</w:t>
      </w:r>
    </w:p>
    <w:p w14:paraId="7BCDC4D2" w14:textId="77777777" w:rsidR="0024189E" w:rsidRPr="0024189E" w:rsidRDefault="0024189E" w:rsidP="0024189E">
      <w:pPr>
        <w:spacing w:after="160" w:line="240" w:lineRule="auto"/>
        <w:ind w:left="425"/>
        <w:rPr>
          <w:rFonts w:eastAsia="SimSun"/>
          <w:sz w:val="15"/>
          <w:szCs w:val="15"/>
        </w:rPr>
      </w:pPr>
    </w:p>
    <w:p w14:paraId="7D131F7A" w14:textId="2004A06E" w:rsidR="00A6025E" w:rsidRDefault="00A6025E" w:rsidP="00A6025E">
      <w:pPr>
        <w:numPr>
          <w:ilvl w:val="0"/>
          <w:numId w:val="9"/>
        </w:numPr>
        <w:spacing w:after="160"/>
        <w:rPr>
          <w:rFonts w:eastAsia="SimSun"/>
        </w:rPr>
      </w:pPr>
      <w:r w:rsidRPr="006B42D6">
        <w:rPr>
          <w:rFonts w:eastAsia="SimSun"/>
          <w:lang w:eastAsia="zh-CN"/>
        </w:rPr>
        <w:t>Tilapia stocked by the majority of smallholder households in Mainland</w:t>
      </w:r>
      <w:r w:rsidR="007155AB">
        <w:rPr>
          <w:rFonts w:eastAsia="SimSun"/>
          <w:lang w:eastAsia="zh-CN"/>
        </w:rPr>
        <w:t xml:space="preserve"> </w:t>
      </w:r>
      <w:r w:rsidR="007155AB">
        <w:t>Tanzania</w:t>
      </w:r>
      <w:r w:rsidRPr="006B42D6">
        <w:rPr>
          <w:rFonts w:eastAsia="SimSun"/>
          <w:lang w:eastAsia="zh-CN"/>
        </w:rPr>
        <w:t xml:space="preserve">, compared with other available species, accounting for 83.3 percent of the total production of fish. Milkfish was the only specie stocked by smallholder farmers and large-scale farms in </w:t>
      </w:r>
      <w:r w:rsidR="007155AB">
        <w:t>Tanzania</w:t>
      </w:r>
      <w:r w:rsidR="007155AB" w:rsidRPr="006B42D6">
        <w:rPr>
          <w:rFonts w:eastAsia="SimSun"/>
          <w:lang w:eastAsia="zh-CN"/>
        </w:rPr>
        <w:t xml:space="preserve"> </w:t>
      </w:r>
      <w:r w:rsidRPr="006B42D6">
        <w:rPr>
          <w:rFonts w:eastAsia="SimSun"/>
          <w:lang w:eastAsia="zh-CN"/>
        </w:rPr>
        <w:t>Zanzibar with total production of 12,936 tons;</w:t>
      </w:r>
      <w:r w:rsidR="009077FA" w:rsidRPr="006B42D6">
        <w:rPr>
          <w:rFonts w:eastAsia="SimSun"/>
          <w:lang w:eastAsia="zh-CN"/>
        </w:rPr>
        <w:t xml:space="preserve"> and</w:t>
      </w:r>
    </w:p>
    <w:p w14:paraId="6C8B646A" w14:textId="77777777" w:rsidR="0024189E" w:rsidRPr="0024189E" w:rsidRDefault="0024189E" w:rsidP="0024189E">
      <w:pPr>
        <w:spacing w:after="160" w:line="240" w:lineRule="auto"/>
        <w:ind w:left="425"/>
        <w:rPr>
          <w:rFonts w:eastAsia="SimSun"/>
          <w:sz w:val="15"/>
          <w:szCs w:val="15"/>
        </w:rPr>
      </w:pPr>
    </w:p>
    <w:p w14:paraId="61AB83E1" w14:textId="1FC2C14E" w:rsidR="00A6025E" w:rsidRPr="006B42D6" w:rsidRDefault="00A6025E" w:rsidP="00A6025E">
      <w:pPr>
        <w:numPr>
          <w:ilvl w:val="0"/>
          <w:numId w:val="9"/>
        </w:numPr>
        <w:spacing w:after="160"/>
        <w:rPr>
          <w:rFonts w:eastAsia="SimSun"/>
        </w:rPr>
      </w:pPr>
      <w:r w:rsidRPr="006B42D6">
        <w:rPr>
          <w:rFonts w:eastAsia="SimSun"/>
          <w:lang w:eastAsia="zh-CN"/>
        </w:rPr>
        <w:t>It has been reported that, there was an increase of more than 100</w:t>
      </w:r>
      <w:r w:rsidR="00616D21" w:rsidRPr="006B42D6">
        <w:rPr>
          <w:rFonts w:eastAsia="SimSun"/>
          <w:lang w:eastAsia="zh-CN"/>
        </w:rPr>
        <w:t xml:space="preserve"> </w:t>
      </w:r>
      <w:r w:rsidRPr="006B42D6">
        <w:rPr>
          <w:rFonts w:eastAsia="SimSun"/>
          <w:lang w:eastAsia="zh-CN"/>
        </w:rPr>
        <w:t>percent of agricultural households practicing fish farming in the country since 2007/08 NSCA</w:t>
      </w:r>
      <w:r w:rsidR="0024189E">
        <w:rPr>
          <w:rFonts w:eastAsia="SimSun"/>
          <w:lang w:eastAsia="zh-CN"/>
        </w:rPr>
        <w:t>.</w:t>
      </w:r>
    </w:p>
    <w:p w14:paraId="22D60A2C" w14:textId="77777777" w:rsidR="009077FA" w:rsidRPr="006B42D6" w:rsidRDefault="009077FA" w:rsidP="00F00389">
      <w:pPr>
        <w:spacing w:after="160" w:line="240" w:lineRule="auto"/>
        <w:ind w:left="425"/>
        <w:rPr>
          <w:rFonts w:eastAsia="SimSun"/>
        </w:rPr>
      </w:pPr>
    </w:p>
    <w:p w14:paraId="69ED5D38" w14:textId="1F1CCAB2" w:rsidR="002A3B51" w:rsidRPr="006B42D6" w:rsidRDefault="006C1D68" w:rsidP="005C2EFC">
      <w:pPr>
        <w:pStyle w:val="Heading2"/>
      </w:pPr>
      <w:bookmarkStart w:id="909" w:name="_Toc82385823"/>
      <w:r w:rsidRPr="006B42D6">
        <w:t>7</w:t>
      </w:r>
      <w:r w:rsidR="002A3B51" w:rsidRPr="006B42D6">
        <w:t>.</w:t>
      </w:r>
      <w:r w:rsidR="00AC6872">
        <w:t>2</w:t>
      </w:r>
      <w:r w:rsidR="002A3B51" w:rsidRPr="006B42D6">
        <w:tab/>
        <w:t>Recommendations</w:t>
      </w:r>
      <w:bookmarkEnd w:id="909"/>
    </w:p>
    <w:p w14:paraId="3041FA34" w14:textId="1AFF5B0B" w:rsidR="001C5890" w:rsidRPr="00454EA4" w:rsidRDefault="006C1D68" w:rsidP="00454EA4">
      <w:pPr>
        <w:pStyle w:val="Heading3"/>
      </w:pPr>
      <w:bookmarkStart w:id="910" w:name="_Toc82385824"/>
      <w:r w:rsidRPr="006B42D6">
        <w:t>7</w:t>
      </w:r>
      <w:r w:rsidR="003F5E45" w:rsidRPr="006B42D6">
        <w:t>.</w:t>
      </w:r>
      <w:r w:rsidR="00AC6872">
        <w:t>2</w:t>
      </w:r>
      <w:r w:rsidR="002A3B51" w:rsidRPr="006B42D6">
        <w:t>.1</w:t>
      </w:r>
      <w:r w:rsidR="002A3B51" w:rsidRPr="006B42D6">
        <w:tab/>
        <w:t xml:space="preserve">Crop </w:t>
      </w:r>
      <w:r w:rsidR="00AD5A3C">
        <w:t>S</w:t>
      </w:r>
      <w:r w:rsidR="002A3B51" w:rsidRPr="006B42D6">
        <w:t>ub sector</w:t>
      </w:r>
      <w:bookmarkEnd w:id="910"/>
    </w:p>
    <w:p w14:paraId="7275B61B" w14:textId="1281DF26" w:rsidR="00A6025E" w:rsidRPr="00AD5A3C" w:rsidRDefault="009F4A46" w:rsidP="00384B40">
      <w:pPr>
        <w:tabs>
          <w:tab w:val="left" w:pos="426"/>
        </w:tabs>
        <w:rPr>
          <w:b/>
        </w:rPr>
      </w:pPr>
      <w:r w:rsidRPr="006B42D6">
        <w:rPr>
          <w:b/>
        </w:rPr>
        <w:t>1.</w:t>
      </w:r>
      <w:r w:rsidRPr="006B42D6">
        <w:rPr>
          <w:b/>
        </w:rPr>
        <w:tab/>
      </w:r>
      <w:r w:rsidR="002A3B51" w:rsidRPr="006B42D6">
        <w:rPr>
          <w:b/>
        </w:rPr>
        <w:t xml:space="preserve">Crop </w:t>
      </w:r>
      <w:r w:rsidR="0037522F">
        <w:rPr>
          <w:b/>
        </w:rPr>
        <w:t>P</w:t>
      </w:r>
      <w:r w:rsidR="002A3B51" w:rsidRPr="006B42D6">
        <w:rPr>
          <w:b/>
        </w:rPr>
        <w:t>roductivity</w:t>
      </w:r>
    </w:p>
    <w:p w14:paraId="6298B258" w14:textId="5D88DB14" w:rsidR="00933EEE" w:rsidRPr="00933EEE" w:rsidRDefault="00A6025E" w:rsidP="00933EEE">
      <w:pPr>
        <w:ind w:left="426"/>
      </w:pPr>
      <w:r w:rsidRPr="006B42D6">
        <w:t xml:space="preserve">Crop productivity varied from one crop to another. In general, productivity for most crops was low compared to existing potential. </w:t>
      </w:r>
    </w:p>
    <w:p w14:paraId="07F6A561" w14:textId="3C6CB420" w:rsidR="00A6025E" w:rsidRPr="006B42D6" w:rsidRDefault="00A6025E" w:rsidP="00384B40">
      <w:pPr>
        <w:tabs>
          <w:tab w:val="left" w:pos="2268"/>
        </w:tabs>
        <w:ind w:left="2268" w:hanging="1842"/>
        <w:rPr>
          <w:i/>
        </w:rPr>
      </w:pPr>
      <w:r w:rsidRPr="006B42D6">
        <w:rPr>
          <w:i/>
        </w:rPr>
        <w:t>Recommendation</w:t>
      </w:r>
      <w:r w:rsidR="00384B40">
        <w:rPr>
          <w:i/>
        </w:rPr>
        <w:t>:</w:t>
      </w:r>
      <w:r w:rsidR="00384B40">
        <w:rPr>
          <w:i/>
        </w:rPr>
        <w:tab/>
      </w:r>
      <w:r w:rsidRPr="006B42D6">
        <w:rPr>
          <w:i/>
        </w:rPr>
        <w:t xml:space="preserve">Steps should be taken to encourage the use of </w:t>
      </w:r>
      <w:r w:rsidR="00384B40">
        <w:rPr>
          <w:i/>
        </w:rPr>
        <w:t>g</w:t>
      </w:r>
      <w:r w:rsidRPr="006B42D6">
        <w:rPr>
          <w:i/>
        </w:rPr>
        <w:t xml:space="preserve">ood </w:t>
      </w:r>
      <w:r w:rsidR="00384B40">
        <w:rPr>
          <w:i/>
        </w:rPr>
        <w:t>a</w:t>
      </w:r>
      <w:r w:rsidRPr="006B42D6">
        <w:rPr>
          <w:i/>
        </w:rPr>
        <w:t xml:space="preserve">gricultural </w:t>
      </w:r>
      <w:r w:rsidR="00384B40">
        <w:rPr>
          <w:i/>
        </w:rPr>
        <w:t>p</w:t>
      </w:r>
      <w:r w:rsidRPr="006B42D6">
        <w:rPr>
          <w:i/>
        </w:rPr>
        <w:t>ractices such as improved seeds, fertilizer application, spacing, agro-chemicals as well as market intensification which aims at increasing productivity of the crop production sub-sector in the country.</w:t>
      </w:r>
    </w:p>
    <w:p w14:paraId="2D3343AA" w14:textId="77777777" w:rsidR="002A3B51" w:rsidRPr="006B42D6" w:rsidRDefault="002A3B51" w:rsidP="00933EEE">
      <w:pPr>
        <w:spacing w:line="240" w:lineRule="auto"/>
        <w:ind w:left="1843" w:hanging="1843"/>
        <w:rPr>
          <w:i/>
        </w:rPr>
      </w:pPr>
    </w:p>
    <w:p w14:paraId="690DBF1A" w14:textId="77777777" w:rsidR="00DC1246" w:rsidRDefault="009F4A46" w:rsidP="00DC1246">
      <w:pPr>
        <w:tabs>
          <w:tab w:val="left" w:pos="426"/>
          <w:tab w:val="left" w:pos="993"/>
        </w:tabs>
        <w:rPr>
          <w:b/>
        </w:rPr>
      </w:pPr>
      <w:r w:rsidRPr="006B42D6">
        <w:rPr>
          <w:b/>
        </w:rPr>
        <w:t>2</w:t>
      </w:r>
      <w:r w:rsidR="0037522F">
        <w:rPr>
          <w:b/>
        </w:rPr>
        <w:t>.</w:t>
      </w:r>
      <w:r w:rsidRPr="006B42D6">
        <w:rPr>
          <w:b/>
        </w:rPr>
        <w:tab/>
      </w:r>
      <w:r w:rsidR="002A3B51" w:rsidRPr="006B42D6">
        <w:rPr>
          <w:b/>
        </w:rPr>
        <w:t xml:space="preserve">Use of </w:t>
      </w:r>
      <w:r w:rsidR="0037522F">
        <w:rPr>
          <w:b/>
        </w:rPr>
        <w:t>I</w:t>
      </w:r>
      <w:r w:rsidR="002A3B51" w:rsidRPr="006B42D6">
        <w:rPr>
          <w:b/>
        </w:rPr>
        <w:t xml:space="preserve">nputs </w:t>
      </w:r>
    </w:p>
    <w:p w14:paraId="4E3CD2FD" w14:textId="3150A6A8" w:rsidR="00DC1246" w:rsidRDefault="00DC1246" w:rsidP="00DC1246">
      <w:pPr>
        <w:tabs>
          <w:tab w:val="left" w:pos="426"/>
          <w:tab w:val="left" w:pos="993"/>
        </w:tabs>
        <w:ind w:left="420" w:hanging="420"/>
      </w:pPr>
      <w:r>
        <w:t>i).</w:t>
      </w:r>
      <w:r>
        <w:tab/>
      </w:r>
      <w:r w:rsidR="00A6025E" w:rsidRPr="006B42D6">
        <w:t>Generally, the use of inputs including improved seeds, fertilizers and pesticides is low (less than 30 percent of planted area) and it varied across regions. Of these inputs, fertilizers were most widely used (26.6 percent of planted areas was applied with fertilizers). However, proportion of area applied with inorganic and organic fertilizers is almost the same (51.4 percent and 49.6 percent for inorganic and organic fertilizers respectively). Also, albeit the use of pesticides was rather limited, most households used more insecticides than fungicides and herbicides.</w:t>
      </w:r>
    </w:p>
    <w:p w14:paraId="7E163CBD" w14:textId="77777777" w:rsidR="00DC1246" w:rsidRPr="00DC1246" w:rsidRDefault="00DC1246" w:rsidP="00DC1246">
      <w:pPr>
        <w:tabs>
          <w:tab w:val="left" w:pos="426"/>
          <w:tab w:val="left" w:pos="993"/>
        </w:tabs>
        <w:spacing w:line="240" w:lineRule="auto"/>
        <w:ind w:left="420" w:hanging="420"/>
        <w:rPr>
          <w:sz w:val="10"/>
          <w:szCs w:val="10"/>
        </w:rPr>
      </w:pPr>
    </w:p>
    <w:p w14:paraId="637ACCF3" w14:textId="4750952D" w:rsidR="00A6025E" w:rsidRDefault="00A6025E" w:rsidP="00DC1246">
      <w:pPr>
        <w:tabs>
          <w:tab w:val="left" w:pos="2410"/>
          <w:tab w:val="left" w:pos="2694"/>
        </w:tabs>
        <w:ind w:left="2410" w:hanging="1984"/>
        <w:rPr>
          <w:i/>
        </w:rPr>
      </w:pPr>
      <w:r w:rsidRPr="006B42D6">
        <w:rPr>
          <w:i/>
        </w:rPr>
        <w:t>Recommendation</w:t>
      </w:r>
      <w:r w:rsidR="00384B40">
        <w:rPr>
          <w:i/>
        </w:rPr>
        <w:t>:</w:t>
      </w:r>
      <w:r w:rsidR="00384B40">
        <w:rPr>
          <w:i/>
        </w:rPr>
        <w:tab/>
      </w:r>
      <w:r w:rsidRPr="006B42D6">
        <w:rPr>
          <w:i/>
        </w:rPr>
        <w:t xml:space="preserve">Use of improved seeds, fertilizers and pesticides inputs is </w:t>
      </w:r>
      <w:r w:rsidR="007242B6">
        <w:rPr>
          <w:i/>
        </w:rPr>
        <w:t xml:space="preserve">essential </w:t>
      </w:r>
      <w:r w:rsidRPr="006B42D6">
        <w:rPr>
          <w:i/>
        </w:rPr>
        <w:t>for</w:t>
      </w:r>
      <w:r w:rsidR="00384B40">
        <w:rPr>
          <w:i/>
        </w:rPr>
        <w:t xml:space="preserve"> </w:t>
      </w:r>
      <w:r w:rsidRPr="006B42D6">
        <w:rPr>
          <w:i/>
        </w:rPr>
        <w:t xml:space="preserve">enhancing crop productivity under smallholder farming setting countrywide. Hence timely availability and access of these inputs is very critical in addressing the prevailing challenge. </w:t>
      </w:r>
    </w:p>
    <w:p w14:paraId="28F66722" w14:textId="64BD7DEC" w:rsidR="002A3B51" w:rsidRPr="00DC1246" w:rsidRDefault="00DC1246" w:rsidP="00DC1246">
      <w:pPr>
        <w:tabs>
          <w:tab w:val="left" w:pos="426"/>
        </w:tabs>
        <w:spacing w:after="160"/>
      </w:pPr>
      <w:r>
        <w:lastRenderedPageBreak/>
        <w:t>ii).</w:t>
      </w:r>
      <w:r>
        <w:tab/>
      </w:r>
      <w:r w:rsidR="002A3B51" w:rsidRPr="00DC1246">
        <w:t xml:space="preserve">More efforts should be put in place to increase the timely availability/access of </w:t>
      </w:r>
      <w:r w:rsidR="007242B6" w:rsidRPr="00DC1246">
        <w:t>inputs</w:t>
      </w:r>
      <w:r w:rsidR="002A3B51" w:rsidRPr="00DC1246">
        <w:t xml:space="preserve"> in the </w:t>
      </w:r>
      <w:r>
        <w:tab/>
      </w:r>
      <w:r w:rsidR="002A3B51" w:rsidRPr="00DC1246">
        <w:t>country, which might promote the use of it for crop production by smallholder farmers</w:t>
      </w:r>
      <w:r>
        <w:t>.</w:t>
      </w:r>
    </w:p>
    <w:p w14:paraId="0FDF54BA" w14:textId="77777777" w:rsidR="002A3B51" w:rsidRPr="00933EEE" w:rsidRDefault="002A3B51" w:rsidP="00933EEE">
      <w:pPr>
        <w:spacing w:line="240" w:lineRule="auto"/>
        <w:ind w:left="1843" w:hanging="1843"/>
      </w:pPr>
    </w:p>
    <w:p w14:paraId="6CED194E" w14:textId="66BFF5CD" w:rsidR="001C5890" w:rsidRPr="00454EA4" w:rsidRDefault="009F4A46" w:rsidP="00454EA4">
      <w:pPr>
        <w:tabs>
          <w:tab w:val="left" w:pos="426"/>
          <w:tab w:val="left" w:pos="993"/>
        </w:tabs>
        <w:rPr>
          <w:b/>
        </w:rPr>
      </w:pPr>
      <w:r w:rsidRPr="006B42D6">
        <w:rPr>
          <w:b/>
        </w:rPr>
        <w:t>3</w:t>
      </w:r>
      <w:r w:rsidR="0037522F">
        <w:rPr>
          <w:b/>
        </w:rPr>
        <w:t>.</w:t>
      </w:r>
      <w:r w:rsidRPr="006B42D6">
        <w:rPr>
          <w:b/>
        </w:rPr>
        <w:tab/>
      </w:r>
      <w:r w:rsidR="002A3B51" w:rsidRPr="006B42D6">
        <w:rPr>
          <w:b/>
        </w:rPr>
        <w:t xml:space="preserve">Access to </w:t>
      </w:r>
      <w:r w:rsidR="00AD5A3C">
        <w:rPr>
          <w:b/>
        </w:rPr>
        <w:t>L</w:t>
      </w:r>
      <w:r w:rsidR="002A3B51" w:rsidRPr="006B42D6">
        <w:rPr>
          <w:b/>
        </w:rPr>
        <w:t>and</w:t>
      </w:r>
    </w:p>
    <w:p w14:paraId="40B0E689" w14:textId="26A83CF1" w:rsidR="00933EEE" w:rsidRPr="006B42D6" w:rsidRDefault="00A6025E" w:rsidP="00933EEE">
      <w:pPr>
        <w:tabs>
          <w:tab w:val="left" w:pos="851"/>
        </w:tabs>
        <w:ind w:left="426"/>
      </w:pPr>
      <w:r w:rsidRPr="006B42D6">
        <w:t>Majority of households reported insufficient access to land. The high proportion of households reporting land insufficiency is consistent with the low average land available per household (2.7 ha). Land scarcity was most acute in Arusha, Rukwa, Katavi and Simiyu regions where more than 80</w:t>
      </w:r>
      <w:r w:rsidR="00A90704">
        <w:t xml:space="preserve"> percent</w:t>
      </w:r>
      <w:r w:rsidRPr="006B42D6">
        <w:t xml:space="preserve"> of the households reported land insufficiency.  </w:t>
      </w:r>
    </w:p>
    <w:p w14:paraId="4D0BEEA5" w14:textId="673EF665" w:rsidR="002A3B51" w:rsidRPr="006B42D6" w:rsidRDefault="00A6025E" w:rsidP="00933EEE">
      <w:pPr>
        <w:tabs>
          <w:tab w:val="left" w:pos="2127"/>
          <w:tab w:val="left" w:pos="2268"/>
          <w:tab w:val="left" w:pos="2552"/>
        </w:tabs>
        <w:ind w:left="2266" w:hanging="1840"/>
        <w:rPr>
          <w:i/>
        </w:rPr>
      </w:pPr>
      <w:r w:rsidRPr="006B42D6">
        <w:rPr>
          <w:i/>
        </w:rPr>
        <w:t>Recommendation</w:t>
      </w:r>
      <w:r w:rsidR="00384B40">
        <w:rPr>
          <w:i/>
        </w:rPr>
        <w:t>:</w:t>
      </w:r>
      <w:r w:rsidR="00384B40">
        <w:rPr>
          <w:i/>
        </w:rPr>
        <w:tab/>
      </w:r>
      <w:r w:rsidRPr="006B42D6">
        <w:rPr>
          <w:i/>
        </w:rPr>
        <w:t xml:space="preserve">Government should work out a strategy to overcome land insufficiency </w:t>
      </w:r>
      <w:r w:rsidR="00933EEE">
        <w:rPr>
          <w:i/>
        </w:rPr>
        <w:tab/>
      </w:r>
      <w:r w:rsidRPr="006B42D6">
        <w:rPr>
          <w:i/>
        </w:rPr>
        <w:t xml:space="preserve">especially in regions with acute problem of land scarcity. Methodologies for increasing crop production should concentrate more on crop intensification rather than increasing area under cultivation. </w:t>
      </w:r>
    </w:p>
    <w:p w14:paraId="099B1041" w14:textId="77777777" w:rsidR="00454EA4" w:rsidRDefault="00454EA4" w:rsidP="00454EA4">
      <w:pPr>
        <w:tabs>
          <w:tab w:val="left" w:pos="426"/>
          <w:tab w:val="left" w:pos="993"/>
        </w:tabs>
        <w:rPr>
          <w:b/>
        </w:rPr>
      </w:pPr>
    </w:p>
    <w:p w14:paraId="452CB0C1" w14:textId="6D459BA0" w:rsidR="001C5890" w:rsidRPr="00454EA4" w:rsidRDefault="009F4A46" w:rsidP="00454EA4">
      <w:pPr>
        <w:tabs>
          <w:tab w:val="left" w:pos="426"/>
          <w:tab w:val="left" w:pos="993"/>
        </w:tabs>
        <w:rPr>
          <w:b/>
        </w:rPr>
      </w:pPr>
      <w:r w:rsidRPr="006B42D6">
        <w:rPr>
          <w:b/>
        </w:rPr>
        <w:t>4</w:t>
      </w:r>
      <w:r w:rsidR="0037522F">
        <w:rPr>
          <w:b/>
        </w:rPr>
        <w:t>.</w:t>
      </w:r>
      <w:r w:rsidRPr="006B42D6">
        <w:rPr>
          <w:b/>
        </w:rPr>
        <w:tab/>
      </w:r>
      <w:r w:rsidR="002A3B51" w:rsidRPr="006B42D6">
        <w:rPr>
          <w:b/>
        </w:rPr>
        <w:t xml:space="preserve">Irrigation </w:t>
      </w:r>
      <w:r w:rsidR="007242B6">
        <w:rPr>
          <w:b/>
        </w:rPr>
        <w:t>F</w:t>
      </w:r>
      <w:r w:rsidR="002A3B51" w:rsidRPr="006B42D6">
        <w:rPr>
          <w:b/>
        </w:rPr>
        <w:t>arming</w:t>
      </w:r>
    </w:p>
    <w:p w14:paraId="46336A25" w14:textId="4F711ECB" w:rsidR="00A6025E" w:rsidRDefault="00A6025E" w:rsidP="00A90704">
      <w:pPr>
        <w:tabs>
          <w:tab w:val="left" w:pos="426"/>
          <w:tab w:val="left" w:pos="567"/>
          <w:tab w:val="left" w:pos="851"/>
        </w:tabs>
      </w:pPr>
      <w:r w:rsidRPr="006B42D6">
        <w:t xml:space="preserve">Only a small proportion of crop land (2.5 percent of planted area) was irrigated. Consequently, benefits of using productivity enhancing inputs such as improved seeds, fertilizers and pesticides are not fully exploited. </w:t>
      </w:r>
    </w:p>
    <w:p w14:paraId="3CCAEBE5" w14:textId="77777777" w:rsidR="00384B40" w:rsidRPr="00384B40" w:rsidRDefault="00384B40" w:rsidP="00384B40">
      <w:pPr>
        <w:tabs>
          <w:tab w:val="left" w:pos="426"/>
          <w:tab w:val="left" w:pos="567"/>
          <w:tab w:val="left" w:pos="851"/>
        </w:tabs>
        <w:spacing w:before="100" w:beforeAutospacing="1" w:line="240" w:lineRule="auto"/>
        <w:ind w:firstLine="425"/>
        <w:rPr>
          <w:sz w:val="10"/>
          <w:szCs w:val="10"/>
        </w:rPr>
      </w:pPr>
    </w:p>
    <w:p w14:paraId="3D7BEC00" w14:textId="43DEE6B9" w:rsidR="00A6025E" w:rsidRPr="006B42D6" w:rsidRDefault="00A6025E" w:rsidP="00933EEE">
      <w:pPr>
        <w:tabs>
          <w:tab w:val="left" w:pos="2268"/>
        </w:tabs>
        <w:ind w:left="2127" w:hanging="1701"/>
        <w:rPr>
          <w:i/>
        </w:rPr>
      </w:pPr>
      <w:r w:rsidRPr="006B42D6">
        <w:rPr>
          <w:i/>
        </w:rPr>
        <w:t>Recommendation</w:t>
      </w:r>
      <w:r w:rsidR="00384B40">
        <w:rPr>
          <w:i/>
        </w:rPr>
        <w:t>:</w:t>
      </w:r>
      <w:r w:rsidR="00384B40">
        <w:rPr>
          <w:i/>
        </w:rPr>
        <w:tab/>
      </w:r>
      <w:r w:rsidRPr="006B42D6">
        <w:rPr>
          <w:i/>
        </w:rPr>
        <w:t xml:space="preserve">Efforts must be made to ensure expansion of irrigation facilities and </w:t>
      </w:r>
      <w:r w:rsidR="00384B40">
        <w:rPr>
          <w:i/>
        </w:rPr>
        <w:tab/>
      </w:r>
      <w:r w:rsidRPr="006B42D6">
        <w:rPr>
          <w:i/>
        </w:rPr>
        <w:t>development of new ones in order to assure that majority of farmers have access to these facilities</w:t>
      </w:r>
    </w:p>
    <w:p w14:paraId="2FE95B85" w14:textId="77777777" w:rsidR="00A6025E" w:rsidRPr="006B42D6" w:rsidRDefault="00A6025E" w:rsidP="00933EEE">
      <w:pPr>
        <w:spacing w:line="240" w:lineRule="auto"/>
        <w:ind w:left="1701" w:hanging="1701"/>
        <w:rPr>
          <w:i/>
        </w:rPr>
      </w:pPr>
    </w:p>
    <w:p w14:paraId="4C798E1A" w14:textId="4364D256" w:rsidR="001C5890" w:rsidRPr="00454EA4" w:rsidRDefault="009F4A46" w:rsidP="00454EA4">
      <w:pPr>
        <w:tabs>
          <w:tab w:val="left" w:pos="426"/>
          <w:tab w:val="left" w:pos="993"/>
        </w:tabs>
        <w:rPr>
          <w:b/>
        </w:rPr>
      </w:pPr>
      <w:r w:rsidRPr="006B42D6">
        <w:rPr>
          <w:b/>
        </w:rPr>
        <w:t>5</w:t>
      </w:r>
      <w:r w:rsidR="0037522F">
        <w:rPr>
          <w:b/>
        </w:rPr>
        <w:t>.</w:t>
      </w:r>
      <w:r w:rsidRPr="006B42D6">
        <w:rPr>
          <w:b/>
        </w:rPr>
        <w:tab/>
      </w:r>
      <w:r w:rsidR="002A3B51" w:rsidRPr="006B42D6">
        <w:rPr>
          <w:b/>
        </w:rPr>
        <w:t xml:space="preserve">Access to </w:t>
      </w:r>
      <w:r w:rsidR="00AD5A3C">
        <w:rPr>
          <w:b/>
        </w:rPr>
        <w:t>E</w:t>
      </w:r>
      <w:r w:rsidR="002A3B51" w:rsidRPr="006B42D6">
        <w:rPr>
          <w:b/>
        </w:rPr>
        <w:t xml:space="preserve">xtension </w:t>
      </w:r>
      <w:r w:rsidR="00AD5A3C">
        <w:rPr>
          <w:b/>
        </w:rPr>
        <w:t>S</w:t>
      </w:r>
      <w:r w:rsidR="002A3B51" w:rsidRPr="006B42D6">
        <w:rPr>
          <w:b/>
        </w:rPr>
        <w:t>ervices</w:t>
      </w:r>
    </w:p>
    <w:p w14:paraId="130469C5" w14:textId="72129F2B" w:rsidR="00A6025E" w:rsidRDefault="00A6025E" w:rsidP="00A90704">
      <w:pPr>
        <w:tabs>
          <w:tab w:val="left" w:pos="426"/>
          <w:tab w:val="left" w:pos="567"/>
        </w:tabs>
      </w:pPr>
      <w:r w:rsidRPr="006B42D6">
        <w:t>In general, almost all regions, access to extension services was rather limited, with less than 1</w:t>
      </w:r>
      <w:r w:rsidR="007242B6">
        <w:t>0</w:t>
      </w:r>
      <w:r w:rsidRPr="006B42D6">
        <w:t xml:space="preserve"> percent of the smallholder farmers receiving extension service advices. Nevertheless, Public staff provided the main source of extension advice to smallholder farmers. </w:t>
      </w:r>
    </w:p>
    <w:p w14:paraId="0CD78639" w14:textId="77777777" w:rsidR="00384B40" w:rsidRPr="00384B40" w:rsidRDefault="00384B40" w:rsidP="00384B40">
      <w:pPr>
        <w:tabs>
          <w:tab w:val="left" w:pos="426"/>
          <w:tab w:val="left" w:pos="567"/>
        </w:tabs>
        <w:ind w:firstLine="426"/>
        <w:rPr>
          <w:sz w:val="10"/>
          <w:szCs w:val="10"/>
        </w:rPr>
      </w:pPr>
    </w:p>
    <w:p w14:paraId="2B5A6802" w14:textId="41B73A6C" w:rsidR="00A6025E" w:rsidRPr="006B42D6" w:rsidRDefault="00A6025E" w:rsidP="00933EEE">
      <w:pPr>
        <w:tabs>
          <w:tab w:val="left" w:pos="2268"/>
          <w:tab w:val="left" w:pos="2552"/>
        </w:tabs>
        <w:ind w:left="2266" w:hanging="1840"/>
        <w:rPr>
          <w:i/>
        </w:rPr>
      </w:pPr>
      <w:r w:rsidRPr="006B42D6">
        <w:rPr>
          <w:i/>
        </w:rPr>
        <w:t>Recommendation</w:t>
      </w:r>
      <w:r w:rsidR="00384B40">
        <w:rPr>
          <w:i/>
        </w:rPr>
        <w:t>:</w:t>
      </w:r>
      <w:r w:rsidR="00384B40">
        <w:rPr>
          <w:i/>
        </w:rPr>
        <w:tab/>
      </w:r>
      <w:r w:rsidRPr="006B42D6">
        <w:rPr>
          <w:i/>
        </w:rPr>
        <w:t xml:space="preserve">Besides enhancing access to extension services, </w:t>
      </w:r>
      <w:r w:rsidRPr="006B42D6">
        <w:rPr>
          <w:rFonts w:eastAsia="SimSun"/>
          <w:i/>
          <w:lang w:eastAsia="zh-CN"/>
        </w:rPr>
        <w:t xml:space="preserve">joint participation of </w:t>
      </w:r>
      <w:r w:rsidR="00384B40">
        <w:rPr>
          <w:rFonts w:eastAsia="SimSun"/>
          <w:i/>
          <w:lang w:eastAsia="zh-CN"/>
        </w:rPr>
        <w:tab/>
      </w:r>
      <w:r w:rsidRPr="006B42D6">
        <w:rPr>
          <w:rFonts w:eastAsia="SimSun"/>
          <w:i/>
          <w:lang w:eastAsia="zh-CN"/>
        </w:rPr>
        <w:t xml:space="preserve">government and private sector in providing </w:t>
      </w:r>
      <w:r w:rsidRPr="006B42D6">
        <w:rPr>
          <w:i/>
        </w:rPr>
        <w:t xml:space="preserve">extension service should aim to improve the quality of its services to ensure increased adoption of improved practices for increased crop productivity. </w:t>
      </w:r>
    </w:p>
    <w:p w14:paraId="7D2D8C29" w14:textId="485206FB" w:rsidR="00A6025E" w:rsidRPr="006B42D6" w:rsidRDefault="006C1D68" w:rsidP="00AD5A3C">
      <w:pPr>
        <w:pStyle w:val="Heading3"/>
      </w:pPr>
      <w:bookmarkStart w:id="911" w:name="_Toc82385825"/>
      <w:r w:rsidRPr="006B42D6">
        <w:lastRenderedPageBreak/>
        <w:t>7</w:t>
      </w:r>
      <w:r w:rsidR="002A3B51" w:rsidRPr="006B42D6">
        <w:t>.</w:t>
      </w:r>
      <w:r w:rsidR="00E773D7">
        <w:t>3</w:t>
      </w:r>
      <w:r w:rsidR="002A3B51" w:rsidRPr="006B42D6">
        <w:t>.2</w:t>
      </w:r>
      <w:r w:rsidR="002A3B51" w:rsidRPr="006B42D6">
        <w:tab/>
        <w:t xml:space="preserve">Livestock </w:t>
      </w:r>
      <w:r w:rsidR="00AD5A3C">
        <w:t>S</w:t>
      </w:r>
      <w:r w:rsidR="002A3B51" w:rsidRPr="006B42D6">
        <w:t>ub sector</w:t>
      </w:r>
      <w:bookmarkEnd w:id="911"/>
    </w:p>
    <w:p w14:paraId="658DFBDC" w14:textId="0D7E9C64" w:rsidR="00A6025E" w:rsidRDefault="007242B6" w:rsidP="00A6025E">
      <w:pPr>
        <w:numPr>
          <w:ilvl w:val="0"/>
          <w:numId w:val="13"/>
        </w:numPr>
        <w:spacing w:after="160"/>
        <w:rPr>
          <w:rFonts w:eastAsia="SimSun"/>
        </w:rPr>
      </w:pPr>
      <w:r>
        <w:rPr>
          <w:rFonts w:eastAsia="SimSun"/>
          <w:lang w:eastAsia="zh-CN"/>
        </w:rPr>
        <w:t>Based on</w:t>
      </w:r>
      <w:r w:rsidR="00A6025E" w:rsidRPr="006B42D6">
        <w:rPr>
          <w:rFonts w:eastAsia="SimSun"/>
          <w:lang w:eastAsia="zh-CN"/>
        </w:rPr>
        <w:t xml:space="preserve"> the decrease of number of agricultural households engaged in pastoralism in the country</w:t>
      </w:r>
      <w:r>
        <w:rPr>
          <w:rFonts w:eastAsia="SimSun"/>
          <w:lang w:eastAsia="zh-CN"/>
        </w:rPr>
        <w:t>, the Government should keep on promoting commercial livestock industry;</w:t>
      </w:r>
    </w:p>
    <w:p w14:paraId="4D424DA4" w14:textId="77777777" w:rsidR="0024189E" w:rsidRPr="0024189E" w:rsidRDefault="0024189E" w:rsidP="0024189E">
      <w:pPr>
        <w:spacing w:after="160" w:line="240" w:lineRule="auto"/>
        <w:ind w:left="425"/>
        <w:rPr>
          <w:rFonts w:eastAsia="SimSun"/>
          <w:sz w:val="13"/>
          <w:szCs w:val="13"/>
        </w:rPr>
      </w:pPr>
    </w:p>
    <w:p w14:paraId="13042016" w14:textId="3013F95B" w:rsidR="00A6025E" w:rsidRDefault="00153FCC" w:rsidP="00A6025E">
      <w:pPr>
        <w:numPr>
          <w:ilvl w:val="0"/>
          <w:numId w:val="13"/>
        </w:numPr>
        <w:spacing w:after="160"/>
        <w:rPr>
          <w:rFonts w:eastAsia="SimSun"/>
        </w:rPr>
      </w:pPr>
      <w:r>
        <w:rPr>
          <w:rFonts w:eastAsia="SimSun"/>
          <w:lang w:eastAsia="zh-CN"/>
        </w:rPr>
        <w:t xml:space="preserve">About 50 percent of the cattle keeping housholds used the recommended method of identification (branding and earings). Therefore, </w:t>
      </w:r>
      <w:r w:rsidRPr="00F70275">
        <w:rPr>
          <w:rFonts w:eastAsia="SimSun"/>
          <w:lang w:eastAsia="zh-CN"/>
        </w:rPr>
        <w:t xml:space="preserve">Government efforts </w:t>
      </w:r>
      <w:r>
        <w:rPr>
          <w:rFonts w:eastAsia="SimSun"/>
          <w:lang w:eastAsia="zh-CN"/>
        </w:rPr>
        <w:t>on</w:t>
      </w:r>
      <w:r w:rsidRPr="00F70275">
        <w:rPr>
          <w:rFonts w:eastAsia="SimSun"/>
          <w:lang w:eastAsia="zh-CN"/>
        </w:rPr>
        <w:t xml:space="preserve"> increasing awareness</w:t>
      </w:r>
      <w:r>
        <w:rPr>
          <w:rFonts w:eastAsia="SimSun"/>
          <w:lang w:eastAsia="zh-CN"/>
        </w:rPr>
        <w:t xml:space="preserve">of identification </w:t>
      </w:r>
      <w:r w:rsidRPr="00F70275">
        <w:rPr>
          <w:rFonts w:eastAsia="SimSun"/>
          <w:lang w:eastAsia="zh-CN"/>
        </w:rPr>
        <w:t xml:space="preserve">of livestock </w:t>
      </w:r>
      <w:r>
        <w:rPr>
          <w:rFonts w:eastAsia="SimSun"/>
          <w:lang w:eastAsia="zh-CN"/>
        </w:rPr>
        <w:t>to</w:t>
      </w:r>
      <w:r w:rsidRPr="00F70275">
        <w:rPr>
          <w:rFonts w:eastAsia="SimSun"/>
          <w:lang w:eastAsia="zh-CN"/>
        </w:rPr>
        <w:t xml:space="preserve"> livestock keeping households should be enhanced in line with </w:t>
      </w:r>
      <w:r w:rsidR="007F0463">
        <w:rPr>
          <w:rFonts w:eastAsia="SimSun"/>
          <w:lang w:eastAsia="zh-CN"/>
        </w:rPr>
        <w:t>“</w:t>
      </w:r>
      <w:r w:rsidRPr="007F0463">
        <w:rPr>
          <w:rFonts w:eastAsia="SimSun"/>
          <w:i/>
          <w:lang w:eastAsia="zh-CN"/>
        </w:rPr>
        <w:t>The Livestock Identification, Registration and Traceability Act, 2010</w:t>
      </w:r>
      <w:r w:rsidR="007F0463">
        <w:rPr>
          <w:rFonts w:eastAsia="SimSun"/>
          <w:i/>
          <w:lang w:eastAsia="zh-CN"/>
        </w:rPr>
        <w:t>”</w:t>
      </w:r>
      <w:r w:rsidR="00751597" w:rsidRPr="00DF261C">
        <w:rPr>
          <w:rFonts w:eastAsia="SimSun"/>
          <w:lang w:eastAsia="zh-CN"/>
        </w:rPr>
        <w:t xml:space="preserve">; </w:t>
      </w:r>
      <w:r w:rsidR="00F17826" w:rsidRPr="00DF261C">
        <w:rPr>
          <w:rFonts w:eastAsia="SimSun"/>
          <w:lang w:eastAsia="zh-CN"/>
        </w:rPr>
        <w:t>and</w:t>
      </w:r>
    </w:p>
    <w:p w14:paraId="176B8A49" w14:textId="77777777" w:rsidR="0024189E" w:rsidRPr="0024189E" w:rsidRDefault="0024189E" w:rsidP="0024189E">
      <w:pPr>
        <w:spacing w:after="160"/>
        <w:ind w:left="425"/>
        <w:rPr>
          <w:rFonts w:eastAsia="SimSun"/>
          <w:sz w:val="13"/>
          <w:szCs w:val="13"/>
        </w:rPr>
      </w:pPr>
    </w:p>
    <w:p w14:paraId="3795093E" w14:textId="2943A9E6" w:rsidR="00153FCC" w:rsidRPr="006B42D6" w:rsidRDefault="00153FCC" w:rsidP="00A6025E">
      <w:pPr>
        <w:numPr>
          <w:ilvl w:val="0"/>
          <w:numId w:val="13"/>
        </w:numPr>
        <w:spacing w:after="160"/>
        <w:rPr>
          <w:rFonts w:eastAsia="SimSun"/>
        </w:rPr>
      </w:pPr>
      <w:r>
        <w:rPr>
          <w:rFonts w:eastAsia="SimSun"/>
          <w:lang w:eastAsia="zh-CN"/>
        </w:rPr>
        <w:t xml:space="preserve">Despite the Government effort towards establishing milk collection centres, census results, revealed that about 10 percent of the households used milk collection centre to sell their milk. Therefore, </w:t>
      </w:r>
      <w:r w:rsidRPr="00F70275">
        <w:rPr>
          <w:rFonts w:eastAsia="SimSun"/>
          <w:lang w:eastAsia="zh-CN"/>
        </w:rPr>
        <w:t xml:space="preserve">Government </w:t>
      </w:r>
      <w:r>
        <w:rPr>
          <w:rFonts w:eastAsia="SimSun"/>
          <w:lang w:eastAsia="zh-CN"/>
        </w:rPr>
        <w:t xml:space="preserve">should continue with its </w:t>
      </w:r>
      <w:r w:rsidRPr="00F70275">
        <w:rPr>
          <w:rFonts w:eastAsia="SimSun"/>
          <w:lang w:eastAsia="zh-CN"/>
        </w:rPr>
        <w:t xml:space="preserve">efforts </w:t>
      </w:r>
      <w:r>
        <w:rPr>
          <w:rFonts w:eastAsia="SimSun"/>
          <w:lang w:eastAsia="zh-CN"/>
        </w:rPr>
        <w:t>to creat awareness and promote the use of</w:t>
      </w:r>
      <w:r w:rsidRPr="00F70275">
        <w:rPr>
          <w:rFonts w:eastAsia="SimSun"/>
          <w:lang w:eastAsia="zh-CN"/>
        </w:rPr>
        <w:t xml:space="preserve"> </w:t>
      </w:r>
      <w:r>
        <w:rPr>
          <w:rFonts w:eastAsia="SimSun"/>
          <w:lang w:eastAsia="zh-CN"/>
        </w:rPr>
        <w:t>milk collection centre system so as to commercialise milk industry</w:t>
      </w:r>
      <w:r w:rsidR="00F17826">
        <w:rPr>
          <w:rFonts w:eastAsia="SimSun"/>
          <w:lang w:eastAsia="zh-CN"/>
        </w:rPr>
        <w:t>.</w:t>
      </w:r>
    </w:p>
    <w:p w14:paraId="2EFFF4BD" w14:textId="0E1FD4C5" w:rsidR="002A3B51" w:rsidRPr="006B42D6" w:rsidRDefault="006C1D68" w:rsidP="005C2EFC">
      <w:pPr>
        <w:pStyle w:val="Heading3"/>
      </w:pPr>
      <w:bookmarkStart w:id="912" w:name="_Toc82385826"/>
      <w:r w:rsidRPr="006B42D6">
        <w:t>7</w:t>
      </w:r>
      <w:r w:rsidR="002A3B51" w:rsidRPr="006B42D6">
        <w:t>.</w:t>
      </w:r>
      <w:r w:rsidR="00AC6872">
        <w:t>2</w:t>
      </w:r>
      <w:r w:rsidR="002A3B51" w:rsidRPr="006B42D6">
        <w:t>.3</w:t>
      </w:r>
      <w:r w:rsidR="002A3B51" w:rsidRPr="006B42D6">
        <w:tab/>
        <w:t xml:space="preserve">Fish </w:t>
      </w:r>
      <w:r w:rsidR="00AD5A3C">
        <w:t>F</w:t>
      </w:r>
      <w:r w:rsidR="002A3B51" w:rsidRPr="006B42D6">
        <w:t>arming</w:t>
      </w:r>
      <w:bookmarkEnd w:id="912"/>
    </w:p>
    <w:p w14:paraId="25BFF624" w14:textId="3031A0BE" w:rsidR="00087547" w:rsidRDefault="00153FCC" w:rsidP="00DE41C4">
      <w:pPr>
        <w:spacing w:after="160"/>
        <w:ind w:left="425"/>
        <w:contextualSpacing w:val="0"/>
        <w:rPr>
          <w:rFonts w:eastAsia="SimSun"/>
          <w:lang w:eastAsia="zh-CN"/>
        </w:rPr>
      </w:pPr>
      <w:r>
        <w:rPr>
          <w:rFonts w:eastAsia="SimSun"/>
          <w:lang w:eastAsia="zh-CN"/>
        </w:rPr>
        <w:t>Despite th</w:t>
      </w:r>
      <w:r w:rsidRPr="00A218E3">
        <w:rPr>
          <w:rFonts w:eastAsia="SimSun"/>
          <w:lang w:eastAsia="zh-CN"/>
        </w:rPr>
        <w:t>e increase of more than 100</w:t>
      </w:r>
      <w:r>
        <w:rPr>
          <w:rFonts w:eastAsia="SimSun"/>
          <w:lang w:eastAsia="zh-CN"/>
        </w:rPr>
        <w:t xml:space="preserve"> </w:t>
      </w:r>
      <w:r w:rsidRPr="00A218E3">
        <w:rPr>
          <w:rFonts w:eastAsia="SimSun"/>
          <w:lang w:eastAsia="zh-CN"/>
        </w:rPr>
        <w:t>percent of agricultural households practicing fish farming in the country since 2007/08 NSCA</w:t>
      </w:r>
      <w:r>
        <w:rPr>
          <w:rFonts w:eastAsia="SimSun"/>
          <w:lang w:eastAsia="zh-CN"/>
        </w:rPr>
        <w:t xml:space="preserve">, more </w:t>
      </w:r>
      <w:r w:rsidRPr="00F70275">
        <w:rPr>
          <w:rFonts w:eastAsia="SimSun"/>
          <w:lang w:eastAsia="zh-CN"/>
        </w:rPr>
        <w:t xml:space="preserve">efforts </w:t>
      </w:r>
      <w:r>
        <w:rPr>
          <w:rFonts w:eastAsia="SimSun"/>
          <w:lang w:eastAsia="zh-CN"/>
        </w:rPr>
        <w:t>to create awareness and promote commercial aquaculture to</w:t>
      </w:r>
      <w:r w:rsidRPr="00A218E3">
        <w:rPr>
          <w:rFonts w:eastAsia="SimSun"/>
          <w:lang w:eastAsia="zh-CN"/>
        </w:rPr>
        <w:t xml:space="preserve"> </w:t>
      </w:r>
      <w:r w:rsidRPr="00F70275">
        <w:rPr>
          <w:rFonts w:eastAsia="SimSun"/>
          <w:lang w:eastAsia="zh-CN"/>
        </w:rPr>
        <w:t>bridge the fish demand</w:t>
      </w:r>
      <w:r w:rsidR="00DE41C4">
        <w:rPr>
          <w:rFonts w:eastAsia="SimSun"/>
          <w:lang w:eastAsia="zh-CN"/>
        </w:rPr>
        <w:t xml:space="preserve"> is needed</w:t>
      </w:r>
      <w:r>
        <w:rPr>
          <w:rFonts w:eastAsia="SimSun"/>
          <w:lang w:eastAsia="zh-CN"/>
        </w:rPr>
        <w:t>.</w:t>
      </w:r>
    </w:p>
    <w:p w14:paraId="18F13B92" w14:textId="5ECCE15D" w:rsidR="003C00D1" w:rsidRDefault="00087547" w:rsidP="00087547">
      <w:pPr>
        <w:spacing w:line="240" w:lineRule="auto"/>
        <w:contextualSpacing w:val="0"/>
        <w:jc w:val="left"/>
        <w:rPr>
          <w:rFonts w:eastAsia="SimSun"/>
          <w:lang w:eastAsia="zh-CN"/>
        </w:rPr>
      </w:pPr>
      <w:r>
        <w:rPr>
          <w:rFonts w:eastAsia="SimSun"/>
          <w:lang w:eastAsia="zh-CN"/>
        </w:rPr>
        <w:br w:type="page"/>
      </w:r>
    </w:p>
    <w:p w14:paraId="524F6D78" w14:textId="44AE35D0" w:rsidR="003C00D1" w:rsidRDefault="003C00D1" w:rsidP="009206A0">
      <w:pPr>
        <w:pStyle w:val="Heading5"/>
        <w:rPr>
          <w:rFonts w:eastAsia="SimSun"/>
          <w:lang w:eastAsia="zh-CN"/>
        </w:rPr>
      </w:pPr>
      <w:bookmarkStart w:id="913" w:name="_Toc82385827"/>
      <w:r>
        <w:rPr>
          <w:rFonts w:eastAsia="SimSun"/>
          <w:lang w:eastAsia="zh-CN"/>
        </w:rPr>
        <w:lastRenderedPageBreak/>
        <w:t>LIST OF APPENDICES</w:t>
      </w:r>
      <w:bookmarkEnd w:id="913"/>
    </w:p>
    <w:p w14:paraId="1CCA6645" w14:textId="5568FFC5" w:rsidR="00DF0F53" w:rsidRDefault="003C00D1" w:rsidP="00185559">
      <w:pPr>
        <w:ind w:left="2268" w:hanging="2268"/>
      </w:pPr>
      <w:r w:rsidRPr="00087547">
        <w:t xml:space="preserve">Appendix </w:t>
      </w:r>
      <w:r w:rsidR="00DF0F53">
        <w:t>I</w:t>
      </w:r>
      <w:r w:rsidRPr="00087547">
        <w:t>:</w:t>
      </w:r>
      <w:r w:rsidR="00DF0F53">
        <w:t xml:space="preserve"> Listing Form </w:t>
      </w:r>
    </w:p>
    <w:p w14:paraId="70AA77CC" w14:textId="77777777" w:rsidR="00DF0F53" w:rsidRDefault="00DF0F53" w:rsidP="00185559">
      <w:pPr>
        <w:ind w:left="2268" w:hanging="2268"/>
      </w:pPr>
      <w:r w:rsidRPr="00087547">
        <w:t xml:space="preserve">Appendix </w:t>
      </w:r>
      <w:r>
        <w:t>II</w:t>
      </w:r>
      <w:r w:rsidRPr="00087547">
        <w:t>:</w:t>
      </w:r>
      <w:r>
        <w:t xml:space="preserve"> </w:t>
      </w:r>
      <w:r w:rsidR="009206A0">
        <w:t>Smallholder Farmers Questionnaire</w:t>
      </w:r>
    </w:p>
    <w:p w14:paraId="7C195C43" w14:textId="0298F96B" w:rsidR="00185559" w:rsidRPr="00DF0F53" w:rsidRDefault="00DF0F53" w:rsidP="00DF0F53">
      <w:pPr>
        <w:ind w:left="2268" w:hanging="2268"/>
      </w:pPr>
      <w:r w:rsidRPr="00087547">
        <w:t xml:space="preserve">Appendix </w:t>
      </w:r>
      <w:r>
        <w:t>III</w:t>
      </w:r>
      <w:r w:rsidRPr="00087547">
        <w:t>:</w:t>
      </w:r>
      <w:r>
        <w:t xml:space="preserve"> </w:t>
      </w:r>
      <w:r w:rsidR="002B578B" w:rsidRPr="00087547">
        <w:t xml:space="preserve">Organization </w:t>
      </w:r>
      <w:r w:rsidR="002B578B">
        <w:t xml:space="preserve">of the </w:t>
      </w:r>
      <w:r w:rsidR="002B578B" w:rsidRPr="00087547">
        <w:t>Census</w:t>
      </w:r>
      <w:r w:rsidR="002B578B">
        <w:t xml:space="preserve"> </w:t>
      </w:r>
    </w:p>
    <w:p w14:paraId="1B7C6036" w14:textId="77777777" w:rsidR="009206A0" w:rsidRDefault="009206A0" w:rsidP="003C00D1"/>
    <w:p w14:paraId="5EB894FE" w14:textId="77777777" w:rsidR="009206A0" w:rsidRDefault="009206A0">
      <w:pPr>
        <w:spacing w:line="240" w:lineRule="auto"/>
        <w:contextualSpacing w:val="0"/>
        <w:jc w:val="left"/>
        <w:rPr>
          <w:rFonts w:eastAsia="SimSun"/>
          <w:lang w:eastAsia="zh-CN"/>
        </w:rPr>
        <w:sectPr w:rsidR="009206A0" w:rsidSect="00606398">
          <w:type w:val="nextColumn"/>
          <w:pgSz w:w="11900" w:h="16840" w:code="9"/>
          <w:pgMar w:top="1440" w:right="1440" w:bottom="1440" w:left="1440" w:header="708" w:footer="708" w:gutter="0"/>
          <w:cols w:space="708"/>
          <w:docGrid w:linePitch="360"/>
        </w:sectPr>
      </w:pPr>
    </w:p>
    <w:p w14:paraId="65C59BD0" w14:textId="2800478F" w:rsidR="00DF0F53" w:rsidRPr="00DF0F53" w:rsidRDefault="00DF0F53" w:rsidP="00DF0F53">
      <w:pPr>
        <w:rPr>
          <w:b/>
        </w:rPr>
      </w:pPr>
      <w:r w:rsidRPr="00DF0F53">
        <w:rPr>
          <w:b/>
        </w:rPr>
        <w:lastRenderedPageBreak/>
        <w:t xml:space="preserve">APPENDIX I: LISTING FORM </w:t>
      </w:r>
    </w:p>
    <w:p w14:paraId="083737E9" w14:textId="77777777" w:rsidR="00087547" w:rsidRPr="00087547" w:rsidRDefault="00087547" w:rsidP="00087547">
      <w:pPr>
        <w:rPr>
          <w:b/>
          <w:sz w:val="16"/>
          <w:szCs w:val="16"/>
        </w:rPr>
      </w:pPr>
      <w:bookmarkStart w:id="914" w:name="_GoBack"/>
      <w:r w:rsidRPr="00081F33">
        <w:rPr>
          <w:noProof/>
        </w:rPr>
        <w:drawing>
          <wp:inline distT="0" distB="0" distL="0" distR="0" wp14:anchorId="681338C3" wp14:editId="64135B38">
            <wp:extent cx="8358389" cy="5142865"/>
            <wp:effectExtent l="12700" t="12700" r="11430" b="133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8391168" cy="5163034"/>
                    </a:xfrm>
                    <a:prstGeom prst="rect">
                      <a:avLst/>
                    </a:prstGeom>
                    <a:ln>
                      <a:solidFill>
                        <a:schemeClr val="tx1">
                          <a:lumMod val="65000"/>
                          <a:lumOff val="35000"/>
                        </a:schemeClr>
                      </a:solidFill>
                    </a:ln>
                  </pic:spPr>
                </pic:pic>
              </a:graphicData>
            </a:graphic>
          </wp:inline>
        </w:drawing>
      </w:r>
      <w:bookmarkEnd w:id="914"/>
      <w:r w:rsidRPr="00087547">
        <w:rPr>
          <w:b/>
          <w:sz w:val="16"/>
          <w:szCs w:val="16"/>
        </w:rPr>
        <w:br w:type="page"/>
      </w:r>
    </w:p>
    <w:p w14:paraId="4C524907" w14:textId="343FDBE4" w:rsidR="00DF0F53" w:rsidRPr="00DF0F53" w:rsidRDefault="00DF0F53" w:rsidP="00DF0F53">
      <w:pPr>
        <w:ind w:left="2268" w:hanging="2268"/>
        <w:rPr>
          <w:b/>
        </w:rPr>
      </w:pPr>
      <w:r w:rsidRPr="00DF0F53">
        <w:rPr>
          <w:b/>
        </w:rPr>
        <w:lastRenderedPageBreak/>
        <w:t>APPENDIX II: SMALLHOLDER FARMERS QUESTIONNAIRE</w:t>
      </w:r>
    </w:p>
    <w:p w14:paraId="3FD84B7F" w14:textId="77777777" w:rsidR="00C86384" w:rsidRDefault="00C86384" w:rsidP="00087547">
      <w:pPr>
        <w:rPr>
          <w:b/>
          <w:sz w:val="16"/>
          <w:szCs w:val="16"/>
        </w:rPr>
      </w:pPr>
      <w:r>
        <w:rPr>
          <w:b/>
          <w:noProof/>
          <w:sz w:val="16"/>
          <w:szCs w:val="16"/>
        </w:rPr>
        <w:drawing>
          <wp:inline distT="0" distB="0" distL="0" distR="0" wp14:anchorId="4FCCE1EA" wp14:editId="69D7849B">
            <wp:extent cx="8229600" cy="405238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VER.pdf"/>
                    <pic:cNvPicPr/>
                  </pic:nvPicPr>
                  <pic:blipFill rotWithShape="1">
                    <a:blip r:embed="rId365">
                      <a:extLst>
                        <a:ext uri="{28A0092B-C50C-407E-A947-70E740481C1C}">
                          <a14:useLocalDpi xmlns:a14="http://schemas.microsoft.com/office/drawing/2010/main" val="0"/>
                        </a:ext>
                      </a:extLst>
                    </a:blip>
                    <a:srcRect l="5031" t="7552" r="11101" b="24708"/>
                    <a:stretch/>
                  </pic:blipFill>
                  <pic:spPr bwMode="auto">
                    <a:xfrm>
                      <a:off x="0" y="0"/>
                      <a:ext cx="8256229" cy="4065501"/>
                    </a:xfrm>
                    <a:prstGeom prst="rect">
                      <a:avLst/>
                    </a:prstGeom>
                    <a:ln>
                      <a:noFill/>
                    </a:ln>
                    <a:extLst>
                      <a:ext uri="{53640926-AAD7-44D8-BBD7-CCE9431645EC}">
                        <a14:shadowObscured xmlns:a14="http://schemas.microsoft.com/office/drawing/2010/main"/>
                      </a:ext>
                    </a:extLst>
                  </pic:spPr>
                </pic:pic>
              </a:graphicData>
            </a:graphic>
          </wp:inline>
        </w:drawing>
      </w:r>
    </w:p>
    <w:p w14:paraId="746ABEFE" w14:textId="77777777" w:rsidR="00C86384" w:rsidRDefault="00C86384" w:rsidP="00087547">
      <w:pPr>
        <w:rPr>
          <w:b/>
          <w:sz w:val="16"/>
          <w:szCs w:val="16"/>
        </w:rPr>
      </w:pPr>
    </w:p>
    <w:p w14:paraId="4C00B4DB" w14:textId="67D513F0" w:rsidR="00C86384" w:rsidRPr="00087547" w:rsidRDefault="00C86384" w:rsidP="00087547">
      <w:pPr>
        <w:rPr>
          <w:b/>
          <w:sz w:val="16"/>
          <w:szCs w:val="16"/>
        </w:rPr>
        <w:sectPr w:rsidR="00C86384" w:rsidRPr="00087547" w:rsidSect="00DE41C4">
          <w:pgSz w:w="16840" w:h="11900" w:orient="landscape" w:code="9"/>
          <w:pgMar w:top="1440" w:right="1440" w:bottom="1440" w:left="1440" w:header="708" w:footer="708" w:gutter="0"/>
          <w:cols w:space="708"/>
          <w:docGrid w:linePitch="360"/>
        </w:sectPr>
      </w:pPr>
    </w:p>
    <w:p w14:paraId="765ABD8B" w14:textId="11DC52A2" w:rsidR="00087547" w:rsidRPr="00087547" w:rsidRDefault="00A94376" w:rsidP="00087547">
      <w:pPr>
        <w:rPr>
          <w:b/>
          <w:sz w:val="16"/>
          <w:szCs w:val="16"/>
        </w:rPr>
      </w:pPr>
      <w:r w:rsidRPr="00A94376">
        <w:rPr>
          <w:b/>
          <w:noProof/>
          <w:sz w:val="16"/>
          <w:szCs w:val="16"/>
        </w:rPr>
        <w:lastRenderedPageBreak/>
        <w:drawing>
          <wp:inline distT="0" distB="0" distL="0" distR="0" wp14:anchorId="4C5AC60D" wp14:editId="464656CF">
            <wp:extent cx="5634681" cy="7280910"/>
            <wp:effectExtent l="0" t="0" r="444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5661754" cy="7315892"/>
                    </a:xfrm>
                    <a:prstGeom prst="rect">
                      <a:avLst/>
                    </a:prstGeom>
                  </pic:spPr>
                </pic:pic>
              </a:graphicData>
            </a:graphic>
          </wp:inline>
        </w:drawing>
      </w:r>
    </w:p>
    <w:p w14:paraId="1226722A" w14:textId="77777777" w:rsidR="00087547" w:rsidRPr="00087547" w:rsidRDefault="00087547" w:rsidP="00087547">
      <w:pPr>
        <w:rPr>
          <w:b/>
          <w:sz w:val="16"/>
          <w:szCs w:val="16"/>
        </w:rPr>
      </w:pPr>
    </w:p>
    <w:p w14:paraId="67F661B0" w14:textId="77777777" w:rsidR="00087547" w:rsidRPr="00087547" w:rsidRDefault="00087547" w:rsidP="00087547">
      <w:pPr>
        <w:rPr>
          <w:b/>
          <w:sz w:val="16"/>
          <w:szCs w:val="16"/>
        </w:rPr>
      </w:pPr>
    </w:p>
    <w:p w14:paraId="720E921F" w14:textId="77777777" w:rsidR="00087547" w:rsidRPr="00087547" w:rsidRDefault="00087547" w:rsidP="00087547">
      <w:pPr>
        <w:rPr>
          <w:b/>
          <w:sz w:val="16"/>
          <w:szCs w:val="16"/>
        </w:rPr>
      </w:pPr>
    </w:p>
    <w:p w14:paraId="3408B2C3" w14:textId="77777777" w:rsidR="00087547" w:rsidRPr="00087547" w:rsidRDefault="00087547" w:rsidP="00087547">
      <w:pPr>
        <w:rPr>
          <w:b/>
          <w:sz w:val="16"/>
          <w:szCs w:val="16"/>
        </w:rPr>
      </w:pPr>
    </w:p>
    <w:p w14:paraId="4CBEB449" w14:textId="77777777" w:rsidR="00087547" w:rsidRPr="00087547" w:rsidRDefault="00087547" w:rsidP="00087547">
      <w:pPr>
        <w:rPr>
          <w:b/>
          <w:sz w:val="16"/>
          <w:szCs w:val="16"/>
        </w:rPr>
      </w:pPr>
      <w:r w:rsidRPr="00087547">
        <w:rPr>
          <w:b/>
          <w:sz w:val="16"/>
          <w:szCs w:val="16"/>
        </w:rPr>
        <w:br w:type="page"/>
      </w:r>
    </w:p>
    <w:p w14:paraId="55E6D3BC" w14:textId="287C31FE" w:rsidR="00087547" w:rsidRPr="00087547" w:rsidRDefault="00A94376" w:rsidP="00933456">
      <w:pPr>
        <w:ind w:right="-52"/>
        <w:rPr>
          <w:b/>
          <w:sz w:val="16"/>
          <w:szCs w:val="16"/>
        </w:rPr>
      </w:pPr>
      <w:r w:rsidRPr="00A94376">
        <w:rPr>
          <w:b/>
          <w:noProof/>
          <w:sz w:val="16"/>
          <w:szCs w:val="16"/>
        </w:rPr>
        <w:lastRenderedPageBreak/>
        <w:drawing>
          <wp:inline distT="0" distB="0" distL="0" distR="0" wp14:anchorId="3F969FA9" wp14:editId="08E8B88A">
            <wp:extent cx="5571067" cy="5866312"/>
            <wp:effectExtent l="12700" t="12700" r="17145" b="139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5604025" cy="5901017"/>
                    </a:xfrm>
                    <a:prstGeom prst="rect">
                      <a:avLst/>
                    </a:prstGeom>
                    <a:ln>
                      <a:solidFill>
                        <a:schemeClr val="tx1">
                          <a:lumMod val="65000"/>
                          <a:lumOff val="35000"/>
                        </a:schemeClr>
                      </a:solidFill>
                    </a:ln>
                  </pic:spPr>
                </pic:pic>
              </a:graphicData>
            </a:graphic>
          </wp:inline>
        </w:drawing>
      </w:r>
    </w:p>
    <w:p w14:paraId="1355C44B" w14:textId="77777777" w:rsidR="00087547" w:rsidRPr="00087547" w:rsidRDefault="00087547" w:rsidP="00087547">
      <w:pPr>
        <w:rPr>
          <w:b/>
          <w:sz w:val="16"/>
          <w:szCs w:val="16"/>
        </w:rPr>
      </w:pPr>
    </w:p>
    <w:p w14:paraId="5C58216C" w14:textId="0E0E6727" w:rsidR="00087547" w:rsidRPr="00087547" w:rsidRDefault="00145FA9" w:rsidP="00087547">
      <w:pPr>
        <w:rPr>
          <w:b/>
          <w:sz w:val="16"/>
          <w:szCs w:val="16"/>
        </w:rPr>
      </w:pPr>
      <w:r>
        <w:rPr>
          <w:b/>
          <w:noProof/>
          <w:sz w:val="16"/>
          <w:szCs w:val="16"/>
        </w:rPr>
        <w:drawing>
          <wp:inline distT="0" distB="0" distL="0" distR="0" wp14:anchorId="5997FA3D" wp14:editId="44781BE3">
            <wp:extent cx="5696465" cy="216330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ec2.pdf"/>
                    <pic:cNvPicPr/>
                  </pic:nvPicPr>
                  <pic:blipFill rotWithShape="1">
                    <a:blip r:embed="rId368">
                      <a:extLst>
                        <a:ext uri="{28A0092B-C50C-407E-A947-70E740481C1C}">
                          <a14:useLocalDpi xmlns:a14="http://schemas.microsoft.com/office/drawing/2010/main" val="0"/>
                        </a:ext>
                      </a:extLst>
                    </a:blip>
                    <a:srcRect l="6873" t="5284" r="7615" b="68008"/>
                    <a:stretch/>
                  </pic:blipFill>
                  <pic:spPr bwMode="auto">
                    <a:xfrm>
                      <a:off x="0" y="0"/>
                      <a:ext cx="5715278" cy="2170449"/>
                    </a:xfrm>
                    <a:prstGeom prst="rect">
                      <a:avLst/>
                    </a:prstGeom>
                    <a:ln>
                      <a:noFill/>
                    </a:ln>
                    <a:extLst>
                      <a:ext uri="{53640926-AAD7-44D8-BBD7-CCE9431645EC}">
                        <a14:shadowObscured xmlns:a14="http://schemas.microsoft.com/office/drawing/2010/main"/>
                      </a:ext>
                    </a:extLst>
                  </pic:spPr>
                </pic:pic>
              </a:graphicData>
            </a:graphic>
          </wp:inline>
        </w:drawing>
      </w:r>
    </w:p>
    <w:p w14:paraId="62912255" w14:textId="1AB95FD3" w:rsidR="00087547" w:rsidRPr="00087547" w:rsidRDefault="00087547" w:rsidP="00087547">
      <w:pPr>
        <w:rPr>
          <w:b/>
          <w:sz w:val="16"/>
          <w:szCs w:val="16"/>
        </w:rPr>
      </w:pPr>
    </w:p>
    <w:p w14:paraId="74DF1548" w14:textId="77777777" w:rsidR="00087547" w:rsidRPr="00087547" w:rsidRDefault="00087547" w:rsidP="00087547">
      <w:pPr>
        <w:rPr>
          <w:b/>
          <w:sz w:val="16"/>
          <w:szCs w:val="16"/>
        </w:rPr>
      </w:pPr>
    </w:p>
    <w:p w14:paraId="2D405568" w14:textId="77777777" w:rsidR="00087547" w:rsidRPr="00087547" w:rsidRDefault="00087547" w:rsidP="00087547">
      <w:pPr>
        <w:pStyle w:val="ListParagraph"/>
        <w:numPr>
          <w:ilvl w:val="0"/>
          <w:numId w:val="14"/>
        </w:numPr>
        <w:rPr>
          <w:b/>
          <w:sz w:val="16"/>
          <w:szCs w:val="16"/>
        </w:rPr>
        <w:sectPr w:rsidR="00087547" w:rsidRPr="00087547" w:rsidSect="00606398">
          <w:type w:val="nextColumn"/>
          <w:pgSz w:w="11900" w:h="16840" w:code="9"/>
          <w:pgMar w:top="1440" w:right="1440" w:bottom="1440" w:left="1440" w:header="708" w:footer="708" w:gutter="0"/>
          <w:cols w:space="708"/>
          <w:docGrid w:linePitch="360"/>
        </w:sectPr>
      </w:pPr>
    </w:p>
    <w:p w14:paraId="1BBE51E3" w14:textId="6ED60E89" w:rsidR="00087547" w:rsidRPr="00087547" w:rsidRDefault="00145FA9" w:rsidP="00087547">
      <w:pPr>
        <w:rPr>
          <w:b/>
          <w:sz w:val="16"/>
          <w:szCs w:val="16"/>
        </w:rPr>
      </w:pPr>
      <w:r>
        <w:rPr>
          <w:b/>
          <w:noProof/>
          <w:sz w:val="16"/>
          <w:szCs w:val="16"/>
        </w:rPr>
        <w:lastRenderedPageBreak/>
        <w:drawing>
          <wp:inline distT="0" distB="0" distL="0" distR="0" wp14:anchorId="24F887CC" wp14:editId="1AE859DE">
            <wp:extent cx="8183245" cy="456042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ec3.pdf"/>
                    <pic:cNvPicPr/>
                  </pic:nvPicPr>
                  <pic:blipFill rotWithShape="1">
                    <a:blip r:embed="rId369">
                      <a:extLst>
                        <a:ext uri="{28A0092B-C50C-407E-A947-70E740481C1C}">
                          <a14:useLocalDpi xmlns:a14="http://schemas.microsoft.com/office/drawing/2010/main" val="0"/>
                        </a:ext>
                      </a:extLst>
                    </a:blip>
                    <a:srcRect l="5285" t="7478" r="5300" b="21188"/>
                    <a:stretch/>
                  </pic:blipFill>
                  <pic:spPr bwMode="auto">
                    <a:xfrm>
                      <a:off x="0" y="0"/>
                      <a:ext cx="8200827" cy="4570223"/>
                    </a:xfrm>
                    <a:prstGeom prst="rect">
                      <a:avLst/>
                    </a:prstGeom>
                    <a:ln>
                      <a:noFill/>
                    </a:ln>
                    <a:extLst>
                      <a:ext uri="{53640926-AAD7-44D8-BBD7-CCE9431645EC}">
                        <a14:shadowObscured xmlns:a14="http://schemas.microsoft.com/office/drawing/2010/main"/>
                      </a:ext>
                    </a:extLst>
                  </pic:spPr>
                </pic:pic>
              </a:graphicData>
            </a:graphic>
          </wp:inline>
        </w:drawing>
      </w:r>
    </w:p>
    <w:p w14:paraId="6F583CC4" w14:textId="77777777" w:rsidR="00087547" w:rsidRPr="00087547" w:rsidRDefault="00087547" w:rsidP="00087547">
      <w:pPr>
        <w:rPr>
          <w:b/>
          <w:sz w:val="16"/>
          <w:szCs w:val="16"/>
        </w:rPr>
      </w:pPr>
    </w:p>
    <w:p w14:paraId="27201A19" w14:textId="77777777" w:rsidR="00087547" w:rsidRPr="00087547" w:rsidRDefault="00087547" w:rsidP="00087547">
      <w:pPr>
        <w:rPr>
          <w:b/>
          <w:sz w:val="16"/>
          <w:szCs w:val="16"/>
        </w:rPr>
      </w:pPr>
    </w:p>
    <w:p w14:paraId="15960455" w14:textId="427A54CD" w:rsidR="00820EC0" w:rsidRDefault="00820EC0">
      <w:pPr>
        <w:spacing w:line="240" w:lineRule="auto"/>
        <w:contextualSpacing w:val="0"/>
        <w:jc w:val="left"/>
        <w:rPr>
          <w:b/>
          <w:sz w:val="16"/>
          <w:szCs w:val="16"/>
        </w:rPr>
      </w:pPr>
      <w:r>
        <w:rPr>
          <w:b/>
          <w:sz w:val="16"/>
          <w:szCs w:val="16"/>
        </w:rPr>
        <w:br w:type="page"/>
      </w:r>
    </w:p>
    <w:p w14:paraId="1DD3CBB4" w14:textId="261C121F" w:rsidR="00087547" w:rsidRPr="00AF6D15" w:rsidRDefault="000578E9" w:rsidP="00AF6D15">
      <w:pPr>
        <w:rPr>
          <w:b/>
          <w:sz w:val="16"/>
          <w:szCs w:val="16"/>
        </w:rPr>
      </w:pPr>
      <w:r>
        <w:rPr>
          <w:b/>
          <w:noProof/>
          <w:sz w:val="16"/>
          <w:szCs w:val="16"/>
        </w:rPr>
        <w:lastRenderedPageBreak/>
        <w:drawing>
          <wp:inline distT="0" distB="0" distL="0" distR="0" wp14:anchorId="1DEFF9F8" wp14:editId="0EE4A625">
            <wp:extent cx="6766560" cy="429768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ec4.pdf"/>
                    <pic:cNvPicPr/>
                  </pic:nvPicPr>
                  <pic:blipFill rotWithShape="1">
                    <a:blip r:embed="rId370">
                      <a:extLst>
                        <a:ext uri="{28A0092B-C50C-407E-A947-70E740481C1C}">
                          <a14:useLocalDpi xmlns:a14="http://schemas.microsoft.com/office/drawing/2010/main" val="0"/>
                        </a:ext>
                      </a:extLst>
                    </a:blip>
                    <a:srcRect l="5129" t="8272" r="29738" b="29459"/>
                    <a:stretch/>
                  </pic:blipFill>
                  <pic:spPr bwMode="auto">
                    <a:xfrm>
                      <a:off x="0" y="0"/>
                      <a:ext cx="6792125" cy="4313917"/>
                    </a:xfrm>
                    <a:prstGeom prst="rect">
                      <a:avLst/>
                    </a:prstGeom>
                    <a:ln>
                      <a:noFill/>
                    </a:ln>
                    <a:extLst>
                      <a:ext uri="{53640926-AAD7-44D8-BBD7-CCE9431645EC}">
                        <a14:shadowObscured xmlns:a14="http://schemas.microsoft.com/office/drawing/2010/main"/>
                      </a:ext>
                    </a:extLst>
                  </pic:spPr>
                </pic:pic>
              </a:graphicData>
            </a:graphic>
          </wp:inline>
        </w:drawing>
      </w:r>
    </w:p>
    <w:p w14:paraId="613A759B" w14:textId="33933CF1" w:rsidR="00820EC0" w:rsidRDefault="00820EC0">
      <w:pPr>
        <w:spacing w:line="240" w:lineRule="auto"/>
        <w:contextualSpacing w:val="0"/>
        <w:jc w:val="left"/>
        <w:rPr>
          <w:b/>
          <w:sz w:val="16"/>
          <w:szCs w:val="16"/>
        </w:rPr>
      </w:pPr>
      <w:r>
        <w:rPr>
          <w:b/>
          <w:sz w:val="16"/>
          <w:szCs w:val="16"/>
        </w:rPr>
        <w:br w:type="page"/>
      </w:r>
    </w:p>
    <w:p w14:paraId="3295C4D1" w14:textId="5249E868" w:rsidR="00087547" w:rsidRPr="00AF6D15" w:rsidRDefault="000578E9" w:rsidP="00AF6D15">
      <w:pPr>
        <w:rPr>
          <w:b/>
          <w:sz w:val="16"/>
          <w:szCs w:val="16"/>
        </w:rPr>
      </w:pPr>
      <w:r>
        <w:rPr>
          <w:b/>
          <w:noProof/>
          <w:sz w:val="16"/>
          <w:szCs w:val="16"/>
        </w:rPr>
        <w:lastRenderedPageBreak/>
        <w:drawing>
          <wp:inline distT="0" distB="0" distL="0" distR="0" wp14:anchorId="7865C567" wp14:editId="15C28401">
            <wp:extent cx="7273636" cy="48958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ec6.pdf"/>
                    <pic:cNvPicPr/>
                  </pic:nvPicPr>
                  <pic:blipFill rotWithShape="1">
                    <a:blip r:embed="rId371">
                      <a:extLst>
                        <a:ext uri="{28A0092B-C50C-407E-A947-70E740481C1C}">
                          <a14:useLocalDpi xmlns:a14="http://schemas.microsoft.com/office/drawing/2010/main" val="0"/>
                        </a:ext>
                      </a:extLst>
                    </a:blip>
                    <a:srcRect l="5129" t="7984" r="12608" b="8132"/>
                    <a:stretch/>
                  </pic:blipFill>
                  <pic:spPr bwMode="auto">
                    <a:xfrm>
                      <a:off x="0" y="0"/>
                      <a:ext cx="7281515" cy="4901154"/>
                    </a:xfrm>
                    <a:prstGeom prst="rect">
                      <a:avLst/>
                    </a:prstGeom>
                    <a:ln>
                      <a:noFill/>
                    </a:ln>
                    <a:extLst>
                      <a:ext uri="{53640926-AAD7-44D8-BBD7-CCE9431645EC}">
                        <a14:shadowObscured xmlns:a14="http://schemas.microsoft.com/office/drawing/2010/main"/>
                      </a:ext>
                    </a:extLst>
                  </pic:spPr>
                </pic:pic>
              </a:graphicData>
            </a:graphic>
          </wp:inline>
        </w:drawing>
      </w:r>
    </w:p>
    <w:p w14:paraId="1EB9E9F8" w14:textId="03444DE7" w:rsidR="000578E9" w:rsidRDefault="000578E9">
      <w:pPr>
        <w:spacing w:line="240" w:lineRule="auto"/>
        <w:contextualSpacing w:val="0"/>
        <w:jc w:val="left"/>
        <w:rPr>
          <w:b/>
          <w:sz w:val="16"/>
          <w:szCs w:val="16"/>
        </w:rPr>
      </w:pPr>
      <w:r>
        <w:rPr>
          <w:b/>
          <w:sz w:val="16"/>
          <w:szCs w:val="16"/>
        </w:rPr>
        <w:br w:type="page"/>
      </w:r>
    </w:p>
    <w:p w14:paraId="6E6D5315" w14:textId="65388B27" w:rsidR="00087547" w:rsidRPr="00AF6D15" w:rsidRDefault="000578E9" w:rsidP="00AF6D15">
      <w:pPr>
        <w:rPr>
          <w:b/>
          <w:sz w:val="16"/>
          <w:szCs w:val="16"/>
        </w:rPr>
      </w:pPr>
      <w:r>
        <w:rPr>
          <w:b/>
          <w:noProof/>
          <w:sz w:val="16"/>
          <w:szCs w:val="16"/>
        </w:rPr>
        <w:lastRenderedPageBreak/>
        <w:drawing>
          <wp:inline distT="0" distB="0" distL="0" distR="0" wp14:anchorId="453F3A00" wp14:editId="32E15252">
            <wp:extent cx="6716395" cy="345809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ec8.pdf"/>
                    <pic:cNvPicPr/>
                  </pic:nvPicPr>
                  <pic:blipFill rotWithShape="1">
                    <a:blip r:embed="rId372">
                      <a:extLst>
                        <a:ext uri="{28A0092B-C50C-407E-A947-70E740481C1C}">
                          <a14:useLocalDpi xmlns:a14="http://schemas.microsoft.com/office/drawing/2010/main" val="0"/>
                        </a:ext>
                      </a:extLst>
                    </a:blip>
                    <a:srcRect l="4923" t="8129" r="20917" b="35558"/>
                    <a:stretch/>
                  </pic:blipFill>
                  <pic:spPr bwMode="auto">
                    <a:xfrm>
                      <a:off x="0" y="0"/>
                      <a:ext cx="6729029" cy="3464600"/>
                    </a:xfrm>
                    <a:prstGeom prst="rect">
                      <a:avLst/>
                    </a:prstGeom>
                    <a:ln>
                      <a:noFill/>
                    </a:ln>
                    <a:extLst>
                      <a:ext uri="{53640926-AAD7-44D8-BBD7-CCE9431645EC}">
                        <a14:shadowObscured xmlns:a14="http://schemas.microsoft.com/office/drawing/2010/main"/>
                      </a:ext>
                    </a:extLst>
                  </pic:spPr>
                </pic:pic>
              </a:graphicData>
            </a:graphic>
          </wp:inline>
        </w:drawing>
      </w:r>
    </w:p>
    <w:p w14:paraId="5D51814B" w14:textId="77777777" w:rsidR="00087547" w:rsidRPr="00AF6D15" w:rsidRDefault="00087547" w:rsidP="00AF6D15">
      <w:pPr>
        <w:rPr>
          <w:b/>
          <w:sz w:val="16"/>
          <w:szCs w:val="16"/>
        </w:rPr>
      </w:pPr>
    </w:p>
    <w:p w14:paraId="1ADA0EE9" w14:textId="77777777" w:rsidR="00087547" w:rsidRPr="00AF6D15" w:rsidRDefault="00087547" w:rsidP="00AF6D15">
      <w:pPr>
        <w:rPr>
          <w:b/>
          <w:sz w:val="16"/>
          <w:szCs w:val="16"/>
        </w:rPr>
      </w:pPr>
    </w:p>
    <w:p w14:paraId="3A7AD35E" w14:textId="091FEFBB" w:rsidR="000578E9" w:rsidRDefault="000578E9">
      <w:pPr>
        <w:spacing w:line="240" w:lineRule="auto"/>
        <w:contextualSpacing w:val="0"/>
        <w:jc w:val="left"/>
        <w:rPr>
          <w:b/>
          <w:sz w:val="16"/>
          <w:szCs w:val="16"/>
        </w:rPr>
      </w:pPr>
      <w:r>
        <w:rPr>
          <w:b/>
          <w:sz w:val="16"/>
          <w:szCs w:val="16"/>
        </w:rPr>
        <w:br w:type="page"/>
      </w:r>
    </w:p>
    <w:p w14:paraId="33CB4894" w14:textId="738329BC" w:rsidR="00087547" w:rsidRPr="00AF6D15" w:rsidRDefault="000578E9" w:rsidP="00AF6D15">
      <w:pPr>
        <w:rPr>
          <w:b/>
          <w:sz w:val="16"/>
          <w:szCs w:val="16"/>
        </w:rPr>
      </w:pPr>
      <w:r>
        <w:rPr>
          <w:b/>
          <w:noProof/>
          <w:sz w:val="16"/>
          <w:szCs w:val="16"/>
        </w:rPr>
        <w:lastRenderedPageBreak/>
        <w:drawing>
          <wp:inline distT="0" distB="0" distL="0" distR="0" wp14:anchorId="120A8070" wp14:editId="4868CE91">
            <wp:extent cx="7261291" cy="2635135"/>
            <wp:effectExtent l="0" t="0" r="317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ec81.pdf"/>
                    <pic:cNvPicPr/>
                  </pic:nvPicPr>
                  <pic:blipFill rotWithShape="1">
                    <a:blip r:embed="rId373">
                      <a:extLst>
                        <a:ext uri="{28A0092B-C50C-407E-A947-70E740481C1C}">
                          <a14:useLocalDpi xmlns:a14="http://schemas.microsoft.com/office/drawing/2010/main" val="0"/>
                        </a:ext>
                      </a:extLst>
                    </a:blip>
                    <a:srcRect l="5129" t="8127" r="13928" b="45576"/>
                    <a:stretch/>
                  </pic:blipFill>
                  <pic:spPr bwMode="auto">
                    <a:xfrm>
                      <a:off x="0" y="0"/>
                      <a:ext cx="7299416" cy="2648971"/>
                    </a:xfrm>
                    <a:prstGeom prst="rect">
                      <a:avLst/>
                    </a:prstGeom>
                    <a:ln>
                      <a:noFill/>
                    </a:ln>
                    <a:extLst>
                      <a:ext uri="{53640926-AAD7-44D8-BBD7-CCE9431645EC}">
                        <a14:shadowObscured xmlns:a14="http://schemas.microsoft.com/office/drawing/2010/main"/>
                      </a:ext>
                    </a:extLst>
                  </pic:spPr>
                </pic:pic>
              </a:graphicData>
            </a:graphic>
          </wp:inline>
        </w:drawing>
      </w:r>
      <w:r w:rsidR="00B37280">
        <w:rPr>
          <w:b/>
          <w:noProof/>
          <w:sz w:val="16"/>
          <w:szCs w:val="16"/>
        </w:rPr>
        <w:drawing>
          <wp:inline distT="0" distB="0" distL="0" distR="0" wp14:anchorId="160DFCB9" wp14:editId="1331AB3E">
            <wp:extent cx="7261225" cy="2859405"/>
            <wp:effectExtent l="0" t="0" r="317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Sec812.pdf"/>
                    <pic:cNvPicPr/>
                  </pic:nvPicPr>
                  <pic:blipFill rotWithShape="1">
                    <a:blip r:embed="rId374">
                      <a:extLst>
                        <a:ext uri="{28A0092B-C50C-407E-A947-70E740481C1C}">
                          <a14:useLocalDpi xmlns:a14="http://schemas.microsoft.com/office/drawing/2010/main" val="0"/>
                        </a:ext>
                      </a:extLst>
                    </a:blip>
                    <a:srcRect l="5231" t="8563" r="6340" b="36136"/>
                    <a:stretch/>
                  </pic:blipFill>
                  <pic:spPr bwMode="auto">
                    <a:xfrm>
                      <a:off x="0" y="0"/>
                      <a:ext cx="7264993" cy="2860889"/>
                    </a:xfrm>
                    <a:prstGeom prst="rect">
                      <a:avLst/>
                    </a:prstGeom>
                    <a:ln>
                      <a:noFill/>
                    </a:ln>
                    <a:extLst>
                      <a:ext uri="{53640926-AAD7-44D8-BBD7-CCE9431645EC}">
                        <a14:shadowObscured xmlns:a14="http://schemas.microsoft.com/office/drawing/2010/main"/>
                      </a:ext>
                    </a:extLst>
                  </pic:spPr>
                </pic:pic>
              </a:graphicData>
            </a:graphic>
          </wp:inline>
        </w:drawing>
      </w:r>
    </w:p>
    <w:p w14:paraId="51EB8216" w14:textId="09E504B1" w:rsidR="00B37280" w:rsidRDefault="00B37280">
      <w:pPr>
        <w:spacing w:line="240" w:lineRule="auto"/>
        <w:contextualSpacing w:val="0"/>
        <w:jc w:val="left"/>
        <w:rPr>
          <w:b/>
          <w:sz w:val="16"/>
          <w:szCs w:val="16"/>
        </w:rPr>
      </w:pPr>
      <w:r>
        <w:rPr>
          <w:b/>
          <w:sz w:val="16"/>
          <w:szCs w:val="16"/>
        </w:rPr>
        <w:br w:type="page"/>
      </w:r>
    </w:p>
    <w:p w14:paraId="2C58688D" w14:textId="664E8D8D" w:rsidR="00087547" w:rsidRPr="00AF6D15" w:rsidRDefault="00196B67" w:rsidP="00AF6D15">
      <w:pPr>
        <w:rPr>
          <w:b/>
          <w:sz w:val="16"/>
          <w:szCs w:val="16"/>
        </w:rPr>
      </w:pPr>
      <w:r>
        <w:rPr>
          <w:b/>
          <w:noProof/>
          <w:sz w:val="16"/>
          <w:szCs w:val="16"/>
        </w:rPr>
        <w:lastRenderedPageBreak/>
        <w:drawing>
          <wp:inline distT="0" distB="0" distL="0" distR="0" wp14:anchorId="6E994FDC" wp14:editId="7B50C629">
            <wp:extent cx="8162925" cy="2493818"/>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sec8122.pdf"/>
                    <pic:cNvPicPr/>
                  </pic:nvPicPr>
                  <pic:blipFill rotWithShape="1">
                    <a:blip r:embed="rId375">
                      <a:extLst>
                        <a:ext uri="{28A0092B-C50C-407E-A947-70E740481C1C}">
                          <a14:useLocalDpi xmlns:a14="http://schemas.microsoft.com/office/drawing/2010/main" val="0"/>
                        </a:ext>
                      </a:extLst>
                    </a:blip>
                    <a:srcRect l="5233" t="8273" r="6631" b="54429"/>
                    <a:stretch/>
                  </pic:blipFill>
                  <pic:spPr bwMode="auto">
                    <a:xfrm>
                      <a:off x="0" y="0"/>
                      <a:ext cx="8222080" cy="2511890"/>
                    </a:xfrm>
                    <a:prstGeom prst="rect">
                      <a:avLst/>
                    </a:prstGeom>
                    <a:ln>
                      <a:noFill/>
                    </a:ln>
                    <a:extLst>
                      <a:ext uri="{53640926-AAD7-44D8-BBD7-CCE9431645EC}">
                        <a14:shadowObscured xmlns:a14="http://schemas.microsoft.com/office/drawing/2010/main"/>
                      </a:ext>
                    </a:extLst>
                  </pic:spPr>
                </pic:pic>
              </a:graphicData>
            </a:graphic>
          </wp:inline>
        </w:drawing>
      </w:r>
    </w:p>
    <w:p w14:paraId="56AFB294" w14:textId="77777777" w:rsidR="00087547" w:rsidRPr="00AF6D15" w:rsidRDefault="00087547" w:rsidP="00AF6D15">
      <w:pPr>
        <w:rPr>
          <w:b/>
          <w:sz w:val="16"/>
          <w:szCs w:val="16"/>
        </w:rPr>
      </w:pPr>
    </w:p>
    <w:p w14:paraId="2D62AAF0" w14:textId="2FDC4942" w:rsidR="00087547" w:rsidRPr="00AF6D15" w:rsidRDefault="00087547" w:rsidP="00AF6D15">
      <w:pPr>
        <w:rPr>
          <w:b/>
          <w:sz w:val="16"/>
          <w:szCs w:val="16"/>
        </w:rPr>
      </w:pPr>
    </w:p>
    <w:p w14:paraId="3D44847E" w14:textId="64CF18B7" w:rsidR="00087547" w:rsidRDefault="00087547" w:rsidP="00087547">
      <w:pPr>
        <w:pStyle w:val="ListParagraph"/>
        <w:numPr>
          <w:ilvl w:val="0"/>
          <w:numId w:val="14"/>
        </w:numPr>
        <w:rPr>
          <w:b/>
          <w:sz w:val="16"/>
          <w:szCs w:val="16"/>
        </w:rPr>
      </w:pPr>
      <w:r w:rsidRPr="00087547">
        <w:rPr>
          <w:b/>
          <w:sz w:val="16"/>
          <w:szCs w:val="16"/>
        </w:rPr>
        <w:br w:type="page"/>
      </w:r>
    </w:p>
    <w:p w14:paraId="77F40E34" w14:textId="2FB2E20D" w:rsidR="00196B67" w:rsidRDefault="00196B67" w:rsidP="00196B67">
      <w:pPr>
        <w:rPr>
          <w:b/>
          <w:sz w:val="16"/>
          <w:szCs w:val="16"/>
        </w:rPr>
      </w:pPr>
      <w:r>
        <w:rPr>
          <w:b/>
          <w:noProof/>
          <w:sz w:val="16"/>
          <w:szCs w:val="16"/>
        </w:rPr>
        <w:lastRenderedPageBreak/>
        <w:drawing>
          <wp:inline distT="0" distB="0" distL="0" distR="0" wp14:anchorId="3879F404" wp14:editId="6938A423">
            <wp:extent cx="7622540" cy="2585258"/>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sec821.pdf"/>
                    <pic:cNvPicPr/>
                  </pic:nvPicPr>
                  <pic:blipFill rotWithShape="1">
                    <a:blip r:embed="rId376">
                      <a:extLst>
                        <a:ext uri="{28A0092B-C50C-407E-A947-70E740481C1C}">
                          <a14:useLocalDpi xmlns:a14="http://schemas.microsoft.com/office/drawing/2010/main" val="0"/>
                        </a:ext>
                      </a:extLst>
                    </a:blip>
                    <a:srcRect l="5335" t="8273" r="12794" b="50220"/>
                    <a:stretch/>
                  </pic:blipFill>
                  <pic:spPr bwMode="auto">
                    <a:xfrm>
                      <a:off x="0" y="0"/>
                      <a:ext cx="7633415" cy="2588946"/>
                    </a:xfrm>
                    <a:prstGeom prst="rect">
                      <a:avLst/>
                    </a:prstGeom>
                    <a:ln>
                      <a:noFill/>
                    </a:ln>
                    <a:extLst>
                      <a:ext uri="{53640926-AAD7-44D8-BBD7-CCE9431645EC}">
                        <a14:shadowObscured xmlns:a14="http://schemas.microsoft.com/office/drawing/2010/main"/>
                      </a:ext>
                    </a:extLst>
                  </pic:spPr>
                </pic:pic>
              </a:graphicData>
            </a:graphic>
          </wp:inline>
        </w:drawing>
      </w:r>
    </w:p>
    <w:p w14:paraId="3FD5178F" w14:textId="77777777" w:rsidR="003B5016" w:rsidRDefault="003B5016">
      <w:pPr>
        <w:spacing w:line="240" w:lineRule="auto"/>
        <w:contextualSpacing w:val="0"/>
        <w:jc w:val="left"/>
        <w:rPr>
          <w:b/>
          <w:sz w:val="16"/>
          <w:szCs w:val="16"/>
        </w:rPr>
      </w:pPr>
      <w:r>
        <w:rPr>
          <w:b/>
          <w:noProof/>
          <w:sz w:val="16"/>
          <w:szCs w:val="16"/>
        </w:rPr>
        <w:drawing>
          <wp:inline distT="0" distB="0" distL="0" distR="0" wp14:anchorId="79F5B594" wp14:editId="1AEEE6A9">
            <wp:extent cx="7622540" cy="250571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sec822.pdf"/>
                    <pic:cNvPicPr/>
                  </pic:nvPicPr>
                  <pic:blipFill rotWithShape="1">
                    <a:blip r:embed="rId377">
                      <a:extLst>
                        <a:ext uri="{28A0092B-C50C-407E-A947-70E740481C1C}">
                          <a14:useLocalDpi xmlns:a14="http://schemas.microsoft.com/office/drawing/2010/main" val="0"/>
                        </a:ext>
                      </a:extLst>
                    </a:blip>
                    <a:srcRect l="5253" t="8533" r="12548" b="47703"/>
                    <a:stretch/>
                  </pic:blipFill>
                  <pic:spPr bwMode="auto">
                    <a:xfrm>
                      <a:off x="0" y="0"/>
                      <a:ext cx="7627934" cy="2507483"/>
                    </a:xfrm>
                    <a:prstGeom prst="rect">
                      <a:avLst/>
                    </a:prstGeom>
                    <a:ln>
                      <a:noFill/>
                    </a:ln>
                    <a:extLst>
                      <a:ext uri="{53640926-AAD7-44D8-BBD7-CCE9431645EC}">
                        <a14:shadowObscured xmlns:a14="http://schemas.microsoft.com/office/drawing/2010/main"/>
                      </a:ext>
                    </a:extLst>
                  </pic:spPr>
                </pic:pic>
              </a:graphicData>
            </a:graphic>
          </wp:inline>
        </w:drawing>
      </w:r>
    </w:p>
    <w:p w14:paraId="3A6E1704" w14:textId="5A13ACB2" w:rsidR="00196B67" w:rsidRDefault="00196B67">
      <w:pPr>
        <w:spacing w:line="240" w:lineRule="auto"/>
        <w:contextualSpacing w:val="0"/>
        <w:jc w:val="left"/>
        <w:rPr>
          <w:b/>
          <w:sz w:val="16"/>
          <w:szCs w:val="16"/>
        </w:rPr>
      </w:pPr>
      <w:r>
        <w:rPr>
          <w:b/>
          <w:sz w:val="16"/>
          <w:szCs w:val="16"/>
        </w:rPr>
        <w:br w:type="page"/>
      </w:r>
    </w:p>
    <w:p w14:paraId="15853E54" w14:textId="3A62193F" w:rsidR="00196B67" w:rsidRPr="00196B67" w:rsidRDefault="003B5016" w:rsidP="00196B67">
      <w:pPr>
        <w:rPr>
          <w:b/>
          <w:sz w:val="16"/>
          <w:szCs w:val="16"/>
        </w:rPr>
      </w:pPr>
      <w:r>
        <w:rPr>
          <w:b/>
          <w:noProof/>
          <w:sz w:val="16"/>
          <w:szCs w:val="16"/>
        </w:rPr>
        <w:lastRenderedPageBreak/>
        <w:drawing>
          <wp:inline distT="0" distB="0" distL="0" distR="0" wp14:anchorId="606F6771" wp14:editId="694AA74F">
            <wp:extent cx="7583214" cy="3293586"/>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sec8222.pdf"/>
                    <pic:cNvPicPr/>
                  </pic:nvPicPr>
                  <pic:blipFill rotWithShape="1">
                    <a:blip r:embed="rId378">
                      <a:extLst>
                        <a:ext uri="{28A0092B-C50C-407E-A947-70E740481C1C}">
                          <a14:useLocalDpi xmlns:a14="http://schemas.microsoft.com/office/drawing/2010/main" val="0"/>
                        </a:ext>
                      </a:extLst>
                    </a:blip>
                    <a:srcRect l="5253" t="7984" r="10688" b="34491"/>
                    <a:stretch/>
                  </pic:blipFill>
                  <pic:spPr bwMode="auto">
                    <a:xfrm>
                      <a:off x="0" y="0"/>
                      <a:ext cx="7600501" cy="3301094"/>
                    </a:xfrm>
                    <a:prstGeom prst="rect">
                      <a:avLst/>
                    </a:prstGeom>
                    <a:ln>
                      <a:noFill/>
                    </a:ln>
                    <a:extLst>
                      <a:ext uri="{53640926-AAD7-44D8-BBD7-CCE9431645EC}">
                        <a14:shadowObscured xmlns:a14="http://schemas.microsoft.com/office/drawing/2010/main"/>
                      </a:ext>
                    </a:extLst>
                  </pic:spPr>
                </pic:pic>
              </a:graphicData>
            </a:graphic>
          </wp:inline>
        </w:drawing>
      </w:r>
    </w:p>
    <w:p w14:paraId="5514E995" w14:textId="6CF59C31" w:rsidR="00087547" w:rsidRPr="00AF6D15" w:rsidRDefault="00087547" w:rsidP="00AF6D15">
      <w:pPr>
        <w:rPr>
          <w:b/>
          <w:sz w:val="16"/>
          <w:szCs w:val="16"/>
        </w:rPr>
      </w:pPr>
    </w:p>
    <w:p w14:paraId="1E51CB67" w14:textId="77777777" w:rsidR="00087547" w:rsidRPr="00AF6D15" w:rsidRDefault="00087547" w:rsidP="00AF6D15">
      <w:pPr>
        <w:rPr>
          <w:b/>
          <w:sz w:val="16"/>
          <w:szCs w:val="16"/>
        </w:rPr>
      </w:pPr>
    </w:p>
    <w:p w14:paraId="42F4F2D4" w14:textId="77777777" w:rsidR="00087547" w:rsidRPr="00AF6D15" w:rsidRDefault="00087547" w:rsidP="00AF6D15">
      <w:pPr>
        <w:rPr>
          <w:b/>
          <w:sz w:val="16"/>
          <w:szCs w:val="16"/>
        </w:rPr>
      </w:pPr>
    </w:p>
    <w:p w14:paraId="4A1482A3" w14:textId="77777777" w:rsidR="00087547" w:rsidRPr="00AF6D15" w:rsidRDefault="00087547" w:rsidP="00AF6D15">
      <w:pPr>
        <w:rPr>
          <w:b/>
          <w:sz w:val="16"/>
          <w:szCs w:val="16"/>
        </w:rPr>
      </w:pPr>
    </w:p>
    <w:p w14:paraId="0FE475F8" w14:textId="77777777" w:rsidR="00087547" w:rsidRPr="00AF6D15" w:rsidRDefault="00087547" w:rsidP="00AF6D15">
      <w:pPr>
        <w:rPr>
          <w:b/>
          <w:sz w:val="16"/>
          <w:szCs w:val="16"/>
        </w:rPr>
      </w:pPr>
    </w:p>
    <w:p w14:paraId="4A8E5AE6" w14:textId="77777777" w:rsidR="00087547" w:rsidRPr="00AF6D15" w:rsidRDefault="00087547" w:rsidP="00AF6D15">
      <w:pPr>
        <w:rPr>
          <w:b/>
          <w:sz w:val="16"/>
          <w:szCs w:val="16"/>
        </w:rPr>
      </w:pPr>
    </w:p>
    <w:p w14:paraId="5241FF0C" w14:textId="77777777" w:rsidR="00087547" w:rsidRPr="00AF6D15" w:rsidRDefault="00087547" w:rsidP="00AF6D15">
      <w:pPr>
        <w:rPr>
          <w:b/>
          <w:sz w:val="16"/>
          <w:szCs w:val="16"/>
        </w:rPr>
      </w:pPr>
    </w:p>
    <w:p w14:paraId="48E252DD" w14:textId="77777777" w:rsidR="00087547" w:rsidRPr="00087547" w:rsidRDefault="00087547" w:rsidP="00087547">
      <w:pPr>
        <w:pStyle w:val="ListParagraph"/>
        <w:numPr>
          <w:ilvl w:val="0"/>
          <w:numId w:val="14"/>
        </w:numPr>
        <w:rPr>
          <w:b/>
          <w:sz w:val="16"/>
          <w:szCs w:val="16"/>
        </w:rPr>
      </w:pPr>
      <w:r w:rsidRPr="00087547">
        <w:rPr>
          <w:b/>
          <w:sz w:val="16"/>
          <w:szCs w:val="16"/>
        </w:rPr>
        <w:br w:type="page"/>
      </w:r>
    </w:p>
    <w:p w14:paraId="2D91CA85" w14:textId="34CA71E0" w:rsidR="00087547" w:rsidRPr="00AF6D15" w:rsidRDefault="003B5016" w:rsidP="00AF6D15">
      <w:pPr>
        <w:rPr>
          <w:b/>
          <w:sz w:val="16"/>
          <w:szCs w:val="16"/>
        </w:rPr>
      </w:pPr>
      <w:r>
        <w:rPr>
          <w:b/>
          <w:noProof/>
          <w:sz w:val="16"/>
          <w:szCs w:val="16"/>
        </w:rPr>
        <w:lastRenderedPageBreak/>
        <w:drawing>
          <wp:inline distT="0" distB="0" distL="0" distR="0" wp14:anchorId="557F5F90" wp14:editId="11B4CA3A">
            <wp:extent cx="7383527" cy="2553576"/>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sec813.pdf"/>
                    <pic:cNvPicPr/>
                  </pic:nvPicPr>
                  <pic:blipFill rotWithShape="1">
                    <a:blip r:embed="rId379">
                      <a:extLst>
                        <a:ext uri="{28A0092B-C50C-407E-A947-70E740481C1C}">
                          <a14:useLocalDpi xmlns:a14="http://schemas.microsoft.com/office/drawing/2010/main" val="0"/>
                        </a:ext>
                      </a:extLst>
                    </a:blip>
                    <a:srcRect l="5448" t="8259" r="13012" b="47153"/>
                    <a:stretch/>
                  </pic:blipFill>
                  <pic:spPr bwMode="auto">
                    <a:xfrm>
                      <a:off x="0" y="0"/>
                      <a:ext cx="7418199" cy="2565567"/>
                    </a:xfrm>
                    <a:prstGeom prst="rect">
                      <a:avLst/>
                    </a:prstGeom>
                    <a:ln>
                      <a:noFill/>
                    </a:ln>
                    <a:extLst>
                      <a:ext uri="{53640926-AAD7-44D8-BBD7-CCE9431645EC}">
                        <a14:shadowObscured xmlns:a14="http://schemas.microsoft.com/office/drawing/2010/main"/>
                      </a:ext>
                    </a:extLst>
                  </pic:spPr>
                </pic:pic>
              </a:graphicData>
            </a:graphic>
          </wp:inline>
        </w:drawing>
      </w:r>
    </w:p>
    <w:p w14:paraId="1D8A16CE" w14:textId="5FBEE005" w:rsidR="003B5016" w:rsidRDefault="003B5016" w:rsidP="003B5016">
      <w:pPr>
        <w:rPr>
          <w:b/>
          <w:sz w:val="16"/>
          <w:szCs w:val="16"/>
        </w:rPr>
      </w:pPr>
      <w:r>
        <w:rPr>
          <w:b/>
          <w:noProof/>
          <w:sz w:val="16"/>
          <w:szCs w:val="16"/>
        </w:rPr>
        <w:drawing>
          <wp:inline distT="0" distB="0" distL="0" distR="0" wp14:anchorId="08980B4B" wp14:editId="4FE8A747">
            <wp:extent cx="7384415" cy="2971537"/>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sec832.pdf"/>
                    <pic:cNvPicPr/>
                  </pic:nvPicPr>
                  <pic:blipFill rotWithShape="1">
                    <a:blip r:embed="rId380">
                      <a:extLst>
                        <a:ext uri="{28A0092B-C50C-407E-A947-70E740481C1C}">
                          <a14:useLocalDpi xmlns:a14="http://schemas.microsoft.com/office/drawing/2010/main" val="0"/>
                        </a:ext>
                      </a:extLst>
                    </a:blip>
                    <a:srcRect l="8950" t="8396" r="9232" b="38207"/>
                    <a:stretch/>
                  </pic:blipFill>
                  <pic:spPr bwMode="auto">
                    <a:xfrm>
                      <a:off x="0" y="0"/>
                      <a:ext cx="7415900" cy="2984207"/>
                    </a:xfrm>
                    <a:prstGeom prst="rect">
                      <a:avLst/>
                    </a:prstGeom>
                    <a:ln>
                      <a:noFill/>
                    </a:ln>
                    <a:extLst>
                      <a:ext uri="{53640926-AAD7-44D8-BBD7-CCE9431645EC}">
                        <a14:shadowObscured xmlns:a14="http://schemas.microsoft.com/office/drawing/2010/main"/>
                      </a:ext>
                    </a:extLst>
                  </pic:spPr>
                </pic:pic>
              </a:graphicData>
            </a:graphic>
          </wp:inline>
        </w:drawing>
      </w:r>
      <w:r>
        <w:rPr>
          <w:b/>
          <w:sz w:val="16"/>
          <w:szCs w:val="16"/>
        </w:rPr>
        <w:br w:type="page"/>
      </w:r>
    </w:p>
    <w:p w14:paraId="0AF7CC18" w14:textId="0A8FBD1D" w:rsidR="003B5016" w:rsidRPr="003B5016" w:rsidRDefault="003B5016" w:rsidP="003B5016">
      <w:pPr>
        <w:rPr>
          <w:b/>
          <w:sz w:val="16"/>
          <w:szCs w:val="16"/>
        </w:rPr>
      </w:pPr>
      <w:r>
        <w:rPr>
          <w:b/>
          <w:noProof/>
          <w:sz w:val="16"/>
          <w:szCs w:val="16"/>
        </w:rPr>
        <w:lastRenderedPageBreak/>
        <w:drawing>
          <wp:inline distT="0" distB="0" distL="0" distR="0" wp14:anchorId="4756B024" wp14:editId="4A7506FF">
            <wp:extent cx="7772400" cy="2899975"/>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sec833.pdf"/>
                    <pic:cNvPicPr/>
                  </pic:nvPicPr>
                  <pic:blipFill rotWithShape="1">
                    <a:blip r:embed="rId381">
                      <a:extLst>
                        <a:ext uri="{28A0092B-C50C-407E-A947-70E740481C1C}">
                          <a14:useLocalDpi xmlns:a14="http://schemas.microsoft.com/office/drawing/2010/main" val="0"/>
                        </a:ext>
                      </a:extLst>
                    </a:blip>
                    <a:srcRect l="1945" t="8671" r="2131" b="40684"/>
                    <a:stretch/>
                  </pic:blipFill>
                  <pic:spPr bwMode="auto">
                    <a:xfrm>
                      <a:off x="0" y="0"/>
                      <a:ext cx="7774673" cy="2900823"/>
                    </a:xfrm>
                    <a:prstGeom prst="rect">
                      <a:avLst/>
                    </a:prstGeom>
                    <a:ln>
                      <a:noFill/>
                    </a:ln>
                    <a:extLst>
                      <a:ext uri="{53640926-AAD7-44D8-BBD7-CCE9431645EC}">
                        <a14:shadowObscured xmlns:a14="http://schemas.microsoft.com/office/drawing/2010/main"/>
                      </a:ext>
                    </a:extLst>
                  </pic:spPr>
                </pic:pic>
              </a:graphicData>
            </a:graphic>
          </wp:inline>
        </w:drawing>
      </w:r>
    </w:p>
    <w:p w14:paraId="3916938C" w14:textId="38A50E90" w:rsidR="00087547" w:rsidRPr="00AF6D15" w:rsidRDefault="00087547" w:rsidP="00AF6D15">
      <w:pPr>
        <w:rPr>
          <w:b/>
          <w:sz w:val="16"/>
          <w:szCs w:val="16"/>
        </w:rPr>
      </w:pPr>
    </w:p>
    <w:p w14:paraId="32273AA7" w14:textId="77777777" w:rsidR="00087547" w:rsidRPr="00AF6D15" w:rsidRDefault="00087547" w:rsidP="00AF6D15">
      <w:pPr>
        <w:rPr>
          <w:b/>
          <w:sz w:val="16"/>
          <w:szCs w:val="16"/>
        </w:rPr>
      </w:pPr>
      <w:r w:rsidRPr="00AF6D15">
        <w:rPr>
          <w:b/>
          <w:sz w:val="16"/>
          <w:szCs w:val="16"/>
        </w:rPr>
        <w:br w:type="page"/>
      </w:r>
    </w:p>
    <w:p w14:paraId="2F68C8F3" w14:textId="0F125585" w:rsidR="00087547" w:rsidRPr="00AF6D15" w:rsidRDefault="00465AEE" w:rsidP="00AF6D15">
      <w:pPr>
        <w:rPr>
          <w:b/>
          <w:sz w:val="16"/>
          <w:szCs w:val="16"/>
        </w:rPr>
      </w:pPr>
      <w:r>
        <w:rPr>
          <w:b/>
          <w:noProof/>
          <w:sz w:val="16"/>
          <w:szCs w:val="16"/>
        </w:rPr>
        <w:lastRenderedPageBreak/>
        <w:drawing>
          <wp:inline distT="0" distB="0" distL="0" distR="0" wp14:anchorId="4D679932" wp14:editId="028ED4E1">
            <wp:extent cx="6014545" cy="4688840"/>
            <wp:effectExtent l="0" t="0" r="5715"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sec910.pdf"/>
                    <pic:cNvPicPr/>
                  </pic:nvPicPr>
                  <pic:blipFill rotWithShape="1">
                    <a:blip r:embed="rId382">
                      <a:extLst>
                        <a:ext uri="{28A0092B-C50C-407E-A947-70E740481C1C}">
                          <a14:useLocalDpi xmlns:a14="http://schemas.microsoft.com/office/drawing/2010/main" val="0"/>
                        </a:ext>
                      </a:extLst>
                    </a:blip>
                    <a:srcRect l="15174" t="8396" r="15371" b="9717"/>
                    <a:stretch/>
                  </pic:blipFill>
                  <pic:spPr bwMode="auto">
                    <a:xfrm>
                      <a:off x="0" y="0"/>
                      <a:ext cx="6019227" cy="4692490"/>
                    </a:xfrm>
                    <a:prstGeom prst="rect">
                      <a:avLst/>
                    </a:prstGeom>
                    <a:ln>
                      <a:noFill/>
                    </a:ln>
                    <a:extLst>
                      <a:ext uri="{53640926-AAD7-44D8-BBD7-CCE9431645EC}">
                        <a14:shadowObscured xmlns:a14="http://schemas.microsoft.com/office/drawing/2010/main"/>
                      </a:ext>
                    </a:extLst>
                  </pic:spPr>
                </pic:pic>
              </a:graphicData>
            </a:graphic>
          </wp:inline>
        </w:drawing>
      </w:r>
    </w:p>
    <w:p w14:paraId="61F1DB41" w14:textId="77777777" w:rsidR="00087547" w:rsidRPr="00087547" w:rsidRDefault="00087547" w:rsidP="00087547">
      <w:pPr>
        <w:pStyle w:val="ListParagraph"/>
        <w:numPr>
          <w:ilvl w:val="0"/>
          <w:numId w:val="14"/>
        </w:numPr>
        <w:rPr>
          <w:b/>
          <w:sz w:val="16"/>
          <w:szCs w:val="16"/>
        </w:rPr>
      </w:pPr>
      <w:r w:rsidRPr="00087547">
        <w:rPr>
          <w:b/>
          <w:sz w:val="16"/>
          <w:szCs w:val="16"/>
        </w:rPr>
        <w:br w:type="page"/>
      </w:r>
    </w:p>
    <w:p w14:paraId="2C980508" w14:textId="01F4C635" w:rsidR="00087547" w:rsidRPr="00AF6D15" w:rsidRDefault="00465AEE" w:rsidP="00AF6D15">
      <w:pPr>
        <w:rPr>
          <w:b/>
          <w:sz w:val="16"/>
          <w:szCs w:val="16"/>
        </w:rPr>
      </w:pPr>
      <w:r>
        <w:rPr>
          <w:b/>
          <w:noProof/>
          <w:sz w:val="16"/>
          <w:szCs w:val="16"/>
        </w:rPr>
        <w:lastRenderedPageBreak/>
        <w:drawing>
          <wp:inline distT="0" distB="0" distL="0" distR="0" wp14:anchorId="26649102" wp14:editId="3C235DA5">
            <wp:extent cx="7874876" cy="406654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sec11.pdf"/>
                    <pic:cNvPicPr/>
                  </pic:nvPicPr>
                  <pic:blipFill rotWithShape="1">
                    <a:blip r:embed="rId383">
                      <a:extLst>
                        <a:ext uri="{28A0092B-C50C-407E-A947-70E740481C1C}">
                          <a14:useLocalDpi xmlns:a14="http://schemas.microsoft.com/office/drawing/2010/main" val="0"/>
                        </a:ext>
                      </a:extLst>
                    </a:blip>
                    <a:srcRect l="1459" t="7982" r="1360" b="21004"/>
                    <a:stretch/>
                  </pic:blipFill>
                  <pic:spPr bwMode="auto">
                    <a:xfrm>
                      <a:off x="0" y="0"/>
                      <a:ext cx="7876677" cy="4067470"/>
                    </a:xfrm>
                    <a:prstGeom prst="rect">
                      <a:avLst/>
                    </a:prstGeom>
                    <a:ln>
                      <a:noFill/>
                    </a:ln>
                    <a:extLst>
                      <a:ext uri="{53640926-AAD7-44D8-BBD7-CCE9431645EC}">
                        <a14:shadowObscured xmlns:a14="http://schemas.microsoft.com/office/drawing/2010/main"/>
                      </a:ext>
                    </a:extLst>
                  </pic:spPr>
                </pic:pic>
              </a:graphicData>
            </a:graphic>
          </wp:inline>
        </w:drawing>
      </w:r>
    </w:p>
    <w:p w14:paraId="5F05CA90" w14:textId="77777777" w:rsidR="00087547" w:rsidRPr="00AF6D15" w:rsidRDefault="00087547" w:rsidP="00AF6D15">
      <w:pPr>
        <w:rPr>
          <w:b/>
          <w:sz w:val="16"/>
          <w:szCs w:val="16"/>
        </w:rPr>
      </w:pPr>
    </w:p>
    <w:p w14:paraId="7C38DB2A" w14:textId="77777777" w:rsidR="00087547" w:rsidRPr="00AF6D15" w:rsidRDefault="00087547" w:rsidP="00AF6D15">
      <w:pPr>
        <w:rPr>
          <w:b/>
          <w:sz w:val="16"/>
          <w:szCs w:val="16"/>
        </w:rPr>
      </w:pPr>
    </w:p>
    <w:p w14:paraId="2C3CC6D5" w14:textId="77777777" w:rsidR="00087547" w:rsidRPr="00087547" w:rsidRDefault="00087547" w:rsidP="00087547">
      <w:pPr>
        <w:pStyle w:val="ListParagraph"/>
        <w:numPr>
          <w:ilvl w:val="0"/>
          <w:numId w:val="14"/>
        </w:numPr>
        <w:rPr>
          <w:b/>
          <w:sz w:val="16"/>
          <w:szCs w:val="16"/>
        </w:rPr>
      </w:pPr>
      <w:r w:rsidRPr="00087547">
        <w:rPr>
          <w:b/>
          <w:sz w:val="16"/>
          <w:szCs w:val="16"/>
        </w:rPr>
        <w:br w:type="page"/>
      </w:r>
    </w:p>
    <w:p w14:paraId="32A49480" w14:textId="0EFF2B14" w:rsidR="00087547" w:rsidRPr="00AF6D15" w:rsidRDefault="00465AEE" w:rsidP="00AF6D15">
      <w:pPr>
        <w:rPr>
          <w:b/>
          <w:sz w:val="16"/>
          <w:szCs w:val="16"/>
        </w:rPr>
      </w:pPr>
      <w:r>
        <w:rPr>
          <w:b/>
          <w:noProof/>
          <w:sz w:val="16"/>
          <w:szCs w:val="16"/>
        </w:rPr>
        <w:lastRenderedPageBreak/>
        <w:drawing>
          <wp:inline distT="0" distB="0" distL="0" distR="0" wp14:anchorId="6E246A64" wp14:editId="5149B1F3">
            <wp:extent cx="7504386" cy="429480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sec12.pdf"/>
                    <pic:cNvPicPr/>
                  </pic:nvPicPr>
                  <pic:blipFill rotWithShape="1">
                    <a:blip r:embed="rId384">
                      <a:extLst>
                        <a:ext uri="{28A0092B-C50C-407E-A947-70E740481C1C}">
                          <a14:useLocalDpi xmlns:a14="http://schemas.microsoft.com/office/drawing/2010/main" val="0"/>
                        </a:ext>
                      </a:extLst>
                    </a:blip>
                    <a:srcRect l="3600" t="7432" r="3785" b="17562"/>
                    <a:stretch/>
                  </pic:blipFill>
                  <pic:spPr bwMode="auto">
                    <a:xfrm>
                      <a:off x="0" y="0"/>
                      <a:ext cx="7506577" cy="4296054"/>
                    </a:xfrm>
                    <a:prstGeom prst="rect">
                      <a:avLst/>
                    </a:prstGeom>
                    <a:ln>
                      <a:noFill/>
                    </a:ln>
                    <a:extLst>
                      <a:ext uri="{53640926-AAD7-44D8-BBD7-CCE9431645EC}">
                        <a14:shadowObscured xmlns:a14="http://schemas.microsoft.com/office/drawing/2010/main"/>
                      </a:ext>
                    </a:extLst>
                  </pic:spPr>
                </pic:pic>
              </a:graphicData>
            </a:graphic>
          </wp:inline>
        </w:drawing>
      </w:r>
    </w:p>
    <w:p w14:paraId="6EE1B209" w14:textId="77777777" w:rsidR="00087547" w:rsidRPr="00AF6D15" w:rsidRDefault="00087547" w:rsidP="00AF6D15">
      <w:pPr>
        <w:rPr>
          <w:b/>
          <w:sz w:val="16"/>
          <w:szCs w:val="16"/>
        </w:rPr>
      </w:pPr>
    </w:p>
    <w:p w14:paraId="637804AB" w14:textId="77777777" w:rsidR="00087547" w:rsidRPr="00AF6D15" w:rsidRDefault="00087547" w:rsidP="00AF6D15">
      <w:pPr>
        <w:rPr>
          <w:b/>
          <w:sz w:val="16"/>
          <w:szCs w:val="16"/>
        </w:rPr>
      </w:pPr>
    </w:p>
    <w:p w14:paraId="0E5808A3" w14:textId="77777777" w:rsidR="00087547" w:rsidRPr="00AF6D15" w:rsidRDefault="00087547" w:rsidP="00AF6D15">
      <w:pPr>
        <w:rPr>
          <w:b/>
          <w:sz w:val="16"/>
          <w:szCs w:val="16"/>
        </w:rPr>
      </w:pPr>
      <w:r w:rsidRPr="00AF6D15">
        <w:rPr>
          <w:b/>
          <w:sz w:val="16"/>
          <w:szCs w:val="16"/>
        </w:rPr>
        <w:br w:type="page"/>
      </w:r>
    </w:p>
    <w:p w14:paraId="625019FF" w14:textId="16BA5083" w:rsidR="00087547" w:rsidRPr="00AF6D15" w:rsidRDefault="00465AEE" w:rsidP="00AF6D15">
      <w:pPr>
        <w:rPr>
          <w:b/>
          <w:sz w:val="16"/>
          <w:szCs w:val="16"/>
        </w:rPr>
      </w:pPr>
      <w:r>
        <w:rPr>
          <w:b/>
          <w:noProof/>
          <w:sz w:val="16"/>
          <w:szCs w:val="16"/>
        </w:rPr>
        <w:lastRenderedPageBreak/>
        <w:drawing>
          <wp:inline distT="0" distB="0" distL="0" distR="0" wp14:anchorId="04AF6A64" wp14:editId="0731D494">
            <wp:extent cx="7504386" cy="4634230"/>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sec12.4.pdf"/>
                    <pic:cNvPicPr/>
                  </pic:nvPicPr>
                  <pic:blipFill rotWithShape="1">
                    <a:blip r:embed="rId385">
                      <a:extLst>
                        <a:ext uri="{28A0092B-C50C-407E-A947-70E740481C1C}">
                          <a14:useLocalDpi xmlns:a14="http://schemas.microsoft.com/office/drawing/2010/main" val="0"/>
                        </a:ext>
                      </a:extLst>
                    </a:blip>
                    <a:srcRect l="3404" t="8258" r="3991" b="10820"/>
                    <a:stretch/>
                  </pic:blipFill>
                  <pic:spPr bwMode="auto">
                    <a:xfrm>
                      <a:off x="0" y="0"/>
                      <a:ext cx="7505701" cy="4635042"/>
                    </a:xfrm>
                    <a:prstGeom prst="rect">
                      <a:avLst/>
                    </a:prstGeom>
                    <a:ln>
                      <a:noFill/>
                    </a:ln>
                    <a:extLst>
                      <a:ext uri="{53640926-AAD7-44D8-BBD7-CCE9431645EC}">
                        <a14:shadowObscured xmlns:a14="http://schemas.microsoft.com/office/drawing/2010/main"/>
                      </a:ext>
                    </a:extLst>
                  </pic:spPr>
                </pic:pic>
              </a:graphicData>
            </a:graphic>
          </wp:inline>
        </w:drawing>
      </w:r>
    </w:p>
    <w:p w14:paraId="36024219" w14:textId="77777777" w:rsidR="00087547" w:rsidRPr="00087547" w:rsidRDefault="00087547" w:rsidP="00087547">
      <w:pPr>
        <w:pStyle w:val="ListParagraph"/>
        <w:numPr>
          <w:ilvl w:val="0"/>
          <w:numId w:val="14"/>
        </w:numPr>
        <w:rPr>
          <w:b/>
          <w:sz w:val="16"/>
          <w:szCs w:val="16"/>
        </w:rPr>
      </w:pPr>
      <w:r w:rsidRPr="00087547">
        <w:rPr>
          <w:b/>
          <w:sz w:val="16"/>
          <w:szCs w:val="16"/>
        </w:rPr>
        <w:br w:type="page"/>
      </w:r>
    </w:p>
    <w:p w14:paraId="0FAE9998" w14:textId="16E7F9E6" w:rsidR="00087547" w:rsidRPr="00AF6D15" w:rsidRDefault="00465AEE" w:rsidP="00AF6D15">
      <w:pPr>
        <w:rPr>
          <w:b/>
          <w:sz w:val="16"/>
          <w:szCs w:val="16"/>
        </w:rPr>
      </w:pPr>
      <w:r>
        <w:rPr>
          <w:b/>
          <w:noProof/>
          <w:sz w:val="16"/>
          <w:szCs w:val="16"/>
        </w:rPr>
        <w:lastRenderedPageBreak/>
        <w:drawing>
          <wp:inline distT="0" distB="0" distL="0" distR="0" wp14:anchorId="5C6AAC3E" wp14:editId="69CB348B">
            <wp:extent cx="6195067" cy="465836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sec13.pdf"/>
                    <pic:cNvPicPr/>
                  </pic:nvPicPr>
                  <pic:blipFill rotWithShape="1">
                    <a:blip r:embed="rId386">
                      <a:extLst>
                        <a:ext uri="{28A0092B-C50C-407E-A947-70E740481C1C}">
                          <a14:useLocalDpi xmlns:a14="http://schemas.microsoft.com/office/drawing/2010/main" val="0"/>
                        </a:ext>
                      </a:extLst>
                    </a:blip>
                    <a:srcRect l="12256" t="8533" r="11299" b="10124"/>
                    <a:stretch/>
                  </pic:blipFill>
                  <pic:spPr bwMode="auto">
                    <a:xfrm>
                      <a:off x="0" y="0"/>
                      <a:ext cx="6195999" cy="4659061"/>
                    </a:xfrm>
                    <a:prstGeom prst="rect">
                      <a:avLst/>
                    </a:prstGeom>
                    <a:ln>
                      <a:noFill/>
                    </a:ln>
                    <a:extLst>
                      <a:ext uri="{53640926-AAD7-44D8-BBD7-CCE9431645EC}">
                        <a14:shadowObscured xmlns:a14="http://schemas.microsoft.com/office/drawing/2010/main"/>
                      </a:ext>
                    </a:extLst>
                  </pic:spPr>
                </pic:pic>
              </a:graphicData>
            </a:graphic>
          </wp:inline>
        </w:drawing>
      </w:r>
    </w:p>
    <w:p w14:paraId="38470DE6" w14:textId="77777777" w:rsidR="00087547" w:rsidRPr="00087547" w:rsidRDefault="00087547" w:rsidP="00087547">
      <w:pPr>
        <w:pStyle w:val="ListParagraph"/>
        <w:numPr>
          <w:ilvl w:val="0"/>
          <w:numId w:val="14"/>
        </w:numPr>
        <w:rPr>
          <w:b/>
          <w:sz w:val="16"/>
          <w:szCs w:val="16"/>
        </w:rPr>
      </w:pPr>
      <w:r w:rsidRPr="00087547">
        <w:rPr>
          <w:b/>
          <w:sz w:val="16"/>
          <w:szCs w:val="16"/>
        </w:rPr>
        <w:br w:type="page"/>
      </w:r>
    </w:p>
    <w:p w14:paraId="18ECF471" w14:textId="754F476B" w:rsidR="00087547" w:rsidRPr="00AF6D15" w:rsidRDefault="00465AEE" w:rsidP="00AF6D15">
      <w:pPr>
        <w:rPr>
          <w:b/>
          <w:sz w:val="16"/>
          <w:szCs w:val="16"/>
        </w:rPr>
      </w:pPr>
      <w:r>
        <w:rPr>
          <w:b/>
          <w:noProof/>
          <w:sz w:val="16"/>
          <w:szCs w:val="16"/>
        </w:rPr>
        <w:lastRenderedPageBreak/>
        <w:drawing>
          <wp:inline distT="0" distB="0" distL="0" distR="0" wp14:anchorId="7D73D6EB" wp14:editId="17E32A61">
            <wp:extent cx="6976241" cy="2860483"/>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sec14.pdf"/>
                    <pic:cNvPicPr/>
                  </pic:nvPicPr>
                  <pic:blipFill rotWithShape="1">
                    <a:blip r:embed="rId387">
                      <a:extLst>
                        <a:ext uri="{28A0092B-C50C-407E-A947-70E740481C1C}">
                          <a14:useLocalDpi xmlns:a14="http://schemas.microsoft.com/office/drawing/2010/main" val="0"/>
                        </a:ext>
                      </a:extLst>
                    </a:blip>
                    <a:srcRect l="6810" t="8396" r="7091" b="41647"/>
                    <a:stretch/>
                  </pic:blipFill>
                  <pic:spPr bwMode="auto">
                    <a:xfrm>
                      <a:off x="0" y="0"/>
                      <a:ext cx="6978479" cy="2861401"/>
                    </a:xfrm>
                    <a:prstGeom prst="rect">
                      <a:avLst/>
                    </a:prstGeom>
                    <a:ln>
                      <a:noFill/>
                    </a:ln>
                    <a:extLst>
                      <a:ext uri="{53640926-AAD7-44D8-BBD7-CCE9431645EC}">
                        <a14:shadowObscured xmlns:a14="http://schemas.microsoft.com/office/drawing/2010/main"/>
                      </a:ext>
                    </a:extLst>
                  </pic:spPr>
                </pic:pic>
              </a:graphicData>
            </a:graphic>
          </wp:inline>
        </w:drawing>
      </w:r>
    </w:p>
    <w:p w14:paraId="6C621535" w14:textId="6BDADC3B" w:rsidR="00087547" w:rsidRPr="00AF6D15" w:rsidRDefault="00087547" w:rsidP="00AF6D15">
      <w:pPr>
        <w:rPr>
          <w:b/>
          <w:sz w:val="16"/>
          <w:szCs w:val="16"/>
        </w:rPr>
      </w:pPr>
    </w:p>
    <w:p w14:paraId="09D48C2A" w14:textId="2E40E250" w:rsidR="00087547" w:rsidRPr="00AF6D15" w:rsidRDefault="00087547" w:rsidP="00AF6D15">
      <w:pPr>
        <w:rPr>
          <w:b/>
          <w:sz w:val="16"/>
          <w:szCs w:val="16"/>
        </w:rPr>
      </w:pPr>
    </w:p>
    <w:p w14:paraId="3A11EF1D" w14:textId="77777777" w:rsidR="00087547" w:rsidRPr="00087547" w:rsidRDefault="00087547" w:rsidP="00AF6D15">
      <w:pPr>
        <w:pStyle w:val="ListParagraph"/>
        <w:ind w:left="425"/>
        <w:rPr>
          <w:b/>
          <w:sz w:val="16"/>
          <w:szCs w:val="16"/>
        </w:rPr>
      </w:pPr>
    </w:p>
    <w:p w14:paraId="5D0F0CCA" w14:textId="77777777" w:rsidR="00087547" w:rsidRPr="00087547" w:rsidRDefault="00087547" w:rsidP="00087547">
      <w:pPr>
        <w:pStyle w:val="ListParagraph"/>
        <w:numPr>
          <w:ilvl w:val="0"/>
          <w:numId w:val="14"/>
        </w:numPr>
        <w:rPr>
          <w:b/>
          <w:sz w:val="16"/>
          <w:szCs w:val="16"/>
        </w:rPr>
      </w:pPr>
      <w:r w:rsidRPr="00087547">
        <w:rPr>
          <w:b/>
          <w:sz w:val="16"/>
          <w:szCs w:val="16"/>
        </w:rPr>
        <w:br w:type="page"/>
      </w:r>
    </w:p>
    <w:p w14:paraId="48FF774D" w14:textId="432E4D18" w:rsidR="002E5E8E" w:rsidRDefault="00465AEE" w:rsidP="008F4559">
      <w:r>
        <w:rPr>
          <w:noProof/>
        </w:rPr>
        <w:lastRenderedPageBreak/>
        <w:drawing>
          <wp:inline distT="0" distB="0" distL="0" distR="0" wp14:anchorId="62506FC1" wp14:editId="70BBCFBF">
            <wp:extent cx="8111359" cy="5446395"/>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Sec15.pdf"/>
                    <pic:cNvPicPr/>
                  </pic:nvPicPr>
                  <pic:blipFill rotWithShape="1">
                    <a:blip r:embed="rId388">
                      <a:extLst>
                        <a:ext uri="{28A0092B-C50C-407E-A947-70E740481C1C}">
                          <a14:useLocalDpi xmlns:a14="http://schemas.microsoft.com/office/drawing/2010/main" val="0"/>
                        </a:ext>
                      </a:extLst>
                    </a:blip>
                    <a:srcRect l="973" t="1514" r="7216" b="3381"/>
                    <a:stretch/>
                  </pic:blipFill>
                  <pic:spPr bwMode="auto">
                    <a:xfrm>
                      <a:off x="0" y="0"/>
                      <a:ext cx="8116608" cy="5449920"/>
                    </a:xfrm>
                    <a:prstGeom prst="rect">
                      <a:avLst/>
                    </a:prstGeom>
                    <a:ln>
                      <a:noFill/>
                    </a:ln>
                    <a:extLst>
                      <a:ext uri="{53640926-AAD7-44D8-BBD7-CCE9431645EC}">
                        <a14:shadowObscured xmlns:a14="http://schemas.microsoft.com/office/drawing/2010/main"/>
                      </a:ext>
                    </a:extLst>
                  </pic:spPr>
                </pic:pic>
              </a:graphicData>
            </a:graphic>
          </wp:inline>
        </w:drawing>
      </w:r>
    </w:p>
    <w:p w14:paraId="4481464F" w14:textId="1B901611" w:rsidR="003C00D1" w:rsidRDefault="002E5E8E">
      <w:pPr>
        <w:spacing w:line="240" w:lineRule="auto"/>
        <w:contextualSpacing w:val="0"/>
        <w:jc w:val="left"/>
      </w:pPr>
      <w:r>
        <w:br w:type="page"/>
      </w:r>
    </w:p>
    <w:p w14:paraId="18C2BEDC" w14:textId="5E5676B2" w:rsidR="003C00D1" w:rsidRDefault="00465AEE">
      <w:pPr>
        <w:spacing w:line="240" w:lineRule="auto"/>
        <w:contextualSpacing w:val="0"/>
        <w:jc w:val="left"/>
      </w:pPr>
      <w:r>
        <w:rPr>
          <w:noProof/>
        </w:rPr>
        <w:lastRenderedPageBreak/>
        <w:drawing>
          <wp:inline distT="0" distB="0" distL="0" distR="0" wp14:anchorId="36147D4E" wp14:editId="6498DAE2">
            <wp:extent cx="7779717" cy="4941482"/>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Sec16.pdf"/>
                    <pic:cNvPicPr/>
                  </pic:nvPicPr>
                  <pic:blipFill rotWithShape="1">
                    <a:blip r:embed="rId389">
                      <a:extLst>
                        <a:ext uri="{28A0092B-C50C-407E-A947-70E740481C1C}">
                          <a14:useLocalDpi xmlns:a14="http://schemas.microsoft.com/office/drawing/2010/main" val="0"/>
                        </a:ext>
                      </a:extLst>
                    </a:blip>
                    <a:srcRect l="1264" t="1377" r="2731" b="12333"/>
                    <a:stretch/>
                  </pic:blipFill>
                  <pic:spPr bwMode="auto">
                    <a:xfrm>
                      <a:off x="0" y="0"/>
                      <a:ext cx="7781277" cy="4942473"/>
                    </a:xfrm>
                    <a:prstGeom prst="rect">
                      <a:avLst/>
                    </a:prstGeom>
                    <a:ln>
                      <a:noFill/>
                    </a:ln>
                    <a:extLst>
                      <a:ext uri="{53640926-AAD7-44D8-BBD7-CCE9431645EC}">
                        <a14:shadowObscured xmlns:a14="http://schemas.microsoft.com/office/drawing/2010/main"/>
                      </a:ext>
                    </a:extLst>
                  </pic:spPr>
                </pic:pic>
              </a:graphicData>
            </a:graphic>
          </wp:inline>
        </w:drawing>
      </w:r>
      <w:r w:rsidR="003C00D1">
        <w:br w:type="page"/>
      </w:r>
    </w:p>
    <w:p w14:paraId="2E7318EC" w14:textId="6CD24252" w:rsidR="002E5E8E" w:rsidRDefault="00465AEE" w:rsidP="008F4559">
      <w:r>
        <w:rPr>
          <w:noProof/>
        </w:rPr>
        <w:lastRenderedPageBreak/>
        <w:drawing>
          <wp:inline distT="0" distB="0" distL="0" distR="0" wp14:anchorId="07E8D229" wp14:editId="742FEFE1">
            <wp:extent cx="7835462" cy="4098103"/>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Sec17.pdf"/>
                    <pic:cNvPicPr/>
                  </pic:nvPicPr>
                  <pic:blipFill rotWithShape="1">
                    <a:blip r:embed="rId390">
                      <a:extLst>
                        <a:ext uri="{28A0092B-C50C-407E-A947-70E740481C1C}">
                          <a14:useLocalDpi xmlns:a14="http://schemas.microsoft.com/office/drawing/2010/main" val="0"/>
                        </a:ext>
                      </a:extLst>
                    </a:blip>
                    <a:srcRect l="973" t="1238" r="2332" b="27197"/>
                    <a:stretch/>
                  </pic:blipFill>
                  <pic:spPr bwMode="auto">
                    <a:xfrm>
                      <a:off x="0" y="0"/>
                      <a:ext cx="7837223" cy="4099024"/>
                    </a:xfrm>
                    <a:prstGeom prst="rect">
                      <a:avLst/>
                    </a:prstGeom>
                    <a:ln>
                      <a:noFill/>
                    </a:ln>
                    <a:extLst>
                      <a:ext uri="{53640926-AAD7-44D8-BBD7-CCE9431645EC}">
                        <a14:shadowObscured xmlns:a14="http://schemas.microsoft.com/office/drawing/2010/main"/>
                      </a:ext>
                    </a:extLst>
                  </pic:spPr>
                </pic:pic>
              </a:graphicData>
            </a:graphic>
          </wp:inline>
        </w:drawing>
      </w:r>
    </w:p>
    <w:p w14:paraId="59472D36" w14:textId="77777777" w:rsidR="00293ACC" w:rsidRDefault="00293ACC" w:rsidP="008F4559"/>
    <w:p w14:paraId="6D2984A3" w14:textId="77777777" w:rsidR="00293ACC" w:rsidRDefault="00293ACC" w:rsidP="008F4559">
      <w:pPr>
        <w:sectPr w:rsidR="00293ACC" w:rsidSect="00DE41C4">
          <w:pgSz w:w="16840" w:h="11900" w:orient="landscape" w:code="9"/>
          <w:pgMar w:top="1440" w:right="1440" w:bottom="1440" w:left="1440" w:header="708" w:footer="708" w:gutter="0"/>
          <w:cols w:space="708"/>
          <w:docGrid w:linePitch="360"/>
        </w:sectPr>
      </w:pPr>
    </w:p>
    <w:p w14:paraId="71951FCB" w14:textId="77777777" w:rsidR="00465AEE" w:rsidRDefault="00293ACC" w:rsidP="008F4559">
      <w:r>
        <w:rPr>
          <w:noProof/>
        </w:rPr>
        <w:lastRenderedPageBreak/>
        <w:drawing>
          <wp:inline distT="0" distB="0" distL="0" distR="0" wp14:anchorId="611F3FF7" wp14:editId="1C5E1F8F">
            <wp:extent cx="5966197" cy="5233035"/>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Sec18.pdf"/>
                    <pic:cNvPicPr/>
                  </pic:nvPicPr>
                  <pic:blipFill rotWithShape="1">
                    <a:blip r:embed="rId391">
                      <a:extLst>
                        <a:ext uri="{28A0092B-C50C-407E-A947-70E740481C1C}">
                          <a14:useLocalDpi xmlns:a14="http://schemas.microsoft.com/office/drawing/2010/main" val="0"/>
                        </a:ext>
                      </a:extLst>
                    </a:blip>
                    <a:srcRect l="875" t="1514" r="25499" b="7103"/>
                    <a:stretch/>
                  </pic:blipFill>
                  <pic:spPr bwMode="auto">
                    <a:xfrm>
                      <a:off x="0" y="0"/>
                      <a:ext cx="5967457" cy="5234140"/>
                    </a:xfrm>
                    <a:prstGeom prst="rect">
                      <a:avLst/>
                    </a:prstGeom>
                    <a:ln>
                      <a:noFill/>
                    </a:ln>
                    <a:extLst>
                      <a:ext uri="{53640926-AAD7-44D8-BBD7-CCE9431645EC}">
                        <a14:shadowObscured xmlns:a14="http://schemas.microsoft.com/office/drawing/2010/main"/>
                      </a:ext>
                    </a:extLst>
                  </pic:spPr>
                </pic:pic>
              </a:graphicData>
            </a:graphic>
          </wp:inline>
        </w:drawing>
      </w:r>
    </w:p>
    <w:p w14:paraId="4E620508" w14:textId="0A73658C" w:rsidR="00293ACC" w:rsidRDefault="00293ACC">
      <w:pPr>
        <w:spacing w:line="240" w:lineRule="auto"/>
        <w:contextualSpacing w:val="0"/>
        <w:jc w:val="left"/>
      </w:pPr>
      <w:r>
        <w:br w:type="page"/>
      </w:r>
    </w:p>
    <w:p w14:paraId="080B6D33" w14:textId="0EAD0CBD" w:rsidR="00293ACC" w:rsidRDefault="00293ACC" w:rsidP="008F4559">
      <w:r>
        <w:rPr>
          <w:noProof/>
        </w:rPr>
        <w:lastRenderedPageBreak/>
        <w:drawing>
          <wp:inline distT="0" distB="0" distL="0" distR="0" wp14:anchorId="5EE93DCA" wp14:editId="5CF4ADB0">
            <wp:extent cx="5123793" cy="475245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Se1920.pdf"/>
                    <pic:cNvPicPr/>
                  </pic:nvPicPr>
                  <pic:blipFill rotWithShape="1">
                    <a:blip r:embed="rId392">
                      <a:extLst>
                        <a:ext uri="{28A0092B-C50C-407E-A947-70E740481C1C}">
                          <a14:useLocalDpi xmlns:a14="http://schemas.microsoft.com/office/drawing/2010/main" val="0"/>
                        </a:ext>
                      </a:extLst>
                    </a:blip>
                    <a:srcRect l="21746" t="8181" r="21945" b="8830"/>
                    <a:stretch/>
                  </pic:blipFill>
                  <pic:spPr bwMode="auto">
                    <a:xfrm>
                      <a:off x="0" y="0"/>
                      <a:ext cx="5159454" cy="4785527"/>
                    </a:xfrm>
                    <a:prstGeom prst="rect">
                      <a:avLst/>
                    </a:prstGeom>
                    <a:ln>
                      <a:noFill/>
                    </a:ln>
                    <a:extLst>
                      <a:ext uri="{53640926-AAD7-44D8-BBD7-CCE9431645EC}">
                        <a14:shadowObscured xmlns:a14="http://schemas.microsoft.com/office/drawing/2010/main"/>
                      </a:ext>
                    </a:extLst>
                  </pic:spPr>
                </pic:pic>
              </a:graphicData>
            </a:graphic>
          </wp:inline>
        </w:drawing>
      </w:r>
    </w:p>
    <w:p w14:paraId="1FCE777E" w14:textId="6319C200" w:rsidR="00E04DBB" w:rsidRDefault="00E04DBB" w:rsidP="008F4559">
      <w:r>
        <w:rPr>
          <w:noProof/>
        </w:rPr>
        <w:drawing>
          <wp:inline distT="0" distB="0" distL="0" distR="0" wp14:anchorId="6E346EA9" wp14:editId="7EF1F3A6">
            <wp:extent cx="5123180" cy="2624455"/>
            <wp:effectExtent l="0" t="0" r="0" b="444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sec21.pdf"/>
                    <pic:cNvPicPr/>
                  </pic:nvPicPr>
                  <pic:blipFill rotWithShape="1">
                    <a:blip r:embed="rId393">
                      <a:extLst>
                        <a:ext uri="{28A0092B-C50C-407E-A947-70E740481C1C}">
                          <a14:useLocalDpi xmlns:a14="http://schemas.microsoft.com/office/drawing/2010/main" val="0"/>
                        </a:ext>
                      </a:extLst>
                    </a:blip>
                    <a:srcRect l="22276" t="8399" r="21787" b="50180"/>
                    <a:stretch/>
                  </pic:blipFill>
                  <pic:spPr bwMode="auto">
                    <a:xfrm>
                      <a:off x="0" y="0"/>
                      <a:ext cx="5152091" cy="2639265"/>
                    </a:xfrm>
                    <a:prstGeom prst="rect">
                      <a:avLst/>
                    </a:prstGeom>
                    <a:ln>
                      <a:noFill/>
                    </a:ln>
                    <a:extLst>
                      <a:ext uri="{53640926-AAD7-44D8-BBD7-CCE9431645EC}">
                        <a14:shadowObscured xmlns:a14="http://schemas.microsoft.com/office/drawing/2010/main"/>
                      </a:ext>
                    </a:extLst>
                  </pic:spPr>
                </pic:pic>
              </a:graphicData>
            </a:graphic>
          </wp:inline>
        </w:drawing>
      </w:r>
    </w:p>
    <w:p w14:paraId="203E4670" w14:textId="7D1600C0" w:rsidR="00E04DBB" w:rsidRDefault="00E04DBB" w:rsidP="008F4559"/>
    <w:p w14:paraId="5CFFF9AF" w14:textId="631A8A5C" w:rsidR="00E04DBB" w:rsidRDefault="00E04DBB" w:rsidP="008F4559"/>
    <w:p w14:paraId="0C3AD8D2" w14:textId="77777777" w:rsidR="00E04DBB" w:rsidRDefault="00E04DBB" w:rsidP="008F4559"/>
    <w:p w14:paraId="4B7BE263" w14:textId="0BB92241" w:rsidR="00E04DBB" w:rsidRDefault="00E04DBB" w:rsidP="008F4559">
      <w:r>
        <w:rPr>
          <w:noProof/>
        </w:rPr>
        <w:lastRenderedPageBreak/>
        <w:drawing>
          <wp:inline distT="0" distB="0" distL="0" distR="0" wp14:anchorId="48AAE421" wp14:editId="403D0544">
            <wp:extent cx="5375910" cy="5983014"/>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sec2324.pdf"/>
                    <pic:cNvPicPr/>
                  </pic:nvPicPr>
                  <pic:blipFill rotWithShape="1">
                    <a:blip r:embed="rId394">
                      <a:extLst>
                        <a:ext uri="{28A0092B-C50C-407E-A947-70E740481C1C}">
                          <a14:useLocalDpi xmlns:a14="http://schemas.microsoft.com/office/drawing/2010/main" val="0"/>
                        </a:ext>
                      </a:extLst>
                    </a:blip>
                    <a:srcRect l="20912" t="1927" r="20827" b="5314"/>
                    <a:stretch/>
                  </pic:blipFill>
                  <pic:spPr bwMode="auto">
                    <a:xfrm>
                      <a:off x="0" y="0"/>
                      <a:ext cx="5392559" cy="6001543"/>
                    </a:xfrm>
                    <a:prstGeom prst="rect">
                      <a:avLst/>
                    </a:prstGeom>
                    <a:ln>
                      <a:noFill/>
                    </a:ln>
                    <a:extLst>
                      <a:ext uri="{53640926-AAD7-44D8-BBD7-CCE9431645EC}">
                        <a14:shadowObscured xmlns:a14="http://schemas.microsoft.com/office/drawing/2010/main"/>
                      </a:ext>
                    </a:extLst>
                  </pic:spPr>
                </pic:pic>
              </a:graphicData>
            </a:graphic>
          </wp:inline>
        </w:drawing>
      </w:r>
    </w:p>
    <w:p w14:paraId="5863C060" w14:textId="77777777" w:rsidR="00E04DBB" w:rsidRDefault="00E04DBB" w:rsidP="008F4559"/>
    <w:p w14:paraId="131AF1C1" w14:textId="77777777" w:rsidR="00E04DBB" w:rsidRDefault="00E04DBB" w:rsidP="008F4559">
      <w:pPr>
        <w:sectPr w:rsidR="00E04DBB" w:rsidSect="00E04DBB">
          <w:pgSz w:w="11900" w:h="16840" w:code="9"/>
          <w:pgMar w:top="1440" w:right="1440" w:bottom="1440" w:left="1440" w:header="708" w:footer="708" w:gutter="0"/>
          <w:cols w:space="708"/>
          <w:docGrid w:linePitch="360"/>
        </w:sectPr>
      </w:pPr>
    </w:p>
    <w:p w14:paraId="0ECD195F" w14:textId="09D200DA" w:rsidR="00E04DBB" w:rsidRDefault="00E04DBB" w:rsidP="008F4559">
      <w:r w:rsidRPr="00724AFA">
        <w:rPr>
          <w:noProof/>
        </w:rPr>
        <w:lastRenderedPageBreak/>
        <w:drawing>
          <wp:inline distT="0" distB="0" distL="0" distR="0" wp14:anchorId="58776DF5" wp14:editId="21F03A6B">
            <wp:extent cx="5674752" cy="2861441"/>
            <wp:effectExtent l="0" t="0" r="254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5716405" cy="2882444"/>
                    </a:xfrm>
                    <a:prstGeom prst="rect">
                      <a:avLst/>
                    </a:prstGeom>
                  </pic:spPr>
                </pic:pic>
              </a:graphicData>
            </a:graphic>
          </wp:inline>
        </w:drawing>
      </w:r>
    </w:p>
    <w:p w14:paraId="57ECC514" w14:textId="77777777" w:rsidR="00E04DBB" w:rsidRDefault="00E04DBB">
      <w:pPr>
        <w:spacing w:line="240" w:lineRule="auto"/>
        <w:contextualSpacing w:val="0"/>
        <w:jc w:val="left"/>
      </w:pPr>
      <w:r>
        <w:br w:type="page"/>
      </w:r>
    </w:p>
    <w:p w14:paraId="68643660" w14:textId="1D8023DE" w:rsidR="002E5E8E" w:rsidRDefault="002E5E8E" w:rsidP="008F4559">
      <w:r w:rsidRPr="00A41422">
        <w:rPr>
          <w:noProof/>
        </w:rPr>
        <w:lastRenderedPageBreak/>
        <w:drawing>
          <wp:inline distT="0" distB="0" distL="0" distR="0" wp14:anchorId="4DA1411D" wp14:editId="31EA9395">
            <wp:extent cx="5715000" cy="5727571"/>
            <wp:effectExtent l="0" t="0" r="0" b="63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5725130" cy="5737723"/>
                    </a:xfrm>
                    <a:prstGeom prst="rect">
                      <a:avLst/>
                    </a:prstGeom>
                  </pic:spPr>
                </pic:pic>
              </a:graphicData>
            </a:graphic>
          </wp:inline>
        </w:drawing>
      </w:r>
    </w:p>
    <w:p w14:paraId="6786DCBC" w14:textId="7AC694DA" w:rsidR="002E5E8E" w:rsidRDefault="00E04DBB" w:rsidP="008F4559">
      <w:r>
        <w:rPr>
          <w:noProof/>
        </w:rPr>
        <w:drawing>
          <wp:inline distT="0" distB="0" distL="0" distR="0" wp14:anchorId="2F495E51" wp14:editId="2A347525">
            <wp:extent cx="5770179" cy="258699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Sec2526.pdf"/>
                    <pic:cNvPicPr/>
                  </pic:nvPicPr>
                  <pic:blipFill rotWithShape="1">
                    <a:blip r:embed="rId397">
                      <a:extLst>
                        <a:ext uri="{28A0092B-C50C-407E-A947-70E740481C1C}">
                          <a14:useLocalDpi xmlns:a14="http://schemas.microsoft.com/office/drawing/2010/main" val="0"/>
                        </a:ext>
                      </a:extLst>
                    </a:blip>
                    <a:srcRect l="20500" t="1350" r="20541" b="53455"/>
                    <a:stretch/>
                  </pic:blipFill>
                  <pic:spPr bwMode="auto">
                    <a:xfrm>
                      <a:off x="0" y="0"/>
                      <a:ext cx="5788673" cy="2595281"/>
                    </a:xfrm>
                    <a:prstGeom prst="rect">
                      <a:avLst/>
                    </a:prstGeom>
                    <a:ln>
                      <a:noFill/>
                    </a:ln>
                    <a:extLst>
                      <a:ext uri="{53640926-AAD7-44D8-BBD7-CCE9431645EC}">
                        <a14:shadowObscured xmlns:a14="http://schemas.microsoft.com/office/drawing/2010/main"/>
                      </a:ext>
                    </a:extLst>
                  </pic:spPr>
                </pic:pic>
              </a:graphicData>
            </a:graphic>
          </wp:inline>
        </w:drawing>
      </w:r>
    </w:p>
    <w:p w14:paraId="3BCF0CA9" w14:textId="77777777" w:rsidR="002E5E8E" w:rsidRDefault="002E5E8E" w:rsidP="008F4559"/>
    <w:p w14:paraId="11258C9C" w14:textId="77777777" w:rsidR="002E5E8E" w:rsidRDefault="002E5E8E" w:rsidP="008F4559">
      <w:pPr>
        <w:sectPr w:rsidR="002E5E8E" w:rsidSect="00DE41C4">
          <w:pgSz w:w="11900" w:h="16840" w:code="9"/>
          <w:pgMar w:top="1440" w:right="1440" w:bottom="1440" w:left="1440" w:header="708" w:footer="708" w:gutter="0"/>
          <w:cols w:space="708"/>
          <w:docGrid w:linePitch="360"/>
        </w:sectPr>
      </w:pPr>
    </w:p>
    <w:p w14:paraId="74C3360F" w14:textId="4A7549FF" w:rsidR="002E5E8E" w:rsidRDefault="00E04DBB" w:rsidP="008F4559">
      <w:r>
        <w:rPr>
          <w:noProof/>
        </w:rPr>
        <w:lastRenderedPageBreak/>
        <w:drawing>
          <wp:inline distT="0" distB="0" distL="0" distR="0" wp14:anchorId="10A4A30A" wp14:editId="3E694909">
            <wp:extent cx="8164830" cy="3799268"/>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sec2728.pdf"/>
                    <pic:cNvPicPr/>
                  </pic:nvPicPr>
                  <pic:blipFill rotWithShape="1">
                    <a:blip r:embed="rId398">
                      <a:extLst>
                        <a:ext uri="{28A0092B-C50C-407E-A947-70E740481C1C}">
                          <a14:useLocalDpi xmlns:a14="http://schemas.microsoft.com/office/drawing/2010/main" val="0"/>
                        </a:ext>
                      </a:extLst>
                    </a:blip>
                    <a:srcRect l="1589" t="1349" r="1323" b="36142"/>
                    <a:stretch/>
                  </pic:blipFill>
                  <pic:spPr bwMode="auto">
                    <a:xfrm>
                      <a:off x="0" y="0"/>
                      <a:ext cx="8171774" cy="3802499"/>
                    </a:xfrm>
                    <a:prstGeom prst="rect">
                      <a:avLst/>
                    </a:prstGeom>
                    <a:ln>
                      <a:noFill/>
                    </a:ln>
                    <a:extLst>
                      <a:ext uri="{53640926-AAD7-44D8-BBD7-CCE9431645EC}">
                        <a14:shadowObscured xmlns:a14="http://schemas.microsoft.com/office/drawing/2010/main"/>
                      </a:ext>
                    </a:extLst>
                  </pic:spPr>
                </pic:pic>
              </a:graphicData>
            </a:graphic>
          </wp:inline>
        </w:drawing>
      </w:r>
    </w:p>
    <w:p w14:paraId="7FFDE2E5" w14:textId="2837B3C1" w:rsidR="002E5E8E" w:rsidRDefault="002E5E8E" w:rsidP="008F4559"/>
    <w:p w14:paraId="49F6585D" w14:textId="77777777" w:rsidR="002E5E8E" w:rsidRDefault="002E5E8E" w:rsidP="008F4559"/>
    <w:p w14:paraId="0AA8B44A" w14:textId="77777777" w:rsidR="002E5E8E" w:rsidRDefault="002E5E8E" w:rsidP="008F4559">
      <w:pPr>
        <w:sectPr w:rsidR="002E5E8E" w:rsidSect="00DE41C4">
          <w:pgSz w:w="16840" w:h="11900" w:orient="landscape" w:code="9"/>
          <w:pgMar w:top="1440" w:right="1440" w:bottom="1440" w:left="1440" w:header="708" w:footer="708" w:gutter="0"/>
          <w:cols w:space="708"/>
          <w:docGrid w:linePitch="360"/>
        </w:sectPr>
      </w:pPr>
    </w:p>
    <w:p w14:paraId="05193FD2" w14:textId="4448D9FB" w:rsidR="006C7BBB" w:rsidRDefault="00E04DBB" w:rsidP="008F4559">
      <w:r>
        <w:rPr>
          <w:noProof/>
        </w:rPr>
        <w:lastRenderedPageBreak/>
        <w:drawing>
          <wp:inline distT="0" distB="0" distL="0" distR="0" wp14:anchorId="2E0AB90D" wp14:editId="1C7D3588">
            <wp:extent cx="5856890" cy="538353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sec29.pdf"/>
                    <pic:cNvPicPr/>
                  </pic:nvPicPr>
                  <pic:blipFill rotWithShape="1">
                    <a:blip r:embed="rId399">
                      <a:extLst>
                        <a:ext uri="{28A0092B-C50C-407E-A947-70E740481C1C}">
                          <a14:useLocalDpi xmlns:a14="http://schemas.microsoft.com/office/drawing/2010/main" val="0"/>
                        </a:ext>
                      </a:extLst>
                    </a:blip>
                    <a:srcRect l="14617" r="14543" b="4533"/>
                    <a:stretch/>
                  </pic:blipFill>
                  <pic:spPr bwMode="auto">
                    <a:xfrm>
                      <a:off x="0" y="0"/>
                      <a:ext cx="5883762" cy="5408230"/>
                    </a:xfrm>
                    <a:prstGeom prst="rect">
                      <a:avLst/>
                    </a:prstGeom>
                    <a:ln>
                      <a:noFill/>
                    </a:ln>
                    <a:extLst>
                      <a:ext uri="{53640926-AAD7-44D8-BBD7-CCE9431645EC}">
                        <a14:shadowObscured xmlns:a14="http://schemas.microsoft.com/office/drawing/2010/main"/>
                      </a:ext>
                    </a:extLst>
                  </pic:spPr>
                </pic:pic>
              </a:graphicData>
            </a:graphic>
          </wp:inline>
        </w:drawing>
      </w:r>
    </w:p>
    <w:p w14:paraId="39DF516B" w14:textId="77777777" w:rsidR="006C7BBB" w:rsidRDefault="006C7BBB">
      <w:pPr>
        <w:spacing w:line="240" w:lineRule="auto"/>
        <w:contextualSpacing w:val="0"/>
        <w:jc w:val="left"/>
      </w:pPr>
      <w:r>
        <w:br w:type="page"/>
      </w:r>
    </w:p>
    <w:p w14:paraId="34B212F6" w14:textId="48DD5FA3" w:rsidR="002E5E8E" w:rsidRDefault="006C7BBB" w:rsidP="008F4559">
      <w:r>
        <w:rPr>
          <w:noProof/>
        </w:rPr>
        <w:lastRenderedPageBreak/>
        <w:drawing>
          <wp:inline distT="0" distB="0" distL="0" distR="0" wp14:anchorId="6FAAD67D" wp14:editId="70FA16DF">
            <wp:extent cx="5390268" cy="3862552"/>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sec34.pdf"/>
                    <pic:cNvPicPr/>
                  </pic:nvPicPr>
                  <pic:blipFill rotWithShape="1">
                    <a:blip r:embed="rId400">
                      <a:extLst>
                        <a:ext uri="{28A0092B-C50C-407E-A947-70E740481C1C}">
                          <a14:useLocalDpi xmlns:a14="http://schemas.microsoft.com/office/drawing/2010/main" val="0"/>
                        </a:ext>
                      </a:extLst>
                    </a:blip>
                    <a:srcRect l="4405" t="1559" r="4321" b="10590"/>
                    <a:stretch/>
                  </pic:blipFill>
                  <pic:spPr bwMode="auto">
                    <a:xfrm>
                      <a:off x="0" y="0"/>
                      <a:ext cx="5406853" cy="3874436"/>
                    </a:xfrm>
                    <a:prstGeom prst="rect">
                      <a:avLst/>
                    </a:prstGeom>
                    <a:ln>
                      <a:noFill/>
                    </a:ln>
                    <a:extLst>
                      <a:ext uri="{53640926-AAD7-44D8-BBD7-CCE9431645EC}">
                        <a14:shadowObscured xmlns:a14="http://schemas.microsoft.com/office/drawing/2010/main"/>
                      </a:ext>
                    </a:extLst>
                  </pic:spPr>
                </pic:pic>
              </a:graphicData>
            </a:graphic>
          </wp:inline>
        </w:drawing>
      </w:r>
    </w:p>
    <w:p w14:paraId="0D6E30C9" w14:textId="78FF6EE2" w:rsidR="002E5E8E" w:rsidRDefault="006C7BBB" w:rsidP="008F4559">
      <w:r>
        <w:rPr>
          <w:noProof/>
        </w:rPr>
        <w:drawing>
          <wp:inline distT="0" distB="0" distL="0" distR="0" wp14:anchorId="7A4DD3C7" wp14:editId="25C6DD24">
            <wp:extent cx="5389880" cy="1772285"/>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sec35.pdf"/>
                    <pic:cNvPicPr/>
                  </pic:nvPicPr>
                  <pic:blipFill rotWithShape="1">
                    <a:blip r:embed="rId401">
                      <a:extLst>
                        <a:ext uri="{28A0092B-C50C-407E-A947-70E740481C1C}">
                          <a14:useLocalDpi xmlns:a14="http://schemas.microsoft.com/office/drawing/2010/main" val="0"/>
                        </a:ext>
                      </a:extLst>
                    </a:blip>
                    <a:srcRect l="1652" t="778" r="1256" b="77335"/>
                    <a:stretch/>
                  </pic:blipFill>
                  <pic:spPr bwMode="auto">
                    <a:xfrm>
                      <a:off x="0" y="0"/>
                      <a:ext cx="5395871" cy="1774255"/>
                    </a:xfrm>
                    <a:prstGeom prst="rect">
                      <a:avLst/>
                    </a:prstGeom>
                    <a:ln>
                      <a:noFill/>
                    </a:ln>
                    <a:extLst>
                      <a:ext uri="{53640926-AAD7-44D8-BBD7-CCE9431645EC}">
                        <a14:shadowObscured xmlns:a14="http://schemas.microsoft.com/office/drawing/2010/main"/>
                      </a:ext>
                    </a:extLst>
                  </pic:spPr>
                </pic:pic>
              </a:graphicData>
            </a:graphic>
          </wp:inline>
        </w:drawing>
      </w:r>
    </w:p>
    <w:p w14:paraId="57525560" w14:textId="77777777" w:rsidR="002E5E8E" w:rsidRDefault="002E5E8E" w:rsidP="008F4559"/>
    <w:p w14:paraId="0CA23339" w14:textId="6A3A2BDA" w:rsidR="002E5E8E" w:rsidRDefault="002E5E8E" w:rsidP="008F4559"/>
    <w:p w14:paraId="7FBC1D4B" w14:textId="77777777" w:rsidR="006C7BBB" w:rsidRDefault="006C7BBB">
      <w:pPr>
        <w:spacing w:line="240" w:lineRule="auto"/>
        <w:contextualSpacing w:val="0"/>
        <w:jc w:val="left"/>
      </w:pPr>
      <w:r>
        <w:br w:type="page"/>
      </w:r>
    </w:p>
    <w:p w14:paraId="05DE2081" w14:textId="591E7004" w:rsidR="00F64AEF" w:rsidRDefault="00F64AEF" w:rsidP="00F64AEF">
      <w:pPr>
        <w:jc w:val="center"/>
        <w:rPr>
          <w:b/>
        </w:rPr>
      </w:pPr>
      <w:r w:rsidRPr="009206A0">
        <w:rPr>
          <w:b/>
        </w:rPr>
        <w:lastRenderedPageBreak/>
        <w:t xml:space="preserve">APPENDIX </w:t>
      </w:r>
      <w:r>
        <w:rPr>
          <w:b/>
        </w:rPr>
        <w:t>I</w:t>
      </w:r>
      <w:r w:rsidR="002B578B">
        <w:rPr>
          <w:b/>
        </w:rPr>
        <w:t>II</w:t>
      </w:r>
      <w:r w:rsidRPr="009206A0">
        <w:rPr>
          <w:b/>
        </w:rPr>
        <w:t>: ORGANIZATION OF THE CENSUS</w:t>
      </w:r>
    </w:p>
    <w:p w14:paraId="5C4BEE6C" w14:textId="77777777" w:rsidR="007D63C2" w:rsidRPr="009206A0" w:rsidRDefault="007D63C2" w:rsidP="007D63C2">
      <w:pPr>
        <w:spacing w:line="240" w:lineRule="auto"/>
        <w:jc w:val="center"/>
        <w:rPr>
          <w:b/>
        </w:rPr>
      </w:pPr>
    </w:p>
    <w:p w14:paraId="3591A857" w14:textId="77777777" w:rsidR="00F64AEF" w:rsidRPr="00DE41C4" w:rsidRDefault="00F64AEF" w:rsidP="00F64AEF">
      <w:pPr>
        <w:pStyle w:val="ListParagraph"/>
        <w:jc w:val="left"/>
        <w:rPr>
          <w:b/>
          <w:sz w:val="18"/>
          <w:szCs w:val="18"/>
        </w:rPr>
      </w:pPr>
      <w:r w:rsidRPr="00DE41C4">
        <w:rPr>
          <w:b/>
          <w:sz w:val="18"/>
          <w:szCs w:val="18"/>
        </w:rPr>
        <w:t>PERSONS INVOLVED IN THE NATIONAL SAMPLE CENSUS OF AGRICULTURE 2019/20</w:t>
      </w:r>
    </w:p>
    <w:p w14:paraId="2FF3E347" w14:textId="77777777" w:rsidR="00F64AEF" w:rsidRPr="00DE41C4" w:rsidRDefault="00F64AEF" w:rsidP="00F64AEF">
      <w:pPr>
        <w:pStyle w:val="ListParagraph"/>
        <w:ind w:left="425"/>
        <w:jc w:val="center"/>
        <w:rPr>
          <w:b/>
          <w:sz w:val="18"/>
          <w:szCs w:val="18"/>
        </w:rPr>
      </w:pPr>
    </w:p>
    <w:p w14:paraId="3A62F42F" w14:textId="77777777" w:rsidR="00F64AEF" w:rsidRPr="00DE41C4" w:rsidRDefault="00F64AEF" w:rsidP="00F64AEF">
      <w:pPr>
        <w:jc w:val="center"/>
        <w:rPr>
          <w:b/>
          <w:color w:val="000000" w:themeColor="text1"/>
          <w:sz w:val="18"/>
          <w:szCs w:val="18"/>
        </w:rPr>
      </w:pPr>
      <w:r w:rsidRPr="00DE41C4">
        <w:rPr>
          <w:b/>
          <w:color w:val="000000" w:themeColor="text1"/>
          <w:sz w:val="18"/>
          <w:szCs w:val="18"/>
        </w:rPr>
        <w:t>PROJECT COORDINATOR</w:t>
      </w:r>
    </w:p>
    <w:p w14:paraId="013E7D4E" w14:textId="77777777" w:rsidR="00F64AEF" w:rsidRPr="00DE41C4" w:rsidRDefault="00F64AEF" w:rsidP="00F64AEF">
      <w:pPr>
        <w:jc w:val="center"/>
        <w:rPr>
          <w:color w:val="000000" w:themeColor="text1"/>
          <w:sz w:val="18"/>
          <w:szCs w:val="18"/>
        </w:rPr>
      </w:pPr>
      <w:r w:rsidRPr="00DE41C4">
        <w:rPr>
          <w:color w:val="000000" w:themeColor="text1"/>
          <w:sz w:val="18"/>
          <w:szCs w:val="18"/>
        </w:rPr>
        <w:t>Dr. Albina Chuwa</w:t>
      </w:r>
    </w:p>
    <w:p w14:paraId="5559BEB9" w14:textId="77777777" w:rsidR="00F64AEF" w:rsidRPr="00DE41C4" w:rsidRDefault="00F64AEF" w:rsidP="00F64AEF">
      <w:pPr>
        <w:jc w:val="center"/>
        <w:rPr>
          <w:color w:val="000000" w:themeColor="text1"/>
          <w:sz w:val="18"/>
          <w:szCs w:val="18"/>
        </w:rPr>
      </w:pPr>
      <w:r w:rsidRPr="00DE41C4">
        <w:rPr>
          <w:color w:val="000000" w:themeColor="text1"/>
          <w:sz w:val="18"/>
          <w:szCs w:val="18"/>
        </w:rPr>
        <w:t>Mayasa M. Mwinyi</w:t>
      </w:r>
    </w:p>
    <w:p w14:paraId="6EF6B18C" w14:textId="77777777" w:rsidR="00F64AEF" w:rsidRPr="00DE41C4" w:rsidRDefault="00F64AEF" w:rsidP="00F64AEF">
      <w:pPr>
        <w:jc w:val="center"/>
        <w:rPr>
          <w:b/>
          <w:sz w:val="18"/>
          <w:szCs w:val="18"/>
        </w:rPr>
      </w:pPr>
    </w:p>
    <w:p w14:paraId="09063436" w14:textId="77777777" w:rsidR="00F64AEF" w:rsidRPr="00DE41C4" w:rsidRDefault="00F64AEF" w:rsidP="00F64AEF">
      <w:pPr>
        <w:jc w:val="center"/>
        <w:rPr>
          <w:b/>
          <w:sz w:val="18"/>
          <w:szCs w:val="18"/>
        </w:rPr>
      </w:pPr>
      <w:r w:rsidRPr="00DE41C4">
        <w:rPr>
          <w:b/>
          <w:sz w:val="18"/>
          <w:szCs w:val="18"/>
        </w:rPr>
        <w:t>ASSISTANT PROJECT COORDINATORS</w:t>
      </w:r>
    </w:p>
    <w:p w14:paraId="4E0DA1E8" w14:textId="77777777" w:rsidR="00F64AEF" w:rsidRPr="00DE41C4" w:rsidRDefault="00F64AEF" w:rsidP="00F64AEF">
      <w:pPr>
        <w:jc w:val="center"/>
        <w:rPr>
          <w:sz w:val="18"/>
          <w:szCs w:val="18"/>
        </w:rPr>
      </w:pPr>
      <w:r w:rsidRPr="00DE41C4">
        <w:rPr>
          <w:sz w:val="18"/>
          <w:szCs w:val="18"/>
        </w:rPr>
        <w:t>Daniel Masolwa</w:t>
      </w:r>
    </w:p>
    <w:p w14:paraId="7C091426" w14:textId="77777777" w:rsidR="00F64AEF" w:rsidRPr="00DE41C4" w:rsidRDefault="00F64AEF" w:rsidP="00F64AEF">
      <w:pPr>
        <w:jc w:val="center"/>
        <w:rPr>
          <w:sz w:val="18"/>
          <w:szCs w:val="18"/>
        </w:rPr>
      </w:pPr>
      <w:r w:rsidRPr="00DE41C4">
        <w:rPr>
          <w:sz w:val="18"/>
          <w:szCs w:val="18"/>
        </w:rPr>
        <w:t>Abdul R. Abeid</w:t>
      </w:r>
    </w:p>
    <w:p w14:paraId="0356F1F7" w14:textId="77777777" w:rsidR="00F64AEF" w:rsidRPr="00DE41C4" w:rsidRDefault="00F64AEF" w:rsidP="00F64AEF">
      <w:pPr>
        <w:jc w:val="center"/>
        <w:rPr>
          <w:b/>
          <w:sz w:val="18"/>
          <w:szCs w:val="18"/>
        </w:rPr>
      </w:pPr>
    </w:p>
    <w:p w14:paraId="398D4375" w14:textId="77777777" w:rsidR="00F64AEF" w:rsidRPr="00DE41C4" w:rsidRDefault="00F64AEF" w:rsidP="00F64AEF">
      <w:pPr>
        <w:jc w:val="center"/>
        <w:rPr>
          <w:b/>
          <w:sz w:val="18"/>
          <w:szCs w:val="18"/>
        </w:rPr>
      </w:pPr>
      <w:r w:rsidRPr="00DE41C4">
        <w:rPr>
          <w:b/>
          <w:sz w:val="18"/>
          <w:szCs w:val="18"/>
        </w:rPr>
        <w:t>PROJECT MANAGERS</w:t>
      </w:r>
    </w:p>
    <w:p w14:paraId="7B61B837" w14:textId="77777777" w:rsidR="00F64AEF" w:rsidRPr="00DE41C4" w:rsidRDefault="00F64AEF" w:rsidP="00F64AEF">
      <w:pPr>
        <w:jc w:val="center"/>
        <w:rPr>
          <w:sz w:val="18"/>
          <w:szCs w:val="18"/>
        </w:rPr>
      </w:pPr>
      <w:r w:rsidRPr="00DE41C4">
        <w:rPr>
          <w:sz w:val="18"/>
          <w:szCs w:val="18"/>
        </w:rPr>
        <w:t>Titus Mwisomba</w:t>
      </w:r>
    </w:p>
    <w:p w14:paraId="6EE51894" w14:textId="77777777" w:rsidR="00F64AEF" w:rsidRPr="00DE41C4" w:rsidRDefault="00F64AEF" w:rsidP="00F64AEF">
      <w:pPr>
        <w:jc w:val="center"/>
        <w:rPr>
          <w:sz w:val="18"/>
          <w:szCs w:val="18"/>
        </w:rPr>
      </w:pPr>
      <w:r w:rsidRPr="00DE41C4">
        <w:rPr>
          <w:sz w:val="18"/>
          <w:szCs w:val="18"/>
        </w:rPr>
        <w:t>Nour Abdulwahid</w:t>
      </w:r>
    </w:p>
    <w:p w14:paraId="65ECD6AE" w14:textId="77777777" w:rsidR="00F64AEF" w:rsidRPr="00DE41C4" w:rsidRDefault="00F64AEF" w:rsidP="00F64AEF">
      <w:pPr>
        <w:jc w:val="center"/>
        <w:rPr>
          <w:b/>
          <w:sz w:val="18"/>
          <w:szCs w:val="18"/>
        </w:rPr>
      </w:pPr>
    </w:p>
    <w:p w14:paraId="49F4C739" w14:textId="77777777" w:rsidR="00F64AEF" w:rsidRPr="00DE41C4" w:rsidRDefault="00F64AEF" w:rsidP="00F64AEF">
      <w:pPr>
        <w:jc w:val="center"/>
        <w:rPr>
          <w:b/>
          <w:sz w:val="18"/>
          <w:szCs w:val="18"/>
        </w:rPr>
      </w:pPr>
      <w:r w:rsidRPr="00DE41C4">
        <w:rPr>
          <w:b/>
          <w:sz w:val="18"/>
          <w:szCs w:val="18"/>
        </w:rPr>
        <w:t>DESK OFFICERS</w:t>
      </w:r>
    </w:p>
    <w:p w14:paraId="4E8BB2C4" w14:textId="77777777" w:rsidR="00F64AEF" w:rsidRPr="00DE41C4" w:rsidRDefault="00F64AEF" w:rsidP="00F64AEF">
      <w:pPr>
        <w:jc w:val="center"/>
        <w:rPr>
          <w:sz w:val="18"/>
          <w:szCs w:val="18"/>
        </w:rPr>
      </w:pPr>
      <w:r w:rsidRPr="00DE41C4">
        <w:rPr>
          <w:sz w:val="18"/>
          <w:szCs w:val="18"/>
        </w:rPr>
        <w:t>Theresia Sagamilwa</w:t>
      </w:r>
    </w:p>
    <w:p w14:paraId="6055F9F8" w14:textId="77777777" w:rsidR="00F64AEF" w:rsidRPr="00DE41C4" w:rsidRDefault="00F64AEF" w:rsidP="00F64AEF">
      <w:pPr>
        <w:jc w:val="center"/>
        <w:rPr>
          <w:sz w:val="18"/>
          <w:szCs w:val="18"/>
        </w:rPr>
      </w:pPr>
      <w:r w:rsidRPr="00DE41C4">
        <w:rPr>
          <w:sz w:val="18"/>
          <w:szCs w:val="18"/>
        </w:rPr>
        <w:t>Mwalim Juma Mohamed</w:t>
      </w:r>
    </w:p>
    <w:p w14:paraId="5D638718" w14:textId="77777777" w:rsidR="00F64AEF" w:rsidRPr="00DE41C4" w:rsidRDefault="00F64AEF" w:rsidP="00F64AEF">
      <w:pPr>
        <w:jc w:val="center"/>
        <w:rPr>
          <w:b/>
          <w:sz w:val="18"/>
          <w:szCs w:val="18"/>
        </w:rPr>
      </w:pPr>
    </w:p>
    <w:p w14:paraId="4E42820E" w14:textId="77777777" w:rsidR="00F64AEF" w:rsidRPr="00DE41C4" w:rsidRDefault="00F64AEF" w:rsidP="00F64AEF">
      <w:pPr>
        <w:jc w:val="center"/>
        <w:rPr>
          <w:b/>
          <w:sz w:val="18"/>
          <w:szCs w:val="18"/>
        </w:rPr>
      </w:pPr>
      <w:r w:rsidRPr="00DE41C4">
        <w:rPr>
          <w:b/>
          <w:sz w:val="18"/>
          <w:szCs w:val="18"/>
        </w:rPr>
        <w:t>TECHNICAL ADVISORS</w:t>
      </w:r>
    </w:p>
    <w:p w14:paraId="688420DC" w14:textId="77777777" w:rsidR="00F64AEF" w:rsidRPr="00DE41C4" w:rsidRDefault="00F64AEF" w:rsidP="00F64AEF">
      <w:pPr>
        <w:jc w:val="center"/>
        <w:rPr>
          <w:sz w:val="18"/>
          <w:szCs w:val="18"/>
        </w:rPr>
      </w:pPr>
      <w:r w:rsidRPr="00DE41C4">
        <w:rPr>
          <w:sz w:val="18"/>
          <w:szCs w:val="18"/>
        </w:rPr>
        <w:t>Dr. Elizaberth Ann Talbert</w:t>
      </w:r>
    </w:p>
    <w:p w14:paraId="2FED8698" w14:textId="77777777" w:rsidR="00F64AEF" w:rsidRPr="00DE41C4" w:rsidRDefault="00F64AEF" w:rsidP="00F64AEF">
      <w:pPr>
        <w:jc w:val="center"/>
        <w:rPr>
          <w:sz w:val="18"/>
          <w:szCs w:val="18"/>
        </w:rPr>
      </w:pPr>
      <w:r w:rsidRPr="00DE41C4">
        <w:rPr>
          <w:sz w:val="18"/>
          <w:szCs w:val="18"/>
        </w:rPr>
        <w:t>Nicole Norris</w:t>
      </w:r>
    </w:p>
    <w:p w14:paraId="4651338F" w14:textId="77777777" w:rsidR="00F64AEF" w:rsidRPr="00DE41C4" w:rsidRDefault="00F64AEF" w:rsidP="00F64AEF">
      <w:pPr>
        <w:jc w:val="center"/>
        <w:rPr>
          <w:sz w:val="18"/>
          <w:szCs w:val="18"/>
        </w:rPr>
      </w:pPr>
      <w:r w:rsidRPr="00DE41C4">
        <w:rPr>
          <w:sz w:val="18"/>
          <w:szCs w:val="18"/>
        </w:rPr>
        <w:t>David Luckenbach</w:t>
      </w:r>
    </w:p>
    <w:p w14:paraId="3433D396" w14:textId="77777777" w:rsidR="00F64AEF" w:rsidRPr="00DE41C4" w:rsidRDefault="00F64AEF" w:rsidP="00F64AEF">
      <w:pPr>
        <w:jc w:val="center"/>
        <w:rPr>
          <w:sz w:val="18"/>
          <w:szCs w:val="18"/>
        </w:rPr>
      </w:pPr>
      <w:r w:rsidRPr="00DE41C4">
        <w:rPr>
          <w:sz w:val="18"/>
          <w:szCs w:val="18"/>
        </w:rPr>
        <w:t>Jonathan Kastelic </w:t>
      </w:r>
    </w:p>
    <w:p w14:paraId="4348E4C7" w14:textId="77777777" w:rsidR="00F64AEF" w:rsidRPr="00DE41C4" w:rsidRDefault="00F64AEF" w:rsidP="00F64AEF">
      <w:pPr>
        <w:jc w:val="center"/>
        <w:rPr>
          <w:b/>
          <w:sz w:val="18"/>
          <w:szCs w:val="18"/>
        </w:rPr>
      </w:pPr>
    </w:p>
    <w:p w14:paraId="5E7D847A" w14:textId="77777777" w:rsidR="00F64AEF" w:rsidRPr="00DE41C4" w:rsidRDefault="00F64AEF" w:rsidP="00F64AEF">
      <w:pPr>
        <w:jc w:val="center"/>
        <w:rPr>
          <w:b/>
          <w:sz w:val="18"/>
          <w:szCs w:val="18"/>
        </w:rPr>
      </w:pPr>
      <w:r w:rsidRPr="00DE41C4">
        <w:rPr>
          <w:b/>
          <w:sz w:val="18"/>
          <w:szCs w:val="18"/>
        </w:rPr>
        <w:t>TECHNICAL COMMITTEE CHAIRPERSON</w:t>
      </w:r>
    </w:p>
    <w:p w14:paraId="10502287" w14:textId="77777777" w:rsidR="00F64AEF" w:rsidRPr="00DE41C4" w:rsidRDefault="00F64AEF" w:rsidP="00F64AEF">
      <w:pPr>
        <w:jc w:val="center"/>
        <w:rPr>
          <w:sz w:val="18"/>
          <w:szCs w:val="18"/>
        </w:rPr>
      </w:pPr>
      <w:r w:rsidRPr="00DE41C4">
        <w:rPr>
          <w:sz w:val="18"/>
          <w:szCs w:val="18"/>
        </w:rPr>
        <w:t>Genya Charles Genya</w:t>
      </w:r>
    </w:p>
    <w:p w14:paraId="6D493F3A" w14:textId="77777777" w:rsidR="00F64AEF" w:rsidRPr="00DE41C4" w:rsidRDefault="00F64AEF" w:rsidP="00F64AEF">
      <w:pPr>
        <w:jc w:val="center"/>
        <w:rPr>
          <w:b/>
          <w:sz w:val="18"/>
          <w:szCs w:val="18"/>
        </w:rPr>
      </w:pPr>
    </w:p>
    <w:p w14:paraId="2E0B7807" w14:textId="77777777" w:rsidR="00F64AEF" w:rsidRPr="00DE41C4" w:rsidRDefault="00F64AEF" w:rsidP="00F64AEF">
      <w:pPr>
        <w:jc w:val="center"/>
        <w:rPr>
          <w:b/>
          <w:sz w:val="18"/>
          <w:szCs w:val="18"/>
        </w:rPr>
      </w:pPr>
      <w:r w:rsidRPr="00DE41C4">
        <w:rPr>
          <w:b/>
          <w:sz w:val="18"/>
          <w:szCs w:val="18"/>
        </w:rPr>
        <w:t>TECHNICAL COMMITTEE MEMBERS</w:t>
      </w:r>
    </w:p>
    <w:p w14:paraId="09086403" w14:textId="77777777" w:rsidR="00F64AEF" w:rsidRPr="00DE41C4" w:rsidRDefault="00F64AEF" w:rsidP="00F64AEF">
      <w:pPr>
        <w:jc w:val="center"/>
        <w:rPr>
          <w:sz w:val="18"/>
          <w:szCs w:val="18"/>
        </w:rPr>
      </w:pPr>
      <w:r w:rsidRPr="00DE41C4">
        <w:rPr>
          <w:sz w:val="18"/>
          <w:szCs w:val="18"/>
        </w:rPr>
        <w:t>Ambilikile Mwakyelu</w:t>
      </w:r>
    </w:p>
    <w:p w14:paraId="21F174CC" w14:textId="77777777" w:rsidR="00F64AEF" w:rsidRPr="00DE41C4" w:rsidRDefault="00F64AEF" w:rsidP="00F64AEF">
      <w:pPr>
        <w:jc w:val="center"/>
        <w:rPr>
          <w:sz w:val="18"/>
          <w:szCs w:val="18"/>
        </w:rPr>
      </w:pPr>
      <w:r w:rsidRPr="00DE41C4">
        <w:rPr>
          <w:sz w:val="18"/>
          <w:szCs w:val="18"/>
        </w:rPr>
        <w:t xml:space="preserve">Basil Msuha </w:t>
      </w:r>
    </w:p>
    <w:p w14:paraId="471A884E" w14:textId="77777777" w:rsidR="00F64AEF" w:rsidRPr="00DE41C4" w:rsidRDefault="00F64AEF" w:rsidP="00F64AEF">
      <w:pPr>
        <w:jc w:val="center"/>
        <w:rPr>
          <w:sz w:val="18"/>
          <w:szCs w:val="18"/>
        </w:rPr>
      </w:pPr>
      <w:r w:rsidRPr="00DE41C4">
        <w:rPr>
          <w:sz w:val="18"/>
          <w:szCs w:val="18"/>
        </w:rPr>
        <w:t>Da Silver Mlau</w:t>
      </w:r>
    </w:p>
    <w:p w14:paraId="5FEBFC24" w14:textId="77777777" w:rsidR="00F64AEF" w:rsidRPr="00DE41C4" w:rsidRDefault="00F64AEF" w:rsidP="00F64AEF">
      <w:pPr>
        <w:jc w:val="center"/>
        <w:rPr>
          <w:sz w:val="18"/>
          <w:szCs w:val="18"/>
        </w:rPr>
      </w:pPr>
      <w:r w:rsidRPr="00DE41C4">
        <w:rPr>
          <w:sz w:val="18"/>
          <w:szCs w:val="18"/>
        </w:rPr>
        <w:t>Devotha Mdete</w:t>
      </w:r>
    </w:p>
    <w:p w14:paraId="7B34C8D1" w14:textId="77777777" w:rsidR="00F64AEF" w:rsidRPr="00DE41C4" w:rsidRDefault="00F64AEF" w:rsidP="00F64AEF">
      <w:pPr>
        <w:jc w:val="center"/>
        <w:rPr>
          <w:sz w:val="18"/>
          <w:szCs w:val="18"/>
        </w:rPr>
      </w:pPr>
      <w:r w:rsidRPr="00DE41C4">
        <w:rPr>
          <w:sz w:val="18"/>
          <w:szCs w:val="18"/>
        </w:rPr>
        <w:t>Festo Mwemutsi</w:t>
      </w:r>
    </w:p>
    <w:p w14:paraId="3308EEAA" w14:textId="77777777" w:rsidR="00F64AEF" w:rsidRPr="00DE41C4" w:rsidRDefault="00F64AEF" w:rsidP="00F64AEF">
      <w:pPr>
        <w:jc w:val="center"/>
        <w:rPr>
          <w:sz w:val="18"/>
          <w:szCs w:val="18"/>
        </w:rPr>
      </w:pPr>
      <w:r w:rsidRPr="00DE41C4">
        <w:rPr>
          <w:sz w:val="18"/>
          <w:szCs w:val="18"/>
        </w:rPr>
        <w:t>Genya Charles Genya</w:t>
      </w:r>
    </w:p>
    <w:p w14:paraId="78B8C998" w14:textId="77777777" w:rsidR="00F64AEF" w:rsidRPr="00DE41C4" w:rsidRDefault="00F64AEF" w:rsidP="00F64AEF">
      <w:pPr>
        <w:jc w:val="center"/>
        <w:rPr>
          <w:sz w:val="18"/>
          <w:szCs w:val="18"/>
        </w:rPr>
      </w:pPr>
      <w:r w:rsidRPr="00DE41C4">
        <w:rPr>
          <w:sz w:val="18"/>
          <w:szCs w:val="18"/>
        </w:rPr>
        <w:t>Jillahoma Mussa</w:t>
      </w:r>
    </w:p>
    <w:p w14:paraId="641AC441" w14:textId="77777777" w:rsidR="00F64AEF" w:rsidRPr="00DE41C4" w:rsidRDefault="00F64AEF" w:rsidP="00F64AEF">
      <w:pPr>
        <w:jc w:val="center"/>
        <w:rPr>
          <w:sz w:val="18"/>
          <w:szCs w:val="18"/>
        </w:rPr>
      </w:pPr>
      <w:r w:rsidRPr="00DE41C4">
        <w:rPr>
          <w:sz w:val="18"/>
          <w:szCs w:val="18"/>
        </w:rPr>
        <w:t>Juma Nyabenda</w:t>
      </w:r>
    </w:p>
    <w:p w14:paraId="71E7CB26" w14:textId="77777777" w:rsidR="00F64AEF" w:rsidRPr="00DE41C4" w:rsidRDefault="00F64AEF" w:rsidP="00F64AEF">
      <w:pPr>
        <w:jc w:val="center"/>
        <w:rPr>
          <w:sz w:val="18"/>
          <w:szCs w:val="18"/>
        </w:rPr>
      </w:pPr>
      <w:r w:rsidRPr="00DE41C4">
        <w:rPr>
          <w:sz w:val="18"/>
          <w:szCs w:val="18"/>
        </w:rPr>
        <w:t>Ludovick Materu</w:t>
      </w:r>
    </w:p>
    <w:p w14:paraId="64697354" w14:textId="77777777" w:rsidR="00F64AEF" w:rsidRPr="00DE41C4" w:rsidRDefault="00F64AEF" w:rsidP="00F64AEF">
      <w:pPr>
        <w:jc w:val="center"/>
        <w:rPr>
          <w:sz w:val="18"/>
          <w:szCs w:val="18"/>
        </w:rPr>
      </w:pPr>
      <w:r w:rsidRPr="00DE41C4">
        <w:rPr>
          <w:sz w:val="18"/>
          <w:szCs w:val="18"/>
        </w:rPr>
        <w:t>Masoud Ali Hassan</w:t>
      </w:r>
    </w:p>
    <w:p w14:paraId="3C7A478A" w14:textId="77777777" w:rsidR="00F64AEF" w:rsidRPr="00DE41C4" w:rsidRDefault="00F64AEF" w:rsidP="00F64AEF">
      <w:pPr>
        <w:jc w:val="center"/>
        <w:rPr>
          <w:sz w:val="18"/>
          <w:szCs w:val="18"/>
        </w:rPr>
      </w:pPr>
      <w:r w:rsidRPr="00DE41C4">
        <w:rPr>
          <w:sz w:val="18"/>
          <w:szCs w:val="18"/>
        </w:rPr>
        <w:t>Moreen Guveti</w:t>
      </w:r>
    </w:p>
    <w:p w14:paraId="3A1753CC" w14:textId="77777777" w:rsidR="00F64AEF" w:rsidRPr="00DE41C4" w:rsidRDefault="00F64AEF" w:rsidP="00F64AEF">
      <w:pPr>
        <w:jc w:val="center"/>
        <w:rPr>
          <w:sz w:val="18"/>
          <w:szCs w:val="18"/>
        </w:rPr>
      </w:pPr>
      <w:r w:rsidRPr="00DE41C4">
        <w:rPr>
          <w:sz w:val="18"/>
          <w:szCs w:val="18"/>
        </w:rPr>
        <w:t>Mwalim Juma</w:t>
      </w:r>
    </w:p>
    <w:p w14:paraId="2BF68AB5" w14:textId="77777777" w:rsidR="00F64AEF" w:rsidRPr="00DE41C4" w:rsidRDefault="00F64AEF" w:rsidP="00F64AEF">
      <w:pPr>
        <w:jc w:val="center"/>
        <w:rPr>
          <w:sz w:val="18"/>
          <w:szCs w:val="18"/>
        </w:rPr>
      </w:pPr>
      <w:r w:rsidRPr="00DE41C4">
        <w:rPr>
          <w:sz w:val="18"/>
          <w:szCs w:val="18"/>
        </w:rPr>
        <w:t>Mzee Mohamed</w:t>
      </w:r>
    </w:p>
    <w:p w14:paraId="2C34142D" w14:textId="77777777" w:rsidR="00F64AEF" w:rsidRPr="00DE41C4" w:rsidRDefault="00F64AEF" w:rsidP="00F64AEF">
      <w:pPr>
        <w:jc w:val="center"/>
        <w:rPr>
          <w:sz w:val="18"/>
          <w:szCs w:val="18"/>
        </w:rPr>
      </w:pPr>
      <w:r w:rsidRPr="00DE41C4">
        <w:rPr>
          <w:sz w:val="18"/>
          <w:szCs w:val="18"/>
        </w:rPr>
        <w:t>Nico Ombeni</w:t>
      </w:r>
    </w:p>
    <w:p w14:paraId="64F6D4B1" w14:textId="472405EE" w:rsidR="007D63C2" w:rsidRDefault="00F64AEF" w:rsidP="00F64AEF">
      <w:pPr>
        <w:jc w:val="center"/>
        <w:rPr>
          <w:sz w:val="18"/>
          <w:szCs w:val="18"/>
        </w:rPr>
      </w:pPr>
      <w:r w:rsidRPr="00DE41C4">
        <w:rPr>
          <w:sz w:val="18"/>
          <w:szCs w:val="18"/>
        </w:rPr>
        <w:t>Nour Abdulwahid</w:t>
      </w:r>
    </w:p>
    <w:p w14:paraId="4C04517A" w14:textId="77777777" w:rsidR="007D63C2" w:rsidRDefault="007D63C2">
      <w:pPr>
        <w:spacing w:line="240" w:lineRule="auto"/>
        <w:contextualSpacing w:val="0"/>
        <w:jc w:val="left"/>
        <w:rPr>
          <w:sz w:val="18"/>
          <w:szCs w:val="18"/>
        </w:rPr>
      </w:pPr>
      <w:r>
        <w:rPr>
          <w:sz w:val="18"/>
          <w:szCs w:val="18"/>
        </w:rPr>
        <w:br w:type="page"/>
      </w:r>
    </w:p>
    <w:p w14:paraId="6C4A7C0A" w14:textId="77777777" w:rsidR="00F64AEF" w:rsidRPr="00DE41C4" w:rsidRDefault="00F64AEF" w:rsidP="00F64AEF">
      <w:pPr>
        <w:jc w:val="center"/>
        <w:rPr>
          <w:sz w:val="18"/>
          <w:szCs w:val="18"/>
        </w:rPr>
      </w:pPr>
      <w:r w:rsidRPr="00DE41C4">
        <w:rPr>
          <w:sz w:val="18"/>
          <w:szCs w:val="18"/>
        </w:rPr>
        <w:lastRenderedPageBreak/>
        <w:t>Philemon Mwenda</w:t>
      </w:r>
    </w:p>
    <w:p w14:paraId="00858180" w14:textId="77777777" w:rsidR="00F64AEF" w:rsidRPr="00DE41C4" w:rsidRDefault="00F64AEF" w:rsidP="00F64AEF">
      <w:pPr>
        <w:jc w:val="center"/>
        <w:rPr>
          <w:sz w:val="18"/>
          <w:szCs w:val="18"/>
        </w:rPr>
      </w:pPr>
      <w:r w:rsidRPr="00DE41C4">
        <w:rPr>
          <w:sz w:val="18"/>
          <w:szCs w:val="18"/>
        </w:rPr>
        <w:t>Rahimu Mussa</w:t>
      </w:r>
    </w:p>
    <w:p w14:paraId="1CC5B457" w14:textId="77777777" w:rsidR="00F64AEF" w:rsidRPr="00DE41C4" w:rsidRDefault="00F64AEF" w:rsidP="00F64AEF">
      <w:pPr>
        <w:jc w:val="center"/>
        <w:rPr>
          <w:sz w:val="18"/>
          <w:szCs w:val="18"/>
        </w:rPr>
      </w:pPr>
      <w:r w:rsidRPr="00DE41C4">
        <w:rPr>
          <w:sz w:val="18"/>
          <w:szCs w:val="18"/>
        </w:rPr>
        <w:t>Ramadhani Kalinga</w:t>
      </w:r>
    </w:p>
    <w:p w14:paraId="67A420DB" w14:textId="77777777" w:rsidR="00F64AEF" w:rsidRPr="00DE41C4" w:rsidRDefault="00F64AEF" w:rsidP="00F64AEF">
      <w:pPr>
        <w:jc w:val="center"/>
        <w:rPr>
          <w:sz w:val="18"/>
          <w:szCs w:val="18"/>
        </w:rPr>
      </w:pPr>
      <w:r w:rsidRPr="00DE41C4">
        <w:rPr>
          <w:sz w:val="18"/>
          <w:szCs w:val="18"/>
        </w:rPr>
        <w:t>Samwel Kawa</w:t>
      </w:r>
    </w:p>
    <w:p w14:paraId="1E8D6031" w14:textId="77777777" w:rsidR="00F64AEF" w:rsidRPr="00DE41C4" w:rsidRDefault="00F64AEF" w:rsidP="00F64AEF">
      <w:pPr>
        <w:jc w:val="center"/>
        <w:rPr>
          <w:sz w:val="18"/>
          <w:szCs w:val="18"/>
        </w:rPr>
      </w:pPr>
      <w:r w:rsidRPr="00DE41C4">
        <w:rPr>
          <w:sz w:val="18"/>
          <w:szCs w:val="18"/>
        </w:rPr>
        <w:t>Theresia Sagamilwa</w:t>
      </w:r>
    </w:p>
    <w:p w14:paraId="30B005E1" w14:textId="77777777" w:rsidR="00F64AEF" w:rsidRPr="00DE41C4" w:rsidRDefault="00F64AEF" w:rsidP="00F64AEF">
      <w:pPr>
        <w:jc w:val="center"/>
        <w:rPr>
          <w:sz w:val="18"/>
          <w:szCs w:val="18"/>
        </w:rPr>
      </w:pPr>
      <w:r w:rsidRPr="00DE41C4">
        <w:rPr>
          <w:sz w:val="18"/>
          <w:szCs w:val="18"/>
        </w:rPr>
        <w:t>Titus Mwisomba</w:t>
      </w:r>
    </w:p>
    <w:p w14:paraId="7470A598" w14:textId="77777777" w:rsidR="00DE41C4" w:rsidRDefault="00DE41C4" w:rsidP="00DE41C4">
      <w:pPr>
        <w:spacing w:line="240" w:lineRule="auto"/>
        <w:contextualSpacing w:val="0"/>
        <w:jc w:val="center"/>
        <w:rPr>
          <w:b/>
          <w:sz w:val="18"/>
          <w:szCs w:val="18"/>
        </w:rPr>
      </w:pPr>
    </w:p>
    <w:p w14:paraId="494589CE" w14:textId="77777777" w:rsidR="00F64AEF" w:rsidRPr="00DE41C4" w:rsidRDefault="00F64AEF" w:rsidP="00F64AEF">
      <w:pPr>
        <w:jc w:val="center"/>
        <w:rPr>
          <w:b/>
          <w:sz w:val="18"/>
          <w:szCs w:val="18"/>
        </w:rPr>
      </w:pPr>
      <w:r w:rsidRPr="00DE41C4">
        <w:rPr>
          <w:b/>
          <w:sz w:val="18"/>
          <w:szCs w:val="18"/>
        </w:rPr>
        <w:t>SAMPLE DESIGNERS</w:t>
      </w:r>
    </w:p>
    <w:p w14:paraId="0BC483F9" w14:textId="77777777" w:rsidR="00F64AEF" w:rsidRPr="00DE41C4" w:rsidRDefault="00F64AEF" w:rsidP="00F64AEF">
      <w:pPr>
        <w:jc w:val="center"/>
        <w:rPr>
          <w:sz w:val="18"/>
          <w:szCs w:val="18"/>
        </w:rPr>
      </w:pPr>
      <w:r w:rsidRPr="00DE41C4">
        <w:rPr>
          <w:sz w:val="18"/>
          <w:szCs w:val="18"/>
        </w:rPr>
        <w:t>Sylvia Meku</w:t>
      </w:r>
    </w:p>
    <w:p w14:paraId="0D079CA9" w14:textId="77777777" w:rsidR="00F64AEF" w:rsidRPr="00DE41C4" w:rsidRDefault="00F64AEF" w:rsidP="00F64AEF">
      <w:pPr>
        <w:jc w:val="center"/>
        <w:rPr>
          <w:sz w:val="18"/>
          <w:szCs w:val="18"/>
        </w:rPr>
      </w:pPr>
      <w:r w:rsidRPr="00DE41C4">
        <w:rPr>
          <w:sz w:val="18"/>
          <w:szCs w:val="18"/>
        </w:rPr>
        <w:t>Festo Mwemutsi</w:t>
      </w:r>
    </w:p>
    <w:p w14:paraId="7811B185" w14:textId="77777777" w:rsidR="00F64AEF" w:rsidRPr="00DE41C4" w:rsidRDefault="00F64AEF" w:rsidP="00F64AEF">
      <w:pPr>
        <w:jc w:val="center"/>
        <w:rPr>
          <w:b/>
          <w:sz w:val="18"/>
          <w:szCs w:val="18"/>
        </w:rPr>
      </w:pPr>
    </w:p>
    <w:p w14:paraId="59D42903" w14:textId="77777777" w:rsidR="00F64AEF" w:rsidRPr="00DE41C4" w:rsidRDefault="00F64AEF" w:rsidP="00F64AEF">
      <w:pPr>
        <w:jc w:val="center"/>
        <w:rPr>
          <w:b/>
          <w:sz w:val="18"/>
          <w:szCs w:val="18"/>
        </w:rPr>
      </w:pPr>
      <w:r w:rsidRPr="00DE41C4">
        <w:rPr>
          <w:b/>
          <w:sz w:val="18"/>
          <w:szCs w:val="18"/>
        </w:rPr>
        <w:t>CAPI QUESTIONNAIRE DESIGNERS</w:t>
      </w:r>
    </w:p>
    <w:p w14:paraId="3B362EEF" w14:textId="77777777" w:rsidR="00F64AEF" w:rsidRPr="00DE41C4" w:rsidRDefault="00F64AEF" w:rsidP="00F64AEF">
      <w:pPr>
        <w:jc w:val="center"/>
        <w:rPr>
          <w:sz w:val="18"/>
          <w:szCs w:val="18"/>
        </w:rPr>
      </w:pPr>
      <w:r w:rsidRPr="00DE41C4">
        <w:rPr>
          <w:sz w:val="18"/>
          <w:szCs w:val="18"/>
        </w:rPr>
        <w:t xml:space="preserve">George Mockray </w:t>
      </w:r>
    </w:p>
    <w:p w14:paraId="28B34E4F" w14:textId="77777777" w:rsidR="00F64AEF" w:rsidRPr="00DE41C4" w:rsidRDefault="00F64AEF" w:rsidP="00F64AEF">
      <w:pPr>
        <w:jc w:val="center"/>
        <w:rPr>
          <w:sz w:val="18"/>
          <w:szCs w:val="18"/>
        </w:rPr>
      </w:pPr>
      <w:r w:rsidRPr="00DE41C4">
        <w:rPr>
          <w:sz w:val="18"/>
          <w:szCs w:val="18"/>
        </w:rPr>
        <w:t>Beatrice Rwegoshora</w:t>
      </w:r>
    </w:p>
    <w:p w14:paraId="01CFEB1E" w14:textId="77777777" w:rsidR="00F64AEF" w:rsidRPr="00DE41C4" w:rsidRDefault="00F64AEF" w:rsidP="00F64AEF">
      <w:pPr>
        <w:jc w:val="center"/>
        <w:rPr>
          <w:sz w:val="18"/>
          <w:szCs w:val="18"/>
        </w:rPr>
      </w:pPr>
      <w:r w:rsidRPr="00DE41C4">
        <w:rPr>
          <w:sz w:val="18"/>
          <w:szCs w:val="18"/>
        </w:rPr>
        <w:t>Hashim Uzia Mohamed</w:t>
      </w:r>
    </w:p>
    <w:p w14:paraId="207B9D24" w14:textId="77777777" w:rsidR="00F64AEF" w:rsidRPr="00DE41C4" w:rsidRDefault="00F64AEF" w:rsidP="00F64AEF">
      <w:pPr>
        <w:jc w:val="center"/>
        <w:rPr>
          <w:sz w:val="18"/>
          <w:szCs w:val="18"/>
        </w:rPr>
      </w:pPr>
      <w:r w:rsidRPr="00DE41C4">
        <w:rPr>
          <w:sz w:val="18"/>
          <w:szCs w:val="18"/>
        </w:rPr>
        <w:t>Aisha Mohamed Said</w:t>
      </w:r>
    </w:p>
    <w:p w14:paraId="41482D3F" w14:textId="77777777" w:rsidR="00F64AEF" w:rsidRPr="00DE41C4" w:rsidRDefault="00F64AEF" w:rsidP="00F64AEF">
      <w:pPr>
        <w:jc w:val="center"/>
        <w:rPr>
          <w:b/>
          <w:sz w:val="18"/>
          <w:szCs w:val="18"/>
        </w:rPr>
      </w:pPr>
    </w:p>
    <w:p w14:paraId="08FC9917" w14:textId="77777777" w:rsidR="00F64AEF" w:rsidRPr="00DE41C4" w:rsidRDefault="00F64AEF" w:rsidP="00F64AEF">
      <w:pPr>
        <w:jc w:val="center"/>
        <w:rPr>
          <w:b/>
          <w:sz w:val="18"/>
          <w:szCs w:val="18"/>
        </w:rPr>
      </w:pPr>
      <w:r w:rsidRPr="00DE41C4">
        <w:rPr>
          <w:b/>
          <w:sz w:val="18"/>
          <w:szCs w:val="18"/>
        </w:rPr>
        <w:t>CATOGRAPHERS</w:t>
      </w:r>
    </w:p>
    <w:p w14:paraId="5D89BA9B" w14:textId="77777777" w:rsidR="00F64AEF" w:rsidRPr="00DE41C4" w:rsidRDefault="00F64AEF" w:rsidP="00F64AEF">
      <w:pPr>
        <w:jc w:val="center"/>
        <w:rPr>
          <w:sz w:val="18"/>
          <w:szCs w:val="18"/>
        </w:rPr>
      </w:pPr>
      <w:r w:rsidRPr="00DE41C4">
        <w:rPr>
          <w:sz w:val="18"/>
          <w:szCs w:val="18"/>
        </w:rPr>
        <w:t>Rahimu Mussa</w:t>
      </w:r>
    </w:p>
    <w:p w14:paraId="07C8AF71" w14:textId="77777777" w:rsidR="00F64AEF" w:rsidRPr="00DE41C4" w:rsidRDefault="00F64AEF" w:rsidP="00F64AEF">
      <w:pPr>
        <w:jc w:val="center"/>
        <w:rPr>
          <w:sz w:val="18"/>
          <w:szCs w:val="18"/>
        </w:rPr>
      </w:pPr>
      <w:r w:rsidRPr="00DE41C4">
        <w:rPr>
          <w:sz w:val="18"/>
          <w:szCs w:val="18"/>
        </w:rPr>
        <w:t>Noela John</w:t>
      </w:r>
    </w:p>
    <w:p w14:paraId="38FF4171" w14:textId="77777777" w:rsidR="00F64AEF" w:rsidRPr="00DE41C4" w:rsidRDefault="00F64AEF" w:rsidP="00F64AEF">
      <w:pPr>
        <w:jc w:val="center"/>
        <w:rPr>
          <w:sz w:val="18"/>
          <w:szCs w:val="18"/>
        </w:rPr>
      </w:pPr>
      <w:r w:rsidRPr="00DE41C4">
        <w:rPr>
          <w:sz w:val="18"/>
          <w:szCs w:val="18"/>
        </w:rPr>
        <w:t xml:space="preserve">Mohamed Gharibu </w:t>
      </w:r>
    </w:p>
    <w:p w14:paraId="337E5927" w14:textId="77777777" w:rsidR="00F64AEF" w:rsidRPr="00DE41C4" w:rsidRDefault="00F64AEF" w:rsidP="00F64AEF">
      <w:pPr>
        <w:jc w:val="center"/>
        <w:rPr>
          <w:b/>
          <w:sz w:val="18"/>
          <w:szCs w:val="18"/>
        </w:rPr>
      </w:pPr>
    </w:p>
    <w:p w14:paraId="112F037D" w14:textId="77777777" w:rsidR="00F64AEF" w:rsidRPr="00DE41C4" w:rsidRDefault="00F64AEF" w:rsidP="00F64AEF">
      <w:pPr>
        <w:jc w:val="center"/>
        <w:rPr>
          <w:b/>
          <w:sz w:val="18"/>
          <w:szCs w:val="18"/>
        </w:rPr>
      </w:pPr>
      <w:r w:rsidRPr="00DE41C4">
        <w:rPr>
          <w:b/>
          <w:sz w:val="18"/>
          <w:szCs w:val="18"/>
        </w:rPr>
        <w:t>AUTHORS</w:t>
      </w:r>
    </w:p>
    <w:p w14:paraId="53A58F7A" w14:textId="77777777" w:rsidR="00F64AEF" w:rsidRPr="00DE41C4" w:rsidRDefault="00F64AEF" w:rsidP="00F64AEF">
      <w:pPr>
        <w:jc w:val="center"/>
        <w:rPr>
          <w:sz w:val="18"/>
          <w:szCs w:val="18"/>
        </w:rPr>
      </w:pPr>
      <w:r w:rsidRPr="00DE41C4">
        <w:rPr>
          <w:sz w:val="18"/>
          <w:szCs w:val="18"/>
        </w:rPr>
        <w:t>Ambilikile Mwakyelu</w:t>
      </w:r>
    </w:p>
    <w:p w14:paraId="117E1696" w14:textId="77777777" w:rsidR="00F64AEF" w:rsidRPr="00DE41C4" w:rsidRDefault="00F64AEF" w:rsidP="00F64AEF">
      <w:pPr>
        <w:jc w:val="center"/>
        <w:rPr>
          <w:sz w:val="18"/>
          <w:szCs w:val="18"/>
        </w:rPr>
      </w:pPr>
      <w:r w:rsidRPr="00DE41C4">
        <w:rPr>
          <w:sz w:val="18"/>
          <w:szCs w:val="18"/>
        </w:rPr>
        <w:t xml:space="preserve">Basil Msuha </w:t>
      </w:r>
    </w:p>
    <w:p w14:paraId="2D35351C" w14:textId="77777777" w:rsidR="00F64AEF" w:rsidRPr="00DE41C4" w:rsidRDefault="00F64AEF" w:rsidP="00F64AEF">
      <w:pPr>
        <w:jc w:val="center"/>
        <w:rPr>
          <w:sz w:val="18"/>
          <w:szCs w:val="18"/>
        </w:rPr>
      </w:pPr>
      <w:r w:rsidRPr="00DE41C4">
        <w:rPr>
          <w:sz w:val="18"/>
          <w:szCs w:val="18"/>
        </w:rPr>
        <w:t>Da Silver Mlau</w:t>
      </w:r>
    </w:p>
    <w:p w14:paraId="6D434AFC" w14:textId="77777777" w:rsidR="00F64AEF" w:rsidRPr="00DE41C4" w:rsidRDefault="00F64AEF" w:rsidP="00F64AEF">
      <w:pPr>
        <w:jc w:val="center"/>
        <w:rPr>
          <w:sz w:val="18"/>
          <w:szCs w:val="18"/>
        </w:rPr>
      </w:pPr>
      <w:r w:rsidRPr="00DE41C4">
        <w:rPr>
          <w:sz w:val="18"/>
          <w:szCs w:val="18"/>
        </w:rPr>
        <w:t>Devotha Mdete</w:t>
      </w:r>
    </w:p>
    <w:p w14:paraId="49A0A141" w14:textId="77777777" w:rsidR="00F64AEF" w:rsidRPr="00DE41C4" w:rsidRDefault="00F64AEF" w:rsidP="00F64AEF">
      <w:pPr>
        <w:jc w:val="center"/>
        <w:rPr>
          <w:sz w:val="18"/>
          <w:szCs w:val="18"/>
        </w:rPr>
      </w:pPr>
      <w:r w:rsidRPr="00DE41C4">
        <w:rPr>
          <w:sz w:val="18"/>
          <w:szCs w:val="18"/>
        </w:rPr>
        <w:t>Festo Mwemutsi</w:t>
      </w:r>
    </w:p>
    <w:p w14:paraId="32571042" w14:textId="77777777" w:rsidR="00F64AEF" w:rsidRPr="00DE41C4" w:rsidRDefault="00F64AEF" w:rsidP="00F64AEF">
      <w:pPr>
        <w:jc w:val="center"/>
        <w:rPr>
          <w:sz w:val="18"/>
          <w:szCs w:val="18"/>
        </w:rPr>
      </w:pPr>
      <w:r w:rsidRPr="00DE41C4">
        <w:rPr>
          <w:sz w:val="18"/>
          <w:szCs w:val="18"/>
        </w:rPr>
        <w:t>Genya Charles Genya</w:t>
      </w:r>
    </w:p>
    <w:p w14:paraId="51177F0E" w14:textId="77777777" w:rsidR="00F64AEF" w:rsidRPr="00DE41C4" w:rsidRDefault="00F64AEF" w:rsidP="00F64AEF">
      <w:pPr>
        <w:jc w:val="center"/>
        <w:rPr>
          <w:sz w:val="18"/>
          <w:szCs w:val="18"/>
        </w:rPr>
      </w:pPr>
      <w:r w:rsidRPr="00DE41C4">
        <w:rPr>
          <w:sz w:val="18"/>
          <w:szCs w:val="18"/>
        </w:rPr>
        <w:t>Jillahoma Mussa</w:t>
      </w:r>
    </w:p>
    <w:p w14:paraId="0D721614" w14:textId="77777777" w:rsidR="00F64AEF" w:rsidRPr="00DE41C4" w:rsidRDefault="00F64AEF" w:rsidP="00F64AEF">
      <w:pPr>
        <w:jc w:val="center"/>
        <w:rPr>
          <w:sz w:val="18"/>
          <w:szCs w:val="18"/>
        </w:rPr>
      </w:pPr>
      <w:r w:rsidRPr="00DE41C4">
        <w:rPr>
          <w:sz w:val="18"/>
          <w:szCs w:val="18"/>
        </w:rPr>
        <w:t>Juma Nyabenda</w:t>
      </w:r>
    </w:p>
    <w:p w14:paraId="6CC5B682" w14:textId="77777777" w:rsidR="00F64AEF" w:rsidRPr="00DE41C4" w:rsidRDefault="00F64AEF" w:rsidP="00F64AEF">
      <w:pPr>
        <w:jc w:val="center"/>
        <w:rPr>
          <w:sz w:val="18"/>
          <w:szCs w:val="18"/>
        </w:rPr>
      </w:pPr>
      <w:r w:rsidRPr="00DE41C4">
        <w:rPr>
          <w:sz w:val="18"/>
          <w:szCs w:val="18"/>
        </w:rPr>
        <w:t>Ludovick Materu</w:t>
      </w:r>
    </w:p>
    <w:p w14:paraId="77F790BC" w14:textId="77777777" w:rsidR="00F64AEF" w:rsidRPr="00DE41C4" w:rsidRDefault="00F64AEF" w:rsidP="00F64AEF">
      <w:pPr>
        <w:jc w:val="center"/>
        <w:rPr>
          <w:sz w:val="18"/>
          <w:szCs w:val="18"/>
        </w:rPr>
      </w:pPr>
      <w:r w:rsidRPr="00DE41C4">
        <w:rPr>
          <w:sz w:val="18"/>
          <w:szCs w:val="18"/>
        </w:rPr>
        <w:t>Masoud Ali Hassan</w:t>
      </w:r>
    </w:p>
    <w:p w14:paraId="6F7871B5" w14:textId="77777777" w:rsidR="00F64AEF" w:rsidRPr="00DE41C4" w:rsidRDefault="00F64AEF" w:rsidP="00F64AEF">
      <w:pPr>
        <w:jc w:val="center"/>
        <w:rPr>
          <w:sz w:val="18"/>
          <w:szCs w:val="18"/>
        </w:rPr>
      </w:pPr>
      <w:r w:rsidRPr="00DE41C4">
        <w:rPr>
          <w:sz w:val="18"/>
          <w:szCs w:val="18"/>
        </w:rPr>
        <w:t>Moreen Guveti</w:t>
      </w:r>
    </w:p>
    <w:p w14:paraId="7AAF1EDE" w14:textId="77777777" w:rsidR="00F64AEF" w:rsidRPr="00DE41C4" w:rsidRDefault="00F64AEF" w:rsidP="00F64AEF">
      <w:pPr>
        <w:jc w:val="center"/>
        <w:rPr>
          <w:sz w:val="18"/>
          <w:szCs w:val="18"/>
        </w:rPr>
      </w:pPr>
      <w:r w:rsidRPr="00DE41C4">
        <w:rPr>
          <w:sz w:val="18"/>
          <w:szCs w:val="18"/>
        </w:rPr>
        <w:t>Mwalim Juma</w:t>
      </w:r>
    </w:p>
    <w:p w14:paraId="2B401D11" w14:textId="77777777" w:rsidR="00F64AEF" w:rsidRPr="00DE41C4" w:rsidRDefault="00F64AEF" w:rsidP="00F64AEF">
      <w:pPr>
        <w:jc w:val="center"/>
        <w:rPr>
          <w:sz w:val="18"/>
          <w:szCs w:val="18"/>
        </w:rPr>
      </w:pPr>
      <w:r w:rsidRPr="00DE41C4">
        <w:rPr>
          <w:sz w:val="18"/>
          <w:szCs w:val="18"/>
        </w:rPr>
        <w:t>Mzee Mohamed</w:t>
      </w:r>
    </w:p>
    <w:p w14:paraId="55A7D6BD" w14:textId="77777777" w:rsidR="00F64AEF" w:rsidRPr="00DE41C4" w:rsidRDefault="00F64AEF" w:rsidP="00F64AEF">
      <w:pPr>
        <w:jc w:val="center"/>
        <w:rPr>
          <w:sz w:val="18"/>
          <w:szCs w:val="18"/>
        </w:rPr>
      </w:pPr>
      <w:r w:rsidRPr="00DE41C4">
        <w:rPr>
          <w:sz w:val="18"/>
          <w:szCs w:val="18"/>
        </w:rPr>
        <w:t>Nico Ombeni</w:t>
      </w:r>
    </w:p>
    <w:p w14:paraId="22E5E807" w14:textId="77777777" w:rsidR="00F64AEF" w:rsidRPr="00DE41C4" w:rsidRDefault="00F64AEF" w:rsidP="00F64AEF">
      <w:pPr>
        <w:jc w:val="center"/>
        <w:rPr>
          <w:sz w:val="18"/>
          <w:szCs w:val="18"/>
        </w:rPr>
      </w:pPr>
      <w:r w:rsidRPr="00DE41C4">
        <w:rPr>
          <w:sz w:val="18"/>
          <w:szCs w:val="18"/>
        </w:rPr>
        <w:t>Nour Abdulwahid</w:t>
      </w:r>
    </w:p>
    <w:p w14:paraId="69032670" w14:textId="77777777" w:rsidR="00F64AEF" w:rsidRPr="00DE41C4" w:rsidRDefault="00F64AEF" w:rsidP="00F64AEF">
      <w:pPr>
        <w:jc w:val="center"/>
        <w:rPr>
          <w:sz w:val="18"/>
          <w:szCs w:val="18"/>
        </w:rPr>
      </w:pPr>
      <w:r w:rsidRPr="00DE41C4">
        <w:rPr>
          <w:sz w:val="18"/>
          <w:szCs w:val="18"/>
        </w:rPr>
        <w:t>Philemon Mwenda</w:t>
      </w:r>
    </w:p>
    <w:p w14:paraId="38E684FC" w14:textId="77777777" w:rsidR="00F64AEF" w:rsidRPr="00DE41C4" w:rsidRDefault="00F64AEF" w:rsidP="00F64AEF">
      <w:pPr>
        <w:jc w:val="center"/>
        <w:rPr>
          <w:sz w:val="18"/>
          <w:szCs w:val="18"/>
        </w:rPr>
      </w:pPr>
      <w:r w:rsidRPr="00DE41C4">
        <w:rPr>
          <w:sz w:val="18"/>
          <w:szCs w:val="18"/>
        </w:rPr>
        <w:t>Rahimu Mussa</w:t>
      </w:r>
    </w:p>
    <w:p w14:paraId="7E887968" w14:textId="77777777" w:rsidR="00F64AEF" w:rsidRPr="00DE41C4" w:rsidRDefault="00F64AEF" w:rsidP="00F64AEF">
      <w:pPr>
        <w:jc w:val="center"/>
        <w:rPr>
          <w:sz w:val="18"/>
          <w:szCs w:val="18"/>
        </w:rPr>
      </w:pPr>
      <w:r w:rsidRPr="00DE41C4">
        <w:rPr>
          <w:sz w:val="18"/>
          <w:szCs w:val="18"/>
        </w:rPr>
        <w:t>Ramadhani Kalinga</w:t>
      </w:r>
    </w:p>
    <w:p w14:paraId="54A67E05" w14:textId="77777777" w:rsidR="00F64AEF" w:rsidRPr="00DE41C4" w:rsidRDefault="00F64AEF" w:rsidP="00F64AEF">
      <w:pPr>
        <w:jc w:val="center"/>
        <w:rPr>
          <w:sz w:val="18"/>
          <w:szCs w:val="18"/>
        </w:rPr>
      </w:pPr>
      <w:r w:rsidRPr="00DE41C4">
        <w:rPr>
          <w:sz w:val="18"/>
          <w:szCs w:val="18"/>
        </w:rPr>
        <w:t>Samwel Kawa</w:t>
      </w:r>
    </w:p>
    <w:p w14:paraId="123D6DBF" w14:textId="77777777" w:rsidR="00F64AEF" w:rsidRPr="00DE41C4" w:rsidRDefault="00F64AEF" w:rsidP="00F64AEF">
      <w:pPr>
        <w:jc w:val="center"/>
        <w:rPr>
          <w:sz w:val="18"/>
          <w:szCs w:val="18"/>
        </w:rPr>
      </w:pPr>
      <w:r w:rsidRPr="00DE41C4">
        <w:rPr>
          <w:sz w:val="18"/>
          <w:szCs w:val="18"/>
        </w:rPr>
        <w:t>Theresia Sagamilwa</w:t>
      </w:r>
    </w:p>
    <w:p w14:paraId="59A7E963" w14:textId="77777777" w:rsidR="00F64AEF" w:rsidRPr="00DE41C4" w:rsidRDefault="00F64AEF" w:rsidP="00F64AEF">
      <w:pPr>
        <w:jc w:val="center"/>
        <w:rPr>
          <w:sz w:val="18"/>
          <w:szCs w:val="18"/>
        </w:rPr>
      </w:pPr>
      <w:r w:rsidRPr="00DE41C4">
        <w:rPr>
          <w:sz w:val="18"/>
          <w:szCs w:val="18"/>
        </w:rPr>
        <w:t>Titus Mwisomba</w:t>
      </w:r>
    </w:p>
    <w:p w14:paraId="40ED8E1E" w14:textId="77777777" w:rsidR="00DE41C4" w:rsidRDefault="00DE41C4" w:rsidP="00DE41C4">
      <w:pPr>
        <w:jc w:val="center"/>
        <w:rPr>
          <w:sz w:val="18"/>
          <w:szCs w:val="18"/>
        </w:rPr>
      </w:pPr>
    </w:p>
    <w:p w14:paraId="7471DEC6" w14:textId="77777777" w:rsidR="00DE41C4" w:rsidRPr="00DE41C4" w:rsidRDefault="00DE41C4" w:rsidP="00DE41C4">
      <w:pPr>
        <w:jc w:val="center"/>
        <w:rPr>
          <w:sz w:val="18"/>
          <w:szCs w:val="18"/>
        </w:rPr>
        <w:sectPr w:rsidR="00DE41C4" w:rsidRPr="00DE41C4" w:rsidSect="00DE41C4">
          <w:type w:val="nextColumn"/>
          <w:pgSz w:w="11900" w:h="16840" w:code="9"/>
          <w:pgMar w:top="1286" w:right="1440" w:bottom="1440" w:left="1440" w:header="708" w:footer="708" w:gutter="0"/>
          <w:cols w:space="708"/>
          <w:docGrid w:linePitch="360"/>
        </w:sectPr>
      </w:pPr>
    </w:p>
    <w:p w14:paraId="479E4000" w14:textId="77777777" w:rsidR="00F64AEF" w:rsidRPr="00DE41C4" w:rsidRDefault="00F64AEF" w:rsidP="00F64AEF">
      <w:pPr>
        <w:jc w:val="center"/>
        <w:rPr>
          <w:b/>
          <w:sz w:val="18"/>
          <w:szCs w:val="18"/>
        </w:rPr>
      </w:pPr>
      <w:r w:rsidRPr="00DE41C4">
        <w:rPr>
          <w:b/>
          <w:sz w:val="18"/>
          <w:szCs w:val="18"/>
        </w:rPr>
        <w:lastRenderedPageBreak/>
        <w:t>EDITORS/REVIEWERS</w:t>
      </w:r>
    </w:p>
    <w:p w14:paraId="1D0A283A" w14:textId="77777777" w:rsidR="00F64AEF" w:rsidRPr="00DE41C4" w:rsidRDefault="00F64AEF" w:rsidP="00F64AEF">
      <w:pPr>
        <w:jc w:val="center"/>
        <w:rPr>
          <w:sz w:val="18"/>
          <w:szCs w:val="18"/>
        </w:rPr>
      </w:pPr>
      <w:r w:rsidRPr="00DE41C4">
        <w:rPr>
          <w:sz w:val="18"/>
          <w:szCs w:val="18"/>
        </w:rPr>
        <w:t>Longin Nsiima</w:t>
      </w:r>
    </w:p>
    <w:p w14:paraId="29B605F3" w14:textId="77777777" w:rsidR="00F64AEF" w:rsidRPr="00DE41C4" w:rsidRDefault="00F64AEF" w:rsidP="00F64AEF">
      <w:pPr>
        <w:jc w:val="center"/>
        <w:rPr>
          <w:sz w:val="18"/>
          <w:szCs w:val="18"/>
        </w:rPr>
      </w:pPr>
      <w:r w:rsidRPr="00DE41C4">
        <w:rPr>
          <w:sz w:val="18"/>
          <w:szCs w:val="18"/>
        </w:rPr>
        <w:t>Obey Asseri</w:t>
      </w:r>
    </w:p>
    <w:p w14:paraId="470EFCB1" w14:textId="77777777" w:rsidR="00F64AEF" w:rsidRPr="00DE41C4" w:rsidRDefault="00F64AEF" w:rsidP="00F64AEF">
      <w:pPr>
        <w:jc w:val="center"/>
        <w:rPr>
          <w:sz w:val="18"/>
          <w:szCs w:val="18"/>
        </w:rPr>
      </w:pPr>
      <w:r w:rsidRPr="00DE41C4">
        <w:rPr>
          <w:sz w:val="18"/>
          <w:szCs w:val="18"/>
        </w:rPr>
        <w:t>Oswald Ruboha</w:t>
      </w:r>
    </w:p>
    <w:p w14:paraId="2CFA6F13" w14:textId="77777777" w:rsidR="00F64AEF" w:rsidRPr="00DE41C4" w:rsidRDefault="00F64AEF" w:rsidP="00F64AEF">
      <w:pPr>
        <w:jc w:val="center"/>
        <w:rPr>
          <w:sz w:val="18"/>
          <w:szCs w:val="18"/>
        </w:rPr>
      </w:pPr>
    </w:p>
    <w:p w14:paraId="1E83F316" w14:textId="77777777" w:rsidR="00F64AEF" w:rsidRPr="00DE41C4" w:rsidRDefault="00F64AEF" w:rsidP="00F64AEF">
      <w:pPr>
        <w:jc w:val="center"/>
        <w:rPr>
          <w:b/>
          <w:sz w:val="18"/>
          <w:szCs w:val="18"/>
        </w:rPr>
      </w:pPr>
      <w:r w:rsidRPr="00DE41C4">
        <w:rPr>
          <w:b/>
          <w:sz w:val="18"/>
          <w:szCs w:val="18"/>
        </w:rPr>
        <w:t>TRAINERS</w:t>
      </w:r>
    </w:p>
    <w:p w14:paraId="7FFF5646" w14:textId="77777777" w:rsidR="00F64AEF" w:rsidRPr="00DE41C4" w:rsidRDefault="00F64AEF" w:rsidP="00F64AEF">
      <w:pPr>
        <w:jc w:val="center"/>
        <w:rPr>
          <w:sz w:val="18"/>
          <w:szCs w:val="18"/>
        </w:rPr>
      </w:pPr>
      <w:r w:rsidRPr="00DE41C4">
        <w:rPr>
          <w:sz w:val="18"/>
          <w:szCs w:val="18"/>
        </w:rPr>
        <w:t>Ali Rashid</w:t>
      </w:r>
    </w:p>
    <w:p w14:paraId="019DC5D4" w14:textId="77777777" w:rsidR="00F64AEF" w:rsidRPr="00DE41C4" w:rsidRDefault="00F64AEF" w:rsidP="00F64AEF">
      <w:pPr>
        <w:jc w:val="center"/>
        <w:rPr>
          <w:sz w:val="18"/>
          <w:szCs w:val="18"/>
        </w:rPr>
      </w:pPr>
      <w:r w:rsidRPr="00DE41C4">
        <w:rPr>
          <w:sz w:val="18"/>
          <w:szCs w:val="18"/>
        </w:rPr>
        <w:t xml:space="preserve">Basil Msuha </w:t>
      </w:r>
    </w:p>
    <w:p w14:paraId="1CBAF603" w14:textId="77777777" w:rsidR="00F64AEF" w:rsidRPr="00DE41C4" w:rsidRDefault="00F64AEF" w:rsidP="00F64AEF">
      <w:pPr>
        <w:jc w:val="center"/>
        <w:rPr>
          <w:sz w:val="18"/>
          <w:szCs w:val="18"/>
        </w:rPr>
      </w:pPr>
      <w:r w:rsidRPr="00DE41C4">
        <w:rPr>
          <w:sz w:val="18"/>
          <w:szCs w:val="18"/>
        </w:rPr>
        <w:t>Da Silver Mlau</w:t>
      </w:r>
    </w:p>
    <w:p w14:paraId="4B7C9A12" w14:textId="77777777" w:rsidR="00F64AEF" w:rsidRPr="00DE41C4" w:rsidRDefault="00F64AEF" w:rsidP="00F64AEF">
      <w:pPr>
        <w:jc w:val="center"/>
        <w:rPr>
          <w:sz w:val="18"/>
          <w:szCs w:val="18"/>
        </w:rPr>
      </w:pPr>
      <w:r w:rsidRPr="00DE41C4">
        <w:rPr>
          <w:sz w:val="18"/>
          <w:szCs w:val="18"/>
        </w:rPr>
        <w:t>Devotha Mdete</w:t>
      </w:r>
    </w:p>
    <w:p w14:paraId="062F86BD" w14:textId="77777777" w:rsidR="00F64AEF" w:rsidRPr="00DE41C4" w:rsidRDefault="00F64AEF" w:rsidP="00F64AEF">
      <w:pPr>
        <w:jc w:val="center"/>
        <w:rPr>
          <w:sz w:val="18"/>
          <w:szCs w:val="18"/>
        </w:rPr>
      </w:pPr>
      <w:r w:rsidRPr="00DE41C4">
        <w:rPr>
          <w:sz w:val="18"/>
          <w:szCs w:val="18"/>
        </w:rPr>
        <w:t>Festo Mwemutsi</w:t>
      </w:r>
    </w:p>
    <w:p w14:paraId="6850A287" w14:textId="77777777" w:rsidR="00F64AEF" w:rsidRPr="00DE41C4" w:rsidRDefault="00F64AEF" w:rsidP="00F64AEF">
      <w:pPr>
        <w:jc w:val="center"/>
        <w:rPr>
          <w:sz w:val="18"/>
          <w:szCs w:val="18"/>
        </w:rPr>
      </w:pPr>
      <w:r w:rsidRPr="00DE41C4">
        <w:rPr>
          <w:sz w:val="18"/>
          <w:szCs w:val="18"/>
        </w:rPr>
        <w:t>Genya Charles Genya</w:t>
      </w:r>
    </w:p>
    <w:p w14:paraId="7877F2C6" w14:textId="77777777" w:rsidR="00F64AEF" w:rsidRPr="00DE41C4" w:rsidRDefault="00F64AEF" w:rsidP="00F64AEF">
      <w:pPr>
        <w:jc w:val="center"/>
        <w:rPr>
          <w:sz w:val="18"/>
          <w:szCs w:val="18"/>
        </w:rPr>
      </w:pPr>
      <w:r w:rsidRPr="00DE41C4">
        <w:rPr>
          <w:sz w:val="18"/>
          <w:szCs w:val="18"/>
        </w:rPr>
        <w:t>Jillahoma Mussa</w:t>
      </w:r>
    </w:p>
    <w:p w14:paraId="2CA99F0D" w14:textId="77777777" w:rsidR="00F64AEF" w:rsidRPr="00DE41C4" w:rsidRDefault="00F64AEF" w:rsidP="00F64AEF">
      <w:pPr>
        <w:jc w:val="center"/>
        <w:rPr>
          <w:sz w:val="18"/>
          <w:szCs w:val="18"/>
        </w:rPr>
      </w:pPr>
      <w:r w:rsidRPr="00DE41C4">
        <w:rPr>
          <w:sz w:val="18"/>
          <w:szCs w:val="18"/>
        </w:rPr>
        <w:t>Juma Nyabenda</w:t>
      </w:r>
    </w:p>
    <w:p w14:paraId="024778CA" w14:textId="77777777" w:rsidR="00F64AEF" w:rsidRPr="00DE41C4" w:rsidRDefault="00F64AEF" w:rsidP="00F64AEF">
      <w:pPr>
        <w:jc w:val="center"/>
        <w:rPr>
          <w:sz w:val="18"/>
          <w:szCs w:val="18"/>
        </w:rPr>
      </w:pPr>
      <w:r w:rsidRPr="00DE41C4">
        <w:rPr>
          <w:sz w:val="18"/>
          <w:szCs w:val="18"/>
        </w:rPr>
        <w:t>Ludovick Materu</w:t>
      </w:r>
    </w:p>
    <w:p w14:paraId="0AF1804E" w14:textId="77777777" w:rsidR="00F64AEF" w:rsidRPr="00DE41C4" w:rsidRDefault="00F64AEF" w:rsidP="00F64AEF">
      <w:pPr>
        <w:jc w:val="center"/>
        <w:rPr>
          <w:sz w:val="18"/>
          <w:szCs w:val="18"/>
        </w:rPr>
      </w:pPr>
      <w:r w:rsidRPr="00DE41C4">
        <w:rPr>
          <w:sz w:val="18"/>
          <w:szCs w:val="18"/>
        </w:rPr>
        <w:t xml:space="preserve">Mohamed Gharibu </w:t>
      </w:r>
    </w:p>
    <w:p w14:paraId="6DD3D62D" w14:textId="77777777" w:rsidR="00F64AEF" w:rsidRPr="00DE41C4" w:rsidRDefault="00F64AEF" w:rsidP="00F64AEF">
      <w:pPr>
        <w:jc w:val="center"/>
        <w:rPr>
          <w:sz w:val="18"/>
          <w:szCs w:val="18"/>
        </w:rPr>
      </w:pPr>
      <w:r w:rsidRPr="00DE41C4">
        <w:rPr>
          <w:sz w:val="18"/>
          <w:szCs w:val="18"/>
        </w:rPr>
        <w:t>Moreen Guveti</w:t>
      </w:r>
    </w:p>
    <w:p w14:paraId="72CC62C3" w14:textId="77777777" w:rsidR="00F64AEF" w:rsidRPr="00DE41C4" w:rsidRDefault="00F64AEF" w:rsidP="00F64AEF">
      <w:pPr>
        <w:jc w:val="center"/>
        <w:rPr>
          <w:sz w:val="18"/>
          <w:szCs w:val="18"/>
        </w:rPr>
      </w:pPr>
      <w:r w:rsidRPr="00DE41C4">
        <w:rPr>
          <w:sz w:val="18"/>
          <w:szCs w:val="18"/>
        </w:rPr>
        <w:t>Mwalim Juma Mohamed</w:t>
      </w:r>
    </w:p>
    <w:p w14:paraId="25F5CF73" w14:textId="77777777" w:rsidR="00F64AEF" w:rsidRPr="00DE41C4" w:rsidRDefault="00F64AEF" w:rsidP="00F64AEF">
      <w:pPr>
        <w:jc w:val="center"/>
        <w:rPr>
          <w:sz w:val="18"/>
          <w:szCs w:val="18"/>
        </w:rPr>
      </w:pPr>
      <w:r w:rsidRPr="00DE41C4">
        <w:rPr>
          <w:sz w:val="18"/>
          <w:szCs w:val="18"/>
        </w:rPr>
        <w:t>Mzee Mohamed</w:t>
      </w:r>
    </w:p>
    <w:p w14:paraId="622424F3" w14:textId="77777777" w:rsidR="00F64AEF" w:rsidRPr="00DE41C4" w:rsidRDefault="00F64AEF" w:rsidP="00F64AEF">
      <w:pPr>
        <w:jc w:val="center"/>
        <w:rPr>
          <w:sz w:val="18"/>
          <w:szCs w:val="18"/>
        </w:rPr>
      </w:pPr>
      <w:r w:rsidRPr="00DE41C4">
        <w:rPr>
          <w:sz w:val="18"/>
          <w:szCs w:val="18"/>
        </w:rPr>
        <w:t>Nico Ombeni</w:t>
      </w:r>
    </w:p>
    <w:p w14:paraId="1FAA64A2" w14:textId="77777777" w:rsidR="00F64AEF" w:rsidRPr="00DE41C4" w:rsidRDefault="00F64AEF" w:rsidP="00F64AEF">
      <w:pPr>
        <w:jc w:val="center"/>
        <w:rPr>
          <w:sz w:val="18"/>
          <w:szCs w:val="18"/>
        </w:rPr>
      </w:pPr>
      <w:r w:rsidRPr="00DE41C4">
        <w:rPr>
          <w:sz w:val="18"/>
          <w:szCs w:val="18"/>
        </w:rPr>
        <w:t>Noela John</w:t>
      </w:r>
    </w:p>
    <w:p w14:paraId="66E352F9" w14:textId="77777777" w:rsidR="00F64AEF" w:rsidRPr="00DE41C4" w:rsidRDefault="00F64AEF" w:rsidP="00F64AEF">
      <w:pPr>
        <w:jc w:val="center"/>
        <w:rPr>
          <w:sz w:val="18"/>
          <w:szCs w:val="18"/>
        </w:rPr>
      </w:pPr>
      <w:r w:rsidRPr="00DE41C4">
        <w:rPr>
          <w:sz w:val="18"/>
          <w:szCs w:val="18"/>
        </w:rPr>
        <w:t>Philemon Mwenda</w:t>
      </w:r>
    </w:p>
    <w:p w14:paraId="39F2F62C" w14:textId="77777777" w:rsidR="00F64AEF" w:rsidRPr="00DE41C4" w:rsidRDefault="00F64AEF" w:rsidP="00F64AEF">
      <w:pPr>
        <w:jc w:val="center"/>
        <w:rPr>
          <w:sz w:val="18"/>
          <w:szCs w:val="18"/>
        </w:rPr>
      </w:pPr>
      <w:r w:rsidRPr="00DE41C4">
        <w:rPr>
          <w:sz w:val="18"/>
          <w:szCs w:val="18"/>
        </w:rPr>
        <w:t>Rahimu Mussa</w:t>
      </w:r>
    </w:p>
    <w:p w14:paraId="38DAB60D" w14:textId="77777777" w:rsidR="00F64AEF" w:rsidRPr="00DE41C4" w:rsidRDefault="00F64AEF" w:rsidP="00F64AEF">
      <w:pPr>
        <w:jc w:val="center"/>
        <w:rPr>
          <w:sz w:val="18"/>
          <w:szCs w:val="18"/>
        </w:rPr>
      </w:pPr>
      <w:r w:rsidRPr="00DE41C4">
        <w:rPr>
          <w:sz w:val="18"/>
          <w:szCs w:val="18"/>
        </w:rPr>
        <w:t>Ramadhani Kalinga</w:t>
      </w:r>
    </w:p>
    <w:p w14:paraId="3986CFD0" w14:textId="77777777" w:rsidR="00F64AEF" w:rsidRPr="00DE41C4" w:rsidRDefault="00F64AEF" w:rsidP="00F64AEF">
      <w:pPr>
        <w:jc w:val="center"/>
        <w:rPr>
          <w:sz w:val="18"/>
          <w:szCs w:val="18"/>
        </w:rPr>
      </w:pPr>
      <w:r w:rsidRPr="00DE41C4">
        <w:rPr>
          <w:sz w:val="18"/>
          <w:szCs w:val="18"/>
        </w:rPr>
        <w:t>Robert Kasililwa</w:t>
      </w:r>
    </w:p>
    <w:p w14:paraId="03DF3628" w14:textId="77777777" w:rsidR="00F64AEF" w:rsidRPr="00DE41C4" w:rsidRDefault="00F64AEF" w:rsidP="00F64AEF">
      <w:pPr>
        <w:jc w:val="center"/>
        <w:rPr>
          <w:sz w:val="18"/>
          <w:szCs w:val="18"/>
        </w:rPr>
      </w:pPr>
      <w:r w:rsidRPr="00DE41C4">
        <w:rPr>
          <w:sz w:val="18"/>
          <w:szCs w:val="18"/>
        </w:rPr>
        <w:t>Samwel Kawa</w:t>
      </w:r>
    </w:p>
    <w:p w14:paraId="6FF76DA1" w14:textId="77777777" w:rsidR="00F64AEF" w:rsidRDefault="00F64AEF" w:rsidP="00F64AEF">
      <w:pPr>
        <w:jc w:val="center"/>
        <w:rPr>
          <w:sz w:val="18"/>
          <w:szCs w:val="18"/>
        </w:rPr>
      </w:pPr>
      <w:r w:rsidRPr="00DE41C4">
        <w:rPr>
          <w:sz w:val="18"/>
          <w:szCs w:val="18"/>
        </w:rPr>
        <w:t>Theresia Sagamilwa</w:t>
      </w:r>
    </w:p>
    <w:p w14:paraId="3B8D6788" w14:textId="77777777" w:rsidR="00F64AEF" w:rsidRPr="00DE41C4" w:rsidRDefault="00F64AEF" w:rsidP="00940E4C">
      <w:pPr>
        <w:rPr>
          <w:sz w:val="18"/>
          <w:szCs w:val="18"/>
        </w:rPr>
      </w:pPr>
    </w:p>
    <w:p w14:paraId="3AC98EB8" w14:textId="77777777" w:rsidR="00F64AEF" w:rsidRPr="00DE41C4" w:rsidRDefault="00F64AEF" w:rsidP="00F64AEF">
      <w:pPr>
        <w:jc w:val="center"/>
        <w:rPr>
          <w:b/>
          <w:sz w:val="18"/>
          <w:szCs w:val="18"/>
        </w:rPr>
      </w:pPr>
      <w:r w:rsidRPr="00DE41C4">
        <w:rPr>
          <w:b/>
          <w:sz w:val="18"/>
          <w:szCs w:val="18"/>
        </w:rPr>
        <w:t>FIELD SUPERVISORS FROM HEADQUARTERS</w:t>
      </w:r>
    </w:p>
    <w:p w14:paraId="6174F92A" w14:textId="77777777" w:rsidR="00F64AEF" w:rsidRPr="00DE41C4" w:rsidRDefault="00F64AEF" w:rsidP="00F64AEF">
      <w:pPr>
        <w:jc w:val="center"/>
        <w:rPr>
          <w:sz w:val="18"/>
          <w:szCs w:val="18"/>
        </w:rPr>
      </w:pPr>
      <w:r w:rsidRPr="00DE41C4">
        <w:rPr>
          <w:sz w:val="18"/>
          <w:szCs w:val="18"/>
        </w:rPr>
        <w:t>Abbas Alpha Kambo</w:t>
      </w:r>
    </w:p>
    <w:p w14:paraId="5F87B5AB" w14:textId="77777777" w:rsidR="00F64AEF" w:rsidRPr="00DE41C4" w:rsidRDefault="00F64AEF" w:rsidP="00F64AEF">
      <w:pPr>
        <w:jc w:val="center"/>
        <w:rPr>
          <w:sz w:val="18"/>
          <w:szCs w:val="18"/>
        </w:rPr>
      </w:pPr>
      <w:r w:rsidRPr="00DE41C4">
        <w:rPr>
          <w:sz w:val="18"/>
          <w:szCs w:val="18"/>
        </w:rPr>
        <w:t>Alex Ndimbo</w:t>
      </w:r>
    </w:p>
    <w:p w14:paraId="74515329" w14:textId="77777777" w:rsidR="00F64AEF" w:rsidRPr="00DE41C4" w:rsidRDefault="00F64AEF" w:rsidP="00F64AEF">
      <w:pPr>
        <w:jc w:val="center"/>
        <w:rPr>
          <w:sz w:val="18"/>
          <w:szCs w:val="18"/>
        </w:rPr>
      </w:pPr>
      <w:r w:rsidRPr="00DE41C4">
        <w:rPr>
          <w:sz w:val="18"/>
          <w:szCs w:val="18"/>
        </w:rPr>
        <w:t>Ally Rashid</w:t>
      </w:r>
    </w:p>
    <w:p w14:paraId="6EF03744" w14:textId="77777777" w:rsidR="00F64AEF" w:rsidRPr="00DE41C4" w:rsidRDefault="00F64AEF" w:rsidP="00F64AEF">
      <w:pPr>
        <w:jc w:val="center"/>
        <w:rPr>
          <w:sz w:val="18"/>
          <w:szCs w:val="18"/>
        </w:rPr>
      </w:pPr>
      <w:r w:rsidRPr="00DE41C4">
        <w:rPr>
          <w:sz w:val="18"/>
          <w:szCs w:val="18"/>
        </w:rPr>
        <w:t>Beatrice Kavenuke</w:t>
      </w:r>
    </w:p>
    <w:p w14:paraId="108510C9" w14:textId="77777777" w:rsidR="00F64AEF" w:rsidRPr="00DE41C4" w:rsidRDefault="00F64AEF" w:rsidP="00F64AEF">
      <w:pPr>
        <w:jc w:val="center"/>
        <w:rPr>
          <w:sz w:val="18"/>
          <w:szCs w:val="18"/>
        </w:rPr>
      </w:pPr>
      <w:r w:rsidRPr="00DE41C4">
        <w:rPr>
          <w:sz w:val="18"/>
          <w:szCs w:val="18"/>
        </w:rPr>
        <w:t xml:space="preserve">Clemence Shio </w:t>
      </w:r>
    </w:p>
    <w:p w14:paraId="5BE1A3D8" w14:textId="77777777" w:rsidR="00F64AEF" w:rsidRPr="00DE41C4" w:rsidRDefault="00F64AEF" w:rsidP="00F64AEF">
      <w:pPr>
        <w:jc w:val="center"/>
        <w:rPr>
          <w:sz w:val="18"/>
          <w:szCs w:val="18"/>
        </w:rPr>
      </w:pPr>
      <w:r w:rsidRPr="00DE41C4">
        <w:rPr>
          <w:sz w:val="18"/>
          <w:szCs w:val="18"/>
        </w:rPr>
        <w:t>Cresensia Mpanda</w:t>
      </w:r>
    </w:p>
    <w:p w14:paraId="7A57717A" w14:textId="77777777" w:rsidR="00F64AEF" w:rsidRPr="00DE41C4" w:rsidRDefault="00F64AEF" w:rsidP="00F64AEF">
      <w:pPr>
        <w:jc w:val="center"/>
        <w:rPr>
          <w:sz w:val="18"/>
          <w:szCs w:val="18"/>
        </w:rPr>
      </w:pPr>
      <w:r w:rsidRPr="00DE41C4">
        <w:rPr>
          <w:sz w:val="18"/>
          <w:szCs w:val="18"/>
        </w:rPr>
        <w:t>Elide Mwanri</w:t>
      </w:r>
    </w:p>
    <w:p w14:paraId="07A957A0" w14:textId="77777777" w:rsidR="00F64AEF" w:rsidRPr="00DE41C4" w:rsidRDefault="00F64AEF" w:rsidP="00F64AEF">
      <w:pPr>
        <w:jc w:val="center"/>
        <w:rPr>
          <w:sz w:val="18"/>
          <w:szCs w:val="18"/>
        </w:rPr>
      </w:pPr>
      <w:r w:rsidRPr="00DE41C4">
        <w:rPr>
          <w:sz w:val="18"/>
          <w:szCs w:val="18"/>
        </w:rPr>
        <w:t>Ernest Mshana</w:t>
      </w:r>
    </w:p>
    <w:p w14:paraId="069343CF" w14:textId="77777777" w:rsidR="00F64AEF" w:rsidRPr="00DE41C4" w:rsidRDefault="00F64AEF" w:rsidP="00F64AEF">
      <w:pPr>
        <w:jc w:val="center"/>
        <w:rPr>
          <w:sz w:val="18"/>
          <w:szCs w:val="18"/>
        </w:rPr>
      </w:pPr>
      <w:r w:rsidRPr="00DE41C4">
        <w:rPr>
          <w:sz w:val="18"/>
          <w:szCs w:val="18"/>
        </w:rPr>
        <w:t>Francis Makusaro</w:t>
      </w:r>
    </w:p>
    <w:p w14:paraId="5A9D15E5" w14:textId="77777777" w:rsidR="00F64AEF" w:rsidRPr="00DE41C4" w:rsidRDefault="00F64AEF" w:rsidP="00F64AEF">
      <w:pPr>
        <w:jc w:val="center"/>
        <w:rPr>
          <w:sz w:val="18"/>
          <w:szCs w:val="18"/>
        </w:rPr>
      </w:pPr>
      <w:r w:rsidRPr="00DE41C4">
        <w:rPr>
          <w:sz w:val="18"/>
          <w:szCs w:val="18"/>
        </w:rPr>
        <w:t>Hadija Kayera</w:t>
      </w:r>
    </w:p>
    <w:p w14:paraId="575DC6C9" w14:textId="77777777" w:rsidR="00F64AEF" w:rsidRPr="00DE41C4" w:rsidRDefault="00F64AEF" w:rsidP="00F64AEF">
      <w:pPr>
        <w:jc w:val="center"/>
        <w:rPr>
          <w:sz w:val="18"/>
          <w:szCs w:val="18"/>
        </w:rPr>
      </w:pPr>
      <w:r w:rsidRPr="00DE41C4">
        <w:rPr>
          <w:sz w:val="18"/>
          <w:szCs w:val="18"/>
        </w:rPr>
        <w:t>Happiness Kapinga</w:t>
      </w:r>
    </w:p>
    <w:p w14:paraId="439FE9A2" w14:textId="77777777" w:rsidR="00F64AEF" w:rsidRPr="00DE41C4" w:rsidRDefault="00F64AEF" w:rsidP="00F64AEF">
      <w:pPr>
        <w:jc w:val="center"/>
        <w:rPr>
          <w:sz w:val="18"/>
          <w:szCs w:val="18"/>
        </w:rPr>
      </w:pPr>
      <w:r w:rsidRPr="00DE41C4">
        <w:rPr>
          <w:sz w:val="18"/>
          <w:szCs w:val="18"/>
        </w:rPr>
        <w:t>Leila Robin</w:t>
      </w:r>
    </w:p>
    <w:p w14:paraId="68D2B2CE" w14:textId="77777777" w:rsidR="00F64AEF" w:rsidRPr="00DE41C4" w:rsidRDefault="00F64AEF" w:rsidP="00F64AEF">
      <w:pPr>
        <w:jc w:val="center"/>
        <w:rPr>
          <w:sz w:val="18"/>
          <w:szCs w:val="18"/>
        </w:rPr>
      </w:pPr>
      <w:r w:rsidRPr="00DE41C4">
        <w:rPr>
          <w:sz w:val="18"/>
          <w:szCs w:val="18"/>
        </w:rPr>
        <w:t>Morris Mulilo</w:t>
      </w:r>
    </w:p>
    <w:p w14:paraId="7622898F" w14:textId="77777777" w:rsidR="00F64AEF" w:rsidRPr="00DE41C4" w:rsidRDefault="00F64AEF" w:rsidP="00F64AEF">
      <w:pPr>
        <w:jc w:val="center"/>
        <w:rPr>
          <w:sz w:val="18"/>
          <w:szCs w:val="18"/>
        </w:rPr>
      </w:pPr>
      <w:r w:rsidRPr="00DE41C4">
        <w:rPr>
          <w:sz w:val="18"/>
          <w:szCs w:val="18"/>
        </w:rPr>
        <w:t>Noah Mkasanga</w:t>
      </w:r>
    </w:p>
    <w:p w14:paraId="26043567" w14:textId="77777777" w:rsidR="00F64AEF" w:rsidRPr="00DE41C4" w:rsidRDefault="00F64AEF" w:rsidP="00F64AEF">
      <w:pPr>
        <w:jc w:val="center"/>
        <w:rPr>
          <w:sz w:val="18"/>
          <w:szCs w:val="18"/>
        </w:rPr>
      </w:pPr>
      <w:r w:rsidRPr="00DE41C4">
        <w:rPr>
          <w:sz w:val="18"/>
          <w:szCs w:val="18"/>
        </w:rPr>
        <w:t>Robert Kasililwa</w:t>
      </w:r>
    </w:p>
    <w:p w14:paraId="0A816D0A" w14:textId="77777777" w:rsidR="00F64AEF" w:rsidRPr="00DE41C4" w:rsidRDefault="00F64AEF" w:rsidP="00F64AEF">
      <w:pPr>
        <w:jc w:val="center"/>
        <w:rPr>
          <w:sz w:val="18"/>
          <w:szCs w:val="18"/>
        </w:rPr>
      </w:pPr>
      <w:r w:rsidRPr="00DE41C4">
        <w:rPr>
          <w:sz w:val="18"/>
          <w:szCs w:val="18"/>
        </w:rPr>
        <w:t>Salehe Chivanga</w:t>
      </w:r>
    </w:p>
    <w:p w14:paraId="2240CA16" w14:textId="77777777" w:rsidR="00F64AEF" w:rsidRPr="00DE41C4" w:rsidRDefault="00F64AEF" w:rsidP="00F64AEF">
      <w:pPr>
        <w:jc w:val="center"/>
        <w:rPr>
          <w:sz w:val="18"/>
          <w:szCs w:val="18"/>
        </w:rPr>
      </w:pPr>
      <w:r w:rsidRPr="00DE41C4">
        <w:rPr>
          <w:sz w:val="18"/>
          <w:szCs w:val="18"/>
        </w:rPr>
        <w:t>Tuntufye Mwakasisi</w:t>
      </w:r>
    </w:p>
    <w:p w14:paraId="2A958356" w14:textId="77777777" w:rsidR="00F64AEF" w:rsidRPr="00DE41C4" w:rsidRDefault="00F64AEF" w:rsidP="00F64AEF">
      <w:pPr>
        <w:jc w:val="center"/>
        <w:rPr>
          <w:sz w:val="18"/>
          <w:szCs w:val="18"/>
        </w:rPr>
      </w:pPr>
      <w:r w:rsidRPr="00DE41C4">
        <w:rPr>
          <w:sz w:val="18"/>
          <w:szCs w:val="18"/>
        </w:rPr>
        <w:t>Veronica Mwangoka</w:t>
      </w:r>
    </w:p>
    <w:p w14:paraId="44DC4FCF" w14:textId="77777777" w:rsidR="00F64AEF" w:rsidRPr="00DE41C4" w:rsidRDefault="00F64AEF" w:rsidP="00F64AEF">
      <w:pPr>
        <w:jc w:val="center"/>
        <w:rPr>
          <w:sz w:val="18"/>
          <w:szCs w:val="18"/>
        </w:rPr>
      </w:pPr>
      <w:r w:rsidRPr="00DE41C4">
        <w:rPr>
          <w:sz w:val="18"/>
          <w:szCs w:val="18"/>
        </w:rPr>
        <w:t>Vitalis Wantiku</w:t>
      </w:r>
    </w:p>
    <w:p w14:paraId="52EEA2AC" w14:textId="5DD56B1C" w:rsidR="00F64AEF" w:rsidRDefault="00F64AEF" w:rsidP="00F64AEF">
      <w:pPr>
        <w:jc w:val="center"/>
        <w:rPr>
          <w:sz w:val="18"/>
          <w:szCs w:val="18"/>
        </w:rPr>
      </w:pPr>
      <w:r w:rsidRPr="00DE41C4">
        <w:rPr>
          <w:sz w:val="18"/>
          <w:szCs w:val="18"/>
        </w:rPr>
        <w:t>William Matee</w:t>
      </w:r>
    </w:p>
    <w:p w14:paraId="5F7AF62C" w14:textId="77777777" w:rsidR="00DE41C4" w:rsidRPr="00DE41C4" w:rsidRDefault="00DE41C4" w:rsidP="00F64AEF">
      <w:pPr>
        <w:jc w:val="center"/>
        <w:rPr>
          <w:sz w:val="18"/>
          <w:szCs w:val="18"/>
        </w:rPr>
      </w:pPr>
    </w:p>
    <w:p w14:paraId="095972D0" w14:textId="77777777" w:rsidR="00F64AEF" w:rsidRPr="00DE41C4" w:rsidRDefault="00F64AEF" w:rsidP="00F64AEF">
      <w:pPr>
        <w:jc w:val="center"/>
        <w:rPr>
          <w:b/>
          <w:sz w:val="18"/>
          <w:szCs w:val="18"/>
        </w:rPr>
      </w:pPr>
      <w:r w:rsidRPr="00DE41C4">
        <w:rPr>
          <w:b/>
          <w:sz w:val="18"/>
          <w:szCs w:val="18"/>
        </w:rPr>
        <w:t>QUALITY ASSURANCE</w:t>
      </w:r>
    </w:p>
    <w:p w14:paraId="479652C7" w14:textId="77777777" w:rsidR="00F64AEF" w:rsidRPr="00DE41C4" w:rsidRDefault="00F64AEF" w:rsidP="00F64AEF">
      <w:pPr>
        <w:jc w:val="center"/>
        <w:rPr>
          <w:color w:val="000000" w:themeColor="text1"/>
          <w:sz w:val="18"/>
          <w:szCs w:val="18"/>
        </w:rPr>
      </w:pPr>
      <w:r w:rsidRPr="00DE41C4">
        <w:rPr>
          <w:color w:val="000000" w:themeColor="text1"/>
          <w:sz w:val="18"/>
          <w:szCs w:val="18"/>
        </w:rPr>
        <w:t>Abubakar Hamad Mussa</w:t>
      </w:r>
    </w:p>
    <w:p w14:paraId="6CF2857D" w14:textId="77777777" w:rsidR="00F64AEF" w:rsidRPr="00DE41C4" w:rsidRDefault="00F64AEF" w:rsidP="00F64AEF">
      <w:pPr>
        <w:jc w:val="center"/>
        <w:rPr>
          <w:color w:val="000000" w:themeColor="text1"/>
          <w:sz w:val="18"/>
          <w:szCs w:val="18"/>
        </w:rPr>
      </w:pPr>
      <w:r w:rsidRPr="00DE41C4">
        <w:rPr>
          <w:color w:val="000000" w:themeColor="text1"/>
          <w:sz w:val="18"/>
          <w:szCs w:val="18"/>
        </w:rPr>
        <w:t>Dr. Magreth Martin</w:t>
      </w:r>
    </w:p>
    <w:p w14:paraId="2EF80D83" w14:textId="77777777" w:rsidR="00F64AEF" w:rsidRPr="00DE41C4" w:rsidRDefault="00F64AEF" w:rsidP="00F64AEF">
      <w:pPr>
        <w:jc w:val="center"/>
        <w:rPr>
          <w:sz w:val="18"/>
          <w:szCs w:val="18"/>
        </w:rPr>
      </w:pPr>
      <w:r w:rsidRPr="00DE41C4">
        <w:rPr>
          <w:sz w:val="18"/>
          <w:szCs w:val="18"/>
        </w:rPr>
        <w:t>Elide Mwanri</w:t>
      </w:r>
    </w:p>
    <w:p w14:paraId="7D2B333A" w14:textId="77777777" w:rsidR="00F64AEF" w:rsidRPr="00DE41C4" w:rsidRDefault="00F64AEF" w:rsidP="00F64AEF">
      <w:pPr>
        <w:jc w:val="center"/>
        <w:rPr>
          <w:color w:val="000000" w:themeColor="text1"/>
          <w:sz w:val="18"/>
          <w:szCs w:val="18"/>
        </w:rPr>
      </w:pPr>
      <w:r w:rsidRPr="00DE41C4">
        <w:rPr>
          <w:color w:val="000000" w:themeColor="text1"/>
          <w:sz w:val="18"/>
          <w:szCs w:val="18"/>
        </w:rPr>
        <w:t>Titus Mwisomba</w:t>
      </w:r>
    </w:p>
    <w:p w14:paraId="7D5933B3" w14:textId="77777777" w:rsidR="00F64AEF" w:rsidRPr="00DE41C4" w:rsidRDefault="00F64AEF" w:rsidP="00F64AEF">
      <w:pPr>
        <w:jc w:val="center"/>
        <w:rPr>
          <w:b/>
          <w:sz w:val="18"/>
          <w:szCs w:val="18"/>
        </w:rPr>
      </w:pPr>
    </w:p>
    <w:p w14:paraId="62214F23" w14:textId="28BEDD05" w:rsidR="00F64AEF" w:rsidRPr="00DE41C4" w:rsidRDefault="00F00389" w:rsidP="00F64AEF">
      <w:pPr>
        <w:jc w:val="center"/>
        <w:rPr>
          <w:b/>
          <w:sz w:val="18"/>
          <w:szCs w:val="18"/>
        </w:rPr>
      </w:pPr>
      <w:r w:rsidRPr="00DE41C4">
        <w:rPr>
          <w:b/>
          <w:sz w:val="18"/>
          <w:szCs w:val="18"/>
        </w:rPr>
        <w:t xml:space="preserve">IT TEAM </w:t>
      </w:r>
      <w:r>
        <w:rPr>
          <w:b/>
          <w:sz w:val="18"/>
          <w:szCs w:val="18"/>
        </w:rPr>
        <w:t xml:space="preserve">FROM </w:t>
      </w:r>
      <w:r w:rsidR="00F64AEF" w:rsidRPr="00DE41C4">
        <w:rPr>
          <w:b/>
          <w:sz w:val="18"/>
          <w:szCs w:val="18"/>
        </w:rPr>
        <w:t xml:space="preserve">HEADQUARTERS </w:t>
      </w:r>
    </w:p>
    <w:p w14:paraId="32E5EE52" w14:textId="77777777" w:rsidR="00F64AEF" w:rsidRPr="00DE41C4" w:rsidRDefault="00F64AEF" w:rsidP="00F64AEF">
      <w:pPr>
        <w:jc w:val="center"/>
        <w:rPr>
          <w:sz w:val="18"/>
          <w:szCs w:val="18"/>
        </w:rPr>
      </w:pPr>
      <w:r w:rsidRPr="00DE41C4">
        <w:rPr>
          <w:sz w:val="18"/>
          <w:szCs w:val="18"/>
        </w:rPr>
        <w:t>Aisha Mohamed Said</w:t>
      </w:r>
    </w:p>
    <w:p w14:paraId="39F49C40" w14:textId="77777777" w:rsidR="00F64AEF" w:rsidRPr="00DE41C4" w:rsidRDefault="00F64AEF" w:rsidP="00F64AEF">
      <w:pPr>
        <w:jc w:val="center"/>
        <w:rPr>
          <w:sz w:val="18"/>
          <w:szCs w:val="18"/>
        </w:rPr>
      </w:pPr>
      <w:r w:rsidRPr="00DE41C4">
        <w:rPr>
          <w:sz w:val="18"/>
          <w:szCs w:val="18"/>
        </w:rPr>
        <w:t>Alex Ndimbo</w:t>
      </w:r>
    </w:p>
    <w:p w14:paraId="781B22A1" w14:textId="77777777" w:rsidR="00F64AEF" w:rsidRPr="00DE41C4" w:rsidRDefault="00F64AEF" w:rsidP="00F64AEF">
      <w:pPr>
        <w:jc w:val="center"/>
        <w:rPr>
          <w:sz w:val="18"/>
          <w:szCs w:val="18"/>
        </w:rPr>
      </w:pPr>
      <w:r w:rsidRPr="00DE41C4">
        <w:rPr>
          <w:sz w:val="18"/>
          <w:szCs w:val="18"/>
        </w:rPr>
        <w:t>Beatrice Rwegoshora</w:t>
      </w:r>
    </w:p>
    <w:p w14:paraId="440C8375" w14:textId="77777777" w:rsidR="00F64AEF" w:rsidRPr="00DE41C4" w:rsidRDefault="00F64AEF" w:rsidP="00F64AEF">
      <w:pPr>
        <w:jc w:val="center"/>
        <w:rPr>
          <w:sz w:val="18"/>
          <w:szCs w:val="18"/>
        </w:rPr>
      </w:pPr>
      <w:r w:rsidRPr="00DE41C4">
        <w:rPr>
          <w:sz w:val="18"/>
          <w:szCs w:val="18"/>
        </w:rPr>
        <w:t>Caroline Marealle</w:t>
      </w:r>
    </w:p>
    <w:p w14:paraId="2F1BFAD8" w14:textId="77777777" w:rsidR="00F64AEF" w:rsidRPr="00DE41C4" w:rsidRDefault="00F64AEF" w:rsidP="00F64AEF">
      <w:pPr>
        <w:jc w:val="center"/>
        <w:rPr>
          <w:sz w:val="18"/>
          <w:szCs w:val="18"/>
        </w:rPr>
      </w:pPr>
      <w:r w:rsidRPr="00DE41C4">
        <w:rPr>
          <w:sz w:val="18"/>
          <w:szCs w:val="18"/>
        </w:rPr>
        <w:t xml:space="preserve">George Mockray </w:t>
      </w:r>
    </w:p>
    <w:p w14:paraId="5F72F40D" w14:textId="77777777" w:rsidR="00F64AEF" w:rsidRPr="00DE41C4" w:rsidRDefault="00F64AEF" w:rsidP="00F64AEF">
      <w:pPr>
        <w:jc w:val="center"/>
        <w:rPr>
          <w:sz w:val="18"/>
          <w:szCs w:val="18"/>
        </w:rPr>
      </w:pPr>
      <w:r w:rsidRPr="00DE41C4">
        <w:rPr>
          <w:sz w:val="18"/>
          <w:szCs w:val="18"/>
        </w:rPr>
        <w:t>Hashim Uzia Mohamed</w:t>
      </w:r>
    </w:p>
    <w:p w14:paraId="580990C8" w14:textId="77777777" w:rsidR="00F64AEF" w:rsidRPr="00DE41C4" w:rsidRDefault="00F64AEF" w:rsidP="00F64AEF">
      <w:pPr>
        <w:jc w:val="center"/>
        <w:rPr>
          <w:sz w:val="18"/>
          <w:szCs w:val="18"/>
        </w:rPr>
      </w:pPr>
      <w:r w:rsidRPr="00DE41C4">
        <w:rPr>
          <w:sz w:val="18"/>
          <w:szCs w:val="18"/>
        </w:rPr>
        <w:t>Hossana Frank</w:t>
      </w:r>
    </w:p>
    <w:p w14:paraId="02041E61" w14:textId="77777777" w:rsidR="00F64AEF" w:rsidRPr="00DE41C4" w:rsidRDefault="00F64AEF" w:rsidP="00F64AEF">
      <w:pPr>
        <w:jc w:val="center"/>
        <w:rPr>
          <w:sz w:val="18"/>
          <w:szCs w:val="18"/>
        </w:rPr>
      </w:pPr>
      <w:r w:rsidRPr="00DE41C4">
        <w:rPr>
          <w:sz w:val="18"/>
          <w:szCs w:val="18"/>
        </w:rPr>
        <w:t>Hussen Mbahe</w:t>
      </w:r>
    </w:p>
    <w:p w14:paraId="730E1AEB" w14:textId="77777777" w:rsidR="00F64AEF" w:rsidRPr="00DE41C4" w:rsidRDefault="00F64AEF" w:rsidP="00F64AEF">
      <w:pPr>
        <w:jc w:val="center"/>
        <w:rPr>
          <w:sz w:val="18"/>
          <w:szCs w:val="18"/>
        </w:rPr>
      </w:pPr>
      <w:r w:rsidRPr="00DE41C4">
        <w:rPr>
          <w:sz w:val="18"/>
          <w:szCs w:val="18"/>
        </w:rPr>
        <w:t>Mwamini Kateta</w:t>
      </w:r>
    </w:p>
    <w:p w14:paraId="7F2BA59A" w14:textId="77777777" w:rsidR="00F64AEF" w:rsidRPr="00DE41C4" w:rsidRDefault="00F64AEF" w:rsidP="00F64AEF">
      <w:pPr>
        <w:jc w:val="center"/>
        <w:rPr>
          <w:sz w:val="18"/>
          <w:szCs w:val="18"/>
        </w:rPr>
      </w:pPr>
      <w:r w:rsidRPr="00DE41C4">
        <w:rPr>
          <w:sz w:val="18"/>
          <w:szCs w:val="18"/>
        </w:rPr>
        <w:t>Pricilla Joseph</w:t>
      </w:r>
    </w:p>
    <w:p w14:paraId="487CFC02" w14:textId="77777777" w:rsidR="00F64AEF" w:rsidRPr="00DE41C4" w:rsidRDefault="00F64AEF" w:rsidP="00F64AEF">
      <w:pPr>
        <w:jc w:val="center"/>
        <w:rPr>
          <w:sz w:val="18"/>
          <w:szCs w:val="18"/>
        </w:rPr>
      </w:pPr>
      <w:r w:rsidRPr="00DE41C4">
        <w:rPr>
          <w:sz w:val="18"/>
          <w:szCs w:val="18"/>
        </w:rPr>
        <w:t>Yasinta Kafulila</w:t>
      </w:r>
    </w:p>
    <w:p w14:paraId="77532E56" w14:textId="1B84C6C1" w:rsidR="00EF2AA7" w:rsidRDefault="00EF2AA7" w:rsidP="00940E4C">
      <w:pPr>
        <w:pStyle w:val="NormalWeb"/>
        <w:spacing w:after="120" w:afterAutospacing="0"/>
        <w:rPr>
          <w:b/>
          <w:bCs/>
          <w:sz w:val="18"/>
          <w:szCs w:val="18"/>
        </w:rPr>
      </w:pPr>
    </w:p>
    <w:p w14:paraId="4FC996A8" w14:textId="3D31CD9A" w:rsidR="003479EF" w:rsidRDefault="003479EF" w:rsidP="00940E4C">
      <w:pPr>
        <w:pStyle w:val="NormalWeb"/>
        <w:spacing w:after="120" w:afterAutospacing="0"/>
        <w:rPr>
          <w:b/>
          <w:bCs/>
          <w:sz w:val="18"/>
          <w:szCs w:val="18"/>
        </w:rPr>
      </w:pPr>
    </w:p>
    <w:p w14:paraId="3AA95D0B" w14:textId="77777777" w:rsidR="00F00389" w:rsidRDefault="00F00389" w:rsidP="00940E4C">
      <w:pPr>
        <w:pStyle w:val="NormalWeb"/>
        <w:spacing w:after="120" w:afterAutospacing="0"/>
        <w:rPr>
          <w:b/>
          <w:bCs/>
          <w:sz w:val="18"/>
          <w:szCs w:val="18"/>
        </w:rPr>
      </w:pPr>
    </w:p>
    <w:p w14:paraId="14990EEC" w14:textId="77777777" w:rsidR="00F64AEF" w:rsidRDefault="00F64AEF" w:rsidP="00F64AEF">
      <w:pPr>
        <w:pStyle w:val="NormalWeb"/>
        <w:spacing w:after="120" w:afterAutospacing="0"/>
        <w:jc w:val="center"/>
        <w:rPr>
          <w:b/>
          <w:bCs/>
          <w:sz w:val="18"/>
          <w:szCs w:val="18"/>
        </w:rPr>
      </w:pPr>
      <w:r w:rsidRPr="00DE41C4">
        <w:rPr>
          <w:b/>
          <w:bCs/>
          <w:sz w:val="18"/>
          <w:szCs w:val="18"/>
        </w:rPr>
        <w:t>LISTING AND DATA COLLECTION REGIONAL SUPERVISORS</w:t>
      </w:r>
    </w:p>
    <w:p w14:paraId="3DDD79E8" w14:textId="77777777" w:rsidR="00F64AEF" w:rsidRPr="00DE41C4" w:rsidRDefault="00F64AEF" w:rsidP="00F64AEF">
      <w:pPr>
        <w:jc w:val="center"/>
        <w:rPr>
          <w:color w:val="FF0000"/>
          <w:sz w:val="18"/>
          <w:szCs w:val="18"/>
        </w:rPr>
      </w:pPr>
      <w:r w:rsidRPr="00DE41C4">
        <w:rPr>
          <w:sz w:val="18"/>
          <w:szCs w:val="18"/>
        </w:rPr>
        <w:t>Abdalla Ali Hassan</w:t>
      </w:r>
    </w:p>
    <w:p w14:paraId="749A95F7" w14:textId="77777777" w:rsidR="00F64AEF" w:rsidRPr="00DE41C4" w:rsidRDefault="00F64AEF" w:rsidP="00F64AEF">
      <w:pPr>
        <w:jc w:val="center"/>
        <w:rPr>
          <w:color w:val="000000" w:themeColor="text1"/>
          <w:sz w:val="18"/>
          <w:szCs w:val="18"/>
        </w:rPr>
      </w:pPr>
      <w:r w:rsidRPr="00DE41C4">
        <w:rPr>
          <w:color w:val="000000" w:themeColor="text1"/>
          <w:sz w:val="18"/>
          <w:szCs w:val="18"/>
        </w:rPr>
        <w:t>Abdulhamid Mfaume Ali</w:t>
      </w:r>
    </w:p>
    <w:p w14:paraId="69781904" w14:textId="77777777" w:rsidR="00F64AEF" w:rsidRPr="00DE41C4" w:rsidRDefault="00F64AEF" w:rsidP="00F64AEF">
      <w:pPr>
        <w:jc w:val="center"/>
        <w:rPr>
          <w:color w:val="000000" w:themeColor="text1"/>
          <w:sz w:val="18"/>
          <w:szCs w:val="18"/>
        </w:rPr>
      </w:pPr>
      <w:r w:rsidRPr="00DE41C4">
        <w:rPr>
          <w:color w:val="000000" w:themeColor="text1"/>
          <w:sz w:val="18"/>
          <w:szCs w:val="18"/>
        </w:rPr>
        <w:t>Adam Ramadhani</w:t>
      </w:r>
    </w:p>
    <w:p w14:paraId="3F64AB0F" w14:textId="77777777" w:rsidR="00F64AEF" w:rsidRPr="00DE41C4" w:rsidRDefault="00F64AEF" w:rsidP="00F64AEF">
      <w:pPr>
        <w:ind w:right="45"/>
        <w:jc w:val="center"/>
        <w:rPr>
          <w:color w:val="000000" w:themeColor="text1"/>
          <w:sz w:val="18"/>
          <w:szCs w:val="18"/>
        </w:rPr>
      </w:pPr>
      <w:r w:rsidRPr="00DE41C4">
        <w:rPr>
          <w:color w:val="000000" w:themeColor="text1"/>
          <w:sz w:val="18"/>
          <w:szCs w:val="18"/>
        </w:rPr>
        <w:t>Albert Kapala</w:t>
      </w:r>
    </w:p>
    <w:p w14:paraId="14033AEA" w14:textId="77777777" w:rsidR="00F64AEF" w:rsidRPr="00DE41C4" w:rsidRDefault="00F64AEF" w:rsidP="00F64AEF">
      <w:pPr>
        <w:jc w:val="center"/>
        <w:rPr>
          <w:color w:val="000000" w:themeColor="text1"/>
          <w:sz w:val="18"/>
          <w:szCs w:val="18"/>
        </w:rPr>
      </w:pPr>
      <w:r w:rsidRPr="00DE41C4">
        <w:rPr>
          <w:color w:val="000000" w:themeColor="text1"/>
          <w:sz w:val="18"/>
          <w:szCs w:val="18"/>
        </w:rPr>
        <w:t>Albert Kulwa</w:t>
      </w:r>
    </w:p>
    <w:p w14:paraId="5AF7DC07" w14:textId="77777777" w:rsidR="00F64AEF" w:rsidRPr="00DE41C4" w:rsidRDefault="00F64AEF" w:rsidP="00F64AEF">
      <w:pPr>
        <w:jc w:val="center"/>
        <w:rPr>
          <w:color w:val="000000" w:themeColor="text1"/>
          <w:sz w:val="18"/>
          <w:szCs w:val="18"/>
        </w:rPr>
      </w:pPr>
      <w:r w:rsidRPr="00DE41C4">
        <w:rPr>
          <w:color w:val="000000" w:themeColor="text1"/>
          <w:sz w:val="18"/>
          <w:szCs w:val="18"/>
        </w:rPr>
        <w:t>Alfred Gewe</w:t>
      </w:r>
    </w:p>
    <w:p w14:paraId="71C0DB25" w14:textId="77777777" w:rsidR="00F64AEF" w:rsidRPr="00DE41C4" w:rsidRDefault="00F64AEF" w:rsidP="00F64AEF">
      <w:pPr>
        <w:jc w:val="center"/>
        <w:rPr>
          <w:color w:val="000000" w:themeColor="text1"/>
          <w:sz w:val="18"/>
          <w:szCs w:val="18"/>
        </w:rPr>
      </w:pPr>
      <w:r w:rsidRPr="00DE41C4">
        <w:rPr>
          <w:color w:val="000000" w:themeColor="text1"/>
          <w:sz w:val="18"/>
          <w:szCs w:val="18"/>
        </w:rPr>
        <w:t>Charles Mtabo</w:t>
      </w:r>
    </w:p>
    <w:p w14:paraId="0EA41C25" w14:textId="77777777" w:rsidR="00F64AEF" w:rsidRPr="00DE41C4" w:rsidRDefault="00F64AEF" w:rsidP="00F64AEF">
      <w:pPr>
        <w:jc w:val="center"/>
        <w:rPr>
          <w:color w:val="000000" w:themeColor="text1"/>
          <w:sz w:val="18"/>
          <w:szCs w:val="18"/>
        </w:rPr>
      </w:pPr>
      <w:r w:rsidRPr="00DE41C4">
        <w:rPr>
          <w:color w:val="000000" w:themeColor="text1"/>
          <w:sz w:val="18"/>
          <w:szCs w:val="18"/>
        </w:rPr>
        <w:t>Doto Alley</w:t>
      </w:r>
    </w:p>
    <w:p w14:paraId="48D87B1A" w14:textId="77777777" w:rsidR="00F64AEF" w:rsidRPr="00DE41C4" w:rsidRDefault="00F64AEF" w:rsidP="00F64AEF">
      <w:pPr>
        <w:jc w:val="center"/>
        <w:rPr>
          <w:color w:val="000000" w:themeColor="text1"/>
          <w:sz w:val="18"/>
          <w:szCs w:val="18"/>
        </w:rPr>
      </w:pPr>
      <w:r w:rsidRPr="00DE41C4">
        <w:rPr>
          <w:color w:val="000000" w:themeColor="text1"/>
          <w:sz w:val="18"/>
          <w:szCs w:val="18"/>
        </w:rPr>
        <w:t>Evarist Tairo</w:t>
      </w:r>
    </w:p>
    <w:p w14:paraId="33F76F1C" w14:textId="77777777" w:rsidR="00F64AEF" w:rsidRPr="00DE41C4" w:rsidRDefault="00F64AEF" w:rsidP="00F64AEF">
      <w:pPr>
        <w:jc w:val="center"/>
        <w:rPr>
          <w:color w:val="000000" w:themeColor="text1"/>
          <w:sz w:val="18"/>
          <w:szCs w:val="18"/>
        </w:rPr>
      </w:pPr>
      <w:r w:rsidRPr="00DE41C4">
        <w:rPr>
          <w:color w:val="000000" w:themeColor="text1"/>
          <w:sz w:val="18"/>
          <w:szCs w:val="18"/>
        </w:rPr>
        <w:t>Fabian Fundi</w:t>
      </w:r>
    </w:p>
    <w:p w14:paraId="366E56C5" w14:textId="77777777" w:rsidR="00F64AEF" w:rsidRPr="00DE41C4" w:rsidRDefault="00F64AEF" w:rsidP="00F64AEF">
      <w:pPr>
        <w:jc w:val="center"/>
        <w:rPr>
          <w:color w:val="000000" w:themeColor="text1"/>
          <w:sz w:val="18"/>
          <w:szCs w:val="18"/>
        </w:rPr>
      </w:pPr>
      <w:r w:rsidRPr="00DE41C4">
        <w:rPr>
          <w:color w:val="000000" w:themeColor="text1"/>
          <w:sz w:val="18"/>
          <w:szCs w:val="18"/>
        </w:rPr>
        <w:t>Gideon Mokiwa</w:t>
      </w:r>
    </w:p>
    <w:p w14:paraId="420395FD" w14:textId="77777777" w:rsidR="00F64AEF" w:rsidRPr="00DE41C4" w:rsidRDefault="00F64AEF" w:rsidP="00F64AEF">
      <w:pPr>
        <w:jc w:val="center"/>
        <w:rPr>
          <w:color w:val="000000" w:themeColor="text1"/>
          <w:sz w:val="18"/>
          <w:szCs w:val="18"/>
        </w:rPr>
      </w:pPr>
      <w:r w:rsidRPr="00DE41C4">
        <w:rPr>
          <w:color w:val="000000" w:themeColor="text1"/>
          <w:sz w:val="18"/>
          <w:szCs w:val="18"/>
        </w:rPr>
        <w:t>Goodluck Lyimo</w:t>
      </w:r>
    </w:p>
    <w:p w14:paraId="1E9DDD42" w14:textId="77777777" w:rsidR="00F64AEF" w:rsidRPr="00DE41C4" w:rsidRDefault="00F64AEF" w:rsidP="00F64AEF">
      <w:pPr>
        <w:jc w:val="center"/>
        <w:rPr>
          <w:color w:val="000000" w:themeColor="text1"/>
          <w:sz w:val="18"/>
          <w:szCs w:val="18"/>
        </w:rPr>
      </w:pPr>
      <w:r w:rsidRPr="00DE41C4">
        <w:rPr>
          <w:color w:val="000000" w:themeColor="text1"/>
          <w:sz w:val="18"/>
          <w:szCs w:val="18"/>
        </w:rPr>
        <w:t>Idd Muruke</w:t>
      </w:r>
    </w:p>
    <w:p w14:paraId="293DF85B" w14:textId="77777777" w:rsidR="00F64AEF" w:rsidRPr="00DE41C4" w:rsidRDefault="00F64AEF" w:rsidP="00F64AEF">
      <w:pPr>
        <w:jc w:val="center"/>
        <w:rPr>
          <w:color w:val="000000" w:themeColor="text1"/>
          <w:sz w:val="18"/>
          <w:szCs w:val="18"/>
        </w:rPr>
      </w:pPr>
      <w:r w:rsidRPr="00DE41C4">
        <w:rPr>
          <w:color w:val="000000" w:themeColor="text1"/>
          <w:sz w:val="18"/>
          <w:szCs w:val="18"/>
        </w:rPr>
        <w:t>Israel Mwakapalala</w:t>
      </w:r>
    </w:p>
    <w:p w14:paraId="496D8A8F" w14:textId="77777777" w:rsidR="00F64AEF" w:rsidRPr="00DE41C4" w:rsidRDefault="00F64AEF" w:rsidP="00F64AEF">
      <w:pPr>
        <w:ind w:right="45"/>
        <w:jc w:val="center"/>
        <w:rPr>
          <w:color w:val="000000" w:themeColor="text1"/>
          <w:sz w:val="18"/>
          <w:szCs w:val="18"/>
        </w:rPr>
      </w:pPr>
      <w:r w:rsidRPr="00DE41C4">
        <w:rPr>
          <w:color w:val="000000" w:themeColor="text1"/>
          <w:sz w:val="18"/>
          <w:szCs w:val="18"/>
        </w:rPr>
        <w:t>Juma Shabani</w:t>
      </w:r>
    </w:p>
    <w:p w14:paraId="0A695F14" w14:textId="77777777" w:rsidR="00F64AEF" w:rsidRPr="00DE41C4" w:rsidRDefault="00F64AEF" w:rsidP="00F64AEF">
      <w:pPr>
        <w:jc w:val="center"/>
        <w:rPr>
          <w:color w:val="000000" w:themeColor="text1"/>
          <w:sz w:val="18"/>
          <w:szCs w:val="18"/>
        </w:rPr>
      </w:pPr>
      <w:r w:rsidRPr="00DE41C4">
        <w:rPr>
          <w:color w:val="000000" w:themeColor="text1"/>
          <w:sz w:val="18"/>
          <w:szCs w:val="18"/>
        </w:rPr>
        <w:t>Kalisto Lugome</w:t>
      </w:r>
    </w:p>
    <w:p w14:paraId="07712E8D" w14:textId="77777777" w:rsidR="00F64AEF" w:rsidRPr="00DE41C4" w:rsidRDefault="00F64AEF" w:rsidP="00F64AEF">
      <w:pPr>
        <w:jc w:val="center"/>
        <w:rPr>
          <w:color w:val="000000" w:themeColor="text1"/>
          <w:sz w:val="18"/>
          <w:szCs w:val="18"/>
        </w:rPr>
      </w:pPr>
      <w:r w:rsidRPr="00DE41C4">
        <w:rPr>
          <w:color w:val="000000" w:themeColor="text1"/>
          <w:sz w:val="18"/>
          <w:szCs w:val="18"/>
        </w:rPr>
        <w:t>Khalid Msabaha</w:t>
      </w:r>
    </w:p>
    <w:p w14:paraId="1C13981D" w14:textId="77777777" w:rsidR="00F64AEF" w:rsidRPr="00DE41C4" w:rsidRDefault="00F64AEF" w:rsidP="00F64AEF">
      <w:pPr>
        <w:jc w:val="center"/>
        <w:rPr>
          <w:color w:val="000000" w:themeColor="text1"/>
          <w:sz w:val="18"/>
          <w:szCs w:val="18"/>
        </w:rPr>
      </w:pPr>
      <w:r w:rsidRPr="00DE41C4">
        <w:rPr>
          <w:color w:val="000000" w:themeColor="text1"/>
          <w:sz w:val="18"/>
          <w:szCs w:val="18"/>
        </w:rPr>
        <w:t>Leokadia Mtey</w:t>
      </w:r>
    </w:p>
    <w:p w14:paraId="36BF4F8D" w14:textId="77777777" w:rsidR="00F64AEF" w:rsidRPr="00DE41C4" w:rsidRDefault="00F64AEF" w:rsidP="00F64AEF">
      <w:pPr>
        <w:jc w:val="center"/>
        <w:rPr>
          <w:color w:val="000000" w:themeColor="text1"/>
          <w:sz w:val="18"/>
          <w:szCs w:val="18"/>
        </w:rPr>
      </w:pPr>
      <w:r w:rsidRPr="00DE41C4">
        <w:rPr>
          <w:color w:val="000000" w:themeColor="text1"/>
          <w:sz w:val="18"/>
          <w:szCs w:val="18"/>
        </w:rPr>
        <w:t>Lubili Gambamala</w:t>
      </w:r>
    </w:p>
    <w:p w14:paraId="645BA4D8" w14:textId="77777777" w:rsidR="00F64AEF" w:rsidRPr="00DE41C4" w:rsidRDefault="00F64AEF" w:rsidP="00F64AEF">
      <w:pPr>
        <w:jc w:val="center"/>
        <w:rPr>
          <w:color w:val="000000" w:themeColor="text1"/>
          <w:sz w:val="18"/>
          <w:szCs w:val="18"/>
        </w:rPr>
      </w:pPr>
      <w:r w:rsidRPr="00DE41C4">
        <w:rPr>
          <w:color w:val="000000" w:themeColor="text1"/>
          <w:sz w:val="18"/>
          <w:szCs w:val="18"/>
        </w:rPr>
        <w:t>Lufingo Jacob</w:t>
      </w:r>
    </w:p>
    <w:p w14:paraId="2ACFDD65" w14:textId="77777777" w:rsidR="00F64AEF" w:rsidRPr="00DE41C4" w:rsidRDefault="00F64AEF" w:rsidP="00F64AEF">
      <w:pPr>
        <w:jc w:val="center"/>
        <w:rPr>
          <w:color w:val="000000" w:themeColor="text1"/>
          <w:sz w:val="18"/>
          <w:szCs w:val="18"/>
        </w:rPr>
      </w:pPr>
      <w:r w:rsidRPr="00DE41C4">
        <w:rPr>
          <w:color w:val="000000" w:themeColor="text1"/>
          <w:sz w:val="18"/>
          <w:szCs w:val="18"/>
        </w:rPr>
        <w:t>Masoud Hassan Ali</w:t>
      </w:r>
    </w:p>
    <w:p w14:paraId="036D26E4" w14:textId="77777777" w:rsidR="00F64AEF" w:rsidRPr="00DE41C4" w:rsidRDefault="00F64AEF" w:rsidP="00F64AEF">
      <w:pPr>
        <w:jc w:val="center"/>
        <w:rPr>
          <w:color w:val="000000" w:themeColor="text1"/>
          <w:sz w:val="18"/>
          <w:szCs w:val="18"/>
        </w:rPr>
      </w:pPr>
      <w:r w:rsidRPr="00DE41C4">
        <w:rPr>
          <w:color w:val="000000" w:themeColor="text1"/>
          <w:sz w:val="18"/>
          <w:szCs w:val="18"/>
        </w:rPr>
        <w:t>Moses Kahero</w:t>
      </w:r>
    </w:p>
    <w:p w14:paraId="0D7998FA" w14:textId="77777777" w:rsidR="00F64AEF" w:rsidRPr="00DE41C4" w:rsidRDefault="00F64AEF" w:rsidP="00F64AEF">
      <w:pPr>
        <w:jc w:val="center"/>
        <w:rPr>
          <w:color w:val="000000" w:themeColor="text1"/>
          <w:sz w:val="18"/>
          <w:szCs w:val="18"/>
        </w:rPr>
      </w:pPr>
      <w:r w:rsidRPr="00DE41C4">
        <w:rPr>
          <w:color w:val="000000" w:themeColor="text1"/>
          <w:sz w:val="18"/>
          <w:szCs w:val="18"/>
        </w:rPr>
        <w:t>Mwanaisha Juma Haji</w:t>
      </w:r>
    </w:p>
    <w:p w14:paraId="0CEE5F61" w14:textId="77777777" w:rsidR="00F64AEF" w:rsidRPr="00DE41C4" w:rsidRDefault="00F64AEF" w:rsidP="00F64AEF">
      <w:pPr>
        <w:jc w:val="center"/>
        <w:rPr>
          <w:color w:val="000000" w:themeColor="text1"/>
          <w:sz w:val="18"/>
          <w:szCs w:val="18"/>
        </w:rPr>
      </w:pPr>
      <w:r w:rsidRPr="00DE41C4">
        <w:rPr>
          <w:color w:val="000000" w:themeColor="text1"/>
          <w:sz w:val="18"/>
          <w:szCs w:val="18"/>
        </w:rPr>
        <w:t>Mwantumu Athuman</w:t>
      </w:r>
    </w:p>
    <w:p w14:paraId="2FCDB454" w14:textId="77777777" w:rsidR="00F64AEF" w:rsidRPr="00DE41C4" w:rsidRDefault="00F64AEF" w:rsidP="00F64AEF">
      <w:pPr>
        <w:jc w:val="center"/>
        <w:rPr>
          <w:color w:val="000000" w:themeColor="text1"/>
          <w:sz w:val="18"/>
          <w:szCs w:val="18"/>
        </w:rPr>
      </w:pPr>
      <w:r w:rsidRPr="00DE41C4">
        <w:rPr>
          <w:color w:val="000000" w:themeColor="text1"/>
          <w:sz w:val="18"/>
          <w:szCs w:val="18"/>
        </w:rPr>
        <w:t>Naing’oya Kipuyo</w:t>
      </w:r>
    </w:p>
    <w:p w14:paraId="018BB4D0" w14:textId="77777777" w:rsidR="00F64AEF" w:rsidRPr="00DE41C4" w:rsidRDefault="00F64AEF" w:rsidP="00F64AEF">
      <w:pPr>
        <w:jc w:val="center"/>
        <w:rPr>
          <w:color w:val="000000" w:themeColor="text1"/>
          <w:sz w:val="18"/>
          <w:szCs w:val="18"/>
        </w:rPr>
      </w:pPr>
      <w:r w:rsidRPr="00DE41C4">
        <w:rPr>
          <w:color w:val="000000" w:themeColor="text1"/>
          <w:sz w:val="18"/>
          <w:szCs w:val="18"/>
        </w:rPr>
        <w:t>Nestory Mazinza</w:t>
      </w:r>
    </w:p>
    <w:p w14:paraId="67A44F2D" w14:textId="77777777" w:rsidR="00F64AEF" w:rsidRPr="00DE41C4" w:rsidRDefault="00F64AEF" w:rsidP="00F64AEF">
      <w:pPr>
        <w:jc w:val="center"/>
        <w:rPr>
          <w:color w:val="000000" w:themeColor="text1"/>
          <w:sz w:val="18"/>
          <w:szCs w:val="18"/>
        </w:rPr>
      </w:pPr>
      <w:r w:rsidRPr="00DE41C4">
        <w:rPr>
          <w:color w:val="000000" w:themeColor="text1"/>
          <w:sz w:val="18"/>
          <w:szCs w:val="18"/>
        </w:rPr>
        <w:t>Peter Milinga</w:t>
      </w:r>
    </w:p>
    <w:p w14:paraId="257E535B" w14:textId="77777777" w:rsidR="00F64AEF" w:rsidRPr="00DE41C4" w:rsidRDefault="00F64AEF" w:rsidP="00F64AEF">
      <w:pPr>
        <w:jc w:val="center"/>
        <w:rPr>
          <w:color w:val="000000" w:themeColor="text1"/>
          <w:sz w:val="18"/>
          <w:szCs w:val="18"/>
        </w:rPr>
      </w:pPr>
      <w:r w:rsidRPr="00DE41C4">
        <w:rPr>
          <w:color w:val="000000" w:themeColor="text1"/>
          <w:sz w:val="18"/>
          <w:szCs w:val="18"/>
        </w:rPr>
        <w:t>Ramadhani Mbega</w:t>
      </w:r>
    </w:p>
    <w:p w14:paraId="7A509F79" w14:textId="77777777" w:rsidR="00F64AEF" w:rsidRPr="00DE41C4" w:rsidRDefault="00F64AEF" w:rsidP="00F64AEF">
      <w:pPr>
        <w:jc w:val="center"/>
        <w:rPr>
          <w:color w:val="000000" w:themeColor="text1"/>
          <w:sz w:val="18"/>
          <w:szCs w:val="18"/>
        </w:rPr>
      </w:pPr>
      <w:r w:rsidRPr="00DE41C4">
        <w:rPr>
          <w:color w:val="000000" w:themeColor="text1"/>
          <w:sz w:val="18"/>
          <w:szCs w:val="18"/>
        </w:rPr>
        <w:t>Said Mohamed Said</w:t>
      </w:r>
    </w:p>
    <w:p w14:paraId="0202E7DC" w14:textId="77777777" w:rsidR="00F64AEF" w:rsidRPr="00DE41C4" w:rsidRDefault="00F64AEF" w:rsidP="00F64AEF">
      <w:pPr>
        <w:jc w:val="center"/>
        <w:rPr>
          <w:color w:val="000000" w:themeColor="text1"/>
          <w:sz w:val="18"/>
          <w:szCs w:val="18"/>
        </w:rPr>
      </w:pPr>
      <w:r w:rsidRPr="00DE41C4">
        <w:rPr>
          <w:color w:val="000000" w:themeColor="text1"/>
          <w:sz w:val="18"/>
          <w:szCs w:val="18"/>
        </w:rPr>
        <w:t>Salim Makame Salim</w:t>
      </w:r>
    </w:p>
    <w:p w14:paraId="4485A2FC" w14:textId="77777777" w:rsidR="00F64AEF" w:rsidRPr="00DE41C4" w:rsidRDefault="00F64AEF" w:rsidP="00F64AEF">
      <w:pPr>
        <w:jc w:val="center"/>
        <w:rPr>
          <w:sz w:val="18"/>
          <w:szCs w:val="18"/>
        </w:rPr>
      </w:pPr>
      <w:r w:rsidRPr="00DE41C4">
        <w:rPr>
          <w:sz w:val="18"/>
          <w:szCs w:val="18"/>
        </w:rPr>
        <w:t>Tamali Wiliam</w:t>
      </w:r>
    </w:p>
    <w:p w14:paraId="55CA8300" w14:textId="77777777" w:rsidR="00F64AEF" w:rsidRPr="00DE41C4" w:rsidRDefault="00F64AEF" w:rsidP="00F64AEF">
      <w:pPr>
        <w:jc w:val="center"/>
        <w:rPr>
          <w:sz w:val="18"/>
          <w:szCs w:val="18"/>
        </w:rPr>
      </w:pPr>
      <w:r w:rsidRPr="00DE41C4">
        <w:rPr>
          <w:sz w:val="18"/>
          <w:szCs w:val="18"/>
        </w:rPr>
        <w:t>Theresia Lyimo</w:t>
      </w:r>
    </w:p>
    <w:p w14:paraId="55108598" w14:textId="77777777" w:rsidR="00F64AEF" w:rsidRPr="00DE41C4" w:rsidRDefault="00F64AEF" w:rsidP="00F64AEF">
      <w:pPr>
        <w:jc w:val="center"/>
        <w:rPr>
          <w:sz w:val="18"/>
          <w:szCs w:val="18"/>
        </w:rPr>
      </w:pPr>
      <w:r w:rsidRPr="00DE41C4">
        <w:rPr>
          <w:sz w:val="18"/>
          <w:szCs w:val="18"/>
        </w:rPr>
        <w:t>Tony Mwanjota</w:t>
      </w:r>
    </w:p>
    <w:p w14:paraId="7E6F301D" w14:textId="77777777" w:rsidR="00F64AEF" w:rsidRPr="00DE41C4" w:rsidRDefault="00F64AEF" w:rsidP="00F64AEF">
      <w:pPr>
        <w:jc w:val="center"/>
        <w:rPr>
          <w:sz w:val="18"/>
          <w:szCs w:val="18"/>
        </w:rPr>
      </w:pPr>
    </w:p>
    <w:p w14:paraId="55C256B2" w14:textId="77777777" w:rsidR="003479EF" w:rsidRDefault="003479EF" w:rsidP="00F64AEF">
      <w:pPr>
        <w:spacing w:line="240" w:lineRule="auto"/>
        <w:contextualSpacing w:val="0"/>
        <w:jc w:val="center"/>
        <w:rPr>
          <w:b/>
          <w:sz w:val="18"/>
          <w:szCs w:val="18"/>
        </w:rPr>
        <w:sectPr w:rsidR="003479EF" w:rsidSect="003479EF">
          <w:type w:val="nextColumn"/>
          <w:pgSz w:w="11900" w:h="16840" w:code="9"/>
          <w:pgMar w:top="1286" w:right="1440" w:bottom="1440" w:left="1440" w:header="708" w:footer="708" w:gutter="0"/>
          <w:cols w:num="3" w:space="708"/>
          <w:docGrid w:linePitch="360"/>
        </w:sectPr>
      </w:pPr>
    </w:p>
    <w:p w14:paraId="3814C893" w14:textId="77777777" w:rsidR="003479EF" w:rsidRDefault="003479EF">
      <w:pPr>
        <w:spacing w:line="240" w:lineRule="auto"/>
        <w:contextualSpacing w:val="0"/>
        <w:jc w:val="left"/>
        <w:rPr>
          <w:b/>
          <w:sz w:val="18"/>
          <w:szCs w:val="18"/>
        </w:rPr>
      </w:pPr>
      <w:r>
        <w:rPr>
          <w:b/>
          <w:sz w:val="18"/>
          <w:szCs w:val="18"/>
        </w:rPr>
        <w:br w:type="page"/>
      </w:r>
    </w:p>
    <w:p w14:paraId="0A95B842" w14:textId="0AE96D5A" w:rsidR="00F64AEF" w:rsidRPr="00DE41C4" w:rsidRDefault="00F64AEF" w:rsidP="00F64AEF">
      <w:pPr>
        <w:spacing w:line="240" w:lineRule="auto"/>
        <w:contextualSpacing w:val="0"/>
        <w:jc w:val="center"/>
        <w:rPr>
          <w:b/>
          <w:sz w:val="18"/>
          <w:szCs w:val="18"/>
        </w:rPr>
      </w:pPr>
      <w:r w:rsidRPr="00DE41C4">
        <w:rPr>
          <w:b/>
          <w:sz w:val="18"/>
          <w:szCs w:val="18"/>
        </w:rPr>
        <w:lastRenderedPageBreak/>
        <w:t>ENUMERATORS DURING LISTING EXERCISE</w:t>
      </w:r>
    </w:p>
    <w:p w14:paraId="244505BF" w14:textId="77777777" w:rsidR="007D63C2" w:rsidRDefault="007D63C2" w:rsidP="00F64AEF">
      <w:pPr>
        <w:ind w:left="108"/>
        <w:contextualSpacing w:val="0"/>
        <w:jc w:val="center"/>
        <w:rPr>
          <w:b/>
          <w:bCs/>
          <w:color w:val="000000"/>
          <w:sz w:val="18"/>
          <w:szCs w:val="18"/>
        </w:rPr>
      </w:pPr>
    </w:p>
    <w:p w14:paraId="65A146E8" w14:textId="772A13C3" w:rsidR="007D63C2" w:rsidRDefault="007D63C2" w:rsidP="00F64AEF">
      <w:pPr>
        <w:ind w:left="108"/>
        <w:contextualSpacing w:val="0"/>
        <w:jc w:val="center"/>
        <w:rPr>
          <w:b/>
          <w:bCs/>
          <w:color w:val="000000"/>
          <w:sz w:val="18"/>
          <w:szCs w:val="18"/>
        </w:rPr>
        <w:sectPr w:rsidR="007D63C2" w:rsidSect="003479EF">
          <w:type w:val="continuous"/>
          <w:pgSz w:w="11900" w:h="16840" w:code="9"/>
          <w:pgMar w:top="1286" w:right="1440" w:bottom="1440" w:left="1440" w:header="708" w:footer="708" w:gutter="0"/>
          <w:cols w:space="708"/>
          <w:docGrid w:linePitch="360"/>
        </w:sectPr>
      </w:pPr>
    </w:p>
    <w:p w14:paraId="78664C92" w14:textId="5CB6A33D" w:rsidR="00F64AEF" w:rsidRPr="00DE41C4" w:rsidRDefault="00F64AEF" w:rsidP="00F64AEF">
      <w:pPr>
        <w:ind w:left="108"/>
        <w:contextualSpacing w:val="0"/>
        <w:jc w:val="center"/>
        <w:rPr>
          <w:b/>
          <w:bCs/>
          <w:color w:val="000000"/>
          <w:sz w:val="18"/>
          <w:szCs w:val="18"/>
        </w:rPr>
      </w:pPr>
      <w:r w:rsidRPr="00DE41C4">
        <w:rPr>
          <w:b/>
          <w:bCs/>
          <w:color w:val="000000"/>
          <w:sz w:val="18"/>
          <w:szCs w:val="18"/>
        </w:rPr>
        <w:t>DODOMA</w:t>
      </w:r>
    </w:p>
    <w:p w14:paraId="0794771A" w14:textId="77777777" w:rsidR="00F64AEF" w:rsidRPr="00DE41C4" w:rsidRDefault="00F64AEF" w:rsidP="00F64AEF">
      <w:pPr>
        <w:ind w:left="108"/>
        <w:contextualSpacing w:val="0"/>
        <w:jc w:val="center"/>
        <w:rPr>
          <w:color w:val="000000"/>
          <w:sz w:val="18"/>
          <w:szCs w:val="18"/>
        </w:rPr>
      </w:pPr>
      <w:r w:rsidRPr="00DE41C4">
        <w:rPr>
          <w:color w:val="000000"/>
          <w:sz w:val="18"/>
          <w:szCs w:val="18"/>
        </w:rPr>
        <w:t>Eunice Mndeme</w:t>
      </w:r>
    </w:p>
    <w:p w14:paraId="65A9CFDF" w14:textId="77777777" w:rsidR="00F64AEF" w:rsidRPr="00DE41C4" w:rsidRDefault="00F64AEF" w:rsidP="00F64AEF">
      <w:pPr>
        <w:ind w:left="108"/>
        <w:contextualSpacing w:val="0"/>
        <w:jc w:val="center"/>
        <w:rPr>
          <w:color w:val="000000"/>
          <w:sz w:val="18"/>
          <w:szCs w:val="18"/>
        </w:rPr>
      </w:pPr>
      <w:r w:rsidRPr="00DE41C4">
        <w:rPr>
          <w:color w:val="000000"/>
          <w:sz w:val="18"/>
          <w:szCs w:val="18"/>
        </w:rPr>
        <w:t>Abdulrahim Simba</w:t>
      </w:r>
    </w:p>
    <w:p w14:paraId="3E989D64" w14:textId="77777777" w:rsidR="00F64AEF" w:rsidRPr="00DE41C4" w:rsidRDefault="00F64AEF" w:rsidP="00F64AEF">
      <w:pPr>
        <w:ind w:left="108"/>
        <w:contextualSpacing w:val="0"/>
        <w:jc w:val="center"/>
        <w:rPr>
          <w:color w:val="000000"/>
          <w:sz w:val="18"/>
          <w:szCs w:val="18"/>
        </w:rPr>
      </w:pPr>
      <w:r w:rsidRPr="00DE41C4">
        <w:rPr>
          <w:color w:val="000000"/>
          <w:sz w:val="18"/>
          <w:szCs w:val="18"/>
        </w:rPr>
        <w:t>Hadija Hamisi Naasi</w:t>
      </w:r>
    </w:p>
    <w:p w14:paraId="7FDAD712" w14:textId="77777777" w:rsidR="00F64AEF" w:rsidRPr="00DE41C4" w:rsidRDefault="00F64AEF" w:rsidP="00F64AEF">
      <w:pPr>
        <w:ind w:left="108"/>
        <w:contextualSpacing w:val="0"/>
        <w:jc w:val="center"/>
        <w:rPr>
          <w:color w:val="000000"/>
          <w:sz w:val="18"/>
          <w:szCs w:val="18"/>
        </w:rPr>
      </w:pPr>
      <w:r w:rsidRPr="00DE41C4">
        <w:rPr>
          <w:color w:val="000000"/>
          <w:sz w:val="18"/>
          <w:szCs w:val="18"/>
        </w:rPr>
        <w:t>Mokwe Kisigiro</w:t>
      </w:r>
    </w:p>
    <w:p w14:paraId="0979D444" w14:textId="77777777" w:rsidR="00F64AEF" w:rsidRPr="00DE41C4" w:rsidRDefault="00F64AEF" w:rsidP="00F64AEF">
      <w:pPr>
        <w:ind w:left="108"/>
        <w:contextualSpacing w:val="0"/>
        <w:jc w:val="center"/>
        <w:rPr>
          <w:color w:val="000000"/>
          <w:sz w:val="18"/>
          <w:szCs w:val="18"/>
        </w:rPr>
      </w:pPr>
      <w:r w:rsidRPr="00DE41C4">
        <w:rPr>
          <w:color w:val="000000"/>
          <w:sz w:val="18"/>
          <w:szCs w:val="18"/>
        </w:rPr>
        <w:t>Eunuce Mndeme</w:t>
      </w:r>
    </w:p>
    <w:p w14:paraId="21D0D899" w14:textId="77777777" w:rsidR="00F64AEF" w:rsidRPr="00DE41C4" w:rsidRDefault="00F64AEF" w:rsidP="00F64AEF">
      <w:pPr>
        <w:ind w:left="108"/>
        <w:contextualSpacing w:val="0"/>
        <w:jc w:val="center"/>
        <w:rPr>
          <w:color w:val="000000"/>
          <w:sz w:val="18"/>
          <w:szCs w:val="18"/>
        </w:rPr>
      </w:pPr>
      <w:r w:rsidRPr="00DE41C4">
        <w:rPr>
          <w:color w:val="000000"/>
          <w:sz w:val="18"/>
          <w:szCs w:val="18"/>
        </w:rPr>
        <w:t>Joseph Ndalile</w:t>
      </w:r>
    </w:p>
    <w:p w14:paraId="64121948" w14:textId="77777777" w:rsidR="00F64AEF" w:rsidRPr="00DE41C4" w:rsidRDefault="00F64AEF" w:rsidP="00F64AEF">
      <w:pPr>
        <w:ind w:left="108"/>
        <w:contextualSpacing w:val="0"/>
        <w:jc w:val="center"/>
        <w:rPr>
          <w:color w:val="000000"/>
          <w:sz w:val="18"/>
          <w:szCs w:val="18"/>
        </w:rPr>
      </w:pPr>
      <w:r w:rsidRPr="00DE41C4">
        <w:rPr>
          <w:color w:val="000000"/>
          <w:sz w:val="18"/>
          <w:szCs w:val="18"/>
        </w:rPr>
        <w:t>Judith Mrema</w:t>
      </w:r>
    </w:p>
    <w:p w14:paraId="2560C5BC" w14:textId="77777777" w:rsidR="00F64AEF" w:rsidRPr="00DE41C4" w:rsidRDefault="00F64AEF" w:rsidP="00F64AEF">
      <w:pPr>
        <w:ind w:left="108"/>
        <w:contextualSpacing w:val="0"/>
        <w:jc w:val="center"/>
        <w:rPr>
          <w:color w:val="000000"/>
          <w:sz w:val="18"/>
          <w:szCs w:val="18"/>
        </w:rPr>
      </w:pPr>
      <w:r w:rsidRPr="00DE41C4">
        <w:rPr>
          <w:color w:val="000000"/>
          <w:sz w:val="18"/>
          <w:szCs w:val="18"/>
        </w:rPr>
        <w:t>Shaban Mzamilo</w:t>
      </w:r>
    </w:p>
    <w:p w14:paraId="0C8E8A54" w14:textId="77777777" w:rsidR="00F64AEF" w:rsidRPr="00DE41C4" w:rsidRDefault="00F64AEF" w:rsidP="00F64AEF">
      <w:pPr>
        <w:contextualSpacing w:val="0"/>
        <w:jc w:val="center"/>
        <w:rPr>
          <w:b/>
          <w:sz w:val="18"/>
          <w:szCs w:val="18"/>
        </w:rPr>
      </w:pPr>
    </w:p>
    <w:p w14:paraId="535D6180" w14:textId="77777777" w:rsidR="00F64AEF" w:rsidRPr="00DE41C4" w:rsidRDefault="00F64AEF" w:rsidP="00F64AEF">
      <w:pPr>
        <w:ind w:left="108"/>
        <w:contextualSpacing w:val="0"/>
        <w:jc w:val="center"/>
        <w:rPr>
          <w:b/>
          <w:bCs/>
          <w:color w:val="000000"/>
          <w:sz w:val="18"/>
          <w:szCs w:val="18"/>
        </w:rPr>
      </w:pPr>
      <w:r w:rsidRPr="00DE41C4">
        <w:rPr>
          <w:b/>
          <w:bCs/>
          <w:color w:val="000000"/>
          <w:sz w:val="18"/>
          <w:szCs w:val="18"/>
        </w:rPr>
        <w:t>ARUSHA</w:t>
      </w:r>
    </w:p>
    <w:p w14:paraId="4072530D" w14:textId="77777777" w:rsidR="00F64AEF" w:rsidRPr="00DE41C4" w:rsidRDefault="00F64AEF" w:rsidP="00F64AEF">
      <w:pPr>
        <w:ind w:left="108"/>
        <w:contextualSpacing w:val="0"/>
        <w:jc w:val="center"/>
        <w:rPr>
          <w:color w:val="000000"/>
          <w:sz w:val="18"/>
          <w:szCs w:val="18"/>
        </w:rPr>
      </w:pPr>
      <w:r w:rsidRPr="00DE41C4">
        <w:rPr>
          <w:color w:val="000000"/>
          <w:sz w:val="18"/>
          <w:szCs w:val="18"/>
        </w:rPr>
        <w:t>Auson W. Bishanga</w:t>
      </w:r>
    </w:p>
    <w:p w14:paraId="7CE8F49B" w14:textId="77777777" w:rsidR="00F64AEF" w:rsidRPr="00DE41C4" w:rsidRDefault="00F64AEF" w:rsidP="00F64AEF">
      <w:pPr>
        <w:ind w:left="108"/>
        <w:contextualSpacing w:val="0"/>
        <w:jc w:val="center"/>
        <w:rPr>
          <w:color w:val="000000"/>
          <w:sz w:val="18"/>
          <w:szCs w:val="18"/>
        </w:rPr>
      </w:pPr>
      <w:r w:rsidRPr="00DE41C4">
        <w:rPr>
          <w:color w:val="000000"/>
          <w:sz w:val="18"/>
          <w:szCs w:val="18"/>
        </w:rPr>
        <w:t>Ayubu M. Loakaki</w:t>
      </w:r>
    </w:p>
    <w:p w14:paraId="0FFCEB2D" w14:textId="77777777" w:rsidR="00F64AEF" w:rsidRPr="00DE41C4" w:rsidRDefault="00F64AEF" w:rsidP="00F64AEF">
      <w:pPr>
        <w:ind w:left="108"/>
        <w:contextualSpacing w:val="0"/>
        <w:jc w:val="center"/>
        <w:rPr>
          <w:color w:val="000000"/>
          <w:sz w:val="18"/>
          <w:szCs w:val="18"/>
        </w:rPr>
      </w:pPr>
      <w:r w:rsidRPr="00DE41C4">
        <w:rPr>
          <w:color w:val="000000"/>
          <w:sz w:val="18"/>
          <w:szCs w:val="18"/>
        </w:rPr>
        <w:t>Edmund M. Rwegelela</w:t>
      </w:r>
    </w:p>
    <w:p w14:paraId="74D6E367" w14:textId="77777777" w:rsidR="00F64AEF" w:rsidRPr="00DE41C4" w:rsidRDefault="00F64AEF" w:rsidP="00F64AEF">
      <w:pPr>
        <w:ind w:left="108"/>
        <w:contextualSpacing w:val="0"/>
        <w:jc w:val="center"/>
        <w:rPr>
          <w:color w:val="000000"/>
          <w:sz w:val="18"/>
          <w:szCs w:val="18"/>
        </w:rPr>
      </w:pPr>
      <w:r w:rsidRPr="00DE41C4">
        <w:rPr>
          <w:color w:val="000000"/>
          <w:sz w:val="18"/>
          <w:szCs w:val="18"/>
        </w:rPr>
        <w:t>John Paulo</w:t>
      </w:r>
    </w:p>
    <w:p w14:paraId="72DEE040" w14:textId="77777777" w:rsidR="00F64AEF" w:rsidRPr="00DE41C4" w:rsidRDefault="00F64AEF" w:rsidP="00F64AEF">
      <w:pPr>
        <w:ind w:left="108"/>
        <w:contextualSpacing w:val="0"/>
        <w:jc w:val="center"/>
        <w:rPr>
          <w:color w:val="000000"/>
          <w:sz w:val="18"/>
          <w:szCs w:val="18"/>
        </w:rPr>
      </w:pPr>
      <w:r w:rsidRPr="00DE41C4">
        <w:rPr>
          <w:color w:val="000000"/>
          <w:sz w:val="18"/>
          <w:szCs w:val="18"/>
        </w:rPr>
        <w:t>Joshua Mwayombo</w:t>
      </w:r>
    </w:p>
    <w:p w14:paraId="6B4DDE93" w14:textId="77777777" w:rsidR="00F64AEF" w:rsidRPr="00DE41C4" w:rsidRDefault="00F64AEF" w:rsidP="00F64AEF">
      <w:pPr>
        <w:ind w:left="108"/>
        <w:contextualSpacing w:val="0"/>
        <w:jc w:val="center"/>
        <w:rPr>
          <w:color w:val="000000"/>
          <w:sz w:val="18"/>
          <w:szCs w:val="18"/>
        </w:rPr>
      </w:pPr>
      <w:r w:rsidRPr="00DE41C4">
        <w:rPr>
          <w:color w:val="000000"/>
          <w:sz w:val="18"/>
          <w:szCs w:val="18"/>
        </w:rPr>
        <w:t>Lilian Chuwa</w:t>
      </w:r>
    </w:p>
    <w:p w14:paraId="256099D3" w14:textId="77777777" w:rsidR="00F64AEF" w:rsidRPr="00DE41C4" w:rsidRDefault="00F64AEF" w:rsidP="00F64AEF">
      <w:pPr>
        <w:ind w:left="108"/>
        <w:contextualSpacing w:val="0"/>
        <w:jc w:val="center"/>
        <w:rPr>
          <w:color w:val="000000"/>
          <w:sz w:val="18"/>
          <w:szCs w:val="18"/>
        </w:rPr>
      </w:pPr>
      <w:r w:rsidRPr="00DE41C4">
        <w:rPr>
          <w:color w:val="000000"/>
          <w:sz w:val="18"/>
          <w:szCs w:val="18"/>
        </w:rPr>
        <w:t>Lucas Kiringo</w:t>
      </w:r>
    </w:p>
    <w:p w14:paraId="05FA0734" w14:textId="77777777" w:rsidR="00F64AEF" w:rsidRPr="00DE41C4" w:rsidRDefault="00F64AEF" w:rsidP="00F64AEF">
      <w:pPr>
        <w:ind w:left="108"/>
        <w:contextualSpacing w:val="0"/>
        <w:jc w:val="center"/>
        <w:rPr>
          <w:color w:val="000000"/>
          <w:sz w:val="18"/>
          <w:szCs w:val="18"/>
        </w:rPr>
      </w:pPr>
      <w:r w:rsidRPr="00DE41C4">
        <w:rPr>
          <w:color w:val="000000"/>
          <w:sz w:val="18"/>
          <w:szCs w:val="18"/>
        </w:rPr>
        <w:t>Saitoti Leyan</w:t>
      </w:r>
    </w:p>
    <w:p w14:paraId="63F2F74F" w14:textId="77777777" w:rsidR="00F64AEF" w:rsidRPr="00DE41C4" w:rsidRDefault="00F64AEF" w:rsidP="00F64AEF">
      <w:pPr>
        <w:ind w:left="108"/>
        <w:contextualSpacing w:val="0"/>
        <w:jc w:val="center"/>
        <w:rPr>
          <w:color w:val="000000"/>
          <w:sz w:val="18"/>
          <w:szCs w:val="18"/>
        </w:rPr>
      </w:pPr>
    </w:p>
    <w:p w14:paraId="7B066BFC" w14:textId="77777777" w:rsidR="00F64AEF" w:rsidRPr="00DE41C4" w:rsidRDefault="00F64AEF" w:rsidP="00F64AEF">
      <w:pPr>
        <w:ind w:left="108"/>
        <w:contextualSpacing w:val="0"/>
        <w:jc w:val="center"/>
        <w:rPr>
          <w:b/>
          <w:bCs/>
          <w:color w:val="000000"/>
          <w:sz w:val="18"/>
          <w:szCs w:val="18"/>
        </w:rPr>
      </w:pPr>
      <w:r w:rsidRPr="00DE41C4">
        <w:rPr>
          <w:b/>
          <w:bCs/>
          <w:color w:val="000000"/>
          <w:sz w:val="18"/>
          <w:szCs w:val="18"/>
        </w:rPr>
        <w:t>KILIMANJARO</w:t>
      </w:r>
    </w:p>
    <w:p w14:paraId="40699E07" w14:textId="77777777" w:rsidR="00F64AEF" w:rsidRPr="00DE41C4" w:rsidRDefault="00F64AEF" w:rsidP="00F64AEF">
      <w:pPr>
        <w:ind w:left="108"/>
        <w:contextualSpacing w:val="0"/>
        <w:jc w:val="center"/>
        <w:rPr>
          <w:color w:val="000000"/>
          <w:sz w:val="18"/>
          <w:szCs w:val="18"/>
        </w:rPr>
      </w:pPr>
      <w:r w:rsidRPr="00DE41C4">
        <w:rPr>
          <w:color w:val="000000"/>
          <w:sz w:val="18"/>
          <w:szCs w:val="18"/>
        </w:rPr>
        <w:t>Cheja Y. Malila</w:t>
      </w:r>
    </w:p>
    <w:p w14:paraId="2EE05992" w14:textId="77777777" w:rsidR="00F64AEF" w:rsidRPr="00DE41C4" w:rsidRDefault="00F64AEF" w:rsidP="00F64AEF">
      <w:pPr>
        <w:ind w:left="108"/>
        <w:contextualSpacing w:val="0"/>
        <w:jc w:val="center"/>
        <w:rPr>
          <w:color w:val="000000"/>
          <w:sz w:val="18"/>
          <w:szCs w:val="18"/>
        </w:rPr>
      </w:pPr>
      <w:r w:rsidRPr="00DE41C4">
        <w:rPr>
          <w:color w:val="000000"/>
          <w:sz w:val="18"/>
          <w:szCs w:val="18"/>
        </w:rPr>
        <w:t>Heavenlight Paul Mollel</w:t>
      </w:r>
    </w:p>
    <w:p w14:paraId="6FD90682" w14:textId="77777777" w:rsidR="00F64AEF" w:rsidRPr="00DE41C4" w:rsidRDefault="00F64AEF" w:rsidP="00F64AEF">
      <w:pPr>
        <w:ind w:left="108"/>
        <w:contextualSpacing w:val="0"/>
        <w:jc w:val="center"/>
        <w:rPr>
          <w:color w:val="000000"/>
          <w:sz w:val="18"/>
          <w:szCs w:val="18"/>
        </w:rPr>
      </w:pPr>
      <w:r w:rsidRPr="00DE41C4">
        <w:rPr>
          <w:color w:val="000000"/>
          <w:sz w:val="18"/>
          <w:szCs w:val="18"/>
        </w:rPr>
        <w:t>Hubert S. Ernest</w:t>
      </w:r>
    </w:p>
    <w:p w14:paraId="73DBAC93" w14:textId="77777777" w:rsidR="00F64AEF" w:rsidRPr="00DE41C4" w:rsidRDefault="00F64AEF" w:rsidP="00F64AEF">
      <w:pPr>
        <w:ind w:left="108"/>
        <w:contextualSpacing w:val="0"/>
        <w:jc w:val="center"/>
        <w:rPr>
          <w:color w:val="000000"/>
          <w:sz w:val="18"/>
          <w:szCs w:val="18"/>
        </w:rPr>
      </w:pPr>
      <w:r w:rsidRPr="00DE41C4">
        <w:rPr>
          <w:color w:val="000000"/>
          <w:sz w:val="18"/>
          <w:szCs w:val="18"/>
        </w:rPr>
        <w:t>John Essau</w:t>
      </w:r>
    </w:p>
    <w:p w14:paraId="4D786D47" w14:textId="77777777" w:rsidR="00F64AEF" w:rsidRPr="00DE41C4" w:rsidRDefault="00F64AEF" w:rsidP="00F64AEF">
      <w:pPr>
        <w:ind w:left="108"/>
        <w:contextualSpacing w:val="0"/>
        <w:jc w:val="center"/>
        <w:rPr>
          <w:color w:val="000000"/>
          <w:sz w:val="18"/>
          <w:szCs w:val="18"/>
        </w:rPr>
      </w:pPr>
      <w:r w:rsidRPr="00DE41C4">
        <w:rPr>
          <w:color w:val="000000"/>
          <w:sz w:val="18"/>
          <w:szCs w:val="18"/>
        </w:rPr>
        <w:t>Mariam S. Msangi</w:t>
      </w:r>
    </w:p>
    <w:p w14:paraId="20050999" w14:textId="77777777" w:rsidR="00F64AEF" w:rsidRPr="00DE41C4" w:rsidRDefault="00F64AEF" w:rsidP="00F64AEF">
      <w:pPr>
        <w:ind w:left="108"/>
        <w:contextualSpacing w:val="0"/>
        <w:jc w:val="center"/>
        <w:rPr>
          <w:color w:val="000000"/>
          <w:sz w:val="18"/>
          <w:szCs w:val="18"/>
        </w:rPr>
      </w:pPr>
      <w:r w:rsidRPr="00DE41C4">
        <w:rPr>
          <w:color w:val="000000"/>
          <w:sz w:val="18"/>
          <w:szCs w:val="18"/>
        </w:rPr>
        <w:t>Nicoletha Mbigili</w:t>
      </w:r>
    </w:p>
    <w:p w14:paraId="7C4DED06" w14:textId="77777777" w:rsidR="00F64AEF" w:rsidRPr="00DE41C4" w:rsidRDefault="00F64AEF" w:rsidP="00F64AEF">
      <w:pPr>
        <w:ind w:left="108"/>
        <w:contextualSpacing w:val="0"/>
        <w:jc w:val="center"/>
        <w:rPr>
          <w:color w:val="000000"/>
          <w:sz w:val="18"/>
          <w:szCs w:val="18"/>
        </w:rPr>
      </w:pPr>
      <w:r w:rsidRPr="00DE41C4">
        <w:rPr>
          <w:color w:val="000000"/>
          <w:sz w:val="18"/>
          <w:szCs w:val="18"/>
        </w:rPr>
        <w:t>Reginald Chami</w:t>
      </w:r>
    </w:p>
    <w:p w14:paraId="548AF318" w14:textId="2D2B9035" w:rsidR="00F64AEF" w:rsidRDefault="00F64AEF" w:rsidP="00F64AEF">
      <w:pPr>
        <w:ind w:left="108"/>
        <w:contextualSpacing w:val="0"/>
        <w:jc w:val="center"/>
        <w:rPr>
          <w:color w:val="000000"/>
          <w:sz w:val="18"/>
          <w:szCs w:val="18"/>
        </w:rPr>
      </w:pPr>
      <w:r w:rsidRPr="00DE41C4">
        <w:rPr>
          <w:color w:val="000000"/>
          <w:sz w:val="18"/>
          <w:szCs w:val="18"/>
        </w:rPr>
        <w:t>Serafini R. Cleophas</w:t>
      </w:r>
    </w:p>
    <w:p w14:paraId="7B48109A" w14:textId="77777777" w:rsidR="00FE6EB4" w:rsidRPr="00DE41C4" w:rsidRDefault="00FE6EB4" w:rsidP="00F64AEF">
      <w:pPr>
        <w:ind w:left="108"/>
        <w:contextualSpacing w:val="0"/>
        <w:jc w:val="center"/>
        <w:rPr>
          <w:color w:val="000000"/>
          <w:sz w:val="18"/>
          <w:szCs w:val="18"/>
        </w:rPr>
      </w:pPr>
    </w:p>
    <w:p w14:paraId="248774A0" w14:textId="77777777" w:rsidR="00F64AEF" w:rsidRPr="00DE41C4" w:rsidRDefault="00F64AEF" w:rsidP="00F64AEF">
      <w:pPr>
        <w:ind w:left="108"/>
        <w:contextualSpacing w:val="0"/>
        <w:jc w:val="center"/>
        <w:rPr>
          <w:b/>
          <w:bCs/>
          <w:color w:val="000000"/>
          <w:sz w:val="18"/>
          <w:szCs w:val="18"/>
        </w:rPr>
      </w:pPr>
      <w:r w:rsidRPr="00DE41C4">
        <w:rPr>
          <w:b/>
          <w:bCs/>
          <w:color w:val="000000"/>
          <w:sz w:val="18"/>
          <w:szCs w:val="18"/>
        </w:rPr>
        <w:t>TANGA</w:t>
      </w:r>
    </w:p>
    <w:p w14:paraId="7B91D14C" w14:textId="77777777" w:rsidR="00F64AEF" w:rsidRPr="00DE41C4" w:rsidRDefault="00F64AEF" w:rsidP="00F64AEF">
      <w:pPr>
        <w:ind w:left="108"/>
        <w:contextualSpacing w:val="0"/>
        <w:jc w:val="center"/>
        <w:rPr>
          <w:color w:val="000000"/>
          <w:sz w:val="18"/>
          <w:szCs w:val="18"/>
        </w:rPr>
      </w:pPr>
      <w:r w:rsidRPr="00DE41C4">
        <w:rPr>
          <w:color w:val="000000"/>
          <w:sz w:val="18"/>
          <w:szCs w:val="18"/>
        </w:rPr>
        <w:t>Amos Herbert</w:t>
      </w:r>
    </w:p>
    <w:p w14:paraId="24175323" w14:textId="77777777" w:rsidR="00F64AEF" w:rsidRPr="00DE41C4" w:rsidRDefault="00F64AEF" w:rsidP="00F64AEF">
      <w:pPr>
        <w:ind w:left="108"/>
        <w:contextualSpacing w:val="0"/>
        <w:jc w:val="center"/>
        <w:rPr>
          <w:color w:val="000000"/>
          <w:sz w:val="18"/>
          <w:szCs w:val="18"/>
        </w:rPr>
      </w:pPr>
      <w:r w:rsidRPr="00DE41C4">
        <w:rPr>
          <w:color w:val="000000"/>
          <w:sz w:val="18"/>
          <w:szCs w:val="18"/>
        </w:rPr>
        <w:t>Blantina Anthony</w:t>
      </w:r>
    </w:p>
    <w:p w14:paraId="2DDD2960" w14:textId="77777777" w:rsidR="00F64AEF" w:rsidRPr="00DE41C4" w:rsidRDefault="00F64AEF" w:rsidP="00F64AEF">
      <w:pPr>
        <w:ind w:left="108"/>
        <w:contextualSpacing w:val="0"/>
        <w:jc w:val="center"/>
        <w:rPr>
          <w:color w:val="000000"/>
          <w:sz w:val="18"/>
          <w:szCs w:val="18"/>
        </w:rPr>
      </w:pPr>
      <w:r w:rsidRPr="00DE41C4">
        <w:rPr>
          <w:color w:val="000000"/>
          <w:sz w:val="18"/>
          <w:szCs w:val="18"/>
        </w:rPr>
        <w:t>Christopher A Mkongwe</w:t>
      </w:r>
    </w:p>
    <w:p w14:paraId="1889228A" w14:textId="77777777" w:rsidR="00F64AEF" w:rsidRPr="00DE41C4" w:rsidRDefault="00F64AEF" w:rsidP="00F64AEF">
      <w:pPr>
        <w:ind w:left="108"/>
        <w:contextualSpacing w:val="0"/>
        <w:jc w:val="center"/>
        <w:rPr>
          <w:color w:val="000000"/>
          <w:sz w:val="18"/>
          <w:szCs w:val="18"/>
        </w:rPr>
      </w:pPr>
      <w:r w:rsidRPr="00DE41C4">
        <w:rPr>
          <w:color w:val="000000"/>
          <w:sz w:val="18"/>
          <w:szCs w:val="18"/>
        </w:rPr>
        <w:t>David Mdapo</w:t>
      </w:r>
    </w:p>
    <w:p w14:paraId="5FFED9BA" w14:textId="77777777" w:rsidR="00F64AEF" w:rsidRPr="00DE41C4" w:rsidRDefault="00F64AEF" w:rsidP="00F64AEF">
      <w:pPr>
        <w:ind w:left="108"/>
        <w:contextualSpacing w:val="0"/>
        <w:jc w:val="center"/>
        <w:rPr>
          <w:color w:val="000000"/>
          <w:sz w:val="18"/>
          <w:szCs w:val="18"/>
        </w:rPr>
      </w:pPr>
      <w:r w:rsidRPr="00DE41C4">
        <w:rPr>
          <w:color w:val="000000"/>
          <w:sz w:val="18"/>
          <w:szCs w:val="18"/>
        </w:rPr>
        <w:t>Edward Lakika</w:t>
      </w:r>
    </w:p>
    <w:p w14:paraId="4EF3AD5B" w14:textId="77777777" w:rsidR="00F64AEF" w:rsidRPr="00DE41C4" w:rsidRDefault="00F64AEF" w:rsidP="00F64AEF">
      <w:pPr>
        <w:ind w:left="108"/>
        <w:contextualSpacing w:val="0"/>
        <w:jc w:val="center"/>
        <w:rPr>
          <w:color w:val="000000"/>
          <w:sz w:val="18"/>
          <w:szCs w:val="18"/>
        </w:rPr>
      </w:pPr>
      <w:r w:rsidRPr="00DE41C4">
        <w:rPr>
          <w:color w:val="000000"/>
          <w:sz w:val="18"/>
          <w:szCs w:val="18"/>
        </w:rPr>
        <w:t>Fabian George</w:t>
      </w:r>
    </w:p>
    <w:p w14:paraId="754E4E67" w14:textId="77777777" w:rsidR="00F64AEF" w:rsidRPr="00DE41C4" w:rsidRDefault="00F64AEF" w:rsidP="00F64AEF">
      <w:pPr>
        <w:ind w:left="108"/>
        <w:contextualSpacing w:val="0"/>
        <w:jc w:val="center"/>
        <w:rPr>
          <w:color w:val="000000"/>
          <w:sz w:val="18"/>
          <w:szCs w:val="18"/>
        </w:rPr>
      </w:pPr>
      <w:r w:rsidRPr="00DE41C4">
        <w:rPr>
          <w:color w:val="000000"/>
          <w:sz w:val="18"/>
          <w:szCs w:val="18"/>
        </w:rPr>
        <w:t>Frank Mhando</w:t>
      </w:r>
    </w:p>
    <w:p w14:paraId="5822B728" w14:textId="77777777" w:rsidR="00F64AEF" w:rsidRPr="00DE41C4" w:rsidRDefault="00F64AEF" w:rsidP="00F64AEF">
      <w:pPr>
        <w:ind w:left="108"/>
        <w:contextualSpacing w:val="0"/>
        <w:jc w:val="center"/>
        <w:rPr>
          <w:color w:val="000000"/>
          <w:sz w:val="18"/>
          <w:szCs w:val="18"/>
        </w:rPr>
      </w:pPr>
      <w:r w:rsidRPr="00DE41C4">
        <w:rPr>
          <w:color w:val="000000"/>
          <w:sz w:val="18"/>
          <w:szCs w:val="18"/>
        </w:rPr>
        <w:t>Jacqueline Nhandi</w:t>
      </w:r>
    </w:p>
    <w:p w14:paraId="46D96F8B" w14:textId="77777777" w:rsidR="00F64AEF" w:rsidRPr="00DE41C4" w:rsidRDefault="00F64AEF" w:rsidP="00F64AEF">
      <w:pPr>
        <w:ind w:left="108"/>
        <w:contextualSpacing w:val="0"/>
        <w:jc w:val="center"/>
        <w:rPr>
          <w:color w:val="000000"/>
          <w:sz w:val="18"/>
          <w:szCs w:val="18"/>
        </w:rPr>
      </w:pPr>
      <w:r w:rsidRPr="00DE41C4">
        <w:rPr>
          <w:color w:val="000000"/>
          <w:sz w:val="18"/>
          <w:szCs w:val="18"/>
        </w:rPr>
        <w:t>Mohamed Mtoo</w:t>
      </w:r>
    </w:p>
    <w:p w14:paraId="1E99048F" w14:textId="77777777" w:rsidR="00F64AEF" w:rsidRPr="00DE41C4" w:rsidRDefault="00F64AEF" w:rsidP="00F64AEF">
      <w:pPr>
        <w:ind w:left="108"/>
        <w:contextualSpacing w:val="0"/>
        <w:jc w:val="center"/>
        <w:rPr>
          <w:color w:val="000000"/>
          <w:sz w:val="18"/>
          <w:szCs w:val="18"/>
        </w:rPr>
      </w:pPr>
      <w:r w:rsidRPr="00DE41C4">
        <w:rPr>
          <w:color w:val="000000"/>
          <w:sz w:val="18"/>
          <w:szCs w:val="18"/>
        </w:rPr>
        <w:t>Salehe Mohamed</w:t>
      </w:r>
    </w:p>
    <w:p w14:paraId="6F50AC5A" w14:textId="70A107D6" w:rsidR="00F64AEF" w:rsidRDefault="00F64AEF" w:rsidP="00F64AEF">
      <w:pPr>
        <w:contextualSpacing w:val="0"/>
        <w:jc w:val="center"/>
        <w:rPr>
          <w:b/>
          <w:sz w:val="18"/>
          <w:szCs w:val="18"/>
        </w:rPr>
      </w:pPr>
    </w:p>
    <w:p w14:paraId="6CB684AA" w14:textId="310C6B90" w:rsidR="003479EF" w:rsidRDefault="003479EF" w:rsidP="00F64AEF">
      <w:pPr>
        <w:contextualSpacing w:val="0"/>
        <w:jc w:val="center"/>
        <w:rPr>
          <w:b/>
          <w:sz w:val="18"/>
          <w:szCs w:val="18"/>
        </w:rPr>
      </w:pPr>
    </w:p>
    <w:p w14:paraId="44874C41" w14:textId="15852465" w:rsidR="003479EF" w:rsidRDefault="003479EF" w:rsidP="00F64AEF">
      <w:pPr>
        <w:contextualSpacing w:val="0"/>
        <w:jc w:val="center"/>
        <w:rPr>
          <w:b/>
          <w:sz w:val="18"/>
          <w:szCs w:val="18"/>
        </w:rPr>
      </w:pPr>
    </w:p>
    <w:p w14:paraId="04F0E0B3" w14:textId="77777777" w:rsidR="00F64AEF" w:rsidRPr="00DE41C4" w:rsidRDefault="00F64AEF" w:rsidP="00F64AEF">
      <w:pPr>
        <w:ind w:left="108"/>
        <w:contextualSpacing w:val="0"/>
        <w:jc w:val="center"/>
        <w:rPr>
          <w:b/>
          <w:bCs/>
          <w:color w:val="000000"/>
          <w:sz w:val="18"/>
          <w:szCs w:val="18"/>
        </w:rPr>
      </w:pPr>
      <w:r w:rsidRPr="00DE41C4">
        <w:rPr>
          <w:b/>
          <w:bCs/>
          <w:color w:val="000000"/>
          <w:sz w:val="18"/>
          <w:szCs w:val="18"/>
        </w:rPr>
        <w:t>MOROGORO</w:t>
      </w:r>
    </w:p>
    <w:p w14:paraId="27E8EB00" w14:textId="77777777" w:rsidR="00F64AEF" w:rsidRPr="00DE41C4" w:rsidRDefault="00F64AEF" w:rsidP="00F64AEF">
      <w:pPr>
        <w:ind w:left="108"/>
        <w:contextualSpacing w:val="0"/>
        <w:jc w:val="center"/>
        <w:rPr>
          <w:color w:val="000000"/>
          <w:sz w:val="18"/>
          <w:szCs w:val="18"/>
        </w:rPr>
      </w:pPr>
      <w:r w:rsidRPr="00DE41C4">
        <w:rPr>
          <w:color w:val="000000"/>
          <w:sz w:val="18"/>
          <w:szCs w:val="18"/>
        </w:rPr>
        <w:t>Ahmad Abdallah</w:t>
      </w:r>
    </w:p>
    <w:p w14:paraId="2D8C2CC7" w14:textId="77777777" w:rsidR="00F64AEF" w:rsidRPr="00DE41C4" w:rsidRDefault="00F64AEF" w:rsidP="00F64AEF">
      <w:pPr>
        <w:ind w:left="108"/>
        <w:contextualSpacing w:val="0"/>
        <w:jc w:val="center"/>
        <w:rPr>
          <w:color w:val="000000"/>
          <w:sz w:val="18"/>
          <w:szCs w:val="18"/>
        </w:rPr>
      </w:pPr>
      <w:r w:rsidRPr="00DE41C4">
        <w:rPr>
          <w:color w:val="000000"/>
          <w:sz w:val="18"/>
          <w:szCs w:val="18"/>
        </w:rPr>
        <w:t>Anselimo Nsumba</w:t>
      </w:r>
    </w:p>
    <w:p w14:paraId="759E9699" w14:textId="77777777" w:rsidR="00F64AEF" w:rsidRPr="00DE41C4" w:rsidRDefault="00F64AEF" w:rsidP="00F64AEF">
      <w:pPr>
        <w:ind w:left="108"/>
        <w:contextualSpacing w:val="0"/>
        <w:jc w:val="center"/>
        <w:rPr>
          <w:color w:val="000000"/>
          <w:sz w:val="18"/>
          <w:szCs w:val="18"/>
        </w:rPr>
      </w:pPr>
      <w:r w:rsidRPr="00DE41C4">
        <w:rPr>
          <w:color w:val="000000"/>
          <w:sz w:val="18"/>
          <w:szCs w:val="18"/>
        </w:rPr>
        <w:t>Emmanuel Chifunda</w:t>
      </w:r>
    </w:p>
    <w:p w14:paraId="60045049" w14:textId="77777777" w:rsidR="00F64AEF" w:rsidRPr="00DE41C4" w:rsidRDefault="00F64AEF" w:rsidP="00F64AEF">
      <w:pPr>
        <w:ind w:left="108"/>
        <w:contextualSpacing w:val="0"/>
        <w:jc w:val="center"/>
        <w:rPr>
          <w:color w:val="000000"/>
          <w:sz w:val="18"/>
          <w:szCs w:val="18"/>
        </w:rPr>
      </w:pPr>
      <w:r w:rsidRPr="00DE41C4">
        <w:rPr>
          <w:color w:val="000000"/>
          <w:sz w:val="18"/>
          <w:szCs w:val="18"/>
        </w:rPr>
        <w:t>Erasto Mbago</w:t>
      </w:r>
    </w:p>
    <w:p w14:paraId="2088DF28" w14:textId="77777777" w:rsidR="00F64AEF" w:rsidRPr="00DE41C4" w:rsidRDefault="00F64AEF" w:rsidP="00F64AEF">
      <w:pPr>
        <w:ind w:left="108"/>
        <w:contextualSpacing w:val="0"/>
        <w:jc w:val="center"/>
        <w:rPr>
          <w:color w:val="000000"/>
          <w:sz w:val="18"/>
          <w:szCs w:val="18"/>
        </w:rPr>
      </w:pPr>
      <w:r w:rsidRPr="00DE41C4">
        <w:rPr>
          <w:color w:val="000000"/>
          <w:sz w:val="18"/>
          <w:szCs w:val="18"/>
        </w:rPr>
        <w:t>Gama Mwendowasaa</w:t>
      </w:r>
    </w:p>
    <w:p w14:paraId="3DE5C4D1" w14:textId="77777777" w:rsidR="00F64AEF" w:rsidRPr="00DE41C4" w:rsidRDefault="00F64AEF" w:rsidP="00F64AEF">
      <w:pPr>
        <w:ind w:left="108"/>
        <w:contextualSpacing w:val="0"/>
        <w:jc w:val="center"/>
        <w:rPr>
          <w:color w:val="000000"/>
          <w:sz w:val="18"/>
          <w:szCs w:val="18"/>
        </w:rPr>
      </w:pPr>
      <w:r w:rsidRPr="00DE41C4">
        <w:rPr>
          <w:color w:val="000000"/>
          <w:sz w:val="18"/>
          <w:szCs w:val="18"/>
        </w:rPr>
        <w:t>Gasper Kazoka</w:t>
      </w:r>
    </w:p>
    <w:p w14:paraId="32BC641D" w14:textId="77777777" w:rsidR="00F64AEF" w:rsidRPr="00DE41C4" w:rsidRDefault="00F64AEF" w:rsidP="00F64AEF">
      <w:pPr>
        <w:ind w:left="108"/>
        <w:contextualSpacing w:val="0"/>
        <w:jc w:val="center"/>
        <w:rPr>
          <w:color w:val="000000"/>
          <w:sz w:val="18"/>
          <w:szCs w:val="18"/>
        </w:rPr>
      </w:pPr>
      <w:r w:rsidRPr="00DE41C4">
        <w:rPr>
          <w:color w:val="000000"/>
          <w:sz w:val="18"/>
          <w:szCs w:val="18"/>
        </w:rPr>
        <w:t>Goodluck Munisi</w:t>
      </w:r>
    </w:p>
    <w:p w14:paraId="00596C61" w14:textId="77777777" w:rsidR="00F64AEF" w:rsidRPr="00DE41C4" w:rsidRDefault="00F64AEF" w:rsidP="00F64AEF">
      <w:pPr>
        <w:ind w:left="108"/>
        <w:contextualSpacing w:val="0"/>
        <w:jc w:val="center"/>
        <w:rPr>
          <w:color w:val="000000"/>
          <w:sz w:val="18"/>
          <w:szCs w:val="18"/>
        </w:rPr>
      </w:pPr>
      <w:r w:rsidRPr="00DE41C4">
        <w:rPr>
          <w:color w:val="000000"/>
          <w:sz w:val="18"/>
          <w:szCs w:val="18"/>
        </w:rPr>
        <w:t>Jasper Kazoka</w:t>
      </w:r>
    </w:p>
    <w:p w14:paraId="019F6F6D" w14:textId="77777777" w:rsidR="00F64AEF" w:rsidRPr="00DE41C4" w:rsidRDefault="00F64AEF" w:rsidP="00F64AEF">
      <w:pPr>
        <w:ind w:left="108"/>
        <w:contextualSpacing w:val="0"/>
        <w:jc w:val="center"/>
        <w:rPr>
          <w:color w:val="000000"/>
          <w:sz w:val="18"/>
          <w:szCs w:val="18"/>
        </w:rPr>
      </w:pPr>
      <w:r w:rsidRPr="00DE41C4">
        <w:rPr>
          <w:color w:val="000000"/>
          <w:sz w:val="18"/>
          <w:szCs w:val="18"/>
        </w:rPr>
        <w:t>Laura Philip Mushi</w:t>
      </w:r>
    </w:p>
    <w:p w14:paraId="5C826630" w14:textId="77777777" w:rsidR="00F64AEF" w:rsidRPr="00DE41C4" w:rsidRDefault="00F64AEF" w:rsidP="00F64AEF">
      <w:pPr>
        <w:ind w:left="108"/>
        <w:contextualSpacing w:val="0"/>
        <w:jc w:val="center"/>
        <w:rPr>
          <w:color w:val="000000"/>
          <w:sz w:val="18"/>
          <w:szCs w:val="18"/>
        </w:rPr>
      </w:pPr>
      <w:r w:rsidRPr="00DE41C4">
        <w:rPr>
          <w:color w:val="000000"/>
          <w:sz w:val="18"/>
          <w:szCs w:val="18"/>
        </w:rPr>
        <w:t>Raphael Mwampamba</w:t>
      </w:r>
    </w:p>
    <w:p w14:paraId="1197337E" w14:textId="77777777" w:rsidR="00F64AEF" w:rsidRPr="00DE41C4" w:rsidRDefault="00F64AEF" w:rsidP="00F64AEF">
      <w:pPr>
        <w:ind w:left="108"/>
        <w:contextualSpacing w:val="0"/>
        <w:jc w:val="center"/>
        <w:rPr>
          <w:color w:val="000000"/>
          <w:sz w:val="18"/>
          <w:szCs w:val="18"/>
        </w:rPr>
      </w:pPr>
      <w:r w:rsidRPr="00DE41C4">
        <w:rPr>
          <w:color w:val="000000"/>
          <w:sz w:val="18"/>
          <w:szCs w:val="18"/>
        </w:rPr>
        <w:t>Rasoul Rashid Suleiman</w:t>
      </w:r>
    </w:p>
    <w:p w14:paraId="709F1EB8" w14:textId="77777777" w:rsidR="00F64AEF" w:rsidRPr="00DE41C4" w:rsidRDefault="00F64AEF" w:rsidP="00F64AEF">
      <w:pPr>
        <w:ind w:left="108"/>
        <w:contextualSpacing w:val="0"/>
        <w:jc w:val="center"/>
        <w:rPr>
          <w:color w:val="000000"/>
          <w:sz w:val="18"/>
          <w:szCs w:val="18"/>
        </w:rPr>
      </w:pPr>
      <w:r w:rsidRPr="00DE41C4">
        <w:rPr>
          <w:color w:val="000000"/>
          <w:sz w:val="18"/>
          <w:szCs w:val="18"/>
        </w:rPr>
        <w:t>Richard Lawrence</w:t>
      </w:r>
    </w:p>
    <w:p w14:paraId="236A70A8" w14:textId="06FA2511" w:rsidR="00F64AEF" w:rsidRDefault="00F64AEF" w:rsidP="00F64AEF">
      <w:pPr>
        <w:contextualSpacing w:val="0"/>
        <w:jc w:val="center"/>
        <w:rPr>
          <w:b/>
          <w:sz w:val="18"/>
          <w:szCs w:val="18"/>
        </w:rPr>
      </w:pPr>
    </w:p>
    <w:p w14:paraId="4570A197" w14:textId="77777777" w:rsidR="00F64AEF" w:rsidRPr="00DE41C4" w:rsidRDefault="00F64AEF" w:rsidP="00F64AEF">
      <w:pPr>
        <w:ind w:left="108"/>
        <w:contextualSpacing w:val="0"/>
        <w:jc w:val="center"/>
        <w:rPr>
          <w:b/>
          <w:bCs/>
          <w:color w:val="000000"/>
          <w:sz w:val="18"/>
          <w:szCs w:val="18"/>
        </w:rPr>
      </w:pPr>
      <w:r w:rsidRPr="00DE41C4">
        <w:rPr>
          <w:b/>
          <w:bCs/>
          <w:color w:val="000000"/>
          <w:sz w:val="18"/>
          <w:szCs w:val="18"/>
        </w:rPr>
        <w:t>PWANI</w:t>
      </w:r>
    </w:p>
    <w:p w14:paraId="0CF3FF6A" w14:textId="77777777" w:rsidR="00F64AEF" w:rsidRPr="00DE41C4" w:rsidRDefault="00F64AEF" w:rsidP="00F64AEF">
      <w:pPr>
        <w:ind w:left="108"/>
        <w:contextualSpacing w:val="0"/>
        <w:jc w:val="center"/>
        <w:rPr>
          <w:color w:val="000000"/>
          <w:sz w:val="18"/>
          <w:szCs w:val="18"/>
        </w:rPr>
      </w:pPr>
      <w:r w:rsidRPr="00DE41C4">
        <w:rPr>
          <w:color w:val="000000"/>
          <w:sz w:val="18"/>
          <w:szCs w:val="18"/>
        </w:rPr>
        <w:t>Abuu Lugongo</w:t>
      </w:r>
    </w:p>
    <w:p w14:paraId="079A4C05" w14:textId="77777777" w:rsidR="00F64AEF" w:rsidRPr="00DE41C4" w:rsidRDefault="00F64AEF" w:rsidP="00F64AEF">
      <w:pPr>
        <w:ind w:left="108"/>
        <w:contextualSpacing w:val="0"/>
        <w:jc w:val="center"/>
        <w:rPr>
          <w:color w:val="000000"/>
          <w:sz w:val="18"/>
          <w:szCs w:val="18"/>
        </w:rPr>
      </w:pPr>
      <w:r w:rsidRPr="00DE41C4">
        <w:rPr>
          <w:color w:val="000000"/>
          <w:sz w:val="18"/>
          <w:szCs w:val="18"/>
        </w:rPr>
        <w:t>Ali Likusi</w:t>
      </w:r>
    </w:p>
    <w:p w14:paraId="45630C5F" w14:textId="77777777" w:rsidR="00F64AEF" w:rsidRPr="00DE41C4" w:rsidRDefault="00F64AEF" w:rsidP="00F64AEF">
      <w:pPr>
        <w:ind w:left="108"/>
        <w:contextualSpacing w:val="0"/>
        <w:jc w:val="center"/>
        <w:rPr>
          <w:color w:val="000000"/>
          <w:sz w:val="18"/>
          <w:szCs w:val="18"/>
        </w:rPr>
      </w:pPr>
      <w:r w:rsidRPr="00DE41C4">
        <w:rPr>
          <w:color w:val="000000"/>
          <w:sz w:val="18"/>
          <w:szCs w:val="18"/>
        </w:rPr>
        <w:t>Cladius C. Kahanamtuki</w:t>
      </w:r>
    </w:p>
    <w:p w14:paraId="03DE66F7" w14:textId="77777777" w:rsidR="00F64AEF" w:rsidRPr="00DE41C4" w:rsidRDefault="00F64AEF" w:rsidP="00F64AEF">
      <w:pPr>
        <w:ind w:left="108"/>
        <w:contextualSpacing w:val="0"/>
        <w:jc w:val="center"/>
        <w:rPr>
          <w:color w:val="000000"/>
          <w:sz w:val="18"/>
          <w:szCs w:val="18"/>
        </w:rPr>
      </w:pPr>
      <w:r w:rsidRPr="00DE41C4">
        <w:rPr>
          <w:color w:val="000000"/>
          <w:sz w:val="18"/>
          <w:szCs w:val="18"/>
        </w:rPr>
        <w:t>Jackson Gambamala</w:t>
      </w:r>
    </w:p>
    <w:p w14:paraId="0620CC07" w14:textId="77777777" w:rsidR="00F64AEF" w:rsidRPr="00DE41C4" w:rsidRDefault="00F64AEF" w:rsidP="00F64AEF">
      <w:pPr>
        <w:ind w:left="108"/>
        <w:contextualSpacing w:val="0"/>
        <w:jc w:val="center"/>
        <w:rPr>
          <w:color w:val="000000"/>
          <w:sz w:val="18"/>
          <w:szCs w:val="18"/>
        </w:rPr>
      </w:pPr>
      <w:r w:rsidRPr="00DE41C4">
        <w:rPr>
          <w:color w:val="000000"/>
          <w:sz w:val="18"/>
          <w:szCs w:val="18"/>
        </w:rPr>
        <w:t>James Lazaro</w:t>
      </w:r>
    </w:p>
    <w:p w14:paraId="333FE828" w14:textId="77777777" w:rsidR="00F64AEF" w:rsidRPr="00DE41C4" w:rsidRDefault="00F64AEF" w:rsidP="00F64AEF">
      <w:pPr>
        <w:ind w:left="108"/>
        <w:contextualSpacing w:val="0"/>
        <w:jc w:val="center"/>
        <w:rPr>
          <w:color w:val="000000"/>
          <w:sz w:val="18"/>
          <w:szCs w:val="18"/>
        </w:rPr>
      </w:pPr>
      <w:r w:rsidRPr="00DE41C4">
        <w:rPr>
          <w:color w:val="000000"/>
          <w:sz w:val="18"/>
          <w:szCs w:val="18"/>
        </w:rPr>
        <w:t>John Josephat</w:t>
      </w:r>
    </w:p>
    <w:p w14:paraId="35BA288A" w14:textId="77777777" w:rsidR="00F64AEF" w:rsidRPr="00DE41C4" w:rsidRDefault="00F64AEF" w:rsidP="00F64AEF">
      <w:pPr>
        <w:ind w:left="108"/>
        <w:contextualSpacing w:val="0"/>
        <w:jc w:val="center"/>
        <w:rPr>
          <w:color w:val="000000"/>
          <w:sz w:val="18"/>
          <w:szCs w:val="18"/>
        </w:rPr>
      </w:pPr>
      <w:r w:rsidRPr="00DE41C4">
        <w:rPr>
          <w:color w:val="000000"/>
          <w:sz w:val="18"/>
          <w:szCs w:val="18"/>
        </w:rPr>
        <w:t>Pius C. Msafiri</w:t>
      </w:r>
    </w:p>
    <w:p w14:paraId="41B20016" w14:textId="77777777" w:rsidR="00F64AEF" w:rsidRPr="00DE41C4" w:rsidRDefault="00F64AEF" w:rsidP="00F64AEF">
      <w:pPr>
        <w:ind w:left="108"/>
        <w:contextualSpacing w:val="0"/>
        <w:jc w:val="center"/>
        <w:rPr>
          <w:color w:val="000000"/>
          <w:sz w:val="18"/>
          <w:szCs w:val="18"/>
        </w:rPr>
      </w:pPr>
      <w:r w:rsidRPr="00DE41C4">
        <w:rPr>
          <w:color w:val="000000"/>
          <w:sz w:val="18"/>
          <w:szCs w:val="18"/>
        </w:rPr>
        <w:t>Zawadi J. Hamimu</w:t>
      </w:r>
    </w:p>
    <w:p w14:paraId="64BA308B" w14:textId="77777777" w:rsidR="00F64AEF" w:rsidRPr="00DE41C4" w:rsidRDefault="00F64AEF" w:rsidP="00F64AEF">
      <w:pPr>
        <w:contextualSpacing w:val="0"/>
        <w:jc w:val="center"/>
        <w:rPr>
          <w:b/>
          <w:sz w:val="18"/>
          <w:szCs w:val="18"/>
        </w:rPr>
      </w:pPr>
    </w:p>
    <w:p w14:paraId="55E53B8E" w14:textId="77777777" w:rsidR="00F64AEF" w:rsidRPr="00DE41C4" w:rsidRDefault="00F64AEF" w:rsidP="00F64AEF">
      <w:pPr>
        <w:ind w:left="108"/>
        <w:contextualSpacing w:val="0"/>
        <w:jc w:val="center"/>
        <w:rPr>
          <w:b/>
          <w:bCs/>
          <w:color w:val="000000"/>
          <w:sz w:val="18"/>
          <w:szCs w:val="18"/>
        </w:rPr>
      </w:pPr>
      <w:r w:rsidRPr="00DE41C4">
        <w:rPr>
          <w:b/>
          <w:bCs/>
          <w:color w:val="000000"/>
          <w:sz w:val="18"/>
          <w:szCs w:val="18"/>
        </w:rPr>
        <w:t>DAR ES SALAAM</w:t>
      </w:r>
    </w:p>
    <w:p w14:paraId="562AA87A" w14:textId="77777777" w:rsidR="00F64AEF" w:rsidRPr="00DE41C4" w:rsidRDefault="00F64AEF" w:rsidP="00F64AEF">
      <w:pPr>
        <w:ind w:left="108"/>
        <w:contextualSpacing w:val="0"/>
        <w:jc w:val="center"/>
        <w:rPr>
          <w:color w:val="000000"/>
          <w:sz w:val="18"/>
          <w:szCs w:val="18"/>
        </w:rPr>
      </w:pPr>
      <w:r w:rsidRPr="00DE41C4">
        <w:rPr>
          <w:color w:val="000000"/>
          <w:sz w:val="18"/>
          <w:szCs w:val="18"/>
        </w:rPr>
        <w:t>Dagubert Kayombo</w:t>
      </w:r>
    </w:p>
    <w:p w14:paraId="3D8E2DC2" w14:textId="77777777" w:rsidR="00F64AEF" w:rsidRPr="00DE41C4" w:rsidRDefault="00F64AEF" w:rsidP="00F64AEF">
      <w:pPr>
        <w:ind w:left="108"/>
        <w:contextualSpacing w:val="0"/>
        <w:jc w:val="center"/>
        <w:rPr>
          <w:color w:val="000000"/>
          <w:sz w:val="18"/>
          <w:szCs w:val="18"/>
        </w:rPr>
      </w:pPr>
      <w:r w:rsidRPr="00DE41C4">
        <w:rPr>
          <w:color w:val="000000"/>
          <w:sz w:val="18"/>
          <w:szCs w:val="18"/>
        </w:rPr>
        <w:t>Hamis C. Sozigwa</w:t>
      </w:r>
    </w:p>
    <w:p w14:paraId="127E325D" w14:textId="77777777" w:rsidR="00F64AEF" w:rsidRPr="00DE41C4" w:rsidRDefault="00F64AEF" w:rsidP="00F64AEF">
      <w:pPr>
        <w:ind w:left="108"/>
        <w:contextualSpacing w:val="0"/>
        <w:jc w:val="center"/>
        <w:rPr>
          <w:color w:val="000000"/>
          <w:sz w:val="18"/>
          <w:szCs w:val="18"/>
        </w:rPr>
      </w:pPr>
      <w:r w:rsidRPr="00DE41C4">
        <w:rPr>
          <w:color w:val="000000"/>
          <w:sz w:val="18"/>
          <w:szCs w:val="18"/>
        </w:rPr>
        <w:t>Vupoki Ngajilo</w:t>
      </w:r>
    </w:p>
    <w:p w14:paraId="0E5EC6D2" w14:textId="77777777" w:rsidR="00F64AEF" w:rsidRPr="00DE41C4" w:rsidRDefault="00F64AEF" w:rsidP="00F64AEF">
      <w:pPr>
        <w:contextualSpacing w:val="0"/>
        <w:jc w:val="center"/>
        <w:rPr>
          <w:b/>
          <w:sz w:val="18"/>
          <w:szCs w:val="18"/>
        </w:rPr>
      </w:pPr>
    </w:p>
    <w:p w14:paraId="64FE2022" w14:textId="77777777" w:rsidR="00F64AEF" w:rsidRPr="00DE41C4" w:rsidRDefault="00F64AEF" w:rsidP="00F64AEF">
      <w:pPr>
        <w:ind w:left="108"/>
        <w:contextualSpacing w:val="0"/>
        <w:jc w:val="center"/>
        <w:rPr>
          <w:b/>
          <w:bCs/>
          <w:color w:val="000000"/>
          <w:sz w:val="18"/>
          <w:szCs w:val="18"/>
        </w:rPr>
      </w:pPr>
      <w:r w:rsidRPr="00DE41C4">
        <w:rPr>
          <w:b/>
          <w:bCs/>
          <w:color w:val="000000"/>
          <w:sz w:val="18"/>
          <w:szCs w:val="18"/>
        </w:rPr>
        <w:t>LINDI</w:t>
      </w:r>
    </w:p>
    <w:p w14:paraId="04239AE3" w14:textId="77777777" w:rsidR="00F64AEF" w:rsidRPr="00DE41C4" w:rsidRDefault="00F64AEF" w:rsidP="00F64AEF">
      <w:pPr>
        <w:ind w:left="108"/>
        <w:contextualSpacing w:val="0"/>
        <w:jc w:val="center"/>
        <w:rPr>
          <w:color w:val="000000"/>
          <w:sz w:val="18"/>
          <w:szCs w:val="18"/>
        </w:rPr>
      </w:pPr>
      <w:r w:rsidRPr="00DE41C4">
        <w:rPr>
          <w:color w:val="000000"/>
          <w:sz w:val="18"/>
          <w:szCs w:val="18"/>
        </w:rPr>
        <w:t>Deogratias Kakomekome</w:t>
      </w:r>
    </w:p>
    <w:p w14:paraId="64F9A478" w14:textId="77777777" w:rsidR="00F64AEF" w:rsidRPr="00DE41C4" w:rsidRDefault="00F64AEF" w:rsidP="00F64AEF">
      <w:pPr>
        <w:ind w:left="108"/>
        <w:contextualSpacing w:val="0"/>
        <w:jc w:val="center"/>
        <w:rPr>
          <w:color w:val="000000"/>
          <w:sz w:val="18"/>
          <w:szCs w:val="18"/>
        </w:rPr>
      </w:pPr>
      <w:r w:rsidRPr="00DE41C4">
        <w:rPr>
          <w:color w:val="000000"/>
          <w:sz w:val="18"/>
          <w:szCs w:val="18"/>
        </w:rPr>
        <w:t>Lusano John Ndwela</w:t>
      </w:r>
    </w:p>
    <w:p w14:paraId="58277DAA" w14:textId="77777777" w:rsidR="00F64AEF" w:rsidRPr="00DE41C4" w:rsidRDefault="00F64AEF" w:rsidP="00F64AEF">
      <w:pPr>
        <w:ind w:left="108"/>
        <w:contextualSpacing w:val="0"/>
        <w:jc w:val="center"/>
        <w:rPr>
          <w:color w:val="000000"/>
          <w:sz w:val="18"/>
          <w:szCs w:val="18"/>
        </w:rPr>
      </w:pPr>
      <w:r w:rsidRPr="00DE41C4">
        <w:rPr>
          <w:color w:val="000000"/>
          <w:sz w:val="18"/>
          <w:szCs w:val="18"/>
        </w:rPr>
        <w:t>Miraji Namkaa</w:t>
      </w:r>
    </w:p>
    <w:p w14:paraId="7E0CB613" w14:textId="77777777" w:rsidR="00F64AEF" w:rsidRPr="00DE41C4" w:rsidRDefault="00F64AEF" w:rsidP="00F64AEF">
      <w:pPr>
        <w:ind w:left="108"/>
        <w:contextualSpacing w:val="0"/>
        <w:jc w:val="center"/>
        <w:rPr>
          <w:color w:val="000000"/>
          <w:sz w:val="18"/>
          <w:szCs w:val="18"/>
        </w:rPr>
      </w:pPr>
      <w:r w:rsidRPr="00DE41C4">
        <w:rPr>
          <w:color w:val="000000"/>
          <w:sz w:val="18"/>
          <w:szCs w:val="18"/>
        </w:rPr>
        <w:t>Salum Mnonjela</w:t>
      </w:r>
    </w:p>
    <w:p w14:paraId="48B1F681" w14:textId="77777777" w:rsidR="00F64AEF" w:rsidRPr="00DE41C4" w:rsidRDefault="00F64AEF" w:rsidP="00F64AEF">
      <w:pPr>
        <w:contextualSpacing w:val="0"/>
        <w:jc w:val="center"/>
        <w:rPr>
          <w:b/>
          <w:sz w:val="18"/>
          <w:szCs w:val="18"/>
        </w:rPr>
      </w:pPr>
    </w:p>
    <w:p w14:paraId="6E4A9996" w14:textId="77777777" w:rsidR="00F64AEF" w:rsidRPr="00DE41C4" w:rsidRDefault="00F64AEF" w:rsidP="00F64AEF">
      <w:pPr>
        <w:ind w:left="108"/>
        <w:contextualSpacing w:val="0"/>
        <w:jc w:val="center"/>
        <w:rPr>
          <w:b/>
          <w:bCs/>
          <w:color w:val="000000"/>
          <w:sz w:val="18"/>
          <w:szCs w:val="18"/>
        </w:rPr>
      </w:pPr>
      <w:r w:rsidRPr="00DE41C4">
        <w:rPr>
          <w:b/>
          <w:bCs/>
          <w:color w:val="000000"/>
          <w:sz w:val="18"/>
          <w:szCs w:val="18"/>
        </w:rPr>
        <w:t>MTWARA</w:t>
      </w:r>
    </w:p>
    <w:p w14:paraId="3EF310D2" w14:textId="77777777" w:rsidR="00F64AEF" w:rsidRPr="00DE41C4" w:rsidRDefault="00F64AEF" w:rsidP="00F64AEF">
      <w:pPr>
        <w:ind w:left="108"/>
        <w:contextualSpacing w:val="0"/>
        <w:jc w:val="center"/>
        <w:rPr>
          <w:color w:val="000000"/>
          <w:sz w:val="18"/>
          <w:szCs w:val="18"/>
        </w:rPr>
      </w:pPr>
      <w:r w:rsidRPr="00DE41C4">
        <w:rPr>
          <w:color w:val="000000"/>
          <w:sz w:val="18"/>
          <w:szCs w:val="18"/>
        </w:rPr>
        <w:t>Abitha Boniface</w:t>
      </w:r>
    </w:p>
    <w:p w14:paraId="0DD90F8D" w14:textId="77777777" w:rsidR="00F64AEF" w:rsidRPr="00DE41C4" w:rsidRDefault="00F64AEF" w:rsidP="00F64AEF">
      <w:pPr>
        <w:ind w:left="108"/>
        <w:contextualSpacing w:val="0"/>
        <w:jc w:val="center"/>
        <w:rPr>
          <w:color w:val="000000"/>
          <w:sz w:val="18"/>
          <w:szCs w:val="18"/>
        </w:rPr>
      </w:pPr>
      <w:r w:rsidRPr="00DE41C4">
        <w:rPr>
          <w:color w:val="000000"/>
          <w:sz w:val="18"/>
          <w:szCs w:val="18"/>
        </w:rPr>
        <w:t>Asajile Mwakasege</w:t>
      </w:r>
    </w:p>
    <w:p w14:paraId="5B363DBB" w14:textId="77777777" w:rsidR="00F64AEF" w:rsidRPr="00DE41C4" w:rsidRDefault="00F64AEF" w:rsidP="00F64AEF">
      <w:pPr>
        <w:ind w:left="108"/>
        <w:contextualSpacing w:val="0"/>
        <w:jc w:val="center"/>
        <w:rPr>
          <w:color w:val="000000"/>
          <w:sz w:val="18"/>
          <w:szCs w:val="18"/>
        </w:rPr>
      </w:pPr>
      <w:r w:rsidRPr="00DE41C4">
        <w:rPr>
          <w:color w:val="000000"/>
          <w:sz w:val="18"/>
          <w:szCs w:val="18"/>
        </w:rPr>
        <w:t>Dadi Hassan</w:t>
      </w:r>
    </w:p>
    <w:p w14:paraId="4AEB20E6" w14:textId="77777777" w:rsidR="00F64AEF" w:rsidRPr="00DE41C4" w:rsidRDefault="00F64AEF" w:rsidP="00F64AEF">
      <w:pPr>
        <w:ind w:left="108"/>
        <w:contextualSpacing w:val="0"/>
        <w:jc w:val="center"/>
        <w:rPr>
          <w:color w:val="000000"/>
          <w:sz w:val="18"/>
          <w:szCs w:val="18"/>
        </w:rPr>
      </w:pPr>
      <w:r w:rsidRPr="00DE41C4">
        <w:rPr>
          <w:color w:val="000000"/>
          <w:sz w:val="18"/>
          <w:szCs w:val="18"/>
        </w:rPr>
        <w:t>Domina Magawa</w:t>
      </w:r>
    </w:p>
    <w:p w14:paraId="3959FBF6" w14:textId="77777777" w:rsidR="00F64AEF" w:rsidRPr="00DE41C4" w:rsidRDefault="00F64AEF" w:rsidP="00F64AEF">
      <w:pPr>
        <w:ind w:left="108"/>
        <w:contextualSpacing w:val="0"/>
        <w:jc w:val="center"/>
        <w:rPr>
          <w:color w:val="000000"/>
          <w:sz w:val="18"/>
          <w:szCs w:val="18"/>
        </w:rPr>
      </w:pPr>
      <w:r w:rsidRPr="00DE41C4">
        <w:rPr>
          <w:color w:val="000000"/>
          <w:sz w:val="18"/>
          <w:szCs w:val="18"/>
        </w:rPr>
        <w:t>Jadi Hassan</w:t>
      </w:r>
    </w:p>
    <w:p w14:paraId="4C23CF21" w14:textId="77777777" w:rsidR="00F64AEF" w:rsidRPr="00DE41C4" w:rsidRDefault="00F64AEF" w:rsidP="00F64AEF">
      <w:pPr>
        <w:ind w:left="108"/>
        <w:contextualSpacing w:val="0"/>
        <w:jc w:val="center"/>
        <w:rPr>
          <w:color w:val="000000"/>
          <w:sz w:val="18"/>
          <w:szCs w:val="18"/>
        </w:rPr>
      </w:pPr>
      <w:r w:rsidRPr="00DE41C4">
        <w:rPr>
          <w:color w:val="000000"/>
          <w:sz w:val="18"/>
          <w:szCs w:val="18"/>
        </w:rPr>
        <w:t>Paschal Sebastian</w:t>
      </w:r>
    </w:p>
    <w:p w14:paraId="14CDF8C3" w14:textId="30033F34" w:rsidR="00F64AEF" w:rsidRDefault="00F64AEF" w:rsidP="00F64AEF">
      <w:pPr>
        <w:ind w:left="108"/>
        <w:contextualSpacing w:val="0"/>
        <w:jc w:val="center"/>
        <w:rPr>
          <w:color w:val="000000"/>
          <w:sz w:val="18"/>
          <w:szCs w:val="18"/>
        </w:rPr>
      </w:pPr>
      <w:r w:rsidRPr="00DE41C4">
        <w:rPr>
          <w:color w:val="000000"/>
          <w:sz w:val="18"/>
          <w:szCs w:val="18"/>
        </w:rPr>
        <w:t>Peter Idana</w:t>
      </w:r>
    </w:p>
    <w:p w14:paraId="079C6F88" w14:textId="77777777" w:rsidR="003479EF" w:rsidRPr="00DE41C4" w:rsidRDefault="003479EF" w:rsidP="00F64AEF">
      <w:pPr>
        <w:ind w:left="108"/>
        <w:contextualSpacing w:val="0"/>
        <w:jc w:val="center"/>
        <w:rPr>
          <w:color w:val="000000"/>
          <w:sz w:val="18"/>
          <w:szCs w:val="18"/>
        </w:rPr>
      </w:pPr>
    </w:p>
    <w:p w14:paraId="3CCD072A" w14:textId="77777777" w:rsidR="00F64AEF" w:rsidRPr="00DE41C4" w:rsidRDefault="00F64AEF" w:rsidP="00F64AEF">
      <w:pPr>
        <w:ind w:left="108"/>
        <w:contextualSpacing w:val="0"/>
        <w:jc w:val="center"/>
        <w:rPr>
          <w:color w:val="000000"/>
          <w:sz w:val="18"/>
          <w:szCs w:val="18"/>
        </w:rPr>
      </w:pPr>
      <w:r w:rsidRPr="00DE41C4">
        <w:rPr>
          <w:color w:val="000000"/>
          <w:sz w:val="18"/>
          <w:szCs w:val="18"/>
        </w:rPr>
        <w:t>Selemani Mnyoka</w:t>
      </w:r>
    </w:p>
    <w:p w14:paraId="2098A42F" w14:textId="77777777" w:rsidR="00F64AEF" w:rsidRPr="00DE41C4" w:rsidRDefault="00F64AEF" w:rsidP="00F64AEF">
      <w:pPr>
        <w:ind w:left="108"/>
        <w:contextualSpacing w:val="0"/>
        <w:jc w:val="center"/>
        <w:rPr>
          <w:color w:val="000000"/>
          <w:sz w:val="18"/>
          <w:szCs w:val="18"/>
        </w:rPr>
      </w:pPr>
      <w:r w:rsidRPr="00DE41C4">
        <w:rPr>
          <w:color w:val="000000"/>
          <w:sz w:val="18"/>
          <w:szCs w:val="18"/>
        </w:rPr>
        <w:t>Tabitha Boniface</w:t>
      </w:r>
    </w:p>
    <w:p w14:paraId="1ADF7552" w14:textId="105F6FB2" w:rsidR="00F64AEF" w:rsidRDefault="00F64AEF" w:rsidP="00F64AEF">
      <w:pPr>
        <w:ind w:left="108"/>
        <w:contextualSpacing w:val="0"/>
        <w:jc w:val="center"/>
        <w:rPr>
          <w:b/>
          <w:bCs/>
          <w:color w:val="000000"/>
          <w:sz w:val="18"/>
          <w:szCs w:val="18"/>
        </w:rPr>
      </w:pPr>
    </w:p>
    <w:p w14:paraId="75905E6F" w14:textId="77777777" w:rsidR="00F64AEF" w:rsidRPr="00DE41C4" w:rsidRDefault="00F64AEF" w:rsidP="00F64AEF">
      <w:pPr>
        <w:ind w:left="108"/>
        <w:contextualSpacing w:val="0"/>
        <w:jc w:val="center"/>
        <w:rPr>
          <w:b/>
          <w:bCs/>
          <w:color w:val="000000"/>
          <w:sz w:val="18"/>
          <w:szCs w:val="18"/>
        </w:rPr>
      </w:pPr>
      <w:r w:rsidRPr="00DE41C4">
        <w:rPr>
          <w:b/>
          <w:bCs/>
          <w:color w:val="000000"/>
          <w:sz w:val="18"/>
          <w:szCs w:val="18"/>
        </w:rPr>
        <w:t>RUVUMA</w:t>
      </w:r>
    </w:p>
    <w:p w14:paraId="3E83CA07" w14:textId="77777777" w:rsidR="00F64AEF" w:rsidRPr="00DE41C4" w:rsidRDefault="00F64AEF" w:rsidP="00F64AEF">
      <w:pPr>
        <w:ind w:left="108"/>
        <w:contextualSpacing w:val="0"/>
        <w:jc w:val="center"/>
        <w:rPr>
          <w:color w:val="000000"/>
          <w:sz w:val="18"/>
          <w:szCs w:val="18"/>
        </w:rPr>
      </w:pPr>
      <w:r w:rsidRPr="00DE41C4">
        <w:rPr>
          <w:color w:val="000000"/>
          <w:sz w:val="18"/>
          <w:szCs w:val="18"/>
        </w:rPr>
        <w:t>Antony Haule</w:t>
      </w:r>
    </w:p>
    <w:p w14:paraId="60EA3234" w14:textId="77777777" w:rsidR="00F64AEF" w:rsidRPr="00DE41C4" w:rsidRDefault="00F64AEF" w:rsidP="00F64AEF">
      <w:pPr>
        <w:ind w:left="108"/>
        <w:contextualSpacing w:val="0"/>
        <w:jc w:val="center"/>
        <w:rPr>
          <w:color w:val="000000"/>
          <w:sz w:val="18"/>
          <w:szCs w:val="18"/>
        </w:rPr>
      </w:pPr>
      <w:r w:rsidRPr="00DE41C4">
        <w:rPr>
          <w:color w:val="000000"/>
          <w:sz w:val="18"/>
          <w:szCs w:val="18"/>
        </w:rPr>
        <w:t>Athuman Juma</w:t>
      </w:r>
    </w:p>
    <w:p w14:paraId="1394CF8F" w14:textId="77777777" w:rsidR="00F64AEF" w:rsidRPr="00DE41C4" w:rsidRDefault="00F64AEF" w:rsidP="00F64AEF">
      <w:pPr>
        <w:ind w:left="108"/>
        <w:contextualSpacing w:val="0"/>
        <w:jc w:val="center"/>
        <w:rPr>
          <w:color w:val="000000"/>
          <w:sz w:val="18"/>
          <w:szCs w:val="18"/>
        </w:rPr>
      </w:pPr>
      <w:r w:rsidRPr="00DE41C4">
        <w:rPr>
          <w:color w:val="000000"/>
          <w:sz w:val="18"/>
          <w:szCs w:val="18"/>
        </w:rPr>
        <w:t>Hassan Kasuwi</w:t>
      </w:r>
    </w:p>
    <w:p w14:paraId="4EEB4C2F" w14:textId="77777777" w:rsidR="00F64AEF" w:rsidRPr="00DE41C4" w:rsidRDefault="00F64AEF" w:rsidP="00F64AEF">
      <w:pPr>
        <w:ind w:left="108"/>
        <w:contextualSpacing w:val="0"/>
        <w:jc w:val="center"/>
        <w:rPr>
          <w:color w:val="000000"/>
          <w:sz w:val="18"/>
          <w:szCs w:val="18"/>
        </w:rPr>
      </w:pPr>
      <w:r w:rsidRPr="00DE41C4">
        <w:rPr>
          <w:color w:val="000000"/>
          <w:sz w:val="18"/>
          <w:szCs w:val="18"/>
        </w:rPr>
        <w:t>Martin Luambano</w:t>
      </w:r>
    </w:p>
    <w:p w14:paraId="33D6797F" w14:textId="77777777" w:rsidR="00F64AEF" w:rsidRPr="00DE41C4" w:rsidRDefault="00F64AEF" w:rsidP="00F64AEF">
      <w:pPr>
        <w:ind w:left="108"/>
        <w:contextualSpacing w:val="0"/>
        <w:jc w:val="center"/>
        <w:rPr>
          <w:color w:val="000000"/>
          <w:sz w:val="18"/>
          <w:szCs w:val="18"/>
        </w:rPr>
      </w:pPr>
      <w:r w:rsidRPr="00DE41C4">
        <w:rPr>
          <w:color w:val="000000"/>
          <w:sz w:val="18"/>
          <w:szCs w:val="18"/>
        </w:rPr>
        <w:t>Mtende Ally</w:t>
      </w:r>
    </w:p>
    <w:p w14:paraId="45FFCF7C" w14:textId="77777777" w:rsidR="00F64AEF" w:rsidRPr="00DE41C4" w:rsidRDefault="00F64AEF" w:rsidP="00F64AEF">
      <w:pPr>
        <w:ind w:left="108"/>
        <w:contextualSpacing w:val="0"/>
        <w:jc w:val="center"/>
        <w:rPr>
          <w:color w:val="000000"/>
          <w:sz w:val="18"/>
          <w:szCs w:val="18"/>
        </w:rPr>
      </w:pPr>
      <w:r w:rsidRPr="00DE41C4">
        <w:rPr>
          <w:color w:val="000000"/>
          <w:sz w:val="18"/>
          <w:szCs w:val="18"/>
        </w:rPr>
        <w:t>Mussa J. Matimbwa</w:t>
      </w:r>
    </w:p>
    <w:p w14:paraId="01C7936E" w14:textId="77777777" w:rsidR="00F64AEF" w:rsidRPr="00DE41C4" w:rsidRDefault="00F64AEF" w:rsidP="00F64AEF">
      <w:pPr>
        <w:ind w:left="108"/>
        <w:contextualSpacing w:val="0"/>
        <w:jc w:val="center"/>
        <w:rPr>
          <w:color w:val="000000"/>
          <w:sz w:val="18"/>
          <w:szCs w:val="18"/>
        </w:rPr>
      </w:pPr>
      <w:r w:rsidRPr="00DE41C4">
        <w:rPr>
          <w:color w:val="000000"/>
          <w:sz w:val="18"/>
          <w:szCs w:val="18"/>
        </w:rPr>
        <w:t>Mussa Kapopo</w:t>
      </w:r>
    </w:p>
    <w:p w14:paraId="606F8C18" w14:textId="77777777" w:rsidR="00F64AEF" w:rsidRPr="00DE41C4" w:rsidRDefault="00F64AEF" w:rsidP="00F64AEF">
      <w:pPr>
        <w:ind w:left="108"/>
        <w:contextualSpacing w:val="0"/>
        <w:jc w:val="center"/>
        <w:rPr>
          <w:color w:val="000000"/>
          <w:sz w:val="18"/>
          <w:szCs w:val="18"/>
        </w:rPr>
      </w:pPr>
      <w:r w:rsidRPr="00DE41C4">
        <w:rPr>
          <w:color w:val="000000"/>
          <w:sz w:val="18"/>
          <w:szCs w:val="18"/>
        </w:rPr>
        <w:t>Sada A. Nihuka</w:t>
      </w:r>
    </w:p>
    <w:p w14:paraId="325E6A36" w14:textId="77777777" w:rsidR="00F64AEF" w:rsidRPr="00DE41C4" w:rsidRDefault="00F64AEF" w:rsidP="00F64AEF">
      <w:pPr>
        <w:contextualSpacing w:val="0"/>
        <w:jc w:val="center"/>
        <w:rPr>
          <w:b/>
          <w:sz w:val="18"/>
          <w:szCs w:val="18"/>
        </w:rPr>
      </w:pPr>
    </w:p>
    <w:p w14:paraId="6B1D5CE7" w14:textId="77777777" w:rsidR="00F64AEF" w:rsidRPr="00DE41C4" w:rsidRDefault="00F64AEF" w:rsidP="00F64AEF">
      <w:pPr>
        <w:ind w:left="108"/>
        <w:contextualSpacing w:val="0"/>
        <w:jc w:val="center"/>
        <w:rPr>
          <w:b/>
          <w:bCs/>
          <w:color w:val="000000"/>
          <w:sz w:val="18"/>
          <w:szCs w:val="18"/>
        </w:rPr>
      </w:pPr>
      <w:r w:rsidRPr="00DE41C4">
        <w:rPr>
          <w:b/>
          <w:bCs/>
          <w:color w:val="000000"/>
          <w:sz w:val="18"/>
          <w:szCs w:val="18"/>
        </w:rPr>
        <w:t>IRINGA</w:t>
      </w:r>
    </w:p>
    <w:p w14:paraId="6081E81A" w14:textId="77777777" w:rsidR="00F64AEF" w:rsidRPr="00DE41C4" w:rsidRDefault="00F64AEF" w:rsidP="00F64AEF">
      <w:pPr>
        <w:ind w:left="108"/>
        <w:contextualSpacing w:val="0"/>
        <w:jc w:val="center"/>
        <w:rPr>
          <w:color w:val="000000"/>
          <w:sz w:val="18"/>
          <w:szCs w:val="18"/>
        </w:rPr>
      </w:pPr>
      <w:r w:rsidRPr="00DE41C4">
        <w:rPr>
          <w:color w:val="000000"/>
          <w:sz w:val="18"/>
          <w:szCs w:val="18"/>
        </w:rPr>
        <w:t>Ali Nzema</w:t>
      </w:r>
    </w:p>
    <w:p w14:paraId="72B213B8" w14:textId="77777777" w:rsidR="00F64AEF" w:rsidRPr="00DE41C4" w:rsidRDefault="00F64AEF" w:rsidP="00F64AEF">
      <w:pPr>
        <w:ind w:left="108"/>
        <w:contextualSpacing w:val="0"/>
        <w:jc w:val="center"/>
        <w:rPr>
          <w:color w:val="000000"/>
          <w:sz w:val="18"/>
          <w:szCs w:val="18"/>
        </w:rPr>
      </w:pPr>
      <w:r w:rsidRPr="00DE41C4">
        <w:rPr>
          <w:color w:val="000000"/>
          <w:sz w:val="18"/>
          <w:szCs w:val="18"/>
        </w:rPr>
        <w:t>Fatuma Jumbe</w:t>
      </w:r>
    </w:p>
    <w:p w14:paraId="34AB77B9" w14:textId="77777777" w:rsidR="00F64AEF" w:rsidRPr="00DE41C4" w:rsidRDefault="00F64AEF" w:rsidP="00F64AEF">
      <w:pPr>
        <w:ind w:left="108"/>
        <w:contextualSpacing w:val="0"/>
        <w:jc w:val="center"/>
        <w:rPr>
          <w:color w:val="000000"/>
          <w:sz w:val="18"/>
          <w:szCs w:val="18"/>
        </w:rPr>
      </w:pPr>
      <w:r w:rsidRPr="00DE41C4">
        <w:rPr>
          <w:color w:val="000000"/>
          <w:sz w:val="18"/>
          <w:szCs w:val="18"/>
        </w:rPr>
        <w:t>Myabwire Kuboja</w:t>
      </w:r>
    </w:p>
    <w:p w14:paraId="311CD40B" w14:textId="77777777" w:rsidR="00F64AEF" w:rsidRPr="00DE41C4" w:rsidRDefault="00F64AEF" w:rsidP="00F64AEF">
      <w:pPr>
        <w:ind w:left="108"/>
        <w:contextualSpacing w:val="0"/>
        <w:jc w:val="center"/>
        <w:rPr>
          <w:color w:val="000000"/>
          <w:sz w:val="18"/>
          <w:szCs w:val="18"/>
        </w:rPr>
      </w:pPr>
      <w:r w:rsidRPr="00DE41C4">
        <w:rPr>
          <w:color w:val="000000"/>
          <w:sz w:val="18"/>
          <w:szCs w:val="18"/>
        </w:rPr>
        <w:t>Said Ndomba</w:t>
      </w:r>
    </w:p>
    <w:p w14:paraId="39FF69B0" w14:textId="77777777" w:rsidR="00F64AEF" w:rsidRPr="00DE41C4" w:rsidRDefault="00F64AEF" w:rsidP="00F64AEF">
      <w:pPr>
        <w:ind w:left="108"/>
        <w:contextualSpacing w:val="0"/>
        <w:jc w:val="center"/>
        <w:rPr>
          <w:color w:val="000000"/>
          <w:sz w:val="18"/>
          <w:szCs w:val="18"/>
        </w:rPr>
      </w:pPr>
    </w:p>
    <w:p w14:paraId="1686478D" w14:textId="77777777" w:rsidR="00F64AEF" w:rsidRPr="00DE41C4" w:rsidRDefault="00F64AEF" w:rsidP="00F64AEF">
      <w:pPr>
        <w:ind w:left="108"/>
        <w:contextualSpacing w:val="0"/>
        <w:jc w:val="center"/>
        <w:rPr>
          <w:b/>
          <w:bCs/>
          <w:color w:val="000000"/>
          <w:sz w:val="18"/>
          <w:szCs w:val="18"/>
        </w:rPr>
      </w:pPr>
      <w:r w:rsidRPr="00DE41C4">
        <w:rPr>
          <w:b/>
          <w:bCs/>
          <w:color w:val="000000"/>
          <w:sz w:val="18"/>
          <w:szCs w:val="18"/>
        </w:rPr>
        <w:t>MBEYA</w:t>
      </w:r>
    </w:p>
    <w:p w14:paraId="3873B20E" w14:textId="77777777" w:rsidR="00F64AEF" w:rsidRPr="00DE41C4" w:rsidRDefault="00F64AEF" w:rsidP="00F64AEF">
      <w:pPr>
        <w:ind w:left="108"/>
        <w:contextualSpacing w:val="0"/>
        <w:jc w:val="center"/>
        <w:rPr>
          <w:color w:val="000000"/>
          <w:sz w:val="18"/>
          <w:szCs w:val="18"/>
        </w:rPr>
      </w:pPr>
      <w:r w:rsidRPr="00DE41C4">
        <w:rPr>
          <w:color w:val="000000"/>
          <w:sz w:val="18"/>
          <w:szCs w:val="18"/>
        </w:rPr>
        <w:t>Baraka M. Mwakilima</w:t>
      </w:r>
    </w:p>
    <w:p w14:paraId="4982A804" w14:textId="77777777" w:rsidR="00F64AEF" w:rsidRPr="00DE41C4" w:rsidRDefault="00F64AEF" w:rsidP="00F64AEF">
      <w:pPr>
        <w:ind w:left="108"/>
        <w:contextualSpacing w:val="0"/>
        <w:jc w:val="center"/>
        <w:rPr>
          <w:color w:val="000000"/>
          <w:sz w:val="18"/>
          <w:szCs w:val="18"/>
        </w:rPr>
      </w:pPr>
      <w:r w:rsidRPr="00DE41C4">
        <w:rPr>
          <w:color w:val="000000"/>
          <w:sz w:val="18"/>
          <w:szCs w:val="18"/>
        </w:rPr>
        <w:t>Consolata Kamanzi</w:t>
      </w:r>
    </w:p>
    <w:p w14:paraId="34746EA1" w14:textId="77777777" w:rsidR="00F64AEF" w:rsidRPr="00DE41C4" w:rsidRDefault="00F64AEF" w:rsidP="00F64AEF">
      <w:pPr>
        <w:ind w:left="108"/>
        <w:contextualSpacing w:val="0"/>
        <w:jc w:val="center"/>
        <w:rPr>
          <w:color w:val="000000"/>
          <w:sz w:val="18"/>
          <w:szCs w:val="18"/>
        </w:rPr>
      </w:pPr>
      <w:r w:rsidRPr="00DE41C4">
        <w:rPr>
          <w:color w:val="000000"/>
          <w:sz w:val="18"/>
          <w:szCs w:val="18"/>
        </w:rPr>
        <w:t>Deogratius S. Lyimo</w:t>
      </w:r>
    </w:p>
    <w:p w14:paraId="71C4F3C5" w14:textId="77777777" w:rsidR="00F64AEF" w:rsidRPr="00DE41C4" w:rsidRDefault="00F64AEF" w:rsidP="00F64AEF">
      <w:pPr>
        <w:ind w:left="108"/>
        <w:contextualSpacing w:val="0"/>
        <w:jc w:val="center"/>
        <w:rPr>
          <w:color w:val="000000"/>
          <w:sz w:val="18"/>
          <w:szCs w:val="18"/>
        </w:rPr>
      </w:pPr>
      <w:r w:rsidRPr="00DE41C4">
        <w:rPr>
          <w:color w:val="000000"/>
          <w:sz w:val="18"/>
          <w:szCs w:val="18"/>
        </w:rPr>
        <w:t>Elimringi Mafole</w:t>
      </w:r>
    </w:p>
    <w:p w14:paraId="2BC8D23D" w14:textId="77777777" w:rsidR="00F64AEF" w:rsidRPr="00DE41C4" w:rsidRDefault="00F64AEF" w:rsidP="00F64AEF">
      <w:pPr>
        <w:ind w:left="108"/>
        <w:contextualSpacing w:val="0"/>
        <w:jc w:val="center"/>
        <w:rPr>
          <w:color w:val="000000"/>
          <w:sz w:val="18"/>
          <w:szCs w:val="18"/>
        </w:rPr>
      </w:pPr>
      <w:r w:rsidRPr="00DE41C4">
        <w:rPr>
          <w:color w:val="000000"/>
          <w:sz w:val="18"/>
          <w:szCs w:val="18"/>
        </w:rPr>
        <w:t>Humphrey Mwakajila</w:t>
      </w:r>
    </w:p>
    <w:p w14:paraId="523649CC" w14:textId="77777777" w:rsidR="00F64AEF" w:rsidRPr="00DE41C4" w:rsidRDefault="00F64AEF" w:rsidP="00F64AEF">
      <w:pPr>
        <w:ind w:left="108"/>
        <w:contextualSpacing w:val="0"/>
        <w:jc w:val="center"/>
        <w:rPr>
          <w:color w:val="000000"/>
          <w:sz w:val="18"/>
          <w:szCs w:val="18"/>
        </w:rPr>
      </w:pPr>
      <w:r w:rsidRPr="00DE41C4">
        <w:rPr>
          <w:color w:val="000000"/>
          <w:sz w:val="18"/>
          <w:szCs w:val="18"/>
        </w:rPr>
        <w:t>Joseph George</w:t>
      </w:r>
    </w:p>
    <w:p w14:paraId="07B9F692" w14:textId="77777777" w:rsidR="00F64AEF" w:rsidRPr="00DE41C4" w:rsidRDefault="00F64AEF" w:rsidP="00F64AEF">
      <w:pPr>
        <w:ind w:left="108"/>
        <w:contextualSpacing w:val="0"/>
        <w:jc w:val="center"/>
        <w:rPr>
          <w:color w:val="000000"/>
          <w:sz w:val="18"/>
          <w:szCs w:val="18"/>
        </w:rPr>
      </w:pPr>
      <w:r w:rsidRPr="00DE41C4">
        <w:rPr>
          <w:color w:val="000000"/>
          <w:sz w:val="18"/>
          <w:szCs w:val="18"/>
        </w:rPr>
        <w:t>Joseph Kyando</w:t>
      </w:r>
    </w:p>
    <w:p w14:paraId="04350241" w14:textId="77777777" w:rsidR="00F64AEF" w:rsidRPr="00DE41C4" w:rsidRDefault="00F64AEF" w:rsidP="00F64AEF">
      <w:pPr>
        <w:ind w:left="108"/>
        <w:contextualSpacing w:val="0"/>
        <w:jc w:val="center"/>
        <w:rPr>
          <w:color w:val="000000"/>
          <w:sz w:val="18"/>
          <w:szCs w:val="18"/>
        </w:rPr>
      </w:pPr>
      <w:r w:rsidRPr="00DE41C4">
        <w:rPr>
          <w:color w:val="000000"/>
          <w:sz w:val="18"/>
          <w:szCs w:val="18"/>
        </w:rPr>
        <w:t>Paul Mwaisemba</w:t>
      </w:r>
    </w:p>
    <w:p w14:paraId="00A42879" w14:textId="77777777" w:rsidR="00F64AEF" w:rsidRPr="00DE41C4" w:rsidRDefault="00F64AEF" w:rsidP="00F64AEF">
      <w:pPr>
        <w:ind w:left="108"/>
        <w:contextualSpacing w:val="0"/>
        <w:jc w:val="center"/>
        <w:rPr>
          <w:color w:val="000000"/>
          <w:sz w:val="18"/>
          <w:szCs w:val="18"/>
        </w:rPr>
      </w:pPr>
      <w:r w:rsidRPr="00DE41C4">
        <w:rPr>
          <w:color w:val="000000"/>
          <w:sz w:val="18"/>
          <w:szCs w:val="18"/>
        </w:rPr>
        <w:t>Salome Brown Mwangasa</w:t>
      </w:r>
    </w:p>
    <w:p w14:paraId="34B1478E" w14:textId="77777777" w:rsidR="00F64AEF" w:rsidRPr="00DE41C4" w:rsidRDefault="00F64AEF" w:rsidP="00F64AEF">
      <w:pPr>
        <w:ind w:left="108"/>
        <w:contextualSpacing w:val="0"/>
        <w:jc w:val="center"/>
        <w:rPr>
          <w:color w:val="000000"/>
          <w:sz w:val="18"/>
          <w:szCs w:val="18"/>
        </w:rPr>
      </w:pPr>
      <w:r w:rsidRPr="00DE41C4">
        <w:rPr>
          <w:color w:val="000000"/>
          <w:sz w:val="18"/>
          <w:szCs w:val="18"/>
        </w:rPr>
        <w:t>Uswege Mwakalebela</w:t>
      </w:r>
    </w:p>
    <w:p w14:paraId="1012E2C3" w14:textId="77777777" w:rsidR="00F64AEF" w:rsidRPr="00DE41C4" w:rsidRDefault="00F64AEF" w:rsidP="00F64AEF">
      <w:pPr>
        <w:contextualSpacing w:val="0"/>
        <w:jc w:val="center"/>
        <w:rPr>
          <w:b/>
          <w:sz w:val="18"/>
          <w:szCs w:val="18"/>
        </w:rPr>
      </w:pPr>
    </w:p>
    <w:p w14:paraId="3F921F74" w14:textId="77777777" w:rsidR="00F64AEF" w:rsidRPr="00DE41C4" w:rsidRDefault="00F64AEF" w:rsidP="00F64AEF">
      <w:pPr>
        <w:ind w:left="108"/>
        <w:contextualSpacing w:val="0"/>
        <w:jc w:val="center"/>
        <w:rPr>
          <w:b/>
          <w:bCs/>
          <w:color w:val="000000"/>
          <w:sz w:val="18"/>
          <w:szCs w:val="18"/>
        </w:rPr>
      </w:pPr>
      <w:r w:rsidRPr="00DE41C4">
        <w:rPr>
          <w:b/>
          <w:bCs/>
          <w:color w:val="000000"/>
          <w:sz w:val="18"/>
          <w:szCs w:val="18"/>
        </w:rPr>
        <w:t>SINGIDA</w:t>
      </w:r>
    </w:p>
    <w:p w14:paraId="63CD87B5" w14:textId="77777777" w:rsidR="00F64AEF" w:rsidRPr="00DE41C4" w:rsidRDefault="00F64AEF" w:rsidP="00F64AEF">
      <w:pPr>
        <w:ind w:left="108"/>
        <w:contextualSpacing w:val="0"/>
        <w:jc w:val="center"/>
        <w:rPr>
          <w:color w:val="000000"/>
          <w:sz w:val="18"/>
          <w:szCs w:val="18"/>
        </w:rPr>
      </w:pPr>
      <w:r w:rsidRPr="00DE41C4">
        <w:rPr>
          <w:color w:val="000000"/>
          <w:sz w:val="18"/>
          <w:szCs w:val="18"/>
        </w:rPr>
        <w:t>Aziza Luguli</w:t>
      </w:r>
    </w:p>
    <w:p w14:paraId="5EDC15C0" w14:textId="77777777" w:rsidR="00F64AEF" w:rsidRPr="00DE41C4" w:rsidRDefault="00F64AEF" w:rsidP="00F64AEF">
      <w:pPr>
        <w:ind w:left="108"/>
        <w:contextualSpacing w:val="0"/>
        <w:jc w:val="center"/>
        <w:rPr>
          <w:color w:val="000000"/>
          <w:sz w:val="18"/>
          <w:szCs w:val="18"/>
        </w:rPr>
      </w:pPr>
      <w:r w:rsidRPr="00DE41C4">
        <w:rPr>
          <w:color w:val="000000"/>
          <w:sz w:val="18"/>
          <w:szCs w:val="18"/>
        </w:rPr>
        <w:t>Boniface Haule</w:t>
      </w:r>
    </w:p>
    <w:p w14:paraId="3C3B4F47" w14:textId="77777777" w:rsidR="00F64AEF" w:rsidRPr="00DE41C4" w:rsidRDefault="00F64AEF" w:rsidP="00F64AEF">
      <w:pPr>
        <w:ind w:left="108"/>
        <w:contextualSpacing w:val="0"/>
        <w:jc w:val="center"/>
        <w:rPr>
          <w:color w:val="000000"/>
          <w:sz w:val="18"/>
          <w:szCs w:val="18"/>
        </w:rPr>
      </w:pPr>
      <w:r w:rsidRPr="00DE41C4">
        <w:rPr>
          <w:color w:val="000000"/>
          <w:sz w:val="18"/>
          <w:szCs w:val="18"/>
        </w:rPr>
        <w:t>Emmanuel David Mlilo</w:t>
      </w:r>
    </w:p>
    <w:p w14:paraId="4A5D192E" w14:textId="77777777" w:rsidR="00F64AEF" w:rsidRPr="00DE41C4" w:rsidRDefault="00F64AEF" w:rsidP="00F64AEF">
      <w:pPr>
        <w:ind w:left="108"/>
        <w:contextualSpacing w:val="0"/>
        <w:jc w:val="center"/>
        <w:rPr>
          <w:color w:val="000000"/>
          <w:sz w:val="18"/>
          <w:szCs w:val="18"/>
        </w:rPr>
      </w:pPr>
      <w:r w:rsidRPr="00DE41C4">
        <w:rPr>
          <w:color w:val="000000"/>
          <w:sz w:val="18"/>
          <w:szCs w:val="18"/>
        </w:rPr>
        <w:t>Emmanuel Msiru</w:t>
      </w:r>
    </w:p>
    <w:p w14:paraId="709BD100" w14:textId="77777777" w:rsidR="00F64AEF" w:rsidRPr="00DE41C4" w:rsidRDefault="00F64AEF" w:rsidP="00F64AEF">
      <w:pPr>
        <w:ind w:left="108"/>
        <w:contextualSpacing w:val="0"/>
        <w:jc w:val="center"/>
        <w:rPr>
          <w:color w:val="000000"/>
          <w:sz w:val="18"/>
          <w:szCs w:val="18"/>
        </w:rPr>
      </w:pPr>
      <w:r w:rsidRPr="00DE41C4">
        <w:rPr>
          <w:color w:val="000000"/>
          <w:sz w:val="18"/>
          <w:szCs w:val="18"/>
        </w:rPr>
        <w:t>Mwanahamisi Swedi Ally</w:t>
      </w:r>
    </w:p>
    <w:p w14:paraId="24ADDE4B" w14:textId="77777777" w:rsidR="00F64AEF" w:rsidRPr="00DE41C4" w:rsidRDefault="00F64AEF" w:rsidP="00F64AEF">
      <w:pPr>
        <w:ind w:left="108"/>
        <w:contextualSpacing w:val="0"/>
        <w:jc w:val="center"/>
        <w:rPr>
          <w:color w:val="000000"/>
          <w:sz w:val="18"/>
          <w:szCs w:val="18"/>
        </w:rPr>
      </w:pPr>
      <w:r w:rsidRPr="00DE41C4">
        <w:rPr>
          <w:color w:val="000000"/>
          <w:sz w:val="18"/>
          <w:szCs w:val="18"/>
        </w:rPr>
        <w:t>Sinda Sungwa</w:t>
      </w:r>
    </w:p>
    <w:p w14:paraId="3D35AF4C" w14:textId="77777777" w:rsidR="00F64AEF" w:rsidRPr="00DE41C4" w:rsidRDefault="00F64AEF" w:rsidP="00F64AEF">
      <w:pPr>
        <w:contextualSpacing w:val="0"/>
        <w:jc w:val="center"/>
        <w:rPr>
          <w:b/>
          <w:sz w:val="18"/>
          <w:szCs w:val="18"/>
        </w:rPr>
      </w:pPr>
    </w:p>
    <w:p w14:paraId="4F92DE76" w14:textId="77777777" w:rsidR="00F64AEF" w:rsidRPr="00DE41C4" w:rsidRDefault="00F64AEF" w:rsidP="00F64AEF">
      <w:pPr>
        <w:ind w:left="108"/>
        <w:contextualSpacing w:val="0"/>
        <w:jc w:val="center"/>
        <w:rPr>
          <w:b/>
          <w:bCs/>
          <w:color w:val="000000"/>
          <w:sz w:val="18"/>
          <w:szCs w:val="18"/>
        </w:rPr>
      </w:pPr>
      <w:r w:rsidRPr="00DE41C4">
        <w:rPr>
          <w:b/>
          <w:bCs/>
          <w:color w:val="000000"/>
          <w:sz w:val="18"/>
          <w:szCs w:val="18"/>
        </w:rPr>
        <w:t>TABORA</w:t>
      </w:r>
    </w:p>
    <w:p w14:paraId="506D2544" w14:textId="77777777" w:rsidR="00F64AEF" w:rsidRPr="00DE41C4" w:rsidRDefault="00F64AEF" w:rsidP="00F64AEF">
      <w:pPr>
        <w:ind w:left="108"/>
        <w:contextualSpacing w:val="0"/>
        <w:jc w:val="center"/>
        <w:rPr>
          <w:color w:val="000000"/>
          <w:sz w:val="18"/>
          <w:szCs w:val="18"/>
        </w:rPr>
      </w:pPr>
      <w:r w:rsidRPr="00DE41C4">
        <w:rPr>
          <w:color w:val="000000"/>
          <w:sz w:val="18"/>
          <w:szCs w:val="18"/>
        </w:rPr>
        <w:t>Aloyce Misayo</w:t>
      </w:r>
    </w:p>
    <w:p w14:paraId="063B77BA" w14:textId="176F6C61" w:rsidR="00F64AEF" w:rsidRDefault="00F64AEF" w:rsidP="00F64AEF">
      <w:pPr>
        <w:ind w:left="108"/>
        <w:contextualSpacing w:val="0"/>
        <w:jc w:val="center"/>
        <w:rPr>
          <w:color w:val="000000"/>
          <w:sz w:val="18"/>
          <w:szCs w:val="18"/>
        </w:rPr>
      </w:pPr>
      <w:r w:rsidRPr="00DE41C4">
        <w:rPr>
          <w:color w:val="000000"/>
          <w:sz w:val="18"/>
          <w:szCs w:val="18"/>
        </w:rPr>
        <w:t>Angela B. Ngassa</w:t>
      </w:r>
    </w:p>
    <w:p w14:paraId="326CBBC4" w14:textId="77777777" w:rsidR="00F64AEF" w:rsidRPr="00DE41C4" w:rsidRDefault="00F64AEF" w:rsidP="00F64AEF">
      <w:pPr>
        <w:ind w:left="108"/>
        <w:contextualSpacing w:val="0"/>
        <w:jc w:val="center"/>
        <w:rPr>
          <w:color w:val="000000"/>
          <w:sz w:val="18"/>
          <w:szCs w:val="18"/>
        </w:rPr>
      </w:pPr>
      <w:r w:rsidRPr="00DE41C4">
        <w:rPr>
          <w:color w:val="000000"/>
          <w:sz w:val="18"/>
          <w:szCs w:val="18"/>
        </w:rPr>
        <w:t>Francis Bukwimba</w:t>
      </w:r>
    </w:p>
    <w:p w14:paraId="2A104246" w14:textId="77777777" w:rsidR="00107E84" w:rsidRDefault="00107E84" w:rsidP="00F64AEF">
      <w:pPr>
        <w:ind w:left="108"/>
        <w:contextualSpacing w:val="0"/>
        <w:jc w:val="center"/>
        <w:rPr>
          <w:color w:val="000000"/>
          <w:sz w:val="18"/>
          <w:szCs w:val="18"/>
        </w:rPr>
      </w:pPr>
    </w:p>
    <w:p w14:paraId="106C1397" w14:textId="5DC001C1" w:rsidR="00F64AEF" w:rsidRPr="00DE41C4" w:rsidRDefault="00F64AEF" w:rsidP="00F64AEF">
      <w:pPr>
        <w:ind w:left="108"/>
        <w:contextualSpacing w:val="0"/>
        <w:jc w:val="center"/>
        <w:rPr>
          <w:color w:val="000000"/>
          <w:sz w:val="18"/>
          <w:szCs w:val="18"/>
        </w:rPr>
      </w:pPr>
      <w:r w:rsidRPr="00DE41C4">
        <w:rPr>
          <w:color w:val="000000"/>
          <w:sz w:val="18"/>
          <w:szCs w:val="18"/>
        </w:rPr>
        <w:lastRenderedPageBreak/>
        <w:t>Fundi Kassim</w:t>
      </w:r>
      <w:r w:rsidR="003479EF">
        <w:rPr>
          <w:color w:val="000000"/>
          <w:sz w:val="18"/>
          <w:szCs w:val="18"/>
        </w:rPr>
        <w:t xml:space="preserve"> F</w:t>
      </w:r>
      <w:r w:rsidRPr="00DE41C4">
        <w:rPr>
          <w:color w:val="000000"/>
          <w:sz w:val="18"/>
          <w:szCs w:val="18"/>
        </w:rPr>
        <w:t>undi</w:t>
      </w:r>
    </w:p>
    <w:p w14:paraId="1D3842FA" w14:textId="77777777" w:rsidR="00F64AEF" w:rsidRPr="00DE41C4" w:rsidRDefault="00F64AEF" w:rsidP="00F64AEF">
      <w:pPr>
        <w:ind w:left="108"/>
        <w:contextualSpacing w:val="0"/>
        <w:jc w:val="center"/>
        <w:rPr>
          <w:color w:val="000000"/>
          <w:sz w:val="18"/>
          <w:szCs w:val="18"/>
        </w:rPr>
      </w:pPr>
      <w:r w:rsidRPr="00DE41C4">
        <w:rPr>
          <w:color w:val="000000"/>
          <w:sz w:val="18"/>
          <w:szCs w:val="18"/>
        </w:rPr>
        <w:t>Guntrum Chitembo</w:t>
      </w:r>
    </w:p>
    <w:p w14:paraId="126E305D" w14:textId="77777777" w:rsidR="00F64AEF" w:rsidRPr="00DE41C4" w:rsidRDefault="00F64AEF" w:rsidP="00F64AEF">
      <w:pPr>
        <w:ind w:left="108"/>
        <w:contextualSpacing w:val="0"/>
        <w:jc w:val="center"/>
        <w:rPr>
          <w:color w:val="000000"/>
          <w:sz w:val="18"/>
          <w:szCs w:val="18"/>
        </w:rPr>
      </w:pPr>
      <w:r w:rsidRPr="00DE41C4">
        <w:rPr>
          <w:color w:val="000000"/>
          <w:sz w:val="18"/>
          <w:szCs w:val="18"/>
        </w:rPr>
        <w:t>Hassan Y. Msogoti</w:t>
      </w:r>
    </w:p>
    <w:p w14:paraId="28421476" w14:textId="77777777" w:rsidR="00F64AEF" w:rsidRPr="00DE41C4" w:rsidRDefault="00F64AEF" w:rsidP="00F64AEF">
      <w:pPr>
        <w:ind w:left="108"/>
        <w:contextualSpacing w:val="0"/>
        <w:jc w:val="center"/>
        <w:rPr>
          <w:color w:val="000000"/>
          <w:sz w:val="18"/>
          <w:szCs w:val="18"/>
        </w:rPr>
      </w:pPr>
      <w:r w:rsidRPr="00DE41C4">
        <w:rPr>
          <w:color w:val="000000"/>
          <w:sz w:val="18"/>
          <w:szCs w:val="18"/>
        </w:rPr>
        <w:t>Medard Deusdedith</w:t>
      </w:r>
    </w:p>
    <w:p w14:paraId="0A17C0F2" w14:textId="77777777" w:rsidR="00F64AEF" w:rsidRPr="00DE41C4" w:rsidRDefault="00F64AEF" w:rsidP="00F64AEF">
      <w:pPr>
        <w:ind w:left="108"/>
        <w:contextualSpacing w:val="0"/>
        <w:jc w:val="center"/>
        <w:rPr>
          <w:color w:val="000000"/>
          <w:sz w:val="18"/>
          <w:szCs w:val="18"/>
        </w:rPr>
      </w:pPr>
      <w:r w:rsidRPr="00DE41C4">
        <w:rPr>
          <w:color w:val="000000"/>
          <w:sz w:val="18"/>
          <w:szCs w:val="18"/>
        </w:rPr>
        <w:t>Omary Rashid</w:t>
      </w:r>
    </w:p>
    <w:p w14:paraId="4C51C1BB" w14:textId="77777777" w:rsidR="00F64AEF" w:rsidRPr="00DE41C4" w:rsidRDefault="00F64AEF" w:rsidP="00F64AEF">
      <w:pPr>
        <w:ind w:left="108"/>
        <w:contextualSpacing w:val="0"/>
        <w:jc w:val="center"/>
        <w:rPr>
          <w:color w:val="000000"/>
          <w:sz w:val="18"/>
          <w:szCs w:val="18"/>
        </w:rPr>
      </w:pPr>
      <w:r w:rsidRPr="00DE41C4">
        <w:rPr>
          <w:color w:val="000000"/>
          <w:sz w:val="18"/>
          <w:szCs w:val="18"/>
        </w:rPr>
        <w:t>Samwel John</w:t>
      </w:r>
    </w:p>
    <w:p w14:paraId="7781F726" w14:textId="77777777" w:rsidR="00F64AEF" w:rsidRPr="00DE41C4" w:rsidRDefault="00F64AEF" w:rsidP="00F64AEF">
      <w:pPr>
        <w:contextualSpacing w:val="0"/>
        <w:jc w:val="center"/>
        <w:rPr>
          <w:b/>
          <w:sz w:val="18"/>
          <w:szCs w:val="18"/>
        </w:rPr>
      </w:pPr>
    </w:p>
    <w:p w14:paraId="070EA791" w14:textId="77777777" w:rsidR="00F64AEF" w:rsidRPr="00DE41C4" w:rsidRDefault="00F64AEF" w:rsidP="00F64AEF">
      <w:pPr>
        <w:ind w:left="108"/>
        <w:contextualSpacing w:val="0"/>
        <w:jc w:val="center"/>
        <w:rPr>
          <w:b/>
          <w:bCs/>
          <w:color w:val="000000"/>
          <w:sz w:val="18"/>
          <w:szCs w:val="18"/>
        </w:rPr>
      </w:pPr>
      <w:r w:rsidRPr="00DE41C4">
        <w:rPr>
          <w:b/>
          <w:bCs/>
          <w:color w:val="000000"/>
          <w:sz w:val="18"/>
          <w:szCs w:val="18"/>
        </w:rPr>
        <w:t>RUKWA</w:t>
      </w:r>
    </w:p>
    <w:p w14:paraId="583F1687" w14:textId="77777777" w:rsidR="00F64AEF" w:rsidRPr="00DE41C4" w:rsidRDefault="00F64AEF" w:rsidP="00F64AEF">
      <w:pPr>
        <w:ind w:left="108"/>
        <w:contextualSpacing w:val="0"/>
        <w:jc w:val="center"/>
        <w:rPr>
          <w:color w:val="000000"/>
          <w:sz w:val="18"/>
          <w:szCs w:val="18"/>
        </w:rPr>
      </w:pPr>
      <w:r w:rsidRPr="00DE41C4">
        <w:rPr>
          <w:color w:val="000000"/>
          <w:sz w:val="18"/>
          <w:szCs w:val="18"/>
        </w:rPr>
        <w:t>Alexander Mwakiwone</w:t>
      </w:r>
    </w:p>
    <w:p w14:paraId="0750235F" w14:textId="77777777" w:rsidR="00F64AEF" w:rsidRPr="00DE41C4" w:rsidRDefault="00F64AEF" w:rsidP="00F64AEF">
      <w:pPr>
        <w:ind w:left="108"/>
        <w:contextualSpacing w:val="0"/>
        <w:jc w:val="center"/>
        <w:rPr>
          <w:color w:val="000000"/>
          <w:sz w:val="18"/>
          <w:szCs w:val="18"/>
        </w:rPr>
      </w:pPr>
      <w:r w:rsidRPr="00DE41C4">
        <w:rPr>
          <w:color w:val="000000"/>
          <w:sz w:val="18"/>
          <w:szCs w:val="18"/>
        </w:rPr>
        <w:t>Edes Mbelano</w:t>
      </w:r>
    </w:p>
    <w:p w14:paraId="28699D53" w14:textId="77777777" w:rsidR="00F64AEF" w:rsidRPr="00DE41C4" w:rsidRDefault="00F64AEF" w:rsidP="00F64AEF">
      <w:pPr>
        <w:ind w:left="108"/>
        <w:contextualSpacing w:val="0"/>
        <w:jc w:val="center"/>
        <w:rPr>
          <w:color w:val="000000"/>
          <w:sz w:val="18"/>
          <w:szCs w:val="18"/>
        </w:rPr>
      </w:pPr>
      <w:r w:rsidRPr="00DE41C4">
        <w:rPr>
          <w:color w:val="000000"/>
          <w:sz w:val="18"/>
          <w:szCs w:val="18"/>
        </w:rPr>
        <w:t>Ezekia Mwangoka</w:t>
      </w:r>
    </w:p>
    <w:p w14:paraId="76C53A43" w14:textId="77777777" w:rsidR="00F64AEF" w:rsidRPr="00DE41C4" w:rsidRDefault="00F64AEF" w:rsidP="00F64AEF">
      <w:pPr>
        <w:ind w:left="108"/>
        <w:contextualSpacing w:val="0"/>
        <w:jc w:val="center"/>
        <w:rPr>
          <w:color w:val="000000"/>
          <w:sz w:val="18"/>
          <w:szCs w:val="18"/>
        </w:rPr>
      </w:pPr>
      <w:r w:rsidRPr="00DE41C4">
        <w:rPr>
          <w:color w:val="000000"/>
          <w:sz w:val="18"/>
          <w:szCs w:val="18"/>
        </w:rPr>
        <w:t>George Senga</w:t>
      </w:r>
    </w:p>
    <w:p w14:paraId="075916A0" w14:textId="77777777" w:rsidR="00F64AEF" w:rsidRPr="00DE41C4" w:rsidRDefault="00F64AEF" w:rsidP="00F64AEF">
      <w:pPr>
        <w:ind w:left="108"/>
        <w:contextualSpacing w:val="0"/>
        <w:jc w:val="center"/>
        <w:rPr>
          <w:color w:val="000000"/>
          <w:sz w:val="18"/>
          <w:szCs w:val="18"/>
        </w:rPr>
      </w:pPr>
      <w:r w:rsidRPr="00DE41C4">
        <w:rPr>
          <w:color w:val="000000"/>
          <w:sz w:val="18"/>
          <w:szCs w:val="18"/>
        </w:rPr>
        <w:t>Mwasaumu Shomari</w:t>
      </w:r>
    </w:p>
    <w:p w14:paraId="7FC5BC62" w14:textId="77777777" w:rsidR="00F64AEF" w:rsidRPr="00DE41C4" w:rsidRDefault="00F64AEF" w:rsidP="00F64AEF">
      <w:pPr>
        <w:contextualSpacing w:val="0"/>
        <w:jc w:val="center"/>
        <w:rPr>
          <w:b/>
          <w:sz w:val="18"/>
          <w:szCs w:val="18"/>
        </w:rPr>
      </w:pPr>
    </w:p>
    <w:p w14:paraId="5FD8E7A6" w14:textId="77777777" w:rsidR="00F64AEF" w:rsidRPr="00DE41C4" w:rsidRDefault="00F64AEF" w:rsidP="00F64AEF">
      <w:pPr>
        <w:ind w:left="108"/>
        <w:contextualSpacing w:val="0"/>
        <w:jc w:val="center"/>
        <w:rPr>
          <w:b/>
          <w:bCs/>
          <w:color w:val="000000"/>
          <w:sz w:val="18"/>
          <w:szCs w:val="18"/>
        </w:rPr>
      </w:pPr>
      <w:r w:rsidRPr="00DE41C4">
        <w:rPr>
          <w:b/>
          <w:bCs/>
          <w:color w:val="000000"/>
          <w:sz w:val="18"/>
          <w:szCs w:val="18"/>
        </w:rPr>
        <w:t>KIGOMA</w:t>
      </w:r>
    </w:p>
    <w:p w14:paraId="1F3BA273" w14:textId="77777777" w:rsidR="00F64AEF" w:rsidRPr="00DE41C4" w:rsidRDefault="00F64AEF" w:rsidP="00F64AEF">
      <w:pPr>
        <w:ind w:left="108"/>
        <w:contextualSpacing w:val="0"/>
        <w:jc w:val="center"/>
        <w:rPr>
          <w:color w:val="000000"/>
          <w:sz w:val="18"/>
          <w:szCs w:val="18"/>
        </w:rPr>
      </w:pPr>
      <w:r w:rsidRPr="00DE41C4">
        <w:rPr>
          <w:color w:val="000000"/>
          <w:sz w:val="18"/>
          <w:szCs w:val="18"/>
        </w:rPr>
        <w:t>Bidangwa Bukuru</w:t>
      </w:r>
    </w:p>
    <w:p w14:paraId="4DD3D2C5" w14:textId="77777777" w:rsidR="00F64AEF" w:rsidRPr="00DE41C4" w:rsidRDefault="00F64AEF" w:rsidP="00F64AEF">
      <w:pPr>
        <w:ind w:left="108"/>
        <w:contextualSpacing w:val="0"/>
        <w:jc w:val="center"/>
        <w:rPr>
          <w:color w:val="000000"/>
          <w:sz w:val="18"/>
          <w:szCs w:val="18"/>
        </w:rPr>
      </w:pPr>
      <w:r w:rsidRPr="00DE41C4">
        <w:rPr>
          <w:color w:val="000000"/>
          <w:sz w:val="18"/>
          <w:szCs w:val="18"/>
        </w:rPr>
        <w:t>Edson J. Nkula</w:t>
      </w:r>
    </w:p>
    <w:p w14:paraId="5249A3DC" w14:textId="77777777" w:rsidR="00F64AEF" w:rsidRPr="00DE41C4" w:rsidRDefault="00F64AEF" w:rsidP="00F64AEF">
      <w:pPr>
        <w:ind w:left="108"/>
        <w:contextualSpacing w:val="0"/>
        <w:jc w:val="center"/>
        <w:rPr>
          <w:color w:val="000000"/>
          <w:sz w:val="18"/>
          <w:szCs w:val="18"/>
        </w:rPr>
      </w:pPr>
      <w:r w:rsidRPr="00DE41C4">
        <w:rPr>
          <w:color w:val="000000"/>
          <w:sz w:val="18"/>
          <w:szCs w:val="18"/>
        </w:rPr>
        <w:t>Francis Alfred</w:t>
      </w:r>
    </w:p>
    <w:p w14:paraId="6E201605" w14:textId="77777777" w:rsidR="00F64AEF" w:rsidRPr="00DE41C4" w:rsidRDefault="00F64AEF" w:rsidP="00F64AEF">
      <w:pPr>
        <w:ind w:left="108"/>
        <w:contextualSpacing w:val="0"/>
        <w:jc w:val="center"/>
        <w:rPr>
          <w:color w:val="000000"/>
          <w:sz w:val="18"/>
          <w:szCs w:val="18"/>
        </w:rPr>
      </w:pPr>
      <w:r w:rsidRPr="00DE41C4">
        <w:rPr>
          <w:color w:val="000000"/>
          <w:sz w:val="18"/>
          <w:szCs w:val="18"/>
        </w:rPr>
        <w:t>Joseph Kipanta</w:t>
      </w:r>
    </w:p>
    <w:p w14:paraId="5FF9BB9F" w14:textId="77777777" w:rsidR="00F64AEF" w:rsidRPr="00DE41C4" w:rsidRDefault="00F64AEF" w:rsidP="00F64AEF">
      <w:pPr>
        <w:ind w:left="108"/>
        <w:contextualSpacing w:val="0"/>
        <w:jc w:val="center"/>
        <w:rPr>
          <w:color w:val="000000"/>
          <w:sz w:val="18"/>
          <w:szCs w:val="18"/>
        </w:rPr>
      </w:pPr>
      <w:r w:rsidRPr="00DE41C4">
        <w:rPr>
          <w:color w:val="000000"/>
          <w:sz w:val="18"/>
          <w:szCs w:val="18"/>
        </w:rPr>
        <w:t>Lucas Mihambo</w:t>
      </w:r>
    </w:p>
    <w:p w14:paraId="0A9F9BB5" w14:textId="77777777" w:rsidR="00F64AEF" w:rsidRPr="00DE41C4" w:rsidRDefault="00F64AEF" w:rsidP="00F64AEF">
      <w:pPr>
        <w:ind w:left="108"/>
        <w:contextualSpacing w:val="0"/>
        <w:jc w:val="center"/>
        <w:rPr>
          <w:color w:val="000000"/>
          <w:sz w:val="18"/>
          <w:szCs w:val="18"/>
        </w:rPr>
      </w:pPr>
      <w:r w:rsidRPr="00DE41C4">
        <w:rPr>
          <w:color w:val="000000"/>
          <w:sz w:val="18"/>
          <w:szCs w:val="18"/>
        </w:rPr>
        <w:t>Salum Abdul</w:t>
      </w:r>
    </w:p>
    <w:p w14:paraId="2825132C" w14:textId="77777777" w:rsidR="00F64AEF" w:rsidRPr="00DE41C4" w:rsidRDefault="00F64AEF" w:rsidP="00F64AEF">
      <w:pPr>
        <w:contextualSpacing w:val="0"/>
        <w:jc w:val="center"/>
        <w:rPr>
          <w:b/>
          <w:sz w:val="18"/>
          <w:szCs w:val="18"/>
        </w:rPr>
      </w:pPr>
    </w:p>
    <w:p w14:paraId="315D3D1A" w14:textId="77777777" w:rsidR="00F64AEF" w:rsidRPr="00DE41C4" w:rsidRDefault="00F64AEF" w:rsidP="00F64AEF">
      <w:pPr>
        <w:ind w:left="108"/>
        <w:contextualSpacing w:val="0"/>
        <w:jc w:val="center"/>
        <w:rPr>
          <w:b/>
          <w:bCs/>
          <w:color w:val="000000"/>
          <w:sz w:val="18"/>
          <w:szCs w:val="18"/>
        </w:rPr>
      </w:pPr>
      <w:r w:rsidRPr="00DE41C4">
        <w:rPr>
          <w:b/>
          <w:bCs/>
          <w:color w:val="000000"/>
          <w:sz w:val="18"/>
          <w:szCs w:val="18"/>
        </w:rPr>
        <w:t>SHINYANGA</w:t>
      </w:r>
    </w:p>
    <w:p w14:paraId="60FDD82C" w14:textId="77777777" w:rsidR="00F64AEF" w:rsidRPr="00DE41C4" w:rsidRDefault="00F64AEF" w:rsidP="00F64AEF">
      <w:pPr>
        <w:ind w:left="108"/>
        <w:contextualSpacing w:val="0"/>
        <w:jc w:val="center"/>
        <w:rPr>
          <w:color w:val="000000"/>
          <w:sz w:val="18"/>
          <w:szCs w:val="18"/>
        </w:rPr>
      </w:pPr>
      <w:r w:rsidRPr="00DE41C4">
        <w:rPr>
          <w:color w:val="000000"/>
          <w:sz w:val="18"/>
          <w:szCs w:val="18"/>
        </w:rPr>
        <w:t>Evarist N Mlazi</w:t>
      </w:r>
    </w:p>
    <w:p w14:paraId="055B0600" w14:textId="77777777" w:rsidR="00F64AEF" w:rsidRPr="00DE41C4" w:rsidRDefault="00F64AEF" w:rsidP="00F64AEF">
      <w:pPr>
        <w:ind w:left="108"/>
        <w:contextualSpacing w:val="0"/>
        <w:jc w:val="center"/>
        <w:rPr>
          <w:color w:val="000000"/>
          <w:sz w:val="18"/>
          <w:szCs w:val="18"/>
        </w:rPr>
      </w:pPr>
      <w:r w:rsidRPr="00DE41C4">
        <w:rPr>
          <w:color w:val="000000"/>
          <w:sz w:val="18"/>
          <w:szCs w:val="18"/>
        </w:rPr>
        <w:t>Gerald Joseph Mashimbi</w:t>
      </w:r>
    </w:p>
    <w:p w14:paraId="1001E4B3" w14:textId="77777777" w:rsidR="00F64AEF" w:rsidRPr="00DE41C4" w:rsidRDefault="00F64AEF" w:rsidP="00F64AEF">
      <w:pPr>
        <w:ind w:left="108"/>
        <w:contextualSpacing w:val="0"/>
        <w:jc w:val="center"/>
        <w:rPr>
          <w:color w:val="000000"/>
          <w:sz w:val="18"/>
          <w:szCs w:val="18"/>
        </w:rPr>
      </w:pPr>
      <w:r w:rsidRPr="00DE41C4">
        <w:rPr>
          <w:color w:val="000000"/>
          <w:sz w:val="18"/>
          <w:szCs w:val="18"/>
        </w:rPr>
        <w:t>Leonard Samson</w:t>
      </w:r>
    </w:p>
    <w:p w14:paraId="33AF716F" w14:textId="77777777" w:rsidR="00F64AEF" w:rsidRPr="00DE41C4" w:rsidRDefault="00F64AEF" w:rsidP="00F64AEF">
      <w:pPr>
        <w:ind w:left="108"/>
        <w:contextualSpacing w:val="0"/>
        <w:jc w:val="center"/>
        <w:rPr>
          <w:color w:val="000000"/>
          <w:sz w:val="18"/>
          <w:szCs w:val="18"/>
        </w:rPr>
      </w:pPr>
      <w:r w:rsidRPr="00DE41C4">
        <w:rPr>
          <w:color w:val="000000"/>
          <w:sz w:val="18"/>
          <w:szCs w:val="18"/>
        </w:rPr>
        <w:t>Mathias Onesmo Mapulule</w:t>
      </w:r>
    </w:p>
    <w:p w14:paraId="6C9F70F6" w14:textId="77777777" w:rsidR="00F64AEF" w:rsidRPr="00DE41C4" w:rsidRDefault="00F64AEF" w:rsidP="00F64AEF">
      <w:pPr>
        <w:ind w:left="108"/>
        <w:contextualSpacing w:val="0"/>
        <w:jc w:val="center"/>
        <w:rPr>
          <w:color w:val="000000"/>
          <w:sz w:val="18"/>
          <w:szCs w:val="18"/>
        </w:rPr>
      </w:pPr>
      <w:r w:rsidRPr="00DE41C4">
        <w:rPr>
          <w:color w:val="000000"/>
          <w:sz w:val="18"/>
          <w:szCs w:val="18"/>
        </w:rPr>
        <w:t>Mpoki Mwaikambo</w:t>
      </w:r>
    </w:p>
    <w:p w14:paraId="3BBD6BB4" w14:textId="77777777" w:rsidR="00F64AEF" w:rsidRPr="00DE41C4" w:rsidRDefault="00F64AEF" w:rsidP="00F64AEF">
      <w:pPr>
        <w:ind w:left="108"/>
        <w:contextualSpacing w:val="0"/>
        <w:jc w:val="center"/>
        <w:rPr>
          <w:color w:val="000000"/>
          <w:sz w:val="18"/>
          <w:szCs w:val="18"/>
        </w:rPr>
      </w:pPr>
      <w:r w:rsidRPr="00DE41C4">
        <w:rPr>
          <w:color w:val="000000"/>
          <w:sz w:val="18"/>
          <w:szCs w:val="18"/>
        </w:rPr>
        <w:t>Msafiri Katopola</w:t>
      </w:r>
    </w:p>
    <w:p w14:paraId="6CD9A63D" w14:textId="77777777" w:rsidR="00F64AEF" w:rsidRPr="00DE41C4" w:rsidRDefault="00F64AEF" w:rsidP="00F64AEF">
      <w:pPr>
        <w:ind w:left="108"/>
        <w:contextualSpacing w:val="0"/>
        <w:jc w:val="center"/>
        <w:rPr>
          <w:color w:val="000000"/>
          <w:sz w:val="18"/>
          <w:szCs w:val="18"/>
        </w:rPr>
      </w:pPr>
      <w:r w:rsidRPr="00DE41C4">
        <w:rPr>
          <w:color w:val="000000"/>
          <w:sz w:val="18"/>
          <w:szCs w:val="18"/>
        </w:rPr>
        <w:t>Nandatay Olekede</w:t>
      </w:r>
    </w:p>
    <w:p w14:paraId="74CB67CB" w14:textId="5EEC2A8D" w:rsidR="00F64AEF" w:rsidRDefault="00F64AEF" w:rsidP="00F64AEF">
      <w:pPr>
        <w:ind w:left="108"/>
        <w:contextualSpacing w:val="0"/>
        <w:jc w:val="center"/>
        <w:rPr>
          <w:color w:val="000000"/>
          <w:sz w:val="18"/>
          <w:szCs w:val="18"/>
        </w:rPr>
      </w:pPr>
      <w:r w:rsidRPr="00DE41C4">
        <w:rPr>
          <w:color w:val="000000"/>
          <w:sz w:val="18"/>
          <w:szCs w:val="18"/>
        </w:rPr>
        <w:t>Robert Mlanzi</w:t>
      </w:r>
    </w:p>
    <w:p w14:paraId="252948E7" w14:textId="77777777" w:rsidR="003479EF" w:rsidRPr="00DE41C4" w:rsidRDefault="003479EF" w:rsidP="00F64AEF">
      <w:pPr>
        <w:ind w:left="108"/>
        <w:contextualSpacing w:val="0"/>
        <w:jc w:val="center"/>
        <w:rPr>
          <w:color w:val="000000"/>
          <w:sz w:val="18"/>
          <w:szCs w:val="18"/>
        </w:rPr>
      </w:pPr>
    </w:p>
    <w:p w14:paraId="24A06E21" w14:textId="77777777" w:rsidR="00F64AEF" w:rsidRPr="00DE41C4" w:rsidRDefault="00F64AEF" w:rsidP="00F64AEF">
      <w:pPr>
        <w:ind w:left="108"/>
        <w:contextualSpacing w:val="0"/>
        <w:jc w:val="center"/>
        <w:rPr>
          <w:b/>
          <w:bCs/>
          <w:color w:val="000000"/>
          <w:sz w:val="18"/>
          <w:szCs w:val="18"/>
        </w:rPr>
      </w:pPr>
      <w:r w:rsidRPr="00DE41C4">
        <w:rPr>
          <w:b/>
          <w:bCs/>
          <w:color w:val="000000"/>
          <w:sz w:val="18"/>
          <w:szCs w:val="18"/>
        </w:rPr>
        <w:t>KAGERA</w:t>
      </w:r>
    </w:p>
    <w:p w14:paraId="39ADA67B" w14:textId="77777777" w:rsidR="00F64AEF" w:rsidRPr="00DE41C4" w:rsidRDefault="00F64AEF" w:rsidP="00F64AEF">
      <w:pPr>
        <w:ind w:left="108"/>
        <w:contextualSpacing w:val="0"/>
        <w:jc w:val="center"/>
        <w:rPr>
          <w:color w:val="000000"/>
          <w:sz w:val="18"/>
          <w:szCs w:val="18"/>
        </w:rPr>
      </w:pPr>
      <w:r w:rsidRPr="00DE41C4">
        <w:rPr>
          <w:color w:val="000000"/>
          <w:sz w:val="18"/>
          <w:szCs w:val="18"/>
        </w:rPr>
        <w:t>Aneth Alistides</w:t>
      </w:r>
    </w:p>
    <w:p w14:paraId="55D882E4" w14:textId="77777777" w:rsidR="00F64AEF" w:rsidRPr="00DE41C4" w:rsidRDefault="00F64AEF" w:rsidP="00F64AEF">
      <w:pPr>
        <w:ind w:left="108"/>
        <w:contextualSpacing w:val="0"/>
        <w:jc w:val="center"/>
        <w:rPr>
          <w:color w:val="000000"/>
          <w:sz w:val="18"/>
          <w:szCs w:val="18"/>
        </w:rPr>
      </w:pPr>
      <w:r w:rsidRPr="00DE41C4">
        <w:rPr>
          <w:color w:val="000000"/>
          <w:sz w:val="18"/>
          <w:szCs w:val="18"/>
        </w:rPr>
        <w:t>Augustine Robert</w:t>
      </w:r>
    </w:p>
    <w:p w14:paraId="6E22463B" w14:textId="77777777" w:rsidR="00F64AEF" w:rsidRPr="00DE41C4" w:rsidRDefault="00F64AEF" w:rsidP="00F64AEF">
      <w:pPr>
        <w:ind w:left="108"/>
        <w:contextualSpacing w:val="0"/>
        <w:jc w:val="center"/>
        <w:rPr>
          <w:color w:val="000000"/>
          <w:sz w:val="18"/>
          <w:szCs w:val="18"/>
        </w:rPr>
      </w:pPr>
      <w:r w:rsidRPr="00DE41C4">
        <w:rPr>
          <w:color w:val="000000"/>
          <w:sz w:val="18"/>
          <w:szCs w:val="18"/>
        </w:rPr>
        <w:t>Daudi Peter Zimbelya</w:t>
      </w:r>
    </w:p>
    <w:p w14:paraId="33ED4ABB" w14:textId="77777777" w:rsidR="00F64AEF" w:rsidRPr="00DE41C4" w:rsidRDefault="00F64AEF" w:rsidP="00F64AEF">
      <w:pPr>
        <w:ind w:left="108"/>
        <w:contextualSpacing w:val="0"/>
        <w:jc w:val="center"/>
        <w:rPr>
          <w:color w:val="000000"/>
          <w:sz w:val="18"/>
          <w:szCs w:val="18"/>
        </w:rPr>
      </w:pPr>
      <w:r w:rsidRPr="00DE41C4">
        <w:rPr>
          <w:color w:val="000000"/>
          <w:sz w:val="18"/>
          <w:szCs w:val="18"/>
        </w:rPr>
        <w:t>Edner C. Malobo</w:t>
      </w:r>
    </w:p>
    <w:p w14:paraId="3158C72B" w14:textId="77777777" w:rsidR="00F64AEF" w:rsidRPr="00DE41C4" w:rsidRDefault="00F64AEF" w:rsidP="00F64AEF">
      <w:pPr>
        <w:ind w:left="108"/>
        <w:contextualSpacing w:val="0"/>
        <w:jc w:val="center"/>
        <w:rPr>
          <w:color w:val="000000"/>
          <w:sz w:val="18"/>
          <w:szCs w:val="18"/>
        </w:rPr>
      </w:pPr>
      <w:r w:rsidRPr="00DE41C4">
        <w:rPr>
          <w:color w:val="000000"/>
          <w:sz w:val="18"/>
          <w:szCs w:val="18"/>
        </w:rPr>
        <w:t>Godfrey Mbaga</w:t>
      </w:r>
    </w:p>
    <w:p w14:paraId="35DD914A" w14:textId="77777777" w:rsidR="00F64AEF" w:rsidRPr="00DE41C4" w:rsidRDefault="00F64AEF" w:rsidP="00F64AEF">
      <w:pPr>
        <w:ind w:left="108"/>
        <w:contextualSpacing w:val="0"/>
        <w:jc w:val="center"/>
        <w:rPr>
          <w:color w:val="000000"/>
          <w:sz w:val="18"/>
          <w:szCs w:val="18"/>
        </w:rPr>
      </w:pPr>
      <w:r w:rsidRPr="00DE41C4">
        <w:rPr>
          <w:color w:val="000000"/>
          <w:sz w:val="18"/>
          <w:szCs w:val="18"/>
        </w:rPr>
        <w:t>Jacqueline Majula</w:t>
      </w:r>
    </w:p>
    <w:p w14:paraId="101BA777" w14:textId="77777777" w:rsidR="00F64AEF" w:rsidRPr="00DE41C4" w:rsidRDefault="00F64AEF" w:rsidP="00F64AEF">
      <w:pPr>
        <w:ind w:left="108"/>
        <w:contextualSpacing w:val="0"/>
        <w:jc w:val="center"/>
        <w:rPr>
          <w:color w:val="000000"/>
          <w:sz w:val="18"/>
          <w:szCs w:val="18"/>
        </w:rPr>
      </w:pPr>
      <w:r w:rsidRPr="00DE41C4">
        <w:rPr>
          <w:color w:val="000000"/>
          <w:sz w:val="18"/>
          <w:szCs w:val="18"/>
        </w:rPr>
        <w:t>Philemon Lwehabula</w:t>
      </w:r>
    </w:p>
    <w:p w14:paraId="0FF44312" w14:textId="77777777" w:rsidR="00F64AEF" w:rsidRPr="00DE41C4" w:rsidRDefault="00F64AEF" w:rsidP="00F64AEF">
      <w:pPr>
        <w:ind w:left="108"/>
        <w:contextualSpacing w:val="0"/>
        <w:jc w:val="center"/>
        <w:rPr>
          <w:color w:val="000000"/>
          <w:sz w:val="18"/>
          <w:szCs w:val="18"/>
        </w:rPr>
      </w:pPr>
      <w:r w:rsidRPr="00DE41C4">
        <w:rPr>
          <w:color w:val="000000"/>
          <w:sz w:val="18"/>
          <w:szCs w:val="18"/>
        </w:rPr>
        <w:t>Philemon Rwehabula</w:t>
      </w:r>
    </w:p>
    <w:p w14:paraId="28BDBDEA" w14:textId="77777777" w:rsidR="00F64AEF" w:rsidRPr="00DE41C4" w:rsidRDefault="00F64AEF" w:rsidP="00F64AEF">
      <w:pPr>
        <w:contextualSpacing w:val="0"/>
        <w:jc w:val="center"/>
        <w:rPr>
          <w:b/>
          <w:sz w:val="18"/>
          <w:szCs w:val="18"/>
        </w:rPr>
      </w:pPr>
    </w:p>
    <w:p w14:paraId="122B9294" w14:textId="77777777" w:rsidR="00F64AEF" w:rsidRPr="00DE41C4" w:rsidRDefault="00F64AEF" w:rsidP="00F64AEF">
      <w:pPr>
        <w:ind w:left="108"/>
        <w:contextualSpacing w:val="0"/>
        <w:jc w:val="center"/>
        <w:rPr>
          <w:b/>
          <w:bCs/>
          <w:color w:val="000000"/>
          <w:sz w:val="18"/>
          <w:szCs w:val="18"/>
        </w:rPr>
      </w:pPr>
      <w:r w:rsidRPr="00DE41C4">
        <w:rPr>
          <w:b/>
          <w:bCs/>
          <w:color w:val="000000"/>
          <w:sz w:val="18"/>
          <w:szCs w:val="18"/>
        </w:rPr>
        <w:t>MWANZA</w:t>
      </w:r>
    </w:p>
    <w:p w14:paraId="2CA2DFB4" w14:textId="77777777" w:rsidR="00F64AEF" w:rsidRPr="00DE41C4" w:rsidRDefault="00F64AEF" w:rsidP="00F64AEF">
      <w:pPr>
        <w:ind w:left="108"/>
        <w:contextualSpacing w:val="0"/>
        <w:jc w:val="center"/>
        <w:rPr>
          <w:color w:val="000000"/>
          <w:sz w:val="18"/>
          <w:szCs w:val="18"/>
        </w:rPr>
      </w:pPr>
      <w:r w:rsidRPr="00DE41C4">
        <w:rPr>
          <w:color w:val="000000"/>
          <w:sz w:val="18"/>
          <w:szCs w:val="18"/>
        </w:rPr>
        <w:t>Augustino Laurent</w:t>
      </w:r>
    </w:p>
    <w:p w14:paraId="7F6CCF1C" w14:textId="77777777" w:rsidR="00F64AEF" w:rsidRPr="00DE41C4" w:rsidRDefault="00F64AEF" w:rsidP="00F64AEF">
      <w:pPr>
        <w:ind w:left="108"/>
        <w:contextualSpacing w:val="0"/>
        <w:jc w:val="center"/>
        <w:rPr>
          <w:color w:val="000000"/>
          <w:sz w:val="18"/>
          <w:szCs w:val="18"/>
        </w:rPr>
      </w:pPr>
      <w:r w:rsidRPr="00DE41C4">
        <w:rPr>
          <w:color w:val="000000"/>
          <w:sz w:val="18"/>
          <w:szCs w:val="18"/>
        </w:rPr>
        <w:t>Cyrius Lweyendeza</w:t>
      </w:r>
    </w:p>
    <w:p w14:paraId="0C525365" w14:textId="77777777" w:rsidR="00F64AEF" w:rsidRPr="00DE41C4" w:rsidRDefault="00F64AEF" w:rsidP="00F64AEF">
      <w:pPr>
        <w:ind w:left="108"/>
        <w:contextualSpacing w:val="0"/>
        <w:jc w:val="center"/>
        <w:rPr>
          <w:color w:val="000000"/>
          <w:sz w:val="18"/>
          <w:szCs w:val="18"/>
        </w:rPr>
      </w:pPr>
      <w:r w:rsidRPr="00DE41C4">
        <w:rPr>
          <w:color w:val="000000"/>
          <w:sz w:val="18"/>
          <w:szCs w:val="18"/>
        </w:rPr>
        <w:t>Heri H. Ngowo</w:t>
      </w:r>
    </w:p>
    <w:p w14:paraId="4D5604A9" w14:textId="77777777" w:rsidR="00F64AEF" w:rsidRPr="00DE41C4" w:rsidRDefault="00F64AEF" w:rsidP="00F64AEF">
      <w:pPr>
        <w:ind w:left="108"/>
        <w:contextualSpacing w:val="0"/>
        <w:jc w:val="center"/>
        <w:rPr>
          <w:color w:val="000000"/>
          <w:sz w:val="18"/>
          <w:szCs w:val="18"/>
        </w:rPr>
      </w:pPr>
      <w:r w:rsidRPr="00DE41C4">
        <w:rPr>
          <w:color w:val="000000"/>
          <w:sz w:val="18"/>
          <w:szCs w:val="18"/>
        </w:rPr>
        <w:t>Lenard C.K. Nago</w:t>
      </w:r>
    </w:p>
    <w:p w14:paraId="77FD9F5B" w14:textId="77777777" w:rsidR="00F64AEF" w:rsidRPr="00DE41C4" w:rsidRDefault="00F64AEF" w:rsidP="00F64AEF">
      <w:pPr>
        <w:ind w:left="108"/>
        <w:contextualSpacing w:val="0"/>
        <w:jc w:val="center"/>
        <w:rPr>
          <w:color w:val="000000"/>
          <w:sz w:val="18"/>
          <w:szCs w:val="18"/>
        </w:rPr>
      </w:pPr>
      <w:r w:rsidRPr="00DE41C4">
        <w:rPr>
          <w:color w:val="000000"/>
          <w:sz w:val="18"/>
          <w:szCs w:val="18"/>
        </w:rPr>
        <w:t>Malembo M. Musomi</w:t>
      </w:r>
    </w:p>
    <w:p w14:paraId="57D76FB3" w14:textId="77777777" w:rsidR="00F64AEF" w:rsidRPr="00DE41C4" w:rsidRDefault="00F64AEF" w:rsidP="00F64AEF">
      <w:pPr>
        <w:ind w:left="108"/>
        <w:contextualSpacing w:val="0"/>
        <w:jc w:val="center"/>
        <w:rPr>
          <w:color w:val="000000"/>
          <w:sz w:val="18"/>
          <w:szCs w:val="18"/>
        </w:rPr>
      </w:pPr>
      <w:r w:rsidRPr="00DE41C4">
        <w:rPr>
          <w:color w:val="000000"/>
          <w:sz w:val="18"/>
          <w:szCs w:val="18"/>
        </w:rPr>
        <w:t>Maximilian Lucian Rite</w:t>
      </w:r>
    </w:p>
    <w:p w14:paraId="7EE519CA" w14:textId="77777777" w:rsidR="00F64AEF" w:rsidRPr="00DE41C4" w:rsidRDefault="00F64AEF" w:rsidP="00F64AEF">
      <w:pPr>
        <w:ind w:left="108"/>
        <w:contextualSpacing w:val="0"/>
        <w:jc w:val="center"/>
        <w:rPr>
          <w:color w:val="000000"/>
          <w:sz w:val="18"/>
          <w:szCs w:val="18"/>
        </w:rPr>
      </w:pPr>
      <w:r w:rsidRPr="00DE41C4">
        <w:rPr>
          <w:color w:val="000000"/>
          <w:sz w:val="18"/>
          <w:szCs w:val="18"/>
        </w:rPr>
        <w:t>Paschal Selemani</w:t>
      </w:r>
    </w:p>
    <w:p w14:paraId="361B4C93" w14:textId="77777777" w:rsidR="00F64AEF" w:rsidRPr="00DE41C4" w:rsidRDefault="00F64AEF" w:rsidP="00F64AEF">
      <w:pPr>
        <w:ind w:left="108"/>
        <w:contextualSpacing w:val="0"/>
        <w:jc w:val="center"/>
        <w:rPr>
          <w:color w:val="000000"/>
          <w:sz w:val="18"/>
          <w:szCs w:val="18"/>
        </w:rPr>
      </w:pPr>
      <w:r w:rsidRPr="00DE41C4">
        <w:rPr>
          <w:color w:val="000000"/>
          <w:sz w:val="18"/>
          <w:szCs w:val="18"/>
        </w:rPr>
        <w:t>Rahimu Mwele</w:t>
      </w:r>
    </w:p>
    <w:p w14:paraId="4C24CDE7" w14:textId="77777777" w:rsidR="00F64AEF" w:rsidRPr="00DE41C4" w:rsidRDefault="00F64AEF" w:rsidP="00F64AEF">
      <w:pPr>
        <w:contextualSpacing w:val="0"/>
        <w:jc w:val="center"/>
        <w:rPr>
          <w:b/>
          <w:sz w:val="18"/>
          <w:szCs w:val="18"/>
        </w:rPr>
      </w:pPr>
    </w:p>
    <w:p w14:paraId="3AFBE54B" w14:textId="77777777" w:rsidR="00F64AEF" w:rsidRPr="00DE41C4" w:rsidRDefault="00F64AEF" w:rsidP="00F64AEF">
      <w:pPr>
        <w:ind w:left="108"/>
        <w:contextualSpacing w:val="0"/>
        <w:jc w:val="center"/>
        <w:rPr>
          <w:b/>
          <w:bCs/>
          <w:color w:val="000000"/>
          <w:sz w:val="18"/>
          <w:szCs w:val="18"/>
        </w:rPr>
      </w:pPr>
      <w:r w:rsidRPr="00DE41C4">
        <w:rPr>
          <w:b/>
          <w:bCs/>
          <w:color w:val="000000"/>
          <w:sz w:val="18"/>
          <w:szCs w:val="18"/>
        </w:rPr>
        <w:t>MARA</w:t>
      </w:r>
    </w:p>
    <w:p w14:paraId="6C9847EF" w14:textId="77777777" w:rsidR="00F64AEF" w:rsidRPr="00DE41C4" w:rsidRDefault="00F64AEF" w:rsidP="00F64AEF">
      <w:pPr>
        <w:ind w:left="108"/>
        <w:contextualSpacing w:val="0"/>
        <w:jc w:val="center"/>
        <w:rPr>
          <w:color w:val="000000"/>
          <w:sz w:val="18"/>
          <w:szCs w:val="18"/>
        </w:rPr>
      </w:pPr>
      <w:r w:rsidRPr="00DE41C4">
        <w:rPr>
          <w:color w:val="000000"/>
          <w:sz w:val="18"/>
          <w:szCs w:val="18"/>
        </w:rPr>
        <w:t>Benard Marwa</w:t>
      </w:r>
    </w:p>
    <w:p w14:paraId="290C85ED" w14:textId="77777777" w:rsidR="00F64AEF" w:rsidRPr="00DE41C4" w:rsidRDefault="00F64AEF" w:rsidP="00F64AEF">
      <w:pPr>
        <w:ind w:left="108"/>
        <w:contextualSpacing w:val="0"/>
        <w:jc w:val="center"/>
        <w:rPr>
          <w:color w:val="000000"/>
          <w:sz w:val="18"/>
          <w:szCs w:val="18"/>
        </w:rPr>
      </w:pPr>
      <w:r w:rsidRPr="00DE41C4">
        <w:rPr>
          <w:color w:val="000000"/>
          <w:sz w:val="18"/>
          <w:szCs w:val="18"/>
        </w:rPr>
        <w:t>Catherine Emmanuel</w:t>
      </w:r>
    </w:p>
    <w:p w14:paraId="607A905D" w14:textId="77777777" w:rsidR="00F64AEF" w:rsidRPr="00DE41C4" w:rsidRDefault="00F64AEF" w:rsidP="00F64AEF">
      <w:pPr>
        <w:ind w:left="108"/>
        <w:contextualSpacing w:val="0"/>
        <w:jc w:val="center"/>
        <w:rPr>
          <w:color w:val="000000"/>
          <w:sz w:val="18"/>
          <w:szCs w:val="18"/>
        </w:rPr>
      </w:pPr>
      <w:r w:rsidRPr="00DE41C4">
        <w:rPr>
          <w:color w:val="000000"/>
          <w:sz w:val="18"/>
          <w:szCs w:val="18"/>
        </w:rPr>
        <w:t>Deodatus C. Mwendapole</w:t>
      </w:r>
    </w:p>
    <w:p w14:paraId="590133A0" w14:textId="77777777" w:rsidR="00F64AEF" w:rsidRPr="00DE41C4" w:rsidRDefault="00F64AEF" w:rsidP="00F64AEF">
      <w:pPr>
        <w:ind w:left="108"/>
        <w:contextualSpacing w:val="0"/>
        <w:jc w:val="center"/>
        <w:rPr>
          <w:color w:val="000000"/>
          <w:sz w:val="18"/>
          <w:szCs w:val="18"/>
        </w:rPr>
      </w:pPr>
      <w:r w:rsidRPr="00DE41C4">
        <w:rPr>
          <w:color w:val="000000"/>
          <w:sz w:val="18"/>
          <w:szCs w:val="18"/>
        </w:rPr>
        <w:t>Hadija Kerenge</w:t>
      </w:r>
    </w:p>
    <w:p w14:paraId="1E2653EC" w14:textId="77777777" w:rsidR="00F64AEF" w:rsidRPr="00DE41C4" w:rsidRDefault="00F64AEF" w:rsidP="00F64AEF">
      <w:pPr>
        <w:ind w:left="108"/>
        <w:contextualSpacing w:val="0"/>
        <w:jc w:val="center"/>
        <w:rPr>
          <w:color w:val="000000"/>
          <w:sz w:val="18"/>
          <w:szCs w:val="18"/>
        </w:rPr>
      </w:pPr>
      <w:r w:rsidRPr="00DE41C4">
        <w:rPr>
          <w:color w:val="000000"/>
          <w:sz w:val="18"/>
          <w:szCs w:val="18"/>
        </w:rPr>
        <w:t>Ibrahim Abubakar</w:t>
      </w:r>
    </w:p>
    <w:p w14:paraId="3F6E538F" w14:textId="77777777" w:rsidR="00F64AEF" w:rsidRPr="00DE41C4" w:rsidRDefault="00F64AEF" w:rsidP="00F64AEF">
      <w:pPr>
        <w:ind w:left="108"/>
        <w:contextualSpacing w:val="0"/>
        <w:jc w:val="center"/>
        <w:rPr>
          <w:color w:val="000000"/>
          <w:sz w:val="18"/>
          <w:szCs w:val="18"/>
        </w:rPr>
      </w:pPr>
      <w:r w:rsidRPr="00DE41C4">
        <w:rPr>
          <w:color w:val="000000"/>
          <w:sz w:val="18"/>
          <w:szCs w:val="18"/>
        </w:rPr>
        <w:t>Katherine Emmanuel</w:t>
      </w:r>
    </w:p>
    <w:p w14:paraId="06887217" w14:textId="77777777" w:rsidR="00F64AEF" w:rsidRPr="00DE41C4" w:rsidRDefault="00F64AEF" w:rsidP="00F64AEF">
      <w:pPr>
        <w:ind w:left="108"/>
        <w:contextualSpacing w:val="0"/>
        <w:jc w:val="center"/>
        <w:rPr>
          <w:color w:val="000000"/>
          <w:sz w:val="18"/>
          <w:szCs w:val="18"/>
        </w:rPr>
      </w:pPr>
      <w:r w:rsidRPr="00DE41C4">
        <w:rPr>
          <w:color w:val="000000"/>
          <w:sz w:val="18"/>
          <w:szCs w:val="18"/>
        </w:rPr>
        <w:t>Khadija Kerenge</w:t>
      </w:r>
    </w:p>
    <w:p w14:paraId="3B8D875D" w14:textId="77777777" w:rsidR="00F64AEF" w:rsidRPr="00DE41C4" w:rsidRDefault="00F64AEF" w:rsidP="00F64AEF">
      <w:pPr>
        <w:ind w:left="108"/>
        <w:contextualSpacing w:val="0"/>
        <w:jc w:val="center"/>
        <w:rPr>
          <w:color w:val="000000"/>
          <w:sz w:val="18"/>
          <w:szCs w:val="18"/>
        </w:rPr>
      </w:pPr>
      <w:r w:rsidRPr="00DE41C4">
        <w:rPr>
          <w:color w:val="000000"/>
          <w:sz w:val="18"/>
          <w:szCs w:val="18"/>
        </w:rPr>
        <w:t>Likowala R. Msuku</w:t>
      </w:r>
    </w:p>
    <w:p w14:paraId="3F8EDEAA" w14:textId="77777777" w:rsidR="00F64AEF" w:rsidRPr="00DE41C4" w:rsidRDefault="00F64AEF" w:rsidP="00F64AEF">
      <w:pPr>
        <w:ind w:left="108"/>
        <w:contextualSpacing w:val="0"/>
        <w:jc w:val="center"/>
        <w:rPr>
          <w:color w:val="000000"/>
          <w:sz w:val="18"/>
          <w:szCs w:val="18"/>
        </w:rPr>
      </w:pPr>
      <w:r w:rsidRPr="00DE41C4">
        <w:rPr>
          <w:color w:val="000000"/>
          <w:sz w:val="18"/>
          <w:szCs w:val="18"/>
        </w:rPr>
        <w:t>Manturu M. Joseph</w:t>
      </w:r>
    </w:p>
    <w:p w14:paraId="6700FE77" w14:textId="77777777" w:rsidR="00F64AEF" w:rsidRPr="00DE41C4" w:rsidRDefault="00F64AEF" w:rsidP="00F64AEF">
      <w:pPr>
        <w:ind w:left="108"/>
        <w:contextualSpacing w:val="0"/>
        <w:jc w:val="center"/>
        <w:rPr>
          <w:color w:val="000000"/>
          <w:sz w:val="18"/>
          <w:szCs w:val="18"/>
        </w:rPr>
      </w:pPr>
      <w:r w:rsidRPr="00DE41C4">
        <w:rPr>
          <w:color w:val="000000"/>
          <w:sz w:val="18"/>
          <w:szCs w:val="18"/>
        </w:rPr>
        <w:t>Rashid M. Mbega</w:t>
      </w:r>
    </w:p>
    <w:p w14:paraId="2C2F0BD9" w14:textId="77777777" w:rsidR="00F64AEF" w:rsidRPr="00DE41C4" w:rsidRDefault="00F64AEF" w:rsidP="00F64AEF">
      <w:pPr>
        <w:contextualSpacing w:val="0"/>
        <w:jc w:val="center"/>
        <w:rPr>
          <w:b/>
          <w:sz w:val="18"/>
          <w:szCs w:val="18"/>
        </w:rPr>
      </w:pPr>
    </w:p>
    <w:p w14:paraId="23E65DE6" w14:textId="64F96CF3" w:rsidR="00F64AEF" w:rsidRPr="00DE41C4" w:rsidRDefault="00F64AEF" w:rsidP="00F64AEF">
      <w:pPr>
        <w:ind w:left="108"/>
        <w:contextualSpacing w:val="0"/>
        <w:jc w:val="center"/>
        <w:rPr>
          <w:b/>
          <w:bCs/>
          <w:color w:val="000000"/>
          <w:sz w:val="18"/>
          <w:szCs w:val="18"/>
        </w:rPr>
      </w:pPr>
      <w:r w:rsidRPr="00DE41C4">
        <w:rPr>
          <w:b/>
          <w:bCs/>
          <w:color w:val="000000"/>
          <w:sz w:val="18"/>
          <w:szCs w:val="18"/>
        </w:rPr>
        <w:t>MANYARA</w:t>
      </w:r>
    </w:p>
    <w:p w14:paraId="57AD00C4" w14:textId="77777777" w:rsidR="00F64AEF" w:rsidRPr="00DE41C4" w:rsidRDefault="00F64AEF" w:rsidP="00F64AEF">
      <w:pPr>
        <w:ind w:left="108"/>
        <w:contextualSpacing w:val="0"/>
        <w:jc w:val="center"/>
        <w:rPr>
          <w:color w:val="000000"/>
          <w:sz w:val="18"/>
          <w:szCs w:val="18"/>
        </w:rPr>
      </w:pPr>
      <w:r w:rsidRPr="00DE41C4">
        <w:rPr>
          <w:color w:val="000000"/>
          <w:sz w:val="18"/>
          <w:szCs w:val="18"/>
        </w:rPr>
        <w:t>Amina Shabani</w:t>
      </w:r>
    </w:p>
    <w:p w14:paraId="23035298" w14:textId="77777777" w:rsidR="00F64AEF" w:rsidRPr="00DE41C4" w:rsidRDefault="00F64AEF" w:rsidP="00F64AEF">
      <w:pPr>
        <w:ind w:left="108"/>
        <w:contextualSpacing w:val="0"/>
        <w:jc w:val="center"/>
        <w:rPr>
          <w:color w:val="000000"/>
          <w:sz w:val="18"/>
          <w:szCs w:val="18"/>
        </w:rPr>
      </w:pPr>
      <w:r w:rsidRPr="00DE41C4">
        <w:rPr>
          <w:color w:val="000000"/>
          <w:sz w:val="18"/>
          <w:szCs w:val="18"/>
        </w:rPr>
        <w:t>Bahati Joshua</w:t>
      </w:r>
    </w:p>
    <w:p w14:paraId="51846091" w14:textId="77777777" w:rsidR="00F64AEF" w:rsidRPr="00DE41C4" w:rsidRDefault="00F64AEF" w:rsidP="00F64AEF">
      <w:pPr>
        <w:ind w:left="108"/>
        <w:contextualSpacing w:val="0"/>
        <w:jc w:val="center"/>
        <w:rPr>
          <w:color w:val="000000"/>
          <w:sz w:val="18"/>
          <w:szCs w:val="18"/>
        </w:rPr>
      </w:pPr>
      <w:r w:rsidRPr="00DE41C4">
        <w:rPr>
          <w:color w:val="000000"/>
          <w:sz w:val="18"/>
          <w:szCs w:val="18"/>
        </w:rPr>
        <w:t>Festo E. Mwangosi</w:t>
      </w:r>
    </w:p>
    <w:p w14:paraId="5E79823A" w14:textId="77777777" w:rsidR="00F64AEF" w:rsidRPr="00DE41C4" w:rsidRDefault="00F64AEF" w:rsidP="00F64AEF">
      <w:pPr>
        <w:ind w:left="108"/>
        <w:contextualSpacing w:val="0"/>
        <w:jc w:val="center"/>
        <w:rPr>
          <w:color w:val="000000"/>
          <w:sz w:val="18"/>
          <w:szCs w:val="18"/>
        </w:rPr>
      </w:pPr>
      <w:r w:rsidRPr="00DE41C4">
        <w:rPr>
          <w:color w:val="000000"/>
          <w:sz w:val="18"/>
          <w:szCs w:val="18"/>
        </w:rPr>
        <w:t>Peter G. Karani</w:t>
      </w:r>
    </w:p>
    <w:p w14:paraId="7685C5F5" w14:textId="77777777" w:rsidR="00F64AEF" w:rsidRPr="00DE41C4" w:rsidRDefault="00F64AEF" w:rsidP="00F64AEF">
      <w:pPr>
        <w:ind w:left="108"/>
        <w:contextualSpacing w:val="0"/>
        <w:jc w:val="center"/>
        <w:rPr>
          <w:color w:val="000000"/>
          <w:sz w:val="18"/>
          <w:szCs w:val="18"/>
        </w:rPr>
      </w:pPr>
      <w:r w:rsidRPr="00DE41C4">
        <w:rPr>
          <w:color w:val="000000"/>
          <w:sz w:val="18"/>
          <w:szCs w:val="18"/>
        </w:rPr>
        <w:t>Shahibu J. Shabani</w:t>
      </w:r>
    </w:p>
    <w:p w14:paraId="48C40567" w14:textId="0F0A95B0" w:rsidR="00F64AEF" w:rsidRPr="00DE41C4" w:rsidRDefault="00F64AEF" w:rsidP="00F64AEF">
      <w:pPr>
        <w:ind w:left="108"/>
        <w:contextualSpacing w:val="0"/>
        <w:jc w:val="center"/>
        <w:rPr>
          <w:b/>
          <w:bCs/>
          <w:color w:val="000000"/>
          <w:sz w:val="18"/>
          <w:szCs w:val="18"/>
        </w:rPr>
      </w:pPr>
      <w:r w:rsidRPr="00DE41C4">
        <w:rPr>
          <w:b/>
          <w:bCs/>
          <w:color w:val="000000"/>
          <w:sz w:val="18"/>
          <w:szCs w:val="18"/>
        </w:rPr>
        <w:t>NJOMBE</w:t>
      </w:r>
    </w:p>
    <w:p w14:paraId="2310152A" w14:textId="77777777" w:rsidR="00F64AEF" w:rsidRPr="00DE41C4" w:rsidRDefault="00F64AEF" w:rsidP="00F64AEF">
      <w:pPr>
        <w:ind w:left="108"/>
        <w:contextualSpacing w:val="0"/>
        <w:jc w:val="center"/>
        <w:rPr>
          <w:color w:val="000000"/>
          <w:sz w:val="18"/>
          <w:szCs w:val="18"/>
        </w:rPr>
      </w:pPr>
      <w:r w:rsidRPr="00DE41C4">
        <w:rPr>
          <w:color w:val="000000"/>
          <w:sz w:val="18"/>
          <w:szCs w:val="18"/>
        </w:rPr>
        <w:t>Albert Mwinuka</w:t>
      </w:r>
    </w:p>
    <w:p w14:paraId="3B08B071" w14:textId="77777777" w:rsidR="00F64AEF" w:rsidRPr="00DE41C4" w:rsidRDefault="00F64AEF" w:rsidP="00F64AEF">
      <w:pPr>
        <w:ind w:left="108"/>
        <w:contextualSpacing w:val="0"/>
        <w:jc w:val="center"/>
        <w:rPr>
          <w:color w:val="000000"/>
          <w:sz w:val="18"/>
          <w:szCs w:val="18"/>
        </w:rPr>
      </w:pPr>
      <w:r w:rsidRPr="00DE41C4">
        <w:rPr>
          <w:color w:val="000000"/>
          <w:sz w:val="18"/>
          <w:szCs w:val="18"/>
        </w:rPr>
        <w:t>Musa Njogolo</w:t>
      </w:r>
    </w:p>
    <w:p w14:paraId="5765C421" w14:textId="77777777" w:rsidR="00F64AEF" w:rsidRPr="00DE41C4" w:rsidRDefault="00F64AEF" w:rsidP="00F64AEF">
      <w:pPr>
        <w:ind w:left="108"/>
        <w:contextualSpacing w:val="0"/>
        <w:jc w:val="center"/>
        <w:rPr>
          <w:color w:val="000000"/>
          <w:sz w:val="18"/>
          <w:szCs w:val="18"/>
        </w:rPr>
      </w:pPr>
      <w:r w:rsidRPr="00DE41C4">
        <w:rPr>
          <w:color w:val="000000"/>
          <w:sz w:val="18"/>
          <w:szCs w:val="18"/>
        </w:rPr>
        <w:t>Neema Mlawa</w:t>
      </w:r>
    </w:p>
    <w:p w14:paraId="76220119" w14:textId="77777777" w:rsidR="00F64AEF" w:rsidRPr="00DE41C4" w:rsidRDefault="00F64AEF" w:rsidP="00F64AEF">
      <w:pPr>
        <w:ind w:left="108"/>
        <w:contextualSpacing w:val="0"/>
        <w:jc w:val="center"/>
        <w:rPr>
          <w:color w:val="000000"/>
          <w:sz w:val="18"/>
          <w:szCs w:val="18"/>
        </w:rPr>
      </w:pPr>
      <w:r w:rsidRPr="00DE41C4">
        <w:rPr>
          <w:color w:val="000000"/>
          <w:sz w:val="18"/>
          <w:szCs w:val="18"/>
        </w:rPr>
        <w:t>Nicko Z. Kafyulilo</w:t>
      </w:r>
    </w:p>
    <w:p w14:paraId="1191177E" w14:textId="77777777" w:rsidR="00F64AEF" w:rsidRPr="00DE41C4" w:rsidRDefault="00F64AEF" w:rsidP="00F64AEF">
      <w:pPr>
        <w:ind w:left="108"/>
        <w:contextualSpacing w:val="0"/>
        <w:jc w:val="center"/>
        <w:rPr>
          <w:color w:val="000000"/>
          <w:sz w:val="18"/>
          <w:szCs w:val="18"/>
        </w:rPr>
      </w:pPr>
      <w:r w:rsidRPr="00DE41C4">
        <w:rPr>
          <w:color w:val="000000"/>
          <w:sz w:val="18"/>
          <w:szCs w:val="18"/>
        </w:rPr>
        <w:t>Remigius Mtewele</w:t>
      </w:r>
    </w:p>
    <w:p w14:paraId="063EF68C" w14:textId="77777777" w:rsidR="00F64AEF" w:rsidRPr="00DE41C4" w:rsidRDefault="00F64AEF" w:rsidP="00F64AEF">
      <w:pPr>
        <w:contextualSpacing w:val="0"/>
        <w:jc w:val="center"/>
        <w:rPr>
          <w:b/>
          <w:sz w:val="18"/>
          <w:szCs w:val="18"/>
        </w:rPr>
      </w:pPr>
    </w:p>
    <w:p w14:paraId="38850E0F" w14:textId="77777777" w:rsidR="00F64AEF" w:rsidRPr="00DE41C4" w:rsidRDefault="00F64AEF" w:rsidP="00F64AEF">
      <w:pPr>
        <w:ind w:left="108"/>
        <w:contextualSpacing w:val="0"/>
        <w:jc w:val="center"/>
        <w:rPr>
          <w:b/>
          <w:bCs/>
          <w:color w:val="000000"/>
          <w:sz w:val="18"/>
          <w:szCs w:val="18"/>
        </w:rPr>
      </w:pPr>
      <w:r w:rsidRPr="00DE41C4">
        <w:rPr>
          <w:b/>
          <w:bCs/>
          <w:color w:val="000000"/>
          <w:sz w:val="18"/>
          <w:szCs w:val="18"/>
        </w:rPr>
        <w:t>KATAVI</w:t>
      </w:r>
    </w:p>
    <w:p w14:paraId="63792DF0" w14:textId="77777777" w:rsidR="00F64AEF" w:rsidRPr="00DE41C4" w:rsidRDefault="00F64AEF" w:rsidP="00F64AEF">
      <w:pPr>
        <w:ind w:left="108"/>
        <w:contextualSpacing w:val="0"/>
        <w:jc w:val="center"/>
        <w:rPr>
          <w:color w:val="000000"/>
          <w:sz w:val="18"/>
          <w:szCs w:val="18"/>
        </w:rPr>
      </w:pPr>
      <w:r w:rsidRPr="00DE41C4">
        <w:rPr>
          <w:color w:val="000000"/>
          <w:sz w:val="18"/>
          <w:szCs w:val="18"/>
        </w:rPr>
        <w:t>George G. Ndangara</w:t>
      </w:r>
    </w:p>
    <w:p w14:paraId="3AE43DE2" w14:textId="77777777" w:rsidR="00F64AEF" w:rsidRPr="00DE41C4" w:rsidRDefault="00F64AEF" w:rsidP="00F64AEF">
      <w:pPr>
        <w:ind w:left="108"/>
        <w:contextualSpacing w:val="0"/>
        <w:jc w:val="center"/>
        <w:rPr>
          <w:color w:val="000000"/>
          <w:sz w:val="18"/>
          <w:szCs w:val="18"/>
        </w:rPr>
      </w:pPr>
      <w:r w:rsidRPr="00DE41C4">
        <w:rPr>
          <w:color w:val="000000"/>
          <w:sz w:val="18"/>
          <w:szCs w:val="18"/>
        </w:rPr>
        <w:t>Gladness A. Salumu</w:t>
      </w:r>
    </w:p>
    <w:p w14:paraId="6126DDF1" w14:textId="77777777" w:rsidR="00F64AEF" w:rsidRPr="00DE41C4" w:rsidRDefault="00F64AEF" w:rsidP="00F64AEF">
      <w:pPr>
        <w:ind w:left="108"/>
        <w:contextualSpacing w:val="0"/>
        <w:jc w:val="center"/>
        <w:rPr>
          <w:color w:val="000000"/>
          <w:sz w:val="18"/>
          <w:szCs w:val="18"/>
        </w:rPr>
      </w:pPr>
      <w:r w:rsidRPr="00DE41C4">
        <w:rPr>
          <w:color w:val="000000"/>
          <w:sz w:val="18"/>
          <w:szCs w:val="18"/>
        </w:rPr>
        <w:t>Juma K. Machimu</w:t>
      </w:r>
    </w:p>
    <w:p w14:paraId="2B1D5466" w14:textId="77777777" w:rsidR="00F64AEF" w:rsidRPr="00DE41C4" w:rsidRDefault="00F64AEF" w:rsidP="00F64AEF">
      <w:pPr>
        <w:ind w:left="108"/>
        <w:contextualSpacing w:val="0"/>
        <w:jc w:val="center"/>
        <w:rPr>
          <w:color w:val="000000"/>
          <w:sz w:val="18"/>
          <w:szCs w:val="18"/>
        </w:rPr>
      </w:pPr>
      <w:r w:rsidRPr="00DE41C4">
        <w:rPr>
          <w:color w:val="000000"/>
          <w:sz w:val="18"/>
          <w:szCs w:val="18"/>
        </w:rPr>
        <w:t>Ramadhani N. Rashidi</w:t>
      </w:r>
    </w:p>
    <w:p w14:paraId="1F3B8B79" w14:textId="77777777" w:rsidR="00F64AEF" w:rsidRPr="00DE41C4" w:rsidRDefault="00F64AEF" w:rsidP="00F64AEF">
      <w:pPr>
        <w:ind w:left="108"/>
        <w:contextualSpacing w:val="0"/>
        <w:jc w:val="center"/>
        <w:rPr>
          <w:color w:val="000000"/>
          <w:sz w:val="18"/>
          <w:szCs w:val="18"/>
        </w:rPr>
      </w:pPr>
      <w:r w:rsidRPr="00DE41C4">
        <w:rPr>
          <w:color w:val="000000"/>
          <w:sz w:val="18"/>
          <w:szCs w:val="18"/>
        </w:rPr>
        <w:t>Stellah B. Chenchele</w:t>
      </w:r>
    </w:p>
    <w:p w14:paraId="4A626032" w14:textId="77777777" w:rsidR="00F64AEF" w:rsidRPr="00DE41C4" w:rsidRDefault="00F64AEF" w:rsidP="00F64AEF">
      <w:pPr>
        <w:contextualSpacing w:val="0"/>
        <w:jc w:val="center"/>
        <w:rPr>
          <w:b/>
          <w:bCs/>
          <w:color w:val="000000"/>
          <w:sz w:val="18"/>
          <w:szCs w:val="18"/>
        </w:rPr>
      </w:pPr>
    </w:p>
    <w:p w14:paraId="3B1143B1" w14:textId="77777777" w:rsidR="00F64AEF" w:rsidRPr="00DE41C4" w:rsidRDefault="00F64AEF" w:rsidP="00F64AEF">
      <w:pPr>
        <w:ind w:left="108"/>
        <w:contextualSpacing w:val="0"/>
        <w:jc w:val="center"/>
        <w:rPr>
          <w:b/>
          <w:bCs/>
          <w:color w:val="000000"/>
          <w:sz w:val="18"/>
          <w:szCs w:val="18"/>
        </w:rPr>
      </w:pPr>
      <w:r w:rsidRPr="00DE41C4">
        <w:rPr>
          <w:b/>
          <w:bCs/>
          <w:color w:val="000000"/>
          <w:sz w:val="18"/>
          <w:szCs w:val="18"/>
        </w:rPr>
        <w:t>SIMIYU</w:t>
      </w:r>
    </w:p>
    <w:p w14:paraId="205EBBDD" w14:textId="77777777" w:rsidR="00F64AEF" w:rsidRPr="00DE41C4" w:rsidRDefault="00F64AEF" w:rsidP="00F64AEF">
      <w:pPr>
        <w:ind w:left="108"/>
        <w:contextualSpacing w:val="0"/>
        <w:jc w:val="center"/>
        <w:rPr>
          <w:color w:val="000000"/>
          <w:sz w:val="18"/>
          <w:szCs w:val="18"/>
        </w:rPr>
      </w:pPr>
      <w:r w:rsidRPr="00DE41C4">
        <w:rPr>
          <w:color w:val="000000"/>
          <w:sz w:val="18"/>
          <w:szCs w:val="18"/>
        </w:rPr>
        <w:t>Allan Nestory William</w:t>
      </w:r>
    </w:p>
    <w:p w14:paraId="6D59C99A" w14:textId="77777777" w:rsidR="00F64AEF" w:rsidRPr="00DE41C4" w:rsidRDefault="00F64AEF" w:rsidP="00F64AEF">
      <w:pPr>
        <w:ind w:left="108"/>
        <w:contextualSpacing w:val="0"/>
        <w:jc w:val="center"/>
        <w:rPr>
          <w:color w:val="000000"/>
          <w:sz w:val="18"/>
          <w:szCs w:val="18"/>
        </w:rPr>
      </w:pPr>
      <w:r w:rsidRPr="00DE41C4">
        <w:rPr>
          <w:color w:val="000000"/>
          <w:sz w:val="18"/>
          <w:szCs w:val="18"/>
        </w:rPr>
        <w:t>Golingo Nila</w:t>
      </w:r>
    </w:p>
    <w:p w14:paraId="2897FB41" w14:textId="77777777" w:rsidR="00F64AEF" w:rsidRPr="00DE41C4" w:rsidRDefault="00F64AEF" w:rsidP="00F64AEF">
      <w:pPr>
        <w:ind w:left="108"/>
        <w:contextualSpacing w:val="0"/>
        <w:jc w:val="center"/>
        <w:rPr>
          <w:color w:val="000000"/>
          <w:sz w:val="18"/>
          <w:szCs w:val="18"/>
        </w:rPr>
      </w:pPr>
      <w:r w:rsidRPr="00DE41C4">
        <w:rPr>
          <w:color w:val="000000"/>
          <w:sz w:val="18"/>
          <w:szCs w:val="18"/>
        </w:rPr>
        <w:t>Helena Daudi</w:t>
      </w:r>
    </w:p>
    <w:p w14:paraId="698EAC13" w14:textId="77777777" w:rsidR="00F64AEF" w:rsidRPr="00DE41C4" w:rsidRDefault="00F64AEF" w:rsidP="00F64AEF">
      <w:pPr>
        <w:ind w:left="108"/>
        <w:contextualSpacing w:val="0"/>
        <w:jc w:val="center"/>
        <w:rPr>
          <w:color w:val="000000"/>
          <w:sz w:val="18"/>
          <w:szCs w:val="18"/>
        </w:rPr>
      </w:pPr>
      <w:r w:rsidRPr="00DE41C4">
        <w:rPr>
          <w:color w:val="000000"/>
          <w:sz w:val="18"/>
          <w:szCs w:val="18"/>
        </w:rPr>
        <w:t>Mbonje Shija</w:t>
      </w:r>
    </w:p>
    <w:p w14:paraId="216C4F56" w14:textId="77777777" w:rsidR="00F64AEF" w:rsidRPr="00DE41C4" w:rsidRDefault="00F64AEF" w:rsidP="00F64AEF">
      <w:pPr>
        <w:ind w:left="108"/>
        <w:contextualSpacing w:val="0"/>
        <w:jc w:val="center"/>
        <w:rPr>
          <w:color w:val="000000"/>
          <w:sz w:val="18"/>
          <w:szCs w:val="18"/>
        </w:rPr>
      </w:pPr>
      <w:r w:rsidRPr="00DE41C4">
        <w:rPr>
          <w:color w:val="000000"/>
          <w:sz w:val="18"/>
          <w:szCs w:val="18"/>
        </w:rPr>
        <w:t>Paulo Salasala</w:t>
      </w:r>
    </w:p>
    <w:p w14:paraId="69AF747D" w14:textId="7677C31C" w:rsidR="00F64AEF" w:rsidRDefault="00F64AEF" w:rsidP="007D63C2">
      <w:pPr>
        <w:ind w:left="108"/>
        <w:contextualSpacing w:val="0"/>
        <w:jc w:val="center"/>
        <w:rPr>
          <w:color w:val="000000"/>
          <w:sz w:val="18"/>
          <w:szCs w:val="18"/>
        </w:rPr>
      </w:pPr>
      <w:r w:rsidRPr="00DE41C4">
        <w:rPr>
          <w:color w:val="000000"/>
          <w:sz w:val="18"/>
          <w:szCs w:val="18"/>
        </w:rPr>
        <w:t>Ramadhani Herman</w:t>
      </w:r>
    </w:p>
    <w:p w14:paraId="6B850B2C" w14:textId="77777777" w:rsidR="00FE6EB4" w:rsidRDefault="00FE6EB4" w:rsidP="007D63C2">
      <w:pPr>
        <w:ind w:left="108"/>
        <w:contextualSpacing w:val="0"/>
        <w:jc w:val="center"/>
        <w:rPr>
          <w:color w:val="000000"/>
          <w:sz w:val="18"/>
          <w:szCs w:val="18"/>
        </w:rPr>
      </w:pPr>
    </w:p>
    <w:p w14:paraId="0B14DD85" w14:textId="723CFFAC" w:rsidR="00F64AEF" w:rsidRPr="00DE41C4" w:rsidRDefault="00F64AEF" w:rsidP="00F64AEF">
      <w:pPr>
        <w:ind w:left="108"/>
        <w:contextualSpacing w:val="0"/>
        <w:jc w:val="center"/>
        <w:rPr>
          <w:b/>
          <w:bCs/>
          <w:color w:val="000000"/>
          <w:sz w:val="18"/>
          <w:szCs w:val="18"/>
        </w:rPr>
      </w:pPr>
      <w:r w:rsidRPr="00DE41C4">
        <w:rPr>
          <w:b/>
          <w:bCs/>
          <w:color w:val="000000"/>
          <w:sz w:val="18"/>
          <w:szCs w:val="18"/>
        </w:rPr>
        <w:t>GEITA</w:t>
      </w:r>
    </w:p>
    <w:p w14:paraId="3A82DF54" w14:textId="77777777" w:rsidR="00F64AEF" w:rsidRPr="00DE41C4" w:rsidRDefault="00F64AEF" w:rsidP="00F64AEF">
      <w:pPr>
        <w:ind w:left="108"/>
        <w:contextualSpacing w:val="0"/>
        <w:jc w:val="center"/>
        <w:rPr>
          <w:color w:val="000000"/>
          <w:sz w:val="18"/>
          <w:szCs w:val="18"/>
        </w:rPr>
      </w:pPr>
      <w:r w:rsidRPr="00DE41C4">
        <w:rPr>
          <w:color w:val="000000"/>
          <w:sz w:val="18"/>
          <w:szCs w:val="18"/>
        </w:rPr>
        <w:t>Elizeus Novert</w:t>
      </w:r>
    </w:p>
    <w:p w14:paraId="49BE7334" w14:textId="77777777" w:rsidR="00F64AEF" w:rsidRPr="00DE41C4" w:rsidRDefault="00F64AEF" w:rsidP="00F64AEF">
      <w:pPr>
        <w:ind w:left="108"/>
        <w:contextualSpacing w:val="0"/>
        <w:jc w:val="center"/>
        <w:rPr>
          <w:color w:val="000000"/>
          <w:sz w:val="18"/>
          <w:szCs w:val="18"/>
        </w:rPr>
      </w:pPr>
      <w:r w:rsidRPr="00DE41C4">
        <w:rPr>
          <w:color w:val="000000"/>
          <w:sz w:val="18"/>
          <w:szCs w:val="18"/>
        </w:rPr>
        <w:t>Katto Kaluletea</w:t>
      </w:r>
    </w:p>
    <w:p w14:paraId="2A567BFE" w14:textId="77777777" w:rsidR="00F64AEF" w:rsidRPr="00DE41C4" w:rsidRDefault="00F64AEF" w:rsidP="00F64AEF">
      <w:pPr>
        <w:ind w:left="108"/>
        <w:contextualSpacing w:val="0"/>
        <w:jc w:val="center"/>
        <w:rPr>
          <w:color w:val="000000"/>
          <w:sz w:val="18"/>
          <w:szCs w:val="18"/>
        </w:rPr>
      </w:pPr>
      <w:r w:rsidRPr="00DE41C4">
        <w:rPr>
          <w:color w:val="000000"/>
          <w:sz w:val="18"/>
          <w:szCs w:val="18"/>
        </w:rPr>
        <w:t>Laurian Masome</w:t>
      </w:r>
    </w:p>
    <w:p w14:paraId="52DF7A8A" w14:textId="77777777" w:rsidR="00F64AEF" w:rsidRPr="00DE41C4" w:rsidRDefault="00F64AEF" w:rsidP="00F64AEF">
      <w:pPr>
        <w:ind w:left="108"/>
        <w:contextualSpacing w:val="0"/>
        <w:jc w:val="center"/>
        <w:rPr>
          <w:color w:val="000000"/>
          <w:sz w:val="18"/>
          <w:szCs w:val="18"/>
        </w:rPr>
      </w:pPr>
      <w:r w:rsidRPr="00DE41C4">
        <w:rPr>
          <w:color w:val="000000"/>
          <w:sz w:val="18"/>
          <w:szCs w:val="18"/>
        </w:rPr>
        <w:t>Sarah Michael</w:t>
      </w:r>
    </w:p>
    <w:p w14:paraId="3E16E54C" w14:textId="77777777" w:rsidR="007D63C2" w:rsidRPr="00DE41C4" w:rsidRDefault="007D63C2" w:rsidP="00F64AEF">
      <w:pPr>
        <w:ind w:left="108"/>
        <w:contextualSpacing w:val="0"/>
        <w:jc w:val="center"/>
        <w:rPr>
          <w:b/>
          <w:sz w:val="18"/>
          <w:szCs w:val="18"/>
        </w:rPr>
      </w:pPr>
    </w:p>
    <w:p w14:paraId="08D86A42" w14:textId="77777777" w:rsidR="00F64AEF" w:rsidRPr="00DE41C4" w:rsidRDefault="00F64AEF" w:rsidP="00F64AEF">
      <w:pPr>
        <w:ind w:left="108"/>
        <w:contextualSpacing w:val="0"/>
        <w:jc w:val="center"/>
        <w:rPr>
          <w:b/>
          <w:bCs/>
          <w:color w:val="000000"/>
          <w:sz w:val="18"/>
          <w:szCs w:val="18"/>
        </w:rPr>
      </w:pPr>
      <w:r w:rsidRPr="00DE41C4">
        <w:rPr>
          <w:b/>
          <w:bCs/>
          <w:color w:val="000000"/>
          <w:sz w:val="18"/>
          <w:szCs w:val="18"/>
        </w:rPr>
        <w:t>SONGWE</w:t>
      </w:r>
    </w:p>
    <w:p w14:paraId="71710E6F" w14:textId="77777777" w:rsidR="00F64AEF" w:rsidRPr="00DE41C4" w:rsidRDefault="00F64AEF" w:rsidP="00F64AEF">
      <w:pPr>
        <w:ind w:left="108"/>
        <w:contextualSpacing w:val="0"/>
        <w:jc w:val="center"/>
        <w:rPr>
          <w:color w:val="000000"/>
          <w:sz w:val="18"/>
          <w:szCs w:val="18"/>
        </w:rPr>
      </w:pPr>
      <w:r w:rsidRPr="00DE41C4">
        <w:rPr>
          <w:color w:val="000000"/>
          <w:sz w:val="18"/>
          <w:szCs w:val="18"/>
        </w:rPr>
        <w:t>Emily James Mwanitega</w:t>
      </w:r>
    </w:p>
    <w:p w14:paraId="1943BBD3" w14:textId="77777777" w:rsidR="00F64AEF" w:rsidRPr="00DE41C4" w:rsidRDefault="00F64AEF" w:rsidP="00F64AEF">
      <w:pPr>
        <w:ind w:left="108"/>
        <w:contextualSpacing w:val="0"/>
        <w:jc w:val="center"/>
        <w:rPr>
          <w:color w:val="000000"/>
          <w:sz w:val="18"/>
          <w:szCs w:val="18"/>
        </w:rPr>
      </w:pPr>
      <w:r w:rsidRPr="00DE41C4">
        <w:rPr>
          <w:color w:val="000000"/>
          <w:sz w:val="18"/>
          <w:szCs w:val="18"/>
        </w:rPr>
        <w:t>Emmanuel Karoga</w:t>
      </w:r>
    </w:p>
    <w:p w14:paraId="56895F19" w14:textId="77777777" w:rsidR="00F64AEF" w:rsidRPr="00DE41C4" w:rsidRDefault="00F64AEF" w:rsidP="00F64AEF">
      <w:pPr>
        <w:ind w:left="108"/>
        <w:contextualSpacing w:val="0"/>
        <w:jc w:val="center"/>
        <w:rPr>
          <w:color w:val="000000"/>
          <w:sz w:val="18"/>
          <w:szCs w:val="18"/>
        </w:rPr>
      </w:pPr>
      <w:r w:rsidRPr="00DE41C4">
        <w:rPr>
          <w:color w:val="000000"/>
          <w:sz w:val="18"/>
          <w:szCs w:val="18"/>
        </w:rPr>
        <w:t>Keneth B. Mweniungu</w:t>
      </w:r>
    </w:p>
    <w:p w14:paraId="6F122CED" w14:textId="77777777" w:rsidR="00F64AEF" w:rsidRPr="00DE41C4" w:rsidRDefault="00F64AEF" w:rsidP="00F64AEF">
      <w:pPr>
        <w:ind w:left="108"/>
        <w:contextualSpacing w:val="0"/>
        <w:jc w:val="center"/>
        <w:rPr>
          <w:color w:val="000000"/>
          <w:sz w:val="18"/>
          <w:szCs w:val="18"/>
        </w:rPr>
      </w:pPr>
      <w:r w:rsidRPr="00DE41C4">
        <w:rPr>
          <w:color w:val="000000"/>
          <w:sz w:val="18"/>
          <w:szCs w:val="18"/>
        </w:rPr>
        <w:t>Masoud Matata</w:t>
      </w:r>
    </w:p>
    <w:p w14:paraId="2752810D" w14:textId="77777777" w:rsidR="00F64AEF" w:rsidRPr="00DE41C4" w:rsidRDefault="00F64AEF" w:rsidP="00F64AEF">
      <w:pPr>
        <w:ind w:left="108"/>
        <w:contextualSpacing w:val="0"/>
        <w:jc w:val="center"/>
        <w:rPr>
          <w:color w:val="000000"/>
          <w:sz w:val="18"/>
          <w:szCs w:val="18"/>
        </w:rPr>
      </w:pPr>
      <w:r w:rsidRPr="00DE41C4">
        <w:rPr>
          <w:color w:val="000000"/>
          <w:sz w:val="18"/>
          <w:szCs w:val="18"/>
        </w:rPr>
        <w:t>Ramadhani Simba</w:t>
      </w:r>
    </w:p>
    <w:p w14:paraId="06251943" w14:textId="148C6117" w:rsidR="007D63C2" w:rsidRDefault="00F64AEF" w:rsidP="007D63C2">
      <w:pPr>
        <w:ind w:left="108"/>
        <w:contextualSpacing w:val="0"/>
        <w:jc w:val="center"/>
        <w:rPr>
          <w:color w:val="000000"/>
          <w:sz w:val="18"/>
          <w:szCs w:val="18"/>
        </w:rPr>
      </w:pPr>
      <w:r w:rsidRPr="00DE41C4">
        <w:rPr>
          <w:color w:val="000000"/>
          <w:sz w:val="18"/>
          <w:szCs w:val="18"/>
        </w:rPr>
        <w:t>Samwel W. Mwasandube</w:t>
      </w:r>
    </w:p>
    <w:p w14:paraId="555CC79E" w14:textId="77777777" w:rsidR="003479EF" w:rsidRDefault="003479EF" w:rsidP="007D63C2">
      <w:pPr>
        <w:ind w:left="108"/>
        <w:contextualSpacing w:val="0"/>
        <w:jc w:val="center"/>
        <w:rPr>
          <w:color w:val="000000"/>
          <w:sz w:val="18"/>
          <w:szCs w:val="18"/>
        </w:rPr>
        <w:sectPr w:rsidR="003479EF" w:rsidSect="003479EF">
          <w:type w:val="continuous"/>
          <w:pgSz w:w="11900" w:h="16840" w:code="9"/>
          <w:pgMar w:top="1286" w:right="1440" w:bottom="1440" w:left="1440" w:header="709" w:footer="709" w:gutter="0"/>
          <w:cols w:num="3" w:space="708"/>
          <w:docGrid w:linePitch="360"/>
        </w:sectPr>
      </w:pPr>
    </w:p>
    <w:p w14:paraId="2AB74BFF" w14:textId="77777777" w:rsidR="00107E84" w:rsidRPr="00DE41C4" w:rsidRDefault="00107E84" w:rsidP="00107E84">
      <w:pPr>
        <w:ind w:left="108"/>
        <w:contextualSpacing w:val="0"/>
        <w:jc w:val="center"/>
        <w:rPr>
          <w:color w:val="000000"/>
          <w:sz w:val="18"/>
          <w:szCs w:val="18"/>
        </w:rPr>
      </w:pPr>
      <w:r w:rsidRPr="00DE41C4">
        <w:rPr>
          <w:color w:val="000000"/>
          <w:sz w:val="18"/>
          <w:szCs w:val="18"/>
        </w:rPr>
        <w:t>Winfrida Azekiel</w:t>
      </w:r>
    </w:p>
    <w:p w14:paraId="54EB30E7" w14:textId="77777777" w:rsidR="00107E84" w:rsidRPr="00DE41C4" w:rsidRDefault="00107E84" w:rsidP="00107E84">
      <w:pPr>
        <w:ind w:left="108"/>
        <w:contextualSpacing w:val="0"/>
        <w:jc w:val="center"/>
        <w:rPr>
          <w:color w:val="000000"/>
          <w:sz w:val="18"/>
          <w:szCs w:val="18"/>
        </w:rPr>
      </w:pPr>
      <w:r w:rsidRPr="00DE41C4">
        <w:rPr>
          <w:color w:val="000000"/>
          <w:sz w:val="18"/>
          <w:szCs w:val="18"/>
        </w:rPr>
        <w:t>Yunus Hassan Hussein</w:t>
      </w:r>
    </w:p>
    <w:p w14:paraId="68757869" w14:textId="40068658" w:rsidR="007D63C2" w:rsidRDefault="007D63C2" w:rsidP="007D63C2">
      <w:pPr>
        <w:ind w:left="108"/>
        <w:contextualSpacing w:val="0"/>
        <w:jc w:val="center"/>
        <w:rPr>
          <w:color w:val="000000"/>
          <w:sz w:val="18"/>
          <w:szCs w:val="18"/>
        </w:rPr>
      </w:pPr>
    </w:p>
    <w:p w14:paraId="4E1B7955" w14:textId="77777777" w:rsidR="00107E84" w:rsidRDefault="00107E84">
      <w:pPr>
        <w:spacing w:line="240" w:lineRule="auto"/>
        <w:contextualSpacing w:val="0"/>
        <w:jc w:val="left"/>
        <w:rPr>
          <w:b/>
          <w:sz w:val="18"/>
          <w:szCs w:val="18"/>
        </w:rPr>
      </w:pPr>
      <w:r>
        <w:rPr>
          <w:b/>
          <w:sz w:val="18"/>
          <w:szCs w:val="18"/>
        </w:rPr>
        <w:br w:type="page"/>
      </w:r>
    </w:p>
    <w:p w14:paraId="76EABCDF" w14:textId="62DC97DD" w:rsidR="00F64AEF" w:rsidRDefault="00F64AEF" w:rsidP="00F64AEF">
      <w:pPr>
        <w:jc w:val="center"/>
        <w:rPr>
          <w:b/>
          <w:sz w:val="18"/>
          <w:szCs w:val="18"/>
        </w:rPr>
      </w:pPr>
      <w:r w:rsidRPr="00DE41C4">
        <w:rPr>
          <w:b/>
          <w:sz w:val="18"/>
          <w:szCs w:val="18"/>
        </w:rPr>
        <w:lastRenderedPageBreak/>
        <w:t>ENUMERATORS DURING DATA COLLECTION</w:t>
      </w:r>
    </w:p>
    <w:p w14:paraId="43BAD5D2" w14:textId="77777777" w:rsidR="002F3A98" w:rsidRDefault="002F3A98" w:rsidP="00F64AEF">
      <w:pPr>
        <w:jc w:val="center"/>
        <w:rPr>
          <w:b/>
          <w:sz w:val="18"/>
          <w:szCs w:val="18"/>
        </w:rPr>
      </w:pPr>
    </w:p>
    <w:p w14:paraId="1C6FF3C1" w14:textId="77777777" w:rsidR="002F3A98" w:rsidRDefault="002F3A98" w:rsidP="00F64AEF">
      <w:pPr>
        <w:jc w:val="center"/>
        <w:rPr>
          <w:b/>
          <w:sz w:val="18"/>
          <w:szCs w:val="18"/>
        </w:rPr>
        <w:sectPr w:rsidR="002F3A98" w:rsidSect="00677A90">
          <w:type w:val="continuous"/>
          <w:pgSz w:w="11900" w:h="16840" w:code="9"/>
          <w:pgMar w:top="1286" w:right="1440" w:bottom="1440" w:left="1440" w:header="709" w:footer="709" w:gutter="0"/>
          <w:cols w:space="708"/>
          <w:docGrid w:linePitch="360"/>
        </w:sectPr>
      </w:pPr>
    </w:p>
    <w:p w14:paraId="784273E5" w14:textId="0BAA3996" w:rsidR="00F64AEF" w:rsidRPr="00DE41C4" w:rsidRDefault="00F64AEF" w:rsidP="00F64AEF">
      <w:pPr>
        <w:jc w:val="center"/>
        <w:rPr>
          <w:b/>
          <w:sz w:val="18"/>
          <w:szCs w:val="18"/>
        </w:rPr>
      </w:pPr>
      <w:r w:rsidRPr="00DE41C4">
        <w:rPr>
          <w:b/>
          <w:sz w:val="18"/>
          <w:szCs w:val="18"/>
        </w:rPr>
        <w:t xml:space="preserve">DODOMA </w:t>
      </w:r>
    </w:p>
    <w:p w14:paraId="28651759"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Abdulrahim Simba</w:t>
      </w:r>
    </w:p>
    <w:p w14:paraId="493D6E40"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Abubakari Nassoro</w:t>
      </w:r>
    </w:p>
    <w:p w14:paraId="54BB5A93"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Asia Abdallah</w:t>
      </w:r>
    </w:p>
    <w:p w14:paraId="328EA4A0"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Hadija Hamis Naasi</w:t>
      </w:r>
    </w:p>
    <w:p w14:paraId="254E6532"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Joseph Chambalo</w:t>
      </w:r>
    </w:p>
    <w:p w14:paraId="4B8CE530"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Khadija Yunus</w:t>
      </w:r>
    </w:p>
    <w:p w14:paraId="77413ADA"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Kissa L. Mwaikambo</w:t>
      </w:r>
    </w:p>
    <w:p w14:paraId="1C7BA3ED"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Mokwe Kisigilo</w:t>
      </w:r>
    </w:p>
    <w:p w14:paraId="4E4C6FC6"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Noela Yared</w:t>
      </w:r>
    </w:p>
    <w:p w14:paraId="6568CD01"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Omary Hassan</w:t>
      </w:r>
    </w:p>
    <w:p w14:paraId="008D838C" w14:textId="77777777" w:rsidR="00F64AEF" w:rsidRPr="00DE41C4" w:rsidRDefault="00F64AEF" w:rsidP="00F64AEF">
      <w:pPr>
        <w:jc w:val="center"/>
        <w:rPr>
          <w:b/>
          <w:sz w:val="18"/>
          <w:szCs w:val="18"/>
        </w:rPr>
      </w:pPr>
    </w:p>
    <w:p w14:paraId="4FFC3FB7" w14:textId="77777777" w:rsidR="00F64AEF" w:rsidRPr="00DE41C4" w:rsidRDefault="00F64AEF" w:rsidP="00F64AEF">
      <w:pPr>
        <w:jc w:val="center"/>
        <w:rPr>
          <w:b/>
          <w:sz w:val="18"/>
          <w:szCs w:val="18"/>
        </w:rPr>
      </w:pPr>
      <w:r w:rsidRPr="00DE41C4">
        <w:rPr>
          <w:b/>
          <w:sz w:val="18"/>
          <w:szCs w:val="18"/>
        </w:rPr>
        <w:t xml:space="preserve">ARUSHA </w:t>
      </w:r>
    </w:p>
    <w:p w14:paraId="1B252F9E"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Anande Nyiti</w:t>
      </w:r>
    </w:p>
    <w:p w14:paraId="7CA0810F"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Antony Mtei</w:t>
      </w:r>
    </w:p>
    <w:p w14:paraId="34841349"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Auson Wilson</w:t>
      </w:r>
    </w:p>
    <w:p w14:paraId="49E4B4A8"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Ayubu Loakaki</w:t>
      </w:r>
    </w:p>
    <w:p w14:paraId="65F36267"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Denis Athanas</w:t>
      </w:r>
    </w:p>
    <w:p w14:paraId="4512ED4C"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Grace Muta</w:t>
      </w:r>
    </w:p>
    <w:p w14:paraId="02265B53"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Haji Mwamweta</w:t>
      </w:r>
    </w:p>
    <w:p w14:paraId="148A230C"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Hasna Kingu</w:t>
      </w:r>
    </w:p>
    <w:p w14:paraId="126F3711"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John Paul</w:t>
      </w:r>
    </w:p>
    <w:p w14:paraId="4FA03807"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Joshua Mwayombo</w:t>
      </w:r>
    </w:p>
    <w:p w14:paraId="50924EDE"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Kelvin Maghinde</w:t>
      </w:r>
    </w:p>
    <w:p w14:paraId="17E86AD3"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Lawrence Simon Kunambi</w:t>
      </w:r>
    </w:p>
    <w:p w14:paraId="4A56E1C4"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Levina Salim</w:t>
      </w:r>
    </w:p>
    <w:p w14:paraId="021FF020"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Lucas Kiringo</w:t>
      </w:r>
    </w:p>
    <w:p w14:paraId="1E4BBFE3"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Mery Msue</w:t>
      </w:r>
    </w:p>
    <w:p w14:paraId="5B0D2D26"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Saitoti Leyan Koika</w:t>
      </w:r>
    </w:p>
    <w:p w14:paraId="2389F8CD"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Stella Simeon</w:t>
      </w:r>
    </w:p>
    <w:p w14:paraId="7F1A9CD2"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Yohana Mwenda</w:t>
      </w:r>
    </w:p>
    <w:p w14:paraId="3AFF2803" w14:textId="77777777" w:rsidR="00F64AEF" w:rsidRPr="00DE41C4" w:rsidRDefault="00F64AEF" w:rsidP="00F64AEF">
      <w:pPr>
        <w:jc w:val="center"/>
        <w:rPr>
          <w:b/>
          <w:sz w:val="18"/>
          <w:szCs w:val="18"/>
        </w:rPr>
      </w:pPr>
    </w:p>
    <w:p w14:paraId="69AEE184" w14:textId="77777777" w:rsidR="00F64AEF" w:rsidRPr="00DE41C4" w:rsidRDefault="00F64AEF" w:rsidP="00F64AEF">
      <w:pPr>
        <w:jc w:val="center"/>
        <w:rPr>
          <w:b/>
          <w:sz w:val="18"/>
          <w:szCs w:val="18"/>
        </w:rPr>
      </w:pPr>
      <w:r w:rsidRPr="00DE41C4">
        <w:rPr>
          <w:b/>
          <w:sz w:val="18"/>
          <w:szCs w:val="18"/>
        </w:rPr>
        <w:t xml:space="preserve">KILIMANJARO </w:t>
      </w:r>
    </w:p>
    <w:p w14:paraId="750E6A67"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Andrew Peter</w:t>
      </w:r>
    </w:p>
    <w:p w14:paraId="4514EF5F"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Aniceth Mshanga</w:t>
      </w:r>
    </w:p>
    <w:p w14:paraId="4F2FF663"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Anthonio Costantino</w:t>
      </w:r>
    </w:p>
    <w:p w14:paraId="7E0C1CDC"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Eldebrand Ritte</w:t>
      </w:r>
    </w:p>
    <w:p w14:paraId="31BC2F84"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Fabian Massay</w:t>
      </w:r>
    </w:p>
    <w:p w14:paraId="1B779DB7"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Herieth Alfred</w:t>
      </w:r>
    </w:p>
    <w:p w14:paraId="56EA4940"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Kisumbo Mariki</w:t>
      </w:r>
    </w:p>
    <w:p w14:paraId="7508F8EF"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Mariam Msangi</w:t>
      </w:r>
    </w:p>
    <w:p w14:paraId="7442DD1C"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Nicoleta Mbigili</w:t>
      </w:r>
    </w:p>
    <w:p w14:paraId="442977C7"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Ramadhan Simba</w:t>
      </w:r>
    </w:p>
    <w:p w14:paraId="05E4E9D5"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Reginald Chami</w:t>
      </w:r>
    </w:p>
    <w:p w14:paraId="39EB505E"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Roseline Kimario</w:t>
      </w:r>
    </w:p>
    <w:p w14:paraId="137704A3"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Seraphin Cleofas</w:t>
      </w:r>
    </w:p>
    <w:p w14:paraId="57F99690"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Theresia Kimario</w:t>
      </w:r>
    </w:p>
    <w:p w14:paraId="1D11F8BE" w14:textId="77777777" w:rsidR="00F64AEF" w:rsidRPr="00DE41C4" w:rsidRDefault="00F64AEF" w:rsidP="00F64AEF">
      <w:pPr>
        <w:jc w:val="center"/>
        <w:rPr>
          <w:b/>
          <w:sz w:val="18"/>
          <w:szCs w:val="18"/>
        </w:rPr>
      </w:pPr>
    </w:p>
    <w:p w14:paraId="5580501D" w14:textId="77777777" w:rsidR="00F64AEF" w:rsidRPr="00DE41C4" w:rsidRDefault="00F64AEF" w:rsidP="00F64AEF">
      <w:pPr>
        <w:jc w:val="center"/>
        <w:rPr>
          <w:b/>
          <w:sz w:val="18"/>
          <w:szCs w:val="18"/>
        </w:rPr>
      </w:pPr>
      <w:r w:rsidRPr="00DE41C4">
        <w:rPr>
          <w:b/>
          <w:sz w:val="18"/>
          <w:szCs w:val="18"/>
        </w:rPr>
        <w:t xml:space="preserve">TANGA </w:t>
      </w:r>
    </w:p>
    <w:p w14:paraId="368E4021"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Aman Mussa</w:t>
      </w:r>
    </w:p>
    <w:p w14:paraId="0A3EF26E"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Amos Herbeth</w:t>
      </w:r>
    </w:p>
    <w:p w14:paraId="2BE72188"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Blandina Antony</w:t>
      </w:r>
    </w:p>
    <w:p w14:paraId="5CFE2164"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Christophora Adriano</w:t>
      </w:r>
    </w:p>
    <w:p w14:paraId="1C53E201"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David Mdapo</w:t>
      </w:r>
    </w:p>
    <w:p w14:paraId="591210AF"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Edward Lalika</w:t>
      </w:r>
    </w:p>
    <w:p w14:paraId="2516FEFD"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Emmanuel Ndunguru</w:t>
      </w:r>
    </w:p>
    <w:p w14:paraId="7E40FB96"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Frank Mhando</w:t>
      </w:r>
    </w:p>
    <w:p w14:paraId="1E0094DE"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Jenipha Malya</w:t>
      </w:r>
    </w:p>
    <w:p w14:paraId="175BC75E"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John Josephat</w:t>
      </w:r>
    </w:p>
    <w:p w14:paraId="36FC15E6"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Mariam Ernest Lukindo</w:t>
      </w:r>
    </w:p>
    <w:p w14:paraId="7FE0ED98"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May Kiango</w:t>
      </w:r>
    </w:p>
    <w:p w14:paraId="7307E6A3"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Mohamed Mtoo</w:t>
      </w:r>
    </w:p>
    <w:p w14:paraId="1127F653"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Mzee Selemaini</w:t>
      </w:r>
    </w:p>
    <w:p w14:paraId="45219269"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Saleh Mohamed</w:t>
      </w:r>
    </w:p>
    <w:p w14:paraId="33FAB231"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Vivian Hamis Mayunga</w:t>
      </w:r>
    </w:p>
    <w:p w14:paraId="3392D8CB"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Yasin Mang'enya</w:t>
      </w:r>
    </w:p>
    <w:p w14:paraId="2393B92B"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Zainabu Khalfan</w:t>
      </w:r>
    </w:p>
    <w:p w14:paraId="75335CCB" w14:textId="77777777" w:rsidR="00F64AEF" w:rsidRPr="00DE41C4" w:rsidRDefault="00F64AEF" w:rsidP="00F64AEF">
      <w:pPr>
        <w:autoSpaceDE w:val="0"/>
        <w:autoSpaceDN w:val="0"/>
        <w:adjustRightInd w:val="0"/>
        <w:jc w:val="center"/>
        <w:rPr>
          <w:color w:val="000000"/>
          <w:sz w:val="18"/>
          <w:szCs w:val="18"/>
        </w:rPr>
      </w:pPr>
    </w:p>
    <w:p w14:paraId="4E7BBE19" w14:textId="77777777" w:rsidR="00F64AEF" w:rsidRPr="00DE41C4" w:rsidRDefault="00F64AEF" w:rsidP="00F64AEF">
      <w:pPr>
        <w:jc w:val="center"/>
        <w:rPr>
          <w:b/>
          <w:sz w:val="18"/>
          <w:szCs w:val="18"/>
        </w:rPr>
      </w:pPr>
      <w:r w:rsidRPr="00DE41C4">
        <w:rPr>
          <w:b/>
          <w:sz w:val="18"/>
          <w:szCs w:val="18"/>
        </w:rPr>
        <w:t xml:space="preserve">MOROGORO </w:t>
      </w:r>
    </w:p>
    <w:p w14:paraId="7C38A3B7" w14:textId="77777777" w:rsidR="00F64AEF" w:rsidRPr="00DE41C4" w:rsidRDefault="00F64AEF" w:rsidP="00F64AEF">
      <w:pPr>
        <w:jc w:val="center"/>
        <w:rPr>
          <w:sz w:val="18"/>
          <w:szCs w:val="18"/>
        </w:rPr>
      </w:pPr>
      <w:r w:rsidRPr="00DE41C4">
        <w:rPr>
          <w:sz w:val="18"/>
          <w:szCs w:val="18"/>
        </w:rPr>
        <w:t>Ahmad Abdallah</w:t>
      </w:r>
    </w:p>
    <w:p w14:paraId="23ED8D22" w14:textId="77777777" w:rsidR="00F64AEF" w:rsidRPr="00DE41C4" w:rsidRDefault="00F64AEF" w:rsidP="00F64AEF">
      <w:pPr>
        <w:jc w:val="center"/>
        <w:rPr>
          <w:sz w:val="18"/>
          <w:szCs w:val="18"/>
        </w:rPr>
      </w:pPr>
      <w:r w:rsidRPr="00DE41C4">
        <w:rPr>
          <w:sz w:val="18"/>
          <w:szCs w:val="18"/>
        </w:rPr>
        <w:t>Anastazia Paul</w:t>
      </w:r>
    </w:p>
    <w:p w14:paraId="6B4C0952" w14:textId="77777777" w:rsidR="00F64AEF" w:rsidRPr="00DE41C4" w:rsidRDefault="00F64AEF" w:rsidP="00F64AEF">
      <w:pPr>
        <w:jc w:val="center"/>
        <w:rPr>
          <w:sz w:val="18"/>
          <w:szCs w:val="18"/>
        </w:rPr>
      </w:pPr>
      <w:r w:rsidRPr="00DE41C4">
        <w:rPr>
          <w:sz w:val="18"/>
          <w:szCs w:val="18"/>
        </w:rPr>
        <w:t>Anselmo Nsumba</w:t>
      </w:r>
    </w:p>
    <w:p w14:paraId="5F0E82ED" w14:textId="77777777" w:rsidR="00F64AEF" w:rsidRPr="00DE41C4" w:rsidRDefault="00F64AEF" w:rsidP="00F64AEF">
      <w:pPr>
        <w:jc w:val="center"/>
        <w:rPr>
          <w:sz w:val="18"/>
          <w:szCs w:val="18"/>
        </w:rPr>
      </w:pPr>
      <w:r w:rsidRPr="00DE41C4">
        <w:rPr>
          <w:sz w:val="18"/>
          <w:szCs w:val="18"/>
        </w:rPr>
        <w:t>Daina Mwailima</w:t>
      </w:r>
    </w:p>
    <w:p w14:paraId="4AC1ACEB" w14:textId="77777777" w:rsidR="00F64AEF" w:rsidRPr="00DE41C4" w:rsidRDefault="00F64AEF" w:rsidP="00F64AEF">
      <w:pPr>
        <w:jc w:val="center"/>
        <w:rPr>
          <w:sz w:val="18"/>
          <w:szCs w:val="18"/>
        </w:rPr>
      </w:pPr>
      <w:r w:rsidRPr="00DE41C4">
        <w:rPr>
          <w:sz w:val="18"/>
          <w:szCs w:val="18"/>
        </w:rPr>
        <w:t>Edger Hebert Bihanda</w:t>
      </w:r>
    </w:p>
    <w:p w14:paraId="03137FA7" w14:textId="77777777" w:rsidR="00F64AEF" w:rsidRPr="00DE41C4" w:rsidRDefault="00F64AEF" w:rsidP="00F64AEF">
      <w:pPr>
        <w:jc w:val="center"/>
        <w:rPr>
          <w:sz w:val="18"/>
          <w:szCs w:val="18"/>
        </w:rPr>
      </w:pPr>
      <w:r w:rsidRPr="00DE41C4">
        <w:rPr>
          <w:sz w:val="18"/>
          <w:szCs w:val="18"/>
        </w:rPr>
        <w:t>Erasto Mbago</w:t>
      </w:r>
    </w:p>
    <w:p w14:paraId="1E14D9B3" w14:textId="77777777" w:rsidR="00F64AEF" w:rsidRPr="00DE41C4" w:rsidRDefault="00F64AEF" w:rsidP="00F64AEF">
      <w:pPr>
        <w:jc w:val="center"/>
        <w:rPr>
          <w:sz w:val="18"/>
          <w:szCs w:val="18"/>
        </w:rPr>
      </w:pPr>
      <w:r w:rsidRPr="00DE41C4">
        <w:rPr>
          <w:sz w:val="18"/>
          <w:szCs w:val="18"/>
        </w:rPr>
        <w:t>Gama Mwendowasaa</w:t>
      </w:r>
    </w:p>
    <w:p w14:paraId="20F06C11" w14:textId="77777777" w:rsidR="00F64AEF" w:rsidRPr="00DE41C4" w:rsidRDefault="00F64AEF" w:rsidP="00F64AEF">
      <w:pPr>
        <w:jc w:val="center"/>
        <w:rPr>
          <w:sz w:val="18"/>
          <w:szCs w:val="18"/>
        </w:rPr>
      </w:pPr>
      <w:r w:rsidRPr="00DE41C4">
        <w:rPr>
          <w:sz w:val="18"/>
          <w:szCs w:val="18"/>
        </w:rPr>
        <w:t>Grayson Dzombe</w:t>
      </w:r>
    </w:p>
    <w:p w14:paraId="426E8FF5" w14:textId="77777777" w:rsidR="00F64AEF" w:rsidRPr="00DE41C4" w:rsidRDefault="00F64AEF" w:rsidP="00F64AEF">
      <w:pPr>
        <w:jc w:val="center"/>
        <w:rPr>
          <w:sz w:val="18"/>
          <w:szCs w:val="18"/>
        </w:rPr>
      </w:pPr>
      <w:r w:rsidRPr="00DE41C4">
        <w:rPr>
          <w:sz w:val="18"/>
          <w:szCs w:val="18"/>
        </w:rPr>
        <w:t>Happy Shayo</w:t>
      </w:r>
    </w:p>
    <w:p w14:paraId="2695844B" w14:textId="77777777" w:rsidR="00F64AEF" w:rsidRPr="00DE41C4" w:rsidRDefault="00F64AEF" w:rsidP="00F64AEF">
      <w:pPr>
        <w:jc w:val="center"/>
        <w:rPr>
          <w:sz w:val="18"/>
          <w:szCs w:val="18"/>
        </w:rPr>
      </w:pPr>
      <w:r w:rsidRPr="00DE41C4">
        <w:rPr>
          <w:sz w:val="18"/>
          <w:szCs w:val="18"/>
        </w:rPr>
        <w:t>Japhet G. Rumoka</w:t>
      </w:r>
    </w:p>
    <w:p w14:paraId="5101065D" w14:textId="77777777" w:rsidR="00F64AEF" w:rsidRPr="00DE41C4" w:rsidRDefault="00F64AEF" w:rsidP="00F64AEF">
      <w:pPr>
        <w:jc w:val="center"/>
        <w:rPr>
          <w:sz w:val="18"/>
          <w:szCs w:val="18"/>
        </w:rPr>
      </w:pPr>
      <w:r w:rsidRPr="00DE41C4">
        <w:rPr>
          <w:sz w:val="18"/>
          <w:szCs w:val="18"/>
        </w:rPr>
        <w:t>Jasper Kazoka</w:t>
      </w:r>
    </w:p>
    <w:p w14:paraId="2F5E04D0" w14:textId="77777777" w:rsidR="00F64AEF" w:rsidRPr="00DE41C4" w:rsidRDefault="00F64AEF" w:rsidP="00F64AEF">
      <w:pPr>
        <w:jc w:val="center"/>
        <w:rPr>
          <w:sz w:val="18"/>
          <w:szCs w:val="18"/>
        </w:rPr>
      </w:pPr>
      <w:r w:rsidRPr="00DE41C4">
        <w:rPr>
          <w:sz w:val="18"/>
          <w:szCs w:val="18"/>
        </w:rPr>
        <w:t>Joseph Atanas</w:t>
      </w:r>
    </w:p>
    <w:p w14:paraId="44EB7009" w14:textId="77777777" w:rsidR="00F64AEF" w:rsidRPr="00DE41C4" w:rsidRDefault="00F64AEF" w:rsidP="00F64AEF">
      <w:pPr>
        <w:jc w:val="center"/>
        <w:rPr>
          <w:sz w:val="18"/>
          <w:szCs w:val="18"/>
        </w:rPr>
      </w:pPr>
      <w:r w:rsidRPr="00DE41C4">
        <w:rPr>
          <w:sz w:val="18"/>
          <w:szCs w:val="18"/>
        </w:rPr>
        <w:t>Mathew R. Makwinya</w:t>
      </w:r>
    </w:p>
    <w:p w14:paraId="1735E642" w14:textId="77777777" w:rsidR="00F64AEF" w:rsidRPr="00DE41C4" w:rsidRDefault="00F64AEF" w:rsidP="00F64AEF">
      <w:pPr>
        <w:jc w:val="center"/>
        <w:rPr>
          <w:sz w:val="18"/>
          <w:szCs w:val="18"/>
        </w:rPr>
      </w:pPr>
      <w:r w:rsidRPr="00DE41C4">
        <w:rPr>
          <w:sz w:val="18"/>
          <w:szCs w:val="18"/>
        </w:rPr>
        <w:t>Moses C. Luoga</w:t>
      </w:r>
    </w:p>
    <w:p w14:paraId="09CF356A" w14:textId="77777777" w:rsidR="00F64AEF" w:rsidRPr="00DE41C4" w:rsidRDefault="00F64AEF" w:rsidP="00F64AEF">
      <w:pPr>
        <w:jc w:val="center"/>
        <w:rPr>
          <w:sz w:val="18"/>
          <w:szCs w:val="18"/>
        </w:rPr>
      </w:pPr>
      <w:r w:rsidRPr="00DE41C4">
        <w:rPr>
          <w:sz w:val="18"/>
          <w:szCs w:val="18"/>
        </w:rPr>
        <w:t>Oscar Bukuku</w:t>
      </w:r>
    </w:p>
    <w:p w14:paraId="6D40E943" w14:textId="77777777" w:rsidR="00F64AEF" w:rsidRPr="00DE41C4" w:rsidRDefault="00F64AEF" w:rsidP="00F64AEF">
      <w:pPr>
        <w:jc w:val="center"/>
        <w:rPr>
          <w:sz w:val="18"/>
          <w:szCs w:val="18"/>
        </w:rPr>
      </w:pPr>
      <w:r w:rsidRPr="00DE41C4">
        <w:rPr>
          <w:sz w:val="18"/>
          <w:szCs w:val="18"/>
        </w:rPr>
        <w:t>Prosper Banzi</w:t>
      </w:r>
    </w:p>
    <w:p w14:paraId="6E41B3A9" w14:textId="77777777" w:rsidR="00F64AEF" w:rsidRPr="00DE41C4" w:rsidRDefault="00F64AEF" w:rsidP="00F64AEF">
      <w:pPr>
        <w:jc w:val="center"/>
        <w:rPr>
          <w:sz w:val="18"/>
          <w:szCs w:val="18"/>
        </w:rPr>
      </w:pPr>
      <w:r w:rsidRPr="00DE41C4">
        <w:rPr>
          <w:sz w:val="18"/>
          <w:szCs w:val="18"/>
        </w:rPr>
        <w:t>Reagan C. Rogath</w:t>
      </w:r>
    </w:p>
    <w:p w14:paraId="69965234" w14:textId="77777777" w:rsidR="00F64AEF" w:rsidRPr="00DE41C4" w:rsidRDefault="00F64AEF" w:rsidP="00F64AEF">
      <w:pPr>
        <w:jc w:val="center"/>
        <w:rPr>
          <w:sz w:val="18"/>
          <w:szCs w:val="18"/>
        </w:rPr>
      </w:pPr>
      <w:r w:rsidRPr="00DE41C4">
        <w:rPr>
          <w:sz w:val="18"/>
          <w:szCs w:val="18"/>
        </w:rPr>
        <w:t>Sadiki Machota</w:t>
      </w:r>
    </w:p>
    <w:p w14:paraId="46DC7FD0" w14:textId="77777777" w:rsidR="00F64AEF" w:rsidRPr="00DE41C4" w:rsidRDefault="00F64AEF" w:rsidP="00F64AEF">
      <w:pPr>
        <w:jc w:val="center"/>
        <w:rPr>
          <w:sz w:val="18"/>
          <w:szCs w:val="18"/>
        </w:rPr>
      </w:pPr>
      <w:r w:rsidRPr="00DE41C4">
        <w:rPr>
          <w:sz w:val="18"/>
          <w:szCs w:val="18"/>
        </w:rPr>
        <w:t>Salim Kapulilo</w:t>
      </w:r>
    </w:p>
    <w:p w14:paraId="1420301F" w14:textId="77777777" w:rsidR="00F64AEF" w:rsidRPr="00DE41C4" w:rsidRDefault="00F64AEF" w:rsidP="00F64AEF">
      <w:pPr>
        <w:jc w:val="center"/>
        <w:rPr>
          <w:sz w:val="18"/>
          <w:szCs w:val="18"/>
        </w:rPr>
      </w:pPr>
      <w:r w:rsidRPr="00DE41C4">
        <w:rPr>
          <w:sz w:val="18"/>
          <w:szCs w:val="18"/>
        </w:rPr>
        <w:t>Shani Gulisha</w:t>
      </w:r>
    </w:p>
    <w:p w14:paraId="31E2DBC5" w14:textId="77777777" w:rsidR="00F64AEF" w:rsidRPr="00DE41C4" w:rsidRDefault="00F64AEF" w:rsidP="00F64AEF">
      <w:pPr>
        <w:jc w:val="center"/>
        <w:rPr>
          <w:sz w:val="18"/>
          <w:szCs w:val="18"/>
        </w:rPr>
      </w:pPr>
      <w:r w:rsidRPr="00DE41C4">
        <w:rPr>
          <w:sz w:val="18"/>
          <w:szCs w:val="18"/>
        </w:rPr>
        <w:t>Spensa Lishela</w:t>
      </w:r>
    </w:p>
    <w:p w14:paraId="6715EB7B" w14:textId="77777777" w:rsidR="00F64AEF" w:rsidRPr="00DE41C4" w:rsidRDefault="00F64AEF" w:rsidP="00F64AEF">
      <w:pPr>
        <w:jc w:val="center"/>
        <w:rPr>
          <w:sz w:val="18"/>
          <w:szCs w:val="18"/>
        </w:rPr>
      </w:pPr>
      <w:r w:rsidRPr="00DE41C4">
        <w:rPr>
          <w:sz w:val="18"/>
          <w:szCs w:val="18"/>
        </w:rPr>
        <w:t>Zawadi Juma</w:t>
      </w:r>
    </w:p>
    <w:p w14:paraId="4EF7C27F" w14:textId="77777777" w:rsidR="00F64AEF" w:rsidRPr="00DE41C4" w:rsidRDefault="00F64AEF" w:rsidP="00F64AEF">
      <w:pPr>
        <w:jc w:val="center"/>
        <w:rPr>
          <w:b/>
          <w:sz w:val="18"/>
          <w:szCs w:val="18"/>
        </w:rPr>
      </w:pPr>
    </w:p>
    <w:p w14:paraId="11ED62CC" w14:textId="77777777" w:rsidR="00F64AEF" w:rsidRPr="00DE41C4" w:rsidRDefault="00F64AEF" w:rsidP="00F64AEF">
      <w:pPr>
        <w:jc w:val="center"/>
        <w:rPr>
          <w:b/>
          <w:sz w:val="18"/>
          <w:szCs w:val="18"/>
        </w:rPr>
      </w:pPr>
      <w:r w:rsidRPr="00DE41C4">
        <w:rPr>
          <w:b/>
          <w:sz w:val="18"/>
          <w:szCs w:val="18"/>
        </w:rPr>
        <w:t xml:space="preserve">PWANI </w:t>
      </w:r>
    </w:p>
    <w:p w14:paraId="5AF3EBB9"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Abuu Mohamed</w:t>
      </w:r>
    </w:p>
    <w:p w14:paraId="5AA6FA36" w14:textId="405BA1E1" w:rsidR="00F64AEF" w:rsidRPr="00DE41C4" w:rsidRDefault="005D7A9D" w:rsidP="00F64AEF">
      <w:pPr>
        <w:autoSpaceDE w:val="0"/>
        <w:autoSpaceDN w:val="0"/>
        <w:adjustRightInd w:val="0"/>
        <w:jc w:val="center"/>
        <w:rPr>
          <w:color w:val="000000"/>
          <w:sz w:val="18"/>
          <w:szCs w:val="18"/>
        </w:rPr>
      </w:pPr>
      <w:r w:rsidRPr="00DE41C4">
        <w:rPr>
          <w:color w:val="000000"/>
          <w:sz w:val="18"/>
          <w:szCs w:val="18"/>
        </w:rPr>
        <w:t xml:space="preserve">Jesca </w:t>
      </w:r>
      <w:r w:rsidR="00F64AEF" w:rsidRPr="00DE41C4">
        <w:rPr>
          <w:color w:val="000000"/>
          <w:sz w:val="18"/>
          <w:szCs w:val="18"/>
        </w:rPr>
        <w:t xml:space="preserve">Akyoo </w:t>
      </w:r>
    </w:p>
    <w:p w14:paraId="52D9D9EF" w14:textId="7FAEF84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Claudi</w:t>
      </w:r>
      <w:r w:rsidR="00FE6EB4">
        <w:rPr>
          <w:color w:val="000000"/>
          <w:sz w:val="18"/>
          <w:szCs w:val="18"/>
        </w:rPr>
        <w:t>us</w:t>
      </w:r>
      <w:r w:rsidRPr="00DE41C4">
        <w:rPr>
          <w:color w:val="000000"/>
          <w:sz w:val="18"/>
          <w:szCs w:val="18"/>
        </w:rPr>
        <w:t xml:space="preserve"> Kahanatuki</w:t>
      </w:r>
    </w:p>
    <w:p w14:paraId="0A8A8A62"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Doreen Kornely</w:t>
      </w:r>
    </w:p>
    <w:p w14:paraId="7FEB7BEF"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Edith Malenge</w:t>
      </w:r>
    </w:p>
    <w:p w14:paraId="07FE71B8"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Kassim Ramadhani</w:t>
      </w:r>
    </w:p>
    <w:p w14:paraId="475D56EA"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Lameck Kabunhu</w:t>
      </w:r>
    </w:p>
    <w:p w14:paraId="62DC3C40"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Lulu Njari</w:t>
      </w:r>
    </w:p>
    <w:p w14:paraId="36005D02"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Mohamed Nanyanje</w:t>
      </w:r>
    </w:p>
    <w:p w14:paraId="46FCF5EF"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Raphael Chelele</w:t>
      </w:r>
    </w:p>
    <w:p w14:paraId="7173B45A"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Salehe Mnama</w:t>
      </w:r>
    </w:p>
    <w:p w14:paraId="7EDADB6D"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Shem Mwanjota</w:t>
      </w:r>
    </w:p>
    <w:p w14:paraId="2D20D2D2"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Sophia Deus</w:t>
      </w:r>
    </w:p>
    <w:p w14:paraId="5F447D42" w14:textId="77777777" w:rsidR="00F64AEF" w:rsidRPr="00DE41C4" w:rsidRDefault="00F64AEF" w:rsidP="00F64AEF">
      <w:pPr>
        <w:jc w:val="center"/>
        <w:rPr>
          <w:b/>
          <w:sz w:val="18"/>
          <w:szCs w:val="18"/>
        </w:rPr>
      </w:pPr>
    </w:p>
    <w:p w14:paraId="618624F1" w14:textId="77777777" w:rsidR="00F64AEF" w:rsidRPr="00DE41C4" w:rsidRDefault="00F64AEF" w:rsidP="00F64AEF">
      <w:pPr>
        <w:jc w:val="center"/>
        <w:rPr>
          <w:b/>
          <w:sz w:val="18"/>
          <w:szCs w:val="18"/>
        </w:rPr>
      </w:pPr>
      <w:r w:rsidRPr="00DE41C4">
        <w:rPr>
          <w:b/>
          <w:sz w:val="18"/>
          <w:szCs w:val="18"/>
        </w:rPr>
        <w:t>DAR ES SALAAM</w:t>
      </w:r>
    </w:p>
    <w:p w14:paraId="724414D4"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Avestina Kagashani</w:t>
      </w:r>
    </w:p>
    <w:p w14:paraId="38DFFCB5"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Clement Ngalaba</w:t>
      </w:r>
    </w:p>
    <w:p w14:paraId="03EE709E"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Fanuel Mamu</w:t>
      </w:r>
    </w:p>
    <w:p w14:paraId="6D630E19"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Godfrey Mbena</w:t>
      </w:r>
    </w:p>
    <w:p w14:paraId="0C20D7D6" w14:textId="77777777" w:rsidR="00F64AEF" w:rsidRPr="00DE41C4" w:rsidRDefault="00F64AEF" w:rsidP="00F64AEF">
      <w:pPr>
        <w:jc w:val="center"/>
        <w:rPr>
          <w:b/>
          <w:sz w:val="18"/>
          <w:szCs w:val="18"/>
        </w:rPr>
      </w:pPr>
    </w:p>
    <w:p w14:paraId="6304DEDE" w14:textId="77777777" w:rsidR="00F64AEF" w:rsidRPr="00DE41C4" w:rsidRDefault="00F64AEF" w:rsidP="00F64AEF">
      <w:pPr>
        <w:jc w:val="center"/>
        <w:rPr>
          <w:b/>
          <w:sz w:val="18"/>
          <w:szCs w:val="18"/>
        </w:rPr>
      </w:pPr>
      <w:r w:rsidRPr="00DE41C4">
        <w:rPr>
          <w:b/>
          <w:sz w:val="18"/>
          <w:szCs w:val="18"/>
        </w:rPr>
        <w:t>LINDI</w:t>
      </w:r>
    </w:p>
    <w:p w14:paraId="4CE6D858"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Deogratius Komekome</w:t>
      </w:r>
    </w:p>
    <w:p w14:paraId="4F067ECF"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Lusano Ndowela</w:t>
      </w:r>
    </w:p>
    <w:p w14:paraId="473BB90B"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Marcus Makondo</w:t>
      </w:r>
    </w:p>
    <w:p w14:paraId="5936BFC6"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Miraji Namkaa</w:t>
      </w:r>
    </w:p>
    <w:p w14:paraId="2467F489"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Paulina Pius</w:t>
      </w:r>
    </w:p>
    <w:p w14:paraId="431CEAEF"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Salum Mnonjera</w:t>
      </w:r>
    </w:p>
    <w:p w14:paraId="476DB162" w14:textId="77777777" w:rsidR="00F64AEF" w:rsidRPr="00DE41C4" w:rsidRDefault="00F64AEF" w:rsidP="00F64AEF">
      <w:pPr>
        <w:jc w:val="center"/>
        <w:rPr>
          <w:b/>
          <w:sz w:val="18"/>
          <w:szCs w:val="18"/>
        </w:rPr>
      </w:pPr>
    </w:p>
    <w:p w14:paraId="563ADF48" w14:textId="77777777" w:rsidR="00F64AEF" w:rsidRPr="00DE41C4" w:rsidRDefault="00F64AEF" w:rsidP="00F64AEF">
      <w:pPr>
        <w:jc w:val="center"/>
        <w:rPr>
          <w:b/>
          <w:sz w:val="18"/>
          <w:szCs w:val="18"/>
        </w:rPr>
      </w:pPr>
      <w:r w:rsidRPr="00DE41C4">
        <w:rPr>
          <w:b/>
          <w:sz w:val="18"/>
          <w:szCs w:val="18"/>
        </w:rPr>
        <w:t>MTWARA</w:t>
      </w:r>
    </w:p>
    <w:p w14:paraId="2B94AF77"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Asajile Mwakasege</w:t>
      </w:r>
    </w:p>
    <w:p w14:paraId="021C27B3"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Awadhi Mbemba</w:t>
      </w:r>
    </w:p>
    <w:p w14:paraId="0D2BABBD"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Beatrice William</w:t>
      </w:r>
    </w:p>
    <w:p w14:paraId="5F681D7E"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Dadi Hassan Ausi</w:t>
      </w:r>
    </w:p>
    <w:p w14:paraId="38406593"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Emmanuel Mwaisumbe</w:t>
      </w:r>
    </w:p>
    <w:p w14:paraId="198577CB"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Enea Erasto</w:t>
      </w:r>
    </w:p>
    <w:p w14:paraId="305173D9"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Hatibu Ahmad</w:t>
      </w:r>
    </w:p>
    <w:p w14:paraId="3FD62226"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lastRenderedPageBreak/>
        <w:t>Martin Malang'ai</w:t>
      </w:r>
    </w:p>
    <w:p w14:paraId="14E8EF3D"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Mathias Lugola</w:t>
      </w:r>
    </w:p>
    <w:p w14:paraId="472EAC0F"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Pascal Sebastian</w:t>
      </w:r>
    </w:p>
    <w:p w14:paraId="648B9E6D"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Selemani Mnyoka</w:t>
      </w:r>
    </w:p>
    <w:p w14:paraId="5B49B9C7"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Tabitha Boniface</w:t>
      </w:r>
    </w:p>
    <w:p w14:paraId="3668DCA3" w14:textId="77777777" w:rsidR="00F64AEF" w:rsidRPr="00DE41C4" w:rsidRDefault="00F64AEF" w:rsidP="00F64AEF">
      <w:pPr>
        <w:jc w:val="center"/>
        <w:rPr>
          <w:b/>
          <w:sz w:val="18"/>
          <w:szCs w:val="18"/>
        </w:rPr>
      </w:pPr>
    </w:p>
    <w:p w14:paraId="6FE52EC8" w14:textId="77777777" w:rsidR="00F64AEF" w:rsidRPr="00DE41C4" w:rsidRDefault="00F64AEF" w:rsidP="00F64AEF">
      <w:pPr>
        <w:jc w:val="center"/>
        <w:rPr>
          <w:b/>
          <w:sz w:val="18"/>
          <w:szCs w:val="18"/>
        </w:rPr>
      </w:pPr>
      <w:r w:rsidRPr="00DE41C4">
        <w:rPr>
          <w:b/>
          <w:sz w:val="18"/>
          <w:szCs w:val="18"/>
        </w:rPr>
        <w:t>RUVUMA</w:t>
      </w:r>
    </w:p>
    <w:p w14:paraId="46409921"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Abdallah Chuwa</w:t>
      </w:r>
    </w:p>
    <w:p w14:paraId="373F652D"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Anthony Haule</w:t>
      </w:r>
    </w:p>
    <w:p w14:paraId="16192F30"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Athumani Juma</w:t>
      </w:r>
    </w:p>
    <w:p w14:paraId="5F3414FC"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Eveline Malilo David</w:t>
      </w:r>
    </w:p>
    <w:p w14:paraId="6C15EB80"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Fadhili Seif</w:t>
      </w:r>
    </w:p>
    <w:p w14:paraId="1FF8732E"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Huruma Selanyika</w:t>
      </w:r>
    </w:p>
    <w:p w14:paraId="196771EC"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Janeth Olech</w:t>
      </w:r>
    </w:p>
    <w:p w14:paraId="308A25C7"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Lucy Modest Lumoli</w:t>
      </w:r>
    </w:p>
    <w:p w14:paraId="3ED8223A"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Martha Dickson</w:t>
      </w:r>
    </w:p>
    <w:p w14:paraId="04A5EA3C"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Mary Temba</w:t>
      </w:r>
    </w:p>
    <w:p w14:paraId="6C17A722"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Mtende Ally</w:t>
      </w:r>
    </w:p>
    <w:p w14:paraId="6273AB0D"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Mussa Matimbwa</w:t>
      </w:r>
    </w:p>
    <w:p w14:paraId="0A75FA8D"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Upendo Swilla</w:t>
      </w:r>
    </w:p>
    <w:p w14:paraId="6B19AB1E"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Vaileth Mfuse</w:t>
      </w:r>
    </w:p>
    <w:p w14:paraId="52C68B11"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Vaileth Mtumbati</w:t>
      </w:r>
    </w:p>
    <w:p w14:paraId="25D1FE0B" w14:textId="77777777" w:rsidR="00F64AEF" w:rsidRPr="00DE41C4" w:rsidRDefault="00F64AEF" w:rsidP="00F64AEF">
      <w:pPr>
        <w:jc w:val="center"/>
        <w:rPr>
          <w:b/>
          <w:sz w:val="18"/>
          <w:szCs w:val="18"/>
        </w:rPr>
      </w:pPr>
    </w:p>
    <w:p w14:paraId="040BB0EF" w14:textId="77777777" w:rsidR="00F64AEF" w:rsidRPr="00DE41C4" w:rsidRDefault="00F64AEF" w:rsidP="00F64AEF">
      <w:pPr>
        <w:jc w:val="center"/>
        <w:rPr>
          <w:b/>
          <w:sz w:val="18"/>
          <w:szCs w:val="18"/>
        </w:rPr>
      </w:pPr>
      <w:r w:rsidRPr="00DE41C4">
        <w:rPr>
          <w:b/>
          <w:sz w:val="18"/>
          <w:szCs w:val="18"/>
        </w:rPr>
        <w:t>IRINGA</w:t>
      </w:r>
    </w:p>
    <w:p w14:paraId="4F8F787F"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Alli Nzema</w:t>
      </w:r>
    </w:p>
    <w:p w14:paraId="4E0E7867"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Ignas Chusi</w:t>
      </w:r>
    </w:p>
    <w:p w14:paraId="1C2DE036"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Nyabwire Kuboja</w:t>
      </w:r>
    </w:p>
    <w:p w14:paraId="26FF3476"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Sabra Rashid</w:t>
      </w:r>
    </w:p>
    <w:p w14:paraId="278C593A"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Said Ndomba</w:t>
      </w:r>
    </w:p>
    <w:p w14:paraId="4E47CF0D" w14:textId="77777777" w:rsidR="00F64AEF" w:rsidRPr="00DE41C4" w:rsidRDefault="00F64AEF" w:rsidP="00F64AEF">
      <w:pPr>
        <w:jc w:val="center"/>
        <w:rPr>
          <w:b/>
          <w:sz w:val="18"/>
          <w:szCs w:val="18"/>
        </w:rPr>
      </w:pPr>
    </w:p>
    <w:p w14:paraId="33DEFC6A" w14:textId="77777777" w:rsidR="00F64AEF" w:rsidRPr="00DE41C4" w:rsidRDefault="00F64AEF" w:rsidP="00F64AEF">
      <w:pPr>
        <w:jc w:val="center"/>
        <w:rPr>
          <w:b/>
          <w:sz w:val="18"/>
          <w:szCs w:val="18"/>
        </w:rPr>
      </w:pPr>
      <w:r w:rsidRPr="00DE41C4">
        <w:rPr>
          <w:b/>
          <w:sz w:val="18"/>
          <w:szCs w:val="18"/>
        </w:rPr>
        <w:t>MBEYA</w:t>
      </w:r>
    </w:p>
    <w:p w14:paraId="0C864E6B"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Ally Waziri</w:t>
      </w:r>
    </w:p>
    <w:p w14:paraId="177B2588"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Angelina Mgonja</w:t>
      </w:r>
    </w:p>
    <w:p w14:paraId="6A5B90E5"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Baraka Mwamsojo</w:t>
      </w:r>
    </w:p>
    <w:p w14:paraId="55D28DC3"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Clezensia Rwegasira</w:t>
      </w:r>
    </w:p>
    <w:p w14:paraId="09955340"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Consolatha Akiza Kamanzi</w:t>
      </w:r>
    </w:p>
    <w:p w14:paraId="40A776D2"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Doreen Godwin Mawolle</w:t>
      </w:r>
    </w:p>
    <w:p w14:paraId="73863572"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Dorice Chaula</w:t>
      </w:r>
    </w:p>
    <w:p w14:paraId="7EBD4A79"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Elimringi Mafole</w:t>
      </w:r>
    </w:p>
    <w:p w14:paraId="3EDF1219"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Erasmus Ambrozi</w:t>
      </w:r>
    </w:p>
    <w:p w14:paraId="0EC61297"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Erick Anam</w:t>
      </w:r>
    </w:p>
    <w:p w14:paraId="5FC3E599"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Esmaili Naftali Lema</w:t>
      </w:r>
    </w:p>
    <w:p w14:paraId="794C0801"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Faraja Kibona Yudah</w:t>
      </w:r>
    </w:p>
    <w:p w14:paraId="74DBFE01"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Glory Comphrence</w:t>
      </w:r>
    </w:p>
    <w:p w14:paraId="36AC5F14"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Grace Nyambo</w:t>
      </w:r>
    </w:p>
    <w:p w14:paraId="0DC85FB4"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Humphrey Mwakajila</w:t>
      </w:r>
    </w:p>
    <w:p w14:paraId="5B0C4345"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Joseph Kyando</w:t>
      </w:r>
    </w:p>
    <w:p w14:paraId="007DA7D4"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Joseph Mwaipopo</w:t>
      </w:r>
    </w:p>
    <w:p w14:paraId="6F9C29DC"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Joseph Seleli</w:t>
      </w:r>
    </w:p>
    <w:p w14:paraId="54FEBF74"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Kassim Omary Chando</w:t>
      </w:r>
    </w:p>
    <w:p w14:paraId="4C03A520"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Paul Mwaisemba</w:t>
      </w:r>
    </w:p>
    <w:p w14:paraId="42E28A40" w14:textId="77777777" w:rsidR="00F64AEF" w:rsidRPr="00DE41C4" w:rsidRDefault="00F64AEF" w:rsidP="00F64AEF">
      <w:pPr>
        <w:jc w:val="center"/>
        <w:rPr>
          <w:b/>
          <w:sz w:val="18"/>
          <w:szCs w:val="18"/>
        </w:rPr>
      </w:pPr>
    </w:p>
    <w:p w14:paraId="07DE99FC" w14:textId="77777777" w:rsidR="00F64AEF" w:rsidRPr="00DE41C4" w:rsidRDefault="00F64AEF" w:rsidP="00F64AEF">
      <w:pPr>
        <w:jc w:val="center"/>
        <w:rPr>
          <w:b/>
          <w:sz w:val="18"/>
          <w:szCs w:val="18"/>
        </w:rPr>
      </w:pPr>
      <w:r w:rsidRPr="00DE41C4">
        <w:rPr>
          <w:b/>
          <w:sz w:val="18"/>
          <w:szCs w:val="18"/>
        </w:rPr>
        <w:t>SINGIDA</w:t>
      </w:r>
    </w:p>
    <w:p w14:paraId="01C61F22"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Adson Adrian</w:t>
      </w:r>
    </w:p>
    <w:p w14:paraId="28A512E0"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Cleveland Mshingeni</w:t>
      </w:r>
    </w:p>
    <w:p w14:paraId="5FD1E5B4"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Godwin Steven</w:t>
      </w:r>
    </w:p>
    <w:p w14:paraId="1266226E"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Hamida Shabani</w:t>
      </w:r>
    </w:p>
    <w:p w14:paraId="734388FC"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Julius Shani</w:t>
      </w:r>
    </w:p>
    <w:p w14:paraId="00EB2024"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Meoli Leiyo</w:t>
      </w:r>
    </w:p>
    <w:p w14:paraId="573CAA77"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Michael Mponeja</w:t>
      </w:r>
    </w:p>
    <w:p w14:paraId="4D648992"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Talek Robert</w:t>
      </w:r>
    </w:p>
    <w:p w14:paraId="24FE9263" w14:textId="77777777" w:rsidR="00F64AEF" w:rsidRPr="00DE41C4" w:rsidRDefault="00F64AEF" w:rsidP="00F64AEF">
      <w:pPr>
        <w:jc w:val="center"/>
        <w:rPr>
          <w:b/>
          <w:sz w:val="18"/>
          <w:szCs w:val="18"/>
        </w:rPr>
      </w:pPr>
    </w:p>
    <w:p w14:paraId="5542AC77" w14:textId="77777777" w:rsidR="00F64AEF" w:rsidRPr="00DE41C4" w:rsidRDefault="00F64AEF" w:rsidP="00F64AEF">
      <w:pPr>
        <w:jc w:val="center"/>
        <w:rPr>
          <w:b/>
          <w:sz w:val="18"/>
          <w:szCs w:val="18"/>
        </w:rPr>
      </w:pPr>
      <w:r w:rsidRPr="00DE41C4">
        <w:rPr>
          <w:b/>
          <w:sz w:val="18"/>
          <w:szCs w:val="18"/>
        </w:rPr>
        <w:t>TABORA</w:t>
      </w:r>
    </w:p>
    <w:p w14:paraId="79DF3C86"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Aloyce Misayo</w:t>
      </w:r>
    </w:p>
    <w:p w14:paraId="0421E515"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Amosi Mwenda</w:t>
      </w:r>
    </w:p>
    <w:p w14:paraId="235E089C"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Angela F. Bukwimba</w:t>
      </w:r>
    </w:p>
    <w:p w14:paraId="697D0211"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Athuman Omari</w:t>
      </w:r>
    </w:p>
    <w:p w14:paraId="7BC52542"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Deusi Medard</w:t>
      </w:r>
    </w:p>
    <w:p w14:paraId="55334212"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Fundi K. Fundi</w:t>
      </w:r>
    </w:p>
    <w:p w14:paraId="2A7A985D"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Geofrey Mtobesya</w:t>
      </w:r>
    </w:p>
    <w:p w14:paraId="3C33E9DF"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Happiness Ngassa</w:t>
      </w:r>
    </w:p>
    <w:p w14:paraId="2E9FF1CB"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Hasani Y. Msogoti</w:t>
      </w:r>
    </w:p>
    <w:p w14:paraId="490BD429"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Jumanne S. Mapunda</w:t>
      </w:r>
    </w:p>
    <w:p w14:paraId="65D6F372"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Linda Mwangoka</w:t>
      </w:r>
    </w:p>
    <w:p w14:paraId="0246525B"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Method T. Fute</w:t>
      </w:r>
    </w:p>
    <w:p w14:paraId="5ED21CC9"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Mike Kitilla</w:t>
      </w:r>
    </w:p>
    <w:p w14:paraId="3DA73FE9"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Philipo Faustine</w:t>
      </w:r>
    </w:p>
    <w:p w14:paraId="544BA5E9"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Vicent Mussa</w:t>
      </w:r>
    </w:p>
    <w:p w14:paraId="7528B46E"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Winfrida Mikidadi</w:t>
      </w:r>
    </w:p>
    <w:p w14:paraId="359EE988"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Oliverson Josiah</w:t>
      </w:r>
    </w:p>
    <w:p w14:paraId="2C71CCC4"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Wardas Kalago</w:t>
      </w:r>
    </w:p>
    <w:p w14:paraId="24C9442F" w14:textId="77777777" w:rsidR="00F64AEF" w:rsidRPr="00DE41C4" w:rsidRDefault="00F64AEF" w:rsidP="00F64AEF">
      <w:pPr>
        <w:jc w:val="center"/>
        <w:rPr>
          <w:b/>
          <w:sz w:val="18"/>
          <w:szCs w:val="18"/>
        </w:rPr>
      </w:pPr>
    </w:p>
    <w:p w14:paraId="584995C4" w14:textId="77777777" w:rsidR="00F64AEF" w:rsidRPr="00DE41C4" w:rsidRDefault="00F64AEF" w:rsidP="00F64AEF">
      <w:pPr>
        <w:jc w:val="center"/>
        <w:rPr>
          <w:b/>
          <w:sz w:val="18"/>
          <w:szCs w:val="18"/>
        </w:rPr>
      </w:pPr>
      <w:r w:rsidRPr="00DE41C4">
        <w:rPr>
          <w:b/>
          <w:sz w:val="18"/>
          <w:szCs w:val="18"/>
        </w:rPr>
        <w:t>RUKWA</w:t>
      </w:r>
    </w:p>
    <w:p w14:paraId="1A03601D"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Alexander Mwakiwone</w:t>
      </w:r>
    </w:p>
    <w:p w14:paraId="0E8AFF32"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Edes Mbelano</w:t>
      </w:r>
    </w:p>
    <w:p w14:paraId="056CDFA8"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Ezekia Mwangoka</w:t>
      </w:r>
    </w:p>
    <w:p w14:paraId="3CCCF63D"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George Senga</w:t>
      </w:r>
    </w:p>
    <w:p w14:paraId="1E0F6392"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Herney Malogo</w:t>
      </w:r>
    </w:p>
    <w:p w14:paraId="4F6B909C"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Jiles Chipeta</w:t>
      </w:r>
    </w:p>
    <w:p w14:paraId="6C978FD4"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John Evarist</w:t>
      </w:r>
    </w:p>
    <w:p w14:paraId="0D75AC15"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Mwasaumu Shomari</w:t>
      </w:r>
    </w:p>
    <w:p w14:paraId="7657630A" w14:textId="77777777" w:rsidR="00F64AEF" w:rsidRPr="00DE41C4" w:rsidRDefault="00F64AEF" w:rsidP="00F64AEF">
      <w:pPr>
        <w:autoSpaceDE w:val="0"/>
        <w:autoSpaceDN w:val="0"/>
        <w:adjustRightInd w:val="0"/>
        <w:jc w:val="center"/>
        <w:rPr>
          <w:color w:val="000000"/>
          <w:sz w:val="18"/>
          <w:szCs w:val="18"/>
        </w:rPr>
      </w:pPr>
    </w:p>
    <w:p w14:paraId="117F666E" w14:textId="77777777" w:rsidR="00F64AEF" w:rsidRPr="00DE41C4" w:rsidRDefault="00F64AEF" w:rsidP="00F64AEF">
      <w:pPr>
        <w:jc w:val="center"/>
        <w:rPr>
          <w:b/>
          <w:sz w:val="18"/>
          <w:szCs w:val="18"/>
        </w:rPr>
      </w:pPr>
      <w:r w:rsidRPr="00DE41C4">
        <w:rPr>
          <w:b/>
          <w:sz w:val="18"/>
          <w:szCs w:val="18"/>
        </w:rPr>
        <w:t>KIGOMA</w:t>
      </w:r>
    </w:p>
    <w:p w14:paraId="5F893DBC"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Bidangwa Bukuru</w:t>
      </w:r>
    </w:p>
    <w:p w14:paraId="2F1242D8"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Geofrey Mpinga</w:t>
      </w:r>
    </w:p>
    <w:p w14:paraId="6A9B215F"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Joseph Kipanta</w:t>
      </w:r>
    </w:p>
    <w:p w14:paraId="5C5C2F99"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Josiah Mwakijale</w:t>
      </w:r>
    </w:p>
    <w:p w14:paraId="579AE49C"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Kafikiri, Amibralis</w:t>
      </w:r>
    </w:p>
    <w:p w14:paraId="6C412151"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Lucas Mihambo</w:t>
      </w:r>
    </w:p>
    <w:p w14:paraId="19A808CE"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Mariam Lihenye</w:t>
      </w:r>
    </w:p>
    <w:p w14:paraId="5E667B5C"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Salum Abdul</w:t>
      </w:r>
    </w:p>
    <w:p w14:paraId="1C975EED" w14:textId="77777777" w:rsidR="00F64AEF" w:rsidRPr="00DE41C4" w:rsidRDefault="00F64AEF" w:rsidP="00F64AEF">
      <w:pPr>
        <w:jc w:val="center"/>
        <w:rPr>
          <w:b/>
          <w:sz w:val="18"/>
          <w:szCs w:val="18"/>
        </w:rPr>
      </w:pPr>
    </w:p>
    <w:p w14:paraId="76217027" w14:textId="77777777" w:rsidR="00F64AEF" w:rsidRPr="00DE41C4" w:rsidRDefault="00F64AEF" w:rsidP="00F64AEF">
      <w:pPr>
        <w:jc w:val="center"/>
        <w:rPr>
          <w:b/>
          <w:sz w:val="18"/>
          <w:szCs w:val="18"/>
        </w:rPr>
      </w:pPr>
      <w:r w:rsidRPr="00DE41C4">
        <w:rPr>
          <w:b/>
          <w:sz w:val="18"/>
          <w:szCs w:val="18"/>
        </w:rPr>
        <w:t>SHINYANGA</w:t>
      </w:r>
    </w:p>
    <w:p w14:paraId="7BD88200"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Aloyce Msini</w:t>
      </w:r>
    </w:p>
    <w:p w14:paraId="3C002154"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Elisha Kabwogi</w:t>
      </w:r>
    </w:p>
    <w:p w14:paraId="6C0B5992"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Gelard Joseph</w:t>
      </w:r>
    </w:p>
    <w:p w14:paraId="0A782FE0"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Happy Magily</w:t>
      </w:r>
    </w:p>
    <w:p w14:paraId="3FD16557"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Jumapili Mwendo</w:t>
      </w:r>
    </w:p>
    <w:p w14:paraId="5F298096"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Leonard Samson</w:t>
      </w:r>
    </w:p>
    <w:p w14:paraId="5636ED5B"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Luther Daud</w:t>
      </w:r>
    </w:p>
    <w:p w14:paraId="143CA75C"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Mathias O. Mpulule</w:t>
      </w:r>
    </w:p>
    <w:p w14:paraId="75ED2C17"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Nandatay Olekede</w:t>
      </w:r>
    </w:p>
    <w:p w14:paraId="26C16CFC"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Robert N. Mlazi</w:t>
      </w:r>
    </w:p>
    <w:p w14:paraId="657ED87C" w14:textId="77777777" w:rsidR="00F64AEF" w:rsidRPr="00DE41C4" w:rsidRDefault="00F64AEF" w:rsidP="00F64AEF">
      <w:pPr>
        <w:autoSpaceDE w:val="0"/>
        <w:autoSpaceDN w:val="0"/>
        <w:adjustRightInd w:val="0"/>
        <w:jc w:val="center"/>
        <w:rPr>
          <w:color w:val="000000"/>
          <w:sz w:val="18"/>
          <w:szCs w:val="18"/>
        </w:rPr>
      </w:pPr>
    </w:p>
    <w:p w14:paraId="4E43FE30" w14:textId="77777777" w:rsidR="00F64AEF" w:rsidRPr="00DE41C4" w:rsidRDefault="00F64AEF" w:rsidP="00F64AEF">
      <w:pPr>
        <w:jc w:val="center"/>
        <w:rPr>
          <w:b/>
          <w:sz w:val="18"/>
          <w:szCs w:val="18"/>
        </w:rPr>
      </w:pPr>
      <w:r w:rsidRPr="00DE41C4">
        <w:rPr>
          <w:b/>
          <w:sz w:val="18"/>
          <w:szCs w:val="18"/>
        </w:rPr>
        <w:t>KAGERA</w:t>
      </w:r>
    </w:p>
    <w:p w14:paraId="217B5BEB"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Daudi P. Zimbeiya</w:t>
      </w:r>
    </w:p>
    <w:p w14:paraId="1482101A"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Deogratius Joseph</w:t>
      </w:r>
    </w:p>
    <w:p w14:paraId="5CB08518"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Epimachius Raphael</w:t>
      </w:r>
    </w:p>
    <w:p w14:paraId="7AEEC6C7"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Frank Mwesiga Jackson</w:t>
      </w:r>
    </w:p>
    <w:p w14:paraId="354CB110"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Godfrey Mbanga</w:t>
      </w:r>
    </w:p>
    <w:p w14:paraId="5A317486"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Jacqueline Majula</w:t>
      </w:r>
    </w:p>
    <w:p w14:paraId="36501DFC"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Philemon Lwehabula</w:t>
      </w:r>
    </w:p>
    <w:p w14:paraId="3A9B1634"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Rachel Eliud</w:t>
      </w:r>
    </w:p>
    <w:p w14:paraId="6AAF9192"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Thomson T. Ngahulira</w:t>
      </w:r>
    </w:p>
    <w:p w14:paraId="6C706F38"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Veronica Mlay</w:t>
      </w:r>
    </w:p>
    <w:p w14:paraId="3067A7BD" w14:textId="77777777" w:rsidR="00F64AEF" w:rsidRPr="00DE41C4" w:rsidRDefault="00F64AEF" w:rsidP="00F64AEF">
      <w:pPr>
        <w:jc w:val="center"/>
        <w:rPr>
          <w:b/>
          <w:sz w:val="18"/>
          <w:szCs w:val="18"/>
        </w:rPr>
      </w:pPr>
    </w:p>
    <w:p w14:paraId="139AC2D2" w14:textId="77777777" w:rsidR="00F64AEF" w:rsidRPr="00DE41C4" w:rsidRDefault="00F64AEF" w:rsidP="00F64AEF">
      <w:pPr>
        <w:jc w:val="center"/>
        <w:rPr>
          <w:b/>
          <w:sz w:val="18"/>
          <w:szCs w:val="18"/>
        </w:rPr>
      </w:pPr>
      <w:r w:rsidRPr="00DE41C4">
        <w:rPr>
          <w:b/>
          <w:sz w:val="18"/>
          <w:szCs w:val="18"/>
        </w:rPr>
        <w:t>MWANZA</w:t>
      </w:r>
    </w:p>
    <w:p w14:paraId="3330BEDE"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Adam Warucha</w:t>
      </w:r>
    </w:p>
    <w:p w14:paraId="7017168C"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Agustino Laurent</w:t>
      </w:r>
    </w:p>
    <w:p w14:paraId="40C8F923" w14:textId="5058BC71"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Bestina Muron</w:t>
      </w:r>
      <w:r w:rsidR="005D7A9D">
        <w:rPr>
          <w:color w:val="000000"/>
          <w:sz w:val="18"/>
          <w:szCs w:val="18"/>
        </w:rPr>
        <w:t>d</w:t>
      </w:r>
      <w:r w:rsidRPr="00DE41C4">
        <w:rPr>
          <w:color w:val="000000"/>
          <w:sz w:val="18"/>
          <w:szCs w:val="18"/>
        </w:rPr>
        <w:t>oro</w:t>
      </w:r>
    </w:p>
    <w:p w14:paraId="790A8C5A"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Cyriacus Rweyendeza</w:t>
      </w:r>
    </w:p>
    <w:p w14:paraId="24B75454"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Edmund Mutembei</w:t>
      </w:r>
    </w:p>
    <w:p w14:paraId="282AE944"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Fadaki Maganga</w:t>
      </w:r>
    </w:p>
    <w:p w14:paraId="1143ABE0"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Frank Estomin</w:t>
      </w:r>
    </w:p>
    <w:p w14:paraId="6C255F81" w14:textId="08C96056"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Gideon Ch</w:t>
      </w:r>
      <w:r w:rsidR="005D7A9D">
        <w:rPr>
          <w:color w:val="000000"/>
          <w:sz w:val="18"/>
          <w:szCs w:val="18"/>
        </w:rPr>
        <w:t>al</w:t>
      </w:r>
      <w:r w:rsidRPr="00DE41C4">
        <w:rPr>
          <w:color w:val="000000"/>
          <w:sz w:val="18"/>
          <w:szCs w:val="18"/>
        </w:rPr>
        <w:t>o</w:t>
      </w:r>
    </w:p>
    <w:p w14:paraId="70CDBB5E"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lastRenderedPageBreak/>
        <w:t>Gonzaga Wilfred</w:t>
      </w:r>
    </w:p>
    <w:p w14:paraId="1F99E762"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Joseph Asser</w:t>
      </w:r>
    </w:p>
    <w:p w14:paraId="6E4E532C"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Judith Steven</w:t>
      </w:r>
    </w:p>
    <w:p w14:paraId="4DD99E25"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Lenard Nago</w:t>
      </w:r>
    </w:p>
    <w:p w14:paraId="3094BF4B"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Malembo Mtesigwa</w:t>
      </w:r>
    </w:p>
    <w:p w14:paraId="557B6F85" w14:textId="30818AE0"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Maneno Mwashamba</w:t>
      </w:r>
    </w:p>
    <w:p w14:paraId="7B7221E5"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Maxmilian Ritte</w:t>
      </w:r>
    </w:p>
    <w:p w14:paraId="648B5390"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Pascal Selemani</w:t>
      </w:r>
    </w:p>
    <w:p w14:paraId="5011A170"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Stanslaus Kasubiri</w:t>
      </w:r>
    </w:p>
    <w:p w14:paraId="4F6B35A1"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Suzan Gwahila</w:t>
      </w:r>
    </w:p>
    <w:p w14:paraId="31487964" w14:textId="77777777" w:rsidR="00F64AEF" w:rsidRPr="00DE41C4" w:rsidRDefault="00F64AEF" w:rsidP="00F64AEF">
      <w:pPr>
        <w:jc w:val="center"/>
        <w:rPr>
          <w:color w:val="000000"/>
          <w:sz w:val="18"/>
          <w:szCs w:val="18"/>
        </w:rPr>
      </w:pPr>
    </w:p>
    <w:p w14:paraId="4465B24A" w14:textId="77777777" w:rsidR="00F64AEF" w:rsidRPr="00DE41C4" w:rsidRDefault="00F64AEF" w:rsidP="00F64AEF">
      <w:pPr>
        <w:jc w:val="center"/>
        <w:rPr>
          <w:b/>
          <w:sz w:val="18"/>
          <w:szCs w:val="18"/>
        </w:rPr>
      </w:pPr>
      <w:r w:rsidRPr="00DE41C4">
        <w:rPr>
          <w:b/>
          <w:sz w:val="18"/>
          <w:szCs w:val="18"/>
        </w:rPr>
        <w:t>MARA</w:t>
      </w:r>
    </w:p>
    <w:p w14:paraId="0C75AD3C"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Amina Yusufu</w:t>
      </w:r>
    </w:p>
    <w:p w14:paraId="19837CF0"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Bernard M Marwa</w:t>
      </w:r>
    </w:p>
    <w:p w14:paraId="645CC81F"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Catheline Kilumbo</w:t>
      </w:r>
    </w:p>
    <w:p w14:paraId="56762B4C"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Deodatus Chrisant Mwendapole</w:t>
      </w:r>
    </w:p>
    <w:p w14:paraId="0E67DAE1"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Elizeus Vedasto</w:t>
      </w:r>
    </w:p>
    <w:p w14:paraId="41449C2A"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Gambaseni Kusaga</w:t>
      </w:r>
    </w:p>
    <w:p w14:paraId="0027DA78"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Hassan Issa</w:t>
      </w:r>
    </w:p>
    <w:p w14:paraId="13F4CD97"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Ibrahim Abubakar</w:t>
      </w:r>
    </w:p>
    <w:p w14:paraId="317FE2D7"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Irine Muriba</w:t>
      </w:r>
    </w:p>
    <w:p w14:paraId="122E10CE"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Issa Bedon</w:t>
      </w:r>
    </w:p>
    <w:p w14:paraId="0C476B75"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Likowala R. Msuku</w:t>
      </w:r>
    </w:p>
    <w:p w14:paraId="2AF218F5"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Manturu M. Joseph</w:t>
      </w:r>
    </w:p>
    <w:p w14:paraId="24B44459"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Rashidi Mganga Mbega</w:t>
      </w:r>
    </w:p>
    <w:p w14:paraId="32AEDFE7"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Tumaini Mboya</w:t>
      </w:r>
    </w:p>
    <w:p w14:paraId="79D06506" w14:textId="77777777" w:rsidR="00F64AEF" w:rsidRPr="00DE41C4" w:rsidRDefault="00F64AEF" w:rsidP="00F64AEF">
      <w:pPr>
        <w:autoSpaceDE w:val="0"/>
        <w:autoSpaceDN w:val="0"/>
        <w:adjustRightInd w:val="0"/>
        <w:jc w:val="center"/>
        <w:rPr>
          <w:color w:val="000000"/>
          <w:sz w:val="18"/>
          <w:szCs w:val="18"/>
        </w:rPr>
      </w:pPr>
    </w:p>
    <w:p w14:paraId="4AC09BA7" w14:textId="77777777" w:rsidR="00F64AEF" w:rsidRPr="00DE41C4" w:rsidRDefault="00F64AEF" w:rsidP="00F64AEF">
      <w:pPr>
        <w:jc w:val="center"/>
        <w:rPr>
          <w:b/>
          <w:sz w:val="18"/>
          <w:szCs w:val="18"/>
        </w:rPr>
      </w:pPr>
      <w:r w:rsidRPr="00DE41C4">
        <w:rPr>
          <w:b/>
          <w:sz w:val="18"/>
          <w:szCs w:val="18"/>
        </w:rPr>
        <w:t>MANYARA</w:t>
      </w:r>
    </w:p>
    <w:p w14:paraId="5A2034E7"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Betrod Matembo</w:t>
      </w:r>
    </w:p>
    <w:p w14:paraId="209A5697"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James Peter Mwanjala</w:t>
      </w:r>
    </w:p>
    <w:p w14:paraId="5BF89C12"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Mussa Kimiku</w:t>
      </w:r>
    </w:p>
    <w:p w14:paraId="6B8847BC"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Paul Emmanuel Nyakabindi</w:t>
      </w:r>
    </w:p>
    <w:p w14:paraId="6634F865"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Salma Salum</w:t>
      </w:r>
    </w:p>
    <w:p w14:paraId="192A39B3"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Shahib J. Qhobah</w:t>
      </w:r>
    </w:p>
    <w:p w14:paraId="03F436F0"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Thomas Tlaa Gauday</w:t>
      </w:r>
    </w:p>
    <w:p w14:paraId="4AEC3D6C"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Winfrida Ezekiel Huche</w:t>
      </w:r>
    </w:p>
    <w:p w14:paraId="63FD46D4"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Yunus Hassan Hussein</w:t>
      </w:r>
    </w:p>
    <w:p w14:paraId="069310C1" w14:textId="45F9EB98" w:rsidR="00F64AEF" w:rsidRDefault="00F64AEF" w:rsidP="00F64AEF">
      <w:pPr>
        <w:autoSpaceDE w:val="0"/>
        <w:autoSpaceDN w:val="0"/>
        <w:adjustRightInd w:val="0"/>
        <w:jc w:val="center"/>
        <w:rPr>
          <w:color w:val="000000"/>
          <w:sz w:val="18"/>
          <w:szCs w:val="18"/>
        </w:rPr>
      </w:pPr>
      <w:r w:rsidRPr="00DE41C4">
        <w:rPr>
          <w:color w:val="000000"/>
          <w:sz w:val="18"/>
          <w:szCs w:val="18"/>
        </w:rPr>
        <w:t>Zainab Juma Shaban</w:t>
      </w:r>
    </w:p>
    <w:p w14:paraId="23081B9B" w14:textId="7E3913B3" w:rsidR="003479EF" w:rsidRDefault="003479EF" w:rsidP="00F64AEF">
      <w:pPr>
        <w:autoSpaceDE w:val="0"/>
        <w:autoSpaceDN w:val="0"/>
        <w:adjustRightInd w:val="0"/>
        <w:jc w:val="center"/>
        <w:rPr>
          <w:color w:val="000000"/>
          <w:sz w:val="18"/>
          <w:szCs w:val="18"/>
        </w:rPr>
      </w:pPr>
    </w:p>
    <w:p w14:paraId="5479D623" w14:textId="77777777" w:rsidR="00F64AEF" w:rsidRPr="00DE41C4" w:rsidRDefault="00F64AEF" w:rsidP="00F64AEF">
      <w:pPr>
        <w:jc w:val="center"/>
        <w:rPr>
          <w:b/>
          <w:sz w:val="18"/>
          <w:szCs w:val="18"/>
        </w:rPr>
      </w:pPr>
      <w:r w:rsidRPr="00DE41C4">
        <w:rPr>
          <w:b/>
          <w:sz w:val="18"/>
          <w:szCs w:val="18"/>
        </w:rPr>
        <w:t>NJOMBE</w:t>
      </w:r>
    </w:p>
    <w:p w14:paraId="6118DE6B"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Albert G. Mgohele</w:t>
      </w:r>
    </w:p>
    <w:p w14:paraId="1219A9AF"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Albert Mwinuka</w:t>
      </w:r>
    </w:p>
    <w:p w14:paraId="7D8F46E2"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Christina Ndondole</w:t>
      </w:r>
    </w:p>
    <w:p w14:paraId="7C9F41A9"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Jerome Bange</w:t>
      </w:r>
    </w:p>
    <w:p w14:paraId="04A6F073"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Mussa Njogoro</w:t>
      </w:r>
    </w:p>
    <w:p w14:paraId="13632F97"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Neema Mlawa</w:t>
      </w:r>
    </w:p>
    <w:p w14:paraId="5F257617"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Ntuli Swebe</w:t>
      </w:r>
    </w:p>
    <w:p w14:paraId="3B304013" w14:textId="0BF25523" w:rsidR="00F64AEF" w:rsidRDefault="00F64AEF" w:rsidP="00F64AEF">
      <w:pPr>
        <w:autoSpaceDE w:val="0"/>
        <w:autoSpaceDN w:val="0"/>
        <w:adjustRightInd w:val="0"/>
        <w:jc w:val="center"/>
        <w:rPr>
          <w:color w:val="000000"/>
          <w:sz w:val="18"/>
          <w:szCs w:val="18"/>
        </w:rPr>
      </w:pPr>
      <w:r w:rsidRPr="00DE41C4">
        <w:rPr>
          <w:color w:val="000000"/>
          <w:sz w:val="18"/>
          <w:szCs w:val="18"/>
        </w:rPr>
        <w:t>Remigius Mtewele</w:t>
      </w:r>
    </w:p>
    <w:p w14:paraId="6AB8DDFA" w14:textId="77777777" w:rsidR="003479EF" w:rsidRPr="00DE41C4" w:rsidRDefault="003479EF" w:rsidP="00F64AEF">
      <w:pPr>
        <w:autoSpaceDE w:val="0"/>
        <w:autoSpaceDN w:val="0"/>
        <w:adjustRightInd w:val="0"/>
        <w:jc w:val="center"/>
        <w:rPr>
          <w:color w:val="000000"/>
          <w:sz w:val="18"/>
          <w:szCs w:val="18"/>
        </w:rPr>
      </w:pPr>
    </w:p>
    <w:p w14:paraId="4516EC13" w14:textId="77777777" w:rsidR="00F64AEF" w:rsidRPr="00DE41C4" w:rsidRDefault="00F64AEF" w:rsidP="00F64AEF">
      <w:pPr>
        <w:jc w:val="center"/>
        <w:rPr>
          <w:b/>
          <w:sz w:val="18"/>
          <w:szCs w:val="18"/>
        </w:rPr>
      </w:pPr>
      <w:r w:rsidRPr="00DE41C4">
        <w:rPr>
          <w:b/>
          <w:sz w:val="18"/>
          <w:szCs w:val="18"/>
        </w:rPr>
        <w:t>KATAVI</w:t>
      </w:r>
    </w:p>
    <w:p w14:paraId="1B6B6035"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Amos Bandawe</w:t>
      </w:r>
    </w:p>
    <w:p w14:paraId="015699CA"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Antony Lugema</w:t>
      </w:r>
    </w:p>
    <w:p w14:paraId="72568743"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Dismas E. Malinyo</w:t>
      </w:r>
    </w:p>
    <w:p w14:paraId="7C900DF9"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George Mahona</w:t>
      </w:r>
    </w:p>
    <w:p w14:paraId="3D74FFC5"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Gladness Salum</w:t>
      </w:r>
    </w:p>
    <w:p w14:paraId="4C84FB36"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Jane Haonga</w:t>
      </w:r>
    </w:p>
    <w:p w14:paraId="24A62DDF"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Johson Msemo</w:t>
      </w:r>
    </w:p>
    <w:p w14:paraId="163A8307" w14:textId="77777777" w:rsidR="00F64AEF" w:rsidRPr="00DE41C4" w:rsidRDefault="00F64AEF" w:rsidP="00F64AEF">
      <w:pPr>
        <w:jc w:val="center"/>
        <w:rPr>
          <w:b/>
          <w:sz w:val="18"/>
          <w:szCs w:val="18"/>
        </w:rPr>
      </w:pPr>
      <w:r w:rsidRPr="00DE41C4">
        <w:rPr>
          <w:color w:val="000000"/>
          <w:sz w:val="18"/>
          <w:szCs w:val="18"/>
        </w:rPr>
        <w:t>Lazaro Masumbuko</w:t>
      </w:r>
    </w:p>
    <w:p w14:paraId="61925A2E" w14:textId="77777777" w:rsidR="00F64AEF" w:rsidRPr="00DE41C4" w:rsidRDefault="00F64AEF" w:rsidP="00F64AEF">
      <w:pPr>
        <w:jc w:val="center"/>
        <w:rPr>
          <w:b/>
          <w:sz w:val="18"/>
          <w:szCs w:val="18"/>
        </w:rPr>
      </w:pPr>
    </w:p>
    <w:p w14:paraId="469A7844" w14:textId="77777777" w:rsidR="00F64AEF" w:rsidRPr="00DE41C4" w:rsidRDefault="00F64AEF" w:rsidP="00F64AEF">
      <w:pPr>
        <w:jc w:val="center"/>
        <w:rPr>
          <w:b/>
          <w:sz w:val="18"/>
          <w:szCs w:val="18"/>
        </w:rPr>
      </w:pPr>
      <w:r w:rsidRPr="00DE41C4">
        <w:rPr>
          <w:b/>
          <w:sz w:val="18"/>
          <w:szCs w:val="18"/>
        </w:rPr>
        <w:t>SIMIYU</w:t>
      </w:r>
    </w:p>
    <w:p w14:paraId="2F04B593"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Allan Nestory</w:t>
      </w:r>
    </w:p>
    <w:p w14:paraId="62B69F51"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Emmanuel Joseph</w:t>
      </w:r>
    </w:p>
    <w:p w14:paraId="130ADB3E"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Honest Alloyce</w:t>
      </w:r>
    </w:p>
    <w:p w14:paraId="228993D2"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Misana Shirinde</w:t>
      </w:r>
    </w:p>
    <w:p w14:paraId="12F89EE8"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Perepetua Yusufu</w:t>
      </w:r>
    </w:p>
    <w:p w14:paraId="66F4E5EC"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Pili Mayala</w:t>
      </w:r>
    </w:p>
    <w:p w14:paraId="5C257F0D"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Shibeshi Pastory</w:t>
      </w:r>
    </w:p>
    <w:p w14:paraId="2587FA47"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Thomas Raphael</w:t>
      </w:r>
    </w:p>
    <w:p w14:paraId="6C99467D" w14:textId="77777777" w:rsidR="00F64AEF" w:rsidRPr="00DE41C4" w:rsidRDefault="00F64AEF" w:rsidP="00F64AEF">
      <w:pPr>
        <w:jc w:val="center"/>
        <w:rPr>
          <w:b/>
          <w:sz w:val="18"/>
          <w:szCs w:val="18"/>
        </w:rPr>
      </w:pPr>
    </w:p>
    <w:p w14:paraId="4F321B4D" w14:textId="77777777" w:rsidR="00F64AEF" w:rsidRPr="00DE41C4" w:rsidRDefault="00F64AEF" w:rsidP="00F64AEF">
      <w:pPr>
        <w:jc w:val="center"/>
        <w:rPr>
          <w:b/>
          <w:sz w:val="18"/>
          <w:szCs w:val="18"/>
        </w:rPr>
      </w:pPr>
      <w:r w:rsidRPr="00DE41C4">
        <w:rPr>
          <w:b/>
          <w:sz w:val="18"/>
          <w:szCs w:val="18"/>
        </w:rPr>
        <w:t>GEITA</w:t>
      </w:r>
    </w:p>
    <w:p w14:paraId="7077FF11" w14:textId="77777777" w:rsidR="005D7A9D" w:rsidRPr="00DE41C4" w:rsidRDefault="005D7A9D" w:rsidP="00F64AEF">
      <w:pPr>
        <w:autoSpaceDE w:val="0"/>
        <w:autoSpaceDN w:val="0"/>
        <w:adjustRightInd w:val="0"/>
        <w:jc w:val="center"/>
        <w:rPr>
          <w:color w:val="000000"/>
          <w:sz w:val="18"/>
          <w:szCs w:val="18"/>
        </w:rPr>
      </w:pPr>
      <w:r w:rsidRPr="00DE41C4">
        <w:rPr>
          <w:color w:val="000000"/>
          <w:sz w:val="18"/>
          <w:szCs w:val="18"/>
        </w:rPr>
        <w:t>Anitha Richard</w:t>
      </w:r>
    </w:p>
    <w:p w14:paraId="46813094" w14:textId="77777777" w:rsidR="005D7A9D" w:rsidRPr="00DE41C4" w:rsidRDefault="005D7A9D" w:rsidP="00F64AEF">
      <w:pPr>
        <w:autoSpaceDE w:val="0"/>
        <w:autoSpaceDN w:val="0"/>
        <w:adjustRightInd w:val="0"/>
        <w:jc w:val="center"/>
        <w:rPr>
          <w:color w:val="000000"/>
          <w:sz w:val="18"/>
          <w:szCs w:val="18"/>
        </w:rPr>
      </w:pPr>
      <w:r w:rsidRPr="00DE41C4">
        <w:rPr>
          <w:color w:val="000000"/>
          <w:sz w:val="18"/>
          <w:szCs w:val="18"/>
        </w:rPr>
        <w:t>Anna E. Mabogo</w:t>
      </w:r>
    </w:p>
    <w:p w14:paraId="65316BEA" w14:textId="77777777" w:rsidR="005D7A9D" w:rsidRPr="00DE41C4" w:rsidRDefault="005D7A9D" w:rsidP="00F64AEF">
      <w:pPr>
        <w:autoSpaceDE w:val="0"/>
        <w:autoSpaceDN w:val="0"/>
        <w:adjustRightInd w:val="0"/>
        <w:jc w:val="center"/>
        <w:rPr>
          <w:color w:val="000000"/>
          <w:sz w:val="18"/>
          <w:szCs w:val="18"/>
        </w:rPr>
      </w:pPr>
      <w:r w:rsidRPr="00DE41C4">
        <w:rPr>
          <w:color w:val="000000"/>
          <w:sz w:val="18"/>
          <w:szCs w:val="18"/>
        </w:rPr>
        <w:t>Denis Shetui</w:t>
      </w:r>
    </w:p>
    <w:p w14:paraId="3405DB28" w14:textId="77777777" w:rsidR="005D7A9D" w:rsidRPr="00DE41C4" w:rsidRDefault="005D7A9D" w:rsidP="00F64AEF">
      <w:pPr>
        <w:autoSpaceDE w:val="0"/>
        <w:autoSpaceDN w:val="0"/>
        <w:adjustRightInd w:val="0"/>
        <w:jc w:val="center"/>
        <w:rPr>
          <w:color w:val="000000"/>
          <w:sz w:val="18"/>
          <w:szCs w:val="18"/>
        </w:rPr>
      </w:pPr>
      <w:r w:rsidRPr="00DE41C4">
        <w:rPr>
          <w:color w:val="000000"/>
          <w:sz w:val="18"/>
          <w:szCs w:val="18"/>
        </w:rPr>
        <w:t>Elias Jumanne</w:t>
      </w:r>
    </w:p>
    <w:p w14:paraId="5FB55DA1" w14:textId="77777777" w:rsidR="005D7A9D" w:rsidRPr="00DE41C4" w:rsidRDefault="005D7A9D" w:rsidP="00F64AEF">
      <w:pPr>
        <w:autoSpaceDE w:val="0"/>
        <w:autoSpaceDN w:val="0"/>
        <w:adjustRightInd w:val="0"/>
        <w:jc w:val="center"/>
        <w:rPr>
          <w:color w:val="000000"/>
          <w:sz w:val="18"/>
          <w:szCs w:val="18"/>
        </w:rPr>
      </w:pPr>
      <w:r w:rsidRPr="00DE41C4">
        <w:rPr>
          <w:color w:val="000000"/>
          <w:sz w:val="18"/>
          <w:szCs w:val="18"/>
        </w:rPr>
        <w:t>Gilbert Njunwa</w:t>
      </w:r>
    </w:p>
    <w:p w14:paraId="4BD5C9FF" w14:textId="77777777" w:rsidR="005D7A9D" w:rsidRPr="00DE41C4" w:rsidRDefault="005D7A9D" w:rsidP="00F64AEF">
      <w:pPr>
        <w:autoSpaceDE w:val="0"/>
        <w:autoSpaceDN w:val="0"/>
        <w:adjustRightInd w:val="0"/>
        <w:jc w:val="center"/>
        <w:rPr>
          <w:color w:val="000000"/>
          <w:sz w:val="18"/>
          <w:szCs w:val="18"/>
        </w:rPr>
      </w:pPr>
      <w:r w:rsidRPr="00DE41C4">
        <w:rPr>
          <w:color w:val="000000"/>
          <w:sz w:val="18"/>
          <w:szCs w:val="18"/>
        </w:rPr>
        <w:t>Japhet Maduhu</w:t>
      </w:r>
    </w:p>
    <w:p w14:paraId="63B313AD" w14:textId="77777777" w:rsidR="005D7A9D" w:rsidRPr="00DE41C4" w:rsidRDefault="005D7A9D" w:rsidP="00F64AEF">
      <w:pPr>
        <w:autoSpaceDE w:val="0"/>
        <w:autoSpaceDN w:val="0"/>
        <w:adjustRightInd w:val="0"/>
        <w:jc w:val="center"/>
        <w:rPr>
          <w:color w:val="000000"/>
          <w:sz w:val="18"/>
          <w:szCs w:val="18"/>
        </w:rPr>
      </w:pPr>
      <w:r w:rsidRPr="00DE41C4">
        <w:rPr>
          <w:color w:val="000000"/>
          <w:sz w:val="18"/>
          <w:szCs w:val="18"/>
        </w:rPr>
        <w:t>Laurian Masome</w:t>
      </w:r>
    </w:p>
    <w:p w14:paraId="6806BE18" w14:textId="77777777" w:rsidR="005D7A9D" w:rsidRPr="00DE41C4" w:rsidRDefault="005D7A9D" w:rsidP="00F64AEF">
      <w:pPr>
        <w:autoSpaceDE w:val="0"/>
        <w:autoSpaceDN w:val="0"/>
        <w:adjustRightInd w:val="0"/>
        <w:jc w:val="center"/>
        <w:rPr>
          <w:color w:val="000000"/>
          <w:sz w:val="18"/>
          <w:szCs w:val="18"/>
        </w:rPr>
      </w:pPr>
      <w:r>
        <w:rPr>
          <w:color w:val="000000"/>
          <w:sz w:val="18"/>
          <w:szCs w:val="18"/>
        </w:rPr>
        <w:t>Sara Michael</w:t>
      </w:r>
    </w:p>
    <w:p w14:paraId="55D34F88" w14:textId="77777777" w:rsidR="00F64AEF" w:rsidRPr="00DE41C4" w:rsidRDefault="00F64AEF" w:rsidP="00F64AEF">
      <w:pPr>
        <w:jc w:val="center"/>
        <w:rPr>
          <w:b/>
          <w:sz w:val="18"/>
          <w:szCs w:val="18"/>
        </w:rPr>
      </w:pPr>
    </w:p>
    <w:p w14:paraId="269EFB0F" w14:textId="77777777" w:rsidR="00F64AEF" w:rsidRPr="00DE41C4" w:rsidRDefault="00F64AEF" w:rsidP="00F64AEF">
      <w:pPr>
        <w:jc w:val="center"/>
        <w:rPr>
          <w:b/>
          <w:sz w:val="18"/>
          <w:szCs w:val="18"/>
        </w:rPr>
      </w:pPr>
      <w:r w:rsidRPr="00DE41C4">
        <w:rPr>
          <w:b/>
          <w:sz w:val="18"/>
          <w:szCs w:val="18"/>
        </w:rPr>
        <w:t>SONGWE</w:t>
      </w:r>
    </w:p>
    <w:p w14:paraId="3C124272"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Deus Michael</w:t>
      </w:r>
    </w:p>
    <w:p w14:paraId="238BDAA5"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Emanuel Karota</w:t>
      </w:r>
    </w:p>
    <w:p w14:paraId="474FAD81"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Fadhil Zuberi</w:t>
      </w:r>
    </w:p>
    <w:p w14:paraId="56C0053B"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Keneth Mweniungu</w:t>
      </w:r>
    </w:p>
    <w:p w14:paraId="1F957A55"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Leila Mateleka</w:t>
      </w:r>
    </w:p>
    <w:p w14:paraId="6A77AB6C" w14:textId="64E932F3" w:rsidR="00F64AEF" w:rsidRDefault="00F64AEF" w:rsidP="003479EF">
      <w:pPr>
        <w:autoSpaceDE w:val="0"/>
        <w:autoSpaceDN w:val="0"/>
        <w:adjustRightInd w:val="0"/>
        <w:jc w:val="center"/>
        <w:rPr>
          <w:color w:val="000000"/>
          <w:sz w:val="18"/>
          <w:szCs w:val="18"/>
        </w:rPr>
      </w:pPr>
      <w:r w:rsidRPr="00DE41C4">
        <w:rPr>
          <w:color w:val="000000"/>
          <w:sz w:val="18"/>
          <w:szCs w:val="18"/>
        </w:rPr>
        <w:t>Samwel Mwasandube</w:t>
      </w:r>
    </w:p>
    <w:p w14:paraId="6154845E" w14:textId="71A9BFA3" w:rsidR="003479EF" w:rsidRDefault="003479EF" w:rsidP="003479EF">
      <w:pPr>
        <w:autoSpaceDE w:val="0"/>
        <w:autoSpaceDN w:val="0"/>
        <w:adjustRightInd w:val="0"/>
        <w:jc w:val="center"/>
        <w:rPr>
          <w:color w:val="000000"/>
          <w:sz w:val="18"/>
          <w:szCs w:val="18"/>
        </w:rPr>
      </w:pPr>
    </w:p>
    <w:p w14:paraId="1829D511" w14:textId="77777777" w:rsidR="002F3A98" w:rsidRPr="003479EF" w:rsidRDefault="002F3A98" w:rsidP="003479EF">
      <w:pPr>
        <w:autoSpaceDE w:val="0"/>
        <w:autoSpaceDN w:val="0"/>
        <w:adjustRightInd w:val="0"/>
        <w:jc w:val="center"/>
        <w:rPr>
          <w:color w:val="000000"/>
          <w:sz w:val="18"/>
          <w:szCs w:val="18"/>
        </w:rPr>
      </w:pPr>
    </w:p>
    <w:p w14:paraId="0BF8417A" w14:textId="77777777" w:rsidR="00F64AEF" w:rsidRPr="00DE41C4" w:rsidRDefault="00F64AEF" w:rsidP="00F64AEF">
      <w:pPr>
        <w:jc w:val="center"/>
        <w:rPr>
          <w:b/>
          <w:sz w:val="18"/>
          <w:szCs w:val="18"/>
        </w:rPr>
      </w:pPr>
      <w:r w:rsidRPr="00DE41C4">
        <w:rPr>
          <w:b/>
          <w:sz w:val="18"/>
          <w:szCs w:val="18"/>
        </w:rPr>
        <w:t>KASKAZINI UNGUJA</w:t>
      </w:r>
    </w:p>
    <w:p w14:paraId="4DF4A6BB"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Asya Mussa Vuai</w:t>
      </w:r>
    </w:p>
    <w:p w14:paraId="3DAD43BA"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Hafidh Haji Salum</w:t>
      </w:r>
    </w:p>
    <w:p w14:paraId="3B0C10B6"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Idrisa Abdulwakil Idrisa</w:t>
      </w:r>
    </w:p>
    <w:p w14:paraId="58E9DD4C"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Juma Ali Juma</w:t>
      </w:r>
    </w:p>
    <w:p w14:paraId="1EDB9BE1"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Khaytham Ali Juma</w:t>
      </w:r>
    </w:p>
    <w:p w14:paraId="69F7D676"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Seif Amour Ali</w:t>
      </w:r>
    </w:p>
    <w:p w14:paraId="63EB50E5"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Subira Khamis Mohamed</w:t>
      </w:r>
    </w:p>
    <w:p w14:paraId="558B4DD6" w14:textId="77777777" w:rsidR="00F64AEF" w:rsidRPr="00DE41C4" w:rsidRDefault="00F64AEF" w:rsidP="00F64AEF">
      <w:pPr>
        <w:jc w:val="center"/>
        <w:rPr>
          <w:b/>
          <w:sz w:val="18"/>
          <w:szCs w:val="18"/>
        </w:rPr>
      </w:pPr>
    </w:p>
    <w:p w14:paraId="5C35F31E" w14:textId="77777777" w:rsidR="00F64AEF" w:rsidRPr="00DE41C4" w:rsidRDefault="00F64AEF" w:rsidP="00F64AEF">
      <w:pPr>
        <w:jc w:val="center"/>
        <w:rPr>
          <w:b/>
          <w:sz w:val="18"/>
          <w:szCs w:val="18"/>
        </w:rPr>
      </w:pPr>
      <w:r w:rsidRPr="00DE41C4">
        <w:rPr>
          <w:b/>
          <w:sz w:val="18"/>
          <w:szCs w:val="18"/>
        </w:rPr>
        <w:t>KUSINI UNGUJA</w:t>
      </w:r>
    </w:p>
    <w:p w14:paraId="1CBCA0B7" w14:textId="77777777" w:rsidR="00F64AEF" w:rsidRPr="00DE41C4" w:rsidRDefault="00F64AEF" w:rsidP="00F64AEF">
      <w:pPr>
        <w:tabs>
          <w:tab w:val="left" w:pos="2358"/>
        </w:tabs>
        <w:jc w:val="center"/>
        <w:rPr>
          <w:sz w:val="18"/>
          <w:szCs w:val="18"/>
        </w:rPr>
      </w:pPr>
      <w:r w:rsidRPr="00DE41C4">
        <w:rPr>
          <w:color w:val="000000"/>
          <w:sz w:val="18"/>
          <w:szCs w:val="18"/>
        </w:rPr>
        <w:t>Hidaya M. Juma</w:t>
      </w:r>
    </w:p>
    <w:p w14:paraId="0B6E45A7" w14:textId="77777777" w:rsidR="00F64AEF" w:rsidRPr="00DE41C4" w:rsidRDefault="00F64AEF" w:rsidP="00F64AEF">
      <w:pPr>
        <w:tabs>
          <w:tab w:val="left" w:pos="2358"/>
        </w:tabs>
        <w:jc w:val="center"/>
        <w:rPr>
          <w:sz w:val="18"/>
          <w:szCs w:val="18"/>
        </w:rPr>
      </w:pPr>
      <w:r w:rsidRPr="00DE41C4">
        <w:rPr>
          <w:color w:val="000000"/>
          <w:sz w:val="18"/>
          <w:szCs w:val="18"/>
        </w:rPr>
        <w:t>Hussen A. Hussen</w:t>
      </w:r>
    </w:p>
    <w:p w14:paraId="2072E1D9" w14:textId="77777777" w:rsidR="00F64AEF" w:rsidRPr="00DE41C4" w:rsidRDefault="00F64AEF" w:rsidP="00F64AEF">
      <w:pPr>
        <w:tabs>
          <w:tab w:val="left" w:pos="2358"/>
        </w:tabs>
        <w:jc w:val="center"/>
        <w:rPr>
          <w:sz w:val="18"/>
          <w:szCs w:val="18"/>
        </w:rPr>
      </w:pPr>
      <w:r w:rsidRPr="00DE41C4">
        <w:rPr>
          <w:color w:val="000000"/>
          <w:sz w:val="18"/>
          <w:szCs w:val="18"/>
        </w:rPr>
        <w:t>Mohamed Mlekwa Yussuf</w:t>
      </w:r>
    </w:p>
    <w:p w14:paraId="724F14ED" w14:textId="77777777" w:rsidR="00F64AEF" w:rsidRPr="00DE41C4" w:rsidRDefault="00F64AEF" w:rsidP="00F64AEF">
      <w:pPr>
        <w:tabs>
          <w:tab w:val="left" w:pos="2358"/>
        </w:tabs>
        <w:jc w:val="center"/>
        <w:rPr>
          <w:sz w:val="18"/>
          <w:szCs w:val="18"/>
        </w:rPr>
      </w:pPr>
      <w:r w:rsidRPr="00DE41C4">
        <w:rPr>
          <w:color w:val="000000"/>
          <w:sz w:val="18"/>
          <w:szCs w:val="18"/>
        </w:rPr>
        <w:t>Mwanjabu Ali Mussa</w:t>
      </w:r>
    </w:p>
    <w:p w14:paraId="5EE2B2CB" w14:textId="77777777" w:rsidR="00F64AEF" w:rsidRPr="00DE41C4" w:rsidRDefault="00F64AEF" w:rsidP="00F64AEF">
      <w:pPr>
        <w:tabs>
          <w:tab w:val="left" w:pos="2358"/>
        </w:tabs>
        <w:jc w:val="center"/>
        <w:rPr>
          <w:sz w:val="18"/>
          <w:szCs w:val="18"/>
        </w:rPr>
      </w:pPr>
      <w:r w:rsidRPr="00DE41C4">
        <w:rPr>
          <w:color w:val="000000"/>
          <w:sz w:val="18"/>
          <w:szCs w:val="18"/>
        </w:rPr>
        <w:t>Ramadhan Ali Hassan</w:t>
      </w:r>
    </w:p>
    <w:p w14:paraId="39F208C3" w14:textId="77777777" w:rsidR="00F64AEF" w:rsidRPr="00DE41C4" w:rsidRDefault="00F64AEF" w:rsidP="00F64AEF">
      <w:pPr>
        <w:jc w:val="center"/>
        <w:rPr>
          <w:b/>
          <w:sz w:val="18"/>
          <w:szCs w:val="18"/>
        </w:rPr>
      </w:pPr>
    </w:p>
    <w:p w14:paraId="1546F3B7" w14:textId="77777777" w:rsidR="00F64AEF" w:rsidRPr="00DE41C4" w:rsidRDefault="00F64AEF" w:rsidP="00F64AEF">
      <w:pPr>
        <w:jc w:val="center"/>
        <w:rPr>
          <w:b/>
          <w:sz w:val="18"/>
          <w:szCs w:val="18"/>
        </w:rPr>
      </w:pPr>
      <w:r w:rsidRPr="00DE41C4">
        <w:rPr>
          <w:b/>
          <w:sz w:val="18"/>
          <w:szCs w:val="18"/>
        </w:rPr>
        <w:t>MJINI MAGHARIBI</w:t>
      </w:r>
    </w:p>
    <w:p w14:paraId="5E0062E9"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Khatib Mohamed Khatib</w:t>
      </w:r>
    </w:p>
    <w:p w14:paraId="4FDF5DA9"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Maryam Muhajir Tahir</w:t>
      </w:r>
    </w:p>
    <w:p w14:paraId="4718EE24"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Ramla M. Kassim</w:t>
      </w:r>
    </w:p>
    <w:p w14:paraId="2274BB70" w14:textId="0267002A" w:rsidR="00F64AEF" w:rsidRDefault="00F64AEF" w:rsidP="00F64AEF">
      <w:pPr>
        <w:autoSpaceDE w:val="0"/>
        <w:autoSpaceDN w:val="0"/>
        <w:adjustRightInd w:val="0"/>
        <w:jc w:val="center"/>
        <w:rPr>
          <w:color w:val="000000"/>
          <w:sz w:val="18"/>
          <w:szCs w:val="18"/>
        </w:rPr>
      </w:pPr>
      <w:r w:rsidRPr="00DE41C4">
        <w:rPr>
          <w:color w:val="000000"/>
          <w:sz w:val="18"/>
          <w:szCs w:val="18"/>
        </w:rPr>
        <w:t>Raya M. Mahfoudh</w:t>
      </w:r>
    </w:p>
    <w:p w14:paraId="447E01F5" w14:textId="77777777" w:rsidR="003479EF" w:rsidRPr="00DE41C4" w:rsidRDefault="003479EF" w:rsidP="00F64AEF">
      <w:pPr>
        <w:autoSpaceDE w:val="0"/>
        <w:autoSpaceDN w:val="0"/>
        <w:adjustRightInd w:val="0"/>
        <w:jc w:val="center"/>
        <w:rPr>
          <w:color w:val="000000"/>
          <w:sz w:val="18"/>
          <w:szCs w:val="18"/>
        </w:rPr>
      </w:pPr>
    </w:p>
    <w:p w14:paraId="706C9DD4" w14:textId="77777777" w:rsidR="00F64AEF" w:rsidRPr="00DE41C4" w:rsidRDefault="00F64AEF" w:rsidP="00F64AEF">
      <w:pPr>
        <w:jc w:val="center"/>
        <w:rPr>
          <w:b/>
          <w:sz w:val="18"/>
          <w:szCs w:val="18"/>
        </w:rPr>
      </w:pPr>
      <w:r w:rsidRPr="00DE41C4">
        <w:rPr>
          <w:b/>
          <w:sz w:val="18"/>
          <w:szCs w:val="18"/>
        </w:rPr>
        <w:t>KASKAZINI PEMBA</w:t>
      </w:r>
    </w:p>
    <w:p w14:paraId="11EFC0A9"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Habiba Bakar Othuman</w:t>
      </w:r>
    </w:p>
    <w:p w14:paraId="35BEC393"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Hadid Rashid Hadid</w:t>
      </w:r>
    </w:p>
    <w:p w14:paraId="7261B05F"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Hamad Khamis Rashid</w:t>
      </w:r>
    </w:p>
    <w:p w14:paraId="28B821C7" w14:textId="77777777" w:rsidR="00F64AEF" w:rsidRPr="00DE41C4" w:rsidRDefault="00F64AEF" w:rsidP="00F64AEF">
      <w:pPr>
        <w:autoSpaceDE w:val="0"/>
        <w:autoSpaceDN w:val="0"/>
        <w:adjustRightInd w:val="0"/>
        <w:jc w:val="center"/>
        <w:rPr>
          <w:color w:val="000000"/>
          <w:sz w:val="18"/>
          <w:szCs w:val="18"/>
        </w:rPr>
      </w:pPr>
      <w:r w:rsidRPr="00DE41C4">
        <w:rPr>
          <w:color w:val="000000"/>
          <w:sz w:val="18"/>
          <w:szCs w:val="18"/>
        </w:rPr>
        <w:t>Sitti Haji Ali</w:t>
      </w:r>
    </w:p>
    <w:p w14:paraId="3AF48D1C" w14:textId="77777777" w:rsidR="00F64AEF" w:rsidRPr="00DE41C4" w:rsidRDefault="00F64AEF" w:rsidP="00F64AEF">
      <w:pPr>
        <w:jc w:val="center"/>
        <w:rPr>
          <w:b/>
          <w:sz w:val="18"/>
          <w:szCs w:val="18"/>
        </w:rPr>
      </w:pPr>
    </w:p>
    <w:p w14:paraId="52D63F64" w14:textId="77777777" w:rsidR="00F64AEF" w:rsidRPr="00DE41C4" w:rsidRDefault="00F64AEF" w:rsidP="00F64AEF">
      <w:pPr>
        <w:jc w:val="center"/>
        <w:rPr>
          <w:b/>
          <w:sz w:val="18"/>
          <w:szCs w:val="18"/>
        </w:rPr>
      </w:pPr>
      <w:r w:rsidRPr="00DE41C4">
        <w:rPr>
          <w:b/>
          <w:sz w:val="18"/>
          <w:szCs w:val="18"/>
        </w:rPr>
        <w:t>KUSINI PEMBA</w:t>
      </w:r>
    </w:p>
    <w:p w14:paraId="004ABF77" w14:textId="77777777" w:rsidR="00F64AEF" w:rsidRPr="00DE41C4" w:rsidRDefault="00F64AEF" w:rsidP="00F64AEF">
      <w:pPr>
        <w:jc w:val="center"/>
        <w:rPr>
          <w:b/>
          <w:sz w:val="18"/>
          <w:szCs w:val="18"/>
        </w:rPr>
      </w:pPr>
      <w:r w:rsidRPr="00DE41C4">
        <w:rPr>
          <w:color w:val="000000"/>
          <w:sz w:val="18"/>
          <w:szCs w:val="18"/>
        </w:rPr>
        <w:t>Rahma Said Hassan</w:t>
      </w:r>
    </w:p>
    <w:p w14:paraId="4E9FED6E" w14:textId="77777777" w:rsidR="00F64AEF" w:rsidRPr="00DE41C4" w:rsidRDefault="00F64AEF" w:rsidP="00F64AEF">
      <w:pPr>
        <w:jc w:val="center"/>
        <w:rPr>
          <w:b/>
          <w:sz w:val="18"/>
          <w:szCs w:val="18"/>
        </w:rPr>
      </w:pPr>
      <w:r w:rsidRPr="00DE41C4">
        <w:rPr>
          <w:color w:val="000000"/>
          <w:sz w:val="18"/>
          <w:szCs w:val="18"/>
        </w:rPr>
        <w:t>Sabiha Khamis Juma</w:t>
      </w:r>
    </w:p>
    <w:p w14:paraId="68646D73" w14:textId="0E3D1EE9" w:rsidR="00F64AEF" w:rsidRDefault="00F64AEF" w:rsidP="00F64AEF">
      <w:pPr>
        <w:tabs>
          <w:tab w:val="left" w:pos="2118"/>
        </w:tabs>
        <w:autoSpaceDE w:val="0"/>
        <w:autoSpaceDN w:val="0"/>
        <w:adjustRightInd w:val="0"/>
        <w:jc w:val="center"/>
        <w:rPr>
          <w:color w:val="000000"/>
          <w:sz w:val="18"/>
          <w:szCs w:val="18"/>
        </w:rPr>
      </w:pPr>
      <w:r w:rsidRPr="00DE41C4">
        <w:rPr>
          <w:color w:val="000000"/>
          <w:sz w:val="18"/>
          <w:szCs w:val="18"/>
        </w:rPr>
        <w:t xml:space="preserve">Salim Abdalla Masoud </w:t>
      </w:r>
    </w:p>
    <w:p w14:paraId="158AF09B" w14:textId="77777777" w:rsidR="003479EF" w:rsidRPr="00DE41C4" w:rsidRDefault="003479EF" w:rsidP="003479EF">
      <w:pPr>
        <w:autoSpaceDE w:val="0"/>
        <w:autoSpaceDN w:val="0"/>
        <w:adjustRightInd w:val="0"/>
        <w:jc w:val="center"/>
        <w:rPr>
          <w:color w:val="000000"/>
          <w:sz w:val="18"/>
          <w:szCs w:val="18"/>
        </w:rPr>
      </w:pPr>
      <w:r w:rsidRPr="00DE41C4">
        <w:rPr>
          <w:color w:val="000000"/>
          <w:sz w:val="18"/>
          <w:szCs w:val="18"/>
        </w:rPr>
        <w:t>Saleh Idrissa Abeid</w:t>
      </w:r>
    </w:p>
    <w:p w14:paraId="6FC25136" w14:textId="0BB8FD4E" w:rsidR="00F64AEF" w:rsidRPr="00DE41C4" w:rsidRDefault="00F64AEF" w:rsidP="00F64AEF">
      <w:pPr>
        <w:tabs>
          <w:tab w:val="left" w:pos="2118"/>
        </w:tabs>
        <w:autoSpaceDE w:val="0"/>
        <w:autoSpaceDN w:val="0"/>
        <w:adjustRightInd w:val="0"/>
        <w:jc w:val="center"/>
        <w:rPr>
          <w:color w:val="000000"/>
          <w:sz w:val="18"/>
          <w:szCs w:val="18"/>
        </w:rPr>
      </w:pPr>
    </w:p>
    <w:p w14:paraId="5FA459F7" w14:textId="77777777" w:rsidR="00F64AEF" w:rsidRPr="00DE41C4" w:rsidRDefault="00F64AEF" w:rsidP="00F64AEF">
      <w:pPr>
        <w:tabs>
          <w:tab w:val="left" w:pos="2118"/>
        </w:tabs>
        <w:autoSpaceDE w:val="0"/>
        <w:autoSpaceDN w:val="0"/>
        <w:adjustRightInd w:val="0"/>
        <w:jc w:val="center"/>
        <w:rPr>
          <w:color w:val="000000"/>
          <w:sz w:val="18"/>
          <w:szCs w:val="18"/>
        </w:rPr>
      </w:pPr>
    </w:p>
    <w:p w14:paraId="3F1C5509" w14:textId="1202B64B" w:rsidR="00F64AEF" w:rsidRPr="00DE41C4" w:rsidRDefault="00F64AEF" w:rsidP="00F64AEF">
      <w:pPr>
        <w:tabs>
          <w:tab w:val="left" w:pos="2118"/>
        </w:tabs>
        <w:autoSpaceDE w:val="0"/>
        <w:autoSpaceDN w:val="0"/>
        <w:adjustRightInd w:val="0"/>
        <w:jc w:val="center"/>
        <w:rPr>
          <w:color w:val="000000"/>
          <w:sz w:val="18"/>
          <w:szCs w:val="18"/>
        </w:rPr>
      </w:pPr>
    </w:p>
    <w:p w14:paraId="79D24089" w14:textId="37C4A678" w:rsidR="00F64AEF" w:rsidRPr="00DE41C4" w:rsidRDefault="00F64AEF" w:rsidP="00F64AEF">
      <w:pPr>
        <w:tabs>
          <w:tab w:val="left" w:pos="2118"/>
        </w:tabs>
        <w:autoSpaceDE w:val="0"/>
        <w:autoSpaceDN w:val="0"/>
        <w:adjustRightInd w:val="0"/>
        <w:jc w:val="center"/>
        <w:rPr>
          <w:color w:val="000000"/>
          <w:sz w:val="18"/>
          <w:szCs w:val="18"/>
        </w:rPr>
      </w:pPr>
    </w:p>
    <w:p w14:paraId="2DEFBAF3" w14:textId="41BCC752" w:rsidR="003073A0" w:rsidRPr="00DE41C4" w:rsidRDefault="003073A0" w:rsidP="00686BBB">
      <w:pPr>
        <w:spacing w:line="240" w:lineRule="auto"/>
        <w:ind w:left="-1134" w:right="-1134"/>
        <w:contextualSpacing w:val="0"/>
        <w:jc w:val="left"/>
        <w:rPr>
          <w:rFonts w:eastAsia="SimSun"/>
          <w:sz w:val="18"/>
          <w:szCs w:val="18"/>
        </w:rPr>
      </w:pPr>
    </w:p>
    <w:p w14:paraId="4549360F" w14:textId="77777777" w:rsidR="003073A0" w:rsidRPr="00DE41C4" w:rsidRDefault="003073A0" w:rsidP="003073A0">
      <w:pPr>
        <w:rPr>
          <w:rFonts w:eastAsia="SimSun"/>
          <w:sz w:val="18"/>
          <w:szCs w:val="18"/>
        </w:rPr>
      </w:pPr>
    </w:p>
    <w:p w14:paraId="69952FB6" w14:textId="77777777" w:rsidR="003073A0" w:rsidRPr="00DE41C4" w:rsidRDefault="003073A0" w:rsidP="003073A0">
      <w:pPr>
        <w:rPr>
          <w:rFonts w:eastAsia="SimSun"/>
          <w:sz w:val="18"/>
          <w:szCs w:val="18"/>
        </w:rPr>
      </w:pPr>
    </w:p>
    <w:p w14:paraId="08B22CFD" w14:textId="77777777" w:rsidR="003073A0" w:rsidRPr="00DE41C4" w:rsidRDefault="003073A0" w:rsidP="003073A0">
      <w:pPr>
        <w:rPr>
          <w:rFonts w:eastAsia="SimSun"/>
          <w:sz w:val="18"/>
          <w:szCs w:val="18"/>
        </w:rPr>
      </w:pPr>
    </w:p>
    <w:p w14:paraId="33AE6B4F" w14:textId="77777777" w:rsidR="003073A0" w:rsidRPr="00DE41C4" w:rsidRDefault="003073A0" w:rsidP="003073A0">
      <w:pPr>
        <w:rPr>
          <w:rFonts w:eastAsia="SimSun"/>
          <w:sz w:val="18"/>
          <w:szCs w:val="18"/>
        </w:rPr>
      </w:pPr>
    </w:p>
    <w:p w14:paraId="48D48DB4" w14:textId="77777777" w:rsidR="003073A0" w:rsidRPr="00DE41C4" w:rsidRDefault="003073A0" w:rsidP="003073A0">
      <w:pPr>
        <w:rPr>
          <w:rFonts w:eastAsia="SimSun"/>
          <w:sz w:val="18"/>
          <w:szCs w:val="18"/>
        </w:rPr>
      </w:pPr>
    </w:p>
    <w:p w14:paraId="70E38119" w14:textId="77777777" w:rsidR="002F3A98" w:rsidRDefault="002F3A98" w:rsidP="003073A0">
      <w:pPr>
        <w:rPr>
          <w:rFonts w:eastAsia="SimSun"/>
          <w:sz w:val="18"/>
          <w:szCs w:val="18"/>
        </w:rPr>
        <w:sectPr w:rsidR="002F3A98" w:rsidSect="002F3A98">
          <w:type w:val="continuous"/>
          <w:pgSz w:w="11900" w:h="16840" w:code="9"/>
          <w:pgMar w:top="1286" w:right="1440" w:bottom="1440" w:left="1440" w:header="709" w:footer="709" w:gutter="0"/>
          <w:cols w:num="3" w:space="708"/>
          <w:docGrid w:linePitch="360"/>
        </w:sectPr>
      </w:pPr>
    </w:p>
    <w:p w14:paraId="31C3AF1F" w14:textId="0DE6F8CD" w:rsidR="003073A0" w:rsidRPr="00DE41C4" w:rsidRDefault="003073A0" w:rsidP="003073A0">
      <w:pPr>
        <w:rPr>
          <w:rFonts w:eastAsia="SimSun"/>
          <w:sz w:val="18"/>
          <w:szCs w:val="18"/>
        </w:rPr>
      </w:pPr>
    </w:p>
    <w:p w14:paraId="0F506A67" w14:textId="4D228728" w:rsidR="00087547" w:rsidRPr="00997AC5" w:rsidRDefault="007E5465" w:rsidP="00997AC5">
      <w:pPr>
        <w:ind w:left="-1418" w:right="-1440" w:hanging="22"/>
        <w:rPr>
          <w:rFonts w:eastAsia="SimSun"/>
          <w:sz w:val="18"/>
          <w:szCs w:val="18"/>
        </w:rPr>
      </w:pPr>
      <w:r>
        <w:rPr>
          <w:rFonts w:eastAsia="SimSun"/>
          <w:noProof/>
          <w:sz w:val="18"/>
          <w:szCs w:val="18"/>
        </w:rPr>
        <w:lastRenderedPageBreak/>
        <w:drawing>
          <wp:anchor distT="0" distB="0" distL="114300" distR="114300" simplePos="0" relativeHeight="251838464" behindDoc="1" locked="0" layoutInCell="1" allowOverlap="1" wp14:anchorId="2F7FA0D8" wp14:editId="4F91CC53">
            <wp:simplePos x="0" y="0"/>
            <wp:positionH relativeFrom="column">
              <wp:posOffset>-914400</wp:posOffset>
            </wp:positionH>
            <wp:positionV relativeFrom="paragraph">
              <wp:posOffset>-7620</wp:posOffset>
            </wp:positionV>
            <wp:extent cx="7573645" cy="10748010"/>
            <wp:effectExtent l="0" t="0" r="0" b="0"/>
            <wp:wrapTight wrapText="bothSides">
              <wp:wrapPolygon edited="0">
                <wp:start x="0" y="0"/>
                <wp:lineTo x="0" y="21567"/>
                <wp:lineTo x="21551" y="21567"/>
                <wp:lineTo x="21551" y="0"/>
                <wp:lineTo x="0" y="0"/>
              </wp:wrapPolygon>
            </wp:wrapTight>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BOOK_COVER.jpg"/>
                    <pic:cNvPicPr/>
                  </pic:nvPicPr>
                  <pic:blipFill rotWithShape="1">
                    <a:blip r:embed="rId402" cstate="print">
                      <a:extLst>
                        <a:ext uri="{28A0092B-C50C-407E-A947-70E740481C1C}">
                          <a14:useLocalDpi xmlns:a14="http://schemas.microsoft.com/office/drawing/2010/main" val="0"/>
                        </a:ext>
                      </a:extLst>
                    </a:blip>
                    <a:srcRect r="50299"/>
                    <a:stretch/>
                  </pic:blipFill>
                  <pic:spPr bwMode="auto">
                    <a:xfrm>
                      <a:off x="0" y="0"/>
                      <a:ext cx="7573645" cy="10748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087547" w:rsidRPr="00997AC5" w:rsidSect="00997AC5">
      <w:type w:val="continuous"/>
      <w:pgSz w:w="11900" w:h="16840" w:code="9"/>
      <w:pgMar w:top="12" w:right="0" w:bottom="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ECC10EB" w14:textId="77777777" w:rsidR="00E909AE" w:rsidRDefault="00E909AE" w:rsidP="00B50B4E">
      <w:r>
        <w:separator/>
      </w:r>
    </w:p>
  </w:endnote>
  <w:endnote w:type="continuationSeparator" w:id="0">
    <w:p w14:paraId="6067F0D6" w14:textId="77777777" w:rsidR="00E909AE" w:rsidRDefault="00E909AE" w:rsidP="00B50B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Times New Roman Bold">
    <w:panose1 w:val="02020803070505020304"/>
    <w:charset w:val="00"/>
    <w:family w:val="roman"/>
    <w:pitch w:val="variable"/>
    <w:sig w:usb0="E0002AEF" w:usb1="C0007841"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imes New Roman (Body CS)">
    <w:panose1 w:val="02020603050405020304"/>
    <w:charset w:val="00"/>
    <w:family w:val="roman"/>
    <w:pitch w:val="variable"/>
    <w:sig w:usb0="E0002AEF" w:usb1="C0007841"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NewRomanPSMT">
    <w:panose1 w:val="02020603050405020304"/>
    <w:charset w:val="00"/>
    <w:family w:val="roman"/>
    <w:pitch w:val="variable"/>
    <w:sig w:usb0="E0002AEF" w:usb1="C0007841"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E634E4" w14:textId="0C36DA03" w:rsidR="00933456" w:rsidRDefault="00933456">
    <w:pPr>
      <w:pStyle w:val="Footer"/>
      <w:jc w:val="right"/>
    </w:pPr>
  </w:p>
  <w:p w14:paraId="030D63E0" w14:textId="77777777" w:rsidR="00933456" w:rsidRDefault="0093345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C3411D" w14:textId="79E00E8E" w:rsidR="00933456" w:rsidRDefault="00933456" w:rsidP="00C36413">
    <w:pPr>
      <w:pStyle w:val="Footer"/>
      <w:pBdr>
        <w:top w:val="thinThickSmallGap" w:sz="24" w:space="0" w:color="00B451"/>
      </w:pBdr>
      <w:rPr>
        <w:rFonts w:asciiTheme="majorHAnsi" w:eastAsiaTheme="majorEastAsia" w:hAnsiTheme="majorHAnsi" w:cstheme="majorBidi"/>
      </w:rPr>
    </w:pPr>
    <w:r w:rsidRPr="00756AE3">
      <w:rPr>
        <w:i/>
        <w:sz w:val="20"/>
        <w:szCs w:val="20"/>
      </w:rPr>
      <w:t>National Sample Census of Agriculture 2019/20</w:t>
    </w:r>
    <w:r>
      <w:rPr>
        <w:rFonts w:asciiTheme="majorHAnsi" w:eastAsiaTheme="majorEastAsia" w:hAnsiTheme="majorHAnsi" w:cstheme="majorBidi"/>
      </w:rPr>
      <w:ptab w:relativeTo="margin" w:alignment="right" w:leader="none"/>
    </w:r>
    <w:r w:rsidRPr="00606398">
      <w:rPr>
        <w:rFonts w:eastAsiaTheme="majorEastAsia"/>
      </w:rPr>
      <w:t xml:space="preserve"> </w:t>
    </w:r>
    <w:r w:rsidRPr="00606398">
      <w:rPr>
        <w:rFonts w:eastAsiaTheme="minorEastAsia"/>
      </w:rPr>
      <w:fldChar w:fldCharType="begin"/>
    </w:r>
    <w:r w:rsidRPr="00606398">
      <w:instrText xml:space="preserve"> PAGE   \* MERGEFORMAT </w:instrText>
    </w:r>
    <w:r w:rsidRPr="00606398">
      <w:rPr>
        <w:rFonts w:eastAsiaTheme="minorEastAsia"/>
      </w:rPr>
      <w:fldChar w:fldCharType="separate"/>
    </w:r>
    <w:r w:rsidRPr="009538E3">
      <w:rPr>
        <w:rFonts w:eastAsiaTheme="majorEastAsia"/>
        <w:noProof/>
      </w:rPr>
      <w:t>295</w:t>
    </w:r>
    <w:r w:rsidRPr="00606398">
      <w:rPr>
        <w:rFonts w:eastAsiaTheme="majorEastAsia"/>
        <w:noProof/>
      </w:rPr>
      <w:fldChar w:fldCharType="end"/>
    </w:r>
  </w:p>
  <w:p w14:paraId="25AA31CB" w14:textId="77777777" w:rsidR="00933456" w:rsidRDefault="0093345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FBEF5E3" w14:textId="77777777" w:rsidR="00E909AE" w:rsidRDefault="00E909AE" w:rsidP="00B50B4E">
      <w:r>
        <w:separator/>
      </w:r>
    </w:p>
  </w:footnote>
  <w:footnote w:type="continuationSeparator" w:id="0">
    <w:p w14:paraId="0D2B66D7" w14:textId="77777777" w:rsidR="00E909AE" w:rsidRDefault="00E909AE" w:rsidP="00B50B4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C7E2D09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39D6240C"/>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2DA8EFA4"/>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20F0F59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9890789E"/>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E1240C4"/>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CE4636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F60802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AD6B9C6"/>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F6B2D18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067A04"/>
    <w:multiLevelType w:val="hybridMultilevel"/>
    <w:tmpl w:val="93D627AE"/>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1" w15:restartNumberingAfterBreak="0">
    <w:nsid w:val="055C599C"/>
    <w:multiLevelType w:val="hybridMultilevel"/>
    <w:tmpl w:val="FB2C8FEC"/>
    <w:lvl w:ilvl="0" w:tplc="4732D2C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72B1E5B"/>
    <w:multiLevelType w:val="hybridMultilevel"/>
    <w:tmpl w:val="9D36C248"/>
    <w:lvl w:ilvl="0" w:tplc="04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0A7D0C31"/>
    <w:multiLevelType w:val="hybridMultilevel"/>
    <w:tmpl w:val="A176D99C"/>
    <w:lvl w:ilvl="0" w:tplc="F1B69A28">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 w15:restartNumberingAfterBreak="0">
    <w:nsid w:val="0C8C17B7"/>
    <w:multiLevelType w:val="hybridMultilevel"/>
    <w:tmpl w:val="F0E64C6E"/>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5" w15:restartNumberingAfterBreak="0">
    <w:nsid w:val="16126C5E"/>
    <w:multiLevelType w:val="hybridMultilevel"/>
    <w:tmpl w:val="4566CA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7960CEA"/>
    <w:multiLevelType w:val="hybridMultilevel"/>
    <w:tmpl w:val="59C69AE6"/>
    <w:lvl w:ilvl="0" w:tplc="11125ECE">
      <w:start w:val="1"/>
      <w:numFmt w:val="lowerRoman"/>
      <w:lvlText w:val="%1)."/>
      <w:lvlJc w:val="left"/>
      <w:pPr>
        <w:ind w:left="720" w:hanging="360"/>
      </w:pPr>
      <w:rPr>
        <w:rFonts w:hint="default"/>
        <w:b w:val="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1E9873FB"/>
    <w:multiLevelType w:val="hybridMultilevel"/>
    <w:tmpl w:val="675496D8"/>
    <w:lvl w:ilvl="0" w:tplc="69464394">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0DF4C7D"/>
    <w:multiLevelType w:val="hybridMultilevel"/>
    <w:tmpl w:val="32A2BFD4"/>
    <w:lvl w:ilvl="0" w:tplc="04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20F16631"/>
    <w:multiLevelType w:val="hybridMultilevel"/>
    <w:tmpl w:val="75EA1426"/>
    <w:lvl w:ilvl="0" w:tplc="9F62F85C">
      <w:start w:val="1"/>
      <w:numFmt w:val="lowerLetter"/>
      <w:lvlText w:val="%1)"/>
      <w:lvlJc w:val="left"/>
      <w:pPr>
        <w:ind w:left="927" w:hanging="360"/>
      </w:pPr>
      <w:rPr>
        <w:rFonts w:ascii="Times New Roman Bold" w:hAnsi="Times New Roman Bold" w:cs="Times New Roman Bold" w:hint="default"/>
        <w:w w:val="100"/>
      </w:rPr>
    </w:lvl>
    <w:lvl w:ilvl="1" w:tplc="08090019">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0" w15:restartNumberingAfterBreak="0">
    <w:nsid w:val="22E032E0"/>
    <w:multiLevelType w:val="hybridMultilevel"/>
    <w:tmpl w:val="6A584866"/>
    <w:lvl w:ilvl="0" w:tplc="04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2AA10AF8"/>
    <w:multiLevelType w:val="hybridMultilevel"/>
    <w:tmpl w:val="625A89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4821969"/>
    <w:multiLevelType w:val="hybridMultilevel"/>
    <w:tmpl w:val="DF322BE4"/>
    <w:lvl w:ilvl="0" w:tplc="69464394">
      <w:start w:val="1"/>
      <w:numFmt w:val="lowerRoman"/>
      <w:lvlText w:val="%1)."/>
      <w:lvlJc w:val="righ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5245347"/>
    <w:multiLevelType w:val="hybridMultilevel"/>
    <w:tmpl w:val="43D6DD0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0D86C76"/>
    <w:multiLevelType w:val="hybridMultilevel"/>
    <w:tmpl w:val="5468915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415F19DA"/>
    <w:multiLevelType w:val="hybridMultilevel"/>
    <w:tmpl w:val="E848D95C"/>
    <w:lvl w:ilvl="0" w:tplc="11125ECE">
      <w:start w:val="1"/>
      <w:numFmt w:val="lowerRoman"/>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7DD335B"/>
    <w:multiLevelType w:val="hybridMultilevel"/>
    <w:tmpl w:val="DB140D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FCC116F"/>
    <w:multiLevelType w:val="singleLevel"/>
    <w:tmpl w:val="60E18AC5"/>
    <w:lvl w:ilvl="0">
      <w:start w:val="1"/>
      <w:numFmt w:val="decimal"/>
      <w:lvlText w:val="%1."/>
      <w:lvlJc w:val="left"/>
      <w:pPr>
        <w:ind w:left="425" w:hanging="425"/>
      </w:pPr>
      <w:rPr>
        <w:rFonts w:hint="default"/>
      </w:rPr>
    </w:lvl>
  </w:abstractNum>
  <w:abstractNum w:abstractNumId="28" w15:restartNumberingAfterBreak="0">
    <w:nsid w:val="533613DF"/>
    <w:multiLevelType w:val="hybridMultilevel"/>
    <w:tmpl w:val="FB9C27E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49C3E0F"/>
    <w:multiLevelType w:val="hybridMultilevel"/>
    <w:tmpl w:val="01BA83D0"/>
    <w:lvl w:ilvl="0" w:tplc="11125ECE">
      <w:start w:val="1"/>
      <w:numFmt w:val="lowerRoman"/>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7454C34"/>
    <w:multiLevelType w:val="hybridMultilevel"/>
    <w:tmpl w:val="36A26E60"/>
    <w:lvl w:ilvl="0" w:tplc="7EE8F8EC">
      <w:numFmt w:val="bullet"/>
      <w:lvlText w:val=""/>
      <w:lvlJc w:val="left"/>
      <w:pPr>
        <w:ind w:left="720" w:hanging="360"/>
      </w:pPr>
      <w:rPr>
        <w:rFonts w:ascii="Symbol" w:eastAsia="Calibr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0DB1695"/>
    <w:multiLevelType w:val="singleLevel"/>
    <w:tmpl w:val="60DB1695"/>
    <w:lvl w:ilvl="0">
      <w:start w:val="1"/>
      <w:numFmt w:val="decimal"/>
      <w:lvlText w:val="%1."/>
      <w:lvlJc w:val="left"/>
      <w:pPr>
        <w:ind w:left="425" w:hanging="425"/>
      </w:pPr>
      <w:rPr>
        <w:rFonts w:hint="default"/>
      </w:rPr>
    </w:lvl>
  </w:abstractNum>
  <w:abstractNum w:abstractNumId="32" w15:restartNumberingAfterBreak="0">
    <w:nsid w:val="60E18AC5"/>
    <w:multiLevelType w:val="singleLevel"/>
    <w:tmpl w:val="C382E030"/>
    <w:lvl w:ilvl="0">
      <w:start w:val="1"/>
      <w:numFmt w:val="lowerRoman"/>
      <w:lvlText w:val="%1)."/>
      <w:lvlJc w:val="right"/>
      <w:pPr>
        <w:ind w:left="360" w:hanging="360"/>
      </w:pPr>
      <w:rPr>
        <w:rFonts w:hint="default"/>
      </w:rPr>
    </w:lvl>
  </w:abstractNum>
  <w:abstractNum w:abstractNumId="33" w15:restartNumberingAfterBreak="0">
    <w:nsid w:val="627C69E0"/>
    <w:multiLevelType w:val="hybridMultilevel"/>
    <w:tmpl w:val="F244CBE2"/>
    <w:lvl w:ilvl="0" w:tplc="04090017">
      <w:start w:val="1"/>
      <w:numFmt w:val="lowerLetter"/>
      <w:lvlText w:val="%1)"/>
      <w:lvlJc w:val="left"/>
      <w:pPr>
        <w:ind w:left="1080" w:hanging="360"/>
      </w:pPr>
      <w:rPr>
        <w:rFonts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4" w15:restartNumberingAfterBreak="0">
    <w:nsid w:val="65717A83"/>
    <w:multiLevelType w:val="multilevel"/>
    <w:tmpl w:val="6B9001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71F46454"/>
    <w:multiLevelType w:val="hybridMultilevel"/>
    <w:tmpl w:val="7DA83AD8"/>
    <w:lvl w:ilvl="0" w:tplc="04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74571041"/>
    <w:multiLevelType w:val="hybridMultilevel"/>
    <w:tmpl w:val="CD8E5D8C"/>
    <w:lvl w:ilvl="0" w:tplc="04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6DA6933"/>
    <w:multiLevelType w:val="hybridMultilevel"/>
    <w:tmpl w:val="45983818"/>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8" w15:restartNumberingAfterBreak="0">
    <w:nsid w:val="782E491E"/>
    <w:multiLevelType w:val="singleLevel"/>
    <w:tmpl w:val="60E18AC5"/>
    <w:lvl w:ilvl="0">
      <w:start w:val="1"/>
      <w:numFmt w:val="decimal"/>
      <w:lvlText w:val="%1."/>
      <w:lvlJc w:val="left"/>
      <w:pPr>
        <w:ind w:left="425" w:hanging="425"/>
      </w:pPr>
      <w:rPr>
        <w:rFonts w:hint="default"/>
      </w:rPr>
    </w:lvl>
  </w:abstractNum>
  <w:abstractNum w:abstractNumId="39" w15:restartNumberingAfterBreak="0">
    <w:nsid w:val="7AEA2B7E"/>
    <w:multiLevelType w:val="hybridMultilevel"/>
    <w:tmpl w:val="67209BDE"/>
    <w:lvl w:ilvl="0" w:tplc="04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4"/>
  </w:num>
  <w:num w:numId="2">
    <w:abstractNumId w:val="22"/>
  </w:num>
  <w:num w:numId="3">
    <w:abstractNumId w:val="35"/>
  </w:num>
  <w:num w:numId="4">
    <w:abstractNumId w:val="39"/>
  </w:num>
  <w:num w:numId="5">
    <w:abstractNumId w:val="20"/>
  </w:num>
  <w:num w:numId="6">
    <w:abstractNumId w:val="13"/>
  </w:num>
  <w:num w:numId="7">
    <w:abstractNumId w:val="19"/>
  </w:num>
  <w:num w:numId="8">
    <w:abstractNumId w:val="10"/>
  </w:num>
  <w:num w:numId="9">
    <w:abstractNumId w:val="31"/>
  </w:num>
  <w:num w:numId="10">
    <w:abstractNumId w:val="14"/>
  </w:num>
  <w:num w:numId="11">
    <w:abstractNumId w:val="37"/>
  </w:num>
  <w:num w:numId="12">
    <w:abstractNumId w:val="32"/>
  </w:num>
  <w:num w:numId="13">
    <w:abstractNumId w:val="27"/>
  </w:num>
  <w:num w:numId="14">
    <w:abstractNumId w:val="38"/>
  </w:num>
  <w:num w:numId="15">
    <w:abstractNumId w:val="33"/>
  </w:num>
  <w:num w:numId="16">
    <w:abstractNumId w:val="28"/>
  </w:num>
  <w:num w:numId="17">
    <w:abstractNumId w:val="12"/>
  </w:num>
  <w:num w:numId="18">
    <w:abstractNumId w:val="18"/>
  </w:num>
  <w:num w:numId="19">
    <w:abstractNumId w:val="36"/>
  </w:num>
  <w:num w:numId="20">
    <w:abstractNumId w:val="25"/>
  </w:num>
  <w:num w:numId="21">
    <w:abstractNumId w:val="30"/>
  </w:num>
  <w:num w:numId="22">
    <w:abstractNumId w:val="29"/>
  </w:num>
  <w:num w:numId="23">
    <w:abstractNumId w:val="23"/>
  </w:num>
  <w:num w:numId="24">
    <w:abstractNumId w:val="16"/>
  </w:num>
  <w:num w:numId="25">
    <w:abstractNumId w:val="0"/>
  </w:num>
  <w:num w:numId="26">
    <w:abstractNumId w:val="1"/>
  </w:num>
  <w:num w:numId="27">
    <w:abstractNumId w:val="2"/>
  </w:num>
  <w:num w:numId="28">
    <w:abstractNumId w:val="3"/>
  </w:num>
  <w:num w:numId="29">
    <w:abstractNumId w:val="8"/>
  </w:num>
  <w:num w:numId="30">
    <w:abstractNumId w:val="4"/>
  </w:num>
  <w:num w:numId="31">
    <w:abstractNumId w:val="5"/>
  </w:num>
  <w:num w:numId="32">
    <w:abstractNumId w:val="6"/>
  </w:num>
  <w:num w:numId="33">
    <w:abstractNumId w:val="7"/>
  </w:num>
  <w:num w:numId="34">
    <w:abstractNumId w:val="9"/>
  </w:num>
  <w:num w:numId="35">
    <w:abstractNumId w:val="15"/>
  </w:num>
  <w:num w:numId="36">
    <w:abstractNumId w:val="17"/>
  </w:num>
  <w:num w:numId="37">
    <w:abstractNumId w:val="11"/>
  </w:num>
  <w:num w:numId="38">
    <w:abstractNumId w:val="34"/>
  </w:num>
  <w:num w:numId="39">
    <w:abstractNumId w:val="26"/>
  </w:num>
  <w:num w:numId="40">
    <w:abstractNumId w:val="21"/>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9"/>
  <w:hideSpellingErrors/>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B0C0E"/>
    <w:rsid w:val="00003215"/>
    <w:rsid w:val="000032B5"/>
    <w:rsid w:val="00004136"/>
    <w:rsid w:val="0000454F"/>
    <w:rsid w:val="0000655E"/>
    <w:rsid w:val="00007A33"/>
    <w:rsid w:val="00010865"/>
    <w:rsid w:val="00010A9A"/>
    <w:rsid w:val="00011DD0"/>
    <w:rsid w:val="000120C9"/>
    <w:rsid w:val="00012D11"/>
    <w:rsid w:val="00013942"/>
    <w:rsid w:val="00014F69"/>
    <w:rsid w:val="000153E2"/>
    <w:rsid w:val="00015403"/>
    <w:rsid w:val="00021697"/>
    <w:rsid w:val="00022347"/>
    <w:rsid w:val="000264EE"/>
    <w:rsid w:val="000271CF"/>
    <w:rsid w:val="00027305"/>
    <w:rsid w:val="00027323"/>
    <w:rsid w:val="00027EDC"/>
    <w:rsid w:val="00031DFD"/>
    <w:rsid w:val="0003283E"/>
    <w:rsid w:val="00033F8C"/>
    <w:rsid w:val="00035643"/>
    <w:rsid w:val="00036254"/>
    <w:rsid w:val="00036453"/>
    <w:rsid w:val="00036CE3"/>
    <w:rsid w:val="00036FE9"/>
    <w:rsid w:val="00041853"/>
    <w:rsid w:val="00041C5B"/>
    <w:rsid w:val="0004203B"/>
    <w:rsid w:val="000422C3"/>
    <w:rsid w:val="00043161"/>
    <w:rsid w:val="0004353B"/>
    <w:rsid w:val="00043C2A"/>
    <w:rsid w:val="0004640E"/>
    <w:rsid w:val="00047AAD"/>
    <w:rsid w:val="00047DAD"/>
    <w:rsid w:val="00051206"/>
    <w:rsid w:val="0005231C"/>
    <w:rsid w:val="00054812"/>
    <w:rsid w:val="00054952"/>
    <w:rsid w:val="000552F6"/>
    <w:rsid w:val="00055593"/>
    <w:rsid w:val="00056E7F"/>
    <w:rsid w:val="000570FD"/>
    <w:rsid w:val="0005725F"/>
    <w:rsid w:val="000578E9"/>
    <w:rsid w:val="00060B34"/>
    <w:rsid w:val="0006368A"/>
    <w:rsid w:val="00063A9B"/>
    <w:rsid w:val="000641A2"/>
    <w:rsid w:val="00064D4C"/>
    <w:rsid w:val="000663F1"/>
    <w:rsid w:val="0006697A"/>
    <w:rsid w:val="00067EF6"/>
    <w:rsid w:val="00071777"/>
    <w:rsid w:val="000721D8"/>
    <w:rsid w:val="00072353"/>
    <w:rsid w:val="0007256D"/>
    <w:rsid w:val="000736E9"/>
    <w:rsid w:val="00076B2A"/>
    <w:rsid w:val="00076CC3"/>
    <w:rsid w:val="000778C6"/>
    <w:rsid w:val="00080727"/>
    <w:rsid w:val="000807B0"/>
    <w:rsid w:val="00080CBA"/>
    <w:rsid w:val="000811B3"/>
    <w:rsid w:val="000831AF"/>
    <w:rsid w:val="000833A4"/>
    <w:rsid w:val="000847DE"/>
    <w:rsid w:val="000872A9"/>
    <w:rsid w:val="00087547"/>
    <w:rsid w:val="00087CEC"/>
    <w:rsid w:val="00090084"/>
    <w:rsid w:val="000900BA"/>
    <w:rsid w:val="000908FF"/>
    <w:rsid w:val="000921C7"/>
    <w:rsid w:val="000955E7"/>
    <w:rsid w:val="00096383"/>
    <w:rsid w:val="00096541"/>
    <w:rsid w:val="00096F03"/>
    <w:rsid w:val="000A0935"/>
    <w:rsid w:val="000A0DBF"/>
    <w:rsid w:val="000A1869"/>
    <w:rsid w:val="000A2342"/>
    <w:rsid w:val="000A2A0B"/>
    <w:rsid w:val="000A40C0"/>
    <w:rsid w:val="000A5ABC"/>
    <w:rsid w:val="000A5D07"/>
    <w:rsid w:val="000A67F8"/>
    <w:rsid w:val="000A6832"/>
    <w:rsid w:val="000B0919"/>
    <w:rsid w:val="000B16F1"/>
    <w:rsid w:val="000B2FD1"/>
    <w:rsid w:val="000B426B"/>
    <w:rsid w:val="000B4646"/>
    <w:rsid w:val="000B48BC"/>
    <w:rsid w:val="000B5533"/>
    <w:rsid w:val="000C0732"/>
    <w:rsid w:val="000C0B1F"/>
    <w:rsid w:val="000C1237"/>
    <w:rsid w:val="000C1F76"/>
    <w:rsid w:val="000C2202"/>
    <w:rsid w:val="000C3250"/>
    <w:rsid w:val="000C32CB"/>
    <w:rsid w:val="000C371E"/>
    <w:rsid w:val="000C4795"/>
    <w:rsid w:val="000C4FA2"/>
    <w:rsid w:val="000C587F"/>
    <w:rsid w:val="000C7A70"/>
    <w:rsid w:val="000D0BA5"/>
    <w:rsid w:val="000D14B1"/>
    <w:rsid w:val="000D2ACC"/>
    <w:rsid w:val="000D3065"/>
    <w:rsid w:val="000D40DD"/>
    <w:rsid w:val="000D483E"/>
    <w:rsid w:val="000D4A01"/>
    <w:rsid w:val="000D4BB5"/>
    <w:rsid w:val="000D4D71"/>
    <w:rsid w:val="000D4F8D"/>
    <w:rsid w:val="000D56D1"/>
    <w:rsid w:val="000D674E"/>
    <w:rsid w:val="000D6BD7"/>
    <w:rsid w:val="000D6D7E"/>
    <w:rsid w:val="000D7516"/>
    <w:rsid w:val="000E00D3"/>
    <w:rsid w:val="000E00F8"/>
    <w:rsid w:val="000E01CE"/>
    <w:rsid w:val="000E1363"/>
    <w:rsid w:val="000E2021"/>
    <w:rsid w:val="000E2E49"/>
    <w:rsid w:val="000E3DA6"/>
    <w:rsid w:val="000E5E14"/>
    <w:rsid w:val="000E5F87"/>
    <w:rsid w:val="000E752A"/>
    <w:rsid w:val="000F0F78"/>
    <w:rsid w:val="000F26C6"/>
    <w:rsid w:val="000F2C7C"/>
    <w:rsid w:val="000F39DA"/>
    <w:rsid w:val="000F52D8"/>
    <w:rsid w:val="000F592A"/>
    <w:rsid w:val="000F7E68"/>
    <w:rsid w:val="0010021C"/>
    <w:rsid w:val="0010146D"/>
    <w:rsid w:val="00104447"/>
    <w:rsid w:val="00105DDA"/>
    <w:rsid w:val="001060B1"/>
    <w:rsid w:val="00107786"/>
    <w:rsid w:val="00107E84"/>
    <w:rsid w:val="00113F7E"/>
    <w:rsid w:val="00114220"/>
    <w:rsid w:val="00114D61"/>
    <w:rsid w:val="00115E92"/>
    <w:rsid w:val="00116990"/>
    <w:rsid w:val="00116F11"/>
    <w:rsid w:val="001170F9"/>
    <w:rsid w:val="001174B4"/>
    <w:rsid w:val="001175A6"/>
    <w:rsid w:val="00117C2F"/>
    <w:rsid w:val="00117C6C"/>
    <w:rsid w:val="00120AF9"/>
    <w:rsid w:val="00121EE6"/>
    <w:rsid w:val="00122450"/>
    <w:rsid w:val="00122821"/>
    <w:rsid w:val="00124FC4"/>
    <w:rsid w:val="00125930"/>
    <w:rsid w:val="0012727A"/>
    <w:rsid w:val="001300D0"/>
    <w:rsid w:val="00130466"/>
    <w:rsid w:val="00130DA4"/>
    <w:rsid w:val="00131A0F"/>
    <w:rsid w:val="001332E7"/>
    <w:rsid w:val="00133AC0"/>
    <w:rsid w:val="00134CB5"/>
    <w:rsid w:val="0013569B"/>
    <w:rsid w:val="00135766"/>
    <w:rsid w:val="00136A3B"/>
    <w:rsid w:val="001370FF"/>
    <w:rsid w:val="00140C9D"/>
    <w:rsid w:val="00140F27"/>
    <w:rsid w:val="00141395"/>
    <w:rsid w:val="00141404"/>
    <w:rsid w:val="00141814"/>
    <w:rsid w:val="001429C5"/>
    <w:rsid w:val="00143C67"/>
    <w:rsid w:val="00144A12"/>
    <w:rsid w:val="00144FF5"/>
    <w:rsid w:val="001454D4"/>
    <w:rsid w:val="00145FA9"/>
    <w:rsid w:val="00146680"/>
    <w:rsid w:val="001466AA"/>
    <w:rsid w:val="00146B47"/>
    <w:rsid w:val="001503F5"/>
    <w:rsid w:val="0015047D"/>
    <w:rsid w:val="00150D92"/>
    <w:rsid w:val="00151914"/>
    <w:rsid w:val="00153FCC"/>
    <w:rsid w:val="001550D5"/>
    <w:rsid w:val="00156E20"/>
    <w:rsid w:val="001570D4"/>
    <w:rsid w:val="0015754C"/>
    <w:rsid w:val="00160100"/>
    <w:rsid w:val="001622C2"/>
    <w:rsid w:val="001629E1"/>
    <w:rsid w:val="00163E8A"/>
    <w:rsid w:val="0016518B"/>
    <w:rsid w:val="00165602"/>
    <w:rsid w:val="00165B5B"/>
    <w:rsid w:val="00165C0E"/>
    <w:rsid w:val="00167924"/>
    <w:rsid w:val="00170FEF"/>
    <w:rsid w:val="00173246"/>
    <w:rsid w:val="0017326D"/>
    <w:rsid w:val="00180154"/>
    <w:rsid w:val="00182B2B"/>
    <w:rsid w:val="00183944"/>
    <w:rsid w:val="00184A5F"/>
    <w:rsid w:val="00185559"/>
    <w:rsid w:val="00191E52"/>
    <w:rsid w:val="001922C9"/>
    <w:rsid w:val="00192801"/>
    <w:rsid w:val="00193728"/>
    <w:rsid w:val="00194B64"/>
    <w:rsid w:val="001959ED"/>
    <w:rsid w:val="00195DC0"/>
    <w:rsid w:val="00196AB6"/>
    <w:rsid w:val="00196B67"/>
    <w:rsid w:val="001A031E"/>
    <w:rsid w:val="001A1309"/>
    <w:rsid w:val="001A1444"/>
    <w:rsid w:val="001A2A8C"/>
    <w:rsid w:val="001A31F1"/>
    <w:rsid w:val="001A3CC5"/>
    <w:rsid w:val="001A4B32"/>
    <w:rsid w:val="001A60BC"/>
    <w:rsid w:val="001B01B5"/>
    <w:rsid w:val="001B0C3C"/>
    <w:rsid w:val="001B0EFE"/>
    <w:rsid w:val="001B2390"/>
    <w:rsid w:val="001B26AC"/>
    <w:rsid w:val="001B280E"/>
    <w:rsid w:val="001B2D0C"/>
    <w:rsid w:val="001B3065"/>
    <w:rsid w:val="001B4FE5"/>
    <w:rsid w:val="001B7403"/>
    <w:rsid w:val="001B7607"/>
    <w:rsid w:val="001B7C87"/>
    <w:rsid w:val="001C0DD2"/>
    <w:rsid w:val="001C0E40"/>
    <w:rsid w:val="001C1255"/>
    <w:rsid w:val="001C26C6"/>
    <w:rsid w:val="001C37CF"/>
    <w:rsid w:val="001C5890"/>
    <w:rsid w:val="001C5B86"/>
    <w:rsid w:val="001C6040"/>
    <w:rsid w:val="001C689D"/>
    <w:rsid w:val="001D008A"/>
    <w:rsid w:val="001D1E80"/>
    <w:rsid w:val="001D4647"/>
    <w:rsid w:val="001D472C"/>
    <w:rsid w:val="001D4A43"/>
    <w:rsid w:val="001D5024"/>
    <w:rsid w:val="001D5FDD"/>
    <w:rsid w:val="001D634D"/>
    <w:rsid w:val="001E131A"/>
    <w:rsid w:val="001E2D27"/>
    <w:rsid w:val="001E2E96"/>
    <w:rsid w:val="001E3411"/>
    <w:rsid w:val="001E3B1A"/>
    <w:rsid w:val="001E3B74"/>
    <w:rsid w:val="001E3C15"/>
    <w:rsid w:val="001E5FC2"/>
    <w:rsid w:val="001E6112"/>
    <w:rsid w:val="001E64F6"/>
    <w:rsid w:val="001E7095"/>
    <w:rsid w:val="001E7367"/>
    <w:rsid w:val="001F1C73"/>
    <w:rsid w:val="001F3343"/>
    <w:rsid w:val="001F3F01"/>
    <w:rsid w:val="001F3FAE"/>
    <w:rsid w:val="001F4A13"/>
    <w:rsid w:val="001F75E4"/>
    <w:rsid w:val="001F75EC"/>
    <w:rsid w:val="0020141D"/>
    <w:rsid w:val="00203C6D"/>
    <w:rsid w:val="00203F5A"/>
    <w:rsid w:val="00204915"/>
    <w:rsid w:val="0020534D"/>
    <w:rsid w:val="00207CB9"/>
    <w:rsid w:val="0021003E"/>
    <w:rsid w:val="00210D5D"/>
    <w:rsid w:val="0021188C"/>
    <w:rsid w:val="00212159"/>
    <w:rsid w:val="00212E5F"/>
    <w:rsid w:val="00213BC6"/>
    <w:rsid w:val="00214AFA"/>
    <w:rsid w:val="00214B38"/>
    <w:rsid w:val="0021592E"/>
    <w:rsid w:val="00216F13"/>
    <w:rsid w:val="00217BD1"/>
    <w:rsid w:val="00217EB4"/>
    <w:rsid w:val="00220574"/>
    <w:rsid w:val="00221173"/>
    <w:rsid w:val="002211B5"/>
    <w:rsid w:val="002216AD"/>
    <w:rsid w:val="00222026"/>
    <w:rsid w:val="002221D9"/>
    <w:rsid w:val="00222490"/>
    <w:rsid w:val="00222BB6"/>
    <w:rsid w:val="00223159"/>
    <w:rsid w:val="00224B51"/>
    <w:rsid w:val="00224F37"/>
    <w:rsid w:val="002261ED"/>
    <w:rsid w:val="00226389"/>
    <w:rsid w:val="00227600"/>
    <w:rsid w:val="00227F04"/>
    <w:rsid w:val="00231C1E"/>
    <w:rsid w:val="00233206"/>
    <w:rsid w:val="00233635"/>
    <w:rsid w:val="00233DD7"/>
    <w:rsid w:val="002350DA"/>
    <w:rsid w:val="0023528E"/>
    <w:rsid w:val="002361AE"/>
    <w:rsid w:val="00236896"/>
    <w:rsid w:val="0024189E"/>
    <w:rsid w:val="002419B0"/>
    <w:rsid w:val="002423D7"/>
    <w:rsid w:val="00242442"/>
    <w:rsid w:val="0024261A"/>
    <w:rsid w:val="00242FBC"/>
    <w:rsid w:val="0024483A"/>
    <w:rsid w:val="00245DE2"/>
    <w:rsid w:val="00246D13"/>
    <w:rsid w:val="002523B0"/>
    <w:rsid w:val="00252C05"/>
    <w:rsid w:val="0025488A"/>
    <w:rsid w:val="00254A0C"/>
    <w:rsid w:val="00255E17"/>
    <w:rsid w:val="002566E9"/>
    <w:rsid w:val="002576A9"/>
    <w:rsid w:val="00257CB2"/>
    <w:rsid w:val="00257DF7"/>
    <w:rsid w:val="00262A5B"/>
    <w:rsid w:val="0026461C"/>
    <w:rsid w:val="002656BC"/>
    <w:rsid w:val="00265BE7"/>
    <w:rsid w:val="00266A20"/>
    <w:rsid w:val="00266BA6"/>
    <w:rsid w:val="00266CBC"/>
    <w:rsid w:val="002675C0"/>
    <w:rsid w:val="0027026C"/>
    <w:rsid w:val="002716E8"/>
    <w:rsid w:val="002723F3"/>
    <w:rsid w:val="00272901"/>
    <w:rsid w:val="00272C3E"/>
    <w:rsid w:val="00272D3E"/>
    <w:rsid w:val="00273161"/>
    <w:rsid w:val="0027388A"/>
    <w:rsid w:val="00275016"/>
    <w:rsid w:val="0027533D"/>
    <w:rsid w:val="00277067"/>
    <w:rsid w:val="00277FB5"/>
    <w:rsid w:val="00280F56"/>
    <w:rsid w:val="00281EE5"/>
    <w:rsid w:val="00282F6D"/>
    <w:rsid w:val="002832D6"/>
    <w:rsid w:val="00284B57"/>
    <w:rsid w:val="00284D91"/>
    <w:rsid w:val="0028597B"/>
    <w:rsid w:val="00285CCC"/>
    <w:rsid w:val="0028639A"/>
    <w:rsid w:val="00286F8D"/>
    <w:rsid w:val="00287863"/>
    <w:rsid w:val="00291F39"/>
    <w:rsid w:val="002926DB"/>
    <w:rsid w:val="00293ACC"/>
    <w:rsid w:val="002940E1"/>
    <w:rsid w:val="00295474"/>
    <w:rsid w:val="0029588C"/>
    <w:rsid w:val="002A05C9"/>
    <w:rsid w:val="002A1D26"/>
    <w:rsid w:val="002A2DC6"/>
    <w:rsid w:val="002A3B51"/>
    <w:rsid w:val="002A50E9"/>
    <w:rsid w:val="002A7B4A"/>
    <w:rsid w:val="002B0075"/>
    <w:rsid w:val="002B03DA"/>
    <w:rsid w:val="002B0643"/>
    <w:rsid w:val="002B0766"/>
    <w:rsid w:val="002B19A4"/>
    <w:rsid w:val="002B1A96"/>
    <w:rsid w:val="002B2006"/>
    <w:rsid w:val="002B24D6"/>
    <w:rsid w:val="002B2700"/>
    <w:rsid w:val="002B3537"/>
    <w:rsid w:val="002B5249"/>
    <w:rsid w:val="002B578B"/>
    <w:rsid w:val="002B607B"/>
    <w:rsid w:val="002B6C6F"/>
    <w:rsid w:val="002B6D6F"/>
    <w:rsid w:val="002C051F"/>
    <w:rsid w:val="002C0E50"/>
    <w:rsid w:val="002C1415"/>
    <w:rsid w:val="002C191E"/>
    <w:rsid w:val="002C1BA6"/>
    <w:rsid w:val="002C20B5"/>
    <w:rsid w:val="002C321F"/>
    <w:rsid w:val="002C5576"/>
    <w:rsid w:val="002C5A86"/>
    <w:rsid w:val="002C6DDE"/>
    <w:rsid w:val="002C7588"/>
    <w:rsid w:val="002D1051"/>
    <w:rsid w:val="002D175B"/>
    <w:rsid w:val="002D1CC5"/>
    <w:rsid w:val="002D2461"/>
    <w:rsid w:val="002D3F14"/>
    <w:rsid w:val="002D40BE"/>
    <w:rsid w:val="002D4487"/>
    <w:rsid w:val="002D4BD6"/>
    <w:rsid w:val="002D5694"/>
    <w:rsid w:val="002D57B6"/>
    <w:rsid w:val="002D6350"/>
    <w:rsid w:val="002D65FA"/>
    <w:rsid w:val="002D738A"/>
    <w:rsid w:val="002D7C79"/>
    <w:rsid w:val="002E027E"/>
    <w:rsid w:val="002E0287"/>
    <w:rsid w:val="002E0E66"/>
    <w:rsid w:val="002E1B4F"/>
    <w:rsid w:val="002E1F80"/>
    <w:rsid w:val="002E3891"/>
    <w:rsid w:val="002E44A4"/>
    <w:rsid w:val="002E58F8"/>
    <w:rsid w:val="002E5E8E"/>
    <w:rsid w:val="002E64CB"/>
    <w:rsid w:val="002E64E0"/>
    <w:rsid w:val="002F18EC"/>
    <w:rsid w:val="002F27F0"/>
    <w:rsid w:val="002F2BE5"/>
    <w:rsid w:val="002F359F"/>
    <w:rsid w:val="002F3A69"/>
    <w:rsid w:val="002F3A98"/>
    <w:rsid w:val="002F48E2"/>
    <w:rsid w:val="002F4C0B"/>
    <w:rsid w:val="002F6826"/>
    <w:rsid w:val="002F7DAB"/>
    <w:rsid w:val="003004DB"/>
    <w:rsid w:val="00303D63"/>
    <w:rsid w:val="00304B0C"/>
    <w:rsid w:val="00304B62"/>
    <w:rsid w:val="00307099"/>
    <w:rsid w:val="003073A0"/>
    <w:rsid w:val="00307BBB"/>
    <w:rsid w:val="00307C1A"/>
    <w:rsid w:val="00310836"/>
    <w:rsid w:val="00310F42"/>
    <w:rsid w:val="00312263"/>
    <w:rsid w:val="00313C69"/>
    <w:rsid w:val="003159A5"/>
    <w:rsid w:val="00316636"/>
    <w:rsid w:val="003179E3"/>
    <w:rsid w:val="00317E32"/>
    <w:rsid w:val="003206B4"/>
    <w:rsid w:val="00320BCF"/>
    <w:rsid w:val="00321A29"/>
    <w:rsid w:val="00323277"/>
    <w:rsid w:val="00325BBD"/>
    <w:rsid w:val="00325BFD"/>
    <w:rsid w:val="00326FD6"/>
    <w:rsid w:val="00327632"/>
    <w:rsid w:val="00330325"/>
    <w:rsid w:val="00331311"/>
    <w:rsid w:val="0033183A"/>
    <w:rsid w:val="00333B37"/>
    <w:rsid w:val="003350F7"/>
    <w:rsid w:val="003403D7"/>
    <w:rsid w:val="00342FC6"/>
    <w:rsid w:val="0034351C"/>
    <w:rsid w:val="003479EF"/>
    <w:rsid w:val="00347E34"/>
    <w:rsid w:val="00353645"/>
    <w:rsid w:val="00354B6A"/>
    <w:rsid w:val="00355DF7"/>
    <w:rsid w:val="00357094"/>
    <w:rsid w:val="00360433"/>
    <w:rsid w:val="003605E5"/>
    <w:rsid w:val="00361C75"/>
    <w:rsid w:val="00361DF1"/>
    <w:rsid w:val="00361E96"/>
    <w:rsid w:val="0036531C"/>
    <w:rsid w:val="003678BE"/>
    <w:rsid w:val="00370FBB"/>
    <w:rsid w:val="00372C59"/>
    <w:rsid w:val="00373455"/>
    <w:rsid w:val="00373C2F"/>
    <w:rsid w:val="00374332"/>
    <w:rsid w:val="0037522F"/>
    <w:rsid w:val="0037690E"/>
    <w:rsid w:val="00376FB5"/>
    <w:rsid w:val="00381178"/>
    <w:rsid w:val="00381B36"/>
    <w:rsid w:val="00383AA6"/>
    <w:rsid w:val="00383E91"/>
    <w:rsid w:val="00384B40"/>
    <w:rsid w:val="00385D10"/>
    <w:rsid w:val="00390224"/>
    <w:rsid w:val="00391050"/>
    <w:rsid w:val="00391B8E"/>
    <w:rsid w:val="00392BA9"/>
    <w:rsid w:val="00395E7C"/>
    <w:rsid w:val="003979B0"/>
    <w:rsid w:val="003A083C"/>
    <w:rsid w:val="003A0E6D"/>
    <w:rsid w:val="003A1927"/>
    <w:rsid w:val="003A1F1C"/>
    <w:rsid w:val="003A448A"/>
    <w:rsid w:val="003A54B6"/>
    <w:rsid w:val="003A66F9"/>
    <w:rsid w:val="003A6A66"/>
    <w:rsid w:val="003B0B12"/>
    <w:rsid w:val="003B387D"/>
    <w:rsid w:val="003B38D6"/>
    <w:rsid w:val="003B3DCB"/>
    <w:rsid w:val="003B4092"/>
    <w:rsid w:val="003B43CC"/>
    <w:rsid w:val="003B5016"/>
    <w:rsid w:val="003B5BED"/>
    <w:rsid w:val="003B7993"/>
    <w:rsid w:val="003C00D1"/>
    <w:rsid w:val="003C0DFD"/>
    <w:rsid w:val="003C22B5"/>
    <w:rsid w:val="003C2380"/>
    <w:rsid w:val="003C3223"/>
    <w:rsid w:val="003C4A35"/>
    <w:rsid w:val="003D0B02"/>
    <w:rsid w:val="003D0E82"/>
    <w:rsid w:val="003D1662"/>
    <w:rsid w:val="003D1880"/>
    <w:rsid w:val="003D29E3"/>
    <w:rsid w:val="003D2B99"/>
    <w:rsid w:val="003D3715"/>
    <w:rsid w:val="003D43AE"/>
    <w:rsid w:val="003D4C2F"/>
    <w:rsid w:val="003D4FF9"/>
    <w:rsid w:val="003D7500"/>
    <w:rsid w:val="003D7F86"/>
    <w:rsid w:val="003E09E6"/>
    <w:rsid w:val="003E0F4E"/>
    <w:rsid w:val="003E1515"/>
    <w:rsid w:val="003E1C80"/>
    <w:rsid w:val="003E2BDD"/>
    <w:rsid w:val="003E3226"/>
    <w:rsid w:val="003E3BF9"/>
    <w:rsid w:val="003E4E16"/>
    <w:rsid w:val="003E5AD4"/>
    <w:rsid w:val="003E694B"/>
    <w:rsid w:val="003E7BC5"/>
    <w:rsid w:val="003F0141"/>
    <w:rsid w:val="003F0FDF"/>
    <w:rsid w:val="003F1238"/>
    <w:rsid w:val="003F3D87"/>
    <w:rsid w:val="003F3E75"/>
    <w:rsid w:val="003F4A2C"/>
    <w:rsid w:val="003F4D1F"/>
    <w:rsid w:val="003F4EAA"/>
    <w:rsid w:val="003F5298"/>
    <w:rsid w:val="003F5757"/>
    <w:rsid w:val="003F5E45"/>
    <w:rsid w:val="003F74D8"/>
    <w:rsid w:val="003F7DA8"/>
    <w:rsid w:val="004026B4"/>
    <w:rsid w:val="00403801"/>
    <w:rsid w:val="00404A6B"/>
    <w:rsid w:val="00405F3D"/>
    <w:rsid w:val="00406780"/>
    <w:rsid w:val="00406D90"/>
    <w:rsid w:val="004070D2"/>
    <w:rsid w:val="00407512"/>
    <w:rsid w:val="00410398"/>
    <w:rsid w:val="00411173"/>
    <w:rsid w:val="0041129F"/>
    <w:rsid w:val="004126CE"/>
    <w:rsid w:val="004128ED"/>
    <w:rsid w:val="00412A78"/>
    <w:rsid w:val="00413DCF"/>
    <w:rsid w:val="00415601"/>
    <w:rsid w:val="0041571E"/>
    <w:rsid w:val="0042109E"/>
    <w:rsid w:val="00421377"/>
    <w:rsid w:val="00421C8C"/>
    <w:rsid w:val="004236BE"/>
    <w:rsid w:val="00424741"/>
    <w:rsid w:val="004255F8"/>
    <w:rsid w:val="00425B54"/>
    <w:rsid w:val="004264C3"/>
    <w:rsid w:val="00426D22"/>
    <w:rsid w:val="00430183"/>
    <w:rsid w:val="0043168B"/>
    <w:rsid w:val="00431EC3"/>
    <w:rsid w:val="004326B5"/>
    <w:rsid w:val="004333AA"/>
    <w:rsid w:val="00433425"/>
    <w:rsid w:val="0043353A"/>
    <w:rsid w:val="004338FE"/>
    <w:rsid w:val="00434DC5"/>
    <w:rsid w:val="0043767E"/>
    <w:rsid w:val="00440D52"/>
    <w:rsid w:val="00441DCB"/>
    <w:rsid w:val="00442577"/>
    <w:rsid w:val="00443CEE"/>
    <w:rsid w:val="004444FF"/>
    <w:rsid w:val="00445282"/>
    <w:rsid w:val="004510CB"/>
    <w:rsid w:val="00452779"/>
    <w:rsid w:val="0045409E"/>
    <w:rsid w:val="00454EA4"/>
    <w:rsid w:val="0045767B"/>
    <w:rsid w:val="004619E8"/>
    <w:rsid w:val="004622F0"/>
    <w:rsid w:val="00463123"/>
    <w:rsid w:val="00464C4B"/>
    <w:rsid w:val="00464DAF"/>
    <w:rsid w:val="004651E9"/>
    <w:rsid w:val="00465AEE"/>
    <w:rsid w:val="00466243"/>
    <w:rsid w:val="004671A2"/>
    <w:rsid w:val="0046756C"/>
    <w:rsid w:val="00467D4B"/>
    <w:rsid w:val="00467F1C"/>
    <w:rsid w:val="00471823"/>
    <w:rsid w:val="004736C3"/>
    <w:rsid w:val="00474890"/>
    <w:rsid w:val="00474EE4"/>
    <w:rsid w:val="00476B28"/>
    <w:rsid w:val="00476DF7"/>
    <w:rsid w:val="00477403"/>
    <w:rsid w:val="00477806"/>
    <w:rsid w:val="00477DA9"/>
    <w:rsid w:val="00481924"/>
    <w:rsid w:val="00483812"/>
    <w:rsid w:val="0048652C"/>
    <w:rsid w:val="004865C0"/>
    <w:rsid w:val="00487F84"/>
    <w:rsid w:val="00491166"/>
    <w:rsid w:val="00491413"/>
    <w:rsid w:val="00491C36"/>
    <w:rsid w:val="00492082"/>
    <w:rsid w:val="00492932"/>
    <w:rsid w:val="004965E5"/>
    <w:rsid w:val="004975A3"/>
    <w:rsid w:val="004A1F47"/>
    <w:rsid w:val="004A26A5"/>
    <w:rsid w:val="004A2A2D"/>
    <w:rsid w:val="004A59AE"/>
    <w:rsid w:val="004A5BC1"/>
    <w:rsid w:val="004A7B95"/>
    <w:rsid w:val="004A7C8A"/>
    <w:rsid w:val="004B4706"/>
    <w:rsid w:val="004B4FE7"/>
    <w:rsid w:val="004B5E70"/>
    <w:rsid w:val="004B66C4"/>
    <w:rsid w:val="004C0A29"/>
    <w:rsid w:val="004C0A74"/>
    <w:rsid w:val="004C2959"/>
    <w:rsid w:val="004C2D91"/>
    <w:rsid w:val="004C3742"/>
    <w:rsid w:val="004C3D43"/>
    <w:rsid w:val="004C3D58"/>
    <w:rsid w:val="004C444F"/>
    <w:rsid w:val="004C4A53"/>
    <w:rsid w:val="004C6B00"/>
    <w:rsid w:val="004C71BA"/>
    <w:rsid w:val="004C72B4"/>
    <w:rsid w:val="004D1168"/>
    <w:rsid w:val="004D1291"/>
    <w:rsid w:val="004D1817"/>
    <w:rsid w:val="004D2415"/>
    <w:rsid w:val="004D293B"/>
    <w:rsid w:val="004D3414"/>
    <w:rsid w:val="004D36F8"/>
    <w:rsid w:val="004D395F"/>
    <w:rsid w:val="004D3963"/>
    <w:rsid w:val="004D3D61"/>
    <w:rsid w:val="004D4695"/>
    <w:rsid w:val="004D4873"/>
    <w:rsid w:val="004D6462"/>
    <w:rsid w:val="004D68B9"/>
    <w:rsid w:val="004D6B2A"/>
    <w:rsid w:val="004D716C"/>
    <w:rsid w:val="004E05FF"/>
    <w:rsid w:val="004E286B"/>
    <w:rsid w:val="004E28F7"/>
    <w:rsid w:val="004E430B"/>
    <w:rsid w:val="004E48B6"/>
    <w:rsid w:val="004E5336"/>
    <w:rsid w:val="004E595E"/>
    <w:rsid w:val="004E5E30"/>
    <w:rsid w:val="004E61B2"/>
    <w:rsid w:val="004E7434"/>
    <w:rsid w:val="004E7646"/>
    <w:rsid w:val="004F02DC"/>
    <w:rsid w:val="004F079E"/>
    <w:rsid w:val="004F27E9"/>
    <w:rsid w:val="004F44FE"/>
    <w:rsid w:val="004F4506"/>
    <w:rsid w:val="004F4DDD"/>
    <w:rsid w:val="004F50BD"/>
    <w:rsid w:val="004F65CD"/>
    <w:rsid w:val="004F67C7"/>
    <w:rsid w:val="004F6CC5"/>
    <w:rsid w:val="004F7F21"/>
    <w:rsid w:val="0050185D"/>
    <w:rsid w:val="00503D95"/>
    <w:rsid w:val="00504028"/>
    <w:rsid w:val="00504511"/>
    <w:rsid w:val="005049C0"/>
    <w:rsid w:val="00505470"/>
    <w:rsid w:val="00505575"/>
    <w:rsid w:val="00505DAD"/>
    <w:rsid w:val="00510500"/>
    <w:rsid w:val="00510A6D"/>
    <w:rsid w:val="005111E5"/>
    <w:rsid w:val="00511D5D"/>
    <w:rsid w:val="005121B7"/>
    <w:rsid w:val="00514271"/>
    <w:rsid w:val="0051555F"/>
    <w:rsid w:val="00515969"/>
    <w:rsid w:val="00515B1A"/>
    <w:rsid w:val="00516127"/>
    <w:rsid w:val="00517007"/>
    <w:rsid w:val="00517589"/>
    <w:rsid w:val="0052205F"/>
    <w:rsid w:val="005220D3"/>
    <w:rsid w:val="00522B5E"/>
    <w:rsid w:val="005257C4"/>
    <w:rsid w:val="005258E5"/>
    <w:rsid w:val="005260D4"/>
    <w:rsid w:val="00526539"/>
    <w:rsid w:val="0053132D"/>
    <w:rsid w:val="00531B92"/>
    <w:rsid w:val="00532146"/>
    <w:rsid w:val="00532C35"/>
    <w:rsid w:val="005331A5"/>
    <w:rsid w:val="00533C81"/>
    <w:rsid w:val="005345A5"/>
    <w:rsid w:val="005358A9"/>
    <w:rsid w:val="00536BBF"/>
    <w:rsid w:val="005378B2"/>
    <w:rsid w:val="005420E0"/>
    <w:rsid w:val="00543A1E"/>
    <w:rsid w:val="00543D1E"/>
    <w:rsid w:val="00544545"/>
    <w:rsid w:val="00545BB2"/>
    <w:rsid w:val="00546760"/>
    <w:rsid w:val="00546A6F"/>
    <w:rsid w:val="00546F13"/>
    <w:rsid w:val="00551016"/>
    <w:rsid w:val="00551206"/>
    <w:rsid w:val="00551CD3"/>
    <w:rsid w:val="00552CF0"/>
    <w:rsid w:val="00552D4A"/>
    <w:rsid w:val="0055381D"/>
    <w:rsid w:val="00553FC6"/>
    <w:rsid w:val="005547F1"/>
    <w:rsid w:val="00556719"/>
    <w:rsid w:val="00557CDD"/>
    <w:rsid w:val="0056082B"/>
    <w:rsid w:val="00561531"/>
    <w:rsid w:val="00563226"/>
    <w:rsid w:val="00563EAA"/>
    <w:rsid w:val="00564543"/>
    <w:rsid w:val="0056599D"/>
    <w:rsid w:val="00565D92"/>
    <w:rsid w:val="00571E5B"/>
    <w:rsid w:val="005721C1"/>
    <w:rsid w:val="0057581B"/>
    <w:rsid w:val="00576976"/>
    <w:rsid w:val="005770B1"/>
    <w:rsid w:val="00580BB4"/>
    <w:rsid w:val="00581B01"/>
    <w:rsid w:val="00582679"/>
    <w:rsid w:val="00582E6D"/>
    <w:rsid w:val="00585D0D"/>
    <w:rsid w:val="00586508"/>
    <w:rsid w:val="00586E5D"/>
    <w:rsid w:val="005872ED"/>
    <w:rsid w:val="00587ABB"/>
    <w:rsid w:val="005901E9"/>
    <w:rsid w:val="0059202E"/>
    <w:rsid w:val="0059274E"/>
    <w:rsid w:val="00592D44"/>
    <w:rsid w:val="00593724"/>
    <w:rsid w:val="005955B3"/>
    <w:rsid w:val="00595B2B"/>
    <w:rsid w:val="005961AB"/>
    <w:rsid w:val="00596627"/>
    <w:rsid w:val="00597E2B"/>
    <w:rsid w:val="005A0075"/>
    <w:rsid w:val="005A0604"/>
    <w:rsid w:val="005A1616"/>
    <w:rsid w:val="005A2D43"/>
    <w:rsid w:val="005A38E3"/>
    <w:rsid w:val="005A39AE"/>
    <w:rsid w:val="005A5465"/>
    <w:rsid w:val="005A74B1"/>
    <w:rsid w:val="005B0D82"/>
    <w:rsid w:val="005B1E36"/>
    <w:rsid w:val="005B4344"/>
    <w:rsid w:val="005B4E72"/>
    <w:rsid w:val="005B53A0"/>
    <w:rsid w:val="005B5550"/>
    <w:rsid w:val="005B6EE3"/>
    <w:rsid w:val="005B714C"/>
    <w:rsid w:val="005C07C7"/>
    <w:rsid w:val="005C094C"/>
    <w:rsid w:val="005C1D67"/>
    <w:rsid w:val="005C2EFC"/>
    <w:rsid w:val="005C34BE"/>
    <w:rsid w:val="005C3DFA"/>
    <w:rsid w:val="005C4786"/>
    <w:rsid w:val="005C4B7F"/>
    <w:rsid w:val="005C67A3"/>
    <w:rsid w:val="005D180F"/>
    <w:rsid w:val="005D24C0"/>
    <w:rsid w:val="005D3132"/>
    <w:rsid w:val="005D4C37"/>
    <w:rsid w:val="005D4D30"/>
    <w:rsid w:val="005D5967"/>
    <w:rsid w:val="005D5E2A"/>
    <w:rsid w:val="005D7551"/>
    <w:rsid w:val="005D7A9D"/>
    <w:rsid w:val="005D7BC0"/>
    <w:rsid w:val="005E08CA"/>
    <w:rsid w:val="005E1874"/>
    <w:rsid w:val="005E1B02"/>
    <w:rsid w:val="005E3ABB"/>
    <w:rsid w:val="005E3D13"/>
    <w:rsid w:val="005E536D"/>
    <w:rsid w:val="005E72D5"/>
    <w:rsid w:val="005E7A7D"/>
    <w:rsid w:val="005F0EE7"/>
    <w:rsid w:val="005F16EB"/>
    <w:rsid w:val="005F2272"/>
    <w:rsid w:val="005F3AB2"/>
    <w:rsid w:val="005F3AC4"/>
    <w:rsid w:val="005F3D85"/>
    <w:rsid w:val="005F4FD7"/>
    <w:rsid w:val="005F5156"/>
    <w:rsid w:val="005F5775"/>
    <w:rsid w:val="005F5CD9"/>
    <w:rsid w:val="005F683D"/>
    <w:rsid w:val="005F752F"/>
    <w:rsid w:val="005F7AC1"/>
    <w:rsid w:val="0060018E"/>
    <w:rsid w:val="00602289"/>
    <w:rsid w:val="006026D6"/>
    <w:rsid w:val="00602AD5"/>
    <w:rsid w:val="006030D2"/>
    <w:rsid w:val="00604E3C"/>
    <w:rsid w:val="00605CCA"/>
    <w:rsid w:val="00606398"/>
    <w:rsid w:val="00611578"/>
    <w:rsid w:val="0061275C"/>
    <w:rsid w:val="00612C4E"/>
    <w:rsid w:val="00614A0F"/>
    <w:rsid w:val="00615189"/>
    <w:rsid w:val="00615875"/>
    <w:rsid w:val="00616A86"/>
    <w:rsid w:val="00616D21"/>
    <w:rsid w:val="00617341"/>
    <w:rsid w:val="00617D2D"/>
    <w:rsid w:val="00622045"/>
    <w:rsid w:val="00622BE6"/>
    <w:rsid w:val="00623E40"/>
    <w:rsid w:val="006241DB"/>
    <w:rsid w:val="006259FF"/>
    <w:rsid w:val="00625A4C"/>
    <w:rsid w:val="006267E0"/>
    <w:rsid w:val="006272FE"/>
    <w:rsid w:val="00627ECB"/>
    <w:rsid w:val="0063227A"/>
    <w:rsid w:val="00632E5B"/>
    <w:rsid w:val="00634172"/>
    <w:rsid w:val="00634AC3"/>
    <w:rsid w:val="00634EDB"/>
    <w:rsid w:val="006363A1"/>
    <w:rsid w:val="00636E32"/>
    <w:rsid w:val="00637709"/>
    <w:rsid w:val="00642BA9"/>
    <w:rsid w:val="00645447"/>
    <w:rsid w:val="006458EC"/>
    <w:rsid w:val="00645B2E"/>
    <w:rsid w:val="0064632A"/>
    <w:rsid w:val="006470D5"/>
    <w:rsid w:val="006471B4"/>
    <w:rsid w:val="0065010E"/>
    <w:rsid w:val="00650415"/>
    <w:rsid w:val="00652746"/>
    <w:rsid w:val="00652A65"/>
    <w:rsid w:val="00652BE0"/>
    <w:rsid w:val="0065380C"/>
    <w:rsid w:val="006545D9"/>
    <w:rsid w:val="00655821"/>
    <w:rsid w:val="00661CF7"/>
    <w:rsid w:val="006666FA"/>
    <w:rsid w:val="00667B5E"/>
    <w:rsid w:val="00671693"/>
    <w:rsid w:val="00671CA8"/>
    <w:rsid w:val="00671F36"/>
    <w:rsid w:val="006722D4"/>
    <w:rsid w:val="006731CE"/>
    <w:rsid w:val="00674EEB"/>
    <w:rsid w:val="0067515E"/>
    <w:rsid w:val="00675747"/>
    <w:rsid w:val="00675C88"/>
    <w:rsid w:val="00675C92"/>
    <w:rsid w:val="00677A90"/>
    <w:rsid w:val="0068014C"/>
    <w:rsid w:val="00680DF7"/>
    <w:rsid w:val="006825F1"/>
    <w:rsid w:val="006842C5"/>
    <w:rsid w:val="0068603E"/>
    <w:rsid w:val="00686394"/>
    <w:rsid w:val="0068660F"/>
    <w:rsid w:val="00686AAA"/>
    <w:rsid w:val="00686BBB"/>
    <w:rsid w:val="00686C98"/>
    <w:rsid w:val="00686E94"/>
    <w:rsid w:val="0068781A"/>
    <w:rsid w:val="00687A1C"/>
    <w:rsid w:val="00690D6B"/>
    <w:rsid w:val="00690E43"/>
    <w:rsid w:val="00691018"/>
    <w:rsid w:val="00691EFE"/>
    <w:rsid w:val="00692A67"/>
    <w:rsid w:val="00692C2F"/>
    <w:rsid w:val="00693587"/>
    <w:rsid w:val="0069570D"/>
    <w:rsid w:val="00695AB9"/>
    <w:rsid w:val="006960DB"/>
    <w:rsid w:val="00696539"/>
    <w:rsid w:val="00697278"/>
    <w:rsid w:val="006974AD"/>
    <w:rsid w:val="006976A2"/>
    <w:rsid w:val="00697794"/>
    <w:rsid w:val="00697881"/>
    <w:rsid w:val="006A104C"/>
    <w:rsid w:val="006A201D"/>
    <w:rsid w:val="006A23E7"/>
    <w:rsid w:val="006A2732"/>
    <w:rsid w:val="006A3706"/>
    <w:rsid w:val="006A3942"/>
    <w:rsid w:val="006A4916"/>
    <w:rsid w:val="006A62FF"/>
    <w:rsid w:val="006A6D16"/>
    <w:rsid w:val="006A7257"/>
    <w:rsid w:val="006A75DF"/>
    <w:rsid w:val="006B13E7"/>
    <w:rsid w:val="006B177C"/>
    <w:rsid w:val="006B1C4B"/>
    <w:rsid w:val="006B1F84"/>
    <w:rsid w:val="006B2E10"/>
    <w:rsid w:val="006B3C50"/>
    <w:rsid w:val="006B3EB1"/>
    <w:rsid w:val="006B3F3A"/>
    <w:rsid w:val="006B42D6"/>
    <w:rsid w:val="006B445D"/>
    <w:rsid w:val="006B4837"/>
    <w:rsid w:val="006B5C77"/>
    <w:rsid w:val="006B6A9D"/>
    <w:rsid w:val="006C1D68"/>
    <w:rsid w:val="006C2F58"/>
    <w:rsid w:val="006C4EFB"/>
    <w:rsid w:val="006C6472"/>
    <w:rsid w:val="006C676D"/>
    <w:rsid w:val="006C6EE8"/>
    <w:rsid w:val="006C7BBB"/>
    <w:rsid w:val="006C7CD5"/>
    <w:rsid w:val="006D0A06"/>
    <w:rsid w:val="006D1F4E"/>
    <w:rsid w:val="006D2A05"/>
    <w:rsid w:val="006D68C7"/>
    <w:rsid w:val="006D6AD3"/>
    <w:rsid w:val="006E01DF"/>
    <w:rsid w:val="006E59C1"/>
    <w:rsid w:val="006E665A"/>
    <w:rsid w:val="006E7AE9"/>
    <w:rsid w:val="006F02CB"/>
    <w:rsid w:val="006F1E6B"/>
    <w:rsid w:val="006F25ED"/>
    <w:rsid w:val="006F2C61"/>
    <w:rsid w:val="006F37DE"/>
    <w:rsid w:val="006F4124"/>
    <w:rsid w:val="006F4ADD"/>
    <w:rsid w:val="006F532D"/>
    <w:rsid w:val="006F5788"/>
    <w:rsid w:val="006F5C8C"/>
    <w:rsid w:val="006F6129"/>
    <w:rsid w:val="007003AB"/>
    <w:rsid w:val="007012DC"/>
    <w:rsid w:val="00701727"/>
    <w:rsid w:val="00702E0C"/>
    <w:rsid w:val="0070394D"/>
    <w:rsid w:val="00703973"/>
    <w:rsid w:val="0070447D"/>
    <w:rsid w:val="007050C1"/>
    <w:rsid w:val="0070525B"/>
    <w:rsid w:val="007052BA"/>
    <w:rsid w:val="00706055"/>
    <w:rsid w:val="007066AE"/>
    <w:rsid w:val="00707EF5"/>
    <w:rsid w:val="0071125E"/>
    <w:rsid w:val="007119E1"/>
    <w:rsid w:val="0071342E"/>
    <w:rsid w:val="007138F1"/>
    <w:rsid w:val="00713DFB"/>
    <w:rsid w:val="007155AB"/>
    <w:rsid w:val="007159E4"/>
    <w:rsid w:val="00715E4F"/>
    <w:rsid w:val="00717261"/>
    <w:rsid w:val="00717D76"/>
    <w:rsid w:val="007200F6"/>
    <w:rsid w:val="00721EB7"/>
    <w:rsid w:val="00722A0C"/>
    <w:rsid w:val="00722A82"/>
    <w:rsid w:val="00722FD5"/>
    <w:rsid w:val="007234C0"/>
    <w:rsid w:val="0072387B"/>
    <w:rsid w:val="007242B6"/>
    <w:rsid w:val="00725763"/>
    <w:rsid w:val="00726595"/>
    <w:rsid w:val="00726F42"/>
    <w:rsid w:val="00730C98"/>
    <w:rsid w:val="0073231C"/>
    <w:rsid w:val="00733414"/>
    <w:rsid w:val="007359A2"/>
    <w:rsid w:val="00735FE5"/>
    <w:rsid w:val="00737701"/>
    <w:rsid w:val="0074200B"/>
    <w:rsid w:val="00743987"/>
    <w:rsid w:val="007443B3"/>
    <w:rsid w:val="00744471"/>
    <w:rsid w:val="007463E6"/>
    <w:rsid w:val="00750847"/>
    <w:rsid w:val="00750A64"/>
    <w:rsid w:val="00750BB9"/>
    <w:rsid w:val="00751597"/>
    <w:rsid w:val="0075251B"/>
    <w:rsid w:val="007551B0"/>
    <w:rsid w:val="00755F1B"/>
    <w:rsid w:val="00756AE3"/>
    <w:rsid w:val="007577BE"/>
    <w:rsid w:val="007612D9"/>
    <w:rsid w:val="00762ACF"/>
    <w:rsid w:val="00762F3C"/>
    <w:rsid w:val="00764E27"/>
    <w:rsid w:val="00765E65"/>
    <w:rsid w:val="0076608F"/>
    <w:rsid w:val="00773260"/>
    <w:rsid w:val="0077346D"/>
    <w:rsid w:val="0077364F"/>
    <w:rsid w:val="007737F4"/>
    <w:rsid w:val="00773D12"/>
    <w:rsid w:val="00780D5E"/>
    <w:rsid w:val="00780D6D"/>
    <w:rsid w:val="00781311"/>
    <w:rsid w:val="00783891"/>
    <w:rsid w:val="00783E26"/>
    <w:rsid w:val="00786772"/>
    <w:rsid w:val="0078683A"/>
    <w:rsid w:val="00786858"/>
    <w:rsid w:val="007875C4"/>
    <w:rsid w:val="00787994"/>
    <w:rsid w:val="00790094"/>
    <w:rsid w:val="0079074C"/>
    <w:rsid w:val="007916F5"/>
    <w:rsid w:val="007936A7"/>
    <w:rsid w:val="00797DCB"/>
    <w:rsid w:val="007A012D"/>
    <w:rsid w:val="007A288F"/>
    <w:rsid w:val="007A3E52"/>
    <w:rsid w:val="007A3EC9"/>
    <w:rsid w:val="007A53F2"/>
    <w:rsid w:val="007A6177"/>
    <w:rsid w:val="007B192C"/>
    <w:rsid w:val="007B2F7A"/>
    <w:rsid w:val="007B550E"/>
    <w:rsid w:val="007B728E"/>
    <w:rsid w:val="007C1C2B"/>
    <w:rsid w:val="007C29E9"/>
    <w:rsid w:val="007C3EB2"/>
    <w:rsid w:val="007C51A0"/>
    <w:rsid w:val="007D0660"/>
    <w:rsid w:val="007D06BB"/>
    <w:rsid w:val="007D07E3"/>
    <w:rsid w:val="007D0A1E"/>
    <w:rsid w:val="007D1F16"/>
    <w:rsid w:val="007D32B4"/>
    <w:rsid w:val="007D45B0"/>
    <w:rsid w:val="007D46AE"/>
    <w:rsid w:val="007D4BEC"/>
    <w:rsid w:val="007D63C2"/>
    <w:rsid w:val="007E1CD0"/>
    <w:rsid w:val="007E1D7E"/>
    <w:rsid w:val="007E3A7E"/>
    <w:rsid w:val="007E475A"/>
    <w:rsid w:val="007E5050"/>
    <w:rsid w:val="007E5465"/>
    <w:rsid w:val="007E5CCB"/>
    <w:rsid w:val="007E5D10"/>
    <w:rsid w:val="007E60C9"/>
    <w:rsid w:val="007F0463"/>
    <w:rsid w:val="007F1E1C"/>
    <w:rsid w:val="007F31FB"/>
    <w:rsid w:val="007F3386"/>
    <w:rsid w:val="007F5184"/>
    <w:rsid w:val="007F55EB"/>
    <w:rsid w:val="007F5D73"/>
    <w:rsid w:val="007F6CED"/>
    <w:rsid w:val="007F76C9"/>
    <w:rsid w:val="008007B3"/>
    <w:rsid w:val="0080123C"/>
    <w:rsid w:val="00801B01"/>
    <w:rsid w:val="00801D45"/>
    <w:rsid w:val="00802281"/>
    <w:rsid w:val="00802344"/>
    <w:rsid w:val="008029D7"/>
    <w:rsid w:val="008036BC"/>
    <w:rsid w:val="008046CE"/>
    <w:rsid w:val="008053B2"/>
    <w:rsid w:val="00805540"/>
    <w:rsid w:val="00805BB3"/>
    <w:rsid w:val="008076AE"/>
    <w:rsid w:val="008076B9"/>
    <w:rsid w:val="008116A3"/>
    <w:rsid w:val="008138C0"/>
    <w:rsid w:val="008145CD"/>
    <w:rsid w:val="008148D8"/>
    <w:rsid w:val="0081496B"/>
    <w:rsid w:val="008175C8"/>
    <w:rsid w:val="00820EC0"/>
    <w:rsid w:val="00824F6D"/>
    <w:rsid w:val="0082558C"/>
    <w:rsid w:val="0082649A"/>
    <w:rsid w:val="00827B87"/>
    <w:rsid w:val="00831CCA"/>
    <w:rsid w:val="0083291D"/>
    <w:rsid w:val="00832F85"/>
    <w:rsid w:val="00833238"/>
    <w:rsid w:val="00833DCA"/>
    <w:rsid w:val="00843062"/>
    <w:rsid w:val="008437C3"/>
    <w:rsid w:val="00846605"/>
    <w:rsid w:val="00846F58"/>
    <w:rsid w:val="008500C5"/>
    <w:rsid w:val="00850C3B"/>
    <w:rsid w:val="00850E7D"/>
    <w:rsid w:val="008534C5"/>
    <w:rsid w:val="00855667"/>
    <w:rsid w:val="008559DE"/>
    <w:rsid w:val="008567D1"/>
    <w:rsid w:val="0085694C"/>
    <w:rsid w:val="0085728C"/>
    <w:rsid w:val="00862DD8"/>
    <w:rsid w:val="00862E26"/>
    <w:rsid w:val="00863938"/>
    <w:rsid w:val="00863979"/>
    <w:rsid w:val="008646ED"/>
    <w:rsid w:val="00864920"/>
    <w:rsid w:val="00864F47"/>
    <w:rsid w:val="008667E6"/>
    <w:rsid w:val="0086796E"/>
    <w:rsid w:val="00867C0C"/>
    <w:rsid w:val="00870279"/>
    <w:rsid w:val="0087186A"/>
    <w:rsid w:val="00871919"/>
    <w:rsid w:val="00871C42"/>
    <w:rsid w:val="008725C9"/>
    <w:rsid w:val="0087291A"/>
    <w:rsid w:val="0087324D"/>
    <w:rsid w:val="00873A50"/>
    <w:rsid w:val="00874356"/>
    <w:rsid w:val="0087458F"/>
    <w:rsid w:val="008748CC"/>
    <w:rsid w:val="008756C0"/>
    <w:rsid w:val="0087762F"/>
    <w:rsid w:val="00880785"/>
    <w:rsid w:val="00880920"/>
    <w:rsid w:val="00880D5E"/>
    <w:rsid w:val="0088113D"/>
    <w:rsid w:val="00881823"/>
    <w:rsid w:val="00881C11"/>
    <w:rsid w:val="00881E25"/>
    <w:rsid w:val="00883C16"/>
    <w:rsid w:val="00883F54"/>
    <w:rsid w:val="00884D02"/>
    <w:rsid w:val="00885C94"/>
    <w:rsid w:val="008868E8"/>
    <w:rsid w:val="00886D02"/>
    <w:rsid w:val="00890203"/>
    <w:rsid w:val="00893F80"/>
    <w:rsid w:val="0089457E"/>
    <w:rsid w:val="00895A1D"/>
    <w:rsid w:val="0089668B"/>
    <w:rsid w:val="00897158"/>
    <w:rsid w:val="008975AD"/>
    <w:rsid w:val="008A0BF1"/>
    <w:rsid w:val="008A1E55"/>
    <w:rsid w:val="008A1EFB"/>
    <w:rsid w:val="008A36B4"/>
    <w:rsid w:val="008A453C"/>
    <w:rsid w:val="008A6E73"/>
    <w:rsid w:val="008A7878"/>
    <w:rsid w:val="008B0802"/>
    <w:rsid w:val="008B193B"/>
    <w:rsid w:val="008B3581"/>
    <w:rsid w:val="008B368A"/>
    <w:rsid w:val="008B3722"/>
    <w:rsid w:val="008B405D"/>
    <w:rsid w:val="008B4CC5"/>
    <w:rsid w:val="008B61A5"/>
    <w:rsid w:val="008B7534"/>
    <w:rsid w:val="008C1D68"/>
    <w:rsid w:val="008C1E44"/>
    <w:rsid w:val="008C283B"/>
    <w:rsid w:val="008C334B"/>
    <w:rsid w:val="008C39AF"/>
    <w:rsid w:val="008C3B03"/>
    <w:rsid w:val="008C41EC"/>
    <w:rsid w:val="008C45E6"/>
    <w:rsid w:val="008C4E20"/>
    <w:rsid w:val="008C5197"/>
    <w:rsid w:val="008C567F"/>
    <w:rsid w:val="008C570F"/>
    <w:rsid w:val="008C6860"/>
    <w:rsid w:val="008C6A70"/>
    <w:rsid w:val="008C6D0D"/>
    <w:rsid w:val="008C6DBC"/>
    <w:rsid w:val="008C6F7A"/>
    <w:rsid w:val="008C71FC"/>
    <w:rsid w:val="008D0622"/>
    <w:rsid w:val="008D15E1"/>
    <w:rsid w:val="008D2961"/>
    <w:rsid w:val="008D3F9F"/>
    <w:rsid w:val="008D5C6F"/>
    <w:rsid w:val="008D7231"/>
    <w:rsid w:val="008E0611"/>
    <w:rsid w:val="008E0CF8"/>
    <w:rsid w:val="008E1AE9"/>
    <w:rsid w:val="008E1E27"/>
    <w:rsid w:val="008E4BE6"/>
    <w:rsid w:val="008E531F"/>
    <w:rsid w:val="008E55EB"/>
    <w:rsid w:val="008E5DEC"/>
    <w:rsid w:val="008E6450"/>
    <w:rsid w:val="008E7A27"/>
    <w:rsid w:val="008E7BB5"/>
    <w:rsid w:val="008E7BF8"/>
    <w:rsid w:val="008F056E"/>
    <w:rsid w:val="008F43A9"/>
    <w:rsid w:val="008F44E5"/>
    <w:rsid w:val="008F4559"/>
    <w:rsid w:val="008F49AC"/>
    <w:rsid w:val="008F4C13"/>
    <w:rsid w:val="008F530D"/>
    <w:rsid w:val="008F6B0A"/>
    <w:rsid w:val="008F7A0A"/>
    <w:rsid w:val="00900DAB"/>
    <w:rsid w:val="00901188"/>
    <w:rsid w:val="009039D8"/>
    <w:rsid w:val="009048AC"/>
    <w:rsid w:val="009055E5"/>
    <w:rsid w:val="009060F9"/>
    <w:rsid w:val="00906280"/>
    <w:rsid w:val="00906F4A"/>
    <w:rsid w:val="009077FA"/>
    <w:rsid w:val="00910B94"/>
    <w:rsid w:val="0091143A"/>
    <w:rsid w:val="00912A68"/>
    <w:rsid w:val="00912C90"/>
    <w:rsid w:val="00914382"/>
    <w:rsid w:val="009168FC"/>
    <w:rsid w:val="00916FF8"/>
    <w:rsid w:val="009200C8"/>
    <w:rsid w:val="009206A0"/>
    <w:rsid w:val="009209E3"/>
    <w:rsid w:val="0092196D"/>
    <w:rsid w:val="00921EEB"/>
    <w:rsid w:val="009241C6"/>
    <w:rsid w:val="00924D63"/>
    <w:rsid w:val="00925645"/>
    <w:rsid w:val="009264F6"/>
    <w:rsid w:val="00926AC6"/>
    <w:rsid w:val="00930D35"/>
    <w:rsid w:val="0093114E"/>
    <w:rsid w:val="00932599"/>
    <w:rsid w:val="00933456"/>
    <w:rsid w:val="00933EEE"/>
    <w:rsid w:val="0093401C"/>
    <w:rsid w:val="00935A5D"/>
    <w:rsid w:val="009375E1"/>
    <w:rsid w:val="009400E5"/>
    <w:rsid w:val="009404B8"/>
    <w:rsid w:val="00940E4C"/>
    <w:rsid w:val="00941C01"/>
    <w:rsid w:val="009420C8"/>
    <w:rsid w:val="00942A94"/>
    <w:rsid w:val="00943DA1"/>
    <w:rsid w:val="00943E25"/>
    <w:rsid w:val="00944A17"/>
    <w:rsid w:val="00944CFE"/>
    <w:rsid w:val="009458EA"/>
    <w:rsid w:val="00945C59"/>
    <w:rsid w:val="0094603F"/>
    <w:rsid w:val="00946D33"/>
    <w:rsid w:val="00947C92"/>
    <w:rsid w:val="009512A3"/>
    <w:rsid w:val="009514C8"/>
    <w:rsid w:val="009538E3"/>
    <w:rsid w:val="00953D35"/>
    <w:rsid w:val="00953F11"/>
    <w:rsid w:val="0095628A"/>
    <w:rsid w:val="00956403"/>
    <w:rsid w:val="0095651D"/>
    <w:rsid w:val="00956598"/>
    <w:rsid w:val="00956FCF"/>
    <w:rsid w:val="009576D6"/>
    <w:rsid w:val="009623A3"/>
    <w:rsid w:val="009639F8"/>
    <w:rsid w:val="00963AB8"/>
    <w:rsid w:val="009640D7"/>
    <w:rsid w:val="00970387"/>
    <w:rsid w:val="009707FC"/>
    <w:rsid w:val="00970FB4"/>
    <w:rsid w:val="009727A1"/>
    <w:rsid w:val="009729AC"/>
    <w:rsid w:val="00972F59"/>
    <w:rsid w:val="00973BF7"/>
    <w:rsid w:val="009743EA"/>
    <w:rsid w:val="009749C7"/>
    <w:rsid w:val="0097724E"/>
    <w:rsid w:val="009812CE"/>
    <w:rsid w:val="00982365"/>
    <w:rsid w:val="00982F1B"/>
    <w:rsid w:val="00982F82"/>
    <w:rsid w:val="009834FA"/>
    <w:rsid w:val="00983C32"/>
    <w:rsid w:val="00983E96"/>
    <w:rsid w:val="009841C8"/>
    <w:rsid w:val="0098521D"/>
    <w:rsid w:val="00985D68"/>
    <w:rsid w:val="00986A8D"/>
    <w:rsid w:val="009877E9"/>
    <w:rsid w:val="009905F8"/>
    <w:rsid w:val="009914CB"/>
    <w:rsid w:val="00991B4F"/>
    <w:rsid w:val="00992F6E"/>
    <w:rsid w:val="00993133"/>
    <w:rsid w:val="00993457"/>
    <w:rsid w:val="00995E98"/>
    <w:rsid w:val="00997AC5"/>
    <w:rsid w:val="00997F48"/>
    <w:rsid w:val="009A050E"/>
    <w:rsid w:val="009A0808"/>
    <w:rsid w:val="009A1ACA"/>
    <w:rsid w:val="009A3341"/>
    <w:rsid w:val="009A39D5"/>
    <w:rsid w:val="009A4998"/>
    <w:rsid w:val="009A59A2"/>
    <w:rsid w:val="009A5F04"/>
    <w:rsid w:val="009A64D5"/>
    <w:rsid w:val="009B0B80"/>
    <w:rsid w:val="009B0F90"/>
    <w:rsid w:val="009B119C"/>
    <w:rsid w:val="009B407F"/>
    <w:rsid w:val="009B4308"/>
    <w:rsid w:val="009B4E5A"/>
    <w:rsid w:val="009B6698"/>
    <w:rsid w:val="009C0DC0"/>
    <w:rsid w:val="009C183D"/>
    <w:rsid w:val="009C1C74"/>
    <w:rsid w:val="009C42D0"/>
    <w:rsid w:val="009C4C67"/>
    <w:rsid w:val="009D1D40"/>
    <w:rsid w:val="009D2511"/>
    <w:rsid w:val="009D2B13"/>
    <w:rsid w:val="009D2BEC"/>
    <w:rsid w:val="009D385F"/>
    <w:rsid w:val="009D4176"/>
    <w:rsid w:val="009D4253"/>
    <w:rsid w:val="009E0EF3"/>
    <w:rsid w:val="009E2AA5"/>
    <w:rsid w:val="009E2AFC"/>
    <w:rsid w:val="009E54C7"/>
    <w:rsid w:val="009E7D16"/>
    <w:rsid w:val="009F0BCF"/>
    <w:rsid w:val="009F18D5"/>
    <w:rsid w:val="009F2E4C"/>
    <w:rsid w:val="009F2F03"/>
    <w:rsid w:val="009F3F20"/>
    <w:rsid w:val="009F4A46"/>
    <w:rsid w:val="009F55A6"/>
    <w:rsid w:val="00A016DE"/>
    <w:rsid w:val="00A0180D"/>
    <w:rsid w:val="00A01AA0"/>
    <w:rsid w:val="00A02C91"/>
    <w:rsid w:val="00A02F40"/>
    <w:rsid w:val="00A032AC"/>
    <w:rsid w:val="00A03347"/>
    <w:rsid w:val="00A0481E"/>
    <w:rsid w:val="00A0610C"/>
    <w:rsid w:val="00A0666D"/>
    <w:rsid w:val="00A068C8"/>
    <w:rsid w:val="00A107D0"/>
    <w:rsid w:val="00A1140C"/>
    <w:rsid w:val="00A12196"/>
    <w:rsid w:val="00A12619"/>
    <w:rsid w:val="00A12BAE"/>
    <w:rsid w:val="00A131DB"/>
    <w:rsid w:val="00A14126"/>
    <w:rsid w:val="00A14BFF"/>
    <w:rsid w:val="00A15698"/>
    <w:rsid w:val="00A161E5"/>
    <w:rsid w:val="00A16694"/>
    <w:rsid w:val="00A20B75"/>
    <w:rsid w:val="00A21AE1"/>
    <w:rsid w:val="00A21B95"/>
    <w:rsid w:val="00A22161"/>
    <w:rsid w:val="00A22AAD"/>
    <w:rsid w:val="00A22B4F"/>
    <w:rsid w:val="00A245DA"/>
    <w:rsid w:val="00A256E1"/>
    <w:rsid w:val="00A26815"/>
    <w:rsid w:val="00A26C28"/>
    <w:rsid w:val="00A271C0"/>
    <w:rsid w:val="00A303AD"/>
    <w:rsid w:val="00A31771"/>
    <w:rsid w:val="00A3177A"/>
    <w:rsid w:val="00A32971"/>
    <w:rsid w:val="00A32CAC"/>
    <w:rsid w:val="00A32DE2"/>
    <w:rsid w:val="00A335C0"/>
    <w:rsid w:val="00A33C6E"/>
    <w:rsid w:val="00A3583E"/>
    <w:rsid w:val="00A3690E"/>
    <w:rsid w:val="00A36B36"/>
    <w:rsid w:val="00A40033"/>
    <w:rsid w:val="00A4195E"/>
    <w:rsid w:val="00A41AC7"/>
    <w:rsid w:val="00A50959"/>
    <w:rsid w:val="00A51CC7"/>
    <w:rsid w:val="00A52A55"/>
    <w:rsid w:val="00A52D6D"/>
    <w:rsid w:val="00A534CF"/>
    <w:rsid w:val="00A5413B"/>
    <w:rsid w:val="00A54B12"/>
    <w:rsid w:val="00A55D6B"/>
    <w:rsid w:val="00A56532"/>
    <w:rsid w:val="00A566BA"/>
    <w:rsid w:val="00A57963"/>
    <w:rsid w:val="00A579C2"/>
    <w:rsid w:val="00A6025E"/>
    <w:rsid w:val="00A61255"/>
    <w:rsid w:val="00A627DE"/>
    <w:rsid w:val="00A62AD1"/>
    <w:rsid w:val="00A63DF5"/>
    <w:rsid w:val="00A64034"/>
    <w:rsid w:val="00A64832"/>
    <w:rsid w:val="00A70AD6"/>
    <w:rsid w:val="00A70BAD"/>
    <w:rsid w:val="00A71F69"/>
    <w:rsid w:val="00A72DA7"/>
    <w:rsid w:val="00A743F6"/>
    <w:rsid w:val="00A748B3"/>
    <w:rsid w:val="00A75083"/>
    <w:rsid w:val="00A75FD4"/>
    <w:rsid w:val="00A76720"/>
    <w:rsid w:val="00A77075"/>
    <w:rsid w:val="00A80031"/>
    <w:rsid w:val="00A80A53"/>
    <w:rsid w:val="00A83340"/>
    <w:rsid w:val="00A8388F"/>
    <w:rsid w:val="00A841B2"/>
    <w:rsid w:val="00A84785"/>
    <w:rsid w:val="00A850C6"/>
    <w:rsid w:val="00A86749"/>
    <w:rsid w:val="00A872CE"/>
    <w:rsid w:val="00A87BC3"/>
    <w:rsid w:val="00A90704"/>
    <w:rsid w:val="00A91C6F"/>
    <w:rsid w:val="00A923CD"/>
    <w:rsid w:val="00A933BB"/>
    <w:rsid w:val="00A938DD"/>
    <w:rsid w:val="00A94376"/>
    <w:rsid w:val="00A95156"/>
    <w:rsid w:val="00A9564A"/>
    <w:rsid w:val="00A9608F"/>
    <w:rsid w:val="00A972A8"/>
    <w:rsid w:val="00AA1096"/>
    <w:rsid w:val="00AA21BA"/>
    <w:rsid w:val="00AA290B"/>
    <w:rsid w:val="00AA4D1D"/>
    <w:rsid w:val="00AA5825"/>
    <w:rsid w:val="00AA6F70"/>
    <w:rsid w:val="00AA76F5"/>
    <w:rsid w:val="00AA7CAE"/>
    <w:rsid w:val="00AA7CF3"/>
    <w:rsid w:val="00AB1256"/>
    <w:rsid w:val="00AB2D6D"/>
    <w:rsid w:val="00AB34E9"/>
    <w:rsid w:val="00AB41B2"/>
    <w:rsid w:val="00AB5DCE"/>
    <w:rsid w:val="00AB6909"/>
    <w:rsid w:val="00AB6D95"/>
    <w:rsid w:val="00AB6DDB"/>
    <w:rsid w:val="00AB7523"/>
    <w:rsid w:val="00AB7D83"/>
    <w:rsid w:val="00AC1456"/>
    <w:rsid w:val="00AC227B"/>
    <w:rsid w:val="00AC366B"/>
    <w:rsid w:val="00AC3E1A"/>
    <w:rsid w:val="00AC4485"/>
    <w:rsid w:val="00AC452A"/>
    <w:rsid w:val="00AC531C"/>
    <w:rsid w:val="00AC6068"/>
    <w:rsid w:val="00AC6872"/>
    <w:rsid w:val="00AD0548"/>
    <w:rsid w:val="00AD0FE1"/>
    <w:rsid w:val="00AD199F"/>
    <w:rsid w:val="00AD1BA3"/>
    <w:rsid w:val="00AD5A3C"/>
    <w:rsid w:val="00AD6DF3"/>
    <w:rsid w:val="00AD73C6"/>
    <w:rsid w:val="00AD7879"/>
    <w:rsid w:val="00AE0110"/>
    <w:rsid w:val="00AE0999"/>
    <w:rsid w:val="00AE138E"/>
    <w:rsid w:val="00AE26A2"/>
    <w:rsid w:val="00AE2CDA"/>
    <w:rsid w:val="00AE3179"/>
    <w:rsid w:val="00AE40CD"/>
    <w:rsid w:val="00AE46ED"/>
    <w:rsid w:val="00AE5F36"/>
    <w:rsid w:val="00AE6079"/>
    <w:rsid w:val="00AF04A2"/>
    <w:rsid w:val="00AF17C6"/>
    <w:rsid w:val="00AF18C3"/>
    <w:rsid w:val="00AF285B"/>
    <w:rsid w:val="00AF2E6B"/>
    <w:rsid w:val="00AF3890"/>
    <w:rsid w:val="00AF4B31"/>
    <w:rsid w:val="00AF5C10"/>
    <w:rsid w:val="00AF636C"/>
    <w:rsid w:val="00AF64AD"/>
    <w:rsid w:val="00AF660D"/>
    <w:rsid w:val="00AF6D15"/>
    <w:rsid w:val="00AF7CD1"/>
    <w:rsid w:val="00B00AE2"/>
    <w:rsid w:val="00B04D2B"/>
    <w:rsid w:val="00B05DE8"/>
    <w:rsid w:val="00B06C92"/>
    <w:rsid w:val="00B07C10"/>
    <w:rsid w:val="00B102DD"/>
    <w:rsid w:val="00B106E2"/>
    <w:rsid w:val="00B107E4"/>
    <w:rsid w:val="00B10957"/>
    <w:rsid w:val="00B131FA"/>
    <w:rsid w:val="00B13840"/>
    <w:rsid w:val="00B149A4"/>
    <w:rsid w:val="00B15464"/>
    <w:rsid w:val="00B16475"/>
    <w:rsid w:val="00B16B24"/>
    <w:rsid w:val="00B203DE"/>
    <w:rsid w:val="00B2114A"/>
    <w:rsid w:val="00B223AE"/>
    <w:rsid w:val="00B241BC"/>
    <w:rsid w:val="00B2426E"/>
    <w:rsid w:val="00B24B89"/>
    <w:rsid w:val="00B25FE9"/>
    <w:rsid w:val="00B2621D"/>
    <w:rsid w:val="00B2782E"/>
    <w:rsid w:val="00B27D17"/>
    <w:rsid w:val="00B30047"/>
    <w:rsid w:val="00B34A73"/>
    <w:rsid w:val="00B36D38"/>
    <w:rsid w:val="00B37280"/>
    <w:rsid w:val="00B40BDD"/>
    <w:rsid w:val="00B40D9E"/>
    <w:rsid w:val="00B417C0"/>
    <w:rsid w:val="00B43B3E"/>
    <w:rsid w:val="00B43F21"/>
    <w:rsid w:val="00B4493E"/>
    <w:rsid w:val="00B4501D"/>
    <w:rsid w:val="00B4576E"/>
    <w:rsid w:val="00B4689D"/>
    <w:rsid w:val="00B50B4E"/>
    <w:rsid w:val="00B53022"/>
    <w:rsid w:val="00B55718"/>
    <w:rsid w:val="00B5600F"/>
    <w:rsid w:val="00B563DE"/>
    <w:rsid w:val="00B567EF"/>
    <w:rsid w:val="00B5799F"/>
    <w:rsid w:val="00B61939"/>
    <w:rsid w:val="00B652A8"/>
    <w:rsid w:val="00B6643E"/>
    <w:rsid w:val="00B70129"/>
    <w:rsid w:val="00B70154"/>
    <w:rsid w:val="00B70471"/>
    <w:rsid w:val="00B72801"/>
    <w:rsid w:val="00B73FF3"/>
    <w:rsid w:val="00B77814"/>
    <w:rsid w:val="00B81175"/>
    <w:rsid w:val="00B816BD"/>
    <w:rsid w:val="00B81EF6"/>
    <w:rsid w:val="00B822C1"/>
    <w:rsid w:val="00B826C0"/>
    <w:rsid w:val="00B85194"/>
    <w:rsid w:val="00B857FB"/>
    <w:rsid w:val="00B85A86"/>
    <w:rsid w:val="00B85E2D"/>
    <w:rsid w:val="00B85F50"/>
    <w:rsid w:val="00B86583"/>
    <w:rsid w:val="00B90CD7"/>
    <w:rsid w:val="00B9178E"/>
    <w:rsid w:val="00B92E6D"/>
    <w:rsid w:val="00B93A9E"/>
    <w:rsid w:val="00BA275B"/>
    <w:rsid w:val="00BA3518"/>
    <w:rsid w:val="00BA4C98"/>
    <w:rsid w:val="00BA5046"/>
    <w:rsid w:val="00BA6B5C"/>
    <w:rsid w:val="00BA6DB0"/>
    <w:rsid w:val="00BA6FEF"/>
    <w:rsid w:val="00BB0061"/>
    <w:rsid w:val="00BB08C6"/>
    <w:rsid w:val="00BB3BEA"/>
    <w:rsid w:val="00BB58DA"/>
    <w:rsid w:val="00BC0C0C"/>
    <w:rsid w:val="00BC2C4D"/>
    <w:rsid w:val="00BC3F8D"/>
    <w:rsid w:val="00BC400D"/>
    <w:rsid w:val="00BC6A14"/>
    <w:rsid w:val="00BC7F66"/>
    <w:rsid w:val="00BD077A"/>
    <w:rsid w:val="00BD0BDE"/>
    <w:rsid w:val="00BD1C31"/>
    <w:rsid w:val="00BD1C78"/>
    <w:rsid w:val="00BD33E1"/>
    <w:rsid w:val="00BD4898"/>
    <w:rsid w:val="00BD4A17"/>
    <w:rsid w:val="00BD54DB"/>
    <w:rsid w:val="00BD6419"/>
    <w:rsid w:val="00BD67A5"/>
    <w:rsid w:val="00BD6E28"/>
    <w:rsid w:val="00BE0494"/>
    <w:rsid w:val="00BE2060"/>
    <w:rsid w:val="00BE24DF"/>
    <w:rsid w:val="00BE2A02"/>
    <w:rsid w:val="00BE2B39"/>
    <w:rsid w:val="00BE2DBE"/>
    <w:rsid w:val="00BE3EDD"/>
    <w:rsid w:val="00BE4537"/>
    <w:rsid w:val="00BE513B"/>
    <w:rsid w:val="00BE5E36"/>
    <w:rsid w:val="00BE67B0"/>
    <w:rsid w:val="00BF33CD"/>
    <w:rsid w:val="00BF379C"/>
    <w:rsid w:val="00BF3F99"/>
    <w:rsid w:val="00BF43DA"/>
    <w:rsid w:val="00BF7C79"/>
    <w:rsid w:val="00BF7C95"/>
    <w:rsid w:val="00C00936"/>
    <w:rsid w:val="00C0167A"/>
    <w:rsid w:val="00C02C87"/>
    <w:rsid w:val="00C0308B"/>
    <w:rsid w:val="00C0338D"/>
    <w:rsid w:val="00C03C5C"/>
    <w:rsid w:val="00C04734"/>
    <w:rsid w:val="00C053E3"/>
    <w:rsid w:val="00C055CF"/>
    <w:rsid w:val="00C0630F"/>
    <w:rsid w:val="00C06F44"/>
    <w:rsid w:val="00C07BC4"/>
    <w:rsid w:val="00C10B0D"/>
    <w:rsid w:val="00C11F1D"/>
    <w:rsid w:val="00C129A1"/>
    <w:rsid w:val="00C130BA"/>
    <w:rsid w:val="00C130DC"/>
    <w:rsid w:val="00C13AA3"/>
    <w:rsid w:val="00C1508D"/>
    <w:rsid w:val="00C15144"/>
    <w:rsid w:val="00C1525E"/>
    <w:rsid w:val="00C163FF"/>
    <w:rsid w:val="00C1672C"/>
    <w:rsid w:val="00C174E1"/>
    <w:rsid w:val="00C17A5C"/>
    <w:rsid w:val="00C229F8"/>
    <w:rsid w:val="00C240EA"/>
    <w:rsid w:val="00C243B8"/>
    <w:rsid w:val="00C2468C"/>
    <w:rsid w:val="00C252DC"/>
    <w:rsid w:val="00C26421"/>
    <w:rsid w:val="00C26999"/>
    <w:rsid w:val="00C26DDA"/>
    <w:rsid w:val="00C27803"/>
    <w:rsid w:val="00C3008B"/>
    <w:rsid w:val="00C312C1"/>
    <w:rsid w:val="00C328EC"/>
    <w:rsid w:val="00C32B20"/>
    <w:rsid w:val="00C3348C"/>
    <w:rsid w:val="00C33591"/>
    <w:rsid w:val="00C3465D"/>
    <w:rsid w:val="00C34698"/>
    <w:rsid w:val="00C3540F"/>
    <w:rsid w:val="00C35E01"/>
    <w:rsid w:val="00C36413"/>
    <w:rsid w:val="00C3754C"/>
    <w:rsid w:val="00C40061"/>
    <w:rsid w:val="00C4159B"/>
    <w:rsid w:val="00C41AC6"/>
    <w:rsid w:val="00C423EA"/>
    <w:rsid w:val="00C42C1F"/>
    <w:rsid w:val="00C435CF"/>
    <w:rsid w:val="00C43F41"/>
    <w:rsid w:val="00C44B49"/>
    <w:rsid w:val="00C455F8"/>
    <w:rsid w:val="00C45BAE"/>
    <w:rsid w:val="00C46537"/>
    <w:rsid w:val="00C47DC8"/>
    <w:rsid w:val="00C47FD7"/>
    <w:rsid w:val="00C50314"/>
    <w:rsid w:val="00C5083F"/>
    <w:rsid w:val="00C5166C"/>
    <w:rsid w:val="00C51D13"/>
    <w:rsid w:val="00C51E64"/>
    <w:rsid w:val="00C5257D"/>
    <w:rsid w:val="00C52E05"/>
    <w:rsid w:val="00C53873"/>
    <w:rsid w:val="00C56D51"/>
    <w:rsid w:val="00C57633"/>
    <w:rsid w:val="00C607A0"/>
    <w:rsid w:val="00C60C39"/>
    <w:rsid w:val="00C61EB9"/>
    <w:rsid w:val="00C63772"/>
    <w:rsid w:val="00C63B45"/>
    <w:rsid w:val="00C65C09"/>
    <w:rsid w:val="00C67016"/>
    <w:rsid w:val="00C678EF"/>
    <w:rsid w:val="00C74723"/>
    <w:rsid w:val="00C76D49"/>
    <w:rsid w:val="00C76FE1"/>
    <w:rsid w:val="00C77F05"/>
    <w:rsid w:val="00C81E1D"/>
    <w:rsid w:val="00C82B37"/>
    <w:rsid w:val="00C83EE7"/>
    <w:rsid w:val="00C84358"/>
    <w:rsid w:val="00C84DFC"/>
    <w:rsid w:val="00C8606E"/>
    <w:rsid w:val="00C86384"/>
    <w:rsid w:val="00C86D48"/>
    <w:rsid w:val="00C8795E"/>
    <w:rsid w:val="00C87A11"/>
    <w:rsid w:val="00C90C5D"/>
    <w:rsid w:val="00C9369C"/>
    <w:rsid w:val="00CA0C75"/>
    <w:rsid w:val="00CA14FA"/>
    <w:rsid w:val="00CA1EDB"/>
    <w:rsid w:val="00CA1FBF"/>
    <w:rsid w:val="00CA2F56"/>
    <w:rsid w:val="00CA5AC7"/>
    <w:rsid w:val="00CA65AC"/>
    <w:rsid w:val="00CA6D23"/>
    <w:rsid w:val="00CA6E85"/>
    <w:rsid w:val="00CA73AB"/>
    <w:rsid w:val="00CA73E8"/>
    <w:rsid w:val="00CA7C20"/>
    <w:rsid w:val="00CB082B"/>
    <w:rsid w:val="00CB0913"/>
    <w:rsid w:val="00CB2A54"/>
    <w:rsid w:val="00CB2C0A"/>
    <w:rsid w:val="00CB59A8"/>
    <w:rsid w:val="00CB5E61"/>
    <w:rsid w:val="00CB7680"/>
    <w:rsid w:val="00CC1908"/>
    <w:rsid w:val="00CC1BF6"/>
    <w:rsid w:val="00CC2C40"/>
    <w:rsid w:val="00CC2F05"/>
    <w:rsid w:val="00CC2F6F"/>
    <w:rsid w:val="00CC3041"/>
    <w:rsid w:val="00CC40AB"/>
    <w:rsid w:val="00CC4F14"/>
    <w:rsid w:val="00CC5040"/>
    <w:rsid w:val="00CC58D6"/>
    <w:rsid w:val="00CD0F26"/>
    <w:rsid w:val="00CD2179"/>
    <w:rsid w:val="00CD3224"/>
    <w:rsid w:val="00CD3DAA"/>
    <w:rsid w:val="00CD4468"/>
    <w:rsid w:val="00CD5562"/>
    <w:rsid w:val="00CD5D2F"/>
    <w:rsid w:val="00CD6181"/>
    <w:rsid w:val="00CD6222"/>
    <w:rsid w:val="00CD75C2"/>
    <w:rsid w:val="00CD75FC"/>
    <w:rsid w:val="00CE0C50"/>
    <w:rsid w:val="00CE1747"/>
    <w:rsid w:val="00CE236F"/>
    <w:rsid w:val="00CE4D05"/>
    <w:rsid w:val="00CF1FE6"/>
    <w:rsid w:val="00CF54F5"/>
    <w:rsid w:val="00CF6B93"/>
    <w:rsid w:val="00D00A0B"/>
    <w:rsid w:val="00D00ED0"/>
    <w:rsid w:val="00D01577"/>
    <w:rsid w:val="00D01A4F"/>
    <w:rsid w:val="00D0445E"/>
    <w:rsid w:val="00D047C8"/>
    <w:rsid w:val="00D10E65"/>
    <w:rsid w:val="00D12007"/>
    <w:rsid w:val="00D12C88"/>
    <w:rsid w:val="00D141C3"/>
    <w:rsid w:val="00D14D1B"/>
    <w:rsid w:val="00D15AEE"/>
    <w:rsid w:val="00D15E2C"/>
    <w:rsid w:val="00D163D4"/>
    <w:rsid w:val="00D164FF"/>
    <w:rsid w:val="00D16BAD"/>
    <w:rsid w:val="00D16D06"/>
    <w:rsid w:val="00D20E0C"/>
    <w:rsid w:val="00D20E7C"/>
    <w:rsid w:val="00D213AA"/>
    <w:rsid w:val="00D216D9"/>
    <w:rsid w:val="00D21CB7"/>
    <w:rsid w:val="00D22C3F"/>
    <w:rsid w:val="00D22D0E"/>
    <w:rsid w:val="00D233D8"/>
    <w:rsid w:val="00D23855"/>
    <w:rsid w:val="00D249A2"/>
    <w:rsid w:val="00D25A10"/>
    <w:rsid w:val="00D2623E"/>
    <w:rsid w:val="00D26B82"/>
    <w:rsid w:val="00D30496"/>
    <w:rsid w:val="00D30ADA"/>
    <w:rsid w:val="00D3111B"/>
    <w:rsid w:val="00D32BA4"/>
    <w:rsid w:val="00D32F30"/>
    <w:rsid w:val="00D331B2"/>
    <w:rsid w:val="00D34A23"/>
    <w:rsid w:val="00D35A2C"/>
    <w:rsid w:val="00D41DEC"/>
    <w:rsid w:val="00D4325F"/>
    <w:rsid w:val="00D4546C"/>
    <w:rsid w:val="00D468A7"/>
    <w:rsid w:val="00D47411"/>
    <w:rsid w:val="00D50236"/>
    <w:rsid w:val="00D50260"/>
    <w:rsid w:val="00D50DF9"/>
    <w:rsid w:val="00D5199C"/>
    <w:rsid w:val="00D52583"/>
    <w:rsid w:val="00D55DD4"/>
    <w:rsid w:val="00D56B0E"/>
    <w:rsid w:val="00D60716"/>
    <w:rsid w:val="00D612C2"/>
    <w:rsid w:val="00D6293C"/>
    <w:rsid w:val="00D62B38"/>
    <w:rsid w:val="00D638B0"/>
    <w:rsid w:val="00D64A4C"/>
    <w:rsid w:val="00D65360"/>
    <w:rsid w:val="00D665D1"/>
    <w:rsid w:val="00D701B7"/>
    <w:rsid w:val="00D70499"/>
    <w:rsid w:val="00D70D8C"/>
    <w:rsid w:val="00D738DD"/>
    <w:rsid w:val="00D754E0"/>
    <w:rsid w:val="00D759B8"/>
    <w:rsid w:val="00D75EDC"/>
    <w:rsid w:val="00D75F5D"/>
    <w:rsid w:val="00D7661A"/>
    <w:rsid w:val="00D76C72"/>
    <w:rsid w:val="00D76E22"/>
    <w:rsid w:val="00D80467"/>
    <w:rsid w:val="00D820C4"/>
    <w:rsid w:val="00D8325C"/>
    <w:rsid w:val="00D8377E"/>
    <w:rsid w:val="00D83A3F"/>
    <w:rsid w:val="00D858B2"/>
    <w:rsid w:val="00D85DF4"/>
    <w:rsid w:val="00D862F6"/>
    <w:rsid w:val="00D86AB1"/>
    <w:rsid w:val="00D90534"/>
    <w:rsid w:val="00D90DA5"/>
    <w:rsid w:val="00D91877"/>
    <w:rsid w:val="00D91FFF"/>
    <w:rsid w:val="00D93BCC"/>
    <w:rsid w:val="00D958BF"/>
    <w:rsid w:val="00D962DC"/>
    <w:rsid w:val="00D972DA"/>
    <w:rsid w:val="00DA02B9"/>
    <w:rsid w:val="00DA0CD8"/>
    <w:rsid w:val="00DA1899"/>
    <w:rsid w:val="00DA1999"/>
    <w:rsid w:val="00DA35C5"/>
    <w:rsid w:val="00DA3DD8"/>
    <w:rsid w:val="00DA5CF0"/>
    <w:rsid w:val="00DA6451"/>
    <w:rsid w:val="00DB04A7"/>
    <w:rsid w:val="00DB0A7E"/>
    <w:rsid w:val="00DB0C0E"/>
    <w:rsid w:val="00DB235A"/>
    <w:rsid w:val="00DB2A5B"/>
    <w:rsid w:val="00DB48F1"/>
    <w:rsid w:val="00DB4E8F"/>
    <w:rsid w:val="00DB5175"/>
    <w:rsid w:val="00DB582F"/>
    <w:rsid w:val="00DB5E9F"/>
    <w:rsid w:val="00DB6304"/>
    <w:rsid w:val="00DB66ED"/>
    <w:rsid w:val="00DB754D"/>
    <w:rsid w:val="00DB76D8"/>
    <w:rsid w:val="00DB7C5A"/>
    <w:rsid w:val="00DC0913"/>
    <w:rsid w:val="00DC09C1"/>
    <w:rsid w:val="00DC0C62"/>
    <w:rsid w:val="00DC1155"/>
    <w:rsid w:val="00DC1246"/>
    <w:rsid w:val="00DC169C"/>
    <w:rsid w:val="00DC1806"/>
    <w:rsid w:val="00DC1FE7"/>
    <w:rsid w:val="00DC3091"/>
    <w:rsid w:val="00DC33F2"/>
    <w:rsid w:val="00DC5F5D"/>
    <w:rsid w:val="00DC6825"/>
    <w:rsid w:val="00DC6EBD"/>
    <w:rsid w:val="00DC7AD0"/>
    <w:rsid w:val="00DD0B3C"/>
    <w:rsid w:val="00DD2EA4"/>
    <w:rsid w:val="00DD3FC5"/>
    <w:rsid w:val="00DD57F9"/>
    <w:rsid w:val="00DD687D"/>
    <w:rsid w:val="00DD78AA"/>
    <w:rsid w:val="00DD7DBB"/>
    <w:rsid w:val="00DE03E1"/>
    <w:rsid w:val="00DE10F8"/>
    <w:rsid w:val="00DE248A"/>
    <w:rsid w:val="00DE3BC3"/>
    <w:rsid w:val="00DE41C4"/>
    <w:rsid w:val="00DE482E"/>
    <w:rsid w:val="00DE5496"/>
    <w:rsid w:val="00DE558D"/>
    <w:rsid w:val="00DE560D"/>
    <w:rsid w:val="00DE58F9"/>
    <w:rsid w:val="00DE5ACC"/>
    <w:rsid w:val="00DE649D"/>
    <w:rsid w:val="00DE6EE8"/>
    <w:rsid w:val="00DE782F"/>
    <w:rsid w:val="00DF0F53"/>
    <w:rsid w:val="00DF211F"/>
    <w:rsid w:val="00DF261C"/>
    <w:rsid w:val="00DF2AEC"/>
    <w:rsid w:val="00DF54AD"/>
    <w:rsid w:val="00DF5C1F"/>
    <w:rsid w:val="00DF5E2E"/>
    <w:rsid w:val="00DF663A"/>
    <w:rsid w:val="00E01116"/>
    <w:rsid w:val="00E0209C"/>
    <w:rsid w:val="00E02FCA"/>
    <w:rsid w:val="00E03B53"/>
    <w:rsid w:val="00E04DBB"/>
    <w:rsid w:val="00E04F25"/>
    <w:rsid w:val="00E0540A"/>
    <w:rsid w:val="00E07E02"/>
    <w:rsid w:val="00E1002D"/>
    <w:rsid w:val="00E1048C"/>
    <w:rsid w:val="00E121B5"/>
    <w:rsid w:val="00E15035"/>
    <w:rsid w:val="00E15AFE"/>
    <w:rsid w:val="00E15C0D"/>
    <w:rsid w:val="00E16412"/>
    <w:rsid w:val="00E166CE"/>
    <w:rsid w:val="00E169B3"/>
    <w:rsid w:val="00E16CAE"/>
    <w:rsid w:val="00E173AB"/>
    <w:rsid w:val="00E17DC7"/>
    <w:rsid w:val="00E20523"/>
    <w:rsid w:val="00E21D2B"/>
    <w:rsid w:val="00E226C3"/>
    <w:rsid w:val="00E257C1"/>
    <w:rsid w:val="00E308B5"/>
    <w:rsid w:val="00E329DC"/>
    <w:rsid w:val="00E3366F"/>
    <w:rsid w:val="00E34B76"/>
    <w:rsid w:val="00E41F58"/>
    <w:rsid w:val="00E429D5"/>
    <w:rsid w:val="00E42A19"/>
    <w:rsid w:val="00E432C5"/>
    <w:rsid w:val="00E446A3"/>
    <w:rsid w:val="00E4706C"/>
    <w:rsid w:val="00E50D48"/>
    <w:rsid w:val="00E55C2C"/>
    <w:rsid w:val="00E560F5"/>
    <w:rsid w:val="00E5610C"/>
    <w:rsid w:val="00E5780D"/>
    <w:rsid w:val="00E57C78"/>
    <w:rsid w:val="00E625D2"/>
    <w:rsid w:val="00E633FC"/>
    <w:rsid w:val="00E648CB"/>
    <w:rsid w:val="00E64D13"/>
    <w:rsid w:val="00E703D3"/>
    <w:rsid w:val="00E72274"/>
    <w:rsid w:val="00E72AAA"/>
    <w:rsid w:val="00E72F89"/>
    <w:rsid w:val="00E743F9"/>
    <w:rsid w:val="00E74C11"/>
    <w:rsid w:val="00E763F5"/>
    <w:rsid w:val="00E770AB"/>
    <w:rsid w:val="00E771FA"/>
    <w:rsid w:val="00E773D7"/>
    <w:rsid w:val="00E77E14"/>
    <w:rsid w:val="00E80C20"/>
    <w:rsid w:val="00E81050"/>
    <w:rsid w:val="00E81EFE"/>
    <w:rsid w:val="00E82155"/>
    <w:rsid w:val="00E84742"/>
    <w:rsid w:val="00E86347"/>
    <w:rsid w:val="00E866B1"/>
    <w:rsid w:val="00E86AC5"/>
    <w:rsid w:val="00E87243"/>
    <w:rsid w:val="00E87878"/>
    <w:rsid w:val="00E909AE"/>
    <w:rsid w:val="00E90B8A"/>
    <w:rsid w:val="00E918F7"/>
    <w:rsid w:val="00E9443C"/>
    <w:rsid w:val="00E96063"/>
    <w:rsid w:val="00E96833"/>
    <w:rsid w:val="00EA010E"/>
    <w:rsid w:val="00EA085B"/>
    <w:rsid w:val="00EA1552"/>
    <w:rsid w:val="00EA2212"/>
    <w:rsid w:val="00EA2BD4"/>
    <w:rsid w:val="00EA30B5"/>
    <w:rsid w:val="00EA34FB"/>
    <w:rsid w:val="00EA393C"/>
    <w:rsid w:val="00EA3CD8"/>
    <w:rsid w:val="00EA4458"/>
    <w:rsid w:val="00EA5076"/>
    <w:rsid w:val="00EA547D"/>
    <w:rsid w:val="00EA6578"/>
    <w:rsid w:val="00EA6F8A"/>
    <w:rsid w:val="00EA717C"/>
    <w:rsid w:val="00EB0209"/>
    <w:rsid w:val="00EB0301"/>
    <w:rsid w:val="00EB20D5"/>
    <w:rsid w:val="00EB27CC"/>
    <w:rsid w:val="00EB33FA"/>
    <w:rsid w:val="00EB35E7"/>
    <w:rsid w:val="00EB5FF2"/>
    <w:rsid w:val="00EB6076"/>
    <w:rsid w:val="00EB64F2"/>
    <w:rsid w:val="00EB71E9"/>
    <w:rsid w:val="00EB76D6"/>
    <w:rsid w:val="00EB7951"/>
    <w:rsid w:val="00EC1C6C"/>
    <w:rsid w:val="00EC4C0F"/>
    <w:rsid w:val="00EC54E5"/>
    <w:rsid w:val="00EC5B03"/>
    <w:rsid w:val="00EC6E69"/>
    <w:rsid w:val="00EC782F"/>
    <w:rsid w:val="00ED0537"/>
    <w:rsid w:val="00ED1993"/>
    <w:rsid w:val="00ED1AEA"/>
    <w:rsid w:val="00ED2072"/>
    <w:rsid w:val="00ED2E10"/>
    <w:rsid w:val="00ED4429"/>
    <w:rsid w:val="00ED4579"/>
    <w:rsid w:val="00ED7363"/>
    <w:rsid w:val="00ED7A81"/>
    <w:rsid w:val="00EE042F"/>
    <w:rsid w:val="00EE06FF"/>
    <w:rsid w:val="00EE0C70"/>
    <w:rsid w:val="00EE10BF"/>
    <w:rsid w:val="00EE1371"/>
    <w:rsid w:val="00EE1A24"/>
    <w:rsid w:val="00EE1DF5"/>
    <w:rsid w:val="00EE1E6E"/>
    <w:rsid w:val="00EE26D9"/>
    <w:rsid w:val="00EE4803"/>
    <w:rsid w:val="00EE4AC9"/>
    <w:rsid w:val="00EE5C15"/>
    <w:rsid w:val="00EF04A4"/>
    <w:rsid w:val="00EF0ADA"/>
    <w:rsid w:val="00EF0C26"/>
    <w:rsid w:val="00EF0FCF"/>
    <w:rsid w:val="00EF10A4"/>
    <w:rsid w:val="00EF1C97"/>
    <w:rsid w:val="00EF1CA4"/>
    <w:rsid w:val="00EF21F6"/>
    <w:rsid w:val="00EF2AA7"/>
    <w:rsid w:val="00EF2DE8"/>
    <w:rsid w:val="00EF42FD"/>
    <w:rsid w:val="00EF5C3C"/>
    <w:rsid w:val="00EF6271"/>
    <w:rsid w:val="00EF728F"/>
    <w:rsid w:val="00EF7BCA"/>
    <w:rsid w:val="00F00389"/>
    <w:rsid w:val="00F033BB"/>
    <w:rsid w:val="00F03DB1"/>
    <w:rsid w:val="00F05186"/>
    <w:rsid w:val="00F059AF"/>
    <w:rsid w:val="00F079DE"/>
    <w:rsid w:val="00F07CB8"/>
    <w:rsid w:val="00F10204"/>
    <w:rsid w:val="00F10A31"/>
    <w:rsid w:val="00F10F78"/>
    <w:rsid w:val="00F11F40"/>
    <w:rsid w:val="00F121EE"/>
    <w:rsid w:val="00F12273"/>
    <w:rsid w:val="00F12A7C"/>
    <w:rsid w:val="00F12CD9"/>
    <w:rsid w:val="00F13E01"/>
    <w:rsid w:val="00F1421B"/>
    <w:rsid w:val="00F149FC"/>
    <w:rsid w:val="00F14F86"/>
    <w:rsid w:val="00F15DF2"/>
    <w:rsid w:val="00F16205"/>
    <w:rsid w:val="00F16D7A"/>
    <w:rsid w:val="00F17826"/>
    <w:rsid w:val="00F20093"/>
    <w:rsid w:val="00F21BAA"/>
    <w:rsid w:val="00F22D6E"/>
    <w:rsid w:val="00F23536"/>
    <w:rsid w:val="00F23C63"/>
    <w:rsid w:val="00F24E87"/>
    <w:rsid w:val="00F2653D"/>
    <w:rsid w:val="00F30685"/>
    <w:rsid w:val="00F30991"/>
    <w:rsid w:val="00F313A1"/>
    <w:rsid w:val="00F327E4"/>
    <w:rsid w:val="00F3282A"/>
    <w:rsid w:val="00F32AB1"/>
    <w:rsid w:val="00F3359B"/>
    <w:rsid w:val="00F33FFF"/>
    <w:rsid w:val="00F361F0"/>
    <w:rsid w:val="00F36917"/>
    <w:rsid w:val="00F36AF0"/>
    <w:rsid w:val="00F40D36"/>
    <w:rsid w:val="00F42CDC"/>
    <w:rsid w:val="00F43A41"/>
    <w:rsid w:val="00F46B8D"/>
    <w:rsid w:val="00F46C34"/>
    <w:rsid w:val="00F46D54"/>
    <w:rsid w:val="00F47326"/>
    <w:rsid w:val="00F50BA6"/>
    <w:rsid w:val="00F51A0D"/>
    <w:rsid w:val="00F51B40"/>
    <w:rsid w:val="00F5373B"/>
    <w:rsid w:val="00F5401F"/>
    <w:rsid w:val="00F54682"/>
    <w:rsid w:val="00F547FA"/>
    <w:rsid w:val="00F55DA6"/>
    <w:rsid w:val="00F56073"/>
    <w:rsid w:val="00F561E0"/>
    <w:rsid w:val="00F562FB"/>
    <w:rsid w:val="00F56D73"/>
    <w:rsid w:val="00F57244"/>
    <w:rsid w:val="00F57EE9"/>
    <w:rsid w:val="00F600CE"/>
    <w:rsid w:val="00F60687"/>
    <w:rsid w:val="00F616A5"/>
    <w:rsid w:val="00F61B03"/>
    <w:rsid w:val="00F62024"/>
    <w:rsid w:val="00F622C0"/>
    <w:rsid w:val="00F62931"/>
    <w:rsid w:val="00F6471D"/>
    <w:rsid w:val="00F64AEF"/>
    <w:rsid w:val="00F667F5"/>
    <w:rsid w:val="00F70994"/>
    <w:rsid w:val="00F70CE2"/>
    <w:rsid w:val="00F720C8"/>
    <w:rsid w:val="00F7693D"/>
    <w:rsid w:val="00F815C9"/>
    <w:rsid w:val="00F81953"/>
    <w:rsid w:val="00F819C4"/>
    <w:rsid w:val="00F829F0"/>
    <w:rsid w:val="00F8344D"/>
    <w:rsid w:val="00F834B1"/>
    <w:rsid w:val="00F83A4C"/>
    <w:rsid w:val="00F83D4B"/>
    <w:rsid w:val="00F847A2"/>
    <w:rsid w:val="00F84EC7"/>
    <w:rsid w:val="00F86173"/>
    <w:rsid w:val="00F90639"/>
    <w:rsid w:val="00F9307A"/>
    <w:rsid w:val="00F95387"/>
    <w:rsid w:val="00F95EC3"/>
    <w:rsid w:val="00F96C43"/>
    <w:rsid w:val="00FA074C"/>
    <w:rsid w:val="00FA0FDD"/>
    <w:rsid w:val="00FA16B7"/>
    <w:rsid w:val="00FA1B9E"/>
    <w:rsid w:val="00FA2416"/>
    <w:rsid w:val="00FA3A24"/>
    <w:rsid w:val="00FA5E2F"/>
    <w:rsid w:val="00FB08DC"/>
    <w:rsid w:val="00FB0E62"/>
    <w:rsid w:val="00FB281E"/>
    <w:rsid w:val="00FB2EED"/>
    <w:rsid w:val="00FB3361"/>
    <w:rsid w:val="00FB4B7D"/>
    <w:rsid w:val="00FB6CD5"/>
    <w:rsid w:val="00FC1C62"/>
    <w:rsid w:val="00FC1F0A"/>
    <w:rsid w:val="00FC398A"/>
    <w:rsid w:val="00FC3E5E"/>
    <w:rsid w:val="00FC7400"/>
    <w:rsid w:val="00FC74D9"/>
    <w:rsid w:val="00FC7AD0"/>
    <w:rsid w:val="00FD301E"/>
    <w:rsid w:val="00FD3D41"/>
    <w:rsid w:val="00FD41F1"/>
    <w:rsid w:val="00FD505E"/>
    <w:rsid w:val="00FD50C6"/>
    <w:rsid w:val="00FD6EAE"/>
    <w:rsid w:val="00FD723C"/>
    <w:rsid w:val="00FE142C"/>
    <w:rsid w:val="00FE1DC2"/>
    <w:rsid w:val="00FE1E65"/>
    <w:rsid w:val="00FE1F51"/>
    <w:rsid w:val="00FE2073"/>
    <w:rsid w:val="00FE2F99"/>
    <w:rsid w:val="00FE306C"/>
    <w:rsid w:val="00FE6014"/>
    <w:rsid w:val="00FE6DA0"/>
    <w:rsid w:val="00FE6EB4"/>
    <w:rsid w:val="00FE79B4"/>
    <w:rsid w:val="00FF0EA7"/>
    <w:rsid w:val="00FF10A4"/>
    <w:rsid w:val="00FF12D4"/>
    <w:rsid w:val="00FF183E"/>
    <w:rsid w:val="00FF198E"/>
    <w:rsid w:val="00FF2105"/>
    <w:rsid w:val="00FF35FE"/>
    <w:rsid w:val="00FF3E72"/>
    <w:rsid w:val="00FF4745"/>
    <w:rsid w:val="00FF5694"/>
    <w:rsid w:val="00FF7140"/>
    <w:rsid w:val="00FF7B4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B3566BE"/>
  <w15:docId w15:val="{BD50967B-5E24-7F45-81A8-E6799FD9E8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5">
    <w:lsdException w:name="Normal" w:uiPriority="1"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1"/>
    <w:qFormat/>
    <w:rsid w:val="005F0EE7"/>
    <w:pPr>
      <w:spacing w:line="360" w:lineRule="auto"/>
      <w:contextualSpacing/>
      <w:jc w:val="both"/>
    </w:pPr>
    <w:rPr>
      <w:rFonts w:ascii="Times New Roman" w:eastAsia="Times New Roman" w:hAnsi="Times New Roman"/>
      <w:sz w:val="24"/>
      <w:szCs w:val="24"/>
    </w:rPr>
  </w:style>
  <w:style w:type="paragraph" w:styleId="Heading1">
    <w:name w:val="heading 1"/>
    <w:basedOn w:val="Normal"/>
    <w:next w:val="Normal"/>
    <w:link w:val="Heading1Char"/>
    <w:qFormat/>
    <w:rsid w:val="003F4EAA"/>
    <w:pPr>
      <w:keepNext/>
      <w:keepLines/>
      <w:widowControl w:val="0"/>
      <w:autoSpaceDE w:val="0"/>
      <w:autoSpaceDN w:val="0"/>
      <w:spacing w:after="200" w:line="240" w:lineRule="auto"/>
      <w:ind w:left="567" w:hanging="567"/>
      <w:contextualSpacing w:val="0"/>
      <w:jc w:val="left"/>
      <w:outlineLvl w:val="0"/>
    </w:pPr>
    <w:rPr>
      <w:b/>
      <w:color w:val="000000" w:themeColor="text1"/>
      <w:szCs w:val="32"/>
    </w:rPr>
  </w:style>
  <w:style w:type="paragraph" w:styleId="Heading2">
    <w:name w:val="heading 2"/>
    <w:basedOn w:val="Normal"/>
    <w:link w:val="Heading2Char"/>
    <w:uiPriority w:val="9"/>
    <w:qFormat/>
    <w:rsid w:val="00C9369C"/>
    <w:pPr>
      <w:widowControl w:val="0"/>
      <w:tabs>
        <w:tab w:val="left" w:pos="709"/>
        <w:tab w:val="left" w:pos="851"/>
      </w:tabs>
      <w:autoSpaceDE w:val="0"/>
      <w:autoSpaceDN w:val="0"/>
      <w:spacing w:after="120" w:line="276" w:lineRule="auto"/>
      <w:ind w:left="578" w:hanging="578"/>
      <w:contextualSpacing w:val="0"/>
      <w:jc w:val="left"/>
      <w:outlineLvl w:val="1"/>
    </w:pPr>
    <w:rPr>
      <w:b/>
      <w:bCs/>
      <w:szCs w:val="22"/>
    </w:rPr>
  </w:style>
  <w:style w:type="paragraph" w:styleId="Heading3">
    <w:name w:val="heading 3"/>
    <w:basedOn w:val="Normal"/>
    <w:next w:val="Normal"/>
    <w:link w:val="Heading3Char"/>
    <w:uiPriority w:val="9"/>
    <w:unhideWhenUsed/>
    <w:qFormat/>
    <w:rsid w:val="00FE306C"/>
    <w:pPr>
      <w:keepNext/>
      <w:keepLines/>
      <w:widowControl w:val="0"/>
      <w:tabs>
        <w:tab w:val="left" w:pos="709"/>
      </w:tabs>
      <w:autoSpaceDE w:val="0"/>
      <w:autoSpaceDN w:val="0"/>
      <w:spacing w:before="40" w:after="160" w:line="240" w:lineRule="auto"/>
      <w:ind w:left="720" w:hanging="720"/>
      <w:contextualSpacing w:val="0"/>
      <w:jc w:val="left"/>
      <w:outlineLvl w:val="2"/>
    </w:pPr>
    <w:rPr>
      <w:b/>
      <w:color w:val="000000" w:themeColor="text1"/>
    </w:rPr>
  </w:style>
  <w:style w:type="paragraph" w:styleId="Heading4">
    <w:name w:val="heading 4"/>
    <w:basedOn w:val="Normal"/>
    <w:next w:val="Normal"/>
    <w:link w:val="Heading4Char"/>
    <w:unhideWhenUsed/>
    <w:qFormat/>
    <w:rsid w:val="00C9369C"/>
    <w:pPr>
      <w:keepNext/>
      <w:keepLines/>
      <w:widowControl w:val="0"/>
      <w:autoSpaceDE w:val="0"/>
      <w:autoSpaceDN w:val="0"/>
      <w:spacing w:before="40" w:after="40"/>
      <w:ind w:left="862" w:hanging="862"/>
      <w:outlineLvl w:val="3"/>
    </w:pPr>
    <w:rPr>
      <w:b/>
      <w:iCs/>
      <w:szCs w:val="22"/>
    </w:rPr>
  </w:style>
  <w:style w:type="paragraph" w:styleId="Heading5">
    <w:name w:val="heading 5"/>
    <w:basedOn w:val="Normal"/>
    <w:next w:val="Normal"/>
    <w:link w:val="Heading5Char"/>
    <w:uiPriority w:val="9"/>
    <w:unhideWhenUsed/>
    <w:qFormat/>
    <w:rsid w:val="00A91C6F"/>
    <w:pPr>
      <w:keepNext/>
      <w:keepLines/>
      <w:spacing w:after="200" w:line="240" w:lineRule="auto"/>
      <w:contextualSpacing w:val="0"/>
      <w:jc w:val="left"/>
      <w:outlineLvl w:val="4"/>
    </w:pPr>
    <w:rPr>
      <w:rFonts w:eastAsiaTheme="majorEastAsia" w:cstheme="majorBidi"/>
      <w:b/>
    </w:rPr>
  </w:style>
  <w:style w:type="paragraph" w:styleId="Heading6">
    <w:name w:val="heading 6"/>
    <w:basedOn w:val="Normal"/>
    <w:next w:val="Normal"/>
    <w:link w:val="Heading6Char"/>
    <w:uiPriority w:val="9"/>
    <w:semiHidden/>
    <w:unhideWhenUsed/>
    <w:qFormat/>
    <w:rsid w:val="009A5F04"/>
    <w:pPr>
      <w:keepNext/>
      <w:keepLines/>
      <w:spacing w:before="40"/>
      <w:outlineLvl w:val="5"/>
    </w:pPr>
    <w:rPr>
      <w:rFonts w:asciiTheme="majorHAnsi" w:eastAsiaTheme="majorEastAsia" w:hAnsiTheme="majorHAnsi" w:cstheme="majorBidi"/>
      <w:color w:val="1F3763" w:themeColor="accent1" w:themeShade="7F"/>
    </w:rPr>
  </w:style>
  <w:style w:type="paragraph" w:styleId="Heading7">
    <w:name w:val="heading 7"/>
    <w:aliases w:val="Table"/>
    <w:basedOn w:val="Normal"/>
    <w:next w:val="Normal"/>
    <w:link w:val="Heading7Char"/>
    <w:unhideWhenUsed/>
    <w:qFormat/>
    <w:rsid w:val="009C0DC0"/>
    <w:pPr>
      <w:keepNext/>
      <w:keepLines/>
      <w:tabs>
        <w:tab w:val="left" w:pos="1418"/>
        <w:tab w:val="left" w:pos="1701"/>
      </w:tabs>
      <w:spacing w:after="120" w:line="240" w:lineRule="auto"/>
      <w:ind w:left="1021" w:hanging="1021"/>
      <w:outlineLvl w:val="6"/>
    </w:pPr>
    <w:rPr>
      <w:b/>
      <w:iCs/>
      <w:sz w:val="20"/>
      <w:szCs w:val="20"/>
    </w:rPr>
  </w:style>
  <w:style w:type="paragraph" w:styleId="Heading8">
    <w:name w:val="heading 8"/>
    <w:basedOn w:val="Normal"/>
    <w:next w:val="Normal"/>
    <w:link w:val="Heading8Char"/>
    <w:uiPriority w:val="9"/>
    <w:semiHidden/>
    <w:unhideWhenUsed/>
    <w:qFormat/>
    <w:rsid w:val="006F532D"/>
    <w:pPr>
      <w:keepNext/>
      <w:keepLines/>
      <w:spacing w:before="40"/>
      <w:outlineLvl w:val="7"/>
    </w:pPr>
    <w:rPr>
      <w:rFonts w:ascii="Calibri Light" w:hAnsi="Calibri Light"/>
      <w:color w:val="272727"/>
      <w:sz w:val="21"/>
      <w:szCs w:val="21"/>
    </w:rPr>
  </w:style>
  <w:style w:type="paragraph" w:styleId="Heading9">
    <w:name w:val="heading 9"/>
    <w:basedOn w:val="Normal"/>
    <w:next w:val="Normal"/>
    <w:link w:val="Heading9Char"/>
    <w:uiPriority w:val="9"/>
    <w:unhideWhenUsed/>
    <w:qFormat/>
    <w:rsid w:val="001D4A43"/>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3F4EAA"/>
    <w:rPr>
      <w:rFonts w:ascii="Times New Roman" w:eastAsia="Times New Roman" w:hAnsi="Times New Roman"/>
      <w:b/>
      <w:color w:val="000000" w:themeColor="text1"/>
      <w:sz w:val="24"/>
      <w:szCs w:val="32"/>
    </w:rPr>
  </w:style>
  <w:style w:type="character" w:customStyle="1" w:styleId="Heading2Char">
    <w:name w:val="Heading 2 Char"/>
    <w:link w:val="Heading2"/>
    <w:uiPriority w:val="9"/>
    <w:rsid w:val="00C9369C"/>
    <w:rPr>
      <w:rFonts w:ascii="Times New Roman" w:eastAsia="Times New Roman" w:hAnsi="Times New Roman"/>
      <w:b/>
      <w:bCs/>
      <w:sz w:val="24"/>
      <w:szCs w:val="22"/>
    </w:rPr>
  </w:style>
  <w:style w:type="character" w:customStyle="1" w:styleId="Heading3Char">
    <w:name w:val="Heading 3 Char"/>
    <w:link w:val="Heading3"/>
    <w:uiPriority w:val="9"/>
    <w:rsid w:val="00FE306C"/>
    <w:rPr>
      <w:rFonts w:ascii="Times New Roman" w:eastAsia="Times New Roman" w:hAnsi="Times New Roman"/>
      <w:b/>
      <w:color w:val="000000" w:themeColor="text1"/>
      <w:sz w:val="24"/>
      <w:szCs w:val="24"/>
    </w:rPr>
  </w:style>
  <w:style w:type="character" w:customStyle="1" w:styleId="Heading4Char">
    <w:name w:val="Heading 4 Char"/>
    <w:link w:val="Heading4"/>
    <w:rsid w:val="00C9369C"/>
    <w:rPr>
      <w:rFonts w:ascii="Times New Roman" w:eastAsia="Times New Roman" w:hAnsi="Times New Roman"/>
      <w:b/>
      <w:iCs/>
      <w:sz w:val="24"/>
      <w:szCs w:val="22"/>
    </w:rPr>
  </w:style>
  <w:style w:type="character" w:customStyle="1" w:styleId="Heading7Char">
    <w:name w:val="Heading 7 Char"/>
    <w:aliases w:val="Table Char"/>
    <w:link w:val="Heading7"/>
    <w:rsid w:val="009C0DC0"/>
    <w:rPr>
      <w:rFonts w:ascii="Times New Roman" w:eastAsia="Times New Roman" w:hAnsi="Times New Roman"/>
      <w:b/>
      <w:iCs/>
    </w:rPr>
  </w:style>
  <w:style w:type="paragraph" w:styleId="ListParagraph">
    <w:name w:val="List Paragraph"/>
    <w:basedOn w:val="Normal"/>
    <w:uiPriority w:val="34"/>
    <w:qFormat/>
    <w:rsid w:val="00D21CB7"/>
    <w:pPr>
      <w:spacing w:line="276" w:lineRule="auto"/>
      <w:ind w:left="720"/>
    </w:pPr>
  </w:style>
  <w:style w:type="paragraph" w:styleId="Caption">
    <w:name w:val="caption"/>
    <w:basedOn w:val="Normal"/>
    <w:next w:val="Normal"/>
    <w:link w:val="CaptionChar"/>
    <w:uiPriority w:val="35"/>
    <w:unhideWhenUsed/>
    <w:qFormat/>
    <w:rsid w:val="0095651D"/>
    <w:pPr>
      <w:tabs>
        <w:tab w:val="left" w:pos="1134"/>
      </w:tabs>
      <w:spacing w:after="120" w:line="240" w:lineRule="auto"/>
      <w:ind w:left="1138" w:right="432" w:hanging="1138"/>
      <w:contextualSpacing w:val="0"/>
    </w:pPr>
    <w:rPr>
      <w:b/>
      <w:iCs/>
      <w:color w:val="000000" w:themeColor="text1"/>
      <w:sz w:val="20"/>
      <w:szCs w:val="18"/>
    </w:rPr>
  </w:style>
  <w:style w:type="character" w:customStyle="1" w:styleId="CaptionChar">
    <w:name w:val="Caption Char"/>
    <w:link w:val="Caption"/>
    <w:uiPriority w:val="35"/>
    <w:rsid w:val="0095651D"/>
    <w:rPr>
      <w:rFonts w:ascii="Times New Roman" w:eastAsia="Times New Roman" w:hAnsi="Times New Roman"/>
      <w:b/>
      <w:iCs/>
      <w:color w:val="000000" w:themeColor="text1"/>
      <w:szCs w:val="18"/>
    </w:rPr>
  </w:style>
  <w:style w:type="paragraph" w:styleId="NormalWeb">
    <w:name w:val="Normal (Web)"/>
    <w:basedOn w:val="Normal"/>
    <w:uiPriority w:val="99"/>
    <w:unhideWhenUsed/>
    <w:rsid w:val="00D21CB7"/>
    <w:pPr>
      <w:spacing w:before="100" w:beforeAutospacing="1" w:after="100" w:afterAutospacing="1"/>
    </w:pPr>
  </w:style>
  <w:style w:type="paragraph" w:styleId="Header">
    <w:name w:val="header"/>
    <w:basedOn w:val="Normal"/>
    <w:link w:val="HeaderChar"/>
    <w:uiPriority w:val="99"/>
    <w:unhideWhenUsed/>
    <w:rsid w:val="00D21CB7"/>
    <w:pPr>
      <w:tabs>
        <w:tab w:val="center" w:pos="4680"/>
        <w:tab w:val="right" w:pos="9360"/>
      </w:tabs>
      <w:spacing w:line="276" w:lineRule="auto"/>
    </w:pPr>
  </w:style>
  <w:style w:type="character" w:customStyle="1" w:styleId="HeaderChar">
    <w:name w:val="Header Char"/>
    <w:link w:val="Header"/>
    <w:uiPriority w:val="99"/>
    <w:rsid w:val="00D21CB7"/>
    <w:rPr>
      <w:rFonts w:ascii="Times New Roman" w:eastAsia="Times New Roman" w:hAnsi="Times New Roman" w:cs="Times New Roman"/>
    </w:rPr>
  </w:style>
  <w:style w:type="paragraph" w:styleId="Footer">
    <w:name w:val="footer"/>
    <w:basedOn w:val="Normal"/>
    <w:link w:val="FooterChar"/>
    <w:uiPriority w:val="99"/>
    <w:unhideWhenUsed/>
    <w:rsid w:val="00D21CB7"/>
    <w:pPr>
      <w:tabs>
        <w:tab w:val="center" w:pos="4680"/>
        <w:tab w:val="right" w:pos="9360"/>
      </w:tabs>
      <w:spacing w:line="276" w:lineRule="auto"/>
    </w:pPr>
  </w:style>
  <w:style w:type="character" w:customStyle="1" w:styleId="FooterChar">
    <w:name w:val="Footer Char"/>
    <w:link w:val="Footer"/>
    <w:uiPriority w:val="99"/>
    <w:rsid w:val="00D21CB7"/>
    <w:rPr>
      <w:rFonts w:ascii="Times New Roman" w:eastAsia="Times New Roman" w:hAnsi="Times New Roman" w:cs="Times New Roman"/>
    </w:rPr>
  </w:style>
  <w:style w:type="paragraph" w:customStyle="1" w:styleId="Default">
    <w:name w:val="Default"/>
    <w:rsid w:val="00D21CB7"/>
    <w:pPr>
      <w:autoSpaceDE w:val="0"/>
      <w:autoSpaceDN w:val="0"/>
      <w:adjustRightInd w:val="0"/>
    </w:pPr>
    <w:rPr>
      <w:rFonts w:ascii="Times New Roman" w:hAnsi="Times New Roman"/>
      <w:color w:val="000000"/>
      <w:sz w:val="24"/>
      <w:szCs w:val="24"/>
    </w:rPr>
  </w:style>
  <w:style w:type="character" w:customStyle="1" w:styleId="CommentTextChar">
    <w:name w:val="Comment Text Char"/>
    <w:link w:val="CommentText"/>
    <w:uiPriority w:val="99"/>
    <w:rsid w:val="00D21CB7"/>
    <w:rPr>
      <w:sz w:val="20"/>
      <w:szCs w:val="20"/>
    </w:rPr>
  </w:style>
  <w:style w:type="paragraph" w:styleId="CommentText">
    <w:name w:val="annotation text"/>
    <w:basedOn w:val="Normal"/>
    <w:link w:val="CommentTextChar"/>
    <w:uiPriority w:val="99"/>
    <w:unhideWhenUsed/>
    <w:rsid w:val="00D21CB7"/>
    <w:pPr>
      <w:spacing w:after="160"/>
    </w:pPr>
    <w:rPr>
      <w:rFonts w:ascii="Calibri" w:eastAsia="Calibri" w:hAnsi="Calibri"/>
      <w:sz w:val="20"/>
      <w:szCs w:val="20"/>
    </w:rPr>
  </w:style>
  <w:style w:type="character" w:customStyle="1" w:styleId="CommentSubjectChar">
    <w:name w:val="Comment Subject Char"/>
    <w:link w:val="CommentSubject"/>
    <w:uiPriority w:val="99"/>
    <w:semiHidden/>
    <w:rsid w:val="00D21CB7"/>
    <w:rPr>
      <w:b/>
      <w:bCs/>
      <w:sz w:val="20"/>
      <w:szCs w:val="20"/>
    </w:rPr>
  </w:style>
  <w:style w:type="paragraph" w:styleId="CommentSubject">
    <w:name w:val="annotation subject"/>
    <w:basedOn w:val="CommentText"/>
    <w:next w:val="CommentText"/>
    <w:link w:val="CommentSubjectChar"/>
    <w:uiPriority w:val="99"/>
    <w:semiHidden/>
    <w:unhideWhenUsed/>
    <w:rsid w:val="00D21CB7"/>
    <w:rPr>
      <w:b/>
      <w:bCs/>
    </w:rPr>
  </w:style>
  <w:style w:type="character" w:customStyle="1" w:styleId="BalloonTextChar">
    <w:name w:val="Balloon Text Char"/>
    <w:link w:val="BalloonText"/>
    <w:uiPriority w:val="99"/>
    <w:semiHidden/>
    <w:rsid w:val="00D21CB7"/>
    <w:rPr>
      <w:rFonts w:ascii="Times New Roman" w:hAnsi="Times New Roman" w:cs="Times New Roman"/>
      <w:sz w:val="18"/>
      <w:szCs w:val="18"/>
    </w:rPr>
  </w:style>
  <w:style w:type="paragraph" w:styleId="BalloonText">
    <w:name w:val="Balloon Text"/>
    <w:basedOn w:val="Normal"/>
    <w:link w:val="BalloonTextChar"/>
    <w:uiPriority w:val="99"/>
    <w:semiHidden/>
    <w:unhideWhenUsed/>
    <w:rsid w:val="00D21CB7"/>
    <w:rPr>
      <w:rFonts w:eastAsia="Calibri"/>
      <w:sz w:val="18"/>
      <w:szCs w:val="18"/>
    </w:rPr>
  </w:style>
  <w:style w:type="paragraph" w:styleId="NoSpacing">
    <w:name w:val="No Spacing"/>
    <w:link w:val="NoSpacingChar"/>
    <w:uiPriority w:val="1"/>
    <w:qFormat/>
    <w:rsid w:val="0082558C"/>
    <w:rPr>
      <w:sz w:val="22"/>
      <w:szCs w:val="22"/>
    </w:rPr>
  </w:style>
  <w:style w:type="character" w:customStyle="1" w:styleId="NoSpacingChar">
    <w:name w:val="No Spacing Char"/>
    <w:link w:val="NoSpacing"/>
    <w:uiPriority w:val="1"/>
    <w:rsid w:val="00715E4F"/>
    <w:rPr>
      <w:sz w:val="22"/>
      <w:szCs w:val="22"/>
    </w:rPr>
  </w:style>
  <w:style w:type="character" w:customStyle="1" w:styleId="size">
    <w:name w:val="size"/>
    <w:basedOn w:val="DefaultParagraphFont"/>
    <w:rsid w:val="0082558C"/>
  </w:style>
  <w:style w:type="table" w:styleId="LightShading">
    <w:name w:val="Light Shading"/>
    <w:basedOn w:val="TableNormal"/>
    <w:uiPriority w:val="60"/>
    <w:rsid w:val="0082558C"/>
    <w:rPr>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styleId="Emphasis">
    <w:name w:val="Emphasis"/>
    <w:uiPriority w:val="20"/>
    <w:qFormat/>
    <w:rsid w:val="00715E4F"/>
    <w:rPr>
      <w:i/>
      <w:iCs/>
    </w:rPr>
  </w:style>
  <w:style w:type="paragraph" w:styleId="BodyText">
    <w:name w:val="Body Text"/>
    <w:basedOn w:val="Normal"/>
    <w:link w:val="BodyTextChar"/>
    <w:uiPriority w:val="1"/>
    <w:qFormat/>
    <w:rsid w:val="00715E4F"/>
    <w:pPr>
      <w:widowControl w:val="0"/>
      <w:autoSpaceDE w:val="0"/>
      <w:autoSpaceDN w:val="0"/>
    </w:pPr>
    <w:rPr>
      <w:sz w:val="22"/>
      <w:szCs w:val="22"/>
    </w:rPr>
  </w:style>
  <w:style w:type="character" w:customStyle="1" w:styleId="BodyTextChar">
    <w:name w:val="Body Text Char"/>
    <w:link w:val="BodyText"/>
    <w:uiPriority w:val="1"/>
    <w:rsid w:val="00715E4F"/>
    <w:rPr>
      <w:rFonts w:ascii="Times New Roman" w:eastAsia="Times New Roman" w:hAnsi="Times New Roman" w:cs="Times New Roman"/>
      <w:sz w:val="22"/>
      <w:szCs w:val="22"/>
    </w:rPr>
  </w:style>
  <w:style w:type="paragraph" w:styleId="BodyText3">
    <w:name w:val="Body Text 3"/>
    <w:basedOn w:val="Normal"/>
    <w:link w:val="BodyText3Char"/>
    <w:rsid w:val="00715E4F"/>
    <w:pPr>
      <w:spacing w:after="120"/>
    </w:pPr>
    <w:rPr>
      <w:snapToGrid w:val="0"/>
      <w:sz w:val="16"/>
      <w:szCs w:val="16"/>
      <w:lang w:val="fr-FR" w:eastAsia="en-GB"/>
    </w:rPr>
  </w:style>
  <w:style w:type="character" w:customStyle="1" w:styleId="BodyText3Char">
    <w:name w:val="Body Text 3 Char"/>
    <w:link w:val="BodyText3"/>
    <w:rsid w:val="00715E4F"/>
    <w:rPr>
      <w:rFonts w:ascii="Times New Roman" w:eastAsia="Times New Roman" w:hAnsi="Times New Roman" w:cs="Times New Roman"/>
      <w:snapToGrid w:val="0"/>
      <w:sz w:val="16"/>
      <w:szCs w:val="16"/>
      <w:lang w:val="fr-FR" w:eastAsia="en-GB"/>
    </w:rPr>
  </w:style>
  <w:style w:type="table" w:styleId="TableGrid">
    <w:name w:val="Table Grid"/>
    <w:basedOn w:val="TableNormal"/>
    <w:uiPriority w:val="59"/>
    <w:rsid w:val="00715E4F"/>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uiPriority w:val="22"/>
    <w:qFormat/>
    <w:rsid w:val="00E16412"/>
    <w:rPr>
      <w:b/>
      <w:bCs/>
    </w:rPr>
  </w:style>
  <w:style w:type="character" w:styleId="CommentReference">
    <w:name w:val="annotation reference"/>
    <w:uiPriority w:val="99"/>
    <w:semiHidden/>
    <w:unhideWhenUsed/>
    <w:rsid w:val="00697881"/>
    <w:rPr>
      <w:sz w:val="16"/>
      <w:szCs w:val="16"/>
    </w:rPr>
  </w:style>
  <w:style w:type="character" w:customStyle="1" w:styleId="hgkelc">
    <w:name w:val="hgkelc"/>
    <w:basedOn w:val="DefaultParagraphFont"/>
    <w:rsid w:val="00697881"/>
  </w:style>
  <w:style w:type="paragraph" w:customStyle="1" w:styleId="ColorfulList-Accent11">
    <w:name w:val="Colorful List - Accent 11"/>
    <w:basedOn w:val="Normal"/>
    <w:uiPriority w:val="34"/>
    <w:qFormat/>
    <w:rsid w:val="000E1363"/>
    <w:pPr>
      <w:spacing w:after="160" w:line="259" w:lineRule="auto"/>
      <w:ind w:left="720"/>
    </w:pPr>
    <w:rPr>
      <w:rFonts w:ascii="Calibri" w:hAnsi="Calibri"/>
      <w:sz w:val="22"/>
      <w:szCs w:val="22"/>
      <w:lang w:val="en-GB" w:eastAsia="en-GB"/>
    </w:rPr>
  </w:style>
  <w:style w:type="paragraph" w:styleId="TOCHeading">
    <w:name w:val="TOC Heading"/>
    <w:basedOn w:val="Heading1"/>
    <w:next w:val="Normal"/>
    <w:uiPriority w:val="39"/>
    <w:unhideWhenUsed/>
    <w:qFormat/>
    <w:rsid w:val="00D047C8"/>
    <w:pPr>
      <w:widowControl/>
      <w:autoSpaceDE/>
      <w:autoSpaceDN/>
      <w:spacing w:before="480" w:line="276" w:lineRule="auto"/>
      <w:outlineLvl w:val="9"/>
    </w:pPr>
    <w:rPr>
      <w:b w:val="0"/>
      <w:bCs/>
      <w:szCs w:val="28"/>
    </w:rPr>
  </w:style>
  <w:style w:type="paragraph" w:styleId="TOC2">
    <w:name w:val="toc 2"/>
    <w:basedOn w:val="Normal"/>
    <w:next w:val="Normal"/>
    <w:autoRedefine/>
    <w:uiPriority w:val="39"/>
    <w:unhideWhenUsed/>
    <w:rsid w:val="002C0E50"/>
    <w:pPr>
      <w:tabs>
        <w:tab w:val="left" w:pos="720"/>
        <w:tab w:val="left" w:pos="1701"/>
        <w:tab w:val="right" w:leader="dot" w:pos="9020"/>
      </w:tabs>
      <w:spacing w:after="60" w:line="240" w:lineRule="auto"/>
      <w:contextualSpacing w:val="0"/>
    </w:pPr>
    <w:rPr>
      <w:rFonts w:cs="Calibri"/>
      <w:bCs/>
      <w:szCs w:val="22"/>
    </w:rPr>
  </w:style>
  <w:style w:type="paragraph" w:styleId="TOC1">
    <w:name w:val="toc 1"/>
    <w:basedOn w:val="Normal"/>
    <w:next w:val="Normal"/>
    <w:autoRedefine/>
    <w:uiPriority w:val="39"/>
    <w:unhideWhenUsed/>
    <w:rsid w:val="00227F04"/>
    <w:pPr>
      <w:spacing w:before="60" w:after="60" w:line="240" w:lineRule="auto"/>
      <w:contextualSpacing w:val="0"/>
    </w:pPr>
    <w:rPr>
      <w:rFonts w:cs="Calibri"/>
      <w:bCs/>
      <w:iCs/>
    </w:rPr>
  </w:style>
  <w:style w:type="paragraph" w:styleId="TOC3">
    <w:name w:val="toc 3"/>
    <w:basedOn w:val="Normal"/>
    <w:next w:val="Normal"/>
    <w:autoRedefine/>
    <w:uiPriority w:val="39"/>
    <w:unhideWhenUsed/>
    <w:rsid w:val="00CD75C2"/>
    <w:pPr>
      <w:spacing w:after="60" w:line="240" w:lineRule="auto"/>
      <w:ind w:left="230"/>
      <w:contextualSpacing w:val="0"/>
    </w:pPr>
    <w:rPr>
      <w:rFonts w:cs="Calibri"/>
      <w:szCs w:val="20"/>
    </w:rPr>
  </w:style>
  <w:style w:type="character" w:styleId="Hyperlink">
    <w:name w:val="Hyperlink"/>
    <w:uiPriority w:val="99"/>
    <w:unhideWhenUsed/>
    <w:rsid w:val="00D047C8"/>
    <w:rPr>
      <w:color w:val="0563C1"/>
      <w:u w:val="single"/>
    </w:rPr>
  </w:style>
  <w:style w:type="paragraph" w:styleId="TOC4">
    <w:name w:val="toc 4"/>
    <w:basedOn w:val="Normal"/>
    <w:next w:val="Normal"/>
    <w:autoRedefine/>
    <w:uiPriority w:val="39"/>
    <w:unhideWhenUsed/>
    <w:rsid w:val="00A95156"/>
    <w:pPr>
      <w:tabs>
        <w:tab w:val="left" w:pos="1418"/>
        <w:tab w:val="left" w:pos="1701"/>
        <w:tab w:val="left" w:pos="1920"/>
        <w:tab w:val="right" w:leader="dot" w:pos="9622"/>
      </w:tabs>
      <w:spacing w:after="60" w:line="240" w:lineRule="auto"/>
      <w:ind w:left="461"/>
      <w:contextualSpacing w:val="0"/>
    </w:pPr>
    <w:rPr>
      <w:rFonts w:cs="Calibri"/>
      <w:szCs w:val="20"/>
    </w:rPr>
  </w:style>
  <w:style w:type="paragraph" w:styleId="TOC5">
    <w:name w:val="toc 5"/>
    <w:basedOn w:val="Normal"/>
    <w:next w:val="Normal"/>
    <w:autoRedefine/>
    <w:uiPriority w:val="39"/>
    <w:unhideWhenUsed/>
    <w:rsid w:val="00EE0C70"/>
    <w:pPr>
      <w:tabs>
        <w:tab w:val="right" w:leader="dot" w:pos="9622"/>
      </w:tabs>
      <w:spacing w:after="60" w:line="240" w:lineRule="auto"/>
      <w:contextualSpacing w:val="0"/>
    </w:pPr>
    <w:rPr>
      <w:rFonts w:cs="Calibri"/>
      <w:szCs w:val="20"/>
    </w:rPr>
  </w:style>
  <w:style w:type="paragraph" w:styleId="TOC6">
    <w:name w:val="toc 6"/>
    <w:basedOn w:val="Normal"/>
    <w:next w:val="Normal"/>
    <w:autoRedefine/>
    <w:uiPriority w:val="39"/>
    <w:unhideWhenUsed/>
    <w:rsid w:val="00595B2B"/>
    <w:pPr>
      <w:spacing w:after="60" w:line="240" w:lineRule="auto"/>
      <w:ind w:left="720" w:hanging="720"/>
      <w:contextualSpacing w:val="0"/>
    </w:pPr>
    <w:rPr>
      <w:rFonts w:cs="Calibri"/>
      <w:szCs w:val="20"/>
    </w:rPr>
  </w:style>
  <w:style w:type="paragraph" w:styleId="TOC7">
    <w:name w:val="toc 7"/>
    <w:basedOn w:val="Normal"/>
    <w:next w:val="Normal"/>
    <w:autoRedefine/>
    <w:uiPriority w:val="39"/>
    <w:unhideWhenUsed/>
    <w:rsid w:val="002C0E50"/>
    <w:pPr>
      <w:tabs>
        <w:tab w:val="right" w:leader="dot" w:pos="9010"/>
      </w:tabs>
      <w:spacing w:after="240" w:line="240" w:lineRule="auto"/>
      <w:ind w:left="1296" w:right="720" w:hanging="1296"/>
      <w:contextualSpacing w:val="0"/>
    </w:pPr>
    <w:rPr>
      <w:rFonts w:cs="Calibri"/>
      <w:szCs w:val="20"/>
    </w:rPr>
  </w:style>
  <w:style w:type="paragraph" w:styleId="TOC8">
    <w:name w:val="toc 8"/>
    <w:basedOn w:val="Normal"/>
    <w:next w:val="Normal"/>
    <w:autoRedefine/>
    <w:uiPriority w:val="39"/>
    <w:unhideWhenUsed/>
    <w:rsid w:val="001B0EFE"/>
    <w:pPr>
      <w:tabs>
        <w:tab w:val="right" w:leader="dot" w:pos="9622"/>
      </w:tabs>
      <w:spacing w:after="240" w:line="240" w:lineRule="auto"/>
      <w:ind w:left="1296" w:right="864" w:hanging="1296"/>
      <w:contextualSpacing w:val="0"/>
    </w:pPr>
    <w:rPr>
      <w:rFonts w:cs="Calibri"/>
      <w:szCs w:val="20"/>
    </w:rPr>
  </w:style>
  <w:style w:type="paragraph" w:styleId="TOC9">
    <w:name w:val="toc 9"/>
    <w:basedOn w:val="Normal"/>
    <w:next w:val="Normal"/>
    <w:autoRedefine/>
    <w:uiPriority w:val="39"/>
    <w:unhideWhenUsed/>
    <w:rsid w:val="001A31F1"/>
    <w:pPr>
      <w:tabs>
        <w:tab w:val="left" w:pos="1296"/>
        <w:tab w:val="right" w:leader="dot" w:pos="9622"/>
      </w:tabs>
      <w:spacing w:after="200" w:line="240" w:lineRule="auto"/>
      <w:ind w:left="1298" w:right="862" w:hanging="1298"/>
      <w:contextualSpacing w:val="0"/>
    </w:pPr>
    <w:rPr>
      <w:rFonts w:cs="Calibri"/>
      <w:szCs w:val="20"/>
    </w:rPr>
  </w:style>
  <w:style w:type="character" w:customStyle="1" w:styleId="UnresolvedMention1">
    <w:name w:val="Unresolved Mention1"/>
    <w:uiPriority w:val="99"/>
    <w:semiHidden/>
    <w:unhideWhenUsed/>
    <w:rsid w:val="008E0611"/>
    <w:rPr>
      <w:color w:val="605E5C"/>
      <w:shd w:val="clear" w:color="auto" w:fill="E1DFDD"/>
    </w:rPr>
  </w:style>
  <w:style w:type="paragraph" w:styleId="Title">
    <w:name w:val="Title"/>
    <w:basedOn w:val="Normal"/>
    <w:next w:val="Normal"/>
    <w:link w:val="TitleChar"/>
    <w:uiPriority w:val="10"/>
    <w:qFormat/>
    <w:rsid w:val="00DD7DBB"/>
    <w:pPr>
      <w:spacing w:after="240" w:line="240" w:lineRule="auto"/>
      <w:ind w:left="720" w:hanging="720"/>
      <w:jc w:val="center"/>
    </w:pPr>
    <w:rPr>
      <w:b/>
      <w:spacing w:val="-10"/>
      <w:kern w:val="28"/>
      <w:sz w:val="28"/>
      <w:szCs w:val="56"/>
    </w:rPr>
  </w:style>
  <w:style w:type="character" w:customStyle="1" w:styleId="TitleChar">
    <w:name w:val="Title Char"/>
    <w:link w:val="Title"/>
    <w:uiPriority w:val="10"/>
    <w:qFormat/>
    <w:rsid w:val="00DD7DBB"/>
    <w:rPr>
      <w:rFonts w:ascii="Times New Roman" w:eastAsia="Times New Roman" w:hAnsi="Times New Roman"/>
      <w:b/>
      <w:spacing w:val="-10"/>
      <w:kern w:val="28"/>
      <w:sz w:val="28"/>
      <w:szCs w:val="56"/>
    </w:rPr>
  </w:style>
  <w:style w:type="character" w:customStyle="1" w:styleId="CommentTextChar1">
    <w:name w:val="Comment Text Char1"/>
    <w:uiPriority w:val="99"/>
    <w:semiHidden/>
    <w:rsid w:val="00BA275B"/>
    <w:rPr>
      <w:rFonts w:ascii="Times New Roman" w:eastAsia="Times New Roman" w:hAnsi="Times New Roman" w:cs="Times New Roman"/>
      <w:sz w:val="20"/>
      <w:szCs w:val="20"/>
    </w:rPr>
  </w:style>
  <w:style w:type="character" w:customStyle="1" w:styleId="CommentSubjectChar1">
    <w:name w:val="Comment Subject Char1"/>
    <w:uiPriority w:val="99"/>
    <w:semiHidden/>
    <w:rsid w:val="00BA275B"/>
    <w:rPr>
      <w:rFonts w:ascii="Times New Roman" w:eastAsia="Times New Roman" w:hAnsi="Times New Roman" w:cs="Times New Roman"/>
      <w:b/>
      <w:bCs/>
      <w:sz w:val="20"/>
      <w:szCs w:val="20"/>
    </w:rPr>
  </w:style>
  <w:style w:type="character" w:customStyle="1" w:styleId="BalloonTextChar1">
    <w:name w:val="Balloon Text Char1"/>
    <w:uiPriority w:val="99"/>
    <w:semiHidden/>
    <w:rsid w:val="00BA275B"/>
    <w:rPr>
      <w:rFonts w:ascii="Times New Roman" w:eastAsia="Times New Roman" w:hAnsi="Times New Roman" w:cs="Times New Roman"/>
      <w:sz w:val="18"/>
      <w:szCs w:val="18"/>
    </w:rPr>
  </w:style>
  <w:style w:type="character" w:customStyle="1" w:styleId="Heading8Char">
    <w:name w:val="Heading 8 Char"/>
    <w:link w:val="Heading8"/>
    <w:uiPriority w:val="9"/>
    <w:semiHidden/>
    <w:rsid w:val="006F532D"/>
    <w:rPr>
      <w:rFonts w:ascii="Calibri Light" w:eastAsia="Times New Roman" w:hAnsi="Calibri Light" w:cs="Times New Roman"/>
      <w:color w:val="272727"/>
      <w:sz w:val="21"/>
      <w:szCs w:val="21"/>
    </w:rPr>
  </w:style>
  <w:style w:type="character" w:styleId="BookTitle">
    <w:name w:val="Book Title"/>
    <w:aliases w:val="Maps"/>
    <w:basedOn w:val="DefaultParagraphFont"/>
    <w:uiPriority w:val="33"/>
    <w:rsid w:val="003179E3"/>
    <w:rPr>
      <w:rFonts w:ascii="Times New Roman Bold" w:hAnsi="Times New Roman Bold"/>
      <w:b/>
      <w:bCs/>
      <w:i w:val="0"/>
      <w:iCs/>
      <w:color w:val="000000" w:themeColor="text1"/>
      <w:spacing w:val="5"/>
      <w:sz w:val="20"/>
    </w:rPr>
  </w:style>
  <w:style w:type="character" w:customStyle="1" w:styleId="UnresolvedMention2">
    <w:name w:val="Unresolved Mention2"/>
    <w:basedOn w:val="DefaultParagraphFont"/>
    <w:uiPriority w:val="99"/>
    <w:semiHidden/>
    <w:unhideWhenUsed/>
    <w:rsid w:val="00D75F5D"/>
    <w:rPr>
      <w:color w:val="605E5C"/>
      <w:shd w:val="clear" w:color="auto" w:fill="E1DFDD"/>
    </w:rPr>
  </w:style>
  <w:style w:type="character" w:styleId="IntenseEmphasis">
    <w:name w:val="Intense Emphasis"/>
    <w:basedOn w:val="DefaultParagraphFont"/>
    <w:uiPriority w:val="21"/>
    <w:qFormat/>
    <w:rsid w:val="00A748B3"/>
    <w:rPr>
      <w:i/>
      <w:iCs/>
      <w:color w:val="4472C4" w:themeColor="accent1"/>
    </w:rPr>
  </w:style>
  <w:style w:type="character" w:customStyle="1" w:styleId="Heading5Char">
    <w:name w:val="Heading 5 Char"/>
    <w:basedOn w:val="DefaultParagraphFont"/>
    <w:link w:val="Heading5"/>
    <w:uiPriority w:val="9"/>
    <w:rsid w:val="00A91C6F"/>
    <w:rPr>
      <w:rFonts w:ascii="Times New Roman" w:eastAsiaTheme="majorEastAsia" w:hAnsi="Times New Roman" w:cstheme="majorBidi"/>
      <w:b/>
      <w:sz w:val="24"/>
      <w:szCs w:val="24"/>
    </w:rPr>
  </w:style>
  <w:style w:type="paragraph" w:customStyle="1" w:styleId="MapNew">
    <w:name w:val="MapNew"/>
    <w:basedOn w:val="Caption"/>
    <w:uiPriority w:val="1"/>
    <w:qFormat/>
    <w:rsid w:val="00686E94"/>
    <w:pPr>
      <w:tabs>
        <w:tab w:val="left" w:pos="851"/>
      </w:tabs>
      <w:spacing w:after="80"/>
    </w:pPr>
  </w:style>
  <w:style w:type="paragraph" w:styleId="Subtitle">
    <w:name w:val="Subtitle"/>
    <w:basedOn w:val="Normal"/>
    <w:next w:val="Normal"/>
    <w:link w:val="SubtitleChar"/>
    <w:uiPriority w:val="11"/>
    <w:qFormat/>
    <w:rsid w:val="005B5550"/>
    <w:pPr>
      <w:numPr>
        <w:ilvl w:val="1"/>
      </w:numPr>
      <w:spacing w:after="240" w:line="240" w:lineRule="auto"/>
      <w:contextualSpacing w:val="0"/>
      <w:jc w:val="center"/>
    </w:pPr>
    <w:rPr>
      <w:rFonts w:eastAsiaTheme="minorEastAsia" w:cs="Times New Roman (Body CS)"/>
      <w:b/>
      <w:color w:val="000000" w:themeColor="text1"/>
      <w:szCs w:val="22"/>
    </w:rPr>
  </w:style>
  <w:style w:type="character" w:customStyle="1" w:styleId="SubtitleChar">
    <w:name w:val="Subtitle Char"/>
    <w:basedOn w:val="DefaultParagraphFont"/>
    <w:link w:val="Subtitle"/>
    <w:uiPriority w:val="11"/>
    <w:rsid w:val="005B5550"/>
    <w:rPr>
      <w:rFonts w:ascii="Times New Roman" w:eastAsiaTheme="minorEastAsia" w:hAnsi="Times New Roman" w:cs="Times New Roman (Body CS)"/>
      <w:b/>
      <w:color w:val="000000" w:themeColor="text1"/>
      <w:sz w:val="24"/>
      <w:szCs w:val="22"/>
    </w:rPr>
  </w:style>
  <w:style w:type="character" w:customStyle="1" w:styleId="Heading6Char">
    <w:name w:val="Heading 6 Char"/>
    <w:basedOn w:val="DefaultParagraphFont"/>
    <w:link w:val="Heading6"/>
    <w:uiPriority w:val="9"/>
    <w:semiHidden/>
    <w:rsid w:val="009A5F04"/>
    <w:rPr>
      <w:rFonts w:asciiTheme="majorHAnsi" w:eastAsiaTheme="majorEastAsia" w:hAnsiTheme="majorHAnsi" w:cstheme="majorBidi"/>
      <w:color w:val="1F3763" w:themeColor="accent1" w:themeShade="7F"/>
      <w:sz w:val="24"/>
      <w:szCs w:val="24"/>
    </w:rPr>
  </w:style>
  <w:style w:type="paragraph" w:styleId="TableofFigures">
    <w:name w:val="table of figures"/>
    <w:basedOn w:val="Normal"/>
    <w:next w:val="Normal"/>
    <w:uiPriority w:val="99"/>
    <w:semiHidden/>
    <w:unhideWhenUsed/>
    <w:rsid w:val="00090084"/>
    <w:pPr>
      <w:spacing w:after="120" w:line="240" w:lineRule="auto"/>
      <w:ind w:left="720" w:hanging="720"/>
      <w:contextualSpacing w:val="0"/>
    </w:pPr>
  </w:style>
  <w:style w:type="character" w:customStyle="1" w:styleId="Heading9Char">
    <w:name w:val="Heading 9 Char"/>
    <w:basedOn w:val="DefaultParagraphFont"/>
    <w:link w:val="Heading9"/>
    <w:uiPriority w:val="9"/>
    <w:rsid w:val="001D4A43"/>
    <w:rPr>
      <w:rFonts w:asciiTheme="majorHAnsi" w:eastAsiaTheme="majorEastAsia" w:hAnsiTheme="majorHAnsi" w:cstheme="majorBidi"/>
      <w:i/>
      <w:iCs/>
      <w:color w:val="272727" w:themeColor="text1" w:themeTint="D8"/>
      <w:sz w:val="21"/>
      <w:szCs w:val="21"/>
    </w:rPr>
  </w:style>
  <w:style w:type="paragraph" w:styleId="EndnoteText">
    <w:name w:val="endnote text"/>
    <w:basedOn w:val="Normal"/>
    <w:link w:val="EndnoteTextChar"/>
    <w:uiPriority w:val="99"/>
    <w:semiHidden/>
    <w:unhideWhenUsed/>
    <w:rsid w:val="00863938"/>
    <w:pPr>
      <w:spacing w:line="240" w:lineRule="auto"/>
    </w:pPr>
    <w:rPr>
      <w:sz w:val="20"/>
      <w:szCs w:val="20"/>
    </w:rPr>
  </w:style>
  <w:style w:type="character" w:customStyle="1" w:styleId="EndnoteTextChar">
    <w:name w:val="Endnote Text Char"/>
    <w:basedOn w:val="DefaultParagraphFont"/>
    <w:link w:val="EndnoteText"/>
    <w:uiPriority w:val="99"/>
    <w:semiHidden/>
    <w:rsid w:val="00863938"/>
    <w:rPr>
      <w:rFonts w:ascii="Times New Roman" w:eastAsia="Times New Roman" w:hAnsi="Times New Roman"/>
    </w:rPr>
  </w:style>
  <w:style w:type="character" w:styleId="EndnoteReference">
    <w:name w:val="endnote reference"/>
    <w:basedOn w:val="DefaultParagraphFont"/>
    <w:uiPriority w:val="99"/>
    <w:semiHidden/>
    <w:unhideWhenUsed/>
    <w:rsid w:val="00863938"/>
    <w:rPr>
      <w:vertAlign w:val="superscript"/>
    </w:rPr>
  </w:style>
  <w:style w:type="character" w:styleId="UnresolvedMention">
    <w:name w:val="Unresolved Mention"/>
    <w:basedOn w:val="DefaultParagraphFont"/>
    <w:uiPriority w:val="99"/>
    <w:semiHidden/>
    <w:unhideWhenUsed/>
    <w:rsid w:val="0086393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276231">
      <w:bodyDiv w:val="1"/>
      <w:marLeft w:val="0"/>
      <w:marRight w:val="0"/>
      <w:marTop w:val="0"/>
      <w:marBottom w:val="0"/>
      <w:divBdr>
        <w:top w:val="none" w:sz="0" w:space="0" w:color="auto"/>
        <w:left w:val="none" w:sz="0" w:space="0" w:color="auto"/>
        <w:bottom w:val="none" w:sz="0" w:space="0" w:color="auto"/>
        <w:right w:val="none" w:sz="0" w:space="0" w:color="auto"/>
      </w:divBdr>
    </w:div>
    <w:div w:id="22442274">
      <w:bodyDiv w:val="1"/>
      <w:marLeft w:val="0"/>
      <w:marRight w:val="0"/>
      <w:marTop w:val="0"/>
      <w:marBottom w:val="0"/>
      <w:divBdr>
        <w:top w:val="none" w:sz="0" w:space="0" w:color="auto"/>
        <w:left w:val="none" w:sz="0" w:space="0" w:color="auto"/>
        <w:bottom w:val="none" w:sz="0" w:space="0" w:color="auto"/>
        <w:right w:val="none" w:sz="0" w:space="0" w:color="auto"/>
      </w:divBdr>
    </w:div>
    <w:div w:id="45877298">
      <w:bodyDiv w:val="1"/>
      <w:marLeft w:val="0"/>
      <w:marRight w:val="0"/>
      <w:marTop w:val="0"/>
      <w:marBottom w:val="0"/>
      <w:divBdr>
        <w:top w:val="none" w:sz="0" w:space="0" w:color="auto"/>
        <w:left w:val="none" w:sz="0" w:space="0" w:color="auto"/>
        <w:bottom w:val="none" w:sz="0" w:space="0" w:color="auto"/>
        <w:right w:val="none" w:sz="0" w:space="0" w:color="auto"/>
      </w:divBdr>
    </w:div>
    <w:div w:id="61024485">
      <w:bodyDiv w:val="1"/>
      <w:marLeft w:val="0"/>
      <w:marRight w:val="0"/>
      <w:marTop w:val="0"/>
      <w:marBottom w:val="0"/>
      <w:divBdr>
        <w:top w:val="none" w:sz="0" w:space="0" w:color="auto"/>
        <w:left w:val="none" w:sz="0" w:space="0" w:color="auto"/>
        <w:bottom w:val="none" w:sz="0" w:space="0" w:color="auto"/>
        <w:right w:val="none" w:sz="0" w:space="0" w:color="auto"/>
      </w:divBdr>
    </w:div>
    <w:div w:id="129057825">
      <w:bodyDiv w:val="1"/>
      <w:marLeft w:val="0"/>
      <w:marRight w:val="0"/>
      <w:marTop w:val="0"/>
      <w:marBottom w:val="0"/>
      <w:divBdr>
        <w:top w:val="none" w:sz="0" w:space="0" w:color="auto"/>
        <w:left w:val="none" w:sz="0" w:space="0" w:color="auto"/>
        <w:bottom w:val="none" w:sz="0" w:space="0" w:color="auto"/>
        <w:right w:val="none" w:sz="0" w:space="0" w:color="auto"/>
      </w:divBdr>
    </w:div>
    <w:div w:id="164323331">
      <w:bodyDiv w:val="1"/>
      <w:marLeft w:val="0"/>
      <w:marRight w:val="0"/>
      <w:marTop w:val="0"/>
      <w:marBottom w:val="0"/>
      <w:divBdr>
        <w:top w:val="none" w:sz="0" w:space="0" w:color="auto"/>
        <w:left w:val="none" w:sz="0" w:space="0" w:color="auto"/>
        <w:bottom w:val="none" w:sz="0" w:space="0" w:color="auto"/>
        <w:right w:val="none" w:sz="0" w:space="0" w:color="auto"/>
      </w:divBdr>
    </w:div>
    <w:div w:id="224724863">
      <w:bodyDiv w:val="1"/>
      <w:marLeft w:val="0"/>
      <w:marRight w:val="0"/>
      <w:marTop w:val="0"/>
      <w:marBottom w:val="0"/>
      <w:divBdr>
        <w:top w:val="none" w:sz="0" w:space="0" w:color="auto"/>
        <w:left w:val="none" w:sz="0" w:space="0" w:color="auto"/>
        <w:bottom w:val="none" w:sz="0" w:space="0" w:color="auto"/>
        <w:right w:val="none" w:sz="0" w:space="0" w:color="auto"/>
      </w:divBdr>
    </w:div>
    <w:div w:id="225994980">
      <w:bodyDiv w:val="1"/>
      <w:marLeft w:val="0"/>
      <w:marRight w:val="0"/>
      <w:marTop w:val="0"/>
      <w:marBottom w:val="0"/>
      <w:divBdr>
        <w:top w:val="none" w:sz="0" w:space="0" w:color="auto"/>
        <w:left w:val="none" w:sz="0" w:space="0" w:color="auto"/>
        <w:bottom w:val="none" w:sz="0" w:space="0" w:color="auto"/>
        <w:right w:val="none" w:sz="0" w:space="0" w:color="auto"/>
      </w:divBdr>
    </w:div>
    <w:div w:id="253712989">
      <w:bodyDiv w:val="1"/>
      <w:marLeft w:val="0"/>
      <w:marRight w:val="0"/>
      <w:marTop w:val="0"/>
      <w:marBottom w:val="0"/>
      <w:divBdr>
        <w:top w:val="none" w:sz="0" w:space="0" w:color="auto"/>
        <w:left w:val="none" w:sz="0" w:space="0" w:color="auto"/>
        <w:bottom w:val="none" w:sz="0" w:space="0" w:color="auto"/>
        <w:right w:val="none" w:sz="0" w:space="0" w:color="auto"/>
      </w:divBdr>
    </w:div>
    <w:div w:id="267201037">
      <w:bodyDiv w:val="1"/>
      <w:marLeft w:val="0"/>
      <w:marRight w:val="0"/>
      <w:marTop w:val="0"/>
      <w:marBottom w:val="0"/>
      <w:divBdr>
        <w:top w:val="none" w:sz="0" w:space="0" w:color="auto"/>
        <w:left w:val="none" w:sz="0" w:space="0" w:color="auto"/>
        <w:bottom w:val="none" w:sz="0" w:space="0" w:color="auto"/>
        <w:right w:val="none" w:sz="0" w:space="0" w:color="auto"/>
      </w:divBdr>
    </w:div>
    <w:div w:id="273825705">
      <w:bodyDiv w:val="1"/>
      <w:marLeft w:val="0"/>
      <w:marRight w:val="0"/>
      <w:marTop w:val="0"/>
      <w:marBottom w:val="0"/>
      <w:divBdr>
        <w:top w:val="none" w:sz="0" w:space="0" w:color="auto"/>
        <w:left w:val="none" w:sz="0" w:space="0" w:color="auto"/>
        <w:bottom w:val="none" w:sz="0" w:space="0" w:color="auto"/>
        <w:right w:val="none" w:sz="0" w:space="0" w:color="auto"/>
      </w:divBdr>
      <w:divsChild>
        <w:div w:id="291979449">
          <w:marLeft w:val="0"/>
          <w:marRight w:val="0"/>
          <w:marTop w:val="0"/>
          <w:marBottom w:val="0"/>
          <w:divBdr>
            <w:top w:val="none" w:sz="0" w:space="0" w:color="auto"/>
            <w:left w:val="none" w:sz="0" w:space="0" w:color="auto"/>
            <w:bottom w:val="none" w:sz="0" w:space="0" w:color="auto"/>
            <w:right w:val="none" w:sz="0" w:space="0" w:color="auto"/>
          </w:divBdr>
          <w:divsChild>
            <w:div w:id="1303383842">
              <w:marLeft w:val="0"/>
              <w:marRight w:val="0"/>
              <w:marTop w:val="0"/>
              <w:marBottom w:val="0"/>
              <w:divBdr>
                <w:top w:val="none" w:sz="0" w:space="0" w:color="auto"/>
                <w:left w:val="none" w:sz="0" w:space="0" w:color="auto"/>
                <w:bottom w:val="none" w:sz="0" w:space="0" w:color="auto"/>
                <w:right w:val="none" w:sz="0" w:space="0" w:color="auto"/>
              </w:divBdr>
              <w:divsChild>
                <w:div w:id="1150050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442454">
      <w:bodyDiv w:val="1"/>
      <w:marLeft w:val="0"/>
      <w:marRight w:val="0"/>
      <w:marTop w:val="0"/>
      <w:marBottom w:val="0"/>
      <w:divBdr>
        <w:top w:val="none" w:sz="0" w:space="0" w:color="auto"/>
        <w:left w:val="none" w:sz="0" w:space="0" w:color="auto"/>
        <w:bottom w:val="none" w:sz="0" w:space="0" w:color="auto"/>
        <w:right w:val="none" w:sz="0" w:space="0" w:color="auto"/>
      </w:divBdr>
    </w:div>
    <w:div w:id="442044267">
      <w:bodyDiv w:val="1"/>
      <w:marLeft w:val="0"/>
      <w:marRight w:val="0"/>
      <w:marTop w:val="0"/>
      <w:marBottom w:val="0"/>
      <w:divBdr>
        <w:top w:val="none" w:sz="0" w:space="0" w:color="auto"/>
        <w:left w:val="none" w:sz="0" w:space="0" w:color="auto"/>
        <w:bottom w:val="none" w:sz="0" w:space="0" w:color="auto"/>
        <w:right w:val="none" w:sz="0" w:space="0" w:color="auto"/>
      </w:divBdr>
    </w:div>
    <w:div w:id="499272108">
      <w:bodyDiv w:val="1"/>
      <w:marLeft w:val="0"/>
      <w:marRight w:val="0"/>
      <w:marTop w:val="0"/>
      <w:marBottom w:val="0"/>
      <w:divBdr>
        <w:top w:val="none" w:sz="0" w:space="0" w:color="auto"/>
        <w:left w:val="none" w:sz="0" w:space="0" w:color="auto"/>
        <w:bottom w:val="none" w:sz="0" w:space="0" w:color="auto"/>
        <w:right w:val="none" w:sz="0" w:space="0" w:color="auto"/>
      </w:divBdr>
    </w:div>
    <w:div w:id="524900869">
      <w:bodyDiv w:val="1"/>
      <w:marLeft w:val="0"/>
      <w:marRight w:val="0"/>
      <w:marTop w:val="0"/>
      <w:marBottom w:val="0"/>
      <w:divBdr>
        <w:top w:val="none" w:sz="0" w:space="0" w:color="auto"/>
        <w:left w:val="none" w:sz="0" w:space="0" w:color="auto"/>
        <w:bottom w:val="none" w:sz="0" w:space="0" w:color="auto"/>
        <w:right w:val="none" w:sz="0" w:space="0" w:color="auto"/>
      </w:divBdr>
    </w:div>
    <w:div w:id="535046183">
      <w:bodyDiv w:val="1"/>
      <w:marLeft w:val="0"/>
      <w:marRight w:val="0"/>
      <w:marTop w:val="0"/>
      <w:marBottom w:val="0"/>
      <w:divBdr>
        <w:top w:val="none" w:sz="0" w:space="0" w:color="auto"/>
        <w:left w:val="none" w:sz="0" w:space="0" w:color="auto"/>
        <w:bottom w:val="none" w:sz="0" w:space="0" w:color="auto"/>
        <w:right w:val="none" w:sz="0" w:space="0" w:color="auto"/>
      </w:divBdr>
    </w:div>
    <w:div w:id="548690415">
      <w:bodyDiv w:val="1"/>
      <w:marLeft w:val="0"/>
      <w:marRight w:val="0"/>
      <w:marTop w:val="0"/>
      <w:marBottom w:val="0"/>
      <w:divBdr>
        <w:top w:val="none" w:sz="0" w:space="0" w:color="auto"/>
        <w:left w:val="none" w:sz="0" w:space="0" w:color="auto"/>
        <w:bottom w:val="none" w:sz="0" w:space="0" w:color="auto"/>
        <w:right w:val="none" w:sz="0" w:space="0" w:color="auto"/>
      </w:divBdr>
    </w:div>
    <w:div w:id="556628923">
      <w:bodyDiv w:val="1"/>
      <w:marLeft w:val="0"/>
      <w:marRight w:val="0"/>
      <w:marTop w:val="0"/>
      <w:marBottom w:val="0"/>
      <w:divBdr>
        <w:top w:val="none" w:sz="0" w:space="0" w:color="auto"/>
        <w:left w:val="none" w:sz="0" w:space="0" w:color="auto"/>
        <w:bottom w:val="none" w:sz="0" w:space="0" w:color="auto"/>
        <w:right w:val="none" w:sz="0" w:space="0" w:color="auto"/>
      </w:divBdr>
    </w:div>
    <w:div w:id="570579292">
      <w:bodyDiv w:val="1"/>
      <w:marLeft w:val="0"/>
      <w:marRight w:val="0"/>
      <w:marTop w:val="0"/>
      <w:marBottom w:val="0"/>
      <w:divBdr>
        <w:top w:val="none" w:sz="0" w:space="0" w:color="auto"/>
        <w:left w:val="none" w:sz="0" w:space="0" w:color="auto"/>
        <w:bottom w:val="none" w:sz="0" w:space="0" w:color="auto"/>
        <w:right w:val="none" w:sz="0" w:space="0" w:color="auto"/>
      </w:divBdr>
    </w:div>
    <w:div w:id="593171398">
      <w:bodyDiv w:val="1"/>
      <w:marLeft w:val="0"/>
      <w:marRight w:val="0"/>
      <w:marTop w:val="0"/>
      <w:marBottom w:val="0"/>
      <w:divBdr>
        <w:top w:val="none" w:sz="0" w:space="0" w:color="auto"/>
        <w:left w:val="none" w:sz="0" w:space="0" w:color="auto"/>
        <w:bottom w:val="none" w:sz="0" w:space="0" w:color="auto"/>
        <w:right w:val="none" w:sz="0" w:space="0" w:color="auto"/>
      </w:divBdr>
    </w:div>
    <w:div w:id="666133920">
      <w:bodyDiv w:val="1"/>
      <w:marLeft w:val="0"/>
      <w:marRight w:val="0"/>
      <w:marTop w:val="0"/>
      <w:marBottom w:val="0"/>
      <w:divBdr>
        <w:top w:val="none" w:sz="0" w:space="0" w:color="auto"/>
        <w:left w:val="none" w:sz="0" w:space="0" w:color="auto"/>
        <w:bottom w:val="none" w:sz="0" w:space="0" w:color="auto"/>
        <w:right w:val="none" w:sz="0" w:space="0" w:color="auto"/>
      </w:divBdr>
    </w:div>
    <w:div w:id="671875156">
      <w:bodyDiv w:val="1"/>
      <w:marLeft w:val="0"/>
      <w:marRight w:val="0"/>
      <w:marTop w:val="0"/>
      <w:marBottom w:val="0"/>
      <w:divBdr>
        <w:top w:val="none" w:sz="0" w:space="0" w:color="auto"/>
        <w:left w:val="none" w:sz="0" w:space="0" w:color="auto"/>
        <w:bottom w:val="none" w:sz="0" w:space="0" w:color="auto"/>
        <w:right w:val="none" w:sz="0" w:space="0" w:color="auto"/>
      </w:divBdr>
    </w:div>
    <w:div w:id="703091475">
      <w:bodyDiv w:val="1"/>
      <w:marLeft w:val="0"/>
      <w:marRight w:val="0"/>
      <w:marTop w:val="0"/>
      <w:marBottom w:val="0"/>
      <w:divBdr>
        <w:top w:val="none" w:sz="0" w:space="0" w:color="auto"/>
        <w:left w:val="none" w:sz="0" w:space="0" w:color="auto"/>
        <w:bottom w:val="none" w:sz="0" w:space="0" w:color="auto"/>
        <w:right w:val="none" w:sz="0" w:space="0" w:color="auto"/>
      </w:divBdr>
    </w:div>
    <w:div w:id="729036967">
      <w:bodyDiv w:val="1"/>
      <w:marLeft w:val="0"/>
      <w:marRight w:val="0"/>
      <w:marTop w:val="0"/>
      <w:marBottom w:val="0"/>
      <w:divBdr>
        <w:top w:val="none" w:sz="0" w:space="0" w:color="auto"/>
        <w:left w:val="none" w:sz="0" w:space="0" w:color="auto"/>
        <w:bottom w:val="none" w:sz="0" w:space="0" w:color="auto"/>
        <w:right w:val="none" w:sz="0" w:space="0" w:color="auto"/>
      </w:divBdr>
      <w:divsChild>
        <w:div w:id="1803422131">
          <w:marLeft w:val="0"/>
          <w:marRight w:val="0"/>
          <w:marTop w:val="0"/>
          <w:marBottom w:val="0"/>
          <w:divBdr>
            <w:top w:val="none" w:sz="0" w:space="0" w:color="auto"/>
            <w:left w:val="none" w:sz="0" w:space="0" w:color="auto"/>
            <w:bottom w:val="none" w:sz="0" w:space="0" w:color="auto"/>
            <w:right w:val="none" w:sz="0" w:space="0" w:color="auto"/>
          </w:divBdr>
          <w:divsChild>
            <w:div w:id="1723215254">
              <w:marLeft w:val="0"/>
              <w:marRight w:val="0"/>
              <w:marTop w:val="0"/>
              <w:marBottom w:val="0"/>
              <w:divBdr>
                <w:top w:val="none" w:sz="0" w:space="0" w:color="auto"/>
                <w:left w:val="none" w:sz="0" w:space="0" w:color="auto"/>
                <w:bottom w:val="none" w:sz="0" w:space="0" w:color="auto"/>
                <w:right w:val="none" w:sz="0" w:space="0" w:color="auto"/>
              </w:divBdr>
              <w:divsChild>
                <w:div w:id="139157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5324073">
      <w:bodyDiv w:val="1"/>
      <w:marLeft w:val="0"/>
      <w:marRight w:val="0"/>
      <w:marTop w:val="0"/>
      <w:marBottom w:val="0"/>
      <w:divBdr>
        <w:top w:val="none" w:sz="0" w:space="0" w:color="auto"/>
        <w:left w:val="none" w:sz="0" w:space="0" w:color="auto"/>
        <w:bottom w:val="none" w:sz="0" w:space="0" w:color="auto"/>
        <w:right w:val="none" w:sz="0" w:space="0" w:color="auto"/>
      </w:divBdr>
    </w:div>
    <w:div w:id="743726218">
      <w:bodyDiv w:val="1"/>
      <w:marLeft w:val="0"/>
      <w:marRight w:val="0"/>
      <w:marTop w:val="0"/>
      <w:marBottom w:val="0"/>
      <w:divBdr>
        <w:top w:val="none" w:sz="0" w:space="0" w:color="auto"/>
        <w:left w:val="none" w:sz="0" w:space="0" w:color="auto"/>
        <w:bottom w:val="none" w:sz="0" w:space="0" w:color="auto"/>
        <w:right w:val="none" w:sz="0" w:space="0" w:color="auto"/>
      </w:divBdr>
    </w:div>
    <w:div w:id="798569777">
      <w:bodyDiv w:val="1"/>
      <w:marLeft w:val="0"/>
      <w:marRight w:val="0"/>
      <w:marTop w:val="0"/>
      <w:marBottom w:val="0"/>
      <w:divBdr>
        <w:top w:val="none" w:sz="0" w:space="0" w:color="auto"/>
        <w:left w:val="none" w:sz="0" w:space="0" w:color="auto"/>
        <w:bottom w:val="none" w:sz="0" w:space="0" w:color="auto"/>
        <w:right w:val="none" w:sz="0" w:space="0" w:color="auto"/>
      </w:divBdr>
    </w:div>
    <w:div w:id="838009882">
      <w:bodyDiv w:val="1"/>
      <w:marLeft w:val="0"/>
      <w:marRight w:val="0"/>
      <w:marTop w:val="0"/>
      <w:marBottom w:val="0"/>
      <w:divBdr>
        <w:top w:val="none" w:sz="0" w:space="0" w:color="auto"/>
        <w:left w:val="none" w:sz="0" w:space="0" w:color="auto"/>
        <w:bottom w:val="none" w:sz="0" w:space="0" w:color="auto"/>
        <w:right w:val="none" w:sz="0" w:space="0" w:color="auto"/>
      </w:divBdr>
    </w:div>
    <w:div w:id="892816578">
      <w:bodyDiv w:val="1"/>
      <w:marLeft w:val="0"/>
      <w:marRight w:val="0"/>
      <w:marTop w:val="0"/>
      <w:marBottom w:val="0"/>
      <w:divBdr>
        <w:top w:val="none" w:sz="0" w:space="0" w:color="auto"/>
        <w:left w:val="none" w:sz="0" w:space="0" w:color="auto"/>
        <w:bottom w:val="none" w:sz="0" w:space="0" w:color="auto"/>
        <w:right w:val="none" w:sz="0" w:space="0" w:color="auto"/>
      </w:divBdr>
    </w:div>
    <w:div w:id="910578232">
      <w:bodyDiv w:val="1"/>
      <w:marLeft w:val="0"/>
      <w:marRight w:val="0"/>
      <w:marTop w:val="0"/>
      <w:marBottom w:val="0"/>
      <w:divBdr>
        <w:top w:val="none" w:sz="0" w:space="0" w:color="auto"/>
        <w:left w:val="none" w:sz="0" w:space="0" w:color="auto"/>
        <w:bottom w:val="none" w:sz="0" w:space="0" w:color="auto"/>
        <w:right w:val="none" w:sz="0" w:space="0" w:color="auto"/>
      </w:divBdr>
    </w:div>
    <w:div w:id="939490135">
      <w:bodyDiv w:val="1"/>
      <w:marLeft w:val="0"/>
      <w:marRight w:val="0"/>
      <w:marTop w:val="0"/>
      <w:marBottom w:val="0"/>
      <w:divBdr>
        <w:top w:val="none" w:sz="0" w:space="0" w:color="auto"/>
        <w:left w:val="none" w:sz="0" w:space="0" w:color="auto"/>
        <w:bottom w:val="none" w:sz="0" w:space="0" w:color="auto"/>
        <w:right w:val="none" w:sz="0" w:space="0" w:color="auto"/>
      </w:divBdr>
    </w:div>
    <w:div w:id="952054687">
      <w:bodyDiv w:val="1"/>
      <w:marLeft w:val="0"/>
      <w:marRight w:val="0"/>
      <w:marTop w:val="0"/>
      <w:marBottom w:val="0"/>
      <w:divBdr>
        <w:top w:val="none" w:sz="0" w:space="0" w:color="auto"/>
        <w:left w:val="none" w:sz="0" w:space="0" w:color="auto"/>
        <w:bottom w:val="none" w:sz="0" w:space="0" w:color="auto"/>
        <w:right w:val="none" w:sz="0" w:space="0" w:color="auto"/>
      </w:divBdr>
    </w:div>
    <w:div w:id="1021976322">
      <w:bodyDiv w:val="1"/>
      <w:marLeft w:val="0"/>
      <w:marRight w:val="0"/>
      <w:marTop w:val="0"/>
      <w:marBottom w:val="0"/>
      <w:divBdr>
        <w:top w:val="none" w:sz="0" w:space="0" w:color="auto"/>
        <w:left w:val="none" w:sz="0" w:space="0" w:color="auto"/>
        <w:bottom w:val="none" w:sz="0" w:space="0" w:color="auto"/>
        <w:right w:val="none" w:sz="0" w:space="0" w:color="auto"/>
      </w:divBdr>
    </w:div>
    <w:div w:id="1077090091">
      <w:bodyDiv w:val="1"/>
      <w:marLeft w:val="0"/>
      <w:marRight w:val="0"/>
      <w:marTop w:val="0"/>
      <w:marBottom w:val="0"/>
      <w:divBdr>
        <w:top w:val="none" w:sz="0" w:space="0" w:color="auto"/>
        <w:left w:val="none" w:sz="0" w:space="0" w:color="auto"/>
        <w:bottom w:val="none" w:sz="0" w:space="0" w:color="auto"/>
        <w:right w:val="none" w:sz="0" w:space="0" w:color="auto"/>
      </w:divBdr>
    </w:div>
    <w:div w:id="1080249666">
      <w:bodyDiv w:val="1"/>
      <w:marLeft w:val="0"/>
      <w:marRight w:val="0"/>
      <w:marTop w:val="0"/>
      <w:marBottom w:val="0"/>
      <w:divBdr>
        <w:top w:val="none" w:sz="0" w:space="0" w:color="auto"/>
        <w:left w:val="none" w:sz="0" w:space="0" w:color="auto"/>
        <w:bottom w:val="none" w:sz="0" w:space="0" w:color="auto"/>
        <w:right w:val="none" w:sz="0" w:space="0" w:color="auto"/>
      </w:divBdr>
    </w:div>
    <w:div w:id="1125536298">
      <w:bodyDiv w:val="1"/>
      <w:marLeft w:val="0"/>
      <w:marRight w:val="0"/>
      <w:marTop w:val="0"/>
      <w:marBottom w:val="0"/>
      <w:divBdr>
        <w:top w:val="none" w:sz="0" w:space="0" w:color="auto"/>
        <w:left w:val="none" w:sz="0" w:space="0" w:color="auto"/>
        <w:bottom w:val="none" w:sz="0" w:space="0" w:color="auto"/>
        <w:right w:val="none" w:sz="0" w:space="0" w:color="auto"/>
      </w:divBdr>
    </w:div>
    <w:div w:id="1142577031">
      <w:bodyDiv w:val="1"/>
      <w:marLeft w:val="0"/>
      <w:marRight w:val="0"/>
      <w:marTop w:val="0"/>
      <w:marBottom w:val="0"/>
      <w:divBdr>
        <w:top w:val="none" w:sz="0" w:space="0" w:color="auto"/>
        <w:left w:val="none" w:sz="0" w:space="0" w:color="auto"/>
        <w:bottom w:val="none" w:sz="0" w:space="0" w:color="auto"/>
        <w:right w:val="none" w:sz="0" w:space="0" w:color="auto"/>
      </w:divBdr>
    </w:div>
    <w:div w:id="1164664578">
      <w:bodyDiv w:val="1"/>
      <w:marLeft w:val="0"/>
      <w:marRight w:val="0"/>
      <w:marTop w:val="0"/>
      <w:marBottom w:val="0"/>
      <w:divBdr>
        <w:top w:val="none" w:sz="0" w:space="0" w:color="auto"/>
        <w:left w:val="none" w:sz="0" w:space="0" w:color="auto"/>
        <w:bottom w:val="none" w:sz="0" w:space="0" w:color="auto"/>
        <w:right w:val="none" w:sz="0" w:space="0" w:color="auto"/>
      </w:divBdr>
    </w:div>
    <w:div w:id="1177771771">
      <w:bodyDiv w:val="1"/>
      <w:marLeft w:val="0"/>
      <w:marRight w:val="0"/>
      <w:marTop w:val="0"/>
      <w:marBottom w:val="0"/>
      <w:divBdr>
        <w:top w:val="none" w:sz="0" w:space="0" w:color="auto"/>
        <w:left w:val="none" w:sz="0" w:space="0" w:color="auto"/>
        <w:bottom w:val="none" w:sz="0" w:space="0" w:color="auto"/>
        <w:right w:val="none" w:sz="0" w:space="0" w:color="auto"/>
      </w:divBdr>
    </w:div>
    <w:div w:id="1179851590">
      <w:bodyDiv w:val="1"/>
      <w:marLeft w:val="0"/>
      <w:marRight w:val="0"/>
      <w:marTop w:val="0"/>
      <w:marBottom w:val="0"/>
      <w:divBdr>
        <w:top w:val="none" w:sz="0" w:space="0" w:color="auto"/>
        <w:left w:val="none" w:sz="0" w:space="0" w:color="auto"/>
        <w:bottom w:val="none" w:sz="0" w:space="0" w:color="auto"/>
        <w:right w:val="none" w:sz="0" w:space="0" w:color="auto"/>
      </w:divBdr>
    </w:div>
    <w:div w:id="1222792853">
      <w:bodyDiv w:val="1"/>
      <w:marLeft w:val="0"/>
      <w:marRight w:val="0"/>
      <w:marTop w:val="0"/>
      <w:marBottom w:val="0"/>
      <w:divBdr>
        <w:top w:val="none" w:sz="0" w:space="0" w:color="auto"/>
        <w:left w:val="none" w:sz="0" w:space="0" w:color="auto"/>
        <w:bottom w:val="none" w:sz="0" w:space="0" w:color="auto"/>
        <w:right w:val="none" w:sz="0" w:space="0" w:color="auto"/>
      </w:divBdr>
    </w:div>
    <w:div w:id="1235356890">
      <w:bodyDiv w:val="1"/>
      <w:marLeft w:val="0"/>
      <w:marRight w:val="0"/>
      <w:marTop w:val="0"/>
      <w:marBottom w:val="0"/>
      <w:divBdr>
        <w:top w:val="none" w:sz="0" w:space="0" w:color="auto"/>
        <w:left w:val="none" w:sz="0" w:space="0" w:color="auto"/>
        <w:bottom w:val="none" w:sz="0" w:space="0" w:color="auto"/>
        <w:right w:val="none" w:sz="0" w:space="0" w:color="auto"/>
      </w:divBdr>
    </w:div>
    <w:div w:id="1277516556">
      <w:bodyDiv w:val="1"/>
      <w:marLeft w:val="0"/>
      <w:marRight w:val="0"/>
      <w:marTop w:val="0"/>
      <w:marBottom w:val="0"/>
      <w:divBdr>
        <w:top w:val="none" w:sz="0" w:space="0" w:color="auto"/>
        <w:left w:val="none" w:sz="0" w:space="0" w:color="auto"/>
        <w:bottom w:val="none" w:sz="0" w:space="0" w:color="auto"/>
        <w:right w:val="none" w:sz="0" w:space="0" w:color="auto"/>
      </w:divBdr>
    </w:div>
    <w:div w:id="1332101851">
      <w:bodyDiv w:val="1"/>
      <w:marLeft w:val="0"/>
      <w:marRight w:val="0"/>
      <w:marTop w:val="0"/>
      <w:marBottom w:val="0"/>
      <w:divBdr>
        <w:top w:val="none" w:sz="0" w:space="0" w:color="auto"/>
        <w:left w:val="none" w:sz="0" w:space="0" w:color="auto"/>
        <w:bottom w:val="none" w:sz="0" w:space="0" w:color="auto"/>
        <w:right w:val="none" w:sz="0" w:space="0" w:color="auto"/>
      </w:divBdr>
      <w:divsChild>
        <w:div w:id="1774939696">
          <w:marLeft w:val="0"/>
          <w:marRight w:val="0"/>
          <w:marTop w:val="0"/>
          <w:marBottom w:val="0"/>
          <w:divBdr>
            <w:top w:val="none" w:sz="0" w:space="0" w:color="auto"/>
            <w:left w:val="none" w:sz="0" w:space="0" w:color="auto"/>
            <w:bottom w:val="none" w:sz="0" w:space="0" w:color="auto"/>
            <w:right w:val="none" w:sz="0" w:space="0" w:color="auto"/>
          </w:divBdr>
          <w:divsChild>
            <w:div w:id="2117866934">
              <w:marLeft w:val="0"/>
              <w:marRight w:val="0"/>
              <w:marTop w:val="0"/>
              <w:marBottom w:val="0"/>
              <w:divBdr>
                <w:top w:val="none" w:sz="0" w:space="0" w:color="auto"/>
                <w:left w:val="none" w:sz="0" w:space="0" w:color="auto"/>
                <w:bottom w:val="none" w:sz="0" w:space="0" w:color="auto"/>
                <w:right w:val="none" w:sz="0" w:space="0" w:color="auto"/>
              </w:divBdr>
              <w:divsChild>
                <w:div w:id="1127628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2148980">
      <w:bodyDiv w:val="1"/>
      <w:marLeft w:val="0"/>
      <w:marRight w:val="0"/>
      <w:marTop w:val="0"/>
      <w:marBottom w:val="0"/>
      <w:divBdr>
        <w:top w:val="none" w:sz="0" w:space="0" w:color="auto"/>
        <w:left w:val="none" w:sz="0" w:space="0" w:color="auto"/>
        <w:bottom w:val="none" w:sz="0" w:space="0" w:color="auto"/>
        <w:right w:val="none" w:sz="0" w:space="0" w:color="auto"/>
      </w:divBdr>
    </w:div>
    <w:div w:id="1374498139">
      <w:bodyDiv w:val="1"/>
      <w:marLeft w:val="0"/>
      <w:marRight w:val="0"/>
      <w:marTop w:val="0"/>
      <w:marBottom w:val="0"/>
      <w:divBdr>
        <w:top w:val="none" w:sz="0" w:space="0" w:color="auto"/>
        <w:left w:val="none" w:sz="0" w:space="0" w:color="auto"/>
        <w:bottom w:val="none" w:sz="0" w:space="0" w:color="auto"/>
        <w:right w:val="none" w:sz="0" w:space="0" w:color="auto"/>
      </w:divBdr>
    </w:div>
    <w:div w:id="1426270788">
      <w:bodyDiv w:val="1"/>
      <w:marLeft w:val="0"/>
      <w:marRight w:val="0"/>
      <w:marTop w:val="0"/>
      <w:marBottom w:val="0"/>
      <w:divBdr>
        <w:top w:val="none" w:sz="0" w:space="0" w:color="auto"/>
        <w:left w:val="none" w:sz="0" w:space="0" w:color="auto"/>
        <w:bottom w:val="none" w:sz="0" w:space="0" w:color="auto"/>
        <w:right w:val="none" w:sz="0" w:space="0" w:color="auto"/>
      </w:divBdr>
    </w:div>
    <w:div w:id="1490440014">
      <w:bodyDiv w:val="1"/>
      <w:marLeft w:val="0"/>
      <w:marRight w:val="0"/>
      <w:marTop w:val="0"/>
      <w:marBottom w:val="0"/>
      <w:divBdr>
        <w:top w:val="none" w:sz="0" w:space="0" w:color="auto"/>
        <w:left w:val="none" w:sz="0" w:space="0" w:color="auto"/>
        <w:bottom w:val="none" w:sz="0" w:space="0" w:color="auto"/>
        <w:right w:val="none" w:sz="0" w:space="0" w:color="auto"/>
      </w:divBdr>
    </w:div>
    <w:div w:id="1496873705">
      <w:bodyDiv w:val="1"/>
      <w:marLeft w:val="0"/>
      <w:marRight w:val="0"/>
      <w:marTop w:val="0"/>
      <w:marBottom w:val="0"/>
      <w:divBdr>
        <w:top w:val="none" w:sz="0" w:space="0" w:color="auto"/>
        <w:left w:val="none" w:sz="0" w:space="0" w:color="auto"/>
        <w:bottom w:val="none" w:sz="0" w:space="0" w:color="auto"/>
        <w:right w:val="none" w:sz="0" w:space="0" w:color="auto"/>
      </w:divBdr>
    </w:div>
    <w:div w:id="1527014695">
      <w:bodyDiv w:val="1"/>
      <w:marLeft w:val="0"/>
      <w:marRight w:val="0"/>
      <w:marTop w:val="0"/>
      <w:marBottom w:val="0"/>
      <w:divBdr>
        <w:top w:val="none" w:sz="0" w:space="0" w:color="auto"/>
        <w:left w:val="none" w:sz="0" w:space="0" w:color="auto"/>
        <w:bottom w:val="none" w:sz="0" w:space="0" w:color="auto"/>
        <w:right w:val="none" w:sz="0" w:space="0" w:color="auto"/>
      </w:divBdr>
    </w:div>
    <w:div w:id="1537621203">
      <w:bodyDiv w:val="1"/>
      <w:marLeft w:val="0"/>
      <w:marRight w:val="0"/>
      <w:marTop w:val="0"/>
      <w:marBottom w:val="0"/>
      <w:divBdr>
        <w:top w:val="none" w:sz="0" w:space="0" w:color="auto"/>
        <w:left w:val="none" w:sz="0" w:space="0" w:color="auto"/>
        <w:bottom w:val="none" w:sz="0" w:space="0" w:color="auto"/>
        <w:right w:val="none" w:sz="0" w:space="0" w:color="auto"/>
      </w:divBdr>
    </w:div>
    <w:div w:id="1537810760">
      <w:bodyDiv w:val="1"/>
      <w:marLeft w:val="0"/>
      <w:marRight w:val="0"/>
      <w:marTop w:val="0"/>
      <w:marBottom w:val="0"/>
      <w:divBdr>
        <w:top w:val="none" w:sz="0" w:space="0" w:color="auto"/>
        <w:left w:val="none" w:sz="0" w:space="0" w:color="auto"/>
        <w:bottom w:val="none" w:sz="0" w:space="0" w:color="auto"/>
        <w:right w:val="none" w:sz="0" w:space="0" w:color="auto"/>
      </w:divBdr>
    </w:div>
    <w:div w:id="1540900853">
      <w:bodyDiv w:val="1"/>
      <w:marLeft w:val="0"/>
      <w:marRight w:val="0"/>
      <w:marTop w:val="0"/>
      <w:marBottom w:val="0"/>
      <w:divBdr>
        <w:top w:val="none" w:sz="0" w:space="0" w:color="auto"/>
        <w:left w:val="none" w:sz="0" w:space="0" w:color="auto"/>
        <w:bottom w:val="none" w:sz="0" w:space="0" w:color="auto"/>
        <w:right w:val="none" w:sz="0" w:space="0" w:color="auto"/>
      </w:divBdr>
    </w:div>
    <w:div w:id="1556090391">
      <w:bodyDiv w:val="1"/>
      <w:marLeft w:val="0"/>
      <w:marRight w:val="0"/>
      <w:marTop w:val="0"/>
      <w:marBottom w:val="0"/>
      <w:divBdr>
        <w:top w:val="none" w:sz="0" w:space="0" w:color="auto"/>
        <w:left w:val="none" w:sz="0" w:space="0" w:color="auto"/>
        <w:bottom w:val="none" w:sz="0" w:space="0" w:color="auto"/>
        <w:right w:val="none" w:sz="0" w:space="0" w:color="auto"/>
      </w:divBdr>
    </w:div>
    <w:div w:id="1577668419">
      <w:bodyDiv w:val="1"/>
      <w:marLeft w:val="0"/>
      <w:marRight w:val="0"/>
      <w:marTop w:val="0"/>
      <w:marBottom w:val="0"/>
      <w:divBdr>
        <w:top w:val="none" w:sz="0" w:space="0" w:color="auto"/>
        <w:left w:val="none" w:sz="0" w:space="0" w:color="auto"/>
        <w:bottom w:val="none" w:sz="0" w:space="0" w:color="auto"/>
        <w:right w:val="none" w:sz="0" w:space="0" w:color="auto"/>
      </w:divBdr>
    </w:div>
    <w:div w:id="1683848517">
      <w:bodyDiv w:val="1"/>
      <w:marLeft w:val="0"/>
      <w:marRight w:val="0"/>
      <w:marTop w:val="0"/>
      <w:marBottom w:val="0"/>
      <w:divBdr>
        <w:top w:val="none" w:sz="0" w:space="0" w:color="auto"/>
        <w:left w:val="none" w:sz="0" w:space="0" w:color="auto"/>
        <w:bottom w:val="none" w:sz="0" w:space="0" w:color="auto"/>
        <w:right w:val="none" w:sz="0" w:space="0" w:color="auto"/>
      </w:divBdr>
    </w:div>
    <w:div w:id="1793786172">
      <w:bodyDiv w:val="1"/>
      <w:marLeft w:val="0"/>
      <w:marRight w:val="0"/>
      <w:marTop w:val="0"/>
      <w:marBottom w:val="0"/>
      <w:divBdr>
        <w:top w:val="none" w:sz="0" w:space="0" w:color="auto"/>
        <w:left w:val="none" w:sz="0" w:space="0" w:color="auto"/>
        <w:bottom w:val="none" w:sz="0" w:space="0" w:color="auto"/>
        <w:right w:val="none" w:sz="0" w:space="0" w:color="auto"/>
      </w:divBdr>
    </w:div>
    <w:div w:id="1822457691">
      <w:bodyDiv w:val="1"/>
      <w:marLeft w:val="0"/>
      <w:marRight w:val="0"/>
      <w:marTop w:val="0"/>
      <w:marBottom w:val="0"/>
      <w:divBdr>
        <w:top w:val="none" w:sz="0" w:space="0" w:color="auto"/>
        <w:left w:val="none" w:sz="0" w:space="0" w:color="auto"/>
        <w:bottom w:val="none" w:sz="0" w:space="0" w:color="auto"/>
        <w:right w:val="none" w:sz="0" w:space="0" w:color="auto"/>
      </w:divBdr>
    </w:div>
    <w:div w:id="1890215711">
      <w:bodyDiv w:val="1"/>
      <w:marLeft w:val="0"/>
      <w:marRight w:val="0"/>
      <w:marTop w:val="0"/>
      <w:marBottom w:val="0"/>
      <w:divBdr>
        <w:top w:val="none" w:sz="0" w:space="0" w:color="auto"/>
        <w:left w:val="none" w:sz="0" w:space="0" w:color="auto"/>
        <w:bottom w:val="none" w:sz="0" w:space="0" w:color="auto"/>
        <w:right w:val="none" w:sz="0" w:space="0" w:color="auto"/>
      </w:divBdr>
    </w:div>
    <w:div w:id="1904293577">
      <w:bodyDiv w:val="1"/>
      <w:marLeft w:val="0"/>
      <w:marRight w:val="0"/>
      <w:marTop w:val="0"/>
      <w:marBottom w:val="0"/>
      <w:divBdr>
        <w:top w:val="none" w:sz="0" w:space="0" w:color="auto"/>
        <w:left w:val="none" w:sz="0" w:space="0" w:color="auto"/>
        <w:bottom w:val="none" w:sz="0" w:space="0" w:color="auto"/>
        <w:right w:val="none" w:sz="0" w:space="0" w:color="auto"/>
      </w:divBdr>
    </w:div>
    <w:div w:id="1906336703">
      <w:bodyDiv w:val="1"/>
      <w:marLeft w:val="0"/>
      <w:marRight w:val="0"/>
      <w:marTop w:val="0"/>
      <w:marBottom w:val="0"/>
      <w:divBdr>
        <w:top w:val="none" w:sz="0" w:space="0" w:color="auto"/>
        <w:left w:val="none" w:sz="0" w:space="0" w:color="auto"/>
        <w:bottom w:val="none" w:sz="0" w:space="0" w:color="auto"/>
        <w:right w:val="none" w:sz="0" w:space="0" w:color="auto"/>
      </w:divBdr>
    </w:div>
    <w:div w:id="1908417633">
      <w:bodyDiv w:val="1"/>
      <w:marLeft w:val="0"/>
      <w:marRight w:val="0"/>
      <w:marTop w:val="0"/>
      <w:marBottom w:val="0"/>
      <w:divBdr>
        <w:top w:val="none" w:sz="0" w:space="0" w:color="auto"/>
        <w:left w:val="none" w:sz="0" w:space="0" w:color="auto"/>
        <w:bottom w:val="none" w:sz="0" w:space="0" w:color="auto"/>
        <w:right w:val="none" w:sz="0" w:space="0" w:color="auto"/>
      </w:divBdr>
    </w:div>
    <w:div w:id="1945723826">
      <w:bodyDiv w:val="1"/>
      <w:marLeft w:val="0"/>
      <w:marRight w:val="0"/>
      <w:marTop w:val="0"/>
      <w:marBottom w:val="0"/>
      <w:divBdr>
        <w:top w:val="none" w:sz="0" w:space="0" w:color="auto"/>
        <w:left w:val="none" w:sz="0" w:space="0" w:color="auto"/>
        <w:bottom w:val="none" w:sz="0" w:space="0" w:color="auto"/>
        <w:right w:val="none" w:sz="0" w:space="0" w:color="auto"/>
      </w:divBdr>
    </w:div>
    <w:div w:id="1984846731">
      <w:bodyDiv w:val="1"/>
      <w:marLeft w:val="0"/>
      <w:marRight w:val="0"/>
      <w:marTop w:val="0"/>
      <w:marBottom w:val="0"/>
      <w:divBdr>
        <w:top w:val="none" w:sz="0" w:space="0" w:color="auto"/>
        <w:left w:val="none" w:sz="0" w:space="0" w:color="auto"/>
        <w:bottom w:val="none" w:sz="0" w:space="0" w:color="auto"/>
        <w:right w:val="none" w:sz="0" w:space="0" w:color="auto"/>
      </w:divBdr>
    </w:div>
    <w:div w:id="2027822219">
      <w:bodyDiv w:val="1"/>
      <w:marLeft w:val="0"/>
      <w:marRight w:val="0"/>
      <w:marTop w:val="0"/>
      <w:marBottom w:val="0"/>
      <w:divBdr>
        <w:top w:val="none" w:sz="0" w:space="0" w:color="auto"/>
        <w:left w:val="none" w:sz="0" w:space="0" w:color="auto"/>
        <w:bottom w:val="none" w:sz="0" w:space="0" w:color="auto"/>
        <w:right w:val="none" w:sz="0" w:space="0" w:color="auto"/>
      </w:divBdr>
    </w:div>
    <w:div w:id="2032609151">
      <w:bodyDiv w:val="1"/>
      <w:marLeft w:val="0"/>
      <w:marRight w:val="0"/>
      <w:marTop w:val="0"/>
      <w:marBottom w:val="0"/>
      <w:divBdr>
        <w:top w:val="none" w:sz="0" w:space="0" w:color="auto"/>
        <w:left w:val="none" w:sz="0" w:space="0" w:color="auto"/>
        <w:bottom w:val="none" w:sz="0" w:space="0" w:color="auto"/>
        <w:right w:val="none" w:sz="0" w:space="0" w:color="auto"/>
      </w:divBdr>
    </w:div>
    <w:div w:id="20559605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file:////Users/user/Documents/NBS/AGRI%20CENSUS%20DOC/202021/Report%20Writing/FINAL%20REPORT%20SEPT%202021/NBS_Copy_12_SEPT_NATIONAL%20REPORT%2012.09.2021_0001HRS.docx" TargetMode="External"/><Relationship Id="rId299" Type="http://schemas.openxmlformats.org/officeDocument/2006/relationships/image" Target="media/image31.png"/><Relationship Id="rId21" Type="http://schemas.openxmlformats.org/officeDocument/2006/relationships/image" Target="media/image60.jpeg"/><Relationship Id="rId63" Type="http://schemas.openxmlformats.org/officeDocument/2006/relationships/hyperlink" Target="file:////Users/user/Documents/NBS/AGRI%20CENSUS%20DOC/202021/Report%20Writing/FINAL%20REPORT%20SEPT%202021/NBS_Copy_12_SEPT_NATIONAL%20REPORT%2012.09.2021_0001HRS.docx" TargetMode="External"/><Relationship Id="rId159" Type="http://schemas.openxmlformats.org/officeDocument/2006/relationships/chart" Target="charts/chart29.xml"/><Relationship Id="rId324" Type="http://schemas.openxmlformats.org/officeDocument/2006/relationships/chart" Target="charts/chart169.xml"/><Relationship Id="rId366" Type="http://schemas.openxmlformats.org/officeDocument/2006/relationships/image" Target="media/image43.emf"/><Relationship Id="rId170" Type="http://schemas.openxmlformats.org/officeDocument/2006/relationships/chart" Target="charts/chart38.xml"/><Relationship Id="rId226" Type="http://schemas.openxmlformats.org/officeDocument/2006/relationships/chart" Target="charts/chart92.xml"/><Relationship Id="rId268" Type="http://schemas.openxmlformats.org/officeDocument/2006/relationships/chart" Target="charts/chart130.xml"/><Relationship Id="rId32" Type="http://schemas.openxmlformats.org/officeDocument/2006/relationships/hyperlink" Target="file:////Users/user/Documents/NBS/AGRI%20CENSUS%20DOC/202021/Report%20Writing/FINAL%20REPORT%20SEPT%202021/NBS_Copy_12_SEPT_NATIONAL%20REPORT%2012.09.2021_0001HRS.docx" TargetMode="External"/><Relationship Id="rId74" Type="http://schemas.openxmlformats.org/officeDocument/2006/relationships/hyperlink" Target="file:////Users/user/Documents/NBS/AGRI%20CENSUS%20DOC/202021/Report%20Writing/FINAL%20REPORT%20SEPT%202021/NBS_Copy_12_SEPT_NATIONAL%20REPORT%2012.09.2021_0001HRS.docx" TargetMode="External"/><Relationship Id="rId128" Type="http://schemas.openxmlformats.org/officeDocument/2006/relationships/footer" Target="footer2.xml"/><Relationship Id="rId335" Type="http://schemas.openxmlformats.org/officeDocument/2006/relationships/chart" Target="charts/chart180.xml"/><Relationship Id="rId377" Type="http://schemas.openxmlformats.org/officeDocument/2006/relationships/image" Target="media/image54.emf"/><Relationship Id="rId5" Type="http://schemas.openxmlformats.org/officeDocument/2006/relationships/webSettings" Target="webSettings.xml"/><Relationship Id="rId181" Type="http://schemas.openxmlformats.org/officeDocument/2006/relationships/chart" Target="charts/chart49.xml"/><Relationship Id="rId237" Type="http://schemas.openxmlformats.org/officeDocument/2006/relationships/chart" Target="charts/chart103.xml"/><Relationship Id="rId402" Type="http://schemas.openxmlformats.org/officeDocument/2006/relationships/image" Target="media/image79.jpeg"/><Relationship Id="rId279" Type="http://schemas.openxmlformats.org/officeDocument/2006/relationships/chart" Target="charts/chart137.xml"/><Relationship Id="rId43" Type="http://schemas.openxmlformats.org/officeDocument/2006/relationships/hyperlink" Target="file:////Users/user/Documents/NBS/AGRI%20CENSUS%20DOC/202021/Report%20Writing/FINAL%20REPORT%20SEPT%202021/NBS_Copy_12_SEPT_NATIONAL%20REPORT%2012.09.2021_0001HRS.docx" TargetMode="External"/><Relationship Id="rId139" Type="http://schemas.openxmlformats.org/officeDocument/2006/relationships/chart" Target="charts/chart11.xml"/><Relationship Id="rId290" Type="http://schemas.openxmlformats.org/officeDocument/2006/relationships/chart" Target="charts/chart146.xml"/><Relationship Id="rId304" Type="http://schemas.openxmlformats.org/officeDocument/2006/relationships/image" Target="media/image36.png"/><Relationship Id="rId346" Type="http://schemas.openxmlformats.org/officeDocument/2006/relationships/chart" Target="charts/chart191.xml"/><Relationship Id="rId388" Type="http://schemas.openxmlformats.org/officeDocument/2006/relationships/image" Target="media/image65.emf"/><Relationship Id="rId85" Type="http://schemas.openxmlformats.org/officeDocument/2006/relationships/hyperlink" Target="file:////Users/user/Documents/NBS/AGRI%20CENSUS%20DOC/202021/Report%20Writing/FINAL%20REPORT%20SEPT%202021/NBS_Copy_12_SEPT_NATIONAL%20REPORT%2012.09.2021_0001HRS.docx" TargetMode="External"/><Relationship Id="rId150" Type="http://schemas.openxmlformats.org/officeDocument/2006/relationships/chart" Target="charts/chart22.xml"/><Relationship Id="rId192" Type="http://schemas.openxmlformats.org/officeDocument/2006/relationships/chart" Target="charts/chart58.xml"/><Relationship Id="rId206" Type="http://schemas.openxmlformats.org/officeDocument/2006/relationships/chart" Target="charts/chart72.xml"/><Relationship Id="rId248" Type="http://schemas.openxmlformats.org/officeDocument/2006/relationships/chart" Target="charts/chart114.xml"/><Relationship Id="rId12" Type="http://schemas.openxmlformats.org/officeDocument/2006/relationships/image" Target="media/image4.PNG"/><Relationship Id="rId108" Type="http://schemas.openxmlformats.org/officeDocument/2006/relationships/hyperlink" Target="file:////Users/user/Documents/NBS/AGRI%20CENSUS%20DOC/202021/Report%20Writing/FINAL%20REPORT%20SEPT%202021/NBS_Copy_12_SEPT_NATIONAL%20REPORT%2012.09.2021_0001HRS.docx" TargetMode="External"/><Relationship Id="rId315" Type="http://schemas.openxmlformats.org/officeDocument/2006/relationships/chart" Target="charts/chart160.xml"/><Relationship Id="rId357" Type="http://schemas.openxmlformats.org/officeDocument/2006/relationships/chart" Target="charts/chart202.xml"/><Relationship Id="rId54" Type="http://schemas.openxmlformats.org/officeDocument/2006/relationships/hyperlink" Target="file:////Users/user/Documents/NBS/AGRI%20CENSUS%20DOC/202021/Report%20Writing/FINAL%20REPORT%20SEPT%202021/NBS_Copy_12_SEPT_NATIONAL%20REPORT%2012.09.2021_0001HRS.docx" TargetMode="External"/><Relationship Id="rId96" Type="http://schemas.openxmlformats.org/officeDocument/2006/relationships/hyperlink" Target="file:////Users/user/Documents/NBS/AGRI%20CENSUS%20DOC/202021/Report%20Writing/FINAL%20REPORT%20SEPT%202021/NBS_Copy_12_SEPT_NATIONAL%20REPORT%2012.09.2021_0001HRS.docx" TargetMode="External"/><Relationship Id="rId161" Type="http://schemas.openxmlformats.org/officeDocument/2006/relationships/image" Target="media/image16.png"/><Relationship Id="rId217" Type="http://schemas.openxmlformats.org/officeDocument/2006/relationships/chart" Target="charts/chart83.xml"/><Relationship Id="rId399" Type="http://schemas.openxmlformats.org/officeDocument/2006/relationships/image" Target="media/image76.emf"/><Relationship Id="rId259" Type="http://schemas.openxmlformats.org/officeDocument/2006/relationships/chart" Target="charts/chart123.xml"/><Relationship Id="rId23" Type="http://schemas.openxmlformats.org/officeDocument/2006/relationships/image" Target="media/image80.png"/><Relationship Id="rId119" Type="http://schemas.openxmlformats.org/officeDocument/2006/relationships/hyperlink" Target="file:////Users/user/Documents/NBS/AGRI%20CENSUS%20DOC/202021/Report%20Writing/FINAL%20REPORT%20SEPT%202021/NBS_Copy_12_SEPT_NATIONAL%20REPORT%2012.09.2021_0001HRS.docx" TargetMode="External"/><Relationship Id="rId270" Type="http://schemas.openxmlformats.org/officeDocument/2006/relationships/chart" Target="charts/chart132.xml"/><Relationship Id="rId326" Type="http://schemas.openxmlformats.org/officeDocument/2006/relationships/chart" Target="charts/chart171.xml"/><Relationship Id="rId65" Type="http://schemas.openxmlformats.org/officeDocument/2006/relationships/hyperlink" Target="file:////Users/user/Documents/NBS/AGRI%20CENSUS%20DOC/202021/Report%20Writing/FINAL%20REPORT%20SEPT%202021/NBS_Copy_12_SEPT_NATIONAL%20REPORT%2012.09.2021_0001HRS.docx" TargetMode="External"/><Relationship Id="rId130" Type="http://schemas.openxmlformats.org/officeDocument/2006/relationships/chart" Target="charts/chart2.xml"/><Relationship Id="rId368" Type="http://schemas.openxmlformats.org/officeDocument/2006/relationships/image" Target="media/image45.emf"/><Relationship Id="rId172" Type="http://schemas.openxmlformats.org/officeDocument/2006/relationships/chart" Target="charts/chart40.xml"/><Relationship Id="rId228" Type="http://schemas.openxmlformats.org/officeDocument/2006/relationships/chart" Target="charts/chart94.xml"/><Relationship Id="rId281" Type="http://schemas.openxmlformats.org/officeDocument/2006/relationships/chart" Target="charts/chart139.xml"/><Relationship Id="rId337" Type="http://schemas.openxmlformats.org/officeDocument/2006/relationships/chart" Target="charts/chart182.xml"/><Relationship Id="rId34" Type="http://schemas.openxmlformats.org/officeDocument/2006/relationships/hyperlink" Target="file:////Users/user/Documents/NBS/AGRI%20CENSUS%20DOC/202021/Report%20Writing/FINAL%20REPORT%20SEPT%202021/NBS_Copy_12_SEPT_NATIONAL%20REPORT%2012.09.2021_0001HRS.docx" TargetMode="External"/><Relationship Id="rId76" Type="http://schemas.openxmlformats.org/officeDocument/2006/relationships/hyperlink" Target="file:////Users/user/Documents/NBS/AGRI%20CENSUS%20DOC/202021/Report%20Writing/FINAL%20REPORT%20SEPT%202021/NBS_Copy_12_SEPT_NATIONAL%20REPORT%2012.09.2021_0001HRS.docx" TargetMode="External"/><Relationship Id="rId141" Type="http://schemas.openxmlformats.org/officeDocument/2006/relationships/chart" Target="charts/chart13.xml"/><Relationship Id="rId379" Type="http://schemas.openxmlformats.org/officeDocument/2006/relationships/image" Target="media/image56.emf"/><Relationship Id="rId7" Type="http://schemas.openxmlformats.org/officeDocument/2006/relationships/endnotes" Target="endnotes.xml"/><Relationship Id="rId183" Type="http://schemas.openxmlformats.org/officeDocument/2006/relationships/chart" Target="charts/chart51.xml"/><Relationship Id="rId239" Type="http://schemas.openxmlformats.org/officeDocument/2006/relationships/chart" Target="charts/chart105.xml"/><Relationship Id="rId390" Type="http://schemas.openxmlformats.org/officeDocument/2006/relationships/image" Target="media/image67.emf"/><Relationship Id="rId404" Type="http://schemas.openxmlformats.org/officeDocument/2006/relationships/theme" Target="theme/theme1.xml"/><Relationship Id="rId250" Type="http://schemas.openxmlformats.org/officeDocument/2006/relationships/chart" Target="charts/chart115.xml"/><Relationship Id="rId292" Type="http://schemas.openxmlformats.org/officeDocument/2006/relationships/chart" Target="charts/chart148.xml"/><Relationship Id="rId306" Type="http://schemas.openxmlformats.org/officeDocument/2006/relationships/image" Target="media/image38.png"/><Relationship Id="rId45" Type="http://schemas.openxmlformats.org/officeDocument/2006/relationships/hyperlink" Target="file:////Users/user/Documents/NBS/AGRI%20CENSUS%20DOC/202021/Report%20Writing/FINAL%20REPORT%20SEPT%202021/NBS_Copy_12_SEPT_NATIONAL%20REPORT%2012.09.2021_0001HRS.docx" TargetMode="External"/><Relationship Id="rId87" Type="http://schemas.openxmlformats.org/officeDocument/2006/relationships/hyperlink" Target="file:////Users/user/Documents/NBS/AGRI%20CENSUS%20DOC/202021/Report%20Writing/FINAL%20REPORT%20SEPT%202021/NBS_Copy_12_SEPT_NATIONAL%20REPORT%2012.09.2021_0001HRS.docx" TargetMode="External"/><Relationship Id="rId110" Type="http://schemas.openxmlformats.org/officeDocument/2006/relationships/hyperlink" Target="file:////Users/user/Documents/NBS/AGRI%20CENSUS%20DOC/202021/Report%20Writing/FINAL%20REPORT%20SEPT%202021/NBS_Copy_12_SEPT_NATIONAL%20REPORT%2012.09.2021_0001HRS.docx" TargetMode="External"/><Relationship Id="rId348" Type="http://schemas.openxmlformats.org/officeDocument/2006/relationships/chart" Target="charts/chart193.xml"/><Relationship Id="rId152" Type="http://schemas.openxmlformats.org/officeDocument/2006/relationships/chart" Target="charts/chart23.xml"/><Relationship Id="rId194" Type="http://schemas.openxmlformats.org/officeDocument/2006/relationships/chart" Target="charts/chart60.xml"/><Relationship Id="rId208" Type="http://schemas.openxmlformats.org/officeDocument/2006/relationships/chart" Target="charts/chart74.xml"/><Relationship Id="rId261" Type="http://schemas.openxmlformats.org/officeDocument/2006/relationships/chart" Target="charts/chart125.xml"/><Relationship Id="rId14" Type="http://schemas.openxmlformats.org/officeDocument/2006/relationships/image" Target="media/image6.jpeg"/><Relationship Id="rId56" Type="http://schemas.openxmlformats.org/officeDocument/2006/relationships/hyperlink" Target="file:////Users/user/Documents/NBS/AGRI%20CENSUS%20DOC/202021/Report%20Writing/FINAL%20REPORT%20SEPT%202021/NBS_Copy_12_SEPT_NATIONAL%20REPORT%2012.09.2021_0001HRS.docx" TargetMode="External"/><Relationship Id="rId317" Type="http://schemas.openxmlformats.org/officeDocument/2006/relationships/chart" Target="charts/chart162.xml"/><Relationship Id="rId359" Type="http://schemas.openxmlformats.org/officeDocument/2006/relationships/chart" Target="charts/chart204.xml"/><Relationship Id="rId98" Type="http://schemas.openxmlformats.org/officeDocument/2006/relationships/hyperlink" Target="file:////Users/user/Documents/NBS/AGRI%20CENSUS%20DOC/202021/Report%20Writing/FINAL%20REPORT%20SEPT%202021/NBS_Copy_12_SEPT_NATIONAL%20REPORT%2012.09.2021_0001HRS.docx" TargetMode="External"/><Relationship Id="rId121" Type="http://schemas.openxmlformats.org/officeDocument/2006/relationships/hyperlink" Target="file:////Users/user/Documents/NBS/AGRI%20CENSUS%20DOC/202021/Report%20Writing/FINAL%20REPORT%20SEPT%202021/NBS_Copy_12_SEPT_NATIONAL%20REPORT%2012.09.2021_0001HRS.docx" TargetMode="External"/><Relationship Id="rId163" Type="http://schemas.openxmlformats.org/officeDocument/2006/relationships/chart" Target="charts/chart32.xml"/><Relationship Id="rId219" Type="http://schemas.openxmlformats.org/officeDocument/2006/relationships/chart" Target="charts/chart85.xml"/><Relationship Id="rId370" Type="http://schemas.openxmlformats.org/officeDocument/2006/relationships/image" Target="media/image47.emf"/><Relationship Id="rId230" Type="http://schemas.openxmlformats.org/officeDocument/2006/relationships/chart" Target="charts/chart96.xml"/><Relationship Id="rId25" Type="http://schemas.openxmlformats.org/officeDocument/2006/relationships/hyperlink" Target="file:////Users/user/Documents/NBS/AGRI%20CENSUS%20DOC/202021/Report%20Writing/FINAL%20REPORT%20SEPT%202021/NBS_Copy_12_SEPT_NATIONAL%20REPORT%2012.09.2021_0001HRS.docx" TargetMode="External"/><Relationship Id="rId67" Type="http://schemas.openxmlformats.org/officeDocument/2006/relationships/hyperlink" Target="file:////Users/user/Documents/NBS/AGRI%20CENSUS%20DOC/202021/Report%20Writing/FINAL%20REPORT%20SEPT%202021/NBS_Copy_12_SEPT_NATIONAL%20REPORT%2012.09.2021_0001HRS.docx" TargetMode="External"/><Relationship Id="rId272" Type="http://schemas.openxmlformats.org/officeDocument/2006/relationships/image" Target="media/image25.png"/><Relationship Id="rId328" Type="http://schemas.openxmlformats.org/officeDocument/2006/relationships/chart" Target="charts/chart173.xml"/><Relationship Id="rId132" Type="http://schemas.openxmlformats.org/officeDocument/2006/relationships/chart" Target="charts/chart4.xml"/><Relationship Id="rId174" Type="http://schemas.openxmlformats.org/officeDocument/2006/relationships/chart" Target="charts/chart42.xml"/><Relationship Id="rId381" Type="http://schemas.openxmlformats.org/officeDocument/2006/relationships/image" Target="media/image58.emf"/><Relationship Id="rId241" Type="http://schemas.openxmlformats.org/officeDocument/2006/relationships/chart" Target="charts/chart107.xml"/><Relationship Id="rId36" Type="http://schemas.openxmlformats.org/officeDocument/2006/relationships/hyperlink" Target="file:////Users/user/Documents/NBS/AGRI%20CENSUS%20DOC/202021/Report%20Writing/FINAL%20REPORT%20SEPT%202021/NBS_Copy_12_SEPT_NATIONAL%20REPORT%2012.09.2021_0001HRS.docx" TargetMode="External"/><Relationship Id="rId283" Type="http://schemas.openxmlformats.org/officeDocument/2006/relationships/chart" Target="charts/chart140.xml"/><Relationship Id="rId339" Type="http://schemas.openxmlformats.org/officeDocument/2006/relationships/chart" Target="charts/chart184.xml"/><Relationship Id="rId78" Type="http://schemas.openxmlformats.org/officeDocument/2006/relationships/hyperlink" Target="file:////Users/user/Documents/NBS/AGRI%20CENSUS%20DOC/202021/Report%20Writing/FINAL%20REPORT%20SEPT%202021/NBS_Copy_12_SEPT_NATIONAL%20REPORT%2012.09.2021_0001HRS.docx" TargetMode="External"/><Relationship Id="rId101" Type="http://schemas.openxmlformats.org/officeDocument/2006/relationships/hyperlink" Target="file:////Users/user/Documents/NBS/AGRI%20CENSUS%20DOC/202021/Report%20Writing/FINAL%20REPORT%20SEPT%202021/NBS_Copy_12_SEPT_NATIONAL%20REPORT%2012.09.2021_0001HRS.docx" TargetMode="External"/><Relationship Id="rId143" Type="http://schemas.openxmlformats.org/officeDocument/2006/relationships/chart" Target="charts/chart15.xml"/><Relationship Id="rId185" Type="http://schemas.openxmlformats.org/officeDocument/2006/relationships/chart" Target="charts/chart53.xml"/><Relationship Id="rId350" Type="http://schemas.openxmlformats.org/officeDocument/2006/relationships/chart" Target="charts/chart195.xml"/><Relationship Id="rId9" Type="http://schemas.openxmlformats.org/officeDocument/2006/relationships/footer" Target="footer1.xml"/><Relationship Id="rId210" Type="http://schemas.openxmlformats.org/officeDocument/2006/relationships/chart" Target="charts/chart76.xml"/><Relationship Id="rId392" Type="http://schemas.openxmlformats.org/officeDocument/2006/relationships/image" Target="media/image69.emf"/><Relationship Id="rId252" Type="http://schemas.openxmlformats.org/officeDocument/2006/relationships/chart" Target="charts/chart117.xml"/><Relationship Id="rId294" Type="http://schemas.openxmlformats.org/officeDocument/2006/relationships/chart" Target="charts/chart150.xml"/><Relationship Id="rId308" Type="http://schemas.openxmlformats.org/officeDocument/2006/relationships/image" Target="media/image40.png"/><Relationship Id="rId47" Type="http://schemas.openxmlformats.org/officeDocument/2006/relationships/hyperlink" Target="file:////Users/user/Documents/NBS/AGRI%20CENSUS%20DOC/202021/Report%20Writing/FINAL%20REPORT%20SEPT%202021/NBS_Copy_12_SEPT_NATIONAL%20REPORT%2012.09.2021_0001HRS.docx" TargetMode="External"/><Relationship Id="rId89" Type="http://schemas.openxmlformats.org/officeDocument/2006/relationships/hyperlink" Target="file:////Users/user/Documents/NBS/AGRI%20CENSUS%20DOC/202021/Report%20Writing/FINAL%20REPORT%20SEPT%202021/NBS_Copy_12_SEPT_NATIONAL%20REPORT%2012.09.2021_0001HRS.docx" TargetMode="External"/><Relationship Id="rId112" Type="http://schemas.openxmlformats.org/officeDocument/2006/relationships/hyperlink" Target="file:////Users/user/Documents/NBS/AGRI%20CENSUS%20DOC/202021/Report%20Writing/FINAL%20REPORT%20SEPT%202021/NBS_Copy_12_SEPT_NATIONAL%20REPORT%2012.09.2021_0001HRS.docx" TargetMode="External"/><Relationship Id="rId154" Type="http://schemas.openxmlformats.org/officeDocument/2006/relationships/chart" Target="charts/chart25.xml"/><Relationship Id="rId361" Type="http://schemas.openxmlformats.org/officeDocument/2006/relationships/chart" Target="charts/chart206.xml"/><Relationship Id="rId196" Type="http://schemas.openxmlformats.org/officeDocument/2006/relationships/chart" Target="charts/chart62.xml"/><Relationship Id="rId16" Type="http://schemas.openxmlformats.org/officeDocument/2006/relationships/image" Target="media/image8.png"/><Relationship Id="rId221" Type="http://schemas.openxmlformats.org/officeDocument/2006/relationships/chart" Target="charts/chart87.xml"/><Relationship Id="rId263" Type="http://schemas.openxmlformats.org/officeDocument/2006/relationships/image" Target="media/image23.png"/><Relationship Id="rId319" Type="http://schemas.openxmlformats.org/officeDocument/2006/relationships/chart" Target="charts/chart164.xml"/><Relationship Id="rId58" Type="http://schemas.openxmlformats.org/officeDocument/2006/relationships/hyperlink" Target="file:////Users/user/Documents/NBS/AGRI%20CENSUS%20DOC/202021/Report%20Writing/FINAL%20REPORT%20SEPT%202021/NBS_Copy_12_SEPT_NATIONAL%20REPORT%2012.09.2021_0001HRS.docx" TargetMode="External"/><Relationship Id="rId123" Type="http://schemas.openxmlformats.org/officeDocument/2006/relationships/image" Target="media/image100.png"/><Relationship Id="rId330" Type="http://schemas.openxmlformats.org/officeDocument/2006/relationships/chart" Target="charts/chart175.xml"/><Relationship Id="rId90" Type="http://schemas.openxmlformats.org/officeDocument/2006/relationships/hyperlink" Target="file:////Users/user/Documents/NBS/AGRI%20CENSUS%20DOC/202021/Report%20Writing/FINAL%20REPORT%20SEPT%202021/NBS_Copy_12_SEPT_NATIONAL%20REPORT%2012.09.2021_0001HRS.docx" TargetMode="External"/><Relationship Id="rId165" Type="http://schemas.openxmlformats.org/officeDocument/2006/relationships/chart" Target="charts/chart34.xml"/><Relationship Id="rId186" Type="http://schemas.openxmlformats.org/officeDocument/2006/relationships/chart" Target="charts/chart54.xml"/><Relationship Id="rId351" Type="http://schemas.openxmlformats.org/officeDocument/2006/relationships/chart" Target="charts/chart196.xml"/><Relationship Id="rId372" Type="http://schemas.openxmlformats.org/officeDocument/2006/relationships/image" Target="media/image49.emf"/><Relationship Id="rId393" Type="http://schemas.openxmlformats.org/officeDocument/2006/relationships/image" Target="media/image70.emf"/><Relationship Id="rId211" Type="http://schemas.openxmlformats.org/officeDocument/2006/relationships/chart" Target="charts/chart77.xml"/><Relationship Id="rId232" Type="http://schemas.openxmlformats.org/officeDocument/2006/relationships/chart" Target="charts/chart98.xml"/><Relationship Id="rId253" Type="http://schemas.openxmlformats.org/officeDocument/2006/relationships/chart" Target="charts/chart118.xml"/><Relationship Id="rId274" Type="http://schemas.openxmlformats.org/officeDocument/2006/relationships/chart" Target="charts/chart134.xml"/><Relationship Id="rId295" Type="http://schemas.openxmlformats.org/officeDocument/2006/relationships/chart" Target="charts/chart151.xml"/><Relationship Id="rId309" Type="http://schemas.openxmlformats.org/officeDocument/2006/relationships/chart" Target="charts/chart154.xml"/><Relationship Id="rId27" Type="http://schemas.openxmlformats.org/officeDocument/2006/relationships/hyperlink" Target="file:////Users/user/Documents/NBS/AGRI%20CENSUS%20DOC/202021/Report%20Writing/FINAL%20REPORT%20SEPT%202021/NBS_Copy_12_SEPT_NATIONAL%20REPORT%2012.09.2021_0001HRS.docx" TargetMode="External"/><Relationship Id="rId48" Type="http://schemas.openxmlformats.org/officeDocument/2006/relationships/hyperlink" Target="file:////Users/user/Documents/NBS/AGRI%20CENSUS%20DOC/202021/Report%20Writing/FINAL%20REPORT%20SEPT%202021/NBS_Copy_12_SEPT_NATIONAL%20REPORT%2012.09.2021_0001HRS.docx" TargetMode="External"/><Relationship Id="rId69" Type="http://schemas.openxmlformats.org/officeDocument/2006/relationships/hyperlink" Target="file:////Users/user/Documents/NBS/AGRI%20CENSUS%20DOC/202021/Report%20Writing/FINAL%20REPORT%20SEPT%202021/NBS_Copy_12_SEPT_NATIONAL%20REPORT%2012.09.2021_0001HRS.docx" TargetMode="External"/><Relationship Id="rId113" Type="http://schemas.openxmlformats.org/officeDocument/2006/relationships/hyperlink" Target="file:////Users/user/Documents/NBS/AGRI%20CENSUS%20DOC/202021/Report%20Writing/FINAL%20REPORT%20SEPT%202021/NBS_Copy_12_SEPT_NATIONAL%20REPORT%2012.09.2021_0001HRS.docx" TargetMode="External"/><Relationship Id="rId134" Type="http://schemas.openxmlformats.org/officeDocument/2006/relationships/chart" Target="charts/chart6.xml"/><Relationship Id="rId320" Type="http://schemas.openxmlformats.org/officeDocument/2006/relationships/chart" Target="charts/chart165.xml"/><Relationship Id="rId80" Type="http://schemas.openxmlformats.org/officeDocument/2006/relationships/hyperlink" Target="file:////Users/user/Documents/NBS/AGRI%20CENSUS%20DOC/202021/Report%20Writing/FINAL%20REPORT%20SEPT%202021/NBS_Copy_12_SEPT_NATIONAL%20REPORT%2012.09.2021_0001HRS.docx" TargetMode="External"/><Relationship Id="rId155" Type="http://schemas.openxmlformats.org/officeDocument/2006/relationships/image" Target="media/image15.png"/><Relationship Id="rId176" Type="http://schemas.openxmlformats.org/officeDocument/2006/relationships/chart" Target="charts/chart44.xml"/><Relationship Id="rId197" Type="http://schemas.openxmlformats.org/officeDocument/2006/relationships/chart" Target="charts/chart63.xml"/><Relationship Id="rId341" Type="http://schemas.openxmlformats.org/officeDocument/2006/relationships/chart" Target="charts/chart186.xml"/><Relationship Id="rId362" Type="http://schemas.openxmlformats.org/officeDocument/2006/relationships/chart" Target="charts/chart207.xml"/><Relationship Id="rId383" Type="http://schemas.openxmlformats.org/officeDocument/2006/relationships/image" Target="media/image60.emf"/><Relationship Id="rId201" Type="http://schemas.openxmlformats.org/officeDocument/2006/relationships/chart" Target="charts/chart67.xml"/><Relationship Id="rId222" Type="http://schemas.openxmlformats.org/officeDocument/2006/relationships/chart" Target="charts/chart88.xml"/><Relationship Id="rId243" Type="http://schemas.openxmlformats.org/officeDocument/2006/relationships/chart" Target="charts/chart109.xml"/><Relationship Id="rId264" Type="http://schemas.openxmlformats.org/officeDocument/2006/relationships/chart" Target="charts/chart126.xml"/><Relationship Id="rId285" Type="http://schemas.openxmlformats.org/officeDocument/2006/relationships/image" Target="media/image29.png"/><Relationship Id="rId17" Type="http://schemas.openxmlformats.org/officeDocument/2006/relationships/image" Target="media/image9.jpeg"/><Relationship Id="rId38" Type="http://schemas.openxmlformats.org/officeDocument/2006/relationships/hyperlink" Target="file:////Users/user/Documents/NBS/AGRI%20CENSUS%20DOC/202021/Report%20Writing/FINAL%20REPORT%20SEPT%202021/NBS_Copy_12_SEPT_NATIONAL%20REPORT%2012.09.2021_0001HRS.docx" TargetMode="External"/><Relationship Id="rId59" Type="http://schemas.openxmlformats.org/officeDocument/2006/relationships/hyperlink" Target="file:////Users/user/Documents/NBS/AGRI%20CENSUS%20DOC/202021/Report%20Writing/FINAL%20REPORT%20SEPT%202021/NBS_Copy_12_SEPT_NATIONAL%20REPORT%2012.09.2021_0001HRS.docx" TargetMode="External"/><Relationship Id="rId103" Type="http://schemas.openxmlformats.org/officeDocument/2006/relationships/hyperlink" Target="file:////Users/user/Documents/NBS/AGRI%20CENSUS%20DOC/202021/Report%20Writing/FINAL%20REPORT%20SEPT%202021/NBS_Copy_12_SEPT_NATIONAL%20REPORT%2012.09.2021_0001HRS.docx" TargetMode="External"/><Relationship Id="rId124" Type="http://schemas.openxmlformats.org/officeDocument/2006/relationships/image" Target="media/image11.tiff"/><Relationship Id="rId310" Type="http://schemas.openxmlformats.org/officeDocument/2006/relationships/chart" Target="charts/chart155.xml"/><Relationship Id="rId70" Type="http://schemas.openxmlformats.org/officeDocument/2006/relationships/hyperlink" Target="file:////Users/user/Documents/NBS/AGRI%20CENSUS%20DOC/202021/Report%20Writing/FINAL%20REPORT%20SEPT%202021/NBS_Copy_12_SEPT_NATIONAL%20REPORT%2012.09.2021_0001HRS.docx" TargetMode="External"/><Relationship Id="rId91" Type="http://schemas.openxmlformats.org/officeDocument/2006/relationships/hyperlink" Target="file:////Users/user/Documents/NBS/AGRI%20CENSUS%20DOC/202021/Report%20Writing/FINAL%20REPORT%20SEPT%202021/NBS_Copy_12_SEPT_NATIONAL%20REPORT%2012.09.2021_0001HRS.docx" TargetMode="External"/><Relationship Id="rId145" Type="http://schemas.openxmlformats.org/officeDocument/2006/relationships/chart" Target="charts/chart17.xml"/><Relationship Id="rId166" Type="http://schemas.openxmlformats.org/officeDocument/2006/relationships/chart" Target="charts/chart35.xml"/><Relationship Id="rId187" Type="http://schemas.openxmlformats.org/officeDocument/2006/relationships/chart" Target="charts/chart55.xml"/><Relationship Id="rId331" Type="http://schemas.openxmlformats.org/officeDocument/2006/relationships/chart" Target="charts/chart176.xml"/><Relationship Id="rId352" Type="http://schemas.openxmlformats.org/officeDocument/2006/relationships/chart" Target="charts/chart197.xml"/><Relationship Id="rId373" Type="http://schemas.openxmlformats.org/officeDocument/2006/relationships/image" Target="media/image50.emf"/><Relationship Id="rId394" Type="http://schemas.openxmlformats.org/officeDocument/2006/relationships/image" Target="media/image71.emf"/><Relationship Id="rId1" Type="http://schemas.openxmlformats.org/officeDocument/2006/relationships/customXml" Target="../customXml/item1.xml"/><Relationship Id="rId212" Type="http://schemas.openxmlformats.org/officeDocument/2006/relationships/chart" Target="charts/chart78.xml"/><Relationship Id="rId233" Type="http://schemas.openxmlformats.org/officeDocument/2006/relationships/chart" Target="charts/chart99.xml"/><Relationship Id="rId254" Type="http://schemas.openxmlformats.org/officeDocument/2006/relationships/chart" Target="charts/chart119.xml"/><Relationship Id="rId28" Type="http://schemas.openxmlformats.org/officeDocument/2006/relationships/hyperlink" Target="file:////Users/user/Documents/NBS/AGRI%20CENSUS%20DOC/202021/Report%20Writing/FINAL%20REPORT%20SEPT%202021/NBS_Copy_12_SEPT_NATIONAL%20REPORT%2012.09.2021_0001HRS.docx" TargetMode="External"/><Relationship Id="rId49" Type="http://schemas.openxmlformats.org/officeDocument/2006/relationships/hyperlink" Target="file:////Users/user/Documents/NBS/AGRI%20CENSUS%20DOC/202021/Report%20Writing/FINAL%20REPORT%20SEPT%202021/NBS_Copy_12_SEPT_NATIONAL%20REPORT%2012.09.2021_0001HRS.docx" TargetMode="External"/><Relationship Id="rId114" Type="http://schemas.openxmlformats.org/officeDocument/2006/relationships/hyperlink" Target="file:////Users/user/Documents/NBS/AGRI%20CENSUS%20DOC/202021/Report%20Writing/FINAL%20REPORT%20SEPT%202021/NBS_Copy_12_SEPT_NATIONAL%20REPORT%2012.09.2021_0001HRS.docx" TargetMode="External"/><Relationship Id="rId275" Type="http://schemas.openxmlformats.org/officeDocument/2006/relationships/image" Target="media/image26.png"/><Relationship Id="rId296" Type="http://schemas.openxmlformats.org/officeDocument/2006/relationships/chart" Target="charts/chart152.xml"/><Relationship Id="rId300" Type="http://schemas.openxmlformats.org/officeDocument/2006/relationships/image" Target="media/image32.png"/><Relationship Id="rId60" Type="http://schemas.openxmlformats.org/officeDocument/2006/relationships/hyperlink" Target="file:////Users/user/Documents/NBS/AGRI%20CENSUS%20DOC/202021/Report%20Writing/FINAL%20REPORT%20SEPT%202021/NBS_Copy_12_SEPT_NATIONAL%20REPORT%2012.09.2021_0001HRS.docx" TargetMode="External"/><Relationship Id="rId81" Type="http://schemas.openxmlformats.org/officeDocument/2006/relationships/hyperlink" Target="file:////Users/user/Documents/NBS/AGRI%20CENSUS%20DOC/202021/Report%20Writing/FINAL%20REPORT%20SEPT%202021/NBS_Copy_12_SEPT_NATIONAL%20REPORT%2012.09.2021_0001HRS.docx" TargetMode="External"/><Relationship Id="rId135" Type="http://schemas.openxmlformats.org/officeDocument/2006/relationships/chart" Target="charts/chart7.xml"/><Relationship Id="rId156" Type="http://schemas.openxmlformats.org/officeDocument/2006/relationships/chart" Target="charts/chart26.xml"/><Relationship Id="rId177" Type="http://schemas.openxmlformats.org/officeDocument/2006/relationships/chart" Target="charts/chart45.xml"/><Relationship Id="rId198" Type="http://schemas.openxmlformats.org/officeDocument/2006/relationships/chart" Target="charts/chart64.xml"/><Relationship Id="rId321" Type="http://schemas.openxmlformats.org/officeDocument/2006/relationships/chart" Target="charts/chart166.xml"/><Relationship Id="rId342" Type="http://schemas.openxmlformats.org/officeDocument/2006/relationships/chart" Target="charts/chart187.xml"/><Relationship Id="rId363" Type="http://schemas.openxmlformats.org/officeDocument/2006/relationships/chart" Target="charts/chart208.xml"/><Relationship Id="rId384" Type="http://schemas.openxmlformats.org/officeDocument/2006/relationships/image" Target="media/image61.emf"/><Relationship Id="rId202" Type="http://schemas.openxmlformats.org/officeDocument/2006/relationships/chart" Target="charts/chart68.xml"/><Relationship Id="rId223" Type="http://schemas.openxmlformats.org/officeDocument/2006/relationships/chart" Target="charts/chart89.xml"/><Relationship Id="rId244" Type="http://schemas.openxmlformats.org/officeDocument/2006/relationships/chart" Target="charts/chart110.xml"/><Relationship Id="rId18" Type="http://schemas.openxmlformats.org/officeDocument/2006/relationships/image" Target="media/image310.png"/><Relationship Id="rId39" Type="http://schemas.openxmlformats.org/officeDocument/2006/relationships/hyperlink" Target="file:////Users/user/Documents/NBS/AGRI%20CENSUS%20DOC/202021/Report%20Writing/FINAL%20REPORT%20SEPT%202021/NBS_Copy_12_SEPT_NATIONAL%20REPORT%2012.09.2021_0001HRS.docx" TargetMode="External"/><Relationship Id="rId265" Type="http://schemas.openxmlformats.org/officeDocument/2006/relationships/chart" Target="charts/chart127.xml"/><Relationship Id="rId286" Type="http://schemas.openxmlformats.org/officeDocument/2006/relationships/chart" Target="charts/chart142.xml"/><Relationship Id="rId50" Type="http://schemas.openxmlformats.org/officeDocument/2006/relationships/hyperlink" Target="file:////Users/user/Documents/NBS/AGRI%20CENSUS%20DOC/202021/Report%20Writing/FINAL%20REPORT%20SEPT%202021/NBS_Copy_12_SEPT_NATIONAL%20REPORT%2012.09.2021_0001HRS.docx" TargetMode="External"/><Relationship Id="rId104" Type="http://schemas.openxmlformats.org/officeDocument/2006/relationships/hyperlink" Target="file:////Users/user/Documents/NBS/AGRI%20CENSUS%20DOC/202021/Report%20Writing/FINAL%20REPORT%20SEPT%202021/NBS_Copy_12_SEPT_NATIONAL%20REPORT%2012.09.2021_0001HRS.docx" TargetMode="External"/><Relationship Id="rId125" Type="http://schemas.openxmlformats.org/officeDocument/2006/relationships/image" Target="media/image12.jpeg"/><Relationship Id="rId146" Type="http://schemas.openxmlformats.org/officeDocument/2006/relationships/chart" Target="charts/chart18.xml"/><Relationship Id="rId167" Type="http://schemas.openxmlformats.org/officeDocument/2006/relationships/chart" Target="charts/chart36.xml"/><Relationship Id="rId188" Type="http://schemas.openxmlformats.org/officeDocument/2006/relationships/image" Target="media/image18.png"/><Relationship Id="rId311" Type="http://schemas.openxmlformats.org/officeDocument/2006/relationships/chart" Target="charts/chart156.xml"/><Relationship Id="rId332" Type="http://schemas.openxmlformats.org/officeDocument/2006/relationships/chart" Target="charts/chart177.xml"/><Relationship Id="rId353" Type="http://schemas.openxmlformats.org/officeDocument/2006/relationships/chart" Target="charts/chart198.xml"/><Relationship Id="rId374" Type="http://schemas.openxmlformats.org/officeDocument/2006/relationships/image" Target="media/image51.emf"/><Relationship Id="rId395" Type="http://schemas.openxmlformats.org/officeDocument/2006/relationships/image" Target="media/image72.emf"/><Relationship Id="rId71" Type="http://schemas.openxmlformats.org/officeDocument/2006/relationships/hyperlink" Target="file:////Users/user/Documents/NBS/AGRI%20CENSUS%20DOC/202021/Report%20Writing/FINAL%20REPORT%20SEPT%202021/NBS_Copy_12_SEPT_NATIONAL%20REPORT%2012.09.2021_0001HRS.docx" TargetMode="External"/><Relationship Id="rId92" Type="http://schemas.openxmlformats.org/officeDocument/2006/relationships/hyperlink" Target="file:////Users/user/Documents/NBS/AGRI%20CENSUS%20DOC/202021/Report%20Writing/FINAL%20REPORT%20SEPT%202021/NBS_Copy_12_SEPT_NATIONAL%20REPORT%2012.09.2021_0001HRS.docx" TargetMode="External"/><Relationship Id="rId213" Type="http://schemas.openxmlformats.org/officeDocument/2006/relationships/chart" Target="charts/chart79.xml"/><Relationship Id="rId234" Type="http://schemas.openxmlformats.org/officeDocument/2006/relationships/chart" Target="charts/chart100.xml"/><Relationship Id="rId2" Type="http://schemas.openxmlformats.org/officeDocument/2006/relationships/numbering" Target="numbering.xml"/><Relationship Id="rId29" Type="http://schemas.openxmlformats.org/officeDocument/2006/relationships/hyperlink" Target="file:////Users/user/Documents/NBS/AGRI%20CENSUS%20DOC/202021/Report%20Writing/FINAL%20REPORT%20SEPT%202021/NBS_Copy_12_SEPT_NATIONAL%20REPORT%2012.09.2021_0001HRS.docx" TargetMode="External"/><Relationship Id="rId255" Type="http://schemas.openxmlformats.org/officeDocument/2006/relationships/chart" Target="charts/chart120.xml"/><Relationship Id="rId276" Type="http://schemas.openxmlformats.org/officeDocument/2006/relationships/image" Target="media/image27.png"/><Relationship Id="rId297" Type="http://schemas.openxmlformats.org/officeDocument/2006/relationships/chart" Target="charts/chart153.xml"/><Relationship Id="rId40" Type="http://schemas.openxmlformats.org/officeDocument/2006/relationships/hyperlink" Target="file:////Users/user/Documents/NBS/AGRI%20CENSUS%20DOC/202021/Report%20Writing/FINAL%20REPORT%20SEPT%202021/NBS_Copy_12_SEPT_NATIONAL%20REPORT%2012.09.2021_0001HRS.docx" TargetMode="External"/><Relationship Id="rId115" Type="http://schemas.openxmlformats.org/officeDocument/2006/relationships/hyperlink" Target="file:////Users/user/Documents/NBS/AGRI%20CENSUS%20DOC/202021/Report%20Writing/FINAL%20REPORT%20SEPT%202021/NBS_Copy_12_SEPT_NATIONAL%20REPORT%2012.09.2021_0001HRS.docx" TargetMode="External"/><Relationship Id="rId136" Type="http://schemas.openxmlformats.org/officeDocument/2006/relationships/chart" Target="charts/chart8.xml"/><Relationship Id="rId157" Type="http://schemas.openxmlformats.org/officeDocument/2006/relationships/chart" Target="charts/chart27.xml"/><Relationship Id="rId178" Type="http://schemas.openxmlformats.org/officeDocument/2006/relationships/chart" Target="charts/chart46.xml"/><Relationship Id="rId301" Type="http://schemas.openxmlformats.org/officeDocument/2006/relationships/image" Target="media/image33.png"/><Relationship Id="rId322" Type="http://schemas.openxmlformats.org/officeDocument/2006/relationships/chart" Target="charts/chart167.xml"/><Relationship Id="rId343" Type="http://schemas.openxmlformats.org/officeDocument/2006/relationships/chart" Target="charts/chart188.xml"/><Relationship Id="rId364" Type="http://schemas.openxmlformats.org/officeDocument/2006/relationships/image" Target="media/image41.emf"/><Relationship Id="rId61" Type="http://schemas.openxmlformats.org/officeDocument/2006/relationships/hyperlink" Target="file:////Users/user/Documents/NBS/AGRI%20CENSUS%20DOC/202021/Report%20Writing/FINAL%20REPORT%20SEPT%202021/NBS_Copy_12_SEPT_NATIONAL%20REPORT%2012.09.2021_0001HRS.docx" TargetMode="External"/><Relationship Id="rId82" Type="http://schemas.openxmlformats.org/officeDocument/2006/relationships/hyperlink" Target="file:////Users/user/Documents/NBS/AGRI%20CENSUS%20DOC/202021/Report%20Writing/FINAL%20REPORT%20SEPT%202021/NBS_Copy_12_SEPT_NATIONAL%20REPORT%2012.09.2021_0001HRS.docx" TargetMode="External"/><Relationship Id="rId199" Type="http://schemas.openxmlformats.org/officeDocument/2006/relationships/chart" Target="charts/chart65.xml"/><Relationship Id="rId203" Type="http://schemas.openxmlformats.org/officeDocument/2006/relationships/chart" Target="charts/chart69.xml"/><Relationship Id="rId385" Type="http://schemas.openxmlformats.org/officeDocument/2006/relationships/image" Target="media/image62.emf"/><Relationship Id="rId19" Type="http://schemas.openxmlformats.org/officeDocument/2006/relationships/image" Target="media/image41.PNG"/><Relationship Id="rId224" Type="http://schemas.openxmlformats.org/officeDocument/2006/relationships/chart" Target="charts/chart90.xml"/><Relationship Id="rId245" Type="http://schemas.openxmlformats.org/officeDocument/2006/relationships/chart" Target="charts/chart111.xml"/><Relationship Id="rId266" Type="http://schemas.openxmlformats.org/officeDocument/2006/relationships/chart" Target="charts/chart128.xml"/><Relationship Id="rId287" Type="http://schemas.openxmlformats.org/officeDocument/2006/relationships/chart" Target="charts/chart143.xml"/><Relationship Id="rId30" Type="http://schemas.openxmlformats.org/officeDocument/2006/relationships/hyperlink" Target="file:////Users/user/Documents/NBS/AGRI%20CENSUS%20DOC/202021/Report%20Writing/FINAL%20REPORT%20SEPT%202021/NBS_Copy_12_SEPT_NATIONAL%20REPORT%2012.09.2021_0001HRS.docx" TargetMode="External"/><Relationship Id="rId105" Type="http://schemas.openxmlformats.org/officeDocument/2006/relationships/hyperlink" Target="file:////Users/user/Documents/NBS/AGRI%20CENSUS%20DOC/202021/Report%20Writing/FINAL%20REPORT%20SEPT%202021/NBS_Copy_12_SEPT_NATIONAL%20REPORT%2012.09.2021_0001HRS.docx" TargetMode="External"/><Relationship Id="rId126" Type="http://schemas.openxmlformats.org/officeDocument/2006/relationships/image" Target="media/image13.jpeg"/><Relationship Id="rId147" Type="http://schemas.openxmlformats.org/officeDocument/2006/relationships/chart" Target="charts/chart19.xml"/><Relationship Id="rId168" Type="http://schemas.openxmlformats.org/officeDocument/2006/relationships/chart" Target="charts/chart37.xml"/><Relationship Id="rId312" Type="http://schemas.openxmlformats.org/officeDocument/2006/relationships/chart" Target="charts/chart157.xml"/><Relationship Id="rId333" Type="http://schemas.openxmlformats.org/officeDocument/2006/relationships/chart" Target="charts/chart178.xml"/><Relationship Id="rId354" Type="http://schemas.openxmlformats.org/officeDocument/2006/relationships/chart" Target="charts/chart199.xml"/><Relationship Id="rId51" Type="http://schemas.openxmlformats.org/officeDocument/2006/relationships/hyperlink" Target="file:////Users/user/Documents/NBS/AGRI%20CENSUS%20DOC/202021/Report%20Writing/FINAL%20REPORT%20SEPT%202021/NBS_Copy_12_SEPT_NATIONAL%20REPORT%2012.09.2021_0001HRS.docx" TargetMode="External"/><Relationship Id="rId72" Type="http://schemas.openxmlformats.org/officeDocument/2006/relationships/hyperlink" Target="file:////Users/user/Documents/NBS/AGRI%20CENSUS%20DOC/202021/Report%20Writing/FINAL%20REPORT%20SEPT%202021/NBS_Copy_12_SEPT_NATIONAL%20REPORT%2012.09.2021_0001HRS.docx" TargetMode="External"/><Relationship Id="rId93" Type="http://schemas.openxmlformats.org/officeDocument/2006/relationships/hyperlink" Target="file:////Users/user/Documents/NBS/AGRI%20CENSUS%20DOC/202021/Report%20Writing/FINAL%20REPORT%20SEPT%202021/NBS_Copy_12_SEPT_NATIONAL%20REPORT%2012.09.2021_0001HRS.docx" TargetMode="External"/><Relationship Id="rId189" Type="http://schemas.openxmlformats.org/officeDocument/2006/relationships/image" Target="media/image19.png"/><Relationship Id="rId375" Type="http://schemas.openxmlformats.org/officeDocument/2006/relationships/image" Target="media/image52.emf"/><Relationship Id="rId396" Type="http://schemas.openxmlformats.org/officeDocument/2006/relationships/image" Target="media/image73.emf"/><Relationship Id="rId3" Type="http://schemas.openxmlformats.org/officeDocument/2006/relationships/styles" Target="styles.xml"/><Relationship Id="rId214" Type="http://schemas.openxmlformats.org/officeDocument/2006/relationships/chart" Target="charts/chart80.xml"/><Relationship Id="rId235" Type="http://schemas.openxmlformats.org/officeDocument/2006/relationships/chart" Target="charts/chart101.xml"/><Relationship Id="rId256" Type="http://schemas.openxmlformats.org/officeDocument/2006/relationships/image" Target="media/image21.png"/><Relationship Id="rId277" Type="http://schemas.openxmlformats.org/officeDocument/2006/relationships/chart" Target="charts/chart135.xml"/><Relationship Id="rId298" Type="http://schemas.openxmlformats.org/officeDocument/2006/relationships/image" Target="media/image30.png"/><Relationship Id="rId400" Type="http://schemas.openxmlformats.org/officeDocument/2006/relationships/image" Target="media/image77.emf"/><Relationship Id="rId116" Type="http://schemas.openxmlformats.org/officeDocument/2006/relationships/hyperlink" Target="file:////Users/user/Documents/NBS/AGRI%20CENSUS%20DOC/202021/Report%20Writing/FINAL%20REPORT%20SEPT%202021/NBS_Copy_12_SEPT_NATIONAL%20REPORT%2012.09.2021_0001HRS.docx" TargetMode="External"/><Relationship Id="rId137" Type="http://schemas.openxmlformats.org/officeDocument/2006/relationships/chart" Target="charts/chart9.xml"/><Relationship Id="rId158" Type="http://schemas.openxmlformats.org/officeDocument/2006/relationships/chart" Target="charts/chart28.xml"/><Relationship Id="rId302" Type="http://schemas.openxmlformats.org/officeDocument/2006/relationships/image" Target="media/image34.png"/><Relationship Id="rId323" Type="http://schemas.openxmlformats.org/officeDocument/2006/relationships/chart" Target="charts/chart168.xml"/><Relationship Id="rId344" Type="http://schemas.openxmlformats.org/officeDocument/2006/relationships/chart" Target="charts/chart189.xml"/><Relationship Id="rId20" Type="http://schemas.openxmlformats.org/officeDocument/2006/relationships/image" Target="media/image50.jpeg"/><Relationship Id="rId41" Type="http://schemas.openxmlformats.org/officeDocument/2006/relationships/hyperlink" Target="file:////Users/user/Documents/NBS/AGRI%20CENSUS%20DOC/202021/Report%20Writing/FINAL%20REPORT%20SEPT%202021/NBS_Copy_12_SEPT_NATIONAL%20REPORT%2012.09.2021_0001HRS.docx" TargetMode="External"/><Relationship Id="rId62" Type="http://schemas.openxmlformats.org/officeDocument/2006/relationships/hyperlink" Target="file:////Users/user/Documents/NBS/AGRI%20CENSUS%20DOC/202021/Report%20Writing/FINAL%20REPORT%20SEPT%202021/NBS_Copy_12_SEPT_NATIONAL%20REPORT%2012.09.2021_0001HRS.docx" TargetMode="External"/><Relationship Id="rId83" Type="http://schemas.openxmlformats.org/officeDocument/2006/relationships/hyperlink" Target="file:////Users/user/Documents/NBS/AGRI%20CENSUS%20DOC/202021/Report%20Writing/FINAL%20REPORT%20SEPT%202021/NBS_Copy_12_SEPT_NATIONAL%20REPORT%2012.09.2021_0001HRS.docx" TargetMode="External"/><Relationship Id="rId179" Type="http://schemas.openxmlformats.org/officeDocument/2006/relationships/chart" Target="charts/chart47.xml"/><Relationship Id="rId365" Type="http://schemas.openxmlformats.org/officeDocument/2006/relationships/image" Target="media/image42.emf"/><Relationship Id="rId386" Type="http://schemas.openxmlformats.org/officeDocument/2006/relationships/image" Target="media/image63.emf"/><Relationship Id="rId190" Type="http://schemas.openxmlformats.org/officeDocument/2006/relationships/chart" Target="charts/chart56.xml"/><Relationship Id="rId204" Type="http://schemas.openxmlformats.org/officeDocument/2006/relationships/chart" Target="charts/chart70.xml"/><Relationship Id="rId225" Type="http://schemas.openxmlformats.org/officeDocument/2006/relationships/chart" Target="charts/chart91.xml"/><Relationship Id="rId246" Type="http://schemas.openxmlformats.org/officeDocument/2006/relationships/chart" Target="charts/chart112.xml"/><Relationship Id="rId267" Type="http://schemas.openxmlformats.org/officeDocument/2006/relationships/chart" Target="charts/chart129.xml"/><Relationship Id="rId288" Type="http://schemas.openxmlformats.org/officeDocument/2006/relationships/chart" Target="charts/chart144.xml"/><Relationship Id="rId106" Type="http://schemas.openxmlformats.org/officeDocument/2006/relationships/hyperlink" Target="file:////Users/user/Documents/NBS/AGRI%20CENSUS%20DOC/202021/Report%20Writing/FINAL%20REPORT%20SEPT%202021/NBS_Copy_12_SEPT_NATIONAL%20REPORT%2012.09.2021_0001HRS.docx" TargetMode="External"/><Relationship Id="rId127" Type="http://schemas.openxmlformats.org/officeDocument/2006/relationships/image" Target="media/image13.png"/><Relationship Id="rId313" Type="http://schemas.openxmlformats.org/officeDocument/2006/relationships/chart" Target="charts/chart158.xml"/><Relationship Id="rId10" Type="http://schemas.openxmlformats.org/officeDocument/2006/relationships/image" Target="media/image2.png"/><Relationship Id="rId31" Type="http://schemas.openxmlformats.org/officeDocument/2006/relationships/hyperlink" Target="file:////Users/user/Documents/NBS/AGRI%20CENSUS%20DOC/202021/Report%20Writing/FINAL%20REPORT%20SEPT%202021/NBS_Copy_12_SEPT_NATIONAL%20REPORT%2012.09.2021_0001HRS.docx" TargetMode="External"/><Relationship Id="rId52" Type="http://schemas.openxmlformats.org/officeDocument/2006/relationships/hyperlink" Target="file:////Users/user/Documents/NBS/AGRI%20CENSUS%20DOC/202021/Report%20Writing/FINAL%20REPORT%20SEPT%202021/NBS_Copy_12_SEPT_NATIONAL%20REPORT%2012.09.2021_0001HRS.docx" TargetMode="External"/><Relationship Id="rId73" Type="http://schemas.openxmlformats.org/officeDocument/2006/relationships/hyperlink" Target="file:////Users/user/Documents/NBS/AGRI%20CENSUS%20DOC/202021/Report%20Writing/FINAL%20REPORT%20SEPT%202021/NBS_Copy_12_SEPT_NATIONAL%20REPORT%2012.09.2021_0001HRS.docx" TargetMode="External"/><Relationship Id="rId94" Type="http://schemas.openxmlformats.org/officeDocument/2006/relationships/hyperlink" Target="file:////Users/user/Documents/NBS/AGRI%20CENSUS%20DOC/202021/Report%20Writing/FINAL%20REPORT%20SEPT%202021/NBS_Copy_12_SEPT_NATIONAL%20REPORT%2012.09.2021_0001HRS.docx" TargetMode="External"/><Relationship Id="rId148" Type="http://schemas.openxmlformats.org/officeDocument/2006/relationships/chart" Target="charts/chart20.xml"/><Relationship Id="rId169" Type="http://schemas.openxmlformats.org/officeDocument/2006/relationships/image" Target="media/image17.png"/><Relationship Id="rId334" Type="http://schemas.openxmlformats.org/officeDocument/2006/relationships/chart" Target="charts/chart179.xml"/><Relationship Id="rId355" Type="http://schemas.openxmlformats.org/officeDocument/2006/relationships/chart" Target="charts/chart200.xml"/><Relationship Id="rId376" Type="http://schemas.openxmlformats.org/officeDocument/2006/relationships/image" Target="media/image53.emf"/><Relationship Id="rId397" Type="http://schemas.openxmlformats.org/officeDocument/2006/relationships/image" Target="media/image74.emf"/><Relationship Id="rId4" Type="http://schemas.openxmlformats.org/officeDocument/2006/relationships/settings" Target="settings.xml"/><Relationship Id="rId180" Type="http://schemas.openxmlformats.org/officeDocument/2006/relationships/chart" Target="charts/chart48.xml"/><Relationship Id="rId215" Type="http://schemas.openxmlformats.org/officeDocument/2006/relationships/chart" Target="charts/chart81.xml"/><Relationship Id="rId236" Type="http://schemas.openxmlformats.org/officeDocument/2006/relationships/chart" Target="charts/chart102.xml"/><Relationship Id="rId257" Type="http://schemas.openxmlformats.org/officeDocument/2006/relationships/chart" Target="charts/chart121.xml"/><Relationship Id="rId278" Type="http://schemas.openxmlformats.org/officeDocument/2006/relationships/chart" Target="charts/chart136.xml"/><Relationship Id="rId401" Type="http://schemas.openxmlformats.org/officeDocument/2006/relationships/image" Target="media/image78.emf"/><Relationship Id="rId303" Type="http://schemas.openxmlformats.org/officeDocument/2006/relationships/image" Target="media/image35.png"/><Relationship Id="rId42" Type="http://schemas.openxmlformats.org/officeDocument/2006/relationships/hyperlink" Target="file:////Users/user/Documents/NBS/AGRI%20CENSUS%20DOC/202021/Report%20Writing/FINAL%20REPORT%20SEPT%202021/NBS_Copy_12_SEPT_NATIONAL%20REPORT%2012.09.2021_0001HRS.docx" TargetMode="External"/><Relationship Id="rId84" Type="http://schemas.openxmlformats.org/officeDocument/2006/relationships/hyperlink" Target="file:////Users/user/Documents/NBS/AGRI%20CENSUS%20DOC/202021/Report%20Writing/FINAL%20REPORT%20SEPT%202021/NBS_Copy_12_SEPT_NATIONAL%20REPORT%2012.09.2021_0001HRS.docx" TargetMode="External"/><Relationship Id="rId138" Type="http://schemas.openxmlformats.org/officeDocument/2006/relationships/chart" Target="charts/chart10.xml"/><Relationship Id="rId345" Type="http://schemas.openxmlformats.org/officeDocument/2006/relationships/chart" Target="charts/chart190.xml"/><Relationship Id="rId387" Type="http://schemas.openxmlformats.org/officeDocument/2006/relationships/image" Target="media/image64.emf"/><Relationship Id="rId191" Type="http://schemas.openxmlformats.org/officeDocument/2006/relationships/chart" Target="charts/chart57.xml"/><Relationship Id="rId205" Type="http://schemas.openxmlformats.org/officeDocument/2006/relationships/chart" Target="charts/chart71.xml"/><Relationship Id="rId247" Type="http://schemas.openxmlformats.org/officeDocument/2006/relationships/chart" Target="charts/chart113.xml"/><Relationship Id="rId107" Type="http://schemas.openxmlformats.org/officeDocument/2006/relationships/hyperlink" Target="file:////Users/user/Documents/NBS/AGRI%20CENSUS%20DOC/202021/Report%20Writing/FINAL%20REPORT%20SEPT%202021/NBS_Copy_12_SEPT_NATIONAL%20REPORT%2012.09.2021_0001HRS.docx" TargetMode="External"/><Relationship Id="rId289" Type="http://schemas.openxmlformats.org/officeDocument/2006/relationships/chart" Target="charts/chart145.xml"/><Relationship Id="rId11" Type="http://schemas.openxmlformats.org/officeDocument/2006/relationships/image" Target="media/image3.png"/><Relationship Id="rId53" Type="http://schemas.openxmlformats.org/officeDocument/2006/relationships/hyperlink" Target="file:////Users/user/Documents/NBS/AGRI%20CENSUS%20DOC/202021/Report%20Writing/FINAL%20REPORT%20SEPT%202021/NBS_Copy_12_SEPT_NATIONAL%20REPORT%2012.09.2021_0001HRS.docx" TargetMode="External"/><Relationship Id="rId149" Type="http://schemas.openxmlformats.org/officeDocument/2006/relationships/chart" Target="charts/chart21.xml"/><Relationship Id="rId314" Type="http://schemas.openxmlformats.org/officeDocument/2006/relationships/chart" Target="charts/chart159.xml"/><Relationship Id="rId356" Type="http://schemas.openxmlformats.org/officeDocument/2006/relationships/chart" Target="charts/chart201.xml"/><Relationship Id="rId398" Type="http://schemas.openxmlformats.org/officeDocument/2006/relationships/image" Target="media/image75.emf"/><Relationship Id="rId95" Type="http://schemas.openxmlformats.org/officeDocument/2006/relationships/hyperlink" Target="file:////Users/user/Documents/NBS/AGRI%20CENSUS%20DOC/202021/Report%20Writing/FINAL%20REPORT%20SEPT%202021/NBS_Copy_12_SEPT_NATIONAL%20REPORT%2012.09.2021_0001HRS.docx" TargetMode="External"/><Relationship Id="rId160" Type="http://schemas.openxmlformats.org/officeDocument/2006/relationships/chart" Target="charts/chart30.xml"/><Relationship Id="rId216" Type="http://schemas.openxmlformats.org/officeDocument/2006/relationships/chart" Target="charts/chart82.xml"/><Relationship Id="rId258" Type="http://schemas.openxmlformats.org/officeDocument/2006/relationships/chart" Target="charts/chart122.xml"/><Relationship Id="rId22" Type="http://schemas.openxmlformats.org/officeDocument/2006/relationships/image" Target="media/image70.jpeg"/><Relationship Id="rId64" Type="http://schemas.openxmlformats.org/officeDocument/2006/relationships/hyperlink" Target="file:////Users/user/Documents/NBS/AGRI%20CENSUS%20DOC/202021/Report%20Writing/FINAL%20REPORT%20SEPT%202021/NBS_Copy_12_SEPT_NATIONAL%20REPORT%2012.09.2021_0001HRS.docx" TargetMode="External"/><Relationship Id="rId118" Type="http://schemas.openxmlformats.org/officeDocument/2006/relationships/hyperlink" Target="file:////Users/user/Documents/NBS/AGRI%20CENSUS%20DOC/202021/Report%20Writing/FINAL%20REPORT%20SEPT%202021/NBS_Copy_12_SEPT_NATIONAL%20REPORT%2012.09.2021_0001HRS.docx" TargetMode="External"/><Relationship Id="rId325" Type="http://schemas.openxmlformats.org/officeDocument/2006/relationships/chart" Target="charts/chart170.xml"/><Relationship Id="rId367" Type="http://schemas.openxmlformats.org/officeDocument/2006/relationships/image" Target="media/image44.emf"/><Relationship Id="rId171" Type="http://schemas.openxmlformats.org/officeDocument/2006/relationships/chart" Target="charts/chart39.xml"/><Relationship Id="rId227" Type="http://schemas.openxmlformats.org/officeDocument/2006/relationships/chart" Target="charts/chart93.xml"/><Relationship Id="rId269" Type="http://schemas.openxmlformats.org/officeDocument/2006/relationships/chart" Target="charts/chart131.xml"/><Relationship Id="rId33" Type="http://schemas.openxmlformats.org/officeDocument/2006/relationships/hyperlink" Target="file:////Users/user/Documents/NBS/AGRI%20CENSUS%20DOC/202021/Report%20Writing/FINAL%20REPORT%20SEPT%202021/NBS_Copy_12_SEPT_NATIONAL%20REPORT%2012.09.2021_0001HRS.docx" TargetMode="External"/><Relationship Id="rId129" Type="http://schemas.openxmlformats.org/officeDocument/2006/relationships/chart" Target="charts/chart1.xml"/><Relationship Id="rId280" Type="http://schemas.openxmlformats.org/officeDocument/2006/relationships/chart" Target="charts/chart138.xml"/><Relationship Id="rId336" Type="http://schemas.openxmlformats.org/officeDocument/2006/relationships/chart" Target="charts/chart181.xml"/><Relationship Id="rId75" Type="http://schemas.openxmlformats.org/officeDocument/2006/relationships/hyperlink" Target="file:////Users/user/Documents/NBS/AGRI%20CENSUS%20DOC/202021/Report%20Writing/FINAL%20REPORT%20SEPT%202021/NBS_Copy_12_SEPT_NATIONAL%20REPORT%2012.09.2021_0001HRS.docx" TargetMode="External"/><Relationship Id="rId140" Type="http://schemas.openxmlformats.org/officeDocument/2006/relationships/chart" Target="charts/chart12.xml"/><Relationship Id="rId182" Type="http://schemas.openxmlformats.org/officeDocument/2006/relationships/chart" Target="charts/chart50.xml"/><Relationship Id="rId378" Type="http://schemas.openxmlformats.org/officeDocument/2006/relationships/image" Target="media/image55.emf"/><Relationship Id="rId403" Type="http://schemas.openxmlformats.org/officeDocument/2006/relationships/fontTable" Target="fontTable.xml"/><Relationship Id="rId6" Type="http://schemas.openxmlformats.org/officeDocument/2006/relationships/footnotes" Target="footnotes.xml"/><Relationship Id="rId238" Type="http://schemas.openxmlformats.org/officeDocument/2006/relationships/chart" Target="charts/chart104.xml"/><Relationship Id="rId291" Type="http://schemas.openxmlformats.org/officeDocument/2006/relationships/chart" Target="charts/chart147.xml"/><Relationship Id="rId305" Type="http://schemas.openxmlformats.org/officeDocument/2006/relationships/image" Target="media/image37.png"/><Relationship Id="rId347" Type="http://schemas.openxmlformats.org/officeDocument/2006/relationships/chart" Target="charts/chart192.xml"/><Relationship Id="rId44" Type="http://schemas.openxmlformats.org/officeDocument/2006/relationships/hyperlink" Target="file:////Users/user/Documents/NBS/AGRI%20CENSUS%20DOC/202021/Report%20Writing/FINAL%20REPORT%20SEPT%202021/NBS_Copy_12_SEPT_NATIONAL%20REPORT%2012.09.2021_0001HRS.docx" TargetMode="External"/><Relationship Id="rId86" Type="http://schemas.openxmlformats.org/officeDocument/2006/relationships/hyperlink" Target="file:////Users/user/Documents/NBS/AGRI%20CENSUS%20DOC/202021/Report%20Writing/FINAL%20REPORT%20SEPT%202021/NBS_Copy_12_SEPT_NATIONAL%20REPORT%2012.09.2021_0001HRS.docx" TargetMode="External"/><Relationship Id="rId151" Type="http://schemas.openxmlformats.org/officeDocument/2006/relationships/image" Target="media/image14.png"/><Relationship Id="rId389" Type="http://schemas.openxmlformats.org/officeDocument/2006/relationships/image" Target="media/image66.emf"/><Relationship Id="rId193" Type="http://schemas.openxmlformats.org/officeDocument/2006/relationships/chart" Target="charts/chart59.xml"/><Relationship Id="rId207" Type="http://schemas.openxmlformats.org/officeDocument/2006/relationships/chart" Target="charts/chart73.xml"/><Relationship Id="rId249" Type="http://schemas.openxmlformats.org/officeDocument/2006/relationships/image" Target="media/image20.png"/><Relationship Id="rId13" Type="http://schemas.openxmlformats.org/officeDocument/2006/relationships/image" Target="media/image5.jpeg"/><Relationship Id="rId109" Type="http://schemas.openxmlformats.org/officeDocument/2006/relationships/hyperlink" Target="file:////Users/user/Documents/NBS/AGRI%20CENSUS%20DOC/202021/Report%20Writing/FINAL%20REPORT%20SEPT%202021/NBS_Copy_12_SEPT_NATIONAL%20REPORT%2012.09.2021_0001HRS.docx" TargetMode="External"/><Relationship Id="rId260" Type="http://schemas.openxmlformats.org/officeDocument/2006/relationships/chart" Target="charts/chart124.xml"/><Relationship Id="rId316" Type="http://schemas.openxmlformats.org/officeDocument/2006/relationships/chart" Target="charts/chart161.xml"/><Relationship Id="rId55" Type="http://schemas.openxmlformats.org/officeDocument/2006/relationships/hyperlink" Target="file:////Users/user/Documents/NBS/AGRI%20CENSUS%20DOC/202021/Report%20Writing/FINAL%20REPORT%20SEPT%202021/NBS_Copy_12_SEPT_NATIONAL%20REPORT%2012.09.2021_0001HRS.docx" TargetMode="External"/><Relationship Id="rId97" Type="http://schemas.openxmlformats.org/officeDocument/2006/relationships/hyperlink" Target="file:////Users/user/Documents/NBS/AGRI%20CENSUS%20DOC/202021/Report%20Writing/FINAL%20REPORT%20SEPT%202021/NBS_Copy_12_SEPT_NATIONAL%20REPORT%2012.09.2021_0001HRS.docx" TargetMode="External"/><Relationship Id="rId120" Type="http://schemas.openxmlformats.org/officeDocument/2006/relationships/hyperlink" Target="file:////Users/user/Documents/NBS/AGRI%20CENSUS%20DOC/202021/Report%20Writing/FINAL%20REPORT%20SEPT%202021/NBS_Copy_12_SEPT_NATIONAL%20REPORT%2012.09.2021_0001HRS.docx" TargetMode="External"/><Relationship Id="rId358" Type="http://schemas.openxmlformats.org/officeDocument/2006/relationships/chart" Target="charts/chart203.xml"/><Relationship Id="rId162" Type="http://schemas.openxmlformats.org/officeDocument/2006/relationships/chart" Target="charts/chart31.xml"/><Relationship Id="rId218" Type="http://schemas.openxmlformats.org/officeDocument/2006/relationships/chart" Target="charts/chart84.xml"/><Relationship Id="rId271" Type="http://schemas.openxmlformats.org/officeDocument/2006/relationships/image" Target="media/image24.png"/><Relationship Id="rId24" Type="http://schemas.openxmlformats.org/officeDocument/2006/relationships/image" Target="media/image90.jpeg"/><Relationship Id="rId66" Type="http://schemas.openxmlformats.org/officeDocument/2006/relationships/hyperlink" Target="file:////Users/user/Documents/NBS/AGRI%20CENSUS%20DOC/202021/Report%20Writing/FINAL%20REPORT%20SEPT%202021/NBS_Copy_12_SEPT_NATIONAL%20REPORT%2012.09.2021_0001HRS.docx" TargetMode="External"/><Relationship Id="rId131" Type="http://schemas.openxmlformats.org/officeDocument/2006/relationships/chart" Target="charts/chart3.xml"/><Relationship Id="rId327" Type="http://schemas.openxmlformats.org/officeDocument/2006/relationships/chart" Target="charts/chart172.xml"/><Relationship Id="rId369" Type="http://schemas.openxmlformats.org/officeDocument/2006/relationships/image" Target="media/image46.emf"/><Relationship Id="rId173" Type="http://schemas.openxmlformats.org/officeDocument/2006/relationships/chart" Target="charts/chart41.xml"/><Relationship Id="rId229" Type="http://schemas.openxmlformats.org/officeDocument/2006/relationships/chart" Target="charts/chart95.xml"/><Relationship Id="rId380" Type="http://schemas.openxmlformats.org/officeDocument/2006/relationships/image" Target="media/image57.emf"/><Relationship Id="rId240" Type="http://schemas.openxmlformats.org/officeDocument/2006/relationships/chart" Target="charts/chart106.xml"/><Relationship Id="rId35" Type="http://schemas.openxmlformats.org/officeDocument/2006/relationships/hyperlink" Target="file:////Users/user/Documents/NBS/AGRI%20CENSUS%20DOC/202021/Report%20Writing/FINAL%20REPORT%20SEPT%202021/NBS_Copy_12_SEPT_NATIONAL%20REPORT%2012.09.2021_0001HRS.docx" TargetMode="External"/><Relationship Id="rId77" Type="http://schemas.openxmlformats.org/officeDocument/2006/relationships/hyperlink" Target="file:////Users/user/Documents/NBS/AGRI%20CENSUS%20DOC/202021/Report%20Writing/FINAL%20REPORT%20SEPT%202021/NBS_Copy_12_SEPT_NATIONAL%20REPORT%2012.09.2021_0001HRS.docx" TargetMode="External"/><Relationship Id="rId100" Type="http://schemas.openxmlformats.org/officeDocument/2006/relationships/hyperlink" Target="file:////Users/user/Documents/NBS/AGRI%20CENSUS%20DOC/202021/Report%20Writing/FINAL%20REPORT%20SEPT%202021/NBS_Copy_12_SEPT_NATIONAL%20REPORT%2012.09.2021_0001HRS.docx" TargetMode="External"/><Relationship Id="rId282" Type="http://schemas.openxmlformats.org/officeDocument/2006/relationships/image" Target="media/image28.png"/><Relationship Id="rId338" Type="http://schemas.openxmlformats.org/officeDocument/2006/relationships/chart" Target="charts/chart183.xml"/><Relationship Id="rId8" Type="http://schemas.openxmlformats.org/officeDocument/2006/relationships/image" Target="media/image1.jpeg"/><Relationship Id="rId142" Type="http://schemas.openxmlformats.org/officeDocument/2006/relationships/chart" Target="charts/chart14.xml"/><Relationship Id="rId184" Type="http://schemas.openxmlformats.org/officeDocument/2006/relationships/chart" Target="charts/chart52.xml"/><Relationship Id="rId391" Type="http://schemas.openxmlformats.org/officeDocument/2006/relationships/image" Target="media/image68.emf"/><Relationship Id="rId251" Type="http://schemas.openxmlformats.org/officeDocument/2006/relationships/chart" Target="charts/chart116.xml"/><Relationship Id="rId46" Type="http://schemas.openxmlformats.org/officeDocument/2006/relationships/hyperlink" Target="file:////Users/user/Documents/NBS/AGRI%20CENSUS%20DOC/202021/Report%20Writing/FINAL%20REPORT%20SEPT%202021/NBS_Copy_12_SEPT_NATIONAL%20REPORT%2012.09.2021_0001HRS.docx" TargetMode="External"/><Relationship Id="rId293" Type="http://schemas.openxmlformats.org/officeDocument/2006/relationships/chart" Target="charts/chart149.xml"/><Relationship Id="rId307" Type="http://schemas.openxmlformats.org/officeDocument/2006/relationships/image" Target="media/image39.png"/><Relationship Id="rId349" Type="http://schemas.openxmlformats.org/officeDocument/2006/relationships/chart" Target="charts/chart194.xml"/><Relationship Id="rId88" Type="http://schemas.openxmlformats.org/officeDocument/2006/relationships/hyperlink" Target="file:////Users/user/Documents/NBS/AGRI%20CENSUS%20DOC/202021/Report%20Writing/FINAL%20REPORT%20SEPT%202021/NBS_Copy_12_SEPT_NATIONAL%20REPORT%2012.09.2021_0001HRS.docx" TargetMode="External"/><Relationship Id="rId111" Type="http://schemas.openxmlformats.org/officeDocument/2006/relationships/hyperlink" Target="file:////Users/user/Documents/NBS/AGRI%20CENSUS%20DOC/202021/Report%20Writing/FINAL%20REPORT%20SEPT%202021/NBS_Copy_12_SEPT_NATIONAL%20REPORT%2012.09.2021_0001HRS.docx" TargetMode="External"/><Relationship Id="rId153" Type="http://schemas.openxmlformats.org/officeDocument/2006/relationships/chart" Target="charts/chart24.xml"/><Relationship Id="rId195" Type="http://schemas.openxmlformats.org/officeDocument/2006/relationships/chart" Target="charts/chart61.xml"/><Relationship Id="rId209" Type="http://schemas.openxmlformats.org/officeDocument/2006/relationships/chart" Target="charts/chart75.xml"/><Relationship Id="rId360" Type="http://schemas.openxmlformats.org/officeDocument/2006/relationships/chart" Target="charts/chart205.xml"/><Relationship Id="rId220" Type="http://schemas.openxmlformats.org/officeDocument/2006/relationships/chart" Target="charts/chart86.xml"/><Relationship Id="rId15" Type="http://schemas.openxmlformats.org/officeDocument/2006/relationships/image" Target="media/image7.jpeg"/><Relationship Id="rId57" Type="http://schemas.openxmlformats.org/officeDocument/2006/relationships/hyperlink" Target="file:////Users/user/Documents/NBS/AGRI%20CENSUS%20DOC/202021/Report%20Writing/FINAL%20REPORT%20SEPT%202021/NBS_Copy_12_SEPT_NATIONAL%20REPORT%2012.09.2021_0001HRS.docx" TargetMode="External"/><Relationship Id="rId262" Type="http://schemas.openxmlformats.org/officeDocument/2006/relationships/image" Target="media/image22.png"/><Relationship Id="rId318" Type="http://schemas.openxmlformats.org/officeDocument/2006/relationships/chart" Target="charts/chart163.xml"/><Relationship Id="rId99" Type="http://schemas.openxmlformats.org/officeDocument/2006/relationships/hyperlink" Target="file:////Users/user/Documents/NBS/AGRI%20CENSUS%20DOC/202021/Report%20Writing/FINAL%20REPORT%20SEPT%202021/NBS_Copy_12_SEPT_NATIONAL%20REPORT%2012.09.2021_0001HRS.docx" TargetMode="External"/><Relationship Id="rId122" Type="http://schemas.openxmlformats.org/officeDocument/2006/relationships/image" Target="media/image10.png"/><Relationship Id="rId164" Type="http://schemas.openxmlformats.org/officeDocument/2006/relationships/chart" Target="charts/chart33.xml"/><Relationship Id="rId371" Type="http://schemas.openxmlformats.org/officeDocument/2006/relationships/image" Target="media/image48.emf"/><Relationship Id="rId26" Type="http://schemas.openxmlformats.org/officeDocument/2006/relationships/hyperlink" Target="file:////Users/user/Documents/NBS/AGRI%20CENSUS%20DOC/202021/Report%20Writing/FINAL%20REPORT%20SEPT%202021/NBS_Copy_12_SEPT_NATIONAL%20REPORT%2012.09.2021_0001HRS.docx" TargetMode="External"/><Relationship Id="rId231" Type="http://schemas.openxmlformats.org/officeDocument/2006/relationships/chart" Target="charts/chart97.xml"/><Relationship Id="rId273" Type="http://schemas.openxmlformats.org/officeDocument/2006/relationships/chart" Target="charts/chart133.xml"/><Relationship Id="rId329" Type="http://schemas.openxmlformats.org/officeDocument/2006/relationships/chart" Target="charts/chart174.xml"/><Relationship Id="rId68" Type="http://schemas.openxmlformats.org/officeDocument/2006/relationships/hyperlink" Target="file:////Users/user/Documents/NBS/AGRI%20CENSUS%20DOC/202021/Report%20Writing/FINAL%20REPORT%20SEPT%202021/NBS_Copy_12_SEPT_NATIONAL%20REPORT%2012.09.2021_0001HRS.docx" TargetMode="External"/><Relationship Id="rId133" Type="http://schemas.openxmlformats.org/officeDocument/2006/relationships/chart" Target="charts/chart5.xml"/><Relationship Id="rId175" Type="http://schemas.openxmlformats.org/officeDocument/2006/relationships/chart" Target="charts/chart43.xml"/><Relationship Id="rId340" Type="http://schemas.openxmlformats.org/officeDocument/2006/relationships/chart" Target="charts/chart185.xml"/><Relationship Id="rId200" Type="http://schemas.openxmlformats.org/officeDocument/2006/relationships/chart" Target="charts/chart66.xml"/><Relationship Id="rId382" Type="http://schemas.openxmlformats.org/officeDocument/2006/relationships/image" Target="media/image59.emf"/><Relationship Id="rId242" Type="http://schemas.openxmlformats.org/officeDocument/2006/relationships/chart" Target="charts/chart108.xml"/><Relationship Id="rId284" Type="http://schemas.openxmlformats.org/officeDocument/2006/relationships/chart" Target="charts/chart141.xml"/><Relationship Id="rId37" Type="http://schemas.openxmlformats.org/officeDocument/2006/relationships/hyperlink" Target="file:////Users/user/Documents/NBS/AGRI%20CENSUS%20DOC/202021/Report%20Writing/FINAL%20REPORT%20SEPT%202021/NBS_Copy_12_SEPT_NATIONAL%20REPORT%2012.09.2021_0001HRS.docx" TargetMode="External"/><Relationship Id="rId79" Type="http://schemas.openxmlformats.org/officeDocument/2006/relationships/hyperlink" Target="file:////Users/user/Documents/NBS/AGRI%20CENSUS%20DOC/202021/Report%20Writing/FINAL%20REPORT%20SEPT%202021/NBS_Copy_12_SEPT_NATIONAL%20REPORT%2012.09.2021_0001HRS.docx" TargetMode="External"/><Relationship Id="rId102" Type="http://schemas.openxmlformats.org/officeDocument/2006/relationships/hyperlink" Target="file:////Users/user/Documents/NBS/AGRI%20CENSUS%20DOC/202021/Report%20Writing/FINAL%20REPORT%20SEPT%202021/NBS_Copy_12_SEPT_NATIONAL%20REPORT%2012.09.2021_0001HRS.docx" TargetMode="External"/><Relationship Id="rId144" Type="http://schemas.openxmlformats.org/officeDocument/2006/relationships/chart" Target="charts/chart16.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Users\festomwemutsi\Desktop\Report%20NSCA2019_20\rereporttemperateworkdistributionreportwritingex\ACQ1_Tables_Report%20Writing_08%20June%202021\ACQ1_Section%202%20to%207.xlsx" TargetMode="Externa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file:////Users\festomwemutsi\Desktop\Report%20NSCA2019_20\rereporttemperateworkdistributionreportwritingex\ACQ1_Tables_Report%20Writing_08%20June%202021\ACQ1_Section%202%20to%207.xlsx" TargetMode="External"/></Relationships>
</file>

<file path=word/charts/_rels/chart100.xml.rels><?xml version="1.0" encoding="UTF-8" standalone="yes"?>
<Relationships xmlns="http://schemas.openxmlformats.org/package/2006/relationships"><Relationship Id="rId3" Type="http://schemas.openxmlformats.org/officeDocument/2006/relationships/themeOverride" Target="../theme/themeOverride88.xml"/><Relationship Id="rId2" Type="http://schemas.microsoft.com/office/2011/relationships/chartColorStyle" Target="colors49.xml"/><Relationship Id="rId1" Type="http://schemas.microsoft.com/office/2011/relationships/chartStyle" Target="style49.xml"/><Relationship Id="rId4" Type="http://schemas.openxmlformats.org/officeDocument/2006/relationships/oleObject" Target="file:////Users\user\Documents\NBS\AGRI%20CENSUS%20DOC\202021\Report%20Writing\Tables_for%20report%20writing_Teddy.xlsx" TargetMode="External"/></Relationships>
</file>

<file path=word/charts/_rels/chart101.xml.rels><?xml version="1.0" encoding="UTF-8" standalone="yes"?>
<Relationships xmlns="http://schemas.openxmlformats.org/package/2006/relationships"><Relationship Id="rId3" Type="http://schemas.openxmlformats.org/officeDocument/2006/relationships/themeOverride" Target="../theme/themeOverride89.xml"/><Relationship Id="rId2" Type="http://schemas.microsoft.com/office/2011/relationships/chartColorStyle" Target="colors50.xml"/><Relationship Id="rId1" Type="http://schemas.microsoft.com/office/2011/relationships/chartStyle" Target="style50.xml"/><Relationship Id="rId4" Type="http://schemas.openxmlformats.org/officeDocument/2006/relationships/oleObject" Target="file:////Users\user\Documents\NBS\AGRI%20CENSUS%20DOC\202021\Report%20Writing\Tables_for%20report%20writing_Teddy.xlsx" TargetMode="External"/></Relationships>
</file>

<file path=word/charts/_rels/chart102.xml.rels><?xml version="1.0" encoding="UTF-8" standalone="yes"?>
<Relationships xmlns="http://schemas.openxmlformats.org/package/2006/relationships"><Relationship Id="rId3" Type="http://schemas.openxmlformats.org/officeDocument/2006/relationships/themeOverride" Target="../theme/themeOverride90.xml"/><Relationship Id="rId2" Type="http://schemas.microsoft.com/office/2011/relationships/chartColorStyle" Target="colors51.xml"/><Relationship Id="rId1" Type="http://schemas.microsoft.com/office/2011/relationships/chartStyle" Target="style51.xml"/><Relationship Id="rId4" Type="http://schemas.openxmlformats.org/officeDocument/2006/relationships/oleObject" Target="../embeddings/oleObject1.bin"/></Relationships>
</file>

<file path=word/charts/_rels/chart103.xml.rels><?xml version="1.0" encoding="UTF-8" standalone="yes"?>
<Relationships xmlns="http://schemas.openxmlformats.org/package/2006/relationships"><Relationship Id="rId3" Type="http://schemas.openxmlformats.org/officeDocument/2006/relationships/themeOverride" Target="../theme/themeOverride91.xml"/><Relationship Id="rId2" Type="http://schemas.microsoft.com/office/2011/relationships/chartColorStyle" Target="colors52.xml"/><Relationship Id="rId1" Type="http://schemas.microsoft.com/office/2011/relationships/chartStyle" Target="style52.xml"/><Relationship Id="rId4" Type="http://schemas.openxmlformats.org/officeDocument/2006/relationships/oleObject" Target="file:////Users\user\Documents\NBS\AGRI%20CENSUS%20DOC\202021\Report%20Writing\Tables_for%20report%20writing_Teddy.xlsx" TargetMode="External"/></Relationships>
</file>

<file path=word/charts/_rels/chart104.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92.xml"/></Relationships>
</file>

<file path=word/charts/_rels/chart105.xml.rels><?xml version="1.0" encoding="UTF-8" standalone="yes"?>
<Relationships xmlns="http://schemas.openxmlformats.org/package/2006/relationships"><Relationship Id="rId3" Type="http://schemas.openxmlformats.org/officeDocument/2006/relationships/themeOverride" Target="../theme/themeOverride93.xml"/><Relationship Id="rId2" Type="http://schemas.microsoft.com/office/2011/relationships/chartColorStyle" Target="colors53.xml"/><Relationship Id="rId1" Type="http://schemas.microsoft.com/office/2011/relationships/chartStyle" Target="style53.xml"/><Relationship Id="rId4" Type="http://schemas.openxmlformats.org/officeDocument/2006/relationships/oleObject" Target="file:////Users\user\Documents\NBS\AGRI%20CENSUS%20DOC\202021\Report%20Writing\Tables_for%20report%20writing_Teddy.xlsx" TargetMode="External"/></Relationships>
</file>

<file path=word/charts/_rels/chart106.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94.xml"/></Relationships>
</file>

<file path=word/charts/_rels/chart107.xml.rels><?xml version="1.0" encoding="UTF-8" standalone="yes"?>
<Relationships xmlns="http://schemas.openxmlformats.org/package/2006/relationships"><Relationship Id="rId3" Type="http://schemas.openxmlformats.org/officeDocument/2006/relationships/themeOverride" Target="../theme/themeOverride95.xml"/><Relationship Id="rId2" Type="http://schemas.microsoft.com/office/2011/relationships/chartColorStyle" Target="colors54.xml"/><Relationship Id="rId1" Type="http://schemas.microsoft.com/office/2011/relationships/chartStyle" Target="style54.xml"/><Relationship Id="rId4" Type="http://schemas.openxmlformats.org/officeDocument/2006/relationships/oleObject" Target="file:////Users\user\Documents\NBS\AGRI%20CENSUS%20DOC\202021\Report%20Writing\Tables_for%20report%20writing_Teddy.xlsx" TargetMode="External"/></Relationships>
</file>

<file path=word/charts/_rels/chart108.xml.rels><?xml version="1.0" encoding="UTF-8" standalone="yes"?>
<Relationships xmlns="http://schemas.openxmlformats.org/package/2006/relationships"><Relationship Id="rId3" Type="http://schemas.openxmlformats.org/officeDocument/2006/relationships/themeOverride" Target="../theme/themeOverride96.xml"/><Relationship Id="rId2" Type="http://schemas.microsoft.com/office/2011/relationships/chartColorStyle" Target="colors55.xml"/><Relationship Id="rId1" Type="http://schemas.microsoft.com/office/2011/relationships/chartStyle" Target="style55.xml"/><Relationship Id="rId4" Type="http://schemas.openxmlformats.org/officeDocument/2006/relationships/oleObject" Target="file:////Users\user\Documents\NBS\AGRI%20CENSUS%20DOC\202021\Report%20Writing\Tables_for%20report%20writing_Teddy.xlsx" TargetMode="External"/></Relationships>
</file>

<file path=word/charts/_rels/chart109.xml.rels><?xml version="1.0" encoding="UTF-8" standalone="yes"?>
<Relationships xmlns="http://schemas.openxmlformats.org/package/2006/relationships"><Relationship Id="rId3" Type="http://schemas.openxmlformats.org/officeDocument/2006/relationships/themeOverride" Target="../theme/themeOverride97.xml"/><Relationship Id="rId2" Type="http://schemas.microsoft.com/office/2011/relationships/chartColorStyle" Target="colors56.xml"/><Relationship Id="rId1" Type="http://schemas.microsoft.com/office/2011/relationships/chartStyle" Target="style56.xml"/><Relationship Id="rId4" Type="http://schemas.openxmlformats.org/officeDocument/2006/relationships/oleObject" Target="file:////Users\user\Documents\NBS\AGRI%20CENSUS%20DOC\202021\Report%20Writing\Tables_for%20report%20writing_Teddy.xlsx" TargetMode="External"/></Relationships>
</file>

<file path=word/charts/_rels/chart11.xml.rels><?xml version="1.0" encoding="UTF-8" standalone="yes"?>
<Relationships xmlns="http://schemas.openxmlformats.org/package/2006/relationships"><Relationship Id="rId3" Type="http://schemas.openxmlformats.org/officeDocument/2006/relationships/oleObject" Target="Book8" TargetMode="External"/><Relationship Id="rId2" Type="http://schemas.microsoft.com/office/2011/relationships/chartColorStyle" Target="colors11.xml"/><Relationship Id="rId1" Type="http://schemas.microsoft.com/office/2011/relationships/chartStyle" Target="style11.xml"/></Relationships>
</file>

<file path=word/charts/_rels/chart110.xml.rels><?xml version="1.0" encoding="UTF-8" standalone="yes"?>
<Relationships xmlns="http://schemas.openxmlformats.org/package/2006/relationships"><Relationship Id="rId3" Type="http://schemas.openxmlformats.org/officeDocument/2006/relationships/themeOverride" Target="../theme/themeOverride98.xml"/><Relationship Id="rId2" Type="http://schemas.microsoft.com/office/2011/relationships/chartColorStyle" Target="colors57.xml"/><Relationship Id="rId1" Type="http://schemas.microsoft.com/office/2011/relationships/chartStyle" Target="style57.xml"/><Relationship Id="rId4" Type="http://schemas.openxmlformats.org/officeDocument/2006/relationships/oleObject" Target="file:////Users\user\Documents\NBS\AGRI%20CENSUS%20DOC\202021\Report%20Writing\Tables_for%20report%20writing_Teddy.xlsx" TargetMode="External"/></Relationships>
</file>

<file path=word/charts/_rels/chart111.xml.rels><?xml version="1.0" encoding="UTF-8" standalone="yes"?>
<Relationships xmlns="http://schemas.openxmlformats.org/package/2006/relationships"><Relationship Id="rId2" Type="http://schemas.openxmlformats.org/officeDocument/2006/relationships/oleObject" Target="file:////C:\Users\user\Desktop\Market%20Challenges%2023%20June%202021-%20Final%2023%20JUne%202021.xlsx" TargetMode="External"/><Relationship Id="rId1" Type="http://schemas.openxmlformats.org/officeDocument/2006/relationships/themeOverride" Target="../theme/themeOverride99.xml"/></Relationships>
</file>

<file path=word/charts/_rels/chart112.xml.rels><?xml version="1.0" encoding="UTF-8" standalone="yes"?>
<Relationships xmlns="http://schemas.openxmlformats.org/package/2006/relationships"><Relationship Id="rId2" Type="http://schemas.openxmlformats.org/officeDocument/2006/relationships/oleObject" Target="file:////C:\Users\user\Desktop\Market%20Challenges%2023%20June%202021-%20Final%2023%20JUne%202021.xlsx" TargetMode="External"/><Relationship Id="rId1" Type="http://schemas.openxmlformats.org/officeDocument/2006/relationships/themeOverride" Target="../theme/themeOverride100.xml"/></Relationships>
</file>

<file path=word/charts/_rels/chart113.xml.rels><?xml version="1.0" encoding="UTF-8" standalone="yes"?>
<Relationships xmlns="http://schemas.openxmlformats.org/package/2006/relationships"><Relationship Id="rId3" Type="http://schemas.openxmlformats.org/officeDocument/2006/relationships/oleObject" Target="file:////Users\user\Documents\NBS\AGRI%20CENSUS%20DOC\202021\Report%20Writing\FINAL%20REPORT_JULY%202021\Figure%204.1%20and%204.2.xlsx" TargetMode="External"/><Relationship Id="rId2" Type="http://schemas.microsoft.com/office/2011/relationships/chartColorStyle" Target="colors58.xml"/><Relationship Id="rId1" Type="http://schemas.microsoft.com/office/2011/relationships/chartStyle" Target="style58.xml"/></Relationships>
</file>

<file path=word/charts/_rels/chart114.xml.rels><?xml version="1.0" encoding="UTF-8" standalone="yes"?>
<Relationships xmlns="http://schemas.openxmlformats.org/package/2006/relationships"><Relationship Id="rId3" Type="http://schemas.openxmlformats.org/officeDocument/2006/relationships/oleObject" Target="file:////Users\user\Documents\NBS\AGRI%20CENSUS%20DOC\202021\Report%20Writing\FINAL%20REPORT_JULY%202021\Figure%204.1%20and%204.2.xlsx" TargetMode="External"/><Relationship Id="rId2" Type="http://schemas.microsoft.com/office/2011/relationships/chartColorStyle" Target="colors59.xml"/><Relationship Id="rId1" Type="http://schemas.microsoft.com/office/2011/relationships/chartStyle" Target="style59.xml"/></Relationships>
</file>

<file path=word/charts/_rels/chart115.xml.rels><?xml version="1.0" encoding="UTF-8" standalone="yes"?>
<Relationships xmlns="http://schemas.openxmlformats.org/package/2006/relationships"><Relationship Id="rId1" Type="http://schemas.openxmlformats.org/officeDocument/2006/relationships/oleObject" Target="file:////Users/user/Documents/NBS/AGRI%20CENSUS%20DOC/202021/Report%20Writing/FINAL%20REPORT_JULY%202021/ZERO%20Draft%20report/Draft%20from%20Groups%202021/MZEE/Chapter_4_Livestock%20Production.Report/Figures.Tables_LIVESTOCKPOPULATION_9JULY.xlsx" TargetMode="External"/></Relationships>
</file>

<file path=word/charts/_rels/chart116.xml.rels><?xml version="1.0" encoding="UTF-8" standalone="yes"?>
<Relationships xmlns="http://schemas.openxmlformats.org/package/2006/relationships"><Relationship Id="rId1" Type="http://schemas.openxmlformats.org/officeDocument/2006/relationships/oleObject" Target="file:////Users/user/Documents/NBS/AGRI%20CENSUS%20DOC/202021/Report%20Writing/FINAL%20REPORT_JULY%202021/ZERO%20Draft%20report/Draft%20from%20Groups%202021/MZEE/Chapter_4_Livestock%20Production.Report/Figures.Tables_LIVESTOCKPOPULATION_9JULY.xlsx" TargetMode="External"/></Relationships>
</file>

<file path=word/charts/_rels/chart117.xml.rels><?xml version="1.0" encoding="UTF-8" standalone="yes"?>
<Relationships xmlns="http://schemas.openxmlformats.org/package/2006/relationships"><Relationship Id="rId3" Type="http://schemas.openxmlformats.org/officeDocument/2006/relationships/themeOverride" Target="../theme/themeOverride101.xml"/><Relationship Id="rId2" Type="http://schemas.microsoft.com/office/2011/relationships/chartColorStyle" Target="colors60.xml"/><Relationship Id="rId1" Type="http://schemas.microsoft.com/office/2011/relationships/chartStyle" Target="style60.xml"/><Relationship Id="rId4" Type="http://schemas.openxmlformats.org/officeDocument/2006/relationships/oleObject" Target="file:////Users\user\Documents\NBS\AGRI%20CENSUS%20DOC\202021\Report%20Writing\FINAL%20REPORT_JULY%202021\ZERO%20Draft%20report\Draft%20from%20Groups%202021\MZEE\Chapter_4_Livestock%20Production.Report\Figures.Tables_LIVESTOCKPOPULATION_9JULY.xlsx" TargetMode="External"/></Relationships>
</file>

<file path=word/charts/_rels/chart118.xml.rels><?xml version="1.0" encoding="UTF-8" standalone="yes"?>
<Relationships xmlns="http://schemas.openxmlformats.org/package/2006/relationships"><Relationship Id="rId2" Type="http://schemas.openxmlformats.org/officeDocument/2006/relationships/oleObject" Target="file:////Users\user\Documents\NBS\AGRI%20CENSUS%20DOC\202021\Report%20Writing\FINAL%20REPORT_JULY%202021\ZERO%20Draft%20report\Draft%20from%20Groups%202021\MZEE\Chapter_4_Livestock%20Production.Report\Figures.Tables_LIVESTOCKPOPULATION_9JULY.xlsx" TargetMode="External"/><Relationship Id="rId1" Type="http://schemas.openxmlformats.org/officeDocument/2006/relationships/themeOverride" Target="../theme/themeOverride102.xml"/></Relationships>
</file>

<file path=word/charts/_rels/chart119.xml.rels><?xml version="1.0" encoding="UTF-8" standalone="yes"?>
<Relationships xmlns="http://schemas.openxmlformats.org/package/2006/relationships"><Relationship Id="rId2" Type="http://schemas.openxmlformats.org/officeDocument/2006/relationships/oleObject" Target="file:////Users\user\Documents\NBS\AGRI%20CENSUS%20DOC\202021\Report%20Writing\FINAL%20REPORT_JULY%202021\ZERO%20Draft%20report\Draft%20from%20Groups%202021\MZEE\Chapter_4_Livestock%20Production.Report\Figures.Tables_LIVESTOCKPOPULATION_9JULY.xlsx" TargetMode="External"/><Relationship Id="rId1" Type="http://schemas.openxmlformats.org/officeDocument/2006/relationships/themeOverride" Target="../theme/themeOverride103.xm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file:////Users\user\Desktop\ACQ1_Section%202%20to%207%20from%20FESTO.xlsx" TargetMode="External"/></Relationships>
</file>

<file path=word/charts/_rels/chart120.xml.rels><?xml version="1.0" encoding="UTF-8" standalone="yes"?>
<Relationships xmlns="http://schemas.openxmlformats.org/package/2006/relationships"><Relationship Id="rId3" Type="http://schemas.openxmlformats.org/officeDocument/2006/relationships/themeOverride" Target="../theme/themeOverride104.xml"/><Relationship Id="rId2" Type="http://schemas.microsoft.com/office/2011/relationships/chartColorStyle" Target="colors61.xml"/><Relationship Id="rId1" Type="http://schemas.microsoft.com/office/2011/relationships/chartStyle" Target="style61.xml"/><Relationship Id="rId4" Type="http://schemas.openxmlformats.org/officeDocument/2006/relationships/oleObject" Target="file:////Users\user\Documents\NBS\AGRI%20CENSUS%20DOC\202021\Report%20Writing\FINAL%20REPORT_JULY%202021\ZERO%20Draft%20report\Draft%20from%20Groups%202021\MZEE\Chapter_4_Livestock%20Production.Report\Figures.Tables_LIVESTOCKPOPULATION_9JULY.xlsx" TargetMode="External"/></Relationships>
</file>

<file path=word/charts/_rels/chart121.xml.rels><?xml version="1.0" encoding="UTF-8" standalone="yes"?>
<Relationships xmlns="http://schemas.openxmlformats.org/package/2006/relationships"><Relationship Id="rId3" Type="http://schemas.openxmlformats.org/officeDocument/2006/relationships/themeOverride" Target="../theme/themeOverride105.xml"/><Relationship Id="rId2" Type="http://schemas.microsoft.com/office/2011/relationships/chartColorStyle" Target="colors62.xml"/><Relationship Id="rId1" Type="http://schemas.microsoft.com/office/2011/relationships/chartStyle" Target="style62.xml"/><Relationship Id="rId4" Type="http://schemas.openxmlformats.org/officeDocument/2006/relationships/oleObject" Target="file:////Users\user\Documents\NBS\AGRI%20CENSUS%20DOC\202021\Report%20Writing\FINAL%20REPORT_JULY%202021\ZERO%20Draft%20report\Draft%20from%20Groups%202021\MZEE\Chapter_4_Livestock%20Production.Report\Figures.Tables_LIVESTOCKPOPULATION_9JULY.xlsx" TargetMode="External"/></Relationships>
</file>

<file path=word/charts/_rels/chart122.xml.rels><?xml version="1.0" encoding="UTF-8" standalone="yes"?>
<Relationships xmlns="http://schemas.openxmlformats.org/package/2006/relationships"><Relationship Id="rId3" Type="http://schemas.openxmlformats.org/officeDocument/2006/relationships/themeOverride" Target="../theme/themeOverride106.xml"/><Relationship Id="rId2" Type="http://schemas.microsoft.com/office/2011/relationships/chartColorStyle" Target="colors63.xml"/><Relationship Id="rId1" Type="http://schemas.microsoft.com/office/2011/relationships/chartStyle" Target="style63.xml"/><Relationship Id="rId4" Type="http://schemas.openxmlformats.org/officeDocument/2006/relationships/oleObject" Target="file:////Users\user\Documents\NBS\AGRI%20CENSUS%20DOC\202021\Report%20Writing\FINAL%20REPORT_JULY%202021\ZERO%20Draft%20report\Draft%20from%20Groups%202021\MZEE\Chapter_4_Livestock%20Production.Report\Figures.Tables_LIVESTOCKPOPULATION_9JULY.xlsx" TargetMode="External"/></Relationships>
</file>

<file path=word/charts/_rels/chart123.xml.rels><?xml version="1.0" encoding="UTF-8" standalone="yes"?>
<Relationships xmlns="http://schemas.openxmlformats.org/package/2006/relationships"><Relationship Id="rId3" Type="http://schemas.openxmlformats.org/officeDocument/2006/relationships/oleObject" Target="file:////Users/user/Documents/NBS/AGRI%20CENSUS%20DOC/202021/Report%20Writing/FINAL%20REPORT_JULY%202021/ZERO%20Draft%20report/Draft%20from%20Groups%202021/MZEE/Chapter_4_Livestock%20Production.Report/Figures.Tables_LIVESTOCKPOPULATION_9JULY.xlsx" TargetMode="External"/><Relationship Id="rId2" Type="http://schemas.microsoft.com/office/2011/relationships/chartColorStyle" Target="colors64.xml"/><Relationship Id="rId1" Type="http://schemas.microsoft.com/office/2011/relationships/chartStyle" Target="style64.xml"/></Relationships>
</file>

<file path=word/charts/_rels/chart124.xml.rels><?xml version="1.0" encoding="UTF-8" standalone="yes"?>
<Relationships xmlns="http://schemas.openxmlformats.org/package/2006/relationships"><Relationship Id="rId2" Type="http://schemas.openxmlformats.org/officeDocument/2006/relationships/oleObject" Target="file:////Users\user\Documents\NBS\AGRI%20CENSUS%20DOC\202021\Report%20Writing\FINAL%20REPORT_JULY%202021\ZERO%20Draft%20report\Draft%20from%20Groups%202021\MZEE\Chapter_4_Livestock%20Production.Report\Figures.Tables_LIVESTOCKPOPULATION_9JULY.xlsx" TargetMode="External"/><Relationship Id="rId1" Type="http://schemas.openxmlformats.org/officeDocument/2006/relationships/themeOverride" Target="../theme/themeOverride107.xml"/></Relationships>
</file>

<file path=word/charts/_rels/chart125.xml.rels><?xml version="1.0" encoding="UTF-8" standalone="yes"?>
<Relationships xmlns="http://schemas.openxmlformats.org/package/2006/relationships"><Relationship Id="rId2" Type="http://schemas.openxmlformats.org/officeDocument/2006/relationships/oleObject" Target="file:////C:\Users\Genja\Documents\July%2017%202021\ZERO%20Draft%20report\ZERO%20Draft%20report\Draft%20from%20Groups%202021\MZEE\Chapter_4_Livestock%20Production.Report\Figures.Tables_LIVESTOCKPOPULATION_9JULY.xlsx" TargetMode="External"/><Relationship Id="rId1" Type="http://schemas.openxmlformats.org/officeDocument/2006/relationships/themeOverride" Target="../theme/themeOverride108.xml"/></Relationships>
</file>

<file path=word/charts/_rels/chart126.xml.rels><?xml version="1.0" encoding="UTF-8" standalone="yes"?>
<Relationships xmlns="http://schemas.openxmlformats.org/package/2006/relationships"><Relationship Id="rId1" Type="http://schemas.openxmlformats.org/officeDocument/2006/relationships/oleObject" Target="file:////Users/user/Documents/NBS/AGRI%20CENSUS%20DOC/202021/Report%20Writing/FINAL%20REPORT_JULY%202021/ZERO%20Draft%20report/Draft%20from%20Groups%202021/MZEE/Chapter_4_Livestock%20Production.Report/Figures.Tables_LIVESTOCKPOPULATION_9JULY.xlsx" TargetMode="External"/></Relationships>
</file>

<file path=word/charts/_rels/chart127.xml.rels><?xml version="1.0" encoding="UTF-8" standalone="yes"?>
<Relationships xmlns="http://schemas.openxmlformats.org/package/2006/relationships"><Relationship Id="rId2" Type="http://schemas.openxmlformats.org/officeDocument/2006/relationships/oleObject" Target="file:////Users\user\Documents\NBS\AGRI%20CENSUS%20DOC\202021\Report%20Writing\FINAL%20REPORT_JULY%202021\ZERO%20Draft%20report\Draft%20from%20Groups%202021\MZEE\Chapter_4_Livestock%20Production.Report\Figures.Tables_LIVESTOCKPOPULATION_9JULY.xlsx" TargetMode="External"/><Relationship Id="rId1" Type="http://schemas.openxmlformats.org/officeDocument/2006/relationships/themeOverride" Target="../theme/themeOverride109.xml"/></Relationships>
</file>

<file path=word/charts/_rels/chart128.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10.xml"/></Relationships>
</file>

<file path=word/charts/_rels/chart129.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11.xm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file:////Users\user\Desktop\ACQ1_Section%202%20to%207%20from%20FESTO.xlsx" TargetMode="External"/></Relationships>
</file>

<file path=word/charts/_rels/chart130.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12.xml"/></Relationships>
</file>

<file path=word/charts/_rels/chart131.xml.rels><?xml version="1.0" encoding="UTF-8" standalone="yes"?>
<Relationships xmlns="http://schemas.openxmlformats.org/package/2006/relationships"><Relationship Id="rId3" Type="http://schemas.openxmlformats.org/officeDocument/2006/relationships/themeOverride" Target="../theme/themeOverride113.xml"/><Relationship Id="rId2" Type="http://schemas.microsoft.com/office/2011/relationships/chartColorStyle" Target="colors65.xml"/><Relationship Id="rId1" Type="http://schemas.microsoft.com/office/2011/relationships/chartStyle" Target="style65.xml"/><Relationship Id="rId4" Type="http://schemas.openxmlformats.org/officeDocument/2006/relationships/oleObject" Target="../embeddings/oleObject2.bin"/></Relationships>
</file>

<file path=word/charts/_rels/chart132.xml.rels><?xml version="1.0" encoding="UTF-8" standalone="yes"?>
<Relationships xmlns="http://schemas.openxmlformats.org/package/2006/relationships"><Relationship Id="rId3" Type="http://schemas.openxmlformats.org/officeDocument/2006/relationships/themeOverride" Target="../theme/themeOverride114.xml"/><Relationship Id="rId2" Type="http://schemas.microsoft.com/office/2011/relationships/chartColorStyle" Target="colors66.xml"/><Relationship Id="rId1" Type="http://schemas.microsoft.com/office/2011/relationships/chartStyle" Target="style66.xml"/><Relationship Id="rId4" Type="http://schemas.openxmlformats.org/officeDocument/2006/relationships/oleObject" Target="../embeddings/oleObject3.bin"/></Relationships>
</file>

<file path=word/charts/_rels/chart133.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15.xml"/></Relationships>
</file>

<file path=word/charts/_rels/chart134.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16.xml"/></Relationships>
</file>

<file path=word/charts/_rels/chart135.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17.xml"/></Relationships>
</file>

<file path=word/charts/_rels/chart136.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18.xml"/></Relationships>
</file>

<file path=word/charts/_rels/chart137.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19.xml"/></Relationships>
</file>

<file path=word/charts/_rels/chart138.xml.rels><?xml version="1.0" encoding="UTF-8" standalone="yes"?>
<Relationships xmlns="http://schemas.openxmlformats.org/package/2006/relationships"><Relationship Id="rId1" Type="http://schemas.openxmlformats.org/officeDocument/2006/relationships/oleObject" Target="file:////Users/user/Documents/NBS/AGRI%20CENSUS%20DOC/202021/Report%20Writing/FINAL%20REPORT_JULY%202021/ZERO%20Draft%20report/Draft%20from%20Groups%202021/MZEE/Chapter_4_Livestock%20Production.Report/Figures.Tables_LIVESTOCKPOPULATION_9JULY.xlsx" TargetMode="External"/></Relationships>
</file>

<file path=word/charts/_rels/chart139.xml.rels><?xml version="1.0" encoding="UTF-8" standalone="yes"?>
<Relationships xmlns="http://schemas.openxmlformats.org/package/2006/relationships"><Relationship Id="rId1" Type="http://schemas.openxmlformats.org/officeDocument/2006/relationships/oleObject" Target="file:////Users/user/Documents/NBS/AGRI%20CENSUS%20DOC/202021/Report%20Writing/FINAL%20REPORT_JULY%202021/ZERO%20Draft%20report/Draft%20from%20Groups%202021/MZEE/Chapter_4_Livestock%20Production.Report/Figures.Tables_LIVESTOCKPOPULATION_9JULY.xlsx"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file:////Users\user\Desktop\ACQ1_Section%202%20to%207%20from%20FESTO.xlsx" TargetMode="External"/></Relationships>
</file>

<file path=word/charts/_rels/chart140.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20.xml"/></Relationships>
</file>

<file path=word/charts/_rels/chart141.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121.xml"/></Relationships>
</file>

<file path=word/charts/_rels/chart142.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122.xml"/></Relationships>
</file>

<file path=word/charts/_rels/chart143.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123.xml"/></Relationships>
</file>

<file path=word/charts/_rels/chart144.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124.xml"/></Relationships>
</file>

<file path=word/charts/_rels/chart145.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125.xml"/></Relationships>
</file>

<file path=word/charts/_rels/chart146.xml.rels><?xml version="1.0" encoding="UTF-8" standalone="yes"?>
<Relationships xmlns="http://schemas.openxmlformats.org/package/2006/relationships"><Relationship Id="rId3" Type="http://schemas.openxmlformats.org/officeDocument/2006/relationships/oleObject" Target="Book53" TargetMode="External"/><Relationship Id="rId2" Type="http://schemas.microsoft.com/office/2011/relationships/chartColorStyle" Target="colors67.xml"/><Relationship Id="rId1" Type="http://schemas.microsoft.com/office/2011/relationships/chartStyle" Target="style67.xml"/></Relationships>
</file>

<file path=word/charts/_rels/chart147.xml.rels><?xml version="1.0" encoding="UTF-8" standalone="yes"?>
<Relationships xmlns="http://schemas.openxmlformats.org/package/2006/relationships"><Relationship Id="rId3" Type="http://schemas.openxmlformats.org/officeDocument/2006/relationships/oleObject" Target="Book53" TargetMode="External"/><Relationship Id="rId2" Type="http://schemas.microsoft.com/office/2011/relationships/chartColorStyle" Target="colors68.xml"/><Relationship Id="rId1" Type="http://schemas.microsoft.com/office/2011/relationships/chartStyle" Target="style68.xml"/></Relationships>
</file>

<file path=word/charts/_rels/chart148.xml.rels><?xml version="1.0" encoding="UTF-8" standalone="yes"?>
<Relationships xmlns="http://schemas.openxmlformats.org/package/2006/relationships"><Relationship Id="rId3" Type="http://schemas.openxmlformats.org/officeDocument/2006/relationships/oleObject" Target="Book53" TargetMode="External"/><Relationship Id="rId2" Type="http://schemas.microsoft.com/office/2011/relationships/chartColorStyle" Target="colors69.xml"/><Relationship Id="rId1" Type="http://schemas.microsoft.com/office/2011/relationships/chartStyle" Target="style69.xml"/></Relationships>
</file>

<file path=word/charts/_rels/chart149.xml.rels><?xml version="1.0" encoding="UTF-8" standalone="yes"?>
<Relationships xmlns="http://schemas.openxmlformats.org/package/2006/relationships"><Relationship Id="rId3" Type="http://schemas.openxmlformats.org/officeDocument/2006/relationships/oleObject" Target="Book53" TargetMode="External"/><Relationship Id="rId2" Type="http://schemas.microsoft.com/office/2011/relationships/chartColorStyle" Target="colors70.xml"/><Relationship Id="rId1" Type="http://schemas.microsoft.com/office/2011/relationships/chartStyle" Target="style70.xm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file:////Users\user\Desktop\ACQ1_Section%202%20to%207%20from%20FESTO.xlsx" TargetMode="External"/></Relationships>
</file>

<file path=word/charts/_rels/chart150.xml.rels><?xml version="1.0" encoding="UTF-8" standalone="yes"?>
<Relationships xmlns="http://schemas.openxmlformats.org/package/2006/relationships"><Relationship Id="rId3" Type="http://schemas.openxmlformats.org/officeDocument/2006/relationships/oleObject" Target="Book53" TargetMode="External"/><Relationship Id="rId2" Type="http://schemas.microsoft.com/office/2011/relationships/chartColorStyle" Target="colors71.xml"/><Relationship Id="rId1" Type="http://schemas.microsoft.com/office/2011/relationships/chartStyle" Target="style71.xml"/></Relationships>
</file>

<file path=word/charts/_rels/chart151.xml.rels><?xml version="1.0" encoding="UTF-8" standalone="yes"?>
<Relationships xmlns="http://schemas.openxmlformats.org/package/2006/relationships"><Relationship Id="rId3" Type="http://schemas.openxmlformats.org/officeDocument/2006/relationships/oleObject" Target="Book53" TargetMode="External"/><Relationship Id="rId2" Type="http://schemas.microsoft.com/office/2011/relationships/chartColorStyle" Target="colors72.xml"/><Relationship Id="rId1" Type="http://schemas.microsoft.com/office/2011/relationships/chartStyle" Target="style72.xml"/></Relationships>
</file>

<file path=word/charts/_rels/chart152.xml.rels><?xml version="1.0" encoding="UTF-8" standalone="yes"?>
<Relationships xmlns="http://schemas.openxmlformats.org/package/2006/relationships"><Relationship Id="rId3" Type="http://schemas.openxmlformats.org/officeDocument/2006/relationships/oleObject" Target="Book53" TargetMode="External"/><Relationship Id="rId2" Type="http://schemas.microsoft.com/office/2011/relationships/chartColorStyle" Target="colors73.xml"/><Relationship Id="rId1" Type="http://schemas.microsoft.com/office/2011/relationships/chartStyle" Target="style73.xml"/></Relationships>
</file>

<file path=word/charts/_rels/chart153.xml.rels><?xml version="1.0" encoding="UTF-8" standalone="yes"?>
<Relationships xmlns="http://schemas.openxmlformats.org/package/2006/relationships"><Relationship Id="rId3" Type="http://schemas.openxmlformats.org/officeDocument/2006/relationships/oleObject" Target="Book53" TargetMode="External"/><Relationship Id="rId2" Type="http://schemas.microsoft.com/office/2011/relationships/chartColorStyle" Target="colors74.xml"/><Relationship Id="rId1" Type="http://schemas.microsoft.com/office/2011/relationships/chartStyle" Target="style74.xml"/></Relationships>
</file>

<file path=word/charts/_rels/chart154.xml.rels><?xml version="1.0" encoding="UTF-8" standalone="yes"?>
<Relationships xmlns="http://schemas.openxmlformats.org/package/2006/relationships"><Relationship Id="rId3" Type="http://schemas.openxmlformats.org/officeDocument/2006/relationships/themeOverride" Target="../theme/themeOverride126.xml"/><Relationship Id="rId2" Type="http://schemas.microsoft.com/office/2011/relationships/chartColorStyle" Target="colors75.xml"/><Relationship Id="rId1" Type="http://schemas.microsoft.com/office/2011/relationships/chartStyle" Target="style75.xml"/><Relationship Id="rId4" Type="http://schemas.openxmlformats.org/officeDocument/2006/relationships/oleObject" Target="file:////C:\Users\hp\Desktop\NBS%202020\NSCA%202019_20%20DAR%20ES%20SALAAM\ACQ1_section_23_Livestock%20Pest%20Controlxlsx%20updated%20on%2023.06%202021.xlsx" TargetMode="External"/></Relationships>
</file>

<file path=word/charts/_rels/chart155.xml.rels><?xml version="1.0" encoding="UTF-8" standalone="yes"?>
<Relationships xmlns="http://schemas.openxmlformats.org/package/2006/relationships"><Relationship Id="rId3" Type="http://schemas.openxmlformats.org/officeDocument/2006/relationships/themeOverride" Target="../theme/themeOverride127.xml"/><Relationship Id="rId2" Type="http://schemas.microsoft.com/office/2011/relationships/chartColorStyle" Target="colors76.xml"/><Relationship Id="rId1" Type="http://schemas.microsoft.com/office/2011/relationships/chartStyle" Target="style76.xml"/><Relationship Id="rId4" Type="http://schemas.openxmlformats.org/officeDocument/2006/relationships/oleObject" Target="file:////C:\Users\hp\Desktop\NBS%202020\NSCA%202019_20%20DAR%20ES%20SALAAM\cattle_goats_sheep_pigs_14062021\ACQ1_section_23_Livestock%20Pest%20Controlxlsx%20updated%20on%2023.06%202021%20and%20used%20for%20vaccination%20graphs.xls" TargetMode="External"/></Relationships>
</file>

<file path=word/charts/_rels/chart156.xml.rels><?xml version="1.0" encoding="UTF-8" standalone="yes"?>
<Relationships xmlns="http://schemas.openxmlformats.org/package/2006/relationships"><Relationship Id="rId2" Type="http://schemas.openxmlformats.org/officeDocument/2006/relationships/oleObject" Target="file:////C:\Users\hp\Desktop\NBS%202020\NSCA%202019_20%20DAR%20ES%20SALAAM\ACQ1_section_23_Livestock%20Pest%20Controlxlsx%20updated%20on%2023.06%202021.xlsx" TargetMode="External"/><Relationship Id="rId1" Type="http://schemas.openxmlformats.org/officeDocument/2006/relationships/themeOverride" Target="../theme/themeOverride128.xml"/></Relationships>
</file>

<file path=word/charts/_rels/chart157.xml.rels><?xml version="1.0" encoding="UTF-8" standalone="yes"?>
<Relationships xmlns="http://schemas.openxmlformats.org/package/2006/relationships"><Relationship Id="rId3" Type="http://schemas.openxmlformats.org/officeDocument/2006/relationships/oleObject" Target="file:////Users\user\Desktop\Book1.xlsx" TargetMode="External"/><Relationship Id="rId2" Type="http://schemas.microsoft.com/office/2011/relationships/chartColorStyle" Target="colors77.xml"/><Relationship Id="rId1" Type="http://schemas.microsoft.com/office/2011/relationships/chartStyle" Target="style77.xml"/></Relationships>
</file>

<file path=word/charts/_rels/chart158.xml.rels><?xml version="1.0" encoding="UTF-8" standalone="yes"?>
<Relationships xmlns="http://schemas.openxmlformats.org/package/2006/relationships"><Relationship Id="rId3" Type="http://schemas.openxmlformats.org/officeDocument/2006/relationships/themeOverride" Target="../theme/themeOverride129.xml"/><Relationship Id="rId2" Type="http://schemas.microsoft.com/office/2011/relationships/chartColorStyle" Target="colors78.xml"/><Relationship Id="rId1" Type="http://schemas.microsoft.com/office/2011/relationships/chartStyle" Target="style78.xml"/><Relationship Id="rId4" Type="http://schemas.openxmlformats.org/officeDocument/2006/relationships/oleObject" Target="file:////C:\Users\hp\Desktop\NBS%202020\NSCA%202019_20%20DAR%20ES%20SALAAM\ACQ1_section_23_Livestock%20Pest%20Controlxlsx%20updated%20on%2023.06%202021.xlsx" TargetMode="External"/></Relationships>
</file>

<file path=word/charts/_rels/chart159.xml.rels><?xml version="1.0" encoding="UTF-8" standalone="yes"?>
<Relationships xmlns="http://schemas.openxmlformats.org/package/2006/relationships"><Relationship Id="rId3" Type="http://schemas.openxmlformats.org/officeDocument/2006/relationships/oleObject" Target="file:////Users\user\Documents\NBS\AGRI%20CENSUS%20DOC\202021\Report%20Writing\FINAL%20REPORT%20SEPT%202021\Figure%204.47.xlsx" TargetMode="External"/><Relationship Id="rId2" Type="http://schemas.microsoft.com/office/2011/relationships/chartColorStyle" Target="colors79.xml"/><Relationship Id="rId1" Type="http://schemas.microsoft.com/office/2011/relationships/chartStyle" Target="style79.xml"/></Relationships>
</file>

<file path=word/charts/_rels/chart16.xml.rels><?xml version="1.0" encoding="UTF-8" standalone="yes"?>
<Relationships xmlns="http://schemas.openxmlformats.org/package/2006/relationships"><Relationship Id="rId3" Type="http://schemas.openxmlformats.org/officeDocument/2006/relationships/oleObject" Target="file:////Users\user\Documents\NBS\AGRI%20CENSUS%20DOC\202021\Report%20Writing\FINAL%20REPORT_JULY%202021\ZERO%20Draft%20report\Draft%20from%20Groups%202021\Figure%20mpya.xlsx" TargetMode="External"/><Relationship Id="rId2" Type="http://schemas.microsoft.com/office/2011/relationships/chartColorStyle" Target="colors16.xml"/><Relationship Id="rId1" Type="http://schemas.microsoft.com/office/2011/relationships/chartStyle" Target="style16.xml"/></Relationships>
</file>

<file path=word/charts/_rels/chart160.xml.rels><?xml version="1.0" encoding="UTF-8" standalone="yes"?>
<Relationships xmlns="http://schemas.openxmlformats.org/package/2006/relationships"><Relationship Id="rId3" Type="http://schemas.openxmlformats.org/officeDocument/2006/relationships/themeOverride" Target="../theme/themeOverride130.xml"/><Relationship Id="rId2" Type="http://schemas.microsoft.com/office/2011/relationships/chartColorStyle" Target="colors80.xml"/><Relationship Id="rId1" Type="http://schemas.microsoft.com/office/2011/relationships/chartStyle" Target="style80.xml"/><Relationship Id="rId4" Type="http://schemas.openxmlformats.org/officeDocument/2006/relationships/oleObject" Target="file:////C:\Users\hp\Desktop\NBS%202020\NSCA%202019_20%20DAR%20ES%20SALAAM\ACQ1_section_23_Livestock%20Pest%20Controlxlsx%20updated%20on%2023.06%202021.xlsx" TargetMode="External"/></Relationships>
</file>

<file path=word/charts/_rels/chart161.xml.rels><?xml version="1.0" encoding="UTF-8" standalone="yes"?>
<Relationships xmlns="http://schemas.openxmlformats.org/package/2006/relationships"><Relationship Id="rId3" Type="http://schemas.openxmlformats.org/officeDocument/2006/relationships/themeOverride" Target="../theme/themeOverride131.xml"/><Relationship Id="rId2" Type="http://schemas.microsoft.com/office/2011/relationships/chartColorStyle" Target="colors81.xml"/><Relationship Id="rId1" Type="http://schemas.microsoft.com/office/2011/relationships/chartStyle" Target="style81.xml"/><Relationship Id="rId4" Type="http://schemas.openxmlformats.org/officeDocument/2006/relationships/oleObject" Target="file:////C:\Users\hp\Desktop\NBS%202020\NSCA%202019_20%20DAR%20ES%20SALAAM\cattle_goats_sheep_pigs_14062021\ACQ1_section_23_Livestock%20Pest%20Controlxlsx%20updated%20on%2023.06%202021%20and%20used%20for%20vaccination%20graphs.xlsx" TargetMode="External"/></Relationships>
</file>

<file path=word/charts/_rels/chart162.xml.rels><?xml version="1.0" encoding="UTF-8" standalone="yes"?>
<Relationships xmlns="http://schemas.openxmlformats.org/package/2006/relationships"><Relationship Id="rId3" Type="http://schemas.openxmlformats.org/officeDocument/2006/relationships/themeOverride" Target="../theme/themeOverride132.xml"/><Relationship Id="rId2" Type="http://schemas.microsoft.com/office/2011/relationships/chartColorStyle" Target="colors82.xml"/><Relationship Id="rId1" Type="http://schemas.microsoft.com/office/2011/relationships/chartStyle" Target="style82.xml"/><Relationship Id="rId4" Type="http://schemas.openxmlformats.org/officeDocument/2006/relationships/oleObject" Target="file:////C:\Users\hp\Desktop\NBS%202020\NSCA%202019_20%20DAR%20ES%20SALAAM\ACQ1_section_23_Livestock%20Pest%20Controlxlsx%20updated%20on%2023.06%202021.xlsx" TargetMode="External"/></Relationships>
</file>

<file path=word/charts/_rels/chart163.xml.rels><?xml version="1.0" encoding="UTF-8" standalone="yes"?>
<Relationships xmlns="http://schemas.openxmlformats.org/package/2006/relationships"><Relationship Id="rId3" Type="http://schemas.openxmlformats.org/officeDocument/2006/relationships/oleObject" Target="file:////Users\user\Documents\NBS\AGRI%20CENSUS%20DOC\202021\Report%20Writing\FINAL%20REPORT_JULY%202021\ZERO%20Draft%20report\Draft%20from%20Groups%202021\Source%20of%20Vaccine%20for%20Cattle_Chair.xlsx" TargetMode="External"/><Relationship Id="rId2" Type="http://schemas.microsoft.com/office/2011/relationships/chartColorStyle" Target="colors83.xml"/><Relationship Id="rId1" Type="http://schemas.microsoft.com/office/2011/relationships/chartStyle" Target="style83.xml"/></Relationships>
</file>

<file path=word/charts/_rels/chart164.xml.rels><?xml version="1.0" encoding="UTF-8" standalone="yes"?>
<Relationships xmlns="http://schemas.openxmlformats.org/package/2006/relationships"><Relationship Id="rId3" Type="http://schemas.openxmlformats.org/officeDocument/2006/relationships/themeOverride" Target="../theme/themeOverride133.xml"/><Relationship Id="rId2" Type="http://schemas.microsoft.com/office/2011/relationships/chartColorStyle" Target="colors84.xml"/><Relationship Id="rId1" Type="http://schemas.microsoft.com/office/2011/relationships/chartStyle" Target="style84.xml"/><Relationship Id="rId4" Type="http://schemas.openxmlformats.org/officeDocument/2006/relationships/oleObject" Target="file:////C:\Users\hp\Desktop\NBS%202020\NSCA%202019_20%20DAR%20ES%20SALAAM\cattle_goats_sheep_pigs_14062021\ACQ1_section_23_Livestock%20Pest%20Controlxlsx%20CONTROL%20METHODS.xls" TargetMode="External"/></Relationships>
</file>

<file path=word/charts/_rels/chart165.xml.rels><?xml version="1.0" encoding="UTF-8" standalone="yes"?>
<Relationships xmlns="http://schemas.openxmlformats.org/package/2006/relationships"><Relationship Id="rId3" Type="http://schemas.openxmlformats.org/officeDocument/2006/relationships/themeOverride" Target="../theme/themeOverride134.xml"/><Relationship Id="rId2" Type="http://schemas.microsoft.com/office/2011/relationships/chartColorStyle" Target="colors85.xml"/><Relationship Id="rId1" Type="http://schemas.microsoft.com/office/2011/relationships/chartStyle" Target="style85.xml"/><Relationship Id="rId4" Type="http://schemas.openxmlformats.org/officeDocument/2006/relationships/oleObject" Target="file:////C:\Users\hp\Desktop\NBS%202020\NSCA%202019_20%20DAR%20ES%20SALAAM\cattle_goats_sheep_pigs_14062021\ACQ1_section_23_Livestock%20Pest%20Controlxlsx%20CONTROL%20METHODS.xls" TargetMode="External"/></Relationships>
</file>

<file path=word/charts/_rels/chart166.xml.rels><?xml version="1.0" encoding="UTF-8" standalone="yes"?>
<Relationships xmlns="http://schemas.openxmlformats.org/package/2006/relationships"><Relationship Id="rId3" Type="http://schemas.openxmlformats.org/officeDocument/2006/relationships/themeOverride" Target="../theme/themeOverride135.xml"/><Relationship Id="rId2" Type="http://schemas.microsoft.com/office/2011/relationships/chartColorStyle" Target="colors86.xml"/><Relationship Id="rId1" Type="http://schemas.microsoft.com/office/2011/relationships/chartStyle" Target="style86.xml"/><Relationship Id="rId4" Type="http://schemas.openxmlformats.org/officeDocument/2006/relationships/oleObject" Target="file:////C:\Users\hp\Desktop\NBS%202020\NSCA%202019_20%20DAR%20ES%20SALAAM\cattle_goats_sheep_pigs_14062021\ACQ1_section_23_Livestock%20Pest%20Controlxlsx%20CONTROL%20METHODS.xlsx" TargetMode="External"/></Relationships>
</file>

<file path=word/charts/_rels/chart167.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136.xml"/></Relationships>
</file>

<file path=word/charts/_rels/chart168.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137.xml"/></Relationships>
</file>

<file path=word/charts/_rels/chart169.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87.xml"/><Relationship Id="rId1" Type="http://schemas.microsoft.com/office/2011/relationships/chartStyle" Target="style87.xm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file:////Users\user\Desktop\ACQ1_Section%202%20to%207%20from%20FESTO.xlsx" TargetMode="External"/></Relationships>
</file>

<file path=word/charts/_rels/chart170.xml.rels><?xml version="1.0" encoding="UTF-8" standalone="yes"?>
<Relationships xmlns="http://schemas.openxmlformats.org/package/2006/relationships"><Relationship Id="rId3" Type="http://schemas.openxmlformats.org/officeDocument/2006/relationships/themeOverride" Target="../theme/themeOverride138.xml"/><Relationship Id="rId2" Type="http://schemas.microsoft.com/office/2011/relationships/chartColorStyle" Target="colors88.xml"/><Relationship Id="rId1" Type="http://schemas.microsoft.com/office/2011/relationships/chartStyle" Target="style88.xml"/><Relationship Id="rId4" Type="http://schemas.openxmlformats.org/officeDocument/2006/relationships/oleObject" Target="file:////Users\user\Documents\NBS\AGRI%20CENSUS%20DOC\202021\Report%20Writing\FINAL%20REPORT_JULY%202021\ZERO%20Draft%20report\Draft%20from%20Groups%202021\AMBILIKILE\FISH-%20EXTENSION%20AND%20BEE%20KEEPING%20EXCEL\Received%20exte_excel\ACQ1_Section_28%20extension_services.xlsx" TargetMode="External"/></Relationships>
</file>

<file path=word/charts/_rels/chart171.xml.rels><?xml version="1.0" encoding="UTF-8" standalone="yes"?>
<Relationships xmlns="http://schemas.openxmlformats.org/package/2006/relationships"><Relationship Id="rId3" Type="http://schemas.openxmlformats.org/officeDocument/2006/relationships/themeOverride" Target="../theme/themeOverride139.xml"/><Relationship Id="rId2" Type="http://schemas.microsoft.com/office/2011/relationships/chartColorStyle" Target="colors89.xml"/><Relationship Id="rId1" Type="http://schemas.microsoft.com/office/2011/relationships/chartStyle" Target="style89.xml"/><Relationship Id="rId4" Type="http://schemas.openxmlformats.org/officeDocument/2006/relationships/oleObject" Target="file:////Users\user\Documents\NBS\AGRI%20CENSUS%20DOC\202021\Report%20Writing\FINAL%20REPORT_JULY%202021\ZERO%20Draft%20report\Draft%20from%20Groups%202021\AMBILIKILE\FISH-%20EXTENSION%20AND%20BEE%20KEEPING%20EXCEL\Received%20exte_excel\ACQ1_Section_28%20extension_services.xlsx" TargetMode="External"/></Relationships>
</file>

<file path=word/charts/_rels/chart172.xml.rels><?xml version="1.0" encoding="UTF-8" standalone="yes"?>
<Relationships xmlns="http://schemas.openxmlformats.org/package/2006/relationships"><Relationship Id="rId2" Type="http://schemas.openxmlformats.org/officeDocument/2006/relationships/package" Target="../embeddings/Microsoft_Excel_Worksheet26.xlsx"/><Relationship Id="rId1" Type="http://schemas.openxmlformats.org/officeDocument/2006/relationships/themeOverride" Target="../theme/themeOverride140.xml"/></Relationships>
</file>

<file path=word/charts/_rels/chart173.xml.rels><?xml version="1.0" encoding="UTF-8" standalone="yes"?>
<Relationships xmlns="http://schemas.openxmlformats.org/package/2006/relationships"><Relationship Id="rId2" Type="http://schemas.openxmlformats.org/officeDocument/2006/relationships/package" Target="../embeddings/Microsoft_Excel_Worksheet27.xlsx"/><Relationship Id="rId1" Type="http://schemas.openxmlformats.org/officeDocument/2006/relationships/themeOverride" Target="../theme/themeOverride141.xml"/></Relationships>
</file>

<file path=word/charts/_rels/chart174.xml.rels><?xml version="1.0" encoding="UTF-8" standalone="yes"?>
<Relationships xmlns="http://schemas.openxmlformats.org/package/2006/relationships"><Relationship Id="rId2" Type="http://schemas.openxmlformats.org/officeDocument/2006/relationships/package" Target="../embeddings/Microsoft_Excel_Worksheet28.xlsx"/><Relationship Id="rId1" Type="http://schemas.openxmlformats.org/officeDocument/2006/relationships/themeOverride" Target="../theme/themeOverride142.xml"/></Relationships>
</file>

<file path=word/charts/_rels/chart175.xml.rels><?xml version="1.0" encoding="UTF-8" standalone="yes"?>
<Relationships xmlns="http://schemas.openxmlformats.org/package/2006/relationships"><Relationship Id="rId2" Type="http://schemas.openxmlformats.org/officeDocument/2006/relationships/package" Target="../embeddings/Microsoft_Excel_Worksheet29.xlsx"/><Relationship Id="rId1" Type="http://schemas.openxmlformats.org/officeDocument/2006/relationships/themeOverride" Target="../theme/themeOverride143.xml"/></Relationships>
</file>

<file path=word/charts/_rels/chart176.xml.rels><?xml version="1.0" encoding="UTF-8" standalone="yes"?>
<Relationships xmlns="http://schemas.openxmlformats.org/package/2006/relationships"><Relationship Id="rId2" Type="http://schemas.openxmlformats.org/officeDocument/2006/relationships/package" Target="../embeddings/Microsoft_Excel_Worksheet30.xlsx"/><Relationship Id="rId1" Type="http://schemas.openxmlformats.org/officeDocument/2006/relationships/themeOverride" Target="../theme/themeOverride144.xml"/></Relationships>
</file>

<file path=word/charts/_rels/chart177.xml.rels><?xml version="1.0" encoding="UTF-8" standalone="yes"?>
<Relationships xmlns="http://schemas.openxmlformats.org/package/2006/relationships"><Relationship Id="rId2" Type="http://schemas.openxmlformats.org/officeDocument/2006/relationships/package" Target="../embeddings/Microsoft_Excel_Worksheet31.xlsx"/><Relationship Id="rId1" Type="http://schemas.openxmlformats.org/officeDocument/2006/relationships/themeOverride" Target="../theme/themeOverride145.xml"/></Relationships>
</file>

<file path=word/charts/_rels/chart178.xml.rels><?xml version="1.0" encoding="UTF-8" standalone="yes"?>
<Relationships xmlns="http://schemas.openxmlformats.org/package/2006/relationships"><Relationship Id="rId2" Type="http://schemas.openxmlformats.org/officeDocument/2006/relationships/package" Target="../embeddings/Microsoft_Excel_Worksheet32.xlsx"/><Relationship Id="rId1" Type="http://schemas.openxmlformats.org/officeDocument/2006/relationships/themeOverride" Target="../theme/themeOverride146.xml"/></Relationships>
</file>

<file path=word/charts/_rels/chart179.xml.rels><?xml version="1.0" encoding="UTF-8" standalone="yes"?>
<Relationships xmlns="http://schemas.openxmlformats.org/package/2006/relationships"><Relationship Id="rId1" Type="http://schemas.openxmlformats.org/officeDocument/2006/relationships/package" Target="../embeddings/Microsoft_Excel_Worksheet33.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file:////Users\user\Desktop\ACQ1_Section%202%20to%207%20from%20FESTO.xlsx" TargetMode="External"/></Relationships>
</file>

<file path=word/charts/_rels/chart180.xml.rels><?xml version="1.0" encoding="UTF-8" standalone="yes"?>
<Relationships xmlns="http://schemas.openxmlformats.org/package/2006/relationships"><Relationship Id="rId1" Type="http://schemas.openxmlformats.org/officeDocument/2006/relationships/package" Target="../embeddings/Microsoft_Excel_Worksheet34.xlsx"/></Relationships>
</file>

<file path=word/charts/_rels/chart181.xml.rels><?xml version="1.0" encoding="UTF-8" standalone="yes"?>
<Relationships xmlns="http://schemas.openxmlformats.org/package/2006/relationships"><Relationship Id="rId2" Type="http://schemas.openxmlformats.org/officeDocument/2006/relationships/oleObject" Target="file:////Users\user\Documents\NBS\AGRI%20CENSUS%20DOC\202021\Report%20Writing\FINAL%20REPORT_JULY%202021\ZERO%20Draft%20report\Draft%20from%20Groups%202021\AMBILIKILE\FISH%20FARMING%20AND%20-ADVICE%20ON%20%20EXTENSIO%20SERVICE_21July%202021.xls" TargetMode="External"/><Relationship Id="rId1" Type="http://schemas.openxmlformats.org/officeDocument/2006/relationships/themeOverride" Target="../theme/themeOverride147.xml"/></Relationships>
</file>

<file path=word/charts/_rels/chart182.xml.rels><?xml version="1.0" encoding="UTF-8" standalone="yes"?>
<Relationships xmlns="http://schemas.openxmlformats.org/package/2006/relationships"><Relationship Id="rId2" Type="http://schemas.openxmlformats.org/officeDocument/2006/relationships/oleObject" Target="file:////Users\user\Documents\NBS\AGRI%20CENSUS%20DOC\202021\Report%20Writing\FINAL%20REPORT_JULY%202021\ZERO%20Draft%20report\Draft%20from%20Groups%202021\AMBILIKILE\FISH%20FARMING%20AND%20-ADVICE%20ON%20%20EXTENSIO%20SERVICE_21July%202021.xls" TargetMode="External"/><Relationship Id="rId1" Type="http://schemas.openxmlformats.org/officeDocument/2006/relationships/themeOverride" Target="../theme/themeOverride148.xml"/></Relationships>
</file>

<file path=word/charts/_rels/chart183.xml.rels><?xml version="1.0" encoding="UTF-8" standalone="yes"?>
<Relationships xmlns="http://schemas.openxmlformats.org/package/2006/relationships"><Relationship Id="rId2" Type="http://schemas.openxmlformats.org/officeDocument/2006/relationships/oleObject" Target="file:////D:\WIZARA%20YA%20MIFUGO%20NA%20UVUVI\TAKWIMU\SENSA%20YA%20KILIMO-%20MIFUGO%20N%20UVUVI\REPORT%20WRITING\FINAL%20DATASET\TABLES%20AND%20CHARTS%20FOR%20REPORT%20ON%20FISH%20FARMING%20-%20EXTENSIO.xls" TargetMode="External"/><Relationship Id="rId1" Type="http://schemas.openxmlformats.org/officeDocument/2006/relationships/themeOverride" Target="../theme/themeOverride149.xml"/></Relationships>
</file>

<file path=word/charts/_rels/chart184.xml.rels><?xml version="1.0" encoding="UTF-8" standalone="yes"?>
<Relationships xmlns="http://schemas.openxmlformats.org/package/2006/relationships"><Relationship Id="rId2" Type="http://schemas.openxmlformats.org/officeDocument/2006/relationships/oleObject" Target="file:////D:\WIZARA%20YA%20MIFUGO%20NA%20UVUVI\TAKWIMU\SENSA%20YA%20KILIMO-%20MIFUGO%20N%20UVUVI\REPORT%20WRITING\FINAL%20DATASET\TABLES%20AND%20CHARTS%20FOR%20REPORT%20ON%20FISH%20FARMING%20-%20EXTENSIO.xls" TargetMode="External"/><Relationship Id="rId1" Type="http://schemas.openxmlformats.org/officeDocument/2006/relationships/themeOverride" Target="../theme/themeOverride150.xml"/></Relationships>
</file>

<file path=word/charts/_rels/chart185.xml.rels><?xml version="1.0" encoding="UTF-8" standalone="yes"?>
<Relationships xmlns="http://schemas.openxmlformats.org/package/2006/relationships"><Relationship Id="rId1" Type="http://schemas.openxmlformats.org/officeDocument/2006/relationships/oleObject" Target="file:////Users\user\Documents\NBS\AGRI%20CENSUS%20DOC\202021\Report%20Writing\FINAL%20REPORT_JULY%202021\ZERO%20Draft%20report\Draft%20from%20Groups%202021\AMBILIKILE\17_AUG%202021_FISH%20FARMING%20AND%20-ADVICE%20ON%20%20EXTENSIO%20SERVICE.xls" TargetMode="External"/></Relationships>
</file>

<file path=word/charts/_rels/chart186.xml.rels><?xml version="1.0" encoding="UTF-8" standalone="yes"?>
<Relationships xmlns="http://schemas.openxmlformats.org/package/2006/relationships"><Relationship Id="rId3" Type="http://schemas.openxmlformats.org/officeDocument/2006/relationships/oleObject" Target="file:////Users\user\Documents\NBS\AGRI%20CENSUS%20DOC\202021\Report%20Writing\FINAL%20REPORT_JULY%202021\ZERO%20Draft%20report\Draft%20from%20Groups%202021\AMBILIKILE\FISH%20FARMING%20AND%20-ADVICE%20ON%20%20EXTENSIO%20SERVICE_21July%202021.xls" TargetMode="External"/><Relationship Id="rId2" Type="http://schemas.microsoft.com/office/2011/relationships/chartColorStyle" Target="colors90.xml"/><Relationship Id="rId1" Type="http://schemas.microsoft.com/office/2011/relationships/chartStyle" Target="style90.xml"/></Relationships>
</file>

<file path=word/charts/_rels/chart187.xml.rels><?xml version="1.0" encoding="UTF-8" standalone="yes"?>
<Relationships xmlns="http://schemas.openxmlformats.org/package/2006/relationships"><Relationship Id="rId3" Type="http://schemas.openxmlformats.org/officeDocument/2006/relationships/oleObject" Target="file:////Users\user\Documents\NBS\AGRI%20CENSUS%20DOC\202021\Report%20Writing\FINAL%20REPORT_JULY%202021\ZERO%20Draft%20report\Draft%20from%20Groups%202021\AMBILIKILE\FISH%20FARMING%20AND%20-ADVICE%20ON%20%20EXTENSIO%20SERVICE_21July%202021.xls" TargetMode="External"/><Relationship Id="rId2" Type="http://schemas.microsoft.com/office/2011/relationships/chartColorStyle" Target="colors91.xml"/><Relationship Id="rId1" Type="http://schemas.microsoft.com/office/2011/relationships/chartStyle" Target="style91.xml"/></Relationships>
</file>

<file path=word/charts/_rels/chart188.xml.rels><?xml version="1.0" encoding="UTF-8" standalone="yes"?>
<Relationships xmlns="http://schemas.openxmlformats.org/package/2006/relationships"><Relationship Id="rId3" Type="http://schemas.openxmlformats.org/officeDocument/2006/relationships/themeOverride" Target="../theme/themeOverride151.xml"/><Relationship Id="rId2" Type="http://schemas.microsoft.com/office/2011/relationships/chartColorStyle" Target="colors92.xml"/><Relationship Id="rId1" Type="http://schemas.microsoft.com/office/2011/relationships/chartStyle" Target="style92.xml"/><Relationship Id="rId4" Type="http://schemas.openxmlformats.org/officeDocument/2006/relationships/oleObject" Target="file:////D:\WIZARA%20YA%20MIFUGO%20NA%20UVUVI\TAKWIMU\SENSA%20YA%20KILIMO-%20MIFUGO%20N%20UVUVI\REPORT%20WRITING\FINAL%20DATASET\PRESENTATION\FISH-%20EXTENSION%20AND%20BEE%20KEEPING%20EXCEL\FISH%20FARMING%20AND%20-ADVICE%20ON%20%20EXTENSIO%20SERVICE.xls" TargetMode="External"/></Relationships>
</file>

<file path=word/charts/_rels/chart189.xml.rels><?xml version="1.0" encoding="UTF-8" standalone="yes"?>
<Relationships xmlns="http://schemas.openxmlformats.org/package/2006/relationships"><Relationship Id="rId3" Type="http://schemas.openxmlformats.org/officeDocument/2006/relationships/themeOverride" Target="../theme/themeOverride152.xml"/><Relationship Id="rId2" Type="http://schemas.microsoft.com/office/2011/relationships/chartColorStyle" Target="colors93.xml"/><Relationship Id="rId1" Type="http://schemas.microsoft.com/office/2011/relationships/chartStyle" Target="style93.xml"/><Relationship Id="rId4" Type="http://schemas.openxmlformats.org/officeDocument/2006/relationships/oleObject" Target="file:////D:\WIZARA%20YA%20MIFUGO%20NA%20UVUVI\TAKWIMU\SENSA%20YA%20KILIMO-%20MIFUGO%20N%20UVUVI\REPORT%20WRITING\FINAL%20DATASET\PRESENTATION\FISH-%20EXTENSION%20AND%20BEE%20KEEPING%20EXCEL\FISH%20FARMING%20AND%20-ADVICE%20ON%20%20EXTENSIO%20SERVICE.xls" TargetMode="External"/></Relationships>
</file>

<file path=word/charts/_rels/chart19.xml.rels><?xml version="1.0" encoding="UTF-8" standalone="yes"?>
<Relationships xmlns="http://schemas.openxmlformats.org/package/2006/relationships"><Relationship Id="rId2" Type="http://schemas.openxmlformats.org/officeDocument/2006/relationships/oleObject" Target="file:////C:\Users\USAID\Desktop\2019-20%20NSCA%20Draft%20Report\Materials%20used%20to%20prepare%202019-20%20NSCA%20Draft%20Report\Tables%20&amp;%20Figures%20for%20Draft%20report%20-%20SORT.xlsx" TargetMode="External"/><Relationship Id="rId1" Type="http://schemas.openxmlformats.org/officeDocument/2006/relationships/themeOverride" Target="../theme/themeOverride16.xml"/></Relationships>
</file>

<file path=word/charts/_rels/chart190.xml.rels><?xml version="1.0" encoding="UTF-8" standalone="yes"?>
<Relationships xmlns="http://schemas.openxmlformats.org/package/2006/relationships"><Relationship Id="rId3" Type="http://schemas.openxmlformats.org/officeDocument/2006/relationships/package" Target="../embeddings/Microsoft_Excel_Worksheet35.xlsx"/><Relationship Id="rId2" Type="http://schemas.microsoft.com/office/2011/relationships/chartColorStyle" Target="colors94.xml"/><Relationship Id="rId1" Type="http://schemas.microsoft.com/office/2011/relationships/chartStyle" Target="style94.xml"/></Relationships>
</file>

<file path=word/charts/_rels/chart191.xml.rels><?xml version="1.0" encoding="UTF-8" standalone="yes"?>
<Relationships xmlns="http://schemas.openxmlformats.org/package/2006/relationships"><Relationship Id="rId3" Type="http://schemas.openxmlformats.org/officeDocument/2006/relationships/oleObject" Target="file:////Users\user\Documents\NBS\AGRI%20CENSUS%20DOC\202021\Report%20Writing\FINAL%20REPORT_JULY%202021\ZERO%20Draft%20report\Draft%20from%20Groups%202021\AMBILIKILE\FISH-%20EXTENSION%20AND%20BEE%20KEEPING%20EXCEL\bee%20keeping\Section_28%20BeeKeeping.xlsx" TargetMode="External"/><Relationship Id="rId2" Type="http://schemas.microsoft.com/office/2011/relationships/chartColorStyle" Target="colors95.xml"/><Relationship Id="rId1" Type="http://schemas.microsoft.com/office/2011/relationships/chartStyle" Target="style95.xml"/></Relationships>
</file>

<file path=word/charts/_rels/chart192.xml.rels><?xml version="1.0" encoding="UTF-8" standalone="yes"?>
<Relationships xmlns="http://schemas.openxmlformats.org/package/2006/relationships"><Relationship Id="rId3" Type="http://schemas.openxmlformats.org/officeDocument/2006/relationships/oleObject" Target="file:////Users\user\Documents\NBS\AGRI%20CENSUS%20DOC\202021\Report%20Writing\FINAL%20REPORT_JULY%202021\ZERO%20Draft%20report\Draft%20from%20Groups%202021\AMBILIKILE\FISH-%20EXTENSION%20AND%20BEE%20KEEPING%20EXCEL\bee%20keeping\Section_28%20BeeKeeping.xlsx" TargetMode="External"/><Relationship Id="rId2" Type="http://schemas.microsoft.com/office/2011/relationships/chartColorStyle" Target="colors96.xml"/><Relationship Id="rId1" Type="http://schemas.microsoft.com/office/2011/relationships/chartStyle" Target="style96.xml"/></Relationships>
</file>

<file path=word/charts/_rels/chart193.xml.rels><?xml version="1.0" encoding="UTF-8" standalone="yes"?>
<Relationships xmlns="http://schemas.openxmlformats.org/package/2006/relationships"><Relationship Id="rId3" Type="http://schemas.openxmlformats.org/officeDocument/2006/relationships/oleObject" Target="file:////C:\Users\Genja\Desktop\LARGE_SCALE%20FARMS\02%20JUNE%202021\FORMATED%20TABLES\SSF_Tables%20Final%20July10%20(1)\SSF_Tables%20Final%20July10\Table%2028%20update%2020210808.xlsx" TargetMode="External"/><Relationship Id="rId2" Type="http://schemas.microsoft.com/office/2011/relationships/chartColorStyle" Target="colors97.xml"/><Relationship Id="rId1" Type="http://schemas.microsoft.com/office/2011/relationships/chartStyle" Target="style97.xml"/></Relationships>
</file>

<file path=word/charts/_rels/chart194.xml.rels><?xml version="1.0" encoding="UTF-8" standalone="yes"?>
<Relationships xmlns="http://schemas.openxmlformats.org/package/2006/relationships"><Relationship Id="rId3" Type="http://schemas.openxmlformats.org/officeDocument/2006/relationships/oleObject" Target="file:////C:\Users\Genja\Desktop\LARGE_SCALE%20FARMS\02%20JUNE%202021\FORMATED%20TABLES\SSF_Tables%20Final%20July10%20(1)\SSF_Tables%20Final%20July10\Table%2028%20update%2020210808.xlsx" TargetMode="External"/><Relationship Id="rId2" Type="http://schemas.microsoft.com/office/2011/relationships/chartColorStyle" Target="colors98.xml"/><Relationship Id="rId1" Type="http://schemas.microsoft.com/office/2011/relationships/chartStyle" Target="style98.xml"/></Relationships>
</file>

<file path=word/charts/_rels/chart195.xml.rels><?xml version="1.0" encoding="UTF-8" standalone="yes"?>
<Relationships xmlns="http://schemas.openxmlformats.org/package/2006/relationships"><Relationship Id="rId1" Type="http://schemas.openxmlformats.org/officeDocument/2006/relationships/oleObject" Target="file:////Users\user\Documents\NBS\AGRI%20CENSUS%20DOC\202021\Report%20Writing\FINAL%20REPORT_JULY%202021\GILA%20Copy%20of%20Sec28.xlsx" TargetMode="External"/></Relationships>
</file>

<file path=word/charts/_rels/chart196.xml.rels><?xml version="1.0" encoding="UTF-8" standalone="yes"?>
<Relationships xmlns="http://schemas.openxmlformats.org/package/2006/relationships"><Relationship Id="rId2" Type="http://schemas.openxmlformats.org/officeDocument/2006/relationships/package" Target="../embeddings/Microsoft_Excel_Worksheet36.xlsx"/><Relationship Id="rId1" Type="http://schemas.openxmlformats.org/officeDocument/2006/relationships/themeOverride" Target="../theme/themeOverride153.xml"/></Relationships>
</file>

<file path=word/charts/_rels/chart197.xml.rels><?xml version="1.0" encoding="UTF-8" standalone="yes"?>
<Relationships xmlns="http://schemas.openxmlformats.org/package/2006/relationships"><Relationship Id="rId3" Type="http://schemas.openxmlformats.org/officeDocument/2006/relationships/oleObject" Target="file:////Users\user\Documents\NBS\AGRI%20CENSUS%20DOC\202021\Report%20Writing\FINAL%20REPORT_JULY%202021\GILA%20Copy%20of%20Sec28.xlsx" TargetMode="External"/><Relationship Id="rId2" Type="http://schemas.microsoft.com/office/2011/relationships/chartColorStyle" Target="colors99.xml"/><Relationship Id="rId1" Type="http://schemas.microsoft.com/office/2011/relationships/chartStyle" Target="style99.xml"/></Relationships>
</file>

<file path=word/charts/_rels/chart198.xml.rels><?xml version="1.0" encoding="UTF-8" standalone="yes"?>
<Relationships xmlns="http://schemas.openxmlformats.org/package/2006/relationships"><Relationship Id="rId3" Type="http://schemas.openxmlformats.org/officeDocument/2006/relationships/themeOverride" Target="../theme/themeOverride154.xml"/><Relationship Id="rId2" Type="http://schemas.microsoft.com/office/2011/relationships/chartColorStyle" Target="colors100.xml"/><Relationship Id="rId1" Type="http://schemas.microsoft.com/office/2011/relationships/chartStyle" Target="style100.xml"/><Relationship Id="rId4" Type="http://schemas.openxmlformats.org/officeDocument/2006/relationships/oleObject" Target="file:////C:\Users\HP%20USER\Desktop\REPORT%20SECT%2013%20&amp;%2034\ACQ1_Section_13_Access%20and%20Use%20of%20Credits_ok.xlsx" TargetMode="External"/></Relationships>
</file>

<file path=word/charts/_rels/chart199.xml.rels><?xml version="1.0" encoding="UTF-8" standalone="yes"?>
<Relationships xmlns="http://schemas.openxmlformats.org/package/2006/relationships"><Relationship Id="rId3" Type="http://schemas.openxmlformats.org/officeDocument/2006/relationships/themeOverride" Target="../theme/themeOverride155.xml"/><Relationship Id="rId2" Type="http://schemas.microsoft.com/office/2011/relationships/chartColorStyle" Target="colors101.xml"/><Relationship Id="rId1" Type="http://schemas.microsoft.com/office/2011/relationships/chartStyle" Target="style101.xml"/><Relationship Id="rId4" Type="http://schemas.openxmlformats.org/officeDocument/2006/relationships/oleObject" Target="file:////C:\Users\HP%20USER\Desktop\REPORT%20SECT%2013%20&amp;%2034\ACQ1_Section_13_Access%20and%20Use%20of%20Credits_ok.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Users\user\Desktop\ACQ1_Section%202%20to%207%20from%20FESTO.xlsx" TargetMode="External"/></Relationships>
</file>

<file path=word/charts/_rels/chart20.xml.rels><?xml version="1.0" encoding="UTF-8" standalone="yes"?>
<Relationships xmlns="http://schemas.openxmlformats.org/package/2006/relationships"><Relationship Id="rId2" Type="http://schemas.openxmlformats.org/officeDocument/2006/relationships/oleObject" Target="file:////C:\Users\USAID\Desktop\2019-20%20NSCA%20Draft%20Report\Materials%20used%20to%20prepare%202019-20%20NSCA%20Draft%20Report\Tables%20&amp;%20Figures%20for%20Draft%20report%20-%20SORT.xlsx" TargetMode="External"/><Relationship Id="rId1" Type="http://schemas.openxmlformats.org/officeDocument/2006/relationships/themeOverride" Target="../theme/themeOverride17.xml"/></Relationships>
</file>

<file path=word/charts/_rels/chart200.xml.rels><?xml version="1.0" encoding="UTF-8" standalone="yes"?>
<Relationships xmlns="http://schemas.openxmlformats.org/package/2006/relationships"><Relationship Id="rId3" Type="http://schemas.openxmlformats.org/officeDocument/2006/relationships/themeOverride" Target="../theme/themeOverride156.xml"/><Relationship Id="rId2" Type="http://schemas.microsoft.com/office/2011/relationships/chartColorStyle" Target="colors102.xml"/><Relationship Id="rId1" Type="http://schemas.microsoft.com/office/2011/relationships/chartStyle" Target="style102.xml"/><Relationship Id="rId4" Type="http://schemas.openxmlformats.org/officeDocument/2006/relationships/oleObject" Target="file:////C:\Users\HP%20USER\Desktop\REPORT%20SECT%2013%20&amp;%2034\ACQ1_Section_13_Access%20and%20Use%20of%20Credits_ok.xlsx" TargetMode="External"/></Relationships>
</file>

<file path=word/charts/_rels/chart201.xml.rels><?xml version="1.0" encoding="UTF-8" standalone="yes"?>
<Relationships xmlns="http://schemas.openxmlformats.org/package/2006/relationships"><Relationship Id="rId3" Type="http://schemas.openxmlformats.org/officeDocument/2006/relationships/themeOverride" Target="../theme/themeOverride157.xml"/><Relationship Id="rId2" Type="http://schemas.microsoft.com/office/2011/relationships/chartColorStyle" Target="colors103.xml"/><Relationship Id="rId1" Type="http://schemas.microsoft.com/office/2011/relationships/chartStyle" Target="style103.xml"/><Relationship Id="rId4" Type="http://schemas.openxmlformats.org/officeDocument/2006/relationships/oleObject" Target="file:////C:\Users\HP%20USER\Desktop\REPORT%20SECT%2013%20&amp;%2034\ACQ1_Section_13_Access%20and%20Use%20of%20Credits_ok.xlsx" TargetMode="External"/></Relationships>
</file>

<file path=word/charts/_rels/chart202.xml.rels><?xml version="1.0" encoding="UTF-8" standalone="yes"?>
<Relationships xmlns="http://schemas.openxmlformats.org/package/2006/relationships"><Relationship Id="rId3" Type="http://schemas.openxmlformats.org/officeDocument/2006/relationships/oleObject" Target="file:////Users\user\Documents\NBS\AGRI%20CENSUS%20DOC\202021\Report%20Writing\FINAL%20REPORT_JULY%202021\NICO_ACQ1_Section_13_Access%20and%20Use%20of%20Credits_ok.xlsx" TargetMode="External"/><Relationship Id="rId2" Type="http://schemas.microsoft.com/office/2011/relationships/chartColorStyle" Target="colors104.xml"/><Relationship Id="rId1" Type="http://schemas.microsoft.com/office/2011/relationships/chartStyle" Target="style104.xml"/></Relationships>
</file>

<file path=word/charts/_rels/chart203.xml.rels><?xml version="1.0" encoding="UTF-8" standalone="yes"?>
<Relationships xmlns="http://schemas.openxmlformats.org/package/2006/relationships"><Relationship Id="rId3" Type="http://schemas.openxmlformats.org/officeDocument/2006/relationships/oleObject" Target="file:////Users\user\Documents\NBS\AGRI%20CENSUS%20DOC\202021\Report%20Writing\FINAL%20REPORT_JULY%202021\NICO_ACQ1_Section_13_Access%20and%20Use%20of%20Credits_ok.xlsx" TargetMode="External"/><Relationship Id="rId2" Type="http://schemas.microsoft.com/office/2011/relationships/chartColorStyle" Target="colors105.xml"/><Relationship Id="rId1" Type="http://schemas.microsoft.com/office/2011/relationships/chartStyle" Target="style105.xml"/></Relationships>
</file>

<file path=word/charts/_rels/chart204.xml.rels><?xml version="1.0" encoding="UTF-8" standalone="yes"?>
<Relationships xmlns="http://schemas.openxmlformats.org/package/2006/relationships"><Relationship Id="rId3" Type="http://schemas.openxmlformats.org/officeDocument/2006/relationships/oleObject" Target="file:////D:\WIZARA%20YA%20MIFUGO%20NA%20UVUVI\TAKWIMU\SENSA%20YA%20KILIMO-%20MIFUGO%20N%20UVUVI\REPORT%20WRITING\FINAL%20DATASET\JULAI%202021\Draft%20from%20Groups%202021\NICO\ACQ1_Section_13_Access%20and%20Use%20of%20Credits_ok%20%5b02Aug2021%5d.xlsx" TargetMode="External"/><Relationship Id="rId2" Type="http://schemas.microsoft.com/office/2011/relationships/chartColorStyle" Target="colors106.xml"/><Relationship Id="rId1" Type="http://schemas.microsoft.com/office/2011/relationships/chartStyle" Target="style106.xml"/></Relationships>
</file>

<file path=word/charts/_rels/chart205.xml.rels><?xml version="1.0" encoding="UTF-8" standalone="yes"?>
<Relationships xmlns="http://schemas.openxmlformats.org/package/2006/relationships"><Relationship Id="rId3" Type="http://schemas.openxmlformats.org/officeDocument/2006/relationships/oleObject" Target="file:////Users\user\Documents\NBS\AGRI%20CENSUS%20DOC\202021\Report%20Writing\FINAL%20REPORT_JULY%202021\NICO_ACQ1_Section_34_Poverty%20Indicators%20at%20Household%20Levels_ok.xlsx" TargetMode="External"/><Relationship Id="rId2" Type="http://schemas.microsoft.com/office/2011/relationships/chartColorStyle" Target="colors107.xml"/><Relationship Id="rId1" Type="http://schemas.microsoft.com/office/2011/relationships/chartStyle" Target="style107.xml"/></Relationships>
</file>

<file path=word/charts/_rels/chart206.xml.rels><?xml version="1.0" encoding="UTF-8" standalone="yes"?>
<Relationships xmlns="http://schemas.openxmlformats.org/package/2006/relationships"><Relationship Id="rId3" Type="http://schemas.openxmlformats.org/officeDocument/2006/relationships/oleObject" Target="file:////Users\user\Documents\NBS\AGRI%20CENSUS%20DOC\202021\Report%20Writing\FINAL%20REPORT_JULY%202021\NICO_ACQ1_Section_34_Poverty%20Indicators%20at%20Household%20Levels_ok.xlsx" TargetMode="External"/><Relationship Id="rId2" Type="http://schemas.microsoft.com/office/2011/relationships/chartColorStyle" Target="colors108.xml"/><Relationship Id="rId1" Type="http://schemas.microsoft.com/office/2011/relationships/chartStyle" Target="style108.xml"/></Relationships>
</file>

<file path=word/charts/_rels/chart207.xml.rels><?xml version="1.0" encoding="UTF-8" standalone="yes"?>
<Relationships xmlns="http://schemas.openxmlformats.org/package/2006/relationships"><Relationship Id="rId3" Type="http://schemas.openxmlformats.org/officeDocument/2006/relationships/oleObject" Target="file:////Users\user\Documents\NBS\AGRI%20CENSUS%20DOC\202021\Report%20Writing\FINAL%20REPORT_JULY%202021\NICO_ACQ1_Section_34_Poverty%20Indicators%20at%20Household%20Levels_ok.xlsx" TargetMode="External"/><Relationship Id="rId2" Type="http://schemas.microsoft.com/office/2011/relationships/chartColorStyle" Target="colors109.xml"/><Relationship Id="rId1" Type="http://schemas.microsoft.com/office/2011/relationships/chartStyle" Target="style109.xml"/></Relationships>
</file>

<file path=word/charts/_rels/chart208.xml.rels><?xml version="1.0" encoding="UTF-8" standalone="yes"?>
<Relationships xmlns="http://schemas.openxmlformats.org/package/2006/relationships"><Relationship Id="rId3" Type="http://schemas.openxmlformats.org/officeDocument/2006/relationships/oleObject" Target="file:////Users\user\Documents\NBS\AGRI%20CENSUS%20DOC\202021\Report%20Writing\FINAL%20REPORT_JULY%202021\NICO_ACQ1_Section_34_Poverty%20Indicators%20at%20Household%20Levels_ok.xlsx" TargetMode="External"/><Relationship Id="rId2" Type="http://schemas.microsoft.com/office/2011/relationships/chartColorStyle" Target="colors110.xml"/><Relationship Id="rId1" Type="http://schemas.microsoft.com/office/2011/relationships/chartStyle" Target="style110.xml"/></Relationships>
</file>

<file path=word/charts/_rels/chart21.xml.rels><?xml version="1.0" encoding="UTF-8" standalone="yes"?>
<Relationships xmlns="http://schemas.openxmlformats.org/package/2006/relationships"><Relationship Id="rId2" Type="http://schemas.openxmlformats.org/officeDocument/2006/relationships/oleObject" Target="file:////C:\Users\USAID\Desktop\2019-20%20NSCA%20Draft%20Report\Materials%20used%20to%20prepare%202019-20%20NSCA%20Draft%20Report\Tables%20&amp;%20Figures%20for%20Draft%20report%20-%20SORT.xlsx" TargetMode="External"/><Relationship Id="rId1" Type="http://schemas.openxmlformats.org/officeDocument/2006/relationships/themeOverride" Target="../theme/themeOverride18.xml"/></Relationships>
</file>

<file path=word/charts/_rels/chart22.xml.rels><?xml version="1.0" encoding="UTF-8" standalone="yes"?>
<Relationships xmlns="http://schemas.openxmlformats.org/package/2006/relationships"><Relationship Id="rId2" Type="http://schemas.openxmlformats.org/officeDocument/2006/relationships/oleObject" Target="file:////C:\Users\USAID\Desktop\2019-20%20NSCA%20Draft%20Report\Materials%20used%20to%20prepare%202019-20%20NSCA%20Draft%20Report\Tables%20&amp;%20Figures%20for%20Draft%20report%20-%20SORT.xlsx" TargetMode="External"/><Relationship Id="rId1" Type="http://schemas.openxmlformats.org/officeDocument/2006/relationships/themeOverride" Target="../theme/themeOverride19.xml"/></Relationships>
</file>

<file path=word/charts/_rels/chart23.xml.rels><?xml version="1.0" encoding="UTF-8" standalone="yes"?>
<Relationships xmlns="http://schemas.openxmlformats.org/package/2006/relationships"><Relationship Id="rId2" Type="http://schemas.openxmlformats.org/officeDocument/2006/relationships/oleObject" Target="file:////Users\user\Documents\NBS\AGRI%20CENSUS%20DOC\202021\Report%20Writing\FINAL%20REPORT_JULY%202021\ZERO%20Draft%20report\Draft%20from%20Groups%202021\SAMUEL%20and%20Ludo\Ludo_Tables%20&amp;%20Figures%20for%20Draft%20report%20-%20SORT.xlsx" TargetMode="External"/><Relationship Id="rId1" Type="http://schemas.openxmlformats.org/officeDocument/2006/relationships/themeOverride" Target="../theme/themeOverride20.xml"/></Relationships>
</file>

<file path=word/charts/_rels/chart24.xml.rels><?xml version="1.0" encoding="UTF-8" standalone="yes"?>
<Relationships xmlns="http://schemas.openxmlformats.org/package/2006/relationships"><Relationship Id="rId2" Type="http://schemas.openxmlformats.org/officeDocument/2006/relationships/oleObject" Target="file:////C:\Users\USAID\Desktop\2019-20%20NSCA%20Draft%20Report\Materials%20used%20to%20prepare%202019-20%20NSCA%20Draft%20Report\Tables%20&amp;%20Figures%20for%20Draft%20report%20-%20SORT.xlsx" TargetMode="External"/><Relationship Id="rId1" Type="http://schemas.openxmlformats.org/officeDocument/2006/relationships/themeOverride" Target="../theme/themeOverride21.xml"/></Relationships>
</file>

<file path=word/charts/_rels/chart25.xml.rels><?xml version="1.0" encoding="UTF-8" standalone="yes"?>
<Relationships xmlns="http://schemas.openxmlformats.org/package/2006/relationships"><Relationship Id="rId2" Type="http://schemas.openxmlformats.org/officeDocument/2006/relationships/oleObject" Target="file:////C:\Users\USAID\Desktop\2019-20%20NSCA%20Draft%20Report\Materials%20used%20to%20prepare%202019-20%20NSCA%20Draft%20Report\Tables%20&amp;%20Figures%20for%20Draft%20report%20-%20SORT.xlsx" TargetMode="External"/><Relationship Id="rId1" Type="http://schemas.openxmlformats.org/officeDocument/2006/relationships/themeOverride" Target="../theme/themeOverride22.xml"/></Relationships>
</file>

<file path=word/charts/_rels/chart26.xml.rels><?xml version="1.0" encoding="UTF-8" standalone="yes"?>
<Relationships xmlns="http://schemas.openxmlformats.org/package/2006/relationships"><Relationship Id="rId2" Type="http://schemas.openxmlformats.org/officeDocument/2006/relationships/oleObject" Target="file:////C:\Users\USAID\Desktop\2019-20%20NSCA%20Draft%20Report\Materials%20used%20to%20prepare%202019-20%20NSCA%20Draft%20Report\Tables%20&amp;%20Figures%20for%20Draft%20report%20-%20SORT.xlsx" TargetMode="External"/><Relationship Id="rId1" Type="http://schemas.openxmlformats.org/officeDocument/2006/relationships/themeOverride" Target="../theme/themeOverride23.xml"/></Relationships>
</file>

<file path=word/charts/_rels/chart27.xml.rels><?xml version="1.0" encoding="UTF-8" standalone="yes"?>
<Relationships xmlns="http://schemas.openxmlformats.org/package/2006/relationships"><Relationship Id="rId2" Type="http://schemas.openxmlformats.org/officeDocument/2006/relationships/oleObject" Target="file:////C:\Users\USAID\Desktop\2019-20%20NSCA%20Draft%20Report\Materials%20used%20to%20prepare%202019-20%20NSCA%20Draft%20Report\Tables%20&amp;%20Figures%20for%20Draft%20report%20-%20SORT.xlsx" TargetMode="External"/><Relationship Id="rId1" Type="http://schemas.openxmlformats.org/officeDocument/2006/relationships/themeOverride" Target="../theme/themeOverride24.xml"/></Relationships>
</file>

<file path=word/charts/_rels/chart28.xml.rels><?xml version="1.0" encoding="UTF-8" standalone="yes"?>
<Relationships xmlns="http://schemas.openxmlformats.org/package/2006/relationships"><Relationship Id="rId2" Type="http://schemas.openxmlformats.org/officeDocument/2006/relationships/oleObject" Target="file:////Users\user\Documents\NBS\AGRI%20CENSUS%20DOC\202021\Report%20Writing\FINAL%20REPORT_JULY%202021\ZERO%20Draft%20report\Draft%20from%20Groups%202021\SAMUEL%20and%20Ludo\Ludo_Tables%20&amp;%20Figures%20for%20Draft%20report%20-%20SORT.xlsx" TargetMode="External"/><Relationship Id="rId1" Type="http://schemas.openxmlformats.org/officeDocument/2006/relationships/themeOverride" Target="../theme/themeOverride25.xml"/></Relationships>
</file>

<file path=word/charts/_rels/chart29.xml.rels><?xml version="1.0" encoding="UTF-8" standalone="yes"?>
<Relationships xmlns="http://schemas.openxmlformats.org/package/2006/relationships"><Relationship Id="rId2" Type="http://schemas.openxmlformats.org/officeDocument/2006/relationships/oleObject" Target="file:////C:\Users\USAID\Desktop\2019-20%20NSCA%20Draft%20Report\Materials%20used%20to%20prepare%202019-20%20NSCA%20Draft%20Report\Tables%20&amp;%20Figures%20for%20Draft%20report%20-%20SORT.xlsx" TargetMode="External"/><Relationship Id="rId1" Type="http://schemas.openxmlformats.org/officeDocument/2006/relationships/themeOverride" Target="../theme/themeOverride26.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Users\user\Desktop\ACQ1_Section%202%20to%207%20from%20FESTO.xlsx" TargetMode="External"/></Relationships>
</file>

<file path=word/charts/_rels/chart30.xml.rels><?xml version="1.0" encoding="UTF-8" standalone="yes"?>
<Relationships xmlns="http://schemas.openxmlformats.org/package/2006/relationships"><Relationship Id="rId2" Type="http://schemas.openxmlformats.org/officeDocument/2006/relationships/oleObject" Target="file:////C:\Users\USAID\Desktop\2019-20%20NSCA%20Draft%20Report\Materials%20used%20to%20prepare%202019-20%20NSCA%20Draft%20Report\Tables%20&amp;%20Figures%20for%20Draft%20report%20-%20SORT.xlsx" TargetMode="External"/><Relationship Id="rId1" Type="http://schemas.openxmlformats.org/officeDocument/2006/relationships/themeOverride" Target="../theme/themeOverride27.xml"/></Relationships>
</file>

<file path=word/charts/_rels/chart31.xml.rels><?xml version="1.0" encoding="UTF-8" standalone="yes"?>
<Relationships xmlns="http://schemas.openxmlformats.org/package/2006/relationships"><Relationship Id="rId2" Type="http://schemas.openxmlformats.org/officeDocument/2006/relationships/oleObject" Target="file:////Users\user\Documents\NBS\AGRI%20CENSUS%20DOC\202021\Report%20Writing\FINAL%20REPORT_JULY%202021\ZERO%20Draft%20report\Draft%20from%20Groups%202021\SAMUEL%20and%20Ludo\Ludo_Tables%20&amp;%20Figures%20for%20Draft%20report%20-%20SORT.xlsx" TargetMode="External"/><Relationship Id="rId1" Type="http://schemas.openxmlformats.org/officeDocument/2006/relationships/themeOverride" Target="../theme/themeOverride28.xml"/></Relationships>
</file>

<file path=word/charts/_rels/chart32.xml.rels><?xml version="1.0" encoding="UTF-8" standalone="yes"?>
<Relationships xmlns="http://schemas.openxmlformats.org/package/2006/relationships"><Relationship Id="rId2" Type="http://schemas.openxmlformats.org/officeDocument/2006/relationships/oleObject" Target="file:////C:\Users\USAID\Desktop\2019-20%20NSCA%20Draft%20Report\Materials%20used%20to%20prepare%202019-20%20NSCA%20Draft%20Report\Tables%20&amp;%20Figures%20for%20Draft%20report%20-%20SORT.xlsx" TargetMode="External"/><Relationship Id="rId1" Type="http://schemas.openxmlformats.org/officeDocument/2006/relationships/themeOverride" Target="../theme/themeOverride29.xml"/></Relationships>
</file>

<file path=word/charts/_rels/chart33.xml.rels><?xml version="1.0" encoding="UTF-8" standalone="yes"?>
<Relationships xmlns="http://schemas.openxmlformats.org/package/2006/relationships"><Relationship Id="rId2" Type="http://schemas.openxmlformats.org/officeDocument/2006/relationships/oleObject" Target="file:////C:\Users\USAID\Desktop\2019-20%20NSCA%20Draft%20Report\Materials%20used%20to%20prepare%202019-20%20NSCA%20Draft%20Report\Tables%20&amp;%20Figures%20for%20Draft%20report%20-%20SORT.xlsx" TargetMode="External"/><Relationship Id="rId1" Type="http://schemas.openxmlformats.org/officeDocument/2006/relationships/themeOverride" Target="../theme/themeOverride30.xml"/></Relationships>
</file>

<file path=word/charts/_rels/chart34.xml.rels><?xml version="1.0" encoding="UTF-8" standalone="yes"?>
<Relationships xmlns="http://schemas.openxmlformats.org/package/2006/relationships"><Relationship Id="rId2" Type="http://schemas.openxmlformats.org/officeDocument/2006/relationships/oleObject" Target="file:////C:\Users\USAID\Desktop\2019-20%20NSCA%20Draft%20Report\Materials%20used%20to%20prepare%202019-20%20NSCA%20Draft%20Report\Tables%20&amp;%20Figures%20for%20Draft%20report%20-%20SORT.xlsx" TargetMode="External"/><Relationship Id="rId1" Type="http://schemas.openxmlformats.org/officeDocument/2006/relationships/themeOverride" Target="../theme/themeOverride31.xml"/></Relationships>
</file>

<file path=word/charts/_rels/chart35.xml.rels><?xml version="1.0" encoding="UTF-8" standalone="yes"?>
<Relationships xmlns="http://schemas.openxmlformats.org/package/2006/relationships"><Relationship Id="rId2" Type="http://schemas.openxmlformats.org/officeDocument/2006/relationships/oleObject" Target="file:////C:\Users\USAID\Desktop\2019-20%20NSCA%20Draft%20Report\Materials%20used%20to%20prepare%202019-20%20NSCA%20Draft%20Report\Tables%20&amp;%20Figures%20for%20Draft%20report%20-%20SORT.xlsx" TargetMode="External"/><Relationship Id="rId1" Type="http://schemas.openxmlformats.org/officeDocument/2006/relationships/themeOverride" Target="../theme/themeOverride32.xml"/></Relationships>
</file>

<file path=word/charts/_rels/chart36.xml.rels><?xml version="1.0" encoding="UTF-8" standalone="yes"?>
<Relationships xmlns="http://schemas.openxmlformats.org/package/2006/relationships"><Relationship Id="rId2" Type="http://schemas.openxmlformats.org/officeDocument/2006/relationships/oleObject" Target="file:////C:\Users\USAID\Desktop\2019-20%20NSCA%20Draft%20Report\Materials%20used%20to%20prepare%202019-20%20NSCA%20Draft%20Report\Tables%20&amp;%20Figures%20for%20Draft%20report%20-%20SORT.xlsx" TargetMode="External"/><Relationship Id="rId1" Type="http://schemas.openxmlformats.org/officeDocument/2006/relationships/themeOverride" Target="../theme/themeOverride33.xml"/></Relationships>
</file>

<file path=word/charts/_rels/chart37.xml.rels><?xml version="1.0" encoding="UTF-8" standalone="yes"?>
<Relationships xmlns="http://schemas.openxmlformats.org/package/2006/relationships"><Relationship Id="rId2" Type="http://schemas.openxmlformats.org/officeDocument/2006/relationships/oleObject" Target="file:////C:\Users\USAID\Desktop\2019-20%20NSCA%20Draft%20Report\Materials%20used%20to%20prepare%202019-20%20NSCA%20Draft%20Report\Tables%20&amp;%20Figures%20for%20Draft%20report%20-%20SORT.xlsx" TargetMode="External"/><Relationship Id="rId1" Type="http://schemas.openxmlformats.org/officeDocument/2006/relationships/themeOverride" Target="../theme/themeOverride34.xml"/></Relationships>
</file>

<file path=word/charts/_rels/chart38.xml.rels><?xml version="1.0" encoding="UTF-8" standalone="yes"?>
<Relationships xmlns="http://schemas.openxmlformats.org/package/2006/relationships"><Relationship Id="rId2" Type="http://schemas.openxmlformats.org/officeDocument/2006/relationships/oleObject" Target="file:////C:\Users\USAID\Desktop\2019-20%20NSCA%20Draft%20Report\Materials%20used%20to%20prepare%202019-20%20NSCA%20Draft%20Report\Tables%20&amp;%20Figures%20for%20Draft%20report%20-%20SORT.xlsx" TargetMode="External"/><Relationship Id="rId1" Type="http://schemas.openxmlformats.org/officeDocument/2006/relationships/themeOverride" Target="../theme/themeOverride35.xml"/></Relationships>
</file>

<file path=word/charts/_rels/chart39.xml.rels><?xml version="1.0" encoding="UTF-8" standalone="yes"?>
<Relationships xmlns="http://schemas.openxmlformats.org/package/2006/relationships"><Relationship Id="rId2" Type="http://schemas.openxmlformats.org/officeDocument/2006/relationships/oleObject" Target="file:////C:\Users\USAID\Desktop\2019-20%20NSCA%20Draft%20Report\Materials%20used%20to%20prepare%202019-20%20NSCA%20Draft%20Report\Tables%20&amp;%20Figures%20for%20Draft%20report%20-%20SORT.xlsx" TargetMode="External"/><Relationship Id="rId1" Type="http://schemas.openxmlformats.org/officeDocument/2006/relationships/themeOverride" Target="../theme/themeOverride36.xml"/></Relationships>
</file>

<file path=word/charts/_rels/chart4.xml.rels><?xml version="1.0" encoding="UTF-8" standalone="yes"?>
<Relationships xmlns="http://schemas.openxmlformats.org/package/2006/relationships"><Relationship Id="rId3" Type="http://schemas.openxmlformats.org/officeDocument/2006/relationships/oleObject" Target="file:////Users\user\Documents\NBS\AGRI%20CENSUS%20DOC\202021\Report%20Writing\FINAL%20REPORT_JULY%202021\ZERO%20Draft%20report\Draft%20from%20Groups%202021\Figure%20mpya.xlsx" TargetMode="External"/><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1" Type="http://schemas.openxmlformats.org/officeDocument/2006/relationships/oleObject" Target="file:////Users\user\Documents\NBS\AGRI%20CENSUS%20DOC\202021\Report%20Writing\FINAL%20REPORT_JULY%202021\ZERO%20Draft%20report\Draft%20from%20Groups%202021\SAMUEL%20and%20Ludo\Ludo_Tables%20&amp;%20Figures%20for%20Draft%20report%20-%20SORT.xlsx" TargetMode="External"/></Relationships>
</file>

<file path=word/charts/_rels/chart41.xml.rels><?xml version="1.0" encoding="UTF-8" standalone="yes"?>
<Relationships xmlns="http://schemas.openxmlformats.org/package/2006/relationships"><Relationship Id="rId2" Type="http://schemas.openxmlformats.org/officeDocument/2006/relationships/oleObject" Target="file:////C:\Users\USAID\Desktop\2019-20%20NSCA%20Draft%20Report\Materials%20used%20to%20prepare%202019-20%20NSCA%20Draft%20Report\Tables%20&amp;%20Figures%20for%20Draft%20report%20-%20SORT.xlsx" TargetMode="External"/><Relationship Id="rId1" Type="http://schemas.openxmlformats.org/officeDocument/2006/relationships/themeOverride" Target="../theme/themeOverride37.xml"/></Relationships>
</file>

<file path=word/charts/_rels/chart42.xml.rels><?xml version="1.0" encoding="UTF-8" standalone="yes"?>
<Relationships xmlns="http://schemas.openxmlformats.org/package/2006/relationships"><Relationship Id="rId2" Type="http://schemas.openxmlformats.org/officeDocument/2006/relationships/oleObject" Target="file:////Users\user\Documents\NBS\AGRI%20CENSUS%20DOC\202021\Report%20Writing\FINAL%20REPORT_JULY%202021\ZERO%20Draft%20report\Draft%20from%20Groups%202021\SAMUEL%20and%20Ludo\Ludo_New_Table%208.1.9%20&amp;%208.2.9%20Crop%20Production%20by%20Region%20xlsx%2024%20July,%202021.xlsx" TargetMode="External"/><Relationship Id="rId1" Type="http://schemas.openxmlformats.org/officeDocument/2006/relationships/themeOverride" Target="../theme/themeOverride38.xml"/></Relationships>
</file>

<file path=word/charts/_rels/chart43.xml.rels><?xml version="1.0" encoding="UTF-8" standalone="yes"?>
<Relationships xmlns="http://schemas.openxmlformats.org/package/2006/relationships"><Relationship Id="rId3" Type="http://schemas.openxmlformats.org/officeDocument/2006/relationships/themeOverride" Target="../theme/themeOverride39.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file:////Users\user\Documents\NBS\AGRI%20CENSUS%20DOC\202021\Report%20Writing\FINAL%20REPORT_JULY%202021\ZERO%20Draft%20report\Draft%20from%20Groups%202021\MO\graphs%20MO%2002JULY2021.xls" TargetMode="External"/></Relationships>
</file>

<file path=word/charts/_rels/chart44.xml.rels><?xml version="1.0" encoding="UTF-8" standalone="yes"?>
<Relationships xmlns="http://schemas.openxmlformats.org/package/2006/relationships"><Relationship Id="rId2" Type="http://schemas.openxmlformats.org/officeDocument/2006/relationships/oleObject" Target="file:////Users\user\Documents\NBS\AGRI%20CENSUS%20DOC\202021\Report%20Writing\FINAL%20REPORT_JULY%202021\ZERO%20Draft%20report\Draft%20from%20Groups%202021\SAMUEL%20and%20Ludo\Ludo_New_Table%208.1.9%20&amp;%208.2.9%20Crop%20Production%20by%20Region%20xlsx%2024%20July,%202021.xlsx" TargetMode="External"/><Relationship Id="rId1" Type="http://schemas.openxmlformats.org/officeDocument/2006/relationships/themeOverride" Target="../theme/themeOverride40.xml"/></Relationships>
</file>

<file path=word/charts/_rels/chart45.xml.rels><?xml version="1.0" encoding="UTF-8" standalone="yes"?>
<Relationships xmlns="http://schemas.openxmlformats.org/package/2006/relationships"><Relationship Id="rId2" Type="http://schemas.openxmlformats.org/officeDocument/2006/relationships/oleObject" Target="file:////Users\user\Documents\NBS\AGRI%20CENSUS%20DOC\202021\Report%20Writing\FINAL%20REPORT_JULY%202021\ZERO%20Draft%20report\Draft%20from%20Groups%202021\SAMUEL%20and%20Ludo\Ludo_New_Table%208.1.9%20&amp;%208.2.9%20Crop%20Production%20by%20Region%20xlsx%2024%20July,%202021.xlsx" TargetMode="External"/><Relationship Id="rId1" Type="http://schemas.openxmlformats.org/officeDocument/2006/relationships/themeOverride" Target="../theme/themeOverride41.xml"/></Relationships>
</file>

<file path=word/charts/_rels/chart46.xml.rels><?xml version="1.0" encoding="UTF-8" standalone="yes"?>
<Relationships xmlns="http://schemas.openxmlformats.org/package/2006/relationships"><Relationship Id="rId1" Type="http://schemas.openxmlformats.org/officeDocument/2006/relationships/oleObject" Target="file:////Users\user\Documents\NBS\AGRI%20CENSUS%20DOC\202021\Report%20Writing\FINAL%20REPORT_JULY%202021\Fig_4.28_GILA.xlsx" TargetMode="External"/></Relationships>
</file>

<file path=word/charts/_rels/chart47.xml.rels><?xml version="1.0" encoding="UTF-8" standalone="yes"?>
<Relationships xmlns="http://schemas.openxmlformats.org/package/2006/relationships"><Relationship Id="rId2" Type="http://schemas.openxmlformats.org/officeDocument/2006/relationships/oleObject" Target="file:////Users\user\Documents\NBS\AGRI%20CENSUS%20DOC\202021\Report%20Writing\FINAL%20REPORT_JULY%202021\ZERO%20Draft%20report\Draft%20from%20Groups%202021\SAMUEL%20and%20Ludo\Ludo_New_Table%208.1.9%20&amp;%208.2.9%20Crop%20Production%20by%20Region%20xlsx%2024%20July,%202021.xlsx" TargetMode="External"/><Relationship Id="rId1" Type="http://schemas.openxmlformats.org/officeDocument/2006/relationships/themeOverride" Target="../theme/themeOverride42.xml"/></Relationships>
</file>

<file path=word/charts/_rels/chart48.xml.rels><?xml version="1.0" encoding="UTF-8" standalone="yes"?>
<Relationships xmlns="http://schemas.openxmlformats.org/package/2006/relationships"><Relationship Id="rId2" Type="http://schemas.openxmlformats.org/officeDocument/2006/relationships/oleObject" Target="file:////Users\user\Documents\NBS\AGRI%20CENSUS%20DOC\202021\Report%20Writing\FINAL%20REPORT_JULY%202021\ZERO%20Draft%20report\Draft%20from%20Groups%202021\SAMUEL%20and%20Ludo\Ludo_New_Table%208.1.9%20&amp;%208.2.9%20Crop%20Production%20by%20Region%20xlsx%2024%20July,%202021.xlsx" TargetMode="External"/><Relationship Id="rId1" Type="http://schemas.openxmlformats.org/officeDocument/2006/relationships/themeOverride" Target="../theme/themeOverride43.xml"/></Relationships>
</file>

<file path=word/charts/_rels/chart49.xml.rels><?xml version="1.0" encoding="UTF-8" standalone="yes"?>
<Relationships xmlns="http://schemas.openxmlformats.org/package/2006/relationships"><Relationship Id="rId2" Type="http://schemas.openxmlformats.org/officeDocument/2006/relationships/oleObject" Target="file:////Users\user\Documents\NBS\AGRI%20CENSUS%20DOC\202021\Report%20Writing\FINAL%20REPORT_JULY%202021\ZERO%20Draft%20report\Draft%20from%20Groups%202021\SAMUEL%20and%20Ludo\Ludo_New_Table%208.1.9%20&amp;%208.2.9%20Crop%20Production%20by%20Region%20xlsx%2024%20July,%202021.xlsx" TargetMode="External"/><Relationship Id="rId1" Type="http://schemas.openxmlformats.org/officeDocument/2006/relationships/themeOverride" Target="../theme/themeOverride44.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Users\festomwemutsi\Desktop\Report%20NSCA2019_20\rereporttemperateworkdistributionreportwritingex\ACQ1_Tables_Report%20Writing_08%20June%202021\ACQ1_Section%202%20to%207.xlsx" TargetMode="External"/></Relationships>
</file>

<file path=word/charts/_rels/chart50.xml.rels><?xml version="1.0" encoding="UTF-8" standalone="yes"?>
<Relationships xmlns="http://schemas.openxmlformats.org/package/2006/relationships"><Relationship Id="rId2" Type="http://schemas.openxmlformats.org/officeDocument/2006/relationships/oleObject" Target="file:////Users\user\Documents\NBS\AGRI%20CENSUS%20DOC\202021\Report%20Writing\FINAL%20REPORT_JULY%202021\ZERO%20Draft%20report\Draft%20from%20Groups%202021\SAMUEL%20and%20Ludo\Ludo_New_Table%208.1.9%20&amp;%208.2.9%20Crop%20Production%20by%20Region%20xlsx%2024%20July,%202021.xlsx" TargetMode="External"/><Relationship Id="rId1" Type="http://schemas.openxmlformats.org/officeDocument/2006/relationships/themeOverride" Target="../theme/themeOverride45.xml"/></Relationships>
</file>

<file path=word/charts/_rels/chart51.xml.rels><?xml version="1.0" encoding="UTF-8" standalone="yes"?>
<Relationships xmlns="http://schemas.openxmlformats.org/package/2006/relationships"><Relationship Id="rId2" Type="http://schemas.openxmlformats.org/officeDocument/2006/relationships/oleObject" Target="file:////Users\user\Documents\NBS\AGRI%20CENSUS%20DOC\202021\Report%20Writing\FINAL%20REPORT_JULY%202021\ZERO%20Draft%20report\Draft%20from%20Groups%202021\SAMUEL%20and%20Ludo\Ludo_New_Table%208.1.9%20&amp;%208.2.9%20Crop%20Production%20by%20Region%20xlsx%2024%20July,%202021.xlsx" TargetMode="External"/><Relationship Id="rId1" Type="http://schemas.openxmlformats.org/officeDocument/2006/relationships/themeOverride" Target="../theme/themeOverride46.xml"/></Relationships>
</file>

<file path=word/charts/_rels/chart52.xml.rels><?xml version="1.0" encoding="UTF-8" standalone="yes"?>
<Relationships xmlns="http://schemas.openxmlformats.org/package/2006/relationships"><Relationship Id="rId2" Type="http://schemas.openxmlformats.org/officeDocument/2006/relationships/oleObject" Target="file:////Users\user\Documents\NBS\AGRI%20CENSUS%20DOC\202021\Report%20Writing\FINAL%20REPORT_JULY%202021\ZERO%20Draft%20report\Draft%20from%20Groups%202021\SAMUEL%20and%20Ludo\Ludo_New_Table%208.1.9%20&amp;%208.2.9%20Crop%20Production%20by%20Region%20xlsx%2024%20July,%202021.xlsx" TargetMode="External"/><Relationship Id="rId1" Type="http://schemas.openxmlformats.org/officeDocument/2006/relationships/themeOverride" Target="../theme/themeOverride47.xml"/></Relationships>
</file>

<file path=word/charts/_rels/chart53.xml.rels><?xml version="1.0" encoding="UTF-8" standalone="yes"?>
<Relationships xmlns="http://schemas.openxmlformats.org/package/2006/relationships"><Relationship Id="rId2" Type="http://schemas.openxmlformats.org/officeDocument/2006/relationships/oleObject" Target="file:////Users\user\Documents\NBS\AGRI%20CENSUS%20DOC\202021\Report%20Writing\FINAL%20REPORT_JULY%202021\ZERO%20Draft%20report\Draft%20from%20Groups%202021\SAMUEL%20and%20Ludo\Ludo_New_Table%208.1.9%20&amp;%208.2.9%20Crop%20Production%20by%20Region%20xlsx%2024%20July,%202021.xlsx" TargetMode="External"/><Relationship Id="rId1" Type="http://schemas.openxmlformats.org/officeDocument/2006/relationships/themeOverride" Target="../theme/themeOverride48.xml"/></Relationships>
</file>

<file path=word/charts/_rels/chart54.xml.rels><?xml version="1.0" encoding="UTF-8" standalone="yes"?>
<Relationships xmlns="http://schemas.openxmlformats.org/package/2006/relationships"><Relationship Id="rId2" Type="http://schemas.openxmlformats.org/officeDocument/2006/relationships/oleObject" Target="file:////Users\user\Documents\NBS\AGRI%20CENSUS%20DOC\202021\Report%20Writing\FINAL%20REPORT_JULY%202021\ZERO%20Draft%20report\Draft%20from%20Groups%202021\SAMUEL%20and%20Ludo\Ludo_New_Table%208.1.9%20&amp;%208.2.9%20Crop%20Production%20by%20Region%20xlsx%2024%20July,%202021.xlsx" TargetMode="External"/><Relationship Id="rId1" Type="http://schemas.openxmlformats.org/officeDocument/2006/relationships/themeOverride" Target="../theme/themeOverride49.xml"/></Relationships>
</file>

<file path=word/charts/_rels/chart55.xml.rels><?xml version="1.0" encoding="UTF-8" standalone="yes"?>
<Relationships xmlns="http://schemas.openxmlformats.org/package/2006/relationships"><Relationship Id="rId2" Type="http://schemas.openxmlformats.org/officeDocument/2006/relationships/oleObject" Target="file:////Users\user\Documents\NBS\AGRI%20CENSUS%20DOC\202021\Report%20Writing\FINAL%20REPORT_JULY%202021\ZERO%20Draft%20report\Draft%20from%20Groups%202021\SAMUEL%20and%20Ludo\Ludo_New_Table%208.1.9%20&amp;%208.2.9%20Crop%20Production%20by%20Region%20xlsx%2024%20July,%202021.xlsx" TargetMode="External"/><Relationship Id="rId1" Type="http://schemas.openxmlformats.org/officeDocument/2006/relationships/themeOverride" Target="../theme/themeOverride50.xml"/></Relationships>
</file>

<file path=word/charts/_rels/chart56.xml.rels><?xml version="1.0" encoding="UTF-8" standalone="yes"?>
<Relationships xmlns="http://schemas.openxmlformats.org/package/2006/relationships"><Relationship Id="rId2" Type="http://schemas.openxmlformats.org/officeDocument/2006/relationships/oleObject" Target="file:////Users\user\Documents\NBS\AGRI%20CENSUS%20DOC\202021\Report%20Writing\FINAL%20REPORT_JULY%202021\ZERO%20Draft%20report\Draft%20from%20Groups%202021\SAMUEL%20and%20Ludo\LUDO_Table%208.1.9%20&amp;%208.2.9%20Crop%20Production%20by%20Region%20xlsx%20(Updated%2028-07-2021).xlsx" TargetMode="External"/><Relationship Id="rId1" Type="http://schemas.openxmlformats.org/officeDocument/2006/relationships/themeOverride" Target="../theme/themeOverride51.xml"/></Relationships>
</file>

<file path=word/charts/_rels/chart57.xml.rels><?xml version="1.0" encoding="UTF-8" standalone="yes"?>
<Relationships xmlns="http://schemas.openxmlformats.org/package/2006/relationships"><Relationship Id="rId2" Type="http://schemas.openxmlformats.org/officeDocument/2006/relationships/oleObject" Target="file:////Users\user\Documents\NBS\AGRI%20CENSUS%20DOC\202021\Report%20Writing\FINAL%20REPORT_JULY%202021\ZERO%20Draft%20report\Draft%20from%20Groups%202021\SAMUEL%20and%20Ludo\LUDO_Table%208.1.9%20&amp;%208.2.9%20Crop%20Production%20by%20Region%20xlsx%20(Updated%2028-07-2021).xlsx" TargetMode="External"/><Relationship Id="rId1" Type="http://schemas.openxmlformats.org/officeDocument/2006/relationships/themeOverride" Target="../theme/themeOverride52.xml"/></Relationships>
</file>

<file path=word/charts/_rels/chart58.xml.rels><?xml version="1.0" encoding="UTF-8" standalone="yes"?>
<Relationships xmlns="http://schemas.openxmlformats.org/package/2006/relationships"><Relationship Id="rId2" Type="http://schemas.openxmlformats.org/officeDocument/2006/relationships/oleObject" Target="file:////Users\user\Documents\NBS\AGRI%20CENSUS%20DOC\202021\Report%20Writing\FINAL%20REPORT_JULY%202021\ZERO%20Draft%20report\Draft%20from%20Groups%202021\SAMUEL%20and%20Ludo\LUDO_Table%208.1.9%20&amp;%208.2.9%20Crop%20Production%20by%20Region%20xlsx%20(Updated%2028-07-2021).xlsx" TargetMode="External"/><Relationship Id="rId1" Type="http://schemas.openxmlformats.org/officeDocument/2006/relationships/themeOverride" Target="../theme/themeOverride53.xml"/></Relationships>
</file>

<file path=word/charts/_rels/chart59.xml.rels><?xml version="1.0" encoding="UTF-8" standalone="yes"?>
<Relationships xmlns="http://schemas.openxmlformats.org/package/2006/relationships"><Relationship Id="rId2" Type="http://schemas.openxmlformats.org/officeDocument/2006/relationships/oleObject" Target="file:////Users\user\Documents\NBS\AGRI%20CENSUS%20DOC\202021\Report%20Writing\FINAL%20REPORT_JULY%202021\ZERO%20Draft%20report\Draft%20from%20Groups%202021\SAMUEL%20and%20Ludo\LUDO_Table%208.1.9%20&amp;%208.2.9%20Crop%20Production%20by%20Region%20xlsx%20(Updated%2028-07-2021).xlsx" TargetMode="External"/><Relationship Id="rId1" Type="http://schemas.openxmlformats.org/officeDocument/2006/relationships/themeOverride" Target="../theme/themeOverride54.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Users\user\Desktop\ACQ1_Section%202%20to%207%20from%20FESTO.xlsx" TargetMode="External"/></Relationships>
</file>

<file path=word/charts/_rels/chart60.xml.rels><?xml version="1.0" encoding="UTF-8" standalone="yes"?>
<Relationships xmlns="http://schemas.openxmlformats.org/package/2006/relationships"><Relationship Id="rId2" Type="http://schemas.openxmlformats.org/officeDocument/2006/relationships/oleObject" Target="file:////Users\user\Documents\NBS\AGRI%20CENSUS%20DOC\202021\Report%20Writing\FINAL%20REPORT_JULY%202021\ZERO%20Draft%20report\Draft%20from%20Groups%202021\SAMUEL%20and%20Ludo\LUDO_Table%208.1.9%20&amp;%208.2.9%20Crop%20Production%20by%20Region%20xlsx%20(Updated%2028-07-2021).xlsx" TargetMode="External"/><Relationship Id="rId1" Type="http://schemas.openxmlformats.org/officeDocument/2006/relationships/themeOverride" Target="../theme/themeOverride55.xml"/></Relationships>
</file>

<file path=word/charts/_rels/chart61.xml.rels><?xml version="1.0" encoding="UTF-8" standalone="yes"?>
<Relationships xmlns="http://schemas.openxmlformats.org/package/2006/relationships"><Relationship Id="rId3" Type="http://schemas.openxmlformats.org/officeDocument/2006/relationships/themeOverride" Target="../theme/themeOverride56.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file:////C:\Users\hp\Desktop\NSCA_REPORT_WRITING\NSCA_REPORT_WRITING\ACQ1_ACQ2_CASHCROPS.xlsx" TargetMode="External"/></Relationships>
</file>

<file path=word/charts/_rels/chart62.xml.rels><?xml version="1.0" encoding="UTF-8" standalone="yes"?>
<Relationships xmlns="http://schemas.openxmlformats.org/package/2006/relationships"><Relationship Id="rId3" Type="http://schemas.openxmlformats.org/officeDocument/2006/relationships/themeOverride" Target="../theme/themeOverride57.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oleObject" Target="file:////C:\Users\hp\Desktop\NSCA_REPORT_WRITING\NSCA_REPORT_WRITING\ACQ1_ACQ2_CASHCROPS.xlsx" TargetMode="External"/></Relationships>
</file>

<file path=word/charts/_rels/chart63.xml.rels><?xml version="1.0" encoding="UTF-8" standalone="yes"?>
<Relationships xmlns="http://schemas.openxmlformats.org/package/2006/relationships"><Relationship Id="rId3" Type="http://schemas.openxmlformats.org/officeDocument/2006/relationships/themeOverride" Target="../theme/themeOverride58.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oleObject" Target="file:////C:\Users\hp\Desktop\NSCA_REPORT_WRITING\NSCA_REPORT_WRITING\ACQ1_ACQ2_CASHCROPS.xlsx" TargetMode="External"/></Relationships>
</file>

<file path=word/charts/_rels/chart64.xml.rels><?xml version="1.0" encoding="UTF-8" standalone="yes"?>
<Relationships xmlns="http://schemas.openxmlformats.org/package/2006/relationships"><Relationship Id="rId3" Type="http://schemas.openxmlformats.org/officeDocument/2006/relationships/themeOverride" Target="../theme/themeOverride59.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oleObject" Target="file:////C:\Users\hp\Desktop\NSCA_REPORT_WRITING\NSCA_REPORT_WRITING\ACQ1_ACQ2_CASHCROPS.xlsx" TargetMode="External"/></Relationships>
</file>

<file path=word/charts/_rels/chart65.xml.rels><?xml version="1.0" encoding="UTF-8" standalone="yes"?>
<Relationships xmlns="http://schemas.openxmlformats.org/package/2006/relationships"><Relationship Id="rId3" Type="http://schemas.openxmlformats.org/officeDocument/2006/relationships/oleObject" Target="Book63" TargetMode="External"/><Relationship Id="rId2" Type="http://schemas.microsoft.com/office/2011/relationships/chartColorStyle" Target="colors24.xml"/><Relationship Id="rId1" Type="http://schemas.microsoft.com/office/2011/relationships/chartStyle" Target="style24.xml"/></Relationships>
</file>

<file path=word/charts/_rels/chart66.xml.rels><?xml version="1.0" encoding="UTF-8" standalone="yes"?>
<Relationships xmlns="http://schemas.openxmlformats.org/package/2006/relationships"><Relationship Id="rId3" Type="http://schemas.openxmlformats.org/officeDocument/2006/relationships/themeOverride" Target="../theme/themeOverride60.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oleObject" Target="file:////C:\Users\hp\Desktop\NSCA_REPORT_WRITING\NSCA_REPORT_WRITING\ACQ1_ACQ2_CASHCROPS%20(Autosaved).xlsx" TargetMode="External"/></Relationships>
</file>

<file path=word/charts/_rels/chart67.xml.rels><?xml version="1.0" encoding="UTF-8" standalone="yes"?>
<Relationships xmlns="http://schemas.openxmlformats.org/package/2006/relationships"><Relationship Id="rId3" Type="http://schemas.openxmlformats.org/officeDocument/2006/relationships/themeOverride" Target="../theme/themeOverride61.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oleObject" Target="file:////C:\Users\hp\Desktop\NSCA_REPORT_WRITING\NSCA_REPORT_WRITING\ACQ1_ACQ2_CASHCROPS.xlsx" TargetMode="External"/></Relationships>
</file>

<file path=word/charts/_rels/chart68.xml.rels><?xml version="1.0" encoding="UTF-8" standalone="yes"?>
<Relationships xmlns="http://schemas.openxmlformats.org/package/2006/relationships"><Relationship Id="rId3" Type="http://schemas.openxmlformats.org/officeDocument/2006/relationships/themeOverride" Target="../theme/themeOverride62.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oleObject" Target="file:////C:\Users\hp\Desktop\NSCA_REPORT_WRITING\NSCA_REPORT_WRITING\ACQ1_ACQ2_CASHCROPS.xlsx" TargetMode="External"/></Relationships>
</file>

<file path=word/charts/_rels/chart69.xml.rels><?xml version="1.0" encoding="UTF-8" standalone="yes"?>
<Relationships xmlns="http://schemas.openxmlformats.org/package/2006/relationships"><Relationship Id="rId3" Type="http://schemas.openxmlformats.org/officeDocument/2006/relationships/themeOverride" Target="../theme/themeOverride63.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oleObject" Target="file:////C:\Users\Genja\Desktop\LARGE_SCALE%20FARMS\02%20JUNE%202021\FORMATED%20TABLES\SSF_Tables%20Final%20July10%20(1)\SSF_Tables%20Final%20July10\Sec9_10.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Users\festomwemutsi\Desktop\Report%20NSCA2019_20\rereporttemperateworkdistributionreportwritingex\ACQ1_Tables_Report%20Writing_08%20June%202021\ACQ1_Section%202%20to%207.xlsx" TargetMode="External"/></Relationships>
</file>

<file path=word/charts/_rels/chart70.xml.rels><?xml version="1.0" encoding="UTF-8" standalone="yes"?>
<Relationships xmlns="http://schemas.openxmlformats.org/package/2006/relationships"><Relationship Id="rId2" Type="http://schemas.openxmlformats.org/officeDocument/2006/relationships/oleObject" Target="file:////Users\user\Documents\NBS\AGRI%20CENSUS%20DOC\202021\Report%20Writing\FINAL%20REPORT_JULY%202021\ZERO%20Draft%20report\Draft%20from%20Groups%202021\Theresia%20Msuha\Final%20Tables%2026%20June%202021\Figure%203.1%20Percentage%20of%20Irrigation%2021%20June%202021.xlsx" TargetMode="External"/><Relationship Id="rId1" Type="http://schemas.openxmlformats.org/officeDocument/2006/relationships/themeOverride" Target="../theme/themeOverride64.xml"/></Relationships>
</file>

<file path=word/charts/_rels/chart7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7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7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74.xml.rels><?xml version="1.0" encoding="UTF-8" standalone="yes"?>
<Relationships xmlns="http://schemas.openxmlformats.org/package/2006/relationships"><Relationship Id="rId1" Type="http://schemas.openxmlformats.org/officeDocument/2006/relationships/oleObject" Target="file:////Users\user\Downloads\Sec9_10.xlsx" TargetMode="External"/></Relationships>
</file>

<file path=word/charts/_rels/chart75.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76.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77.xml.rels><?xml version="1.0" encoding="UTF-8" standalone="yes"?>
<Relationships xmlns="http://schemas.openxmlformats.org/package/2006/relationships"><Relationship Id="rId3" Type="http://schemas.openxmlformats.org/officeDocument/2006/relationships/themeOverride" Target="../theme/themeOverride65.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oleObject" Target="file:////Users\user\Documents\NBS\AGRI%20CENSUS%20DOC\202021\Report%20Writing\FINAL%20REPORT_JULY%202021\ZERO%20Draft%20report\Draft%20from%20Groups%202021\Theresia%20Msuha\Figures_Table%208.1%20&amp;%208.2%20Inputs%20Use%20by%20Region%20NATIONAL_Redrawn_23July.xlsx" TargetMode="External"/></Relationships>
</file>

<file path=word/charts/_rels/chart78.xml.rels><?xml version="1.0" encoding="UTF-8" standalone="yes"?>
<Relationships xmlns="http://schemas.openxmlformats.org/package/2006/relationships"><Relationship Id="rId3" Type="http://schemas.openxmlformats.org/officeDocument/2006/relationships/themeOverride" Target="../theme/themeOverride66.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oleObject" Target="file:////Users\user\Documents\NBS\AGRI%20CENSUS%20DOC\202021\Report%20Writing\FINAL%20REPORT_JULY%202021\ZERO%20Draft%20report\Draft%20from%20Groups%202021\Theresia%20Msuha\Figures_Table%208.1%20&amp;%208.2%20Inputs%20Use%20by%20Region%20NATIONAL_Redrawn_23July.xlsx" TargetMode="External"/></Relationships>
</file>

<file path=word/charts/_rels/chart79.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7.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Users\festomwemutsi\Desktop\Report%20NSCA2019_20\rereporttemperateworkdistributionreportwritingex\ACQ1_Tables_Report%20Writing_08%20June%202021\ACQ1_Section%202%20to%207.xlsx" TargetMode="External"/></Relationships>
</file>

<file path=word/charts/_rels/chart80.xml.rels><?xml version="1.0" encoding="UTF-8" standalone="yes"?>
<Relationships xmlns="http://schemas.openxmlformats.org/package/2006/relationships"><Relationship Id="rId3" Type="http://schemas.openxmlformats.org/officeDocument/2006/relationships/themeOverride" Target="../theme/themeOverride68.xm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oleObject" Target="file:////C:\Users\Genja\Documents\July%2017%202021\8.1%20&amp;%208.2%20Inputs%20Use%20by%20Region%20FIGURE.xlsx" TargetMode="External"/></Relationships>
</file>

<file path=word/charts/_rels/chart81.xml.rels><?xml version="1.0" encoding="UTF-8" standalone="yes"?>
<Relationships xmlns="http://schemas.openxmlformats.org/package/2006/relationships"><Relationship Id="rId3" Type="http://schemas.openxmlformats.org/officeDocument/2006/relationships/themeOverride" Target="../theme/themeOverride69.xml"/><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oleObject" Target="file:////C:\Users\Genja\Desktop\LARGE_SCALE%20FARMS\02%20JUNE%202021\FORMATED%20TABLES\SSF_Tables%20Final%20July10%20(1)\SSF_Tables%20Final%20July10\SEc8182.xlsx" TargetMode="External"/></Relationships>
</file>

<file path=word/charts/_rels/chart82.xml.rels><?xml version="1.0" encoding="UTF-8" standalone="yes"?>
<Relationships xmlns="http://schemas.openxmlformats.org/package/2006/relationships"><Relationship Id="rId3" Type="http://schemas.openxmlformats.org/officeDocument/2006/relationships/themeOverride" Target="../theme/themeOverride70.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oleObject" Target="file:////Users\user\Documents\NBS\AGRI%20CENSUS%20DOC\202021\Report%20Writing\Tables_for%20report%20writing_Teddy.xlsx" TargetMode="External"/></Relationships>
</file>

<file path=word/charts/_rels/chart83.xml.rels><?xml version="1.0" encoding="UTF-8" standalone="yes"?>
<Relationships xmlns="http://schemas.openxmlformats.org/package/2006/relationships"><Relationship Id="rId3" Type="http://schemas.openxmlformats.org/officeDocument/2006/relationships/themeOverride" Target="../theme/themeOverride71.xm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oleObject" Target="file:////Users\user\Documents\NBS\AGRI%20CENSUS%20DOC\202021\Report%20Writing\Tables_for%20report%20writing_Teddy.xlsx" TargetMode="External"/></Relationships>
</file>

<file path=word/charts/_rels/chart84.xml.rels><?xml version="1.0" encoding="UTF-8" standalone="yes"?>
<Relationships xmlns="http://schemas.openxmlformats.org/package/2006/relationships"><Relationship Id="rId3" Type="http://schemas.openxmlformats.org/officeDocument/2006/relationships/themeOverride" Target="../theme/themeOverride72.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oleObject" Target="file:////Users\user\Documents\NBS\AGRI%20CENSUS%20DOC\202021\Report%20Writing\Tables_for%20report%20writing_Teddy.xlsx" TargetMode="External"/></Relationships>
</file>

<file path=word/charts/_rels/chart85.xml.rels><?xml version="1.0" encoding="UTF-8" standalone="yes"?>
<Relationships xmlns="http://schemas.openxmlformats.org/package/2006/relationships"><Relationship Id="rId3" Type="http://schemas.openxmlformats.org/officeDocument/2006/relationships/themeOverride" Target="../theme/themeOverride73.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oleObject" Target="file:////Users\user\Documents\NBS\AGRI%20CENSUS%20DOC\202021\Report%20Writing\Tables_for%20report%20writing_Teddy.xlsx" TargetMode="External"/></Relationships>
</file>

<file path=word/charts/_rels/chart86.xml.rels><?xml version="1.0" encoding="UTF-8" standalone="yes"?>
<Relationships xmlns="http://schemas.openxmlformats.org/package/2006/relationships"><Relationship Id="rId3" Type="http://schemas.openxmlformats.org/officeDocument/2006/relationships/themeOverride" Target="../theme/themeOverride74.xml"/><Relationship Id="rId2" Type="http://schemas.microsoft.com/office/2011/relationships/chartColorStyle" Target="colors37.xml"/><Relationship Id="rId1" Type="http://schemas.microsoft.com/office/2011/relationships/chartStyle" Target="style37.xml"/><Relationship Id="rId4" Type="http://schemas.openxmlformats.org/officeDocument/2006/relationships/oleObject" Target="file:////Users\user\Documents\NBS\AGRI%20CENSUS%20DOC\202021\Report%20Writing\Tables_for%20report%20writing_Teddy.xlsx" TargetMode="External"/></Relationships>
</file>

<file path=word/charts/_rels/chart87.xml.rels><?xml version="1.0" encoding="UTF-8" standalone="yes"?>
<Relationships xmlns="http://schemas.openxmlformats.org/package/2006/relationships"><Relationship Id="rId3" Type="http://schemas.openxmlformats.org/officeDocument/2006/relationships/themeOverride" Target="../theme/themeOverride75.xml"/><Relationship Id="rId2" Type="http://schemas.microsoft.com/office/2011/relationships/chartColorStyle" Target="colors38.xml"/><Relationship Id="rId1" Type="http://schemas.microsoft.com/office/2011/relationships/chartStyle" Target="style38.xml"/><Relationship Id="rId4" Type="http://schemas.openxmlformats.org/officeDocument/2006/relationships/oleObject" Target="file:////Users\user\Documents\NBS\AGRI%20CENSUS%20DOC\202021\Report%20Writing\Tables_for%20report%20writing_Teddy.xlsx" TargetMode="External"/></Relationships>
</file>

<file path=word/charts/_rels/chart88.xml.rels><?xml version="1.0" encoding="UTF-8" standalone="yes"?>
<Relationships xmlns="http://schemas.openxmlformats.org/package/2006/relationships"><Relationship Id="rId3" Type="http://schemas.openxmlformats.org/officeDocument/2006/relationships/themeOverride" Target="../theme/themeOverride76.xm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oleObject" Target="file:////Users\user\Documents\NBS\AGRI%20CENSUS%20DOC\202021\Report%20Writing\Tables_for%20report%20writing_Teddy.xlsx" TargetMode="External"/></Relationships>
</file>

<file path=word/charts/_rels/chart89.xml.rels><?xml version="1.0" encoding="UTF-8" standalone="yes"?>
<Relationships xmlns="http://schemas.openxmlformats.org/package/2006/relationships"><Relationship Id="rId3" Type="http://schemas.openxmlformats.org/officeDocument/2006/relationships/themeOverride" Target="../theme/themeOverride77.xml"/><Relationship Id="rId2" Type="http://schemas.microsoft.com/office/2011/relationships/chartColorStyle" Target="colors40.xml"/><Relationship Id="rId1" Type="http://schemas.microsoft.com/office/2011/relationships/chartStyle" Target="style40.xml"/><Relationship Id="rId4" Type="http://schemas.openxmlformats.org/officeDocument/2006/relationships/oleObject" Target="file:////Users\user\Documents\NBS\AGRI%20CENSUS%20DOC\202021\Report%20Writing\Tables_for%20report%20writing_Teddy.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file:////Users\festomwemutsi\Desktop\Report%20NSCA2019_20\rereporttemperateworkdistributionreportwritingex\ACQ1_Tables_Report%20Writing_08%20June%202021\ACQ1_Section%202%20to%207.xlsx" TargetMode="External"/></Relationships>
</file>

<file path=word/charts/_rels/chart90.xml.rels><?xml version="1.0" encoding="UTF-8" standalone="yes"?>
<Relationships xmlns="http://schemas.openxmlformats.org/package/2006/relationships"><Relationship Id="rId3" Type="http://schemas.openxmlformats.org/officeDocument/2006/relationships/themeOverride" Target="../theme/themeOverride78.xml"/><Relationship Id="rId2" Type="http://schemas.microsoft.com/office/2011/relationships/chartColorStyle" Target="colors41.xml"/><Relationship Id="rId1" Type="http://schemas.microsoft.com/office/2011/relationships/chartStyle" Target="style41.xml"/><Relationship Id="rId4" Type="http://schemas.openxmlformats.org/officeDocument/2006/relationships/oleObject" Target="file:////Users\user\Documents\NBS\AGRI%20CENSUS%20DOC\202021\Report%20Writing\Tables_for%20report%20writing_Teddy.xlsx" TargetMode="External"/></Relationships>
</file>

<file path=word/charts/_rels/chart91.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9.xml"/></Relationships>
</file>

<file path=word/charts/_rels/chart92.xml.rels><?xml version="1.0" encoding="UTF-8" standalone="yes"?>
<Relationships xmlns="http://schemas.openxmlformats.org/package/2006/relationships"><Relationship Id="rId3" Type="http://schemas.openxmlformats.org/officeDocument/2006/relationships/themeOverride" Target="../theme/themeOverride80.xml"/><Relationship Id="rId2" Type="http://schemas.microsoft.com/office/2011/relationships/chartColorStyle" Target="colors42.xml"/><Relationship Id="rId1" Type="http://schemas.microsoft.com/office/2011/relationships/chartStyle" Target="style42.xml"/><Relationship Id="rId4" Type="http://schemas.openxmlformats.org/officeDocument/2006/relationships/oleObject" Target="file:////Users\user\Documents\NBS\AGRI%20CENSUS%20DOC\202021\Report%20Writing\Tables_for%20report%20writing_Teddy.xlsx" TargetMode="External"/></Relationships>
</file>

<file path=word/charts/_rels/chart93.xml.rels><?xml version="1.0" encoding="UTF-8" standalone="yes"?>
<Relationships xmlns="http://schemas.openxmlformats.org/package/2006/relationships"><Relationship Id="rId3" Type="http://schemas.openxmlformats.org/officeDocument/2006/relationships/themeOverride" Target="../theme/themeOverride81.xml"/><Relationship Id="rId2" Type="http://schemas.microsoft.com/office/2011/relationships/chartColorStyle" Target="colors43.xml"/><Relationship Id="rId1" Type="http://schemas.microsoft.com/office/2011/relationships/chartStyle" Target="style43.xml"/><Relationship Id="rId4" Type="http://schemas.openxmlformats.org/officeDocument/2006/relationships/oleObject" Target="file:////Users\user\Documents\NBS\AGRI%20CENSUS%20DOC\202021\Report%20Writing\Tables_for%20report%20writing_Teddy.xlsx" TargetMode="External"/></Relationships>
</file>

<file path=word/charts/_rels/chart94.xml.rels><?xml version="1.0" encoding="UTF-8" standalone="yes"?>
<Relationships xmlns="http://schemas.openxmlformats.org/package/2006/relationships"><Relationship Id="rId3" Type="http://schemas.openxmlformats.org/officeDocument/2006/relationships/themeOverride" Target="../theme/themeOverride82.xml"/><Relationship Id="rId2" Type="http://schemas.microsoft.com/office/2011/relationships/chartColorStyle" Target="colors44.xml"/><Relationship Id="rId1" Type="http://schemas.microsoft.com/office/2011/relationships/chartStyle" Target="style44.xml"/><Relationship Id="rId4" Type="http://schemas.openxmlformats.org/officeDocument/2006/relationships/oleObject" Target="file:////Users\user\Documents\NBS\AGRI%20CENSUS%20DOC\202021\Report%20Writing\Tables_for%20report%20writing_Teddy.xlsx" TargetMode="External"/></Relationships>
</file>

<file path=word/charts/_rels/chart95.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83.xml"/></Relationships>
</file>

<file path=word/charts/_rels/chart96.xml.rels><?xml version="1.0" encoding="UTF-8" standalone="yes"?>
<Relationships xmlns="http://schemas.openxmlformats.org/package/2006/relationships"><Relationship Id="rId3" Type="http://schemas.openxmlformats.org/officeDocument/2006/relationships/themeOverride" Target="../theme/themeOverride84.xml"/><Relationship Id="rId2" Type="http://schemas.microsoft.com/office/2011/relationships/chartColorStyle" Target="colors45.xml"/><Relationship Id="rId1" Type="http://schemas.microsoft.com/office/2011/relationships/chartStyle" Target="style45.xml"/><Relationship Id="rId4" Type="http://schemas.openxmlformats.org/officeDocument/2006/relationships/oleObject" Target="file:////Users\user\Documents\NBS\AGRI%20CENSUS%20DOC\202021\Report%20Writing\Tables_for%20report%20writing_Teddy.xlsx" TargetMode="External"/></Relationships>
</file>

<file path=word/charts/_rels/chart97.xml.rels><?xml version="1.0" encoding="UTF-8" standalone="yes"?>
<Relationships xmlns="http://schemas.openxmlformats.org/package/2006/relationships"><Relationship Id="rId3" Type="http://schemas.openxmlformats.org/officeDocument/2006/relationships/themeOverride" Target="../theme/themeOverride85.xml"/><Relationship Id="rId2" Type="http://schemas.microsoft.com/office/2011/relationships/chartColorStyle" Target="colors46.xml"/><Relationship Id="rId1" Type="http://schemas.microsoft.com/office/2011/relationships/chartStyle" Target="style46.xml"/><Relationship Id="rId4" Type="http://schemas.openxmlformats.org/officeDocument/2006/relationships/oleObject" Target="file:////Users\user\Documents\NBS\AGRI%20CENSUS%20DOC\202021\Report%20Writing\Tables_for%20report%20writing_Teddy.xlsx" TargetMode="External"/></Relationships>
</file>

<file path=word/charts/_rels/chart98.xml.rels><?xml version="1.0" encoding="UTF-8" standalone="yes"?>
<Relationships xmlns="http://schemas.openxmlformats.org/package/2006/relationships"><Relationship Id="rId3" Type="http://schemas.openxmlformats.org/officeDocument/2006/relationships/themeOverride" Target="../theme/themeOverride86.xml"/><Relationship Id="rId2" Type="http://schemas.microsoft.com/office/2011/relationships/chartColorStyle" Target="colors47.xml"/><Relationship Id="rId1" Type="http://schemas.microsoft.com/office/2011/relationships/chartStyle" Target="style47.xml"/><Relationship Id="rId4" Type="http://schemas.openxmlformats.org/officeDocument/2006/relationships/oleObject" Target="file:////Users\user\Documents\NBS\AGRI%20CENSUS%20DOC\202021\Report%20Writing\Tables_for%20report%20writing_Teddy.xlsx" TargetMode="External"/></Relationships>
</file>

<file path=word/charts/_rels/chart99.xml.rels><?xml version="1.0" encoding="UTF-8" standalone="yes"?>
<Relationships xmlns="http://schemas.openxmlformats.org/package/2006/relationships"><Relationship Id="rId3" Type="http://schemas.openxmlformats.org/officeDocument/2006/relationships/themeOverride" Target="../theme/themeOverride87.xml"/><Relationship Id="rId2" Type="http://schemas.microsoft.com/office/2011/relationships/chartColorStyle" Target="colors48.xml"/><Relationship Id="rId1" Type="http://schemas.microsoft.com/office/2011/relationships/chartStyle" Target="style48.xml"/><Relationship Id="rId4" Type="http://schemas.openxmlformats.org/officeDocument/2006/relationships/oleObject" Target="file:////C:\Users\Genja\Documents\July%2017%202021\ZERO%20Draft%20report\ZERO%20Draft%20report\Draft%20from%20Groups%202021\Teddy\Teddy\Tables_for%20report%20writing_Teddy.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5DA1-EC4C-AD30-BDAD800E9739}"/>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5DA1-EC4C-AD30-BDAD800E9739}"/>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5DA1-EC4C-AD30-BDAD800E9739}"/>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5DA1-EC4C-AD30-BDAD800E9739}"/>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5DA1-EC4C-AD30-BDAD800E9739}"/>
              </c:ext>
            </c:extLst>
          </c:dPt>
          <c:dLbls>
            <c:dLbl>
              <c:idx val="0"/>
              <c:layout>
                <c:manualLayout>
                  <c:x val="-3.5971296632063929E-2"/>
                  <c:y val="0.13622261444740508"/>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DA1-EC4C-AD30-BDAD800E9739}"/>
                </c:ext>
              </c:extLst>
            </c:dLbl>
            <c:dLbl>
              <c:idx val="1"/>
              <c:layout>
                <c:manualLayout>
                  <c:x val="2.3582143695452702E-2"/>
                  <c:y val="9.3702003465782988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5DA1-EC4C-AD30-BDAD800E9739}"/>
                </c:ext>
              </c:extLst>
            </c:dLbl>
            <c:dLbl>
              <c:idx val="2"/>
              <c:layout>
                <c:manualLayout>
                  <c:x val="3.0081300813008115E-3"/>
                  <c:y val="-7.823001854497917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5DA1-EC4C-AD30-BDAD800E9739}"/>
                </c:ext>
              </c:extLst>
            </c:dLbl>
            <c:dLbl>
              <c:idx val="3"/>
              <c:layout>
                <c:manualLayout>
                  <c:x val="-0.11009581119433241"/>
                  <c:y val="-2.070926944942693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5DA1-EC4C-AD30-BDAD800E9739}"/>
                </c:ext>
              </c:extLst>
            </c:dLbl>
            <c:dLbl>
              <c:idx val="4"/>
              <c:layout>
                <c:manualLayout>
                  <c:x val="0.10196380940187355"/>
                  <c:y val="-2.5535524275681756E-2"/>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9-5DA1-EC4C-AD30-BDAD800E9739}"/>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Sheet1!$R$75:$V$75</c:f>
              <c:strCache>
                <c:ptCount val="5"/>
                <c:pt idx="0">
                  <c:v> Crops only </c:v>
                </c:pt>
                <c:pt idx="1">
                  <c:v> Livestock only </c:v>
                </c:pt>
                <c:pt idx="2">
                  <c:v> Crops and Livestock </c:v>
                </c:pt>
                <c:pt idx="3">
                  <c:v> Fish farming  </c:v>
                </c:pt>
                <c:pt idx="4">
                  <c:v> Pastoralist </c:v>
                </c:pt>
              </c:strCache>
            </c:strRef>
          </c:cat>
          <c:val>
            <c:numRef>
              <c:f>Sheet1!$R$76:$V$76</c:f>
              <c:numCache>
                <c:formatCode>_(* #,##0_);_(* \(#,##0\);_(* "-"_);_(@_)</c:formatCode>
                <c:ptCount val="5"/>
                <c:pt idx="0">
                  <c:v>5088135</c:v>
                </c:pt>
                <c:pt idx="1">
                  <c:v>157290</c:v>
                </c:pt>
                <c:pt idx="2">
                  <c:v>2589156</c:v>
                </c:pt>
                <c:pt idx="3">
                  <c:v>1358</c:v>
                </c:pt>
                <c:pt idx="4">
                  <c:v>1465</c:v>
                </c:pt>
              </c:numCache>
            </c:numRef>
          </c:val>
          <c:extLst>
            <c:ext xmlns:c16="http://schemas.microsoft.com/office/drawing/2014/chart" uri="{C3380CC4-5D6E-409C-BE32-E72D297353CC}">
              <c16:uniqueId val="{0000000A-5DA1-EC4C-AD30-BDAD800E9739}"/>
            </c:ext>
          </c:extLst>
        </c:ser>
        <c:ser>
          <c:idx val="1"/>
          <c:order val="1"/>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C-5DA1-EC4C-AD30-BDAD800E9739}"/>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E-5DA1-EC4C-AD30-BDAD800E9739}"/>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10-5DA1-EC4C-AD30-BDAD800E9739}"/>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12-5DA1-EC4C-AD30-BDAD800E9739}"/>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14-5DA1-EC4C-AD30-BDAD800E9739}"/>
              </c:ext>
            </c:extLst>
          </c:dPt>
          <c:cat>
            <c:strRef>
              <c:f>Sheet1!$R$75:$V$75</c:f>
              <c:strCache>
                <c:ptCount val="5"/>
                <c:pt idx="0">
                  <c:v> Crops only </c:v>
                </c:pt>
                <c:pt idx="1">
                  <c:v> Livestock only </c:v>
                </c:pt>
                <c:pt idx="2">
                  <c:v> Crops and Livestock </c:v>
                </c:pt>
                <c:pt idx="3">
                  <c:v> Fish farming  </c:v>
                </c:pt>
                <c:pt idx="4">
                  <c:v> Pastoralist </c:v>
                </c:pt>
              </c:strCache>
            </c:strRef>
          </c:cat>
          <c:val>
            <c:numRef>
              <c:f>Sheet1!$R$77:$V$77</c:f>
              <c:numCache>
                <c:formatCode>_(* #,##0.0_);_(* \(#,##0.0\);_(* "-"_);_(@_)</c:formatCode>
                <c:ptCount val="5"/>
                <c:pt idx="0" formatCode="_(* #,##0_);_(* \(#,##0\);_(* &quot;-&quot;_);_(@_)">
                  <c:v>64.921169698388695</c:v>
                </c:pt>
                <c:pt idx="1">
                  <c:v>2.0069142783867875</c:v>
                </c:pt>
                <c:pt idx="2">
                  <c:v>33.03588368854232</c:v>
                </c:pt>
                <c:pt idx="3" formatCode="_(* #,##0.00_);_(* \(#,##0.00\);_(* &quot;-&quot;_);_(@_)">
                  <c:v>1.7327163774233944E-2</c:v>
                </c:pt>
                <c:pt idx="4" formatCode="_(* #,##0.00_);_(* \(#,##0.00\);_(* &quot;-&quot;_);_(@_)">
                  <c:v>1.8692411582660332E-2</c:v>
                </c:pt>
              </c:numCache>
            </c:numRef>
          </c:val>
          <c:extLst>
            <c:ext xmlns:c16="http://schemas.microsoft.com/office/drawing/2014/chart" uri="{C3380CC4-5D6E-409C-BE32-E72D297353CC}">
              <c16:uniqueId val="{00000015-5DA1-EC4C-AD30-BDAD800E9739}"/>
            </c:ext>
          </c:extLst>
        </c:ser>
        <c:dLbls>
          <c:showLegendKey val="0"/>
          <c:showVal val="0"/>
          <c:showCatName val="0"/>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6350" cap="flat" cmpd="sng" algn="ctr">
      <a:solidFill>
        <a:sysClr val="windowText" lastClr="000000">
          <a:lumMod val="50000"/>
          <a:lumOff val="50000"/>
        </a:sys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4372231274785371"/>
          <c:y val="8.4764849567187425E-2"/>
          <c:w val="0.71555863783494678"/>
          <c:h val="0.66821539528739793"/>
        </c:manualLayout>
      </c:layout>
      <c:pie3DChart>
        <c:varyColors val="1"/>
        <c:ser>
          <c:idx val="0"/>
          <c:order val="0"/>
          <c:explosion val="18"/>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AF96-D346-95C8-897A2D5A3959}"/>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AF96-D346-95C8-897A2D5A3959}"/>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AF96-D346-95C8-897A2D5A3959}"/>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AF96-D346-95C8-897A2D5A3959}"/>
              </c:ext>
            </c:extLst>
          </c:dPt>
          <c:dLbls>
            <c:dLbl>
              <c:idx val="0"/>
              <c:layout>
                <c:manualLayout>
                  <c:x val="-0.10442159383033418"/>
                  <c:y val="-0.12631789013578026"/>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AF96-D346-95C8-897A2D5A3959}"/>
                </c:ext>
              </c:extLst>
            </c:dLbl>
            <c:dLbl>
              <c:idx val="1"/>
              <c:layout>
                <c:manualLayout>
                  <c:x val="-6.5044975310289604E-2"/>
                  <c:y val="8.8000697329807948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AF96-D346-95C8-897A2D5A3959}"/>
                </c:ext>
              </c:extLst>
            </c:dLbl>
            <c:dLbl>
              <c:idx val="2"/>
              <c:layout>
                <c:manualLayout>
                  <c:x val="-0.16917191263688439"/>
                  <c:y val="2.121295492590967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AF96-D346-95C8-897A2D5A3959}"/>
                </c:ext>
              </c:extLst>
            </c:dLbl>
            <c:dLbl>
              <c:idx val="3"/>
              <c:layout>
                <c:manualLayout>
                  <c:x val="7.3770418800477702E-2"/>
                  <c:y val="-0.16121930993861988"/>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AF96-D346-95C8-897A2D5A3959}"/>
                </c:ext>
              </c:extLst>
            </c:dLbl>
            <c:numFmt formatCode="0.0%" sourceLinked="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Sheet4!$I$65:$L$65</c:f>
              <c:strCache>
                <c:ptCount val="4"/>
                <c:pt idx="0">
                  <c:v> Works full time on farm </c:v>
                </c:pt>
                <c:pt idx="1">
                  <c:v> Works part-time on farm </c:v>
                </c:pt>
                <c:pt idx="2">
                  <c:v> Rarely works on farm </c:v>
                </c:pt>
                <c:pt idx="3">
                  <c:v> Never works on farm </c:v>
                </c:pt>
              </c:strCache>
            </c:strRef>
          </c:cat>
          <c:val>
            <c:numRef>
              <c:f>Sheet4!$I$66:$L$66</c:f>
              <c:numCache>
                <c:formatCode>_(* #,##0_);_(* \(#,##0\);_(* "-"_);_(@_)</c:formatCode>
                <c:ptCount val="4"/>
                <c:pt idx="0">
                  <c:v>13201487</c:v>
                </c:pt>
                <c:pt idx="1">
                  <c:v>1631281</c:v>
                </c:pt>
                <c:pt idx="2">
                  <c:v>5863533</c:v>
                </c:pt>
                <c:pt idx="3">
                  <c:v>14710213</c:v>
                </c:pt>
              </c:numCache>
            </c:numRef>
          </c:val>
          <c:extLst>
            <c:ext xmlns:c16="http://schemas.microsoft.com/office/drawing/2014/chart" uri="{C3380CC4-5D6E-409C-BE32-E72D297353CC}">
              <c16:uniqueId val="{00000008-AF96-D346-95C8-897A2D5A3959}"/>
            </c:ext>
          </c:extLst>
        </c:ser>
        <c:ser>
          <c:idx val="1"/>
          <c:order val="1"/>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A-AF96-D346-95C8-897A2D5A3959}"/>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C-AF96-D346-95C8-897A2D5A3959}"/>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E-AF96-D346-95C8-897A2D5A3959}"/>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10-AF96-D346-95C8-897A2D5A3959}"/>
              </c:ext>
            </c:extLst>
          </c:dPt>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Sheet4!$I$65:$L$65</c:f>
              <c:strCache>
                <c:ptCount val="4"/>
                <c:pt idx="0">
                  <c:v> Works full time on farm </c:v>
                </c:pt>
                <c:pt idx="1">
                  <c:v> Works part-time on farm </c:v>
                </c:pt>
                <c:pt idx="2">
                  <c:v> Rarely works on farm </c:v>
                </c:pt>
                <c:pt idx="3">
                  <c:v> Never works on farm </c:v>
                </c:pt>
              </c:strCache>
            </c:strRef>
          </c:cat>
          <c:val>
            <c:numRef>
              <c:f>Sheet4!$I$67:$L$67</c:f>
              <c:numCache>
                <c:formatCode>_(* #,##0.0_);_(* \(#,##0.0\);_(* "-"_);_(@_)</c:formatCode>
                <c:ptCount val="4"/>
                <c:pt idx="0">
                  <c:v>37.285475209448748</c:v>
                </c:pt>
                <c:pt idx="1">
                  <c:v>4.6072906245443992</c:v>
                </c:pt>
                <c:pt idx="2">
                  <c:v>16.560605203889882</c:v>
                </c:pt>
                <c:pt idx="3">
                  <c:v>41.546628962116969</c:v>
                </c:pt>
              </c:numCache>
            </c:numRef>
          </c:val>
          <c:extLst>
            <c:ext xmlns:c16="http://schemas.microsoft.com/office/drawing/2014/chart" uri="{C3380CC4-5D6E-409C-BE32-E72D297353CC}">
              <c16:uniqueId val="{00000011-AF96-D346-95C8-897A2D5A3959}"/>
            </c:ext>
          </c:extLst>
        </c:ser>
        <c:dLbls>
          <c:showLegendKey val="0"/>
          <c:showVal val="0"/>
          <c:showCatName val="1"/>
          <c:showSerName val="0"/>
          <c:showPercent val="1"/>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6350" cap="flat" cmpd="sng" algn="ctr">
      <a:solidFill>
        <a:sysClr val="windowText" lastClr="000000">
          <a:lumMod val="50000"/>
          <a:lumOff val="50000"/>
        </a:sysClr>
      </a:solidFill>
      <a:round/>
    </a:ln>
    <a:effectLst/>
  </c:spPr>
  <c:txPr>
    <a:bodyPr/>
    <a:lstStyle/>
    <a:p>
      <a:pPr>
        <a:defRPr sz="600" b="0" i="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242395226881496E-2"/>
          <c:y val="5.0925925925925923E-2"/>
          <c:w val="0.88773374103257696"/>
          <c:h val="0.63293270632837562"/>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5400000" spcFirstLastPara="1" vertOverflow="ellipsis"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'Figures_2_Sources of Inputs'!$H$189:$H$214</c:f>
              <c:strCache>
                <c:ptCount val="26"/>
                <c:pt idx="0">
                  <c:v> Morogoro </c:v>
                </c:pt>
                <c:pt idx="1">
                  <c:v> Mbeya </c:v>
                </c:pt>
                <c:pt idx="2">
                  <c:v> Lindi </c:v>
                </c:pt>
                <c:pt idx="3">
                  <c:v> Ruvuma </c:v>
                </c:pt>
                <c:pt idx="4">
                  <c:v> Songwe </c:v>
                </c:pt>
                <c:pt idx="5">
                  <c:v> Kilimanjaro </c:v>
                </c:pt>
                <c:pt idx="6">
                  <c:v> Mtwara </c:v>
                </c:pt>
                <c:pt idx="7">
                  <c:v> Dar Es Salaam </c:v>
                </c:pt>
                <c:pt idx="8">
                  <c:v> Iringa </c:v>
                </c:pt>
                <c:pt idx="9">
                  <c:v> Kagera </c:v>
                </c:pt>
                <c:pt idx="10">
                  <c:v> Arusha </c:v>
                </c:pt>
                <c:pt idx="11">
                  <c:v> Pwani </c:v>
                </c:pt>
                <c:pt idx="12">
                  <c:v> Tabora </c:v>
                </c:pt>
                <c:pt idx="13">
                  <c:v> Kigoma </c:v>
                </c:pt>
                <c:pt idx="14">
                  <c:v> Dodoma </c:v>
                </c:pt>
                <c:pt idx="15">
                  <c:v> Tanga </c:v>
                </c:pt>
                <c:pt idx="16">
                  <c:v> Mwanza </c:v>
                </c:pt>
                <c:pt idx="17">
                  <c:v> Singida </c:v>
                </c:pt>
                <c:pt idx="18">
                  <c:v> Geita </c:v>
                </c:pt>
                <c:pt idx="19">
                  <c:v> Rukwa </c:v>
                </c:pt>
                <c:pt idx="20">
                  <c:v> Manyara </c:v>
                </c:pt>
                <c:pt idx="21">
                  <c:v> Njombe </c:v>
                </c:pt>
                <c:pt idx="22">
                  <c:v> Shinyanga </c:v>
                </c:pt>
                <c:pt idx="23">
                  <c:v> Mara </c:v>
                </c:pt>
                <c:pt idx="24">
                  <c:v> Katavi </c:v>
                </c:pt>
                <c:pt idx="25">
                  <c:v> Simiyu </c:v>
                </c:pt>
              </c:strCache>
            </c:strRef>
          </c:cat>
          <c:val>
            <c:numRef>
              <c:f>'Figures_2_Sources of Inputs'!$I$189:$I$214</c:f>
              <c:numCache>
                <c:formatCode>0.0</c:formatCode>
                <c:ptCount val="26"/>
                <c:pt idx="0">
                  <c:v>16.826745345044621</c:v>
                </c:pt>
                <c:pt idx="1">
                  <c:v>14.703411840128782</c:v>
                </c:pt>
                <c:pt idx="2">
                  <c:v>9.8550751765350011</c:v>
                </c:pt>
                <c:pt idx="3">
                  <c:v>8.7842833544691796</c:v>
                </c:pt>
                <c:pt idx="4">
                  <c:v>7.4899273270097391</c:v>
                </c:pt>
                <c:pt idx="5">
                  <c:v>6.3852089640940219</c:v>
                </c:pt>
                <c:pt idx="6">
                  <c:v>5.5550616059186613</c:v>
                </c:pt>
                <c:pt idx="7">
                  <c:v>5.0537677178434892</c:v>
                </c:pt>
                <c:pt idx="8">
                  <c:v>3.3375527031263896</c:v>
                </c:pt>
                <c:pt idx="9">
                  <c:v>2.9237658928295676</c:v>
                </c:pt>
                <c:pt idx="10">
                  <c:v>2.4466885356369068</c:v>
                </c:pt>
                <c:pt idx="11">
                  <c:v>1.9286653532805798</c:v>
                </c:pt>
                <c:pt idx="12">
                  <c:v>1.6134994875922453</c:v>
                </c:pt>
                <c:pt idx="13">
                  <c:v>1.5959512768078168</c:v>
                </c:pt>
                <c:pt idx="14">
                  <c:v>1.5373402527878259</c:v>
                </c:pt>
                <c:pt idx="15">
                  <c:v>1.3666546558912855</c:v>
                </c:pt>
                <c:pt idx="16">
                  <c:v>1.3482875286035838</c:v>
                </c:pt>
                <c:pt idx="17">
                  <c:v>1.2309484924917056</c:v>
                </c:pt>
                <c:pt idx="18">
                  <c:v>1.1044843867719247</c:v>
                </c:pt>
                <c:pt idx="19">
                  <c:v>1.0795659274580365</c:v>
                </c:pt>
                <c:pt idx="20">
                  <c:v>0.98316775621557639</c:v>
                </c:pt>
                <c:pt idx="21">
                  <c:v>0.94736940621534238</c:v>
                </c:pt>
                <c:pt idx="22">
                  <c:v>0.56446744689911421</c:v>
                </c:pt>
                <c:pt idx="23">
                  <c:v>0.49602942483984336</c:v>
                </c:pt>
                <c:pt idx="24">
                  <c:v>0.49521050833657004</c:v>
                </c:pt>
                <c:pt idx="25">
                  <c:v>0.34686963317220182</c:v>
                </c:pt>
              </c:numCache>
            </c:numRef>
          </c:val>
          <c:extLst>
            <c:ext xmlns:c16="http://schemas.microsoft.com/office/drawing/2014/chart" uri="{C3380CC4-5D6E-409C-BE32-E72D297353CC}">
              <c16:uniqueId val="{00000000-2662-2E4C-BA42-054616230774}"/>
            </c:ext>
          </c:extLst>
        </c:ser>
        <c:dLbls>
          <c:showLegendKey val="0"/>
          <c:showVal val="0"/>
          <c:showCatName val="0"/>
          <c:showSerName val="0"/>
          <c:showPercent val="0"/>
          <c:showBubbleSize val="0"/>
        </c:dLbls>
        <c:gapWidth val="219"/>
        <c:overlap val="-27"/>
        <c:axId val="107183488"/>
        <c:axId val="107197952"/>
      </c:barChart>
      <c:catAx>
        <c:axId val="107183488"/>
        <c:scaling>
          <c:orientation val="minMax"/>
        </c:scaling>
        <c:delete val="0"/>
        <c:axPos val="b"/>
        <c:title>
          <c:tx>
            <c:rich>
              <a:bodyPr rot="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Region</a:t>
                </a:r>
              </a:p>
            </c:rich>
          </c:tx>
          <c:layout>
            <c:manualLayout>
              <c:xMode val="edge"/>
              <c:yMode val="edge"/>
              <c:x val="0.49897883729748449"/>
              <c:y val="0.9055795352744761"/>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chemeClr val="tx1">
                <a:lumMod val="50000"/>
                <a:lumOff val="50000"/>
              </a:schemeClr>
            </a:solidFill>
            <a:round/>
          </a:ln>
          <a:effectLst/>
        </c:spPr>
        <c:txPr>
          <a:bodyPr rot="-5400000" spcFirstLastPara="1" vertOverflow="ellipsis"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07197952"/>
        <c:crosses val="autoZero"/>
        <c:auto val="1"/>
        <c:lblAlgn val="ctr"/>
        <c:lblOffset val="100"/>
        <c:noMultiLvlLbl val="0"/>
      </c:catAx>
      <c:valAx>
        <c:axId val="107197952"/>
        <c:scaling>
          <c:orientation val="minMax"/>
        </c:scaling>
        <c:delete val="0"/>
        <c:axPos val="l"/>
        <c:title>
          <c:tx>
            <c:rich>
              <a:bodyPr rot="-540000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Percent</a:t>
                </a:r>
              </a:p>
            </c:rich>
          </c:tx>
          <c:layout>
            <c:manualLayout>
              <c:xMode val="edge"/>
              <c:yMode val="edge"/>
              <c:x val="1.9893858675168841E-2"/>
              <c:y val="0.28305650688601325"/>
            </c:manualLayout>
          </c:layout>
          <c:overlay val="0"/>
          <c:spPr>
            <a:noFill/>
            <a:ln>
              <a:noFill/>
            </a:ln>
            <a:effectLst/>
          </c:spPr>
          <c:txPr>
            <a:bodyPr rot="-540000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a:solidFill>
              <a:schemeClr val="tx1">
                <a:lumMod val="50000"/>
                <a:lumOff val="50000"/>
              </a:schemeClr>
            </a:solidFill>
          </a:ln>
          <a:effectLst/>
        </c:spPr>
        <c:txPr>
          <a:bodyPr rot="-6000000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071834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700" b="0" i="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243540882200883"/>
          <c:y val="0.10286185898150833"/>
          <c:w val="0.85305100953025859"/>
          <c:h val="0.59365356594750984"/>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'Figures_2_Sources of Inputs'!$H$216:$H$220</c:f>
              <c:strCache>
                <c:ptCount val="5"/>
                <c:pt idx="0">
                  <c:v> Kusini  Pemba </c:v>
                </c:pt>
                <c:pt idx="1">
                  <c:v> Kaskazini Unguja </c:v>
                </c:pt>
                <c:pt idx="2">
                  <c:v> Mjini Magharibi </c:v>
                </c:pt>
                <c:pt idx="3">
                  <c:v> Kusini Unguja </c:v>
                </c:pt>
                <c:pt idx="4">
                  <c:v> Kaskazini Pemba </c:v>
                </c:pt>
              </c:strCache>
            </c:strRef>
          </c:cat>
          <c:val>
            <c:numRef>
              <c:f>'Figures_2_Sources of Inputs'!$I$216:$I$220</c:f>
              <c:numCache>
                <c:formatCode>0.0</c:formatCode>
                <c:ptCount val="5"/>
                <c:pt idx="0">
                  <c:v>41.263805902589176</c:v>
                </c:pt>
                <c:pt idx="1">
                  <c:v>22.166395075140322</c:v>
                </c:pt>
                <c:pt idx="2">
                  <c:v>16.748144124569983</c:v>
                </c:pt>
                <c:pt idx="3">
                  <c:v>10.162049610718812</c:v>
                </c:pt>
                <c:pt idx="4">
                  <c:v>9.6596052869817139</c:v>
                </c:pt>
              </c:numCache>
            </c:numRef>
          </c:val>
          <c:extLst>
            <c:ext xmlns:c16="http://schemas.microsoft.com/office/drawing/2014/chart" uri="{C3380CC4-5D6E-409C-BE32-E72D297353CC}">
              <c16:uniqueId val="{00000000-5E9B-3442-831B-0C7258F9682D}"/>
            </c:ext>
          </c:extLst>
        </c:ser>
        <c:dLbls>
          <c:dLblPos val="outEnd"/>
          <c:showLegendKey val="0"/>
          <c:showVal val="1"/>
          <c:showCatName val="0"/>
          <c:showSerName val="0"/>
          <c:showPercent val="0"/>
          <c:showBubbleSize val="0"/>
        </c:dLbls>
        <c:gapWidth val="219"/>
        <c:overlap val="-27"/>
        <c:axId val="107555456"/>
        <c:axId val="107595648"/>
      </c:barChart>
      <c:catAx>
        <c:axId val="107555456"/>
        <c:scaling>
          <c:orientation val="minMax"/>
        </c:scaling>
        <c:delete val="0"/>
        <c:axPos val="b"/>
        <c:title>
          <c:tx>
            <c:rich>
              <a:bodyPr rot="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Region</a:t>
                </a:r>
              </a:p>
            </c:rich>
          </c:tx>
          <c:layout>
            <c:manualLayout>
              <c:xMode val="edge"/>
              <c:yMode val="edge"/>
              <c:x val="0.49429690325811748"/>
              <c:y val="0.85474532651429691"/>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chemeClr val="tx1">
                <a:lumMod val="50000"/>
                <a:lumOff val="50000"/>
              </a:schemeClr>
            </a:solidFill>
            <a:round/>
          </a:ln>
          <a:effectLst/>
        </c:spPr>
        <c:txPr>
          <a:bodyPr rot="0" spcFirstLastPara="1" vertOverflow="ellipsis"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07595648"/>
        <c:crosses val="autoZero"/>
        <c:auto val="1"/>
        <c:lblAlgn val="ctr"/>
        <c:lblOffset val="100"/>
        <c:noMultiLvlLbl val="0"/>
      </c:catAx>
      <c:valAx>
        <c:axId val="107595648"/>
        <c:scaling>
          <c:orientation val="minMax"/>
        </c:scaling>
        <c:delete val="0"/>
        <c:axPos val="l"/>
        <c:title>
          <c:tx>
            <c:rich>
              <a:bodyPr rot="-540000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Percent</a:t>
                </a:r>
              </a:p>
            </c:rich>
          </c:tx>
          <c:layout>
            <c:manualLayout>
              <c:xMode val="edge"/>
              <c:yMode val="edge"/>
              <c:x val="1.2309726536942909E-2"/>
              <c:y val="0.29705769490493517"/>
            </c:manualLayout>
          </c:layout>
          <c:overlay val="0"/>
          <c:spPr>
            <a:noFill/>
            <a:ln>
              <a:noFill/>
            </a:ln>
            <a:effectLst/>
          </c:spPr>
          <c:txPr>
            <a:bodyPr rot="-540000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a:solidFill>
              <a:schemeClr val="tx1">
                <a:lumMod val="50000"/>
                <a:lumOff val="50000"/>
              </a:schemeClr>
            </a:solidFill>
          </a:ln>
          <a:effectLst/>
        </c:spPr>
        <c:txPr>
          <a:bodyPr rot="-6000000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07555456"/>
        <c:crosses val="autoZero"/>
        <c:crossBetween val="between"/>
        <c:majorUnit val="5"/>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70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10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19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580838873740004"/>
          <c:y val="3.6145601655965594E-2"/>
          <c:w val="0.75205398449707406"/>
          <c:h val="0.72323510999399143"/>
        </c:manualLayout>
      </c:layout>
      <c:pie3DChart>
        <c:varyColors val="1"/>
        <c:ser>
          <c:idx val="0"/>
          <c:order val="0"/>
          <c:explosion val="19"/>
          <c:dPt>
            <c:idx val="0"/>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1-48EF-4A52-B4F6-3554FE52D6C0}"/>
              </c:ext>
            </c:extLst>
          </c:dPt>
          <c:dPt>
            <c:idx val="1"/>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3-48EF-4A52-B4F6-3554FE52D6C0}"/>
              </c:ext>
            </c:extLst>
          </c:dPt>
          <c:dPt>
            <c:idx val="2"/>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5-48EF-4A52-B4F6-3554FE52D6C0}"/>
              </c:ext>
            </c:extLst>
          </c:dPt>
          <c:dPt>
            <c:idx val="3"/>
            <c:bubble3D val="0"/>
            <c:spPr>
              <a:solidFill>
                <a:schemeClr val="accent6">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7-48EF-4A52-B4F6-3554FE52D6C0}"/>
              </c:ext>
            </c:extLst>
          </c:dPt>
          <c:dPt>
            <c:idx val="4"/>
            <c:bubble3D val="0"/>
            <c:spPr>
              <a:solidFill>
                <a:schemeClr val="accent5">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9-48EF-4A52-B4F6-3554FE52D6C0}"/>
              </c:ext>
            </c:extLst>
          </c:dPt>
          <c:dPt>
            <c:idx val="5"/>
            <c:bubble3D val="0"/>
            <c:spPr>
              <a:solidFill>
                <a:schemeClr val="accent4">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B-48EF-4A52-B4F6-3554FE52D6C0}"/>
              </c:ext>
            </c:extLst>
          </c:dPt>
          <c:dPt>
            <c:idx val="6"/>
            <c:bubble3D val="0"/>
            <c:spPr>
              <a:solidFill>
                <a:schemeClr val="accent6">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48EF-4A52-B4F6-3554FE52D6C0}"/>
              </c:ext>
            </c:extLst>
          </c:dPt>
          <c:dPt>
            <c:idx val="7"/>
            <c:bubble3D val="0"/>
            <c:spPr>
              <a:solidFill>
                <a:schemeClr val="accent5">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48EF-4A52-B4F6-3554FE52D6C0}"/>
              </c:ext>
            </c:extLst>
          </c:dPt>
          <c:dPt>
            <c:idx val="8"/>
            <c:bubble3D val="0"/>
            <c:spPr>
              <a:solidFill>
                <a:schemeClr val="accent4">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1-48EF-4A52-B4F6-3554FE52D6C0}"/>
              </c:ext>
            </c:extLst>
          </c:dPt>
          <c:dPt>
            <c:idx val="9"/>
            <c:bubble3D val="0"/>
            <c:spPr>
              <a:solidFill>
                <a:schemeClr val="accent6">
                  <a:lumMod val="8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3-48EF-4A52-B4F6-3554FE52D6C0}"/>
              </c:ext>
            </c:extLst>
          </c:dPt>
          <c:dPt>
            <c:idx val="10"/>
            <c:bubble3D val="0"/>
            <c:spPr>
              <a:solidFill>
                <a:schemeClr val="accent5">
                  <a:lumMod val="8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5-48EF-4A52-B4F6-3554FE52D6C0}"/>
              </c:ext>
            </c:extLst>
          </c:dPt>
          <c:dLbls>
            <c:dLbl>
              <c:idx val="0"/>
              <c:layout>
                <c:manualLayout>
                  <c:x val="-0.17050968832354754"/>
                  <c:y val="6.6604439051384454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48EF-4A52-B4F6-3554FE52D6C0}"/>
                </c:ext>
              </c:extLst>
            </c:dLbl>
            <c:dLbl>
              <c:idx val="1"/>
              <c:layout>
                <c:manualLayout>
                  <c:x val="-8.5076857763074637E-2"/>
                  <c:y val="-5.7008051808934555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48EF-4A52-B4F6-3554FE52D6C0}"/>
                </c:ext>
              </c:extLst>
            </c:dLbl>
            <c:dLbl>
              <c:idx val="3"/>
              <c:layout>
                <c:manualLayout>
                  <c:x val="7.3993639909965478E-2"/>
                  <c:y val="-0.22538975600107564"/>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48EF-4A52-B4F6-3554FE52D6C0}"/>
                </c:ext>
              </c:extLst>
            </c:dLbl>
            <c:dLbl>
              <c:idx val="4"/>
              <c:layout>
                <c:manualLayout>
                  <c:x val="9.9005134531123584E-2"/>
                  <c:y val="-6.5352330535313058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48EF-4A52-B4F6-3554FE52D6C0}"/>
                </c:ext>
              </c:extLst>
            </c:dLbl>
            <c:dLbl>
              <c:idx val="5"/>
              <c:layout>
                <c:manualLayout>
                  <c:x val="0.15473922829839556"/>
                  <c:y val="2.0613786528165774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48EF-4A52-B4F6-3554FE52D6C0}"/>
                </c:ext>
              </c:extLst>
            </c:dLbl>
            <c:dLbl>
              <c:idx val="6"/>
              <c:layout>
                <c:manualLayout>
                  <c:x val="0.20926138047596543"/>
                  <c:y val="0.11198570542780374"/>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48EF-4A52-B4F6-3554FE52D6C0}"/>
                </c:ext>
              </c:extLst>
            </c:dLbl>
            <c:dLbl>
              <c:idx val="7"/>
              <c:layout>
                <c:manualLayout>
                  <c:x val="9.0257207167517076E-2"/>
                  <c:y val="0.1411242307666663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48EF-4A52-B4F6-3554FE52D6C0}"/>
                </c:ext>
              </c:extLst>
            </c:dLbl>
            <c:dLbl>
              <c:idx val="8"/>
              <c:layout>
                <c:manualLayout>
                  <c:x val="-7.7125303385906872E-3"/>
                  <c:y val="0.15915779367545196"/>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1-48EF-4A52-B4F6-3554FE52D6C0}"/>
                </c:ext>
              </c:extLst>
            </c:dLbl>
            <c:dLbl>
              <c:idx val="9"/>
              <c:layout>
                <c:manualLayout>
                  <c:x val="-6.2416193398002258E-2"/>
                  <c:y val="0.17750382810954737"/>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3-48EF-4A52-B4F6-3554FE52D6C0}"/>
                </c:ext>
              </c:extLst>
            </c:dLbl>
            <c:dLbl>
              <c:idx val="10"/>
              <c:layout>
                <c:manualLayout>
                  <c:x val="-3.6915756842703956E-2"/>
                  <c:y val="3.3817597525118842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5-48EF-4A52-B4F6-3554FE52D6C0}"/>
                </c:ext>
              </c:extLst>
            </c:dLbl>
            <c:numFmt formatCode="0.0%" sourceLinked="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'NEW_Figures_Sec 12_by Crop grow'!$B$69:$L$69</c:f>
              <c:strCache>
                <c:ptCount val="11"/>
                <c:pt idx="0">
                  <c:v> Government </c:v>
                </c:pt>
                <c:pt idx="1">
                  <c:v> Local Farmers Group </c:v>
                </c:pt>
                <c:pt idx="2">
                  <c:v> Local Market /Trade Store </c:v>
                </c:pt>
                <c:pt idx="3">
                  <c:v> Secondary Market </c:v>
                </c:pt>
                <c:pt idx="4">
                  <c:v> Development Project </c:v>
                </c:pt>
                <c:pt idx="5">
                  <c:v> Crop Buyers </c:v>
                </c:pt>
                <c:pt idx="6">
                  <c:v> Large Scale Farm </c:v>
                </c:pt>
                <c:pt idx="7">
                  <c:v> Locally Produced by Household </c:v>
                </c:pt>
                <c:pt idx="8">
                  <c:v> Neighbour </c:v>
                </c:pt>
                <c:pt idx="9">
                  <c:v> Cooperative </c:v>
                </c:pt>
                <c:pt idx="10">
                  <c:v> Other </c:v>
                </c:pt>
              </c:strCache>
            </c:strRef>
          </c:cat>
          <c:val>
            <c:numRef>
              <c:f>'NEW_Figures_Sec 12_by Crop grow'!$B$107:$L$107</c:f>
              <c:numCache>
                <c:formatCode>_(* #,##0.0_);_(* \(#,##0.0\);_(* "-"_);_(@_)</c:formatCode>
                <c:ptCount val="11"/>
                <c:pt idx="0">
                  <c:v>4.1686433719551141</c:v>
                </c:pt>
                <c:pt idx="1">
                  <c:v>2.9740671471581064</c:v>
                </c:pt>
                <c:pt idx="2">
                  <c:v>77.40454794270596</c:v>
                </c:pt>
                <c:pt idx="3">
                  <c:v>2.2970075723017973</c:v>
                </c:pt>
                <c:pt idx="4">
                  <c:v>1.9841939604050727</c:v>
                </c:pt>
                <c:pt idx="5">
                  <c:v>2.176808685338929</c:v>
                </c:pt>
                <c:pt idx="6">
                  <c:v>2.1493248791168691</c:v>
                </c:pt>
                <c:pt idx="7">
                  <c:v>1.4844676580603962</c:v>
                </c:pt>
                <c:pt idx="8">
                  <c:v>2.4714898275704775</c:v>
                </c:pt>
                <c:pt idx="9">
                  <c:v>2.6647887966426422</c:v>
                </c:pt>
                <c:pt idx="10">
                  <c:v>0.22511632150351246</c:v>
                </c:pt>
              </c:numCache>
            </c:numRef>
          </c:val>
          <c:extLst>
            <c:ext xmlns:c16="http://schemas.microsoft.com/office/drawing/2014/chart" uri="{C3380CC4-5D6E-409C-BE32-E72D297353CC}">
              <c16:uniqueId val="{00000016-48EF-4A52-B4F6-3554FE52D6C0}"/>
            </c:ext>
          </c:extLst>
        </c:ser>
        <c:dLbls>
          <c:showLegendKey val="0"/>
          <c:showVal val="0"/>
          <c:showCatName val="0"/>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lumMod val="50000"/>
          <a:lumOff val="50000"/>
        </a:sys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10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4337479718766902E-2"/>
          <c:y val="6.9552855666797309E-2"/>
          <c:w val="0.88659411859231885"/>
          <c:h val="0.7544391786944411"/>
        </c:manualLayout>
      </c:layout>
      <c:pie3DChart>
        <c:varyColors val="1"/>
        <c:ser>
          <c:idx val="0"/>
          <c:order val="0"/>
          <c:explosion val="35"/>
          <c:dPt>
            <c:idx val="0"/>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1-7C08-4B49-855A-14D1F194819A}"/>
              </c:ext>
            </c:extLst>
          </c:dPt>
          <c:dPt>
            <c:idx val="1"/>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3-7C08-4B49-855A-14D1F194819A}"/>
              </c:ext>
            </c:extLst>
          </c:dPt>
          <c:dLbls>
            <c:dLbl>
              <c:idx val="0"/>
              <c:layout>
                <c:manualLayout>
                  <c:x val="0.16612437730997898"/>
                  <c:y val="3.436171632530787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7C08-4B49-855A-14D1F194819A}"/>
                </c:ext>
              </c:extLst>
            </c:dLbl>
            <c:dLbl>
              <c:idx val="1"/>
              <c:layout>
                <c:manualLayout>
                  <c:x val="-0.20571428571428571"/>
                  <c:y val="-3.606202668589975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7C08-4B49-855A-14D1F194819A}"/>
                </c:ext>
              </c:extLst>
            </c:dLbl>
            <c:numFmt formatCode="0.0%" sourceLinked="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'Figures_Extension Services'!$B$48:$B$49</c:f>
              <c:strCache>
                <c:ptCount val="2"/>
                <c:pt idx="0">
                  <c:v>Households that received Crop Advices</c:v>
                </c:pt>
                <c:pt idx="1">
                  <c:v>Households that did NOT receive Crop Advices</c:v>
                </c:pt>
              </c:strCache>
            </c:strRef>
          </c:cat>
          <c:val>
            <c:numRef>
              <c:f>'Figures_Extension Services'!$C$48:$C$49</c:f>
              <c:numCache>
                <c:formatCode>General</c:formatCode>
                <c:ptCount val="2"/>
                <c:pt idx="0">
                  <c:v>6.9</c:v>
                </c:pt>
                <c:pt idx="1">
                  <c:v>93.1</c:v>
                </c:pt>
              </c:numCache>
            </c:numRef>
          </c:val>
          <c:extLst>
            <c:ext xmlns:c16="http://schemas.microsoft.com/office/drawing/2014/chart" uri="{C3380CC4-5D6E-409C-BE32-E72D297353CC}">
              <c16:uniqueId val="{00000004-7C08-4B49-855A-14D1F194819A}"/>
            </c:ext>
          </c:extLst>
        </c:ser>
        <c:dLbls>
          <c:dLblPos val="inEnd"/>
          <c:showLegendKey val="0"/>
          <c:showVal val="0"/>
          <c:showCatName val="1"/>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10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279089149137506"/>
          <c:y val="5.0925925925925923E-2"/>
          <c:w val="0.815340527307295"/>
          <c:h val="0.60597368706205301"/>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5400000"/>
              <a:lstStyle/>
              <a:p>
                <a:pPr>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'Figures_Extension Services'!$N$5:$N$30</c:f>
              <c:strCache>
                <c:ptCount val="26"/>
                <c:pt idx="0">
                  <c:v>Tabora</c:v>
                </c:pt>
                <c:pt idx="1">
                  <c:v>Mbeya</c:v>
                </c:pt>
                <c:pt idx="2">
                  <c:v>Ruvuma</c:v>
                </c:pt>
                <c:pt idx="3">
                  <c:v>Kagera</c:v>
                </c:pt>
                <c:pt idx="4">
                  <c:v>Morogoro</c:v>
                </c:pt>
                <c:pt idx="5">
                  <c:v>Songwe</c:v>
                </c:pt>
                <c:pt idx="6">
                  <c:v>Simiyu</c:v>
                </c:pt>
                <c:pt idx="7">
                  <c:v>Iringa</c:v>
                </c:pt>
                <c:pt idx="8">
                  <c:v>Tanga</c:v>
                </c:pt>
                <c:pt idx="9">
                  <c:v>Kilimanjaro</c:v>
                </c:pt>
                <c:pt idx="10">
                  <c:v>Dodoma</c:v>
                </c:pt>
                <c:pt idx="11">
                  <c:v>Mwanza</c:v>
                </c:pt>
                <c:pt idx="12">
                  <c:v>Rukwa</c:v>
                </c:pt>
                <c:pt idx="13">
                  <c:v>Dar Es Salaam</c:v>
                </c:pt>
                <c:pt idx="14">
                  <c:v>Kigoma</c:v>
                </c:pt>
                <c:pt idx="15">
                  <c:v>Shinyanga</c:v>
                </c:pt>
                <c:pt idx="16">
                  <c:v>Pwani</c:v>
                </c:pt>
                <c:pt idx="17">
                  <c:v>Singida</c:v>
                </c:pt>
                <c:pt idx="18">
                  <c:v>Mtwara</c:v>
                </c:pt>
                <c:pt idx="19">
                  <c:v>Lindi</c:v>
                </c:pt>
                <c:pt idx="20">
                  <c:v>Njombe</c:v>
                </c:pt>
                <c:pt idx="21">
                  <c:v>Geita</c:v>
                </c:pt>
                <c:pt idx="22">
                  <c:v>Arusha</c:v>
                </c:pt>
                <c:pt idx="23">
                  <c:v>Manyara</c:v>
                </c:pt>
                <c:pt idx="24">
                  <c:v>Mara</c:v>
                </c:pt>
                <c:pt idx="25">
                  <c:v>Katavi</c:v>
                </c:pt>
              </c:strCache>
            </c:strRef>
          </c:cat>
          <c:val>
            <c:numRef>
              <c:f>'Figures_Extension Services'!$O$5:$O$30</c:f>
              <c:numCache>
                <c:formatCode>0.0</c:formatCode>
                <c:ptCount val="26"/>
                <c:pt idx="0">
                  <c:v>7.6369463757353753</c:v>
                </c:pt>
                <c:pt idx="1">
                  <c:v>6.8864683090869212</c:v>
                </c:pt>
                <c:pt idx="2">
                  <c:v>6.1761978599543665</c:v>
                </c:pt>
                <c:pt idx="3">
                  <c:v>6.1756207171192106</c:v>
                </c:pt>
                <c:pt idx="4">
                  <c:v>6.0126740566600354</c:v>
                </c:pt>
                <c:pt idx="5">
                  <c:v>5.4928607431291141</c:v>
                </c:pt>
                <c:pt idx="6">
                  <c:v>4.9249521933351543</c:v>
                </c:pt>
                <c:pt idx="7">
                  <c:v>4.8083693406335488</c:v>
                </c:pt>
                <c:pt idx="8">
                  <c:v>4.7133331537777838</c:v>
                </c:pt>
                <c:pt idx="9">
                  <c:v>4.4711255439571218</c:v>
                </c:pt>
                <c:pt idx="10">
                  <c:v>4.3924417374307909</c:v>
                </c:pt>
                <c:pt idx="11">
                  <c:v>3.7589312853740457</c:v>
                </c:pt>
                <c:pt idx="12">
                  <c:v>3.5321141511575558</c:v>
                </c:pt>
                <c:pt idx="13">
                  <c:v>3.2287294008103085</c:v>
                </c:pt>
                <c:pt idx="14">
                  <c:v>2.9340017929904074</c:v>
                </c:pt>
                <c:pt idx="15">
                  <c:v>2.9316932216497817</c:v>
                </c:pt>
                <c:pt idx="16">
                  <c:v>2.8764798904198137</c:v>
                </c:pt>
                <c:pt idx="17">
                  <c:v>2.6927560878950061</c:v>
                </c:pt>
                <c:pt idx="18">
                  <c:v>2.6544722798296272</c:v>
                </c:pt>
                <c:pt idx="19">
                  <c:v>2.5469313315454727</c:v>
                </c:pt>
                <c:pt idx="20">
                  <c:v>2.4334265739647019</c:v>
                </c:pt>
                <c:pt idx="21">
                  <c:v>2.3647465765810827</c:v>
                </c:pt>
                <c:pt idx="22">
                  <c:v>1.8543599293577169</c:v>
                </c:pt>
                <c:pt idx="23">
                  <c:v>1.8079961216001477</c:v>
                </c:pt>
                <c:pt idx="24">
                  <c:v>1.5392399413622879</c:v>
                </c:pt>
                <c:pt idx="25">
                  <c:v>1.1531313846426139</c:v>
                </c:pt>
              </c:numCache>
            </c:numRef>
          </c:val>
          <c:extLst>
            <c:ext xmlns:c16="http://schemas.microsoft.com/office/drawing/2014/chart" uri="{C3380CC4-5D6E-409C-BE32-E72D297353CC}">
              <c16:uniqueId val="{00000000-A0A4-024B-91E0-CC219756BCDF}"/>
            </c:ext>
          </c:extLst>
        </c:ser>
        <c:dLbls>
          <c:showLegendKey val="0"/>
          <c:showVal val="0"/>
          <c:showCatName val="0"/>
          <c:showSerName val="0"/>
          <c:showPercent val="0"/>
          <c:showBubbleSize val="0"/>
        </c:dLbls>
        <c:gapWidth val="219"/>
        <c:overlap val="-27"/>
        <c:axId val="108956288"/>
        <c:axId val="108962560"/>
      </c:barChart>
      <c:catAx>
        <c:axId val="108956288"/>
        <c:scaling>
          <c:orientation val="minMax"/>
        </c:scaling>
        <c:delete val="0"/>
        <c:axPos val="b"/>
        <c:title>
          <c:tx>
            <c:rich>
              <a:bodyPr/>
              <a:lstStyle/>
              <a:p>
                <a:pPr>
                  <a:defRPr/>
                </a:pPr>
                <a:r>
                  <a:rPr lang="en-US"/>
                  <a:t>Region</a:t>
                </a:r>
              </a:p>
            </c:rich>
          </c:tx>
          <c:layout>
            <c:manualLayout>
              <c:xMode val="edge"/>
              <c:yMode val="edge"/>
              <c:x val="0.44589865105106508"/>
              <c:y val="0.91986098237360703"/>
            </c:manualLayout>
          </c:layout>
          <c:overlay val="0"/>
          <c:spPr>
            <a:noFill/>
            <a:ln>
              <a:noFill/>
            </a:ln>
            <a:effectLst/>
          </c:spPr>
        </c:title>
        <c:numFmt formatCode="General" sourceLinked="1"/>
        <c:majorTickMark val="out"/>
        <c:minorTickMark val="none"/>
        <c:tickLblPos val="nextTo"/>
        <c:spPr>
          <a:noFill/>
          <a:ln w="6350" cap="flat" cmpd="sng" algn="ctr">
            <a:solidFill>
              <a:sysClr val="windowText" lastClr="000000">
                <a:lumMod val="50000"/>
                <a:lumOff val="50000"/>
              </a:sysClr>
            </a:solidFill>
            <a:round/>
          </a:ln>
          <a:effectLst/>
        </c:spPr>
        <c:txPr>
          <a:bodyPr rot="-5400000" vert="horz"/>
          <a:lstStyle/>
          <a:p>
            <a:pPr>
              <a:defRPr/>
            </a:pPr>
            <a:endParaRPr lang="en-US"/>
          </a:p>
        </c:txPr>
        <c:crossAx val="108962560"/>
        <c:crosses val="autoZero"/>
        <c:auto val="1"/>
        <c:lblAlgn val="ctr"/>
        <c:lblOffset val="100"/>
        <c:noMultiLvlLbl val="0"/>
      </c:catAx>
      <c:valAx>
        <c:axId val="108962560"/>
        <c:scaling>
          <c:orientation val="minMax"/>
        </c:scaling>
        <c:delete val="0"/>
        <c:axPos val="l"/>
        <c:title>
          <c:tx>
            <c:rich>
              <a:bodyPr/>
              <a:lstStyle/>
              <a:p>
                <a:pPr>
                  <a:defRPr/>
                </a:pPr>
                <a:r>
                  <a:rPr lang="en-US"/>
                  <a:t>Percent</a:t>
                </a:r>
              </a:p>
            </c:rich>
          </c:tx>
          <c:layout>
            <c:manualLayout>
              <c:xMode val="edge"/>
              <c:yMode val="edge"/>
              <c:x val="3.4254486105444099E-2"/>
              <c:y val="0.243560054599784"/>
            </c:manualLayout>
          </c:layout>
          <c:overlay val="0"/>
          <c:spPr>
            <a:noFill/>
            <a:ln>
              <a:noFill/>
            </a:ln>
            <a:effectLst/>
          </c:spPr>
        </c:title>
        <c:numFmt formatCode="0" sourceLinked="0"/>
        <c:majorTickMark val="out"/>
        <c:minorTickMark val="none"/>
        <c:tickLblPos val="nextTo"/>
        <c:spPr>
          <a:noFill/>
          <a:ln w="6350">
            <a:solidFill>
              <a:sysClr val="windowText" lastClr="000000">
                <a:lumMod val="50000"/>
                <a:lumOff val="50000"/>
              </a:sysClr>
            </a:solidFill>
          </a:ln>
          <a:effectLst/>
        </c:spPr>
        <c:txPr>
          <a:bodyPr rot="-60000000" vert="horz"/>
          <a:lstStyle/>
          <a:p>
            <a:pPr>
              <a:defRPr/>
            </a:pPr>
            <a:endParaRPr lang="en-US"/>
          </a:p>
        </c:txPr>
        <c:crossAx val="108956288"/>
        <c:crosses val="autoZero"/>
        <c:crossBetween val="between"/>
      </c:valAx>
      <c:spPr>
        <a:noFill/>
        <a:ln w="25391">
          <a:noFill/>
        </a:ln>
      </c:spPr>
    </c:plotArea>
    <c:plotVisOnly val="1"/>
    <c:dispBlanksAs val="gap"/>
    <c:showDLblsOverMax val="0"/>
  </c:chart>
  <c:spPr>
    <a:solidFill>
      <a:schemeClr val="bg1"/>
    </a:solidFill>
    <a:ln w="9522" cap="flat" cmpd="sng" algn="ctr">
      <a:solidFill>
        <a:sysClr val="windowText" lastClr="000000">
          <a:lumMod val="50000"/>
          <a:lumOff val="50000"/>
        </a:sysClr>
      </a:solidFill>
      <a:round/>
    </a:ln>
    <a:effectLst/>
  </c:spPr>
  <c:txPr>
    <a:bodyPr/>
    <a:lstStyle/>
    <a:p>
      <a:pPr>
        <a:defRPr sz="800" b="0">
          <a:solidFill>
            <a:schemeClr val="tx1"/>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0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7607217847769028"/>
          <c:y val="5.0925925925925923E-2"/>
          <c:w val="0.56420559930008751"/>
          <c:h val="0.72496137815081663"/>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'Figures_Extension Services'!$N$32:$N$36</c:f>
              <c:strCache>
                <c:ptCount val="5"/>
                <c:pt idx="0">
                  <c:v>Kusini Unguja</c:v>
                </c:pt>
                <c:pt idx="1">
                  <c:v>Kaskazini Unguja</c:v>
                </c:pt>
                <c:pt idx="2">
                  <c:v>Kaskazini Pemba</c:v>
                </c:pt>
                <c:pt idx="3">
                  <c:v>Kusini  Pemba</c:v>
                </c:pt>
                <c:pt idx="4">
                  <c:v>Mjini Magharibi</c:v>
                </c:pt>
              </c:strCache>
            </c:strRef>
          </c:cat>
          <c:val>
            <c:numRef>
              <c:f>'Figures_Extension Services'!$O$32:$O$36</c:f>
              <c:numCache>
                <c:formatCode>0.0</c:formatCode>
                <c:ptCount val="5"/>
                <c:pt idx="0">
                  <c:v>14.615341639197721</c:v>
                </c:pt>
                <c:pt idx="1">
                  <c:v>15.201966590312308</c:v>
                </c:pt>
                <c:pt idx="2">
                  <c:v>15.593049891055365</c:v>
                </c:pt>
                <c:pt idx="3">
                  <c:v>26.102016872450974</c:v>
                </c:pt>
                <c:pt idx="4">
                  <c:v>28.487625006983631</c:v>
                </c:pt>
              </c:numCache>
            </c:numRef>
          </c:val>
          <c:extLst>
            <c:ext xmlns:c16="http://schemas.microsoft.com/office/drawing/2014/chart" uri="{C3380CC4-5D6E-409C-BE32-E72D297353CC}">
              <c16:uniqueId val="{00000000-0C98-4534-96CE-73A0E7999329}"/>
            </c:ext>
          </c:extLst>
        </c:ser>
        <c:dLbls>
          <c:showLegendKey val="0"/>
          <c:showVal val="0"/>
          <c:showCatName val="0"/>
          <c:showSerName val="0"/>
          <c:showPercent val="0"/>
          <c:showBubbleSize val="0"/>
        </c:dLbls>
        <c:gapWidth val="279"/>
        <c:axId val="108767488"/>
        <c:axId val="108773760"/>
      </c:barChart>
      <c:catAx>
        <c:axId val="108767488"/>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Region</a:t>
                </a:r>
              </a:p>
            </c:rich>
          </c:tx>
          <c:layout>
            <c:manualLayout>
              <c:xMode val="edge"/>
              <c:yMode val="edge"/>
              <c:x val="2.3996877136454903E-2"/>
              <c:y val="0.33204799232404503"/>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3175" cap="flat" cmpd="sng" algn="ctr">
            <a:solidFill>
              <a:schemeClr val="tx1">
                <a:lumMod val="50000"/>
                <a:lumOff val="50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08773760"/>
        <c:crosses val="autoZero"/>
        <c:auto val="1"/>
        <c:lblAlgn val="ctr"/>
        <c:lblOffset val="100"/>
        <c:noMultiLvlLbl val="0"/>
      </c:catAx>
      <c:valAx>
        <c:axId val="108773760"/>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Percent</a:t>
                </a:r>
              </a:p>
            </c:rich>
          </c:tx>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w="3175">
            <a:solidFill>
              <a:schemeClr val="tx1">
                <a:lumMod val="50000"/>
                <a:lumOff val="50000"/>
              </a:schemeClr>
            </a:solid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087674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10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0799570433535107E-2"/>
          <c:y val="4.2512077294685993E-2"/>
          <c:w val="0.88624310931184735"/>
          <c:h val="0.36043455437635513"/>
        </c:manualLayout>
      </c:layout>
      <c:barChart>
        <c:barDir val="col"/>
        <c:grouping val="stacked"/>
        <c:varyColors val="0"/>
        <c:ser>
          <c:idx val="0"/>
          <c:order val="0"/>
          <c:tx>
            <c:strRef>
              <c:f>'Figures_Extension Services'!$B$180</c:f>
              <c:strCache>
                <c:ptCount val="1"/>
                <c:pt idx="0">
                  <c:v>Government</c:v>
                </c:pt>
              </c:strCache>
            </c:strRef>
          </c:tx>
          <c:spPr>
            <a:solidFill>
              <a:schemeClr val="accent1"/>
            </a:solidFill>
            <a:ln>
              <a:noFill/>
            </a:ln>
            <a:effectLst/>
          </c:spPr>
          <c:invertIfNegative val="0"/>
          <c:cat>
            <c:strRef>
              <c:f>'Figures_Extension Services'!$A$181:$A$193</c:f>
              <c:strCache>
                <c:ptCount val="13"/>
                <c:pt idx="0">
                  <c:v>Spacing</c:v>
                </c:pt>
                <c:pt idx="1">
                  <c:v>Use of agrochemicals</c:v>
                </c:pt>
                <c:pt idx="2">
                  <c:v>Erosion control</c:v>
                </c:pt>
                <c:pt idx="3">
                  <c:v>Organic fertlizer use</c:v>
                </c:pt>
                <c:pt idx="4">
                  <c:v>Inorganic fertlizer use</c:v>
                </c:pt>
                <c:pt idx="5">
                  <c:v>use of improved seeds</c:v>
                </c:pt>
                <c:pt idx="6">
                  <c:v>Market information</c:v>
                </c:pt>
                <c:pt idx="7">
                  <c:v>Mechanization</c:v>
                </c:pt>
                <c:pt idx="8">
                  <c:v>Irrigation Technology</c:v>
                </c:pt>
                <c:pt idx="9">
                  <c:v>Crop Storage</c:v>
                </c:pt>
                <c:pt idx="10">
                  <c:v>Vermin Control</c:v>
                </c:pt>
                <c:pt idx="11">
                  <c:v>Rice intensification (SRI) </c:v>
                </c:pt>
                <c:pt idx="12">
                  <c:v>Integarted Pest Management (IPM)</c:v>
                </c:pt>
              </c:strCache>
            </c:strRef>
          </c:cat>
          <c:val>
            <c:numRef>
              <c:f>'Figures_Extension Services'!$B$181:$B$193</c:f>
              <c:numCache>
                <c:formatCode>_(* #,##0.0_);_(* \(#,##0.0\);_(* "-"_);_(@_)</c:formatCode>
                <c:ptCount val="13"/>
                <c:pt idx="0">
                  <c:v>72.708212206855222</c:v>
                </c:pt>
                <c:pt idx="1">
                  <c:v>71.861449654951826</c:v>
                </c:pt>
                <c:pt idx="2">
                  <c:v>73.908767766002441</c:v>
                </c:pt>
                <c:pt idx="3">
                  <c:v>75.43667651223636</c:v>
                </c:pt>
                <c:pt idx="4">
                  <c:v>69.185695258756823</c:v>
                </c:pt>
                <c:pt idx="5">
                  <c:v>71.286118466973221</c:v>
                </c:pt>
                <c:pt idx="6">
                  <c:v>60.484059272563989</c:v>
                </c:pt>
                <c:pt idx="7">
                  <c:v>74.9009984251487</c:v>
                </c:pt>
                <c:pt idx="8">
                  <c:v>75.944614125129888</c:v>
                </c:pt>
                <c:pt idx="9">
                  <c:v>73.996235256423091</c:v>
                </c:pt>
                <c:pt idx="10">
                  <c:v>76.640048717722053</c:v>
                </c:pt>
                <c:pt idx="11">
                  <c:v>78.821555881736217</c:v>
                </c:pt>
                <c:pt idx="12">
                  <c:v>77.417849441601504</c:v>
                </c:pt>
              </c:numCache>
            </c:numRef>
          </c:val>
          <c:extLst>
            <c:ext xmlns:c16="http://schemas.microsoft.com/office/drawing/2014/chart" uri="{C3380CC4-5D6E-409C-BE32-E72D297353CC}">
              <c16:uniqueId val="{00000000-997F-EB4B-BB88-13C0B996DB80}"/>
            </c:ext>
          </c:extLst>
        </c:ser>
        <c:ser>
          <c:idx val="1"/>
          <c:order val="1"/>
          <c:tx>
            <c:strRef>
              <c:f>'Figures_Extension Services'!$C$180</c:f>
              <c:strCache>
                <c:ptCount val="1"/>
                <c:pt idx="0">
                  <c:v>NGO/Development project</c:v>
                </c:pt>
              </c:strCache>
            </c:strRef>
          </c:tx>
          <c:spPr>
            <a:solidFill>
              <a:schemeClr val="accent2"/>
            </a:solidFill>
            <a:ln>
              <a:noFill/>
            </a:ln>
            <a:effectLst/>
          </c:spPr>
          <c:invertIfNegative val="0"/>
          <c:cat>
            <c:strRef>
              <c:f>'Figures_Extension Services'!$A$181:$A$193</c:f>
              <c:strCache>
                <c:ptCount val="13"/>
                <c:pt idx="0">
                  <c:v>Spacing</c:v>
                </c:pt>
                <c:pt idx="1">
                  <c:v>Use of agrochemicals</c:v>
                </c:pt>
                <c:pt idx="2">
                  <c:v>Erosion control</c:v>
                </c:pt>
                <c:pt idx="3">
                  <c:v>Organic fertlizer use</c:v>
                </c:pt>
                <c:pt idx="4">
                  <c:v>Inorganic fertlizer use</c:v>
                </c:pt>
                <c:pt idx="5">
                  <c:v>use of improved seeds</c:v>
                </c:pt>
                <c:pt idx="6">
                  <c:v>Market information</c:v>
                </c:pt>
                <c:pt idx="7">
                  <c:v>Mechanization</c:v>
                </c:pt>
                <c:pt idx="8">
                  <c:v>Irrigation Technology</c:v>
                </c:pt>
                <c:pt idx="9">
                  <c:v>Crop Storage</c:v>
                </c:pt>
                <c:pt idx="10">
                  <c:v>Vermin Control</c:v>
                </c:pt>
                <c:pt idx="11">
                  <c:v>Rice intensification (SRI) </c:v>
                </c:pt>
                <c:pt idx="12">
                  <c:v>Integarted Pest Management (IPM)</c:v>
                </c:pt>
              </c:strCache>
            </c:strRef>
          </c:cat>
          <c:val>
            <c:numRef>
              <c:f>'Figures_Extension Services'!$C$181:$C$193</c:f>
              <c:numCache>
                <c:formatCode>_(* #,##0.0_);_(* \(#,##0.0\);_(* "-"_);_(@_)</c:formatCode>
                <c:ptCount val="13"/>
                <c:pt idx="0">
                  <c:v>7.7262043993885126</c:v>
                </c:pt>
                <c:pt idx="1">
                  <c:v>8.187614475427198</c:v>
                </c:pt>
                <c:pt idx="2">
                  <c:v>10.392871073898878</c:v>
                </c:pt>
                <c:pt idx="3">
                  <c:v>7.7179852277229282</c:v>
                </c:pt>
                <c:pt idx="4">
                  <c:v>9.0176989935327967</c:v>
                </c:pt>
                <c:pt idx="5">
                  <c:v>8.3820418689158736</c:v>
                </c:pt>
                <c:pt idx="6">
                  <c:v>6.3385720700493939</c:v>
                </c:pt>
                <c:pt idx="7">
                  <c:v>8.0179808265675891</c:v>
                </c:pt>
                <c:pt idx="8">
                  <c:v>7.9741175729714415</c:v>
                </c:pt>
                <c:pt idx="9">
                  <c:v>8.8341310050663839</c:v>
                </c:pt>
                <c:pt idx="10">
                  <c:v>6.6898468731276584</c:v>
                </c:pt>
                <c:pt idx="11">
                  <c:v>6.1396519186412251</c:v>
                </c:pt>
                <c:pt idx="12">
                  <c:v>9.1709310933024373</c:v>
                </c:pt>
              </c:numCache>
            </c:numRef>
          </c:val>
          <c:extLst>
            <c:ext xmlns:c16="http://schemas.microsoft.com/office/drawing/2014/chart" uri="{C3380CC4-5D6E-409C-BE32-E72D297353CC}">
              <c16:uniqueId val="{00000001-997F-EB4B-BB88-13C0B996DB80}"/>
            </c:ext>
          </c:extLst>
        </c:ser>
        <c:ser>
          <c:idx val="2"/>
          <c:order val="2"/>
          <c:tx>
            <c:strRef>
              <c:f>'Figures_Extension Services'!$D$180</c:f>
              <c:strCache>
                <c:ptCount val="1"/>
                <c:pt idx="0">
                  <c:v>Cooperative</c:v>
                </c:pt>
              </c:strCache>
            </c:strRef>
          </c:tx>
          <c:spPr>
            <a:solidFill>
              <a:schemeClr val="accent3"/>
            </a:solidFill>
            <a:ln>
              <a:noFill/>
            </a:ln>
            <a:effectLst/>
          </c:spPr>
          <c:invertIfNegative val="0"/>
          <c:cat>
            <c:strRef>
              <c:f>'Figures_Extension Services'!$A$181:$A$193</c:f>
              <c:strCache>
                <c:ptCount val="13"/>
                <c:pt idx="0">
                  <c:v>Spacing</c:v>
                </c:pt>
                <c:pt idx="1">
                  <c:v>Use of agrochemicals</c:v>
                </c:pt>
                <c:pt idx="2">
                  <c:v>Erosion control</c:v>
                </c:pt>
                <c:pt idx="3">
                  <c:v>Organic fertlizer use</c:v>
                </c:pt>
                <c:pt idx="4">
                  <c:v>Inorganic fertlizer use</c:v>
                </c:pt>
                <c:pt idx="5">
                  <c:v>use of improved seeds</c:v>
                </c:pt>
                <c:pt idx="6">
                  <c:v>Market information</c:v>
                </c:pt>
                <c:pt idx="7">
                  <c:v>Mechanization</c:v>
                </c:pt>
                <c:pt idx="8">
                  <c:v>Irrigation Technology</c:v>
                </c:pt>
                <c:pt idx="9">
                  <c:v>Crop Storage</c:v>
                </c:pt>
                <c:pt idx="10">
                  <c:v>Vermin Control</c:v>
                </c:pt>
                <c:pt idx="11">
                  <c:v>Rice intensification (SRI) </c:v>
                </c:pt>
                <c:pt idx="12">
                  <c:v>Integarted Pest Management (IPM)</c:v>
                </c:pt>
              </c:strCache>
            </c:strRef>
          </c:cat>
          <c:val>
            <c:numRef>
              <c:f>'Figures_Extension Services'!$D$181:$D$193</c:f>
              <c:numCache>
                <c:formatCode>_(* #,##0.0_);_(* \(#,##0.0\);_(* "-"_);_(@_)</c:formatCode>
                <c:ptCount val="13"/>
                <c:pt idx="0">
                  <c:v>5.4407582087273916</c:v>
                </c:pt>
                <c:pt idx="1">
                  <c:v>6.919671819506763</c:v>
                </c:pt>
                <c:pt idx="2">
                  <c:v>4.5237035694075889</c:v>
                </c:pt>
                <c:pt idx="3">
                  <c:v>4.0712019047843198</c:v>
                </c:pt>
                <c:pt idx="4">
                  <c:v>8.8577352428290936</c:v>
                </c:pt>
                <c:pt idx="5">
                  <c:v>6.8400637251506549</c:v>
                </c:pt>
                <c:pt idx="6">
                  <c:v>18.455321059721598</c:v>
                </c:pt>
                <c:pt idx="7">
                  <c:v>6.0165435836276622</c:v>
                </c:pt>
                <c:pt idx="8">
                  <c:v>4.8624012091060802</c:v>
                </c:pt>
                <c:pt idx="9">
                  <c:v>5.5860384083945771</c:v>
                </c:pt>
                <c:pt idx="10">
                  <c:v>6.6633271453968623</c:v>
                </c:pt>
                <c:pt idx="11">
                  <c:v>6.1396519186412251</c:v>
                </c:pt>
                <c:pt idx="12">
                  <c:v>6.7265295613272835</c:v>
                </c:pt>
              </c:numCache>
            </c:numRef>
          </c:val>
          <c:extLst>
            <c:ext xmlns:c16="http://schemas.microsoft.com/office/drawing/2014/chart" uri="{C3380CC4-5D6E-409C-BE32-E72D297353CC}">
              <c16:uniqueId val="{00000002-997F-EB4B-BB88-13C0B996DB80}"/>
            </c:ext>
          </c:extLst>
        </c:ser>
        <c:ser>
          <c:idx val="3"/>
          <c:order val="3"/>
          <c:tx>
            <c:strRef>
              <c:f>'Figures_Extension Services'!$E$180</c:f>
              <c:strCache>
                <c:ptCount val="1"/>
                <c:pt idx="0">
                  <c:v>Large scale farmer</c:v>
                </c:pt>
              </c:strCache>
            </c:strRef>
          </c:tx>
          <c:spPr>
            <a:solidFill>
              <a:schemeClr val="accent4"/>
            </a:solidFill>
            <a:ln>
              <a:noFill/>
            </a:ln>
            <a:effectLst/>
          </c:spPr>
          <c:invertIfNegative val="0"/>
          <c:cat>
            <c:strRef>
              <c:f>'Figures_Extension Services'!$A$181:$A$193</c:f>
              <c:strCache>
                <c:ptCount val="13"/>
                <c:pt idx="0">
                  <c:v>Spacing</c:v>
                </c:pt>
                <c:pt idx="1">
                  <c:v>Use of agrochemicals</c:v>
                </c:pt>
                <c:pt idx="2">
                  <c:v>Erosion control</c:v>
                </c:pt>
                <c:pt idx="3">
                  <c:v>Organic fertlizer use</c:v>
                </c:pt>
                <c:pt idx="4">
                  <c:v>Inorganic fertlizer use</c:v>
                </c:pt>
                <c:pt idx="5">
                  <c:v>use of improved seeds</c:v>
                </c:pt>
                <c:pt idx="6">
                  <c:v>Market information</c:v>
                </c:pt>
                <c:pt idx="7">
                  <c:v>Mechanization</c:v>
                </c:pt>
                <c:pt idx="8">
                  <c:v>Irrigation Technology</c:v>
                </c:pt>
                <c:pt idx="9">
                  <c:v>Crop Storage</c:v>
                </c:pt>
                <c:pt idx="10">
                  <c:v>Vermin Control</c:v>
                </c:pt>
                <c:pt idx="11">
                  <c:v>Rice intensification (SRI) </c:v>
                </c:pt>
                <c:pt idx="12">
                  <c:v>Integarted Pest Management (IPM)</c:v>
                </c:pt>
              </c:strCache>
            </c:strRef>
          </c:cat>
          <c:val>
            <c:numRef>
              <c:f>'Figures_Extension Services'!$E$181:$E$193</c:f>
              <c:numCache>
                <c:formatCode>_(* #,##0.0_);_(* \(#,##0.0\);_(* "-"_);_(@_)</c:formatCode>
                <c:ptCount val="13"/>
                <c:pt idx="0">
                  <c:v>3.755575559351787</c:v>
                </c:pt>
                <c:pt idx="1">
                  <c:v>4.5998376598884132</c:v>
                </c:pt>
                <c:pt idx="2">
                  <c:v>3.4935913283778066</c:v>
                </c:pt>
                <c:pt idx="3">
                  <c:v>3.8950799609315245</c:v>
                </c:pt>
                <c:pt idx="4">
                  <c:v>3.3901330513943622</c:v>
                </c:pt>
                <c:pt idx="5">
                  <c:v>3.9159531332420436</c:v>
                </c:pt>
                <c:pt idx="6">
                  <c:v>4.7040862146385276</c:v>
                </c:pt>
                <c:pt idx="7">
                  <c:v>2.9539929361038486</c:v>
                </c:pt>
                <c:pt idx="8">
                  <c:v>2.881860260083756</c:v>
                </c:pt>
                <c:pt idx="9">
                  <c:v>3.0568516330576525</c:v>
                </c:pt>
                <c:pt idx="10">
                  <c:v>3.671508972507882</c:v>
                </c:pt>
                <c:pt idx="11">
                  <c:v>2.1430069196896624</c:v>
                </c:pt>
                <c:pt idx="12">
                  <c:v>1.2873740787229251</c:v>
                </c:pt>
              </c:numCache>
            </c:numRef>
          </c:val>
          <c:extLst>
            <c:ext xmlns:c16="http://schemas.microsoft.com/office/drawing/2014/chart" uri="{C3380CC4-5D6E-409C-BE32-E72D297353CC}">
              <c16:uniqueId val="{00000003-997F-EB4B-BB88-13C0B996DB80}"/>
            </c:ext>
          </c:extLst>
        </c:ser>
        <c:ser>
          <c:idx val="4"/>
          <c:order val="4"/>
          <c:tx>
            <c:strRef>
              <c:f>'Figures_Extension Services'!$F$180</c:f>
              <c:strCache>
                <c:ptCount val="1"/>
                <c:pt idx="0">
                  <c:v>Registered private Agro delears</c:v>
                </c:pt>
              </c:strCache>
            </c:strRef>
          </c:tx>
          <c:spPr>
            <a:solidFill>
              <a:schemeClr val="accent5"/>
            </a:solidFill>
            <a:ln>
              <a:noFill/>
            </a:ln>
            <a:effectLst/>
          </c:spPr>
          <c:invertIfNegative val="0"/>
          <c:cat>
            <c:strRef>
              <c:f>'Figures_Extension Services'!$A$181:$A$193</c:f>
              <c:strCache>
                <c:ptCount val="13"/>
                <c:pt idx="0">
                  <c:v>Spacing</c:v>
                </c:pt>
                <c:pt idx="1">
                  <c:v>Use of agrochemicals</c:v>
                </c:pt>
                <c:pt idx="2">
                  <c:v>Erosion control</c:v>
                </c:pt>
                <c:pt idx="3">
                  <c:v>Organic fertlizer use</c:v>
                </c:pt>
                <c:pt idx="4">
                  <c:v>Inorganic fertlizer use</c:v>
                </c:pt>
                <c:pt idx="5">
                  <c:v>use of improved seeds</c:v>
                </c:pt>
                <c:pt idx="6">
                  <c:v>Market information</c:v>
                </c:pt>
                <c:pt idx="7">
                  <c:v>Mechanization</c:v>
                </c:pt>
                <c:pt idx="8">
                  <c:v>Irrigation Technology</c:v>
                </c:pt>
                <c:pt idx="9">
                  <c:v>Crop Storage</c:v>
                </c:pt>
                <c:pt idx="10">
                  <c:v>Vermin Control</c:v>
                </c:pt>
                <c:pt idx="11">
                  <c:v>Rice intensification (SRI) </c:v>
                </c:pt>
                <c:pt idx="12">
                  <c:v>Integarted Pest Management (IPM)</c:v>
                </c:pt>
              </c:strCache>
            </c:strRef>
          </c:cat>
          <c:val>
            <c:numRef>
              <c:f>'Figures_Extension Services'!$F$181:$F$193</c:f>
              <c:numCache>
                <c:formatCode>_(* #,##0.0_);_(* \(#,##0.0\);_(* "-"_);_(@_)</c:formatCode>
                <c:ptCount val="13"/>
                <c:pt idx="0">
                  <c:v>4.5749330483914781</c:v>
                </c:pt>
                <c:pt idx="1">
                  <c:v>4.5400916708659844</c:v>
                </c:pt>
                <c:pt idx="2">
                  <c:v>3.6661007916755941</c:v>
                </c:pt>
                <c:pt idx="3">
                  <c:v>3.4832134998058346</c:v>
                </c:pt>
                <c:pt idx="4">
                  <c:v>3.8422194455505365</c:v>
                </c:pt>
                <c:pt idx="5">
                  <c:v>4.8883477816081546</c:v>
                </c:pt>
                <c:pt idx="6">
                  <c:v>5.8634934889986532</c:v>
                </c:pt>
                <c:pt idx="7">
                  <c:v>4.7192024830665265</c:v>
                </c:pt>
                <c:pt idx="8">
                  <c:v>3.7438206492647756</c:v>
                </c:pt>
                <c:pt idx="9">
                  <c:v>4.6553657608586816</c:v>
                </c:pt>
                <c:pt idx="10">
                  <c:v>4.0585005549498581</c:v>
                </c:pt>
                <c:pt idx="11">
                  <c:v>3.5856573705179287</c:v>
                </c:pt>
                <c:pt idx="12">
                  <c:v>4.6361559010009339</c:v>
                </c:pt>
              </c:numCache>
            </c:numRef>
          </c:val>
          <c:extLst>
            <c:ext xmlns:c16="http://schemas.microsoft.com/office/drawing/2014/chart" uri="{C3380CC4-5D6E-409C-BE32-E72D297353CC}">
              <c16:uniqueId val="{00000004-997F-EB4B-BB88-13C0B996DB80}"/>
            </c:ext>
          </c:extLst>
        </c:ser>
        <c:ser>
          <c:idx val="5"/>
          <c:order val="5"/>
          <c:tx>
            <c:strRef>
              <c:f>'Figures_Extension Services'!$G$180</c:f>
              <c:strCache>
                <c:ptCount val="1"/>
                <c:pt idx="0">
                  <c:v>Lead farmer</c:v>
                </c:pt>
              </c:strCache>
            </c:strRef>
          </c:tx>
          <c:spPr>
            <a:solidFill>
              <a:schemeClr val="accent6"/>
            </a:solidFill>
            <a:ln>
              <a:noFill/>
            </a:ln>
            <a:effectLst/>
          </c:spPr>
          <c:invertIfNegative val="0"/>
          <c:cat>
            <c:strRef>
              <c:f>'Figures_Extension Services'!$A$181:$A$193</c:f>
              <c:strCache>
                <c:ptCount val="13"/>
                <c:pt idx="0">
                  <c:v>Spacing</c:v>
                </c:pt>
                <c:pt idx="1">
                  <c:v>Use of agrochemicals</c:v>
                </c:pt>
                <c:pt idx="2">
                  <c:v>Erosion control</c:v>
                </c:pt>
                <c:pt idx="3">
                  <c:v>Organic fertlizer use</c:v>
                </c:pt>
                <c:pt idx="4">
                  <c:v>Inorganic fertlizer use</c:v>
                </c:pt>
                <c:pt idx="5">
                  <c:v>use of improved seeds</c:v>
                </c:pt>
                <c:pt idx="6">
                  <c:v>Market information</c:v>
                </c:pt>
                <c:pt idx="7">
                  <c:v>Mechanization</c:v>
                </c:pt>
                <c:pt idx="8">
                  <c:v>Irrigation Technology</c:v>
                </c:pt>
                <c:pt idx="9">
                  <c:v>Crop Storage</c:v>
                </c:pt>
                <c:pt idx="10">
                  <c:v>Vermin Control</c:v>
                </c:pt>
                <c:pt idx="11">
                  <c:v>Rice intensification (SRI) </c:v>
                </c:pt>
                <c:pt idx="12">
                  <c:v>Integarted Pest Management (IPM)</c:v>
                </c:pt>
              </c:strCache>
            </c:strRef>
          </c:cat>
          <c:val>
            <c:numRef>
              <c:f>'Figures_Extension Services'!$G$181:$G$193</c:f>
              <c:numCache>
                <c:formatCode>_(* #,##0.0_);_(* \(#,##0.0\);_(* "-"_);_(@_)</c:formatCode>
                <c:ptCount val="13"/>
                <c:pt idx="0">
                  <c:v>2.8843628429235575</c:v>
                </c:pt>
                <c:pt idx="1">
                  <c:v>1.5500764929707938</c:v>
                </c:pt>
                <c:pt idx="2">
                  <c:v>1.6750998522132305</c:v>
                </c:pt>
                <c:pt idx="3">
                  <c:v>3.0952745188026847</c:v>
                </c:pt>
                <c:pt idx="4">
                  <c:v>4.091776627442365</c:v>
                </c:pt>
                <c:pt idx="5">
                  <c:v>2.9840527277667959</c:v>
                </c:pt>
                <c:pt idx="6">
                  <c:v>2.1948810058374493</c:v>
                </c:pt>
                <c:pt idx="7">
                  <c:v>2.5954466920477657</c:v>
                </c:pt>
                <c:pt idx="8">
                  <c:v>3.1085676501149284</c:v>
                </c:pt>
                <c:pt idx="9">
                  <c:v>2.1046518613452951</c:v>
                </c:pt>
                <c:pt idx="10">
                  <c:v>0.85354234807633755</c:v>
                </c:pt>
                <c:pt idx="11">
                  <c:v>3.1704759907737472</c:v>
                </c:pt>
                <c:pt idx="12">
                  <c:v>0.35885552444401536</c:v>
                </c:pt>
              </c:numCache>
            </c:numRef>
          </c:val>
          <c:extLst>
            <c:ext xmlns:c16="http://schemas.microsoft.com/office/drawing/2014/chart" uri="{C3380CC4-5D6E-409C-BE32-E72D297353CC}">
              <c16:uniqueId val="{00000005-997F-EB4B-BB88-13C0B996DB80}"/>
            </c:ext>
          </c:extLst>
        </c:ser>
        <c:ser>
          <c:idx val="6"/>
          <c:order val="6"/>
          <c:tx>
            <c:strRef>
              <c:f>'Figures_Extension Services'!$H$180</c:f>
              <c:strCache>
                <c:ptCount val="1"/>
                <c:pt idx="0">
                  <c:v>Other</c:v>
                </c:pt>
              </c:strCache>
            </c:strRef>
          </c:tx>
          <c:spPr>
            <a:solidFill>
              <a:schemeClr val="accent1">
                <a:lumMod val="60000"/>
              </a:schemeClr>
            </a:solidFill>
            <a:ln>
              <a:noFill/>
            </a:ln>
            <a:effectLst/>
          </c:spPr>
          <c:invertIfNegative val="0"/>
          <c:cat>
            <c:strRef>
              <c:f>'Figures_Extension Services'!$A$181:$A$193</c:f>
              <c:strCache>
                <c:ptCount val="13"/>
                <c:pt idx="0">
                  <c:v>Spacing</c:v>
                </c:pt>
                <c:pt idx="1">
                  <c:v>Use of agrochemicals</c:v>
                </c:pt>
                <c:pt idx="2">
                  <c:v>Erosion control</c:v>
                </c:pt>
                <c:pt idx="3">
                  <c:v>Organic fertlizer use</c:v>
                </c:pt>
                <c:pt idx="4">
                  <c:v>Inorganic fertlizer use</c:v>
                </c:pt>
                <c:pt idx="5">
                  <c:v>use of improved seeds</c:v>
                </c:pt>
                <c:pt idx="6">
                  <c:v>Market information</c:v>
                </c:pt>
                <c:pt idx="7">
                  <c:v>Mechanization</c:v>
                </c:pt>
                <c:pt idx="8">
                  <c:v>Irrigation Technology</c:v>
                </c:pt>
                <c:pt idx="9">
                  <c:v>Crop Storage</c:v>
                </c:pt>
                <c:pt idx="10">
                  <c:v>Vermin Control</c:v>
                </c:pt>
                <c:pt idx="11">
                  <c:v>Rice intensification (SRI) </c:v>
                </c:pt>
                <c:pt idx="12">
                  <c:v>Integarted Pest Management (IPM)</c:v>
                </c:pt>
              </c:strCache>
            </c:strRef>
          </c:cat>
          <c:val>
            <c:numRef>
              <c:f>'Figures_Extension Services'!$H$181:$H$193</c:f>
              <c:numCache>
                <c:formatCode>_(* #,##0.0_);_(* \(#,##0.0\);_(* "-"_);_(@_)</c:formatCode>
                <c:ptCount val="13"/>
                <c:pt idx="0">
                  <c:v>2.9099537343620572</c:v>
                </c:pt>
                <c:pt idx="1">
                  <c:v>2.3412582263890185</c:v>
                </c:pt>
                <c:pt idx="2">
                  <c:v>2.33986561842445</c:v>
                </c:pt>
                <c:pt idx="3">
                  <c:v>2.3005683757163538</c:v>
                </c:pt>
                <c:pt idx="4">
                  <c:v>1.614741380494034</c:v>
                </c:pt>
                <c:pt idx="5">
                  <c:v>1.7034222963432633</c:v>
                </c:pt>
                <c:pt idx="6">
                  <c:v>1.9595868881903906</c:v>
                </c:pt>
                <c:pt idx="7">
                  <c:v>0.79583505343791572</c:v>
                </c:pt>
                <c:pt idx="8">
                  <c:v>1.4846185333291351</c:v>
                </c:pt>
                <c:pt idx="9">
                  <c:v>1.7667260748543163</c:v>
                </c:pt>
                <c:pt idx="10">
                  <c:v>1.4232253882193475</c:v>
                </c:pt>
                <c:pt idx="11">
                  <c:v>0</c:v>
                </c:pt>
                <c:pt idx="12">
                  <c:v>0.40230439960091408</c:v>
                </c:pt>
              </c:numCache>
            </c:numRef>
          </c:val>
          <c:extLst>
            <c:ext xmlns:c16="http://schemas.microsoft.com/office/drawing/2014/chart" uri="{C3380CC4-5D6E-409C-BE32-E72D297353CC}">
              <c16:uniqueId val="{00000006-997F-EB4B-BB88-13C0B996DB80}"/>
            </c:ext>
          </c:extLst>
        </c:ser>
        <c:dLbls>
          <c:showLegendKey val="0"/>
          <c:showVal val="0"/>
          <c:showCatName val="0"/>
          <c:showSerName val="0"/>
          <c:showPercent val="0"/>
          <c:showBubbleSize val="0"/>
        </c:dLbls>
        <c:gapWidth val="150"/>
        <c:overlap val="100"/>
        <c:axId val="110158208"/>
        <c:axId val="110160128"/>
      </c:barChart>
      <c:catAx>
        <c:axId val="110158208"/>
        <c:scaling>
          <c:orientation val="minMax"/>
        </c:scaling>
        <c:delete val="0"/>
        <c:axPos val="b"/>
        <c:title>
          <c:tx>
            <c:rich>
              <a:bodyPr/>
              <a:lstStyle/>
              <a:p>
                <a:pPr>
                  <a:defRPr/>
                </a:pPr>
                <a:r>
                  <a:rPr lang="en-US"/>
                  <a:t>Service Provider</a:t>
                </a:r>
              </a:p>
            </c:rich>
          </c:tx>
          <c:layout>
            <c:manualLayout>
              <c:xMode val="edge"/>
              <c:yMode val="edge"/>
              <c:x val="0.47865400073721748"/>
              <c:y val="0.74515504424222423"/>
            </c:manualLayout>
          </c:layout>
          <c:overlay val="0"/>
          <c:spPr>
            <a:noFill/>
            <a:ln>
              <a:noFill/>
            </a:ln>
            <a:effectLst/>
          </c:spPr>
        </c:title>
        <c:numFmt formatCode="General" sourceLinked="1"/>
        <c:majorTickMark val="out"/>
        <c:minorTickMark val="none"/>
        <c:tickLblPos val="nextTo"/>
        <c:spPr>
          <a:noFill/>
          <a:ln>
            <a:solidFill>
              <a:schemeClr val="tx1">
                <a:lumMod val="50000"/>
                <a:lumOff val="50000"/>
              </a:schemeClr>
            </a:solidFill>
          </a:ln>
          <a:effectLst/>
        </c:spPr>
        <c:txPr>
          <a:bodyPr rot="-5400000"/>
          <a:lstStyle/>
          <a:p>
            <a:pPr>
              <a:defRPr/>
            </a:pPr>
            <a:endParaRPr lang="en-US"/>
          </a:p>
        </c:txPr>
        <c:crossAx val="110160128"/>
        <c:crosses val="autoZero"/>
        <c:auto val="1"/>
        <c:lblAlgn val="ctr"/>
        <c:lblOffset val="100"/>
        <c:noMultiLvlLbl val="0"/>
      </c:catAx>
      <c:valAx>
        <c:axId val="110160128"/>
        <c:scaling>
          <c:orientation val="minMax"/>
          <c:max val="100"/>
        </c:scaling>
        <c:delete val="0"/>
        <c:axPos val="l"/>
        <c:title>
          <c:tx>
            <c:rich>
              <a:bodyPr/>
              <a:lstStyle/>
              <a:p>
                <a:pPr>
                  <a:defRPr/>
                </a:pPr>
                <a:r>
                  <a:rPr lang="en-US"/>
                  <a:t>Percent</a:t>
                </a:r>
              </a:p>
            </c:rich>
          </c:tx>
          <c:overlay val="0"/>
          <c:spPr>
            <a:noFill/>
            <a:ln>
              <a:noFill/>
            </a:ln>
            <a:effectLst/>
          </c:spPr>
        </c:title>
        <c:numFmt formatCode="#,##0" sourceLinked="0"/>
        <c:majorTickMark val="out"/>
        <c:minorTickMark val="none"/>
        <c:tickLblPos val="nextTo"/>
        <c:spPr>
          <a:noFill/>
          <a:ln>
            <a:solidFill>
              <a:schemeClr val="tx1">
                <a:lumMod val="50000"/>
                <a:lumOff val="50000"/>
              </a:schemeClr>
            </a:solidFill>
          </a:ln>
          <a:effectLst/>
        </c:spPr>
        <c:txPr>
          <a:bodyPr rot="-60000000" vert="horz"/>
          <a:lstStyle/>
          <a:p>
            <a:pPr>
              <a:defRPr/>
            </a:pPr>
            <a:endParaRPr lang="en-US"/>
          </a:p>
        </c:txPr>
        <c:crossAx val="110158208"/>
        <c:crosses val="autoZero"/>
        <c:crossBetween val="between"/>
        <c:majorUnit val="20"/>
      </c:valAx>
      <c:spPr>
        <a:noFill/>
        <a:ln w="25400">
          <a:noFill/>
        </a:ln>
      </c:spPr>
    </c:plotArea>
    <c:legend>
      <c:legendPos val="b"/>
      <c:layout>
        <c:manualLayout>
          <c:xMode val="edge"/>
          <c:yMode val="edge"/>
          <c:x val="5.3844858143645119E-2"/>
          <c:y val="0.83572779489520344"/>
          <c:w val="0.89999991117861533"/>
          <c:h val="0.12881041067471355"/>
        </c:manualLayout>
      </c:layout>
      <c:overlay val="0"/>
      <c:spPr>
        <a:noFill/>
        <a:ln>
          <a:noFill/>
        </a:ln>
        <a:effectLst/>
      </c:spPr>
      <c:txPr>
        <a:bodyPr rot="0" vert="horz"/>
        <a:lstStyle/>
        <a:p>
          <a:pPr>
            <a:defRPr/>
          </a:pPr>
          <a:endParaRPr lang="en-US"/>
        </a:p>
      </c:txPr>
    </c:legend>
    <c:plotVisOnly val="1"/>
    <c:dispBlanksAs val="gap"/>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800" b="0">
          <a:solidFill>
            <a:schemeClr val="tx1"/>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0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'Figures_Extension Services'!$A$140:$A$152</c:f>
              <c:strCache>
                <c:ptCount val="13"/>
                <c:pt idx="0">
                  <c:v>System of Rice Intesification (SRI)</c:v>
                </c:pt>
                <c:pt idx="1">
                  <c:v>Integrated Pest Management (IPM)</c:v>
                </c:pt>
                <c:pt idx="2">
                  <c:v>Vermin Control</c:v>
                </c:pt>
                <c:pt idx="3">
                  <c:v>Marketing Information</c:v>
                </c:pt>
                <c:pt idx="4">
                  <c:v>Irrigation Technology</c:v>
                </c:pt>
                <c:pt idx="5">
                  <c:v>Mechanisation/LST</c:v>
                </c:pt>
                <c:pt idx="6">
                  <c:v>Erosion Control</c:v>
                </c:pt>
                <c:pt idx="7">
                  <c:v>Crop Storage</c:v>
                </c:pt>
                <c:pt idx="8">
                  <c:v>Organic Fertilizer use</c:v>
                </c:pt>
                <c:pt idx="9">
                  <c:v>Inorganic Fertilizer use</c:v>
                </c:pt>
                <c:pt idx="10">
                  <c:v>Use of Agro-chemicals</c:v>
                </c:pt>
                <c:pt idx="11">
                  <c:v>Use of Improved Seeds</c:v>
                </c:pt>
                <c:pt idx="12">
                  <c:v>Spacing</c:v>
                </c:pt>
              </c:strCache>
            </c:strRef>
          </c:cat>
          <c:val>
            <c:numRef>
              <c:f>'Figures_Extension Services'!$B$140:$B$152</c:f>
              <c:numCache>
                <c:formatCode>0.0</c:formatCode>
                <c:ptCount val="13"/>
                <c:pt idx="0">
                  <c:v>4.4344347509117519</c:v>
                </c:pt>
                <c:pt idx="1">
                  <c:v>11.55753848328346</c:v>
                </c:pt>
                <c:pt idx="2">
                  <c:v>18.93394284183961</c:v>
                </c:pt>
                <c:pt idx="3">
                  <c:v>20.709278948709411</c:v>
                </c:pt>
                <c:pt idx="4">
                  <c:v>23.625955689128343</c:v>
                </c:pt>
                <c:pt idx="5">
                  <c:v>24.327832754635011</c:v>
                </c:pt>
                <c:pt idx="6">
                  <c:v>33.852271057706794</c:v>
                </c:pt>
                <c:pt idx="7">
                  <c:v>37.147968852577918</c:v>
                </c:pt>
                <c:pt idx="8">
                  <c:v>47.413153406819028</c:v>
                </c:pt>
                <c:pt idx="9">
                  <c:v>54.179367343560827</c:v>
                </c:pt>
                <c:pt idx="10">
                  <c:v>61.632952142547623</c:v>
                </c:pt>
                <c:pt idx="11">
                  <c:v>69.809057450144223</c:v>
                </c:pt>
                <c:pt idx="12">
                  <c:v>82.847530504871656</c:v>
                </c:pt>
              </c:numCache>
            </c:numRef>
          </c:val>
          <c:extLst>
            <c:ext xmlns:c16="http://schemas.microsoft.com/office/drawing/2014/chart" uri="{C3380CC4-5D6E-409C-BE32-E72D297353CC}">
              <c16:uniqueId val="{00000000-5FD9-4A7D-834C-FAB0CAE954A8}"/>
            </c:ext>
          </c:extLst>
        </c:ser>
        <c:dLbls>
          <c:showLegendKey val="0"/>
          <c:showVal val="1"/>
          <c:showCatName val="0"/>
          <c:showSerName val="0"/>
          <c:showPercent val="0"/>
          <c:showBubbleSize val="0"/>
        </c:dLbls>
        <c:gapWidth val="182"/>
        <c:axId val="109931136"/>
        <c:axId val="109959040"/>
      </c:barChart>
      <c:catAx>
        <c:axId val="10993113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Extension</a:t>
                </a:r>
                <a:r>
                  <a:rPr lang="en-US" baseline="0"/>
                  <a:t> Advice</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6350"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09959040"/>
        <c:crosses val="autoZero"/>
        <c:auto val="1"/>
        <c:lblAlgn val="ctr"/>
        <c:lblOffset val="100"/>
        <c:noMultiLvlLbl val="0"/>
      </c:catAx>
      <c:valAx>
        <c:axId val="1099590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Percent</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w="6350">
            <a:solidFill>
              <a:sysClr val="windowText" lastClr="000000"/>
            </a:solid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09931136"/>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Text" lastClr="000000">
          <a:lumMod val="50000"/>
          <a:lumOff val="50000"/>
        </a:sys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10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8742929298114139"/>
          <c:y val="2.4122442890684794E-2"/>
          <c:w val="0.57630159346398779"/>
          <c:h val="0.82124006019016982"/>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7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'Figures_Farm Implement'!$A$5:$A$20</c:f>
              <c:strCache>
                <c:ptCount val="16"/>
                <c:pt idx="0">
                  <c:v> Hand hoe </c:v>
                </c:pt>
                <c:pt idx="1">
                  <c:v> Sword </c:v>
                </c:pt>
                <c:pt idx="2">
                  <c:v> Oxen  </c:v>
                </c:pt>
                <c:pt idx="3">
                  <c:v> Ox plough </c:v>
                </c:pt>
                <c:pt idx="4">
                  <c:v>Hand Sprayer</c:v>
                </c:pt>
                <c:pt idx="5">
                  <c:v>Tractor</c:v>
                </c:pt>
                <c:pt idx="6">
                  <c:v>Shellers/ threshers</c:v>
                </c:pt>
                <c:pt idx="7">
                  <c:v>Ox Cart</c:v>
                </c:pt>
                <c:pt idx="8">
                  <c:v>Tractor Plough</c:v>
                </c:pt>
                <c:pt idx="9">
                  <c:v>Other </c:v>
                </c:pt>
                <c:pt idx="10">
                  <c:v>Tractor Harrow</c:v>
                </c:pt>
                <c:pt idx="11">
                  <c:v>Water pumps</c:v>
                </c:pt>
                <c:pt idx="12">
                  <c:v>Sprinklers</c:v>
                </c:pt>
                <c:pt idx="13">
                  <c:v>Power Tiller</c:v>
                </c:pt>
                <c:pt idx="14">
                  <c:v>Ox Ridger</c:v>
                </c:pt>
                <c:pt idx="15">
                  <c:v> Ox Seed Planter </c:v>
                </c:pt>
              </c:strCache>
            </c:strRef>
          </c:cat>
          <c:val>
            <c:numRef>
              <c:f>'Figures_Farm Implement'!$B$5:$B$20</c:f>
              <c:numCache>
                <c:formatCode>0.0</c:formatCode>
                <c:ptCount val="16"/>
                <c:pt idx="0">
                  <c:v>95.403414778233355</c:v>
                </c:pt>
                <c:pt idx="1">
                  <c:v>89.09135102754037</c:v>
                </c:pt>
                <c:pt idx="2">
                  <c:v>27.756253504827171</c:v>
                </c:pt>
                <c:pt idx="3">
                  <c:v>26.545278698752966</c:v>
                </c:pt>
                <c:pt idx="4">
                  <c:v>17.920242733404741</c:v>
                </c:pt>
                <c:pt idx="5">
                  <c:v>10.155746704425765</c:v>
                </c:pt>
                <c:pt idx="6">
                  <c:v>8.8984555474675613</c:v>
                </c:pt>
                <c:pt idx="7">
                  <c:v>8.2103068553941014</c:v>
                </c:pt>
                <c:pt idx="8">
                  <c:v>7.9120321075662163</c:v>
                </c:pt>
                <c:pt idx="9">
                  <c:v>3.5541355844185669</c:v>
                </c:pt>
                <c:pt idx="10">
                  <c:v>3.297953850796278</c:v>
                </c:pt>
                <c:pt idx="11">
                  <c:v>1.8270971067591888</c:v>
                </c:pt>
                <c:pt idx="12">
                  <c:v>1.559342665078556</c:v>
                </c:pt>
                <c:pt idx="13">
                  <c:v>1.3250304150417134</c:v>
                </c:pt>
                <c:pt idx="14">
                  <c:v>1.1463105453909808</c:v>
                </c:pt>
                <c:pt idx="15">
                  <c:v>0.72156536506662605</c:v>
                </c:pt>
              </c:numCache>
            </c:numRef>
          </c:val>
          <c:extLst>
            <c:ext xmlns:c16="http://schemas.microsoft.com/office/drawing/2014/chart" uri="{C3380CC4-5D6E-409C-BE32-E72D297353CC}">
              <c16:uniqueId val="{00000000-530A-4D4E-B38E-D922AD6930EF}"/>
            </c:ext>
          </c:extLst>
        </c:ser>
        <c:dLbls>
          <c:showLegendKey val="0"/>
          <c:showVal val="0"/>
          <c:showCatName val="0"/>
          <c:showSerName val="0"/>
          <c:showPercent val="0"/>
          <c:showBubbleSize val="0"/>
        </c:dLbls>
        <c:gapWidth val="63"/>
        <c:axId val="109864064"/>
        <c:axId val="109849600"/>
      </c:barChart>
      <c:valAx>
        <c:axId val="109849600"/>
        <c:scaling>
          <c:orientation val="minMax"/>
          <c:max val="100"/>
        </c:scaling>
        <c:delete val="0"/>
        <c:axPos val="b"/>
        <c:title>
          <c:tx>
            <c:rich>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Percent</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w="6350">
            <a:solidFill>
              <a:sysClr val="windowText" lastClr="000000"/>
            </a:solid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09864064"/>
        <c:crosses val="autoZero"/>
        <c:crossBetween val="between"/>
      </c:valAx>
      <c:catAx>
        <c:axId val="109864064"/>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800"/>
                  <a:t>Farm Implement</a:t>
                </a:r>
              </a:p>
            </c:rich>
          </c:tx>
          <c:layout>
            <c:manualLayout>
              <c:xMode val="edge"/>
              <c:yMode val="edge"/>
              <c:x val="6.4519464048080025E-2"/>
              <c:y val="0.28167702266211786"/>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6350" cap="flat" cmpd="sng" algn="ctr">
            <a:solidFill>
              <a:sysClr val="windowText" lastClr="000000"/>
            </a:solidFill>
            <a:round/>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09849600"/>
        <c:crosses val="autoZero"/>
        <c:auto val="1"/>
        <c:lblAlgn val="ctr"/>
        <c:lblOffset val="100"/>
        <c:noMultiLvlLbl val="0"/>
      </c:catAx>
      <c:spPr>
        <a:noFill/>
        <a:ln>
          <a:noFill/>
        </a:ln>
        <a:effectLst/>
      </c:spPr>
    </c:plotArea>
    <c:plotVisOnly val="1"/>
    <c:dispBlanksAs val="gap"/>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90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10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'Use of farm implemen_21June2021'!$H$173:$H$198</c:f>
              <c:strCache>
                <c:ptCount val="26"/>
                <c:pt idx="0">
                  <c:v>Dodoma</c:v>
                </c:pt>
                <c:pt idx="1">
                  <c:v>Tabora</c:v>
                </c:pt>
                <c:pt idx="2">
                  <c:v>Singida</c:v>
                </c:pt>
                <c:pt idx="3">
                  <c:v>Manyara</c:v>
                </c:pt>
                <c:pt idx="4">
                  <c:v>Shinyanga</c:v>
                </c:pt>
                <c:pt idx="5">
                  <c:v>Rukwa</c:v>
                </c:pt>
                <c:pt idx="6">
                  <c:v>Morogoro</c:v>
                </c:pt>
                <c:pt idx="7">
                  <c:v>Songwe</c:v>
                </c:pt>
                <c:pt idx="8">
                  <c:v>Simiyu</c:v>
                </c:pt>
                <c:pt idx="9">
                  <c:v>Mwanza</c:v>
                </c:pt>
                <c:pt idx="10">
                  <c:v>Mbeya</c:v>
                </c:pt>
                <c:pt idx="11">
                  <c:v>Iringa</c:v>
                </c:pt>
                <c:pt idx="12">
                  <c:v>Arusha</c:v>
                </c:pt>
                <c:pt idx="13">
                  <c:v>Geita</c:v>
                </c:pt>
                <c:pt idx="14">
                  <c:v>Kilimanjaro</c:v>
                </c:pt>
                <c:pt idx="15">
                  <c:v>Mara</c:v>
                </c:pt>
                <c:pt idx="16">
                  <c:v>Njombe</c:v>
                </c:pt>
                <c:pt idx="17">
                  <c:v>Dar Es Salaam</c:v>
                </c:pt>
                <c:pt idx="18">
                  <c:v>Tanga</c:v>
                </c:pt>
                <c:pt idx="19">
                  <c:v>Katavi</c:v>
                </c:pt>
                <c:pt idx="20">
                  <c:v>Pwani</c:v>
                </c:pt>
                <c:pt idx="21">
                  <c:v>Kagera</c:v>
                </c:pt>
                <c:pt idx="22">
                  <c:v>Lindi</c:v>
                </c:pt>
                <c:pt idx="23">
                  <c:v>Mtwara</c:v>
                </c:pt>
                <c:pt idx="24">
                  <c:v>Ruvuma</c:v>
                </c:pt>
                <c:pt idx="25">
                  <c:v>Kigoma</c:v>
                </c:pt>
              </c:strCache>
            </c:strRef>
          </c:cat>
          <c:val>
            <c:numRef>
              <c:f>'Use of farm implemen_21June2021'!$I$173:$I$198</c:f>
              <c:numCache>
                <c:formatCode>0.0</c:formatCode>
                <c:ptCount val="26"/>
                <c:pt idx="0">
                  <c:v>13.73161785974615</c:v>
                </c:pt>
                <c:pt idx="1">
                  <c:v>7.392040480240043</c:v>
                </c:pt>
                <c:pt idx="2">
                  <c:v>7.0523011180660813</c:v>
                </c:pt>
                <c:pt idx="3">
                  <c:v>6.5374662054017358</c:v>
                </c:pt>
                <c:pt idx="4">
                  <c:v>6.2053631689980602</c:v>
                </c:pt>
                <c:pt idx="5">
                  <c:v>6.1709997030317751</c:v>
                </c:pt>
                <c:pt idx="6">
                  <c:v>6.156459830226737</c:v>
                </c:pt>
                <c:pt idx="7">
                  <c:v>5.1612306054680719</c:v>
                </c:pt>
                <c:pt idx="8">
                  <c:v>5.0888012125559703</c:v>
                </c:pt>
                <c:pt idx="9">
                  <c:v>4.7469020814772822</c:v>
                </c:pt>
                <c:pt idx="10">
                  <c:v>4.5941755660715735</c:v>
                </c:pt>
                <c:pt idx="11">
                  <c:v>4.240320571413144</c:v>
                </c:pt>
                <c:pt idx="12">
                  <c:v>4.0777208267286831</c:v>
                </c:pt>
                <c:pt idx="13">
                  <c:v>3.8942561717324815</c:v>
                </c:pt>
                <c:pt idx="14">
                  <c:v>3.5512000215976891</c:v>
                </c:pt>
                <c:pt idx="15">
                  <c:v>3.4578285837701079</c:v>
                </c:pt>
                <c:pt idx="16">
                  <c:v>1.7513797452244038</c:v>
                </c:pt>
                <c:pt idx="17">
                  <c:v>1.4736566044576087</c:v>
                </c:pt>
                <c:pt idx="18">
                  <c:v>1.4107533351074293</c:v>
                </c:pt>
                <c:pt idx="19">
                  <c:v>0.83390220103591772</c:v>
                </c:pt>
                <c:pt idx="20">
                  <c:v>0.81654691519435985</c:v>
                </c:pt>
                <c:pt idx="21">
                  <c:v>0.51753462379525395</c:v>
                </c:pt>
                <c:pt idx="22">
                  <c:v>0.51475777806060463</c:v>
                </c:pt>
                <c:pt idx="23">
                  <c:v>0.41471419700949141</c:v>
                </c:pt>
                <c:pt idx="24">
                  <c:v>0.14455024740924149</c:v>
                </c:pt>
                <c:pt idx="25">
                  <c:v>6.3520346180101578E-2</c:v>
                </c:pt>
              </c:numCache>
            </c:numRef>
          </c:val>
          <c:extLst>
            <c:ext xmlns:c16="http://schemas.microsoft.com/office/drawing/2014/chart" uri="{C3380CC4-5D6E-409C-BE32-E72D297353CC}">
              <c16:uniqueId val="{00000000-DD90-48D7-923E-C28CCD8AEAA4}"/>
            </c:ext>
          </c:extLst>
        </c:ser>
        <c:dLbls>
          <c:dLblPos val="outEnd"/>
          <c:showLegendKey val="0"/>
          <c:showVal val="1"/>
          <c:showCatName val="0"/>
          <c:showSerName val="0"/>
          <c:showPercent val="0"/>
          <c:showBubbleSize val="0"/>
        </c:dLbls>
        <c:gapWidth val="219"/>
        <c:overlap val="-27"/>
        <c:axId val="111220224"/>
        <c:axId val="111223552"/>
      </c:barChart>
      <c:catAx>
        <c:axId val="111220224"/>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Region</a:t>
                </a:r>
              </a:p>
            </c:rich>
          </c:tx>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chemeClr val="tx1">
                <a:lumMod val="50000"/>
                <a:lumOff val="50000"/>
              </a:schemeClr>
            </a:solidFill>
            <a:round/>
          </a:ln>
          <a:effectLst/>
        </c:spPr>
        <c:txPr>
          <a:bodyPr rot="-5400000" spcFirstLastPara="1" vertOverflow="ellipsis"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11223552"/>
        <c:crosses val="autoZero"/>
        <c:auto val="1"/>
        <c:lblAlgn val="ctr"/>
        <c:lblOffset val="100"/>
        <c:noMultiLvlLbl val="0"/>
      </c:catAx>
      <c:valAx>
        <c:axId val="111223552"/>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Percent</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a:solidFill>
              <a:schemeClr val="tx1">
                <a:lumMod val="50000"/>
                <a:lumOff val="50000"/>
              </a:schemeClr>
            </a:solid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112202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899759405074365"/>
          <c:y val="6.0185185185185182E-2"/>
          <c:w val="0.77711351706036746"/>
          <c:h val="0.7296321203092857"/>
        </c:manualLayout>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Sheet1!$C$9:$C$11</c:f>
              <c:strCache>
                <c:ptCount val="3"/>
                <c:pt idx="0">
                  <c:v>2002/03</c:v>
                </c:pt>
                <c:pt idx="1">
                  <c:v>2007/08</c:v>
                </c:pt>
                <c:pt idx="2">
                  <c:v>2019/20</c:v>
                </c:pt>
              </c:strCache>
            </c:strRef>
          </c:cat>
          <c:val>
            <c:numRef>
              <c:f>Sheet1!$D$9:$D$11</c:f>
              <c:numCache>
                <c:formatCode>0.0</c:formatCode>
                <c:ptCount val="3"/>
                <c:pt idx="0">
                  <c:v>2</c:v>
                </c:pt>
                <c:pt idx="1">
                  <c:v>2</c:v>
                </c:pt>
                <c:pt idx="2" formatCode="General">
                  <c:v>2.1</c:v>
                </c:pt>
              </c:numCache>
            </c:numRef>
          </c:val>
          <c:smooth val="0"/>
          <c:extLst>
            <c:ext xmlns:c16="http://schemas.microsoft.com/office/drawing/2014/chart" uri="{C3380CC4-5D6E-409C-BE32-E72D297353CC}">
              <c16:uniqueId val="{00000000-2220-D246-8063-4B44B2B447DD}"/>
            </c:ext>
          </c:extLst>
        </c:ser>
        <c:dLbls>
          <c:showLegendKey val="0"/>
          <c:showVal val="0"/>
          <c:showCatName val="0"/>
          <c:showSerName val="0"/>
          <c:showPercent val="0"/>
          <c:showBubbleSize val="0"/>
        </c:dLbls>
        <c:marker val="1"/>
        <c:smooth val="0"/>
        <c:axId val="92061696"/>
        <c:axId val="92064000"/>
      </c:lineChart>
      <c:catAx>
        <c:axId val="92061696"/>
        <c:scaling>
          <c:orientation val="minMax"/>
        </c:scaling>
        <c:delete val="0"/>
        <c:axPos val="b"/>
        <c:title>
          <c:tx>
            <c:rich>
              <a:bodyPr rot="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Agriculture Census</a:t>
                </a:r>
              </a:p>
            </c:rich>
          </c:tx>
          <c:layout>
            <c:manualLayout>
              <c:xMode val="edge"/>
              <c:yMode val="edge"/>
              <c:x val="0.3799575814967116"/>
              <c:y val="0.89370220614315099"/>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chemeClr val="tx1">
                <a:lumMod val="65000"/>
                <a:lumOff val="35000"/>
              </a:schemeClr>
            </a:solidFill>
            <a:round/>
          </a:ln>
          <a:effectLst/>
        </c:spPr>
        <c:txPr>
          <a:bodyPr rot="-6000000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92064000"/>
        <c:crosses val="autoZero"/>
        <c:auto val="1"/>
        <c:lblAlgn val="ctr"/>
        <c:lblOffset val="100"/>
        <c:noMultiLvlLbl val="0"/>
      </c:catAx>
      <c:valAx>
        <c:axId val="92064000"/>
        <c:scaling>
          <c:orientation val="minMax"/>
          <c:max val="2.2999999999999998"/>
          <c:min val="1.5"/>
        </c:scaling>
        <c:delete val="0"/>
        <c:axPos val="l"/>
        <c:title>
          <c:tx>
            <c:rich>
              <a:bodyPr rot="-540000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Area (Hactares)</a:t>
                </a:r>
              </a:p>
            </c:rich>
          </c:tx>
          <c:layout>
            <c:manualLayout>
              <c:xMode val="edge"/>
              <c:yMode val="edge"/>
              <c:x val="2.9001867970787014E-2"/>
              <c:y val="0.21749365113144642"/>
            </c:manualLayout>
          </c:layout>
          <c:overlay val="0"/>
          <c:spPr>
            <a:noFill/>
            <a:ln>
              <a:noFill/>
            </a:ln>
            <a:effectLst/>
          </c:spPr>
          <c:txPr>
            <a:bodyPr rot="-540000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0" sourceLinked="1"/>
        <c:majorTickMark val="out"/>
        <c:minorTickMark val="none"/>
        <c:tickLblPos val="nextTo"/>
        <c:spPr>
          <a:noFill/>
          <a:ln>
            <a:solidFill>
              <a:schemeClr val="tx1">
                <a:lumMod val="65000"/>
                <a:lumOff val="35000"/>
              </a:schemeClr>
            </a:solidFill>
          </a:ln>
          <a:effectLst/>
        </c:spPr>
        <c:txPr>
          <a:bodyPr rot="-6000000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920616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50000"/>
          <a:lumOff val="50000"/>
        </a:schemeClr>
      </a:solidFill>
      <a:round/>
    </a:ln>
    <a:effectLst/>
  </c:spPr>
  <c:txPr>
    <a:bodyPr/>
    <a:lstStyle/>
    <a:p>
      <a:pPr>
        <a:defRPr sz="70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814435987006344"/>
          <c:y val="5.0878815911193337E-2"/>
          <c:w val="0.67552475221552333"/>
          <c:h val="0.75346136196435209"/>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'Use of farm implemen_21June2021'!$H$202:$H$206</c:f>
              <c:strCache>
                <c:ptCount val="5"/>
                <c:pt idx="0">
                  <c:v>Kaskazini Pemba</c:v>
                </c:pt>
                <c:pt idx="1">
                  <c:v>Kusini Unguja</c:v>
                </c:pt>
                <c:pt idx="2">
                  <c:v>Kaskazini Unguja</c:v>
                </c:pt>
                <c:pt idx="3">
                  <c:v>Kusini  Pemba</c:v>
                </c:pt>
                <c:pt idx="4">
                  <c:v>Mjini Magharibi</c:v>
                </c:pt>
              </c:strCache>
            </c:strRef>
          </c:cat>
          <c:val>
            <c:numRef>
              <c:f>'Use of farm implemen_21June2021'!$I$202:$I$206</c:f>
              <c:numCache>
                <c:formatCode>0.0</c:formatCode>
                <c:ptCount val="5"/>
                <c:pt idx="0">
                  <c:v>5.8163188427635051</c:v>
                </c:pt>
                <c:pt idx="1">
                  <c:v>9.5908988171475933</c:v>
                </c:pt>
                <c:pt idx="2">
                  <c:v>17.652377005951934</c:v>
                </c:pt>
                <c:pt idx="3">
                  <c:v>20.666013712047015</c:v>
                </c:pt>
                <c:pt idx="4">
                  <c:v>46.274391622089958</c:v>
                </c:pt>
              </c:numCache>
            </c:numRef>
          </c:val>
          <c:extLst>
            <c:ext xmlns:c16="http://schemas.microsoft.com/office/drawing/2014/chart" uri="{C3380CC4-5D6E-409C-BE32-E72D297353CC}">
              <c16:uniqueId val="{00000000-AB22-44B0-AF53-D1B5357CF024}"/>
            </c:ext>
          </c:extLst>
        </c:ser>
        <c:dLbls>
          <c:showLegendKey val="0"/>
          <c:showVal val="0"/>
          <c:showCatName val="0"/>
          <c:showSerName val="0"/>
          <c:showPercent val="0"/>
          <c:showBubbleSize val="0"/>
        </c:dLbls>
        <c:gapWidth val="182"/>
        <c:axId val="98109696"/>
        <c:axId val="98128256"/>
      </c:barChart>
      <c:catAx>
        <c:axId val="98109696"/>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Region</a:t>
                </a:r>
              </a:p>
            </c:rich>
          </c:tx>
          <c:layout>
            <c:manualLayout>
              <c:xMode val="edge"/>
              <c:yMode val="edge"/>
              <c:x val="4.1361194236540708E-2"/>
              <c:y val="0.33766962640308257"/>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chemeClr val="tx1">
                <a:lumMod val="50000"/>
                <a:lumOff val="50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98128256"/>
        <c:crosses val="autoZero"/>
        <c:auto val="1"/>
        <c:lblAlgn val="ctr"/>
        <c:lblOffset val="100"/>
        <c:noMultiLvlLbl val="0"/>
      </c:catAx>
      <c:valAx>
        <c:axId val="98128256"/>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Percent</a:t>
                </a:r>
              </a:p>
            </c:rich>
          </c:tx>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a:solidFill>
              <a:schemeClr val="tx1">
                <a:lumMod val="50000"/>
                <a:lumOff val="50000"/>
              </a:schemeClr>
            </a:solid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981096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1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1854124997551059"/>
          <c:y val="5.6194125159642401E-2"/>
          <c:w val="0.62264852609325216"/>
          <c:h val="0.74808057038847153"/>
        </c:manualLayout>
      </c:layout>
      <c:barChart>
        <c:barDir val="bar"/>
        <c:grouping val="clustered"/>
        <c:varyColors val="0"/>
        <c:ser>
          <c:idx val="1"/>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'Market Challenges (2)'!$C$123:$M$123</c:f>
              <c:strCache>
                <c:ptCount val="11"/>
                <c:pt idx="0">
                  <c:v>Low market price</c:v>
                </c:pt>
                <c:pt idx="1">
                  <c:v>No transport</c:v>
                </c:pt>
                <c:pt idx="2">
                  <c:v>High Transport cost </c:v>
                </c:pt>
                <c:pt idx="3">
                  <c:v>No buyer</c:v>
                </c:pt>
                <c:pt idx="4">
                  <c:v>Market too far</c:v>
                </c:pt>
                <c:pt idx="5">
                  <c:v>Cooperative Problems</c:v>
                </c:pt>
                <c:pt idx="6">
                  <c:v>Trade Union problems</c:v>
                </c:pt>
                <c:pt idx="7">
                  <c:v>Government Regulatory problems</c:v>
                </c:pt>
                <c:pt idx="8">
                  <c:v>Lack of market Information</c:v>
                </c:pt>
                <c:pt idx="9">
                  <c:v>Production insufficient to sell</c:v>
                </c:pt>
                <c:pt idx="10">
                  <c:v>Others</c:v>
                </c:pt>
              </c:strCache>
            </c:strRef>
          </c:cat>
          <c:val>
            <c:numRef>
              <c:f>'Market Challenges (2)'!$C$125:$M$125</c:f>
              <c:numCache>
                <c:formatCode>0.0</c:formatCode>
                <c:ptCount val="11"/>
                <c:pt idx="0">
                  <c:v>78.3747386440577</c:v>
                </c:pt>
                <c:pt idx="1">
                  <c:v>1.6006055367005489</c:v>
                </c:pt>
                <c:pt idx="2">
                  <c:v>2.1424267458151109</c:v>
                </c:pt>
                <c:pt idx="3">
                  <c:v>3.7110946928242621</c:v>
                </c:pt>
                <c:pt idx="4">
                  <c:v>5.9397529308061481</c:v>
                </c:pt>
                <c:pt idx="5">
                  <c:v>0.21866603075376972</c:v>
                </c:pt>
                <c:pt idx="6" formatCode="0.00">
                  <c:v>2.9116435935324255E-2</c:v>
                </c:pt>
                <c:pt idx="7">
                  <c:v>0.29590176849079985</c:v>
                </c:pt>
                <c:pt idx="8">
                  <c:v>2.8594256343869899</c:v>
                </c:pt>
                <c:pt idx="9">
                  <c:v>1.7349563306690285</c:v>
                </c:pt>
                <c:pt idx="10">
                  <c:v>3.0933152495603258</c:v>
                </c:pt>
              </c:numCache>
            </c:numRef>
          </c:val>
          <c:extLst>
            <c:ext xmlns:c16="http://schemas.microsoft.com/office/drawing/2014/chart" uri="{C3380CC4-5D6E-409C-BE32-E72D297353CC}">
              <c16:uniqueId val="{00000000-0DC2-4F0B-8110-8A4D1A928548}"/>
            </c:ext>
          </c:extLst>
        </c:ser>
        <c:dLbls>
          <c:showLegendKey val="0"/>
          <c:showVal val="0"/>
          <c:showCatName val="0"/>
          <c:showSerName val="0"/>
          <c:showPercent val="0"/>
          <c:showBubbleSize val="0"/>
        </c:dLbls>
        <c:gapWidth val="51"/>
        <c:axId val="98150272"/>
        <c:axId val="98164736"/>
      </c:barChart>
      <c:catAx>
        <c:axId val="98150272"/>
        <c:scaling>
          <c:orientation val="minMax"/>
        </c:scaling>
        <c:delete val="0"/>
        <c:axPos val="l"/>
        <c:title>
          <c:tx>
            <c:rich>
              <a:bodyPr rot="-5400000" vert="horz"/>
              <a:lstStyle/>
              <a:p>
                <a:pPr>
                  <a:defRPr/>
                </a:pPr>
                <a:r>
                  <a:rPr lang="en-US"/>
                  <a:t>Marketing challenges</a:t>
                </a:r>
              </a:p>
            </c:rich>
          </c:tx>
          <c:layout>
            <c:manualLayout>
              <c:xMode val="edge"/>
              <c:yMode val="edge"/>
              <c:x val="1.3726210899395469E-2"/>
              <c:y val="0.2095868940553047"/>
            </c:manualLayout>
          </c:layout>
          <c:overlay val="0"/>
        </c:title>
        <c:numFmt formatCode="General" sourceLinked="0"/>
        <c:majorTickMark val="out"/>
        <c:minorTickMark val="none"/>
        <c:tickLblPos val="nextTo"/>
        <c:crossAx val="98164736"/>
        <c:crosses val="autoZero"/>
        <c:auto val="1"/>
        <c:lblAlgn val="ctr"/>
        <c:lblOffset val="100"/>
        <c:noMultiLvlLbl val="0"/>
      </c:catAx>
      <c:valAx>
        <c:axId val="98164736"/>
        <c:scaling>
          <c:orientation val="minMax"/>
        </c:scaling>
        <c:delete val="0"/>
        <c:axPos val="b"/>
        <c:title>
          <c:tx>
            <c:rich>
              <a:bodyPr/>
              <a:lstStyle/>
              <a:p>
                <a:pPr>
                  <a:defRPr/>
                </a:pPr>
                <a:r>
                  <a:rPr lang="en-US"/>
                  <a:t>Percent</a:t>
                </a:r>
              </a:p>
            </c:rich>
          </c:tx>
          <c:layout>
            <c:manualLayout>
              <c:xMode val="edge"/>
              <c:yMode val="edge"/>
              <c:x val="0.4996993116731504"/>
              <c:y val="0.90645796291592584"/>
            </c:manualLayout>
          </c:layout>
          <c:overlay val="0"/>
        </c:title>
        <c:numFmt formatCode="0" sourceLinked="0"/>
        <c:majorTickMark val="out"/>
        <c:minorTickMark val="none"/>
        <c:tickLblPos val="nextTo"/>
        <c:crossAx val="98150272"/>
        <c:crosses val="autoZero"/>
        <c:crossBetween val="between"/>
      </c:valAx>
    </c:plotArea>
    <c:plotVisOnly val="1"/>
    <c:dispBlanksAs val="gap"/>
    <c:showDLblsOverMax val="0"/>
  </c:chart>
  <c:spPr>
    <a:ln w="9525"/>
  </c:spPr>
  <c:txPr>
    <a:bodyPr/>
    <a:lstStyle/>
    <a:p>
      <a:pPr>
        <a:defRPr sz="800" b="0">
          <a:solidFill>
            <a:schemeClr val="tx1"/>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'Market Challenges (2)'!$C$51:$L$51</c:f>
              <c:strCache>
                <c:ptCount val="10"/>
                <c:pt idx="0">
                  <c:v>Low market price</c:v>
                </c:pt>
                <c:pt idx="1">
                  <c:v>No transport</c:v>
                </c:pt>
                <c:pt idx="2">
                  <c:v>Transport cost too high</c:v>
                </c:pt>
                <c:pt idx="3">
                  <c:v>No buyer</c:v>
                </c:pt>
                <c:pt idx="4">
                  <c:v>Market too far</c:v>
                </c:pt>
                <c:pt idx="5">
                  <c:v>Cooperative Problems</c:v>
                </c:pt>
                <c:pt idx="6">
                  <c:v>Trade Union problems</c:v>
                </c:pt>
                <c:pt idx="7">
                  <c:v>Government Regulatory problems</c:v>
                </c:pt>
                <c:pt idx="8">
                  <c:v>Lack of market Information</c:v>
                </c:pt>
                <c:pt idx="9">
                  <c:v>Production insufficient to sell</c:v>
                </c:pt>
              </c:strCache>
            </c:strRef>
          </c:cat>
          <c:val>
            <c:numRef>
              <c:f>'Market Challenges (2)'!$C$53:$L$53</c:f>
              <c:numCache>
                <c:formatCode>_-* #,##0.0_-;\-* #,##0.0_-;_-* "-"??_-;_-@_-</c:formatCode>
                <c:ptCount val="10"/>
                <c:pt idx="0">
                  <c:v>85.07167067821814</c:v>
                </c:pt>
                <c:pt idx="1">
                  <c:v>1.1110645918830713</c:v>
                </c:pt>
                <c:pt idx="2">
                  <c:v>1.5902549308999159</c:v>
                </c:pt>
                <c:pt idx="3">
                  <c:v>3.1122632264819194</c:v>
                </c:pt>
                <c:pt idx="4">
                  <c:v>4.3967111621456318</c:v>
                </c:pt>
                <c:pt idx="5">
                  <c:v>0.42324039474720487</c:v>
                </c:pt>
                <c:pt idx="6">
                  <c:v>5.635983397124858E-2</c:v>
                </c:pt>
                <c:pt idx="7">
                  <c:v>0.28059877858724491</c:v>
                </c:pt>
                <c:pt idx="8">
                  <c:v>2.0305935817713854</c:v>
                </c:pt>
                <c:pt idx="9">
                  <c:v>1.9272428212942383</c:v>
                </c:pt>
              </c:numCache>
            </c:numRef>
          </c:val>
          <c:extLst>
            <c:ext xmlns:c16="http://schemas.microsoft.com/office/drawing/2014/chart" uri="{C3380CC4-5D6E-409C-BE32-E72D297353CC}">
              <c16:uniqueId val="{00000000-1406-4288-A29D-EE2C614C7F78}"/>
            </c:ext>
          </c:extLst>
        </c:ser>
        <c:dLbls>
          <c:showLegendKey val="0"/>
          <c:showVal val="0"/>
          <c:showCatName val="0"/>
          <c:showSerName val="0"/>
          <c:showPercent val="0"/>
          <c:showBubbleSize val="0"/>
        </c:dLbls>
        <c:gapWidth val="51"/>
        <c:axId val="110973312"/>
        <c:axId val="110975232"/>
      </c:barChart>
      <c:catAx>
        <c:axId val="110973312"/>
        <c:scaling>
          <c:orientation val="minMax"/>
        </c:scaling>
        <c:delete val="0"/>
        <c:axPos val="l"/>
        <c:title>
          <c:tx>
            <c:rich>
              <a:bodyPr rot="-5400000" vert="horz"/>
              <a:lstStyle/>
              <a:p>
                <a:pPr>
                  <a:defRPr/>
                </a:pPr>
                <a:r>
                  <a:rPr lang="en-US"/>
                  <a:t>Marketing challenges</a:t>
                </a:r>
              </a:p>
            </c:rich>
          </c:tx>
          <c:layout>
            <c:manualLayout>
              <c:xMode val="edge"/>
              <c:yMode val="edge"/>
              <c:x val="1.3725363900318794E-2"/>
              <c:y val="0.24313117775171719"/>
            </c:manualLayout>
          </c:layout>
          <c:overlay val="0"/>
        </c:title>
        <c:numFmt formatCode="General" sourceLinked="0"/>
        <c:majorTickMark val="out"/>
        <c:minorTickMark val="none"/>
        <c:tickLblPos val="nextTo"/>
        <c:crossAx val="110975232"/>
        <c:crosses val="autoZero"/>
        <c:auto val="1"/>
        <c:lblAlgn val="ctr"/>
        <c:lblOffset val="100"/>
        <c:noMultiLvlLbl val="0"/>
      </c:catAx>
      <c:valAx>
        <c:axId val="110975232"/>
        <c:scaling>
          <c:orientation val="minMax"/>
        </c:scaling>
        <c:delete val="0"/>
        <c:axPos val="b"/>
        <c:title>
          <c:tx>
            <c:rich>
              <a:bodyPr/>
              <a:lstStyle/>
              <a:p>
                <a:pPr>
                  <a:defRPr/>
                </a:pPr>
                <a:r>
                  <a:rPr lang="en-US"/>
                  <a:t>Percent</a:t>
                </a:r>
              </a:p>
            </c:rich>
          </c:tx>
          <c:layout>
            <c:manualLayout>
              <c:xMode val="edge"/>
              <c:yMode val="edge"/>
              <c:x val="0.56635919831441572"/>
              <c:y val="0.90645800403534205"/>
            </c:manualLayout>
          </c:layout>
          <c:overlay val="0"/>
        </c:title>
        <c:numFmt formatCode="#,##0" sourceLinked="0"/>
        <c:majorTickMark val="out"/>
        <c:minorTickMark val="none"/>
        <c:tickLblPos val="nextTo"/>
        <c:crossAx val="110973312"/>
        <c:crosses val="autoZero"/>
        <c:crossBetween val="between"/>
      </c:valAx>
    </c:plotArea>
    <c:plotVisOnly val="1"/>
    <c:dispBlanksAs val="gap"/>
    <c:showDLblsOverMax val="0"/>
  </c:chart>
  <c:txPr>
    <a:bodyPr/>
    <a:lstStyle/>
    <a:p>
      <a:pPr>
        <a:defRPr sz="800" b="0">
          <a:latin typeface="Times New Roman" pitchFamily="18" charset="0"/>
          <a:cs typeface="Times New Roman" pitchFamily="18" charset="0"/>
        </a:defRPr>
      </a:pPr>
      <a:endParaRPr lang="en-US"/>
    </a:p>
  </c:txPr>
  <c:externalData r:id="rId2">
    <c:autoUpdate val="0"/>
  </c:externalData>
</c:chartSpace>
</file>

<file path=word/charts/chart1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1"/>
          <c:dPt>
            <c:idx val="0"/>
            <c:bubble3D val="0"/>
            <c:spPr>
              <a:solidFill>
                <a:srgbClr val="00B0F0"/>
              </a:solidFill>
              <a:ln w="25400">
                <a:solidFill>
                  <a:schemeClr val="lt1"/>
                </a:solidFill>
              </a:ln>
              <a:effectLst/>
              <a:sp3d contourW="25400">
                <a:contourClr>
                  <a:schemeClr val="lt1"/>
                </a:contourClr>
              </a:sp3d>
            </c:spPr>
            <c:extLst>
              <c:ext xmlns:c16="http://schemas.microsoft.com/office/drawing/2014/chart" uri="{C3380CC4-5D6E-409C-BE32-E72D297353CC}">
                <c16:uniqueId val="{00000001-D469-3740-B9FE-4105FEA06343}"/>
              </c:ext>
            </c:extLst>
          </c:dPt>
          <c:dPt>
            <c:idx val="1"/>
            <c:bubble3D val="0"/>
            <c:explosion val="5"/>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D469-3740-B9FE-4105FEA06343}"/>
              </c:ext>
            </c:extLst>
          </c:dPt>
          <c:dPt>
            <c:idx val="2"/>
            <c:bubble3D val="0"/>
            <c:explosion val="0"/>
            <c:spPr>
              <a:solidFill>
                <a:schemeClr val="accent6">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D469-3740-B9FE-4105FEA06343}"/>
              </c:ext>
            </c:extLst>
          </c:dPt>
          <c:dPt>
            <c:idx val="3"/>
            <c:bubble3D val="0"/>
            <c:explosion val="15"/>
            <c:spPr>
              <a:solidFill>
                <a:srgbClr val="7030A0"/>
              </a:solidFill>
              <a:ln w="25400">
                <a:solidFill>
                  <a:schemeClr val="lt1"/>
                </a:solidFill>
              </a:ln>
              <a:effectLst/>
              <a:sp3d contourW="25400">
                <a:contourClr>
                  <a:schemeClr val="lt1"/>
                </a:contourClr>
              </a:sp3d>
            </c:spPr>
            <c:extLst>
              <c:ext xmlns:c16="http://schemas.microsoft.com/office/drawing/2014/chart" uri="{C3380CC4-5D6E-409C-BE32-E72D297353CC}">
                <c16:uniqueId val="{00000007-D469-3740-B9FE-4105FEA06343}"/>
              </c:ext>
            </c:extLst>
          </c:dPt>
          <c:dLbls>
            <c:dLbl>
              <c:idx val="0"/>
              <c:layout>
                <c:manualLayout>
                  <c:x val="-6.6873359580052499E-2"/>
                  <c:y val="-0.24650443300886601"/>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D469-3740-B9FE-4105FEA06343}"/>
                </c:ext>
              </c:extLst>
            </c:dLbl>
            <c:dLbl>
              <c:idx val="1"/>
              <c:layout>
                <c:manualLayout>
                  <c:x val="3.6407042869641297E-2"/>
                  <c:y val="7.022940045880091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D469-3740-B9FE-4105FEA06343}"/>
                </c:ext>
              </c:extLst>
            </c:dLbl>
            <c:dLbl>
              <c:idx val="2"/>
              <c:layout>
                <c:manualLayout>
                  <c:x val="-5.1438800447852324E-2"/>
                  <c:y val="-3.8719173058333778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D469-3740-B9FE-4105FEA06343}"/>
                </c:ext>
              </c:extLst>
            </c:dLbl>
            <c:dLbl>
              <c:idx val="3"/>
              <c:layout>
                <c:manualLayout>
                  <c:x val="-3.541560262921959E-3"/>
                  <c:y val="-2.2473247290726538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D469-3740-B9FE-4105FEA06343}"/>
                </c:ext>
              </c:extLst>
            </c:dLbl>
            <c:numFmt formatCode="0.0%" sourceLinked="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Sheet1!$C$18:$C$21</c:f>
              <c:strCache>
                <c:ptCount val="4"/>
                <c:pt idx="0">
                  <c:v> Cattle </c:v>
                </c:pt>
                <c:pt idx="1">
                  <c:v> Goats </c:v>
                </c:pt>
                <c:pt idx="2">
                  <c:v> Sheep </c:v>
                </c:pt>
                <c:pt idx="3">
                  <c:v> Pigs </c:v>
                </c:pt>
              </c:strCache>
            </c:strRef>
          </c:cat>
          <c:val>
            <c:numRef>
              <c:f>Sheet1!$D$18:$D$21</c:f>
              <c:numCache>
                <c:formatCode>_(* #,##0_);_(* \(#,##0\);_(* "-"_);_(@_)</c:formatCode>
                <c:ptCount val="4"/>
                <c:pt idx="0">
                  <c:v>33928391</c:v>
                </c:pt>
                <c:pt idx="1">
                  <c:v>24568396</c:v>
                </c:pt>
                <c:pt idx="2">
                  <c:v>8516990</c:v>
                </c:pt>
                <c:pt idx="3">
                  <c:v>3208495</c:v>
                </c:pt>
              </c:numCache>
            </c:numRef>
          </c:val>
          <c:extLst>
            <c:ext xmlns:c16="http://schemas.microsoft.com/office/drawing/2014/chart" uri="{C3380CC4-5D6E-409C-BE32-E72D297353CC}">
              <c16:uniqueId val="{00000008-D469-3740-B9FE-4105FEA06343}"/>
            </c:ext>
          </c:extLst>
        </c:ser>
        <c:dLbls>
          <c:showLegendKey val="0"/>
          <c:showVal val="0"/>
          <c:showCatName val="1"/>
          <c:showSerName val="0"/>
          <c:showPercent val="1"/>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50000"/>
          <a:lumOff val="50000"/>
        </a:schemeClr>
      </a:solidFill>
      <a:round/>
    </a:ln>
    <a:effectLst/>
  </c:spPr>
  <c:txPr>
    <a:bodyPr/>
    <a:lstStyle/>
    <a:p>
      <a:pPr>
        <a:defRPr sz="800" b="0" i="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1-9C46-D340-B6C8-C4D0537AD6F5}"/>
              </c:ext>
            </c:extLst>
          </c:dPt>
          <c:dPt>
            <c:idx val="1"/>
            <c:bubble3D val="0"/>
            <c:explosion val="5"/>
            <c:spPr>
              <a:solidFill>
                <a:srgbClr val="C00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3-9C46-D340-B6C8-C4D0537AD6F5}"/>
              </c:ext>
            </c:extLst>
          </c:dPt>
          <c:dPt>
            <c:idx val="2"/>
            <c:bubble3D val="0"/>
            <c:spPr>
              <a:solidFill>
                <a:srgbClr val="FFFF00"/>
              </a:solidFill>
              <a:ln w="25400">
                <a:solidFill>
                  <a:schemeClr val="lt1"/>
                </a:solidFill>
              </a:ln>
              <a:effectLst/>
              <a:sp3d contourW="25400">
                <a:contourClr>
                  <a:schemeClr val="lt1"/>
                </a:contourClr>
              </a:sp3d>
            </c:spPr>
            <c:extLst>
              <c:ext xmlns:c16="http://schemas.microsoft.com/office/drawing/2014/chart" uri="{C3380CC4-5D6E-409C-BE32-E72D297353CC}">
                <c16:uniqueId val="{00000005-9C46-D340-B6C8-C4D0537AD6F5}"/>
              </c:ext>
            </c:extLst>
          </c:dPt>
          <c:dPt>
            <c:idx val="3"/>
            <c:bubble3D val="0"/>
            <c:explosion val="14"/>
            <c:spPr>
              <a:solidFill>
                <a:srgbClr val="7030A0"/>
              </a:solidFill>
              <a:ln w="25400">
                <a:solidFill>
                  <a:schemeClr val="lt1"/>
                </a:solidFill>
              </a:ln>
              <a:effectLst/>
              <a:sp3d contourW="25400">
                <a:contourClr>
                  <a:schemeClr val="lt1"/>
                </a:contourClr>
              </a:sp3d>
            </c:spPr>
            <c:extLst>
              <c:ext xmlns:c16="http://schemas.microsoft.com/office/drawing/2014/chart" uri="{C3380CC4-5D6E-409C-BE32-E72D297353CC}">
                <c16:uniqueId val="{00000007-9C46-D340-B6C8-C4D0537AD6F5}"/>
              </c:ext>
            </c:extLst>
          </c:dPt>
          <c:dLbls>
            <c:dLbl>
              <c:idx val="0"/>
              <c:layout>
                <c:manualLayout>
                  <c:x val="-0.10712456255468067"/>
                  <c:y val="-0.116757022770802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9C46-D340-B6C8-C4D0537AD6F5}"/>
                </c:ext>
              </c:extLst>
            </c:dLbl>
            <c:dLbl>
              <c:idx val="1"/>
              <c:layout>
                <c:manualLayout>
                  <c:x val="-7.2346784776902887E-2"/>
                  <c:y val="-7.2377101510959782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9C46-D340-B6C8-C4D0537AD6F5}"/>
                </c:ext>
              </c:extLst>
            </c:dLbl>
            <c:dLbl>
              <c:idx val="2"/>
              <c:layout>
                <c:manualLayout>
                  <c:x val="4.7845144356955381E-2"/>
                  <c:y val="-9.8825281974888268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9C46-D340-B6C8-C4D0537AD6F5}"/>
                </c:ext>
              </c:extLst>
            </c:dLbl>
            <c:dLbl>
              <c:idx val="3"/>
              <c:layout>
                <c:manualLayout>
                  <c:x val="9.6673228346456693E-3"/>
                  <c:y val="-5.666258778463503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9C46-D340-B6C8-C4D0537AD6F5}"/>
                </c:ext>
              </c:extLst>
            </c:dLbl>
            <c:numFmt formatCode="0.0%" sourceLinked="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Sheet1!$C$10:$C$13</c:f>
              <c:strCache>
                <c:ptCount val="4"/>
                <c:pt idx="0">
                  <c:v> Cattle </c:v>
                </c:pt>
                <c:pt idx="1">
                  <c:v> Goats </c:v>
                </c:pt>
                <c:pt idx="2">
                  <c:v> Sheep </c:v>
                </c:pt>
                <c:pt idx="3">
                  <c:v> Pigs </c:v>
                </c:pt>
              </c:strCache>
            </c:strRef>
          </c:cat>
          <c:val>
            <c:numRef>
              <c:f>Sheet1!$D$10:$D$13</c:f>
              <c:numCache>
                <c:formatCode>_(* #,##0_);_(* \(#,##0\);_(* "-"_);_(@_)</c:formatCode>
                <c:ptCount val="4"/>
                <c:pt idx="0">
                  <c:v>1971550</c:v>
                </c:pt>
                <c:pt idx="1">
                  <c:v>1815220</c:v>
                </c:pt>
                <c:pt idx="2">
                  <c:v>677273</c:v>
                </c:pt>
                <c:pt idx="3">
                  <c:v>546986</c:v>
                </c:pt>
              </c:numCache>
            </c:numRef>
          </c:val>
          <c:extLst>
            <c:ext xmlns:c16="http://schemas.microsoft.com/office/drawing/2014/chart" uri="{C3380CC4-5D6E-409C-BE32-E72D297353CC}">
              <c16:uniqueId val="{00000008-9C46-D340-B6C8-C4D0537AD6F5}"/>
            </c:ext>
          </c:extLst>
        </c:ser>
        <c:dLbls>
          <c:showLegendKey val="0"/>
          <c:showVal val="0"/>
          <c:showCatName val="1"/>
          <c:showSerName val="0"/>
          <c:showPercent val="1"/>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50000"/>
          <a:lumOff val="50000"/>
        </a:schemeClr>
      </a:solidFill>
      <a:round/>
    </a:ln>
    <a:effectLst/>
  </c:spPr>
  <c:txPr>
    <a:bodyPr/>
    <a:lstStyle/>
    <a:p>
      <a:pPr>
        <a:defRPr sz="800" b="0" i="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869917387375758"/>
          <c:y val="6.0572687224669602E-2"/>
          <c:w val="0.76217600361430227"/>
          <c:h val="0.71463951340971532"/>
        </c:manualLayout>
      </c:layout>
      <c:lineChart>
        <c:grouping val="standard"/>
        <c:varyColors val="0"/>
        <c:ser>
          <c:idx val="0"/>
          <c:order val="0"/>
          <c:spPr>
            <a:ln>
              <a:solidFill>
                <a:srgbClr val="FF0000"/>
              </a:solidFill>
            </a:ln>
          </c:spPr>
          <c:marker>
            <c:spPr>
              <a:solidFill>
                <a:schemeClr val="accent6">
                  <a:lumMod val="75000"/>
                </a:schemeClr>
              </a:solidFill>
              <a:ln>
                <a:solidFill>
                  <a:srgbClr val="FF0000"/>
                </a:solidFill>
              </a:ln>
            </c:spPr>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'Figure 4.3'!$J$9:$J$11</c:f>
              <c:numCache>
                <c:formatCode>General</c:formatCode>
                <c:ptCount val="3"/>
                <c:pt idx="0">
                  <c:v>2003</c:v>
                </c:pt>
                <c:pt idx="1">
                  <c:v>2008</c:v>
                </c:pt>
                <c:pt idx="2">
                  <c:v>2020</c:v>
                </c:pt>
              </c:numCache>
            </c:numRef>
          </c:cat>
          <c:val>
            <c:numRef>
              <c:f>'Figure 4.3'!$K$9:$K$11</c:f>
              <c:numCache>
                <c:formatCode>_(* #,##0.0_);_(* \(#,##0.0\);_(* "-"??_);_(@_)</c:formatCode>
                <c:ptCount val="3"/>
                <c:pt idx="0">
                  <c:v>16.837150000000001</c:v>
                </c:pt>
                <c:pt idx="1">
                  <c:v>21.125250999999999</c:v>
                </c:pt>
                <c:pt idx="2">
                  <c:v>33.784671000000003</c:v>
                </c:pt>
              </c:numCache>
            </c:numRef>
          </c:val>
          <c:smooth val="0"/>
          <c:extLst>
            <c:ext xmlns:c16="http://schemas.microsoft.com/office/drawing/2014/chart" uri="{C3380CC4-5D6E-409C-BE32-E72D297353CC}">
              <c16:uniqueId val="{00000000-70FB-7A45-93C3-AA8BD961A89D}"/>
            </c:ext>
          </c:extLst>
        </c:ser>
        <c:dLbls>
          <c:showLegendKey val="0"/>
          <c:showVal val="0"/>
          <c:showCatName val="0"/>
          <c:showSerName val="0"/>
          <c:showPercent val="0"/>
          <c:showBubbleSize val="0"/>
        </c:dLbls>
        <c:marker val="1"/>
        <c:smooth val="0"/>
        <c:axId val="61046272"/>
        <c:axId val="60561024"/>
      </c:lineChart>
      <c:catAx>
        <c:axId val="61046272"/>
        <c:scaling>
          <c:orientation val="minMax"/>
        </c:scaling>
        <c:delete val="0"/>
        <c:axPos val="b"/>
        <c:title>
          <c:tx>
            <c:rich>
              <a:bodyPr/>
              <a:lstStyle/>
              <a:p>
                <a:pPr>
                  <a:defRPr/>
                </a:pPr>
                <a:r>
                  <a:rPr lang="en-US"/>
                  <a:t>Year</a:t>
                </a:r>
              </a:p>
            </c:rich>
          </c:tx>
          <c:overlay val="0"/>
        </c:title>
        <c:numFmt formatCode="General" sourceLinked="1"/>
        <c:majorTickMark val="out"/>
        <c:minorTickMark val="none"/>
        <c:tickLblPos val="nextTo"/>
        <c:crossAx val="60561024"/>
        <c:crosses val="autoZero"/>
        <c:auto val="1"/>
        <c:lblAlgn val="ctr"/>
        <c:lblOffset val="100"/>
        <c:noMultiLvlLbl val="0"/>
      </c:catAx>
      <c:valAx>
        <c:axId val="60561024"/>
        <c:scaling>
          <c:orientation val="minMax"/>
        </c:scaling>
        <c:delete val="0"/>
        <c:axPos val="l"/>
        <c:title>
          <c:tx>
            <c:rich>
              <a:bodyPr rot="-5400000" vert="horz"/>
              <a:lstStyle/>
              <a:p>
                <a:pPr>
                  <a:defRPr/>
                </a:pPr>
                <a:r>
                  <a:rPr lang="en-US"/>
                  <a:t>Number of Cattle (in millions')</a:t>
                </a:r>
              </a:p>
            </c:rich>
          </c:tx>
          <c:layout>
            <c:manualLayout>
              <c:xMode val="edge"/>
              <c:yMode val="edge"/>
              <c:x val="3.5318187685555696E-2"/>
              <c:y val="6.0572683817273335E-2"/>
            </c:manualLayout>
          </c:layout>
          <c:overlay val="0"/>
        </c:title>
        <c:numFmt formatCode="#,##0" sourceLinked="0"/>
        <c:majorTickMark val="out"/>
        <c:minorTickMark val="none"/>
        <c:tickLblPos val="nextTo"/>
        <c:crossAx val="61046272"/>
        <c:crosses val="autoZero"/>
        <c:crossBetween val="between"/>
      </c:valAx>
    </c:plotArea>
    <c:legend>
      <c:legendPos val="r"/>
      <c:legendEntry>
        <c:idx val="0"/>
        <c:delete val="1"/>
      </c:legendEntry>
      <c:overlay val="0"/>
    </c:legend>
    <c:plotVisOnly val="1"/>
    <c:dispBlanksAs val="gap"/>
    <c:showDLblsOverMax val="0"/>
  </c:chart>
  <c:spPr>
    <a:ln w="9525">
      <a:solidFill>
        <a:schemeClr val="tx1">
          <a:lumMod val="50000"/>
          <a:lumOff val="50000"/>
        </a:schemeClr>
      </a:solidFill>
    </a:ln>
  </c:spPr>
  <c:txPr>
    <a:bodyPr/>
    <a:lstStyle/>
    <a:p>
      <a:pPr>
        <a:defRPr sz="800" b="0">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1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explosion val="25"/>
          <c:dLbls>
            <c:dLbl>
              <c:idx val="0"/>
              <c:layout>
                <c:manualLayout>
                  <c:x val="0.22126357175583083"/>
                  <c:y val="-3.2608695652173912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1898962562020743"/>
                      <c:h val="0.16016304347826088"/>
                    </c:manualLayout>
                  </c15:layout>
                </c:ext>
                <c:ext xmlns:c16="http://schemas.microsoft.com/office/drawing/2014/chart" uri="{C3380CC4-5D6E-409C-BE32-E72D297353CC}">
                  <c16:uniqueId val="{00000000-AAD7-2F40-A0AF-163F415094D6}"/>
                </c:ext>
              </c:extLst>
            </c:dLbl>
            <c:dLbl>
              <c:idx val="1"/>
              <c:layout>
                <c:manualLayout>
                  <c:x val="-3.6111111111111135E-2"/>
                  <c:y val="6.0185185185185182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AAD7-2F40-A0AF-163F415094D6}"/>
                </c:ext>
              </c:extLst>
            </c:dLbl>
            <c:dLbl>
              <c:idx val="2"/>
              <c:layout>
                <c:manualLayout>
                  <c:x val="0.21111111111111111"/>
                  <c:y val="1.388888888888887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AAD7-2F40-A0AF-163F415094D6}"/>
                </c:ext>
              </c:extLst>
            </c:dLbl>
            <c:numFmt formatCode="0.0%" sourceLinked="0"/>
            <c:spPr>
              <a:noFill/>
              <a:ln>
                <a:noFill/>
              </a:ln>
              <a:effectLst/>
            </c:spPr>
            <c:txPr>
              <a:bodyPr/>
              <a:lstStyle/>
              <a:p>
                <a:pPr>
                  <a:defRPr sz="800"/>
                </a:pPr>
                <a:endParaRPr lang="en-US"/>
              </a:p>
            </c:txPr>
            <c:dLblPos val="outEnd"/>
            <c:showLegendKey val="0"/>
            <c:showVal val="0"/>
            <c:showCatName val="1"/>
            <c:showSerName val="0"/>
            <c:showPercent val="1"/>
            <c:showBubbleSize val="0"/>
            <c:showLeaderLines val="1"/>
            <c:extLst>
              <c:ext xmlns:c15="http://schemas.microsoft.com/office/drawing/2012/chart" uri="{CE6537A1-D6FC-4f65-9D91-7224C49458BB}"/>
            </c:extLst>
          </c:dLbls>
          <c:cat>
            <c:strRef>
              <c:f>'Figure 4.4'!$B$2:$D$2</c:f>
              <c:strCache>
                <c:ptCount val="3"/>
                <c:pt idx="0">
                  <c:v>Indigenous</c:v>
                </c:pt>
                <c:pt idx="1">
                  <c:v>Improved Beef</c:v>
                </c:pt>
                <c:pt idx="2">
                  <c:v>Improved Dairy</c:v>
                </c:pt>
              </c:strCache>
            </c:strRef>
          </c:cat>
          <c:val>
            <c:numRef>
              <c:f>'Figure 4.4'!$B$3:$D$3</c:f>
              <c:numCache>
                <c:formatCode>_(* #,##0_);_(* \(#,##0\);_(* "-"??_);_(@_)</c:formatCode>
                <c:ptCount val="3"/>
                <c:pt idx="0">
                  <c:v>32617693</c:v>
                </c:pt>
                <c:pt idx="1">
                  <c:v>302372</c:v>
                </c:pt>
                <c:pt idx="2">
                  <c:v>864606</c:v>
                </c:pt>
              </c:numCache>
            </c:numRef>
          </c:val>
          <c:extLst>
            <c:ext xmlns:c16="http://schemas.microsoft.com/office/drawing/2014/chart" uri="{C3380CC4-5D6E-409C-BE32-E72D297353CC}">
              <c16:uniqueId val="{00000003-AAD7-2F40-A0AF-163F415094D6}"/>
            </c:ext>
          </c:extLst>
        </c:ser>
        <c:dLbls>
          <c:showLegendKey val="0"/>
          <c:showVal val="0"/>
          <c:showCatName val="0"/>
          <c:showSerName val="0"/>
          <c:showPercent val="0"/>
          <c:showBubbleSize val="0"/>
          <c:showLeaderLines val="1"/>
        </c:dLbls>
      </c:pie3DChart>
    </c:plotArea>
    <c:plotVisOnly val="1"/>
    <c:dispBlanksAs val="gap"/>
    <c:showDLblsOverMax val="0"/>
  </c:chart>
  <c:spPr>
    <a:solidFill>
      <a:schemeClr val="lt1"/>
    </a:solidFill>
    <a:ln w="9525" cap="flat" cmpd="sng" algn="ctr">
      <a:solidFill>
        <a:schemeClr val="tx1">
          <a:lumMod val="50000"/>
          <a:lumOff val="50000"/>
        </a:schemeClr>
      </a:solidFill>
      <a:prstDash val="solid"/>
    </a:ln>
    <a:effectLst/>
  </c:spPr>
  <c:txPr>
    <a:bodyPr/>
    <a:lstStyle/>
    <a:p>
      <a:pPr>
        <a:defRPr sz="900">
          <a:solidFill>
            <a:schemeClr val="dk1"/>
          </a:solidFill>
          <a:latin typeface="Times New Roman" panose="02020603050405020304" pitchFamily="18" charset="0"/>
          <a:ea typeface="+mn-ea"/>
          <a:cs typeface="Times New Roman" panose="02020603050405020304" pitchFamily="18" charset="0"/>
        </a:defRPr>
      </a:pPr>
      <a:endParaRPr lang="en-US"/>
    </a:p>
  </c:txPr>
  <c:externalData r:id="rId1">
    <c:autoUpdate val="0"/>
  </c:externalData>
</c:chartSpace>
</file>

<file path=word/charts/chart1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701274376858937"/>
          <c:y val="7.7274323849666315E-2"/>
          <c:w val="0.74264480022775459"/>
          <c:h val="0.50909508281960014"/>
        </c:manualLayout>
      </c:layout>
      <c:barChart>
        <c:barDir val="col"/>
        <c:grouping val="clustered"/>
        <c:varyColors val="0"/>
        <c:ser>
          <c:idx val="1"/>
          <c:order val="1"/>
          <c:tx>
            <c:strRef>
              <c:f>'Figure 4.5'!$H$44</c:f>
              <c:strCache>
                <c:ptCount val="1"/>
                <c:pt idx="0">
                  <c:v> Number of Cattle </c:v>
                </c:pt>
              </c:strCache>
            </c:strRef>
          </c:tx>
          <c:spPr>
            <a:solidFill>
              <a:schemeClr val="accent2"/>
            </a:solidFill>
            <a:ln>
              <a:noFill/>
            </a:ln>
            <a:effectLst/>
          </c:spPr>
          <c:invertIfNegative val="0"/>
          <c:cat>
            <c:strRef>
              <c:f>'Figure 4.5'!$A$45:$A$70</c:f>
              <c:strCache>
                <c:ptCount val="26"/>
                <c:pt idx="0">
                  <c:v> Dodoma </c:v>
                </c:pt>
                <c:pt idx="1">
                  <c:v> Arusha </c:v>
                </c:pt>
                <c:pt idx="2">
                  <c:v> Kilimanjaro </c:v>
                </c:pt>
                <c:pt idx="3">
                  <c:v> Tanga </c:v>
                </c:pt>
                <c:pt idx="4">
                  <c:v> Morogoro </c:v>
                </c:pt>
                <c:pt idx="5">
                  <c:v> Pwani </c:v>
                </c:pt>
                <c:pt idx="6">
                  <c:v> Dar-es-salaam </c:v>
                </c:pt>
                <c:pt idx="7">
                  <c:v> Lindi </c:v>
                </c:pt>
                <c:pt idx="8">
                  <c:v> Mtwara </c:v>
                </c:pt>
                <c:pt idx="9">
                  <c:v> Ruvuma </c:v>
                </c:pt>
                <c:pt idx="10">
                  <c:v> Iringa </c:v>
                </c:pt>
                <c:pt idx="11">
                  <c:v> Mbeya </c:v>
                </c:pt>
                <c:pt idx="12">
                  <c:v> Singida </c:v>
                </c:pt>
                <c:pt idx="13">
                  <c:v> Tabora </c:v>
                </c:pt>
                <c:pt idx="14">
                  <c:v> Rukwa </c:v>
                </c:pt>
                <c:pt idx="15">
                  <c:v> Kigoma </c:v>
                </c:pt>
                <c:pt idx="16">
                  <c:v> Shinyanga </c:v>
                </c:pt>
                <c:pt idx="17">
                  <c:v> Kagera </c:v>
                </c:pt>
                <c:pt idx="18">
                  <c:v> Mwanza </c:v>
                </c:pt>
                <c:pt idx="19">
                  <c:v> Mara </c:v>
                </c:pt>
                <c:pt idx="20">
                  <c:v> Manyara </c:v>
                </c:pt>
                <c:pt idx="21">
                  <c:v> Njombe </c:v>
                </c:pt>
                <c:pt idx="22">
                  <c:v> Katavi </c:v>
                </c:pt>
                <c:pt idx="23">
                  <c:v> Simiyu </c:v>
                </c:pt>
                <c:pt idx="24">
                  <c:v> Geita </c:v>
                </c:pt>
                <c:pt idx="25">
                  <c:v> Songwe </c:v>
                </c:pt>
              </c:strCache>
            </c:strRef>
          </c:cat>
          <c:val>
            <c:numRef>
              <c:f>'Figure 4.5'!$H$45:$H$70</c:f>
              <c:numCache>
                <c:formatCode>_(* #,##0_);_(* \(#,##0\);_(* "-"_);_(@_)</c:formatCode>
                <c:ptCount val="26"/>
                <c:pt idx="0">
                  <c:v>2176.9520000000002</c:v>
                </c:pt>
                <c:pt idx="1">
                  <c:v>2463.768</c:v>
                </c:pt>
                <c:pt idx="2">
                  <c:v>782.447</c:v>
                </c:pt>
                <c:pt idx="3">
                  <c:v>1354.3889999999999</c:v>
                </c:pt>
                <c:pt idx="4">
                  <c:v>1055.7339999999999</c:v>
                </c:pt>
                <c:pt idx="5">
                  <c:v>712.76800000000003</c:v>
                </c:pt>
                <c:pt idx="6">
                  <c:v>39.177</c:v>
                </c:pt>
                <c:pt idx="7">
                  <c:v>202.506</c:v>
                </c:pt>
                <c:pt idx="8">
                  <c:v>135.78</c:v>
                </c:pt>
                <c:pt idx="9">
                  <c:v>349.404</c:v>
                </c:pt>
                <c:pt idx="10">
                  <c:v>607.66099999999994</c:v>
                </c:pt>
                <c:pt idx="11">
                  <c:v>930.65800000000002</c:v>
                </c:pt>
                <c:pt idx="12">
                  <c:v>1954.3309999999999</c:v>
                </c:pt>
                <c:pt idx="13">
                  <c:v>2828.6909999999998</c:v>
                </c:pt>
                <c:pt idx="14">
                  <c:v>681.31700000000001</c:v>
                </c:pt>
                <c:pt idx="15">
                  <c:v>584.12599999999998</c:v>
                </c:pt>
                <c:pt idx="16">
                  <c:v>2006.231</c:v>
                </c:pt>
                <c:pt idx="17">
                  <c:v>1277.6379999999999</c:v>
                </c:pt>
                <c:pt idx="18">
                  <c:v>1709.645</c:v>
                </c:pt>
                <c:pt idx="19">
                  <c:v>2281.9670000000001</c:v>
                </c:pt>
                <c:pt idx="20">
                  <c:v>2258.9</c:v>
                </c:pt>
                <c:pt idx="21">
                  <c:v>425.07299999999998</c:v>
                </c:pt>
                <c:pt idx="22">
                  <c:v>672.53599999999994</c:v>
                </c:pt>
                <c:pt idx="23">
                  <c:v>2545.6640000000002</c:v>
                </c:pt>
                <c:pt idx="24">
                  <c:v>1553.1420000000001</c:v>
                </c:pt>
                <c:pt idx="25">
                  <c:v>787.63499999999999</c:v>
                </c:pt>
              </c:numCache>
            </c:numRef>
          </c:val>
          <c:extLst>
            <c:ext xmlns:c16="http://schemas.microsoft.com/office/drawing/2014/chart" uri="{C3380CC4-5D6E-409C-BE32-E72D297353CC}">
              <c16:uniqueId val="{00000000-DFEC-E841-AD88-4F56D9935678}"/>
            </c:ext>
          </c:extLst>
        </c:ser>
        <c:dLbls>
          <c:showLegendKey val="0"/>
          <c:showVal val="0"/>
          <c:showCatName val="0"/>
          <c:showSerName val="0"/>
          <c:showPercent val="0"/>
          <c:showBubbleSize val="0"/>
        </c:dLbls>
        <c:gapWidth val="219"/>
        <c:overlap val="-27"/>
        <c:axId val="111705088"/>
        <c:axId val="111711744"/>
      </c:barChart>
      <c:scatterChart>
        <c:scatterStyle val="lineMarker"/>
        <c:varyColors val="0"/>
        <c:ser>
          <c:idx val="0"/>
          <c:order val="0"/>
          <c:tx>
            <c:strRef>
              <c:f>'Figure 4.5'!$G$44</c:f>
              <c:strCache>
                <c:ptCount val="1"/>
                <c:pt idx="0">
                  <c:v> Average Number of Cattle per household </c:v>
                </c:pt>
              </c:strCache>
            </c:strRef>
          </c:tx>
          <c:spPr>
            <a:ln w="25400" cap="rnd">
              <a:noFill/>
              <a:round/>
            </a:ln>
            <a:effectLst/>
          </c:spPr>
          <c:marker>
            <c:symbol val="circle"/>
            <c:size val="3"/>
            <c:spPr>
              <a:solidFill>
                <a:schemeClr val="accent1"/>
              </a:solidFill>
              <a:ln w="9525">
                <a:solidFill>
                  <a:schemeClr val="accent1"/>
                </a:solidFill>
              </a:ln>
              <a:effectLst/>
            </c:spPr>
          </c:marker>
          <c:xVal>
            <c:strRef>
              <c:f>'Figure 4.5'!$A$45:$A$70</c:f>
              <c:strCache>
                <c:ptCount val="26"/>
                <c:pt idx="0">
                  <c:v> Dodoma </c:v>
                </c:pt>
                <c:pt idx="1">
                  <c:v> Arusha </c:v>
                </c:pt>
                <c:pt idx="2">
                  <c:v> Kilimanjaro </c:v>
                </c:pt>
                <c:pt idx="3">
                  <c:v> Tanga </c:v>
                </c:pt>
                <c:pt idx="4">
                  <c:v> Morogoro </c:v>
                </c:pt>
                <c:pt idx="5">
                  <c:v> Pwani </c:v>
                </c:pt>
                <c:pt idx="6">
                  <c:v> Dar-es-salaam </c:v>
                </c:pt>
                <c:pt idx="7">
                  <c:v> Lindi </c:v>
                </c:pt>
                <c:pt idx="8">
                  <c:v> Mtwara </c:v>
                </c:pt>
                <c:pt idx="9">
                  <c:v> Ruvuma </c:v>
                </c:pt>
                <c:pt idx="10">
                  <c:v> Iringa </c:v>
                </c:pt>
                <c:pt idx="11">
                  <c:v> Mbeya </c:v>
                </c:pt>
                <c:pt idx="12">
                  <c:v> Singida </c:v>
                </c:pt>
                <c:pt idx="13">
                  <c:v> Tabora </c:v>
                </c:pt>
                <c:pt idx="14">
                  <c:v> Rukwa </c:v>
                </c:pt>
                <c:pt idx="15">
                  <c:v> Kigoma </c:v>
                </c:pt>
                <c:pt idx="16">
                  <c:v> Shinyanga </c:v>
                </c:pt>
                <c:pt idx="17">
                  <c:v> Kagera </c:v>
                </c:pt>
                <c:pt idx="18">
                  <c:v> Mwanza </c:v>
                </c:pt>
                <c:pt idx="19">
                  <c:v> Mara </c:v>
                </c:pt>
                <c:pt idx="20">
                  <c:v> Manyara </c:v>
                </c:pt>
                <c:pt idx="21">
                  <c:v> Njombe </c:v>
                </c:pt>
                <c:pt idx="22">
                  <c:v> Katavi </c:v>
                </c:pt>
                <c:pt idx="23">
                  <c:v> Simiyu </c:v>
                </c:pt>
                <c:pt idx="24">
                  <c:v> Geita </c:v>
                </c:pt>
                <c:pt idx="25">
                  <c:v> Songwe </c:v>
                </c:pt>
              </c:strCache>
            </c:strRef>
          </c:xVal>
          <c:yVal>
            <c:numRef>
              <c:f>'Figure 4.5'!$G$45:$G$70</c:f>
              <c:numCache>
                <c:formatCode>_(* #,##0.0_);_(* \(#,##0.0\);_(* "-"??_);_(@_)</c:formatCode>
                <c:ptCount val="26"/>
                <c:pt idx="0">
                  <c:v>13.583367651279747</c:v>
                </c:pt>
                <c:pt idx="1">
                  <c:v>20.303827928633236</c:v>
                </c:pt>
                <c:pt idx="2">
                  <c:v>8.2246830786049152</c:v>
                </c:pt>
                <c:pt idx="3">
                  <c:v>26.521285345030154</c:v>
                </c:pt>
                <c:pt idx="4">
                  <c:v>38.97423213230951</c:v>
                </c:pt>
                <c:pt idx="5">
                  <c:v>83.707339988256024</c:v>
                </c:pt>
                <c:pt idx="6">
                  <c:v>2.9275892990584369</c:v>
                </c:pt>
                <c:pt idx="7">
                  <c:v>88.857393593681437</c:v>
                </c:pt>
                <c:pt idx="8">
                  <c:v>60.239574090505769</c:v>
                </c:pt>
                <c:pt idx="9">
                  <c:v>8.5810697971413141</c:v>
                </c:pt>
                <c:pt idx="10">
                  <c:v>25.121377485633968</c:v>
                </c:pt>
                <c:pt idx="11">
                  <c:v>10.543190855433835</c:v>
                </c:pt>
                <c:pt idx="12">
                  <c:v>16.051472641555925</c:v>
                </c:pt>
                <c:pt idx="13">
                  <c:v>23.395206312185199</c:v>
                </c:pt>
                <c:pt idx="14">
                  <c:v>9.5122792321116929</c:v>
                </c:pt>
                <c:pt idx="15">
                  <c:v>31.301966668452923</c:v>
                </c:pt>
                <c:pt idx="16">
                  <c:v>25.299575026166785</c:v>
                </c:pt>
                <c:pt idx="17">
                  <c:v>40.241834388484676</c:v>
                </c:pt>
                <c:pt idx="18">
                  <c:v>14.418988099756261</c:v>
                </c:pt>
                <c:pt idx="19">
                  <c:v>22.312724890488109</c:v>
                </c:pt>
                <c:pt idx="20">
                  <c:v>15.388545619281835</c:v>
                </c:pt>
                <c:pt idx="21">
                  <c:v>16.611551838680683</c:v>
                </c:pt>
                <c:pt idx="22">
                  <c:v>44.400607380999539</c:v>
                </c:pt>
                <c:pt idx="23">
                  <c:v>31.998391070440949</c:v>
                </c:pt>
                <c:pt idx="24">
                  <c:v>20.972534298368803</c:v>
                </c:pt>
                <c:pt idx="25">
                  <c:v>8.4824188250498089</c:v>
                </c:pt>
              </c:numCache>
            </c:numRef>
          </c:yVal>
          <c:smooth val="0"/>
          <c:extLst>
            <c:ext xmlns:c16="http://schemas.microsoft.com/office/drawing/2014/chart" uri="{C3380CC4-5D6E-409C-BE32-E72D297353CC}">
              <c16:uniqueId val="{00000001-DFEC-E841-AD88-4F56D9935678}"/>
            </c:ext>
          </c:extLst>
        </c:ser>
        <c:dLbls>
          <c:showLegendKey val="0"/>
          <c:showVal val="0"/>
          <c:showCatName val="0"/>
          <c:showSerName val="0"/>
          <c:showPercent val="0"/>
          <c:showBubbleSize val="0"/>
        </c:dLbls>
        <c:axId val="111715840"/>
        <c:axId val="111713664"/>
      </c:scatterChart>
      <c:catAx>
        <c:axId val="111705088"/>
        <c:scaling>
          <c:orientation val="minMax"/>
        </c:scaling>
        <c:delete val="0"/>
        <c:axPos val="b"/>
        <c:title>
          <c:tx>
            <c:rich>
              <a:bodyPr rot="0" spcFirstLastPara="1" vertOverflow="ellipsis" vert="horz" wrap="square" anchor="ctr" anchorCtr="1"/>
              <a:lstStyle/>
              <a:p>
                <a:pPr>
                  <a:defRPr sz="65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Region</a:t>
                </a:r>
              </a:p>
            </c:rich>
          </c:tx>
          <c:layout>
            <c:manualLayout>
              <c:xMode val="edge"/>
              <c:yMode val="edge"/>
              <c:x val="0.47402473834443393"/>
              <c:y val="0.82006587954166421"/>
            </c:manualLayout>
          </c:layout>
          <c:overlay val="0"/>
          <c:spPr>
            <a:noFill/>
            <a:ln>
              <a:noFill/>
            </a:ln>
            <a:effectLst/>
          </c:spPr>
          <c:txPr>
            <a:bodyPr rot="0" spcFirstLastPara="1" vertOverflow="ellipsis" vert="horz" wrap="square" anchor="ctr" anchorCtr="1"/>
            <a:lstStyle/>
            <a:p>
              <a:pPr>
                <a:defRPr sz="6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chemeClr val="tx1">
                <a:lumMod val="50000"/>
                <a:lumOff val="50000"/>
              </a:schemeClr>
            </a:solidFill>
            <a:round/>
          </a:ln>
          <a:effectLst/>
        </c:spPr>
        <c:txPr>
          <a:bodyPr rot="-5400000" spcFirstLastPara="1" vertOverflow="ellipsis" wrap="square" anchor="ctr" anchorCtr="1"/>
          <a:lstStyle/>
          <a:p>
            <a:pPr>
              <a:defRPr sz="6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11711744"/>
        <c:crosses val="autoZero"/>
        <c:auto val="1"/>
        <c:lblAlgn val="ctr"/>
        <c:lblOffset val="100"/>
        <c:noMultiLvlLbl val="0"/>
      </c:catAx>
      <c:valAx>
        <c:axId val="111711744"/>
        <c:scaling>
          <c:orientation val="minMax"/>
        </c:scaling>
        <c:delete val="0"/>
        <c:axPos val="l"/>
        <c:title>
          <c:tx>
            <c:rich>
              <a:bodyPr rot="-5400000" spcFirstLastPara="1" vertOverflow="ellipsis" vert="horz" wrap="square" anchor="ctr" anchorCtr="1"/>
              <a:lstStyle/>
              <a:p>
                <a:pPr>
                  <a:defRPr sz="65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Number ('000')</a:t>
                </a:r>
              </a:p>
            </c:rich>
          </c:tx>
          <c:overlay val="0"/>
          <c:spPr>
            <a:noFill/>
            <a:ln>
              <a:noFill/>
            </a:ln>
            <a:effectLst/>
          </c:spPr>
          <c:txPr>
            <a:bodyPr rot="-5400000" spcFirstLastPara="1" vertOverflow="ellipsis" vert="horz" wrap="square" anchor="ctr" anchorCtr="1"/>
            <a:lstStyle/>
            <a:p>
              <a:pPr>
                <a:defRPr sz="6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_(* #,##0_);_(* \(#,##0\);_(* &quot;-&quot;_);_(@_)" sourceLinked="1"/>
        <c:majorTickMark val="out"/>
        <c:minorTickMark val="none"/>
        <c:tickLblPos val="nextTo"/>
        <c:spPr>
          <a:noFill/>
          <a:ln>
            <a:solidFill>
              <a:schemeClr val="tx1">
                <a:lumMod val="50000"/>
                <a:lumOff val="50000"/>
              </a:schemeClr>
            </a:solidFill>
          </a:ln>
          <a:effectLst/>
        </c:spPr>
        <c:txPr>
          <a:bodyPr rot="-60000000" spcFirstLastPara="1" vertOverflow="ellipsis" vert="horz" wrap="square" anchor="ctr" anchorCtr="1"/>
          <a:lstStyle/>
          <a:p>
            <a:pPr>
              <a:defRPr sz="6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11705088"/>
        <c:crosses val="autoZero"/>
        <c:crossBetween val="between"/>
      </c:valAx>
      <c:valAx>
        <c:axId val="111713664"/>
        <c:scaling>
          <c:orientation val="minMax"/>
        </c:scaling>
        <c:delete val="0"/>
        <c:axPos val="r"/>
        <c:title>
          <c:tx>
            <c:rich>
              <a:bodyPr rot="-5400000" spcFirstLastPara="1" vertOverflow="ellipsis" vert="horz" wrap="square" anchor="ctr" anchorCtr="1"/>
              <a:lstStyle/>
              <a:p>
                <a:pPr>
                  <a:defRPr sz="65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Average  </a:t>
                </a:r>
              </a:p>
            </c:rich>
          </c:tx>
          <c:layout>
            <c:manualLayout>
              <c:xMode val="edge"/>
              <c:yMode val="edge"/>
              <c:x val="0.93792141951837771"/>
              <c:y val="0.2114535244508747"/>
            </c:manualLayout>
          </c:layout>
          <c:overlay val="0"/>
          <c:spPr>
            <a:noFill/>
            <a:ln>
              <a:noFill/>
            </a:ln>
            <a:effectLst/>
          </c:spPr>
          <c:txPr>
            <a:bodyPr rot="-5400000" spcFirstLastPara="1" vertOverflow="ellipsis" vert="horz" wrap="square" anchor="ctr" anchorCtr="1"/>
            <a:lstStyle/>
            <a:p>
              <a:pPr>
                <a:defRPr sz="6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a:solidFill>
              <a:schemeClr val="tx1">
                <a:lumMod val="50000"/>
                <a:lumOff val="50000"/>
              </a:schemeClr>
            </a:solidFill>
          </a:ln>
          <a:effectLst/>
        </c:spPr>
        <c:txPr>
          <a:bodyPr rot="-60000000" spcFirstLastPara="1" vertOverflow="ellipsis" vert="horz" wrap="square" anchor="ctr" anchorCtr="1"/>
          <a:lstStyle/>
          <a:p>
            <a:pPr>
              <a:defRPr sz="6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11715840"/>
        <c:crosses val="max"/>
        <c:crossBetween val="midCat"/>
      </c:valAx>
      <c:valAx>
        <c:axId val="111715840"/>
        <c:scaling>
          <c:orientation val="minMax"/>
        </c:scaling>
        <c:delete val="1"/>
        <c:axPos val="t"/>
        <c:majorTickMark val="out"/>
        <c:minorTickMark val="none"/>
        <c:tickLblPos val="nextTo"/>
        <c:crossAx val="111713664"/>
        <c:crosses val="max"/>
        <c:crossBetween val="midCat"/>
      </c:valAx>
      <c:spPr>
        <a:noFill/>
        <a:ln>
          <a:noFill/>
        </a:ln>
        <a:effectLst/>
      </c:spPr>
    </c:plotArea>
    <c:legend>
      <c:legendPos val="b"/>
      <c:layout>
        <c:manualLayout>
          <c:xMode val="edge"/>
          <c:yMode val="edge"/>
          <c:x val="0.11788907452220233"/>
          <c:y val="0.88673697136646135"/>
          <c:w val="0.78705694614053356"/>
          <c:h val="9.2188213038175287E-2"/>
        </c:manualLayout>
      </c:layout>
      <c:overlay val="0"/>
      <c:spPr>
        <a:noFill/>
        <a:ln>
          <a:noFill/>
        </a:ln>
        <a:effectLst/>
      </c:spPr>
      <c:txPr>
        <a:bodyPr rot="0" spcFirstLastPara="1" vertOverflow="ellipsis" vert="horz" wrap="square" anchor="ctr" anchorCtr="1"/>
        <a:lstStyle/>
        <a:p>
          <a:pPr>
            <a:defRPr sz="6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65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1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940442629856454"/>
          <c:y val="8.4779868618117649E-2"/>
          <c:w val="0.70542876476377958"/>
          <c:h val="0.56752348891171212"/>
        </c:manualLayout>
      </c:layout>
      <c:barChart>
        <c:barDir val="col"/>
        <c:grouping val="clustered"/>
        <c:varyColors val="0"/>
        <c:ser>
          <c:idx val="0"/>
          <c:order val="0"/>
          <c:tx>
            <c:strRef>
              <c:f>'Figure 4.6'!$C$3</c:f>
              <c:strCache>
                <c:ptCount val="1"/>
                <c:pt idx="0">
                  <c:v>Number of Cattle</c:v>
                </c:pt>
              </c:strCache>
            </c:strRef>
          </c:tx>
          <c:spPr>
            <a:solidFill>
              <a:srgbClr val="92D050"/>
            </a:solidFill>
          </c:spPr>
          <c:invertIfNegative val="0"/>
          <c:cat>
            <c:strRef>
              <c:f>'Figure 4.6'!$A$4:$A$8</c:f>
              <c:strCache>
                <c:ptCount val="5"/>
                <c:pt idx="0">
                  <c:v>Kaskazini Unguja</c:v>
                </c:pt>
                <c:pt idx="1">
                  <c:v>Kusini Unguja</c:v>
                </c:pt>
                <c:pt idx="2">
                  <c:v>Mjini Magharibi </c:v>
                </c:pt>
                <c:pt idx="3">
                  <c:v>Kaskazini Pemba</c:v>
                </c:pt>
                <c:pt idx="4">
                  <c:v>Kusini Pemba</c:v>
                </c:pt>
              </c:strCache>
            </c:strRef>
          </c:cat>
          <c:val>
            <c:numRef>
              <c:f>'Figure 4.6'!$C$4:$C$8</c:f>
              <c:numCache>
                <c:formatCode>_(* #,##0_);_(* \(#,##0\);_(* "-"??_);_(@_)</c:formatCode>
                <c:ptCount val="5"/>
                <c:pt idx="0">
                  <c:v>41.938000000000002</c:v>
                </c:pt>
                <c:pt idx="1">
                  <c:v>32.259</c:v>
                </c:pt>
                <c:pt idx="2">
                  <c:v>40.057000000000002</c:v>
                </c:pt>
                <c:pt idx="3">
                  <c:v>65.59</c:v>
                </c:pt>
                <c:pt idx="4">
                  <c:v>59.71</c:v>
                </c:pt>
              </c:numCache>
            </c:numRef>
          </c:val>
          <c:extLst>
            <c:ext xmlns:c16="http://schemas.microsoft.com/office/drawing/2014/chart" uri="{C3380CC4-5D6E-409C-BE32-E72D297353CC}">
              <c16:uniqueId val="{00000000-76B9-354E-BACE-FEBD1EF6A075}"/>
            </c:ext>
          </c:extLst>
        </c:ser>
        <c:dLbls>
          <c:showLegendKey val="0"/>
          <c:showVal val="0"/>
          <c:showCatName val="0"/>
          <c:showSerName val="0"/>
          <c:showPercent val="0"/>
          <c:showBubbleSize val="0"/>
        </c:dLbls>
        <c:gapWidth val="200"/>
        <c:axId val="111317760"/>
        <c:axId val="111320064"/>
      </c:barChart>
      <c:scatterChart>
        <c:scatterStyle val="lineMarker"/>
        <c:varyColors val="0"/>
        <c:ser>
          <c:idx val="1"/>
          <c:order val="1"/>
          <c:tx>
            <c:strRef>
              <c:f>'Figure 4.6'!$D$3</c:f>
              <c:strCache>
                <c:ptCount val="1"/>
                <c:pt idx="0">
                  <c:v>Average  Number of Cattle per households</c:v>
                </c:pt>
              </c:strCache>
            </c:strRef>
          </c:tx>
          <c:spPr>
            <a:ln w="28575">
              <a:noFill/>
            </a:ln>
          </c:spPr>
          <c:marker>
            <c:symbol val="circle"/>
            <c:size val="5"/>
            <c:spPr>
              <a:ln w="3175"/>
            </c:spPr>
          </c:marker>
          <c:xVal>
            <c:strRef>
              <c:f>'Figure 4.6'!$A$4:$A$8</c:f>
              <c:strCache>
                <c:ptCount val="5"/>
                <c:pt idx="0">
                  <c:v>Kaskazini Unguja</c:v>
                </c:pt>
                <c:pt idx="1">
                  <c:v>Kusini Unguja</c:v>
                </c:pt>
                <c:pt idx="2">
                  <c:v>Mjini Magharibi </c:v>
                </c:pt>
                <c:pt idx="3">
                  <c:v>Kaskazini Pemba</c:v>
                </c:pt>
                <c:pt idx="4">
                  <c:v>Kusini Pemba</c:v>
                </c:pt>
              </c:strCache>
            </c:strRef>
          </c:xVal>
          <c:yVal>
            <c:numRef>
              <c:f>'Figure 4.6'!$D$4:$D$8</c:f>
              <c:numCache>
                <c:formatCode>_-* #,##0_-;\-* #,##0_-;_-* "-"??_-;_-@_-</c:formatCode>
                <c:ptCount val="5"/>
                <c:pt idx="0">
                  <c:v>5.9919988569795688</c:v>
                </c:pt>
                <c:pt idx="1">
                  <c:v>5.8176735798016228</c:v>
                </c:pt>
                <c:pt idx="2">
                  <c:v>4.4076804577464799</c:v>
                </c:pt>
                <c:pt idx="3">
                  <c:v>4.8377341790824611</c:v>
                </c:pt>
                <c:pt idx="4">
                  <c:v>3.2732156561780505</c:v>
                </c:pt>
              </c:numCache>
            </c:numRef>
          </c:yVal>
          <c:smooth val="0"/>
          <c:extLst>
            <c:ext xmlns:c16="http://schemas.microsoft.com/office/drawing/2014/chart" uri="{C3380CC4-5D6E-409C-BE32-E72D297353CC}">
              <c16:uniqueId val="{00000001-76B9-354E-BACE-FEBD1EF6A075}"/>
            </c:ext>
          </c:extLst>
        </c:ser>
        <c:dLbls>
          <c:showLegendKey val="0"/>
          <c:showVal val="0"/>
          <c:showCatName val="0"/>
          <c:showSerName val="0"/>
          <c:showPercent val="0"/>
          <c:showBubbleSize val="0"/>
        </c:dLbls>
        <c:axId val="111328256"/>
        <c:axId val="111326336"/>
      </c:scatterChart>
      <c:catAx>
        <c:axId val="111317760"/>
        <c:scaling>
          <c:orientation val="minMax"/>
        </c:scaling>
        <c:delete val="0"/>
        <c:axPos val="b"/>
        <c:title>
          <c:tx>
            <c:rich>
              <a:bodyPr/>
              <a:lstStyle/>
              <a:p>
                <a:pPr>
                  <a:defRPr/>
                </a:pPr>
                <a:r>
                  <a:rPr lang="en-US"/>
                  <a:t>Regions</a:t>
                </a:r>
              </a:p>
            </c:rich>
          </c:tx>
          <c:overlay val="0"/>
        </c:title>
        <c:numFmt formatCode="General" sourceLinked="0"/>
        <c:majorTickMark val="out"/>
        <c:minorTickMark val="none"/>
        <c:tickLblPos val="nextTo"/>
        <c:crossAx val="111320064"/>
        <c:crosses val="autoZero"/>
        <c:auto val="1"/>
        <c:lblAlgn val="ctr"/>
        <c:lblOffset val="100"/>
        <c:noMultiLvlLbl val="0"/>
      </c:catAx>
      <c:valAx>
        <c:axId val="111320064"/>
        <c:scaling>
          <c:orientation val="minMax"/>
        </c:scaling>
        <c:delete val="0"/>
        <c:axPos val="l"/>
        <c:title>
          <c:tx>
            <c:rich>
              <a:bodyPr rot="-5400000" vert="horz"/>
              <a:lstStyle/>
              <a:p>
                <a:pPr>
                  <a:defRPr/>
                </a:pPr>
                <a:r>
                  <a:rPr lang="en-US"/>
                  <a:t>Number of Cattle ('000')</a:t>
                </a:r>
              </a:p>
            </c:rich>
          </c:tx>
          <c:overlay val="0"/>
        </c:title>
        <c:numFmt formatCode="_(* #,##0_);_(* \(#,##0\);_(* &quot;-&quot;??_);_(@_)" sourceLinked="1"/>
        <c:majorTickMark val="out"/>
        <c:minorTickMark val="none"/>
        <c:tickLblPos val="nextTo"/>
        <c:crossAx val="111317760"/>
        <c:crosses val="autoZero"/>
        <c:crossBetween val="between"/>
      </c:valAx>
      <c:valAx>
        <c:axId val="111326336"/>
        <c:scaling>
          <c:orientation val="minMax"/>
        </c:scaling>
        <c:delete val="0"/>
        <c:axPos val="r"/>
        <c:title>
          <c:tx>
            <c:rich>
              <a:bodyPr rot="-5400000" vert="horz"/>
              <a:lstStyle/>
              <a:p>
                <a:pPr>
                  <a:defRPr/>
                </a:pPr>
                <a:r>
                  <a:rPr lang="en-US"/>
                  <a:t>Avr. Number of Cattle per H/hold</a:t>
                </a:r>
              </a:p>
            </c:rich>
          </c:tx>
          <c:overlay val="0"/>
        </c:title>
        <c:numFmt formatCode="_-* #,##0_-;\-* #,##0_-;_-* &quot;-&quot;??_-;_-@_-" sourceLinked="1"/>
        <c:majorTickMark val="out"/>
        <c:minorTickMark val="none"/>
        <c:tickLblPos val="nextTo"/>
        <c:crossAx val="111328256"/>
        <c:crosses val="max"/>
        <c:crossBetween val="midCat"/>
      </c:valAx>
      <c:valAx>
        <c:axId val="111328256"/>
        <c:scaling>
          <c:orientation val="minMax"/>
        </c:scaling>
        <c:delete val="1"/>
        <c:axPos val="b"/>
        <c:numFmt formatCode="General" sourceLinked="1"/>
        <c:majorTickMark val="out"/>
        <c:minorTickMark val="none"/>
        <c:tickLblPos val="nextTo"/>
        <c:crossAx val="111326336"/>
        <c:crosses val="autoZero"/>
        <c:crossBetween val="midCat"/>
      </c:valAx>
      <c:spPr>
        <a:noFill/>
        <a:ln w="25400">
          <a:noFill/>
        </a:ln>
      </c:spPr>
    </c:plotArea>
    <c:legend>
      <c:legendPos val="b"/>
      <c:overlay val="0"/>
    </c:legend>
    <c:plotVisOnly val="1"/>
    <c:dispBlanksAs val="gap"/>
    <c:showDLblsOverMax val="0"/>
  </c:chart>
  <c:spPr>
    <a:solidFill>
      <a:schemeClr val="lt1"/>
    </a:solidFill>
    <a:ln w="9525" cap="flat" cmpd="sng" algn="ctr">
      <a:solidFill>
        <a:sysClr val="windowText" lastClr="000000">
          <a:lumMod val="50000"/>
          <a:lumOff val="50000"/>
        </a:sysClr>
      </a:solidFill>
      <a:prstDash val="solid"/>
    </a:ln>
    <a:effectLst/>
  </c:spPr>
  <c:txPr>
    <a:bodyPr/>
    <a:lstStyle/>
    <a:p>
      <a:pPr>
        <a:defRPr sz="650" b="0">
          <a:solidFill>
            <a:schemeClr val="tx1"/>
          </a:solidFill>
          <a:latin typeface="Times New Roman" pitchFamily="18" charset="0"/>
          <a:ea typeface="+mn-ea"/>
          <a:cs typeface="Times New Roman" pitchFamily="18" charset="0"/>
        </a:defRPr>
      </a:pPr>
      <a:endParaRPr lang="en-US"/>
    </a:p>
  </c:txPr>
  <c:externalData r:id="rId2">
    <c:autoUpdate val="0"/>
  </c:externalData>
</c:chartSpace>
</file>

<file path=word/charts/chart1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193810809172832"/>
          <c:y val="5.2024603794754667E-2"/>
          <c:w val="0.84201097420548898"/>
          <c:h val="0.52144917953958048"/>
        </c:manualLayout>
      </c:layout>
      <c:barChart>
        <c:barDir val="col"/>
        <c:grouping val="clustered"/>
        <c:varyColors val="0"/>
        <c:ser>
          <c:idx val="0"/>
          <c:order val="0"/>
          <c:tx>
            <c:strRef>
              <c:f>'Figure 4.8 (2)'!$F$3</c:f>
              <c:strCache>
                <c:ptCount val="1"/>
                <c:pt idx="0">
                  <c:v>Beef Cattle</c:v>
                </c:pt>
              </c:strCache>
            </c:strRef>
          </c:tx>
          <c:spPr>
            <a:solidFill>
              <a:srgbClr val="FF0000"/>
            </a:solidFill>
          </c:spPr>
          <c:invertIfNegative val="0"/>
          <c:cat>
            <c:strRef>
              <c:f>'Figure 4.8 (2)'!$A$4:$A$29</c:f>
              <c:strCache>
                <c:ptCount val="26"/>
                <c:pt idx="0">
                  <c:v>Tanga</c:v>
                </c:pt>
                <c:pt idx="1">
                  <c:v>Arusha</c:v>
                </c:pt>
                <c:pt idx="2">
                  <c:v>Mbeya</c:v>
                </c:pt>
                <c:pt idx="3">
                  <c:v>Ruvuma</c:v>
                </c:pt>
                <c:pt idx="4">
                  <c:v>Kilimanjaro</c:v>
                </c:pt>
                <c:pt idx="5">
                  <c:v>Kagera</c:v>
                </c:pt>
                <c:pt idx="6">
                  <c:v>Manyara</c:v>
                </c:pt>
                <c:pt idx="7">
                  <c:v>Dar-es-salaam</c:v>
                </c:pt>
                <c:pt idx="8">
                  <c:v>Iringa</c:v>
                </c:pt>
                <c:pt idx="9">
                  <c:v>Simiyu</c:v>
                </c:pt>
                <c:pt idx="10">
                  <c:v>Njombe</c:v>
                </c:pt>
                <c:pt idx="11">
                  <c:v>Singida</c:v>
                </c:pt>
                <c:pt idx="12">
                  <c:v>Pwani</c:v>
                </c:pt>
                <c:pt idx="13">
                  <c:v>Morogoro</c:v>
                </c:pt>
                <c:pt idx="14">
                  <c:v>Shinyanga</c:v>
                </c:pt>
                <c:pt idx="15">
                  <c:v>Tabora</c:v>
                </c:pt>
                <c:pt idx="16">
                  <c:v>Mwanza</c:v>
                </c:pt>
                <c:pt idx="17">
                  <c:v>Mtwara</c:v>
                </c:pt>
                <c:pt idx="18">
                  <c:v>Dodoma</c:v>
                </c:pt>
                <c:pt idx="19">
                  <c:v>Kigoma</c:v>
                </c:pt>
                <c:pt idx="20">
                  <c:v>Mara</c:v>
                </c:pt>
                <c:pt idx="21">
                  <c:v>Rukwa</c:v>
                </c:pt>
                <c:pt idx="22">
                  <c:v>Songwe</c:v>
                </c:pt>
                <c:pt idx="23">
                  <c:v>Lindi</c:v>
                </c:pt>
                <c:pt idx="24">
                  <c:v>Katavi</c:v>
                </c:pt>
                <c:pt idx="25">
                  <c:v>Geita</c:v>
                </c:pt>
              </c:strCache>
            </c:strRef>
          </c:cat>
          <c:val>
            <c:numRef>
              <c:f>'Figure 4.8 (2)'!$F$4:$F$29</c:f>
              <c:numCache>
                <c:formatCode>_-* #,##0_-;\-* #,##0_-;_-* "-"??_-;_-@_-</c:formatCode>
                <c:ptCount val="26"/>
                <c:pt idx="0">
                  <c:v>10.236000000000001</c:v>
                </c:pt>
                <c:pt idx="1">
                  <c:v>36.31</c:v>
                </c:pt>
                <c:pt idx="2">
                  <c:v>12.93</c:v>
                </c:pt>
                <c:pt idx="3">
                  <c:v>20.553000000000001</c:v>
                </c:pt>
                <c:pt idx="4">
                  <c:v>18.434000000000001</c:v>
                </c:pt>
                <c:pt idx="5">
                  <c:v>26.786999999999999</c:v>
                </c:pt>
                <c:pt idx="6">
                  <c:v>85.382000000000005</c:v>
                </c:pt>
                <c:pt idx="7">
                  <c:v>2.9649999999999999</c:v>
                </c:pt>
                <c:pt idx="8">
                  <c:v>4.7149999999999999</c:v>
                </c:pt>
                <c:pt idx="9">
                  <c:v>29.013999999999999</c:v>
                </c:pt>
                <c:pt idx="10">
                  <c:v>1.9339999999999999</c:v>
                </c:pt>
                <c:pt idx="11">
                  <c:v>7.68</c:v>
                </c:pt>
                <c:pt idx="12">
                  <c:v>5.532</c:v>
                </c:pt>
                <c:pt idx="13">
                  <c:v>10.718</c:v>
                </c:pt>
                <c:pt idx="14">
                  <c:v>2.883</c:v>
                </c:pt>
                <c:pt idx="15">
                  <c:v>2.3260000000000001</c:v>
                </c:pt>
                <c:pt idx="16">
                  <c:v>2.375</c:v>
                </c:pt>
                <c:pt idx="17">
                  <c:v>0</c:v>
                </c:pt>
                <c:pt idx="18">
                  <c:v>10.956</c:v>
                </c:pt>
                <c:pt idx="19">
                  <c:v>1.9570000000000001</c:v>
                </c:pt>
                <c:pt idx="20">
                  <c:v>3.0449999999999999</c:v>
                </c:pt>
                <c:pt idx="21">
                  <c:v>0</c:v>
                </c:pt>
                <c:pt idx="22">
                  <c:v>2.2069999999999999</c:v>
                </c:pt>
                <c:pt idx="23">
                  <c:v>0</c:v>
                </c:pt>
                <c:pt idx="24">
                  <c:v>1.853</c:v>
                </c:pt>
                <c:pt idx="25">
                  <c:v>0</c:v>
                </c:pt>
              </c:numCache>
            </c:numRef>
          </c:val>
          <c:extLst>
            <c:ext xmlns:c16="http://schemas.microsoft.com/office/drawing/2014/chart" uri="{C3380CC4-5D6E-409C-BE32-E72D297353CC}">
              <c16:uniqueId val="{00000000-6204-7E42-893D-384A05873E13}"/>
            </c:ext>
          </c:extLst>
        </c:ser>
        <c:ser>
          <c:idx val="1"/>
          <c:order val="1"/>
          <c:tx>
            <c:strRef>
              <c:f>'Figure 4.8 (2)'!$I$3</c:f>
              <c:strCache>
                <c:ptCount val="1"/>
                <c:pt idx="0">
                  <c:v>Dairy Cattle</c:v>
                </c:pt>
              </c:strCache>
            </c:strRef>
          </c:tx>
          <c:spPr>
            <a:solidFill>
              <a:srgbClr val="FFC000"/>
            </a:solidFill>
          </c:spPr>
          <c:invertIfNegative val="0"/>
          <c:cat>
            <c:strRef>
              <c:f>'Figure 4.8 (2)'!$A$4:$A$29</c:f>
              <c:strCache>
                <c:ptCount val="26"/>
                <c:pt idx="0">
                  <c:v>Tanga</c:v>
                </c:pt>
                <c:pt idx="1">
                  <c:v>Arusha</c:v>
                </c:pt>
                <c:pt idx="2">
                  <c:v>Mbeya</c:v>
                </c:pt>
                <c:pt idx="3">
                  <c:v>Ruvuma</c:v>
                </c:pt>
                <c:pt idx="4">
                  <c:v>Kilimanjaro</c:v>
                </c:pt>
                <c:pt idx="5">
                  <c:v>Kagera</c:v>
                </c:pt>
                <c:pt idx="6">
                  <c:v>Manyara</c:v>
                </c:pt>
                <c:pt idx="7">
                  <c:v>Dar-es-salaam</c:v>
                </c:pt>
                <c:pt idx="8">
                  <c:v>Iringa</c:v>
                </c:pt>
                <c:pt idx="9">
                  <c:v>Simiyu</c:v>
                </c:pt>
                <c:pt idx="10">
                  <c:v>Njombe</c:v>
                </c:pt>
                <c:pt idx="11">
                  <c:v>Singida</c:v>
                </c:pt>
                <c:pt idx="12">
                  <c:v>Pwani</c:v>
                </c:pt>
                <c:pt idx="13">
                  <c:v>Morogoro</c:v>
                </c:pt>
                <c:pt idx="14">
                  <c:v>Shinyanga</c:v>
                </c:pt>
                <c:pt idx="15">
                  <c:v>Tabora</c:v>
                </c:pt>
                <c:pt idx="16">
                  <c:v>Mwanza</c:v>
                </c:pt>
                <c:pt idx="17">
                  <c:v>Mtwara</c:v>
                </c:pt>
                <c:pt idx="18">
                  <c:v>Dodoma</c:v>
                </c:pt>
                <c:pt idx="19">
                  <c:v>Kigoma</c:v>
                </c:pt>
                <c:pt idx="20">
                  <c:v>Mara</c:v>
                </c:pt>
                <c:pt idx="21">
                  <c:v>Rukwa</c:v>
                </c:pt>
                <c:pt idx="22">
                  <c:v>Songwe</c:v>
                </c:pt>
                <c:pt idx="23">
                  <c:v>Lindi</c:v>
                </c:pt>
                <c:pt idx="24">
                  <c:v>Katavi</c:v>
                </c:pt>
                <c:pt idx="25">
                  <c:v>Geita</c:v>
                </c:pt>
              </c:strCache>
            </c:strRef>
          </c:cat>
          <c:val>
            <c:numRef>
              <c:f>'Figure 4.8 (2)'!$I$4:$I$29</c:f>
              <c:numCache>
                <c:formatCode>_-* #,##0_-;\-* #,##0_-;_-* "-"??_-;_-@_-</c:formatCode>
                <c:ptCount val="26"/>
                <c:pt idx="0">
                  <c:v>144.01599999999999</c:v>
                </c:pt>
                <c:pt idx="1">
                  <c:v>110.256</c:v>
                </c:pt>
                <c:pt idx="2">
                  <c:v>88.856999999999999</c:v>
                </c:pt>
                <c:pt idx="3">
                  <c:v>80.795000000000002</c:v>
                </c:pt>
                <c:pt idx="4">
                  <c:v>65.741</c:v>
                </c:pt>
                <c:pt idx="5">
                  <c:v>53.575000000000003</c:v>
                </c:pt>
                <c:pt idx="6">
                  <c:v>44.734999999999999</c:v>
                </c:pt>
                <c:pt idx="7">
                  <c:v>39.177</c:v>
                </c:pt>
                <c:pt idx="8">
                  <c:v>30.059000000000001</c:v>
                </c:pt>
                <c:pt idx="9">
                  <c:v>27.116</c:v>
                </c:pt>
                <c:pt idx="10">
                  <c:v>24.754000000000001</c:v>
                </c:pt>
                <c:pt idx="11">
                  <c:v>21.210999999999999</c:v>
                </c:pt>
                <c:pt idx="12">
                  <c:v>20.800999999999998</c:v>
                </c:pt>
                <c:pt idx="13">
                  <c:v>17.268000000000001</c:v>
                </c:pt>
                <c:pt idx="14">
                  <c:v>11.009</c:v>
                </c:pt>
                <c:pt idx="15">
                  <c:v>10.173999999999999</c:v>
                </c:pt>
                <c:pt idx="16">
                  <c:v>9.4979999999999993</c:v>
                </c:pt>
                <c:pt idx="17">
                  <c:v>9.1539999999999999</c:v>
                </c:pt>
                <c:pt idx="18">
                  <c:v>7.6689999999999996</c:v>
                </c:pt>
                <c:pt idx="19">
                  <c:v>6.8490000000000002</c:v>
                </c:pt>
                <c:pt idx="20">
                  <c:v>4.7060000000000004</c:v>
                </c:pt>
                <c:pt idx="21">
                  <c:v>3.7330000000000001</c:v>
                </c:pt>
                <c:pt idx="22">
                  <c:v>3.09</c:v>
                </c:pt>
                <c:pt idx="23">
                  <c:v>0.94</c:v>
                </c:pt>
                <c:pt idx="24">
                  <c:v>0</c:v>
                </c:pt>
                <c:pt idx="25">
                  <c:v>0</c:v>
                </c:pt>
              </c:numCache>
            </c:numRef>
          </c:val>
          <c:extLst>
            <c:ext xmlns:c16="http://schemas.microsoft.com/office/drawing/2014/chart" uri="{C3380CC4-5D6E-409C-BE32-E72D297353CC}">
              <c16:uniqueId val="{00000001-6204-7E42-893D-384A05873E13}"/>
            </c:ext>
          </c:extLst>
        </c:ser>
        <c:dLbls>
          <c:showLegendKey val="0"/>
          <c:showVal val="0"/>
          <c:showCatName val="0"/>
          <c:showSerName val="0"/>
          <c:showPercent val="0"/>
          <c:showBubbleSize val="0"/>
        </c:dLbls>
        <c:gapWidth val="250"/>
        <c:axId val="111436928"/>
        <c:axId val="111438848"/>
      </c:barChart>
      <c:catAx>
        <c:axId val="111436928"/>
        <c:scaling>
          <c:orientation val="minMax"/>
        </c:scaling>
        <c:delete val="0"/>
        <c:axPos val="b"/>
        <c:title>
          <c:tx>
            <c:rich>
              <a:bodyPr/>
              <a:lstStyle/>
              <a:p>
                <a:pPr>
                  <a:defRPr b="0"/>
                </a:pPr>
                <a:r>
                  <a:rPr lang="en-US" b="0"/>
                  <a:t>Region</a:t>
                </a:r>
              </a:p>
            </c:rich>
          </c:tx>
          <c:layout>
            <c:manualLayout>
              <c:xMode val="edge"/>
              <c:yMode val="edge"/>
              <c:x val="0.45316990674582242"/>
              <c:y val="0.82135801727074187"/>
            </c:manualLayout>
          </c:layout>
          <c:overlay val="0"/>
        </c:title>
        <c:numFmt formatCode="General" sourceLinked="0"/>
        <c:majorTickMark val="out"/>
        <c:minorTickMark val="none"/>
        <c:tickLblPos val="nextTo"/>
        <c:crossAx val="111438848"/>
        <c:crosses val="autoZero"/>
        <c:auto val="1"/>
        <c:lblAlgn val="ctr"/>
        <c:lblOffset val="100"/>
        <c:noMultiLvlLbl val="0"/>
      </c:catAx>
      <c:valAx>
        <c:axId val="111438848"/>
        <c:scaling>
          <c:orientation val="minMax"/>
        </c:scaling>
        <c:delete val="0"/>
        <c:axPos val="l"/>
        <c:title>
          <c:tx>
            <c:rich>
              <a:bodyPr rot="-5400000" vert="horz"/>
              <a:lstStyle/>
              <a:p>
                <a:pPr>
                  <a:defRPr b="0"/>
                </a:pPr>
                <a:r>
                  <a:rPr lang="en-US" b="0"/>
                  <a:t>Number ('000')</a:t>
                </a:r>
              </a:p>
            </c:rich>
          </c:tx>
          <c:overlay val="0"/>
        </c:title>
        <c:numFmt formatCode="_-* #,##0_-;\-* #,##0_-;_-* &quot;-&quot;??_-;_-@_-" sourceLinked="1"/>
        <c:majorTickMark val="out"/>
        <c:minorTickMark val="none"/>
        <c:tickLblPos val="nextTo"/>
        <c:crossAx val="111436928"/>
        <c:crosses val="autoZero"/>
        <c:crossBetween val="between"/>
      </c:valAx>
    </c:plotArea>
    <c:legend>
      <c:legendPos val="b"/>
      <c:layout>
        <c:manualLayout>
          <c:xMode val="edge"/>
          <c:yMode val="edge"/>
          <c:x val="0.34371245616222457"/>
          <c:y val="0.8971634509426778"/>
          <c:w val="0.31494366046162525"/>
          <c:h val="8.3717191601049873E-2"/>
        </c:manualLayout>
      </c:layout>
      <c:overlay val="0"/>
    </c:legend>
    <c:plotVisOnly val="1"/>
    <c:dispBlanksAs val="gap"/>
    <c:showDLblsOverMax val="0"/>
  </c:chart>
  <c:spPr>
    <a:ln w="9525"/>
  </c:spPr>
  <c:txPr>
    <a:bodyPr/>
    <a:lstStyle/>
    <a:p>
      <a:pPr>
        <a:defRPr sz="650">
          <a:latin typeface="Times New Roman" pitchFamily="18" charset="0"/>
          <a:cs typeface="Times New Roman" pitchFamily="18" charset="0"/>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82C6-EA46-876C-4F450E2C32A9}"/>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82C6-EA46-876C-4F450E2C32A9}"/>
              </c:ext>
            </c:extLst>
          </c:dPt>
          <c:dLbls>
            <c:dLbl>
              <c:idx val="0"/>
              <c:layout>
                <c:manualLayout>
                  <c:x val="-1.2435751848063092E-2"/>
                  <c:y val="0.19507437158788238"/>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82C6-EA46-876C-4F450E2C32A9}"/>
                </c:ext>
              </c:extLst>
            </c:dLbl>
            <c:dLbl>
              <c:idx val="1"/>
              <c:layout>
                <c:manualLayout>
                  <c:x val="-7.1459899455357093E-2"/>
                  <c:y val="-7.2982794443927607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82C6-EA46-876C-4F450E2C32A9}"/>
                </c:ext>
              </c:extLst>
            </c:dLbl>
            <c:numFmt formatCode="0.0%" sourceLinked="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Sheet8!$H$43:$I$43</c:f>
              <c:strCache>
                <c:ptCount val="2"/>
                <c:pt idx="0">
                  <c:v> All land was Used </c:v>
                </c:pt>
                <c:pt idx="1">
                  <c:v> Not All Land Used </c:v>
                </c:pt>
              </c:strCache>
            </c:strRef>
          </c:cat>
          <c:val>
            <c:numRef>
              <c:f>Sheet8!$H$44:$I$44</c:f>
              <c:numCache>
                <c:formatCode>General</c:formatCode>
                <c:ptCount val="2"/>
                <c:pt idx="0">
                  <c:v>67</c:v>
                </c:pt>
                <c:pt idx="1">
                  <c:v>33</c:v>
                </c:pt>
              </c:numCache>
            </c:numRef>
          </c:val>
          <c:extLst>
            <c:ext xmlns:c16="http://schemas.microsoft.com/office/drawing/2014/chart" uri="{C3380CC4-5D6E-409C-BE32-E72D297353CC}">
              <c16:uniqueId val="{00000004-82C6-EA46-876C-4F450E2C32A9}"/>
            </c:ext>
          </c:extLst>
        </c:ser>
        <c:dLbls>
          <c:showLegendKey val="0"/>
          <c:showVal val="0"/>
          <c:showCatName val="0"/>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6350" cap="flat" cmpd="sng" algn="ctr">
      <a:solidFill>
        <a:sysClr val="windowText" lastClr="000000">
          <a:lumMod val="50000"/>
          <a:lumOff val="50000"/>
        </a:sysClr>
      </a:solidFill>
      <a:round/>
    </a:ln>
    <a:effectLst/>
  </c:spPr>
  <c:txPr>
    <a:bodyPr/>
    <a:lstStyle/>
    <a:p>
      <a:pPr>
        <a:defRPr sz="60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1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912363057032525"/>
          <c:y val="6.0185036603383119E-2"/>
          <c:w val="0.70838867872573386"/>
          <c:h val="0.59475248839968298"/>
        </c:manualLayout>
      </c:layout>
      <c:barChart>
        <c:barDir val="col"/>
        <c:grouping val="clustered"/>
        <c:varyColors val="0"/>
        <c:ser>
          <c:idx val="0"/>
          <c:order val="0"/>
          <c:tx>
            <c:strRef>
              <c:f>'Figure 4.9'!$K$3</c:f>
              <c:strCache>
                <c:ptCount val="1"/>
                <c:pt idx="0">
                  <c:v>Number of Improved Cattle</c:v>
                </c:pt>
              </c:strCache>
            </c:strRef>
          </c:tx>
          <c:spPr>
            <a:solidFill>
              <a:schemeClr val="accent1"/>
            </a:solidFill>
            <a:ln>
              <a:noFill/>
            </a:ln>
            <a:effectLst/>
          </c:spPr>
          <c:invertIfNegative val="0"/>
          <c:cat>
            <c:strRef>
              <c:f>'Figure 4.9'!$A$4:$A$8</c:f>
              <c:strCache>
                <c:ptCount val="5"/>
                <c:pt idx="0">
                  <c:v>Mjini Magharibi </c:v>
                </c:pt>
                <c:pt idx="1">
                  <c:v>Kusini Pemba</c:v>
                </c:pt>
                <c:pt idx="2">
                  <c:v>Kusini Unguja </c:v>
                </c:pt>
                <c:pt idx="3">
                  <c:v>Kaskazini Pemba</c:v>
                </c:pt>
                <c:pt idx="4">
                  <c:v>Kaskazini Unguja</c:v>
                </c:pt>
              </c:strCache>
            </c:strRef>
          </c:cat>
          <c:val>
            <c:numRef>
              <c:f>'Figure 4.9'!$K$4:$K$8</c:f>
              <c:numCache>
                <c:formatCode>#,##0.000</c:formatCode>
                <c:ptCount val="5"/>
                <c:pt idx="0">
                  <c:v>13.879</c:v>
                </c:pt>
                <c:pt idx="1">
                  <c:v>7.7759999999999998</c:v>
                </c:pt>
                <c:pt idx="2">
                  <c:v>4.2380000000000004</c:v>
                </c:pt>
                <c:pt idx="3">
                  <c:v>3.718</c:v>
                </c:pt>
                <c:pt idx="4">
                  <c:v>1.3919999999999999</c:v>
                </c:pt>
              </c:numCache>
            </c:numRef>
          </c:val>
          <c:extLst>
            <c:ext xmlns:c16="http://schemas.microsoft.com/office/drawing/2014/chart" uri="{C3380CC4-5D6E-409C-BE32-E72D297353CC}">
              <c16:uniqueId val="{00000000-2EEA-224E-AF57-F33AA40FAD85}"/>
            </c:ext>
          </c:extLst>
        </c:ser>
        <c:dLbls>
          <c:showLegendKey val="0"/>
          <c:showVal val="0"/>
          <c:showCatName val="0"/>
          <c:showSerName val="0"/>
          <c:showPercent val="0"/>
          <c:showBubbleSize val="0"/>
        </c:dLbls>
        <c:gapWidth val="219"/>
        <c:overlap val="-27"/>
        <c:axId val="112016768"/>
        <c:axId val="112039808"/>
      </c:barChart>
      <c:scatterChart>
        <c:scatterStyle val="lineMarker"/>
        <c:varyColors val="0"/>
        <c:ser>
          <c:idx val="1"/>
          <c:order val="1"/>
          <c:tx>
            <c:strRef>
              <c:f>'Figure 4.9'!$L$3</c:f>
              <c:strCache>
                <c:ptCount val="1"/>
                <c:pt idx="0">
                  <c:v>Average Number of Improved Cattle per Households</c:v>
                </c:pt>
              </c:strCache>
            </c:strRef>
          </c:tx>
          <c:spPr>
            <a:ln w="25400" cap="rnd">
              <a:noFill/>
              <a:round/>
            </a:ln>
            <a:effectLst/>
          </c:spPr>
          <c:marker>
            <c:symbol val="circle"/>
            <c:size val="3"/>
            <c:spPr>
              <a:solidFill>
                <a:schemeClr val="accent2"/>
              </a:solidFill>
              <a:ln w="9525">
                <a:solidFill>
                  <a:schemeClr val="accent2"/>
                </a:solidFill>
              </a:ln>
              <a:effectLst/>
            </c:spPr>
          </c:marker>
          <c:xVal>
            <c:strRef>
              <c:f>'Figure 4.9'!$A$4:$A$8</c:f>
              <c:strCache>
                <c:ptCount val="5"/>
                <c:pt idx="0">
                  <c:v>Mjini Magharibi </c:v>
                </c:pt>
                <c:pt idx="1">
                  <c:v>Kusini Pemba</c:v>
                </c:pt>
                <c:pt idx="2">
                  <c:v>Kusini Unguja </c:v>
                </c:pt>
                <c:pt idx="3">
                  <c:v>Kaskazini Pemba</c:v>
                </c:pt>
                <c:pt idx="4">
                  <c:v>Kaskazini Unguja</c:v>
                </c:pt>
              </c:strCache>
            </c:strRef>
          </c:xVal>
          <c:yVal>
            <c:numRef>
              <c:f>'Figure 4.9'!$L$4:$L$8</c:f>
              <c:numCache>
                <c:formatCode>_(* #,##0_);_(* \(#,##0\);_(* "-"??_);_(@_)</c:formatCode>
                <c:ptCount val="5"/>
                <c:pt idx="0">
                  <c:v>6.7901174168297453</c:v>
                </c:pt>
                <c:pt idx="1">
                  <c:v>3.2865595942519019</c:v>
                </c:pt>
                <c:pt idx="2">
                  <c:v>5.8698060941828256</c:v>
                </c:pt>
                <c:pt idx="3">
                  <c:v>4.0501089324618738</c:v>
                </c:pt>
                <c:pt idx="4">
                  <c:v>6.3561643835616435</c:v>
                </c:pt>
              </c:numCache>
            </c:numRef>
          </c:yVal>
          <c:smooth val="0"/>
          <c:extLst>
            <c:ext xmlns:c16="http://schemas.microsoft.com/office/drawing/2014/chart" uri="{C3380CC4-5D6E-409C-BE32-E72D297353CC}">
              <c16:uniqueId val="{00000001-2EEA-224E-AF57-F33AA40FAD85}"/>
            </c:ext>
          </c:extLst>
        </c:ser>
        <c:dLbls>
          <c:showLegendKey val="0"/>
          <c:showVal val="0"/>
          <c:showCatName val="0"/>
          <c:showSerName val="0"/>
          <c:showPercent val="0"/>
          <c:showBubbleSize val="0"/>
        </c:dLbls>
        <c:axId val="112048000"/>
        <c:axId val="112046080"/>
      </c:scatterChart>
      <c:catAx>
        <c:axId val="112016768"/>
        <c:scaling>
          <c:orientation val="minMax"/>
        </c:scaling>
        <c:delete val="0"/>
        <c:axPos val="b"/>
        <c:title>
          <c:tx>
            <c:rich>
              <a:bodyPr rot="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Region</a:t>
                </a:r>
              </a:p>
            </c:rich>
          </c:tx>
          <c:layout>
            <c:manualLayout>
              <c:xMode val="edge"/>
              <c:yMode val="edge"/>
              <c:x val="0.44615686041488339"/>
              <c:y val="0.80607064169334841"/>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6350" cap="flat" cmpd="sng" algn="ctr">
            <a:solidFill>
              <a:sysClr val="windowText" lastClr="000000"/>
            </a:solidFill>
            <a:round/>
          </a:ln>
          <a:effectLst/>
        </c:spPr>
        <c:txPr>
          <a:bodyPr rot="-6000000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12039808"/>
        <c:crosses val="autoZero"/>
        <c:auto val="1"/>
        <c:lblAlgn val="ctr"/>
        <c:lblOffset val="100"/>
        <c:noMultiLvlLbl val="0"/>
      </c:catAx>
      <c:valAx>
        <c:axId val="112039808"/>
        <c:scaling>
          <c:orientation val="minMax"/>
        </c:scaling>
        <c:delete val="0"/>
        <c:axPos val="l"/>
        <c:title>
          <c:tx>
            <c:rich>
              <a:bodyPr rot="-540000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Number in ('000')</a:t>
                </a:r>
              </a:p>
            </c:rich>
          </c:tx>
          <c:layout>
            <c:manualLayout>
              <c:xMode val="edge"/>
              <c:yMode val="edge"/>
              <c:x val="2.7993658818881245E-2"/>
              <c:y val="0.21049914572196801"/>
            </c:manualLayout>
          </c:layout>
          <c:overlay val="0"/>
          <c:spPr>
            <a:noFill/>
            <a:ln>
              <a:noFill/>
            </a:ln>
            <a:effectLst/>
          </c:spPr>
          <c:txPr>
            <a:bodyPr rot="-540000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w="6350">
            <a:solidFill>
              <a:sysClr val="windowText" lastClr="000000"/>
            </a:solidFill>
          </a:ln>
          <a:effectLst/>
        </c:spPr>
        <c:txPr>
          <a:bodyPr rot="-6000000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12016768"/>
        <c:crosses val="autoZero"/>
        <c:crossBetween val="between"/>
      </c:valAx>
      <c:valAx>
        <c:axId val="112046080"/>
        <c:scaling>
          <c:orientation val="minMax"/>
        </c:scaling>
        <c:delete val="0"/>
        <c:axPos val="r"/>
        <c:title>
          <c:tx>
            <c:rich>
              <a:bodyPr rot="-540000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Number of Cattle per Household</a:t>
                </a:r>
              </a:p>
            </c:rich>
          </c:tx>
          <c:overlay val="0"/>
          <c:spPr>
            <a:noFill/>
            <a:ln>
              <a:noFill/>
            </a:ln>
            <a:effectLst/>
          </c:spPr>
          <c:txPr>
            <a:bodyPr rot="-540000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_(* #,##0_);_(* \(#,##0\);_(* &quot;-&quot;??_);_(@_)" sourceLinked="1"/>
        <c:majorTickMark val="out"/>
        <c:minorTickMark val="none"/>
        <c:tickLblPos val="nextTo"/>
        <c:spPr>
          <a:noFill/>
          <a:ln w="6350">
            <a:solidFill>
              <a:sysClr val="windowText" lastClr="000000"/>
            </a:solidFill>
          </a:ln>
          <a:effectLst/>
        </c:spPr>
        <c:txPr>
          <a:bodyPr rot="-6000000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12048000"/>
        <c:crosses val="max"/>
        <c:crossBetween val="midCat"/>
      </c:valAx>
      <c:valAx>
        <c:axId val="112048000"/>
        <c:scaling>
          <c:orientation val="minMax"/>
        </c:scaling>
        <c:delete val="1"/>
        <c:axPos val="t"/>
        <c:majorTickMark val="out"/>
        <c:minorTickMark val="none"/>
        <c:tickLblPos val="nextTo"/>
        <c:crossAx val="112046080"/>
        <c:crosses val="max"/>
        <c:crossBetween val="midCat"/>
      </c:valAx>
      <c:spPr>
        <a:noFill/>
        <a:ln>
          <a:noFill/>
        </a:ln>
        <a:effectLst/>
      </c:spPr>
    </c:plotArea>
    <c:legend>
      <c:legendPos val="b"/>
      <c:layout>
        <c:manualLayout>
          <c:xMode val="edge"/>
          <c:yMode val="edge"/>
          <c:x val="5.00002408938124E-2"/>
          <c:y val="0.88129062401231262"/>
          <c:w val="0.89999983236074621"/>
          <c:h val="9.5440188620490238E-2"/>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70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1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274909309732099"/>
          <c:y val="6.7733990147783252E-2"/>
          <c:w val="0.70937217923462526"/>
          <c:h val="0.49612990186571504"/>
        </c:manualLayout>
      </c:layout>
      <c:barChart>
        <c:barDir val="col"/>
        <c:grouping val="clustered"/>
        <c:varyColors val="0"/>
        <c:ser>
          <c:idx val="0"/>
          <c:order val="0"/>
          <c:tx>
            <c:strRef>
              <c:f>'Figure 4.10'!$C$3</c:f>
              <c:strCache>
                <c:ptCount val="1"/>
                <c:pt idx="0">
                  <c:v> Number of Goats </c:v>
                </c:pt>
              </c:strCache>
            </c:strRef>
          </c:tx>
          <c:spPr>
            <a:solidFill>
              <a:schemeClr val="accent1"/>
            </a:solidFill>
            <a:ln>
              <a:noFill/>
            </a:ln>
            <a:effectLst/>
          </c:spPr>
          <c:invertIfNegative val="0"/>
          <c:cat>
            <c:strRef>
              <c:f>'Figure 4.10'!$A$4:$A$29</c:f>
              <c:strCache>
                <c:ptCount val="26"/>
                <c:pt idx="0">
                  <c:v> Manyara </c:v>
                </c:pt>
                <c:pt idx="1">
                  <c:v> Dodoma </c:v>
                </c:pt>
                <c:pt idx="2">
                  <c:v> Arusha </c:v>
                </c:pt>
                <c:pt idx="3">
                  <c:v> Kagera </c:v>
                </c:pt>
                <c:pt idx="4">
                  <c:v> Kigoma </c:v>
                </c:pt>
                <c:pt idx="5">
                  <c:v> Tanga </c:v>
                </c:pt>
                <c:pt idx="6">
                  <c:v> Mwanza </c:v>
                </c:pt>
                <c:pt idx="7">
                  <c:v> Geita </c:v>
                </c:pt>
                <c:pt idx="8">
                  <c:v> Kilimanjaro </c:v>
                </c:pt>
                <c:pt idx="9">
                  <c:v> Singida </c:v>
                </c:pt>
                <c:pt idx="10">
                  <c:v> Tabora </c:v>
                </c:pt>
                <c:pt idx="11">
                  <c:v> Simiyu </c:v>
                </c:pt>
                <c:pt idx="12">
                  <c:v> Mara </c:v>
                </c:pt>
                <c:pt idx="13">
                  <c:v> Shinyanga </c:v>
                </c:pt>
                <c:pt idx="14">
                  <c:v> Morogoro </c:v>
                </c:pt>
                <c:pt idx="15">
                  <c:v> Ruvuma </c:v>
                </c:pt>
                <c:pt idx="16">
                  <c:v> Pwani </c:v>
                </c:pt>
                <c:pt idx="17">
                  <c:v> Songwe </c:v>
                </c:pt>
                <c:pt idx="18">
                  <c:v> Lindi </c:v>
                </c:pt>
                <c:pt idx="19">
                  <c:v> Mbeya </c:v>
                </c:pt>
                <c:pt idx="20">
                  <c:v> Iringa </c:v>
                </c:pt>
                <c:pt idx="21">
                  <c:v> Mtwara </c:v>
                </c:pt>
                <c:pt idx="22">
                  <c:v> Rukwa </c:v>
                </c:pt>
                <c:pt idx="23">
                  <c:v> Katavi </c:v>
                </c:pt>
                <c:pt idx="24">
                  <c:v> Njombe </c:v>
                </c:pt>
                <c:pt idx="25">
                  <c:v> Dar Es Salaam </c:v>
                </c:pt>
              </c:strCache>
            </c:strRef>
          </c:cat>
          <c:val>
            <c:numRef>
              <c:f>'Figure 4.10'!$C$4:$C$29</c:f>
              <c:numCache>
                <c:formatCode>_-* #,##0_-;\-* #,##0_-;_-* "-"??_-;_-@_-</c:formatCode>
                <c:ptCount val="26"/>
                <c:pt idx="0">
                  <c:v>2348.9740000000002</c:v>
                </c:pt>
                <c:pt idx="1">
                  <c:v>1659.9079999999999</c:v>
                </c:pt>
                <c:pt idx="2">
                  <c:v>1563.7650000000001</c:v>
                </c:pt>
                <c:pt idx="3">
                  <c:v>1549.9110000000001</c:v>
                </c:pt>
                <c:pt idx="4">
                  <c:v>1489.8579999999999</c:v>
                </c:pt>
                <c:pt idx="5">
                  <c:v>1408.76</c:v>
                </c:pt>
                <c:pt idx="6">
                  <c:v>1391.088</c:v>
                </c:pt>
                <c:pt idx="7">
                  <c:v>1241.5519999999999</c:v>
                </c:pt>
                <c:pt idx="8">
                  <c:v>1061.579</c:v>
                </c:pt>
                <c:pt idx="9">
                  <c:v>989.34199999999998</c:v>
                </c:pt>
                <c:pt idx="10">
                  <c:v>975.67600000000004</c:v>
                </c:pt>
                <c:pt idx="11">
                  <c:v>957.82500000000005</c:v>
                </c:pt>
                <c:pt idx="12">
                  <c:v>948.803</c:v>
                </c:pt>
                <c:pt idx="13">
                  <c:v>942.88900000000001</c:v>
                </c:pt>
                <c:pt idx="14">
                  <c:v>858.29100000000005</c:v>
                </c:pt>
                <c:pt idx="15">
                  <c:v>756.60299999999995</c:v>
                </c:pt>
                <c:pt idx="16">
                  <c:v>614.303</c:v>
                </c:pt>
                <c:pt idx="17">
                  <c:v>520.726</c:v>
                </c:pt>
                <c:pt idx="18">
                  <c:v>502.30700000000002</c:v>
                </c:pt>
                <c:pt idx="19">
                  <c:v>474.66800000000001</c:v>
                </c:pt>
                <c:pt idx="20">
                  <c:v>450.90199999999999</c:v>
                </c:pt>
                <c:pt idx="21">
                  <c:v>421.596</c:v>
                </c:pt>
                <c:pt idx="22">
                  <c:v>397.24599999999998</c:v>
                </c:pt>
                <c:pt idx="23">
                  <c:v>386.73700000000002</c:v>
                </c:pt>
                <c:pt idx="24">
                  <c:v>164.054</c:v>
                </c:pt>
                <c:pt idx="25">
                  <c:v>45.582000000000001</c:v>
                </c:pt>
              </c:numCache>
            </c:numRef>
          </c:val>
          <c:extLst>
            <c:ext xmlns:c16="http://schemas.microsoft.com/office/drawing/2014/chart" uri="{C3380CC4-5D6E-409C-BE32-E72D297353CC}">
              <c16:uniqueId val="{00000000-A7F1-4146-8358-CC4EE706319B}"/>
            </c:ext>
          </c:extLst>
        </c:ser>
        <c:dLbls>
          <c:showLegendKey val="0"/>
          <c:showVal val="0"/>
          <c:showCatName val="0"/>
          <c:showSerName val="0"/>
          <c:showPercent val="0"/>
          <c:showBubbleSize val="0"/>
        </c:dLbls>
        <c:gapWidth val="219"/>
        <c:overlap val="-27"/>
        <c:axId val="111789952"/>
        <c:axId val="111792512"/>
      </c:barChart>
      <c:scatterChart>
        <c:scatterStyle val="lineMarker"/>
        <c:varyColors val="0"/>
        <c:ser>
          <c:idx val="1"/>
          <c:order val="1"/>
          <c:tx>
            <c:strRef>
              <c:f>'Figure 4.10'!$E$3</c:f>
              <c:strCache>
                <c:ptCount val="1"/>
                <c:pt idx="0">
                  <c:v> Average Number of goats per  Households </c:v>
                </c:pt>
              </c:strCache>
            </c:strRef>
          </c:tx>
          <c:spPr>
            <a:ln w="25400" cap="rnd">
              <a:noFill/>
              <a:round/>
            </a:ln>
            <a:effectLst/>
          </c:spPr>
          <c:marker>
            <c:symbol val="circle"/>
            <c:size val="3"/>
            <c:spPr>
              <a:solidFill>
                <a:schemeClr val="accent2"/>
              </a:solidFill>
              <a:ln w="9525">
                <a:solidFill>
                  <a:schemeClr val="accent2"/>
                </a:solidFill>
              </a:ln>
              <a:effectLst/>
            </c:spPr>
          </c:marker>
          <c:xVal>
            <c:strRef>
              <c:f>'Figure 4.10'!$A$4:$A$29</c:f>
              <c:strCache>
                <c:ptCount val="26"/>
                <c:pt idx="0">
                  <c:v> Manyara </c:v>
                </c:pt>
                <c:pt idx="1">
                  <c:v> Dodoma </c:v>
                </c:pt>
                <c:pt idx="2">
                  <c:v> Arusha </c:v>
                </c:pt>
                <c:pt idx="3">
                  <c:v> Kagera </c:v>
                </c:pt>
                <c:pt idx="4">
                  <c:v> Kigoma </c:v>
                </c:pt>
                <c:pt idx="5">
                  <c:v> Tanga </c:v>
                </c:pt>
                <c:pt idx="6">
                  <c:v> Mwanza </c:v>
                </c:pt>
                <c:pt idx="7">
                  <c:v> Geita </c:v>
                </c:pt>
                <c:pt idx="8">
                  <c:v> Kilimanjaro </c:v>
                </c:pt>
                <c:pt idx="9">
                  <c:v> Singida </c:v>
                </c:pt>
                <c:pt idx="10">
                  <c:v> Tabora </c:v>
                </c:pt>
                <c:pt idx="11">
                  <c:v> Simiyu </c:v>
                </c:pt>
                <c:pt idx="12">
                  <c:v> Mara </c:v>
                </c:pt>
                <c:pt idx="13">
                  <c:v> Shinyanga </c:v>
                </c:pt>
                <c:pt idx="14">
                  <c:v> Morogoro </c:v>
                </c:pt>
                <c:pt idx="15">
                  <c:v> Ruvuma </c:v>
                </c:pt>
                <c:pt idx="16">
                  <c:v> Pwani </c:v>
                </c:pt>
                <c:pt idx="17">
                  <c:v> Songwe </c:v>
                </c:pt>
                <c:pt idx="18">
                  <c:v> Lindi </c:v>
                </c:pt>
                <c:pt idx="19">
                  <c:v> Mbeya </c:v>
                </c:pt>
                <c:pt idx="20">
                  <c:v> Iringa </c:v>
                </c:pt>
                <c:pt idx="21">
                  <c:v> Mtwara </c:v>
                </c:pt>
                <c:pt idx="22">
                  <c:v> Rukwa </c:v>
                </c:pt>
                <c:pt idx="23">
                  <c:v> Katavi </c:v>
                </c:pt>
                <c:pt idx="24">
                  <c:v> Njombe </c:v>
                </c:pt>
                <c:pt idx="25">
                  <c:v> Dar Es Salaam </c:v>
                </c:pt>
              </c:strCache>
            </c:strRef>
          </c:xVal>
          <c:yVal>
            <c:numRef>
              <c:f>'Figure 4.10'!$E$4:$E$29</c:f>
              <c:numCache>
                <c:formatCode>_(* #,##0_);_(* \(#,##0\);_(* "-"??_);_(@_)</c:formatCode>
                <c:ptCount val="26"/>
                <c:pt idx="0">
                  <c:v>19.306741406802232</c:v>
                </c:pt>
                <c:pt idx="1">
                  <c:v>11.549033932385703</c:v>
                </c:pt>
                <c:pt idx="2">
                  <c:v>12.930089300479578</c:v>
                </c:pt>
                <c:pt idx="3">
                  <c:v>10.079869669556395</c:v>
                </c:pt>
                <c:pt idx="4">
                  <c:v>17.014115067491947</c:v>
                </c:pt>
                <c:pt idx="5">
                  <c:v>16.151985232575473</c:v>
                </c:pt>
                <c:pt idx="6">
                  <c:v>11.993999068821024</c:v>
                </c:pt>
                <c:pt idx="7">
                  <c:v>16.211213537722298</c:v>
                </c:pt>
                <c:pt idx="8">
                  <c:v>10.896259725329994</c:v>
                </c:pt>
                <c:pt idx="9">
                  <c:v>12.594098477519221</c:v>
                </c:pt>
                <c:pt idx="10">
                  <c:v>11.380932939845327</c:v>
                </c:pt>
                <c:pt idx="11">
                  <c:v>18.810388845247449</c:v>
                </c:pt>
                <c:pt idx="12">
                  <c:v>15.377682333873581</c:v>
                </c:pt>
                <c:pt idx="13">
                  <c:v>14.279922458313772</c:v>
                </c:pt>
                <c:pt idx="14">
                  <c:v>33.576832798685551</c:v>
                </c:pt>
                <c:pt idx="15">
                  <c:v>7.0430156572896685</c:v>
                </c:pt>
                <c:pt idx="16">
                  <c:v>46.882622300236591</c:v>
                </c:pt>
                <c:pt idx="17">
                  <c:v>7.2750464534696899</c:v>
                </c:pt>
                <c:pt idx="18">
                  <c:v>35.087105336686221</c:v>
                </c:pt>
                <c:pt idx="19">
                  <c:v>11.957577589681581</c:v>
                </c:pt>
                <c:pt idx="20">
                  <c:v>23.574109897004234</c:v>
                </c:pt>
                <c:pt idx="21">
                  <c:v>15.700729927007298</c:v>
                </c:pt>
                <c:pt idx="22">
                  <c:v>9.8699562711190616</c:v>
                </c:pt>
                <c:pt idx="23">
                  <c:v>30.351357714644482</c:v>
                </c:pt>
                <c:pt idx="24">
                  <c:v>8.6695555672990547</c:v>
                </c:pt>
                <c:pt idx="25">
                  <c:v>1.7150274663255325</c:v>
                </c:pt>
              </c:numCache>
            </c:numRef>
          </c:yVal>
          <c:smooth val="0"/>
          <c:extLst>
            <c:ext xmlns:c16="http://schemas.microsoft.com/office/drawing/2014/chart" uri="{C3380CC4-5D6E-409C-BE32-E72D297353CC}">
              <c16:uniqueId val="{00000001-A7F1-4146-8358-CC4EE706319B}"/>
            </c:ext>
          </c:extLst>
        </c:ser>
        <c:dLbls>
          <c:showLegendKey val="0"/>
          <c:showVal val="0"/>
          <c:showCatName val="0"/>
          <c:showSerName val="0"/>
          <c:showPercent val="0"/>
          <c:showBubbleSize val="0"/>
        </c:dLbls>
        <c:axId val="111804800"/>
        <c:axId val="111794432"/>
      </c:scatterChart>
      <c:catAx>
        <c:axId val="111789952"/>
        <c:scaling>
          <c:orientation val="minMax"/>
        </c:scaling>
        <c:delete val="0"/>
        <c:axPos val="b"/>
        <c:title>
          <c:tx>
            <c:rich>
              <a:bodyPr rot="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Region</a:t>
                </a:r>
              </a:p>
            </c:rich>
          </c:tx>
          <c:layout>
            <c:manualLayout>
              <c:xMode val="edge"/>
              <c:yMode val="edge"/>
              <c:x val="0.44835962736092738"/>
              <c:y val="0.76391225679350383"/>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6350" cap="flat" cmpd="sng" algn="ctr">
            <a:solidFill>
              <a:sysClr val="windowText" lastClr="000000"/>
            </a:solidFill>
            <a:round/>
          </a:ln>
          <a:effectLst/>
        </c:spPr>
        <c:txPr>
          <a:bodyPr rot="-6000000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11792512"/>
        <c:crosses val="autoZero"/>
        <c:auto val="1"/>
        <c:lblAlgn val="ctr"/>
        <c:lblOffset val="100"/>
        <c:noMultiLvlLbl val="0"/>
      </c:catAx>
      <c:valAx>
        <c:axId val="111792512"/>
        <c:scaling>
          <c:orientation val="minMax"/>
        </c:scaling>
        <c:delete val="0"/>
        <c:axPos val="l"/>
        <c:title>
          <c:tx>
            <c:rich>
              <a:bodyPr rot="-540000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Number ('000')</a:t>
                </a:r>
              </a:p>
            </c:rich>
          </c:tx>
          <c:layout>
            <c:manualLayout>
              <c:xMode val="edge"/>
              <c:yMode val="edge"/>
              <c:x val="2.3002685226711481E-2"/>
              <c:y val="0.2036204194327286"/>
            </c:manualLayout>
          </c:layout>
          <c:overlay val="0"/>
          <c:spPr>
            <a:noFill/>
            <a:ln>
              <a:noFill/>
            </a:ln>
            <a:effectLst/>
          </c:spPr>
          <c:txPr>
            <a:bodyPr rot="-540000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_-* #,##0_-;\-* #,##0_-;_-* &quot;-&quot;??_-;_-@_-" sourceLinked="1"/>
        <c:majorTickMark val="out"/>
        <c:minorTickMark val="none"/>
        <c:tickLblPos val="nextTo"/>
        <c:spPr>
          <a:noFill/>
          <a:ln w="6350">
            <a:solidFill>
              <a:sysClr val="windowText" lastClr="000000"/>
            </a:solidFill>
          </a:ln>
          <a:effectLst/>
        </c:spPr>
        <c:txPr>
          <a:bodyPr rot="-6000000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11789952"/>
        <c:crosses val="autoZero"/>
        <c:crossBetween val="between"/>
      </c:valAx>
      <c:valAx>
        <c:axId val="111794432"/>
        <c:scaling>
          <c:orientation val="minMax"/>
        </c:scaling>
        <c:delete val="0"/>
        <c:axPos val="r"/>
        <c:title>
          <c:tx>
            <c:rich>
              <a:bodyPr rot="-540000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Avrerage Number of Goats per Households</a:t>
                </a:r>
              </a:p>
            </c:rich>
          </c:tx>
          <c:layout>
            <c:manualLayout>
              <c:xMode val="edge"/>
              <c:yMode val="edge"/>
              <c:x val="0.91836371480962142"/>
              <c:y val="3.0628314317853126E-2"/>
            </c:manualLayout>
          </c:layout>
          <c:overlay val="0"/>
          <c:spPr>
            <a:noFill/>
            <a:ln>
              <a:noFill/>
            </a:ln>
            <a:effectLst/>
          </c:spPr>
          <c:txPr>
            <a:bodyPr rot="-540000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_(* #,##0_);_(* \(#,##0\);_(* &quot;-&quot;??_);_(@_)" sourceLinked="1"/>
        <c:majorTickMark val="out"/>
        <c:minorTickMark val="none"/>
        <c:tickLblPos val="nextTo"/>
        <c:spPr>
          <a:noFill/>
          <a:ln w="6350">
            <a:solidFill>
              <a:sysClr val="windowText" lastClr="000000"/>
            </a:solidFill>
          </a:ln>
          <a:effectLst/>
        </c:spPr>
        <c:txPr>
          <a:bodyPr rot="-6000000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11804800"/>
        <c:crosses val="max"/>
        <c:crossBetween val="midCat"/>
      </c:valAx>
      <c:valAx>
        <c:axId val="111804800"/>
        <c:scaling>
          <c:orientation val="minMax"/>
        </c:scaling>
        <c:delete val="1"/>
        <c:axPos val="t"/>
        <c:majorTickMark val="out"/>
        <c:minorTickMark val="none"/>
        <c:tickLblPos val="nextTo"/>
        <c:crossAx val="111794432"/>
        <c:crosses val="max"/>
        <c:crossBetween val="midCat"/>
      </c:valAx>
      <c:spPr>
        <a:noFill/>
        <a:ln>
          <a:noFill/>
        </a:ln>
        <a:effectLst/>
      </c:spPr>
    </c:plotArea>
    <c:legend>
      <c:legendPos val="b"/>
      <c:layout>
        <c:manualLayout>
          <c:xMode val="edge"/>
          <c:yMode val="edge"/>
          <c:x val="0.14898296328676292"/>
          <c:y val="0.86441291313539448"/>
          <c:w val="0.70203378957587048"/>
          <c:h val="6.6676405709026637E-2"/>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60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1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399168653781038"/>
          <c:y val="9.4593920847230353E-2"/>
          <c:w val="0.7248405385740323"/>
          <c:h val="0.62716965237423927"/>
        </c:manualLayout>
      </c:layout>
      <c:barChart>
        <c:barDir val="col"/>
        <c:grouping val="clustered"/>
        <c:varyColors val="0"/>
        <c:ser>
          <c:idx val="1"/>
          <c:order val="1"/>
          <c:tx>
            <c:strRef>
              <c:f>'Figure 4.11'!$C$3</c:f>
              <c:strCache>
                <c:ptCount val="1"/>
                <c:pt idx="0">
                  <c:v> Number of Goats </c:v>
                </c:pt>
              </c:strCache>
            </c:strRef>
          </c:tx>
          <c:spPr>
            <a:solidFill>
              <a:schemeClr val="accent6">
                <a:lumMod val="75000"/>
              </a:schemeClr>
            </a:solidFill>
            <a:ln>
              <a:noFill/>
            </a:ln>
            <a:effectLst/>
          </c:spPr>
          <c:invertIfNegative val="0"/>
          <c:cat>
            <c:strRef>
              <c:f>'Figure 4.11'!$A$4:$A$8</c:f>
              <c:strCache>
                <c:ptCount val="5"/>
                <c:pt idx="0">
                  <c:v> Kusini  Pemba </c:v>
                </c:pt>
                <c:pt idx="1">
                  <c:v> Kusini Unguja </c:v>
                </c:pt>
                <c:pt idx="2">
                  <c:v> Kaskazini Pemba </c:v>
                </c:pt>
                <c:pt idx="3">
                  <c:v> Kaskazini Unguja </c:v>
                </c:pt>
                <c:pt idx="4">
                  <c:v> Mjini Magharibi </c:v>
                </c:pt>
              </c:strCache>
            </c:strRef>
          </c:cat>
          <c:val>
            <c:numRef>
              <c:f>'Figure 4.11'!$C$4:$C$8</c:f>
              <c:numCache>
                <c:formatCode>_-* #,##0_-;\-* #,##0_-;_-* "-"??_-;_-@_-</c:formatCode>
                <c:ptCount val="5"/>
                <c:pt idx="0">
                  <c:v>39.716000000000001</c:v>
                </c:pt>
                <c:pt idx="1">
                  <c:v>19.61</c:v>
                </c:pt>
                <c:pt idx="2">
                  <c:v>19.494</c:v>
                </c:pt>
                <c:pt idx="3">
                  <c:v>17.254000000000001</c:v>
                </c:pt>
                <c:pt idx="4">
                  <c:v>13.79</c:v>
                </c:pt>
              </c:numCache>
            </c:numRef>
          </c:val>
          <c:extLst>
            <c:ext xmlns:c16="http://schemas.microsoft.com/office/drawing/2014/chart" uri="{C3380CC4-5D6E-409C-BE32-E72D297353CC}">
              <c16:uniqueId val="{00000000-3EAC-624B-9BB6-A34175428B99}"/>
            </c:ext>
          </c:extLst>
        </c:ser>
        <c:dLbls>
          <c:showLegendKey val="0"/>
          <c:showVal val="0"/>
          <c:showCatName val="0"/>
          <c:showSerName val="0"/>
          <c:showPercent val="0"/>
          <c:showBubbleSize val="0"/>
        </c:dLbls>
        <c:gapWidth val="219"/>
        <c:overlap val="-27"/>
        <c:axId val="111857024"/>
        <c:axId val="111867776"/>
      </c:barChart>
      <c:scatterChart>
        <c:scatterStyle val="lineMarker"/>
        <c:varyColors val="0"/>
        <c:ser>
          <c:idx val="0"/>
          <c:order val="0"/>
          <c:tx>
            <c:strRef>
              <c:f>'Figure 4.11'!$B$3</c:f>
              <c:strCache>
                <c:ptCount val="1"/>
                <c:pt idx="0">
                  <c:v> Number of Households </c:v>
                </c:pt>
              </c:strCache>
            </c:strRef>
          </c:tx>
          <c:spPr>
            <a:ln w="25400" cap="rnd">
              <a:noFill/>
              <a:round/>
            </a:ln>
            <a:effectLst/>
          </c:spPr>
          <c:marker>
            <c:symbol val="circle"/>
            <c:size val="5"/>
            <c:spPr>
              <a:solidFill>
                <a:schemeClr val="tx1"/>
              </a:solidFill>
              <a:ln w="9525">
                <a:solidFill>
                  <a:schemeClr val="accent1"/>
                </a:solidFill>
              </a:ln>
              <a:effectLst/>
            </c:spPr>
          </c:marker>
          <c:xVal>
            <c:strRef>
              <c:f>'Figure 4.11'!$A$4:$A$8</c:f>
              <c:strCache>
                <c:ptCount val="5"/>
                <c:pt idx="0">
                  <c:v> Kusini  Pemba </c:v>
                </c:pt>
                <c:pt idx="1">
                  <c:v> Kusini Unguja </c:v>
                </c:pt>
                <c:pt idx="2">
                  <c:v> Kaskazini Pemba </c:v>
                </c:pt>
                <c:pt idx="3">
                  <c:v> Kaskazini Unguja </c:v>
                </c:pt>
                <c:pt idx="4">
                  <c:v> Mjini Magharibi </c:v>
                </c:pt>
              </c:strCache>
            </c:strRef>
          </c:xVal>
          <c:yVal>
            <c:numRef>
              <c:f>'Figure 4.11'!$B$4:$B$8</c:f>
              <c:numCache>
                <c:formatCode>0.0</c:formatCode>
                <c:ptCount val="5"/>
                <c:pt idx="0">
                  <c:v>7.8330000000000002</c:v>
                </c:pt>
                <c:pt idx="1">
                  <c:v>2.625</c:v>
                </c:pt>
                <c:pt idx="2">
                  <c:v>2.8580000000000001</c:v>
                </c:pt>
                <c:pt idx="3">
                  <c:v>2.3849999999999998</c:v>
                </c:pt>
                <c:pt idx="4">
                  <c:v>2.5179999999999998</c:v>
                </c:pt>
              </c:numCache>
            </c:numRef>
          </c:yVal>
          <c:smooth val="0"/>
          <c:extLst>
            <c:ext xmlns:c16="http://schemas.microsoft.com/office/drawing/2014/chart" uri="{C3380CC4-5D6E-409C-BE32-E72D297353CC}">
              <c16:uniqueId val="{00000001-3EAC-624B-9BB6-A34175428B99}"/>
            </c:ext>
          </c:extLst>
        </c:ser>
        <c:dLbls>
          <c:showLegendKey val="0"/>
          <c:showVal val="0"/>
          <c:showCatName val="0"/>
          <c:showSerName val="0"/>
          <c:showPercent val="0"/>
          <c:showBubbleSize val="0"/>
        </c:dLbls>
        <c:axId val="111875968"/>
        <c:axId val="111874048"/>
      </c:scatterChart>
      <c:catAx>
        <c:axId val="111857024"/>
        <c:scaling>
          <c:orientation val="minMax"/>
        </c:scaling>
        <c:delete val="0"/>
        <c:axPos val="b"/>
        <c:title>
          <c:tx>
            <c:rich>
              <a:bodyPr rot="0" spcFirstLastPara="1" vertOverflow="ellipsis" vert="horz" wrap="square" anchor="ctr" anchorCtr="1"/>
              <a:lstStyle/>
              <a:p>
                <a:pPr>
                  <a:defRPr sz="65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Region</a:t>
                </a:r>
              </a:p>
            </c:rich>
          </c:tx>
          <c:layout>
            <c:manualLayout>
              <c:xMode val="edge"/>
              <c:yMode val="edge"/>
              <c:x val="0.46022894439201512"/>
              <c:y val="0.83574338960905004"/>
            </c:manualLayout>
          </c:layout>
          <c:overlay val="0"/>
          <c:spPr>
            <a:noFill/>
            <a:ln>
              <a:noFill/>
            </a:ln>
            <a:effectLst/>
          </c:spPr>
          <c:txPr>
            <a:bodyPr rot="0" spcFirstLastPara="1" vertOverflow="ellipsis" vert="horz" wrap="square" anchor="ctr" anchorCtr="1"/>
            <a:lstStyle/>
            <a:p>
              <a:pPr>
                <a:defRPr sz="6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chemeClr val="tx1">
                <a:lumMod val="50000"/>
                <a:lumOff val="50000"/>
              </a:schemeClr>
            </a:solidFill>
            <a:round/>
          </a:ln>
          <a:effectLst/>
        </c:spPr>
        <c:txPr>
          <a:bodyPr rot="-60000000" spcFirstLastPara="1" vertOverflow="ellipsis" vert="horz" wrap="square" anchor="ctr" anchorCtr="1"/>
          <a:lstStyle/>
          <a:p>
            <a:pPr>
              <a:defRPr sz="6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11867776"/>
        <c:crosses val="autoZero"/>
        <c:auto val="1"/>
        <c:lblAlgn val="ctr"/>
        <c:lblOffset val="100"/>
        <c:noMultiLvlLbl val="0"/>
      </c:catAx>
      <c:valAx>
        <c:axId val="111867776"/>
        <c:scaling>
          <c:orientation val="minMax"/>
        </c:scaling>
        <c:delete val="0"/>
        <c:axPos val="l"/>
        <c:title>
          <c:tx>
            <c:rich>
              <a:bodyPr rot="-5400000" spcFirstLastPara="1" vertOverflow="ellipsis" vert="horz" wrap="square" anchor="ctr" anchorCtr="1"/>
              <a:lstStyle/>
              <a:p>
                <a:pPr>
                  <a:defRPr sz="65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Number</a:t>
                </a:r>
                <a:r>
                  <a:rPr lang="en-US" baseline="0"/>
                  <a:t> ('000')</a:t>
                </a:r>
                <a:endParaRPr lang="en-US"/>
              </a:p>
            </c:rich>
          </c:tx>
          <c:overlay val="0"/>
          <c:spPr>
            <a:noFill/>
            <a:ln>
              <a:noFill/>
            </a:ln>
            <a:effectLst/>
          </c:spPr>
          <c:txPr>
            <a:bodyPr rot="-5400000" spcFirstLastPara="1" vertOverflow="ellipsis" vert="horz" wrap="square" anchor="ctr" anchorCtr="1"/>
            <a:lstStyle/>
            <a:p>
              <a:pPr>
                <a:defRPr sz="6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_-* #,##0_-;\-* #,##0_-;_-* &quot;-&quot;??_-;_-@_-" sourceLinked="1"/>
        <c:majorTickMark val="out"/>
        <c:minorTickMark val="none"/>
        <c:tickLblPos val="nextTo"/>
        <c:spPr>
          <a:noFill/>
          <a:ln>
            <a:solidFill>
              <a:schemeClr val="tx1">
                <a:lumMod val="65000"/>
                <a:lumOff val="35000"/>
              </a:schemeClr>
            </a:solidFill>
          </a:ln>
          <a:effectLst/>
        </c:spPr>
        <c:txPr>
          <a:bodyPr rot="-60000000" spcFirstLastPara="1" vertOverflow="ellipsis" vert="horz" wrap="square" anchor="ctr" anchorCtr="1"/>
          <a:lstStyle/>
          <a:p>
            <a:pPr>
              <a:defRPr sz="6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11857024"/>
        <c:crosses val="autoZero"/>
        <c:crossBetween val="between"/>
      </c:valAx>
      <c:valAx>
        <c:axId val="111874048"/>
        <c:scaling>
          <c:orientation val="minMax"/>
        </c:scaling>
        <c:delete val="0"/>
        <c:axPos val="r"/>
        <c:title>
          <c:tx>
            <c:rich>
              <a:bodyPr rot="-5400000" spcFirstLastPara="1" vertOverflow="ellipsis" vert="horz" wrap="square" anchor="ctr" anchorCtr="1"/>
              <a:lstStyle/>
              <a:p>
                <a:pPr>
                  <a:defRPr sz="65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Average Number of  Goats per households</a:t>
                </a:r>
              </a:p>
            </c:rich>
          </c:tx>
          <c:layout>
            <c:manualLayout>
              <c:xMode val="edge"/>
              <c:yMode val="edge"/>
              <c:x val="0.91840214392231168"/>
              <c:y val="8.8323075336107004E-2"/>
            </c:manualLayout>
          </c:layout>
          <c:overlay val="0"/>
          <c:spPr>
            <a:noFill/>
            <a:ln>
              <a:noFill/>
            </a:ln>
            <a:effectLst/>
          </c:spPr>
          <c:txPr>
            <a:bodyPr rot="-5400000" spcFirstLastPara="1" vertOverflow="ellipsis" vert="horz" wrap="square" anchor="ctr" anchorCtr="1"/>
            <a:lstStyle/>
            <a:p>
              <a:pPr>
                <a:defRPr sz="6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a:solidFill>
              <a:schemeClr val="tx1">
                <a:lumMod val="50000"/>
                <a:lumOff val="50000"/>
              </a:schemeClr>
            </a:solidFill>
          </a:ln>
          <a:effectLst/>
        </c:spPr>
        <c:txPr>
          <a:bodyPr rot="-60000000" spcFirstLastPara="1" vertOverflow="ellipsis" vert="horz" wrap="square" anchor="ctr" anchorCtr="1"/>
          <a:lstStyle/>
          <a:p>
            <a:pPr>
              <a:defRPr sz="6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11875968"/>
        <c:crosses val="max"/>
        <c:crossBetween val="midCat"/>
      </c:valAx>
      <c:valAx>
        <c:axId val="111875968"/>
        <c:scaling>
          <c:orientation val="minMax"/>
        </c:scaling>
        <c:delete val="1"/>
        <c:axPos val="t"/>
        <c:majorTickMark val="out"/>
        <c:minorTickMark val="none"/>
        <c:tickLblPos val="nextTo"/>
        <c:crossAx val="111874048"/>
        <c:crosses val="max"/>
        <c:crossBetween val="midCat"/>
      </c:valAx>
      <c:spPr>
        <a:noFill/>
        <a:ln>
          <a:noFill/>
        </a:ln>
        <a:effectLst/>
      </c:spPr>
    </c:plotArea>
    <c:legend>
      <c:legendPos val="b"/>
      <c:layout>
        <c:manualLayout>
          <c:xMode val="edge"/>
          <c:yMode val="edge"/>
          <c:x val="0.21755249960415352"/>
          <c:y val="0.9130612697557674"/>
          <c:w val="0.56489500079169297"/>
          <c:h val="7.5441173475046003E-2"/>
        </c:manualLayout>
      </c:layout>
      <c:overlay val="0"/>
      <c:spPr>
        <a:noFill/>
        <a:ln>
          <a:noFill/>
        </a:ln>
        <a:effectLst/>
      </c:spPr>
      <c:txPr>
        <a:bodyPr rot="0" spcFirstLastPara="1" vertOverflow="ellipsis" vert="horz" wrap="square" anchor="ctr" anchorCtr="1"/>
        <a:lstStyle/>
        <a:p>
          <a:pPr>
            <a:defRPr sz="6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65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1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84FA-1048-8A99-2FED0B4A337F}"/>
              </c:ext>
            </c:extLst>
          </c:dPt>
          <c:dPt>
            <c:idx val="1"/>
            <c:bubble3D val="0"/>
            <c:explosion val="9"/>
            <c:spPr>
              <a:solidFill>
                <a:srgbClr val="00B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3-84FA-1048-8A99-2FED0B4A337F}"/>
              </c:ext>
            </c:extLst>
          </c:dPt>
          <c:dLbls>
            <c:dLbl>
              <c:idx val="0"/>
              <c:layout>
                <c:manualLayout>
                  <c:x val="3.5658569199910853E-2"/>
                  <c:y val="-0.1015531660692951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84FA-1048-8A99-2FED0B4A337F}"/>
                </c:ext>
              </c:extLst>
            </c:dLbl>
            <c:dLbl>
              <c:idx val="1"/>
              <c:layout>
                <c:manualLayout>
                  <c:x val="7.5774459549810561E-2"/>
                  <c:y val="0.17323775388291518"/>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84FA-1048-8A99-2FED0B4A337F}"/>
                </c:ext>
              </c:extLst>
            </c:dLbl>
            <c:numFmt formatCode="0.0%" sourceLinked="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('Figure. 12'!$F$3,'Figure. 12'!$I$3)</c:f>
              <c:strCache>
                <c:ptCount val="2"/>
                <c:pt idx="0">
                  <c:v> Meat Goats  </c:v>
                </c:pt>
                <c:pt idx="1">
                  <c:v> Dairy Goats  </c:v>
                </c:pt>
              </c:strCache>
            </c:strRef>
          </c:cat>
          <c:val>
            <c:numRef>
              <c:f>('Figure. 12'!$F$37,'Figure. 12'!$I$37)</c:f>
              <c:numCache>
                <c:formatCode>_-* #,##0_-;\-* #,##0_-;_-* "-"??_-;_-@_-</c:formatCode>
                <c:ptCount val="2"/>
                <c:pt idx="0">
                  <c:v>110856</c:v>
                </c:pt>
                <c:pt idx="1">
                  <c:v>190884</c:v>
                </c:pt>
              </c:numCache>
            </c:numRef>
          </c:val>
          <c:extLst>
            <c:ext xmlns:c16="http://schemas.microsoft.com/office/drawing/2014/chart" uri="{C3380CC4-5D6E-409C-BE32-E72D297353CC}">
              <c16:uniqueId val="{00000004-84FA-1048-8A99-2FED0B4A337F}"/>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50000"/>
          <a:lumOff val="50000"/>
        </a:schemeClr>
      </a:solidFill>
      <a:round/>
    </a:ln>
    <a:effectLst/>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966842913101401"/>
          <c:y val="0.13766708848893888"/>
          <c:w val="0.7171789326995921"/>
          <c:h val="0.52650639009106914"/>
        </c:manualLayout>
      </c:layout>
      <c:barChart>
        <c:barDir val="col"/>
        <c:grouping val="clustered"/>
        <c:varyColors val="0"/>
        <c:ser>
          <c:idx val="1"/>
          <c:order val="1"/>
          <c:tx>
            <c:strRef>
              <c:f>'Figure 4.13'!$J$3</c:f>
              <c:strCache>
                <c:ptCount val="1"/>
                <c:pt idx="0">
                  <c:v>Number of  Sheep</c:v>
                </c:pt>
              </c:strCache>
            </c:strRef>
          </c:tx>
          <c:spPr>
            <a:solidFill>
              <a:srgbClr val="00B050"/>
            </a:solidFill>
          </c:spPr>
          <c:invertIfNegative val="0"/>
          <c:cat>
            <c:strRef>
              <c:f>'Figure 4.13'!$A$4:$A$29</c:f>
              <c:strCache>
                <c:ptCount val="26"/>
                <c:pt idx="0">
                  <c:v>Arusha</c:v>
                </c:pt>
                <c:pt idx="1">
                  <c:v>Manyara</c:v>
                </c:pt>
                <c:pt idx="2">
                  <c:v>Simiyu</c:v>
                </c:pt>
                <c:pt idx="3">
                  <c:v>Mwanza</c:v>
                </c:pt>
                <c:pt idx="4">
                  <c:v>Mara</c:v>
                </c:pt>
                <c:pt idx="5">
                  <c:v>Kilimanjaro</c:v>
                </c:pt>
                <c:pt idx="6">
                  <c:v>Dodoma</c:v>
                </c:pt>
                <c:pt idx="7">
                  <c:v>Singida</c:v>
                </c:pt>
                <c:pt idx="8">
                  <c:v>Tanga</c:v>
                </c:pt>
                <c:pt idx="9">
                  <c:v>Shinyanga</c:v>
                </c:pt>
                <c:pt idx="10">
                  <c:v>Tabora</c:v>
                </c:pt>
                <c:pt idx="11">
                  <c:v>Geita</c:v>
                </c:pt>
                <c:pt idx="12">
                  <c:v>Kigoma</c:v>
                </c:pt>
                <c:pt idx="13">
                  <c:v>Morogoro</c:v>
                </c:pt>
                <c:pt idx="14">
                  <c:v>Iringa</c:v>
                </c:pt>
                <c:pt idx="15">
                  <c:v>Pwani</c:v>
                </c:pt>
                <c:pt idx="16">
                  <c:v>Rukwa</c:v>
                </c:pt>
                <c:pt idx="17">
                  <c:v>Kagera</c:v>
                </c:pt>
                <c:pt idx="18">
                  <c:v>Katavi</c:v>
                </c:pt>
                <c:pt idx="19">
                  <c:v>Mbeya</c:v>
                </c:pt>
                <c:pt idx="20">
                  <c:v>Songwe</c:v>
                </c:pt>
                <c:pt idx="21">
                  <c:v>Njombe</c:v>
                </c:pt>
                <c:pt idx="22">
                  <c:v>Ruvuma</c:v>
                </c:pt>
                <c:pt idx="23">
                  <c:v>Lindi</c:v>
                </c:pt>
                <c:pt idx="24">
                  <c:v>Mtwara</c:v>
                </c:pt>
                <c:pt idx="25">
                  <c:v>Dar Es Salaam</c:v>
                </c:pt>
              </c:strCache>
            </c:strRef>
          </c:cat>
          <c:val>
            <c:numRef>
              <c:f>'Figure 4.13'!$J$4:$J$29</c:f>
              <c:numCache>
                <c:formatCode>0</c:formatCode>
                <c:ptCount val="26"/>
                <c:pt idx="0">
                  <c:v>1576.0909999999999</c:v>
                </c:pt>
                <c:pt idx="1">
                  <c:v>937.54100000000005</c:v>
                </c:pt>
                <c:pt idx="2">
                  <c:v>800.02200000000005</c:v>
                </c:pt>
                <c:pt idx="3">
                  <c:v>604.67399999999998</c:v>
                </c:pt>
                <c:pt idx="4">
                  <c:v>599.08900000000006</c:v>
                </c:pt>
                <c:pt idx="5">
                  <c:v>480.21300000000002</c:v>
                </c:pt>
                <c:pt idx="6">
                  <c:v>444.72500000000002</c:v>
                </c:pt>
                <c:pt idx="7">
                  <c:v>364.09399999999999</c:v>
                </c:pt>
                <c:pt idx="8">
                  <c:v>353.56099999999998</c:v>
                </c:pt>
                <c:pt idx="9">
                  <c:v>345.82400000000001</c:v>
                </c:pt>
                <c:pt idx="10">
                  <c:v>318.19600000000003</c:v>
                </c:pt>
                <c:pt idx="11">
                  <c:v>300.58100000000002</c:v>
                </c:pt>
                <c:pt idx="12">
                  <c:v>209.63399999999999</c:v>
                </c:pt>
                <c:pt idx="13">
                  <c:v>182.017</c:v>
                </c:pt>
                <c:pt idx="14">
                  <c:v>173.39400000000001</c:v>
                </c:pt>
                <c:pt idx="15">
                  <c:v>169.94200000000001</c:v>
                </c:pt>
                <c:pt idx="16">
                  <c:v>167.91499999999999</c:v>
                </c:pt>
                <c:pt idx="17">
                  <c:v>160.619</c:v>
                </c:pt>
                <c:pt idx="18">
                  <c:v>79.688000000000002</c:v>
                </c:pt>
                <c:pt idx="19">
                  <c:v>75.59</c:v>
                </c:pt>
                <c:pt idx="20">
                  <c:v>61.002000000000002</c:v>
                </c:pt>
                <c:pt idx="21">
                  <c:v>24.68</c:v>
                </c:pt>
                <c:pt idx="22">
                  <c:v>23.274000000000001</c:v>
                </c:pt>
                <c:pt idx="23">
                  <c:v>20.091999999999999</c:v>
                </c:pt>
                <c:pt idx="24">
                  <c:v>13.599</c:v>
                </c:pt>
                <c:pt idx="25">
                  <c:v>5.9859999999999998</c:v>
                </c:pt>
              </c:numCache>
            </c:numRef>
          </c:val>
          <c:extLst>
            <c:ext xmlns:c16="http://schemas.microsoft.com/office/drawing/2014/chart" uri="{C3380CC4-5D6E-409C-BE32-E72D297353CC}">
              <c16:uniqueId val="{00000000-DAF1-A849-8F06-6586151ED1F4}"/>
            </c:ext>
          </c:extLst>
        </c:ser>
        <c:dLbls>
          <c:showLegendKey val="0"/>
          <c:showVal val="0"/>
          <c:showCatName val="0"/>
          <c:showSerName val="0"/>
          <c:showPercent val="0"/>
          <c:showBubbleSize val="0"/>
        </c:dLbls>
        <c:gapWidth val="150"/>
        <c:axId val="111941504"/>
        <c:axId val="111955968"/>
      </c:barChart>
      <c:scatterChart>
        <c:scatterStyle val="lineMarker"/>
        <c:varyColors val="0"/>
        <c:ser>
          <c:idx val="0"/>
          <c:order val="0"/>
          <c:tx>
            <c:strRef>
              <c:f>'Figure 4.13'!$I$3</c:f>
              <c:strCache>
                <c:ptCount val="1"/>
                <c:pt idx="0">
                  <c:v>Average Number of Sheep per Households </c:v>
                </c:pt>
              </c:strCache>
            </c:strRef>
          </c:tx>
          <c:spPr>
            <a:ln w="25400">
              <a:noFill/>
            </a:ln>
          </c:spPr>
          <c:marker>
            <c:symbol val="circle"/>
            <c:size val="3"/>
          </c:marker>
          <c:xVal>
            <c:strRef>
              <c:f>'Figure 4.13'!$A$4:$A$29</c:f>
              <c:strCache>
                <c:ptCount val="26"/>
                <c:pt idx="0">
                  <c:v>Arusha</c:v>
                </c:pt>
                <c:pt idx="1">
                  <c:v>Manyara</c:v>
                </c:pt>
                <c:pt idx="2">
                  <c:v>Simiyu</c:v>
                </c:pt>
                <c:pt idx="3">
                  <c:v>Mwanza</c:v>
                </c:pt>
                <c:pt idx="4">
                  <c:v>Mara</c:v>
                </c:pt>
                <c:pt idx="5">
                  <c:v>Kilimanjaro</c:v>
                </c:pt>
                <c:pt idx="6">
                  <c:v>Dodoma</c:v>
                </c:pt>
                <c:pt idx="7">
                  <c:v>Singida</c:v>
                </c:pt>
                <c:pt idx="8">
                  <c:v>Tanga</c:v>
                </c:pt>
                <c:pt idx="9">
                  <c:v>Shinyanga</c:v>
                </c:pt>
                <c:pt idx="10">
                  <c:v>Tabora</c:v>
                </c:pt>
                <c:pt idx="11">
                  <c:v>Geita</c:v>
                </c:pt>
                <c:pt idx="12">
                  <c:v>Kigoma</c:v>
                </c:pt>
                <c:pt idx="13">
                  <c:v>Morogoro</c:v>
                </c:pt>
                <c:pt idx="14">
                  <c:v>Iringa</c:v>
                </c:pt>
                <c:pt idx="15">
                  <c:v>Pwani</c:v>
                </c:pt>
                <c:pt idx="16">
                  <c:v>Rukwa</c:v>
                </c:pt>
                <c:pt idx="17">
                  <c:v>Kagera</c:v>
                </c:pt>
                <c:pt idx="18">
                  <c:v>Katavi</c:v>
                </c:pt>
                <c:pt idx="19">
                  <c:v>Mbeya</c:v>
                </c:pt>
                <c:pt idx="20">
                  <c:v>Songwe</c:v>
                </c:pt>
                <c:pt idx="21">
                  <c:v>Njombe</c:v>
                </c:pt>
                <c:pt idx="22">
                  <c:v>Ruvuma</c:v>
                </c:pt>
                <c:pt idx="23">
                  <c:v>Lindi</c:v>
                </c:pt>
                <c:pt idx="24">
                  <c:v>Mtwara</c:v>
                </c:pt>
                <c:pt idx="25">
                  <c:v>Dar Es Salaam</c:v>
                </c:pt>
              </c:strCache>
            </c:strRef>
          </c:xVal>
          <c:yVal>
            <c:numRef>
              <c:f>'Figure 4.13'!$I$4:$I$29</c:f>
              <c:numCache>
                <c:formatCode>_-* #,##0_-;\-* #,##0_-;_-* "-"??_-;_-@_-</c:formatCode>
                <c:ptCount val="26"/>
                <c:pt idx="0">
                  <c:v>15.378147898798893</c:v>
                </c:pt>
                <c:pt idx="1">
                  <c:v>10.793329726120444</c:v>
                </c:pt>
                <c:pt idx="2">
                  <c:v>15.978708955820087</c:v>
                </c:pt>
                <c:pt idx="3">
                  <c:v>12.87636286201022</c:v>
                </c:pt>
                <c:pt idx="4">
                  <c:v>18.963913772910008</c:v>
                </c:pt>
                <c:pt idx="5">
                  <c:v>10.292410570761087</c:v>
                </c:pt>
                <c:pt idx="6">
                  <c:v>6.9557839089089093</c:v>
                </c:pt>
                <c:pt idx="7">
                  <c:v>8.5174164268837576</c:v>
                </c:pt>
                <c:pt idx="8">
                  <c:v>10.102608795039574</c:v>
                </c:pt>
                <c:pt idx="9">
                  <c:v>11.326237185995479</c:v>
                </c:pt>
                <c:pt idx="10">
                  <c:v>7.4567866516685424</c:v>
                </c:pt>
                <c:pt idx="11">
                  <c:v>15.535507545999588</c:v>
                </c:pt>
                <c:pt idx="12">
                  <c:v>14.21825827455236</c:v>
                </c:pt>
                <c:pt idx="13">
                  <c:v>24.484396018294323</c:v>
                </c:pt>
                <c:pt idx="14">
                  <c:v>28.397314117261711</c:v>
                </c:pt>
                <c:pt idx="15">
                  <c:v>49.748829039812648</c:v>
                </c:pt>
                <c:pt idx="16">
                  <c:v>24.751621462264151</c:v>
                </c:pt>
                <c:pt idx="17">
                  <c:v>9.5737616975621389</c:v>
                </c:pt>
                <c:pt idx="18">
                  <c:v>25.313850063532403</c:v>
                </c:pt>
                <c:pt idx="19">
                  <c:v>9.3842333954065804</c:v>
                </c:pt>
                <c:pt idx="20">
                  <c:v>6.4226152874289335</c:v>
                </c:pt>
                <c:pt idx="21">
                  <c:v>8.4059945504087192</c:v>
                </c:pt>
                <c:pt idx="22">
                  <c:v>5.2454361054766734</c:v>
                </c:pt>
                <c:pt idx="23">
                  <c:v>35.7508896797153</c:v>
                </c:pt>
                <c:pt idx="24">
                  <c:v>12.73314606741573</c:v>
                </c:pt>
                <c:pt idx="25">
                  <c:v>1.1072881982981873</c:v>
                </c:pt>
              </c:numCache>
            </c:numRef>
          </c:yVal>
          <c:smooth val="0"/>
          <c:extLst>
            <c:ext xmlns:c16="http://schemas.microsoft.com/office/drawing/2014/chart" uri="{C3380CC4-5D6E-409C-BE32-E72D297353CC}">
              <c16:uniqueId val="{00000001-DAF1-A849-8F06-6586151ED1F4}"/>
            </c:ext>
          </c:extLst>
        </c:ser>
        <c:dLbls>
          <c:showLegendKey val="0"/>
          <c:showVal val="0"/>
          <c:showCatName val="0"/>
          <c:showSerName val="0"/>
          <c:showPercent val="0"/>
          <c:showBubbleSize val="0"/>
        </c:dLbls>
        <c:axId val="111964160"/>
        <c:axId val="111957888"/>
      </c:scatterChart>
      <c:catAx>
        <c:axId val="111941504"/>
        <c:scaling>
          <c:orientation val="minMax"/>
        </c:scaling>
        <c:delete val="0"/>
        <c:axPos val="b"/>
        <c:title>
          <c:tx>
            <c:rich>
              <a:bodyPr/>
              <a:lstStyle/>
              <a:p>
                <a:pPr>
                  <a:defRPr/>
                </a:pPr>
                <a:r>
                  <a:rPr lang="en-US"/>
                  <a:t>Region</a:t>
                </a:r>
              </a:p>
            </c:rich>
          </c:tx>
          <c:layout>
            <c:manualLayout>
              <c:xMode val="edge"/>
              <c:yMode val="edge"/>
              <c:x val="0.45878723594016768"/>
              <c:y val="0.83027338368086456"/>
            </c:manualLayout>
          </c:layout>
          <c:overlay val="0"/>
        </c:title>
        <c:numFmt formatCode="General" sourceLinked="0"/>
        <c:majorTickMark val="out"/>
        <c:minorTickMark val="none"/>
        <c:tickLblPos val="nextTo"/>
        <c:txPr>
          <a:bodyPr rot="-5400000" vert="horz"/>
          <a:lstStyle/>
          <a:p>
            <a:pPr>
              <a:defRPr/>
            </a:pPr>
            <a:endParaRPr lang="en-US"/>
          </a:p>
        </c:txPr>
        <c:crossAx val="111955968"/>
        <c:crosses val="autoZero"/>
        <c:auto val="1"/>
        <c:lblAlgn val="ctr"/>
        <c:lblOffset val="100"/>
        <c:noMultiLvlLbl val="0"/>
      </c:catAx>
      <c:valAx>
        <c:axId val="111955968"/>
        <c:scaling>
          <c:orientation val="minMax"/>
        </c:scaling>
        <c:delete val="0"/>
        <c:axPos val="l"/>
        <c:title>
          <c:tx>
            <c:rich>
              <a:bodyPr rot="-5400000" vert="horz"/>
              <a:lstStyle/>
              <a:p>
                <a:pPr>
                  <a:defRPr/>
                </a:pPr>
                <a:r>
                  <a:rPr lang="en-US"/>
                  <a:t>Number of Sheep ('000')</a:t>
                </a:r>
              </a:p>
            </c:rich>
          </c:tx>
          <c:overlay val="0"/>
        </c:title>
        <c:numFmt formatCode="0" sourceLinked="1"/>
        <c:majorTickMark val="out"/>
        <c:minorTickMark val="none"/>
        <c:tickLblPos val="nextTo"/>
        <c:crossAx val="111941504"/>
        <c:crosses val="autoZero"/>
        <c:crossBetween val="between"/>
      </c:valAx>
      <c:valAx>
        <c:axId val="111957888"/>
        <c:scaling>
          <c:orientation val="minMax"/>
        </c:scaling>
        <c:delete val="0"/>
        <c:axPos val="r"/>
        <c:title>
          <c:tx>
            <c:rich>
              <a:bodyPr/>
              <a:lstStyle/>
              <a:p>
                <a:pPr>
                  <a:defRPr/>
                </a:pPr>
                <a:r>
                  <a:rPr lang="en-US"/>
                  <a:t>Sheep per Household</a:t>
                </a:r>
              </a:p>
            </c:rich>
          </c:tx>
          <c:overlay val="0"/>
        </c:title>
        <c:numFmt formatCode="_-* #,##0_-;\-* #,##0_-;_-* &quot;-&quot;??_-;_-@_-" sourceLinked="1"/>
        <c:majorTickMark val="out"/>
        <c:minorTickMark val="none"/>
        <c:tickLblPos val="nextTo"/>
        <c:crossAx val="111964160"/>
        <c:crosses val="max"/>
        <c:crossBetween val="midCat"/>
      </c:valAx>
      <c:valAx>
        <c:axId val="111964160"/>
        <c:scaling>
          <c:orientation val="minMax"/>
        </c:scaling>
        <c:delete val="1"/>
        <c:axPos val="b"/>
        <c:numFmt formatCode="General" sourceLinked="1"/>
        <c:majorTickMark val="out"/>
        <c:minorTickMark val="none"/>
        <c:tickLblPos val="nextTo"/>
        <c:crossAx val="111957888"/>
        <c:crosses val="autoZero"/>
        <c:crossBetween val="midCat"/>
      </c:valAx>
    </c:plotArea>
    <c:legend>
      <c:legendPos val="b"/>
      <c:layout>
        <c:manualLayout>
          <c:xMode val="edge"/>
          <c:yMode val="edge"/>
          <c:x val="4.7429477868664478E-2"/>
          <c:y val="0.88662284209012454"/>
          <c:w val="0.89520965522513574"/>
          <c:h val="7.5312070970998568E-2"/>
        </c:manualLayout>
      </c:layout>
      <c:overlay val="0"/>
    </c:legend>
    <c:plotVisOnly val="1"/>
    <c:dispBlanksAs val="zero"/>
    <c:showDLblsOverMax val="0"/>
  </c:chart>
  <c:spPr>
    <a:solidFill>
      <a:schemeClr val="lt1"/>
    </a:solidFill>
    <a:ln w="9525" cap="flat" cmpd="sng" algn="ctr">
      <a:solidFill>
        <a:sysClr val="windowText" lastClr="000000">
          <a:lumMod val="50000"/>
          <a:lumOff val="50000"/>
        </a:sysClr>
      </a:solidFill>
      <a:prstDash val="solid"/>
    </a:ln>
    <a:effectLst/>
  </c:spPr>
  <c:txPr>
    <a:bodyPr/>
    <a:lstStyle/>
    <a:p>
      <a:pPr>
        <a:defRPr sz="650" b="0">
          <a:solidFill>
            <a:schemeClr val="tx1"/>
          </a:solidFill>
          <a:latin typeface="Times New Roman" panose="02020603050405020304" pitchFamily="18" charset="0"/>
          <a:ea typeface="+mn-ea"/>
          <a:cs typeface="Times New Roman" panose="02020603050405020304" pitchFamily="18" charset="0"/>
        </a:defRPr>
      </a:pPr>
      <a:endParaRPr lang="en-US"/>
    </a:p>
  </c:txPr>
  <c:externalData r:id="rId2">
    <c:autoUpdate val="0"/>
  </c:externalData>
</c:chartSpace>
</file>

<file path=word/charts/chart1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view3D>
    <c:floor>
      <c:thickness val="0"/>
    </c:floor>
    <c:sideWall>
      <c:thickness val="0"/>
    </c:sideWall>
    <c:backWall>
      <c:thickness val="0"/>
    </c:backWall>
    <c:plotArea>
      <c:layout>
        <c:manualLayout>
          <c:layoutTarget val="inner"/>
          <c:xMode val="edge"/>
          <c:yMode val="edge"/>
          <c:x val="9.3055555555555558E-2"/>
          <c:y val="0.12130431612715076"/>
          <c:w val="0.81388888888888888"/>
          <c:h val="0.68900590551181107"/>
        </c:manualLayout>
      </c:layout>
      <c:pie3DChart>
        <c:varyColors val="1"/>
        <c:ser>
          <c:idx val="0"/>
          <c:order val="0"/>
          <c:explosion val="1"/>
          <c:dPt>
            <c:idx val="0"/>
            <c:bubble3D val="0"/>
            <c:spPr>
              <a:solidFill>
                <a:schemeClr val="accent6">
                  <a:lumMod val="75000"/>
                </a:schemeClr>
              </a:solidFill>
            </c:spPr>
            <c:extLst>
              <c:ext xmlns:c16="http://schemas.microsoft.com/office/drawing/2014/chart" uri="{C3380CC4-5D6E-409C-BE32-E72D297353CC}">
                <c16:uniqueId val="{00000001-D585-424F-8D40-B38A80482C7D}"/>
              </c:ext>
            </c:extLst>
          </c:dPt>
          <c:dPt>
            <c:idx val="1"/>
            <c:bubble3D val="0"/>
            <c:explosion val="4"/>
            <c:spPr>
              <a:solidFill>
                <a:srgbClr val="00B050"/>
              </a:solidFill>
            </c:spPr>
            <c:extLst>
              <c:ext xmlns:c16="http://schemas.microsoft.com/office/drawing/2014/chart" uri="{C3380CC4-5D6E-409C-BE32-E72D297353CC}">
                <c16:uniqueId val="{00000003-D585-424F-8D40-B38A80482C7D}"/>
              </c:ext>
            </c:extLst>
          </c:dPt>
          <c:dLbls>
            <c:dLbl>
              <c:idx val="0"/>
              <c:layout>
                <c:manualLayout>
                  <c:x val="2.5000000000000001E-2"/>
                  <c:y val="-2.3148148148148192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D585-424F-8D40-B38A80482C7D}"/>
                </c:ext>
              </c:extLst>
            </c:dLbl>
            <c:dLbl>
              <c:idx val="1"/>
              <c:layout>
                <c:manualLayout>
                  <c:x val="0"/>
                  <c:y val="0.21296296296296297"/>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D585-424F-8D40-B38A80482C7D}"/>
                </c:ext>
              </c:extLst>
            </c:dLbl>
            <c:numFmt formatCode="0.0%" sourceLinked="0"/>
            <c:spPr>
              <a:noFill/>
              <a:ln>
                <a:noFill/>
              </a:ln>
              <a:effectLst/>
            </c:spPr>
            <c:dLblPos val="outEnd"/>
            <c:showLegendKey val="0"/>
            <c:showVal val="0"/>
            <c:showCatName val="1"/>
            <c:showSerName val="0"/>
            <c:showPercent val="1"/>
            <c:showBubbleSize val="0"/>
            <c:showLeaderLines val="1"/>
            <c:extLst>
              <c:ext xmlns:c15="http://schemas.microsoft.com/office/drawing/2012/chart" uri="{CE6537A1-D6FC-4f65-9D91-7224C49458BB}"/>
            </c:extLst>
          </c:dLbls>
          <c:cat>
            <c:strRef>
              <c:f>'Figure 4.14'!$A$4:$A$5</c:f>
              <c:strCache>
                <c:ptCount val="2"/>
                <c:pt idx="0">
                  <c:v> Mjini Magharibi </c:v>
                </c:pt>
                <c:pt idx="1">
                  <c:v> Kusini  Pemba </c:v>
                </c:pt>
              </c:strCache>
            </c:strRef>
          </c:cat>
          <c:val>
            <c:numRef>
              <c:f>'Figure 4.14'!$C$4:$C$5</c:f>
              <c:numCache>
                <c:formatCode>_-* #,##0_-;\-* #,##0_-;_-* "-"??_-;_-@_-</c:formatCode>
                <c:ptCount val="2"/>
                <c:pt idx="0">
                  <c:v>301</c:v>
                </c:pt>
                <c:pt idx="1">
                  <c:v>570</c:v>
                </c:pt>
              </c:numCache>
            </c:numRef>
          </c:val>
          <c:extLst>
            <c:ext xmlns:c16="http://schemas.microsoft.com/office/drawing/2014/chart" uri="{C3380CC4-5D6E-409C-BE32-E72D297353CC}">
              <c16:uniqueId val="{00000004-D585-424F-8D40-B38A80482C7D}"/>
            </c:ext>
          </c:extLst>
        </c:ser>
        <c:dLbls>
          <c:showLegendKey val="0"/>
          <c:showVal val="0"/>
          <c:showCatName val="0"/>
          <c:showSerName val="0"/>
          <c:showPercent val="0"/>
          <c:showBubbleSize val="0"/>
          <c:showLeaderLines val="1"/>
        </c:dLbls>
      </c:pie3DChart>
    </c:plotArea>
    <c:plotVisOnly val="1"/>
    <c:dispBlanksAs val="gap"/>
    <c:showDLblsOverMax val="0"/>
  </c:chart>
  <c:spPr>
    <a:ln w="3175">
      <a:solidFill>
        <a:sysClr val="windowText" lastClr="000000">
          <a:lumMod val="50000"/>
          <a:lumOff val="50000"/>
        </a:sysClr>
      </a:solidFill>
    </a:ln>
  </c:spPr>
  <c:txPr>
    <a:bodyPr/>
    <a:lstStyle/>
    <a:p>
      <a:pPr>
        <a:defRPr sz="800">
          <a:latin typeface="Times New Roman" pitchFamily="18" charset="0"/>
          <a:cs typeface="Times New Roman" pitchFamily="18" charset="0"/>
        </a:defRPr>
      </a:pPr>
      <a:endParaRPr lang="en-US"/>
    </a:p>
  </c:txPr>
  <c:externalData r:id="rId2">
    <c:autoUpdate val="0"/>
  </c:externalData>
</c:chartSpace>
</file>

<file path=word/charts/chart1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794826893175749"/>
          <c:y val="4.1804903920688669E-2"/>
          <c:w val="0.71839347643871387"/>
          <c:h val="0.61823212973482167"/>
        </c:manualLayout>
      </c:layout>
      <c:barChart>
        <c:barDir val="col"/>
        <c:grouping val="clustered"/>
        <c:varyColors val="0"/>
        <c:ser>
          <c:idx val="0"/>
          <c:order val="0"/>
          <c:tx>
            <c:strRef>
              <c:f>'Figure 4.16'!$B$3</c:f>
              <c:strCache>
                <c:ptCount val="1"/>
                <c:pt idx="0">
                  <c:v>  Number of Households </c:v>
                </c:pt>
              </c:strCache>
            </c:strRef>
          </c:tx>
          <c:spPr>
            <a:solidFill>
              <a:srgbClr val="FFC000"/>
            </a:solidFill>
          </c:spPr>
          <c:invertIfNegative val="0"/>
          <c:cat>
            <c:strRef>
              <c:f>'Figure 4.16'!$A$4:$A$12</c:f>
              <c:strCache>
                <c:ptCount val="9"/>
                <c:pt idx="0">
                  <c:v> 1 - 4 </c:v>
                </c:pt>
                <c:pt idx="1">
                  <c:v> 5 - 9 </c:v>
                </c:pt>
                <c:pt idx="2">
                  <c:v> 10 - 14 </c:v>
                </c:pt>
                <c:pt idx="3">
                  <c:v> 15 - 19 </c:v>
                </c:pt>
                <c:pt idx="4">
                  <c:v> 20 - 24 </c:v>
                </c:pt>
                <c:pt idx="5">
                  <c:v> 25 - 29 </c:v>
                </c:pt>
                <c:pt idx="6">
                  <c:v> 30 - 34 </c:v>
                </c:pt>
                <c:pt idx="7">
                  <c:v> 35 - 39 </c:v>
                </c:pt>
                <c:pt idx="8">
                  <c:v> 40+ </c:v>
                </c:pt>
              </c:strCache>
            </c:strRef>
          </c:cat>
          <c:val>
            <c:numRef>
              <c:f>'Figure 4.16'!$B$4:$B$12</c:f>
              <c:numCache>
                <c:formatCode>_-* #,##0_-;\-* #,##0_-;_-* "-"??_-;_-@_-</c:formatCode>
                <c:ptCount val="9"/>
                <c:pt idx="0">
                  <c:v>399.13099999999997</c:v>
                </c:pt>
                <c:pt idx="1">
                  <c:v>69.585999999999999</c:v>
                </c:pt>
                <c:pt idx="2">
                  <c:v>27.922999999999998</c:v>
                </c:pt>
                <c:pt idx="3">
                  <c:v>9.2129999999999992</c:v>
                </c:pt>
                <c:pt idx="4">
                  <c:v>5.2759999999999998</c:v>
                </c:pt>
                <c:pt idx="5">
                  <c:v>2.4820000000000002</c:v>
                </c:pt>
                <c:pt idx="6">
                  <c:v>0.66300000000000003</c:v>
                </c:pt>
                <c:pt idx="7">
                  <c:v>1.212</c:v>
                </c:pt>
                <c:pt idx="8">
                  <c:v>2.379</c:v>
                </c:pt>
              </c:numCache>
            </c:numRef>
          </c:val>
          <c:extLst>
            <c:ext xmlns:c16="http://schemas.microsoft.com/office/drawing/2014/chart" uri="{C3380CC4-5D6E-409C-BE32-E72D297353CC}">
              <c16:uniqueId val="{00000000-06C1-2D41-AB33-926AE84BE3B6}"/>
            </c:ext>
          </c:extLst>
        </c:ser>
        <c:dLbls>
          <c:showLegendKey val="0"/>
          <c:showVal val="0"/>
          <c:showCatName val="0"/>
          <c:showSerName val="0"/>
          <c:showPercent val="0"/>
          <c:showBubbleSize val="0"/>
        </c:dLbls>
        <c:gapWidth val="301"/>
        <c:axId val="63682560"/>
        <c:axId val="63091776"/>
      </c:barChart>
      <c:scatterChart>
        <c:scatterStyle val="lineMarker"/>
        <c:varyColors val="0"/>
        <c:ser>
          <c:idx val="1"/>
          <c:order val="1"/>
          <c:tx>
            <c:strRef>
              <c:f>'Figure 4.16'!$D$3</c:f>
              <c:strCache>
                <c:ptCount val="1"/>
                <c:pt idx="0">
                  <c:v>  Number  of pigs </c:v>
                </c:pt>
              </c:strCache>
            </c:strRef>
          </c:tx>
          <c:spPr>
            <a:ln w="28575">
              <a:noFill/>
            </a:ln>
          </c:spPr>
          <c:marker>
            <c:symbol val="square"/>
            <c:size val="3"/>
          </c:marker>
          <c:xVal>
            <c:strRef>
              <c:f>'Figure 4.16'!$A$4:$A$12</c:f>
              <c:strCache>
                <c:ptCount val="9"/>
                <c:pt idx="0">
                  <c:v> 1 - 4 </c:v>
                </c:pt>
                <c:pt idx="1">
                  <c:v> 5 - 9 </c:v>
                </c:pt>
                <c:pt idx="2">
                  <c:v> 10 - 14 </c:v>
                </c:pt>
                <c:pt idx="3">
                  <c:v> 15 - 19 </c:v>
                </c:pt>
                <c:pt idx="4">
                  <c:v> 20 - 24 </c:v>
                </c:pt>
                <c:pt idx="5">
                  <c:v> 25 - 29 </c:v>
                </c:pt>
                <c:pt idx="6">
                  <c:v> 30 - 34 </c:v>
                </c:pt>
                <c:pt idx="7">
                  <c:v> 35 - 39 </c:v>
                </c:pt>
                <c:pt idx="8">
                  <c:v> 40+ </c:v>
                </c:pt>
              </c:strCache>
            </c:strRef>
          </c:xVal>
          <c:yVal>
            <c:numRef>
              <c:f>'Figure 4.16'!$D$4:$D$12</c:f>
              <c:numCache>
                <c:formatCode>_-* #,##0_-;\-* #,##0_-;_-* "-"??_-;_-@_-</c:formatCode>
                <c:ptCount val="9"/>
                <c:pt idx="0">
                  <c:v>1156.7670000000001</c:v>
                </c:pt>
                <c:pt idx="1">
                  <c:v>720.81100000000004</c:v>
                </c:pt>
                <c:pt idx="2">
                  <c:v>466.69099999999997</c:v>
                </c:pt>
                <c:pt idx="3">
                  <c:v>238.762</c:v>
                </c:pt>
                <c:pt idx="4">
                  <c:v>120.741</c:v>
                </c:pt>
                <c:pt idx="5">
                  <c:v>112.092</c:v>
                </c:pt>
                <c:pt idx="6">
                  <c:v>32.313000000000002</c:v>
                </c:pt>
                <c:pt idx="7">
                  <c:v>95.096999999999994</c:v>
                </c:pt>
                <c:pt idx="8">
                  <c:v>260.09500000000003</c:v>
                </c:pt>
              </c:numCache>
            </c:numRef>
          </c:yVal>
          <c:smooth val="0"/>
          <c:extLst>
            <c:ext xmlns:c16="http://schemas.microsoft.com/office/drawing/2014/chart" uri="{C3380CC4-5D6E-409C-BE32-E72D297353CC}">
              <c16:uniqueId val="{00000001-06C1-2D41-AB33-926AE84BE3B6}"/>
            </c:ext>
          </c:extLst>
        </c:ser>
        <c:dLbls>
          <c:showLegendKey val="0"/>
          <c:showVal val="0"/>
          <c:showCatName val="0"/>
          <c:showSerName val="0"/>
          <c:showPercent val="0"/>
          <c:showBubbleSize val="0"/>
        </c:dLbls>
        <c:axId val="63092928"/>
        <c:axId val="63092352"/>
      </c:scatterChart>
      <c:catAx>
        <c:axId val="63682560"/>
        <c:scaling>
          <c:orientation val="minMax"/>
        </c:scaling>
        <c:delete val="0"/>
        <c:axPos val="b"/>
        <c:title>
          <c:tx>
            <c:rich>
              <a:bodyPr/>
              <a:lstStyle/>
              <a:p>
                <a:pPr>
                  <a:defRPr/>
                </a:pPr>
                <a:r>
                  <a:rPr lang="en-US"/>
                  <a:t>Herd Size</a:t>
                </a:r>
              </a:p>
            </c:rich>
          </c:tx>
          <c:layout>
            <c:manualLayout>
              <c:xMode val="edge"/>
              <c:yMode val="edge"/>
              <c:x val="0.4182943891016393"/>
              <c:y val="0.76639186700232442"/>
            </c:manualLayout>
          </c:layout>
          <c:overlay val="0"/>
        </c:title>
        <c:numFmt formatCode="General" sourceLinked="0"/>
        <c:majorTickMark val="out"/>
        <c:minorTickMark val="none"/>
        <c:tickLblPos val="nextTo"/>
        <c:txPr>
          <a:bodyPr/>
          <a:lstStyle/>
          <a:p>
            <a:pPr>
              <a:defRPr sz="600"/>
            </a:pPr>
            <a:endParaRPr lang="en-US"/>
          </a:p>
        </c:txPr>
        <c:crossAx val="63091776"/>
        <c:crosses val="autoZero"/>
        <c:auto val="1"/>
        <c:lblAlgn val="ctr"/>
        <c:lblOffset val="100"/>
        <c:noMultiLvlLbl val="0"/>
      </c:catAx>
      <c:valAx>
        <c:axId val="63091776"/>
        <c:scaling>
          <c:orientation val="minMax"/>
        </c:scaling>
        <c:delete val="0"/>
        <c:axPos val="l"/>
        <c:title>
          <c:tx>
            <c:rich>
              <a:bodyPr rot="-5400000" vert="horz"/>
              <a:lstStyle/>
              <a:p>
                <a:pPr>
                  <a:defRPr/>
                </a:pPr>
                <a:r>
                  <a:rPr lang="en-US"/>
                  <a:t>Number of Households (in 000')</a:t>
                </a:r>
              </a:p>
            </c:rich>
          </c:tx>
          <c:overlay val="0"/>
        </c:title>
        <c:numFmt formatCode="_-* #,##0_-;\-* #,##0_-;_-* &quot;-&quot;??_-;_-@_-" sourceLinked="1"/>
        <c:majorTickMark val="out"/>
        <c:minorTickMark val="none"/>
        <c:tickLblPos val="nextTo"/>
        <c:txPr>
          <a:bodyPr/>
          <a:lstStyle/>
          <a:p>
            <a:pPr>
              <a:defRPr sz="600"/>
            </a:pPr>
            <a:endParaRPr lang="en-US"/>
          </a:p>
        </c:txPr>
        <c:crossAx val="63682560"/>
        <c:crosses val="autoZero"/>
        <c:crossBetween val="between"/>
        <c:majorUnit val="100"/>
      </c:valAx>
      <c:valAx>
        <c:axId val="63092352"/>
        <c:scaling>
          <c:orientation val="minMax"/>
        </c:scaling>
        <c:delete val="0"/>
        <c:axPos val="r"/>
        <c:title>
          <c:tx>
            <c:rich>
              <a:bodyPr rot="-5400000" vert="horz"/>
              <a:lstStyle/>
              <a:p>
                <a:pPr>
                  <a:defRPr/>
                </a:pPr>
                <a:r>
                  <a:rPr lang="en-US"/>
                  <a:t>Number of Pigs (in 000')</a:t>
                </a:r>
              </a:p>
            </c:rich>
          </c:tx>
          <c:layout>
            <c:manualLayout>
              <c:xMode val="edge"/>
              <c:yMode val="edge"/>
              <c:x val="0.94839730906212905"/>
              <c:y val="4.5523982638023167E-2"/>
            </c:manualLayout>
          </c:layout>
          <c:overlay val="0"/>
        </c:title>
        <c:numFmt formatCode="_-* #,##0_-;\-* #,##0_-;_-* &quot;-&quot;??_-;_-@_-" sourceLinked="1"/>
        <c:majorTickMark val="out"/>
        <c:minorTickMark val="none"/>
        <c:tickLblPos val="nextTo"/>
        <c:txPr>
          <a:bodyPr/>
          <a:lstStyle/>
          <a:p>
            <a:pPr>
              <a:defRPr sz="600"/>
            </a:pPr>
            <a:endParaRPr lang="en-US"/>
          </a:p>
        </c:txPr>
        <c:crossAx val="63092928"/>
        <c:crosses val="max"/>
        <c:crossBetween val="midCat"/>
      </c:valAx>
      <c:valAx>
        <c:axId val="63092928"/>
        <c:scaling>
          <c:orientation val="minMax"/>
        </c:scaling>
        <c:delete val="1"/>
        <c:axPos val="b"/>
        <c:majorTickMark val="out"/>
        <c:minorTickMark val="none"/>
        <c:tickLblPos val="nextTo"/>
        <c:crossAx val="63092352"/>
        <c:crosses val="autoZero"/>
        <c:crossBetween val="midCat"/>
      </c:valAx>
      <c:spPr>
        <a:noFill/>
        <a:ln w="25400">
          <a:noFill/>
        </a:ln>
      </c:spPr>
    </c:plotArea>
    <c:legend>
      <c:legendPos val="b"/>
      <c:layout>
        <c:manualLayout>
          <c:xMode val="edge"/>
          <c:yMode val="edge"/>
          <c:x val="0.14292195470026078"/>
          <c:y val="0.86944093683897272"/>
          <c:w val="0.68575385833003566"/>
          <c:h val="4.3051053756176287E-2"/>
        </c:manualLayout>
      </c:layout>
      <c:overlay val="0"/>
    </c:legend>
    <c:plotVisOnly val="1"/>
    <c:dispBlanksAs val="gap"/>
    <c:showDLblsOverMax val="0"/>
  </c:chart>
  <c:spPr>
    <a:ln w="9525">
      <a:solidFill>
        <a:schemeClr val="tx1">
          <a:lumMod val="50000"/>
          <a:lumOff val="50000"/>
        </a:schemeClr>
      </a:solidFill>
    </a:ln>
  </c:spPr>
  <c:txPr>
    <a:bodyPr/>
    <a:lstStyle/>
    <a:p>
      <a:pPr>
        <a:defRPr sz="700" b="0">
          <a:latin typeface="Times New Roman" pitchFamily="18" charset="0"/>
          <a:cs typeface="Times New Roman" pitchFamily="18" charset="0"/>
        </a:defRPr>
      </a:pPr>
      <a:endParaRPr lang="en-US"/>
    </a:p>
  </c:txPr>
  <c:externalData r:id="rId1">
    <c:autoUpdate val="0"/>
  </c:externalData>
</c:chartSpace>
</file>

<file path=word/charts/chart1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555104339567149"/>
          <c:y val="3.9687291099336441E-2"/>
          <c:w val="0.77342550832253565"/>
          <c:h val="0.57930284236249052"/>
        </c:manualLayout>
      </c:layout>
      <c:barChart>
        <c:barDir val="col"/>
        <c:grouping val="clustered"/>
        <c:varyColors val="0"/>
        <c:ser>
          <c:idx val="0"/>
          <c:order val="0"/>
          <c:tx>
            <c:strRef>
              <c:f>'Figure 4.15'!$C$2</c:f>
              <c:strCache>
                <c:ptCount val="1"/>
                <c:pt idx="0">
                  <c:v> Number of Pig </c:v>
                </c:pt>
              </c:strCache>
            </c:strRef>
          </c:tx>
          <c:invertIfNegative val="0"/>
          <c:cat>
            <c:strRef>
              <c:f>'Figure 4.15'!$A$3:$A$28</c:f>
              <c:strCache>
                <c:ptCount val="26"/>
                <c:pt idx="0">
                  <c:v> Ruvuma </c:v>
                </c:pt>
                <c:pt idx="1">
                  <c:v> Morogoro </c:v>
                </c:pt>
                <c:pt idx="2">
                  <c:v> Kagera </c:v>
                </c:pt>
                <c:pt idx="3">
                  <c:v> Kigoma </c:v>
                </c:pt>
                <c:pt idx="4">
                  <c:v> Mbeya </c:v>
                </c:pt>
                <c:pt idx="5">
                  <c:v> Mwanza </c:v>
                </c:pt>
                <c:pt idx="6">
                  <c:v> Manyara </c:v>
                </c:pt>
                <c:pt idx="7">
                  <c:v> Iringa </c:v>
                </c:pt>
                <c:pt idx="8">
                  <c:v> Songwe </c:v>
                </c:pt>
                <c:pt idx="9">
                  <c:v> Rukwa </c:v>
                </c:pt>
                <c:pt idx="10">
                  <c:v> Kilimanjaro </c:v>
                </c:pt>
                <c:pt idx="11">
                  <c:v> Geita </c:v>
                </c:pt>
                <c:pt idx="12">
                  <c:v> Dodoma </c:v>
                </c:pt>
                <c:pt idx="13">
                  <c:v> Njombe </c:v>
                </c:pt>
                <c:pt idx="14">
                  <c:v> Pwani </c:v>
                </c:pt>
                <c:pt idx="15">
                  <c:v> Katavi </c:v>
                </c:pt>
                <c:pt idx="16">
                  <c:v> Tabora </c:v>
                </c:pt>
                <c:pt idx="17">
                  <c:v> Shinyanga </c:v>
                </c:pt>
                <c:pt idx="18">
                  <c:v> Lindi </c:v>
                </c:pt>
                <c:pt idx="19">
                  <c:v> Mtwara </c:v>
                </c:pt>
                <c:pt idx="20">
                  <c:v> Singida </c:v>
                </c:pt>
                <c:pt idx="21">
                  <c:v> Simiyu </c:v>
                </c:pt>
                <c:pt idx="22">
                  <c:v> Arusha </c:v>
                </c:pt>
                <c:pt idx="23">
                  <c:v> Tanga </c:v>
                </c:pt>
                <c:pt idx="24">
                  <c:v> Dar Es Salaam </c:v>
                </c:pt>
                <c:pt idx="25">
                  <c:v> Mara </c:v>
                </c:pt>
              </c:strCache>
            </c:strRef>
          </c:cat>
          <c:val>
            <c:numRef>
              <c:f>'Figure 4.15'!$C$3:$C$28</c:f>
              <c:numCache>
                <c:formatCode>_(* #,##0.00_);_(* \(#,##0.00\);_(* "-"??_);_(@_)</c:formatCode>
                <c:ptCount val="26"/>
                <c:pt idx="0">
                  <c:v>375.072</c:v>
                </c:pt>
                <c:pt idx="1">
                  <c:v>370.80200000000002</c:v>
                </c:pt>
                <c:pt idx="2">
                  <c:v>285.089</c:v>
                </c:pt>
                <c:pt idx="3">
                  <c:v>266.37099999999998</c:v>
                </c:pt>
                <c:pt idx="4">
                  <c:v>261.71899999999999</c:v>
                </c:pt>
                <c:pt idx="5">
                  <c:v>171.35499999999999</c:v>
                </c:pt>
                <c:pt idx="6">
                  <c:v>165.76</c:v>
                </c:pt>
                <c:pt idx="7">
                  <c:v>157.774</c:v>
                </c:pt>
                <c:pt idx="8">
                  <c:v>155.845</c:v>
                </c:pt>
                <c:pt idx="9">
                  <c:v>146.37799999999999</c:v>
                </c:pt>
                <c:pt idx="10">
                  <c:v>129.67400000000001</c:v>
                </c:pt>
                <c:pt idx="11">
                  <c:v>114.157</c:v>
                </c:pt>
                <c:pt idx="12">
                  <c:v>103.158</c:v>
                </c:pt>
                <c:pt idx="13">
                  <c:v>97.798000000000002</c:v>
                </c:pt>
                <c:pt idx="14">
                  <c:v>87.542000000000002</c:v>
                </c:pt>
                <c:pt idx="15">
                  <c:v>80.763000000000005</c:v>
                </c:pt>
                <c:pt idx="16">
                  <c:v>66.322999999999993</c:v>
                </c:pt>
                <c:pt idx="17">
                  <c:v>37.744999999999997</c:v>
                </c:pt>
                <c:pt idx="18">
                  <c:v>30.768000000000001</c:v>
                </c:pt>
                <c:pt idx="19">
                  <c:v>29.14</c:v>
                </c:pt>
                <c:pt idx="20">
                  <c:v>27.25</c:v>
                </c:pt>
                <c:pt idx="21">
                  <c:v>13.981999999999999</c:v>
                </c:pt>
                <c:pt idx="22">
                  <c:v>9.52</c:v>
                </c:pt>
                <c:pt idx="23">
                  <c:v>9.3360000000000003</c:v>
                </c:pt>
                <c:pt idx="24">
                  <c:v>6.0519999999999996</c:v>
                </c:pt>
                <c:pt idx="25">
                  <c:v>1.7849999999999999</c:v>
                </c:pt>
              </c:numCache>
            </c:numRef>
          </c:val>
          <c:extLst>
            <c:ext xmlns:c16="http://schemas.microsoft.com/office/drawing/2014/chart" uri="{C3380CC4-5D6E-409C-BE32-E72D297353CC}">
              <c16:uniqueId val="{00000000-6582-1149-AC2D-4FCDA167F415}"/>
            </c:ext>
          </c:extLst>
        </c:ser>
        <c:dLbls>
          <c:showLegendKey val="0"/>
          <c:showVal val="0"/>
          <c:showCatName val="0"/>
          <c:showSerName val="0"/>
          <c:showPercent val="0"/>
          <c:showBubbleSize val="0"/>
        </c:dLbls>
        <c:gapWidth val="282"/>
        <c:axId val="112474752"/>
        <c:axId val="112489216"/>
      </c:barChart>
      <c:scatterChart>
        <c:scatterStyle val="lineMarker"/>
        <c:varyColors val="0"/>
        <c:ser>
          <c:idx val="1"/>
          <c:order val="1"/>
          <c:tx>
            <c:strRef>
              <c:f>'Figure 4.15'!$D$2</c:f>
              <c:strCache>
                <c:ptCount val="1"/>
                <c:pt idx="0">
                  <c:v> Average per household </c:v>
                </c:pt>
              </c:strCache>
            </c:strRef>
          </c:tx>
          <c:spPr>
            <a:ln w="28575">
              <a:noFill/>
            </a:ln>
          </c:spPr>
          <c:marker>
            <c:symbol val="circle"/>
            <c:size val="3"/>
          </c:marker>
          <c:xVal>
            <c:strRef>
              <c:f>'Figure 4.15'!$A$3:$A$28</c:f>
              <c:strCache>
                <c:ptCount val="26"/>
                <c:pt idx="0">
                  <c:v> Ruvuma </c:v>
                </c:pt>
                <c:pt idx="1">
                  <c:v> Morogoro </c:v>
                </c:pt>
                <c:pt idx="2">
                  <c:v> Kagera </c:v>
                </c:pt>
                <c:pt idx="3">
                  <c:v> Kigoma </c:v>
                </c:pt>
                <c:pt idx="4">
                  <c:v> Mbeya </c:v>
                </c:pt>
                <c:pt idx="5">
                  <c:v> Mwanza </c:v>
                </c:pt>
                <c:pt idx="6">
                  <c:v> Manyara </c:v>
                </c:pt>
                <c:pt idx="7">
                  <c:v> Iringa </c:v>
                </c:pt>
                <c:pt idx="8">
                  <c:v> Songwe </c:v>
                </c:pt>
                <c:pt idx="9">
                  <c:v> Rukwa </c:v>
                </c:pt>
                <c:pt idx="10">
                  <c:v> Kilimanjaro </c:v>
                </c:pt>
                <c:pt idx="11">
                  <c:v> Geita </c:v>
                </c:pt>
                <c:pt idx="12">
                  <c:v> Dodoma </c:v>
                </c:pt>
                <c:pt idx="13">
                  <c:v> Njombe </c:v>
                </c:pt>
                <c:pt idx="14">
                  <c:v> Pwani </c:v>
                </c:pt>
                <c:pt idx="15">
                  <c:v> Katavi </c:v>
                </c:pt>
                <c:pt idx="16">
                  <c:v> Tabora </c:v>
                </c:pt>
                <c:pt idx="17">
                  <c:v> Shinyanga </c:v>
                </c:pt>
                <c:pt idx="18">
                  <c:v> Lindi </c:v>
                </c:pt>
                <c:pt idx="19">
                  <c:v> Mtwara </c:v>
                </c:pt>
                <c:pt idx="20">
                  <c:v> Singida </c:v>
                </c:pt>
                <c:pt idx="21">
                  <c:v> Simiyu </c:v>
                </c:pt>
                <c:pt idx="22">
                  <c:v> Arusha </c:v>
                </c:pt>
                <c:pt idx="23">
                  <c:v> Tanga </c:v>
                </c:pt>
                <c:pt idx="24">
                  <c:v> Dar Es Salaam </c:v>
                </c:pt>
                <c:pt idx="25">
                  <c:v> Mara </c:v>
                </c:pt>
              </c:strCache>
            </c:strRef>
          </c:xVal>
          <c:yVal>
            <c:numRef>
              <c:f>'Figure 4.15'!$D$3:$D$28</c:f>
              <c:numCache>
                <c:formatCode>_(* #,##0_);_(* \(#,##0\);_(* "-"??_);_(@_)</c:formatCode>
                <c:ptCount val="26"/>
                <c:pt idx="0">
                  <c:v>5.035875402792696</c:v>
                </c:pt>
                <c:pt idx="1">
                  <c:v>12.874622408944136</c:v>
                </c:pt>
                <c:pt idx="2">
                  <c:v>4.3870645081866311</c:v>
                </c:pt>
                <c:pt idx="3">
                  <c:v>12.944455243463892</c:v>
                </c:pt>
                <c:pt idx="4">
                  <c:v>3.3093380539925397</c:v>
                </c:pt>
                <c:pt idx="5">
                  <c:v>42.721266517078028</c:v>
                </c:pt>
                <c:pt idx="6">
                  <c:v>4.0497422491510102</c:v>
                </c:pt>
                <c:pt idx="7">
                  <c:v>3.8378496716127461</c:v>
                </c:pt>
                <c:pt idx="8">
                  <c:v>5.015447494609468</c:v>
                </c:pt>
                <c:pt idx="9">
                  <c:v>8.575663483508114</c:v>
                </c:pt>
                <c:pt idx="10">
                  <c:v>4.1058164202260716</c:v>
                </c:pt>
                <c:pt idx="11">
                  <c:v>53.046933085501855</c:v>
                </c:pt>
                <c:pt idx="12">
                  <c:v>2.8684481272418876</c:v>
                </c:pt>
                <c:pt idx="13">
                  <c:v>3.9920809862029554</c:v>
                </c:pt>
                <c:pt idx="14">
                  <c:v>31.098401420959149</c:v>
                </c:pt>
                <c:pt idx="15">
                  <c:v>26.858330562021951</c:v>
                </c:pt>
                <c:pt idx="16">
                  <c:v>8.1910584166975422</c:v>
                </c:pt>
                <c:pt idx="17">
                  <c:v>20.034501061571124</c:v>
                </c:pt>
                <c:pt idx="18">
                  <c:v>17.743944636678201</c:v>
                </c:pt>
                <c:pt idx="19">
                  <c:v>7.6262758440198901</c:v>
                </c:pt>
                <c:pt idx="20">
                  <c:v>5.235350624399616</c:v>
                </c:pt>
                <c:pt idx="21">
                  <c:v>12.630532971996386</c:v>
                </c:pt>
                <c:pt idx="22">
                  <c:v>1.6655003498950314</c:v>
                </c:pt>
                <c:pt idx="23">
                  <c:v>8.6604823747680886</c:v>
                </c:pt>
                <c:pt idx="24">
                  <c:v>1.1228200371057513</c:v>
                </c:pt>
                <c:pt idx="25">
                  <c:v>2.6681614349775784</c:v>
                </c:pt>
              </c:numCache>
            </c:numRef>
          </c:yVal>
          <c:smooth val="0"/>
          <c:extLst>
            <c:ext xmlns:c16="http://schemas.microsoft.com/office/drawing/2014/chart" uri="{C3380CC4-5D6E-409C-BE32-E72D297353CC}">
              <c16:uniqueId val="{00000001-6582-1149-AC2D-4FCDA167F415}"/>
            </c:ext>
          </c:extLst>
        </c:ser>
        <c:dLbls>
          <c:showLegendKey val="0"/>
          <c:showVal val="0"/>
          <c:showCatName val="0"/>
          <c:showSerName val="0"/>
          <c:showPercent val="0"/>
          <c:showBubbleSize val="0"/>
        </c:dLbls>
        <c:axId val="112497408"/>
        <c:axId val="112491136"/>
      </c:scatterChart>
      <c:catAx>
        <c:axId val="112474752"/>
        <c:scaling>
          <c:orientation val="minMax"/>
        </c:scaling>
        <c:delete val="0"/>
        <c:axPos val="b"/>
        <c:title>
          <c:tx>
            <c:rich>
              <a:bodyPr/>
              <a:lstStyle/>
              <a:p>
                <a:pPr>
                  <a:defRPr/>
                </a:pPr>
                <a:r>
                  <a:rPr lang="en-US"/>
                  <a:t>Region</a:t>
                </a:r>
              </a:p>
            </c:rich>
          </c:tx>
          <c:layout>
            <c:manualLayout>
              <c:xMode val="edge"/>
              <c:yMode val="edge"/>
              <c:x val="0.43223775850983159"/>
              <c:y val="0.86313511079211613"/>
            </c:manualLayout>
          </c:layout>
          <c:overlay val="0"/>
        </c:title>
        <c:numFmt formatCode="General" sourceLinked="0"/>
        <c:majorTickMark val="out"/>
        <c:minorTickMark val="none"/>
        <c:tickLblPos val="nextTo"/>
        <c:txPr>
          <a:bodyPr rot="-5400000" vert="horz"/>
          <a:lstStyle/>
          <a:p>
            <a:pPr>
              <a:defRPr/>
            </a:pPr>
            <a:endParaRPr lang="en-US"/>
          </a:p>
        </c:txPr>
        <c:crossAx val="112489216"/>
        <c:crosses val="autoZero"/>
        <c:auto val="1"/>
        <c:lblAlgn val="ctr"/>
        <c:lblOffset val="100"/>
        <c:noMultiLvlLbl val="0"/>
      </c:catAx>
      <c:valAx>
        <c:axId val="112489216"/>
        <c:scaling>
          <c:orientation val="minMax"/>
        </c:scaling>
        <c:delete val="0"/>
        <c:axPos val="l"/>
        <c:title>
          <c:tx>
            <c:rich>
              <a:bodyPr rot="-5400000" vert="horz"/>
              <a:lstStyle/>
              <a:p>
                <a:pPr>
                  <a:defRPr sz="550"/>
                </a:pPr>
                <a:r>
                  <a:rPr lang="en-US" sz="550"/>
                  <a:t>Number of Pigs (in '000')</a:t>
                </a:r>
              </a:p>
            </c:rich>
          </c:tx>
          <c:layout>
            <c:manualLayout>
              <c:xMode val="edge"/>
              <c:yMode val="edge"/>
              <c:x val="1.3785680350787012E-2"/>
              <c:y val="0.16271908116748565"/>
            </c:manualLayout>
          </c:layout>
          <c:overlay val="0"/>
        </c:title>
        <c:numFmt formatCode="#,##0" sourceLinked="0"/>
        <c:majorTickMark val="out"/>
        <c:minorTickMark val="none"/>
        <c:tickLblPos val="nextTo"/>
        <c:txPr>
          <a:bodyPr/>
          <a:lstStyle/>
          <a:p>
            <a:pPr>
              <a:defRPr sz="550"/>
            </a:pPr>
            <a:endParaRPr lang="en-US"/>
          </a:p>
        </c:txPr>
        <c:crossAx val="112474752"/>
        <c:crosses val="autoZero"/>
        <c:crossBetween val="between"/>
      </c:valAx>
      <c:valAx>
        <c:axId val="112491136"/>
        <c:scaling>
          <c:orientation val="minMax"/>
        </c:scaling>
        <c:delete val="0"/>
        <c:axPos val="r"/>
        <c:title>
          <c:tx>
            <c:rich>
              <a:bodyPr rot="-5400000" vert="horz"/>
              <a:lstStyle/>
              <a:p>
                <a:pPr>
                  <a:defRPr sz="550"/>
                </a:pPr>
                <a:r>
                  <a:rPr lang="en-US" sz="550"/>
                  <a:t>Average Number of Pigs per Household</a:t>
                </a:r>
              </a:p>
            </c:rich>
          </c:tx>
          <c:layout>
            <c:manualLayout>
              <c:xMode val="edge"/>
              <c:yMode val="edge"/>
              <c:x val="0.94394570948901657"/>
              <c:y val="8.6028160689029159E-2"/>
            </c:manualLayout>
          </c:layout>
          <c:overlay val="0"/>
        </c:title>
        <c:numFmt formatCode="_(* #,##0_);_(* \(#,##0\);_(* &quot;-&quot;??_);_(@_)" sourceLinked="1"/>
        <c:majorTickMark val="out"/>
        <c:minorTickMark val="none"/>
        <c:tickLblPos val="nextTo"/>
        <c:txPr>
          <a:bodyPr/>
          <a:lstStyle/>
          <a:p>
            <a:pPr>
              <a:defRPr sz="500"/>
            </a:pPr>
            <a:endParaRPr lang="en-US"/>
          </a:p>
        </c:txPr>
        <c:crossAx val="112497408"/>
        <c:crosses val="max"/>
        <c:crossBetween val="midCat"/>
      </c:valAx>
      <c:valAx>
        <c:axId val="112497408"/>
        <c:scaling>
          <c:orientation val="minMax"/>
        </c:scaling>
        <c:delete val="1"/>
        <c:axPos val="b"/>
        <c:numFmt formatCode="General" sourceLinked="1"/>
        <c:majorTickMark val="out"/>
        <c:minorTickMark val="none"/>
        <c:tickLblPos val="nextTo"/>
        <c:crossAx val="112491136"/>
        <c:crosses val="autoZero"/>
        <c:crossBetween val="midCat"/>
      </c:valAx>
    </c:plotArea>
    <c:legend>
      <c:legendPos val="b"/>
      <c:layout>
        <c:manualLayout>
          <c:xMode val="edge"/>
          <c:yMode val="edge"/>
          <c:x val="0.22277566494420459"/>
          <c:y val="0.92463659200776849"/>
          <c:w val="0.50003990155436173"/>
          <c:h val="6.4639547402419201E-2"/>
        </c:manualLayout>
      </c:layout>
      <c:overlay val="0"/>
    </c:legend>
    <c:plotVisOnly val="1"/>
    <c:dispBlanksAs val="gap"/>
    <c:showDLblsOverMax val="0"/>
  </c:chart>
  <c:spPr>
    <a:ln w="9525">
      <a:solidFill>
        <a:sysClr val="windowText" lastClr="000000">
          <a:lumMod val="50000"/>
          <a:lumOff val="50000"/>
        </a:sysClr>
      </a:solidFill>
    </a:ln>
  </c:spPr>
  <c:txPr>
    <a:bodyPr/>
    <a:lstStyle/>
    <a:p>
      <a:pPr>
        <a:defRPr sz="650" b="0">
          <a:solidFill>
            <a:schemeClr val="tx1"/>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0371203599550051E-2"/>
          <c:y val="4.9740128021143276E-2"/>
          <c:w val="0.85474567075763574"/>
          <c:h val="0.70899311499106088"/>
        </c:manualLayout>
      </c:layout>
      <c:barChart>
        <c:barDir val="col"/>
        <c:grouping val="clustered"/>
        <c:varyColors val="0"/>
        <c:ser>
          <c:idx val="0"/>
          <c:order val="0"/>
          <c:invertIfNegative val="0"/>
          <c:dLbls>
            <c:spPr>
              <a:noFill/>
              <a:ln w="25384">
                <a:noFill/>
              </a:ln>
            </c:spPr>
            <c:txPr>
              <a:bodyPr rot="-5400000" vert="horz"/>
              <a:lstStyle/>
              <a:p>
                <a:pPr>
                  <a:defRPr sz="700">
                    <a:solidFill>
                      <a:schemeClr val="tx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hh_chicken_chart!$D$3:$D$28</c:f>
              <c:strCache>
                <c:ptCount val="26"/>
                <c:pt idx="0">
                  <c:v>Mwanza</c:v>
                </c:pt>
                <c:pt idx="1">
                  <c:v>Tabora</c:v>
                </c:pt>
                <c:pt idx="2">
                  <c:v>Dodoma</c:v>
                </c:pt>
                <c:pt idx="3">
                  <c:v>Mbeya</c:v>
                </c:pt>
                <c:pt idx="4">
                  <c:v>Kagera</c:v>
                </c:pt>
                <c:pt idx="5">
                  <c:v>Ruvuma</c:v>
                </c:pt>
                <c:pt idx="6">
                  <c:v>Tanga</c:v>
                </c:pt>
                <c:pt idx="7">
                  <c:v>Morogoro</c:v>
                </c:pt>
                <c:pt idx="8">
                  <c:v>Singida</c:v>
                </c:pt>
                <c:pt idx="9">
                  <c:v>Geita</c:v>
                </c:pt>
                <c:pt idx="10">
                  <c:v>Dar-es-salaam</c:v>
                </c:pt>
                <c:pt idx="11">
                  <c:v>Mtwara</c:v>
                </c:pt>
                <c:pt idx="12">
                  <c:v>Kigoma</c:v>
                </c:pt>
                <c:pt idx="13">
                  <c:v>Kilimanjaro</c:v>
                </c:pt>
                <c:pt idx="14">
                  <c:v>Songwe</c:v>
                </c:pt>
                <c:pt idx="15">
                  <c:v>Shinyanga</c:v>
                </c:pt>
                <c:pt idx="16">
                  <c:v>Iringa</c:v>
                </c:pt>
                <c:pt idx="17">
                  <c:v>Mara</c:v>
                </c:pt>
                <c:pt idx="18">
                  <c:v>Lindi</c:v>
                </c:pt>
                <c:pt idx="19">
                  <c:v>Manyara</c:v>
                </c:pt>
                <c:pt idx="20">
                  <c:v>Rukwa</c:v>
                </c:pt>
                <c:pt idx="21">
                  <c:v>Simiyu</c:v>
                </c:pt>
                <c:pt idx="22">
                  <c:v>Pwani</c:v>
                </c:pt>
                <c:pt idx="23">
                  <c:v>Arusha</c:v>
                </c:pt>
                <c:pt idx="24">
                  <c:v>Njombe</c:v>
                </c:pt>
                <c:pt idx="25">
                  <c:v>Katavi</c:v>
                </c:pt>
              </c:strCache>
            </c:strRef>
          </c:cat>
          <c:val>
            <c:numRef>
              <c:f>hh_chicken_chart!$F$3:$F$28</c:f>
              <c:numCache>
                <c:formatCode>_(* #,##0.0_);_(* \(#,##0.0\);_(* "-"??_);_(@_)</c:formatCode>
                <c:ptCount val="26"/>
                <c:pt idx="0">
                  <c:v>5.8658995116960773</c:v>
                </c:pt>
                <c:pt idx="1">
                  <c:v>5.8408189613679307</c:v>
                </c:pt>
                <c:pt idx="2">
                  <c:v>5.8227930531358476</c:v>
                </c:pt>
                <c:pt idx="3">
                  <c:v>5.6954555835958569</c:v>
                </c:pt>
                <c:pt idx="4">
                  <c:v>5.1036206593896107</c:v>
                </c:pt>
                <c:pt idx="5">
                  <c:v>5.0594996536383077</c:v>
                </c:pt>
                <c:pt idx="6">
                  <c:v>4.9677185240273083</c:v>
                </c:pt>
                <c:pt idx="7">
                  <c:v>4.6443375054030538</c:v>
                </c:pt>
                <c:pt idx="8">
                  <c:v>4.36191588035327</c:v>
                </c:pt>
                <c:pt idx="9">
                  <c:v>4.0511105280741724</c:v>
                </c:pt>
                <c:pt idx="10">
                  <c:v>3.9705130116856959</c:v>
                </c:pt>
                <c:pt idx="11">
                  <c:v>3.9084604741852007</c:v>
                </c:pt>
                <c:pt idx="12">
                  <c:v>3.7212175321304732</c:v>
                </c:pt>
                <c:pt idx="13">
                  <c:v>3.6747371143069083</c:v>
                </c:pt>
                <c:pt idx="14">
                  <c:v>3.605865875917575</c:v>
                </c:pt>
                <c:pt idx="15">
                  <c:v>3.566558070793687</c:v>
                </c:pt>
                <c:pt idx="16">
                  <c:v>3.5082569984880885</c:v>
                </c:pt>
                <c:pt idx="17">
                  <c:v>3.3700426392949701</c:v>
                </c:pt>
                <c:pt idx="18">
                  <c:v>3.0017384148148429</c:v>
                </c:pt>
                <c:pt idx="19">
                  <c:v>2.9364770768960704</c:v>
                </c:pt>
                <c:pt idx="20">
                  <c:v>2.7601346186151949</c:v>
                </c:pt>
                <c:pt idx="21">
                  <c:v>2.750838535050482</c:v>
                </c:pt>
                <c:pt idx="22">
                  <c:v>2.4605128795586202</c:v>
                </c:pt>
                <c:pt idx="23">
                  <c:v>2.3056882593767756</c:v>
                </c:pt>
                <c:pt idx="24">
                  <c:v>2.1825741374461347</c:v>
                </c:pt>
                <c:pt idx="25">
                  <c:v>0.86321450075784312</c:v>
                </c:pt>
              </c:numCache>
            </c:numRef>
          </c:val>
          <c:extLst>
            <c:ext xmlns:c16="http://schemas.microsoft.com/office/drawing/2014/chart" uri="{C3380CC4-5D6E-409C-BE32-E72D297353CC}">
              <c16:uniqueId val="{00000000-03B2-2D44-85C9-11292BB13C80}"/>
            </c:ext>
          </c:extLst>
        </c:ser>
        <c:dLbls>
          <c:showLegendKey val="0"/>
          <c:showVal val="0"/>
          <c:showCatName val="0"/>
          <c:showSerName val="0"/>
          <c:showPercent val="0"/>
          <c:showBubbleSize val="0"/>
        </c:dLbls>
        <c:gapWidth val="150"/>
        <c:axId val="112536192"/>
        <c:axId val="112542080"/>
      </c:barChart>
      <c:catAx>
        <c:axId val="112536192"/>
        <c:scaling>
          <c:orientation val="minMax"/>
        </c:scaling>
        <c:delete val="0"/>
        <c:axPos val="b"/>
        <c:numFmt formatCode="General" sourceLinked="1"/>
        <c:majorTickMark val="out"/>
        <c:minorTickMark val="none"/>
        <c:tickLblPos val="nextTo"/>
        <c:spPr>
          <a:ln w="3173">
            <a:solidFill>
              <a:srgbClr val="000000"/>
            </a:solidFill>
            <a:prstDash val="solid"/>
          </a:ln>
        </c:spPr>
        <c:txPr>
          <a:bodyPr rot="-5400000" vert="horz"/>
          <a:lstStyle/>
          <a:p>
            <a:pPr>
              <a:defRPr/>
            </a:pPr>
            <a:endParaRPr lang="en-US"/>
          </a:p>
        </c:txPr>
        <c:crossAx val="112542080"/>
        <c:crosses val="autoZero"/>
        <c:auto val="1"/>
        <c:lblAlgn val="ctr"/>
        <c:lblOffset val="100"/>
        <c:tickLblSkip val="1"/>
        <c:tickMarkSkip val="1"/>
        <c:noMultiLvlLbl val="0"/>
      </c:catAx>
      <c:valAx>
        <c:axId val="112542080"/>
        <c:scaling>
          <c:orientation val="minMax"/>
          <c:max val="6"/>
        </c:scaling>
        <c:delete val="0"/>
        <c:axPos val="l"/>
        <c:title>
          <c:tx>
            <c:rich>
              <a:bodyPr/>
              <a:lstStyle/>
              <a:p>
                <a:pPr>
                  <a:defRPr sz="800" b="0" i="0" u="none" strike="noStrike" baseline="0">
                    <a:solidFill>
                      <a:srgbClr val="000000"/>
                    </a:solidFill>
                    <a:latin typeface="Times New Roman"/>
                    <a:ea typeface="Times New Roman"/>
                    <a:cs typeface="Times New Roman"/>
                  </a:defRPr>
                </a:pPr>
                <a:r>
                  <a:rPr lang="en-US"/>
                  <a:t>Percent</a:t>
                </a:r>
              </a:p>
            </c:rich>
          </c:tx>
          <c:layout>
            <c:manualLayout>
              <c:xMode val="edge"/>
              <c:yMode val="edge"/>
              <c:x val="2.1433006993999571E-2"/>
              <c:y val="0.32648084943417349"/>
            </c:manualLayout>
          </c:layout>
          <c:overlay val="0"/>
          <c:spPr>
            <a:noFill/>
            <a:ln w="25384">
              <a:noFill/>
            </a:ln>
          </c:spPr>
        </c:title>
        <c:numFmt formatCode="General" sourceLinked="0"/>
        <c:majorTickMark val="out"/>
        <c:minorTickMark val="none"/>
        <c:tickLblPos val="nextTo"/>
        <c:spPr>
          <a:ln w="3173">
            <a:solidFill>
              <a:srgbClr val="000000"/>
            </a:solidFill>
            <a:prstDash val="solid"/>
          </a:ln>
        </c:spPr>
        <c:txPr>
          <a:bodyPr rot="0" vert="horz"/>
          <a:lstStyle/>
          <a:p>
            <a:pPr>
              <a:defRPr/>
            </a:pPr>
            <a:endParaRPr lang="en-US"/>
          </a:p>
        </c:txPr>
        <c:crossAx val="112536192"/>
        <c:crosses val="autoZero"/>
        <c:crossBetween val="between"/>
      </c:valAx>
      <c:spPr>
        <a:noFill/>
        <a:ln w="25384">
          <a:noFill/>
        </a:ln>
      </c:spPr>
    </c:plotArea>
    <c:plotVisOnly val="1"/>
    <c:dispBlanksAs val="gap"/>
    <c:showDLblsOverMax val="0"/>
  </c:chart>
  <c:spPr>
    <a:solidFill>
      <a:srgbClr val="FFFFFF"/>
    </a:solidFill>
    <a:ln w="9525">
      <a:solidFill>
        <a:sysClr val="windowText" lastClr="000000">
          <a:lumMod val="50000"/>
          <a:lumOff val="50000"/>
        </a:sysClr>
      </a:solidFill>
      <a:prstDash val="solid"/>
    </a:ln>
  </c:spPr>
  <c:txPr>
    <a:bodyPr/>
    <a:lstStyle/>
    <a:p>
      <a:pPr>
        <a:defRPr sz="800" b="0" i="0" u="none" strike="noStrike" baseline="0">
          <a:solidFill>
            <a:schemeClr val="tx1"/>
          </a:solidFill>
          <a:latin typeface="Times New Roman"/>
          <a:ea typeface="Times New Roman"/>
          <a:cs typeface="Times New Roman"/>
        </a:defRPr>
      </a:pPr>
      <a:endParaRPr lang="en-US"/>
    </a:p>
  </c:txPr>
  <c:externalData r:id="rId2">
    <c:autoUpdate val="0"/>
  </c:externalData>
</c:chartSpace>
</file>

<file path=word/charts/chart1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832037584995605"/>
          <c:y val="7.1330774757633067E-2"/>
          <c:w val="0.82861619691802024"/>
          <c:h val="0.62006801323747573"/>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vert="horz"/>
              <a:lstStyle/>
              <a:p>
                <a:pPr>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hh_chicken_chart!$D$30:$D$34</c:f>
              <c:strCache>
                <c:ptCount val="5"/>
                <c:pt idx="0">
                  <c:v>Kusini Pemba</c:v>
                </c:pt>
                <c:pt idx="1">
                  <c:v>Mjini Magharibi </c:v>
                </c:pt>
                <c:pt idx="2">
                  <c:v>Kaskazini Unguja</c:v>
                </c:pt>
                <c:pt idx="3">
                  <c:v>Kusini Unguja </c:v>
                </c:pt>
                <c:pt idx="4">
                  <c:v>Kaskazini Pemba</c:v>
                </c:pt>
              </c:strCache>
            </c:strRef>
          </c:cat>
          <c:val>
            <c:numRef>
              <c:f>hh_chicken_chart!$F$30:$F$34</c:f>
              <c:numCache>
                <c:formatCode>_(* #,##0.0_);_(* \(#,##0.0\);_(* "-"??_);_(@_)</c:formatCode>
                <c:ptCount val="5"/>
                <c:pt idx="0">
                  <c:v>36.397183154628095</c:v>
                </c:pt>
                <c:pt idx="1">
                  <c:v>22.43231414987368</c:v>
                </c:pt>
                <c:pt idx="2">
                  <c:v>20.353498179792716</c:v>
                </c:pt>
                <c:pt idx="3">
                  <c:v>10.536314627305099</c:v>
                </c:pt>
                <c:pt idx="4">
                  <c:v>10.280689888400406</c:v>
                </c:pt>
              </c:numCache>
            </c:numRef>
          </c:val>
          <c:extLst>
            <c:ext xmlns:c16="http://schemas.microsoft.com/office/drawing/2014/chart" uri="{C3380CC4-5D6E-409C-BE32-E72D297353CC}">
              <c16:uniqueId val="{00000000-ED7B-5E49-A115-10B8C13A2E0C}"/>
            </c:ext>
          </c:extLst>
        </c:ser>
        <c:dLbls>
          <c:showLegendKey val="0"/>
          <c:showVal val="0"/>
          <c:showCatName val="0"/>
          <c:showSerName val="0"/>
          <c:showPercent val="0"/>
          <c:showBubbleSize val="0"/>
        </c:dLbls>
        <c:gapWidth val="300"/>
        <c:axId val="112252416"/>
        <c:axId val="112254336"/>
      </c:barChart>
      <c:catAx>
        <c:axId val="112252416"/>
        <c:scaling>
          <c:orientation val="minMax"/>
        </c:scaling>
        <c:delete val="0"/>
        <c:axPos val="b"/>
        <c:title>
          <c:tx>
            <c:rich>
              <a:bodyPr/>
              <a:lstStyle/>
              <a:p>
                <a:pPr>
                  <a:defRPr b="0"/>
                </a:pPr>
                <a:r>
                  <a:rPr lang="en-US" b="0"/>
                  <a:t>Region</a:t>
                </a:r>
              </a:p>
            </c:rich>
          </c:tx>
          <c:layout>
            <c:manualLayout>
              <c:xMode val="edge"/>
              <c:yMode val="edge"/>
              <c:x val="0.45907926509186353"/>
              <c:y val="0.81231462505542984"/>
            </c:manualLayout>
          </c:layout>
          <c:overlay val="0"/>
          <c:spPr>
            <a:noFill/>
            <a:ln>
              <a:noFill/>
            </a:ln>
            <a:effectLst/>
          </c:spPr>
        </c:title>
        <c:numFmt formatCode="General" sourceLinked="1"/>
        <c:majorTickMark val="out"/>
        <c:minorTickMark val="none"/>
        <c:tickLblPos val="nextTo"/>
        <c:spPr>
          <a:noFill/>
          <a:ln w="6350" cap="flat" cmpd="sng" algn="ctr">
            <a:solidFill>
              <a:sysClr val="windowText" lastClr="000000"/>
            </a:solidFill>
            <a:round/>
          </a:ln>
          <a:effectLst/>
        </c:spPr>
        <c:txPr>
          <a:bodyPr rot="-60000000" vert="horz"/>
          <a:lstStyle/>
          <a:p>
            <a:pPr>
              <a:defRPr/>
            </a:pPr>
            <a:endParaRPr lang="en-US"/>
          </a:p>
        </c:txPr>
        <c:crossAx val="112254336"/>
        <c:crosses val="autoZero"/>
        <c:auto val="1"/>
        <c:lblAlgn val="ctr"/>
        <c:lblOffset val="100"/>
        <c:noMultiLvlLbl val="0"/>
      </c:catAx>
      <c:valAx>
        <c:axId val="112254336"/>
        <c:scaling>
          <c:orientation val="minMax"/>
        </c:scaling>
        <c:delete val="0"/>
        <c:axPos val="l"/>
        <c:title>
          <c:tx>
            <c:rich>
              <a:bodyPr/>
              <a:lstStyle/>
              <a:p>
                <a:pPr>
                  <a:defRPr b="0"/>
                </a:pPr>
                <a:r>
                  <a:rPr lang="en-US" b="0"/>
                  <a:t>Percent</a:t>
                </a:r>
              </a:p>
            </c:rich>
          </c:tx>
          <c:layout>
            <c:manualLayout>
              <c:xMode val="edge"/>
              <c:yMode val="edge"/>
              <c:x val="4.3088449896611647E-2"/>
              <c:y val="0.25813990642474038"/>
            </c:manualLayout>
          </c:layout>
          <c:overlay val="0"/>
          <c:spPr>
            <a:noFill/>
            <a:ln>
              <a:noFill/>
            </a:ln>
            <a:effectLst/>
          </c:spPr>
        </c:title>
        <c:numFmt formatCode="General" sourceLinked="0"/>
        <c:majorTickMark val="out"/>
        <c:minorTickMark val="none"/>
        <c:tickLblPos val="nextTo"/>
        <c:spPr>
          <a:noFill/>
          <a:ln w="6348">
            <a:solidFill>
              <a:sysClr val="windowText" lastClr="000000"/>
            </a:solidFill>
          </a:ln>
          <a:effectLst/>
        </c:spPr>
        <c:txPr>
          <a:bodyPr rot="-60000000" vert="horz"/>
          <a:lstStyle/>
          <a:p>
            <a:pPr>
              <a:defRPr/>
            </a:pPr>
            <a:endParaRPr lang="en-US"/>
          </a:p>
        </c:txPr>
        <c:crossAx val="112252416"/>
        <c:crosses val="autoZero"/>
        <c:crossBetween val="between"/>
        <c:majorUnit val="10"/>
      </c:valAx>
      <c:spPr>
        <a:noFill/>
        <a:ln w="6348">
          <a:solidFill>
            <a:sysClr val="window" lastClr="FFFFFF"/>
          </a:solidFill>
        </a:ln>
        <a:effectLst/>
      </c:spPr>
    </c:plotArea>
    <c:plotVisOnly val="1"/>
    <c:dispBlanksAs val="gap"/>
    <c:showDLblsOverMax val="0"/>
  </c:chart>
  <c:spPr>
    <a:solidFill>
      <a:schemeClr val="bg1"/>
    </a:solidFill>
    <a:ln w="9521" cap="flat" cmpd="sng" algn="ctr">
      <a:solidFill>
        <a:sysClr val="windowText" lastClr="000000">
          <a:lumMod val="50000"/>
          <a:lumOff val="50000"/>
        </a:sysClr>
      </a:solidFill>
      <a:round/>
    </a:ln>
    <a:effectLst/>
  </c:spPr>
  <c:txPr>
    <a:bodyPr/>
    <a:lstStyle/>
    <a:p>
      <a:pPr>
        <a:defRPr sz="700">
          <a:solidFill>
            <a:schemeClr val="tx1"/>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6292175167198295"/>
          <c:y val="0.14714744920063139"/>
          <c:w val="0.7303926886624611"/>
          <c:h val="0.65183822972493966"/>
        </c:manualLayout>
      </c:layout>
      <c:pie3DChart>
        <c:varyColors val="1"/>
        <c:ser>
          <c:idx val="0"/>
          <c:order val="0"/>
          <c:explosion val="13"/>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D257-294D-B60F-762EDE322FA5}"/>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D257-294D-B60F-762EDE322FA5}"/>
              </c:ext>
            </c:extLst>
          </c:dPt>
          <c:dLbls>
            <c:dLbl>
              <c:idx val="0"/>
              <c:layout>
                <c:manualLayout>
                  <c:x val="8.9670474259606878E-2"/>
                  <c:y val="-3.478898182709860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D257-294D-B60F-762EDE322FA5}"/>
                </c:ext>
              </c:extLst>
            </c:dLbl>
            <c:dLbl>
              <c:idx val="1"/>
              <c:layout>
                <c:manualLayout>
                  <c:x val="-0.13567692971899301"/>
                  <c:y val="3.4602076124567477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D257-294D-B60F-762EDE322FA5}"/>
                </c:ext>
              </c:extLst>
            </c:dLbl>
            <c:numFmt formatCode="0.0%" sourceLinked="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Sheet8!$H$70:$I$70</c:f>
              <c:strCache>
                <c:ptCount val="2"/>
                <c:pt idx="0">
                  <c:v> All land was Used </c:v>
                </c:pt>
                <c:pt idx="1">
                  <c:v> Not All Land Used </c:v>
                </c:pt>
              </c:strCache>
            </c:strRef>
          </c:cat>
          <c:val>
            <c:numRef>
              <c:f>Sheet8!$H$71:$I$71</c:f>
              <c:numCache>
                <c:formatCode>General</c:formatCode>
                <c:ptCount val="2"/>
                <c:pt idx="0">
                  <c:v>87</c:v>
                </c:pt>
                <c:pt idx="1">
                  <c:v>13</c:v>
                </c:pt>
              </c:numCache>
            </c:numRef>
          </c:val>
          <c:extLst>
            <c:ext xmlns:c16="http://schemas.microsoft.com/office/drawing/2014/chart" uri="{C3380CC4-5D6E-409C-BE32-E72D297353CC}">
              <c16:uniqueId val="{00000004-D257-294D-B60F-762EDE322FA5}"/>
            </c:ext>
          </c:extLst>
        </c:ser>
        <c:dLbls>
          <c:showLegendKey val="0"/>
          <c:showVal val="0"/>
          <c:showCatName val="1"/>
          <c:showSerName val="0"/>
          <c:showPercent val="1"/>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6350" cap="flat" cmpd="sng" algn="ctr">
      <a:solidFill>
        <a:sysClr val="windowText" lastClr="000000">
          <a:lumMod val="50000"/>
          <a:lumOff val="50000"/>
        </a:sysClr>
      </a:solidFill>
      <a:round/>
    </a:ln>
    <a:effectLst/>
  </c:spPr>
  <c:txPr>
    <a:bodyPr/>
    <a:lstStyle/>
    <a:p>
      <a:pPr>
        <a:defRPr sz="65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1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perspective val="0"/>
    </c:view3D>
    <c:floor>
      <c:thickness val="0"/>
    </c:floor>
    <c:sideWall>
      <c:thickness val="0"/>
    </c:sideWall>
    <c:backWall>
      <c:thickness val="0"/>
    </c:backWall>
    <c:plotArea>
      <c:layout>
        <c:manualLayout>
          <c:layoutTarget val="inner"/>
          <c:xMode val="edge"/>
          <c:yMode val="edge"/>
          <c:x val="0.10555555555555556"/>
          <c:y val="0.17171296296296296"/>
          <c:w val="0.75277777777777777"/>
          <c:h val="0.62458333333333338"/>
        </c:manualLayout>
      </c:layout>
      <c:pie3DChart>
        <c:varyColors val="1"/>
        <c:ser>
          <c:idx val="0"/>
          <c:order val="0"/>
          <c:dPt>
            <c:idx val="0"/>
            <c:bubble3D val="0"/>
            <c:spPr>
              <a:solidFill>
                <a:srgbClr val="FFFF00"/>
              </a:solidFill>
              <a:ln w="25414">
                <a:solidFill>
                  <a:schemeClr val="lt1"/>
                </a:solidFill>
              </a:ln>
              <a:effectLst/>
              <a:sp3d contourW="25400">
                <a:contourClr>
                  <a:schemeClr val="lt1"/>
                </a:contourClr>
              </a:sp3d>
            </c:spPr>
            <c:extLst>
              <c:ext xmlns:c16="http://schemas.microsoft.com/office/drawing/2014/chart" uri="{C3380CC4-5D6E-409C-BE32-E72D297353CC}">
                <c16:uniqueId val="{00000001-22EB-804F-A6E4-A6B9D6A0CC7A}"/>
              </c:ext>
            </c:extLst>
          </c:dPt>
          <c:dPt>
            <c:idx val="1"/>
            <c:bubble3D val="0"/>
            <c:spPr>
              <a:solidFill>
                <a:schemeClr val="accent1"/>
              </a:solidFill>
              <a:ln w="25414">
                <a:solidFill>
                  <a:schemeClr val="lt1"/>
                </a:solidFill>
              </a:ln>
              <a:effectLst/>
              <a:sp3d contourW="25400">
                <a:contourClr>
                  <a:schemeClr val="lt1"/>
                </a:contourClr>
              </a:sp3d>
            </c:spPr>
            <c:extLst>
              <c:ext xmlns:c16="http://schemas.microsoft.com/office/drawing/2014/chart" uri="{C3380CC4-5D6E-409C-BE32-E72D297353CC}">
                <c16:uniqueId val="{00000003-22EB-804F-A6E4-A6B9D6A0CC7A}"/>
              </c:ext>
            </c:extLst>
          </c:dPt>
          <c:dLbls>
            <c:dLbl>
              <c:idx val="0"/>
              <c:layout>
                <c:manualLayout>
                  <c:x val="4.9236439195100609E-2"/>
                  <c:y val="-6.7475940507436577E-2"/>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22EB-804F-A6E4-A6B9D6A0CC7A}"/>
                </c:ext>
              </c:extLst>
            </c:dLbl>
            <c:dLbl>
              <c:idx val="1"/>
              <c:layout>
                <c:manualLayout>
                  <c:x val="-7.6122381920188872E-2"/>
                  <c:y val="-4.2680324370465227E-2"/>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26215847825822391"/>
                      <c:h val="0.24857020913358938"/>
                    </c:manualLayout>
                  </c15:layout>
                </c:ext>
                <c:ext xmlns:c16="http://schemas.microsoft.com/office/drawing/2014/chart" uri="{C3380CC4-5D6E-409C-BE32-E72D297353CC}">
                  <c16:uniqueId val="{00000003-22EB-804F-A6E4-A6B9D6A0CC7A}"/>
                </c:ext>
              </c:extLst>
            </c:dLbl>
            <c:numFmt formatCode="0.0%" sourceLinked="0"/>
            <c:spPr>
              <a:noFill/>
              <a:ln>
                <a:noFill/>
              </a:ln>
              <a:effectLst/>
            </c:spPr>
            <c:txPr>
              <a:bodyPr rot="0" vert="horz"/>
              <a:lstStyle/>
              <a:p>
                <a:pPr>
                  <a:defRPr/>
                </a:pPr>
                <a:endParaRPr lang="en-US"/>
              </a:p>
            </c:txPr>
            <c:showLegendKey val="0"/>
            <c:showVal val="0"/>
            <c:showCatName val="1"/>
            <c:showSerName val="0"/>
            <c:showPercent val="1"/>
            <c:showBubbleSize val="0"/>
            <c:separator> </c:separator>
            <c:showLeaderLines val="1"/>
            <c:leaderLines>
              <c:spPr>
                <a:ln w="9530"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'tables report writing'!$K$68:$K$69</c:f>
              <c:strCache>
                <c:ptCount val="2"/>
                <c:pt idx="0">
                  <c:v>Large scale farms</c:v>
                </c:pt>
                <c:pt idx="1">
                  <c:v>Smallholder farmers</c:v>
                </c:pt>
              </c:strCache>
            </c:strRef>
          </c:cat>
          <c:val>
            <c:numRef>
              <c:f>'tables report writing'!$R$68:$R$69</c:f>
              <c:numCache>
                <c:formatCode>_(* #,##0_);_(* \(#,##0\);_(* "-"??_);_(@_)</c:formatCode>
                <c:ptCount val="2"/>
                <c:pt idx="0">
                  <c:v>12539778</c:v>
                </c:pt>
                <c:pt idx="1">
                  <c:v>75119802</c:v>
                </c:pt>
              </c:numCache>
            </c:numRef>
          </c:val>
          <c:extLst>
            <c:ext xmlns:c16="http://schemas.microsoft.com/office/drawing/2014/chart" uri="{C3380CC4-5D6E-409C-BE32-E72D297353CC}">
              <c16:uniqueId val="{00000004-22EB-804F-A6E4-A6B9D6A0CC7A}"/>
            </c:ext>
          </c:extLst>
        </c:ser>
        <c:ser>
          <c:idx val="1"/>
          <c:order val="1"/>
          <c:dPt>
            <c:idx val="0"/>
            <c:bubble3D val="0"/>
            <c:spPr>
              <a:solidFill>
                <a:schemeClr val="accent1"/>
              </a:solidFill>
              <a:ln w="25414">
                <a:solidFill>
                  <a:schemeClr val="lt1"/>
                </a:solidFill>
              </a:ln>
              <a:effectLst/>
              <a:sp3d contourW="25400">
                <a:contourClr>
                  <a:schemeClr val="lt1"/>
                </a:contourClr>
              </a:sp3d>
            </c:spPr>
            <c:extLst>
              <c:ext xmlns:c16="http://schemas.microsoft.com/office/drawing/2014/chart" uri="{C3380CC4-5D6E-409C-BE32-E72D297353CC}">
                <c16:uniqueId val="{00000006-22EB-804F-A6E4-A6B9D6A0CC7A}"/>
              </c:ext>
            </c:extLst>
          </c:dPt>
          <c:dPt>
            <c:idx val="1"/>
            <c:bubble3D val="0"/>
            <c:spPr>
              <a:solidFill>
                <a:schemeClr val="accent2"/>
              </a:solidFill>
              <a:ln w="25414">
                <a:solidFill>
                  <a:schemeClr val="lt1"/>
                </a:solidFill>
              </a:ln>
              <a:effectLst/>
              <a:sp3d contourW="25400">
                <a:contourClr>
                  <a:schemeClr val="lt1"/>
                </a:contourClr>
              </a:sp3d>
            </c:spPr>
            <c:extLst>
              <c:ext xmlns:c16="http://schemas.microsoft.com/office/drawing/2014/chart" uri="{C3380CC4-5D6E-409C-BE32-E72D297353CC}">
                <c16:uniqueId val="{00000008-22EB-804F-A6E4-A6B9D6A0CC7A}"/>
              </c:ext>
            </c:extLst>
          </c:dPt>
          <c:cat>
            <c:strRef>
              <c:f>'tables report writing'!$K$68:$K$69</c:f>
              <c:strCache>
                <c:ptCount val="2"/>
                <c:pt idx="0">
                  <c:v>Large scale farms</c:v>
                </c:pt>
                <c:pt idx="1">
                  <c:v>Smallholder farmers</c:v>
                </c:pt>
              </c:strCache>
            </c:strRef>
          </c:cat>
          <c:val>
            <c:numRef>
              <c:f>'tables report writing'!$R$68:$R$69</c:f>
              <c:numCache>
                <c:formatCode>_(* #,##0_);_(* \(#,##0\);_(* "-"??_);_(@_)</c:formatCode>
                <c:ptCount val="2"/>
                <c:pt idx="0">
                  <c:v>12539778</c:v>
                </c:pt>
                <c:pt idx="1">
                  <c:v>75119802</c:v>
                </c:pt>
              </c:numCache>
            </c:numRef>
          </c:val>
          <c:extLst>
            <c:ext xmlns:c16="http://schemas.microsoft.com/office/drawing/2014/chart" uri="{C3380CC4-5D6E-409C-BE32-E72D297353CC}">
              <c16:uniqueId val="{00000009-22EB-804F-A6E4-A6B9D6A0CC7A}"/>
            </c:ext>
          </c:extLst>
        </c:ser>
        <c:dLbls>
          <c:showLegendKey val="0"/>
          <c:showVal val="0"/>
          <c:showCatName val="0"/>
          <c:showSerName val="0"/>
          <c:showPercent val="0"/>
          <c:showBubbleSize val="0"/>
          <c:showLeaderLines val="1"/>
        </c:dLbls>
      </c:pie3DChart>
      <c:spPr>
        <a:noFill/>
        <a:ln w="25414">
          <a:noFill/>
        </a:ln>
      </c:spPr>
    </c:plotArea>
    <c:plotVisOnly val="1"/>
    <c:dispBlanksAs val="gap"/>
    <c:showDLblsOverMax val="0"/>
  </c:chart>
  <c:spPr>
    <a:solidFill>
      <a:schemeClr val="bg1"/>
    </a:solidFill>
    <a:ln w="9530" cap="flat" cmpd="sng" algn="ctr">
      <a:solidFill>
        <a:sysClr val="windowText" lastClr="000000">
          <a:lumMod val="50000"/>
          <a:lumOff val="50000"/>
        </a:sysClr>
      </a:solidFill>
      <a:round/>
    </a:ln>
    <a:effectLst/>
  </c:spPr>
  <c:txPr>
    <a:bodyPr/>
    <a:lstStyle/>
    <a:p>
      <a:pPr>
        <a:defRPr sz="750">
          <a:solidFill>
            <a:schemeClr val="tx1"/>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522456889150538"/>
          <c:y val="0.138209173667418"/>
          <c:w val="0.76666666666666672"/>
          <c:h val="0.72685185185185175"/>
        </c:manualLayout>
      </c:layout>
      <c:pie3DChart>
        <c:varyColors val="1"/>
        <c:ser>
          <c:idx val="0"/>
          <c:order val="0"/>
          <c:spPr>
            <a:solidFill>
              <a:srgbClr val="70AD47"/>
            </a:solidFill>
          </c:spPr>
          <c:dPt>
            <c:idx val="0"/>
            <c:bubble3D val="0"/>
            <c:spPr>
              <a:solidFill>
                <a:srgbClr val="70AD47"/>
              </a:solidFill>
              <a:ln w="25400">
                <a:solidFill>
                  <a:schemeClr val="lt1"/>
                </a:solidFill>
              </a:ln>
              <a:effectLst/>
              <a:sp3d contourW="25400">
                <a:contourClr>
                  <a:schemeClr val="lt1"/>
                </a:contourClr>
              </a:sp3d>
            </c:spPr>
            <c:extLst>
              <c:ext xmlns:c16="http://schemas.microsoft.com/office/drawing/2014/chart" uri="{C3380CC4-5D6E-409C-BE32-E72D297353CC}">
                <c16:uniqueId val="{00000001-2819-864E-8EF4-1E66397A7CC4}"/>
              </c:ext>
            </c:extLst>
          </c:dPt>
          <c:dPt>
            <c:idx val="1"/>
            <c:bubble3D val="0"/>
            <c:spPr>
              <a:solidFill>
                <a:srgbClr val="4472C4"/>
              </a:solidFill>
              <a:ln w="25400">
                <a:solidFill>
                  <a:schemeClr val="lt1"/>
                </a:solidFill>
              </a:ln>
              <a:effectLst/>
              <a:sp3d contourW="25400">
                <a:contourClr>
                  <a:schemeClr val="lt1"/>
                </a:contourClr>
              </a:sp3d>
            </c:spPr>
            <c:extLst>
              <c:ext xmlns:c16="http://schemas.microsoft.com/office/drawing/2014/chart" uri="{C3380CC4-5D6E-409C-BE32-E72D297353CC}">
                <c16:uniqueId val="{00000003-2819-864E-8EF4-1E66397A7CC4}"/>
              </c:ext>
            </c:extLst>
          </c:dPt>
          <c:dPt>
            <c:idx val="2"/>
            <c:bubble3D val="0"/>
            <c:spPr>
              <a:solidFill>
                <a:srgbClr val="FFFF00"/>
              </a:solidFill>
              <a:ln w="25400">
                <a:solidFill>
                  <a:schemeClr val="lt1"/>
                </a:solidFill>
              </a:ln>
              <a:effectLst/>
              <a:sp3d contourW="25400">
                <a:contourClr>
                  <a:schemeClr val="lt1"/>
                </a:contourClr>
              </a:sp3d>
            </c:spPr>
            <c:extLst>
              <c:ext xmlns:c16="http://schemas.microsoft.com/office/drawing/2014/chart" uri="{C3380CC4-5D6E-409C-BE32-E72D297353CC}">
                <c16:uniqueId val="{00000005-2819-864E-8EF4-1E66397A7CC4}"/>
              </c:ext>
            </c:extLst>
          </c:dPt>
          <c:dLbls>
            <c:dLbl>
              <c:idx val="0"/>
              <c:layout>
                <c:manualLayout>
                  <c:x val="-0.03"/>
                  <c:y val="-0.18620495858092087"/>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2819-864E-8EF4-1E66397A7CC4}"/>
                </c:ext>
              </c:extLst>
            </c:dLbl>
            <c:dLbl>
              <c:idx val="1"/>
              <c:layout>
                <c:manualLayout>
                  <c:x val="4.183776093408885E-3"/>
                  <c:y val="0.22103562333518709"/>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2819-864E-8EF4-1E66397A7CC4}"/>
                </c:ext>
              </c:extLst>
            </c:dLbl>
            <c:dLbl>
              <c:idx val="2"/>
              <c:layout>
                <c:manualLayout>
                  <c:x val="-0.21994235533642406"/>
                  <c:y val="5.3843827142425037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2819-864E-8EF4-1E66397A7CC4}"/>
                </c:ext>
              </c:extLst>
            </c:dLbl>
            <c:numFmt formatCode="0.0%" sourceLinked="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'[Chart in Microsoft Word]Sheet1'!$B$1:$D$1</c:f>
              <c:strCache>
                <c:ptCount val="3"/>
                <c:pt idx="0">
                  <c:v>Indigenous</c:v>
                </c:pt>
                <c:pt idx="1">
                  <c:v>Layers</c:v>
                </c:pt>
                <c:pt idx="2">
                  <c:v>Broilers</c:v>
                </c:pt>
              </c:strCache>
            </c:strRef>
          </c:cat>
          <c:val>
            <c:numRef>
              <c:f>'[Chart in Microsoft Word]Sheet1'!$B$3:$D$3</c:f>
              <c:numCache>
                <c:formatCode>_(* #,##0_);_(* \(#,##0\);_(* "-"??_);_(@_)</c:formatCode>
                <c:ptCount val="3"/>
                <c:pt idx="0">
                  <c:v>1508540</c:v>
                </c:pt>
                <c:pt idx="1">
                  <c:v>2116994</c:v>
                </c:pt>
                <c:pt idx="2">
                  <c:v>79971</c:v>
                </c:pt>
              </c:numCache>
            </c:numRef>
          </c:val>
          <c:extLst>
            <c:ext xmlns:c16="http://schemas.microsoft.com/office/drawing/2014/chart" uri="{C3380CC4-5D6E-409C-BE32-E72D297353CC}">
              <c16:uniqueId val="{00000006-2819-864E-8EF4-1E66397A7CC4}"/>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1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7971835251362811"/>
          <c:y val="0.21339707536557934"/>
          <c:w val="0.70561088517781434"/>
          <c:h val="0.67299982239062239"/>
        </c:manualLayout>
      </c:layout>
      <c:pie3DChart>
        <c:varyColors val="1"/>
        <c:ser>
          <c:idx val="0"/>
          <c:order val="0"/>
          <c:dPt>
            <c:idx val="0"/>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1-9054-EB42-B4A3-AE6E45FDBA46}"/>
              </c:ext>
            </c:extLst>
          </c:dPt>
          <c:dPt>
            <c:idx val="1"/>
            <c:bubble3D val="0"/>
            <c:spPr>
              <a:solidFill>
                <a:srgbClr val="FFFF00"/>
              </a:solidFill>
              <a:ln w="25400">
                <a:solidFill>
                  <a:schemeClr val="lt1"/>
                </a:solidFill>
              </a:ln>
              <a:effectLst/>
              <a:sp3d contourW="25400">
                <a:contourClr>
                  <a:schemeClr val="lt1"/>
                </a:contourClr>
              </a:sp3d>
            </c:spPr>
            <c:extLst>
              <c:ext xmlns:c16="http://schemas.microsoft.com/office/drawing/2014/chart" uri="{C3380CC4-5D6E-409C-BE32-E72D297353CC}">
                <c16:uniqueId val="{00000003-9054-EB42-B4A3-AE6E45FDBA46}"/>
              </c:ext>
            </c:extLst>
          </c:dPt>
          <c:dPt>
            <c:idx val="2"/>
            <c:bubble3D val="0"/>
            <c:spPr>
              <a:solidFill>
                <a:schemeClr val="tx1"/>
              </a:solidFill>
              <a:ln w="25400">
                <a:solidFill>
                  <a:schemeClr val="lt1"/>
                </a:solidFill>
              </a:ln>
              <a:effectLst/>
              <a:sp3d contourW="25400">
                <a:contourClr>
                  <a:schemeClr val="lt1"/>
                </a:contourClr>
              </a:sp3d>
            </c:spPr>
            <c:extLst>
              <c:ext xmlns:c16="http://schemas.microsoft.com/office/drawing/2014/chart" uri="{C3380CC4-5D6E-409C-BE32-E72D297353CC}">
                <c16:uniqueId val="{00000005-9054-EB42-B4A3-AE6E45FDBA46}"/>
              </c:ext>
            </c:extLst>
          </c:dPt>
          <c:dLbls>
            <c:dLbl>
              <c:idx val="0"/>
              <c:layout>
                <c:manualLayout>
                  <c:x val="2.1845800524934383E-2"/>
                  <c:y val="0.16636191309419665"/>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9054-EB42-B4A3-AE6E45FDBA46}"/>
                </c:ext>
              </c:extLst>
            </c:dLbl>
            <c:dLbl>
              <c:idx val="1"/>
              <c:layout>
                <c:manualLayout>
                  <c:x val="-2.1938210848643919E-2"/>
                  <c:y val="0.1064133129192184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9054-EB42-B4A3-AE6E45FDBA46}"/>
                </c:ext>
              </c:extLst>
            </c:dLbl>
            <c:dLbl>
              <c:idx val="2"/>
              <c:layout>
                <c:manualLayout>
                  <c:x val="-2.8745078740157481E-2"/>
                  <c:y val="-3.1036745406824145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9054-EB42-B4A3-AE6E45FDBA46}"/>
                </c:ext>
              </c:extLst>
            </c:dLbl>
            <c:numFmt formatCode="0.0%" sourceLinked="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'[Chart in Microsoft Word]Sheet1'!$B$1:$D$1</c:f>
              <c:strCache>
                <c:ptCount val="3"/>
                <c:pt idx="0">
                  <c:v>Indigenous</c:v>
                </c:pt>
                <c:pt idx="1">
                  <c:v>Layers</c:v>
                </c:pt>
                <c:pt idx="2">
                  <c:v>Broilers</c:v>
                </c:pt>
              </c:strCache>
            </c:strRef>
          </c:cat>
          <c:val>
            <c:numRef>
              <c:f>'[Chart in Microsoft Word]Sheet1'!$B$2:$D$2</c:f>
              <c:numCache>
                <c:formatCode>_(* #,##0_);_(* \(#,##0\);_(* "-"??_);_(@_)</c:formatCode>
                <c:ptCount val="3"/>
                <c:pt idx="0">
                  <c:v>42212121</c:v>
                </c:pt>
                <c:pt idx="1">
                  <c:v>16432644</c:v>
                </c:pt>
                <c:pt idx="2">
                  <c:v>12769532</c:v>
                </c:pt>
              </c:numCache>
            </c:numRef>
          </c:val>
          <c:extLst>
            <c:ext xmlns:c16="http://schemas.microsoft.com/office/drawing/2014/chart" uri="{C3380CC4-5D6E-409C-BE32-E72D297353CC}">
              <c16:uniqueId val="{00000006-9054-EB42-B4A3-AE6E45FDBA46}"/>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1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0.14862570013799822"/>
          <c:y val="0.20535714285714285"/>
          <c:w val="0.80154693292204449"/>
          <c:h val="0.56101190476190477"/>
        </c:manualLayout>
      </c:layout>
      <c:pie3DChart>
        <c:varyColors val="1"/>
        <c:ser>
          <c:idx val="0"/>
          <c:order val="0"/>
          <c:dPt>
            <c:idx val="0"/>
            <c:bubble3D val="0"/>
            <c:spPr>
              <a:solidFill>
                <a:srgbClr val="4472C4">
                  <a:lumMod val="40000"/>
                  <a:lumOff val="60000"/>
                </a:srgbClr>
              </a:solidFill>
            </c:spPr>
            <c:extLst>
              <c:ext xmlns:c16="http://schemas.microsoft.com/office/drawing/2014/chart" uri="{C3380CC4-5D6E-409C-BE32-E72D297353CC}">
                <c16:uniqueId val="{00000001-B7B8-FB4B-B490-7813F738B17A}"/>
              </c:ext>
            </c:extLst>
          </c:dPt>
          <c:dPt>
            <c:idx val="1"/>
            <c:bubble3D val="0"/>
            <c:spPr>
              <a:solidFill>
                <a:srgbClr val="00B050"/>
              </a:solidFill>
            </c:spPr>
            <c:extLst>
              <c:ext xmlns:c16="http://schemas.microsoft.com/office/drawing/2014/chart" uri="{C3380CC4-5D6E-409C-BE32-E72D297353CC}">
                <c16:uniqueId val="{00000003-B7B8-FB4B-B490-7813F738B17A}"/>
              </c:ext>
            </c:extLst>
          </c:dPt>
          <c:dLbls>
            <c:dLbl>
              <c:idx val="0"/>
              <c:layout>
                <c:manualLayout>
                  <c:x val="0.26109937035072689"/>
                  <c:y val="2.6232474709505533E-2"/>
                </c:manualLayout>
              </c:layout>
              <c:numFmt formatCode="0.0%" sourceLinked="0"/>
              <c:spPr>
                <a:noFill/>
                <a:ln w="25376">
                  <a:noFill/>
                </a:ln>
              </c:spPr>
              <c:txPr>
                <a:bodyPr/>
                <a:lstStyle/>
                <a:p>
                  <a:pPr>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B7B8-FB4B-B490-7813F738B17A}"/>
                </c:ext>
              </c:extLst>
            </c:dLbl>
            <c:dLbl>
              <c:idx val="1"/>
              <c:layout>
                <c:manualLayout>
                  <c:x val="-0.27547944460310336"/>
                  <c:y val="1.1345441116342869E-2"/>
                </c:manualLayout>
              </c:layout>
              <c:numFmt formatCode="0.0%" sourceLinked="0"/>
              <c:spPr>
                <a:noFill/>
                <a:ln w="25376">
                  <a:noFill/>
                </a:ln>
              </c:spPr>
              <c:txPr>
                <a:bodyPr/>
                <a:lstStyle/>
                <a:p>
                  <a:pPr>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B7B8-FB4B-B490-7813F738B17A}"/>
                </c:ext>
              </c:extLst>
            </c:dLbl>
            <c:numFmt formatCode="0.0%" sourceLinked="0"/>
            <c:spPr>
              <a:noFill/>
              <a:ln w="25376">
                <a:noFill/>
              </a:ln>
            </c:spPr>
            <c:showLegendKey val="0"/>
            <c:showVal val="0"/>
            <c:showCatName val="1"/>
            <c:showSerName val="0"/>
            <c:showPercent val="1"/>
            <c:showBubbleSize val="0"/>
            <c:separator> </c:separator>
            <c:showLeaderLines val="1"/>
            <c:extLst>
              <c:ext xmlns:c15="http://schemas.microsoft.com/office/drawing/2012/chart" uri="{CE6537A1-D6FC-4f65-9D91-7224C49458BB}"/>
            </c:extLst>
          </c:dLbls>
          <c:cat>
            <c:strRef>
              <c:f>'improved chicken'!$D$89:$D$90</c:f>
              <c:strCache>
                <c:ptCount val="2"/>
                <c:pt idx="0">
                  <c:v>Layers</c:v>
                </c:pt>
                <c:pt idx="1">
                  <c:v>Broilers</c:v>
                </c:pt>
              </c:strCache>
            </c:strRef>
          </c:cat>
          <c:val>
            <c:numRef>
              <c:f>'improved chicken'!$E$89:$E$90</c:f>
              <c:numCache>
                <c:formatCode>_(* #,##0_);_(* \(#,##0\);_(* "-"??_);_(@_)</c:formatCode>
                <c:ptCount val="2"/>
                <c:pt idx="0">
                  <c:v>2116944</c:v>
                </c:pt>
                <c:pt idx="1">
                  <c:v>79971</c:v>
                </c:pt>
              </c:numCache>
            </c:numRef>
          </c:val>
          <c:extLst>
            <c:ext xmlns:c16="http://schemas.microsoft.com/office/drawing/2014/chart" uri="{C3380CC4-5D6E-409C-BE32-E72D297353CC}">
              <c16:uniqueId val="{00000004-B7B8-FB4B-B490-7813F738B17A}"/>
            </c:ext>
          </c:extLst>
        </c:ser>
        <c:dLbls>
          <c:showLegendKey val="0"/>
          <c:showVal val="0"/>
          <c:showCatName val="0"/>
          <c:showSerName val="0"/>
          <c:showPercent val="0"/>
          <c:showBubbleSize val="0"/>
          <c:showLeaderLines val="1"/>
        </c:dLbls>
      </c:pie3DChart>
      <c:spPr>
        <a:noFill/>
        <a:ln w="25376">
          <a:noFill/>
        </a:ln>
      </c:spPr>
    </c:plotArea>
    <c:plotVisOnly val="1"/>
    <c:dispBlanksAs val="zero"/>
    <c:showDLblsOverMax val="0"/>
  </c:chart>
  <c:spPr>
    <a:solidFill>
      <a:srgbClr val="FFFFFF"/>
    </a:solidFill>
    <a:ln w="3172">
      <a:solidFill>
        <a:srgbClr val="000000"/>
      </a:solidFill>
      <a:prstDash val="solid"/>
    </a:ln>
  </c:spPr>
  <c:txPr>
    <a:bodyPr/>
    <a:lstStyle/>
    <a:p>
      <a:pPr>
        <a:defRPr sz="799" b="0" i="0" u="none" strike="noStrike" baseline="0">
          <a:solidFill>
            <a:srgbClr val="000000"/>
          </a:solidFill>
          <a:latin typeface="Times New Roman" panose="02020603050405020304" pitchFamily="18" charset="0"/>
          <a:ea typeface="Arial"/>
          <a:cs typeface="Times New Roman" panose="02020603050405020304" pitchFamily="18" charset="0"/>
        </a:defRPr>
      </a:pPr>
      <a:endParaRPr lang="en-US"/>
    </a:p>
  </c:txPr>
  <c:externalData r:id="rId2">
    <c:autoUpdate val="0"/>
  </c:externalData>
</c:chartSpace>
</file>

<file path=word/charts/chart1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0.14862570013799822"/>
          <c:y val="0.20535714285714285"/>
          <c:w val="0.80154693292204449"/>
          <c:h val="0.56101190476190477"/>
        </c:manualLayout>
      </c:layout>
      <c:pie3DChart>
        <c:varyColors val="1"/>
        <c:ser>
          <c:idx val="0"/>
          <c:order val="0"/>
          <c:dPt>
            <c:idx val="0"/>
            <c:bubble3D val="0"/>
            <c:extLst>
              <c:ext xmlns:c16="http://schemas.microsoft.com/office/drawing/2014/chart" uri="{C3380CC4-5D6E-409C-BE32-E72D297353CC}">
                <c16:uniqueId val="{00000000-97A4-D74A-B210-13A0E01E257A}"/>
              </c:ext>
            </c:extLst>
          </c:dPt>
          <c:dPt>
            <c:idx val="1"/>
            <c:bubble3D val="0"/>
            <c:extLst>
              <c:ext xmlns:c16="http://schemas.microsoft.com/office/drawing/2014/chart" uri="{C3380CC4-5D6E-409C-BE32-E72D297353CC}">
                <c16:uniqueId val="{00000001-97A4-D74A-B210-13A0E01E257A}"/>
              </c:ext>
            </c:extLst>
          </c:dPt>
          <c:dLbls>
            <c:dLbl>
              <c:idx val="0"/>
              <c:layout>
                <c:manualLayout>
                  <c:x val="-2.6338514680483593E-2"/>
                  <c:y val="0.27895962753399545"/>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0-97A4-D74A-B210-13A0E01E257A}"/>
                </c:ext>
              </c:extLst>
            </c:dLbl>
            <c:dLbl>
              <c:idx val="1"/>
              <c:layout>
                <c:manualLayout>
                  <c:x val="2.8065630397236616E-2"/>
                  <c:y val="-0.1870486289716298"/>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97A4-D74A-B210-13A0E01E257A}"/>
                </c:ext>
              </c:extLst>
            </c:dLbl>
            <c:numFmt formatCode="0.0%" sourceLinked="0"/>
            <c:spPr>
              <a:noFill/>
              <a:ln w="25376">
                <a:noFill/>
              </a:ln>
            </c:spPr>
            <c:showLegendKey val="0"/>
            <c:showVal val="0"/>
            <c:showCatName val="1"/>
            <c:showSerName val="0"/>
            <c:showPercent val="1"/>
            <c:showBubbleSize val="0"/>
            <c:separator> </c:separator>
            <c:showLeaderLines val="1"/>
            <c:extLst>
              <c:ext xmlns:c15="http://schemas.microsoft.com/office/drawing/2012/chart" uri="{CE6537A1-D6FC-4f65-9D91-7224C49458BB}"/>
            </c:extLst>
          </c:dLbls>
          <c:cat>
            <c:strRef>
              <c:f>'improved chicken'!$D$74:$D$75</c:f>
              <c:strCache>
                <c:ptCount val="2"/>
                <c:pt idx="0">
                  <c:v>Layers</c:v>
                </c:pt>
                <c:pt idx="1">
                  <c:v>Broilers</c:v>
                </c:pt>
              </c:strCache>
            </c:strRef>
          </c:cat>
          <c:val>
            <c:numRef>
              <c:f>'improved chicken'!$E$74:$E$75</c:f>
              <c:numCache>
                <c:formatCode>_(* #,##0_);_(* \(#,##0\);_(* "-"??_);_(@_)</c:formatCode>
                <c:ptCount val="2"/>
                <c:pt idx="0">
                  <c:v>16432644</c:v>
                </c:pt>
                <c:pt idx="1">
                  <c:v>12769532</c:v>
                </c:pt>
              </c:numCache>
            </c:numRef>
          </c:val>
          <c:extLst>
            <c:ext xmlns:c16="http://schemas.microsoft.com/office/drawing/2014/chart" uri="{C3380CC4-5D6E-409C-BE32-E72D297353CC}">
              <c16:uniqueId val="{00000002-97A4-D74A-B210-13A0E01E257A}"/>
            </c:ext>
          </c:extLst>
        </c:ser>
        <c:dLbls>
          <c:showLegendKey val="0"/>
          <c:showVal val="0"/>
          <c:showCatName val="0"/>
          <c:showSerName val="0"/>
          <c:showPercent val="0"/>
          <c:showBubbleSize val="0"/>
          <c:showLeaderLines val="1"/>
        </c:dLbls>
      </c:pie3DChart>
      <c:spPr>
        <a:noFill/>
        <a:ln w="25376">
          <a:noFill/>
        </a:ln>
      </c:spPr>
    </c:plotArea>
    <c:plotVisOnly val="1"/>
    <c:dispBlanksAs val="zero"/>
    <c:showDLblsOverMax val="0"/>
  </c:chart>
  <c:spPr>
    <a:solidFill>
      <a:srgbClr val="FFFFFF"/>
    </a:solidFill>
    <a:ln w="3172">
      <a:solidFill>
        <a:srgbClr val="000000"/>
      </a:solidFill>
      <a:prstDash val="solid"/>
    </a:ln>
  </c:spPr>
  <c:txPr>
    <a:bodyPr/>
    <a:lstStyle/>
    <a:p>
      <a:pPr>
        <a:defRPr sz="799" b="0" i="0" u="none" strike="noStrike" baseline="0">
          <a:solidFill>
            <a:srgbClr val="000000"/>
          </a:solidFill>
          <a:latin typeface="Times New Roman" panose="02020603050405020304" pitchFamily="18" charset="0"/>
          <a:ea typeface="Arial"/>
          <a:cs typeface="Times New Roman" panose="02020603050405020304" pitchFamily="18" charset="0"/>
        </a:defRPr>
      </a:pPr>
      <a:endParaRPr lang="en-US"/>
    </a:p>
  </c:txPr>
  <c:externalData r:id="rId2">
    <c:autoUpdate val="0"/>
  </c:externalData>
</c:chartSpace>
</file>

<file path=word/charts/chart1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Sheet1!$B$4</c:f>
              <c:strCache>
                <c:ptCount val="1"/>
                <c:pt idx="0">
                  <c:v>Layers</c:v>
                </c:pt>
              </c:strCache>
            </c:strRef>
          </c:tx>
          <c:spPr>
            <a:ln w="28592" cap="rnd">
              <a:solidFill>
                <a:schemeClr val="accent1"/>
              </a:solidFill>
              <a:round/>
            </a:ln>
            <a:effectLst/>
          </c:spPr>
          <c:marker>
            <c:symbol val="circle"/>
            <c:size val="5"/>
            <c:spPr>
              <a:solidFill>
                <a:schemeClr val="accent1"/>
              </a:solidFill>
              <a:ln w="9531">
                <a:solidFill>
                  <a:schemeClr val="accent1"/>
                </a:solidFill>
              </a:ln>
              <a:effectLst/>
            </c:spPr>
          </c:marker>
          <c:cat>
            <c:strRef>
              <c:f>Sheet1!$A$5:$A$7</c:f>
              <c:strCache>
                <c:ptCount val="3"/>
                <c:pt idx="0">
                  <c:v>2002/03</c:v>
                </c:pt>
                <c:pt idx="1">
                  <c:v>2007/08</c:v>
                </c:pt>
                <c:pt idx="2">
                  <c:v>2019/20</c:v>
                </c:pt>
              </c:strCache>
            </c:strRef>
          </c:cat>
          <c:val>
            <c:numRef>
              <c:f>Sheet1!$B$5:$B$7</c:f>
              <c:numCache>
                <c:formatCode>0.0</c:formatCode>
                <c:ptCount val="3"/>
                <c:pt idx="0">
                  <c:v>5.8348241040171427</c:v>
                </c:pt>
                <c:pt idx="1">
                  <c:v>6.0429893805443236</c:v>
                </c:pt>
                <c:pt idx="2">
                  <c:v>88.122186515438543</c:v>
                </c:pt>
              </c:numCache>
            </c:numRef>
          </c:val>
          <c:smooth val="0"/>
          <c:extLst>
            <c:ext xmlns:c16="http://schemas.microsoft.com/office/drawing/2014/chart" uri="{C3380CC4-5D6E-409C-BE32-E72D297353CC}">
              <c16:uniqueId val="{00000000-C17C-7341-845B-6D2877FFF617}"/>
            </c:ext>
          </c:extLst>
        </c:ser>
        <c:ser>
          <c:idx val="1"/>
          <c:order val="1"/>
          <c:tx>
            <c:strRef>
              <c:f>Sheet1!$C$4</c:f>
              <c:strCache>
                <c:ptCount val="1"/>
                <c:pt idx="0">
                  <c:v>Broilers</c:v>
                </c:pt>
              </c:strCache>
            </c:strRef>
          </c:tx>
          <c:spPr>
            <a:ln w="28592" cap="rnd">
              <a:solidFill>
                <a:schemeClr val="accent2"/>
              </a:solidFill>
              <a:round/>
            </a:ln>
            <a:effectLst/>
          </c:spPr>
          <c:marker>
            <c:symbol val="circle"/>
            <c:size val="5"/>
            <c:spPr>
              <a:solidFill>
                <a:schemeClr val="accent2"/>
              </a:solidFill>
              <a:ln w="9531">
                <a:solidFill>
                  <a:schemeClr val="accent2"/>
                </a:solidFill>
              </a:ln>
              <a:effectLst/>
            </c:spPr>
          </c:marker>
          <c:cat>
            <c:strRef>
              <c:f>Sheet1!$A$5:$A$7</c:f>
              <c:strCache>
                <c:ptCount val="3"/>
                <c:pt idx="0">
                  <c:v>2002/03</c:v>
                </c:pt>
                <c:pt idx="1">
                  <c:v>2007/08</c:v>
                </c:pt>
                <c:pt idx="2">
                  <c:v>2019/20</c:v>
                </c:pt>
              </c:strCache>
            </c:strRef>
          </c:cat>
          <c:val>
            <c:numRef>
              <c:f>Sheet1!$C$5:$C$7</c:f>
              <c:numCache>
                <c:formatCode>0.0</c:formatCode>
                <c:ptCount val="3"/>
                <c:pt idx="0">
                  <c:v>4.2283425312966108</c:v>
                </c:pt>
                <c:pt idx="1">
                  <c:v>4.18864554232219</c:v>
                </c:pt>
                <c:pt idx="2">
                  <c:v>91.583011926381204</c:v>
                </c:pt>
              </c:numCache>
            </c:numRef>
          </c:val>
          <c:smooth val="0"/>
          <c:extLst>
            <c:ext xmlns:c16="http://schemas.microsoft.com/office/drawing/2014/chart" uri="{C3380CC4-5D6E-409C-BE32-E72D297353CC}">
              <c16:uniqueId val="{00000001-C17C-7341-845B-6D2877FFF617}"/>
            </c:ext>
          </c:extLst>
        </c:ser>
        <c:dLbls>
          <c:showLegendKey val="0"/>
          <c:showVal val="0"/>
          <c:showCatName val="0"/>
          <c:showSerName val="0"/>
          <c:showPercent val="0"/>
          <c:showBubbleSize val="0"/>
        </c:dLbls>
        <c:marker val="1"/>
        <c:smooth val="0"/>
        <c:axId val="111043712"/>
        <c:axId val="111046016"/>
      </c:lineChart>
      <c:catAx>
        <c:axId val="111043712"/>
        <c:scaling>
          <c:orientation val="minMax"/>
        </c:scaling>
        <c:delete val="0"/>
        <c:axPos val="b"/>
        <c:title>
          <c:tx>
            <c:rich>
              <a:bodyPr/>
              <a:lstStyle/>
              <a:p>
                <a:pPr>
                  <a:defRPr/>
                </a:pPr>
                <a:r>
                  <a:rPr lang="en-US"/>
                  <a:t>Agriculture Censuses</a:t>
                </a:r>
              </a:p>
            </c:rich>
          </c:tx>
          <c:layout>
            <c:manualLayout>
              <c:xMode val="edge"/>
              <c:yMode val="edge"/>
              <c:x val="0.44199330594890723"/>
              <c:y val="0.83899051637882283"/>
            </c:manualLayout>
          </c:layout>
          <c:overlay val="0"/>
          <c:spPr>
            <a:noFill/>
            <a:ln>
              <a:noFill/>
            </a:ln>
            <a:effectLst/>
          </c:spPr>
        </c:title>
        <c:numFmt formatCode="General" sourceLinked="1"/>
        <c:majorTickMark val="out"/>
        <c:minorTickMark val="none"/>
        <c:tickLblPos val="nextTo"/>
        <c:spPr>
          <a:noFill/>
          <a:ln w="9531" cap="flat" cmpd="sng" algn="ctr">
            <a:solidFill>
              <a:sysClr val="windowText" lastClr="000000">
                <a:lumMod val="50000"/>
                <a:lumOff val="50000"/>
              </a:sysClr>
            </a:solidFill>
            <a:round/>
          </a:ln>
          <a:effectLst/>
        </c:spPr>
        <c:txPr>
          <a:bodyPr rot="-60000000" vert="horz"/>
          <a:lstStyle/>
          <a:p>
            <a:pPr>
              <a:defRPr/>
            </a:pPr>
            <a:endParaRPr lang="en-US"/>
          </a:p>
        </c:txPr>
        <c:crossAx val="111046016"/>
        <c:crosses val="autoZero"/>
        <c:auto val="1"/>
        <c:lblAlgn val="ctr"/>
        <c:lblOffset val="100"/>
        <c:noMultiLvlLbl val="0"/>
      </c:catAx>
      <c:valAx>
        <c:axId val="111046016"/>
        <c:scaling>
          <c:orientation val="minMax"/>
        </c:scaling>
        <c:delete val="0"/>
        <c:axPos val="l"/>
        <c:title>
          <c:tx>
            <c:rich>
              <a:bodyPr/>
              <a:lstStyle/>
              <a:p>
                <a:pPr>
                  <a:defRPr/>
                </a:pPr>
                <a:r>
                  <a:rPr lang="en-US"/>
                  <a:t>Percent</a:t>
                </a:r>
              </a:p>
            </c:rich>
          </c:tx>
          <c:overlay val="0"/>
          <c:spPr>
            <a:noFill/>
            <a:ln>
              <a:noFill/>
            </a:ln>
            <a:effectLst/>
          </c:spPr>
        </c:title>
        <c:numFmt formatCode="0" sourceLinked="0"/>
        <c:majorTickMark val="out"/>
        <c:minorTickMark val="none"/>
        <c:tickLblPos val="nextTo"/>
        <c:spPr>
          <a:noFill/>
          <a:effectLst/>
        </c:spPr>
        <c:txPr>
          <a:bodyPr rot="-60000000" vert="horz"/>
          <a:lstStyle/>
          <a:p>
            <a:pPr>
              <a:defRPr/>
            </a:pPr>
            <a:endParaRPr lang="en-US"/>
          </a:p>
        </c:txPr>
        <c:crossAx val="111043712"/>
        <c:crosses val="autoZero"/>
        <c:crossBetween val="between"/>
        <c:majorUnit val="20"/>
      </c:valAx>
      <c:spPr>
        <a:noFill/>
        <a:ln w="25415">
          <a:noFill/>
        </a:ln>
      </c:spPr>
    </c:plotArea>
    <c:legend>
      <c:legendPos val="b"/>
      <c:overlay val="0"/>
      <c:spPr>
        <a:noFill/>
        <a:ln>
          <a:noFill/>
        </a:ln>
        <a:effectLst/>
      </c:spPr>
      <c:txPr>
        <a:bodyPr rot="0" vert="horz"/>
        <a:lstStyle/>
        <a:p>
          <a:pPr>
            <a:defRPr/>
          </a:pPr>
          <a:endParaRPr lang="en-US"/>
        </a:p>
      </c:txPr>
    </c:legend>
    <c:plotVisOnly val="1"/>
    <c:dispBlanksAs val="gap"/>
    <c:showDLblsOverMax val="0"/>
  </c:chart>
  <c:spPr>
    <a:solidFill>
      <a:schemeClr val="bg1"/>
    </a:solidFill>
    <a:ln w="9531" cap="flat" cmpd="sng" algn="ctr">
      <a:solidFill>
        <a:sysClr val="windowText" lastClr="000000">
          <a:lumMod val="50000"/>
          <a:lumOff val="50000"/>
        </a:sysClr>
      </a:solidFill>
      <a:round/>
    </a:ln>
    <a:effectLst/>
  </c:spPr>
  <c:txPr>
    <a:bodyPr/>
    <a:lstStyle/>
    <a:p>
      <a:pPr>
        <a:defRPr sz="800" b="0">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perspective val="0"/>
    </c:view3D>
    <c:floor>
      <c:thickness val="0"/>
    </c:floor>
    <c:sideWall>
      <c:thickness val="0"/>
    </c:sideWall>
    <c:backWall>
      <c:thickness val="0"/>
    </c:backWall>
    <c:plotArea>
      <c:layout>
        <c:manualLayout>
          <c:layoutTarget val="inner"/>
          <c:xMode val="edge"/>
          <c:yMode val="edge"/>
          <c:x val="0.20664384885497558"/>
          <c:y val="0.34495188101487312"/>
          <c:w val="0.68422155999456546"/>
          <c:h val="0.55582206070395046"/>
        </c:manualLayout>
      </c:layout>
      <c:pie3DChart>
        <c:varyColors val="1"/>
        <c:ser>
          <c:idx val="0"/>
          <c:order val="0"/>
          <c:dPt>
            <c:idx val="0"/>
            <c:bubble3D val="0"/>
            <c:spPr>
              <a:solidFill>
                <a:schemeClr val="accent6"/>
              </a:solidFill>
              <a:ln w="25398">
                <a:solidFill>
                  <a:schemeClr val="lt1"/>
                </a:solidFill>
              </a:ln>
              <a:effectLst/>
              <a:sp3d contourW="25400">
                <a:contourClr>
                  <a:schemeClr val="lt1"/>
                </a:contourClr>
              </a:sp3d>
            </c:spPr>
            <c:extLst>
              <c:ext xmlns:c16="http://schemas.microsoft.com/office/drawing/2014/chart" uri="{C3380CC4-5D6E-409C-BE32-E72D297353CC}">
                <c16:uniqueId val="{00000001-0A54-DE4B-82C4-A80FF6A184BE}"/>
              </c:ext>
            </c:extLst>
          </c:dPt>
          <c:dPt>
            <c:idx val="1"/>
            <c:bubble3D val="0"/>
            <c:spPr>
              <a:solidFill>
                <a:schemeClr val="accent5"/>
              </a:solidFill>
              <a:ln w="25398">
                <a:solidFill>
                  <a:schemeClr val="lt1"/>
                </a:solidFill>
              </a:ln>
              <a:effectLst/>
              <a:sp3d contourW="25400">
                <a:contourClr>
                  <a:schemeClr val="lt1"/>
                </a:contourClr>
              </a:sp3d>
            </c:spPr>
            <c:extLst>
              <c:ext xmlns:c16="http://schemas.microsoft.com/office/drawing/2014/chart" uri="{C3380CC4-5D6E-409C-BE32-E72D297353CC}">
                <c16:uniqueId val="{00000003-0A54-DE4B-82C4-A80FF6A184BE}"/>
              </c:ext>
            </c:extLst>
          </c:dPt>
          <c:dPt>
            <c:idx val="2"/>
            <c:bubble3D val="0"/>
            <c:spPr>
              <a:solidFill>
                <a:schemeClr val="accent4"/>
              </a:solidFill>
              <a:ln w="25398">
                <a:solidFill>
                  <a:schemeClr val="lt1"/>
                </a:solidFill>
              </a:ln>
              <a:effectLst/>
              <a:sp3d contourW="25400">
                <a:contourClr>
                  <a:schemeClr val="lt1"/>
                </a:contourClr>
              </a:sp3d>
            </c:spPr>
            <c:extLst>
              <c:ext xmlns:c16="http://schemas.microsoft.com/office/drawing/2014/chart" uri="{C3380CC4-5D6E-409C-BE32-E72D297353CC}">
                <c16:uniqueId val="{00000005-0A54-DE4B-82C4-A80FF6A184BE}"/>
              </c:ext>
            </c:extLst>
          </c:dPt>
          <c:dLbls>
            <c:dLbl>
              <c:idx val="0"/>
              <c:layout>
                <c:manualLayout>
                  <c:x val="0.13907047040630444"/>
                  <c:y val="-3.9298077825400402E-2"/>
                </c:manualLayout>
              </c:layout>
              <c:tx>
                <c:rich>
                  <a:bodyPr/>
                  <a:lstStyle/>
                  <a:p>
                    <a:fld id="{1988FB98-5E9C-EA4C-878F-5843683C2E6A}" type="CATEGORYNAME">
                      <a:rPr lang="en-US"/>
                      <a:pPr/>
                      <a:t>[CATEGORY NAME]</a:t>
                    </a:fld>
                    <a:r>
                      <a:rPr lang="en-US" baseline="0"/>
                      <a:t> 85.6%</a:t>
                    </a:r>
                  </a:p>
                </c:rich>
              </c:tx>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16424142371885184"/>
                      <c:h val="0.1841413040601822"/>
                    </c:manualLayout>
                  </c15:layout>
                  <c15:dlblFieldTable/>
                  <c15:showDataLabelsRange val="0"/>
                </c:ext>
                <c:ext xmlns:c16="http://schemas.microsoft.com/office/drawing/2014/chart" uri="{C3380CC4-5D6E-409C-BE32-E72D297353CC}">
                  <c16:uniqueId val="{00000001-0A54-DE4B-82C4-A80FF6A184BE}"/>
                </c:ext>
              </c:extLst>
            </c:dLbl>
            <c:dLbl>
              <c:idx val="1"/>
              <c:tx>
                <c:rich>
                  <a:bodyPr/>
                  <a:lstStyle/>
                  <a:p>
                    <a:fld id="{0015A33F-F12A-3C4E-9D6F-FF8EA0BCD3DA}" type="CATEGORYNAME">
                      <a:rPr lang="en-US"/>
                      <a:pPr/>
                      <a:t>[CATEGORY NAME]</a:t>
                    </a:fld>
                    <a:r>
                      <a:rPr lang="en-US" baseline="0"/>
                      <a:t> 2.1%</a:t>
                    </a:r>
                  </a:p>
                </c:rich>
              </c:tx>
              <c:showLegendKey val="0"/>
              <c:showVal val="0"/>
              <c:showCatName val="1"/>
              <c:showSerName val="0"/>
              <c:showPercent val="1"/>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3-0A54-DE4B-82C4-A80FF6A184BE}"/>
                </c:ext>
              </c:extLst>
            </c:dLbl>
            <c:dLbl>
              <c:idx val="2"/>
              <c:layout>
                <c:manualLayout>
                  <c:x val="0.10263435158620642"/>
                  <c:y val="-0.11276210726823704"/>
                </c:manualLayout>
              </c:layout>
              <c:tx>
                <c:rich>
                  <a:bodyPr/>
                  <a:lstStyle/>
                  <a:p>
                    <a:fld id="{3D629DA7-A52A-8340-ADE1-63F69F733678}" type="CATEGORYNAME">
                      <a:rPr lang="en-US"/>
                      <a:pPr/>
                      <a:t>[CATEGORY NAME]</a:t>
                    </a:fld>
                    <a:r>
                      <a:rPr lang="en-US" baseline="0"/>
                      <a:t> 12.3%</a:t>
                    </a:r>
                  </a:p>
                </c:rich>
              </c:tx>
              <c:dLblPos val="bestFit"/>
              <c:showLegendKey val="0"/>
              <c:showVal val="0"/>
              <c:showCatName val="1"/>
              <c:showSerName val="0"/>
              <c:showPercent val="1"/>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5-0A54-DE4B-82C4-A80FF6A184BE}"/>
                </c:ext>
              </c:extLst>
            </c:dLbl>
            <c:numFmt formatCode="#,##0.0" sourceLinked="0"/>
            <c:spPr>
              <a:noFill/>
              <a:ln>
                <a:noFill/>
              </a:ln>
              <a:effectLst/>
            </c:spPr>
            <c:txPr>
              <a:bodyPr rot="0" vert="horz"/>
              <a:lstStyle/>
              <a:p>
                <a:pPr>
                  <a:defRPr/>
                </a:pPr>
                <a:endParaRPr lang="en-US"/>
              </a:p>
            </c:txPr>
            <c:showLegendKey val="0"/>
            <c:showVal val="0"/>
            <c:showCatName val="1"/>
            <c:showSerName val="0"/>
            <c:showPercent val="1"/>
            <c:showBubbleSize val="0"/>
            <c:separator> </c:separator>
            <c:showLeaderLines val="1"/>
            <c:leaderLines>
              <c:spPr>
                <a:ln w="9524"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'other poultry'!$B$1:$D$1</c:f>
              <c:strCache>
                <c:ptCount val="3"/>
                <c:pt idx="0">
                  <c:v>Ducks</c:v>
                </c:pt>
                <c:pt idx="1">
                  <c:v>Turkey</c:v>
                </c:pt>
                <c:pt idx="2">
                  <c:v>Guinea fowls</c:v>
                </c:pt>
              </c:strCache>
            </c:strRef>
          </c:cat>
          <c:val>
            <c:numRef>
              <c:f>'other poultry'!$B$3:$D$3</c:f>
              <c:numCache>
                <c:formatCode>_(* #,##0_);_(* \(#,##0\);_(* "-"??_);_(@_)</c:formatCode>
                <c:ptCount val="3"/>
                <c:pt idx="0">
                  <c:v>126732</c:v>
                </c:pt>
                <c:pt idx="1">
                  <c:v>3028</c:v>
                </c:pt>
                <c:pt idx="2">
                  <c:v>18224</c:v>
                </c:pt>
              </c:numCache>
            </c:numRef>
          </c:val>
          <c:extLst>
            <c:ext xmlns:c16="http://schemas.microsoft.com/office/drawing/2014/chart" uri="{C3380CC4-5D6E-409C-BE32-E72D297353CC}">
              <c16:uniqueId val="{00000006-0A54-DE4B-82C4-A80FF6A184BE}"/>
            </c:ext>
          </c:extLst>
        </c:ser>
        <c:dLbls>
          <c:showLegendKey val="0"/>
          <c:showVal val="0"/>
          <c:showCatName val="0"/>
          <c:showSerName val="0"/>
          <c:showPercent val="0"/>
          <c:showBubbleSize val="0"/>
          <c:showLeaderLines val="1"/>
        </c:dLbls>
      </c:pie3DChart>
      <c:spPr>
        <a:noFill/>
        <a:ln w="25398">
          <a:noFill/>
        </a:ln>
      </c:spPr>
    </c:plotArea>
    <c:plotVisOnly val="1"/>
    <c:dispBlanksAs val="gap"/>
    <c:showDLblsOverMax val="0"/>
  </c:chart>
  <c:spPr>
    <a:solidFill>
      <a:schemeClr val="bg1"/>
    </a:solidFill>
    <a:ln w="9524" cap="flat" cmpd="sng" algn="ctr">
      <a:solidFill>
        <a:sysClr val="windowText" lastClr="000000">
          <a:lumMod val="50000"/>
          <a:lumOff val="50000"/>
        </a:sysClr>
      </a:solidFill>
      <a:round/>
    </a:ln>
    <a:effectLst/>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perspective val="0"/>
    </c:view3D>
    <c:floor>
      <c:thickness val="0"/>
    </c:floor>
    <c:sideWall>
      <c:thickness val="0"/>
    </c:sideWall>
    <c:backWall>
      <c:thickness val="0"/>
    </c:backWall>
    <c:plotArea>
      <c:layout>
        <c:manualLayout>
          <c:layoutTarget val="inner"/>
          <c:xMode val="edge"/>
          <c:yMode val="edge"/>
          <c:x val="0.20664384885497558"/>
          <c:y val="0.34495188101487312"/>
          <c:w val="0.68422155999456546"/>
          <c:h val="0.55582206070395046"/>
        </c:manualLayout>
      </c:layout>
      <c:pie3DChart>
        <c:varyColors val="1"/>
        <c:ser>
          <c:idx val="0"/>
          <c:order val="0"/>
          <c:dPt>
            <c:idx val="0"/>
            <c:bubble3D val="0"/>
            <c:spPr>
              <a:solidFill>
                <a:schemeClr val="accent1"/>
              </a:solidFill>
              <a:ln w="25398">
                <a:solidFill>
                  <a:schemeClr val="lt1"/>
                </a:solidFill>
              </a:ln>
              <a:effectLst/>
              <a:sp3d contourW="25400">
                <a:contourClr>
                  <a:schemeClr val="lt1"/>
                </a:contourClr>
              </a:sp3d>
            </c:spPr>
            <c:extLst>
              <c:ext xmlns:c16="http://schemas.microsoft.com/office/drawing/2014/chart" uri="{C3380CC4-5D6E-409C-BE32-E72D297353CC}">
                <c16:uniqueId val="{00000001-4551-FC4F-B9B2-69FD3B2728EF}"/>
              </c:ext>
            </c:extLst>
          </c:dPt>
          <c:dPt>
            <c:idx val="1"/>
            <c:bubble3D val="0"/>
            <c:spPr>
              <a:solidFill>
                <a:schemeClr val="accent2"/>
              </a:solidFill>
              <a:ln w="25398">
                <a:solidFill>
                  <a:schemeClr val="lt1"/>
                </a:solidFill>
              </a:ln>
              <a:effectLst/>
              <a:sp3d contourW="25400">
                <a:contourClr>
                  <a:schemeClr val="lt1"/>
                </a:contourClr>
              </a:sp3d>
            </c:spPr>
            <c:extLst>
              <c:ext xmlns:c16="http://schemas.microsoft.com/office/drawing/2014/chart" uri="{C3380CC4-5D6E-409C-BE32-E72D297353CC}">
                <c16:uniqueId val="{00000003-4551-FC4F-B9B2-69FD3B2728EF}"/>
              </c:ext>
            </c:extLst>
          </c:dPt>
          <c:dPt>
            <c:idx val="2"/>
            <c:bubble3D val="0"/>
            <c:spPr>
              <a:solidFill>
                <a:schemeClr val="accent3"/>
              </a:solidFill>
              <a:ln w="25398">
                <a:solidFill>
                  <a:schemeClr val="lt1"/>
                </a:solidFill>
              </a:ln>
              <a:effectLst/>
              <a:sp3d contourW="25400">
                <a:contourClr>
                  <a:schemeClr val="lt1"/>
                </a:contourClr>
              </a:sp3d>
            </c:spPr>
            <c:extLst>
              <c:ext xmlns:c16="http://schemas.microsoft.com/office/drawing/2014/chart" uri="{C3380CC4-5D6E-409C-BE32-E72D297353CC}">
                <c16:uniqueId val="{00000005-4551-FC4F-B9B2-69FD3B2728EF}"/>
              </c:ext>
            </c:extLst>
          </c:dPt>
          <c:dLbls>
            <c:dLbl>
              <c:idx val="0"/>
              <c:layout>
                <c:manualLayout>
                  <c:x val="0.15251658103565896"/>
                  <c:y val="-5.7030466128442807E-2"/>
                </c:manualLayout>
              </c:layout>
              <c:tx>
                <c:rich>
                  <a:bodyPr/>
                  <a:lstStyle/>
                  <a:p>
                    <a:fld id="{0F0F1818-46A7-1144-8A8B-503E66E83CEC}" type="CATEGORYNAME">
                      <a:rPr lang="en-US"/>
                      <a:pPr/>
                      <a:t>[CATEGORY NAME]</a:t>
                    </a:fld>
                    <a:r>
                      <a:rPr lang="en-US" baseline="0"/>
                      <a:t> 85.3%</a:t>
                    </a:r>
                  </a:p>
                </c:rich>
              </c:tx>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1558446116236781"/>
                      <c:h val="0.12914527333131984"/>
                    </c:manualLayout>
                  </c15:layout>
                  <c15:dlblFieldTable/>
                  <c15:showDataLabelsRange val="0"/>
                </c:ext>
                <c:ext xmlns:c16="http://schemas.microsoft.com/office/drawing/2014/chart" uri="{C3380CC4-5D6E-409C-BE32-E72D297353CC}">
                  <c16:uniqueId val="{00000001-4551-FC4F-B9B2-69FD3B2728EF}"/>
                </c:ext>
              </c:extLst>
            </c:dLbl>
            <c:dLbl>
              <c:idx val="1"/>
              <c:layout>
                <c:manualLayout>
                  <c:x val="-0.11173789805291938"/>
                  <c:y val="0.11583372591246607"/>
                </c:manualLayout>
              </c:layout>
              <c:tx>
                <c:rich>
                  <a:bodyPr/>
                  <a:lstStyle/>
                  <a:p>
                    <a:fld id="{0ED87F13-3EF3-A145-B848-BC1E2073BA31}" type="CATEGORYNAME">
                      <a:rPr lang="en-US"/>
                      <a:pPr/>
                      <a:t>[CATEGORY NAME]</a:t>
                    </a:fld>
                    <a:r>
                      <a:rPr lang="en-US" baseline="0"/>
                      <a:t> 1.7%</a:t>
                    </a:r>
                  </a:p>
                </c:rich>
              </c:tx>
              <c:dLblPos val="bestFit"/>
              <c:showLegendKey val="0"/>
              <c:showVal val="0"/>
              <c:showCatName val="1"/>
              <c:showSerName val="0"/>
              <c:showPercent val="1"/>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3-4551-FC4F-B9B2-69FD3B2728EF}"/>
                </c:ext>
              </c:extLst>
            </c:dLbl>
            <c:dLbl>
              <c:idx val="2"/>
              <c:layout>
                <c:manualLayout>
                  <c:x val="0.11009746687240836"/>
                  <c:y val="-8.3758264394165921E-2"/>
                </c:manualLayout>
              </c:layout>
              <c:tx>
                <c:rich>
                  <a:bodyPr/>
                  <a:lstStyle/>
                  <a:p>
                    <a:fld id="{7FF24F0A-A3A0-0F43-9593-13C5F8A97AC2}" type="CATEGORYNAME">
                      <a:rPr lang="en-US"/>
                      <a:pPr/>
                      <a:t>[CATEGORY NAME]</a:t>
                    </a:fld>
                    <a:r>
                      <a:rPr lang="en-US" baseline="0"/>
                      <a:t> 13.0%</a:t>
                    </a:r>
                  </a:p>
                </c:rich>
              </c:tx>
              <c:dLblPos val="bestFit"/>
              <c:showLegendKey val="0"/>
              <c:showVal val="0"/>
              <c:showCatName val="1"/>
              <c:showSerName val="0"/>
              <c:showPercent val="1"/>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5-4551-FC4F-B9B2-69FD3B2728EF}"/>
                </c:ext>
              </c:extLst>
            </c:dLbl>
            <c:numFmt formatCode="#,##0.0" sourceLinked="0"/>
            <c:spPr>
              <a:noFill/>
              <a:ln>
                <a:noFill/>
              </a:ln>
              <a:effectLst/>
            </c:spPr>
            <c:txPr>
              <a:bodyPr rot="0" vert="horz"/>
              <a:lstStyle/>
              <a:p>
                <a:pPr>
                  <a:defRPr/>
                </a:pPr>
                <a:endParaRPr lang="en-US"/>
              </a:p>
            </c:txPr>
            <c:showLegendKey val="0"/>
            <c:showVal val="0"/>
            <c:showCatName val="1"/>
            <c:showSerName val="0"/>
            <c:showPercent val="1"/>
            <c:showBubbleSize val="0"/>
            <c:separator> </c:separator>
            <c:showLeaderLines val="1"/>
            <c:leaderLines>
              <c:spPr>
                <a:ln w="9524"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'other poultry'!$B$1:$D$1</c:f>
              <c:strCache>
                <c:ptCount val="3"/>
                <c:pt idx="0">
                  <c:v>Ducks</c:v>
                </c:pt>
                <c:pt idx="1">
                  <c:v>Turkey</c:v>
                </c:pt>
                <c:pt idx="2">
                  <c:v>Guinea fowls</c:v>
                </c:pt>
              </c:strCache>
            </c:strRef>
          </c:cat>
          <c:val>
            <c:numRef>
              <c:f>'other poultry'!$B$2:$D$2</c:f>
              <c:numCache>
                <c:formatCode>_(* #,##0_);_(* \(#,##0\);_(* "-"??_);_(@_)</c:formatCode>
                <c:ptCount val="3"/>
                <c:pt idx="0">
                  <c:v>4229018</c:v>
                </c:pt>
                <c:pt idx="1">
                  <c:v>83831</c:v>
                </c:pt>
                <c:pt idx="2">
                  <c:v>643953</c:v>
                </c:pt>
              </c:numCache>
            </c:numRef>
          </c:val>
          <c:extLst>
            <c:ext xmlns:c16="http://schemas.microsoft.com/office/drawing/2014/chart" uri="{C3380CC4-5D6E-409C-BE32-E72D297353CC}">
              <c16:uniqueId val="{00000006-4551-FC4F-B9B2-69FD3B2728EF}"/>
            </c:ext>
          </c:extLst>
        </c:ser>
        <c:dLbls>
          <c:showLegendKey val="0"/>
          <c:showVal val="0"/>
          <c:showCatName val="0"/>
          <c:showSerName val="0"/>
          <c:showPercent val="0"/>
          <c:showBubbleSize val="0"/>
          <c:showLeaderLines val="1"/>
        </c:dLbls>
      </c:pie3DChart>
      <c:spPr>
        <a:noFill/>
        <a:ln w="25398">
          <a:noFill/>
        </a:ln>
      </c:spPr>
    </c:plotArea>
    <c:plotVisOnly val="1"/>
    <c:dispBlanksAs val="gap"/>
    <c:showDLblsOverMax val="0"/>
  </c:chart>
  <c:spPr>
    <a:solidFill>
      <a:schemeClr val="bg1"/>
    </a:solidFill>
    <a:ln w="9524" cap="flat" cmpd="sng" algn="ctr">
      <a:solidFill>
        <a:sysClr val="windowText" lastClr="000000">
          <a:lumMod val="50000"/>
          <a:lumOff val="50000"/>
        </a:sysClr>
      </a:solidFill>
      <a:round/>
    </a:ln>
    <a:effectLst/>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manualLayout>
          <c:layoutTarget val="inner"/>
          <c:xMode val="edge"/>
          <c:yMode val="edge"/>
          <c:x val="0.15889482177863942"/>
          <c:y val="0.20616139834015446"/>
          <c:w val="0.71138391394919231"/>
          <c:h val="0.50722839008004883"/>
        </c:manualLayout>
      </c:layout>
      <c:pie3DChart>
        <c:varyColors val="1"/>
        <c:ser>
          <c:idx val="0"/>
          <c:order val="0"/>
          <c:explosion val="6"/>
          <c:dPt>
            <c:idx val="4"/>
            <c:bubble3D val="0"/>
            <c:spPr>
              <a:solidFill>
                <a:srgbClr val="00B050"/>
              </a:solidFill>
            </c:spPr>
            <c:extLst>
              <c:ext xmlns:c16="http://schemas.microsoft.com/office/drawing/2014/chart" uri="{C3380CC4-5D6E-409C-BE32-E72D297353CC}">
                <c16:uniqueId val="{00000001-404E-DA42-959E-C4263BD712F7}"/>
              </c:ext>
            </c:extLst>
          </c:dPt>
          <c:dPt>
            <c:idx val="5"/>
            <c:bubble3D val="0"/>
            <c:spPr>
              <a:solidFill>
                <a:srgbClr val="FFC000"/>
              </a:solidFill>
            </c:spPr>
            <c:extLst>
              <c:ext xmlns:c16="http://schemas.microsoft.com/office/drawing/2014/chart" uri="{C3380CC4-5D6E-409C-BE32-E72D297353CC}">
                <c16:uniqueId val="{00000003-404E-DA42-959E-C4263BD712F7}"/>
              </c:ext>
            </c:extLst>
          </c:dPt>
          <c:dLbls>
            <c:dLbl>
              <c:idx val="0"/>
              <c:layout>
                <c:manualLayout>
                  <c:x val="9.1911764705882356E-3"/>
                  <c:y val="0.30553787396562698"/>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8-404E-DA42-959E-C4263BD712F7}"/>
                </c:ext>
              </c:extLst>
            </c:dLbl>
            <c:dLbl>
              <c:idx val="1"/>
              <c:layout>
                <c:manualLayout>
                  <c:x val="4.2125738850066152E-17"/>
                  <c:y val="8.911521323997442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6-404E-DA42-959E-C4263BD712F7}"/>
                </c:ext>
              </c:extLst>
            </c:dLbl>
            <c:dLbl>
              <c:idx val="2"/>
              <c:layout>
                <c:manualLayout>
                  <c:x val="-6.893382352941177E-2"/>
                  <c:y val="-1.1669714543315588E-16"/>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404E-DA42-959E-C4263BD712F7}"/>
                </c:ext>
              </c:extLst>
            </c:dLbl>
            <c:dLbl>
              <c:idx val="3"/>
              <c:layout>
                <c:manualLayout>
                  <c:x val="-5.5147058823529424E-2"/>
                  <c:y val="-4.4557606619987269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404E-DA42-959E-C4263BD712F7}"/>
                </c:ext>
              </c:extLst>
            </c:dLbl>
            <c:dLbl>
              <c:idx val="4"/>
              <c:layout>
                <c:manualLayout>
                  <c:x val="-4.1360294117647058E-2"/>
                  <c:y val="-2.5461489497135583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404E-DA42-959E-C4263BD712F7}"/>
                </c:ext>
              </c:extLst>
            </c:dLbl>
            <c:dLbl>
              <c:idx val="5"/>
              <c:layout>
                <c:manualLayout>
                  <c:x val="0.20512820512820512"/>
                  <c:y val="-3.157894736842105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404E-DA42-959E-C4263BD712F7}"/>
                </c:ext>
              </c:extLst>
            </c:dLbl>
            <c:numFmt formatCode="0.0%" sourceLinked="0"/>
            <c:spPr>
              <a:noFill/>
              <a:ln>
                <a:noFill/>
              </a:ln>
              <a:effectLst/>
            </c:spPr>
            <c:dLblPos val="outEnd"/>
            <c:showLegendKey val="0"/>
            <c:showVal val="0"/>
            <c:showCatName val="1"/>
            <c:showSerName val="0"/>
            <c:showPercent val="1"/>
            <c:showBubbleSize val="0"/>
            <c:showLeaderLines val="1"/>
            <c:extLst>
              <c:ext xmlns:c15="http://schemas.microsoft.com/office/drawing/2012/chart" uri="{CE6537A1-D6FC-4f65-9D91-7224C49458BB}"/>
            </c:extLst>
          </c:dLbls>
          <c:cat>
            <c:strRef>
              <c:f>[3]Sheet2!$C$3:$H$3</c:f>
              <c:strCache>
                <c:ptCount val="6"/>
                <c:pt idx="0">
                  <c:v>Branding</c:v>
                </c:pt>
                <c:pt idx="1">
                  <c:v>Cattle clan</c:v>
                </c:pt>
                <c:pt idx="2">
                  <c:v>Ear notching</c:v>
                </c:pt>
                <c:pt idx="3">
                  <c:v>Colour</c:v>
                </c:pt>
                <c:pt idx="4">
                  <c:v>Earings</c:v>
                </c:pt>
                <c:pt idx="5">
                  <c:v>Others </c:v>
                </c:pt>
              </c:strCache>
            </c:strRef>
          </c:cat>
          <c:val>
            <c:numRef>
              <c:f>[3]Sheet2!$C$4:$H$4</c:f>
              <c:numCache>
                <c:formatCode>General</c:formatCode>
                <c:ptCount val="6"/>
                <c:pt idx="0">
                  <c:v>948845</c:v>
                </c:pt>
                <c:pt idx="1">
                  <c:v>61226</c:v>
                </c:pt>
                <c:pt idx="2">
                  <c:v>174596</c:v>
                </c:pt>
                <c:pt idx="3">
                  <c:v>644602</c:v>
                </c:pt>
                <c:pt idx="4">
                  <c:v>47856</c:v>
                </c:pt>
                <c:pt idx="5">
                  <c:v>49869</c:v>
                </c:pt>
              </c:numCache>
            </c:numRef>
          </c:val>
          <c:extLst>
            <c:ext xmlns:c16="http://schemas.microsoft.com/office/drawing/2014/chart" uri="{C3380CC4-5D6E-409C-BE32-E72D297353CC}">
              <c16:uniqueId val="{00000004-404E-DA42-959E-C4263BD712F7}"/>
            </c:ext>
          </c:extLst>
        </c:ser>
        <c:dLbls>
          <c:showLegendKey val="0"/>
          <c:showVal val="0"/>
          <c:showCatName val="0"/>
          <c:showSerName val="0"/>
          <c:showPercent val="0"/>
          <c:showBubbleSize val="0"/>
          <c:showLeaderLines val="1"/>
        </c:dLbls>
      </c:pie3DChart>
    </c:plotArea>
    <c:plotVisOnly val="1"/>
    <c:dispBlanksAs val="gap"/>
    <c:showDLblsOverMax val="0"/>
  </c:chart>
  <c:spPr>
    <a:solidFill>
      <a:schemeClr val="lt1"/>
    </a:solidFill>
    <a:ln w="9525" cap="flat" cmpd="sng" algn="ctr">
      <a:solidFill>
        <a:schemeClr val="tx1">
          <a:lumMod val="50000"/>
          <a:lumOff val="50000"/>
        </a:schemeClr>
      </a:solidFill>
      <a:prstDash val="solid"/>
      <a:miter lim="800000"/>
    </a:ln>
    <a:effectLst/>
  </c:spPr>
  <c:txPr>
    <a:bodyPr/>
    <a:lstStyle/>
    <a:p>
      <a:pPr>
        <a:defRPr sz="800">
          <a:solidFill>
            <a:schemeClr val="tx1"/>
          </a:solidFill>
          <a:latin typeface="Times New Roman" panose="02020603050405020304" pitchFamily="18" charset="0"/>
          <a:ea typeface="+mn-ea"/>
          <a:cs typeface="Times New Roman" panose="02020603050405020304" pitchFamily="18" charset="0"/>
        </a:defRPr>
      </a:pPr>
      <a:endParaRPr lang="en-US"/>
    </a:p>
  </c:txPr>
  <c:externalData r:id="rId1">
    <c:autoUpdate val="0"/>
  </c:externalData>
</c:chartSpace>
</file>

<file path=word/charts/chart1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manualLayout>
          <c:layoutTarget val="inner"/>
          <c:xMode val="edge"/>
          <c:yMode val="edge"/>
          <c:x val="0.11539832592559168"/>
          <c:y val="0.14175043681499466"/>
          <c:w val="0.73393775414396767"/>
          <c:h val="0.68047607161496748"/>
        </c:manualLayout>
      </c:layout>
      <c:pie3DChart>
        <c:varyColors val="1"/>
        <c:ser>
          <c:idx val="0"/>
          <c:order val="0"/>
          <c:explosion val="7"/>
          <c:dPt>
            <c:idx val="0"/>
            <c:bubble3D val="0"/>
            <c:spPr>
              <a:solidFill>
                <a:srgbClr val="00B050"/>
              </a:solidFill>
            </c:spPr>
            <c:extLst>
              <c:ext xmlns:c16="http://schemas.microsoft.com/office/drawing/2014/chart" uri="{C3380CC4-5D6E-409C-BE32-E72D297353CC}">
                <c16:uniqueId val="{00000001-57FF-DE4C-A61A-C2A11DD3F614}"/>
              </c:ext>
            </c:extLst>
          </c:dPt>
          <c:dPt>
            <c:idx val="3"/>
            <c:bubble3D val="0"/>
            <c:spPr>
              <a:solidFill>
                <a:srgbClr val="FFFF00"/>
              </a:solidFill>
            </c:spPr>
            <c:extLst>
              <c:ext xmlns:c16="http://schemas.microsoft.com/office/drawing/2014/chart" uri="{C3380CC4-5D6E-409C-BE32-E72D297353CC}">
                <c16:uniqueId val="{00000003-57FF-DE4C-A61A-C2A11DD3F614}"/>
              </c:ext>
            </c:extLst>
          </c:dPt>
          <c:dLbls>
            <c:dLbl>
              <c:idx val="0"/>
              <c:layout>
                <c:manualLayout>
                  <c:x val="2.3308960966610493E-2"/>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7FF-DE4C-A61A-C2A11DD3F614}"/>
                </c:ext>
              </c:extLst>
            </c:dLbl>
            <c:dLbl>
              <c:idx val="1"/>
              <c:layout>
                <c:manualLayout>
                  <c:x val="5.5011896931442088E-2"/>
                  <c:y val="-3.9734847625314845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4-57FF-DE4C-A61A-C2A11DD3F614}"/>
                </c:ext>
              </c:extLst>
            </c:dLbl>
            <c:dLbl>
              <c:idx val="2"/>
              <c:layout>
                <c:manualLayout>
                  <c:x val="-1.0185067526415994E-16"/>
                  <c:y val="0.1324503311258278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57FF-DE4C-A61A-C2A11DD3F614}"/>
                </c:ext>
              </c:extLst>
            </c:dLbl>
            <c:dLbl>
              <c:idx val="3"/>
              <c:layout>
                <c:manualLayout>
                  <c:x val="-0.17620683132042922"/>
                  <c:y val="-5.712802650389162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57FF-DE4C-A61A-C2A11DD3F614}"/>
                </c:ext>
              </c:extLst>
            </c:dLbl>
            <c:dLbl>
              <c:idx val="4"/>
              <c:layout>
                <c:manualLayout>
                  <c:x val="0"/>
                  <c:y val="-6.6225165562913926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6-57FF-DE4C-A61A-C2A11DD3F614}"/>
                </c:ext>
              </c:extLst>
            </c:dLbl>
            <c:numFmt formatCode="0.0%" sourceLinked="0"/>
            <c:spPr>
              <a:noFill/>
              <a:ln>
                <a:noFill/>
              </a:ln>
              <a:effectLst/>
            </c:spPr>
            <c:txPr>
              <a:bodyPr/>
              <a:lstStyle/>
              <a:p>
                <a:pPr>
                  <a:defRPr>
                    <a:solidFill>
                      <a:schemeClr val="tx1"/>
                    </a:solidFill>
                  </a:defRPr>
                </a:pPr>
                <a:endParaRPr lang="en-US"/>
              </a:p>
            </c:txPr>
            <c:dLblPos val="outEnd"/>
            <c:showLegendKey val="0"/>
            <c:showVal val="0"/>
            <c:showCatName val="1"/>
            <c:showSerName val="0"/>
            <c:showPercent val="1"/>
            <c:showBubbleSize val="0"/>
            <c:showLeaderLines val="1"/>
            <c:extLst>
              <c:ext xmlns:c15="http://schemas.microsoft.com/office/drawing/2012/chart" uri="{CE6537A1-D6FC-4f65-9D91-7224C49458BB}"/>
            </c:extLst>
          </c:dLbls>
          <c:cat>
            <c:strRef>
              <c:f>'Figure 4.19'!$A$5:$A$9</c:f>
              <c:strCache>
                <c:ptCount val="5"/>
                <c:pt idx="0">
                  <c:v>Kaskazini Unguja</c:v>
                </c:pt>
                <c:pt idx="1">
                  <c:v>Kusini Unguja</c:v>
                </c:pt>
                <c:pt idx="2">
                  <c:v>Mjini Magharibi</c:v>
                </c:pt>
                <c:pt idx="3">
                  <c:v>Kaskazini Pemba</c:v>
                </c:pt>
                <c:pt idx="4">
                  <c:v>Kusini  Pemba</c:v>
                </c:pt>
              </c:strCache>
            </c:strRef>
          </c:cat>
          <c:val>
            <c:numRef>
              <c:f>'Figure 4.19'!$F$5:$F$9</c:f>
              <c:numCache>
                <c:formatCode>_(* #,##0_);_(* \(#,##0\);_(* "-"??_);_(@_)</c:formatCode>
                <c:ptCount val="5"/>
                <c:pt idx="0">
                  <c:v>7028</c:v>
                </c:pt>
                <c:pt idx="1">
                  <c:v>5718</c:v>
                </c:pt>
                <c:pt idx="2">
                  <c:v>9469</c:v>
                </c:pt>
                <c:pt idx="3">
                  <c:v>13182</c:v>
                </c:pt>
                <c:pt idx="4">
                  <c:v>18634</c:v>
                </c:pt>
              </c:numCache>
            </c:numRef>
          </c:val>
          <c:extLst>
            <c:ext xmlns:c16="http://schemas.microsoft.com/office/drawing/2014/chart" uri="{C3380CC4-5D6E-409C-BE32-E72D297353CC}">
              <c16:uniqueId val="{00000007-57FF-DE4C-A61A-C2A11DD3F614}"/>
            </c:ext>
          </c:extLst>
        </c:ser>
        <c:dLbls>
          <c:showLegendKey val="0"/>
          <c:showVal val="0"/>
          <c:showCatName val="0"/>
          <c:showSerName val="0"/>
          <c:showPercent val="0"/>
          <c:showBubbleSize val="0"/>
          <c:showLeaderLines val="1"/>
        </c:dLbls>
      </c:pie3DChart>
    </c:plotArea>
    <c:plotVisOnly val="1"/>
    <c:dispBlanksAs val="gap"/>
    <c:showDLblsOverMax val="0"/>
  </c:chart>
  <c:spPr>
    <a:solidFill>
      <a:schemeClr val="lt1"/>
    </a:solidFill>
    <a:ln w="9525" cap="flat" cmpd="sng" algn="ctr">
      <a:solidFill>
        <a:schemeClr val="tx1">
          <a:lumMod val="50000"/>
          <a:lumOff val="50000"/>
        </a:schemeClr>
      </a:solidFill>
      <a:prstDash val="solid"/>
    </a:ln>
    <a:effectLst/>
  </c:spPr>
  <c:txPr>
    <a:bodyPr/>
    <a:lstStyle/>
    <a:p>
      <a:pPr>
        <a:defRPr sz="700">
          <a:solidFill>
            <a:schemeClr val="dk1"/>
          </a:solidFill>
          <a:latin typeface="Times New Roman" panose="02020603050405020304" pitchFamily="18" charset="0"/>
          <a:ea typeface="+mn-ea"/>
          <a:cs typeface="Times New Roman" panose="02020603050405020304" pitchFamily="18" charset="0"/>
        </a:defRPr>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explosion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extLst>
              <c:ext xmlns:c16="http://schemas.microsoft.com/office/drawing/2014/chart" uri="{C3380CC4-5D6E-409C-BE32-E72D297353CC}">
                <c16:uniqueId val="{00000001-C09F-8B44-BF89-030FE4E2D75D}"/>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extLst>
              <c:ext xmlns:c16="http://schemas.microsoft.com/office/drawing/2014/chart" uri="{C3380CC4-5D6E-409C-BE32-E72D297353CC}">
                <c16:uniqueId val="{00000003-C09F-8B44-BF89-030FE4E2D75D}"/>
              </c:ext>
            </c:extLst>
          </c:dPt>
          <c:dLbls>
            <c:dLbl>
              <c:idx val="0"/>
              <c:layout>
                <c:manualLayout>
                  <c:x val="-7.3440784863349665E-2"/>
                  <c:y val="0.31019489585078464"/>
                </c:manualLayout>
              </c:layout>
              <c:showLegendKey val="0"/>
              <c:showVal val="0"/>
              <c:showCatName val="1"/>
              <c:showSerName val="0"/>
              <c:showPercent val="1"/>
              <c:showBubbleSize val="0"/>
              <c:extLst>
                <c:ext xmlns:c15="http://schemas.microsoft.com/office/drawing/2012/chart" uri="{CE6537A1-D6FC-4f65-9D91-7224C49458BB}">
                  <c15:layout>
                    <c:manualLayout>
                      <c:w val="0.16006339144215534"/>
                      <c:h val="0.21347517730496451"/>
                    </c:manualLayout>
                  </c15:layout>
                </c:ext>
                <c:ext xmlns:c16="http://schemas.microsoft.com/office/drawing/2014/chart" uri="{C3380CC4-5D6E-409C-BE32-E72D297353CC}">
                  <c16:uniqueId val="{00000001-C09F-8B44-BF89-030FE4E2D75D}"/>
                </c:ext>
              </c:extLst>
            </c:dLbl>
            <c:dLbl>
              <c:idx val="1"/>
              <c:layout>
                <c:manualLayout>
                  <c:x val="2.7167760923703873E-2"/>
                  <c:y val="-0.22767130172558217"/>
                </c:manualLayout>
              </c:layout>
              <c:showLegendKey val="0"/>
              <c:showVal val="0"/>
              <c:showCatName val="1"/>
              <c:showSerName val="0"/>
              <c:showPercent val="1"/>
              <c:showBubbleSize val="0"/>
              <c:extLst>
                <c:ext xmlns:c15="http://schemas.microsoft.com/office/drawing/2012/chart" uri="{CE6537A1-D6FC-4f65-9D91-7224C49458BB}">
                  <c15:layout>
                    <c:manualLayout>
                      <c:w val="0.17707675605525539"/>
                      <c:h val="0.20167141341374881"/>
                    </c:manualLayout>
                  </c15:layout>
                </c:ext>
                <c:ext xmlns:c16="http://schemas.microsoft.com/office/drawing/2014/chart" uri="{C3380CC4-5D6E-409C-BE32-E72D297353CC}">
                  <c16:uniqueId val="{00000003-C09F-8B44-BF89-030FE4E2D75D}"/>
                </c:ext>
              </c:extLst>
            </c:dLbl>
            <c:numFmt formatCode="0.0%" sourceLinked="0"/>
            <c:spPr>
              <a:noFill/>
              <a:ln>
                <a:noFill/>
              </a:ln>
              <a:effectLst/>
            </c:spPr>
            <c:txPr>
              <a:bodyPr rot="0" spcFirstLastPara="1" vertOverflow="ellipsis" vert="horz" wrap="square" anchor="ctr" anchorCtr="1"/>
              <a:lstStyle/>
              <a:p>
                <a:pPr>
                  <a:defRPr sz="700" b="0" i="0" u="none" strike="noStrike" kern="1200" baseline="0">
                    <a:ln>
                      <a:noFill/>
                    </a:ln>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1"/>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Sheet8!$H$24:$I$24</c:f>
              <c:strCache>
                <c:ptCount val="2"/>
                <c:pt idx="0">
                  <c:v> Sufficient </c:v>
                </c:pt>
                <c:pt idx="1">
                  <c:v> Insufficient </c:v>
                </c:pt>
              </c:strCache>
            </c:strRef>
          </c:cat>
          <c:val>
            <c:numRef>
              <c:f>Sheet8!$H$25:$I$25</c:f>
              <c:numCache>
                <c:formatCode>General</c:formatCode>
                <c:ptCount val="2"/>
                <c:pt idx="0">
                  <c:v>51</c:v>
                </c:pt>
                <c:pt idx="1">
                  <c:v>49</c:v>
                </c:pt>
              </c:numCache>
            </c:numRef>
          </c:val>
          <c:extLst>
            <c:ext xmlns:c16="http://schemas.microsoft.com/office/drawing/2014/chart" uri="{C3380CC4-5D6E-409C-BE32-E72D297353CC}">
              <c16:uniqueId val="{00000004-C09F-8B44-BF89-030FE4E2D75D}"/>
            </c:ext>
          </c:extLst>
        </c:ser>
        <c:dLbls>
          <c:showLegendKey val="0"/>
          <c:showVal val="0"/>
          <c:showCatName val="1"/>
          <c:showSerName val="0"/>
          <c:showPercent val="1"/>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lumMod val="50000"/>
          <a:lumOff val="50000"/>
          <a:alpha val="98000"/>
        </a:sysClr>
      </a:solidFill>
      <a:round/>
    </a:ln>
    <a:effectLst/>
  </c:spPr>
  <c:txPr>
    <a:bodyPr/>
    <a:lstStyle/>
    <a:p>
      <a:pPr>
        <a:defRPr sz="600">
          <a:ln>
            <a:noFill/>
          </a:ln>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1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936278912059327"/>
          <c:y val="5.0925925925925923E-2"/>
          <c:w val="0.850081438718569"/>
          <c:h val="0.56440198082974435"/>
        </c:manualLayout>
      </c:layout>
      <c:barChart>
        <c:barDir val="col"/>
        <c:grouping val="clustered"/>
        <c:varyColors val="0"/>
        <c:ser>
          <c:idx val="0"/>
          <c:order val="0"/>
          <c:tx>
            <c:strRef>
              <c:f>'cow milk avg price'!$B$32</c:f>
              <c:strCache>
                <c:ptCount val="1"/>
                <c:pt idx="0">
                  <c:v>Wet Season</c:v>
                </c:pt>
              </c:strCache>
            </c:strRef>
          </c:tx>
          <c:spPr>
            <a:solidFill>
              <a:schemeClr val="accent1"/>
            </a:solidFill>
            <a:ln>
              <a:noFill/>
            </a:ln>
            <a:effectLst/>
          </c:spPr>
          <c:invertIfNegative val="0"/>
          <c:cat>
            <c:strRef>
              <c:f>'cow milk avg price'!$A$33:$A$58</c:f>
              <c:strCache>
                <c:ptCount val="26"/>
                <c:pt idx="0">
                  <c:v>Dodoma</c:v>
                </c:pt>
                <c:pt idx="1">
                  <c:v>Arusha</c:v>
                </c:pt>
                <c:pt idx="2">
                  <c:v>Kilimanjaro</c:v>
                </c:pt>
                <c:pt idx="3">
                  <c:v>Tanga</c:v>
                </c:pt>
                <c:pt idx="4">
                  <c:v>Morogoro</c:v>
                </c:pt>
                <c:pt idx="5">
                  <c:v>Pwani</c:v>
                </c:pt>
                <c:pt idx="6">
                  <c:v>Dar-es-salaam</c:v>
                </c:pt>
                <c:pt idx="7">
                  <c:v>Lindi</c:v>
                </c:pt>
                <c:pt idx="8">
                  <c:v>Mtwara</c:v>
                </c:pt>
                <c:pt idx="9">
                  <c:v>Ruvuma</c:v>
                </c:pt>
                <c:pt idx="10">
                  <c:v>Iringa</c:v>
                </c:pt>
                <c:pt idx="11">
                  <c:v>Mbeya</c:v>
                </c:pt>
                <c:pt idx="12">
                  <c:v>Singida</c:v>
                </c:pt>
                <c:pt idx="13">
                  <c:v>Tabora</c:v>
                </c:pt>
                <c:pt idx="14">
                  <c:v>Rukwa</c:v>
                </c:pt>
                <c:pt idx="15">
                  <c:v>Kigoma</c:v>
                </c:pt>
                <c:pt idx="16">
                  <c:v>Shinyanga</c:v>
                </c:pt>
                <c:pt idx="17">
                  <c:v>Kagera</c:v>
                </c:pt>
                <c:pt idx="18">
                  <c:v>Mwanza</c:v>
                </c:pt>
                <c:pt idx="19">
                  <c:v>Mara</c:v>
                </c:pt>
                <c:pt idx="20">
                  <c:v>Manyara</c:v>
                </c:pt>
                <c:pt idx="21">
                  <c:v>Njombe</c:v>
                </c:pt>
                <c:pt idx="22">
                  <c:v>Katavi</c:v>
                </c:pt>
                <c:pt idx="23">
                  <c:v>Simiyu</c:v>
                </c:pt>
                <c:pt idx="24">
                  <c:v>Geita</c:v>
                </c:pt>
                <c:pt idx="25">
                  <c:v>Songwe</c:v>
                </c:pt>
              </c:strCache>
            </c:strRef>
          </c:cat>
          <c:val>
            <c:numRef>
              <c:f>'cow milk avg price'!$B$33:$B$58</c:f>
              <c:numCache>
                <c:formatCode>_(* #,##0_);_(* \(#,##0\);_(* "-"??_);_(@_)</c:formatCode>
                <c:ptCount val="26"/>
                <c:pt idx="0">
                  <c:v>897.9</c:v>
                </c:pt>
                <c:pt idx="1">
                  <c:v>1056</c:v>
                </c:pt>
                <c:pt idx="2">
                  <c:v>1023</c:v>
                </c:pt>
                <c:pt idx="3">
                  <c:v>779.5</c:v>
                </c:pt>
                <c:pt idx="4">
                  <c:v>907.4</c:v>
                </c:pt>
                <c:pt idx="5">
                  <c:v>1035.7</c:v>
                </c:pt>
                <c:pt idx="6">
                  <c:v>1665.2</c:v>
                </c:pt>
                <c:pt idx="7">
                  <c:v>1549.2</c:v>
                </c:pt>
                <c:pt idx="8">
                  <c:v>2000</c:v>
                </c:pt>
                <c:pt idx="9">
                  <c:v>1116</c:v>
                </c:pt>
                <c:pt idx="10">
                  <c:v>1044.9000000000001</c:v>
                </c:pt>
                <c:pt idx="11">
                  <c:v>919.7</c:v>
                </c:pt>
                <c:pt idx="12">
                  <c:v>1099</c:v>
                </c:pt>
                <c:pt idx="13">
                  <c:v>916.9</c:v>
                </c:pt>
                <c:pt idx="14">
                  <c:v>670.7</c:v>
                </c:pt>
                <c:pt idx="15">
                  <c:v>946.6</c:v>
                </c:pt>
                <c:pt idx="16">
                  <c:v>1271.0999999999999</c:v>
                </c:pt>
                <c:pt idx="17">
                  <c:v>1107.8</c:v>
                </c:pt>
                <c:pt idx="18">
                  <c:v>1032.0999999999999</c:v>
                </c:pt>
                <c:pt idx="19">
                  <c:v>883.3</c:v>
                </c:pt>
                <c:pt idx="20">
                  <c:v>1069.9000000000001</c:v>
                </c:pt>
                <c:pt idx="21">
                  <c:v>1077.5999999999999</c:v>
                </c:pt>
                <c:pt idx="22">
                  <c:v>539.29999999999995</c:v>
                </c:pt>
                <c:pt idx="23">
                  <c:v>905.3</c:v>
                </c:pt>
                <c:pt idx="24">
                  <c:v>823.1</c:v>
                </c:pt>
                <c:pt idx="25">
                  <c:v>1126.5</c:v>
                </c:pt>
              </c:numCache>
            </c:numRef>
          </c:val>
          <c:extLst>
            <c:ext xmlns:c16="http://schemas.microsoft.com/office/drawing/2014/chart" uri="{C3380CC4-5D6E-409C-BE32-E72D297353CC}">
              <c16:uniqueId val="{00000000-3FE3-8F42-85F3-C8DFF92449A4}"/>
            </c:ext>
          </c:extLst>
        </c:ser>
        <c:ser>
          <c:idx val="1"/>
          <c:order val="1"/>
          <c:tx>
            <c:strRef>
              <c:f>'cow milk avg price'!$C$32</c:f>
              <c:strCache>
                <c:ptCount val="1"/>
                <c:pt idx="0">
                  <c:v>Dry Season</c:v>
                </c:pt>
              </c:strCache>
            </c:strRef>
          </c:tx>
          <c:spPr>
            <a:solidFill>
              <a:schemeClr val="accent2"/>
            </a:solidFill>
            <a:ln w="12707">
              <a:noFill/>
            </a:ln>
            <a:effectLst/>
          </c:spPr>
          <c:invertIfNegative val="0"/>
          <c:cat>
            <c:strRef>
              <c:f>'cow milk avg price'!$A$33:$A$58</c:f>
              <c:strCache>
                <c:ptCount val="26"/>
                <c:pt idx="0">
                  <c:v>Dodoma</c:v>
                </c:pt>
                <c:pt idx="1">
                  <c:v>Arusha</c:v>
                </c:pt>
                <c:pt idx="2">
                  <c:v>Kilimanjaro</c:v>
                </c:pt>
                <c:pt idx="3">
                  <c:v>Tanga</c:v>
                </c:pt>
                <c:pt idx="4">
                  <c:v>Morogoro</c:v>
                </c:pt>
                <c:pt idx="5">
                  <c:v>Pwani</c:v>
                </c:pt>
                <c:pt idx="6">
                  <c:v>Dar-es-salaam</c:v>
                </c:pt>
                <c:pt idx="7">
                  <c:v>Lindi</c:v>
                </c:pt>
                <c:pt idx="8">
                  <c:v>Mtwara</c:v>
                </c:pt>
                <c:pt idx="9">
                  <c:v>Ruvuma</c:v>
                </c:pt>
                <c:pt idx="10">
                  <c:v>Iringa</c:v>
                </c:pt>
                <c:pt idx="11">
                  <c:v>Mbeya</c:v>
                </c:pt>
                <c:pt idx="12">
                  <c:v>Singida</c:v>
                </c:pt>
                <c:pt idx="13">
                  <c:v>Tabora</c:v>
                </c:pt>
                <c:pt idx="14">
                  <c:v>Rukwa</c:v>
                </c:pt>
                <c:pt idx="15">
                  <c:v>Kigoma</c:v>
                </c:pt>
                <c:pt idx="16">
                  <c:v>Shinyanga</c:v>
                </c:pt>
                <c:pt idx="17">
                  <c:v>Kagera</c:v>
                </c:pt>
                <c:pt idx="18">
                  <c:v>Mwanza</c:v>
                </c:pt>
                <c:pt idx="19">
                  <c:v>Mara</c:v>
                </c:pt>
                <c:pt idx="20">
                  <c:v>Manyara</c:v>
                </c:pt>
                <c:pt idx="21">
                  <c:v>Njombe</c:v>
                </c:pt>
                <c:pt idx="22">
                  <c:v>Katavi</c:v>
                </c:pt>
                <c:pt idx="23">
                  <c:v>Simiyu</c:v>
                </c:pt>
                <c:pt idx="24">
                  <c:v>Geita</c:v>
                </c:pt>
                <c:pt idx="25">
                  <c:v>Songwe</c:v>
                </c:pt>
              </c:strCache>
            </c:strRef>
          </c:cat>
          <c:val>
            <c:numRef>
              <c:f>'cow milk avg price'!$C$33:$C$58</c:f>
              <c:numCache>
                <c:formatCode>_(* #,##0_);_(* \(#,##0\);_(* "-"??_);_(@_)</c:formatCode>
                <c:ptCount val="26"/>
                <c:pt idx="0">
                  <c:v>966.3</c:v>
                </c:pt>
                <c:pt idx="1">
                  <c:v>991.2</c:v>
                </c:pt>
                <c:pt idx="2">
                  <c:v>977.1</c:v>
                </c:pt>
                <c:pt idx="3">
                  <c:v>834.1</c:v>
                </c:pt>
                <c:pt idx="4">
                  <c:v>1059.0999999999999</c:v>
                </c:pt>
                <c:pt idx="5">
                  <c:v>1099.5</c:v>
                </c:pt>
                <c:pt idx="6">
                  <c:v>1824.8</c:v>
                </c:pt>
                <c:pt idx="7">
                  <c:v>1000</c:v>
                </c:pt>
                <c:pt idx="8">
                  <c:v>2000</c:v>
                </c:pt>
                <c:pt idx="9">
                  <c:v>1102.0999999999999</c:v>
                </c:pt>
                <c:pt idx="10">
                  <c:v>1116.5</c:v>
                </c:pt>
                <c:pt idx="11">
                  <c:v>886.6</c:v>
                </c:pt>
                <c:pt idx="12">
                  <c:v>1095.3</c:v>
                </c:pt>
                <c:pt idx="13">
                  <c:v>790.4</c:v>
                </c:pt>
                <c:pt idx="14">
                  <c:v>810.7</c:v>
                </c:pt>
                <c:pt idx="15">
                  <c:v>990.8</c:v>
                </c:pt>
                <c:pt idx="16">
                  <c:v>1072.3</c:v>
                </c:pt>
                <c:pt idx="17">
                  <c:v>1426.8</c:v>
                </c:pt>
                <c:pt idx="18">
                  <c:v>1160.7</c:v>
                </c:pt>
                <c:pt idx="19">
                  <c:v>918</c:v>
                </c:pt>
                <c:pt idx="20">
                  <c:v>1082</c:v>
                </c:pt>
                <c:pt idx="21">
                  <c:v>1112.4000000000001</c:v>
                </c:pt>
                <c:pt idx="22">
                  <c:v>1273.5999999999999</c:v>
                </c:pt>
                <c:pt idx="23">
                  <c:v>890.2</c:v>
                </c:pt>
                <c:pt idx="24">
                  <c:v>846.7</c:v>
                </c:pt>
                <c:pt idx="25">
                  <c:v>1152.5999999999999</c:v>
                </c:pt>
              </c:numCache>
            </c:numRef>
          </c:val>
          <c:extLst>
            <c:ext xmlns:c16="http://schemas.microsoft.com/office/drawing/2014/chart" uri="{C3380CC4-5D6E-409C-BE32-E72D297353CC}">
              <c16:uniqueId val="{00000001-3FE3-8F42-85F3-C8DFF92449A4}"/>
            </c:ext>
          </c:extLst>
        </c:ser>
        <c:dLbls>
          <c:showLegendKey val="0"/>
          <c:showVal val="0"/>
          <c:showCatName val="0"/>
          <c:showSerName val="0"/>
          <c:showPercent val="0"/>
          <c:showBubbleSize val="0"/>
        </c:dLbls>
        <c:gapWidth val="150"/>
        <c:axId val="97536256"/>
        <c:axId val="97542528"/>
      </c:barChart>
      <c:catAx>
        <c:axId val="97536256"/>
        <c:scaling>
          <c:orientation val="minMax"/>
        </c:scaling>
        <c:delete val="0"/>
        <c:axPos val="b"/>
        <c:title>
          <c:tx>
            <c:rich>
              <a:bodyPr/>
              <a:lstStyle/>
              <a:p>
                <a:pPr>
                  <a:defRPr sz="901" b="0" i="0" u="none" strike="noStrike" baseline="0">
                    <a:solidFill>
                      <a:srgbClr val="000000"/>
                    </a:solidFill>
                    <a:latin typeface="Times New Roman"/>
                    <a:ea typeface="Times New Roman"/>
                    <a:cs typeface="Times New Roman"/>
                  </a:defRPr>
                </a:pPr>
                <a:r>
                  <a:rPr lang="en-US"/>
                  <a:t>Region</a:t>
                </a:r>
              </a:p>
            </c:rich>
          </c:tx>
          <c:layout>
            <c:manualLayout>
              <c:xMode val="edge"/>
              <c:yMode val="edge"/>
              <c:x val="0.50312091090654487"/>
              <c:y val="0.8265621148185206"/>
            </c:manualLayout>
          </c:layout>
          <c:overlay val="0"/>
          <c:spPr>
            <a:noFill/>
            <a:ln>
              <a:noFill/>
            </a:ln>
            <a:effectLst/>
          </c:spPr>
        </c:title>
        <c:numFmt formatCode="General" sourceLinked="1"/>
        <c:majorTickMark val="none"/>
        <c:minorTickMark val="none"/>
        <c:tickLblPos val="nextTo"/>
        <c:spPr>
          <a:noFill/>
          <a:ln w="6350" cap="flat" cmpd="sng" algn="ctr">
            <a:solidFill>
              <a:sysClr val="windowText" lastClr="000000"/>
            </a:solidFill>
            <a:round/>
          </a:ln>
          <a:effectLst/>
        </c:spPr>
        <c:txPr>
          <a:bodyPr rot="-5400000" spcFirstLastPara="1" vertOverflow="ellipsis" vert="horz" wrap="square" anchor="ctr" anchorCtr="1"/>
          <a:lstStyle/>
          <a:p>
            <a:pPr>
              <a:defRPr sz="901"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97542528"/>
        <c:crosses val="autoZero"/>
        <c:auto val="1"/>
        <c:lblAlgn val="ctr"/>
        <c:lblOffset val="100"/>
        <c:noMultiLvlLbl val="0"/>
      </c:catAx>
      <c:valAx>
        <c:axId val="97542528"/>
        <c:scaling>
          <c:orientation val="minMax"/>
          <c:max val="2000"/>
        </c:scaling>
        <c:delete val="0"/>
        <c:axPos val="l"/>
        <c:title>
          <c:tx>
            <c:rich>
              <a:bodyPr/>
              <a:lstStyle/>
              <a:p>
                <a:pPr>
                  <a:defRPr sz="901" b="0" i="0" u="none" strike="noStrike" baseline="0">
                    <a:solidFill>
                      <a:srgbClr val="000000"/>
                    </a:solidFill>
                    <a:latin typeface="Times New Roman"/>
                    <a:ea typeface="Times New Roman"/>
                    <a:cs typeface="Times New Roman"/>
                  </a:defRPr>
                </a:pPr>
                <a:r>
                  <a:rPr lang="en-US"/>
                  <a:t>Average Price per Litre </a:t>
                </a:r>
              </a:p>
            </c:rich>
          </c:tx>
          <c:layout>
            <c:manualLayout>
              <c:xMode val="edge"/>
              <c:yMode val="edge"/>
              <c:x val="1.4977539735873955E-2"/>
              <c:y val="8.9135525876944927E-2"/>
            </c:manualLayout>
          </c:layout>
          <c:overlay val="0"/>
          <c:spPr>
            <a:noFill/>
            <a:ln>
              <a:noFill/>
            </a:ln>
            <a:effectLst/>
          </c:spPr>
        </c:title>
        <c:numFmt formatCode="_(* #,##0_);_(* \(#,##0\);_(* &quot;-&quot;??_);_(@_)" sourceLinked="1"/>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901"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97536256"/>
        <c:crosses val="autoZero"/>
        <c:crossBetween val="between"/>
        <c:minorUnit val="500"/>
      </c:valAx>
      <c:spPr>
        <a:noFill/>
        <a:ln w="25415">
          <a:noFill/>
        </a:ln>
      </c:spPr>
    </c:plotArea>
    <c:legend>
      <c:legendPos val="b"/>
      <c:layout>
        <c:manualLayout>
          <c:xMode val="edge"/>
          <c:yMode val="edge"/>
          <c:x val="0.359291643777086"/>
          <c:y val="0.89407092414553158"/>
          <c:w val="0.34644485396772212"/>
          <c:h val="7.8125719896523727E-2"/>
        </c:manualLayout>
      </c:layout>
      <c:overlay val="0"/>
      <c:spPr>
        <a:noFill/>
        <a:ln>
          <a:noFill/>
        </a:ln>
        <a:effectLst/>
      </c:spPr>
      <c:txPr>
        <a:bodyPr rot="0" spcFirstLastPara="1" vertOverflow="ellipsis" vert="horz" wrap="square" anchor="ctr" anchorCtr="1"/>
        <a:lstStyle/>
        <a:p>
          <a:pPr>
            <a:defRPr sz="901"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31" cap="flat" cmpd="sng" algn="ctr">
      <a:solidFill>
        <a:sysClr val="windowText" lastClr="000000">
          <a:lumMod val="50000"/>
          <a:lumOff val="50000"/>
        </a:sysClr>
      </a:solidFill>
      <a:round/>
    </a:ln>
    <a:effectLst/>
  </c:spPr>
  <c:txPr>
    <a:bodyPr/>
    <a:lstStyle/>
    <a:p>
      <a:pPr>
        <a:defRPr sz="901">
          <a:solidFill>
            <a:schemeClr val="tx1"/>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217976913522569"/>
          <c:y val="8.3333333333333329E-2"/>
          <c:w val="0.76504248474005876"/>
          <c:h val="0.57969738639732016"/>
        </c:manualLayout>
      </c:layout>
      <c:barChart>
        <c:barDir val="col"/>
        <c:grouping val="clustered"/>
        <c:varyColors val="0"/>
        <c:ser>
          <c:idx val="0"/>
          <c:order val="0"/>
          <c:tx>
            <c:strRef>
              <c:f>'cow milk avg price'!$B$59</c:f>
              <c:strCache>
                <c:ptCount val="1"/>
                <c:pt idx="0">
                  <c:v>Wet Season</c:v>
                </c:pt>
              </c:strCache>
            </c:strRef>
          </c:tx>
          <c:spPr>
            <a:solidFill>
              <a:schemeClr val="accent1"/>
            </a:solidFill>
            <a:ln>
              <a:solidFill>
                <a:schemeClr val="accent5"/>
              </a:solidFill>
            </a:ln>
            <a:effectLst/>
          </c:spPr>
          <c:invertIfNegative val="0"/>
          <c:dLbls>
            <c:spPr>
              <a:noFill/>
              <a:ln>
                <a:noFill/>
              </a:ln>
              <a:effectLst/>
            </c:spPr>
            <c:txPr>
              <a:bodyPr rot="-5400000"/>
              <a:lstStyle/>
              <a:p>
                <a:pPr>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'cow milk avg price'!$A$60:$A$64</c:f>
              <c:strCache>
                <c:ptCount val="5"/>
                <c:pt idx="0">
                  <c:v>Kaskazini-Unguja</c:v>
                </c:pt>
                <c:pt idx="1">
                  <c:v>Kusini Unguja </c:v>
                </c:pt>
                <c:pt idx="2">
                  <c:v>Mjini Magharibi </c:v>
                </c:pt>
                <c:pt idx="3">
                  <c:v>Kaskazini-Pemba</c:v>
                </c:pt>
                <c:pt idx="4">
                  <c:v>Kusini-Pemba</c:v>
                </c:pt>
              </c:strCache>
            </c:strRef>
          </c:cat>
          <c:val>
            <c:numRef>
              <c:f>'cow milk avg price'!$B$60:$B$64</c:f>
              <c:numCache>
                <c:formatCode>_(* #,##0_);_(* \(#,##0\);_(* "-"??_);_(@_)</c:formatCode>
                <c:ptCount val="5"/>
                <c:pt idx="0">
                  <c:v>1455.2</c:v>
                </c:pt>
                <c:pt idx="1">
                  <c:v>1196.9000000000001</c:v>
                </c:pt>
                <c:pt idx="2">
                  <c:v>2138.9</c:v>
                </c:pt>
                <c:pt idx="3">
                  <c:v>1250.9000000000001</c:v>
                </c:pt>
                <c:pt idx="4">
                  <c:v>1148.4000000000001</c:v>
                </c:pt>
              </c:numCache>
            </c:numRef>
          </c:val>
          <c:extLst>
            <c:ext xmlns:c16="http://schemas.microsoft.com/office/drawing/2014/chart" uri="{C3380CC4-5D6E-409C-BE32-E72D297353CC}">
              <c16:uniqueId val="{00000000-56F8-E041-9C77-EF348F3381EB}"/>
            </c:ext>
          </c:extLst>
        </c:ser>
        <c:ser>
          <c:idx val="1"/>
          <c:order val="1"/>
          <c:tx>
            <c:strRef>
              <c:f>'cow milk avg price'!$C$59</c:f>
              <c:strCache>
                <c:ptCount val="1"/>
                <c:pt idx="0">
                  <c:v>Dry Season</c:v>
                </c:pt>
              </c:strCache>
            </c:strRef>
          </c:tx>
          <c:spPr>
            <a:solidFill>
              <a:schemeClr val="accent2"/>
            </a:solidFill>
            <a:ln w="12702">
              <a:noFill/>
            </a:ln>
            <a:effectLst/>
          </c:spPr>
          <c:invertIfNegative val="0"/>
          <c:dLbls>
            <c:spPr>
              <a:noFill/>
              <a:ln>
                <a:noFill/>
              </a:ln>
              <a:effectLst/>
            </c:spPr>
            <c:txPr>
              <a:bodyPr rot="-5400000"/>
              <a:lstStyle/>
              <a:p>
                <a:pPr>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'cow milk avg price'!$A$60:$A$64</c:f>
              <c:strCache>
                <c:ptCount val="5"/>
                <c:pt idx="0">
                  <c:v>Kaskazini-Unguja</c:v>
                </c:pt>
                <c:pt idx="1">
                  <c:v>Kusini Unguja </c:v>
                </c:pt>
                <c:pt idx="2">
                  <c:v>Mjini Magharibi </c:v>
                </c:pt>
                <c:pt idx="3">
                  <c:v>Kaskazini-Pemba</c:v>
                </c:pt>
                <c:pt idx="4">
                  <c:v>Kusini-Pemba</c:v>
                </c:pt>
              </c:strCache>
            </c:strRef>
          </c:cat>
          <c:val>
            <c:numRef>
              <c:f>'cow milk avg price'!$C$60:$C$64</c:f>
              <c:numCache>
                <c:formatCode>_(* #,##0_);_(* \(#,##0\);_(* "-"??_);_(@_)</c:formatCode>
                <c:ptCount val="5"/>
                <c:pt idx="0">
                  <c:v>1702</c:v>
                </c:pt>
                <c:pt idx="1">
                  <c:v>1207.4000000000001</c:v>
                </c:pt>
                <c:pt idx="2">
                  <c:v>2092.6</c:v>
                </c:pt>
                <c:pt idx="3">
                  <c:v>1468.2</c:v>
                </c:pt>
                <c:pt idx="4">
                  <c:v>1155.5</c:v>
                </c:pt>
              </c:numCache>
            </c:numRef>
          </c:val>
          <c:extLst>
            <c:ext xmlns:c16="http://schemas.microsoft.com/office/drawing/2014/chart" uri="{C3380CC4-5D6E-409C-BE32-E72D297353CC}">
              <c16:uniqueId val="{00000001-56F8-E041-9C77-EF348F3381EB}"/>
            </c:ext>
          </c:extLst>
        </c:ser>
        <c:dLbls>
          <c:showLegendKey val="0"/>
          <c:showVal val="0"/>
          <c:showCatName val="0"/>
          <c:showSerName val="0"/>
          <c:showPercent val="0"/>
          <c:showBubbleSize val="0"/>
        </c:dLbls>
        <c:gapWidth val="150"/>
        <c:axId val="124254848"/>
        <c:axId val="124392192"/>
      </c:barChart>
      <c:catAx>
        <c:axId val="124254848"/>
        <c:scaling>
          <c:orientation val="minMax"/>
        </c:scaling>
        <c:delete val="0"/>
        <c:axPos val="b"/>
        <c:title>
          <c:tx>
            <c:rich>
              <a:bodyPr/>
              <a:lstStyle/>
              <a:p>
                <a:pPr>
                  <a:defRPr b="0"/>
                </a:pPr>
                <a:r>
                  <a:rPr lang="en-US" b="0"/>
                  <a:t>Region</a:t>
                </a:r>
              </a:p>
            </c:rich>
          </c:tx>
          <c:layout>
            <c:manualLayout>
              <c:xMode val="edge"/>
              <c:yMode val="edge"/>
              <c:x val="0.50238789300273645"/>
              <c:y val="0.75279399809537084"/>
            </c:manualLayout>
          </c:layout>
          <c:overlay val="0"/>
          <c:spPr>
            <a:noFill/>
            <a:ln>
              <a:noFill/>
            </a:ln>
            <a:effectLst/>
          </c:spPr>
        </c:title>
        <c:numFmt formatCode="General" sourceLinked="1"/>
        <c:majorTickMark val="out"/>
        <c:minorTickMark val="none"/>
        <c:tickLblPos val="nextTo"/>
        <c:spPr>
          <a:noFill/>
          <a:ln w="6350" cap="flat" cmpd="sng" algn="ctr">
            <a:solidFill>
              <a:sysClr val="windowText" lastClr="000000"/>
            </a:solidFill>
            <a:round/>
          </a:ln>
          <a:effectLst/>
        </c:spPr>
        <c:txPr>
          <a:bodyPr rot="0"/>
          <a:lstStyle/>
          <a:p>
            <a:pPr>
              <a:defRPr>
                <a:solidFill>
                  <a:schemeClr val="tx1"/>
                </a:solidFill>
              </a:defRPr>
            </a:pPr>
            <a:endParaRPr lang="en-US"/>
          </a:p>
        </c:txPr>
        <c:crossAx val="124392192"/>
        <c:crosses val="autoZero"/>
        <c:auto val="1"/>
        <c:lblAlgn val="ctr"/>
        <c:lblOffset val="100"/>
        <c:noMultiLvlLbl val="0"/>
      </c:catAx>
      <c:valAx>
        <c:axId val="124392192"/>
        <c:scaling>
          <c:orientation val="minMax"/>
        </c:scaling>
        <c:delete val="0"/>
        <c:axPos val="l"/>
        <c:title>
          <c:tx>
            <c:rich>
              <a:bodyPr/>
              <a:lstStyle/>
              <a:p>
                <a:pPr>
                  <a:defRPr sz="700" b="0"/>
                </a:pPr>
                <a:r>
                  <a:rPr lang="en-US" sz="700" b="0"/>
                  <a:t>Average Price per Litre </a:t>
                </a:r>
              </a:p>
            </c:rich>
          </c:tx>
          <c:layout>
            <c:manualLayout>
              <c:xMode val="edge"/>
              <c:yMode val="edge"/>
              <c:x val="2.0682870502258133E-2"/>
              <c:y val="0.15563350789682098"/>
            </c:manualLayout>
          </c:layout>
          <c:overlay val="0"/>
          <c:spPr>
            <a:noFill/>
            <a:ln>
              <a:noFill/>
            </a:ln>
            <a:effectLst/>
          </c:spPr>
        </c:title>
        <c:numFmt formatCode="_(* #,##0_);_(* \(#,##0\);_(* &quot;-&quot;??_);_(@_)" sourceLinked="1"/>
        <c:majorTickMark val="out"/>
        <c:minorTickMark val="none"/>
        <c:tickLblPos val="nextTo"/>
        <c:spPr>
          <a:noFill/>
          <a:ln>
            <a:solidFill>
              <a:sysClr val="windowText" lastClr="000000"/>
            </a:solidFill>
          </a:ln>
          <a:effectLst/>
        </c:spPr>
        <c:txPr>
          <a:bodyPr rot="-60000000" vert="horz"/>
          <a:lstStyle/>
          <a:p>
            <a:pPr>
              <a:defRPr/>
            </a:pPr>
            <a:endParaRPr lang="en-US"/>
          </a:p>
        </c:txPr>
        <c:crossAx val="124254848"/>
        <c:crosses val="autoZero"/>
        <c:crossBetween val="between"/>
      </c:valAx>
      <c:spPr>
        <a:noFill/>
        <a:ln w="25405">
          <a:noFill/>
        </a:ln>
      </c:spPr>
    </c:plotArea>
    <c:legend>
      <c:legendPos val="b"/>
      <c:layout>
        <c:manualLayout>
          <c:xMode val="edge"/>
          <c:yMode val="edge"/>
          <c:x val="0.35364134170728662"/>
          <c:y val="0.83289268689429596"/>
          <c:w val="0.34644485396772207"/>
          <c:h val="7.8125566162636773E-2"/>
        </c:manualLayout>
      </c:layout>
      <c:overlay val="0"/>
      <c:spPr>
        <a:noFill/>
        <a:ln>
          <a:noFill/>
        </a:ln>
        <a:effectLst/>
      </c:spPr>
      <c:txPr>
        <a:bodyPr rot="0" vert="horz"/>
        <a:lstStyle/>
        <a:p>
          <a:pPr>
            <a:defRPr/>
          </a:pPr>
          <a:endParaRPr lang="en-US"/>
        </a:p>
      </c:txPr>
    </c:legend>
    <c:plotVisOnly val="1"/>
    <c:dispBlanksAs val="gap"/>
    <c:showDLblsOverMax val="0"/>
  </c:chart>
  <c:spPr>
    <a:solidFill>
      <a:schemeClr val="bg1"/>
    </a:solidFill>
    <a:ln w="9527" cap="flat" cmpd="sng" algn="ctr">
      <a:solidFill>
        <a:sysClr val="windowText" lastClr="000000">
          <a:lumMod val="50000"/>
          <a:lumOff val="50000"/>
        </a:sysClr>
      </a:solidFill>
      <a:round/>
    </a:ln>
    <a:effectLst/>
  </c:spPr>
  <c:txPr>
    <a:bodyPr/>
    <a:lstStyle/>
    <a:p>
      <a:pPr>
        <a:defRPr sz="700">
          <a:solidFill>
            <a:schemeClr val="tx1"/>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294680307176835"/>
          <c:y val="9.7720754609494753E-2"/>
          <c:w val="0.83059172759549738"/>
          <c:h val="0.56770279553981928"/>
        </c:manualLayout>
      </c:layout>
      <c:barChart>
        <c:barDir val="col"/>
        <c:grouping val="stacked"/>
        <c:varyColors val="0"/>
        <c:ser>
          <c:idx val="0"/>
          <c:order val="0"/>
          <c:spPr>
            <a:solidFill>
              <a:schemeClr val="accent1"/>
            </a:solidFill>
            <a:ln>
              <a:noFill/>
            </a:ln>
            <a:effectLst/>
          </c:spPr>
          <c:invertIfNegative val="0"/>
          <c:cat>
            <c:strRef>
              <c:f>'egg productn working'!$J$4:$J$29</c:f>
              <c:strCache>
                <c:ptCount val="26"/>
                <c:pt idx="0">
                  <c:v>Mbeya</c:v>
                </c:pt>
                <c:pt idx="1">
                  <c:v>Kagera</c:v>
                </c:pt>
                <c:pt idx="2">
                  <c:v>Dodoma</c:v>
                </c:pt>
                <c:pt idx="3">
                  <c:v>Mwanza</c:v>
                </c:pt>
                <c:pt idx="4">
                  <c:v>Morogoro</c:v>
                </c:pt>
                <c:pt idx="5">
                  <c:v>Dar-es-salaam</c:v>
                </c:pt>
                <c:pt idx="6">
                  <c:v>Tabora</c:v>
                </c:pt>
                <c:pt idx="7">
                  <c:v>Tanga</c:v>
                </c:pt>
                <c:pt idx="8">
                  <c:v>Pwani</c:v>
                </c:pt>
                <c:pt idx="9">
                  <c:v>Ruvuma</c:v>
                </c:pt>
                <c:pt idx="10">
                  <c:v>Kilimanjaro</c:v>
                </c:pt>
                <c:pt idx="11">
                  <c:v>Songwe</c:v>
                </c:pt>
                <c:pt idx="12">
                  <c:v>Singida</c:v>
                </c:pt>
                <c:pt idx="13">
                  <c:v>Mtwara</c:v>
                </c:pt>
                <c:pt idx="14">
                  <c:v>Iringa</c:v>
                </c:pt>
                <c:pt idx="15">
                  <c:v>Geita</c:v>
                </c:pt>
                <c:pt idx="16">
                  <c:v>Manyara</c:v>
                </c:pt>
                <c:pt idx="17">
                  <c:v>Arusha</c:v>
                </c:pt>
                <c:pt idx="18">
                  <c:v>Rukwa</c:v>
                </c:pt>
                <c:pt idx="19">
                  <c:v>Mara</c:v>
                </c:pt>
                <c:pt idx="20">
                  <c:v>Shinyanga</c:v>
                </c:pt>
                <c:pt idx="21">
                  <c:v>Lindi</c:v>
                </c:pt>
                <c:pt idx="22">
                  <c:v>Simiyu</c:v>
                </c:pt>
                <c:pt idx="23">
                  <c:v>Njombe</c:v>
                </c:pt>
                <c:pt idx="24">
                  <c:v>Kigoma</c:v>
                </c:pt>
                <c:pt idx="25">
                  <c:v>Katavi</c:v>
                </c:pt>
              </c:strCache>
            </c:strRef>
          </c:cat>
          <c:val>
            <c:numRef>
              <c:f>'egg productn working'!$L$4:$L$29</c:f>
              <c:numCache>
                <c:formatCode>_(* #,##0_);_(* \(#,##0\);_(* "-"??_);_(@_)</c:formatCode>
                <c:ptCount val="26"/>
                <c:pt idx="0">
                  <c:v>275.30818499999998</c:v>
                </c:pt>
                <c:pt idx="1">
                  <c:v>234.68043700000001</c:v>
                </c:pt>
                <c:pt idx="2">
                  <c:v>213.655292</c:v>
                </c:pt>
                <c:pt idx="3">
                  <c:v>206.74650800000001</c:v>
                </c:pt>
                <c:pt idx="4">
                  <c:v>203.78261000000001</c:v>
                </c:pt>
                <c:pt idx="5">
                  <c:v>203.72272699999999</c:v>
                </c:pt>
                <c:pt idx="6">
                  <c:v>197.55104900000001</c:v>
                </c:pt>
                <c:pt idx="7">
                  <c:v>196.97894600000001</c:v>
                </c:pt>
                <c:pt idx="8">
                  <c:v>190.28557900000001</c:v>
                </c:pt>
                <c:pt idx="9">
                  <c:v>172.594491</c:v>
                </c:pt>
                <c:pt idx="10">
                  <c:v>166.61034599999999</c:v>
                </c:pt>
                <c:pt idx="11">
                  <c:v>161.09134800000001</c:v>
                </c:pt>
                <c:pt idx="12">
                  <c:v>155.202541</c:v>
                </c:pt>
                <c:pt idx="13">
                  <c:v>154.87177299999999</c:v>
                </c:pt>
                <c:pt idx="14">
                  <c:v>147.18170900000001</c:v>
                </c:pt>
                <c:pt idx="15">
                  <c:v>129.99785399999999</c:v>
                </c:pt>
                <c:pt idx="16">
                  <c:v>128.88318599999999</c:v>
                </c:pt>
                <c:pt idx="17">
                  <c:v>128.85045500000001</c:v>
                </c:pt>
                <c:pt idx="18">
                  <c:v>118.97878300000001</c:v>
                </c:pt>
                <c:pt idx="19">
                  <c:v>117.719171</c:v>
                </c:pt>
                <c:pt idx="20">
                  <c:v>114.33778599999999</c:v>
                </c:pt>
                <c:pt idx="21">
                  <c:v>113.825774</c:v>
                </c:pt>
                <c:pt idx="22">
                  <c:v>102.624257</c:v>
                </c:pt>
                <c:pt idx="23">
                  <c:v>94.539742000000004</c:v>
                </c:pt>
                <c:pt idx="24">
                  <c:v>86.099965999999995</c:v>
                </c:pt>
                <c:pt idx="25">
                  <c:v>36.480975999999998</c:v>
                </c:pt>
              </c:numCache>
            </c:numRef>
          </c:val>
          <c:extLst>
            <c:ext xmlns:c16="http://schemas.microsoft.com/office/drawing/2014/chart" uri="{C3380CC4-5D6E-409C-BE32-E72D297353CC}">
              <c16:uniqueId val="{00000000-0DAE-874B-9F3F-1CB104D50A36}"/>
            </c:ext>
          </c:extLst>
        </c:ser>
        <c:dLbls>
          <c:showLegendKey val="0"/>
          <c:showVal val="0"/>
          <c:showCatName val="0"/>
          <c:showSerName val="0"/>
          <c:showPercent val="0"/>
          <c:showBubbleSize val="0"/>
        </c:dLbls>
        <c:gapWidth val="150"/>
        <c:overlap val="100"/>
        <c:axId val="24823680"/>
        <c:axId val="124715008"/>
      </c:barChart>
      <c:catAx>
        <c:axId val="24823680"/>
        <c:scaling>
          <c:orientation val="minMax"/>
        </c:scaling>
        <c:delete val="0"/>
        <c:axPos val="b"/>
        <c:title>
          <c:tx>
            <c:rich>
              <a:bodyPr/>
              <a:lstStyle/>
              <a:p>
                <a:pPr>
                  <a:defRPr b="0"/>
                </a:pPr>
                <a:r>
                  <a:rPr lang="en-US" b="0"/>
                  <a:t>Region</a:t>
                </a:r>
              </a:p>
            </c:rich>
          </c:tx>
          <c:layout>
            <c:manualLayout>
              <c:xMode val="edge"/>
              <c:yMode val="edge"/>
              <c:x val="0.46839567150264383"/>
              <c:y val="0.92636451191961844"/>
            </c:manualLayout>
          </c:layout>
          <c:overlay val="0"/>
          <c:spPr>
            <a:noFill/>
            <a:ln>
              <a:noFill/>
            </a:ln>
            <a:effectLst/>
          </c:spPr>
        </c:title>
        <c:numFmt formatCode="General" sourceLinked="1"/>
        <c:majorTickMark val="out"/>
        <c:minorTickMark val="none"/>
        <c:tickLblPos val="nextTo"/>
        <c:spPr>
          <a:noFill/>
          <a:ln w="9519" cap="flat" cmpd="sng" algn="ctr">
            <a:solidFill>
              <a:sysClr val="windowText" lastClr="000000">
                <a:lumMod val="50000"/>
                <a:lumOff val="50000"/>
              </a:sysClr>
            </a:solidFill>
            <a:round/>
          </a:ln>
          <a:effectLst/>
        </c:spPr>
        <c:txPr>
          <a:bodyPr rot="-5400000" vert="horz"/>
          <a:lstStyle/>
          <a:p>
            <a:pPr>
              <a:defRPr/>
            </a:pPr>
            <a:endParaRPr lang="en-US"/>
          </a:p>
        </c:txPr>
        <c:crossAx val="124715008"/>
        <c:crosses val="autoZero"/>
        <c:auto val="1"/>
        <c:lblAlgn val="ctr"/>
        <c:lblOffset val="100"/>
        <c:noMultiLvlLbl val="0"/>
      </c:catAx>
      <c:valAx>
        <c:axId val="124715008"/>
        <c:scaling>
          <c:orientation val="minMax"/>
        </c:scaling>
        <c:delete val="0"/>
        <c:axPos val="l"/>
        <c:title>
          <c:tx>
            <c:rich>
              <a:bodyPr/>
              <a:lstStyle/>
              <a:p>
                <a:pPr>
                  <a:defRPr b="0"/>
                </a:pPr>
                <a:r>
                  <a:rPr lang="en-US" b="0"/>
                  <a:t>Number of Eggs (Million)</a:t>
                </a:r>
              </a:p>
            </c:rich>
          </c:tx>
          <c:layout>
            <c:manualLayout>
              <c:xMode val="edge"/>
              <c:yMode val="edge"/>
              <c:x val="3.0289574845606668E-2"/>
              <c:y val="0.14692382873348156"/>
            </c:manualLayout>
          </c:layout>
          <c:overlay val="0"/>
          <c:spPr>
            <a:noFill/>
            <a:ln>
              <a:noFill/>
            </a:ln>
            <a:effectLst/>
          </c:spPr>
        </c:title>
        <c:numFmt formatCode="_(* #,##0_);_(* \(#,##0\);_(* &quot;-&quot;??_);_(@_)" sourceLinked="1"/>
        <c:majorTickMark val="out"/>
        <c:minorTickMark val="none"/>
        <c:tickLblPos val="nextTo"/>
        <c:spPr>
          <a:noFill/>
          <a:ln>
            <a:solidFill>
              <a:sysClr val="windowText" lastClr="000000">
                <a:lumMod val="50000"/>
                <a:lumOff val="50000"/>
              </a:sysClr>
            </a:solidFill>
          </a:ln>
          <a:effectLst/>
        </c:spPr>
        <c:txPr>
          <a:bodyPr rot="-60000000" vert="horz"/>
          <a:lstStyle/>
          <a:p>
            <a:pPr>
              <a:defRPr/>
            </a:pPr>
            <a:endParaRPr lang="en-US"/>
          </a:p>
        </c:txPr>
        <c:crossAx val="24823680"/>
        <c:crosses val="autoZero"/>
        <c:crossBetween val="between"/>
      </c:valAx>
      <c:spPr>
        <a:noFill/>
        <a:ln w="25383">
          <a:noFill/>
        </a:ln>
      </c:spPr>
    </c:plotArea>
    <c:plotVisOnly val="1"/>
    <c:dispBlanksAs val="gap"/>
    <c:showDLblsOverMax val="0"/>
  </c:chart>
  <c:spPr>
    <a:solidFill>
      <a:schemeClr val="bg1"/>
    </a:solidFill>
    <a:ln w="9519" cap="flat" cmpd="sng" algn="ctr">
      <a:solidFill>
        <a:sysClr val="windowText" lastClr="000000">
          <a:lumMod val="50000"/>
          <a:lumOff val="50000"/>
        </a:sysClr>
      </a:solidFill>
      <a:round/>
    </a:ln>
    <a:effectLst/>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spPr>
            <a:solidFill>
              <a:schemeClr val="accent6">
                <a:lumMod val="60000"/>
                <a:lumOff val="40000"/>
              </a:schemeClr>
            </a:solidFill>
            <a:ln>
              <a:noFill/>
            </a:ln>
            <a:effectLst/>
          </c:spPr>
          <c:invertIfNegative val="0"/>
          <c:cat>
            <c:strRef>
              <c:f>'Egg production_price'!$A$39:$A$64</c:f>
              <c:strCache>
                <c:ptCount val="26"/>
                <c:pt idx="0">
                  <c:v>Dar Es Salaam</c:v>
                </c:pt>
                <c:pt idx="1">
                  <c:v>Pwani</c:v>
                </c:pt>
                <c:pt idx="2">
                  <c:v>Katavi</c:v>
                </c:pt>
                <c:pt idx="3">
                  <c:v>Mbeya</c:v>
                </c:pt>
                <c:pt idx="4">
                  <c:v>Lindi</c:v>
                </c:pt>
                <c:pt idx="5">
                  <c:v>Morogoro</c:v>
                </c:pt>
                <c:pt idx="6">
                  <c:v>Ruvuma</c:v>
                </c:pt>
                <c:pt idx="7">
                  <c:v>Iringa</c:v>
                </c:pt>
                <c:pt idx="8">
                  <c:v>Geita</c:v>
                </c:pt>
                <c:pt idx="9">
                  <c:v>Tanga</c:v>
                </c:pt>
                <c:pt idx="10">
                  <c:v>Njombe</c:v>
                </c:pt>
                <c:pt idx="11">
                  <c:v>Mtwara</c:v>
                </c:pt>
                <c:pt idx="12">
                  <c:v>Simiyu</c:v>
                </c:pt>
                <c:pt idx="13">
                  <c:v>Mara</c:v>
                </c:pt>
                <c:pt idx="14">
                  <c:v>Kilimanjaro</c:v>
                </c:pt>
                <c:pt idx="15">
                  <c:v>Arusha</c:v>
                </c:pt>
                <c:pt idx="16">
                  <c:v>Mwanza</c:v>
                </c:pt>
                <c:pt idx="17">
                  <c:v>Kagera</c:v>
                </c:pt>
                <c:pt idx="18">
                  <c:v>Shinyanga</c:v>
                </c:pt>
                <c:pt idx="19">
                  <c:v>Tabora</c:v>
                </c:pt>
                <c:pt idx="20">
                  <c:v>Rukwa</c:v>
                </c:pt>
                <c:pt idx="21">
                  <c:v>Dodoma</c:v>
                </c:pt>
                <c:pt idx="22">
                  <c:v>Songwe</c:v>
                </c:pt>
                <c:pt idx="23">
                  <c:v>Singida</c:v>
                </c:pt>
                <c:pt idx="24">
                  <c:v>Kigoma</c:v>
                </c:pt>
                <c:pt idx="25">
                  <c:v>Manyara</c:v>
                </c:pt>
              </c:strCache>
            </c:strRef>
          </c:cat>
          <c:val>
            <c:numRef>
              <c:f>'Egg production_price'!$B$39:$B$64</c:f>
              <c:numCache>
                <c:formatCode>_(* #,##0_);_(* \(#,##0\);_(* "-"??_);_(@_)</c:formatCode>
                <c:ptCount val="26"/>
                <c:pt idx="0">
                  <c:v>500.5</c:v>
                </c:pt>
                <c:pt idx="1">
                  <c:v>400.4</c:v>
                </c:pt>
                <c:pt idx="2">
                  <c:v>390.4</c:v>
                </c:pt>
                <c:pt idx="3">
                  <c:v>379.6</c:v>
                </c:pt>
                <c:pt idx="4">
                  <c:v>373.7</c:v>
                </c:pt>
                <c:pt idx="5">
                  <c:v>371.4</c:v>
                </c:pt>
                <c:pt idx="6">
                  <c:v>354.5</c:v>
                </c:pt>
                <c:pt idx="7">
                  <c:v>344.2</c:v>
                </c:pt>
                <c:pt idx="8">
                  <c:v>334</c:v>
                </c:pt>
                <c:pt idx="9">
                  <c:v>333.4</c:v>
                </c:pt>
                <c:pt idx="10">
                  <c:v>328</c:v>
                </c:pt>
                <c:pt idx="11">
                  <c:v>322.39999999999998</c:v>
                </c:pt>
                <c:pt idx="12">
                  <c:v>320.3</c:v>
                </c:pt>
                <c:pt idx="13">
                  <c:v>320</c:v>
                </c:pt>
                <c:pt idx="14">
                  <c:v>302.7</c:v>
                </c:pt>
                <c:pt idx="15">
                  <c:v>302.10000000000002</c:v>
                </c:pt>
                <c:pt idx="16">
                  <c:v>297.8</c:v>
                </c:pt>
                <c:pt idx="17">
                  <c:v>294</c:v>
                </c:pt>
                <c:pt idx="18">
                  <c:v>293.89999999999998</c:v>
                </c:pt>
                <c:pt idx="19">
                  <c:v>286.3</c:v>
                </c:pt>
                <c:pt idx="20">
                  <c:v>286</c:v>
                </c:pt>
                <c:pt idx="21">
                  <c:v>281.60000000000002</c:v>
                </c:pt>
                <c:pt idx="22">
                  <c:v>280.8</c:v>
                </c:pt>
                <c:pt idx="23">
                  <c:v>263</c:v>
                </c:pt>
                <c:pt idx="24">
                  <c:v>261.2</c:v>
                </c:pt>
                <c:pt idx="25">
                  <c:v>241.3</c:v>
                </c:pt>
              </c:numCache>
            </c:numRef>
          </c:val>
          <c:extLst>
            <c:ext xmlns:c16="http://schemas.microsoft.com/office/drawing/2014/chart" uri="{C3380CC4-5D6E-409C-BE32-E72D297353CC}">
              <c16:uniqueId val="{00000000-3B2D-7741-AC4D-D86F2C6CF500}"/>
            </c:ext>
          </c:extLst>
        </c:ser>
        <c:dLbls>
          <c:showLegendKey val="0"/>
          <c:showVal val="0"/>
          <c:showCatName val="0"/>
          <c:showSerName val="0"/>
          <c:showPercent val="0"/>
          <c:showBubbleSize val="0"/>
        </c:dLbls>
        <c:gapWidth val="219"/>
        <c:overlap val="-27"/>
        <c:axId val="125079552"/>
        <c:axId val="125081472"/>
      </c:barChart>
      <c:catAx>
        <c:axId val="125079552"/>
        <c:scaling>
          <c:orientation val="minMax"/>
        </c:scaling>
        <c:delete val="0"/>
        <c:axPos val="b"/>
        <c:title>
          <c:tx>
            <c:rich>
              <a:bodyPr/>
              <a:lstStyle/>
              <a:p>
                <a:pPr>
                  <a:defRPr b="0"/>
                </a:pPr>
                <a:r>
                  <a:rPr lang="en-US" b="0"/>
                  <a:t>Region</a:t>
                </a:r>
              </a:p>
            </c:rich>
          </c:tx>
          <c:overlay val="0"/>
          <c:spPr>
            <a:noFill/>
            <a:ln>
              <a:noFill/>
            </a:ln>
            <a:effectLst/>
          </c:spPr>
        </c:title>
        <c:numFmt formatCode="General" sourceLinked="1"/>
        <c:majorTickMark val="out"/>
        <c:minorTickMark val="none"/>
        <c:tickLblPos val="nextTo"/>
        <c:spPr>
          <a:noFill/>
          <a:ln w="9523" cap="flat" cmpd="sng" algn="ctr">
            <a:solidFill>
              <a:sysClr val="windowText" lastClr="000000">
                <a:lumMod val="50000"/>
                <a:lumOff val="50000"/>
              </a:sysClr>
            </a:solidFill>
            <a:round/>
          </a:ln>
          <a:effectLst/>
        </c:spPr>
        <c:txPr>
          <a:bodyPr rot="-5400000"/>
          <a:lstStyle/>
          <a:p>
            <a:pPr>
              <a:defRPr/>
            </a:pPr>
            <a:endParaRPr lang="en-US"/>
          </a:p>
        </c:txPr>
        <c:crossAx val="125081472"/>
        <c:crosses val="autoZero"/>
        <c:auto val="1"/>
        <c:lblAlgn val="ctr"/>
        <c:lblOffset val="100"/>
        <c:noMultiLvlLbl val="0"/>
      </c:catAx>
      <c:valAx>
        <c:axId val="125081472"/>
        <c:scaling>
          <c:orientation val="minMax"/>
          <c:max val="500"/>
        </c:scaling>
        <c:delete val="0"/>
        <c:axPos val="l"/>
        <c:title>
          <c:tx>
            <c:rich>
              <a:bodyPr/>
              <a:lstStyle/>
              <a:p>
                <a:pPr>
                  <a:defRPr b="0"/>
                </a:pPr>
                <a:r>
                  <a:rPr lang="en-US" b="0"/>
                  <a:t>Average Price (TZS) </a:t>
                </a:r>
              </a:p>
            </c:rich>
          </c:tx>
          <c:layout>
            <c:manualLayout>
              <c:xMode val="edge"/>
              <c:yMode val="edge"/>
              <c:x val="1.3513513513513514E-2"/>
              <c:y val="0.20773353022863927"/>
            </c:manualLayout>
          </c:layout>
          <c:overlay val="0"/>
          <c:spPr>
            <a:noFill/>
            <a:ln>
              <a:noFill/>
            </a:ln>
            <a:effectLst/>
          </c:spPr>
        </c:title>
        <c:numFmt formatCode="_(* #,##0_);_(* \(#,##0\);_(* &quot;-&quot;??_);_(@_)" sourceLinked="1"/>
        <c:majorTickMark val="out"/>
        <c:minorTickMark val="none"/>
        <c:tickLblPos val="nextTo"/>
        <c:spPr>
          <a:noFill/>
          <a:ln>
            <a:solidFill>
              <a:sysClr val="windowText" lastClr="000000"/>
            </a:solidFill>
          </a:ln>
          <a:effectLst/>
        </c:spPr>
        <c:txPr>
          <a:bodyPr rot="-60000000" vert="horz"/>
          <a:lstStyle/>
          <a:p>
            <a:pPr>
              <a:defRPr/>
            </a:pPr>
            <a:endParaRPr lang="en-US"/>
          </a:p>
        </c:txPr>
        <c:crossAx val="125079552"/>
        <c:crosses val="autoZero"/>
        <c:crossBetween val="between"/>
        <c:minorUnit val="100"/>
      </c:valAx>
      <c:spPr>
        <a:noFill/>
        <a:ln w="25393">
          <a:noFill/>
        </a:ln>
      </c:spPr>
    </c:plotArea>
    <c:plotVisOnly val="1"/>
    <c:dispBlanksAs val="gap"/>
    <c:showDLblsOverMax val="0"/>
  </c:chart>
  <c:spPr>
    <a:solidFill>
      <a:schemeClr val="bg1"/>
    </a:solidFill>
    <a:ln w="9523" cap="flat" cmpd="sng" algn="ctr">
      <a:solidFill>
        <a:sysClr val="windowText" lastClr="000000">
          <a:lumMod val="50000"/>
          <a:lumOff val="50000"/>
        </a:sysClr>
      </a:solidFill>
      <a:round/>
    </a:ln>
    <a:effectLst/>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6800284339457569"/>
          <c:y val="0.116331096196868"/>
          <c:w val="0.76726642858847871"/>
          <c:h val="0.56770279553981928"/>
        </c:manualLayout>
      </c:layout>
      <c:barChart>
        <c:barDir val="col"/>
        <c:grouping val="stacked"/>
        <c:varyColors val="0"/>
        <c:ser>
          <c:idx val="0"/>
          <c:order val="0"/>
          <c:spPr>
            <a:solidFill>
              <a:schemeClr val="accent1"/>
            </a:solidFill>
            <a:ln>
              <a:noFill/>
            </a:ln>
            <a:effectLst/>
          </c:spPr>
          <c:invertIfNegative val="0"/>
          <c:dLbls>
            <c:dLbl>
              <c:idx val="0"/>
              <c:layout>
                <c:manualLayout>
                  <c:x val="-8.3333333333333332E-3"/>
                  <c:y val="-0.1387024608501118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BBF-BB4F-A935-AE120A3612D4}"/>
                </c:ext>
              </c:extLst>
            </c:dLbl>
            <c:dLbl>
              <c:idx val="1"/>
              <c:layout>
                <c:manualLayout>
                  <c:x val="-5.0925337632079971E-17"/>
                  <c:y val="-0.12080536912751678"/>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BBF-BB4F-A935-AE120A3612D4}"/>
                </c:ext>
              </c:extLst>
            </c:dLbl>
            <c:dLbl>
              <c:idx val="2"/>
              <c:layout>
                <c:manualLayout>
                  <c:x val="-9.0244260632777698E-17"/>
                  <c:y val="-0.30865300715915184"/>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BBF-BB4F-A935-AE120A3612D4}"/>
                </c:ext>
              </c:extLst>
            </c:dLbl>
            <c:dLbl>
              <c:idx val="3"/>
              <c:layout>
                <c:manualLayout>
                  <c:x val="-2.4612355402412914E-3"/>
                  <c:y val="-0.26828912741047556"/>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BBF-BB4F-A935-AE120A3612D4}"/>
                </c:ext>
              </c:extLst>
            </c:dLbl>
            <c:dLbl>
              <c:idx val="4"/>
              <c:layout>
                <c:manualLayout>
                  <c:x val="-1.0185067526415994E-16"/>
                  <c:y val="-0.12080536912751678"/>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BBF-BB4F-A935-AE120A3612D4}"/>
                </c:ext>
              </c:extLst>
            </c:dLbl>
            <c:spPr>
              <a:noFill/>
              <a:ln>
                <a:noFill/>
              </a:ln>
              <a:effectLst/>
            </c:spPr>
            <c:txPr>
              <a:bodyPr rot="0" vert="horz"/>
              <a:lstStyle/>
              <a:p>
                <a:pPr>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'egg productn working'!$J$31:$J$35</c:f>
              <c:strCache>
                <c:ptCount val="5"/>
                <c:pt idx="0">
                  <c:v>Kaskazini-Unguja</c:v>
                </c:pt>
                <c:pt idx="1">
                  <c:v>Kusini Unguja </c:v>
                </c:pt>
                <c:pt idx="2">
                  <c:v>Mjini Magharibi </c:v>
                </c:pt>
                <c:pt idx="3">
                  <c:v>Kaskazini-Pemba</c:v>
                </c:pt>
                <c:pt idx="4">
                  <c:v>Kusini-Pemba</c:v>
                </c:pt>
              </c:strCache>
            </c:strRef>
          </c:cat>
          <c:val>
            <c:numRef>
              <c:f>'egg productn working'!$L$31:$L$35</c:f>
              <c:numCache>
                <c:formatCode>_(* #,##0_);_(* \(#,##0\);_(* "-"??_);_(@_)</c:formatCode>
                <c:ptCount val="5"/>
                <c:pt idx="0">
                  <c:v>29.280930999999999</c:v>
                </c:pt>
                <c:pt idx="1">
                  <c:v>25.362425000000002</c:v>
                </c:pt>
                <c:pt idx="2">
                  <c:v>77.273840000000007</c:v>
                </c:pt>
                <c:pt idx="3">
                  <c:v>63.518245999999998</c:v>
                </c:pt>
                <c:pt idx="4">
                  <c:v>28.063628000000001</c:v>
                </c:pt>
              </c:numCache>
            </c:numRef>
          </c:val>
          <c:extLst>
            <c:ext xmlns:c16="http://schemas.microsoft.com/office/drawing/2014/chart" uri="{C3380CC4-5D6E-409C-BE32-E72D297353CC}">
              <c16:uniqueId val="{00000005-9BBF-BB4F-A935-AE120A3612D4}"/>
            </c:ext>
          </c:extLst>
        </c:ser>
        <c:dLbls>
          <c:showLegendKey val="0"/>
          <c:showVal val="0"/>
          <c:showCatName val="0"/>
          <c:showSerName val="0"/>
          <c:showPercent val="0"/>
          <c:showBubbleSize val="0"/>
        </c:dLbls>
        <c:gapWidth val="150"/>
        <c:overlap val="100"/>
        <c:axId val="125457536"/>
        <c:axId val="125459456"/>
      </c:barChart>
      <c:catAx>
        <c:axId val="125457536"/>
        <c:scaling>
          <c:orientation val="minMax"/>
        </c:scaling>
        <c:delete val="0"/>
        <c:axPos val="b"/>
        <c:title>
          <c:tx>
            <c:rich>
              <a:bodyPr/>
              <a:lstStyle/>
              <a:p>
                <a:pPr>
                  <a:defRPr b="0"/>
                </a:pPr>
                <a:r>
                  <a:rPr lang="en-US" b="0"/>
                  <a:t>Region</a:t>
                </a:r>
              </a:p>
            </c:rich>
          </c:tx>
          <c:layout>
            <c:manualLayout>
              <c:xMode val="edge"/>
              <c:yMode val="edge"/>
              <c:x val="0.46593281686563376"/>
              <c:y val="0.84563757655293093"/>
            </c:manualLayout>
          </c:layout>
          <c:overlay val="0"/>
          <c:spPr>
            <a:noFill/>
            <a:ln>
              <a:noFill/>
            </a:ln>
            <a:effectLst/>
          </c:spPr>
        </c:title>
        <c:numFmt formatCode="General" sourceLinked="1"/>
        <c:majorTickMark val="out"/>
        <c:minorTickMark val="none"/>
        <c:tickLblPos val="nextTo"/>
        <c:spPr>
          <a:noFill/>
          <a:ln w="9525" cap="flat" cmpd="sng" algn="ctr">
            <a:solidFill>
              <a:sysClr val="windowText" lastClr="000000">
                <a:lumMod val="50000"/>
                <a:lumOff val="50000"/>
              </a:sysClr>
            </a:solidFill>
            <a:round/>
          </a:ln>
          <a:effectLst/>
        </c:spPr>
        <c:txPr>
          <a:bodyPr rot="0"/>
          <a:lstStyle/>
          <a:p>
            <a:pPr>
              <a:defRPr/>
            </a:pPr>
            <a:endParaRPr lang="en-US"/>
          </a:p>
        </c:txPr>
        <c:crossAx val="125459456"/>
        <c:crosses val="autoZero"/>
        <c:auto val="1"/>
        <c:lblAlgn val="ctr"/>
        <c:lblOffset val="100"/>
        <c:noMultiLvlLbl val="0"/>
      </c:catAx>
      <c:valAx>
        <c:axId val="125459456"/>
        <c:scaling>
          <c:orientation val="minMax"/>
          <c:max val="80"/>
        </c:scaling>
        <c:delete val="0"/>
        <c:axPos val="l"/>
        <c:title>
          <c:tx>
            <c:rich>
              <a:bodyPr/>
              <a:lstStyle/>
              <a:p>
                <a:pPr>
                  <a:defRPr b="0"/>
                </a:pPr>
                <a:r>
                  <a:rPr lang="en-US" b="0"/>
                  <a:t>Number of Eggs (Million)</a:t>
                </a:r>
              </a:p>
            </c:rich>
          </c:tx>
          <c:layout>
            <c:manualLayout>
              <c:xMode val="edge"/>
              <c:yMode val="edge"/>
              <c:x val="3.3860545837872319E-2"/>
              <c:y val="0.17605030679576267"/>
            </c:manualLayout>
          </c:layout>
          <c:overlay val="0"/>
          <c:spPr>
            <a:noFill/>
            <a:ln>
              <a:noFill/>
            </a:ln>
            <a:effectLst/>
          </c:spPr>
        </c:title>
        <c:numFmt formatCode="_(* #,##0_);_(* \(#,##0\);_(* &quot;-&quot;??_);_(@_)" sourceLinked="1"/>
        <c:majorTickMark val="out"/>
        <c:minorTickMark val="none"/>
        <c:tickLblPos val="nextTo"/>
        <c:spPr>
          <a:noFill/>
          <a:ln>
            <a:solidFill>
              <a:sysClr val="windowText" lastClr="000000">
                <a:lumMod val="50000"/>
                <a:lumOff val="50000"/>
              </a:sysClr>
            </a:solidFill>
          </a:ln>
          <a:effectLst/>
        </c:spPr>
        <c:txPr>
          <a:bodyPr rot="-60000000" vert="horz"/>
          <a:lstStyle/>
          <a:p>
            <a:pPr>
              <a:defRPr/>
            </a:pPr>
            <a:endParaRPr lang="en-US"/>
          </a:p>
        </c:txPr>
        <c:crossAx val="125457536"/>
        <c:crosses val="autoZero"/>
        <c:crossBetween val="between"/>
      </c:valAx>
      <c:spPr>
        <a:noFill/>
        <a:ln w="25400">
          <a:noFill/>
        </a:ln>
      </c:spPr>
    </c:plotArea>
    <c:plotVisOnly val="1"/>
    <c:dispBlanksAs val="gap"/>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30579615048119"/>
          <c:y val="2.7777777777777776E-2"/>
          <c:w val="0.82638648293963257"/>
          <c:h val="0.71064012831729362"/>
        </c:manualLayout>
      </c:layout>
      <c:barChart>
        <c:barDir val="col"/>
        <c:grouping val="clustered"/>
        <c:varyColors val="0"/>
        <c:ser>
          <c:idx val="0"/>
          <c:order val="0"/>
          <c:spPr>
            <a:solidFill>
              <a:schemeClr val="accent6">
                <a:lumMod val="60000"/>
                <a:lumOff val="40000"/>
              </a:schemeClr>
            </a:solidFill>
            <a:ln>
              <a:noFill/>
            </a:ln>
            <a:effectLst/>
          </c:spPr>
          <c:invertIfNegative val="0"/>
          <c:dLbls>
            <c:spPr>
              <a:noFill/>
              <a:ln>
                <a:noFill/>
              </a:ln>
              <a:effectLst/>
            </c:spPr>
            <c:txPr>
              <a:bodyPr rot="0" vert="horz"/>
              <a:lstStyle/>
              <a:p>
                <a:pPr>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'Egg production_price'!$A$65:$A$69</c:f>
              <c:strCache>
                <c:ptCount val="5"/>
                <c:pt idx="0">
                  <c:v>Kaskazini Unguja</c:v>
                </c:pt>
                <c:pt idx="1">
                  <c:v>Kusini Unguja</c:v>
                </c:pt>
                <c:pt idx="2">
                  <c:v>Mjini Magharibi</c:v>
                </c:pt>
                <c:pt idx="3">
                  <c:v>Kaskazini Pemba</c:v>
                </c:pt>
                <c:pt idx="4">
                  <c:v>Kusini  Pemba</c:v>
                </c:pt>
              </c:strCache>
            </c:strRef>
          </c:cat>
          <c:val>
            <c:numRef>
              <c:f>'Egg production_price'!$B$65:$B$69</c:f>
              <c:numCache>
                <c:formatCode>_(* #,##0_);_(* \(#,##0\);_(* "-"??_);_(@_)</c:formatCode>
                <c:ptCount val="5"/>
                <c:pt idx="0">
                  <c:v>351.4</c:v>
                </c:pt>
                <c:pt idx="1">
                  <c:v>360.3</c:v>
                </c:pt>
                <c:pt idx="2">
                  <c:v>378.2</c:v>
                </c:pt>
                <c:pt idx="3">
                  <c:v>410.3</c:v>
                </c:pt>
                <c:pt idx="4">
                  <c:v>350.8</c:v>
                </c:pt>
              </c:numCache>
            </c:numRef>
          </c:val>
          <c:extLst>
            <c:ext xmlns:c16="http://schemas.microsoft.com/office/drawing/2014/chart" uri="{C3380CC4-5D6E-409C-BE32-E72D297353CC}">
              <c16:uniqueId val="{00000000-D8D9-DE4F-95CE-4DB52C7264B1}"/>
            </c:ext>
          </c:extLst>
        </c:ser>
        <c:dLbls>
          <c:showLegendKey val="0"/>
          <c:showVal val="0"/>
          <c:showCatName val="0"/>
          <c:showSerName val="0"/>
          <c:showPercent val="0"/>
          <c:showBubbleSize val="0"/>
        </c:dLbls>
        <c:gapWidth val="219"/>
        <c:overlap val="-27"/>
        <c:axId val="125758848"/>
        <c:axId val="125658624"/>
      </c:barChart>
      <c:catAx>
        <c:axId val="125758848"/>
        <c:scaling>
          <c:orientation val="minMax"/>
        </c:scaling>
        <c:delete val="0"/>
        <c:axPos val="b"/>
        <c:title>
          <c:tx>
            <c:rich>
              <a:bodyPr/>
              <a:lstStyle/>
              <a:p>
                <a:pPr>
                  <a:defRPr b="0"/>
                </a:pPr>
                <a:r>
                  <a:rPr lang="en-US" b="0"/>
                  <a:t>Region</a:t>
                </a:r>
              </a:p>
            </c:rich>
          </c:tx>
          <c:layout>
            <c:manualLayout>
              <c:xMode val="edge"/>
              <c:yMode val="edge"/>
              <c:x val="0.46467937316850666"/>
              <c:y val="0.89192115833587104"/>
            </c:manualLayout>
          </c:layout>
          <c:overlay val="0"/>
          <c:spPr>
            <a:noFill/>
            <a:ln>
              <a:noFill/>
            </a:ln>
            <a:effectLst/>
          </c:spPr>
        </c:title>
        <c:numFmt formatCode="General" sourceLinked="1"/>
        <c:majorTickMark val="out"/>
        <c:minorTickMark val="none"/>
        <c:tickLblPos val="nextTo"/>
        <c:spPr>
          <a:noFill/>
          <a:ln w="9531" cap="flat" cmpd="sng" algn="ctr">
            <a:solidFill>
              <a:sysClr val="windowText" lastClr="000000">
                <a:lumMod val="65000"/>
                <a:lumOff val="35000"/>
              </a:sysClr>
            </a:solidFill>
            <a:round/>
          </a:ln>
          <a:effectLst/>
        </c:spPr>
        <c:txPr>
          <a:bodyPr rot="-60000000" vert="horz"/>
          <a:lstStyle/>
          <a:p>
            <a:pPr>
              <a:defRPr/>
            </a:pPr>
            <a:endParaRPr lang="en-US"/>
          </a:p>
        </c:txPr>
        <c:crossAx val="125658624"/>
        <c:crosses val="autoZero"/>
        <c:auto val="1"/>
        <c:lblAlgn val="ctr"/>
        <c:lblOffset val="100"/>
        <c:noMultiLvlLbl val="0"/>
      </c:catAx>
      <c:valAx>
        <c:axId val="125658624"/>
        <c:scaling>
          <c:orientation val="minMax"/>
          <c:max val="450"/>
        </c:scaling>
        <c:delete val="0"/>
        <c:axPos val="l"/>
        <c:title>
          <c:tx>
            <c:rich>
              <a:bodyPr/>
              <a:lstStyle/>
              <a:p>
                <a:pPr>
                  <a:defRPr b="0"/>
                </a:pPr>
                <a:r>
                  <a:rPr lang="en-US" b="0"/>
                  <a:t>Average Price (TZS) </a:t>
                </a:r>
              </a:p>
            </c:rich>
          </c:tx>
          <c:layout>
            <c:manualLayout>
              <c:xMode val="edge"/>
              <c:yMode val="edge"/>
              <c:x val="3.2523703691390994E-2"/>
              <c:y val="0.20668167514972235"/>
            </c:manualLayout>
          </c:layout>
          <c:overlay val="0"/>
          <c:spPr>
            <a:noFill/>
            <a:ln>
              <a:noFill/>
            </a:ln>
            <a:effectLst/>
          </c:spPr>
        </c:title>
        <c:numFmt formatCode="_(* #,##0_);_(* \(#,##0\);_(* &quot;-&quot;??_);_(@_)" sourceLinked="1"/>
        <c:majorTickMark val="out"/>
        <c:minorTickMark val="none"/>
        <c:tickLblPos val="nextTo"/>
        <c:spPr>
          <a:noFill/>
          <a:ln>
            <a:solidFill>
              <a:sysClr val="windowText" lastClr="000000"/>
            </a:solidFill>
          </a:ln>
          <a:effectLst/>
        </c:spPr>
        <c:txPr>
          <a:bodyPr rot="-60000000" vert="horz"/>
          <a:lstStyle/>
          <a:p>
            <a:pPr>
              <a:defRPr/>
            </a:pPr>
            <a:endParaRPr lang="en-US"/>
          </a:p>
        </c:txPr>
        <c:crossAx val="125758848"/>
        <c:crosses val="autoZero"/>
        <c:crossBetween val="between"/>
        <c:minorUnit val="150"/>
      </c:valAx>
      <c:spPr>
        <a:noFill/>
        <a:ln w="25415">
          <a:noFill/>
        </a:ln>
      </c:spPr>
    </c:plotArea>
    <c:plotVisOnly val="1"/>
    <c:dispBlanksAs val="gap"/>
    <c:showDLblsOverMax val="0"/>
  </c:chart>
  <c:spPr>
    <a:solidFill>
      <a:schemeClr val="bg1"/>
    </a:solidFill>
    <a:ln w="9531" cap="flat" cmpd="sng" algn="ctr">
      <a:solidFill>
        <a:sysClr val="windowText" lastClr="000000">
          <a:lumMod val="50000"/>
          <a:lumOff val="50000"/>
        </a:sysClr>
      </a:solidFill>
      <a:round/>
    </a:ln>
    <a:effectLst/>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2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3355570217662655"/>
          <c:y val="0.12939902204005321"/>
          <c:w val="0.81388888888888888"/>
          <c:h val="0.77314814814814814"/>
        </c:manualLayout>
      </c:layout>
      <c:pie3DChart>
        <c:varyColors val="1"/>
        <c:ser>
          <c:idx val="0"/>
          <c:order val="0"/>
          <c:dPt>
            <c:idx val="0"/>
            <c:bubble3D val="0"/>
            <c:spPr>
              <a:solidFill>
                <a:srgbClr val="00B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1-E93E-484C-ADAF-39B484BE9EDD}"/>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E93E-484C-ADAF-39B484BE9EDD}"/>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E93E-484C-ADAF-39B484BE9EDD}"/>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E93E-484C-ADAF-39B484BE9EDD}"/>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E93E-484C-ADAF-39B484BE9EDD}"/>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E93E-484C-ADAF-39B484BE9EDD}"/>
              </c:ext>
            </c:extLst>
          </c:dPt>
          <c:dPt>
            <c:idx val="6"/>
            <c:bubble3D val="0"/>
            <c:spPr>
              <a:solidFill>
                <a:srgbClr val="FFFF00"/>
              </a:solidFill>
              <a:ln w="25400">
                <a:solidFill>
                  <a:schemeClr val="lt1"/>
                </a:solidFill>
              </a:ln>
              <a:effectLst/>
              <a:sp3d contourW="25400">
                <a:contourClr>
                  <a:schemeClr val="lt1"/>
                </a:contourClr>
              </a:sp3d>
            </c:spPr>
            <c:extLst>
              <c:ext xmlns:c16="http://schemas.microsoft.com/office/drawing/2014/chart" uri="{C3380CC4-5D6E-409C-BE32-E72D297353CC}">
                <c16:uniqueId val="{0000000D-E93E-484C-ADAF-39B484BE9EDD}"/>
              </c:ext>
            </c:extLst>
          </c:dPt>
          <c:dLbls>
            <c:dLbl>
              <c:idx val="0"/>
              <c:layout>
                <c:manualLayout>
                  <c:x val="-7.5027549480259248E-2"/>
                  <c:y val="0.20354420594685937"/>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E93E-484C-ADAF-39B484BE9EDD}"/>
                </c:ext>
              </c:extLst>
            </c:dLbl>
            <c:dLbl>
              <c:idx val="1"/>
              <c:layout>
                <c:manualLayout>
                  <c:x val="2.6706892679759269E-2"/>
                  <c:y val="0.26808371984323875"/>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E93E-484C-ADAF-39B484BE9EDD}"/>
                </c:ext>
              </c:extLst>
            </c:dLbl>
            <c:numFmt formatCode="0.0%" sourceLinked="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'Cattle Outlet'!$D$20:$D$26</c:f>
              <c:strCache>
                <c:ptCount val="7"/>
                <c:pt idx="0">
                  <c:v>Trade at Farm</c:v>
                </c:pt>
                <c:pt idx="1">
                  <c:v>Primary market </c:v>
                </c:pt>
                <c:pt idx="2">
                  <c:v>Secondary Market/ Auction</c:v>
                </c:pt>
                <c:pt idx="3">
                  <c:v>Neighbour </c:v>
                </c:pt>
                <c:pt idx="4">
                  <c:v>Another Farmer</c:v>
                </c:pt>
                <c:pt idx="5">
                  <c:v>Ranch</c:v>
                </c:pt>
                <c:pt idx="6">
                  <c:v>Other</c:v>
                </c:pt>
              </c:strCache>
            </c:strRef>
          </c:cat>
          <c:val>
            <c:numRef>
              <c:f>'Cattle Outlet'!$E$20:$E$26</c:f>
              <c:numCache>
                <c:formatCode>General</c:formatCode>
                <c:ptCount val="7"/>
                <c:pt idx="0">
                  <c:v>65.599999999999994</c:v>
                </c:pt>
                <c:pt idx="1">
                  <c:v>19.600000000000001</c:v>
                </c:pt>
                <c:pt idx="2">
                  <c:v>1.6</c:v>
                </c:pt>
                <c:pt idx="3">
                  <c:v>9.3000000000000007</c:v>
                </c:pt>
                <c:pt idx="4">
                  <c:v>3.3</c:v>
                </c:pt>
                <c:pt idx="5">
                  <c:v>0.1</c:v>
                </c:pt>
                <c:pt idx="6">
                  <c:v>0.5</c:v>
                </c:pt>
              </c:numCache>
            </c:numRef>
          </c:val>
          <c:extLst>
            <c:ext xmlns:c16="http://schemas.microsoft.com/office/drawing/2014/chart" uri="{C3380CC4-5D6E-409C-BE32-E72D297353CC}">
              <c16:uniqueId val="{0000000E-E93E-484C-ADAF-39B484BE9EDD}"/>
            </c:ext>
          </c:extLst>
        </c:ser>
        <c:dLbls>
          <c:dLblPos val="bestFit"/>
          <c:showLegendKey val="0"/>
          <c:showVal val="1"/>
          <c:showCatName val="0"/>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50000"/>
          <a:lumOff val="50000"/>
        </a:schemeClr>
      </a:solidFill>
      <a:round/>
    </a:ln>
    <a:effectLst/>
  </c:spPr>
  <c:txPr>
    <a:bodyPr/>
    <a:lstStyle/>
    <a:p>
      <a:pPr>
        <a:defRPr sz="70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029894913802971"/>
          <c:y val="0.23210611224478897"/>
          <c:w val="0.7873686422537155"/>
          <c:h val="0.72574706994732852"/>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437B-A34B-9F92-70CC6FD072ED}"/>
              </c:ext>
            </c:extLst>
          </c:dPt>
          <c:dPt>
            <c:idx val="1"/>
            <c:bubble3D val="0"/>
            <c:spPr>
              <a:solidFill>
                <a:srgbClr val="00B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3-437B-A34B-9F92-70CC6FD072ED}"/>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437B-A34B-9F92-70CC6FD072ED}"/>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437B-A34B-9F92-70CC6FD072ED}"/>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437B-A34B-9F92-70CC6FD072ED}"/>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437B-A34B-9F92-70CC6FD072ED}"/>
              </c:ext>
            </c:extLst>
          </c:dPt>
          <c:dPt>
            <c:idx val="6"/>
            <c:bubble3D val="0"/>
            <c:spPr>
              <a:solidFill>
                <a:srgbClr val="FFFF00"/>
              </a:solidFill>
              <a:ln w="25400">
                <a:solidFill>
                  <a:schemeClr val="lt1"/>
                </a:solidFill>
              </a:ln>
              <a:effectLst/>
              <a:sp3d contourW="25400">
                <a:contourClr>
                  <a:schemeClr val="lt1"/>
                </a:contourClr>
              </a:sp3d>
            </c:spPr>
            <c:extLst>
              <c:ext xmlns:c16="http://schemas.microsoft.com/office/drawing/2014/chart" uri="{C3380CC4-5D6E-409C-BE32-E72D297353CC}">
                <c16:uniqueId val="{0000000D-437B-A34B-9F92-70CC6FD072ED}"/>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437B-A34B-9F92-70CC6FD072ED}"/>
              </c:ext>
            </c:extLst>
          </c:dPt>
          <c:dLbls>
            <c:dLbl>
              <c:idx val="0"/>
              <c:layout>
                <c:manualLayout>
                  <c:x val="0.12326279527559054"/>
                  <c:y val="0.12892497812773404"/>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437B-A34B-9F92-70CC6FD072ED}"/>
                </c:ext>
              </c:extLst>
            </c:dLbl>
            <c:dLbl>
              <c:idx val="1"/>
              <c:layout>
                <c:manualLayout>
                  <c:x val="0.25052284101422845"/>
                  <c:y val="-4.0251932436301173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437B-A34B-9F92-70CC6FD072ED}"/>
                </c:ext>
              </c:extLst>
            </c:dLbl>
            <c:dLbl>
              <c:idx val="3"/>
              <c:layout>
                <c:manualLayout>
                  <c:x val="-0.14345481262163481"/>
                  <c:y val="1.0374042457718566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437B-A34B-9F92-70CC6FD072ED}"/>
                </c:ext>
              </c:extLst>
            </c:dLbl>
            <c:dLbl>
              <c:idx val="4"/>
              <c:layout>
                <c:manualLayout>
                  <c:x val="-0.13898203239064572"/>
                  <c:y val="-4.951012116636105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437B-A34B-9F92-70CC6FD072ED}"/>
                </c:ext>
              </c:extLst>
            </c:dLbl>
            <c:numFmt formatCode="0.0%" sourceLinked="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'Cattle Outlet'!$D$5:$D$12</c:f>
              <c:strCache>
                <c:ptCount val="8"/>
                <c:pt idx="0">
                  <c:v>Trade at Farm</c:v>
                </c:pt>
                <c:pt idx="1">
                  <c:v>Primary market </c:v>
                </c:pt>
                <c:pt idx="2">
                  <c:v>Secondary Market/ Auction</c:v>
                </c:pt>
                <c:pt idx="3">
                  <c:v>Neighbour </c:v>
                </c:pt>
                <c:pt idx="4">
                  <c:v>Another Farmer</c:v>
                </c:pt>
                <c:pt idx="5">
                  <c:v>Ranch</c:v>
                </c:pt>
                <c:pt idx="6">
                  <c:v>Border Market</c:v>
                </c:pt>
                <c:pt idx="7">
                  <c:v>Other</c:v>
                </c:pt>
              </c:strCache>
            </c:strRef>
          </c:cat>
          <c:val>
            <c:numRef>
              <c:f>'Cattle Outlet'!$E$5:$E$12</c:f>
              <c:numCache>
                <c:formatCode>General</c:formatCode>
                <c:ptCount val="8"/>
                <c:pt idx="0">
                  <c:v>16.600000000000001</c:v>
                </c:pt>
                <c:pt idx="1">
                  <c:v>60.3</c:v>
                </c:pt>
                <c:pt idx="2">
                  <c:v>8.8000000000000007</c:v>
                </c:pt>
                <c:pt idx="3" formatCode="0.0">
                  <c:v>9</c:v>
                </c:pt>
                <c:pt idx="4">
                  <c:v>3.9</c:v>
                </c:pt>
                <c:pt idx="5">
                  <c:v>0.1</c:v>
                </c:pt>
                <c:pt idx="6">
                  <c:v>0.4</c:v>
                </c:pt>
                <c:pt idx="7">
                  <c:v>0.9</c:v>
                </c:pt>
              </c:numCache>
            </c:numRef>
          </c:val>
          <c:extLst>
            <c:ext xmlns:c16="http://schemas.microsoft.com/office/drawing/2014/chart" uri="{C3380CC4-5D6E-409C-BE32-E72D297353CC}">
              <c16:uniqueId val="{00000010-437B-A34B-9F92-70CC6FD072ED}"/>
            </c:ext>
          </c:extLst>
        </c:ser>
        <c:dLbls>
          <c:dLblPos val="bestFit"/>
          <c:showLegendKey val="0"/>
          <c:showVal val="1"/>
          <c:showCatName val="0"/>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50000"/>
          <a:lumOff val="50000"/>
        </a:schemeClr>
      </a:solidFill>
      <a:round/>
    </a:ln>
    <a:effectLst/>
  </c:spPr>
  <c:txPr>
    <a:bodyPr/>
    <a:lstStyle/>
    <a:p>
      <a:pPr>
        <a:defRPr sz="70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3614780315866731"/>
          <c:y val="0.12807350645997864"/>
          <c:w val="0.77373431313030638"/>
          <c:h val="0.74385298708004266"/>
        </c:manualLayout>
      </c:layout>
      <c:pie3DChart>
        <c:varyColors val="1"/>
        <c:ser>
          <c:idx val="0"/>
          <c:order val="0"/>
          <c:dPt>
            <c:idx val="0"/>
            <c:bubble3D val="0"/>
            <c:spPr>
              <a:solidFill>
                <a:srgbClr val="00B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1-1EA3-5E46-980E-06B11C813CE9}"/>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1EA3-5E46-980E-06B11C813CE9}"/>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1EA3-5E46-980E-06B11C813CE9}"/>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1EA3-5E46-980E-06B11C813CE9}"/>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1EA3-5E46-980E-06B11C813CE9}"/>
              </c:ext>
            </c:extLst>
          </c:dPt>
          <c:dPt>
            <c:idx val="5"/>
            <c:bubble3D val="0"/>
            <c:spPr>
              <a:solidFill>
                <a:srgbClr val="FFFF00"/>
              </a:solidFill>
              <a:ln w="25400">
                <a:solidFill>
                  <a:schemeClr val="lt1"/>
                </a:solidFill>
              </a:ln>
              <a:effectLst/>
              <a:sp3d contourW="25400">
                <a:contourClr>
                  <a:schemeClr val="lt1"/>
                </a:contourClr>
              </a:sp3d>
            </c:spPr>
            <c:extLst>
              <c:ext xmlns:c16="http://schemas.microsoft.com/office/drawing/2014/chart" uri="{C3380CC4-5D6E-409C-BE32-E72D297353CC}">
                <c16:uniqueId val="{0000000B-1EA3-5E46-980E-06B11C813CE9}"/>
              </c:ext>
            </c:extLst>
          </c:dPt>
          <c:dLbls>
            <c:dLbl>
              <c:idx val="0"/>
              <c:layout>
                <c:manualLayout>
                  <c:x val="-3.7115215015793707E-2"/>
                  <c:y val="0.30653085651923911"/>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1EA3-5E46-980E-06B11C813CE9}"/>
                </c:ext>
              </c:extLst>
            </c:dLbl>
            <c:dLbl>
              <c:idx val="1"/>
              <c:layout>
                <c:manualLayout>
                  <c:x val="0.1180649105608787"/>
                  <c:y val="0.17196991210673926"/>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1EA3-5E46-980E-06B11C813CE9}"/>
                </c:ext>
              </c:extLst>
            </c:dLbl>
            <c:dLbl>
              <c:idx val="4"/>
              <c:layout>
                <c:manualLayout>
                  <c:x val="-3.5595751334296044E-2"/>
                  <c:y val="-5.69219756621331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1EA3-5E46-980E-06B11C813CE9}"/>
                </c:ext>
              </c:extLst>
            </c:dLbl>
            <c:dLbl>
              <c:idx val="5"/>
              <c:layout>
                <c:manualLayout>
                  <c:x val="0.19948244421254571"/>
                  <c:y val="-4.977222854594740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1EA3-5E46-980E-06B11C813CE9}"/>
                </c:ext>
              </c:extLst>
            </c:dLbl>
            <c:numFmt formatCode="0.0%" sourceLinked="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'Goats Outlet '!$D$20:$D$25</c:f>
              <c:strCache>
                <c:ptCount val="6"/>
                <c:pt idx="0">
                  <c:v>Trade at Farm</c:v>
                </c:pt>
                <c:pt idx="1">
                  <c:v>Primary market </c:v>
                </c:pt>
                <c:pt idx="2">
                  <c:v>Secondary Market/ Auction</c:v>
                </c:pt>
                <c:pt idx="3">
                  <c:v>Neighbour </c:v>
                </c:pt>
                <c:pt idx="4">
                  <c:v>Another Farmer</c:v>
                </c:pt>
                <c:pt idx="5">
                  <c:v>Other</c:v>
                </c:pt>
              </c:strCache>
            </c:strRef>
          </c:cat>
          <c:val>
            <c:numRef>
              <c:f>'Goats Outlet '!$E$20:$E$25</c:f>
              <c:numCache>
                <c:formatCode>General</c:formatCode>
                <c:ptCount val="6"/>
                <c:pt idx="0">
                  <c:v>56.4</c:v>
                </c:pt>
                <c:pt idx="1">
                  <c:v>17.600000000000001</c:v>
                </c:pt>
                <c:pt idx="2">
                  <c:v>3.6</c:v>
                </c:pt>
                <c:pt idx="3">
                  <c:v>10.7</c:v>
                </c:pt>
                <c:pt idx="4">
                  <c:v>4.5</c:v>
                </c:pt>
                <c:pt idx="5">
                  <c:v>7.2</c:v>
                </c:pt>
              </c:numCache>
            </c:numRef>
          </c:val>
          <c:extLst>
            <c:ext xmlns:c16="http://schemas.microsoft.com/office/drawing/2014/chart" uri="{C3380CC4-5D6E-409C-BE32-E72D297353CC}">
              <c16:uniqueId val="{0000000C-1EA3-5E46-980E-06B11C813CE9}"/>
            </c:ext>
          </c:extLst>
        </c:ser>
        <c:dLbls>
          <c:dLblPos val="bestFit"/>
          <c:showLegendKey val="0"/>
          <c:showVal val="1"/>
          <c:showCatName val="0"/>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50000"/>
          <a:lumOff val="50000"/>
        </a:schemeClr>
      </a:solidFill>
      <a:round/>
    </a:ln>
    <a:effectLst/>
  </c:spPr>
  <c:txPr>
    <a:bodyPr/>
    <a:lstStyle/>
    <a:p>
      <a:pPr>
        <a:defRPr sz="70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506249425365121"/>
          <c:y val="0.13403475832286985"/>
          <c:w val="0.77806273885295074"/>
          <c:h val="0.74385298708004266"/>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7917-AA41-B51B-C3802AB1C729}"/>
              </c:ext>
            </c:extLst>
          </c:dPt>
          <c:dPt>
            <c:idx val="1"/>
            <c:bubble3D val="0"/>
            <c:spPr>
              <a:solidFill>
                <a:srgbClr val="00B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3-7917-AA41-B51B-C3802AB1C729}"/>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7917-AA41-B51B-C3802AB1C729}"/>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7917-AA41-B51B-C3802AB1C729}"/>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7917-AA41-B51B-C3802AB1C729}"/>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7917-AA41-B51B-C3802AB1C729}"/>
              </c:ext>
            </c:extLst>
          </c:dPt>
          <c:dPt>
            <c:idx val="6"/>
            <c:bubble3D val="0"/>
            <c:spPr>
              <a:solidFill>
                <a:srgbClr val="FFFF00"/>
              </a:solidFill>
              <a:ln w="25400">
                <a:solidFill>
                  <a:schemeClr val="lt1"/>
                </a:solidFill>
              </a:ln>
              <a:effectLst/>
              <a:sp3d contourW="25400">
                <a:contourClr>
                  <a:schemeClr val="lt1"/>
                </a:contourClr>
              </a:sp3d>
            </c:spPr>
            <c:extLst>
              <c:ext xmlns:c16="http://schemas.microsoft.com/office/drawing/2014/chart" uri="{C3380CC4-5D6E-409C-BE32-E72D297353CC}">
                <c16:uniqueId val="{0000000D-7917-AA41-B51B-C3802AB1C729}"/>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7917-AA41-B51B-C3802AB1C729}"/>
              </c:ext>
            </c:extLst>
          </c:dPt>
          <c:dLbls>
            <c:dLbl>
              <c:idx val="0"/>
              <c:layout>
                <c:manualLayout>
                  <c:x val="0.12326279527559054"/>
                  <c:y val="0.12892497812773404"/>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7917-AA41-B51B-C3802AB1C729}"/>
                </c:ext>
              </c:extLst>
            </c:dLbl>
            <c:dLbl>
              <c:idx val="1"/>
              <c:layout>
                <c:manualLayout>
                  <c:x val="0.18709747368822782"/>
                  <c:y val="-1.566776582137367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7917-AA41-B51B-C3802AB1C729}"/>
                </c:ext>
              </c:extLst>
            </c:dLbl>
            <c:dLbl>
              <c:idx val="4"/>
              <c:layout>
                <c:manualLayout>
                  <c:x val="-0.1922012722633068"/>
                  <c:y val="3.8607320135653684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7917-AA41-B51B-C3802AB1C729}"/>
                </c:ext>
              </c:extLst>
            </c:dLbl>
            <c:numFmt formatCode="0.0%" sourceLinked="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'Goats Outlet '!$D$5:$D$12</c:f>
              <c:strCache>
                <c:ptCount val="8"/>
                <c:pt idx="0">
                  <c:v>Trade at Farm</c:v>
                </c:pt>
                <c:pt idx="1">
                  <c:v>Primary market </c:v>
                </c:pt>
                <c:pt idx="2">
                  <c:v>Secondary Market/ Auction</c:v>
                </c:pt>
                <c:pt idx="3">
                  <c:v>Neighbour </c:v>
                </c:pt>
                <c:pt idx="4">
                  <c:v>Another Farmer</c:v>
                </c:pt>
                <c:pt idx="5">
                  <c:v>Ranch</c:v>
                </c:pt>
                <c:pt idx="6">
                  <c:v>Border Market</c:v>
                </c:pt>
                <c:pt idx="7">
                  <c:v>Other</c:v>
                </c:pt>
              </c:strCache>
            </c:strRef>
          </c:cat>
          <c:val>
            <c:numRef>
              <c:f>'Goats Outlet '!$E$5:$E$12</c:f>
              <c:numCache>
                <c:formatCode>General</c:formatCode>
                <c:ptCount val="8"/>
                <c:pt idx="0">
                  <c:v>16.600000000000001</c:v>
                </c:pt>
                <c:pt idx="1">
                  <c:v>56.6</c:v>
                </c:pt>
                <c:pt idx="2">
                  <c:v>7.4</c:v>
                </c:pt>
                <c:pt idx="3" formatCode="0.0">
                  <c:v>12.8</c:v>
                </c:pt>
                <c:pt idx="4">
                  <c:v>3.4</c:v>
                </c:pt>
                <c:pt idx="5">
                  <c:v>0.1</c:v>
                </c:pt>
                <c:pt idx="6">
                  <c:v>0.4</c:v>
                </c:pt>
                <c:pt idx="7">
                  <c:v>2.7</c:v>
                </c:pt>
              </c:numCache>
            </c:numRef>
          </c:val>
          <c:extLst>
            <c:ext xmlns:c16="http://schemas.microsoft.com/office/drawing/2014/chart" uri="{C3380CC4-5D6E-409C-BE32-E72D297353CC}">
              <c16:uniqueId val="{00000010-7917-AA41-B51B-C3802AB1C729}"/>
            </c:ext>
          </c:extLst>
        </c:ser>
        <c:dLbls>
          <c:dLblPos val="bestFit"/>
          <c:showLegendKey val="0"/>
          <c:showVal val="1"/>
          <c:showCatName val="0"/>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50000"/>
          <a:lumOff val="50000"/>
        </a:schemeClr>
      </a:solidFill>
      <a:round/>
    </a:ln>
    <a:effectLst/>
  </c:spPr>
  <c:txPr>
    <a:bodyPr/>
    <a:lstStyle/>
    <a:p>
      <a:pPr>
        <a:defRPr sz="70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4869789383231328E-2"/>
          <c:y val="9.8492465116798364E-2"/>
          <c:w val="0.7788253517490642"/>
          <c:h val="0.76047662183819942"/>
        </c:manualLayout>
      </c:layout>
      <c:pie3DChart>
        <c:varyColors val="1"/>
        <c:ser>
          <c:idx val="0"/>
          <c:order val="0"/>
          <c:dPt>
            <c:idx val="0"/>
            <c:bubble3D val="0"/>
            <c:explosion val="6"/>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1AD4-7B48-AF17-C5C90E76D87C}"/>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1AD4-7B48-AF17-C5C90E76D87C}"/>
              </c:ext>
            </c:extLst>
          </c:dPt>
          <c:dLbls>
            <c:dLbl>
              <c:idx val="0"/>
              <c:layout>
                <c:manualLayout>
                  <c:x val="-3.0541711239324483E-2"/>
                  <c:y val="0.14282476477040867"/>
                </c:manualLayout>
              </c:layout>
              <c:tx>
                <c:rich>
                  <a:bodyPr/>
                  <a:lstStyle/>
                  <a:p>
                    <a:r>
                      <a:rPr lang="en-US"/>
                      <a:t>Insufficient</a:t>
                    </a:r>
                    <a:r>
                      <a:rPr lang="en-US" baseline="0"/>
                      <a:t>
</a:t>
                    </a:r>
                    <a:fld id="{892CF896-424A-6C49-9A75-C69BA2D6E4B8}" type="PERCENTAGE">
                      <a:rPr lang="en-US"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1AD4-7B48-AF17-C5C90E76D87C}"/>
                </c:ext>
              </c:extLst>
            </c:dLbl>
            <c:dLbl>
              <c:idx val="1"/>
              <c:layout>
                <c:manualLayout>
                  <c:x val="0.10448545201903235"/>
                  <c:y val="-0.17271784292646075"/>
                </c:manualLayout>
              </c:layout>
              <c:tx>
                <c:rich>
                  <a:bodyPr/>
                  <a:lstStyle/>
                  <a:p>
                    <a:r>
                      <a:rPr lang="en-US"/>
                      <a:t>Sufficient</a:t>
                    </a:r>
                    <a:r>
                      <a:rPr lang="en-US" baseline="0"/>
                      <a:t>
</a:t>
                    </a:r>
                    <a:fld id="{07D05E03-271C-D249-8425-51E5FAE5B18A}" type="PERCENTAGE">
                      <a:rPr lang="en-US"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1AD4-7B48-AF17-C5C90E76D87C}"/>
                </c:ext>
              </c:extLst>
            </c:dLbl>
            <c:numFmt formatCode="0.0%" sourceLinked="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Sheet8!$H$43:$I$43</c:f>
              <c:strCache>
                <c:ptCount val="2"/>
                <c:pt idx="0">
                  <c:v> All land was Used </c:v>
                </c:pt>
                <c:pt idx="1">
                  <c:v> Not All Land Used </c:v>
                </c:pt>
              </c:strCache>
            </c:strRef>
          </c:cat>
          <c:val>
            <c:numRef>
              <c:f>Sheet8!$H$44:$I$44</c:f>
              <c:numCache>
                <c:formatCode>General</c:formatCode>
                <c:ptCount val="2"/>
                <c:pt idx="0">
                  <c:v>67</c:v>
                </c:pt>
                <c:pt idx="1">
                  <c:v>33</c:v>
                </c:pt>
              </c:numCache>
            </c:numRef>
          </c:val>
          <c:extLst>
            <c:ext xmlns:c16="http://schemas.microsoft.com/office/drawing/2014/chart" uri="{C3380CC4-5D6E-409C-BE32-E72D297353CC}">
              <c16:uniqueId val="{00000004-1AD4-7B48-AF17-C5C90E76D87C}"/>
            </c:ext>
          </c:extLst>
        </c:ser>
        <c:dLbls>
          <c:showLegendKey val="0"/>
          <c:showVal val="0"/>
          <c:showCatName val="0"/>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60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1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1763319997228237E-2"/>
          <c:y val="0.1323922614511896"/>
          <c:w val="0.77310142855579833"/>
          <c:h val="0.75672085344170692"/>
        </c:manualLayout>
      </c:layout>
      <c:pie3DChart>
        <c:varyColors val="1"/>
        <c:ser>
          <c:idx val="0"/>
          <c:order val="0"/>
          <c:dPt>
            <c:idx val="0"/>
            <c:bubble3D val="0"/>
            <c:spPr>
              <a:solidFill>
                <a:srgbClr val="00B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1-C1D6-B248-BDD6-198B9EA51269}"/>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C1D6-B248-BDD6-198B9EA51269}"/>
              </c:ext>
            </c:extLst>
          </c:dPt>
          <c:dPt>
            <c:idx val="2"/>
            <c:bubble3D val="0"/>
            <c:spPr>
              <a:solidFill>
                <a:srgbClr val="FFFF00"/>
              </a:solidFill>
              <a:ln w="25400">
                <a:solidFill>
                  <a:schemeClr val="lt1"/>
                </a:solidFill>
              </a:ln>
              <a:effectLst/>
              <a:sp3d contourW="25400">
                <a:contourClr>
                  <a:schemeClr val="lt1"/>
                </a:contourClr>
              </a:sp3d>
            </c:spPr>
            <c:extLst>
              <c:ext xmlns:c16="http://schemas.microsoft.com/office/drawing/2014/chart" uri="{C3380CC4-5D6E-409C-BE32-E72D297353CC}">
                <c16:uniqueId val="{00000005-C1D6-B248-BDD6-198B9EA51269}"/>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C1D6-B248-BDD6-198B9EA51269}"/>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C1D6-B248-BDD6-198B9EA51269}"/>
              </c:ext>
            </c:extLst>
          </c:dPt>
          <c:dPt>
            <c:idx val="5"/>
            <c:bubble3D val="0"/>
            <c:spPr>
              <a:solidFill>
                <a:srgbClr val="7030A0"/>
              </a:solidFill>
              <a:ln w="25400">
                <a:solidFill>
                  <a:schemeClr val="lt1"/>
                </a:solidFill>
              </a:ln>
              <a:effectLst/>
              <a:sp3d contourW="25400">
                <a:contourClr>
                  <a:schemeClr val="lt1"/>
                </a:contourClr>
              </a:sp3d>
            </c:spPr>
            <c:extLst>
              <c:ext xmlns:c16="http://schemas.microsoft.com/office/drawing/2014/chart" uri="{C3380CC4-5D6E-409C-BE32-E72D297353CC}">
                <c16:uniqueId val="{0000000B-C1D6-B248-BDD6-198B9EA51269}"/>
              </c:ext>
            </c:extLst>
          </c:dPt>
          <c:dLbls>
            <c:dLbl>
              <c:idx val="0"/>
              <c:layout>
                <c:manualLayout>
                  <c:x val="5.610992986691847E-2"/>
                  <c:y val="-6.9194818389636772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C1D6-B248-BDD6-198B9EA51269}"/>
                </c:ext>
              </c:extLst>
            </c:dLbl>
            <c:dLbl>
              <c:idx val="1"/>
              <c:layout>
                <c:manualLayout>
                  <c:x val="-5.7897174617878647E-4"/>
                  <c:y val="-0.10179324358648714"/>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C1D6-B248-BDD6-198B9EA51269}"/>
                </c:ext>
              </c:extLst>
            </c:dLbl>
            <c:dLbl>
              <c:idx val="2"/>
              <c:layout>
                <c:manualLayout>
                  <c:x val="-3.8235294117647062E-2"/>
                  <c:y val="0.25185759038184741"/>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C1D6-B248-BDD6-198B9EA51269}"/>
                </c:ext>
              </c:extLst>
            </c:dLbl>
            <c:dLbl>
              <c:idx val="4"/>
              <c:layout>
                <c:manualLayout>
                  <c:x val="-6.7412005412246123E-2"/>
                  <c:y val="-2.084455168910337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C1D6-B248-BDD6-198B9EA51269}"/>
                </c:ext>
              </c:extLst>
            </c:dLbl>
            <c:dLbl>
              <c:idx val="5"/>
              <c:layout>
                <c:manualLayout>
                  <c:x val="-1.3395673850171231E-3"/>
                  <c:y val="-8.123655913978494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C1D6-B248-BDD6-198B9EA51269}"/>
                </c:ext>
              </c:extLst>
            </c:dLbl>
            <c:numFmt formatCode="0.0%" sourceLinked="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'Chicken Outlet'!$D$20:$D$25</c:f>
              <c:strCache>
                <c:ptCount val="6"/>
                <c:pt idx="0">
                  <c:v>Trade at Farm</c:v>
                </c:pt>
                <c:pt idx="1">
                  <c:v>Primary market </c:v>
                </c:pt>
                <c:pt idx="2">
                  <c:v>Secondary Market/ Auction</c:v>
                </c:pt>
                <c:pt idx="3">
                  <c:v>Neighbour </c:v>
                </c:pt>
                <c:pt idx="4">
                  <c:v>Another Farmer</c:v>
                </c:pt>
                <c:pt idx="5">
                  <c:v>Other</c:v>
                </c:pt>
              </c:strCache>
            </c:strRef>
          </c:cat>
          <c:val>
            <c:numRef>
              <c:f>'Chicken Outlet'!$E$20:$E$25</c:f>
              <c:numCache>
                <c:formatCode>General</c:formatCode>
                <c:ptCount val="6"/>
                <c:pt idx="0">
                  <c:v>19</c:v>
                </c:pt>
                <c:pt idx="1">
                  <c:v>7.5</c:v>
                </c:pt>
                <c:pt idx="2">
                  <c:v>0.6</c:v>
                </c:pt>
                <c:pt idx="3">
                  <c:v>59.2</c:v>
                </c:pt>
                <c:pt idx="4">
                  <c:v>11.2</c:v>
                </c:pt>
                <c:pt idx="5">
                  <c:v>2.5</c:v>
                </c:pt>
              </c:numCache>
            </c:numRef>
          </c:val>
          <c:extLst>
            <c:ext xmlns:c16="http://schemas.microsoft.com/office/drawing/2014/chart" uri="{C3380CC4-5D6E-409C-BE32-E72D297353CC}">
              <c16:uniqueId val="{0000000C-C1D6-B248-BDD6-198B9EA51269}"/>
            </c:ext>
          </c:extLst>
        </c:ser>
        <c:dLbls>
          <c:dLblPos val="bestFit"/>
          <c:showLegendKey val="0"/>
          <c:showVal val="1"/>
          <c:showCatName val="0"/>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50000"/>
          <a:lumOff val="50000"/>
        </a:schemeClr>
      </a:solidFill>
      <a:round/>
    </a:ln>
    <a:effectLst/>
  </c:spPr>
  <c:txPr>
    <a:bodyPr/>
    <a:lstStyle/>
    <a:p>
      <a:pPr>
        <a:defRPr sz="70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C26C-4C44-AB58-B5E142AF1076}"/>
              </c:ext>
            </c:extLst>
          </c:dPt>
          <c:dPt>
            <c:idx val="1"/>
            <c:bubble3D val="0"/>
            <c:spPr>
              <a:solidFill>
                <a:srgbClr val="00B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3-C26C-4C44-AB58-B5E142AF1076}"/>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C26C-4C44-AB58-B5E142AF1076}"/>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C26C-4C44-AB58-B5E142AF1076}"/>
              </c:ext>
            </c:extLst>
          </c:dPt>
          <c:dPt>
            <c:idx val="4"/>
            <c:bubble3D val="0"/>
            <c:spPr>
              <a:solidFill>
                <a:srgbClr val="FFFF00"/>
              </a:solidFill>
              <a:ln w="25400">
                <a:solidFill>
                  <a:schemeClr val="lt1"/>
                </a:solidFill>
              </a:ln>
              <a:effectLst/>
              <a:sp3d contourW="25400">
                <a:contourClr>
                  <a:schemeClr val="lt1"/>
                </a:contourClr>
              </a:sp3d>
            </c:spPr>
            <c:extLst>
              <c:ext xmlns:c16="http://schemas.microsoft.com/office/drawing/2014/chart" uri="{C3380CC4-5D6E-409C-BE32-E72D297353CC}">
                <c16:uniqueId val="{00000009-C26C-4C44-AB58-B5E142AF1076}"/>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C26C-4C44-AB58-B5E142AF1076}"/>
              </c:ext>
            </c:extLst>
          </c:dPt>
          <c:dPt>
            <c:idx val="6"/>
            <c:bubble3D val="0"/>
            <c:spPr>
              <a:solidFill>
                <a:srgbClr val="FFFF00"/>
              </a:solidFill>
              <a:ln w="25400">
                <a:solidFill>
                  <a:schemeClr val="lt1"/>
                </a:solidFill>
              </a:ln>
              <a:effectLst/>
              <a:sp3d contourW="25400">
                <a:contourClr>
                  <a:schemeClr val="lt1"/>
                </a:contourClr>
              </a:sp3d>
            </c:spPr>
            <c:extLst>
              <c:ext xmlns:c16="http://schemas.microsoft.com/office/drawing/2014/chart" uri="{C3380CC4-5D6E-409C-BE32-E72D297353CC}">
                <c16:uniqueId val="{0000000D-C26C-4C44-AB58-B5E142AF1076}"/>
              </c:ext>
            </c:extLst>
          </c:dPt>
          <c:dPt>
            <c:idx val="7"/>
            <c:bubble3D val="0"/>
            <c:spPr>
              <a:solidFill>
                <a:srgbClr val="7030A0"/>
              </a:solidFill>
              <a:ln w="25400">
                <a:solidFill>
                  <a:schemeClr val="lt1"/>
                </a:solidFill>
              </a:ln>
              <a:effectLst/>
              <a:sp3d contourW="25400">
                <a:contourClr>
                  <a:schemeClr val="lt1"/>
                </a:contourClr>
              </a:sp3d>
            </c:spPr>
            <c:extLst>
              <c:ext xmlns:c16="http://schemas.microsoft.com/office/drawing/2014/chart" uri="{C3380CC4-5D6E-409C-BE32-E72D297353CC}">
                <c16:uniqueId val="{0000000F-C26C-4C44-AB58-B5E142AF1076}"/>
              </c:ext>
            </c:extLst>
          </c:dPt>
          <c:dLbls>
            <c:dLbl>
              <c:idx val="0"/>
              <c:layout>
                <c:manualLayout>
                  <c:x val="1.8073137012532211E-2"/>
                  <c:y val="-9.150495300990602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C26C-4C44-AB58-B5E142AF1076}"/>
                </c:ext>
              </c:extLst>
            </c:dLbl>
            <c:dLbl>
              <c:idx val="1"/>
              <c:layout>
                <c:manualLayout>
                  <c:x val="2.7807935903215987E-2"/>
                  <c:y val="2.1807636948607229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C26C-4C44-AB58-B5E142AF1076}"/>
                </c:ext>
              </c:extLst>
            </c:dLbl>
            <c:dLbl>
              <c:idx val="2"/>
              <c:layout>
                <c:manualLayout>
                  <c:x val="-0.19447621075677393"/>
                  <c:y val="-3.8705444077553838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C26C-4C44-AB58-B5E142AF1076}"/>
                </c:ext>
              </c:extLst>
            </c:dLbl>
            <c:dLbl>
              <c:idx val="4"/>
              <c:layout>
                <c:manualLayout>
                  <c:x val="-0.11156962922419401"/>
                  <c:y val="2.0164253661840659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C26C-4C44-AB58-B5E142AF1076}"/>
                </c:ext>
              </c:extLst>
            </c:dLbl>
            <c:dLbl>
              <c:idx val="7"/>
              <c:layout>
                <c:manualLayout>
                  <c:x val="9.7348487999321234E-2"/>
                  <c:y val="-8.6427906189145715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C26C-4C44-AB58-B5E142AF1076}"/>
                </c:ext>
              </c:extLst>
            </c:dLbl>
            <c:numFmt formatCode="0.0%" sourceLinked="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'Chicken Outlet'!$D$5:$D$12</c:f>
              <c:strCache>
                <c:ptCount val="8"/>
                <c:pt idx="0">
                  <c:v>Trade at Farm</c:v>
                </c:pt>
                <c:pt idx="1">
                  <c:v>Primary market </c:v>
                </c:pt>
                <c:pt idx="2">
                  <c:v>Secondary Market/ Auction</c:v>
                </c:pt>
                <c:pt idx="3">
                  <c:v>Neighbour </c:v>
                </c:pt>
                <c:pt idx="4">
                  <c:v>Another Farmer</c:v>
                </c:pt>
                <c:pt idx="7">
                  <c:v>Other</c:v>
                </c:pt>
              </c:strCache>
            </c:strRef>
          </c:cat>
          <c:val>
            <c:numRef>
              <c:f>'Chicken Outlet'!$E$5:$E$12</c:f>
              <c:numCache>
                <c:formatCode>General</c:formatCode>
                <c:ptCount val="8"/>
                <c:pt idx="0">
                  <c:v>29.3</c:v>
                </c:pt>
                <c:pt idx="1">
                  <c:v>21.5</c:v>
                </c:pt>
                <c:pt idx="2">
                  <c:v>2.4</c:v>
                </c:pt>
                <c:pt idx="3" formatCode="0.0">
                  <c:v>39.200000000000003</c:v>
                </c:pt>
                <c:pt idx="4">
                  <c:v>4.8</c:v>
                </c:pt>
                <c:pt idx="7">
                  <c:v>2.8</c:v>
                </c:pt>
              </c:numCache>
            </c:numRef>
          </c:val>
          <c:extLst>
            <c:ext xmlns:c16="http://schemas.microsoft.com/office/drawing/2014/chart" uri="{C3380CC4-5D6E-409C-BE32-E72D297353CC}">
              <c16:uniqueId val="{00000010-C26C-4C44-AB58-B5E142AF1076}"/>
            </c:ext>
          </c:extLst>
        </c:ser>
        <c:dLbls>
          <c:dLblPos val="bestFit"/>
          <c:showLegendKey val="0"/>
          <c:showVal val="1"/>
          <c:showCatName val="0"/>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50000"/>
          <a:lumOff val="50000"/>
        </a:schemeClr>
      </a:solidFill>
      <a:round/>
    </a:ln>
    <a:effectLst/>
  </c:spPr>
  <c:txPr>
    <a:bodyPr/>
    <a:lstStyle/>
    <a:p>
      <a:pPr>
        <a:defRPr sz="70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10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8228105513738569E-2"/>
          <c:y val="9.8863278453829626E-2"/>
          <c:w val="0.80156092483543595"/>
          <c:h val="0.77197041278931045"/>
        </c:manualLayout>
      </c:layout>
      <c:pie3DChart>
        <c:varyColors val="1"/>
        <c:ser>
          <c:idx val="0"/>
          <c:order val="0"/>
          <c:dPt>
            <c:idx val="0"/>
            <c:bubble3D val="0"/>
            <c:spPr>
              <a:solidFill>
                <a:srgbClr val="FF0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1-EA57-4A4B-837B-5123667AAB98}"/>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EA57-4A4B-837B-5123667AAB98}"/>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EA57-4A4B-837B-5123667AAB98}"/>
              </c:ext>
            </c:extLst>
          </c:dPt>
          <c:dPt>
            <c:idx val="3"/>
            <c:bubble3D val="0"/>
            <c:spPr>
              <a:solidFill>
                <a:srgbClr val="FFFF00"/>
              </a:solidFill>
              <a:ln w="25400">
                <a:solidFill>
                  <a:schemeClr val="lt1"/>
                </a:solidFill>
              </a:ln>
              <a:effectLst/>
              <a:sp3d contourW="25400">
                <a:contourClr>
                  <a:schemeClr val="lt1"/>
                </a:contourClr>
              </a:sp3d>
            </c:spPr>
            <c:extLst>
              <c:ext xmlns:c16="http://schemas.microsoft.com/office/drawing/2014/chart" uri="{C3380CC4-5D6E-409C-BE32-E72D297353CC}">
                <c16:uniqueId val="{00000007-EA57-4A4B-837B-5123667AAB98}"/>
              </c:ext>
            </c:extLst>
          </c:dPt>
          <c:dPt>
            <c:idx val="4"/>
            <c:bubble3D val="0"/>
            <c:spPr>
              <a:solidFill>
                <a:schemeClr val="accent4">
                  <a:lumMod val="60000"/>
                  <a:lumOff val="4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9-EA57-4A4B-837B-5123667AAB98}"/>
              </c:ext>
            </c:extLst>
          </c:dPt>
          <c:dPt>
            <c:idx val="5"/>
            <c:bubble3D val="0"/>
            <c:spPr>
              <a:solidFill>
                <a:srgbClr val="00B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B-EA57-4A4B-837B-5123667AAB98}"/>
              </c:ext>
            </c:extLst>
          </c:dPt>
          <c:dLbls>
            <c:dLbl>
              <c:idx val="0"/>
              <c:layout>
                <c:manualLayout>
                  <c:x val="-1.7443498877205834E-2"/>
                  <c:y val="0.14375948460987831"/>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EA57-4A4B-837B-5123667AAB98}"/>
                </c:ext>
              </c:extLst>
            </c:dLbl>
            <c:dLbl>
              <c:idx val="2"/>
              <c:layout>
                <c:manualLayout>
                  <c:x val="-0.14817991692286933"/>
                  <c:y val="0.1158620854211404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EA57-4A4B-837B-5123667AAB98}"/>
                </c:ext>
              </c:extLst>
            </c:dLbl>
            <c:dLbl>
              <c:idx val="4"/>
              <c:layout>
                <c:manualLayout>
                  <c:x val="-6.3059975520195835E-2"/>
                  <c:y val="-0.14401002147458841"/>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EA57-4A4B-837B-5123667AAB98}"/>
                </c:ext>
              </c:extLst>
            </c:dLbl>
            <c:dLbl>
              <c:idx val="5"/>
              <c:layout>
                <c:manualLayout>
                  <c:x val="1.2141982864137087E-2"/>
                  <c:y val="-0.11265950847053209"/>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EA57-4A4B-837B-5123667AAB98}"/>
                </c:ext>
              </c:extLst>
            </c:dLbl>
            <c:numFmt formatCode="0.0%" sourceLinked="0"/>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'Milk Outlet'!$D$20:$D$25</c:f>
              <c:strCache>
                <c:ptCount val="6"/>
                <c:pt idx="0">
                  <c:v>Farmers Organization Milk Collection Centers</c:v>
                </c:pt>
                <c:pt idx="2">
                  <c:v>Private Milk Collection Centers</c:v>
                </c:pt>
                <c:pt idx="3">
                  <c:v>Neighbour </c:v>
                </c:pt>
                <c:pt idx="4">
                  <c:v>Local Market/Trade store</c:v>
                </c:pt>
                <c:pt idx="5">
                  <c:v>Large Scale Farms</c:v>
                </c:pt>
              </c:strCache>
            </c:strRef>
          </c:cat>
          <c:val>
            <c:numRef>
              <c:f>'Milk Outlet'!$E$20:$E$25</c:f>
              <c:numCache>
                <c:formatCode>General</c:formatCode>
                <c:ptCount val="6"/>
                <c:pt idx="0" formatCode="0.0">
                  <c:v>0.5</c:v>
                </c:pt>
                <c:pt idx="2" formatCode="0.0">
                  <c:v>13.3</c:v>
                </c:pt>
                <c:pt idx="3" formatCode="0.0">
                  <c:v>35.5</c:v>
                </c:pt>
                <c:pt idx="4" formatCode="0.0">
                  <c:v>9.8000000000000007</c:v>
                </c:pt>
                <c:pt idx="5" formatCode="0.0">
                  <c:v>1.8</c:v>
                </c:pt>
              </c:numCache>
            </c:numRef>
          </c:val>
          <c:extLst>
            <c:ext xmlns:c16="http://schemas.microsoft.com/office/drawing/2014/chart" uri="{C3380CC4-5D6E-409C-BE32-E72D297353CC}">
              <c16:uniqueId val="{0000000C-EA57-4A4B-837B-5123667AAB98}"/>
            </c:ext>
          </c:extLst>
        </c:ser>
        <c:dLbls>
          <c:dLblPos val="bestFit"/>
          <c:showLegendKey val="0"/>
          <c:showVal val="1"/>
          <c:showCatName val="0"/>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50000"/>
          <a:lumOff val="50000"/>
        </a:schemeClr>
      </a:solidFill>
      <a:round/>
    </a:ln>
    <a:effectLst/>
  </c:spPr>
  <c:txPr>
    <a:bodyPr/>
    <a:lstStyle/>
    <a:p>
      <a:pPr>
        <a:defRPr sz="70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40"/>
      <c:rotY val="14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9513663733209818E-2"/>
          <c:y val="3.0115852037669325E-2"/>
          <c:w val="0.81388888888888888"/>
          <c:h val="0.77314814814814814"/>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6F93-3442-9C78-3244B1B8B001}"/>
              </c:ext>
            </c:extLst>
          </c:dPt>
          <c:dPt>
            <c:idx val="1"/>
            <c:bubble3D val="0"/>
            <c:spPr>
              <a:solidFill>
                <a:srgbClr val="0070C0"/>
              </a:solidFill>
              <a:ln w="25400">
                <a:solidFill>
                  <a:schemeClr val="lt1"/>
                </a:solidFill>
              </a:ln>
              <a:effectLst/>
              <a:sp3d contourW="25400">
                <a:contourClr>
                  <a:schemeClr val="lt1"/>
                </a:contourClr>
              </a:sp3d>
            </c:spPr>
            <c:extLst>
              <c:ext xmlns:c16="http://schemas.microsoft.com/office/drawing/2014/chart" uri="{C3380CC4-5D6E-409C-BE32-E72D297353CC}">
                <c16:uniqueId val="{00000003-6F93-3442-9C78-3244B1B8B001}"/>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6F93-3442-9C78-3244B1B8B001}"/>
              </c:ext>
            </c:extLst>
          </c:dPt>
          <c:dPt>
            <c:idx val="3"/>
            <c:bubble3D val="0"/>
            <c:spPr>
              <a:solidFill>
                <a:srgbClr val="FFFF00"/>
              </a:solidFill>
              <a:ln w="25400">
                <a:solidFill>
                  <a:schemeClr val="lt1"/>
                </a:solidFill>
              </a:ln>
              <a:effectLst/>
              <a:sp3d contourW="25400">
                <a:contourClr>
                  <a:schemeClr val="lt1"/>
                </a:contourClr>
              </a:sp3d>
            </c:spPr>
            <c:extLst>
              <c:ext xmlns:c16="http://schemas.microsoft.com/office/drawing/2014/chart" uri="{C3380CC4-5D6E-409C-BE32-E72D297353CC}">
                <c16:uniqueId val="{00000007-6F93-3442-9C78-3244B1B8B001}"/>
              </c:ext>
            </c:extLst>
          </c:dPt>
          <c:dPt>
            <c:idx val="4"/>
            <c:bubble3D val="0"/>
            <c:spPr>
              <a:solidFill>
                <a:schemeClr val="accent4">
                  <a:lumMod val="60000"/>
                  <a:lumOff val="4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9-6F93-3442-9C78-3244B1B8B001}"/>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6F93-3442-9C78-3244B1B8B001}"/>
              </c:ext>
            </c:extLst>
          </c:dPt>
          <c:dPt>
            <c:idx val="6"/>
            <c:bubble3D val="0"/>
            <c:spPr>
              <a:solidFill>
                <a:srgbClr val="00B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D-6F93-3442-9C78-3244B1B8B001}"/>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6F93-3442-9C78-3244B1B8B001}"/>
              </c:ext>
            </c:extLst>
          </c:dPt>
          <c:dLbls>
            <c:dLbl>
              <c:idx val="0"/>
              <c:layout>
                <c:manualLayout>
                  <c:x val="0.11528658120127791"/>
                  <c:y val="8.162187691140376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6F93-3442-9C78-3244B1B8B001}"/>
                </c:ext>
              </c:extLst>
            </c:dLbl>
            <c:dLbl>
              <c:idx val="1"/>
              <c:layout>
                <c:manualLayout>
                  <c:x val="-0.2075656330799841"/>
                  <c:y val="4.790433954906667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6F93-3442-9C78-3244B1B8B001}"/>
                </c:ext>
              </c:extLst>
            </c:dLbl>
            <c:dLbl>
              <c:idx val="2"/>
              <c:layout>
                <c:manualLayout>
                  <c:x val="-0.37171720625492533"/>
                  <c:y val="-1.3490129435548353E-3"/>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14954507857733659"/>
                      <c:h val="0.17920581994543802"/>
                    </c:manualLayout>
                  </c15:layout>
                </c:ext>
                <c:ext xmlns:c16="http://schemas.microsoft.com/office/drawing/2014/chart" uri="{C3380CC4-5D6E-409C-BE32-E72D297353CC}">
                  <c16:uniqueId val="{00000005-6F93-3442-9C78-3244B1B8B001}"/>
                </c:ext>
              </c:extLst>
            </c:dLbl>
            <c:dLbl>
              <c:idx val="4"/>
              <c:layout>
                <c:manualLayout>
                  <c:x val="1.4622939502289261E-3"/>
                  <c:y val="-4.292352967852343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6F93-3442-9C78-3244B1B8B001}"/>
                </c:ext>
              </c:extLst>
            </c:dLbl>
            <c:dLbl>
              <c:idx val="5"/>
              <c:layout>
                <c:manualLayout>
                  <c:x val="4.4360863080700523E-2"/>
                  <c:y val="-9.461468877469431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6F93-3442-9C78-3244B1B8B001}"/>
                </c:ext>
              </c:extLst>
            </c:dLbl>
            <c:dLbl>
              <c:idx val="6"/>
              <c:layout>
                <c:manualLayout>
                  <c:x val="1.3717981282116411E-2"/>
                  <c:y val="-1.355600480221875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6F93-3442-9C78-3244B1B8B001}"/>
                </c:ext>
              </c:extLst>
            </c:dLbl>
            <c:numFmt formatCode="0.0%" sourceLinked="0"/>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'Milk Outlet'!$D$5:$D$12</c:f>
              <c:strCache>
                <c:ptCount val="8"/>
                <c:pt idx="0">
                  <c:v>Farmers Organization Milk Collection Centers</c:v>
                </c:pt>
                <c:pt idx="1">
                  <c:v>Farmers Corperative Milk Collection Centers</c:v>
                </c:pt>
                <c:pt idx="2">
                  <c:v>Private Milk Collection Centers</c:v>
                </c:pt>
                <c:pt idx="3">
                  <c:v>Neighbour </c:v>
                </c:pt>
                <c:pt idx="4">
                  <c:v>Local Market/Trade store</c:v>
                </c:pt>
                <c:pt idx="5">
                  <c:v>Large Scale Farms</c:v>
                </c:pt>
                <c:pt idx="6">
                  <c:v>Trade at Farm</c:v>
                </c:pt>
                <c:pt idx="7">
                  <c:v>Other</c:v>
                </c:pt>
              </c:strCache>
            </c:strRef>
          </c:cat>
          <c:val>
            <c:numRef>
              <c:f>'Milk Outlet'!$E$5:$E$12</c:f>
              <c:numCache>
                <c:formatCode>General</c:formatCode>
                <c:ptCount val="8"/>
                <c:pt idx="0">
                  <c:v>0.8</c:v>
                </c:pt>
                <c:pt idx="1">
                  <c:v>1.6</c:v>
                </c:pt>
                <c:pt idx="2">
                  <c:v>10.199999999999999</c:v>
                </c:pt>
                <c:pt idx="3" formatCode="0.0">
                  <c:v>58.3</c:v>
                </c:pt>
                <c:pt idx="4" formatCode="0.0">
                  <c:v>16.600000000000001</c:v>
                </c:pt>
                <c:pt idx="5">
                  <c:v>0.3</c:v>
                </c:pt>
                <c:pt idx="6">
                  <c:v>9.6</c:v>
                </c:pt>
                <c:pt idx="7">
                  <c:v>2.6</c:v>
                </c:pt>
              </c:numCache>
            </c:numRef>
          </c:val>
          <c:extLst>
            <c:ext xmlns:c16="http://schemas.microsoft.com/office/drawing/2014/chart" uri="{C3380CC4-5D6E-409C-BE32-E72D297353CC}">
              <c16:uniqueId val="{00000010-6F93-3442-9C78-3244B1B8B001}"/>
            </c:ext>
          </c:extLst>
        </c:ser>
        <c:dLbls>
          <c:dLblPos val="bestFit"/>
          <c:showLegendKey val="0"/>
          <c:showVal val="1"/>
          <c:showCatName val="0"/>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50000"/>
          <a:lumOff val="50000"/>
        </a:schemeClr>
      </a:solidFill>
      <a:round/>
    </a:ln>
    <a:effectLst/>
  </c:spPr>
  <c:txPr>
    <a:bodyPr/>
    <a:lstStyle/>
    <a:p>
      <a:pPr>
        <a:defRPr sz="70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992138112634947"/>
          <c:y val="0.10784420218679006"/>
          <c:w val="0.75764687808684195"/>
          <c:h val="0.48933070866141731"/>
        </c:manualLayout>
      </c:layout>
      <c:barChart>
        <c:barDir val="col"/>
        <c:grouping val="clustered"/>
        <c:varyColors val="0"/>
        <c:ser>
          <c:idx val="0"/>
          <c:order val="0"/>
          <c:tx>
            <c:strRef>
              <c:f>FMD!$B$448</c:f>
              <c:strCache>
                <c:ptCount val="1"/>
                <c:pt idx="0">
                  <c:v>Vaccinated</c:v>
                </c:pt>
              </c:strCache>
            </c:strRef>
          </c:tx>
          <c:spPr>
            <a:solidFill>
              <a:schemeClr val="accent1"/>
            </a:solidFill>
            <a:ln>
              <a:noFill/>
            </a:ln>
            <a:effectLst/>
          </c:spPr>
          <c:invertIfNegative val="0"/>
          <c:cat>
            <c:strRef>
              <c:f>FMD!$A$449:$A$474</c:f>
              <c:strCache>
                <c:ptCount val="26"/>
                <c:pt idx="0">
                  <c:v>Tabora</c:v>
                </c:pt>
                <c:pt idx="1">
                  <c:v>Iringa</c:v>
                </c:pt>
                <c:pt idx="2">
                  <c:v>Dodoma</c:v>
                </c:pt>
                <c:pt idx="3">
                  <c:v>Kilimanjaro</c:v>
                </c:pt>
                <c:pt idx="4">
                  <c:v>Tanga</c:v>
                </c:pt>
                <c:pt idx="5">
                  <c:v>Manyara</c:v>
                </c:pt>
                <c:pt idx="6">
                  <c:v>Arusha</c:v>
                </c:pt>
                <c:pt idx="7">
                  <c:v>Geita</c:v>
                </c:pt>
                <c:pt idx="8">
                  <c:v>Mara</c:v>
                </c:pt>
                <c:pt idx="9">
                  <c:v>Mbeya</c:v>
                </c:pt>
                <c:pt idx="10">
                  <c:v>Shinyanga</c:v>
                </c:pt>
                <c:pt idx="11">
                  <c:v>Simiyu</c:v>
                </c:pt>
                <c:pt idx="12">
                  <c:v>Rukwa</c:v>
                </c:pt>
                <c:pt idx="13">
                  <c:v>Singida</c:v>
                </c:pt>
                <c:pt idx="14">
                  <c:v>Njombe</c:v>
                </c:pt>
                <c:pt idx="15">
                  <c:v>Kigoma</c:v>
                </c:pt>
                <c:pt idx="16">
                  <c:v>Mwanza</c:v>
                </c:pt>
                <c:pt idx="17">
                  <c:v>Morogoro</c:v>
                </c:pt>
                <c:pt idx="18">
                  <c:v>Songwe</c:v>
                </c:pt>
                <c:pt idx="19">
                  <c:v>Pwani</c:v>
                </c:pt>
                <c:pt idx="20">
                  <c:v>Kagera</c:v>
                </c:pt>
                <c:pt idx="21">
                  <c:v>Dar-es-salaam</c:v>
                </c:pt>
                <c:pt idx="22">
                  <c:v>Ruvuma</c:v>
                </c:pt>
                <c:pt idx="23">
                  <c:v>Katavi</c:v>
                </c:pt>
                <c:pt idx="24">
                  <c:v>Mtwara</c:v>
                </c:pt>
                <c:pt idx="25">
                  <c:v>Lindi</c:v>
                </c:pt>
              </c:strCache>
            </c:strRef>
          </c:cat>
          <c:val>
            <c:numRef>
              <c:f>FMD!$B$449:$B$474</c:f>
              <c:numCache>
                <c:formatCode>#,##0</c:formatCode>
                <c:ptCount val="26"/>
                <c:pt idx="0">
                  <c:v>14559</c:v>
                </c:pt>
                <c:pt idx="1">
                  <c:v>12876</c:v>
                </c:pt>
                <c:pt idx="2">
                  <c:v>12753</c:v>
                </c:pt>
                <c:pt idx="3">
                  <c:v>12374</c:v>
                </c:pt>
                <c:pt idx="4">
                  <c:v>12309</c:v>
                </c:pt>
                <c:pt idx="5">
                  <c:v>12200</c:v>
                </c:pt>
                <c:pt idx="6">
                  <c:v>11513</c:v>
                </c:pt>
                <c:pt idx="7">
                  <c:v>9916</c:v>
                </c:pt>
                <c:pt idx="8">
                  <c:v>9781</c:v>
                </c:pt>
                <c:pt idx="9">
                  <c:v>8934</c:v>
                </c:pt>
                <c:pt idx="10">
                  <c:v>8105</c:v>
                </c:pt>
                <c:pt idx="11">
                  <c:v>8062</c:v>
                </c:pt>
                <c:pt idx="12">
                  <c:v>7233</c:v>
                </c:pt>
                <c:pt idx="13">
                  <c:v>6044</c:v>
                </c:pt>
                <c:pt idx="14">
                  <c:v>5957</c:v>
                </c:pt>
                <c:pt idx="15">
                  <c:v>5816</c:v>
                </c:pt>
                <c:pt idx="16">
                  <c:v>5210</c:v>
                </c:pt>
                <c:pt idx="17">
                  <c:v>4535</c:v>
                </c:pt>
                <c:pt idx="18">
                  <c:v>3958</c:v>
                </c:pt>
                <c:pt idx="19">
                  <c:v>3645</c:v>
                </c:pt>
                <c:pt idx="20">
                  <c:v>2579</c:v>
                </c:pt>
                <c:pt idx="21">
                  <c:v>2477</c:v>
                </c:pt>
                <c:pt idx="22">
                  <c:v>1298</c:v>
                </c:pt>
                <c:pt idx="23">
                  <c:v>1140</c:v>
                </c:pt>
                <c:pt idx="24">
                  <c:v>468</c:v>
                </c:pt>
                <c:pt idx="25">
                  <c:v>266</c:v>
                </c:pt>
              </c:numCache>
            </c:numRef>
          </c:val>
          <c:extLst>
            <c:ext xmlns:c16="http://schemas.microsoft.com/office/drawing/2014/chart" uri="{C3380CC4-5D6E-409C-BE32-E72D297353CC}">
              <c16:uniqueId val="{00000000-817E-BE4B-96B6-9018FBABD694}"/>
            </c:ext>
          </c:extLst>
        </c:ser>
        <c:dLbls>
          <c:showLegendKey val="0"/>
          <c:showVal val="0"/>
          <c:showCatName val="0"/>
          <c:showSerName val="0"/>
          <c:showPercent val="0"/>
          <c:showBubbleSize val="0"/>
        </c:dLbls>
        <c:gapWidth val="219"/>
        <c:axId val="111105152"/>
        <c:axId val="111107456"/>
      </c:barChart>
      <c:scatterChart>
        <c:scatterStyle val="lineMarker"/>
        <c:varyColors val="0"/>
        <c:ser>
          <c:idx val="1"/>
          <c:order val="1"/>
          <c:tx>
            <c:strRef>
              <c:f>FMD!$C$448</c:f>
              <c:strCache>
                <c:ptCount val="1"/>
                <c:pt idx="0">
                  <c:v>Percent</c:v>
                </c:pt>
              </c:strCache>
            </c:strRef>
          </c:tx>
          <c:spPr>
            <a:ln w="25400" cap="rnd">
              <a:noFill/>
              <a:round/>
            </a:ln>
            <a:effectLst/>
          </c:spPr>
          <c:marker>
            <c:symbol val="circle"/>
            <c:size val="3"/>
            <c:spPr>
              <a:solidFill>
                <a:sysClr val="windowText" lastClr="000000">
                  <a:lumMod val="95000"/>
                  <a:lumOff val="5000"/>
                </a:sysClr>
              </a:solidFill>
              <a:ln w="127">
                <a:noFill/>
              </a:ln>
              <a:effectLst/>
            </c:spPr>
          </c:marker>
          <c:xVal>
            <c:strRef>
              <c:f>FMD!$A$449:$A$474</c:f>
              <c:strCache>
                <c:ptCount val="26"/>
                <c:pt idx="0">
                  <c:v>Tabora</c:v>
                </c:pt>
                <c:pt idx="1">
                  <c:v>Iringa</c:v>
                </c:pt>
                <c:pt idx="2">
                  <c:v>Dodoma</c:v>
                </c:pt>
                <c:pt idx="3">
                  <c:v>Kilimanjaro</c:v>
                </c:pt>
                <c:pt idx="4">
                  <c:v>Tanga</c:v>
                </c:pt>
                <c:pt idx="5">
                  <c:v>Manyara</c:v>
                </c:pt>
                <c:pt idx="6">
                  <c:v>Arusha</c:v>
                </c:pt>
                <c:pt idx="7">
                  <c:v>Geita</c:v>
                </c:pt>
                <c:pt idx="8">
                  <c:v>Mara</c:v>
                </c:pt>
                <c:pt idx="9">
                  <c:v>Mbeya</c:v>
                </c:pt>
                <c:pt idx="10">
                  <c:v>Shinyanga</c:v>
                </c:pt>
                <c:pt idx="11">
                  <c:v>Simiyu</c:v>
                </c:pt>
                <c:pt idx="12">
                  <c:v>Rukwa</c:v>
                </c:pt>
                <c:pt idx="13">
                  <c:v>Singida</c:v>
                </c:pt>
                <c:pt idx="14">
                  <c:v>Njombe</c:v>
                </c:pt>
                <c:pt idx="15">
                  <c:v>Kigoma</c:v>
                </c:pt>
                <c:pt idx="16">
                  <c:v>Mwanza</c:v>
                </c:pt>
                <c:pt idx="17">
                  <c:v>Morogoro</c:v>
                </c:pt>
                <c:pt idx="18">
                  <c:v>Songwe</c:v>
                </c:pt>
                <c:pt idx="19">
                  <c:v>Pwani</c:v>
                </c:pt>
                <c:pt idx="20">
                  <c:v>Kagera</c:v>
                </c:pt>
                <c:pt idx="21">
                  <c:v>Dar-es-salaam</c:v>
                </c:pt>
                <c:pt idx="22">
                  <c:v>Ruvuma</c:v>
                </c:pt>
                <c:pt idx="23">
                  <c:v>Katavi</c:v>
                </c:pt>
                <c:pt idx="24">
                  <c:v>Mtwara</c:v>
                </c:pt>
                <c:pt idx="25">
                  <c:v>Lindi</c:v>
                </c:pt>
              </c:strCache>
            </c:strRef>
          </c:xVal>
          <c:yVal>
            <c:numRef>
              <c:f>FMD!$C$449:$C$474</c:f>
              <c:numCache>
                <c:formatCode>0.0</c:formatCode>
                <c:ptCount val="26"/>
                <c:pt idx="0">
                  <c:v>33.19955305224272</c:v>
                </c:pt>
                <c:pt idx="1">
                  <c:v>23.143704502561338</c:v>
                </c:pt>
                <c:pt idx="2">
                  <c:v>28.047063998240596</c:v>
                </c:pt>
                <c:pt idx="3">
                  <c:v>26.392236322917778</c:v>
                </c:pt>
                <c:pt idx="4">
                  <c:v>47.164533680741819</c:v>
                </c:pt>
                <c:pt idx="5">
                  <c:v>53.1173807035876</c:v>
                </c:pt>
                <c:pt idx="6">
                  <c:v>60.918567119953437</c:v>
                </c:pt>
                <c:pt idx="7">
                  <c:v>93.22177305631287</c:v>
                </c:pt>
                <c:pt idx="8">
                  <c:v>42.544584602000867</c:v>
                </c:pt>
                <c:pt idx="9">
                  <c:v>29.920626946649254</c:v>
                </c:pt>
                <c:pt idx="10">
                  <c:v>19.836510927824961</c:v>
                </c:pt>
                <c:pt idx="11">
                  <c:v>16.234393878372934</c:v>
                </c:pt>
                <c:pt idx="12">
                  <c:v>37.851274268669215</c:v>
                </c:pt>
                <c:pt idx="13">
                  <c:v>21.721473495058401</c:v>
                </c:pt>
                <c:pt idx="14">
                  <c:v>18.013305110371938</c:v>
                </c:pt>
                <c:pt idx="15">
                  <c:v>47.29608847686427</c:v>
                </c:pt>
                <c:pt idx="16">
                  <c:v>17.422418405564475</c:v>
                </c:pt>
                <c:pt idx="17">
                  <c:v>19.827736970968871</c:v>
                </c:pt>
                <c:pt idx="18">
                  <c:v>9.1036640062561816</c:v>
                </c:pt>
                <c:pt idx="19">
                  <c:v>19.186230129487313</c:v>
                </c:pt>
                <c:pt idx="20">
                  <c:v>6.1796137441893899</c:v>
                </c:pt>
                <c:pt idx="21">
                  <c:v>30.4075619936165</c:v>
                </c:pt>
                <c:pt idx="22">
                  <c:v>46.126510305614779</c:v>
                </c:pt>
                <c:pt idx="23">
                  <c:v>8.4095603422838607</c:v>
                </c:pt>
                <c:pt idx="24">
                  <c:v>1.2744750959941178</c:v>
                </c:pt>
                <c:pt idx="25">
                  <c:v>1.9766664189641081</c:v>
                </c:pt>
              </c:numCache>
            </c:numRef>
          </c:yVal>
          <c:smooth val="0"/>
          <c:extLst>
            <c:ext xmlns:c16="http://schemas.microsoft.com/office/drawing/2014/chart" uri="{C3380CC4-5D6E-409C-BE32-E72D297353CC}">
              <c16:uniqueId val="{00000001-817E-BE4B-96B6-9018FBABD694}"/>
            </c:ext>
          </c:extLst>
        </c:ser>
        <c:dLbls>
          <c:showLegendKey val="0"/>
          <c:showVal val="0"/>
          <c:showCatName val="0"/>
          <c:showSerName val="0"/>
          <c:showPercent val="0"/>
          <c:showBubbleSize val="0"/>
        </c:dLbls>
        <c:axId val="111119744"/>
        <c:axId val="111117824"/>
      </c:scatterChart>
      <c:catAx>
        <c:axId val="111105152"/>
        <c:scaling>
          <c:orientation val="minMax"/>
        </c:scaling>
        <c:delete val="0"/>
        <c:axPos val="b"/>
        <c:title>
          <c:tx>
            <c:rich>
              <a:bodyPr rot="0" spcFirstLastPara="1" vertOverflow="ellipsis" vert="horz" wrap="square" anchor="ctr" anchorCtr="1"/>
              <a:lstStyle/>
              <a:p>
                <a:pPr algn="ctr">
                  <a:defRPr sz="75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Region</a:t>
                </a:r>
              </a:p>
            </c:rich>
          </c:tx>
          <c:layout>
            <c:manualLayout>
              <c:xMode val="edge"/>
              <c:yMode val="edge"/>
              <c:x val="0.49697359015215703"/>
              <c:y val="0.75844336765596609"/>
            </c:manualLayout>
          </c:layout>
          <c:overlay val="0"/>
          <c:spPr>
            <a:noFill/>
            <a:ln>
              <a:noFill/>
            </a:ln>
            <a:effectLst/>
          </c:spPr>
          <c:txPr>
            <a:bodyPr rot="0" spcFirstLastPara="1" vertOverflow="ellipsis" vert="horz" wrap="square" anchor="ctr" anchorCtr="1"/>
            <a:lstStyle/>
            <a:p>
              <a:pPr algn="ctr">
                <a:defRPr sz="7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6350" cap="flat" cmpd="sng" algn="ctr">
            <a:solidFill>
              <a:srgbClr val="E7E6E6">
                <a:lumMod val="50000"/>
              </a:srgbClr>
            </a:solidFill>
            <a:round/>
          </a:ln>
          <a:effectLst/>
        </c:spPr>
        <c:txPr>
          <a:bodyPr rot="-5400000" spcFirstLastPara="1" vertOverflow="ellipsis" wrap="square" anchor="ctr" anchorCtr="1"/>
          <a:lstStyle/>
          <a:p>
            <a:pPr>
              <a:defRPr sz="7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11107456"/>
        <c:crosses val="autoZero"/>
        <c:auto val="1"/>
        <c:lblAlgn val="ctr"/>
        <c:lblOffset val="100"/>
        <c:noMultiLvlLbl val="0"/>
      </c:catAx>
      <c:valAx>
        <c:axId val="111107456"/>
        <c:scaling>
          <c:orientation val="minMax"/>
        </c:scaling>
        <c:delete val="0"/>
        <c:axPos val="l"/>
        <c:title>
          <c:tx>
            <c:rich>
              <a:bodyPr rot="-5400000" spcFirstLastPara="1" vertOverflow="ellipsis" vert="horz" wrap="square" anchor="ctr" anchorCtr="1"/>
              <a:lstStyle/>
              <a:p>
                <a:pPr>
                  <a:defRPr sz="75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 Households</a:t>
                </a:r>
              </a:p>
            </c:rich>
          </c:tx>
          <c:layout>
            <c:manualLayout>
              <c:xMode val="edge"/>
              <c:yMode val="edge"/>
              <c:x val="3.5223449017515007E-2"/>
              <c:y val="0.20436974224375798"/>
            </c:manualLayout>
          </c:layout>
          <c:overlay val="0"/>
          <c:spPr>
            <a:noFill/>
            <a:ln>
              <a:noFill/>
            </a:ln>
            <a:effectLst/>
          </c:spPr>
          <c:txPr>
            <a:bodyPr rot="-5400000" spcFirstLastPara="1" vertOverflow="ellipsis" vert="horz" wrap="square" anchor="ctr" anchorCtr="1"/>
            <a:lstStyle/>
            <a:p>
              <a:pPr>
                <a:defRPr sz="7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1"/>
        <c:majorTickMark val="out"/>
        <c:minorTickMark val="none"/>
        <c:tickLblPos val="nextTo"/>
        <c:spPr>
          <a:noFill/>
          <a:ln w="6350">
            <a:solidFill>
              <a:srgbClr val="E7E6E6">
                <a:lumMod val="50000"/>
              </a:srgbClr>
            </a:solidFill>
          </a:ln>
          <a:effectLst/>
        </c:spPr>
        <c:txPr>
          <a:bodyPr rot="-60000000" spcFirstLastPara="1" vertOverflow="ellipsis" vert="horz" wrap="square" anchor="ctr" anchorCtr="1"/>
          <a:lstStyle/>
          <a:p>
            <a:pPr>
              <a:defRPr sz="7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11105152"/>
        <c:crosses val="autoZero"/>
        <c:crossBetween val="between"/>
      </c:valAx>
      <c:valAx>
        <c:axId val="111117824"/>
        <c:scaling>
          <c:orientation val="minMax"/>
        </c:scaling>
        <c:delete val="0"/>
        <c:axPos val="r"/>
        <c:title>
          <c:tx>
            <c:rich>
              <a:bodyPr rot="-5400000" spcFirstLastPara="1" vertOverflow="ellipsis" vert="horz" wrap="square" anchor="ctr" anchorCtr="1"/>
              <a:lstStyle/>
              <a:p>
                <a:pPr>
                  <a:defRPr sz="75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Percent</a:t>
                </a:r>
              </a:p>
            </c:rich>
          </c:tx>
          <c:overlay val="0"/>
          <c:spPr>
            <a:noFill/>
            <a:ln>
              <a:noFill/>
            </a:ln>
            <a:effectLst/>
          </c:spPr>
          <c:txPr>
            <a:bodyPr rot="-5400000" spcFirstLastPara="1" vertOverflow="ellipsis" vert="horz" wrap="square" anchor="ctr" anchorCtr="1"/>
            <a:lstStyle/>
            <a:p>
              <a:pPr>
                <a:defRPr sz="7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w="6350">
            <a:solidFill>
              <a:srgbClr val="E7E6E6">
                <a:lumMod val="50000"/>
              </a:srgbClr>
            </a:solidFill>
          </a:ln>
          <a:effectLst/>
        </c:spPr>
        <c:txPr>
          <a:bodyPr rot="-60000000" spcFirstLastPara="1" vertOverflow="ellipsis" vert="horz" wrap="square" anchor="ctr" anchorCtr="1"/>
          <a:lstStyle/>
          <a:p>
            <a:pPr>
              <a:defRPr sz="7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11119744"/>
        <c:crosses val="max"/>
        <c:crossBetween val="midCat"/>
      </c:valAx>
      <c:valAx>
        <c:axId val="111119744"/>
        <c:scaling>
          <c:orientation val="minMax"/>
        </c:scaling>
        <c:delete val="1"/>
        <c:axPos val="t"/>
        <c:majorTickMark val="out"/>
        <c:minorTickMark val="none"/>
        <c:tickLblPos val="nextTo"/>
        <c:crossAx val="111117824"/>
        <c:crosses val="max"/>
        <c:crossBetween val="midCat"/>
      </c:valAx>
      <c:spPr>
        <a:noFill/>
        <a:ln>
          <a:noFill/>
        </a:ln>
        <a:effectLst/>
      </c:spPr>
    </c:plotArea>
    <c:legend>
      <c:legendPos val="b"/>
      <c:layout>
        <c:manualLayout>
          <c:xMode val="edge"/>
          <c:yMode val="edge"/>
          <c:x val="0.29331951311507526"/>
          <c:y val="0.84726179413908675"/>
          <c:w val="0.47286204180870045"/>
          <c:h val="5.4847047515962741E-2"/>
        </c:manualLayout>
      </c:layout>
      <c:overlay val="0"/>
      <c:spPr>
        <a:noFill/>
        <a:ln>
          <a:noFill/>
        </a:ln>
        <a:effectLst/>
      </c:spPr>
      <c:txPr>
        <a:bodyPr rot="0" spcFirstLastPara="1" vertOverflow="ellipsis" vert="horz" wrap="square" anchor="ctr" anchorCtr="1"/>
        <a:lstStyle/>
        <a:p>
          <a:pPr>
            <a:defRPr sz="7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75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1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103450786718934"/>
          <c:y val="5.9261440271574511E-2"/>
          <c:w val="0.70656070892537115"/>
          <c:h val="0.6692050928524732"/>
        </c:manualLayout>
      </c:layout>
      <c:barChart>
        <c:barDir val="col"/>
        <c:grouping val="clustered"/>
        <c:varyColors val="0"/>
        <c:ser>
          <c:idx val="0"/>
          <c:order val="0"/>
          <c:tx>
            <c:v>Vaccinated</c:v>
          </c:tx>
          <c:spPr>
            <a:solidFill>
              <a:schemeClr val="accent1"/>
            </a:solidFill>
            <a:ln>
              <a:noFill/>
            </a:ln>
            <a:effectLst/>
          </c:spPr>
          <c:invertIfNegative val="0"/>
          <c:cat>
            <c:strRef>
              <c:f>FMD!$A$476:$A$480</c:f>
              <c:strCache>
                <c:ptCount val="5"/>
                <c:pt idx="0">
                  <c:v>Kusini-Pemba</c:v>
                </c:pt>
                <c:pt idx="1">
                  <c:v>Kusini Unguja </c:v>
                </c:pt>
                <c:pt idx="2">
                  <c:v>Kaskazini-Unguja</c:v>
                </c:pt>
                <c:pt idx="3">
                  <c:v>Kaskazini-Pemba</c:v>
                </c:pt>
                <c:pt idx="4">
                  <c:v>Mjini Magharibi </c:v>
                </c:pt>
              </c:strCache>
            </c:strRef>
          </c:cat>
          <c:val>
            <c:numRef>
              <c:f>FMD!$B$476:$B$480</c:f>
              <c:numCache>
                <c:formatCode>#,##0</c:formatCode>
                <c:ptCount val="5"/>
                <c:pt idx="0">
                  <c:v>1338</c:v>
                </c:pt>
                <c:pt idx="1">
                  <c:v>731</c:v>
                </c:pt>
                <c:pt idx="2">
                  <c:v>598</c:v>
                </c:pt>
                <c:pt idx="3">
                  <c:v>557</c:v>
                </c:pt>
                <c:pt idx="4">
                  <c:v>133</c:v>
                </c:pt>
              </c:numCache>
            </c:numRef>
          </c:val>
          <c:extLst>
            <c:ext xmlns:c16="http://schemas.microsoft.com/office/drawing/2014/chart" uri="{C3380CC4-5D6E-409C-BE32-E72D297353CC}">
              <c16:uniqueId val="{00000000-1312-8046-A2DC-FAD2AF9A8980}"/>
            </c:ext>
          </c:extLst>
        </c:ser>
        <c:dLbls>
          <c:showLegendKey val="0"/>
          <c:showVal val="0"/>
          <c:showCatName val="0"/>
          <c:showSerName val="0"/>
          <c:showPercent val="0"/>
          <c:showBubbleSize val="0"/>
        </c:dLbls>
        <c:gapWidth val="219"/>
        <c:axId val="123357440"/>
        <c:axId val="123372288"/>
      </c:barChart>
      <c:scatterChart>
        <c:scatterStyle val="lineMarker"/>
        <c:varyColors val="0"/>
        <c:ser>
          <c:idx val="1"/>
          <c:order val="1"/>
          <c:tx>
            <c:v>Percent</c:v>
          </c:tx>
          <c:spPr>
            <a:ln w="25400" cap="rnd">
              <a:noFill/>
              <a:round/>
            </a:ln>
            <a:effectLst/>
          </c:spPr>
          <c:marker>
            <c:symbol val="circle"/>
            <c:size val="3"/>
            <c:spPr>
              <a:solidFill>
                <a:schemeClr val="tx1"/>
              </a:solidFill>
              <a:ln w="254" cap="rnd">
                <a:noFill/>
              </a:ln>
              <a:effectLst/>
            </c:spPr>
          </c:marker>
          <c:xVal>
            <c:strRef>
              <c:f>FMD!$A$476:$A$480</c:f>
              <c:strCache>
                <c:ptCount val="5"/>
                <c:pt idx="0">
                  <c:v>Kusini-Pemba</c:v>
                </c:pt>
                <c:pt idx="1">
                  <c:v>Kusini Unguja </c:v>
                </c:pt>
                <c:pt idx="2">
                  <c:v>Kaskazini-Unguja</c:v>
                </c:pt>
                <c:pt idx="3">
                  <c:v>Kaskazini-Pemba</c:v>
                </c:pt>
                <c:pt idx="4">
                  <c:v>Mjini Magharibi </c:v>
                </c:pt>
              </c:strCache>
            </c:strRef>
          </c:xVal>
          <c:yVal>
            <c:numRef>
              <c:f>FMD!$C$476:$C$480</c:f>
              <c:numCache>
                <c:formatCode>0.0</c:formatCode>
                <c:ptCount val="5"/>
                <c:pt idx="0">
                  <c:v>39.145699239321239</c:v>
                </c:pt>
                <c:pt idx="1">
                  <c:v>17.903502326720549</c:v>
                </c:pt>
                <c:pt idx="2">
                  <c:v>13.849004168596574</c:v>
                </c:pt>
                <c:pt idx="3">
                  <c:v>14.893048128342246</c:v>
                </c:pt>
                <c:pt idx="4">
                  <c:v>2.0888958693262136</c:v>
                </c:pt>
              </c:numCache>
            </c:numRef>
          </c:yVal>
          <c:smooth val="0"/>
          <c:extLst>
            <c:ext xmlns:c16="http://schemas.microsoft.com/office/drawing/2014/chart" uri="{C3380CC4-5D6E-409C-BE32-E72D297353CC}">
              <c16:uniqueId val="{00000001-1312-8046-A2DC-FAD2AF9A8980}"/>
            </c:ext>
          </c:extLst>
        </c:ser>
        <c:dLbls>
          <c:showLegendKey val="0"/>
          <c:showVal val="0"/>
          <c:showCatName val="0"/>
          <c:showSerName val="0"/>
          <c:showPercent val="0"/>
          <c:showBubbleSize val="0"/>
        </c:dLbls>
        <c:axId val="123388672"/>
        <c:axId val="123374208"/>
      </c:scatterChart>
      <c:catAx>
        <c:axId val="123357440"/>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Region</a:t>
                </a:r>
              </a:p>
            </c:rich>
          </c:tx>
          <c:layout>
            <c:manualLayout>
              <c:xMode val="edge"/>
              <c:yMode val="edge"/>
              <c:x val="0.48649948984096325"/>
              <c:y val="0.82338952887969019"/>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rgbClr val="E7E6E6">
                <a:lumMod val="50000"/>
              </a:srgbClr>
            </a:solidFill>
            <a:round/>
          </a:ln>
          <a:effectLst/>
        </c:spPr>
        <c:txPr>
          <a:bodyPr rot="0" spcFirstLastPara="1" vertOverflow="ellipsis" wrap="square" anchor="ctr" anchorCtr="1"/>
          <a:lstStyle/>
          <a:p>
            <a:pPr>
              <a:defRPr sz="7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23372288"/>
        <c:crosses val="autoZero"/>
        <c:auto val="1"/>
        <c:lblAlgn val="ctr"/>
        <c:lblOffset val="100"/>
        <c:noMultiLvlLbl val="0"/>
      </c:catAx>
      <c:valAx>
        <c:axId val="123372288"/>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Households</a:t>
                </a:r>
              </a:p>
            </c:rich>
          </c:tx>
          <c:layout>
            <c:manualLayout>
              <c:xMode val="edge"/>
              <c:yMode val="edge"/>
              <c:x val="2.3437294872642563E-2"/>
              <c:y val="0.21983247419890492"/>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1"/>
        <c:majorTickMark val="out"/>
        <c:minorTickMark val="none"/>
        <c:tickLblPos val="nextTo"/>
        <c:spPr>
          <a:noFill/>
          <a:ln>
            <a:solidFill>
              <a:srgbClr val="E7E6E6">
                <a:lumMod val="50000"/>
              </a:srgbClr>
            </a:solid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23357440"/>
        <c:crosses val="autoZero"/>
        <c:crossBetween val="between"/>
      </c:valAx>
      <c:valAx>
        <c:axId val="123374208"/>
        <c:scaling>
          <c:orientation val="minMax"/>
        </c:scaling>
        <c:delete val="0"/>
        <c:axPos val="r"/>
        <c:title>
          <c:tx>
            <c:rich>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Percent</a:t>
                </a:r>
              </a:p>
            </c:rich>
          </c:tx>
          <c:layout>
            <c:manualLayout>
              <c:xMode val="edge"/>
              <c:yMode val="edge"/>
              <c:x val="0.8913884121549428"/>
              <c:y val="0.25493928326322424"/>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w="6350">
            <a:solidFill>
              <a:srgbClr val="E7E6E6">
                <a:lumMod val="50000"/>
              </a:srgbClr>
            </a:solid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23388672"/>
        <c:crosses val="max"/>
        <c:crossBetween val="midCat"/>
      </c:valAx>
      <c:valAx>
        <c:axId val="123388672"/>
        <c:scaling>
          <c:orientation val="minMax"/>
        </c:scaling>
        <c:delete val="1"/>
        <c:axPos val="t"/>
        <c:majorTickMark val="out"/>
        <c:minorTickMark val="none"/>
        <c:tickLblPos val="nextTo"/>
        <c:crossAx val="123374208"/>
        <c:crosses val="max"/>
        <c:crossBetween val="midCat"/>
      </c:valAx>
      <c:spPr>
        <a:noFill/>
        <a:ln>
          <a:noFill/>
        </a:ln>
        <a:effectLst/>
      </c:spPr>
    </c:plotArea>
    <c:legend>
      <c:legendPos val="b"/>
      <c:layout>
        <c:manualLayout>
          <c:xMode val="edge"/>
          <c:yMode val="edge"/>
          <c:x val="0.35857745269992908"/>
          <c:y val="0.89981922454908969"/>
          <c:w val="0.29012551989428698"/>
          <c:h val="8.2369649593258834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1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252105662405424"/>
          <c:y val="4.4505763100802759E-2"/>
          <c:w val="0.73780115381062616"/>
          <c:h val="0.56247746428956658"/>
        </c:manualLayout>
      </c:layout>
      <c:barChart>
        <c:barDir val="col"/>
        <c:grouping val="clustered"/>
        <c:varyColors val="0"/>
        <c:ser>
          <c:idx val="0"/>
          <c:order val="0"/>
          <c:tx>
            <c:strRef>
              <c:f>Rabies!$J$448</c:f>
              <c:strCache>
                <c:ptCount val="1"/>
                <c:pt idx="0">
                  <c:v>Vaccinated</c:v>
                </c:pt>
              </c:strCache>
            </c:strRef>
          </c:tx>
          <c:spPr>
            <a:solidFill>
              <a:schemeClr val="accent1"/>
            </a:solidFill>
            <a:ln>
              <a:noFill/>
            </a:ln>
            <a:effectLst/>
          </c:spPr>
          <c:invertIfNegative val="0"/>
          <c:cat>
            <c:strRef>
              <c:f>Rabies!$A$449:$A$474</c:f>
              <c:strCache>
                <c:ptCount val="26"/>
                <c:pt idx="0">
                  <c:v>Iringa</c:v>
                </c:pt>
                <c:pt idx="1">
                  <c:v>Kilimanjaro</c:v>
                </c:pt>
                <c:pt idx="2">
                  <c:v>Tabora</c:v>
                </c:pt>
                <c:pt idx="3">
                  <c:v>Geita</c:v>
                </c:pt>
                <c:pt idx="4">
                  <c:v>Mbeya</c:v>
                </c:pt>
                <c:pt idx="5">
                  <c:v>Rukwa</c:v>
                </c:pt>
                <c:pt idx="6">
                  <c:v>Shinyanga</c:v>
                </c:pt>
                <c:pt idx="7">
                  <c:v>Mwanza</c:v>
                </c:pt>
                <c:pt idx="8">
                  <c:v>Mara</c:v>
                </c:pt>
                <c:pt idx="9">
                  <c:v>Kagera</c:v>
                </c:pt>
                <c:pt idx="10">
                  <c:v>Ruvuma</c:v>
                </c:pt>
                <c:pt idx="11">
                  <c:v>Njombe</c:v>
                </c:pt>
                <c:pt idx="12">
                  <c:v>Singida</c:v>
                </c:pt>
                <c:pt idx="13">
                  <c:v>Simiyu</c:v>
                </c:pt>
                <c:pt idx="14">
                  <c:v>Arusha</c:v>
                </c:pt>
                <c:pt idx="15">
                  <c:v>Manyara</c:v>
                </c:pt>
                <c:pt idx="16">
                  <c:v>Dodoma</c:v>
                </c:pt>
                <c:pt idx="17">
                  <c:v>Tanga</c:v>
                </c:pt>
                <c:pt idx="18">
                  <c:v>Pwani</c:v>
                </c:pt>
                <c:pt idx="19">
                  <c:v>Morogoro</c:v>
                </c:pt>
                <c:pt idx="20">
                  <c:v>Songwe</c:v>
                </c:pt>
                <c:pt idx="21">
                  <c:v>Dar-es-salaam</c:v>
                </c:pt>
                <c:pt idx="22">
                  <c:v>Kigoma</c:v>
                </c:pt>
                <c:pt idx="23">
                  <c:v>Katavi</c:v>
                </c:pt>
                <c:pt idx="24">
                  <c:v>Mtwara</c:v>
                </c:pt>
                <c:pt idx="25">
                  <c:v>Lindi</c:v>
                </c:pt>
              </c:strCache>
            </c:strRef>
          </c:cat>
          <c:val>
            <c:numRef>
              <c:f>Rabies!$J$449:$J$474</c:f>
              <c:numCache>
                <c:formatCode>#,##0</c:formatCode>
                <c:ptCount val="26"/>
                <c:pt idx="0">
                  <c:v>13512</c:v>
                </c:pt>
                <c:pt idx="1">
                  <c:v>8035</c:v>
                </c:pt>
                <c:pt idx="2">
                  <c:v>7744</c:v>
                </c:pt>
                <c:pt idx="3">
                  <c:v>7400</c:v>
                </c:pt>
                <c:pt idx="4">
                  <c:v>7175</c:v>
                </c:pt>
                <c:pt idx="5">
                  <c:v>6092</c:v>
                </c:pt>
                <c:pt idx="6">
                  <c:v>5554</c:v>
                </c:pt>
                <c:pt idx="7">
                  <c:v>5059</c:v>
                </c:pt>
                <c:pt idx="8">
                  <c:v>4726</c:v>
                </c:pt>
                <c:pt idx="9">
                  <c:v>3854</c:v>
                </c:pt>
                <c:pt idx="10">
                  <c:v>3533</c:v>
                </c:pt>
                <c:pt idx="11">
                  <c:v>3414</c:v>
                </c:pt>
                <c:pt idx="12">
                  <c:v>3225</c:v>
                </c:pt>
                <c:pt idx="13">
                  <c:v>2745</c:v>
                </c:pt>
                <c:pt idx="14">
                  <c:v>2535</c:v>
                </c:pt>
                <c:pt idx="15">
                  <c:v>1848</c:v>
                </c:pt>
                <c:pt idx="16">
                  <c:v>1544</c:v>
                </c:pt>
                <c:pt idx="17">
                  <c:v>1509</c:v>
                </c:pt>
                <c:pt idx="18">
                  <c:v>1282</c:v>
                </c:pt>
                <c:pt idx="19">
                  <c:v>1210</c:v>
                </c:pt>
                <c:pt idx="20">
                  <c:v>992</c:v>
                </c:pt>
                <c:pt idx="21">
                  <c:v>805</c:v>
                </c:pt>
                <c:pt idx="22">
                  <c:v>653</c:v>
                </c:pt>
                <c:pt idx="23">
                  <c:v>432</c:v>
                </c:pt>
                <c:pt idx="24">
                  <c:v>234</c:v>
                </c:pt>
                <c:pt idx="25">
                  <c:v>225</c:v>
                </c:pt>
              </c:numCache>
            </c:numRef>
          </c:val>
          <c:extLst>
            <c:ext xmlns:c16="http://schemas.microsoft.com/office/drawing/2014/chart" uri="{C3380CC4-5D6E-409C-BE32-E72D297353CC}">
              <c16:uniqueId val="{00000000-ED08-1F41-A0AE-6CEA1DE5CAFE}"/>
            </c:ext>
          </c:extLst>
        </c:ser>
        <c:dLbls>
          <c:showLegendKey val="0"/>
          <c:showVal val="0"/>
          <c:showCatName val="0"/>
          <c:showSerName val="0"/>
          <c:showPercent val="0"/>
          <c:showBubbleSize val="0"/>
        </c:dLbls>
        <c:gapWidth val="219"/>
        <c:axId val="113992064"/>
        <c:axId val="113994368"/>
      </c:barChart>
      <c:scatterChart>
        <c:scatterStyle val="lineMarker"/>
        <c:varyColors val="0"/>
        <c:ser>
          <c:idx val="1"/>
          <c:order val="1"/>
          <c:tx>
            <c:strRef>
              <c:f>Rabies!$K$448</c:f>
              <c:strCache>
                <c:ptCount val="1"/>
                <c:pt idx="0">
                  <c:v>Percent</c:v>
                </c:pt>
              </c:strCache>
            </c:strRef>
          </c:tx>
          <c:spPr>
            <a:ln w="25400" cap="rnd">
              <a:noFill/>
              <a:round/>
            </a:ln>
            <a:effectLst/>
          </c:spPr>
          <c:marker>
            <c:symbol val="circle"/>
            <c:size val="3"/>
            <c:spPr>
              <a:solidFill>
                <a:sysClr val="windowText" lastClr="000000"/>
              </a:solidFill>
              <a:ln w="9525">
                <a:noFill/>
              </a:ln>
              <a:effectLst/>
            </c:spPr>
          </c:marker>
          <c:xVal>
            <c:strRef>
              <c:f>Rabies!$A$449:$A$474</c:f>
              <c:strCache>
                <c:ptCount val="26"/>
                <c:pt idx="0">
                  <c:v>Iringa</c:v>
                </c:pt>
                <c:pt idx="1">
                  <c:v>Kilimanjaro</c:v>
                </c:pt>
                <c:pt idx="2">
                  <c:v>Tabora</c:v>
                </c:pt>
                <c:pt idx="3">
                  <c:v>Geita</c:v>
                </c:pt>
                <c:pt idx="4">
                  <c:v>Mbeya</c:v>
                </c:pt>
                <c:pt idx="5">
                  <c:v>Rukwa</c:v>
                </c:pt>
                <c:pt idx="6">
                  <c:v>Shinyanga</c:v>
                </c:pt>
                <c:pt idx="7">
                  <c:v>Mwanza</c:v>
                </c:pt>
                <c:pt idx="8">
                  <c:v>Mara</c:v>
                </c:pt>
                <c:pt idx="9">
                  <c:v>Kagera</c:v>
                </c:pt>
                <c:pt idx="10">
                  <c:v>Ruvuma</c:v>
                </c:pt>
                <c:pt idx="11">
                  <c:v>Njombe</c:v>
                </c:pt>
                <c:pt idx="12">
                  <c:v>Singida</c:v>
                </c:pt>
                <c:pt idx="13">
                  <c:v>Simiyu</c:v>
                </c:pt>
                <c:pt idx="14">
                  <c:v>Arusha</c:v>
                </c:pt>
                <c:pt idx="15">
                  <c:v>Manyara</c:v>
                </c:pt>
                <c:pt idx="16">
                  <c:v>Dodoma</c:v>
                </c:pt>
                <c:pt idx="17">
                  <c:v>Tanga</c:v>
                </c:pt>
                <c:pt idx="18">
                  <c:v>Pwani</c:v>
                </c:pt>
                <c:pt idx="19">
                  <c:v>Morogoro</c:v>
                </c:pt>
                <c:pt idx="20">
                  <c:v>Songwe</c:v>
                </c:pt>
                <c:pt idx="21">
                  <c:v>Dar-es-salaam</c:v>
                </c:pt>
                <c:pt idx="22">
                  <c:v>Kigoma</c:v>
                </c:pt>
                <c:pt idx="23">
                  <c:v>Katavi</c:v>
                </c:pt>
                <c:pt idx="24">
                  <c:v>Mtwara</c:v>
                </c:pt>
                <c:pt idx="25">
                  <c:v>Lindi</c:v>
                </c:pt>
              </c:strCache>
            </c:strRef>
          </c:xVal>
          <c:yVal>
            <c:numRef>
              <c:f>Rabies!$K$449:$K$474</c:f>
              <c:numCache>
                <c:formatCode>0.0</c:formatCode>
                <c:ptCount val="26"/>
                <c:pt idx="0">
                  <c:v>34.516054870104988</c:v>
                </c:pt>
                <c:pt idx="1">
                  <c:v>16.193393659686812</c:v>
                </c:pt>
                <c:pt idx="2">
                  <c:v>26.583364800384469</c:v>
                </c:pt>
                <c:pt idx="3">
                  <c:v>19.941791527433438</c:v>
                </c:pt>
                <c:pt idx="4">
                  <c:v>33.657003471244956</c:v>
                </c:pt>
                <c:pt idx="5">
                  <c:v>36.124288425047439</c:v>
                </c:pt>
                <c:pt idx="6">
                  <c:v>35.409627032196369</c:v>
                </c:pt>
                <c:pt idx="7">
                  <c:v>84.75456525381135</c:v>
                </c:pt>
                <c:pt idx="8">
                  <c:v>27.425719591457753</c:v>
                </c:pt>
                <c:pt idx="9">
                  <c:v>27.873002097345772</c:v>
                </c:pt>
                <c:pt idx="10">
                  <c:v>12.810936253535427</c:v>
                </c:pt>
                <c:pt idx="11">
                  <c:v>10.744295830055075</c:v>
                </c:pt>
                <c:pt idx="12">
                  <c:v>19.086228324554654</c:v>
                </c:pt>
                <c:pt idx="13">
                  <c:v>8.1009296148738379</c:v>
                </c:pt>
                <c:pt idx="14">
                  <c:v>14.926691397279631</c:v>
                </c:pt>
                <c:pt idx="15">
                  <c:v>21.212121212121211</c:v>
                </c:pt>
                <c:pt idx="16">
                  <c:v>6.0677513165134007</c:v>
                </c:pt>
                <c:pt idx="17">
                  <c:v>11.091510474090407</c:v>
                </c:pt>
                <c:pt idx="18">
                  <c:v>3.2505895179898068</c:v>
                </c:pt>
                <c:pt idx="19">
                  <c:v>5.2926253171201125</c:v>
                </c:pt>
                <c:pt idx="20">
                  <c:v>1.9690353314807463</c:v>
                </c:pt>
                <c:pt idx="21">
                  <c:v>21.018276762402088</c:v>
                </c:pt>
                <c:pt idx="22">
                  <c:v>25.851148060174189</c:v>
                </c:pt>
                <c:pt idx="23">
                  <c:v>2.1567648527209187</c:v>
                </c:pt>
                <c:pt idx="24">
                  <c:v>0.67446820775926675</c:v>
                </c:pt>
                <c:pt idx="25">
                  <c:v>3.306392358559882</c:v>
                </c:pt>
              </c:numCache>
            </c:numRef>
          </c:yVal>
          <c:smooth val="0"/>
          <c:extLst>
            <c:ext xmlns:c16="http://schemas.microsoft.com/office/drawing/2014/chart" uri="{C3380CC4-5D6E-409C-BE32-E72D297353CC}">
              <c16:uniqueId val="{00000001-ED08-1F41-A0AE-6CEA1DE5CAFE}"/>
            </c:ext>
          </c:extLst>
        </c:ser>
        <c:dLbls>
          <c:showLegendKey val="0"/>
          <c:showVal val="0"/>
          <c:showCatName val="0"/>
          <c:showSerName val="0"/>
          <c:showPercent val="0"/>
          <c:showBubbleSize val="0"/>
        </c:dLbls>
        <c:axId val="114004736"/>
        <c:axId val="114006272"/>
      </c:scatterChart>
      <c:catAx>
        <c:axId val="113992064"/>
        <c:scaling>
          <c:orientation val="minMax"/>
        </c:scaling>
        <c:delete val="0"/>
        <c:axPos val="b"/>
        <c:title>
          <c:tx>
            <c:rich>
              <a:bodyPr rot="0" vert="horz"/>
              <a:lstStyle/>
              <a:p>
                <a:pPr>
                  <a:defRPr/>
                </a:pPr>
                <a:r>
                  <a:rPr lang="en-GB"/>
                  <a:t>Region</a:t>
                </a:r>
              </a:p>
            </c:rich>
          </c:tx>
          <c:layout>
            <c:manualLayout>
              <c:xMode val="edge"/>
              <c:yMode val="edge"/>
              <c:x val="0.47375902991064617"/>
              <c:y val="0.83907384008505781"/>
            </c:manualLayout>
          </c:layout>
          <c:overlay val="0"/>
          <c:spPr>
            <a:noFill/>
            <a:ln>
              <a:noFill/>
            </a:ln>
            <a:effectLst/>
          </c:spPr>
        </c:title>
        <c:numFmt formatCode="General" sourceLinked="1"/>
        <c:majorTickMark val="out"/>
        <c:minorTickMark val="none"/>
        <c:tickLblPos val="nextTo"/>
        <c:spPr>
          <a:noFill/>
          <a:ln w="9525" cap="flat" cmpd="sng" algn="ctr">
            <a:solidFill>
              <a:sysClr val="windowText" lastClr="000000">
                <a:lumMod val="50000"/>
                <a:lumOff val="50000"/>
              </a:sysClr>
            </a:solidFill>
            <a:round/>
          </a:ln>
          <a:effectLst/>
        </c:spPr>
        <c:txPr>
          <a:bodyPr rot="-60000000" vert="horz"/>
          <a:lstStyle/>
          <a:p>
            <a:pPr>
              <a:defRPr/>
            </a:pPr>
            <a:endParaRPr lang="en-US"/>
          </a:p>
        </c:txPr>
        <c:crossAx val="113994368"/>
        <c:crosses val="autoZero"/>
        <c:auto val="1"/>
        <c:lblAlgn val="ctr"/>
        <c:lblOffset val="100"/>
        <c:noMultiLvlLbl val="0"/>
      </c:catAx>
      <c:valAx>
        <c:axId val="113994368"/>
        <c:scaling>
          <c:orientation val="minMax"/>
        </c:scaling>
        <c:delete val="0"/>
        <c:axPos val="l"/>
        <c:title>
          <c:tx>
            <c:rich>
              <a:bodyPr rot="-5400000" vert="horz"/>
              <a:lstStyle/>
              <a:p>
                <a:pPr>
                  <a:defRPr/>
                </a:pPr>
                <a:r>
                  <a:rPr lang="en-GB"/>
                  <a:t> Households</a:t>
                </a:r>
              </a:p>
            </c:rich>
          </c:tx>
          <c:layout>
            <c:manualLayout>
              <c:xMode val="edge"/>
              <c:yMode val="edge"/>
              <c:x val="2.9472422504563979E-2"/>
              <c:y val="0.17118586971724856"/>
            </c:manualLayout>
          </c:layout>
          <c:overlay val="0"/>
          <c:spPr>
            <a:noFill/>
            <a:ln>
              <a:noFill/>
            </a:ln>
            <a:effectLst/>
          </c:spPr>
        </c:title>
        <c:numFmt formatCode="#,##0" sourceLinked="1"/>
        <c:majorTickMark val="out"/>
        <c:minorTickMark val="none"/>
        <c:tickLblPos val="nextTo"/>
        <c:spPr>
          <a:noFill/>
          <a:ln>
            <a:solidFill>
              <a:sysClr val="windowText" lastClr="000000">
                <a:lumMod val="50000"/>
                <a:lumOff val="50000"/>
              </a:sysClr>
            </a:solidFill>
          </a:ln>
          <a:effectLst/>
        </c:spPr>
        <c:txPr>
          <a:bodyPr rot="-60000000" vert="horz"/>
          <a:lstStyle/>
          <a:p>
            <a:pPr>
              <a:defRPr/>
            </a:pPr>
            <a:endParaRPr lang="en-US"/>
          </a:p>
        </c:txPr>
        <c:crossAx val="113992064"/>
        <c:crosses val="autoZero"/>
        <c:crossBetween val="between"/>
      </c:valAx>
      <c:valAx>
        <c:axId val="114004736"/>
        <c:scaling>
          <c:orientation val="minMax"/>
        </c:scaling>
        <c:delete val="1"/>
        <c:axPos val="t"/>
        <c:majorTickMark val="out"/>
        <c:minorTickMark val="none"/>
        <c:tickLblPos val="nextTo"/>
        <c:crossAx val="114006272"/>
        <c:crosses val="max"/>
        <c:crossBetween val="midCat"/>
      </c:valAx>
      <c:valAx>
        <c:axId val="114006272"/>
        <c:scaling>
          <c:orientation val="minMax"/>
          <c:max val="45"/>
        </c:scaling>
        <c:delete val="0"/>
        <c:axPos val="r"/>
        <c:title>
          <c:tx>
            <c:rich>
              <a:bodyPr rot="-5400000" vert="horz"/>
              <a:lstStyle/>
              <a:p>
                <a:pPr>
                  <a:defRPr/>
                </a:pPr>
                <a:r>
                  <a:rPr lang="en-GB"/>
                  <a:t>Percent</a:t>
                </a:r>
              </a:p>
            </c:rich>
          </c:tx>
          <c:layout>
            <c:manualLayout>
              <c:xMode val="edge"/>
              <c:yMode val="edge"/>
              <c:x val="0.93625716867358788"/>
              <c:y val="0.24582531386729023"/>
            </c:manualLayout>
          </c:layout>
          <c:overlay val="0"/>
          <c:spPr>
            <a:noFill/>
            <a:ln>
              <a:noFill/>
            </a:ln>
            <a:effectLst/>
          </c:spPr>
        </c:title>
        <c:numFmt formatCode="0" sourceLinked="0"/>
        <c:majorTickMark val="out"/>
        <c:minorTickMark val="none"/>
        <c:tickLblPos val="nextTo"/>
        <c:spPr>
          <a:noFill/>
          <a:ln>
            <a:solidFill>
              <a:sysClr val="windowText" lastClr="000000">
                <a:lumMod val="50000"/>
                <a:lumOff val="50000"/>
              </a:sysClr>
            </a:solidFill>
          </a:ln>
          <a:effectLst/>
        </c:spPr>
        <c:txPr>
          <a:bodyPr rot="-60000000" vert="horz"/>
          <a:lstStyle/>
          <a:p>
            <a:pPr>
              <a:defRPr/>
            </a:pPr>
            <a:endParaRPr lang="en-US"/>
          </a:p>
        </c:txPr>
        <c:crossAx val="114004736"/>
        <c:crosses val="max"/>
        <c:crossBetween val="midCat"/>
      </c:valAx>
      <c:spPr>
        <a:noFill/>
      </c:spPr>
    </c:plotArea>
    <c:legend>
      <c:legendPos val="b"/>
      <c:legendEntry>
        <c:idx val="1"/>
        <c:txPr>
          <a:bodyPr rot="0" vert="horz"/>
          <a:lstStyle/>
          <a:p>
            <a:pPr>
              <a:defRPr/>
            </a:pPr>
            <a:endParaRPr lang="en-US"/>
          </a:p>
        </c:txPr>
      </c:legendEntry>
      <c:layout>
        <c:manualLayout>
          <c:xMode val="edge"/>
          <c:yMode val="edge"/>
          <c:x val="0.39469670335016044"/>
          <c:y val="0.90425828620737458"/>
          <c:w val="0.2701557619803302"/>
          <c:h val="6.1062306236110753E-2"/>
        </c:manualLayout>
      </c:layout>
      <c:overlay val="0"/>
      <c:spPr>
        <a:noFill/>
        <a:ln>
          <a:noFill/>
        </a:ln>
        <a:effectLst/>
      </c:spPr>
      <c:txPr>
        <a:bodyPr rot="0" vert="horz"/>
        <a:lstStyle/>
        <a:p>
          <a:pPr>
            <a:defRPr/>
          </a:pPr>
          <a:endParaRPr lang="en-US"/>
        </a:p>
      </c:txPr>
    </c:legend>
    <c:plotVisOnly val="1"/>
    <c:dispBlanksAs val="gap"/>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800" b="0">
          <a:solidFill>
            <a:schemeClr val="tx1"/>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860960325639209"/>
          <c:y val="5.0925925925925923E-2"/>
          <c:w val="0.69736336731149584"/>
          <c:h val="0.64405329542140566"/>
        </c:manualLayout>
      </c:layout>
      <c:barChart>
        <c:barDir val="col"/>
        <c:grouping val="clustered"/>
        <c:varyColors val="0"/>
        <c:ser>
          <c:idx val="0"/>
          <c:order val="0"/>
          <c:tx>
            <c:strRef>
              <c:f>Sheet1!$B$5</c:f>
              <c:strCache>
                <c:ptCount val="1"/>
                <c:pt idx="0">
                  <c:v>Household</c:v>
                </c:pt>
              </c:strCache>
            </c:strRef>
          </c:tx>
          <c:spPr>
            <a:solidFill>
              <a:schemeClr val="accent1"/>
            </a:solidFill>
            <a:ln>
              <a:noFill/>
            </a:ln>
            <a:effectLst/>
          </c:spPr>
          <c:invertIfNegative val="0"/>
          <c:cat>
            <c:strRef>
              <c:f>Sheet1!$A$6:$A$8</c:f>
              <c:strCache>
                <c:ptCount val="3"/>
                <c:pt idx="0">
                  <c:v>Mjini Magharibi</c:v>
                </c:pt>
                <c:pt idx="1">
                  <c:v>Kusini Unguja</c:v>
                </c:pt>
                <c:pt idx="2">
                  <c:v>Kusini Pemba</c:v>
                </c:pt>
              </c:strCache>
            </c:strRef>
          </c:cat>
          <c:val>
            <c:numRef>
              <c:f>Sheet1!$B$6:$B$8</c:f>
              <c:numCache>
                <c:formatCode>General</c:formatCode>
                <c:ptCount val="3"/>
                <c:pt idx="0">
                  <c:v>680</c:v>
                </c:pt>
                <c:pt idx="1">
                  <c:v>197</c:v>
                </c:pt>
                <c:pt idx="2">
                  <c:v>142</c:v>
                </c:pt>
              </c:numCache>
            </c:numRef>
          </c:val>
          <c:extLst>
            <c:ext xmlns:c16="http://schemas.microsoft.com/office/drawing/2014/chart" uri="{C3380CC4-5D6E-409C-BE32-E72D297353CC}">
              <c16:uniqueId val="{00000000-9102-DB45-838A-3581E7F37351}"/>
            </c:ext>
          </c:extLst>
        </c:ser>
        <c:dLbls>
          <c:showLegendKey val="0"/>
          <c:showVal val="0"/>
          <c:showCatName val="0"/>
          <c:showSerName val="0"/>
          <c:showPercent val="0"/>
          <c:showBubbleSize val="0"/>
        </c:dLbls>
        <c:gapWidth val="219"/>
        <c:overlap val="-27"/>
        <c:axId val="1433171536"/>
        <c:axId val="1433173216"/>
      </c:barChart>
      <c:scatterChart>
        <c:scatterStyle val="lineMarker"/>
        <c:varyColors val="0"/>
        <c:ser>
          <c:idx val="1"/>
          <c:order val="1"/>
          <c:tx>
            <c:strRef>
              <c:f>Sheet1!$C$5</c:f>
              <c:strCache>
                <c:ptCount val="1"/>
                <c:pt idx="0">
                  <c:v>Percent</c:v>
                </c:pt>
              </c:strCache>
            </c:strRef>
          </c:tx>
          <c:spPr>
            <a:ln w="25400" cap="rnd">
              <a:noFill/>
              <a:round/>
            </a:ln>
            <a:effectLst/>
          </c:spPr>
          <c:marker>
            <c:symbol val="circle"/>
            <c:size val="5"/>
            <c:spPr>
              <a:solidFill>
                <a:schemeClr val="accent2"/>
              </a:solidFill>
              <a:ln w="9525">
                <a:solidFill>
                  <a:schemeClr val="accent2"/>
                </a:solidFill>
              </a:ln>
              <a:effectLst/>
            </c:spPr>
          </c:marker>
          <c:xVal>
            <c:strRef>
              <c:f>Sheet1!$A$6:$A$8</c:f>
              <c:strCache>
                <c:ptCount val="3"/>
                <c:pt idx="0">
                  <c:v>Mjini Magharibi</c:v>
                </c:pt>
                <c:pt idx="1">
                  <c:v>Kusini Unguja</c:v>
                </c:pt>
                <c:pt idx="2">
                  <c:v>Kusini Pemba</c:v>
                </c:pt>
              </c:strCache>
            </c:strRef>
          </c:xVal>
          <c:yVal>
            <c:numRef>
              <c:f>Sheet1!$C$6:$C$8</c:f>
              <c:numCache>
                <c:formatCode>General</c:formatCode>
                <c:ptCount val="3"/>
                <c:pt idx="0">
                  <c:v>20.6</c:v>
                </c:pt>
                <c:pt idx="1">
                  <c:v>6.3</c:v>
                </c:pt>
                <c:pt idx="2">
                  <c:v>4.5999999999999996</c:v>
                </c:pt>
              </c:numCache>
            </c:numRef>
          </c:yVal>
          <c:smooth val="0"/>
          <c:extLst>
            <c:ext xmlns:c16="http://schemas.microsoft.com/office/drawing/2014/chart" uri="{C3380CC4-5D6E-409C-BE32-E72D297353CC}">
              <c16:uniqueId val="{00000001-9102-DB45-838A-3581E7F37351}"/>
            </c:ext>
          </c:extLst>
        </c:ser>
        <c:dLbls>
          <c:showLegendKey val="0"/>
          <c:showVal val="0"/>
          <c:showCatName val="0"/>
          <c:showSerName val="0"/>
          <c:showPercent val="0"/>
          <c:showBubbleSize val="0"/>
        </c:dLbls>
        <c:axId val="1350535312"/>
        <c:axId val="1350533616"/>
      </c:scatterChart>
      <c:catAx>
        <c:axId val="1433171536"/>
        <c:scaling>
          <c:orientation val="minMax"/>
        </c:scaling>
        <c:delete val="0"/>
        <c:axPos val="b"/>
        <c:numFmt formatCode="General" sourceLinked="1"/>
        <c:majorTickMark val="out"/>
        <c:minorTickMark val="none"/>
        <c:tickLblPos val="nextTo"/>
        <c:spPr>
          <a:noFill/>
          <a:ln w="6350" cap="flat" cmpd="sng" algn="ctr">
            <a:solidFill>
              <a:schemeClr val="tx1">
                <a:lumMod val="50000"/>
                <a:lumOff val="50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433173216"/>
        <c:crosses val="autoZero"/>
        <c:auto val="1"/>
        <c:lblAlgn val="ctr"/>
        <c:lblOffset val="100"/>
        <c:noMultiLvlLbl val="0"/>
      </c:catAx>
      <c:valAx>
        <c:axId val="1433173216"/>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Households</a:t>
                </a:r>
              </a:p>
            </c:rich>
          </c:tx>
          <c:layout>
            <c:manualLayout>
              <c:xMode val="edge"/>
              <c:yMode val="edge"/>
              <c:x val="2.2222222222222223E-2"/>
              <c:y val="0.25836322543015455"/>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a:solidFill>
              <a:schemeClr val="tx1">
                <a:lumMod val="50000"/>
                <a:lumOff val="50000"/>
              </a:schemeClr>
            </a:solid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433171536"/>
        <c:crosses val="autoZero"/>
        <c:crossBetween val="between"/>
        <c:majorUnit val="200"/>
      </c:valAx>
      <c:valAx>
        <c:axId val="1350533616"/>
        <c:scaling>
          <c:orientation val="minMax"/>
        </c:scaling>
        <c:delete val="0"/>
        <c:axPos val="r"/>
        <c:title>
          <c:tx>
            <c:rich>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Percent</a:t>
                </a:r>
              </a:p>
            </c:rich>
          </c:tx>
          <c:layout>
            <c:manualLayout>
              <c:xMode val="edge"/>
              <c:yMode val="edge"/>
              <c:x val="0.94030555555555551"/>
              <c:y val="0.29361803732866726"/>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a:solidFill>
              <a:schemeClr val="tx1">
                <a:lumMod val="50000"/>
                <a:lumOff val="50000"/>
              </a:schemeClr>
            </a:solid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350535312"/>
        <c:crosses val="max"/>
        <c:crossBetween val="midCat"/>
      </c:valAx>
      <c:valAx>
        <c:axId val="1350535312"/>
        <c:scaling>
          <c:orientation val="minMax"/>
        </c:scaling>
        <c:delete val="1"/>
        <c:axPos val="t"/>
        <c:majorTickMark val="out"/>
        <c:minorTickMark val="none"/>
        <c:tickLblPos val="nextTo"/>
        <c:crossAx val="1350533616"/>
        <c:crosses val="max"/>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50000"/>
          <a:lumOff val="50000"/>
        </a:schemeClr>
      </a:solidFill>
      <a:round/>
    </a:ln>
    <a:effectLst/>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61004680114467"/>
          <c:y val="5.7577447423759115E-2"/>
          <c:w val="0.76100701142927085"/>
          <c:h val="0.56299232876601202"/>
        </c:manualLayout>
      </c:layout>
      <c:barChart>
        <c:barDir val="col"/>
        <c:grouping val="clustered"/>
        <c:varyColors val="0"/>
        <c:ser>
          <c:idx val="0"/>
          <c:order val="0"/>
          <c:tx>
            <c:strRef>
              <c:f>'Black Quarter'!$N$448</c:f>
              <c:strCache>
                <c:ptCount val="1"/>
                <c:pt idx="0">
                  <c:v>Vaccinated </c:v>
                </c:pt>
              </c:strCache>
            </c:strRef>
          </c:tx>
          <c:spPr>
            <a:solidFill>
              <a:schemeClr val="accent1"/>
            </a:solidFill>
            <a:ln>
              <a:noFill/>
            </a:ln>
            <a:effectLst/>
          </c:spPr>
          <c:invertIfNegative val="0"/>
          <c:cat>
            <c:strRef>
              <c:f>'Black Quarter'!$A$449:$A$474</c:f>
              <c:strCache>
                <c:ptCount val="26"/>
                <c:pt idx="0">
                  <c:v>Tabora</c:v>
                </c:pt>
                <c:pt idx="1">
                  <c:v>Iringa</c:v>
                </c:pt>
                <c:pt idx="2">
                  <c:v>Manyara</c:v>
                </c:pt>
                <c:pt idx="3">
                  <c:v>Njombe</c:v>
                </c:pt>
                <c:pt idx="4">
                  <c:v>Rukwa</c:v>
                </c:pt>
                <c:pt idx="5">
                  <c:v>Tanga</c:v>
                </c:pt>
                <c:pt idx="6">
                  <c:v>Dodoma</c:v>
                </c:pt>
                <c:pt idx="7">
                  <c:v>Mbeya</c:v>
                </c:pt>
                <c:pt idx="8">
                  <c:v>Mara</c:v>
                </c:pt>
                <c:pt idx="9">
                  <c:v>Kilimanjaro</c:v>
                </c:pt>
                <c:pt idx="10">
                  <c:v>Shinyanga</c:v>
                </c:pt>
                <c:pt idx="11">
                  <c:v>Arusha</c:v>
                </c:pt>
                <c:pt idx="12">
                  <c:v>Kagera</c:v>
                </c:pt>
                <c:pt idx="13">
                  <c:v>Songwe</c:v>
                </c:pt>
                <c:pt idx="14">
                  <c:v>Simiyu</c:v>
                </c:pt>
                <c:pt idx="15">
                  <c:v>Geita</c:v>
                </c:pt>
                <c:pt idx="16">
                  <c:v>Singida</c:v>
                </c:pt>
                <c:pt idx="17">
                  <c:v>Mwanza</c:v>
                </c:pt>
                <c:pt idx="18">
                  <c:v>Dar-es-salaam</c:v>
                </c:pt>
                <c:pt idx="19">
                  <c:v>Pwani</c:v>
                </c:pt>
                <c:pt idx="20">
                  <c:v>Ruvuma</c:v>
                </c:pt>
                <c:pt idx="21">
                  <c:v>Morogoro</c:v>
                </c:pt>
                <c:pt idx="22">
                  <c:v>Kigoma</c:v>
                </c:pt>
                <c:pt idx="23">
                  <c:v>Katavi</c:v>
                </c:pt>
                <c:pt idx="24">
                  <c:v>Mtwara</c:v>
                </c:pt>
                <c:pt idx="25">
                  <c:v>Lindi</c:v>
                </c:pt>
              </c:strCache>
            </c:strRef>
          </c:cat>
          <c:val>
            <c:numRef>
              <c:f>'Black Quarter'!$N$449:$N$474</c:f>
              <c:numCache>
                <c:formatCode>#,##0</c:formatCode>
                <c:ptCount val="26"/>
                <c:pt idx="0">
                  <c:v>9433</c:v>
                </c:pt>
                <c:pt idx="1">
                  <c:v>7707</c:v>
                </c:pt>
                <c:pt idx="2">
                  <c:v>5643</c:v>
                </c:pt>
                <c:pt idx="3">
                  <c:v>5461</c:v>
                </c:pt>
                <c:pt idx="4">
                  <c:v>5138</c:v>
                </c:pt>
                <c:pt idx="5">
                  <c:v>4988</c:v>
                </c:pt>
                <c:pt idx="6">
                  <c:v>4481</c:v>
                </c:pt>
                <c:pt idx="7">
                  <c:v>4395</c:v>
                </c:pt>
                <c:pt idx="8">
                  <c:v>3908</c:v>
                </c:pt>
                <c:pt idx="9">
                  <c:v>3596</c:v>
                </c:pt>
                <c:pt idx="10">
                  <c:v>3512</c:v>
                </c:pt>
                <c:pt idx="11">
                  <c:v>2819</c:v>
                </c:pt>
                <c:pt idx="12">
                  <c:v>2626</c:v>
                </c:pt>
                <c:pt idx="13">
                  <c:v>2026</c:v>
                </c:pt>
                <c:pt idx="14">
                  <c:v>2010</c:v>
                </c:pt>
                <c:pt idx="15">
                  <c:v>1995</c:v>
                </c:pt>
                <c:pt idx="16">
                  <c:v>1965</c:v>
                </c:pt>
                <c:pt idx="17">
                  <c:v>1749</c:v>
                </c:pt>
                <c:pt idx="18">
                  <c:v>1510</c:v>
                </c:pt>
                <c:pt idx="19">
                  <c:v>1382</c:v>
                </c:pt>
                <c:pt idx="20">
                  <c:v>1006</c:v>
                </c:pt>
                <c:pt idx="21">
                  <c:v>981</c:v>
                </c:pt>
                <c:pt idx="22">
                  <c:v>747</c:v>
                </c:pt>
                <c:pt idx="23">
                  <c:v>629</c:v>
                </c:pt>
                <c:pt idx="24">
                  <c:v>153</c:v>
                </c:pt>
                <c:pt idx="25">
                  <c:v>0</c:v>
                </c:pt>
              </c:numCache>
            </c:numRef>
          </c:val>
          <c:extLst>
            <c:ext xmlns:c16="http://schemas.microsoft.com/office/drawing/2014/chart" uri="{C3380CC4-5D6E-409C-BE32-E72D297353CC}">
              <c16:uniqueId val="{00000000-2195-784A-8BF7-13947290E969}"/>
            </c:ext>
          </c:extLst>
        </c:ser>
        <c:dLbls>
          <c:showLegendKey val="0"/>
          <c:showVal val="0"/>
          <c:showCatName val="0"/>
          <c:showSerName val="0"/>
          <c:showPercent val="0"/>
          <c:showBubbleSize val="0"/>
        </c:dLbls>
        <c:gapWidth val="219"/>
        <c:axId val="124355328"/>
        <c:axId val="124357632"/>
      </c:barChart>
      <c:scatterChart>
        <c:scatterStyle val="lineMarker"/>
        <c:varyColors val="0"/>
        <c:ser>
          <c:idx val="1"/>
          <c:order val="1"/>
          <c:tx>
            <c:strRef>
              <c:f>'Black Quarter'!$O$448</c:f>
              <c:strCache>
                <c:ptCount val="1"/>
                <c:pt idx="0">
                  <c:v>Percent</c:v>
                </c:pt>
              </c:strCache>
            </c:strRef>
          </c:tx>
          <c:spPr>
            <a:ln w="25400" cap="rnd">
              <a:noFill/>
              <a:round/>
            </a:ln>
            <a:effectLst/>
          </c:spPr>
          <c:marker>
            <c:symbol val="circle"/>
            <c:size val="3"/>
            <c:spPr>
              <a:solidFill>
                <a:sysClr val="windowText" lastClr="000000"/>
              </a:solidFill>
              <a:ln w="9525">
                <a:noFill/>
              </a:ln>
              <a:effectLst/>
            </c:spPr>
          </c:marker>
          <c:xVal>
            <c:strRef>
              <c:f>'Black Quarter'!$A$449:$A$474</c:f>
              <c:strCache>
                <c:ptCount val="26"/>
                <c:pt idx="0">
                  <c:v>Tabora</c:v>
                </c:pt>
                <c:pt idx="1">
                  <c:v>Iringa</c:v>
                </c:pt>
                <c:pt idx="2">
                  <c:v>Manyara</c:v>
                </c:pt>
                <c:pt idx="3">
                  <c:v>Njombe</c:v>
                </c:pt>
                <c:pt idx="4">
                  <c:v>Rukwa</c:v>
                </c:pt>
                <c:pt idx="5">
                  <c:v>Tanga</c:v>
                </c:pt>
                <c:pt idx="6">
                  <c:v>Dodoma</c:v>
                </c:pt>
                <c:pt idx="7">
                  <c:v>Mbeya</c:v>
                </c:pt>
                <c:pt idx="8">
                  <c:v>Mara</c:v>
                </c:pt>
                <c:pt idx="9">
                  <c:v>Kilimanjaro</c:v>
                </c:pt>
                <c:pt idx="10">
                  <c:v>Shinyanga</c:v>
                </c:pt>
                <c:pt idx="11">
                  <c:v>Arusha</c:v>
                </c:pt>
                <c:pt idx="12">
                  <c:v>Kagera</c:v>
                </c:pt>
                <c:pt idx="13">
                  <c:v>Songwe</c:v>
                </c:pt>
                <c:pt idx="14">
                  <c:v>Simiyu</c:v>
                </c:pt>
                <c:pt idx="15">
                  <c:v>Geita</c:v>
                </c:pt>
                <c:pt idx="16">
                  <c:v>Singida</c:v>
                </c:pt>
                <c:pt idx="17">
                  <c:v>Mwanza</c:v>
                </c:pt>
                <c:pt idx="18">
                  <c:v>Dar-es-salaam</c:v>
                </c:pt>
                <c:pt idx="19">
                  <c:v>Pwani</c:v>
                </c:pt>
                <c:pt idx="20">
                  <c:v>Ruvuma</c:v>
                </c:pt>
                <c:pt idx="21">
                  <c:v>Morogoro</c:v>
                </c:pt>
                <c:pt idx="22">
                  <c:v>Kigoma</c:v>
                </c:pt>
                <c:pt idx="23">
                  <c:v>Katavi</c:v>
                </c:pt>
                <c:pt idx="24">
                  <c:v>Mtwara</c:v>
                </c:pt>
                <c:pt idx="25">
                  <c:v>Lindi</c:v>
                </c:pt>
              </c:strCache>
            </c:strRef>
          </c:xVal>
          <c:yVal>
            <c:numRef>
              <c:f>'Black Quarter'!$O$449:$O$474</c:f>
              <c:numCache>
                <c:formatCode>#,##0.0</c:formatCode>
                <c:ptCount val="26"/>
                <c:pt idx="0">
                  <c:v>20.356942466226425</c:v>
                </c:pt>
                <c:pt idx="1">
                  <c:v>12.404236142406489</c:v>
                </c:pt>
                <c:pt idx="2">
                  <c:v>11.534923652419206</c:v>
                </c:pt>
                <c:pt idx="3">
                  <c:v>11.227846539742588</c:v>
                </c:pt>
                <c:pt idx="4">
                  <c:v>22.772803829447742</c:v>
                </c:pt>
                <c:pt idx="5">
                  <c:v>27.583918597577835</c:v>
                </c:pt>
                <c:pt idx="6">
                  <c:v>30.124369747899159</c:v>
                </c:pt>
                <c:pt idx="7">
                  <c:v>82.846371347785109</c:v>
                </c:pt>
                <c:pt idx="8">
                  <c:v>22.473977802058773</c:v>
                </c:pt>
                <c:pt idx="9">
                  <c:v>12.674021076375427</c:v>
                </c:pt>
                <c:pt idx="10">
                  <c:v>8.5391947092005438</c:v>
                </c:pt>
                <c:pt idx="11">
                  <c:v>5.6529237186171493</c:v>
                </c:pt>
                <c:pt idx="12">
                  <c:v>12.897205441775943</c:v>
                </c:pt>
                <c:pt idx="13">
                  <c:v>6.3827106042467401</c:v>
                </c:pt>
                <c:pt idx="14">
                  <c:v>6.4738469466632313</c:v>
                </c:pt>
                <c:pt idx="15">
                  <c:v>15.216230646022424</c:v>
                </c:pt>
                <c:pt idx="16">
                  <c:v>5.9682906086745229</c:v>
                </c:pt>
                <c:pt idx="17">
                  <c:v>7.9590443686006829</c:v>
                </c:pt>
                <c:pt idx="18">
                  <c:v>3.1058455715989965</c:v>
                </c:pt>
                <c:pt idx="19">
                  <c:v>5.6837343203783677</c:v>
                </c:pt>
                <c:pt idx="20">
                  <c:v>2.0387896966135015</c:v>
                </c:pt>
                <c:pt idx="21">
                  <c:v>12.868949232585598</c:v>
                </c:pt>
                <c:pt idx="22">
                  <c:v>28.555045871559631</c:v>
                </c:pt>
                <c:pt idx="23">
                  <c:v>2.7866383129541026</c:v>
                </c:pt>
                <c:pt idx="24">
                  <c:v>0.31851774747579892</c:v>
                </c:pt>
                <c:pt idx="25">
                  <c:v>0</c:v>
                </c:pt>
              </c:numCache>
            </c:numRef>
          </c:yVal>
          <c:smooth val="0"/>
          <c:extLst>
            <c:ext xmlns:c16="http://schemas.microsoft.com/office/drawing/2014/chart" uri="{C3380CC4-5D6E-409C-BE32-E72D297353CC}">
              <c16:uniqueId val="{00000001-2195-784A-8BF7-13947290E969}"/>
            </c:ext>
          </c:extLst>
        </c:ser>
        <c:dLbls>
          <c:showLegendKey val="0"/>
          <c:showVal val="0"/>
          <c:showCatName val="0"/>
          <c:showSerName val="0"/>
          <c:showPercent val="0"/>
          <c:showBubbleSize val="0"/>
        </c:dLbls>
        <c:axId val="124369920"/>
        <c:axId val="124368000"/>
      </c:scatterChart>
      <c:catAx>
        <c:axId val="124355328"/>
        <c:scaling>
          <c:orientation val="minMax"/>
        </c:scaling>
        <c:delete val="0"/>
        <c:axPos val="b"/>
        <c:title>
          <c:tx>
            <c:rich>
              <a:bodyPr rot="0" spcFirstLastPara="1" vertOverflow="ellipsis" vert="horz" wrap="square" anchor="ctr" anchorCtr="1"/>
              <a:lstStyle/>
              <a:p>
                <a:pPr>
                  <a:defRPr sz="75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Region</a:t>
                </a:r>
              </a:p>
            </c:rich>
          </c:tx>
          <c:layout>
            <c:manualLayout>
              <c:xMode val="edge"/>
              <c:yMode val="edge"/>
              <c:x val="0.46755072066768855"/>
              <c:y val="0.82040961860899475"/>
            </c:manualLayout>
          </c:layout>
          <c:overlay val="0"/>
          <c:spPr>
            <a:noFill/>
            <a:ln>
              <a:noFill/>
            </a:ln>
            <a:effectLst/>
          </c:spPr>
          <c:txPr>
            <a:bodyPr rot="0" spcFirstLastPara="1" vertOverflow="ellipsis" vert="horz" wrap="square" anchor="ctr" anchorCtr="1"/>
            <a:lstStyle/>
            <a:p>
              <a:pPr>
                <a:defRPr sz="7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254" cap="flat" cmpd="sng" algn="ctr">
            <a:solidFill>
              <a:srgbClr val="E7E6E6">
                <a:lumMod val="50000"/>
              </a:srgbClr>
            </a:solidFill>
            <a:round/>
          </a:ln>
          <a:effectLst/>
        </c:spPr>
        <c:txPr>
          <a:bodyPr rot="-6000000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24357632"/>
        <c:crosses val="autoZero"/>
        <c:auto val="1"/>
        <c:lblAlgn val="ctr"/>
        <c:lblOffset val="100"/>
        <c:noMultiLvlLbl val="0"/>
      </c:catAx>
      <c:valAx>
        <c:axId val="124357632"/>
        <c:scaling>
          <c:orientation val="minMax"/>
        </c:scaling>
        <c:delete val="0"/>
        <c:axPos val="l"/>
        <c:title>
          <c:tx>
            <c:rich>
              <a:bodyPr rot="-5400000" spcFirstLastPara="1" vertOverflow="ellipsis" vert="horz" wrap="square" anchor="ctr" anchorCtr="1"/>
              <a:lstStyle/>
              <a:p>
                <a:pPr>
                  <a:defRPr sz="75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 Households</a:t>
                </a:r>
              </a:p>
            </c:rich>
          </c:tx>
          <c:overlay val="0"/>
          <c:spPr>
            <a:noFill/>
            <a:ln>
              <a:noFill/>
            </a:ln>
            <a:effectLst/>
          </c:spPr>
          <c:txPr>
            <a:bodyPr rot="-5400000" spcFirstLastPara="1" vertOverflow="ellipsis" vert="horz" wrap="square" anchor="ctr" anchorCtr="1"/>
            <a:lstStyle/>
            <a:p>
              <a:pPr>
                <a:defRPr sz="7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1"/>
        <c:majorTickMark val="out"/>
        <c:minorTickMark val="none"/>
        <c:tickLblPos val="nextTo"/>
        <c:spPr>
          <a:noFill/>
          <a:ln w="254">
            <a:solidFill>
              <a:srgbClr val="E7E6E6">
                <a:lumMod val="50000"/>
              </a:srgbClr>
            </a:solidFill>
          </a:ln>
          <a:effectLst/>
        </c:spPr>
        <c:txPr>
          <a:bodyPr rot="-60000000" spcFirstLastPara="1" vertOverflow="ellipsis" vert="horz" wrap="square" anchor="ctr" anchorCtr="1"/>
          <a:lstStyle/>
          <a:p>
            <a:pPr>
              <a:defRPr sz="7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24355328"/>
        <c:crosses val="autoZero"/>
        <c:crossBetween val="between"/>
      </c:valAx>
      <c:valAx>
        <c:axId val="124368000"/>
        <c:scaling>
          <c:orientation val="minMax"/>
        </c:scaling>
        <c:delete val="0"/>
        <c:axPos val="r"/>
        <c:title>
          <c:tx>
            <c:rich>
              <a:bodyPr rot="-5400000" spcFirstLastPara="1" vertOverflow="ellipsis" vert="horz" wrap="square" anchor="ctr" anchorCtr="1"/>
              <a:lstStyle/>
              <a:p>
                <a:pPr>
                  <a:defRPr sz="75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Percent</a:t>
                </a:r>
              </a:p>
            </c:rich>
          </c:tx>
          <c:overlay val="0"/>
          <c:spPr>
            <a:noFill/>
            <a:ln>
              <a:noFill/>
            </a:ln>
            <a:effectLst/>
          </c:spPr>
          <c:txPr>
            <a:bodyPr rot="-5400000" spcFirstLastPara="1" vertOverflow="ellipsis" vert="horz" wrap="square" anchor="ctr" anchorCtr="1"/>
            <a:lstStyle/>
            <a:p>
              <a:pPr>
                <a:defRPr sz="7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w="254">
            <a:solidFill>
              <a:srgbClr val="E7E6E6">
                <a:lumMod val="50000"/>
              </a:srgbClr>
            </a:solidFill>
          </a:ln>
          <a:effectLst/>
        </c:spPr>
        <c:txPr>
          <a:bodyPr rot="-60000000" spcFirstLastPara="1" vertOverflow="ellipsis" vert="horz" wrap="square" anchor="ctr" anchorCtr="1"/>
          <a:lstStyle/>
          <a:p>
            <a:pPr>
              <a:defRPr sz="7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24369920"/>
        <c:crosses val="max"/>
        <c:crossBetween val="midCat"/>
      </c:valAx>
      <c:valAx>
        <c:axId val="124369920"/>
        <c:scaling>
          <c:orientation val="minMax"/>
        </c:scaling>
        <c:delete val="1"/>
        <c:axPos val="t"/>
        <c:majorTickMark val="out"/>
        <c:minorTickMark val="none"/>
        <c:tickLblPos val="nextTo"/>
        <c:crossAx val="124368000"/>
        <c:crosses val="max"/>
        <c:crossBetween val="midCat"/>
      </c:valAx>
      <c:spPr>
        <a:noFill/>
        <a:ln>
          <a:noFill/>
        </a:ln>
        <a:effectLst/>
      </c:spPr>
    </c:plotArea>
    <c:legend>
      <c:legendPos val="b"/>
      <c:layout>
        <c:manualLayout>
          <c:xMode val="edge"/>
          <c:yMode val="edge"/>
          <c:x val="0.24592403048855535"/>
          <c:y val="0.88339674169365456"/>
          <c:w val="0.41446018715745631"/>
          <c:h val="6.462466468533494E-2"/>
        </c:manualLayout>
      </c:layout>
      <c:overlay val="0"/>
      <c:spPr>
        <a:noFill/>
        <a:ln>
          <a:noFill/>
        </a:ln>
        <a:effectLst/>
      </c:spPr>
      <c:txPr>
        <a:bodyPr rot="0" spcFirstLastPara="1" vertOverflow="ellipsis" vert="horz" wrap="square" anchor="ctr" anchorCtr="1"/>
        <a:lstStyle/>
        <a:p>
          <a:pPr>
            <a:defRPr sz="7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75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1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040255567403197"/>
          <c:y val="5.4726368159203981E-2"/>
          <c:w val="0.67705061094446906"/>
          <c:h val="0.54638304540290672"/>
        </c:manualLayout>
      </c:layout>
      <c:barChart>
        <c:barDir val="col"/>
        <c:grouping val="clustered"/>
        <c:varyColors val="0"/>
        <c:ser>
          <c:idx val="0"/>
          <c:order val="0"/>
          <c:tx>
            <c:strRef>
              <c:f>Sheet1!$B$1</c:f>
              <c:strCache>
                <c:ptCount val="1"/>
                <c:pt idx="0">
                  <c:v>Households</c:v>
                </c:pt>
              </c:strCache>
            </c:strRef>
          </c:tx>
          <c:spPr>
            <a:solidFill>
              <a:schemeClr val="accent1"/>
            </a:solidFill>
            <a:ln>
              <a:noFill/>
            </a:ln>
            <a:effectLst/>
          </c:spPr>
          <c:invertIfNegative val="0"/>
          <c:cat>
            <c:strRef>
              <c:f>Sheet1!$A$2:$A$6</c:f>
              <c:strCache>
                <c:ptCount val="5"/>
                <c:pt idx="0">
                  <c:v>Kusini Unguja</c:v>
                </c:pt>
                <c:pt idx="1">
                  <c:v>Kaskazini Unguja</c:v>
                </c:pt>
                <c:pt idx="2">
                  <c:v>Mjini Magharibi</c:v>
                </c:pt>
                <c:pt idx="3">
                  <c:v>Kaskazini Pemba</c:v>
                </c:pt>
                <c:pt idx="4">
                  <c:v>Kusini Pemba</c:v>
                </c:pt>
              </c:strCache>
            </c:strRef>
          </c:cat>
          <c:val>
            <c:numRef>
              <c:f>Sheet1!$B$2:$B$6</c:f>
              <c:numCache>
                <c:formatCode>General</c:formatCode>
                <c:ptCount val="5"/>
                <c:pt idx="0">
                  <c:v>1088</c:v>
                </c:pt>
                <c:pt idx="1">
                  <c:v>773</c:v>
                </c:pt>
                <c:pt idx="2">
                  <c:v>178</c:v>
                </c:pt>
                <c:pt idx="3">
                  <c:v>130</c:v>
                </c:pt>
                <c:pt idx="4">
                  <c:v>0</c:v>
                </c:pt>
              </c:numCache>
            </c:numRef>
          </c:val>
          <c:extLst>
            <c:ext xmlns:c16="http://schemas.microsoft.com/office/drawing/2014/chart" uri="{C3380CC4-5D6E-409C-BE32-E72D297353CC}">
              <c16:uniqueId val="{00000000-CD83-F54A-96E2-A9FCA3768395}"/>
            </c:ext>
          </c:extLst>
        </c:ser>
        <c:dLbls>
          <c:showLegendKey val="0"/>
          <c:showVal val="0"/>
          <c:showCatName val="0"/>
          <c:showSerName val="0"/>
          <c:showPercent val="0"/>
          <c:showBubbleSize val="0"/>
        </c:dLbls>
        <c:gapWidth val="219"/>
        <c:overlap val="-27"/>
        <c:axId val="1490480832"/>
        <c:axId val="1428064800"/>
      </c:barChart>
      <c:scatterChart>
        <c:scatterStyle val="lineMarker"/>
        <c:varyColors val="0"/>
        <c:ser>
          <c:idx val="1"/>
          <c:order val="1"/>
          <c:tx>
            <c:strRef>
              <c:f>Sheet1!$C$1</c:f>
              <c:strCache>
                <c:ptCount val="1"/>
                <c:pt idx="0">
                  <c:v>Percent</c:v>
                </c:pt>
              </c:strCache>
            </c:strRef>
          </c:tx>
          <c:spPr>
            <a:ln w="25400" cap="rnd">
              <a:noFill/>
              <a:round/>
            </a:ln>
            <a:effectLst/>
          </c:spPr>
          <c:marker>
            <c:symbol val="circle"/>
            <c:size val="5"/>
            <c:spPr>
              <a:solidFill>
                <a:schemeClr val="accent2"/>
              </a:solidFill>
              <a:ln w="9525">
                <a:solidFill>
                  <a:schemeClr val="accent2"/>
                </a:solidFill>
              </a:ln>
              <a:effectLst/>
            </c:spPr>
          </c:marker>
          <c:xVal>
            <c:strRef>
              <c:f>Sheet1!$A$2:$A$6</c:f>
              <c:strCache>
                <c:ptCount val="5"/>
                <c:pt idx="0">
                  <c:v>Kusini Unguja</c:v>
                </c:pt>
                <c:pt idx="1">
                  <c:v>Kaskazini Unguja</c:v>
                </c:pt>
                <c:pt idx="2">
                  <c:v>Mjini Magharibi</c:v>
                </c:pt>
                <c:pt idx="3">
                  <c:v>Kaskazini Pemba</c:v>
                </c:pt>
                <c:pt idx="4">
                  <c:v>Kusini Pemba</c:v>
                </c:pt>
              </c:strCache>
            </c:strRef>
          </c:xVal>
          <c:yVal>
            <c:numRef>
              <c:f>Sheet1!$C$2:$C$6</c:f>
              <c:numCache>
                <c:formatCode>General</c:formatCode>
                <c:ptCount val="5"/>
                <c:pt idx="0">
                  <c:v>35.5</c:v>
                </c:pt>
                <c:pt idx="1">
                  <c:v>18.399999999999999</c:v>
                </c:pt>
                <c:pt idx="2">
                  <c:v>4.3</c:v>
                </c:pt>
                <c:pt idx="3">
                  <c:v>3.1</c:v>
                </c:pt>
                <c:pt idx="4">
                  <c:v>0</c:v>
                </c:pt>
              </c:numCache>
            </c:numRef>
          </c:yVal>
          <c:smooth val="0"/>
          <c:extLst>
            <c:ext xmlns:c16="http://schemas.microsoft.com/office/drawing/2014/chart" uri="{C3380CC4-5D6E-409C-BE32-E72D297353CC}">
              <c16:uniqueId val="{00000001-CD83-F54A-96E2-A9FCA3768395}"/>
            </c:ext>
          </c:extLst>
        </c:ser>
        <c:dLbls>
          <c:showLegendKey val="0"/>
          <c:showVal val="0"/>
          <c:showCatName val="0"/>
          <c:showSerName val="0"/>
          <c:showPercent val="0"/>
          <c:showBubbleSize val="0"/>
        </c:dLbls>
        <c:axId val="1434294400"/>
        <c:axId val="1434292704"/>
      </c:scatterChart>
      <c:catAx>
        <c:axId val="1490480832"/>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Region</a:t>
                </a:r>
              </a:p>
            </c:rich>
          </c:tx>
          <c:layout>
            <c:manualLayout>
              <c:xMode val="edge"/>
              <c:yMode val="edge"/>
              <c:x val="0.49438255672750719"/>
              <c:y val="0.7733685901202648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6350" cap="flat" cmpd="sng" algn="ctr">
            <a:solidFill>
              <a:schemeClr val="tx1">
                <a:lumMod val="50000"/>
                <a:lumOff val="50000"/>
              </a:schemeClr>
            </a:solidFill>
            <a:round/>
          </a:ln>
          <a:effectLst/>
        </c:spPr>
        <c:txPr>
          <a:bodyPr rot="0" spcFirstLastPara="1" vertOverflow="ellipsis"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428064800"/>
        <c:crosses val="autoZero"/>
        <c:auto val="1"/>
        <c:lblAlgn val="ctr"/>
        <c:lblOffset val="100"/>
        <c:noMultiLvlLbl val="0"/>
      </c:catAx>
      <c:valAx>
        <c:axId val="1428064800"/>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Number of Households</a:t>
                </a:r>
              </a:p>
            </c:rich>
          </c:tx>
          <c:layout>
            <c:manualLayout>
              <c:xMode val="edge"/>
              <c:yMode val="edge"/>
              <c:x val="3.669937659889784E-2"/>
              <c:y val="0.15214674658205035"/>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6350">
            <a:solidFill>
              <a:schemeClr val="tx1">
                <a:lumMod val="50000"/>
                <a:lumOff val="50000"/>
              </a:schemeClr>
            </a:solid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490480832"/>
        <c:crosses val="autoZero"/>
        <c:crossBetween val="between"/>
      </c:valAx>
      <c:valAx>
        <c:axId val="1434292704"/>
        <c:scaling>
          <c:orientation val="minMax"/>
        </c:scaling>
        <c:delete val="0"/>
        <c:axPos val="r"/>
        <c:title>
          <c:tx>
            <c:rich>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Percent</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a:solidFill>
              <a:schemeClr val="tx1">
                <a:lumMod val="50000"/>
                <a:lumOff val="50000"/>
              </a:schemeClr>
            </a:solid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434294400"/>
        <c:crosses val="max"/>
        <c:crossBetween val="midCat"/>
      </c:valAx>
      <c:valAx>
        <c:axId val="1434294400"/>
        <c:scaling>
          <c:orientation val="minMax"/>
        </c:scaling>
        <c:delete val="1"/>
        <c:axPos val="t"/>
        <c:majorTickMark val="out"/>
        <c:minorTickMark val="none"/>
        <c:tickLblPos val="nextTo"/>
        <c:crossAx val="1434292704"/>
        <c:crosses val="max"/>
        <c:crossBetween val="midCat"/>
      </c:valAx>
      <c:spPr>
        <a:noFill/>
        <a:ln>
          <a:noFill/>
        </a:ln>
        <a:effectLst/>
      </c:spPr>
    </c:plotArea>
    <c:legend>
      <c:legendPos val="b"/>
      <c:layout>
        <c:manualLayout>
          <c:xMode val="edge"/>
          <c:yMode val="edge"/>
          <c:x val="0.25708245844269467"/>
          <c:y val="0.89877150772820069"/>
          <c:w val="0.52750174978127728"/>
          <c:h val="7.3450714494021574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50000"/>
          <a:lumOff val="50000"/>
        </a:schemeClr>
      </a:solidFill>
      <a:round/>
    </a:ln>
    <a:effectLst/>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00B050"/>
            </a:solidFill>
            <a:ln>
              <a:noFill/>
            </a:ln>
            <a:effectLst/>
          </c:spPr>
          <c:invertIfNegative val="0"/>
          <c:dLbls>
            <c:dLbl>
              <c:idx val="1"/>
              <c:tx>
                <c:rich>
                  <a:bodyPr/>
                  <a:lstStyle/>
                  <a:p>
                    <a:fld id="{6591FD27-BB5A-3241-AF60-399C74BB67C7}" type="VALUE">
                      <a:rPr lang="en-US"/>
                      <a:pPr/>
                      <a:t>[VALUE]</a:t>
                    </a:fld>
                    <a:r>
                      <a:rPr lang="en-US"/>
                      <a:t>4</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E848-D84D-9269-E575C6360D3D}"/>
                </c:ext>
              </c:extLst>
            </c:dLbl>
            <c:numFmt formatCode="#,##0.0" sourceLinked="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utilization!$Q$40:$Q$53</c:f>
              <c:strCache>
                <c:ptCount val="14"/>
                <c:pt idx="1">
                  <c:v>Area under Fish farming</c:v>
                </c:pt>
                <c:pt idx="2">
                  <c:v>Area Unusable</c:v>
                </c:pt>
                <c:pt idx="3">
                  <c:v>Area under Planted Trees</c:v>
                </c:pt>
                <c:pt idx="4">
                  <c:v>Area Rented to Others</c:v>
                </c:pt>
                <c:pt idx="5">
                  <c:v>Area under Permanent Mixed Crops</c:v>
                </c:pt>
                <c:pt idx="6">
                  <c:v>Area under Natural Bush</c:v>
                </c:pt>
                <c:pt idx="7">
                  <c:v>Area under Pasture</c:v>
                </c:pt>
                <c:pt idx="8">
                  <c:v>Area under Permanent Mono Crops </c:v>
                </c:pt>
                <c:pt idx="9">
                  <c:v>Area under Permanent /Temporary mix</c:v>
                </c:pt>
                <c:pt idx="10">
                  <c:v>Area of Uncultivated Usable Land (excluding fallow)</c:v>
                </c:pt>
                <c:pt idx="11">
                  <c:v>Area under Fallow</c:v>
                </c:pt>
                <c:pt idx="12">
                  <c:v>Area under Temporary Mixed Crops </c:v>
                </c:pt>
                <c:pt idx="13">
                  <c:v>Area under Temporary Mono Crops </c:v>
                </c:pt>
              </c:strCache>
            </c:strRef>
          </c:cat>
          <c:val>
            <c:numRef>
              <c:f>utilization!$R$40:$R$53</c:f>
              <c:numCache>
                <c:formatCode>_(* #,##0.0_);_(* \(#,##0.0\);_(* "-"_);_(@_)</c:formatCode>
                <c:ptCount val="14"/>
                <c:pt idx="1">
                  <c:v>4.1735337203959978E-2</c:v>
                </c:pt>
                <c:pt idx="2">
                  <c:v>0.94008349939645053</c:v>
                </c:pt>
                <c:pt idx="3">
                  <c:v>1.4370742578583233</c:v>
                </c:pt>
                <c:pt idx="4">
                  <c:v>2.1356440437498572</c:v>
                </c:pt>
                <c:pt idx="5">
                  <c:v>2.3075565153136544</c:v>
                </c:pt>
                <c:pt idx="6">
                  <c:v>2.9920083126009898</c:v>
                </c:pt>
                <c:pt idx="7">
                  <c:v>4.8470711415167074</c:v>
                </c:pt>
                <c:pt idx="8">
                  <c:v>5.5331468389017093</c:v>
                </c:pt>
                <c:pt idx="9">
                  <c:v>6.6189670868591026</c:v>
                </c:pt>
                <c:pt idx="10">
                  <c:v>6.7224824328807298</c:v>
                </c:pt>
                <c:pt idx="11">
                  <c:v>8.4924893515789002</c:v>
                </c:pt>
                <c:pt idx="12">
                  <c:v>19.258587973572627</c:v>
                </c:pt>
                <c:pt idx="13">
                  <c:v>38.673164255506428</c:v>
                </c:pt>
              </c:numCache>
            </c:numRef>
          </c:val>
          <c:extLst>
            <c:ext xmlns:c16="http://schemas.microsoft.com/office/drawing/2014/chart" uri="{C3380CC4-5D6E-409C-BE32-E72D297353CC}">
              <c16:uniqueId val="{00000001-E848-D84D-9269-E575C6360D3D}"/>
            </c:ext>
          </c:extLst>
        </c:ser>
        <c:dLbls>
          <c:showLegendKey val="0"/>
          <c:showVal val="0"/>
          <c:showCatName val="0"/>
          <c:showSerName val="0"/>
          <c:showPercent val="0"/>
          <c:showBubbleSize val="0"/>
        </c:dLbls>
        <c:gapWidth val="182"/>
        <c:axId val="94765440"/>
        <c:axId val="94767360"/>
      </c:barChart>
      <c:catAx>
        <c:axId val="94765440"/>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Land Utilzed (Ha)</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chemeClr val="tx1">
                <a:lumMod val="50000"/>
                <a:lumOff val="50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94767360"/>
        <c:crosses val="autoZero"/>
        <c:auto val="1"/>
        <c:lblAlgn val="ctr"/>
        <c:lblOffset val="100"/>
        <c:noMultiLvlLbl val="0"/>
      </c:catAx>
      <c:valAx>
        <c:axId val="94767360"/>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Percent</a:t>
                </a:r>
              </a:p>
            </c:rich>
          </c:tx>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a:solidFill>
              <a:schemeClr val="tx1">
                <a:lumMod val="50000"/>
                <a:lumOff val="50000"/>
              </a:schemeClr>
            </a:solid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947654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50000"/>
          <a:lumOff val="50000"/>
        </a:schemeClr>
      </a:solidFill>
      <a:round/>
    </a:ln>
    <a:effectLst/>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49102236451021"/>
          <c:y val="6.3947562110291789E-2"/>
          <c:w val="0.73046496843701902"/>
          <c:h val="0.54060496777208544"/>
        </c:manualLayout>
      </c:layout>
      <c:barChart>
        <c:barDir val="col"/>
        <c:grouping val="clustered"/>
        <c:varyColors val="0"/>
        <c:ser>
          <c:idx val="0"/>
          <c:order val="0"/>
          <c:tx>
            <c:strRef>
              <c:f>'Anthrax   '!$R$448</c:f>
              <c:strCache>
                <c:ptCount val="1"/>
                <c:pt idx="0">
                  <c:v>Vaccinated </c:v>
                </c:pt>
              </c:strCache>
            </c:strRef>
          </c:tx>
          <c:spPr>
            <a:solidFill>
              <a:schemeClr val="accent1"/>
            </a:solidFill>
            <a:ln>
              <a:noFill/>
            </a:ln>
            <a:effectLst/>
          </c:spPr>
          <c:invertIfNegative val="0"/>
          <c:cat>
            <c:strRef>
              <c:f>'Anthrax   '!$A$449:$A$474</c:f>
              <c:strCache>
                <c:ptCount val="26"/>
                <c:pt idx="0">
                  <c:v>Kilimanjaro</c:v>
                </c:pt>
                <c:pt idx="1">
                  <c:v>Arusha</c:v>
                </c:pt>
                <c:pt idx="2">
                  <c:v>Tabora</c:v>
                </c:pt>
                <c:pt idx="3">
                  <c:v>Njombe</c:v>
                </c:pt>
                <c:pt idx="4">
                  <c:v>Iringa</c:v>
                </c:pt>
                <c:pt idx="5">
                  <c:v>Rukwa</c:v>
                </c:pt>
                <c:pt idx="6">
                  <c:v>Tanga</c:v>
                </c:pt>
                <c:pt idx="7">
                  <c:v>Songwe</c:v>
                </c:pt>
                <c:pt idx="8">
                  <c:v>Kagera</c:v>
                </c:pt>
                <c:pt idx="9">
                  <c:v>Morogoro</c:v>
                </c:pt>
                <c:pt idx="10">
                  <c:v>Dodoma</c:v>
                </c:pt>
                <c:pt idx="11">
                  <c:v>Mbeya</c:v>
                </c:pt>
                <c:pt idx="12">
                  <c:v>Manyara</c:v>
                </c:pt>
                <c:pt idx="13">
                  <c:v>Mwanza</c:v>
                </c:pt>
                <c:pt idx="14">
                  <c:v>Shinyanga</c:v>
                </c:pt>
                <c:pt idx="15">
                  <c:v>Singida</c:v>
                </c:pt>
                <c:pt idx="16">
                  <c:v>Geita</c:v>
                </c:pt>
                <c:pt idx="17">
                  <c:v>Simiyu</c:v>
                </c:pt>
                <c:pt idx="18">
                  <c:v>Kigoma</c:v>
                </c:pt>
                <c:pt idx="19">
                  <c:v>Dar-es-salaam</c:v>
                </c:pt>
                <c:pt idx="20">
                  <c:v>Katavi</c:v>
                </c:pt>
                <c:pt idx="21">
                  <c:v>Pwani</c:v>
                </c:pt>
                <c:pt idx="22">
                  <c:v>Ruvuma</c:v>
                </c:pt>
                <c:pt idx="23">
                  <c:v>Mara</c:v>
                </c:pt>
                <c:pt idx="24">
                  <c:v>Mtwara</c:v>
                </c:pt>
                <c:pt idx="25">
                  <c:v>Lindi</c:v>
                </c:pt>
              </c:strCache>
            </c:strRef>
          </c:cat>
          <c:val>
            <c:numRef>
              <c:f>'Anthrax   '!$R$449:$R$474</c:f>
              <c:numCache>
                <c:formatCode>#,##0</c:formatCode>
                <c:ptCount val="26"/>
                <c:pt idx="0">
                  <c:v>14987</c:v>
                </c:pt>
                <c:pt idx="1">
                  <c:v>13249</c:v>
                </c:pt>
                <c:pt idx="2">
                  <c:v>11502</c:v>
                </c:pt>
                <c:pt idx="3">
                  <c:v>7582</c:v>
                </c:pt>
                <c:pt idx="4">
                  <c:v>7489</c:v>
                </c:pt>
                <c:pt idx="5">
                  <c:v>6353</c:v>
                </c:pt>
                <c:pt idx="6">
                  <c:v>4528</c:v>
                </c:pt>
                <c:pt idx="7">
                  <c:v>3754</c:v>
                </c:pt>
                <c:pt idx="8">
                  <c:v>3650</c:v>
                </c:pt>
                <c:pt idx="9">
                  <c:v>3484</c:v>
                </c:pt>
                <c:pt idx="10">
                  <c:v>3206</c:v>
                </c:pt>
                <c:pt idx="11">
                  <c:v>3126</c:v>
                </c:pt>
                <c:pt idx="12">
                  <c:v>2861</c:v>
                </c:pt>
                <c:pt idx="13">
                  <c:v>2709</c:v>
                </c:pt>
                <c:pt idx="14">
                  <c:v>2704</c:v>
                </c:pt>
                <c:pt idx="15">
                  <c:v>2699</c:v>
                </c:pt>
                <c:pt idx="16">
                  <c:v>2167</c:v>
                </c:pt>
                <c:pt idx="17">
                  <c:v>1496</c:v>
                </c:pt>
                <c:pt idx="18">
                  <c:v>1337</c:v>
                </c:pt>
                <c:pt idx="19">
                  <c:v>805</c:v>
                </c:pt>
                <c:pt idx="20">
                  <c:v>581</c:v>
                </c:pt>
                <c:pt idx="21">
                  <c:v>421</c:v>
                </c:pt>
                <c:pt idx="22">
                  <c:v>380</c:v>
                </c:pt>
                <c:pt idx="23">
                  <c:v>296</c:v>
                </c:pt>
                <c:pt idx="24">
                  <c:v>153</c:v>
                </c:pt>
                <c:pt idx="25">
                  <c:v>0</c:v>
                </c:pt>
              </c:numCache>
            </c:numRef>
          </c:val>
          <c:extLst>
            <c:ext xmlns:c16="http://schemas.microsoft.com/office/drawing/2014/chart" uri="{C3380CC4-5D6E-409C-BE32-E72D297353CC}">
              <c16:uniqueId val="{00000000-96EA-404B-87C9-984FA242CB42}"/>
            </c:ext>
          </c:extLst>
        </c:ser>
        <c:dLbls>
          <c:showLegendKey val="0"/>
          <c:showVal val="0"/>
          <c:showCatName val="0"/>
          <c:showSerName val="0"/>
          <c:showPercent val="0"/>
          <c:showBubbleSize val="0"/>
        </c:dLbls>
        <c:gapWidth val="219"/>
        <c:axId val="127869312"/>
        <c:axId val="127871616"/>
      </c:barChart>
      <c:scatterChart>
        <c:scatterStyle val="lineMarker"/>
        <c:varyColors val="0"/>
        <c:ser>
          <c:idx val="1"/>
          <c:order val="1"/>
          <c:tx>
            <c:strRef>
              <c:f>'Anthrax   '!$S$448</c:f>
              <c:strCache>
                <c:ptCount val="1"/>
                <c:pt idx="0">
                  <c:v>Percent</c:v>
                </c:pt>
              </c:strCache>
            </c:strRef>
          </c:tx>
          <c:spPr>
            <a:ln w="25400" cap="rnd">
              <a:noFill/>
              <a:round/>
            </a:ln>
            <a:effectLst/>
          </c:spPr>
          <c:marker>
            <c:symbol val="circle"/>
            <c:size val="3"/>
            <c:spPr>
              <a:solidFill>
                <a:sysClr val="windowText" lastClr="000000">
                  <a:alpha val="98000"/>
                </a:sysClr>
              </a:solidFill>
              <a:ln w="9525">
                <a:noFill/>
              </a:ln>
              <a:effectLst/>
            </c:spPr>
          </c:marker>
          <c:xVal>
            <c:strRef>
              <c:f>'Anthrax   '!$A$449:$A$474</c:f>
              <c:strCache>
                <c:ptCount val="26"/>
                <c:pt idx="0">
                  <c:v>Kilimanjaro</c:v>
                </c:pt>
                <c:pt idx="1">
                  <c:v>Arusha</c:v>
                </c:pt>
                <c:pt idx="2">
                  <c:v>Tabora</c:v>
                </c:pt>
                <c:pt idx="3">
                  <c:v>Njombe</c:v>
                </c:pt>
                <c:pt idx="4">
                  <c:v>Iringa</c:v>
                </c:pt>
                <c:pt idx="5">
                  <c:v>Rukwa</c:v>
                </c:pt>
                <c:pt idx="6">
                  <c:v>Tanga</c:v>
                </c:pt>
                <c:pt idx="7">
                  <c:v>Songwe</c:v>
                </c:pt>
                <c:pt idx="8">
                  <c:v>Kagera</c:v>
                </c:pt>
                <c:pt idx="9">
                  <c:v>Morogoro</c:v>
                </c:pt>
                <c:pt idx="10">
                  <c:v>Dodoma</c:v>
                </c:pt>
                <c:pt idx="11">
                  <c:v>Mbeya</c:v>
                </c:pt>
                <c:pt idx="12">
                  <c:v>Manyara</c:v>
                </c:pt>
                <c:pt idx="13">
                  <c:v>Mwanza</c:v>
                </c:pt>
                <c:pt idx="14">
                  <c:v>Shinyanga</c:v>
                </c:pt>
                <c:pt idx="15">
                  <c:v>Singida</c:v>
                </c:pt>
                <c:pt idx="16">
                  <c:v>Geita</c:v>
                </c:pt>
                <c:pt idx="17">
                  <c:v>Simiyu</c:v>
                </c:pt>
                <c:pt idx="18">
                  <c:v>Kigoma</c:v>
                </c:pt>
                <c:pt idx="19">
                  <c:v>Dar-es-salaam</c:v>
                </c:pt>
                <c:pt idx="20">
                  <c:v>Katavi</c:v>
                </c:pt>
                <c:pt idx="21">
                  <c:v>Pwani</c:v>
                </c:pt>
                <c:pt idx="22">
                  <c:v>Ruvuma</c:v>
                </c:pt>
                <c:pt idx="23">
                  <c:v>Mara</c:v>
                </c:pt>
                <c:pt idx="24">
                  <c:v>Mtwara</c:v>
                </c:pt>
                <c:pt idx="25">
                  <c:v>Lindi</c:v>
                </c:pt>
              </c:strCache>
            </c:strRef>
          </c:xVal>
          <c:yVal>
            <c:numRef>
              <c:f>'Anthrax   '!$S$449:$S$474</c:f>
              <c:numCache>
                <c:formatCode>0.0</c:formatCode>
                <c:ptCount val="26"/>
                <c:pt idx="0">
                  <c:v>27.78921214143999</c:v>
                </c:pt>
                <c:pt idx="1">
                  <c:v>22.400121730603413</c:v>
                </c:pt>
                <c:pt idx="2">
                  <c:v>24.04817161136549</c:v>
                </c:pt>
                <c:pt idx="3">
                  <c:v>14.722044232150832</c:v>
                </c:pt>
                <c:pt idx="4">
                  <c:v>29.538910582574051</c:v>
                </c:pt>
                <c:pt idx="5">
                  <c:v>31.542624497294074</c:v>
                </c:pt>
                <c:pt idx="6">
                  <c:v>28.975491137134448</c:v>
                </c:pt>
                <c:pt idx="7">
                  <c:v>80.488850771869636</c:v>
                </c:pt>
                <c:pt idx="8">
                  <c:v>21.615539500177661</c:v>
                </c:pt>
                <c:pt idx="9">
                  <c:v>12.507179781734635</c:v>
                </c:pt>
                <c:pt idx="10">
                  <c:v>7.4264535557099833</c:v>
                </c:pt>
                <c:pt idx="11">
                  <c:v>5.8656859249807667</c:v>
                </c:pt>
                <c:pt idx="12">
                  <c:v>14.066571611190323</c:v>
                </c:pt>
                <c:pt idx="13">
                  <c:v>8.6832489262132189</c:v>
                </c:pt>
                <c:pt idx="14">
                  <c:v>8.5683503390582416</c:v>
                </c:pt>
                <c:pt idx="15">
                  <c:v>21.861331605378258</c:v>
                </c:pt>
                <c:pt idx="16">
                  <c:v>6.3857374392220416</c:v>
                </c:pt>
                <c:pt idx="17">
                  <c:v>6.2440001669518761</c:v>
                </c:pt>
                <c:pt idx="18">
                  <c:v>2.8038167138513157</c:v>
                </c:pt>
                <c:pt idx="19">
                  <c:v>2.9119189726894557</c:v>
                </c:pt>
                <c:pt idx="20">
                  <c:v>1.0920436817472698</c:v>
                </c:pt>
                <c:pt idx="21">
                  <c:v>6.5576323987538947</c:v>
                </c:pt>
                <c:pt idx="22">
                  <c:v>17.070979335130279</c:v>
                </c:pt>
                <c:pt idx="23">
                  <c:v>1.3232007152436298</c:v>
                </c:pt>
                <c:pt idx="24">
                  <c:v>0.31946880481082435</c:v>
                </c:pt>
                <c:pt idx="25">
                  <c:v>0</c:v>
                </c:pt>
              </c:numCache>
            </c:numRef>
          </c:yVal>
          <c:smooth val="0"/>
          <c:extLst>
            <c:ext xmlns:c16="http://schemas.microsoft.com/office/drawing/2014/chart" uri="{C3380CC4-5D6E-409C-BE32-E72D297353CC}">
              <c16:uniqueId val="{00000001-96EA-404B-87C9-984FA242CB42}"/>
            </c:ext>
          </c:extLst>
        </c:ser>
        <c:dLbls>
          <c:showLegendKey val="0"/>
          <c:showVal val="0"/>
          <c:showCatName val="0"/>
          <c:showSerName val="0"/>
          <c:showPercent val="0"/>
          <c:showBubbleSize val="0"/>
        </c:dLbls>
        <c:axId val="127879808"/>
        <c:axId val="127877888"/>
      </c:scatterChart>
      <c:catAx>
        <c:axId val="127869312"/>
        <c:scaling>
          <c:orientation val="minMax"/>
        </c:scaling>
        <c:delete val="0"/>
        <c:axPos val="b"/>
        <c:title>
          <c:tx>
            <c:rich>
              <a:bodyPr rot="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Region</a:t>
                </a:r>
              </a:p>
            </c:rich>
          </c:tx>
          <c:layout>
            <c:manualLayout>
              <c:xMode val="edge"/>
              <c:yMode val="edge"/>
              <c:x val="0.43906276812719985"/>
              <c:y val="0.85486860438741452"/>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254" cap="flat" cmpd="sng" algn="ctr">
            <a:solidFill>
              <a:srgbClr val="E7E6E6">
                <a:lumMod val="50000"/>
              </a:srgbClr>
            </a:solidFill>
            <a:round/>
          </a:ln>
          <a:effectLst/>
        </c:spPr>
        <c:txPr>
          <a:bodyPr rot="-5400000" spcFirstLastPara="1" vertOverflow="ellipsis"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27871616"/>
        <c:crosses val="autoZero"/>
        <c:auto val="1"/>
        <c:lblAlgn val="ctr"/>
        <c:lblOffset val="100"/>
        <c:noMultiLvlLbl val="0"/>
      </c:catAx>
      <c:valAx>
        <c:axId val="127871616"/>
        <c:scaling>
          <c:orientation val="minMax"/>
        </c:scaling>
        <c:delete val="0"/>
        <c:axPos val="l"/>
        <c:title>
          <c:tx>
            <c:rich>
              <a:bodyPr rot="-540000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Households</a:t>
                </a:r>
              </a:p>
            </c:rich>
          </c:tx>
          <c:layout>
            <c:manualLayout>
              <c:xMode val="edge"/>
              <c:yMode val="edge"/>
              <c:x val="2.2627807025702221E-2"/>
              <c:y val="0.14143000643438089"/>
            </c:manualLayout>
          </c:layout>
          <c:overlay val="0"/>
          <c:spPr>
            <a:noFill/>
            <a:ln>
              <a:noFill/>
            </a:ln>
            <a:effectLst/>
          </c:spPr>
          <c:txPr>
            <a:bodyPr rot="-540000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1"/>
        <c:majorTickMark val="out"/>
        <c:minorTickMark val="none"/>
        <c:tickLblPos val="nextTo"/>
        <c:spPr>
          <a:noFill/>
          <a:ln w="254">
            <a:solidFill>
              <a:srgbClr val="E7E6E6">
                <a:lumMod val="50000"/>
              </a:srgbClr>
            </a:solidFill>
          </a:ln>
          <a:effectLst/>
        </c:spPr>
        <c:txPr>
          <a:bodyPr rot="-6000000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27869312"/>
        <c:crosses val="autoZero"/>
        <c:crossBetween val="between"/>
      </c:valAx>
      <c:valAx>
        <c:axId val="127877888"/>
        <c:scaling>
          <c:orientation val="minMax"/>
        </c:scaling>
        <c:delete val="0"/>
        <c:axPos val="r"/>
        <c:title>
          <c:tx>
            <c:rich>
              <a:bodyPr rot="-540000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Percent</a:t>
                </a:r>
              </a:p>
            </c:rich>
          </c:tx>
          <c:layout>
            <c:manualLayout>
              <c:xMode val="edge"/>
              <c:yMode val="edge"/>
              <c:x val="0.93537962554214915"/>
              <c:y val="0.14852819323510488"/>
            </c:manualLayout>
          </c:layout>
          <c:overlay val="0"/>
          <c:spPr>
            <a:noFill/>
            <a:ln>
              <a:noFill/>
            </a:ln>
            <a:effectLst/>
          </c:spPr>
          <c:txPr>
            <a:bodyPr rot="-540000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w="254">
            <a:solidFill>
              <a:srgbClr val="E7E6E6">
                <a:lumMod val="50000"/>
              </a:srgbClr>
            </a:solidFill>
          </a:ln>
          <a:effectLst/>
        </c:spPr>
        <c:txPr>
          <a:bodyPr rot="-6000000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27879808"/>
        <c:crosses val="max"/>
        <c:crossBetween val="midCat"/>
      </c:valAx>
      <c:valAx>
        <c:axId val="127879808"/>
        <c:scaling>
          <c:orientation val="minMax"/>
        </c:scaling>
        <c:delete val="1"/>
        <c:axPos val="t"/>
        <c:majorTickMark val="out"/>
        <c:minorTickMark val="none"/>
        <c:tickLblPos val="nextTo"/>
        <c:crossAx val="127877888"/>
        <c:crosses val="max"/>
        <c:crossBetween val="midCat"/>
      </c:valAx>
      <c:spPr>
        <a:noFill/>
        <a:ln>
          <a:noFill/>
        </a:ln>
        <a:effectLst/>
      </c:spPr>
    </c:plotArea>
    <c:legend>
      <c:legendPos val="b"/>
      <c:layout>
        <c:manualLayout>
          <c:xMode val="edge"/>
          <c:yMode val="edge"/>
          <c:x val="0.28547348234273912"/>
          <c:y val="0.93158308915089316"/>
          <c:w val="0.38912623444944111"/>
          <c:h val="6.6605699123256049E-2"/>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70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1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714786376941177"/>
          <c:y val="0.10738578654679658"/>
          <c:w val="0.72568164684201708"/>
          <c:h val="0.43680889446341331"/>
        </c:manualLayout>
      </c:layout>
      <c:barChart>
        <c:barDir val="col"/>
        <c:grouping val="clustered"/>
        <c:varyColors val="0"/>
        <c:ser>
          <c:idx val="0"/>
          <c:order val="0"/>
          <c:tx>
            <c:v>Vaccinated</c:v>
          </c:tx>
          <c:spPr>
            <a:solidFill>
              <a:schemeClr val="accent1"/>
            </a:solidFill>
            <a:ln>
              <a:noFill/>
            </a:ln>
            <a:effectLst/>
          </c:spPr>
          <c:invertIfNegative val="0"/>
          <c:cat>
            <c:strRef>
              <c:f>'Anthrax   '!$A$476:$A$480</c:f>
              <c:strCache>
                <c:ptCount val="5"/>
                <c:pt idx="0">
                  <c:v>Kusini Unguja </c:v>
                </c:pt>
                <c:pt idx="1">
                  <c:v>Kaskazini-Unguja</c:v>
                </c:pt>
                <c:pt idx="2">
                  <c:v>Mjini Magharibi </c:v>
                </c:pt>
                <c:pt idx="3">
                  <c:v>Kaskazini-Pemba</c:v>
                </c:pt>
                <c:pt idx="4">
                  <c:v>Kusini-Pemba</c:v>
                </c:pt>
              </c:strCache>
            </c:strRef>
          </c:cat>
          <c:val>
            <c:numRef>
              <c:f>'Anthrax   '!$R$476:$R$480</c:f>
              <c:numCache>
                <c:formatCode>#,##0</c:formatCode>
                <c:ptCount val="5"/>
                <c:pt idx="0">
                  <c:v>782</c:v>
                </c:pt>
                <c:pt idx="1">
                  <c:v>244</c:v>
                </c:pt>
                <c:pt idx="2">
                  <c:v>44</c:v>
                </c:pt>
                <c:pt idx="3">
                  <c:v>0</c:v>
                </c:pt>
                <c:pt idx="4">
                  <c:v>0</c:v>
                </c:pt>
              </c:numCache>
            </c:numRef>
          </c:val>
          <c:extLst>
            <c:ext xmlns:c16="http://schemas.microsoft.com/office/drawing/2014/chart" uri="{C3380CC4-5D6E-409C-BE32-E72D297353CC}">
              <c16:uniqueId val="{00000000-9607-BC47-B50B-B3A2114207D1}"/>
            </c:ext>
          </c:extLst>
        </c:ser>
        <c:dLbls>
          <c:showLegendKey val="0"/>
          <c:showVal val="0"/>
          <c:showCatName val="0"/>
          <c:showSerName val="0"/>
          <c:showPercent val="0"/>
          <c:showBubbleSize val="0"/>
        </c:dLbls>
        <c:gapWidth val="219"/>
        <c:axId val="127928192"/>
        <c:axId val="127934848"/>
      </c:barChart>
      <c:scatterChart>
        <c:scatterStyle val="lineMarker"/>
        <c:varyColors val="0"/>
        <c:ser>
          <c:idx val="1"/>
          <c:order val="1"/>
          <c:tx>
            <c:v>Percent</c:v>
          </c:tx>
          <c:spPr>
            <a:ln w="25400" cap="rnd">
              <a:noFill/>
              <a:round/>
            </a:ln>
            <a:effectLst/>
          </c:spPr>
          <c:marker>
            <c:symbol val="circle"/>
            <c:size val="3"/>
            <c:spPr>
              <a:solidFill>
                <a:schemeClr val="tx1"/>
              </a:solidFill>
              <a:ln w="9525">
                <a:noFill/>
              </a:ln>
              <a:effectLst/>
            </c:spPr>
          </c:marker>
          <c:xVal>
            <c:strRef>
              <c:f>'Anthrax   '!$A$476:$A$480</c:f>
              <c:strCache>
                <c:ptCount val="5"/>
                <c:pt idx="0">
                  <c:v>Kusini Unguja </c:v>
                </c:pt>
                <c:pt idx="1">
                  <c:v>Kaskazini-Unguja</c:v>
                </c:pt>
                <c:pt idx="2">
                  <c:v>Mjini Magharibi </c:v>
                </c:pt>
                <c:pt idx="3">
                  <c:v>Kaskazini-Pemba</c:v>
                </c:pt>
                <c:pt idx="4">
                  <c:v>Kusini-Pemba</c:v>
                </c:pt>
              </c:strCache>
            </c:strRef>
          </c:xVal>
          <c:yVal>
            <c:numRef>
              <c:f>'Anthrax   '!$S$476:$S$480</c:f>
              <c:numCache>
                <c:formatCode>0.0</c:formatCode>
                <c:ptCount val="5"/>
                <c:pt idx="0">
                  <c:v>23.246135552913199</c:v>
                </c:pt>
                <c:pt idx="1">
                  <c:v>6.4210526315789469</c:v>
                </c:pt>
                <c:pt idx="2">
                  <c:v>1.0333489901362143</c:v>
                </c:pt>
                <c:pt idx="3">
                  <c:v>0</c:v>
                </c:pt>
                <c:pt idx="4">
                  <c:v>0</c:v>
                </c:pt>
              </c:numCache>
            </c:numRef>
          </c:yVal>
          <c:smooth val="0"/>
          <c:extLst>
            <c:ext xmlns:c16="http://schemas.microsoft.com/office/drawing/2014/chart" uri="{C3380CC4-5D6E-409C-BE32-E72D297353CC}">
              <c16:uniqueId val="{00000001-9607-BC47-B50B-B3A2114207D1}"/>
            </c:ext>
          </c:extLst>
        </c:ser>
        <c:dLbls>
          <c:showLegendKey val="0"/>
          <c:showVal val="0"/>
          <c:showCatName val="0"/>
          <c:showSerName val="0"/>
          <c:showPercent val="0"/>
          <c:showBubbleSize val="0"/>
        </c:dLbls>
        <c:axId val="127943040"/>
        <c:axId val="127936768"/>
      </c:scatterChart>
      <c:catAx>
        <c:axId val="127928192"/>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GB"/>
                  <a:t>Region</a:t>
                </a:r>
              </a:p>
            </c:rich>
          </c:tx>
          <c:layout>
            <c:manualLayout>
              <c:xMode val="edge"/>
              <c:yMode val="edge"/>
              <c:x val="0.49037248213751233"/>
              <c:y val="0.8414179422262482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rgbClr val="E7E6E6">
                <a:lumMod val="50000"/>
              </a:srgbClr>
            </a:solidFill>
            <a:round/>
          </a:ln>
          <a:effectLst/>
        </c:spPr>
        <c:txPr>
          <a:bodyPr rot="-5400000" spcFirstLastPara="1" vertOverflow="ellipsis"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27934848"/>
        <c:crosses val="autoZero"/>
        <c:auto val="1"/>
        <c:lblAlgn val="ctr"/>
        <c:lblOffset val="100"/>
        <c:noMultiLvlLbl val="0"/>
      </c:catAx>
      <c:valAx>
        <c:axId val="127934848"/>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GB"/>
                  <a:t> Households</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1"/>
        <c:majorTickMark val="out"/>
        <c:minorTickMark val="none"/>
        <c:tickLblPos val="nextTo"/>
        <c:spPr>
          <a:noFill/>
          <a:ln w="2540">
            <a:solidFill>
              <a:srgbClr val="E7E6E6">
                <a:lumMod val="50000"/>
              </a:srgbClr>
            </a:solid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27928192"/>
        <c:crosses val="autoZero"/>
        <c:crossBetween val="between"/>
      </c:valAx>
      <c:valAx>
        <c:axId val="127936768"/>
        <c:scaling>
          <c:orientation val="minMax"/>
        </c:scaling>
        <c:delete val="0"/>
        <c:axPos val="r"/>
        <c:title>
          <c:tx>
            <c:rich>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GB"/>
                  <a:t>Percent</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a:solidFill>
              <a:srgbClr val="E7E6E6">
                <a:lumMod val="50000"/>
              </a:srgbClr>
            </a:solid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27943040"/>
        <c:crosses val="max"/>
        <c:crossBetween val="midCat"/>
      </c:valAx>
      <c:valAx>
        <c:axId val="127943040"/>
        <c:scaling>
          <c:orientation val="minMax"/>
        </c:scaling>
        <c:delete val="1"/>
        <c:axPos val="t"/>
        <c:majorTickMark val="out"/>
        <c:minorTickMark val="none"/>
        <c:tickLblPos val="nextTo"/>
        <c:crossAx val="127936768"/>
        <c:crosses val="max"/>
        <c:crossBetween val="midCat"/>
      </c:valAx>
      <c:spPr>
        <a:noFill/>
        <a:ln>
          <a:noFill/>
        </a:ln>
        <a:effectLst/>
      </c:spPr>
    </c:plotArea>
    <c:legend>
      <c:legendPos val="b"/>
      <c:layout>
        <c:manualLayout>
          <c:xMode val="edge"/>
          <c:yMode val="edge"/>
          <c:x val="0.29345348516125735"/>
          <c:y val="0.907269178534587"/>
          <c:w val="0.39764399911929743"/>
          <c:h val="6.4455609401322472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1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775463233256286"/>
          <c:y val="8.8162846310877813E-2"/>
          <c:w val="0.72435936574571025"/>
          <c:h val="0.55250212551428901"/>
        </c:manualLayout>
      </c:layout>
      <c:barChart>
        <c:barDir val="col"/>
        <c:grouping val="clustered"/>
        <c:varyColors val="0"/>
        <c:ser>
          <c:idx val="0"/>
          <c:order val="0"/>
          <c:tx>
            <c:strRef>
              <c:f>CBPP!$V$448</c:f>
              <c:strCache>
                <c:ptCount val="1"/>
                <c:pt idx="0">
                  <c:v>Vaccinated </c:v>
                </c:pt>
              </c:strCache>
            </c:strRef>
          </c:tx>
          <c:spPr>
            <a:solidFill>
              <a:schemeClr val="accent1"/>
            </a:solidFill>
            <a:ln>
              <a:noFill/>
            </a:ln>
            <a:effectLst/>
          </c:spPr>
          <c:invertIfNegative val="0"/>
          <c:cat>
            <c:strRef>
              <c:f>CBPP!$A$449:$A$474</c:f>
              <c:strCache>
                <c:ptCount val="26"/>
                <c:pt idx="0">
                  <c:v>Manyara</c:v>
                </c:pt>
                <c:pt idx="1">
                  <c:v>Dodoma</c:v>
                </c:pt>
                <c:pt idx="2">
                  <c:v>Arusha</c:v>
                </c:pt>
                <c:pt idx="3">
                  <c:v>Tabora</c:v>
                </c:pt>
                <c:pt idx="4">
                  <c:v>Rukwa</c:v>
                </c:pt>
                <c:pt idx="5">
                  <c:v>Kilimanjaro</c:v>
                </c:pt>
                <c:pt idx="6">
                  <c:v>Tanga</c:v>
                </c:pt>
                <c:pt idx="7">
                  <c:v>Shinyanga</c:v>
                </c:pt>
                <c:pt idx="8">
                  <c:v>Mbeya</c:v>
                </c:pt>
                <c:pt idx="9">
                  <c:v>Iringa</c:v>
                </c:pt>
                <c:pt idx="10">
                  <c:v>Geita</c:v>
                </c:pt>
                <c:pt idx="11">
                  <c:v>Mara</c:v>
                </c:pt>
                <c:pt idx="12">
                  <c:v>Songwe</c:v>
                </c:pt>
                <c:pt idx="13">
                  <c:v>Morogoro</c:v>
                </c:pt>
                <c:pt idx="14">
                  <c:v>Njombe</c:v>
                </c:pt>
                <c:pt idx="15">
                  <c:v>Kagera</c:v>
                </c:pt>
                <c:pt idx="16">
                  <c:v>Mwanza</c:v>
                </c:pt>
                <c:pt idx="17">
                  <c:v>Pwani</c:v>
                </c:pt>
                <c:pt idx="18">
                  <c:v>Simiyu</c:v>
                </c:pt>
                <c:pt idx="19">
                  <c:v>Singida</c:v>
                </c:pt>
                <c:pt idx="20">
                  <c:v>Dar-es-salaam</c:v>
                </c:pt>
                <c:pt idx="21">
                  <c:v>Kigoma</c:v>
                </c:pt>
                <c:pt idx="22">
                  <c:v>Ruvuma</c:v>
                </c:pt>
                <c:pt idx="23">
                  <c:v>Katavi</c:v>
                </c:pt>
                <c:pt idx="24">
                  <c:v>Mtwara</c:v>
                </c:pt>
                <c:pt idx="25">
                  <c:v>Lindi</c:v>
                </c:pt>
              </c:strCache>
            </c:strRef>
          </c:cat>
          <c:val>
            <c:numRef>
              <c:f>CBPP!$V$449:$V$474</c:f>
              <c:numCache>
                <c:formatCode>#,##0</c:formatCode>
                <c:ptCount val="26"/>
                <c:pt idx="0">
                  <c:v>24594</c:v>
                </c:pt>
                <c:pt idx="1">
                  <c:v>20185</c:v>
                </c:pt>
                <c:pt idx="2">
                  <c:v>18758</c:v>
                </c:pt>
                <c:pt idx="3">
                  <c:v>18269</c:v>
                </c:pt>
                <c:pt idx="4">
                  <c:v>16142</c:v>
                </c:pt>
                <c:pt idx="5">
                  <c:v>14250</c:v>
                </c:pt>
                <c:pt idx="6">
                  <c:v>13757</c:v>
                </c:pt>
                <c:pt idx="7">
                  <c:v>12854</c:v>
                </c:pt>
                <c:pt idx="8">
                  <c:v>11801</c:v>
                </c:pt>
                <c:pt idx="9">
                  <c:v>11302</c:v>
                </c:pt>
                <c:pt idx="10">
                  <c:v>10355</c:v>
                </c:pt>
                <c:pt idx="11">
                  <c:v>7366</c:v>
                </c:pt>
                <c:pt idx="12">
                  <c:v>5815</c:v>
                </c:pt>
                <c:pt idx="13">
                  <c:v>5125</c:v>
                </c:pt>
                <c:pt idx="14">
                  <c:v>4863</c:v>
                </c:pt>
                <c:pt idx="15">
                  <c:v>4119</c:v>
                </c:pt>
                <c:pt idx="16">
                  <c:v>4092</c:v>
                </c:pt>
                <c:pt idx="17">
                  <c:v>3674</c:v>
                </c:pt>
                <c:pt idx="18">
                  <c:v>3667</c:v>
                </c:pt>
                <c:pt idx="19">
                  <c:v>2861</c:v>
                </c:pt>
                <c:pt idx="20">
                  <c:v>2315</c:v>
                </c:pt>
                <c:pt idx="21">
                  <c:v>1956</c:v>
                </c:pt>
                <c:pt idx="22">
                  <c:v>1140</c:v>
                </c:pt>
                <c:pt idx="23">
                  <c:v>1097</c:v>
                </c:pt>
                <c:pt idx="24">
                  <c:v>202</c:v>
                </c:pt>
                <c:pt idx="25">
                  <c:v>78</c:v>
                </c:pt>
              </c:numCache>
            </c:numRef>
          </c:val>
          <c:extLst>
            <c:ext xmlns:c16="http://schemas.microsoft.com/office/drawing/2014/chart" uri="{C3380CC4-5D6E-409C-BE32-E72D297353CC}">
              <c16:uniqueId val="{00000000-9C57-084C-9818-01451BE4AB6C}"/>
            </c:ext>
          </c:extLst>
        </c:ser>
        <c:dLbls>
          <c:showLegendKey val="0"/>
          <c:showVal val="0"/>
          <c:showCatName val="0"/>
          <c:showSerName val="0"/>
          <c:showPercent val="0"/>
          <c:showBubbleSize val="0"/>
        </c:dLbls>
        <c:gapWidth val="219"/>
        <c:axId val="128004480"/>
        <c:axId val="128006784"/>
      </c:barChart>
      <c:scatterChart>
        <c:scatterStyle val="lineMarker"/>
        <c:varyColors val="0"/>
        <c:ser>
          <c:idx val="1"/>
          <c:order val="1"/>
          <c:tx>
            <c:strRef>
              <c:f>CBPP!$W$448</c:f>
              <c:strCache>
                <c:ptCount val="1"/>
                <c:pt idx="0">
                  <c:v>Percent</c:v>
                </c:pt>
              </c:strCache>
            </c:strRef>
          </c:tx>
          <c:spPr>
            <a:ln w="25400" cap="rnd">
              <a:noFill/>
              <a:round/>
            </a:ln>
            <a:effectLst/>
          </c:spPr>
          <c:marker>
            <c:symbol val="circle"/>
            <c:size val="3"/>
            <c:spPr>
              <a:solidFill>
                <a:sysClr val="windowText" lastClr="000000"/>
              </a:solidFill>
              <a:ln w="9525">
                <a:noFill/>
              </a:ln>
              <a:effectLst/>
            </c:spPr>
          </c:marker>
          <c:xVal>
            <c:strRef>
              <c:f>CBPP!$A$449:$A$474</c:f>
              <c:strCache>
                <c:ptCount val="26"/>
                <c:pt idx="0">
                  <c:v>Manyara</c:v>
                </c:pt>
                <c:pt idx="1">
                  <c:v>Dodoma</c:v>
                </c:pt>
                <c:pt idx="2">
                  <c:v>Arusha</c:v>
                </c:pt>
                <c:pt idx="3">
                  <c:v>Tabora</c:v>
                </c:pt>
                <c:pt idx="4">
                  <c:v>Rukwa</c:v>
                </c:pt>
                <c:pt idx="5">
                  <c:v>Kilimanjaro</c:v>
                </c:pt>
                <c:pt idx="6">
                  <c:v>Tanga</c:v>
                </c:pt>
                <c:pt idx="7">
                  <c:v>Shinyanga</c:v>
                </c:pt>
                <c:pt idx="8">
                  <c:v>Mbeya</c:v>
                </c:pt>
                <c:pt idx="9">
                  <c:v>Iringa</c:v>
                </c:pt>
                <c:pt idx="10">
                  <c:v>Geita</c:v>
                </c:pt>
                <c:pt idx="11">
                  <c:v>Mara</c:v>
                </c:pt>
                <c:pt idx="12">
                  <c:v>Songwe</c:v>
                </c:pt>
                <c:pt idx="13">
                  <c:v>Morogoro</c:v>
                </c:pt>
                <c:pt idx="14">
                  <c:v>Njombe</c:v>
                </c:pt>
                <c:pt idx="15">
                  <c:v>Kagera</c:v>
                </c:pt>
                <c:pt idx="16">
                  <c:v>Mwanza</c:v>
                </c:pt>
                <c:pt idx="17">
                  <c:v>Pwani</c:v>
                </c:pt>
                <c:pt idx="18">
                  <c:v>Simiyu</c:v>
                </c:pt>
                <c:pt idx="19">
                  <c:v>Singida</c:v>
                </c:pt>
                <c:pt idx="20">
                  <c:v>Dar-es-salaam</c:v>
                </c:pt>
                <c:pt idx="21">
                  <c:v>Kigoma</c:v>
                </c:pt>
                <c:pt idx="22">
                  <c:v>Ruvuma</c:v>
                </c:pt>
                <c:pt idx="23">
                  <c:v>Katavi</c:v>
                </c:pt>
                <c:pt idx="24">
                  <c:v>Mtwara</c:v>
                </c:pt>
                <c:pt idx="25">
                  <c:v>Lindi</c:v>
                </c:pt>
              </c:strCache>
            </c:strRef>
          </c:xVal>
          <c:yVal>
            <c:numRef>
              <c:f>CBPP!$W$449:$W$474</c:f>
              <c:numCache>
                <c:formatCode>0.0</c:formatCode>
                <c:ptCount val="26"/>
                <c:pt idx="0">
                  <c:v>49.221470600008004</c:v>
                </c:pt>
                <c:pt idx="1">
                  <c:v>33.482624201708546</c:v>
                </c:pt>
                <c:pt idx="2">
                  <c:v>34.674750910401684</c:v>
                </c:pt>
                <c:pt idx="3">
                  <c:v>36.253051018990732</c:v>
                </c:pt>
                <c:pt idx="4">
                  <c:v>51.798607322786637</c:v>
                </c:pt>
                <c:pt idx="5">
                  <c:v>57.114228456913828</c:v>
                </c:pt>
                <c:pt idx="6">
                  <c:v>61.47555634998659</c:v>
                </c:pt>
                <c:pt idx="7">
                  <c:v>94.723655121591747</c:v>
                </c:pt>
                <c:pt idx="8">
                  <c:v>50.492041759370188</c:v>
                </c:pt>
                <c:pt idx="9">
                  <c:v>34.654892220893508</c:v>
                </c:pt>
                <c:pt idx="10">
                  <c:v>25.887500000000003</c:v>
                </c:pt>
                <c:pt idx="11">
                  <c:v>15.244520788923612</c:v>
                </c:pt>
                <c:pt idx="12">
                  <c:v>25.235429414572756</c:v>
                </c:pt>
                <c:pt idx="13">
                  <c:v>19.155298075126144</c:v>
                </c:pt>
                <c:pt idx="14">
                  <c:v>23.019028685032662</c:v>
                </c:pt>
                <c:pt idx="15">
                  <c:v>33.44430009743423</c:v>
                </c:pt>
                <c:pt idx="16">
                  <c:v>16.156670746634028</c:v>
                </c:pt>
                <c:pt idx="17">
                  <c:v>19.872349632193856</c:v>
                </c:pt>
                <c:pt idx="18">
                  <c:v>8.5098976584437587</c:v>
                </c:pt>
                <c:pt idx="19">
                  <c:v>12.645303867403316</c:v>
                </c:pt>
                <c:pt idx="20">
                  <c:v>5.9915109477716237</c:v>
                </c:pt>
                <c:pt idx="21">
                  <c:v>24.480600750938674</c:v>
                </c:pt>
                <c:pt idx="22">
                  <c:v>44.988161010260455</c:v>
                </c:pt>
                <c:pt idx="23">
                  <c:v>4.9443367737864516</c:v>
                </c:pt>
                <c:pt idx="24">
                  <c:v>0.5083935267913321</c:v>
                </c:pt>
                <c:pt idx="25">
                  <c:v>0.64186965108624094</c:v>
                </c:pt>
              </c:numCache>
            </c:numRef>
          </c:yVal>
          <c:smooth val="0"/>
          <c:extLst>
            <c:ext xmlns:c16="http://schemas.microsoft.com/office/drawing/2014/chart" uri="{C3380CC4-5D6E-409C-BE32-E72D297353CC}">
              <c16:uniqueId val="{00000001-9C57-084C-9818-01451BE4AB6C}"/>
            </c:ext>
          </c:extLst>
        </c:ser>
        <c:dLbls>
          <c:showLegendKey val="0"/>
          <c:showVal val="0"/>
          <c:showCatName val="0"/>
          <c:showSerName val="0"/>
          <c:showPercent val="0"/>
          <c:showBubbleSize val="0"/>
        </c:dLbls>
        <c:axId val="128019072"/>
        <c:axId val="128017152"/>
      </c:scatterChart>
      <c:catAx>
        <c:axId val="128004480"/>
        <c:scaling>
          <c:orientation val="minMax"/>
        </c:scaling>
        <c:delete val="0"/>
        <c:axPos val="b"/>
        <c:title>
          <c:tx>
            <c:rich>
              <a:bodyPr rot="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700">
                    <a:solidFill>
                      <a:schemeClr val="tx1"/>
                    </a:solidFill>
                    <a:latin typeface="Times New Roman" panose="02020603050405020304" pitchFamily="18" charset="0"/>
                    <a:cs typeface="Times New Roman" panose="02020603050405020304" pitchFamily="18" charset="0"/>
                  </a:rPr>
                  <a:t>Region</a:t>
                </a:r>
              </a:p>
            </c:rich>
          </c:tx>
          <c:layout>
            <c:manualLayout>
              <c:xMode val="edge"/>
              <c:yMode val="edge"/>
              <c:x val="0.47938532875457746"/>
              <c:y val="0.84408508892980882"/>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254" cap="flat" cmpd="sng" algn="ctr">
            <a:solidFill>
              <a:srgbClr val="E7E6E6">
                <a:lumMod val="50000"/>
              </a:srgbClr>
            </a:solidFill>
            <a:round/>
          </a:ln>
          <a:effectLst/>
        </c:spPr>
        <c:txPr>
          <a:bodyPr rot="-6000000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28006784"/>
        <c:crosses val="autoZero"/>
        <c:auto val="1"/>
        <c:lblAlgn val="ctr"/>
        <c:lblOffset val="100"/>
        <c:noMultiLvlLbl val="0"/>
      </c:catAx>
      <c:valAx>
        <c:axId val="128006784"/>
        <c:scaling>
          <c:orientation val="minMax"/>
        </c:scaling>
        <c:delete val="0"/>
        <c:axPos val="l"/>
        <c:title>
          <c:tx>
            <c:rich>
              <a:bodyPr rot="-54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700">
                    <a:latin typeface="Times New Roman" panose="02020603050405020304" pitchFamily="18" charset="0"/>
                    <a:cs typeface="Times New Roman" panose="02020603050405020304" pitchFamily="18" charset="0"/>
                  </a:rPr>
                  <a:t> </a:t>
                </a:r>
                <a:r>
                  <a:rPr lang="en-US" sz="700">
                    <a:solidFill>
                      <a:schemeClr val="tx1"/>
                    </a:solidFill>
                    <a:latin typeface="Times New Roman" panose="02020603050405020304" pitchFamily="18" charset="0"/>
                    <a:cs typeface="Times New Roman" panose="02020603050405020304" pitchFamily="18" charset="0"/>
                  </a:rPr>
                  <a:t>Households</a:t>
                </a:r>
              </a:p>
            </c:rich>
          </c:tx>
          <c:layout>
            <c:manualLayout>
              <c:xMode val="edge"/>
              <c:yMode val="edge"/>
              <c:x val="1.0927957750144551E-2"/>
              <c:y val="0.17196024654221592"/>
            </c:manualLayout>
          </c:layout>
          <c:overlay val="0"/>
          <c:spPr>
            <a:noFill/>
            <a:ln>
              <a:noFill/>
            </a:ln>
            <a:effectLst/>
          </c:spPr>
          <c:txPr>
            <a:bodyPr rot="-54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0" sourceLinked="1"/>
        <c:majorTickMark val="out"/>
        <c:minorTickMark val="none"/>
        <c:tickLblPos val="nextTo"/>
        <c:spPr>
          <a:noFill/>
          <a:ln w="254">
            <a:solidFill>
              <a:srgbClr val="E7E6E6">
                <a:lumMod val="50000"/>
              </a:srgbClr>
            </a:solidFill>
          </a:ln>
          <a:effectLst/>
        </c:spPr>
        <c:txPr>
          <a:bodyPr rot="-6000000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28004480"/>
        <c:crosses val="autoZero"/>
        <c:crossBetween val="between"/>
      </c:valAx>
      <c:valAx>
        <c:axId val="128017152"/>
        <c:scaling>
          <c:orientation val="minMax"/>
        </c:scaling>
        <c:delete val="0"/>
        <c:axPos val="r"/>
        <c:title>
          <c:tx>
            <c:rich>
              <a:bodyPr rot="-54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700">
                    <a:solidFill>
                      <a:schemeClr val="tx1"/>
                    </a:solidFill>
                    <a:latin typeface="Times New Roman" panose="02020603050405020304" pitchFamily="18" charset="0"/>
                    <a:cs typeface="Times New Roman" panose="02020603050405020304" pitchFamily="18" charset="0"/>
                  </a:rPr>
                  <a:t>Percent</a:t>
                </a:r>
              </a:p>
            </c:rich>
          </c:tx>
          <c:layout>
            <c:manualLayout>
              <c:xMode val="edge"/>
              <c:yMode val="edge"/>
              <c:x val="0.93550116133643024"/>
              <c:y val="0.26682111402741332"/>
            </c:manualLayout>
          </c:layout>
          <c:overlay val="0"/>
          <c:spPr>
            <a:noFill/>
            <a:ln>
              <a:noFill/>
            </a:ln>
            <a:effectLst/>
          </c:spPr>
          <c:txPr>
            <a:bodyPr rot="-54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w="254">
            <a:solidFill>
              <a:srgbClr val="E7E6E6">
                <a:lumMod val="50000"/>
              </a:srgbClr>
            </a:solidFill>
          </a:ln>
          <a:effectLst/>
        </c:spPr>
        <c:txPr>
          <a:bodyPr rot="-6000000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28019072"/>
        <c:crosses val="max"/>
        <c:crossBetween val="midCat"/>
      </c:valAx>
      <c:valAx>
        <c:axId val="128019072"/>
        <c:scaling>
          <c:orientation val="minMax"/>
        </c:scaling>
        <c:delete val="1"/>
        <c:axPos val="t"/>
        <c:majorTickMark val="out"/>
        <c:minorTickMark val="none"/>
        <c:tickLblPos val="nextTo"/>
        <c:crossAx val="128017152"/>
        <c:crosses val="max"/>
        <c:crossBetween val="midCat"/>
      </c:valAx>
      <c:spPr>
        <a:noFill/>
        <a:ln>
          <a:noFill/>
        </a:ln>
        <a:effectLst/>
      </c:spPr>
    </c:plotArea>
    <c:legend>
      <c:legendPos val="b"/>
      <c:legendEntry>
        <c:idx val="0"/>
        <c:txPr>
          <a:bodyPr rot="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Entry>
      <c:legendEntry>
        <c:idx val="1"/>
        <c:txPr>
          <a:bodyPr rot="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Entry>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ysClr val="windowText" lastClr="000000">
          <a:lumMod val="50000"/>
          <a:lumOff val="50000"/>
        </a:sysClr>
      </a:solidFill>
      <a:round/>
    </a:ln>
    <a:effectLst/>
  </c:spPr>
  <c:txPr>
    <a:bodyPr/>
    <a:lstStyle/>
    <a:p>
      <a:pPr>
        <a:defRPr/>
      </a:pPr>
      <a:endParaRPr lang="en-US"/>
    </a:p>
  </c:txPr>
  <c:externalData r:id="rId4">
    <c:autoUpdate val="0"/>
  </c:externalData>
</c:chartSpace>
</file>

<file path=word/charts/chart1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766406526393723"/>
          <c:y val="2.9871011541072641E-2"/>
          <c:w val="0.84687296713199312"/>
          <c:h val="0.61922162250184043"/>
        </c:manualLayout>
      </c:layout>
      <c:barChart>
        <c:barDir val="col"/>
        <c:grouping val="stacked"/>
        <c:varyColors val="0"/>
        <c:ser>
          <c:idx val="0"/>
          <c:order val="0"/>
          <c:tx>
            <c:strRef>
              <c:f>Sheet2!$D$3</c:f>
              <c:strCache>
                <c:ptCount val="1"/>
                <c:pt idx="0">
                  <c:v> Private Vet Facilities </c:v>
                </c:pt>
              </c:strCache>
            </c:strRef>
          </c:tx>
          <c:spPr>
            <a:solidFill>
              <a:schemeClr val="accent1"/>
            </a:solidFill>
            <a:ln>
              <a:noFill/>
            </a:ln>
            <a:effectLst/>
          </c:spPr>
          <c:invertIfNegative val="0"/>
          <c:cat>
            <c:strRef>
              <c:f>Sheet2!$C$4:$C$10</c:f>
              <c:strCache>
                <c:ptCount val="7"/>
                <c:pt idx="0">
                  <c:v> Tick Borne diseases </c:v>
                </c:pt>
                <c:pt idx="1">
                  <c:v> CBPP </c:v>
                </c:pt>
                <c:pt idx="2">
                  <c:v> Lumpy Skin Disease </c:v>
                </c:pt>
                <c:pt idx="3">
                  <c:v> Foot Mouth Disease (FMD) </c:v>
                </c:pt>
                <c:pt idx="4">
                  <c:v> Brucellosis </c:v>
                </c:pt>
                <c:pt idx="5">
                  <c:v> Black Quarter </c:v>
                </c:pt>
                <c:pt idx="6">
                  <c:v> Anthrax </c:v>
                </c:pt>
              </c:strCache>
            </c:strRef>
          </c:cat>
          <c:val>
            <c:numRef>
              <c:f>Sheet2!$D$4:$D$10</c:f>
              <c:numCache>
                <c:formatCode>_-* #,##0.0_-;\-* #,##0.0_-;_-* "-"??_-;_-@_-</c:formatCode>
                <c:ptCount val="7"/>
                <c:pt idx="0">
                  <c:v>22.598790673084022</c:v>
                </c:pt>
                <c:pt idx="1">
                  <c:v>18.815210842330519</c:v>
                </c:pt>
                <c:pt idx="2">
                  <c:v>21.940928270042193</c:v>
                </c:pt>
                <c:pt idx="3">
                  <c:v>20.810937972794992</c:v>
                </c:pt>
                <c:pt idx="4">
                  <c:v>19.391869946740478</c:v>
                </c:pt>
                <c:pt idx="5">
                  <c:v>16.506259284087921</c:v>
                </c:pt>
                <c:pt idx="6">
                  <c:v>15.529910894611678</c:v>
                </c:pt>
              </c:numCache>
            </c:numRef>
          </c:val>
          <c:extLst>
            <c:ext xmlns:c16="http://schemas.microsoft.com/office/drawing/2014/chart" uri="{C3380CC4-5D6E-409C-BE32-E72D297353CC}">
              <c16:uniqueId val="{00000000-BFEC-7C4B-9D12-6064BC9AB203}"/>
            </c:ext>
          </c:extLst>
        </c:ser>
        <c:ser>
          <c:idx val="1"/>
          <c:order val="1"/>
          <c:tx>
            <c:strRef>
              <c:f>Sheet2!$E$3</c:f>
              <c:strCache>
                <c:ptCount val="1"/>
                <c:pt idx="0">
                  <c:v> District Vet Office </c:v>
                </c:pt>
              </c:strCache>
            </c:strRef>
          </c:tx>
          <c:spPr>
            <a:solidFill>
              <a:srgbClr val="92D050"/>
            </a:solidFill>
            <a:ln>
              <a:noFill/>
            </a:ln>
            <a:effectLst/>
          </c:spPr>
          <c:invertIfNegative val="0"/>
          <c:cat>
            <c:strRef>
              <c:f>Sheet2!$C$4:$C$10</c:f>
              <c:strCache>
                <c:ptCount val="7"/>
                <c:pt idx="0">
                  <c:v> Tick Borne diseases </c:v>
                </c:pt>
                <c:pt idx="1">
                  <c:v> CBPP </c:v>
                </c:pt>
                <c:pt idx="2">
                  <c:v> Lumpy Skin Disease </c:v>
                </c:pt>
                <c:pt idx="3">
                  <c:v> Foot Mouth Disease (FMD) </c:v>
                </c:pt>
                <c:pt idx="4">
                  <c:v> Brucellosis </c:v>
                </c:pt>
                <c:pt idx="5">
                  <c:v> Black Quarter </c:v>
                </c:pt>
                <c:pt idx="6">
                  <c:v> Anthrax </c:v>
                </c:pt>
              </c:strCache>
            </c:strRef>
          </c:cat>
          <c:val>
            <c:numRef>
              <c:f>Sheet2!$E$4:$E$10</c:f>
              <c:numCache>
                <c:formatCode>_-* #,##0.0_-;\-* #,##0.0_-;_-* "-"??_-;_-@_-</c:formatCode>
                <c:ptCount val="7"/>
                <c:pt idx="0">
                  <c:v>56.24215592648779</c:v>
                </c:pt>
                <c:pt idx="1">
                  <c:v>67.109981509311126</c:v>
                </c:pt>
                <c:pt idx="2">
                  <c:v>60.774106343726594</c:v>
                </c:pt>
                <c:pt idx="3">
                  <c:v>59.520090671694653</c:v>
                </c:pt>
                <c:pt idx="4">
                  <c:v>66.799168772041767</c:v>
                </c:pt>
                <c:pt idx="5">
                  <c:v>71.26694761338031</c:v>
                </c:pt>
                <c:pt idx="6">
                  <c:v>74.220963172804531</c:v>
                </c:pt>
              </c:numCache>
            </c:numRef>
          </c:val>
          <c:extLst>
            <c:ext xmlns:c16="http://schemas.microsoft.com/office/drawing/2014/chart" uri="{C3380CC4-5D6E-409C-BE32-E72D297353CC}">
              <c16:uniqueId val="{00000001-BFEC-7C4B-9D12-6064BC9AB203}"/>
            </c:ext>
          </c:extLst>
        </c:ser>
        <c:ser>
          <c:idx val="2"/>
          <c:order val="2"/>
          <c:tx>
            <c:strRef>
              <c:f>Sheet2!$F$3</c:f>
              <c:strCache>
                <c:ptCount val="1"/>
                <c:pt idx="0">
                  <c:v> NGO/ Project </c:v>
                </c:pt>
              </c:strCache>
            </c:strRef>
          </c:tx>
          <c:spPr>
            <a:solidFill>
              <a:srgbClr val="FFFF00"/>
            </a:solidFill>
            <a:ln>
              <a:noFill/>
            </a:ln>
            <a:effectLst/>
          </c:spPr>
          <c:invertIfNegative val="0"/>
          <c:cat>
            <c:strRef>
              <c:f>Sheet2!$C$4:$C$10</c:f>
              <c:strCache>
                <c:ptCount val="7"/>
                <c:pt idx="0">
                  <c:v> Tick Borne diseases </c:v>
                </c:pt>
                <c:pt idx="1">
                  <c:v> CBPP </c:v>
                </c:pt>
                <c:pt idx="2">
                  <c:v> Lumpy Skin Disease </c:v>
                </c:pt>
                <c:pt idx="3">
                  <c:v> Foot Mouth Disease (FMD) </c:v>
                </c:pt>
                <c:pt idx="4">
                  <c:v> Brucellosis </c:v>
                </c:pt>
                <c:pt idx="5">
                  <c:v> Black Quarter </c:v>
                </c:pt>
                <c:pt idx="6">
                  <c:v> Anthrax </c:v>
                </c:pt>
              </c:strCache>
            </c:strRef>
          </c:cat>
          <c:val>
            <c:numRef>
              <c:f>Sheet2!$F$4:$F$10</c:f>
              <c:numCache>
                <c:formatCode>_-* #,##0.0_-;\-* #,##0.0_-;_-* "-"??_-;_-@_-</c:formatCode>
                <c:ptCount val="7"/>
                <c:pt idx="0">
                  <c:v>1.0473847531453693</c:v>
                </c:pt>
                <c:pt idx="1">
                  <c:v>0.86234478555648664</c:v>
                </c:pt>
                <c:pt idx="2">
                  <c:v>1.2774465018423591</c:v>
                </c:pt>
                <c:pt idx="3">
                  <c:v>1.1606816468526393</c:v>
                </c:pt>
                <c:pt idx="4">
                  <c:v>0.5849062569161213</c:v>
                </c:pt>
                <c:pt idx="5">
                  <c:v>1.0256425400969236</c:v>
                </c:pt>
                <c:pt idx="6">
                  <c:v>0.53233180053875184</c:v>
                </c:pt>
              </c:numCache>
            </c:numRef>
          </c:val>
          <c:extLst>
            <c:ext xmlns:c16="http://schemas.microsoft.com/office/drawing/2014/chart" uri="{C3380CC4-5D6E-409C-BE32-E72D297353CC}">
              <c16:uniqueId val="{00000002-BFEC-7C4B-9D12-6064BC9AB203}"/>
            </c:ext>
          </c:extLst>
        </c:ser>
        <c:ser>
          <c:idx val="3"/>
          <c:order val="3"/>
          <c:tx>
            <c:strRef>
              <c:f>Sheet2!$G$3</c:f>
              <c:strCache>
                <c:ptCount val="1"/>
                <c:pt idx="0">
                  <c:v> TVLSC </c:v>
                </c:pt>
              </c:strCache>
            </c:strRef>
          </c:tx>
          <c:spPr>
            <a:solidFill>
              <a:srgbClr val="FF66FF"/>
            </a:solidFill>
            <a:ln>
              <a:noFill/>
            </a:ln>
            <a:effectLst/>
          </c:spPr>
          <c:invertIfNegative val="0"/>
          <c:cat>
            <c:strRef>
              <c:f>Sheet2!$C$4:$C$10</c:f>
              <c:strCache>
                <c:ptCount val="7"/>
                <c:pt idx="0">
                  <c:v> Tick Borne diseases </c:v>
                </c:pt>
                <c:pt idx="1">
                  <c:v> CBPP </c:v>
                </c:pt>
                <c:pt idx="2">
                  <c:v> Lumpy Skin Disease </c:v>
                </c:pt>
                <c:pt idx="3">
                  <c:v> Foot Mouth Disease (FMD) </c:v>
                </c:pt>
                <c:pt idx="4">
                  <c:v> Brucellosis </c:v>
                </c:pt>
                <c:pt idx="5">
                  <c:v> Black Quarter </c:v>
                </c:pt>
                <c:pt idx="6">
                  <c:v> Anthrax </c:v>
                </c:pt>
              </c:strCache>
            </c:strRef>
          </c:cat>
          <c:val>
            <c:numRef>
              <c:f>Sheet2!$G$4:$G$10</c:f>
              <c:numCache>
                <c:formatCode>_-* #,##0.0_-;\-* #,##0.0_-;_-* "-"??_-;_-@_-</c:formatCode>
                <c:ptCount val="7"/>
                <c:pt idx="0">
                  <c:v>2.808982074431476</c:v>
                </c:pt>
                <c:pt idx="1">
                  <c:v>2.7706946820224796</c:v>
                </c:pt>
                <c:pt idx="2">
                  <c:v>2.9638817901188443</c:v>
                </c:pt>
                <c:pt idx="3">
                  <c:v>2.8585021329886504</c:v>
                </c:pt>
                <c:pt idx="4">
                  <c:v>3.6465384184249783</c:v>
                </c:pt>
                <c:pt idx="5">
                  <c:v>3.9596358127323792</c:v>
                </c:pt>
                <c:pt idx="6">
                  <c:v>3.4347438788530522</c:v>
                </c:pt>
              </c:numCache>
            </c:numRef>
          </c:val>
          <c:extLst>
            <c:ext xmlns:c16="http://schemas.microsoft.com/office/drawing/2014/chart" uri="{C3380CC4-5D6E-409C-BE32-E72D297353CC}">
              <c16:uniqueId val="{00000003-BFEC-7C4B-9D12-6064BC9AB203}"/>
            </c:ext>
          </c:extLst>
        </c:ser>
        <c:ser>
          <c:idx val="4"/>
          <c:order val="4"/>
          <c:tx>
            <c:strRef>
              <c:f>Sheet2!$H$3</c:f>
              <c:strCache>
                <c:ptCount val="1"/>
                <c:pt idx="0">
                  <c:v> Other </c:v>
                </c:pt>
              </c:strCache>
            </c:strRef>
          </c:tx>
          <c:spPr>
            <a:solidFill>
              <a:srgbClr val="C00000"/>
            </a:solidFill>
            <a:ln>
              <a:noFill/>
            </a:ln>
            <a:effectLst/>
          </c:spPr>
          <c:invertIfNegative val="0"/>
          <c:cat>
            <c:strRef>
              <c:f>Sheet2!$C$4:$C$10</c:f>
              <c:strCache>
                <c:ptCount val="7"/>
                <c:pt idx="0">
                  <c:v> Tick Borne diseases </c:v>
                </c:pt>
                <c:pt idx="1">
                  <c:v> CBPP </c:v>
                </c:pt>
                <c:pt idx="2">
                  <c:v> Lumpy Skin Disease </c:v>
                </c:pt>
                <c:pt idx="3">
                  <c:v> Foot Mouth Disease (FMD) </c:v>
                </c:pt>
                <c:pt idx="4">
                  <c:v> Brucellosis </c:v>
                </c:pt>
                <c:pt idx="5">
                  <c:v> Black Quarter </c:v>
                </c:pt>
                <c:pt idx="6">
                  <c:v> Anthrax </c:v>
                </c:pt>
              </c:strCache>
            </c:strRef>
          </c:cat>
          <c:val>
            <c:numRef>
              <c:f>Sheet2!$H$4:$H$10</c:f>
              <c:numCache>
                <c:formatCode>_-* #,##0.0_-;\-* #,##0.0_-;_-* "-"??_-;_-@_-</c:formatCode>
                <c:ptCount val="7"/>
                <c:pt idx="0">
                  <c:v>17.30268657285135</c:v>
                </c:pt>
                <c:pt idx="1">
                  <c:v>10.441768180779379</c:v>
                </c:pt>
                <c:pt idx="2">
                  <c:v>13.043637094270006</c:v>
                </c:pt>
                <c:pt idx="3">
                  <c:v>15.649787575669063</c:v>
                </c:pt>
                <c:pt idx="4">
                  <c:v>9.5775166058766548</c:v>
                </c:pt>
                <c:pt idx="5">
                  <c:v>7.2415147497024659</c:v>
                </c:pt>
                <c:pt idx="6">
                  <c:v>6.2820502531919846</c:v>
                </c:pt>
              </c:numCache>
            </c:numRef>
          </c:val>
          <c:extLst>
            <c:ext xmlns:c16="http://schemas.microsoft.com/office/drawing/2014/chart" uri="{C3380CC4-5D6E-409C-BE32-E72D297353CC}">
              <c16:uniqueId val="{00000004-BFEC-7C4B-9D12-6064BC9AB203}"/>
            </c:ext>
          </c:extLst>
        </c:ser>
        <c:dLbls>
          <c:showLegendKey val="0"/>
          <c:showVal val="0"/>
          <c:showCatName val="0"/>
          <c:showSerName val="0"/>
          <c:showPercent val="0"/>
          <c:showBubbleSize val="0"/>
        </c:dLbls>
        <c:gapWidth val="150"/>
        <c:overlap val="100"/>
        <c:axId val="128066304"/>
        <c:axId val="128068224"/>
      </c:barChart>
      <c:catAx>
        <c:axId val="128066304"/>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Source of Vaccine</a:t>
                </a:r>
              </a:p>
            </c:rich>
          </c:tx>
          <c:layout>
            <c:manualLayout>
              <c:xMode val="edge"/>
              <c:yMode val="edge"/>
              <c:x val="0.4255283970878363"/>
              <c:y val="0.8197254371106401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chemeClr val="tx1">
                <a:lumMod val="50000"/>
                <a:lumOff val="50000"/>
              </a:schemeClr>
            </a:solidFill>
            <a:round/>
          </a:ln>
          <a:effectLst/>
        </c:spPr>
        <c:txPr>
          <a:bodyPr rot="0" spcFirstLastPara="1" vertOverflow="ellipsis"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28068224"/>
        <c:crosses val="autoZero"/>
        <c:auto val="1"/>
        <c:lblAlgn val="ctr"/>
        <c:lblOffset val="100"/>
        <c:noMultiLvlLbl val="0"/>
      </c:catAx>
      <c:valAx>
        <c:axId val="128068224"/>
        <c:scaling>
          <c:orientation val="minMax"/>
          <c:max val="100"/>
        </c:scaling>
        <c:delete val="0"/>
        <c:axPos val="l"/>
        <c:title>
          <c:tx>
            <c:rich>
              <a:bodyPr rot="-54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Percent</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0"/>
        <c:majorTickMark val="out"/>
        <c:minorTickMark val="none"/>
        <c:tickLblPos val="nextTo"/>
        <c:spPr>
          <a:noFill/>
          <a:ln>
            <a:solidFill>
              <a:schemeClr val="tx1">
                <a:lumMod val="50000"/>
                <a:lumOff val="50000"/>
              </a:schemeClr>
            </a:solid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28066304"/>
        <c:crosses val="autoZero"/>
        <c:crossBetween val="between"/>
      </c:valAx>
      <c:spPr>
        <a:noFill/>
        <a:ln>
          <a:noFill/>
        </a:ln>
        <a:effectLst/>
      </c:spPr>
    </c:plotArea>
    <c:legend>
      <c:legendPos val="b"/>
      <c:layout>
        <c:manualLayout>
          <c:xMode val="edge"/>
          <c:yMode val="edge"/>
          <c:x val="0.10373814969359428"/>
          <c:y val="0.90065167934116241"/>
          <c:w val="0.82356565462576603"/>
          <c:h val="4.766517749950025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50000"/>
          <a:lumOff val="50000"/>
        </a:schemeClr>
      </a:solidFill>
      <a:round/>
    </a:ln>
    <a:effectLst/>
  </c:spPr>
  <c:txPr>
    <a:bodyPr/>
    <a:lstStyle/>
    <a:p>
      <a:pPr>
        <a:defRPr sz="90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130856901646264"/>
          <c:y val="0.15941431934410261"/>
          <c:w val="0.84381595609962012"/>
          <c:h val="0.74975566198555066"/>
        </c:manualLayout>
      </c:layout>
      <c:pie3DChart>
        <c:varyColors val="1"/>
        <c:ser>
          <c:idx val="0"/>
          <c:order val="0"/>
          <c:dPt>
            <c:idx val="0"/>
            <c:bubble3D val="0"/>
            <c:explosion val="6"/>
            <c:spPr>
              <a:solidFill>
                <a:schemeClr val="accent5">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D833-714D-945A-12F01B922690}"/>
              </c:ext>
            </c:extLst>
          </c:dPt>
          <c:dPt>
            <c:idx val="1"/>
            <c:bubble3D val="0"/>
            <c:explosion val="31"/>
            <c:spPr>
              <a:solidFill>
                <a:schemeClr val="accent6">
                  <a:lumMod val="60000"/>
                  <a:lumOff val="4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D833-714D-945A-12F01B922690}"/>
              </c:ext>
            </c:extLst>
          </c:dPt>
          <c:dPt>
            <c:idx val="2"/>
            <c:bubble3D val="0"/>
            <c:explosion val="25"/>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5-D833-714D-945A-12F01B922690}"/>
              </c:ext>
            </c:extLst>
          </c:dPt>
          <c:dPt>
            <c:idx val="3"/>
            <c:bubble3D val="0"/>
            <c:explosion val="55"/>
            <c:spPr>
              <a:solidFill>
                <a:schemeClr val="accent6">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7-D833-714D-945A-12F01B922690}"/>
              </c:ext>
            </c:extLst>
          </c:dPt>
          <c:dPt>
            <c:idx val="4"/>
            <c:bubble3D val="0"/>
            <c:explosion val="10"/>
            <c:spPr>
              <a:solidFill>
                <a:srgbClr val="7030A0"/>
              </a:solidFill>
              <a:ln w="25400">
                <a:solidFill>
                  <a:schemeClr val="lt1"/>
                </a:solidFill>
              </a:ln>
              <a:effectLst/>
              <a:sp3d contourW="25400">
                <a:contourClr>
                  <a:schemeClr val="lt1"/>
                </a:contourClr>
              </a:sp3d>
            </c:spPr>
            <c:extLst>
              <c:ext xmlns:c16="http://schemas.microsoft.com/office/drawing/2014/chart" uri="{C3380CC4-5D6E-409C-BE32-E72D297353CC}">
                <c16:uniqueId val="{00000009-D833-714D-945A-12F01B922690}"/>
              </c:ext>
            </c:extLst>
          </c:dPt>
          <c:dLbls>
            <c:dLbl>
              <c:idx val="0"/>
              <c:layout>
                <c:manualLayout>
                  <c:x val="0.1308569016462641"/>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D833-714D-945A-12F01B922690}"/>
                </c:ext>
              </c:extLst>
            </c:dLbl>
            <c:dLbl>
              <c:idx val="1"/>
              <c:layout>
                <c:manualLayout>
                  <c:x val="-8.4423807513718863E-2"/>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D833-714D-945A-12F01B922690}"/>
                </c:ext>
              </c:extLst>
            </c:dLbl>
            <c:dLbl>
              <c:idx val="2"/>
              <c:layout>
                <c:manualLayout>
                  <c:x val="-0.1097509497678345"/>
                  <c:y val="5.1546391752577084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D833-714D-945A-12F01B922690}"/>
                </c:ext>
              </c:extLst>
            </c:dLbl>
            <c:dLbl>
              <c:idx val="4"/>
              <c:layout>
                <c:manualLayout>
                  <c:x val="0.17728999577880955"/>
                  <c:y val="-0.13917525773195877"/>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D833-714D-945A-12F01B922690}"/>
                </c:ext>
              </c:extLst>
            </c:dLbl>
            <c:numFmt formatCode="0.0%" sourceLinked="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'TICK BD'!$N$165:$R$165</c:f>
              <c:strCache>
                <c:ptCount val="5"/>
                <c:pt idx="0">
                  <c:v>Dipping </c:v>
                </c:pt>
                <c:pt idx="1">
                  <c:v>Spraying</c:v>
                </c:pt>
                <c:pt idx="2">
                  <c:v>Smearing</c:v>
                </c:pt>
                <c:pt idx="3">
                  <c:v>None</c:v>
                </c:pt>
                <c:pt idx="4">
                  <c:v>Other</c:v>
                </c:pt>
              </c:strCache>
            </c:strRef>
          </c:cat>
          <c:val>
            <c:numRef>
              <c:f>'TICK BD'!$N$166:$R$166</c:f>
              <c:numCache>
                <c:formatCode>0.0</c:formatCode>
                <c:ptCount val="5"/>
                <c:pt idx="0">
                  <c:v>21.044299016853085</c:v>
                </c:pt>
                <c:pt idx="1">
                  <c:v>72.448621962789076</c:v>
                </c:pt>
                <c:pt idx="2">
                  <c:v>1.9103988784753063</c:v>
                </c:pt>
                <c:pt idx="3">
                  <c:v>2.0599556465988678</c:v>
                </c:pt>
                <c:pt idx="4">
                  <c:v>2.5367244952836745</c:v>
                </c:pt>
              </c:numCache>
            </c:numRef>
          </c:val>
          <c:extLst>
            <c:ext xmlns:c16="http://schemas.microsoft.com/office/drawing/2014/chart" uri="{C3380CC4-5D6E-409C-BE32-E72D297353CC}">
              <c16:uniqueId val="{0000000A-D833-714D-945A-12F01B922690}"/>
            </c:ext>
          </c:extLst>
        </c:ser>
        <c:dLbls>
          <c:dLblPos val="outEnd"/>
          <c:showLegendKey val="0"/>
          <c:showVal val="1"/>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1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3981050114375856"/>
          <c:y val="8.6051679655886296E-2"/>
          <c:w val="0.81626861969394393"/>
          <c:h val="0.75726149265510379"/>
        </c:manualLayout>
      </c:layout>
      <c:pie3DChart>
        <c:varyColors val="1"/>
        <c:ser>
          <c:idx val="0"/>
          <c:order val="0"/>
          <c:dPt>
            <c:idx val="0"/>
            <c:bubble3D val="0"/>
            <c:explosion val="1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D78B-2B46-B2ED-D277877080AE}"/>
              </c:ext>
            </c:extLst>
          </c:dPt>
          <c:dPt>
            <c:idx val="1"/>
            <c:bubble3D val="0"/>
            <c:explosion val="5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D78B-2B46-B2ED-D277877080AE}"/>
              </c:ext>
            </c:extLst>
          </c:dPt>
          <c:dPt>
            <c:idx val="2"/>
            <c:bubble3D val="0"/>
            <c:explosion val="61"/>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D78B-2B46-B2ED-D277877080AE}"/>
              </c:ext>
            </c:extLst>
          </c:dPt>
          <c:dPt>
            <c:idx val="3"/>
            <c:bubble3D val="0"/>
            <c:explosion val="25"/>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D78B-2B46-B2ED-D277877080AE}"/>
              </c:ext>
            </c:extLst>
          </c:dPt>
          <c:dPt>
            <c:idx val="4"/>
            <c:bubble3D val="0"/>
            <c:explosion val="8"/>
            <c:spPr>
              <a:solidFill>
                <a:srgbClr val="7030A0"/>
              </a:solidFill>
              <a:ln w="25400">
                <a:solidFill>
                  <a:schemeClr val="lt1"/>
                </a:solidFill>
              </a:ln>
              <a:effectLst/>
              <a:sp3d contourW="25400">
                <a:contourClr>
                  <a:schemeClr val="lt1"/>
                </a:contourClr>
              </a:sp3d>
            </c:spPr>
            <c:extLst>
              <c:ext xmlns:c16="http://schemas.microsoft.com/office/drawing/2014/chart" uri="{C3380CC4-5D6E-409C-BE32-E72D297353CC}">
                <c16:uniqueId val="{00000009-D78B-2B46-B2ED-D277877080AE}"/>
              </c:ext>
            </c:extLst>
          </c:dPt>
          <c:dLbls>
            <c:dLbl>
              <c:idx val="0"/>
              <c:layout>
                <c:manualLayout>
                  <c:x val="0.10348258706467661"/>
                  <c:y val="-2.064516129032258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D78B-2B46-B2ED-D277877080AE}"/>
                </c:ext>
              </c:extLst>
            </c:dLbl>
            <c:dLbl>
              <c:idx val="1"/>
              <c:layout>
                <c:manualLayout>
                  <c:x val="1.9900497512437738E-2"/>
                  <c:y val="7.2258064516129039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D78B-2B46-B2ED-D277877080AE}"/>
                </c:ext>
              </c:extLst>
            </c:dLbl>
            <c:dLbl>
              <c:idx val="2"/>
              <c:layout>
                <c:manualLayout>
                  <c:x val="-3.1840796019900502E-2"/>
                  <c:y val="4.129032258064516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D78B-2B46-B2ED-D277877080AE}"/>
                </c:ext>
              </c:extLst>
            </c:dLbl>
            <c:dLbl>
              <c:idx val="3"/>
              <c:layout>
                <c:manualLayout>
                  <c:x val="-2.3880597014925373E-2"/>
                  <c:y val="-7.7419354838709695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D78B-2B46-B2ED-D277877080AE}"/>
                </c:ext>
              </c:extLst>
            </c:dLbl>
            <c:dLbl>
              <c:idx val="4"/>
              <c:layout>
                <c:manualLayout>
                  <c:x val="1.9900497512437811E-2"/>
                  <c:y val="-9.290322580645162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D78B-2B46-B2ED-D277877080AE}"/>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'tsetse flies'!$P$246:$T$246</c:f>
              <c:strCache>
                <c:ptCount val="5"/>
                <c:pt idx="0">
                  <c:v>Dipping</c:v>
                </c:pt>
                <c:pt idx="1">
                  <c:v>Spraying</c:v>
                </c:pt>
                <c:pt idx="2">
                  <c:v>Trapping</c:v>
                </c:pt>
                <c:pt idx="3">
                  <c:v>None</c:v>
                </c:pt>
                <c:pt idx="4">
                  <c:v>Others</c:v>
                </c:pt>
              </c:strCache>
            </c:strRef>
          </c:cat>
          <c:val>
            <c:numRef>
              <c:f>'tsetse flies'!$P$247:$T$247</c:f>
              <c:numCache>
                <c:formatCode>0.0</c:formatCode>
                <c:ptCount val="5"/>
                <c:pt idx="0">
                  <c:v>15.561764641679945</c:v>
                </c:pt>
                <c:pt idx="1">
                  <c:v>67.599484839885619</c:v>
                </c:pt>
                <c:pt idx="2">
                  <c:v>0.38746152670755929</c:v>
                </c:pt>
                <c:pt idx="3">
                  <c:v>7.1805898146733309</c:v>
                </c:pt>
                <c:pt idx="4">
                  <c:v>9.2706991770535456</c:v>
                </c:pt>
              </c:numCache>
            </c:numRef>
          </c:val>
          <c:extLst>
            <c:ext xmlns:c16="http://schemas.microsoft.com/office/drawing/2014/chart" uri="{C3380CC4-5D6E-409C-BE32-E72D297353CC}">
              <c16:uniqueId val="{0000000A-D78B-2B46-B2ED-D277877080AE}"/>
            </c:ext>
          </c:extLst>
        </c:ser>
        <c:dLbls>
          <c:dLblPos val="outEnd"/>
          <c:showLegendKey val="0"/>
          <c:showVal val="1"/>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ysClr val="windowText" lastClr="000000">
          <a:lumMod val="50000"/>
          <a:lumOff val="50000"/>
        </a:sys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1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3774440985574479"/>
          <c:y val="0.1820363565665403"/>
          <c:w val="0.7340432624812776"/>
          <c:h val="0.65252882278604063"/>
        </c:manualLayout>
      </c:layout>
      <c:pie3DChart>
        <c:varyColors val="1"/>
        <c:ser>
          <c:idx val="0"/>
          <c:order val="0"/>
          <c:dPt>
            <c:idx val="0"/>
            <c:bubble3D val="0"/>
            <c:explosion val="3"/>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9C8F-E147-B9E4-E01BDF5B5874}"/>
              </c:ext>
            </c:extLst>
          </c:dPt>
          <c:dPt>
            <c:idx val="1"/>
            <c:bubble3D val="0"/>
            <c:explosion val="8"/>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9C8F-E147-B9E4-E01BDF5B5874}"/>
              </c:ext>
            </c:extLst>
          </c:dPt>
          <c:dPt>
            <c:idx val="2"/>
            <c:bubble3D val="0"/>
            <c:explosion val="9"/>
            <c:spPr>
              <a:solidFill>
                <a:srgbClr val="FFC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5-9C8F-E147-B9E4-E01BDF5B5874}"/>
              </c:ext>
            </c:extLst>
          </c:dPt>
          <c:dPt>
            <c:idx val="3"/>
            <c:bubble3D val="0"/>
            <c:spPr>
              <a:solidFill>
                <a:srgbClr val="441D61"/>
              </a:solidFill>
              <a:ln w="25400">
                <a:solidFill>
                  <a:schemeClr val="lt1"/>
                </a:solidFill>
              </a:ln>
              <a:effectLst/>
              <a:sp3d contourW="25400">
                <a:contourClr>
                  <a:schemeClr val="lt1"/>
                </a:contourClr>
              </a:sp3d>
            </c:spPr>
            <c:extLst>
              <c:ext xmlns:c16="http://schemas.microsoft.com/office/drawing/2014/chart" uri="{C3380CC4-5D6E-409C-BE32-E72D297353CC}">
                <c16:uniqueId val="{00000007-9C8F-E147-B9E4-E01BDF5B5874}"/>
              </c:ext>
            </c:extLst>
          </c:dPt>
          <c:dLbls>
            <c:dLbl>
              <c:idx val="0"/>
              <c:layout>
                <c:manualLayout>
                  <c:x val="-7.1556350626118065E-2"/>
                  <c:y val="0.28148148148148155"/>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9C8F-E147-B9E4-E01BDF5B5874}"/>
                </c:ext>
              </c:extLst>
            </c:dLbl>
            <c:dLbl>
              <c:idx val="1"/>
              <c:layout>
                <c:manualLayout>
                  <c:x val="5.338666532498134E-2"/>
                  <c:y val="0.24680938320209975"/>
                </c:manualLayout>
              </c:layout>
              <c:numFmt formatCode="0.0%" sourceLinked="0"/>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0"/>
              <c:showCatName val="1"/>
              <c:showSerName val="0"/>
              <c:showPercent val="1"/>
              <c:showBubbleSize val="0"/>
              <c:extLst>
                <c:ext xmlns:c15="http://schemas.microsoft.com/office/drawing/2012/chart" uri="{CE6537A1-D6FC-4f65-9D91-7224C49458BB}">
                  <c15:layout>
                    <c:manualLayout>
                      <c:w val="0.18547390841320555"/>
                      <c:h val="0.14938725490196078"/>
                    </c:manualLayout>
                  </c15:layout>
                </c:ext>
                <c:ext xmlns:c16="http://schemas.microsoft.com/office/drawing/2014/chart" uri="{C3380CC4-5D6E-409C-BE32-E72D297353CC}">
                  <c16:uniqueId val="{00000003-9C8F-E147-B9E4-E01BDF5B5874}"/>
                </c:ext>
              </c:extLst>
            </c:dLbl>
            <c:dLbl>
              <c:idx val="2"/>
              <c:layout>
                <c:manualLayout>
                  <c:x val="-0.19566098966063747"/>
                  <c:y val="-2.049366990890844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9C8F-E147-B9E4-E01BDF5B5874}"/>
                </c:ext>
              </c:extLst>
            </c:dLbl>
            <c:dLbl>
              <c:idx val="3"/>
              <c:layout>
                <c:manualLayout>
                  <c:x val="0.31719755477849615"/>
                  <c:y val="-1.133481936081519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9C8F-E147-B9E4-E01BDF5B5874}"/>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NCD!$L$326:$O$326</c:f>
              <c:strCache>
                <c:ptCount val="4"/>
                <c:pt idx="0">
                  <c:v>Vaccination</c:v>
                </c:pt>
                <c:pt idx="1">
                  <c:v>Local herbs</c:v>
                </c:pt>
                <c:pt idx="2">
                  <c:v>None</c:v>
                </c:pt>
                <c:pt idx="3">
                  <c:v>Others</c:v>
                </c:pt>
              </c:strCache>
            </c:strRef>
          </c:cat>
          <c:val>
            <c:numRef>
              <c:f>NCD!$L$327:$O$327</c:f>
              <c:numCache>
                <c:formatCode>0.0</c:formatCode>
                <c:ptCount val="4"/>
                <c:pt idx="0">
                  <c:v>53.642471735007426</c:v>
                </c:pt>
                <c:pt idx="1">
                  <c:v>33.066488279890812</c:v>
                </c:pt>
                <c:pt idx="2">
                  <c:v>12.954114412573329</c:v>
                </c:pt>
                <c:pt idx="3">
                  <c:v>0.33692557252843652</c:v>
                </c:pt>
              </c:numCache>
            </c:numRef>
          </c:val>
          <c:extLst>
            <c:ext xmlns:c16="http://schemas.microsoft.com/office/drawing/2014/chart" uri="{C3380CC4-5D6E-409C-BE32-E72D297353CC}">
              <c16:uniqueId val="{00000008-9C8F-E147-B9E4-E01BDF5B5874}"/>
            </c:ext>
          </c:extLst>
        </c:ser>
        <c:dLbls>
          <c:dLblPos val="outEnd"/>
          <c:showLegendKey val="0"/>
          <c:showVal val="1"/>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1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spPr>
            <a:solidFill>
              <a:schemeClr val="accent1">
                <a:lumMod val="60000"/>
                <a:lumOff val="40000"/>
              </a:schemeClr>
            </a:solidFill>
            <a:ln>
              <a:noFill/>
            </a:ln>
            <a:effectLst/>
          </c:spPr>
          <c:invertIfNegative val="0"/>
          <c:cat>
            <c:strRef>
              <c:f>'Deworming livestock'!$A$2:$A$27</c:f>
              <c:strCache>
                <c:ptCount val="26"/>
                <c:pt idx="0">
                  <c:v>Kilimanjaro</c:v>
                </c:pt>
                <c:pt idx="1">
                  <c:v>Manyara</c:v>
                </c:pt>
                <c:pt idx="2">
                  <c:v>Arusha</c:v>
                </c:pt>
                <c:pt idx="3">
                  <c:v>Mbeya</c:v>
                </c:pt>
                <c:pt idx="4">
                  <c:v>Iringa</c:v>
                </c:pt>
                <c:pt idx="5">
                  <c:v>Tanga</c:v>
                </c:pt>
                <c:pt idx="6">
                  <c:v>Mwanza</c:v>
                </c:pt>
                <c:pt idx="7">
                  <c:v>Geita</c:v>
                </c:pt>
                <c:pt idx="8">
                  <c:v>Rukwa</c:v>
                </c:pt>
                <c:pt idx="9">
                  <c:v>Ruvuma</c:v>
                </c:pt>
                <c:pt idx="10">
                  <c:v>Tabora</c:v>
                </c:pt>
                <c:pt idx="11">
                  <c:v>Kagera</c:v>
                </c:pt>
                <c:pt idx="12">
                  <c:v>Dodoma</c:v>
                </c:pt>
                <c:pt idx="13">
                  <c:v>Mara</c:v>
                </c:pt>
                <c:pt idx="14">
                  <c:v>Kigoma</c:v>
                </c:pt>
                <c:pt idx="15">
                  <c:v>Morogoro</c:v>
                </c:pt>
                <c:pt idx="16">
                  <c:v>Songwe</c:v>
                </c:pt>
                <c:pt idx="17">
                  <c:v>Shinyanga</c:v>
                </c:pt>
                <c:pt idx="18">
                  <c:v>Njombe</c:v>
                </c:pt>
                <c:pt idx="19">
                  <c:v>Pwani</c:v>
                </c:pt>
                <c:pt idx="20">
                  <c:v>Simiyu</c:v>
                </c:pt>
                <c:pt idx="21">
                  <c:v>Singida</c:v>
                </c:pt>
                <c:pt idx="22">
                  <c:v>Mtwara</c:v>
                </c:pt>
                <c:pt idx="23">
                  <c:v>Dar-es-salaam</c:v>
                </c:pt>
                <c:pt idx="24">
                  <c:v>Katavi</c:v>
                </c:pt>
                <c:pt idx="25">
                  <c:v>Lindi</c:v>
                </c:pt>
              </c:strCache>
            </c:strRef>
          </c:cat>
          <c:val>
            <c:numRef>
              <c:f>'Deworming livestock'!$C$2:$C$27</c:f>
              <c:numCache>
                <c:formatCode>0.0</c:formatCode>
                <c:ptCount val="26"/>
                <c:pt idx="0">
                  <c:v>10.292361897532739</c:v>
                </c:pt>
                <c:pt idx="1">
                  <c:v>8.7995906595390618</c:v>
                </c:pt>
                <c:pt idx="2">
                  <c:v>8.2691690112061558</c:v>
                </c:pt>
                <c:pt idx="3">
                  <c:v>7.518096874169296</c:v>
                </c:pt>
                <c:pt idx="4">
                  <c:v>6.8629062865413957</c:v>
                </c:pt>
                <c:pt idx="5">
                  <c:v>6.7948365327142008</c:v>
                </c:pt>
                <c:pt idx="6">
                  <c:v>5.4624825023855141</c:v>
                </c:pt>
                <c:pt idx="7">
                  <c:v>4.5308641785609467</c:v>
                </c:pt>
                <c:pt idx="8">
                  <c:v>4.516574139947112</c:v>
                </c:pt>
                <c:pt idx="9">
                  <c:v>4.2244734581739785</c:v>
                </c:pt>
                <c:pt idx="10">
                  <c:v>3.7356926750491315</c:v>
                </c:pt>
                <c:pt idx="11">
                  <c:v>3.6613230117255147</c:v>
                </c:pt>
                <c:pt idx="12">
                  <c:v>3.511354434444832</c:v>
                </c:pt>
                <c:pt idx="13">
                  <c:v>3.2801016590273862</c:v>
                </c:pt>
                <c:pt idx="14">
                  <c:v>2.9910741038378741</c:v>
                </c:pt>
                <c:pt idx="15">
                  <c:v>2.7559799201909025</c:v>
                </c:pt>
                <c:pt idx="16">
                  <c:v>2.3936582959820405</c:v>
                </c:pt>
                <c:pt idx="17">
                  <c:v>2.0239611679724892</c:v>
                </c:pt>
                <c:pt idx="18">
                  <c:v>1.9036482622237454</c:v>
                </c:pt>
                <c:pt idx="19">
                  <c:v>1.7539869976014248</c:v>
                </c:pt>
                <c:pt idx="20">
                  <c:v>1.6859172437742296</c:v>
                </c:pt>
                <c:pt idx="21">
                  <c:v>1.6014062627246646</c:v>
                </c:pt>
                <c:pt idx="22">
                  <c:v>0.58205017493773081</c:v>
                </c:pt>
                <c:pt idx="23">
                  <c:v>0.58128189329182567</c:v>
                </c:pt>
                <c:pt idx="24">
                  <c:v>0.198216664643525</c:v>
                </c:pt>
                <c:pt idx="25">
                  <c:v>6.899169180228118E-2</c:v>
                </c:pt>
              </c:numCache>
            </c:numRef>
          </c:val>
          <c:extLst>
            <c:ext xmlns:c16="http://schemas.microsoft.com/office/drawing/2014/chart" uri="{C3380CC4-5D6E-409C-BE32-E72D297353CC}">
              <c16:uniqueId val="{00000000-77B6-4449-AB26-DB74981503ED}"/>
            </c:ext>
          </c:extLst>
        </c:ser>
        <c:dLbls>
          <c:showLegendKey val="0"/>
          <c:showVal val="0"/>
          <c:showCatName val="0"/>
          <c:showSerName val="0"/>
          <c:showPercent val="0"/>
          <c:showBubbleSize val="0"/>
        </c:dLbls>
        <c:gapWidth val="219"/>
        <c:overlap val="-27"/>
        <c:axId val="128291200"/>
        <c:axId val="128293120"/>
      </c:barChart>
      <c:catAx>
        <c:axId val="128291200"/>
        <c:scaling>
          <c:orientation val="minMax"/>
        </c:scaling>
        <c:delete val="0"/>
        <c:axPos val="b"/>
        <c:title>
          <c:tx>
            <c:rich>
              <a:bodyPr/>
              <a:lstStyle/>
              <a:p>
                <a:pPr>
                  <a:defRPr sz="901" b="0" i="0" u="none" strike="noStrike" baseline="0">
                    <a:solidFill>
                      <a:srgbClr val="000000"/>
                    </a:solidFill>
                    <a:latin typeface="Times New Roman"/>
                    <a:ea typeface="Times New Roman"/>
                    <a:cs typeface="Times New Roman"/>
                  </a:defRPr>
                </a:pPr>
                <a:r>
                  <a:rPr lang="en-US"/>
                  <a:t>Region</a:t>
                </a:r>
              </a:p>
            </c:rich>
          </c:tx>
          <c:overlay val="0"/>
          <c:spPr>
            <a:noFill/>
            <a:ln>
              <a:noFill/>
            </a:ln>
            <a:effectLst/>
          </c:spPr>
        </c:title>
        <c:numFmt formatCode="General" sourceLinked="1"/>
        <c:majorTickMark val="out"/>
        <c:minorTickMark val="none"/>
        <c:tickLblPos val="nextTo"/>
        <c:spPr>
          <a:noFill/>
          <a:ln w="9531" cap="flat" cmpd="sng" algn="ctr">
            <a:solidFill>
              <a:sysClr val="windowText" lastClr="000000">
                <a:lumMod val="50000"/>
                <a:lumOff val="50000"/>
              </a:sysClr>
            </a:solidFill>
            <a:round/>
          </a:ln>
          <a:effectLst/>
        </c:spPr>
        <c:txPr>
          <a:bodyPr rot="-5400000" spcFirstLastPara="1" vertOverflow="ellipsis" vert="horz" wrap="square" anchor="ctr" anchorCtr="1"/>
          <a:lstStyle/>
          <a:p>
            <a:pPr>
              <a:defRPr sz="901"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28293120"/>
        <c:crosses val="autoZero"/>
        <c:auto val="1"/>
        <c:lblAlgn val="ctr"/>
        <c:lblOffset val="100"/>
        <c:noMultiLvlLbl val="0"/>
      </c:catAx>
      <c:valAx>
        <c:axId val="128293120"/>
        <c:scaling>
          <c:orientation val="minMax"/>
        </c:scaling>
        <c:delete val="0"/>
        <c:axPos val="l"/>
        <c:title>
          <c:tx>
            <c:rich>
              <a:bodyPr/>
              <a:lstStyle/>
              <a:p>
                <a:pPr>
                  <a:defRPr sz="901" b="0" i="0" u="none" strike="noStrike" baseline="0">
                    <a:solidFill>
                      <a:srgbClr val="000000"/>
                    </a:solidFill>
                    <a:latin typeface="Times New Roman"/>
                    <a:ea typeface="Times New Roman"/>
                    <a:cs typeface="Times New Roman"/>
                  </a:defRPr>
                </a:pPr>
                <a:r>
                  <a:rPr lang="en-US"/>
                  <a:t>Percent</a:t>
                </a:r>
              </a:p>
            </c:rich>
          </c:tx>
          <c:overlay val="0"/>
          <c:spPr>
            <a:noFill/>
            <a:ln>
              <a:noFill/>
            </a:ln>
            <a:effectLst/>
          </c:spPr>
        </c:title>
        <c:numFmt formatCode="0" sourceLinked="0"/>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901"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28291200"/>
        <c:crosses val="autoZero"/>
        <c:crossBetween val="between"/>
      </c:valAx>
      <c:spPr>
        <a:noFill/>
        <a:ln w="25415">
          <a:noFill/>
        </a:ln>
      </c:spPr>
    </c:plotArea>
    <c:plotVisOnly val="1"/>
    <c:dispBlanksAs val="gap"/>
    <c:showDLblsOverMax val="0"/>
  </c:chart>
  <c:spPr>
    <a:solidFill>
      <a:schemeClr val="bg1"/>
    </a:solidFill>
    <a:ln w="9531" cap="flat" cmpd="sng" algn="ctr">
      <a:solidFill>
        <a:sysClr val="windowText" lastClr="000000">
          <a:lumMod val="50000"/>
          <a:lumOff val="50000"/>
        </a:sysClr>
      </a:solidFill>
      <a:round/>
    </a:ln>
    <a:effectLst/>
  </c:spPr>
  <c:txPr>
    <a:bodyPr/>
    <a:lstStyle/>
    <a:p>
      <a:pPr>
        <a:defRPr sz="901">
          <a:solidFill>
            <a:schemeClr val="tx1"/>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167825896762903"/>
          <c:y val="6.4814814814814811E-2"/>
          <c:w val="0.82498840769903758"/>
          <c:h val="0.49900871766029248"/>
        </c:manualLayout>
      </c:layout>
      <c:barChart>
        <c:barDir val="col"/>
        <c:grouping val="clustered"/>
        <c:varyColors val="0"/>
        <c:ser>
          <c:idx val="0"/>
          <c:order val="0"/>
          <c:spPr>
            <a:solidFill>
              <a:schemeClr val="accent1">
                <a:lumMod val="60000"/>
                <a:lumOff val="40000"/>
              </a:schemeClr>
            </a:solidFill>
            <a:ln>
              <a:noFill/>
            </a:ln>
            <a:effectLst/>
          </c:spPr>
          <c:invertIfNegative val="0"/>
          <c:dLbls>
            <c:spPr>
              <a:noFill/>
              <a:ln>
                <a:noFill/>
              </a:ln>
              <a:effectLst/>
            </c:spPr>
            <c:txPr>
              <a:bodyPr rot="0" vert="horz"/>
              <a:lstStyle/>
              <a:p>
                <a:pPr>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'Deworming livestock'!$A$29:$A$33</c:f>
              <c:strCache>
                <c:ptCount val="5"/>
                <c:pt idx="0">
                  <c:v>Kusini Unguja </c:v>
                </c:pt>
                <c:pt idx="1">
                  <c:v>Kaskazini-Pemba</c:v>
                </c:pt>
                <c:pt idx="2">
                  <c:v>Mjini Magharibi </c:v>
                </c:pt>
                <c:pt idx="3">
                  <c:v>Kusini-Pemba</c:v>
                </c:pt>
                <c:pt idx="4">
                  <c:v>Kaskazini-Unguja</c:v>
                </c:pt>
              </c:strCache>
            </c:strRef>
          </c:cat>
          <c:val>
            <c:numRef>
              <c:f>'Deworming livestock'!$C$29:$C$33</c:f>
              <c:numCache>
                <c:formatCode>0.0</c:formatCode>
                <c:ptCount val="5"/>
                <c:pt idx="0">
                  <c:v>27.431810131066243</c:v>
                </c:pt>
                <c:pt idx="1">
                  <c:v>24.434998228834573</c:v>
                </c:pt>
                <c:pt idx="2">
                  <c:v>20.694296847325543</c:v>
                </c:pt>
                <c:pt idx="3">
                  <c:v>17.810839532412327</c:v>
                </c:pt>
                <c:pt idx="4">
                  <c:v>9.6280552603613181</c:v>
                </c:pt>
              </c:numCache>
            </c:numRef>
          </c:val>
          <c:extLst>
            <c:ext xmlns:c16="http://schemas.microsoft.com/office/drawing/2014/chart" uri="{C3380CC4-5D6E-409C-BE32-E72D297353CC}">
              <c16:uniqueId val="{00000000-E00E-8540-B2FC-6E1943D7C5D3}"/>
            </c:ext>
          </c:extLst>
        </c:ser>
        <c:dLbls>
          <c:showLegendKey val="0"/>
          <c:showVal val="0"/>
          <c:showCatName val="0"/>
          <c:showSerName val="0"/>
          <c:showPercent val="0"/>
          <c:showBubbleSize val="0"/>
        </c:dLbls>
        <c:gapWidth val="219"/>
        <c:overlap val="-27"/>
        <c:axId val="127565824"/>
        <c:axId val="127567744"/>
      </c:barChart>
      <c:catAx>
        <c:axId val="127565824"/>
        <c:scaling>
          <c:orientation val="minMax"/>
        </c:scaling>
        <c:delete val="0"/>
        <c:axPos val="b"/>
        <c:title>
          <c:tx>
            <c:rich>
              <a:bodyPr/>
              <a:lstStyle/>
              <a:p>
                <a:pPr>
                  <a:defRPr b="0"/>
                </a:pPr>
                <a:r>
                  <a:rPr lang="en-US" b="0"/>
                  <a:t>Region</a:t>
                </a:r>
              </a:p>
            </c:rich>
          </c:tx>
          <c:layout>
            <c:manualLayout>
              <c:xMode val="edge"/>
              <c:yMode val="edge"/>
              <c:x val="0.51976897557856028"/>
              <c:y val="0.89492555206914925"/>
            </c:manualLayout>
          </c:layout>
          <c:overlay val="0"/>
          <c:spPr>
            <a:noFill/>
            <a:ln>
              <a:noFill/>
            </a:ln>
            <a:effectLst/>
          </c:spPr>
        </c:title>
        <c:numFmt formatCode="General" sourceLinked="1"/>
        <c:majorTickMark val="out"/>
        <c:minorTickMark val="none"/>
        <c:tickLblPos val="nextTo"/>
        <c:spPr>
          <a:noFill/>
          <a:ln w="9522" cap="flat" cmpd="sng" algn="ctr">
            <a:solidFill>
              <a:sysClr val="windowText" lastClr="000000"/>
            </a:solidFill>
            <a:round/>
          </a:ln>
          <a:effectLst/>
        </c:spPr>
        <c:txPr>
          <a:bodyPr rot="-5400000" vert="horz"/>
          <a:lstStyle/>
          <a:p>
            <a:pPr>
              <a:defRPr/>
            </a:pPr>
            <a:endParaRPr lang="en-US"/>
          </a:p>
        </c:txPr>
        <c:crossAx val="127567744"/>
        <c:crosses val="autoZero"/>
        <c:auto val="1"/>
        <c:lblAlgn val="ctr"/>
        <c:lblOffset val="100"/>
        <c:noMultiLvlLbl val="0"/>
      </c:catAx>
      <c:valAx>
        <c:axId val="127567744"/>
        <c:scaling>
          <c:orientation val="minMax"/>
          <c:min val="0"/>
        </c:scaling>
        <c:delete val="0"/>
        <c:axPos val="l"/>
        <c:title>
          <c:tx>
            <c:rich>
              <a:bodyPr/>
              <a:lstStyle/>
              <a:p>
                <a:pPr>
                  <a:defRPr b="0"/>
                </a:pPr>
                <a:r>
                  <a:rPr lang="en-US" b="0"/>
                  <a:t>Percent</a:t>
                </a:r>
              </a:p>
            </c:rich>
          </c:tx>
          <c:layout>
            <c:manualLayout>
              <c:xMode val="edge"/>
              <c:yMode val="edge"/>
              <c:x val="5.6646748471161926E-2"/>
              <c:y val="0.201067136344799"/>
            </c:manualLayout>
          </c:layout>
          <c:overlay val="0"/>
          <c:spPr>
            <a:noFill/>
            <a:ln>
              <a:noFill/>
            </a:ln>
            <a:effectLst/>
          </c:spPr>
        </c:title>
        <c:numFmt formatCode="0" sourceLinked="0"/>
        <c:majorTickMark val="out"/>
        <c:minorTickMark val="none"/>
        <c:tickLblPos val="nextTo"/>
        <c:spPr>
          <a:noFill/>
          <a:ln>
            <a:solidFill>
              <a:sysClr val="windowText" lastClr="000000"/>
            </a:solidFill>
          </a:ln>
          <a:effectLst/>
        </c:spPr>
        <c:txPr>
          <a:bodyPr rot="-60000000" vert="horz"/>
          <a:lstStyle/>
          <a:p>
            <a:pPr>
              <a:defRPr/>
            </a:pPr>
            <a:endParaRPr lang="en-US"/>
          </a:p>
        </c:txPr>
        <c:crossAx val="127565824"/>
        <c:crosses val="autoZero"/>
        <c:crossBetween val="between"/>
      </c:valAx>
      <c:spPr>
        <a:noFill/>
        <a:ln w="25393">
          <a:noFill/>
        </a:ln>
      </c:spPr>
    </c:plotArea>
    <c:plotVisOnly val="1"/>
    <c:dispBlanksAs val="gap"/>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709746827967201"/>
          <c:y val="8.117982761494788E-2"/>
          <c:w val="0.78580506344065593"/>
          <c:h val="0.73801394377384022"/>
        </c:manualLayout>
      </c:layout>
      <c:pie3DChart>
        <c:varyColors val="1"/>
        <c:ser>
          <c:idx val="0"/>
          <c:order val="0"/>
          <c:explosion val="17"/>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8473-8544-92BF-72199C421484}"/>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8473-8544-92BF-72199C421484}"/>
              </c:ext>
            </c:extLst>
          </c:dPt>
          <c:dLbls>
            <c:dLbl>
              <c:idx val="0"/>
              <c:layout>
                <c:manualLayout>
                  <c:x val="0.16449140707705473"/>
                  <c:y val="6.6889632107023055E-3"/>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2679910804784106"/>
                      <c:h val="0.30998185117967325"/>
                    </c:manualLayout>
                  </c15:layout>
                </c:ext>
                <c:ext xmlns:c16="http://schemas.microsoft.com/office/drawing/2014/chart" uri="{C3380CC4-5D6E-409C-BE32-E72D297353CC}">
                  <c16:uniqueId val="{00000001-8473-8544-92BF-72199C421484}"/>
                </c:ext>
              </c:extLst>
            </c:dLbl>
            <c:dLbl>
              <c:idx val="1"/>
              <c:layout>
                <c:manualLayout>
                  <c:x val="-3.1946508409538207E-2"/>
                  <c:y val="-2.2337633327748926E-7"/>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31319524143204"/>
                      <c:h val="0.35862068965517235"/>
                    </c:manualLayout>
                  </c15:layout>
                </c:ext>
                <c:ext xmlns:c16="http://schemas.microsoft.com/office/drawing/2014/chart" uri="{C3380CC4-5D6E-409C-BE32-E72D297353CC}">
                  <c16:uniqueId val="{00000003-8473-8544-92BF-72199C421484}"/>
                </c:ext>
              </c:extLst>
            </c:dLbl>
            <c:numFmt formatCode="0.0%" sourceLinked="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Sheet1!$E$4:$E$5</c:f>
              <c:strCache>
                <c:ptCount val="2"/>
                <c:pt idx="0">
                  <c:v>Households that received livestock extension advices</c:v>
                </c:pt>
                <c:pt idx="1">
                  <c:v>Households that did not received livestock extension advices</c:v>
                </c:pt>
              </c:strCache>
            </c:strRef>
          </c:cat>
          <c:val>
            <c:numRef>
              <c:f>Sheet1!$F$4:$F$5</c:f>
              <c:numCache>
                <c:formatCode>General</c:formatCode>
                <c:ptCount val="2"/>
                <c:pt idx="0">
                  <c:v>9.1</c:v>
                </c:pt>
                <c:pt idx="1">
                  <c:v>90.9</c:v>
                </c:pt>
              </c:numCache>
            </c:numRef>
          </c:val>
          <c:extLst>
            <c:ext xmlns:c16="http://schemas.microsoft.com/office/drawing/2014/chart" uri="{C3380CC4-5D6E-409C-BE32-E72D297353CC}">
              <c16:uniqueId val="{00000004-8473-8544-92BF-72199C421484}"/>
            </c:ext>
          </c:extLst>
        </c:ser>
        <c:dLbls>
          <c:dLblPos val="outEnd"/>
          <c:showLegendKey val="0"/>
          <c:showVal val="1"/>
          <c:showCatName val="0"/>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50000"/>
          <a:lumOff val="50000"/>
        </a:schemeClr>
      </a:solidFill>
      <a:round/>
    </a:ln>
    <a:effectLst/>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910289709306236"/>
          <c:y val="6.3897763578274758E-2"/>
          <c:w val="0.54612099305465545"/>
          <c:h val="0.55537130401454937"/>
        </c:manualLayout>
      </c:layout>
      <c:barChart>
        <c:barDir val="col"/>
        <c:grouping val="stacked"/>
        <c:varyColors val="0"/>
        <c:ser>
          <c:idx val="0"/>
          <c:order val="0"/>
          <c:tx>
            <c:strRef>
              <c:f>LandUse3!$B$2</c:f>
              <c:strCache>
                <c:ptCount val="1"/>
                <c:pt idx="0">
                  <c:v> Area under Temporary Mono Crops </c:v>
                </c:pt>
              </c:strCache>
            </c:strRef>
          </c:tx>
          <c:spPr>
            <a:solidFill>
              <a:schemeClr val="accent1"/>
            </a:solidFill>
            <a:ln>
              <a:noFill/>
            </a:ln>
            <a:effectLst/>
          </c:spPr>
          <c:invertIfNegative val="0"/>
          <c:cat>
            <c:strRef>
              <c:f>LandUse3!$A$3:$A$28</c:f>
              <c:strCache>
                <c:ptCount val="26"/>
                <c:pt idx="0">
                  <c:v>Dodoma</c:v>
                </c:pt>
                <c:pt idx="1">
                  <c:v>Arusha</c:v>
                </c:pt>
                <c:pt idx="2">
                  <c:v>Kilimanjaro</c:v>
                </c:pt>
                <c:pt idx="3">
                  <c:v>Tanga</c:v>
                </c:pt>
                <c:pt idx="4">
                  <c:v>Morogoro</c:v>
                </c:pt>
                <c:pt idx="5">
                  <c:v>Pwani</c:v>
                </c:pt>
                <c:pt idx="6">
                  <c:v>Dar Es Salaam</c:v>
                </c:pt>
                <c:pt idx="7">
                  <c:v>Lindi</c:v>
                </c:pt>
                <c:pt idx="8">
                  <c:v>Mtwara</c:v>
                </c:pt>
                <c:pt idx="9">
                  <c:v>Ruvuma</c:v>
                </c:pt>
                <c:pt idx="10">
                  <c:v>Iringa</c:v>
                </c:pt>
                <c:pt idx="11">
                  <c:v>Mbeya</c:v>
                </c:pt>
                <c:pt idx="12">
                  <c:v>Singida</c:v>
                </c:pt>
                <c:pt idx="13">
                  <c:v>Tabora</c:v>
                </c:pt>
                <c:pt idx="14">
                  <c:v>Rukwa</c:v>
                </c:pt>
                <c:pt idx="15">
                  <c:v>Kigoma</c:v>
                </c:pt>
                <c:pt idx="16">
                  <c:v>Shinyanga</c:v>
                </c:pt>
                <c:pt idx="17">
                  <c:v>Kagera</c:v>
                </c:pt>
                <c:pt idx="18">
                  <c:v>Mwanza</c:v>
                </c:pt>
                <c:pt idx="19">
                  <c:v>Mara</c:v>
                </c:pt>
                <c:pt idx="20">
                  <c:v>Manyara</c:v>
                </c:pt>
                <c:pt idx="21">
                  <c:v>Njombe</c:v>
                </c:pt>
                <c:pt idx="22">
                  <c:v>Katavi</c:v>
                </c:pt>
                <c:pt idx="23">
                  <c:v>Simiyu</c:v>
                </c:pt>
                <c:pt idx="24">
                  <c:v>Geita</c:v>
                </c:pt>
                <c:pt idx="25">
                  <c:v>Songwe</c:v>
                </c:pt>
              </c:strCache>
            </c:strRef>
          </c:cat>
          <c:val>
            <c:numRef>
              <c:f>LandUse3!$B$3:$B$28</c:f>
              <c:numCache>
                <c:formatCode>_(* #,##0_);_(* \(#,##0\);_(* "-"_);_(@_)</c:formatCode>
                <c:ptCount val="26"/>
                <c:pt idx="0">
                  <c:v>609649.53460137593</c:v>
                </c:pt>
                <c:pt idx="1">
                  <c:v>81840.550384459726</c:v>
                </c:pt>
                <c:pt idx="2">
                  <c:v>94059.085390530148</c:v>
                </c:pt>
                <c:pt idx="3">
                  <c:v>270433.02306758397</c:v>
                </c:pt>
                <c:pt idx="4">
                  <c:v>484834.07527316874</c:v>
                </c:pt>
                <c:pt idx="5">
                  <c:v>85971.266693646292</c:v>
                </c:pt>
                <c:pt idx="6">
                  <c:v>210320.92270335896</c:v>
                </c:pt>
                <c:pt idx="7">
                  <c:v>175810.19830028329</c:v>
                </c:pt>
                <c:pt idx="8">
                  <c:v>90231.485228652367</c:v>
                </c:pt>
                <c:pt idx="9">
                  <c:v>318029.94738972076</c:v>
                </c:pt>
                <c:pt idx="10">
                  <c:v>165887.49494131931</c:v>
                </c:pt>
                <c:pt idx="11">
                  <c:v>318547.9562929988</c:v>
                </c:pt>
                <c:pt idx="12">
                  <c:v>348038.85066774586</c:v>
                </c:pt>
                <c:pt idx="13">
                  <c:v>656790.36827195471</c:v>
                </c:pt>
                <c:pt idx="14">
                  <c:v>347331.84945366246</c:v>
                </c:pt>
                <c:pt idx="15">
                  <c:v>114141.64305949007</c:v>
                </c:pt>
                <c:pt idx="16">
                  <c:v>364948.19910967216</c:v>
                </c:pt>
                <c:pt idx="17">
                  <c:v>104543.09995953055</c:v>
                </c:pt>
                <c:pt idx="18">
                  <c:v>282146.90408741398</c:v>
                </c:pt>
                <c:pt idx="19">
                  <c:v>211291.3800080939</c:v>
                </c:pt>
                <c:pt idx="20">
                  <c:v>203868.87899635773</c:v>
                </c:pt>
                <c:pt idx="21">
                  <c:v>142594.90084985836</c:v>
                </c:pt>
                <c:pt idx="22">
                  <c:v>134473.08781869689</c:v>
                </c:pt>
                <c:pt idx="23">
                  <c:v>365548.76568191015</c:v>
                </c:pt>
                <c:pt idx="24">
                  <c:v>327338.32456495345</c:v>
                </c:pt>
                <c:pt idx="25">
                  <c:v>424215.29745042493</c:v>
                </c:pt>
              </c:numCache>
            </c:numRef>
          </c:val>
          <c:extLst>
            <c:ext xmlns:c16="http://schemas.microsoft.com/office/drawing/2014/chart" uri="{C3380CC4-5D6E-409C-BE32-E72D297353CC}">
              <c16:uniqueId val="{00000000-98E6-6545-9987-0E7A9A4808E3}"/>
            </c:ext>
          </c:extLst>
        </c:ser>
        <c:ser>
          <c:idx val="1"/>
          <c:order val="1"/>
          <c:tx>
            <c:strRef>
              <c:f>LandUse3!$C$2</c:f>
              <c:strCache>
                <c:ptCount val="1"/>
                <c:pt idx="0">
                  <c:v> Area under Temporary Mixed Crops </c:v>
                </c:pt>
              </c:strCache>
            </c:strRef>
          </c:tx>
          <c:spPr>
            <a:solidFill>
              <a:schemeClr val="accent2"/>
            </a:solidFill>
            <a:ln>
              <a:noFill/>
            </a:ln>
            <a:effectLst/>
          </c:spPr>
          <c:invertIfNegative val="0"/>
          <c:cat>
            <c:strRef>
              <c:f>LandUse3!$A$3:$A$28</c:f>
              <c:strCache>
                <c:ptCount val="26"/>
                <c:pt idx="0">
                  <c:v>Dodoma</c:v>
                </c:pt>
                <c:pt idx="1">
                  <c:v>Arusha</c:v>
                </c:pt>
                <c:pt idx="2">
                  <c:v>Kilimanjaro</c:v>
                </c:pt>
                <c:pt idx="3">
                  <c:v>Tanga</c:v>
                </c:pt>
                <c:pt idx="4">
                  <c:v>Morogoro</c:v>
                </c:pt>
                <c:pt idx="5">
                  <c:v>Pwani</c:v>
                </c:pt>
                <c:pt idx="6">
                  <c:v>Dar Es Salaam</c:v>
                </c:pt>
                <c:pt idx="7">
                  <c:v>Lindi</c:v>
                </c:pt>
                <c:pt idx="8">
                  <c:v>Mtwara</c:v>
                </c:pt>
                <c:pt idx="9">
                  <c:v>Ruvuma</c:v>
                </c:pt>
                <c:pt idx="10">
                  <c:v>Iringa</c:v>
                </c:pt>
                <c:pt idx="11">
                  <c:v>Mbeya</c:v>
                </c:pt>
                <c:pt idx="12">
                  <c:v>Singida</c:v>
                </c:pt>
                <c:pt idx="13">
                  <c:v>Tabora</c:v>
                </c:pt>
                <c:pt idx="14">
                  <c:v>Rukwa</c:v>
                </c:pt>
                <c:pt idx="15">
                  <c:v>Kigoma</c:v>
                </c:pt>
                <c:pt idx="16">
                  <c:v>Shinyanga</c:v>
                </c:pt>
                <c:pt idx="17">
                  <c:v>Kagera</c:v>
                </c:pt>
                <c:pt idx="18">
                  <c:v>Mwanza</c:v>
                </c:pt>
                <c:pt idx="19">
                  <c:v>Mara</c:v>
                </c:pt>
                <c:pt idx="20">
                  <c:v>Manyara</c:v>
                </c:pt>
                <c:pt idx="21">
                  <c:v>Njombe</c:v>
                </c:pt>
                <c:pt idx="22">
                  <c:v>Katavi</c:v>
                </c:pt>
                <c:pt idx="23">
                  <c:v>Simiyu</c:v>
                </c:pt>
                <c:pt idx="24">
                  <c:v>Geita</c:v>
                </c:pt>
                <c:pt idx="25">
                  <c:v>Songwe</c:v>
                </c:pt>
              </c:strCache>
            </c:strRef>
          </c:cat>
          <c:val>
            <c:numRef>
              <c:f>LandUse3!$C$3:$C$28</c:f>
              <c:numCache>
                <c:formatCode>_(* #,##0_);_(* \(#,##0\);_(* "-"_);_(@_)</c:formatCode>
                <c:ptCount val="26"/>
                <c:pt idx="0">
                  <c:v>716960.7446377984</c:v>
                </c:pt>
                <c:pt idx="1">
                  <c:v>119189.80169971671</c:v>
                </c:pt>
                <c:pt idx="2">
                  <c:v>69488.87090246864</c:v>
                </c:pt>
                <c:pt idx="3">
                  <c:v>56164.710643464183</c:v>
                </c:pt>
                <c:pt idx="4">
                  <c:v>93593.28207203561</c:v>
                </c:pt>
                <c:pt idx="5">
                  <c:v>52492.513152569809</c:v>
                </c:pt>
                <c:pt idx="6">
                  <c:v>46769.728854714689</c:v>
                </c:pt>
                <c:pt idx="7">
                  <c:v>105655.20032375556</c:v>
                </c:pt>
                <c:pt idx="8">
                  <c:v>91233.50870093079</c:v>
                </c:pt>
                <c:pt idx="9">
                  <c:v>153569.80979360582</c:v>
                </c:pt>
                <c:pt idx="10">
                  <c:v>91083.771752326997</c:v>
                </c:pt>
                <c:pt idx="11">
                  <c:v>101464.58923512748</c:v>
                </c:pt>
                <c:pt idx="12">
                  <c:v>180926.34560906515</c:v>
                </c:pt>
                <c:pt idx="13">
                  <c:v>249133.95386483203</c:v>
                </c:pt>
                <c:pt idx="14">
                  <c:v>61789.963577498987</c:v>
                </c:pt>
                <c:pt idx="15">
                  <c:v>104186.56414407122</c:v>
                </c:pt>
                <c:pt idx="16">
                  <c:v>160014.97369486038</c:v>
                </c:pt>
                <c:pt idx="17">
                  <c:v>123664.91299069203</c:v>
                </c:pt>
                <c:pt idx="18">
                  <c:v>163483.20518008902</c:v>
                </c:pt>
                <c:pt idx="19">
                  <c:v>32008.903278025089</c:v>
                </c:pt>
                <c:pt idx="20">
                  <c:v>347711.45285309589</c:v>
                </c:pt>
                <c:pt idx="21">
                  <c:v>26505.058680696075</c:v>
                </c:pt>
                <c:pt idx="22">
                  <c:v>21804.127883447996</c:v>
                </c:pt>
                <c:pt idx="23">
                  <c:v>125368.27195467422</c:v>
                </c:pt>
                <c:pt idx="24">
                  <c:v>147110.07689194658</c:v>
                </c:pt>
                <c:pt idx="25">
                  <c:v>33602.590044516386</c:v>
                </c:pt>
              </c:numCache>
            </c:numRef>
          </c:val>
          <c:extLst>
            <c:ext xmlns:c16="http://schemas.microsoft.com/office/drawing/2014/chart" uri="{C3380CC4-5D6E-409C-BE32-E72D297353CC}">
              <c16:uniqueId val="{00000001-98E6-6545-9987-0E7A9A4808E3}"/>
            </c:ext>
          </c:extLst>
        </c:ser>
        <c:ser>
          <c:idx val="2"/>
          <c:order val="2"/>
          <c:tx>
            <c:strRef>
              <c:f>LandUse3!$D$2</c:f>
              <c:strCache>
                <c:ptCount val="1"/>
                <c:pt idx="0">
                  <c:v> Area under Permanent Mono Crops </c:v>
                </c:pt>
              </c:strCache>
            </c:strRef>
          </c:tx>
          <c:spPr>
            <a:solidFill>
              <a:schemeClr val="accent3"/>
            </a:solidFill>
            <a:ln>
              <a:noFill/>
            </a:ln>
            <a:effectLst/>
          </c:spPr>
          <c:invertIfNegative val="0"/>
          <c:cat>
            <c:strRef>
              <c:f>LandUse3!$A$3:$A$28</c:f>
              <c:strCache>
                <c:ptCount val="26"/>
                <c:pt idx="0">
                  <c:v>Dodoma</c:v>
                </c:pt>
                <c:pt idx="1">
                  <c:v>Arusha</c:v>
                </c:pt>
                <c:pt idx="2">
                  <c:v>Kilimanjaro</c:v>
                </c:pt>
                <c:pt idx="3">
                  <c:v>Tanga</c:v>
                </c:pt>
                <c:pt idx="4">
                  <c:v>Morogoro</c:v>
                </c:pt>
                <c:pt idx="5">
                  <c:v>Pwani</c:v>
                </c:pt>
                <c:pt idx="6">
                  <c:v>Dar Es Salaam</c:v>
                </c:pt>
                <c:pt idx="7">
                  <c:v>Lindi</c:v>
                </c:pt>
                <c:pt idx="8">
                  <c:v>Mtwara</c:v>
                </c:pt>
                <c:pt idx="9">
                  <c:v>Ruvuma</c:v>
                </c:pt>
                <c:pt idx="10">
                  <c:v>Iringa</c:v>
                </c:pt>
                <c:pt idx="11">
                  <c:v>Mbeya</c:v>
                </c:pt>
                <c:pt idx="12">
                  <c:v>Singida</c:v>
                </c:pt>
                <c:pt idx="13">
                  <c:v>Tabora</c:v>
                </c:pt>
                <c:pt idx="14">
                  <c:v>Rukwa</c:v>
                </c:pt>
                <c:pt idx="15">
                  <c:v>Kigoma</c:v>
                </c:pt>
                <c:pt idx="16">
                  <c:v>Shinyanga</c:v>
                </c:pt>
                <c:pt idx="17">
                  <c:v>Kagera</c:v>
                </c:pt>
                <c:pt idx="18">
                  <c:v>Mwanza</c:v>
                </c:pt>
                <c:pt idx="19">
                  <c:v>Mara</c:v>
                </c:pt>
                <c:pt idx="20">
                  <c:v>Manyara</c:v>
                </c:pt>
                <c:pt idx="21">
                  <c:v>Njombe</c:v>
                </c:pt>
                <c:pt idx="22">
                  <c:v>Katavi</c:v>
                </c:pt>
                <c:pt idx="23">
                  <c:v>Simiyu</c:v>
                </c:pt>
                <c:pt idx="24">
                  <c:v>Geita</c:v>
                </c:pt>
                <c:pt idx="25">
                  <c:v>Songwe</c:v>
                </c:pt>
              </c:strCache>
            </c:strRef>
          </c:cat>
          <c:val>
            <c:numRef>
              <c:f>LandUse3!$D$3:$D$28</c:f>
              <c:numCache>
                <c:formatCode>_(* #,##0_);_(* \(#,##0\);_(* "-"_);_(@_)</c:formatCode>
                <c:ptCount val="26"/>
                <c:pt idx="0">
                  <c:v>9192.2298664508289</c:v>
                </c:pt>
                <c:pt idx="1">
                  <c:v>4042.8976123027114</c:v>
                </c:pt>
                <c:pt idx="2">
                  <c:v>19414.811817078105</c:v>
                </c:pt>
                <c:pt idx="3">
                  <c:v>75622.824767300684</c:v>
                </c:pt>
                <c:pt idx="4">
                  <c:v>27104.006475111291</c:v>
                </c:pt>
                <c:pt idx="5">
                  <c:v>46084.581141238363</c:v>
                </c:pt>
                <c:pt idx="6">
                  <c:v>41766.086604613512</c:v>
                </c:pt>
                <c:pt idx="7">
                  <c:v>196001.21408336706</c:v>
                </c:pt>
                <c:pt idx="8">
                  <c:v>206703.35896398217</c:v>
                </c:pt>
                <c:pt idx="9">
                  <c:v>115190.20639417239</c:v>
                </c:pt>
                <c:pt idx="10">
                  <c:v>4070.8215297450424</c:v>
                </c:pt>
                <c:pt idx="11">
                  <c:v>19254.148118170779</c:v>
                </c:pt>
                <c:pt idx="12">
                  <c:v>7872.1165520032373</c:v>
                </c:pt>
                <c:pt idx="13">
                  <c:v>10016.187778227439</c:v>
                </c:pt>
                <c:pt idx="14">
                  <c:v>7232.2946175637389</c:v>
                </c:pt>
                <c:pt idx="15">
                  <c:v>54216.106839336302</c:v>
                </c:pt>
                <c:pt idx="16">
                  <c:v>4592.4726831242415</c:v>
                </c:pt>
                <c:pt idx="17">
                  <c:v>40089.842169162279</c:v>
                </c:pt>
                <c:pt idx="18">
                  <c:v>12373.532982598137</c:v>
                </c:pt>
                <c:pt idx="19">
                  <c:v>25167.948199109673</c:v>
                </c:pt>
                <c:pt idx="20">
                  <c:v>3521.2464589235128</c:v>
                </c:pt>
                <c:pt idx="21">
                  <c:v>11108.053419668151</c:v>
                </c:pt>
                <c:pt idx="22">
                  <c:v>1855.5240793201133</c:v>
                </c:pt>
                <c:pt idx="23">
                  <c:v>1647.5111290975312</c:v>
                </c:pt>
                <c:pt idx="24">
                  <c:v>16067.988668555241</c:v>
                </c:pt>
                <c:pt idx="25">
                  <c:v>17400.647511129097</c:v>
                </c:pt>
              </c:numCache>
            </c:numRef>
          </c:val>
          <c:extLst>
            <c:ext xmlns:c16="http://schemas.microsoft.com/office/drawing/2014/chart" uri="{C3380CC4-5D6E-409C-BE32-E72D297353CC}">
              <c16:uniqueId val="{00000002-98E6-6545-9987-0E7A9A4808E3}"/>
            </c:ext>
          </c:extLst>
        </c:ser>
        <c:ser>
          <c:idx val="3"/>
          <c:order val="3"/>
          <c:tx>
            <c:strRef>
              <c:f>LandUse3!$E$2</c:f>
              <c:strCache>
                <c:ptCount val="1"/>
                <c:pt idx="0">
                  <c:v> Area under Permanent Mixed Crops </c:v>
                </c:pt>
              </c:strCache>
            </c:strRef>
          </c:tx>
          <c:spPr>
            <a:solidFill>
              <a:schemeClr val="accent4"/>
            </a:solidFill>
            <a:ln>
              <a:noFill/>
            </a:ln>
            <a:effectLst/>
          </c:spPr>
          <c:invertIfNegative val="0"/>
          <c:cat>
            <c:strRef>
              <c:f>LandUse3!$A$3:$A$28</c:f>
              <c:strCache>
                <c:ptCount val="26"/>
                <c:pt idx="0">
                  <c:v>Dodoma</c:v>
                </c:pt>
                <c:pt idx="1">
                  <c:v>Arusha</c:v>
                </c:pt>
                <c:pt idx="2">
                  <c:v>Kilimanjaro</c:v>
                </c:pt>
                <c:pt idx="3">
                  <c:v>Tanga</c:v>
                </c:pt>
                <c:pt idx="4">
                  <c:v>Morogoro</c:v>
                </c:pt>
                <c:pt idx="5">
                  <c:v>Pwani</c:v>
                </c:pt>
                <c:pt idx="6">
                  <c:v>Dar Es Salaam</c:v>
                </c:pt>
                <c:pt idx="7">
                  <c:v>Lindi</c:v>
                </c:pt>
                <c:pt idx="8">
                  <c:v>Mtwara</c:v>
                </c:pt>
                <c:pt idx="9">
                  <c:v>Ruvuma</c:v>
                </c:pt>
                <c:pt idx="10">
                  <c:v>Iringa</c:v>
                </c:pt>
                <c:pt idx="11">
                  <c:v>Mbeya</c:v>
                </c:pt>
                <c:pt idx="12">
                  <c:v>Singida</c:v>
                </c:pt>
                <c:pt idx="13">
                  <c:v>Tabora</c:v>
                </c:pt>
                <c:pt idx="14">
                  <c:v>Rukwa</c:v>
                </c:pt>
                <c:pt idx="15">
                  <c:v>Kigoma</c:v>
                </c:pt>
                <c:pt idx="16">
                  <c:v>Shinyanga</c:v>
                </c:pt>
                <c:pt idx="17">
                  <c:v>Kagera</c:v>
                </c:pt>
                <c:pt idx="18">
                  <c:v>Mwanza</c:v>
                </c:pt>
                <c:pt idx="19">
                  <c:v>Mara</c:v>
                </c:pt>
                <c:pt idx="20">
                  <c:v>Manyara</c:v>
                </c:pt>
                <c:pt idx="21">
                  <c:v>Njombe</c:v>
                </c:pt>
                <c:pt idx="22">
                  <c:v>Katavi</c:v>
                </c:pt>
                <c:pt idx="23">
                  <c:v>Simiyu</c:v>
                </c:pt>
                <c:pt idx="24">
                  <c:v>Geita</c:v>
                </c:pt>
                <c:pt idx="25">
                  <c:v>Songwe</c:v>
                </c:pt>
              </c:strCache>
            </c:strRef>
          </c:cat>
          <c:val>
            <c:numRef>
              <c:f>LandUse3!$E$3:$E$28</c:f>
              <c:numCache>
                <c:formatCode>_(* #,##0_);_(* \(#,##0\);_(* "-"_);_(@_)</c:formatCode>
                <c:ptCount val="26"/>
                <c:pt idx="0">
                  <c:v>2113.7191420477538</c:v>
                </c:pt>
                <c:pt idx="1">
                  <c:v>3766.0866046135166</c:v>
                </c:pt>
                <c:pt idx="2">
                  <c:v>17460.946985026305</c:v>
                </c:pt>
                <c:pt idx="3">
                  <c:v>45282.072035613113</c:v>
                </c:pt>
                <c:pt idx="4">
                  <c:v>19138.000809388912</c:v>
                </c:pt>
                <c:pt idx="5">
                  <c:v>43508.700930797248</c:v>
                </c:pt>
                <c:pt idx="6">
                  <c:v>33614.326183731282</c:v>
                </c:pt>
                <c:pt idx="7">
                  <c:v>12112.100364225009</c:v>
                </c:pt>
                <c:pt idx="8">
                  <c:v>33915.014164305947</c:v>
                </c:pt>
                <c:pt idx="9">
                  <c:v>31163.496560097126</c:v>
                </c:pt>
                <c:pt idx="10">
                  <c:v>1482.3957911776608</c:v>
                </c:pt>
                <c:pt idx="11">
                  <c:v>35212.869283690816</c:v>
                </c:pt>
                <c:pt idx="12">
                  <c:v>6299.4738972076084</c:v>
                </c:pt>
                <c:pt idx="13">
                  <c:v>2585.1881829218937</c:v>
                </c:pt>
                <c:pt idx="14">
                  <c:v>517.60420882233916</c:v>
                </c:pt>
                <c:pt idx="15">
                  <c:v>9115.7426143261837</c:v>
                </c:pt>
                <c:pt idx="16">
                  <c:v>1643.8688789963576</c:v>
                </c:pt>
                <c:pt idx="17">
                  <c:v>83552.812626467014</c:v>
                </c:pt>
                <c:pt idx="18">
                  <c:v>4331.4447592067991</c:v>
                </c:pt>
                <c:pt idx="19">
                  <c:v>1673.8162687171184</c:v>
                </c:pt>
                <c:pt idx="20">
                  <c:v>1542.6952650748685</c:v>
                </c:pt>
                <c:pt idx="21">
                  <c:v>1760.8255766895993</c:v>
                </c:pt>
                <c:pt idx="22">
                  <c:v>522.46054229057063</c:v>
                </c:pt>
                <c:pt idx="23">
                  <c:v>738.16268717118578</c:v>
                </c:pt>
                <c:pt idx="24">
                  <c:v>1891.5418858761634</c:v>
                </c:pt>
                <c:pt idx="25">
                  <c:v>4348.8466208012951</c:v>
                </c:pt>
              </c:numCache>
            </c:numRef>
          </c:val>
          <c:extLst>
            <c:ext xmlns:c16="http://schemas.microsoft.com/office/drawing/2014/chart" uri="{C3380CC4-5D6E-409C-BE32-E72D297353CC}">
              <c16:uniqueId val="{00000003-98E6-6545-9987-0E7A9A4808E3}"/>
            </c:ext>
          </c:extLst>
        </c:ser>
        <c:ser>
          <c:idx val="4"/>
          <c:order val="4"/>
          <c:tx>
            <c:strRef>
              <c:f>LandUse3!$F$2</c:f>
              <c:strCache>
                <c:ptCount val="1"/>
                <c:pt idx="0">
                  <c:v> Area under Permanent / temporary mix </c:v>
                </c:pt>
              </c:strCache>
            </c:strRef>
          </c:tx>
          <c:spPr>
            <a:solidFill>
              <a:schemeClr val="accent5"/>
            </a:solidFill>
            <a:ln>
              <a:noFill/>
            </a:ln>
            <a:effectLst/>
          </c:spPr>
          <c:invertIfNegative val="0"/>
          <c:cat>
            <c:strRef>
              <c:f>LandUse3!$A$3:$A$28</c:f>
              <c:strCache>
                <c:ptCount val="26"/>
                <c:pt idx="0">
                  <c:v>Dodoma</c:v>
                </c:pt>
                <c:pt idx="1">
                  <c:v>Arusha</c:v>
                </c:pt>
                <c:pt idx="2">
                  <c:v>Kilimanjaro</c:v>
                </c:pt>
                <c:pt idx="3">
                  <c:v>Tanga</c:v>
                </c:pt>
                <c:pt idx="4">
                  <c:v>Morogoro</c:v>
                </c:pt>
                <c:pt idx="5">
                  <c:v>Pwani</c:v>
                </c:pt>
                <c:pt idx="6">
                  <c:v>Dar Es Salaam</c:v>
                </c:pt>
                <c:pt idx="7">
                  <c:v>Lindi</c:v>
                </c:pt>
                <c:pt idx="8">
                  <c:v>Mtwara</c:v>
                </c:pt>
                <c:pt idx="9">
                  <c:v>Ruvuma</c:v>
                </c:pt>
                <c:pt idx="10">
                  <c:v>Iringa</c:v>
                </c:pt>
                <c:pt idx="11">
                  <c:v>Mbeya</c:v>
                </c:pt>
                <c:pt idx="12">
                  <c:v>Singida</c:v>
                </c:pt>
                <c:pt idx="13">
                  <c:v>Tabora</c:v>
                </c:pt>
                <c:pt idx="14">
                  <c:v>Rukwa</c:v>
                </c:pt>
                <c:pt idx="15">
                  <c:v>Kigoma</c:v>
                </c:pt>
                <c:pt idx="16">
                  <c:v>Shinyanga</c:v>
                </c:pt>
                <c:pt idx="17">
                  <c:v>Kagera</c:v>
                </c:pt>
                <c:pt idx="18">
                  <c:v>Mwanza</c:v>
                </c:pt>
                <c:pt idx="19">
                  <c:v>Mara</c:v>
                </c:pt>
                <c:pt idx="20">
                  <c:v>Manyara</c:v>
                </c:pt>
                <c:pt idx="21">
                  <c:v>Njombe</c:v>
                </c:pt>
                <c:pt idx="22">
                  <c:v>Katavi</c:v>
                </c:pt>
                <c:pt idx="23">
                  <c:v>Simiyu</c:v>
                </c:pt>
                <c:pt idx="24">
                  <c:v>Geita</c:v>
                </c:pt>
                <c:pt idx="25">
                  <c:v>Songwe</c:v>
                </c:pt>
              </c:strCache>
            </c:strRef>
          </c:cat>
          <c:val>
            <c:numRef>
              <c:f>LandUse3!$F$3:$F$28</c:f>
              <c:numCache>
                <c:formatCode>_(* #,##0_);_(* \(#,##0\);_(* "-"_);_(@_)</c:formatCode>
                <c:ptCount val="26"/>
                <c:pt idx="0">
                  <c:v>28976.932416025898</c:v>
                </c:pt>
                <c:pt idx="1">
                  <c:v>6531.3638203156615</c:v>
                </c:pt>
                <c:pt idx="2">
                  <c:v>15192.634560906516</c:v>
                </c:pt>
                <c:pt idx="3">
                  <c:v>100150.54633751517</c:v>
                </c:pt>
                <c:pt idx="4">
                  <c:v>40411.574261432615</c:v>
                </c:pt>
                <c:pt idx="5">
                  <c:v>72566.167543504649</c:v>
                </c:pt>
                <c:pt idx="6">
                  <c:v>13704.573047349251</c:v>
                </c:pt>
                <c:pt idx="7">
                  <c:v>64910.157830837714</c:v>
                </c:pt>
                <c:pt idx="8">
                  <c:v>217397.81464993928</c:v>
                </c:pt>
                <c:pt idx="9">
                  <c:v>40034.399028733307</c:v>
                </c:pt>
                <c:pt idx="10">
                  <c:v>16022.258195062726</c:v>
                </c:pt>
                <c:pt idx="11">
                  <c:v>25203.561311210036</c:v>
                </c:pt>
                <c:pt idx="12">
                  <c:v>9242.8166734115748</c:v>
                </c:pt>
                <c:pt idx="13">
                  <c:v>34475.920679886687</c:v>
                </c:pt>
                <c:pt idx="14">
                  <c:v>4499.7976527721567</c:v>
                </c:pt>
                <c:pt idx="15">
                  <c:v>119572.64265479562</c:v>
                </c:pt>
                <c:pt idx="16">
                  <c:v>4974.9089437474704</c:v>
                </c:pt>
                <c:pt idx="17">
                  <c:v>238602.1853500607</c:v>
                </c:pt>
                <c:pt idx="18">
                  <c:v>29605.827600161876</c:v>
                </c:pt>
                <c:pt idx="19">
                  <c:v>3048.9680291380009</c:v>
                </c:pt>
                <c:pt idx="20">
                  <c:v>2211.6552003237557</c:v>
                </c:pt>
                <c:pt idx="21">
                  <c:v>3110.4815864022662</c:v>
                </c:pt>
                <c:pt idx="22">
                  <c:v>1114.1238365034399</c:v>
                </c:pt>
                <c:pt idx="23">
                  <c:v>303.52084176446783</c:v>
                </c:pt>
                <c:pt idx="24">
                  <c:v>62243.626062322946</c:v>
                </c:pt>
                <c:pt idx="25">
                  <c:v>2282.8814245244839</c:v>
                </c:pt>
              </c:numCache>
            </c:numRef>
          </c:val>
          <c:extLst>
            <c:ext xmlns:c16="http://schemas.microsoft.com/office/drawing/2014/chart" uri="{C3380CC4-5D6E-409C-BE32-E72D297353CC}">
              <c16:uniqueId val="{00000004-98E6-6545-9987-0E7A9A4808E3}"/>
            </c:ext>
          </c:extLst>
        </c:ser>
        <c:ser>
          <c:idx val="5"/>
          <c:order val="5"/>
          <c:tx>
            <c:strRef>
              <c:f>LandUse3!$G$2</c:f>
              <c:strCache>
                <c:ptCount val="1"/>
                <c:pt idx="0">
                  <c:v> Area under Fish farming </c:v>
                </c:pt>
              </c:strCache>
            </c:strRef>
          </c:tx>
          <c:spPr>
            <a:solidFill>
              <a:schemeClr val="accent6"/>
            </a:solidFill>
            <a:ln>
              <a:noFill/>
            </a:ln>
            <a:effectLst/>
          </c:spPr>
          <c:invertIfNegative val="0"/>
          <c:cat>
            <c:strRef>
              <c:f>LandUse3!$A$3:$A$28</c:f>
              <c:strCache>
                <c:ptCount val="26"/>
                <c:pt idx="0">
                  <c:v>Dodoma</c:v>
                </c:pt>
                <c:pt idx="1">
                  <c:v>Arusha</c:v>
                </c:pt>
                <c:pt idx="2">
                  <c:v>Kilimanjaro</c:v>
                </c:pt>
                <c:pt idx="3">
                  <c:v>Tanga</c:v>
                </c:pt>
                <c:pt idx="4">
                  <c:v>Morogoro</c:v>
                </c:pt>
                <c:pt idx="5">
                  <c:v>Pwani</c:v>
                </c:pt>
                <c:pt idx="6">
                  <c:v>Dar Es Salaam</c:v>
                </c:pt>
                <c:pt idx="7">
                  <c:v>Lindi</c:v>
                </c:pt>
                <c:pt idx="8">
                  <c:v>Mtwara</c:v>
                </c:pt>
                <c:pt idx="9">
                  <c:v>Ruvuma</c:v>
                </c:pt>
                <c:pt idx="10">
                  <c:v>Iringa</c:v>
                </c:pt>
                <c:pt idx="11">
                  <c:v>Mbeya</c:v>
                </c:pt>
                <c:pt idx="12">
                  <c:v>Singida</c:v>
                </c:pt>
                <c:pt idx="13">
                  <c:v>Tabora</c:v>
                </c:pt>
                <c:pt idx="14">
                  <c:v>Rukwa</c:v>
                </c:pt>
                <c:pt idx="15">
                  <c:v>Kigoma</c:v>
                </c:pt>
                <c:pt idx="16">
                  <c:v>Shinyanga</c:v>
                </c:pt>
                <c:pt idx="17">
                  <c:v>Kagera</c:v>
                </c:pt>
                <c:pt idx="18">
                  <c:v>Mwanza</c:v>
                </c:pt>
                <c:pt idx="19">
                  <c:v>Mara</c:v>
                </c:pt>
                <c:pt idx="20">
                  <c:v>Manyara</c:v>
                </c:pt>
                <c:pt idx="21">
                  <c:v>Njombe</c:v>
                </c:pt>
                <c:pt idx="22">
                  <c:v>Katavi</c:v>
                </c:pt>
                <c:pt idx="23">
                  <c:v>Simiyu</c:v>
                </c:pt>
                <c:pt idx="24">
                  <c:v>Geita</c:v>
                </c:pt>
                <c:pt idx="25">
                  <c:v>Songwe</c:v>
                </c:pt>
              </c:strCache>
            </c:strRef>
          </c:cat>
          <c:val>
            <c:numRef>
              <c:f>LandUse3!$G$3:$G$28</c:f>
              <c:numCache>
                <c:formatCode>_(* #,##0_);_(* \(#,##0\);_(* "-"_);_(@_)</c:formatCode>
                <c:ptCount val="26"/>
                <c:pt idx="0">
                  <c:v>0</c:v>
                </c:pt>
                <c:pt idx="1">
                  <c:v>39.255362201537835</c:v>
                </c:pt>
                <c:pt idx="2">
                  <c:v>30.35208417644678</c:v>
                </c:pt>
                <c:pt idx="3">
                  <c:v>148.52286523674624</c:v>
                </c:pt>
                <c:pt idx="4">
                  <c:v>374.74706596519627</c:v>
                </c:pt>
                <c:pt idx="5">
                  <c:v>569.80979360582762</c:v>
                </c:pt>
                <c:pt idx="6">
                  <c:v>2218.5350060704168</c:v>
                </c:pt>
                <c:pt idx="7">
                  <c:v>0</c:v>
                </c:pt>
                <c:pt idx="8">
                  <c:v>80.534196681505463</c:v>
                </c:pt>
                <c:pt idx="9">
                  <c:v>945.3662484823958</c:v>
                </c:pt>
                <c:pt idx="10">
                  <c:v>24.281667341157426</c:v>
                </c:pt>
                <c:pt idx="11">
                  <c:v>237.55564548765682</c:v>
                </c:pt>
                <c:pt idx="12">
                  <c:v>214.48806151355726</c:v>
                </c:pt>
                <c:pt idx="13">
                  <c:v>57.871307163091863</c:v>
                </c:pt>
                <c:pt idx="14">
                  <c:v>363.41562120598945</c:v>
                </c:pt>
                <c:pt idx="15">
                  <c:v>53.419668150546336</c:v>
                </c:pt>
                <c:pt idx="16">
                  <c:v>660.86604613516795</c:v>
                </c:pt>
                <c:pt idx="17">
                  <c:v>804.12788344799674</c:v>
                </c:pt>
                <c:pt idx="18">
                  <c:v>41.278834479967621</c:v>
                </c:pt>
                <c:pt idx="19">
                  <c:v>0</c:v>
                </c:pt>
                <c:pt idx="20">
                  <c:v>0</c:v>
                </c:pt>
                <c:pt idx="21">
                  <c:v>37.231889923108049</c:v>
                </c:pt>
                <c:pt idx="22">
                  <c:v>163.09186564144071</c:v>
                </c:pt>
                <c:pt idx="23">
                  <c:v>56.657223796033989</c:v>
                </c:pt>
                <c:pt idx="24">
                  <c:v>354.10764872521247</c:v>
                </c:pt>
                <c:pt idx="25">
                  <c:v>61.108862808579524</c:v>
                </c:pt>
              </c:numCache>
            </c:numRef>
          </c:val>
          <c:extLst>
            <c:ext xmlns:c16="http://schemas.microsoft.com/office/drawing/2014/chart" uri="{C3380CC4-5D6E-409C-BE32-E72D297353CC}">
              <c16:uniqueId val="{00000005-98E6-6545-9987-0E7A9A4808E3}"/>
            </c:ext>
          </c:extLst>
        </c:ser>
        <c:ser>
          <c:idx val="6"/>
          <c:order val="6"/>
          <c:tx>
            <c:strRef>
              <c:f>LandUse3!$H$2</c:f>
              <c:strCache>
                <c:ptCount val="1"/>
                <c:pt idx="0">
                  <c:v> Area under Pasture </c:v>
                </c:pt>
              </c:strCache>
            </c:strRef>
          </c:tx>
          <c:spPr>
            <a:solidFill>
              <a:schemeClr val="accent1">
                <a:lumMod val="60000"/>
              </a:schemeClr>
            </a:solidFill>
            <a:ln>
              <a:noFill/>
            </a:ln>
            <a:effectLst/>
          </c:spPr>
          <c:invertIfNegative val="0"/>
          <c:cat>
            <c:strRef>
              <c:f>LandUse3!$A$3:$A$28</c:f>
              <c:strCache>
                <c:ptCount val="26"/>
                <c:pt idx="0">
                  <c:v>Dodoma</c:v>
                </c:pt>
                <c:pt idx="1">
                  <c:v>Arusha</c:v>
                </c:pt>
                <c:pt idx="2">
                  <c:v>Kilimanjaro</c:v>
                </c:pt>
                <c:pt idx="3">
                  <c:v>Tanga</c:v>
                </c:pt>
                <c:pt idx="4">
                  <c:v>Morogoro</c:v>
                </c:pt>
                <c:pt idx="5">
                  <c:v>Pwani</c:v>
                </c:pt>
                <c:pt idx="6">
                  <c:v>Dar Es Salaam</c:v>
                </c:pt>
                <c:pt idx="7">
                  <c:v>Lindi</c:v>
                </c:pt>
                <c:pt idx="8">
                  <c:v>Mtwara</c:v>
                </c:pt>
                <c:pt idx="9">
                  <c:v>Ruvuma</c:v>
                </c:pt>
                <c:pt idx="10">
                  <c:v>Iringa</c:v>
                </c:pt>
                <c:pt idx="11">
                  <c:v>Mbeya</c:v>
                </c:pt>
                <c:pt idx="12">
                  <c:v>Singida</c:v>
                </c:pt>
                <c:pt idx="13">
                  <c:v>Tabora</c:v>
                </c:pt>
                <c:pt idx="14">
                  <c:v>Rukwa</c:v>
                </c:pt>
                <c:pt idx="15">
                  <c:v>Kigoma</c:v>
                </c:pt>
                <c:pt idx="16">
                  <c:v>Shinyanga</c:v>
                </c:pt>
                <c:pt idx="17">
                  <c:v>Kagera</c:v>
                </c:pt>
                <c:pt idx="18">
                  <c:v>Mwanza</c:v>
                </c:pt>
                <c:pt idx="19">
                  <c:v>Mara</c:v>
                </c:pt>
                <c:pt idx="20">
                  <c:v>Manyara</c:v>
                </c:pt>
                <c:pt idx="21">
                  <c:v>Njombe</c:v>
                </c:pt>
                <c:pt idx="22">
                  <c:v>Katavi</c:v>
                </c:pt>
                <c:pt idx="23">
                  <c:v>Simiyu</c:v>
                </c:pt>
                <c:pt idx="24">
                  <c:v>Geita</c:v>
                </c:pt>
                <c:pt idx="25">
                  <c:v>Songwe</c:v>
                </c:pt>
              </c:strCache>
            </c:strRef>
          </c:cat>
          <c:val>
            <c:numRef>
              <c:f>LandUse3!$H$3:$H$28</c:f>
              <c:numCache>
                <c:formatCode>_(* #,##0_);_(* \(#,##0\);_(* "-"_);_(@_)</c:formatCode>
                <c:ptCount val="26"/>
                <c:pt idx="0">
                  <c:v>107206.39417239983</c:v>
                </c:pt>
                <c:pt idx="1">
                  <c:v>34341.966815054635</c:v>
                </c:pt>
                <c:pt idx="2">
                  <c:v>9119.3848644273567</c:v>
                </c:pt>
                <c:pt idx="3">
                  <c:v>14178.874949413192</c:v>
                </c:pt>
                <c:pt idx="4">
                  <c:v>15038.445973290165</c:v>
                </c:pt>
                <c:pt idx="5">
                  <c:v>7525.6980979360578</c:v>
                </c:pt>
                <c:pt idx="6">
                  <c:v>7271.1452853095907</c:v>
                </c:pt>
                <c:pt idx="7">
                  <c:v>3011.7361392148928</c:v>
                </c:pt>
                <c:pt idx="8">
                  <c:v>724.80777013354918</c:v>
                </c:pt>
                <c:pt idx="9">
                  <c:v>8962.7681100768914</c:v>
                </c:pt>
                <c:pt idx="10">
                  <c:v>11539.053014973695</c:v>
                </c:pt>
                <c:pt idx="11">
                  <c:v>7967.2197490894368</c:v>
                </c:pt>
                <c:pt idx="12">
                  <c:v>84376.770538243625</c:v>
                </c:pt>
                <c:pt idx="13">
                  <c:v>129439.90287333063</c:v>
                </c:pt>
                <c:pt idx="14">
                  <c:v>32776.608660461352</c:v>
                </c:pt>
                <c:pt idx="15">
                  <c:v>383.24564953460134</c:v>
                </c:pt>
                <c:pt idx="16">
                  <c:v>44556.45487656819</c:v>
                </c:pt>
                <c:pt idx="17">
                  <c:v>48135.167948199109</c:v>
                </c:pt>
                <c:pt idx="18">
                  <c:v>22481.991096721973</c:v>
                </c:pt>
                <c:pt idx="19">
                  <c:v>19571.023876972886</c:v>
                </c:pt>
                <c:pt idx="20">
                  <c:v>55337.110481586402</c:v>
                </c:pt>
                <c:pt idx="21">
                  <c:v>3213.2739781464993</c:v>
                </c:pt>
                <c:pt idx="22">
                  <c:v>14581.54593282072</c:v>
                </c:pt>
                <c:pt idx="23">
                  <c:v>164610.27923917442</c:v>
                </c:pt>
                <c:pt idx="24">
                  <c:v>27321.32739781465</c:v>
                </c:pt>
                <c:pt idx="25">
                  <c:v>3452.4484014568998</c:v>
                </c:pt>
              </c:numCache>
            </c:numRef>
          </c:val>
          <c:extLst>
            <c:ext xmlns:c16="http://schemas.microsoft.com/office/drawing/2014/chart" uri="{C3380CC4-5D6E-409C-BE32-E72D297353CC}">
              <c16:uniqueId val="{00000006-98E6-6545-9987-0E7A9A4808E3}"/>
            </c:ext>
          </c:extLst>
        </c:ser>
        <c:ser>
          <c:idx val="7"/>
          <c:order val="7"/>
          <c:tx>
            <c:strRef>
              <c:f>LandUse3!$I$2</c:f>
              <c:strCache>
                <c:ptCount val="1"/>
                <c:pt idx="0">
                  <c:v> Area under Fallow </c:v>
                </c:pt>
              </c:strCache>
            </c:strRef>
          </c:tx>
          <c:spPr>
            <a:solidFill>
              <a:schemeClr val="accent2">
                <a:lumMod val="60000"/>
              </a:schemeClr>
            </a:solidFill>
            <a:ln>
              <a:noFill/>
            </a:ln>
            <a:effectLst/>
          </c:spPr>
          <c:invertIfNegative val="0"/>
          <c:cat>
            <c:strRef>
              <c:f>LandUse3!$A$3:$A$28</c:f>
              <c:strCache>
                <c:ptCount val="26"/>
                <c:pt idx="0">
                  <c:v>Dodoma</c:v>
                </c:pt>
                <c:pt idx="1">
                  <c:v>Arusha</c:v>
                </c:pt>
                <c:pt idx="2">
                  <c:v>Kilimanjaro</c:v>
                </c:pt>
                <c:pt idx="3">
                  <c:v>Tanga</c:v>
                </c:pt>
                <c:pt idx="4">
                  <c:v>Morogoro</c:v>
                </c:pt>
                <c:pt idx="5">
                  <c:v>Pwani</c:v>
                </c:pt>
                <c:pt idx="6">
                  <c:v>Dar Es Salaam</c:v>
                </c:pt>
                <c:pt idx="7">
                  <c:v>Lindi</c:v>
                </c:pt>
                <c:pt idx="8">
                  <c:v>Mtwara</c:v>
                </c:pt>
                <c:pt idx="9">
                  <c:v>Ruvuma</c:v>
                </c:pt>
                <c:pt idx="10">
                  <c:v>Iringa</c:v>
                </c:pt>
                <c:pt idx="11">
                  <c:v>Mbeya</c:v>
                </c:pt>
                <c:pt idx="12">
                  <c:v>Singida</c:v>
                </c:pt>
                <c:pt idx="13">
                  <c:v>Tabora</c:v>
                </c:pt>
                <c:pt idx="14">
                  <c:v>Rukwa</c:v>
                </c:pt>
                <c:pt idx="15">
                  <c:v>Kigoma</c:v>
                </c:pt>
                <c:pt idx="16">
                  <c:v>Shinyanga</c:v>
                </c:pt>
                <c:pt idx="17">
                  <c:v>Kagera</c:v>
                </c:pt>
                <c:pt idx="18">
                  <c:v>Mwanza</c:v>
                </c:pt>
                <c:pt idx="19">
                  <c:v>Mara</c:v>
                </c:pt>
                <c:pt idx="20">
                  <c:v>Manyara</c:v>
                </c:pt>
                <c:pt idx="21">
                  <c:v>Njombe</c:v>
                </c:pt>
                <c:pt idx="22">
                  <c:v>Katavi</c:v>
                </c:pt>
                <c:pt idx="23">
                  <c:v>Simiyu</c:v>
                </c:pt>
                <c:pt idx="24">
                  <c:v>Geita</c:v>
                </c:pt>
                <c:pt idx="25">
                  <c:v>Songwe</c:v>
                </c:pt>
              </c:strCache>
            </c:strRef>
          </c:cat>
          <c:val>
            <c:numRef>
              <c:f>LandUse3!$I$3:$I$28</c:f>
              <c:numCache>
                <c:formatCode>_(* #,##0_);_(* \(#,##0\);_(* "-"_);_(@_)</c:formatCode>
                <c:ptCount val="26"/>
                <c:pt idx="0">
                  <c:v>172121.00364225009</c:v>
                </c:pt>
                <c:pt idx="1">
                  <c:v>31677.863213273977</c:v>
                </c:pt>
                <c:pt idx="2">
                  <c:v>21426.143261837311</c:v>
                </c:pt>
                <c:pt idx="3">
                  <c:v>112532.57790368272</c:v>
                </c:pt>
                <c:pt idx="4">
                  <c:v>85699.312019425328</c:v>
                </c:pt>
                <c:pt idx="5">
                  <c:v>33488.870902468632</c:v>
                </c:pt>
                <c:pt idx="6">
                  <c:v>32987.859166329421</c:v>
                </c:pt>
                <c:pt idx="7">
                  <c:v>23481.991096721973</c:v>
                </c:pt>
                <c:pt idx="8">
                  <c:v>21362.606232294616</c:v>
                </c:pt>
                <c:pt idx="9">
                  <c:v>200458.51881829218</c:v>
                </c:pt>
                <c:pt idx="10">
                  <c:v>27535.006070416835</c:v>
                </c:pt>
                <c:pt idx="11">
                  <c:v>56289.356535815459</c:v>
                </c:pt>
                <c:pt idx="12">
                  <c:v>18135.572642654795</c:v>
                </c:pt>
                <c:pt idx="13">
                  <c:v>188581.54593282071</c:v>
                </c:pt>
                <c:pt idx="14">
                  <c:v>108481.58640226629</c:v>
                </c:pt>
                <c:pt idx="15">
                  <c:v>109749.49413193039</c:v>
                </c:pt>
                <c:pt idx="16">
                  <c:v>20109.267503035207</c:v>
                </c:pt>
                <c:pt idx="17">
                  <c:v>37535.815459328209</c:v>
                </c:pt>
                <c:pt idx="18">
                  <c:v>25542.290570619181</c:v>
                </c:pt>
                <c:pt idx="19">
                  <c:v>27875.75880210441</c:v>
                </c:pt>
                <c:pt idx="20">
                  <c:v>14268.312424119789</c:v>
                </c:pt>
                <c:pt idx="21">
                  <c:v>57673.816268717113</c:v>
                </c:pt>
                <c:pt idx="22">
                  <c:v>28804.532577903683</c:v>
                </c:pt>
                <c:pt idx="23">
                  <c:v>25343.585592877378</c:v>
                </c:pt>
                <c:pt idx="24">
                  <c:v>33261.027923917442</c:v>
                </c:pt>
                <c:pt idx="25">
                  <c:v>21036.01780655605</c:v>
                </c:pt>
              </c:numCache>
            </c:numRef>
          </c:val>
          <c:extLst>
            <c:ext xmlns:c16="http://schemas.microsoft.com/office/drawing/2014/chart" uri="{C3380CC4-5D6E-409C-BE32-E72D297353CC}">
              <c16:uniqueId val="{00000007-98E6-6545-9987-0E7A9A4808E3}"/>
            </c:ext>
          </c:extLst>
        </c:ser>
        <c:ser>
          <c:idx val="8"/>
          <c:order val="8"/>
          <c:tx>
            <c:strRef>
              <c:f>LandUse3!$J$2</c:f>
              <c:strCache>
                <c:ptCount val="1"/>
                <c:pt idx="0">
                  <c:v> Area under Natural Bush </c:v>
                </c:pt>
              </c:strCache>
            </c:strRef>
          </c:tx>
          <c:spPr>
            <a:solidFill>
              <a:schemeClr val="accent3">
                <a:lumMod val="60000"/>
              </a:schemeClr>
            </a:solidFill>
            <a:ln>
              <a:noFill/>
            </a:ln>
            <a:effectLst/>
          </c:spPr>
          <c:invertIfNegative val="0"/>
          <c:cat>
            <c:strRef>
              <c:f>LandUse3!$A$3:$A$28</c:f>
              <c:strCache>
                <c:ptCount val="26"/>
                <c:pt idx="0">
                  <c:v>Dodoma</c:v>
                </c:pt>
                <c:pt idx="1">
                  <c:v>Arusha</c:v>
                </c:pt>
                <c:pt idx="2">
                  <c:v>Kilimanjaro</c:v>
                </c:pt>
                <c:pt idx="3">
                  <c:v>Tanga</c:v>
                </c:pt>
                <c:pt idx="4">
                  <c:v>Morogoro</c:v>
                </c:pt>
                <c:pt idx="5">
                  <c:v>Pwani</c:v>
                </c:pt>
                <c:pt idx="6">
                  <c:v>Dar Es Salaam</c:v>
                </c:pt>
                <c:pt idx="7">
                  <c:v>Lindi</c:v>
                </c:pt>
                <c:pt idx="8">
                  <c:v>Mtwara</c:v>
                </c:pt>
                <c:pt idx="9">
                  <c:v>Ruvuma</c:v>
                </c:pt>
                <c:pt idx="10">
                  <c:v>Iringa</c:v>
                </c:pt>
                <c:pt idx="11">
                  <c:v>Mbeya</c:v>
                </c:pt>
                <c:pt idx="12">
                  <c:v>Singida</c:v>
                </c:pt>
                <c:pt idx="13">
                  <c:v>Tabora</c:v>
                </c:pt>
                <c:pt idx="14">
                  <c:v>Rukwa</c:v>
                </c:pt>
                <c:pt idx="15">
                  <c:v>Kigoma</c:v>
                </c:pt>
                <c:pt idx="16">
                  <c:v>Shinyanga</c:v>
                </c:pt>
                <c:pt idx="17">
                  <c:v>Kagera</c:v>
                </c:pt>
                <c:pt idx="18">
                  <c:v>Mwanza</c:v>
                </c:pt>
                <c:pt idx="19">
                  <c:v>Mara</c:v>
                </c:pt>
                <c:pt idx="20">
                  <c:v>Manyara</c:v>
                </c:pt>
                <c:pt idx="21">
                  <c:v>Njombe</c:v>
                </c:pt>
                <c:pt idx="22">
                  <c:v>Katavi</c:v>
                </c:pt>
                <c:pt idx="23">
                  <c:v>Simiyu</c:v>
                </c:pt>
                <c:pt idx="24">
                  <c:v>Geita</c:v>
                </c:pt>
                <c:pt idx="25">
                  <c:v>Songwe</c:v>
                </c:pt>
              </c:strCache>
            </c:strRef>
          </c:cat>
          <c:val>
            <c:numRef>
              <c:f>LandUse3!$J$3:$J$28</c:f>
              <c:numCache>
                <c:formatCode>_(* #,##0_);_(* \(#,##0\);_(* "-"_);_(@_)</c:formatCode>
                <c:ptCount val="26"/>
                <c:pt idx="0">
                  <c:v>11670.174018615944</c:v>
                </c:pt>
                <c:pt idx="1">
                  <c:v>2127.8834479967622</c:v>
                </c:pt>
                <c:pt idx="2">
                  <c:v>0</c:v>
                </c:pt>
                <c:pt idx="3">
                  <c:v>13208.417644678268</c:v>
                </c:pt>
                <c:pt idx="4">
                  <c:v>8956.6976932416019</c:v>
                </c:pt>
                <c:pt idx="5">
                  <c:v>5876.163496560097</c:v>
                </c:pt>
                <c:pt idx="6">
                  <c:v>83.367057871307154</c:v>
                </c:pt>
                <c:pt idx="7">
                  <c:v>62.727640631323347</c:v>
                </c:pt>
                <c:pt idx="8">
                  <c:v>34373.937677053822</c:v>
                </c:pt>
                <c:pt idx="9">
                  <c:v>180359.77337110482</c:v>
                </c:pt>
                <c:pt idx="10">
                  <c:v>12103.601780655605</c:v>
                </c:pt>
                <c:pt idx="11">
                  <c:v>49002.832861189803</c:v>
                </c:pt>
                <c:pt idx="12">
                  <c:v>19205.18008903278</c:v>
                </c:pt>
                <c:pt idx="13">
                  <c:v>110210.84581141238</c:v>
                </c:pt>
                <c:pt idx="14">
                  <c:v>23821.934439498178</c:v>
                </c:pt>
                <c:pt idx="15">
                  <c:v>1393.7677053824361</c:v>
                </c:pt>
                <c:pt idx="16">
                  <c:v>7896.3982193443944</c:v>
                </c:pt>
                <c:pt idx="17">
                  <c:v>1779.8462161068392</c:v>
                </c:pt>
                <c:pt idx="18">
                  <c:v>5657.2237960339944</c:v>
                </c:pt>
                <c:pt idx="19">
                  <c:v>5200.728450020235</c:v>
                </c:pt>
                <c:pt idx="20">
                  <c:v>1437.4747065965196</c:v>
                </c:pt>
                <c:pt idx="21">
                  <c:v>16087.818696883853</c:v>
                </c:pt>
                <c:pt idx="22">
                  <c:v>10606.232294617563</c:v>
                </c:pt>
                <c:pt idx="23">
                  <c:v>7558.8830433023068</c:v>
                </c:pt>
                <c:pt idx="24">
                  <c:v>12451.639012545527</c:v>
                </c:pt>
                <c:pt idx="25">
                  <c:v>358.15459328207203</c:v>
                </c:pt>
              </c:numCache>
            </c:numRef>
          </c:val>
          <c:extLst>
            <c:ext xmlns:c16="http://schemas.microsoft.com/office/drawing/2014/chart" uri="{C3380CC4-5D6E-409C-BE32-E72D297353CC}">
              <c16:uniqueId val="{00000008-98E6-6545-9987-0E7A9A4808E3}"/>
            </c:ext>
          </c:extLst>
        </c:ser>
        <c:ser>
          <c:idx val="9"/>
          <c:order val="9"/>
          <c:tx>
            <c:strRef>
              <c:f>LandUse3!$K$2</c:f>
              <c:strCache>
                <c:ptCount val="1"/>
                <c:pt idx="0">
                  <c:v> Area under Planted Trees </c:v>
                </c:pt>
              </c:strCache>
            </c:strRef>
          </c:tx>
          <c:spPr>
            <a:solidFill>
              <a:schemeClr val="accent4">
                <a:lumMod val="60000"/>
              </a:schemeClr>
            </a:solidFill>
            <a:ln>
              <a:noFill/>
            </a:ln>
            <a:effectLst/>
          </c:spPr>
          <c:invertIfNegative val="0"/>
          <c:cat>
            <c:strRef>
              <c:f>LandUse3!$A$3:$A$28</c:f>
              <c:strCache>
                <c:ptCount val="26"/>
                <c:pt idx="0">
                  <c:v>Dodoma</c:v>
                </c:pt>
                <c:pt idx="1">
                  <c:v>Arusha</c:v>
                </c:pt>
                <c:pt idx="2">
                  <c:v>Kilimanjaro</c:v>
                </c:pt>
                <c:pt idx="3">
                  <c:v>Tanga</c:v>
                </c:pt>
                <c:pt idx="4">
                  <c:v>Morogoro</c:v>
                </c:pt>
                <c:pt idx="5">
                  <c:v>Pwani</c:v>
                </c:pt>
                <c:pt idx="6">
                  <c:v>Dar Es Salaam</c:v>
                </c:pt>
                <c:pt idx="7">
                  <c:v>Lindi</c:v>
                </c:pt>
                <c:pt idx="8">
                  <c:v>Mtwara</c:v>
                </c:pt>
                <c:pt idx="9">
                  <c:v>Ruvuma</c:v>
                </c:pt>
                <c:pt idx="10">
                  <c:v>Iringa</c:v>
                </c:pt>
                <c:pt idx="11">
                  <c:v>Mbeya</c:v>
                </c:pt>
                <c:pt idx="12">
                  <c:v>Singida</c:v>
                </c:pt>
                <c:pt idx="13">
                  <c:v>Tabora</c:v>
                </c:pt>
                <c:pt idx="14">
                  <c:v>Rukwa</c:v>
                </c:pt>
                <c:pt idx="15">
                  <c:v>Kigoma</c:v>
                </c:pt>
                <c:pt idx="16">
                  <c:v>Shinyanga</c:v>
                </c:pt>
                <c:pt idx="17">
                  <c:v>Kagera</c:v>
                </c:pt>
                <c:pt idx="18">
                  <c:v>Mwanza</c:v>
                </c:pt>
                <c:pt idx="19">
                  <c:v>Mara</c:v>
                </c:pt>
                <c:pt idx="20">
                  <c:v>Manyara</c:v>
                </c:pt>
                <c:pt idx="21">
                  <c:v>Njombe</c:v>
                </c:pt>
                <c:pt idx="22">
                  <c:v>Katavi</c:v>
                </c:pt>
                <c:pt idx="23">
                  <c:v>Simiyu</c:v>
                </c:pt>
                <c:pt idx="24">
                  <c:v>Geita</c:v>
                </c:pt>
                <c:pt idx="25">
                  <c:v>Songwe</c:v>
                </c:pt>
              </c:strCache>
            </c:strRef>
          </c:cat>
          <c:val>
            <c:numRef>
              <c:f>LandUse3!$K$3:$K$28</c:f>
              <c:numCache>
                <c:formatCode>_(* #,##0_);_(* \(#,##0\);_(* "-"_);_(@_)</c:formatCode>
                <c:ptCount val="26"/>
                <c:pt idx="0">
                  <c:v>4196.2768110076895</c:v>
                </c:pt>
                <c:pt idx="1">
                  <c:v>1014.9736948603804</c:v>
                </c:pt>
                <c:pt idx="2">
                  <c:v>1798.4621610683932</c:v>
                </c:pt>
                <c:pt idx="3">
                  <c:v>4239.1744233104009</c:v>
                </c:pt>
                <c:pt idx="4">
                  <c:v>6783.8931606636988</c:v>
                </c:pt>
                <c:pt idx="5">
                  <c:v>3794.0105220558476</c:v>
                </c:pt>
                <c:pt idx="6">
                  <c:v>24518.41359773371</c:v>
                </c:pt>
                <c:pt idx="8">
                  <c:v>2183.3265884257385</c:v>
                </c:pt>
                <c:pt idx="9">
                  <c:v>30583.974099554835</c:v>
                </c:pt>
                <c:pt idx="10">
                  <c:v>47810.602994738969</c:v>
                </c:pt>
                <c:pt idx="11">
                  <c:v>12671.388101983002</c:v>
                </c:pt>
                <c:pt idx="12">
                  <c:v>1962.3634156212058</c:v>
                </c:pt>
                <c:pt idx="13">
                  <c:v>4294.2128692836905</c:v>
                </c:pt>
                <c:pt idx="14">
                  <c:v>6178.4702549575068</c:v>
                </c:pt>
                <c:pt idx="15">
                  <c:v>13782.67907729664</c:v>
                </c:pt>
                <c:pt idx="16">
                  <c:v>1170.3763658437879</c:v>
                </c:pt>
                <c:pt idx="17">
                  <c:v>21919.061108862807</c:v>
                </c:pt>
                <c:pt idx="18">
                  <c:v>8169.5669769324159</c:v>
                </c:pt>
                <c:pt idx="19">
                  <c:v>2093.4844192634559</c:v>
                </c:pt>
                <c:pt idx="20">
                  <c:v>2424.119789558883</c:v>
                </c:pt>
                <c:pt idx="21">
                  <c:v>43704.977741804934</c:v>
                </c:pt>
                <c:pt idx="22">
                  <c:v>1694.8603804127883</c:v>
                </c:pt>
                <c:pt idx="23">
                  <c:v>2021.0441116956697</c:v>
                </c:pt>
                <c:pt idx="24">
                  <c:v>4725.6171590449212</c:v>
                </c:pt>
                <c:pt idx="25">
                  <c:v>4032.7802509105622</c:v>
                </c:pt>
              </c:numCache>
            </c:numRef>
          </c:val>
          <c:extLst>
            <c:ext xmlns:c16="http://schemas.microsoft.com/office/drawing/2014/chart" uri="{C3380CC4-5D6E-409C-BE32-E72D297353CC}">
              <c16:uniqueId val="{00000009-98E6-6545-9987-0E7A9A4808E3}"/>
            </c:ext>
          </c:extLst>
        </c:ser>
        <c:ser>
          <c:idx val="10"/>
          <c:order val="10"/>
          <c:tx>
            <c:strRef>
              <c:f>LandUse3!$L$2</c:f>
              <c:strCache>
                <c:ptCount val="1"/>
                <c:pt idx="0">
                  <c:v> Area Rented to Others </c:v>
                </c:pt>
              </c:strCache>
            </c:strRef>
          </c:tx>
          <c:spPr>
            <a:solidFill>
              <a:schemeClr val="accent5">
                <a:lumMod val="60000"/>
              </a:schemeClr>
            </a:solidFill>
            <a:ln>
              <a:noFill/>
            </a:ln>
            <a:effectLst/>
          </c:spPr>
          <c:invertIfNegative val="0"/>
          <c:cat>
            <c:strRef>
              <c:f>LandUse3!$A$3:$A$28</c:f>
              <c:strCache>
                <c:ptCount val="26"/>
                <c:pt idx="0">
                  <c:v>Dodoma</c:v>
                </c:pt>
                <c:pt idx="1">
                  <c:v>Arusha</c:v>
                </c:pt>
                <c:pt idx="2">
                  <c:v>Kilimanjaro</c:v>
                </c:pt>
                <c:pt idx="3">
                  <c:v>Tanga</c:v>
                </c:pt>
                <c:pt idx="4">
                  <c:v>Morogoro</c:v>
                </c:pt>
                <c:pt idx="5">
                  <c:v>Pwani</c:v>
                </c:pt>
                <c:pt idx="6">
                  <c:v>Dar Es Salaam</c:v>
                </c:pt>
                <c:pt idx="7">
                  <c:v>Lindi</c:v>
                </c:pt>
                <c:pt idx="8">
                  <c:v>Mtwara</c:v>
                </c:pt>
                <c:pt idx="9">
                  <c:v>Ruvuma</c:v>
                </c:pt>
                <c:pt idx="10">
                  <c:v>Iringa</c:v>
                </c:pt>
                <c:pt idx="11">
                  <c:v>Mbeya</c:v>
                </c:pt>
                <c:pt idx="12">
                  <c:v>Singida</c:v>
                </c:pt>
                <c:pt idx="13">
                  <c:v>Tabora</c:v>
                </c:pt>
                <c:pt idx="14">
                  <c:v>Rukwa</c:v>
                </c:pt>
                <c:pt idx="15">
                  <c:v>Kigoma</c:v>
                </c:pt>
                <c:pt idx="16">
                  <c:v>Shinyanga</c:v>
                </c:pt>
                <c:pt idx="17">
                  <c:v>Kagera</c:v>
                </c:pt>
                <c:pt idx="18">
                  <c:v>Mwanza</c:v>
                </c:pt>
                <c:pt idx="19">
                  <c:v>Mara</c:v>
                </c:pt>
                <c:pt idx="20">
                  <c:v>Manyara</c:v>
                </c:pt>
                <c:pt idx="21">
                  <c:v>Njombe</c:v>
                </c:pt>
                <c:pt idx="22">
                  <c:v>Katavi</c:v>
                </c:pt>
                <c:pt idx="23">
                  <c:v>Simiyu</c:v>
                </c:pt>
                <c:pt idx="24">
                  <c:v>Geita</c:v>
                </c:pt>
                <c:pt idx="25">
                  <c:v>Songwe</c:v>
                </c:pt>
              </c:strCache>
            </c:strRef>
          </c:cat>
          <c:val>
            <c:numRef>
              <c:f>LandUse3!$L$3:$L$28</c:f>
              <c:numCache>
                <c:formatCode>_(* #,##0_);_(* \(#,##0\);_(* "-"_);_(@_)</c:formatCode>
                <c:ptCount val="26"/>
                <c:pt idx="0">
                  <c:v>91538.243626062322</c:v>
                </c:pt>
                <c:pt idx="1">
                  <c:v>6171.5904492108457</c:v>
                </c:pt>
                <c:pt idx="2">
                  <c:v>2994.3342776203963</c:v>
                </c:pt>
                <c:pt idx="3">
                  <c:v>2063.5370295426951</c:v>
                </c:pt>
                <c:pt idx="4">
                  <c:v>65641.440712262236</c:v>
                </c:pt>
                <c:pt idx="5">
                  <c:v>4574.6661270740587</c:v>
                </c:pt>
                <c:pt idx="6">
                  <c:v>783.48846620801294</c:v>
                </c:pt>
                <c:pt idx="7">
                  <c:v>1856.7381626871711</c:v>
                </c:pt>
                <c:pt idx="8">
                  <c:v>8154.1885876163497</c:v>
                </c:pt>
                <c:pt idx="9">
                  <c:v>13105.625252934035</c:v>
                </c:pt>
                <c:pt idx="10">
                  <c:v>18202.751922298663</c:v>
                </c:pt>
                <c:pt idx="11">
                  <c:v>13906.515580736543</c:v>
                </c:pt>
                <c:pt idx="12">
                  <c:v>8586.8069607446378</c:v>
                </c:pt>
                <c:pt idx="13">
                  <c:v>20210.441116956696</c:v>
                </c:pt>
                <c:pt idx="14">
                  <c:v>18551.193848644274</c:v>
                </c:pt>
                <c:pt idx="15">
                  <c:v>4283.2861189801697</c:v>
                </c:pt>
                <c:pt idx="16">
                  <c:v>10260.623229461757</c:v>
                </c:pt>
                <c:pt idx="17">
                  <c:v>8978.9558883043301</c:v>
                </c:pt>
                <c:pt idx="18">
                  <c:v>8710.6434641845408</c:v>
                </c:pt>
                <c:pt idx="19">
                  <c:v>4251.315256980979</c:v>
                </c:pt>
                <c:pt idx="20">
                  <c:v>35008.903278025093</c:v>
                </c:pt>
                <c:pt idx="21">
                  <c:v>3287.7377579927152</c:v>
                </c:pt>
                <c:pt idx="22">
                  <c:v>7391.3395386483198</c:v>
                </c:pt>
                <c:pt idx="23">
                  <c:v>10565.762849048968</c:v>
                </c:pt>
                <c:pt idx="24">
                  <c:v>10961.554026709833</c:v>
                </c:pt>
                <c:pt idx="25">
                  <c:v>6556.0501821125044</c:v>
                </c:pt>
              </c:numCache>
            </c:numRef>
          </c:val>
          <c:extLst>
            <c:ext xmlns:c16="http://schemas.microsoft.com/office/drawing/2014/chart" uri="{C3380CC4-5D6E-409C-BE32-E72D297353CC}">
              <c16:uniqueId val="{0000000A-98E6-6545-9987-0E7A9A4808E3}"/>
            </c:ext>
          </c:extLst>
        </c:ser>
        <c:ser>
          <c:idx val="11"/>
          <c:order val="11"/>
          <c:tx>
            <c:strRef>
              <c:f>LandUse3!$M$2</c:f>
              <c:strCache>
                <c:ptCount val="1"/>
                <c:pt idx="0">
                  <c:v> Area Unusable </c:v>
                </c:pt>
              </c:strCache>
            </c:strRef>
          </c:tx>
          <c:spPr>
            <a:solidFill>
              <a:schemeClr val="accent6">
                <a:lumMod val="60000"/>
              </a:schemeClr>
            </a:solidFill>
            <a:ln>
              <a:noFill/>
            </a:ln>
            <a:effectLst/>
          </c:spPr>
          <c:invertIfNegative val="0"/>
          <c:cat>
            <c:strRef>
              <c:f>LandUse3!$A$3:$A$28</c:f>
              <c:strCache>
                <c:ptCount val="26"/>
                <c:pt idx="0">
                  <c:v>Dodoma</c:v>
                </c:pt>
                <c:pt idx="1">
                  <c:v>Arusha</c:v>
                </c:pt>
                <c:pt idx="2">
                  <c:v>Kilimanjaro</c:v>
                </c:pt>
                <c:pt idx="3">
                  <c:v>Tanga</c:v>
                </c:pt>
                <c:pt idx="4">
                  <c:v>Morogoro</c:v>
                </c:pt>
                <c:pt idx="5">
                  <c:v>Pwani</c:v>
                </c:pt>
                <c:pt idx="6">
                  <c:v>Dar Es Salaam</c:v>
                </c:pt>
                <c:pt idx="7">
                  <c:v>Lindi</c:v>
                </c:pt>
                <c:pt idx="8">
                  <c:v>Mtwara</c:v>
                </c:pt>
                <c:pt idx="9">
                  <c:v>Ruvuma</c:v>
                </c:pt>
                <c:pt idx="10">
                  <c:v>Iringa</c:v>
                </c:pt>
                <c:pt idx="11">
                  <c:v>Mbeya</c:v>
                </c:pt>
                <c:pt idx="12">
                  <c:v>Singida</c:v>
                </c:pt>
                <c:pt idx="13">
                  <c:v>Tabora</c:v>
                </c:pt>
                <c:pt idx="14">
                  <c:v>Rukwa</c:v>
                </c:pt>
                <c:pt idx="15">
                  <c:v>Kigoma</c:v>
                </c:pt>
                <c:pt idx="16">
                  <c:v>Shinyanga</c:v>
                </c:pt>
                <c:pt idx="17">
                  <c:v>Kagera</c:v>
                </c:pt>
                <c:pt idx="18">
                  <c:v>Mwanza</c:v>
                </c:pt>
                <c:pt idx="19">
                  <c:v>Mara</c:v>
                </c:pt>
                <c:pt idx="20">
                  <c:v>Manyara</c:v>
                </c:pt>
                <c:pt idx="21">
                  <c:v>Njombe</c:v>
                </c:pt>
                <c:pt idx="22">
                  <c:v>Katavi</c:v>
                </c:pt>
                <c:pt idx="23">
                  <c:v>Simiyu</c:v>
                </c:pt>
                <c:pt idx="24">
                  <c:v>Geita</c:v>
                </c:pt>
                <c:pt idx="25">
                  <c:v>Songwe</c:v>
                </c:pt>
              </c:strCache>
            </c:strRef>
          </c:cat>
          <c:val>
            <c:numRef>
              <c:f>LandUse3!$M$3:$M$28</c:f>
              <c:numCache>
                <c:formatCode>_(* #,##0_);_(* \(#,##0\);_(* "-"_);_(@_)</c:formatCode>
                <c:ptCount val="26"/>
                <c:pt idx="0">
                  <c:v>23173.209227033589</c:v>
                </c:pt>
                <c:pt idx="1">
                  <c:v>6119.7895588830434</c:v>
                </c:pt>
                <c:pt idx="2">
                  <c:v>435.4512343180898</c:v>
                </c:pt>
                <c:pt idx="3">
                  <c:v>1201.1331444759207</c:v>
                </c:pt>
                <c:pt idx="4">
                  <c:v>10396.600566572237</c:v>
                </c:pt>
                <c:pt idx="5">
                  <c:v>2150.5463375151758</c:v>
                </c:pt>
                <c:pt idx="6">
                  <c:v>2835.6940509915012</c:v>
                </c:pt>
                <c:pt idx="7">
                  <c:v>189.80169971671387</c:v>
                </c:pt>
                <c:pt idx="8">
                  <c:v>335.89639821934441</c:v>
                </c:pt>
                <c:pt idx="9">
                  <c:v>15831.242411978956</c:v>
                </c:pt>
                <c:pt idx="10">
                  <c:v>10259.813840550383</c:v>
                </c:pt>
                <c:pt idx="11">
                  <c:v>5995.5483609874545</c:v>
                </c:pt>
                <c:pt idx="12">
                  <c:v>9844.597329016593</c:v>
                </c:pt>
                <c:pt idx="13">
                  <c:v>27114.93322541481</c:v>
                </c:pt>
                <c:pt idx="14">
                  <c:v>6654.3909348441921</c:v>
                </c:pt>
                <c:pt idx="15">
                  <c:v>1747.0659651962767</c:v>
                </c:pt>
                <c:pt idx="16">
                  <c:v>3083.771752326993</c:v>
                </c:pt>
                <c:pt idx="17">
                  <c:v>5428.5714285714284</c:v>
                </c:pt>
                <c:pt idx="18">
                  <c:v>2885.8761634965599</c:v>
                </c:pt>
                <c:pt idx="19">
                  <c:v>5123.836503439903</c:v>
                </c:pt>
                <c:pt idx="20">
                  <c:v>15354.512343180897</c:v>
                </c:pt>
                <c:pt idx="21">
                  <c:v>295.83164710643462</c:v>
                </c:pt>
                <c:pt idx="22">
                  <c:v>2183.7312828814242</c:v>
                </c:pt>
                <c:pt idx="23">
                  <c:v>8546.7422096317277</c:v>
                </c:pt>
                <c:pt idx="24">
                  <c:v>2231.8899231080532</c:v>
                </c:pt>
                <c:pt idx="25">
                  <c:v>707.00121408336702</c:v>
                </c:pt>
              </c:numCache>
            </c:numRef>
          </c:val>
          <c:extLst>
            <c:ext xmlns:c16="http://schemas.microsoft.com/office/drawing/2014/chart" uri="{C3380CC4-5D6E-409C-BE32-E72D297353CC}">
              <c16:uniqueId val="{0000000B-98E6-6545-9987-0E7A9A4808E3}"/>
            </c:ext>
          </c:extLst>
        </c:ser>
        <c:ser>
          <c:idx val="12"/>
          <c:order val="12"/>
          <c:tx>
            <c:strRef>
              <c:f>LandUse3!$N$2</c:f>
              <c:strCache>
                <c:ptCount val="1"/>
                <c:pt idx="0">
                  <c:v> Area of Uncultivated Usable Land(excluding fallow) </c:v>
                </c:pt>
              </c:strCache>
            </c:strRef>
          </c:tx>
          <c:spPr>
            <a:solidFill>
              <a:schemeClr val="accent1">
                <a:lumMod val="80000"/>
                <a:lumOff val="20000"/>
              </a:schemeClr>
            </a:solidFill>
            <a:ln>
              <a:noFill/>
            </a:ln>
            <a:effectLst/>
          </c:spPr>
          <c:invertIfNegative val="0"/>
          <c:cat>
            <c:strRef>
              <c:f>LandUse3!$A$3:$A$28</c:f>
              <c:strCache>
                <c:ptCount val="26"/>
                <c:pt idx="0">
                  <c:v>Dodoma</c:v>
                </c:pt>
                <c:pt idx="1">
                  <c:v>Arusha</c:v>
                </c:pt>
                <c:pt idx="2">
                  <c:v>Kilimanjaro</c:v>
                </c:pt>
                <c:pt idx="3">
                  <c:v>Tanga</c:v>
                </c:pt>
                <c:pt idx="4">
                  <c:v>Morogoro</c:v>
                </c:pt>
                <c:pt idx="5">
                  <c:v>Pwani</c:v>
                </c:pt>
                <c:pt idx="6">
                  <c:v>Dar Es Salaam</c:v>
                </c:pt>
                <c:pt idx="7">
                  <c:v>Lindi</c:v>
                </c:pt>
                <c:pt idx="8">
                  <c:v>Mtwara</c:v>
                </c:pt>
                <c:pt idx="9">
                  <c:v>Ruvuma</c:v>
                </c:pt>
                <c:pt idx="10">
                  <c:v>Iringa</c:v>
                </c:pt>
                <c:pt idx="11">
                  <c:v>Mbeya</c:v>
                </c:pt>
                <c:pt idx="12">
                  <c:v>Singida</c:v>
                </c:pt>
                <c:pt idx="13">
                  <c:v>Tabora</c:v>
                </c:pt>
                <c:pt idx="14">
                  <c:v>Rukwa</c:v>
                </c:pt>
                <c:pt idx="15">
                  <c:v>Kigoma</c:v>
                </c:pt>
                <c:pt idx="16">
                  <c:v>Shinyanga</c:v>
                </c:pt>
                <c:pt idx="17">
                  <c:v>Kagera</c:v>
                </c:pt>
                <c:pt idx="18">
                  <c:v>Mwanza</c:v>
                </c:pt>
                <c:pt idx="19">
                  <c:v>Mara</c:v>
                </c:pt>
                <c:pt idx="20">
                  <c:v>Manyara</c:v>
                </c:pt>
                <c:pt idx="21">
                  <c:v>Njombe</c:v>
                </c:pt>
                <c:pt idx="22">
                  <c:v>Katavi</c:v>
                </c:pt>
                <c:pt idx="23">
                  <c:v>Simiyu</c:v>
                </c:pt>
                <c:pt idx="24">
                  <c:v>Geita</c:v>
                </c:pt>
                <c:pt idx="25">
                  <c:v>Songwe</c:v>
                </c:pt>
              </c:strCache>
            </c:strRef>
          </c:cat>
          <c:val>
            <c:numRef>
              <c:f>LandUse3!$N$3:$N$28</c:f>
              <c:numCache>
                <c:formatCode>_(* #,##0_);_(* \(#,##0\);_(* "-"_);_(@_)</c:formatCode>
                <c:ptCount val="26"/>
                <c:pt idx="0">
                  <c:v>121476.73006879806</c:v>
                </c:pt>
                <c:pt idx="1">
                  <c:v>18509.510319708621</c:v>
                </c:pt>
                <c:pt idx="2">
                  <c:v>2542.2905706191823</c:v>
                </c:pt>
                <c:pt idx="3">
                  <c:v>134955.48360987453</c:v>
                </c:pt>
                <c:pt idx="4">
                  <c:v>120069.60744637798</c:v>
                </c:pt>
                <c:pt idx="5">
                  <c:v>128636.58437879401</c:v>
                </c:pt>
                <c:pt idx="6">
                  <c:v>16936.867664912988</c:v>
                </c:pt>
                <c:pt idx="7">
                  <c:v>21843.78794010522</c:v>
                </c:pt>
                <c:pt idx="8">
                  <c:v>36043.707001214083</c:v>
                </c:pt>
                <c:pt idx="9">
                  <c:v>100546.74220963173</c:v>
                </c:pt>
                <c:pt idx="10">
                  <c:v>40563.739376770536</c:v>
                </c:pt>
                <c:pt idx="11">
                  <c:v>64932.820720356132</c:v>
                </c:pt>
                <c:pt idx="12">
                  <c:v>84075.677863213277</c:v>
                </c:pt>
                <c:pt idx="13">
                  <c:v>84679.48199109672</c:v>
                </c:pt>
                <c:pt idx="14">
                  <c:v>28268.312424119787</c:v>
                </c:pt>
                <c:pt idx="15">
                  <c:v>57303.925536220151</c:v>
                </c:pt>
                <c:pt idx="16">
                  <c:v>18506.272764063131</c:v>
                </c:pt>
                <c:pt idx="17">
                  <c:v>15301.497369486038</c:v>
                </c:pt>
                <c:pt idx="18">
                  <c:v>10418.45406717928</c:v>
                </c:pt>
                <c:pt idx="19">
                  <c:v>17773.371104815862</c:v>
                </c:pt>
                <c:pt idx="20">
                  <c:v>20797.65277215702</c:v>
                </c:pt>
                <c:pt idx="21">
                  <c:v>6374.7470659651963</c:v>
                </c:pt>
                <c:pt idx="22">
                  <c:v>20350.060704168351</c:v>
                </c:pt>
                <c:pt idx="23">
                  <c:v>14112.100364225009</c:v>
                </c:pt>
                <c:pt idx="24">
                  <c:v>13357.3452043707</c:v>
                </c:pt>
                <c:pt idx="25">
                  <c:v>15339.538648320517</c:v>
                </c:pt>
              </c:numCache>
            </c:numRef>
          </c:val>
          <c:extLst>
            <c:ext xmlns:c16="http://schemas.microsoft.com/office/drawing/2014/chart" uri="{C3380CC4-5D6E-409C-BE32-E72D297353CC}">
              <c16:uniqueId val="{0000000C-98E6-6545-9987-0E7A9A4808E3}"/>
            </c:ext>
          </c:extLst>
        </c:ser>
        <c:dLbls>
          <c:showLegendKey val="0"/>
          <c:showVal val="0"/>
          <c:showCatName val="0"/>
          <c:showSerName val="0"/>
          <c:showPercent val="0"/>
          <c:showBubbleSize val="0"/>
        </c:dLbls>
        <c:gapWidth val="75"/>
        <c:overlap val="100"/>
        <c:axId val="94959104"/>
        <c:axId val="94961024"/>
      </c:barChart>
      <c:catAx>
        <c:axId val="94959104"/>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800"/>
                  <a:t>Region</a:t>
                </a:r>
              </a:p>
            </c:rich>
          </c:tx>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ysClr val="windowText" lastClr="000000">
                <a:lumMod val="65000"/>
                <a:lumOff val="35000"/>
              </a:sysClr>
            </a:solidFill>
            <a:round/>
          </a:ln>
          <a:effectLst/>
        </c:spPr>
        <c:txPr>
          <a:bodyPr rot="-5400000" spcFirstLastPara="1" vertOverflow="ellipsis"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94961024"/>
        <c:crosses val="autoZero"/>
        <c:auto val="1"/>
        <c:lblAlgn val="ctr"/>
        <c:lblOffset val="100"/>
        <c:noMultiLvlLbl val="0"/>
      </c:catAx>
      <c:valAx>
        <c:axId val="94961024"/>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800"/>
                  <a:t>Land Utilized (Ha) </a:t>
                </a:r>
              </a:p>
            </c:rich>
          </c:tx>
          <c:layout>
            <c:manualLayout>
              <c:xMode val="edge"/>
              <c:yMode val="edge"/>
              <c:x val="1.2502604709314441E-2"/>
              <c:y val="0.21861292427715467"/>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_(* #,##0_);_(* \(#,##0\);_(* &quot;-&quot;_);_(@_)" sourceLinked="1"/>
        <c:majorTickMark val="out"/>
        <c:minorTickMark val="none"/>
        <c:tickLblPos val="nextTo"/>
        <c:spPr>
          <a:noFill/>
          <a:ln>
            <a:solidFill>
              <a:sysClr val="windowText" lastClr="000000">
                <a:lumMod val="65000"/>
                <a:lumOff val="35000"/>
              </a:sysClr>
            </a:solidFill>
          </a:ln>
          <a:effectLst/>
        </c:spPr>
        <c:txPr>
          <a:bodyPr rot="-6000000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94959104"/>
        <c:crosses val="autoZero"/>
        <c:crossBetween val="between"/>
        <c:majorUnit val="400000"/>
      </c:valAx>
      <c:spPr>
        <a:noFill/>
        <a:ln>
          <a:noFill/>
        </a:ln>
        <a:effectLst/>
      </c:spPr>
    </c:plotArea>
    <c:legend>
      <c:legendPos val="tr"/>
      <c:layout>
        <c:manualLayout>
          <c:xMode val="edge"/>
          <c:yMode val="edge"/>
          <c:x val="0.69426143569936649"/>
          <c:y val="1.6736059577206728E-2"/>
          <c:w val="0.28466172718367161"/>
          <c:h val="0.90753416561044964"/>
        </c:manualLayout>
      </c:layout>
      <c:overlay val="0"/>
      <c:spPr>
        <a:noFill/>
        <a:ln>
          <a:noFill/>
        </a:ln>
        <a:effectLst/>
      </c:spPr>
      <c:txPr>
        <a:bodyPr rot="0" spcFirstLastPara="1" vertOverflow="ellipsis" vert="horz" wrap="square" anchor="ctr" anchorCtr="1"/>
        <a:lstStyle/>
        <a:p>
          <a:pPr>
            <a:defRPr sz="850" b="0" i="0" u="none" strike="noStrike" kern="1200" baseline="-2500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lumMod val="50000"/>
          <a:lumOff val="50000"/>
        </a:sys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1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925213357764244"/>
          <c:y val="5.0925925925925923E-2"/>
          <c:w val="0.83881914524835344"/>
          <c:h val="0.61937445319335083"/>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'SECTION 24_New'!$I$3:$I$28</c:f>
              <c:strCache>
                <c:ptCount val="26"/>
                <c:pt idx="0">
                  <c:v> Mbeya </c:v>
                </c:pt>
                <c:pt idx="1">
                  <c:v> Dar-es-salaam </c:v>
                </c:pt>
                <c:pt idx="2">
                  <c:v> Songwe </c:v>
                </c:pt>
                <c:pt idx="3">
                  <c:v> Kilimanjaro </c:v>
                </c:pt>
                <c:pt idx="4">
                  <c:v> Kagera </c:v>
                </c:pt>
                <c:pt idx="5">
                  <c:v> Tanga </c:v>
                </c:pt>
                <c:pt idx="6">
                  <c:v> Arusha </c:v>
                </c:pt>
                <c:pt idx="7">
                  <c:v> Rukwa </c:v>
                </c:pt>
                <c:pt idx="8">
                  <c:v> Ruvuma </c:v>
                </c:pt>
                <c:pt idx="9">
                  <c:v> Dodoma </c:v>
                </c:pt>
                <c:pt idx="10">
                  <c:v> Tabora </c:v>
                </c:pt>
                <c:pt idx="11">
                  <c:v> Mwanza </c:v>
                </c:pt>
                <c:pt idx="12">
                  <c:v> Simiyu </c:v>
                </c:pt>
                <c:pt idx="13">
                  <c:v> Njombe </c:v>
                </c:pt>
                <c:pt idx="14">
                  <c:v> Kigoma </c:v>
                </c:pt>
                <c:pt idx="15">
                  <c:v> Morogoro </c:v>
                </c:pt>
                <c:pt idx="16">
                  <c:v> Singida </c:v>
                </c:pt>
                <c:pt idx="17">
                  <c:v> Shinyanga </c:v>
                </c:pt>
                <c:pt idx="18">
                  <c:v> Geita </c:v>
                </c:pt>
                <c:pt idx="19">
                  <c:v> Iringa </c:v>
                </c:pt>
                <c:pt idx="20">
                  <c:v> Manyara </c:v>
                </c:pt>
                <c:pt idx="21">
                  <c:v> Mara </c:v>
                </c:pt>
                <c:pt idx="22">
                  <c:v> Pwani </c:v>
                </c:pt>
                <c:pt idx="23">
                  <c:v> Mtwara </c:v>
                </c:pt>
                <c:pt idx="24">
                  <c:v> Lindi </c:v>
                </c:pt>
                <c:pt idx="25">
                  <c:v> Katavi </c:v>
                </c:pt>
              </c:strCache>
            </c:strRef>
          </c:cat>
          <c:val>
            <c:numRef>
              <c:f>'SECTION 24_New'!$J$3:$J$28</c:f>
              <c:numCache>
                <c:formatCode>_-* #,##0.0_-;\-* #,##0.0_-;_-* "-"??_-;_-@_-</c:formatCode>
                <c:ptCount val="26"/>
                <c:pt idx="0">
                  <c:v>9.5393244187900361</c:v>
                </c:pt>
                <c:pt idx="1">
                  <c:v>8.8243349862439135</c:v>
                </c:pt>
                <c:pt idx="2">
                  <c:v>7.0566881558668788</c:v>
                </c:pt>
                <c:pt idx="3">
                  <c:v>6.7938304056512369</c:v>
                </c:pt>
                <c:pt idx="4">
                  <c:v>6.6405307846079005</c:v>
                </c:pt>
                <c:pt idx="5">
                  <c:v>6.2648445133043626</c:v>
                </c:pt>
                <c:pt idx="6">
                  <c:v>4.9276630188170172</c:v>
                </c:pt>
                <c:pt idx="7">
                  <c:v>4.8430416280010951</c:v>
                </c:pt>
                <c:pt idx="8">
                  <c:v>4.3958155335440008</c:v>
                </c:pt>
                <c:pt idx="9">
                  <c:v>4.3692435992298222</c:v>
                </c:pt>
                <c:pt idx="10">
                  <c:v>4.0851283015628388</c:v>
                </c:pt>
                <c:pt idx="11">
                  <c:v>3.5814879465617961</c:v>
                </c:pt>
                <c:pt idx="12">
                  <c:v>2.9592958846205732</c:v>
                </c:pt>
                <c:pt idx="13">
                  <c:v>2.8746744938046511</c:v>
                </c:pt>
                <c:pt idx="14">
                  <c:v>2.782694721178649</c:v>
                </c:pt>
                <c:pt idx="15">
                  <c:v>2.7561227868644709</c:v>
                </c:pt>
                <c:pt idx="16">
                  <c:v>2.5701192466652221</c:v>
                </c:pt>
                <c:pt idx="17">
                  <c:v>2.3371038226793504</c:v>
                </c:pt>
                <c:pt idx="18">
                  <c:v>2.3158462752280076</c:v>
                </c:pt>
                <c:pt idx="19">
                  <c:v>2.2892743409138294</c:v>
                </c:pt>
                <c:pt idx="20">
                  <c:v>2.1907537844566449</c:v>
                </c:pt>
                <c:pt idx="21">
                  <c:v>1.8273314828365743</c:v>
                </c:pt>
                <c:pt idx="22">
                  <c:v>1.6356047567850411</c:v>
                </c:pt>
                <c:pt idx="23">
                  <c:v>1.3964573479574358</c:v>
                </c:pt>
                <c:pt idx="24">
                  <c:v>0.39530862279708445</c:v>
                </c:pt>
                <c:pt idx="25">
                  <c:v>0.34747914103156335</c:v>
                </c:pt>
              </c:numCache>
            </c:numRef>
          </c:val>
          <c:extLst>
            <c:ext xmlns:c16="http://schemas.microsoft.com/office/drawing/2014/chart" uri="{C3380CC4-5D6E-409C-BE32-E72D297353CC}">
              <c16:uniqueId val="{00000000-5176-9E40-ACA9-4D01E39B4DBA}"/>
            </c:ext>
          </c:extLst>
        </c:ser>
        <c:dLbls>
          <c:showLegendKey val="0"/>
          <c:showVal val="0"/>
          <c:showCatName val="0"/>
          <c:showSerName val="0"/>
          <c:showPercent val="0"/>
          <c:showBubbleSize val="0"/>
        </c:dLbls>
        <c:gapWidth val="219"/>
        <c:overlap val="-27"/>
        <c:axId val="128779392"/>
        <c:axId val="128781312"/>
      </c:barChart>
      <c:catAx>
        <c:axId val="128779392"/>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Region</a:t>
                </a:r>
              </a:p>
            </c:rich>
          </c:tx>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chemeClr val="tx1">
                <a:lumMod val="50000"/>
                <a:lumOff val="50000"/>
              </a:schemeClr>
            </a:solidFill>
            <a:round/>
          </a:ln>
          <a:effectLst/>
        </c:spPr>
        <c:txPr>
          <a:bodyPr rot="-5400000" spcFirstLastPara="1" vertOverflow="ellipsis"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28781312"/>
        <c:crosses val="autoZero"/>
        <c:auto val="1"/>
        <c:lblAlgn val="ctr"/>
        <c:lblOffset val="100"/>
        <c:noMultiLvlLbl val="0"/>
      </c:catAx>
      <c:valAx>
        <c:axId val="128781312"/>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Percent</a:t>
                </a:r>
              </a:p>
            </c:rich>
          </c:tx>
          <c:layout>
            <c:manualLayout>
              <c:xMode val="edge"/>
              <c:yMode val="edge"/>
              <c:x val="5.23642116952883E-2"/>
              <c:y val="0.30283093082374879"/>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a:solidFill>
              <a:schemeClr val="tx1">
                <a:lumMod val="50000"/>
                <a:lumOff val="50000"/>
              </a:schemeClr>
            </a:solid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2877939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1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139499034963362"/>
          <c:y val="5.0926061396041708E-2"/>
          <c:w val="0.71815678002288763"/>
          <c:h val="0.73170794954430696"/>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6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'SECTION 24_New'!$I$30:$I$34</c:f>
              <c:strCache>
                <c:ptCount val="5"/>
                <c:pt idx="0">
                  <c:v> Kusini Pemba </c:v>
                </c:pt>
                <c:pt idx="1">
                  <c:v> Kaskazini Pemba </c:v>
                </c:pt>
                <c:pt idx="2">
                  <c:v> Mjini Magharibi  </c:v>
                </c:pt>
                <c:pt idx="3">
                  <c:v> Kusini Unguja  </c:v>
                </c:pt>
                <c:pt idx="4">
                  <c:v> Kaskazini Unguja </c:v>
                </c:pt>
              </c:strCache>
            </c:strRef>
          </c:cat>
          <c:val>
            <c:numRef>
              <c:f>'SECTION 24_New'!$J$30:$J$34</c:f>
              <c:numCache>
                <c:formatCode>_-* #,##0.0_-;\-* #,##0.0_-;_-* "-"??_-;_-@_-</c:formatCode>
                <c:ptCount val="5"/>
                <c:pt idx="0">
                  <c:v>29.565783054155148</c:v>
                </c:pt>
                <c:pt idx="1">
                  <c:v>25.760286225402503</c:v>
                </c:pt>
                <c:pt idx="2">
                  <c:v>20.344771507562204</c:v>
                </c:pt>
                <c:pt idx="3">
                  <c:v>18.653439583672142</c:v>
                </c:pt>
                <c:pt idx="4">
                  <c:v>5.6757196292080012</c:v>
                </c:pt>
              </c:numCache>
            </c:numRef>
          </c:val>
          <c:extLst>
            <c:ext xmlns:c16="http://schemas.microsoft.com/office/drawing/2014/chart" uri="{C3380CC4-5D6E-409C-BE32-E72D297353CC}">
              <c16:uniqueId val="{00000000-17C6-4B4C-B7A6-68456C5152A1}"/>
            </c:ext>
          </c:extLst>
        </c:ser>
        <c:dLbls>
          <c:showLegendKey val="0"/>
          <c:showVal val="0"/>
          <c:showCatName val="0"/>
          <c:showSerName val="0"/>
          <c:showPercent val="0"/>
          <c:showBubbleSize val="0"/>
        </c:dLbls>
        <c:gapWidth val="219"/>
        <c:overlap val="-27"/>
        <c:axId val="128823680"/>
        <c:axId val="128825600"/>
      </c:barChart>
      <c:catAx>
        <c:axId val="128823680"/>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Region</a:t>
                </a:r>
              </a:p>
            </c:rich>
          </c:tx>
          <c:layout>
            <c:manualLayout>
              <c:xMode val="edge"/>
              <c:yMode val="edge"/>
              <c:x val="0.49099667057484375"/>
              <c:y val="0.9062938945633062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chemeClr val="tx1">
                <a:lumMod val="50000"/>
                <a:lumOff val="50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28825600"/>
        <c:crosses val="autoZero"/>
        <c:auto val="1"/>
        <c:lblAlgn val="ctr"/>
        <c:lblOffset val="100"/>
        <c:noMultiLvlLbl val="0"/>
      </c:catAx>
      <c:valAx>
        <c:axId val="128825600"/>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Percent</a:t>
                </a:r>
              </a:p>
            </c:rich>
          </c:tx>
          <c:layout>
            <c:manualLayout>
              <c:xMode val="edge"/>
              <c:yMode val="edge"/>
              <c:x val="6.1570019370036026E-2"/>
              <c:y val="0.3534831468143308"/>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a:solidFill>
              <a:schemeClr val="tx1">
                <a:lumMod val="50000"/>
                <a:lumOff val="50000"/>
              </a:schemeClr>
            </a:solid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28823680"/>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1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634906836220844"/>
          <c:y val="6.4797426245807588E-2"/>
          <c:w val="0.74577907060980431"/>
          <c:h val="0.57498910998814312"/>
        </c:manualLayout>
      </c:layout>
      <c:barChart>
        <c:barDir val="col"/>
        <c:grouping val="clustered"/>
        <c:varyColors val="0"/>
        <c:ser>
          <c:idx val="0"/>
          <c:order val="0"/>
          <c:tx>
            <c:strRef>
              <c:f>Sheet1!$AG$77</c:f>
              <c:strCache>
                <c:ptCount val="1"/>
                <c:pt idx="0">
                  <c:v>Number of Households</c:v>
                </c:pt>
              </c:strCache>
            </c:strRef>
          </c:tx>
          <c:spPr>
            <a:solidFill>
              <a:schemeClr val="accent1"/>
            </a:solidFill>
            <a:ln>
              <a:noFill/>
            </a:ln>
            <a:effectLst/>
          </c:spPr>
          <c:invertIfNegative val="0"/>
          <c:cat>
            <c:strRef>
              <c:f>Sheet1!$AF$78:$AF$103</c:f>
              <c:strCache>
                <c:ptCount val="26"/>
                <c:pt idx="0">
                  <c:v>Mbeya</c:v>
                </c:pt>
                <c:pt idx="1">
                  <c:v>Dar Es Salaam</c:v>
                </c:pt>
                <c:pt idx="2">
                  <c:v>Kagera</c:v>
                </c:pt>
                <c:pt idx="3">
                  <c:v>Songwe</c:v>
                </c:pt>
                <c:pt idx="4">
                  <c:v>Tanga</c:v>
                </c:pt>
                <c:pt idx="5">
                  <c:v>Kilimanjaro</c:v>
                </c:pt>
                <c:pt idx="6">
                  <c:v>Rukwa</c:v>
                </c:pt>
                <c:pt idx="7">
                  <c:v>Tabora</c:v>
                </c:pt>
                <c:pt idx="8">
                  <c:v>Dodoma</c:v>
                </c:pt>
                <c:pt idx="9">
                  <c:v>Ruvuma</c:v>
                </c:pt>
                <c:pt idx="10">
                  <c:v>Mwanza</c:v>
                </c:pt>
                <c:pt idx="11">
                  <c:v>Arusha</c:v>
                </c:pt>
                <c:pt idx="12">
                  <c:v>Njombe</c:v>
                </c:pt>
                <c:pt idx="13">
                  <c:v>Simiyu</c:v>
                </c:pt>
                <c:pt idx="14">
                  <c:v>Kigoma</c:v>
                </c:pt>
                <c:pt idx="15">
                  <c:v>Iringa</c:v>
                </c:pt>
                <c:pt idx="16">
                  <c:v>Geita</c:v>
                </c:pt>
                <c:pt idx="17">
                  <c:v>Pwani</c:v>
                </c:pt>
                <c:pt idx="18">
                  <c:v>Shinyanga</c:v>
                </c:pt>
                <c:pt idx="19">
                  <c:v>Morogoro</c:v>
                </c:pt>
                <c:pt idx="20">
                  <c:v>Singida</c:v>
                </c:pt>
                <c:pt idx="21">
                  <c:v>Mtwara</c:v>
                </c:pt>
                <c:pt idx="22">
                  <c:v>Mara</c:v>
                </c:pt>
                <c:pt idx="23">
                  <c:v>Manyara</c:v>
                </c:pt>
                <c:pt idx="24">
                  <c:v>Katavi</c:v>
                </c:pt>
                <c:pt idx="25">
                  <c:v>Lindi</c:v>
                </c:pt>
              </c:strCache>
            </c:strRef>
          </c:cat>
          <c:val>
            <c:numRef>
              <c:f>Sheet1!$AG$78:$AG$103</c:f>
              <c:numCache>
                <c:formatCode>_-* #,##0_-;\-* #,##0_-;_-* "-"??_-;_-@_-</c:formatCode>
                <c:ptCount val="26"/>
                <c:pt idx="0">
                  <c:v>17184</c:v>
                </c:pt>
                <c:pt idx="1">
                  <c:v>13082</c:v>
                </c:pt>
                <c:pt idx="2">
                  <c:v>12735</c:v>
                </c:pt>
                <c:pt idx="3">
                  <c:v>11187</c:v>
                </c:pt>
                <c:pt idx="4">
                  <c:v>11149</c:v>
                </c:pt>
                <c:pt idx="5">
                  <c:v>10126</c:v>
                </c:pt>
                <c:pt idx="6">
                  <c:v>9418</c:v>
                </c:pt>
                <c:pt idx="7">
                  <c:v>7780</c:v>
                </c:pt>
                <c:pt idx="8">
                  <c:v>7386</c:v>
                </c:pt>
                <c:pt idx="9">
                  <c:v>7050</c:v>
                </c:pt>
                <c:pt idx="10">
                  <c:v>6253</c:v>
                </c:pt>
                <c:pt idx="11">
                  <c:v>5888</c:v>
                </c:pt>
                <c:pt idx="12">
                  <c:v>5833</c:v>
                </c:pt>
                <c:pt idx="13">
                  <c:v>5386</c:v>
                </c:pt>
                <c:pt idx="14">
                  <c:v>4333</c:v>
                </c:pt>
                <c:pt idx="15">
                  <c:v>4155</c:v>
                </c:pt>
                <c:pt idx="16">
                  <c:v>3656</c:v>
                </c:pt>
                <c:pt idx="17">
                  <c:v>3484</c:v>
                </c:pt>
                <c:pt idx="18">
                  <c:v>3464</c:v>
                </c:pt>
                <c:pt idx="19">
                  <c:v>3288</c:v>
                </c:pt>
                <c:pt idx="20">
                  <c:v>3200</c:v>
                </c:pt>
                <c:pt idx="21">
                  <c:v>2232</c:v>
                </c:pt>
                <c:pt idx="22">
                  <c:v>2115</c:v>
                </c:pt>
                <c:pt idx="23">
                  <c:v>2047</c:v>
                </c:pt>
                <c:pt idx="24">
                  <c:v>693</c:v>
                </c:pt>
                <c:pt idx="25">
                  <c:v>250</c:v>
                </c:pt>
              </c:numCache>
            </c:numRef>
          </c:val>
          <c:extLst>
            <c:ext xmlns:c16="http://schemas.microsoft.com/office/drawing/2014/chart" uri="{C3380CC4-5D6E-409C-BE32-E72D297353CC}">
              <c16:uniqueId val="{00000000-EB46-DA44-AC34-83106752CEF2}"/>
            </c:ext>
          </c:extLst>
        </c:ser>
        <c:dLbls>
          <c:showLegendKey val="0"/>
          <c:showVal val="0"/>
          <c:showCatName val="0"/>
          <c:showSerName val="0"/>
          <c:showPercent val="0"/>
          <c:showBubbleSize val="0"/>
        </c:dLbls>
        <c:gapWidth val="219"/>
        <c:overlap val="-27"/>
        <c:axId val="128885120"/>
        <c:axId val="128887424"/>
      </c:barChart>
      <c:scatterChart>
        <c:scatterStyle val="lineMarker"/>
        <c:varyColors val="0"/>
        <c:ser>
          <c:idx val="1"/>
          <c:order val="1"/>
          <c:tx>
            <c:strRef>
              <c:f>Sheet1!$AH$77</c:f>
              <c:strCache>
                <c:ptCount val="1"/>
                <c:pt idx="0">
                  <c:v>Percent of Households</c:v>
                </c:pt>
              </c:strCache>
            </c:strRef>
          </c:tx>
          <c:spPr>
            <a:ln w="25400" cap="rnd">
              <a:noFill/>
              <a:round/>
            </a:ln>
            <a:effectLst/>
          </c:spPr>
          <c:marker>
            <c:symbol val="circle"/>
            <c:size val="3"/>
            <c:spPr>
              <a:solidFill>
                <a:schemeClr val="accent2"/>
              </a:solidFill>
              <a:ln w="9525">
                <a:solidFill>
                  <a:schemeClr val="accent2"/>
                </a:solidFill>
              </a:ln>
              <a:effectLst/>
            </c:spPr>
          </c:marker>
          <c:xVal>
            <c:strRef>
              <c:f>Sheet1!$AF$78:$AF$103</c:f>
              <c:strCache>
                <c:ptCount val="26"/>
                <c:pt idx="0">
                  <c:v>Mbeya</c:v>
                </c:pt>
                <c:pt idx="1">
                  <c:v>Dar Es Salaam</c:v>
                </c:pt>
                <c:pt idx="2">
                  <c:v>Kagera</c:v>
                </c:pt>
                <c:pt idx="3">
                  <c:v>Songwe</c:v>
                </c:pt>
                <c:pt idx="4">
                  <c:v>Tanga</c:v>
                </c:pt>
                <c:pt idx="5">
                  <c:v>Kilimanjaro</c:v>
                </c:pt>
                <c:pt idx="6">
                  <c:v>Rukwa</c:v>
                </c:pt>
                <c:pt idx="7">
                  <c:v>Tabora</c:v>
                </c:pt>
                <c:pt idx="8">
                  <c:v>Dodoma</c:v>
                </c:pt>
                <c:pt idx="9">
                  <c:v>Ruvuma</c:v>
                </c:pt>
                <c:pt idx="10">
                  <c:v>Mwanza</c:v>
                </c:pt>
                <c:pt idx="11">
                  <c:v>Arusha</c:v>
                </c:pt>
                <c:pt idx="12">
                  <c:v>Njombe</c:v>
                </c:pt>
                <c:pt idx="13">
                  <c:v>Simiyu</c:v>
                </c:pt>
                <c:pt idx="14">
                  <c:v>Kigoma</c:v>
                </c:pt>
                <c:pt idx="15">
                  <c:v>Iringa</c:v>
                </c:pt>
                <c:pt idx="16">
                  <c:v>Geita</c:v>
                </c:pt>
                <c:pt idx="17">
                  <c:v>Pwani</c:v>
                </c:pt>
                <c:pt idx="18">
                  <c:v>Shinyanga</c:v>
                </c:pt>
                <c:pt idx="19">
                  <c:v>Morogoro</c:v>
                </c:pt>
                <c:pt idx="20">
                  <c:v>Singida</c:v>
                </c:pt>
                <c:pt idx="21">
                  <c:v>Mtwara</c:v>
                </c:pt>
                <c:pt idx="22">
                  <c:v>Mara</c:v>
                </c:pt>
                <c:pt idx="23">
                  <c:v>Manyara</c:v>
                </c:pt>
                <c:pt idx="24">
                  <c:v>Katavi</c:v>
                </c:pt>
                <c:pt idx="25">
                  <c:v>Lindi</c:v>
                </c:pt>
              </c:strCache>
            </c:strRef>
          </c:xVal>
          <c:yVal>
            <c:numRef>
              <c:f>Sheet1!$AH$78:$AH$103</c:f>
              <c:numCache>
                <c:formatCode>_-* #,##0.0_-;\-* #,##0.0_-;_-* "-"??_-;_-@_-</c:formatCode>
                <c:ptCount val="26"/>
                <c:pt idx="0">
                  <c:v>10.518197510007713</c:v>
                </c:pt>
                <c:pt idx="1">
                  <c:v>8.0073940773929753</c:v>
                </c:pt>
                <c:pt idx="2">
                  <c:v>7.7949979800947515</c:v>
                </c:pt>
                <c:pt idx="3">
                  <c:v>6.8474787909948942</c:v>
                </c:pt>
                <c:pt idx="4">
                  <c:v>6.8242192760169917</c:v>
                </c:pt>
                <c:pt idx="5">
                  <c:v>6.198048649111854</c:v>
                </c:pt>
                <c:pt idx="6">
                  <c:v>5.7646871595235476</c:v>
                </c:pt>
                <c:pt idx="7">
                  <c:v>4.7620796454760246</c:v>
                </c:pt>
                <c:pt idx="8">
                  <c:v>4.5209152007051303</c:v>
                </c:pt>
                <c:pt idx="9">
                  <c:v>4.3152521209005101</c:v>
                </c:pt>
                <c:pt idx="10">
                  <c:v>3.8274143988639562</c:v>
                </c:pt>
                <c:pt idx="11">
                  <c:v>3.6040006365761998</c:v>
                </c:pt>
                <c:pt idx="12">
                  <c:v>3.5703355491081812</c:v>
                </c:pt>
                <c:pt idx="13">
                  <c:v>3.2967302018681059</c:v>
                </c:pt>
                <c:pt idx="14">
                  <c:v>2.652196799980413</c:v>
                </c:pt>
                <c:pt idx="15">
                  <c:v>2.543244335083918</c:v>
                </c:pt>
                <c:pt idx="16">
                  <c:v>2.23781017787408</c:v>
                </c:pt>
                <c:pt idx="17">
                  <c:v>2.1325302679740963</c:v>
                </c:pt>
                <c:pt idx="18">
                  <c:v>2.120288417985726</c:v>
                </c:pt>
                <c:pt idx="19">
                  <c:v>2.0125601380880678</c:v>
                </c:pt>
                <c:pt idx="20">
                  <c:v>1.9586959981392389</c:v>
                </c:pt>
                <c:pt idx="21">
                  <c:v>1.3661904587021192</c:v>
                </c:pt>
                <c:pt idx="22">
                  <c:v>1.294575636270153</c:v>
                </c:pt>
                <c:pt idx="23">
                  <c:v>1.2529533463096942</c:v>
                </c:pt>
                <c:pt idx="24">
                  <c:v>0.42418010209702889</c:v>
                </c:pt>
                <c:pt idx="25">
                  <c:v>0.15302312485462802</c:v>
                </c:pt>
              </c:numCache>
            </c:numRef>
          </c:yVal>
          <c:smooth val="0"/>
          <c:extLst>
            <c:ext xmlns:c16="http://schemas.microsoft.com/office/drawing/2014/chart" uri="{C3380CC4-5D6E-409C-BE32-E72D297353CC}">
              <c16:uniqueId val="{00000001-EB46-DA44-AC34-83106752CEF2}"/>
            </c:ext>
          </c:extLst>
        </c:ser>
        <c:dLbls>
          <c:showLegendKey val="0"/>
          <c:showVal val="0"/>
          <c:showCatName val="0"/>
          <c:showSerName val="0"/>
          <c:showPercent val="0"/>
          <c:showBubbleSize val="0"/>
        </c:dLbls>
        <c:axId val="128893696"/>
        <c:axId val="128895232"/>
      </c:scatterChart>
      <c:catAx>
        <c:axId val="128885120"/>
        <c:scaling>
          <c:orientation val="minMax"/>
        </c:scaling>
        <c:delete val="0"/>
        <c:axPos val="b"/>
        <c:title>
          <c:tx>
            <c:rich>
              <a:bodyPr/>
              <a:lstStyle/>
              <a:p>
                <a:pPr>
                  <a:defRPr/>
                </a:pPr>
                <a:r>
                  <a:rPr lang="en-US"/>
                  <a:t>Region</a:t>
                </a:r>
              </a:p>
            </c:rich>
          </c:tx>
          <c:layout>
            <c:manualLayout>
              <c:xMode val="edge"/>
              <c:yMode val="edge"/>
              <c:x val="0.48757302364805255"/>
              <c:y val="0.82002394825925851"/>
            </c:manualLayout>
          </c:layout>
          <c:overlay val="0"/>
          <c:spPr>
            <a:noFill/>
            <a:ln>
              <a:noFill/>
            </a:ln>
            <a:effectLst/>
          </c:spPr>
        </c:title>
        <c:numFmt formatCode="General" sourceLinked="1"/>
        <c:majorTickMark val="out"/>
        <c:minorTickMark val="none"/>
        <c:tickLblPos val="nextTo"/>
        <c:spPr>
          <a:noFill/>
          <a:ln w="9525" cap="flat" cmpd="sng" algn="ctr">
            <a:solidFill>
              <a:sysClr val="windowText" lastClr="000000">
                <a:lumMod val="50000"/>
                <a:lumOff val="50000"/>
              </a:sysClr>
            </a:solidFill>
            <a:round/>
          </a:ln>
          <a:effectLst/>
        </c:spPr>
        <c:txPr>
          <a:bodyPr rot="-5400000" vert="horz"/>
          <a:lstStyle/>
          <a:p>
            <a:pPr>
              <a:defRPr/>
            </a:pPr>
            <a:endParaRPr lang="en-US"/>
          </a:p>
        </c:txPr>
        <c:crossAx val="128887424"/>
        <c:crosses val="autoZero"/>
        <c:auto val="1"/>
        <c:lblAlgn val="ctr"/>
        <c:lblOffset val="100"/>
        <c:noMultiLvlLbl val="0"/>
      </c:catAx>
      <c:valAx>
        <c:axId val="128887424"/>
        <c:scaling>
          <c:orientation val="minMax"/>
        </c:scaling>
        <c:delete val="0"/>
        <c:axPos val="l"/>
        <c:title>
          <c:tx>
            <c:rich>
              <a:bodyPr/>
              <a:lstStyle/>
              <a:p>
                <a:pPr>
                  <a:defRPr/>
                </a:pPr>
                <a:r>
                  <a:rPr lang="en-US"/>
                  <a:t>Household</a:t>
                </a:r>
              </a:p>
            </c:rich>
          </c:tx>
          <c:layout>
            <c:manualLayout>
              <c:xMode val="edge"/>
              <c:yMode val="edge"/>
              <c:x val="2.048265728991944E-2"/>
              <c:y val="0.21292190249972165"/>
            </c:manualLayout>
          </c:layout>
          <c:overlay val="0"/>
          <c:spPr>
            <a:noFill/>
            <a:ln>
              <a:noFill/>
            </a:ln>
            <a:effectLst/>
          </c:spPr>
        </c:title>
        <c:numFmt formatCode="_-* #,##0_-;\-* #,##0_-;_-* &quot;-&quot;??_-;_-@_-" sourceLinked="1"/>
        <c:majorTickMark val="out"/>
        <c:minorTickMark val="none"/>
        <c:tickLblPos val="nextTo"/>
        <c:spPr>
          <a:noFill/>
          <a:ln>
            <a:solidFill>
              <a:sysClr val="windowText" lastClr="000000">
                <a:lumMod val="50000"/>
                <a:lumOff val="50000"/>
              </a:sysClr>
            </a:solidFill>
          </a:ln>
          <a:effectLst/>
        </c:spPr>
        <c:txPr>
          <a:bodyPr rot="-60000000" vert="horz"/>
          <a:lstStyle/>
          <a:p>
            <a:pPr>
              <a:defRPr/>
            </a:pPr>
            <a:endParaRPr lang="en-US"/>
          </a:p>
        </c:txPr>
        <c:crossAx val="128885120"/>
        <c:crosses val="autoZero"/>
        <c:crossBetween val="between"/>
        <c:majorUnit val="4000"/>
      </c:valAx>
      <c:valAx>
        <c:axId val="128893696"/>
        <c:scaling>
          <c:orientation val="minMax"/>
        </c:scaling>
        <c:delete val="1"/>
        <c:axPos val="b"/>
        <c:majorTickMark val="out"/>
        <c:minorTickMark val="none"/>
        <c:tickLblPos val="nextTo"/>
        <c:crossAx val="128895232"/>
        <c:crosses val="autoZero"/>
        <c:crossBetween val="midCat"/>
      </c:valAx>
      <c:valAx>
        <c:axId val="128895232"/>
        <c:scaling>
          <c:orientation val="minMax"/>
        </c:scaling>
        <c:delete val="0"/>
        <c:axPos val="r"/>
        <c:title>
          <c:tx>
            <c:rich>
              <a:bodyPr rot="-5400000" vert="horz"/>
              <a:lstStyle/>
              <a:p>
                <a:pPr>
                  <a:defRPr/>
                </a:pPr>
                <a:r>
                  <a:rPr lang="en-US"/>
                  <a:t>Percent</a:t>
                </a:r>
              </a:p>
            </c:rich>
          </c:tx>
          <c:overlay val="0"/>
          <c:spPr>
            <a:noFill/>
            <a:ln>
              <a:noFill/>
            </a:ln>
            <a:effectLst/>
          </c:spPr>
        </c:title>
        <c:numFmt formatCode="#,##0" sourceLinked="0"/>
        <c:majorTickMark val="out"/>
        <c:minorTickMark val="none"/>
        <c:tickLblPos val="nextTo"/>
        <c:spPr>
          <a:noFill/>
          <a:ln>
            <a:solidFill>
              <a:sysClr val="windowText" lastClr="000000">
                <a:lumMod val="50000"/>
                <a:lumOff val="50000"/>
              </a:sysClr>
            </a:solidFill>
          </a:ln>
          <a:effectLst/>
        </c:spPr>
        <c:txPr>
          <a:bodyPr rot="-60000000" vert="horz"/>
          <a:lstStyle/>
          <a:p>
            <a:pPr>
              <a:defRPr/>
            </a:pPr>
            <a:endParaRPr lang="en-US"/>
          </a:p>
        </c:txPr>
        <c:crossAx val="128893696"/>
        <c:crosses val="max"/>
        <c:crossBetween val="midCat"/>
      </c:valAx>
      <c:spPr>
        <a:noFill/>
        <a:ln w="25400">
          <a:noFill/>
        </a:ln>
      </c:spPr>
    </c:plotArea>
    <c:legend>
      <c:legendPos val="b"/>
      <c:layout>
        <c:manualLayout>
          <c:xMode val="edge"/>
          <c:yMode val="edge"/>
          <c:x val="0.35317774768599791"/>
          <c:y val="0.90561065131061069"/>
          <c:w val="0.31723478832661839"/>
          <c:h val="5.965851266855101E-2"/>
        </c:manualLayout>
      </c:layout>
      <c:overlay val="0"/>
      <c:spPr>
        <a:noFill/>
        <a:ln>
          <a:noFill/>
        </a:ln>
        <a:effectLst/>
      </c:spPr>
      <c:txPr>
        <a:bodyPr rot="0" vert="horz"/>
        <a:lstStyle/>
        <a:p>
          <a:pPr>
            <a:defRPr/>
          </a:pPr>
          <a:endParaRPr lang="en-US"/>
        </a:p>
      </c:txPr>
    </c:legend>
    <c:plotVisOnly val="1"/>
    <c:dispBlanksAs val="gap"/>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750" b="0">
          <a:solidFill>
            <a:schemeClr val="tx1"/>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6713692038495201"/>
          <c:y val="7.8703703703703706E-2"/>
          <c:w val="0.71032432627693942"/>
          <c:h val="0.484589895013123"/>
        </c:manualLayout>
      </c:layout>
      <c:barChart>
        <c:barDir val="col"/>
        <c:grouping val="clustered"/>
        <c:varyColors val="0"/>
        <c:ser>
          <c:idx val="0"/>
          <c:order val="0"/>
          <c:tx>
            <c:strRef>
              <c:f>Sheet1!$Y$77</c:f>
              <c:strCache>
                <c:ptCount val="1"/>
                <c:pt idx="0">
                  <c:v>Number of Households</c:v>
                </c:pt>
              </c:strCache>
            </c:strRef>
          </c:tx>
          <c:spPr>
            <a:solidFill>
              <a:schemeClr val="accent1"/>
            </a:solidFill>
            <a:ln>
              <a:noFill/>
            </a:ln>
            <a:effectLst/>
          </c:spPr>
          <c:invertIfNegative val="0"/>
          <c:cat>
            <c:strRef>
              <c:f>Sheet1!$X$78:$X$103</c:f>
              <c:strCache>
                <c:ptCount val="26"/>
                <c:pt idx="0">
                  <c:v>Dar Es Salaam</c:v>
                </c:pt>
                <c:pt idx="1">
                  <c:v>Mbeya</c:v>
                </c:pt>
                <c:pt idx="2">
                  <c:v>Songwe</c:v>
                </c:pt>
                <c:pt idx="3">
                  <c:v>Kilimanjaro</c:v>
                </c:pt>
                <c:pt idx="4">
                  <c:v>Kagera</c:v>
                </c:pt>
                <c:pt idx="5">
                  <c:v>Arusha</c:v>
                </c:pt>
                <c:pt idx="6">
                  <c:v>Tanga</c:v>
                </c:pt>
                <c:pt idx="7">
                  <c:v>Ruvuma</c:v>
                </c:pt>
                <c:pt idx="8">
                  <c:v>Njombe</c:v>
                </c:pt>
                <c:pt idx="9">
                  <c:v>Rukwa</c:v>
                </c:pt>
                <c:pt idx="10">
                  <c:v>Morogoro</c:v>
                </c:pt>
                <c:pt idx="11">
                  <c:v>Dodoma</c:v>
                </c:pt>
                <c:pt idx="12">
                  <c:v>Mwanza</c:v>
                </c:pt>
                <c:pt idx="13">
                  <c:v>Tabora</c:v>
                </c:pt>
                <c:pt idx="14">
                  <c:v>Singida</c:v>
                </c:pt>
                <c:pt idx="15">
                  <c:v>Shinyanga</c:v>
                </c:pt>
                <c:pt idx="16">
                  <c:v>Kigoma</c:v>
                </c:pt>
                <c:pt idx="17">
                  <c:v>Iringa</c:v>
                </c:pt>
                <c:pt idx="18">
                  <c:v>Manyara</c:v>
                </c:pt>
                <c:pt idx="19">
                  <c:v>Simiyu</c:v>
                </c:pt>
                <c:pt idx="20">
                  <c:v>Mara</c:v>
                </c:pt>
                <c:pt idx="21">
                  <c:v>Pwani</c:v>
                </c:pt>
                <c:pt idx="22">
                  <c:v>Mtwara</c:v>
                </c:pt>
                <c:pt idx="23">
                  <c:v>Geita</c:v>
                </c:pt>
                <c:pt idx="24">
                  <c:v>Lindi</c:v>
                </c:pt>
                <c:pt idx="25">
                  <c:v>Katavi</c:v>
                </c:pt>
              </c:strCache>
            </c:strRef>
          </c:cat>
          <c:val>
            <c:numRef>
              <c:f>Sheet1!$Y$78:$Y$103</c:f>
              <c:numCache>
                <c:formatCode>_-* #,##0_-;\-* #,##0_-;_-* "-"??_-;_-@_-</c:formatCode>
                <c:ptCount val="26"/>
                <c:pt idx="0">
                  <c:v>16448</c:v>
                </c:pt>
                <c:pt idx="1">
                  <c:v>12380</c:v>
                </c:pt>
                <c:pt idx="2">
                  <c:v>10927</c:v>
                </c:pt>
                <c:pt idx="3">
                  <c:v>9850</c:v>
                </c:pt>
                <c:pt idx="4">
                  <c:v>8753</c:v>
                </c:pt>
                <c:pt idx="5">
                  <c:v>6950</c:v>
                </c:pt>
                <c:pt idx="6">
                  <c:v>6091</c:v>
                </c:pt>
                <c:pt idx="7">
                  <c:v>5799</c:v>
                </c:pt>
                <c:pt idx="8">
                  <c:v>5504</c:v>
                </c:pt>
                <c:pt idx="9">
                  <c:v>4824</c:v>
                </c:pt>
                <c:pt idx="10">
                  <c:v>4482</c:v>
                </c:pt>
                <c:pt idx="11">
                  <c:v>4442</c:v>
                </c:pt>
                <c:pt idx="12">
                  <c:v>3578</c:v>
                </c:pt>
                <c:pt idx="13">
                  <c:v>3518</c:v>
                </c:pt>
                <c:pt idx="14">
                  <c:v>3186</c:v>
                </c:pt>
                <c:pt idx="15">
                  <c:v>3113</c:v>
                </c:pt>
                <c:pt idx="16">
                  <c:v>2650</c:v>
                </c:pt>
                <c:pt idx="17">
                  <c:v>2604</c:v>
                </c:pt>
                <c:pt idx="18">
                  <c:v>2543</c:v>
                </c:pt>
                <c:pt idx="19">
                  <c:v>2118</c:v>
                </c:pt>
                <c:pt idx="20">
                  <c:v>2116</c:v>
                </c:pt>
                <c:pt idx="21">
                  <c:v>2063</c:v>
                </c:pt>
                <c:pt idx="22">
                  <c:v>1270</c:v>
                </c:pt>
                <c:pt idx="23">
                  <c:v>754</c:v>
                </c:pt>
                <c:pt idx="24">
                  <c:v>379</c:v>
                </c:pt>
                <c:pt idx="25">
                  <c:v>217</c:v>
                </c:pt>
              </c:numCache>
            </c:numRef>
          </c:val>
          <c:extLst>
            <c:ext xmlns:c16="http://schemas.microsoft.com/office/drawing/2014/chart" uri="{C3380CC4-5D6E-409C-BE32-E72D297353CC}">
              <c16:uniqueId val="{00000000-AEC7-174F-B211-18EB89C7F8D8}"/>
            </c:ext>
          </c:extLst>
        </c:ser>
        <c:dLbls>
          <c:showLegendKey val="0"/>
          <c:showVal val="0"/>
          <c:showCatName val="0"/>
          <c:showSerName val="0"/>
          <c:showPercent val="0"/>
          <c:showBubbleSize val="0"/>
        </c:dLbls>
        <c:gapWidth val="150"/>
        <c:axId val="128563456"/>
        <c:axId val="128717568"/>
      </c:barChart>
      <c:scatterChart>
        <c:scatterStyle val="lineMarker"/>
        <c:varyColors val="0"/>
        <c:ser>
          <c:idx val="1"/>
          <c:order val="1"/>
          <c:tx>
            <c:strRef>
              <c:f>Sheet1!$Z$77</c:f>
              <c:strCache>
                <c:ptCount val="1"/>
                <c:pt idx="0">
                  <c:v>Percent of Households</c:v>
                </c:pt>
              </c:strCache>
            </c:strRef>
          </c:tx>
          <c:spPr>
            <a:ln w="25396" cap="rnd">
              <a:noFill/>
              <a:round/>
            </a:ln>
            <a:effectLst/>
          </c:spPr>
          <c:marker>
            <c:symbol val="circle"/>
            <c:size val="2"/>
            <c:spPr>
              <a:solidFill>
                <a:schemeClr val="accent2"/>
              </a:solidFill>
              <a:ln w="9523">
                <a:solidFill>
                  <a:schemeClr val="accent2"/>
                </a:solidFill>
              </a:ln>
              <a:effectLst/>
            </c:spPr>
          </c:marker>
          <c:xVal>
            <c:strRef>
              <c:f>Sheet1!$X$78:$X$103</c:f>
              <c:strCache>
                <c:ptCount val="26"/>
                <c:pt idx="0">
                  <c:v>Dar Es Salaam</c:v>
                </c:pt>
                <c:pt idx="1">
                  <c:v>Mbeya</c:v>
                </c:pt>
                <c:pt idx="2">
                  <c:v>Songwe</c:v>
                </c:pt>
                <c:pt idx="3">
                  <c:v>Kilimanjaro</c:v>
                </c:pt>
                <c:pt idx="4">
                  <c:v>Kagera</c:v>
                </c:pt>
                <c:pt idx="5">
                  <c:v>Arusha</c:v>
                </c:pt>
                <c:pt idx="6">
                  <c:v>Tanga</c:v>
                </c:pt>
                <c:pt idx="7">
                  <c:v>Ruvuma</c:v>
                </c:pt>
                <c:pt idx="8">
                  <c:v>Njombe</c:v>
                </c:pt>
                <c:pt idx="9">
                  <c:v>Rukwa</c:v>
                </c:pt>
                <c:pt idx="10">
                  <c:v>Morogoro</c:v>
                </c:pt>
                <c:pt idx="11">
                  <c:v>Dodoma</c:v>
                </c:pt>
                <c:pt idx="12">
                  <c:v>Mwanza</c:v>
                </c:pt>
                <c:pt idx="13">
                  <c:v>Tabora</c:v>
                </c:pt>
                <c:pt idx="14">
                  <c:v>Singida</c:v>
                </c:pt>
                <c:pt idx="15">
                  <c:v>Shinyanga</c:v>
                </c:pt>
                <c:pt idx="16">
                  <c:v>Kigoma</c:v>
                </c:pt>
                <c:pt idx="17">
                  <c:v>Iringa</c:v>
                </c:pt>
                <c:pt idx="18">
                  <c:v>Manyara</c:v>
                </c:pt>
                <c:pt idx="19">
                  <c:v>Simiyu</c:v>
                </c:pt>
                <c:pt idx="20">
                  <c:v>Mara</c:v>
                </c:pt>
                <c:pt idx="21">
                  <c:v>Pwani</c:v>
                </c:pt>
                <c:pt idx="22">
                  <c:v>Mtwara</c:v>
                </c:pt>
                <c:pt idx="23">
                  <c:v>Geita</c:v>
                </c:pt>
                <c:pt idx="24">
                  <c:v>Lindi</c:v>
                </c:pt>
                <c:pt idx="25">
                  <c:v>Katavi</c:v>
                </c:pt>
              </c:strCache>
            </c:strRef>
          </c:xVal>
          <c:yVal>
            <c:numRef>
              <c:f>Sheet1!$Z$78:$Z$103</c:f>
              <c:numCache>
                <c:formatCode>0.0</c:formatCode>
                <c:ptCount val="26"/>
                <c:pt idx="0">
                  <c:v>12.996310021412938</c:v>
                </c:pt>
                <c:pt idx="1">
                  <c:v>9.7819989095994746</c:v>
                </c:pt>
                <c:pt idx="2">
                  <c:v>8.6339177774792795</c:v>
                </c:pt>
                <c:pt idx="3">
                  <c:v>7.782931281062587</c:v>
                </c:pt>
                <c:pt idx="4">
                  <c:v>6.9161418784914552</c:v>
                </c:pt>
                <c:pt idx="5">
                  <c:v>5.4915098886685261</c:v>
                </c:pt>
                <c:pt idx="6">
                  <c:v>4.8127750693352507</c:v>
                </c:pt>
                <c:pt idx="7">
                  <c:v>4.5820526394804002</c:v>
                </c:pt>
                <c:pt idx="8">
                  <c:v>4.3489597737023837</c:v>
                </c:pt>
                <c:pt idx="9">
                  <c:v>3.8116609644513626</c:v>
                </c:pt>
                <c:pt idx="10">
                  <c:v>3.541431269210408</c:v>
                </c:pt>
                <c:pt idx="11">
                  <c:v>3.5098254569015199</c:v>
                </c:pt>
                <c:pt idx="12">
                  <c:v>2.8271399110296382</c:v>
                </c:pt>
                <c:pt idx="13">
                  <c:v>2.7797311925663131</c:v>
                </c:pt>
                <c:pt idx="14">
                  <c:v>2.517402950402579</c:v>
                </c:pt>
                <c:pt idx="15">
                  <c:v>2.4597223429388664</c:v>
                </c:pt>
                <c:pt idx="16">
                  <c:v>2.0938850654635388</c:v>
                </c:pt>
                <c:pt idx="17">
                  <c:v>2.0575383813083223</c:v>
                </c:pt>
                <c:pt idx="18">
                  <c:v>2.009339517537275</c:v>
                </c:pt>
                <c:pt idx="19">
                  <c:v>1.673527761755387</c:v>
                </c:pt>
                <c:pt idx="20">
                  <c:v>1.6719474711399427</c:v>
                </c:pt>
                <c:pt idx="21">
                  <c:v>1.6300697698306716</c:v>
                </c:pt>
                <c:pt idx="22">
                  <c:v>1.0034845408070545</c:v>
                </c:pt>
                <c:pt idx="23">
                  <c:v>0.5957695620224559</c:v>
                </c:pt>
                <c:pt idx="24">
                  <c:v>0.29946507162667213</c:v>
                </c:pt>
                <c:pt idx="25">
                  <c:v>0.17146153177569354</c:v>
                </c:pt>
              </c:numCache>
            </c:numRef>
          </c:yVal>
          <c:smooth val="0"/>
          <c:extLst>
            <c:ext xmlns:c16="http://schemas.microsoft.com/office/drawing/2014/chart" uri="{C3380CC4-5D6E-409C-BE32-E72D297353CC}">
              <c16:uniqueId val="{00000001-AEC7-174F-B211-18EB89C7F8D8}"/>
            </c:ext>
          </c:extLst>
        </c:ser>
        <c:dLbls>
          <c:showLegendKey val="0"/>
          <c:showVal val="0"/>
          <c:showCatName val="0"/>
          <c:showSerName val="0"/>
          <c:showPercent val="0"/>
          <c:showBubbleSize val="0"/>
        </c:dLbls>
        <c:axId val="128719488"/>
        <c:axId val="128733568"/>
      </c:scatterChart>
      <c:catAx>
        <c:axId val="128563456"/>
        <c:scaling>
          <c:orientation val="minMax"/>
        </c:scaling>
        <c:delete val="0"/>
        <c:axPos val="b"/>
        <c:title>
          <c:tx>
            <c:rich>
              <a:bodyPr/>
              <a:lstStyle/>
              <a:p>
                <a:pPr>
                  <a:defRPr sz="1000" b="0" i="0" u="none" strike="noStrike" baseline="0">
                    <a:solidFill>
                      <a:srgbClr val="000000"/>
                    </a:solidFill>
                    <a:latin typeface="Times New Roman"/>
                    <a:ea typeface="Times New Roman"/>
                    <a:cs typeface="Times New Roman"/>
                  </a:defRPr>
                </a:pPr>
                <a:r>
                  <a:rPr lang="en-US"/>
                  <a:t>Region</a:t>
                </a:r>
              </a:p>
            </c:rich>
          </c:tx>
          <c:overlay val="0"/>
          <c:spPr>
            <a:noFill/>
            <a:ln>
              <a:noFill/>
            </a:ln>
            <a:effectLst/>
          </c:spPr>
        </c:title>
        <c:numFmt formatCode="General" sourceLinked="1"/>
        <c:majorTickMark val="out"/>
        <c:minorTickMark val="none"/>
        <c:tickLblPos val="nextTo"/>
        <c:spPr>
          <a:noFill/>
          <a:ln>
            <a:solidFill>
              <a:sysClr val="windowText" lastClr="000000">
                <a:lumMod val="50000"/>
                <a:lumOff val="50000"/>
              </a:sysClr>
            </a:solid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28717568"/>
        <c:crosses val="autoZero"/>
        <c:auto val="1"/>
        <c:lblAlgn val="ctr"/>
        <c:lblOffset val="100"/>
        <c:noMultiLvlLbl val="0"/>
      </c:catAx>
      <c:valAx>
        <c:axId val="128717568"/>
        <c:scaling>
          <c:orientation val="minMax"/>
        </c:scaling>
        <c:delete val="0"/>
        <c:axPos val="l"/>
        <c:title>
          <c:tx>
            <c:rich>
              <a:bodyPr/>
              <a:lstStyle/>
              <a:p>
                <a:pPr>
                  <a:defRPr sz="1000" b="0" i="0" u="none" strike="noStrike" baseline="0">
                    <a:solidFill>
                      <a:srgbClr val="000000"/>
                    </a:solidFill>
                    <a:latin typeface="Times New Roman"/>
                    <a:ea typeface="Times New Roman"/>
                    <a:cs typeface="Times New Roman"/>
                  </a:defRPr>
                </a:pPr>
                <a:r>
                  <a:rPr lang="en-US"/>
                  <a:t>Household</a:t>
                </a:r>
              </a:p>
            </c:rich>
          </c:tx>
          <c:overlay val="0"/>
          <c:spPr>
            <a:noFill/>
            <a:ln>
              <a:noFill/>
            </a:ln>
            <a:effectLst/>
          </c:spPr>
        </c:title>
        <c:numFmt formatCode="_-* #,##0_-;\-* #,##0_-;_-* &quot;-&quot;??_-;_-@_-" sourceLinked="1"/>
        <c:majorTickMark val="out"/>
        <c:minorTickMark val="none"/>
        <c:tickLblPos val="nextTo"/>
        <c:spPr>
          <a:noFill/>
          <a:ln>
            <a:solidFill>
              <a:schemeClr val="bg1">
                <a:lumMod val="65000"/>
              </a:schemeClr>
            </a:solid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28563456"/>
        <c:crosses val="autoZero"/>
        <c:crossBetween val="between"/>
      </c:valAx>
      <c:valAx>
        <c:axId val="128719488"/>
        <c:scaling>
          <c:orientation val="minMax"/>
        </c:scaling>
        <c:delete val="1"/>
        <c:axPos val="b"/>
        <c:majorTickMark val="out"/>
        <c:minorTickMark val="none"/>
        <c:tickLblPos val="nextTo"/>
        <c:crossAx val="128733568"/>
        <c:crosses val="autoZero"/>
        <c:crossBetween val="midCat"/>
      </c:valAx>
      <c:valAx>
        <c:axId val="128733568"/>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Percent</a:t>
                </a:r>
              </a:p>
            </c:rich>
          </c:tx>
          <c:overlay val="0"/>
          <c:spPr>
            <a:noFill/>
            <a:ln>
              <a:noFill/>
            </a:ln>
            <a:effectLst/>
          </c:spPr>
        </c:title>
        <c:numFmt formatCode="0" sourceLinked="0"/>
        <c:majorTickMark val="out"/>
        <c:minorTickMark val="none"/>
        <c:tickLblPos val="nextTo"/>
        <c:spPr>
          <a:noFill/>
          <a:ln>
            <a:solidFill>
              <a:schemeClr val="bg1">
                <a:lumMod val="65000"/>
              </a:schemeClr>
            </a:solid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28719488"/>
        <c:crosses val="max"/>
        <c:crossBetween val="midCat"/>
      </c:valAx>
      <c:spPr>
        <a:noFill/>
        <a:ln w="25396">
          <a:noFill/>
        </a:ln>
      </c:spPr>
    </c:plotArea>
    <c:legend>
      <c:legendPos val="b"/>
      <c:layout>
        <c:manualLayout>
          <c:xMode val="edge"/>
          <c:yMode val="edge"/>
          <c:x val="0.2598004080531191"/>
          <c:y val="0.87939319511666547"/>
          <c:w val="0.48039918389376179"/>
          <c:h val="5.822148378241710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3" cap="flat" cmpd="sng" algn="ctr">
      <a:solidFill>
        <a:sysClr val="windowText" lastClr="000000">
          <a:lumMod val="50000"/>
          <a:lumOff val="50000"/>
        </a:sys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Sheet1!$AF$133</c:f>
              <c:strCache>
                <c:ptCount val="1"/>
                <c:pt idx="0">
                  <c:v>Number of Households</c:v>
                </c:pt>
              </c:strCache>
            </c:strRef>
          </c:tx>
          <c:spPr>
            <a:solidFill>
              <a:schemeClr val="accent1"/>
            </a:solidFill>
            <a:ln>
              <a:noFill/>
            </a:ln>
            <a:effectLst/>
          </c:spPr>
          <c:invertIfNegative val="0"/>
          <c:cat>
            <c:strRef>
              <c:f>Sheet1!$AE$134:$AE$138</c:f>
              <c:strCache>
                <c:ptCount val="5"/>
                <c:pt idx="0">
                  <c:v>Kusini  Pemba</c:v>
                </c:pt>
                <c:pt idx="1">
                  <c:v>Kusini Unguja</c:v>
                </c:pt>
                <c:pt idx="2">
                  <c:v>Kaskazini Pemba</c:v>
                </c:pt>
                <c:pt idx="3">
                  <c:v>Mjini Magharibi</c:v>
                </c:pt>
                <c:pt idx="4">
                  <c:v>Kaskazini Unguja</c:v>
                </c:pt>
              </c:strCache>
            </c:strRef>
          </c:cat>
          <c:val>
            <c:numRef>
              <c:f>Sheet1!$AF$134:$AF$138</c:f>
              <c:numCache>
                <c:formatCode>_-* #,##0_-;\-* #,##0_-;_-* "-"??_-;_-@_-</c:formatCode>
                <c:ptCount val="5"/>
                <c:pt idx="0">
                  <c:v>1047</c:v>
                </c:pt>
                <c:pt idx="1">
                  <c:v>992</c:v>
                </c:pt>
                <c:pt idx="2">
                  <c:v>952</c:v>
                </c:pt>
                <c:pt idx="3">
                  <c:v>660</c:v>
                </c:pt>
                <c:pt idx="4">
                  <c:v>349</c:v>
                </c:pt>
              </c:numCache>
            </c:numRef>
          </c:val>
          <c:extLst>
            <c:ext xmlns:c16="http://schemas.microsoft.com/office/drawing/2014/chart" uri="{C3380CC4-5D6E-409C-BE32-E72D297353CC}">
              <c16:uniqueId val="{00000000-8821-9344-AECB-DFAE57618093}"/>
            </c:ext>
          </c:extLst>
        </c:ser>
        <c:dLbls>
          <c:showLegendKey val="0"/>
          <c:showVal val="0"/>
          <c:showCatName val="0"/>
          <c:showSerName val="0"/>
          <c:showPercent val="0"/>
          <c:showBubbleSize val="0"/>
        </c:dLbls>
        <c:gapWidth val="219"/>
        <c:overlap val="-27"/>
        <c:axId val="129442176"/>
        <c:axId val="129444096"/>
      </c:barChart>
      <c:scatterChart>
        <c:scatterStyle val="lineMarker"/>
        <c:varyColors val="0"/>
        <c:ser>
          <c:idx val="1"/>
          <c:order val="1"/>
          <c:tx>
            <c:strRef>
              <c:f>Sheet1!$AG$133</c:f>
              <c:strCache>
                <c:ptCount val="1"/>
                <c:pt idx="0">
                  <c:v>Percent of Households</c:v>
                </c:pt>
              </c:strCache>
            </c:strRef>
          </c:tx>
          <c:spPr>
            <a:ln w="25397" cap="rnd">
              <a:noFill/>
              <a:round/>
            </a:ln>
            <a:effectLst/>
          </c:spPr>
          <c:marker>
            <c:symbol val="circle"/>
            <c:size val="4"/>
            <c:spPr>
              <a:solidFill>
                <a:schemeClr val="accent2"/>
              </a:solidFill>
              <a:ln w="9524">
                <a:solidFill>
                  <a:schemeClr val="accent2"/>
                </a:solidFill>
              </a:ln>
              <a:effectLst/>
            </c:spPr>
          </c:marker>
          <c:xVal>
            <c:strRef>
              <c:f>Sheet1!$AE$134:$AE$138</c:f>
              <c:strCache>
                <c:ptCount val="5"/>
                <c:pt idx="0">
                  <c:v>Kusini  Pemba</c:v>
                </c:pt>
                <c:pt idx="1">
                  <c:v>Kusini Unguja</c:v>
                </c:pt>
                <c:pt idx="2">
                  <c:v>Kaskazini Pemba</c:v>
                </c:pt>
                <c:pt idx="3">
                  <c:v>Mjini Magharibi</c:v>
                </c:pt>
                <c:pt idx="4">
                  <c:v>Kaskazini Unguja</c:v>
                </c:pt>
              </c:strCache>
            </c:strRef>
          </c:xVal>
          <c:yVal>
            <c:numRef>
              <c:f>Sheet1!$AG$134:$AG$138</c:f>
              <c:numCache>
                <c:formatCode>_-* #,##0.0_-;\-* #,##0.0_-;_-* "-"??_-;_-@_-</c:formatCode>
                <c:ptCount val="5"/>
                <c:pt idx="0">
                  <c:v>26.174999999999997</c:v>
                </c:pt>
                <c:pt idx="1">
                  <c:v>24.8</c:v>
                </c:pt>
                <c:pt idx="2">
                  <c:v>23.799999999999997</c:v>
                </c:pt>
                <c:pt idx="3">
                  <c:v>16.5</c:v>
                </c:pt>
                <c:pt idx="4">
                  <c:v>8.7249999999999996</c:v>
                </c:pt>
              </c:numCache>
            </c:numRef>
          </c:yVal>
          <c:smooth val="0"/>
          <c:extLst>
            <c:ext xmlns:c16="http://schemas.microsoft.com/office/drawing/2014/chart" uri="{C3380CC4-5D6E-409C-BE32-E72D297353CC}">
              <c16:uniqueId val="{00000001-8821-9344-AECB-DFAE57618093}"/>
            </c:ext>
          </c:extLst>
        </c:ser>
        <c:dLbls>
          <c:showLegendKey val="0"/>
          <c:showVal val="0"/>
          <c:showCatName val="0"/>
          <c:showSerName val="0"/>
          <c:showPercent val="0"/>
          <c:showBubbleSize val="0"/>
        </c:dLbls>
        <c:axId val="129449984"/>
        <c:axId val="129451520"/>
      </c:scatterChart>
      <c:catAx>
        <c:axId val="129442176"/>
        <c:scaling>
          <c:orientation val="minMax"/>
        </c:scaling>
        <c:delete val="0"/>
        <c:axPos val="b"/>
        <c:title>
          <c:tx>
            <c:rich>
              <a:bodyPr/>
              <a:lstStyle/>
              <a:p>
                <a:pPr>
                  <a:defRPr b="0"/>
                </a:pPr>
                <a:r>
                  <a:rPr lang="en-US" b="0"/>
                  <a:t>Region</a:t>
                </a:r>
              </a:p>
            </c:rich>
          </c:tx>
          <c:layout>
            <c:manualLayout>
              <c:xMode val="edge"/>
              <c:yMode val="edge"/>
              <c:x val="0.47697379264875561"/>
              <c:y val="0.79214337307496807"/>
            </c:manualLayout>
          </c:layout>
          <c:overlay val="0"/>
          <c:spPr>
            <a:noFill/>
            <a:ln>
              <a:noFill/>
            </a:ln>
            <a:effectLst/>
          </c:spPr>
        </c:title>
        <c:numFmt formatCode="General" sourceLinked="1"/>
        <c:majorTickMark val="out"/>
        <c:minorTickMark val="none"/>
        <c:tickLblPos val="nextTo"/>
        <c:spPr>
          <a:noFill/>
          <a:ln w="3175" cap="flat" cmpd="sng" algn="ctr">
            <a:solidFill>
              <a:sysClr val="windowText" lastClr="000000">
                <a:lumMod val="50000"/>
                <a:lumOff val="50000"/>
              </a:sysClr>
            </a:solidFill>
            <a:round/>
          </a:ln>
          <a:effectLst/>
        </c:spPr>
        <c:txPr>
          <a:bodyPr rot="-60000000" vert="horz"/>
          <a:lstStyle/>
          <a:p>
            <a:pPr>
              <a:defRPr/>
            </a:pPr>
            <a:endParaRPr lang="en-US"/>
          </a:p>
        </c:txPr>
        <c:crossAx val="129444096"/>
        <c:crosses val="autoZero"/>
        <c:auto val="1"/>
        <c:lblAlgn val="ctr"/>
        <c:lblOffset val="100"/>
        <c:noMultiLvlLbl val="0"/>
      </c:catAx>
      <c:valAx>
        <c:axId val="129444096"/>
        <c:scaling>
          <c:orientation val="minMax"/>
        </c:scaling>
        <c:delete val="0"/>
        <c:axPos val="l"/>
        <c:title>
          <c:tx>
            <c:rich>
              <a:bodyPr/>
              <a:lstStyle/>
              <a:p>
                <a:pPr>
                  <a:defRPr b="0"/>
                </a:pPr>
                <a:r>
                  <a:rPr lang="en-US" b="0"/>
                  <a:t>Household</a:t>
                </a:r>
              </a:p>
            </c:rich>
          </c:tx>
          <c:overlay val="0"/>
          <c:spPr>
            <a:noFill/>
            <a:ln>
              <a:noFill/>
            </a:ln>
            <a:effectLst/>
          </c:spPr>
        </c:title>
        <c:numFmt formatCode="_-* #,##0_-;\-* #,##0_-;_-* &quot;-&quot;??_-;_-@_-" sourceLinked="1"/>
        <c:majorTickMark val="out"/>
        <c:minorTickMark val="none"/>
        <c:tickLblPos val="nextTo"/>
        <c:spPr>
          <a:noFill/>
          <a:ln w="3175">
            <a:solidFill>
              <a:sysClr val="windowText" lastClr="000000">
                <a:lumMod val="50000"/>
                <a:lumOff val="50000"/>
              </a:sysClr>
            </a:solidFill>
          </a:ln>
          <a:effectLst/>
        </c:spPr>
        <c:txPr>
          <a:bodyPr rot="-60000000" vert="horz"/>
          <a:lstStyle/>
          <a:p>
            <a:pPr>
              <a:defRPr/>
            </a:pPr>
            <a:endParaRPr lang="en-US"/>
          </a:p>
        </c:txPr>
        <c:crossAx val="129442176"/>
        <c:crosses val="autoZero"/>
        <c:crossBetween val="between"/>
      </c:valAx>
      <c:valAx>
        <c:axId val="129449984"/>
        <c:scaling>
          <c:orientation val="minMax"/>
        </c:scaling>
        <c:delete val="1"/>
        <c:axPos val="b"/>
        <c:majorTickMark val="out"/>
        <c:minorTickMark val="none"/>
        <c:tickLblPos val="nextTo"/>
        <c:crossAx val="129451520"/>
        <c:crosses val="autoZero"/>
        <c:crossBetween val="midCat"/>
      </c:valAx>
      <c:valAx>
        <c:axId val="129451520"/>
        <c:scaling>
          <c:orientation val="minMax"/>
        </c:scaling>
        <c:delete val="0"/>
        <c:axPos val="r"/>
        <c:title>
          <c:tx>
            <c:rich>
              <a:bodyPr rot="-5400000" vert="horz"/>
              <a:lstStyle/>
              <a:p>
                <a:pPr>
                  <a:defRPr b="0"/>
                </a:pPr>
                <a:r>
                  <a:rPr lang="en-US" b="0"/>
                  <a:t>Percent</a:t>
                </a:r>
              </a:p>
            </c:rich>
          </c:tx>
          <c:overlay val="0"/>
          <c:spPr>
            <a:noFill/>
            <a:ln>
              <a:noFill/>
            </a:ln>
            <a:effectLst/>
          </c:spPr>
        </c:title>
        <c:numFmt formatCode="#,##0" sourceLinked="0"/>
        <c:majorTickMark val="out"/>
        <c:minorTickMark val="none"/>
        <c:tickLblPos val="nextTo"/>
        <c:spPr>
          <a:noFill/>
          <a:ln>
            <a:solidFill>
              <a:schemeClr val="bg1">
                <a:lumMod val="65000"/>
              </a:schemeClr>
            </a:solidFill>
          </a:ln>
          <a:effectLst/>
        </c:spPr>
        <c:txPr>
          <a:bodyPr rot="-60000000" vert="horz"/>
          <a:lstStyle/>
          <a:p>
            <a:pPr>
              <a:defRPr/>
            </a:pPr>
            <a:endParaRPr lang="en-US"/>
          </a:p>
        </c:txPr>
        <c:crossAx val="129449984"/>
        <c:crosses val="max"/>
        <c:crossBetween val="midCat"/>
      </c:valAx>
      <c:spPr>
        <a:noFill/>
        <a:ln w="25397">
          <a:noFill/>
        </a:ln>
      </c:spPr>
    </c:plotArea>
    <c:legend>
      <c:legendPos val="b"/>
      <c:overlay val="0"/>
      <c:spPr>
        <a:noFill/>
        <a:ln>
          <a:noFill/>
        </a:ln>
        <a:effectLst/>
      </c:spPr>
      <c:txPr>
        <a:bodyPr rot="0" vert="horz"/>
        <a:lstStyle/>
        <a:p>
          <a:pPr>
            <a:defRPr/>
          </a:pPr>
          <a:endParaRPr lang="en-US"/>
        </a:p>
      </c:txPr>
    </c:legend>
    <c:plotVisOnly val="1"/>
    <c:dispBlanksAs val="gap"/>
    <c:showDLblsOverMax val="0"/>
  </c:chart>
  <c:spPr>
    <a:solidFill>
      <a:schemeClr val="bg1"/>
    </a:solidFill>
    <a:ln w="9524" cap="flat" cmpd="sng" algn="ctr">
      <a:solidFill>
        <a:sysClr val="windowText" lastClr="000000">
          <a:lumMod val="50000"/>
          <a:lumOff val="50000"/>
        </a:sysClr>
      </a:solidFill>
      <a:round/>
    </a:ln>
    <a:effectLst/>
  </c:spPr>
  <c:txPr>
    <a:bodyPr/>
    <a:lstStyle/>
    <a:p>
      <a:pPr>
        <a:defRPr sz="700">
          <a:solidFill>
            <a:schemeClr val="tx1"/>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79674333471474"/>
          <c:y val="6.5913517567060875E-2"/>
          <c:w val="0.69477195284799931"/>
          <c:h val="0.56269641970429374"/>
        </c:manualLayout>
      </c:layout>
      <c:barChart>
        <c:barDir val="col"/>
        <c:grouping val="clustered"/>
        <c:varyColors val="0"/>
        <c:ser>
          <c:idx val="0"/>
          <c:order val="0"/>
          <c:tx>
            <c:strRef>
              <c:f>Sheet1!$Y$133</c:f>
              <c:strCache>
                <c:ptCount val="1"/>
                <c:pt idx="0">
                  <c:v>Number of Households</c:v>
                </c:pt>
              </c:strCache>
            </c:strRef>
          </c:tx>
          <c:spPr>
            <a:solidFill>
              <a:schemeClr val="accent1"/>
            </a:solidFill>
            <a:ln>
              <a:noFill/>
            </a:ln>
            <a:effectLst/>
          </c:spPr>
          <c:invertIfNegative val="0"/>
          <c:cat>
            <c:strRef>
              <c:f>Sheet1!$X$134:$X$138</c:f>
              <c:strCache>
                <c:ptCount val="5"/>
                <c:pt idx="0">
                  <c:v>Kusini  Pemba</c:v>
                </c:pt>
                <c:pt idx="1">
                  <c:v>Kaskazini Pemba</c:v>
                </c:pt>
                <c:pt idx="2">
                  <c:v>Mjini Magharibi</c:v>
                </c:pt>
                <c:pt idx="3">
                  <c:v>Kusini Unguja</c:v>
                </c:pt>
                <c:pt idx="4">
                  <c:v>Kaskazini Unguja</c:v>
                </c:pt>
              </c:strCache>
            </c:strRef>
          </c:cat>
          <c:val>
            <c:numRef>
              <c:f>Sheet1!$Y$134:$Y$138</c:f>
              <c:numCache>
                <c:formatCode>_-* #,##0_-;\-* #,##0_-;_-* "-"??_-;_-@_-</c:formatCode>
                <c:ptCount val="5"/>
                <c:pt idx="0">
                  <c:v>875</c:v>
                </c:pt>
                <c:pt idx="1">
                  <c:v>805</c:v>
                </c:pt>
                <c:pt idx="2">
                  <c:v>568</c:v>
                </c:pt>
                <c:pt idx="3">
                  <c:v>232</c:v>
                </c:pt>
                <c:pt idx="4">
                  <c:v>0</c:v>
                </c:pt>
              </c:numCache>
            </c:numRef>
          </c:val>
          <c:extLst>
            <c:ext xmlns:c16="http://schemas.microsoft.com/office/drawing/2014/chart" uri="{C3380CC4-5D6E-409C-BE32-E72D297353CC}">
              <c16:uniqueId val="{00000000-B879-1443-92F3-236F9579B997}"/>
            </c:ext>
          </c:extLst>
        </c:ser>
        <c:dLbls>
          <c:showLegendKey val="0"/>
          <c:showVal val="0"/>
          <c:showCatName val="0"/>
          <c:showSerName val="0"/>
          <c:showPercent val="0"/>
          <c:showBubbleSize val="0"/>
        </c:dLbls>
        <c:gapWidth val="219"/>
        <c:overlap val="-27"/>
        <c:axId val="129753472"/>
        <c:axId val="129755776"/>
      </c:barChart>
      <c:scatterChart>
        <c:scatterStyle val="lineMarker"/>
        <c:varyColors val="0"/>
        <c:ser>
          <c:idx val="1"/>
          <c:order val="1"/>
          <c:tx>
            <c:strRef>
              <c:f>Sheet1!$Z$133</c:f>
              <c:strCache>
                <c:ptCount val="1"/>
                <c:pt idx="0">
                  <c:v>Percent of Households</c:v>
                </c:pt>
              </c:strCache>
            </c:strRef>
          </c:tx>
          <c:spPr>
            <a:ln w="25398" cap="rnd">
              <a:noFill/>
              <a:round/>
            </a:ln>
            <a:effectLst/>
          </c:spPr>
          <c:marker>
            <c:symbol val="circle"/>
            <c:size val="2"/>
            <c:spPr>
              <a:solidFill>
                <a:schemeClr val="accent2"/>
              </a:solidFill>
              <a:ln w="9524">
                <a:solidFill>
                  <a:schemeClr val="accent2"/>
                </a:solidFill>
              </a:ln>
              <a:effectLst/>
            </c:spPr>
          </c:marker>
          <c:xVal>
            <c:strRef>
              <c:f>Sheet1!$X$134:$X$138</c:f>
              <c:strCache>
                <c:ptCount val="5"/>
                <c:pt idx="0">
                  <c:v>Kusini  Pemba</c:v>
                </c:pt>
                <c:pt idx="1">
                  <c:v>Kaskazini Pemba</c:v>
                </c:pt>
                <c:pt idx="2">
                  <c:v>Mjini Magharibi</c:v>
                </c:pt>
                <c:pt idx="3">
                  <c:v>Kusini Unguja</c:v>
                </c:pt>
                <c:pt idx="4">
                  <c:v>Kaskazini Unguja</c:v>
                </c:pt>
              </c:strCache>
            </c:strRef>
          </c:xVal>
          <c:yVal>
            <c:numRef>
              <c:f>Sheet1!$Z$134:$Z$138</c:f>
              <c:numCache>
                <c:formatCode>_-* #,##0.0_-;\-* #,##0.0_-;_-* "-"??_-;_-@_-</c:formatCode>
                <c:ptCount val="5"/>
                <c:pt idx="0">
                  <c:v>35.282258064516128</c:v>
                </c:pt>
                <c:pt idx="1">
                  <c:v>32.45967741935484</c:v>
                </c:pt>
                <c:pt idx="2">
                  <c:v>22.903225806451612</c:v>
                </c:pt>
                <c:pt idx="3">
                  <c:v>9.3548387096774199</c:v>
                </c:pt>
                <c:pt idx="4" formatCode="_-* #,##0_-;\-* #,##0_-;_-* &quot;-&quot;??_-;_-@_-">
                  <c:v>0</c:v>
                </c:pt>
              </c:numCache>
            </c:numRef>
          </c:yVal>
          <c:smooth val="0"/>
          <c:extLst>
            <c:ext xmlns:c16="http://schemas.microsoft.com/office/drawing/2014/chart" uri="{C3380CC4-5D6E-409C-BE32-E72D297353CC}">
              <c16:uniqueId val="{00000001-B879-1443-92F3-236F9579B997}"/>
            </c:ext>
          </c:extLst>
        </c:ser>
        <c:dLbls>
          <c:showLegendKey val="0"/>
          <c:showVal val="0"/>
          <c:showCatName val="0"/>
          <c:showSerName val="0"/>
          <c:showPercent val="0"/>
          <c:showBubbleSize val="0"/>
        </c:dLbls>
        <c:axId val="129630976"/>
        <c:axId val="129632512"/>
      </c:scatterChart>
      <c:catAx>
        <c:axId val="129753472"/>
        <c:scaling>
          <c:orientation val="minMax"/>
        </c:scaling>
        <c:delete val="0"/>
        <c:axPos val="b"/>
        <c:title>
          <c:tx>
            <c:rich>
              <a:bodyPr/>
              <a:lstStyle/>
              <a:p>
                <a:pPr>
                  <a:defRPr b="0"/>
                </a:pPr>
                <a:r>
                  <a:rPr lang="en-US" b="0"/>
                  <a:t>Region</a:t>
                </a:r>
              </a:p>
            </c:rich>
          </c:tx>
          <c:layout>
            <c:manualLayout>
              <c:xMode val="edge"/>
              <c:yMode val="edge"/>
              <c:x val="0.44474288575770127"/>
              <c:y val="0.79378509968257682"/>
            </c:manualLayout>
          </c:layout>
          <c:overlay val="0"/>
          <c:spPr>
            <a:noFill/>
            <a:ln>
              <a:noFill/>
            </a:ln>
            <a:effectLst/>
          </c:spPr>
        </c:title>
        <c:numFmt formatCode="General" sourceLinked="1"/>
        <c:majorTickMark val="out"/>
        <c:minorTickMark val="none"/>
        <c:tickLblPos val="nextTo"/>
        <c:spPr>
          <a:noFill/>
          <a:ln w="9524" cap="flat" cmpd="sng" algn="ctr">
            <a:solidFill>
              <a:sysClr val="windowText" lastClr="000000">
                <a:lumMod val="50000"/>
                <a:lumOff val="50000"/>
              </a:sysClr>
            </a:solidFill>
            <a:round/>
          </a:ln>
          <a:effectLst/>
        </c:spPr>
        <c:txPr>
          <a:bodyPr rot="0"/>
          <a:lstStyle/>
          <a:p>
            <a:pPr>
              <a:defRPr/>
            </a:pPr>
            <a:endParaRPr lang="en-US"/>
          </a:p>
        </c:txPr>
        <c:crossAx val="129755776"/>
        <c:crosses val="autoZero"/>
        <c:auto val="1"/>
        <c:lblAlgn val="ctr"/>
        <c:lblOffset val="100"/>
        <c:noMultiLvlLbl val="0"/>
      </c:catAx>
      <c:valAx>
        <c:axId val="129755776"/>
        <c:scaling>
          <c:orientation val="minMax"/>
        </c:scaling>
        <c:delete val="0"/>
        <c:axPos val="l"/>
        <c:title>
          <c:tx>
            <c:rich>
              <a:bodyPr/>
              <a:lstStyle/>
              <a:p>
                <a:pPr>
                  <a:defRPr b="0"/>
                </a:pPr>
                <a:r>
                  <a:rPr lang="en-US" b="0"/>
                  <a:t>Household</a:t>
                </a:r>
              </a:p>
            </c:rich>
          </c:tx>
          <c:layout>
            <c:manualLayout>
              <c:xMode val="edge"/>
              <c:yMode val="edge"/>
              <c:x val="3.7278687203573233E-2"/>
              <c:y val="0.23744180626070391"/>
            </c:manualLayout>
          </c:layout>
          <c:overlay val="0"/>
          <c:spPr>
            <a:noFill/>
            <a:ln>
              <a:noFill/>
            </a:ln>
            <a:effectLst/>
          </c:spPr>
        </c:title>
        <c:numFmt formatCode="_-* #,##0_-;\-* #,##0_-;_-* &quot;-&quot;??_-;_-@_-" sourceLinked="1"/>
        <c:majorTickMark val="out"/>
        <c:minorTickMark val="none"/>
        <c:tickLblPos val="nextTo"/>
        <c:spPr>
          <a:noFill/>
          <a:ln>
            <a:solidFill>
              <a:schemeClr val="bg1">
                <a:lumMod val="65000"/>
              </a:schemeClr>
            </a:solidFill>
          </a:ln>
          <a:effectLst/>
        </c:spPr>
        <c:txPr>
          <a:bodyPr rot="-60000000" vert="horz"/>
          <a:lstStyle/>
          <a:p>
            <a:pPr>
              <a:defRPr/>
            </a:pPr>
            <a:endParaRPr lang="en-US"/>
          </a:p>
        </c:txPr>
        <c:crossAx val="129753472"/>
        <c:crosses val="autoZero"/>
        <c:crossBetween val="between"/>
        <c:majorUnit val="200"/>
      </c:valAx>
      <c:valAx>
        <c:axId val="129630976"/>
        <c:scaling>
          <c:orientation val="minMax"/>
        </c:scaling>
        <c:delete val="1"/>
        <c:axPos val="b"/>
        <c:majorTickMark val="out"/>
        <c:minorTickMark val="none"/>
        <c:tickLblPos val="nextTo"/>
        <c:crossAx val="129632512"/>
        <c:crosses val="autoZero"/>
        <c:crossBetween val="midCat"/>
      </c:valAx>
      <c:valAx>
        <c:axId val="129632512"/>
        <c:scaling>
          <c:orientation val="minMax"/>
        </c:scaling>
        <c:delete val="0"/>
        <c:axPos val="r"/>
        <c:title>
          <c:tx>
            <c:rich>
              <a:bodyPr rot="-5400000" vert="horz"/>
              <a:lstStyle/>
              <a:p>
                <a:pPr>
                  <a:defRPr b="0"/>
                </a:pPr>
                <a:r>
                  <a:rPr lang="en-US" b="0"/>
                  <a:t>Percent</a:t>
                </a:r>
              </a:p>
            </c:rich>
          </c:tx>
          <c:overlay val="0"/>
          <c:spPr>
            <a:noFill/>
            <a:ln>
              <a:noFill/>
            </a:ln>
            <a:effectLst/>
          </c:spPr>
        </c:title>
        <c:numFmt formatCode="#,##0" sourceLinked="0"/>
        <c:majorTickMark val="out"/>
        <c:minorTickMark val="none"/>
        <c:tickLblPos val="nextTo"/>
        <c:spPr>
          <a:noFill/>
          <a:ln>
            <a:solidFill>
              <a:schemeClr val="bg1">
                <a:lumMod val="65000"/>
              </a:schemeClr>
            </a:solidFill>
          </a:ln>
          <a:effectLst/>
        </c:spPr>
        <c:txPr>
          <a:bodyPr rot="-60000000" vert="horz"/>
          <a:lstStyle/>
          <a:p>
            <a:pPr>
              <a:defRPr/>
            </a:pPr>
            <a:endParaRPr lang="en-US"/>
          </a:p>
        </c:txPr>
        <c:crossAx val="129630976"/>
        <c:crosses val="max"/>
        <c:crossBetween val="midCat"/>
      </c:valAx>
      <c:spPr>
        <a:noFill/>
        <a:ln w="25398">
          <a:noFill/>
        </a:ln>
      </c:spPr>
    </c:plotArea>
    <c:legend>
      <c:legendPos val="b"/>
      <c:overlay val="0"/>
      <c:spPr>
        <a:noFill/>
        <a:ln>
          <a:noFill/>
        </a:ln>
        <a:effectLst/>
      </c:spPr>
      <c:txPr>
        <a:bodyPr rot="0" vert="horz"/>
        <a:lstStyle/>
        <a:p>
          <a:pPr>
            <a:defRPr/>
          </a:pPr>
          <a:endParaRPr lang="en-US"/>
        </a:p>
      </c:txPr>
    </c:legend>
    <c:plotVisOnly val="1"/>
    <c:dispBlanksAs val="gap"/>
    <c:showDLblsOverMax val="0"/>
  </c:chart>
  <c:spPr>
    <a:solidFill>
      <a:schemeClr val="bg1"/>
    </a:solidFill>
    <a:ln w="9524" cap="flat" cmpd="sng" algn="ctr">
      <a:solidFill>
        <a:sysClr val="windowText" lastClr="000000">
          <a:lumMod val="50000"/>
          <a:lumOff val="50000"/>
        </a:sysClr>
      </a:solidFill>
      <a:round/>
    </a:ln>
    <a:effectLst/>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472007384512105"/>
          <c:y val="5.2231718898385564E-2"/>
          <c:w val="0.8260566952002073"/>
          <c:h val="0.42600356154390784"/>
        </c:manualLayout>
      </c:layout>
      <c:barChart>
        <c:barDir val="col"/>
        <c:grouping val="clustered"/>
        <c:varyColors val="0"/>
        <c:ser>
          <c:idx val="0"/>
          <c:order val="0"/>
          <c:tx>
            <c:strRef>
              <c:f>'advice adopted'!$B$44</c:f>
              <c:strCache>
                <c:ptCount val="1"/>
                <c:pt idx="0">
                  <c:v>Practiced (%)</c:v>
                </c:pt>
              </c:strCache>
            </c:strRef>
          </c:tx>
          <c:spPr>
            <a:solidFill>
              <a:srgbClr val="5B9BD5"/>
            </a:solidFill>
            <a:ln w="25469">
              <a:noFill/>
            </a:ln>
          </c:spPr>
          <c:invertIfNegative val="0"/>
          <c:dLbls>
            <c:spPr>
              <a:noFill/>
              <a:ln w="25469">
                <a:noFill/>
              </a:ln>
            </c:spPr>
            <c:txPr>
              <a:bodyPr rot="-5400000" vert="horz"/>
              <a:lstStyle/>
              <a:p>
                <a:pPr>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'advice adopted'!$A$45:$A$57</c:f>
              <c:strCache>
                <c:ptCount val="13"/>
                <c:pt idx="0">
                  <c:v>Feeds and Proper feeding</c:v>
                </c:pt>
                <c:pt idx="1">
                  <c:v>Housing </c:v>
                </c:pt>
                <c:pt idx="2">
                  <c:v>Proper Milking and Milk Hygene</c:v>
                </c:pt>
                <c:pt idx="3">
                  <c:v>Livestock fattening</c:v>
                </c:pt>
                <c:pt idx="4">
                  <c:v>Disease control</c:v>
                </c:pt>
                <c:pt idx="5">
                  <c:v>Herd/Flock size and selection</c:v>
                </c:pt>
                <c:pt idx="6">
                  <c:v>Livestock keeping based on carrying capacity</c:v>
                </c:pt>
                <c:pt idx="7">
                  <c:v>Pasture Establishment</c:v>
                </c:pt>
                <c:pt idx="8">
                  <c:v>Group formation and strengthening</c:v>
                </c:pt>
                <c:pt idx="9">
                  <c:v>Calf rearing</c:v>
                </c:pt>
                <c:pt idx="10">
                  <c:v>Use of improved Bulls/AI</c:v>
                </c:pt>
                <c:pt idx="11">
                  <c:v>Livestock branding</c:v>
                </c:pt>
                <c:pt idx="12">
                  <c:v>Castration</c:v>
                </c:pt>
              </c:strCache>
            </c:strRef>
          </c:cat>
          <c:val>
            <c:numRef>
              <c:f>'advice adopted'!$B$45:$B$57</c:f>
              <c:numCache>
                <c:formatCode>General</c:formatCode>
                <c:ptCount val="13"/>
                <c:pt idx="0">
                  <c:v>84.7</c:v>
                </c:pt>
                <c:pt idx="1">
                  <c:v>72.3</c:v>
                </c:pt>
                <c:pt idx="2">
                  <c:v>67.7</c:v>
                </c:pt>
                <c:pt idx="3">
                  <c:v>81.5</c:v>
                </c:pt>
                <c:pt idx="4">
                  <c:v>85.4</c:v>
                </c:pt>
                <c:pt idx="5">
                  <c:v>72.900000000000006</c:v>
                </c:pt>
                <c:pt idx="6">
                  <c:v>79.3</c:v>
                </c:pt>
                <c:pt idx="7">
                  <c:v>69.7</c:v>
                </c:pt>
                <c:pt idx="8">
                  <c:v>64.099999999999994</c:v>
                </c:pt>
                <c:pt idx="9">
                  <c:v>80.8</c:v>
                </c:pt>
                <c:pt idx="10">
                  <c:v>59.4</c:v>
                </c:pt>
                <c:pt idx="11">
                  <c:v>65.599999999999994</c:v>
                </c:pt>
                <c:pt idx="12" formatCode="0.0">
                  <c:v>68</c:v>
                </c:pt>
              </c:numCache>
            </c:numRef>
          </c:val>
          <c:extLst>
            <c:ext xmlns:c16="http://schemas.microsoft.com/office/drawing/2014/chart" uri="{C3380CC4-5D6E-409C-BE32-E72D297353CC}">
              <c16:uniqueId val="{00000000-E9E2-FE4C-8E6A-39380C3EF3CE}"/>
            </c:ext>
          </c:extLst>
        </c:ser>
        <c:dLbls>
          <c:showLegendKey val="0"/>
          <c:showVal val="0"/>
          <c:showCatName val="0"/>
          <c:showSerName val="0"/>
          <c:showPercent val="0"/>
          <c:showBubbleSize val="0"/>
        </c:dLbls>
        <c:gapWidth val="219"/>
        <c:overlap val="-27"/>
        <c:axId val="129955712"/>
        <c:axId val="129957248"/>
      </c:barChart>
      <c:catAx>
        <c:axId val="129955712"/>
        <c:scaling>
          <c:orientation val="minMax"/>
        </c:scaling>
        <c:delete val="0"/>
        <c:axPos val="b"/>
        <c:title>
          <c:tx>
            <c:rich>
              <a:bodyPr/>
              <a:lstStyle/>
              <a:p>
                <a:pPr>
                  <a:defRPr/>
                </a:pPr>
                <a:r>
                  <a:rPr lang="en-US"/>
                  <a:t>Advice Practiced</a:t>
                </a:r>
              </a:p>
            </c:rich>
          </c:tx>
          <c:layout>
            <c:manualLayout>
              <c:xMode val="edge"/>
              <c:yMode val="edge"/>
              <c:x val="0.51594452424771042"/>
              <c:y val="0.92989382102491691"/>
            </c:manualLayout>
          </c:layout>
          <c:overlay val="0"/>
        </c:title>
        <c:numFmt formatCode="General" sourceLinked="1"/>
        <c:majorTickMark val="out"/>
        <c:minorTickMark val="none"/>
        <c:tickLblPos val="nextTo"/>
        <c:spPr>
          <a:noFill/>
          <a:ln w="9551" cap="flat" cmpd="sng" algn="ctr">
            <a:solidFill>
              <a:sysClr val="windowText" lastClr="000000">
                <a:lumMod val="50000"/>
                <a:lumOff val="50000"/>
              </a:sysClr>
            </a:solidFill>
            <a:round/>
          </a:ln>
          <a:effectLst/>
        </c:spPr>
        <c:txPr>
          <a:bodyPr rot="-5400000" vert="horz"/>
          <a:lstStyle/>
          <a:p>
            <a:pPr>
              <a:defRPr/>
            </a:pPr>
            <a:endParaRPr lang="en-US"/>
          </a:p>
        </c:txPr>
        <c:crossAx val="129957248"/>
        <c:crosses val="autoZero"/>
        <c:auto val="1"/>
        <c:lblAlgn val="ctr"/>
        <c:lblOffset val="100"/>
        <c:noMultiLvlLbl val="0"/>
      </c:catAx>
      <c:valAx>
        <c:axId val="129957248"/>
        <c:scaling>
          <c:orientation val="minMax"/>
        </c:scaling>
        <c:delete val="0"/>
        <c:axPos val="l"/>
        <c:title>
          <c:tx>
            <c:rich>
              <a:bodyPr/>
              <a:lstStyle/>
              <a:p>
                <a:pPr>
                  <a:defRPr/>
                </a:pPr>
                <a:r>
                  <a:rPr lang="en-US"/>
                  <a:t>Percent</a:t>
                </a:r>
              </a:p>
            </c:rich>
          </c:tx>
          <c:layout>
            <c:manualLayout>
              <c:xMode val="edge"/>
              <c:yMode val="edge"/>
              <c:x val="2.2758175183756134E-2"/>
              <c:y val="0.18044106356700701"/>
            </c:manualLayout>
          </c:layout>
          <c:overlay val="0"/>
          <c:spPr>
            <a:noFill/>
            <a:ln w="25469">
              <a:noFill/>
            </a:ln>
          </c:spPr>
        </c:title>
        <c:numFmt formatCode="General" sourceLinked="1"/>
        <c:majorTickMark val="out"/>
        <c:minorTickMark val="none"/>
        <c:tickLblPos val="nextTo"/>
        <c:spPr>
          <a:noFill/>
          <a:ln w="6367">
            <a:solidFill>
              <a:sysClr val="windowText" lastClr="000000">
                <a:lumMod val="50000"/>
                <a:lumOff val="50000"/>
              </a:sysClr>
            </a:solidFill>
          </a:ln>
        </c:spPr>
        <c:txPr>
          <a:bodyPr rot="-60000000" vert="horz"/>
          <a:lstStyle/>
          <a:p>
            <a:pPr>
              <a:defRPr/>
            </a:pPr>
            <a:endParaRPr lang="en-US"/>
          </a:p>
        </c:txPr>
        <c:crossAx val="129955712"/>
        <c:crosses val="autoZero"/>
        <c:crossBetween val="between"/>
      </c:valAx>
      <c:spPr>
        <a:noFill/>
        <a:ln w="25469">
          <a:noFill/>
        </a:ln>
      </c:spPr>
    </c:plotArea>
    <c:plotVisOnly val="1"/>
    <c:dispBlanksAs val="gap"/>
    <c:showDLblsOverMax val="0"/>
  </c:chart>
  <c:spPr>
    <a:solidFill>
      <a:schemeClr val="bg1"/>
    </a:solidFill>
    <a:ln w="9551" cap="flat" cmpd="sng" algn="ctr">
      <a:solidFill>
        <a:sysClr val="windowText" lastClr="000000">
          <a:lumMod val="50000"/>
          <a:lumOff val="50000"/>
        </a:sysClr>
      </a:solidFill>
      <a:round/>
    </a:ln>
    <a:effectLst/>
  </c:spPr>
  <c:txPr>
    <a:bodyPr/>
    <a:lstStyle/>
    <a:p>
      <a:pPr>
        <a:defRPr sz="750" b="0">
          <a:solidFill>
            <a:schemeClr val="tx1"/>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6133725786105545E-2"/>
          <c:y val="5.2833813640730067E-2"/>
          <c:w val="0.84417397715556231"/>
          <c:h val="0.393837693919384"/>
        </c:manualLayout>
      </c:layout>
      <c:barChart>
        <c:barDir val="col"/>
        <c:grouping val="clustered"/>
        <c:varyColors val="0"/>
        <c:ser>
          <c:idx val="0"/>
          <c:order val="0"/>
          <c:tx>
            <c:strRef>
              <c:f>'advice adopted'!$D$44</c:f>
              <c:strCache>
                <c:ptCount val="1"/>
                <c:pt idx="0">
                  <c:v>Practiced (%)</c:v>
                </c:pt>
              </c:strCache>
            </c:strRef>
          </c:tx>
          <c:spPr>
            <a:solidFill>
              <a:srgbClr val="5B9BD5"/>
            </a:solidFill>
            <a:ln w="25493">
              <a:noFill/>
            </a:ln>
          </c:spPr>
          <c:invertIfNegative val="0"/>
          <c:dLbls>
            <c:spPr>
              <a:noFill/>
              <a:ln w="25493">
                <a:noFill/>
              </a:ln>
            </c:spPr>
            <c:txPr>
              <a:bodyPr rot="-5400000" vert="horz"/>
              <a:lstStyle/>
              <a:p>
                <a:pPr>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'advice adopted'!$A$45:$A$57</c:f>
              <c:strCache>
                <c:ptCount val="13"/>
                <c:pt idx="0">
                  <c:v>Feeds and Proper feeding</c:v>
                </c:pt>
                <c:pt idx="1">
                  <c:v>Housing </c:v>
                </c:pt>
                <c:pt idx="2">
                  <c:v>Proper Milking and Milk Hygene</c:v>
                </c:pt>
                <c:pt idx="3">
                  <c:v>Livestock fattening</c:v>
                </c:pt>
                <c:pt idx="4">
                  <c:v>Disease control</c:v>
                </c:pt>
                <c:pt idx="5">
                  <c:v>Herd/Flock size and selection</c:v>
                </c:pt>
                <c:pt idx="6">
                  <c:v>Livestock keeping based on carrying capacity</c:v>
                </c:pt>
                <c:pt idx="7">
                  <c:v>Pasture Establishment</c:v>
                </c:pt>
                <c:pt idx="8">
                  <c:v>Group formation and strengthening</c:v>
                </c:pt>
                <c:pt idx="9">
                  <c:v>Calf rearing</c:v>
                </c:pt>
                <c:pt idx="10">
                  <c:v>Use of improved Bulls/AI</c:v>
                </c:pt>
                <c:pt idx="11">
                  <c:v>Livestock branding</c:v>
                </c:pt>
                <c:pt idx="12">
                  <c:v>Castration</c:v>
                </c:pt>
              </c:strCache>
            </c:strRef>
          </c:cat>
          <c:val>
            <c:numRef>
              <c:f>'advice adopted'!$D$45:$D$57</c:f>
              <c:numCache>
                <c:formatCode>General</c:formatCode>
                <c:ptCount val="13"/>
                <c:pt idx="0">
                  <c:v>84.7</c:v>
                </c:pt>
                <c:pt idx="1">
                  <c:v>72.099999999999994</c:v>
                </c:pt>
                <c:pt idx="2" formatCode="0.0">
                  <c:v>67</c:v>
                </c:pt>
                <c:pt idx="3">
                  <c:v>81.400000000000006</c:v>
                </c:pt>
                <c:pt idx="4">
                  <c:v>85.4</c:v>
                </c:pt>
                <c:pt idx="5">
                  <c:v>72.400000000000006</c:v>
                </c:pt>
                <c:pt idx="6">
                  <c:v>79.400000000000006</c:v>
                </c:pt>
                <c:pt idx="7">
                  <c:v>68.900000000000006</c:v>
                </c:pt>
                <c:pt idx="8">
                  <c:v>63.5</c:v>
                </c:pt>
                <c:pt idx="9">
                  <c:v>80.7</c:v>
                </c:pt>
                <c:pt idx="10">
                  <c:v>59.1</c:v>
                </c:pt>
                <c:pt idx="11">
                  <c:v>65.5</c:v>
                </c:pt>
                <c:pt idx="12">
                  <c:v>68.400000000000006</c:v>
                </c:pt>
              </c:numCache>
            </c:numRef>
          </c:val>
          <c:extLst>
            <c:ext xmlns:c16="http://schemas.microsoft.com/office/drawing/2014/chart" uri="{C3380CC4-5D6E-409C-BE32-E72D297353CC}">
              <c16:uniqueId val="{00000000-8D1F-F244-B2E0-AFEC1AE22EBF}"/>
            </c:ext>
          </c:extLst>
        </c:ser>
        <c:dLbls>
          <c:showLegendKey val="0"/>
          <c:showVal val="0"/>
          <c:showCatName val="0"/>
          <c:showSerName val="0"/>
          <c:showPercent val="0"/>
          <c:showBubbleSize val="0"/>
        </c:dLbls>
        <c:gapWidth val="219"/>
        <c:overlap val="-27"/>
        <c:axId val="130144512"/>
        <c:axId val="130613248"/>
      </c:barChart>
      <c:catAx>
        <c:axId val="130144512"/>
        <c:scaling>
          <c:orientation val="minMax"/>
        </c:scaling>
        <c:delete val="0"/>
        <c:axPos val="b"/>
        <c:title>
          <c:tx>
            <c:rich>
              <a:bodyPr/>
              <a:lstStyle/>
              <a:p>
                <a:pPr>
                  <a:defRPr/>
                </a:pPr>
                <a:r>
                  <a:rPr lang="en-US"/>
                  <a:t>Advice Practiced</a:t>
                </a:r>
              </a:p>
            </c:rich>
          </c:tx>
          <c:layout>
            <c:manualLayout>
              <c:xMode val="edge"/>
              <c:yMode val="edge"/>
              <c:x val="0.46559452562943165"/>
              <c:y val="0.90819642527961597"/>
            </c:manualLayout>
          </c:layout>
          <c:overlay val="0"/>
        </c:title>
        <c:numFmt formatCode="General" sourceLinked="1"/>
        <c:majorTickMark val="out"/>
        <c:minorTickMark val="none"/>
        <c:tickLblPos val="nextTo"/>
        <c:spPr>
          <a:noFill/>
          <a:ln w="9560" cap="flat" cmpd="sng" algn="ctr">
            <a:solidFill>
              <a:sysClr val="windowText" lastClr="000000">
                <a:lumMod val="50000"/>
                <a:lumOff val="50000"/>
              </a:sysClr>
            </a:solidFill>
            <a:round/>
          </a:ln>
          <a:effectLst/>
        </c:spPr>
        <c:txPr>
          <a:bodyPr rot="-5400000" vert="horz"/>
          <a:lstStyle/>
          <a:p>
            <a:pPr>
              <a:defRPr/>
            </a:pPr>
            <a:endParaRPr lang="en-US"/>
          </a:p>
        </c:txPr>
        <c:crossAx val="130613248"/>
        <c:crosses val="autoZero"/>
        <c:auto val="1"/>
        <c:lblAlgn val="ctr"/>
        <c:lblOffset val="100"/>
        <c:noMultiLvlLbl val="0"/>
      </c:catAx>
      <c:valAx>
        <c:axId val="130613248"/>
        <c:scaling>
          <c:orientation val="minMax"/>
          <c:max val="100"/>
        </c:scaling>
        <c:delete val="0"/>
        <c:axPos val="l"/>
        <c:title>
          <c:tx>
            <c:rich>
              <a:bodyPr/>
              <a:lstStyle/>
              <a:p>
                <a:pPr>
                  <a:defRPr/>
                </a:pPr>
                <a:r>
                  <a:rPr lang="en-US"/>
                  <a:t>Percent</a:t>
                </a:r>
              </a:p>
            </c:rich>
          </c:tx>
          <c:layout>
            <c:manualLayout>
              <c:xMode val="edge"/>
              <c:yMode val="edge"/>
              <c:x val="1.5499887678634172E-2"/>
              <c:y val="0.18355560906057311"/>
            </c:manualLayout>
          </c:layout>
          <c:overlay val="0"/>
          <c:spPr>
            <a:noFill/>
            <a:ln w="25493">
              <a:noFill/>
            </a:ln>
          </c:spPr>
        </c:title>
        <c:numFmt formatCode="General" sourceLinked="1"/>
        <c:majorTickMark val="out"/>
        <c:minorTickMark val="none"/>
        <c:tickLblPos val="nextTo"/>
        <c:spPr>
          <a:ln w="6373">
            <a:solidFill>
              <a:sysClr val="windowText" lastClr="000000">
                <a:lumMod val="50000"/>
                <a:lumOff val="50000"/>
              </a:sysClr>
            </a:solidFill>
          </a:ln>
        </c:spPr>
        <c:txPr>
          <a:bodyPr rot="-60000000" vert="horz"/>
          <a:lstStyle/>
          <a:p>
            <a:pPr>
              <a:defRPr/>
            </a:pPr>
            <a:endParaRPr lang="en-US"/>
          </a:p>
        </c:txPr>
        <c:crossAx val="130144512"/>
        <c:crosses val="autoZero"/>
        <c:crossBetween val="between"/>
        <c:majorUnit val="20"/>
      </c:valAx>
      <c:spPr>
        <a:noFill/>
        <a:ln w="25493">
          <a:noFill/>
        </a:ln>
      </c:spPr>
    </c:plotArea>
    <c:plotVisOnly val="1"/>
    <c:dispBlanksAs val="gap"/>
    <c:showDLblsOverMax val="0"/>
  </c:chart>
  <c:spPr>
    <a:solidFill>
      <a:schemeClr val="bg1"/>
    </a:solidFill>
    <a:ln w="9560" cap="flat" cmpd="sng" algn="ctr">
      <a:solidFill>
        <a:sysClr val="windowText" lastClr="000000">
          <a:lumMod val="50000"/>
          <a:lumOff val="50000"/>
        </a:sysClr>
      </a:solidFill>
      <a:round/>
    </a:ln>
    <a:effectLst/>
  </c:spPr>
  <c:txPr>
    <a:bodyPr/>
    <a:lstStyle/>
    <a:p>
      <a:pPr>
        <a:defRPr sz="700" b="0">
          <a:solidFill>
            <a:schemeClr val="tx1"/>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47959745408886"/>
          <c:y val="0.10222166813531181"/>
          <c:w val="0.80370208633583018"/>
          <c:h val="0.38051693939059222"/>
        </c:manualLayout>
      </c:layout>
      <c:barChart>
        <c:barDir val="col"/>
        <c:grouping val="clustered"/>
        <c:varyColors val="0"/>
        <c:ser>
          <c:idx val="0"/>
          <c:order val="0"/>
          <c:tx>
            <c:strRef>
              <c:f>'advice adopted'!$F$44</c:f>
              <c:strCache>
                <c:ptCount val="1"/>
                <c:pt idx="0">
                  <c:v>Practiced (%)</c:v>
                </c:pt>
              </c:strCache>
            </c:strRef>
          </c:tx>
          <c:spPr>
            <a:solidFill>
              <a:srgbClr val="5B9BD5"/>
            </a:solidFill>
            <a:ln w="25481">
              <a:noFill/>
            </a:ln>
          </c:spPr>
          <c:invertIfNegative val="0"/>
          <c:dLbls>
            <c:spPr>
              <a:noFill/>
              <a:ln w="25481">
                <a:noFill/>
              </a:ln>
            </c:spPr>
            <c:txPr>
              <a:bodyPr rot="-5400000" vert="horz"/>
              <a:lstStyle/>
              <a:p>
                <a:pPr>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'advice adopted'!$A$45:$A$57</c:f>
              <c:strCache>
                <c:ptCount val="13"/>
                <c:pt idx="0">
                  <c:v>Feeds and Proper feeding</c:v>
                </c:pt>
                <c:pt idx="1">
                  <c:v>Housing </c:v>
                </c:pt>
                <c:pt idx="2">
                  <c:v>Proper Milking and Milk Hygene</c:v>
                </c:pt>
                <c:pt idx="3">
                  <c:v>Livestock fattening</c:v>
                </c:pt>
                <c:pt idx="4">
                  <c:v>Disease control</c:v>
                </c:pt>
                <c:pt idx="5">
                  <c:v>Herd/Flock size and selection</c:v>
                </c:pt>
                <c:pt idx="6">
                  <c:v>Livestock keeping based on carrying capacity</c:v>
                </c:pt>
                <c:pt idx="7">
                  <c:v>Pasture Establishment</c:v>
                </c:pt>
                <c:pt idx="8">
                  <c:v>Group formation and strengthening</c:v>
                </c:pt>
                <c:pt idx="9">
                  <c:v>Calf rearing</c:v>
                </c:pt>
                <c:pt idx="10">
                  <c:v>Use of improved Bulls/AI</c:v>
                </c:pt>
                <c:pt idx="11">
                  <c:v>Livestock branding</c:v>
                </c:pt>
                <c:pt idx="12">
                  <c:v>Castration</c:v>
                </c:pt>
              </c:strCache>
            </c:strRef>
          </c:cat>
          <c:val>
            <c:numRef>
              <c:f>'advice adopted'!$F$45:$F$57</c:f>
              <c:numCache>
                <c:formatCode>General</c:formatCode>
                <c:ptCount val="13"/>
                <c:pt idx="0">
                  <c:v>85.2</c:v>
                </c:pt>
                <c:pt idx="1">
                  <c:v>83.4</c:v>
                </c:pt>
                <c:pt idx="2">
                  <c:v>91.9</c:v>
                </c:pt>
                <c:pt idx="3">
                  <c:v>86.4</c:v>
                </c:pt>
                <c:pt idx="4">
                  <c:v>85.1</c:v>
                </c:pt>
                <c:pt idx="5" formatCode="0.0">
                  <c:v>94</c:v>
                </c:pt>
                <c:pt idx="6">
                  <c:v>74.3</c:v>
                </c:pt>
                <c:pt idx="7" formatCode="0.0">
                  <c:v>100</c:v>
                </c:pt>
                <c:pt idx="8">
                  <c:v>78.400000000000006</c:v>
                </c:pt>
                <c:pt idx="9" formatCode="0.0">
                  <c:v>84</c:v>
                </c:pt>
                <c:pt idx="10">
                  <c:v>67.2</c:v>
                </c:pt>
                <c:pt idx="11" formatCode="0.0">
                  <c:v>100</c:v>
                </c:pt>
                <c:pt idx="12">
                  <c:v>10.8</c:v>
                </c:pt>
              </c:numCache>
            </c:numRef>
          </c:val>
          <c:extLst>
            <c:ext xmlns:c16="http://schemas.microsoft.com/office/drawing/2014/chart" uri="{C3380CC4-5D6E-409C-BE32-E72D297353CC}">
              <c16:uniqueId val="{00000000-0758-FF46-966E-0E0DC39AF06F}"/>
            </c:ext>
          </c:extLst>
        </c:ser>
        <c:dLbls>
          <c:showLegendKey val="0"/>
          <c:showVal val="0"/>
          <c:showCatName val="0"/>
          <c:showSerName val="0"/>
          <c:showPercent val="0"/>
          <c:showBubbleSize val="0"/>
        </c:dLbls>
        <c:gapWidth val="219"/>
        <c:overlap val="-27"/>
        <c:axId val="130465152"/>
        <c:axId val="130471040"/>
      </c:barChart>
      <c:catAx>
        <c:axId val="130465152"/>
        <c:scaling>
          <c:orientation val="minMax"/>
        </c:scaling>
        <c:delete val="0"/>
        <c:axPos val="b"/>
        <c:title>
          <c:tx>
            <c:rich>
              <a:bodyPr/>
              <a:lstStyle/>
              <a:p>
                <a:pPr>
                  <a:defRPr/>
                </a:pPr>
                <a:r>
                  <a:rPr lang="en-US"/>
                  <a:t>Advice Practiced</a:t>
                </a:r>
              </a:p>
            </c:rich>
          </c:tx>
          <c:overlay val="0"/>
        </c:title>
        <c:numFmt formatCode="General" sourceLinked="1"/>
        <c:majorTickMark val="out"/>
        <c:minorTickMark val="none"/>
        <c:tickLblPos val="nextTo"/>
        <c:spPr>
          <a:noFill/>
          <a:ln w="9555" cap="flat" cmpd="sng" algn="ctr">
            <a:solidFill>
              <a:sysClr val="windowText" lastClr="000000">
                <a:lumMod val="50000"/>
                <a:lumOff val="50000"/>
              </a:sysClr>
            </a:solidFill>
            <a:round/>
          </a:ln>
          <a:effectLst/>
        </c:spPr>
        <c:txPr>
          <a:bodyPr rot="-5400000" vert="horz"/>
          <a:lstStyle/>
          <a:p>
            <a:pPr>
              <a:defRPr/>
            </a:pPr>
            <a:endParaRPr lang="en-US"/>
          </a:p>
        </c:txPr>
        <c:crossAx val="130471040"/>
        <c:crosses val="autoZero"/>
        <c:auto val="1"/>
        <c:lblAlgn val="ctr"/>
        <c:lblOffset val="100"/>
        <c:noMultiLvlLbl val="0"/>
      </c:catAx>
      <c:valAx>
        <c:axId val="130471040"/>
        <c:scaling>
          <c:orientation val="minMax"/>
          <c:max val="100"/>
        </c:scaling>
        <c:delete val="0"/>
        <c:axPos val="l"/>
        <c:title>
          <c:tx>
            <c:rich>
              <a:bodyPr/>
              <a:lstStyle/>
              <a:p>
                <a:pPr>
                  <a:defRPr/>
                </a:pPr>
                <a:r>
                  <a:rPr lang="en-US"/>
                  <a:t>Percent</a:t>
                </a:r>
              </a:p>
            </c:rich>
          </c:tx>
          <c:layout>
            <c:manualLayout>
              <c:xMode val="edge"/>
              <c:yMode val="edge"/>
              <c:x val="2.7959003160740025E-2"/>
              <c:y val="0.2437329464799268"/>
            </c:manualLayout>
          </c:layout>
          <c:overlay val="0"/>
          <c:spPr>
            <a:noFill/>
            <a:ln w="25481">
              <a:noFill/>
            </a:ln>
          </c:spPr>
        </c:title>
        <c:numFmt formatCode="General" sourceLinked="1"/>
        <c:majorTickMark val="out"/>
        <c:minorTickMark val="none"/>
        <c:tickLblPos val="nextTo"/>
        <c:spPr>
          <a:ln w="6370">
            <a:solidFill>
              <a:sysClr val="windowText" lastClr="000000">
                <a:lumMod val="50000"/>
                <a:lumOff val="50000"/>
              </a:sysClr>
            </a:solidFill>
          </a:ln>
        </c:spPr>
        <c:txPr>
          <a:bodyPr rot="-60000000" vert="horz"/>
          <a:lstStyle/>
          <a:p>
            <a:pPr>
              <a:defRPr/>
            </a:pPr>
            <a:endParaRPr lang="en-US"/>
          </a:p>
        </c:txPr>
        <c:crossAx val="130465152"/>
        <c:crosses val="autoZero"/>
        <c:crossBetween val="between"/>
        <c:majorUnit val="20"/>
      </c:valAx>
      <c:spPr>
        <a:noFill/>
        <a:ln w="25481">
          <a:noFill/>
        </a:ln>
      </c:spPr>
    </c:plotArea>
    <c:plotVisOnly val="1"/>
    <c:dispBlanksAs val="gap"/>
    <c:showDLblsOverMax val="0"/>
  </c:chart>
  <c:spPr>
    <a:solidFill>
      <a:schemeClr val="bg1"/>
    </a:solidFill>
    <a:ln w="9555" cap="flat" cmpd="sng" algn="ctr">
      <a:solidFill>
        <a:sysClr val="windowText" lastClr="000000">
          <a:lumMod val="50000"/>
          <a:lumOff val="50000"/>
        </a:sysClr>
      </a:solidFill>
      <a:round/>
    </a:ln>
    <a:effectLst/>
  </c:spPr>
  <c:txPr>
    <a:bodyPr/>
    <a:lstStyle/>
    <a:p>
      <a:pPr>
        <a:defRPr sz="700" b="0">
          <a:solidFill>
            <a:schemeClr val="tx1"/>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0979067170729146E-2"/>
          <c:y val="6.419741739809752E-2"/>
          <c:w val="0.8950864766358354"/>
          <c:h val="0.53966027026656482"/>
        </c:manualLayout>
      </c:layout>
      <c:barChart>
        <c:barDir val="col"/>
        <c:grouping val="clustered"/>
        <c:varyColors val="0"/>
        <c:ser>
          <c:idx val="0"/>
          <c:order val="0"/>
          <c:tx>
            <c:strRef>
              <c:f>'advice adopted'!$B$81</c:f>
              <c:strCache>
                <c:ptCount val="1"/>
                <c:pt idx="0">
                  <c:v>Practiced</c:v>
                </c:pt>
              </c:strCache>
            </c:strRef>
          </c:tx>
          <c:spPr>
            <a:solidFill>
              <a:srgbClr val="5B9BD5"/>
            </a:solidFill>
            <a:ln w="25395">
              <a:noFill/>
            </a:ln>
          </c:spPr>
          <c:invertIfNegative val="0"/>
          <c:dLbls>
            <c:spPr>
              <a:noFill/>
              <a:ln w="25395">
                <a:noFill/>
              </a:ln>
            </c:spPr>
            <c:txPr>
              <a:bodyPr rot="-5400000" vert="horz"/>
              <a:lstStyle/>
              <a:p>
                <a:pPr>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'advice adopted'!$A$82:$A$107</c:f>
              <c:strCache>
                <c:ptCount val="26"/>
                <c:pt idx="0">
                  <c:v>Dar Es Salaam</c:v>
                </c:pt>
                <c:pt idx="1">
                  <c:v>Kigoma</c:v>
                </c:pt>
                <c:pt idx="2">
                  <c:v>Katavi</c:v>
                </c:pt>
                <c:pt idx="3">
                  <c:v>Mara</c:v>
                </c:pt>
                <c:pt idx="4">
                  <c:v>Morogoro</c:v>
                </c:pt>
                <c:pt idx="5">
                  <c:v>Arusha</c:v>
                </c:pt>
                <c:pt idx="6">
                  <c:v>Mbeya</c:v>
                </c:pt>
                <c:pt idx="7">
                  <c:v>Singida</c:v>
                </c:pt>
                <c:pt idx="8">
                  <c:v>Kilimanjaro</c:v>
                </c:pt>
                <c:pt idx="9">
                  <c:v>Njombe</c:v>
                </c:pt>
                <c:pt idx="10">
                  <c:v>Manyara</c:v>
                </c:pt>
                <c:pt idx="11">
                  <c:v>Rukwa</c:v>
                </c:pt>
                <c:pt idx="12">
                  <c:v>Tanga</c:v>
                </c:pt>
                <c:pt idx="13">
                  <c:v>Geita</c:v>
                </c:pt>
                <c:pt idx="14">
                  <c:v>Pwani</c:v>
                </c:pt>
                <c:pt idx="15">
                  <c:v>Ruvuma</c:v>
                </c:pt>
                <c:pt idx="16">
                  <c:v>Songwe</c:v>
                </c:pt>
                <c:pt idx="17">
                  <c:v>Shinyanga</c:v>
                </c:pt>
                <c:pt idx="18">
                  <c:v>Mtwara</c:v>
                </c:pt>
                <c:pt idx="19">
                  <c:v>Mwanza</c:v>
                </c:pt>
                <c:pt idx="20">
                  <c:v>Kagera</c:v>
                </c:pt>
                <c:pt idx="21">
                  <c:v>Simiyu</c:v>
                </c:pt>
                <c:pt idx="22">
                  <c:v>Tabora</c:v>
                </c:pt>
                <c:pt idx="23">
                  <c:v>Iringa</c:v>
                </c:pt>
                <c:pt idx="24">
                  <c:v>Dodoma</c:v>
                </c:pt>
                <c:pt idx="25">
                  <c:v>Lindi</c:v>
                </c:pt>
              </c:strCache>
            </c:strRef>
          </c:cat>
          <c:val>
            <c:numRef>
              <c:f>'advice adopted'!$B$82:$B$107</c:f>
              <c:numCache>
                <c:formatCode>#,##0.0</c:formatCode>
                <c:ptCount val="26"/>
                <c:pt idx="0">
                  <c:v>100</c:v>
                </c:pt>
                <c:pt idx="1">
                  <c:v>100</c:v>
                </c:pt>
                <c:pt idx="2">
                  <c:v>100</c:v>
                </c:pt>
                <c:pt idx="3">
                  <c:v>94.769021739130437</c:v>
                </c:pt>
                <c:pt idx="4">
                  <c:v>94.13692643845593</c:v>
                </c:pt>
                <c:pt idx="5">
                  <c:v>94.092550049228748</c:v>
                </c:pt>
                <c:pt idx="6">
                  <c:v>92.455614686284164</c:v>
                </c:pt>
                <c:pt idx="7">
                  <c:v>90.492769148366364</c:v>
                </c:pt>
                <c:pt idx="8">
                  <c:v>90.278138809461922</c:v>
                </c:pt>
                <c:pt idx="9">
                  <c:v>87.747145641882483</c:v>
                </c:pt>
                <c:pt idx="10">
                  <c:v>87.661141804788215</c:v>
                </c:pt>
                <c:pt idx="11">
                  <c:v>86.083499005964214</c:v>
                </c:pt>
                <c:pt idx="12">
                  <c:v>84.687942147461087</c:v>
                </c:pt>
                <c:pt idx="13">
                  <c:v>83.596088605068857</c:v>
                </c:pt>
                <c:pt idx="14">
                  <c:v>83.483422022103966</c:v>
                </c:pt>
                <c:pt idx="15">
                  <c:v>82.726741922927204</c:v>
                </c:pt>
                <c:pt idx="16">
                  <c:v>82.315804577085871</c:v>
                </c:pt>
                <c:pt idx="17">
                  <c:v>80.993239729589178</c:v>
                </c:pt>
                <c:pt idx="18">
                  <c:v>78.243151460267143</c:v>
                </c:pt>
                <c:pt idx="19">
                  <c:v>78.164067150851295</c:v>
                </c:pt>
                <c:pt idx="20">
                  <c:v>76.961064987117084</c:v>
                </c:pt>
                <c:pt idx="21">
                  <c:v>76.498158687646466</c:v>
                </c:pt>
                <c:pt idx="22">
                  <c:v>75.695077484047403</c:v>
                </c:pt>
                <c:pt idx="23">
                  <c:v>75.409606497689396</c:v>
                </c:pt>
                <c:pt idx="24">
                  <c:v>70.784901138406227</c:v>
                </c:pt>
                <c:pt idx="25">
                  <c:v>69.384057971014485</c:v>
                </c:pt>
              </c:numCache>
            </c:numRef>
          </c:val>
          <c:extLst>
            <c:ext xmlns:c16="http://schemas.microsoft.com/office/drawing/2014/chart" uri="{C3380CC4-5D6E-409C-BE32-E72D297353CC}">
              <c16:uniqueId val="{00000000-5293-454E-86E8-0E3338AF23EC}"/>
            </c:ext>
          </c:extLst>
        </c:ser>
        <c:dLbls>
          <c:showLegendKey val="0"/>
          <c:showVal val="0"/>
          <c:showCatName val="0"/>
          <c:showSerName val="0"/>
          <c:showPercent val="0"/>
          <c:showBubbleSize val="0"/>
        </c:dLbls>
        <c:gapWidth val="219"/>
        <c:overlap val="-27"/>
        <c:axId val="130796928"/>
        <c:axId val="130803200"/>
      </c:barChart>
      <c:catAx>
        <c:axId val="130796928"/>
        <c:scaling>
          <c:orientation val="minMax"/>
        </c:scaling>
        <c:delete val="0"/>
        <c:axPos val="b"/>
        <c:title>
          <c:tx>
            <c:rich>
              <a:bodyPr/>
              <a:lstStyle/>
              <a:p>
                <a:pPr>
                  <a:defRPr/>
                </a:pPr>
                <a:r>
                  <a:rPr lang="en-US"/>
                  <a:t>Region</a:t>
                </a:r>
              </a:p>
            </c:rich>
          </c:tx>
          <c:layout>
            <c:manualLayout>
              <c:xMode val="edge"/>
              <c:yMode val="edge"/>
              <c:x val="0.47018279805348395"/>
              <c:y val="0.84348531448078556"/>
            </c:manualLayout>
          </c:layout>
          <c:overlay val="0"/>
          <c:spPr>
            <a:noFill/>
            <a:ln w="25395">
              <a:noFill/>
            </a:ln>
          </c:spPr>
        </c:title>
        <c:numFmt formatCode="General" sourceLinked="1"/>
        <c:majorTickMark val="out"/>
        <c:minorTickMark val="none"/>
        <c:tickLblPos val="nextTo"/>
        <c:spPr>
          <a:noFill/>
          <a:ln w="9523" cap="flat" cmpd="sng" algn="ctr">
            <a:solidFill>
              <a:schemeClr val="tx1">
                <a:lumMod val="50000"/>
                <a:lumOff val="50000"/>
              </a:schemeClr>
            </a:solidFill>
            <a:round/>
          </a:ln>
          <a:effectLst/>
        </c:spPr>
        <c:txPr>
          <a:bodyPr rot="-5400000" vert="horz"/>
          <a:lstStyle/>
          <a:p>
            <a:pPr>
              <a:defRPr/>
            </a:pPr>
            <a:endParaRPr lang="en-US"/>
          </a:p>
        </c:txPr>
        <c:crossAx val="130803200"/>
        <c:crosses val="autoZero"/>
        <c:auto val="1"/>
        <c:lblAlgn val="ctr"/>
        <c:lblOffset val="100"/>
        <c:noMultiLvlLbl val="0"/>
      </c:catAx>
      <c:valAx>
        <c:axId val="130803200"/>
        <c:scaling>
          <c:orientation val="minMax"/>
        </c:scaling>
        <c:delete val="0"/>
        <c:axPos val="l"/>
        <c:title>
          <c:tx>
            <c:rich>
              <a:bodyPr/>
              <a:lstStyle/>
              <a:p>
                <a:pPr>
                  <a:defRPr/>
                </a:pPr>
                <a:r>
                  <a:rPr lang="en-US"/>
                  <a:t>Percent</a:t>
                </a:r>
              </a:p>
            </c:rich>
          </c:tx>
          <c:layout>
            <c:manualLayout>
              <c:xMode val="edge"/>
              <c:yMode val="edge"/>
              <c:x val="1.1701536618426031E-2"/>
              <c:y val="0.25280251895384814"/>
            </c:manualLayout>
          </c:layout>
          <c:overlay val="0"/>
          <c:spPr>
            <a:noFill/>
            <a:ln w="25395">
              <a:noFill/>
            </a:ln>
          </c:spPr>
        </c:title>
        <c:numFmt formatCode="#,##0" sourceLinked="0"/>
        <c:majorTickMark val="out"/>
        <c:minorTickMark val="none"/>
        <c:tickLblPos val="nextTo"/>
        <c:spPr>
          <a:ln w="6349">
            <a:solidFill>
              <a:schemeClr val="tx1">
                <a:lumMod val="50000"/>
                <a:lumOff val="50000"/>
              </a:schemeClr>
            </a:solidFill>
          </a:ln>
        </c:spPr>
        <c:txPr>
          <a:bodyPr rot="-60000000" vert="horz"/>
          <a:lstStyle/>
          <a:p>
            <a:pPr>
              <a:defRPr/>
            </a:pPr>
            <a:endParaRPr lang="en-US"/>
          </a:p>
        </c:txPr>
        <c:crossAx val="130796928"/>
        <c:crosses val="autoZero"/>
        <c:crossBetween val="between"/>
      </c:valAx>
      <c:spPr>
        <a:noFill/>
        <a:ln w="25395">
          <a:noFill/>
        </a:ln>
      </c:spPr>
    </c:plotArea>
    <c:plotVisOnly val="1"/>
    <c:dispBlanksAs val="gap"/>
    <c:showDLblsOverMax val="0"/>
  </c:chart>
  <c:spPr>
    <a:solidFill>
      <a:schemeClr val="bg1"/>
    </a:solidFill>
    <a:ln w="9523" cap="flat" cmpd="sng" algn="ctr">
      <a:solidFill>
        <a:schemeClr val="tx1">
          <a:lumMod val="50000"/>
          <a:lumOff val="50000"/>
        </a:schemeClr>
      </a:solidFill>
      <a:round/>
    </a:ln>
    <a:effectLst/>
  </c:spPr>
  <c:txPr>
    <a:bodyPr/>
    <a:lstStyle/>
    <a:p>
      <a:pPr>
        <a:defRPr sz="700">
          <a:solidFill>
            <a:schemeClr val="tx1"/>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071316344158768"/>
          <c:y val="4.1666666666666664E-2"/>
          <c:w val="0.53812103811933254"/>
          <c:h val="0.74852899069434498"/>
        </c:manualLayout>
      </c:layout>
      <c:barChart>
        <c:barDir val="col"/>
        <c:grouping val="stacked"/>
        <c:varyColors val="0"/>
        <c:ser>
          <c:idx val="0"/>
          <c:order val="0"/>
          <c:tx>
            <c:strRef>
              <c:f>LandUse3!$B$34</c:f>
              <c:strCache>
                <c:ptCount val="1"/>
                <c:pt idx="0">
                  <c:v> Area under Temporary Mono Crops </c:v>
                </c:pt>
              </c:strCache>
            </c:strRef>
          </c:tx>
          <c:spPr>
            <a:solidFill>
              <a:schemeClr val="accent1"/>
            </a:solidFill>
            <a:ln>
              <a:noFill/>
            </a:ln>
            <a:effectLst/>
          </c:spPr>
          <c:invertIfNegative val="0"/>
          <c:cat>
            <c:strRef>
              <c:f>LandUse3!$A$35:$A$39</c:f>
              <c:strCache>
                <c:ptCount val="5"/>
                <c:pt idx="0">
                  <c:v>Kaskazini Unguja</c:v>
                </c:pt>
                <c:pt idx="1">
                  <c:v>Kusini Unguja</c:v>
                </c:pt>
                <c:pt idx="2">
                  <c:v>Mjini Magharibi</c:v>
                </c:pt>
                <c:pt idx="3">
                  <c:v>Kaskazini Pemba</c:v>
                </c:pt>
                <c:pt idx="4">
                  <c:v>Kusini  Pemba</c:v>
                </c:pt>
              </c:strCache>
            </c:strRef>
          </c:cat>
          <c:val>
            <c:numRef>
              <c:f>LandUse3!$B$35:$B$39</c:f>
              <c:numCache>
                <c:formatCode>_(* #,##0_);_(* \(#,##0\);_(* "-"_);_(@_)</c:formatCode>
                <c:ptCount val="5"/>
                <c:pt idx="0">
                  <c:v>11314.0428976123</c:v>
                </c:pt>
                <c:pt idx="1">
                  <c:v>4852.6912181303114</c:v>
                </c:pt>
                <c:pt idx="2">
                  <c:v>10579.117766086605</c:v>
                </c:pt>
                <c:pt idx="3">
                  <c:v>20345.609065155808</c:v>
                </c:pt>
                <c:pt idx="4">
                  <c:v>21628.895184135978</c:v>
                </c:pt>
              </c:numCache>
            </c:numRef>
          </c:val>
          <c:extLst>
            <c:ext xmlns:c16="http://schemas.microsoft.com/office/drawing/2014/chart" uri="{C3380CC4-5D6E-409C-BE32-E72D297353CC}">
              <c16:uniqueId val="{00000000-0122-6C43-9BFE-DECC7AA07E41}"/>
            </c:ext>
          </c:extLst>
        </c:ser>
        <c:ser>
          <c:idx val="1"/>
          <c:order val="1"/>
          <c:tx>
            <c:strRef>
              <c:f>LandUse3!$C$34</c:f>
              <c:strCache>
                <c:ptCount val="1"/>
                <c:pt idx="0">
                  <c:v> Area under Temporary Mixed Crops </c:v>
                </c:pt>
              </c:strCache>
            </c:strRef>
          </c:tx>
          <c:spPr>
            <a:solidFill>
              <a:schemeClr val="accent2"/>
            </a:solidFill>
            <a:ln>
              <a:noFill/>
            </a:ln>
            <a:effectLst/>
          </c:spPr>
          <c:invertIfNegative val="0"/>
          <c:cat>
            <c:strRef>
              <c:f>LandUse3!$A$35:$A$39</c:f>
              <c:strCache>
                <c:ptCount val="5"/>
                <c:pt idx="0">
                  <c:v>Kaskazini Unguja</c:v>
                </c:pt>
                <c:pt idx="1">
                  <c:v>Kusini Unguja</c:v>
                </c:pt>
                <c:pt idx="2">
                  <c:v>Mjini Magharibi</c:v>
                </c:pt>
                <c:pt idx="3">
                  <c:v>Kaskazini Pemba</c:v>
                </c:pt>
                <c:pt idx="4">
                  <c:v>Kusini  Pemba</c:v>
                </c:pt>
              </c:strCache>
            </c:strRef>
          </c:cat>
          <c:val>
            <c:numRef>
              <c:f>LandUse3!$C$35:$C$39</c:f>
              <c:numCache>
                <c:formatCode>_(* #,##0_);_(* \(#,##0\);_(* "-"_);_(@_)</c:formatCode>
                <c:ptCount val="5"/>
                <c:pt idx="0">
                  <c:v>3263.8607851072438</c:v>
                </c:pt>
                <c:pt idx="1">
                  <c:v>1785.9166329421287</c:v>
                </c:pt>
                <c:pt idx="2">
                  <c:v>2900.4451639012545</c:v>
                </c:pt>
                <c:pt idx="3">
                  <c:v>735.32982598138403</c:v>
                </c:pt>
                <c:pt idx="4">
                  <c:v>3020.6394172399837</c:v>
                </c:pt>
              </c:numCache>
            </c:numRef>
          </c:val>
          <c:extLst>
            <c:ext xmlns:c16="http://schemas.microsoft.com/office/drawing/2014/chart" uri="{C3380CC4-5D6E-409C-BE32-E72D297353CC}">
              <c16:uniqueId val="{00000001-0122-6C43-9BFE-DECC7AA07E41}"/>
            </c:ext>
          </c:extLst>
        </c:ser>
        <c:ser>
          <c:idx val="2"/>
          <c:order val="2"/>
          <c:tx>
            <c:strRef>
              <c:f>LandUse3!$D$34</c:f>
              <c:strCache>
                <c:ptCount val="1"/>
                <c:pt idx="0">
                  <c:v> Area under Permanent Mono Crops </c:v>
                </c:pt>
              </c:strCache>
            </c:strRef>
          </c:tx>
          <c:spPr>
            <a:solidFill>
              <a:schemeClr val="accent3"/>
            </a:solidFill>
            <a:ln>
              <a:noFill/>
            </a:ln>
            <a:effectLst/>
          </c:spPr>
          <c:invertIfNegative val="0"/>
          <c:cat>
            <c:strRef>
              <c:f>LandUse3!$A$35:$A$39</c:f>
              <c:strCache>
                <c:ptCount val="5"/>
                <c:pt idx="0">
                  <c:v>Kaskazini Unguja</c:v>
                </c:pt>
                <c:pt idx="1">
                  <c:v>Kusini Unguja</c:v>
                </c:pt>
                <c:pt idx="2">
                  <c:v>Mjini Magharibi</c:v>
                </c:pt>
                <c:pt idx="3">
                  <c:v>Kaskazini Pemba</c:v>
                </c:pt>
                <c:pt idx="4">
                  <c:v>Kusini  Pemba</c:v>
                </c:pt>
              </c:strCache>
            </c:strRef>
          </c:cat>
          <c:val>
            <c:numRef>
              <c:f>LandUse3!$D$35:$D$39</c:f>
              <c:numCache>
                <c:formatCode>_(* #,##0_);_(* \(#,##0\);_(* "-"_);_(@_)</c:formatCode>
                <c:ptCount val="5"/>
                <c:pt idx="0">
                  <c:v>3116.9566976932415</c:v>
                </c:pt>
                <c:pt idx="1">
                  <c:v>2619.5872116552</c:v>
                </c:pt>
                <c:pt idx="2">
                  <c:v>4136.3820315661678</c:v>
                </c:pt>
                <c:pt idx="3">
                  <c:v>5376.7705382436261</c:v>
                </c:pt>
                <c:pt idx="4">
                  <c:v>8893.1606636989072</c:v>
                </c:pt>
              </c:numCache>
            </c:numRef>
          </c:val>
          <c:extLst>
            <c:ext xmlns:c16="http://schemas.microsoft.com/office/drawing/2014/chart" uri="{C3380CC4-5D6E-409C-BE32-E72D297353CC}">
              <c16:uniqueId val="{00000002-0122-6C43-9BFE-DECC7AA07E41}"/>
            </c:ext>
          </c:extLst>
        </c:ser>
        <c:ser>
          <c:idx val="3"/>
          <c:order val="3"/>
          <c:tx>
            <c:strRef>
              <c:f>LandUse3!$E$34</c:f>
              <c:strCache>
                <c:ptCount val="1"/>
                <c:pt idx="0">
                  <c:v> Area under Permanent Mixed Crops </c:v>
                </c:pt>
              </c:strCache>
            </c:strRef>
          </c:tx>
          <c:spPr>
            <a:solidFill>
              <a:schemeClr val="accent4"/>
            </a:solidFill>
            <a:ln>
              <a:noFill/>
            </a:ln>
            <a:effectLst/>
          </c:spPr>
          <c:invertIfNegative val="0"/>
          <c:cat>
            <c:strRef>
              <c:f>LandUse3!$A$35:$A$39</c:f>
              <c:strCache>
                <c:ptCount val="5"/>
                <c:pt idx="0">
                  <c:v>Kaskazini Unguja</c:v>
                </c:pt>
                <c:pt idx="1">
                  <c:v>Kusini Unguja</c:v>
                </c:pt>
                <c:pt idx="2">
                  <c:v>Mjini Magharibi</c:v>
                </c:pt>
                <c:pt idx="3">
                  <c:v>Kaskazini Pemba</c:v>
                </c:pt>
                <c:pt idx="4">
                  <c:v>Kusini  Pemba</c:v>
                </c:pt>
              </c:strCache>
            </c:strRef>
          </c:cat>
          <c:val>
            <c:numRef>
              <c:f>LandUse3!$E$35:$E$39</c:f>
              <c:numCache>
                <c:formatCode>_(* #,##0_);_(* \(#,##0\);_(* "-"_);_(@_)</c:formatCode>
                <c:ptCount val="5"/>
                <c:pt idx="0">
                  <c:v>1450.4249291784702</c:v>
                </c:pt>
                <c:pt idx="1">
                  <c:v>3498.1788749494131</c:v>
                </c:pt>
                <c:pt idx="2">
                  <c:v>5830.4330230675841</c:v>
                </c:pt>
                <c:pt idx="3">
                  <c:v>742.61432618373124</c:v>
                </c:pt>
                <c:pt idx="4">
                  <c:v>6957.1023876972886</c:v>
                </c:pt>
              </c:numCache>
            </c:numRef>
          </c:val>
          <c:extLst>
            <c:ext xmlns:c16="http://schemas.microsoft.com/office/drawing/2014/chart" uri="{C3380CC4-5D6E-409C-BE32-E72D297353CC}">
              <c16:uniqueId val="{00000003-0122-6C43-9BFE-DECC7AA07E41}"/>
            </c:ext>
          </c:extLst>
        </c:ser>
        <c:ser>
          <c:idx val="4"/>
          <c:order val="4"/>
          <c:tx>
            <c:strRef>
              <c:f>LandUse3!$F$34</c:f>
              <c:strCache>
                <c:ptCount val="1"/>
                <c:pt idx="0">
                  <c:v> Area under Permanent / temporary mix </c:v>
                </c:pt>
              </c:strCache>
            </c:strRef>
          </c:tx>
          <c:spPr>
            <a:solidFill>
              <a:schemeClr val="accent5"/>
            </a:solidFill>
            <a:ln>
              <a:noFill/>
            </a:ln>
            <a:effectLst/>
          </c:spPr>
          <c:invertIfNegative val="0"/>
          <c:cat>
            <c:strRef>
              <c:f>LandUse3!$A$35:$A$39</c:f>
              <c:strCache>
                <c:ptCount val="5"/>
                <c:pt idx="0">
                  <c:v>Kaskazini Unguja</c:v>
                </c:pt>
                <c:pt idx="1">
                  <c:v>Kusini Unguja</c:v>
                </c:pt>
                <c:pt idx="2">
                  <c:v>Mjini Magharibi</c:v>
                </c:pt>
                <c:pt idx="3">
                  <c:v>Kaskazini Pemba</c:v>
                </c:pt>
                <c:pt idx="4">
                  <c:v>Kusini  Pemba</c:v>
                </c:pt>
              </c:strCache>
            </c:strRef>
          </c:cat>
          <c:val>
            <c:numRef>
              <c:f>LandUse3!$F$35:$F$39</c:f>
              <c:numCache>
                <c:formatCode>_(* #,##0_);_(* \(#,##0\);_(* "-"_);_(@_)</c:formatCode>
                <c:ptCount val="5"/>
                <c:pt idx="0">
                  <c:v>4575.4755159854312</c:v>
                </c:pt>
                <c:pt idx="1">
                  <c:v>3113.7191420477538</c:v>
                </c:pt>
                <c:pt idx="2">
                  <c:v>6197.0861999190611</c:v>
                </c:pt>
                <c:pt idx="3">
                  <c:v>5689.1946580331851</c:v>
                </c:pt>
                <c:pt idx="4">
                  <c:v>22367.867260218532</c:v>
                </c:pt>
              </c:numCache>
            </c:numRef>
          </c:val>
          <c:extLst>
            <c:ext xmlns:c16="http://schemas.microsoft.com/office/drawing/2014/chart" uri="{C3380CC4-5D6E-409C-BE32-E72D297353CC}">
              <c16:uniqueId val="{00000004-0122-6C43-9BFE-DECC7AA07E41}"/>
            </c:ext>
          </c:extLst>
        </c:ser>
        <c:ser>
          <c:idx val="5"/>
          <c:order val="5"/>
          <c:tx>
            <c:strRef>
              <c:f>LandUse3!$G$34</c:f>
              <c:strCache>
                <c:ptCount val="1"/>
                <c:pt idx="0">
                  <c:v> Area under Fish farming </c:v>
                </c:pt>
              </c:strCache>
            </c:strRef>
          </c:tx>
          <c:spPr>
            <a:solidFill>
              <a:schemeClr val="accent6"/>
            </a:solidFill>
            <a:ln>
              <a:noFill/>
            </a:ln>
            <a:effectLst/>
          </c:spPr>
          <c:invertIfNegative val="0"/>
          <c:cat>
            <c:strRef>
              <c:f>LandUse3!$A$35:$A$39</c:f>
              <c:strCache>
                <c:ptCount val="5"/>
                <c:pt idx="0">
                  <c:v>Kaskazini Unguja</c:v>
                </c:pt>
                <c:pt idx="1">
                  <c:v>Kusini Unguja</c:v>
                </c:pt>
                <c:pt idx="2">
                  <c:v>Mjini Magharibi</c:v>
                </c:pt>
                <c:pt idx="3">
                  <c:v>Kaskazini Pemba</c:v>
                </c:pt>
                <c:pt idx="4">
                  <c:v>Kusini  Pemba</c:v>
                </c:pt>
              </c:strCache>
            </c:strRef>
          </c:cat>
          <c:val>
            <c:numRef>
              <c:f>LandUse3!$G$35:$G$39</c:f>
              <c:numCache>
                <c:formatCode>_(* #,##0_);_(* \(#,##0\);_(* "-"_);_(@_)</c:formatCode>
                <c:ptCount val="5"/>
                <c:pt idx="0">
                  <c:v>0</c:v>
                </c:pt>
                <c:pt idx="1">
                  <c:v>0</c:v>
                </c:pt>
                <c:pt idx="2">
                  <c:v>0</c:v>
                </c:pt>
                <c:pt idx="3">
                  <c:v>0</c:v>
                </c:pt>
                <c:pt idx="4">
                  <c:v>19.020639417239984</c:v>
                </c:pt>
              </c:numCache>
            </c:numRef>
          </c:val>
          <c:extLst>
            <c:ext xmlns:c16="http://schemas.microsoft.com/office/drawing/2014/chart" uri="{C3380CC4-5D6E-409C-BE32-E72D297353CC}">
              <c16:uniqueId val="{00000005-0122-6C43-9BFE-DECC7AA07E41}"/>
            </c:ext>
          </c:extLst>
        </c:ser>
        <c:ser>
          <c:idx val="6"/>
          <c:order val="6"/>
          <c:tx>
            <c:strRef>
              <c:f>LandUse3!$H$34</c:f>
              <c:strCache>
                <c:ptCount val="1"/>
                <c:pt idx="0">
                  <c:v> Area under Pasture </c:v>
                </c:pt>
              </c:strCache>
            </c:strRef>
          </c:tx>
          <c:spPr>
            <a:solidFill>
              <a:schemeClr val="accent1">
                <a:lumMod val="60000"/>
              </a:schemeClr>
            </a:solidFill>
            <a:ln>
              <a:noFill/>
            </a:ln>
            <a:effectLst/>
          </c:spPr>
          <c:invertIfNegative val="0"/>
          <c:cat>
            <c:strRef>
              <c:f>LandUse3!$A$35:$A$39</c:f>
              <c:strCache>
                <c:ptCount val="5"/>
                <c:pt idx="0">
                  <c:v>Kaskazini Unguja</c:v>
                </c:pt>
                <c:pt idx="1">
                  <c:v>Kusini Unguja</c:v>
                </c:pt>
                <c:pt idx="2">
                  <c:v>Mjini Magharibi</c:v>
                </c:pt>
                <c:pt idx="3">
                  <c:v>Kaskazini Pemba</c:v>
                </c:pt>
                <c:pt idx="4">
                  <c:v>Kusini  Pemba</c:v>
                </c:pt>
              </c:strCache>
            </c:strRef>
          </c:cat>
          <c:val>
            <c:numRef>
              <c:f>LandUse3!$H$35:$H$39</c:f>
              <c:numCache>
                <c:formatCode>_(* #,##0_);_(* \(#,##0\);_(* "-"_);_(@_)</c:formatCode>
                <c:ptCount val="5"/>
                <c:pt idx="0">
                  <c:v>51.800890327802506</c:v>
                </c:pt>
                <c:pt idx="1">
                  <c:v>134.35855928773776</c:v>
                </c:pt>
                <c:pt idx="2">
                  <c:v>164.30594900849857</c:v>
                </c:pt>
                <c:pt idx="3">
                  <c:v>15.783083771752326</c:v>
                </c:pt>
                <c:pt idx="4">
                  <c:v>49.77741804937272</c:v>
                </c:pt>
              </c:numCache>
            </c:numRef>
          </c:val>
          <c:extLst>
            <c:ext xmlns:c16="http://schemas.microsoft.com/office/drawing/2014/chart" uri="{C3380CC4-5D6E-409C-BE32-E72D297353CC}">
              <c16:uniqueId val="{00000006-0122-6C43-9BFE-DECC7AA07E41}"/>
            </c:ext>
          </c:extLst>
        </c:ser>
        <c:ser>
          <c:idx val="7"/>
          <c:order val="7"/>
          <c:tx>
            <c:strRef>
              <c:f>LandUse3!$I$34</c:f>
              <c:strCache>
                <c:ptCount val="1"/>
                <c:pt idx="0">
                  <c:v> Area under Fallow </c:v>
                </c:pt>
              </c:strCache>
            </c:strRef>
          </c:tx>
          <c:spPr>
            <a:solidFill>
              <a:schemeClr val="accent2">
                <a:lumMod val="60000"/>
              </a:schemeClr>
            </a:solidFill>
            <a:ln>
              <a:noFill/>
            </a:ln>
            <a:effectLst/>
          </c:spPr>
          <c:invertIfNegative val="0"/>
          <c:cat>
            <c:strRef>
              <c:f>LandUse3!$A$35:$A$39</c:f>
              <c:strCache>
                <c:ptCount val="5"/>
                <c:pt idx="0">
                  <c:v>Kaskazini Unguja</c:v>
                </c:pt>
                <c:pt idx="1">
                  <c:v>Kusini Unguja</c:v>
                </c:pt>
                <c:pt idx="2">
                  <c:v>Mjini Magharibi</c:v>
                </c:pt>
                <c:pt idx="3">
                  <c:v>Kaskazini Pemba</c:v>
                </c:pt>
                <c:pt idx="4">
                  <c:v>Kusini  Pemba</c:v>
                </c:pt>
              </c:strCache>
            </c:strRef>
          </c:cat>
          <c:val>
            <c:numRef>
              <c:f>LandUse3!$I$35:$I$39</c:f>
              <c:numCache>
                <c:formatCode>_(* #,##0_);_(* \(#,##0\);_(* "-"_);_(@_)</c:formatCode>
                <c:ptCount val="5"/>
                <c:pt idx="0">
                  <c:v>236.34156212059895</c:v>
                </c:pt>
                <c:pt idx="1">
                  <c:v>401.86159449615536</c:v>
                </c:pt>
                <c:pt idx="2">
                  <c:v>91.865641440712253</c:v>
                </c:pt>
                <c:pt idx="3">
                  <c:v>600.56657223796037</c:v>
                </c:pt>
                <c:pt idx="4">
                  <c:v>737.35329825981387</c:v>
                </c:pt>
              </c:numCache>
            </c:numRef>
          </c:val>
          <c:extLst>
            <c:ext xmlns:c16="http://schemas.microsoft.com/office/drawing/2014/chart" uri="{C3380CC4-5D6E-409C-BE32-E72D297353CC}">
              <c16:uniqueId val="{00000007-0122-6C43-9BFE-DECC7AA07E41}"/>
            </c:ext>
          </c:extLst>
        </c:ser>
        <c:ser>
          <c:idx val="8"/>
          <c:order val="8"/>
          <c:tx>
            <c:strRef>
              <c:f>LandUse3!$J$34</c:f>
              <c:strCache>
                <c:ptCount val="1"/>
                <c:pt idx="0">
                  <c:v> Area under Natural Bush </c:v>
                </c:pt>
              </c:strCache>
            </c:strRef>
          </c:tx>
          <c:spPr>
            <a:solidFill>
              <a:schemeClr val="accent3">
                <a:lumMod val="60000"/>
              </a:schemeClr>
            </a:solidFill>
            <a:ln>
              <a:noFill/>
            </a:ln>
            <a:effectLst/>
          </c:spPr>
          <c:invertIfNegative val="0"/>
          <c:cat>
            <c:strRef>
              <c:f>LandUse3!$A$35:$A$39</c:f>
              <c:strCache>
                <c:ptCount val="5"/>
                <c:pt idx="0">
                  <c:v>Kaskazini Unguja</c:v>
                </c:pt>
                <c:pt idx="1">
                  <c:v>Kusini Unguja</c:v>
                </c:pt>
                <c:pt idx="2">
                  <c:v>Mjini Magharibi</c:v>
                </c:pt>
                <c:pt idx="3">
                  <c:v>Kaskazini Pemba</c:v>
                </c:pt>
                <c:pt idx="4">
                  <c:v>Kusini  Pemba</c:v>
                </c:pt>
              </c:strCache>
            </c:strRef>
          </c:cat>
          <c:val>
            <c:numRef>
              <c:f>LandUse3!$J$35:$J$39</c:f>
              <c:numCache>
                <c:formatCode>_(* #,##0_);_(* \(#,##0\);_(* "-"_);_(@_)</c:formatCode>
                <c:ptCount val="5"/>
                <c:pt idx="0">
                  <c:v>0</c:v>
                </c:pt>
                <c:pt idx="1">
                  <c:v>28.328611898016995</c:v>
                </c:pt>
                <c:pt idx="2">
                  <c:v>0</c:v>
                </c:pt>
                <c:pt idx="3">
                  <c:v>0</c:v>
                </c:pt>
                <c:pt idx="4">
                  <c:v>170.37636584378794</c:v>
                </c:pt>
              </c:numCache>
            </c:numRef>
          </c:val>
          <c:extLst>
            <c:ext xmlns:c16="http://schemas.microsoft.com/office/drawing/2014/chart" uri="{C3380CC4-5D6E-409C-BE32-E72D297353CC}">
              <c16:uniqueId val="{00000008-0122-6C43-9BFE-DECC7AA07E41}"/>
            </c:ext>
          </c:extLst>
        </c:ser>
        <c:ser>
          <c:idx val="9"/>
          <c:order val="9"/>
          <c:tx>
            <c:strRef>
              <c:f>LandUse3!$K$34</c:f>
              <c:strCache>
                <c:ptCount val="1"/>
                <c:pt idx="0">
                  <c:v> Area under Planted Trees </c:v>
                </c:pt>
              </c:strCache>
            </c:strRef>
          </c:tx>
          <c:spPr>
            <a:solidFill>
              <a:schemeClr val="accent4">
                <a:lumMod val="60000"/>
              </a:schemeClr>
            </a:solidFill>
            <a:ln>
              <a:noFill/>
            </a:ln>
            <a:effectLst/>
          </c:spPr>
          <c:invertIfNegative val="0"/>
          <c:cat>
            <c:strRef>
              <c:f>LandUse3!$A$35:$A$39</c:f>
              <c:strCache>
                <c:ptCount val="5"/>
                <c:pt idx="0">
                  <c:v>Kaskazini Unguja</c:v>
                </c:pt>
                <c:pt idx="1">
                  <c:v>Kusini Unguja</c:v>
                </c:pt>
                <c:pt idx="2">
                  <c:v>Mjini Magharibi</c:v>
                </c:pt>
                <c:pt idx="3">
                  <c:v>Kaskazini Pemba</c:v>
                </c:pt>
                <c:pt idx="4">
                  <c:v>Kusini  Pemba</c:v>
                </c:pt>
              </c:strCache>
            </c:strRef>
          </c:cat>
          <c:val>
            <c:numRef>
              <c:f>LandUse3!$K$35:$K$39</c:f>
              <c:numCache>
                <c:formatCode>_(* #,##0_);_(* \(#,##0\);_(* "-"_);_(@_)</c:formatCode>
                <c:ptCount val="5"/>
                <c:pt idx="0">
                  <c:v>174.01861594496154</c:v>
                </c:pt>
                <c:pt idx="1">
                  <c:v>1148.1181707810604</c:v>
                </c:pt>
                <c:pt idx="2">
                  <c:v>207.60825576689598</c:v>
                </c:pt>
                <c:pt idx="3">
                  <c:v>154.18858761634965</c:v>
                </c:pt>
                <c:pt idx="4">
                  <c:v>440.71226224200728</c:v>
                </c:pt>
              </c:numCache>
            </c:numRef>
          </c:val>
          <c:extLst>
            <c:ext xmlns:c16="http://schemas.microsoft.com/office/drawing/2014/chart" uri="{C3380CC4-5D6E-409C-BE32-E72D297353CC}">
              <c16:uniqueId val="{00000009-0122-6C43-9BFE-DECC7AA07E41}"/>
            </c:ext>
          </c:extLst>
        </c:ser>
        <c:ser>
          <c:idx val="10"/>
          <c:order val="10"/>
          <c:tx>
            <c:strRef>
              <c:f>LandUse3!$L$34</c:f>
              <c:strCache>
                <c:ptCount val="1"/>
                <c:pt idx="0">
                  <c:v> Area Rented to Others </c:v>
                </c:pt>
              </c:strCache>
            </c:strRef>
          </c:tx>
          <c:spPr>
            <a:solidFill>
              <a:schemeClr val="accent5">
                <a:lumMod val="60000"/>
              </a:schemeClr>
            </a:solidFill>
            <a:ln>
              <a:noFill/>
            </a:ln>
            <a:effectLst/>
          </c:spPr>
          <c:invertIfNegative val="0"/>
          <c:cat>
            <c:strRef>
              <c:f>LandUse3!$A$35:$A$39</c:f>
              <c:strCache>
                <c:ptCount val="5"/>
                <c:pt idx="0">
                  <c:v>Kaskazini Unguja</c:v>
                </c:pt>
                <c:pt idx="1">
                  <c:v>Kusini Unguja</c:v>
                </c:pt>
                <c:pt idx="2">
                  <c:v>Mjini Magharibi</c:v>
                </c:pt>
                <c:pt idx="3">
                  <c:v>Kaskazini Pemba</c:v>
                </c:pt>
                <c:pt idx="4">
                  <c:v>Kusini  Pemba</c:v>
                </c:pt>
              </c:strCache>
            </c:strRef>
          </c:cat>
          <c:val>
            <c:numRef>
              <c:f>LandUse3!$L$35:$L$39</c:f>
              <c:numCache>
                <c:formatCode>_(* #,##0_);_(* \(#,##0\);_(* "-"_);_(@_)</c:formatCode>
                <c:ptCount val="5"/>
                <c:pt idx="0">
                  <c:v>19.42533387292594</c:v>
                </c:pt>
                <c:pt idx="1">
                  <c:v>0</c:v>
                </c:pt>
                <c:pt idx="2">
                  <c:v>0</c:v>
                </c:pt>
                <c:pt idx="3">
                  <c:v>0</c:v>
                </c:pt>
                <c:pt idx="4">
                  <c:v>31.97086199919061</c:v>
                </c:pt>
              </c:numCache>
            </c:numRef>
          </c:val>
          <c:extLst>
            <c:ext xmlns:c16="http://schemas.microsoft.com/office/drawing/2014/chart" uri="{C3380CC4-5D6E-409C-BE32-E72D297353CC}">
              <c16:uniqueId val="{0000000A-0122-6C43-9BFE-DECC7AA07E41}"/>
            </c:ext>
          </c:extLst>
        </c:ser>
        <c:ser>
          <c:idx val="11"/>
          <c:order val="11"/>
          <c:tx>
            <c:strRef>
              <c:f>LandUse3!$M$34</c:f>
              <c:strCache>
                <c:ptCount val="1"/>
                <c:pt idx="0">
                  <c:v> Area Unusable </c:v>
                </c:pt>
              </c:strCache>
            </c:strRef>
          </c:tx>
          <c:spPr>
            <a:solidFill>
              <a:schemeClr val="accent6">
                <a:lumMod val="60000"/>
              </a:schemeClr>
            </a:solidFill>
            <a:ln>
              <a:noFill/>
            </a:ln>
            <a:effectLst/>
          </c:spPr>
          <c:invertIfNegative val="0"/>
          <c:cat>
            <c:strRef>
              <c:f>LandUse3!$A$35:$A$39</c:f>
              <c:strCache>
                <c:ptCount val="5"/>
                <c:pt idx="0">
                  <c:v>Kaskazini Unguja</c:v>
                </c:pt>
                <c:pt idx="1">
                  <c:v>Kusini Unguja</c:v>
                </c:pt>
                <c:pt idx="2">
                  <c:v>Mjini Magharibi</c:v>
                </c:pt>
                <c:pt idx="3">
                  <c:v>Kaskazini Pemba</c:v>
                </c:pt>
                <c:pt idx="4">
                  <c:v>Kusini  Pemba</c:v>
                </c:pt>
              </c:strCache>
            </c:strRef>
          </c:cat>
          <c:val>
            <c:numRef>
              <c:f>LandUse3!$M$35:$M$39</c:f>
              <c:numCache>
                <c:formatCode>_(* #,##0_);_(* \(#,##0\);_(* "-"_);_(@_)</c:formatCode>
                <c:ptCount val="5"/>
                <c:pt idx="0">
                  <c:v>0</c:v>
                </c:pt>
                <c:pt idx="1">
                  <c:v>27.519222986645083</c:v>
                </c:pt>
                <c:pt idx="2">
                  <c:v>43.302306758397407</c:v>
                </c:pt>
                <c:pt idx="3">
                  <c:v>0</c:v>
                </c:pt>
                <c:pt idx="4">
                  <c:v>0</c:v>
                </c:pt>
              </c:numCache>
            </c:numRef>
          </c:val>
          <c:extLst>
            <c:ext xmlns:c16="http://schemas.microsoft.com/office/drawing/2014/chart" uri="{C3380CC4-5D6E-409C-BE32-E72D297353CC}">
              <c16:uniqueId val="{0000000B-0122-6C43-9BFE-DECC7AA07E41}"/>
            </c:ext>
          </c:extLst>
        </c:ser>
        <c:ser>
          <c:idx val="12"/>
          <c:order val="12"/>
          <c:tx>
            <c:strRef>
              <c:f>LandUse3!$N$34</c:f>
              <c:strCache>
                <c:ptCount val="1"/>
                <c:pt idx="0">
                  <c:v> Area of Uncultivated Usable Land(excluding fallow) </c:v>
                </c:pt>
              </c:strCache>
            </c:strRef>
          </c:tx>
          <c:spPr>
            <a:solidFill>
              <a:schemeClr val="accent1">
                <a:lumMod val="80000"/>
                <a:lumOff val="20000"/>
              </a:schemeClr>
            </a:solidFill>
            <a:ln>
              <a:noFill/>
            </a:ln>
            <a:effectLst/>
          </c:spPr>
          <c:invertIfNegative val="0"/>
          <c:cat>
            <c:strRef>
              <c:f>LandUse3!$A$35:$A$39</c:f>
              <c:strCache>
                <c:ptCount val="5"/>
                <c:pt idx="0">
                  <c:v>Kaskazini Unguja</c:v>
                </c:pt>
                <c:pt idx="1">
                  <c:v>Kusini Unguja</c:v>
                </c:pt>
                <c:pt idx="2">
                  <c:v>Mjini Magharibi</c:v>
                </c:pt>
                <c:pt idx="3">
                  <c:v>Kaskazini Pemba</c:v>
                </c:pt>
                <c:pt idx="4">
                  <c:v>Kusini  Pemba</c:v>
                </c:pt>
              </c:strCache>
            </c:strRef>
          </c:cat>
          <c:val>
            <c:numRef>
              <c:f>LandUse3!$N$35:$N$39</c:f>
              <c:numCache>
                <c:formatCode>_(* #,##0_);_(* \(#,##0\);_(* "-"_);_(@_)</c:formatCode>
                <c:ptCount val="5"/>
                <c:pt idx="0">
                  <c:v>511.93848644273572</c:v>
                </c:pt>
                <c:pt idx="1">
                  <c:v>664.50829623634149</c:v>
                </c:pt>
                <c:pt idx="2">
                  <c:v>294.21286928369079</c:v>
                </c:pt>
                <c:pt idx="3">
                  <c:v>303.11614730878188</c:v>
                </c:pt>
                <c:pt idx="4">
                  <c:v>1586.4022662889518</c:v>
                </c:pt>
              </c:numCache>
            </c:numRef>
          </c:val>
          <c:extLst>
            <c:ext xmlns:c16="http://schemas.microsoft.com/office/drawing/2014/chart" uri="{C3380CC4-5D6E-409C-BE32-E72D297353CC}">
              <c16:uniqueId val="{0000000C-0122-6C43-9BFE-DECC7AA07E41}"/>
            </c:ext>
          </c:extLst>
        </c:ser>
        <c:dLbls>
          <c:showLegendKey val="0"/>
          <c:showVal val="0"/>
          <c:showCatName val="0"/>
          <c:showSerName val="0"/>
          <c:showPercent val="0"/>
          <c:showBubbleSize val="0"/>
        </c:dLbls>
        <c:gapWidth val="75"/>
        <c:overlap val="100"/>
        <c:axId val="94457856"/>
        <c:axId val="94459776"/>
      </c:barChart>
      <c:catAx>
        <c:axId val="94457856"/>
        <c:scaling>
          <c:orientation val="minMax"/>
        </c:scaling>
        <c:delete val="0"/>
        <c:axPos val="b"/>
        <c:title>
          <c:tx>
            <c:rich>
              <a:bodyPr rot="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Region</a:t>
                </a:r>
              </a:p>
            </c:rich>
          </c:tx>
          <c:layout>
            <c:manualLayout>
              <c:xMode val="edge"/>
              <c:yMode val="edge"/>
              <c:x val="0.37867505508189653"/>
              <c:y val="0.85538840978211061"/>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ysClr val="windowText" lastClr="000000">
                <a:lumMod val="65000"/>
                <a:lumOff val="35000"/>
              </a:sysClr>
            </a:solidFill>
            <a:round/>
          </a:ln>
          <a:effectLst/>
        </c:spPr>
        <c:txPr>
          <a:bodyPr rot="-6000000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94459776"/>
        <c:crosses val="autoZero"/>
        <c:auto val="1"/>
        <c:lblAlgn val="ctr"/>
        <c:lblOffset val="100"/>
        <c:noMultiLvlLbl val="0"/>
      </c:catAx>
      <c:valAx>
        <c:axId val="94459776"/>
        <c:scaling>
          <c:orientation val="minMax"/>
        </c:scaling>
        <c:delete val="0"/>
        <c:axPos val="l"/>
        <c:title>
          <c:tx>
            <c:rich>
              <a:bodyPr rot="-540000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Area (Ha)</a:t>
                </a:r>
              </a:p>
            </c:rich>
          </c:tx>
          <c:layout>
            <c:manualLayout>
              <c:xMode val="edge"/>
              <c:yMode val="edge"/>
              <c:x val="1.0317289830774914E-2"/>
              <c:y val="0.31343849119837214"/>
            </c:manualLayout>
          </c:layout>
          <c:overlay val="0"/>
          <c:spPr>
            <a:noFill/>
            <a:ln>
              <a:noFill/>
            </a:ln>
            <a:effectLst/>
          </c:spPr>
          <c:txPr>
            <a:bodyPr rot="-540000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_(* #,##0_);_(* \(#,##0\);_(* &quot;-&quot;_);_(@_)" sourceLinked="1"/>
        <c:majorTickMark val="out"/>
        <c:minorTickMark val="none"/>
        <c:tickLblPos val="nextTo"/>
        <c:spPr>
          <a:noFill/>
          <a:ln>
            <a:solidFill>
              <a:sysClr val="windowText" lastClr="000000">
                <a:lumMod val="65000"/>
                <a:lumOff val="35000"/>
              </a:sysClr>
            </a:solidFill>
          </a:ln>
          <a:effectLst/>
        </c:spPr>
        <c:txPr>
          <a:bodyPr rot="-6000000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94457856"/>
        <c:crosses val="autoZero"/>
        <c:crossBetween val="between"/>
      </c:valAx>
      <c:spPr>
        <a:noFill/>
        <a:ln>
          <a:noFill/>
        </a:ln>
        <a:effectLst/>
      </c:spPr>
    </c:plotArea>
    <c:legend>
      <c:legendPos val="r"/>
      <c:layout>
        <c:manualLayout>
          <c:xMode val="edge"/>
          <c:yMode val="edge"/>
          <c:x val="0.65324978781984377"/>
          <c:y val="3.2591890992689485E-2"/>
          <c:w val="0.30945071188773082"/>
          <c:h val="0.94966135423895026"/>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6350" cap="flat" cmpd="sng" algn="ctr">
      <a:solidFill>
        <a:sysClr val="windowText" lastClr="000000">
          <a:lumMod val="50000"/>
          <a:lumOff val="50000"/>
        </a:sysClr>
      </a:solidFill>
      <a:round/>
    </a:ln>
    <a:effectLst/>
  </c:spPr>
  <c:txPr>
    <a:bodyPr/>
    <a:lstStyle/>
    <a:p>
      <a:pPr>
        <a:defRPr sz="70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1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556703308126088"/>
          <c:y val="3.8035961272475792E-2"/>
          <c:w val="0.743556369122084"/>
          <c:h val="0.62867100118709229"/>
        </c:manualLayout>
      </c:layout>
      <c:barChart>
        <c:barDir val="col"/>
        <c:grouping val="clustered"/>
        <c:varyColors val="0"/>
        <c:ser>
          <c:idx val="0"/>
          <c:order val="0"/>
          <c:tx>
            <c:strRef>
              <c:f>'advice adopted'!$B$113</c:f>
              <c:strCache>
                <c:ptCount val="1"/>
                <c:pt idx="0">
                  <c:v>Practiced</c:v>
                </c:pt>
              </c:strCache>
            </c:strRef>
          </c:tx>
          <c:spPr>
            <a:solidFill>
              <a:srgbClr val="5B9BD5"/>
            </a:solidFill>
            <a:ln w="25402">
              <a:noFill/>
            </a:ln>
          </c:spPr>
          <c:invertIfNegative val="0"/>
          <c:dLbls>
            <c:spPr>
              <a:noFill/>
              <a:ln w="25402">
                <a:noFill/>
              </a:ln>
            </c:spPr>
            <c:txPr>
              <a:bodyPr rot="-5400000" vert="horz"/>
              <a:lstStyle/>
              <a:p>
                <a:pPr>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'advice adopted'!$A$114:$A$118</c:f>
              <c:strCache>
                <c:ptCount val="5"/>
                <c:pt idx="0">
                  <c:v>Kaskazini Unguja</c:v>
                </c:pt>
                <c:pt idx="1">
                  <c:v>Kusini Unguja</c:v>
                </c:pt>
                <c:pt idx="2">
                  <c:v>Mjini Magharibi</c:v>
                </c:pt>
                <c:pt idx="3">
                  <c:v>Kaskazini Pemba</c:v>
                </c:pt>
                <c:pt idx="4">
                  <c:v>Kusini  Pemba</c:v>
                </c:pt>
              </c:strCache>
            </c:strRef>
          </c:cat>
          <c:val>
            <c:numRef>
              <c:f>'advice adopted'!$B$114:$B$118</c:f>
              <c:numCache>
                <c:formatCode>#,##0.0</c:formatCode>
                <c:ptCount val="5"/>
                <c:pt idx="0">
                  <c:v>86.185383244206776</c:v>
                </c:pt>
                <c:pt idx="1">
                  <c:v>94.758064516129039</c:v>
                </c:pt>
                <c:pt idx="2">
                  <c:v>64.526315789473685</c:v>
                </c:pt>
                <c:pt idx="3">
                  <c:v>76.819923371647519</c:v>
                </c:pt>
                <c:pt idx="4">
                  <c:v>100</c:v>
                </c:pt>
              </c:numCache>
            </c:numRef>
          </c:val>
          <c:extLst>
            <c:ext xmlns:c16="http://schemas.microsoft.com/office/drawing/2014/chart" uri="{C3380CC4-5D6E-409C-BE32-E72D297353CC}">
              <c16:uniqueId val="{00000000-D2DC-D640-8389-8BD446FAD8AD}"/>
            </c:ext>
          </c:extLst>
        </c:ser>
        <c:dLbls>
          <c:showLegendKey val="0"/>
          <c:showVal val="0"/>
          <c:showCatName val="0"/>
          <c:showSerName val="0"/>
          <c:showPercent val="0"/>
          <c:showBubbleSize val="0"/>
        </c:dLbls>
        <c:gapWidth val="219"/>
        <c:overlap val="-27"/>
        <c:axId val="131043328"/>
        <c:axId val="131045248"/>
      </c:barChart>
      <c:catAx>
        <c:axId val="131043328"/>
        <c:scaling>
          <c:orientation val="minMax"/>
        </c:scaling>
        <c:delete val="0"/>
        <c:axPos val="b"/>
        <c:title>
          <c:tx>
            <c:rich>
              <a:bodyPr/>
              <a:lstStyle/>
              <a:p>
                <a:pPr>
                  <a:defRPr b="0"/>
                </a:pPr>
                <a:r>
                  <a:rPr lang="en-US" b="0"/>
                  <a:t>Region</a:t>
                </a:r>
              </a:p>
            </c:rich>
          </c:tx>
          <c:layout>
            <c:manualLayout>
              <c:xMode val="edge"/>
              <c:yMode val="edge"/>
              <c:x val="0.46699588351650029"/>
              <c:y val="0.8136522504000594"/>
            </c:manualLayout>
          </c:layout>
          <c:overlay val="0"/>
          <c:spPr>
            <a:noFill/>
            <a:ln w="25402">
              <a:noFill/>
            </a:ln>
          </c:spPr>
        </c:title>
        <c:numFmt formatCode="General" sourceLinked="1"/>
        <c:majorTickMark val="out"/>
        <c:minorTickMark val="none"/>
        <c:tickLblPos val="nextTo"/>
        <c:spPr>
          <a:noFill/>
          <a:ln w="3175" cap="flat" cmpd="sng" algn="ctr">
            <a:solidFill>
              <a:schemeClr val="tx1">
                <a:lumMod val="50000"/>
                <a:lumOff val="50000"/>
              </a:schemeClr>
            </a:solidFill>
            <a:round/>
          </a:ln>
          <a:effectLst/>
        </c:spPr>
        <c:txPr>
          <a:bodyPr rot="-60000000" vert="horz"/>
          <a:lstStyle/>
          <a:p>
            <a:pPr>
              <a:defRPr/>
            </a:pPr>
            <a:endParaRPr lang="en-US"/>
          </a:p>
        </c:txPr>
        <c:crossAx val="131045248"/>
        <c:crosses val="autoZero"/>
        <c:auto val="1"/>
        <c:lblAlgn val="ctr"/>
        <c:lblOffset val="100"/>
        <c:noMultiLvlLbl val="0"/>
      </c:catAx>
      <c:valAx>
        <c:axId val="131045248"/>
        <c:scaling>
          <c:orientation val="minMax"/>
        </c:scaling>
        <c:delete val="0"/>
        <c:axPos val="l"/>
        <c:title>
          <c:tx>
            <c:rich>
              <a:bodyPr/>
              <a:lstStyle/>
              <a:p>
                <a:pPr>
                  <a:defRPr b="0"/>
                </a:pPr>
                <a:r>
                  <a:rPr lang="en-US" b="0"/>
                  <a:t>Percent</a:t>
                </a:r>
              </a:p>
            </c:rich>
          </c:tx>
          <c:overlay val="0"/>
          <c:spPr>
            <a:noFill/>
            <a:ln w="25402">
              <a:noFill/>
            </a:ln>
          </c:spPr>
        </c:title>
        <c:numFmt formatCode="#,##0" sourceLinked="0"/>
        <c:majorTickMark val="out"/>
        <c:minorTickMark val="none"/>
        <c:tickLblPos val="nextTo"/>
        <c:spPr>
          <a:ln w="6350">
            <a:solidFill>
              <a:schemeClr val="tx1">
                <a:lumMod val="50000"/>
                <a:lumOff val="50000"/>
              </a:schemeClr>
            </a:solidFill>
          </a:ln>
        </c:spPr>
        <c:txPr>
          <a:bodyPr rot="-60000000" vert="horz"/>
          <a:lstStyle/>
          <a:p>
            <a:pPr>
              <a:defRPr/>
            </a:pPr>
            <a:endParaRPr lang="en-US"/>
          </a:p>
        </c:txPr>
        <c:crossAx val="131043328"/>
        <c:crosses val="autoZero"/>
        <c:crossBetween val="between"/>
      </c:valAx>
      <c:spPr>
        <a:noFill/>
        <a:ln w="25402">
          <a:noFill/>
        </a:ln>
      </c:spPr>
    </c:plotArea>
    <c:plotVisOnly val="1"/>
    <c:dispBlanksAs val="gap"/>
    <c:showDLblsOverMax val="0"/>
  </c:chart>
  <c:spPr>
    <a:solidFill>
      <a:schemeClr val="bg1"/>
    </a:solidFill>
    <a:ln w="9526" cap="flat" cmpd="sng" algn="ctr">
      <a:solidFill>
        <a:schemeClr val="tx1">
          <a:lumMod val="50000"/>
          <a:lumOff val="50000"/>
        </a:schemeClr>
      </a:solidFill>
      <a:round/>
    </a:ln>
    <a:effectLst/>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1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'HH Practicing fish farming'!$B$41</c:f>
              <c:strCache>
                <c:ptCount val="1"/>
                <c:pt idx="0">
                  <c:v>No.of Households Practising fish farming</c:v>
                </c:pt>
              </c:strCache>
            </c:strRef>
          </c:tx>
          <c:spPr>
            <a:solidFill>
              <a:srgbClr val="5B9BD5"/>
            </a:solidFill>
            <a:ln w="25400">
              <a:noFill/>
            </a:ln>
          </c:spPr>
          <c:invertIfNegative val="0"/>
          <c:cat>
            <c:strRef>
              <c:f>'HH Practicing fish farming'!$A$42:$A$60</c:f>
              <c:strCache>
                <c:ptCount val="19"/>
                <c:pt idx="0">
                  <c:v>Ruvuma</c:v>
                </c:pt>
                <c:pt idx="1">
                  <c:v>Dar Es Salaam</c:v>
                </c:pt>
                <c:pt idx="2">
                  <c:v>Mbeya</c:v>
                </c:pt>
                <c:pt idx="3">
                  <c:v>Songwe</c:v>
                </c:pt>
                <c:pt idx="4">
                  <c:v>Tanga</c:v>
                </c:pt>
                <c:pt idx="5">
                  <c:v>Rukwa</c:v>
                </c:pt>
                <c:pt idx="6">
                  <c:v>Singida</c:v>
                </c:pt>
                <c:pt idx="7">
                  <c:v>Shinyanga</c:v>
                </c:pt>
                <c:pt idx="8">
                  <c:v>Mwanza</c:v>
                </c:pt>
                <c:pt idx="9">
                  <c:v>Iringa</c:v>
                </c:pt>
                <c:pt idx="10">
                  <c:v>Mtwara</c:v>
                </c:pt>
                <c:pt idx="11">
                  <c:v>Njombe</c:v>
                </c:pt>
                <c:pt idx="12">
                  <c:v>Arusha</c:v>
                </c:pt>
                <c:pt idx="13">
                  <c:v>Kilimanjaro</c:v>
                </c:pt>
                <c:pt idx="14">
                  <c:v>Kagera</c:v>
                </c:pt>
                <c:pt idx="15">
                  <c:v>Tabora</c:v>
                </c:pt>
                <c:pt idx="16">
                  <c:v>Simiyu</c:v>
                </c:pt>
                <c:pt idx="17">
                  <c:v>Geita</c:v>
                </c:pt>
                <c:pt idx="18">
                  <c:v>Morogoro</c:v>
                </c:pt>
              </c:strCache>
            </c:strRef>
          </c:cat>
          <c:val>
            <c:numRef>
              <c:f>'HH Practicing fish farming'!$B$42:$B$60</c:f>
              <c:numCache>
                <c:formatCode>#,##0</c:formatCode>
                <c:ptCount val="19"/>
                <c:pt idx="0">
                  <c:v>4993</c:v>
                </c:pt>
                <c:pt idx="1">
                  <c:v>3117</c:v>
                </c:pt>
                <c:pt idx="2">
                  <c:v>2025</c:v>
                </c:pt>
                <c:pt idx="3">
                  <c:v>2001</c:v>
                </c:pt>
                <c:pt idx="4">
                  <c:v>1797</c:v>
                </c:pt>
                <c:pt idx="5">
                  <c:v>1679</c:v>
                </c:pt>
                <c:pt idx="6">
                  <c:v>1617</c:v>
                </c:pt>
                <c:pt idx="7">
                  <c:v>1341</c:v>
                </c:pt>
                <c:pt idx="8">
                  <c:v>1246</c:v>
                </c:pt>
                <c:pt idx="9">
                  <c:v>1185</c:v>
                </c:pt>
                <c:pt idx="10">
                  <c:v>1125</c:v>
                </c:pt>
                <c:pt idx="11">
                  <c:v>744</c:v>
                </c:pt>
                <c:pt idx="12">
                  <c:v>674</c:v>
                </c:pt>
                <c:pt idx="13">
                  <c:v>631</c:v>
                </c:pt>
                <c:pt idx="14">
                  <c:v>621</c:v>
                </c:pt>
                <c:pt idx="15">
                  <c:v>590</c:v>
                </c:pt>
                <c:pt idx="16">
                  <c:v>458</c:v>
                </c:pt>
                <c:pt idx="17">
                  <c:v>277</c:v>
                </c:pt>
                <c:pt idx="18">
                  <c:v>173</c:v>
                </c:pt>
              </c:numCache>
            </c:numRef>
          </c:val>
          <c:extLst>
            <c:ext xmlns:c16="http://schemas.microsoft.com/office/drawing/2014/chart" uri="{C3380CC4-5D6E-409C-BE32-E72D297353CC}">
              <c16:uniqueId val="{00000000-D782-634A-B24B-A44C6FD72300}"/>
            </c:ext>
          </c:extLst>
        </c:ser>
        <c:dLbls>
          <c:showLegendKey val="0"/>
          <c:showVal val="0"/>
          <c:showCatName val="0"/>
          <c:showSerName val="0"/>
          <c:showPercent val="0"/>
          <c:showBubbleSize val="0"/>
        </c:dLbls>
        <c:gapWidth val="219"/>
        <c:overlap val="-27"/>
        <c:axId val="131366912"/>
        <c:axId val="131368832"/>
      </c:barChart>
      <c:catAx>
        <c:axId val="131366912"/>
        <c:scaling>
          <c:orientation val="minMax"/>
        </c:scaling>
        <c:delete val="0"/>
        <c:axPos val="b"/>
        <c:title>
          <c:tx>
            <c:rich>
              <a:bodyPr/>
              <a:lstStyle/>
              <a:p>
                <a:pPr>
                  <a:defRPr/>
                </a:pPr>
                <a:r>
                  <a:rPr lang="en-US"/>
                  <a:t>Region</a:t>
                </a:r>
              </a:p>
            </c:rich>
          </c:tx>
          <c:overlay val="0"/>
          <c:spPr>
            <a:noFill/>
            <a:ln w="25400">
              <a:noFill/>
            </a:ln>
          </c:spPr>
        </c:title>
        <c:numFmt formatCode="General" sourceLinked="1"/>
        <c:majorTickMark val="out"/>
        <c:minorTickMark val="none"/>
        <c:tickLblPos val="nextTo"/>
        <c:spPr>
          <a:noFill/>
          <a:ln w="6350" cap="flat" cmpd="sng" algn="ctr">
            <a:solidFill>
              <a:sysClr val="windowText" lastClr="000000">
                <a:lumMod val="65000"/>
                <a:lumOff val="35000"/>
              </a:sysClr>
            </a:solidFill>
            <a:round/>
          </a:ln>
          <a:effectLst/>
        </c:spPr>
        <c:txPr>
          <a:bodyPr rot="-5400000" vert="horz"/>
          <a:lstStyle/>
          <a:p>
            <a:pPr>
              <a:defRPr/>
            </a:pPr>
            <a:endParaRPr lang="en-US"/>
          </a:p>
        </c:txPr>
        <c:crossAx val="131368832"/>
        <c:crosses val="autoZero"/>
        <c:auto val="1"/>
        <c:lblAlgn val="ctr"/>
        <c:lblOffset val="100"/>
        <c:noMultiLvlLbl val="0"/>
      </c:catAx>
      <c:valAx>
        <c:axId val="131368832"/>
        <c:scaling>
          <c:orientation val="minMax"/>
        </c:scaling>
        <c:delete val="0"/>
        <c:axPos val="l"/>
        <c:title>
          <c:tx>
            <c:rich>
              <a:bodyPr/>
              <a:lstStyle/>
              <a:p>
                <a:pPr>
                  <a:defRPr/>
                </a:pPr>
                <a:r>
                  <a:rPr lang="en-US"/>
                  <a:t>Number of Households</a:t>
                </a:r>
              </a:p>
            </c:rich>
          </c:tx>
          <c:layout>
            <c:manualLayout>
              <c:xMode val="edge"/>
              <c:yMode val="edge"/>
              <c:x val="1.3303769401330377E-2"/>
              <c:y val="0.23293914793147164"/>
            </c:manualLayout>
          </c:layout>
          <c:overlay val="0"/>
          <c:spPr>
            <a:noFill/>
            <a:ln w="25400">
              <a:noFill/>
            </a:ln>
          </c:spPr>
        </c:title>
        <c:numFmt formatCode="#,##0" sourceLinked="1"/>
        <c:majorTickMark val="out"/>
        <c:minorTickMark val="none"/>
        <c:tickLblPos val="nextTo"/>
        <c:txPr>
          <a:bodyPr rot="0" vert="horz"/>
          <a:lstStyle/>
          <a:p>
            <a:pPr>
              <a:defRPr/>
            </a:pPr>
            <a:endParaRPr lang="en-US"/>
          </a:p>
        </c:txPr>
        <c:crossAx val="131366912"/>
        <c:crosses val="autoZero"/>
        <c:crossBetween val="between"/>
      </c:valAx>
      <c:spPr>
        <a:noFill/>
        <a:ln w="25400">
          <a:noFill/>
        </a:ln>
      </c:spPr>
    </c:plotArea>
    <c:plotVisOnly val="1"/>
    <c:dispBlanksAs val="gap"/>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800" b="0" i="0" u="none" strike="noStrike" baseline="0">
          <a:solidFill>
            <a:sysClr val="windowText" lastClr="000000"/>
          </a:solidFill>
          <a:latin typeface="Times New Roman" panose="02020603050405020304" pitchFamily="18" charset="0"/>
          <a:ea typeface="Calibri"/>
          <a:cs typeface="Times New Roman" panose="02020603050405020304" pitchFamily="18" charset="0"/>
        </a:defRPr>
      </a:pPr>
      <a:endParaRPr lang="en-US"/>
    </a:p>
  </c:txPr>
  <c:externalData r:id="rId2">
    <c:autoUpdate val="0"/>
  </c:externalData>
</c:chartSpace>
</file>

<file path=word/charts/chart1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973933690661172"/>
          <c:y val="4.49438202247191E-2"/>
          <c:w val="0.8658704191909492"/>
          <c:h val="0.60375829425816152"/>
        </c:manualLayout>
      </c:layout>
      <c:barChart>
        <c:barDir val="col"/>
        <c:grouping val="clustered"/>
        <c:varyColors val="0"/>
        <c:ser>
          <c:idx val="0"/>
          <c:order val="0"/>
          <c:spPr>
            <a:solidFill>
              <a:srgbClr val="5B9BD5"/>
            </a:solidFill>
            <a:ln w="25400">
              <a:noFill/>
            </a:ln>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'Fish production'!$A$215:$A$230</c:f>
              <c:strCache>
                <c:ptCount val="16"/>
                <c:pt idx="0">
                  <c:v>Tanga</c:v>
                </c:pt>
                <c:pt idx="1">
                  <c:v>Ruvuma</c:v>
                </c:pt>
                <c:pt idx="2">
                  <c:v>Mbeya</c:v>
                </c:pt>
                <c:pt idx="3">
                  <c:v>Songwe</c:v>
                </c:pt>
                <c:pt idx="4">
                  <c:v>Dar Es Salaam</c:v>
                </c:pt>
                <c:pt idx="5">
                  <c:v>Simiyu</c:v>
                </c:pt>
                <c:pt idx="6">
                  <c:v>Rukwa</c:v>
                </c:pt>
                <c:pt idx="7">
                  <c:v>Njombe</c:v>
                </c:pt>
                <c:pt idx="8">
                  <c:v>Mtwara</c:v>
                </c:pt>
                <c:pt idx="9">
                  <c:v>Singida</c:v>
                </c:pt>
                <c:pt idx="10">
                  <c:v>Arusha</c:v>
                </c:pt>
                <c:pt idx="11">
                  <c:v>Morogoro</c:v>
                </c:pt>
                <c:pt idx="12">
                  <c:v>Shinyanga</c:v>
                </c:pt>
                <c:pt idx="13">
                  <c:v>Kagera</c:v>
                </c:pt>
                <c:pt idx="14">
                  <c:v>Kilimanjaro</c:v>
                </c:pt>
                <c:pt idx="15">
                  <c:v>Tabora</c:v>
                </c:pt>
              </c:strCache>
            </c:strRef>
          </c:cat>
          <c:val>
            <c:numRef>
              <c:f>'Fish production'!$B$215:$B$230</c:f>
              <c:numCache>
                <c:formatCode>#,##0</c:formatCode>
                <c:ptCount val="16"/>
                <c:pt idx="0">
                  <c:v>3769</c:v>
                </c:pt>
                <c:pt idx="1">
                  <c:v>2643</c:v>
                </c:pt>
                <c:pt idx="2">
                  <c:v>1650</c:v>
                </c:pt>
                <c:pt idx="3">
                  <c:v>1278</c:v>
                </c:pt>
                <c:pt idx="4">
                  <c:v>1124</c:v>
                </c:pt>
                <c:pt idx="5">
                  <c:v>850</c:v>
                </c:pt>
                <c:pt idx="6">
                  <c:v>357</c:v>
                </c:pt>
                <c:pt idx="7">
                  <c:v>243</c:v>
                </c:pt>
                <c:pt idx="8">
                  <c:v>212</c:v>
                </c:pt>
                <c:pt idx="9">
                  <c:v>200</c:v>
                </c:pt>
                <c:pt idx="10">
                  <c:v>164</c:v>
                </c:pt>
                <c:pt idx="11">
                  <c:v>69</c:v>
                </c:pt>
                <c:pt idx="12">
                  <c:v>24</c:v>
                </c:pt>
                <c:pt idx="13">
                  <c:v>17</c:v>
                </c:pt>
                <c:pt idx="14">
                  <c:v>13</c:v>
                </c:pt>
                <c:pt idx="15">
                  <c:v>0.5</c:v>
                </c:pt>
              </c:numCache>
            </c:numRef>
          </c:val>
          <c:extLst>
            <c:ext xmlns:c16="http://schemas.microsoft.com/office/drawing/2014/chart" uri="{C3380CC4-5D6E-409C-BE32-E72D297353CC}">
              <c16:uniqueId val="{00000000-7D89-AF43-9D61-DB8FE4906335}"/>
            </c:ext>
          </c:extLst>
        </c:ser>
        <c:dLbls>
          <c:showLegendKey val="0"/>
          <c:showVal val="0"/>
          <c:showCatName val="0"/>
          <c:showSerName val="0"/>
          <c:showPercent val="0"/>
          <c:showBubbleSize val="0"/>
        </c:dLbls>
        <c:gapWidth val="219"/>
        <c:overlap val="-27"/>
        <c:axId val="131386368"/>
        <c:axId val="131392640"/>
      </c:barChart>
      <c:catAx>
        <c:axId val="131386368"/>
        <c:scaling>
          <c:orientation val="minMax"/>
        </c:scaling>
        <c:delete val="0"/>
        <c:axPos val="b"/>
        <c:title>
          <c:tx>
            <c:rich>
              <a:bodyPr/>
              <a:lstStyle/>
              <a:p>
                <a:pPr>
                  <a:defRPr/>
                </a:pPr>
                <a:r>
                  <a:rPr lang="en-US"/>
                  <a:t>Region</a:t>
                </a:r>
              </a:p>
            </c:rich>
          </c:tx>
          <c:layout>
            <c:manualLayout>
              <c:xMode val="edge"/>
              <c:yMode val="edge"/>
              <c:x val="0.45940394922918448"/>
              <c:y val="0.84697639886647635"/>
            </c:manualLayout>
          </c:layout>
          <c:overlay val="0"/>
          <c:spPr>
            <a:noFill/>
            <a:ln w="25400">
              <a:noFill/>
            </a:ln>
          </c:spPr>
        </c:title>
        <c:numFmt formatCode="General" sourceLinked="1"/>
        <c:majorTickMark val="out"/>
        <c:minorTickMark val="none"/>
        <c:tickLblPos val="nextTo"/>
        <c:spPr>
          <a:noFill/>
          <a:ln w="9525" cap="flat" cmpd="sng" algn="ctr">
            <a:solidFill>
              <a:schemeClr val="tx1">
                <a:lumMod val="65000"/>
                <a:lumOff val="35000"/>
              </a:schemeClr>
            </a:solidFill>
            <a:round/>
          </a:ln>
          <a:effectLst/>
        </c:spPr>
        <c:txPr>
          <a:bodyPr rot="-5400000" vert="horz"/>
          <a:lstStyle/>
          <a:p>
            <a:pPr>
              <a:defRPr/>
            </a:pPr>
            <a:endParaRPr lang="en-US"/>
          </a:p>
        </c:txPr>
        <c:crossAx val="131392640"/>
        <c:crosses val="autoZero"/>
        <c:auto val="1"/>
        <c:lblAlgn val="ctr"/>
        <c:lblOffset val="100"/>
        <c:noMultiLvlLbl val="0"/>
      </c:catAx>
      <c:valAx>
        <c:axId val="131392640"/>
        <c:scaling>
          <c:orientation val="minMax"/>
        </c:scaling>
        <c:delete val="0"/>
        <c:axPos val="l"/>
        <c:title>
          <c:tx>
            <c:rich>
              <a:bodyPr/>
              <a:lstStyle/>
              <a:p>
                <a:pPr>
                  <a:defRPr/>
                </a:pPr>
                <a:r>
                  <a:rPr lang="en-US"/>
                  <a:t>Weight of Fish  (tons)</a:t>
                </a:r>
              </a:p>
            </c:rich>
          </c:tx>
          <c:layout>
            <c:manualLayout>
              <c:xMode val="edge"/>
              <c:yMode val="edge"/>
              <c:x val="1.5366552019135081E-2"/>
              <c:y val="0.16114435266845215"/>
            </c:manualLayout>
          </c:layout>
          <c:overlay val="0"/>
          <c:spPr>
            <a:noFill/>
            <a:ln w="25400">
              <a:noFill/>
            </a:ln>
          </c:spPr>
        </c:title>
        <c:numFmt formatCode="#,##0" sourceLinked="1"/>
        <c:majorTickMark val="out"/>
        <c:minorTickMark val="none"/>
        <c:tickLblPos val="nextTo"/>
        <c:spPr>
          <a:ln w="6350">
            <a:solidFill>
              <a:schemeClr val="tx1">
                <a:lumMod val="65000"/>
                <a:lumOff val="35000"/>
              </a:schemeClr>
            </a:solidFill>
          </a:ln>
        </c:spPr>
        <c:txPr>
          <a:bodyPr rot="0" vert="horz"/>
          <a:lstStyle/>
          <a:p>
            <a:pPr>
              <a:defRPr/>
            </a:pPr>
            <a:endParaRPr lang="en-US"/>
          </a:p>
        </c:txPr>
        <c:crossAx val="131386368"/>
        <c:crosses val="autoZero"/>
        <c:crossBetween val="between"/>
      </c:valAx>
      <c:spPr>
        <a:noFill/>
        <a:ln w="25400">
          <a:noFill/>
        </a:ln>
      </c:spPr>
    </c:plotArea>
    <c:plotVisOnly val="1"/>
    <c:dispBlanksAs val="gap"/>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800" b="0" i="0" u="none" strike="noStrike" baseline="0">
          <a:solidFill>
            <a:schemeClr val="tx1"/>
          </a:solidFill>
          <a:latin typeface="Times New Roman" panose="02020603050405020304" pitchFamily="18" charset="0"/>
          <a:ea typeface="Calibri"/>
          <a:cs typeface="Times New Roman" panose="02020603050405020304" pitchFamily="18" charset="0"/>
        </a:defRPr>
      </a:pPr>
      <a:endParaRPr lang="en-US"/>
    </a:p>
  </c:txPr>
  <c:externalData r:id="rId2">
    <c:autoUpdate val="0"/>
  </c:externalData>
</c:chartSpace>
</file>

<file path=word/charts/chart1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7324561403509"/>
          <c:y val="0.14795176345319599"/>
          <c:w val="0.79459064327485396"/>
          <c:h val="0.78100311697312097"/>
        </c:manualLayout>
      </c:layout>
      <c:pie3DChart>
        <c:varyColors val="1"/>
        <c:ser>
          <c:idx val="0"/>
          <c:order val="0"/>
          <c:dPt>
            <c:idx val="0"/>
            <c:bubble3D val="0"/>
            <c:spPr>
              <a:solidFill>
                <a:srgbClr val="FFFF00"/>
              </a:solidFill>
              <a:ln w="25400">
                <a:solidFill>
                  <a:schemeClr val="lt1"/>
                </a:solidFill>
              </a:ln>
              <a:effectLst/>
              <a:sp3d contourW="25400">
                <a:contourClr>
                  <a:schemeClr val="lt1"/>
                </a:contourClr>
              </a:sp3d>
            </c:spPr>
            <c:extLst>
              <c:ext xmlns:c16="http://schemas.microsoft.com/office/drawing/2014/chart" uri="{C3380CC4-5D6E-409C-BE32-E72D297353CC}">
                <c16:uniqueId val="{00000001-FDEE-D94A-BF52-0A6BAEF57FCB}"/>
              </c:ext>
            </c:extLst>
          </c:dPt>
          <c:dPt>
            <c:idx val="1"/>
            <c:bubble3D val="0"/>
            <c:spPr>
              <a:solidFill>
                <a:srgbClr val="FFC000">
                  <a:lumMod val="40000"/>
                  <a:lumOff val="60000"/>
                </a:srgbClr>
              </a:solidFill>
              <a:ln w="25400">
                <a:noFill/>
              </a:ln>
              <a:effectLst/>
              <a:sp3d>
                <a:contourClr>
                  <a:srgbClr val="FF0000"/>
                </a:contourClr>
              </a:sp3d>
            </c:spPr>
            <c:extLst>
              <c:ext xmlns:c16="http://schemas.microsoft.com/office/drawing/2014/chart" uri="{C3380CC4-5D6E-409C-BE32-E72D297353CC}">
                <c16:uniqueId val="{00000003-FDEE-D94A-BF52-0A6BAEF57FCB}"/>
              </c:ext>
            </c:extLst>
          </c:dPt>
          <c:dPt>
            <c:idx val="2"/>
            <c:bubble3D val="0"/>
            <c:spPr>
              <a:solidFill>
                <a:schemeClr val="accent1">
                  <a:lumMod val="20000"/>
                  <a:lumOff val="8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FDEE-D94A-BF52-0A6BAEF57FCB}"/>
              </c:ext>
            </c:extLst>
          </c:dPt>
          <c:dPt>
            <c:idx val="3"/>
            <c:bubble3D val="0"/>
            <c:spPr>
              <a:solidFill>
                <a:srgbClr val="00B050"/>
              </a:solidFill>
              <a:ln w="25400">
                <a:noFill/>
              </a:ln>
              <a:effectLst/>
              <a:sp3d>
                <a:contourClr>
                  <a:srgbClr val="FFFF00"/>
                </a:contourClr>
              </a:sp3d>
            </c:spPr>
            <c:extLst>
              <c:ext xmlns:c16="http://schemas.microsoft.com/office/drawing/2014/chart" uri="{C3380CC4-5D6E-409C-BE32-E72D297353CC}">
                <c16:uniqueId val="{00000007-FDEE-D94A-BF52-0A6BAEF57FCB}"/>
              </c:ext>
            </c:extLst>
          </c:dPt>
          <c:dPt>
            <c:idx val="4"/>
            <c:bubble3D val="0"/>
            <c:spPr>
              <a:solidFill>
                <a:srgbClr val="7030A0"/>
              </a:solidFill>
              <a:ln w="25400">
                <a:solidFill>
                  <a:schemeClr val="lt1"/>
                </a:solidFill>
              </a:ln>
              <a:effectLst/>
              <a:sp3d contourW="25400">
                <a:contourClr>
                  <a:schemeClr val="lt1"/>
                </a:contourClr>
              </a:sp3d>
            </c:spPr>
            <c:extLst>
              <c:ext xmlns:c16="http://schemas.microsoft.com/office/drawing/2014/chart" uri="{C3380CC4-5D6E-409C-BE32-E72D297353CC}">
                <c16:uniqueId val="{00000009-FDEE-D94A-BF52-0A6BAEF57FCB}"/>
              </c:ext>
            </c:extLst>
          </c:dPt>
          <c:dPt>
            <c:idx val="5"/>
            <c:bubble3D val="0"/>
            <c:spPr>
              <a:solidFill>
                <a:srgbClr val="00B0F0"/>
              </a:solidFill>
              <a:ln w="25400">
                <a:solidFill>
                  <a:schemeClr val="lt1"/>
                </a:solidFill>
              </a:ln>
              <a:effectLst/>
              <a:sp3d contourW="25400">
                <a:contourClr>
                  <a:schemeClr val="lt1"/>
                </a:contourClr>
              </a:sp3d>
            </c:spPr>
            <c:extLst>
              <c:ext xmlns:c16="http://schemas.microsoft.com/office/drawing/2014/chart" uri="{C3380CC4-5D6E-409C-BE32-E72D297353CC}">
                <c16:uniqueId val="{0000000B-FDEE-D94A-BF52-0A6BAEF57FCB}"/>
              </c:ext>
            </c:extLst>
          </c:dPt>
          <c:dPt>
            <c:idx val="6"/>
            <c:bubble3D val="0"/>
            <c:spPr>
              <a:solidFill>
                <a:srgbClr val="ED7D31"/>
              </a:solidFill>
              <a:ln w="25400">
                <a:solidFill>
                  <a:schemeClr val="lt1"/>
                </a:solidFill>
              </a:ln>
              <a:effectLst/>
              <a:sp3d contourW="25400">
                <a:contourClr>
                  <a:schemeClr val="lt1"/>
                </a:contourClr>
              </a:sp3d>
            </c:spPr>
            <c:extLst>
              <c:ext xmlns:c16="http://schemas.microsoft.com/office/drawing/2014/chart" uri="{C3380CC4-5D6E-409C-BE32-E72D297353CC}">
                <c16:uniqueId val="{0000000D-FDEE-D94A-BF52-0A6BAEF57FCB}"/>
              </c:ext>
            </c:extLst>
          </c:dPt>
          <c:dLbls>
            <c:dLbl>
              <c:idx val="0"/>
              <c:layout>
                <c:manualLayout>
                  <c:x val="-0.1164683773081"/>
                  <c:y val="-7.6143633081968198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31902397891053091"/>
                      <c:h val="0.12798564140174637"/>
                    </c:manualLayout>
                  </c15:layout>
                </c:ext>
                <c:ext xmlns:c16="http://schemas.microsoft.com/office/drawing/2014/chart" uri="{C3380CC4-5D6E-409C-BE32-E72D297353CC}">
                  <c16:uniqueId val="{00000001-FDEE-D94A-BF52-0A6BAEF57FCB}"/>
                </c:ext>
              </c:extLst>
            </c:dLbl>
            <c:dLbl>
              <c:idx val="1"/>
              <c:layout>
                <c:manualLayout>
                  <c:x val="-6.8968560675326579E-4"/>
                  <c:y val="-0.22976217298540594"/>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5881560804899384"/>
                      <c:h val="0.18015218802933736"/>
                    </c:manualLayout>
                  </c15:layout>
                </c:ext>
                <c:ext xmlns:c16="http://schemas.microsoft.com/office/drawing/2014/chart" uri="{C3380CC4-5D6E-409C-BE32-E72D297353CC}">
                  <c16:uniqueId val="{00000003-FDEE-D94A-BF52-0A6BAEF57FCB}"/>
                </c:ext>
              </c:extLst>
            </c:dLbl>
            <c:dLbl>
              <c:idx val="2"/>
              <c:layout>
                <c:manualLayout>
                  <c:x val="4.5824555995992999E-2"/>
                  <c:y val="3.25796387335665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FDEE-D94A-BF52-0A6BAEF57FCB}"/>
                </c:ext>
              </c:extLst>
            </c:dLbl>
            <c:dLbl>
              <c:idx val="3"/>
              <c:layout>
                <c:manualLayout>
                  <c:x val="-5.3565220325380102E-2"/>
                  <c:y val="8.0365275999353305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FDEE-D94A-BF52-0A6BAEF57FCB}"/>
                </c:ext>
              </c:extLst>
            </c:dLbl>
            <c:dLbl>
              <c:idx val="4"/>
              <c:layout>
                <c:manualLayout>
                  <c:x val="0"/>
                  <c:y val="-4.292642227668559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FDEE-D94A-BF52-0A6BAEF57FCB}"/>
                </c:ext>
              </c:extLst>
            </c:dLbl>
            <c:dLbl>
              <c:idx val="5"/>
              <c:layout>
                <c:manualLayout>
                  <c:x val="-0.13226288830608299"/>
                  <c:y val="-3.1481773580476699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1898771699590183"/>
                      <c:h val="0.12371305007510677"/>
                    </c:manualLayout>
                  </c15:layout>
                </c:ext>
                <c:ext xmlns:c16="http://schemas.microsoft.com/office/drawing/2014/chart" uri="{C3380CC4-5D6E-409C-BE32-E72D297353CC}">
                  <c16:uniqueId val="{0000000B-FDEE-D94A-BF52-0A6BAEF57FCB}"/>
                </c:ext>
              </c:extLst>
            </c:dLbl>
            <c:dLbl>
              <c:idx val="6"/>
              <c:layout>
                <c:manualLayout>
                  <c:x val="-2.54855067458673E-2"/>
                  <c:y val="-3.9811467702405602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1542397660818713"/>
                      <c:h val="0.15362118936158403"/>
                    </c:manualLayout>
                  </c15:layout>
                </c:ext>
                <c:ext xmlns:c16="http://schemas.microsoft.com/office/drawing/2014/chart" uri="{C3380CC4-5D6E-409C-BE32-E72D297353CC}">
                  <c16:uniqueId val="{0000000D-FDEE-D94A-BF52-0A6BAEF57FCB}"/>
                </c:ext>
              </c:extLst>
            </c:dLbl>
            <c:numFmt formatCode="0.0%" sourceLinked="0"/>
            <c:spPr>
              <a:noFill/>
              <a:ln>
                <a:noFill/>
              </a:ln>
              <a:effectLst/>
            </c:spPr>
            <c:txPr>
              <a:bodyPr rot="0" vert="horz"/>
              <a:lstStyle/>
              <a:p>
                <a:pPr>
                  <a:defRPr/>
                </a:pPr>
                <a:endParaRPr lang="en-U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'Fish production'!$A$294:$A$300</c:f>
              <c:strCache>
                <c:ptCount val="7"/>
                <c:pt idx="0">
                  <c:v>Own fish hatchery</c:v>
                </c:pt>
                <c:pt idx="1">
                  <c:v>Neighbour fish hatchery</c:v>
                </c:pt>
                <c:pt idx="2">
                  <c:v>Government institution hatchery</c:v>
                </c:pt>
                <c:pt idx="3">
                  <c:v>Private trader fish hatchery</c:v>
                </c:pt>
                <c:pt idx="4">
                  <c:v>Natural pond</c:v>
                </c:pt>
                <c:pt idx="5">
                  <c:v>NGO/Projects</c:v>
                </c:pt>
                <c:pt idx="6">
                  <c:v>Other sources</c:v>
                </c:pt>
              </c:strCache>
            </c:strRef>
          </c:cat>
          <c:val>
            <c:numRef>
              <c:f>'Fish production'!$B$294:$B$300</c:f>
              <c:numCache>
                <c:formatCode>_(* #,##0_);_(* \(#,##0\);_(* "-"??_);_(@_)</c:formatCode>
                <c:ptCount val="7"/>
                <c:pt idx="0">
                  <c:v>2641</c:v>
                </c:pt>
                <c:pt idx="1">
                  <c:v>8234</c:v>
                </c:pt>
                <c:pt idx="2">
                  <c:v>2350</c:v>
                </c:pt>
                <c:pt idx="3">
                  <c:v>8964</c:v>
                </c:pt>
                <c:pt idx="4">
                  <c:v>3335</c:v>
                </c:pt>
                <c:pt idx="5">
                  <c:v>3029</c:v>
                </c:pt>
                <c:pt idx="6">
                  <c:v>1341</c:v>
                </c:pt>
              </c:numCache>
            </c:numRef>
          </c:val>
          <c:extLst>
            <c:ext xmlns:c16="http://schemas.microsoft.com/office/drawing/2014/chart" uri="{C3380CC4-5D6E-409C-BE32-E72D297353CC}">
              <c16:uniqueId val="{0000000E-FDEE-D94A-BF52-0A6BAEF57FCB}"/>
            </c:ext>
          </c:extLst>
        </c:ser>
        <c:dLbls>
          <c:dLblPos val="outEnd"/>
          <c:showLegendKey val="0"/>
          <c:showVal val="1"/>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700">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9019223586202969E-2"/>
          <c:y val="5.4857330375268153E-2"/>
          <c:w val="0.81162230239892208"/>
          <c:h val="0.80473540717299952"/>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359A-AC4C-9619-50E87B82EAB2}"/>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359A-AC4C-9619-50E87B82EAB2}"/>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359A-AC4C-9619-50E87B82EAB2}"/>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359A-AC4C-9619-50E87B82EAB2}"/>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359A-AC4C-9619-50E87B82EAB2}"/>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359A-AC4C-9619-50E87B82EAB2}"/>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359A-AC4C-9619-50E87B82EAB2}"/>
              </c:ext>
            </c:extLst>
          </c:dPt>
          <c:dLbls>
            <c:dLbl>
              <c:idx val="4"/>
              <c:layout>
                <c:manualLayout>
                  <c:x val="-0.13801111454803516"/>
                  <c:y val="0.2190746657138723"/>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0081503851584601"/>
                      <c:h val="9.6075908933019358E-2"/>
                    </c:manualLayout>
                  </c15:layout>
                </c:ext>
                <c:ext xmlns:c16="http://schemas.microsoft.com/office/drawing/2014/chart" uri="{C3380CC4-5D6E-409C-BE32-E72D297353CC}">
                  <c16:uniqueId val="{00000009-359A-AC4C-9619-50E87B82EAB2}"/>
                </c:ext>
              </c:extLst>
            </c:dLbl>
            <c:dLbl>
              <c:idx val="5"/>
              <c:layout>
                <c:manualLayout>
                  <c:x val="1.0652714053896743E-3"/>
                  <c:y val="-0.1963661207907522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37583590225733832"/>
                      <c:h val="0.11946614918235468"/>
                    </c:manualLayout>
                  </c15:layout>
                </c:ext>
                <c:ext xmlns:c16="http://schemas.microsoft.com/office/drawing/2014/chart" uri="{C3380CC4-5D6E-409C-BE32-E72D297353CC}">
                  <c16:uniqueId val="{0000000B-359A-AC4C-9619-50E87B82EAB2}"/>
                </c:ext>
              </c:extLst>
            </c:dLbl>
            <c:numFmt formatCode="0.0%" sourceLinked="0"/>
            <c:spPr>
              <a:noFill/>
              <a:ln>
                <a:noFill/>
              </a:ln>
              <a:effectLst/>
            </c:spPr>
            <c:txPr>
              <a:bodyPr rot="0" vert="horz"/>
              <a:lstStyle/>
              <a:p>
                <a:pPr>
                  <a:defRPr/>
                </a:pPr>
                <a:endParaRPr lang="en-U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'Fish production'!$A$294:$A$300</c:f>
              <c:strCache>
                <c:ptCount val="7"/>
                <c:pt idx="0">
                  <c:v>Own fish hatchery</c:v>
                </c:pt>
                <c:pt idx="1">
                  <c:v>Neighbour fish hatchery</c:v>
                </c:pt>
                <c:pt idx="2">
                  <c:v>Government institution hatchery</c:v>
                </c:pt>
                <c:pt idx="3">
                  <c:v>Private trader fish hatchery</c:v>
                </c:pt>
                <c:pt idx="4">
                  <c:v>Natural pond</c:v>
                </c:pt>
                <c:pt idx="5">
                  <c:v>NGO/Projects</c:v>
                </c:pt>
                <c:pt idx="6">
                  <c:v>Other sources</c:v>
                </c:pt>
              </c:strCache>
            </c:strRef>
          </c:cat>
          <c:val>
            <c:numRef>
              <c:f>'Fish production'!$C$294:$C$300</c:f>
              <c:numCache>
                <c:formatCode>General</c:formatCode>
                <c:ptCount val="7"/>
                <c:pt idx="4">
                  <c:v>225</c:v>
                </c:pt>
                <c:pt idx="5">
                  <c:v>142</c:v>
                </c:pt>
              </c:numCache>
            </c:numRef>
          </c:val>
          <c:extLst>
            <c:ext xmlns:c16="http://schemas.microsoft.com/office/drawing/2014/chart" uri="{C3380CC4-5D6E-409C-BE32-E72D297353CC}">
              <c16:uniqueId val="{0000000E-359A-AC4C-9619-50E87B82EAB2}"/>
            </c:ext>
          </c:extLst>
        </c:ser>
        <c:dLbls>
          <c:dLblPos val="bestFit"/>
          <c:showLegendKey val="0"/>
          <c:showVal val="1"/>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700">
          <a:solidFill>
            <a:schemeClr val="tx1"/>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687760902074459"/>
          <c:y val="9.5152503510424619E-2"/>
          <c:w val="0.85506453007505479"/>
          <c:h val="0.61119104024015847"/>
        </c:manualLayout>
      </c:layout>
      <c:barChart>
        <c:barDir val="col"/>
        <c:grouping val="clustered"/>
        <c:varyColors val="0"/>
        <c:ser>
          <c:idx val="0"/>
          <c:order val="0"/>
          <c:spPr>
            <a:solidFill>
              <a:srgbClr val="5B9BD5"/>
            </a:solidFill>
            <a:ln w="25400">
              <a:noFill/>
            </a:ln>
          </c:spPr>
          <c:invertIfNegative val="0"/>
          <c:dLbls>
            <c:spPr>
              <a:noFill/>
              <a:ln w="25400">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'Fish production'!$A$362:$A$368</c:f>
              <c:numCache>
                <c:formatCode>General</c:formatCode>
                <c:ptCount val="7"/>
                <c:pt idx="0">
                  <c:v>1</c:v>
                </c:pt>
                <c:pt idx="1">
                  <c:v>2</c:v>
                </c:pt>
                <c:pt idx="2">
                  <c:v>3</c:v>
                </c:pt>
                <c:pt idx="3">
                  <c:v>4</c:v>
                </c:pt>
                <c:pt idx="4">
                  <c:v>5</c:v>
                </c:pt>
                <c:pt idx="5">
                  <c:v>6</c:v>
                </c:pt>
                <c:pt idx="6">
                  <c:v>7</c:v>
                </c:pt>
              </c:numCache>
            </c:numRef>
          </c:cat>
          <c:val>
            <c:numRef>
              <c:f>'Fish production'!$B$362:$B$368</c:f>
              <c:numCache>
                <c:formatCode>#,##0.0</c:formatCode>
                <c:ptCount val="7"/>
                <c:pt idx="0">
                  <c:v>64.7</c:v>
                </c:pt>
                <c:pt idx="1">
                  <c:v>17.899999999999999</c:v>
                </c:pt>
                <c:pt idx="2">
                  <c:v>12.1</c:v>
                </c:pt>
                <c:pt idx="3">
                  <c:v>2.6</c:v>
                </c:pt>
                <c:pt idx="4">
                  <c:v>1.8</c:v>
                </c:pt>
                <c:pt idx="5">
                  <c:v>0</c:v>
                </c:pt>
                <c:pt idx="6">
                  <c:v>0.9</c:v>
                </c:pt>
              </c:numCache>
            </c:numRef>
          </c:val>
          <c:extLst>
            <c:ext xmlns:c16="http://schemas.microsoft.com/office/drawing/2014/chart" uri="{C3380CC4-5D6E-409C-BE32-E72D297353CC}">
              <c16:uniqueId val="{00000000-F65C-5042-90F1-68EBF29E77B0}"/>
            </c:ext>
          </c:extLst>
        </c:ser>
        <c:dLbls>
          <c:showLegendKey val="0"/>
          <c:showVal val="0"/>
          <c:showCatName val="0"/>
          <c:showSerName val="0"/>
          <c:showPercent val="0"/>
          <c:showBubbleSize val="0"/>
        </c:dLbls>
        <c:gapWidth val="219"/>
        <c:overlap val="-27"/>
        <c:axId val="131895296"/>
        <c:axId val="131897216"/>
      </c:barChart>
      <c:catAx>
        <c:axId val="131895296"/>
        <c:scaling>
          <c:orientation val="minMax"/>
        </c:scaling>
        <c:delete val="0"/>
        <c:axPos val="b"/>
        <c:title>
          <c:tx>
            <c:rich>
              <a:bodyPr/>
              <a:lstStyle/>
              <a:p>
                <a:pPr>
                  <a:defRPr/>
                </a:pPr>
                <a:r>
                  <a:rPr lang="en-US"/>
                  <a:t>Frequency of stocking fish fingerling </a:t>
                </a:r>
              </a:p>
            </c:rich>
          </c:tx>
          <c:overlay val="0"/>
          <c:spPr>
            <a:noFill/>
            <a:ln w="25400">
              <a:noFill/>
            </a:ln>
          </c:spPr>
        </c:title>
        <c:numFmt formatCode="General" sourceLinked="1"/>
        <c:majorTickMark val="out"/>
        <c:minorTickMark val="none"/>
        <c:tickLblPos val="nextTo"/>
        <c:spPr>
          <a:noFill/>
          <a:ln w="9525" cap="flat" cmpd="sng" algn="ctr">
            <a:solidFill>
              <a:schemeClr val="tx1">
                <a:lumMod val="50000"/>
                <a:lumOff val="50000"/>
              </a:schemeClr>
            </a:solidFill>
            <a:round/>
          </a:ln>
          <a:effectLst/>
        </c:spPr>
        <c:txPr>
          <a:bodyPr rot="0" vert="horz"/>
          <a:lstStyle/>
          <a:p>
            <a:pPr>
              <a:defRPr/>
            </a:pPr>
            <a:endParaRPr lang="en-US"/>
          </a:p>
        </c:txPr>
        <c:crossAx val="131897216"/>
        <c:crossesAt val="0"/>
        <c:auto val="1"/>
        <c:lblAlgn val="ctr"/>
        <c:lblOffset val="100"/>
        <c:noMultiLvlLbl val="0"/>
      </c:catAx>
      <c:valAx>
        <c:axId val="131897216"/>
        <c:scaling>
          <c:orientation val="minMax"/>
        </c:scaling>
        <c:delete val="0"/>
        <c:axPos val="l"/>
        <c:title>
          <c:tx>
            <c:rich>
              <a:bodyPr/>
              <a:lstStyle/>
              <a:p>
                <a:pPr>
                  <a:defRPr/>
                </a:pPr>
                <a:r>
                  <a:rPr lang="en-US"/>
                  <a:t>Percent </a:t>
                </a:r>
              </a:p>
            </c:rich>
          </c:tx>
          <c:layout>
            <c:manualLayout>
              <c:xMode val="edge"/>
              <c:yMode val="edge"/>
              <c:x val="1.4025609341787603E-2"/>
              <c:y val="0.29865315000762521"/>
            </c:manualLayout>
          </c:layout>
          <c:overlay val="0"/>
          <c:spPr>
            <a:noFill/>
            <a:ln w="25400">
              <a:noFill/>
            </a:ln>
          </c:spPr>
        </c:title>
        <c:numFmt formatCode="#,##0" sourceLinked="0"/>
        <c:majorTickMark val="out"/>
        <c:minorTickMark val="none"/>
        <c:tickLblPos val="nextTo"/>
        <c:spPr>
          <a:ln w="6350">
            <a:solidFill>
              <a:schemeClr val="tx1">
                <a:lumMod val="50000"/>
                <a:lumOff val="50000"/>
              </a:schemeClr>
            </a:solidFill>
          </a:ln>
        </c:spPr>
        <c:txPr>
          <a:bodyPr rot="0" vert="horz"/>
          <a:lstStyle/>
          <a:p>
            <a:pPr>
              <a:defRPr/>
            </a:pPr>
            <a:endParaRPr lang="en-US"/>
          </a:p>
        </c:txPr>
        <c:crossAx val="131895296"/>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50000"/>
          <a:lumOff val="50000"/>
        </a:schemeClr>
      </a:solidFill>
      <a:round/>
    </a:ln>
    <a:effectLst/>
  </c:spPr>
  <c:txPr>
    <a:bodyPr/>
    <a:lstStyle/>
    <a:p>
      <a:pPr>
        <a:defRPr sz="800" b="0" i="0" u="none" strike="noStrike" baseline="0">
          <a:solidFill>
            <a:schemeClr val="tx1"/>
          </a:solidFill>
          <a:latin typeface="Times New Roman" panose="02020603050405020304" pitchFamily="18" charset="0"/>
          <a:ea typeface="Calibri"/>
          <a:cs typeface="Times New Roman" panose="02020603050405020304" pitchFamily="18" charset="0"/>
        </a:defRPr>
      </a:pPr>
      <a:endParaRPr lang="en-US"/>
    </a:p>
  </c:txPr>
  <c:externalData r:id="rId1">
    <c:autoUpdate val="0"/>
  </c:externalData>
</c:chartSpace>
</file>

<file path=word/charts/chart1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6B4B-404F-BEE8-D95001197729}"/>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6B4B-404F-BEE8-D95001197729}"/>
              </c:ext>
            </c:extLst>
          </c:dPt>
          <c:dPt>
            <c:idx val="2"/>
            <c:bubble3D val="0"/>
            <c:spPr>
              <a:solidFill>
                <a:srgbClr val="00B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5-6B4B-404F-BEE8-D95001197729}"/>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6B4B-404F-BEE8-D95001197729}"/>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6B4B-404F-BEE8-D95001197729}"/>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6B4B-404F-BEE8-D95001197729}"/>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6B4B-404F-BEE8-D95001197729}"/>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6B4B-404F-BEE8-D95001197729}"/>
              </c:ext>
            </c:extLst>
          </c:dPt>
          <c:dLbls>
            <c:dLbl>
              <c:idx val="2"/>
              <c:layout>
                <c:manualLayout>
                  <c:x val="9.4274540306723068E-2"/>
                  <c:y val="5.5555555555555552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6B4B-404F-BEE8-D95001197729}"/>
                </c:ext>
              </c:extLst>
            </c:dLbl>
            <c:dLbl>
              <c:idx val="4"/>
              <c:layout>
                <c:manualLayout>
                  <c:x val="-5.2777777777777778E-2"/>
                  <c:y val="-0.14351851851851855"/>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6B4B-404F-BEE8-D95001197729}"/>
                </c:ext>
              </c:extLst>
            </c:dLbl>
            <c:numFmt formatCode="0.0%" sourceLinked="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'Fish production'!$A$362:$A$369</c:f>
              <c:strCache>
                <c:ptCount val="8"/>
                <c:pt idx="0">
                  <c:v>Once</c:v>
                </c:pt>
                <c:pt idx="1">
                  <c:v>Twice</c:v>
                </c:pt>
                <c:pt idx="2">
                  <c:v>3 Times</c:v>
                </c:pt>
                <c:pt idx="3">
                  <c:v>4 Times</c:v>
                </c:pt>
                <c:pt idx="4">
                  <c:v>5 Times</c:v>
                </c:pt>
                <c:pt idx="5">
                  <c:v>6 Times</c:v>
                </c:pt>
                <c:pt idx="6">
                  <c:v>7 Times</c:v>
                </c:pt>
                <c:pt idx="7">
                  <c:v>8 Times</c:v>
                </c:pt>
              </c:strCache>
            </c:strRef>
          </c:cat>
          <c:val>
            <c:numRef>
              <c:f>'Fish production'!$D$362:$D$369</c:f>
              <c:numCache>
                <c:formatCode>General</c:formatCode>
                <c:ptCount val="8"/>
                <c:pt idx="2" formatCode="#,##0.0">
                  <c:v>61.3</c:v>
                </c:pt>
                <c:pt idx="4" formatCode="#,##0.0">
                  <c:v>38.700000000000003</c:v>
                </c:pt>
              </c:numCache>
            </c:numRef>
          </c:val>
          <c:extLst>
            <c:ext xmlns:c16="http://schemas.microsoft.com/office/drawing/2014/chart" uri="{C3380CC4-5D6E-409C-BE32-E72D297353CC}">
              <c16:uniqueId val="{00000010-6B4B-404F-BEE8-D95001197729}"/>
            </c:ext>
          </c:extLst>
        </c:ser>
        <c:dLbls>
          <c:showLegendKey val="0"/>
          <c:showVal val="0"/>
          <c:showCatName val="0"/>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50000"/>
          <a:lumOff val="50000"/>
        </a:scheme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8804195289356305E-2"/>
          <c:y val="0.17321631956890857"/>
          <c:w val="0.82239160942128742"/>
          <c:h val="0.8033601586029322"/>
        </c:manualLayout>
      </c:layout>
      <c:pie3DChart>
        <c:varyColors val="1"/>
        <c:ser>
          <c:idx val="0"/>
          <c:order val="0"/>
          <c:dPt>
            <c:idx val="0"/>
            <c:bubble3D val="0"/>
            <c:spPr>
              <a:solidFill>
                <a:srgbClr val="00B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1-D89C-E04B-A9CA-2F54EBB14FE6}"/>
              </c:ext>
            </c:extLst>
          </c:dPt>
          <c:dPt>
            <c:idx val="1"/>
            <c:bubble3D val="0"/>
            <c:spPr>
              <a:solidFill>
                <a:srgbClr val="0070C0"/>
              </a:solidFill>
              <a:ln w="25400">
                <a:solidFill>
                  <a:schemeClr val="lt1"/>
                </a:solidFill>
              </a:ln>
              <a:effectLst/>
              <a:sp3d contourW="25400">
                <a:contourClr>
                  <a:schemeClr val="lt1"/>
                </a:contourClr>
              </a:sp3d>
            </c:spPr>
            <c:extLst>
              <c:ext xmlns:c16="http://schemas.microsoft.com/office/drawing/2014/chart" uri="{C3380CC4-5D6E-409C-BE32-E72D297353CC}">
                <c16:uniqueId val="{00000003-D89C-E04B-A9CA-2F54EBB14FE6}"/>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D89C-E04B-A9CA-2F54EBB14FE6}"/>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D89C-E04B-A9CA-2F54EBB14FE6}"/>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D89C-E04B-A9CA-2F54EBB14FE6}"/>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D89C-E04B-A9CA-2F54EBB14FE6}"/>
              </c:ext>
            </c:extLst>
          </c:dPt>
          <c:dPt>
            <c:idx val="6"/>
            <c:bubble3D val="0"/>
            <c:spPr>
              <a:solidFill>
                <a:srgbClr val="FFFF00"/>
              </a:solidFill>
              <a:ln w="25400">
                <a:solidFill>
                  <a:schemeClr val="lt1"/>
                </a:solidFill>
              </a:ln>
              <a:effectLst/>
              <a:sp3d contourW="25400">
                <a:contourClr>
                  <a:schemeClr val="lt1"/>
                </a:contourClr>
              </a:sp3d>
            </c:spPr>
            <c:extLst>
              <c:ext xmlns:c16="http://schemas.microsoft.com/office/drawing/2014/chart" uri="{C3380CC4-5D6E-409C-BE32-E72D297353CC}">
                <c16:uniqueId val="{0000000D-D89C-E04B-A9CA-2F54EBB14FE6}"/>
              </c:ext>
            </c:extLst>
          </c:dPt>
          <c:dLbls>
            <c:dLbl>
              <c:idx val="0"/>
              <c:layout>
                <c:manualLayout>
                  <c:x val="-4.0541776027996503E-2"/>
                  <c:y val="8.563839985494879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D89C-E04B-A9CA-2F54EBB14FE6}"/>
                </c:ext>
              </c:extLst>
            </c:dLbl>
            <c:dLbl>
              <c:idx val="1"/>
              <c:layout>
                <c:manualLayout>
                  <c:x val="-4.5347227753290472E-3"/>
                  <c:y val="-0.18022596610200781"/>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D89C-E04B-A9CA-2F54EBB14FE6}"/>
                </c:ext>
              </c:extLst>
            </c:dLbl>
            <c:dLbl>
              <c:idx val="2"/>
              <c:layout>
                <c:manualLayout>
                  <c:x val="-0.11458829364238779"/>
                  <c:y val="-4.074379482950749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D89C-E04B-A9CA-2F54EBB14FE6}"/>
                </c:ext>
              </c:extLst>
            </c:dLbl>
            <c:dLbl>
              <c:idx val="3"/>
              <c:layout>
                <c:manualLayout>
                  <c:x val="-0.13180773391410283"/>
                  <c:y val="-6.5516060672186294E-2"/>
                </c:manualLayout>
              </c:layout>
              <c:showLegendKey val="0"/>
              <c:showVal val="0"/>
              <c:showCatName val="1"/>
              <c:showSerName val="0"/>
              <c:showPercent val="1"/>
              <c:showBubbleSize val="0"/>
              <c:extLst>
                <c:ext xmlns:c15="http://schemas.microsoft.com/office/drawing/2012/chart" uri="{CE6537A1-D6FC-4f65-9D91-7224C49458BB}">
                  <c15:layout>
                    <c:manualLayout>
                      <c:w val="0.18654758335568775"/>
                      <c:h val="0.14536020553110146"/>
                    </c:manualLayout>
                  </c15:layout>
                </c:ext>
                <c:ext xmlns:c16="http://schemas.microsoft.com/office/drawing/2014/chart" uri="{C3380CC4-5D6E-409C-BE32-E72D297353CC}">
                  <c16:uniqueId val="{00000007-D89C-E04B-A9CA-2F54EBB14FE6}"/>
                </c:ext>
              </c:extLst>
            </c:dLbl>
            <c:dLbl>
              <c:idx val="4"/>
              <c:layout>
                <c:manualLayout>
                  <c:x val="2.1092622750644004E-2"/>
                  <c:y val="-9.0897715775217477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D89C-E04B-A9CA-2F54EBB14FE6}"/>
                </c:ext>
              </c:extLst>
            </c:dLbl>
            <c:dLbl>
              <c:idx val="6"/>
              <c:layout>
                <c:manualLayout>
                  <c:x val="0.30046626669747117"/>
                  <c:y val="-6.8103159597277377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D89C-E04B-A9CA-2F54EBB14FE6}"/>
                </c:ext>
              </c:extLst>
            </c:dLbl>
            <c:numFmt formatCode="0.0%" sourceLinked="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'Fish production_17 AUG 2021'!$A$374:$A$380</c:f>
              <c:strCache>
                <c:ptCount val="7"/>
                <c:pt idx="0">
                  <c:v>Once</c:v>
                </c:pt>
                <c:pt idx="1">
                  <c:v>Twice</c:v>
                </c:pt>
                <c:pt idx="2">
                  <c:v>3 Times</c:v>
                </c:pt>
                <c:pt idx="3">
                  <c:v>4 Times</c:v>
                </c:pt>
                <c:pt idx="4">
                  <c:v>5 Times</c:v>
                </c:pt>
                <c:pt idx="5">
                  <c:v>6 Times</c:v>
                </c:pt>
                <c:pt idx="6">
                  <c:v>7 Times</c:v>
                </c:pt>
              </c:strCache>
            </c:strRef>
          </c:cat>
          <c:val>
            <c:numRef>
              <c:f>'Fish production_17 AUG 2021'!$B$374:$B$380</c:f>
              <c:numCache>
                <c:formatCode>#,##0.0</c:formatCode>
                <c:ptCount val="7"/>
                <c:pt idx="0">
                  <c:v>65.8</c:v>
                </c:pt>
                <c:pt idx="1">
                  <c:v>18.100000000000001</c:v>
                </c:pt>
                <c:pt idx="2">
                  <c:v>11.3</c:v>
                </c:pt>
                <c:pt idx="3">
                  <c:v>2.6</c:v>
                </c:pt>
                <c:pt idx="4">
                  <c:v>1.2</c:v>
                </c:pt>
                <c:pt idx="6">
                  <c:v>1</c:v>
                </c:pt>
              </c:numCache>
            </c:numRef>
          </c:val>
          <c:extLst>
            <c:ext xmlns:c16="http://schemas.microsoft.com/office/drawing/2014/chart" uri="{C3380CC4-5D6E-409C-BE32-E72D297353CC}">
              <c16:uniqueId val="{0000000E-D89C-E04B-A9CA-2F54EBB14FE6}"/>
            </c:ext>
          </c:extLst>
        </c:ser>
        <c:dLbls>
          <c:showLegendKey val="0"/>
          <c:showVal val="0"/>
          <c:showCatName val="0"/>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50000"/>
          <a:lumOff val="50000"/>
        </a:schemeClr>
      </a:solidFill>
      <a:round/>
    </a:ln>
    <a:effectLst/>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4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3634349437373575"/>
          <c:y val="0.12782043129406923"/>
          <c:w val="0.75840512162952034"/>
          <c:h val="0.71466792601043638"/>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A39D-3846-997B-022B533B0FB5}"/>
              </c:ext>
            </c:extLst>
          </c:dPt>
          <c:dPt>
            <c:idx val="1"/>
            <c:bubble3D val="0"/>
            <c:spPr>
              <a:solidFill>
                <a:srgbClr val="FFFF00"/>
              </a:solidFill>
              <a:ln w="25400">
                <a:solidFill>
                  <a:schemeClr val="lt1"/>
                </a:solidFill>
              </a:ln>
              <a:effectLst/>
              <a:sp3d contourW="25400">
                <a:contourClr>
                  <a:schemeClr val="lt1"/>
                </a:contourClr>
              </a:sp3d>
            </c:spPr>
            <c:extLst>
              <c:ext xmlns:c16="http://schemas.microsoft.com/office/drawing/2014/chart" uri="{C3380CC4-5D6E-409C-BE32-E72D297353CC}">
                <c16:uniqueId val="{00000003-A39D-3846-997B-022B533B0FB5}"/>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A39D-3846-997B-022B533B0FB5}"/>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A39D-3846-997B-022B533B0FB5}"/>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A39D-3846-997B-022B533B0FB5}"/>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A39D-3846-997B-022B533B0FB5}"/>
              </c:ext>
            </c:extLst>
          </c:dPt>
          <c:dLbls>
            <c:dLbl>
              <c:idx val="0"/>
              <c:layout>
                <c:manualLayout>
                  <c:x val="2.8398622047243999E-2"/>
                  <c:y val="0.13203229804607799"/>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A39D-3846-997B-022B533B0FB5}"/>
                </c:ext>
              </c:extLst>
            </c:dLbl>
            <c:dLbl>
              <c:idx val="1"/>
              <c:layout>
                <c:manualLayout>
                  <c:x val="7.08821784242345E-4"/>
                  <c:y val="0.15542650918635201"/>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A39D-3846-997B-022B533B0FB5}"/>
                </c:ext>
              </c:extLst>
            </c:dLbl>
            <c:dLbl>
              <c:idx val="2"/>
              <c:layout>
                <c:manualLayout>
                  <c:x val="-5.2391444959400499E-2"/>
                  <c:y val="3.5331364829396299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A39D-3846-997B-022B533B0FB5}"/>
                </c:ext>
              </c:extLst>
            </c:dLbl>
            <c:dLbl>
              <c:idx val="3"/>
              <c:layout>
                <c:manualLayout>
                  <c:x val="-9.4296369203849498E-2"/>
                  <c:y val="-4.6485855934674802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A39D-3846-997B-022B533B0FB5}"/>
                </c:ext>
              </c:extLst>
            </c:dLbl>
            <c:dLbl>
              <c:idx val="4"/>
              <c:layout>
                <c:manualLayout>
                  <c:x val="2.1924868766404201E-2"/>
                  <c:y val="-4.671150481189850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A39D-3846-997B-022B533B0FB5}"/>
                </c:ext>
              </c:extLst>
            </c:dLbl>
            <c:dLbl>
              <c:idx val="5"/>
              <c:layout>
                <c:manualLayout>
                  <c:x val="0.25153302712161002"/>
                  <c:y val="-3.992563429571299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A39D-3846-997B-022B533B0FB5}"/>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7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'fish markets'!$A$43:$A$48</c:f>
              <c:strCache>
                <c:ptCount val="6"/>
                <c:pt idx="0">
                  <c:v>Neighbour</c:v>
                </c:pt>
                <c:pt idx="1">
                  <c:v>Landing site</c:v>
                </c:pt>
                <c:pt idx="2">
                  <c:v>Fish market</c:v>
                </c:pt>
                <c:pt idx="3">
                  <c:v>Processing industry</c:v>
                </c:pt>
                <c:pt idx="4">
                  <c:v>Trade at farm</c:v>
                </c:pt>
                <c:pt idx="5">
                  <c:v>Other place</c:v>
                </c:pt>
              </c:strCache>
            </c:strRef>
          </c:cat>
          <c:val>
            <c:numRef>
              <c:f>'fish markets'!$B$43:$B$48</c:f>
              <c:numCache>
                <c:formatCode>#,##0</c:formatCode>
                <c:ptCount val="6"/>
                <c:pt idx="0">
                  <c:v>6118</c:v>
                </c:pt>
                <c:pt idx="1">
                  <c:v>1344</c:v>
                </c:pt>
                <c:pt idx="2">
                  <c:v>740</c:v>
                </c:pt>
                <c:pt idx="3">
                  <c:v>293</c:v>
                </c:pt>
                <c:pt idx="4">
                  <c:v>1078</c:v>
                </c:pt>
                <c:pt idx="5">
                  <c:v>209</c:v>
                </c:pt>
              </c:numCache>
            </c:numRef>
          </c:val>
          <c:extLst>
            <c:ext xmlns:c16="http://schemas.microsoft.com/office/drawing/2014/chart" uri="{C3380CC4-5D6E-409C-BE32-E72D297353CC}">
              <c16:uniqueId val="{0000000C-A39D-3846-997B-022B533B0FB5}"/>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ysClr val="windowText" lastClr="000000">
          <a:lumMod val="50000"/>
          <a:lumOff val="50000"/>
        </a:sys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1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483799594936275"/>
          <c:y val="0.17303784607569214"/>
          <c:w val="0.81388888888888899"/>
          <c:h val="0.77314814814814803"/>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31B9-5342-AA33-2B27AE3CB131}"/>
              </c:ext>
            </c:extLst>
          </c:dPt>
          <c:dPt>
            <c:idx val="1"/>
            <c:bubble3D val="0"/>
            <c:spPr>
              <a:solidFill>
                <a:srgbClr val="FFFF00"/>
              </a:solidFill>
              <a:ln w="25400">
                <a:solidFill>
                  <a:schemeClr val="lt1"/>
                </a:solidFill>
              </a:ln>
              <a:effectLst/>
              <a:sp3d contourW="25400">
                <a:contourClr>
                  <a:schemeClr val="lt1"/>
                </a:contourClr>
              </a:sp3d>
            </c:spPr>
            <c:extLst>
              <c:ext xmlns:c16="http://schemas.microsoft.com/office/drawing/2014/chart" uri="{C3380CC4-5D6E-409C-BE32-E72D297353CC}">
                <c16:uniqueId val="{00000003-31B9-5342-AA33-2B27AE3CB131}"/>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31B9-5342-AA33-2B27AE3CB131}"/>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31B9-5342-AA33-2B27AE3CB131}"/>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31B9-5342-AA33-2B27AE3CB131}"/>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31B9-5342-AA33-2B27AE3CB131}"/>
              </c:ext>
            </c:extLst>
          </c:dPt>
          <c:dLbls>
            <c:dLbl>
              <c:idx val="0"/>
              <c:layout>
                <c:manualLayout>
                  <c:x val="1.2426727909011399E-3"/>
                  <c:y val="0.15869094488189001"/>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31B9-5342-AA33-2B27AE3CB131}"/>
                </c:ext>
              </c:extLst>
            </c:dLbl>
            <c:dLbl>
              <c:idx val="1"/>
              <c:layout>
                <c:manualLayout>
                  <c:x val="5.1710411198600198E-3"/>
                  <c:y val="0.19762394284047799"/>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31B9-5342-AA33-2B27AE3CB131}"/>
                </c:ext>
              </c:extLst>
            </c:dLbl>
            <c:dLbl>
              <c:idx val="2"/>
              <c:layout>
                <c:manualLayout>
                  <c:x val="-3.2576552930883601E-2"/>
                  <c:y val="1.833442694663170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31B9-5342-AA33-2B27AE3CB131}"/>
                </c:ext>
              </c:extLst>
            </c:dLbl>
            <c:dLbl>
              <c:idx val="3"/>
              <c:layout>
                <c:manualLayout>
                  <c:x val="-2.3947725284339499E-2"/>
                  <c:y val="-7.734434237386990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31B9-5342-AA33-2B27AE3CB131}"/>
                </c:ext>
              </c:extLst>
            </c:dLbl>
            <c:dLbl>
              <c:idx val="4"/>
              <c:layout>
                <c:manualLayout>
                  <c:x val="9.8888779527559006E-2"/>
                  <c:y val="-7.014909594634000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31B9-5342-AA33-2B27AE3CB131}"/>
                </c:ext>
              </c:extLst>
            </c:dLbl>
            <c:dLbl>
              <c:idx val="5"/>
              <c:layout>
                <c:manualLayout>
                  <c:x val="0.25500524934383201"/>
                  <c:y val="-5.497193059200929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31B9-5342-AA33-2B27AE3CB131}"/>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'fish markets'!$A$43:$A$48</c:f>
              <c:strCache>
                <c:ptCount val="6"/>
                <c:pt idx="0">
                  <c:v>Neighbour</c:v>
                </c:pt>
                <c:pt idx="1">
                  <c:v>Landing site</c:v>
                </c:pt>
                <c:pt idx="2">
                  <c:v>Fish market</c:v>
                </c:pt>
                <c:pt idx="3">
                  <c:v>Processing industry</c:v>
                </c:pt>
                <c:pt idx="4">
                  <c:v>Trade at farm</c:v>
                </c:pt>
                <c:pt idx="5">
                  <c:v>Other place</c:v>
                </c:pt>
              </c:strCache>
            </c:strRef>
          </c:cat>
          <c:val>
            <c:numRef>
              <c:f>'fish markets'!$C$43:$C$48</c:f>
              <c:numCache>
                <c:formatCode>#,##0</c:formatCode>
                <c:ptCount val="6"/>
                <c:pt idx="0">
                  <c:v>5976</c:v>
                </c:pt>
                <c:pt idx="1">
                  <c:v>1344</c:v>
                </c:pt>
                <c:pt idx="2">
                  <c:v>740</c:v>
                </c:pt>
                <c:pt idx="3">
                  <c:v>293</c:v>
                </c:pt>
                <c:pt idx="4">
                  <c:v>1078</c:v>
                </c:pt>
                <c:pt idx="5">
                  <c:v>209</c:v>
                </c:pt>
              </c:numCache>
            </c:numRef>
          </c:val>
          <c:extLst>
            <c:ext xmlns:c16="http://schemas.microsoft.com/office/drawing/2014/chart" uri="{C3380CC4-5D6E-409C-BE32-E72D297353CC}">
              <c16:uniqueId val="{0000000C-31B9-5342-AA33-2B27AE3CB131}"/>
            </c:ext>
          </c:extLst>
        </c:ser>
        <c:dLbls>
          <c:dLblPos val="bestFit"/>
          <c:showLegendKey val="0"/>
          <c:showVal val="1"/>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ysClr val="windowText" lastClr="000000">
          <a:lumMod val="50000"/>
          <a:lumOff val="50000"/>
        </a:sys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060091172813926"/>
          <c:y val="7.3390032595131952E-2"/>
          <c:w val="0.82851308882442332"/>
          <c:h val="0.58543317655762828"/>
        </c:manualLayout>
      </c:layout>
      <c:barChart>
        <c:barDir val="col"/>
        <c:grouping val="clustered"/>
        <c:varyColors val="0"/>
        <c:ser>
          <c:idx val="0"/>
          <c:order val="0"/>
          <c:tx>
            <c:strRef>
              <c:f>'Tables &amp; Figures_Cereals'!$C$177</c:f>
              <c:strCache>
                <c:ptCount val="1"/>
                <c:pt idx="0">
                  <c:v>Planted Area (Ha)</c:v>
                </c:pt>
              </c:strCache>
            </c:strRef>
          </c:tx>
          <c:spPr>
            <a:solidFill>
              <a:srgbClr val="0070C0"/>
            </a:solidFill>
          </c:spPr>
          <c:invertIfNegative val="0"/>
          <c:cat>
            <c:strRef>
              <c:f>'Tables &amp; Figures_Cereals'!$A$178:$A$203</c:f>
              <c:strCache>
                <c:ptCount val="26"/>
                <c:pt idx="0">
                  <c:v>Tanga</c:v>
                </c:pt>
                <c:pt idx="1">
                  <c:v>Dodoma</c:v>
                </c:pt>
                <c:pt idx="2">
                  <c:v>Tabora</c:v>
                </c:pt>
                <c:pt idx="3">
                  <c:v>Manyara</c:v>
                </c:pt>
                <c:pt idx="4">
                  <c:v>Ruvuma</c:v>
                </c:pt>
                <c:pt idx="5">
                  <c:v>Singida</c:v>
                </c:pt>
                <c:pt idx="6">
                  <c:v>Rukwa</c:v>
                </c:pt>
                <c:pt idx="7">
                  <c:v>Morogoro</c:v>
                </c:pt>
                <c:pt idx="8">
                  <c:v>Songwe</c:v>
                </c:pt>
                <c:pt idx="9">
                  <c:v>Geita</c:v>
                </c:pt>
                <c:pt idx="10">
                  <c:v>Simiyu</c:v>
                </c:pt>
                <c:pt idx="11">
                  <c:v>Mwanza</c:v>
                </c:pt>
                <c:pt idx="12">
                  <c:v>Mara</c:v>
                </c:pt>
                <c:pt idx="13">
                  <c:v>Mbeya</c:v>
                </c:pt>
                <c:pt idx="14">
                  <c:v>Kagera</c:v>
                </c:pt>
                <c:pt idx="15">
                  <c:v>Iringa</c:v>
                </c:pt>
                <c:pt idx="16">
                  <c:v>Arusha</c:v>
                </c:pt>
                <c:pt idx="17">
                  <c:v>Kilimanjaro</c:v>
                </c:pt>
                <c:pt idx="18">
                  <c:v>Kigoma</c:v>
                </c:pt>
                <c:pt idx="19">
                  <c:v>Shinyanga</c:v>
                </c:pt>
                <c:pt idx="20">
                  <c:v>Njombe</c:v>
                </c:pt>
                <c:pt idx="21">
                  <c:v>Dar Es Salaam</c:v>
                </c:pt>
                <c:pt idx="22">
                  <c:v>Lindi</c:v>
                </c:pt>
                <c:pt idx="23">
                  <c:v>Katavi</c:v>
                </c:pt>
                <c:pt idx="24">
                  <c:v>Mtwara</c:v>
                </c:pt>
                <c:pt idx="25">
                  <c:v>Pwani</c:v>
                </c:pt>
              </c:strCache>
            </c:strRef>
          </c:cat>
          <c:val>
            <c:numRef>
              <c:f>'Tables &amp; Figures_Cereals'!$C$178:$C$203</c:f>
              <c:numCache>
                <c:formatCode>_(* #,##0_);_(* \(#,##0\);_(* "-"_);_(@_)</c:formatCode>
                <c:ptCount val="26"/>
                <c:pt idx="0">
                  <c:v>397028.328611898</c:v>
                </c:pt>
                <c:pt idx="1">
                  <c:v>393821.93443949823</c:v>
                </c:pt>
                <c:pt idx="2">
                  <c:v>383633.34682314849</c:v>
                </c:pt>
                <c:pt idx="3">
                  <c:v>308883.04330230679</c:v>
                </c:pt>
                <c:pt idx="4">
                  <c:v>262848.23957911786</c:v>
                </c:pt>
                <c:pt idx="5">
                  <c:v>235322.94617563742</c:v>
                </c:pt>
                <c:pt idx="6">
                  <c:v>225376.77053824364</c:v>
                </c:pt>
                <c:pt idx="7">
                  <c:v>218731.68757588023</c:v>
                </c:pt>
                <c:pt idx="8">
                  <c:v>218242.81667341158</c:v>
                </c:pt>
                <c:pt idx="9">
                  <c:v>184434.23715095106</c:v>
                </c:pt>
                <c:pt idx="10">
                  <c:v>181541.48118170782</c:v>
                </c:pt>
                <c:pt idx="11">
                  <c:v>179237.55564548771</c:v>
                </c:pt>
                <c:pt idx="12">
                  <c:v>177948.60380412787</c:v>
                </c:pt>
                <c:pt idx="13">
                  <c:v>173096.72197490899</c:v>
                </c:pt>
                <c:pt idx="14">
                  <c:v>168468.23148522864</c:v>
                </c:pt>
                <c:pt idx="15">
                  <c:v>160005.66572237961</c:v>
                </c:pt>
                <c:pt idx="16">
                  <c:v>150499.79765277216</c:v>
                </c:pt>
                <c:pt idx="17">
                  <c:v>146178.0655605018</c:v>
                </c:pt>
                <c:pt idx="18">
                  <c:v>138776.60866046135</c:v>
                </c:pt>
                <c:pt idx="19">
                  <c:v>137765.68191015781</c:v>
                </c:pt>
                <c:pt idx="20">
                  <c:v>108870.49777418048</c:v>
                </c:pt>
                <c:pt idx="21">
                  <c:v>86713.071630918654</c:v>
                </c:pt>
                <c:pt idx="22">
                  <c:v>80283.690813435853</c:v>
                </c:pt>
                <c:pt idx="23">
                  <c:v>75602.590044516372</c:v>
                </c:pt>
                <c:pt idx="24">
                  <c:v>72900.849858356931</c:v>
                </c:pt>
                <c:pt idx="25">
                  <c:v>61535.410764872518</c:v>
                </c:pt>
              </c:numCache>
            </c:numRef>
          </c:val>
          <c:extLst>
            <c:ext xmlns:c16="http://schemas.microsoft.com/office/drawing/2014/chart" uri="{C3380CC4-5D6E-409C-BE32-E72D297353CC}">
              <c16:uniqueId val="{00000000-1F05-2E4D-BECF-3B84E384657F}"/>
            </c:ext>
          </c:extLst>
        </c:ser>
        <c:ser>
          <c:idx val="1"/>
          <c:order val="1"/>
          <c:tx>
            <c:strRef>
              <c:f>'Tables &amp; Figures_Cereals'!$D$177</c:f>
              <c:strCache>
                <c:ptCount val="1"/>
                <c:pt idx="0">
                  <c:v>Harvested Area (Ha)</c:v>
                </c:pt>
              </c:strCache>
            </c:strRef>
          </c:tx>
          <c:spPr>
            <a:solidFill>
              <a:srgbClr val="FFFF00"/>
            </a:solidFill>
          </c:spPr>
          <c:invertIfNegative val="0"/>
          <c:cat>
            <c:strRef>
              <c:f>'Tables &amp; Figures_Cereals'!$A$178:$A$203</c:f>
              <c:strCache>
                <c:ptCount val="26"/>
                <c:pt idx="0">
                  <c:v>Tanga</c:v>
                </c:pt>
                <c:pt idx="1">
                  <c:v>Dodoma</c:v>
                </c:pt>
                <c:pt idx="2">
                  <c:v>Tabora</c:v>
                </c:pt>
                <c:pt idx="3">
                  <c:v>Manyara</c:v>
                </c:pt>
                <c:pt idx="4">
                  <c:v>Ruvuma</c:v>
                </c:pt>
                <c:pt idx="5">
                  <c:v>Singida</c:v>
                </c:pt>
                <c:pt idx="6">
                  <c:v>Rukwa</c:v>
                </c:pt>
                <c:pt idx="7">
                  <c:v>Morogoro</c:v>
                </c:pt>
                <c:pt idx="8">
                  <c:v>Songwe</c:v>
                </c:pt>
                <c:pt idx="9">
                  <c:v>Geita</c:v>
                </c:pt>
                <c:pt idx="10">
                  <c:v>Simiyu</c:v>
                </c:pt>
                <c:pt idx="11">
                  <c:v>Mwanza</c:v>
                </c:pt>
                <c:pt idx="12">
                  <c:v>Mara</c:v>
                </c:pt>
                <c:pt idx="13">
                  <c:v>Mbeya</c:v>
                </c:pt>
                <c:pt idx="14">
                  <c:v>Kagera</c:v>
                </c:pt>
                <c:pt idx="15">
                  <c:v>Iringa</c:v>
                </c:pt>
                <c:pt idx="16">
                  <c:v>Arusha</c:v>
                </c:pt>
                <c:pt idx="17">
                  <c:v>Kilimanjaro</c:v>
                </c:pt>
                <c:pt idx="18">
                  <c:v>Kigoma</c:v>
                </c:pt>
                <c:pt idx="19">
                  <c:v>Shinyanga</c:v>
                </c:pt>
                <c:pt idx="20">
                  <c:v>Njombe</c:v>
                </c:pt>
                <c:pt idx="21">
                  <c:v>Dar Es Salaam</c:v>
                </c:pt>
                <c:pt idx="22">
                  <c:v>Lindi</c:v>
                </c:pt>
                <c:pt idx="23">
                  <c:v>Katavi</c:v>
                </c:pt>
                <c:pt idx="24">
                  <c:v>Mtwara</c:v>
                </c:pt>
                <c:pt idx="25">
                  <c:v>Pwani</c:v>
                </c:pt>
              </c:strCache>
            </c:strRef>
          </c:cat>
          <c:val>
            <c:numRef>
              <c:f>'Tables &amp; Figures_Cereals'!$D$178:$D$203</c:f>
              <c:numCache>
                <c:formatCode>_(* #,##0_);_(* \(#,##0\);_(* "-"_);_(@_)</c:formatCode>
                <c:ptCount val="26"/>
                <c:pt idx="0">
                  <c:v>369776.20396600565</c:v>
                </c:pt>
                <c:pt idx="1">
                  <c:v>345635.7749898826</c:v>
                </c:pt>
                <c:pt idx="2">
                  <c:v>333138.00080938888</c:v>
                </c:pt>
                <c:pt idx="3">
                  <c:v>295116.95669769321</c:v>
                </c:pt>
                <c:pt idx="4">
                  <c:v>255645.48765681908</c:v>
                </c:pt>
                <c:pt idx="5">
                  <c:v>213193.03925536221</c:v>
                </c:pt>
                <c:pt idx="6">
                  <c:v>207687.17118575476</c:v>
                </c:pt>
                <c:pt idx="7">
                  <c:v>184754.75515985431</c:v>
                </c:pt>
                <c:pt idx="8">
                  <c:v>184305.13961958719</c:v>
                </c:pt>
                <c:pt idx="9">
                  <c:v>178258.19506272764</c:v>
                </c:pt>
                <c:pt idx="10">
                  <c:v>158570.21448806149</c:v>
                </c:pt>
                <c:pt idx="11">
                  <c:v>155181.70781060302</c:v>
                </c:pt>
                <c:pt idx="12">
                  <c:v>145778.22743828408</c:v>
                </c:pt>
                <c:pt idx="13">
                  <c:v>155785.10724403081</c:v>
                </c:pt>
                <c:pt idx="14">
                  <c:v>146840.14569000405</c:v>
                </c:pt>
                <c:pt idx="15">
                  <c:v>126698.90732496964</c:v>
                </c:pt>
                <c:pt idx="16">
                  <c:v>121763.65843787941</c:v>
                </c:pt>
                <c:pt idx="17">
                  <c:v>118680.2913800081</c:v>
                </c:pt>
                <c:pt idx="18">
                  <c:v>134167.94819910967</c:v>
                </c:pt>
                <c:pt idx="19">
                  <c:v>111279.64386887899</c:v>
                </c:pt>
                <c:pt idx="20">
                  <c:v>83927.559692432231</c:v>
                </c:pt>
                <c:pt idx="21">
                  <c:v>69885.876163496563</c:v>
                </c:pt>
                <c:pt idx="22">
                  <c:v>61767.705382436252</c:v>
                </c:pt>
                <c:pt idx="23">
                  <c:v>71532.982598138391</c:v>
                </c:pt>
                <c:pt idx="24">
                  <c:v>67690.408741400242</c:v>
                </c:pt>
                <c:pt idx="25">
                  <c:v>46098.340752731681</c:v>
                </c:pt>
              </c:numCache>
            </c:numRef>
          </c:val>
          <c:extLst>
            <c:ext xmlns:c16="http://schemas.microsoft.com/office/drawing/2014/chart" uri="{C3380CC4-5D6E-409C-BE32-E72D297353CC}">
              <c16:uniqueId val="{00000001-1F05-2E4D-BECF-3B84E384657F}"/>
            </c:ext>
          </c:extLst>
        </c:ser>
        <c:dLbls>
          <c:showLegendKey val="0"/>
          <c:showVal val="0"/>
          <c:showCatName val="0"/>
          <c:showSerName val="0"/>
          <c:showPercent val="0"/>
          <c:showBubbleSize val="0"/>
        </c:dLbls>
        <c:gapWidth val="150"/>
        <c:axId val="94498176"/>
        <c:axId val="94512640"/>
      </c:barChart>
      <c:catAx>
        <c:axId val="94498176"/>
        <c:scaling>
          <c:orientation val="minMax"/>
        </c:scaling>
        <c:delete val="0"/>
        <c:axPos val="b"/>
        <c:title>
          <c:tx>
            <c:rich>
              <a:bodyPr/>
              <a:lstStyle/>
              <a:p>
                <a:pPr>
                  <a:defRPr/>
                </a:pPr>
                <a:r>
                  <a:rPr lang="en-US"/>
                  <a:t>Region</a:t>
                </a:r>
              </a:p>
            </c:rich>
          </c:tx>
          <c:layout>
            <c:manualLayout>
              <c:xMode val="edge"/>
              <c:yMode val="edge"/>
              <c:x val="0.47652870314287649"/>
              <c:y val="0.85924949757849334"/>
            </c:manualLayout>
          </c:layout>
          <c:overlay val="0"/>
        </c:title>
        <c:numFmt formatCode="General" sourceLinked="0"/>
        <c:majorTickMark val="out"/>
        <c:minorTickMark val="none"/>
        <c:tickLblPos val="nextTo"/>
        <c:txPr>
          <a:bodyPr rot="-5400000" vert="horz"/>
          <a:lstStyle/>
          <a:p>
            <a:pPr>
              <a:defRPr/>
            </a:pPr>
            <a:endParaRPr lang="en-US"/>
          </a:p>
        </c:txPr>
        <c:crossAx val="94512640"/>
        <c:crosses val="autoZero"/>
        <c:auto val="1"/>
        <c:lblAlgn val="ctr"/>
        <c:lblOffset val="100"/>
        <c:noMultiLvlLbl val="0"/>
      </c:catAx>
      <c:valAx>
        <c:axId val="94512640"/>
        <c:scaling>
          <c:orientation val="minMax"/>
        </c:scaling>
        <c:delete val="0"/>
        <c:axPos val="l"/>
        <c:title>
          <c:tx>
            <c:rich>
              <a:bodyPr rot="-5400000" vert="horz"/>
              <a:lstStyle/>
              <a:p>
                <a:pPr>
                  <a:defRPr/>
                </a:pPr>
                <a:r>
                  <a:rPr lang="en-US"/>
                  <a:t>Area (ha)</a:t>
                </a:r>
              </a:p>
            </c:rich>
          </c:tx>
          <c:layout>
            <c:manualLayout>
              <c:xMode val="edge"/>
              <c:yMode val="edge"/>
              <c:x val="1.0882125311259171E-2"/>
              <c:y val="0.25488678994490765"/>
            </c:manualLayout>
          </c:layout>
          <c:overlay val="0"/>
        </c:title>
        <c:numFmt formatCode="_(* #,##0_);_(* \(#,##0\);_(* &quot;-&quot;_);_(@_)" sourceLinked="1"/>
        <c:majorTickMark val="out"/>
        <c:minorTickMark val="none"/>
        <c:tickLblPos val="nextTo"/>
        <c:crossAx val="94498176"/>
        <c:crosses val="autoZero"/>
        <c:crossBetween val="between"/>
      </c:valAx>
    </c:plotArea>
    <c:legend>
      <c:legendPos val="b"/>
      <c:layout>
        <c:manualLayout>
          <c:xMode val="edge"/>
          <c:yMode val="edge"/>
          <c:x val="0.12951766302627829"/>
          <c:y val="0.9229217682868176"/>
          <c:w val="0.74096450515828161"/>
          <c:h val="6.3116626128540479E-2"/>
        </c:manualLayout>
      </c:layout>
      <c:overlay val="0"/>
    </c:legend>
    <c:plotVisOnly val="1"/>
    <c:dispBlanksAs val="gap"/>
    <c:showDLblsOverMax val="0"/>
  </c:chart>
  <c:spPr>
    <a:ln w="9525">
      <a:solidFill>
        <a:sysClr val="windowText" lastClr="000000">
          <a:lumMod val="50000"/>
          <a:lumOff val="50000"/>
        </a:sysClr>
      </a:solidFill>
    </a:ln>
  </c:spPr>
  <c:txPr>
    <a:bodyPr/>
    <a:lstStyle/>
    <a:p>
      <a:pPr>
        <a:defRPr sz="800" b="0">
          <a:latin typeface="Times New Roman" pitchFamily="18" charset="0"/>
          <a:cs typeface="Times New Roman" pitchFamily="18" charset="0"/>
        </a:defRPr>
      </a:pPr>
      <a:endParaRPr lang="en-US"/>
    </a:p>
  </c:txPr>
  <c:externalData r:id="rId2">
    <c:autoUpdate val="0"/>
  </c:externalData>
</c:chartSpace>
</file>

<file path=word/charts/chart1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3055555555555558E-2"/>
          <c:y val="0.15773257509477981"/>
          <c:w val="0.81388888888888888"/>
          <c:h val="0.68048337707786521"/>
        </c:manualLayout>
      </c:layout>
      <c:pie3DChart>
        <c:varyColors val="1"/>
        <c:ser>
          <c:idx val="0"/>
          <c:order val="0"/>
          <c:tx>
            <c:strRef>
              <c:f>'calculation vs graphs'!$J$18</c:f>
              <c:strCache>
                <c:ptCount val="1"/>
                <c:pt idx="0">
                  <c:v>households</c:v>
                </c:pt>
              </c:strCache>
            </c:strRef>
          </c:tx>
          <c:explosion val="6"/>
          <c:dPt>
            <c:idx val="0"/>
            <c:bubble3D val="0"/>
            <c:explosion val="16"/>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8ECF-4331-B8BD-FBA6CBB2FE20}"/>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8ECF-4331-B8BD-FBA6CBB2FE20}"/>
              </c:ext>
            </c:extLst>
          </c:dPt>
          <c:dLbls>
            <c:dLbl>
              <c:idx val="0"/>
              <c:layout>
                <c:manualLayout>
                  <c:x val="7.5854440069991258E-2"/>
                  <c:y val="-7.489209682123068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8ECF-4331-B8BD-FBA6CBB2FE20}"/>
                </c:ext>
              </c:extLst>
            </c:dLbl>
            <c:dLbl>
              <c:idx val="1"/>
              <c:layout>
                <c:manualLayout>
                  <c:x val="-0.10752351268591426"/>
                  <c:y val="-7.9108340624087815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8ECF-4331-B8BD-FBA6CBB2FE20}"/>
                </c:ext>
              </c:extLst>
            </c:dLbl>
            <c:numFmt formatCode="0.0%" sourceLinked="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'calculation vs graphs'!$I$19:$I$20</c:f>
              <c:strCache>
                <c:ptCount val="2"/>
                <c:pt idx="0">
                  <c:v> Stingless bee </c:v>
                </c:pt>
                <c:pt idx="1">
                  <c:v> Sting bee </c:v>
                </c:pt>
              </c:strCache>
            </c:strRef>
          </c:cat>
          <c:val>
            <c:numRef>
              <c:f>'calculation vs graphs'!$J$19:$J$20</c:f>
              <c:numCache>
                <c:formatCode>_-* #,##0.0_-;\-* #,##0.0_-;_-* "-"??_-;_-@_-</c:formatCode>
                <c:ptCount val="2"/>
                <c:pt idx="0">
                  <c:v>19.8</c:v>
                </c:pt>
                <c:pt idx="1">
                  <c:v>80.2</c:v>
                </c:pt>
              </c:numCache>
            </c:numRef>
          </c:val>
          <c:extLst>
            <c:ext xmlns:c16="http://schemas.microsoft.com/office/drawing/2014/chart" uri="{C3380CC4-5D6E-409C-BE32-E72D297353CC}">
              <c16:uniqueId val="{00000004-8ECF-4331-B8BD-FBA6CBB2FE20}"/>
            </c:ext>
          </c:extLst>
        </c:ser>
        <c:dLbls>
          <c:showLegendKey val="0"/>
          <c:showVal val="0"/>
          <c:showCatName val="0"/>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50000"/>
          <a:lumOff val="50000"/>
        </a:scheme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887543685234544"/>
          <c:y val="4.3598890210067381E-2"/>
          <c:w val="0.73220818350455996"/>
          <c:h val="0.56065585105923232"/>
        </c:manualLayout>
      </c:layout>
      <c:barChart>
        <c:barDir val="col"/>
        <c:grouping val="clustered"/>
        <c:varyColors val="0"/>
        <c:ser>
          <c:idx val="1"/>
          <c:order val="1"/>
          <c:tx>
            <c:strRef>
              <c:f>Sheet1!$L$39</c:f>
              <c:strCache>
                <c:ptCount val="1"/>
                <c:pt idx="0">
                  <c:v>Large Bees (Sting)</c:v>
                </c:pt>
              </c:strCache>
            </c:strRef>
          </c:tx>
          <c:spPr>
            <a:solidFill>
              <a:schemeClr val="accent2"/>
            </a:solidFill>
            <a:ln>
              <a:noFill/>
            </a:ln>
            <a:effectLst/>
          </c:spPr>
          <c:invertIfNegative val="0"/>
          <c:cat>
            <c:strRef>
              <c:f>Sheet1!$J$40:$J$65</c:f>
              <c:strCache>
                <c:ptCount val="26"/>
                <c:pt idx="0">
                  <c:v>Mbeya</c:v>
                </c:pt>
                <c:pt idx="1">
                  <c:v>Singida</c:v>
                </c:pt>
                <c:pt idx="2">
                  <c:v>Katavi</c:v>
                </c:pt>
                <c:pt idx="3">
                  <c:v>Tabora</c:v>
                </c:pt>
                <c:pt idx="4">
                  <c:v>Kigoma</c:v>
                </c:pt>
                <c:pt idx="5">
                  <c:v>Arusha</c:v>
                </c:pt>
                <c:pt idx="6">
                  <c:v>Dodoma</c:v>
                </c:pt>
                <c:pt idx="7">
                  <c:v>Tanga</c:v>
                </c:pt>
                <c:pt idx="8">
                  <c:v>Songwe</c:v>
                </c:pt>
                <c:pt idx="9">
                  <c:v>Iringa</c:v>
                </c:pt>
                <c:pt idx="10">
                  <c:v>Simiyu</c:v>
                </c:pt>
                <c:pt idx="11">
                  <c:v>Kagera</c:v>
                </c:pt>
                <c:pt idx="12">
                  <c:v>Pwani</c:v>
                </c:pt>
                <c:pt idx="13">
                  <c:v>Rukwa</c:v>
                </c:pt>
                <c:pt idx="14">
                  <c:v>Manyara</c:v>
                </c:pt>
                <c:pt idx="15">
                  <c:v>Morogoro</c:v>
                </c:pt>
                <c:pt idx="16">
                  <c:v>Shinyanga</c:v>
                </c:pt>
                <c:pt idx="17">
                  <c:v>Geita</c:v>
                </c:pt>
                <c:pt idx="18">
                  <c:v>Ruvuma</c:v>
                </c:pt>
                <c:pt idx="19">
                  <c:v>Njombe</c:v>
                </c:pt>
                <c:pt idx="20">
                  <c:v>Mara</c:v>
                </c:pt>
                <c:pt idx="21">
                  <c:v>Kilimanjaro</c:v>
                </c:pt>
                <c:pt idx="22">
                  <c:v>Lindi</c:v>
                </c:pt>
                <c:pt idx="23">
                  <c:v>Mwanza</c:v>
                </c:pt>
                <c:pt idx="24">
                  <c:v>Dar es Salaam</c:v>
                </c:pt>
                <c:pt idx="25">
                  <c:v>Mtwara</c:v>
                </c:pt>
              </c:strCache>
            </c:strRef>
          </c:cat>
          <c:val>
            <c:numRef>
              <c:f>Sheet1!$L$40:$L$65</c:f>
              <c:numCache>
                <c:formatCode>#,##0</c:formatCode>
                <c:ptCount val="26"/>
                <c:pt idx="0">
                  <c:v>480673</c:v>
                </c:pt>
                <c:pt idx="1">
                  <c:v>460316</c:v>
                </c:pt>
                <c:pt idx="2">
                  <c:v>317176</c:v>
                </c:pt>
                <c:pt idx="3">
                  <c:v>168915</c:v>
                </c:pt>
                <c:pt idx="4">
                  <c:v>124601</c:v>
                </c:pt>
                <c:pt idx="5">
                  <c:v>122351</c:v>
                </c:pt>
                <c:pt idx="6">
                  <c:v>104695</c:v>
                </c:pt>
                <c:pt idx="7">
                  <c:v>98223</c:v>
                </c:pt>
                <c:pt idx="8">
                  <c:v>91903</c:v>
                </c:pt>
                <c:pt idx="9">
                  <c:v>81489</c:v>
                </c:pt>
                <c:pt idx="10">
                  <c:v>74559</c:v>
                </c:pt>
                <c:pt idx="11">
                  <c:v>67995</c:v>
                </c:pt>
                <c:pt idx="12">
                  <c:v>54940</c:v>
                </c:pt>
                <c:pt idx="13">
                  <c:v>44904</c:v>
                </c:pt>
                <c:pt idx="14">
                  <c:v>43758</c:v>
                </c:pt>
                <c:pt idx="15">
                  <c:v>39426</c:v>
                </c:pt>
                <c:pt idx="16">
                  <c:v>36503</c:v>
                </c:pt>
                <c:pt idx="17">
                  <c:v>33123</c:v>
                </c:pt>
                <c:pt idx="18">
                  <c:v>14060</c:v>
                </c:pt>
                <c:pt idx="19">
                  <c:v>11086</c:v>
                </c:pt>
                <c:pt idx="20">
                  <c:v>6628</c:v>
                </c:pt>
                <c:pt idx="21">
                  <c:v>6242</c:v>
                </c:pt>
                <c:pt idx="22">
                  <c:v>5405</c:v>
                </c:pt>
                <c:pt idx="23" formatCode="General">
                  <c:v>752</c:v>
                </c:pt>
                <c:pt idx="24">
                  <c:v>0</c:v>
                </c:pt>
                <c:pt idx="25">
                  <c:v>0</c:v>
                </c:pt>
              </c:numCache>
            </c:numRef>
          </c:val>
          <c:extLst>
            <c:ext xmlns:c16="http://schemas.microsoft.com/office/drawing/2014/chart" uri="{C3380CC4-5D6E-409C-BE32-E72D297353CC}">
              <c16:uniqueId val="{00000000-4A0E-004F-A9E0-70D5F6CD6801}"/>
            </c:ext>
          </c:extLst>
        </c:ser>
        <c:dLbls>
          <c:showLegendKey val="0"/>
          <c:showVal val="0"/>
          <c:showCatName val="0"/>
          <c:showSerName val="0"/>
          <c:showPercent val="0"/>
          <c:showBubbleSize val="0"/>
        </c:dLbls>
        <c:gapWidth val="219"/>
        <c:overlap val="-27"/>
        <c:axId val="132154496"/>
        <c:axId val="132156800"/>
      </c:barChart>
      <c:scatterChart>
        <c:scatterStyle val="lineMarker"/>
        <c:varyColors val="0"/>
        <c:ser>
          <c:idx val="0"/>
          <c:order val="0"/>
          <c:tx>
            <c:strRef>
              <c:f>Sheet1!$K$39</c:f>
              <c:strCache>
                <c:ptCount val="1"/>
                <c:pt idx="0">
                  <c:v>Small Bees (Stingless)</c:v>
                </c:pt>
              </c:strCache>
            </c:strRef>
          </c:tx>
          <c:spPr>
            <a:ln w="25400" cap="rnd">
              <a:noFill/>
              <a:round/>
            </a:ln>
            <a:effectLst/>
          </c:spPr>
          <c:marker>
            <c:symbol val="circle"/>
            <c:size val="3"/>
            <c:spPr>
              <a:solidFill>
                <a:schemeClr val="accent1"/>
              </a:solidFill>
              <a:ln w="9525">
                <a:solidFill>
                  <a:schemeClr val="accent1"/>
                </a:solidFill>
              </a:ln>
              <a:effectLst/>
            </c:spPr>
          </c:marker>
          <c:xVal>
            <c:strRef>
              <c:f>Sheet1!$J$40:$J$65</c:f>
              <c:strCache>
                <c:ptCount val="26"/>
                <c:pt idx="0">
                  <c:v>Mbeya</c:v>
                </c:pt>
                <c:pt idx="1">
                  <c:v>Singida</c:v>
                </c:pt>
                <c:pt idx="2">
                  <c:v>Katavi</c:v>
                </c:pt>
                <c:pt idx="3">
                  <c:v>Tabora</c:v>
                </c:pt>
                <c:pt idx="4">
                  <c:v>Kigoma</c:v>
                </c:pt>
                <c:pt idx="5">
                  <c:v>Arusha</c:v>
                </c:pt>
                <c:pt idx="6">
                  <c:v>Dodoma</c:v>
                </c:pt>
                <c:pt idx="7">
                  <c:v>Tanga</c:v>
                </c:pt>
                <c:pt idx="8">
                  <c:v>Songwe</c:v>
                </c:pt>
                <c:pt idx="9">
                  <c:v>Iringa</c:v>
                </c:pt>
                <c:pt idx="10">
                  <c:v>Simiyu</c:v>
                </c:pt>
                <c:pt idx="11">
                  <c:v>Kagera</c:v>
                </c:pt>
                <c:pt idx="12">
                  <c:v>Pwani</c:v>
                </c:pt>
                <c:pt idx="13">
                  <c:v>Rukwa</c:v>
                </c:pt>
                <c:pt idx="14">
                  <c:v>Manyara</c:v>
                </c:pt>
                <c:pt idx="15">
                  <c:v>Morogoro</c:v>
                </c:pt>
                <c:pt idx="16">
                  <c:v>Shinyanga</c:v>
                </c:pt>
                <c:pt idx="17">
                  <c:v>Geita</c:v>
                </c:pt>
                <c:pt idx="18">
                  <c:v>Ruvuma</c:v>
                </c:pt>
                <c:pt idx="19">
                  <c:v>Njombe</c:v>
                </c:pt>
                <c:pt idx="20">
                  <c:v>Mara</c:v>
                </c:pt>
                <c:pt idx="21">
                  <c:v>Kilimanjaro</c:v>
                </c:pt>
                <c:pt idx="22">
                  <c:v>Lindi</c:v>
                </c:pt>
                <c:pt idx="23">
                  <c:v>Mwanza</c:v>
                </c:pt>
                <c:pt idx="24">
                  <c:v>Dar es Salaam</c:v>
                </c:pt>
                <c:pt idx="25">
                  <c:v>Mtwara</c:v>
                </c:pt>
              </c:strCache>
            </c:strRef>
          </c:xVal>
          <c:yVal>
            <c:numRef>
              <c:f>Sheet1!$K$40:$K$65</c:f>
              <c:numCache>
                <c:formatCode>#,##0</c:formatCode>
                <c:ptCount val="26"/>
                <c:pt idx="0">
                  <c:v>5635</c:v>
                </c:pt>
                <c:pt idx="1">
                  <c:v>13130</c:v>
                </c:pt>
                <c:pt idx="2">
                  <c:v>8342</c:v>
                </c:pt>
                <c:pt idx="3">
                  <c:v>1976</c:v>
                </c:pt>
                <c:pt idx="4" formatCode="General">
                  <c:v>228</c:v>
                </c:pt>
                <c:pt idx="5">
                  <c:v>6196</c:v>
                </c:pt>
                <c:pt idx="6">
                  <c:v>10045</c:v>
                </c:pt>
                <c:pt idx="7">
                  <c:v>13049</c:v>
                </c:pt>
                <c:pt idx="8">
                  <c:v>3383</c:v>
                </c:pt>
                <c:pt idx="9">
                  <c:v>8818</c:v>
                </c:pt>
                <c:pt idx="10">
                  <c:v>3059</c:v>
                </c:pt>
                <c:pt idx="11" formatCode="General">
                  <c:v>0</c:v>
                </c:pt>
                <c:pt idx="12" formatCode="General">
                  <c:v>294</c:v>
                </c:pt>
                <c:pt idx="13" formatCode="General">
                  <c:v>0</c:v>
                </c:pt>
                <c:pt idx="14">
                  <c:v>3294</c:v>
                </c:pt>
                <c:pt idx="15">
                  <c:v>3681</c:v>
                </c:pt>
                <c:pt idx="16">
                  <c:v>1606</c:v>
                </c:pt>
                <c:pt idx="17">
                  <c:v>6939</c:v>
                </c:pt>
                <c:pt idx="18">
                  <c:v>3011</c:v>
                </c:pt>
                <c:pt idx="19">
                  <c:v>8649</c:v>
                </c:pt>
                <c:pt idx="20">
                  <c:v>1239</c:v>
                </c:pt>
                <c:pt idx="21">
                  <c:v>5138</c:v>
                </c:pt>
                <c:pt idx="22" formatCode="General">
                  <c:v>0</c:v>
                </c:pt>
                <c:pt idx="23" formatCode="General">
                  <c:v>0</c:v>
                </c:pt>
                <c:pt idx="24">
                  <c:v>0</c:v>
                </c:pt>
                <c:pt idx="25">
                  <c:v>0</c:v>
                </c:pt>
              </c:numCache>
            </c:numRef>
          </c:yVal>
          <c:smooth val="0"/>
          <c:extLst>
            <c:ext xmlns:c16="http://schemas.microsoft.com/office/drawing/2014/chart" uri="{C3380CC4-5D6E-409C-BE32-E72D297353CC}">
              <c16:uniqueId val="{00000001-4A0E-004F-A9E0-70D5F6CD6801}"/>
            </c:ext>
          </c:extLst>
        </c:ser>
        <c:dLbls>
          <c:showLegendKey val="0"/>
          <c:showVal val="0"/>
          <c:showCatName val="0"/>
          <c:showSerName val="0"/>
          <c:showPercent val="0"/>
          <c:showBubbleSize val="0"/>
        </c:dLbls>
        <c:axId val="132160896"/>
        <c:axId val="132158976"/>
      </c:scatterChart>
      <c:catAx>
        <c:axId val="132154496"/>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Region</a:t>
                </a:r>
              </a:p>
            </c:rich>
          </c:tx>
          <c:layout>
            <c:manualLayout>
              <c:xMode val="edge"/>
              <c:yMode val="edge"/>
              <c:x val="0.43754433871598736"/>
              <c:y val="0.7797713008822767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chemeClr val="tx1">
                <a:lumMod val="65000"/>
                <a:lumOff val="3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32156800"/>
        <c:crosses val="autoZero"/>
        <c:auto val="1"/>
        <c:lblAlgn val="ctr"/>
        <c:lblOffset val="100"/>
        <c:noMultiLvlLbl val="0"/>
      </c:catAx>
      <c:valAx>
        <c:axId val="132156800"/>
        <c:scaling>
          <c:orientation val="minMax"/>
        </c:scaling>
        <c:delete val="0"/>
        <c:axPos val="l"/>
        <c:title>
          <c:tx>
            <c:rich>
              <a:bodyPr rot="-54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Quantity (Litres)</a:t>
                </a:r>
              </a:p>
            </c:rich>
          </c:tx>
          <c:layout>
            <c:manualLayout>
              <c:xMode val="edge"/>
              <c:yMode val="edge"/>
              <c:x val="1.3449899125756557E-2"/>
              <c:y val="0.19788151833398199"/>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1"/>
        <c:majorTickMark val="out"/>
        <c:minorTickMark val="none"/>
        <c:tickLblPos val="nextTo"/>
        <c:spPr>
          <a:noFill/>
          <a:ln>
            <a:solidFill>
              <a:schemeClr val="tx1">
                <a:lumMod val="65000"/>
                <a:lumOff val="35000"/>
              </a:schemeClr>
            </a:solid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32154496"/>
        <c:crosses val="autoZero"/>
        <c:crossBetween val="between"/>
      </c:valAx>
      <c:valAx>
        <c:axId val="132158976"/>
        <c:scaling>
          <c:orientation val="minMax"/>
        </c:scaling>
        <c:delete val="0"/>
        <c:axPos val="r"/>
        <c:title>
          <c:tx>
            <c:rich>
              <a:bodyPr rot="-54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Quantity (Litres)</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1"/>
        <c:majorTickMark val="out"/>
        <c:minorTickMark val="none"/>
        <c:tickLblPos val="nextTo"/>
        <c:spPr>
          <a:noFill/>
          <a:ln>
            <a:solidFill>
              <a:schemeClr val="tx1">
                <a:lumMod val="65000"/>
                <a:lumOff val="35000"/>
              </a:schemeClr>
            </a:solid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32160896"/>
        <c:crosses val="max"/>
        <c:crossBetween val="midCat"/>
      </c:valAx>
      <c:valAx>
        <c:axId val="132160896"/>
        <c:scaling>
          <c:orientation val="minMax"/>
        </c:scaling>
        <c:delete val="1"/>
        <c:axPos val="t"/>
        <c:majorTickMark val="out"/>
        <c:minorTickMark val="none"/>
        <c:tickLblPos val="nextTo"/>
        <c:crossAx val="132158976"/>
        <c:crosses val="max"/>
        <c:crossBetween val="midCat"/>
      </c:valAx>
      <c:spPr>
        <a:noFill/>
        <a:ln>
          <a:noFill/>
        </a:ln>
        <a:effectLst/>
      </c:spPr>
    </c:plotArea>
    <c:legend>
      <c:legendPos val="b"/>
      <c:layout>
        <c:manualLayout>
          <c:xMode val="edge"/>
          <c:yMode val="edge"/>
          <c:x val="0.26665127354820384"/>
          <c:y val="0.87766407320369144"/>
          <c:w val="0.44456621466081264"/>
          <c:h val="6.288289469167127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50000"/>
          <a:lumOff val="50000"/>
        </a:schemeClr>
      </a:solidFill>
      <a:round/>
    </a:ln>
    <a:effectLst/>
  </c:spPr>
  <c:txPr>
    <a:bodyPr/>
    <a:lstStyle/>
    <a:p>
      <a:pPr>
        <a:defRPr sz="90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Sheet1!$P$63</c:f>
              <c:strCache>
                <c:ptCount val="1"/>
                <c:pt idx="0">
                  <c:v>Large Bees (Sting)</c:v>
                </c:pt>
              </c:strCache>
            </c:strRef>
          </c:tx>
          <c:spPr>
            <a:solidFill>
              <a:schemeClr val="accent2"/>
            </a:solidFill>
            <a:ln>
              <a:noFill/>
            </a:ln>
            <a:effectLst/>
          </c:spPr>
          <c:invertIfNegative val="0"/>
          <c:cat>
            <c:strRef>
              <c:f>Sheet1!$N$64:$N$66</c:f>
              <c:strCache>
                <c:ptCount val="3"/>
                <c:pt idx="0">
                  <c:v>Kusini Unguja</c:v>
                </c:pt>
                <c:pt idx="1">
                  <c:v>Kaskazini Pemba</c:v>
                </c:pt>
                <c:pt idx="2">
                  <c:v>Kusini Pemba</c:v>
                </c:pt>
              </c:strCache>
            </c:strRef>
          </c:cat>
          <c:val>
            <c:numRef>
              <c:f>Sheet1!$P$64:$P$66</c:f>
              <c:numCache>
                <c:formatCode>#,##0</c:formatCode>
                <c:ptCount val="3"/>
                <c:pt idx="0">
                  <c:v>4180</c:v>
                </c:pt>
                <c:pt idx="1">
                  <c:v>2826</c:v>
                </c:pt>
                <c:pt idx="2">
                  <c:v>2759</c:v>
                </c:pt>
              </c:numCache>
            </c:numRef>
          </c:val>
          <c:extLst>
            <c:ext xmlns:c16="http://schemas.microsoft.com/office/drawing/2014/chart" uri="{C3380CC4-5D6E-409C-BE32-E72D297353CC}">
              <c16:uniqueId val="{00000000-262C-114A-BAE8-0C21BBEB076D}"/>
            </c:ext>
          </c:extLst>
        </c:ser>
        <c:dLbls>
          <c:showLegendKey val="0"/>
          <c:showVal val="0"/>
          <c:showCatName val="0"/>
          <c:showSerName val="0"/>
          <c:showPercent val="0"/>
          <c:showBubbleSize val="0"/>
        </c:dLbls>
        <c:gapWidth val="219"/>
        <c:overlap val="-27"/>
        <c:axId val="132536576"/>
        <c:axId val="132543232"/>
      </c:barChart>
      <c:scatterChart>
        <c:scatterStyle val="lineMarker"/>
        <c:varyColors val="0"/>
        <c:ser>
          <c:idx val="0"/>
          <c:order val="0"/>
          <c:tx>
            <c:strRef>
              <c:f>Sheet1!$O$63</c:f>
              <c:strCache>
                <c:ptCount val="1"/>
                <c:pt idx="0">
                  <c:v>Small Bees (Stingless)</c:v>
                </c:pt>
              </c:strCache>
            </c:strRef>
          </c:tx>
          <c:spPr>
            <a:ln w="25400" cap="rnd">
              <a:noFill/>
              <a:round/>
            </a:ln>
            <a:effectLst/>
          </c:spPr>
          <c:marker>
            <c:symbol val="circle"/>
            <c:size val="3"/>
            <c:spPr>
              <a:solidFill>
                <a:schemeClr val="accent1"/>
              </a:solidFill>
              <a:ln w="9525">
                <a:solidFill>
                  <a:schemeClr val="accent1"/>
                </a:solidFill>
              </a:ln>
              <a:effectLst/>
            </c:spPr>
          </c:marker>
          <c:xVal>
            <c:strRef>
              <c:f>Sheet1!$N$64:$N$66</c:f>
              <c:strCache>
                <c:ptCount val="3"/>
                <c:pt idx="0">
                  <c:v>Kusini Unguja</c:v>
                </c:pt>
                <c:pt idx="1">
                  <c:v>Kaskazini Pemba</c:v>
                </c:pt>
                <c:pt idx="2">
                  <c:v>Kusini Pemba</c:v>
                </c:pt>
              </c:strCache>
            </c:strRef>
          </c:xVal>
          <c:yVal>
            <c:numRef>
              <c:f>Sheet1!$O$64:$O$66</c:f>
              <c:numCache>
                <c:formatCode>General</c:formatCode>
                <c:ptCount val="3"/>
                <c:pt idx="0">
                  <c:v>67</c:v>
                </c:pt>
                <c:pt idx="1">
                  <c:v>0</c:v>
                </c:pt>
                <c:pt idx="2" formatCode="#,##0">
                  <c:v>1126</c:v>
                </c:pt>
              </c:numCache>
            </c:numRef>
          </c:yVal>
          <c:smooth val="0"/>
          <c:extLst>
            <c:ext xmlns:c16="http://schemas.microsoft.com/office/drawing/2014/chart" uri="{C3380CC4-5D6E-409C-BE32-E72D297353CC}">
              <c16:uniqueId val="{00000001-262C-114A-BAE8-0C21BBEB076D}"/>
            </c:ext>
          </c:extLst>
        </c:ser>
        <c:dLbls>
          <c:showLegendKey val="0"/>
          <c:showVal val="0"/>
          <c:showCatName val="0"/>
          <c:showSerName val="0"/>
          <c:showPercent val="0"/>
          <c:showBubbleSize val="0"/>
        </c:dLbls>
        <c:axId val="132559616"/>
        <c:axId val="132545152"/>
      </c:scatterChart>
      <c:catAx>
        <c:axId val="132536576"/>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Region</a:t>
                </a:r>
              </a:p>
            </c:rich>
          </c:tx>
          <c:layout>
            <c:manualLayout>
              <c:xMode val="edge"/>
              <c:yMode val="edge"/>
              <c:x val="0.42445331812131581"/>
              <c:y val="0.77844469276640993"/>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chemeClr val="tx1">
                <a:lumMod val="65000"/>
                <a:lumOff val="3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32543232"/>
        <c:crosses val="autoZero"/>
        <c:auto val="1"/>
        <c:lblAlgn val="ctr"/>
        <c:lblOffset val="100"/>
        <c:noMultiLvlLbl val="0"/>
      </c:catAx>
      <c:valAx>
        <c:axId val="132543232"/>
        <c:scaling>
          <c:orientation val="minMax"/>
          <c:max val="5000"/>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Quantity (Litres)</a:t>
                </a:r>
              </a:p>
            </c:rich>
          </c:tx>
          <c:layout>
            <c:manualLayout>
              <c:xMode val="edge"/>
              <c:yMode val="edge"/>
              <c:x val="2.2818026240730177E-2"/>
              <c:y val="0.18904856903866979"/>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1"/>
        <c:majorTickMark val="out"/>
        <c:minorTickMark val="none"/>
        <c:tickLblPos val="nextTo"/>
        <c:spPr>
          <a:noFill/>
          <a:ln>
            <a:solidFill>
              <a:schemeClr val="tx1">
                <a:lumMod val="65000"/>
                <a:lumOff val="35000"/>
              </a:schemeClr>
            </a:solid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32536576"/>
        <c:crosses val="autoZero"/>
        <c:crossBetween val="between"/>
        <c:majorUnit val="1000"/>
      </c:valAx>
      <c:valAx>
        <c:axId val="132545152"/>
        <c:scaling>
          <c:orientation val="minMax"/>
        </c:scaling>
        <c:delete val="0"/>
        <c:axPos val="r"/>
        <c:title>
          <c:tx>
            <c:rich>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Quantity (Litres) </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a:solidFill>
              <a:schemeClr val="tx1">
                <a:lumMod val="65000"/>
                <a:lumOff val="35000"/>
              </a:schemeClr>
            </a:solid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32559616"/>
        <c:crosses val="max"/>
        <c:crossBetween val="midCat"/>
      </c:valAx>
      <c:valAx>
        <c:axId val="132559616"/>
        <c:scaling>
          <c:orientation val="minMax"/>
        </c:scaling>
        <c:delete val="1"/>
        <c:axPos val="t"/>
        <c:majorTickMark val="out"/>
        <c:minorTickMark val="none"/>
        <c:tickLblPos val="nextTo"/>
        <c:crossAx val="132545152"/>
        <c:crosses val="max"/>
        <c:crossBetween val="midCat"/>
      </c:valAx>
      <c:spPr>
        <a:noFill/>
        <a:ln>
          <a:noFill/>
        </a:ln>
        <a:effectLst/>
      </c:spPr>
    </c:plotArea>
    <c:legend>
      <c:legendPos val="b"/>
      <c:layout>
        <c:manualLayout>
          <c:xMode val="edge"/>
          <c:yMode val="edge"/>
          <c:x val="0.1641825861328087"/>
          <c:y val="0.85302629787252426"/>
          <c:w val="0.67924083648129263"/>
          <c:h val="8.1093932706668592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50000"/>
          <a:lumOff val="50000"/>
        </a:schemeClr>
      </a:solidFill>
      <a:round/>
    </a:ln>
    <a:effectLst/>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9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742436111949557"/>
          <c:y val="4.6958377801494131E-2"/>
          <c:w val="0.84820160830217517"/>
          <c:h val="0.5527309574584427"/>
        </c:manualLayout>
      </c:layout>
      <c:barChart>
        <c:barDir val="col"/>
        <c:grouping val="clustered"/>
        <c:varyColors val="0"/>
        <c:ser>
          <c:idx val="0"/>
          <c:order val="0"/>
          <c:tx>
            <c:strRef>
              <c:f>Sheet2!$C$2</c:f>
              <c:strCache>
                <c:ptCount val="1"/>
                <c:pt idx="0">
                  <c:v> Stingless Bees </c:v>
                </c:pt>
              </c:strCache>
            </c:strRef>
          </c:tx>
          <c:spPr>
            <a:solidFill>
              <a:schemeClr val="accent1"/>
            </a:solidFill>
            <a:ln>
              <a:noFill/>
            </a:ln>
            <a:effectLst/>
          </c:spPr>
          <c:invertIfNegative val="0"/>
          <c:cat>
            <c:strRef>
              <c:f>Sheet2!$B$3:$B$26</c:f>
              <c:strCache>
                <c:ptCount val="24"/>
                <c:pt idx="0">
                  <c:v> Tanga </c:v>
                </c:pt>
                <c:pt idx="1">
                  <c:v> Arusha </c:v>
                </c:pt>
                <c:pt idx="2">
                  <c:v> Dodoma </c:v>
                </c:pt>
                <c:pt idx="3">
                  <c:v> Kilimanjaro </c:v>
                </c:pt>
                <c:pt idx="4">
                  <c:v> Mbeya </c:v>
                </c:pt>
                <c:pt idx="5">
                  <c:v> Geita </c:v>
                </c:pt>
                <c:pt idx="6">
                  <c:v> Pwani </c:v>
                </c:pt>
                <c:pt idx="7">
                  <c:v> Singida </c:v>
                </c:pt>
                <c:pt idx="8">
                  <c:v> Manyara </c:v>
                </c:pt>
                <c:pt idx="9">
                  <c:v> Songwe </c:v>
                </c:pt>
                <c:pt idx="10">
                  <c:v> Ruvuma </c:v>
                </c:pt>
                <c:pt idx="11">
                  <c:v> Katavi </c:v>
                </c:pt>
                <c:pt idx="12">
                  <c:v> Simiyu </c:v>
                </c:pt>
                <c:pt idx="13">
                  <c:v> Mara </c:v>
                </c:pt>
                <c:pt idx="14">
                  <c:v> Iringa </c:v>
                </c:pt>
                <c:pt idx="15">
                  <c:v> Tabora </c:v>
                </c:pt>
                <c:pt idx="16">
                  <c:v> Morogoro </c:v>
                </c:pt>
                <c:pt idx="17">
                  <c:v> Lindi </c:v>
                </c:pt>
                <c:pt idx="18">
                  <c:v> Rukwa </c:v>
                </c:pt>
                <c:pt idx="19">
                  <c:v> Kigoma </c:v>
                </c:pt>
                <c:pt idx="20">
                  <c:v> Shinyanga </c:v>
                </c:pt>
                <c:pt idx="21">
                  <c:v> Kagera </c:v>
                </c:pt>
                <c:pt idx="22">
                  <c:v> Mwanza </c:v>
                </c:pt>
                <c:pt idx="23">
                  <c:v> Njombe </c:v>
                </c:pt>
              </c:strCache>
            </c:strRef>
          </c:cat>
          <c:val>
            <c:numRef>
              <c:f>Sheet2!$C$3:$C$26</c:f>
              <c:numCache>
                <c:formatCode>_-* #,##0_-;\-* #,##0_-;_-* "-"??_-;_-@_-</c:formatCode>
                <c:ptCount val="24"/>
                <c:pt idx="0">
                  <c:v>24551.3</c:v>
                </c:pt>
                <c:pt idx="1">
                  <c:v>22823</c:v>
                </c:pt>
                <c:pt idx="2">
                  <c:v>22501.7</c:v>
                </c:pt>
                <c:pt idx="3">
                  <c:v>16134</c:v>
                </c:pt>
                <c:pt idx="4">
                  <c:v>16131.5</c:v>
                </c:pt>
                <c:pt idx="5">
                  <c:v>10446</c:v>
                </c:pt>
                <c:pt idx="6">
                  <c:v>10331</c:v>
                </c:pt>
                <c:pt idx="7">
                  <c:v>10111.200000000001</c:v>
                </c:pt>
                <c:pt idx="8">
                  <c:v>10080</c:v>
                </c:pt>
                <c:pt idx="9">
                  <c:v>10019</c:v>
                </c:pt>
                <c:pt idx="10">
                  <c:v>9870</c:v>
                </c:pt>
                <c:pt idx="11">
                  <c:v>9854</c:v>
                </c:pt>
                <c:pt idx="12">
                  <c:v>9841</c:v>
                </c:pt>
                <c:pt idx="13">
                  <c:v>9839</c:v>
                </c:pt>
                <c:pt idx="14">
                  <c:v>9821</c:v>
                </c:pt>
                <c:pt idx="15">
                  <c:v>9800</c:v>
                </c:pt>
                <c:pt idx="16">
                  <c:v>0</c:v>
                </c:pt>
                <c:pt idx="17">
                  <c:v>0</c:v>
                </c:pt>
                <c:pt idx="18">
                  <c:v>0</c:v>
                </c:pt>
                <c:pt idx="19">
                  <c:v>0</c:v>
                </c:pt>
                <c:pt idx="20">
                  <c:v>0</c:v>
                </c:pt>
                <c:pt idx="21">
                  <c:v>0</c:v>
                </c:pt>
                <c:pt idx="22">
                  <c:v>0</c:v>
                </c:pt>
                <c:pt idx="23">
                  <c:v>0</c:v>
                </c:pt>
              </c:numCache>
            </c:numRef>
          </c:val>
          <c:extLst>
            <c:ext xmlns:c16="http://schemas.microsoft.com/office/drawing/2014/chart" uri="{C3380CC4-5D6E-409C-BE32-E72D297353CC}">
              <c16:uniqueId val="{00000000-CA1D-F444-B955-D858F3DF5973}"/>
            </c:ext>
          </c:extLst>
        </c:ser>
        <c:ser>
          <c:idx val="1"/>
          <c:order val="1"/>
          <c:tx>
            <c:strRef>
              <c:f>Sheet2!$D$2</c:f>
              <c:strCache>
                <c:ptCount val="1"/>
                <c:pt idx="0">
                  <c:v>  Sting Bees </c:v>
                </c:pt>
              </c:strCache>
            </c:strRef>
          </c:tx>
          <c:spPr>
            <a:solidFill>
              <a:schemeClr val="accent2"/>
            </a:solidFill>
            <a:ln>
              <a:noFill/>
            </a:ln>
            <a:effectLst/>
          </c:spPr>
          <c:invertIfNegative val="0"/>
          <c:cat>
            <c:strRef>
              <c:f>Sheet2!$B$3:$B$26</c:f>
              <c:strCache>
                <c:ptCount val="24"/>
                <c:pt idx="0">
                  <c:v> Tanga </c:v>
                </c:pt>
                <c:pt idx="1">
                  <c:v> Arusha </c:v>
                </c:pt>
                <c:pt idx="2">
                  <c:v> Dodoma </c:v>
                </c:pt>
                <c:pt idx="3">
                  <c:v> Kilimanjaro </c:v>
                </c:pt>
                <c:pt idx="4">
                  <c:v> Mbeya </c:v>
                </c:pt>
                <c:pt idx="5">
                  <c:v> Geita </c:v>
                </c:pt>
                <c:pt idx="6">
                  <c:v> Pwani </c:v>
                </c:pt>
                <c:pt idx="7">
                  <c:v> Singida </c:v>
                </c:pt>
                <c:pt idx="8">
                  <c:v> Manyara </c:v>
                </c:pt>
                <c:pt idx="9">
                  <c:v> Songwe </c:v>
                </c:pt>
                <c:pt idx="10">
                  <c:v> Ruvuma </c:v>
                </c:pt>
                <c:pt idx="11">
                  <c:v> Katavi </c:v>
                </c:pt>
                <c:pt idx="12">
                  <c:v> Simiyu </c:v>
                </c:pt>
                <c:pt idx="13">
                  <c:v> Mara </c:v>
                </c:pt>
                <c:pt idx="14">
                  <c:v> Iringa </c:v>
                </c:pt>
                <c:pt idx="15">
                  <c:v> Tabora </c:v>
                </c:pt>
                <c:pt idx="16">
                  <c:v> Morogoro </c:v>
                </c:pt>
                <c:pt idx="17">
                  <c:v> Lindi </c:v>
                </c:pt>
                <c:pt idx="18">
                  <c:v> Rukwa </c:v>
                </c:pt>
                <c:pt idx="19">
                  <c:v> Kigoma </c:v>
                </c:pt>
                <c:pt idx="20">
                  <c:v> Shinyanga </c:v>
                </c:pt>
                <c:pt idx="21">
                  <c:v> Kagera </c:v>
                </c:pt>
                <c:pt idx="22">
                  <c:v> Mwanza </c:v>
                </c:pt>
                <c:pt idx="23">
                  <c:v> Njombe </c:v>
                </c:pt>
              </c:strCache>
            </c:strRef>
          </c:cat>
          <c:val>
            <c:numRef>
              <c:f>Sheet2!$D$3:$D$26</c:f>
              <c:numCache>
                <c:formatCode>_-* #,##0_-;\-* #,##0_-;_-* "-"??_-;_-@_-</c:formatCode>
                <c:ptCount val="24"/>
                <c:pt idx="0">
                  <c:v>11225.1</c:v>
                </c:pt>
                <c:pt idx="1">
                  <c:v>11916.9</c:v>
                </c:pt>
                <c:pt idx="2">
                  <c:v>14156.4</c:v>
                </c:pt>
                <c:pt idx="3">
                  <c:v>15000</c:v>
                </c:pt>
                <c:pt idx="4">
                  <c:v>10265.9</c:v>
                </c:pt>
                <c:pt idx="5">
                  <c:v>10291.799999999999</c:v>
                </c:pt>
                <c:pt idx="6">
                  <c:v>10025.4</c:v>
                </c:pt>
                <c:pt idx="7">
                  <c:v>10452</c:v>
                </c:pt>
                <c:pt idx="8">
                  <c:v>9924.6</c:v>
                </c:pt>
                <c:pt idx="9">
                  <c:v>10327.299999999999</c:v>
                </c:pt>
                <c:pt idx="10">
                  <c:v>10261.299999999999</c:v>
                </c:pt>
                <c:pt idx="11">
                  <c:v>12127.3</c:v>
                </c:pt>
                <c:pt idx="12">
                  <c:v>10053.200000000001</c:v>
                </c:pt>
                <c:pt idx="13">
                  <c:v>9866.7000000000007</c:v>
                </c:pt>
                <c:pt idx="14">
                  <c:v>10103.5</c:v>
                </c:pt>
                <c:pt idx="15">
                  <c:v>10102.9</c:v>
                </c:pt>
                <c:pt idx="16">
                  <c:v>12510.8</c:v>
                </c:pt>
                <c:pt idx="17">
                  <c:v>9945</c:v>
                </c:pt>
                <c:pt idx="18">
                  <c:v>10084.1</c:v>
                </c:pt>
                <c:pt idx="19">
                  <c:v>10020.1</c:v>
                </c:pt>
                <c:pt idx="20">
                  <c:v>10408.6</c:v>
                </c:pt>
                <c:pt idx="21">
                  <c:v>10046.5</c:v>
                </c:pt>
                <c:pt idx="22">
                  <c:v>9931</c:v>
                </c:pt>
                <c:pt idx="23">
                  <c:v>10026.700000000001</c:v>
                </c:pt>
              </c:numCache>
            </c:numRef>
          </c:val>
          <c:extLst>
            <c:ext xmlns:c16="http://schemas.microsoft.com/office/drawing/2014/chart" uri="{C3380CC4-5D6E-409C-BE32-E72D297353CC}">
              <c16:uniqueId val="{00000001-CA1D-F444-B955-D858F3DF5973}"/>
            </c:ext>
          </c:extLst>
        </c:ser>
        <c:dLbls>
          <c:showLegendKey val="0"/>
          <c:showVal val="0"/>
          <c:showCatName val="0"/>
          <c:showSerName val="0"/>
          <c:showPercent val="0"/>
          <c:showBubbleSize val="0"/>
        </c:dLbls>
        <c:gapWidth val="219"/>
        <c:overlap val="-27"/>
        <c:axId val="132590592"/>
        <c:axId val="132592768"/>
      </c:barChart>
      <c:catAx>
        <c:axId val="132590592"/>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Region</a:t>
                </a:r>
              </a:p>
            </c:rich>
          </c:tx>
          <c:layout>
            <c:manualLayout>
              <c:xMode val="edge"/>
              <c:yMode val="edge"/>
              <c:x val="0.47274156374149229"/>
              <c:y val="0.8165581223371625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3175" cap="flat" cmpd="sng" algn="ctr">
            <a:solidFill>
              <a:schemeClr val="tx1">
                <a:lumMod val="50000"/>
                <a:lumOff val="50000"/>
              </a:schemeClr>
            </a:solidFill>
            <a:round/>
          </a:ln>
          <a:effectLst/>
        </c:spPr>
        <c:txPr>
          <a:bodyPr rot="-5400000" spcFirstLastPara="1" vertOverflow="ellipsis"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32592768"/>
        <c:crosses val="autoZero"/>
        <c:auto val="1"/>
        <c:lblAlgn val="ctr"/>
        <c:lblOffset val="100"/>
        <c:noMultiLvlLbl val="0"/>
      </c:catAx>
      <c:valAx>
        <c:axId val="132592768"/>
        <c:scaling>
          <c:orientation val="minMax"/>
          <c:max val="25000"/>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Price of Honey (TZS/Litre)</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_-* #,##0_-;\-* #,##0_-;_-* &quot;-&quot;??_-;_-@_-" sourceLinked="1"/>
        <c:majorTickMark val="out"/>
        <c:minorTickMark val="none"/>
        <c:tickLblPos val="nextTo"/>
        <c:spPr>
          <a:noFill/>
          <a:ln w="3175">
            <a:solidFill>
              <a:schemeClr val="tx1">
                <a:lumMod val="50000"/>
                <a:lumOff val="50000"/>
              </a:schemeClr>
            </a:solid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325905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50000"/>
          <a:lumOff val="50000"/>
        </a:schemeClr>
      </a:solidFill>
      <a:round/>
    </a:ln>
    <a:effectLst/>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9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Sheet2!$C$36</c:f>
              <c:strCache>
                <c:ptCount val="1"/>
                <c:pt idx="0">
                  <c:v> Stingless Bees </c:v>
                </c:pt>
              </c:strCache>
            </c:strRef>
          </c:tx>
          <c:spPr>
            <a:solidFill>
              <a:srgbClr val="92D050"/>
            </a:solidFill>
            <a:ln>
              <a:noFill/>
            </a:ln>
            <a:effectLst/>
          </c:spPr>
          <c:invertIfNegative val="0"/>
          <c:cat>
            <c:strRef>
              <c:f>Sheet2!$B$37:$B$39</c:f>
              <c:strCache>
                <c:ptCount val="3"/>
                <c:pt idx="0">
                  <c:v> Tanzania Mainland </c:v>
                </c:pt>
                <c:pt idx="1">
                  <c:v> Tanzania Zanzibar </c:v>
                </c:pt>
                <c:pt idx="2">
                  <c:v> Tanzania </c:v>
                </c:pt>
              </c:strCache>
            </c:strRef>
          </c:cat>
          <c:val>
            <c:numRef>
              <c:f>Sheet2!$C$37:$C$39</c:f>
              <c:numCache>
                <c:formatCode>_-* #,##0_-;\-* #,##0_-;_-* "-"??_-;_-@_-</c:formatCode>
                <c:ptCount val="3"/>
                <c:pt idx="0">
                  <c:v>13259.606250000001</c:v>
                </c:pt>
                <c:pt idx="1">
                  <c:v>21209.200000000001</c:v>
                </c:pt>
                <c:pt idx="2">
                  <c:v>13727</c:v>
                </c:pt>
              </c:numCache>
            </c:numRef>
          </c:val>
          <c:extLst>
            <c:ext xmlns:c16="http://schemas.microsoft.com/office/drawing/2014/chart" uri="{C3380CC4-5D6E-409C-BE32-E72D297353CC}">
              <c16:uniqueId val="{00000000-8211-384D-9F4E-576C3FB1A4B5}"/>
            </c:ext>
          </c:extLst>
        </c:ser>
        <c:ser>
          <c:idx val="1"/>
          <c:order val="1"/>
          <c:tx>
            <c:strRef>
              <c:f>Sheet2!$D$36</c:f>
              <c:strCache>
                <c:ptCount val="1"/>
                <c:pt idx="0">
                  <c:v>  Sting Bees </c:v>
                </c:pt>
              </c:strCache>
            </c:strRef>
          </c:tx>
          <c:spPr>
            <a:solidFill>
              <a:srgbClr val="FFFF00"/>
            </a:solidFill>
            <a:ln>
              <a:noFill/>
            </a:ln>
            <a:effectLst/>
          </c:spPr>
          <c:invertIfNegative val="0"/>
          <c:cat>
            <c:strRef>
              <c:f>Sheet2!$B$37:$B$39</c:f>
              <c:strCache>
                <c:ptCount val="3"/>
                <c:pt idx="0">
                  <c:v> Tanzania Mainland </c:v>
                </c:pt>
                <c:pt idx="1">
                  <c:v> Tanzania Zanzibar </c:v>
                </c:pt>
                <c:pt idx="2">
                  <c:v> Tanzania </c:v>
                </c:pt>
              </c:strCache>
            </c:strRef>
          </c:cat>
          <c:val>
            <c:numRef>
              <c:f>Sheet2!$D$37:$D$39</c:f>
              <c:numCache>
                <c:formatCode>_-* #,##0_-;\-* #,##0_-;_-* "-"??_-;_-@_-</c:formatCode>
                <c:ptCount val="3"/>
                <c:pt idx="0">
                  <c:v>10794.7125</c:v>
                </c:pt>
                <c:pt idx="1">
                  <c:v>17306.833333333332</c:v>
                </c:pt>
                <c:pt idx="2">
                  <c:v>11518</c:v>
                </c:pt>
              </c:numCache>
            </c:numRef>
          </c:val>
          <c:extLst>
            <c:ext xmlns:c16="http://schemas.microsoft.com/office/drawing/2014/chart" uri="{C3380CC4-5D6E-409C-BE32-E72D297353CC}">
              <c16:uniqueId val="{00000001-8211-384D-9F4E-576C3FB1A4B5}"/>
            </c:ext>
          </c:extLst>
        </c:ser>
        <c:dLbls>
          <c:showLegendKey val="0"/>
          <c:showVal val="0"/>
          <c:showCatName val="0"/>
          <c:showSerName val="0"/>
          <c:showPercent val="0"/>
          <c:showBubbleSize val="0"/>
        </c:dLbls>
        <c:gapWidth val="219"/>
        <c:overlap val="-27"/>
        <c:axId val="132638976"/>
        <c:axId val="132653056"/>
      </c:barChart>
      <c:catAx>
        <c:axId val="132638976"/>
        <c:scaling>
          <c:orientation val="minMax"/>
        </c:scaling>
        <c:delete val="0"/>
        <c:axPos val="b"/>
        <c:numFmt formatCode="General" sourceLinked="1"/>
        <c:majorTickMark val="out"/>
        <c:minorTickMark val="none"/>
        <c:tickLblPos val="nextTo"/>
        <c:spPr>
          <a:noFill/>
          <a:ln w="9525" cap="flat" cmpd="sng" algn="ctr">
            <a:solidFill>
              <a:schemeClr val="tx1">
                <a:lumMod val="50000"/>
                <a:lumOff val="50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32653056"/>
        <c:crosses val="autoZero"/>
        <c:auto val="1"/>
        <c:lblAlgn val="ctr"/>
        <c:lblOffset val="100"/>
        <c:noMultiLvlLbl val="0"/>
      </c:catAx>
      <c:valAx>
        <c:axId val="132653056"/>
        <c:scaling>
          <c:orientation val="minMax"/>
        </c:scaling>
        <c:delete val="0"/>
        <c:axPos val="l"/>
        <c:title>
          <c:tx>
            <c:rich>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Average Price (TZS/Litre)</a:t>
                </a:r>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_-* #,##0_-;\-* #,##0_-;_-* &quot;-&quot;??_-;_-@_-" sourceLinked="1"/>
        <c:majorTickMark val="out"/>
        <c:minorTickMark val="none"/>
        <c:tickLblPos val="nextTo"/>
        <c:spPr>
          <a:noFill/>
          <a:ln w="3175">
            <a:solidFill>
              <a:schemeClr val="tx1">
                <a:lumMod val="50000"/>
                <a:lumOff val="50000"/>
              </a:schemeClr>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326389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50000"/>
          <a:lumOff val="50000"/>
        </a:schemeClr>
      </a:solid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9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233459044072399"/>
          <c:y val="5.0851700306020702E-2"/>
          <c:w val="0.83323497388477741"/>
          <c:h val="0.66559734573888063"/>
        </c:manualLayout>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Sheet2!$B$4:$B$8</c:f>
              <c:strCache>
                <c:ptCount val="5"/>
                <c:pt idx="0">
                  <c:v>Neighbour</c:v>
                </c:pt>
                <c:pt idx="1">
                  <c:v>Private Business People</c:v>
                </c:pt>
                <c:pt idx="2">
                  <c:v>Open Market</c:v>
                </c:pt>
                <c:pt idx="3">
                  <c:v>Auction</c:v>
                </c:pt>
                <c:pt idx="4">
                  <c:v>Others</c:v>
                </c:pt>
              </c:strCache>
            </c:strRef>
          </c:cat>
          <c:val>
            <c:numRef>
              <c:f>Sheet2!$C$4:$C$8</c:f>
              <c:numCache>
                <c:formatCode>_-* #,##0.0_-;\-* #,##0.0_-;_-* "-"_-;_-@_-</c:formatCode>
                <c:ptCount val="5"/>
                <c:pt idx="0">
                  <c:v>49.266655263833059</c:v>
                </c:pt>
                <c:pt idx="1">
                  <c:v>30.650816727956897</c:v>
                </c:pt>
                <c:pt idx="2">
                  <c:v>7.3804840502864959</c:v>
                </c:pt>
                <c:pt idx="3">
                  <c:v>6.6514153767211148</c:v>
                </c:pt>
                <c:pt idx="4">
                  <c:v>6.0506285812024281</c:v>
                </c:pt>
              </c:numCache>
            </c:numRef>
          </c:val>
          <c:extLst>
            <c:ext xmlns:c16="http://schemas.microsoft.com/office/drawing/2014/chart" uri="{C3380CC4-5D6E-409C-BE32-E72D297353CC}">
              <c16:uniqueId val="{00000000-0BF7-F645-A2D3-AD249C5B2F00}"/>
            </c:ext>
          </c:extLst>
        </c:ser>
        <c:dLbls>
          <c:showLegendKey val="0"/>
          <c:showVal val="0"/>
          <c:showCatName val="0"/>
          <c:showSerName val="0"/>
          <c:showPercent val="0"/>
          <c:showBubbleSize val="0"/>
        </c:dLbls>
        <c:gapWidth val="150"/>
        <c:axId val="132665728"/>
        <c:axId val="132667648"/>
      </c:barChart>
      <c:catAx>
        <c:axId val="132665728"/>
        <c:scaling>
          <c:orientation val="minMax"/>
        </c:scaling>
        <c:delete val="0"/>
        <c:axPos val="b"/>
        <c:title>
          <c:tx>
            <c:rich>
              <a:bodyPr/>
              <a:lstStyle/>
              <a:p>
                <a:pPr>
                  <a:defRPr/>
                </a:pPr>
                <a:r>
                  <a:rPr lang="en-US"/>
                  <a:t>Main Market</a:t>
                </a:r>
              </a:p>
            </c:rich>
          </c:tx>
          <c:layout>
            <c:manualLayout>
              <c:xMode val="edge"/>
              <c:yMode val="edge"/>
              <c:x val="0.43874922803767175"/>
              <c:y val="0.833724842327903"/>
            </c:manualLayout>
          </c:layout>
          <c:overlay val="0"/>
        </c:title>
        <c:numFmt formatCode="General" sourceLinked="0"/>
        <c:majorTickMark val="out"/>
        <c:minorTickMark val="none"/>
        <c:tickLblPos val="nextTo"/>
        <c:crossAx val="132667648"/>
        <c:crosses val="autoZero"/>
        <c:auto val="1"/>
        <c:lblAlgn val="ctr"/>
        <c:lblOffset val="100"/>
        <c:noMultiLvlLbl val="0"/>
      </c:catAx>
      <c:valAx>
        <c:axId val="132667648"/>
        <c:scaling>
          <c:orientation val="minMax"/>
        </c:scaling>
        <c:delete val="0"/>
        <c:axPos val="l"/>
        <c:title>
          <c:tx>
            <c:rich>
              <a:bodyPr/>
              <a:lstStyle/>
              <a:p>
                <a:pPr>
                  <a:defRPr/>
                </a:pPr>
                <a:r>
                  <a:rPr lang="en-US"/>
                  <a:t>Percent</a:t>
                </a:r>
              </a:p>
            </c:rich>
          </c:tx>
          <c:layout>
            <c:manualLayout>
              <c:xMode val="edge"/>
              <c:yMode val="edge"/>
              <c:x val="4.9173307244410082E-2"/>
              <c:y val="0.35402394577998703"/>
            </c:manualLayout>
          </c:layout>
          <c:overlay val="0"/>
        </c:title>
        <c:numFmt formatCode="#,##0" sourceLinked="0"/>
        <c:majorTickMark val="out"/>
        <c:minorTickMark val="none"/>
        <c:tickLblPos val="nextTo"/>
        <c:crossAx val="132665728"/>
        <c:crosses val="autoZero"/>
        <c:crossBetween val="between"/>
      </c:valAx>
    </c:plotArea>
    <c:plotVisOnly val="1"/>
    <c:dispBlanksAs val="gap"/>
    <c:showDLblsOverMax val="0"/>
  </c:chart>
  <c:spPr>
    <a:ln>
      <a:solidFill>
        <a:schemeClr val="tx1">
          <a:lumMod val="50000"/>
          <a:lumOff val="50000"/>
        </a:schemeClr>
      </a:solidFill>
    </a:ln>
  </c:spPr>
  <c:txPr>
    <a:bodyPr/>
    <a:lstStyle/>
    <a:p>
      <a:pPr>
        <a:defRPr sz="800" b="0">
          <a:latin typeface="Times New Roman" pitchFamily="18" charset="0"/>
          <a:cs typeface="Times New Roman" pitchFamily="18" charset="0"/>
        </a:defRPr>
      </a:pPr>
      <a:endParaRPr lang="en-US"/>
    </a:p>
  </c:txPr>
  <c:externalData r:id="rId1">
    <c:autoUpdate val="0"/>
  </c:externalData>
</c:chartSpace>
</file>

<file path=word/charts/chart19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3413220519672"/>
          <c:y val="4.4994375703037097E-2"/>
          <c:w val="0.81740132029946055"/>
          <c:h val="0.56302726357988209"/>
        </c:manualLayout>
      </c:layout>
      <c:barChart>
        <c:barDir val="col"/>
        <c:grouping val="clustered"/>
        <c:varyColors val="0"/>
        <c:ser>
          <c:idx val="0"/>
          <c:order val="0"/>
          <c:tx>
            <c:strRef>
              <c:f>'main market for honey sales'!$B$57</c:f>
              <c:strCache>
                <c:ptCount val="1"/>
                <c:pt idx="0">
                  <c:v>Small bee</c:v>
                </c:pt>
              </c:strCache>
            </c:strRef>
          </c:tx>
          <c:spPr>
            <a:solidFill>
              <a:schemeClr val="accent6"/>
            </a:solidFill>
            <a:ln>
              <a:noFill/>
            </a:ln>
            <a:effectLst/>
          </c:spPr>
          <c:invertIfNegative val="0"/>
          <c:cat>
            <c:strRef>
              <c:f>'main market for honey sales'!$A$58:$A$83</c:f>
              <c:strCache>
                <c:ptCount val="26"/>
                <c:pt idx="0">
                  <c:v>Singida</c:v>
                </c:pt>
                <c:pt idx="1">
                  <c:v>Tanga</c:v>
                </c:pt>
                <c:pt idx="2">
                  <c:v>Mbeya</c:v>
                </c:pt>
                <c:pt idx="3">
                  <c:v>Arusha</c:v>
                </c:pt>
                <c:pt idx="4">
                  <c:v>Iringa</c:v>
                </c:pt>
                <c:pt idx="5">
                  <c:v>Kagera</c:v>
                </c:pt>
                <c:pt idx="6">
                  <c:v>Manyara</c:v>
                </c:pt>
                <c:pt idx="7">
                  <c:v>Dodoma</c:v>
                </c:pt>
                <c:pt idx="8">
                  <c:v>Njombe</c:v>
                </c:pt>
                <c:pt idx="9">
                  <c:v>Ruvuma</c:v>
                </c:pt>
                <c:pt idx="10">
                  <c:v>Rukwa</c:v>
                </c:pt>
                <c:pt idx="11">
                  <c:v>Songwe</c:v>
                </c:pt>
                <c:pt idx="12">
                  <c:v>Pwani</c:v>
                </c:pt>
                <c:pt idx="13">
                  <c:v>Mara</c:v>
                </c:pt>
                <c:pt idx="14">
                  <c:v>Morogoro</c:v>
                </c:pt>
                <c:pt idx="15">
                  <c:v>Tabora</c:v>
                </c:pt>
                <c:pt idx="16">
                  <c:v>Kigoma</c:v>
                </c:pt>
                <c:pt idx="17">
                  <c:v>Lindi</c:v>
                </c:pt>
                <c:pt idx="18">
                  <c:v>Simiyu</c:v>
                </c:pt>
                <c:pt idx="19">
                  <c:v>Katavi</c:v>
                </c:pt>
                <c:pt idx="20">
                  <c:v>Kilimanjaro</c:v>
                </c:pt>
                <c:pt idx="21">
                  <c:v>Dar es Salaam</c:v>
                </c:pt>
                <c:pt idx="22">
                  <c:v>Mtwara</c:v>
                </c:pt>
                <c:pt idx="23">
                  <c:v>Shinyanga</c:v>
                </c:pt>
                <c:pt idx="24">
                  <c:v>Mwanza</c:v>
                </c:pt>
                <c:pt idx="25">
                  <c:v>Geita</c:v>
                </c:pt>
              </c:strCache>
            </c:strRef>
          </c:cat>
          <c:val>
            <c:numRef>
              <c:f>'main market for honey sales'!$B$58:$B$83</c:f>
              <c:numCache>
                <c:formatCode>_(* #,##0_);_(* \(#,##0\);_(* "-"_);_(@_)</c:formatCode>
                <c:ptCount val="26"/>
                <c:pt idx="0">
                  <c:v>204</c:v>
                </c:pt>
                <c:pt idx="1">
                  <c:v>492</c:v>
                </c:pt>
                <c:pt idx="2">
                  <c:v>301</c:v>
                </c:pt>
                <c:pt idx="3">
                  <c:v>143</c:v>
                </c:pt>
                <c:pt idx="4">
                  <c:v>631</c:v>
                </c:pt>
                <c:pt idx="5">
                  <c:v>0</c:v>
                </c:pt>
                <c:pt idx="6">
                  <c:v>640</c:v>
                </c:pt>
                <c:pt idx="7">
                  <c:v>623</c:v>
                </c:pt>
                <c:pt idx="8">
                  <c:v>432</c:v>
                </c:pt>
                <c:pt idx="9">
                  <c:v>211</c:v>
                </c:pt>
                <c:pt idx="10">
                  <c:v>0</c:v>
                </c:pt>
                <c:pt idx="11">
                  <c:v>328</c:v>
                </c:pt>
                <c:pt idx="12">
                  <c:v>98</c:v>
                </c:pt>
                <c:pt idx="13">
                  <c:v>162</c:v>
                </c:pt>
                <c:pt idx="14">
                  <c:v>123</c:v>
                </c:pt>
                <c:pt idx="15">
                  <c:v>0</c:v>
                </c:pt>
                <c:pt idx="16">
                  <c:v>0</c:v>
                </c:pt>
                <c:pt idx="17">
                  <c:v>0</c:v>
                </c:pt>
                <c:pt idx="18">
                  <c:v>0</c:v>
                </c:pt>
                <c:pt idx="19">
                  <c:v>83</c:v>
                </c:pt>
                <c:pt idx="20">
                  <c:v>1054</c:v>
                </c:pt>
                <c:pt idx="21">
                  <c:v>0</c:v>
                </c:pt>
                <c:pt idx="22">
                  <c:v>0</c:v>
                </c:pt>
                <c:pt idx="23">
                  <c:v>0</c:v>
                </c:pt>
                <c:pt idx="24">
                  <c:v>0</c:v>
                </c:pt>
                <c:pt idx="25">
                  <c:v>0</c:v>
                </c:pt>
              </c:numCache>
            </c:numRef>
          </c:val>
          <c:extLst>
            <c:ext xmlns:c16="http://schemas.microsoft.com/office/drawing/2014/chart" uri="{C3380CC4-5D6E-409C-BE32-E72D297353CC}">
              <c16:uniqueId val="{00000000-8031-EB42-B906-D48302B2D8E6}"/>
            </c:ext>
          </c:extLst>
        </c:ser>
        <c:ser>
          <c:idx val="1"/>
          <c:order val="1"/>
          <c:tx>
            <c:strRef>
              <c:f>'main market for honey sales'!$C$57</c:f>
              <c:strCache>
                <c:ptCount val="1"/>
                <c:pt idx="0">
                  <c:v>large Bee</c:v>
                </c:pt>
              </c:strCache>
            </c:strRef>
          </c:tx>
          <c:spPr>
            <a:solidFill>
              <a:srgbClr val="0070C0"/>
            </a:solidFill>
            <a:ln>
              <a:noFill/>
            </a:ln>
            <a:effectLst/>
          </c:spPr>
          <c:invertIfNegative val="0"/>
          <c:cat>
            <c:strRef>
              <c:f>'main market for honey sales'!$A$58:$A$83</c:f>
              <c:strCache>
                <c:ptCount val="26"/>
                <c:pt idx="0">
                  <c:v>Singida</c:v>
                </c:pt>
                <c:pt idx="1">
                  <c:v>Tanga</c:v>
                </c:pt>
                <c:pt idx="2">
                  <c:v>Mbeya</c:v>
                </c:pt>
                <c:pt idx="3">
                  <c:v>Arusha</c:v>
                </c:pt>
                <c:pt idx="4">
                  <c:v>Iringa</c:v>
                </c:pt>
                <c:pt idx="5">
                  <c:v>Kagera</c:v>
                </c:pt>
                <c:pt idx="6">
                  <c:v>Manyara</c:v>
                </c:pt>
                <c:pt idx="7">
                  <c:v>Dodoma</c:v>
                </c:pt>
                <c:pt idx="8">
                  <c:v>Njombe</c:v>
                </c:pt>
                <c:pt idx="9">
                  <c:v>Ruvuma</c:v>
                </c:pt>
                <c:pt idx="10">
                  <c:v>Rukwa</c:v>
                </c:pt>
                <c:pt idx="11">
                  <c:v>Songwe</c:v>
                </c:pt>
                <c:pt idx="12">
                  <c:v>Pwani</c:v>
                </c:pt>
                <c:pt idx="13">
                  <c:v>Mara</c:v>
                </c:pt>
                <c:pt idx="14">
                  <c:v>Morogoro</c:v>
                </c:pt>
                <c:pt idx="15">
                  <c:v>Tabora</c:v>
                </c:pt>
                <c:pt idx="16">
                  <c:v>Kigoma</c:v>
                </c:pt>
                <c:pt idx="17">
                  <c:v>Lindi</c:v>
                </c:pt>
                <c:pt idx="18">
                  <c:v>Simiyu</c:v>
                </c:pt>
                <c:pt idx="19">
                  <c:v>Katavi</c:v>
                </c:pt>
                <c:pt idx="20">
                  <c:v>Kilimanjaro</c:v>
                </c:pt>
                <c:pt idx="21">
                  <c:v>Dar es Salaam</c:v>
                </c:pt>
                <c:pt idx="22">
                  <c:v>Mtwara</c:v>
                </c:pt>
                <c:pt idx="23">
                  <c:v>Shinyanga</c:v>
                </c:pt>
                <c:pt idx="24">
                  <c:v>Mwanza</c:v>
                </c:pt>
                <c:pt idx="25">
                  <c:v>Geita</c:v>
                </c:pt>
              </c:strCache>
            </c:strRef>
          </c:cat>
          <c:val>
            <c:numRef>
              <c:f>'main market for honey sales'!$C$58:$C$83</c:f>
              <c:numCache>
                <c:formatCode>_(* #,##0_);_(* \(#,##0\);_(* "-"_);_(@_)</c:formatCode>
                <c:ptCount val="26"/>
                <c:pt idx="0">
                  <c:v>3659</c:v>
                </c:pt>
                <c:pt idx="1">
                  <c:v>1849</c:v>
                </c:pt>
                <c:pt idx="2">
                  <c:v>1812</c:v>
                </c:pt>
                <c:pt idx="3">
                  <c:v>1374</c:v>
                </c:pt>
                <c:pt idx="4">
                  <c:v>1192</c:v>
                </c:pt>
                <c:pt idx="5">
                  <c:v>1015</c:v>
                </c:pt>
                <c:pt idx="6">
                  <c:v>947</c:v>
                </c:pt>
                <c:pt idx="7">
                  <c:v>883</c:v>
                </c:pt>
                <c:pt idx="8">
                  <c:v>747</c:v>
                </c:pt>
                <c:pt idx="9">
                  <c:v>627</c:v>
                </c:pt>
                <c:pt idx="10">
                  <c:v>593</c:v>
                </c:pt>
                <c:pt idx="11">
                  <c:v>576</c:v>
                </c:pt>
                <c:pt idx="12">
                  <c:v>392</c:v>
                </c:pt>
                <c:pt idx="13">
                  <c:v>318</c:v>
                </c:pt>
                <c:pt idx="14">
                  <c:v>271</c:v>
                </c:pt>
                <c:pt idx="15">
                  <c:v>243</c:v>
                </c:pt>
                <c:pt idx="16">
                  <c:v>228</c:v>
                </c:pt>
                <c:pt idx="17">
                  <c:v>180</c:v>
                </c:pt>
                <c:pt idx="18">
                  <c:v>174</c:v>
                </c:pt>
                <c:pt idx="19">
                  <c:v>134</c:v>
                </c:pt>
                <c:pt idx="20">
                  <c:v>0</c:v>
                </c:pt>
                <c:pt idx="21">
                  <c:v>0</c:v>
                </c:pt>
                <c:pt idx="22">
                  <c:v>0</c:v>
                </c:pt>
                <c:pt idx="23">
                  <c:v>0</c:v>
                </c:pt>
                <c:pt idx="24">
                  <c:v>0</c:v>
                </c:pt>
                <c:pt idx="25">
                  <c:v>0</c:v>
                </c:pt>
              </c:numCache>
            </c:numRef>
          </c:val>
          <c:extLst>
            <c:ext xmlns:c16="http://schemas.microsoft.com/office/drawing/2014/chart" uri="{C3380CC4-5D6E-409C-BE32-E72D297353CC}">
              <c16:uniqueId val="{00000001-8031-EB42-B906-D48302B2D8E6}"/>
            </c:ext>
          </c:extLst>
        </c:ser>
        <c:dLbls>
          <c:showLegendKey val="0"/>
          <c:showVal val="0"/>
          <c:showCatName val="0"/>
          <c:showSerName val="0"/>
          <c:showPercent val="0"/>
          <c:showBubbleSize val="0"/>
        </c:dLbls>
        <c:gapWidth val="219"/>
        <c:overlap val="-27"/>
        <c:axId val="133115264"/>
        <c:axId val="133117440"/>
      </c:barChart>
      <c:catAx>
        <c:axId val="133115264"/>
        <c:scaling>
          <c:orientation val="minMax"/>
        </c:scaling>
        <c:delete val="0"/>
        <c:axPos val="b"/>
        <c:title>
          <c:tx>
            <c:rich>
              <a:bodyPr/>
              <a:lstStyle/>
              <a:p>
                <a:pPr>
                  <a:defRPr b="0"/>
                </a:pPr>
                <a:r>
                  <a:rPr lang="en-US" b="0"/>
                  <a:t>Region</a:t>
                </a:r>
              </a:p>
            </c:rich>
          </c:tx>
          <c:layout>
            <c:manualLayout>
              <c:xMode val="edge"/>
              <c:yMode val="edge"/>
              <c:x val="0.46543109230520413"/>
              <c:y val="0.78726340309823473"/>
            </c:manualLayout>
          </c:layout>
          <c:overlay val="0"/>
          <c:spPr>
            <a:noFill/>
            <a:ln>
              <a:noFill/>
            </a:ln>
            <a:effectLst/>
          </c:spPr>
        </c:title>
        <c:numFmt formatCode="General" sourceLinked="1"/>
        <c:majorTickMark val="out"/>
        <c:minorTickMark val="none"/>
        <c:tickLblPos val="nextTo"/>
        <c:spPr>
          <a:noFill/>
          <a:ln w="6350" cap="flat" cmpd="sng" algn="ctr">
            <a:solidFill>
              <a:sysClr val="windowText" lastClr="000000">
                <a:lumMod val="50000"/>
                <a:lumOff val="50000"/>
              </a:sysClr>
            </a:solidFill>
            <a:round/>
          </a:ln>
          <a:effectLst/>
        </c:spPr>
        <c:txPr>
          <a:bodyPr rot="-5400000" vert="horz"/>
          <a:lstStyle/>
          <a:p>
            <a:pPr>
              <a:defRPr/>
            </a:pPr>
            <a:endParaRPr lang="en-US"/>
          </a:p>
        </c:txPr>
        <c:crossAx val="133117440"/>
        <c:crosses val="autoZero"/>
        <c:auto val="1"/>
        <c:lblAlgn val="ctr"/>
        <c:lblOffset val="100"/>
        <c:noMultiLvlLbl val="0"/>
      </c:catAx>
      <c:valAx>
        <c:axId val="133117440"/>
        <c:scaling>
          <c:orientation val="minMax"/>
        </c:scaling>
        <c:delete val="0"/>
        <c:axPos val="l"/>
        <c:title>
          <c:tx>
            <c:rich>
              <a:bodyPr/>
              <a:lstStyle/>
              <a:p>
                <a:pPr>
                  <a:defRPr b="0"/>
                </a:pPr>
                <a:r>
                  <a:rPr lang="en-US" b="0"/>
                  <a:t>Household</a:t>
                </a:r>
              </a:p>
            </c:rich>
          </c:tx>
          <c:overlay val="0"/>
          <c:spPr>
            <a:noFill/>
            <a:ln>
              <a:noFill/>
            </a:ln>
            <a:effectLst/>
          </c:spPr>
        </c:title>
        <c:numFmt formatCode="_(* #,##0_);_(* \(#,##0\);_(* &quot;-&quot;_);_(@_)" sourceLinked="1"/>
        <c:majorTickMark val="out"/>
        <c:minorTickMark val="none"/>
        <c:tickLblPos val="nextTo"/>
        <c:spPr>
          <a:noFill/>
          <a:ln>
            <a:solidFill>
              <a:sysClr val="windowText" lastClr="000000">
                <a:lumMod val="50000"/>
                <a:lumOff val="50000"/>
              </a:sysClr>
            </a:solidFill>
          </a:ln>
          <a:effectLst/>
        </c:spPr>
        <c:txPr>
          <a:bodyPr rot="-60000000" vert="horz"/>
          <a:lstStyle/>
          <a:p>
            <a:pPr>
              <a:defRPr/>
            </a:pPr>
            <a:endParaRPr lang="en-US"/>
          </a:p>
        </c:txPr>
        <c:crossAx val="133115264"/>
        <c:crosses val="autoZero"/>
        <c:crossBetween val="between"/>
      </c:valAx>
      <c:spPr>
        <a:noFill/>
        <a:ln w="25385">
          <a:noFill/>
        </a:ln>
      </c:spPr>
    </c:plotArea>
    <c:legend>
      <c:legendPos val="b"/>
      <c:overlay val="0"/>
      <c:spPr>
        <a:noFill/>
        <a:ln>
          <a:noFill/>
        </a:ln>
        <a:effectLst/>
      </c:spPr>
      <c:txPr>
        <a:bodyPr rot="0" vert="horz"/>
        <a:lstStyle/>
        <a:p>
          <a:pPr>
            <a:defRPr/>
          </a:pPr>
          <a:endParaRPr lang="en-US"/>
        </a:p>
      </c:txPr>
    </c:legend>
    <c:plotVisOnly val="1"/>
    <c:dispBlanksAs val="gap"/>
    <c:showDLblsOverMax val="0"/>
  </c:chart>
  <c:spPr>
    <a:solidFill>
      <a:schemeClr val="bg1"/>
    </a:solidFill>
    <a:ln w="9519" cap="flat" cmpd="sng" algn="ctr">
      <a:solidFill>
        <a:sysClr val="windowText" lastClr="000000">
          <a:lumMod val="50000"/>
          <a:lumOff val="50000"/>
        </a:sysClr>
      </a:solidFill>
      <a:round/>
    </a:ln>
    <a:effectLst/>
  </c:spPr>
  <c:txPr>
    <a:bodyPr/>
    <a:lstStyle/>
    <a:p>
      <a:pPr>
        <a:defRPr sz="800">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9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6527777777777777"/>
          <c:y val="0.10940818964793581"/>
          <c:w val="0.72499999999999998"/>
          <c:h val="0.69589577422225202"/>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DC2A-D449-8F81-F7265CCDBBB2}"/>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DC2A-D449-8F81-F7265CCDBBB2}"/>
              </c:ext>
            </c:extLst>
          </c:dPt>
          <c:dLbls>
            <c:dLbl>
              <c:idx val="0"/>
              <c:layout>
                <c:manualLayout>
                  <c:x val="2.7777777777777776E-2"/>
                  <c:y val="4.2643923240938013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DC2A-D449-8F81-F7265CCDBBB2}"/>
                </c:ext>
              </c:extLst>
            </c:dLbl>
            <c:dLbl>
              <c:idx val="1"/>
              <c:layout>
                <c:manualLayout>
                  <c:x val="-0.11563737133808392"/>
                  <c:y val="5.3944706675657449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DC2A-D449-8F81-F7265CCDBBB2}"/>
                </c:ext>
              </c:extLst>
            </c:dLbl>
            <c:numFmt formatCode="0.0%" sourceLinked="0"/>
            <c:spPr>
              <a:noFill/>
              <a:ln>
                <a:noFill/>
              </a:ln>
              <a:effectLst/>
            </c:spPr>
            <c:txPr>
              <a:bodyPr rot="0" spcFirstLastPara="1" vertOverflow="ellipsis" vert="horz" wrap="square" anchor="ctr" anchorCtr="1"/>
              <a:lstStyle/>
              <a:p>
                <a:pPr>
                  <a:defRPr sz="7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Sheet1!$B$5:$C$5</c:f>
              <c:strCache>
                <c:ptCount val="2"/>
                <c:pt idx="0">
                  <c:v>Neighbour</c:v>
                </c:pt>
                <c:pt idx="1">
                  <c:v>Private Business People</c:v>
                </c:pt>
              </c:strCache>
            </c:strRef>
          </c:cat>
          <c:val>
            <c:numRef>
              <c:f>Sheet1!$B$6:$C$6</c:f>
              <c:numCache>
                <c:formatCode>0.0</c:formatCode>
                <c:ptCount val="2"/>
                <c:pt idx="0">
                  <c:v>74.463007159904521</c:v>
                </c:pt>
                <c:pt idx="1">
                  <c:v>25.536992840095461</c:v>
                </c:pt>
              </c:numCache>
            </c:numRef>
          </c:val>
          <c:extLst>
            <c:ext xmlns:c16="http://schemas.microsoft.com/office/drawing/2014/chart" uri="{C3380CC4-5D6E-409C-BE32-E72D297353CC}">
              <c16:uniqueId val="{00000004-DC2A-D449-8F81-F7265CCDBBB2}"/>
            </c:ext>
          </c:extLst>
        </c:ser>
        <c:dLbls>
          <c:dLblPos val="outEnd"/>
          <c:showLegendKey val="0"/>
          <c:showVal val="1"/>
          <c:showCatName val="0"/>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50000"/>
          <a:lumOff val="50000"/>
        </a:schemeClr>
      </a:solidFill>
      <a:round/>
    </a:ln>
    <a:effectLst/>
  </c:spPr>
  <c:txPr>
    <a:bodyPr/>
    <a:lstStyle/>
    <a:p>
      <a:pPr>
        <a:defRPr sz="75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9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1517799616133252E-2"/>
          <c:y val="6.1521252796420581E-2"/>
          <c:w val="0.88479572320901745"/>
          <c:h val="0.61112006552872167"/>
        </c:manualLayout>
      </c:layout>
      <c:barChart>
        <c:barDir val="col"/>
        <c:grouping val="clustered"/>
        <c:varyColors val="0"/>
        <c:ser>
          <c:idx val="0"/>
          <c:order val="0"/>
          <c:tx>
            <c:strRef>
              <c:f>'13.1'!$J$4</c:f>
              <c:strCache>
                <c:ptCount val="1"/>
                <c:pt idx="0">
                  <c:v>Percent</c:v>
                </c:pt>
              </c:strCache>
            </c:strRef>
          </c:tx>
          <c:spPr>
            <a:solidFill>
              <a:srgbClr val="00B050"/>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'13.1'!$I$5:$I$30</c:f>
              <c:strCache>
                <c:ptCount val="26"/>
                <c:pt idx="0">
                  <c:v>Tabora</c:v>
                </c:pt>
                <c:pt idx="1">
                  <c:v>Mbeya</c:v>
                </c:pt>
                <c:pt idx="2">
                  <c:v>Iringa</c:v>
                </c:pt>
                <c:pt idx="3">
                  <c:v>Ruvuma</c:v>
                </c:pt>
                <c:pt idx="4">
                  <c:v>Songwe</c:v>
                </c:pt>
                <c:pt idx="5">
                  <c:v>Shinyanga</c:v>
                </c:pt>
                <c:pt idx="6">
                  <c:v>Morogoro</c:v>
                </c:pt>
                <c:pt idx="7">
                  <c:v>Mwanza</c:v>
                </c:pt>
                <c:pt idx="8">
                  <c:v>Geita</c:v>
                </c:pt>
                <c:pt idx="9">
                  <c:v>Simiyu</c:v>
                </c:pt>
                <c:pt idx="10">
                  <c:v>Rukwa</c:v>
                </c:pt>
                <c:pt idx="11">
                  <c:v>Dodoma</c:v>
                </c:pt>
                <c:pt idx="12">
                  <c:v>Mtwara</c:v>
                </c:pt>
                <c:pt idx="13">
                  <c:v>Kilimanjaro</c:v>
                </c:pt>
                <c:pt idx="14">
                  <c:v>Kagera</c:v>
                </c:pt>
                <c:pt idx="15">
                  <c:v>Singida</c:v>
                </c:pt>
                <c:pt idx="16">
                  <c:v>Njombe</c:v>
                </c:pt>
                <c:pt idx="17">
                  <c:v>Arusha</c:v>
                </c:pt>
                <c:pt idx="18">
                  <c:v>Lindi</c:v>
                </c:pt>
                <c:pt idx="19">
                  <c:v>Dar-es-salaam</c:v>
                </c:pt>
                <c:pt idx="20">
                  <c:v>Kigoma</c:v>
                </c:pt>
                <c:pt idx="21">
                  <c:v>Manyara</c:v>
                </c:pt>
                <c:pt idx="22">
                  <c:v>Pwani</c:v>
                </c:pt>
                <c:pt idx="23">
                  <c:v>Katavi</c:v>
                </c:pt>
                <c:pt idx="24">
                  <c:v>Mara</c:v>
                </c:pt>
                <c:pt idx="25">
                  <c:v>Tanga</c:v>
                </c:pt>
              </c:strCache>
            </c:strRef>
          </c:cat>
          <c:val>
            <c:numRef>
              <c:f>'13.1'!$J$5:$J$30</c:f>
              <c:numCache>
                <c:formatCode>0.0</c:formatCode>
                <c:ptCount val="26"/>
                <c:pt idx="0">
                  <c:v>11.1185939835415</c:v>
                </c:pt>
                <c:pt idx="1">
                  <c:v>9.3899359183603348</c:v>
                </c:pt>
                <c:pt idx="2">
                  <c:v>7.3561599120380716</c:v>
                </c:pt>
                <c:pt idx="3">
                  <c:v>6.0941123919803459</c:v>
                </c:pt>
                <c:pt idx="4">
                  <c:v>5.906506090332778</c:v>
                </c:pt>
                <c:pt idx="5">
                  <c:v>5.65567715223255</c:v>
                </c:pt>
                <c:pt idx="6">
                  <c:v>5.5426323294449125</c:v>
                </c:pt>
                <c:pt idx="7">
                  <c:v>4.3613311113783571</c:v>
                </c:pt>
                <c:pt idx="8">
                  <c:v>4.3328122047176461</c:v>
                </c:pt>
                <c:pt idx="9">
                  <c:v>4.0795780576219354</c:v>
                </c:pt>
                <c:pt idx="10">
                  <c:v>4.0785472537667289</c:v>
                </c:pt>
                <c:pt idx="11">
                  <c:v>4.0651468036490455</c:v>
                </c:pt>
                <c:pt idx="12">
                  <c:v>3.6188087343446664</c:v>
                </c:pt>
                <c:pt idx="13">
                  <c:v>3.2099232051127871</c:v>
                </c:pt>
                <c:pt idx="14">
                  <c:v>3.066297867954026</c:v>
                </c:pt>
                <c:pt idx="15">
                  <c:v>2.8958716305598986</c:v>
                </c:pt>
                <c:pt idx="16">
                  <c:v>2.6763104094009313</c:v>
                </c:pt>
                <c:pt idx="17">
                  <c:v>2.5728864225952206</c:v>
                </c:pt>
                <c:pt idx="18">
                  <c:v>2.1883965846032263</c:v>
                </c:pt>
                <c:pt idx="19">
                  <c:v>2.0873778067929973</c:v>
                </c:pt>
                <c:pt idx="20">
                  <c:v>1.435909770302541</c:v>
                </c:pt>
                <c:pt idx="21">
                  <c:v>1.287130413867748</c:v>
                </c:pt>
                <c:pt idx="22">
                  <c:v>0.95074475578538664</c:v>
                </c:pt>
                <c:pt idx="23">
                  <c:v>0.86003401652722189</c:v>
                </c:pt>
                <c:pt idx="24">
                  <c:v>0.84044874327829988</c:v>
                </c:pt>
                <c:pt idx="25">
                  <c:v>0.32882642981084748</c:v>
                </c:pt>
              </c:numCache>
            </c:numRef>
          </c:val>
          <c:extLst>
            <c:ext xmlns:c16="http://schemas.microsoft.com/office/drawing/2014/chart" uri="{C3380CC4-5D6E-409C-BE32-E72D297353CC}">
              <c16:uniqueId val="{00000000-FBEF-4BD9-A46A-85D36B6FFB8D}"/>
            </c:ext>
          </c:extLst>
        </c:ser>
        <c:dLbls>
          <c:showLegendKey val="0"/>
          <c:showVal val="0"/>
          <c:showCatName val="0"/>
          <c:showSerName val="0"/>
          <c:showPercent val="0"/>
          <c:showBubbleSize val="0"/>
        </c:dLbls>
        <c:gapWidth val="219"/>
        <c:overlap val="-27"/>
        <c:axId val="132883200"/>
        <c:axId val="132885120"/>
      </c:barChart>
      <c:catAx>
        <c:axId val="132883200"/>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0"/>
                  <a:t>Region</a:t>
                </a:r>
              </a:p>
            </c:rich>
          </c:tx>
          <c:layout>
            <c:manualLayout>
              <c:xMode val="edge"/>
              <c:yMode val="edge"/>
              <c:x val="0.48115933182770759"/>
              <c:y val="0.90858479099508549"/>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chemeClr val="tx1">
                <a:lumMod val="50000"/>
                <a:lumOff val="50000"/>
              </a:schemeClr>
            </a:solidFill>
            <a:round/>
          </a:ln>
          <a:effectLst/>
        </c:spPr>
        <c:txPr>
          <a:bodyPr rot="-5400000" spcFirstLastPara="1" vertOverflow="ellipsis"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32885120"/>
        <c:crosses val="autoZero"/>
        <c:auto val="1"/>
        <c:lblAlgn val="ctr"/>
        <c:lblOffset val="100"/>
        <c:noMultiLvlLbl val="0"/>
      </c:catAx>
      <c:valAx>
        <c:axId val="132885120"/>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0"/>
                  <a:t>Percent</a:t>
                </a:r>
              </a:p>
            </c:rich>
          </c:tx>
          <c:layout>
            <c:manualLayout>
              <c:xMode val="edge"/>
              <c:yMode val="edge"/>
              <c:x val="8.795074758135445E-3"/>
              <c:y val="0.28238006707494895"/>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a:solidFill>
              <a:schemeClr val="tx1">
                <a:lumMod val="50000"/>
                <a:lumOff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328832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19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179980050432695"/>
          <c:y val="8.9430758934718357E-2"/>
          <c:w val="0.76446453481941867"/>
          <c:h val="0.57596184623263558"/>
        </c:manualLayout>
      </c:layout>
      <c:barChart>
        <c:barDir val="col"/>
        <c:grouping val="clustered"/>
        <c:varyColors val="0"/>
        <c:ser>
          <c:idx val="0"/>
          <c:order val="0"/>
          <c:tx>
            <c:strRef>
              <c:f>'13.1'!$J$33</c:f>
              <c:strCache>
                <c:ptCount val="1"/>
                <c:pt idx="0">
                  <c:v>Percent</c:v>
                </c:pt>
              </c:strCache>
            </c:strRef>
          </c:tx>
          <c:spPr>
            <a:solidFill>
              <a:schemeClr val="accent1"/>
            </a:solidFill>
            <a:ln>
              <a:noFill/>
            </a:ln>
            <a:effectLst/>
          </c:spPr>
          <c:invertIfNegative val="0"/>
          <c:dLbls>
            <c:numFmt formatCode="#,##0.0" sourceLinked="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'13.1'!$I$34:$I$38</c:f>
              <c:strCache>
                <c:ptCount val="5"/>
                <c:pt idx="0">
                  <c:v>Kusini Unguja </c:v>
                </c:pt>
                <c:pt idx="1">
                  <c:v>Mjini Magharibi </c:v>
                </c:pt>
                <c:pt idx="2">
                  <c:v>Kusini Pemba</c:v>
                </c:pt>
                <c:pt idx="3">
                  <c:v>Kaskazini Pemba</c:v>
                </c:pt>
                <c:pt idx="4">
                  <c:v>Kaskazini Unguja</c:v>
                </c:pt>
              </c:strCache>
            </c:strRef>
          </c:cat>
          <c:val>
            <c:numRef>
              <c:f>'13.1'!$J$34:$J$38</c:f>
              <c:numCache>
                <c:formatCode>#,##0</c:formatCode>
                <c:ptCount val="5"/>
                <c:pt idx="0">
                  <c:v>44.515768908735701</c:v>
                </c:pt>
                <c:pt idx="1">
                  <c:v>21.546190343287748</c:v>
                </c:pt>
                <c:pt idx="2">
                  <c:v>13.954786491766678</c:v>
                </c:pt>
                <c:pt idx="3">
                  <c:v>10.214903711973207</c:v>
                </c:pt>
                <c:pt idx="4">
                  <c:v>9.7683505442366734</c:v>
                </c:pt>
              </c:numCache>
            </c:numRef>
          </c:val>
          <c:extLst>
            <c:ext xmlns:c16="http://schemas.microsoft.com/office/drawing/2014/chart" uri="{C3380CC4-5D6E-409C-BE32-E72D297353CC}">
              <c16:uniqueId val="{00000005-D0F6-441D-A9BD-9EE4DBBD8A9E}"/>
            </c:ext>
          </c:extLst>
        </c:ser>
        <c:dLbls>
          <c:dLblPos val="outEnd"/>
          <c:showLegendKey val="0"/>
          <c:showVal val="1"/>
          <c:showCatName val="0"/>
          <c:showSerName val="0"/>
          <c:showPercent val="0"/>
          <c:showBubbleSize val="0"/>
        </c:dLbls>
        <c:gapWidth val="219"/>
        <c:overlap val="-27"/>
        <c:axId val="133508096"/>
        <c:axId val="133523712"/>
      </c:barChart>
      <c:catAx>
        <c:axId val="133508096"/>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Region</a:t>
                </a:r>
              </a:p>
            </c:rich>
          </c:tx>
          <c:layout>
            <c:manualLayout>
              <c:xMode val="edge"/>
              <c:yMode val="edge"/>
              <c:x val="0.46240600341686872"/>
              <c:y val="0.9006501531058617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chemeClr val="tx1">
                <a:lumMod val="50000"/>
                <a:lumOff val="50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33523712"/>
        <c:crosses val="autoZero"/>
        <c:auto val="1"/>
        <c:lblAlgn val="ctr"/>
        <c:lblOffset val="100"/>
        <c:noMultiLvlLbl val="0"/>
      </c:catAx>
      <c:valAx>
        <c:axId val="133523712"/>
        <c:scaling>
          <c:orientation val="minMax"/>
        </c:scaling>
        <c:delete val="0"/>
        <c:axPos val="l"/>
        <c:title>
          <c:tx>
            <c:rich>
              <a:bodyPr rot="-54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Percent</a:t>
                </a:r>
              </a:p>
            </c:rich>
          </c:tx>
          <c:layout>
            <c:manualLayout>
              <c:xMode val="edge"/>
              <c:yMode val="edge"/>
              <c:x val="4.2032002529957042E-2"/>
              <c:y val="0.2342787062149968"/>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1"/>
        <c:majorTickMark val="out"/>
        <c:minorTickMark val="none"/>
        <c:tickLblPos val="nextTo"/>
        <c:spPr>
          <a:noFill/>
          <a:ln>
            <a:solidFill>
              <a:schemeClr val="tx1">
                <a:lumMod val="50000"/>
                <a:lumOff val="50000"/>
              </a:schemeClr>
            </a:solid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33508096"/>
        <c:crosses val="autoZero"/>
        <c:crossBetween val="between"/>
        <c:majorUnit val="1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90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5264524018087167"/>
          <c:y val="0.12300572576942734"/>
          <c:w val="0.69880704063805177"/>
          <c:h val="0.67148029763606287"/>
        </c:manualLayout>
      </c:layout>
      <c:pie3DChart>
        <c:varyColors val="1"/>
        <c:ser>
          <c:idx val="0"/>
          <c:order val="0"/>
          <c:tx>
            <c:strRef>
              <c:f>Sheet6!$J$69</c:f>
              <c:strCache>
                <c:ptCount val="1"/>
                <c:pt idx="0">
                  <c:v> 180,220 </c:v>
                </c:pt>
              </c:strCache>
            </c:strRef>
          </c:tx>
          <c:dPt>
            <c:idx val="0"/>
            <c:bubble3D val="0"/>
            <c:explosion val="8"/>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198E-0449-9DF7-21465A6337C2}"/>
              </c:ext>
            </c:extLst>
          </c:dPt>
          <c:dPt>
            <c:idx val="1"/>
            <c:bubble3D val="0"/>
            <c:explosion val="6"/>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198E-0449-9DF7-21465A6337C2}"/>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198E-0449-9DF7-21465A6337C2}"/>
              </c:ext>
            </c:extLst>
          </c:dPt>
          <c:dPt>
            <c:idx val="3"/>
            <c:bubble3D val="0"/>
            <c:explosion val="2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198E-0449-9DF7-21465A6337C2}"/>
              </c:ext>
            </c:extLst>
          </c:dPt>
          <c:dPt>
            <c:idx val="4"/>
            <c:bubble3D val="0"/>
            <c:explosion val="2"/>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198E-0449-9DF7-21465A6337C2}"/>
              </c:ext>
            </c:extLst>
          </c:dPt>
          <c:dLbls>
            <c:dLbl>
              <c:idx val="0"/>
              <c:layout>
                <c:manualLayout>
                  <c:x val="-2.3422696906844041E-2"/>
                  <c:y val="0.26701422047644513"/>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198E-0449-9DF7-21465A6337C2}"/>
                </c:ext>
              </c:extLst>
            </c:dLbl>
            <c:dLbl>
              <c:idx val="1"/>
              <c:layout>
                <c:manualLayout>
                  <c:x val="1.1111111111111117E-2"/>
                  <c:y val="0.13425925925925927"/>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198E-0449-9DF7-21465A6337C2}"/>
                </c:ext>
              </c:extLst>
            </c:dLbl>
            <c:dLbl>
              <c:idx val="2"/>
              <c:dLblPos val="outEnd"/>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198E-0449-9DF7-21465A6337C2}"/>
                </c:ext>
              </c:extLst>
            </c:dLbl>
            <c:dLbl>
              <c:idx val="3"/>
              <c:dLblPos val="outEnd"/>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198E-0449-9DF7-21465A6337C2}"/>
                </c:ext>
              </c:extLst>
            </c:dLbl>
            <c:dLbl>
              <c:idx val="4"/>
              <c:layout>
                <c:manualLayout>
                  <c:x val="1.2690357857006528E-2"/>
                  <c:y val="-9.2592416408998166E-2"/>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9-198E-0449-9DF7-21465A6337C2}"/>
                </c:ext>
              </c:extLst>
            </c:dLbl>
            <c:numFmt formatCode="0.0%" sourceLinked="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Sheet6!$K$68:$O$68</c:f>
              <c:strCache>
                <c:ptCount val="5"/>
                <c:pt idx="0">
                  <c:v>Crops only</c:v>
                </c:pt>
                <c:pt idx="1">
                  <c:v>Livestock only</c:v>
                </c:pt>
                <c:pt idx="2">
                  <c:v>Fish farming </c:v>
                </c:pt>
                <c:pt idx="3">
                  <c:v>Pastoralist</c:v>
                </c:pt>
                <c:pt idx="4">
                  <c:v>Crops and Livestock</c:v>
                </c:pt>
              </c:strCache>
            </c:strRef>
          </c:cat>
          <c:val>
            <c:numRef>
              <c:f>Sheet6!$K$69:$O$69</c:f>
              <c:numCache>
                <c:formatCode>_(* #,##0_);_(* \(#,##0\);_(* "-"_);_(@_)</c:formatCode>
                <c:ptCount val="5"/>
                <c:pt idx="0">
                  <c:v>115762</c:v>
                </c:pt>
                <c:pt idx="1">
                  <c:v>2149</c:v>
                </c:pt>
                <c:pt idx="4">
                  <c:v>62310</c:v>
                </c:pt>
              </c:numCache>
            </c:numRef>
          </c:val>
          <c:extLst>
            <c:ext xmlns:c16="http://schemas.microsoft.com/office/drawing/2014/chart" uri="{C3380CC4-5D6E-409C-BE32-E72D297353CC}">
              <c16:uniqueId val="{0000000A-198E-0449-9DF7-21465A6337C2}"/>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70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582948070577471"/>
          <c:y val="8.4733923884514464E-2"/>
          <c:w val="0.83831930579137293"/>
          <c:h val="0.61078882581537774"/>
        </c:manualLayout>
      </c:layout>
      <c:barChart>
        <c:barDir val="col"/>
        <c:grouping val="clustered"/>
        <c:varyColors val="0"/>
        <c:ser>
          <c:idx val="0"/>
          <c:order val="0"/>
          <c:tx>
            <c:strRef>
              <c:f>'Tables &amp; Figures_Cereals'!$C$215</c:f>
              <c:strCache>
                <c:ptCount val="1"/>
                <c:pt idx="0">
                  <c:v>Planted Area (Ha)</c:v>
                </c:pt>
              </c:strCache>
            </c:strRef>
          </c:tx>
          <c:spPr>
            <a:solidFill>
              <a:srgbClr val="0070C0"/>
            </a:solidFill>
          </c:spPr>
          <c:invertIfNegative val="0"/>
          <c:cat>
            <c:strRef>
              <c:f>'Tables &amp; Figures_Cereals'!$A$216:$A$220</c:f>
              <c:strCache>
                <c:ptCount val="5"/>
                <c:pt idx="0">
                  <c:v>Kaskazini Unguja</c:v>
                </c:pt>
                <c:pt idx="1">
                  <c:v>Mjini Magharibi</c:v>
                </c:pt>
                <c:pt idx="2">
                  <c:v>Kusini  Pemba</c:v>
                </c:pt>
                <c:pt idx="3">
                  <c:v>Kusini Unguja</c:v>
                </c:pt>
                <c:pt idx="4">
                  <c:v>Kaskazini Pemba</c:v>
                </c:pt>
              </c:strCache>
            </c:strRef>
          </c:cat>
          <c:val>
            <c:numRef>
              <c:f>'Tables &amp; Figures_Cereals'!$C$216:$C$220</c:f>
              <c:numCache>
                <c:formatCode>_(* #,##0_);_(* \(#,##0\);_(* "-"_);_(@_)</c:formatCode>
                <c:ptCount val="5"/>
                <c:pt idx="0">
                  <c:v>1140.8336705787128</c:v>
                </c:pt>
                <c:pt idx="1">
                  <c:v>1085.3905301497368</c:v>
                </c:pt>
                <c:pt idx="2">
                  <c:v>657.6284904896803</c:v>
                </c:pt>
                <c:pt idx="3">
                  <c:v>347.22784297855117</c:v>
                </c:pt>
                <c:pt idx="4">
                  <c:v>131.93039255362206</c:v>
                </c:pt>
              </c:numCache>
            </c:numRef>
          </c:val>
          <c:extLst>
            <c:ext xmlns:c16="http://schemas.microsoft.com/office/drawing/2014/chart" uri="{C3380CC4-5D6E-409C-BE32-E72D297353CC}">
              <c16:uniqueId val="{00000000-E077-124A-B801-2D273421BD88}"/>
            </c:ext>
          </c:extLst>
        </c:ser>
        <c:ser>
          <c:idx val="1"/>
          <c:order val="1"/>
          <c:tx>
            <c:strRef>
              <c:f>'Tables &amp; Figures_Cereals'!$D$215</c:f>
              <c:strCache>
                <c:ptCount val="1"/>
                <c:pt idx="0">
                  <c:v>Harvested Area (Ha)</c:v>
                </c:pt>
              </c:strCache>
            </c:strRef>
          </c:tx>
          <c:spPr>
            <a:solidFill>
              <a:srgbClr val="FFFF00"/>
            </a:solidFill>
          </c:spPr>
          <c:invertIfNegative val="0"/>
          <c:cat>
            <c:strRef>
              <c:f>'Tables &amp; Figures_Cereals'!$A$216:$A$220</c:f>
              <c:strCache>
                <c:ptCount val="5"/>
                <c:pt idx="0">
                  <c:v>Kaskazini Unguja</c:v>
                </c:pt>
                <c:pt idx="1">
                  <c:v>Mjini Magharibi</c:v>
                </c:pt>
                <c:pt idx="2">
                  <c:v>Kusini  Pemba</c:v>
                </c:pt>
                <c:pt idx="3">
                  <c:v>Kusini Unguja</c:v>
                </c:pt>
                <c:pt idx="4">
                  <c:v>Kaskazini Pemba</c:v>
                </c:pt>
              </c:strCache>
            </c:strRef>
          </c:cat>
          <c:val>
            <c:numRef>
              <c:f>'Tables &amp; Figures_Cereals'!$D$216:$D$220</c:f>
              <c:numCache>
                <c:formatCode>_(* #,##0_);_(* \(#,##0\);_(* "-"_);_(@_)</c:formatCode>
                <c:ptCount val="5"/>
                <c:pt idx="0">
                  <c:v>535.81545932820723</c:v>
                </c:pt>
                <c:pt idx="1">
                  <c:v>890.73249696479161</c:v>
                </c:pt>
                <c:pt idx="2">
                  <c:v>405.90853905301481</c:v>
                </c:pt>
                <c:pt idx="3">
                  <c:v>163.49656009712663</c:v>
                </c:pt>
                <c:pt idx="4">
                  <c:v>110.48158640226629</c:v>
                </c:pt>
              </c:numCache>
            </c:numRef>
          </c:val>
          <c:extLst>
            <c:ext xmlns:c16="http://schemas.microsoft.com/office/drawing/2014/chart" uri="{C3380CC4-5D6E-409C-BE32-E72D297353CC}">
              <c16:uniqueId val="{00000001-E077-124A-B801-2D273421BD88}"/>
            </c:ext>
          </c:extLst>
        </c:ser>
        <c:dLbls>
          <c:showLegendKey val="0"/>
          <c:showVal val="0"/>
          <c:showCatName val="0"/>
          <c:showSerName val="0"/>
          <c:showPercent val="0"/>
          <c:showBubbleSize val="0"/>
        </c:dLbls>
        <c:gapWidth val="150"/>
        <c:axId val="94539776"/>
        <c:axId val="94541696"/>
      </c:barChart>
      <c:catAx>
        <c:axId val="94539776"/>
        <c:scaling>
          <c:orientation val="minMax"/>
        </c:scaling>
        <c:delete val="0"/>
        <c:axPos val="b"/>
        <c:title>
          <c:tx>
            <c:rich>
              <a:bodyPr/>
              <a:lstStyle/>
              <a:p>
                <a:pPr>
                  <a:defRPr/>
                </a:pPr>
                <a:r>
                  <a:rPr lang="en-US"/>
                  <a:t>Region</a:t>
                </a:r>
              </a:p>
            </c:rich>
          </c:tx>
          <c:layout>
            <c:manualLayout>
              <c:xMode val="edge"/>
              <c:yMode val="edge"/>
              <c:x val="0.51022859143360655"/>
              <c:y val="0.80464868209984608"/>
            </c:manualLayout>
          </c:layout>
          <c:overlay val="0"/>
        </c:title>
        <c:numFmt formatCode="General" sourceLinked="0"/>
        <c:majorTickMark val="out"/>
        <c:minorTickMark val="none"/>
        <c:tickLblPos val="nextTo"/>
        <c:crossAx val="94541696"/>
        <c:crosses val="autoZero"/>
        <c:auto val="1"/>
        <c:lblAlgn val="ctr"/>
        <c:lblOffset val="100"/>
        <c:noMultiLvlLbl val="0"/>
      </c:catAx>
      <c:valAx>
        <c:axId val="94541696"/>
        <c:scaling>
          <c:orientation val="minMax"/>
        </c:scaling>
        <c:delete val="0"/>
        <c:axPos val="l"/>
        <c:title>
          <c:tx>
            <c:rich>
              <a:bodyPr rot="-5400000" vert="horz"/>
              <a:lstStyle/>
              <a:p>
                <a:pPr>
                  <a:defRPr/>
                </a:pPr>
                <a:r>
                  <a:rPr lang="en-US"/>
                  <a:t>Area (ha)</a:t>
                </a:r>
              </a:p>
            </c:rich>
          </c:tx>
          <c:layout>
            <c:manualLayout>
              <c:xMode val="edge"/>
              <c:yMode val="edge"/>
              <c:x val="6.4516129032258247E-3"/>
              <c:y val="0.30924285505978438"/>
            </c:manualLayout>
          </c:layout>
          <c:overlay val="0"/>
        </c:title>
        <c:numFmt formatCode="_(* #,##0_);_(* \(#,##0\);_(* &quot;-&quot;_);_(@_)" sourceLinked="1"/>
        <c:majorTickMark val="out"/>
        <c:minorTickMark val="none"/>
        <c:tickLblPos val="nextTo"/>
        <c:crossAx val="94539776"/>
        <c:crosses val="autoZero"/>
        <c:crossBetween val="between"/>
      </c:valAx>
    </c:plotArea>
    <c:legend>
      <c:legendPos val="b"/>
      <c:layout>
        <c:manualLayout>
          <c:xMode val="edge"/>
          <c:yMode val="edge"/>
          <c:x val="0.2620182883230967"/>
          <c:y val="0.875540499298053"/>
          <c:w val="0.47596324571103732"/>
          <c:h val="9.3451748763962672E-2"/>
        </c:manualLayout>
      </c:layout>
      <c:overlay val="0"/>
    </c:legend>
    <c:plotVisOnly val="1"/>
    <c:dispBlanksAs val="gap"/>
    <c:showDLblsOverMax val="0"/>
  </c:chart>
  <c:spPr>
    <a:ln w="9525">
      <a:solidFill>
        <a:sysClr val="windowText" lastClr="000000">
          <a:lumMod val="50000"/>
          <a:lumOff val="50000"/>
        </a:sysClr>
      </a:solidFill>
    </a:ln>
  </c:spPr>
  <c:txPr>
    <a:bodyPr/>
    <a:lstStyle/>
    <a:p>
      <a:pPr>
        <a:defRPr sz="800" b="0">
          <a:latin typeface="Times New Roman" pitchFamily="18" charset="0"/>
          <a:cs typeface="Times New Roman" pitchFamily="18" charset="0"/>
        </a:defRPr>
      </a:pPr>
      <a:endParaRPr lang="en-US"/>
    </a:p>
  </c:txPr>
  <c:externalData r:id="rId2">
    <c:autoUpdate val="0"/>
  </c:externalData>
</c:chartSpace>
</file>

<file path=word/charts/chart20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2985918533962181E-2"/>
          <c:y val="5.0091074681238613E-2"/>
          <c:w val="0.89605506413240765"/>
          <c:h val="0.65987773892480683"/>
        </c:manualLayout>
      </c:layout>
      <c:barChart>
        <c:barDir val="col"/>
        <c:grouping val="clustered"/>
        <c:varyColors val="0"/>
        <c:ser>
          <c:idx val="0"/>
          <c:order val="0"/>
          <c:tx>
            <c:strRef>
              <c:f>'13.2.1'!$CM$5</c:f>
              <c:strCache>
                <c:ptCount val="1"/>
                <c:pt idx="0">
                  <c:v> Male </c:v>
                </c:pt>
              </c:strCache>
            </c:strRef>
          </c:tx>
          <c:spPr>
            <a:solidFill>
              <a:schemeClr val="tx1"/>
            </a:solidFill>
            <a:ln>
              <a:solidFill>
                <a:schemeClr val="tx1"/>
              </a:solidFill>
            </a:ln>
            <a:effectLst/>
          </c:spPr>
          <c:invertIfNegative val="0"/>
          <c:cat>
            <c:strRef>
              <c:f>'13.2.1'!$CL$6:$CL$31</c:f>
              <c:strCache>
                <c:ptCount val="26"/>
                <c:pt idx="0">
                  <c:v> Dodoma </c:v>
                </c:pt>
                <c:pt idx="1">
                  <c:v> Arusha </c:v>
                </c:pt>
                <c:pt idx="2">
                  <c:v> Kilimanjaro </c:v>
                </c:pt>
                <c:pt idx="3">
                  <c:v> Tanga </c:v>
                </c:pt>
                <c:pt idx="4">
                  <c:v> Morogoro </c:v>
                </c:pt>
                <c:pt idx="5">
                  <c:v> Pwani </c:v>
                </c:pt>
                <c:pt idx="6">
                  <c:v> Dar-es-salaam </c:v>
                </c:pt>
                <c:pt idx="7">
                  <c:v> Lindi </c:v>
                </c:pt>
                <c:pt idx="8">
                  <c:v> Mtwara </c:v>
                </c:pt>
                <c:pt idx="9">
                  <c:v> Ruvuma </c:v>
                </c:pt>
                <c:pt idx="10">
                  <c:v> Iringa </c:v>
                </c:pt>
                <c:pt idx="11">
                  <c:v> Mbeya </c:v>
                </c:pt>
                <c:pt idx="12">
                  <c:v> Singida </c:v>
                </c:pt>
                <c:pt idx="13">
                  <c:v> Tabora </c:v>
                </c:pt>
                <c:pt idx="14">
                  <c:v> Rukwa </c:v>
                </c:pt>
                <c:pt idx="15">
                  <c:v> Kigoma </c:v>
                </c:pt>
                <c:pt idx="16">
                  <c:v> Shinyanga </c:v>
                </c:pt>
                <c:pt idx="17">
                  <c:v> Kagera </c:v>
                </c:pt>
                <c:pt idx="18">
                  <c:v> Mwanza </c:v>
                </c:pt>
                <c:pt idx="19">
                  <c:v> Mara </c:v>
                </c:pt>
                <c:pt idx="20">
                  <c:v> Manyara </c:v>
                </c:pt>
                <c:pt idx="21">
                  <c:v> Njombe </c:v>
                </c:pt>
                <c:pt idx="22">
                  <c:v> Katavi </c:v>
                </c:pt>
                <c:pt idx="23">
                  <c:v> Simiyu </c:v>
                </c:pt>
                <c:pt idx="24">
                  <c:v> Geita </c:v>
                </c:pt>
                <c:pt idx="25">
                  <c:v> Songwe </c:v>
                </c:pt>
              </c:strCache>
            </c:strRef>
          </c:cat>
          <c:val>
            <c:numRef>
              <c:f>'13.2.1'!$CM$6:$CM$31</c:f>
              <c:numCache>
                <c:formatCode>_(* #,##0_);_(* \(#,##0\);_(* "-"??_);_(@_)</c:formatCode>
                <c:ptCount val="26"/>
                <c:pt idx="0">
                  <c:v>8620</c:v>
                </c:pt>
                <c:pt idx="1">
                  <c:v>3937</c:v>
                </c:pt>
                <c:pt idx="2">
                  <c:v>4681</c:v>
                </c:pt>
                <c:pt idx="3">
                  <c:v>352</c:v>
                </c:pt>
                <c:pt idx="4">
                  <c:v>12197</c:v>
                </c:pt>
                <c:pt idx="5">
                  <c:v>2186</c:v>
                </c:pt>
                <c:pt idx="6">
                  <c:v>1867</c:v>
                </c:pt>
                <c:pt idx="7">
                  <c:v>4429</c:v>
                </c:pt>
                <c:pt idx="8">
                  <c:v>8570</c:v>
                </c:pt>
                <c:pt idx="9">
                  <c:v>14413</c:v>
                </c:pt>
                <c:pt idx="10">
                  <c:v>15586</c:v>
                </c:pt>
                <c:pt idx="11">
                  <c:v>20308</c:v>
                </c:pt>
                <c:pt idx="12">
                  <c:v>6566</c:v>
                </c:pt>
                <c:pt idx="13">
                  <c:v>28192</c:v>
                </c:pt>
                <c:pt idx="14">
                  <c:v>10684</c:v>
                </c:pt>
                <c:pt idx="15">
                  <c:v>2831</c:v>
                </c:pt>
                <c:pt idx="16">
                  <c:v>13303</c:v>
                </c:pt>
                <c:pt idx="17">
                  <c:v>4016</c:v>
                </c:pt>
                <c:pt idx="18">
                  <c:v>9709</c:v>
                </c:pt>
                <c:pt idx="19">
                  <c:v>1445</c:v>
                </c:pt>
                <c:pt idx="20">
                  <c:v>2764</c:v>
                </c:pt>
                <c:pt idx="21">
                  <c:v>3649</c:v>
                </c:pt>
                <c:pt idx="22">
                  <c:v>1859</c:v>
                </c:pt>
                <c:pt idx="23">
                  <c:v>8451</c:v>
                </c:pt>
                <c:pt idx="24">
                  <c:v>10373</c:v>
                </c:pt>
                <c:pt idx="25">
                  <c:v>14695</c:v>
                </c:pt>
              </c:numCache>
            </c:numRef>
          </c:val>
          <c:extLst>
            <c:ext xmlns:c16="http://schemas.microsoft.com/office/drawing/2014/chart" uri="{C3380CC4-5D6E-409C-BE32-E72D297353CC}">
              <c16:uniqueId val="{00000000-BA51-407D-B76C-8265B2CA3736}"/>
            </c:ext>
          </c:extLst>
        </c:ser>
        <c:ser>
          <c:idx val="1"/>
          <c:order val="1"/>
          <c:tx>
            <c:strRef>
              <c:f>'13.2.1'!$CN$5</c:f>
              <c:strCache>
                <c:ptCount val="1"/>
                <c:pt idx="0">
                  <c:v> Female </c:v>
                </c:pt>
              </c:strCache>
            </c:strRef>
          </c:tx>
          <c:spPr>
            <a:solidFill>
              <a:schemeClr val="accent2"/>
            </a:solidFill>
            <a:ln>
              <a:noFill/>
            </a:ln>
            <a:effectLst/>
          </c:spPr>
          <c:invertIfNegative val="0"/>
          <c:cat>
            <c:strRef>
              <c:f>'13.2.1'!$CL$6:$CL$31</c:f>
              <c:strCache>
                <c:ptCount val="26"/>
                <c:pt idx="0">
                  <c:v> Dodoma </c:v>
                </c:pt>
                <c:pt idx="1">
                  <c:v> Arusha </c:v>
                </c:pt>
                <c:pt idx="2">
                  <c:v> Kilimanjaro </c:v>
                </c:pt>
                <c:pt idx="3">
                  <c:v> Tanga </c:v>
                </c:pt>
                <c:pt idx="4">
                  <c:v> Morogoro </c:v>
                </c:pt>
                <c:pt idx="5">
                  <c:v> Pwani </c:v>
                </c:pt>
                <c:pt idx="6">
                  <c:v> Dar-es-salaam </c:v>
                </c:pt>
                <c:pt idx="7">
                  <c:v> Lindi </c:v>
                </c:pt>
                <c:pt idx="8">
                  <c:v> Mtwara </c:v>
                </c:pt>
                <c:pt idx="9">
                  <c:v> Ruvuma </c:v>
                </c:pt>
                <c:pt idx="10">
                  <c:v> Iringa </c:v>
                </c:pt>
                <c:pt idx="11">
                  <c:v> Mbeya </c:v>
                </c:pt>
                <c:pt idx="12">
                  <c:v> Singida </c:v>
                </c:pt>
                <c:pt idx="13">
                  <c:v> Tabora </c:v>
                </c:pt>
                <c:pt idx="14">
                  <c:v> Rukwa </c:v>
                </c:pt>
                <c:pt idx="15">
                  <c:v> Kigoma </c:v>
                </c:pt>
                <c:pt idx="16">
                  <c:v> Shinyanga </c:v>
                </c:pt>
                <c:pt idx="17">
                  <c:v> Kagera </c:v>
                </c:pt>
                <c:pt idx="18">
                  <c:v> Mwanza </c:v>
                </c:pt>
                <c:pt idx="19">
                  <c:v> Mara </c:v>
                </c:pt>
                <c:pt idx="20">
                  <c:v> Manyara </c:v>
                </c:pt>
                <c:pt idx="21">
                  <c:v> Njombe </c:v>
                </c:pt>
                <c:pt idx="22">
                  <c:v> Katavi </c:v>
                </c:pt>
                <c:pt idx="23">
                  <c:v> Simiyu </c:v>
                </c:pt>
                <c:pt idx="24">
                  <c:v> Geita </c:v>
                </c:pt>
                <c:pt idx="25">
                  <c:v> Songwe </c:v>
                </c:pt>
              </c:strCache>
            </c:strRef>
          </c:cat>
          <c:val>
            <c:numRef>
              <c:f>'13.2.1'!$CN$6:$CN$31</c:f>
              <c:numCache>
                <c:formatCode>_(* #,##0_);_(* \(#,##0\);_(* "-"??_);_(@_)</c:formatCode>
                <c:ptCount val="26"/>
                <c:pt idx="0">
                  <c:v>3209</c:v>
                </c:pt>
                <c:pt idx="1">
                  <c:v>3550</c:v>
                </c:pt>
                <c:pt idx="2">
                  <c:v>4661</c:v>
                </c:pt>
                <c:pt idx="3">
                  <c:v>605</c:v>
                </c:pt>
                <c:pt idx="4">
                  <c:v>3932</c:v>
                </c:pt>
                <c:pt idx="5">
                  <c:v>580</c:v>
                </c:pt>
                <c:pt idx="6">
                  <c:v>4207</c:v>
                </c:pt>
                <c:pt idx="7">
                  <c:v>1941</c:v>
                </c:pt>
                <c:pt idx="8">
                  <c:v>1962</c:v>
                </c:pt>
                <c:pt idx="9">
                  <c:v>3324</c:v>
                </c:pt>
                <c:pt idx="10">
                  <c:v>5823</c:v>
                </c:pt>
                <c:pt idx="11">
                  <c:v>7019</c:v>
                </c:pt>
                <c:pt idx="12">
                  <c:v>1861</c:v>
                </c:pt>
                <c:pt idx="13">
                  <c:v>4165</c:v>
                </c:pt>
                <c:pt idx="14">
                  <c:v>1186</c:v>
                </c:pt>
                <c:pt idx="15">
                  <c:v>1349</c:v>
                </c:pt>
                <c:pt idx="16">
                  <c:v>3156</c:v>
                </c:pt>
                <c:pt idx="17">
                  <c:v>4907</c:v>
                </c:pt>
                <c:pt idx="18">
                  <c:v>2983</c:v>
                </c:pt>
                <c:pt idx="19">
                  <c:v>1002</c:v>
                </c:pt>
                <c:pt idx="20">
                  <c:v>982</c:v>
                </c:pt>
                <c:pt idx="21">
                  <c:v>4140</c:v>
                </c:pt>
                <c:pt idx="22">
                  <c:v>643</c:v>
                </c:pt>
                <c:pt idx="23">
                  <c:v>3423</c:v>
                </c:pt>
                <c:pt idx="24">
                  <c:v>2235</c:v>
                </c:pt>
                <c:pt idx="25">
                  <c:v>2494</c:v>
                </c:pt>
              </c:numCache>
            </c:numRef>
          </c:val>
          <c:extLst>
            <c:ext xmlns:c16="http://schemas.microsoft.com/office/drawing/2014/chart" uri="{C3380CC4-5D6E-409C-BE32-E72D297353CC}">
              <c16:uniqueId val="{00000001-BA51-407D-B76C-8265B2CA3736}"/>
            </c:ext>
          </c:extLst>
        </c:ser>
        <c:dLbls>
          <c:showLegendKey val="0"/>
          <c:showVal val="0"/>
          <c:showCatName val="0"/>
          <c:showSerName val="0"/>
          <c:showPercent val="0"/>
          <c:showBubbleSize val="0"/>
        </c:dLbls>
        <c:gapWidth val="219"/>
        <c:axId val="133591808"/>
        <c:axId val="133593728"/>
      </c:barChart>
      <c:catAx>
        <c:axId val="133591808"/>
        <c:scaling>
          <c:orientation val="minMax"/>
        </c:scaling>
        <c:delete val="0"/>
        <c:axPos val="b"/>
        <c:title>
          <c:tx>
            <c:rich>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Region</a:t>
                </a:r>
              </a:p>
            </c:rich>
          </c:tx>
          <c:layout>
            <c:manualLayout>
              <c:xMode val="edge"/>
              <c:yMode val="edge"/>
              <c:x val="0.52359795686643151"/>
              <c:y val="0.93386243386243384"/>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5400000" spcFirstLastPara="1" vertOverflow="ellipsis"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33593728"/>
        <c:crosses val="autoZero"/>
        <c:auto val="1"/>
        <c:lblAlgn val="ctr"/>
        <c:lblOffset val="100"/>
        <c:noMultiLvlLbl val="0"/>
      </c:catAx>
      <c:valAx>
        <c:axId val="133593728"/>
        <c:scaling>
          <c:orientation val="minMax"/>
        </c:scaling>
        <c:delete val="0"/>
        <c:axPos val="l"/>
        <c:title>
          <c:tx>
            <c:rich>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Household members in Thousands</a:t>
                </a:r>
              </a:p>
            </c:rich>
          </c:tx>
          <c:layout>
            <c:manualLayout>
              <c:xMode val="edge"/>
              <c:yMode val="edge"/>
              <c:x val="1.4608933671979629E-2"/>
              <c:y val="0.13272118940404018"/>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_(* #,##0_);_(* \(#,##0\);_(* &quot;-&quot;??_);_(@_)"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33591808"/>
        <c:crosses val="autoZero"/>
        <c:crossBetween val="between"/>
        <c:dispUnits>
          <c:builtInUnit val="thousands"/>
        </c:dispUnits>
      </c:valAx>
      <c:spPr>
        <a:noFill/>
        <a:ln>
          <a:noFill/>
        </a:ln>
        <a:effectLst/>
      </c:spPr>
    </c:plotArea>
    <c:legend>
      <c:legendPos val="r"/>
      <c:layout>
        <c:manualLayout>
          <c:xMode val="edge"/>
          <c:yMode val="edge"/>
          <c:x val="0.8877757337457336"/>
          <c:y val="9.3305003541224049E-2"/>
          <c:w val="0.10152679085845977"/>
          <c:h val="0.16950164883235749"/>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20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562363435961744"/>
          <c:y val="5.0925925925925923E-2"/>
          <c:w val="0.83868142914608634"/>
          <c:h val="0.74546952464275296"/>
        </c:manualLayout>
      </c:layout>
      <c:barChart>
        <c:barDir val="col"/>
        <c:grouping val="clustered"/>
        <c:varyColors val="0"/>
        <c:ser>
          <c:idx val="0"/>
          <c:order val="0"/>
          <c:tx>
            <c:strRef>
              <c:f>'13.2.1'!$CG$32</c:f>
              <c:strCache>
                <c:ptCount val="1"/>
                <c:pt idx="0">
                  <c:v> Male </c:v>
                </c:pt>
              </c:strCache>
            </c:strRef>
          </c:tx>
          <c:spPr>
            <a:solidFill>
              <a:schemeClr val="tx1">
                <a:lumMod val="75000"/>
                <a:lumOff val="25000"/>
              </a:schemeClr>
            </a:solidFill>
            <a:ln>
              <a:solidFill>
                <a:schemeClr val="tx1"/>
              </a:solid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'13.2.1'!$CF$33:$CF$37</c:f>
              <c:strCache>
                <c:ptCount val="5"/>
                <c:pt idx="0">
                  <c:v> Kaskazini Unguja </c:v>
                </c:pt>
                <c:pt idx="1">
                  <c:v> Kusini Unguja  </c:v>
                </c:pt>
                <c:pt idx="2">
                  <c:v> Mjini Magharibi  </c:v>
                </c:pt>
                <c:pt idx="3">
                  <c:v> Kaskazini Pemba </c:v>
                </c:pt>
                <c:pt idx="4">
                  <c:v> Kusini Pemba </c:v>
                </c:pt>
              </c:strCache>
            </c:strRef>
          </c:cat>
          <c:val>
            <c:numRef>
              <c:f>'13.2.1'!$CG$33:$CG$37</c:f>
              <c:numCache>
                <c:formatCode>_(* #,##0_);_(* \(#,##0\);_(* "-"??_);_(@_)</c:formatCode>
                <c:ptCount val="5"/>
                <c:pt idx="0">
                  <c:v>298</c:v>
                </c:pt>
                <c:pt idx="1">
                  <c:v>984</c:v>
                </c:pt>
                <c:pt idx="2">
                  <c:v>101</c:v>
                </c:pt>
                <c:pt idx="3">
                  <c:v>97</c:v>
                </c:pt>
                <c:pt idx="4">
                  <c:v>240</c:v>
                </c:pt>
              </c:numCache>
            </c:numRef>
          </c:val>
          <c:extLst>
            <c:ext xmlns:c16="http://schemas.microsoft.com/office/drawing/2014/chart" uri="{C3380CC4-5D6E-409C-BE32-E72D297353CC}">
              <c16:uniqueId val="{00000000-6788-4171-ABB5-563AA79F7F1E}"/>
            </c:ext>
          </c:extLst>
        </c:ser>
        <c:ser>
          <c:idx val="1"/>
          <c:order val="1"/>
          <c:tx>
            <c:strRef>
              <c:f>'13.2.1'!$CH$32</c:f>
              <c:strCache>
                <c:ptCount val="1"/>
                <c:pt idx="0">
                  <c:v> Female </c:v>
                </c:pt>
              </c:strCache>
            </c:strRef>
          </c:tx>
          <c:spPr>
            <a:solidFill>
              <a:schemeClr val="accent2"/>
            </a:solidFill>
            <a:ln>
              <a:solidFill>
                <a:schemeClr val="accent2"/>
              </a:solid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'13.2.1'!$CF$33:$CF$37</c:f>
              <c:strCache>
                <c:ptCount val="5"/>
                <c:pt idx="0">
                  <c:v> Kaskazini Unguja </c:v>
                </c:pt>
                <c:pt idx="1">
                  <c:v> Kusini Unguja  </c:v>
                </c:pt>
                <c:pt idx="2">
                  <c:v> Mjini Magharibi  </c:v>
                </c:pt>
                <c:pt idx="3">
                  <c:v> Kaskazini Pemba </c:v>
                </c:pt>
                <c:pt idx="4">
                  <c:v> Kusini Pemba </c:v>
                </c:pt>
              </c:strCache>
            </c:strRef>
          </c:cat>
          <c:val>
            <c:numRef>
              <c:f>'13.2.1'!$CH$33:$CH$37</c:f>
              <c:numCache>
                <c:formatCode>_(* #,##0_);_(* \(#,##0\);_(* "-"??_);_(@_)</c:formatCode>
                <c:ptCount val="5"/>
                <c:pt idx="0">
                  <c:v>51</c:v>
                </c:pt>
                <c:pt idx="1">
                  <c:v>612</c:v>
                </c:pt>
                <c:pt idx="2">
                  <c:v>671</c:v>
                </c:pt>
                <c:pt idx="3">
                  <c:v>269</c:v>
                </c:pt>
                <c:pt idx="4">
                  <c:v>259</c:v>
                </c:pt>
              </c:numCache>
            </c:numRef>
          </c:val>
          <c:extLst>
            <c:ext xmlns:c16="http://schemas.microsoft.com/office/drawing/2014/chart" uri="{C3380CC4-5D6E-409C-BE32-E72D297353CC}">
              <c16:uniqueId val="{00000001-6788-4171-ABB5-563AA79F7F1E}"/>
            </c:ext>
          </c:extLst>
        </c:ser>
        <c:dLbls>
          <c:showLegendKey val="0"/>
          <c:showVal val="0"/>
          <c:showCatName val="0"/>
          <c:showSerName val="0"/>
          <c:showPercent val="0"/>
          <c:showBubbleSize val="0"/>
        </c:dLbls>
        <c:gapWidth val="219"/>
        <c:axId val="133635072"/>
        <c:axId val="133645440"/>
      </c:barChart>
      <c:catAx>
        <c:axId val="133635072"/>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Region</a:t>
                </a:r>
              </a:p>
            </c:rich>
          </c:tx>
          <c:layout>
            <c:manualLayout>
              <c:xMode val="edge"/>
              <c:yMode val="edge"/>
              <c:x val="0.51073973240491466"/>
              <c:y val="0.91705987035711456"/>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3175" cap="flat" cmpd="sng" algn="ctr">
            <a:solidFill>
              <a:schemeClr val="tx1">
                <a:lumMod val="50000"/>
                <a:lumOff val="50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33645440"/>
        <c:crosses val="autoZero"/>
        <c:auto val="1"/>
        <c:lblAlgn val="ctr"/>
        <c:lblOffset val="100"/>
        <c:noMultiLvlLbl val="0"/>
      </c:catAx>
      <c:valAx>
        <c:axId val="133645440"/>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Household Members</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_(* #,##0_);_(* \(#,##0\);_(* &quot;-&quot;??_);_(@_)" sourceLinked="1"/>
        <c:majorTickMark val="out"/>
        <c:minorTickMark val="none"/>
        <c:tickLblPos val="nextTo"/>
        <c:spPr>
          <a:noFill/>
          <a:ln w="3175">
            <a:solidFill>
              <a:schemeClr val="tx1">
                <a:lumMod val="50000"/>
                <a:lumOff val="50000"/>
              </a:schemeClr>
            </a:solid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33635072"/>
        <c:crosses val="autoZero"/>
        <c:crossBetween val="between"/>
      </c:valAx>
      <c:spPr>
        <a:noFill/>
        <a:ln>
          <a:noFill/>
        </a:ln>
        <a:effectLst/>
      </c:spPr>
    </c:plotArea>
    <c:legend>
      <c:legendPos val="r"/>
      <c:layout>
        <c:manualLayout>
          <c:xMode val="edge"/>
          <c:yMode val="edge"/>
          <c:x val="0.88763148661687208"/>
          <c:y val="7.7870237811182713E-2"/>
          <c:w val="0.10165728801894622"/>
          <c:h val="0.20032013043824068"/>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800" b="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20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90358254636775"/>
          <c:y val="6.0809543713778974E-2"/>
          <c:w val="0.78249486619405129"/>
          <c:h val="0.6499373015962675"/>
        </c:manualLayout>
      </c:layout>
      <c:barChart>
        <c:barDir val="col"/>
        <c:grouping val="clustered"/>
        <c:varyColors val="0"/>
        <c:ser>
          <c:idx val="0"/>
          <c:order val="0"/>
          <c:tx>
            <c:strRef>
              <c:f>'13.2.1'!$J$47</c:f>
              <c:strCache>
                <c:ptCount val="1"/>
                <c:pt idx="0">
                  <c:v> Mainland Tanzania </c:v>
                </c:pt>
              </c:strCache>
            </c:strRef>
          </c:tx>
          <c:spPr>
            <a:solidFill>
              <a:schemeClr val="accent1"/>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'13.2.1'!$K$46:$R$46</c:f>
              <c:strCache>
                <c:ptCount val="8"/>
                <c:pt idx="0">
                  <c:v> Family, friend or relative </c:v>
                </c:pt>
                <c:pt idx="1">
                  <c:v> Bank </c:v>
                </c:pt>
                <c:pt idx="2">
                  <c:v> Cooperative  </c:v>
                </c:pt>
                <c:pt idx="3">
                  <c:v> Savings &amp; credit Society </c:v>
                </c:pt>
                <c:pt idx="4">
                  <c:v> Trader/trade store </c:v>
                </c:pt>
                <c:pt idx="5">
                  <c:v> Private individual  </c:v>
                </c:pt>
                <c:pt idx="6">
                  <c:v> NGO/Project </c:v>
                </c:pt>
                <c:pt idx="7">
                  <c:v> Other </c:v>
                </c:pt>
              </c:strCache>
            </c:strRef>
          </c:cat>
          <c:val>
            <c:numRef>
              <c:f>'13.2.1'!$K$47:$R$47</c:f>
              <c:numCache>
                <c:formatCode>_(* #,##0.0_);_(* \(#,##0.0\);_(* "-"??_);_(@_)</c:formatCode>
                <c:ptCount val="8"/>
                <c:pt idx="0">
                  <c:v>26.089436537443905</c:v>
                </c:pt>
                <c:pt idx="1">
                  <c:v>6.2335493536571125</c:v>
                </c:pt>
                <c:pt idx="2">
                  <c:v>21.91793060318464</c:v>
                </c:pt>
                <c:pt idx="3">
                  <c:v>13.161204307578123</c:v>
                </c:pt>
                <c:pt idx="4">
                  <c:v>2.6723065610160059</c:v>
                </c:pt>
                <c:pt idx="5">
                  <c:v>16.962291510607447</c:v>
                </c:pt>
                <c:pt idx="6">
                  <c:v>6.2125887389956773</c:v>
                </c:pt>
                <c:pt idx="7">
                  <c:v>6.7506923875170957</c:v>
                </c:pt>
              </c:numCache>
            </c:numRef>
          </c:val>
          <c:extLst>
            <c:ext xmlns:c16="http://schemas.microsoft.com/office/drawing/2014/chart" uri="{C3380CC4-5D6E-409C-BE32-E72D297353CC}">
              <c16:uniqueId val="{00000000-D751-C44C-BD6A-C2BC6D438DB9}"/>
            </c:ext>
          </c:extLst>
        </c:ser>
        <c:ser>
          <c:idx val="1"/>
          <c:order val="1"/>
          <c:tx>
            <c:strRef>
              <c:f>'13.2.1'!$J$48</c:f>
              <c:strCache>
                <c:ptCount val="1"/>
                <c:pt idx="0">
                  <c:v> Tanzania Zanzibar </c:v>
                </c:pt>
              </c:strCache>
            </c:strRef>
          </c:tx>
          <c:spPr>
            <a:solidFill>
              <a:schemeClr val="accent2"/>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'13.2.1'!$K$46:$R$46</c:f>
              <c:strCache>
                <c:ptCount val="8"/>
                <c:pt idx="0">
                  <c:v> Family, friend or relative </c:v>
                </c:pt>
                <c:pt idx="1">
                  <c:v> Bank </c:v>
                </c:pt>
                <c:pt idx="2">
                  <c:v> Cooperative  </c:v>
                </c:pt>
                <c:pt idx="3">
                  <c:v> Savings &amp; credit Society </c:v>
                </c:pt>
                <c:pt idx="4">
                  <c:v> Trader/trade store </c:v>
                </c:pt>
                <c:pt idx="5">
                  <c:v> Private individual  </c:v>
                </c:pt>
                <c:pt idx="6">
                  <c:v> NGO/Project </c:v>
                </c:pt>
                <c:pt idx="7">
                  <c:v> Other </c:v>
                </c:pt>
              </c:strCache>
            </c:strRef>
          </c:cat>
          <c:val>
            <c:numRef>
              <c:f>'13.2.1'!$K$48:$R$48</c:f>
              <c:numCache>
                <c:formatCode>_(* #,##0.0_);_(* \(#,##0.0\);_(* "-"??_);_(@_)</c:formatCode>
                <c:ptCount val="8"/>
                <c:pt idx="0">
                  <c:v>8.0402010050251249</c:v>
                </c:pt>
                <c:pt idx="1">
                  <c:v>4.4946957007258517</c:v>
                </c:pt>
                <c:pt idx="2">
                  <c:v>50.67001675041876</c:v>
                </c:pt>
                <c:pt idx="3">
                  <c:v>14.07035175879397</c:v>
                </c:pt>
                <c:pt idx="4">
                  <c:v>5.7230597431602455</c:v>
                </c:pt>
                <c:pt idx="5">
                  <c:v>11.194863204913457</c:v>
                </c:pt>
                <c:pt idx="6">
                  <c:v>5.8068118369625905</c:v>
                </c:pt>
                <c:pt idx="7">
                  <c:v>0</c:v>
                </c:pt>
              </c:numCache>
            </c:numRef>
          </c:val>
          <c:extLst>
            <c:ext xmlns:c16="http://schemas.microsoft.com/office/drawing/2014/chart" uri="{C3380CC4-5D6E-409C-BE32-E72D297353CC}">
              <c16:uniqueId val="{00000001-D751-C44C-BD6A-C2BC6D438DB9}"/>
            </c:ext>
          </c:extLst>
        </c:ser>
        <c:ser>
          <c:idx val="2"/>
          <c:order val="2"/>
          <c:tx>
            <c:strRef>
              <c:f>'13.2.1'!$J$49</c:f>
              <c:strCache>
                <c:ptCount val="1"/>
                <c:pt idx="0">
                  <c:v> Tanzania </c:v>
                </c:pt>
              </c:strCache>
            </c:strRef>
          </c:tx>
          <c:spPr>
            <a:solidFill>
              <a:schemeClr val="accent3"/>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'13.2.1'!$K$46:$R$46</c:f>
              <c:strCache>
                <c:ptCount val="8"/>
                <c:pt idx="0">
                  <c:v> Family, friend or relative </c:v>
                </c:pt>
                <c:pt idx="1">
                  <c:v> Bank </c:v>
                </c:pt>
                <c:pt idx="2">
                  <c:v> Cooperative  </c:v>
                </c:pt>
                <c:pt idx="3">
                  <c:v> Savings &amp; credit Society </c:v>
                </c:pt>
                <c:pt idx="4">
                  <c:v> Trader/trade store </c:v>
                </c:pt>
                <c:pt idx="5">
                  <c:v> Private individual  </c:v>
                </c:pt>
                <c:pt idx="6">
                  <c:v> NGO/Project </c:v>
                </c:pt>
                <c:pt idx="7">
                  <c:v> Other </c:v>
                </c:pt>
              </c:strCache>
            </c:strRef>
          </c:cat>
          <c:val>
            <c:numRef>
              <c:f>'13.2.1'!$K$49:$R$49</c:f>
              <c:numCache>
                <c:formatCode>_(* #,##0.0_);_(* \(#,##0.0\);_(* "-"??_);_(@_)</c:formatCode>
                <c:ptCount val="8"/>
                <c:pt idx="0">
                  <c:v>25.869981398759013</c:v>
                </c:pt>
                <c:pt idx="1">
                  <c:v>6.2124071635144125</c:v>
                </c:pt>
                <c:pt idx="2">
                  <c:v>22.267518431521637</c:v>
                </c:pt>
                <c:pt idx="3">
                  <c:v>13.172258353586509</c:v>
                </c:pt>
                <c:pt idx="4">
                  <c:v>2.7093997365955658</c:v>
                </c:pt>
                <c:pt idx="5">
                  <c:v>16.892167112462833</c:v>
                </c:pt>
                <c:pt idx="6">
                  <c:v>6.2076550216561897</c:v>
                </c:pt>
                <c:pt idx="7">
                  <c:v>6.6686127819038443</c:v>
                </c:pt>
              </c:numCache>
            </c:numRef>
          </c:val>
          <c:extLst>
            <c:ext xmlns:c16="http://schemas.microsoft.com/office/drawing/2014/chart" uri="{C3380CC4-5D6E-409C-BE32-E72D297353CC}">
              <c16:uniqueId val="{00000002-D751-C44C-BD6A-C2BC6D438DB9}"/>
            </c:ext>
          </c:extLst>
        </c:ser>
        <c:dLbls>
          <c:showLegendKey val="0"/>
          <c:showVal val="0"/>
          <c:showCatName val="0"/>
          <c:showSerName val="0"/>
          <c:showPercent val="0"/>
          <c:showBubbleSize val="0"/>
        </c:dLbls>
        <c:gapWidth val="150"/>
        <c:axId val="133687168"/>
        <c:axId val="133705728"/>
      </c:barChart>
      <c:catAx>
        <c:axId val="133687168"/>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Source of Borrowing Credit</a:t>
                </a:r>
              </a:p>
            </c:rich>
          </c:tx>
          <c:layout>
            <c:manualLayout>
              <c:xMode val="edge"/>
              <c:yMode val="edge"/>
              <c:x val="0.37097993564757886"/>
              <c:y val="0.88351562941289441"/>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a:solidFill>
              <a:schemeClr val="tx1">
                <a:lumMod val="50000"/>
                <a:lumOff val="50000"/>
              </a:schemeClr>
            </a:solidFill>
          </a:ln>
          <a:effectLst/>
        </c:spPr>
        <c:txPr>
          <a:bodyPr rot="0" spcFirstLastPara="1" vertOverflow="ellipsis"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33705728"/>
        <c:crosses val="autoZero"/>
        <c:auto val="1"/>
        <c:lblAlgn val="ctr"/>
        <c:lblOffset val="100"/>
        <c:noMultiLvlLbl val="0"/>
      </c:catAx>
      <c:valAx>
        <c:axId val="133705728"/>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Percent</a:t>
                </a:r>
              </a:p>
            </c:rich>
          </c:tx>
          <c:layout>
            <c:manualLayout>
              <c:xMode val="edge"/>
              <c:yMode val="edge"/>
              <c:x val="4.156813247181311E-2"/>
              <c:y val="0.30718772181779164"/>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a:solidFill>
              <a:schemeClr val="tx1">
                <a:lumMod val="50000"/>
                <a:lumOff val="50000"/>
              </a:schemeClr>
            </a:solid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33687168"/>
        <c:crosses val="autoZero"/>
        <c:crossBetween val="between"/>
      </c:valAx>
      <c:spPr>
        <a:noFill/>
        <a:ln>
          <a:noFill/>
        </a:ln>
        <a:effectLst/>
      </c:spPr>
    </c:plotArea>
    <c:legend>
      <c:legendPos val="tr"/>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50000"/>
          <a:lumOff val="50000"/>
        </a:schemeClr>
      </a:solidFill>
      <a:round/>
    </a:ln>
    <a:effectLst/>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0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976359985318034E-2"/>
          <c:y val="9.0710221299856897E-2"/>
          <c:w val="0.81693080226321269"/>
          <c:h val="0.64385188750394817"/>
        </c:manualLayout>
      </c:layout>
      <c:barChart>
        <c:barDir val="col"/>
        <c:grouping val="clustered"/>
        <c:varyColors val="0"/>
        <c:ser>
          <c:idx val="0"/>
          <c:order val="0"/>
          <c:tx>
            <c:strRef>
              <c:f>'13.2.1'!$E$99</c:f>
              <c:strCache>
                <c:ptCount val="1"/>
                <c:pt idx="0">
                  <c:v> Mainland Tanzania </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'13.2.1'!$F$96:$L$98</c:f>
              <c:strCache>
                <c:ptCount val="6"/>
                <c:pt idx="0">
                  <c:v> Cooperative  </c:v>
                </c:pt>
                <c:pt idx="1">
                  <c:v> Savings &amp; credit Society </c:v>
                </c:pt>
                <c:pt idx="2">
                  <c:v> Private individual  </c:v>
                </c:pt>
                <c:pt idx="3">
                  <c:v> Family, friend or relative </c:v>
                </c:pt>
                <c:pt idx="4">
                  <c:v> Bank </c:v>
                </c:pt>
                <c:pt idx="5">
                  <c:v> Other </c:v>
                </c:pt>
              </c:strCache>
            </c:strRef>
          </c:cat>
          <c:val>
            <c:numRef>
              <c:f>'13.2.1'!$F$99:$L$99</c:f>
              <c:numCache>
                <c:formatCode>_(* #,##0.0_);_(* \(#,##0.0\);_(* "-"??_);_(@_)</c:formatCode>
                <c:ptCount val="7"/>
                <c:pt idx="0">
                  <c:v>3.1</c:v>
                </c:pt>
                <c:pt idx="1">
                  <c:v>47.3</c:v>
                </c:pt>
                <c:pt idx="2">
                  <c:v>30.2</c:v>
                </c:pt>
                <c:pt idx="3">
                  <c:v>10</c:v>
                </c:pt>
                <c:pt idx="4">
                  <c:v>5.4</c:v>
                </c:pt>
                <c:pt idx="5">
                  <c:v>3.9</c:v>
                </c:pt>
              </c:numCache>
            </c:numRef>
          </c:val>
          <c:extLst>
            <c:ext xmlns:c16="http://schemas.microsoft.com/office/drawing/2014/chart" uri="{C3380CC4-5D6E-409C-BE32-E72D297353CC}">
              <c16:uniqueId val="{00000000-E472-FE42-AC93-33E2F6CE6EAE}"/>
            </c:ext>
          </c:extLst>
        </c:ser>
        <c:ser>
          <c:idx val="1"/>
          <c:order val="1"/>
          <c:tx>
            <c:strRef>
              <c:f>'13.2.1'!$E$100</c:f>
              <c:strCache>
                <c:ptCount val="1"/>
                <c:pt idx="0">
                  <c:v> Tanzania Zanzibar </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'13.2.1'!$F$96:$L$98</c:f>
              <c:strCache>
                <c:ptCount val="6"/>
                <c:pt idx="0">
                  <c:v> Cooperative  </c:v>
                </c:pt>
                <c:pt idx="1">
                  <c:v> Savings &amp; credit Society </c:v>
                </c:pt>
                <c:pt idx="2">
                  <c:v> Private individual  </c:v>
                </c:pt>
                <c:pt idx="3">
                  <c:v> Family, friend or relative </c:v>
                </c:pt>
                <c:pt idx="4">
                  <c:v> Bank </c:v>
                </c:pt>
                <c:pt idx="5">
                  <c:v> Other </c:v>
                </c:pt>
              </c:strCache>
            </c:strRef>
          </c:cat>
          <c:val>
            <c:numRef>
              <c:f>'13.2.1'!$F$100:$L$100</c:f>
              <c:numCache>
                <c:formatCode>_(* #,##0_);_(* \(#,##0\);_(* "-"??_);_(@_)</c:formatCode>
                <c:ptCount val="7"/>
                <c:pt idx="0">
                  <c:v>100</c:v>
                </c:pt>
                <c:pt idx="1">
                  <c:v>0</c:v>
                </c:pt>
                <c:pt idx="2">
                  <c:v>0</c:v>
                </c:pt>
                <c:pt idx="3" formatCode="_(* #,##0.0_);_(* \(#,##0.0\);_(* &quot;-&quot;??_);_(@_)">
                  <c:v>0</c:v>
                </c:pt>
                <c:pt idx="4">
                  <c:v>0</c:v>
                </c:pt>
                <c:pt idx="5" formatCode="_(* #,##0.0_);_(* \(#,##0.0\);_(* &quot;-&quot;??_);_(@_)">
                  <c:v>0</c:v>
                </c:pt>
              </c:numCache>
            </c:numRef>
          </c:val>
          <c:extLst>
            <c:ext xmlns:c16="http://schemas.microsoft.com/office/drawing/2014/chart" uri="{C3380CC4-5D6E-409C-BE32-E72D297353CC}">
              <c16:uniqueId val="{00000001-E472-FE42-AC93-33E2F6CE6EAE}"/>
            </c:ext>
          </c:extLst>
        </c:ser>
        <c:ser>
          <c:idx val="2"/>
          <c:order val="2"/>
          <c:tx>
            <c:strRef>
              <c:f>'13.2.1'!$E$101</c:f>
              <c:strCache>
                <c:ptCount val="1"/>
                <c:pt idx="0">
                  <c:v> Tanzania </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'13.2.1'!$F$96:$L$98</c:f>
              <c:strCache>
                <c:ptCount val="6"/>
                <c:pt idx="0">
                  <c:v> Cooperative  </c:v>
                </c:pt>
                <c:pt idx="1">
                  <c:v> Savings &amp; credit Society </c:v>
                </c:pt>
                <c:pt idx="2">
                  <c:v> Private individual  </c:v>
                </c:pt>
                <c:pt idx="3">
                  <c:v> Family, friend or relative </c:v>
                </c:pt>
                <c:pt idx="4">
                  <c:v> Bank </c:v>
                </c:pt>
                <c:pt idx="5">
                  <c:v> Other </c:v>
                </c:pt>
              </c:strCache>
            </c:strRef>
          </c:cat>
          <c:val>
            <c:numRef>
              <c:f>'13.2.1'!$F$101:$L$101</c:f>
              <c:numCache>
                <c:formatCode>_(* #,##0.0_);_(* \(#,##0.0\);_(* "-"??_);_(@_)</c:formatCode>
                <c:ptCount val="7"/>
                <c:pt idx="0">
                  <c:v>7</c:v>
                </c:pt>
                <c:pt idx="1">
                  <c:v>45.4</c:v>
                </c:pt>
                <c:pt idx="2">
                  <c:v>29</c:v>
                </c:pt>
                <c:pt idx="3">
                  <c:v>9.6</c:v>
                </c:pt>
                <c:pt idx="4">
                  <c:v>5.2</c:v>
                </c:pt>
                <c:pt idx="5">
                  <c:v>3.7</c:v>
                </c:pt>
              </c:numCache>
            </c:numRef>
          </c:val>
          <c:extLst>
            <c:ext xmlns:c16="http://schemas.microsoft.com/office/drawing/2014/chart" uri="{C3380CC4-5D6E-409C-BE32-E72D297353CC}">
              <c16:uniqueId val="{00000002-E472-FE42-AC93-33E2F6CE6EAE}"/>
            </c:ext>
          </c:extLst>
        </c:ser>
        <c:dLbls>
          <c:showLegendKey val="0"/>
          <c:showVal val="0"/>
          <c:showCatName val="0"/>
          <c:showSerName val="0"/>
          <c:showPercent val="0"/>
          <c:showBubbleSize val="0"/>
        </c:dLbls>
        <c:gapWidth val="150"/>
        <c:axId val="133747072"/>
        <c:axId val="133748992"/>
      </c:barChart>
      <c:catAx>
        <c:axId val="133747072"/>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Source of Borrowing Credit</a:t>
                </a:r>
              </a:p>
            </c:rich>
          </c:tx>
          <c:layout>
            <c:manualLayout>
              <c:xMode val="edge"/>
              <c:yMode val="edge"/>
              <c:x val="0.35265339288984227"/>
              <c:y val="0.8792315204785448"/>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a:solidFill>
              <a:schemeClr val="tx1">
                <a:lumMod val="50000"/>
                <a:lumOff val="50000"/>
              </a:schemeClr>
            </a:solid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33748992"/>
        <c:crosses val="autoZero"/>
        <c:auto val="1"/>
        <c:lblAlgn val="ctr"/>
        <c:lblOffset val="100"/>
        <c:noMultiLvlLbl val="0"/>
      </c:catAx>
      <c:valAx>
        <c:axId val="133748992"/>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Percent</a:t>
                </a:r>
              </a:p>
            </c:rich>
          </c:tx>
          <c:layout>
            <c:manualLayout>
              <c:xMode val="edge"/>
              <c:yMode val="edge"/>
              <c:x val="1.814506108248097E-2"/>
              <c:y val="0.29390052018691465"/>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a:solidFill>
              <a:schemeClr val="tx1">
                <a:lumMod val="50000"/>
                <a:lumOff val="50000"/>
              </a:schemeClr>
            </a:solid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33747072"/>
        <c:crosses val="autoZero"/>
        <c:crossBetween val="between"/>
      </c:valAx>
      <c:spPr>
        <a:noFill/>
        <a:ln>
          <a:noFill/>
        </a:ln>
        <a:effectLst/>
      </c:spPr>
    </c:plotArea>
    <c:legend>
      <c:legendPos val="tr"/>
      <c:layout>
        <c:manualLayout>
          <c:xMode val="edge"/>
          <c:yMode val="edge"/>
          <c:x val="0.77296920370418809"/>
          <c:y val="8.094569574152069E-2"/>
          <c:w val="0.208352244486881"/>
          <c:h val="0.27132189871614887"/>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50000"/>
          <a:lumOff val="50000"/>
        </a:schemeClr>
      </a:solidFill>
      <a:round/>
    </a:ln>
    <a:effectLst/>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0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'13.3'!$AB$48</c:f>
              <c:strCache>
                <c:ptCount val="1"/>
                <c:pt idx="0">
                  <c:v>Mainland</c:v>
                </c:pt>
              </c:strCache>
            </c:strRef>
          </c:tx>
          <c:spPr>
            <a:solidFill>
              <a:schemeClr val="accent1"/>
            </a:solidFill>
            <a:ln>
              <a:noFill/>
            </a:ln>
            <a:effectLst/>
          </c:spPr>
          <c:invertIfNegative val="0"/>
          <c:cat>
            <c:strRef>
              <c:f>'13.3'!$Z$49:$Z$57</c:f>
              <c:strCache>
                <c:ptCount val="9"/>
                <c:pt idx="0">
                  <c:v>Credit granted too late</c:v>
                </c:pt>
                <c:pt idx="1">
                  <c:v>Other </c:v>
                </c:pt>
                <c:pt idx="2">
                  <c:v>Difficult bureaucratic procedure</c:v>
                </c:pt>
                <c:pt idx="3">
                  <c:v>Interest rate/cost too high</c:v>
                </c:pt>
                <c:pt idx="4">
                  <c:v>Don’t know about credit</c:v>
                </c:pt>
                <c:pt idx="5">
                  <c:v>Did not know how to get credit</c:v>
                </c:pt>
                <c:pt idx="6">
                  <c:v>Did not want to go into debt</c:v>
                </c:pt>
                <c:pt idx="7">
                  <c:v> Not available</c:v>
                </c:pt>
                <c:pt idx="8">
                  <c:v>Not Needed</c:v>
                </c:pt>
              </c:strCache>
            </c:strRef>
          </c:cat>
          <c:val>
            <c:numRef>
              <c:f>'13.3'!$AB$49:$AB$57</c:f>
              <c:numCache>
                <c:formatCode>_(* #,##0.0_);_(* \(#,##0.0\);_(* "-"??_);_(@_)</c:formatCode>
                <c:ptCount val="9"/>
                <c:pt idx="0">
                  <c:v>0.65149374523920167</c:v>
                </c:pt>
                <c:pt idx="1">
                  <c:v>1.569734741993408</c:v>
                </c:pt>
                <c:pt idx="2">
                  <c:v>1.8820281805323242</c:v>
                </c:pt>
                <c:pt idx="3">
                  <c:v>4.798789706806093</c:v>
                </c:pt>
                <c:pt idx="4">
                  <c:v>11.260347842542963</c:v>
                </c:pt>
                <c:pt idx="5">
                  <c:v>15.818183965597221</c:v>
                </c:pt>
                <c:pt idx="6">
                  <c:v>19.847996558310182</c:v>
                </c:pt>
                <c:pt idx="7">
                  <c:v>20.13060012769223</c:v>
                </c:pt>
                <c:pt idx="8">
                  <c:v>24.040825131286375</c:v>
                </c:pt>
              </c:numCache>
            </c:numRef>
          </c:val>
          <c:extLst>
            <c:ext xmlns:c16="http://schemas.microsoft.com/office/drawing/2014/chart" uri="{C3380CC4-5D6E-409C-BE32-E72D297353CC}">
              <c16:uniqueId val="{00000000-6548-489C-8407-735D5F74A896}"/>
            </c:ext>
          </c:extLst>
        </c:ser>
        <c:ser>
          <c:idx val="1"/>
          <c:order val="1"/>
          <c:tx>
            <c:strRef>
              <c:f>'13.3'!$AC$48</c:f>
              <c:strCache>
                <c:ptCount val="1"/>
                <c:pt idx="0">
                  <c:v>Zanzibar</c:v>
                </c:pt>
              </c:strCache>
            </c:strRef>
          </c:tx>
          <c:spPr>
            <a:solidFill>
              <a:schemeClr val="accent2"/>
            </a:solidFill>
            <a:ln>
              <a:noFill/>
            </a:ln>
            <a:effectLst/>
          </c:spPr>
          <c:invertIfNegative val="0"/>
          <c:cat>
            <c:strRef>
              <c:f>'13.3'!$Z$49:$Z$57</c:f>
              <c:strCache>
                <c:ptCount val="9"/>
                <c:pt idx="0">
                  <c:v>Credit granted too late</c:v>
                </c:pt>
                <c:pt idx="1">
                  <c:v>Other </c:v>
                </c:pt>
                <c:pt idx="2">
                  <c:v>Difficult bureaucratic procedure</c:v>
                </c:pt>
                <c:pt idx="3">
                  <c:v>Interest rate/cost too high</c:v>
                </c:pt>
                <c:pt idx="4">
                  <c:v>Don’t know about credit</c:v>
                </c:pt>
                <c:pt idx="5">
                  <c:v>Did not know how to get credit</c:v>
                </c:pt>
                <c:pt idx="6">
                  <c:v>Did not want to go into debt</c:v>
                </c:pt>
                <c:pt idx="7">
                  <c:v> Not available</c:v>
                </c:pt>
                <c:pt idx="8">
                  <c:v>Not Needed</c:v>
                </c:pt>
              </c:strCache>
            </c:strRef>
          </c:cat>
          <c:val>
            <c:numRef>
              <c:f>'13.3'!$AC$49:$AC$57</c:f>
              <c:numCache>
                <c:formatCode>_(* #,##0.0_);_(* \(#,##0.0\);_(* "-"??_);_(@_)</c:formatCode>
                <c:ptCount val="9"/>
                <c:pt idx="0">
                  <c:v>0.40421653324879131</c:v>
                </c:pt>
                <c:pt idx="1">
                  <c:v>0.77672980898787347</c:v>
                </c:pt>
                <c:pt idx="2">
                  <c:v>0.76767173541367084</c:v>
                </c:pt>
                <c:pt idx="3">
                  <c:v>0.85145891597504497</c:v>
                </c:pt>
                <c:pt idx="4">
                  <c:v>12.642806191193287</c:v>
                </c:pt>
                <c:pt idx="5">
                  <c:v>31.267903848549008</c:v>
                </c:pt>
                <c:pt idx="6">
                  <c:v>11.958921636340991</c:v>
                </c:pt>
                <c:pt idx="7">
                  <c:v>27.143083594696495</c:v>
                </c:pt>
                <c:pt idx="8">
                  <c:v>14.187207735594832</c:v>
                </c:pt>
              </c:numCache>
            </c:numRef>
          </c:val>
          <c:extLst>
            <c:ext xmlns:c16="http://schemas.microsoft.com/office/drawing/2014/chart" uri="{C3380CC4-5D6E-409C-BE32-E72D297353CC}">
              <c16:uniqueId val="{00000001-6548-489C-8407-735D5F74A896}"/>
            </c:ext>
          </c:extLst>
        </c:ser>
        <c:ser>
          <c:idx val="2"/>
          <c:order val="2"/>
          <c:tx>
            <c:strRef>
              <c:f>'13.3'!$AA$48</c:f>
              <c:strCache>
                <c:ptCount val="1"/>
                <c:pt idx="0">
                  <c:v>Tanzania</c:v>
                </c:pt>
              </c:strCache>
            </c:strRef>
          </c:tx>
          <c:spPr>
            <a:solidFill>
              <a:schemeClr val="accent3"/>
            </a:solidFill>
            <a:ln>
              <a:noFill/>
            </a:ln>
            <a:effectLst/>
          </c:spPr>
          <c:invertIfNegative val="0"/>
          <c:cat>
            <c:strRef>
              <c:f>'13.3'!$Z$49:$Z$57</c:f>
              <c:strCache>
                <c:ptCount val="9"/>
                <c:pt idx="0">
                  <c:v>Credit granted too late</c:v>
                </c:pt>
                <c:pt idx="1">
                  <c:v>Other </c:v>
                </c:pt>
                <c:pt idx="2">
                  <c:v>Difficult bureaucratic procedure</c:v>
                </c:pt>
                <c:pt idx="3">
                  <c:v>Interest rate/cost too high</c:v>
                </c:pt>
                <c:pt idx="4">
                  <c:v>Don’t know about credit</c:v>
                </c:pt>
                <c:pt idx="5">
                  <c:v>Did not know how to get credit</c:v>
                </c:pt>
                <c:pt idx="6">
                  <c:v>Did not want to go into debt</c:v>
                </c:pt>
                <c:pt idx="7">
                  <c:v> Not available</c:v>
                </c:pt>
                <c:pt idx="8">
                  <c:v>Not Needed</c:v>
                </c:pt>
              </c:strCache>
            </c:strRef>
          </c:cat>
          <c:val>
            <c:numRef>
              <c:f>'13.3'!$AA$49:$AA$57</c:f>
              <c:numCache>
                <c:formatCode>_(* #,##0_);_(* \(#,##0\);_(* "-"??_);_(@_)</c:formatCode>
                <c:ptCount val="9"/>
                <c:pt idx="0">
                  <c:v>0.6457029742454613</c:v>
                </c:pt>
                <c:pt idx="1">
                  <c:v>1.5511640458626235</c:v>
                </c:pt>
                <c:pt idx="2">
                  <c:v>1.8559320314891565</c:v>
                </c:pt>
                <c:pt idx="3">
                  <c:v>4.7063505836768291</c:v>
                </c:pt>
                <c:pt idx="4">
                  <c:v>11.292722438006006</c:v>
                </c:pt>
                <c:pt idx="5">
                  <c:v>16.179987582839075</c:v>
                </c:pt>
                <c:pt idx="6">
                  <c:v>19.663249141199401</c:v>
                </c:pt>
                <c:pt idx="7">
                  <c:v>20.294819408263816</c:v>
                </c:pt>
                <c:pt idx="8">
                  <c:v>23.810071794417635</c:v>
                </c:pt>
              </c:numCache>
            </c:numRef>
          </c:val>
          <c:extLst>
            <c:ext xmlns:c16="http://schemas.microsoft.com/office/drawing/2014/chart" uri="{C3380CC4-5D6E-409C-BE32-E72D297353CC}">
              <c16:uniqueId val="{00000002-6548-489C-8407-735D5F74A896}"/>
            </c:ext>
          </c:extLst>
        </c:ser>
        <c:dLbls>
          <c:showLegendKey val="0"/>
          <c:showVal val="0"/>
          <c:showCatName val="0"/>
          <c:showSerName val="0"/>
          <c:showPercent val="0"/>
          <c:showBubbleSize val="0"/>
        </c:dLbls>
        <c:gapWidth val="182"/>
        <c:axId val="133813376"/>
        <c:axId val="133814912"/>
      </c:barChart>
      <c:catAx>
        <c:axId val="133813376"/>
        <c:scaling>
          <c:orientation val="minMax"/>
        </c:scaling>
        <c:delete val="0"/>
        <c:axPos val="l"/>
        <c:numFmt formatCode="General" sourceLinked="1"/>
        <c:majorTickMark val="out"/>
        <c:minorTickMark val="none"/>
        <c:tickLblPos val="nextTo"/>
        <c:spPr>
          <a:noFill/>
          <a:ln w="9525" cap="flat" cmpd="sng" algn="ctr">
            <a:solidFill>
              <a:schemeClr val="tx1">
                <a:lumMod val="50000"/>
                <a:lumOff val="50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33814912"/>
        <c:crosses val="autoZero"/>
        <c:auto val="1"/>
        <c:lblAlgn val="ctr"/>
        <c:lblOffset val="100"/>
        <c:noMultiLvlLbl val="0"/>
      </c:catAx>
      <c:valAx>
        <c:axId val="133814912"/>
        <c:scaling>
          <c:orientation val="minMax"/>
        </c:scaling>
        <c:delete val="0"/>
        <c:axPos val="b"/>
        <c:numFmt formatCode="#,##0" sourceLinked="0"/>
        <c:majorTickMark val="out"/>
        <c:minorTickMark val="none"/>
        <c:tickLblPos val="nextTo"/>
        <c:spPr>
          <a:noFill/>
          <a:ln>
            <a:solidFill>
              <a:schemeClr val="tx1">
                <a:lumMod val="50000"/>
                <a:lumOff val="50000"/>
              </a:schemeClr>
            </a:solid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33813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50000"/>
          <a:lumOff val="50000"/>
        </a:schemeClr>
      </a:solidFill>
      <a:round/>
    </a:ln>
    <a:effectLst/>
  </c:spPr>
  <c:txPr>
    <a:bodyPr/>
    <a:lstStyle/>
    <a:p>
      <a:pPr>
        <a:defRPr sz="90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0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707652459836037"/>
          <c:y val="8.6767448971791131E-2"/>
          <c:w val="0.81516340739928783"/>
          <c:h val="0.71686377188288375"/>
        </c:manualLayout>
      </c:layout>
      <c:barChart>
        <c:barDir val="col"/>
        <c:grouping val="clustered"/>
        <c:varyColors val="0"/>
        <c:ser>
          <c:idx val="0"/>
          <c:order val="0"/>
          <c:tx>
            <c:strRef>
              <c:f>'Food Sec.  (tables&amp;charts) (2)'!$A$52</c:f>
              <c:strCache>
                <c:ptCount val="1"/>
                <c:pt idx="0">
                  <c:v>Tanzania</c:v>
                </c:pt>
              </c:strCache>
            </c:strRef>
          </c:tx>
          <c:spPr>
            <a:solidFill>
              <a:schemeClr val="bg2">
                <a:lumMod val="75000"/>
              </a:schemeClr>
            </a:solidFill>
            <a:ln>
              <a:noFill/>
            </a:ln>
            <a:effectLst/>
          </c:spPr>
          <c:invertIfNegative val="0"/>
          <c:dLbls>
            <c:dLbl>
              <c:idx val="0"/>
              <c:layout>
                <c:manualLayout>
                  <c:x val="-1.3014608642007571E-2"/>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646-E142-9540-EEC96BE51CB7}"/>
                </c:ext>
              </c:extLst>
            </c:dLbl>
            <c:dLbl>
              <c:idx val="1"/>
              <c:layout>
                <c:manualLayout>
                  <c:x val="-1.0845507201673054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646-E142-9540-EEC96BE51CB7}"/>
                </c:ext>
              </c:extLst>
            </c:dLbl>
            <c:dLbl>
              <c:idx val="2"/>
              <c:layout>
                <c:manualLayout>
                  <c:x val="-6.5073043210037854E-3"/>
                  <c:y val="-4.2437781360066642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646-E142-9540-EEC96BE51CB7}"/>
                </c:ext>
              </c:extLst>
            </c:dLbl>
            <c:dLbl>
              <c:idx val="3"/>
              <c:layout>
                <c:manualLayout>
                  <c:x val="-8.6764320757022895E-3"/>
                  <c:y val="1.50126137145477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646-E142-9540-EEC96BE51CB7}"/>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'Food Sec.  (tables&amp;charts) (2)'!$F$50:$I$51</c:f>
              <c:strCache>
                <c:ptCount val="4"/>
                <c:pt idx="0">
                  <c:v>One</c:v>
                </c:pt>
                <c:pt idx="1">
                  <c:v>Two</c:v>
                </c:pt>
                <c:pt idx="2">
                  <c:v>Three</c:v>
                </c:pt>
                <c:pt idx="3">
                  <c:v>Four</c:v>
                </c:pt>
              </c:strCache>
            </c:strRef>
          </c:cat>
          <c:val>
            <c:numRef>
              <c:f>'Food Sec.  (tables&amp;charts) (2)'!$F$52:$I$52</c:f>
              <c:numCache>
                <c:formatCode>General</c:formatCode>
                <c:ptCount val="4"/>
                <c:pt idx="0">
                  <c:v>1.7</c:v>
                </c:pt>
                <c:pt idx="1">
                  <c:v>46.7</c:v>
                </c:pt>
                <c:pt idx="2">
                  <c:v>51.4</c:v>
                </c:pt>
                <c:pt idx="3" formatCode="_-* #,##0.0_-;\-* #,##0.0_-;_-* &quot;-&quot;??_-;_-@_-">
                  <c:v>0.1</c:v>
                </c:pt>
              </c:numCache>
            </c:numRef>
          </c:val>
          <c:extLst>
            <c:ext xmlns:c16="http://schemas.microsoft.com/office/drawing/2014/chart" uri="{C3380CC4-5D6E-409C-BE32-E72D297353CC}">
              <c16:uniqueId val="{00000004-D646-E142-9540-EEC96BE51CB7}"/>
            </c:ext>
          </c:extLst>
        </c:ser>
        <c:ser>
          <c:idx val="1"/>
          <c:order val="1"/>
          <c:tx>
            <c:strRef>
              <c:f>'Food Sec.  (tables&amp;charts) (2)'!$A$53</c:f>
              <c:strCache>
                <c:ptCount val="1"/>
                <c:pt idx="0">
                  <c:v>Mainland Tanzania</c:v>
                </c:pt>
              </c:strCache>
            </c:strRef>
          </c:tx>
          <c:spPr>
            <a:solidFill>
              <a:schemeClr val="accent6"/>
            </a:solidFill>
            <a:ln>
              <a:noFill/>
            </a:ln>
            <a:effectLst/>
          </c:spPr>
          <c:invertIfNegative val="0"/>
          <c:dLbls>
            <c:dLbl>
              <c:idx val="2"/>
              <c:layout>
                <c:manualLayout>
                  <c:x val="4.2418422752588296E-3"/>
                  <c:y val="6.7426037764696891E-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646-E142-9540-EEC96BE51CB7}"/>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'Food Sec.  (tables&amp;charts) (2)'!$F$50:$I$51</c:f>
              <c:strCache>
                <c:ptCount val="4"/>
                <c:pt idx="0">
                  <c:v>One</c:v>
                </c:pt>
                <c:pt idx="1">
                  <c:v>Two</c:v>
                </c:pt>
                <c:pt idx="2">
                  <c:v>Three</c:v>
                </c:pt>
                <c:pt idx="3">
                  <c:v>Four</c:v>
                </c:pt>
              </c:strCache>
            </c:strRef>
          </c:cat>
          <c:val>
            <c:numRef>
              <c:f>'Food Sec.  (tables&amp;charts) (2)'!$F$53:$I$53</c:f>
              <c:numCache>
                <c:formatCode>General</c:formatCode>
                <c:ptCount val="4"/>
                <c:pt idx="0">
                  <c:v>1.7</c:v>
                </c:pt>
                <c:pt idx="1">
                  <c:v>46.6</c:v>
                </c:pt>
                <c:pt idx="2">
                  <c:v>51.6</c:v>
                </c:pt>
                <c:pt idx="3" formatCode="_-* #,##0.0_-;\-* #,##0.0_-;_-* &quot;-&quot;??_-;_-@_-">
                  <c:v>0.1</c:v>
                </c:pt>
              </c:numCache>
            </c:numRef>
          </c:val>
          <c:extLst>
            <c:ext xmlns:c16="http://schemas.microsoft.com/office/drawing/2014/chart" uri="{C3380CC4-5D6E-409C-BE32-E72D297353CC}">
              <c16:uniqueId val="{00000006-D646-E142-9540-EEC96BE51CB7}"/>
            </c:ext>
          </c:extLst>
        </c:ser>
        <c:ser>
          <c:idx val="2"/>
          <c:order val="2"/>
          <c:tx>
            <c:strRef>
              <c:f>'Food Sec.  (tables&amp;charts) (2)'!$A$54</c:f>
              <c:strCache>
                <c:ptCount val="1"/>
                <c:pt idx="0">
                  <c:v>Tanzania Zanzibar</c:v>
                </c:pt>
              </c:strCache>
            </c:strRef>
          </c:tx>
          <c:spPr>
            <a:solidFill>
              <a:srgbClr val="0070C0"/>
            </a:solidFill>
            <a:ln>
              <a:noFill/>
            </a:ln>
            <a:effectLst/>
          </c:spPr>
          <c:invertIfNegative val="0"/>
          <c:dLbls>
            <c:dLbl>
              <c:idx val="0"/>
              <c:layout>
                <c:manualLayout>
                  <c:x val="6.5073043210037854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646-E142-9540-EEC96BE51CB7}"/>
                </c:ext>
              </c:extLst>
            </c:dLbl>
            <c:dLbl>
              <c:idx val="2"/>
              <c:layout>
                <c:manualLayout>
                  <c:x val="1.7352811522676759E-2"/>
                  <c:y val="-4.2437781360066642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646-E142-9540-EEC96BE51CB7}"/>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'Food Sec.  (tables&amp;charts) (2)'!$F$50:$I$51</c:f>
              <c:strCache>
                <c:ptCount val="4"/>
                <c:pt idx="0">
                  <c:v>One</c:v>
                </c:pt>
                <c:pt idx="1">
                  <c:v>Two</c:v>
                </c:pt>
                <c:pt idx="2">
                  <c:v>Three</c:v>
                </c:pt>
                <c:pt idx="3">
                  <c:v>Four</c:v>
                </c:pt>
              </c:strCache>
            </c:strRef>
          </c:cat>
          <c:val>
            <c:numRef>
              <c:f>'Food Sec.  (tables&amp;charts) (2)'!$F$54:$I$54</c:f>
              <c:numCache>
                <c:formatCode>General</c:formatCode>
                <c:ptCount val="4"/>
                <c:pt idx="0">
                  <c:v>3.4</c:v>
                </c:pt>
                <c:pt idx="1">
                  <c:v>52.8</c:v>
                </c:pt>
                <c:pt idx="2">
                  <c:v>43.8</c:v>
                </c:pt>
                <c:pt idx="3" formatCode="_-* #,##0.00_-;\-* #,##0.00_-;_-* &quot;-&quot;??_-;_-@_-">
                  <c:v>0</c:v>
                </c:pt>
              </c:numCache>
            </c:numRef>
          </c:val>
          <c:extLst>
            <c:ext xmlns:c16="http://schemas.microsoft.com/office/drawing/2014/chart" uri="{C3380CC4-5D6E-409C-BE32-E72D297353CC}">
              <c16:uniqueId val="{00000009-D646-E142-9540-EEC96BE51CB7}"/>
            </c:ext>
          </c:extLst>
        </c:ser>
        <c:dLbls>
          <c:showLegendKey val="0"/>
          <c:showVal val="0"/>
          <c:showCatName val="0"/>
          <c:showSerName val="0"/>
          <c:showPercent val="0"/>
          <c:showBubbleSize val="0"/>
        </c:dLbls>
        <c:gapWidth val="150"/>
        <c:axId val="302932191"/>
        <c:axId val="592614991"/>
      </c:barChart>
      <c:catAx>
        <c:axId val="302932191"/>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Number of Meals</a:t>
                </a:r>
              </a:p>
            </c:rich>
          </c:tx>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a:solidFill>
              <a:schemeClr val="tx1">
                <a:lumMod val="50000"/>
                <a:lumOff val="50000"/>
              </a:schemeClr>
            </a:solid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92614991"/>
        <c:crosses val="autoZero"/>
        <c:auto val="1"/>
        <c:lblAlgn val="ctr"/>
        <c:lblOffset val="100"/>
        <c:noMultiLvlLbl val="0"/>
      </c:catAx>
      <c:valAx>
        <c:axId val="592614991"/>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Percent</a:t>
                </a:r>
              </a:p>
            </c:rich>
          </c:tx>
          <c:layout>
            <c:manualLayout>
              <c:xMode val="edge"/>
              <c:yMode val="edge"/>
              <c:x val="2.8353976015491677E-2"/>
              <c:y val="0.35013610152938662"/>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a:solidFill>
              <a:schemeClr val="tx1">
                <a:lumMod val="50000"/>
                <a:lumOff val="50000"/>
              </a:schemeClr>
            </a:solid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302932191"/>
        <c:crosses val="autoZero"/>
        <c:crossBetween val="between"/>
      </c:valAx>
      <c:spPr>
        <a:noFill/>
        <a:ln>
          <a:noFill/>
        </a:ln>
        <a:effectLst/>
      </c:spPr>
    </c:plotArea>
    <c:legend>
      <c:legendPos val="tr"/>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50000"/>
          <a:lumOff val="50000"/>
        </a:schemeClr>
      </a:solidFill>
      <a:round/>
    </a:ln>
    <a:effectLst/>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0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756638790439443E-2"/>
          <c:y val="0.12556721955549177"/>
          <c:w val="0.826081673271994"/>
          <c:h val="0.69086477120322665"/>
        </c:manualLayout>
      </c:layout>
      <c:barChart>
        <c:barDir val="col"/>
        <c:grouping val="clustered"/>
        <c:varyColors val="0"/>
        <c:ser>
          <c:idx val="0"/>
          <c:order val="0"/>
          <c:tx>
            <c:strRef>
              <c:f>'Food Sec.  (tables&amp;charts) (2)'!$X$110</c:f>
              <c:strCache>
                <c:ptCount val="1"/>
                <c:pt idx="0">
                  <c:v>Mainland Tanzania</c:v>
                </c:pt>
              </c:strCache>
            </c:strRef>
          </c:tx>
          <c:spPr>
            <a:solidFill>
              <a:schemeClr val="accent6"/>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'Food Sec.  (tables&amp;charts) (2)'!$V$120:$W$127</c:f>
              <c:strCache>
                <c:ptCount val="8"/>
                <c:pt idx="0">
                  <c:v>Not Eaten</c:v>
                </c:pt>
                <c:pt idx="1">
                  <c:v>One</c:v>
                </c:pt>
                <c:pt idx="2">
                  <c:v>Two</c:v>
                </c:pt>
                <c:pt idx="3">
                  <c:v>Three</c:v>
                </c:pt>
                <c:pt idx="4">
                  <c:v>Four</c:v>
                </c:pt>
                <c:pt idx="5">
                  <c:v>Five</c:v>
                </c:pt>
                <c:pt idx="6">
                  <c:v>Six</c:v>
                </c:pt>
                <c:pt idx="7">
                  <c:v>Seven</c:v>
                </c:pt>
              </c:strCache>
            </c:strRef>
          </c:cat>
          <c:val>
            <c:numRef>
              <c:f>'Food Sec.  (tables&amp;charts) (2)'!$X$120:$X$127</c:f>
              <c:numCache>
                <c:formatCode>_-* #,##0.0_-;\-* #,##0.0_-;_-* "-"??_-;_-@_-</c:formatCode>
                <c:ptCount val="8"/>
                <c:pt idx="0">
                  <c:v>38.485500872709743</c:v>
                </c:pt>
                <c:pt idx="1">
                  <c:v>16.702482700888119</c:v>
                </c:pt>
                <c:pt idx="2">
                  <c:v>17.302951410995032</c:v>
                </c:pt>
                <c:pt idx="3">
                  <c:v>12.222533476728065</c:v>
                </c:pt>
                <c:pt idx="4">
                  <c:v>5.6926925495466021</c:v>
                </c:pt>
                <c:pt idx="5">
                  <c:v>4.2194618518424196</c:v>
                </c:pt>
                <c:pt idx="6">
                  <c:v>1.688466453402915</c:v>
                </c:pt>
                <c:pt idx="7">
                  <c:v>3.6859106838870939</c:v>
                </c:pt>
              </c:numCache>
            </c:numRef>
          </c:val>
          <c:extLst>
            <c:ext xmlns:c16="http://schemas.microsoft.com/office/drawing/2014/chart" uri="{C3380CC4-5D6E-409C-BE32-E72D297353CC}">
              <c16:uniqueId val="{00000000-1131-8240-A4EA-DFE73BBDE06A}"/>
            </c:ext>
          </c:extLst>
        </c:ser>
        <c:ser>
          <c:idx val="1"/>
          <c:order val="1"/>
          <c:tx>
            <c:strRef>
              <c:f>'Food Sec.  (tables&amp;charts) (2)'!$Y$110</c:f>
              <c:strCache>
                <c:ptCount val="1"/>
                <c:pt idx="0">
                  <c:v>Tanzania Zanzibar</c:v>
                </c:pt>
              </c:strCache>
            </c:strRef>
          </c:tx>
          <c:spPr>
            <a:solidFill>
              <a:srgbClr val="0070C0"/>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'Food Sec.  (tables&amp;charts) (2)'!$V$120:$W$127</c:f>
              <c:strCache>
                <c:ptCount val="8"/>
                <c:pt idx="0">
                  <c:v>Not Eaten</c:v>
                </c:pt>
                <c:pt idx="1">
                  <c:v>One</c:v>
                </c:pt>
                <c:pt idx="2">
                  <c:v>Two</c:v>
                </c:pt>
                <c:pt idx="3">
                  <c:v>Three</c:v>
                </c:pt>
                <c:pt idx="4">
                  <c:v>Four</c:v>
                </c:pt>
                <c:pt idx="5">
                  <c:v>Five</c:v>
                </c:pt>
                <c:pt idx="6">
                  <c:v>Six</c:v>
                </c:pt>
                <c:pt idx="7">
                  <c:v>Seven</c:v>
                </c:pt>
              </c:strCache>
            </c:strRef>
          </c:cat>
          <c:val>
            <c:numRef>
              <c:f>'Food Sec.  (tables&amp;charts) (2)'!$Y$120:$Y$127</c:f>
              <c:numCache>
                <c:formatCode>#,##0.0</c:formatCode>
                <c:ptCount val="8"/>
                <c:pt idx="0">
                  <c:v>11.314630059150584</c:v>
                </c:pt>
                <c:pt idx="1">
                  <c:v>5.8595700762409972</c:v>
                </c:pt>
                <c:pt idx="2">
                  <c:v>10.824667902207326</c:v>
                </c:pt>
                <c:pt idx="3">
                  <c:v>17.055455059982908</c:v>
                </c:pt>
                <c:pt idx="4">
                  <c:v>13.682872964964654</c:v>
                </c:pt>
                <c:pt idx="5">
                  <c:v>13.514188371860746</c:v>
                </c:pt>
                <c:pt idx="6">
                  <c:v>8.4397784904948452</c:v>
                </c:pt>
                <c:pt idx="7">
                  <c:v>19.308837075097937</c:v>
                </c:pt>
              </c:numCache>
            </c:numRef>
          </c:val>
          <c:extLst>
            <c:ext xmlns:c16="http://schemas.microsoft.com/office/drawing/2014/chart" uri="{C3380CC4-5D6E-409C-BE32-E72D297353CC}">
              <c16:uniqueId val="{00000001-1131-8240-A4EA-DFE73BBDE06A}"/>
            </c:ext>
          </c:extLst>
        </c:ser>
        <c:ser>
          <c:idx val="2"/>
          <c:order val="2"/>
          <c:tx>
            <c:strRef>
              <c:f>'Food Sec.  (tables&amp;charts) (2)'!$Z$110</c:f>
              <c:strCache>
                <c:ptCount val="1"/>
                <c:pt idx="0">
                  <c:v>Tanzania</c:v>
                </c:pt>
              </c:strCache>
            </c:strRef>
          </c:tx>
          <c:spPr>
            <a:solidFill>
              <a:schemeClr val="accent3"/>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'Food Sec.  (tables&amp;charts) (2)'!$V$120:$W$127</c:f>
              <c:strCache>
                <c:ptCount val="8"/>
                <c:pt idx="0">
                  <c:v>Not Eaten</c:v>
                </c:pt>
                <c:pt idx="1">
                  <c:v>One</c:v>
                </c:pt>
                <c:pt idx="2">
                  <c:v>Two</c:v>
                </c:pt>
                <c:pt idx="3">
                  <c:v>Three</c:v>
                </c:pt>
                <c:pt idx="4">
                  <c:v>Four</c:v>
                </c:pt>
                <c:pt idx="5">
                  <c:v>Five</c:v>
                </c:pt>
                <c:pt idx="6">
                  <c:v>Six</c:v>
                </c:pt>
                <c:pt idx="7">
                  <c:v>Seven</c:v>
                </c:pt>
              </c:strCache>
            </c:strRef>
          </c:cat>
          <c:val>
            <c:numRef>
              <c:f>'Food Sec.  (tables&amp;charts) (2)'!$Z$120:$Z$127</c:f>
              <c:numCache>
                <c:formatCode>#,##0.0</c:formatCode>
                <c:ptCount val="8"/>
                <c:pt idx="0">
                  <c:v>37.860717383041298</c:v>
                </c:pt>
                <c:pt idx="1">
                  <c:v>16.453154188957747</c:v>
                </c:pt>
                <c:pt idx="2">
                  <c:v>17.153985829234507</c:v>
                </c:pt>
                <c:pt idx="3">
                  <c:v>12.333664608034065</c:v>
                </c:pt>
                <c:pt idx="4">
                  <c:v>5.8764236061358588</c:v>
                </c:pt>
                <c:pt idx="5">
                  <c:v>4.4331904331064766</c:v>
                </c:pt>
                <c:pt idx="6">
                  <c:v>1.8437102188058978</c:v>
                </c:pt>
                <c:pt idx="7">
                  <c:v>4.045153732684156</c:v>
                </c:pt>
              </c:numCache>
            </c:numRef>
          </c:val>
          <c:extLst>
            <c:ext xmlns:c16="http://schemas.microsoft.com/office/drawing/2014/chart" uri="{C3380CC4-5D6E-409C-BE32-E72D297353CC}">
              <c16:uniqueId val="{00000002-1131-8240-A4EA-DFE73BBDE06A}"/>
            </c:ext>
          </c:extLst>
        </c:ser>
        <c:dLbls>
          <c:dLblPos val="outEnd"/>
          <c:showLegendKey val="0"/>
          <c:showVal val="1"/>
          <c:showCatName val="0"/>
          <c:showSerName val="0"/>
          <c:showPercent val="0"/>
          <c:showBubbleSize val="0"/>
        </c:dLbls>
        <c:gapWidth val="150"/>
        <c:axId val="338603024"/>
        <c:axId val="2113534336"/>
      </c:barChart>
      <c:catAx>
        <c:axId val="338603024"/>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Number of Days</a:t>
                </a:r>
              </a:p>
            </c:rich>
          </c:tx>
          <c:layout>
            <c:manualLayout>
              <c:xMode val="edge"/>
              <c:yMode val="edge"/>
              <c:x val="0.42591179705641008"/>
              <c:y val="0.89657498262364943"/>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a:solidFill>
              <a:schemeClr val="tx1">
                <a:lumMod val="50000"/>
                <a:lumOff val="50000"/>
              </a:schemeClr>
            </a:solid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2113534336"/>
        <c:crosses val="autoZero"/>
        <c:auto val="1"/>
        <c:lblAlgn val="ctr"/>
        <c:lblOffset val="100"/>
        <c:noMultiLvlLbl val="0"/>
      </c:catAx>
      <c:valAx>
        <c:axId val="2113534336"/>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Percent</a:t>
                </a:r>
              </a:p>
            </c:rich>
          </c:tx>
          <c:layout>
            <c:manualLayout>
              <c:xMode val="edge"/>
              <c:yMode val="edge"/>
              <c:x val="1.9955654101995565E-2"/>
              <c:y val="0.32998032311854097"/>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w="3175">
            <a:solidFill>
              <a:schemeClr val="tx1">
                <a:lumMod val="50000"/>
                <a:lumOff val="50000"/>
              </a:schemeClr>
            </a:solid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338603024"/>
        <c:crosses val="autoZero"/>
        <c:crossBetween val="between"/>
      </c:valAx>
      <c:spPr>
        <a:noFill/>
        <a:ln>
          <a:noFill/>
        </a:ln>
        <a:effectLst/>
      </c:spPr>
    </c:plotArea>
    <c:legend>
      <c:legendPos val="tr"/>
      <c:layout>
        <c:manualLayout>
          <c:xMode val="edge"/>
          <c:yMode val="edge"/>
          <c:x val="0.80278331616530174"/>
          <c:y val="0.11603812681309573"/>
          <c:w val="0.16839185013181554"/>
          <c:h val="0.1835862829620396"/>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50000"/>
          <a:lumOff val="50000"/>
        </a:schemeClr>
      </a:solidFill>
      <a:round/>
    </a:ln>
    <a:effectLst/>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0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673967352918094"/>
          <c:y val="3.6431956796767306E-2"/>
          <c:w val="0.68211261019698122"/>
          <c:h val="0.75674163031779296"/>
        </c:manualLayout>
      </c:layout>
      <c:barChart>
        <c:barDir val="col"/>
        <c:grouping val="clustered"/>
        <c:varyColors val="0"/>
        <c:ser>
          <c:idx val="0"/>
          <c:order val="0"/>
          <c:tx>
            <c:strRef>
              <c:f>'Food Sec.  (tables&amp;charts)'!$J$107</c:f>
              <c:strCache>
                <c:ptCount val="1"/>
                <c:pt idx="0">
                  <c:v>Mainland Tanzania</c:v>
                </c:pt>
              </c:strCache>
            </c:strRef>
          </c:tx>
          <c:spPr>
            <a:solidFill>
              <a:srgbClr val="00B050"/>
            </a:solidFill>
            <a:ln>
              <a:noFill/>
            </a:ln>
            <a:effectLst/>
          </c:spPr>
          <c:invertIfNegative val="0"/>
          <c:dLbls>
            <c:dLbl>
              <c:idx val="0"/>
              <c:layout>
                <c:manualLayout>
                  <c:x val="-9.948833229040388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27D-564F-9AAB-00E4171152D5}"/>
                </c:ext>
              </c:extLst>
            </c:dLbl>
            <c:dLbl>
              <c:idx val="1"/>
              <c:layout>
                <c:manualLayout>
                  <c:x val="-7.9590665832322514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27D-564F-9AAB-00E4171152D5}"/>
                </c:ext>
              </c:extLst>
            </c:dLbl>
            <c:dLbl>
              <c:idx val="2"/>
              <c:layout>
                <c:manualLayout>
                  <c:x val="-5.9692999374242623E-3"/>
                  <c:y val="-8.4875562720133283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27D-564F-9AAB-00E4171152D5}"/>
                </c:ext>
              </c:extLst>
            </c:dLbl>
            <c:dLbl>
              <c:idx val="3"/>
              <c:layout>
                <c:manualLayout>
                  <c:x val="-1.3928366520656441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27D-564F-9AAB-00E4171152D5}"/>
                </c:ext>
              </c:extLst>
            </c:dLbl>
            <c:dLbl>
              <c:idx val="4"/>
              <c:layout>
                <c:manualLayout>
                  <c:x val="-7.9590665832322514E-3"/>
                  <c:y val="4.629629629629460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27D-564F-9AAB-00E4171152D5}"/>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'Food Sec.  (tables&amp;charts)'!$H$114:$I$118</c:f>
              <c:strCache>
                <c:ptCount val="5"/>
                <c:pt idx="0">
                  <c:v>Never</c:v>
                </c:pt>
                <c:pt idx="1">
                  <c:v>Seldom</c:v>
                </c:pt>
                <c:pt idx="2">
                  <c:v>Sometimes</c:v>
                </c:pt>
                <c:pt idx="3">
                  <c:v>Often</c:v>
                </c:pt>
                <c:pt idx="4">
                  <c:v>Always</c:v>
                </c:pt>
              </c:strCache>
            </c:strRef>
          </c:cat>
          <c:val>
            <c:numRef>
              <c:f>'Food Sec.  (tables&amp;charts)'!$J$114:$J$118</c:f>
              <c:numCache>
                <c:formatCode>_-* #,##0.0_-;\-* #,##0.0_-;_-* "-"??_-;_-@_-</c:formatCode>
                <c:ptCount val="5"/>
                <c:pt idx="0">
                  <c:v>38.265005151369557</c:v>
                </c:pt>
                <c:pt idx="1">
                  <c:v>32.232058587572695</c:v>
                </c:pt>
                <c:pt idx="2">
                  <c:v>10.05356144495361</c:v>
                </c:pt>
                <c:pt idx="3">
                  <c:v>19.071259458597524</c:v>
                </c:pt>
                <c:pt idx="4">
                  <c:v>0.3781153575066144</c:v>
                </c:pt>
              </c:numCache>
            </c:numRef>
          </c:val>
          <c:extLst>
            <c:ext xmlns:c16="http://schemas.microsoft.com/office/drawing/2014/chart" uri="{C3380CC4-5D6E-409C-BE32-E72D297353CC}">
              <c16:uniqueId val="{00000005-E27D-564F-9AAB-00E4171152D5}"/>
            </c:ext>
          </c:extLst>
        </c:ser>
        <c:ser>
          <c:idx val="1"/>
          <c:order val="1"/>
          <c:tx>
            <c:strRef>
              <c:f>'Food Sec.  (tables&amp;charts)'!$K$107</c:f>
              <c:strCache>
                <c:ptCount val="1"/>
                <c:pt idx="0">
                  <c:v>Tanzania Zanzibar</c:v>
                </c:pt>
              </c:strCache>
            </c:strRef>
          </c:tx>
          <c:spPr>
            <a:solidFill>
              <a:srgbClr val="0070C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'Food Sec.  (tables&amp;charts)'!$H$114:$I$118</c:f>
              <c:strCache>
                <c:ptCount val="5"/>
                <c:pt idx="0">
                  <c:v>Never</c:v>
                </c:pt>
                <c:pt idx="1">
                  <c:v>Seldom</c:v>
                </c:pt>
                <c:pt idx="2">
                  <c:v>Sometimes</c:v>
                </c:pt>
                <c:pt idx="3">
                  <c:v>Often</c:v>
                </c:pt>
                <c:pt idx="4">
                  <c:v>Always</c:v>
                </c:pt>
              </c:strCache>
            </c:strRef>
          </c:cat>
          <c:val>
            <c:numRef>
              <c:f>'Food Sec.  (tables&amp;charts)'!$K$114:$K$118</c:f>
              <c:numCache>
                <c:formatCode>_-* #,##0.0_-;\-* #,##0.0_-;_-* "-"??_-;_-@_-</c:formatCode>
                <c:ptCount val="5"/>
                <c:pt idx="0">
                  <c:v>32.827472936006345</c:v>
                </c:pt>
                <c:pt idx="1">
                  <c:v>40.730547494465128</c:v>
                </c:pt>
                <c:pt idx="2">
                  <c:v>8.5145460295969944</c:v>
                </c:pt>
                <c:pt idx="3">
                  <c:v>17.720465428557159</c:v>
                </c:pt>
                <c:pt idx="4">
                  <c:v>0.20696811137436813</c:v>
                </c:pt>
              </c:numCache>
            </c:numRef>
          </c:val>
          <c:extLst>
            <c:ext xmlns:c16="http://schemas.microsoft.com/office/drawing/2014/chart" uri="{C3380CC4-5D6E-409C-BE32-E72D297353CC}">
              <c16:uniqueId val="{00000006-E27D-564F-9AAB-00E4171152D5}"/>
            </c:ext>
          </c:extLst>
        </c:ser>
        <c:ser>
          <c:idx val="2"/>
          <c:order val="2"/>
          <c:tx>
            <c:strRef>
              <c:f>'Food Sec.  (tables&amp;charts)'!$L$107</c:f>
              <c:strCache>
                <c:ptCount val="1"/>
                <c:pt idx="0">
                  <c:v>Tanzania</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dLbls>
            <c:dLbl>
              <c:idx val="1"/>
              <c:layout>
                <c:manualLayout>
                  <c:x val="1.591813316646443E-2"/>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27D-564F-9AAB-00E4171152D5}"/>
                </c:ext>
              </c:extLst>
            </c:dLbl>
            <c:dLbl>
              <c:idx val="2"/>
              <c:layout>
                <c:manualLayout>
                  <c:x val="3.9795332916161257E-3"/>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27D-564F-9AAB-00E4171152D5}"/>
                </c:ext>
              </c:extLst>
            </c:dLbl>
            <c:dLbl>
              <c:idx val="3"/>
              <c:layout>
                <c:manualLayout>
                  <c:x val="2.5866966395504818E-2"/>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27D-564F-9AAB-00E4171152D5}"/>
                </c:ext>
              </c:extLst>
            </c:dLbl>
            <c:dLbl>
              <c:idx val="4"/>
              <c:layout>
                <c:manualLayout>
                  <c:x val="2.3877199749696612E-2"/>
                  <c:y val="-9.259259259259258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27D-564F-9AAB-00E4171152D5}"/>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'Food Sec.  (tables&amp;charts)'!$H$114:$I$118</c:f>
              <c:strCache>
                <c:ptCount val="5"/>
                <c:pt idx="0">
                  <c:v>Never</c:v>
                </c:pt>
                <c:pt idx="1">
                  <c:v>Seldom</c:v>
                </c:pt>
                <c:pt idx="2">
                  <c:v>Sometimes</c:v>
                </c:pt>
                <c:pt idx="3">
                  <c:v>Often</c:v>
                </c:pt>
                <c:pt idx="4">
                  <c:v>Always</c:v>
                </c:pt>
              </c:strCache>
            </c:strRef>
          </c:cat>
          <c:val>
            <c:numRef>
              <c:f>'Food Sec.  (tables&amp;charts)'!$L$114:$L$118</c:f>
              <c:numCache>
                <c:formatCode>_-* #,##0.0_-;\-* #,##0.0_-;_-* "-"??_-;_-@_-</c:formatCode>
                <c:ptCount val="5"/>
                <c:pt idx="0">
                  <c:v>38.139969234726586</c:v>
                </c:pt>
                <c:pt idx="1">
                  <c:v>32.42748112641322</c:v>
                </c:pt>
                <c:pt idx="2">
                  <c:v>10.018171824154107</c:v>
                </c:pt>
                <c:pt idx="3">
                  <c:v>19.040197983823223</c:v>
                </c:pt>
                <c:pt idx="4">
                  <c:v>0.37417983088286333</c:v>
                </c:pt>
              </c:numCache>
            </c:numRef>
          </c:val>
          <c:extLst>
            <c:ext xmlns:c16="http://schemas.microsoft.com/office/drawing/2014/chart" uri="{C3380CC4-5D6E-409C-BE32-E72D297353CC}">
              <c16:uniqueId val="{0000000B-E27D-564F-9AAB-00E4171152D5}"/>
            </c:ext>
          </c:extLst>
        </c:ser>
        <c:dLbls>
          <c:showLegendKey val="0"/>
          <c:showVal val="0"/>
          <c:showCatName val="0"/>
          <c:showSerName val="0"/>
          <c:showPercent val="0"/>
          <c:showBubbleSize val="0"/>
        </c:dLbls>
        <c:gapWidth val="150"/>
        <c:axId val="127259392"/>
        <c:axId val="127261312"/>
      </c:barChart>
      <c:catAx>
        <c:axId val="127259392"/>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b="0"/>
                  <a:t>Status</a:t>
                </a:r>
                <a:r>
                  <a:rPr lang="en-US" b="0" baseline="0"/>
                  <a:t> of Food Satisfaction</a:t>
                </a:r>
                <a:endParaRPr lang="en-US" b="0"/>
              </a:p>
            </c:rich>
          </c:tx>
          <c:layout>
            <c:manualLayout>
              <c:xMode val="edge"/>
              <c:yMode val="edge"/>
              <c:x val="0.34061674340126091"/>
              <c:y val="0.8929896712551218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chemeClr val="tx1">
                <a:lumMod val="50000"/>
                <a:lumOff val="50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27261312"/>
        <c:crosses val="autoZero"/>
        <c:auto val="1"/>
        <c:lblAlgn val="ctr"/>
        <c:lblOffset val="100"/>
        <c:noMultiLvlLbl val="0"/>
      </c:catAx>
      <c:valAx>
        <c:axId val="127261312"/>
        <c:scaling>
          <c:orientation val="minMax"/>
        </c:scaling>
        <c:delete val="0"/>
        <c:axPos val="l"/>
        <c:title>
          <c:tx>
            <c:rich>
              <a:bodyPr rot="-54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b="0"/>
                  <a:t>Percent</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a:solidFill>
              <a:schemeClr val="tx1">
                <a:lumMod val="50000"/>
                <a:lumOff val="50000"/>
              </a:schemeClr>
            </a:solid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27259392"/>
        <c:crosses val="autoZero"/>
        <c:crossBetween val="between"/>
        <c:majorUnit val="10"/>
        <c:minorUnit val="5"/>
      </c:valAx>
      <c:spPr>
        <a:noFill/>
        <a:ln>
          <a:noFill/>
        </a:ln>
        <a:effectLst/>
      </c:spPr>
    </c:plotArea>
    <c:legend>
      <c:legendPos val="tr"/>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50000"/>
          <a:lumOff val="50000"/>
        </a:scheme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0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4622419283690553"/>
          <c:y val="5.0013372208448939E-2"/>
          <c:w val="0.56118885070471947"/>
          <c:h val="0.83408059093676012"/>
        </c:manualLayout>
      </c:layout>
      <c:barChart>
        <c:barDir val="bar"/>
        <c:grouping val="clustered"/>
        <c:varyColors val="0"/>
        <c:ser>
          <c:idx val="0"/>
          <c:order val="0"/>
          <c:tx>
            <c:strRef>
              <c:f>'Home Income (table&amp;charts)'!$R$147</c:f>
              <c:strCache>
                <c:ptCount val="1"/>
                <c:pt idx="0">
                  <c:v> 2019/20 </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'Home Income (table&amp;charts)'!$Q$148:$Q$160</c:f>
              <c:strCache>
                <c:ptCount val="13"/>
                <c:pt idx="0">
                  <c:v> Sale of food crops  </c:v>
                </c:pt>
                <c:pt idx="1">
                  <c:v> Sale of Livestock </c:v>
                </c:pt>
                <c:pt idx="2">
                  <c:v> Sale of livestock products  </c:v>
                </c:pt>
                <c:pt idx="3">
                  <c:v> Sale of cash crops </c:v>
                </c:pt>
                <c:pt idx="4">
                  <c:v> Sale of forest products  </c:v>
                </c:pt>
                <c:pt idx="5">
                  <c:v> Business income </c:v>
                </c:pt>
                <c:pt idx="6">
                  <c:v> Wages or salaries in cash  </c:v>
                </c:pt>
                <c:pt idx="7">
                  <c:v> Casual cash earnings  </c:v>
                </c:pt>
                <c:pt idx="8">
                  <c:v> Cash remittances  </c:v>
                </c:pt>
                <c:pt idx="9">
                  <c:v> Fishing  </c:v>
                </c:pt>
                <c:pt idx="10">
                  <c:v> Fish farming </c:v>
                </c:pt>
                <c:pt idx="11">
                  <c:v> Other  </c:v>
                </c:pt>
                <c:pt idx="12">
                  <c:v> Not Applicable </c:v>
                </c:pt>
              </c:strCache>
            </c:strRef>
          </c:cat>
          <c:val>
            <c:numRef>
              <c:f>'Home Income (table&amp;charts)'!$R$148:$R$160</c:f>
              <c:numCache>
                <c:formatCode>_-* #,##0.0_-;\-* #,##0.0_-;_-* "-"??_-;_-@_-</c:formatCode>
                <c:ptCount val="13"/>
                <c:pt idx="0">
                  <c:v>44.53421763963965</c:v>
                </c:pt>
                <c:pt idx="1">
                  <c:v>3.4441502002257125</c:v>
                </c:pt>
                <c:pt idx="2">
                  <c:v>1.243077268560193</c:v>
                </c:pt>
                <c:pt idx="3">
                  <c:v>6.9226995414936443</c:v>
                </c:pt>
                <c:pt idx="4">
                  <c:v>0.37614491020943791</c:v>
                </c:pt>
                <c:pt idx="5">
                  <c:v>13.949885197970501</c:v>
                </c:pt>
                <c:pt idx="6">
                  <c:v>4.3783242029727951</c:v>
                </c:pt>
                <c:pt idx="7">
                  <c:v>15.745734717039632</c:v>
                </c:pt>
                <c:pt idx="8">
                  <c:v>4.7885875490675804</c:v>
                </c:pt>
                <c:pt idx="9">
                  <c:v>1.8732731050647504</c:v>
                </c:pt>
                <c:pt idx="10">
                  <c:v>3.4807439452216642E-2</c:v>
                </c:pt>
                <c:pt idx="11">
                  <c:v>2.7090854689785711</c:v>
                </c:pt>
                <c:pt idx="12">
                  <c:v>0</c:v>
                </c:pt>
              </c:numCache>
            </c:numRef>
          </c:val>
          <c:extLst>
            <c:ext xmlns:c16="http://schemas.microsoft.com/office/drawing/2014/chart" uri="{C3380CC4-5D6E-409C-BE32-E72D297353CC}">
              <c16:uniqueId val="{00000000-6CEF-9241-A7E9-42CAA7EFB4A8}"/>
            </c:ext>
          </c:extLst>
        </c:ser>
        <c:ser>
          <c:idx val="1"/>
          <c:order val="1"/>
          <c:tx>
            <c:strRef>
              <c:f>'Home Income (table&amp;charts)'!$S$147</c:f>
              <c:strCache>
                <c:ptCount val="1"/>
                <c:pt idx="0">
                  <c:v>2007/08</c:v>
                </c:pt>
              </c:strCache>
            </c:strRef>
          </c:tx>
          <c:spPr>
            <a:solidFill>
              <a:srgbClr val="92D050"/>
            </a:solidFill>
            <a:ln>
              <a:no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'Home Income (table&amp;charts)'!$Q$148:$Q$160</c:f>
              <c:strCache>
                <c:ptCount val="13"/>
                <c:pt idx="0">
                  <c:v> Sale of food crops  </c:v>
                </c:pt>
                <c:pt idx="1">
                  <c:v> Sale of Livestock </c:v>
                </c:pt>
                <c:pt idx="2">
                  <c:v> Sale of livestock products  </c:v>
                </c:pt>
                <c:pt idx="3">
                  <c:v> Sale of cash crops </c:v>
                </c:pt>
                <c:pt idx="4">
                  <c:v> Sale of forest products  </c:v>
                </c:pt>
                <c:pt idx="5">
                  <c:v> Business income </c:v>
                </c:pt>
                <c:pt idx="6">
                  <c:v> Wages or salaries in cash  </c:v>
                </c:pt>
                <c:pt idx="7">
                  <c:v> Casual cash earnings  </c:v>
                </c:pt>
                <c:pt idx="8">
                  <c:v> Cash remittances  </c:v>
                </c:pt>
                <c:pt idx="9">
                  <c:v> Fishing  </c:v>
                </c:pt>
                <c:pt idx="10">
                  <c:v> Fish farming </c:v>
                </c:pt>
                <c:pt idx="11">
                  <c:v> Other  </c:v>
                </c:pt>
                <c:pt idx="12">
                  <c:v> Not Applicable </c:v>
                </c:pt>
              </c:strCache>
            </c:strRef>
          </c:cat>
          <c:val>
            <c:numRef>
              <c:f>'Home Income (table&amp;charts)'!$S$148:$S$160</c:f>
              <c:numCache>
                <c:formatCode>_-* #,##0.0_-;\-* #,##0.0_-;_-* "-"??_-;_-@_-</c:formatCode>
                <c:ptCount val="13"/>
                <c:pt idx="0">
                  <c:v>61.582903758364914</c:v>
                </c:pt>
                <c:pt idx="1">
                  <c:v>3.8550331993211295</c:v>
                </c:pt>
                <c:pt idx="2">
                  <c:v>2.5081857175179407</c:v>
                </c:pt>
                <c:pt idx="3">
                  <c:v>9.8558830717974395</c:v>
                </c:pt>
                <c:pt idx="4">
                  <c:v>1.0988566800199295</c:v>
                </c:pt>
                <c:pt idx="5">
                  <c:v>5.9552218943044322</c:v>
                </c:pt>
                <c:pt idx="6">
                  <c:v>2.7957927030517817</c:v>
                </c:pt>
                <c:pt idx="7">
                  <c:v>7.7718799771791591</c:v>
                </c:pt>
                <c:pt idx="8">
                  <c:v>1.9166319975103292</c:v>
                </c:pt>
                <c:pt idx="9">
                  <c:v>1.4372813124141157</c:v>
                </c:pt>
                <c:pt idx="10">
                  <c:v>0</c:v>
                </c:pt>
                <c:pt idx="11">
                  <c:v>0.7421740053092194</c:v>
                </c:pt>
                <c:pt idx="12">
                  <c:v>0.48012142797073848</c:v>
                </c:pt>
              </c:numCache>
            </c:numRef>
          </c:val>
          <c:extLst>
            <c:ext xmlns:c16="http://schemas.microsoft.com/office/drawing/2014/chart" uri="{C3380CC4-5D6E-409C-BE32-E72D297353CC}">
              <c16:uniqueId val="{00000001-6CEF-9241-A7E9-42CAA7EFB4A8}"/>
            </c:ext>
          </c:extLst>
        </c:ser>
        <c:dLbls>
          <c:showLegendKey val="0"/>
          <c:showVal val="0"/>
          <c:showCatName val="0"/>
          <c:showSerName val="0"/>
          <c:showPercent val="0"/>
          <c:showBubbleSize val="0"/>
        </c:dLbls>
        <c:gapWidth val="182"/>
        <c:axId val="127530496"/>
        <c:axId val="127532032"/>
      </c:barChart>
      <c:catAx>
        <c:axId val="127530496"/>
        <c:scaling>
          <c:orientation val="minMax"/>
        </c:scaling>
        <c:delete val="0"/>
        <c:axPos val="l"/>
        <c:numFmt formatCode="General" sourceLinked="1"/>
        <c:majorTickMark val="out"/>
        <c:minorTickMark val="none"/>
        <c:tickLblPos val="nextTo"/>
        <c:spPr>
          <a:noFill/>
          <a:ln w="9525" cap="flat" cmpd="sng" algn="ctr">
            <a:solidFill>
              <a:schemeClr val="tx1">
                <a:lumMod val="50000"/>
                <a:lumOff val="50000"/>
              </a:schemeClr>
            </a:solidFill>
            <a:round/>
          </a:ln>
          <a:effectLst/>
        </c:spPr>
        <c:txPr>
          <a:bodyPr rot="-60000000" spcFirstLastPara="1" vertOverflow="ellipsis" vert="horz" wrap="square" anchor="ctr" anchorCtr="1"/>
          <a:lstStyle/>
          <a:p>
            <a:pPr>
              <a:defRPr sz="7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27532032"/>
        <c:crosses val="autoZero"/>
        <c:auto val="1"/>
        <c:lblAlgn val="ctr"/>
        <c:lblOffset val="100"/>
        <c:noMultiLvlLbl val="0"/>
      </c:catAx>
      <c:valAx>
        <c:axId val="127532032"/>
        <c:scaling>
          <c:orientation val="minMax"/>
        </c:scaling>
        <c:delete val="0"/>
        <c:axPos val="b"/>
        <c:numFmt formatCode="#,##0" sourceLinked="0"/>
        <c:majorTickMark val="out"/>
        <c:minorTickMark val="none"/>
        <c:tickLblPos val="nextTo"/>
        <c:spPr>
          <a:noFill/>
          <a:ln>
            <a:solidFill>
              <a:schemeClr val="tx1">
                <a:lumMod val="50000"/>
                <a:lumOff val="50000"/>
              </a:schemeClr>
            </a:solidFill>
          </a:ln>
          <a:effectLst/>
        </c:spPr>
        <c:txPr>
          <a:bodyPr rot="-60000000" spcFirstLastPara="1" vertOverflow="ellipsis" vert="horz" wrap="square" anchor="ctr" anchorCtr="1"/>
          <a:lstStyle/>
          <a:p>
            <a:pPr>
              <a:defRPr sz="7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27530496"/>
        <c:crosses val="autoZero"/>
        <c:crossBetween val="between"/>
      </c:valAx>
      <c:spPr>
        <a:noFill/>
        <a:ln>
          <a:noFill/>
        </a:ln>
        <a:effectLst/>
      </c:spPr>
    </c:plotArea>
    <c:legend>
      <c:legendPos val="tr"/>
      <c:layout>
        <c:manualLayout>
          <c:xMode val="edge"/>
          <c:yMode val="edge"/>
          <c:x val="0.85257878762398931"/>
          <c:y val="8.3350698062096273E-2"/>
          <c:w val="0.10149171415577875"/>
          <c:h val="0.10154001507934252"/>
        </c:manualLayout>
      </c:layout>
      <c:overlay val="0"/>
      <c:spPr>
        <a:noFill/>
        <a:ln>
          <a:noFill/>
        </a:ln>
        <a:effectLst/>
      </c:spPr>
      <c:txPr>
        <a:bodyPr rot="0" spcFirstLastPara="1" vertOverflow="ellipsis" vert="horz" wrap="square" anchor="ctr" anchorCtr="1"/>
        <a:lstStyle/>
        <a:p>
          <a:pPr>
            <a:defRPr sz="7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50000"/>
          <a:lumOff val="50000"/>
        </a:schemeClr>
      </a:solidFill>
      <a:round/>
    </a:ln>
    <a:effectLst/>
  </c:spPr>
  <c:txPr>
    <a:bodyPr/>
    <a:lstStyle/>
    <a:p>
      <a:pPr>
        <a:defRPr sz="75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237145837539542"/>
          <c:y val="6.2329503893980474E-2"/>
          <c:w val="0.75631502792920113"/>
          <c:h val="0.55766702631558829"/>
        </c:manualLayout>
      </c:layout>
      <c:barChart>
        <c:barDir val="col"/>
        <c:grouping val="clustered"/>
        <c:varyColors val="0"/>
        <c:ser>
          <c:idx val="0"/>
          <c:order val="0"/>
          <c:tx>
            <c:strRef>
              <c:f>'Tables &amp; Figures_Cereals'!$E$30</c:f>
              <c:strCache>
                <c:ptCount val="1"/>
                <c:pt idx="0">
                  <c:v>Quantity Harvested (Tons)</c:v>
                </c:pt>
              </c:strCache>
            </c:strRef>
          </c:tx>
          <c:spPr>
            <a:solidFill>
              <a:srgbClr val="0070C0"/>
            </a:solidFill>
          </c:spPr>
          <c:invertIfNegative val="0"/>
          <c:cat>
            <c:strRef>
              <c:f>'Tables &amp; Figures_Cereals'!$A$31:$A$56</c:f>
              <c:strCache>
                <c:ptCount val="26"/>
                <c:pt idx="0">
                  <c:v>Ruvuma</c:v>
                </c:pt>
                <c:pt idx="1">
                  <c:v>Manyara</c:v>
                </c:pt>
                <c:pt idx="2">
                  <c:v>Tanga</c:v>
                </c:pt>
                <c:pt idx="3">
                  <c:v>Tabora</c:v>
                </c:pt>
                <c:pt idx="4">
                  <c:v>Dodoma</c:v>
                </c:pt>
                <c:pt idx="5">
                  <c:v>Songwe</c:v>
                </c:pt>
                <c:pt idx="6">
                  <c:v>Rukwa</c:v>
                </c:pt>
                <c:pt idx="7">
                  <c:v>Singida</c:v>
                </c:pt>
                <c:pt idx="8">
                  <c:v>Mbeya</c:v>
                </c:pt>
                <c:pt idx="9">
                  <c:v>Geita</c:v>
                </c:pt>
                <c:pt idx="10">
                  <c:v>Kagera</c:v>
                </c:pt>
                <c:pt idx="11">
                  <c:v>Mara</c:v>
                </c:pt>
                <c:pt idx="12">
                  <c:v>Simiyu</c:v>
                </c:pt>
                <c:pt idx="13">
                  <c:v>Arusha</c:v>
                </c:pt>
                <c:pt idx="14">
                  <c:v>Mwanza</c:v>
                </c:pt>
                <c:pt idx="15">
                  <c:v>Morogoro</c:v>
                </c:pt>
                <c:pt idx="16">
                  <c:v>Kilimanjaro</c:v>
                </c:pt>
                <c:pt idx="17">
                  <c:v>Kigoma</c:v>
                </c:pt>
                <c:pt idx="18">
                  <c:v>Shinyanga</c:v>
                </c:pt>
                <c:pt idx="19">
                  <c:v>Njombe</c:v>
                </c:pt>
                <c:pt idx="20">
                  <c:v>Iringa</c:v>
                </c:pt>
                <c:pt idx="21">
                  <c:v>Katavi</c:v>
                </c:pt>
                <c:pt idx="22">
                  <c:v>Dar Es Salaam</c:v>
                </c:pt>
                <c:pt idx="23">
                  <c:v>Mtwara</c:v>
                </c:pt>
                <c:pt idx="24">
                  <c:v>Lindi</c:v>
                </c:pt>
                <c:pt idx="25">
                  <c:v>Pwani</c:v>
                </c:pt>
              </c:strCache>
            </c:strRef>
          </c:cat>
          <c:val>
            <c:numRef>
              <c:f>'Tables &amp; Figures_Cereals'!$E$31:$E$56</c:f>
              <c:numCache>
                <c:formatCode>_(* #,##0_);_(* \(#,##0\);_(* "-"_);_(@_)</c:formatCode>
                <c:ptCount val="26"/>
                <c:pt idx="0">
                  <c:v>498684.82499999995</c:v>
                </c:pt>
                <c:pt idx="1">
                  <c:v>469037.25600000005</c:v>
                </c:pt>
                <c:pt idx="2">
                  <c:v>429787.79700000002</c:v>
                </c:pt>
                <c:pt idx="3">
                  <c:v>414376.49000000005</c:v>
                </c:pt>
                <c:pt idx="4">
                  <c:v>384116.69099999999</c:v>
                </c:pt>
                <c:pt idx="5">
                  <c:v>351498.14399999991</c:v>
                </c:pt>
                <c:pt idx="6">
                  <c:v>338987.53899999999</c:v>
                </c:pt>
                <c:pt idx="7">
                  <c:v>337701.88300000009</c:v>
                </c:pt>
                <c:pt idx="8">
                  <c:v>293993.20199999999</c:v>
                </c:pt>
                <c:pt idx="9">
                  <c:v>250486.27000000002</c:v>
                </c:pt>
                <c:pt idx="10">
                  <c:v>226567.04000000001</c:v>
                </c:pt>
                <c:pt idx="11">
                  <c:v>221157.92599999998</c:v>
                </c:pt>
                <c:pt idx="12">
                  <c:v>220840.61900000001</c:v>
                </c:pt>
                <c:pt idx="13">
                  <c:v>220204.136</c:v>
                </c:pt>
                <c:pt idx="14">
                  <c:v>216624.62199999994</c:v>
                </c:pt>
                <c:pt idx="15">
                  <c:v>212957.06599999999</c:v>
                </c:pt>
                <c:pt idx="16">
                  <c:v>194725.40099999998</c:v>
                </c:pt>
                <c:pt idx="17">
                  <c:v>181099.54499999998</c:v>
                </c:pt>
                <c:pt idx="18">
                  <c:v>179567.50799999997</c:v>
                </c:pt>
                <c:pt idx="19">
                  <c:v>167281.03499999995</c:v>
                </c:pt>
                <c:pt idx="20">
                  <c:v>164071.94</c:v>
                </c:pt>
                <c:pt idx="21">
                  <c:v>126582.20199999999</c:v>
                </c:pt>
                <c:pt idx="22">
                  <c:v>114954.76999999999</c:v>
                </c:pt>
                <c:pt idx="23">
                  <c:v>111286.78599999999</c:v>
                </c:pt>
                <c:pt idx="24">
                  <c:v>104268.336</c:v>
                </c:pt>
                <c:pt idx="25">
                  <c:v>69914.368000000002</c:v>
                </c:pt>
              </c:numCache>
            </c:numRef>
          </c:val>
          <c:extLst>
            <c:ext xmlns:c16="http://schemas.microsoft.com/office/drawing/2014/chart" uri="{C3380CC4-5D6E-409C-BE32-E72D297353CC}">
              <c16:uniqueId val="{00000000-6D68-8A43-B141-4E1CBCCF28E0}"/>
            </c:ext>
          </c:extLst>
        </c:ser>
        <c:dLbls>
          <c:showLegendKey val="0"/>
          <c:showVal val="0"/>
          <c:showCatName val="0"/>
          <c:showSerName val="0"/>
          <c:showPercent val="0"/>
          <c:showBubbleSize val="0"/>
        </c:dLbls>
        <c:gapWidth val="49"/>
        <c:axId val="94582272"/>
        <c:axId val="94584192"/>
      </c:barChart>
      <c:scatterChart>
        <c:scatterStyle val="lineMarker"/>
        <c:varyColors val="0"/>
        <c:ser>
          <c:idx val="1"/>
          <c:order val="1"/>
          <c:tx>
            <c:strRef>
              <c:f>'Tables &amp; Figures_Cereals'!$F$30</c:f>
              <c:strCache>
                <c:ptCount val="1"/>
                <c:pt idx="0">
                  <c:v>Yield (Tons/Ha)</c:v>
                </c:pt>
              </c:strCache>
            </c:strRef>
          </c:tx>
          <c:spPr>
            <a:ln w="28575">
              <a:noFill/>
            </a:ln>
          </c:spPr>
          <c:marker>
            <c:symbol val="circle"/>
            <c:size val="5"/>
          </c:marker>
          <c:xVal>
            <c:strRef>
              <c:f>'Tables &amp; Figures_Cereals'!$A$31:$A$56</c:f>
              <c:strCache>
                <c:ptCount val="26"/>
                <c:pt idx="0">
                  <c:v>Ruvuma</c:v>
                </c:pt>
                <c:pt idx="1">
                  <c:v>Manyara</c:v>
                </c:pt>
                <c:pt idx="2">
                  <c:v>Tanga</c:v>
                </c:pt>
                <c:pt idx="3">
                  <c:v>Tabora</c:v>
                </c:pt>
                <c:pt idx="4">
                  <c:v>Dodoma</c:v>
                </c:pt>
                <c:pt idx="5">
                  <c:v>Songwe</c:v>
                </c:pt>
                <c:pt idx="6">
                  <c:v>Rukwa</c:v>
                </c:pt>
                <c:pt idx="7">
                  <c:v>Singida</c:v>
                </c:pt>
                <c:pt idx="8">
                  <c:v>Mbeya</c:v>
                </c:pt>
                <c:pt idx="9">
                  <c:v>Geita</c:v>
                </c:pt>
                <c:pt idx="10">
                  <c:v>Kagera</c:v>
                </c:pt>
                <c:pt idx="11">
                  <c:v>Mara</c:v>
                </c:pt>
                <c:pt idx="12">
                  <c:v>Simiyu</c:v>
                </c:pt>
                <c:pt idx="13">
                  <c:v>Arusha</c:v>
                </c:pt>
                <c:pt idx="14">
                  <c:v>Mwanza</c:v>
                </c:pt>
                <c:pt idx="15">
                  <c:v>Morogoro</c:v>
                </c:pt>
                <c:pt idx="16">
                  <c:v>Kilimanjaro</c:v>
                </c:pt>
                <c:pt idx="17">
                  <c:v>Kigoma</c:v>
                </c:pt>
                <c:pt idx="18">
                  <c:v>Shinyanga</c:v>
                </c:pt>
                <c:pt idx="19">
                  <c:v>Njombe</c:v>
                </c:pt>
                <c:pt idx="20">
                  <c:v>Iringa</c:v>
                </c:pt>
                <c:pt idx="21">
                  <c:v>Katavi</c:v>
                </c:pt>
                <c:pt idx="22">
                  <c:v>Dar Es Salaam</c:v>
                </c:pt>
                <c:pt idx="23">
                  <c:v>Mtwara</c:v>
                </c:pt>
                <c:pt idx="24">
                  <c:v>Lindi</c:v>
                </c:pt>
                <c:pt idx="25">
                  <c:v>Pwani</c:v>
                </c:pt>
              </c:strCache>
            </c:strRef>
          </c:xVal>
          <c:yVal>
            <c:numRef>
              <c:f>'Tables &amp; Figures_Cereals'!$F$31:$F$56</c:f>
              <c:numCache>
                <c:formatCode>_(* #,##0.0_);_(* \(#,##0.0\);_(* "-"_);_(@_)</c:formatCode>
                <c:ptCount val="26"/>
                <c:pt idx="0">
                  <c:v>1.9506889386971666</c:v>
                </c:pt>
                <c:pt idx="1">
                  <c:v>1.5893266901652969</c:v>
                </c:pt>
                <c:pt idx="2">
                  <c:v>1.1622916574683408</c:v>
                </c:pt>
                <c:pt idx="3">
                  <c:v>1.2438583679833426</c:v>
                </c:pt>
                <c:pt idx="4">
                  <c:v>1.1113337183086551</c:v>
                </c:pt>
                <c:pt idx="5">
                  <c:v>1.90715323905511</c:v>
                </c:pt>
                <c:pt idx="6">
                  <c:v>1.6322025913522151</c:v>
                </c:pt>
                <c:pt idx="7">
                  <c:v>1.584019272765756</c:v>
                </c:pt>
                <c:pt idx="8">
                  <c:v>1.8871714196625493</c:v>
                </c:pt>
                <c:pt idx="9">
                  <c:v>1.4051879629537141</c:v>
                </c:pt>
                <c:pt idx="10">
                  <c:v>1.5429502533885273</c:v>
                </c:pt>
                <c:pt idx="11">
                  <c:v>1.5170847518613728</c:v>
                </c:pt>
                <c:pt idx="12">
                  <c:v>1.3926992513252021</c:v>
                </c:pt>
                <c:pt idx="13">
                  <c:v>1.8084553209473608</c:v>
                </c:pt>
                <c:pt idx="14">
                  <c:v>1.3959417321556167</c:v>
                </c:pt>
                <c:pt idx="15">
                  <c:v>1.1526472799887855</c:v>
                </c:pt>
                <c:pt idx="16">
                  <c:v>1.6407560070483771</c:v>
                </c:pt>
                <c:pt idx="17">
                  <c:v>1.3497973803045884</c:v>
                </c:pt>
                <c:pt idx="18">
                  <c:v>1.6136599808998733</c:v>
                </c:pt>
                <c:pt idx="19">
                  <c:v>1.9931597631699491</c:v>
                </c:pt>
                <c:pt idx="20">
                  <c:v>1.294975177482568</c:v>
                </c:pt>
                <c:pt idx="21">
                  <c:v>1.7695641563154139</c:v>
                </c:pt>
                <c:pt idx="22">
                  <c:v>1.6448927352798111</c:v>
                </c:pt>
                <c:pt idx="23">
                  <c:v>1.6440554588043981</c:v>
                </c:pt>
                <c:pt idx="24">
                  <c:v>1.6880720330214642</c:v>
                </c:pt>
                <c:pt idx="25">
                  <c:v>1.5166352380233341</c:v>
                </c:pt>
              </c:numCache>
            </c:numRef>
          </c:yVal>
          <c:smooth val="0"/>
          <c:extLst>
            <c:ext xmlns:c16="http://schemas.microsoft.com/office/drawing/2014/chart" uri="{C3380CC4-5D6E-409C-BE32-E72D297353CC}">
              <c16:uniqueId val="{00000001-6D68-8A43-B141-4E1CBCCF28E0}"/>
            </c:ext>
          </c:extLst>
        </c:ser>
        <c:dLbls>
          <c:showLegendKey val="0"/>
          <c:showVal val="0"/>
          <c:showCatName val="0"/>
          <c:showSerName val="0"/>
          <c:showPercent val="0"/>
          <c:showBubbleSize val="0"/>
        </c:dLbls>
        <c:axId val="94592384"/>
        <c:axId val="94590464"/>
      </c:scatterChart>
      <c:catAx>
        <c:axId val="94582272"/>
        <c:scaling>
          <c:orientation val="minMax"/>
        </c:scaling>
        <c:delete val="0"/>
        <c:axPos val="b"/>
        <c:title>
          <c:tx>
            <c:rich>
              <a:bodyPr/>
              <a:lstStyle/>
              <a:p>
                <a:pPr>
                  <a:defRPr/>
                </a:pPr>
                <a:r>
                  <a:rPr lang="en-US"/>
                  <a:t>Region</a:t>
                </a:r>
              </a:p>
            </c:rich>
          </c:tx>
          <c:layout>
            <c:manualLayout>
              <c:xMode val="edge"/>
              <c:yMode val="edge"/>
              <c:x val="0.48142640823743188"/>
              <c:y val="0.80687414073240848"/>
            </c:manualLayout>
          </c:layout>
          <c:overlay val="0"/>
        </c:title>
        <c:numFmt formatCode="General" sourceLinked="0"/>
        <c:majorTickMark val="out"/>
        <c:minorTickMark val="none"/>
        <c:tickLblPos val="nextTo"/>
        <c:txPr>
          <a:bodyPr rot="-5400000" vert="horz"/>
          <a:lstStyle/>
          <a:p>
            <a:pPr>
              <a:defRPr/>
            </a:pPr>
            <a:endParaRPr lang="en-US"/>
          </a:p>
        </c:txPr>
        <c:crossAx val="94584192"/>
        <c:crosses val="autoZero"/>
        <c:auto val="1"/>
        <c:lblAlgn val="ctr"/>
        <c:lblOffset val="100"/>
        <c:noMultiLvlLbl val="0"/>
      </c:catAx>
      <c:valAx>
        <c:axId val="94584192"/>
        <c:scaling>
          <c:orientation val="minMax"/>
        </c:scaling>
        <c:delete val="0"/>
        <c:axPos val="l"/>
        <c:title>
          <c:tx>
            <c:rich>
              <a:bodyPr rot="-5400000" vert="horz"/>
              <a:lstStyle/>
              <a:p>
                <a:pPr>
                  <a:defRPr/>
                </a:pPr>
                <a:r>
                  <a:rPr lang="en-US"/>
                  <a:t>Production (tons)</a:t>
                </a:r>
              </a:p>
            </c:rich>
          </c:tx>
          <c:layout>
            <c:manualLayout>
              <c:xMode val="edge"/>
              <c:yMode val="edge"/>
              <c:x val="2.3437142472575542E-2"/>
              <c:y val="0.18336344071151373"/>
            </c:manualLayout>
          </c:layout>
          <c:overlay val="0"/>
        </c:title>
        <c:numFmt formatCode="_(* #,##0_);_(* \(#,##0\);_(* &quot;-&quot;_);_(@_)" sourceLinked="1"/>
        <c:majorTickMark val="out"/>
        <c:minorTickMark val="none"/>
        <c:tickLblPos val="nextTo"/>
        <c:crossAx val="94582272"/>
        <c:crosses val="autoZero"/>
        <c:crossBetween val="between"/>
      </c:valAx>
      <c:valAx>
        <c:axId val="94590464"/>
        <c:scaling>
          <c:orientation val="minMax"/>
        </c:scaling>
        <c:delete val="0"/>
        <c:axPos val="r"/>
        <c:title>
          <c:tx>
            <c:rich>
              <a:bodyPr rot="-5400000" vert="horz"/>
              <a:lstStyle/>
              <a:p>
                <a:pPr>
                  <a:defRPr/>
                </a:pPr>
                <a:r>
                  <a:rPr lang="en-US"/>
                  <a:t>Yield (tons/ha)</a:t>
                </a:r>
              </a:p>
            </c:rich>
          </c:tx>
          <c:overlay val="0"/>
        </c:title>
        <c:numFmt formatCode="_(* #,##0.0_);_(* \(#,##0.0\);_(* &quot;-&quot;_);_(@_)" sourceLinked="1"/>
        <c:majorTickMark val="out"/>
        <c:minorTickMark val="none"/>
        <c:tickLblPos val="nextTo"/>
        <c:crossAx val="94592384"/>
        <c:crosses val="max"/>
        <c:crossBetween val="midCat"/>
      </c:valAx>
      <c:valAx>
        <c:axId val="94592384"/>
        <c:scaling>
          <c:orientation val="minMax"/>
        </c:scaling>
        <c:delete val="1"/>
        <c:axPos val="b"/>
        <c:majorTickMark val="out"/>
        <c:minorTickMark val="none"/>
        <c:tickLblPos val="none"/>
        <c:crossAx val="94590464"/>
        <c:crosses val="autoZero"/>
        <c:crossBetween val="midCat"/>
      </c:valAx>
    </c:plotArea>
    <c:legend>
      <c:legendPos val="b"/>
      <c:layout>
        <c:manualLayout>
          <c:xMode val="edge"/>
          <c:yMode val="edge"/>
          <c:x val="0.30638266370549833"/>
          <c:y val="0.87904593321183688"/>
          <c:w val="0.39578168113601186"/>
          <c:h val="5.4508884063910613E-2"/>
        </c:manualLayout>
      </c:layout>
      <c:overlay val="0"/>
    </c:legend>
    <c:plotVisOnly val="1"/>
    <c:dispBlanksAs val="gap"/>
    <c:showDLblsOverMax val="0"/>
  </c:chart>
  <c:spPr>
    <a:ln w="9525">
      <a:solidFill>
        <a:sysClr val="windowText" lastClr="000000">
          <a:lumMod val="50000"/>
          <a:lumOff val="50000"/>
        </a:sysClr>
      </a:solidFill>
    </a:ln>
  </c:spPr>
  <c:txPr>
    <a:bodyPr/>
    <a:lstStyle/>
    <a:p>
      <a:pPr>
        <a:defRPr sz="800" b="0">
          <a:latin typeface="Times New Roman" pitchFamily="18" charset="0"/>
          <a:cs typeface="Times New Roman" pitchFamily="18" charset="0"/>
        </a:defRPr>
      </a:pPr>
      <a:endParaRPr lang="en-US"/>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081382635854373"/>
          <c:y val="6.7861378438806394E-2"/>
          <c:w val="0.7195091115645823"/>
          <c:h val="0.65030219195573502"/>
        </c:manualLayout>
      </c:layout>
      <c:barChart>
        <c:barDir val="col"/>
        <c:grouping val="clustered"/>
        <c:varyColors val="0"/>
        <c:ser>
          <c:idx val="0"/>
          <c:order val="0"/>
          <c:tx>
            <c:strRef>
              <c:f>'Tables &amp; Figures_Cereals'!$E$68</c:f>
              <c:strCache>
                <c:ptCount val="1"/>
                <c:pt idx="0">
                  <c:v>Quantity Harvested (Tons)</c:v>
                </c:pt>
              </c:strCache>
            </c:strRef>
          </c:tx>
          <c:spPr>
            <a:solidFill>
              <a:srgbClr val="0070C0"/>
            </a:solidFill>
          </c:spPr>
          <c:invertIfNegative val="0"/>
          <c:cat>
            <c:strRef>
              <c:f>'Tables &amp; Figures_Cereals'!$A$69:$A$73</c:f>
              <c:strCache>
                <c:ptCount val="5"/>
                <c:pt idx="0">
                  <c:v>Mjini Magharibi</c:v>
                </c:pt>
                <c:pt idx="1">
                  <c:v>Kaskazini Unguja</c:v>
                </c:pt>
                <c:pt idx="2">
                  <c:v>Kusini  Pemba</c:v>
                </c:pt>
                <c:pt idx="3">
                  <c:v>Kaskazini Pemba</c:v>
                </c:pt>
                <c:pt idx="4">
                  <c:v>Kusini Unguja</c:v>
                </c:pt>
              </c:strCache>
            </c:strRef>
          </c:cat>
          <c:val>
            <c:numRef>
              <c:f>'Tables &amp; Figures_Cereals'!$E$69:$E$73</c:f>
              <c:numCache>
                <c:formatCode>_(* #,##0_);_(* \(#,##0\);_(* "-"_);_(@_)</c:formatCode>
                <c:ptCount val="5"/>
                <c:pt idx="0">
                  <c:v>2030.5719999999999</c:v>
                </c:pt>
                <c:pt idx="1">
                  <c:v>1166.1119999999999</c:v>
                </c:pt>
                <c:pt idx="2">
                  <c:v>288.64400000000006</c:v>
                </c:pt>
                <c:pt idx="3">
                  <c:v>239.70499999999998</c:v>
                </c:pt>
                <c:pt idx="4">
                  <c:v>226.11700000000002</c:v>
                </c:pt>
              </c:numCache>
            </c:numRef>
          </c:val>
          <c:extLst>
            <c:ext xmlns:c16="http://schemas.microsoft.com/office/drawing/2014/chart" uri="{C3380CC4-5D6E-409C-BE32-E72D297353CC}">
              <c16:uniqueId val="{00000000-B0A9-EB42-863F-49B6478F46FC}"/>
            </c:ext>
          </c:extLst>
        </c:ser>
        <c:dLbls>
          <c:showLegendKey val="0"/>
          <c:showVal val="0"/>
          <c:showCatName val="0"/>
          <c:showSerName val="0"/>
          <c:showPercent val="0"/>
          <c:showBubbleSize val="0"/>
        </c:dLbls>
        <c:gapWidth val="150"/>
        <c:axId val="94628480"/>
        <c:axId val="95290112"/>
      </c:barChart>
      <c:scatterChart>
        <c:scatterStyle val="lineMarker"/>
        <c:varyColors val="0"/>
        <c:ser>
          <c:idx val="1"/>
          <c:order val="1"/>
          <c:tx>
            <c:strRef>
              <c:f>'Tables &amp; Figures_Cereals'!$F$68</c:f>
              <c:strCache>
                <c:ptCount val="1"/>
                <c:pt idx="0">
                  <c:v>Yield (Tons/Ha)</c:v>
                </c:pt>
              </c:strCache>
            </c:strRef>
          </c:tx>
          <c:spPr>
            <a:ln w="28575">
              <a:noFill/>
            </a:ln>
          </c:spPr>
          <c:marker>
            <c:symbol val="circle"/>
            <c:size val="5"/>
          </c:marker>
          <c:xVal>
            <c:strRef>
              <c:f>'Tables &amp; Figures_Cereals'!$A$69:$A$73</c:f>
              <c:strCache>
                <c:ptCount val="5"/>
                <c:pt idx="0">
                  <c:v>Mjini Magharibi</c:v>
                </c:pt>
                <c:pt idx="1">
                  <c:v>Kaskazini Unguja</c:v>
                </c:pt>
                <c:pt idx="2">
                  <c:v>Kusini  Pemba</c:v>
                </c:pt>
                <c:pt idx="3">
                  <c:v>Kaskazini Pemba</c:v>
                </c:pt>
                <c:pt idx="4">
                  <c:v>Kusini Unguja</c:v>
                </c:pt>
              </c:strCache>
            </c:strRef>
          </c:xVal>
          <c:yVal>
            <c:numRef>
              <c:f>'Tables &amp; Figures_Cereals'!$F$69:$F$73</c:f>
              <c:numCache>
                <c:formatCode>_(* #,##0.0_);_(* \(#,##0.0\);_(* "-"_);_(@_)</c:formatCode>
                <c:ptCount val="5"/>
                <c:pt idx="0">
                  <c:v>2.2796653393911859</c:v>
                </c:pt>
                <c:pt idx="1">
                  <c:v>2.1763313836858007</c:v>
                </c:pt>
                <c:pt idx="2">
                  <c:v>0.71110600598205387</c:v>
                </c:pt>
                <c:pt idx="3">
                  <c:v>2.1696375641025645</c:v>
                </c:pt>
                <c:pt idx="4">
                  <c:v>1.3830076905940596</c:v>
                </c:pt>
              </c:numCache>
            </c:numRef>
          </c:yVal>
          <c:smooth val="0"/>
          <c:extLst>
            <c:ext xmlns:c16="http://schemas.microsoft.com/office/drawing/2014/chart" uri="{C3380CC4-5D6E-409C-BE32-E72D297353CC}">
              <c16:uniqueId val="{00000001-B0A9-EB42-863F-49B6478F46FC}"/>
            </c:ext>
          </c:extLst>
        </c:ser>
        <c:dLbls>
          <c:showLegendKey val="0"/>
          <c:showVal val="0"/>
          <c:showCatName val="0"/>
          <c:showSerName val="0"/>
          <c:showPercent val="0"/>
          <c:showBubbleSize val="0"/>
        </c:dLbls>
        <c:axId val="95302400"/>
        <c:axId val="95292032"/>
      </c:scatterChart>
      <c:catAx>
        <c:axId val="94628480"/>
        <c:scaling>
          <c:orientation val="minMax"/>
        </c:scaling>
        <c:delete val="0"/>
        <c:axPos val="b"/>
        <c:title>
          <c:tx>
            <c:rich>
              <a:bodyPr/>
              <a:lstStyle/>
              <a:p>
                <a:pPr>
                  <a:defRPr/>
                </a:pPr>
                <a:r>
                  <a:rPr lang="en-US"/>
                  <a:t>Region</a:t>
                </a:r>
              </a:p>
            </c:rich>
          </c:tx>
          <c:layout>
            <c:manualLayout>
              <c:xMode val="edge"/>
              <c:yMode val="edge"/>
              <c:x val="0.47776314018440008"/>
              <c:y val="0.81994431439313353"/>
            </c:manualLayout>
          </c:layout>
          <c:overlay val="0"/>
        </c:title>
        <c:numFmt formatCode="General" sourceLinked="0"/>
        <c:majorTickMark val="out"/>
        <c:minorTickMark val="none"/>
        <c:tickLblPos val="nextTo"/>
        <c:crossAx val="95290112"/>
        <c:crosses val="autoZero"/>
        <c:auto val="1"/>
        <c:lblAlgn val="ctr"/>
        <c:lblOffset val="100"/>
        <c:noMultiLvlLbl val="0"/>
      </c:catAx>
      <c:valAx>
        <c:axId val="95290112"/>
        <c:scaling>
          <c:orientation val="minMax"/>
        </c:scaling>
        <c:delete val="0"/>
        <c:axPos val="l"/>
        <c:title>
          <c:tx>
            <c:rich>
              <a:bodyPr rot="-5400000" vert="horz"/>
              <a:lstStyle/>
              <a:p>
                <a:pPr>
                  <a:defRPr/>
                </a:pPr>
                <a:r>
                  <a:rPr lang="en-US"/>
                  <a:t>Production (tons)</a:t>
                </a:r>
              </a:p>
            </c:rich>
          </c:tx>
          <c:layout>
            <c:manualLayout>
              <c:xMode val="edge"/>
              <c:yMode val="edge"/>
              <c:x val="2.1739726564030244E-2"/>
              <c:y val="0.22336288895900619"/>
            </c:manualLayout>
          </c:layout>
          <c:overlay val="0"/>
        </c:title>
        <c:numFmt formatCode="_(* #,##0_);_(* \(#,##0\);_(* &quot;-&quot;_);_(@_)" sourceLinked="1"/>
        <c:majorTickMark val="out"/>
        <c:minorTickMark val="none"/>
        <c:tickLblPos val="nextTo"/>
        <c:crossAx val="94628480"/>
        <c:crosses val="autoZero"/>
        <c:crossBetween val="between"/>
      </c:valAx>
      <c:valAx>
        <c:axId val="95292032"/>
        <c:scaling>
          <c:orientation val="minMax"/>
        </c:scaling>
        <c:delete val="0"/>
        <c:axPos val="r"/>
        <c:title>
          <c:tx>
            <c:rich>
              <a:bodyPr rot="-5400000" vert="horz"/>
              <a:lstStyle/>
              <a:p>
                <a:pPr>
                  <a:defRPr/>
                </a:pPr>
                <a:r>
                  <a:rPr lang="en-US"/>
                  <a:t>Yield (tons/ha)</a:t>
                </a:r>
              </a:p>
            </c:rich>
          </c:tx>
          <c:layout>
            <c:manualLayout>
              <c:xMode val="edge"/>
              <c:yMode val="edge"/>
              <c:x val="0.93479346289312204"/>
              <c:y val="0.22907997036165167"/>
            </c:manualLayout>
          </c:layout>
          <c:overlay val="0"/>
        </c:title>
        <c:numFmt formatCode="_(* #,##0.0_);_(* \(#,##0.0\);_(* &quot;-&quot;_);_(@_)" sourceLinked="1"/>
        <c:majorTickMark val="out"/>
        <c:minorTickMark val="none"/>
        <c:tickLblPos val="nextTo"/>
        <c:crossAx val="95302400"/>
        <c:crosses val="max"/>
        <c:crossBetween val="midCat"/>
      </c:valAx>
      <c:valAx>
        <c:axId val="95302400"/>
        <c:scaling>
          <c:orientation val="minMax"/>
        </c:scaling>
        <c:delete val="1"/>
        <c:axPos val="b"/>
        <c:majorTickMark val="out"/>
        <c:minorTickMark val="none"/>
        <c:tickLblPos val="none"/>
        <c:crossAx val="95292032"/>
        <c:crosses val="autoZero"/>
        <c:crossBetween val="midCat"/>
      </c:valAx>
    </c:plotArea>
    <c:legend>
      <c:legendPos val="b"/>
      <c:overlay val="0"/>
    </c:legend>
    <c:plotVisOnly val="1"/>
    <c:dispBlanksAs val="gap"/>
    <c:showDLblsOverMax val="0"/>
  </c:chart>
  <c:spPr>
    <a:ln w="9525">
      <a:solidFill>
        <a:sysClr val="windowText" lastClr="000000">
          <a:lumMod val="50000"/>
          <a:lumOff val="50000"/>
        </a:sysClr>
      </a:solidFill>
    </a:ln>
  </c:spPr>
  <c:txPr>
    <a:bodyPr/>
    <a:lstStyle/>
    <a:p>
      <a:pPr>
        <a:defRPr sz="900" b="0">
          <a:latin typeface="Times New Roman" pitchFamily="18" charset="0"/>
          <a:cs typeface="Times New Roman" pitchFamily="18" charset="0"/>
        </a:defRPr>
      </a:pPr>
      <a:endParaRPr lang="en-US"/>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780904304139897"/>
          <c:y val="7.8069552874378986E-2"/>
          <c:w val="0.70332592628375445"/>
          <c:h val="0.66625238204344395"/>
        </c:manualLayout>
      </c:layout>
      <c:lineChart>
        <c:grouping val="standard"/>
        <c:varyColors val="0"/>
        <c:ser>
          <c:idx val="0"/>
          <c:order val="0"/>
          <c:tx>
            <c:strRef>
              <c:f>'Tables &amp; Figures_Cereals'!$A$327</c:f>
              <c:strCache>
                <c:ptCount val="1"/>
                <c:pt idx="0">
                  <c:v>Maize</c:v>
                </c:pt>
              </c:strCache>
            </c:strRef>
          </c:tx>
          <c:dLbls>
            <c:dLbl>
              <c:idx val="0"/>
              <c:layout>
                <c:manualLayout>
                  <c:x val="-1.6666666666666621E-2"/>
                  <c:y val="3.24074074074074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197-DE45-ADED-43A8DA3DBD7A}"/>
                </c:ext>
              </c:extLst>
            </c:dLbl>
            <c:dLbl>
              <c:idx val="1"/>
              <c:layout>
                <c:manualLayout>
                  <c:x val="-8.3333333333333367E-3"/>
                  <c:y val="4.16666666666666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197-DE45-ADED-43A8DA3DBD7A}"/>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'Tables &amp; Figures_Cereals'!$B$326:$D$326</c:f>
              <c:strCache>
                <c:ptCount val="3"/>
                <c:pt idx="0">
                  <c:v>2002/03</c:v>
                </c:pt>
                <c:pt idx="1">
                  <c:v>2007/08</c:v>
                </c:pt>
                <c:pt idx="2">
                  <c:v>2019/20</c:v>
                </c:pt>
              </c:strCache>
            </c:strRef>
          </c:cat>
          <c:val>
            <c:numRef>
              <c:f>'Tables &amp; Figures_Cereals'!$B$327:$D$327</c:f>
              <c:numCache>
                <c:formatCode>_(* #,##0_);_(* \(#,##0\);_(* "-"_);_(@_)</c:formatCode>
                <c:ptCount val="3"/>
                <c:pt idx="0">
                  <c:v>2617.1149999999998</c:v>
                </c:pt>
                <c:pt idx="1">
                  <c:v>5444.1779999999999</c:v>
                </c:pt>
                <c:pt idx="2">
                  <c:v>6504.7245480000001</c:v>
                </c:pt>
              </c:numCache>
            </c:numRef>
          </c:val>
          <c:smooth val="0"/>
          <c:extLst>
            <c:ext xmlns:c16="http://schemas.microsoft.com/office/drawing/2014/chart" uri="{C3380CC4-5D6E-409C-BE32-E72D297353CC}">
              <c16:uniqueId val="{00000002-A197-DE45-ADED-43A8DA3DBD7A}"/>
            </c:ext>
          </c:extLst>
        </c:ser>
        <c:dLbls>
          <c:showLegendKey val="0"/>
          <c:showVal val="0"/>
          <c:showCatName val="0"/>
          <c:showSerName val="0"/>
          <c:showPercent val="0"/>
          <c:showBubbleSize val="0"/>
        </c:dLbls>
        <c:marker val="1"/>
        <c:smooth val="0"/>
        <c:axId val="95344896"/>
        <c:axId val="95359360"/>
      </c:lineChart>
      <c:catAx>
        <c:axId val="95344896"/>
        <c:scaling>
          <c:orientation val="minMax"/>
        </c:scaling>
        <c:delete val="0"/>
        <c:axPos val="b"/>
        <c:title>
          <c:tx>
            <c:rich>
              <a:bodyPr/>
              <a:lstStyle/>
              <a:p>
                <a:pPr>
                  <a:defRPr/>
                </a:pPr>
                <a:r>
                  <a:rPr lang="en-US"/>
                  <a:t>Census</a:t>
                </a:r>
              </a:p>
            </c:rich>
          </c:tx>
          <c:overlay val="0"/>
        </c:title>
        <c:numFmt formatCode="General" sourceLinked="0"/>
        <c:majorTickMark val="out"/>
        <c:minorTickMark val="none"/>
        <c:tickLblPos val="nextTo"/>
        <c:crossAx val="95359360"/>
        <c:crosses val="autoZero"/>
        <c:auto val="1"/>
        <c:lblAlgn val="ctr"/>
        <c:lblOffset val="100"/>
        <c:noMultiLvlLbl val="0"/>
      </c:catAx>
      <c:valAx>
        <c:axId val="95359360"/>
        <c:scaling>
          <c:orientation val="minMax"/>
        </c:scaling>
        <c:delete val="0"/>
        <c:axPos val="l"/>
        <c:title>
          <c:tx>
            <c:rich>
              <a:bodyPr rot="-5400000" vert="horz"/>
              <a:lstStyle/>
              <a:p>
                <a:pPr>
                  <a:defRPr/>
                </a:pPr>
                <a:r>
                  <a:rPr lang="en-US"/>
                  <a:t>Production ('000'tons)</a:t>
                </a:r>
              </a:p>
            </c:rich>
          </c:tx>
          <c:layout>
            <c:manualLayout>
              <c:xMode val="edge"/>
              <c:yMode val="edge"/>
              <c:x val="2.4335620267945127E-2"/>
              <c:y val="0.11634256580547239"/>
            </c:manualLayout>
          </c:layout>
          <c:overlay val="0"/>
        </c:title>
        <c:numFmt formatCode="_(* #,##0_);_(* \(#,##0\);_(* &quot;-&quot;_);_(@_)" sourceLinked="1"/>
        <c:majorTickMark val="out"/>
        <c:minorTickMark val="none"/>
        <c:tickLblPos val="nextTo"/>
        <c:crossAx val="95344896"/>
        <c:crosses val="autoZero"/>
        <c:crossBetween val="between"/>
      </c:valAx>
    </c:plotArea>
    <c:plotVisOnly val="1"/>
    <c:dispBlanksAs val="gap"/>
    <c:showDLblsOverMax val="0"/>
  </c:chart>
  <c:spPr>
    <a:ln w="9525"/>
  </c:spPr>
  <c:txPr>
    <a:bodyPr/>
    <a:lstStyle/>
    <a:p>
      <a:pPr>
        <a:defRPr sz="650" b="0">
          <a:solidFill>
            <a:schemeClr val="tx1"/>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362591695268859"/>
          <c:y val="4.3411611671708192E-2"/>
          <c:w val="0.83356433811158237"/>
          <c:h val="0.52776501129116637"/>
        </c:manualLayout>
      </c:layout>
      <c:barChart>
        <c:barDir val="col"/>
        <c:grouping val="clustered"/>
        <c:varyColors val="0"/>
        <c:ser>
          <c:idx val="0"/>
          <c:order val="0"/>
          <c:tx>
            <c:strRef>
              <c:f>'Tables &amp; Figures_Cereals'!$C$226</c:f>
              <c:strCache>
                <c:ptCount val="1"/>
                <c:pt idx="0">
                  <c:v>Planted Area (Ha)</c:v>
                </c:pt>
              </c:strCache>
            </c:strRef>
          </c:tx>
          <c:spPr>
            <a:solidFill>
              <a:srgbClr val="0070C0"/>
            </a:solidFill>
          </c:spPr>
          <c:invertIfNegative val="0"/>
          <c:cat>
            <c:strRef>
              <c:f>'Tables &amp; Figures_Cereals'!$A$227:$A$252</c:f>
              <c:strCache>
                <c:ptCount val="26"/>
                <c:pt idx="0">
                  <c:v>Morogoro</c:v>
                </c:pt>
                <c:pt idx="1">
                  <c:v>Tabora</c:v>
                </c:pt>
                <c:pt idx="2">
                  <c:v>Shinyanga</c:v>
                </c:pt>
                <c:pt idx="3">
                  <c:v>Geita</c:v>
                </c:pt>
                <c:pt idx="4">
                  <c:v>Mwanza</c:v>
                </c:pt>
                <c:pt idx="5">
                  <c:v>Mbeya</c:v>
                </c:pt>
                <c:pt idx="6">
                  <c:v>Ruvuma</c:v>
                </c:pt>
                <c:pt idx="7">
                  <c:v>Dar Es Salaam</c:v>
                </c:pt>
                <c:pt idx="8">
                  <c:v>Simiyu</c:v>
                </c:pt>
                <c:pt idx="9">
                  <c:v>Pwani</c:v>
                </c:pt>
                <c:pt idx="10">
                  <c:v>Songwe</c:v>
                </c:pt>
                <c:pt idx="11">
                  <c:v>Katavi</c:v>
                </c:pt>
                <c:pt idx="12">
                  <c:v>Dodoma</c:v>
                </c:pt>
                <c:pt idx="13">
                  <c:v>Rukwa</c:v>
                </c:pt>
                <c:pt idx="14">
                  <c:v>Iringa</c:v>
                </c:pt>
                <c:pt idx="15">
                  <c:v>Lindi</c:v>
                </c:pt>
                <c:pt idx="16">
                  <c:v>Kigoma</c:v>
                </c:pt>
                <c:pt idx="17">
                  <c:v>Mtwara</c:v>
                </c:pt>
                <c:pt idx="18">
                  <c:v>Kagera</c:v>
                </c:pt>
                <c:pt idx="19">
                  <c:v>Mara</c:v>
                </c:pt>
                <c:pt idx="20">
                  <c:v>Tanga</c:v>
                </c:pt>
                <c:pt idx="21">
                  <c:v>Singida</c:v>
                </c:pt>
                <c:pt idx="22">
                  <c:v>Kilimanjaro</c:v>
                </c:pt>
                <c:pt idx="23">
                  <c:v>Manyara</c:v>
                </c:pt>
                <c:pt idx="24">
                  <c:v>Njombe</c:v>
                </c:pt>
                <c:pt idx="25">
                  <c:v>Arusha</c:v>
                </c:pt>
              </c:strCache>
            </c:strRef>
          </c:cat>
          <c:val>
            <c:numRef>
              <c:f>'Tables &amp; Figures_Cereals'!$C$227:$C$252</c:f>
              <c:numCache>
                <c:formatCode>_(* #,##0_);_(* \(#,##0\);_(* "-"_);_(@_)</c:formatCode>
                <c:ptCount val="26"/>
                <c:pt idx="0">
                  <c:v>309623.63415621209</c:v>
                </c:pt>
                <c:pt idx="1">
                  <c:v>255910.15783083774</c:v>
                </c:pt>
                <c:pt idx="2">
                  <c:v>182173.20922703357</c:v>
                </c:pt>
                <c:pt idx="3">
                  <c:v>145961.14933225411</c:v>
                </c:pt>
                <c:pt idx="4">
                  <c:v>135956.69769324156</c:v>
                </c:pt>
                <c:pt idx="5">
                  <c:v>128082.55766895994</c:v>
                </c:pt>
                <c:pt idx="6">
                  <c:v>55187.373532982601</c:v>
                </c:pt>
                <c:pt idx="7">
                  <c:v>53471.469040874137</c:v>
                </c:pt>
                <c:pt idx="8">
                  <c:v>48914.204775394588</c:v>
                </c:pt>
                <c:pt idx="9">
                  <c:v>37951.031970861986</c:v>
                </c:pt>
                <c:pt idx="10">
                  <c:v>37106.839336301098</c:v>
                </c:pt>
                <c:pt idx="11">
                  <c:v>36441.926345609056</c:v>
                </c:pt>
                <c:pt idx="12">
                  <c:v>32810.198300283279</c:v>
                </c:pt>
                <c:pt idx="13">
                  <c:v>31576.689599352485</c:v>
                </c:pt>
                <c:pt idx="14">
                  <c:v>26631.323350870091</c:v>
                </c:pt>
                <c:pt idx="15">
                  <c:v>23479.562929987856</c:v>
                </c:pt>
                <c:pt idx="16">
                  <c:v>22734.115742614322</c:v>
                </c:pt>
                <c:pt idx="17">
                  <c:v>22561.715904492106</c:v>
                </c:pt>
                <c:pt idx="18">
                  <c:v>17189.397005261031</c:v>
                </c:pt>
                <c:pt idx="19">
                  <c:v>17174.018615944959</c:v>
                </c:pt>
                <c:pt idx="20">
                  <c:v>11265.884257385675</c:v>
                </c:pt>
                <c:pt idx="21">
                  <c:v>9050.5868069607423</c:v>
                </c:pt>
                <c:pt idx="22">
                  <c:v>8591.6632942128708</c:v>
                </c:pt>
                <c:pt idx="23">
                  <c:v>3212.4645892351273</c:v>
                </c:pt>
                <c:pt idx="24">
                  <c:v>1642.6547956293</c:v>
                </c:pt>
                <c:pt idx="25">
                  <c:v>386.07851072440303</c:v>
                </c:pt>
              </c:numCache>
            </c:numRef>
          </c:val>
          <c:extLst>
            <c:ext xmlns:c16="http://schemas.microsoft.com/office/drawing/2014/chart" uri="{C3380CC4-5D6E-409C-BE32-E72D297353CC}">
              <c16:uniqueId val="{00000000-D3DC-3242-9962-40B6B62C93A9}"/>
            </c:ext>
          </c:extLst>
        </c:ser>
        <c:ser>
          <c:idx val="1"/>
          <c:order val="1"/>
          <c:tx>
            <c:strRef>
              <c:f>'Tables &amp; Figures_Cereals'!$D$226</c:f>
              <c:strCache>
                <c:ptCount val="1"/>
                <c:pt idx="0">
                  <c:v>Harvested Area (Ha)</c:v>
                </c:pt>
              </c:strCache>
            </c:strRef>
          </c:tx>
          <c:spPr>
            <a:solidFill>
              <a:srgbClr val="FFFF00"/>
            </a:solidFill>
          </c:spPr>
          <c:invertIfNegative val="0"/>
          <c:cat>
            <c:strRef>
              <c:f>'Tables &amp; Figures_Cereals'!$A$227:$A$252</c:f>
              <c:strCache>
                <c:ptCount val="26"/>
                <c:pt idx="0">
                  <c:v>Morogoro</c:v>
                </c:pt>
                <c:pt idx="1">
                  <c:v>Tabora</c:v>
                </c:pt>
                <c:pt idx="2">
                  <c:v>Shinyanga</c:v>
                </c:pt>
                <c:pt idx="3">
                  <c:v>Geita</c:v>
                </c:pt>
                <c:pt idx="4">
                  <c:v>Mwanza</c:v>
                </c:pt>
                <c:pt idx="5">
                  <c:v>Mbeya</c:v>
                </c:pt>
                <c:pt idx="6">
                  <c:v>Ruvuma</c:v>
                </c:pt>
                <c:pt idx="7">
                  <c:v>Dar Es Salaam</c:v>
                </c:pt>
                <c:pt idx="8">
                  <c:v>Simiyu</c:v>
                </c:pt>
                <c:pt idx="9">
                  <c:v>Pwani</c:v>
                </c:pt>
                <c:pt idx="10">
                  <c:v>Songwe</c:v>
                </c:pt>
                <c:pt idx="11">
                  <c:v>Katavi</c:v>
                </c:pt>
                <c:pt idx="12">
                  <c:v>Dodoma</c:v>
                </c:pt>
                <c:pt idx="13">
                  <c:v>Rukwa</c:v>
                </c:pt>
                <c:pt idx="14">
                  <c:v>Iringa</c:v>
                </c:pt>
                <c:pt idx="15">
                  <c:v>Lindi</c:v>
                </c:pt>
                <c:pt idx="16">
                  <c:v>Kigoma</c:v>
                </c:pt>
                <c:pt idx="17">
                  <c:v>Mtwara</c:v>
                </c:pt>
                <c:pt idx="18">
                  <c:v>Kagera</c:v>
                </c:pt>
                <c:pt idx="19">
                  <c:v>Mara</c:v>
                </c:pt>
                <c:pt idx="20">
                  <c:v>Tanga</c:v>
                </c:pt>
                <c:pt idx="21">
                  <c:v>Singida</c:v>
                </c:pt>
                <c:pt idx="22">
                  <c:v>Kilimanjaro</c:v>
                </c:pt>
                <c:pt idx="23">
                  <c:v>Manyara</c:v>
                </c:pt>
                <c:pt idx="24">
                  <c:v>Njombe</c:v>
                </c:pt>
                <c:pt idx="25">
                  <c:v>Arusha</c:v>
                </c:pt>
              </c:strCache>
            </c:strRef>
          </c:cat>
          <c:val>
            <c:numRef>
              <c:f>'Tables &amp; Figures_Cereals'!$D$227:$D$252</c:f>
              <c:numCache>
                <c:formatCode>_(* #,##0_);_(* \(#,##0\);_(* "-"_);_(@_)</c:formatCode>
                <c:ptCount val="26"/>
                <c:pt idx="0">
                  <c:v>264141.2383650344</c:v>
                </c:pt>
                <c:pt idx="1">
                  <c:v>217170.37636584378</c:v>
                </c:pt>
                <c:pt idx="2">
                  <c:v>179076.89194658032</c:v>
                </c:pt>
                <c:pt idx="3">
                  <c:v>144720.35613112096</c:v>
                </c:pt>
                <c:pt idx="4">
                  <c:v>133104.0064751113</c:v>
                </c:pt>
                <c:pt idx="5">
                  <c:v>116778.22743828408</c:v>
                </c:pt>
                <c:pt idx="6">
                  <c:v>50663.294212869274</c:v>
                </c:pt>
                <c:pt idx="7">
                  <c:v>43400.647511129093</c:v>
                </c:pt>
                <c:pt idx="8">
                  <c:v>47677.053824362607</c:v>
                </c:pt>
                <c:pt idx="9">
                  <c:v>19604.208822339133</c:v>
                </c:pt>
                <c:pt idx="10">
                  <c:v>25679.077296641037</c:v>
                </c:pt>
                <c:pt idx="11">
                  <c:v>35106.839336301091</c:v>
                </c:pt>
                <c:pt idx="12">
                  <c:v>15066.369890732496</c:v>
                </c:pt>
                <c:pt idx="13">
                  <c:v>28781.869688385261</c:v>
                </c:pt>
                <c:pt idx="14">
                  <c:v>25337.919870497768</c:v>
                </c:pt>
                <c:pt idx="15">
                  <c:v>19768.919465803316</c:v>
                </c:pt>
                <c:pt idx="16">
                  <c:v>16285.3095912586</c:v>
                </c:pt>
                <c:pt idx="17">
                  <c:v>18005.26102792392</c:v>
                </c:pt>
                <c:pt idx="18">
                  <c:v>17079.724807770133</c:v>
                </c:pt>
                <c:pt idx="19">
                  <c:v>16078.915418858762</c:v>
                </c:pt>
                <c:pt idx="20">
                  <c:v>6589.2351274787534</c:v>
                </c:pt>
                <c:pt idx="21">
                  <c:v>8306.3537029542695</c:v>
                </c:pt>
                <c:pt idx="22">
                  <c:v>7023.0675839740998</c:v>
                </c:pt>
                <c:pt idx="23">
                  <c:v>3167.1388101982998</c:v>
                </c:pt>
                <c:pt idx="24">
                  <c:v>1619.991906110886</c:v>
                </c:pt>
                <c:pt idx="25">
                  <c:v>338.72925940914604</c:v>
                </c:pt>
              </c:numCache>
            </c:numRef>
          </c:val>
          <c:extLst>
            <c:ext xmlns:c16="http://schemas.microsoft.com/office/drawing/2014/chart" uri="{C3380CC4-5D6E-409C-BE32-E72D297353CC}">
              <c16:uniqueId val="{00000001-D3DC-3242-9962-40B6B62C93A9}"/>
            </c:ext>
          </c:extLst>
        </c:ser>
        <c:dLbls>
          <c:showLegendKey val="0"/>
          <c:showVal val="0"/>
          <c:showCatName val="0"/>
          <c:showSerName val="0"/>
          <c:showPercent val="0"/>
          <c:showBubbleSize val="0"/>
        </c:dLbls>
        <c:gapWidth val="150"/>
        <c:axId val="95394048"/>
        <c:axId val="95396224"/>
      </c:barChart>
      <c:catAx>
        <c:axId val="95394048"/>
        <c:scaling>
          <c:orientation val="minMax"/>
        </c:scaling>
        <c:delete val="0"/>
        <c:axPos val="b"/>
        <c:title>
          <c:tx>
            <c:rich>
              <a:bodyPr/>
              <a:lstStyle/>
              <a:p>
                <a:pPr>
                  <a:defRPr/>
                </a:pPr>
                <a:r>
                  <a:rPr lang="en-US"/>
                  <a:t>Region</a:t>
                </a:r>
              </a:p>
            </c:rich>
          </c:tx>
          <c:layout>
            <c:manualLayout>
              <c:xMode val="edge"/>
              <c:yMode val="edge"/>
              <c:x val="0.46354296879190005"/>
              <c:y val="0.79503288014145412"/>
            </c:manualLayout>
          </c:layout>
          <c:overlay val="0"/>
        </c:title>
        <c:numFmt formatCode="General" sourceLinked="0"/>
        <c:majorTickMark val="out"/>
        <c:minorTickMark val="none"/>
        <c:tickLblPos val="nextTo"/>
        <c:txPr>
          <a:bodyPr rot="-5400000" vert="horz"/>
          <a:lstStyle/>
          <a:p>
            <a:pPr>
              <a:defRPr/>
            </a:pPr>
            <a:endParaRPr lang="en-US"/>
          </a:p>
        </c:txPr>
        <c:crossAx val="95396224"/>
        <c:crosses val="autoZero"/>
        <c:auto val="1"/>
        <c:lblAlgn val="ctr"/>
        <c:lblOffset val="100"/>
        <c:noMultiLvlLbl val="0"/>
      </c:catAx>
      <c:valAx>
        <c:axId val="95396224"/>
        <c:scaling>
          <c:orientation val="minMax"/>
        </c:scaling>
        <c:delete val="0"/>
        <c:axPos val="l"/>
        <c:title>
          <c:tx>
            <c:rich>
              <a:bodyPr rot="-5400000" vert="horz"/>
              <a:lstStyle/>
              <a:p>
                <a:pPr>
                  <a:defRPr/>
                </a:pPr>
                <a:r>
                  <a:rPr lang="en-US"/>
                  <a:t>Area (ha)</a:t>
                </a:r>
              </a:p>
            </c:rich>
          </c:tx>
          <c:layout>
            <c:manualLayout>
              <c:xMode val="edge"/>
              <c:yMode val="edge"/>
              <c:x val="1.8795489293797409E-2"/>
              <c:y val="0.21129547095090825"/>
            </c:manualLayout>
          </c:layout>
          <c:overlay val="0"/>
        </c:title>
        <c:numFmt formatCode="_(* #,##0_);_(* \(#,##0\);_(* &quot;-&quot;_);_(@_)" sourceLinked="1"/>
        <c:majorTickMark val="out"/>
        <c:minorTickMark val="none"/>
        <c:tickLblPos val="nextTo"/>
        <c:crossAx val="95394048"/>
        <c:crosses val="autoZero"/>
        <c:crossBetween val="between"/>
      </c:valAx>
    </c:plotArea>
    <c:legend>
      <c:legendPos val="b"/>
      <c:layout>
        <c:manualLayout>
          <c:xMode val="edge"/>
          <c:yMode val="edge"/>
          <c:x val="0.30087667837496423"/>
          <c:y val="0.86599935100627135"/>
          <c:w val="0.39824647822825981"/>
          <c:h val="6.6717217538724394E-2"/>
        </c:manualLayout>
      </c:layout>
      <c:overlay val="0"/>
    </c:legend>
    <c:plotVisOnly val="1"/>
    <c:dispBlanksAs val="gap"/>
    <c:showDLblsOverMax val="0"/>
  </c:chart>
  <c:spPr>
    <a:ln w="9525">
      <a:solidFill>
        <a:sysClr val="windowText" lastClr="000000">
          <a:lumMod val="50000"/>
          <a:lumOff val="50000"/>
        </a:sysClr>
      </a:solidFill>
    </a:ln>
  </c:spPr>
  <c:txPr>
    <a:bodyPr/>
    <a:lstStyle/>
    <a:p>
      <a:pPr>
        <a:defRPr sz="900" b="0">
          <a:latin typeface="Times New Roman" pitchFamily="18" charset="0"/>
          <a:cs typeface="Times New Roman" pitchFamily="18" charset="0"/>
        </a:defRPr>
      </a:pPr>
      <a:endParaRPr lang="en-US"/>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869321623258628"/>
          <c:y val="7.4930060213061742E-2"/>
          <c:w val="0.83124304615785283"/>
          <c:h val="0.57712402763402826"/>
        </c:manualLayout>
      </c:layout>
      <c:barChart>
        <c:barDir val="col"/>
        <c:grouping val="clustered"/>
        <c:varyColors val="0"/>
        <c:ser>
          <c:idx val="0"/>
          <c:order val="0"/>
          <c:tx>
            <c:strRef>
              <c:f>'Tables &amp; Figures_Cereals'!$C$264</c:f>
              <c:strCache>
                <c:ptCount val="1"/>
                <c:pt idx="0">
                  <c:v>Planted Area (Ha)</c:v>
                </c:pt>
              </c:strCache>
            </c:strRef>
          </c:tx>
          <c:spPr>
            <a:solidFill>
              <a:srgbClr val="0070C0"/>
            </a:solidFill>
          </c:spPr>
          <c:invertIfNegative val="0"/>
          <c:cat>
            <c:strRef>
              <c:f>'Tables &amp; Figures_Cereals'!$A$265:$A$269</c:f>
              <c:strCache>
                <c:ptCount val="5"/>
                <c:pt idx="0">
                  <c:v>Kusini  Pemba</c:v>
                </c:pt>
                <c:pt idx="1">
                  <c:v>Mjini Magharibi</c:v>
                </c:pt>
                <c:pt idx="2">
                  <c:v>Kaskazini Pemba</c:v>
                </c:pt>
                <c:pt idx="3">
                  <c:v>Kaskazini Unguja</c:v>
                </c:pt>
                <c:pt idx="4">
                  <c:v>Kusini Unguja</c:v>
                </c:pt>
              </c:strCache>
            </c:strRef>
          </c:cat>
          <c:val>
            <c:numRef>
              <c:f>'Tables &amp; Figures_Cereals'!$C$265:$C$269</c:f>
              <c:numCache>
                <c:formatCode>_(* #,##0_);_(* \(#,##0\);_(* "-"_);_(@_)</c:formatCode>
                <c:ptCount val="5"/>
                <c:pt idx="0">
                  <c:v>13620.39660056657</c:v>
                </c:pt>
                <c:pt idx="1">
                  <c:v>8123.8365034399039</c:v>
                </c:pt>
                <c:pt idx="2">
                  <c:v>6817.8874949413184</c:v>
                </c:pt>
                <c:pt idx="3">
                  <c:v>3628.8951841359772</c:v>
                </c:pt>
                <c:pt idx="4">
                  <c:v>963.57749898826387</c:v>
                </c:pt>
              </c:numCache>
            </c:numRef>
          </c:val>
          <c:extLst>
            <c:ext xmlns:c16="http://schemas.microsoft.com/office/drawing/2014/chart" uri="{C3380CC4-5D6E-409C-BE32-E72D297353CC}">
              <c16:uniqueId val="{00000000-5027-E744-9719-838C04DB325D}"/>
            </c:ext>
          </c:extLst>
        </c:ser>
        <c:ser>
          <c:idx val="1"/>
          <c:order val="1"/>
          <c:tx>
            <c:strRef>
              <c:f>'Tables &amp; Figures_Cereals'!$D$264</c:f>
              <c:strCache>
                <c:ptCount val="1"/>
                <c:pt idx="0">
                  <c:v>Harvested Area (Ha)</c:v>
                </c:pt>
              </c:strCache>
            </c:strRef>
          </c:tx>
          <c:spPr>
            <a:solidFill>
              <a:srgbClr val="FFFF00"/>
            </a:solidFill>
          </c:spPr>
          <c:invertIfNegative val="0"/>
          <c:cat>
            <c:strRef>
              <c:f>'Tables &amp; Figures_Cereals'!$A$265:$A$269</c:f>
              <c:strCache>
                <c:ptCount val="5"/>
                <c:pt idx="0">
                  <c:v>Kusini  Pemba</c:v>
                </c:pt>
                <c:pt idx="1">
                  <c:v>Mjini Magharibi</c:v>
                </c:pt>
                <c:pt idx="2">
                  <c:v>Kaskazini Pemba</c:v>
                </c:pt>
                <c:pt idx="3">
                  <c:v>Kaskazini Unguja</c:v>
                </c:pt>
                <c:pt idx="4">
                  <c:v>Kusini Unguja</c:v>
                </c:pt>
              </c:strCache>
            </c:strRef>
          </c:cat>
          <c:val>
            <c:numRef>
              <c:f>'Tables &amp; Figures_Cereals'!$D$265:$D$269</c:f>
              <c:numCache>
                <c:formatCode>_(* #,##0_);_(* \(#,##0\);_(* "-"_);_(@_)</c:formatCode>
                <c:ptCount val="5"/>
                <c:pt idx="0">
                  <c:v>9974.9089437474668</c:v>
                </c:pt>
                <c:pt idx="1">
                  <c:v>5564.9534601375963</c:v>
                </c:pt>
                <c:pt idx="2">
                  <c:v>5458.9235127478742</c:v>
                </c:pt>
                <c:pt idx="3">
                  <c:v>2847.0254957507073</c:v>
                </c:pt>
                <c:pt idx="4">
                  <c:v>708.21529745042483</c:v>
                </c:pt>
              </c:numCache>
            </c:numRef>
          </c:val>
          <c:extLst>
            <c:ext xmlns:c16="http://schemas.microsoft.com/office/drawing/2014/chart" uri="{C3380CC4-5D6E-409C-BE32-E72D297353CC}">
              <c16:uniqueId val="{00000001-5027-E744-9719-838C04DB325D}"/>
            </c:ext>
          </c:extLst>
        </c:ser>
        <c:dLbls>
          <c:showLegendKey val="0"/>
          <c:showVal val="0"/>
          <c:showCatName val="0"/>
          <c:showSerName val="0"/>
          <c:showPercent val="0"/>
          <c:showBubbleSize val="0"/>
        </c:dLbls>
        <c:gapWidth val="150"/>
        <c:axId val="95509120"/>
        <c:axId val="95511296"/>
      </c:barChart>
      <c:catAx>
        <c:axId val="95509120"/>
        <c:scaling>
          <c:orientation val="minMax"/>
        </c:scaling>
        <c:delete val="0"/>
        <c:axPos val="b"/>
        <c:title>
          <c:tx>
            <c:rich>
              <a:bodyPr/>
              <a:lstStyle/>
              <a:p>
                <a:pPr>
                  <a:defRPr/>
                </a:pPr>
                <a:r>
                  <a:rPr lang="en-US"/>
                  <a:t>Region</a:t>
                </a:r>
              </a:p>
            </c:rich>
          </c:tx>
          <c:layout>
            <c:manualLayout>
              <c:xMode val="edge"/>
              <c:yMode val="edge"/>
              <c:x val="0.4632670889571322"/>
              <c:y val="0.77696676675285536"/>
            </c:manualLayout>
          </c:layout>
          <c:overlay val="0"/>
        </c:title>
        <c:numFmt formatCode="General" sourceLinked="0"/>
        <c:majorTickMark val="out"/>
        <c:minorTickMark val="none"/>
        <c:tickLblPos val="nextTo"/>
        <c:crossAx val="95511296"/>
        <c:crosses val="autoZero"/>
        <c:auto val="1"/>
        <c:lblAlgn val="ctr"/>
        <c:lblOffset val="100"/>
        <c:noMultiLvlLbl val="0"/>
      </c:catAx>
      <c:valAx>
        <c:axId val="95511296"/>
        <c:scaling>
          <c:orientation val="minMax"/>
        </c:scaling>
        <c:delete val="0"/>
        <c:axPos val="l"/>
        <c:title>
          <c:tx>
            <c:rich>
              <a:bodyPr rot="-5400000" vert="horz"/>
              <a:lstStyle/>
              <a:p>
                <a:pPr>
                  <a:defRPr/>
                </a:pPr>
                <a:r>
                  <a:rPr lang="en-US"/>
                  <a:t>Area (ha)</a:t>
                </a:r>
              </a:p>
            </c:rich>
          </c:tx>
          <c:layout>
            <c:manualLayout>
              <c:xMode val="edge"/>
              <c:yMode val="edge"/>
              <c:x val="7.0512820512820523E-3"/>
              <c:y val="0.2809906078813319"/>
            </c:manualLayout>
          </c:layout>
          <c:overlay val="0"/>
        </c:title>
        <c:numFmt formatCode="_(* #,##0_);_(* \(#,##0\);_(* &quot;-&quot;_);_(@_)" sourceLinked="1"/>
        <c:majorTickMark val="out"/>
        <c:minorTickMark val="none"/>
        <c:tickLblPos val="nextTo"/>
        <c:crossAx val="95509120"/>
        <c:crosses val="autoZero"/>
        <c:crossBetween val="between"/>
      </c:valAx>
    </c:plotArea>
    <c:legend>
      <c:legendPos val="b"/>
      <c:layout>
        <c:manualLayout>
          <c:xMode val="edge"/>
          <c:yMode val="edge"/>
          <c:x val="0.29806237291539406"/>
          <c:y val="0.86128493111607685"/>
          <c:w val="0.40387525416921183"/>
          <c:h val="7.3689523133807069E-2"/>
        </c:manualLayout>
      </c:layout>
      <c:overlay val="0"/>
    </c:legend>
    <c:plotVisOnly val="1"/>
    <c:dispBlanksAs val="gap"/>
    <c:showDLblsOverMax val="0"/>
  </c:chart>
  <c:spPr>
    <a:ln w="9525"/>
  </c:spPr>
  <c:txPr>
    <a:bodyPr/>
    <a:lstStyle/>
    <a:p>
      <a:pPr>
        <a:defRPr sz="900" b="0">
          <a:latin typeface="Times New Roman" pitchFamily="18" charset="0"/>
          <a:cs typeface="Times New Roman" pitchFamily="18" charset="0"/>
        </a:defRPr>
      </a:pPr>
      <a:endParaRPr lang="en-US"/>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690159300195334"/>
          <c:y val="7.4548702245552628E-2"/>
          <c:w val="0.7675571139123788"/>
          <c:h val="0.59392385042778761"/>
        </c:manualLayout>
      </c:layout>
      <c:barChart>
        <c:barDir val="col"/>
        <c:grouping val="clustered"/>
        <c:varyColors val="0"/>
        <c:ser>
          <c:idx val="0"/>
          <c:order val="0"/>
          <c:tx>
            <c:strRef>
              <c:f>'Tables &amp; Figures_Cereals'!$E$79</c:f>
              <c:strCache>
                <c:ptCount val="1"/>
                <c:pt idx="0">
                  <c:v>Quantity Harvested (Tons)</c:v>
                </c:pt>
              </c:strCache>
            </c:strRef>
          </c:tx>
          <c:spPr>
            <a:solidFill>
              <a:srgbClr val="0070C0"/>
            </a:solidFill>
          </c:spPr>
          <c:invertIfNegative val="0"/>
          <c:cat>
            <c:strRef>
              <c:f>'Tables &amp; Figures_Cereals'!$A$80:$A$105</c:f>
              <c:strCache>
                <c:ptCount val="26"/>
                <c:pt idx="0">
                  <c:v>Morogoro</c:v>
                </c:pt>
                <c:pt idx="1">
                  <c:v>Mbeya</c:v>
                </c:pt>
                <c:pt idx="2">
                  <c:v>Shinyanga</c:v>
                </c:pt>
                <c:pt idx="3">
                  <c:v>Geita</c:v>
                </c:pt>
                <c:pt idx="4">
                  <c:v>Tabora</c:v>
                </c:pt>
                <c:pt idx="5">
                  <c:v>Mwanza</c:v>
                </c:pt>
                <c:pt idx="6">
                  <c:v>Simiyu</c:v>
                </c:pt>
                <c:pt idx="7">
                  <c:v>Katavi</c:v>
                </c:pt>
                <c:pt idx="8">
                  <c:v>Ruvuma</c:v>
                </c:pt>
                <c:pt idx="9">
                  <c:v>Dar Es Salaam</c:v>
                </c:pt>
                <c:pt idx="10">
                  <c:v>Rukwa</c:v>
                </c:pt>
                <c:pt idx="11">
                  <c:v>Iringa</c:v>
                </c:pt>
                <c:pt idx="12">
                  <c:v>Songwe</c:v>
                </c:pt>
                <c:pt idx="13">
                  <c:v>Kigoma</c:v>
                </c:pt>
                <c:pt idx="14">
                  <c:v>Pwani</c:v>
                </c:pt>
                <c:pt idx="15">
                  <c:v>Dodoma</c:v>
                </c:pt>
                <c:pt idx="16">
                  <c:v>Mara</c:v>
                </c:pt>
                <c:pt idx="17">
                  <c:v>Kagera</c:v>
                </c:pt>
                <c:pt idx="18">
                  <c:v>Lindi</c:v>
                </c:pt>
                <c:pt idx="19">
                  <c:v>Mtwara</c:v>
                </c:pt>
                <c:pt idx="20">
                  <c:v>Kilimanjaro</c:v>
                </c:pt>
                <c:pt idx="21">
                  <c:v>Singida</c:v>
                </c:pt>
                <c:pt idx="22">
                  <c:v>Tanga</c:v>
                </c:pt>
                <c:pt idx="23">
                  <c:v>Manyara</c:v>
                </c:pt>
                <c:pt idx="24">
                  <c:v>Njombe</c:v>
                </c:pt>
                <c:pt idx="25">
                  <c:v>Arusha</c:v>
                </c:pt>
              </c:strCache>
            </c:strRef>
          </c:cat>
          <c:val>
            <c:numRef>
              <c:f>'Tables &amp; Figures_Cereals'!$E$80:$E$105</c:f>
              <c:numCache>
                <c:formatCode>_(* #,##0_);_(* \(#,##0\);_(* "-"_);_(@_)</c:formatCode>
                <c:ptCount val="26"/>
                <c:pt idx="0">
                  <c:v>572883.62800000003</c:v>
                </c:pt>
                <c:pt idx="1">
                  <c:v>413212.23699999996</c:v>
                </c:pt>
                <c:pt idx="2">
                  <c:v>381092.087</c:v>
                </c:pt>
                <c:pt idx="3">
                  <c:v>332653.28899999999</c:v>
                </c:pt>
                <c:pt idx="4">
                  <c:v>330273.80599999992</c:v>
                </c:pt>
                <c:pt idx="5">
                  <c:v>328583.88699999999</c:v>
                </c:pt>
                <c:pt idx="6">
                  <c:v>118551.12800000001</c:v>
                </c:pt>
                <c:pt idx="7">
                  <c:v>112919.18399999999</c:v>
                </c:pt>
                <c:pt idx="8">
                  <c:v>95358.877000000022</c:v>
                </c:pt>
                <c:pt idx="9">
                  <c:v>93805.438999999998</c:v>
                </c:pt>
                <c:pt idx="10">
                  <c:v>85882.798999999999</c:v>
                </c:pt>
                <c:pt idx="11">
                  <c:v>81345.894</c:v>
                </c:pt>
                <c:pt idx="12">
                  <c:v>50113.659</c:v>
                </c:pt>
                <c:pt idx="13">
                  <c:v>41883.956000000006</c:v>
                </c:pt>
                <c:pt idx="14">
                  <c:v>40784.259000000005</c:v>
                </c:pt>
                <c:pt idx="15">
                  <c:v>39635.334000000003</c:v>
                </c:pt>
                <c:pt idx="16">
                  <c:v>38653.723999999995</c:v>
                </c:pt>
                <c:pt idx="17">
                  <c:v>36889.925999999999</c:v>
                </c:pt>
                <c:pt idx="18">
                  <c:v>32198.944000000003</c:v>
                </c:pt>
                <c:pt idx="19">
                  <c:v>28637.261000000006</c:v>
                </c:pt>
                <c:pt idx="20">
                  <c:v>23785.295000000006</c:v>
                </c:pt>
                <c:pt idx="21">
                  <c:v>19224.873</c:v>
                </c:pt>
                <c:pt idx="22">
                  <c:v>14248.719000000003</c:v>
                </c:pt>
                <c:pt idx="23">
                  <c:v>9019.676999999996</c:v>
                </c:pt>
                <c:pt idx="24">
                  <c:v>7162.1940000000004</c:v>
                </c:pt>
                <c:pt idx="25">
                  <c:v>1493.2239999999999</c:v>
                </c:pt>
              </c:numCache>
            </c:numRef>
          </c:val>
          <c:extLst>
            <c:ext xmlns:c16="http://schemas.microsoft.com/office/drawing/2014/chart" uri="{C3380CC4-5D6E-409C-BE32-E72D297353CC}">
              <c16:uniqueId val="{00000000-8625-1148-A39E-C159465D4B88}"/>
            </c:ext>
          </c:extLst>
        </c:ser>
        <c:dLbls>
          <c:showLegendKey val="0"/>
          <c:showVal val="0"/>
          <c:showCatName val="0"/>
          <c:showSerName val="0"/>
          <c:showPercent val="0"/>
          <c:showBubbleSize val="0"/>
        </c:dLbls>
        <c:gapWidth val="49"/>
        <c:axId val="95439488"/>
        <c:axId val="95449856"/>
      </c:barChart>
      <c:scatterChart>
        <c:scatterStyle val="lineMarker"/>
        <c:varyColors val="0"/>
        <c:ser>
          <c:idx val="1"/>
          <c:order val="1"/>
          <c:tx>
            <c:strRef>
              <c:f>'Tables &amp; Figures_Cereals'!$F$79</c:f>
              <c:strCache>
                <c:ptCount val="1"/>
                <c:pt idx="0">
                  <c:v>Yield (Tons/Ha)</c:v>
                </c:pt>
              </c:strCache>
            </c:strRef>
          </c:tx>
          <c:spPr>
            <a:ln w="28575">
              <a:noFill/>
            </a:ln>
          </c:spPr>
          <c:marker>
            <c:symbol val="circle"/>
            <c:size val="5"/>
          </c:marker>
          <c:dLbls>
            <c:dLbl>
              <c:idx val="0"/>
              <c:layout>
                <c:manualLayout>
                  <c:x val="-2.4161450972474595E-2"/>
                  <c:y val="-0.269991137027037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33B-2947-BFF4-F813DB2AB630}"/>
                </c:ext>
              </c:extLst>
            </c:dLbl>
            <c:dLbl>
              <c:idx val="2"/>
              <c:layout>
                <c:manualLayout>
                  <c:x val="-2.4161450972474633E-2"/>
                  <c:y val="-0.11788335780061394"/>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33B-2947-BFF4-F813DB2AB630}"/>
                </c:ext>
              </c:extLst>
            </c:dLbl>
            <c:dLbl>
              <c:idx val="4"/>
              <c:layout>
                <c:manualLayout>
                  <c:x val="-2.6298203109226731E-2"/>
                  <c:y val="-0.1483049136458986"/>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33B-2947-BFF4-F813DB2AB630}"/>
                </c:ext>
              </c:extLst>
            </c:dLbl>
            <c:spPr>
              <a:noFill/>
              <a:ln>
                <a:noFill/>
              </a:ln>
              <a:effectLst/>
            </c:spPr>
            <c:txPr>
              <a:bodyPr rot="-5400000" vert="horz"/>
              <a:lstStyle/>
              <a:p>
                <a:pPr>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strRef>
              <c:f>'Tables &amp; Figures_Cereals'!$A$80:$A$105</c:f>
              <c:strCache>
                <c:ptCount val="26"/>
                <c:pt idx="0">
                  <c:v>Morogoro</c:v>
                </c:pt>
                <c:pt idx="1">
                  <c:v>Mbeya</c:v>
                </c:pt>
                <c:pt idx="2">
                  <c:v>Shinyanga</c:v>
                </c:pt>
                <c:pt idx="3">
                  <c:v>Geita</c:v>
                </c:pt>
                <c:pt idx="4">
                  <c:v>Tabora</c:v>
                </c:pt>
                <c:pt idx="5">
                  <c:v>Mwanza</c:v>
                </c:pt>
                <c:pt idx="6">
                  <c:v>Simiyu</c:v>
                </c:pt>
                <c:pt idx="7">
                  <c:v>Katavi</c:v>
                </c:pt>
                <c:pt idx="8">
                  <c:v>Ruvuma</c:v>
                </c:pt>
                <c:pt idx="9">
                  <c:v>Dar Es Salaam</c:v>
                </c:pt>
                <c:pt idx="10">
                  <c:v>Rukwa</c:v>
                </c:pt>
                <c:pt idx="11">
                  <c:v>Iringa</c:v>
                </c:pt>
                <c:pt idx="12">
                  <c:v>Songwe</c:v>
                </c:pt>
                <c:pt idx="13">
                  <c:v>Kigoma</c:v>
                </c:pt>
                <c:pt idx="14">
                  <c:v>Pwani</c:v>
                </c:pt>
                <c:pt idx="15">
                  <c:v>Dodoma</c:v>
                </c:pt>
                <c:pt idx="16">
                  <c:v>Mara</c:v>
                </c:pt>
                <c:pt idx="17">
                  <c:v>Kagera</c:v>
                </c:pt>
                <c:pt idx="18">
                  <c:v>Lindi</c:v>
                </c:pt>
                <c:pt idx="19">
                  <c:v>Mtwara</c:v>
                </c:pt>
                <c:pt idx="20">
                  <c:v>Kilimanjaro</c:v>
                </c:pt>
                <c:pt idx="21">
                  <c:v>Singida</c:v>
                </c:pt>
                <c:pt idx="22">
                  <c:v>Tanga</c:v>
                </c:pt>
                <c:pt idx="23">
                  <c:v>Manyara</c:v>
                </c:pt>
                <c:pt idx="24">
                  <c:v>Njombe</c:v>
                </c:pt>
                <c:pt idx="25">
                  <c:v>Arusha</c:v>
                </c:pt>
              </c:strCache>
            </c:strRef>
          </c:xVal>
          <c:yVal>
            <c:numRef>
              <c:f>'Tables &amp; Figures_Cereals'!$F$80:$F$105</c:f>
              <c:numCache>
                <c:formatCode>_(* #,##0.0_);_(* \(#,##0.0\);_(* "-"_);_(@_)</c:formatCode>
                <c:ptCount val="26"/>
                <c:pt idx="0">
                  <c:v>2.1688534192767501</c:v>
                </c:pt>
                <c:pt idx="1">
                  <c:v>3.5384355976663358</c:v>
                </c:pt>
                <c:pt idx="2">
                  <c:v>2.1280919210597089</c:v>
                </c:pt>
                <c:pt idx="3">
                  <c:v>2.2985936318357743</c:v>
                </c:pt>
                <c:pt idx="4">
                  <c:v>1.5208050542014204</c:v>
                </c:pt>
                <c:pt idx="5">
                  <c:v>2.4686250677318338</c:v>
                </c:pt>
                <c:pt idx="6">
                  <c:v>2.4865447524658353</c:v>
                </c:pt>
                <c:pt idx="7">
                  <c:v>3.2164440358275024</c:v>
                </c:pt>
                <c:pt idx="8">
                  <c:v>1.8822083814632282</c:v>
                </c:pt>
                <c:pt idx="9">
                  <c:v>2.1613833981611856</c:v>
                </c:pt>
                <c:pt idx="10">
                  <c:v>2.9839200833661419</c:v>
                </c:pt>
                <c:pt idx="11">
                  <c:v>3.2104408892189746</c:v>
                </c:pt>
                <c:pt idx="12">
                  <c:v>1.9515365922651409</c:v>
                </c:pt>
                <c:pt idx="13">
                  <c:v>2.5718857701349371</c:v>
                </c:pt>
                <c:pt idx="14">
                  <c:v>2.0803828080797655</c:v>
                </c:pt>
                <c:pt idx="15">
                  <c:v>2.6307155796287836</c:v>
                </c:pt>
                <c:pt idx="16">
                  <c:v>2.4040007048400498</c:v>
                </c:pt>
                <c:pt idx="17">
                  <c:v>2.1598665326983224</c:v>
                </c:pt>
                <c:pt idx="18">
                  <c:v>1.628766005936662</c:v>
                </c:pt>
                <c:pt idx="19">
                  <c:v>1.5904940759029917</c:v>
                </c:pt>
                <c:pt idx="20">
                  <c:v>3.3867387314163881</c:v>
                </c:pt>
                <c:pt idx="21">
                  <c:v>2.3144780113520094</c:v>
                </c:pt>
                <c:pt idx="22">
                  <c:v>2.1624238207222706</c:v>
                </c:pt>
                <c:pt idx="23">
                  <c:v>2.8478944373881934</c:v>
                </c:pt>
                <c:pt idx="24">
                  <c:v>4.4211294963777172</c:v>
                </c:pt>
                <c:pt idx="25">
                  <c:v>4.4083112353643985</c:v>
                </c:pt>
              </c:numCache>
            </c:numRef>
          </c:yVal>
          <c:smooth val="0"/>
          <c:extLst>
            <c:ext xmlns:c16="http://schemas.microsoft.com/office/drawing/2014/chart" uri="{C3380CC4-5D6E-409C-BE32-E72D297353CC}">
              <c16:uniqueId val="{00000001-8625-1148-A39E-C159465D4B88}"/>
            </c:ext>
          </c:extLst>
        </c:ser>
        <c:dLbls>
          <c:showLegendKey val="0"/>
          <c:showVal val="0"/>
          <c:showCatName val="0"/>
          <c:showSerName val="0"/>
          <c:showPercent val="0"/>
          <c:showBubbleSize val="0"/>
        </c:dLbls>
        <c:axId val="95466240"/>
        <c:axId val="95451776"/>
      </c:scatterChart>
      <c:catAx>
        <c:axId val="95439488"/>
        <c:scaling>
          <c:orientation val="minMax"/>
        </c:scaling>
        <c:delete val="0"/>
        <c:axPos val="b"/>
        <c:title>
          <c:tx>
            <c:rich>
              <a:bodyPr/>
              <a:lstStyle/>
              <a:p>
                <a:pPr>
                  <a:defRPr/>
                </a:pPr>
                <a:r>
                  <a:rPr lang="en-US"/>
                  <a:t>Region</a:t>
                </a:r>
              </a:p>
            </c:rich>
          </c:tx>
          <c:layout>
            <c:manualLayout>
              <c:xMode val="edge"/>
              <c:yMode val="edge"/>
              <c:x val="0.48812731239920309"/>
              <c:y val="0.83643297847221509"/>
            </c:manualLayout>
          </c:layout>
          <c:overlay val="0"/>
        </c:title>
        <c:numFmt formatCode="General" sourceLinked="0"/>
        <c:majorTickMark val="out"/>
        <c:minorTickMark val="none"/>
        <c:tickLblPos val="nextTo"/>
        <c:txPr>
          <a:bodyPr rot="-5400000" vert="horz"/>
          <a:lstStyle/>
          <a:p>
            <a:pPr>
              <a:defRPr/>
            </a:pPr>
            <a:endParaRPr lang="en-US"/>
          </a:p>
        </c:txPr>
        <c:crossAx val="95449856"/>
        <c:crosses val="autoZero"/>
        <c:auto val="1"/>
        <c:lblAlgn val="ctr"/>
        <c:lblOffset val="100"/>
        <c:noMultiLvlLbl val="0"/>
      </c:catAx>
      <c:valAx>
        <c:axId val="95449856"/>
        <c:scaling>
          <c:orientation val="minMax"/>
        </c:scaling>
        <c:delete val="0"/>
        <c:axPos val="l"/>
        <c:title>
          <c:tx>
            <c:rich>
              <a:bodyPr rot="-5400000" vert="horz"/>
              <a:lstStyle/>
              <a:p>
                <a:pPr>
                  <a:defRPr/>
                </a:pPr>
                <a:r>
                  <a:rPr lang="en-US"/>
                  <a:t>Production (tons)</a:t>
                </a:r>
              </a:p>
            </c:rich>
          </c:tx>
          <c:layout>
            <c:manualLayout>
              <c:xMode val="edge"/>
              <c:yMode val="edge"/>
              <c:x val="2.5545124167171411E-2"/>
              <c:y val="0.24084359077018894"/>
            </c:manualLayout>
          </c:layout>
          <c:overlay val="0"/>
        </c:title>
        <c:numFmt formatCode="_(* #,##0_);_(* \(#,##0\);_(* &quot;-&quot;_);_(@_)" sourceLinked="1"/>
        <c:majorTickMark val="out"/>
        <c:minorTickMark val="none"/>
        <c:tickLblPos val="nextTo"/>
        <c:crossAx val="95439488"/>
        <c:crosses val="autoZero"/>
        <c:crossBetween val="between"/>
      </c:valAx>
      <c:valAx>
        <c:axId val="95451776"/>
        <c:scaling>
          <c:orientation val="minMax"/>
        </c:scaling>
        <c:delete val="0"/>
        <c:axPos val="r"/>
        <c:title>
          <c:tx>
            <c:rich>
              <a:bodyPr rot="-5400000" vert="horz"/>
              <a:lstStyle/>
              <a:p>
                <a:pPr>
                  <a:defRPr/>
                </a:pPr>
                <a:r>
                  <a:rPr lang="en-US"/>
                  <a:t>Yield (tons/ha)</a:t>
                </a:r>
              </a:p>
            </c:rich>
          </c:tx>
          <c:layout>
            <c:manualLayout>
              <c:xMode val="edge"/>
              <c:yMode val="edge"/>
              <c:x val="0.95745389319040419"/>
              <c:y val="0.2209190115903048"/>
            </c:manualLayout>
          </c:layout>
          <c:overlay val="0"/>
        </c:title>
        <c:numFmt formatCode="_(* #,##0.0_);_(* \(#,##0.0\);_(* &quot;-&quot;_);_(@_)" sourceLinked="1"/>
        <c:majorTickMark val="out"/>
        <c:minorTickMark val="none"/>
        <c:tickLblPos val="nextTo"/>
        <c:crossAx val="95466240"/>
        <c:crosses val="max"/>
        <c:crossBetween val="midCat"/>
      </c:valAx>
      <c:valAx>
        <c:axId val="95466240"/>
        <c:scaling>
          <c:orientation val="minMax"/>
        </c:scaling>
        <c:delete val="1"/>
        <c:axPos val="b"/>
        <c:majorTickMark val="out"/>
        <c:minorTickMark val="none"/>
        <c:tickLblPos val="none"/>
        <c:crossAx val="95451776"/>
        <c:crosses val="autoZero"/>
        <c:crossBetween val="midCat"/>
      </c:valAx>
    </c:plotArea>
    <c:legend>
      <c:legendPos val="b"/>
      <c:layout>
        <c:manualLayout>
          <c:xMode val="edge"/>
          <c:yMode val="edge"/>
          <c:x val="0.25867225934107635"/>
          <c:y val="0.90310854233181737"/>
          <c:w val="0.48690171690322148"/>
          <c:h val="6.262480826260354E-2"/>
        </c:manualLayout>
      </c:layout>
      <c:overlay val="0"/>
    </c:legend>
    <c:plotVisOnly val="1"/>
    <c:dispBlanksAs val="gap"/>
    <c:showDLblsOverMax val="0"/>
  </c:chart>
  <c:spPr>
    <a:ln w="9525"/>
  </c:spPr>
  <c:txPr>
    <a:bodyPr/>
    <a:lstStyle/>
    <a:p>
      <a:pPr>
        <a:defRPr sz="750" b="0">
          <a:solidFill>
            <a:schemeClr val="tx1"/>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082880453196363"/>
          <c:y val="7.5480984340044757E-2"/>
          <c:w val="0.79071160909103233"/>
          <c:h val="0.6573496098222622"/>
        </c:manualLayout>
      </c:layout>
      <c:barChart>
        <c:barDir val="col"/>
        <c:grouping val="clustered"/>
        <c:varyColors val="0"/>
        <c:ser>
          <c:idx val="0"/>
          <c:order val="0"/>
          <c:tx>
            <c:strRef>
              <c:f>'Tables &amp; Figures_Cereals'!$E$117</c:f>
              <c:strCache>
                <c:ptCount val="1"/>
                <c:pt idx="0">
                  <c:v>Quantity Harvested (Tons)</c:v>
                </c:pt>
              </c:strCache>
            </c:strRef>
          </c:tx>
          <c:spPr>
            <a:solidFill>
              <a:srgbClr val="0070C0"/>
            </a:solidFill>
          </c:spPr>
          <c:invertIfNegative val="0"/>
          <c:cat>
            <c:strRef>
              <c:f>'Tables &amp; Figures_Cereals'!$A$118:$A$122</c:f>
              <c:strCache>
                <c:ptCount val="5"/>
                <c:pt idx="0">
                  <c:v>Kusini  Pemba</c:v>
                </c:pt>
                <c:pt idx="1">
                  <c:v>Mjini Magharibi</c:v>
                </c:pt>
                <c:pt idx="2">
                  <c:v>Kaskazini Pemba</c:v>
                </c:pt>
                <c:pt idx="3">
                  <c:v>Kaskazini Unguja</c:v>
                </c:pt>
                <c:pt idx="4">
                  <c:v>Kusini Unguja</c:v>
                </c:pt>
              </c:strCache>
            </c:strRef>
          </c:cat>
          <c:val>
            <c:numRef>
              <c:f>'Tables &amp; Figures_Cereals'!$E$118:$E$122</c:f>
              <c:numCache>
                <c:formatCode>_(* #,##0_);_(* \(#,##0\);_(* "-"_);_(@_)</c:formatCode>
                <c:ptCount val="5"/>
                <c:pt idx="0">
                  <c:v>15295.605</c:v>
                </c:pt>
                <c:pt idx="1">
                  <c:v>13415.809000000001</c:v>
                </c:pt>
                <c:pt idx="2">
                  <c:v>12425.652</c:v>
                </c:pt>
                <c:pt idx="3">
                  <c:v>7820.8940000000002</c:v>
                </c:pt>
                <c:pt idx="4">
                  <c:v>1463.3339999999998</c:v>
                </c:pt>
              </c:numCache>
            </c:numRef>
          </c:val>
          <c:extLst>
            <c:ext xmlns:c16="http://schemas.microsoft.com/office/drawing/2014/chart" uri="{C3380CC4-5D6E-409C-BE32-E72D297353CC}">
              <c16:uniqueId val="{00000000-F18E-4F41-AA14-8B205278AED6}"/>
            </c:ext>
          </c:extLst>
        </c:ser>
        <c:dLbls>
          <c:showLegendKey val="0"/>
          <c:showVal val="0"/>
          <c:showCatName val="0"/>
          <c:showSerName val="0"/>
          <c:showPercent val="0"/>
          <c:showBubbleSize val="0"/>
        </c:dLbls>
        <c:gapWidth val="150"/>
        <c:axId val="95563776"/>
        <c:axId val="95565696"/>
      </c:barChart>
      <c:scatterChart>
        <c:scatterStyle val="lineMarker"/>
        <c:varyColors val="0"/>
        <c:ser>
          <c:idx val="1"/>
          <c:order val="1"/>
          <c:tx>
            <c:strRef>
              <c:f>'Tables &amp; Figures_Cereals'!$F$117</c:f>
              <c:strCache>
                <c:ptCount val="1"/>
                <c:pt idx="0">
                  <c:v>Yield (Tons/Ha)</c:v>
                </c:pt>
              </c:strCache>
            </c:strRef>
          </c:tx>
          <c:spPr>
            <a:ln w="28575">
              <a:noFill/>
            </a:ln>
          </c:spPr>
          <c:marker>
            <c:symbol val="circle"/>
            <c:size val="5"/>
          </c:marker>
          <c:xVal>
            <c:strRef>
              <c:f>'Tables &amp; Figures_Cereals'!$A$118:$A$122</c:f>
              <c:strCache>
                <c:ptCount val="5"/>
                <c:pt idx="0">
                  <c:v>Kusini  Pemba</c:v>
                </c:pt>
                <c:pt idx="1">
                  <c:v>Mjini Magharibi</c:v>
                </c:pt>
                <c:pt idx="2">
                  <c:v>Kaskazini Pemba</c:v>
                </c:pt>
                <c:pt idx="3">
                  <c:v>Kaskazini Unguja</c:v>
                </c:pt>
                <c:pt idx="4">
                  <c:v>Kusini Unguja</c:v>
                </c:pt>
              </c:strCache>
            </c:strRef>
          </c:xVal>
          <c:yVal>
            <c:numRef>
              <c:f>'Tables &amp; Figures_Cereals'!$F$118:$F$122</c:f>
              <c:numCache>
                <c:formatCode>_(* #,##0.0_);_(* \(#,##0.0\);_(* "-"_);_(@_)</c:formatCode>
                <c:ptCount val="5"/>
                <c:pt idx="0">
                  <c:v>1.5334079825949365</c:v>
                </c:pt>
                <c:pt idx="1">
                  <c:v>2.4107675106537707</c:v>
                </c:pt>
                <c:pt idx="2">
                  <c:v>2.276209214322781</c:v>
                </c:pt>
                <c:pt idx="3">
                  <c:v>2.7470403800995031</c:v>
                </c:pt>
                <c:pt idx="4">
                  <c:v>2.0662276080000002</c:v>
                </c:pt>
              </c:numCache>
            </c:numRef>
          </c:yVal>
          <c:smooth val="0"/>
          <c:extLst>
            <c:ext xmlns:c16="http://schemas.microsoft.com/office/drawing/2014/chart" uri="{C3380CC4-5D6E-409C-BE32-E72D297353CC}">
              <c16:uniqueId val="{00000001-F18E-4F41-AA14-8B205278AED6}"/>
            </c:ext>
          </c:extLst>
        </c:ser>
        <c:dLbls>
          <c:showLegendKey val="0"/>
          <c:showVal val="0"/>
          <c:showCatName val="0"/>
          <c:showSerName val="0"/>
          <c:showPercent val="0"/>
          <c:showBubbleSize val="0"/>
        </c:dLbls>
        <c:axId val="95586176"/>
        <c:axId val="95584256"/>
      </c:scatterChart>
      <c:catAx>
        <c:axId val="95563776"/>
        <c:scaling>
          <c:orientation val="minMax"/>
        </c:scaling>
        <c:delete val="0"/>
        <c:axPos val="b"/>
        <c:title>
          <c:tx>
            <c:rich>
              <a:bodyPr/>
              <a:lstStyle/>
              <a:p>
                <a:pPr>
                  <a:defRPr/>
                </a:pPr>
                <a:r>
                  <a:rPr lang="en-US"/>
                  <a:t>Region</a:t>
                </a:r>
              </a:p>
            </c:rich>
          </c:tx>
          <c:layout>
            <c:manualLayout>
              <c:xMode val="edge"/>
              <c:yMode val="edge"/>
              <c:x val="0.47984292039830906"/>
              <c:y val="0.83241276048547619"/>
            </c:manualLayout>
          </c:layout>
          <c:overlay val="0"/>
        </c:title>
        <c:numFmt formatCode="General" sourceLinked="0"/>
        <c:majorTickMark val="out"/>
        <c:minorTickMark val="none"/>
        <c:tickLblPos val="nextTo"/>
        <c:crossAx val="95565696"/>
        <c:crosses val="autoZero"/>
        <c:auto val="1"/>
        <c:lblAlgn val="ctr"/>
        <c:lblOffset val="100"/>
        <c:noMultiLvlLbl val="0"/>
      </c:catAx>
      <c:valAx>
        <c:axId val="95565696"/>
        <c:scaling>
          <c:orientation val="minMax"/>
        </c:scaling>
        <c:delete val="0"/>
        <c:axPos val="l"/>
        <c:title>
          <c:tx>
            <c:rich>
              <a:bodyPr rot="-5400000" vert="horz"/>
              <a:lstStyle/>
              <a:p>
                <a:pPr>
                  <a:defRPr/>
                </a:pPr>
                <a:r>
                  <a:rPr lang="en-US"/>
                  <a:t>Production (tons)</a:t>
                </a:r>
              </a:p>
            </c:rich>
          </c:tx>
          <c:layout>
            <c:manualLayout>
              <c:xMode val="edge"/>
              <c:yMode val="edge"/>
              <c:x val="1.7523750796210713E-2"/>
              <c:y val="0.23306156471467873"/>
            </c:manualLayout>
          </c:layout>
          <c:overlay val="0"/>
        </c:title>
        <c:numFmt formatCode="_(* #,##0_);_(* \(#,##0\);_(* &quot;-&quot;_);_(@_)" sourceLinked="1"/>
        <c:majorTickMark val="out"/>
        <c:minorTickMark val="none"/>
        <c:tickLblPos val="nextTo"/>
        <c:crossAx val="95563776"/>
        <c:crosses val="autoZero"/>
        <c:crossBetween val="between"/>
      </c:valAx>
      <c:valAx>
        <c:axId val="95584256"/>
        <c:scaling>
          <c:orientation val="minMax"/>
        </c:scaling>
        <c:delete val="0"/>
        <c:axPos val="r"/>
        <c:title>
          <c:tx>
            <c:rich>
              <a:bodyPr rot="-5400000" vert="horz"/>
              <a:lstStyle/>
              <a:p>
                <a:pPr>
                  <a:defRPr/>
                </a:pPr>
                <a:r>
                  <a:rPr lang="en-US"/>
                  <a:t>Yield (tons/ha)</a:t>
                </a:r>
              </a:p>
            </c:rich>
          </c:tx>
          <c:layout>
            <c:manualLayout>
              <c:xMode val="edge"/>
              <c:yMode val="edge"/>
              <c:x val="0.95602540522129398"/>
              <c:y val="0.22680089485458613"/>
            </c:manualLayout>
          </c:layout>
          <c:overlay val="0"/>
        </c:title>
        <c:numFmt formatCode="_(* #,##0.0_);_(* \(#,##0.0\);_(* &quot;-&quot;_);_(@_)" sourceLinked="1"/>
        <c:majorTickMark val="out"/>
        <c:minorTickMark val="none"/>
        <c:tickLblPos val="nextTo"/>
        <c:crossAx val="95586176"/>
        <c:crosses val="max"/>
        <c:crossBetween val="midCat"/>
      </c:valAx>
      <c:valAx>
        <c:axId val="95586176"/>
        <c:scaling>
          <c:orientation val="minMax"/>
        </c:scaling>
        <c:delete val="1"/>
        <c:axPos val="b"/>
        <c:majorTickMark val="out"/>
        <c:minorTickMark val="none"/>
        <c:tickLblPos val="none"/>
        <c:crossAx val="95584256"/>
        <c:crosses val="autoZero"/>
        <c:crossBetween val="midCat"/>
      </c:valAx>
    </c:plotArea>
    <c:legend>
      <c:legendPos val="b"/>
      <c:layout>
        <c:manualLayout>
          <c:xMode val="edge"/>
          <c:yMode val="edge"/>
          <c:x val="0.32566712293493427"/>
          <c:y val="0.89696737703334561"/>
          <c:w val="0.34866575413013134"/>
          <c:h val="6.2142118650434487E-2"/>
        </c:manualLayout>
      </c:layout>
      <c:overlay val="0"/>
    </c:legend>
    <c:plotVisOnly val="1"/>
    <c:dispBlanksAs val="gap"/>
    <c:showDLblsOverMax val="0"/>
  </c:chart>
  <c:spPr>
    <a:ln w="9525">
      <a:solidFill>
        <a:sysClr val="windowText" lastClr="000000">
          <a:lumMod val="50000"/>
          <a:lumOff val="50000"/>
        </a:sysClr>
      </a:solidFill>
    </a:ln>
  </c:spPr>
  <c:txPr>
    <a:bodyPr/>
    <a:lstStyle/>
    <a:p>
      <a:pPr>
        <a:defRPr sz="700" b="0">
          <a:latin typeface="Times New Roman" pitchFamily="18" charset="0"/>
          <a:cs typeface="Times New Roman" pitchFamily="18" charset="0"/>
        </a:defRPr>
      </a:pPr>
      <a:endParaRPr lang="en-US"/>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344786256492211"/>
          <c:y val="6.1332589908001119E-2"/>
          <c:w val="0.74876153030848935"/>
          <c:h val="0.74895433861121419"/>
        </c:manualLayout>
      </c:layout>
      <c:lineChart>
        <c:grouping val="standard"/>
        <c:varyColors val="0"/>
        <c:ser>
          <c:idx val="0"/>
          <c:order val="0"/>
          <c:tx>
            <c:strRef>
              <c:f>'Tables &amp; Figures_Cereals'!$A$328</c:f>
              <c:strCache>
                <c:ptCount val="1"/>
                <c:pt idx="0">
                  <c:v>Paddy</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'Tables &amp; Figures_Cereals'!$B$326:$D$326</c:f>
              <c:strCache>
                <c:ptCount val="3"/>
                <c:pt idx="0">
                  <c:v>2002/03</c:v>
                </c:pt>
                <c:pt idx="1">
                  <c:v>2007/08</c:v>
                </c:pt>
                <c:pt idx="2">
                  <c:v>2019/20</c:v>
                </c:pt>
              </c:strCache>
            </c:strRef>
          </c:cat>
          <c:val>
            <c:numRef>
              <c:f>'Tables &amp; Figures_Cereals'!$B$328:$D$328</c:f>
              <c:numCache>
                <c:formatCode>_(* #,##0_);_(* \(#,##0\);_(* "-"_);_(@_)</c:formatCode>
                <c:ptCount val="3"/>
                <c:pt idx="0">
                  <c:v>604.97799999999995</c:v>
                </c:pt>
                <c:pt idx="1">
                  <c:v>1431.9459999999999</c:v>
                </c:pt>
                <c:pt idx="2">
                  <c:v>3380.714598</c:v>
                </c:pt>
              </c:numCache>
            </c:numRef>
          </c:val>
          <c:smooth val="0"/>
          <c:extLst>
            <c:ext xmlns:c16="http://schemas.microsoft.com/office/drawing/2014/chart" uri="{C3380CC4-5D6E-409C-BE32-E72D297353CC}">
              <c16:uniqueId val="{00000000-31BC-1C46-94D3-F5422E074A68}"/>
            </c:ext>
          </c:extLst>
        </c:ser>
        <c:dLbls>
          <c:showLegendKey val="0"/>
          <c:showVal val="0"/>
          <c:showCatName val="0"/>
          <c:showSerName val="0"/>
          <c:showPercent val="0"/>
          <c:showBubbleSize val="0"/>
        </c:dLbls>
        <c:marker val="1"/>
        <c:smooth val="0"/>
        <c:axId val="95611904"/>
        <c:axId val="95614080"/>
      </c:lineChart>
      <c:catAx>
        <c:axId val="95611904"/>
        <c:scaling>
          <c:orientation val="minMax"/>
        </c:scaling>
        <c:delete val="0"/>
        <c:axPos val="b"/>
        <c:title>
          <c:tx>
            <c:rich>
              <a:bodyPr/>
              <a:lstStyle/>
              <a:p>
                <a:pPr>
                  <a:defRPr b="0"/>
                </a:pPr>
                <a:r>
                  <a:rPr lang="en-US" b="0"/>
                  <a:t>Censuses</a:t>
                </a:r>
              </a:p>
            </c:rich>
          </c:tx>
          <c:layout>
            <c:manualLayout>
              <c:xMode val="edge"/>
              <c:yMode val="edge"/>
              <c:x val="0.45267475940507435"/>
              <c:y val="0.90182852143482062"/>
            </c:manualLayout>
          </c:layout>
          <c:overlay val="0"/>
        </c:title>
        <c:numFmt formatCode="General" sourceLinked="0"/>
        <c:majorTickMark val="out"/>
        <c:minorTickMark val="none"/>
        <c:tickLblPos val="nextTo"/>
        <c:crossAx val="95614080"/>
        <c:crosses val="autoZero"/>
        <c:auto val="1"/>
        <c:lblAlgn val="ctr"/>
        <c:lblOffset val="100"/>
        <c:noMultiLvlLbl val="0"/>
      </c:catAx>
      <c:valAx>
        <c:axId val="95614080"/>
        <c:scaling>
          <c:orientation val="minMax"/>
        </c:scaling>
        <c:delete val="0"/>
        <c:axPos val="l"/>
        <c:title>
          <c:tx>
            <c:rich>
              <a:bodyPr rot="-5400000" vert="horz"/>
              <a:lstStyle/>
              <a:p>
                <a:pPr>
                  <a:defRPr b="0"/>
                </a:pPr>
                <a:r>
                  <a:rPr lang="en-US" b="0"/>
                  <a:t>Production ('000' tons)</a:t>
                </a:r>
              </a:p>
            </c:rich>
          </c:tx>
          <c:layout>
            <c:manualLayout>
              <c:xMode val="edge"/>
              <c:yMode val="edge"/>
              <c:x val="1.7386697301713588E-2"/>
              <c:y val="0.20231718545325691"/>
            </c:manualLayout>
          </c:layout>
          <c:overlay val="0"/>
        </c:title>
        <c:numFmt formatCode="_(* #,##0_);_(* \(#,##0\);_(* &quot;-&quot;_);_(@_)" sourceLinked="1"/>
        <c:majorTickMark val="out"/>
        <c:minorTickMark val="none"/>
        <c:tickLblPos val="nextTo"/>
        <c:crossAx val="95611904"/>
        <c:crosses val="autoZero"/>
        <c:crossBetween val="between"/>
      </c:valAx>
    </c:plotArea>
    <c:plotVisOnly val="1"/>
    <c:dispBlanksAs val="gap"/>
    <c:showDLblsOverMax val="0"/>
  </c:chart>
  <c:txPr>
    <a:bodyPr/>
    <a:lstStyle/>
    <a:p>
      <a:pPr>
        <a:defRPr sz="700">
          <a:solidFill>
            <a:schemeClr val="tx1"/>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366997901805887"/>
          <c:y val="5.521471929596148E-2"/>
          <c:w val="0.82525241352344836"/>
          <c:h val="0.6128455493135232"/>
        </c:manualLayout>
      </c:layout>
      <c:barChart>
        <c:barDir val="col"/>
        <c:grouping val="clustered"/>
        <c:varyColors val="0"/>
        <c:ser>
          <c:idx val="0"/>
          <c:order val="0"/>
          <c:tx>
            <c:strRef>
              <c:f>'Tables &amp; Figures_Cereals'!$C$275</c:f>
              <c:strCache>
                <c:ptCount val="1"/>
                <c:pt idx="0">
                  <c:v>Planted Area (Ha)</c:v>
                </c:pt>
              </c:strCache>
            </c:strRef>
          </c:tx>
          <c:spPr>
            <a:solidFill>
              <a:srgbClr val="0070C0"/>
            </a:solidFill>
          </c:spPr>
          <c:invertIfNegative val="0"/>
          <c:cat>
            <c:strRef>
              <c:f>'Tables &amp; Figures_Cereals'!$A$276:$A$301</c:f>
              <c:strCache>
                <c:ptCount val="26"/>
                <c:pt idx="0">
                  <c:v>Dodoma</c:v>
                </c:pt>
                <c:pt idx="1">
                  <c:v>Singida</c:v>
                </c:pt>
                <c:pt idx="2">
                  <c:v>Songwe</c:v>
                </c:pt>
                <c:pt idx="3">
                  <c:v>Simiyu</c:v>
                </c:pt>
                <c:pt idx="4">
                  <c:v>Mara</c:v>
                </c:pt>
                <c:pt idx="5">
                  <c:v>Lindi</c:v>
                </c:pt>
                <c:pt idx="6">
                  <c:v>Mwanza</c:v>
                </c:pt>
                <c:pt idx="7">
                  <c:v>Shinyanga</c:v>
                </c:pt>
                <c:pt idx="8">
                  <c:v>Tabora</c:v>
                </c:pt>
                <c:pt idx="9">
                  <c:v>Rukwa</c:v>
                </c:pt>
                <c:pt idx="10">
                  <c:v>Manyara</c:v>
                </c:pt>
                <c:pt idx="11">
                  <c:v>Kagera</c:v>
                </c:pt>
                <c:pt idx="12">
                  <c:v>Iringa</c:v>
                </c:pt>
                <c:pt idx="13">
                  <c:v>Mtwara</c:v>
                </c:pt>
                <c:pt idx="14">
                  <c:v>Geita</c:v>
                </c:pt>
                <c:pt idx="15">
                  <c:v>Morogoro</c:v>
                </c:pt>
                <c:pt idx="16">
                  <c:v>Kigoma</c:v>
                </c:pt>
                <c:pt idx="17">
                  <c:v>Mbeya</c:v>
                </c:pt>
                <c:pt idx="18">
                  <c:v>Arusha</c:v>
                </c:pt>
                <c:pt idx="19">
                  <c:v>Katavi</c:v>
                </c:pt>
                <c:pt idx="20">
                  <c:v>Dar Es Salaam</c:v>
                </c:pt>
                <c:pt idx="21">
                  <c:v>Tanga</c:v>
                </c:pt>
                <c:pt idx="22">
                  <c:v>Pwani</c:v>
                </c:pt>
                <c:pt idx="23">
                  <c:v>Njombe</c:v>
                </c:pt>
                <c:pt idx="24">
                  <c:v>Ruvuma</c:v>
                </c:pt>
                <c:pt idx="25">
                  <c:v>Kilimanjaro</c:v>
                </c:pt>
              </c:strCache>
            </c:strRef>
          </c:cat>
          <c:val>
            <c:numRef>
              <c:f>'Tables &amp; Figures_Cereals'!$C$276:$C$301</c:f>
              <c:numCache>
                <c:formatCode>_(* #,##0_);_(* \(#,##0\);_(* "-"_);_(@_)</c:formatCode>
                <c:ptCount val="26"/>
                <c:pt idx="0">
                  <c:v>203783.08377175231</c:v>
                </c:pt>
                <c:pt idx="1">
                  <c:v>60547.956292998802</c:v>
                </c:pt>
                <c:pt idx="2">
                  <c:v>54913.80008093889</c:v>
                </c:pt>
                <c:pt idx="3">
                  <c:v>29221.367867260222</c:v>
                </c:pt>
                <c:pt idx="4">
                  <c:v>26639.41723998381</c:v>
                </c:pt>
                <c:pt idx="5">
                  <c:v>25620.801295022262</c:v>
                </c:pt>
                <c:pt idx="6">
                  <c:v>20305.544314042902</c:v>
                </c:pt>
                <c:pt idx="7">
                  <c:v>19050.58680696075</c:v>
                </c:pt>
                <c:pt idx="8">
                  <c:v>12509.510319708617</c:v>
                </c:pt>
                <c:pt idx="9">
                  <c:v>12434.641845406719</c:v>
                </c:pt>
                <c:pt idx="10">
                  <c:v>9702.9542695265081</c:v>
                </c:pt>
                <c:pt idx="11">
                  <c:v>7486.8474301902061</c:v>
                </c:pt>
                <c:pt idx="12">
                  <c:v>5745.8518818292196</c:v>
                </c:pt>
                <c:pt idx="13">
                  <c:v>5167.9481991096718</c:v>
                </c:pt>
                <c:pt idx="14">
                  <c:v>5127.0740590853902</c:v>
                </c:pt>
                <c:pt idx="15">
                  <c:v>4311.2100364225016</c:v>
                </c:pt>
                <c:pt idx="16">
                  <c:v>2607.4463779846214</c:v>
                </c:pt>
                <c:pt idx="17">
                  <c:v>1738.5673816268716</c:v>
                </c:pt>
                <c:pt idx="18">
                  <c:v>1734.5204370700119</c:v>
                </c:pt>
                <c:pt idx="19">
                  <c:v>1457.7094293808175</c:v>
                </c:pt>
                <c:pt idx="20">
                  <c:v>786.72602185350047</c:v>
                </c:pt>
                <c:pt idx="21">
                  <c:v>510.7244030756778</c:v>
                </c:pt>
                <c:pt idx="22">
                  <c:v>400.24281667341165</c:v>
                </c:pt>
                <c:pt idx="23">
                  <c:v>341.96681505463368</c:v>
                </c:pt>
                <c:pt idx="24">
                  <c:v>331.04006475111282</c:v>
                </c:pt>
                <c:pt idx="25">
                  <c:v>289.76123027114522</c:v>
                </c:pt>
              </c:numCache>
            </c:numRef>
          </c:val>
          <c:extLst>
            <c:ext xmlns:c16="http://schemas.microsoft.com/office/drawing/2014/chart" uri="{C3380CC4-5D6E-409C-BE32-E72D297353CC}">
              <c16:uniqueId val="{00000000-46C3-8F41-A416-0391E0F7B509}"/>
            </c:ext>
          </c:extLst>
        </c:ser>
        <c:ser>
          <c:idx val="1"/>
          <c:order val="1"/>
          <c:tx>
            <c:strRef>
              <c:f>'Tables &amp; Figures_Cereals'!$D$275</c:f>
              <c:strCache>
                <c:ptCount val="1"/>
                <c:pt idx="0">
                  <c:v>Harvested Area (Ha)</c:v>
                </c:pt>
              </c:strCache>
            </c:strRef>
          </c:tx>
          <c:spPr>
            <a:solidFill>
              <a:srgbClr val="FFFF00"/>
            </a:solidFill>
          </c:spPr>
          <c:invertIfNegative val="0"/>
          <c:cat>
            <c:strRef>
              <c:f>'Tables &amp; Figures_Cereals'!$A$276:$A$301</c:f>
              <c:strCache>
                <c:ptCount val="26"/>
                <c:pt idx="0">
                  <c:v>Dodoma</c:v>
                </c:pt>
                <c:pt idx="1">
                  <c:v>Singida</c:v>
                </c:pt>
                <c:pt idx="2">
                  <c:v>Songwe</c:v>
                </c:pt>
                <c:pt idx="3">
                  <c:v>Simiyu</c:v>
                </c:pt>
                <c:pt idx="4">
                  <c:v>Mara</c:v>
                </c:pt>
                <c:pt idx="5">
                  <c:v>Lindi</c:v>
                </c:pt>
                <c:pt idx="6">
                  <c:v>Mwanza</c:v>
                </c:pt>
                <c:pt idx="7">
                  <c:v>Shinyanga</c:v>
                </c:pt>
                <c:pt idx="8">
                  <c:v>Tabora</c:v>
                </c:pt>
                <c:pt idx="9">
                  <c:v>Rukwa</c:v>
                </c:pt>
                <c:pt idx="10">
                  <c:v>Manyara</c:v>
                </c:pt>
                <c:pt idx="11">
                  <c:v>Kagera</c:v>
                </c:pt>
                <c:pt idx="12">
                  <c:v>Iringa</c:v>
                </c:pt>
                <c:pt idx="13">
                  <c:v>Mtwara</c:v>
                </c:pt>
                <c:pt idx="14">
                  <c:v>Geita</c:v>
                </c:pt>
                <c:pt idx="15">
                  <c:v>Morogoro</c:v>
                </c:pt>
                <c:pt idx="16">
                  <c:v>Kigoma</c:v>
                </c:pt>
                <c:pt idx="17">
                  <c:v>Mbeya</c:v>
                </c:pt>
                <c:pt idx="18">
                  <c:v>Arusha</c:v>
                </c:pt>
                <c:pt idx="19">
                  <c:v>Katavi</c:v>
                </c:pt>
                <c:pt idx="20">
                  <c:v>Dar Es Salaam</c:v>
                </c:pt>
                <c:pt idx="21">
                  <c:v>Tanga</c:v>
                </c:pt>
                <c:pt idx="22">
                  <c:v>Pwani</c:v>
                </c:pt>
                <c:pt idx="23">
                  <c:v>Njombe</c:v>
                </c:pt>
                <c:pt idx="24">
                  <c:v>Ruvuma</c:v>
                </c:pt>
                <c:pt idx="25">
                  <c:v>Kilimanjaro</c:v>
                </c:pt>
              </c:strCache>
            </c:strRef>
          </c:cat>
          <c:val>
            <c:numRef>
              <c:f>'Tables &amp; Figures_Cereals'!$D$276:$D$301</c:f>
              <c:numCache>
                <c:formatCode>_(* #,##0_);_(* \(#,##0\);_(* "-"_);_(@_)</c:formatCode>
                <c:ptCount val="26"/>
                <c:pt idx="0">
                  <c:v>180812.6264670174</c:v>
                </c:pt>
                <c:pt idx="1">
                  <c:v>47832.051800890331</c:v>
                </c:pt>
                <c:pt idx="2">
                  <c:v>51837.71752326993</c:v>
                </c:pt>
                <c:pt idx="3">
                  <c:v>26707.001214083361</c:v>
                </c:pt>
                <c:pt idx="4">
                  <c:v>19905.706191825171</c:v>
                </c:pt>
                <c:pt idx="5">
                  <c:v>22496.155402670982</c:v>
                </c:pt>
                <c:pt idx="6">
                  <c:v>18006.070416835286</c:v>
                </c:pt>
                <c:pt idx="7">
                  <c:v>16869.688385269124</c:v>
                </c:pt>
                <c:pt idx="8">
                  <c:v>9288.5471469040876</c:v>
                </c:pt>
                <c:pt idx="9">
                  <c:v>11762.849048968028</c:v>
                </c:pt>
                <c:pt idx="10">
                  <c:v>8066.7745851881818</c:v>
                </c:pt>
                <c:pt idx="11">
                  <c:v>7194.2533387292588</c:v>
                </c:pt>
                <c:pt idx="12">
                  <c:v>5621.6106839336308</c:v>
                </c:pt>
                <c:pt idx="13">
                  <c:v>4462.9704573047329</c:v>
                </c:pt>
                <c:pt idx="14">
                  <c:v>4965.1962768110097</c:v>
                </c:pt>
                <c:pt idx="15">
                  <c:v>2615.135572642655</c:v>
                </c:pt>
                <c:pt idx="16">
                  <c:v>2577.4989882638602</c:v>
                </c:pt>
                <c:pt idx="17">
                  <c:v>1464.5892351274788</c:v>
                </c:pt>
                <c:pt idx="18">
                  <c:v>1540.6717927964385</c:v>
                </c:pt>
                <c:pt idx="19">
                  <c:v>1248.4823957911779</c:v>
                </c:pt>
                <c:pt idx="20">
                  <c:v>786.72602185350047</c:v>
                </c:pt>
                <c:pt idx="21">
                  <c:v>368.27195467422092</c:v>
                </c:pt>
                <c:pt idx="22">
                  <c:v>359.3686766491299</c:v>
                </c:pt>
                <c:pt idx="23">
                  <c:v>341.96681505463368</c:v>
                </c:pt>
                <c:pt idx="24">
                  <c:v>52.610279239174432</c:v>
                </c:pt>
                <c:pt idx="25">
                  <c:v>289.76123027114522</c:v>
                </c:pt>
              </c:numCache>
            </c:numRef>
          </c:val>
          <c:extLst>
            <c:ext xmlns:c16="http://schemas.microsoft.com/office/drawing/2014/chart" uri="{C3380CC4-5D6E-409C-BE32-E72D297353CC}">
              <c16:uniqueId val="{00000001-46C3-8F41-A416-0391E0F7B509}"/>
            </c:ext>
          </c:extLst>
        </c:ser>
        <c:dLbls>
          <c:showLegendKey val="0"/>
          <c:showVal val="0"/>
          <c:showCatName val="0"/>
          <c:showSerName val="0"/>
          <c:showPercent val="0"/>
          <c:showBubbleSize val="0"/>
        </c:dLbls>
        <c:gapWidth val="150"/>
        <c:axId val="95149440"/>
        <c:axId val="95151616"/>
      </c:barChart>
      <c:catAx>
        <c:axId val="95149440"/>
        <c:scaling>
          <c:orientation val="minMax"/>
        </c:scaling>
        <c:delete val="0"/>
        <c:axPos val="b"/>
        <c:title>
          <c:tx>
            <c:rich>
              <a:bodyPr/>
              <a:lstStyle/>
              <a:p>
                <a:pPr>
                  <a:defRPr/>
                </a:pPr>
                <a:r>
                  <a:rPr lang="en-US"/>
                  <a:t>Region</a:t>
                </a:r>
              </a:p>
            </c:rich>
          </c:tx>
          <c:layout>
            <c:manualLayout>
              <c:xMode val="edge"/>
              <c:yMode val="edge"/>
              <c:x val="0.46460613096439868"/>
              <c:y val="0.83202785926269029"/>
            </c:manualLayout>
          </c:layout>
          <c:overlay val="0"/>
        </c:title>
        <c:numFmt formatCode="General" sourceLinked="0"/>
        <c:majorTickMark val="out"/>
        <c:minorTickMark val="none"/>
        <c:tickLblPos val="nextTo"/>
        <c:txPr>
          <a:bodyPr rot="-5400000" vert="horz"/>
          <a:lstStyle/>
          <a:p>
            <a:pPr>
              <a:defRPr/>
            </a:pPr>
            <a:endParaRPr lang="en-US"/>
          </a:p>
        </c:txPr>
        <c:crossAx val="95151616"/>
        <c:crosses val="autoZero"/>
        <c:auto val="1"/>
        <c:lblAlgn val="ctr"/>
        <c:lblOffset val="100"/>
        <c:noMultiLvlLbl val="0"/>
      </c:catAx>
      <c:valAx>
        <c:axId val="95151616"/>
        <c:scaling>
          <c:orientation val="minMax"/>
        </c:scaling>
        <c:delete val="0"/>
        <c:axPos val="l"/>
        <c:title>
          <c:tx>
            <c:rich>
              <a:bodyPr rot="-5400000" vert="horz"/>
              <a:lstStyle/>
              <a:p>
                <a:pPr>
                  <a:defRPr/>
                </a:pPr>
                <a:r>
                  <a:rPr lang="en-US"/>
                  <a:t>Area (ha)</a:t>
                </a:r>
              </a:p>
            </c:rich>
          </c:tx>
          <c:layout>
            <c:manualLayout>
              <c:xMode val="edge"/>
              <c:yMode val="edge"/>
              <c:x val="2.3939305855307784E-2"/>
              <c:y val="0.26736037487407988"/>
            </c:manualLayout>
          </c:layout>
          <c:overlay val="0"/>
        </c:title>
        <c:numFmt formatCode="_(* #,##0_);_(* \(#,##0\);_(* &quot;-&quot;_);_(@_)" sourceLinked="1"/>
        <c:majorTickMark val="out"/>
        <c:minorTickMark val="none"/>
        <c:tickLblPos val="nextTo"/>
        <c:crossAx val="95149440"/>
        <c:crosses val="autoZero"/>
        <c:crossBetween val="between"/>
      </c:valAx>
    </c:plotArea>
    <c:legend>
      <c:legendPos val="b"/>
      <c:overlay val="0"/>
    </c:legend>
    <c:plotVisOnly val="1"/>
    <c:dispBlanksAs val="gap"/>
    <c:showDLblsOverMax val="0"/>
  </c:chart>
  <c:spPr>
    <a:ln w="9525">
      <a:solidFill>
        <a:sysClr val="windowText" lastClr="000000">
          <a:lumMod val="50000"/>
          <a:lumOff val="50000"/>
        </a:sysClr>
      </a:solidFill>
    </a:ln>
  </c:spPr>
  <c:txPr>
    <a:bodyPr/>
    <a:lstStyle/>
    <a:p>
      <a:pPr>
        <a:defRPr sz="700" b="0">
          <a:solidFill>
            <a:schemeClr val="tx1"/>
          </a:solidFill>
          <a:latin typeface="Times New Roman" pitchFamily="18" charset="0"/>
          <a:cs typeface="Times New Roman" pitchFamily="18" charset="0"/>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1699535560513447"/>
          <c:y val="8.0364898559185244E-2"/>
          <c:w val="0.67408447023409113"/>
          <c:h val="0.67773230078913405"/>
        </c:manualLayout>
      </c:layout>
      <c:pie3DChart>
        <c:varyColors val="1"/>
        <c:ser>
          <c:idx val="0"/>
          <c:order val="0"/>
          <c:dPt>
            <c:idx val="0"/>
            <c:bubble3D val="0"/>
            <c:explosion val="13"/>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741F-9C44-828D-8EBA54D2C52B}"/>
              </c:ext>
            </c:extLst>
          </c:dPt>
          <c:dPt>
            <c:idx val="1"/>
            <c:bubble3D val="0"/>
            <c:explosion val="9"/>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741F-9C44-828D-8EBA54D2C52B}"/>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741F-9C44-828D-8EBA54D2C52B}"/>
              </c:ext>
            </c:extLst>
          </c:dPt>
          <c:dPt>
            <c:idx val="3"/>
            <c:bubble3D val="0"/>
            <c:explosion val="14"/>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741F-9C44-828D-8EBA54D2C52B}"/>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741F-9C44-828D-8EBA54D2C52B}"/>
              </c:ext>
            </c:extLst>
          </c:dPt>
          <c:dLbls>
            <c:dLbl>
              <c:idx val="0"/>
              <c:layout>
                <c:manualLayout>
                  <c:x val="-9.3080594655397808E-2"/>
                  <c:y val="0.16495643579522454"/>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741F-9C44-828D-8EBA54D2C52B}"/>
                </c:ext>
              </c:extLst>
            </c:dLbl>
            <c:dLbl>
              <c:idx val="1"/>
              <c:layout>
                <c:manualLayout>
                  <c:x val="-1.2300206124377837E-2"/>
                  <c:y val="0.168393024098532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741F-9C44-828D-8EBA54D2C52B}"/>
                </c:ext>
              </c:extLst>
            </c:dLbl>
            <c:dLbl>
              <c:idx val="2"/>
              <c:layout>
                <c:manualLayout>
                  <c:x val="0.23655143270958398"/>
                  <c:y val="0.2499476467043450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741F-9C44-828D-8EBA54D2C52B}"/>
                </c:ext>
              </c:extLst>
            </c:dLbl>
            <c:dLbl>
              <c:idx val="3"/>
              <c:layout>
                <c:manualLayout>
                  <c:x val="1.6128668062334077E-7"/>
                  <c:y val="-0.10980538187875256"/>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2960932145305005"/>
                      <c:h val="0.1667438628994905"/>
                    </c:manualLayout>
                  </c15:layout>
                </c:ext>
                <c:ext xmlns:c16="http://schemas.microsoft.com/office/drawing/2014/chart" uri="{C3380CC4-5D6E-409C-BE32-E72D297353CC}">
                  <c16:uniqueId val="{00000007-741F-9C44-828D-8EBA54D2C52B}"/>
                </c:ext>
              </c:extLst>
            </c:dLbl>
            <c:dLbl>
              <c:idx val="4"/>
              <c:layout>
                <c:manualLayout>
                  <c:x val="-4.4537703987329348E-2"/>
                  <c:y val="-0.11321925720383351"/>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741F-9C44-828D-8EBA54D2C52B}"/>
                </c:ext>
              </c:extLst>
            </c:dLbl>
            <c:numFmt formatCode="0.00%" sourceLinked="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Sheet6!$L$42:$P$42</c:f>
              <c:strCache>
                <c:ptCount val="5"/>
                <c:pt idx="0">
                  <c:v>Crops only</c:v>
                </c:pt>
                <c:pt idx="1">
                  <c:v>Livestock only</c:v>
                </c:pt>
                <c:pt idx="2">
                  <c:v>Fish farming </c:v>
                </c:pt>
                <c:pt idx="3">
                  <c:v>Pastoralist</c:v>
                </c:pt>
                <c:pt idx="4">
                  <c:v>Crops and Livestock</c:v>
                </c:pt>
              </c:strCache>
            </c:strRef>
          </c:cat>
          <c:val>
            <c:numRef>
              <c:f>Sheet6!$L$43:$P$43</c:f>
              <c:numCache>
                <c:formatCode>_(* #,##0_);_(* \(#,##0\);_(* "-"_);_(@_)</c:formatCode>
                <c:ptCount val="5"/>
                <c:pt idx="0">
                  <c:v>4972373</c:v>
                </c:pt>
                <c:pt idx="1">
                  <c:v>155141</c:v>
                </c:pt>
                <c:pt idx="2">
                  <c:v>1358</c:v>
                </c:pt>
                <c:pt idx="3">
                  <c:v>1465</c:v>
                </c:pt>
                <c:pt idx="4">
                  <c:v>2526846</c:v>
                </c:pt>
              </c:numCache>
            </c:numRef>
          </c:val>
          <c:extLst>
            <c:ext xmlns:c16="http://schemas.microsoft.com/office/drawing/2014/chart" uri="{C3380CC4-5D6E-409C-BE32-E72D297353CC}">
              <c16:uniqueId val="{0000000A-741F-9C44-828D-8EBA54D2C52B}"/>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70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391922677032907"/>
          <c:y val="7.9178331875182334E-2"/>
          <c:w val="0.77403445626908074"/>
          <c:h val="0.5402989977130056"/>
        </c:manualLayout>
      </c:layout>
      <c:barChart>
        <c:barDir val="col"/>
        <c:grouping val="clustered"/>
        <c:varyColors val="0"/>
        <c:ser>
          <c:idx val="0"/>
          <c:order val="0"/>
          <c:tx>
            <c:strRef>
              <c:f>'Tables &amp; Figures_Cereals'!$E$128</c:f>
              <c:strCache>
                <c:ptCount val="1"/>
                <c:pt idx="0">
                  <c:v>Quantity Harvested (tons)</c:v>
                </c:pt>
              </c:strCache>
            </c:strRef>
          </c:tx>
          <c:spPr>
            <a:solidFill>
              <a:srgbClr val="0070C0"/>
            </a:solidFill>
          </c:spPr>
          <c:invertIfNegative val="0"/>
          <c:cat>
            <c:strRef>
              <c:f>'Tables &amp; Figures_Cereals'!$A$129:$A$154</c:f>
              <c:strCache>
                <c:ptCount val="26"/>
                <c:pt idx="0">
                  <c:v>Dodoma</c:v>
                </c:pt>
                <c:pt idx="1">
                  <c:v>Songwe</c:v>
                </c:pt>
                <c:pt idx="2">
                  <c:v>Singida</c:v>
                </c:pt>
                <c:pt idx="3">
                  <c:v>Simiyu</c:v>
                </c:pt>
                <c:pt idx="4">
                  <c:v>Lindi</c:v>
                </c:pt>
                <c:pt idx="5">
                  <c:v>Mwanza</c:v>
                </c:pt>
                <c:pt idx="6">
                  <c:v>Mara</c:v>
                </c:pt>
                <c:pt idx="7">
                  <c:v>Shinyanga</c:v>
                </c:pt>
                <c:pt idx="8">
                  <c:v>Rukwa</c:v>
                </c:pt>
                <c:pt idx="9">
                  <c:v>Tabora</c:v>
                </c:pt>
                <c:pt idx="10">
                  <c:v>Manyara</c:v>
                </c:pt>
                <c:pt idx="11">
                  <c:v>Iringa</c:v>
                </c:pt>
                <c:pt idx="12">
                  <c:v>Kagera</c:v>
                </c:pt>
                <c:pt idx="13">
                  <c:v>Mtwara</c:v>
                </c:pt>
                <c:pt idx="14">
                  <c:v>Geita</c:v>
                </c:pt>
                <c:pt idx="15">
                  <c:v>Kigoma</c:v>
                </c:pt>
                <c:pt idx="16">
                  <c:v>Morogoro</c:v>
                </c:pt>
                <c:pt idx="17">
                  <c:v>Arusha</c:v>
                </c:pt>
                <c:pt idx="18">
                  <c:v>Katavi</c:v>
                </c:pt>
                <c:pt idx="19">
                  <c:v>Mbeya</c:v>
                </c:pt>
                <c:pt idx="20">
                  <c:v>Tanga</c:v>
                </c:pt>
                <c:pt idx="21">
                  <c:v>Dar Es Salaam</c:v>
                </c:pt>
                <c:pt idx="22">
                  <c:v>Pwani</c:v>
                </c:pt>
                <c:pt idx="23">
                  <c:v>Kilimanjaro</c:v>
                </c:pt>
                <c:pt idx="24">
                  <c:v>Njombe</c:v>
                </c:pt>
                <c:pt idx="25">
                  <c:v>Ruvuma</c:v>
                </c:pt>
              </c:strCache>
            </c:strRef>
          </c:cat>
          <c:val>
            <c:numRef>
              <c:f>'Tables &amp; Figures_Cereals'!$E$129:$E$154</c:f>
              <c:numCache>
                <c:formatCode>_(* #,##0_);_(* \(#,##0\);_(* "-"_);_(@_)</c:formatCode>
                <c:ptCount val="26"/>
                <c:pt idx="0">
                  <c:v>255262.24400000001</c:v>
                </c:pt>
                <c:pt idx="1">
                  <c:v>72959.801999999996</c:v>
                </c:pt>
                <c:pt idx="2">
                  <c:v>65646.148000000001</c:v>
                </c:pt>
                <c:pt idx="3">
                  <c:v>31513.656999999996</c:v>
                </c:pt>
                <c:pt idx="4">
                  <c:v>30630.717000000001</c:v>
                </c:pt>
                <c:pt idx="5">
                  <c:v>23828.618999999995</c:v>
                </c:pt>
                <c:pt idx="6">
                  <c:v>22582.463000000003</c:v>
                </c:pt>
                <c:pt idx="7">
                  <c:v>20902.766000000003</c:v>
                </c:pt>
                <c:pt idx="8">
                  <c:v>12257.968000000001</c:v>
                </c:pt>
                <c:pt idx="9">
                  <c:v>10719.014999999998</c:v>
                </c:pt>
                <c:pt idx="10">
                  <c:v>9852.7510000000002</c:v>
                </c:pt>
                <c:pt idx="11">
                  <c:v>9763.534999999998</c:v>
                </c:pt>
                <c:pt idx="12">
                  <c:v>8212.7370000000028</c:v>
                </c:pt>
                <c:pt idx="13">
                  <c:v>6022.4319999999998</c:v>
                </c:pt>
                <c:pt idx="14">
                  <c:v>5176.0920000000015</c:v>
                </c:pt>
                <c:pt idx="15">
                  <c:v>4759.4859999999999</c:v>
                </c:pt>
                <c:pt idx="16">
                  <c:v>3856.8090000000002</c:v>
                </c:pt>
                <c:pt idx="17">
                  <c:v>2001.6339999999998</c:v>
                </c:pt>
                <c:pt idx="18">
                  <c:v>1670.32</c:v>
                </c:pt>
                <c:pt idx="19">
                  <c:v>1584.6669999999999</c:v>
                </c:pt>
                <c:pt idx="20">
                  <c:v>518.51300000000003</c:v>
                </c:pt>
                <c:pt idx="21">
                  <c:v>497.20799999999991</c:v>
                </c:pt>
                <c:pt idx="22">
                  <c:v>418.85699999999991</c:v>
                </c:pt>
                <c:pt idx="23">
                  <c:v>409.75399999999991</c:v>
                </c:pt>
                <c:pt idx="24">
                  <c:v>267.78299999999996</c:v>
                </c:pt>
                <c:pt idx="25">
                  <c:v>74.286000000000001</c:v>
                </c:pt>
              </c:numCache>
            </c:numRef>
          </c:val>
          <c:extLst>
            <c:ext xmlns:c16="http://schemas.microsoft.com/office/drawing/2014/chart" uri="{C3380CC4-5D6E-409C-BE32-E72D297353CC}">
              <c16:uniqueId val="{00000000-9D2C-8F4A-87EF-CF9D482649A2}"/>
            </c:ext>
          </c:extLst>
        </c:ser>
        <c:dLbls>
          <c:showLegendKey val="0"/>
          <c:showVal val="0"/>
          <c:showCatName val="0"/>
          <c:showSerName val="0"/>
          <c:showPercent val="0"/>
          <c:showBubbleSize val="0"/>
        </c:dLbls>
        <c:gapWidth val="70"/>
        <c:axId val="95196288"/>
        <c:axId val="95198208"/>
      </c:barChart>
      <c:scatterChart>
        <c:scatterStyle val="lineMarker"/>
        <c:varyColors val="0"/>
        <c:ser>
          <c:idx val="1"/>
          <c:order val="1"/>
          <c:tx>
            <c:strRef>
              <c:f>'Tables &amp; Figures_Cereals'!$F$128</c:f>
              <c:strCache>
                <c:ptCount val="1"/>
                <c:pt idx="0">
                  <c:v>Yield (Tons/ha)</c:v>
                </c:pt>
              </c:strCache>
            </c:strRef>
          </c:tx>
          <c:spPr>
            <a:ln w="28575">
              <a:noFill/>
            </a:ln>
          </c:spPr>
          <c:marker>
            <c:symbol val="circle"/>
            <c:size val="3"/>
          </c:marker>
          <c:xVal>
            <c:strRef>
              <c:f>'Tables &amp; Figures_Cereals'!$A$129:$A$154</c:f>
              <c:strCache>
                <c:ptCount val="26"/>
                <c:pt idx="0">
                  <c:v>Dodoma</c:v>
                </c:pt>
                <c:pt idx="1">
                  <c:v>Songwe</c:v>
                </c:pt>
                <c:pt idx="2">
                  <c:v>Singida</c:v>
                </c:pt>
                <c:pt idx="3">
                  <c:v>Simiyu</c:v>
                </c:pt>
                <c:pt idx="4">
                  <c:v>Lindi</c:v>
                </c:pt>
                <c:pt idx="5">
                  <c:v>Mwanza</c:v>
                </c:pt>
                <c:pt idx="6">
                  <c:v>Mara</c:v>
                </c:pt>
                <c:pt idx="7">
                  <c:v>Shinyanga</c:v>
                </c:pt>
                <c:pt idx="8">
                  <c:v>Rukwa</c:v>
                </c:pt>
                <c:pt idx="9">
                  <c:v>Tabora</c:v>
                </c:pt>
                <c:pt idx="10">
                  <c:v>Manyara</c:v>
                </c:pt>
                <c:pt idx="11">
                  <c:v>Iringa</c:v>
                </c:pt>
                <c:pt idx="12">
                  <c:v>Kagera</c:v>
                </c:pt>
                <c:pt idx="13">
                  <c:v>Mtwara</c:v>
                </c:pt>
                <c:pt idx="14">
                  <c:v>Geita</c:v>
                </c:pt>
                <c:pt idx="15">
                  <c:v>Kigoma</c:v>
                </c:pt>
                <c:pt idx="16">
                  <c:v>Morogoro</c:v>
                </c:pt>
                <c:pt idx="17">
                  <c:v>Arusha</c:v>
                </c:pt>
                <c:pt idx="18">
                  <c:v>Katavi</c:v>
                </c:pt>
                <c:pt idx="19">
                  <c:v>Mbeya</c:v>
                </c:pt>
                <c:pt idx="20">
                  <c:v>Tanga</c:v>
                </c:pt>
                <c:pt idx="21">
                  <c:v>Dar Es Salaam</c:v>
                </c:pt>
                <c:pt idx="22">
                  <c:v>Pwani</c:v>
                </c:pt>
                <c:pt idx="23">
                  <c:v>Kilimanjaro</c:v>
                </c:pt>
                <c:pt idx="24">
                  <c:v>Njombe</c:v>
                </c:pt>
                <c:pt idx="25">
                  <c:v>Ruvuma</c:v>
                </c:pt>
              </c:strCache>
            </c:strRef>
          </c:xVal>
          <c:yVal>
            <c:numRef>
              <c:f>'Tables &amp; Figures_Cereals'!$F$129:$F$154</c:f>
              <c:numCache>
                <c:formatCode>_(* #,##0.0_);_(* \(#,##0.0\);_(* "-"_);_(@_)</c:formatCode>
                <c:ptCount val="26"/>
                <c:pt idx="0">
                  <c:v>1.4117501027870039</c:v>
                </c:pt>
                <c:pt idx="1">
                  <c:v>1.4074655576269992</c:v>
                </c:pt>
                <c:pt idx="2">
                  <c:v>1.3724301076036656</c:v>
                </c:pt>
                <c:pt idx="3">
                  <c:v>1.1799773680087284</c:v>
                </c:pt>
                <c:pt idx="4">
                  <c:v>1.3615978575771748</c:v>
                </c:pt>
                <c:pt idx="5">
                  <c:v>1.323365867642101</c:v>
                </c:pt>
                <c:pt idx="6">
                  <c:v>1.1344718334722592</c:v>
                </c:pt>
                <c:pt idx="7">
                  <c:v>1.2390724429890847</c:v>
                </c:pt>
                <c:pt idx="8">
                  <c:v>1.0420917542145463</c:v>
                </c:pt>
                <c:pt idx="9">
                  <c:v>1.1540034012286513</c:v>
                </c:pt>
                <c:pt idx="10">
                  <c:v>1.2213990729443633</c:v>
                </c:pt>
                <c:pt idx="11">
                  <c:v>1.736786047440789</c:v>
                </c:pt>
                <c:pt idx="12">
                  <c:v>1.1415690570399952</c:v>
                </c:pt>
                <c:pt idx="13">
                  <c:v>1.349422331519768</c:v>
                </c:pt>
                <c:pt idx="14">
                  <c:v>1.0424748008802671</c:v>
                </c:pt>
                <c:pt idx="15">
                  <c:v>1.8465520342282937</c:v>
                </c:pt>
                <c:pt idx="16">
                  <c:v>1.4748026987000928</c:v>
                </c:pt>
                <c:pt idx="17">
                  <c:v>1.2991955907538744</c:v>
                </c:pt>
                <c:pt idx="18">
                  <c:v>1.3378802982171796</c:v>
                </c:pt>
                <c:pt idx="19">
                  <c:v>1.081987332688588</c:v>
                </c:pt>
                <c:pt idx="20">
                  <c:v>1.4079622230769229</c:v>
                </c:pt>
                <c:pt idx="21">
                  <c:v>0.63199638271604941</c:v>
                </c:pt>
                <c:pt idx="22">
                  <c:v>1.1655356385135136</c:v>
                </c:pt>
                <c:pt idx="23">
                  <c:v>1.414109125698324</c:v>
                </c:pt>
                <c:pt idx="24">
                  <c:v>0.7830672106508878</c:v>
                </c:pt>
                <c:pt idx="25">
                  <c:v>1.4120054307692307</c:v>
                </c:pt>
              </c:numCache>
            </c:numRef>
          </c:yVal>
          <c:smooth val="0"/>
          <c:extLst>
            <c:ext xmlns:c16="http://schemas.microsoft.com/office/drawing/2014/chart" uri="{C3380CC4-5D6E-409C-BE32-E72D297353CC}">
              <c16:uniqueId val="{00000001-9D2C-8F4A-87EF-CF9D482649A2}"/>
            </c:ext>
          </c:extLst>
        </c:ser>
        <c:dLbls>
          <c:showLegendKey val="0"/>
          <c:showVal val="0"/>
          <c:showCatName val="0"/>
          <c:showSerName val="0"/>
          <c:showPercent val="0"/>
          <c:showBubbleSize val="0"/>
        </c:dLbls>
        <c:axId val="95210496"/>
        <c:axId val="95208576"/>
      </c:scatterChart>
      <c:catAx>
        <c:axId val="95196288"/>
        <c:scaling>
          <c:orientation val="minMax"/>
        </c:scaling>
        <c:delete val="0"/>
        <c:axPos val="b"/>
        <c:title>
          <c:tx>
            <c:rich>
              <a:bodyPr/>
              <a:lstStyle/>
              <a:p>
                <a:pPr>
                  <a:defRPr/>
                </a:pPr>
                <a:r>
                  <a:rPr lang="en-US"/>
                  <a:t>Region </a:t>
                </a:r>
              </a:p>
            </c:rich>
          </c:tx>
          <c:layout>
            <c:manualLayout>
              <c:xMode val="edge"/>
              <c:yMode val="edge"/>
              <c:x val="0.51033791024055875"/>
              <c:y val="0.80294050743657053"/>
            </c:manualLayout>
          </c:layout>
          <c:overlay val="0"/>
        </c:title>
        <c:numFmt formatCode="General" sourceLinked="0"/>
        <c:majorTickMark val="out"/>
        <c:minorTickMark val="none"/>
        <c:tickLblPos val="nextTo"/>
        <c:txPr>
          <a:bodyPr rot="-5400000" vert="horz"/>
          <a:lstStyle/>
          <a:p>
            <a:pPr>
              <a:defRPr/>
            </a:pPr>
            <a:endParaRPr lang="en-US"/>
          </a:p>
        </c:txPr>
        <c:crossAx val="95198208"/>
        <c:crosses val="autoZero"/>
        <c:auto val="1"/>
        <c:lblAlgn val="ctr"/>
        <c:lblOffset val="100"/>
        <c:noMultiLvlLbl val="0"/>
      </c:catAx>
      <c:valAx>
        <c:axId val="95198208"/>
        <c:scaling>
          <c:orientation val="minMax"/>
        </c:scaling>
        <c:delete val="0"/>
        <c:axPos val="l"/>
        <c:title>
          <c:tx>
            <c:rich>
              <a:bodyPr rot="-5400000" vert="horz"/>
              <a:lstStyle/>
              <a:p>
                <a:pPr>
                  <a:defRPr/>
                </a:pPr>
                <a:r>
                  <a:rPr lang="en-US"/>
                  <a:t>Production (tons)</a:t>
                </a:r>
              </a:p>
            </c:rich>
          </c:tx>
          <c:layout>
            <c:manualLayout>
              <c:xMode val="edge"/>
              <c:yMode val="edge"/>
              <c:x val="2.2555843261392157E-2"/>
              <c:y val="0.1755752658409829"/>
            </c:manualLayout>
          </c:layout>
          <c:overlay val="0"/>
        </c:title>
        <c:numFmt formatCode="_(* #,##0_);_(* \(#,##0\);_(* &quot;-&quot;_);_(@_)" sourceLinked="1"/>
        <c:majorTickMark val="out"/>
        <c:minorTickMark val="none"/>
        <c:tickLblPos val="nextTo"/>
        <c:crossAx val="95196288"/>
        <c:crosses val="autoZero"/>
        <c:crossBetween val="between"/>
      </c:valAx>
      <c:valAx>
        <c:axId val="95208576"/>
        <c:scaling>
          <c:orientation val="minMax"/>
        </c:scaling>
        <c:delete val="0"/>
        <c:axPos val="r"/>
        <c:title>
          <c:tx>
            <c:rich>
              <a:bodyPr rot="-5400000" vert="horz"/>
              <a:lstStyle/>
              <a:p>
                <a:pPr>
                  <a:defRPr/>
                </a:pPr>
                <a:r>
                  <a:rPr lang="en-US"/>
                  <a:t>Yield (tons/ha)</a:t>
                </a:r>
              </a:p>
            </c:rich>
          </c:tx>
          <c:layout>
            <c:manualLayout>
              <c:xMode val="edge"/>
              <c:yMode val="edge"/>
              <c:x val="0.95239950999954892"/>
              <c:y val="0.21769092216043823"/>
            </c:manualLayout>
          </c:layout>
          <c:overlay val="0"/>
        </c:title>
        <c:numFmt formatCode="_(* #,##0.0_);_(* \(#,##0.0\);_(* &quot;-&quot;_);_(@_)" sourceLinked="1"/>
        <c:majorTickMark val="out"/>
        <c:minorTickMark val="none"/>
        <c:tickLblPos val="nextTo"/>
        <c:crossAx val="95210496"/>
        <c:crosses val="max"/>
        <c:crossBetween val="midCat"/>
      </c:valAx>
      <c:valAx>
        <c:axId val="95210496"/>
        <c:scaling>
          <c:orientation val="minMax"/>
        </c:scaling>
        <c:delete val="1"/>
        <c:axPos val="b"/>
        <c:majorTickMark val="out"/>
        <c:minorTickMark val="none"/>
        <c:tickLblPos val="none"/>
        <c:crossAx val="95208576"/>
        <c:crosses val="autoZero"/>
        <c:crossBetween val="midCat"/>
      </c:valAx>
    </c:plotArea>
    <c:legend>
      <c:legendPos val="b"/>
      <c:layout>
        <c:manualLayout>
          <c:xMode val="edge"/>
          <c:yMode val="edge"/>
          <c:x val="0.24658484631569813"/>
          <c:y val="0.86209055118110245"/>
          <c:w val="0.50877574842004381"/>
          <c:h val="7.0498687664042034E-2"/>
        </c:manualLayout>
      </c:layout>
      <c:overlay val="0"/>
    </c:legend>
    <c:plotVisOnly val="1"/>
    <c:dispBlanksAs val="gap"/>
    <c:showDLblsOverMax val="0"/>
  </c:chart>
  <c:spPr>
    <a:ln w="9525"/>
  </c:spPr>
  <c:txPr>
    <a:bodyPr/>
    <a:lstStyle/>
    <a:p>
      <a:pPr>
        <a:defRPr sz="700" b="0">
          <a:latin typeface="Times New Roman" pitchFamily="18" charset="0"/>
          <a:cs typeface="Times New Roman" pitchFamily="18" charset="0"/>
        </a:defRPr>
      </a:pPr>
      <a:endParaRPr lang="en-US"/>
    </a:p>
  </c:tx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493219390230249"/>
          <c:y val="8.7197780420134763E-2"/>
          <c:w val="0.79336164496025674"/>
          <c:h val="0.70311746109025308"/>
        </c:manualLayout>
      </c:layout>
      <c:lineChart>
        <c:grouping val="standard"/>
        <c:varyColors val="0"/>
        <c:ser>
          <c:idx val="0"/>
          <c:order val="0"/>
          <c:tx>
            <c:strRef>
              <c:f>'Tables &amp; Figures_Cereals'!$A$329</c:f>
              <c:strCache>
                <c:ptCount val="1"/>
                <c:pt idx="0">
                  <c:v>Sorghum</c:v>
                </c:pt>
              </c:strCache>
            </c:strRef>
          </c:tx>
          <c:dLbls>
            <c:dLbl>
              <c:idx val="1"/>
              <c:layout>
                <c:manualLayout>
                  <c:x val="-8.3333333333333367E-3"/>
                  <c:y val="3.70370370370370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14A-F342-9CA9-1854D7615B98}"/>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'Tables &amp; Figures_Cereals'!$B$326:$D$326</c:f>
              <c:strCache>
                <c:ptCount val="3"/>
                <c:pt idx="0">
                  <c:v>2002/03</c:v>
                </c:pt>
                <c:pt idx="1">
                  <c:v>2007/08</c:v>
                </c:pt>
                <c:pt idx="2">
                  <c:v>2019/20</c:v>
                </c:pt>
              </c:strCache>
            </c:strRef>
          </c:cat>
          <c:val>
            <c:numRef>
              <c:f>'Tables &amp; Figures_Cereals'!$B$329:$D$329</c:f>
              <c:numCache>
                <c:formatCode>_(* #,##0_);_(* \(#,##0\);_(* "-"_);_(@_)</c:formatCode>
                <c:ptCount val="3"/>
                <c:pt idx="0">
                  <c:v>216.435</c:v>
                </c:pt>
                <c:pt idx="1">
                  <c:v>552.35299999999995</c:v>
                </c:pt>
                <c:pt idx="2">
                  <c:v>601.46984699999996</c:v>
                </c:pt>
              </c:numCache>
            </c:numRef>
          </c:val>
          <c:smooth val="0"/>
          <c:extLst>
            <c:ext xmlns:c16="http://schemas.microsoft.com/office/drawing/2014/chart" uri="{C3380CC4-5D6E-409C-BE32-E72D297353CC}">
              <c16:uniqueId val="{00000001-B14A-F342-9CA9-1854D7615B98}"/>
            </c:ext>
          </c:extLst>
        </c:ser>
        <c:dLbls>
          <c:showLegendKey val="0"/>
          <c:showVal val="0"/>
          <c:showCatName val="0"/>
          <c:showSerName val="0"/>
          <c:showPercent val="0"/>
          <c:showBubbleSize val="0"/>
        </c:dLbls>
        <c:marker val="1"/>
        <c:smooth val="0"/>
        <c:axId val="95256960"/>
        <c:axId val="95258880"/>
      </c:lineChart>
      <c:catAx>
        <c:axId val="95256960"/>
        <c:scaling>
          <c:orientation val="minMax"/>
        </c:scaling>
        <c:delete val="0"/>
        <c:axPos val="b"/>
        <c:title>
          <c:tx>
            <c:rich>
              <a:bodyPr/>
              <a:lstStyle/>
              <a:p>
                <a:pPr>
                  <a:defRPr b="0"/>
                </a:pPr>
                <a:r>
                  <a:rPr lang="en-US" b="0"/>
                  <a:t>Censuses</a:t>
                </a:r>
              </a:p>
            </c:rich>
          </c:tx>
          <c:layout>
            <c:manualLayout>
              <c:xMode val="edge"/>
              <c:yMode val="edge"/>
              <c:x val="0.42508459902227863"/>
              <c:y val="0.89853099515949331"/>
            </c:manualLayout>
          </c:layout>
          <c:overlay val="0"/>
        </c:title>
        <c:numFmt formatCode="General" sourceLinked="0"/>
        <c:majorTickMark val="out"/>
        <c:minorTickMark val="none"/>
        <c:tickLblPos val="nextTo"/>
        <c:crossAx val="95258880"/>
        <c:crosses val="autoZero"/>
        <c:auto val="1"/>
        <c:lblAlgn val="ctr"/>
        <c:lblOffset val="100"/>
        <c:noMultiLvlLbl val="0"/>
      </c:catAx>
      <c:valAx>
        <c:axId val="95258880"/>
        <c:scaling>
          <c:orientation val="minMax"/>
        </c:scaling>
        <c:delete val="0"/>
        <c:axPos val="l"/>
        <c:title>
          <c:tx>
            <c:rich>
              <a:bodyPr rot="-5400000" vert="horz"/>
              <a:lstStyle/>
              <a:p>
                <a:pPr>
                  <a:defRPr b="0"/>
                </a:pPr>
                <a:r>
                  <a:rPr lang="en-US" b="0"/>
                  <a:t>Production ('000'</a:t>
                </a:r>
                <a:r>
                  <a:rPr lang="en-US" b="0" baseline="0"/>
                  <a:t> </a:t>
                </a:r>
                <a:r>
                  <a:rPr lang="en-US" b="0"/>
                  <a:t>tons)</a:t>
                </a:r>
              </a:p>
            </c:rich>
          </c:tx>
          <c:layout>
            <c:manualLayout>
              <c:xMode val="edge"/>
              <c:yMode val="edge"/>
              <c:x val="2.1471955815949545E-2"/>
              <c:y val="0.21408646749120688"/>
            </c:manualLayout>
          </c:layout>
          <c:overlay val="0"/>
        </c:title>
        <c:numFmt formatCode="_(* #,##0_);_(* \(#,##0\);_(* &quot;-&quot;_);_(@_)" sourceLinked="1"/>
        <c:majorTickMark val="out"/>
        <c:minorTickMark val="none"/>
        <c:tickLblPos val="nextTo"/>
        <c:crossAx val="95256960"/>
        <c:crosses val="autoZero"/>
        <c:crossBetween val="between"/>
      </c:valAx>
    </c:plotArea>
    <c:plotVisOnly val="1"/>
    <c:dispBlanksAs val="gap"/>
    <c:showDLblsOverMax val="0"/>
  </c:chart>
  <c:txPr>
    <a:bodyPr/>
    <a:lstStyle/>
    <a:p>
      <a:pPr>
        <a:defRPr sz="700">
          <a:solidFill>
            <a:schemeClr val="tx1"/>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704847786134586"/>
          <c:y val="6.6339923291964017E-2"/>
          <c:w val="0.82711936376526007"/>
          <c:h val="0.56643812727292586"/>
        </c:manualLayout>
      </c:layout>
      <c:barChart>
        <c:barDir val="col"/>
        <c:grouping val="clustered"/>
        <c:varyColors val="0"/>
        <c:ser>
          <c:idx val="0"/>
          <c:order val="0"/>
          <c:tx>
            <c:strRef>
              <c:f>'Tables &amp; Figures_Roots'!$C$153</c:f>
              <c:strCache>
                <c:ptCount val="1"/>
                <c:pt idx="0">
                  <c:v>Planted Area (Ha)</c:v>
                </c:pt>
              </c:strCache>
            </c:strRef>
          </c:tx>
          <c:spPr>
            <a:solidFill>
              <a:srgbClr val="0070C0"/>
            </a:solidFill>
          </c:spPr>
          <c:invertIfNegative val="0"/>
          <c:cat>
            <c:strRef>
              <c:f>'Tables &amp; Figures_Roots'!$A$154:$A$179</c:f>
              <c:strCache>
                <c:ptCount val="26"/>
                <c:pt idx="0">
                  <c:v>Kigoma</c:v>
                </c:pt>
                <c:pt idx="1">
                  <c:v>Mtwara</c:v>
                </c:pt>
                <c:pt idx="2">
                  <c:v>Mwanza</c:v>
                </c:pt>
                <c:pt idx="3">
                  <c:v>Mara</c:v>
                </c:pt>
                <c:pt idx="4">
                  <c:v>Geita</c:v>
                </c:pt>
                <c:pt idx="5">
                  <c:v>Kagera</c:v>
                </c:pt>
                <c:pt idx="6">
                  <c:v>Tanga</c:v>
                </c:pt>
                <c:pt idx="7">
                  <c:v>Pwani</c:v>
                </c:pt>
                <c:pt idx="8">
                  <c:v>Ruvuma</c:v>
                </c:pt>
                <c:pt idx="9">
                  <c:v>Dar Es Salaam</c:v>
                </c:pt>
                <c:pt idx="10">
                  <c:v>Lindi</c:v>
                </c:pt>
                <c:pt idx="11">
                  <c:v>Tabora</c:v>
                </c:pt>
                <c:pt idx="12">
                  <c:v>Rukwa</c:v>
                </c:pt>
                <c:pt idx="13">
                  <c:v>Shinyanga</c:v>
                </c:pt>
                <c:pt idx="14">
                  <c:v>Morogoro</c:v>
                </c:pt>
                <c:pt idx="15">
                  <c:v>Dodoma</c:v>
                </c:pt>
                <c:pt idx="16">
                  <c:v>Njombe</c:v>
                </c:pt>
                <c:pt idx="17">
                  <c:v>Singida</c:v>
                </c:pt>
                <c:pt idx="18">
                  <c:v>Mbeya</c:v>
                </c:pt>
                <c:pt idx="19">
                  <c:v>Katavi</c:v>
                </c:pt>
                <c:pt idx="20">
                  <c:v>Simiyu</c:v>
                </c:pt>
                <c:pt idx="21">
                  <c:v>Kilimanjaro</c:v>
                </c:pt>
                <c:pt idx="22">
                  <c:v>Iringa</c:v>
                </c:pt>
                <c:pt idx="23">
                  <c:v>Songwe</c:v>
                </c:pt>
                <c:pt idx="24">
                  <c:v>Manyara</c:v>
                </c:pt>
                <c:pt idx="25">
                  <c:v>Arusha</c:v>
                </c:pt>
              </c:strCache>
            </c:strRef>
          </c:cat>
          <c:val>
            <c:numRef>
              <c:f>'Tables &amp; Figures_Roots'!$C$154:$C$179</c:f>
              <c:numCache>
                <c:formatCode>_(* #,##0_);_(* \(#,##0\);_(* "-"_);_(@_)</c:formatCode>
                <c:ptCount val="26"/>
                <c:pt idx="0">
                  <c:v>82115.337919870479</c:v>
                </c:pt>
                <c:pt idx="1">
                  <c:v>66762.039660056646</c:v>
                </c:pt>
                <c:pt idx="2">
                  <c:v>61323.350870093091</c:v>
                </c:pt>
                <c:pt idx="3">
                  <c:v>60736.139214892748</c:v>
                </c:pt>
                <c:pt idx="4">
                  <c:v>57461.756373937678</c:v>
                </c:pt>
                <c:pt idx="5">
                  <c:v>51908.134358559284</c:v>
                </c:pt>
                <c:pt idx="6">
                  <c:v>47526.507486847426</c:v>
                </c:pt>
                <c:pt idx="7">
                  <c:v>42418.454067179286</c:v>
                </c:pt>
                <c:pt idx="8">
                  <c:v>40485.633346823139</c:v>
                </c:pt>
                <c:pt idx="9">
                  <c:v>39572.237960339931</c:v>
                </c:pt>
                <c:pt idx="10">
                  <c:v>23101.983002832865</c:v>
                </c:pt>
                <c:pt idx="11">
                  <c:v>22238.36503439903</c:v>
                </c:pt>
                <c:pt idx="12">
                  <c:v>19935.248887090249</c:v>
                </c:pt>
                <c:pt idx="13">
                  <c:v>17832.861189801701</c:v>
                </c:pt>
                <c:pt idx="14">
                  <c:v>14496.155402670984</c:v>
                </c:pt>
                <c:pt idx="15">
                  <c:v>10566.167543504653</c:v>
                </c:pt>
                <c:pt idx="16">
                  <c:v>6305.139619587213</c:v>
                </c:pt>
                <c:pt idx="17">
                  <c:v>4870.4977741804933</c:v>
                </c:pt>
                <c:pt idx="18">
                  <c:v>2397.0052610279236</c:v>
                </c:pt>
                <c:pt idx="19">
                  <c:v>1949.4131930392555</c:v>
                </c:pt>
                <c:pt idx="20">
                  <c:v>1402.266288951841</c:v>
                </c:pt>
                <c:pt idx="21">
                  <c:v>1103.1970861999187</c:v>
                </c:pt>
                <c:pt idx="22">
                  <c:v>603.39943342776212</c:v>
                </c:pt>
                <c:pt idx="23">
                  <c:v>384.0550384459732</c:v>
                </c:pt>
                <c:pt idx="24">
                  <c:v>376.77053824362605</c:v>
                </c:pt>
                <c:pt idx="25">
                  <c:v>38.445973290165938</c:v>
                </c:pt>
              </c:numCache>
            </c:numRef>
          </c:val>
          <c:extLst>
            <c:ext xmlns:c16="http://schemas.microsoft.com/office/drawing/2014/chart" uri="{C3380CC4-5D6E-409C-BE32-E72D297353CC}">
              <c16:uniqueId val="{00000000-AB7D-BC48-87C8-BE1A92BF9DE0}"/>
            </c:ext>
          </c:extLst>
        </c:ser>
        <c:ser>
          <c:idx val="1"/>
          <c:order val="1"/>
          <c:tx>
            <c:strRef>
              <c:f>'Tables &amp; Figures_Roots'!$D$153</c:f>
              <c:strCache>
                <c:ptCount val="1"/>
                <c:pt idx="0">
                  <c:v>Harvested Area (Ha)</c:v>
                </c:pt>
              </c:strCache>
            </c:strRef>
          </c:tx>
          <c:spPr>
            <a:solidFill>
              <a:srgbClr val="FFFF00"/>
            </a:solidFill>
          </c:spPr>
          <c:invertIfNegative val="0"/>
          <c:cat>
            <c:strRef>
              <c:f>'Tables &amp; Figures_Roots'!$A$154:$A$179</c:f>
              <c:strCache>
                <c:ptCount val="26"/>
                <c:pt idx="0">
                  <c:v>Kigoma</c:v>
                </c:pt>
                <c:pt idx="1">
                  <c:v>Mtwara</c:v>
                </c:pt>
                <c:pt idx="2">
                  <c:v>Mwanza</c:v>
                </c:pt>
                <c:pt idx="3">
                  <c:v>Mara</c:v>
                </c:pt>
                <c:pt idx="4">
                  <c:v>Geita</c:v>
                </c:pt>
                <c:pt idx="5">
                  <c:v>Kagera</c:v>
                </c:pt>
                <c:pt idx="6">
                  <c:v>Tanga</c:v>
                </c:pt>
                <c:pt idx="7">
                  <c:v>Pwani</c:v>
                </c:pt>
                <c:pt idx="8">
                  <c:v>Ruvuma</c:v>
                </c:pt>
                <c:pt idx="9">
                  <c:v>Dar Es Salaam</c:v>
                </c:pt>
                <c:pt idx="10">
                  <c:v>Lindi</c:v>
                </c:pt>
                <c:pt idx="11">
                  <c:v>Tabora</c:v>
                </c:pt>
                <c:pt idx="12">
                  <c:v>Rukwa</c:v>
                </c:pt>
                <c:pt idx="13">
                  <c:v>Shinyanga</c:v>
                </c:pt>
                <c:pt idx="14">
                  <c:v>Morogoro</c:v>
                </c:pt>
                <c:pt idx="15">
                  <c:v>Dodoma</c:v>
                </c:pt>
                <c:pt idx="16">
                  <c:v>Njombe</c:v>
                </c:pt>
                <c:pt idx="17">
                  <c:v>Singida</c:v>
                </c:pt>
                <c:pt idx="18">
                  <c:v>Mbeya</c:v>
                </c:pt>
                <c:pt idx="19">
                  <c:v>Katavi</c:v>
                </c:pt>
                <c:pt idx="20">
                  <c:v>Simiyu</c:v>
                </c:pt>
                <c:pt idx="21">
                  <c:v>Kilimanjaro</c:v>
                </c:pt>
                <c:pt idx="22">
                  <c:v>Iringa</c:v>
                </c:pt>
                <c:pt idx="23">
                  <c:v>Songwe</c:v>
                </c:pt>
                <c:pt idx="24">
                  <c:v>Manyara</c:v>
                </c:pt>
                <c:pt idx="25">
                  <c:v>Arusha</c:v>
                </c:pt>
              </c:strCache>
            </c:strRef>
          </c:cat>
          <c:val>
            <c:numRef>
              <c:f>'Tables &amp; Figures_Roots'!$D$154:$D$179</c:f>
              <c:numCache>
                <c:formatCode>_(* #,##0_);_(* \(#,##0\);_(* "-"_);_(@_)</c:formatCode>
                <c:ptCount val="26"/>
                <c:pt idx="0">
                  <c:v>23655.605018211249</c:v>
                </c:pt>
                <c:pt idx="1">
                  <c:v>39929.178470254948</c:v>
                </c:pt>
                <c:pt idx="2">
                  <c:v>10517.199514366654</c:v>
                </c:pt>
                <c:pt idx="3">
                  <c:v>6926.3456090651562</c:v>
                </c:pt>
                <c:pt idx="4">
                  <c:v>3115.3379198704984</c:v>
                </c:pt>
                <c:pt idx="5">
                  <c:v>11972.480777013356</c:v>
                </c:pt>
                <c:pt idx="6">
                  <c:v>21535.815459328205</c:v>
                </c:pt>
                <c:pt idx="7">
                  <c:v>22819.506272764065</c:v>
                </c:pt>
                <c:pt idx="8">
                  <c:v>6804.9372723593679</c:v>
                </c:pt>
                <c:pt idx="9">
                  <c:v>15356.131121003642</c:v>
                </c:pt>
                <c:pt idx="10">
                  <c:v>11777.82274382841</c:v>
                </c:pt>
                <c:pt idx="11">
                  <c:v>1118.5754755159851</c:v>
                </c:pt>
                <c:pt idx="12">
                  <c:v>5816.2687171185735</c:v>
                </c:pt>
                <c:pt idx="13">
                  <c:v>1433.4277620396601</c:v>
                </c:pt>
                <c:pt idx="14">
                  <c:v>4004.4516390125459</c:v>
                </c:pt>
                <c:pt idx="15">
                  <c:v>802.10441116956702</c:v>
                </c:pt>
                <c:pt idx="16">
                  <c:v>89.032780250910548</c:v>
                </c:pt>
                <c:pt idx="17">
                  <c:v>373.53298259813835</c:v>
                </c:pt>
                <c:pt idx="18">
                  <c:v>463.37515176042081</c:v>
                </c:pt>
                <c:pt idx="19">
                  <c:v>78.915418858761598</c:v>
                </c:pt>
                <c:pt idx="20">
                  <c:v>164.3059490084986</c:v>
                </c:pt>
                <c:pt idx="21">
                  <c:v>417.64467826790775</c:v>
                </c:pt>
                <c:pt idx="22">
                  <c:v>130.31161473087815</c:v>
                </c:pt>
                <c:pt idx="23">
                  <c:v>0</c:v>
                </c:pt>
                <c:pt idx="24">
                  <c:v>0</c:v>
                </c:pt>
                <c:pt idx="25">
                  <c:v>6.8798057466612708</c:v>
                </c:pt>
              </c:numCache>
            </c:numRef>
          </c:val>
          <c:extLst>
            <c:ext xmlns:c16="http://schemas.microsoft.com/office/drawing/2014/chart" uri="{C3380CC4-5D6E-409C-BE32-E72D297353CC}">
              <c16:uniqueId val="{00000001-AB7D-BC48-87C8-BE1A92BF9DE0}"/>
            </c:ext>
          </c:extLst>
        </c:ser>
        <c:dLbls>
          <c:showLegendKey val="0"/>
          <c:showVal val="0"/>
          <c:showCatName val="0"/>
          <c:showSerName val="0"/>
          <c:showPercent val="0"/>
          <c:showBubbleSize val="0"/>
        </c:dLbls>
        <c:gapWidth val="150"/>
        <c:axId val="95917568"/>
        <c:axId val="95919488"/>
      </c:barChart>
      <c:catAx>
        <c:axId val="95917568"/>
        <c:scaling>
          <c:orientation val="minMax"/>
        </c:scaling>
        <c:delete val="0"/>
        <c:axPos val="b"/>
        <c:title>
          <c:tx>
            <c:rich>
              <a:bodyPr/>
              <a:lstStyle/>
              <a:p>
                <a:pPr>
                  <a:defRPr/>
                </a:pPr>
                <a:r>
                  <a:rPr lang="en-US"/>
                  <a:t>Region</a:t>
                </a:r>
              </a:p>
            </c:rich>
          </c:tx>
          <c:layout>
            <c:manualLayout>
              <c:xMode val="edge"/>
              <c:yMode val="edge"/>
              <c:x val="0.46840056742254477"/>
              <c:y val="0.84419873751933394"/>
            </c:manualLayout>
          </c:layout>
          <c:overlay val="0"/>
        </c:title>
        <c:numFmt formatCode="General" sourceLinked="0"/>
        <c:majorTickMark val="out"/>
        <c:minorTickMark val="none"/>
        <c:tickLblPos val="nextTo"/>
        <c:txPr>
          <a:bodyPr rot="-5400000" vert="horz"/>
          <a:lstStyle/>
          <a:p>
            <a:pPr>
              <a:defRPr/>
            </a:pPr>
            <a:endParaRPr lang="en-US"/>
          </a:p>
        </c:txPr>
        <c:crossAx val="95919488"/>
        <c:crosses val="autoZero"/>
        <c:auto val="1"/>
        <c:lblAlgn val="ctr"/>
        <c:lblOffset val="100"/>
        <c:noMultiLvlLbl val="0"/>
      </c:catAx>
      <c:valAx>
        <c:axId val="95919488"/>
        <c:scaling>
          <c:orientation val="minMax"/>
        </c:scaling>
        <c:delete val="0"/>
        <c:axPos val="l"/>
        <c:title>
          <c:tx>
            <c:rich>
              <a:bodyPr rot="-5400000" vert="horz"/>
              <a:lstStyle/>
              <a:p>
                <a:pPr>
                  <a:defRPr/>
                </a:pPr>
                <a:r>
                  <a:rPr lang="en-US"/>
                  <a:t>Area (ha)</a:t>
                </a:r>
              </a:p>
            </c:rich>
          </c:tx>
          <c:layout>
            <c:manualLayout>
              <c:xMode val="edge"/>
              <c:yMode val="edge"/>
              <c:x val="2.4460516847926647E-2"/>
              <c:y val="0.24570673599601725"/>
            </c:manualLayout>
          </c:layout>
          <c:overlay val="0"/>
        </c:title>
        <c:numFmt formatCode="_(* #,##0_);_(* \(#,##0\);_(* &quot;-&quot;_);_(@_)" sourceLinked="1"/>
        <c:majorTickMark val="out"/>
        <c:minorTickMark val="none"/>
        <c:tickLblPos val="nextTo"/>
        <c:crossAx val="95917568"/>
        <c:crosses val="autoZero"/>
        <c:crossBetween val="between"/>
        <c:majorUnit val="20000"/>
      </c:valAx>
    </c:plotArea>
    <c:legend>
      <c:legendPos val="b"/>
      <c:layout>
        <c:manualLayout>
          <c:xMode val="edge"/>
          <c:yMode val="edge"/>
          <c:x val="0.24971443843670976"/>
          <c:y val="0.92230488886808615"/>
          <c:w val="0.51519236857794859"/>
          <c:h val="7.7695173020120772E-2"/>
        </c:manualLayout>
      </c:layout>
      <c:overlay val="0"/>
    </c:legend>
    <c:plotVisOnly val="1"/>
    <c:dispBlanksAs val="gap"/>
    <c:showDLblsOverMax val="0"/>
  </c:chart>
  <c:spPr>
    <a:ln w="9525"/>
  </c:spPr>
  <c:txPr>
    <a:bodyPr/>
    <a:lstStyle/>
    <a:p>
      <a:pPr>
        <a:defRPr sz="800" b="0">
          <a:latin typeface="Times New Roman" pitchFamily="18" charset="0"/>
          <a:cs typeface="Times New Roman" pitchFamily="18" charset="0"/>
        </a:defRPr>
      </a:pPr>
      <a:endParaRPr lang="en-US"/>
    </a:p>
  </c:tx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52943010836517"/>
          <c:y val="7.4548702245552628E-2"/>
          <c:w val="0.83415018667221053"/>
          <c:h val="0.64673978252718434"/>
        </c:manualLayout>
      </c:layout>
      <c:barChart>
        <c:barDir val="col"/>
        <c:grouping val="clustered"/>
        <c:varyColors val="0"/>
        <c:ser>
          <c:idx val="0"/>
          <c:order val="0"/>
          <c:tx>
            <c:strRef>
              <c:f>'Tables &amp; Figures_Roots'!$C$191</c:f>
              <c:strCache>
                <c:ptCount val="1"/>
                <c:pt idx="0">
                  <c:v>Planted Area (Ha)</c:v>
                </c:pt>
              </c:strCache>
            </c:strRef>
          </c:tx>
          <c:spPr>
            <a:solidFill>
              <a:srgbClr val="0070C0"/>
            </a:solidFill>
          </c:spPr>
          <c:invertIfNegative val="0"/>
          <c:cat>
            <c:strRef>
              <c:f>'Tables &amp; Figures_Roots'!$A$192:$A$196</c:f>
              <c:strCache>
                <c:ptCount val="5"/>
                <c:pt idx="0">
                  <c:v>Kusini  Pemba</c:v>
                </c:pt>
                <c:pt idx="1">
                  <c:v>Kaskazini Pemba</c:v>
                </c:pt>
                <c:pt idx="2">
                  <c:v>Kaskazini Unguja</c:v>
                </c:pt>
                <c:pt idx="3">
                  <c:v>Mjini Magharibi</c:v>
                </c:pt>
                <c:pt idx="4">
                  <c:v>Kusini Unguja</c:v>
                </c:pt>
              </c:strCache>
            </c:strRef>
          </c:cat>
          <c:val>
            <c:numRef>
              <c:f>'Tables &amp; Figures_Roots'!$C$192:$C$196</c:f>
              <c:numCache>
                <c:formatCode>_(* #,##0_);_(* \(#,##0\);_(* "-"_);_(@_)</c:formatCode>
                <c:ptCount val="5"/>
                <c:pt idx="0">
                  <c:v>23288.142452448403</c:v>
                </c:pt>
                <c:pt idx="1">
                  <c:v>17174.828004856332</c:v>
                </c:pt>
                <c:pt idx="2">
                  <c:v>9562.5252934034797</c:v>
                </c:pt>
                <c:pt idx="3">
                  <c:v>8628.0857952246042</c:v>
                </c:pt>
                <c:pt idx="4">
                  <c:v>4140.8336705787133</c:v>
                </c:pt>
              </c:numCache>
            </c:numRef>
          </c:val>
          <c:extLst>
            <c:ext xmlns:c16="http://schemas.microsoft.com/office/drawing/2014/chart" uri="{C3380CC4-5D6E-409C-BE32-E72D297353CC}">
              <c16:uniqueId val="{00000000-9CDF-5049-B73F-DE43BF53DA53}"/>
            </c:ext>
          </c:extLst>
        </c:ser>
        <c:ser>
          <c:idx val="1"/>
          <c:order val="1"/>
          <c:tx>
            <c:strRef>
              <c:f>'Tables &amp; Figures_Roots'!$D$191</c:f>
              <c:strCache>
                <c:ptCount val="1"/>
                <c:pt idx="0">
                  <c:v>Harvested Area (Ha)</c:v>
                </c:pt>
              </c:strCache>
            </c:strRef>
          </c:tx>
          <c:spPr>
            <a:solidFill>
              <a:srgbClr val="FFFF00"/>
            </a:solidFill>
          </c:spPr>
          <c:invertIfNegative val="0"/>
          <c:cat>
            <c:strRef>
              <c:f>'Tables &amp; Figures_Roots'!$A$192:$A$196</c:f>
              <c:strCache>
                <c:ptCount val="5"/>
                <c:pt idx="0">
                  <c:v>Kusini  Pemba</c:v>
                </c:pt>
                <c:pt idx="1">
                  <c:v>Kaskazini Pemba</c:v>
                </c:pt>
                <c:pt idx="2">
                  <c:v>Kaskazini Unguja</c:v>
                </c:pt>
                <c:pt idx="3">
                  <c:v>Mjini Magharibi</c:v>
                </c:pt>
                <c:pt idx="4">
                  <c:v>Kusini Unguja</c:v>
                </c:pt>
              </c:strCache>
            </c:strRef>
          </c:cat>
          <c:val>
            <c:numRef>
              <c:f>'Tables &amp; Figures_Roots'!$D$192:$D$196</c:f>
              <c:numCache>
                <c:formatCode>_(* #,##0_);_(* \(#,##0\);_(* "-"_);_(@_)</c:formatCode>
                <c:ptCount val="5"/>
                <c:pt idx="0">
                  <c:v>12111.69566976932</c:v>
                </c:pt>
                <c:pt idx="1">
                  <c:v>10218.939700526103</c:v>
                </c:pt>
                <c:pt idx="2">
                  <c:v>5302.3067583974098</c:v>
                </c:pt>
                <c:pt idx="3">
                  <c:v>5546.3375151760411</c:v>
                </c:pt>
                <c:pt idx="4">
                  <c:v>2516.7948199109665</c:v>
                </c:pt>
              </c:numCache>
            </c:numRef>
          </c:val>
          <c:extLst>
            <c:ext xmlns:c16="http://schemas.microsoft.com/office/drawing/2014/chart" uri="{C3380CC4-5D6E-409C-BE32-E72D297353CC}">
              <c16:uniqueId val="{00000001-9CDF-5049-B73F-DE43BF53DA53}"/>
            </c:ext>
          </c:extLst>
        </c:ser>
        <c:dLbls>
          <c:showLegendKey val="0"/>
          <c:showVal val="0"/>
          <c:showCatName val="0"/>
          <c:showSerName val="0"/>
          <c:showPercent val="0"/>
          <c:showBubbleSize val="0"/>
        </c:dLbls>
        <c:gapWidth val="150"/>
        <c:axId val="96085888"/>
        <c:axId val="96088064"/>
      </c:barChart>
      <c:catAx>
        <c:axId val="96085888"/>
        <c:scaling>
          <c:orientation val="minMax"/>
        </c:scaling>
        <c:delete val="0"/>
        <c:axPos val="b"/>
        <c:title>
          <c:tx>
            <c:rich>
              <a:bodyPr/>
              <a:lstStyle/>
              <a:p>
                <a:pPr>
                  <a:defRPr/>
                </a:pPr>
                <a:r>
                  <a:rPr lang="en-US"/>
                  <a:t>Region</a:t>
                </a:r>
              </a:p>
            </c:rich>
          </c:tx>
          <c:layout>
            <c:manualLayout>
              <c:xMode val="edge"/>
              <c:yMode val="edge"/>
              <c:x val="0.47297332882894588"/>
              <c:y val="0.82300562429696289"/>
            </c:manualLayout>
          </c:layout>
          <c:overlay val="0"/>
        </c:title>
        <c:numFmt formatCode="General" sourceLinked="0"/>
        <c:majorTickMark val="out"/>
        <c:minorTickMark val="none"/>
        <c:tickLblPos val="nextTo"/>
        <c:crossAx val="96088064"/>
        <c:crosses val="autoZero"/>
        <c:auto val="1"/>
        <c:lblAlgn val="ctr"/>
        <c:lblOffset val="100"/>
        <c:noMultiLvlLbl val="0"/>
      </c:catAx>
      <c:valAx>
        <c:axId val="96088064"/>
        <c:scaling>
          <c:orientation val="minMax"/>
        </c:scaling>
        <c:delete val="0"/>
        <c:axPos val="l"/>
        <c:title>
          <c:tx>
            <c:rich>
              <a:bodyPr rot="-5400000" vert="horz"/>
              <a:lstStyle/>
              <a:p>
                <a:pPr>
                  <a:defRPr/>
                </a:pPr>
                <a:r>
                  <a:rPr lang="en-US"/>
                  <a:t>Area (ha)</a:t>
                </a:r>
              </a:p>
            </c:rich>
          </c:tx>
          <c:layout>
            <c:manualLayout>
              <c:xMode val="edge"/>
              <c:yMode val="edge"/>
              <c:x val="1.6075508433607281E-2"/>
              <c:y val="0.29596599759841552"/>
            </c:manualLayout>
          </c:layout>
          <c:overlay val="0"/>
        </c:title>
        <c:numFmt formatCode="_(* #,##0_);_(* \(#,##0\);_(* &quot;-&quot;_);_(@_)" sourceLinked="1"/>
        <c:majorTickMark val="out"/>
        <c:minorTickMark val="none"/>
        <c:tickLblPos val="nextTo"/>
        <c:crossAx val="96085888"/>
        <c:crosses val="autoZero"/>
        <c:crossBetween val="between"/>
      </c:valAx>
    </c:plotArea>
    <c:legend>
      <c:legendPos val="b"/>
      <c:overlay val="0"/>
    </c:legend>
    <c:plotVisOnly val="1"/>
    <c:dispBlanksAs val="gap"/>
    <c:showDLblsOverMax val="0"/>
  </c:chart>
  <c:spPr>
    <a:ln w="9525"/>
  </c:spPr>
  <c:txPr>
    <a:bodyPr/>
    <a:lstStyle/>
    <a:p>
      <a:pPr>
        <a:defRPr sz="900" b="0">
          <a:latin typeface="Times New Roman" pitchFamily="18" charset="0"/>
          <a:cs typeface="Times New Roman" pitchFamily="18" charset="0"/>
        </a:defRPr>
      </a:pPr>
      <a:endParaRPr lang="en-US"/>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622976251679909"/>
          <c:y val="5.8027097964105906E-2"/>
          <c:w val="0.75143869902860083"/>
          <c:h val="0.56085908043220489"/>
        </c:manualLayout>
      </c:layout>
      <c:barChart>
        <c:barDir val="col"/>
        <c:grouping val="clustered"/>
        <c:varyColors val="0"/>
        <c:ser>
          <c:idx val="0"/>
          <c:order val="0"/>
          <c:tx>
            <c:strRef>
              <c:f>'Tables &amp; Figures_Roots'!$E$15</c:f>
              <c:strCache>
                <c:ptCount val="1"/>
                <c:pt idx="0">
                  <c:v>Quantity Harvested (Tons)</c:v>
                </c:pt>
              </c:strCache>
            </c:strRef>
          </c:tx>
          <c:spPr>
            <a:solidFill>
              <a:srgbClr val="0070C0"/>
            </a:solidFill>
          </c:spPr>
          <c:invertIfNegative val="0"/>
          <c:cat>
            <c:strRef>
              <c:f>'Tables &amp; Figures_Roots'!$A$16:$A$41</c:f>
              <c:strCache>
                <c:ptCount val="26"/>
                <c:pt idx="0">
                  <c:v>Mtwara</c:v>
                </c:pt>
                <c:pt idx="1">
                  <c:v>Pwani</c:v>
                </c:pt>
                <c:pt idx="2">
                  <c:v>Kigoma</c:v>
                </c:pt>
                <c:pt idx="3">
                  <c:v>Tanga</c:v>
                </c:pt>
                <c:pt idx="4">
                  <c:v>Lindi</c:v>
                </c:pt>
                <c:pt idx="5">
                  <c:v>Dar Es Salaam</c:v>
                </c:pt>
                <c:pt idx="6">
                  <c:v>Mwanza</c:v>
                </c:pt>
                <c:pt idx="7">
                  <c:v>Kagera</c:v>
                </c:pt>
                <c:pt idx="8">
                  <c:v>Mara</c:v>
                </c:pt>
                <c:pt idx="9">
                  <c:v>Ruvuma</c:v>
                </c:pt>
                <c:pt idx="10">
                  <c:v>Rukwa</c:v>
                </c:pt>
                <c:pt idx="11">
                  <c:v>Morogoro</c:v>
                </c:pt>
                <c:pt idx="12">
                  <c:v>Geita</c:v>
                </c:pt>
                <c:pt idx="13">
                  <c:v>Shinyanga</c:v>
                </c:pt>
                <c:pt idx="14">
                  <c:v>Tabora</c:v>
                </c:pt>
                <c:pt idx="15">
                  <c:v>Dodoma</c:v>
                </c:pt>
                <c:pt idx="16">
                  <c:v>Mbeya</c:v>
                </c:pt>
                <c:pt idx="17">
                  <c:v>Kilimanjaro</c:v>
                </c:pt>
                <c:pt idx="18">
                  <c:v>Singida</c:v>
                </c:pt>
                <c:pt idx="19">
                  <c:v>Simiyu</c:v>
                </c:pt>
                <c:pt idx="20">
                  <c:v>Njombe</c:v>
                </c:pt>
                <c:pt idx="21">
                  <c:v>Iringa</c:v>
                </c:pt>
                <c:pt idx="22">
                  <c:v>Katavi</c:v>
                </c:pt>
                <c:pt idx="23">
                  <c:v>Arusha</c:v>
                </c:pt>
                <c:pt idx="24">
                  <c:v>Manyara</c:v>
                </c:pt>
                <c:pt idx="25">
                  <c:v>Songwe</c:v>
                </c:pt>
              </c:strCache>
            </c:strRef>
          </c:cat>
          <c:val>
            <c:numRef>
              <c:f>'Tables &amp; Figures_Roots'!$E$16:$E$41</c:f>
              <c:numCache>
                <c:formatCode>_(* #,##0_);_(* \(#,##0\);_(* "-"_);_(@_)</c:formatCode>
                <c:ptCount val="26"/>
                <c:pt idx="0">
                  <c:v>396128.28799999994</c:v>
                </c:pt>
                <c:pt idx="1">
                  <c:v>196550.522</c:v>
                </c:pt>
                <c:pt idx="2">
                  <c:v>157964.88999999998</c:v>
                </c:pt>
                <c:pt idx="3">
                  <c:v>139902.04699999999</c:v>
                </c:pt>
                <c:pt idx="4">
                  <c:v>114790.42600000001</c:v>
                </c:pt>
                <c:pt idx="5">
                  <c:v>111730.42799999999</c:v>
                </c:pt>
                <c:pt idx="6">
                  <c:v>106107.969</c:v>
                </c:pt>
                <c:pt idx="7">
                  <c:v>97152.853999999992</c:v>
                </c:pt>
                <c:pt idx="8">
                  <c:v>70821.239000000001</c:v>
                </c:pt>
                <c:pt idx="9">
                  <c:v>52809.509000000005</c:v>
                </c:pt>
                <c:pt idx="10">
                  <c:v>44353.427000000003</c:v>
                </c:pt>
                <c:pt idx="11">
                  <c:v>32714.269</c:v>
                </c:pt>
                <c:pt idx="12">
                  <c:v>27972.608999999997</c:v>
                </c:pt>
                <c:pt idx="13">
                  <c:v>11236.590999999997</c:v>
                </c:pt>
                <c:pt idx="14">
                  <c:v>8585.9059999999954</c:v>
                </c:pt>
                <c:pt idx="15">
                  <c:v>6072.3650000000007</c:v>
                </c:pt>
                <c:pt idx="16">
                  <c:v>3326.826</c:v>
                </c:pt>
                <c:pt idx="17">
                  <c:v>3075.5749999999998</c:v>
                </c:pt>
                <c:pt idx="18">
                  <c:v>2719.9560000000001</c:v>
                </c:pt>
                <c:pt idx="19">
                  <c:v>730.45899999999983</c:v>
                </c:pt>
                <c:pt idx="20">
                  <c:v>718.75099999999998</c:v>
                </c:pt>
                <c:pt idx="21">
                  <c:v>592.02199999999993</c:v>
                </c:pt>
                <c:pt idx="22">
                  <c:v>530.74400000000003</c:v>
                </c:pt>
                <c:pt idx="23">
                  <c:v>48.728000000000009</c:v>
                </c:pt>
                <c:pt idx="24">
                  <c:v>0</c:v>
                </c:pt>
                <c:pt idx="25">
                  <c:v>0</c:v>
                </c:pt>
              </c:numCache>
            </c:numRef>
          </c:val>
          <c:extLst>
            <c:ext xmlns:c16="http://schemas.microsoft.com/office/drawing/2014/chart" uri="{C3380CC4-5D6E-409C-BE32-E72D297353CC}">
              <c16:uniqueId val="{00000000-FDDD-E34D-B06C-21F16A79C4FA}"/>
            </c:ext>
          </c:extLst>
        </c:ser>
        <c:dLbls>
          <c:showLegendKey val="0"/>
          <c:showVal val="0"/>
          <c:showCatName val="0"/>
          <c:showSerName val="0"/>
          <c:showPercent val="0"/>
          <c:showBubbleSize val="0"/>
        </c:dLbls>
        <c:gapWidth val="50"/>
        <c:axId val="96128384"/>
        <c:axId val="96130560"/>
      </c:barChart>
      <c:scatterChart>
        <c:scatterStyle val="lineMarker"/>
        <c:varyColors val="0"/>
        <c:ser>
          <c:idx val="1"/>
          <c:order val="1"/>
          <c:tx>
            <c:strRef>
              <c:f>'Tables &amp; Figures_Roots'!$F$15</c:f>
              <c:strCache>
                <c:ptCount val="1"/>
                <c:pt idx="0">
                  <c:v>Yield (Tons/Ha)</c:v>
                </c:pt>
              </c:strCache>
            </c:strRef>
          </c:tx>
          <c:spPr>
            <a:ln w="28575">
              <a:noFill/>
            </a:ln>
          </c:spPr>
          <c:marker>
            <c:symbol val="circle"/>
            <c:size val="3"/>
          </c:marker>
          <c:xVal>
            <c:strRef>
              <c:f>'Tables &amp; Figures_Roots'!$A$16:$A$41</c:f>
              <c:strCache>
                <c:ptCount val="26"/>
                <c:pt idx="0">
                  <c:v>Mtwara</c:v>
                </c:pt>
                <c:pt idx="1">
                  <c:v>Pwani</c:v>
                </c:pt>
                <c:pt idx="2">
                  <c:v>Kigoma</c:v>
                </c:pt>
                <c:pt idx="3">
                  <c:v>Tanga</c:v>
                </c:pt>
                <c:pt idx="4">
                  <c:v>Lindi</c:v>
                </c:pt>
                <c:pt idx="5">
                  <c:v>Dar Es Salaam</c:v>
                </c:pt>
                <c:pt idx="6">
                  <c:v>Mwanza</c:v>
                </c:pt>
                <c:pt idx="7">
                  <c:v>Kagera</c:v>
                </c:pt>
                <c:pt idx="8">
                  <c:v>Mara</c:v>
                </c:pt>
                <c:pt idx="9">
                  <c:v>Ruvuma</c:v>
                </c:pt>
                <c:pt idx="10">
                  <c:v>Rukwa</c:v>
                </c:pt>
                <c:pt idx="11">
                  <c:v>Morogoro</c:v>
                </c:pt>
                <c:pt idx="12">
                  <c:v>Geita</c:v>
                </c:pt>
                <c:pt idx="13">
                  <c:v>Shinyanga</c:v>
                </c:pt>
                <c:pt idx="14">
                  <c:v>Tabora</c:v>
                </c:pt>
                <c:pt idx="15">
                  <c:v>Dodoma</c:v>
                </c:pt>
                <c:pt idx="16">
                  <c:v>Mbeya</c:v>
                </c:pt>
                <c:pt idx="17">
                  <c:v>Kilimanjaro</c:v>
                </c:pt>
                <c:pt idx="18">
                  <c:v>Singida</c:v>
                </c:pt>
                <c:pt idx="19">
                  <c:v>Simiyu</c:v>
                </c:pt>
                <c:pt idx="20">
                  <c:v>Njombe</c:v>
                </c:pt>
                <c:pt idx="21">
                  <c:v>Iringa</c:v>
                </c:pt>
                <c:pt idx="22">
                  <c:v>Katavi</c:v>
                </c:pt>
                <c:pt idx="23">
                  <c:v>Arusha</c:v>
                </c:pt>
                <c:pt idx="24">
                  <c:v>Manyara</c:v>
                </c:pt>
                <c:pt idx="25">
                  <c:v>Songwe</c:v>
                </c:pt>
              </c:strCache>
            </c:strRef>
          </c:xVal>
          <c:yVal>
            <c:numRef>
              <c:f>'Tables &amp; Figures_Roots'!$F$16:$F$41</c:f>
              <c:numCache>
                <c:formatCode>_(* #,##0.0_);_(* \(#,##0.0\);_(* "-"_);_(@_)</c:formatCode>
                <c:ptCount val="26"/>
                <c:pt idx="0">
                  <c:v>9.9207723067754507</c:v>
                </c:pt>
                <c:pt idx="1">
                  <c:v>8.6132679493854969</c:v>
                </c:pt>
                <c:pt idx="2">
                  <c:v>6.6776939282842633</c:v>
                </c:pt>
                <c:pt idx="3">
                  <c:v>6.4962502703561018</c:v>
                </c:pt>
                <c:pt idx="4">
                  <c:v>9.7463197143249829</c:v>
                </c:pt>
                <c:pt idx="5">
                  <c:v>7.2759490733429963</c:v>
                </c:pt>
                <c:pt idx="6">
                  <c:v>10.088994589772202</c:v>
                </c:pt>
                <c:pt idx="7">
                  <c:v>8.1146803080719287</c:v>
                </c:pt>
                <c:pt idx="8">
                  <c:v>10.224906898568507</c:v>
                </c:pt>
                <c:pt idx="9">
                  <c:v>7.7604696246803462</c:v>
                </c:pt>
                <c:pt idx="10">
                  <c:v>7.6257527217506267</c:v>
                </c:pt>
                <c:pt idx="11">
                  <c:v>8.1694753611925197</c:v>
                </c:pt>
                <c:pt idx="12">
                  <c:v>8.9789967314887011</c:v>
                </c:pt>
                <c:pt idx="13">
                  <c:v>7.8389656581027669</c:v>
                </c:pt>
                <c:pt idx="14">
                  <c:v>7.6757502626628078</c:v>
                </c:pt>
                <c:pt idx="15">
                  <c:v>7.5705418340060548</c:v>
                </c:pt>
                <c:pt idx="16">
                  <c:v>7.1795520052401764</c:v>
                </c:pt>
                <c:pt idx="17">
                  <c:v>7.3640947916666661</c:v>
                </c:pt>
                <c:pt idx="18">
                  <c:v>7.2817023575297952</c:v>
                </c:pt>
                <c:pt idx="19">
                  <c:v>4.4457246034482765</c:v>
                </c:pt>
                <c:pt idx="20">
                  <c:v>8.0728805500000043</c:v>
                </c:pt>
                <c:pt idx="21">
                  <c:v>4.5431253478260869</c:v>
                </c:pt>
                <c:pt idx="22">
                  <c:v>6.7254790974358976</c:v>
                </c:pt>
                <c:pt idx="23">
                  <c:v>7.0827581176470584</c:v>
                </c:pt>
                <c:pt idx="24">
                  <c:v>0</c:v>
                </c:pt>
                <c:pt idx="25">
                  <c:v>0</c:v>
                </c:pt>
              </c:numCache>
            </c:numRef>
          </c:yVal>
          <c:smooth val="0"/>
          <c:extLst>
            <c:ext xmlns:c16="http://schemas.microsoft.com/office/drawing/2014/chart" uri="{C3380CC4-5D6E-409C-BE32-E72D297353CC}">
              <c16:uniqueId val="{00000001-FDDD-E34D-B06C-21F16A79C4FA}"/>
            </c:ext>
          </c:extLst>
        </c:ser>
        <c:dLbls>
          <c:showLegendKey val="0"/>
          <c:showVal val="0"/>
          <c:showCatName val="0"/>
          <c:showSerName val="0"/>
          <c:showPercent val="0"/>
          <c:showBubbleSize val="0"/>
        </c:dLbls>
        <c:axId val="96015872"/>
        <c:axId val="96132480"/>
      </c:scatterChart>
      <c:catAx>
        <c:axId val="96128384"/>
        <c:scaling>
          <c:orientation val="minMax"/>
        </c:scaling>
        <c:delete val="0"/>
        <c:axPos val="b"/>
        <c:title>
          <c:tx>
            <c:rich>
              <a:bodyPr/>
              <a:lstStyle/>
              <a:p>
                <a:pPr>
                  <a:defRPr/>
                </a:pPr>
                <a:r>
                  <a:rPr lang="en-US"/>
                  <a:t>Region</a:t>
                </a:r>
              </a:p>
            </c:rich>
          </c:tx>
          <c:layout>
            <c:manualLayout>
              <c:xMode val="edge"/>
              <c:yMode val="edge"/>
              <c:x val="0.49049280011449303"/>
              <c:y val="0.85017702797120465"/>
            </c:manualLayout>
          </c:layout>
          <c:overlay val="0"/>
        </c:title>
        <c:numFmt formatCode="General" sourceLinked="0"/>
        <c:majorTickMark val="out"/>
        <c:minorTickMark val="none"/>
        <c:tickLblPos val="nextTo"/>
        <c:txPr>
          <a:bodyPr rot="-5400000" vert="horz"/>
          <a:lstStyle/>
          <a:p>
            <a:pPr>
              <a:defRPr/>
            </a:pPr>
            <a:endParaRPr lang="en-US"/>
          </a:p>
        </c:txPr>
        <c:crossAx val="96130560"/>
        <c:crosses val="autoZero"/>
        <c:auto val="1"/>
        <c:lblAlgn val="ctr"/>
        <c:lblOffset val="100"/>
        <c:noMultiLvlLbl val="0"/>
      </c:catAx>
      <c:valAx>
        <c:axId val="96130560"/>
        <c:scaling>
          <c:orientation val="minMax"/>
        </c:scaling>
        <c:delete val="0"/>
        <c:axPos val="l"/>
        <c:title>
          <c:tx>
            <c:rich>
              <a:bodyPr rot="-5400000" vert="horz"/>
              <a:lstStyle/>
              <a:p>
                <a:pPr>
                  <a:defRPr/>
                </a:pPr>
                <a:r>
                  <a:rPr lang="en-US"/>
                  <a:t>Production (tons)</a:t>
                </a:r>
              </a:p>
            </c:rich>
          </c:tx>
          <c:layout>
            <c:manualLayout>
              <c:xMode val="edge"/>
              <c:yMode val="edge"/>
              <c:x val="2.1925071623611049E-2"/>
              <c:y val="0.18719840478564306"/>
            </c:manualLayout>
          </c:layout>
          <c:overlay val="0"/>
        </c:title>
        <c:numFmt formatCode="_(* #,##0_);_(* \(#,##0\);_(* &quot;-&quot;_);_(@_)" sourceLinked="1"/>
        <c:majorTickMark val="out"/>
        <c:minorTickMark val="none"/>
        <c:tickLblPos val="nextTo"/>
        <c:crossAx val="96128384"/>
        <c:crosses val="autoZero"/>
        <c:crossBetween val="between"/>
      </c:valAx>
      <c:valAx>
        <c:axId val="96132480"/>
        <c:scaling>
          <c:orientation val="minMax"/>
        </c:scaling>
        <c:delete val="0"/>
        <c:axPos val="r"/>
        <c:title>
          <c:tx>
            <c:rich>
              <a:bodyPr rot="-5400000" vert="horz"/>
              <a:lstStyle/>
              <a:p>
                <a:pPr>
                  <a:defRPr/>
                </a:pPr>
                <a:r>
                  <a:rPr lang="en-US"/>
                  <a:t>Yield  (tons/ha)</a:t>
                </a:r>
              </a:p>
            </c:rich>
          </c:tx>
          <c:layout>
            <c:manualLayout>
              <c:xMode val="edge"/>
              <c:yMode val="edge"/>
              <c:x val="0.95802153900661569"/>
              <c:y val="0.18946436281706064"/>
            </c:manualLayout>
          </c:layout>
          <c:overlay val="0"/>
        </c:title>
        <c:numFmt formatCode="_(* #,##0.0_);_(* \(#,##0.0\);_(* &quot;-&quot;_);_(@_)" sourceLinked="1"/>
        <c:majorTickMark val="out"/>
        <c:minorTickMark val="none"/>
        <c:tickLblPos val="nextTo"/>
        <c:crossAx val="96015872"/>
        <c:crosses val="max"/>
        <c:crossBetween val="midCat"/>
      </c:valAx>
      <c:valAx>
        <c:axId val="96015872"/>
        <c:scaling>
          <c:orientation val="minMax"/>
        </c:scaling>
        <c:delete val="1"/>
        <c:axPos val="b"/>
        <c:majorTickMark val="out"/>
        <c:minorTickMark val="none"/>
        <c:tickLblPos val="none"/>
        <c:crossAx val="96132480"/>
        <c:crosses val="autoZero"/>
        <c:crossBetween val="midCat"/>
      </c:valAx>
    </c:plotArea>
    <c:legend>
      <c:legendPos val="b"/>
      <c:layout>
        <c:manualLayout>
          <c:xMode val="edge"/>
          <c:yMode val="edge"/>
          <c:x val="0.2302608369605974"/>
          <c:y val="0.92402553734837412"/>
          <c:w val="0.53046026463186946"/>
          <c:h val="5.7408369639074301E-2"/>
        </c:manualLayout>
      </c:layout>
      <c:overlay val="0"/>
    </c:legend>
    <c:plotVisOnly val="1"/>
    <c:dispBlanksAs val="gap"/>
    <c:showDLblsOverMax val="0"/>
  </c:chart>
  <c:spPr>
    <a:ln w="9525"/>
  </c:spPr>
  <c:txPr>
    <a:bodyPr/>
    <a:lstStyle/>
    <a:p>
      <a:pPr>
        <a:defRPr sz="800" b="0">
          <a:latin typeface="Times New Roman" pitchFamily="18" charset="0"/>
          <a:cs typeface="Times New Roman" pitchFamily="18" charset="0"/>
        </a:defRPr>
      </a:pPr>
      <a:endParaRPr lang="en-US"/>
    </a:p>
  </c:tx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05567459326349"/>
          <c:y val="7.9178331875182334E-2"/>
          <c:w val="0.75179945578589014"/>
          <c:h val="0.59885608048993788"/>
        </c:manualLayout>
      </c:layout>
      <c:barChart>
        <c:barDir val="col"/>
        <c:grouping val="clustered"/>
        <c:varyColors val="0"/>
        <c:ser>
          <c:idx val="0"/>
          <c:order val="0"/>
          <c:tx>
            <c:strRef>
              <c:f>'Tables &amp; Figures_Roots'!$E$53</c:f>
              <c:strCache>
                <c:ptCount val="1"/>
                <c:pt idx="0">
                  <c:v>Quantity Harvested (Tons)</c:v>
                </c:pt>
              </c:strCache>
            </c:strRef>
          </c:tx>
          <c:spPr>
            <a:solidFill>
              <a:srgbClr val="0070C0"/>
            </a:solidFill>
          </c:spPr>
          <c:invertIfNegative val="0"/>
          <c:cat>
            <c:strRef>
              <c:f>'Tables &amp; Figures_Roots'!$A$54:$A$58</c:f>
              <c:strCache>
                <c:ptCount val="5"/>
                <c:pt idx="0">
                  <c:v>Kaskazini Pemba</c:v>
                </c:pt>
                <c:pt idx="1">
                  <c:v>Mjini Magharibi</c:v>
                </c:pt>
                <c:pt idx="2">
                  <c:v>Kaskazini Unguja</c:v>
                </c:pt>
                <c:pt idx="3">
                  <c:v>Kusini  Pemba</c:v>
                </c:pt>
                <c:pt idx="4">
                  <c:v>Kusini Unguja</c:v>
                </c:pt>
              </c:strCache>
            </c:strRef>
          </c:cat>
          <c:val>
            <c:numRef>
              <c:f>'Tables &amp; Figures_Roots'!$E$54:$E$58</c:f>
              <c:numCache>
                <c:formatCode>_(* #,##0_);_(* \(#,##0\);_(* "-"_);_(@_)</c:formatCode>
                <c:ptCount val="5"/>
                <c:pt idx="0">
                  <c:v>69842.587999999989</c:v>
                </c:pt>
                <c:pt idx="1">
                  <c:v>37028.379000000001</c:v>
                </c:pt>
                <c:pt idx="2">
                  <c:v>32389.408000000007</c:v>
                </c:pt>
                <c:pt idx="3">
                  <c:v>27368.718999999997</c:v>
                </c:pt>
                <c:pt idx="4">
                  <c:v>17342.382000000001</c:v>
                </c:pt>
              </c:numCache>
            </c:numRef>
          </c:val>
          <c:extLst>
            <c:ext xmlns:c16="http://schemas.microsoft.com/office/drawing/2014/chart" uri="{C3380CC4-5D6E-409C-BE32-E72D297353CC}">
              <c16:uniqueId val="{00000000-BD44-0046-8CE1-3B0E147BF226}"/>
            </c:ext>
          </c:extLst>
        </c:ser>
        <c:dLbls>
          <c:showLegendKey val="0"/>
          <c:showVal val="0"/>
          <c:showCatName val="0"/>
          <c:showSerName val="0"/>
          <c:showPercent val="0"/>
          <c:showBubbleSize val="0"/>
        </c:dLbls>
        <c:gapWidth val="162"/>
        <c:axId val="96047872"/>
        <c:axId val="96049792"/>
      </c:barChart>
      <c:scatterChart>
        <c:scatterStyle val="lineMarker"/>
        <c:varyColors val="0"/>
        <c:ser>
          <c:idx val="1"/>
          <c:order val="1"/>
          <c:tx>
            <c:strRef>
              <c:f>'Tables &amp; Figures_Roots'!$F$53</c:f>
              <c:strCache>
                <c:ptCount val="1"/>
                <c:pt idx="0">
                  <c:v>Yield (Tons/Ha)</c:v>
                </c:pt>
              </c:strCache>
            </c:strRef>
          </c:tx>
          <c:spPr>
            <a:ln w="28575">
              <a:noFill/>
            </a:ln>
          </c:spPr>
          <c:marker>
            <c:symbol val="circle"/>
            <c:size val="5"/>
          </c:marker>
          <c:xVal>
            <c:strRef>
              <c:f>'Tables &amp; Figures_Roots'!$A$54:$A$58</c:f>
              <c:strCache>
                <c:ptCount val="5"/>
                <c:pt idx="0">
                  <c:v>Kaskazini Pemba</c:v>
                </c:pt>
                <c:pt idx="1">
                  <c:v>Mjini Magharibi</c:v>
                </c:pt>
                <c:pt idx="2">
                  <c:v>Kaskazini Unguja</c:v>
                </c:pt>
                <c:pt idx="3">
                  <c:v>Kusini  Pemba</c:v>
                </c:pt>
                <c:pt idx="4">
                  <c:v>Kusini Unguja</c:v>
                </c:pt>
              </c:strCache>
            </c:strRef>
          </c:xVal>
          <c:yVal>
            <c:numRef>
              <c:f>'Tables &amp; Figures_Roots'!$F$54:$F$58</c:f>
              <c:numCache>
                <c:formatCode>_(* #,##0.0_);_(* \(#,##0.0\);_(* "-"_);_(@_)</c:formatCode>
                <c:ptCount val="5"/>
                <c:pt idx="0">
                  <c:v>6.8346217950972248</c:v>
                </c:pt>
                <c:pt idx="1">
                  <c:v>6.6761856628237863</c:v>
                </c:pt>
                <c:pt idx="2">
                  <c:v>6.1085503868111743</c:v>
                </c:pt>
                <c:pt idx="3">
                  <c:v>2.259693419172681</c:v>
                </c:pt>
                <c:pt idx="4">
                  <c:v>6.8906618301977813</c:v>
                </c:pt>
              </c:numCache>
            </c:numRef>
          </c:yVal>
          <c:smooth val="0"/>
          <c:extLst>
            <c:ext xmlns:c16="http://schemas.microsoft.com/office/drawing/2014/chart" uri="{C3380CC4-5D6E-409C-BE32-E72D297353CC}">
              <c16:uniqueId val="{00000001-BD44-0046-8CE1-3B0E147BF226}"/>
            </c:ext>
          </c:extLst>
        </c:ser>
        <c:dLbls>
          <c:showLegendKey val="0"/>
          <c:showVal val="0"/>
          <c:showCatName val="0"/>
          <c:showSerName val="0"/>
          <c:showPercent val="0"/>
          <c:showBubbleSize val="0"/>
        </c:dLbls>
        <c:axId val="96057984"/>
        <c:axId val="96056064"/>
      </c:scatterChart>
      <c:catAx>
        <c:axId val="96047872"/>
        <c:scaling>
          <c:orientation val="minMax"/>
        </c:scaling>
        <c:delete val="0"/>
        <c:axPos val="b"/>
        <c:title>
          <c:tx>
            <c:rich>
              <a:bodyPr/>
              <a:lstStyle/>
              <a:p>
                <a:pPr>
                  <a:defRPr/>
                </a:pPr>
                <a:r>
                  <a:rPr lang="en-US"/>
                  <a:t>Region</a:t>
                </a:r>
              </a:p>
            </c:rich>
          </c:tx>
          <c:layout>
            <c:manualLayout>
              <c:xMode val="edge"/>
              <c:yMode val="edge"/>
              <c:x val="0.48862211627403962"/>
              <c:y val="0.77648215960467215"/>
            </c:manualLayout>
          </c:layout>
          <c:overlay val="0"/>
        </c:title>
        <c:numFmt formatCode="General" sourceLinked="0"/>
        <c:majorTickMark val="out"/>
        <c:minorTickMark val="none"/>
        <c:tickLblPos val="nextTo"/>
        <c:crossAx val="96049792"/>
        <c:crosses val="autoZero"/>
        <c:auto val="1"/>
        <c:lblAlgn val="ctr"/>
        <c:lblOffset val="100"/>
        <c:noMultiLvlLbl val="0"/>
      </c:catAx>
      <c:valAx>
        <c:axId val="96049792"/>
        <c:scaling>
          <c:orientation val="minMax"/>
        </c:scaling>
        <c:delete val="0"/>
        <c:axPos val="l"/>
        <c:title>
          <c:tx>
            <c:rich>
              <a:bodyPr rot="-5400000" vert="horz"/>
              <a:lstStyle/>
              <a:p>
                <a:pPr>
                  <a:defRPr/>
                </a:pPr>
                <a:r>
                  <a:rPr lang="en-US"/>
                  <a:t>Production (tons)</a:t>
                </a:r>
              </a:p>
            </c:rich>
          </c:tx>
          <c:layout>
            <c:manualLayout>
              <c:xMode val="edge"/>
              <c:yMode val="edge"/>
              <c:x val="1.8050686387755008E-2"/>
              <c:y val="0.22001798598191788"/>
            </c:manualLayout>
          </c:layout>
          <c:overlay val="0"/>
        </c:title>
        <c:numFmt formatCode="_(* #,##0_);_(* \(#,##0\);_(* &quot;-&quot;_);_(@_)" sourceLinked="1"/>
        <c:majorTickMark val="out"/>
        <c:minorTickMark val="none"/>
        <c:tickLblPos val="nextTo"/>
        <c:crossAx val="96047872"/>
        <c:crosses val="autoZero"/>
        <c:crossBetween val="between"/>
      </c:valAx>
      <c:valAx>
        <c:axId val="96056064"/>
        <c:scaling>
          <c:orientation val="minMax"/>
        </c:scaling>
        <c:delete val="0"/>
        <c:axPos val="r"/>
        <c:title>
          <c:tx>
            <c:rich>
              <a:bodyPr rot="-5400000" vert="horz"/>
              <a:lstStyle/>
              <a:p>
                <a:pPr>
                  <a:defRPr/>
                </a:pPr>
                <a:r>
                  <a:rPr lang="en-US"/>
                  <a:t>Yield (tons/ha)</a:t>
                </a:r>
              </a:p>
            </c:rich>
          </c:tx>
          <c:layout>
            <c:manualLayout>
              <c:xMode val="edge"/>
              <c:yMode val="edge"/>
              <c:x val="0.95130063666916453"/>
              <c:y val="0.24189334694937881"/>
            </c:manualLayout>
          </c:layout>
          <c:overlay val="0"/>
        </c:title>
        <c:numFmt formatCode="_(* #,##0.0_);_(* \(#,##0.0\);_(* &quot;-&quot;_);_(@_)" sourceLinked="1"/>
        <c:majorTickMark val="out"/>
        <c:minorTickMark val="none"/>
        <c:tickLblPos val="nextTo"/>
        <c:crossAx val="96057984"/>
        <c:crosses val="max"/>
        <c:crossBetween val="midCat"/>
      </c:valAx>
      <c:valAx>
        <c:axId val="96057984"/>
        <c:scaling>
          <c:orientation val="minMax"/>
        </c:scaling>
        <c:delete val="1"/>
        <c:axPos val="b"/>
        <c:majorTickMark val="out"/>
        <c:minorTickMark val="none"/>
        <c:tickLblPos val="none"/>
        <c:crossAx val="96056064"/>
        <c:crosses val="autoZero"/>
        <c:crossBetween val="midCat"/>
      </c:valAx>
    </c:plotArea>
    <c:legend>
      <c:legendPos val="b"/>
      <c:layout>
        <c:manualLayout>
          <c:xMode val="edge"/>
          <c:yMode val="edge"/>
          <c:x val="0.28347579580021814"/>
          <c:y val="0.84842519685039375"/>
          <c:w val="0.43304822431970991"/>
          <c:h val="6.4390844997906219E-2"/>
        </c:manualLayout>
      </c:layout>
      <c:overlay val="0"/>
    </c:legend>
    <c:plotVisOnly val="1"/>
    <c:dispBlanksAs val="gap"/>
    <c:showDLblsOverMax val="0"/>
  </c:chart>
  <c:spPr>
    <a:ln w="9525"/>
  </c:spPr>
  <c:txPr>
    <a:bodyPr/>
    <a:lstStyle/>
    <a:p>
      <a:pPr>
        <a:defRPr sz="800" b="0">
          <a:latin typeface="Times New Roman" pitchFamily="18" charset="0"/>
          <a:cs typeface="Times New Roman" pitchFamily="18" charset="0"/>
        </a:defRPr>
      </a:pPr>
      <a:endParaRPr lang="en-US"/>
    </a:p>
  </c:txPr>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254952479854873"/>
          <c:y val="6.9919072615923034E-2"/>
          <c:w val="0.81894702708096001"/>
          <c:h val="0.52043406854844887"/>
        </c:manualLayout>
      </c:layout>
      <c:barChart>
        <c:barDir val="col"/>
        <c:grouping val="clustered"/>
        <c:varyColors val="0"/>
        <c:ser>
          <c:idx val="0"/>
          <c:order val="0"/>
          <c:tx>
            <c:strRef>
              <c:f>'Tables &amp; Figures_Roots'!$C$202</c:f>
              <c:strCache>
                <c:ptCount val="1"/>
                <c:pt idx="0">
                  <c:v>Planted Area (Ha)</c:v>
                </c:pt>
              </c:strCache>
            </c:strRef>
          </c:tx>
          <c:spPr>
            <a:solidFill>
              <a:srgbClr val="0070C0"/>
            </a:solidFill>
          </c:spPr>
          <c:invertIfNegative val="0"/>
          <c:cat>
            <c:strRef>
              <c:f>'Tables &amp; Figures_Roots'!$A$203:$A$228</c:f>
              <c:strCache>
                <c:ptCount val="26"/>
                <c:pt idx="0">
                  <c:v>Mwanza</c:v>
                </c:pt>
                <c:pt idx="1">
                  <c:v>Tabora</c:v>
                </c:pt>
                <c:pt idx="2">
                  <c:v>Geita</c:v>
                </c:pt>
                <c:pt idx="3">
                  <c:v>Shinyanga</c:v>
                </c:pt>
                <c:pt idx="4">
                  <c:v>Simiyu</c:v>
                </c:pt>
                <c:pt idx="5">
                  <c:v>Kagera</c:v>
                </c:pt>
                <c:pt idx="6">
                  <c:v>Singida</c:v>
                </c:pt>
                <c:pt idx="7">
                  <c:v>Dodoma</c:v>
                </c:pt>
                <c:pt idx="8">
                  <c:v>Mara</c:v>
                </c:pt>
                <c:pt idx="9">
                  <c:v>Morogoro</c:v>
                </c:pt>
                <c:pt idx="10">
                  <c:v>Katavi</c:v>
                </c:pt>
                <c:pt idx="11">
                  <c:v>Rukwa</c:v>
                </c:pt>
                <c:pt idx="12">
                  <c:v>Mbeya</c:v>
                </c:pt>
                <c:pt idx="13">
                  <c:v>Pwani</c:v>
                </c:pt>
                <c:pt idx="14">
                  <c:v>Kigoma</c:v>
                </c:pt>
                <c:pt idx="15">
                  <c:v>Ruvuma</c:v>
                </c:pt>
                <c:pt idx="16">
                  <c:v>Songwe</c:v>
                </c:pt>
                <c:pt idx="17">
                  <c:v>Lindi</c:v>
                </c:pt>
                <c:pt idx="18">
                  <c:v>Iringa</c:v>
                </c:pt>
                <c:pt idx="19">
                  <c:v>Tanga</c:v>
                </c:pt>
                <c:pt idx="20">
                  <c:v>Dar Es Salaam</c:v>
                </c:pt>
                <c:pt idx="21">
                  <c:v>Manyara</c:v>
                </c:pt>
                <c:pt idx="22">
                  <c:v>Mtwara</c:v>
                </c:pt>
                <c:pt idx="23">
                  <c:v>Kilimanjaro</c:v>
                </c:pt>
                <c:pt idx="24">
                  <c:v>Njombe</c:v>
                </c:pt>
                <c:pt idx="25">
                  <c:v>Arusha</c:v>
                </c:pt>
              </c:strCache>
            </c:strRef>
          </c:cat>
          <c:val>
            <c:numRef>
              <c:f>'Tables &amp; Figures_Roots'!$C$203:$C$228</c:f>
              <c:numCache>
                <c:formatCode>_(* #,##0_);_(* \(#,##0\);_(* "-"_);_(@_)</c:formatCode>
                <c:ptCount val="26"/>
                <c:pt idx="0">
                  <c:v>61326.183731282879</c:v>
                </c:pt>
                <c:pt idx="1">
                  <c:v>44745.042492917833</c:v>
                </c:pt>
                <c:pt idx="2">
                  <c:v>43453.662484823952</c:v>
                </c:pt>
                <c:pt idx="3">
                  <c:v>35522.055847834883</c:v>
                </c:pt>
                <c:pt idx="4">
                  <c:v>25590.449210845807</c:v>
                </c:pt>
                <c:pt idx="5">
                  <c:v>13241.602590044517</c:v>
                </c:pt>
                <c:pt idx="6">
                  <c:v>11625.657628490488</c:v>
                </c:pt>
                <c:pt idx="7">
                  <c:v>9310.400647511131</c:v>
                </c:pt>
                <c:pt idx="8">
                  <c:v>7199.1096721974909</c:v>
                </c:pt>
                <c:pt idx="9">
                  <c:v>6088.6280857952243</c:v>
                </c:pt>
                <c:pt idx="10">
                  <c:v>3135.1679481991091</c:v>
                </c:pt>
                <c:pt idx="11">
                  <c:v>3005.261027923917</c:v>
                </c:pt>
                <c:pt idx="12">
                  <c:v>2944.5568595710242</c:v>
                </c:pt>
                <c:pt idx="13">
                  <c:v>2562.5252934034806</c:v>
                </c:pt>
                <c:pt idx="14">
                  <c:v>2010.926750303521</c:v>
                </c:pt>
                <c:pt idx="15">
                  <c:v>1913.3953864832051</c:v>
                </c:pt>
                <c:pt idx="16">
                  <c:v>1719.1420477539455</c:v>
                </c:pt>
                <c:pt idx="17">
                  <c:v>1633.7515176042091</c:v>
                </c:pt>
                <c:pt idx="18">
                  <c:v>1443.1404289761226</c:v>
                </c:pt>
                <c:pt idx="19">
                  <c:v>1250.5058680696077</c:v>
                </c:pt>
                <c:pt idx="20">
                  <c:v>1017.8065560501822</c:v>
                </c:pt>
                <c:pt idx="21">
                  <c:v>983.81222177256154</c:v>
                </c:pt>
                <c:pt idx="22">
                  <c:v>476.7300687980574</c:v>
                </c:pt>
                <c:pt idx="23">
                  <c:v>273.57345204370705</c:v>
                </c:pt>
                <c:pt idx="24">
                  <c:v>214.89275596924318</c:v>
                </c:pt>
                <c:pt idx="25">
                  <c:v>84.581141238365035</c:v>
                </c:pt>
              </c:numCache>
            </c:numRef>
          </c:val>
          <c:extLst>
            <c:ext xmlns:c16="http://schemas.microsoft.com/office/drawing/2014/chart" uri="{C3380CC4-5D6E-409C-BE32-E72D297353CC}">
              <c16:uniqueId val="{00000000-EA0C-264F-A65F-ADD63F7FF74B}"/>
            </c:ext>
          </c:extLst>
        </c:ser>
        <c:ser>
          <c:idx val="1"/>
          <c:order val="1"/>
          <c:tx>
            <c:strRef>
              <c:f>'Tables &amp; Figures_Roots'!$D$202</c:f>
              <c:strCache>
                <c:ptCount val="1"/>
                <c:pt idx="0">
                  <c:v>Harvested Area (Ha)</c:v>
                </c:pt>
              </c:strCache>
            </c:strRef>
          </c:tx>
          <c:spPr>
            <a:solidFill>
              <a:srgbClr val="FFFF00"/>
            </a:solidFill>
          </c:spPr>
          <c:invertIfNegative val="0"/>
          <c:cat>
            <c:strRef>
              <c:f>'Tables &amp; Figures_Roots'!$A$203:$A$228</c:f>
              <c:strCache>
                <c:ptCount val="26"/>
                <c:pt idx="0">
                  <c:v>Mwanza</c:v>
                </c:pt>
                <c:pt idx="1">
                  <c:v>Tabora</c:v>
                </c:pt>
                <c:pt idx="2">
                  <c:v>Geita</c:v>
                </c:pt>
                <c:pt idx="3">
                  <c:v>Shinyanga</c:v>
                </c:pt>
                <c:pt idx="4">
                  <c:v>Simiyu</c:v>
                </c:pt>
                <c:pt idx="5">
                  <c:v>Kagera</c:v>
                </c:pt>
                <c:pt idx="6">
                  <c:v>Singida</c:v>
                </c:pt>
                <c:pt idx="7">
                  <c:v>Dodoma</c:v>
                </c:pt>
                <c:pt idx="8">
                  <c:v>Mara</c:v>
                </c:pt>
                <c:pt idx="9">
                  <c:v>Morogoro</c:v>
                </c:pt>
                <c:pt idx="10">
                  <c:v>Katavi</c:v>
                </c:pt>
                <c:pt idx="11">
                  <c:v>Rukwa</c:v>
                </c:pt>
                <c:pt idx="12">
                  <c:v>Mbeya</c:v>
                </c:pt>
                <c:pt idx="13">
                  <c:v>Pwani</c:v>
                </c:pt>
                <c:pt idx="14">
                  <c:v>Kigoma</c:v>
                </c:pt>
                <c:pt idx="15">
                  <c:v>Ruvuma</c:v>
                </c:pt>
                <c:pt idx="16">
                  <c:v>Songwe</c:v>
                </c:pt>
                <c:pt idx="17">
                  <c:v>Lindi</c:v>
                </c:pt>
                <c:pt idx="18">
                  <c:v>Iringa</c:v>
                </c:pt>
                <c:pt idx="19">
                  <c:v>Tanga</c:v>
                </c:pt>
                <c:pt idx="20">
                  <c:v>Dar Es Salaam</c:v>
                </c:pt>
                <c:pt idx="21">
                  <c:v>Manyara</c:v>
                </c:pt>
                <c:pt idx="22">
                  <c:v>Mtwara</c:v>
                </c:pt>
                <c:pt idx="23">
                  <c:v>Kilimanjaro</c:v>
                </c:pt>
                <c:pt idx="24">
                  <c:v>Njombe</c:v>
                </c:pt>
                <c:pt idx="25">
                  <c:v>Arusha</c:v>
                </c:pt>
              </c:strCache>
            </c:strRef>
          </c:cat>
          <c:val>
            <c:numRef>
              <c:f>'Tables &amp; Figures_Roots'!$D$203:$D$228</c:f>
              <c:numCache>
                <c:formatCode>_(* #,##0_);_(* \(#,##0\);_(* "-"_);_(@_)</c:formatCode>
                <c:ptCount val="26"/>
                <c:pt idx="0">
                  <c:v>48972.885471469039</c:v>
                </c:pt>
                <c:pt idx="1">
                  <c:v>37575.070821529735</c:v>
                </c:pt>
                <c:pt idx="2">
                  <c:v>38209.227033589617</c:v>
                </c:pt>
                <c:pt idx="3">
                  <c:v>32047.753945770943</c:v>
                </c:pt>
                <c:pt idx="4">
                  <c:v>24737.353298259815</c:v>
                </c:pt>
                <c:pt idx="5">
                  <c:v>10828.004856333469</c:v>
                </c:pt>
                <c:pt idx="6">
                  <c:v>8294.6175637393771</c:v>
                </c:pt>
                <c:pt idx="7">
                  <c:v>5222.9866450829622</c:v>
                </c:pt>
                <c:pt idx="8">
                  <c:v>5791.1776608660457</c:v>
                </c:pt>
                <c:pt idx="9">
                  <c:v>4297.0457304734937</c:v>
                </c:pt>
                <c:pt idx="10">
                  <c:v>2043.3023067583972</c:v>
                </c:pt>
                <c:pt idx="11">
                  <c:v>1891.5418858761634</c:v>
                </c:pt>
                <c:pt idx="12">
                  <c:v>2182.1125050586807</c:v>
                </c:pt>
                <c:pt idx="13">
                  <c:v>1237.9603399433427</c:v>
                </c:pt>
                <c:pt idx="14">
                  <c:v>1599.7571833265883</c:v>
                </c:pt>
                <c:pt idx="15">
                  <c:v>1574.666127074059</c:v>
                </c:pt>
                <c:pt idx="16">
                  <c:v>806.55605018211247</c:v>
                </c:pt>
                <c:pt idx="17">
                  <c:v>919.06110886280828</c:v>
                </c:pt>
                <c:pt idx="18">
                  <c:v>673.00687980574651</c:v>
                </c:pt>
                <c:pt idx="19">
                  <c:v>718.33265884257355</c:v>
                </c:pt>
                <c:pt idx="20">
                  <c:v>454.47187373532984</c:v>
                </c:pt>
                <c:pt idx="21">
                  <c:v>381.62687171185752</c:v>
                </c:pt>
                <c:pt idx="22">
                  <c:v>380.0080938891137</c:v>
                </c:pt>
                <c:pt idx="23">
                  <c:v>207.60825576689595</c:v>
                </c:pt>
                <c:pt idx="24">
                  <c:v>152.16511533791987</c:v>
                </c:pt>
                <c:pt idx="25">
                  <c:v>10.522055847834885</c:v>
                </c:pt>
              </c:numCache>
            </c:numRef>
          </c:val>
          <c:extLst>
            <c:ext xmlns:c16="http://schemas.microsoft.com/office/drawing/2014/chart" uri="{C3380CC4-5D6E-409C-BE32-E72D297353CC}">
              <c16:uniqueId val="{00000001-EA0C-264F-A65F-ADD63F7FF74B}"/>
            </c:ext>
          </c:extLst>
        </c:ser>
        <c:dLbls>
          <c:showLegendKey val="0"/>
          <c:showVal val="0"/>
          <c:showCatName val="0"/>
          <c:showSerName val="0"/>
          <c:showPercent val="0"/>
          <c:showBubbleSize val="0"/>
        </c:dLbls>
        <c:gapWidth val="150"/>
        <c:axId val="96228096"/>
        <c:axId val="96230016"/>
      </c:barChart>
      <c:catAx>
        <c:axId val="96228096"/>
        <c:scaling>
          <c:orientation val="minMax"/>
        </c:scaling>
        <c:delete val="0"/>
        <c:axPos val="b"/>
        <c:title>
          <c:tx>
            <c:rich>
              <a:bodyPr/>
              <a:lstStyle/>
              <a:p>
                <a:pPr>
                  <a:defRPr b="0"/>
                </a:pPr>
                <a:r>
                  <a:rPr lang="en-US" b="0"/>
                  <a:t>Region</a:t>
                </a:r>
              </a:p>
            </c:rich>
          </c:tx>
          <c:layout>
            <c:manualLayout>
              <c:xMode val="edge"/>
              <c:yMode val="edge"/>
              <c:x val="0.51317707991008632"/>
              <c:y val="0.84222233296787263"/>
            </c:manualLayout>
          </c:layout>
          <c:overlay val="0"/>
        </c:title>
        <c:numFmt formatCode="General" sourceLinked="0"/>
        <c:majorTickMark val="out"/>
        <c:minorTickMark val="none"/>
        <c:tickLblPos val="nextTo"/>
        <c:txPr>
          <a:bodyPr rot="-5400000" vert="horz"/>
          <a:lstStyle/>
          <a:p>
            <a:pPr>
              <a:defRPr/>
            </a:pPr>
            <a:endParaRPr lang="en-US"/>
          </a:p>
        </c:txPr>
        <c:crossAx val="96230016"/>
        <c:crosses val="autoZero"/>
        <c:auto val="1"/>
        <c:lblAlgn val="ctr"/>
        <c:lblOffset val="100"/>
        <c:noMultiLvlLbl val="0"/>
      </c:catAx>
      <c:valAx>
        <c:axId val="96230016"/>
        <c:scaling>
          <c:orientation val="minMax"/>
        </c:scaling>
        <c:delete val="0"/>
        <c:axPos val="l"/>
        <c:title>
          <c:tx>
            <c:rich>
              <a:bodyPr rot="-5400000" vert="horz"/>
              <a:lstStyle/>
              <a:p>
                <a:pPr>
                  <a:defRPr b="0"/>
                </a:pPr>
                <a:r>
                  <a:rPr lang="en-US" b="0"/>
                  <a:t>Area (ha)</a:t>
                </a:r>
              </a:p>
            </c:rich>
          </c:tx>
          <c:layout>
            <c:manualLayout>
              <c:xMode val="edge"/>
              <c:yMode val="edge"/>
              <c:x val="1.7561300085641354E-2"/>
              <c:y val="0.23228520765755559"/>
            </c:manualLayout>
          </c:layout>
          <c:overlay val="0"/>
        </c:title>
        <c:numFmt formatCode="_(* #,##0_);_(* \(#,##0\);_(* &quot;-&quot;_);_(@_)" sourceLinked="1"/>
        <c:majorTickMark val="out"/>
        <c:minorTickMark val="none"/>
        <c:tickLblPos val="nextTo"/>
        <c:crossAx val="96228096"/>
        <c:crosses val="autoZero"/>
        <c:crossBetween val="between"/>
      </c:valAx>
    </c:plotArea>
    <c:legend>
      <c:legendPos val="b"/>
      <c:overlay val="0"/>
    </c:legend>
    <c:plotVisOnly val="1"/>
    <c:dispBlanksAs val="gap"/>
    <c:showDLblsOverMax val="0"/>
  </c:chart>
  <c:spPr>
    <a:ln w="9525"/>
  </c:spPr>
  <c:txPr>
    <a:bodyPr/>
    <a:lstStyle/>
    <a:p>
      <a:pPr>
        <a:defRPr sz="900">
          <a:latin typeface="Times New Roman" pitchFamily="18" charset="0"/>
          <a:cs typeface="Times New Roman" pitchFamily="18" charset="0"/>
        </a:defRPr>
      </a:pPr>
      <a:endParaRPr lang="en-US"/>
    </a:p>
  </c:tx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922444061246961"/>
          <c:y val="5.1400554097404488E-2"/>
          <c:w val="0.86022011925290343"/>
          <c:h val="0.67611059370266868"/>
        </c:manualLayout>
      </c:layout>
      <c:barChart>
        <c:barDir val="col"/>
        <c:grouping val="clustered"/>
        <c:varyColors val="0"/>
        <c:ser>
          <c:idx val="0"/>
          <c:order val="0"/>
          <c:tx>
            <c:strRef>
              <c:f>'Tables &amp; Figures_Roots'!$C$240</c:f>
              <c:strCache>
                <c:ptCount val="1"/>
                <c:pt idx="0">
                  <c:v>Planted Area (Ha)</c:v>
                </c:pt>
              </c:strCache>
            </c:strRef>
          </c:tx>
          <c:spPr>
            <a:solidFill>
              <a:srgbClr val="0070C0"/>
            </a:solidFill>
          </c:spPr>
          <c:invertIfNegative val="0"/>
          <c:cat>
            <c:strRef>
              <c:f>'Tables &amp; Figures_Roots'!$A$241:$A$245</c:f>
              <c:strCache>
                <c:ptCount val="5"/>
                <c:pt idx="0">
                  <c:v>Mjini Magharibi</c:v>
                </c:pt>
                <c:pt idx="1">
                  <c:v>Kaskazini Unguja</c:v>
                </c:pt>
                <c:pt idx="2">
                  <c:v>Kaskazini Pemba</c:v>
                </c:pt>
                <c:pt idx="3">
                  <c:v>Kusini Unguja</c:v>
                </c:pt>
                <c:pt idx="4">
                  <c:v>Kusini  Pemba</c:v>
                </c:pt>
              </c:strCache>
            </c:strRef>
          </c:cat>
          <c:val>
            <c:numRef>
              <c:f>'Tables &amp; Figures_Roots'!$C$241:$C$245</c:f>
              <c:numCache>
                <c:formatCode>_(* #,##0_);_(* \(#,##0\);_(* "-"_);_(@_)</c:formatCode>
                <c:ptCount val="5"/>
                <c:pt idx="0">
                  <c:v>2135.977337110482</c:v>
                </c:pt>
                <c:pt idx="1">
                  <c:v>2048.9680291380005</c:v>
                </c:pt>
                <c:pt idx="2">
                  <c:v>1808.1748280048557</c:v>
                </c:pt>
                <c:pt idx="3">
                  <c:v>752.7316875758803</c:v>
                </c:pt>
                <c:pt idx="4">
                  <c:v>398.62403885066766</c:v>
                </c:pt>
              </c:numCache>
            </c:numRef>
          </c:val>
          <c:extLst>
            <c:ext xmlns:c16="http://schemas.microsoft.com/office/drawing/2014/chart" uri="{C3380CC4-5D6E-409C-BE32-E72D297353CC}">
              <c16:uniqueId val="{00000000-D5EF-9F49-A189-8BE81E81E42A}"/>
            </c:ext>
          </c:extLst>
        </c:ser>
        <c:ser>
          <c:idx val="1"/>
          <c:order val="1"/>
          <c:tx>
            <c:strRef>
              <c:f>'Tables &amp; Figures_Roots'!$D$240</c:f>
              <c:strCache>
                <c:ptCount val="1"/>
                <c:pt idx="0">
                  <c:v>Harvested Area (Ha)</c:v>
                </c:pt>
              </c:strCache>
            </c:strRef>
          </c:tx>
          <c:spPr>
            <a:solidFill>
              <a:srgbClr val="FFFF00"/>
            </a:solidFill>
          </c:spPr>
          <c:invertIfNegative val="0"/>
          <c:cat>
            <c:strRef>
              <c:f>'Tables &amp; Figures_Roots'!$A$241:$A$245</c:f>
              <c:strCache>
                <c:ptCount val="5"/>
                <c:pt idx="0">
                  <c:v>Mjini Magharibi</c:v>
                </c:pt>
                <c:pt idx="1">
                  <c:v>Kaskazini Unguja</c:v>
                </c:pt>
                <c:pt idx="2">
                  <c:v>Kaskazini Pemba</c:v>
                </c:pt>
                <c:pt idx="3">
                  <c:v>Kusini Unguja</c:v>
                </c:pt>
                <c:pt idx="4">
                  <c:v>Kusini  Pemba</c:v>
                </c:pt>
              </c:strCache>
            </c:strRef>
          </c:cat>
          <c:val>
            <c:numRef>
              <c:f>'Tables &amp; Figures_Roots'!$D$241:$D$245</c:f>
              <c:numCache>
                <c:formatCode>_(* #,##0_);_(* \(#,##0\);_(* "-"_);_(@_)</c:formatCode>
                <c:ptCount val="5"/>
                <c:pt idx="0">
                  <c:v>1276.4063132335086</c:v>
                </c:pt>
                <c:pt idx="1">
                  <c:v>987.8591663294211</c:v>
                </c:pt>
                <c:pt idx="2">
                  <c:v>710.64346418454056</c:v>
                </c:pt>
                <c:pt idx="3">
                  <c:v>349.6560097126669</c:v>
                </c:pt>
                <c:pt idx="4">
                  <c:v>130.71630918656413</c:v>
                </c:pt>
              </c:numCache>
            </c:numRef>
          </c:val>
          <c:extLst>
            <c:ext xmlns:c16="http://schemas.microsoft.com/office/drawing/2014/chart" uri="{C3380CC4-5D6E-409C-BE32-E72D297353CC}">
              <c16:uniqueId val="{00000001-D5EF-9F49-A189-8BE81E81E42A}"/>
            </c:ext>
          </c:extLst>
        </c:ser>
        <c:dLbls>
          <c:showLegendKey val="0"/>
          <c:showVal val="0"/>
          <c:showCatName val="0"/>
          <c:showSerName val="0"/>
          <c:showPercent val="0"/>
          <c:showBubbleSize val="0"/>
        </c:dLbls>
        <c:gapWidth val="150"/>
        <c:axId val="96142464"/>
        <c:axId val="96144384"/>
      </c:barChart>
      <c:catAx>
        <c:axId val="96142464"/>
        <c:scaling>
          <c:orientation val="minMax"/>
        </c:scaling>
        <c:delete val="0"/>
        <c:axPos val="b"/>
        <c:title>
          <c:tx>
            <c:rich>
              <a:bodyPr/>
              <a:lstStyle/>
              <a:p>
                <a:pPr>
                  <a:defRPr/>
                </a:pPr>
                <a:r>
                  <a:rPr lang="en-US"/>
                  <a:t>Region</a:t>
                </a:r>
              </a:p>
            </c:rich>
          </c:tx>
          <c:layout>
            <c:manualLayout>
              <c:xMode val="edge"/>
              <c:yMode val="edge"/>
              <c:x val="0.51184431755755688"/>
              <c:y val="0.84545685202784926"/>
            </c:manualLayout>
          </c:layout>
          <c:overlay val="0"/>
        </c:title>
        <c:numFmt formatCode="General" sourceLinked="0"/>
        <c:majorTickMark val="out"/>
        <c:minorTickMark val="none"/>
        <c:tickLblPos val="nextTo"/>
        <c:crossAx val="96144384"/>
        <c:crosses val="autoZero"/>
        <c:auto val="1"/>
        <c:lblAlgn val="ctr"/>
        <c:lblOffset val="100"/>
        <c:noMultiLvlLbl val="0"/>
      </c:catAx>
      <c:valAx>
        <c:axId val="96144384"/>
        <c:scaling>
          <c:orientation val="minMax"/>
        </c:scaling>
        <c:delete val="0"/>
        <c:axPos val="l"/>
        <c:title>
          <c:tx>
            <c:rich>
              <a:bodyPr rot="-5400000" vert="horz"/>
              <a:lstStyle/>
              <a:p>
                <a:pPr>
                  <a:defRPr/>
                </a:pPr>
                <a:r>
                  <a:rPr lang="en-US"/>
                  <a:t>Area (ha)</a:t>
                </a:r>
              </a:p>
            </c:rich>
          </c:tx>
          <c:layout>
            <c:manualLayout>
              <c:xMode val="edge"/>
              <c:yMode val="edge"/>
              <c:x val="1.7128408091468775E-2"/>
              <c:y val="0.2646060626910986"/>
            </c:manualLayout>
          </c:layout>
          <c:overlay val="0"/>
        </c:title>
        <c:numFmt formatCode="_(* #,##0_);_(* \(#,##0\);_(* &quot;-&quot;_);_(@_)" sourceLinked="1"/>
        <c:majorTickMark val="out"/>
        <c:minorTickMark val="none"/>
        <c:tickLblPos val="nextTo"/>
        <c:crossAx val="96142464"/>
        <c:crosses val="autoZero"/>
        <c:crossBetween val="between"/>
      </c:valAx>
    </c:plotArea>
    <c:legend>
      <c:legendPos val="b"/>
      <c:layout>
        <c:manualLayout>
          <c:xMode val="edge"/>
          <c:yMode val="edge"/>
          <c:x val="0.31426250866299438"/>
          <c:y val="0.91932681680764783"/>
          <c:w val="0.37592568092669287"/>
          <c:h val="8.0673183192352185E-2"/>
        </c:manualLayout>
      </c:layout>
      <c:overlay val="0"/>
    </c:legend>
    <c:plotVisOnly val="1"/>
    <c:dispBlanksAs val="gap"/>
    <c:showDLblsOverMax val="0"/>
  </c:chart>
  <c:spPr>
    <a:ln w="9525"/>
  </c:spPr>
  <c:txPr>
    <a:bodyPr/>
    <a:lstStyle/>
    <a:p>
      <a:pPr>
        <a:defRPr sz="800" b="0">
          <a:solidFill>
            <a:schemeClr val="tx1"/>
          </a:solidFill>
          <a:latin typeface="Times New Roman" pitchFamily="18" charset="0"/>
          <a:cs typeface="Times New Roman" pitchFamily="18" charset="0"/>
        </a:defRPr>
      </a:pPr>
      <a:endParaRPr lang="en-US"/>
    </a:p>
  </c:txPr>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824697170585634"/>
          <c:y val="6.0649791657398783E-2"/>
          <c:w val="0.75959466406905329"/>
          <c:h val="0.51109711286089254"/>
        </c:manualLayout>
      </c:layout>
      <c:barChart>
        <c:barDir val="col"/>
        <c:grouping val="clustered"/>
        <c:varyColors val="0"/>
        <c:ser>
          <c:idx val="0"/>
          <c:order val="0"/>
          <c:tx>
            <c:strRef>
              <c:f>'Tables &amp; Figures_Roots'!$E$64</c:f>
              <c:strCache>
                <c:ptCount val="1"/>
                <c:pt idx="0">
                  <c:v>Quantity Harvested (Tons)</c:v>
                </c:pt>
              </c:strCache>
            </c:strRef>
          </c:tx>
          <c:spPr>
            <a:solidFill>
              <a:srgbClr val="0070C0"/>
            </a:solidFill>
          </c:spPr>
          <c:invertIfNegative val="0"/>
          <c:cat>
            <c:strRef>
              <c:f>'Tables &amp; Figures_Roots'!$A$65:$A$90</c:f>
              <c:strCache>
                <c:ptCount val="26"/>
                <c:pt idx="0">
                  <c:v>Mwanza</c:v>
                </c:pt>
                <c:pt idx="1">
                  <c:v>Tabora</c:v>
                </c:pt>
                <c:pt idx="2">
                  <c:v>Simiyu</c:v>
                </c:pt>
                <c:pt idx="3">
                  <c:v>Geita</c:v>
                </c:pt>
                <c:pt idx="4">
                  <c:v>Shinyanga</c:v>
                </c:pt>
                <c:pt idx="5">
                  <c:v>Kagera</c:v>
                </c:pt>
                <c:pt idx="6">
                  <c:v>Singida</c:v>
                </c:pt>
                <c:pt idx="7">
                  <c:v>Mara</c:v>
                </c:pt>
                <c:pt idx="8">
                  <c:v>Dodoma</c:v>
                </c:pt>
                <c:pt idx="9">
                  <c:v>Mbeya</c:v>
                </c:pt>
                <c:pt idx="10">
                  <c:v>Morogoro</c:v>
                </c:pt>
                <c:pt idx="11">
                  <c:v>Ruvuma</c:v>
                </c:pt>
                <c:pt idx="12">
                  <c:v>Pwani</c:v>
                </c:pt>
                <c:pt idx="13">
                  <c:v>Rukwa</c:v>
                </c:pt>
                <c:pt idx="14">
                  <c:v>Katavi</c:v>
                </c:pt>
                <c:pt idx="15">
                  <c:v>Iringa</c:v>
                </c:pt>
                <c:pt idx="16">
                  <c:v>Lindi</c:v>
                </c:pt>
                <c:pt idx="17">
                  <c:v>Kigoma</c:v>
                </c:pt>
                <c:pt idx="18">
                  <c:v>Tanga</c:v>
                </c:pt>
                <c:pt idx="19">
                  <c:v>Songwe</c:v>
                </c:pt>
                <c:pt idx="20">
                  <c:v>Manyara</c:v>
                </c:pt>
                <c:pt idx="21">
                  <c:v>Kilimanjaro</c:v>
                </c:pt>
                <c:pt idx="22">
                  <c:v>Mtwara</c:v>
                </c:pt>
                <c:pt idx="23">
                  <c:v>Njombe</c:v>
                </c:pt>
                <c:pt idx="24">
                  <c:v>Dar Es Salaam</c:v>
                </c:pt>
                <c:pt idx="25">
                  <c:v>Arusha</c:v>
                </c:pt>
              </c:strCache>
            </c:strRef>
          </c:cat>
          <c:val>
            <c:numRef>
              <c:f>'Tables &amp; Figures_Roots'!$E$65:$E$90</c:f>
              <c:numCache>
                <c:formatCode>_(* #,##0_);_(* \(#,##0\);_(* "-"_);_(@_)</c:formatCode>
                <c:ptCount val="26"/>
                <c:pt idx="0">
                  <c:v>94707.471999999994</c:v>
                </c:pt>
                <c:pt idx="1">
                  <c:v>75012.965999999986</c:v>
                </c:pt>
                <c:pt idx="2">
                  <c:v>73885.974000000002</c:v>
                </c:pt>
                <c:pt idx="3">
                  <c:v>66582.43299999999</c:v>
                </c:pt>
                <c:pt idx="4">
                  <c:v>49680.793999999994</c:v>
                </c:pt>
                <c:pt idx="5">
                  <c:v>23500.459000000003</c:v>
                </c:pt>
                <c:pt idx="6">
                  <c:v>14311.124000000002</c:v>
                </c:pt>
                <c:pt idx="7">
                  <c:v>12022.085999999996</c:v>
                </c:pt>
                <c:pt idx="8">
                  <c:v>9031.4120000000003</c:v>
                </c:pt>
                <c:pt idx="9">
                  <c:v>6738.9010000000007</c:v>
                </c:pt>
                <c:pt idx="10">
                  <c:v>6176.2280000000001</c:v>
                </c:pt>
                <c:pt idx="11">
                  <c:v>5473.5210000000015</c:v>
                </c:pt>
                <c:pt idx="12">
                  <c:v>5291.4450000000006</c:v>
                </c:pt>
                <c:pt idx="13">
                  <c:v>5196.3680000000004</c:v>
                </c:pt>
                <c:pt idx="14">
                  <c:v>4344.121000000001</c:v>
                </c:pt>
                <c:pt idx="15">
                  <c:v>3061.4520000000002</c:v>
                </c:pt>
                <c:pt idx="16">
                  <c:v>2867.547</c:v>
                </c:pt>
                <c:pt idx="17">
                  <c:v>2727.5550000000007</c:v>
                </c:pt>
                <c:pt idx="18">
                  <c:v>2179.5879999999997</c:v>
                </c:pt>
                <c:pt idx="19">
                  <c:v>755.76099999999997</c:v>
                </c:pt>
                <c:pt idx="20">
                  <c:v>720.02600000000007</c:v>
                </c:pt>
                <c:pt idx="21">
                  <c:v>556.64</c:v>
                </c:pt>
                <c:pt idx="22">
                  <c:v>546.90199999999993</c:v>
                </c:pt>
                <c:pt idx="23">
                  <c:v>375.43499999999995</c:v>
                </c:pt>
                <c:pt idx="24">
                  <c:v>355.13400000000001</c:v>
                </c:pt>
                <c:pt idx="25">
                  <c:v>20.99</c:v>
                </c:pt>
              </c:numCache>
            </c:numRef>
          </c:val>
          <c:extLst>
            <c:ext xmlns:c16="http://schemas.microsoft.com/office/drawing/2014/chart" uri="{C3380CC4-5D6E-409C-BE32-E72D297353CC}">
              <c16:uniqueId val="{00000000-FD83-1C47-A56D-2BD922080A1B}"/>
            </c:ext>
          </c:extLst>
        </c:ser>
        <c:dLbls>
          <c:showLegendKey val="0"/>
          <c:showVal val="0"/>
          <c:showCatName val="0"/>
          <c:showSerName val="0"/>
          <c:showPercent val="0"/>
          <c:showBubbleSize val="0"/>
        </c:dLbls>
        <c:gapWidth val="50"/>
        <c:axId val="96197248"/>
        <c:axId val="96281344"/>
      </c:barChart>
      <c:scatterChart>
        <c:scatterStyle val="lineMarker"/>
        <c:varyColors val="0"/>
        <c:ser>
          <c:idx val="1"/>
          <c:order val="1"/>
          <c:tx>
            <c:strRef>
              <c:f>'Tables &amp; Figures_Roots'!$F$64</c:f>
              <c:strCache>
                <c:ptCount val="1"/>
                <c:pt idx="0">
                  <c:v>Yield (Tons/Ha)</c:v>
                </c:pt>
              </c:strCache>
            </c:strRef>
          </c:tx>
          <c:spPr>
            <a:ln w="28575">
              <a:noFill/>
            </a:ln>
          </c:spPr>
          <c:marker>
            <c:symbol val="circle"/>
            <c:size val="5"/>
          </c:marker>
          <c:xVal>
            <c:strRef>
              <c:f>'Tables &amp; Figures_Roots'!$A$65:$A$90</c:f>
              <c:strCache>
                <c:ptCount val="26"/>
                <c:pt idx="0">
                  <c:v>Mwanza</c:v>
                </c:pt>
                <c:pt idx="1">
                  <c:v>Tabora</c:v>
                </c:pt>
                <c:pt idx="2">
                  <c:v>Simiyu</c:v>
                </c:pt>
                <c:pt idx="3">
                  <c:v>Geita</c:v>
                </c:pt>
                <c:pt idx="4">
                  <c:v>Shinyanga</c:v>
                </c:pt>
                <c:pt idx="5">
                  <c:v>Kagera</c:v>
                </c:pt>
                <c:pt idx="6">
                  <c:v>Singida</c:v>
                </c:pt>
                <c:pt idx="7">
                  <c:v>Mara</c:v>
                </c:pt>
                <c:pt idx="8">
                  <c:v>Dodoma</c:v>
                </c:pt>
                <c:pt idx="9">
                  <c:v>Mbeya</c:v>
                </c:pt>
                <c:pt idx="10">
                  <c:v>Morogoro</c:v>
                </c:pt>
                <c:pt idx="11">
                  <c:v>Ruvuma</c:v>
                </c:pt>
                <c:pt idx="12">
                  <c:v>Pwani</c:v>
                </c:pt>
                <c:pt idx="13">
                  <c:v>Rukwa</c:v>
                </c:pt>
                <c:pt idx="14">
                  <c:v>Katavi</c:v>
                </c:pt>
                <c:pt idx="15">
                  <c:v>Iringa</c:v>
                </c:pt>
                <c:pt idx="16">
                  <c:v>Lindi</c:v>
                </c:pt>
                <c:pt idx="17">
                  <c:v>Kigoma</c:v>
                </c:pt>
                <c:pt idx="18">
                  <c:v>Tanga</c:v>
                </c:pt>
                <c:pt idx="19">
                  <c:v>Songwe</c:v>
                </c:pt>
                <c:pt idx="20">
                  <c:v>Manyara</c:v>
                </c:pt>
                <c:pt idx="21">
                  <c:v>Kilimanjaro</c:v>
                </c:pt>
                <c:pt idx="22">
                  <c:v>Mtwara</c:v>
                </c:pt>
                <c:pt idx="23">
                  <c:v>Njombe</c:v>
                </c:pt>
                <c:pt idx="24">
                  <c:v>Dar Es Salaam</c:v>
                </c:pt>
                <c:pt idx="25">
                  <c:v>Arusha</c:v>
                </c:pt>
              </c:strCache>
            </c:strRef>
          </c:xVal>
          <c:yVal>
            <c:numRef>
              <c:f>'Tables &amp; Figures_Roots'!$F$65:$F$90</c:f>
              <c:numCache>
                <c:formatCode>_(* #,##0.0_);_(* \(#,##0.0\);_(* "-"_);_(@_)</c:formatCode>
                <c:ptCount val="26"/>
                <c:pt idx="0">
                  <c:v>1.9338756760651836</c:v>
                </c:pt>
                <c:pt idx="1">
                  <c:v>1.9963492911640532</c:v>
                </c:pt>
                <c:pt idx="2">
                  <c:v>2.986818076661323</c:v>
                </c:pt>
                <c:pt idx="3">
                  <c:v>1.7425747173966004</c:v>
                </c:pt>
                <c:pt idx="4">
                  <c:v>1.5502114152544508</c:v>
                </c:pt>
                <c:pt idx="5">
                  <c:v>2.1703406409403505</c:v>
                </c:pt>
                <c:pt idx="6">
                  <c:v>1.7253506734972677</c:v>
                </c:pt>
                <c:pt idx="7">
                  <c:v>2.0759311324947589</c:v>
                </c:pt>
                <c:pt idx="8">
                  <c:v>1.7291662057957538</c:v>
                </c:pt>
                <c:pt idx="9">
                  <c:v>3.0882463596068246</c:v>
                </c:pt>
                <c:pt idx="10">
                  <c:v>1.4373195882463738</c:v>
                </c:pt>
                <c:pt idx="11">
                  <c:v>3.475988278334619</c:v>
                </c:pt>
                <c:pt idx="12">
                  <c:v>4.2743251372997717</c:v>
                </c:pt>
                <c:pt idx="13">
                  <c:v>2.7471598904578527</c:v>
                </c:pt>
                <c:pt idx="14">
                  <c:v>2.1260295090116852</c:v>
                </c:pt>
                <c:pt idx="15">
                  <c:v>4.5489163511725783</c:v>
                </c:pt>
                <c:pt idx="16">
                  <c:v>3.1200830634081904</c:v>
                </c:pt>
                <c:pt idx="17">
                  <c:v>1.7049806235770304</c:v>
                </c:pt>
                <c:pt idx="18">
                  <c:v>3.0342320833802821</c:v>
                </c:pt>
                <c:pt idx="19">
                  <c:v>0.93702229352734567</c:v>
                </c:pt>
                <c:pt idx="20">
                  <c:v>1.8867277264050908</c:v>
                </c:pt>
                <c:pt idx="21">
                  <c:v>2.6812035867446395</c:v>
                </c:pt>
                <c:pt idx="22">
                  <c:v>1.4391851352502665</c:v>
                </c:pt>
                <c:pt idx="23">
                  <c:v>2.4672869281914895</c:v>
                </c:pt>
                <c:pt idx="24">
                  <c:v>0.78142129474621547</c:v>
                </c:pt>
                <c:pt idx="25">
                  <c:v>1.9948573076923077</c:v>
                </c:pt>
              </c:numCache>
            </c:numRef>
          </c:yVal>
          <c:smooth val="0"/>
          <c:extLst>
            <c:ext xmlns:c16="http://schemas.microsoft.com/office/drawing/2014/chart" uri="{C3380CC4-5D6E-409C-BE32-E72D297353CC}">
              <c16:uniqueId val="{00000001-FD83-1C47-A56D-2BD922080A1B}"/>
            </c:ext>
          </c:extLst>
        </c:ser>
        <c:dLbls>
          <c:showLegendKey val="0"/>
          <c:showVal val="0"/>
          <c:showCatName val="0"/>
          <c:showSerName val="0"/>
          <c:showPercent val="0"/>
          <c:showBubbleSize val="0"/>
        </c:dLbls>
        <c:axId val="96285440"/>
        <c:axId val="96283264"/>
      </c:scatterChart>
      <c:catAx>
        <c:axId val="96197248"/>
        <c:scaling>
          <c:orientation val="minMax"/>
        </c:scaling>
        <c:delete val="0"/>
        <c:axPos val="b"/>
        <c:title>
          <c:tx>
            <c:rich>
              <a:bodyPr/>
              <a:lstStyle/>
              <a:p>
                <a:pPr>
                  <a:defRPr/>
                </a:pPr>
                <a:r>
                  <a:rPr lang="en-US"/>
                  <a:t>Region</a:t>
                </a:r>
              </a:p>
            </c:rich>
          </c:tx>
          <c:layout>
            <c:manualLayout>
              <c:xMode val="edge"/>
              <c:yMode val="edge"/>
              <c:x val="0.47991959829823783"/>
              <c:y val="0.76930925068906775"/>
            </c:manualLayout>
          </c:layout>
          <c:overlay val="0"/>
        </c:title>
        <c:numFmt formatCode="General" sourceLinked="0"/>
        <c:majorTickMark val="out"/>
        <c:minorTickMark val="none"/>
        <c:tickLblPos val="nextTo"/>
        <c:txPr>
          <a:bodyPr rot="-5400000" vert="horz"/>
          <a:lstStyle/>
          <a:p>
            <a:pPr>
              <a:defRPr/>
            </a:pPr>
            <a:endParaRPr lang="en-US"/>
          </a:p>
        </c:txPr>
        <c:crossAx val="96281344"/>
        <c:crosses val="autoZero"/>
        <c:auto val="1"/>
        <c:lblAlgn val="ctr"/>
        <c:lblOffset val="100"/>
        <c:noMultiLvlLbl val="0"/>
      </c:catAx>
      <c:valAx>
        <c:axId val="96281344"/>
        <c:scaling>
          <c:orientation val="minMax"/>
        </c:scaling>
        <c:delete val="0"/>
        <c:axPos val="l"/>
        <c:title>
          <c:tx>
            <c:rich>
              <a:bodyPr rot="-5400000" vert="horz"/>
              <a:lstStyle/>
              <a:p>
                <a:pPr>
                  <a:defRPr/>
                </a:pPr>
                <a:r>
                  <a:rPr lang="en-US"/>
                  <a:t>Production (tons)</a:t>
                </a:r>
              </a:p>
            </c:rich>
          </c:tx>
          <c:layout>
            <c:manualLayout>
              <c:xMode val="edge"/>
              <c:yMode val="edge"/>
              <c:x val="2.4652607945064763E-2"/>
              <c:y val="0.17287542245821716"/>
            </c:manualLayout>
          </c:layout>
          <c:overlay val="0"/>
        </c:title>
        <c:numFmt formatCode="_(* #,##0_);_(* \(#,##0\);_(* &quot;-&quot;_);_(@_)" sourceLinked="1"/>
        <c:majorTickMark val="out"/>
        <c:minorTickMark val="none"/>
        <c:tickLblPos val="nextTo"/>
        <c:crossAx val="96197248"/>
        <c:crosses val="autoZero"/>
        <c:crossBetween val="between"/>
        <c:majorUnit val="20000"/>
        <c:minorUnit val="10000"/>
      </c:valAx>
      <c:valAx>
        <c:axId val="96283264"/>
        <c:scaling>
          <c:orientation val="minMax"/>
        </c:scaling>
        <c:delete val="0"/>
        <c:axPos val="r"/>
        <c:title>
          <c:tx>
            <c:rich>
              <a:bodyPr rot="-5400000" vert="horz"/>
              <a:lstStyle/>
              <a:p>
                <a:pPr>
                  <a:defRPr/>
                </a:pPr>
                <a:r>
                  <a:rPr lang="en-US"/>
                  <a:t>Yield (tons/ha)</a:t>
                </a:r>
              </a:p>
            </c:rich>
          </c:tx>
          <c:layout>
            <c:manualLayout>
              <c:xMode val="edge"/>
              <c:yMode val="edge"/>
              <c:x val="0.95798010802600109"/>
              <c:y val="0.17491853545443861"/>
            </c:manualLayout>
          </c:layout>
          <c:overlay val="0"/>
        </c:title>
        <c:numFmt formatCode="_(* #,##0.0_);_(* \(#,##0.0\);_(* &quot;-&quot;_);_(@_)" sourceLinked="1"/>
        <c:majorTickMark val="out"/>
        <c:minorTickMark val="none"/>
        <c:tickLblPos val="nextTo"/>
        <c:crossAx val="96285440"/>
        <c:crosses val="max"/>
        <c:crossBetween val="midCat"/>
      </c:valAx>
      <c:valAx>
        <c:axId val="96285440"/>
        <c:scaling>
          <c:orientation val="minMax"/>
        </c:scaling>
        <c:delete val="1"/>
        <c:axPos val="b"/>
        <c:majorTickMark val="out"/>
        <c:minorTickMark val="none"/>
        <c:tickLblPos val="none"/>
        <c:crossAx val="96283264"/>
        <c:crosses val="autoZero"/>
        <c:crossBetween val="midCat"/>
      </c:valAx>
    </c:plotArea>
    <c:legend>
      <c:legendPos val="b"/>
      <c:layout>
        <c:manualLayout>
          <c:xMode val="edge"/>
          <c:yMode val="edge"/>
          <c:x val="0.29954933806632034"/>
          <c:y val="0.87107121707279611"/>
          <c:w val="0.40090115345256122"/>
          <c:h val="6.8575950986628068E-2"/>
        </c:manualLayout>
      </c:layout>
      <c:overlay val="0"/>
    </c:legend>
    <c:plotVisOnly val="1"/>
    <c:dispBlanksAs val="gap"/>
    <c:showDLblsOverMax val="0"/>
  </c:chart>
  <c:spPr>
    <a:ln w="9525"/>
  </c:spPr>
  <c:txPr>
    <a:bodyPr/>
    <a:lstStyle/>
    <a:p>
      <a:pPr>
        <a:defRPr sz="800" b="0">
          <a:latin typeface="Times New Roman" pitchFamily="18" charset="0"/>
          <a:cs typeface="Times New Roman" pitchFamily="18" charset="0"/>
        </a:defRPr>
      </a:pPr>
      <a:endParaRPr lang="en-US"/>
    </a:p>
  </c:tx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326071741032375"/>
          <c:y val="9.3067220764071173E-2"/>
          <c:w val="0.74890393700787417"/>
          <c:h val="0.54581032355849779"/>
        </c:manualLayout>
      </c:layout>
      <c:barChart>
        <c:barDir val="col"/>
        <c:grouping val="clustered"/>
        <c:varyColors val="0"/>
        <c:ser>
          <c:idx val="0"/>
          <c:order val="0"/>
          <c:tx>
            <c:strRef>
              <c:f>'Tables &amp; Figures_Roots'!$E$102</c:f>
              <c:strCache>
                <c:ptCount val="1"/>
                <c:pt idx="0">
                  <c:v>Quantity Harvested (Tons)</c:v>
                </c:pt>
              </c:strCache>
            </c:strRef>
          </c:tx>
          <c:spPr>
            <a:solidFill>
              <a:srgbClr val="0070C0"/>
            </a:solidFill>
          </c:spPr>
          <c:invertIfNegative val="0"/>
          <c:cat>
            <c:strRef>
              <c:f>'Tables &amp; Figures_Roots'!$A$103:$A$107</c:f>
              <c:strCache>
                <c:ptCount val="5"/>
                <c:pt idx="0">
                  <c:v>Mjini Magharibi</c:v>
                </c:pt>
                <c:pt idx="1">
                  <c:v>Kaskazini Unguja</c:v>
                </c:pt>
                <c:pt idx="2">
                  <c:v>Kaskazini Pemba</c:v>
                </c:pt>
                <c:pt idx="3">
                  <c:v>Kusini Unguja</c:v>
                </c:pt>
                <c:pt idx="4">
                  <c:v>Kusini  Pemba</c:v>
                </c:pt>
              </c:strCache>
            </c:strRef>
          </c:cat>
          <c:val>
            <c:numRef>
              <c:f>'Tables &amp; Figures_Roots'!$E$103:$E$107</c:f>
              <c:numCache>
                <c:formatCode>_(* #,##0_);_(* \(#,##0\);_(* "-"_);_(@_)</c:formatCode>
                <c:ptCount val="5"/>
                <c:pt idx="0">
                  <c:v>14531.126</c:v>
                </c:pt>
                <c:pt idx="1">
                  <c:v>10481.451999999996</c:v>
                </c:pt>
                <c:pt idx="2">
                  <c:v>8246.5360000000001</c:v>
                </c:pt>
                <c:pt idx="3">
                  <c:v>3519.982</c:v>
                </c:pt>
                <c:pt idx="4">
                  <c:v>1400.904</c:v>
                </c:pt>
              </c:numCache>
            </c:numRef>
          </c:val>
          <c:extLst>
            <c:ext xmlns:c16="http://schemas.microsoft.com/office/drawing/2014/chart" uri="{C3380CC4-5D6E-409C-BE32-E72D297353CC}">
              <c16:uniqueId val="{00000000-811E-A44D-A66E-B332666084D5}"/>
            </c:ext>
          </c:extLst>
        </c:ser>
        <c:dLbls>
          <c:showLegendKey val="0"/>
          <c:showVal val="0"/>
          <c:showCatName val="0"/>
          <c:showSerName val="0"/>
          <c:showPercent val="0"/>
          <c:showBubbleSize val="0"/>
        </c:dLbls>
        <c:gapWidth val="150"/>
        <c:axId val="96329728"/>
        <c:axId val="96331648"/>
      </c:barChart>
      <c:scatterChart>
        <c:scatterStyle val="lineMarker"/>
        <c:varyColors val="0"/>
        <c:ser>
          <c:idx val="1"/>
          <c:order val="1"/>
          <c:tx>
            <c:strRef>
              <c:f>'Tables &amp; Figures_Roots'!$F$102</c:f>
              <c:strCache>
                <c:ptCount val="1"/>
                <c:pt idx="0">
                  <c:v>Yield (Tons/Ha)</c:v>
                </c:pt>
              </c:strCache>
            </c:strRef>
          </c:tx>
          <c:spPr>
            <a:ln w="28575">
              <a:noFill/>
            </a:ln>
          </c:spPr>
          <c:marker>
            <c:symbol val="circle"/>
            <c:size val="5"/>
          </c:marker>
          <c:xVal>
            <c:strRef>
              <c:f>'Tables &amp; Figures_Roots'!$A$103:$A$107</c:f>
              <c:strCache>
                <c:ptCount val="5"/>
                <c:pt idx="0">
                  <c:v>Mjini Magharibi</c:v>
                </c:pt>
                <c:pt idx="1">
                  <c:v>Kaskazini Unguja</c:v>
                </c:pt>
                <c:pt idx="2">
                  <c:v>Kaskazini Pemba</c:v>
                </c:pt>
                <c:pt idx="3">
                  <c:v>Kusini Unguja</c:v>
                </c:pt>
                <c:pt idx="4">
                  <c:v>Kusini  Pemba</c:v>
                </c:pt>
              </c:strCache>
            </c:strRef>
          </c:xVal>
          <c:yVal>
            <c:numRef>
              <c:f>'Tables &amp; Figures_Roots'!$F$103:$F$107</c:f>
              <c:numCache>
                <c:formatCode>_(* #,##0.0_);_(* \(#,##0.0\);_(* "-"_);_(@_)</c:formatCode>
                <c:ptCount val="5"/>
                <c:pt idx="0">
                  <c:v>11.384404675332915</c:v>
                </c:pt>
                <c:pt idx="1">
                  <c:v>10.610269517410897</c:v>
                </c:pt>
                <c:pt idx="2">
                  <c:v>11.604322583143507</c:v>
                </c:pt>
                <c:pt idx="3">
                  <c:v>10.066985557870373</c:v>
                </c:pt>
                <c:pt idx="4">
                  <c:v>10.717132458204336</c:v>
                </c:pt>
              </c:numCache>
            </c:numRef>
          </c:yVal>
          <c:smooth val="0"/>
          <c:extLst>
            <c:ext xmlns:c16="http://schemas.microsoft.com/office/drawing/2014/chart" uri="{C3380CC4-5D6E-409C-BE32-E72D297353CC}">
              <c16:uniqueId val="{00000001-811E-A44D-A66E-B332666084D5}"/>
            </c:ext>
          </c:extLst>
        </c:ser>
        <c:dLbls>
          <c:showLegendKey val="0"/>
          <c:showVal val="0"/>
          <c:showCatName val="0"/>
          <c:showSerName val="0"/>
          <c:showPercent val="0"/>
          <c:showBubbleSize val="0"/>
        </c:dLbls>
        <c:axId val="96348032"/>
        <c:axId val="96346112"/>
      </c:scatterChart>
      <c:catAx>
        <c:axId val="96329728"/>
        <c:scaling>
          <c:orientation val="minMax"/>
        </c:scaling>
        <c:delete val="0"/>
        <c:axPos val="b"/>
        <c:title>
          <c:tx>
            <c:rich>
              <a:bodyPr/>
              <a:lstStyle/>
              <a:p>
                <a:pPr>
                  <a:defRPr/>
                </a:pPr>
                <a:r>
                  <a:rPr lang="en-US"/>
                  <a:t>Region</a:t>
                </a:r>
              </a:p>
            </c:rich>
          </c:tx>
          <c:layout>
            <c:manualLayout>
              <c:xMode val="edge"/>
              <c:yMode val="edge"/>
              <c:x val="0.46598605616196503"/>
              <c:y val="0.75862964259376942"/>
            </c:manualLayout>
          </c:layout>
          <c:overlay val="0"/>
        </c:title>
        <c:numFmt formatCode="General" sourceLinked="0"/>
        <c:majorTickMark val="out"/>
        <c:minorTickMark val="none"/>
        <c:tickLblPos val="nextTo"/>
        <c:crossAx val="96331648"/>
        <c:crosses val="autoZero"/>
        <c:auto val="1"/>
        <c:lblAlgn val="ctr"/>
        <c:lblOffset val="100"/>
        <c:noMultiLvlLbl val="0"/>
      </c:catAx>
      <c:valAx>
        <c:axId val="96331648"/>
        <c:scaling>
          <c:orientation val="minMax"/>
        </c:scaling>
        <c:delete val="0"/>
        <c:axPos val="l"/>
        <c:title>
          <c:tx>
            <c:rich>
              <a:bodyPr rot="-5400000" vert="horz"/>
              <a:lstStyle/>
              <a:p>
                <a:pPr>
                  <a:defRPr/>
                </a:pPr>
                <a:r>
                  <a:rPr lang="en-US"/>
                  <a:t>Production (tons)</a:t>
                </a:r>
              </a:p>
            </c:rich>
          </c:tx>
          <c:layout>
            <c:manualLayout>
              <c:xMode val="edge"/>
              <c:yMode val="edge"/>
              <c:x val="2.2145186025232931E-2"/>
              <c:y val="0.21013155077669671"/>
            </c:manualLayout>
          </c:layout>
          <c:overlay val="0"/>
        </c:title>
        <c:numFmt formatCode="_(* #,##0_);_(* \(#,##0\);_(* &quot;-&quot;_);_(@_)" sourceLinked="1"/>
        <c:majorTickMark val="out"/>
        <c:minorTickMark val="none"/>
        <c:tickLblPos val="nextTo"/>
        <c:crossAx val="96329728"/>
        <c:crosses val="autoZero"/>
        <c:crossBetween val="between"/>
      </c:valAx>
      <c:valAx>
        <c:axId val="96346112"/>
        <c:scaling>
          <c:orientation val="minMax"/>
        </c:scaling>
        <c:delete val="0"/>
        <c:axPos val="r"/>
        <c:title>
          <c:tx>
            <c:rich>
              <a:bodyPr rot="-5400000" vert="horz"/>
              <a:lstStyle/>
              <a:p>
                <a:pPr>
                  <a:defRPr/>
                </a:pPr>
                <a:r>
                  <a:rPr lang="en-US"/>
                  <a:t>Yield (tons/ha)</a:t>
                </a:r>
              </a:p>
            </c:rich>
          </c:tx>
          <c:layout>
            <c:manualLayout>
              <c:xMode val="edge"/>
              <c:yMode val="edge"/>
              <c:x val="0.95497130358705162"/>
              <c:y val="0.22632618839311752"/>
            </c:manualLayout>
          </c:layout>
          <c:overlay val="0"/>
        </c:title>
        <c:numFmt formatCode="_(* #,##0.0_);_(* \(#,##0.0\);_(* &quot;-&quot;_);_(@_)" sourceLinked="1"/>
        <c:majorTickMark val="out"/>
        <c:minorTickMark val="none"/>
        <c:tickLblPos val="nextTo"/>
        <c:crossAx val="96348032"/>
        <c:crosses val="max"/>
        <c:crossBetween val="midCat"/>
      </c:valAx>
      <c:valAx>
        <c:axId val="96348032"/>
        <c:scaling>
          <c:orientation val="minMax"/>
        </c:scaling>
        <c:delete val="1"/>
        <c:axPos val="b"/>
        <c:majorTickMark val="out"/>
        <c:minorTickMark val="none"/>
        <c:tickLblPos val="none"/>
        <c:crossAx val="96346112"/>
        <c:crosses val="autoZero"/>
        <c:crossBetween val="midCat"/>
      </c:valAx>
    </c:plotArea>
    <c:legend>
      <c:legendPos val="b"/>
      <c:layout>
        <c:manualLayout>
          <c:xMode val="edge"/>
          <c:yMode val="edge"/>
          <c:x val="0.2978871176291179"/>
          <c:y val="0.84129797219456326"/>
          <c:w val="0.40422559291381538"/>
          <c:h val="6.3751660951746586E-2"/>
        </c:manualLayout>
      </c:layout>
      <c:overlay val="0"/>
    </c:legend>
    <c:plotVisOnly val="1"/>
    <c:dispBlanksAs val="gap"/>
    <c:showDLblsOverMax val="0"/>
  </c:chart>
  <c:spPr>
    <a:ln w="9525"/>
  </c:spPr>
  <c:txPr>
    <a:bodyPr/>
    <a:lstStyle/>
    <a:p>
      <a:pPr>
        <a:defRPr sz="800" b="0">
          <a:solidFill>
            <a:schemeClr val="tx1"/>
          </a:solidFill>
          <a:latin typeface="Times New Roman" pitchFamily="18" charset="0"/>
          <a:cs typeface="Times New Roman" pitchFamily="18" charset="0"/>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24842173900157"/>
          <c:y val="5.0925925925925923E-2"/>
          <c:w val="0.80979934597259406"/>
          <c:h val="0.66323710443635564"/>
        </c:manualLayout>
      </c:layout>
      <c:barChart>
        <c:barDir val="col"/>
        <c:grouping val="clustered"/>
        <c:varyColors val="0"/>
        <c:ser>
          <c:idx val="0"/>
          <c:order val="0"/>
          <c:tx>
            <c:strRef>
              <c:f>Sheet3!$D$8</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Sheet3!$E$7:$F$7</c:f>
              <c:strCache>
                <c:ptCount val="2"/>
                <c:pt idx="0">
                  <c:v>2007/08</c:v>
                </c:pt>
                <c:pt idx="1">
                  <c:v>2019/20</c:v>
                </c:pt>
              </c:strCache>
            </c:strRef>
          </c:cat>
          <c:val>
            <c:numRef>
              <c:f>Sheet3!$E$8:$F$8</c:f>
              <c:numCache>
                <c:formatCode>0.0</c:formatCode>
                <c:ptCount val="2"/>
                <c:pt idx="0">
                  <c:v>31</c:v>
                </c:pt>
                <c:pt idx="1">
                  <c:v>41</c:v>
                </c:pt>
              </c:numCache>
            </c:numRef>
          </c:val>
          <c:extLst>
            <c:ext xmlns:c16="http://schemas.microsoft.com/office/drawing/2014/chart" uri="{C3380CC4-5D6E-409C-BE32-E72D297353CC}">
              <c16:uniqueId val="{00000000-FCD6-2C40-BB94-19EE768C0F56}"/>
            </c:ext>
          </c:extLst>
        </c:ser>
        <c:ser>
          <c:idx val="1"/>
          <c:order val="1"/>
          <c:tx>
            <c:strRef>
              <c:f>Sheet3!$D$9</c:f>
              <c:strCache>
                <c:ptCount val="1"/>
                <c:pt idx="0">
                  <c:v>Male</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Sheet3!$E$7:$F$7</c:f>
              <c:strCache>
                <c:ptCount val="2"/>
                <c:pt idx="0">
                  <c:v>2007/08</c:v>
                </c:pt>
                <c:pt idx="1">
                  <c:v>2019/20</c:v>
                </c:pt>
              </c:strCache>
            </c:strRef>
          </c:cat>
          <c:val>
            <c:numRef>
              <c:f>Sheet3!$E$9:$F$9</c:f>
              <c:numCache>
                <c:formatCode>General</c:formatCode>
                <c:ptCount val="2"/>
                <c:pt idx="0">
                  <c:v>15.5</c:v>
                </c:pt>
                <c:pt idx="1">
                  <c:v>20.399999999999999</c:v>
                </c:pt>
              </c:numCache>
            </c:numRef>
          </c:val>
          <c:extLst>
            <c:ext xmlns:c16="http://schemas.microsoft.com/office/drawing/2014/chart" uri="{C3380CC4-5D6E-409C-BE32-E72D297353CC}">
              <c16:uniqueId val="{00000001-FCD6-2C40-BB94-19EE768C0F56}"/>
            </c:ext>
          </c:extLst>
        </c:ser>
        <c:ser>
          <c:idx val="2"/>
          <c:order val="2"/>
          <c:tx>
            <c:strRef>
              <c:f>Sheet3!$D$10</c:f>
              <c:strCache>
                <c:ptCount val="1"/>
                <c:pt idx="0">
                  <c:v>Female</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Sheet3!$E$7:$F$7</c:f>
              <c:strCache>
                <c:ptCount val="2"/>
                <c:pt idx="0">
                  <c:v>2007/08</c:v>
                </c:pt>
                <c:pt idx="1">
                  <c:v>2019/20</c:v>
                </c:pt>
              </c:strCache>
            </c:strRef>
          </c:cat>
          <c:val>
            <c:numRef>
              <c:f>Sheet3!$E$10:$F$10</c:f>
              <c:numCache>
                <c:formatCode>General</c:formatCode>
                <c:ptCount val="2"/>
                <c:pt idx="0">
                  <c:v>15.5</c:v>
                </c:pt>
                <c:pt idx="1">
                  <c:v>20.6</c:v>
                </c:pt>
              </c:numCache>
            </c:numRef>
          </c:val>
          <c:extLst>
            <c:ext xmlns:c16="http://schemas.microsoft.com/office/drawing/2014/chart" uri="{C3380CC4-5D6E-409C-BE32-E72D297353CC}">
              <c16:uniqueId val="{00000002-FCD6-2C40-BB94-19EE768C0F56}"/>
            </c:ext>
          </c:extLst>
        </c:ser>
        <c:dLbls>
          <c:dLblPos val="outEnd"/>
          <c:showLegendKey val="0"/>
          <c:showVal val="1"/>
          <c:showCatName val="0"/>
          <c:showSerName val="0"/>
          <c:showPercent val="0"/>
          <c:showBubbleSize val="0"/>
        </c:dLbls>
        <c:gapWidth val="219"/>
        <c:overlap val="-27"/>
        <c:axId val="93914240"/>
        <c:axId val="93916160"/>
      </c:barChart>
      <c:catAx>
        <c:axId val="93914240"/>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Agriculture </a:t>
                </a:r>
                <a:r>
                  <a:rPr lang="en-US">
                    <a:solidFill>
                      <a:schemeClr val="tx1"/>
                    </a:solidFill>
                  </a:rPr>
                  <a:t>Census</a:t>
                </a:r>
              </a:p>
            </c:rich>
          </c:tx>
          <c:layout>
            <c:manualLayout>
              <c:xMode val="edge"/>
              <c:yMode val="edge"/>
              <c:x val="0.42443783095599147"/>
              <c:y val="0.78316444884223513"/>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6350" cap="flat" cmpd="sng" algn="ctr">
            <a:solidFill>
              <a:schemeClr val="tx1">
                <a:lumMod val="65000"/>
                <a:lumOff val="3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93916160"/>
        <c:crosses val="autoZero"/>
        <c:auto val="1"/>
        <c:lblAlgn val="ctr"/>
        <c:lblOffset val="100"/>
        <c:noMultiLvlLbl val="0"/>
      </c:catAx>
      <c:valAx>
        <c:axId val="93916160"/>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Percent</a:t>
                </a:r>
              </a:p>
            </c:rich>
          </c:tx>
          <c:layout>
            <c:manualLayout>
              <c:xMode val="edge"/>
              <c:yMode val="edge"/>
              <c:x val="4.2069715538904699E-2"/>
              <c:y val="0.22986618373948067"/>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w="6350">
            <a:solidFill>
              <a:schemeClr val="tx1">
                <a:lumMod val="65000"/>
                <a:lumOff val="35000"/>
              </a:schemeClr>
            </a:solid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939142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50000"/>
          <a:lumOff val="50000"/>
        </a:schemeClr>
      </a:solidFill>
      <a:round/>
    </a:ln>
    <a:effectLst/>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067374550609429"/>
          <c:y val="6.9919072615923034E-2"/>
          <c:w val="0.79840544184538087"/>
          <c:h val="0.57196244278878539"/>
        </c:manualLayout>
      </c:layout>
      <c:barChart>
        <c:barDir val="col"/>
        <c:grouping val="clustered"/>
        <c:varyColors val="0"/>
        <c:ser>
          <c:idx val="0"/>
          <c:order val="0"/>
          <c:tx>
            <c:strRef>
              <c:f>'Tables &amp; Figures_Roots'!$C$251</c:f>
              <c:strCache>
                <c:ptCount val="1"/>
                <c:pt idx="0">
                  <c:v> Planted Area (Ha) </c:v>
                </c:pt>
              </c:strCache>
            </c:strRef>
          </c:tx>
          <c:spPr>
            <a:solidFill>
              <a:srgbClr val="0070C0"/>
            </a:solidFill>
          </c:spPr>
          <c:invertIfNegative val="0"/>
          <c:cat>
            <c:strRef>
              <c:f>'Tables &amp; Figures_Roots'!$A$252:$A$269</c:f>
              <c:strCache>
                <c:ptCount val="18"/>
                <c:pt idx="0">
                  <c:v> Mbeya </c:v>
                </c:pt>
                <c:pt idx="1">
                  <c:v> Njombe </c:v>
                </c:pt>
                <c:pt idx="2">
                  <c:v> Dar Es Salaam </c:v>
                </c:pt>
                <c:pt idx="3">
                  <c:v> Tanga </c:v>
                </c:pt>
                <c:pt idx="4">
                  <c:v> Kagera </c:v>
                </c:pt>
                <c:pt idx="5">
                  <c:v> Arusha </c:v>
                </c:pt>
                <c:pt idx="6">
                  <c:v> Iringa </c:v>
                </c:pt>
                <c:pt idx="7">
                  <c:v> Kilimanjaro </c:v>
                </c:pt>
                <c:pt idx="8">
                  <c:v> Manyara </c:v>
                </c:pt>
                <c:pt idx="9">
                  <c:v> Rukwa </c:v>
                </c:pt>
                <c:pt idx="10">
                  <c:v> Mara </c:v>
                </c:pt>
                <c:pt idx="11">
                  <c:v> Songwe </c:v>
                </c:pt>
                <c:pt idx="12">
                  <c:v> Kigoma </c:v>
                </c:pt>
                <c:pt idx="13">
                  <c:v> Simiyu </c:v>
                </c:pt>
                <c:pt idx="14">
                  <c:v> Pwani </c:v>
                </c:pt>
                <c:pt idx="15">
                  <c:v> Shinyanga </c:v>
                </c:pt>
                <c:pt idx="16">
                  <c:v> Ruvuma </c:v>
                </c:pt>
                <c:pt idx="17">
                  <c:v> Dodoma </c:v>
                </c:pt>
              </c:strCache>
            </c:strRef>
          </c:cat>
          <c:val>
            <c:numRef>
              <c:f>'Tables &amp; Figures_Roots'!$C$252:$C$269</c:f>
              <c:numCache>
                <c:formatCode>_(* #,##0_);_(* \(#,##0\);_(* "-"_);_(@_)</c:formatCode>
                <c:ptCount val="18"/>
                <c:pt idx="0">
                  <c:v>15267.098340752731</c:v>
                </c:pt>
                <c:pt idx="1">
                  <c:v>12285.714285714284</c:v>
                </c:pt>
                <c:pt idx="2">
                  <c:v>11648.320518008903</c:v>
                </c:pt>
                <c:pt idx="3">
                  <c:v>10290.975313638202</c:v>
                </c:pt>
                <c:pt idx="4">
                  <c:v>4564.9534601375963</c:v>
                </c:pt>
                <c:pt idx="5">
                  <c:v>2481.9910967219748</c:v>
                </c:pt>
                <c:pt idx="6">
                  <c:v>2479.158235532173</c:v>
                </c:pt>
                <c:pt idx="7">
                  <c:v>2213.6786726021855</c:v>
                </c:pt>
                <c:pt idx="8">
                  <c:v>1760.0161877782275</c:v>
                </c:pt>
                <c:pt idx="9">
                  <c:v>433.42776203966008</c:v>
                </c:pt>
                <c:pt idx="10">
                  <c:v>343.58559287737756</c:v>
                </c:pt>
                <c:pt idx="11">
                  <c:v>266.28895184135979</c:v>
                </c:pt>
                <c:pt idx="12">
                  <c:v>157.83083771752325</c:v>
                </c:pt>
                <c:pt idx="13">
                  <c:v>103.19708619991906</c:v>
                </c:pt>
                <c:pt idx="14">
                  <c:v>55.443140428976122</c:v>
                </c:pt>
                <c:pt idx="15">
                  <c:v>27.923917442331039</c:v>
                </c:pt>
                <c:pt idx="16">
                  <c:v>22.662889518413596</c:v>
                </c:pt>
                <c:pt idx="17">
                  <c:v>15.783083771752326</c:v>
                </c:pt>
              </c:numCache>
            </c:numRef>
          </c:val>
          <c:extLst>
            <c:ext xmlns:c16="http://schemas.microsoft.com/office/drawing/2014/chart" uri="{C3380CC4-5D6E-409C-BE32-E72D297353CC}">
              <c16:uniqueId val="{00000000-6B34-874E-9606-9DA1C5068B47}"/>
            </c:ext>
          </c:extLst>
        </c:ser>
        <c:ser>
          <c:idx val="1"/>
          <c:order val="1"/>
          <c:tx>
            <c:strRef>
              <c:f>'Tables &amp; Figures_Roots'!$D$251</c:f>
              <c:strCache>
                <c:ptCount val="1"/>
                <c:pt idx="0">
                  <c:v> Harvested Area (Ha) </c:v>
                </c:pt>
              </c:strCache>
            </c:strRef>
          </c:tx>
          <c:spPr>
            <a:solidFill>
              <a:srgbClr val="FFFF00"/>
            </a:solidFill>
          </c:spPr>
          <c:invertIfNegative val="0"/>
          <c:cat>
            <c:strRef>
              <c:f>'Tables &amp; Figures_Roots'!$A$252:$A$269</c:f>
              <c:strCache>
                <c:ptCount val="18"/>
                <c:pt idx="0">
                  <c:v> Mbeya </c:v>
                </c:pt>
                <c:pt idx="1">
                  <c:v> Njombe </c:v>
                </c:pt>
                <c:pt idx="2">
                  <c:v> Dar Es Salaam </c:v>
                </c:pt>
                <c:pt idx="3">
                  <c:v> Tanga </c:v>
                </c:pt>
                <c:pt idx="4">
                  <c:v> Kagera </c:v>
                </c:pt>
                <c:pt idx="5">
                  <c:v> Arusha </c:v>
                </c:pt>
                <c:pt idx="6">
                  <c:v> Iringa </c:v>
                </c:pt>
                <c:pt idx="7">
                  <c:v> Kilimanjaro </c:v>
                </c:pt>
                <c:pt idx="8">
                  <c:v> Manyara </c:v>
                </c:pt>
                <c:pt idx="9">
                  <c:v> Rukwa </c:v>
                </c:pt>
                <c:pt idx="10">
                  <c:v> Mara </c:v>
                </c:pt>
                <c:pt idx="11">
                  <c:v> Songwe </c:v>
                </c:pt>
                <c:pt idx="12">
                  <c:v> Kigoma </c:v>
                </c:pt>
                <c:pt idx="13">
                  <c:v> Simiyu </c:v>
                </c:pt>
                <c:pt idx="14">
                  <c:v> Pwani </c:v>
                </c:pt>
                <c:pt idx="15">
                  <c:v> Shinyanga </c:v>
                </c:pt>
                <c:pt idx="16">
                  <c:v> Ruvuma </c:v>
                </c:pt>
                <c:pt idx="17">
                  <c:v> Dodoma </c:v>
                </c:pt>
              </c:strCache>
            </c:strRef>
          </c:cat>
          <c:val>
            <c:numRef>
              <c:f>'Tables &amp; Figures_Roots'!$D$252:$D$269</c:f>
              <c:numCache>
                <c:formatCode>_(* #,##0_);_(* \(#,##0\);_(* "-"_);_(@_)</c:formatCode>
                <c:ptCount val="18"/>
                <c:pt idx="0">
                  <c:v>13076.89194658033</c:v>
                </c:pt>
                <c:pt idx="1">
                  <c:v>8315.6616754350471</c:v>
                </c:pt>
                <c:pt idx="2">
                  <c:v>11648.320518008903</c:v>
                </c:pt>
                <c:pt idx="3">
                  <c:v>8562.120598947793</c:v>
                </c:pt>
                <c:pt idx="4">
                  <c:v>3830.0283286118979</c:v>
                </c:pt>
                <c:pt idx="5">
                  <c:v>2091.8656414407124</c:v>
                </c:pt>
                <c:pt idx="6">
                  <c:v>1411.5742614326184</c:v>
                </c:pt>
                <c:pt idx="7">
                  <c:v>2064.3464184540671</c:v>
                </c:pt>
                <c:pt idx="8">
                  <c:v>1053.8243626062322</c:v>
                </c:pt>
                <c:pt idx="9">
                  <c:v>138.81019830028328</c:v>
                </c:pt>
                <c:pt idx="10">
                  <c:v>343.58559287737756</c:v>
                </c:pt>
                <c:pt idx="11">
                  <c:v>218.53500607041684</c:v>
                </c:pt>
                <c:pt idx="12">
                  <c:v>157.83083771752325</c:v>
                </c:pt>
                <c:pt idx="13">
                  <c:v>103.19708619991906</c:v>
                </c:pt>
                <c:pt idx="14">
                  <c:v>55.443140428976122</c:v>
                </c:pt>
                <c:pt idx="15">
                  <c:v>20.639417239983811</c:v>
                </c:pt>
                <c:pt idx="16">
                  <c:v>22.662889518413596</c:v>
                </c:pt>
                <c:pt idx="17">
                  <c:v>0</c:v>
                </c:pt>
              </c:numCache>
            </c:numRef>
          </c:val>
          <c:extLst>
            <c:ext xmlns:c16="http://schemas.microsoft.com/office/drawing/2014/chart" uri="{C3380CC4-5D6E-409C-BE32-E72D297353CC}">
              <c16:uniqueId val="{00000001-6B34-874E-9606-9DA1C5068B47}"/>
            </c:ext>
          </c:extLst>
        </c:ser>
        <c:dLbls>
          <c:showLegendKey val="0"/>
          <c:showVal val="0"/>
          <c:showCatName val="0"/>
          <c:showSerName val="0"/>
          <c:showPercent val="0"/>
          <c:showBubbleSize val="0"/>
        </c:dLbls>
        <c:gapWidth val="150"/>
        <c:axId val="96377856"/>
        <c:axId val="96384128"/>
      </c:barChart>
      <c:catAx>
        <c:axId val="96377856"/>
        <c:scaling>
          <c:orientation val="minMax"/>
        </c:scaling>
        <c:delete val="0"/>
        <c:axPos val="b"/>
        <c:title>
          <c:tx>
            <c:rich>
              <a:bodyPr/>
              <a:lstStyle/>
              <a:p>
                <a:pPr>
                  <a:defRPr/>
                </a:pPr>
                <a:r>
                  <a:rPr lang="en-US"/>
                  <a:t>Region</a:t>
                </a:r>
              </a:p>
            </c:rich>
          </c:tx>
          <c:layout>
            <c:manualLayout>
              <c:xMode val="edge"/>
              <c:yMode val="edge"/>
              <c:x val="0.53246521291268745"/>
              <c:y val="0.83568373220678738"/>
            </c:manualLayout>
          </c:layout>
          <c:overlay val="0"/>
        </c:title>
        <c:numFmt formatCode="General" sourceLinked="0"/>
        <c:majorTickMark val="out"/>
        <c:minorTickMark val="none"/>
        <c:tickLblPos val="nextTo"/>
        <c:txPr>
          <a:bodyPr rot="-5400000" vert="horz"/>
          <a:lstStyle/>
          <a:p>
            <a:pPr>
              <a:defRPr/>
            </a:pPr>
            <a:endParaRPr lang="en-US"/>
          </a:p>
        </c:txPr>
        <c:crossAx val="96384128"/>
        <c:crosses val="autoZero"/>
        <c:auto val="1"/>
        <c:lblAlgn val="ctr"/>
        <c:lblOffset val="100"/>
        <c:noMultiLvlLbl val="0"/>
      </c:catAx>
      <c:valAx>
        <c:axId val="96384128"/>
        <c:scaling>
          <c:orientation val="minMax"/>
        </c:scaling>
        <c:delete val="0"/>
        <c:axPos val="l"/>
        <c:title>
          <c:tx>
            <c:rich>
              <a:bodyPr rot="-5400000" vert="horz"/>
              <a:lstStyle/>
              <a:p>
                <a:pPr>
                  <a:defRPr/>
                </a:pPr>
                <a:r>
                  <a:rPr lang="en-US"/>
                  <a:t>Area (ha)</a:t>
                </a:r>
              </a:p>
            </c:rich>
          </c:tx>
          <c:layout>
            <c:manualLayout>
              <c:xMode val="edge"/>
              <c:yMode val="edge"/>
              <c:x val="2.577583666561855E-2"/>
              <c:y val="0.23543215804261425"/>
            </c:manualLayout>
          </c:layout>
          <c:overlay val="0"/>
        </c:title>
        <c:numFmt formatCode="_(* #,##0_);_(* \(#,##0\);_(* &quot;-&quot;_);_(@_)" sourceLinked="1"/>
        <c:majorTickMark val="out"/>
        <c:minorTickMark val="none"/>
        <c:tickLblPos val="nextTo"/>
        <c:crossAx val="96377856"/>
        <c:crosses val="autoZero"/>
        <c:crossBetween val="between"/>
      </c:valAx>
    </c:plotArea>
    <c:legend>
      <c:legendPos val="b"/>
      <c:layout>
        <c:manualLayout>
          <c:xMode val="edge"/>
          <c:yMode val="edge"/>
          <c:x val="0.2499533844300505"/>
          <c:y val="0.91519139170900643"/>
          <c:w val="0.48377988833870023"/>
          <c:h val="6.7721250412560718E-2"/>
        </c:manualLayout>
      </c:layout>
      <c:overlay val="0"/>
    </c:legend>
    <c:plotVisOnly val="1"/>
    <c:dispBlanksAs val="gap"/>
    <c:showDLblsOverMax val="0"/>
  </c:chart>
  <c:spPr>
    <a:ln w="9525"/>
  </c:spPr>
  <c:txPr>
    <a:bodyPr/>
    <a:lstStyle/>
    <a:p>
      <a:pPr>
        <a:defRPr sz="800" b="0">
          <a:latin typeface="Times New Roman" pitchFamily="18" charset="0"/>
          <a:cs typeface="Times New Roman" pitchFamily="18" charset="0"/>
        </a:defRPr>
      </a:pPr>
      <a:endParaRPr lang="en-US"/>
    </a:p>
  </c:tx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484280449918718"/>
          <c:y val="6.5776117607940512E-2"/>
          <c:w val="0.75504318220656474"/>
          <c:h val="0.49385826771653546"/>
        </c:manualLayout>
      </c:layout>
      <c:barChart>
        <c:barDir val="col"/>
        <c:grouping val="clustered"/>
        <c:varyColors val="0"/>
        <c:ser>
          <c:idx val="0"/>
          <c:order val="0"/>
          <c:tx>
            <c:strRef>
              <c:f>'Tables &amp; Figures_Roots'!$E$113</c:f>
              <c:strCache>
                <c:ptCount val="1"/>
                <c:pt idx="0">
                  <c:v>Quantity Harvested (Tons)</c:v>
                </c:pt>
              </c:strCache>
            </c:strRef>
          </c:tx>
          <c:spPr>
            <a:solidFill>
              <a:srgbClr val="0070C0"/>
            </a:solidFill>
          </c:spPr>
          <c:invertIfNegative val="0"/>
          <c:cat>
            <c:strRef>
              <c:f>'Tables &amp; Figures_Roots'!$A$114:$A$139</c:f>
              <c:strCache>
                <c:ptCount val="26"/>
                <c:pt idx="0">
                  <c:v>Dar Es Salaam</c:v>
                </c:pt>
                <c:pt idx="1">
                  <c:v>Mbeya</c:v>
                </c:pt>
                <c:pt idx="2">
                  <c:v>Njombe</c:v>
                </c:pt>
                <c:pt idx="3">
                  <c:v>Tanga</c:v>
                </c:pt>
                <c:pt idx="4">
                  <c:v>Kagera</c:v>
                </c:pt>
                <c:pt idx="5">
                  <c:v>Kilimanjaro</c:v>
                </c:pt>
                <c:pt idx="6">
                  <c:v>Arusha</c:v>
                </c:pt>
                <c:pt idx="7">
                  <c:v>Iringa</c:v>
                </c:pt>
                <c:pt idx="8">
                  <c:v>Manyara</c:v>
                </c:pt>
                <c:pt idx="9">
                  <c:v>Songwe</c:v>
                </c:pt>
                <c:pt idx="10">
                  <c:v>Mara</c:v>
                </c:pt>
                <c:pt idx="11">
                  <c:v>Kigoma</c:v>
                </c:pt>
                <c:pt idx="12">
                  <c:v>Rukwa</c:v>
                </c:pt>
                <c:pt idx="13">
                  <c:v>Simiyu</c:v>
                </c:pt>
                <c:pt idx="14">
                  <c:v>Pwani</c:v>
                </c:pt>
                <c:pt idx="15">
                  <c:v>Shinyanga</c:v>
                </c:pt>
                <c:pt idx="16">
                  <c:v>Ruvuma</c:v>
                </c:pt>
                <c:pt idx="17">
                  <c:v>Dodoma</c:v>
                </c:pt>
                <c:pt idx="18">
                  <c:v>Morogoro</c:v>
                </c:pt>
                <c:pt idx="19">
                  <c:v>Lindi</c:v>
                </c:pt>
                <c:pt idx="20">
                  <c:v>Mtwara</c:v>
                </c:pt>
                <c:pt idx="21">
                  <c:v>Singida</c:v>
                </c:pt>
                <c:pt idx="22">
                  <c:v>Tabora</c:v>
                </c:pt>
                <c:pt idx="23">
                  <c:v>Mwanza</c:v>
                </c:pt>
                <c:pt idx="24">
                  <c:v>Katavi</c:v>
                </c:pt>
                <c:pt idx="25">
                  <c:v>Geita</c:v>
                </c:pt>
              </c:strCache>
            </c:strRef>
          </c:cat>
          <c:val>
            <c:numRef>
              <c:f>'Tables &amp; Figures_Roots'!$E$114:$E$139</c:f>
              <c:numCache>
                <c:formatCode>_(* #,##0_);_(* \(#,##0\);_(* "-"_);_(@_)</c:formatCode>
                <c:ptCount val="26"/>
                <c:pt idx="0">
                  <c:v>122240.09700000001</c:v>
                </c:pt>
                <c:pt idx="1">
                  <c:v>81938.711999999985</c:v>
                </c:pt>
                <c:pt idx="2">
                  <c:v>48987.33</c:v>
                </c:pt>
                <c:pt idx="3">
                  <c:v>25039.538</c:v>
                </c:pt>
                <c:pt idx="4">
                  <c:v>8950.3919999999962</c:v>
                </c:pt>
                <c:pt idx="5">
                  <c:v>8084.1180000000004</c:v>
                </c:pt>
                <c:pt idx="6">
                  <c:v>7731.6900000000005</c:v>
                </c:pt>
                <c:pt idx="7">
                  <c:v>6536.38</c:v>
                </c:pt>
                <c:pt idx="8">
                  <c:v>6272.4190000000008</c:v>
                </c:pt>
                <c:pt idx="9">
                  <c:v>1794.9849999999999</c:v>
                </c:pt>
                <c:pt idx="10">
                  <c:v>707.14699999999982</c:v>
                </c:pt>
                <c:pt idx="11">
                  <c:v>402.27</c:v>
                </c:pt>
                <c:pt idx="12">
                  <c:v>287.58199999999994</c:v>
                </c:pt>
                <c:pt idx="13">
                  <c:v>158.476</c:v>
                </c:pt>
                <c:pt idx="14">
                  <c:v>109.94300000000001</c:v>
                </c:pt>
                <c:pt idx="15">
                  <c:v>50.502000000000002</c:v>
                </c:pt>
                <c:pt idx="16">
                  <c:v>22.215</c:v>
                </c:pt>
                <c:pt idx="17">
                  <c:v>0</c:v>
                </c:pt>
                <c:pt idx="18">
                  <c:v>0</c:v>
                </c:pt>
                <c:pt idx="19">
                  <c:v>0</c:v>
                </c:pt>
                <c:pt idx="20">
                  <c:v>0</c:v>
                </c:pt>
                <c:pt idx="21">
                  <c:v>0</c:v>
                </c:pt>
                <c:pt idx="22">
                  <c:v>0</c:v>
                </c:pt>
                <c:pt idx="23">
                  <c:v>0</c:v>
                </c:pt>
                <c:pt idx="24">
                  <c:v>0</c:v>
                </c:pt>
                <c:pt idx="25">
                  <c:v>0</c:v>
                </c:pt>
              </c:numCache>
            </c:numRef>
          </c:val>
          <c:extLst>
            <c:ext xmlns:c16="http://schemas.microsoft.com/office/drawing/2014/chart" uri="{C3380CC4-5D6E-409C-BE32-E72D297353CC}">
              <c16:uniqueId val="{00000000-99AA-EF4E-95DE-29019E2DC820}"/>
            </c:ext>
          </c:extLst>
        </c:ser>
        <c:dLbls>
          <c:showLegendKey val="0"/>
          <c:showVal val="0"/>
          <c:showCatName val="0"/>
          <c:showSerName val="0"/>
          <c:showPercent val="0"/>
          <c:showBubbleSize val="0"/>
        </c:dLbls>
        <c:gapWidth val="51"/>
        <c:axId val="96420992"/>
        <c:axId val="96422912"/>
      </c:barChart>
      <c:scatterChart>
        <c:scatterStyle val="lineMarker"/>
        <c:varyColors val="0"/>
        <c:ser>
          <c:idx val="1"/>
          <c:order val="1"/>
          <c:tx>
            <c:strRef>
              <c:f>'Tables &amp; Figures_Roots'!$F$113</c:f>
              <c:strCache>
                <c:ptCount val="1"/>
                <c:pt idx="0">
                  <c:v>Yield (Tons/Ha)</c:v>
                </c:pt>
              </c:strCache>
            </c:strRef>
          </c:tx>
          <c:spPr>
            <a:ln w="28575">
              <a:noFill/>
            </a:ln>
          </c:spPr>
          <c:marker>
            <c:symbol val="circle"/>
            <c:size val="5"/>
          </c:marker>
          <c:xVal>
            <c:strRef>
              <c:f>'Tables &amp; Figures_Roots'!$A$114:$A$139</c:f>
              <c:strCache>
                <c:ptCount val="26"/>
                <c:pt idx="0">
                  <c:v>Dar Es Salaam</c:v>
                </c:pt>
                <c:pt idx="1">
                  <c:v>Mbeya</c:v>
                </c:pt>
                <c:pt idx="2">
                  <c:v>Njombe</c:v>
                </c:pt>
                <c:pt idx="3">
                  <c:v>Tanga</c:v>
                </c:pt>
                <c:pt idx="4">
                  <c:v>Kagera</c:v>
                </c:pt>
                <c:pt idx="5">
                  <c:v>Kilimanjaro</c:v>
                </c:pt>
                <c:pt idx="6">
                  <c:v>Arusha</c:v>
                </c:pt>
                <c:pt idx="7">
                  <c:v>Iringa</c:v>
                </c:pt>
                <c:pt idx="8">
                  <c:v>Manyara</c:v>
                </c:pt>
                <c:pt idx="9">
                  <c:v>Songwe</c:v>
                </c:pt>
                <c:pt idx="10">
                  <c:v>Mara</c:v>
                </c:pt>
                <c:pt idx="11">
                  <c:v>Kigoma</c:v>
                </c:pt>
                <c:pt idx="12">
                  <c:v>Rukwa</c:v>
                </c:pt>
                <c:pt idx="13">
                  <c:v>Simiyu</c:v>
                </c:pt>
                <c:pt idx="14">
                  <c:v>Pwani</c:v>
                </c:pt>
                <c:pt idx="15">
                  <c:v>Shinyanga</c:v>
                </c:pt>
                <c:pt idx="16">
                  <c:v>Ruvuma</c:v>
                </c:pt>
                <c:pt idx="17">
                  <c:v>Dodoma</c:v>
                </c:pt>
                <c:pt idx="18">
                  <c:v>Morogoro</c:v>
                </c:pt>
                <c:pt idx="19">
                  <c:v>Lindi</c:v>
                </c:pt>
                <c:pt idx="20">
                  <c:v>Mtwara</c:v>
                </c:pt>
                <c:pt idx="21">
                  <c:v>Singida</c:v>
                </c:pt>
                <c:pt idx="22">
                  <c:v>Tabora</c:v>
                </c:pt>
                <c:pt idx="23">
                  <c:v>Mwanza</c:v>
                </c:pt>
                <c:pt idx="24">
                  <c:v>Katavi</c:v>
                </c:pt>
                <c:pt idx="25">
                  <c:v>Geita</c:v>
                </c:pt>
              </c:strCache>
            </c:strRef>
          </c:xVal>
          <c:yVal>
            <c:numRef>
              <c:f>'Tables &amp; Figures_Roots'!$F$114:$F$139</c:f>
              <c:numCache>
                <c:formatCode>_(* #,##0.0_);_(* \(#,##0.0\);_(* "-"_);_(@_)</c:formatCode>
                <c:ptCount val="26"/>
                <c:pt idx="0">
                  <c:v>10.494225052531007</c:v>
                </c:pt>
                <c:pt idx="1">
                  <c:v>6.2659164222449171</c:v>
                </c:pt>
                <c:pt idx="2">
                  <c:v>5.8909719890013621</c:v>
                </c:pt>
                <c:pt idx="3">
                  <c:v>2.9244551873138915</c:v>
                </c:pt>
                <c:pt idx="4">
                  <c:v>2.3368996863905327</c:v>
                </c:pt>
                <c:pt idx="5">
                  <c:v>3.9160665708684568</c:v>
                </c:pt>
                <c:pt idx="6">
                  <c:v>3.6960739001741141</c:v>
                </c:pt>
                <c:pt idx="7">
                  <c:v>4.6305604873853214</c:v>
                </c:pt>
                <c:pt idx="8">
                  <c:v>5.9520535134408616</c:v>
                </c:pt>
                <c:pt idx="9">
                  <c:v>8.2137183981481492</c:v>
                </c:pt>
                <c:pt idx="10">
                  <c:v>2.0581392661955245</c:v>
                </c:pt>
                <c:pt idx="11">
                  <c:v>2.5487414615384618</c:v>
                </c:pt>
                <c:pt idx="12">
                  <c:v>2.0717642040816333</c:v>
                </c:pt>
                <c:pt idx="13">
                  <c:v>1.5356635137254901</c:v>
                </c:pt>
                <c:pt idx="14">
                  <c:v>1.9829865182481754</c:v>
                </c:pt>
                <c:pt idx="15">
                  <c:v>2.4468714117647057</c:v>
                </c:pt>
                <c:pt idx="16">
                  <c:v>0.9802368749999999</c:v>
                </c:pt>
                <c:pt idx="17">
                  <c:v>0</c:v>
                </c:pt>
                <c:pt idx="18">
                  <c:v>0</c:v>
                </c:pt>
                <c:pt idx="19">
                  <c:v>0</c:v>
                </c:pt>
                <c:pt idx="20">
                  <c:v>0</c:v>
                </c:pt>
                <c:pt idx="21">
                  <c:v>0</c:v>
                </c:pt>
                <c:pt idx="22">
                  <c:v>0</c:v>
                </c:pt>
                <c:pt idx="23">
                  <c:v>0</c:v>
                </c:pt>
                <c:pt idx="24">
                  <c:v>0</c:v>
                </c:pt>
                <c:pt idx="25">
                  <c:v>0</c:v>
                </c:pt>
              </c:numCache>
            </c:numRef>
          </c:yVal>
          <c:smooth val="0"/>
          <c:extLst>
            <c:ext xmlns:c16="http://schemas.microsoft.com/office/drawing/2014/chart" uri="{C3380CC4-5D6E-409C-BE32-E72D297353CC}">
              <c16:uniqueId val="{00000001-99AA-EF4E-95DE-29019E2DC820}"/>
            </c:ext>
          </c:extLst>
        </c:ser>
        <c:dLbls>
          <c:showLegendKey val="0"/>
          <c:showVal val="0"/>
          <c:showCatName val="0"/>
          <c:showSerName val="0"/>
          <c:showPercent val="0"/>
          <c:showBubbleSize val="0"/>
        </c:dLbls>
        <c:axId val="96427008"/>
        <c:axId val="96425088"/>
      </c:scatterChart>
      <c:catAx>
        <c:axId val="96420992"/>
        <c:scaling>
          <c:orientation val="minMax"/>
        </c:scaling>
        <c:delete val="0"/>
        <c:axPos val="b"/>
        <c:title>
          <c:tx>
            <c:rich>
              <a:bodyPr/>
              <a:lstStyle/>
              <a:p>
                <a:pPr>
                  <a:defRPr/>
                </a:pPr>
                <a:r>
                  <a:rPr lang="en-US"/>
                  <a:t>Region</a:t>
                </a:r>
              </a:p>
            </c:rich>
          </c:tx>
          <c:layout>
            <c:manualLayout>
              <c:xMode val="edge"/>
              <c:yMode val="edge"/>
              <c:x val="0.47830627265171838"/>
              <c:y val="0.79449782475820641"/>
            </c:manualLayout>
          </c:layout>
          <c:overlay val="0"/>
        </c:title>
        <c:numFmt formatCode="General" sourceLinked="0"/>
        <c:majorTickMark val="out"/>
        <c:minorTickMark val="none"/>
        <c:tickLblPos val="nextTo"/>
        <c:txPr>
          <a:bodyPr rot="-5400000" vert="horz"/>
          <a:lstStyle/>
          <a:p>
            <a:pPr>
              <a:defRPr/>
            </a:pPr>
            <a:endParaRPr lang="en-US"/>
          </a:p>
        </c:txPr>
        <c:crossAx val="96422912"/>
        <c:crosses val="autoZero"/>
        <c:auto val="1"/>
        <c:lblAlgn val="ctr"/>
        <c:lblOffset val="100"/>
        <c:noMultiLvlLbl val="0"/>
      </c:catAx>
      <c:valAx>
        <c:axId val="96422912"/>
        <c:scaling>
          <c:orientation val="minMax"/>
        </c:scaling>
        <c:delete val="0"/>
        <c:axPos val="l"/>
        <c:title>
          <c:tx>
            <c:rich>
              <a:bodyPr rot="-5400000" vert="horz"/>
              <a:lstStyle/>
              <a:p>
                <a:pPr>
                  <a:defRPr/>
                </a:pPr>
                <a:r>
                  <a:rPr lang="en-US"/>
                  <a:t>Production (tons)</a:t>
                </a:r>
              </a:p>
            </c:rich>
          </c:tx>
          <c:layout>
            <c:manualLayout>
              <c:xMode val="edge"/>
              <c:yMode val="edge"/>
              <c:x val="2.7724589377361563E-2"/>
              <c:y val="0.19104706432243915"/>
            </c:manualLayout>
          </c:layout>
          <c:overlay val="0"/>
        </c:title>
        <c:numFmt formatCode="_(* #,##0_);_(* \(#,##0\);_(* &quot;-&quot;_);_(@_)" sourceLinked="1"/>
        <c:majorTickMark val="out"/>
        <c:minorTickMark val="none"/>
        <c:tickLblPos val="nextTo"/>
        <c:crossAx val="96420992"/>
        <c:crosses val="autoZero"/>
        <c:crossBetween val="between"/>
      </c:valAx>
      <c:valAx>
        <c:axId val="96425088"/>
        <c:scaling>
          <c:orientation val="minMax"/>
        </c:scaling>
        <c:delete val="0"/>
        <c:axPos val="r"/>
        <c:title>
          <c:tx>
            <c:rich>
              <a:bodyPr rot="-5400000" vert="horz"/>
              <a:lstStyle/>
              <a:p>
                <a:pPr>
                  <a:defRPr/>
                </a:pPr>
                <a:r>
                  <a:rPr lang="en-US"/>
                  <a:t>Yield (tons/ha)</a:t>
                </a:r>
              </a:p>
            </c:rich>
          </c:tx>
          <c:layout>
            <c:manualLayout>
              <c:xMode val="edge"/>
              <c:yMode val="edge"/>
              <c:x val="0.95602894894747803"/>
              <c:y val="0.20424805941810495"/>
            </c:manualLayout>
          </c:layout>
          <c:overlay val="0"/>
        </c:title>
        <c:numFmt formatCode="_(* #,##0.0_);_(* \(#,##0.0\);_(* &quot;-&quot;_);_(@_)" sourceLinked="1"/>
        <c:majorTickMark val="out"/>
        <c:minorTickMark val="none"/>
        <c:tickLblPos val="nextTo"/>
        <c:crossAx val="96427008"/>
        <c:crosses val="max"/>
        <c:crossBetween val="midCat"/>
      </c:valAx>
      <c:valAx>
        <c:axId val="96427008"/>
        <c:scaling>
          <c:orientation val="minMax"/>
        </c:scaling>
        <c:delete val="1"/>
        <c:axPos val="b"/>
        <c:majorTickMark val="out"/>
        <c:minorTickMark val="none"/>
        <c:tickLblPos val="none"/>
        <c:crossAx val="96425088"/>
        <c:crosses val="autoZero"/>
        <c:crossBetween val="midCat"/>
      </c:valAx>
    </c:plotArea>
    <c:legend>
      <c:legendPos val="b"/>
      <c:layout>
        <c:manualLayout>
          <c:xMode val="edge"/>
          <c:yMode val="edge"/>
          <c:x val="0.24400675160436283"/>
          <c:y val="0.86398590587135515"/>
          <c:w val="0.51198652407255041"/>
          <c:h val="6.0156642653710839E-2"/>
        </c:manualLayout>
      </c:layout>
      <c:overlay val="0"/>
    </c:legend>
    <c:plotVisOnly val="1"/>
    <c:dispBlanksAs val="gap"/>
    <c:showDLblsOverMax val="0"/>
  </c:chart>
  <c:spPr>
    <a:ln w="9525"/>
  </c:spPr>
  <c:txPr>
    <a:bodyPr/>
    <a:lstStyle/>
    <a:p>
      <a:pPr>
        <a:defRPr sz="800" b="0">
          <a:latin typeface="Times New Roman" pitchFamily="18" charset="0"/>
          <a:cs typeface="Times New Roman" pitchFamily="18" charset="0"/>
        </a:defRPr>
      </a:pPr>
      <a:endParaRPr lang="en-US"/>
    </a:p>
  </c:txPr>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5086282635723167"/>
          <c:y val="5.9580355351478882E-2"/>
          <c:w val="0.75087862011230544"/>
          <c:h val="0.53025601653510568"/>
        </c:manualLayout>
      </c:layout>
      <c:barChart>
        <c:barDir val="col"/>
        <c:grouping val="clustered"/>
        <c:varyColors val="0"/>
        <c:ser>
          <c:idx val="0"/>
          <c:order val="0"/>
          <c:tx>
            <c:strRef>
              <c:f>Beans_AREA!$B$2</c:f>
              <c:strCache>
                <c:ptCount val="1"/>
                <c:pt idx="0">
                  <c:v> Planted Area  </c:v>
                </c:pt>
              </c:strCache>
            </c:strRef>
          </c:tx>
          <c:spPr>
            <a:solidFill>
              <a:srgbClr val="0070C0"/>
            </a:solidFill>
          </c:spPr>
          <c:invertIfNegative val="0"/>
          <c:cat>
            <c:strRef>
              <c:f>Beans_AREA!$A$3:$A$28</c:f>
              <c:strCache>
                <c:ptCount val="26"/>
                <c:pt idx="0">
                  <c:v>Kagera</c:v>
                </c:pt>
                <c:pt idx="1">
                  <c:v>Kigoma</c:v>
                </c:pt>
                <c:pt idx="2">
                  <c:v>Manyara</c:v>
                </c:pt>
                <c:pt idx="3">
                  <c:v>Rukwa</c:v>
                </c:pt>
                <c:pt idx="4">
                  <c:v>Arusha</c:v>
                </c:pt>
                <c:pt idx="5">
                  <c:v>Tanga</c:v>
                </c:pt>
                <c:pt idx="6">
                  <c:v>Kilimanjaro</c:v>
                </c:pt>
                <c:pt idx="7">
                  <c:v>Mbeya</c:v>
                </c:pt>
                <c:pt idx="8">
                  <c:v>Ruvuma</c:v>
                </c:pt>
                <c:pt idx="9">
                  <c:v>Iringa</c:v>
                </c:pt>
                <c:pt idx="10">
                  <c:v>Songwe</c:v>
                </c:pt>
                <c:pt idx="11">
                  <c:v>Geita</c:v>
                </c:pt>
                <c:pt idx="12">
                  <c:v>Njombe</c:v>
                </c:pt>
                <c:pt idx="13">
                  <c:v>Dar Es Salaam</c:v>
                </c:pt>
                <c:pt idx="14">
                  <c:v>Mwanza</c:v>
                </c:pt>
                <c:pt idx="15">
                  <c:v>Morogoro</c:v>
                </c:pt>
                <c:pt idx="16">
                  <c:v>Dodoma</c:v>
                </c:pt>
                <c:pt idx="17">
                  <c:v>Singida</c:v>
                </c:pt>
                <c:pt idx="18">
                  <c:v>Shinyanga</c:v>
                </c:pt>
                <c:pt idx="19">
                  <c:v>Tabora</c:v>
                </c:pt>
                <c:pt idx="20">
                  <c:v>Mara</c:v>
                </c:pt>
                <c:pt idx="21">
                  <c:v>Simiyu</c:v>
                </c:pt>
                <c:pt idx="22">
                  <c:v>Katavi</c:v>
                </c:pt>
                <c:pt idx="23">
                  <c:v>Pwani</c:v>
                </c:pt>
                <c:pt idx="24">
                  <c:v>Mtwara</c:v>
                </c:pt>
                <c:pt idx="25">
                  <c:v>Lindi</c:v>
                </c:pt>
              </c:strCache>
            </c:strRef>
          </c:cat>
          <c:val>
            <c:numRef>
              <c:f>Beans_AREA!$B$3:$B$28</c:f>
              <c:numCache>
                <c:formatCode>_(* #,##0_);_(* \(#,##0\);_(* "-"_);_(@_)</c:formatCode>
                <c:ptCount val="26"/>
                <c:pt idx="0">
                  <c:v>153344.39498178873</c:v>
                </c:pt>
                <c:pt idx="1">
                  <c:v>84212.869283690816</c:v>
                </c:pt>
                <c:pt idx="2">
                  <c:v>71784.702549575071</c:v>
                </c:pt>
                <c:pt idx="3">
                  <c:v>67755.969243221363</c:v>
                </c:pt>
                <c:pt idx="4">
                  <c:v>57363.82031566168</c:v>
                </c:pt>
                <c:pt idx="5">
                  <c:v>49596.924322136787</c:v>
                </c:pt>
                <c:pt idx="6">
                  <c:v>47885.066774585182</c:v>
                </c:pt>
                <c:pt idx="7">
                  <c:v>46542.290570619181</c:v>
                </c:pt>
                <c:pt idx="8">
                  <c:v>41755.159854309997</c:v>
                </c:pt>
                <c:pt idx="9">
                  <c:v>32352.893565358154</c:v>
                </c:pt>
                <c:pt idx="10">
                  <c:v>27747.875354107648</c:v>
                </c:pt>
                <c:pt idx="11">
                  <c:v>27106.029947389718</c:v>
                </c:pt>
                <c:pt idx="12">
                  <c:v>20399.838122217723</c:v>
                </c:pt>
                <c:pt idx="13">
                  <c:v>20362.606232294616</c:v>
                </c:pt>
                <c:pt idx="14">
                  <c:v>18097.126669364628</c:v>
                </c:pt>
                <c:pt idx="15">
                  <c:v>16630.109267503034</c:v>
                </c:pt>
                <c:pt idx="16">
                  <c:v>11841.76446782679</c:v>
                </c:pt>
                <c:pt idx="17">
                  <c:v>6556.4548765681911</c:v>
                </c:pt>
                <c:pt idx="18">
                  <c:v>6322.9461756373939</c:v>
                </c:pt>
                <c:pt idx="19">
                  <c:v>5239.1744233104</c:v>
                </c:pt>
                <c:pt idx="20">
                  <c:v>5214.4880615135571</c:v>
                </c:pt>
                <c:pt idx="21">
                  <c:v>2846.6208012950224</c:v>
                </c:pt>
                <c:pt idx="22">
                  <c:v>2100.7689194658033</c:v>
                </c:pt>
                <c:pt idx="23">
                  <c:v>322.13678672602185</c:v>
                </c:pt>
                <c:pt idx="24">
                  <c:v>45.325779036827193</c:v>
                </c:pt>
                <c:pt idx="25">
                  <c:v>0</c:v>
                </c:pt>
              </c:numCache>
            </c:numRef>
          </c:val>
          <c:extLst>
            <c:ext xmlns:c16="http://schemas.microsoft.com/office/drawing/2014/chart" uri="{C3380CC4-5D6E-409C-BE32-E72D297353CC}">
              <c16:uniqueId val="{00000000-BF1D-3040-9C0D-D1CD6FC1738E}"/>
            </c:ext>
          </c:extLst>
        </c:ser>
        <c:ser>
          <c:idx val="1"/>
          <c:order val="1"/>
          <c:tx>
            <c:strRef>
              <c:f>Beans_AREA!$C$2</c:f>
              <c:strCache>
                <c:ptCount val="1"/>
                <c:pt idx="0">
                  <c:v> Harvested Area </c:v>
                </c:pt>
              </c:strCache>
            </c:strRef>
          </c:tx>
          <c:spPr>
            <a:solidFill>
              <a:srgbClr val="FFFF00"/>
            </a:solidFill>
          </c:spPr>
          <c:invertIfNegative val="0"/>
          <c:cat>
            <c:strRef>
              <c:f>Beans_AREA!$A$3:$A$28</c:f>
              <c:strCache>
                <c:ptCount val="26"/>
                <c:pt idx="0">
                  <c:v>Kagera</c:v>
                </c:pt>
                <c:pt idx="1">
                  <c:v>Kigoma</c:v>
                </c:pt>
                <c:pt idx="2">
                  <c:v>Manyara</c:v>
                </c:pt>
                <c:pt idx="3">
                  <c:v>Rukwa</c:v>
                </c:pt>
                <c:pt idx="4">
                  <c:v>Arusha</c:v>
                </c:pt>
                <c:pt idx="5">
                  <c:v>Tanga</c:v>
                </c:pt>
                <c:pt idx="6">
                  <c:v>Kilimanjaro</c:v>
                </c:pt>
                <c:pt idx="7">
                  <c:v>Mbeya</c:v>
                </c:pt>
                <c:pt idx="8">
                  <c:v>Ruvuma</c:v>
                </c:pt>
                <c:pt idx="9">
                  <c:v>Iringa</c:v>
                </c:pt>
                <c:pt idx="10">
                  <c:v>Songwe</c:v>
                </c:pt>
                <c:pt idx="11">
                  <c:v>Geita</c:v>
                </c:pt>
                <c:pt idx="12">
                  <c:v>Njombe</c:v>
                </c:pt>
                <c:pt idx="13">
                  <c:v>Dar Es Salaam</c:v>
                </c:pt>
                <c:pt idx="14">
                  <c:v>Mwanza</c:v>
                </c:pt>
                <c:pt idx="15">
                  <c:v>Morogoro</c:v>
                </c:pt>
                <c:pt idx="16">
                  <c:v>Dodoma</c:v>
                </c:pt>
                <c:pt idx="17">
                  <c:v>Singida</c:v>
                </c:pt>
                <c:pt idx="18">
                  <c:v>Shinyanga</c:v>
                </c:pt>
                <c:pt idx="19">
                  <c:v>Tabora</c:v>
                </c:pt>
                <c:pt idx="20">
                  <c:v>Mara</c:v>
                </c:pt>
                <c:pt idx="21">
                  <c:v>Simiyu</c:v>
                </c:pt>
                <c:pt idx="22">
                  <c:v>Katavi</c:v>
                </c:pt>
                <c:pt idx="23">
                  <c:v>Pwani</c:v>
                </c:pt>
                <c:pt idx="24">
                  <c:v>Mtwara</c:v>
                </c:pt>
                <c:pt idx="25">
                  <c:v>Lindi</c:v>
                </c:pt>
              </c:strCache>
            </c:strRef>
          </c:cat>
          <c:val>
            <c:numRef>
              <c:f>Beans_AREA!$C$3:$C$28</c:f>
              <c:numCache>
                <c:formatCode>_(* #,##0_);_(* \(#,##0\);_(* "-"_);_(@_)</c:formatCode>
                <c:ptCount val="26"/>
                <c:pt idx="0">
                  <c:v>120010.52205584783</c:v>
                </c:pt>
                <c:pt idx="1">
                  <c:v>80093.484419263448</c:v>
                </c:pt>
                <c:pt idx="2">
                  <c:v>65720.760825576683</c:v>
                </c:pt>
                <c:pt idx="3">
                  <c:v>58724.80777013355</c:v>
                </c:pt>
                <c:pt idx="4">
                  <c:v>48187.778227438277</c:v>
                </c:pt>
                <c:pt idx="5">
                  <c:v>45293.808174828002</c:v>
                </c:pt>
                <c:pt idx="6">
                  <c:v>37636.58437879401</c:v>
                </c:pt>
                <c:pt idx="7">
                  <c:v>40715.095103197084</c:v>
                </c:pt>
                <c:pt idx="8">
                  <c:v>38307.163091865637</c:v>
                </c:pt>
                <c:pt idx="9">
                  <c:v>26198.300283286117</c:v>
                </c:pt>
                <c:pt idx="10">
                  <c:v>24757.992715499797</c:v>
                </c:pt>
                <c:pt idx="11">
                  <c:v>23811.412383650342</c:v>
                </c:pt>
                <c:pt idx="12">
                  <c:v>18950.222581950628</c:v>
                </c:pt>
                <c:pt idx="13">
                  <c:v>19694.050991501415</c:v>
                </c:pt>
                <c:pt idx="14">
                  <c:v>15942.533387292593</c:v>
                </c:pt>
                <c:pt idx="15">
                  <c:v>13375.556454876569</c:v>
                </c:pt>
                <c:pt idx="16">
                  <c:v>7706.1918251719944</c:v>
                </c:pt>
                <c:pt idx="17">
                  <c:v>5740.9955483609874</c:v>
                </c:pt>
                <c:pt idx="18">
                  <c:v>5418.4540671792793</c:v>
                </c:pt>
                <c:pt idx="19">
                  <c:v>3921.489275596924</c:v>
                </c:pt>
                <c:pt idx="20">
                  <c:v>4163.901254552813</c:v>
                </c:pt>
                <c:pt idx="21">
                  <c:v>2529.7450424929179</c:v>
                </c:pt>
                <c:pt idx="22">
                  <c:v>1845.4067179279641</c:v>
                </c:pt>
                <c:pt idx="23">
                  <c:v>301.49736948603805</c:v>
                </c:pt>
                <c:pt idx="24">
                  <c:v>45.325779036827193</c:v>
                </c:pt>
                <c:pt idx="25">
                  <c:v>0</c:v>
                </c:pt>
              </c:numCache>
            </c:numRef>
          </c:val>
          <c:extLst>
            <c:ext xmlns:c16="http://schemas.microsoft.com/office/drawing/2014/chart" uri="{C3380CC4-5D6E-409C-BE32-E72D297353CC}">
              <c16:uniqueId val="{00000001-BF1D-3040-9C0D-D1CD6FC1738E}"/>
            </c:ext>
          </c:extLst>
        </c:ser>
        <c:dLbls>
          <c:showLegendKey val="0"/>
          <c:showVal val="0"/>
          <c:showCatName val="0"/>
          <c:showSerName val="0"/>
          <c:showPercent val="0"/>
          <c:showBubbleSize val="0"/>
        </c:dLbls>
        <c:gapWidth val="150"/>
        <c:axId val="96547584"/>
        <c:axId val="96549504"/>
      </c:barChart>
      <c:catAx>
        <c:axId val="96547584"/>
        <c:scaling>
          <c:orientation val="minMax"/>
        </c:scaling>
        <c:delete val="0"/>
        <c:axPos val="b"/>
        <c:title>
          <c:tx>
            <c:rich>
              <a:bodyPr/>
              <a:lstStyle/>
              <a:p>
                <a:pPr>
                  <a:defRPr/>
                </a:pPr>
                <a:r>
                  <a:rPr lang="en-US"/>
                  <a:t>Region</a:t>
                </a:r>
              </a:p>
            </c:rich>
          </c:tx>
          <c:layout>
            <c:manualLayout>
              <c:xMode val="edge"/>
              <c:yMode val="edge"/>
              <c:x val="0.45248654756257117"/>
              <c:y val="0.83629305713197966"/>
            </c:manualLayout>
          </c:layout>
          <c:overlay val="0"/>
        </c:title>
        <c:numFmt formatCode="General" sourceLinked="0"/>
        <c:majorTickMark val="out"/>
        <c:minorTickMark val="none"/>
        <c:tickLblPos val="nextTo"/>
        <c:txPr>
          <a:bodyPr rot="-5400000" vert="horz"/>
          <a:lstStyle/>
          <a:p>
            <a:pPr>
              <a:defRPr/>
            </a:pPr>
            <a:endParaRPr lang="en-US"/>
          </a:p>
        </c:txPr>
        <c:crossAx val="96549504"/>
        <c:crosses val="autoZero"/>
        <c:auto val="1"/>
        <c:lblAlgn val="ctr"/>
        <c:lblOffset val="100"/>
        <c:noMultiLvlLbl val="0"/>
      </c:catAx>
      <c:valAx>
        <c:axId val="96549504"/>
        <c:scaling>
          <c:orientation val="minMax"/>
          <c:max val="160000"/>
        </c:scaling>
        <c:delete val="0"/>
        <c:axPos val="l"/>
        <c:title>
          <c:tx>
            <c:rich>
              <a:bodyPr rot="-5400000" vert="horz"/>
              <a:lstStyle/>
              <a:p>
                <a:pPr>
                  <a:defRPr/>
                </a:pPr>
                <a:r>
                  <a:rPr lang="en-US"/>
                  <a:t>Area (ha)</a:t>
                </a:r>
              </a:p>
            </c:rich>
          </c:tx>
          <c:layout>
            <c:manualLayout>
              <c:xMode val="edge"/>
              <c:yMode val="edge"/>
              <c:x val="3.1895987003288481E-2"/>
              <c:y val="0.23319931258027901"/>
            </c:manualLayout>
          </c:layout>
          <c:overlay val="0"/>
        </c:title>
        <c:numFmt formatCode="_(* #,##0_);_(* \(#,##0\);_(* &quot;-&quot;_);_(@_)" sourceLinked="1"/>
        <c:majorTickMark val="out"/>
        <c:minorTickMark val="none"/>
        <c:tickLblPos val="nextTo"/>
        <c:crossAx val="96547584"/>
        <c:crosses val="autoZero"/>
        <c:crossBetween val="between"/>
      </c:valAx>
    </c:plotArea>
    <c:legend>
      <c:legendPos val="b"/>
      <c:layout>
        <c:manualLayout>
          <c:xMode val="edge"/>
          <c:yMode val="edge"/>
          <c:x val="0.26801277340332458"/>
          <c:y val="0.92509864757641869"/>
          <c:w val="0.48802541787539716"/>
          <c:h val="7.395872213621818E-2"/>
        </c:manualLayout>
      </c:layout>
      <c:overlay val="0"/>
    </c:legend>
    <c:plotVisOnly val="1"/>
    <c:dispBlanksAs val="gap"/>
    <c:showDLblsOverMax val="0"/>
  </c:chart>
  <c:spPr>
    <a:ln w="9525"/>
  </c:spPr>
  <c:txPr>
    <a:bodyPr/>
    <a:lstStyle/>
    <a:p>
      <a:pPr>
        <a:defRPr sz="800" b="0">
          <a:solidFill>
            <a:schemeClr val="tx1"/>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164933989131872"/>
          <c:y val="5.0925925925925923E-2"/>
          <c:w val="0.76457489263638734"/>
          <c:h val="0.47897651268292024"/>
        </c:manualLayout>
      </c:layout>
      <c:barChart>
        <c:barDir val="col"/>
        <c:grouping val="clustered"/>
        <c:varyColors val="0"/>
        <c:ser>
          <c:idx val="0"/>
          <c:order val="0"/>
          <c:tx>
            <c:strRef>
              <c:f>Beans_NEW!$I$3</c:f>
              <c:strCache>
                <c:ptCount val="1"/>
                <c:pt idx="0">
                  <c:v> Quantity Harvested  </c:v>
                </c:pt>
              </c:strCache>
            </c:strRef>
          </c:tx>
          <c:spPr>
            <a:solidFill>
              <a:schemeClr val="accent1"/>
            </a:solidFill>
            <a:ln>
              <a:noFill/>
            </a:ln>
            <a:effectLst/>
          </c:spPr>
          <c:invertIfNegative val="0"/>
          <c:cat>
            <c:strRef>
              <c:f>Beans_NEW!$H$4:$H$28</c:f>
              <c:strCache>
                <c:ptCount val="25"/>
                <c:pt idx="0">
                  <c:v> Kagera </c:v>
                </c:pt>
                <c:pt idx="1">
                  <c:v> Manyara </c:v>
                </c:pt>
                <c:pt idx="2">
                  <c:v> Kigoma </c:v>
                </c:pt>
                <c:pt idx="3">
                  <c:v> Arusha </c:v>
                </c:pt>
                <c:pt idx="4">
                  <c:v> Rukwa </c:v>
                </c:pt>
                <c:pt idx="5">
                  <c:v> Tanga </c:v>
                </c:pt>
                <c:pt idx="6">
                  <c:v> Kilimanjaro </c:v>
                </c:pt>
                <c:pt idx="7">
                  <c:v> Mbeya </c:v>
                </c:pt>
                <c:pt idx="8">
                  <c:v> Geita </c:v>
                </c:pt>
                <c:pt idx="9">
                  <c:v> Ruvuma </c:v>
                </c:pt>
                <c:pt idx="10">
                  <c:v> Mwanza </c:v>
                </c:pt>
                <c:pt idx="11">
                  <c:v> Iringa </c:v>
                </c:pt>
                <c:pt idx="12">
                  <c:v> Songwe </c:v>
                </c:pt>
                <c:pt idx="13">
                  <c:v> Dar Es Salaam </c:v>
                </c:pt>
                <c:pt idx="14">
                  <c:v> Njombe </c:v>
                </c:pt>
                <c:pt idx="15">
                  <c:v> Morogoro </c:v>
                </c:pt>
                <c:pt idx="16">
                  <c:v> Dodoma </c:v>
                </c:pt>
                <c:pt idx="17">
                  <c:v> Mara </c:v>
                </c:pt>
                <c:pt idx="18">
                  <c:v> Shinyanga </c:v>
                </c:pt>
                <c:pt idx="19">
                  <c:v> Singida </c:v>
                </c:pt>
                <c:pt idx="20">
                  <c:v> Tabora </c:v>
                </c:pt>
                <c:pt idx="21">
                  <c:v> Simiyu </c:v>
                </c:pt>
                <c:pt idx="22">
                  <c:v> Katavi </c:v>
                </c:pt>
                <c:pt idx="23">
                  <c:v> Pwani </c:v>
                </c:pt>
                <c:pt idx="24">
                  <c:v> Mtwara </c:v>
                </c:pt>
              </c:strCache>
            </c:strRef>
          </c:cat>
          <c:val>
            <c:numRef>
              <c:f>Beans_NEW!$I$4:$I$28</c:f>
              <c:numCache>
                <c:formatCode>_(* #,##0_);_(* \(#,##0\);_(* "-"_);_(@_)</c:formatCode>
                <c:ptCount val="25"/>
                <c:pt idx="0">
                  <c:v>133592.361</c:v>
                </c:pt>
                <c:pt idx="1">
                  <c:v>72476.178</c:v>
                </c:pt>
                <c:pt idx="2">
                  <c:v>61765.823000000004</c:v>
                </c:pt>
                <c:pt idx="3">
                  <c:v>43469.796000000002</c:v>
                </c:pt>
                <c:pt idx="4">
                  <c:v>43310.375</c:v>
                </c:pt>
                <c:pt idx="5">
                  <c:v>43130.41</c:v>
                </c:pt>
                <c:pt idx="6">
                  <c:v>37902.548999999999</c:v>
                </c:pt>
                <c:pt idx="7">
                  <c:v>33758.256000000001</c:v>
                </c:pt>
                <c:pt idx="8">
                  <c:v>31739.699000000001</c:v>
                </c:pt>
                <c:pt idx="9">
                  <c:v>28349.529000000002</c:v>
                </c:pt>
                <c:pt idx="10">
                  <c:v>21298.387999999999</c:v>
                </c:pt>
                <c:pt idx="11">
                  <c:v>19059.342000000001</c:v>
                </c:pt>
                <c:pt idx="12">
                  <c:v>18905.438999999998</c:v>
                </c:pt>
                <c:pt idx="13">
                  <c:v>18606.253000000001</c:v>
                </c:pt>
                <c:pt idx="14">
                  <c:v>13813.605</c:v>
                </c:pt>
                <c:pt idx="15">
                  <c:v>13660.082</c:v>
                </c:pt>
                <c:pt idx="16">
                  <c:v>5439.4800000000005</c:v>
                </c:pt>
                <c:pt idx="17">
                  <c:v>5180.2659999999996</c:v>
                </c:pt>
                <c:pt idx="18">
                  <c:v>3853.0329999999999</c:v>
                </c:pt>
                <c:pt idx="19">
                  <c:v>3654.047</c:v>
                </c:pt>
                <c:pt idx="20">
                  <c:v>3036.806</c:v>
                </c:pt>
                <c:pt idx="21">
                  <c:v>2007.1220000000001</c:v>
                </c:pt>
                <c:pt idx="22">
                  <c:v>1280.6389999999999</c:v>
                </c:pt>
                <c:pt idx="23">
                  <c:v>162.74100000000001</c:v>
                </c:pt>
                <c:pt idx="24">
                  <c:v>20.474</c:v>
                </c:pt>
              </c:numCache>
            </c:numRef>
          </c:val>
          <c:extLst>
            <c:ext xmlns:c16="http://schemas.microsoft.com/office/drawing/2014/chart" uri="{C3380CC4-5D6E-409C-BE32-E72D297353CC}">
              <c16:uniqueId val="{00000000-FFF3-9B4A-9E6E-EEB14690D13D}"/>
            </c:ext>
          </c:extLst>
        </c:ser>
        <c:dLbls>
          <c:showLegendKey val="0"/>
          <c:showVal val="0"/>
          <c:showCatName val="0"/>
          <c:showSerName val="0"/>
          <c:showPercent val="0"/>
          <c:showBubbleSize val="0"/>
        </c:dLbls>
        <c:gapWidth val="219"/>
        <c:axId val="96606848"/>
        <c:axId val="96621696"/>
      </c:barChart>
      <c:scatterChart>
        <c:scatterStyle val="lineMarker"/>
        <c:varyColors val="0"/>
        <c:ser>
          <c:idx val="1"/>
          <c:order val="1"/>
          <c:tx>
            <c:strRef>
              <c:f>Beans_NEW!$J$3</c:f>
              <c:strCache>
                <c:ptCount val="1"/>
                <c:pt idx="0">
                  <c:v> Yield  </c:v>
                </c:pt>
              </c:strCache>
            </c:strRef>
          </c:tx>
          <c:spPr>
            <a:ln w="25400" cap="rnd">
              <a:noFill/>
              <a:round/>
            </a:ln>
            <a:effectLst/>
          </c:spPr>
          <c:marker>
            <c:symbol val="circle"/>
            <c:size val="3"/>
            <c:spPr>
              <a:solidFill>
                <a:schemeClr val="accent2"/>
              </a:solidFill>
              <a:ln w="9525">
                <a:solidFill>
                  <a:schemeClr val="accent2"/>
                </a:solidFill>
              </a:ln>
              <a:effectLst/>
            </c:spPr>
          </c:marker>
          <c:xVal>
            <c:strRef>
              <c:f>Beans_NEW!$H$4:$H$28</c:f>
              <c:strCache>
                <c:ptCount val="25"/>
                <c:pt idx="0">
                  <c:v> Kagera </c:v>
                </c:pt>
                <c:pt idx="1">
                  <c:v> Manyara </c:v>
                </c:pt>
                <c:pt idx="2">
                  <c:v> Kigoma </c:v>
                </c:pt>
                <c:pt idx="3">
                  <c:v> Arusha </c:v>
                </c:pt>
                <c:pt idx="4">
                  <c:v> Rukwa </c:v>
                </c:pt>
                <c:pt idx="5">
                  <c:v> Tanga </c:v>
                </c:pt>
                <c:pt idx="6">
                  <c:v> Kilimanjaro </c:v>
                </c:pt>
                <c:pt idx="7">
                  <c:v> Mbeya </c:v>
                </c:pt>
                <c:pt idx="8">
                  <c:v> Geita </c:v>
                </c:pt>
                <c:pt idx="9">
                  <c:v> Ruvuma </c:v>
                </c:pt>
                <c:pt idx="10">
                  <c:v> Mwanza </c:v>
                </c:pt>
                <c:pt idx="11">
                  <c:v> Iringa </c:v>
                </c:pt>
                <c:pt idx="12">
                  <c:v> Songwe </c:v>
                </c:pt>
                <c:pt idx="13">
                  <c:v> Dar Es Salaam </c:v>
                </c:pt>
                <c:pt idx="14">
                  <c:v> Njombe </c:v>
                </c:pt>
                <c:pt idx="15">
                  <c:v> Morogoro </c:v>
                </c:pt>
                <c:pt idx="16">
                  <c:v> Dodoma </c:v>
                </c:pt>
                <c:pt idx="17">
                  <c:v> Mara </c:v>
                </c:pt>
                <c:pt idx="18">
                  <c:v> Shinyanga </c:v>
                </c:pt>
                <c:pt idx="19">
                  <c:v> Singida </c:v>
                </c:pt>
                <c:pt idx="20">
                  <c:v> Tabora </c:v>
                </c:pt>
                <c:pt idx="21">
                  <c:v> Simiyu </c:v>
                </c:pt>
                <c:pt idx="22">
                  <c:v> Katavi </c:v>
                </c:pt>
                <c:pt idx="23">
                  <c:v> Pwani </c:v>
                </c:pt>
                <c:pt idx="24">
                  <c:v> Mtwara </c:v>
                </c:pt>
              </c:strCache>
            </c:strRef>
          </c:xVal>
          <c:yVal>
            <c:numRef>
              <c:f>Beans_NEW!$J$4:$J$28</c:f>
              <c:numCache>
                <c:formatCode>_(* #,##0.0_);_(* \(#,##0.0\);_(* "-"_);_(@_)</c:formatCode>
                <c:ptCount val="25"/>
                <c:pt idx="0">
                  <c:v>1.1131720678444492</c:v>
                </c:pt>
                <c:pt idx="1">
                  <c:v>1.1027896982561147</c:v>
                </c:pt>
                <c:pt idx="2">
                  <c:v>0.77117163084922025</c:v>
                </c:pt>
                <c:pt idx="3">
                  <c:v>0.9020917253090569</c:v>
                </c:pt>
                <c:pt idx="4">
                  <c:v>0.73751412128124372</c:v>
                </c:pt>
                <c:pt idx="5">
                  <c:v>0.95223633732722202</c:v>
                </c:pt>
                <c:pt idx="6">
                  <c:v>1.0070666513870967</c:v>
                </c:pt>
                <c:pt idx="7">
                  <c:v>0.82913366441698899</c:v>
                </c:pt>
                <c:pt idx="8">
                  <c:v>1.3329616273326763</c:v>
                </c:pt>
                <c:pt idx="9">
                  <c:v>0.74005816959126125</c:v>
                </c:pt>
                <c:pt idx="10">
                  <c:v>1.3359475236838096</c:v>
                </c:pt>
                <c:pt idx="11">
                  <c:v>0.72750299805363328</c:v>
                </c:pt>
                <c:pt idx="12">
                  <c:v>0.76360952268009219</c:v>
                </c:pt>
                <c:pt idx="13">
                  <c:v>0.94476514801495981</c:v>
                </c:pt>
                <c:pt idx="14">
                  <c:v>0.72894156996113268</c:v>
                </c:pt>
                <c:pt idx="15">
                  <c:v>1.0212720529484736</c:v>
                </c:pt>
                <c:pt idx="16">
                  <c:v>0.70585836991912632</c:v>
                </c:pt>
                <c:pt idx="17">
                  <c:v>1.2440895408688888</c:v>
                </c:pt>
                <c:pt idx="18">
                  <c:v>0.71109452109940996</c:v>
                </c:pt>
                <c:pt idx="19">
                  <c:v>0.63648316206118705</c:v>
                </c:pt>
                <c:pt idx="20">
                  <c:v>0.77440119979360167</c:v>
                </c:pt>
                <c:pt idx="21">
                  <c:v>0.79340880851063833</c:v>
                </c:pt>
                <c:pt idx="22">
                  <c:v>0.69396030021929833</c:v>
                </c:pt>
                <c:pt idx="23">
                  <c:v>0.53977585369127523</c:v>
                </c:pt>
                <c:pt idx="24">
                  <c:v>0.45170762500000006</c:v>
                </c:pt>
              </c:numCache>
            </c:numRef>
          </c:yVal>
          <c:smooth val="0"/>
          <c:extLst>
            <c:ext xmlns:c16="http://schemas.microsoft.com/office/drawing/2014/chart" uri="{C3380CC4-5D6E-409C-BE32-E72D297353CC}">
              <c16:uniqueId val="{00000001-FFF3-9B4A-9E6E-EEB14690D13D}"/>
            </c:ext>
          </c:extLst>
        </c:ser>
        <c:dLbls>
          <c:showLegendKey val="0"/>
          <c:showVal val="0"/>
          <c:showCatName val="0"/>
          <c:showSerName val="0"/>
          <c:showPercent val="0"/>
          <c:showBubbleSize val="0"/>
        </c:dLbls>
        <c:axId val="96633984"/>
        <c:axId val="96623616"/>
      </c:scatterChart>
      <c:catAx>
        <c:axId val="96606848"/>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Region</a:t>
                </a:r>
              </a:p>
            </c:rich>
          </c:tx>
          <c:layout>
            <c:manualLayout>
              <c:xMode val="edge"/>
              <c:yMode val="edge"/>
              <c:x val="0.44465835268728898"/>
              <c:y val="0.79305023317942014"/>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chemeClr val="tx1">
                <a:lumMod val="65000"/>
                <a:lumOff val="35000"/>
              </a:schemeClr>
            </a:solidFill>
            <a:round/>
          </a:ln>
          <a:effectLst/>
        </c:spPr>
        <c:txPr>
          <a:bodyPr rot="-5400000" spcFirstLastPara="1" vertOverflow="ellipsis"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96621696"/>
        <c:crosses val="autoZero"/>
        <c:auto val="1"/>
        <c:lblAlgn val="ctr"/>
        <c:lblOffset val="100"/>
        <c:noMultiLvlLbl val="0"/>
      </c:catAx>
      <c:valAx>
        <c:axId val="96621696"/>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Production (Tons)</a:t>
                </a:r>
              </a:p>
            </c:rich>
          </c:tx>
          <c:layout>
            <c:manualLayout>
              <c:xMode val="edge"/>
              <c:yMode val="edge"/>
              <c:x val="1.7987335568039917E-2"/>
              <c:y val="9.3631061528267875E-2"/>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_(* #,##0_);_(* \(#,##0\);_(* &quot;-&quot;_);_(@_)" sourceLinked="1"/>
        <c:majorTickMark val="out"/>
        <c:minorTickMark val="none"/>
        <c:tickLblPos val="nextTo"/>
        <c:spPr>
          <a:noFill/>
          <a:ln>
            <a:solidFill>
              <a:schemeClr val="tx1">
                <a:lumMod val="65000"/>
                <a:lumOff val="35000"/>
              </a:schemeClr>
            </a:solid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96606848"/>
        <c:crosses val="autoZero"/>
        <c:crossBetween val="between"/>
      </c:valAx>
      <c:valAx>
        <c:axId val="96623616"/>
        <c:scaling>
          <c:orientation val="minMax"/>
        </c:scaling>
        <c:delete val="0"/>
        <c:axPos val="r"/>
        <c:title>
          <c:tx>
            <c:rich>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Yield (Tons/Ha)</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_(* #,##0.0_);_(* \(#,##0.0\);_(* &quot;-&quot;_);_(@_)" sourceLinked="1"/>
        <c:majorTickMark val="out"/>
        <c:minorTickMark val="none"/>
        <c:tickLblPos val="nextTo"/>
        <c:spPr>
          <a:noFill/>
          <a:ln>
            <a:solidFill>
              <a:schemeClr val="tx1">
                <a:lumMod val="65000"/>
                <a:lumOff val="35000"/>
              </a:schemeClr>
            </a:solid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96633984"/>
        <c:crosses val="max"/>
        <c:crossBetween val="midCat"/>
      </c:valAx>
      <c:valAx>
        <c:axId val="96633984"/>
        <c:scaling>
          <c:orientation val="minMax"/>
        </c:scaling>
        <c:delete val="1"/>
        <c:axPos val="b"/>
        <c:numFmt formatCode="General" sourceLinked="1"/>
        <c:majorTickMark val="out"/>
        <c:minorTickMark val="none"/>
        <c:tickLblPos val="nextTo"/>
        <c:crossAx val="96623616"/>
        <c:crosses val="autoZero"/>
        <c:crossBetween val="midCat"/>
      </c:valAx>
      <c:spPr>
        <a:noFill/>
        <a:ln>
          <a:noFill/>
        </a:ln>
        <a:effectLst/>
      </c:spPr>
    </c:plotArea>
    <c:legend>
      <c:legendPos val="b"/>
      <c:layout>
        <c:manualLayout>
          <c:xMode val="edge"/>
          <c:yMode val="edge"/>
          <c:x val="0.31092889506550558"/>
          <c:y val="0.88332049247268762"/>
          <c:w val="0.32958271005152462"/>
          <c:h val="7.7562230900555668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800" b="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911230884974836"/>
          <c:y val="4.8606395655805636E-2"/>
          <c:w val="0.83843072247548001"/>
          <c:h val="0.55464629984315028"/>
        </c:manualLayout>
      </c:layout>
      <c:barChart>
        <c:barDir val="col"/>
        <c:grouping val="clustered"/>
        <c:varyColors val="0"/>
        <c:ser>
          <c:idx val="0"/>
          <c:order val="0"/>
          <c:tx>
            <c:strRef>
              <c:f>'Cowpeas_AREA &amp; PROD'!$B$3</c:f>
              <c:strCache>
                <c:ptCount val="1"/>
                <c:pt idx="0">
                  <c:v> Planted Area (ha) </c:v>
                </c:pt>
              </c:strCache>
            </c:strRef>
          </c:tx>
          <c:spPr>
            <a:solidFill>
              <a:srgbClr val="0070C0"/>
            </a:solidFill>
          </c:spPr>
          <c:invertIfNegative val="0"/>
          <c:cat>
            <c:strRef>
              <c:f>'Cowpeas_AREA &amp; PROD'!$A$4:$A$29</c:f>
              <c:strCache>
                <c:ptCount val="26"/>
                <c:pt idx="0">
                  <c:v>Dodoma</c:v>
                </c:pt>
                <c:pt idx="1">
                  <c:v>Mtwara</c:v>
                </c:pt>
                <c:pt idx="2">
                  <c:v>Tanga</c:v>
                </c:pt>
                <c:pt idx="3">
                  <c:v>Singida</c:v>
                </c:pt>
                <c:pt idx="4">
                  <c:v>Mwanza</c:v>
                </c:pt>
                <c:pt idx="5">
                  <c:v>Shinyanga</c:v>
                </c:pt>
                <c:pt idx="6">
                  <c:v>Morogoro</c:v>
                </c:pt>
                <c:pt idx="7">
                  <c:v>Iringa</c:v>
                </c:pt>
                <c:pt idx="8">
                  <c:v>Pwani</c:v>
                </c:pt>
                <c:pt idx="9">
                  <c:v>Tabora</c:v>
                </c:pt>
                <c:pt idx="10">
                  <c:v>Geita</c:v>
                </c:pt>
                <c:pt idx="11">
                  <c:v>Lindi</c:v>
                </c:pt>
                <c:pt idx="12">
                  <c:v>Dar Es Salaam</c:v>
                </c:pt>
                <c:pt idx="13">
                  <c:v>Simiyu</c:v>
                </c:pt>
                <c:pt idx="14">
                  <c:v>Njombe</c:v>
                </c:pt>
                <c:pt idx="15">
                  <c:v>Ruvuma</c:v>
                </c:pt>
                <c:pt idx="16">
                  <c:v>Manyara</c:v>
                </c:pt>
                <c:pt idx="17">
                  <c:v>Mbeya</c:v>
                </c:pt>
                <c:pt idx="18">
                  <c:v>Kilimanjaro</c:v>
                </c:pt>
                <c:pt idx="19">
                  <c:v>Kagera</c:v>
                </c:pt>
                <c:pt idx="20">
                  <c:v>Kigoma</c:v>
                </c:pt>
                <c:pt idx="21">
                  <c:v>Songwe</c:v>
                </c:pt>
                <c:pt idx="22">
                  <c:v>Arusha</c:v>
                </c:pt>
                <c:pt idx="23">
                  <c:v>Rukwa</c:v>
                </c:pt>
                <c:pt idx="24">
                  <c:v>Katavi</c:v>
                </c:pt>
                <c:pt idx="25">
                  <c:v>Mara</c:v>
                </c:pt>
              </c:strCache>
            </c:strRef>
          </c:cat>
          <c:val>
            <c:numRef>
              <c:f>'Cowpeas_AREA &amp; PROD'!$B$4:$B$29</c:f>
              <c:numCache>
                <c:formatCode>_(* #,##0_);_(* \(#,##0\);_(* "-"_);_(@_)</c:formatCode>
                <c:ptCount val="26"/>
                <c:pt idx="0">
                  <c:v>7609.4698502630508</c:v>
                </c:pt>
                <c:pt idx="1">
                  <c:v>6526.9121813031161</c:v>
                </c:pt>
                <c:pt idx="2">
                  <c:v>5210.4411169566974</c:v>
                </c:pt>
                <c:pt idx="3">
                  <c:v>4936.0582760016187</c:v>
                </c:pt>
                <c:pt idx="4">
                  <c:v>4439.902873330635</c:v>
                </c:pt>
                <c:pt idx="5">
                  <c:v>4091.0562525293399</c:v>
                </c:pt>
                <c:pt idx="6">
                  <c:v>3975.7183326588424</c:v>
                </c:pt>
                <c:pt idx="7">
                  <c:v>3921.8939700526103</c:v>
                </c:pt>
                <c:pt idx="8">
                  <c:v>3913.3953864832051</c:v>
                </c:pt>
                <c:pt idx="9">
                  <c:v>3849.0489680291375</c:v>
                </c:pt>
                <c:pt idx="10">
                  <c:v>3180.8984216916224</c:v>
                </c:pt>
                <c:pt idx="11">
                  <c:v>2737.3532982598135</c:v>
                </c:pt>
                <c:pt idx="12">
                  <c:v>1621.6106839336301</c:v>
                </c:pt>
                <c:pt idx="13">
                  <c:v>1484.0145690004047</c:v>
                </c:pt>
                <c:pt idx="14">
                  <c:v>1159.4496155402671</c:v>
                </c:pt>
                <c:pt idx="15">
                  <c:v>1115.7426143261837</c:v>
                </c:pt>
                <c:pt idx="16">
                  <c:v>940.50991501416433</c:v>
                </c:pt>
                <c:pt idx="17">
                  <c:v>835.28935653581539</c:v>
                </c:pt>
                <c:pt idx="18">
                  <c:v>723.99838122217727</c:v>
                </c:pt>
                <c:pt idx="19">
                  <c:v>673.41157426143263</c:v>
                </c:pt>
                <c:pt idx="20">
                  <c:v>566.57223796033986</c:v>
                </c:pt>
                <c:pt idx="21">
                  <c:v>192.63456090651556</c:v>
                </c:pt>
                <c:pt idx="22">
                  <c:v>140.4289761230271</c:v>
                </c:pt>
                <c:pt idx="23">
                  <c:v>107.64872521246458</c:v>
                </c:pt>
                <c:pt idx="24">
                  <c:v>96.72197490894375</c:v>
                </c:pt>
                <c:pt idx="25">
                  <c:v>0</c:v>
                </c:pt>
              </c:numCache>
            </c:numRef>
          </c:val>
          <c:extLst>
            <c:ext xmlns:c16="http://schemas.microsoft.com/office/drawing/2014/chart" uri="{C3380CC4-5D6E-409C-BE32-E72D297353CC}">
              <c16:uniqueId val="{00000000-027F-1A47-914A-322C7D0B7DD4}"/>
            </c:ext>
          </c:extLst>
        </c:ser>
        <c:ser>
          <c:idx val="1"/>
          <c:order val="1"/>
          <c:tx>
            <c:strRef>
              <c:f>'Cowpeas_AREA &amp; PROD'!$C$3</c:f>
              <c:strCache>
                <c:ptCount val="1"/>
                <c:pt idx="0">
                  <c:v> Harvested Area (ha) </c:v>
                </c:pt>
              </c:strCache>
            </c:strRef>
          </c:tx>
          <c:spPr>
            <a:solidFill>
              <a:srgbClr val="FFFF00"/>
            </a:solidFill>
          </c:spPr>
          <c:invertIfNegative val="0"/>
          <c:cat>
            <c:strRef>
              <c:f>'Cowpeas_AREA &amp; PROD'!$A$4:$A$29</c:f>
              <c:strCache>
                <c:ptCount val="26"/>
                <c:pt idx="0">
                  <c:v>Dodoma</c:v>
                </c:pt>
                <c:pt idx="1">
                  <c:v>Mtwara</c:v>
                </c:pt>
                <c:pt idx="2">
                  <c:v>Tanga</c:v>
                </c:pt>
                <c:pt idx="3">
                  <c:v>Singida</c:v>
                </c:pt>
                <c:pt idx="4">
                  <c:v>Mwanza</c:v>
                </c:pt>
                <c:pt idx="5">
                  <c:v>Shinyanga</c:v>
                </c:pt>
                <c:pt idx="6">
                  <c:v>Morogoro</c:v>
                </c:pt>
                <c:pt idx="7">
                  <c:v>Iringa</c:v>
                </c:pt>
                <c:pt idx="8">
                  <c:v>Pwani</c:v>
                </c:pt>
                <c:pt idx="9">
                  <c:v>Tabora</c:v>
                </c:pt>
                <c:pt idx="10">
                  <c:v>Geita</c:v>
                </c:pt>
                <c:pt idx="11">
                  <c:v>Lindi</c:v>
                </c:pt>
                <c:pt idx="12">
                  <c:v>Dar Es Salaam</c:v>
                </c:pt>
                <c:pt idx="13">
                  <c:v>Simiyu</c:v>
                </c:pt>
                <c:pt idx="14">
                  <c:v>Njombe</c:v>
                </c:pt>
                <c:pt idx="15">
                  <c:v>Ruvuma</c:v>
                </c:pt>
                <c:pt idx="16">
                  <c:v>Manyara</c:v>
                </c:pt>
                <c:pt idx="17">
                  <c:v>Mbeya</c:v>
                </c:pt>
                <c:pt idx="18">
                  <c:v>Kilimanjaro</c:v>
                </c:pt>
                <c:pt idx="19">
                  <c:v>Kagera</c:v>
                </c:pt>
                <c:pt idx="20">
                  <c:v>Kigoma</c:v>
                </c:pt>
                <c:pt idx="21">
                  <c:v>Songwe</c:v>
                </c:pt>
                <c:pt idx="22">
                  <c:v>Arusha</c:v>
                </c:pt>
                <c:pt idx="23">
                  <c:v>Rukwa</c:v>
                </c:pt>
                <c:pt idx="24">
                  <c:v>Katavi</c:v>
                </c:pt>
                <c:pt idx="25">
                  <c:v>Mara</c:v>
                </c:pt>
              </c:strCache>
            </c:strRef>
          </c:cat>
          <c:val>
            <c:numRef>
              <c:f>'Cowpeas_AREA &amp; PROD'!$C$4:$C$29</c:f>
              <c:numCache>
                <c:formatCode>_(* #,##0_);_(* \(#,##0\);_(* "-"_);_(@_)</c:formatCode>
                <c:ptCount val="26"/>
                <c:pt idx="0">
                  <c:v>5781.869688385269</c:v>
                </c:pt>
                <c:pt idx="1">
                  <c:v>5432.6183731282881</c:v>
                </c:pt>
                <c:pt idx="2">
                  <c:v>5034.8037231889921</c:v>
                </c:pt>
                <c:pt idx="3">
                  <c:v>4302.7114528530956</c:v>
                </c:pt>
                <c:pt idx="4">
                  <c:v>3908.1343585592876</c:v>
                </c:pt>
                <c:pt idx="5">
                  <c:v>2706.5965196276811</c:v>
                </c:pt>
                <c:pt idx="6">
                  <c:v>2730.4734925131525</c:v>
                </c:pt>
                <c:pt idx="7">
                  <c:v>3561.3112100364224</c:v>
                </c:pt>
                <c:pt idx="8">
                  <c:v>3143.6665317685147</c:v>
                </c:pt>
                <c:pt idx="9">
                  <c:v>3205.989477944152</c:v>
                </c:pt>
                <c:pt idx="10">
                  <c:v>2868.8789963577501</c:v>
                </c:pt>
                <c:pt idx="11">
                  <c:v>2325.3743423715096</c:v>
                </c:pt>
                <c:pt idx="12">
                  <c:v>1437.0700121408336</c:v>
                </c:pt>
                <c:pt idx="13">
                  <c:v>1349.2513152569809</c:v>
                </c:pt>
                <c:pt idx="14">
                  <c:v>1045.3257790368273</c:v>
                </c:pt>
                <c:pt idx="15">
                  <c:v>627.68110076891946</c:v>
                </c:pt>
                <c:pt idx="16">
                  <c:v>940.50991501416433</c:v>
                </c:pt>
                <c:pt idx="17">
                  <c:v>683.52893565358147</c:v>
                </c:pt>
                <c:pt idx="18">
                  <c:v>619.99190611088625</c:v>
                </c:pt>
                <c:pt idx="19">
                  <c:v>652.36746256576282</c:v>
                </c:pt>
                <c:pt idx="20">
                  <c:v>343.18089842169161</c:v>
                </c:pt>
                <c:pt idx="21">
                  <c:v>55.847834884662078</c:v>
                </c:pt>
                <c:pt idx="22">
                  <c:v>63.941723998381221</c:v>
                </c:pt>
                <c:pt idx="23">
                  <c:v>107.64872521246458</c:v>
                </c:pt>
                <c:pt idx="24">
                  <c:v>30.75677863213274</c:v>
                </c:pt>
                <c:pt idx="25">
                  <c:v>0</c:v>
                </c:pt>
              </c:numCache>
            </c:numRef>
          </c:val>
          <c:extLst>
            <c:ext xmlns:c16="http://schemas.microsoft.com/office/drawing/2014/chart" uri="{C3380CC4-5D6E-409C-BE32-E72D297353CC}">
              <c16:uniqueId val="{00000001-027F-1A47-914A-322C7D0B7DD4}"/>
            </c:ext>
          </c:extLst>
        </c:ser>
        <c:dLbls>
          <c:showLegendKey val="0"/>
          <c:showVal val="0"/>
          <c:showCatName val="0"/>
          <c:showSerName val="0"/>
          <c:showPercent val="0"/>
          <c:showBubbleSize val="0"/>
        </c:dLbls>
        <c:gapWidth val="150"/>
        <c:axId val="96660096"/>
        <c:axId val="96670464"/>
      </c:barChart>
      <c:catAx>
        <c:axId val="96660096"/>
        <c:scaling>
          <c:orientation val="minMax"/>
        </c:scaling>
        <c:delete val="0"/>
        <c:axPos val="b"/>
        <c:title>
          <c:tx>
            <c:rich>
              <a:bodyPr/>
              <a:lstStyle/>
              <a:p>
                <a:pPr>
                  <a:defRPr/>
                </a:pPr>
                <a:r>
                  <a:rPr lang="en-US"/>
                  <a:t>Region</a:t>
                </a:r>
              </a:p>
            </c:rich>
          </c:tx>
          <c:layout>
            <c:manualLayout>
              <c:xMode val="edge"/>
              <c:yMode val="edge"/>
              <c:x val="0.49704194870378043"/>
              <c:y val="0.85870689587225024"/>
            </c:manualLayout>
          </c:layout>
          <c:overlay val="0"/>
        </c:title>
        <c:numFmt formatCode="General" sourceLinked="0"/>
        <c:majorTickMark val="out"/>
        <c:minorTickMark val="none"/>
        <c:tickLblPos val="nextTo"/>
        <c:txPr>
          <a:bodyPr rot="-5400000" vert="horz"/>
          <a:lstStyle/>
          <a:p>
            <a:pPr>
              <a:defRPr/>
            </a:pPr>
            <a:endParaRPr lang="en-US"/>
          </a:p>
        </c:txPr>
        <c:crossAx val="96670464"/>
        <c:crosses val="autoZero"/>
        <c:auto val="1"/>
        <c:lblAlgn val="ctr"/>
        <c:lblOffset val="100"/>
        <c:noMultiLvlLbl val="0"/>
      </c:catAx>
      <c:valAx>
        <c:axId val="96670464"/>
        <c:scaling>
          <c:orientation val="minMax"/>
        </c:scaling>
        <c:delete val="0"/>
        <c:axPos val="l"/>
        <c:title>
          <c:tx>
            <c:rich>
              <a:bodyPr rot="-5400000" vert="horz"/>
              <a:lstStyle/>
              <a:p>
                <a:pPr>
                  <a:defRPr/>
                </a:pPr>
                <a:r>
                  <a:rPr lang="en-US"/>
                  <a:t>Area (ha)</a:t>
                </a:r>
              </a:p>
            </c:rich>
          </c:tx>
          <c:layout>
            <c:manualLayout>
              <c:xMode val="edge"/>
              <c:yMode val="edge"/>
              <c:x val="2.3263823153195119E-2"/>
              <c:y val="0.23293878798677256"/>
            </c:manualLayout>
          </c:layout>
          <c:overlay val="0"/>
        </c:title>
        <c:numFmt formatCode="_(* #,##0_);_(* \(#,##0\);_(* &quot;-&quot;_);_(@_)" sourceLinked="1"/>
        <c:majorTickMark val="out"/>
        <c:minorTickMark val="none"/>
        <c:tickLblPos val="nextTo"/>
        <c:crossAx val="96660096"/>
        <c:crosses val="autoZero"/>
        <c:crossBetween val="between"/>
      </c:valAx>
    </c:plotArea>
    <c:legend>
      <c:legendPos val="b"/>
      <c:layout>
        <c:manualLayout>
          <c:xMode val="edge"/>
          <c:yMode val="edge"/>
          <c:x val="0.25598729106230145"/>
          <c:y val="0.91558393038707997"/>
          <c:w val="0.48150149652346086"/>
          <c:h val="6.7924617530916748E-2"/>
        </c:manualLayout>
      </c:layout>
      <c:overlay val="0"/>
    </c:legend>
    <c:plotVisOnly val="1"/>
    <c:dispBlanksAs val="gap"/>
    <c:showDLblsOverMax val="0"/>
  </c:chart>
  <c:spPr>
    <a:ln w="9525">
      <a:solidFill>
        <a:sysClr val="windowText" lastClr="000000">
          <a:lumMod val="50000"/>
          <a:lumOff val="50000"/>
        </a:sysClr>
      </a:solidFill>
    </a:ln>
  </c:spPr>
  <c:txPr>
    <a:bodyPr/>
    <a:lstStyle/>
    <a:p>
      <a:pPr>
        <a:defRPr sz="800" b="0">
          <a:latin typeface="Times New Roman" pitchFamily="18" charset="0"/>
          <a:cs typeface="Times New Roman" pitchFamily="18" charset="0"/>
        </a:defRPr>
      </a:pPr>
      <a:endParaRPr lang="en-US"/>
    </a:p>
  </c:txPr>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748927056290241"/>
          <c:y val="8.59770955402617E-2"/>
          <c:w val="0.82894294523864132"/>
          <c:h val="0.61737459900845737"/>
        </c:manualLayout>
      </c:layout>
      <c:barChart>
        <c:barDir val="col"/>
        <c:grouping val="clustered"/>
        <c:varyColors val="0"/>
        <c:ser>
          <c:idx val="0"/>
          <c:order val="0"/>
          <c:tx>
            <c:strRef>
              <c:f>'Cowpeas_AREA &amp; PROD'!$B$32</c:f>
              <c:strCache>
                <c:ptCount val="1"/>
                <c:pt idx="0">
                  <c:v> Planted Area (ha) </c:v>
                </c:pt>
              </c:strCache>
            </c:strRef>
          </c:tx>
          <c:spPr>
            <a:solidFill>
              <a:srgbClr val="0070C0"/>
            </a:solidFill>
          </c:spPr>
          <c:invertIfNegative val="0"/>
          <c:cat>
            <c:strRef>
              <c:f>'Cowpeas_AREA &amp; PROD'!$A$33:$A$37</c:f>
              <c:strCache>
                <c:ptCount val="5"/>
                <c:pt idx="0">
                  <c:v>Kusini  Pemba</c:v>
                </c:pt>
                <c:pt idx="1">
                  <c:v>Kaskazini Pemba</c:v>
                </c:pt>
                <c:pt idx="2">
                  <c:v>Kaskazini Unguja</c:v>
                </c:pt>
                <c:pt idx="3">
                  <c:v>Kusini Unguja</c:v>
                </c:pt>
                <c:pt idx="4">
                  <c:v>Mjini Magharibi</c:v>
                </c:pt>
              </c:strCache>
            </c:strRef>
          </c:cat>
          <c:val>
            <c:numRef>
              <c:f>'Cowpeas_AREA &amp; PROD'!$B$33:$B$37</c:f>
              <c:numCache>
                <c:formatCode>_(* #,##0_);_(* \(#,##0\);_(* "-"_);_(@_)</c:formatCode>
                <c:ptCount val="5"/>
                <c:pt idx="0">
                  <c:v>1444.3545123431809</c:v>
                </c:pt>
                <c:pt idx="1">
                  <c:v>311.61473087818695</c:v>
                </c:pt>
                <c:pt idx="2">
                  <c:v>253.7434237150951</c:v>
                </c:pt>
                <c:pt idx="3">
                  <c:v>9.3079724807770123</c:v>
                </c:pt>
                <c:pt idx="4">
                  <c:v>2.8328611898016995</c:v>
                </c:pt>
              </c:numCache>
            </c:numRef>
          </c:val>
          <c:extLst>
            <c:ext xmlns:c16="http://schemas.microsoft.com/office/drawing/2014/chart" uri="{C3380CC4-5D6E-409C-BE32-E72D297353CC}">
              <c16:uniqueId val="{00000000-9AFA-FA4E-ABBC-585F4655506C}"/>
            </c:ext>
          </c:extLst>
        </c:ser>
        <c:ser>
          <c:idx val="1"/>
          <c:order val="1"/>
          <c:tx>
            <c:strRef>
              <c:f>'Cowpeas_AREA &amp; PROD'!$C$32</c:f>
              <c:strCache>
                <c:ptCount val="1"/>
                <c:pt idx="0">
                  <c:v> Harvested Area (ha) </c:v>
                </c:pt>
              </c:strCache>
            </c:strRef>
          </c:tx>
          <c:spPr>
            <a:solidFill>
              <a:srgbClr val="FFFF00"/>
            </a:solidFill>
          </c:spPr>
          <c:invertIfNegative val="0"/>
          <c:cat>
            <c:strRef>
              <c:f>'Cowpeas_AREA &amp; PROD'!$A$33:$A$37</c:f>
              <c:strCache>
                <c:ptCount val="5"/>
                <c:pt idx="0">
                  <c:v>Kusini  Pemba</c:v>
                </c:pt>
                <c:pt idx="1">
                  <c:v>Kaskazini Pemba</c:v>
                </c:pt>
                <c:pt idx="2">
                  <c:v>Kaskazini Unguja</c:v>
                </c:pt>
                <c:pt idx="3">
                  <c:v>Kusini Unguja</c:v>
                </c:pt>
                <c:pt idx="4">
                  <c:v>Mjini Magharibi</c:v>
                </c:pt>
              </c:strCache>
            </c:strRef>
          </c:cat>
          <c:val>
            <c:numRef>
              <c:f>'Cowpeas_AREA &amp; PROD'!$C$33:$C$37</c:f>
              <c:numCache>
                <c:formatCode>_(* #,##0_);_(* \(#,##0\);_(* "-"_);_(@_)</c:formatCode>
                <c:ptCount val="5"/>
                <c:pt idx="0">
                  <c:v>1029.9473897207608</c:v>
                </c:pt>
                <c:pt idx="1">
                  <c:v>189.80169971671387</c:v>
                </c:pt>
                <c:pt idx="2">
                  <c:v>92.270335896398223</c:v>
                </c:pt>
                <c:pt idx="3">
                  <c:v>1.2140833670578712</c:v>
                </c:pt>
                <c:pt idx="4">
                  <c:v>2.8328611898016995</c:v>
                </c:pt>
              </c:numCache>
            </c:numRef>
          </c:val>
          <c:extLst>
            <c:ext xmlns:c16="http://schemas.microsoft.com/office/drawing/2014/chart" uri="{C3380CC4-5D6E-409C-BE32-E72D297353CC}">
              <c16:uniqueId val="{00000001-9AFA-FA4E-ABBC-585F4655506C}"/>
            </c:ext>
          </c:extLst>
        </c:ser>
        <c:dLbls>
          <c:showLegendKey val="0"/>
          <c:showVal val="0"/>
          <c:showCatName val="0"/>
          <c:showSerName val="0"/>
          <c:showPercent val="0"/>
          <c:showBubbleSize val="0"/>
        </c:dLbls>
        <c:gapWidth val="150"/>
        <c:axId val="96693248"/>
        <c:axId val="96695424"/>
      </c:barChart>
      <c:catAx>
        <c:axId val="96693248"/>
        <c:scaling>
          <c:orientation val="minMax"/>
        </c:scaling>
        <c:delete val="0"/>
        <c:axPos val="b"/>
        <c:title>
          <c:tx>
            <c:rich>
              <a:bodyPr/>
              <a:lstStyle/>
              <a:p>
                <a:pPr>
                  <a:defRPr/>
                </a:pPr>
                <a:r>
                  <a:rPr lang="en-US"/>
                  <a:t>Region</a:t>
                </a:r>
              </a:p>
            </c:rich>
          </c:tx>
          <c:layout>
            <c:manualLayout>
              <c:xMode val="edge"/>
              <c:yMode val="edge"/>
              <c:x val="0.48492011314119715"/>
              <c:y val="0.82274095946340042"/>
            </c:manualLayout>
          </c:layout>
          <c:overlay val="0"/>
        </c:title>
        <c:numFmt formatCode="General" sourceLinked="0"/>
        <c:majorTickMark val="out"/>
        <c:minorTickMark val="none"/>
        <c:tickLblPos val="nextTo"/>
        <c:crossAx val="96695424"/>
        <c:crosses val="autoZero"/>
        <c:auto val="1"/>
        <c:lblAlgn val="ctr"/>
        <c:lblOffset val="100"/>
        <c:noMultiLvlLbl val="0"/>
      </c:catAx>
      <c:valAx>
        <c:axId val="96695424"/>
        <c:scaling>
          <c:orientation val="minMax"/>
        </c:scaling>
        <c:delete val="0"/>
        <c:axPos val="l"/>
        <c:title>
          <c:tx>
            <c:rich>
              <a:bodyPr rot="-5400000" vert="horz"/>
              <a:lstStyle/>
              <a:p>
                <a:pPr>
                  <a:defRPr/>
                </a:pPr>
                <a:r>
                  <a:rPr lang="en-US"/>
                  <a:t>Area (ha)</a:t>
                </a:r>
              </a:p>
            </c:rich>
          </c:tx>
          <c:layout>
            <c:manualLayout>
              <c:xMode val="edge"/>
              <c:yMode val="edge"/>
              <c:x val="2.6528337731565699E-2"/>
              <c:y val="0.27507909992357399"/>
            </c:manualLayout>
          </c:layout>
          <c:overlay val="0"/>
        </c:title>
        <c:numFmt formatCode="_(* #,##0_);_(* \(#,##0\);_(* &quot;-&quot;_);_(@_)" sourceLinked="1"/>
        <c:majorTickMark val="out"/>
        <c:minorTickMark val="none"/>
        <c:tickLblPos val="nextTo"/>
        <c:crossAx val="96693248"/>
        <c:crosses val="autoZero"/>
        <c:crossBetween val="between"/>
      </c:valAx>
    </c:plotArea>
    <c:legend>
      <c:legendPos val="b"/>
      <c:overlay val="0"/>
    </c:legend>
    <c:plotVisOnly val="1"/>
    <c:dispBlanksAs val="gap"/>
    <c:showDLblsOverMax val="0"/>
  </c:chart>
  <c:spPr>
    <a:ln w="9525">
      <a:solidFill>
        <a:sysClr val="windowText" lastClr="000000">
          <a:lumMod val="50000"/>
          <a:lumOff val="50000"/>
        </a:sysClr>
      </a:solidFill>
    </a:ln>
  </c:spPr>
  <c:txPr>
    <a:bodyPr/>
    <a:lstStyle/>
    <a:p>
      <a:pPr>
        <a:defRPr sz="800" b="0">
          <a:latin typeface="Times New Roman" pitchFamily="18" charset="0"/>
          <a:cs typeface="Times New Roman" pitchFamily="18" charset="0"/>
        </a:defRPr>
      </a:pPr>
      <a:endParaRPr lang="en-US"/>
    </a:p>
  </c:txPr>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Sheet1!$B$3:$B$4</c:f>
              <c:strCache>
                <c:ptCount val="2"/>
                <c:pt idx="1">
                  <c:v> Quantity Harvested  </c:v>
                </c:pt>
              </c:strCache>
            </c:strRef>
          </c:tx>
          <c:invertIfNegative val="0"/>
          <c:cat>
            <c:strRef>
              <c:f>Sheet1!$A$5:$A$29</c:f>
              <c:strCache>
                <c:ptCount val="25"/>
                <c:pt idx="0">
                  <c:v>Dodoma</c:v>
                </c:pt>
                <c:pt idx="1">
                  <c:v>Tanga</c:v>
                </c:pt>
                <c:pt idx="2">
                  <c:v>Mtwara</c:v>
                </c:pt>
                <c:pt idx="3">
                  <c:v>Mwanza</c:v>
                </c:pt>
                <c:pt idx="4">
                  <c:v>Singida</c:v>
                </c:pt>
                <c:pt idx="5">
                  <c:v>Tabora</c:v>
                </c:pt>
                <c:pt idx="6">
                  <c:v>Iringa</c:v>
                </c:pt>
                <c:pt idx="7">
                  <c:v>Shinyanga</c:v>
                </c:pt>
                <c:pt idx="8">
                  <c:v>Pwani</c:v>
                </c:pt>
                <c:pt idx="9">
                  <c:v>Geita</c:v>
                </c:pt>
                <c:pt idx="10">
                  <c:v>Morogoro</c:v>
                </c:pt>
                <c:pt idx="11">
                  <c:v>Lindi</c:v>
                </c:pt>
                <c:pt idx="12">
                  <c:v>Simiyu</c:v>
                </c:pt>
                <c:pt idx="13">
                  <c:v>Dar Es Salaam</c:v>
                </c:pt>
                <c:pt idx="14">
                  <c:v>Njombe</c:v>
                </c:pt>
                <c:pt idx="15">
                  <c:v>Kagera</c:v>
                </c:pt>
                <c:pt idx="16">
                  <c:v>Manyara</c:v>
                </c:pt>
                <c:pt idx="17">
                  <c:v>Mbeya</c:v>
                </c:pt>
                <c:pt idx="18">
                  <c:v>Ruvuma</c:v>
                </c:pt>
                <c:pt idx="19">
                  <c:v>Kilimanjaro</c:v>
                </c:pt>
                <c:pt idx="20">
                  <c:v>Kigoma</c:v>
                </c:pt>
                <c:pt idx="21">
                  <c:v>Songwe</c:v>
                </c:pt>
                <c:pt idx="22">
                  <c:v>Rukwa</c:v>
                </c:pt>
                <c:pt idx="23">
                  <c:v>Arusha</c:v>
                </c:pt>
                <c:pt idx="24">
                  <c:v>Katavi</c:v>
                </c:pt>
              </c:strCache>
            </c:strRef>
          </c:cat>
          <c:val>
            <c:numRef>
              <c:f>Sheet1!$B$5:$B$29</c:f>
              <c:numCache>
                <c:formatCode>_(* #,##0_);_(* \(#,##0\);_(* "-"_);_(@_)</c:formatCode>
                <c:ptCount val="25"/>
                <c:pt idx="0">
                  <c:v>14760.641</c:v>
                </c:pt>
                <c:pt idx="1">
                  <c:v>13380.902</c:v>
                </c:pt>
                <c:pt idx="2">
                  <c:v>13314.938</c:v>
                </c:pt>
                <c:pt idx="3">
                  <c:v>11650.485999999999</c:v>
                </c:pt>
                <c:pt idx="4">
                  <c:v>10751.995000000001</c:v>
                </c:pt>
                <c:pt idx="5">
                  <c:v>10014.684000000001</c:v>
                </c:pt>
                <c:pt idx="6">
                  <c:v>9602.3639999999996</c:v>
                </c:pt>
                <c:pt idx="7">
                  <c:v>7326.4310000000005</c:v>
                </c:pt>
                <c:pt idx="8">
                  <c:v>7289.9449999999997</c:v>
                </c:pt>
                <c:pt idx="9">
                  <c:v>7032.5150000000003</c:v>
                </c:pt>
                <c:pt idx="10">
                  <c:v>6657.7060000000001</c:v>
                </c:pt>
                <c:pt idx="11">
                  <c:v>5641.3010000000004</c:v>
                </c:pt>
                <c:pt idx="12">
                  <c:v>3645.6320000000001</c:v>
                </c:pt>
                <c:pt idx="13">
                  <c:v>3254.002</c:v>
                </c:pt>
                <c:pt idx="14">
                  <c:v>3154.5520000000001</c:v>
                </c:pt>
                <c:pt idx="15">
                  <c:v>2407.9789999999998</c:v>
                </c:pt>
                <c:pt idx="16">
                  <c:v>2174.9699999999998</c:v>
                </c:pt>
                <c:pt idx="17">
                  <c:v>1921.242</c:v>
                </c:pt>
                <c:pt idx="18">
                  <c:v>1840.5920000000001</c:v>
                </c:pt>
                <c:pt idx="19">
                  <c:v>1654.915</c:v>
                </c:pt>
                <c:pt idx="20">
                  <c:v>1170.7739999999999</c:v>
                </c:pt>
                <c:pt idx="21">
                  <c:v>166.035</c:v>
                </c:pt>
                <c:pt idx="22">
                  <c:v>159.51</c:v>
                </c:pt>
                <c:pt idx="23">
                  <c:v>147.29900000000001</c:v>
                </c:pt>
                <c:pt idx="24">
                  <c:v>85.483999999999995</c:v>
                </c:pt>
              </c:numCache>
            </c:numRef>
          </c:val>
          <c:extLst>
            <c:ext xmlns:c16="http://schemas.microsoft.com/office/drawing/2014/chart" uri="{C3380CC4-5D6E-409C-BE32-E72D297353CC}">
              <c16:uniqueId val="{00000000-70A6-284E-BDDD-0E51A89561F5}"/>
            </c:ext>
          </c:extLst>
        </c:ser>
        <c:dLbls>
          <c:showLegendKey val="0"/>
          <c:showVal val="0"/>
          <c:showCatName val="0"/>
          <c:showSerName val="0"/>
          <c:showPercent val="0"/>
          <c:showBubbleSize val="0"/>
        </c:dLbls>
        <c:gapWidth val="150"/>
        <c:axId val="96738688"/>
        <c:axId val="96744960"/>
      </c:barChart>
      <c:scatterChart>
        <c:scatterStyle val="lineMarker"/>
        <c:varyColors val="0"/>
        <c:ser>
          <c:idx val="1"/>
          <c:order val="1"/>
          <c:tx>
            <c:strRef>
              <c:f>Sheet1!$C$3:$C$4</c:f>
              <c:strCache>
                <c:ptCount val="2"/>
                <c:pt idx="1">
                  <c:v> Yield  </c:v>
                </c:pt>
              </c:strCache>
            </c:strRef>
          </c:tx>
          <c:spPr>
            <a:ln w="28575">
              <a:noFill/>
            </a:ln>
          </c:spPr>
          <c:marker>
            <c:symbol val="circle"/>
            <c:size val="4"/>
            <c:spPr>
              <a:ln cap="flat"/>
            </c:spPr>
          </c:marker>
          <c:xVal>
            <c:strRef>
              <c:f>Sheet1!$A$5:$A$29</c:f>
              <c:strCache>
                <c:ptCount val="25"/>
                <c:pt idx="0">
                  <c:v>Dodoma</c:v>
                </c:pt>
                <c:pt idx="1">
                  <c:v>Tanga</c:v>
                </c:pt>
                <c:pt idx="2">
                  <c:v>Mtwara</c:v>
                </c:pt>
                <c:pt idx="3">
                  <c:v>Mwanza</c:v>
                </c:pt>
                <c:pt idx="4">
                  <c:v>Singida</c:v>
                </c:pt>
                <c:pt idx="5">
                  <c:v>Tabora</c:v>
                </c:pt>
                <c:pt idx="6">
                  <c:v>Iringa</c:v>
                </c:pt>
                <c:pt idx="7">
                  <c:v>Shinyanga</c:v>
                </c:pt>
                <c:pt idx="8">
                  <c:v>Pwani</c:v>
                </c:pt>
                <c:pt idx="9">
                  <c:v>Geita</c:v>
                </c:pt>
                <c:pt idx="10">
                  <c:v>Morogoro</c:v>
                </c:pt>
                <c:pt idx="11">
                  <c:v>Lindi</c:v>
                </c:pt>
                <c:pt idx="12">
                  <c:v>Simiyu</c:v>
                </c:pt>
                <c:pt idx="13">
                  <c:v>Dar Es Salaam</c:v>
                </c:pt>
                <c:pt idx="14">
                  <c:v>Njombe</c:v>
                </c:pt>
                <c:pt idx="15">
                  <c:v>Kagera</c:v>
                </c:pt>
                <c:pt idx="16">
                  <c:v>Manyara</c:v>
                </c:pt>
                <c:pt idx="17">
                  <c:v>Mbeya</c:v>
                </c:pt>
                <c:pt idx="18">
                  <c:v>Ruvuma</c:v>
                </c:pt>
                <c:pt idx="19">
                  <c:v>Kilimanjaro</c:v>
                </c:pt>
                <c:pt idx="20">
                  <c:v>Kigoma</c:v>
                </c:pt>
                <c:pt idx="21">
                  <c:v>Songwe</c:v>
                </c:pt>
                <c:pt idx="22">
                  <c:v>Rukwa</c:v>
                </c:pt>
                <c:pt idx="23">
                  <c:v>Arusha</c:v>
                </c:pt>
                <c:pt idx="24">
                  <c:v>Katavi</c:v>
                </c:pt>
              </c:strCache>
            </c:strRef>
          </c:xVal>
          <c:yVal>
            <c:numRef>
              <c:f>Sheet1!$C$5:$C$29</c:f>
              <c:numCache>
                <c:formatCode>_(* #,##0.0_);_(* \(#,##0.0\);_(* "-"_);_(@_)</c:formatCode>
                <c:ptCount val="25"/>
                <c:pt idx="0">
                  <c:v>2.5529183111219989</c:v>
                </c:pt>
                <c:pt idx="1">
                  <c:v>2.6576809614982722</c:v>
                </c:pt>
                <c:pt idx="2">
                  <c:v>2.4509245975864125</c:v>
                </c:pt>
                <c:pt idx="3">
                  <c:v>2.9810863524904212</c:v>
                </c:pt>
                <c:pt idx="4">
                  <c:v>2.4988882284612495</c:v>
                </c:pt>
                <c:pt idx="5">
                  <c:v>3.1237420050492304</c:v>
                </c:pt>
                <c:pt idx="6">
                  <c:v>2.6963001640909092</c:v>
                </c:pt>
                <c:pt idx="7">
                  <c:v>2.7068796353169859</c:v>
                </c:pt>
                <c:pt idx="8">
                  <c:v>2.3189307537332646</c:v>
                </c:pt>
                <c:pt idx="9">
                  <c:v>2.4513111249823671</c:v>
                </c:pt>
                <c:pt idx="10">
                  <c:v>2.4382972470727733</c:v>
                </c:pt>
                <c:pt idx="11">
                  <c:v>2.4259754213365823</c:v>
                </c:pt>
                <c:pt idx="12">
                  <c:v>2.7019666082783447</c:v>
                </c:pt>
                <c:pt idx="13">
                  <c:v>2.2643308763728527</c:v>
                </c:pt>
                <c:pt idx="14">
                  <c:v>3.0177692574525743</c:v>
                </c:pt>
                <c:pt idx="15">
                  <c:v>3.6911390254342429</c:v>
                </c:pt>
                <c:pt idx="16">
                  <c:v>2.3125434036144576</c:v>
                </c:pt>
                <c:pt idx="17">
                  <c:v>2.8107690834813503</c:v>
                </c:pt>
                <c:pt idx="18">
                  <c:v>2.9323680412637012</c:v>
                </c:pt>
                <c:pt idx="19">
                  <c:v>2.6692525881201044</c:v>
                </c:pt>
                <c:pt idx="20">
                  <c:v>3.4115360306603773</c:v>
                </c:pt>
                <c:pt idx="21">
                  <c:v>2.9729890217391306</c:v>
                </c:pt>
                <c:pt idx="22">
                  <c:v>1.481763947368421</c:v>
                </c:pt>
                <c:pt idx="23">
                  <c:v>2.3036444873417725</c:v>
                </c:pt>
                <c:pt idx="24">
                  <c:v>2.7793547894736839</c:v>
                </c:pt>
              </c:numCache>
            </c:numRef>
          </c:yVal>
          <c:smooth val="0"/>
          <c:extLst>
            <c:ext xmlns:c16="http://schemas.microsoft.com/office/drawing/2014/chart" uri="{C3380CC4-5D6E-409C-BE32-E72D297353CC}">
              <c16:uniqueId val="{00000001-70A6-284E-BDDD-0E51A89561F5}"/>
            </c:ext>
          </c:extLst>
        </c:ser>
        <c:dLbls>
          <c:showLegendKey val="0"/>
          <c:showVal val="0"/>
          <c:showCatName val="0"/>
          <c:showSerName val="0"/>
          <c:showPercent val="0"/>
          <c:showBubbleSize val="0"/>
        </c:dLbls>
        <c:axId val="96749056"/>
        <c:axId val="96746880"/>
      </c:scatterChart>
      <c:catAx>
        <c:axId val="96738688"/>
        <c:scaling>
          <c:orientation val="minMax"/>
        </c:scaling>
        <c:delete val="0"/>
        <c:axPos val="b"/>
        <c:title>
          <c:tx>
            <c:rich>
              <a:bodyPr/>
              <a:lstStyle/>
              <a:p>
                <a:pPr>
                  <a:defRPr/>
                </a:pPr>
                <a:r>
                  <a:rPr lang="en-US"/>
                  <a:t>Region</a:t>
                </a:r>
              </a:p>
            </c:rich>
          </c:tx>
          <c:layout>
            <c:manualLayout>
              <c:xMode val="edge"/>
              <c:yMode val="edge"/>
              <c:x val="0.46562051055365233"/>
              <c:y val="0.83947092108092869"/>
            </c:manualLayout>
          </c:layout>
          <c:overlay val="0"/>
        </c:title>
        <c:numFmt formatCode="General" sourceLinked="0"/>
        <c:majorTickMark val="out"/>
        <c:minorTickMark val="none"/>
        <c:tickLblPos val="nextTo"/>
        <c:txPr>
          <a:bodyPr rot="-5400000" vert="horz"/>
          <a:lstStyle/>
          <a:p>
            <a:pPr>
              <a:defRPr/>
            </a:pPr>
            <a:endParaRPr lang="en-US"/>
          </a:p>
        </c:txPr>
        <c:crossAx val="96744960"/>
        <c:crosses val="autoZero"/>
        <c:auto val="1"/>
        <c:lblAlgn val="ctr"/>
        <c:lblOffset val="100"/>
        <c:noMultiLvlLbl val="0"/>
      </c:catAx>
      <c:valAx>
        <c:axId val="96744960"/>
        <c:scaling>
          <c:orientation val="minMax"/>
        </c:scaling>
        <c:delete val="0"/>
        <c:axPos val="l"/>
        <c:title>
          <c:tx>
            <c:rich>
              <a:bodyPr rot="-5400000" vert="horz"/>
              <a:lstStyle/>
              <a:p>
                <a:pPr>
                  <a:defRPr/>
                </a:pPr>
                <a:r>
                  <a:rPr lang="en-US"/>
                  <a:t>Quantity Harvested (Tons)</a:t>
                </a:r>
              </a:p>
            </c:rich>
          </c:tx>
          <c:overlay val="0"/>
        </c:title>
        <c:numFmt formatCode="_(* #,##0_);_(* \(#,##0\);_(* &quot;-&quot;_);_(@_)" sourceLinked="1"/>
        <c:majorTickMark val="out"/>
        <c:minorTickMark val="none"/>
        <c:tickLblPos val="nextTo"/>
        <c:crossAx val="96738688"/>
        <c:crosses val="autoZero"/>
        <c:crossBetween val="between"/>
      </c:valAx>
      <c:valAx>
        <c:axId val="96746880"/>
        <c:scaling>
          <c:orientation val="minMax"/>
        </c:scaling>
        <c:delete val="0"/>
        <c:axPos val="r"/>
        <c:title>
          <c:tx>
            <c:rich>
              <a:bodyPr rot="-5400000" vert="horz"/>
              <a:lstStyle/>
              <a:p>
                <a:pPr>
                  <a:defRPr/>
                </a:pPr>
                <a:r>
                  <a:rPr lang="en-US"/>
                  <a:t>Yield (Tons/Ha)</a:t>
                </a:r>
              </a:p>
            </c:rich>
          </c:tx>
          <c:overlay val="0"/>
        </c:title>
        <c:numFmt formatCode="_(* #,##0.0_);_(* \(#,##0.0\);_(* &quot;-&quot;_);_(@_)" sourceLinked="1"/>
        <c:majorTickMark val="out"/>
        <c:minorTickMark val="none"/>
        <c:tickLblPos val="nextTo"/>
        <c:crossAx val="96749056"/>
        <c:crosses val="max"/>
        <c:crossBetween val="midCat"/>
      </c:valAx>
      <c:valAx>
        <c:axId val="96749056"/>
        <c:scaling>
          <c:orientation val="minMax"/>
        </c:scaling>
        <c:delete val="1"/>
        <c:axPos val="b"/>
        <c:majorTickMark val="out"/>
        <c:minorTickMark val="none"/>
        <c:tickLblPos val="nextTo"/>
        <c:crossAx val="96746880"/>
        <c:crosses val="autoZero"/>
        <c:crossBetween val="midCat"/>
      </c:valAx>
    </c:plotArea>
    <c:legend>
      <c:legendPos val="b"/>
      <c:layout>
        <c:manualLayout>
          <c:xMode val="edge"/>
          <c:yMode val="edge"/>
          <c:x val="0.28142997486127586"/>
          <c:y val="0.90465338607978107"/>
          <c:w val="0.3619934512274815"/>
          <c:h val="6.7804727300985468E-2"/>
        </c:manualLayout>
      </c:layout>
      <c:overlay val="0"/>
    </c:legend>
    <c:plotVisOnly val="1"/>
    <c:dispBlanksAs val="gap"/>
    <c:showDLblsOverMax val="0"/>
  </c:chart>
  <c:spPr>
    <a:ln w="9525"/>
  </c:spPr>
  <c:txPr>
    <a:bodyPr/>
    <a:lstStyle/>
    <a:p>
      <a:pPr>
        <a:defRPr sz="800" b="0">
          <a:latin typeface="Times New Roman" pitchFamily="18" charset="0"/>
          <a:cs typeface="Times New Roman" pitchFamily="18" charset="0"/>
        </a:defRPr>
      </a:pPr>
      <a:endParaRPr lang="en-US"/>
    </a:p>
  </c:txPr>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974092944264319"/>
          <c:y val="5.1400554097404488E-2"/>
          <c:w val="0.72956409860532145"/>
          <c:h val="0.63514222884301619"/>
        </c:manualLayout>
      </c:layout>
      <c:barChart>
        <c:barDir val="col"/>
        <c:grouping val="clustered"/>
        <c:varyColors val="0"/>
        <c:ser>
          <c:idx val="0"/>
          <c:order val="0"/>
          <c:tx>
            <c:strRef>
              <c:f>'Cowpeas_AREA &amp; PROD'!$B$71</c:f>
              <c:strCache>
                <c:ptCount val="1"/>
                <c:pt idx="0">
                  <c:v> Production  </c:v>
                </c:pt>
              </c:strCache>
            </c:strRef>
          </c:tx>
          <c:invertIfNegative val="0"/>
          <c:cat>
            <c:strRef>
              <c:f>'Cowpeas_AREA &amp; PROD'!$A$72:$A$76</c:f>
              <c:strCache>
                <c:ptCount val="5"/>
                <c:pt idx="0">
                  <c:v>Kusini  Pemba</c:v>
                </c:pt>
                <c:pt idx="1">
                  <c:v>Kaskazini Pemba</c:v>
                </c:pt>
                <c:pt idx="2">
                  <c:v>Kaskazini Unguja</c:v>
                </c:pt>
                <c:pt idx="3">
                  <c:v>Mjini Magharibi</c:v>
                </c:pt>
                <c:pt idx="4">
                  <c:v>Kusini Unguja</c:v>
                </c:pt>
              </c:strCache>
            </c:strRef>
          </c:cat>
          <c:val>
            <c:numRef>
              <c:f>'Cowpeas_AREA &amp; PROD'!$B$72:$B$76</c:f>
              <c:numCache>
                <c:formatCode>_(* #,##0_);_(* \(#,##0\);_(* "-"_);_(@_)</c:formatCode>
                <c:ptCount val="5"/>
                <c:pt idx="0">
                  <c:v>2953.6370000000002</c:v>
                </c:pt>
                <c:pt idx="1">
                  <c:v>414.03300000000002</c:v>
                </c:pt>
                <c:pt idx="2">
                  <c:v>296.76900000000001</c:v>
                </c:pt>
                <c:pt idx="3">
                  <c:v>9.5579999999999998</c:v>
                </c:pt>
                <c:pt idx="4">
                  <c:v>1.133</c:v>
                </c:pt>
              </c:numCache>
            </c:numRef>
          </c:val>
          <c:extLst>
            <c:ext xmlns:c16="http://schemas.microsoft.com/office/drawing/2014/chart" uri="{C3380CC4-5D6E-409C-BE32-E72D297353CC}">
              <c16:uniqueId val="{00000000-82AE-134E-A75D-77EBED22BCDD}"/>
            </c:ext>
          </c:extLst>
        </c:ser>
        <c:dLbls>
          <c:showLegendKey val="0"/>
          <c:showVal val="0"/>
          <c:showCatName val="0"/>
          <c:showSerName val="0"/>
          <c:showPercent val="0"/>
          <c:showBubbleSize val="0"/>
        </c:dLbls>
        <c:gapWidth val="150"/>
        <c:axId val="96797440"/>
        <c:axId val="96799360"/>
      </c:barChart>
      <c:scatterChart>
        <c:scatterStyle val="lineMarker"/>
        <c:varyColors val="0"/>
        <c:ser>
          <c:idx val="1"/>
          <c:order val="1"/>
          <c:tx>
            <c:strRef>
              <c:f>'Cowpeas_AREA &amp; PROD'!$C$71</c:f>
              <c:strCache>
                <c:ptCount val="1"/>
                <c:pt idx="0">
                  <c:v> Yield  </c:v>
                </c:pt>
              </c:strCache>
            </c:strRef>
          </c:tx>
          <c:spPr>
            <a:ln w="19050">
              <a:noFill/>
            </a:ln>
          </c:spPr>
          <c:marker>
            <c:symbol val="circle"/>
            <c:size val="4"/>
          </c:marker>
          <c:xVal>
            <c:strRef>
              <c:f>'Cowpeas_AREA &amp; PROD'!$A$72:$A$76</c:f>
              <c:strCache>
                <c:ptCount val="5"/>
                <c:pt idx="0">
                  <c:v>Kusini  Pemba</c:v>
                </c:pt>
                <c:pt idx="1">
                  <c:v>Kaskazini Pemba</c:v>
                </c:pt>
                <c:pt idx="2">
                  <c:v>Kaskazini Unguja</c:v>
                </c:pt>
                <c:pt idx="3">
                  <c:v>Mjini Magharibi</c:v>
                </c:pt>
                <c:pt idx="4">
                  <c:v>Kusini Unguja</c:v>
                </c:pt>
              </c:strCache>
            </c:strRef>
          </c:xVal>
          <c:yVal>
            <c:numRef>
              <c:f>'Cowpeas_AREA &amp; PROD'!$C$72:$C$76</c:f>
              <c:numCache>
                <c:formatCode>_(* #,##0.0_);_(* \(#,##0.0\);_(* "-"_);_(@_)</c:formatCode>
                <c:ptCount val="5"/>
                <c:pt idx="0">
                  <c:v>2.8677552168958744</c:v>
                </c:pt>
                <c:pt idx="1">
                  <c:v>2.1813977462686571</c:v>
                </c:pt>
                <c:pt idx="2">
                  <c:v>3.2162991184210528</c:v>
                </c:pt>
                <c:pt idx="3">
                  <c:v>3.373974</c:v>
                </c:pt>
                <c:pt idx="4">
                  <c:v>0.93321433333333337</c:v>
                </c:pt>
              </c:numCache>
            </c:numRef>
          </c:yVal>
          <c:smooth val="0"/>
          <c:extLst>
            <c:ext xmlns:c16="http://schemas.microsoft.com/office/drawing/2014/chart" uri="{C3380CC4-5D6E-409C-BE32-E72D297353CC}">
              <c16:uniqueId val="{00000001-82AE-134E-A75D-77EBED22BCDD}"/>
            </c:ext>
          </c:extLst>
        </c:ser>
        <c:dLbls>
          <c:showLegendKey val="0"/>
          <c:showVal val="0"/>
          <c:showCatName val="0"/>
          <c:showSerName val="0"/>
          <c:showPercent val="0"/>
          <c:showBubbleSize val="0"/>
        </c:dLbls>
        <c:axId val="96815744"/>
        <c:axId val="96813824"/>
      </c:scatterChart>
      <c:catAx>
        <c:axId val="96797440"/>
        <c:scaling>
          <c:orientation val="minMax"/>
        </c:scaling>
        <c:delete val="0"/>
        <c:axPos val="b"/>
        <c:title>
          <c:tx>
            <c:rich>
              <a:bodyPr/>
              <a:lstStyle/>
              <a:p>
                <a:pPr>
                  <a:defRPr/>
                </a:pPr>
                <a:r>
                  <a:rPr lang="en-US"/>
                  <a:t>Region</a:t>
                </a:r>
              </a:p>
            </c:rich>
          </c:tx>
          <c:layout>
            <c:manualLayout>
              <c:xMode val="edge"/>
              <c:yMode val="edge"/>
              <c:x val="0.46746419102297815"/>
              <c:y val="0.81069841940301013"/>
            </c:manualLayout>
          </c:layout>
          <c:overlay val="0"/>
        </c:title>
        <c:numFmt formatCode="General" sourceLinked="0"/>
        <c:majorTickMark val="out"/>
        <c:minorTickMark val="none"/>
        <c:tickLblPos val="nextTo"/>
        <c:txPr>
          <a:bodyPr/>
          <a:lstStyle/>
          <a:p>
            <a:pPr>
              <a:defRPr sz="800"/>
            </a:pPr>
            <a:endParaRPr lang="en-US"/>
          </a:p>
        </c:txPr>
        <c:crossAx val="96799360"/>
        <c:crosses val="autoZero"/>
        <c:auto val="1"/>
        <c:lblAlgn val="ctr"/>
        <c:lblOffset val="100"/>
        <c:noMultiLvlLbl val="0"/>
      </c:catAx>
      <c:valAx>
        <c:axId val="96799360"/>
        <c:scaling>
          <c:orientation val="minMax"/>
        </c:scaling>
        <c:delete val="0"/>
        <c:axPos val="l"/>
        <c:title>
          <c:tx>
            <c:rich>
              <a:bodyPr rot="-5400000" vert="horz"/>
              <a:lstStyle/>
              <a:p>
                <a:pPr>
                  <a:defRPr/>
                </a:pPr>
                <a:r>
                  <a:rPr lang="en-US"/>
                  <a:t>Production (tons)</a:t>
                </a:r>
              </a:p>
            </c:rich>
          </c:tx>
          <c:layout>
            <c:manualLayout>
              <c:xMode val="edge"/>
              <c:yMode val="edge"/>
              <c:x val="3.1059420147351732E-2"/>
              <c:y val="0.17187744719662237"/>
            </c:manualLayout>
          </c:layout>
          <c:overlay val="0"/>
        </c:title>
        <c:numFmt formatCode="_(* #,##0_);_(* \(#,##0\);_(* &quot;-&quot;_);_(@_)" sourceLinked="1"/>
        <c:majorTickMark val="out"/>
        <c:minorTickMark val="none"/>
        <c:tickLblPos val="nextTo"/>
        <c:crossAx val="96797440"/>
        <c:crosses val="autoZero"/>
        <c:crossBetween val="between"/>
      </c:valAx>
      <c:valAx>
        <c:axId val="96813824"/>
        <c:scaling>
          <c:orientation val="minMax"/>
        </c:scaling>
        <c:delete val="0"/>
        <c:axPos val="r"/>
        <c:title>
          <c:tx>
            <c:rich>
              <a:bodyPr rot="-5400000" vert="horz"/>
              <a:lstStyle/>
              <a:p>
                <a:pPr>
                  <a:defRPr/>
                </a:pPr>
                <a:r>
                  <a:rPr lang="en-US"/>
                  <a:t>Yield (tons/ha)</a:t>
                </a:r>
              </a:p>
            </c:rich>
          </c:tx>
          <c:layout>
            <c:manualLayout>
              <c:xMode val="edge"/>
              <c:yMode val="edge"/>
              <c:x val="0.94717634623300451"/>
              <c:y val="0.19195665459928118"/>
            </c:manualLayout>
          </c:layout>
          <c:overlay val="0"/>
        </c:title>
        <c:numFmt formatCode="_(* #,##0.0_);_(* \(#,##0.0\);_(* &quot;-&quot;_);_(@_)" sourceLinked="1"/>
        <c:majorTickMark val="out"/>
        <c:minorTickMark val="none"/>
        <c:tickLblPos val="nextTo"/>
        <c:crossAx val="96815744"/>
        <c:crosses val="max"/>
        <c:crossBetween val="midCat"/>
      </c:valAx>
      <c:valAx>
        <c:axId val="96815744"/>
        <c:scaling>
          <c:orientation val="minMax"/>
        </c:scaling>
        <c:delete val="1"/>
        <c:axPos val="b"/>
        <c:majorTickMark val="out"/>
        <c:minorTickMark val="none"/>
        <c:tickLblPos val="none"/>
        <c:crossAx val="96813824"/>
        <c:crosses val="autoZero"/>
        <c:crossBetween val="midCat"/>
      </c:valAx>
    </c:plotArea>
    <c:legend>
      <c:legendPos val="b"/>
      <c:layout>
        <c:manualLayout>
          <c:xMode val="edge"/>
          <c:yMode val="edge"/>
          <c:x val="0.26482362430964224"/>
          <c:y val="0.89845678262446005"/>
          <c:w val="0.47035273531984972"/>
          <c:h val="6.3261633003209028E-2"/>
        </c:manualLayout>
      </c:layout>
      <c:overlay val="0"/>
    </c:legend>
    <c:plotVisOnly val="1"/>
    <c:dispBlanksAs val="gap"/>
    <c:showDLblsOverMax val="0"/>
  </c:chart>
  <c:spPr>
    <a:ln w="9525">
      <a:solidFill>
        <a:sysClr val="windowText" lastClr="000000">
          <a:lumMod val="50000"/>
          <a:lumOff val="50000"/>
        </a:sysClr>
      </a:solidFill>
    </a:ln>
  </c:spPr>
  <c:txPr>
    <a:bodyPr/>
    <a:lstStyle/>
    <a:p>
      <a:pPr>
        <a:defRPr sz="900" b="0">
          <a:solidFill>
            <a:schemeClr val="tx1"/>
          </a:solidFill>
          <a:latin typeface="Times New Roman" pitchFamily="18" charset="0"/>
          <a:cs typeface="Times New Roman" pitchFamily="18" charset="0"/>
        </a:defRPr>
      </a:pPr>
      <a:endParaRPr lang="en-US"/>
    </a:p>
  </c:txPr>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96894138232721"/>
          <c:y val="5.1400554097404488E-2"/>
          <c:w val="0.85105132691746865"/>
          <c:h val="0.55679743844336171"/>
        </c:manualLayout>
      </c:layout>
      <c:barChart>
        <c:barDir val="col"/>
        <c:grouping val="clustered"/>
        <c:varyColors val="0"/>
        <c:ser>
          <c:idx val="0"/>
          <c:order val="0"/>
          <c:tx>
            <c:strRef>
              <c:f>'Green gram_AREA &amp; PROD'!$B$3</c:f>
              <c:strCache>
                <c:ptCount val="1"/>
                <c:pt idx="0">
                  <c:v> Planted Area  </c:v>
                </c:pt>
              </c:strCache>
            </c:strRef>
          </c:tx>
          <c:invertIfNegative val="0"/>
          <c:cat>
            <c:strRef>
              <c:f>'Green gram_AREA &amp; PROD'!$A$4:$A$24</c:f>
              <c:strCache>
                <c:ptCount val="21"/>
                <c:pt idx="0">
                  <c:v>Mwanza</c:v>
                </c:pt>
                <c:pt idx="1">
                  <c:v>Simiyu</c:v>
                </c:pt>
                <c:pt idx="2">
                  <c:v>Mtwara</c:v>
                </c:pt>
                <c:pt idx="3">
                  <c:v>Singida</c:v>
                </c:pt>
                <c:pt idx="4">
                  <c:v>Shinyanga</c:v>
                </c:pt>
                <c:pt idx="5">
                  <c:v>Dodoma</c:v>
                </c:pt>
                <c:pt idx="6">
                  <c:v>Tabora</c:v>
                </c:pt>
                <c:pt idx="7">
                  <c:v>Arusha</c:v>
                </c:pt>
                <c:pt idx="8">
                  <c:v>Tanga</c:v>
                </c:pt>
                <c:pt idx="9">
                  <c:v>Manyara</c:v>
                </c:pt>
                <c:pt idx="10">
                  <c:v>Morogoro</c:v>
                </c:pt>
                <c:pt idx="11">
                  <c:v>Kilimanjaro</c:v>
                </c:pt>
                <c:pt idx="12">
                  <c:v>Pwani</c:v>
                </c:pt>
                <c:pt idx="13">
                  <c:v>Geita</c:v>
                </c:pt>
                <c:pt idx="14">
                  <c:v>Ruvuma</c:v>
                </c:pt>
                <c:pt idx="15">
                  <c:v>Mara</c:v>
                </c:pt>
                <c:pt idx="16">
                  <c:v>Dar Es Salaam</c:v>
                </c:pt>
                <c:pt idx="17">
                  <c:v>Songwe</c:v>
                </c:pt>
                <c:pt idx="18">
                  <c:v>Lindi</c:v>
                </c:pt>
                <c:pt idx="19">
                  <c:v>Kagera</c:v>
                </c:pt>
                <c:pt idx="20">
                  <c:v>Mbeya</c:v>
                </c:pt>
              </c:strCache>
            </c:strRef>
          </c:cat>
          <c:val>
            <c:numRef>
              <c:f>'Green gram_AREA &amp; PROD'!$B$4:$B$24</c:f>
              <c:numCache>
                <c:formatCode>_(* #,##0_);_(* \(#,##0\);_(* "-"_);_(@_)</c:formatCode>
                <c:ptCount val="21"/>
                <c:pt idx="0">
                  <c:v>28042.08822339134</c:v>
                </c:pt>
                <c:pt idx="1">
                  <c:v>13367.462565762849</c:v>
                </c:pt>
                <c:pt idx="2">
                  <c:v>12643.464184540671</c:v>
                </c:pt>
                <c:pt idx="3">
                  <c:v>7796.8433832456494</c:v>
                </c:pt>
                <c:pt idx="4">
                  <c:v>7409.5507891541884</c:v>
                </c:pt>
                <c:pt idx="5">
                  <c:v>5096.7219749089436</c:v>
                </c:pt>
                <c:pt idx="6">
                  <c:v>3522.4605422905706</c:v>
                </c:pt>
                <c:pt idx="7">
                  <c:v>2843.3832456495347</c:v>
                </c:pt>
                <c:pt idx="8">
                  <c:v>2453.2577903682718</c:v>
                </c:pt>
                <c:pt idx="9">
                  <c:v>1808.1748280048562</c:v>
                </c:pt>
                <c:pt idx="10">
                  <c:v>1751.5176042088224</c:v>
                </c:pt>
                <c:pt idx="11">
                  <c:v>1280.4532577903683</c:v>
                </c:pt>
                <c:pt idx="12">
                  <c:v>535.00607041683531</c:v>
                </c:pt>
                <c:pt idx="13">
                  <c:v>506.6774585188183</c:v>
                </c:pt>
                <c:pt idx="14">
                  <c:v>407.5273168757588</c:v>
                </c:pt>
                <c:pt idx="15">
                  <c:v>386.07851072440303</c:v>
                </c:pt>
                <c:pt idx="16">
                  <c:v>334.27762039660058</c:v>
                </c:pt>
                <c:pt idx="17">
                  <c:v>194.65803318494537</c:v>
                </c:pt>
                <c:pt idx="18">
                  <c:v>101.98300283286119</c:v>
                </c:pt>
                <c:pt idx="19">
                  <c:v>21.853500607041681</c:v>
                </c:pt>
                <c:pt idx="20">
                  <c:v>10.926750303520841</c:v>
                </c:pt>
              </c:numCache>
            </c:numRef>
          </c:val>
          <c:extLst>
            <c:ext xmlns:c16="http://schemas.microsoft.com/office/drawing/2014/chart" uri="{C3380CC4-5D6E-409C-BE32-E72D297353CC}">
              <c16:uniqueId val="{00000000-80DB-3147-AFB4-12FED4E1C633}"/>
            </c:ext>
          </c:extLst>
        </c:ser>
        <c:ser>
          <c:idx val="1"/>
          <c:order val="1"/>
          <c:tx>
            <c:strRef>
              <c:f>'Green gram_AREA &amp; PROD'!$C$3</c:f>
              <c:strCache>
                <c:ptCount val="1"/>
                <c:pt idx="0">
                  <c:v> Harvested Area </c:v>
                </c:pt>
              </c:strCache>
            </c:strRef>
          </c:tx>
          <c:spPr>
            <a:solidFill>
              <a:srgbClr val="FFFF00"/>
            </a:solidFill>
          </c:spPr>
          <c:invertIfNegative val="0"/>
          <c:cat>
            <c:strRef>
              <c:f>'Green gram_AREA &amp; PROD'!$A$4:$A$24</c:f>
              <c:strCache>
                <c:ptCount val="21"/>
                <c:pt idx="0">
                  <c:v>Mwanza</c:v>
                </c:pt>
                <c:pt idx="1">
                  <c:v>Simiyu</c:v>
                </c:pt>
                <c:pt idx="2">
                  <c:v>Mtwara</c:v>
                </c:pt>
                <c:pt idx="3">
                  <c:v>Singida</c:v>
                </c:pt>
                <c:pt idx="4">
                  <c:v>Shinyanga</c:v>
                </c:pt>
                <c:pt idx="5">
                  <c:v>Dodoma</c:v>
                </c:pt>
                <c:pt idx="6">
                  <c:v>Tabora</c:v>
                </c:pt>
                <c:pt idx="7">
                  <c:v>Arusha</c:v>
                </c:pt>
                <c:pt idx="8">
                  <c:v>Tanga</c:v>
                </c:pt>
                <c:pt idx="9">
                  <c:v>Manyara</c:v>
                </c:pt>
                <c:pt idx="10">
                  <c:v>Morogoro</c:v>
                </c:pt>
                <c:pt idx="11">
                  <c:v>Kilimanjaro</c:v>
                </c:pt>
                <c:pt idx="12">
                  <c:v>Pwani</c:v>
                </c:pt>
                <c:pt idx="13">
                  <c:v>Geita</c:v>
                </c:pt>
                <c:pt idx="14">
                  <c:v>Ruvuma</c:v>
                </c:pt>
                <c:pt idx="15">
                  <c:v>Mara</c:v>
                </c:pt>
                <c:pt idx="16">
                  <c:v>Dar Es Salaam</c:v>
                </c:pt>
                <c:pt idx="17">
                  <c:v>Songwe</c:v>
                </c:pt>
                <c:pt idx="18">
                  <c:v>Lindi</c:v>
                </c:pt>
                <c:pt idx="19">
                  <c:v>Kagera</c:v>
                </c:pt>
                <c:pt idx="20">
                  <c:v>Mbeya</c:v>
                </c:pt>
              </c:strCache>
            </c:strRef>
          </c:cat>
          <c:val>
            <c:numRef>
              <c:f>'Green gram_AREA &amp; PROD'!$C$4:$C$24</c:f>
              <c:numCache>
                <c:formatCode>_(* #,##0_);_(* \(#,##0\);_(* "-"_);_(@_)</c:formatCode>
                <c:ptCount val="21"/>
                <c:pt idx="0">
                  <c:v>21659.651962768108</c:v>
                </c:pt>
                <c:pt idx="1">
                  <c:v>12579.52246054229</c:v>
                </c:pt>
                <c:pt idx="2">
                  <c:v>11314.852286523674</c:v>
                </c:pt>
                <c:pt idx="3">
                  <c:v>7259.8138405503842</c:v>
                </c:pt>
                <c:pt idx="4">
                  <c:v>5570.2144880615133</c:v>
                </c:pt>
                <c:pt idx="5">
                  <c:v>3701.7401861594494</c:v>
                </c:pt>
                <c:pt idx="6">
                  <c:v>2804.1278834479967</c:v>
                </c:pt>
                <c:pt idx="7">
                  <c:v>594.49615540267098</c:v>
                </c:pt>
                <c:pt idx="8">
                  <c:v>2057.8713071630918</c:v>
                </c:pt>
                <c:pt idx="9">
                  <c:v>1714.2857142857142</c:v>
                </c:pt>
                <c:pt idx="10">
                  <c:v>1701.7401861594496</c:v>
                </c:pt>
                <c:pt idx="11">
                  <c:v>1093.8891137191422</c:v>
                </c:pt>
                <c:pt idx="12">
                  <c:v>450.02023472278427</c:v>
                </c:pt>
                <c:pt idx="13">
                  <c:v>506.6774585188183</c:v>
                </c:pt>
                <c:pt idx="14">
                  <c:v>407.5273168757588</c:v>
                </c:pt>
                <c:pt idx="15">
                  <c:v>200.32375556454878</c:v>
                </c:pt>
                <c:pt idx="16">
                  <c:v>334.27762039660058</c:v>
                </c:pt>
                <c:pt idx="17">
                  <c:v>194.65803318494537</c:v>
                </c:pt>
                <c:pt idx="18">
                  <c:v>38.850667745851879</c:v>
                </c:pt>
                <c:pt idx="19">
                  <c:v>10.926750303520841</c:v>
                </c:pt>
                <c:pt idx="20">
                  <c:v>0</c:v>
                </c:pt>
              </c:numCache>
            </c:numRef>
          </c:val>
          <c:extLst>
            <c:ext xmlns:c16="http://schemas.microsoft.com/office/drawing/2014/chart" uri="{C3380CC4-5D6E-409C-BE32-E72D297353CC}">
              <c16:uniqueId val="{00000001-80DB-3147-AFB4-12FED4E1C633}"/>
            </c:ext>
          </c:extLst>
        </c:ser>
        <c:dLbls>
          <c:showLegendKey val="0"/>
          <c:showVal val="0"/>
          <c:showCatName val="0"/>
          <c:showSerName val="0"/>
          <c:showPercent val="0"/>
          <c:showBubbleSize val="0"/>
        </c:dLbls>
        <c:gapWidth val="150"/>
        <c:axId val="96847360"/>
        <c:axId val="96849280"/>
      </c:barChart>
      <c:catAx>
        <c:axId val="96847360"/>
        <c:scaling>
          <c:orientation val="minMax"/>
        </c:scaling>
        <c:delete val="0"/>
        <c:axPos val="b"/>
        <c:title>
          <c:tx>
            <c:rich>
              <a:bodyPr/>
              <a:lstStyle/>
              <a:p>
                <a:pPr>
                  <a:defRPr/>
                </a:pPr>
                <a:r>
                  <a:rPr lang="en-US"/>
                  <a:t>Region</a:t>
                </a:r>
              </a:p>
            </c:rich>
          </c:tx>
          <c:layout>
            <c:manualLayout>
              <c:xMode val="edge"/>
              <c:yMode val="edge"/>
              <c:x val="0.52516878098571007"/>
              <c:y val="0.84998329754235269"/>
            </c:manualLayout>
          </c:layout>
          <c:overlay val="0"/>
        </c:title>
        <c:numFmt formatCode="General" sourceLinked="0"/>
        <c:majorTickMark val="out"/>
        <c:minorTickMark val="none"/>
        <c:tickLblPos val="nextTo"/>
        <c:txPr>
          <a:bodyPr rot="-5400000" vert="horz"/>
          <a:lstStyle/>
          <a:p>
            <a:pPr>
              <a:defRPr/>
            </a:pPr>
            <a:endParaRPr lang="en-US"/>
          </a:p>
        </c:txPr>
        <c:crossAx val="96849280"/>
        <c:crosses val="autoZero"/>
        <c:auto val="1"/>
        <c:lblAlgn val="ctr"/>
        <c:lblOffset val="100"/>
        <c:noMultiLvlLbl val="0"/>
      </c:catAx>
      <c:valAx>
        <c:axId val="96849280"/>
        <c:scaling>
          <c:orientation val="minMax"/>
        </c:scaling>
        <c:delete val="0"/>
        <c:axPos val="l"/>
        <c:title>
          <c:tx>
            <c:rich>
              <a:bodyPr rot="-5400000" vert="horz"/>
              <a:lstStyle/>
              <a:p>
                <a:pPr>
                  <a:defRPr/>
                </a:pPr>
                <a:r>
                  <a:rPr lang="en-US"/>
                  <a:t>Area (ha)</a:t>
                </a:r>
              </a:p>
            </c:rich>
          </c:tx>
          <c:layout>
            <c:manualLayout>
              <c:xMode val="edge"/>
              <c:yMode val="edge"/>
              <c:x val="2.4676919264067943E-2"/>
              <c:y val="0.24630683893637531"/>
            </c:manualLayout>
          </c:layout>
          <c:overlay val="0"/>
        </c:title>
        <c:numFmt formatCode="_(* #,##0_);_(* \(#,##0\);_(* &quot;-&quot;_);_(@_)" sourceLinked="1"/>
        <c:majorTickMark val="out"/>
        <c:minorTickMark val="none"/>
        <c:tickLblPos val="nextTo"/>
        <c:crossAx val="96847360"/>
        <c:crosses val="autoZero"/>
        <c:crossBetween val="between"/>
      </c:valAx>
    </c:plotArea>
    <c:legend>
      <c:legendPos val="b"/>
      <c:layout>
        <c:manualLayout>
          <c:xMode val="edge"/>
          <c:yMode val="edge"/>
          <c:x val="0.34200490260672423"/>
          <c:y val="0.91069898170018915"/>
          <c:w val="0.41130217528084395"/>
          <c:h val="6.4796219443368025E-2"/>
        </c:manualLayout>
      </c:layout>
      <c:overlay val="0"/>
    </c:legend>
    <c:plotVisOnly val="1"/>
    <c:dispBlanksAs val="gap"/>
    <c:showDLblsOverMax val="0"/>
  </c:chart>
  <c:spPr>
    <a:ln w="9525">
      <a:solidFill>
        <a:sysClr val="windowText" lastClr="000000">
          <a:lumMod val="50000"/>
          <a:lumOff val="50000"/>
        </a:sysClr>
      </a:solidFill>
    </a:ln>
  </c:spPr>
  <c:txPr>
    <a:bodyPr/>
    <a:lstStyle/>
    <a:p>
      <a:pPr>
        <a:defRPr sz="800" b="0">
          <a:solidFill>
            <a:schemeClr val="tx1"/>
          </a:solidFill>
          <a:latin typeface="Times New Roman" pitchFamily="18" charset="0"/>
          <a:cs typeface="Times New Roman" pitchFamily="18" charset="0"/>
        </a:defRPr>
      </a:pPr>
      <a:endParaRPr lang="en-US"/>
    </a:p>
  </c:txPr>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627001814955726"/>
          <c:y val="5.1400554097404488E-2"/>
          <c:w val="0.86052727718710875"/>
          <c:h val="0.64052274715660551"/>
        </c:manualLayout>
      </c:layout>
      <c:barChart>
        <c:barDir val="col"/>
        <c:grouping val="clustered"/>
        <c:varyColors val="0"/>
        <c:ser>
          <c:idx val="0"/>
          <c:order val="0"/>
          <c:tx>
            <c:strRef>
              <c:f>'Green gram_AREA &amp; PROD'!$B$32</c:f>
              <c:strCache>
                <c:ptCount val="1"/>
                <c:pt idx="0">
                  <c:v> Planted Area </c:v>
                </c:pt>
              </c:strCache>
            </c:strRef>
          </c:tx>
          <c:invertIfNegative val="0"/>
          <c:cat>
            <c:strRef>
              <c:f>'Green gram_AREA &amp; PROD'!$A$33:$A$37</c:f>
              <c:strCache>
                <c:ptCount val="5"/>
                <c:pt idx="0">
                  <c:v>Kusini  Pemba</c:v>
                </c:pt>
                <c:pt idx="1">
                  <c:v>Kaskazini Unguja</c:v>
                </c:pt>
                <c:pt idx="2">
                  <c:v>Kusini Unguja</c:v>
                </c:pt>
                <c:pt idx="3">
                  <c:v>Kaskazini Pemba</c:v>
                </c:pt>
                <c:pt idx="4">
                  <c:v>Mjini Magharibi</c:v>
                </c:pt>
              </c:strCache>
            </c:strRef>
          </c:cat>
          <c:val>
            <c:numRef>
              <c:f>'Green gram_AREA &amp; PROD'!$B$33:$B$37</c:f>
              <c:numCache>
                <c:formatCode>_(* #,##0_);_(* \(#,##0\);_(* "-"_);_(@_)</c:formatCode>
                <c:ptCount val="5"/>
                <c:pt idx="0">
                  <c:v>288.14245244840146</c:v>
                </c:pt>
                <c:pt idx="1">
                  <c:v>102.38769728854714</c:v>
                </c:pt>
                <c:pt idx="2">
                  <c:v>87.414002428166739</c:v>
                </c:pt>
                <c:pt idx="3">
                  <c:v>17.806556050182113</c:v>
                </c:pt>
                <c:pt idx="4">
                  <c:v>0</c:v>
                </c:pt>
              </c:numCache>
            </c:numRef>
          </c:val>
          <c:extLst>
            <c:ext xmlns:c16="http://schemas.microsoft.com/office/drawing/2014/chart" uri="{C3380CC4-5D6E-409C-BE32-E72D297353CC}">
              <c16:uniqueId val="{00000000-52D5-4E4A-97D3-45DDB9B177CA}"/>
            </c:ext>
          </c:extLst>
        </c:ser>
        <c:ser>
          <c:idx val="1"/>
          <c:order val="1"/>
          <c:tx>
            <c:strRef>
              <c:f>'Green gram_AREA &amp; PROD'!$C$32</c:f>
              <c:strCache>
                <c:ptCount val="1"/>
                <c:pt idx="0">
                  <c:v> Harvested Area </c:v>
                </c:pt>
              </c:strCache>
            </c:strRef>
          </c:tx>
          <c:spPr>
            <a:solidFill>
              <a:srgbClr val="FFFF00"/>
            </a:solidFill>
          </c:spPr>
          <c:invertIfNegative val="0"/>
          <c:cat>
            <c:strRef>
              <c:f>'Green gram_AREA &amp; PROD'!$A$33:$A$37</c:f>
              <c:strCache>
                <c:ptCount val="5"/>
                <c:pt idx="0">
                  <c:v>Kusini  Pemba</c:v>
                </c:pt>
                <c:pt idx="1">
                  <c:v>Kaskazini Unguja</c:v>
                </c:pt>
                <c:pt idx="2">
                  <c:v>Kusini Unguja</c:v>
                </c:pt>
                <c:pt idx="3">
                  <c:v>Kaskazini Pemba</c:v>
                </c:pt>
                <c:pt idx="4">
                  <c:v>Mjini Magharibi</c:v>
                </c:pt>
              </c:strCache>
            </c:strRef>
          </c:cat>
          <c:val>
            <c:numRef>
              <c:f>'Green gram_AREA &amp; PROD'!$C$33:$C$37</c:f>
              <c:numCache>
                <c:formatCode>_(* #,##0_);_(* \(#,##0\);_(* "-"_);_(@_)</c:formatCode>
                <c:ptCount val="5"/>
                <c:pt idx="0">
                  <c:v>246.05422905706192</c:v>
                </c:pt>
                <c:pt idx="1">
                  <c:v>77.296641036017803</c:v>
                </c:pt>
                <c:pt idx="2">
                  <c:v>50.586806960744639</c:v>
                </c:pt>
                <c:pt idx="3">
                  <c:v>17.806556050182113</c:v>
                </c:pt>
                <c:pt idx="4">
                  <c:v>0</c:v>
                </c:pt>
              </c:numCache>
            </c:numRef>
          </c:val>
          <c:extLst>
            <c:ext xmlns:c16="http://schemas.microsoft.com/office/drawing/2014/chart" uri="{C3380CC4-5D6E-409C-BE32-E72D297353CC}">
              <c16:uniqueId val="{00000001-52D5-4E4A-97D3-45DDB9B177CA}"/>
            </c:ext>
          </c:extLst>
        </c:ser>
        <c:dLbls>
          <c:showLegendKey val="0"/>
          <c:showVal val="0"/>
          <c:showCatName val="0"/>
          <c:showSerName val="0"/>
          <c:showPercent val="0"/>
          <c:showBubbleSize val="0"/>
        </c:dLbls>
        <c:gapWidth val="150"/>
        <c:axId val="96892032"/>
        <c:axId val="96893952"/>
      </c:barChart>
      <c:catAx>
        <c:axId val="96892032"/>
        <c:scaling>
          <c:orientation val="minMax"/>
        </c:scaling>
        <c:delete val="0"/>
        <c:axPos val="b"/>
        <c:title>
          <c:tx>
            <c:rich>
              <a:bodyPr/>
              <a:lstStyle/>
              <a:p>
                <a:pPr>
                  <a:defRPr/>
                </a:pPr>
                <a:r>
                  <a:rPr lang="en-US"/>
                  <a:t>Region</a:t>
                </a:r>
              </a:p>
            </c:rich>
          </c:tx>
          <c:layout>
            <c:manualLayout>
              <c:xMode val="edge"/>
              <c:yMode val="edge"/>
              <c:x val="0.50293181586154545"/>
              <c:y val="0.81348170020414112"/>
            </c:manualLayout>
          </c:layout>
          <c:overlay val="0"/>
        </c:title>
        <c:numFmt formatCode="General" sourceLinked="0"/>
        <c:majorTickMark val="out"/>
        <c:minorTickMark val="none"/>
        <c:tickLblPos val="nextTo"/>
        <c:crossAx val="96893952"/>
        <c:crosses val="autoZero"/>
        <c:auto val="1"/>
        <c:lblAlgn val="ctr"/>
        <c:lblOffset val="100"/>
        <c:noMultiLvlLbl val="0"/>
      </c:catAx>
      <c:valAx>
        <c:axId val="96893952"/>
        <c:scaling>
          <c:orientation val="minMax"/>
        </c:scaling>
        <c:delete val="0"/>
        <c:axPos val="l"/>
        <c:title>
          <c:tx>
            <c:rich>
              <a:bodyPr rot="-5400000" vert="horz"/>
              <a:lstStyle/>
              <a:p>
                <a:pPr>
                  <a:defRPr/>
                </a:pPr>
                <a:r>
                  <a:rPr lang="en-US"/>
                  <a:t>Area (ha)</a:t>
                </a:r>
              </a:p>
            </c:rich>
          </c:tx>
          <c:layout>
            <c:manualLayout>
              <c:xMode val="edge"/>
              <c:yMode val="edge"/>
              <c:x val="2.5651516123842786E-2"/>
              <c:y val="0.24734867601009333"/>
            </c:manualLayout>
          </c:layout>
          <c:overlay val="0"/>
        </c:title>
        <c:numFmt formatCode="_(* #,##0_);_(* \(#,##0\);_(* &quot;-&quot;_);_(@_)" sourceLinked="1"/>
        <c:majorTickMark val="out"/>
        <c:minorTickMark val="none"/>
        <c:tickLblPos val="nextTo"/>
        <c:crossAx val="96892032"/>
        <c:crosses val="autoZero"/>
        <c:crossBetween val="between"/>
      </c:valAx>
    </c:plotArea>
    <c:legend>
      <c:legendPos val="b"/>
      <c:overlay val="0"/>
    </c:legend>
    <c:plotVisOnly val="1"/>
    <c:dispBlanksAs val="gap"/>
    <c:showDLblsOverMax val="0"/>
  </c:chart>
  <c:spPr>
    <a:ln w="9525">
      <a:solidFill>
        <a:sysClr val="windowText" lastClr="000000">
          <a:lumMod val="50000"/>
          <a:lumOff val="50000"/>
        </a:sysClr>
      </a:solidFill>
    </a:ln>
  </c:spPr>
  <c:txPr>
    <a:bodyPr/>
    <a:lstStyle/>
    <a:p>
      <a:pPr>
        <a:defRPr sz="800" b="0">
          <a:solidFill>
            <a:schemeClr val="tx1"/>
          </a:solidFill>
          <a:latin typeface="Times New Roman" pitchFamily="18" charset="0"/>
          <a:cs typeface="Times New Roman" pitchFamily="18" charset="0"/>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323617660375235"/>
          <c:y val="6.8835684879491585E-2"/>
          <c:w val="0.79274505969398956"/>
          <c:h val="0.53142573869335152"/>
        </c:manualLayout>
      </c:layout>
      <c:barChart>
        <c:barDir val="col"/>
        <c:grouping val="clustered"/>
        <c:varyColors val="0"/>
        <c:ser>
          <c:idx val="0"/>
          <c:order val="0"/>
          <c:spPr>
            <a:solidFill>
              <a:srgbClr val="4F81BD"/>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Sheet10!$I$5:$I$35</c:f>
              <c:strCache>
                <c:ptCount val="31"/>
                <c:pt idx="0">
                  <c:v>Simiyu</c:v>
                </c:pt>
                <c:pt idx="1">
                  <c:v>Tabora</c:v>
                </c:pt>
                <c:pt idx="2">
                  <c:v>Geita</c:v>
                </c:pt>
                <c:pt idx="3">
                  <c:v>Shinyanga</c:v>
                </c:pt>
                <c:pt idx="4">
                  <c:v>Kusini  Pemba</c:v>
                </c:pt>
                <c:pt idx="5">
                  <c:v>Mwanza</c:v>
                </c:pt>
                <c:pt idx="6">
                  <c:v>Mjini Magharibi</c:v>
                </c:pt>
                <c:pt idx="7">
                  <c:v>Katavi</c:v>
                </c:pt>
                <c:pt idx="8">
                  <c:v>Kaskazini Pemba</c:v>
                </c:pt>
                <c:pt idx="9">
                  <c:v>Rukwa</c:v>
                </c:pt>
                <c:pt idx="10">
                  <c:v>Kaskazini Unguja</c:v>
                </c:pt>
                <c:pt idx="11">
                  <c:v>Singida</c:v>
                </c:pt>
                <c:pt idx="12">
                  <c:v>Mara</c:v>
                </c:pt>
                <c:pt idx="13">
                  <c:v>Kigoma</c:v>
                </c:pt>
                <c:pt idx="14">
                  <c:v>Manyara</c:v>
                </c:pt>
                <c:pt idx="15">
                  <c:v>Kusini Unguja</c:v>
                </c:pt>
                <c:pt idx="16">
                  <c:v>Kagera</c:v>
                </c:pt>
                <c:pt idx="17">
                  <c:v>Arusha</c:v>
                </c:pt>
                <c:pt idx="18">
                  <c:v>Tanga</c:v>
                </c:pt>
                <c:pt idx="19">
                  <c:v>Songwe</c:v>
                </c:pt>
                <c:pt idx="20">
                  <c:v>Ruvuma</c:v>
                </c:pt>
                <c:pt idx="21">
                  <c:v>Dodoma</c:v>
                </c:pt>
                <c:pt idx="22">
                  <c:v>Pwani</c:v>
                </c:pt>
                <c:pt idx="23">
                  <c:v>Mbeya</c:v>
                </c:pt>
                <c:pt idx="24">
                  <c:v>Morogoro</c:v>
                </c:pt>
                <c:pt idx="25">
                  <c:v>Dar Es Salaam</c:v>
                </c:pt>
                <c:pt idx="26">
                  <c:v>Iringa</c:v>
                </c:pt>
                <c:pt idx="27">
                  <c:v>Kilimanjaro</c:v>
                </c:pt>
                <c:pt idx="28">
                  <c:v>Mtwara</c:v>
                </c:pt>
                <c:pt idx="29">
                  <c:v>Lindi</c:v>
                </c:pt>
                <c:pt idx="30">
                  <c:v>Njombe</c:v>
                </c:pt>
              </c:strCache>
            </c:strRef>
          </c:cat>
          <c:val>
            <c:numRef>
              <c:f>Sheet10!$N$5:$N$35</c:f>
              <c:numCache>
                <c:formatCode>0.0</c:formatCode>
                <c:ptCount val="31"/>
                <c:pt idx="0">
                  <c:v>7.2838745025983869</c:v>
                </c:pt>
                <c:pt idx="1">
                  <c:v>7.1140062329209588</c:v>
                </c:pt>
                <c:pt idx="2">
                  <c:v>7.0670652186028882</c:v>
                </c:pt>
                <c:pt idx="3">
                  <c:v>6.6719205957272383</c:v>
                </c:pt>
                <c:pt idx="4">
                  <c:v>6.3684510564740062</c:v>
                </c:pt>
                <c:pt idx="5">
                  <c:v>6.235039430195501</c:v>
                </c:pt>
                <c:pt idx="6">
                  <c:v>6.2042483204638588</c:v>
                </c:pt>
                <c:pt idx="7">
                  <c:v>6.1101252813300899</c:v>
                </c:pt>
                <c:pt idx="8">
                  <c:v>6.0461489419092223</c:v>
                </c:pt>
                <c:pt idx="9">
                  <c:v>5.8536808874267461</c:v>
                </c:pt>
                <c:pt idx="10">
                  <c:v>5.802019370766601</c:v>
                </c:pt>
                <c:pt idx="11">
                  <c:v>5.7019900096089664</c:v>
                </c:pt>
                <c:pt idx="12">
                  <c:v>5.6114452552248313</c:v>
                </c:pt>
                <c:pt idx="13">
                  <c:v>5.5317758297022204</c:v>
                </c:pt>
                <c:pt idx="14">
                  <c:v>5.4190997120018807</c:v>
                </c:pt>
                <c:pt idx="15">
                  <c:v>5.1802421417609272</c:v>
                </c:pt>
                <c:pt idx="16">
                  <c:v>5.1175378194232524</c:v>
                </c:pt>
                <c:pt idx="17">
                  <c:v>5.0717640351829729</c:v>
                </c:pt>
                <c:pt idx="18">
                  <c:v>4.9558125505105117</c:v>
                </c:pt>
                <c:pt idx="19">
                  <c:v>4.8789440068128593</c:v>
                </c:pt>
                <c:pt idx="20">
                  <c:v>4.7952683573278714</c:v>
                </c:pt>
                <c:pt idx="21">
                  <c:v>4.7842645663611343</c:v>
                </c:pt>
                <c:pt idx="22">
                  <c:v>4.7691089890373117</c:v>
                </c:pt>
                <c:pt idx="23">
                  <c:v>4.6620446144509629</c:v>
                </c:pt>
                <c:pt idx="24">
                  <c:v>4.5983698598311777</c:v>
                </c:pt>
                <c:pt idx="25">
                  <c:v>4.4616944243301955</c:v>
                </c:pt>
                <c:pt idx="26">
                  <c:v>4.4499081079790912</c:v>
                </c:pt>
                <c:pt idx="27">
                  <c:v>4.0966630537084923</c:v>
                </c:pt>
                <c:pt idx="28">
                  <c:v>4.0597900561904572</c:v>
                </c:pt>
                <c:pt idx="29">
                  <c:v>3.7781846523617109</c:v>
                </c:pt>
                <c:pt idx="30">
                  <c:v>3.6744197666575062</c:v>
                </c:pt>
              </c:numCache>
            </c:numRef>
          </c:val>
          <c:extLst>
            <c:ext xmlns:c16="http://schemas.microsoft.com/office/drawing/2014/chart" uri="{C3380CC4-5D6E-409C-BE32-E72D297353CC}">
              <c16:uniqueId val="{00000000-6E86-E34C-82CF-F513C046836E}"/>
            </c:ext>
          </c:extLst>
        </c:ser>
        <c:dLbls>
          <c:dLblPos val="inEnd"/>
          <c:showLegendKey val="0"/>
          <c:showVal val="1"/>
          <c:showCatName val="0"/>
          <c:showSerName val="0"/>
          <c:showPercent val="0"/>
          <c:showBubbleSize val="0"/>
        </c:dLbls>
        <c:gapWidth val="99"/>
        <c:overlap val="-27"/>
        <c:axId val="93941120"/>
        <c:axId val="93977216"/>
      </c:barChart>
      <c:catAx>
        <c:axId val="93941120"/>
        <c:scaling>
          <c:orientation val="minMax"/>
        </c:scaling>
        <c:delete val="0"/>
        <c:axPos val="b"/>
        <c:title>
          <c:tx>
            <c:rich>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Region </a:t>
                </a:r>
              </a:p>
            </c:rich>
          </c:tx>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6350" cap="flat" cmpd="sng" algn="ctr">
            <a:solidFill>
              <a:sysClr val="windowText" lastClr="000000">
                <a:lumMod val="65000"/>
                <a:lumOff val="35000"/>
              </a:sys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93977216"/>
        <c:crosses val="autoZero"/>
        <c:auto val="1"/>
        <c:lblAlgn val="ctr"/>
        <c:lblOffset val="100"/>
        <c:noMultiLvlLbl val="0"/>
      </c:catAx>
      <c:valAx>
        <c:axId val="93977216"/>
        <c:scaling>
          <c:orientation val="minMax"/>
        </c:scaling>
        <c:delete val="0"/>
        <c:axPos val="l"/>
        <c:title>
          <c:tx>
            <c:rich>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Average Household Size</a:t>
                </a:r>
              </a:p>
              <a:p>
                <a:pPr>
                  <a:defRPr/>
                </a:pPr>
                <a:endParaRPr lang="en-US"/>
              </a:p>
            </c:rich>
          </c:tx>
          <c:layout>
            <c:manualLayout>
              <c:xMode val="edge"/>
              <c:yMode val="edge"/>
              <c:x val="2.7655152377476001E-2"/>
              <c:y val="0.17668033164360303"/>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w="6350">
            <a:solidFill>
              <a:sysClr val="windowText" lastClr="000000">
                <a:lumMod val="65000"/>
                <a:lumOff val="35000"/>
              </a:sysClr>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93941120"/>
        <c:crosses val="autoZero"/>
        <c:crossBetween val="between"/>
        <c:majorUnit val="1"/>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6210790106932835"/>
          <c:y val="5.1400554097404488E-2"/>
          <c:w val="0.7088883826230582"/>
          <c:h val="0.56240906327387052"/>
        </c:manualLayout>
      </c:layout>
      <c:barChart>
        <c:barDir val="col"/>
        <c:grouping val="clustered"/>
        <c:varyColors val="0"/>
        <c:ser>
          <c:idx val="0"/>
          <c:order val="0"/>
          <c:tx>
            <c:strRef>
              <c:f>'Green gram_AREA &amp; PROD'!$B$42</c:f>
              <c:strCache>
                <c:ptCount val="1"/>
                <c:pt idx="0">
                  <c:v> Production  </c:v>
                </c:pt>
              </c:strCache>
            </c:strRef>
          </c:tx>
          <c:invertIfNegative val="0"/>
          <c:cat>
            <c:strRef>
              <c:f>'Green gram_AREA &amp; PROD'!$A$43:$A$62</c:f>
              <c:strCache>
                <c:ptCount val="20"/>
                <c:pt idx="0">
                  <c:v>Mwanza</c:v>
                </c:pt>
                <c:pt idx="1">
                  <c:v>Simiyu</c:v>
                </c:pt>
                <c:pt idx="2">
                  <c:v>Mtwara</c:v>
                </c:pt>
                <c:pt idx="3">
                  <c:v>Singida</c:v>
                </c:pt>
                <c:pt idx="4">
                  <c:v>Shinyanga</c:v>
                </c:pt>
                <c:pt idx="5">
                  <c:v>Morogoro</c:v>
                </c:pt>
                <c:pt idx="6">
                  <c:v>Tanga</c:v>
                </c:pt>
                <c:pt idx="7">
                  <c:v>Kilimanjaro</c:v>
                </c:pt>
                <c:pt idx="8">
                  <c:v>Dodoma</c:v>
                </c:pt>
                <c:pt idx="9">
                  <c:v>Tabora</c:v>
                </c:pt>
                <c:pt idx="10">
                  <c:v>Pwani</c:v>
                </c:pt>
                <c:pt idx="11">
                  <c:v>Manyara</c:v>
                </c:pt>
                <c:pt idx="12">
                  <c:v>Arusha</c:v>
                </c:pt>
                <c:pt idx="13">
                  <c:v>Geita</c:v>
                </c:pt>
                <c:pt idx="14">
                  <c:v>Ruvuma</c:v>
                </c:pt>
                <c:pt idx="15">
                  <c:v>Mara</c:v>
                </c:pt>
                <c:pt idx="16">
                  <c:v>Dar Es Salaam</c:v>
                </c:pt>
                <c:pt idx="17">
                  <c:v>Songwe</c:v>
                </c:pt>
                <c:pt idx="18">
                  <c:v>Lindi</c:v>
                </c:pt>
                <c:pt idx="19">
                  <c:v>Kagera</c:v>
                </c:pt>
              </c:strCache>
            </c:strRef>
          </c:cat>
          <c:val>
            <c:numRef>
              <c:f>'Green gram_AREA &amp; PROD'!$B$43:$B$62</c:f>
              <c:numCache>
                <c:formatCode>_(* #,##0_);_(* \(#,##0\);_(* "-"_);_(@_)</c:formatCode>
                <c:ptCount val="20"/>
                <c:pt idx="0">
                  <c:v>13225.583999999999</c:v>
                </c:pt>
                <c:pt idx="1">
                  <c:v>6254.49</c:v>
                </c:pt>
                <c:pt idx="2">
                  <c:v>4130.3280000000004</c:v>
                </c:pt>
                <c:pt idx="3">
                  <c:v>1716.2439999999999</c:v>
                </c:pt>
                <c:pt idx="4">
                  <c:v>1503.8660000000002</c:v>
                </c:pt>
                <c:pt idx="5">
                  <c:v>839.08600000000001</c:v>
                </c:pt>
                <c:pt idx="6">
                  <c:v>750.93700000000001</c:v>
                </c:pt>
                <c:pt idx="7">
                  <c:v>701.29700000000003</c:v>
                </c:pt>
                <c:pt idx="8">
                  <c:v>535.31200000000001</c:v>
                </c:pt>
                <c:pt idx="9">
                  <c:v>500.55899999999997</c:v>
                </c:pt>
                <c:pt idx="10">
                  <c:v>369.88699999999994</c:v>
                </c:pt>
                <c:pt idx="11">
                  <c:v>361.72800000000001</c:v>
                </c:pt>
                <c:pt idx="12">
                  <c:v>113.99</c:v>
                </c:pt>
                <c:pt idx="13">
                  <c:v>109.083</c:v>
                </c:pt>
                <c:pt idx="14">
                  <c:v>107.745</c:v>
                </c:pt>
                <c:pt idx="15">
                  <c:v>93.236000000000004</c:v>
                </c:pt>
                <c:pt idx="16">
                  <c:v>37.161000000000001</c:v>
                </c:pt>
                <c:pt idx="17">
                  <c:v>16.538</c:v>
                </c:pt>
                <c:pt idx="18">
                  <c:v>3.8420000000000001</c:v>
                </c:pt>
                <c:pt idx="19">
                  <c:v>0.90200000000000002</c:v>
                </c:pt>
              </c:numCache>
            </c:numRef>
          </c:val>
          <c:extLst>
            <c:ext xmlns:c16="http://schemas.microsoft.com/office/drawing/2014/chart" uri="{C3380CC4-5D6E-409C-BE32-E72D297353CC}">
              <c16:uniqueId val="{00000000-0335-604F-A703-0485CA0B5E8B}"/>
            </c:ext>
          </c:extLst>
        </c:ser>
        <c:dLbls>
          <c:showLegendKey val="0"/>
          <c:showVal val="0"/>
          <c:showCatName val="0"/>
          <c:showSerName val="0"/>
          <c:showPercent val="0"/>
          <c:showBubbleSize val="0"/>
        </c:dLbls>
        <c:gapWidth val="150"/>
        <c:axId val="97020928"/>
        <c:axId val="97022720"/>
      </c:barChart>
      <c:scatterChart>
        <c:scatterStyle val="lineMarker"/>
        <c:varyColors val="0"/>
        <c:ser>
          <c:idx val="1"/>
          <c:order val="1"/>
          <c:tx>
            <c:strRef>
              <c:f>'Green gram_AREA &amp; PROD'!$C$42</c:f>
              <c:strCache>
                <c:ptCount val="1"/>
                <c:pt idx="0">
                  <c:v> Yield  </c:v>
                </c:pt>
              </c:strCache>
            </c:strRef>
          </c:tx>
          <c:spPr>
            <a:ln w="19050">
              <a:noFill/>
            </a:ln>
          </c:spPr>
          <c:marker>
            <c:symbol val="circle"/>
            <c:size val="4"/>
          </c:marker>
          <c:xVal>
            <c:strRef>
              <c:f>'Green gram_AREA &amp; PROD'!$A$43:$A$62</c:f>
              <c:strCache>
                <c:ptCount val="20"/>
                <c:pt idx="0">
                  <c:v>Mwanza</c:v>
                </c:pt>
                <c:pt idx="1">
                  <c:v>Simiyu</c:v>
                </c:pt>
                <c:pt idx="2">
                  <c:v>Mtwara</c:v>
                </c:pt>
                <c:pt idx="3">
                  <c:v>Singida</c:v>
                </c:pt>
                <c:pt idx="4">
                  <c:v>Shinyanga</c:v>
                </c:pt>
                <c:pt idx="5">
                  <c:v>Morogoro</c:v>
                </c:pt>
                <c:pt idx="6">
                  <c:v>Tanga</c:v>
                </c:pt>
                <c:pt idx="7">
                  <c:v>Kilimanjaro</c:v>
                </c:pt>
                <c:pt idx="8">
                  <c:v>Dodoma</c:v>
                </c:pt>
                <c:pt idx="9">
                  <c:v>Tabora</c:v>
                </c:pt>
                <c:pt idx="10">
                  <c:v>Pwani</c:v>
                </c:pt>
                <c:pt idx="11">
                  <c:v>Manyara</c:v>
                </c:pt>
                <c:pt idx="12">
                  <c:v>Arusha</c:v>
                </c:pt>
                <c:pt idx="13">
                  <c:v>Geita</c:v>
                </c:pt>
                <c:pt idx="14">
                  <c:v>Ruvuma</c:v>
                </c:pt>
                <c:pt idx="15">
                  <c:v>Mara</c:v>
                </c:pt>
                <c:pt idx="16">
                  <c:v>Dar Es Salaam</c:v>
                </c:pt>
                <c:pt idx="17">
                  <c:v>Songwe</c:v>
                </c:pt>
                <c:pt idx="18">
                  <c:v>Lindi</c:v>
                </c:pt>
                <c:pt idx="19">
                  <c:v>Kagera</c:v>
                </c:pt>
              </c:strCache>
            </c:strRef>
          </c:xVal>
          <c:yVal>
            <c:numRef>
              <c:f>'Green gram_AREA &amp; PROD'!$C$43:$C$62</c:f>
              <c:numCache>
                <c:formatCode>_(* #,##0.0_);_(* \(#,##0.0\);_(* "-"_);_(@_)</c:formatCode>
                <c:ptCount val="20"/>
                <c:pt idx="0">
                  <c:v>0.61060925737560956</c:v>
                </c:pt>
                <c:pt idx="1">
                  <c:v>0.49719613917127781</c:v>
                </c:pt>
                <c:pt idx="2">
                  <c:v>0.36503596294574203</c:v>
                </c:pt>
                <c:pt idx="3">
                  <c:v>0.23640330698478176</c:v>
                </c:pt>
                <c:pt idx="4">
                  <c:v>0.26998349941877364</c:v>
                </c:pt>
                <c:pt idx="5">
                  <c:v>0.49307526896551723</c:v>
                </c:pt>
                <c:pt idx="6">
                  <c:v>0.36490960216322516</c:v>
                </c:pt>
                <c:pt idx="7">
                  <c:v>0.64110428671846087</c:v>
                </c:pt>
                <c:pt idx="8">
                  <c:v>0.14461090543347546</c:v>
                </c:pt>
                <c:pt idx="9">
                  <c:v>0.17850790720161638</c:v>
                </c:pt>
                <c:pt idx="10">
                  <c:v>0.82193415197841724</c:v>
                </c:pt>
                <c:pt idx="11">
                  <c:v>0.211008</c:v>
                </c:pt>
                <c:pt idx="12">
                  <c:v>0.19174219877467663</c:v>
                </c:pt>
                <c:pt idx="13">
                  <c:v>0.2152908091054313</c:v>
                </c:pt>
                <c:pt idx="14">
                  <c:v>0.26438718470705064</c:v>
                </c:pt>
                <c:pt idx="15">
                  <c:v>0.46542657777777779</c:v>
                </c:pt>
                <c:pt idx="16">
                  <c:v>0.11116807627118644</c:v>
                </c:pt>
                <c:pt idx="17">
                  <c:v>8.4959247401247398E-2</c:v>
                </c:pt>
                <c:pt idx="18">
                  <c:v>9.8891479166666671E-2</c:v>
                </c:pt>
                <c:pt idx="19">
                  <c:v>8.2549703703703708E-2</c:v>
                </c:pt>
              </c:numCache>
            </c:numRef>
          </c:yVal>
          <c:smooth val="0"/>
          <c:extLst>
            <c:ext xmlns:c16="http://schemas.microsoft.com/office/drawing/2014/chart" uri="{C3380CC4-5D6E-409C-BE32-E72D297353CC}">
              <c16:uniqueId val="{00000001-0335-604F-A703-0485CA0B5E8B}"/>
            </c:ext>
          </c:extLst>
        </c:ser>
        <c:dLbls>
          <c:showLegendKey val="0"/>
          <c:showVal val="0"/>
          <c:showCatName val="0"/>
          <c:showSerName val="0"/>
          <c:showPercent val="0"/>
          <c:showBubbleSize val="0"/>
        </c:dLbls>
        <c:axId val="97030912"/>
        <c:axId val="97024640"/>
      </c:scatterChart>
      <c:catAx>
        <c:axId val="97020928"/>
        <c:scaling>
          <c:orientation val="minMax"/>
        </c:scaling>
        <c:delete val="0"/>
        <c:axPos val="b"/>
        <c:numFmt formatCode="General" sourceLinked="0"/>
        <c:majorTickMark val="out"/>
        <c:minorTickMark val="none"/>
        <c:tickLblPos val="nextTo"/>
        <c:txPr>
          <a:bodyPr rot="-5400000" vert="horz"/>
          <a:lstStyle/>
          <a:p>
            <a:pPr>
              <a:defRPr/>
            </a:pPr>
            <a:endParaRPr lang="en-US"/>
          </a:p>
        </c:txPr>
        <c:crossAx val="97022720"/>
        <c:crosses val="autoZero"/>
        <c:auto val="1"/>
        <c:lblAlgn val="ctr"/>
        <c:lblOffset val="100"/>
        <c:noMultiLvlLbl val="0"/>
      </c:catAx>
      <c:valAx>
        <c:axId val="97022720"/>
        <c:scaling>
          <c:orientation val="minMax"/>
        </c:scaling>
        <c:delete val="0"/>
        <c:axPos val="l"/>
        <c:title>
          <c:tx>
            <c:rich>
              <a:bodyPr rot="-5400000" vert="horz"/>
              <a:lstStyle/>
              <a:p>
                <a:pPr>
                  <a:defRPr b="0"/>
                </a:pPr>
                <a:r>
                  <a:rPr lang="en-US" b="0"/>
                  <a:t>Production (tons)</a:t>
                </a:r>
              </a:p>
            </c:rich>
          </c:tx>
          <c:layout>
            <c:manualLayout>
              <c:xMode val="edge"/>
              <c:yMode val="edge"/>
              <c:x val="5.5555555555555558E-3"/>
              <c:y val="0.14521908719743365"/>
            </c:manualLayout>
          </c:layout>
          <c:overlay val="0"/>
        </c:title>
        <c:numFmt formatCode="_(* #,##0_);_(* \(#,##0\);_(* &quot;-&quot;_);_(@_)" sourceLinked="1"/>
        <c:majorTickMark val="out"/>
        <c:minorTickMark val="none"/>
        <c:tickLblPos val="nextTo"/>
        <c:txPr>
          <a:bodyPr/>
          <a:lstStyle/>
          <a:p>
            <a:pPr>
              <a:defRPr sz="700"/>
            </a:pPr>
            <a:endParaRPr lang="en-US"/>
          </a:p>
        </c:txPr>
        <c:crossAx val="97020928"/>
        <c:crosses val="autoZero"/>
        <c:crossBetween val="between"/>
      </c:valAx>
      <c:valAx>
        <c:axId val="97024640"/>
        <c:scaling>
          <c:orientation val="minMax"/>
        </c:scaling>
        <c:delete val="0"/>
        <c:axPos val="r"/>
        <c:title>
          <c:tx>
            <c:rich>
              <a:bodyPr rot="-5400000" vert="horz"/>
              <a:lstStyle/>
              <a:p>
                <a:pPr>
                  <a:defRPr b="0"/>
                </a:pPr>
                <a:r>
                  <a:rPr lang="en-US" b="0"/>
                  <a:t>Yield (tons/ha)</a:t>
                </a:r>
              </a:p>
            </c:rich>
          </c:tx>
          <c:overlay val="0"/>
        </c:title>
        <c:numFmt formatCode="_(* #,##0.0_);_(* \(#,##0.0\);_(* &quot;-&quot;_);_(@_)" sourceLinked="1"/>
        <c:majorTickMark val="out"/>
        <c:minorTickMark val="none"/>
        <c:tickLblPos val="nextTo"/>
        <c:crossAx val="97030912"/>
        <c:crosses val="max"/>
        <c:crossBetween val="midCat"/>
      </c:valAx>
      <c:valAx>
        <c:axId val="97030912"/>
        <c:scaling>
          <c:orientation val="minMax"/>
        </c:scaling>
        <c:delete val="1"/>
        <c:axPos val="b"/>
        <c:title>
          <c:tx>
            <c:rich>
              <a:bodyPr/>
              <a:lstStyle/>
              <a:p>
                <a:pPr>
                  <a:defRPr b="0"/>
                </a:pPr>
                <a:r>
                  <a:rPr lang="en-US" b="0"/>
                  <a:t>Region</a:t>
                </a:r>
              </a:p>
            </c:rich>
          </c:tx>
          <c:layout>
            <c:manualLayout>
              <c:xMode val="edge"/>
              <c:yMode val="edge"/>
              <c:x val="0.49010608967996649"/>
              <c:y val="0.85120453163693521"/>
            </c:manualLayout>
          </c:layout>
          <c:overlay val="0"/>
        </c:title>
        <c:majorTickMark val="out"/>
        <c:minorTickMark val="none"/>
        <c:tickLblPos val="none"/>
        <c:crossAx val="97024640"/>
        <c:crosses val="autoZero"/>
        <c:crossBetween val="midCat"/>
      </c:valAx>
    </c:plotArea>
    <c:legend>
      <c:legendPos val="b"/>
      <c:layout>
        <c:manualLayout>
          <c:xMode val="edge"/>
          <c:yMode val="edge"/>
          <c:x val="0.3245828765075251"/>
          <c:y val="0.91793744531933508"/>
          <c:w val="0.35083424698494969"/>
          <c:h val="8.2062554680664923E-2"/>
        </c:manualLayout>
      </c:layout>
      <c:overlay val="0"/>
    </c:legend>
    <c:plotVisOnly val="1"/>
    <c:dispBlanksAs val="gap"/>
    <c:showDLblsOverMax val="0"/>
  </c:chart>
  <c:spPr>
    <a:ln w="9525">
      <a:solidFill>
        <a:sysClr val="windowText" lastClr="000000">
          <a:lumMod val="50000"/>
          <a:lumOff val="50000"/>
        </a:sysClr>
      </a:solidFill>
    </a:ln>
  </c:spPr>
  <c:txPr>
    <a:bodyPr/>
    <a:lstStyle/>
    <a:p>
      <a:pPr>
        <a:defRPr sz="800">
          <a:latin typeface="Times New Roman" pitchFamily="18" charset="0"/>
          <a:cs typeface="Times New Roman" pitchFamily="18" charset="0"/>
        </a:defRPr>
      </a:pPr>
      <a:endParaRPr lang="en-US"/>
    </a:p>
  </c:txPr>
  <c:externalData r:id="rId2">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636879833821465"/>
          <c:y val="0.11951819536071505"/>
          <c:w val="0.68743837495399984"/>
          <c:h val="0.54785401149180679"/>
        </c:manualLayout>
      </c:layout>
      <c:barChart>
        <c:barDir val="col"/>
        <c:grouping val="clustered"/>
        <c:varyColors val="0"/>
        <c:ser>
          <c:idx val="0"/>
          <c:order val="0"/>
          <c:tx>
            <c:strRef>
              <c:f>'Green gram_AREA &amp; PROD'!$B$71</c:f>
              <c:strCache>
                <c:ptCount val="1"/>
                <c:pt idx="0">
                  <c:v> Production  </c:v>
                </c:pt>
              </c:strCache>
            </c:strRef>
          </c:tx>
          <c:invertIfNegative val="0"/>
          <c:cat>
            <c:strRef>
              <c:f>'Green gram_AREA &amp; PROD'!$A$72:$A$76</c:f>
              <c:strCache>
                <c:ptCount val="5"/>
                <c:pt idx="0">
                  <c:v>Kusini  Pemba</c:v>
                </c:pt>
                <c:pt idx="1">
                  <c:v>Kaskazini Unguja</c:v>
                </c:pt>
                <c:pt idx="2">
                  <c:v>Kusini Unguja</c:v>
                </c:pt>
                <c:pt idx="3">
                  <c:v>Kaskazini Pemba</c:v>
                </c:pt>
                <c:pt idx="4">
                  <c:v>Mjini Magharibi</c:v>
                </c:pt>
              </c:strCache>
            </c:strRef>
          </c:cat>
          <c:val>
            <c:numRef>
              <c:f>'Green gram_AREA &amp; PROD'!$B$72:$B$76</c:f>
              <c:numCache>
                <c:formatCode>_(* #,##0_);_(* \(#,##0\);_(* "-"_);_(@_)</c:formatCode>
                <c:ptCount val="5"/>
                <c:pt idx="0">
                  <c:v>99.22</c:v>
                </c:pt>
                <c:pt idx="1">
                  <c:v>27.85</c:v>
                </c:pt>
                <c:pt idx="2">
                  <c:v>18.742999999999999</c:v>
                </c:pt>
                <c:pt idx="3">
                  <c:v>8.8710000000000004</c:v>
                </c:pt>
                <c:pt idx="4">
                  <c:v>0</c:v>
                </c:pt>
              </c:numCache>
            </c:numRef>
          </c:val>
          <c:extLst>
            <c:ext xmlns:c16="http://schemas.microsoft.com/office/drawing/2014/chart" uri="{C3380CC4-5D6E-409C-BE32-E72D297353CC}">
              <c16:uniqueId val="{00000000-A714-244F-A49E-A6CA0B5C74CA}"/>
            </c:ext>
          </c:extLst>
        </c:ser>
        <c:dLbls>
          <c:showLegendKey val="0"/>
          <c:showVal val="0"/>
          <c:showCatName val="0"/>
          <c:showSerName val="0"/>
          <c:showPercent val="0"/>
          <c:showBubbleSize val="0"/>
        </c:dLbls>
        <c:gapWidth val="150"/>
        <c:axId val="96948992"/>
        <c:axId val="96950912"/>
      </c:barChart>
      <c:scatterChart>
        <c:scatterStyle val="lineMarker"/>
        <c:varyColors val="0"/>
        <c:ser>
          <c:idx val="1"/>
          <c:order val="1"/>
          <c:tx>
            <c:strRef>
              <c:f>'Green gram_AREA &amp; PROD'!$C$71</c:f>
              <c:strCache>
                <c:ptCount val="1"/>
                <c:pt idx="0">
                  <c:v> Yield  </c:v>
                </c:pt>
              </c:strCache>
            </c:strRef>
          </c:tx>
          <c:spPr>
            <a:ln w="19050">
              <a:noFill/>
            </a:ln>
          </c:spPr>
          <c:marker>
            <c:symbol val="circle"/>
            <c:size val="4"/>
          </c:marker>
          <c:xVal>
            <c:strRef>
              <c:f>'Green gram_AREA &amp; PROD'!$A$72:$A$76</c:f>
              <c:strCache>
                <c:ptCount val="5"/>
                <c:pt idx="0">
                  <c:v>Kusini  Pemba</c:v>
                </c:pt>
                <c:pt idx="1">
                  <c:v>Kaskazini Unguja</c:v>
                </c:pt>
                <c:pt idx="2">
                  <c:v>Kusini Unguja</c:v>
                </c:pt>
                <c:pt idx="3">
                  <c:v>Kaskazini Pemba</c:v>
                </c:pt>
                <c:pt idx="4">
                  <c:v>Mjini Magharibi</c:v>
                </c:pt>
              </c:strCache>
            </c:strRef>
          </c:xVal>
          <c:yVal>
            <c:numRef>
              <c:f>'Green gram_AREA &amp; PROD'!$C$72:$C$76</c:f>
              <c:numCache>
                <c:formatCode>_(* #,##0.0_);_(* \(#,##0.0\);_(* "-"_);_(@_)</c:formatCode>
                <c:ptCount val="5"/>
                <c:pt idx="0">
                  <c:v>0.40324444078947369</c:v>
                </c:pt>
                <c:pt idx="1">
                  <c:v>0.36030026178010477</c:v>
                </c:pt>
                <c:pt idx="2">
                  <c:v>0.37051162399999998</c:v>
                </c:pt>
                <c:pt idx="3">
                  <c:v>0.49818729545454549</c:v>
                </c:pt>
                <c:pt idx="4">
                  <c:v>0</c:v>
                </c:pt>
              </c:numCache>
            </c:numRef>
          </c:yVal>
          <c:smooth val="0"/>
          <c:extLst>
            <c:ext xmlns:c16="http://schemas.microsoft.com/office/drawing/2014/chart" uri="{C3380CC4-5D6E-409C-BE32-E72D297353CC}">
              <c16:uniqueId val="{00000001-A714-244F-A49E-A6CA0B5C74CA}"/>
            </c:ext>
          </c:extLst>
        </c:ser>
        <c:dLbls>
          <c:showLegendKey val="0"/>
          <c:showVal val="0"/>
          <c:showCatName val="0"/>
          <c:showSerName val="0"/>
          <c:showPercent val="0"/>
          <c:showBubbleSize val="0"/>
        </c:dLbls>
        <c:axId val="96959104"/>
        <c:axId val="96957184"/>
      </c:scatterChart>
      <c:catAx>
        <c:axId val="96948992"/>
        <c:scaling>
          <c:orientation val="minMax"/>
        </c:scaling>
        <c:delete val="0"/>
        <c:axPos val="b"/>
        <c:title>
          <c:tx>
            <c:rich>
              <a:bodyPr/>
              <a:lstStyle/>
              <a:p>
                <a:pPr>
                  <a:defRPr/>
                </a:pPr>
                <a:r>
                  <a:rPr lang="en-US"/>
                  <a:t>Region</a:t>
                </a:r>
              </a:p>
            </c:rich>
          </c:tx>
          <c:layout>
            <c:manualLayout>
              <c:xMode val="edge"/>
              <c:yMode val="edge"/>
              <c:x val="0.46023918700151722"/>
              <c:y val="0.81346967439880824"/>
            </c:manualLayout>
          </c:layout>
          <c:overlay val="0"/>
        </c:title>
        <c:numFmt formatCode="General" sourceLinked="0"/>
        <c:majorTickMark val="out"/>
        <c:minorTickMark val="none"/>
        <c:tickLblPos val="nextTo"/>
        <c:crossAx val="96950912"/>
        <c:crosses val="autoZero"/>
        <c:auto val="1"/>
        <c:lblAlgn val="ctr"/>
        <c:lblOffset val="100"/>
        <c:noMultiLvlLbl val="0"/>
      </c:catAx>
      <c:valAx>
        <c:axId val="96950912"/>
        <c:scaling>
          <c:orientation val="minMax"/>
        </c:scaling>
        <c:delete val="0"/>
        <c:axPos val="l"/>
        <c:title>
          <c:tx>
            <c:rich>
              <a:bodyPr rot="-5400000" vert="horz"/>
              <a:lstStyle/>
              <a:p>
                <a:pPr>
                  <a:defRPr/>
                </a:pPr>
                <a:r>
                  <a:rPr lang="en-US"/>
                  <a:t>Production (tons)</a:t>
                </a:r>
              </a:p>
            </c:rich>
          </c:tx>
          <c:layout>
            <c:manualLayout>
              <c:xMode val="edge"/>
              <c:yMode val="edge"/>
              <c:x val="1.5985559742459774E-2"/>
              <c:y val="0.20627554452993682"/>
            </c:manualLayout>
          </c:layout>
          <c:overlay val="0"/>
        </c:title>
        <c:numFmt formatCode="_(* #,##0_);_(* \(#,##0\);_(* &quot;-&quot;_);_(@_)" sourceLinked="1"/>
        <c:majorTickMark val="out"/>
        <c:minorTickMark val="none"/>
        <c:tickLblPos val="nextTo"/>
        <c:crossAx val="96948992"/>
        <c:crosses val="autoZero"/>
        <c:crossBetween val="between"/>
      </c:valAx>
      <c:valAx>
        <c:axId val="96957184"/>
        <c:scaling>
          <c:orientation val="minMax"/>
        </c:scaling>
        <c:delete val="0"/>
        <c:axPos val="r"/>
        <c:title>
          <c:tx>
            <c:rich>
              <a:bodyPr rot="-5400000" vert="horz"/>
              <a:lstStyle/>
              <a:p>
                <a:pPr>
                  <a:defRPr/>
                </a:pPr>
                <a:r>
                  <a:rPr lang="en-US"/>
                  <a:t>Yield (tons/ha)</a:t>
                </a:r>
              </a:p>
            </c:rich>
          </c:tx>
          <c:overlay val="0"/>
        </c:title>
        <c:numFmt formatCode="_(* #,##0.0_);_(* \(#,##0.0\);_(* &quot;-&quot;_);_(@_)" sourceLinked="1"/>
        <c:majorTickMark val="out"/>
        <c:minorTickMark val="none"/>
        <c:tickLblPos val="nextTo"/>
        <c:crossAx val="96959104"/>
        <c:crosses val="max"/>
        <c:crossBetween val="midCat"/>
      </c:valAx>
      <c:valAx>
        <c:axId val="96959104"/>
        <c:scaling>
          <c:orientation val="minMax"/>
        </c:scaling>
        <c:delete val="1"/>
        <c:axPos val="b"/>
        <c:majorTickMark val="out"/>
        <c:minorTickMark val="none"/>
        <c:tickLblPos val="none"/>
        <c:crossAx val="96957184"/>
        <c:crosses val="autoZero"/>
        <c:crossBetween val="midCat"/>
      </c:valAx>
    </c:plotArea>
    <c:legend>
      <c:legendPos val="b"/>
      <c:overlay val="0"/>
    </c:legend>
    <c:plotVisOnly val="1"/>
    <c:dispBlanksAs val="gap"/>
    <c:showDLblsOverMax val="0"/>
  </c:chart>
  <c:spPr>
    <a:ln w="9525">
      <a:solidFill>
        <a:sysClr val="windowText" lastClr="000000">
          <a:lumMod val="50000"/>
          <a:lumOff val="50000"/>
        </a:sysClr>
      </a:solidFill>
    </a:ln>
  </c:spPr>
  <c:txPr>
    <a:bodyPr/>
    <a:lstStyle/>
    <a:p>
      <a:pPr>
        <a:defRPr sz="800" b="0">
          <a:solidFill>
            <a:schemeClr val="tx1"/>
          </a:solidFill>
          <a:latin typeface="Times New Roman" pitchFamily="18" charset="0"/>
          <a:cs typeface="Times New Roman" pitchFamily="18" charset="0"/>
        </a:defRPr>
      </a:pPr>
      <a:endParaRPr lang="en-US"/>
    </a:p>
  </c:txPr>
  <c:externalData r:id="rId2">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815129768962968"/>
          <c:y val="5.1400554097404488E-2"/>
          <c:w val="0.85221390386952056"/>
          <c:h val="0.58122417219205258"/>
        </c:manualLayout>
      </c:layout>
      <c:barChart>
        <c:barDir val="col"/>
        <c:grouping val="clustered"/>
        <c:varyColors val="0"/>
        <c:ser>
          <c:idx val="0"/>
          <c:order val="0"/>
          <c:tx>
            <c:strRef>
              <c:f>'Pigeon peas'!$B$3</c:f>
              <c:strCache>
                <c:ptCount val="1"/>
                <c:pt idx="0">
                  <c:v> Planted Area  </c:v>
                </c:pt>
              </c:strCache>
            </c:strRef>
          </c:tx>
          <c:invertIfNegative val="0"/>
          <c:cat>
            <c:strRef>
              <c:f>'Pigeon peas'!$A$4:$A$26</c:f>
              <c:strCache>
                <c:ptCount val="23"/>
                <c:pt idx="0">
                  <c:v> Dodoma </c:v>
                </c:pt>
                <c:pt idx="1">
                  <c:v> Manyara </c:v>
                </c:pt>
                <c:pt idx="2">
                  <c:v> Mtwara </c:v>
                </c:pt>
                <c:pt idx="3">
                  <c:v> Lindi </c:v>
                </c:pt>
                <c:pt idx="4">
                  <c:v> Ruvuma </c:v>
                </c:pt>
                <c:pt idx="5">
                  <c:v> Morogoro </c:v>
                </c:pt>
                <c:pt idx="6">
                  <c:v> Kigoma </c:v>
                </c:pt>
                <c:pt idx="7">
                  <c:v> Arusha </c:v>
                </c:pt>
                <c:pt idx="8">
                  <c:v> Tanga </c:v>
                </c:pt>
                <c:pt idx="9">
                  <c:v> Pwani </c:v>
                </c:pt>
                <c:pt idx="10">
                  <c:v> Dar Es Salaam </c:v>
                </c:pt>
                <c:pt idx="11">
                  <c:v> Simiyu </c:v>
                </c:pt>
                <c:pt idx="12">
                  <c:v> Singida </c:v>
                </c:pt>
                <c:pt idx="13">
                  <c:v> Mbeya </c:v>
                </c:pt>
                <c:pt idx="14">
                  <c:v> Kagera </c:v>
                </c:pt>
                <c:pt idx="15">
                  <c:v> Rukwa </c:v>
                </c:pt>
                <c:pt idx="16">
                  <c:v> Kilimanjaro </c:v>
                </c:pt>
                <c:pt idx="17">
                  <c:v> Njombe </c:v>
                </c:pt>
                <c:pt idx="18">
                  <c:v> Tabora </c:v>
                </c:pt>
                <c:pt idx="19">
                  <c:v> Mwanza </c:v>
                </c:pt>
                <c:pt idx="20">
                  <c:v> Shinyanga </c:v>
                </c:pt>
                <c:pt idx="21">
                  <c:v> Geita </c:v>
                </c:pt>
                <c:pt idx="22">
                  <c:v> Iringa </c:v>
                </c:pt>
              </c:strCache>
            </c:strRef>
          </c:cat>
          <c:val>
            <c:numRef>
              <c:f>'Pigeon peas'!$B$4:$B$26</c:f>
              <c:numCache>
                <c:formatCode>_(* #,##0_);_(* \(#,##0\);_(* "-"_);_(@_)</c:formatCode>
                <c:ptCount val="23"/>
                <c:pt idx="0">
                  <c:v>88817.482800485624</c:v>
                </c:pt>
                <c:pt idx="1">
                  <c:v>48741.400242816679</c:v>
                </c:pt>
                <c:pt idx="2">
                  <c:v>28594.09146094698</c:v>
                </c:pt>
                <c:pt idx="3">
                  <c:v>21285.3095912586</c:v>
                </c:pt>
                <c:pt idx="4">
                  <c:v>19876.97288547147</c:v>
                </c:pt>
                <c:pt idx="5">
                  <c:v>18316.06636989073</c:v>
                </c:pt>
                <c:pt idx="6">
                  <c:v>9445.1639012545529</c:v>
                </c:pt>
                <c:pt idx="7">
                  <c:v>6209.6317280453259</c:v>
                </c:pt>
                <c:pt idx="8">
                  <c:v>5999.1906110886275</c:v>
                </c:pt>
                <c:pt idx="9">
                  <c:v>3478.3488466208009</c:v>
                </c:pt>
                <c:pt idx="10">
                  <c:v>1891.1371914204774</c:v>
                </c:pt>
                <c:pt idx="11">
                  <c:v>1700.1214083367056</c:v>
                </c:pt>
                <c:pt idx="12">
                  <c:v>1010.117361392149</c:v>
                </c:pt>
                <c:pt idx="13">
                  <c:v>620.39660056657226</c:v>
                </c:pt>
                <c:pt idx="14">
                  <c:v>303.11614730878188</c:v>
                </c:pt>
                <c:pt idx="15">
                  <c:v>294.61756373937675</c:v>
                </c:pt>
                <c:pt idx="16">
                  <c:v>180.89842169162284</c:v>
                </c:pt>
                <c:pt idx="17">
                  <c:v>150.14164305949009</c:v>
                </c:pt>
                <c:pt idx="18">
                  <c:v>91.056252529340355</c:v>
                </c:pt>
                <c:pt idx="19">
                  <c:v>70.012140833670571</c:v>
                </c:pt>
                <c:pt idx="20">
                  <c:v>37.636584378794012</c:v>
                </c:pt>
                <c:pt idx="21">
                  <c:v>21.853500607041681</c:v>
                </c:pt>
                <c:pt idx="22" formatCode="_(* #,##0.00_);_(* \(#,##0.00\);_(* &quot;-&quot;_);_(@_)">
                  <c:v>0.40469445568595708</c:v>
                </c:pt>
              </c:numCache>
            </c:numRef>
          </c:val>
          <c:extLst>
            <c:ext xmlns:c16="http://schemas.microsoft.com/office/drawing/2014/chart" uri="{C3380CC4-5D6E-409C-BE32-E72D297353CC}">
              <c16:uniqueId val="{00000000-15D2-574C-B9F2-E5E32C495EFF}"/>
            </c:ext>
          </c:extLst>
        </c:ser>
        <c:ser>
          <c:idx val="1"/>
          <c:order val="1"/>
          <c:tx>
            <c:strRef>
              <c:f>'Pigeon peas'!$C$3</c:f>
              <c:strCache>
                <c:ptCount val="1"/>
                <c:pt idx="0">
                  <c:v> Harvested Area  </c:v>
                </c:pt>
              </c:strCache>
            </c:strRef>
          </c:tx>
          <c:spPr>
            <a:solidFill>
              <a:srgbClr val="FFFF00"/>
            </a:solidFill>
          </c:spPr>
          <c:invertIfNegative val="0"/>
          <c:cat>
            <c:strRef>
              <c:f>'Pigeon peas'!$A$4:$A$26</c:f>
              <c:strCache>
                <c:ptCount val="23"/>
                <c:pt idx="0">
                  <c:v> Dodoma </c:v>
                </c:pt>
                <c:pt idx="1">
                  <c:v> Manyara </c:v>
                </c:pt>
                <c:pt idx="2">
                  <c:v> Mtwara </c:v>
                </c:pt>
                <c:pt idx="3">
                  <c:v> Lindi </c:v>
                </c:pt>
                <c:pt idx="4">
                  <c:v> Ruvuma </c:v>
                </c:pt>
                <c:pt idx="5">
                  <c:v> Morogoro </c:v>
                </c:pt>
                <c:pt idx="6">
                  <c:v> Kigoma </c:v>
                </c:pt>
                <c:pt idx="7">
                  <c:v> Arusha </c:v>
                </c:pt>
                <c:pt idx="8">
                  <c:v> Tanga </c:v>
                </c:pt>
                <c:pt idx="9">
                  <c:v> Pwani </c:v>
                </c:pt>
                <c:pt idx="10">
                  <c:v> Dar Es Salaam </c:v>
                </c:pt>
                <c:pt idx="11">
                  <c:v> Simiyu </c:v>
                </c:pt>
                <c:pt idx="12">
                  <c:v> Singida </c:v>
                </c:pt>
                <c:pt idx="13">
                  <c:v> Mbeya </c:v>
                </c:pt>
                <c:pt idx="14">
                  <c:v> Kagera </c:v>
                </c:pt>
                <c:pt idx="15">
                  <c:v> Rukwa </c:v>
                </c:pt>
                <c:pt idx="16">
                  <c:v> Kilimanjaro </c:v>
                </c:pt>
                <c:pt idx="17">
                  <c:v> Njombe </c:v>
                </c:pt>
                <c:pt idx="18">
                  <c:v> Tabora </c:v>
                </c:pt>
                <c:pt idx="19">
                  <c:v> Mwanza </c:v>
                </c:pt>
                <c:pt idx="20">
                  <c:v> Shinyanga </c:v>
                </c:pt>
                <c:pt idx="21">
                  <c:v> Geita </c:v>
                </c:pt>
                <c:pt idx="22">
                  <c:v> Iringa </c:v>
                </c:pt>
              </c:strCache>
            </c:strRef>
          </c:cat>
          <c:val>
            <c:numRef>
              <c:f>'Pigeon peas'!$C$4:$C$26</c:f>
              <c:numCache>
                <c:formatCode>_(* #,##0_);_(* \(#,##0\);_(* "-"_);_(@_)</c:formatCode>
                <c:ptCount val="23"/>
                <c:pt idx="0">
                  <c:v>7322.1367867260215</c:v>
                </c:pt>
                <c:pt idx="1">
                  <c:v>19720.356131121003</c:v>
                </c:pt>
                <c:pt idx="2">
                  <c:v>20975.313638203155</c:v>
                </c:pt>
                <c:pt idx="3">
                  <c:v>16539.862403885065</c:v>
                </c:pt>
                <c:pt idx="4">
                  <c:v>11015.378389316067</c:v>
                </c:pt>
                <c:pt idx="5">
                  <c:v>6369.0813435855925</c:v>
                </c:pt>
                <c:pt idx="6">
                  <c:v>5957.9117766086601</c:v>
                </c:pt>
                <c:pt idx="7">
                  <c:v>228.24767300687981</c:v>
                </c:pt>
                <c:pt idx="8">
                  <c:v>2576.2849048968028</c:v>
                </c:pt>
                <c:pt idx="9">
                  <c:v>2061.1088628085795</c:v>
                </c:pt>
                <c:pt idx="10">
                  <c:v>981.78874949413193</c:v>
                </c:pt>
                <c:pt idx="11">
                  <c:v>1675.8397409955483</c:v>
                </c:pt>
                <c:pt idx="12">
                  <c:v>406.71792796438683</c:v>
                </c:pt>
                <c:pt idx="13">
                  <c:v>145.2853095912586</c:v>
                </c:pt>
                <c:pt idx="14">
                  <c:v>189.39700526102791</c:v>
                </c:pt>
                <c:pt idx="15">
                  <c:v>57.061918251719952</c:v>
                </c:pt>
                <c:pt idx="16">
                  <c:v>96.72197490894375</c:v>
                </c:pt>
                <c:pt idx="17">
                  <c:v>0</c:v>
                </c:pt>
                <c:pt idx="18">
                  <c:v>67.988668555240793</c:v>
                </c:pt>
                <c:pt idx="19">
                  <c:v>7.2845002023472274</c:v>
                </c:pt>
                <c:pt idx="20">
                  <c:v>21.448806151355726</c:v>
                </c:pt>
                <c:pt idx="21">
                  <c:v>21.853500607041681</c:v>
                </c:pt>
                <c:pt idx="22">
                  <c:v>0</c:v>
                </c:pt>
              </c:numCache>
            </c:numRef>
          </c:val>
          <c:extLst>
            <c:ext xmlns:c16="http://schemas.microsoft.com/office/drawing/2014/chart" uri="{C3380CC4-5D6E-409C-BE32-E72D297353CC}">
              <c16:uniqueId val="{00000001-15D2-574C-B9F2-E5E32C495EFF}"/>
            </c:ext>
          </c:extLst>
        </c:ser>
        <c:dLbls>
          <c:showLegendKey val="0"/>
          <c:showVal val="0"/>
          <c:showCatName val="0"/>
          <c:showSerName val="0"/>
          <c:showPercent val="0"/>
          <c:showBubbleSize val="0"/>
        </c:dLbls>
        <c:gapWidth val="150"/>
        <c:axId val="93685632"/>
        <c:axId val="93691904"/>
      </c:barChart>
      <c:catAx>
        <c:axId val="93685632"/>
        <c:scaling>
          <c:orientation val="minMax"/>
        </c:scaling>
        <c:delete val="0"/>
        <c:axPos val="b"/>
        <c:title>
          <c:tx>
            <c:rich>
              <a:bodyPr/>
              <a:lstStyle/>
              <a:p>
                <a:pPr>
                  <a:defRPr/>
                </a:pPr>
                <a:r>
                  <a:rPr lang="en-US"/>
                  <a:t>Region</a:t>
                </a:r>
              </a:p>
            </c:rich>
          </c:tx>
          <c:layout>
            <c:manualLayout>
              <c:xMode val="edge"/>
              <c:yMode val="edge"/>
              <c:x val="0.53553806873156984"/>
              <c:y val="0.85206667915067535"/>
            </c:manualLayout>
          </c:layout>
          <c:overlay val="0"/>
        </c:title>
        <c:numFmt formatCode="General" sourceLinked="0"/>
        <c:majorTickMark val="out"/>
        <c:minorTickMark val="none"/>
        <c:tickLblPos val="nextTo"/>
        <c:txPr>
          <a:bodyPr rot="-5400000" vert="horz"/>
          <a:lstStyle/>
          <a:p>
            <a:pPr>
              <a:defRPr>
                <a:solidFill>
                  <a:schemeClr val="tx1"/>
                </a:solidFill>
              </a:defRPr>
            </a:pPr>
            <a:endParaRPr lang="en-US"/>
          </a:p>
        </c:txPr>
        <c:crossAx val="93691904"/>
        <c:crosses val="autoZero"/>
        <c:auto val="1"/>
        <c:lblAlgn val="ctr"/>
        <c:lblOffset val="100"/>
        <c:noMultiLvlLbl val="0"/>
      </c:catAx>
      <c:valAx>
        <c:axId val="93691904"/>
        <c:scaling>
          <c:orientation val="minMax"/>
        </c:scaling>
        <c:delete val="0"/>
        <c:axPos val="l"/>
        <c:title>
          <c:tx>
            <c:rich>
              <a:bodyPr rot="-5400000" vert="horz"/>
              <a:lstStyle/>
              <a:p>
                <a:pPr>
                  <a:defRPr/>
                </a:pPr>
                <a:r>
                  <a:rPr lang="en-US"/>
                  <a:t>Area (ha)</a:t>
                </a:r>
              </a:p>
            </c:rich>
          </c:tx>
          <c:layout>
            <c:manualLayout>
              <c:xMode val="edge"/>
              <c:yMode val="edge"/>
              <c:x val="1.2442329469126177E-2"/>
              <c:y val="0.22886496726583849"/>
            </c:manualLayout>
          </c:layout>
          <c:overlay val="0"/>
        </c:title>
        <c:numFmt formatCode="_(* #,##0_);_(* \(#,##0\);_(* &quot;-&quot;_);_(@_)" sourceLinked="1"/>
        <c:majorTickMark val="out"/>
        <c:minorTickMark val="none"/>
        <c:tickLblPos val="nextTo"/>
        <c:txPr>
          <a:bodyPr/>
          <a:lstStyle/>
          <a:p>
            <a:pPr>
              <a:defRPr>
                <a:solidFill>
                  <a:schemeClr val="tx1"/>
                </a:solidFill>
              </a:defRPr>
            </a:pPr>
            <a:endParaRPr lang="en-US"/>
          </a:p>
        </c:txPr>
        <c:crossAx val="93685632"/>
        <c:crosses val="autoZero"/>
        <c:crossBetween val="between"/>
      </c:valAx>
    </c:plotArea>
    <c:legend>
      <c:legendPos val="b"/>
      <c:layout>
        <c:manualLayout>
          <c:xMode val="edge"/>
          <c:yMode val="edge"/>
          <c:x val="0.35205157917119267"/>
          <c:y val="0.93178822515576221"/>
          <c:w val="0.30008356972962635"/>
          <c:h val="6.8211774844237752E-2"/>
        </c:manualLayout>
      </c:layout>
      <c:overlay val="0"/>
      <c:txPr>
        <a:bodyPr/>
        <a:lstStyle/>
        <a:p>
          <a:pPr>
            <a:defRPr>
              <a:solidFill>
                <a:schemeClr val="tx1"/>
              </a:solidFill>
            </a:defRPr>
          </a:pPr>
          <a:endParaRPr lang="en-US"/>
        </a:p>
      </c:txPr>
    </c:legend>
    <c:plotVisOnly val="1"/>
    <c:dispBlanksAs val="gap"/>
    <c:showDLblsOverMax val="0"/>
  </c:chart>
  <c:spPr>
    <a:ln w="9525">
      <a:solidFill>
        <a:sysClr val="windowText" lastClr="000000">
          <a:lumMod val="50000"/>
          <a:lumOff val="50000"/>
        </a:sysClr>
      </a:solidFill>
    </a:ln>
  </c:spPr>
  <c:txPr>
    <a:bodyPr/>
    <a:lstStyle/>
    <a:p>
      <a:pPr>
        <a:defRPr sz="800" b="0">
          <a:solidFill>
            <a:schemeClr val="tx1"/>
          </a:solidFill>
          <a:latin typeface="Times New Roman" pitchFamily="18" charset="0"/>
          <a:cs typeface="Times New Roman" pitchFamily="18" charset="0"/>
        </a:defRPr>
      </a:pPr>
      <a:endParaRPr lang="en-US"/>
    </a:p>
  </c:txPr>
  <c:externalData r:id="rId2">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831929880510357"/>
          <c:y val="7.5796499530822889E-2"/>
          <c:w val="0.72294719187102563"/>
          <c:h val="0.61978018032720006"/>
        </c:manualLayout>
      </c:layout>
      <c:barChart>
        <c:barDir val="col"/>
        <c:grouping val="clustered"/>
        <c:varyColors val="0"/>
        <c:ser>
          <c:idx val="0"/>
          <c:order val="0"/>
          <c:tx>
            <c:strRef>
              <c:f>'Pigeon peas'!$B$32</c:f>
              <c:strCache>
                <c:ptCount val="1"/>
                <c:pt idx="0">
                  <c:v> Planted Area  </c:v>
                </c:pt>
              </c:strCache>
            </c:strRef>
          </c:tx>
          <c:invertIfNegative val="0"/>
          <c:cat>
            <c:strRef>
              <c:f>'Pigeon peas'!$A$33:$A$37</c:f>
              <c:strCache>
                <c:ptCount val="5"/>
                <c:pt idx="0">
                  <c:v> Kaskazini Unguja </c:v>
                </c:pt>
                <c:pt idx="1">
                  <c:v> Kusini Unguja </c:v>
                </c:pt>
                <c:pt idx="2">
                  <c:v> Mjini Magharibi </c:v>
                </c:pt>
                <c:pt idx="3">
                  <c:v> Kusini  Pemba </c:v>
                </c:pt>
                <c:pt idx="4">
                  <c:v> Kaskazini Pemba </c:v>
                </c:pt>
              </c:strCache>
            </c:strRef>
          </c:cat>
          <c:val>
            <c:numRef>
              <c:f>'Pigeon peas'!$B$33:$B$37</c:f>
              <c:numCache>
                <c:formatCode>_(* #,##0_);_(* \(#,##0\);_(* "-"_);_(@_)</c:formatCode>
                <c:ptCount val="5"/>
                <c:pt idx="0">
                  <c:v>779.44152165115338</c:v>
                </c:pt>
                <c:pt idx="1">
                  <c:v>284.5002023472278</c:v>
                </c:pt>
                <c:pt idx="2">
                  <c:v>31.566167543504648</c:v>
                </c:pt>
                <c:pt idx="3">
                  <c:v>14.569000404694455</c:v>
                </c:pt>
                <c:pt idx="4">
                  <c:v>6.0704168352893566</c:v>
                </c:pt>
              </c:numCache>
            </c:numRef>
          </c:val>
          <c:extLst>
            <c:ext xmlns:c16="http://schemas.microsoft.com/office/drawing/2014/chart" uri="{C3380CC4-5D6E-409C-BE32-E72D297353CC}">
              <c16:uniqueId val="{00000000-9CDA-F945-A174-88A76DDAF191}"/>
            </c:ext>
          </c:extLst>
        </c:ser>
        <c:ser>
          <c:idx val="1"/>
          <c:order val="1"/>
          <c:tx>
            <c:strRef>
              <c:f>'Pigeon peas'!$C$32</c:f>
              <c:strCache>
                <c:ptCount val="1"/>
                <c:pt idx="0">
                  <c:v> Harvested Area  </c:v>
                </c:pt>
              </c:strCache>
            </c:strRef>
          </c:tx>
          <c:spPr>
            <a:solidFill>
              <a:srgbClr val="FFFF00"/>
            </a:solidFill>
          </c:spPr>
          <c:invertIfNegative val="0"/>
          <c:cat>
            <c:strRef>
              <c:f>'Pigeon peas'!$A$33:$A$37</c:f>
              <c:strCache>
                <c:ptCount val="5"/>
                <c:pt idx="0">
                  <c:v> Kaskazini Unguja </c:v>
                </c:pt>
                <c:pt idx="1">
                  <c:v> Kusini Unguja </c:v>
                </c:pt>
                <c:pt idx="2">
                  <c:v> Mjini Magharibi </c:v>
                </c:pt>
                <c:pt idx="3">
                  <c:v> Kusini  Pemba </c:v>
                </c:pt>
                <c:pt idx="4">
                  <c:v> Kaskazini Pemba </c:v>
                </c:pt>
              </c:strCache>
            </c:strRef>
          </c:cat>
          <c:val>
            <c:numRef>
              <c:f>'Pigeon peas'!$C$33:$C$37</c:f>
              <c:numCache>
                <c:formatCode>_(* #,##0_);_(* \(#,##0\);_(* "-"_);_(@_)</c:formatCode>
                <c:ptCount val="5"/>
                <c:pt idx="0">
                  <c:v>466.20801295022255</c:v>
                </c:pt>
                <c:pt idx="1">
                  <c:v>137.19142047753945</c:v>
                </c:pt>
                <c:pt idx="2">
                  <c:v>31.161473087818692</c:v>
                </c:pt>
                <c:pt idx="3">
                  <c:v>14.569000404694455</c:v>
                </c:pt>
                <c:pt idx="4">
                  <c:v>6.0704168352893566</c:v>
                </c:pt>
              </c:numCache>
            </c:numRef>
          </c:val>
          <c:extLst>
            <c:ext xmlns:c16="http://schemas.microsoft.com/office/drawing/2014/chart" uri="{C3380CC4-5D6E-409C-BE32-E72D297353CC}">
              <c16:uniqueId val="{00000001-9CDA-F945-A174-88A76DDAF191}"/>
            </c:ext>
          </c:extLst>
        </c:ser>
        <c:dLbls>
          <c:showLegendKey val="0"/>
          <c:showVal val="0"/>
          <c:showCatName val="0"/>
          <c:showSerName val="0"/>
          <c:showPercent val="0"/>
          <c:showBubbleSize val="0"/>
        </c:dLbls>
        <c:gapWidth val="150"/>
        <c:axId val="93615616"/>
        <c:axId val="93617536"/>
      </c:barChart>
      <c:catAx>
        <c:axId val="93615616"/>
        <c:scaling>
          <c:orientation val="minMax"/>
        </c:scaling>
        <c:delete val="0"/>
        <c:axPos val="b"/>
        <c:title>
          <c:tx>
            <c:rich>
              <a:bodyPr/>
              <a:lstStyle/>
              <a:p>
                <a:pPr>
                  <a:defRPr b="0"/>
                </a:pPr>
                <a:r>
                  <a:rPr lang="en-US" b="0"/>
                  <a:t>Region</a:t>
                </a:r>
              </a:p>
            </c:rich>
          </c:tx>
          <c:layout>
            <c:manualLayout>
              <c:xMode val="edge"/>
              <c:yMode val="edge"/>
              <c:x val="0.45695748976411699"/>
              <c:y val="0.83292563180669255"/>
            </c:manualLayout>
          </c:layout>
          <c:overlay val="0"/>
        </c:title>
        <c:numFmt formatCode="General" sourceLinked="0"/>
        <c:majorTickMark val="out"/>
        <c:minorTickMark val="none"/>
        <c:tickLblPos val="nextTo"/>
        <c:crossAx val="93617536"/>
        <c:crosses val="autoZero"/>
        <c:auto val="1"/>
        <c:lblAlgn val="ctr"/>
        <c:lblOffset val="100"/>
        <c:noMultiLvlLbl val="0"/>
      </c:catAx>
      <c:valAx>
        <c:axId val="93617536"/>
        <c:scaling>
          <c:orientation val="minMax"/>
        </c:scaling>
        <c:delete val="0"/>
        <c:axPos val="l"/>
        <c:title>
          <c:tx>
            <c:rich>
              <a:bodyPr rot="-5400000" vert="horz"/>
              <a:lstStyle/>
              <a:p>
                <a:pPr>
                  <a:defRPr b="0"/>
                </a:pPr>
                <a:r>
                  <a:rPr lang="en-US" b="0"/>
                  <a:t>Area (ha)</a:t>
                </a:r>
              </a:p>
            </c:rich>
          </c:tx>
          <c:layout>
            <c:manualLayout>
              <c:xMode val="edge"/>
              <c:yMode val="edge"/>
              <c:x val="2.0233849746602313E-2"/>
              <c:y val="0.26530907390552849"/>
            </c:manualLayout>
          </c:layout>
          <c:overlay val="0"/>
        </c:title>
        <c:numFmt formatCode="_(* #,##0_);_(* \(#,##0\);_(* &quot;-&quot;_);_(@_)" sourceLinked="1"/>
        <c:majorTickMark val="out"/>
        <c:minorTickMark val="none"/>
        <c:tickLblPos val="nextTo"/>
        <c:crossAx val="93615616"/>
        <c:crosses val="autoZero"/>
        <c:crossBetween val="between"/>
      </c:valAx>
    </c:plotArea>
    <c:legend>
      <c:legendPos val="b"/>
      <c:layout>
        <c:manualLayout>
          <c:xMode val="edge"/>
          <c:yMode val="edge"/>
          <c:x val="0.23249906627168679"/>
          <c:y val="0.91655517981882362"/>
          <c:w val="0.52078899116197941"/>
          <c:h val="7.0905635228198358E-2"/>
        </c:manualLayout>
      </c:layout>
      <c:overlay val="0"/>
    </c:legend>
    <c:plotVisOnly val="1"/>
    <c:dispBlanksAs val="gap"/>
    <c:showDLblsOverMax val="0"/>
  </c:chart>
  <c:spPr>
    <a:ln w="9525">
      <a:solidFill>
        <a:sysClr val="windowText" lastClr="000000">
          <a:lumMod val="50000"/>
          <a:lumOff val="50000"/>
        </a:sysClr>
      </a:solidFill>
    </a:ln>
  </c:spPr>
  <c:txPr>
    <a:bodyPr/>
    <a:lstStyle/>
    <a:p>
      <a:pPr>
        <a:defRPr sz="800">
          <a:solidFill>
            <a:schemeClr val="tx1"/>
          </a:solidFill>
          <a:latin typeface="Times New Roman" pitchFamily="18" charset="0"/>
          <a:cs typeface="Times New Roman" pitchFamily="18" charset="0"/>
        </a:defRPr>
      </a:pPr>
      <a:endParaRPr lang="en-US"/>
    </a:p>
  </c:txPr>
  <c:externalData r:id="rId2">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076848280516486"/>
          <c:y val="5.6030183727034118E-2"/>
          <c:w val="0.7744185871533531"/>
          <c:h val="0.52942073730145434"/>
        </c:manualLayout>
      </c:layout>
      <c:barChart>
        <c:barDir val="col"/>
        <c:grouping val="clustered"/>
        <c:varyColors val="0"/>
        <c:ser>
          <c:idx val="0"/>
          <c:order val="0"/>
          <c:tx>
            <c:strRef>
              <c:f>'Pigeon peas'!$B$43</c:f>
              <c:strCache>
                <c:ptCount val="1"/>
                <c:pt idx="0">
                  <c:v> Production  </c:v>
                </c:pt>
              </c:strCache>
            </c:strRef>
          </c:tx>
          <c:invertIfNegative val="0"/>
          <c:cat>
            <c:strRef>
              <c:f>'Pigeon peas'!$A$44:$A$64</c:f>
              <c:strCache>
                <c:ptCount val="21"/>
                <c:pt idx="0">
                  <c:v> Manyara </c:v>
                </c:pt>
                <c:pt idx="1">
                  <c:v> Mtwara </c:v>
                </c:pt>
                <c:pt idx="2">
                  <c:v> Lindi </c:v>
                </c:pt>
                <c:pt idx="3">
                  <c:v> Ruvuma </c:v>
                </c:pt>
                <c:pt idx="4">
                  <c:v> Dodoma </c:v>
                </c:pt>
                <c:pt idx="5">
                  <c:v> Morogoro </c:v>
                </c:pt>
                <c:pt idx="6">
                  <c:v> Kigoma </c:v>
                </c:pt>
                <c:pt idx="7">
                  <c:v> Pwani </c:v>
                </c:pt>
                <c:pt idx="8">
                  <c:v> Tanga </c:v>
                </c:pt>
                <c:pt idx="9">
                  <c:v> Dar Es Salaam </c:v>
                </c:pt>
                <c:pt idx="10">
                  <c:v> Simiyu </c:v>
                </c:pt>
                <c:pt idx="11">
                  <c:v> Singida </c:v>
                </c:pt>
                <c:pt idx="12">
                  <c:v> Mbeya </c:v>
                </c:pt>
                <c:pt idx="13">
                  <c:v> Arusha </c:v>
                </c:pt>
                <c:pt idx="14">
                  <c:v> Rukwa </c:v>
                </c:pt>
                <c:pt idx="15">
                  <c:v> Kilimanjaro </c:v>
                </c:pt>
                <c:pt idx="16">
                  <c:v> Kagera </c:v>
                </c:pt>
                <c:pt idx="17">
                  <c:v> Geita </c:v>
                </c:pt>
                <c:pt idx="18">
                  <c:v> Tabora </c:v>
                </c:pt>
                <c:pt idx="19">
                  <c:v> Shinyanga </c:v>
                </c:pt>
                <c:pt idx="20">
                  <c:v> Mwanza </c:v>
                </c:pt>
              </c:strCache>
            </c:strRef>
          </c:cat>
          <c:val>
            <c:numRef>
              <c:f>'Pigeon peas'!$B$44:$B$64</c:f>
              <c:numCache>
                <c:formatCode>_(* #,##0_);_(* \(#,##0\);_(* "-"_);_(@_)</c:formatCode>
                <c:ptCount val="21"/>
                <c:pt idx="0">
                  <c:v>9652.4719999999998</c:v>
                </c:pt>
                <c:pt idx="1">
                  <c:v>8154.2330000000002</c:v>
                </c:pt>
                <c:pt idx="2">
                  <c:v>7681.5429999999997</c:v>
                </c:pt>
                <c:pt idx="3">
                  <c:v>4080.7339999999999</c:v>
                </c:pt>
                <c:pt idx="4">
                  <c:v>2585.3490000000002</c:v>
                </c:pt>
                <c:pt idx="5">
                  <c:v>2396.864</c:v>
                </c:pt>
                <c:pt idx="6">
                  <c:v>2287.7780000000002</c:v>
                </c:pt>
                <c:pt idx="7">
                  <c:v>1074.183</c:v>
                </c:pt>
                <c:pt idx="8">
                  <c:v>868.78700000000003</c:v>
                </c:pt>
                <c:pt idx="9">
                  <c:v>796.75399999999991</c:v>
                </c:pt>
                <c:pt idx="10">
                  <c:v>721.9910000000001</c:v>
                </c:pt>
                <c:pt idx="11">
                  <c:v>294.553</c:v>
                </c:pt>
                <c:pt idx="12">
                  <c:v>112.956</c:v>
                </c:pt>
                <c:pt idx="13">
                  <c:v>95.542000000000002</c:v>
                </c:pt>
                <c:pt idx="14">
                  <c:v>56.392000000000003</c:v>
                </c:pt>
                <c:pt idx="15">
                  <c:v>48.897999999999996</c:v>
                </c:pt>
                <c:pt idx="16">
                  <c:v>29.518000000000001</c:v>
                </c:pt>
                <c:pt idx="17">
                  <c:v>21.588999999999999</c:v>
                </c:pt>
                <c:pt idx="18">
                  <c:v>16.829000000000001</c:v>
                </c:pt>
                <c:pt idx="19">
                  <c:v>9.4390000000000001</c:v>
                </c:pt>
                <c:pt idx="20">
                  <c:v>3.6869999999999998</c:v>
                </c:pt>
              </c:numCache>
            </c:numRef>
          </c:val>
          <c:extLst>
            <c:ext xmlns:c16="http://schemas.microsoft.com/office/drawing/2014/chart" uri="{C3380CC4-5D6E-409C-BE32-E72D297353CC}">
              <c16:uniqueId val="{00000000-8593-AA47-9DFC-8A539C01992C}"/>
            </c:ext>
          </c:extLst>
        </c:ser>
        <c:dLbls>
          <c:showLegendKey val="0"/>
          <c:showVal val="0"/>
          <c:showCatName val="0"/>
          <c:showSerName val="0"/>
          <c:showPercent val="0"/>
          <c:showBubbleSize val="0"/>
        </c:dLbls>
        <c:gapWidth val="150"/>
        <c:axId val="97337344"/>
        <c:axId val="97339264"/>
      </c:barChart>
      <c:scatterChart>
        <c:scatterStyle val="lineMarker"/>
        <c:varyColors val="0"/>
        <c:ser>
          <c:idx val="1"/>
          <c:order val="1"/>
          <c:tx>
            <c:strRef>
              <c:f>'Pigeon peas'!$C$43</c:f>
              <c:strCache>
                <c:ptCount val="1"/>
                <c:pt idx="0">
                  <c:v> Yield  </c:v>
                </c:pt>
              </c:strCache>
            </c:strRef>
          </c:tx>
          <c:spPr>
            <a:ln w="19050">
              <a:noFill/>
            </a:ln>
          </c:spPr>
          <c:marker>
            <c:symbol val="circle"/>
            <c:size val="4"/>
          </c:marker>
          <c:xVal>
            <c:strRef>
              <c:f>'Pigeon peas'!$A$44:$A$64</c:f>
              <c:strCache>
                <c:ptCount val="21"/>
                <c:pt idx="0">
                  <c:v> Manyara </c:v>
                </c:pt>
                <c:pt idx="1">
                  <c:v> Mtwara </c:v>
                </c:pt>
                <c:pt idx="2">
                  <c:v> Lindi </c:v>
                </c:pt>
                <c:pt idx="3">
                  <c:v> Ruvuma </c:v>
                </c:pt>
                <c:pt idx="4">
                  <c:v> Dodoma </c:v>
                </c:pt>
                <c:pt idx="5">
                  <c:v> Morogoro </c:v>
                </c:pt>
                <c:pt idx="6">
                  <c:v> Kigoma </c:v>
                </c:pt>
                <c:pt idx="7">
                  <c:v> Pwani </c:v>
                </c:pt>
                <c:pt idx="8">
                  <c:v> Tanga </c:v>
                </c:pt>
                <c:pt idx="9">
                  <c:v> Dar Es Salaam </c:v>
                </c:pt>
                <c:pt idx="10">
                  <c:v> Simiyu </c:v>
                </c:pt>
                <c:pt idx="11">
                  <c:v> Singida </c:v>
                </c:pt>
                <c:pt idx="12">
                  <c:v> Mbeya </c:v>
                </c:pt>
                <c:pt idx="13">
                  <c:v> Arusha </c:v>
                </c:pt>
                <c:pt idx="14">
                  <c:v> Rukwa </c:v>
                </c:pt>
                <c:pt idx="15">
                  <c:v> Kilimanjaro </c:v>
                </c:pt>
                <c:pt idx="16">
                  <c:v> Kagera </c:v>
                </c:pt>
                <c:pt idx="17">
                  <c:v> Geita </c:v>
                </c:pt>
                <c:pt idx="18">
                  <c:v> Tabora </c:v>
                </c:pt>
                <c:pt idx="19">
                  <c:v> Shinyanga </c:v>
                </c:pt>
                <c:pt idx="20">
                  <c:v> Mwanza </c:v>
                </c:pt>
              </c:strCache>
            </c:strRef>
          </c:xVal>
          <c:yVal>
            <c:numRef>
              <c:f>'Pigeon peas'!$C$44:$C$64</c:f>
              <c:numCache>
                <c:formatCode>_(* #,##0.0_);_(* \(#,##0.0\);_(* "-"_);_(@_)</c:formatCode>
                <c:ptCount val="21"/>
                <c:pt idx="0">
                  <c:v>0.48946742826653533</c:v>
                </c:pt>
                <c:pt idx="1">
                  <c:v>0.38875380557592132</c:v>
                </c:pt>
                <c:pt idx="2">
                  <c:v>0.46442605218987038</c:v>
                </c:pt>
                <c:pt idx="3">
                  <c:v>0.37045790491935776</c:v>
                </c:pt>
                <c:pt idx="4">
                  <c:v>0.35308668429779477</c:v>
                </c:pt>
                <c:pt idx="5">
                  <c:v>0.3763280559156183</c:v>
                </c:pt>
                <c:pt idx="6">
                  <c:v>0.38398990884390716</c:v>
                </c:pt>
                <c:pt idx="7">
                  <c:v>0.52116752267818578</c:v>
                </c:pt>
                <c:pt idx="8">
                  <c:v>0.33722473719761237</c:v>
                </c:pt>
                <c:pt idx="9">
                  <c:v>0.8115330313272876</c:v>
                </c:pt>
                <c:pt idx="10">
                  <c:v>0.43082341487563397</c:v>
                </c:pt>
                <c:pt idx="11">
                  <c:v>0.72421936616915428</c:v>
                </c:pt>
                <c:pt idx="12">
                  <c:v>0.77747709192200565</c:v>
                </c:pt>
                <c:pt idx="13">
                  <c:v>0.41858915248226952</c:v>
                </c:pt>
                <c:pt idx="14">
                  <c:v>0.98825980141843972</c:v>
                </c:pt>
                <c:pt idx="15">
                  <c:v>0.50555212552301254</c:v>
                </c:pt>
                <c:pt idx="16">
                  <c:v>0.1558525170940171</c:v>
                </c:pt>
                <c:pt idx="17">
                  <c:v>0.98789664814814815</c:v>
                </c:pt>
                <c:pt idx="18">
                  <c:v>0.24752654166666668</c:v>
                </c:pt>
                <c:pt idx="19">
                  <c:v>0.44007111320754722</c:v>
                </c:pt>
                <c:pt idx="20">
                  <c:v>0.5061431666666667</c:v>
                </c:pt>
              </c:numCache>
            </c:numRef>
          </c:yVal>
          <c:smooth val="0"/>
          <c:extLst>
            <c:ext xmlns:c16="http://schemas.microsoft.com/office/drawing/2014/chart" uri="{C3380CC4-5D6E-409C-BE32-E72D297353CC}">
              <c16:uniqueId val="{00000001-8593-AA47-9DFC-8A539C01992C}"/>
            </c:ext>
          </c:extLst>
        </c:ser>
        <c:dLbls>
          <c:showLegendKey val="0"/>
          <c:showVal val="0"/>
          <c:showCatName val="0"/>
          <c:showSerName val="0"/>
          <c:showPercent val="0"/>
          <c:showBubbleSize val="0"/>
        </c:dLbls>
        <c:axId val="97343360"/>
        <c:axId val="97341440"/>
      </c:scatterChart>
      <c:catAx>
        <c:axId val="97337344"/>
        <c:scaling>
          <c:orientation val="minMax"/>
        </c:scaling>
        <c:delete val="0"/>
        <c:axPos val="b"/>
        <c:title>
          <c:tx>
            <c:rich>
              <a:bodyPr/>
              <a:lstStyle/>
              <a:p>
                <a:pPr>
                  <a:defRPr/>
                </a:pPr>
                <a:r>
                  <a:rPr lang="en-US"/>
                  <a:t>Region</a:t>
                </a:r>
              </a:p>
            </c:rich>
          </c:tx>
          <c:layout>
            <c:manualLayout>
              <c:xMode val="edge"/>
              <c:yMode val="edge"/>
              <c:x val="0.50997771496413935"/>
              <c:y val="0.80833367937934131"/>
            </c:manualLayout>
          </c:layout>
          <c:overlay val="0"/>
        </c:title>
        <c:numFmt formatCode="General" sourceLinked="0"/>
        <c:majorTickMark val="out"/>
        <c:minorTickMark val="none"/>
        <c:tickLblPos val="nextTo"/>
        <c:txPr>
          <a:bodyPr rot="-5400000" vert="horz"/>
          <a:lstStyle/>
          <a:p>
            <a:pPr>
              <a:defRPr/>
            </a:pPr>
            <a:endParaRPr lang="en-US"/>
          </a:p>
        </c:txPr>
        <c:crossAx val="97339264"/>
        <c:crosses val="autoZero"/>
        <c:auto val="1"/>
        <c:lblAlgn val="ctr"/>
        <c:lblOffset val="100"/>
        <c:noMultiLvlLbl val="0"/>
      </c:catAx>
      <c:valAx>
        <c:axId val="97339264"/>
        <c:scaling>
          <c:orientation val="minMax"/>
        </c:scaling>
        <c:delete val="0"/>
        <c:axPos val="l"/>
        <c:title>
          <c:tx>
            <c:rich>
              <a:bodyPr rot="-5400000" vert="horz"/>
              <a:lstStyle/>
              <a:p>
                <a:pPr>
                  <a:defRPr/>
                </a:pPr>
                <a:r>
                  <a:rPr lang="en-US"/>
                  <a:t>Production (tons)</a:t>
                </a:r>
              </a:p>
            </c:rich>
          </c:tx>
          <c:layout>
            <c:manualLayout>
              <c:xMode val="edge"/>
              <c:yMode val="edge"/>
              <c:x val="1.9310295621960964E-2"/>
              <c:y val="0.17183559411581231"/>
            </c:manualLayout>
          </c:layout>
          <c:overlay val="0"/>
        </c:title>
        <c:numFmt formatCode="_(* #,##0_);_(* \(#,##0\);_(* &quot;-&quot;_);_(@_)" sourceLinked="1"/>
        <c:majorTickMark val="out"/>
        <c:minorTickMark val="none"/>
        <c:tickLblPos val="nextTo"/>
        <c:crossAx val="97337344"/>
        <c:crosses val="autoZero"/>
        <c:crossBetween val="between"/>
      </c:valAx>
      <c:valAx>
        <c:axId val="97341440"/>
        <c:scaling>
          <c:orientation val="minMax"/>
        </c:scaling>
        <c:delete val="0"/>
        <c:axPos val="r"/>
        <c:title>
          <c:tx>
            <c:rich>
              <a:bodyPr rot="-5400000" vert="horz"/>
              <a:lstStyle/>
              <a:p>
                <a:pPr>
                  <a:defRPr/>
                </a:pPr>
                <a:r>
                  <a:rPr lang="en-US"/>
                  <a:t>Yield (tos/ha)</a:t>
                </a:r>
              </a:p>
            </c:rich>
          </c:tx>
          <c:overlay val="0"/>
        </c:title>
        <c:numFmt formatCode="_(* #,##0.0_);_(* \(#,##0.0\);_(* &quot;-&quot;_);_(@_)" sourceLinked="1"/>
        <c:majorTickMark val="out"/>
        <c:minorTickMark val="none"/>
        <c:tickLblPos val="nextTo"/>
        <c:crossAx val="97343360"/>
        <c:crosses val="max"/>
        <c:crossBetween val="midCat"/>
      </c:valAx>
      <c:valAx>
        <c:axId val="97343360"/>
        <c:scaling>
          <c:orientation val="minMax"/>
        </c:scaling>
        <c:delete val="1"/>
        <c:axPos val="b"/>
        <c:majorTickMark val="out"/>
        <c:minorTickMark val="none"/>
        <c:tickLblPos val="none"/>
        <c:crossAx val="97341440"/>
        <c:crosses val="autoZero"/>
        <c:crossBetween val="midCat"/>
      </c:valAx>
    </c:plotArea>
    <c:legend>
      <c:legendPos val="b"/>
      <c:layout>
        <c:manualLayout>
          <c:xMode val="edge"/>
          <c:yMode val="edge"/>
          <c:x val="0.38874608051242826"/>
          <c:y val="0.89736685967822649"/>
          <c:w val="0.24250783582553767"/>
          <c:h val="7.5817507300397727E-2"/>
        </c:manualLayout>
      </c:layout>
      <c:overlay val="0"/>
    </c:legend>
    <c:plotVisOnly val="1"/>
    <c:dispBlanksAs val="gap"/>
    <c:showDLblsOverMax val="0"/>
  </c:chart>
  <c:spPr>
    <a:ln w="9525">
      <a:solidFill>
        <a:sysClr val="windowText" lastClr="000000">
          <a:lumMod val="50000"/>
          <a:lumOff val="50000"/>
        </a:sysClr>
      </a:solidFill>
    </a:ln>
  </c:spPr>
  <c:txPr>
    <a:bodyPr/>
    <a:lstStyle/>
    <a:p>
      <a:pPr>
        <a:defRPr sz="750" b="0">
          <a:latin typeface="Times New Roman" pitchFamily="18" charset="0"/>
          <a:cs typeface="Times New Roman" pitchFamily="18" charset="0"/>
        </a:defRPr>
      </a:pPr>
      <a:endParaRPr lang="en-US"/>
    </a:p>
  </c:txPr>
  <c:externalData r:id="rId2">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754266904482243"/>
          <c:y val="5.1400554097404488E-2"/>
          <c:w val="0.7077455373326953"/>
          <c:h val="0.6950268072646697"/>
        </c:manualLayout>
      </c:layout>
      <c:barChart>
        <c:barDir val="col"/>
        <c:grouping val="clustered"/>
        <c:varyColors val="0"/>
        <c:ser>
          <c:idx val="0"/>
          <c:order val="0"/>
          <c:tx>
            <c:strRef>
              <c:f>'Pigeon peas'!$B$73</c:f>
              <c:strCache>
                <c:ptCount val="1"/>
                <c:pt idx="0">
                  <c:v> Production  </c:v>
                </c:pt>
              </c:strCache>
            </c:strRef>
          </c:tx>
          <c:invertIfNegative val="0"/>
          <c:cat>
            <c:strRef>
              <c:f>'Pigeon peas'!$A$74:$A$78</c:f>
              <c:strCache>
                <c:ptCount val="5"/>
                <c:pt idx="0">
                  <c:v> Kaskazini Unguja </c:v>
                </c:pt>
                <c:pt idx="1">
                  <c:v> Kusini Unguja </c:v>
                </c:pt>
                <c:pt idx="2">
                  <c:v> Mjini Magharibi </c:v>
                </c:pt>
                <c:pt idx="3">
                  <c:v> Kusini  Pemba </c:v>
                </c:pt>
                <c:pt idx="4">
                  <c:v> Kaskazini Pemba </c:v>
                </c:pt>
              </c:strCache>
            </c:strRef>
          </c:cat>
          <c:val>
            <c:numRef>
              <c:f>'Pigeon peas'!$B$74:$B$78</c:f>
              <c:numCache>
                <c:formatCode>_(* #,##0_);_(* \(#,##0\);_(* "-"_);_(@_)</c:formatCode>
                <c:ptCount val="5"/>
                <c:pt idx="0">
                  <c:v>662.12199999999996</c:v>
                </c:pt>
                <c:pt idx="1">
                  <c:v>189.53399999999996</c:v>
                </c:pt>
                <c:pt idx="2">
                  <c:v>49.774000000000001</c:v>
                </c:pt>
                <c:pt idx="3">
                  <c:v>21.36</c:v>
                </c:pt>
                <c:pt idx="4">
                  <c:v>8.4909999999999997</c:v>
                </c:pt>
              </c:numCache>
            </c:numRef>
          </c:val>
          <c:extLst>
            <c:ext xmlns:c16="http://schemas.microsoft.com/office/drawing/2014/chart" uri="{C3380CC4-5D6E-409C-BE32-E72D297353CC}">
              <c16:uniqueId val="{00000000-C8FF-A947-B773-601D253B07B3}"/>
            </c:ext>
          </c:extLst>
        </c:ser>
        <c:dLbls>
          <c:showLegendKey val="0"/>
          <c:showVal val="0"/>
          <c:showCatName val="0"/>
          <c:showSerName val="0"/>
          <c:showPercent val="0"/>
          <c:showBubbleSize val="0"/>
        </c:dLbls>
        <c:gapWidth val="150"/>
        <c:axId val="97403264"/>
        <c:axId val="97405184"/>
      </c:barChart>
      <c:scatterChart>
        <c:scatterStyle val="lineMarker"/>
        <c:varyColors val="0"/>
        <c:ser>
          <c:idx val="1"/>
          <c:order val="1"/>
          <c:tx>
            <c:strRef>
              <c:f>'Pigeon peas'!$C$73</c:f>
              <c:strCache>
                <c:ptCount val="1"/>
                <c:pt idx="0">
                  <c:v> Yield  </c:v>
                </c:pt>
              </c:strCache>
            </c:strRef>
          </c:tx>
          <c:spPr>
            <a:ln w="19050">
              <a:noFill/>
            </a:ln>
          </c:spPr>
          <c:marker>
            <c:symbol val="circle"/>
            <c:size val="4"/>
          </c:marker>
          <c:xVal>
            <c:strRef>
              <c:f>'Pigeon peas'!$A$74:$A$78</c:f>
              <c:strCache>
                <c:ptCount val="5"/>
                <c:pt idx="0">
                  <c:v> Kaskazini Unguja </c:v>
                </c:pt>
                <c:pt idx="1">
                  <c:v> Kusini Unguja </c:v>
                </c:pt>
                <c:pt idx="2">
                  <c:v> Mjini Magharibi </c:v>
                </c:pt>
                <c:pt idx="3">
                  <c:v> Kusini  Pemba </c:v>
                </c:pt>
                <c:pt idx="4">
                  <c:v> Kaskazini Pemba </c:v>
                </c:pt>
              </c:strCache>
            </c:strRef>
          </c:xVal>
          <c:yVal>
            <c:numRef>
              <c:f>'Pigeon peas'!$C$74:$C$78</c:f>
              <c:numCache>
                <c:formatCode>_(* #,##0.0_);_(* \(#,##0.0\);_(* "-"_);_(@_)</c:formatCode>
                <c:ptCount val="5"/>
                <c:pt idx="0">
                  <c:v>1.4202286996527778</c:v>
                </c:pt>
                <c:pt idx="1">
                  <c:v>1.3815295398230087</c:v>
                </c:pt>
                <c:pt idx="2">
                  <c:v>1.5972929090909094</c:v>
                </c:pt>
                <c:pt idx="3">
                  <c:v>1.4661266666666668</c:v>
                </c:pt>
                <c:pt idx="4">
                  <c:v>1.3987507333333333</c:v>
                </c:pt>
              </c:numCache>
            </c:numRef>
          </c:yVal>
          <c:smooth val="0"/>
          <c:extLst>
            <c:ext xmlns:c16="http://schemas.microsoft.com/office/drawing/2014/chart" uri="{C3380CC4-5D6E-409C-BE32-E72D297353CC}">
              <c16:uniqueId val="{00000001-C8FF-A947-B773-601D253B07B3}"/>
            </c:ext>
          </c:extLst>
        </c:ser>
        <c:dLbls>
          <c:showLegendKey val="0"/>
          <c:showVal val="0"/>
          <c:showCatName val="0"/>
          <c:showSerName val="0"/>
          <c:showPercent val="0"/>
          <c:showBubbleSize val="0"/>
        </c:dLbls>
        <c:axId val="97409280"/>
        <c:axId val="97407360"/>
      </c:scatterChart>
      <c:catAx>
        <c:axId val="97403264"/>
        <c:scaling>
          <c:orientation val="minMax"/>
        </c:scaling>
        <c:delete val="0"/>
        <c:axPos val="b"/>
        <c:title>
          <c:tx>
            <c:rich>
              <a:bodyPr/>
              <a:lstStyle/>
              <a:p>
                <a:pPr>
                  <a:defRPr/>
                </a:pPr>
                <a:r>
                  <a:rPr lang="en-US"/>
                  <a:t>Region</a:t>
                </a:r>
              </a:p>
            </c:rich>
          </c:tx>
          <c:layout>
            <c:manualLayout>
              <c:xMode val="edge"/>
              <c:yMode val="edge"/>
              <c:x val="0.46302692826380137"/>
              <c:y val="0.84436615108384616"/>
            </c:manualLayout>
          </c:layout>
          <c:overlay val="0"/>
        </c:title>
        <c:numFmt formatCode="General" sourceLinked="0"/>
        <c:majorTickMark val="out"/>
        <c:minorTickMark val="none"/>
        <c:tickLblPos val="nextTo"/>
        <c:crossAx val="97405184"/>
        <c:crosses val="autoZero"/>
        <c:auto val="1"/>
        <c:lblAlgn val="ctr"/>
        <c:lblOffset val="100"/>
        <c:noMultiLvlLbl val="0"/>
      </c:catAx>
      <c:valAx>
        <c:axId val="97405184"/>
        <c:scaling>
          <c:orientation val="minMax"/>
        </c:scaling>
        <c:delete val="0"/>
        <c:axPos val="l"/>
        <c:title>
          <c:tx>
            <c:rich>
              <a:bodyPr rot="-5400000" vert="horz"/>
              <a:lstStyle/>
              <a:p>
                <a:pPr>
                  <a:defRPr/>
                </a:pPr>
                <a:r>
                  <a:rPr lang="en-US"/>
                  <a:t>Production (tons)</a:t>
                </a:r>
              </a:p>
            </c:rich>
          </c:tx>
          <c:layout>
            <c:manualLayout>
              <c:xMode val="edge"/>
              <c:yMode val="edge"/>
              <c:x val="3.7849412469850109E-2"/>
              <c:y val="0.15755598860443953"/>
            </c:manualLayout>
          </c:layout>
          <c:overlay val="0"/>
        </c:title>
        <c:numFmt formatCode="_(* #,##0_);_(* \(#,##0\);_(* &quot;-&quot;_);_(@_)" sourceLinked="1"/>
        <c:majorTickMark val="out"/>
        <c:minorTickMark val="none"/>
        <c:tickLblPos val="nextTo"/>
        <c:crossAx val="97403264"/>
        <c:crosses val="autoZero"/>
        <c:crossBetween val="between"/>
      </c:valAx>
      <c:valAx>
        <c:axId val="97407360"/>
        <c:scaling>
          <c:orientation val="minMax"/>
        </c:scaling>
        <c:delete val="0"/>
        <c:axPos val="r"/>
        <c:title>
          <c:tx>
            <c:rich>
              <a:bodyPr rot="-5400000" vert="horz"/>
              <a:lstStyle/>
              <a:p>
                <a:pPr>
                  <a:defRPr/>
                </a:pPr>
                <a:r>
                  <a:rPr lang="en-US"/>
                  <a:t>Yield (tons/ha)</a:t>
                </a:r>
              </a:p>
            </c:rich>
          </c:tx>
          <c:overlay val="0"/>
        </c:title>
        <c:numFmt formatCode="_(* #,##0.0_);_(* \(#,##0.0\);_(* &quot;-&quot;_);_(@_)" sourceLinked="1"/>
        <c:majorTickMark val="out"/>
        <c:minorTickMark val="none"/>
        <c:tickLblPos val="nextTo"/>
        <c:crossAx val="97409280"/>
        <c:crosses val="max"/>
        <c:crossBetween val="midCat"/>
      </c:valAx>
      <c:valAx>
        <c:axId val="97409280"/>
        <c:scaling>
          <c:orientation val="minMax"/>
        </c:scaling>
        <c:delete val="1"/>
        <c:axPos val="b"/>
        <c:majorTickMark val="out"/>
        <c:minorTickMark val="none"/>
        <c:tickLblPos val="none"/>
        <c:crossAx val="97407360"/>
        <c:crosses val="autoZero"/>
        <c:crossBetween val="midCat"/>
      </c:valAx>
    </c:plotArea>
    <c:legend>
      <c:legendPos val="b"/>
      <c:layout>
        <c:manualLayout>
          <c:xMode val="edge"/>
          <c:yMode val="edge"/>
          <c:x val="0.35116737816635085"/>
          <c:y val="0.91333755694331309"/>
          <c:w val="0.29766524366729841"/>
          <c:h val="8.6662443056686883E-2"/>
        </c:manualLayout>
      </c:layout>
      <c:overlay val="0"/>
    </c:legend>
    <c:plotVisOnly val="1"/>
    <c:dispBlanksAs val="gap"/>
    <c:showDLblsOverMax val="0"/>
  </c:chart>
  <c:spPr>
    <a:ln w="9525">
      <a:solidFill>
        <a:sysClr val="windowText" lastClr="000000">
          <a:lumMod val="50000"/>
          <a:lumOff val="50000"/>
        </a:sysClr>
      </a:solidFill>
    </a:ln>
  </c:spPr>
  <c:txPr>
    <a:bodyPr/>
    <a:lstStyle/>
    <a:p>
      <a:pPr>
        <a:defRPr sz="750" b="0">
          <a:solidFill>
            <a:schemeClr val="tx1"/>
          </a:solidFill>
          <a:latin typeface="Times New Roman" pitchFamily="18" charset="0"/>
          <a:cs typeface="Times New Roman" pitchFamily="18" charset="0"/>
        </a:defRPr>
      </a:pPr>
      <a:endParaRPr lang="en-US"/>
    </a:p>
  </c:txPr>
  <c:externalData r:id="rId2">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821324898490253"/>
          <c:y val="5.9141829086692438E-2"/>
          <c:w val="0.76217565112053298"/>
          <c:h val="0.57335984879573998"/>
        </c:manualLayout>
      </c:layout>
      <c:barChart>
        <c:barDir val="col"/>
        <c:grouping val="clustered"/>
        <c:varyColors val="0"/>
        <c:ser>
          <c:idx val="0"/>
          <c:order val="0"/>
          <c:tx>
            <c:strRef>
              <c:f>'Fruits &amp; Vegetables'!$H$3</c:f>
              <c:strCache>
                <c:ptCount val="1"/>
                <c:pt idx="0">
                  <c:v> Quantity Harvested  </c:v>
                </c:pt>
              </c:strCache>
            </c:strRef>
          </c:tx>
          <c:invertIfNegative val="0"/>
          <c:cat>
            <c:strRef>
              <c:f>'Fruits &amp; Vegetables'!$G$4:$G$29</c:f>
              <c:strCache>
                <c:ptCount val="26"/>
                <c:pt idx="0">
                  <c:v>Iringa</c:v>
                </c:pt>
                <c:pt idx="1">
                  <c:v>Dodoma</c:v>
                </c:pt>
                <c:pt idx="2">
                  <c:v>Dar Es Salaam</c:v>
                </c:pt>
                <c:pt idx="3">
                  <c:v>Morogoro</c:v>
                </c:pt>
                <c:pt idx="4">
                  <c:v>Geita</c:v>
                </c:pt>
                <c:pt idx="5">
                  <c:v>Mbeya</c:v>
                </c:pt>
                <c:pt idx="6">
                  <c:v>Singida</c:v>
                </c:pt>
                <c:pt idx="7">
                  <c:v>Kilimanjaro</c:v>
                </c:pt>
                <c:pt idx="8">
                  <c:v>Arusha</c:v>
                </c:pt>
                <c:pt idx="9">
                  <c:v>Tanga</c:v>
                </c:pt>
                <c:pt idx="10">
                  <c:v>Lindi</c:v>
                </c:pt>
                <c:pt idx="11">
                  <c:v>Kagera</c:v>
                </c:pt>
                <c:pt idx="12">
                  <c:v>Mwanza</c:v>
                </c:pt>
                <c:pt idx="13">
                  <c:v>Ruvuma</c:v>
                </c:pt>
                <c:pt idx="14">
                  <c:v>Tabora</c:v>
                </c:pt>
                <c:pt idx="15">
                  <c:v>Shinyanga</c:v>
                </c:pt>
                <c:pt idx="16">
                  <c:v>Kigoma</c:v>
                </c:pt>
                <c:pt idx="17">
                  <c:v>Rukwa</c:v>
                </c:pt>
                <c:pt idx="18">
                  <c:v>Njombe</c:v>
                </c:pt>
                <c:pt idx="19">
                  <c:v>Mtwara</c:v>
                </c:pt>
                <c:pt idx="20">
                  <c:v>Manyara</c:v>
                </c:pt>
                <c:pt idx="21">
                  <c:v>Pwani</c:v>
                </c:pt>
                <c:pt idx="22">
                  <c:v>Mara</c:v>
                </c:pt>
                <c:pt idx="23">
                  <c:v>Simiyu</c:v>
                </c:pt>
                <c:pt idx="24">
                  <c:v>Songwe</c:v>
                </c:pt>
                <c:pt idx="25">
                  <c:v>Katavi</c:v>
                </c:pt>
              </c:strCache>
            </c:strRef>
          </c:cat>
          <c:val>
            <c:numRef>
              <c:f>'Fruits &amp; Vegetables'!$H$4:$H$29</c:f>
              <c:numCache>
                <c:formatCode>_(* #,##0_);_(* \(#,##0\);_(* "-"_);_(@_)</c:formatCode>
                <c:ptCount val="26"/>
                <c:pt idx="0">
                  <c:v>50357.722000000002</c:v>
                </c:pt>
                <c:pt idx="1">
                  <c:v>44600.171999999999</c:v>
                </c:pt>
                <c:pt idx="2">
                  <c:v>28631.098000000002</c:v>
                </c:pt>
                <c:pt idx="3">
                  <c:v>27280.641</c:v>
                </c:pt>
                <c:pt idx="4">
                  <c:v>23633.141</c:v>
                </c:pt>
                <c:pt idx="5">
                  <c:v>20234.857</c:v>
                </c:pt>
                <c:pt idx="6">
                  <c:v>19744.128000000001</c:v>
                </c:pt>
                <c:pt idx="7">
                  <c:v>15133.759</c:v>
                </c:pt>
                <c:pt idx="8">
                  <c:v>15083.520999999999</c:v>
                </c:pt>
                <c:pt idx="9">
                  <c:v>13876.808000000001</c:v>
                </c:pt>
                <c:pt idx="10">
                  <c:v>10388.198</c:v>
                </c:pt>
                <c:pt idx="11">
                  <c:v>9755.9060000000009</c:v>
                </c:pt>
                <c:pt idx="12">
                  <c:v>5846.9890000000005</c:v>
                </c:pt>
                <c:pt idx="13">
                  <c:v>5622.5169999999998</c:v>
                </c:pt>
                <c:pt idx="14">
                  <c:v>5324.9410000000007</c:v>
                </c:pt>
                <c:pt idx="15">
                  <c:v>4784.3190000000004</c:v>
                </c:pt>
                <c:pt idx="16">
                  <c:v>4228.9809999999998</c:v>
                </c:pt>
                <c:pt idx="17">
                  <c:v>3863.0430000000001</c:v>
                </c:pt>
                <c:pt idx="18">
                  <c:v>3500.3589999999999</c:v>
                </c:pt>
                <c:pt idx="19">
                  <c:v>1789.39</c:v>
                </c:pt>
                <c:pt idx="20">
                  <c:v>1718.34</c:v>
                </c:pt>
                <c:pt idx="21">
                  <c:v>1350.1990000000001</c:v>
                </c:pt>
                <c:pt idx="22">
                  <c:v>828.83600000000001</c:v>
                </c:pt>
                <c:pt idx="23">
                  <c:v>377.14800000000002</c:v>
                </c:pt>
                <c:pt idx="24">
                  <c:v>244.89000000000001</c:v>
                </c:pt>
                <c:pt idx="25">
                  <c:v>230.959</c:v>
                </c:pt>
              </c:numCache>
            </c:numRef>
          </c:val>
          <c:extLst>
            <c:ext xmlns:c16="http://schemas.microsoft.com/office/drawing/2014/chart" uri="{C3380CC4-5D6E-409C-BE32-E72D297353CC}">
              <c16:uniqueId val="{00000000-3BA3-9442-B3AF-D2FBAE4D3F62}"/>
            </c:ext>
          </c:extLst>
        </c:ser>
        <c:dLbls>
          <c:showLegendKey val="0"/>
          <c:showVal val="0"/>
          <c:showCatName val="0"/>
          <c:showSerName val="0"/>
          <c:showPercent val="0"/>
          <c:showBubbleSize val="0"/>
        </c:dLbls>
        <c:gapWidth val="150"/>
        <c:axId val="97138944"/>
        <c:axId val="97149312"/>
      </c:barChart>
      <c:scatterChart>
        <c:scatterStyle val="lineMarker"/>
        <c:varyColors val="0"/>
        <c:ser>
          <c:idx val="1"/>
          <c:order val="1"/>
          <c:tx>
            <c:strRef>
              <c:f>'Fruits &amp; Vegetables'!$I$3</c:f>
              <c:strCache>
                <c:ptCount val="1"/>
                <c:pt idx="0">
                  <c:v> Yield  </c:v>
                </c:pt>
              </c:strCache>
            </c:strRef>
          </c:tx>
          <c:spPr>
            <a:ln w="19050">
              <a:noFill/>
            </a:ln>
          </c:spPr>
          <c:marker>
            <c:symbol val="circle"/>
            <c:size val="4"/>
          </c:marker>
          <c:xVal>
            <c:strRef>
              <c:f>'Fruits &amp; Vegetables'!$G$4:$G$29</c:f>
              <c:strCache>
                <c:ptCount val="26"/>
                <c:pt idx="0">
                  <c:v>Iringa</c:v>
                </c:pt>
                <c:pt idx="1">
                  <c:v>Dodoma</c:v>
                </c:pt>
                <c:pt idx="2">
                  <c:v>Dar Es Salaam</c:v>
                </c:pt>
                <c:pt idx="3">
                  <c:v>Morogoro</c:v>
                </c:pt>
                <c:pt idx="4">
                  <c:v>Geita</c:v>
                </c:pt>
                <c:pt idx="5">
                  <c:v>Mbeya</c:v>
                </c:pt>
                <c:pt idx="6">
                  <c:v>Singida</c:v>
                </c:pt>
                <c:pt idx="7">
                  <c:v>Kilimanjaro</c:v>
                </c:pt>
                <c:pt idx="8">
                  <c:v>Arusha</c:v>
                </c:pt>
                <c:pt idx="9">
                  <c:v>Tanga</c:v>
                </c:pt>
                <c:pt idx="10">
                  <c:v>Lindi</c:v>
                </c:pt>
                <c:pt idx="11">
                  <c:v>Kagera</c:v>
                </c:pt>
                <c:pt idx="12">
                  <c:v>Mwanza</c:v>
                </c:pt>
                <c:pt idx="13">
                  <c:v>Ruvuma</c:v>
                </c:pt>
                <c:pt idx="14">
                  <c:v>Tabora</c:v>
                </c:pt>
                <c:pt idx="15">
                  <c:v>Shinyanga</c:v>
                </c:pt>
                <c:pt idx="16">
                  <c:v>Kigoma</c:v>
                </c:pt>
                <c:pt idx="17">
                  <c:v>Rukwa</c:v>
                </c:pt>
                <c:pt idx="18">
                  <c:v>Njombe</c:v>
                </c:pt>
                <c:pt idx="19">
                  <c:v>Mtwara</c:v>
                </c:pt>
                <c:pt idx="20">
                  <c:v>Manyara</c:v>
                </c:pt>
                <c:pt idx="21">
                  <c:v>Pwani</c:v>
                </c:pt>
                <c:pt idx="22">
                  <c:v>Mara</c:v>
                </c:pt>
                <c:pt idx="23">
                  <c:v>Simiyu</c:v>
                </c:pt>
                <c:pt idx="24">
                  <c:v>Songwe</c:v>
                </c:pt>
                <c:pt idx="25">
                  <c:v>Katavi</c:v>
                </c:pt>
              </c:strCache>
            </c:strRef>
          </c:xVal>
          <c:yVal>
            <c:numRef>
              <c:f>'Fruits &amp; Vegetables'!$I$4:$I$29</c:f>
              <c:numCache>
                <c:formatCode>_(* #,##0.0_);_(* \(#,##0.0\);_(* "-"_);_(@_)</c:formatCode>
                <c:ptCount val="26"/>
                <c:pt idx="0">
                  <c:v>10.761388139929085</c:v>
                </c:pt>
                <c:pt idx="1">
                  <c:v>9.0304019183874136</c:v>
                </c:pt>
                <c:pt idx="2">
                  <c:v>18.380733478306055</c:v>
                </c:pt>
                <c:pt idx="3">
                  <c:v>10.346962994781276</c:v>
                </c:pt>
                <c:pt idx="4">
                  <c:v>14.935419798209718</c:v>
                </c:pt>
                <c:pt idx="5">
                  <c:v>9.7106878320062151</c:v>
                </c:pt>
                <c:pt idx="6">
                  <c:v>26.909950517374519</c:v>
                </c:pt>
                <c:pt idx="7">
                  <c:v>18.206192058909444</c:v>
                </c:pt>
                <c:pt idx="8">
                  <c:v>13.17475446836338</c:v>
                </c:pt>
                <c:pt idx="9">
                  <c:v>5.6658282498347665</c:v>
                </c:pt>
                <c:pt idx="10">
                  <c:v>11.338002322438165</c:v>
                </c:pt>
                <c:pt idx="11">
                  <c:v>5.7111688524046436</c:v>
                </c:pt>
                <c:pt idx="12">
                  <c:v>6.3507295907692312</c:v>
                </c:pt>
                <c:pt idx="13">
                  <c:v>6.3613734006410256</c:v>
                </c:pt>
                <c:pt idx="14">
                  <c:v>5.858383442119325</c:v>
                </c:pt>
                <c:pt idx="15">
                  <c:v>10.061321062978724</c:v>
                </c:pt>
                <c:pt idx="16">
                  <c:v>4.3216757861869315</c:v>
                </c:pt>
                <c:pt idx="17">
                  <c:v>5.6183515320776927</c:v>
                </c:pt>
                <c:pt idx="18">
                  <c:v>7.5606530498251754</c:v>
                </c:pt>
                <c:pt idx="19">
                  <c:v>3.3446162556732224</c:v>
                </c:pt>
                <c:pt idx="20">
                  <c:v>11.960614478873239</c:v>
                </c:pt>
                <c:pt idx="21">
                  <c:v>3.9436663463356978</c:v>
                </c:pt>
                <c:pt idx="22">
                  <c:v>1.698220361525705</c:v>
                </c:pt>
                <c:pt idx="23">
                  <c:v>1.5031172709677421</c:v>
                </c:pt>
                <c:pt idx="24">
                  <c:v>0.56553569158878503</c:v>
                </c:pt>
                <c:pt idx="25">
                  <c:v>12.682215311111111</c:v>
                </c:pt>
              </c:numCache>
            </c:numRef>
          </c:yVal>
          <c:smooth val="0"/>
          <c:extLst>
            <c:ext xmlns:c16="http://schemas.microsoft.com/office/drawing/2014/chart" uri="{C3380CC4-5D6E-409C-BE32-E72D297353CC}">
              <c16:uniqueId val="{00000001-3BA3-9442-B3AF-D2FBAE4D3F62}"/>
            </c:ext>
          </c:extLst>
        </c:ser>
        <c:dLbls>
          <c:showLegendKey val="0"/>
          <c:showVal val="0"/>
          <c:showCatName val="0"/>
          <c:showSerName val="0"/>
          <c:showPercent val="0"/>
          <c:showBubbleSize val="0"/>
        </c:dLbls>
        <c:axId val="97165696"/>
        <c:axId val="97151232"/>
      </c:scatterChart>
      <c:catAx>
        <c:axId val="97138944"/>
        <c:scaling>
          <c:orientation val="minMax"/>
        </c:scaling>
        <c:delete val="0"/>
        <c:axPos val="b"/>
        <c:title>
          <c:tx>
            <c:rich>
              <a:bodyPr/>
              <a:lstStyle/>
              <a:p>
                <a:pPr>
                  <a:defRPr/>
                </a:pPr>
                <a:r>
                  <a:rPr lang="en-US"/>
                  <a:t>Region</a:t>
                </a:r>
              </a:p>
            </c:rich>
          </c:tx>
          <c:layout>
            <c:manualLayout>
              <c:xMode val="edge"/>
              <c:yMode val="edge"/>
              <c:x val="0.46978731106887511"/>
              <c:y val="0.84383776929564647"/>
            </c:manualLayout>
          </c:layout>
          <c:overlay val="0"/>
        </c:title>
        <c:numFmt formatCode="General" sourceLinked="0"/>
        <c:majorTickMark val="out"/>
        <c:minorTickMark val="none"/>
        <c:tickLblPos val="nextTo"/>
        <c:txPr>
          <a:bodyPr rot="-5400000" vert="horz"/>
          <a:lstStyle/>
          <a:p>
            <a:pPr>
              <a:defRPr/>
            </a:pPr>
            <a:endParaRPr lang="en-US"/>
          </a:p>
        </c:txPr>
        <c:crossAx val="97149312"/>
        <c:crosses val="autoZero"/>
        <c:auto val="1"/>
        <c:lblAlgn val="ctr"/>
        <c:lblOffset val="100"/>
        <c:noMultiLvlLbl val="0"/>
      </c:catAx>
      <c:valAx>
        <c:axId val="97149312"/>
        <c:scaling>
          <c:orientation val="minMax"/>
        </c:scaling>
        <c:delete val="0"/>
        <c:axPos val="l"/>
        <c:title>
          <c:tx>
            <c:rich>
              <a:bodyPr rot="-5400000" vert="horz"/>
              <a:lstStyle/>
              <a:p>
                <a:pPr>
                  <a:defRPr/>
                </a:pPr>
                <a:r>
                  <a:rPr lang="en-US"/>
                  <a:t>Production (tons)</a:t>
                </a:r>
              </a:p>
            </c:rich>
          </c:tx>
          <c:layout>
            <c:manualLayout>
              <c:xMode val="edge"/>
              <c:yMode val="edge"/>
              <c:x val="1.5492473697198106E-2"/>
              <c:y val="0.1495943532823503"/>
            </c:manualLayout>
          </c:layout>
          <c:overlay val="0"/>
        </c:title>
        <c:numFmt formatCode="_(* #,##0_);_(* \(#,##0\);_(* &quot;-&quot;_);_(@_)" sourceLinked="1"/>
        <c:majorTickMark val="out"/>
        <c:minorTickMark val="none"/>
        <c:tickLblPos val="nextTo"/>
        <c:crossAx val="97138944"/>
        <c:crosses val="autoZero"/>
        <c:crossBetween val="between"/>
      </c:valAx>
      <c:valAx>
        <c:axId val="97151232"/>
        <c:scaling>
          <c:orientation val="minMax"/>
        </c:scaling>
        <c:delete val="0"/>
        <c:axPos val="r"/>
        <c:title>
          <c:tx>
            <c:rich>
              <a:bodyPr rot="-5400000" vert="horz"/>
              <a:lstStyle/>
              <a:p>
                <a:pPr>
                  <a:defRPr/>
                </a:pPr>
                <a:r>
                  <a:rPr lang="en-US"/>
                  <a:t>Yield (tons/ha)</a:t>
                </a:r>
              </a:p>
            </c:rich>
          </c:tx>
          <c:overlay val="0"/>
        </c:title>
        <c:numFmt formatCode="_(* #,##0.0_);_(* \(#,##0.0\);_(* &quot;-&quot;_);_(@_)" sourceLinked="1"/>
        <c:majorTickMark val="out"/>
        <c:minorTickMark val="none"/>
        <c:tickLblPos val="nextTo"/>
        <c:crossAx val="97165696"/>
        <c:crosses val="max"/>
        <c:crossBetween val="midCat"/>
      </c:valAx>
      <c:valAx>
        <c:axId val="97165696"/>
        <c:scaling>
          <c:orientation val="minMax"/>
        </c:scaling>
        <c:delete val="1"/>
        <c:axPos val="b"/>
        <c:majorTickMark val="out"/>
        <c:minorTickMark val="none"/>
        <c:tickLblPos val="none"/>
        <c:crossAx val="97151232"/>
        <c:crosses val="autoZero"/>
        <c:crossBetween val="midCat"/>
      </c:valAx>
    </c:plotArea>
    <c:legend>
      <c:legendPos val="b"/>
      <c:overlay val="0"/>
    </c:legend>
    <c:plotVisOnly val="1"/>
    <c:dispBlanksAs val="gap"/>
    <c:showDLblsOverMax val="0"/>
  </c:chart>
  <c:spPr>
    <a:ln w="9525">
      <a:solidFill>
        <a:sysClr val="windowText" lastClr="000000">
          <a:lumMod val="50000"/>
          <a:lumOff val="50000"/>
        </a:sysClr>
      </a:solidFill>
    </a:ln>
  </c:spPr>
  <c:txPr>
    <a:bodyPr/>
    <a:lstStyle/>
    <a:p>
      <a:pPr>
        <a:defRPr sz="750" b="0">
          <a:solidFill>
            <a:schemeClr val="tx1"/>
          </a:solidFill>
          <a:latin typeface="Times New Roman" pitchFamily="18" charset="0"/>
          <a:cs typeface="Times New Roman" pitchFamily="18" charset="0"/>
        </a:defRPr>
      </a:pPr>
      <a:endParaRPr lang="en-US"/>
    </a:p>
  </c:txPr>
  <c:externalData r:id="rId2">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63991126440073"/>
          <c:y val="3.2882035578885992E-2"/>
          <c:w val="0.74536254092648602"/>
          <c:h val="0.64052274715660551"/>
        </c:manualLayout>
      </c:layout>
      <c:barChart>
        <c:barDir val="col"/>
        <c:grouping val="clustered"/>
        <c:varyColors val="0"/>
        <c:ser>
          <c:idx val="0"/>
          <c:order val="0"/>
          <c:tx>
            <c:strRef>
              <c:f>'Fruits &amp; Vegetables'!$H$32</c:f>
              <c:strCache>
                <c:ptCount val="1"/>
                <c:pt idx="0">
                  <c:v> Quantity Harvested  </c:v>
                </c:pt>
              </c:strCache>
            </c:strRef>
          </c:tx>
          <c:invertIfNegative val="0"/>
          <c:cat>
            <c:strRef>
              <c:f>'Fruits &amp; Vegetables'!$G$33:$G$37</c:f>
              <c:strCache>
                <c:ptCount val="5"/>
                <c:pt idx="0">
                  <c:v>Kaskazini Unguja</c:v>
                </c:pt>
                <c:pt idx="1">
                  <c:v>Kusini Unguja</c:v>
                </c:pt>
                <c:pt idx="2">
                  <c:v>Mjini Magharibi</c:v>
                </c:pt>
                <c:pt idx="3">
                  <c:v>Kaskazini Pemba</c:v>
                </c:pt>
                <c:pt idx="4">
                  <c:v>Kusini  Pemba</c:v>
                </c:pt>
              </c:strCache>
            </c:strRef>
          </c:cat>
          <c:val>
            <c:numRef>
              <c:f>'Fruits &amp; Vegetables'!$H$33:$H$37</c:f>
              <c:numCache>
                <c:formatCode>_(* #,##0_);_(* \(#,##0\);_(* "-"_);_(@_)</c:formatCode>
                <c:ptCount val="5"/>
                <c:pt idx="0">
                  <c:v>2635.9059999999999</c:v>
                </c:pt>
                <c:pt idx="1">
                  <c:v>3155.5860000000002</c:v>
                </c:pt>
                <c:pt idx="2">
                  <c:v>2508.2379999999998</c:v>
                </c:pt>
                <c:pt idx="3">
                  <c:v>126.97800000000001</c:v>
                </c:pt>
                <c:pt idx="4">
                  <c:v>2220.3849999999998</c:v>
                </c:pt>
              </c:numCache>
            </c:numRef>
          </c:val>
          <c:extLst>
            <c:ext xmlns:c16="http://schemas.microsoft.com/office/drawing/2014/chart" uri="{C3380CC4-5D6E-409C-BE32-E72D297353CC}">
              <c16:uniqueId val="{00000000-D2B9-C44C-AB27-AD7880E78890}"/>
            </c:ext>
          </c:extLst>
        </c:ser>
        <c:dLbls>
          <c:showLegendKey val="0"/>
          <c:showVal val="0"/>
          <c:showCatName val="0"/>
          <c:showSerName val="0"/>
          <c:showPercent val="0"/>
          <c:showBubbleSize val="0"/>
        </c:dLbls>
        <c:gapWidth val="150"/>
        <c:axId val="97074560"/>
        <c:axId val="97076352"/>
      </c:barChart>
      <c:scatterChart>
        <c:scatterStyle val="lineMarker"/>
        <c:varyColors val="0"/>
        <c:ser>
          <c:idx val="1"/>
          <c:order val="1"/>
          <c:tx>
            <c:strRef>
              <c:f>'Fruits &amp; Vegetables'!$I$32</c:f>
              <c:strCache>
                <c:ptCount val="1"/>
                <c:pt idx="0">
                  <c:v> Yield  </c:v>
                </c:pt>
              </c:strCache>
            </c:strRef>
          </c:tx>
          <c:spPr>
            <a:ln w="19050">
              <a:noFill/>
            </a:ln>
          </c:spPr>
          <c:marker>
            <c:symbol val="circle"/>
            <c:size val="4"/>
          </c:marker>
          <c:xVal>
            <c:strRef>
              <c:f>'Fruits &amp; Vegetables'!$G$33:$G$37</c:f>
              <c:strCache>
                <c:ptCount val="5"/>
                <c:pt idx="0">
                  <c:v>Kaskazini Unguja</c:v>
                </c:pt>
                <c:pt idx="1">
                  <c:v>Kusini Unguja</c:v>
                </c:pt>
                <c:pt idx="2">
                  <c:v>Mjini Magharibi</c:v>
                </c:pt>
                <c:pt idx="3">
                  <c:v>Kaskazini Pemba</c:v>
                </c:pt>
                <c:pt idx="4">
                  <c:v>Kusini  Pemba</c:v>
                </c:pt>
              </c:strCache>
            </c:strRef>
          </c:xVal>
          <c:yVal>
            <c:numRef>
              <c:f>'Fruits &amp; Vegetables'!$I$33:$I$37</c:f>
              <c:numCache>
                <c:formatCode>_(* #,##0.0_);_(* \(#,##0.0\);_(* "-"_);_(@_)</c:formatCode>
                <c:ptCount val="5"/>
                <c:pt idx="0">
                  <c:v>4.6925963443804042</c:v>
                </c:pt>
                <c:pt idx="1">
                  <c:v>7.8209157532597793</c:v>
                </c:pt>
                <c:pt idx="2">
                  <c:v>5.6653163601462522</c:v>
                </c:pt>
                <c:pt idx="3">
                  <c:v>4.1284557631578949</c:v>
                </c:pt>
                <c:pt idx="4">
                  <c:v>7.3943009905660366</c:v>
                </c:pt>
              </c:numCache>
            </c:numRef>
          </c:yVal>
          <c:smooth val="0"/>
          <c:extLst>
            <c:ext xmlns:c16="http://schemas.microsoft.com/office/drawing/2014/chart" uri="{C3380CC4-5D6E-409C-BE32-E72D297353CC}">
              <c16:uniqueId val="{00000001-D2B9-C44C-AB27-AD7880E78890}"/>
            </c:ext>
          </c:extLst>
        </c:ser>
        <c:dLbls>
          <c:showLegendKey val="0"/>
          <c:showVal val="0"/>
          <c:showCatName val="0"/>
          <c:showSerName val="0"/>
          <c:showPercent val="0"/>
          <c:showBubbleSize val="0"/>
        </c:dLbls>
        <c:axId val="97080448"/>
        <c:axId val="97078272"/>
      </c:scatterChart>
      <c:catAx>
        <c:axId val="97074560"/>
        <c:scaling>
          <c:orientation val="minMax"/>
        </c:scaling>
        <c:delete val="0"/>
        <c:axPos val="b"/>
        <c:numFmt formatCode="General" sourceLinked="0"/>
        <c:majorTickMark val="out"/>
        <c:minorTickMark val="none"/>
        <c:tickLblPos val="nextTo"/>
        <c:crossAx val="97076352"/>
        <c:crosses val="autoZero"/>
        <c:auto val="1"/>
        <c:lblAlgn val="ctr"/>
        <c:lblOffset val="100"/>
        <c:noMultiLvlLbl val="0"/>
      </c:catAx>
      <c:valAx>
        <c:axId val="97076352"/>
        <c:scaling>
          <c:orientation val="minMax"/>
        </c:scaling>
        <c:delete val="0"/>
        <c:axPos val="l"/>
        <c:title>
          <c:tx>
            <c:rich>
              <a:bodyPr rot="-5400000" vert="horz"/>
              <a:lstStyle/>
              <a:p>
                <a:pPr>
                  <a:defRPr b="0"/>
                </a:pPr>
                <a:r>
                  <a:rPr lang="en-US" b="0"/>
                  <a:t>Production (tons)</a:t>
                </a:r>
              </a:p>
            </c:rich>
          </c:tx>
          <c:layout>
            <c:manualLayout>
              <c:xMode val="edge"/>
              <c:yMode val="edge"/>
              <c:x val="2.2102885085042816E-2"/>
              <c:y val="0.18762459605844067"/>
            </c:manualLayout>
          </c:layout>
          <c:overlay val="0"/>
        </c:title>
        <c:numFmt formatCode="_(* #,##0_);_(* \(#,##0\);_(* &quot;-&quot;_);_(@_)" sourceLinked="1"/>
        <c:majorTickMark val="out"/>
        <c:minorTickMark val="none"/>
        <c:tickLblPos val="nextTo"/>
        <c:crossAx val="97074560"/>
        <c:crosses val="autoZero"/>
        <c:crossBetween val="between"/>
      </c:valAx>
      <c:valAx>
        <c:axId val="97078272"/>
        <c:scaling>
          <c:orientation val="minMax"/>
        </c:scaling>
        <c:delete val="0"/>
        <c:axPos val="r"/>
        <c:title>
          <c:tx>
            <c:rich>
              <a:bodyPr rot="-5400000" vert="horz"/>
              <a:lstStyle/>
              <a:p>
                <a:pPr>
                  <a:defRPr b="0"/>
                </a:pPr>
                <a:r>
                  <a:rPr lang="en-US" b="0"/>
                  <a:t>Yield (tons/ha)</a:t>
                </a:r>
              </a:p>
            </c:rich>
          </c:tx>
          <c:overlay val="0"/>
        </c:title>
        <c:numFmt formatCode="_(* #,##0.0_);_(* \(#,##0.0\);_(* &quot;-&quot;_);_(@_)" sourceLinked="1"/>
        <c:majorTickMark val="out"/>
        <c:minorTickMark val="none"/>
        <c:tickLblPos val="nextTo"/>
        <c:crossAx val="97080448"/>
        <c:crosses val="max"/>
        <c:crossBetween val="midCat"/>
      </c:valAx>
      <c:valAx>
        <c:axId val="97080448"/>
        <c:scaling>
          <c:orientation val="minMax"/>
        </c:scaling>
        <c:delete val="1"/>
        <c:axPos val="b"/>
        <c:title>
          <c:tx>
            <c:rich>
              <a:bodyPr/>
              <a:lstStyle/>
              <a:p>
                <a:pPr>
                  <a:defRPr b="0"/>
                </a:pPr>
                <a:r>
                  <a:rPr lang="en-US" b="0"/>
                  <a:t>Region</a:t>
                </a:r>
              </a:p>
            </c:rich>
          </c:tx>
          <c:layout>
            <c:manualLayout>
              <c:xMode val="edge"/>
              <c:yMode val="edge"/>
              <c:x val="0.48320818810899352"/>
              <c:y val="0.78960696124229868"/>
            </c:manualLayout>
          </c:layout>
          <c:overlay val="0"/>
        </c:title>
        <c:majorTickMark val="out"/>
        <c:minorTickMark val="none"/>
        <c:tickLblPos val="none"/>
        <c:crossAx val="97078272"/>
        <c:crosses val="autoZero"/>
        <c:crossBetween val="midCat"/>
      </c:valAx>
    </c:plotArea>
    <c:legend>
      <c:legendPos val="b"/>
      <c:overlay val="0"/>
    </c:legend>
    <c:plotVisOnly val="1"/>
    <c:dispBlanksAs val="gap"/>
    <c:showDLblsOverMax val="0"/>
  </c:chart>
  <c:spPr>
    <a:ln w="9525">
      <a:solidFill>
        <a:sysClr val="windowText" lastClr="000000">
          <a:lumMod val="50000"/>
          <a:lumOff val="50000"/>
        </a:sysClr>
      </a:solidFill>
    </a:ln>
  </c:spPr>
  <c:txPr>
    <a:bodyPr/>
    <a:lstStyle/>
    <a:p>
      <a:pPr>
        <a:defRPr sz="800">
          <a:latin typeface="Times New Roman" pitchFamily="18" charset="0"/>
          <a:cs typeface="Times New Roman" pitchFamily="18" charset="0"/>
        </a:defRPr>
      </a:pPr>
      <a:endParaRPr lang="en-US"/>
    </a:p>
  </c:txPr>
  <c:externalData r:id="rId2">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366651246787755"/>
          <c:y val="4.7004477381503804E-2"/>
          <c:w val="0.78183049876448907"/>
          <c:h val="0.5540487880191447"/>
        </c:manualLayout>
      </c:layout>
      <c:barChart>
        <c:barDir val="col"/>
        <c:grouping val="clustered"/>
        <c:varyColors val="0"/>
        <c:ser>
          <c:idx val="0"/>
          <c:order val="0"/>
          <c:tx>
            <c:strRef>
              <c:f>'Fruits &amp; Vegetables'!$H$43</c:f>
              <c:strCache>
                <c:ptCount val="1"/>
                <c:pt idx="0">
                  <c:v> Quantity Harvested  </c:v>
                </c:pt>
              </c:strCache>
            </c:strRef>
          </c:tx>
          <c:invertIfNegative val="0"/>
          <c:cat>
            <c:strRef>
              <c:f>'Fruits &amp; Vegetables'!$G$44:$G$69</c:f>
              <c:strCache>
                <c:ptCount val="26"/>
                <c:pt idx="0">
                  <c:v>Dodoma</c:v>
                </c:pt>
                <c:pt idx="1">
                  <c:v>Singida</c:v>
                </c:pt>
                <c:pt idx="2">
                  <c:v>Manyara</c:v>
                </c:pt>
                <c:pt idx="3">
                  <c:v>Iringa</c:v>
                </c:pt>
                <c:pt idx="4">
                  <c:v>Arusha</c:v>
                </c:pt>
                <c:pt idx="5">
                  <c:v>Tabora</c:v>
                </c:pt>
                <c:pt idx="6">
                  <c:v>Mbeya</c:v>
                </c:pt>
                <c:pt idx="7">
                  <c:v>Morogoro</c:v>
                </c:pt>
                <c:pt idx="8">
                  <c:v>Tanga</c:v>
                </c:pt>
                <c:pt idx="9">
                  <c:v>Njombe</c:v>
                </c:pt>
                <c:pt idx="10">
                  <c:v>Kilimanjaro</c:v>
                </c:pt>
                <c:pt idx="11">
                  <c:v>Mara</c:v>
                </c:pt>
                <c:pt idx="12">
                  <c:v>Rukwa</c:v>
                </c:pt>
                <c:pt idx="13">
                  <c:v>Ruvuma</c:v>
                </c:pt>
                <c:pt idx="14">
                  <c:v>Lindi</c:v>
                </c:pt>
                <c:pt idx="15">
                  <c:v>Mwanza</c:v>
                </c:pt>
                <c:pt idx="16">
                  <c:v>Pwani</c:v>
                </c:pt>
                <c:pt idx="17">
                  <c:v>Songwe</c:v>
                </c:pt>
                <c:pt idx="18">
                  <c:v>Geita</c:v>
                </c:pt>
                <c:pt idx="19">
                  <c:v>Shinyanga</c:v>
                </c:pt>
                <c:pt idx="20">
                  <c:v>Kigoma</c:v>
                </c:pt>
                <c:pt idx="21">
                  <c:v>Kagera</c:v>
                </c:pt>
                <c:pt idx="22">
                  <c:v>Mtwara</c:v>
                </c:pt>
                <c:pt idx="23">
                  <c:v>Simiyu</c:v>
                </c:pt>
                <c:pt idx="24">
                  <c:v>Dar Es Salaam</c:v>
                </c:pt>
                <c:pt idx="25">
                  <c:v>Katavi</c:v>
                </c:pt>
              </c:strCache>
            </c:strRef>
          </c:cat>
          <c:val>
            <c:numRef>
              <c:f>'Fruits &amp; Vegetables'!$H$44:$H$69</c:f>
              <c:numCache>
                <c:formatCode>_(* #,##0_);_(* \(#,##0\);_(* "-"_);_(@_)</c:formatCode>
                <c:ptCount val="26"/>
                <c:pt idx="0">
                  <c:v>13551.107</c:v>
                </c:pt>
                <c:pt idx="1">
                  <c:v>12021.822</c:v>
                </c:pt>
                <c:pt idx="2">
                  <c:v>10563.921</c:v>
                </c:pt>
                <c:pt idx="3">
                  <c:v>8588.5529999999999</c:v>
                </c:pt>
                <c:pt idx="4">
                  <c:v>5993.0050000000001</c:v>
                </c:pt>
                <c:pt idx="5">
                  <c:v>2404.864</c:v>
                </c:pt>
                <c:pt idx="6">
                  <c:v>1643.0099999999998</c:v>
                </c:pt>
                <c:pt idx="7">
                  <c:v>1581.2750000000001</c:v>
                </c:pt>
                <c:pt idx="8">
                  <c:v>1247.9159999999999</c:v>
                </c:pt>
                <c:pt idx="9">
                  <c:v>932.20799999999997</c:v>
                </c:pt>
                <c:pt idx="10">
                  <c:v>821.15200000000004</c:v>
                </c:pt>
                <c:pt idx="11">
                  <c:v>729.11500000000001</c:v>
                </c:pt>
                <c:pt idx="12">
                  <c:v>510.36900000000003</c:v>
                </c:pt>
                <c:pt idx="13">
                  <c:v>505.029</c:v>
                </c:pt>
                <c:pt idx="14">
                  <c:v>496.82600000000002</c:v>
                </c:pt>
                <c:pt idx="15">
                  <c:v>470.27100000000002</c:v>
                </c:pt>
                <c:pt idx="16">
                  <c:v>457.6</c:v>
                </c:pt>
                <c:pt idx="17">
                  <c:v>450.42599999999999</c:v>
                </c:pt>
                <c:pt idx="18">
                  <c:v>299.87799999999999</c:v>
                </c:pt>
                <c:pt idx="19">
                  <c:v>272.74299999999999</c:v>
                </c:pt>
                <c:pt idx="20">
                  <c:v>175.20500000000001</c:v>
                </c:pt>
                <c:pt idx="21">
                  <c:v>92.037000000000006</c:v>
                </c:pt>
                <c:pt idx="22">
                  <c:v>81.613</c:v>
                </c:pt>
                <c:pt idx="23">
                  <c:v>63.566000000000003</c:v>
                </c:pt>
                <c:pt idx="24">
                  <c:v>0</c:v>
                </c:pt>
                <c:pt idx="25">
                  <c:v>0</c:v>
                </c:pt>
              </c:numCache>
            </c:numRef>
          </c:val>
          <c:extLst>
            <c:ext xmlns:c16="http://schemas.microsoft.com/office/drawing/2014/chart" uri="{C3380CC4-5D6E-409C-BE32-E72D297353CC}">
              <c16:uniqueId val="{00000000-770A-1D48-934B-E52F1BD856B4}"/>
            </c:ext>
          </c:extLst>
        </c:ser>
        <c:dLbls>
          <c:showLegendKey val="0"/>
          <c:showVal val="0"/>
          <c:showCatName val="0"/>
          <c:showSerName val="0"/>
          <c:showPercent val="0"/>
          <c:showBubbleSize val="0"/>
        </c:dLbls>
        <c:gapWidth val="150"/>
        <c:axId val="97256192"/>
        <c:axId val="97257728"/>
      </c:barChart>
      <c:scatterChart>
        <c:scatterStyle val="lineMarker"/>
        <c:varyColors val="0"/>
        <c:ser>
          <c:idx val="1"/>
          <c:order val="1"/>
          <c:tx>
            <c:strRef>
              <c:f>'Fruits &amp; Vegetables'!$I$43</c:f>
              <c:strCache>
                <c:ptCount val="1"/>
                <c:pt idx="0">
                  <c:v> Yield  </c:v>
                </c:pt>
              </c:strCache>
            </c:strRef>
          </c:tx>
          <c:spPr>
            <a:ln w="19050">
              <a:noFill/>
            </a:ln>
          </c:spPr>
          <c:marker>
            <c:symbol val="circle"/>
            <c:size val="4"/>
          </c:marker>
          <c:xVal>
            <c:strRef>
              <c:f>'Fruits &amp; Vegetables'!$G$44:$G$69</c:f>
              <c:strCache>
                <c:ptCount val="26"/>
                <c:pt idx="0">
                  <c:v>Dodoma</c:v>
                </c:pt>
                <c:pt idx="1">
                  <c:v>Singida</c:v>
                </c:pt>
                <c:pt idx="2">
                  <c:v>Manyara</c:v>
                </c:pt>
                <c:pt idx="3">
                  <c:v>Iringa</c:v>
                </c:pt>
                <c:pt idx="4">
                  <c:v>Arusha</c:v>
                </c:pt>
                <c:pt idx="5">
                  <c:v>Tabora</c:v>
                </c:pt>
                <c:pt idx="6">
                  <c:v>Mbeya</c:v>
                </c:pt>
                <c:pt idx="7">
                  <c:v>Morogoro</c:v>
                </c:pt>
                <c:pt idx="8">
                  <c:v>Tanga</c:v>
                </c:pt>
                <c:pt idx="9">
                  <c:v>Njombe</c:v>
                </c:pt>
                <c:pt idx="10">
                  <c:v>Kilimanjaro</c:v>
                </c:pt>
                <c:pt idx="11">
                  <c:v>Mara</c:v>
                </c:pt>
                <c:pt idx="12">
                  <c:v>Rukwa</c:v>
                </c:pt>
                <c:pt idx="13">
                  <c:v>Ruvuma</c:v>
                </c:pt>
                <c:pt idx="14">
                  <c:v>Lindi</c:v>
                </c:pt>
                <c:pt idx="15">
                  <c:v>Mwanza</c:v>
                </c:pt>
                <c:pt idx="16">
                  <c:v>Pwani</c:v>
                </c:pt>
                <c:pt idx="17">
                  <c:v>Songwe</c:v>
                </c:pt>
                <c:pt idx="18">
                  <c:v>Geita</c:v>
                </c:pt>
                <c:pt idx="19">
                  <c:v>Shinyanga</c:v>
                </c:pt>
                <c:pt idx="20">
                  <c:v>Kigoma</c:v>
                </c:pt>
                <c:pt idx="21">
                  <c:v>Kagera</c:v>
                </c:pt>
                <c:pt idx="22">
                  <c:v>Mtwara</c:v>
                </c:pt>
                <c:pt idx="23">
                  <c:v>Simiyu</c:v>
                </c:pt>
                <c:pt idx="24">
                  <c:v>Dar Es Salaam</c:v>
                </c:pt>
                <c:pt idx="25">
                  <c:v>Katavi</c:v>
                </c:pt>
              </c:strCache>
            </c:strRef>
          </c:xVal>
          <c:yVal>
            <c:numRef>
              <c:f>'Fruits &amp; Vegetables'!$I$44:$I$69</c:f>
              <c:numCache>
                <c:formatCode>_(* #,##0.0_);_(* \(#,##0.0\);_(* "-"_);_(@_)</c:formatCode>
                <c:ptCount val="26"/>
                <c:pt idx="0">
                  <c:v>3.4506167968878811</c:v>
                </c:pt>
                <c:pt idx="1">
                  <c:v>5.5670768669415294</c:v>
                </c:pt>
                <c:pt idx="2">
                  <c:v>3.5047595046992481</c:v>
                </c:pt>
                <c:pt idx="3">
                  <c:v>6.4485914503190518</c:v>
                </c:pt>
                <c:pt idx="4">
                  <c:v>5.6716642493297584</c:v>
                </c:pt>
                <c:pt idx="5">
                  <c:v>3.0272129108507388</c:v>
                </c:pt>
                <c:pt idx="6">
                  <c:v>6.3237970560747643</c:v>
                </c:pt>
                <c:pt idx="7">
                  <c:v>4.2150275350593311</c:v>
                </c:pt>
                <c:pt idx="8">
                  <c:v>3.1401226435845215</c:v>
                </c:pt>
                <c:pt idx="9">
                  <c:v>9.2139438719999998</c:v>
                </c:pt>
                <c:pt idx="10">
                  <c:v>7.5995003445692895</c:v>
                </c:pt>
                <c:pt idx="11">
                  <c:v>1.99517515503876</c:v>
                </c:pt>
                <c:pt idx="12">
                  <c:v>3.017037796650718</c:v>
                </c:pt>
                <c:pt idx="13">
                  <c:v>2.8622171077981653</c:v>
                </c:pt>
                <c:pt idx="14">
                  <c:v>1.8107036076696166</c:v>
                </c:pt>
                <c:pt idx="15">
                  <c:v>2.8906458731343285</c:v>
                </c:pt>
                <c:pt idx="16">
                  <c:v>5.4362000000000004</c:v>
                </c:pt>
                <c:pt idx="17">
                  <c:v>2.323596338204593</c:v>
                </c:pt>
                <c:pt idx="18">
                  <c:v>2.9639941519999997</c:v>
                </c:pt>
                <c:pt idx="19">
                  <c:v>1.6681880024752476</c:v>
                </c:pt>
                <c:pt idx="20">
                  <c:v>0.98842820776255713</c:v>
                </c:pt>
                <c:pt idx="21">
                  <c:v>1.8951952250000001</c:v>
                </c:pt>
                <c:pt idx="22">
                  <c:v>3.1510269218750002</c:v>
                </c:pt>
                <c:pt idx="23">
                  <c:v>0.61117348638132307</c:v>
                </c:pt>
                <c:pt idx="24">
                  <c:v>0</c:v>
                </c:pt>
                <c:pt idx="25">
                  <c:v>0</c:v>
                </c:pt>
              </c:numCache>
            </c:numRef>
          </c:yVal>
          <c:smooth val="0"/>
          <c:extLst>
            <c:ext xmlns:c16="http://schemas.microsoft.com/office/drawing/2014/chart" uri="{C3380CC4-5D6E-409C-BE32-E72D297353CC}">
              <c16:uniqueId val="{00000001-770A-1D48-934B-E52F1BD856B4}"/>
            </c:ext>
          </c:extLst>
        </c:ser>
        <c:dLbls>
          <c:showLegendKey val="0"/>
          <c:showVal val="0"/>
          <c:showCatName val="0"/>
          <c:showSerName val="0"/>
          <c:showPercent val="0"/>
          <c:showBubbleSize val="0"/>
        </c:dLbls>
        <c:axId val="97265920"/>
        <c:axId val="97264000"/>
      </c:scatterChart>
      <c:catAx>
        <c:axId val="97256192"/>
        <c:scaling>
          <c:orientation val="minMax"/>
        </c:scaling>
        <c:delete val="0"/>
        <c:axPos val="b"/>
        <c:numFmt formatCode="General" sourceLinked="0"/>
        <c:majorTickMark val="out"/>
        <c:minorTickMark val="none"/>
        <c:tickLblPos val="nextTo"/>
        <c:txPr>
          <a:bodyPr rot="-5400000" vert="horz"/>
          <a:lstStyle/>
          <a:p>
            <a:pPr>
              <a:defRPr/>
            </a:pPr>
            <a:endParaRPr lang="en-US"/>
          </a:p>
        </c:txPr>
        <c:crossAx val="97257728"/>
        <c:crosses val="autoZero"/>
        <c:auto val="1"/>
        <c:lblAlgn val="ctr"/>
        <c:lblOffset val="100"/>
        <c:noMultiLvlLbl val="0"/>
      </c:catAx>
      <c:valAx>
        <c:axId val="97257728"/>
        <c:scaling>
          <c:orientation val="minMax"/>
        </c:scaling>
        <c:delete val="0"/>
        <c:axPos val="l"/>
        <c:title>
          <c:tx>
            <c:rich>
              <a:bodyPr rot="-5400000" vert="horz"/>
              <a:lstStyle/>
              <a:p>
                <a:pPr>
                  <a:defRPr b="0">
                    <a:solidFill>
                      <a:schemeClr val="tx1"/>
                    </a:solidFill>
                  </a:defRPr>
                </a:pPr>
                <a:r>
                  <a:rPr lang="en-US" b="0">
                    <a:solidFill>
                      <a:schemeClr val="tx1"/>
                    </a:solidFill>
                  </a:rPr>
                  <a:t>Production (tons)</a:t>
                </a:r>
              </a:p>
            </c:rich>
          </c:tx>
          <c:layout>
            <c:manualLayout>
              <c:xMode val="edge"/>
              <c:yMode val="edge"/>
              <c:x val="1.7448772802626095E-2"/>
              <c:y val="9.3220612668964142E-2"/>
            </c:manualLayout>
          </c:layout>
          <c:overlay val="0"/>
        </c:title>
        <c:numFmt formatCode="_(* #,##0_);_(* \(#,##0\);_(* &quot;-&quot;_);_(@_)" sourceLinked="1"/>
        <c:majorTickMark val="out"/>
        <c:minorTickMark val="none"/>
        <c:tickLblPos val="nextTo"/>
        <c:crossAx val="97256192"/>
        <c:crosses val="autoZero"/>
        <c:crossBetween val="between"/>
      </c:valAx>
      <c:valAx>
        <c:axId val="97264000"/>
        <c:scaling>
          <c:orientation val="minMax"/>
        </c:scaling>
        <c:delete val="0"/>
        <c:axPos val="r"/>
        <c:title>
          <c:tx>
            <c:rich>
              <a:bodyPr rot="-5400000" vert="horz"/>
              <a:lstStyle/>
              <a:p>
                <a:pPr>
                  <a:defRPr b="0">
                    <a:solidFill>
                      <a:schemeClr val="tx1"/>
                    </a:solidFill>
                  </a:defRPr>
                </a:pPr>
                <a:r>
                  <a:rPr lang="en-US" b="0">
                    <a:solidFill>
                      <a:schemeClr val="tx1"/>
                    </a:solidFill>
                  </a:rPr>
                  <a:t>Yield (tons/ha)</a:t>
                </a:r>
              </a:p>
            </c:rich>
          </c:tx>
          <c:layout>
            <c:manualLayout>
              <c:xMode val="edge"/>
              <c:yMode val="edge"/>
              <c:x val="0.95797847033703687"/>
              <c:y val="0.12021110690899202"/>
            </c:manualLayout>
          </c:layout>
          <c:overlay val="0"/>
        </c:title>
        <c:numFmt formatCode="_(* #,##0.0_);_(* \(#,##0.0\);_(* &quot;-&quot;_);_(@_)" sourceLinked="1"/>
        <c:majorTickMark val="out"/>
        <c:minorTickMark val="none"/>
        <c:tickLblPos val="nextTo"/>
        <c:crossAx val="97265920"/>
        <c:crosses val="max"/>
        <c:crossBetween val="midCat"/>
      </c:valAx>
      <c:valAx>
        <c:axId val="97265920"/>
        <c:scaling>
          <c:orientation val="minMax"/>
        </c:scaling>
        <c:delete val="1"/>
        <c:axPos val="b"/>
        <c:title>
          <c:tx>
            <c:rich>
              <a:bodyPr/>
              <a:lstStyle/>
              <a:p>
                <a:pPr>
                  <a:defRPr b="0"/>
                </a:pPr>
                <a:r>
                  <a:rPr lang="en-US" b="0"/>
                  <a:t>Region</a:t>
                </a:r>
              </a:p>
            </c:rich>
          </c:tx>
          <c:layout>
            <c:manualLayout>
              <c:xMode val="edge"/>
              <c:yMode val="edge"/>
              <c:x val="0.47728553061120338"/>
              <c:y val="0.8083507910135086"/>
            </c:manualLayout>
          </c:layout>
          <c:overlay val="0"/>
        </c:title>
        <c:majorTickMark val="out"/>
        <c:minorTickMark val="none"/>
        <c:tickLblPos val="none"/>
        <c:crossAx val="97264000"/>
        <c:crosses val="autoZero"/>
        <c:crossBetween val="midCat"/>
      </c:valAx>
    </c:plotArea>
    <c:legend>
      <c:legendPos val="b"/>
      <c:layout>
        <c:manualLayout>
          <c:xMode val="edge"/>
          <c:yMode val="edge"/>
          <c:x val="0.36641863160372778"/>
          <c:y val="0.92028462038575454"/>
          <c:w val="0.271344212853594"/>
          <c:h val="7.9715379614245463E-2"/>
        </c:manualLayout>
      </c:layout>
      <c:overlay val="0"/>
    </c:legend>
    <c:plotVisOnly val="1"/>
    <c:dispBlanksAs val="gap"/>
    <c:showDLblsOverMax val="0"/>
  </c:chart>
  <c:spPr>
    <a:ln w="9525"/>
  </c:spPr>
  <c:txPr>
    <a:bodyPr/>
    <a:lstStyle/>
    <a:p>
      <a:pPr>
        <a:defRPr sz="800">
          <a:latin typeface="Times New Roman" pitchFamily="18" charset="0"/>
          <a:cs typeface="Times New Roman" pitchFamily="18" charset="0"/>
        </a:defRPr>
      </a:pPr>
      <a:endParaRPr lang="en-US"/>
    </a:p>
  </c:txPr>
  <c:externalData r:id="rId2">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585234182511467"/>
          <c:y val="5.1400554097404488E-2"/>
          <c:w val="0.77439589013976251"/>
          <c:h val="0.58948171651596704"/>
        </c:manualLayout>
      </c:layout>
      <c:barChart>
        <c:barDir val="col"/>
        <c:grouping val="clustered"/>
        <c:varyColors val="0"/>
        <c:ser>
          <c:idx val="0"/>
          <c:order val="0"/>
          <c:tx>
            <c:strRef>
              <c:f>'Fruits &amp; Vegetables'!$H$83</c:f>
              <c:strCache>
                <c:ptCount val="1"/>
                <c:pt idx="0">
                  <c:v> Quantity Harvested (tons) </c:v>
                </c:pt>
              </c:strCache>
            </c:strRef>
          </c:tx>
          <c:invertIfNegative val="0"/>
          <c:cat>
            <c:strRef>
              <c:f>'Fruits &amp; Vegetables'!$G$84:$G$109</c:f>
              <c:strCache>
                <c:ptCount val="26"/>
                <c:pt idx="0">
                  <c:v>Dar Es Salaam</c:v>
                </c:pt>
                <c:pt idx="1">
                  <c:v>Geita</c:v>
                </c:pt>
                <c:pt idx="2">
                  <c:v>Mwanza</c:v>
                </c:pt>
                <c:pt idx="3">
                  <c:v>Pwani</c:v>
                </c:pt>
                <c:pt idx="4">
                  <c:v>Morogoro</c:v>
                </c:pt>
                <c:pt idx="5">
                  <c:v>Dodoma</c:v>
                </c:pt>
                <c:pt idx="6">
                  <c:v>Tabora</c:v>
                </c:pt>
                <c:pt idx="7">
                  <c:v>Mbeya</c:v>
                </c:pt>
                <c:pt idx="8">
                  <c:v>Shinyanga</c:v>
                </c:pt>
                <c:pt idx="9">
                  <c:v>Kagera</c:v>
                </c:pt>
                <c:pt idx="10">
                  <c:v>Rukwa</c:v>
                </c:pt>
                <c:pt idx="11">
                  <c:v>Iringa</c:v>
                </c:pt>
                <c:pt idx="12">
                  <c:v>Mtwara</c:v>
                </c:pt>
                <c:pt idx="13">
                  <c:v>Tanga</c:v>
                </c:pt>
                <c:pt idx="14">
                  <c:v>Ruvuma</c:v>
                </c:pt>
                <c:pt idx="15">
                  <c:v>Arusha</c:v>
                </c:pt>
                <c:pt idx="16">
                  <c:v>Kilimanjaro</c:v>
                </c:pt>
                <c:pt idx="17">
                  <c:v>Lindi</c:v>
                </c:pt>
                <c:pt idx="18">
                  <c:v>Singida</c:v>
                </c:pt>
                <c:pt idx="19">
                  <c:v>Kigoma</c:v>
                </c:pt>
                <c:pt idx="20">
                  <c:v>Mara</c:v>
                </c:pt>
                <c:pt idx="21">
                  <c:v>Manyara</c:v>
                </c:pt>
                <c:pt idx="22">
                  <c:v>Njombe</c:v>
                </c:pt>
                <c:pt idx="23">
                  <c:v>Katavi</c:v>
                </c:pt>
                <c:pt idx="24">
                  <c:v>Simiyu</c:v>
                </c:pt>
                <c:pt idx="25">
                  <c:v>Songwe</c:v>
                </c:pt>
              </c:strCache>
            </c:strRef>
          </c:cat>
          <c:val>
            <c:numRef>
              <c:f>'Fruits &amp; Vegetables'!$H$84:$H$109</c:f>
              <c:numCache>
                <c:formatCode>_(* #,##0_);_(* \(#,##0\);_(* "-"_);_(@_)</c:formatCode>
                <c:ptCount val="26"/>
                <c:pt idx="0">
                  <c:v>20451.605</c:v>
                </c:pt>
                <c:pt idx="1">
                  <c:v>15628.407999999999</c:v>
                </c:pt>
                <c:pt idx="2">
                  <c:v>5596.01</c:v>
                </c:pt>
                <c:pt idx="3">
                  <c:v>3573.2179999999998</c:v>
                </c:pt>
                <c:pt idx="4">
                  <c:v>3108.5699999999997</c:v>
                </c:pt>
                <c:pt idx="5">
                  <c:v>2366.3879999999999</c:v>
                </c:pt>
                <c:pt idx="6">
                  <c:v>2323.181</c:v>
                </c:pt>
                <c:pt idx="7">
                  <c:v>1540.306</c:v>
                </c:pt>
                <c:pt idx="8">
                  <c:v>1140.1990000000001</c:v>
                </c:pt>
                <c:pt idx="9">
                  <c:v>725.63</c:v>
                </c:pt>
                <c:pt idx="10">
                  <c:v>571.36099999999999</c:v>
                </c:pt>
                <c:pt idx="11">
                  <c:v>221.14</c:v>
                </c:pt>
                <c:pt idx="12">
                  <c:v>195.828</c:v>
                </c:pt>
                <c:pt idx="13">
                  <c:v>128.136</c:v>
                </c:pt>
                <c:pt idx="14">
                  <c:v>2.802</c:v>
                </c:pt>
                <c:pt idx="15">
                  <c:v>0</c:v>
                </c:pt>
                <c:pt idx="16">
                  <c:v>0</c:v>
                </c:pt>
                <c:pt idx="17">
                  <c:v>0</c:v>
                </c:pt>
                <c:pt idx="18">
                  <c:v>0</c:v>
                </c:pt>
                <c:pt idx="19">
                  <c:v>0</c:v>
                </c:pt>
                <c:pt idx="20">
                  <c:v>0</c:v>
                </c:pt>
                <c:pt idx="21">
                  <c:v>0</c:v>
                </c:pt>
                <c:pt idx="22">
                  <c:v>0</c:v>
                </c:pt>
                <c:pt idx="23">
                  <c:v>0</c:v>
                </c:pt>
                <c:pt idx="24">
                  <c:v>0</c:v>
                </c:pt>
                <c:pt idx="25">
                  <c:v>0</c:v>
                </c:pt>
              </c:numCache>
            </c:numRef>
          </c:val>
          <c:extLst>
            <c:ext xmlns:c16="http://schemas.microsoft.com/office/drawing/2014/chart" uri="{C3380CC4-5D6E-409C-BE32-E72D297353CC}">
              <c16:uniqueId val="{00000000-1D66-A947-B3EB-857E30F4BC85}"/>
            </c:ext>
          </c:extLst>
        </c:ser>
        <c:dLbls>
          <c:showLegendKey val="0"/>
          <c:showVal val="0"/>
          <c:showCatName val="0"/>
          <c:showSerName val="0"/>
          <c:showPercent val="0"/>
          <c:showBubbleSize val="0"/>
        </c:dLbls>
        <c:gapWidth val="150"/>
        <c:axId val="97310592"/>
        <c:axId val="97312768"/>
      </c:barChart>
      <c:scatterChart>
        <c:scatterStyle val="lineMarker"/>
        <c:varyColors val="0"/>
        <c:ser>
          <c:idx val="1"/>
          <c:order val="1"/>
          <c:tx>
            <c:strRef>
              <c:f>'Fruits &amp; Vegetables'!$I$83</c:f>
              <c:strCache>
                <c:ptCount val="1"/>
                <c:pt idx="0">
                  <c:v> Yield (tons/ha) </c:v>
                </c:pt>
              </c:strCache>
            </c:strRef>
          </c:tx>
          <c:spPr>
            <a:ln w="19050">
              <a:noFill/>
            </a:ln>
          </c:spPr>
          <c:marker>
            <c:symbol val="circle"/>
            <c:size val="4"/>
          </c:marker>
          <c:xVal>
            <c:strRef>
              <c:f>'Fruits &amp; Vegetables'!$G$84:$G$109</c:f>
              <c:strCache>
                <c:ptCount val="26"/>
                <c:pt idx="0">
                  <c:v>Dar Es Salaam</c:v>
                </c:pt>
                <c:pt idx="1">
                  <c:v>Geita</c:v>
                </c:pt>
                <c:pt idx="2">
                  <c:v>Mwanza</c:v>
                </c:pt>
                <c:pt idx="3">
                  <c:v>Pwani</c:v>
                </c:pt>
                <c:pt idx="4">
                  <c:v>Morogoro</c:v>
                </c:pt>
                <c:pt idx="5">
                  <c:v>Dodoma</c:v>
                </c:pt>
                <c:pt idx="6">
                  <c:v>Tabora</c:v>
                </c:pt>
                <c:pt idx="7">
                  <c:v>Mbeya</c:v>
                </c:pt>
                <c:pt idx="8">
                  <c:v>Shinyanga</c:v>
                </c:pt>
                <c:pt idx="9">
                  <c:v>Kagera</c:v>
                </c:pt>
                <c:pt idx="10">
                  <c:v>Rukwa</c:v>
                </c:pt>
                <c:pt idx="11">
                  <c:v>Iringa</c:v>
                </c:pt>
                <c:pt idx="12">
                  <c:v>Mtwara</c:v>
                </c:pt>
                <c:pt idx="13">
                  <c:v>Tanga</c:v>
                </c:pt>
                <c:pt idx="14">
                  <c:v>Ruvuma</c:v>
                </c:pt>
                <c:pt idx="15">
                  <c:v>Arusha</c:v>
                </c:pt>
                <c:pt idx="16">
                  <c:v>Kilimanjaro</c:v>
                </c:pt>
                <c:pt idx="17">
                  <c:v>Lindi</c:v>
                </c:pt>
                <c:pt idx="18">
                  <c:v>Singida</c:v>
                </c:pt>
                <c:pt idx="19">
                  <c:v>Kigoma</c:v>
                </c:pt>
                <c:pt idx="20">
                  <c:v>Mara</c:v>
                </c:pt>
                <c:pt idx="21">
                  <c:v>Manyara</c:v>
                </c:pt>
                <c:pt idx="22">
                  <c:v>Njombe</c:v>
                </c:pt>
                <c:pt idx="23">
                  <c:v>Katavi</c:v>
                </c:pt>
                <c:pt idx="24">
                  <c:v>Simiyu</c:v>
                </c:pt>
                <c:pt idx="25">
                  <c:v>Songwe</c:v>
                </c:pt>
              </c:strCache>
            </c:strRef>
          </c:xVal>
          <c:yVal>
            <c:numRef>
              <c:f>'Fruits &amp; Vegetables'!$I$84:$I$109</c:f>
              <c:numCache>
                <c:formatCode>_(* #,##0.0_);_(* \(#,##0.0\);_(* "-"_);_(@_)</c:formatCode>
                <c:ptCount val="26"/>
                <c:pt idx="0">
                  <c:v>10.497697539468218</c:v>
                </c:pt>
                <c:pt idx="1">
                  <c:v>7.4451120431848858</c:v>
                </c:pt>
                <c:pt idx="2">
                  <c:v>6.5286783333333336</c:v>
                </c:pt>
                <c:pt idx="3">
                  <c:v>10.351021896834702</c:v>
                </c:pt>
                <c:pt idx="4">
                  <c:v>6.2653152283849911</c:v>
                </c:pt>
                <c:pt idx="5">
                  <c:v>7.4488468127388527</c:v>
                </c:pt>
                <c:pt idx="6">
                  <c:v>9.0260695770440265</c:v>
                </c:pt>
                <c:pt idx="7">
                  <c:v>6.996500231617647</c:v>
                </c:pt>
                <c:pt idx="8">
                  <c:v>1.9023846920999326</c:v>
                </c:pt>
                <c:pt idx="9">
                  <c:v>2.660284465875371</c:v>
                </c:pt>
                <c:pt idx="10">
                  <c:v>4.9364791293706292</c:v>
                </c:pt>
                <c:pt idx="11">
                  <c:v>9.9352170909090898</c:v>
                </c:pt>
                <c:pt idx="12">
                  <c:v>2.2196834311926605</c:v>
                </c:pt>
                <c:pt idx="13">
                  <c:v>1.0180837813504822</c:v>
                </c:pt>
                <c:pt idx="14">
                  <c:v>0.19782120000000003</c:v>
                </c:pt>
                <c:pt idx="15">
                  <c:v>0</c:v>
                </c:pt>
                <c:pt idx="16">
                  <c:v>0</c:v>
                </c:pt>
                <c:pt idx="17">
                  <c:v>0</c:v>
                </c:pt>
                <c:pt idx="18">
                  <c:v>0</c:v>
                </c:pt>
                <c:pt idx="19">
                  <c:v>0</c:v>
                </c:pt>
                <c:pt idx="20">
                  <c:v>0</c:v>
                </c:pt>
                <c:pt idx="21">
                  <c:v>0</c:v>
                </c:pt>
                <c:pt idx="22">
                  <c:v>0</c:v>
                </c:pt>
                <c:pt idx="23">
                  <c:v>0</c:v>
                </c:pt>
                <c:pt idx="24">
                  <c:v>0</c:v>
                </c:pt>
                <c:pt idx="25">
                  <c:v>0</c:v>
                </c:pt>
              </c:numCache>
            </c:numRef>
          </c:yVal>
          <c:smooth val="0"/>
          <c:extLst>
            <c:ext xmlns:c16="http://schemas.microsoft.com/office/drawing/2014/chart" uri="{C3380CC4-5D6E-409C-BE32-E72D297353CC}">
              <c16:uniqueId val="{00000001-1D66-A947-B3EB-857E30F4BC85}"/>
            </c:ext>
          </c:extLst>
        </c:ser>
        <c:dLbls>
          <c:showLegendKey val="0"/>
          <c:showVal val="0"/>
          <c:showCatName val="0"/>
          <c:showSerName val="0"/>
          <c:showPercent val="0"/>
          <c:showBubbleSize val="0"/>
        </c:dLbls>
        <c:axId val="95686656"/>
        <c:axId val="97314688"/>
      </c:scatterChart>
      <c:catAx>
        <c:axId val="97310592"/>
        <c:scaling>
          <c:orientation val="minMax"/>
        </c:scaling>
        <c:delete val="0"/>
        <c:axPos val="b"/>
        <c:title>
          <c:tx>
            <c:rich>
              <a:bodyPr/>
              <a:lstStyle/>
              <a:p>
                <a:pPr>
                  <a:defRPr b="0"/>
                </a:pPr>
                <a:r>
                  <a:rPr lang="en-US" b="0"/>
                  <a:t>Region</a:t>
                </a:r>
              </a:p>
            </c:rich>
          </c:tx>
          <c:layout>
            <c:manualLayout>
              <c:xMode val="edge"/>
              <c:yMode val="edge"/>
              <c:x val="0.45987279796237174"/>
              <c:y val="0.81761248941533726"/>
            </c:manualLayout>
          </c:layout>
          <c:overlay val="0"/>
        </c:title>
        <c:numFmt formatCode="General" sourceLinked="0"/>
        <c:majorTickMark val="out"/>
        <c:minorTickMark val="none"/>
        <c:tickLblPos val="nextTo"/>
        <c:txPr>
          <a:bodyPr rot="-5400000" vert="horz"/>
          <a:lstStyle/>
          <a:p>
            <a:pPr>
              <a:defRPr/>
            </a:pPr>
            <a:endParaRPr lang="en-US"/>
          </a:p>
        </c:txPr>
        <c:crossAx val="97312768"/>
        <c:crosses val="autoZero"/>
        <c:auto val="1"/>
        <c:lblAlgn val="ctr"/>
        <c:lblOffset val="100"/>
        <c:noMultiLvlLbl val="0"/>
      </c:catAx>
      <c:valAx>
        <c:axId val="97312768"/>
        <c:scaling>
          <c:orientation val="minMax"/>
        </c:scaling>
        <c:delete val="0"/>
        <c:axPos val="l"/>
        <c:title>
          <c:tx>
            <c:rich>
              <a:bodyPr rot="-5400000" vert="horz"/>
              <a:lstStyle/>
              <a:p>
                <a:pPr>
                  <a:defRPr b="0"/>
                </a:pPr>
                <a:r>
                  <a:rPr lang="en-US" b="0"/>
                  <a:t>Production (tons)</a:t>
                </a:r>
              </a:p>
            </c:rich>
          </c:tx>
          <c:layout>
            <c:manualLayout>
              <c:xMode val="edge"/>
              <c:yMode val="edge"/>
              <c:x val="1.3366362164797011E-2"/>
              <c:y val="0.16620305032946284"/>
            </c:manualLayout>
          </c:layout>
          <c:overlay val="0"/>
        </c:title>
        <c:numFmt formatCode="_(* #,##0_);_(* \(#,##0\);_(* &quot;-&quot;_);_(@_)" sourceLinked="1"/>
        <c:majorTickMark val="out"/>
        <c:minorTickMark val="none"/>
        <c:tickLblPos val="nextTo"/>
        <c:crossAx val="97310592"/>
        <c:crosses val="autoZero"/>
        <c:crossBetween val="between"/>
      </c:valAx>
      <c:valAx>
        <c:axId val="97314688"/>
        <c:scaling>
          <c:orientation val="minMax"/>
        </c:scaling>
        <c:delete val="0"/>
        <c:axPos val="r"/>
        <c:title>
          <c:tx>
            <c:rich>
              <a:bodyPr rot="-5400000" vert="horz"/>
              <a:lstStyle/>
              <a:p>
                <a:pPr>
                  <a:defRPr b="0"/>
                </a:pPr>
                <a:r>
                  <a:rPr lang="en-US" b="0"/>
                  <a:t>Yield (tons/ha)</a:t>
                </a:r>
              </a:p>
            </c:rich>
          </c:tx>
          <c:layout>
            <c:manualLayout>
              <c:xMode val="edge"/>
              <c:yMode val="edge"/>
              <c:x val="0.95418759187864111"/>
              <c:y val="0.17499002365124633"/>
            </c:manualLayout>
          </c:layout>
          <c:overlay val="0"/>
        </c:title>
        <c:numFmt formatCode="_(* #,##0.0_);_(* \(#,##0.0\);_(* &quot;-&quot;_);_(@_)" sourceLinked="1"/>
        <c:majorTickMark val="out"/>
        <c:minorTickMark val="none"/>
        <c:tickLblPos val="nextTo"/>
        <c:crossAx val="95686656"/>
        <c:crosses val="max"/>
        <c:crossBetween val="midCat"/>
      </c:valAx>
      <c:valAx>
        <c:axId val="95686656"/>
        <c:scaling>
          <c:orientation val="minMax"/>
        </c:scaling>
        <c:delete val="1"/>
        <c:axPos val="b"/>
        <c:majorTickMark val="out"/>
        <c:minorTickMark val="none"/>
        <c:tickLblPos val="none"/>
        <c:crossAx val="97314688"/>
        <c:crosses val="autoZero"/>
        <c:crossBetween val="midCat"/>
      </c:valAx>
    </c:plotArea>
    <c:legend>
      <c:legendPos val="b"/>
      <c:overlay val="0"/>
    </c:legend>
    <c:plotVisOnly val="1"/>
    <c:dispBlanksAs val="gap"/>
    <c:showDLblsOverMax val="0"/>
  </c:chart>
  <c:spPr>
    <a:ln w="9525">
      <a:solidFill>
        <a:sysClr val="windowText" lastClr="000000">
          <a:lumMod val="50000"/>
          <a:lumOff val="50000"/>
        </a:sysClr>
      </a:solidFill>
    </a:ln>
  </c:spPr>
  <c:txPr>
    <a:bodyPr/>
    <a:lstStyle/>
    <a:p>
      <a:pPr>
        <a:defRPr sz="800">
          <a:latin typeface="Times New Roman" pitchFamily="18" charset="0"/>
          <a:cs typeface="Times New Roman" pitchFamily="18" charset="0"/>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8050684306496817"/>
          <c:y val="0.11636432665203508"/>
          <c:w val="0.76670587847697969"/>
          <c:h val="0.72066825564727943"/>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CC0E-4F49-B729-4D57C7D46FED}"/>
              </c:ext>
            </c:extLst>
          </c:dPt>
          <c:dPt>
            <c:idx val="1"/>
            <c:bubble3D val="0"/>
            <c:explosion val="8"/>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CC0E-4F49-B729-4D57C7D46FED}"/>
              </c:ext>
            </c:extLst>
          </c:dPt>
          <c:dPt>
            <c:idx val="2"/>
            <c:bubble3D val="0"/>
            <c:explosion val="13"/>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CC0E-4F49-B729-4D57C7D46FED}"/>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CC0E-4F49-B729-4D57C7D46FED}"/>
              </c:ext>
            </c:extLst>
          </c:dPt>
          <c:dLbls>
            <c:dLbl>
              <c:idx val="0"/>
              <c:layout>
                <c:manualLayout>
                  <c:x val="-4.6254795073692713E-2"/>
                  <c:y val="0.25009205421317049"/>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CC0E-4F49-B729-4D57C7D46FED}"/>
                </c:ext>
              </c:extLst>
            </c:dLbl>
            <c:dLbl>
              <c:idx val="1"/>
              <c:layout>
                <c:manualLayout>
                  <c:x val="5.610375323314749E-3"/>
                  <c:y val="0.25578329294043001"/>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CC0E-4F49-B729-4D57C7D46FED}"/>
                </c:ext>
              </c:extLst>
            </c:dLbl>
            <c:dLbl>
              <c:idx val="2"/>
              <c:layout>
                <c:manualLayout>
                  <c:x val="5.7696634074586831E-4"/>
                  <c:y val="-9.7595144356955377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CC0E-4F49-B729-4D57C7D46FED}"/>
                </c:ext>
              </c:extLst>
            </c:dLbl>
            <c:dLbl>
              <c:idx val="3"/>
              <c:layout>
                <c:manualLayout>
                  <c:x val="7.3356321071616465E-2"/>
                  <c:y val="-4.4231789388281553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CC0E-4F49-B729-4D57C7D46FED}"/>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Literacy!$I$37:$L$37</c:f>
              <c:strCache>
                <c:ptCount val="4"/>
                <c:pt idx="0">
                  <c:v> Swahili </c:v>
                </c:pt>
                <c:pt idx="1">
                  <c:v> Swahili &amp; English </c:v>
                </c:pt>
                <c:pt idx="2">
                  <c:v> Any other language </c:v>
                </c:pt>
                <c:pt idx="3">
                  <c:v> Don't Read/Write </c:v>
                </c:pt>
              </c:strCache>
            </c:strRef>
          </c:cat>
          <c:val>
            <c:numRef>
              <c:f>Literacy!$I$38:$L$38</c:f>
              <c:numCache>
                <c:formatCode>_(* #,##0_);_(* \(#,##0\);_(* "-"_);_(@_)</c:formatCode>
                <c:ptCount val="4"/>
                <c:pt idx="0">
                  <c:v>22833157</c:v>
                </c:pt>
                <c:pt idx="1">
                  <c:v>4480760</c:v>
                </c:pt>
                <c:pt idx="2">
                  <c:v>342224</c:v>
                </c:pt>
                <c:pt idx="3">
                  <c:v>7750372</c:v>
                </c:pt>
              </c:numCache>
            </c:numRef>
          </c:val>
          <c:extLst>
            <c:ext xmlns:c16="http://schemas.microsoft.com/office/drawing/2014/chart" uri="{C3380CC4-5D6E-409C-BE32-E72D297353CC}">
              <c16:uniqueId val="{00000008-CC0E-4F49-B729-4D57C7D46FED}"/>
            </c:ext>
          </c:extLst>
        </c:ser>
        <c:ser>
          <c:idx val="1"/>
          <c:order val="1"/>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A-CC0E-4F49-B729-4D57C7D46FED}"/>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C-CC0E-4F49-B729-4D57C7D46FED}"/>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E-CC0E-4F49-B729-4D57C7D46FED}"/>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10-CC0E-4F49-B729-4D57C7D46FE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Literacy!$I$37:$L$37</c:f>
              <c:strCache>
                <c:ptCount val="4"/>
                <c:pt idx="0">
                  <c:v> Swahili </c:v>
                </c:pt>
                <c:pt idx="1">
                  <c:v> Swahili &amp; English </c:v>
                </c:pt>
                <c:pt idx="2">
                  <c:v> Any other language </c:v>
                </c:pt>
                <c:pt idx="3">
                  <c:v> Don't Read/Write </c:v>
                </c:pt>
              </c:strCache>
            </c:strRef>
          </c:cat>
          <c:val>
            <c:numRef>
              <c:f>Literacy!$I$39:$L$39</c:f>
              <c:numCache>
                <c:formatCode>General</c:formatCode>
                <c:ptCount val="4"/>
              </c:numCache>
            </c:numRef>
          </c:val>
          <c:extLst>
            <c:ext xmlns:c16="http://schemas.microsoft.com/office/drawing/2014/chart" uri="{C3380CC4-5D6E-409C-BE32-E72D297353CC}">
              <c16:uniqueId val="{00000011-CC0E-4F49-B729-4D57C7D46FED}"/>
            </c:ext>
          </c:extLst>
        </c:ser>
        <c:dLbls>
          <c:showLegendKey val="0"/>
          <c:showVal val="0"/>
          <c:showCatName val="1"/>
          <c:showSerName val="0"/>
          <c:showPercent val="1"/>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6350" cap="flat" cmpd="sng" algn="ctr">
      <a:solidFill>
        <a:sysClr val="windowText" lastClr="000000">
          <a:lumMod val="50000"/>
          <a:lumOff val="50000"/>
        </a:sys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86600864095453"/>
          <c:y val="5.1400554097404488E-2"/>
          <c:w val="0.7651066144726838"/>
          <c:h val="0.67979418908877465"/>
        </c:manualLayout>
      </c:layout>
      <c:barChart>
        <c:barDir val="col"/>
        <c:grouping val="clustered"/>
        <c:varyColors val="0"/>
        <c:ser>
          <c:idx val="0"/>
          <c:order val="0"/>
          <c:tx>
            <c:strRef>
              <c:f>'Fruits &amp; Vegetables'!$H$112</c:f>
              <c:strCache>
                <c:ptCount val="1"/>
                <c:pt idx="0">
                  <c:v> Quantity Harvested  </c:v>
                </c:pt>
              </c:strCache>
            </c:strRef>
          </c:tx>
          <c:invertIfNegative val="0"/>
          <c:cat>
            <c:strRef>
              <c:f>'Fruits &amp; Vegetables'!$G$113:$G$117</c:f>
              <c:strCache>
                <c:ptCount val="5"/>
                <c:pt idx="0">
                  <c:v>Mjini Magharibi</c:v>
                </c:pt>
                <c:pt idx="1">
                  <c:v>Kaskazini Unguja</c:v>
                </c:pt>
                <c:pt idx="2">
                  <c:v>Kusini Unguja</c:v>
                </c:pt>
                <c:pt idx="3">
                  <c:v>Kusini  Pemba</c:v>
                </c:pt>
                <c:pt idx="4">
                  <c:v>Kaskazini Pemba</c:v>
                </c:pt>
              </c:strCache>
            </c:strRef>
          </c:cat>
          <c:val>
            <c:numRef>
              <c:f>'Fruits &amp; Vegetables'!$H$113:$H$117</c:f>
              <c:numCache>
                <c:formatCode>_(* #,##0_);_(* \(#,##0\);_(* "-"_);_(@_)</c:formatCode>
                <c:ptCount val="5"/>
                <c:pt idx="0">
                  <c:v>4511.7030000000004</c:v>
                </c:pt>
                <c:pt idx="1">
                  <c:v>3931.1819999999998</c:v>
                </c:pt>
                <c:pt idx="2">
                  <c:v>1485.1880000000001</c:v>
                </c:pt>
                <c:pt idx="3">
                  <c:v>559.32000000000005</c:v>
                </c:pt>
                <c:pt idx="4">
                  <c:v>409.24599999999998</c:v>
                </c:pt>
              </c:numCache>
            </c:numRef>
          </c:val>
          <c:extLst>
            <c:ext xmlns:c16="http://schemas.microsoft.com/office/drawing/2014/chart" uri="{C3380CC4-5D6E-409C-BE32-E72D297353CC}">
              <c16:uniqueId val="{00000000-A137-C74C-BDE3-C2F8133BC06F}"/>
            </c:ext>
          </c:extLst>
        </c:ser>
        <c:dLbls>
          <c:showLegendKey val="0"/>
          <c:showVal val="0"/>
          <c:showCatName val="0"/>
          <c:showSerName val="0"/>
          <c:showPercent val="0"/>
          <c:showBubbleSize val="0"/>
        </c:dLbls>
        <c:gapWidth val="150"/>
        <c:axId val="95730688"/>
        <c:axId val="95736576"/>
      </c:barChart>
      <c:scatterChart>
        <c:scatterStyle val="lineMarker"/>
        <c:varyColors val="0"/>
        <c:ser>
          <c:idx val="1"/>
          <c:order val="1"/>
          <c:tx>
            <c:strRef>
              <c:f>'Fruits &amp; Vegetables'!$I$112</c:f>
              <c:strCache>
                <c:ptCount val="1"/>
                <c:pt idx="0">
                  <c:v> Yield  </c:v>
                </c:pt>
              </c:strCache>
            </c:strRef>
          </c:tx>
          <c:spPr>
            <a:ln w="19050">
              <a:noFill/>
            </a:ln>
          </c:spPr>
          <c:marker>
            <c:symbol val="circle"/>
            <c:size val="4"/>
          </c:marker>
          <c:xVal>
            <c:strRef>
              <c:f>'Fruits &amp; Vegetables'!$G$113:$G$117</c:f>
              <c:strCache>
                <c:ptCount val="5"/>
                <c:pt idx="0">
                  <c:v>Mjini Magharibi</c:v>
                </c:pt>
                <c:pt idx="1">
                  <c:v>Kaskazini Unguja</c:v>
                </c:pt>
                <c:pt idx="2">
                  <c:v>Kusini Unguja</c:v>
                </c:pt>
                <c:pt idx="3">
                  <c:v>Kusini  Pemba</c:v>
                </c:pt>
                <c:pt idx="4">
                  <c:v>Kaskazini Pemba</c:v>
                </c:pt>
              </c:strCache>
            </c:strRef>
          </c:xVal>
          <c:yVal>
            <c:numRef>
              <c:f>'Fruits &amp; Vegetables'!$I$113:$I$117</c:f>
              <c:numCache>
                <c:formatCode>_(* #,##0.0_);_(* \(#,##0.0\);_(* "-"_);_(@_)</c:formatCode>
                <c:ptCount val="5"/>
                <c:pt idx="0">
                  <c:v>18.518966965116281</c:v>
                </c:pt>
                <c:pt idx="1">
                  <c:v>12.781514107894736</c:v>
                </c:pt>
                <c:pt idx="2">
                  <c:v>18.34949774</c:v>
                </c:pt>
                <c:pt idx="3">
                  <c:v>17.718970769230772</c:v>
                </c:pt>
                <c:pt idx="4">
                  <c:v>13.483291546666667</c:v>
                </c:pt>
              </c:numCache>
            </c:numRef>
          </c:yVal>
          <c:smooth val="0"/>
          <c:extLst>
            <c:ext xmlns:c16="http://schemas.microsoft.com/office/drawing/2014/chart" uri="{C3380CC4-5D6E-409C-BE32-E72D297353CC}">
              <c16:uniqueId val="{00000001-A137-C74C-BDE3-C2F8133BC06F}"/>
            </c:ext>
          </c:extLst>
        </c:ser>
        <c:dLbls>
          <c:showLegendKey val="0"/>
          <c:showVal val="0"/>
          <c:showCatName val="0"/>
          <c:showSerName val="0"/>
          <c:showPercent val="0"/>
          <c:showBubbleSize val="0"/>
        </c:dLbls>
        <c:axId val="95740672"/>
        <c:axId val="95738496"/>
      </c:scatterChart>
      <c:catAx>
        <c:axId val="95730688"/>
        <c:scaling>
          <c:orientation val="minMax"/>
        </c:scaling>
        <c:delete val="0"/>
        <c:axPos val="b"/>
        <c:numFmt formatCode="General" sourceLinked="0"/>
        <c:majorTickMark val="out"/>
        <c:minorTickMark val="none"/>
        <c:tickLblPos val="nextTo"/>
        <c:crossAx val="95736576"/>
        <c:crosses val="autoZero"/>
        <c:auto val="1"/>
        <c:lblAlgn val="ctr"/>
        <c:lblOffset val="100"/>
        <c:noMultiLvlLbl val="0"/>
      </c:catAx>
      <c:valAx>
        <c:axId val="95736576"/>
        <c:scaling>
          <c:orientation val="minMax"/>
        </c:scaling>
        <c:delete val="0"/>
        <c:axPos val="l"/>
        <c:title>
          <c:tx>
            <c:rich>
              <a:bodyPr rot="-5400000" vert="horz"/>
              <a:lstStyle/>
              <a:p>
                <a:pPr>
                  <a:defRPr b="0"/>
                </a:pPr>
                <a:r>
                  <a:rPr lang="en-US" b="0"/>
                  <a:t>Production (tons)</a:t>
                </a:r>
              </a:p>
            </c:rich>
          </c:tx>
          <c:layout>
            <c:manualLayout>
              <c:xMode val="edge"/>
              <c:yMode val="edge"/>
              <c:x val="1.189403933846955E-2"/>
              <c:y val="0.13853272306068801"/>
            </c:manualLayout>
          </c:layout>
          <c:overlay val="0"/>
        </c:title>
        <c:numFmt formatCode="_(* #,##0_);_(* \(#,##0\);_(* &quot;-&quot;_);_(@_)" sourceLinked="1"/>
        <c:majorTickMark val="out"/>
        <c:minorTickMark val="none"/>
        <c:tickLblPos val="nextTo"/>
        <c:crossAx val="95730688"/>
        <c:crosses val="autoZero"/>
        <c:crossBetween val="between"/>
        <c:majorUnit val="1000"/>
      </c:valAx>
      <c:valAx>
        <c:axId val="95738496"/>
        <c:scaling>
          <c:orientation val="minMax"/>
        </c:scaling>
        <c:delete val="0"/>
        <c:axPos val="r"/>
        <c:title>
          <c:tx>
            <c:rich>
              <a:bodyPr rot="-5400000" vert="horz"/>
              <a:lstStyle/>
              <a:p>
                <a:pPr>
                  <a:defRPr b="0"/>
                </a:pPr>
                <a:r>
                  <a:rPr lang="en-US" b="0"/>
                  <a:t>Yield (tons/ha)</a:t>
                </a:r>
              </a:p>
            </c:rich>
          </c:tx>
          <c:layout>
            <c:manualLayout>
              <c:xMode val="edge"/>
              <c:yMode val="edge"/>
              <c:x val="0.94023424173364811"/>
              <c:y val="0.21059693073655245"/>
            </c:manualLayout>
          </c:layout>
          <c:overlay val="0"/>
        </c:title>
        <c:numFmt formatCode="_(* #,##0.0_);_(* \(#,##0.0\);_(* &quot;-&quot;_);_(@_)" sourceLinked="1"/>
        <c:majorTickMark val="out"/>
        <c:minorTickMark val="none"/>
        <c:tickLblPos val="nextTo"/>
        <c:crossAx val="95740672"/>
        <c:crosses val="max"/>
        <c:crossBetween val="midCat"/>
      </c:valAx>
      <c:valAx>
        <c:axId val="95740672"/>
        <c:scaling>
          <c:orientation val="minMax"/>
        </c:scaling>
        <c:delete val="1"/>
        <c:axPos val="b"/>
        <c:title>
          <c:tx>
            <c:rich>
              <a:bodyPr/>
              <a:lstStyle/>
              <a:p>
                <a:pPr>
                  <a:defRPr b="0"/>
                </a:pPr>
                <a:r>
                  <a:rPr lang="en-US" b="0"/>
                  <a:t>Region</a:t>
                </a:r>
              </a:p>
            </c:rich>
          </c:tx>
          <c:layout>
            <c:manualLayout>
              <c:xMode val="edge"/>
              <c:yMode val="edge"/>
              <c:x val="0.46917871004556716"/>
              <c:y val="0.81728078994090847"/>
            </c:manualLayout>
          </c:layout>
          <c:overlay val="0"/>
        </c:title>
        <c:majorTickMark val="out"/>
        <c:minorTickMark val="none"/>
        <c:tickLblPos val="none"/>
        <c:crossAx val="95738496"/>
        <c:crosses val="autoZero"/>
        <c:crossBetween val="midCat"/>
      </c:valAx>
    </c:plotArea>
    <c:legend>
      <c:legendPos val="b"/>
      <c:layout>
        <c:manualLayout>
          <c:xMode val="edge"/>
          <c:yMode val="edge"/>
          <c:x val="0.21106719768137103"/>
          <c:y val="0.9023939195100612"/>
          <c:w val="0.56857122589406051"/>
          <c:h val="7.8537839020122513E-2"/>
        </c:manualLayout>
      </c:layout>
      <c:overlay val="0"/>
    </c:legend>
    <c:plotVisOnly val="1"/>
    <c:dispBlanksAs val="gap"/>
    <c:showDLblsOverMax val="0"/>
  </c:chart>
  <c:spPr>
    <a:ln w="9525">
      <a:solidFill>
        <a:sysClr val="windowText" lastClr="000000">
          <a:lumMod val="50000"/>
          <a:lumOff val="50000"/>
        </a:sysClr>
      </a:solidFill>
    </a:ln>
  </c:spPr>
  <c:txPr>
    <a:bodyPr/>
    <a:lstStyle/>
    <a:p>
      <a:pPr>
        <a:defRPr sz="800">
          <a:latin typeface="Times New Roman" pitchFamily="18" charset="0"/>
          <a:cs typeface="Times New Roman" pitchFamily="18" charset="0"/>
        </a:defRPr>
      </a:pPr>
      <a:endParaRPr lang="en-US"/>
    </a:p>
  </c:txPr>
  <c:externalData r:id="rId2">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GRAPHS!$N$4</c:f>
              <c:strCache>
                <c:ptCount val="1"/>
                <c:pt idx="0">
                  <c:v>Yield (tons/ha)</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GRAPHS!$I$5:$I$14</c:f>
              <c:strCache>
                <c:ptCount val="10"/>
                <c:pt idx="0">
                  <c:v>Katavi</c:v>
                </c:pt>
                <c:pt idx="1">
                  <c:v>Singida</c:v>
                </c:pt>
                <c:pt idx="2">
                  <c:v>Simiyu</c:v>
                </c:pt>
                <c:pt idx="3">
                  <c:v>Mwanza</c:v>
                </c:pt>
                <c:pt idx="4">
                  <c:v>Shinyanga</c:v>
                </c:pt>
                <c:pt idx="5">
                  <c:v>Geita</c:v>
                </c:pt>
                <c:pt idx="6">
                  <c:v>Tabora</c:v>
                </c:pt>
                <c:pt idx="7">
                  <c:v>Mara</c:v>
                </c:pt>
                <c:pt idx="8">
                  <c:v>Kigoma</c:v>
                </c:pt>
                <c:pt idx="9">
                  <c:v>Kagera</c:v>
                </c:pt>
              </c:strCache>
            </c:strRef>
          </c:cat>
          <c:val>
            <c:numRef>
              <c:f>GRAPHS!$N$5:$N$14</c:f>
              <c:numCache>
                <c:formatCode>0.0</c:formatCode>
                <c:ptCount val="10"/>
                <c:pt idx="0">
                  <c:v>1.0822511186683372</c:v>
                </c:pt>
                <c:pt idx="1">
                  <c:v>1.1204492449664429</c:v>
                </c:pt>
                <c:pt idx="2">
                  <c:v>1.2941161611638188</c:v>
                </c:pt>
                <c:pt idx="3">
                  <c:v>1.310248249700148</c:v>
                </c:pt>
                <c:pt idx="4">
                  <c:v>1.3785158211953792</c:v>
                </c:pt>
                <c:pt idx="5">
                  <c:v>1.4189992952121413</c:v>
                </c:pt>
                <c:pt idx="6">
                  <c:v>1.4396451978960603</c:v>
                </c:pt>
                <c:pt idx="7">
                  <c:v>1.4400250691896763</c:v>
                </c:pt>
                <c:pt idx="8">
                  <c:v>1.5366510030228084</c:v>
                </c:pt>
                <c:pt idx="9">
                  <c:v>1.5648314176245213</c:v>
                </c:pt>
              </c:numCache>
            </c:numRef>
          </c:val>
          <c:extLst>
            <c:ext xmlns:c16="http://schemas.microsoft.com/office/drawing/2014/chart" uri="{C3380CC4-5D6E-409C-BE32-E72D297353CC}">
              <c16:uniqueId val="{00000000-2FFD-1F45-91E2-959CDAE0E2A4}"/>
            </c:ext>
          </c:extLst>
        </c:ser>
        <c:dLbls>
          <c:dLblPos val="outEnd"/>
          <c:showLegendKey val="0"/>
          <c:showVal val="1"/>
          <c:showCatName val="0"/>
          <c:showSerName val="0"/>
          <c:showPercent val="0"/>
          <c:showBubbleSize val="0"/>
        </c:dLbls>
        <c:gapWidth val="219"/>
        <c:overlap val="-27"/>
        <c:axId val="95831552"/>
        <c:axId val="95834880"/>
      </c:barChart>
      <c:catAx>
        <c:axId val="95831552"/>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Region</a:t>
                </a:r>
              </a:p>
            </c:rich>
          </c:tx>
          <c:layout>
            <c:manualLayout>
              <c:xMode val="edge"/>
              <c:yMode val="edge"/>
              <c:x val="0.47210374466550459"/>
              <c:y val="0.89142242538316729"/>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ysClr val="windowText" lastClr="000000">
                <a:lumMod val="50000"/>
                <a:lumOff val="50000"/>
              </a:sysClr>
            </a:solidFill>
            <a:round/>
          </a:ln>
          <a:effectLst/>
        </c:spPr>
        <c:txPr>
          <a:bodyPr rot="-5400000" spcFirstLastPara="1" vertOverflow="ellipsis"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95834880"/>
        <c:crosses val="autoZero"/>
        <c:auto val="1"/>
        <c:lblAlgn val="ctr"/>
        <c:lblOffset val="100"/>
        <c:noMultiLvlLbl val="0"/>
      </c:catAx>
      <c:valAx>
        <c:axId val="95834880"/>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Yield (tons/ha)</a:t>
                </a:r>
              </a:p>
            </c:rich>
          </c:tx>
          <c:layout>
            <c:manualLayout>
              <c:xMode val="edge"/>
              <c:yMode val="edge"/>
              <c:x val="2.2900763358778626E-2"/>
              <c:y val="0.21914958936129217"/>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0" sourceLinked="1"/>
        <c:majorTickMark val="out"/>
        <c:minorTickMark val="none"/>
        <c:tickLblPos val="nextTo"/>
        <c:spPr>
          <a:noFill/>
          <a:ln>
            <a:solidFill>
              <a:schemeClr val="bg1">
                <a:lumMod val="65000"/>
              </a:schemeClr>
            </a:solid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95831552"/>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Sheet3!$B$71</c:f>
              <c:strCache>
                <c:ptCount val="1"/>
                <c:pt idx="0">
                  <c:v>Yield
(Tons/ha)</c:v>
                </c:pt>
              </c:strCache>
            </c:strRef>
          </c:tx>
          <c:spPr>
            <a:solidFill>
              <a:schemeClr val="accent1"/>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Sheet3!$A$72:$A$88</c:f>
              <c:strCache>
                <c:ptCount val="17"/>
                <c:pt idx="0">
                  <c:v>Iringa</c:v>
                </c:pt>
                <c:pt idx="1">
                  <c:v>Rukwa</c:v>
                </c:pt>
                <c:pt idx="2">
                  <c:v>Dodoma</c:v>
                </c:pt>
                <c:pt idx="3">
                  <c:v>Tanga</c:v>
                </c:pt>
                <c:pt idx="4">
                  <c:v>Singida</c:v>
                </c:pt>
                <c:pt idx="5">
                  <c:v>Tabora</c:v>
                </c:pt>
                <c:pt idx="6">
                  <c:v>Kagera</c:v>
                </c:pt>
                <c:pt idx="7">
                  <c:v>Ruvuma</c:v>
                </c:pt>
                <c:pt idx="8">
                  <c:v>Geita</c:v>
                </c:pt>
                <c:pt idx="9">
                  <c:v>Katavi</c:v>
                </c:pt>
                <c:pt idx="10">
                  <c:v>Shinyanga</c:v>
                </c:pt>
                <c:pt idx="11">
                  <c:v>Arusha</c:v>
                </c:pt>
                <c:pt idx="12">
                  <c:v>Mbeya</c:v>
                </c:pt>
                <c:pt idx="13">
                  <c:v>Kigoma</c:v>
                </c:pt>
                <c:pt idx="14">
                  <c:v>Mara</c:v>
                </c:pt>
                <c:pt idx="15">
                  <c:v>Manyara</c:v>
                </c:pt>
                <c:pt idx="16">
                  <c:v>Simiyu</c:v>
                </c:pt>
              </c:strCache>
            </c:strRef>
          </c:cat>
          <c:val>
            <c:numRef>
              <c:f>Sheet3!$B$72:$B$88</c:f>
              <c:numCache>
                <c:formatCode>0.0</c:formatCode>
                <c:ptCount val="17"/>
                <c:pt idx="0">
                  <c:v>0.30895147437848808</c:v>
                </c:pt>
                <c:pt idx="1">
                  <c:v>0.50142292307692304</c:v>
                </c:pt>
                <c:pt idx="2">
                  <c:v>0.53377366768292678</c:v>
                </c:pt>
                <c:pt idx="3">
                  <c:v>0.57026655979643759</c:v>
                </c:pt>
                <c:pt idx="4">
                  <c:v>0.67345184966216221</c:v>
                </c:pt>
                <c:pt idx="5">
                  <c:v>0.93232949229797113</c:v>
                </c:pt>
                <c:pt idx="6">
                  <c:v>0.99081251479289945</c:v>
                </c:pt>
                <c:pt idx="7">
                  <c:v>1.1086482922899887</c:v>
                </c:pt>
                <c:pt idx="8">
                  <c:v>1.1576303805361305</c:v>
                </c:pt>
                <c:pt idx="9">
                  <c:v>1.1607232218394103</c:v>
                </c:pt>
                <c:pt idx="10">
                  <c:v>1.2492721583979793</c:v>
                </c:pt>
                <c:pt idx="11">
                  <c:v>1.3271917499999999</c:v>
                </c:pt>
                <c:pt idx="12">
                  <c:v>1.3278143054863234</c:v>
                </c:pt>
                <c:pt idx="13">
                  <c:v>1.337934676103858</c:v>
                </c:pt>
                <c:pt idx="14">
                  <c:v>1.4837531333333334</c:v>
                </c:pt>
                <c:pt idx="15">
                  <c:v>1.4896803653846153</c:v>
                </c:pt>
                <c:pt idx="16">
                  <c:v>1.6644431363636365</c:v>
                </c:pt>
              </c:numCache>
            </c:numRef>
          </c:val>
          <c:extLst>
            <c:ext xmlns:c16="http://schemas.microsoft.com/office/drawing/2014/chart" uri="{C3380CC4-5D6E-409C-BE32-E72D297353CC}">
              <c16:uniqueId val="{00000000-B698-AA44-B0BD-2CB0CD0B534F}"/>
            </c:ext>
          </c:extLst>
        </c:ser>
        <c:dLbls>
          <c:dLblPos val="outEnd"/>
          <c:showLegendKey val="0"/>
          <c:showVal val="1"/>
          <c:showCatName val="0"/>
          <c:showSerName val="0"/>
          <c:showPercent val="0"/>
          <c:showBubbleSize val="0"/>
        </c:dLbls>
        <c:gapWidth val="219"/>
        <c:overlap val="-27"/>
        <c:axId val="97653120"/>
        <c:axId val="97656192"/>
      </c:barChart>
      <c:catAx>
        <c:axId val="97653120"/>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Region</a:t>
                </a:r>
              </a:p>
            </c:rich>
          </c:tx>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6350" cap="flat" cmpd="sng" algn="ctr">
            <a:solidFill>
              <a:sysClr val="windowText" lastClr="000000">
                <a:lumMod val="50000"/>
                <a:lumOff val="50000"/>
              </a:sysClr>
            </a:solidFill>
            <a:round/>
          </a:ln>
          <a:effectLst/>
        </c:spPr>
        <c:txPr>
          <a:bodyPr rot="-5400000" spcFirstLastPara="1" vertOverflow="ellipsis"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97656192"/>
        <c:crosses val="autoZero"/>
        <c:auto val="1"/>
        <c:lblAlgn val="ctr"/>
        <c:lblOffset val="100"/>
        <c:noMultiLvlLbl val="0"/>
      </c:catAx>
      <c:valAx>
        <c:axId val="97656192"/>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Yield (tons/ha)</a:t>
                </a:r>
              </a:p>
            </c:rich>
          </c:tx>
          <c:layout>
            <c:manualLayout>
              <c:xMode val="edge"/>
              <c:yMode val="edge"/>
              <c:x val="1.7445917655268667E-2"/>
              <c:y val="0.25209979865697973"/>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0" sourceLinked="1"/>
        <c:majorTickMark val="out"/>
        <c:minorTickMark val="none"/>
        <c:tickLblPos val="nextTo"/>
        <c:spPr>
          <a:noFill/>
          <a:ln w="9525">
            <a:solidFill>
              <a:sysClr val="windowText" lastClr="000000">
                <a:lumMod val="50000"/>
                <a:lumOff val="50000"/>
              </a:sysClr>
            </a:solid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97653120"/>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GRAPHS!$Y$213</c:f>
              <c:strCache>
                <c:ptCount val="1"/>
                <c:pt idx="0">
                  <c:v>Average Planted Area per  Household</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GRAPHS!$X$214:$X$238</c:f>
              <c:strCache>
                <c:ptCount val="25"/>
                <c:pt idx="0">
                  <c:v>Arusha</c:v>
                </c:pt>
                <c:pt idx="1">
                  <c:v>Kagera</c:v>
                </c:pt>
                <c:pt idx="2">
                  <c:v>Iringa</c:v>
                </c:pt>
                <c:pt idx="3">
                  <c:v>Dar Es Salaam</c:v>
                </c:pt>
                <c:pt idx="4">
                  <c:v>Mwanza</c:v>
                </c:pt>
                <c:pt idx="5">
                  <c:v>Manyara</c:v>
                </c:pt>
                <c:pt idx="6">
                  <c:v>Tabora</c:v>
                </c:pt>
                <c:pt idx="7">
                  <c:v>Njombe</c:v>
                </c:pt>
                <c:pt idx="8">
                  <c:v>Ruvuma</c:v>
                </c:pt>
                <c:pt idx="9">
                  <c:v>Mtwara</c:v>
                </c:pt>
                <c:pt idx="10">
                  <c:v>Pwani</c:v>
                </c:pt>
                <c:pt idx="11">
                  <c:v>Songwe</c:v>
                </c:pt>
                <c:pt idx="12">
                  <c:v>Mbeya</c:v>
                </c:pt>
                <c:pt idx="13">
                  <c:v>Lindi</c:v>
                </c:pt>
                <c:pt idx="14">
                  <c:v>Kigoma</c:v>
                </c:pt>
                <c:pt idx="15">
                  <c:v>Kilimanjaro</c:v>
                </c:pt>
                <c:pt idx="16">
                  <c:v>Shinyanga</c:v>
                </c:pt>
                <c:pt idx="17">
                  <c:v>Tanga</c:v>
                </c:pt>
                <c:pt idx="18">
                  <c:v>Dodoma</c:v>
                </c:pt>
                <c:pt idx="19">
                  <c:v>Simiyu</c:v>
                </c:pt>
                <c:pt idx="20">
                  <c:v>Rukwa</c:v>
                </c:pt>
                <c:pt idx="21">
                  <c:v>Singida</c:v>
                </c:pt>
                <c:pt idx="22">
                  <c:v>Geita</c:v>
                </c:pt>
                <c:pt idx="23">
                  <c:v>Katavi</c:v>
                </c:pt>
                <c:pt idx="24">
                  <c:v>Morogoro</c:v>
                </c:pt>
              </c:strCache>
            </c:strRef>
          </c:cat>
          <c:val>
            <c:numRef>
              <c:f>GRAPHS!$Y$214:$Y$238</c:f>
              <c:numCache>
                <c:formatCode>0.0</c:formatCode>
                <c:ptCount val="25"/>
                <c:pt idx="0">
                  <c:v>1.9947705439839727E-2</c:v>
                </c:pt>
                <c:pt idx="1">
                  <c:v>2.892596674617047E-2</c:v>
                </c:pt>
                <c:pt idx="2">
                  <c:v>4.2183483308075753E-2</c:v>
                </c:pt>
                <c:pt idx="3">
                  <c:v>4.2455076066655613E-2</c:v>
                </c:pt>
                <c:pt idx="4">
                  <c:v>8.0016430972270916E-2</c:v>
                </c:pt>
                <c:pt idx="5">
                  <c:v>8.9980871383537095E-2</c:v>
                </c:pt>
                <c:pt idx="6">
                  <c:v>9.1756499499202684E-2</c:v>
                </c:pt>
                <c:pt idx="7">
                  <c:v>9.2601318880957198E-2</c:v>
                </c:pt>
                <c:pt idx="8">
                  <c:v>0.1117963277175274</c:v>
                </c:pt>
                <c:pt idx="9">
                  <c:v>0.11882615299644139</c:v>
                </c:pt>
                <c:pt idx="10">
                  <c:v>0.12575567687060168</c:v>
                </c:pt>
                <c:pt idx="11">
                  <c:v>0.12622794931603576</c:v>
                </c:pt>
                <c:pt idx="12">
                  <c:v>0.16476378820758872</c:v>
                </c:pt>
                <c:pt idx="13">
                  <c:v>0.17379957103105875</c:v>
                </c:pt>
                <c:pt idx="14">
                  <c:v>0.18282390292553546</c:v>
                </c:pt>
                <c:pt idx="15">
                  <c:v>0.1838116039184309</c:v>
                </c:pt>
                <c:pt idx="16">
                  <c:v>0.19614717350795691</c:v>
                </c:pt>
                <c:pt idx="17">
                  <c:v>0.20779946813779882</c:v>
                </c:pt>
                <c:pt idx="18">
                  <c:v>0.30729146578259442</c:v>
                </c:pt>
                <c:pt idx="19">
                  <c:v>0.34504561301115616</c:v>
                </c:pt>
                <c:pt idx="20">
                  <c:v>0.35994242718950903</c:v>
                </c:pt>
                <c:pt idx="21">
                  <c:v>0.40469445568595713</c:v>
                </c:pt>
                <c:pt idx="22">
                  <c:v>0.44327234045306857</c:v>
                </c:pt>
                <c:pt idx="23">
                  <c:v>0.4924085006403125</c:v>
                </c:pt>
                <c:pt idx="24">
                  <c:v>0.63985431384682412</c:v>
                </c:pt>
              </c:numCache>
            </c:numRef>
          </c:val>
          <c:extLst>
            <c:ext xmlns:c16="http://schemas.microsoft.com/office/drawing/2014/chart" uri="{C3380CC4-5D6E-409C-BE32-E72D297353CC}">
              <c16:uniqueId val="{00000000-B8E2-A84E-97F6-D3DB56D69ABA}"/>
            </c:ext>
          </c:extLst>
        </c:ser>
        <c:dLbls>
          <c:dLblPos val="outEnd"/>
          <c:showLegendKey val="0"/>
          <c:showVal val="1"/>
          <c:showCatName val="0"/>
          <c:showSerName val="0"/>
          <c:showPercent val="0"/>
          <c:showBubbleSize val="0"/>
        </c:dLbls>
        <c:gapWidth val="182"/>
        <c:axId val="97710464"/>
        <c:axId val="97713536"/>
      </c:barChart>
      <c:catAx>
        <c:axId val="97710464"/>
        <c:scaling>
          <c:orientation val="minMax"/>
        </c:scaling>
        <c:delete val="0"/>
        <c:axPos val="l"/>
        <c:title>
          <c:tx>
            <c:rich>
              <a:bodyPr rot="-540000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Region</a:t>
                </a:r>
              </a:p>
            </c:rich>
          </c:tx>
          <c:overlay val="0"/>
          <c:spPr>
            <a:noFill/>
            <a:ln>
              <a:noFill/>
            </a:ln>
            <a:effectLst/>
          </c:spPr>
          <c:txPr>
            <a:bodyPr rot="-540000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6350" cap="flat" cmpd="sng" algn="ctr">
            <a:solidFill>
              <a:sysClr val="windowText" lastClr="000000">
                <a:lumMod val="50000"/>
                <a:lumOff val="50000"/>
              </a:sysClr>
            </a:solidFill>
            <a:round/>
          </a:ln>
          <a:effectLst/>
        </c:spPr>
        <c:txPr>
          <a:bodyPr rot="-6000000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97713536"/>
        <c:crosses val="autoZero"/>
        <c:auto val="1"/>
        <c:lblAlgn val="ctr"/>
        <c:lblOffset val="100"/>
        <c:noMultiLvlLbl val="0"/>
      </c:catAx>
      <c:valAx>
        <c:axId val="97713536"/>
        <c:scaling>
          <c:orientation val="minMax"/>
        </c:scaling>
        <c:delete val="0"/>
        <c:axPos val="b"/>
        <c:title>
          <c:tx>
            <c:rich>
              <a:bodyPr rot="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Holding Size</a:t>
                </a:r>
              </a:p>
            </c:rich>
          </c:tx>
          <c:overlay val="0"/>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0" sourceLinked="1"/>
        <c:majorTickMark val="out"/>
        <c:minorTickMark val="none"/>
        <c:tickLblPos val="nextTo"/>
        <c:spPr>
          <a:noFill/>
          <a:ln w="6350">
            <a:solidFill>
              <a:sysClr val="windowText" lastClr="000000">
                <a:lumMod val="50000"/>
                <a:lumOff val="50000"/>
              </a:sysClr>
            </a:solidFill>
          </a:ln>
          <a:effectLst/>
        </c:spPr>
        <c:txPr>
          <a:bodyPr rot="-6000000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97710464"/>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60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358573992467758"/>
          <c:y val="4.5146726862302484E-2"/>
          <c:w val="0.80028299565930228"/>
          <c:h val="0.63268984974251496"/>
        </c:manualLayout>
      </c:layout>
      <c:barChart>
        <c:barDir val="col"/>
        <c:grouping val="clustered"/>
        <c:varyColors val="0"/>
        <c:ser>
          <c:idx val="0"/>
          <c:order val="0"/>
          <c:tx>
            <c:strRef>
              <c:f>GRAPHS!$R$240</c:f>
              <c:strCache>
                <c:ptCount val="1"/>
                <c:pt idx="0">
                  <c:v>Planted Area (ha)per  Household</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6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GRAPHS!$Q$241:$Q$245</c:f>
              <c:strCache>
                <c:ptCount val="5"/>
                <c:pt idx="0">
                  <c:v>Kusini  Pemba</c:v>
                </c:pt>
                <c:pt idx="1">
                  <c:v>Kaskazini Pemba</c:v>
                </c:pt>
                <c:pt idx="2">
                  <c:v>Kaskazini Unguja</c:v>
                </c:pt>
                <c:pt idx="3">
                  <c:v>Kusini Unguja</c:v>
                </c:pt>
                <c:pt idx="4">
                  <c:v>Mjini Magharibi</c:v>
                </c:pt>
              </c:strCache>
            </c:strRef>
          </c:cat>
          <c:val>
            <c:numRef>
              <c:f>GRAPHS!$R$241:$R$245</c:f>
              <c:numCache>
                <c:formatCode>0.0</c:formatCode>
                <c:ptCount val="5"/>
                <c:pt idx="0">
                  <c:v>9.3495259293519109E-2</c:v>
                </c:pt>
                <c:pt idx="1">
                  <c:v>0.10184363785474417</c:v>
                </c:pt>
                <c:pt idx="2">
                  <c:v>0.46604178148676229</c:v>
                </c:pt>
                <c:pt idx="3">
                  <c:v>0.51142705938335231</c:v>
                </c:pt>
                <c:pt idx="4">
                  <c:v>0.71698757611413788</c:v>
                </c:pt>
              </c:numCache>
            </c:numRef>
          </c:val>
          <c:extLst>
            <c:ext xmlns:c16="http://schemas.microsoft.com/office/drawing/2014/chart" uri="{C3380CC4-5D6E-409C-BE32-E72D297353CC}">
              <c16:uniqueId val="{00000000-951A-CB49-A98E-243ECB091E1E}"/>
            </c:ext>
          </c:extLst>
        </c:ser>
        <c:dLbls>
          <c:dLblPos val="outEnd"/>
          <c:showLegendKey val="0"/>
          <c:showVal val="1"/>
          <c:showCatName val="0"/>
          <c:showSerName val="0"/>
          <c:showPercent val="0"/>
          <c:showBubbleSize val="0"/>
        </c:dLbls>
        <c:gapWidth val="219"/>
        <c:overlap val="-27"/>
        <c:axId val="98308096"/>
        <c:axId val="98311168"/>
      </c:barChart>
      <c:catAx>
        <c:axId val="98308096"/>
        <c:scaling>
          <c:orientation val="minMax"/>
        </c:scaling>
        <c:delete val="0"/>
        <c:axPos val="b"/>
        <c:title>
          <c:tx>
            <c:rich>
              <a:bodyPr rot="0" spcFirstLastPara="1" vertOverflow="ellipsis" vert="horz" wrap="square" anchor="ctr" anchorCtr="1"/>
              <a:lstStyle/>
              <a:p>
                <a:pPr>
                  <a:defRPr sz="65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Region</a:t>
                </a:r>
              </a:p>
            </c:rich>
          </c:tx>
          <c:layout>
            <c:manualLayout>
              <c:xMode val="edge"/>
              <c:yMode val="edge"/>
              <c:x val="0.46213188554856766"/>
              <c:y val="0.86240483161736592"/>
            </c:manualLayout>
          </c:layout>
          <c:overlay val="0"/>
          <c:spPr>
            <a:noFill/>
            <a:ln>
              <a:noFill/>
            </a:ln>
            <a:effectLst/>
          </c:spPr>
          <c:txPr>
            <a:bodyPr rot="0" spcFirstLastPara="1" vertOverflow="ellipsis" vert="horz" wrap="square" anchor="ctr" anchorCtr="1"/>
            <a:lstStyle/>
            <a:p>
              <a:pPr>
                <a:defRPr sz="6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6350" cap="flat" cmpd="sng" algn="ctr">
            <a:solidFill>
              <a:sysClr val="windowText" lastClr="000000">
                <a:lumMod val="50000"/>
                <a:lumOff val="50000"/>
              </a:sysClr>
            </a:solidFill>
            <a:round/>
          </a:ln>
          <a:effectLst/>
        </c:spPr>
        <c:txPr>
          <a:bodyPr rot="0" spcFirstLastPara="1" vertOverflow="ellipsis" wrap="square" anchor="ctr" anchorCtr="1"/>
          <a:lstStyle/>
          <a:p>
            <a:pPr>
              <a:defRPr sz="6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98311168"/>
        <c:crosses val="autoZero"/>
        <c:auto val="1"/>
        <c:lblAlgn val="ctr"/>
        <c:lblOffset val="100"/>
        <c:noMultiLvlLbl val="0"/>
      </c:catAx>
      <c:valAx>
        <c:axId val="98311168"/>
        <c:scaling>
          <c:orientation val="minMax"/>
        </c:scaling>
        <c:delete val="0"/>
        <c:axPos val="l"/>
        <c:title>
          <c:tx>
            <c:rich>
              <a:bodyPr rot="-5400000" spcFirstLastPara="1" vertOverflow="ellipsis" vert="horz" wrap="square" anchor="ctr" anchorCtr="1"/>
              <a:lstStyle/>
              <a:p>
                <a:pPr>
                  <a:defRPr sz="65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Holding</a:t>
                </a:r>
                <a:r>
                  <a:rPr lang="en-US" baseline="0"/>
                  <a:t> </a:t>
                </a:r>
                <a:r>
                  <a:rPr lang="en-US"/>
                  <a:t> Size</a:t>
                </a:r>
              </a:p>
            </c:rich>
          </c:tx>
          <c:layout>
            <c:manualLayout>
              <c:xMode val="edge"/>
              <c:yMode val="edge"/>
              <c:x val="2.672275708577113E-2"/>
              <c:y val="0.23597911854078171"/>
            </c:manualLayout>
          </c:layout>
          <c:overlay val="0"/>
          <c:spPr>
            <a:noFill/>
            <a:ln>
              <a:noFill/>
            </a:ln>
            <a:effectLst/>
          </c:spPr>
          <c:txPr>
            <a:bodyPr rot="-5400000" spcFirstLastPara="1" vertOverflow="ellipsis" vert="horz" wrap="square" anchor="ctr" anchorCtr="1"/>
            <a:lstStyle/>
            <a:p>
              <a:pPr>
                <a:defRPr sz="6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0" sourceLinked="1"/>
        <c:majorTickMark val="out"/>
        <c:minorTickMark val="none"/>
        <c:tickLblPos val="nextTo"/>
        <c:spPr>
          <a:noFill/>
          <a:ln>
            <a:solidFill>
              <a:schemeClr val="bg2">
                <a:lumMod val="50000"/>
              </a:schemeClr>
            </a:solidFill>
          </a:ln>
          <a:effectLst/>
        </c:spPr>
        <c:txPr>
          <a:bodyPr rot="-60000000" spcFirstLastPara="1" vertOverflow="ellipsis" vert="horz" wrap="square" anchor="ctr" anchorCtr="1"/>
          <a:lstStyle/>
          <a:p>
            <a:pPr>
              <a:defRPr sz="6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98308096"/>
        <c:crosses val="autoZero"/>
        <c:crossBetween val="between"/>
        <c:majorUnit val="0.1"/>
      </c:valAx>
      <c:spPr>
        <a:noFill/>
        <a:ln>
          <a:noFill/>
        </a:ln>
        <a:effectLst/>
      </c:spPr>
    </c:plotArea>
    <c:plotVisOnly val="1"/>
    <c:dispBlanksAs val="gap"/>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65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49077388053766"/>
          <c:y val="4.1834451164641774E-2"/>
          <c:w val="0.74222639783663402"/>
          <c:h val="0.62036778270522586"/>
        </c:manualLayout>
      </c:layout>
      <c:barChart>
        <c:barDir val="col"/>
        <c:grouping val="clustered"/>
        <c:varyColors val="0"/>
        <c:ser>
          <c:idx val="0"/>
          <c:order val="0"/>
          <c:tx>
            <c:strRef>
              <c:f>Sheet2!$B$3:$B$4</c:f>
              <c:strCache>
                <c:ptCount val="2"/>
                <c:pt idx="0">
                  <c:v> Region </c:v>
                </c:pt>
                <c:pt idx="1">
                  <c:v> Quantity harvested (tons) </c:v>
                </c:pt>
              </c:strCache>
            </c:strRef>
          </c:tx>
          <c:spPr>
            <a:solidFill>
              <a:schemeClr val="accent1"/>
            </a:solidFill>
            <a:ln>
              <a:noFill/>
            </a:ln>
            <a:effectLst/>
          </c:spPr>
          <c:invertIfNegative val="0"/>
          <c:dLbls>
            <c:spPr>
              <a:noFill/>
              <a:ln>
                <a:noFill/>
              </a:ln>
              <a:effectLst/>
            </c:spPr>
            <c:txPr>
              <a:bodyPr rot="-5400000" spcFirstLastPara="1" vertOverflow="ellipsis"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Sheet2!$A$5:$A$15</c:f>
              <c:strCache>
                <c:ptCount val="11"/>
                <c:pt idx="0">
                  <c:v> Pwani </c:v>
                </c:pt>
                <c:pt idx="1">
                  <c:v> Tanga </c:v>
                </c:pt>
                <c:pt idx="2">
                  <c:v> Lindi </c:v>
                </c:pt>
                <c:pt idx="3">
                  <c:v> Dar Es Salaam </c:v>
                </c:pt>
                <c:pt idx="4">
                  <c:v> Morogoro </c:v>
                </c:pt>
                <c:pt idx="5">
                  <c:v> Mtwara </c:v>
                </c:pt>
                <c:pt idx="6">
                  <c:v> Ruvuma </c:v>
                </c:pt>
                <c:pt idx="7">
                  <c:v> Kilimanjaro </c:v>
                </c:pt>
                <c:pt idx="8">
                  <c:v> Arusha </c:v>
                </c:pt>
                <c:pt idx="9">
                  <c:v> Mwanza </c:v>
                </c:pt>
                <c:pt idx="10">
                  <c:v> Mbeya </c:v>
                </c:pt>
              </c:strCache>
            </c:strRef>
          </c:cat>
          <c:val>
            <c:numRef>
              <c:f>Sheet2!$B$5:$B$15</c:f>
              <c:numCache>
                <c:formatCode>_(* #,##0_);_(* \(#,##0\);_(* "-"_);_(@_)</c:formatCode>
                <c:ptCount val="11"/>
                <c:pt idx="0">
                  <c:v>25357.155999999999</c:v>
                </c:pt>
                <c:pt idx="1">
                  <c:v>24527.723999999998</c:v>
                </c:pt>
                <c:pt idx="2">
                  <c:v>10223.431</c:v>
                </c:pt>
                <c:pt idx="3">
                  <c:v>7280.0590000000002</c:v>
                </c:pt>
                <c:pt idx="4">
                  <c:v>5541.9229999999998</c:v>
                </c:pt>
                <c:pt idx="5">
                  <c:v>4923.509</c:v>
                </c:pt>
                <c:pt idx="6">
                  <c:v>42.765999999999998</c:v>
                </c:pt>
                <c:pt idx="7">
                  <c:v>12.5</c:v>
                </c:pt>
                <c:pt idx="8">
                  <c:v>11.964</c:v>
                </c:pt>
                <c:pt idx="9">
                  <c:v>3.0830000000000002</c:v>
                </c:pt>
                <c:pt idx="10">
                  <c:v>1.968</c:v>
                </c:pt>
              </c:numCache>
            </c:numRef>
          </c:val>
          <c:extLst>
            <c:ext xmlns:c16="http://schemas.microsoft.com/office/drawing/2014/chart" uri="{C3380CC4-5D6E-409C-BE32-E72D297353CC}">
              <c16:uniqueId val="{00000000-E90B-244B-95A6-1D1540BC49F4}"/>
            </c:ext>
          </c:extLst>
        </c:ser>
        <c:dLbls>
          <c:showLegendKey val="0"/>
          <c:showVal val="0"/>
          <c:showCatName val="0"/>
          <c:showSerName val="0"/>
          <c:showPercent val="0"/>
          <c:showBubbleSize val="0"/>
        </c:dLbls>
        <c:gapWidth val="219"/>
        <c:overlap val="-27"/>
        <c:axId val="98361344"/>
        <c:axId val="98363264"/>
      </c:barChart>
      <c:catAx>
        <c:axId val="98361344"/>
        <c:scaling>
          <c:orientation val="minMax"/>
        </c:scaling>
        <c:delete val="0"/>
        <c:axPos val="b"/>
        <c:title>
          <c:tx>
            <c:rich>
              <a:bodyPr rot="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Region</a:t>
                </a:r>
              </a:p>
            </c:rich>
          </c:tx>
          <c:layout>
            <c:manualLayout>
              <c:xMode val="edge"/>
              <c:yMode val="edge"/>
              <c:x val="0.50466570754070295"/>
              <c:y val="0.91827069495198621"/>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chemeClr val="tx1">
                <a:lumMod val="65000"/>
                <a:lumOff val="35000"/>
              </a:schemeClr>
            </a:solidFill>
            <a:round/>
          </a:ln>
          <a:effectLst/>
        </c:spPr>
        <c:txPr>
          <a:bodyPr rot="-5400000" spcFirstLastPara="1" vertOverflow="ellipsis"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98363264"/>
        <c:crosses val="autoZero"/>
        <c:auto val="1"/>
        <c:lblAlgn val="ctr"/>
        <c:lblOffset val="100"/>
        <c:noMultiLvlLbl val="0"/>
      </c:catAx>
      <c:valAx>
        <c:axId val="98363264"/>
        <c:scaling>
          <c:orientation val="minMax"/>
        </c:scaling>
        <c:delete val="0"/>
        <c:axPos val="l"/>
        <c:title>
          <c:tx>
            <c:rich>
              <a:bodyPr rot="-540000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Production (tons)</a:t>
                </a:r>
              </a:p>
            </c:rich>
          </c:tx>
          <c:layout>
            <c:manualLayout>
              <c:xMode val="edge"/>
              <c:yMode val="edge"/>
              <c:x val="1.8908132110308368E-2"/>
              <c:y val="0.21338921301672606"/>
            </c:manualLayout>
          </c:layout>
          <c:overlay val="0"/>
          <c:spPr>
            <a:noFill/>
            <a:ln>
              <a:noFill/>
            </a:ln>
            <a:effectLst/>
          </c:spPr>
          <c:txPr>
            <a:bodyPr rot="-540000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_(* #,##0_);_(* \(#,##0\);_(* &quot;-&quot;_);_(@_)" sourceLinked="1"/>
        <c:majorTickMark val="out"/>
        <c:minorTickMark val="none"/>
        <c:tickLblPos val="nextTo"/>
        <c:spPr>
          <a:noFill/>
          <a:ln>
            <a:solidFill>
              <a:schemeClr val="tx1">
                <a:lumMod val="50000"/>
                <a:lumOff val="50000"/>
              </a:schemeClr>
            </a:solidFill>
          </a:ln>
          <a:effectLst/>
        </c:spPr>
        <c:txPr>
          <a:bodyPr rot="-6000000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983613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50000"/>
          <a:lumOff val="50000"/>
        </a:schemeClr>
      </a:solidFill>
      <a:round/>
    </a:ln>
    <a:effectLst/>
  </c:spPr>
  <c:txPr>
    <a:bodyPr/>
    <a:lstStyle/>
    <a:p>
      <a:pPr>
        <a:defRPr sz="70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319179201400981"/>
          <c:y val="5.649847753386774E-2"/>
          <c:w val="0.77053152047602147"/>
          <c:h val="0.67304488777752303"/>
        </c:manualLayout>
      </c:layout>
      <c:barChart>
        <c:barDir val="col"/>
        <c:grouping val="clustered"/>
        <c:varyColors val="0"/>
        <c:ser>
          <c:idx val="0"/>
          <c:order val="0"/>
          <c:tx>
            <c:strRef>
              <c:f>GRAPHS!$H$146</c:f>
              <c:strCache>
                <c:ptCount val="1"/>
                <c:pt idx="0">
                  <c:v>Quantity harvested (tons)</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GRAPHS!$K$161:$K$165</c:f>
              <c:strCache>
                <c:ptCount val="5"/>
                <c:pt idx="0">
                  <c:v>Kaskazini Unguja</c:v>
                </c:pt>
                <c:pt idx="1">
                  <c:v>Kusini  Pemba</c:v>
                </c:pt>
                <c:pt idx="2">
                  <c:v>Kaskazini Pemba</c:v>
                </c:pt>
                <c:pt idx="3">
                  <c:v>Kusini Unguja</c:v>
                </c:pt>
                <c:pt idx="4">
                  <c:v>Mjini Magharibi</c:v>
                </c:pt>
              </c:strCache>
            </c:strRef>
          </c:cat>
          <c:val>
            <c:numRef>
              <c:f>GRAPHS!$L$161:$L$165</c:f>
              <c:numCache>
                <c:formatCode>_(* #,##0_);_(* \(#,##0\);_(* "-"_);_(@_)</c:formatCode>
                <c:ptCount val="5"/>
                <c:pt idx="0">
                  <c:v>572</c:v>
                </c:pt>
                <c:pt idx="1">
                  <c:v>2012</c:v>
                </c:pt>
                <c:pt idx="2">
                  <c:v>2241</c:v>
                </c:pt>
                <c:pt idx="3">
                  <c:v>3040</c:v>
                </c:pt>
                <c:pt idx="4">
                  <c:v>5368</c:v>
                </c:pt>
              </c:numCache>
            </c:numRef>
          </c:val>
          <c:extLst>
            <c:ext xmlns:c16="http://schemas.microsoft.com/office/drawing/2014/chart" uri="{C3380CC4-5D6E-409C-BE32-E72D297353CC}">
              <c16:uniqueId val="{00000000-CD70-C948-9466-CEBD75B2904E}"/>
            </c:ext>
          </c:extLst>
        </c:ser>
        <c:dLbls>
          <c:showLegendKey val="0"/>
          <c:showVal val="0"/>
          <c:showCatName val="0"/>
          <c:showSerName val="0"/>
          <c:showPercent val="0"/>
          <c:showBubbleSize val="0"/>
        </c:dLbls>
        <c:gapWidth val="219"/>
        <c:overlap val="-27"/>
        <c:axId val="98380800"/>
        <c:axId val="98419840"/>
      </c:barChart>
      <c:catAx>
        <c:axId val="98380800"/>
        <c:scaling>
          <c:orientation val="minMax"/>
        </c:scaling>
        <c:delete val="0"/>
        <c:axPos val="b"/>
        <c:title>
          <c:tx>
            <c:rich>
              <a:bodyPr rot="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Region</a:t>
                </a:r>
              </a:p>
            </c:rich>
          </c:tx>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ysClr val="windowText" lastClr="000000">
                <a:lumMod val="50000"/>
                <a:lumOff val="50000"/>
              </a:sysClr>
            </a:solidFill>
            <a:round/>
          </a:ln>
          <a:effectLst/>
        </c:spPr>
        <c:txPr>
          <a:bodyPr rot="0" spcFirstLastPara="1" vertOverflow="ellipsis"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98419840"/>
        <c:crosses val="autoZero"/>
        <c:auto val="1"/>
        <c:lblAlgn val="ctr"/>
        <c:lblOffset val="100"/>
        <c:noMultiLvlLbl val="0"/>
      </c:catAx>
      <c:valAx>
        <c:axId val="98419840"/>
        <c:scaling>
          <c:orientation val="minMax"/>
        </c:scaling>
        <c:delete val="0"/>
        <c:axPos val="l"/>
        <c:title>
          <c:tx>
            <c:rich>
              <a:bodyPr rot="-540000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Production (tons)</a:t>
                </a:r>
              </a:p>
            </c:rich>
          </c:tx>
          <c:layout>
            <c:manualLayout>
              <c:xMode val="edge"/>
              <c:yMode val="edge"/>
              <c:x val="2.7104647264275927E-2"/>
              <c:y val="0.21897572062283008"/>
            </c:manualLayout>
          </c:layout>
          <c:overlay val="0"/>
          <c:spPr>
            <a:noFill/>
            <a:ln>
              <a:noFill/>
            </a:ln>
            <a:effectLst/>
          </c:spPr>
          <c:txPr>
            <a:bodyPr rot="-540000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_(* #,##0_);_(* \(#,##0\);_(* &quot;-&quot;_);_(@_)" sourceLinked="1"/>
        <c:majorTickMark val="out"/>
        <c:minorTickMark val="none"/>
        <c:tickLblPos val="nextTo"/>
        <c:spPr>
          <a:noFill/>
          <a:ln>
            <a:solidFill>
              <a:sysClr val="windowText" lastClr="000000">
                <a:lumMod val="50000"/>
                <a:lumOff val="50000"/>
              </a:sysClr>
            </a:solidFill>
          </a:ln>
          <a:effectLst/>
        </c:spPr>
        <c:txPr>
          <a:bodyPr rot="-6000000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98380800"/>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70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5095234896942452E-2"/>
          <c:y val="9.5663304735511892E-2"/>
          <c:w val="0.81847549099011896"/>
          <c:h val="0.62190617795667436"/>
        </c:manualLayout>
      </c:layout>
      <c:barChart>
        <c:barDir val="col"/>
        <c:grouping val="clustered"/>
        <c:varyColors val="0"/>
        <c:ser>
          <c:idx val="0"/>
          <c:order val="0"/>
          <c:tx>
            <c:strRef>
              <c:f>GRAPHS!$T$307</c:f>
              <c:strCache>
                <c:ptCount val="1"/>
                <c:pt idx="0">
                  <c:v>Percent of Households Processed Crops</c:v>
                </c:pt>
              </c:strCache>
            </c:strRef>
          </c:tx>
          <c:spPr>
            <a:solidFill>
              <a:schemeClr val="accent1"/>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GRAPHS!$S$308:$S$333</c:f>
              <c:strCache>
                <c:ptCount val="26"/>
                <c:pt idx="0">
                  <c:v>Pwani</c:v>
                </c:pt>
                <c:pt idx="1">
                  <c:v>Arusha</c:v>
                </c:pt>
                <c:pt idx="2">
                  <c:v>Rukwa</c:v>
                </c:pt>
                <c:pt idx="3">
                  <c:v>Manyara</c:v>
                </c:pt>
                <c:pt idx="4">
                  <c:v>Lindi</c:v>
                </c:pt>
                <c:pt idx="5">
                  <c:v>Dar Es Salaam</c:v>
                </c:pt>
                <c:pt idx="6">
                  <c:v>Mwanza</c:v>
                </c:pt>
                <c:pt idx="7">
                  <c:v>Katavi</c:v>
                </c:pt>
                <c:pt idx="8">
                  <c:v>Mtwara</c:v>
                </c:pt>
                <c:pt idx="9">
                  <c:v>Tanga</c:v>
                </c:pt>
                <c:pt idx="10">
                  <c:v>Kilimanjaro</c:v>
                </c:pt>
                <c:pt idx="11">
                  <c:v>Ruvuma</c:v>
                </c:pt>
                <c:pt idx="12">
                  <c:v>Njombe</c:v>
                </c:pt>
                <c:pt idx="13">
                  <c:v>Geita</c:v>
                </c:pt>
                <c:pt idx="14">
                  <c:v>Mbeya</c:v>
                </c:pt>
                <c:pt idx="15">
                  <c:v>Mara</c:v>
                </c:pt>
                <c:pt idx="16">
                  <c:v>Songwe</c:v>
                </c:pt>
                <c:pt idx="17">
                  <c:v>Tabora</c:v>
                </c:pt>
                <c:pt idx="18">
                  <c:v>Kagera</c:v>
                </c:pt>
                <c:pt idx="19">
                  <c:v>Simiyu</c:v>
                </c:pt>
                <c:pt idx="20">
                  <c:v>Shinyanga</c:v>
                </c:pt>
                <c:pt idx="21">
                  <c:v>Singida</c:v>
                </c:pt>
                <c:pt idx="22">
                  <c:v>Morogoro</c:v>
                </c:pt>
                <c:pt idx="23">
                  <c:v>Iringa</c:v>
                </c:pt>
                <c:pt idx="24">
                  <c:v>Dodoma</c:v>
                </c:pt>
                <c:pt idx="25">
                  <c:v>Kigoma</c:v>
                </c:pt>
              </c:strCache>
            </c:strRef>
          </c:cat>
          <c:val>
            <c:numRef>
              <c:f>GRAPHS!$T$308:$T$333</c:f>
              <c:numCache>
                <c:formatCode>0.0</c:formatCode>
                <c:ptCount val="26"/>
                <c:pt idx="0">
                  <c:v>4.0470971005723472E-2</c:v>
                </c:pt>
                <c:pt idx="1">
                  <c:v>5.1779036433793266E-2</c:v>
                </c:pt>
                <c:pt idx="2">
                  <c:v>8.6695168281868421E-2</c:v>
                </c:pt>
                <c:pt idx="3">
                  <c:v>0.13024113953557578</c:v>
                </c:pt>
                <c:pt idx="4">
                  <c:v>0.22844276035828714</c:v>
                </c:pt>
                <c:pt idx="5">
                  <c:v>0.3148403479709958</c:v>
                </c:pt>
                <c:pt idx="6">
                  <c:v>0.36681777151756223</c:v>
                </c:pt>
                <c:pt idx="7">
                  <c:v>0.40728874252328573</c:v>
                </c:pt>
                <c:pt idx="8">
                  <c:v>0.46849116681380382</c:v>
                </c:pt>
                <c:pt idx="9">
                  <c:v>0.6707468282860346</c:v>
                </c:pt>
                <c:pt idx="10">
                  <c:v>0.68592344241318093</c:v>
                </c:pt>
                <c:pt idx="11">
                  <c:v>0.69792586273595669</c:v>
                </c:pt>
                <c:pt idx="12">
                  <c:v>1.6222114211460825</c:v>
                </c:pt>
                <c:pt idx="13">
                  <c:v>1.9678017715969172</c:v>
                </c:pt>
                <c:pt idx="14">
                  <c:v>2.0228541953914676</c:v>
                </c:pt>
                <c:pt idx="15">
                  <c:v>2.1344469463263667</c:v>
                </c:pt>
                <c:pt idx="16">
                  <c:v>2.2275896957733625</c:v>
                </c:pt>
                <c:pt idx="17">
                  <c:v>3.5208752839415554</c:v>
                </c:pt>
                <c:pt idx="18">
                  <c:v>4.1496632378760676</c:v>
                </c:pt>
                <c:pt idx="19">
                  <c:v>5.8974537014075574</c:v>
                </c:pt>
                <c:pt idx="20">
                  <c:v>6.9953279834941924</c:v>
                </c:pt>
                <c:pt idx="21">
                  <c:v>7.0701199250096716</c:v>
                </c:pt>
                <c:pt idx="22">
                  <c:v>11.208971065239602</c:v>
                </c:pt>
                <c:pt idx="23">
                  <c:v>12.816700227153245</c:v>
                </c:pt>
                <c:pt idx="24">
                  <c:v>16.221618243678893</c:v>
                </c:pt>
                <c:pt idx="25">
                  <c:v>17.994703064088959</c:v>
                </c:pt>
              </c:numCache>
            </c:numRef>
          </c:val>
          <c:extLst>
            <c:ext xmlns:c16="http://schemas.microsoft.com/office/drawing/2014/chart" uri="{C3380CC4-5D6E-409C-BE32-E72D297353CC}">
              <c16:uniqueId val="{00000000-C905-E248-8D7C-2A8824FD2CD4}"/>
            </c:ext>
          </c:extLst>
        </c:ser>
        <c:dLbls>
          <c:dLblPos val="outEnd"/>
          <c:showLegendKey val="0"/>
          <c:showVal val="1"/>
          <c:showCatName val="0"/>
          <c:showSerName val="0"/>
          <c:showPercent val="0"/>
          <c:showBubbleSize val="0"/>
        </c:dLbls>
        <c:gapWidth val="219"/>
        <c:overlap val="-27"/>
        <c:axId val="98469376"/>
        <c:axId val="98493184"/>
      </c:barChart>
      <c:catAx>
        <c:axId val="98469376"/>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Region</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ysClr val="windowText" lastClr="000000">
                <a:lumMod val="50000"/>
                <a:lumOff val="50000"/>
              </a:sysClr>
            </a:solidFill>
            <a:round/>
          </a:ln>
          <a:effectLst/>
        </c:spPr>
        <c:txPr>
          <a:bodyPr rot="-5400000" spcFirstLastPara="1" vertOverflow="ellipsis"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98493184"/>
        <c:crosses val="autoZero"/>
        <c:auto val="1"/>
        <c:lblAlgn val="ctr"/>
        <c:lblOffset val="100"/>
        <c:noMultiLvlLbl val="0"/>
      </c:catAx>
      <c:valAx>
        <c:axId val="98493184"/>
        <c:scaling>
          <c:orientation val="minMax"/>
        </c:scaling>
        <c:delete val="0"/>
        <c:axPos val="l"/>
        <c:title>
          <c:tx>
            <c:rich>
              <a:bodyPr rot="-54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Percent</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a:solidFill>
              <a:schemeClr val="bg2">
                <a:lumMod val="75000"/>
              </a:schemeClr>
            </a:solid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98469376"/>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90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459258570422539"/>
          <c:y val="6.4503322563219667E-2"/>
          <c:w val="0.74875797078760375"/>
          <c:h val="0.61609317776752048"/>
        </c:manualLayout>
      </c:layout>
      <c:barChart>
        <c:barDir val="col"/>
        <c:grouping val="clustered"/>
        <c:varyColors val="0"/>
        <c:ser>
          <c:idx val="0"/>
          <c:order val="0"/>
          <c:tx>
            <c:strRef>
              <c:f>GRAPHS!$T$307</c:f>
              <c:strCache>
                <c:ptCount val="1"/>
                <c:pt idx="0">
                  <c:v>Percent of Households Processed Crops</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GRAPHS!$V$340:$V$344</c:f>
              <c:strCache>
                <c:ptCount val="5"/>
                <c:pt idx="0">
                  <c:v>Kaskazini Pemba</c:v>
                </c:pt>
                <c:pt idx="1">
                  <c:v>Kusini Unguja</c:v>
                </c:pt>
                <c:pt idx="2">
                  <c:v>Kaskazini Unguja</c:v>
                </c:pt>
                <c:pt idx="3">
                  <c:v>Mjini Magharibi</c:v>
                </c:pt>
                <c:pt idx="4">
                  <c:v>Kusini  Pemba</c:v>
                </c:pt>
              </c:strCache>
            </c:strRef>
          </c:cat>
          <c:val>
            <c:numRef>
              <c:f>GRAPHS!$W$340:$W$344</c:f>
              <c:numCache>
                <c:formatCode>0.0</c:formatCode>
                <c:ptCount val="5"/>
                <c:pt idx="0">
                  <c:v>1.4765420338175756</c:v>
                </c:pt>
                <c:pt idx="1">
                  <c:v>4.0009526077637538</c:v>
                </c:pt>
                <c:pt idx="2">
                  <c:v>5.1059776137175517</c:v>
                </c:pt>
                <c:pt idx="3">
                  <c:v>14.155751369373661</c:v>
                </c:pt>
                <c:pt idx="4">
                  <c:v>75.260776375327467</c:v>
                </c:pt>
              </c:numCache>
            </c:numRef>
          </c:val>
          <c:extLst>
            <c:ext xmlns:c16="http://schemas.microsoft.com/office/drawing/2014/chart" uri="{C3380CC4-5D6E-409C-BE32-E72D297353CC}">
              <c16:uniqueId val="{00000000-C8F5-2E47-9029-502C364211AB}"/>
            </c:ext>
          </c:extLst>
        </c:ser>
        <c:dLbls>
          <c:showLegendKey val="0"/>
          <c:showVal val="0"/>
          <c:showCatName val="0"/>
          <c:showSerName val="0"/>
          <c:showPercent val="0"/>
          <c:showBubbleSize val="0"/>
        </c:dLbls>
        <c:gapWidth val="219"/>
        <c:overlap val="-27"/>
        <c:axId val="98076544"/>
        <c:axId val="98082816"/>
      </c:barChart>
      <c:catAx>
        <c:axId val="98076544"/>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Region</a:t>
                </a:r>
              </a:p>
            </c:rich>
          </c:tx>
          <c:layout>
            <c:manualLayout>
              <c:xMode val="edge"/>
              <c:yMode val="edge"/>
              <c:x val="0.46902553105138023"/>
              <c:y val="0.87209381737213565"/>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ysClr val="windowText" lastClr="000000">
                <a:lumMod val="50000"/>
                <a:lumOff val="50000"/>
              </a:sysClr>
            </a:solidFill>
            <a:round/>
          </a:ln>
          <a:effectLst/>
        </c:spPr>
        <c:txPr>
          <a:bodyPr rot="0" spcFirstLastPara="1" vertOverflow="ellipsis"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98082816"/>
        <c:crosses val="autoZero"/>
        <c:auto val="1"/>
        <c:lblAlgn val="ctr"/>
        <c:lblOffset val="100"/>
        <c:noMultiLvlLbl val="0"/>
      </c:catAx>
      <c:valAx>
        <c:axId val="98082816"/>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Percent</a:t>
                </a:r>
              </a:p>
            </c:rich>
          </c:tx>
          <c:layout>
            <c:manualLayout>
              <c:xMode val="edge"/>
              <c:yMode val="edge"/>
              <c:x val="3.1167123040577612E-2"/>
              <c:y val="0.28358509472877741"/>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a:solidFill>
              <a:schemeClr val="bg2">
                <a:lumMod val="75000"/>
              </a:schemeClr>
            </a:solid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98076544"/>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671E-4418-AAB1-5783B3E0838C}"/>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671E-4418-AAB1-5783B3E0838C}"/>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671E-4418-AAB1-5783B3E0838C}"/>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671E-4418-AAB1-5783B3E0838C}"/>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671E-4418-AAB1-5783B3E0838C}"/>
              </c:ext>
            </c:extLst>
          </c:dPt>
          <c:dLbls>
            <c:dLbl>
              <c:idx val="0"/>
              <c:layout>
                <c:manualLayout>
                  <c:x val="0"/>
                  <c:y val="-5.847953216374270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671E-4418-AAB1-5783B3E0838C}"/>
                </c:ext>
              </c:extLst>
            </c:dLbl>
            <c:dLbl>
              <c:idx val="1"/>
              <c:layout>
                <c:manualLayout>
                  <c:x val="6.4777327935222673E-2"/>
                  <c:y val="9.3567251461988299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671E-4418-AAB1-5783B3E0838C}"/>
                </c:ext>
              </c:extLst>
            </c:dLbl>
            <c:dLbl>
              <c:idx val="2"/>
              <c:layout>
                <c:manualLayout>
                  <c:x val="-2.1592442645074237E-2"/>
                  <c:y val="5.458089668615984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671E-4418-AAB1-5783B3E0838C}"/>
                </c:ext>
              </c:extLst>
            </c:dLbl>
            <c:dLbl>
              <c:idx val="3"/>
              <c:layout>
                <c:manualLayout>
                  <c:x val="-2.9689608636977057E-2"/>
                  <c:y val="-8.1871345029239803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671E-4418-AAB1-5783B3E0838C}"/>
                </c:ext>
              </c:extLst>
            </c:dLbl>
            <c:dLbl>
              <c:idx val="4"/>
              <c:layout>
                <c:manualLayout>
                  <c:x val="2.6990553306342779E-3"/>
                  <c:y val="-3.8986354775828465E-2"/>
                </c:manualLayout>
              </c:layout>
              <c:tx>
                <c:rich>
                  <a:bodyPr/>
                  <a:lstStyle/>
                  <a:p>
                    <a:fld id="{0125E526-0D10-1840-9F94-2EBA0EBB88E2}" type="CATEGORYNAME">
                      <a:rPr lang="en-US"/>
                      <a:pPr/>
                      <a:t>[CATEGORY NAME]</a:t>
                    </a:fld>
                    <a:r>
                      <a:rPr lang="en-US" baseline="0"/>
                      <a:t>
</a:t>
                    </a:r>
                    <a:fld id="{FFF5364B-266E-C740-91C0-12E0AE105C23}" type="PERCENTAGE">
                      <a:rPr lang="en-US" sz="800" baseline="0"/>
                      <a:pPr/>
                      <a:t>[PERCENTAGE]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671E-4418-AAB1-5783B3E0838C}"/>
                </c:ext>
              </c:extLst>
            </c:dLbl>
            <c:numFmt formatCode="0.0%" sourceLinked="0"/>
            <c:spPr>
              <a:noFill/>
              <a:ln>
                <a:noFill/>
              </a:ln>
              <a:effectLst/>
            </c:spPr>
            <c:txPr>
              <a:bodyPr rot="0" spcFirstLastPara="1" vertOverflow="ellipsis" vert="horz" wrap="square" anchor="ctr" anchorCtr="1"/>
              <a:lstStyle/>
              <a:p>
                <a:pPr>
                  <a:defRPr sz="900" b="0" i="0" u="none" strike="noStrike" kern="1200" baseline="0">
                    <a:solidFill>
                      <a:schemeClr val="tx1">
                        <a:alpha val="99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Sheet3!$H$5:$H$9</c:f>
              <c:strCache>
                <c:ptCount val="5"/>
                <c:pt idx="0">
                  <c:v> Flour/Meal </c:v>
                </c:pt>
                <c:pt idx="1">
                  <c:v> Grain </c:v>
                </c:pt>
                <c:pt idx="2">
                  <c:v> Fiber </c:v>
                </c:pt>
                <c:pt idx="3">
                  <c:v> Oil </c:v>
                </c:pt>
                <c:pt idx="4">
                  <c:v> Others </c:v>
                </c:pt>
              </c:strCache>
            </c:strRef>
          </c:cat>
          <c:val>
            <c:numRef>
              <c:f>Sheet3!$J$5:$J$9</c:f>
              <c:numCache>
                <c:formatCode>_-* #,##0.0_-;\-* #,##0.0_-;_-* "-"??_-;_-@_-</c:formatCode>
                <c:ptCount val="5"/>
                <c:pt idx="0">
                  <c:v>20.208325090017016</c:v>
                </c:pt>
                <c:pt idx="1">
                  <c:v>41.645234044236936</c:v>
                </c:pt>
                <c:pt idx="2">
                  <c:v>1.399715110988011</c:v>
                </c:pt>
                <c:pt idx="3">
                  <c:v>29.073517192260518</c:v>
                </c:pt>
                <c:pt idx="4">
                  <c:v>7.6732085624975275</c:v>
                </c:pt>
              </c:numCache>
            </c:numRef>
          </c:val>
          <c:extLst>
            <c:ext xmlns:c16="http://schemas.microsoft.com/office/drawing/2014/chart" uri="{C3380CC4-5D6E-409C-BE32-E72D297353CC}">
              <c16:uniqueId val="{0000000A-671E-4418-AAB1-5783B3E0838C}"/>
            </c:ext>
          </c:extLst>
        </c:ser>
        <c:dLbls>
          <c:dLblPos val="outEnd"/>
          <c:showLegendKey val="0"/>
          <c:showVal val="1"/>
          <c:showCatName val="0"/>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lumMod val="50000"/>
          <a:lumOff val="50000"/>
        </a:sysClr>
      </a:solidFill>
      <a:round/>
    </a:ln>
    <a:effectLst/>
  </c:spPr>
  <c:txPr>
    <a:bodyPr/>
    <a:lstStyle/>
    <a:p>
      <a:pPr>
        <a:defRPr>
          <a:solidFill>
            <a:schemeClr val="tx1">
              <a:alpha val="99000"/>
            </a:schemeClr>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913823688309178"/>
          <c:y val="6.2196307094266275E-2"/>
          <c:w val="0.86471793309375811"/>
          <c:h val="0.60206025267249752"/>
        </c:manualLayout>
      </c:layout>
      <c:barChart>
        <c:barDir val="col"/>
        <c:grouping val="clustered"/>
        <c:varyColors val="0"/>
        <c:ser>
          <c:idx val="0"/>
          <c:order val="0"/>
          <c:spPr>
            <a:solidFill>
              <a:srgbClr val="00B0F0"/>
            </a:solidFill>
            <a:ln>
              <a:solidFill>
                <a:sysClr val="window" lastClr="FFFFFF"/>
              </a:solidFill>
            </a:ln>
            <a:effectLst/>
          </c:spPr>
          <c:invertIfNegative val="0"/>
          <c:cat>
            <c:strRef>
              <c:f>Sheet3!$A$75:$A$105</c:f>
              <c:strCache>
                <c:ptCount val="31"/>
                <c:pt idx="0">
                  <c:v>Dar Es Salaam</c:v>
                </c:pt>
                <c:pt idx="1">
                  <c:v>Kusini Unguja</c:v>
                </c:pt>
                <c:pt idx="2">
                  <c:v>Kilimanjaro</c:v>
                </c:pt>
                <c:pt idx="3">
                  <c:v>Mjini Magharibi</c:v>
                </c:pt>
                <c:pt idx="4">
                  <c:v>Mbeya</c:v>
                </c:pt>
                <c:pt idx="5">
                  <c:v>Ruvuma</c:v>
                </c:pt>
                <c:pt idx="6">
                  <c:v>Njombe</c:v>
                </c:pt>
                <c:pt idx="7">
                  <c:v>Iringa</c:v>
                </c:pt>
                <c:pt idx="8">
                  <c:v>Mara</c:v>
                </c:pt>
                <c:pt idx="9">
                  <c:v>Kaskazini Unguja</c:v>
                </c:pt>
                <c:pt idx="10">
                  <c:v>Tanga</c:v>
                </c:pt>
                <c:pt idx="11">
                  <c:v>Morogoro</c:v>
                </c:pt>
                <c:pt idx="12">
                  <c:v>Mwanza</c:v>
                </c:pt>
                <c:pt idx="13">
                  <c:v>Manyara</c:v>
                </c:pt>
                <c:pt idx="14">
                  <c:v>Singida</c:v>
                </c:pt>
                <c:pt idx="15">
                  <c:v>Pwani</c:v>
                </c:pt>
                <c:pt idx="16">
                  <c:v>Mtwara</c:v>
                </c:pt>
                <c:pt idx="17">
                  <c:v>Lindi</c:v>
                </c:pt>
                <c:pt idx="18">
                  <c:v>Kusini  Pemba</c:v>
                </c:pt>
                <c:pt idx="19">
                  <c:v>Rukwa</c:v>
                </c:pt>
                <c:pt idx="20">
                  <c:v>Kagera</c:v>
                </c:pt>
                <c:pt idx="21">
                  <c:v>Kigoma</c:v>
                </c:pt>
                <c:pt idx="22">
                  <c:v>Arusha</c:v>
                </c:pt>
                <c:pt idx="23">
                  <c:v>Katavi</c:v>
                </c:pt>
                <c:pt idx="24">
                  <c:v>Dodoma</c:v>
                </c:pt>
                <c:pt idx="25">
                  <c:v>Songwe</c:v>
                </c:pt>
                <c:pt idx="26">
                  <c:v>Shinyanga</c:v>
                </c:pt>
                <c:pt idx="27">
                  <c:v>Geita</c:v>
                </c:pt>
                <c:pt idx="28">
                  <c:v>Simiyu</c:v>
                </c:pt>
                <c:pt idx="29">
                  <c:v>Kaskazini Pemba</c:v>
                </c:pt>
                <c:pt idx="30">
                  <c:v>Tabora</c:v>
                </c:pt>
              </c:strCache>
            </c:strRef>
          </c:cat>
          <c:val>
            <c:numRef>
              <c:f>Sheet3!$H$75:$H$105</c:f>
              <c:numCache>
                <c:formatCode>_(* #,##0.0_);_(* \(#,##0.0\);_(* "-"_);_(@_)</c:formatCode>
                <c:ptCount val="31"/>
                <c:pt idx="0">
                  <c:v>93.686655667891443</c:v>
                </c:pt>
                <c:pt idx="1">
                  <c:v>92.827056035170884</c:v>
                </c:pt>
                <c:pt idx="2">
                  <c:v>92.366899846946595</c:v>
                </c:pt>
                <c:pt idx="3">
                  <c:v>88.119084048650194</c:v>
                </c:pt>
                <c:pt idx="4">
                  <c:v>86.963975311181713</c:v>
                </c:pt>
                <c:pt idx="5">
                  <c:v>86.368324894517784</c:v>
                </c:pt>
                <c:pt idx="6">
                  <c:v>85.948083734438725</c:v>
                </c:pt>
                <c:pt idx="7">
                  <c:v>85.59579454785225</c:v>
                </c:pt>
                <c:pt idx="8">
                  <c:v>84.774224763580392</c:v>
                </c:pt>
                <c:pt idx="9">
                  <c:v>83.979041669570506</c:v>
                </c:pt>
                <c:pt idx="10">
                  <c:v>81.574261471683172</c:v>
                </c:pt>
                <c:pt idx="11">
                  <c:v>81.178314963856678</c:v>
                </c:pt>
                <c:pt idx="12">
                  <c:v>80.514976455800081</c:v>
                </c:pt>
                <c:pt idx="13">
                  <c:v>79.816699398916853</c:v>
                </c:pt>
                <c:pt idx="14">
                  <c:v>79.350875339989685</c:v>
                </c:pt>
                <c:pt idx="15">
                  <c:v>78.176775115697367</c:v>
                </c:pt>
                <c:pt idx="16">
                  <c:v>77.63489103309098</c:v>
                </c:pt>
                <c:pt idx="17">
                  <c:v>76.895299499241858</c:v>
                </c:pt>
                <c:pt idx="18">
                  <c:v>76.482268256051526</c:v>
                </c:pt>
                <c:pt idx="19">
                  <c:v>75.729047776608766</c:v>
                </c:pt>
                <c:pt idx="20">
                  <c:v>75.715704914668635</c:v>
                </c:pt>
                <c:pt idx="21">
                  <c:v>74.146404299846409</c:v>
                </c:pt>
                <c:pt idx="22">
                  <c:v>73.891680788994108</c:v>
                </c:pt>
                <c:pt idx="23">
                  <c:v>72.069067452948175</c:v>
                </c:pt>
                <c:pt idx="24">
                  <c:v>71.605924119161713</c:v>
                </c:pt>
                <c:pt idx="25">
                  <c:v>71.560961358712078</c:v>
                </c:pt>
                <c:pt idx="26">
                  <c:v>70.651307857629604</c:v>
                </c:pt>
                <c:pt idx="27">
                  <c:v>70.006963681916318</c:v>
                </c:pt>
                <c:pt idx="28">
                  <c:v>69.426186374286232</c:v>
                </c:pt>
                <c:pt idx="29">
                  <c:v>69.036832684394085</c:v>
                </c:pt>
                <c:pt idx="30">
                  <c:v>63.537982696289255</c:v>
                </c:pt>
              </c:numCache>
            </c:numRef>
          </c:val>
          <c:extLst>
            <c:ext xmlns:c16="http://schemas.microsoft.com/office/drawing/2014/chart" uri="{C3380CC4-5D6E-409C-BE32-E72D297353CC}">
              <c16:uniqueId val="{00000000-690A-F246-9C7A-BD9B5428EA77}"/>
            </c:ext>
          </c:extLst>
        </c:ser>
        <c:dLbls>
          <c:showLegendKey val="0"/>
          <c:showVal val="0"/>
          <c:showCatName val="0"/>
          <c:showSerName val="0"/>
          <c:showPercent val="0"/>
          <c:showBubbleSize val="0"/>
        </c:dLbls>
        <c:gapWidth val="153"/>
        <c:overlap val="-27"/>
        <c:axId val="94070272"/>
        <c:axId val="94072192"/>
      </c:barChart>
      <c:catAx>
        <c:axId val="94070272"/>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solidFill>
                      <a:schemeClr val="tx1"/>
                    </a:solidFill>
                  </a:rPr>
                  <a:t>Region</a:t>
                </a:r>
              </a:p>
            </c:rich>
          </c:tx>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6350" cap="flat" cmpd="sng" algn="ctr">
            <a:solidFill>
              <a:sysClr val="windowText" lastClr="000000">
                <a:lumMod val="50000"/>
                <a:lumOff val="50000"/>
              </a:sysClr>
            </a:solidFill>
            <a:round/>
          </a:ln>
          <a:effectLst/>
        </c:spPr>
        <c:txPr>
          <a:bodyPr rot="-5400000" spcFirstLastPara="1" vertOverflow="ellipsis"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94072192"/>
        <c:crosses val="autoZero"/>
        <c:auto val="1"/>
        <c:lblAlgn val="ctr"/>
        <c:lblOffset val="100"/>
        <c:noMultiLvlLbl val="0"/>
      </c:catAx>
      <c:valAx>
        <c:axId val="94072192"/>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Percent </a:t>
                </a:r>
              </a:p>
            </c:rich>
          </c:tx>
          <c:layout>
            <c:manualLayout>
              <c:xMode val="edge"/>
              <c:yMode val="edge"/>
              <c:x val="2.9834686458674112E-2"/>
              <c:y val="0.31271121722029643"/>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w="6350">
            <a:solidFill>
              <a:sysClr val="windowText" lastClr="000000">
                <a:lumMod val="50000"/>
                <a:lumOff val="50000"/>
              </a:sysClr>
            </a:solid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940702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505048110305154"/>
          <c:y val="4.214129483814523E-2"/>
          <c:w val="0.85501500359548099"/>
          <c:h val="0.66461978710994463"/>
        </c:manualLayout>
      </c:layout>
      <c:barChart>
        <c:barDir val="col"/>
        <c:grouping val="clustered"/>
        <c:varyColors val="0"/>
        <c:ser>
          <c:idx val="0"/>
          <c:order val="0"/>
          <c:tx>
            <c:strRef>
              <c:f>New_Sheet1!$D$3</c:f>
              <c:strCache>
                <c:ptCount val="1"/>
                <c:pt idx="0">
                  <c:v>Short Rainy Season</c:v>
                </c:pt>
              </c:strCache>
            </c:strRef>
          </c:tx>
          <c:invertIfNegative val="0"/>
          <c:dLbls>
            <c:dLbl>
              <c:idx val="0"/>
              <c:layout>
                <c:manualLayout>
                  <c:x val="-9.9781717671558259E-3"/>
                  <c:y val="2.31481481481481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326-4DF7-B3CD-1419A5A2D9A0}"/>
                </c:ext>
              </c:extLst>
            </c:dLbl>
            <c:dLbl>
              <c:idx val="6"/>
              <c:layout>
                <c:manualLayout>
                  <c:x val="0"/>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326-4DF7-B3CD-1419A5A2D9A0}"/>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New_Sheet1!$C$7:$C$11</c:f>
              <c:strCache>
                <c:ptCount val="5"/>
                <c:pt idx="0">
                  <c:v> Cereals </c:v>
                </c:pt>
                <c:pt idx="1">
                  <c:v> Fruits and Vegetables </c:v>
                </c:pt>
                <c:pt idx="2">
                  <c:v> Pulses </c:v>
                </c:pt>
                <c:pt idx="3">
                  <c:v> Roots and Tubers </c:v>
                </c:pt>
                <c:pt idx="4">
                  <c:v> Cash Crops </c:v>
                </c:pt>
              </c:strCache>
            </c:strRef>
          </c:cat>
          <c:val>
            <c:numRef>
              <c:f>New_Sheet1!$E$7:$E$11</c:f>
              <c:numCache>
                <c:formatCode>General</c:formatCode>
                <c:ptCount val="5"/>
                <c:pt idx="0">
                  <c:v>48.7</c:v>
                </c:pt>
                <c:pt idx="1">
                  <c:v>34.700000000000003</c:v>
                </c:pt>
                <c:pt idx="2">
                  <c:v>14.7</c:v>
                </c:pt>
                <c:pt idx="3">
                  <c:v>1.6</c:v>
                </c:pt>
                <c:pt idx="4">
                  <c:v>0.1</c:v>
                </c:pt>
              </c:numCache>
            </c:numRef>
          </c:val>
          <c:extLst>
            <c:ext xmlns:c16="http://schemas.microsoft.com/office/drawing/2014/chart" uri="{C3380CC4-5D6E-409C-BE32-E72D297353CC}">
              <c16:uniqueId val="{00000002-8326-4DF7-B3CD-1419A5A2D9A0}"/>
            </c:ext>
          </c:extLst>
        </c:ser>
        <c:ser>
          <c:idx val="1"/>
          <c:order val="1"/>
          <c:tx>
            <c:strRef>
              <c:f>New_Sheet1!$F$3</c:f>
              <c:strCache>
                <c:ptCount val="1"/>
                <c:pt idx="0">
                  <c:v>Long Rainy Season</c:v>
                </c:pt>
              </c:strCache>
            </c:strRef>
          </c:tx>
          <c:invertIfNegative val="0"/>
          <c:dLbls>
            <c:dLbl>
              <c:idx val="0"/>
              <c:layout>
                <c:manualLayout>
                  <c:x val="0"/>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326-4DF7-B3CD-1419A5A2D9A0}"/>
                </c:ext>
              </c:extLst>
            </c:dLbl>
            <c:dLbl>
              <c:idx val="6"/>
              <c:layout>
                <c:manualLayout>
                  <c:x val="0"/>
                  <c:y val="-2.77777777777778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326-4DF7-B3CD-1419A5A2D9A0}"/>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New_Sheet1!$C$7:$C$11</c:f>
              <c:strCache>
                <c:ptCount val="5"/>
                <c:pt idx="0">
                  <c:v> Cereals </c:v>
                </c:pt>
                <c:pt idx="1">
                  <c:v> Fruits and Vegetables </c:v>
                </c:pt>
                <c:pt idx="2">
                  <c:v> Pulses </c:v>
                </c:pt>
                <c:pt idx="3">
                  <c:v> Roots and Tubers </c:v>
                </c:pt>
                <c:pt idx="4">
                  <c:v> Cash Crops </c:v>
                </c:pt>
              </c:strCache>
            </c:strRef>
          </c:cat>
          <c:val>
            <c:numRef>
              <c:f>New_Sheet1!$G$7:$G$11</c:f>
              <c:numCache>
                <c:formatCode>General</c:formatCode>
                <c:ptCount val="5"/>
                <c:pt idx="0">
                  <c:v>49.6</c:v>
                </c:pt>
                <c:pt idx="1">
                  <c:v>38.6</c:v>
                </c:pt>
                <c:pt idx="2">
                  <c:v>7</c:v>
                </c:pt>
                <c:pt idx="3">
                  <c:v>3.2</c:v>
                </c:pt>
                <c:pt idx="4">
                  <c:v>1.2</c:v>
                </c:pt>
              </c:numCache>
            </c:numRef>
          </c:val>
          <c:extLst>
            <c:ext xmlns:c16="http://schemas.microsoft.com/office/drawing/2014/chart" uri="{C3380CC4-5D6E-409C-BE32-E72D297353CC}">
              <c16:uniqueId val="{00000005-8326-4DF7-B3CD-1419A5A2D9A0}"/>
            </c:ext>
          </c:extLst>
        </c:ser>
        <c:dLbls>
          <c:showLegendKey val="0"/>
          <c:showVal val="0"/>
          <c:showCatName val="0"/>
          <c:showSerName val="0"/>
          <c:showPercent val="0"/>
          <c:showBubbleSize val="0"/>
        </c:dLbls>
        <c:gapWidth val="150"/>
        <c:axId val="98253440"/>
        <c:axId val="98267520"/>
      </c:barChart>
      <c:catAx>
        <c:axId val="98253440"/>
        <c:scaling>
          <c:orientation val="minMax"/>
        </c:scaling>
        <c:delete val="0"/>
        <c:axPos val="b"/>
        <c:numFmt formatCode="General" sourceLinked="1"/>
        <c:majorTickMark val="out"/>
        <c:minorTickMark val="none"/>
        <c:tickLblPos val="nextTo"/>
        <c:crossAx val="98267520"/>
        <c:crosses val="autoZero"/>
        <c:auto val="1"/>
        <c:lblAlgn val="ctr"/>
        <c:lblOffset val="100"/>
        <c:noMultiLvlLbl val="0"/>
      </c:catAx>
      <c:valAx>
        <c:axId val="98267520"/>
        <c:scaling>
          <c:orientation val="minMax"/>
        </c:scaling>
        <c:delete val="0"/>
        <c:axPos val="l"/>
        <c:title>
          <c:tx>
            <c:rich>
              <a:bodyPr rot="-5400000" vert="horz"/>
              <a:lstStyle/>
              <a:p>
                <a:pPr>
                  <a:defRPr/>
                </a:pPr>
                <a:r>
                  <a:rPr lang="en-US"/>
                  <a:t>Percent</a:t>
                </a:r>
              </a:p>
            </c:rich>
          </c:tx>
          <c:layout>
            <c:manualLayout>
              <c:xMode val="edge"/>
              <c:yMode val="edge"/>
              <c:x val="2.1687768557814176E-2"/>
              <c:y val="0.34367603840751637"/>
            </c:manualLayout>
          </c:layout>
          <c:overlay val="0"/>
        </c:title>
        <c:numFmt formatCode="General" sourceLinked="1"/>
        <c:majorTickMark val="out"/>
        <c:minorTickMark val="none"/>
        <c:tickLblPos val="nextTo"/>
        <c:crossAx val="98253440"/>
        <c:crosses val="autoZero"/>
        <c:crossBetween val="between"/>
      </c:valAx>
    </c:plotArea>
    <c:legend>
      <c:legendPos val="b"/>
      <c:layout>
        <c:manualLayout>
          <c:xMode val="edge"/>
          <c:yMode val="edge"/>
          <c:x val="0.32115862410075913"/>
          <c:y val="0.85494899165317961"/>
          <c:w val="0.35768275179848175"/>
          <c:h val="6.5979539613915686E-2"/>
        </c:manualLayout>
      </c:layout>
      <c:overlay val="0"/>
    </c:legend>
    <c:plotVisOnly val="1"/>
    <c:dispBlanksAs val="gap"/>
    <c:showDLblsOverMax val="0"/>
  </c:chart>
  <c:spPr>
    <a:ln w="9525"/>
  </c:spPr>
  <c:txPr>
    <a:bodyPr/>
    <a:lstStyle/>
    <a:p>
      <a:pPr>
        <a:defRPr sz="750">
          <a:solidFill>
            <a:schemeClr val="tx1"/>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823872850542907"/>
          <c:y val="0.11921657678115243"/>
          <c:w val="0.77213347993129555"/>
          <c:h val="0.67139092711338999"/>
        </c:manualLayout>
      </c:layout>
      <c:barChart>
        <c:barDir val="col"/>
        <c:grouping val="clustered"/>
        <c:varyColors val="0"/>
        <c:ser>
          <c:idx val="0"/>
          <c:order val="0"/>
          <c:tx>
            <c:strRef>
              <c:f>Cereals!$A$6</c:f>
              <c:strCache>
                <c:ptCount val="1"/>
                <c:pt idx="0">
                  <c:v>Paddy</c:v>
                </c:pt>
              </c:strCache>
            </c:strRef>
          </c:tx>
          <c:invertIfNegative val="0"/>
          <c:dLbls>
            <c:spPr>
              <a:noFill/>
              <a:ln w="25396">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(Cereals!$B$5,Cereals!$C$5)</c:f>
              <c:strCache>
                <c:ptCount val="2"/>
                <c:pt idx="0">
                  <c:v>Short Rainy</c:v>
                </c:pt>
                <c:pt idx="1">
                  <c:v>Long Rainy</c:v>
                </c:pt>
              </c:strCache>
            </c:strRef>
          </c:cat>
          <c:val>
            <c:numRef>
              <c:f>Cereals!$B$6:$C$6</c:f>
              <c:numCache>
                <c:formatCode>_(* #,##0.0_);_(* \(#,##0.0\);_(* "-"_);_(@_)</c:formatCode>
                <c:ptCount val="2"/>
                <c:pt idx="0">
                  <c:v>46.2</c:v>
                </c:pt>
                <c:pt idx="1">
                  <c:v>73.400000000000006</c:v>
                </c:pt>
              </c:numCache>
            </c:numRef>
          </c:val>
          <c:extLst>
            <c:ext xmlns:c16="http://schemas.microsoft.com/office/drawing/2014/chart" uri="{C3380CC4-5D6E-409C-BE32-E72D297353CC}">
              <c16:uniqueId val="{00000000-1839-E943-87C3-51FC862A9801}"/>
            </c:ext>
          </c:extLst>
        </c:ser>
        <c:ser>
          <c:idx val="1"/>
          <c:order val="1"/>
          <c:tx>
            <c:strRef>
              <c:f>Cereals!$A$7</c:f>
              <c:strCache>
                <c:ptCount val="1"/>
                <c:pt idx="0">
                  <c:v>Maize</c:v>
                </c:pt>
              </c:strCache>
            </c:strRef>
          </c:tx>
          <c:invertIfNegative val="0"/>
          <c:dLbls>
            <c:spPr>
              <a:noFill/>
              <a:ln w="25396">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(Cereals!$B$5,Cereals!$C$5)</c:f>
              <c:strCache>
                <c:ptCount val="2"/>
                <c:pt idx="0">
                  <c:v>Short Rainy</c:v>
                </c:pt>
                <c:pt idx="1">
                  <c:v>Long Rainy</c:v>
                </c:pt>
              </c:strCache>
            </c:strRef>
          </c:cat>
          <c:val>
            <c:numRef>
              <c:f>Cereals!$B$7:$C$7</c:f>
              <c:numCache>
                <c:formatCode>_(* #,##0.0_);_(* \(#,##0.0\);_(* "-"_);_(@_)</c:formatCode>
                <c:ptCount val="2"/>
                <c:pt idx="0">
                  <c:v>53.8</c:v>
                </c:pt>
                <c:pt idx="1">
                  <c:v>26.6</c:v>
                </c:pt>
              </c:numCache>
            </c:numRef>
          </c:val>
          <c:extLst>
            <c:ext xmlns:c16="http://schemas.microsoft.com/office/drawing/2014/chart" uri="{C3380CC4-5D6E-409C-BE32-E72D297353CC}">
              <c16:uniqueId val="{00000001-1839-E943-87C3-51FC862A9801}"/>
            </c:ext>
          </c:extLst>
        </c:ser>
        <c:dLbls>
          <c:showLegendKey val="0"/>
          <c:showVal val="0"/>
          <c:showCatName val="0"/>
          <c:showSerName val="0"/>
          <c:showPercent val="0"/>
          <c:showBubbleSize val="0"/>
        </c:dLbls>
        <c:gapWidth val="50"/>
        <c:axId val="98303360"/>
        <c:axId val="98858112"/>
      </c:barChart>
      <c:catAx>
        <c:axId val="98303360"/>
        <c:scaling>
          <c:orientation val="minMax"/>
        </c:scaling>
        <c:delete val="0"/>
        <c:axPos val="b"/>
        <c:numFmt formatCode="General" sourceLinked="0"/>
        <c:majorTickMark val="out"/>
        <c:minorTickMark val="none"/>
        <c:tickLblPos val="nextTo"/>
        <c:crossAx val="98858112"/>
        <c:crosses val="autoZero"/>
        <c:auto val="1"/>
        <c:lblAlgn val="ctr"/>
        <c:lblOffset val="100"/>
        <c:noMultiLvlLbl val="0"/>
      </c:catAx>
      <c:valAx>
        <c:axId val="98858112"/>
        <c:scaling>
          <c:orientation val="minMax"/>
        </c:scaling>
        <c:delete val="0"/>
        <c:axPos val="l"/>
        <c:title>
          <c:tx>
            <c:rich>
              <a:bodyPr/>
              <a:lstStyle/>
              <a:p>
                <a:pPr>
                  <a:defRPr b="0"/>
                </a:pPr>
                <a:r>
                  <a:rPr lang="en-US" b="0"/>
                  <a:t>Percent</a:t>
                </a:r>
              </a:p>
            </c:rich>
          </c:tx>
          <c:layout>
            <c:manualLayout>
              <c:xMode val="edge"/>
              <c:yMode val="edge"/>
              <c:x val="3.2176956141351895E-2"/>
              <c:y val="0.40495584718576844"/>
            </c:manualLayout>
          </c:layout>
          <c:overlay val="0"/>
        </c:title>
        <c:numFmt formatCode="#,##0" sourceLinked="0"/>
        <c:majorTickMark val="out"/>
        <c:minorTickMark val="none"/>
        <c:tickLblPos val="nextTo"/>
        <c:crossAx val="98303360"/>
        <c:crosses val="autoZero"/>
        <c:crossBetween val="between"/>
      </c:valAx>
    </c:plotArea>
    <c:legend>
      <c:legendPos val="b"/>
      <c:overlay val="0"/>
    </c:legend>
    <c:plotVisOnly val="1"/>
    <c:dispBlanksAs val="gap"/>
    <c:showDLblsOverMax val="0"/>
  </c:chart>
  <c:spPr>
    <a:ln w="9525"/>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Cereals!$A$6</c:f>
              <c:strCache>
                <c:ptCount val="1"/>
                <c:pt idx="0">
                  <c:v>Paddy</c:v>
                </c:pt>
              </c:strCache>
            </c:strRef>
          </c:tx>
          <c:invertIfNegative val="0"/>
          <c:dLbls>
            <c:spPr>
              <a:noFill/>
              <a:ln w="25397">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Cereals!$F$5:$G$5</c:f>
              <c:strCache>
                <c:ptCount val="2"/>
                <c:pt idx="0">
                  <c:v>Short Rainy</c:v>
                </c:pt>
                <c:pt idx="1">
                  <c:v>Long Rainy</c:v>
                </c:pt>
              </c:strCache>
            </c:strRef>
          </c:cat>
          <c:val>
            <c:numRef>
              <c:f>Cereals!$F$6:$G$6</c:f>
              <c:numCache>
                <c:formatCode>0.0</c:formatCode>
                <c:ptCount val="2"/>
                <c:pt idx="0">
                  <c:v>77.2</c:v>
                </c:pt>
                <c:pt idx="1">
                  <c:v>98.2</c:v>
                </c:pt>
              </c:numCache>
            </c:numRef>
          </c:val>
          <c:extLst>
            <c:ext xmlns:c16="http://schemas.microsoft.com/office/drawing/2014/chart" uri="{C3380CC4-5D6E-409C-BE32-E72D297353CC}">
              <c16:uniqueId val="{00000000-FE40-7F46-8C78-94819747DFE3}"/>
            </c:ext>
          </c:extLst>
        </c:ser>
        <c:ser>
          <c:idx val="1"/>
          <c:order val="1"/>
          <c:tx>
            <c:strRef>
              <c:f>Cereals!$A$7</c:f>
              <c:strCache>
                <c:ptCount val="1"/>
                <c:pt idx="0">
                  <c:v>Maize</c:v>
                </c:pt>
              </c:strCache>
            </c:strRef>
          </c:tx>
          <c:invertIfNegative val="0"/>
          <c:dLbls>
            <c:spPr>
              <a:noFill/>
              <a:ln w="25397">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Cereals!$F$5:$G$5</c:f>
              <c:strCache>
                <c:ptCount val="2"/>
                <c:pt idx="0">
                  <c:v>Short Rainy</c:v>
                </c:pt>
                <c:pt idx="1">
                  <c:v>Long Rainy</c:v>
                </c:pt>
              </c:strCache>
            </c:strRef>
          </c:cat>
          <c:val>
            <c:numRef>
              <c:f>Cereals!$F$7:$G$7</c:f>
              <c:numCache>
                <c:formatCode>0.0</c:formatCode>
                <c:ptCount val="2"/>
                <c:pt idx="0">
                  <c:v>22.8</c:v>
                </c:pt>
                <c:pt idx="1">
                  <c:v>1.8</c:v>
                </c:pt>
              </c:numCache>
            </c:numRef>
          </c:val>
          <c:extLst>
            <c:ext xmlns:c16="http://schemas.microsoft.com/office/drawing/2014/chart" uri="{C3380CC4-5D6E-409C-BE32-E72D297353CC}">
              <c16:uniqueId val="{00000001-FE40-7F46-8C78-94819747DFE3}"/>
            </c:ext>
          </c:extLst>
        </c:ser>
        <c:dLbls>
          <c:showLegendKey val="0"/>
          <c:showVal val="0"/>
          <c:showCatName val="0"/>
          <c:showSerName val="0"/>
          <c:showPercent val="0"/>
          <c:showBubbleSize val="0"/>
        </c:dLbls>
        <c:gapWidth val="50"/>
        <c:axId val="100072832"/>
        <c:axId val="99943552"/>
      </c:barChart>
      <c:catAx>
        <c:axId val="100072832"/>
        <c:scaling>
          <c:orientation val="minMax"/>
        </c:scaling>
        <c:delete val="0"/>
        <c:axPos val="b"/>
        <c:numFmt formatCode="General" sourceLinked="0"/>
        <c:majorTickMark val="out"/>
        <c:minorTickMark val="none"/>
        <c:tickLblPos val="nextTo"/>
        <c:crossAx val="99943552"/>
        <c:crosses val="autoZero"/>
        <c:auto val="1"/>
        <c:lblAlgn val="ctr"/>
        <c:lblOffset val="100"/>
        <c:noMultiLvlLbl val="0"/>
      </c:catAx>
      <c:valAx>
        <c:axId val="99943552"/>
        <c:scaling>
          <c:orientation val="minMax"/>
        </c:scaling>
        <c:delete val="0"/>
        <c:axPos val="l"/>
        <c:title>
          <c:tx>
            <c:rich>
              <a:bodyPr/>
              <a:lstStyle/>
              <a:p>
                <a:pPr>
                  <a:defRPr sz="800" b="0" i="0" u="none" strike="noStrike" baseline="0">
                    <a:solidFill>
                      <a:srgbClr val="000000"/>
                    </a:solidFill>
                    <a:latin typeface="Times New Roman"/>
                    <a:ea typeface="Times New Roman"/>
                    <a:cs typeface="Times New Roman"/>
                  </a:defRPr>
                </a:pPr>
                <a:r>
                  <a:rPr lang="en-US" b="0"/>
                  <a:t>Percent </a:t>
                </a:r>
              </a:p>
            </c:rich>
          </c:tx>
          <c:layout>
            <c:manualLayout>
              <c:xMode val="edge"/>
              <c:yMode val="edge"/>
              <c:x val="3.7382555441439383E-2"/>
              <c:y val="0.39468533100029163"/>
            </c:manualLayout>
          </c:layout>
          <c:overlay val="0"/>
        </c:title>
        <c:numFmt formatCode="0" sourceLinked="0"/>
        <c:majorTickMark val="out"/>
        <c:minorTickMark val="none"/>
        <c:tickLblPos val="nextTo"/>
        <c:crossAx val="100072832"/>
        <c:crosses val="autoZero"/>
        <c:crossBetween val="between"/>
      </c:valAx>
    </c:plotArea>
    <c:legend>
      <c:legendPos val="b"/>
      <c:overlay val="0"/>
    </c:legend>
    <c:plotVisOnly val="1"/>
    <c:dispBlanksAs val="gap"/>
    <c:showDLblsOverMax val="0"/>
  </c:chart>
  <c:spPr>
    <a:ln w="9525"/>
  </c:spPr>
  <c:txPr>
    <a:bodyPr/>
    <a:lstStyle/>
    <a:p>
      <a:pPr>
        <a:defRPr sz="800">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267490357917479"/>
          <c:y val="0.11785044009295305"/>
          <c:w val="0.72684722150714076"/>
          <c:h val="0.63009717543678323"/>
        </c:manualLayout>
      </c:layout>
      <c:barChart>
        <c:barDir val="col"/>
        <c:grouping val="clustered"/>
        <c:varyColors val="0"/>
        <c:ser>
          <c:idx val="0"/>
          <c:order val="0"/>
          <c:tx>
            <c:strRef>
              <c:f>'Roots and Tubers'!$A$6</c:f>
              <c:strCache>
                <c:ptCount val="1"/>
                <c:pt idx="0">
                  <c:v>Irish potatoes</c:v>
                </c:pt>
              </c:strCache>
            </c:strRef>
          </c:tx>
          <c:invertIfNegative val="0"/>
          <c:dLbls>
            <c:spPr>
              <a:noFill/>
              <a:ln w="25395">
                <a:noFill/>
              </a:ln>
            </c:spPr>
            <c:txPr>
              <a:bodyPr wrap="square" lIns="38100" tIns="19050" rIns="38100" bIns="19050" anchor="ctr">
                <a:spAutoFit/>
              </a:bodyPr>
              <a:lstStyle/>
              <a:p>
                <a:pPr>
                  <a:defRPr sz="75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'Roots and Tubers'!$B$4:$C$4</c:f>
              <c:strCache>
                <c:ptCount val="2"/>
                <c:pt idx="0">
                  <c:v>Short Rainy</c:v>
                </c:pt>
                <c:pt idx="1">
                  <c:v>Long Rainy</c:v>
                </c:pt>
              </c:strCache>
            </c:strRef>
          </c:cat>
          <c:val>
            <c:numRef>
              <c:f>'Roots and Tubers'!$B$6:$C$6</c:f>
              <c:numCache>
                <c:formatCode>_(* #,##0.0_);_(* \(#,##0.0\);_(* "-"_);_(@_)</c:formatCode>
                <c:ptCount val="2"/>
                <c:pt idx="0">
                  <c:v>67.599999999999994</c:v>
                </c:pt>
                <c:pt idx="1">
                  <c:v>70.2</c:v>
                </c:pt>
              </c:numCache>
            </c:numRef>
          </c:val>
          <c:extLst>
            <c:ext xmlns:c16="http://schemas.microsoft.com/office/drawing/2014/chart" uri="{C3380CC4-5D6E-409C-BE32-E72D297353CC}">
              <c16:uniqueId val="{00000000-E43C-5243-94AB-14AABA26E5E0}"/>
            </c:ext>
          </c:extLst>
        </c:ser>
        <c:ser>
          <c:idx val="1"/>
          <c:order val="1"/>
          <c:tx>
            <c:strRef>
              <c:f>'Roots and Tubers'!$A$7</c:f>
              <c:strCache>
                <c:ptCount val="1"/>
                <c:pt idx="0">
                  <c:v>Sweet potatoes</c:v>
                </c:pt>
              </c:strCache>
            </c:strRef>
          </c:tx>
          <c:invertIfNegative val="0"/>
          <c:dLbls>
            <c:spPr>
              <a:noFill/>
              <a:ln w="25395">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'Roots and Tubers'!$B$4:$C$4</c:f>
              <c:strCache>
                <c:ptCount val="2"/>
                <c:pt idx="0">
                  <c:v>Short Rainy</c:v>
                </c:pt>
                <c:pt idx="1">
                  <c:v>Long Rainy</c:v>
                </c:pt>
              </c:strCache>
            </c:strRef>
          </c:cat>
          <c:val>
            <c:numRef>
              <c:f>'Roots and Tubers'!$B$7:$C$7</c:f>
              <c:numCache>
                <c:formatCode>_(* #,##0.0_);_(* \(#,##0.0\);_(* "-"_);_(@_)</c:formatCode>
                <c:ptCount val="2"/>
                <c:pt idx="0">
                  <c:v>13.4</c:v>
                </c:pt>
                <c:pt idx="1">
                  <c:v>22.5</c:v>
                </c:pt>
              </c:numCache>
            </c:numRef>
          </c:val>
          <c:extLst>
            <c:ext xmlns:c16="http://schemas.microsoft.com/office/drawing/2014/chart" uri="{C3380CC4-5D6E-409C-BE32-E72D297353CC}">
              <c16:uniqueId val="{00000001-E43C-5243-94AB-14AABA26E5E0}"/>
            </c:ext>
          </c:extLst>
        </c:ser>
        <c:ser>
          <c:idx val="2"/>
          <c:order val="2"/>
          <c:tx>
            <c:strRef>
              <c:f>'Roots and Tubers'!$A$8</c:f>
              <c:strCache>
                <c:ptCount val="1"/>
                <c:pt idx="0">
                  <c:v>Cassava</c:v>
                </c:pt>
              </c:strCache>
            </c:strRef>
          </c:tx>
          <c:invertIfNegative val="0"/>
          <c:dLbls>
            <c:spPr>
              <a:noFill/>
              <a:ln w="25395">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'Roots and Tubers'!$B$4:$C$4</c:f>
              <c:strCache>
                <c:ptCount val="2"/>
                <c:pt idx="0">
                  <c:v>Short Rainy</c:v>
                </c:pt>
                <c:pt idx="1">
                  <c:v>Long Rainy</c:v>
                </c:pt>
              </c:strCache>
            </c:strRef>
          </c:cat>
          <c:val>
            <c:numRef>
              <c:f>'Roots and Tubers'!$B$8:$C$8</c:f>
              <c:numCache>
                <c:formatCode>_(* #,##0.0_);_(* \(#,##0.0\);_(* "-"_);_(@_)</c:formatCode>
                <c:ptCount val="2"/>
                <c:pt idx="0">
                  <c:v>12.7</c:v>
                </c:pt>
                <c:pt idx="1">
                  <c:v>5.0999999999999996</c:v>
                </c:pt>
              </c:numCache>
            </c:numRef>
          </c:val>
          <c:extLst>
            <c:ext xmlns:c16="http://schemas.microsoft.com/office/drawing/2014/chart" uri="{C3380CC4-5D6E-409C-BE32-E72D297353CC}">
              <c16:uniqueId val="{00000002-E43C-5243-94AB-14AABA26E5E0}"/>
            </c:ext>
          </c:extLst>
        </c:ser>
        <c:ser>
          <c:idx val="3"/>
          <c:order val="3"/>
          <c:tx>
            <c:strRef>
              <c:f>'Roots and Tubers'!$A$9</c:f>
              <c:strCache>
                <c:ptCount val="1"/>
                <c:pt idx="0">
                  <c:v>Cocoyams</c:v>
                </c:pt>
              </c:strCache>
            </c:strRef>
          </c:tx>
          <c:invertIfNegative val="0"/>
          <c:dLbls>
            <c:spPr>
              <a:noFill/>
              <a:ln w="25395">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'Roots and Tubers'!$B$4:$C$4</c:f>
              <c:strCache>
                <c:ptCount val="2"/>
                <c:pt idx="0">
                  <c:v>Short Rainy</c:v>
                </c:pt>
                <c:pt idx="1">
                  <c:v>Long Rainy</c:v>
                </c:pt>
              </c:strCache>
            </c:strRef>
          </c:cat>
          <c:val>
            <c:numRef>
              <c:f>'Roots and Tubers'!$B$9:$C$9</c:f>
              <c:numCache>
                <c:formatCode>_(* #,##0.0_);_(* \(#,##0.0\);_(* "-"_);_(@_)</c:formatCode>
                <c:ptCount val="2"/>
                <c:pt idx="0">
                  <c:v>6.3</c:v>
                </c:pt>
                <c:pt idx="1">
                  <c:v>0.6</c:v>
                </c:pt>
              </c:numCache>
            </c:numRef>
          </c:val>
          <c:extLst>
            <c:ext xmlns:c16="http://schemas.microsoft.com/office/drawing/2014/chart" uri="{C3380CC4-5D6E-409C-BE32-E72D297353CC}">
              <c16:uniqueId val="{00000003-E43C-5243-94AB-14AABA26E5E0}"/>
            </c:ext>
          </c:extLst>
        </c:ser>
        <c:ser>
          <c:idx val="4"/>
          <c:order val="4"/>
          <c:tx>
            <c:strRef>
              <c:f>'Roots and Tubers'!$A$10</c:f>
              <c:strCache>
                <c:ptCount val="1"/>
                <c:pt idx="0">
                  <c:v>Yams</c:v>
                </c:pt>
              </c:strCache>
            </c:strRef>
          </c:tx>
          <c:spPr>
            <a:ln>
              <a:solidFill>
                <a:srgbClr val="00B050"/>
              </a:solidFill>
            </a:ln>
          </c:spPr>
          <c:invertIfNegative val="0"/>
          <c:dLbls>
            <c:spPr>
              <a:noFill/>
              <a:ln w="25395">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'Roots and Tubers'!$B$4:$C$4</c:f>
              <c:strCache>
                <c:ptCount val="2"/>
                <c:pt idx="0">
                  <c:v>Short Rainy</c:v>
                </c:pt>
                <c:pt idx="1">
                  <c:v>Long Rainy</c:v>
                </c:pt>
              </c:strCache>
            </c:strRef>
          </c:cat>
          <c:val>
            <c:numRef>
              <c:f>'Roots and Tubers'!$B$10:$C$10</c:f>
              <c:numCache>
                <c:formatCode>_(* #,##0.0_);_(* \(#,##0.0\);_(* "-"_);_(@_)</c:formatCode>
                <c:ptCount val="2"/>
                <c:pt idx="0" formatCode="0.0">
                  <c:v>0</c:v>
                </c:pt>
                <c:pt idx="1">
                  <c:v>1.5</c:v>
                </c:pt>
              </c:numCache>
            </c:numRef>
          </c:val>
          <c:extLst>
            <c:ext xmlns:c16="http://schemas.microsoft.com/office/drawing/2014/chart" uri="{C3380CC4-5D6E-409C-BE32-E72D297353CC}">
              <c16:uniqueId val="{00000004-E43C-5243-94AB-14AABA26E5E0}"/>
            </c:ext>
          </c:extLst>
        </c:ser>
        <c:dLbls>
          <c:showLegendKey val="0"/>
          <c:showVal val="0"/>
          <c:showCatName val="0"/>
          <c:showSerName val="0"/>
          <c:showPercent val="0"/>
          <c:showBubbleSize val="0"/>
        </c:dLbls>
        <c:gapWidth val="50"/>
        <c:axId val="98919936"/>
        <c:axId val="98921472"/>
      </c:barChart>
      <c:catAx>
        <c:axId val="98919936"/>
        <c:scaling>
          <c:orientation val="minMax"/>
        </c:scaling>
        <c:delete val="0"/>
        <c:axPos val="b"/>
        <c:numFmt formatCode="General" sourceLinked="0"/>
        <c:majorTickMark val="out"/>
        <c:minorTickMark val="none"/>
        <c:tickLblPos val="nextTo"/>
        <c:crossAx val="98921472"/>
        <c:crosses val="autoZero"/>
        <c:auto val="1"/>
        <c:lblAlgn val="ctr"/>
        <c:lblOffset val="100"/>
        <c:noMultiLvlLbl val="0"/>
      </c:catAx>
      <c:valAx>
        <c:axId val="98921472"/>
        <c:scaling>
          <c:orientation val="minMax"/>
        </c:scaling>
        <c:delete val="0"/>
        <c:axPos val="l"/>
        <c:title>
          <c:tx>
            <c:rich>
              <a:bodyPr/>
              <a:lstStyle/>
              <a:p>
                <a:pPr>
                  <a:defRPr/>
                </a:pPr>
                <a:r>
                  <a:rPr lang="en-US"/>
                  <a:t>Percent</a:t>
                </a:r>
              </a:p>
            </c:rich>
          </c:tx>
          <c:layout>
            <c:manualLayout>
              <c:xMode val="edge"/>
              <c:yMode val="edge"/>
              <c:x val="4.5036243093187496E-2"/>
              <c:y val="0.32924224723650308"/>
            </c:manualLayout>
          </c:layout>
          <c:overlay val="0"/>
          <c:spPr>
            <a:solidFill>
              <a:sysClr val="window" lastClr="FFFFFF"/>
            </a:solidFill>
          </c:spPr>
        </c:title>
        <c:numFmt formatCode="#,##0" sourceLinked="0"/>
        <c:majorTickMark val="out"/>
        <c:minorTickMark val="none"/>
        <c:tickLblPos val="nextTo"/>
        <c:crossAx val="98919936"/>
        <c:crosses val="autoZero"/>
        <c:crossBetween val="between"/>
      </c:valAx>
    </c:plotArea>
    <c:legend>
      <c:legendPos val="b"/>
      <c:layout>
        <c:manualLayout>
          <c:xMode val="edge"/>
          <c:yMode val="edge"/>
          <c:x val="1.4914212893806351E-3"/>
          <c:y val="0.87663142267902117"/>
          <c:w val="0.94985711995003841"/>
          <c:h val="9.1231458949259617E-2"/>
        </c:manualLayout>
      </c:layout>
      <c:overlay val="0"/>
    </c:legend>
    <c:plotVisOnly val="1"/>
    <c:dispBlanksAs val="gap"/>
    <c:showDLblsOverMax val="0"/>
  </c:chart>
  <c:spPr>
    <a:ln w="9525"/>
  </c:spPr>
  <c:txPr>
    <a:bodyPr/>
    <a:lstStyle/>
    <a:p>
      <a:pPr>
        <a:defRPr sz="750" b="0">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518948759416507"/>
          <c:y val="6.4291454594160191E-2"/>
          <c:w val="0.7998942200416046"/>
          <c:h val="0.72952787545007181"/>
        </c:manualLayout>
      </c:layout>
      <c:barChart>
        <c:barDir val="col"/>
        <c:grouping val="clustered"/>
        <c:varyColors val="0"/>
        <c:ser>
          <c:idx val="0"/>
          <c:order val="0"/>
          <c:tx>
            <c:strRef>
              <c:f>Histogram!$A$2</c:f>
              <c:strCache>
                <c:ptCount val="1"/>
                <c:pt idx="0">
                  <c:v>Cassava</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Histogram!$B$1:$C$1</c:f>
              <c:strCache>
                <c:ptCount val="2"/>
                <c:pt idx="0">
                  <c:v>Short Rainy</c:v>
                </c:pt>
                <c:pt idx="1">
                  <c:v>Long  Rainy</c:v>
                </c:pt>
              </c:strCache>
            </c:strRef>
          </c:cat>
          <c:val>
            <c:numRef>
              <c:f>Histogram!$B$2:$C$2</c:f>
              <c:numCache>
                <c:formatCode>0.0</c:formatCode>
                <c:ptCount val="2"/>
                <c:pt idx="0">
                  <c:v>67.35015772870662</c:v>
                </c:pt>
                <c:pt idx="1">
                  <c:v>50.623885918003566</c:v>
                </c:pt>
              </c:numCache>
            </c:numRef>
          </c:val>
          <c:extLst>
            <c:ext xmlns:c16="http://schemas.microsoft.com/office/drawing/2014/chart" uri="{C3380CC4-5D6E-409C-BE32-E72D297353CC}">
              <c16:uniqueId val="{00000000-664F-5647-8EE4-4F3D5A1D042C}"/>
            </c:ext>
          </c:extLst>
        </c:ser>
        <c:ser>
          <c:idx val="1"/>
          <c:order val="1"/>
          <c:tx>
            <c:strRef>
              <c:f>Histogram!$A$3</c:f>
              <c:strCache>
                <c:ptCount val="1"/>
                <c:pt idx="0">
                  <c:v>Sweet potatoes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Histogram!$B$1:$C$1</c:f>
              <c:strCache>
                <c:ptCount val="2"/>
                <c:pt idx="0">
                  <c:v>Short Rainy</c:v>
                </c:pt>
                <c:pt idx="1">
                  <c:v>Long  Rainy</c:v>
                </c:pt>
              </c:strCache>
            </c:strRef>
          </c:cat>
          <c:val>
            <c:numRef>
              <c:f>Histogram!$B$3:$C$3</c:f>
              <c:numCache>
                <c:formatCode>0.0</c:formatCode>
                <c:ptCount val="2"/>
                <c:pt idx="0">
                  <c:v>19.242902208201894</c:v>
                </c:pt>
                <c:pt idx="1">
                  <c:v>36.007130124777177</c:v>
                </c:pt>
              </c:numCache>
            </c:numRef>
          </c:val>
          <c:extLst>
            <c:ext xmlns:c16="http://schemas.microsoft.com/office/drawing/2014/chart" uri="{C3380CC4-5D6E-409C-BE32-E72D297353CC}">
              <c16:uniqueId val="{00000001-664F-5647-8EE4-4F3D5A1D042C}"/>
            </c:ext>
          </c:extLst>
        </c:ser>
        <c:ser>
          <c:idx val="2"/>
          <c:order val="2"/>
          <c:tx>
            <c:strRef>
              <c:f>Histogram!$A$4</c:f>
              <c:strCache>
                <c:ptCount val="1"/>
                <c:pt idx="0">
                  <c:v>Yams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Histogram!$B$1:$C$1</c:f>
              <c:strCache>
                <c:ptCount val="2"/>
                <c:pt idx="0">
                  <c:v>Short Rainy</c:v>
                </c:pt>
                <c:pt idx="1">
                  <c:v>Long  Rainy</c:v>
                </c:pt>
              </c:strCache>
            </c:strRef>
          </c:cat>
          <c:val>
            <c:numRef>
              <c:f>Histogram!$B$4:$C$4</c:f>
              <c:numCache>
                <c:formatCode>0.0</c:formatCode>
                <c:ptCount val="2"/>
                <c:pt idx="0">
                  <c:v>7.728706624605679</c:v>
                </c:pt>
                <c:pt idx="1">
                  <c:v>2.8520499108734398</c:v>
                </c:pt>
              </c:numCache>
            </c:numRef>
          </c:val>
          <c:extLst>
            <c:ext xmlns:c16="http://schemas.microsoft.com/office/drawing/2014/chart" uri="{C3380CC4-5D6E-409C-BE32-E72D297353CC}">
              <c16:uniqueId val="{00000002-664F-5647-8EE4-4F3D5A1D042C}"/>
            </c:ext>
          </c:extLst>
        </c:ser>
        <c:ser>
          <c:idx val="3"/>
          <c:order val="3"/>
          <c:tx>
            <c:strRef>
              <c:f>Histogram!$A$5</c:f>
              <c:strCache>
                <c:ptCount val="1"/>
                <c:pt idx="0">
                  <c:v>Cocoyams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Histogram!$B$1:$C$1</c:f>
              <c:strCache>
                <c:ptCount val="2"/>
                <c:pt idx="0">
                  <c:v>Short Rainy</c:v>
                </c:pt>
                <c:pt idx="1">
                  <c:v>Long  Rainy</c:v>
                </c:pt>
              </c:strCache>
            </c:strRef>
          </c:cat>
          <c:val>
            <c:numRef>
              <c:f>Histogram!$B$5:$C$5</c:f>
              <c:numCache>
                <c:formatCode>0.0</c:formatCode>
                <c:ptCount val="2"/>
                <c:pt idx="0">
                  <c:v>5.6782334384858046</c:v>
                </c:pt>
                <c:pt idx="1">
                  <c:v>10.51693404634581</c:v>
                </c:pt>
              </c:numCache>
            </c:numRef>
          </c:val>
          <c:extLst>
            <c:ext xmlns:c16="http://schemas.microsoft.com/office/drawing/2014/chart" uri="{C3380CC4-5D6E-409C-BE32-E72D297353CC}">
              <c16:uniqueId val="{00000003-664F-5647-8EE4-4F3D5A1D042C}"/>
            </c:ext>
          </c:extLst>
        </c:ser>
        <c:dLbls>
          <c:showLegendKey val="0"/>
          <c:showVal val="0"/>
          <c:showCatName val="0"/>
          <c:showSerName val="0"/>
          <c:showPercent val="0"/>
          <c:showBubbleSize val="0"/>
        </c:dLbls>
        <c:gapWidth val="75"/>
        <c:overlap val="-25"/>
        <c:axId val="98587392"/>
        <c:axId val="98588928"/>
      </c:barChart>
      <c:catAx>
        <c:axId val="98587392"/>
        <c:scaling>
          <c:orientation val="minMax"/>
        </c:scaling>
        <c:delete val="0"/>
        <c:axPos val="b"/>
        <c:numFmt formatCode="General" sourceLinked="0"/>
        <c:majorTickMark val="none"/>
        <c:minorTickMark val="none"/>
        <c:tickLblPos val="nextTo"/>
        <c:crossAx val="98588928"/>
        <c:crosses val="autoZero"/>
        <c:auto val="1"/>
        <c:lblAlgn val="ctr"/>
        <c:lblOffset val="100"/>
        <c:noMultiLvlLbl val="0"/>
      </c:catAx>
      <c:valAx>
        <c:axId val="98588928"/>
        <c:scaling>
          <c:orientation val="minMax"/>
        </c:scaling>
        <c:delete val="0"/>
        <c:axPos val="l"/>
        <c:title>
          <c:tx>
            <c:rich>
              <a:bodyPr rot="-5400000" vert="horz"/>
              <a:lstStyle/>
              <a:p>
                <a:pPr>
                  <a:defRPr/>
                </a:pPr>
                <a:r>
                  <a:rPr lang="en-US"/>
                  <a:t>Percent</a:t>
                </a:r>
              </a:p>
            </c:rich>
          </c:tx>
          <c:layout>
            <c:manualLayout>
              <c:xMode val="edge"/>
              <c:yMode val="edge"/>
              <c:x val="1.2658227848101266E-2"/>
              <c:y val="0.3035286089238845"/>
            </c:manualLayout>
          </c:layout>
          <c:overlay val="0"/>
        </c:title>
        <c:numFmt formatCode="0" sourceLinked="0"/>
        <c:majorTickMark val="out"/>
        <c:minorTickMark val="none"/>
        <c:tickLblPos val="nextTo"/>
        <c:spPr>
          <a:ln w="6350">
            <a:solidFill>
              <a:schemeClr val="tx1">
                <a:lumMod val="50000"/>
                <a:lumOff val="50000"/>
              </a:schemeClr>
            </a:solidFill>
          </a:ln>
        </c:spPr>
        <c:crossAx val="98587392"/>
        <c:crosses val="autoZero"/>
        <c:crossBetween val="between"/>
      </c:valAx>
    </c:plotArea>
    <c:legend>
      <c:legendPos val="b"/>
      <c:overlay val="0"/>
    </c:legend>
    <c:plotVisOnly val="1"/>
    <c:dispBlanksAs val="gap"/>
    <c:showDLblsOverMax val="0"/>
  </c:chart>
  <c:spPr>
    <a:ln w="9525"/>
  </c:spPr>
  <c:txPr>
    <a:bodyPr/>
    <a:lstStyle/>
    <a:p>
      <a:pPr>
        <a:defRPr sz="750">
          <a:latin typeface="Times New Roman" pitchFamily="18" charset="0"/>
          <a:cs typeface="Times New Roman" pitchFamily="18" charset="0"/>
        </a:defRPr>
      </a:pPr>
      <a:endParaRPr lang="en-US"/>
    </a:p>
  </c:txPr>
  <c:externalData r:id="rId1">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3096248718295961"/>
          <c:y val="7.0169147394099796E-2"/>
          <c:w val="0.7149834587629863"/>
          <c:h val="0.61260647530879742"/>
        </c:manualLayout>
      </c:layout>
      <c:barChart>
        <c:barDir val="col"/>
        <c:grouping val="clustered"/>
        <c:varyColors val="0"/>
        <c:ser>
          <c:idx val="0"/>
          <c:order val="0"/>
          <c:tx>
            <c:strRef>
              <c:f>Pulses!$E$6</c:f>
              <c:strCache>
                <c:ptCount val="1"/>
                <c:pt idx="0">
                  <c:v>Cowpeas</c:v>
                </c:pt>
              </c:strCache>
            </c:strRef>
          </c:tx>
          <c:invertIfNegative val="0"/>
          <c:cat>
            <c:strRef>
              <c:f>Pulses!$F$4:$G$4</c:f>
              <c:strCache>
                <c:ptCount val="2"/>
                <c:pt idx="0">
                  <c:v>Short Rain </c:v>
                </c:pt>
                <c:pt idx="1">
                  <c:v>Long Rain</c:v>
                </c:pt>
              </c:strCache>
            </c:strRef>
          </c:cat>
          <c:val>
            <c:numRef>
              <c:f>Pulses!$F$6:$G$6</c:f>
              <c:numCache>
                <c:formatCode>0.0</c:formatCode>
                <c:ptCount val="2"/>
                <c:pt idx="0">
                  <c:v>62.4</c:v>
                </c:pt>
                <c:pt idx="1">
                  <c:v>100</c:v>
                </c:pt>
              </c:numCache>
            </c:numRef>
          </c:val>
          <c:extLst>
            <c:ext xmlns:c16="http://schemas.microsoft.com/office/drawing/2014/chart" uri="{C3380CC4-5D6E-409C-BE32-E72D297353CC}">
              <c16:uniqueId val="{00000000-1489-D745-B457-4CE7D04CB9AE}"/>
            </c:ext>
          </c:extLst>
        </c:ser>
        <c:ser>
          <c:idx val="1"/>
          <c:order val="1"/>
          <c:tx>
            <c:strRef>
              <c:f>Pulses!$E$7</c:f>
              <c:strCache>
                <c:ptCount val="1"/>
                <c:pt idx="0">
                  <c:v>Pigeon pea</c:v>
                </c:pt>
              </c:strCache>
            </c:strRef>
          </c:tx>
          <c:invertIfNegative val="0"/>
          <c:cat>
            <c:strRef>
              <c:f>Pulses!$F$4:$G$4</c:f>
              <c:strCache>
                <c:ptCount val="2"/>
                <c:pt idx="0">
                  <c:v>Short Rain </c:v>
                </c:pt>
                <c:pt idx="1">
                  <c:v>Long Rain</c:v>
                </c:pt>
              </c:strCache>
            </c:strRef>
          </c:cat>
          <c:val>
            <c:numRef>
              <c:f>Pulses!$F$7:$G$7</c:f>
              <c:numCache>
                <c:formatCode>0.0</c:formatCode>
                <c:ptCount val="2"/>
                <c:pt idx="0">
                  <c:v>1.8</c:v>
                </c:pt>
                <c:pt idx="1">
                  <c:v>0</c:v>
                </c:pt>
              </c:numCache>
            </c:numRef>
          </c:val>
          <c:extLst>
            <c:ext xmlns:c16="http://schemas.microsoft.com/office/drawing/2014/chart" uri="{C3380CC4-5D6E-409C-BE32-E72D297353CC}">
              <c16:uniqueId val="{00000001-1489-D745-B457-4CE7D04CB9AE}"/>
            </c:ext>
          </c:extLst>
        </c:ser>
        <c:ser>
          <c:idx val="2"/>
          <c:order val="2"/>
          <c:tx>
            <c:strRef>
              <c:f>Pulses!$E$8</c:f>
              <c:strCache>
                <c:ptCount val="1"/>
                <c:pt idx="0">
                  <c:v>Bambaranuts</c:v>
                </c:pt>
              </c:strCache>
            </c:strRef>
          </c:tx>
          <c:invertIfNegative val="0"/>
          <c:cat>
            <c:strRef>
              <c:f>Pulses!$F$4:$G$4</c:f>
              <c:strCache>
                <c:ptCount val="2"/>
                <c:pt idx="0">
                  <c:v>Short Rain </c:v>
                </c:pt>
                <c:pt idx="1">
                  <c:v>Long Rain</c:v>
                </c:pt>
              </c:strCache>
            </c:strRef>
          </c:cat>
          <c:val>
            <c:numRef>
              <c:f>Pulses!$F$8:$G$8</c:f>
              <c:numCache>
                <c:formatCode>0.0</c:formatCode>
                <c:ptCount val="2"/>
                <c:pt idx="0" formatCode="0">
                  <c:v>35.799999999999997</c:v>
                </c:pt>
                <c:pt idx="1">
                  <c:v>0</c:v>
                </c:pt>
              </c:numCache>
            </c:numRef>
          </c:val>
          <c:extLst>
            <c:ext xmlns:c16="http://schemas.microsoft.com/office/drawing/2014/chart" uri="{C3380CC4-5D6E-409C-BE32-E72D297353CC}">
              <c16:uniqueId val="{00000002-1489-D745-B457-4CE7D04CB9AE}"/>
            </c:ext>
          </c:extLst>
        </c:ser>
        <c:ser>
          <c:idx val="3"/>
          <c:order val="3"/>
          <c:tx>
            <c:strRef>
              <c:f>Pulses!$E$9</c:f>
              <c:strCache>
                <c:ptCount val="1"/>
              </c:strCache>
            </c:strRef>
          </c:tx>
          <c:invertIfNegative val="0"/>
          <c:cat>
            <c:strRef>
              <c:f>Pulses!$F$4:$G$4</c:f>
              <c:strCache>
                <c:ptCount val="2"/>
                <c:pt idx="0">
                  <c:v>Short Rain </c:v>
                </c:pt>
                <c:pt idx="1">
                  <c:v>Long Rain</c:v>
                </c:pt>
              </c:strCache>
            </c:strRef>
          </c:cat>
          <c:val>
            <c:numRef>
              <c:f>Pulses!$F$9:$G$9</c:f>
              <c:numCache>
                <c:formatCode>General</c:formatCode>
                <c:ptCount val="2"/>
              </c:numCache>
            </c:numRef>
          </c:val>
          <c:extLst>
            <c:ext xmlns:c16="http://schemas.microsoft.com/office/drawing/2014/chart" uri="{C3380CC4-5D6E-409C-BE32-E72D297353CC}">
              <c16:uniqueId val="{00000003-1489-D745-B457-4CE7D04CB9AE}"/>
            </c:ext>
          </c:extLst>
        </c:ser>
        <c:dLbls>
          <c:showLegendKey val="0"/>
          <c:showVal val="0"/>
          <c:showCatName val="0"/>
          <c:showSerName val="0"/>
          <c:showPercent val="0"/>
          <c:showBubbleSize val="0"/>
        </c:dLbls>
        <c:gapWidth val="50"/>
        <c:axId val="99884032"/>
        <c:axId val="99885824"/>
      </c:barChart>
      <c:catAx>
        <c:axId val="99884032"/>
        <c:scaling>
          <c:orientation val="minMax"/>
        </c:scaling>
        <c:delete val="0"/>
        <c:axPos val="b"/>
        <c:numFmt formatCode="General" sourceLinked="0"/>
        <c:majorTickMark val="out"/>
        <c:minorTickMark val="none"/>
        <c:tickLblPos val="nextTo"/>
        <c:crossAx val="99885824"/>
        <c:crosses val="autoZero"/>
        <c:auto val="1"/>
        <c:lblAlgn val="ctr"/>
        <c:lblOffset val="100"/>
        <c:noMultiLvlLbl val="0"/>
      </c:catAx>
      <c:valAx>
        <c:axId val="99885824"/>
        <c:scaling>
          <c:orientation val="minMax"/>
          <c:max val="100"/>
        </c:scaling>
        <c:delete val="0"/>
        <c:axPos val="l"/>
        <c:title>
          <c:tx>
            <c:rich>
              <a:bodyPr/>
              <a:lstStyle/>
              <a:p>
                <a:pPr>
                  <a:defRPr b="0"/>
                </a:pPr>
                <a:r>
                  <a:rPr lang="en-US" b="0"/>
                  <a:t>Percent</a:t>
                </a:r>
              </a:p>
            </c:rich>
          </c:tx>
          <c:layout>
            <c:manualLayout>
              <c:xMode val="edge"/>
              <c:yMode val="edge"/>
              <c:x val="3.5521134382168085E-2"/>
              <c:y val="0.19476616215480269"/>
            </c:manualLayout>
          </c:layout>
          <c:overlay val="0"/>
        </c:title>
        <c:numFmt formatCode="0" sourceLinked="0"/>
        <c:majorTickMark val="out"/>
        <c:minorTickMark val="none"/>
        <c:tickLblPos val="nextTo"/>
        <c:crossAx val="99884032"/>
        <c:crosses val="autoZero"/>
        <c:crossBetween val="between"/>
        <c:majorUnit val="20"/>
        <c:minorUnit val="20"/>
      </c:valAx>
    </c:plotArea>
    <c:legend>
      <c:legendPos val="b"/>
      <c:legendEntry>
        <c:idx val="3"/>
        <c:delete val="1"/>
      </c:legendEntry>
      <c:layout>
        <c:manualLayout>
          <c:xMode val="edge"/>
          <c:yMode val="edge"/>
          <c:x val="2.188662727073758E-2"/>
          <c:y val="0.83484843148600019"/>
          <c:w val="0.97441436038485996"/>
          <c:h val="0.12572060628406057"/>
        </c:manualLayout>
      </c:layout>
      <c:overlay val="0"/>
    </c:legend>
    <c:plotVisOnly val="1"/>
    <c:dispBlanksAs val="gap"/>
    <c:showDLblsOverMax val="0"/>
  </c:chart>
  <c:spPr>
    <a:ln w="9525"/>
  </c:spPr>
  <c:txPr>
    <a:bodyPr/>
    <a:lstStyle/>
    <a:p>
      <a:pPr>
        <a:defRPr sz="800">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769501628233387"/>
          <c:y val="5.0925925925925923E-2"/>
          <c:w val="0.68044992508329072"/>
          <c:h val="0.61402869092914392"/>
        </c:manualLayout>
      </c:layout>
      <c:barChart>
        <c:barDir val="col"/>
        <c:grouping val="clustered"/>
        <c:varyColors val="0"/>
        <c:ser>
          <c:idx val="0"/>
          <c:order val="0"/>
          <c:tx>
            <c:strRef>
              <c:f>Pulses!$A$6</c:f>
              <c:strCache>
                <c:ptCount val="1"/>
                <c:pt idx="0">
                  <c:v>Beans</c:v>
                </c:pt>
              </c:strCache>
            </c:strRef>
          </c:tx>
          <c:invertIfNegative val="0"/>
          <c:cat>
            <c:strRef>
              <c:f>Pulses!$B$4:$C$4</c:f>
              <c:strCache>
                <c:ptCount val="2"/>
                <c:pt idx="0">
                  <c:v>Short Rain</c:v>
                </c:pt>
                <c:pt idx="1">
                  <c:v>Long Rain</c:v>
                </c:pt>
              </c:strCache>
            </c:strRef>
          </c:cat>
          <c:val>
            <c:numRef>
              <c:f>Pulses!$B$6:$C$6</c:f>
              <c:numCache>
                <c:formatCode>_(* #,##0.0_);_(* \(#,##0.0\);_(* "-"_);_(@_)</c:formatCode>
                <c:ptCount val="2"/>
                <c:pt idx="0">
                  <c:v>97.3</c:v>
                </c:pt>
                <c:pt idx="1">
                  <c:v>88.3</c:v>
                </c:pt>
              </c:numCache>
            </c:numRef>
          </c:val>
          <c:extLst>
            <c:ext xmlns:c16="http://schemas.microsoft.com/office/drawing/2014/chart" uri="{C3380CC4-5D6E-409C-BE32-E72D297353CC}">
              <c16:uniqueId val="{00000000-E17B-2147-942C-1AB9204FB546}"/>
            </c:ext>
          </c:extLst>
        </c:ser>
        <c:ser>
          <c:idx val="1"/>
          <c:order val="1"/>
          <c:tx>
            <c:strRef>
              <c:f>Pulses!$A$7</c:f>
              <c:strCache>
                <c:ptCount val="1"/>
                <c:pt idx="0">
                  <c:v>Cowpeas</c:v>
                </c:pt>
              </c:strCache>
            </c:strRef>
          </c:tx>
          <c:invertIfNegative val="0"/>
          <c:cat>
            <c:strRef>
              <c:f>Pulses!$B$4:$C$4</c:f>
              <c:strCache>
                <c:ptCount val="2"/>
                <c:pt idx="0">
                  <c:v>Short Rain</c:v>
                </c:pt>
                <c:pt idx="1">
                  <c:v>Long Rain</c:v>
                </c:pt>
              </c:strCache>
            </c:strRef>
          </c:cat>
          <c:val>
            <c:numRef>
              <c:f>Pulses!$B$7:$C$7</c:f>
              <c:numCache>
                <c:formatCode>_(* #,##0.0_);_(* \(#,##0.0\);_(* "-"_);_(@_)</c:formatCode>
                <c:ptCount val="2"/>
                <c:pt idx="0">
                  <c:v>2</c:v>
                </c:pt>
                <c:pt idx="1">
                  <c:v>2.2000000000000002</c:v>
                </c:pt>
              </c:numCache>
            </c:numRef>
          </c:val>
          <c:extLst>
            <c:ext xmlns:c16="http://schemas.microsoft.com/office/drawing/2014/chart" uri="{C3380CC4-5D6E-409C-BE32-E72D297353CC}">
              <c16:uniqueId val="{00000001-E17B-2147-942C-1AB9204FB546}"/>
            </c:ext>
          </c:extLst>
        </c:ser>
        <c:ser>
          <c:idx val="2"/>
          <c:order val="2"/>
          <c:tx>
            <c:strRef>
              <c:f>Pulses!$A$8</c:f>
              <c:strCache>
                <c:ptCount val="1"/>
                <c:pt idx="0">
                  <c:v>Green gram</c:v>
                </c:pt>
              </c:strCache>
            </c:strRef>
          </c:tx>
          <c:invertIfNegative val="0"/>
          <c:cat>
            <c:strRef>
              <c:f>Pulses!$B$4:$C$4</c:f>
              <c:strCache>
                <c:ptCount val="2"/>
                <c:pt idx="0">
                  <c:v>Short Rain</c:v>
                </c:pt>
                <c:pt idx="1">
                  <c:v>Long Rain</c:v>
                </c:pt>
              </c:strCache>
            </c:strRef>
          </c:cat>
          <c:val>
            <c:numRef>
              <c:f>Pulses!$B$8:$C$8</c:f>
              <c:numCache>
                <c:formatCode>_(* #,##0.0_);_(* \(#,##0.0\);_(* "-"_);_(@_)</c:formatCode>
                <c:ptCount val="2"/>
                <c:pt idx="0">
                  <c:v>0.3</c:v>
                </c:pt>
                <c:pt idx="1">
                  <c:v>0</c:v>
                </c:pt>
              </c:numCache>
            </c:numRef>
          </c:val>
          <c:extLst>
            <c:ext xmlns:c16="http://schemas.microsoft.com/office/drawing/2014/chart" uri="{C3380CC4-5D6E-409C-BE32-E72D297353CC}">
              <c16:uniqueId val="{00000002-E17B-2147-942C-1AB9204FB546}"/>
            </c:ext>
          </c:extLst>
        </c:ser>
        <c:ser>
          <c:idx val="3"/>
          <c:order val="3"/>
          <c:tx>
            <c:strRef>
              <c:f>Pulses!$A$9</c:f>
              <c:strCache>
                <c:ptCount val="1"/>
                <c:pt idx="0">
                  <c:v>Chick peas</c:v>
                </c:pt>
              </c:strCache>
            </c:strRef>
          </c:tx>
          <c:invertIfNegative val="0"/>
          <c:cat>
            <c:strRef>
              <c:f>Pulses!$B$4:$C$4</c:f>
              <c:strCache>
                <c:ptCount val="2"/>
                <c:pt idx="0">
                  <c:v>Short Rain</c:v>
                </c:pt>
                <c:pt idx="1">
                  <c:v>Long Rain</c:v>
                </c:pt>
              </c:strCache>
            </c:strRef>
          </c:cat>
          <c:val>
            <c:numRef>
              <c:f>Pulses!$B$9:$C$9</c:f>
              <c:numCache>
                <c:formatCode>_(* #,##0.0_);_(* \(#,##0.0\);_(* "-"_);_(@_)</c:formatCode>
                <c:ptCount val="2"/>
                <c:pt idx="0">
                  <c:v>0</c:v>
                </c:pt>
                <c:pt idx="1">
                  <c:v>3</c:v>
                </c:pt>
              </c:numCache>
            </c:numRef>
          </c:val>
          <c:extLst>
            <c:ext xmlns:c16="http://schemas.microsoft.com/office/drawing/2014/chart" uri="{C3380CC4-5D6E-409C-BE32-E72D297353CC}">
              <c16:uniqueId val="{00000003-E17B-2147-942C-1AB9204FB546}"/>
            </c:ext>
          </c:extLst>
        </c:ser>
        <c:ser>
          <c:idx val="4"/>
          <c:order val="4"/>
          <c:tx>
            <c:strRef>
              <c:f>Pulses!$A$10</c:f>
              <c:strCache>
                <c:ptCount val="1"/>
                <c:pt idx="0">
                  <c:v>Bambaranuts</c:v>
                </c:pt>
              </c:strCache>
            </c:strRef>
          </c:tx>
          <c:invertIfNegative val="0"/>
          <c:cat>
            <c:strRef>
              <c:f>Pulses!$B$4:$C$4</c:f>
              <c:strCache>
                <c:ptCount val="2"/>
                <c:pt idx="0">
                  <c:v>Short Rain</c:v>
                </c:pt>
                <c:pt idx="1">
                  <c:v>Long Rain</c:v>
                </c:pt>
              </c:strCache>
            </c:strRef>
          </c:cat>
          <c:val>
            <c:numRef>
              <c:f>Pulses!$B$10:$C$10</c:f>
              <c:numCache>
                <c:formatCode>_(* #,##0.0_);_(* \(#,##0.0\);_(* "-"_);_(@_)</c:formatCode>
                <c:ptCount val="2"/>
                <c:pt idx="0">
                  <c:v>0</c:v>
                </c:pt>
                <c:pt idx="1">
                  <c:v>0.9</c:v>
                </c:pt>
              </c:numCache>
            </c:numRef>
          </c:val>
          <c:extLst>
            <c:ext xmlns:c16="http://schemas.microsoft.com/office/drawing/2014/chart" uri="{C3380CC4-5D6E-409C-BE32-E72D297353CC}">
              <c16:uniqueId val="{00000004-E17B-2147-942C-1AB9204FB546}"/>
            </c:ext>
          </c:extLst>
        </c:ser>
        <c:ser>
          <c:idx val="5"/>
          <c:order val="5"/>
          <c:tx>
            <c:strRef>
              <c:f>Pulses!$A$11</c:f>
              <c:strCache>
                <c:ptCount val="1"/>
                <c:pt idx="0">
                  <c:v>Field peas</c:v>
                </c:pt>
              </c:strCache>
            </c:strRef>
          </c:tx>
          <c:invertIfNegative val="0"/>
          <c:cat>
            <c:strRef>
              <c:f>Pulses!$B$4:$C$4</c:f>
              <c:strCache>
                <c:ptCount val="2"/>
                <c:pt idx="0">
                  <c:v>Short Rain</c:v>
                </c:pt>
                <c:pt idx="1">
                  <c:v>Long Rain</c:v>
                </c:pt>
              </c:strCache>
            </c:strRef>
          </c:cat>
          <c:val>
            <c:numRef>
              <c:f>Pulses!$B$11:$C$11</c:f>
              <c:numCache>
                <c:formatCode>_(* #,##0.0_);_(* \(#,##0.0\);_(* "-"_);_(@_)</c:formatCode>
                <c:ptCount val="2"/>
                <c:pt idx="0">
                  <c:v>0.4</c:v>
                </c:pt>
                <c:pt idx="1">
                  <c:v>4.4000000000000004</c:v>
                </c:pt>
              </c:numCache>
            </c:numRef>
          </c:val>
          <c:extLst>
            <c:ext xmlns:c16="http://schemas.microsoft.com/office/drawing/2014/chart" uri="{C3380CC4-5D6E-409C-BE32-E72D297353CC}">
              <c16:uniqueId val="{00000005-E17B-2147-942C-1AB9204FB546}"/>
            </c:ext>
          </c:extLst>
        </c:ser>
        <c:ser>
          <c:idx val="6"/>
          <c:order val="6"/>
          <c:tx>
            <c:strRef>
              <c:f>Pulses!$A$12</c:f>
              <c:strCache>
                <c:ptCount val="1"/>
                <c:pt idx="0">
                  <c:v>Fiwi</c:v>
                </c:pt>
              </c:strCache>
            </c:strRef>
          </c:tx>
          <c:invertIfNegative val="0"/>
          <c:cat>
            <c:strRef>
              <c:f>Pulses!$B$4:$C$4</c:f>
              <c:strCache>
                <c:ptCount val="2"/>
                <c:pt idx="0">
                  <c:v>Short Rain</c:v>
                </c:pt>
                <c:pt idx="1">
                  <c:v>Long Rain</c:v>
                </c:pt>
              </c:strCache>
            </c:strRef>
          </c:cat>
          <c:val>
            <c:numRef>
              <c:f>Pulses!$B$12:$C$12</c:f>
              <c:numCache>
                <c:formatCode>_(* #,##0.0_);_(* \(#,##0.0\);_(* "-"_);_(@_)</c:formatCode>
                <c:ptCount val="2"/>
                <c:pt idx="0">
                  <c:v>0</c:v>
                </c:pt>
                <c:pt idx="1">
                  <c:v>0.8</c:v>
                </c:pt>
              </c:numCache>
            </c:numRef>
          </c:val>
          <c:extLst>
            <c:ext xmlns:c16="http://schemas.microsoft.com/office/drawing/2014/chart" uri="{C3380CC4-5D6E-409C-BE32-E72D297353CC}">
              <c16:uniqueId val="{00000006-E17B-2147-942C-1AB9204FB546}"/>
            </c:ext>
          </c:extLst>
        </c:ser>
        <c:dLbls>
          <c:showLegendKey val="0"/>
          <c:showVal val="0"/>
          <c:showCatName val="0"/>
          <c:showSerName val="0"/>
          <c:showPercent val="0"/>
          <c:showBubbleSize val="0"/>
        </c:dLbls>
        <c:gapWidth val="50"/>
        <c:axId val="99743232"/>
        <c:axId val="99744768"/>
      </c:barChart>
      <c:catAx>
        <c:axId val="99743232"/>
        <c:scaling>
          <c:orientation val="minMax"/>
        </c:scaling>
        <c:delete val="0"/>
        <c:axPos val="b"/>
        <c:numFmt formatCode="General" sourceLinked="0"/>
        <c:majorTickMark val="out"/>
        <c:minorTickMark val="none"/>
        <c:tickLblPos val="nextTo"/>
        <c:crossAx val="99744768"/>
        <c:crosses val="autoZero"/>
        <c:auto val="1"/>
        <c:lblAlgn val="ctr"/>
        <c:lblOffset val="100"/>
        <c:noMultiLvlLbl val="0"/>
      </c:catAx>
      <c:valAx>
        <c:axId val="99744768"/>
        <c:scaling>
          <c:orientation val="minMax"/>
          <c:max val="100"/>
        </c:scaling>
        <c:delete val="0"/>
        <c:axPos val="l"/>
        <c:title>
          <c:tx>
            <c:rich>
              <a:bodyPr/>
              <a:lstStyle/>
              <a:p>
                <a:pPr>
                  <a:defRPr b="0"/>
                </a:pPr>
                <a:r>
                  <a:rPr lang="en-US" b="0"/>
                  <a:t>Percent</a:t>
                </a:r>
              </a:p>
            </c:rich>
          </c:tx>
          <c:layout>
            <c:manualLayout>
              <c:xMode val="edge"/>
              <c:yMode val="edge"/>
              <c:x val="2.6667407391673052E-2"/>
              <c:y val="0.17701861474808447"/>
            </c:manualLayout>
          </c:layout>
          <c:overlay val="0"/>
        </c:title>
        <c:numFmt formatCode="#,##0" sourceLinked="0"/>
        <c:majorTickMark val="out"/>
        <c:minorTickMark val="none"/>
        <c:tickLblPos val="nextTo"/>
        <c:crossAx val="99743232"/>
        <c:crosses val="autoZero"/>
        <c:crossBetween val="between"/>
        <c:majorUnit val="20"/>
      </c:valAx>
    </c:plotArea>
    <c:legend>
      <c:legendPos val="b"/>
      <c:layout>
        <c:manualLayout>
          <c:xMode val="edge"/>
          <c:yMode val="edge"/>
          <c:x val="6.5550568370279713E-2"/>
          <c:y val="0.82020199985395181"/>
          <c:w val="0.90210044557877034"/>
          <c:h val="0.17503229429228287"/>
        </c:manualLayout>
      </c:layout>
      <c:overlay val="0"/>
    </c:legend>
    <c:plotVisOnly val="1"/>
    <c:dispBlanksAs val="gap"/>
    <c:showDLblsOverMax val="0"/>
  </c:chart>
  <c:spPr>
    <a:ln w="9525"/>
  </c:spPr>
  <c:txPr>
    <a:bodyPr/>
    <a:lstStyle/>
    <a:p>
      <a:pPr>
        <a:defRPr sz="800">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753695377520628E-2"/>
          <c:y val="4.9294196728657855E-2"/>
          <c:w val="0.87954207336986101"/>
          <c:h val="0.49466849917343125"/>
        </c:manualLayout>
      </c:layout>
      <c:barChart>
        <c:barDir val="col"/>
        <c:grouping val="clustered"/>
        <c:varyColors val="0"/>
        <c:ser>
          <c:idx val="0"/>
          <c:order val="0"/>
          <c:tx>
            <c:strRef>
              <c:f>'Fig_Seeds Use by Region '!$B$46</c:f>
              <c:strCache>
                <c:ptCount val="1"/>
                <c:pt idx="0">
                  <c:v> Short Rainy  </c:v>
                </c:pt>
              </c:strCache>
            </c:strRef>
          </c:tx>
          <c:spPr>
            <a:solidFill>
              <a:schemeClr val="accent1"/>
            </a:solidFill>
            <a:ln>
              <a:noFill/>
            </a:ln>
            <a:effectLst/>
          </c:spPr>
          <c:invertIfNegative val="0"/>
          <c:cat>
            <c:strRef>
              <c:f>'Fig_Seeds Use by Region '!$A$47:$A$72</c:f>
              <c:strCache>
                <c:ptCount val="26"/>
                <c:pt idx="0">
                  <c:v> Dodoma </c:v>
                </c:pt>
                <c:pt idx="1">
                  <c:v> Katavi </c:v>
                </c:pt>
                <c:pt idx="2">
                  <c:v> Arusha </c:v>
                </c:pt>
                <c:pt idx="3">
                  <c:v> Kilimanjaro </c:v>
                </c:pt>
                <c:pt idx="4">
                  <c:v> Mbeya </c:v>
                </c:pt>
                <c:pt idx="5">
                  <c:v> Simiyu </c:v>
                </c:pt>
                <c:pt idx="6">
                  <c:v> Songwe </c:v>
                </c:pt>
                <c:pt idx="7">
                  <c:v> Lindi </c:v>
                </c:pt>
                <c:pt idx="8">
                  <c:v> Iringa </c:v>
                </c:pt>
                <c:pt idx="9">
                  <c:v> Mtwara </c:v>
                </c:pt>
                <c:pt idx="10">
                  <c:v> Tabora </c:v>
                </c:pt>
                <c:pt idx="11">
                  <c:v> Ruvuma </c:v>
                </c:pt>
                <c:pt idx="12">
                  <c:v> Dar Es Salaam </c:v>
                </c:pt>
                <c:pt idx="13">
                  <c:v> Manyara </c:v>
                </c:pt>
                <c:pt idx="14">
                  <c:v> Mara </c:v>
                </c:pt>
                <c:pt idx="15">
                  <c:v> Tanga </c:v>
                </c:pt>
                <c:pt idx="16">
                  <c:v> Mwanza </c:v>
                </c:pt>
                <c:pt idx="17">
                  <c:v> Shinyanga </c:v>
                </c:pt>
                <c:pt idx="18">
                  <c:v> Pwani </c:v>
                </c:pt>
                <c:pt idx="19">
                  <c:v> Singida </c:v>
                </c:pt>
                <c:pt idx="20">
                  <c:v> Geita </c:v>
                </c:pt>
                <c:pt idx="21">
                  <c:v> Rukwa </c:v>
                </c:pt>
                <c:pt idx="22">
                  <c:v> Morogoro </c:v>
                </c:pt>
                <c:pt idx="23">
                  <c:v> Kigoma </c:v>
                </c:pt>
                <c:pt idx="24">
                  <c:v> Kagera </c:v>
                </c:pt>
                <c:pt idx="25">
                  <c:v> Njombe </c:v>
                </c:pt>
              </c:strCache>
            </c:strRef>
          </c:cat>
          <c:val>
            <c:numRef>
              <c:f>'Fig_Seeds Use by Region '!$B$47:$B$72</c:f>
              <c:numCache>
                <c:formatCode>_(* #,##0.0_);_(* \(#,##0.0\);_(* "-"??_);_(@_)</c:formatCode>
                <c:ptCount val="26"/>
                <c:pt idx="0">
                  <c:v>68.850580983034206</c:v>
                </c:pt>
                <c:pt idx="1">
                  <c:v>55.959720509658851</c:v>
                </c:pt>
                <c:pt idx="2">
                  <c:v>55.016364332718226</c:v>
                </c:pt>
                <c:pt idx="3">
                  <c:v>47.945222071048207</c:v>
                </c:pt>
                <c:pt idx="4">
                  <c:v>46.366911764705875</c:v>
                </c:pt>
                <c:pt idx="5">
                  <c:v>45.907050147105757</c:v>
                </c:pt>
                <c:pt idx="6">
                  <c:v>37.678673983791718</c:v>
                </c:pt>
                <c:pt idx="7">
                  <c:v>37.221997573797005</c:v>
                </c:pt>
                <c:pt idx="8">
                  <c:v>36.511335598901354</c:v>
                </c:pt>
                <c:pt idx="9">
                  <c:v>30.517164511814538</c:v>
                </c:pt>
                <c:pt idx="10">
                  <c:v>29.844258383584226</c:v>
                </c:pt>
                <c:pt idx="11">
                  <c:v>27.097034776506685</c:v>
                </c:pt>
                <c:pt idx="12">
                  <c:v>26.928177068605297</c:v>
                </c:pt>
                <c:pt idx="13">
                  <c:v>26.852149136626934</c:v>
                </c:pt>
                <c:pt idx="14">
                  <c:v>24.239048094900394</c:v>
                </c:pt>
                <c:pt idx="15">
                  <c:v>23.371694354867468</c:v>
                </c:pt>
                <c:pt idx="16">
                  <c:v>22.074260062521564</c:v>
                </c:pt>
                <c:pt idx="17">
                  <c:v>21.664778849075887</c:v>
                </c:pt>
                <c:pt idx="18">
                  <c:v>20.957774785182554</c:v>
                </c:pt>
                <c:pt idx="19">
                  <c:v>20.747304427621014</c:v>
                </c:pt>
                <c:pt idx="20">
                  <c:v>15.754142059866316</c:v>
                </c:pt>
                <c:pt idx="21">
                  <c:v>14.314733438355029</c:v>
                </c:pt>
                <c:pt idx="22">
                  <c:v>9.5336462189317821</c:v>
                </c:pt>
                <c:pt idx="23">
                  <c:v>6.8923401688781665</c:v>
                </c:pt>
                <c:pt idx="24">
                  <c:v>6.1741652833159337</c:v>
                </c:pt>
                <c:pt idx="25">
                  <c:v>0</c:v>
                </c:pt>
              </c:numCache>
            </c:numRef>
          </c:val>
          <c:extLst>
            <c:ext xmlns:c16="http://schemas.microsoft.com/office/drawing/2014/chart" uri="{C3380CC4-5D6E-409C-BE32-E72D297353CC}">
              <c16:uniqueId val="{00000000-9C09-41D9-B32D-F2CC151D2B3E}"/>
            </c:ext>
          </c:extLst>
        </c:ser>
        <c:ser>
          <c:idx val="1"/>
          <c:order val="1"/>
          <c:tx>
            <c:strRef>
              <c:f>'Fig_Seeds Use by Region '!$C$46</c:f>
              <c:strCache>
                <c:ptCount val="1"/>
                <c:pt idx="0">
                  <c:v> Long Rainy </c:v>
                </c:pt>
              </c:strCache>
            </c:strRef>
          </c:tx>
          <c:spPr>
            <a:solidFill>
              <a:schemeClr val="accent2"/>
            </a:solidFill>
            <a:ln>
              <a:noFill/>
            </a:ln>
            <a:effectLst/>
          </c:spPr>
          <c:invertIfNegative val="0"/>
          <c:cat>
            <c:strRef>
              <c:f>'Fig_Seeds Use by Region '!$A$47:$A$72</c:f>
              <c:strCache>
                <c:ptCount val="26"/>
                <c:pt idx="0">
                  <c:v> Dodoma </c:v>
                </c:pt>
                <c:pt idx="1">
                  <c:v> Katavi </c:v>
                </c:pt>
                <c:pt idx="2">
                  <c:v> Arusha </c:v>
                </c:pt>
                <c:pt idx="3">
                  <c:v> Kilimanjaro </c:v>
                </c:pt>
                <c:pt idx="4">
                  <c:v> Mbeya </c:v>
                </c:pt>
                <c:pt idx="5">
                  <c:v> Simiyu </c:v>
                </c:pt>
                <c:pt idx="6">
                  <c:v> Songwe </c:v>
                </c:pt>
                <c:pt idx="7">
                  <c:v> Lindi </c:v>
                </c:pt>
                <c:pt idx="8">
                  <c:v> Iringa </c:v>
                </c:pt>
                <c:pt idx="9">
                  <c:v> Mtwara </c:v>
                </c:pt>
                <c:pt idx="10">
                  <c:v> Tabora </c:v>
                </c:pt>
                <c:pt idx="11">
                  <c:v> Ruvuma </c:v>
                </c:pt>
                <c:pt idx="12">
                  <c:v> Dar Es Salaam </c:v>
                </c:pt>
                <c:pt idx="13">
                  <c:v> Manyara </c:v>
                </c:pt>
                <c:pt idx="14">
                  <c:v> Mara </c:v>
                </c:pt>
                <c:pt idx="15">
                  <c:v> Tanga </c:v>
                </c:pt>
                <c:pt idx="16">
                  <c:v> Mwanza </c:v>
                </c:pt>
                <c:pt idx="17">
                  <c:v> Shinyanga </c:v>
                </c:pt>
                <c:pt idx="18">
                  <c:v> Pwani </c:v>
                </c:pt>
                <c:pt idx="19">
                  <c:v> Singida </c:v>
                </c:pt>
                <c:pt idx="20">
                  <c:v> Geita </c:v>
                </c:pt>
                <c:pt idx="21">
                  <c:v> Rukwa </c:v>
                </c:pt>
                <c:pt idx="22">
                  <c:v> Morogoro </c:v>
                </c:pt>
                <c:pt idx="23">
                  <c:v> Kigoma </c:v>
                </c:pt>
                <c:pt idx="24">
                  <c:v> Kagera </c:v>
                </c:pt>
                <c:pt idx="25">
                  <c:v> Njombe </c:v>
                </c:pt>
              </c:strCache>
            </c:strRef>
          </c:cat>
          <c:val>
            <c:numRef>
              <c:f>'Fig_Seeds Use by Region '!$C$47:$C$72</c:f>
              <c:numCache>
                <c:formatCode>_(* #,##0.0_);_(* \(#,##0.0\);_(* "-"??_);_(@_)</c:formatCode>
                <c:ptCount val="26"/>
                <c:pt idx="0">
                  <c:v>7.929894501582921</c:v>
                </c:pt>
                <c:pt idx="1">
                  <c:v>23.092902571713761</c:v>
                </c:pt>
                <c:pt idx="2">
                  <c:v>53.452329562837633</c:v>
                </c:pt>
                <c:pt idx="3">
                  <c:v>55.187138837098892</c:v>
                </c:pt>
                <c:pt idx="4">
                  <c:v>31.209227521736942</c:v>
                </c:pt>
                <c:pt idx="5">
                  <c:v>51.877825985348061</c:v>
                </c:pt>
                <c:pt idx="6">
                  <c:v>21.010360526639595</c:v>
                </c:pt>
                <c:pt idx="7">
                  <c:v>12.613315912231615</c:v>
                </c:pt>
                <c:pt idx="8">
                  <c:v>16.449427239547575</c:v>
                </c:pt>
                <c:pt idx="9">
                  <c:v>12.660638757388732</c:v>
                </c:pt>
                <c:pt idx="10">
                  <c:v>22.257724091844409</c:v>
                </c:pt>
                <c:pt idx="11">
                  <c:v>17.380743567683325</c:v>
                </c:pt>
                <c:pt idx="12">
                  <c:v>69.207945545371786</c:v>
                </c:pt>
                <c:pt idx="13">
                  <c:v>32.844240027036477</c:v>
                </c:pt>
                <c:pt idx="14">
                  <c:v>27.630628828688337</c:v>
                </c:pt>
                <c:pt idx="15">
                  <c:v>18.507243524727894</c:v>
                </c:pt>
                <c:pt idx="16">
                  <c:v>16.107621192366953</c:v>
                </c:pt>
                <c:pt idx="17">
                  <c:v>19.378990714035645</c:v>
                </c:pt>
                <c:pt idx="18">
                  <c:v>18.943655714061126</c:v>
                </c:pt>
                <c:pt idx="19">
                  <c:v>25.757596010124082</c:v>
                </c:pt>
                <c:pt idx="20">
                  <c:v>13.712564703824565</c:v>
                </c:pt>
                <c:pt idx="21">
                  <c:v>16.499945602183825</c:v>
                </c:pt>
                <c:pt idx="22">
                  <c:v>8.0482693381029122</c:v>
                </c:pt>
                <c:pt idx="23">
                  <c:v>8.4760750563863319</c:v>
                </c:pt>
                <c:pt idx="24">
                  <c:v>10.46512621436648</c:v>
                </c:pt>
                <c:pt idx="25">
                  <c:v>21.744541318459571</c:v>
                </c:pt>
              </c:numCache>
            </c:numRef>
          </c:val>
          <c:extLst>
            <c:ext xmlns:c16="http://schemas.microsoft.com/office/drawing/2014/chart" uri="{C3380CC4-5D6E-409C-BE32-E72D297353CC}">
              <c16:uniqueId val="{00000001-9C09-41D9-B32D-F2CC151D2B3E}"/>
            </c:ext>
          </c:extLst>
        </c:ser>
        <c:dLbls>
          <c:showLegendKey val="0"/>
          <c:showVal val="0"/>
          <c:showCatName val="0"/>
          <c:showSerName val="0"/>
          <c:showPercent val="0"/>
          <c:showBubbleSize val="0"/>
        </c:dLbls>
        <c:gapWidth val="219"/>
        <c:overlap val="-27"/>
        <c:axId val="103352576"/>
        <c:axId val="103354752"/>
      </c:barChart>
      <c:catAx>
        <c:axId val="103352576"/>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Region</a:t>
                </a:r>
              </a:p>
            </c:rich>
          </c:tx>
          <c:layout>
            <c:manualLayout>
              <c:xMode val="edge"/>
              <c:yMode val="edge"/>
              <c:x val="0.4888945699969322"/>
              <c:y val="0.83432104036513699"/>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chemeClr val="tx1">
                <a:lumMod val="50000"/>
                <a:lumOff val="50000"/>
              </a:schemeClr>
            </a:solidFill>
            <a:round/>
          </a:ln>
          <a:effectLst/>
        </c:spPr>
        <c:txPr>
          <a:bodyPr rot="-5400000" spcFirstLastPara="1" vertOverflow="ellipsis"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03354752"/>
        <c:crosses val="autoZero"/>
        <c:auto val="1"/>
        <c:lblAlgn val="ctr"/>
        <c:lblOffset val="100"/>
        <c:noMultiLvlLbl val="0"/>
      </c:catAx>
      <c:valAx>
        <c:axId val="103354752"/>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Percent</a:t>
                </a:r>
              </a:p>
            </c:rich>
          </c:tx>
          <c:layout>
            <c:manualLayout>
              <c:xMode val="edge"/>
              <c:yMode val="edge"/>
              <c:x val="8.378718056137411E-3"/>
              <c:y val="0.2284734854031662"/>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a:solidFill>
              <a:schemeClr val="tx1">
                <a:lumMod val="50000"/>
                <a:lumOff val="50000"/>
              </a:schemeClr>
            </a:solid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03352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344245355157377"/>
          <c:y val="5.0925925925925923E-2"/>
          <c:w val="0.846002025337384"/>
          <c:h val="0.60174978127734036"/>
        </c:manualLayout>
      </c:layout>
      <c:barChart>
        <c:barDir val="col"/>
        <c:grouping val="clustered"/>
        <c:varyColors val="0"/>
        <c:ser>
          <c:idx val="0"/>
          <c:order val="0"/>
          <c:tx>
            <c:strRef>
              <c:f>'Fig_Seeds Use by Region '!$G$42</c:f>
              <c:strCache>
                <c:ptCount val="1"/>
                <c:pt idx="0">
                  <c:v> Short Rainy  </c:v>
                </c:pt>
              </c:strCache>
            </c:strRef>
          </c:tx>
          <c:spPr>
            <a:solidFill>
              <a:schemeClr val="accent1"/>
            </a:solidFill>
            <a:ln>
              <a:noFill/>
            </a:ln>
            <a:effectLst/>
          </c:spPr>
          <c:invertIfNegative val="0"/>
          <c:cat>
            <c:strRef>
              <c:f>'Fig_Seeds Use by Region '!$F$43:$F$47</c:f>
              <c:strCache>
                <c:ptCount val="5"/>
                <c:pt idx="0">
                  <c:v> Mjini Magharibi </c:v>
                </c:pt>
                <c:pt idx="1">
                  <c:v> Kaskazini Unguja </c:v>
                </c:pt>
                <c:pt idx="2">
                  <c:v> Kusini Unguja </c:v>
                </c:pt>
                <c:pt idx="3">
                  <c:v> Kaskazini Pemba </c:v>
                </c:pt>
                <c:pt idx="4">
                  <c:v> Kusini  Pemba </c:v>
                </c:pt>
              </c:strCache>
            </c:strRef>
          </c:cat>
          <c:val>
            <c:numRef>
              <c:f>'Fig_Seeds Use by Region '!$G$43:$G$47</c:f>
              <c:numCache>
                <c:formatCode>_(* #,##0.0_);_(* \(#,##0.0\);_(* "-"??_);_(@_)</c:formatCode>
                <c:ptCount val="5"/>
                <c:pt idx="0">
                  <c:v>48.681715843109366</c:v>
                </c:pt>
                <c:pt idx="1">
                  <c:v>37.034665983803336</c:v>
                </c:pt>
                <c:pt idx="2">
                  <c:v>21.662616891245122</c:v>
                </c:pt>
                <c:pt idx="3">
                  <c:v>14.781067383055918</c:v>
                </c:pt>
                <c:pt idx="4">
                  <c:v>4.5715313730585478</c:v>
                </c:pt>
              </c:numCache>
            </c:numRef>
          </c:val>
          <c:extLst>
            <c:ext xmlns:c16="http://schemas.microsoft.com/office/drawing/2014/chart" uri="{C3380CC4-5D6E-409C-BE32-E72D297353CC}">
              <c16:uniqueId val="{00000000-423A-4FEB-AFE9-B3C2F60F5305}"/>
            </c:ext>
          </c:extLst>
        </c:ser>
        <c:ser>
          <c:idx val="1"/>
          <c:order val="1"/>
          <c:tx>
            <c:strRef>
              <c:f>'Fig_Seeds Use by Region '!$H$42</c:f>
              <c:strCache>
                <c:ptCount val="1"/>
                <c:pt idx="0">
                  <c:v> Long Rainy </c:v>
                </c:pt>
              </c:strCache>
            </c:strRef>
          </c:tx>
          <c:spPr>
            <a:solidFill>
              <a:schemeClr val="accent2"/>
            </a:solidFill>
            <a:ln>
              <a:noFill/>
            </a:ln>
            <a:effectLst/>
          </c:spPr>
          <c:invertIfNegative val="0"/>
          <c:cat>
            <c:strRef>
              <c:f>'Fig_Seeds Use by Region '!$F$43:$F$47</c:f>
              <c:strCache>
                <c:ptCount val="5"/>
                <c:pt idx="0">
                  <c:v> Mjini Magharibi </c:v>
                </c:pt>
                <c:pt idx="1">
                  <c:v> Kaskazini Unguja </c:v>
                </c:pt>
                <c:pt idx="2">
                  <c:v> Kusini Unguja </c:v>
                </c:pt>
                <c:pt idx="3">
                  <c:v> Kaskazini Pemba </c:v>
                </c:pt>
                <c:pt idx="4">
                  <c:v> Kusini  Pemba </c:v>
                </c:pt>
              </c:strCache>
            </c:strRef>
          </c:cat>
          <c:val>
            <c:numRef>
              <c:f>'Fig_Seeds Use by Region '!$H$43:$H$47</c:f>
              <c:numCache>
                <c:formatCode>_(* #,##0.0_);_(* \(#,##0.0\);_(* "-"??_);_(@_)</c:formatCode>
                <c:ptCount val="5"/>
                <c:pt idx="0">
                  <c:v>55.232195872887893</c:v>
                </c:pt>
                <c:pt idx="1">
                  <c:v>35.78125</c:v>
                </c:pt>
                <c:pt idx="2">
                  <c:v>25.985626283367559</c:v>
                </c:pt>
                <c:pt idx="3">
                  <c:v>12.480129570198853</c:v>
                </c:pt>
                <c:pt idx="4">
                  <c:v>8.2397071614960868</c:v>
                </c:pt>
              </c:numCache>
            </c:numRef>
          </c:val>
          <c:extLst>
            <c:ext xmlns:c16="http://schemas.microsoft.com/office/drawing/2014/chart" uri="{C3380CC4-5D6E-409C-BE32-E72D297353CC}">
              <c16:uniqueId val="{00000001-423A-4FEB-AFE9-B3C2F60F5305}"/>
            </c:ext>
          </c:extLst>
        </c:ser>
        <c:dLbls>
          <c:showLegendKey val="0"/>
          <c:showVal val="0"/>
          <c:showCatName val="0"/>
          <c:showSerName val="0"/>
          <c:showPercent val="0"/>
          <c:showBubbleSize val="0"/>
        </c:dLbls>
        <c:gapWidth val="219"/>
        <c:overlap val="-27"/>
        <c:axId val="103402496"/>
        <c:axId val="103404672"/>
      </c:barChart>
      <c:catAx>
        <c:axId val="103402496"/>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Region</a:t>
                </a:r>
              </a:p>
            </c:rich>
          </c:tx>
          <c:layout>
            <c:manualLayout>
              <c:xMode val="edge"/>
              <c:yMode val="edge"/>
              <c:x val="0.51676955057998986"/>
              <c:y val="0.78786060833304927"/>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6350" cap="flat" cmpd="sng" algn="ctr">
            <a:solidFill>
              <a:sysClr val="windowText" lastClr="000000">
                <a:lumMod val="65000"/>
                <a:lumOff val="35000"/>
              </a:sys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03404672"/>
        <c:crosses val="autoZero"/>
        <c:auto val="1"/>
        <c:lblAlgn val="ctr"/>
        <c:lblOffset val="100"/>
        <c:noMultiLvlLbl val="0"/>
      </c:catAx>
      <c:valAx>
        <c:axId val="103404672"/>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Percent</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w="6350">
            <a:solidFill>
              <a:sysClr val="windowText" lastClr="000000">
                <a:lumMod val="50000"/>
                <a:lumOff val="50000"/>
              </a:sysClr>
            </a:solid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03402496"/>
        <c:crosses val="autoZero"/>
        <c:crossBetween val="between"/>
      </c:valAx>
      <c:spPr>
        <a:noFill/>
        <a:ln>
          <a:noFill/>
        </a:ln>
        <a:effectLst/>
      </c:spPr>
    </c:plotArea>
    <c:legend>
      <c:legendPos val="b"/>
      <c:layout>
        <c:manualLayout>
          <c:xMode val="edge"/>
          <c:yMode val="edge"/>
          <c:x val="0.40444190517310363"/>
          <c:y val="0.86644320975029654"/>
          <c:w val="0.29038331624287922"/>
          <c:h val="7.1026727719641108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Sheet1!$B$2</c:f>
              <c:strCache>
                <c:ptCount val="1"/>
                <c:pt idx="0">
                  <c:v>Area applied with Organic fertilizer</c:v>
                </c:pt>
              </c:strCache>
            </c:strRef>
          </c:tx>
          <c:spPr>
            <a:solidFill>
              <a:schemeClr val="accent1"/>
            </a:solidFill>
            <a:ln>
              <a:noFill/>
            </a:ln>
            <a:effectLst/>
          </c:spPr>
          <c:invertIfNegative val="0"/>
          <c:cat>
            <c:strRef>
              <c:f>Sheet1!$A$3:$A$28</c:f>
              <c:strCache>
                <c:ptCount val="26"/>
                <c:pt idx="0">
                  <c:v>Ruvuma</c:v>
                </c:pt>
                <c:pt idx="1">
                  <c:v>Mbeya</c:v>
                </c:pt>
                <c:pt idx="2">
                  <c:v>Tabora</c:v>
                </c:pt>
                <c:pt idx="3">
                  <c:v>Iringa</c:v>
                </c:pt>
                <c:pt idx="4">
                  <c:v>Songwe</c:v>
                </c:pt>
                <c:pt idx="5">
                  <c:v>Njombe</c:v>
                </c:pt>
                <c:pt idx="6">
                  <c:v>Kilimanjaro</c:v>
                </c:pt>
                <c:pt idx="7">
                  <c:v>Rukwa</c:v>
                </c:pt>
                <c:pt idx="8">
                  <c:v>Kigoma</c:v>
                </c:pt>
                <c:pt idx="9">
                  <c:v>Morogoro</c:v>
                </c:pt>
                <c:pt idx="10">
                  <c:v>Dar Es Salaam</c:v>
                </c:pt>
                <c:pt idx="11">
                  <c:v>Singida</c:v>
                </c:pt>
                <c:pt idx="12">
                  <c:v>Tanga</c:v>
                </c:pt>
                <c:pt idx="13">
                  <c:v>Arusha</c:v>
                </c:pt>
                <c:pt idx="14">
                  <c:v>Shinyanga</c:v>
                </c:pt>
                <c:pt idx="15">
                  <c:v>Katavi</c:v>
                </c:pt>
                <c:pt idx="16">
                  <c:v>Mtwara</c:v>
                </c:pt>
                <c:pt idx="17">
                  <c:v>Mara</c:v>
                </c:pt>
                <c:pt idx="18">
                  <c:v>Mwanza</c:v>
                </c:pt>
                <c:pt idx="19">
                  <c:v>Dodoma</c:v>
                </c:pt>
                <c:pt idx="20">
                  <c:v>Manyara</c:v>
                </c:pt>
                <c:pt idx="21">
                  <c:v>Geita</c:v>
                </c:pt>
                <c:pt idx="22">
                  <c:v>Pwani</c:v>
                </c:pt>
                <c:pt idx="23">
                  <c:v>Kagera</c:v>
                </c:pt>
                <c:pt idx="24">
                  <c:v>Simiyu</c:v>
                </c:pt>
                <c:pt idx="25">
                  <c:v>Lindi</c:v>
                </c:pt>
              </c:strCache>
            </c:strRef>
          </c:cat>
          <c:val>
            <c:numRef>
              <c:f>Sheet1!$B$3:$B$28</c:f>
              <c:numCache>
                <c:formatCode>_(* #,##0.0_);_(* \(#,##0.0\);_(* "-"??_);_(@_)</c:formatCode>
                <c:ptCount val="26"/>
                <c:pt idx="0">
                  <c:v>18.008265405853258</c:v>
                </c:pt>
                <c:pt idx="1">
                  <c:v>13.240264177557648</c:v>
                </c:pt>
                <c:pt idx="2">
                  <c:v>8.8527108019250615</c:v>
                </c:pt>
                <c:pt idx="3">
                  <c:v>7.9615175822003668</c:v>
                </c:pt>
                <c:pt idx="4">
                  <c:v>7.11920551416992</c:v>
                </c:pt>
                <c:pt idx="5">
                  <c:v>6.8919812716254052</c:v>
                </c:pt>
                <c:pt idx="6">
                  <c:v>5.705124974638986</c:v>
                </c:pt>
                <c:pt idx="7">
                  <c:v>4.9440464872286247</c:v>
                </c:pt>
                <c:pt idx="8">
                  <c:v>4.767243988231967</c:v>
                </c:pt>
                <c:pt idx="9">
                  <c:v>3.7978983715944103</c:v>
                </c:pt>
                <c:pt idx="10">
                  <c:v>2.3004692016104671</c:v>
                </c:pt>
                <c:pt idx="11">
                  <c:v>1.9279854254788305</c:v>
                </c:pt>
                <c:pt idx="12">
                  <c:v>1.8158094491548549</c:v>
                </c:pt>
                <c:pt idx="13">
                  <c:v>1.7854153997039452</c:v>
                </c:pt>
                <c:pt idx="14">
                  <c:v>1.6309906501741522</c:v>
                </c:pt>
                <c:pt idx="15">
                  <c:v>1.5749287737384969</c:v>
                </c:pt>
                <c:pt idx="16">
                  <c:v>1.3443622302234355</c:v>
                </c:pt>
                <c:pt idx="17">
                  <c:v>1.1737220986412242</c:v>
                </c:pt>
                <c:pt idx="18">
                  <c:v>1.1421791332316891</c:v>
                </c:pt>
                <c:pt idx="19">
                  <c:v>0.88725034904850197</c:v>
                </c:pt>
                <c:pt idx="20">
                  <c:v>0.85476736149100052</c:v>
                </c:pt>
                <c:pt idx="21">
                  <c:v>0.78408291830920296</c:v>
                </c:pt>
                <c:pt idx="22">
                  <c:v>0.57270849364845322</c:v>
                </c:pt>
                <c:pt idx="23">
                  <c:v>0.33329007490670931</c:v>
                </c:pt>
                <c:pt idx="24">
                  <c:v>0.29762145673665569</c:v>
                </c:pt>
                <c:pt idx="25">
                  <c:v>0.28615840887673361</c:v>
                </c:pt>
              </c:numCache>
            </c:numRef>
          </c:val>
          <c:extLst>
            <c:ext xmlns:c16="http://schemas.microsoft.com/office/drawing/2014/chart" uri="{C3380CC4-5D6E-409C-BE32-E72D297353CC}">
              <c16:uniqueId val="{00000000-1F3E-0A43-9A8E-F17D34376903}"/>
            </c:ext>
          </c:extLst>
        </c:ser>
        <c:ser>
          <c:idx val="1"/>
          <c:order val="1"/>
          <c:tx>
            <c:strRef>
              <c:f>Sheet1!$C$2</c:f>
              <c:strCache>
                <c:ptCount val="1"/>
                <c:pt idx="0">
                  <c:v>Area applied with in-organic fertilizer</c:v>
                </c:pt>
              </c:strCache>
            </c:strRef>
          </c:tx>
          <c:spPr>
            <a:solidFill>
              <a:schemeClr val="accent2"/>
            </a:solidFill>
            <a:ln>
              <a:noFill/>
            </a:ln>
            <a:effectLst/>
          </c:spPr>
          <c:invertIfNegative val="0"/>
          <c:cat>
            <c:strRef>
              <c:f>Sheet1!$A$3:$A$28</c:f>
              <c:strCache>
                <c:ptCount val="26"/>
                <c:pt idx="0">
                  <c:v>Ruvuma</c:v>
                </c:pt>
                <c:pt idx="1">
                  <c:v>Mbeya</c:v>
                </c:pt>
                <c:pt idx="2">
                  <c:v>Tabora</c:v>
                </c:pt>
                <c:pt idx="3">
                  <c:v>Iringa</c:v>
                </c:pt>
                <c:pt idx="4">
                  <c:v>Songwe</c:v>
                </c:pt>
                <c:pt idx="5">
                  <c:v>Njombe</c:v>
                </c:pt>
                <c:pt idx="6">
                  <c:v>Kilimanjaro</c:v>
                </c:pt>
                <c:pt idx="7">
                  <c:v>Rukwa</c:v>
                </c:pt>
                <c:pt idx="8">
                  <c:v>Kigoma</c:v>
                </c:pt>
                <c:pt idx="9">
                  <c:v>Morogoro</c:v>
                </c:pt>
                <c:pt idx="10">
                  <c:v>Dar Es Salaam</c:v>
                </c:pt>
                <c:pt idx="11">
                  <c:v>Singida</c:v>
                </c:pt>
                <c:pt idx="12">
                  <c:v>Tanga</c:v>
                </c:pt>
                <c:pt idx="13">
                  <c:v>Arusha</c:v>
                </c:pt>
                <c:pt idx="14">
                  <c:v>Shinyanga</c:v>
                </c:pt>
                <c:pt idx="15">
                  <c:v>Katavi</c:v>
                </c:pt>
                <c:pt idx="16">
                  <c:v>Mtwara</c:v>
                </c:pt>
                <c:pt idx="17">
                  <c:v>Mara</c:v>
                </c:pt>
                <c:pt idx="18">
                  <c:v>Mwanza</c:v>
                </c:pt>
                <c:pt idx="19">
                  <c:v>Dodoma</c:v>
                </c:pt>
                <c:pt idx="20">
                  <c:v>Manyara</c:v>
                </c:pt>
                <c:pt idx="21">
                  <c:v>Geita</c:v>
                </c:pt>
                <c:pt idx="22">
                  <c:v>Pwani</c:v>
                </c:pt>
                <c:pt idx="23">
                  <c:v>Kagera</c:v>
                </c:pt>
                <c:pt idx="24">
                  <c:v>Simiyu</c:v>
                </c:pt>
                <c:pt idx="25">
                  <c:v>Lindi</c:v>
                </c:pt>
              </c:strCache>
            </c:strRef>
          </c:cat>
          <c:val>
            <c:numRef>
              <c:f>Sheet1!$C$3:$C$28</c:f>
              <c:numCache>
                <c:formatCode>_(* #,##0.0_);_(* \(#,##0.0\);_(* "-"??_);_(@_)</c:formatCode>
                <c:ptCount val="26"/>
                <c:pt idx="0">
                  <c:v>0.4386606482853993</c:v>
                </c:pt>
                <c:pt idx="1">
                  <c:v>3.0577763733537737</c:v>
                </c:pt>
                <c:pt idx="2">
                  <c:v>8.6209882582533162</c:v>
                </c:pt>
                <c:pt idx="3">
                  <c:v>3.5946213068580106</c:v>
                </c:pt>
                <c:pt idx="4">
                  <c:v>0.92958207437958773</c:v>
                </c:pt>
                <c:pt idx="5">
                  <c:v>0.26243244404645993</c:v>
                </c:pt>
                <c:pt idx="6">
                  <c:v>2.5552655555029857</c:v>
                </c:pt>
                <c:pt idx="7">
                  <c:v>1.6448255102045246</c:v>
                </c:pt>
                <c:pt idx="8">
                  <c:v>2.1233762372326783</c:v>
                </c:pt>
                <c:pt idx="9">
                  <c:v>1.0496429642625693</c:v>
                </c:pt>
                <c:pt idx="10">
                  <c:v>2.3248667111433083</c:v>
                </c:pt>
                <c:pt idx="11">
                  <c:v>8.0563635093025479</c:v>
                </c:pt>
                <c:pt idx="12">
                  <c:v>3.3929138031392054</c:v>
                </c:pt>
                <c:pt idx="13">
                  <c:v>3.4457822644108869</c:v>
                </c:pt>
                <c:pt idx="14">
                  <c:v>6.0898130114578706</c:v>
                </c:pt>
                <c:pt idx="15">
                  <c:v>0.68442520306393995</c:v>
                </c:pt>
                <c:pt idx="16">
                  <c:v>0.21659574855968164</c:v>
                </c:pt>
                <c:pt idx="17">
                  <c:v>5.4346868324976958</c:v>
                </c:pt>
                <c:pt idx="18">
                  <c:v>8.4309135522527452</c:v>
                </c:pt>
                <c:pt idx="19">
                  <c:v>11.071515228330547</c:v>
                </c:pt>
                <c:pt idx="20">
                  <c:v>9.5658926370901334</c:v>
                </c:pt>
                <c:pt idx="21">
                  <c:v>8.0330979138660759</c:v>
                </c:pt>
                <c:pt idx="22">
                  <c:v>0.4460396617633845</c:v>
                </c:pt>
                <c:pt idx="23">
                  <c:v>2.6151223765979359</c:v>
                </c:pt>
                <c:pt idx="24">
                  <c:v>5.8114505794912903</c:v>
                </c:pt>
                <c:pt idx="25">
                  <c:v>0.10334959465342726</c:v>
                </c:pt>
              </c:numCache>
            </c:numRef>
          </c:val>
          <c:extLst>
            <c:ext xmlns:c16="http://schemas.microsoft.com/office/drawing/2014/chart" uri="{C3380CC4-5D6E-409C-BE32-E72D297353CC}">
              <c16:uniqueId val="{00000001-1F3E-0A43-9A8E-F17D34376903}"/>
            </c:ext>
          </c:extLst>
        </c:ser>
        <c:dLbls>
          <c:showLegendKey val="0"/>
          <c:showVal val="0"/>
          <c:showCatName val="0"/>
          <c:showSerName val="0"/>
          <c:showPercent val="0"/>
          <c:showBubbleSize val="0"/>
        </c:dLbls>
        <c:gapWidth val="219"/>
        <c:overlap val="-27"/>
        <c:axId val="103837056"/>
        <c:axId val="103843328"/>
      </c:barChart>
      <c:catAx>
        <c:axId val="103837056"/>
        <c:scaling>
          <c:orientation val="minMax"/>
        </c:scaling>
        <c:delete val="0"/>
        <c:axPos val="b"/>
        <c:title>
          <c:tx>
            <c:rich>
              <a:bodyPr/>
              <a:lstStyle/>
              <a:p>
                <a:pPr>
                  <a:defRPr/>
                </a:pPr>
                <a:r>
                  <a:rPr lang="en-US"/>
                  <a:t>Region</a:t>
                </a:r>
              </a:p>
            </c:rich>
          </c:tx>
          <c:layout>
            <c:manualLayout>
              <c:xMode val="edge"/>
              <c:yMode val="edge"/>
              <c:x val="0.50030986811442124"/>
              <c:y val="0.79962313384296346"/>
            </c:manualLayout>
          </c:layout>
          <c:overlay val="0"/>
          <c:spPr>
            <a:noFill/>
            <a:ln>
              <a:noFill/>
            </a:ln>
            <a:effectLst/>
          </c:spPr>
        </c:title>
        <c:numFmt formatCode="General" sourceLinked="1"/>
        <c:majorTickMark val="out"/>
        <c:minorTickMark val="none"/>
        <c:tickLblPos val="nextTo"/>
        <c:spPr>
          <a:noFill/>
          <a:ln w="6350" cap="flat" cmpd="sng" algn="ctr">
            <a:solidFill>
              <a:sysClr val="windowText" lastClr="000000">
                <a:lumMod val="65000"/>
                <a:lumOff val="35000"/>
              </a:sysClr>
            </a:solidFill>
            <a:round/>
          </a:ln>
          <a:effectLst/>
        </c:spPr>
        <c:txPr>
          <a:bodyPr rot="-5400000" vert="horz"/>
          <a:lstStyle/>
          <a:p>
            <a:pPr>
              <a:defRPr/>
            </a:pPr>
            <a:endParaRPr lang="en-US"/>
          </a:p>
        </c:txPr>
        <c:crossAx val="103843328"/>
        <c:crosses val="autoZero"/>
        <c:auto val="1"/>
        <c:lblAlgn val="ctr"/>
        <c:lblOffset val="100"/>
        <c:noMultiLvlLbl val="0"/>
      </c:catAx>
      <c:valAx>
        <c:axId val="103843328"/>
        <c:scaling>
          <c:orientation val="minMax"/>
        </c:scaling>
        <c:delete val="0"/>
        <c:axPos val="l"/>
        <c:title>
          <c:tx>
            <c:rich>
              <a:bodyPr/>
              <a:lstStyle/>
              <a:p>
                <a:pPr>
                  <a:defRPr b="0"/>
                </a:pPr>
                <a:r>
                  <a:rPr lang="en-US" b="0"/>
                  <a:t>Percent</a:t>
                </a:r>
              </a:p>
            </c:rich>
          </c:tx>
          <c:overlay val="0"/>
          <c:spPr>
            <a:noFill/>
            <a:ln>
              <a:noFill/>
            </a:ln>
            <a:effectLst/>
          </c:spPr>
        </c:title>
        <c:numFmt formatCode="#,##0" sourceLinked="0"/>
        <c:majorTickMark val="out"/>
        <c:minorTickMark val="none"/>
        <c:tickLblPos val="nextTo"/>
        <c:spPr>
          <a:noFill/>
          <a:ln>
            <a:solidFill>
              <a:schemeClr val="tx1">
                <a:lumMod val="65000"/>
                <a:lumOff val="35000"/>
              </a:schemeClr>
            </a:solidFill>
          </a:ln>
          <a:effectLst/>
        </c:spPr>
        <c:txPr>
          <a:bodyPr rot="-60000000" vert="horz"/>
          <a:lstStyle/>
          <a:p>
            <a:pPr>
              <a:defRPr/>
            </a:pPr>
            <a:endParaRPr lang="en-US"/>
          </a:p>
        </c:txPr>
        <c:crossAx val="103837056"/>
        <c:crosses val="autoZero"/>
        <c:crossBetween val="between"/>
      </c:valAx>
      <c:spPr>
        <a:noFill/>
        <a:ln w="25403">
          <a:noFill/>
        </a:ln>
      </c:spPr>
    </c:plotArea>
    <c:legend>
      <c:legendPos val="b"/>
      <c:layout>
        <c:manualLayout>
          <c:xMode val="edge"/>
          <c:yMode val="edge"/>
          <c:x val="0.20590678934518886"/>
          <c:y val="0.87527949312458386"/>
          <c:w val="0.59266219617814642"/>
          <c:h val="6.6411468974541449E-2"/>
        </c:manualLayout>
      </c:layout>
      <c:overlay val="0"/>
      <c:spPr>
        <a:noFill/>
        <a:ln>
          <a:noFill/>
        </a:ln>
        <a:effectLst/>
      </c:spPr>
      <c:txPr>
        <a:bodyPr rot="0" vert="horz"/>
        <a:lstStyle/>
        <a:p>
          <a:pPr>
            <a:defRPr/>
          </a:pPr>
          <a:endParaRPr lang="en-US"/>
        </a:p>
      </c:txPr>
    </c:legend>
    <c:plotVisOnly val="1"/>
    <c:dispBlanksAs val="gap"/>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700">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5A11-954F-9809-B0E8A28B8314}"/>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5A11-954F-9809-B0E8A28B8314}"/>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5A11-954F-9809-B0E8A28B8314}"/>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5A11-954F-9809-B0E8A28B8314}"/>
              </c:ext>
            </c:extLst>
          </c:dPt>
          <c:dLbls>
            <c:dLbl>
              <c:idx val="0"/>
              <c:layout>
                <c:manualLayout>
                  <c:x val="-5.9453280334828221E-3"/>
                  <c:y val="-0.15688179460951068"/>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A11-954F-9809-B0E8A28B8314}"/>
                </c:ext>
              </c:extLst>
            </c:dLbl>
            <c:dLbl>
              <c:idx val="1"/>
              <c:layout>
                <c:manualLayout>
                  <c:x val="-3.507571285714936E-2"/>
                  <c:y val="5.657918963705877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5A11-954F-9809-B0E8A28B8314}"/>
                </c:ext>
              </c:extLst>
            </c:dLbl>
            <c:dLbl>
              <c:idx val="2"/>
              <c:layout>
                <c:manualLayout>
                  <c:x val="3.3891602228361607E-2"/>
                  <c:y val="0.11416466446225944"/>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5A11-954F-9809-B0E8A28B8314}"/>
                </c:ext>
              </c:extLst>
            </c:dLbl>
            <c:dLbl>
              <c:idx val="3"/>
              <c:layout>
                <c:manualLayout>
                  <c:x val="-9.5208567771175256E-2"/>
                  <c:y val="-1.3986250208149966E-2"/>
                </c:manualLayout>
              </c:layout>
              <c:tx>
                <c:rich>
                  <a:bodyPr/>
                  <a:lstStyle/>
                  <a:p>
                    <a:fld id="{B0712161-EA18-BD4E-8C63-7ADB4FDE63C5}" type="CATEGORYNAME">
                      <a:rPr lang="en-US">
                        <a:solidFill>
                          <a:schemeClr val="tx1"/>
                        </a:solidFill>
                      </a:rPr>
                      <a:pPr/>
                      <a:t>[CATEGORY NAME]</a:t>
                    </a:fld>
                    <a:endParaRPr lang="en-US" baseline="0">
                      <a:solidFill>
                        <a:schemeClr val="tx1"/>
                      </a:solidFill>
                    </a:endParaRPr>
                  </a:p>
                  <a:p>
                    <a:fld id="{5F370D2B-DD75-904D-8A2F-70E3BB2DD6B9}" type="PERCENTAGE">
                      <a:rPr lang="en-US" baseline="0">
                        <a:solidFill>
                          <a:schemeClr val="tx1"/>
                        </a:solidFill>
                      </a:rPr>
                      <a:pPr/>
                      <a:t>[PERCENTAGE]</a:t>
                    </a:fld>
                    <a:endParaRPr lang="en-US"/>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5A11-954F-9809-B0E8A28B8314}"/>
                </c:ext>
              </c:extLst>
            </c:dLbl>
            <c:numFmt formatCode="0.0%" sourceLinked="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Sheet3!$I$116:$L$116</c:f>
              <c:strCache>
                <c:ptCount val="4"/>
                <c:pt idx="0">
                  <c:v> Attending School </c:v>
                </c:pt>
                <c:pt idx="1">
                  <c:v> Drop out </c:v>
                </c:pt>
                <c:pt idx="2">
                  <c:v> Completed </c:v>
                </c:pt>
                <c:pt idx="3">
                  <c:v> Never attended School </c:v>
                </c:pt>
              </c:strCache>
            </c:strRef>
          </c:cat>
          <c:val>
            <c:numRef>
              <c:f>Sheet3!$I$117:$L$117</c:f>
              <c:numCache>
                <c:formatCode>_(* #,##0_);_(* \(#,##0\);_(* "-"_);_(@_)</c:formatCode>
                <c:ptCount val="4"/>
                <c:pt idx="0">
                  <c:v>12915597</c:v>
                </c:pt>
                <c:pt idx="1">
                  <c:v>3079503</c:v>
                </c:pt>
                <c:pt idx="2">
                  <c:v>12843455</c:v>
                </c:pt>
                <c:pt idx="3">
                  <c:v>6567961</c:v>
                </c:pt>
              </c:numCache>
            </c:numRef>
          </c:val>
          <c:extLst>
            <c:ext xmlns:c16="http://schemas.microsoft.com/office/drawing/2014/chart" uri="{C3380CC4-5D6E-409C-BE32-E72D297353CC}">
              <c16:uniqueId val="{00000008-5A11-954F-9809-B0E8A28B8314}"/>
            </c:ext>
          </c:extLst>
        </c:ser>
        <c:ser>
          <c:idx val="1"/>
          <c:order val="1"/>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A-5A11-954F-9809-B0E8A28B8314}"/>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C-5A11-954F-9809-B0E8A28B8314}"/>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E-5A11-954F-9809-B0E8A28B8314}"/>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10-5A11-954F-9809-B0E8A28B8314}"/>
              </c:ext>
            </c:extLst>
          </c:dPt>
          <c:dLbls>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Sheet3!$I$116:$L$116</c:f>
              <c:strCache>
                <c:ptCount val="4"/>
                <c:pt idx="0">
                  <c:v> Attending School </c:v>
                </c:pt>
                <c:pt idx="1">
                  <c:v> Drop out </c:v>
                </c:pt>
                <c:pt idx="2">
                  <c:v> Completed </c:v>
                </c:pt>
                <c:pt idx="3">
                  <c:v> Never attended School </c:v>
                </c:pt>
              </c:strCache>
            </c:strRef>
          </c:cat>
          <c:val>
            <c:numRef>
              <c:f>Sheet3!$I$118:$L$118</c:f>
              <c:numCache>
                <c:formatCode>_(* #,##0.0_);_(* \(#,##0.0\);_(* "-"_);_(@_)</c:formatCode>
                <c:ptCount val="4"/>
                <c:pt idx="0">
                  <c:v>36.478030070685591</c:v>
                </c:pt>
                <c:pt idx="1">
                  <c:v>8.6975617957703761</c:v>
                </c:pt>
                <c:pt idx="2">
                  <c:v>36.274276574400488</c:v>
                </c:pt>
                <c:pt idx="3">
                  <c:v>18.550151329519665</c:v>
                </c:pt>
              </c:numCache>
            </c:numRef>
          </c:val>
          <c:extLst>
            <c:ext xmlns:c16="http://schemas.microsoft.com/office/drawing/2014/chart" uri="{C3380CC4-5D6E-409C-BE32-E72D297353CC}">
              <c16:uniqueId val="{00000011-5A11-954F-9809-B0E8A28B8314}"/>
            </c:ext>
          </c:extLst>
        </c:ser>
        <c:dLbls>
          <c:showLegendKey val="0"/>
          <c:showVal val="0"/>
          <c:showCatName val="1"/>
          <c:showSerName val="0"/>
          <c:showPercent val="1"/>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6350" cap="flat" cmpd="sng" algn="ctr">
      <a:solidFill>
        <a:sysClr val="windowText" lastClr="000000">
          <a:lumMod val="50000"/>
          <a:lumOff val="50000"/>
        </a:sysClr>
      </a:solidFill>
      <a:round/>
    </a:ln>
    <a:effectLst/>
  </c:spPr>
  <c:txPr>
    <a:bodyPr/>
    <a:lstStyle/>
    <a:p>
      <a:pPr>
        <a:defRPr sz="700" b="0" i="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Sheet1!$B$32</c:f>
              <c:strCache>
                <c:ptCount val="1"/>
                <c:pt idx="0">
                  <c:v>Area applied with Organic fertilizer</c:v>
                </c:pt>
              </c:strCache>
            </c:strRef>
          </c:tx>
          <c:spPr>
            <a:solidFill>
              <a:schemeClr val="accent1"/>
            </a:solidFill>
            <a:ln>
              <a:noFill/>
            </a:ln>
            <a:effectLst/>
          </c:spPr>
          <c:invertIfNegative val="0"/>
          <c:cat>
            <c:strRef>
              <c:f>Sheet1!$A$33:$A$37</c:f>
              <c:strCache>
                <c:ptCount val="5"/>
                <c:pt idx="0">
                  <c:v> Kusini  Pemba </c:v>
                </c:pt>
                <c:pt idx="1">
                  <c:v> Kaskazini Unguja </c:v>
                </c:pt>
                <c:pt idx="2">
                  <c:v> Mjini Magharibi </c:v>
                </c:pt>
                <c:pt idx="3">
                  <c:v> Kaskazini Pemba </c:v>
                </c:pt>
                <c:pt idx="4">
                  <c:v> Kusini Unguja </c:v>
                </c:pt>
              </c:strCache>
            </c:strRef>
          </c:cat>
          <c:val>
            <c:numRef>
              <c:f>Sheet1!$B$33:$B$37</c:f>
              <c:numCache>
                <c:formatCode>_(* #,##0.0_);_(* \(#,##0.0\);_(* "-"??_);_(@_)</c:formatCode>
                <c:ptCount val="5"/>
                <c:pt idx="0">
                  <c:v>38.097781906863311</c:v>
                </c:pt>
                <c:pt idx="1">
                  <c:v>21.556149111601439</c:v>
                </c:pt>
                <c:pt idx="2">
                  <c:v>18.706305887817905</c:v>
                </c:pt>
                <c:pt idx="3">
                  <c:v>16.272209963999533</c:v>
                </c:pt>
                <c:pt idx="4">
                  <c:v>5.3675531297178027</c:v>
                </c:pt>
              </c:numCache>
            </c:numRef>
          </c:val>
          <c:extLst>
            <c:ext xmlns:c16="http://schemas.microsoft.com/office/drawing/2014/chart" uri="{C3380CC4-5D6E-409C-BE32-E72D297353CC}">
              <c16:uniqueId val="{00000000-AE03-4D86-AADF-5675AF2747EB}"/>
            </c:ext>
          </c:extLst>
        </c:ser>
        <c:ser>
          <c:idx val="1"/>
          <c:order val="1"/>
          <c:tx>
            <c:strRef>
              <c:f>Sheet1!$C$32</c:f>
              <c:strCache>
                <c:ptCount val="1"/>
                <c:pt idx="0">
                  <c:v>Area applied with in-organic fertilizer</c:v>
                </c:pt>
              </c:strCache>
            </c:strRef>
          </c:tx>
          <c:spPr>
            <a:solidFill>
              <a:schemeClr val="accent2"/>
            </a:solidFill>
            <a:ln>
              <a:noFill/>
            </a:ln>
            <a:effectLst/>
          </c:spPr>
          <c:invertIfNegative val="0"/>
          <c:cat>
            <c:strRef>
              <c:f>Sheet1!$A$33:$A$37</c:f>
              <c:strCache>
                <c:ptCount val="5"/>
                <c:pt idx="0">
                  <c:v> Kusini  Pemba </c:v>
                </c:pt>
                <c:pt idx="1">
                  <c:v> Kaskazini Unguja </c:v>
                </c:pt>
                <c:pt idx="2">
                  <c:v> Mjini Magharibi </c:v>
                </c:pt>
                <c:pt idx="3">
                  <c:v> Kaskazini Pemba </c:v>
                </c:pt>
                <c:pt idx="4">
                  <c:v> Kusini Unguja </c:v>
                </c:pt>
              </c:strCache>
            </c:strRef>
          </c:cat>
          <c:val>
            <c:numRef>
              <c:f>Sheet1!$C$33:$C$37</c:f>
              <c:numCache>
                <c:formatCode>_(* #,##0.0_);_(* \(#,##0.0\);_(* "-"??_);_(@_)</c:formatCode>
                <c:ptCount val="5"/>
                <c:pt idx="0">
                  <c:v>8.2720063894118319</c:v>
                </c:pt>
                <c:pt idx="1">
                  <c:v>27.363226652975069</c:v>
                </c:pt>
                <c:pt idx="2">
                  <c:v>38.265160591020596</c:v>
                </c:pt>
                <c:pt idx="3">
                  <c:v>11.038849905870272</c:v>
                </c:pt>
                <c:pt idx="4">
                  <c:v>15.060756460722235</c:v>
                </c:pt>
              </c:numCache>
            </c:numRef>
          </c:val>
          <c:extLst>
            <c:ext xmlns:c16="http://schemas.microsoft.com/office/drawing/2014/chart" uri="{C3380CC4-5D6E-409C-BE32-E72D297353CC}">
              <c16:uniqueId val="{00000001-AE03-4D86-AADF-5675AF2747EB}"/>
            </c:ext>
          </c:extLst>
        </c:ser>
        <c:dLbls>
          <c:showLegendKey val="0"/>
          <c:showVal val="0"/>
          <c:showCatName val="0"/>
          <c:showSerName val="0"/>
          <c:showPercent val="0"/>
          <c:showBubbleSize val="0"/>
        </c:dLbls>
        <c:gapWidth val="219"/>
        <c:overlap val="-27"/>
        <c:axId val="97935360"/>
        <c:axId val="97937280"/>
      </c:barChart>
      <c:catAx>
        <c:axId val="97935360"/>
        <c:scaling>
          <c:orientation val="minMax"/>
        </c:scaling>
        <c:delete val="0"/>
        <c:axPos val="b"/>
        <c:title>
          <c:tx>
            <c:rich>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Region</a:t>
                </a:r>
              </a:p>
            </c:rich>
          </c:tx>
          <c:layout>
            <c:manualLayout>
              <c:xMode val="edge"/>
              <c:yMode val="edge"/>
              <c:x val="0.47634532780176669"/>
              <c:y val="0.81179314907190525"/>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6350" cap="flat" cmpd="sng" algn="ctr">
            <a:solidFill>
              <a:sysClr val="windowText" lastClr="000000">
                <a:lumMod val="65000"/>
                <a:lumOff val="35000"/>
              </a:sys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97937280"/>
        <c:crosses val="autoZero"/>
        <c:auto val="1"/>
        <c:lblAlgn val="ctr"/>
        <c:lblOffset val="100"/>
        <c:noMultiLvlLbl val="0"/>
      </c:catAx>
      <c:valAx>
        <c:axId val="97937280"/>
        <c:scaling>
          <c:orientation val="minMax"/>
        </c:scaling>
        <c:delete val="0"/>
        <c:axPos val="l"/>
        <c:title>
          <c:tx>
            <c:rich>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Percent</a:t>
                </a:r>
              </a:p>
            </c:rich>
          </c:tx>
          <c:layout>
            <c:manualLayout>
              <c:xMode val="edge"/>
              <c:yMode val="edge"/>
              <c:x val="2.0394289598912305E-2"/>
              <c:y val="0.28799426282993418"/>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w="6350">
            <a:solidFill>
              <a:sysClr val="windowText" lastClr="000000">
                <a:lumMod val="65000"/>
                <a:lumOff val="35000"/>
              </a:sysClr>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979353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4722222222222227E-2"/>
          <c:y val="0.22930373286672495"/>
          <c:w val="0.81388888888888888"/>
          <c:h val="0.57479476523767858"/>
        </c:manualLayout>
      </c:layout>
      <c:pie3DChart>
        <c:varyColors val="1"/>
        <c:ser>
          <c:idx val="0"/>
          <c:order val="0"/>
          <c:tx>
            <c:strRef>
              <c:f>Sheet9!$F$15</c:f>
              <c:strCache>
                <c:ptCount val="1"/>
                <c:pt idx="0">
                  <c:v>percent</c:v>
                </c:pt>
              </c:strCache>
            </c:strRef>
          </c:tx>
          <c:dPt>
            <c:idx val="0"/>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1-5BC9-4B7B-B299-178BFEA43879}"/>
              </c:ext>
            </c:extLst>
          </c:dPt>
          <c:dPt>
            <c:idx val="1"/>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3-5BC9-4B7B-B299-178BFEA43879}"/>
              </c:ext>
            </c:extLst>
          </c:dPt>
          <c:dPt>
            <c:idx val="2"/>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5-5BC9-4B7B-B299-178BFEA43879}"/>
              </c:ext>
            </c:extLst>
          </c:dPt>
          <c:dLbls>
            <c:dLbl>
              <c:idx val="0"/>
              <c:layout>
                <c:manualLayout>
                  <c:x val="-2.4483158355205599E-2"/>
                  <c:y val="-0.146215004374453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BC9-4B7B-B299-178BFEA43879}"/>
                </c:ext>
              </c:extLst>
            </c:dLbl>
            <c:dLbl>
              <c:idx val="1"/>
              <c:layout>
                <c:manualLayout>
                  <c:x val="3.4663823272090992E-2"/>
                  <c:y val="0.1077763196267133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5BC9-4B7B-B299-178BFEA43879}"/>
                </c:ext>
              </c:extLst>
            </c:dLbl>
            <c:dLbl>
              <c:idx val="2"/>
              <c:layout>
                <c:manualLayout>
                  <c:x val="-3.7838363954505697E-2"/>
                  <c:y val="-0.19378062117235345"/>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5BC9-4B7B-B299-178BFEA43879}"/>
                </c:ext>
              </c:extLst>
            </c:dLbl>
            <c:numFmt formatCode="0.0%" sourceLinked="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Sheet9!$E$16:$E$18</c:f>
              <c:strCache>
                <c:ptCount val="3"/>
                <c:pt idx="0">
                  <c:v>Herbicides</c:v>
                </c:pt>
                <c:pt idx="1">
                  <c:v>Fungicides</c:v>
                </c:pt>
                <c:pt idx="2">
                  <c:v>Insecticides</c:v>
                </c:pt>
              </c:strCache>
            </c:strRef>
          </c:cat>
          <c:val>
            <c:numRef>
              <c:f>Sheet9!$F$16:$F$18</c:f>
              <c:numCache>
                <c:formatCode>0.0</c:formatCode>
                <c:ptCount val="3"/>
                <c:pt idx="0">
                  <c:v>33.217112890499266</c:v>
                </c:pt>
                <c:pt idx="1">
                  <c:v>8.353217726909179</c:v>
                </c:pt>
                <c:pt idx="2">
                  <c:v>58.429669382591555</c:v>
                </c:pt>
              </c:numCache>
            </c:numRef>
          </c:val>
          <c:extLst>
            <c:ext xmlns:c16="http://schemas.microsoft.com/office/drawing/2014/chart" uri="{C3380CC4-5D6E-409C-BE32-E72D297353CC}">
              <c16:uniqueId val="{00000006-5BC9-4B7B-B299-178BFEA43879}"/>
            </c:ext>
          </c:extLst>
        </c:ser>
        <c:dLbls>
          <c:dLblPos val="bestFit"/>
          <c:showLegendKey val="0"/>
          <c:showVal val="1"/>
          <c:showCatName val="0"/>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5416323892349275E-2"/>
          <c:y val="5.0297210791037952E-2"/>
          <c:w val="0.8496586644333497"/>
          <c:h val="0.60915664076513676"/>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5400000" spcFirstLastPara="1" vertOverflow="ellipsis" wrap="square" anchor="ctr" anchorCtr="1"/>
              <a:lstStyle/>
              <a:p>
                <a:pPr>
                  <a:defRPr sz="7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'Figures_2_Sources of Inputs'!$I$108:$I$133</c:f>
              <c:strCache>
                <c:ptCount val="26"/>
                <c:pt idx="0">
                  <c:v>Kagera</c:v>
                </c:pt>
                <c:pt idx="1">
                  <c:v>Kilimanjaro</c:v>
                </c:pt>
                <c:pt idx="2">
                  <c:v>Ruvuma</c:v>
                </c:pt>
                <c:pt idx="3">
                  <c:v>Tanga</c:v>
                </c:pt>
                <c:pt idx="4">
                  <c:v>Mwanza</c:v>
                </c:pt>
                <c:pt idx="5">
                  <c:v>Morogoro</c:v>
                </c:pt>
                <c:pt idx="6">
                  <c:v>Geita</c:v>
                </c:pt>
                <c:pt idx="7">
                  <c:v>Kigoma</c:v>
                </c:pt>
                <c:pt idx="8">
                  <c:v>Mtwara</c:v>
                </c:pt>
                <c:pt idx="9">
                  <c:v>Dodoma</c:v>
                </c:pt>
                <c:pt idx="10">
                  <c:v>Tabora</c:v>
                </c:pt>
                <c:pt idx="11">
                  <c:v>Singida</c:v>
                </c:pt>
                <c:pt idx="12">
                  <c:v>Pwani</c:v>
                </c:pt>
                <c:pt idx="13">
                  <c:v>Iringa</c:v>
                </c:pt>
                <c:pt idx="14">
                  <c:v>Arusha</c:v>
                </c:pt>
                <c:pt idx="15">
                  <c:v>Mara</c:v>
                </c:pt>
                <c:pt idx="16">
                  <c:v>Songwe</c:v>
                </c:pt>
                <c:pt idx="17">
                  <c:v>Dar Es Salaam</c:v>
                </c:pt>
                <c:pt idx="18">
                  <c:v>Shinyanga</c:v>
                </c:pt>
                <c:pt idx="19">
                  <c:v>Mbeya</c:v>
                </c:pt>
                <c:pt idx="20">
                  <c:v>Lindi</c:v>
                </c:pt>
                <c:pt idx="21">
                  <c:v>Manyara</c:v>
                </c:pt>
                <c:pt idx="22">
                  <c:v>Njombe</c:v>
                </c:pt>
                <c:pt idx="23">
                  <c:v>Simiyu</c:v>
                </c:pt>
                <c:pt idx="24">
                  <c:v>Rukwa</c:v>
                </c:pt>
                <c:pt idx="25">
                  <c:v>Katavi</c:v>
                </c:pt>
              </c:strCache>
            </c:strRef>
          </c:cat>
          <c:val>
            <c:numRef>
              <c:f>'Figures_2_Sources of Inputs'!$J$108:$J$133</c:f>
              <c:numCache>
                <c:formatCode>0.0</c:formatCode>
                <c:ptCount val="26"/>
                <c:pt idx="0">
                  <c:v>24.266264959210321</c:v>
                </c:pt>
                <c:pt idx="1">
                  <c:v>6.249026678007116</c:v>
                </c:pt>
                <c:pt idx="2">
                  <c:v>6.1942211627154791</c:v>
                </c:pt>
                <c:pt idx="3">
                  <c:v>5.9839836122524765</c:v>
                </c:pt>
                <c:pt idx="4">
                  <c:v>4.6342106208895864</c:v>
                </c:pt>
                <c:pt idx="5">
                  <c:v>4.6099524419900098</c:v>
                </c:pt>
                <c:pt idx="6">
                  <c:v>4.5641314374019188</c:v>
                </c:pt>
                <c:pt idx="7">
                  <c:v>4.4934532865340158</c:v>
                </c:pt>
                <c:pt idx="8">
                  <c:v>4.3476047294464344</c:v>
                </c:pt>
                <c:pt idx="9">
                  <c:v>4.288306958803024</c:v>
                </c:pt>
                <c:pt idx="10">
                  <c:v>3.6105753680654553</c:v>
                </c:pt>
                <c:pt idx="11">
                  <c:v>3.3092947758065097</c:v>
                </c:pt>
                <c:pt idx="12">
                  <c:v>3.0954634210620888</c:v>
                </c:pt>
                <c:pt idx="13">
                  <c:v>2.7486613079051714</c:v>
                </c:pt>
                <c:pt idx="14">
                  <c:v>2.6390502773218971</c:v>
                </c:pt>
                <c:pt idx="15">
                  <c:v>2.584544245720378</c:v>
                </c:pt>
                <c:pt idx="16">
                  <c:v>2.4839177258406506</c:v>
                </c:pt>
                <c:pt idx="17">
                  <c:v>2.0856044179833968</c:v>
                </c:pt>
                <c:pt idx="18">
                  <c:v>1.9930639577368616</c:v>
                </c:pt>
                <c:pt idx="19">
                  <c:v>1.9262790948404951</c:v>
                </c:pt>
                <c:pt idx="20">
                  <c:v>1.4417144842291889</c:v>
                </c:pt>
                <c:pt idx="21">
                  <c:v>0.82867137055715945</c:v>
                </c:pt>
                <c:pt idx="22">
                  <c:v>0.52589335984762275</c:v>
                </c:pt>
                <c:pt idx="23">
                  <c:v>0.46509817075362075</c:v>
                </c:pt>
                <c:pt idx="24">
                  <c:v>0.35908094445176514</c:v>
                </c:pt>
                <c:pt idx="25">
                  <c:v>0.27193119062735843</c:v>
                </c:pt>
              </c:numCache>
            </c:numRef>
          </c:val>
          <c:extLst>
            <c:ext xmlns:c16="http://schemas.microsoft.com/office/drawing/2014/chart" uri="{C3380CC4-5D6E-409C-BE32-E72D297353CC}">
              <c16:uniqueId val="{00000000-9271-D54D-A07A-D700A3FC8E3D}"/>
            </c:ext>
          </c:extLst>
        </c:ser>
        <c:dLbls>
          <c:showLegendKey val="0"/>
          <c:showVal val="0"/>
          <c:showCatName val="0"/>
          <c:showSerName val="0"/>
          <c:showPercent val="0"/>
          <c:showBubbleSize val="0"/>
        </c:dLbls>
        <c:gapWidth val="150"/>
        <c:overlap val="-27"/>
        <c:axId val="98028544"/>
        <c:axId val="104141952"/>
      </c:barChart>
      <c:catAx>
        <c:axId val="98028544"/>
        <c:scaling>
          <c:orientation val="minMax"/>
        </c:scaling>
        <c:delete val="0"/>
        <c:axPos val="b"/>
        <c:title>
          <c:tx>
            <c:rich>
              <a:bodyPr rot="0" spcFirstLastPara="1" vertOverflow="ellipsis" vert="horz" wrap="square" anchor="ctr" anchorCtr="1"/>
              <a:lstStyle/>
              <a:p>
                <a:pPr>
                  <a:defRPr sz="75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Region</a:t>
                </a:r>
              </a:p>
            </c:rich>
          </c:tx>
          <c:layout>
            <c:manualLayout>
              <c:xMode val="edge"/>
              <c:yMode val="edge"/>
              <c:x val="0.49224892269341536"/>
              <c:y val="0.89577266322217008"/>
            </c:manualLayout>
          </c:layout>
          <c:overlay val="0"/>
          <c:spPr>
            <a:noFill/>
            <a:ln>
              <a:noFill/>
            </a:ln>
            <a:effectLst/>
          </c:spPr>
          <c:txPr>
            <a:bodyPr rot="0" spcFirstLastPara="1" vertOverflow="ellipsis" vert="horz" wrap="square" anchor="ctr" anchorCtr="1"/>
            <a:lstStyle/>
            <a:p>
              <a:pPr>
                <a:defRPr sz="7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6350" cap="flat" cmpd="sng" algn="ctr">
            <a:solidFill>
              <a:sysClr val="windowText" lastClr="000000">
                <a:lumMod val="50000"/>
                <a:lumOff val="50000"/>
              </a:sysClr>
            </a:solidFill>
            <a:round/>
          </a:ln>
          <a:effectLst/>
        </c:spPr>
        <c:txPr>
          <a:bodyPr rot="-5400000" spcFirstLastPara="1" vertOverflow="ellipsis" wrap="square" anchor="ctr" anchorCtr="1"/>
          <a:lstStyle/>
          <a:p>
            <a:pPr>
              <a:defRPr sz="7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04141952"/>
        <c:crosses val="autoZero"/>
        <c:auto val="1"/>
        <c:lblAlgn val="ctr"/>
        <c:lblOffset val="100"/>
        <c:noMultiLvlLbl val="0"/>
      </c:catAx>
      <c:valAx>
        <c:axId val="104141952"/>
        <c:scaling>
          <c:orientation val="minMax"/>
        </c:scaling>
        <c:delete val="0"/>
        <c:axPos val="l"/>
        <c:title>
          <c:tx>
            <c:rich>
              <a:bodyPr rot="-5400000" spcFirstLastPara="1" vertOverflow="ellipsis" vert="horz" wrap="square" anchor="ctr" anchorCtr="1"/>
              <a:lstStyle/>
              <a:p>
                <a:pPr>
                  <a:defRPr sz="75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Percent</a:t>
                </a:r>
              </a:p>
            </c:rich>
          </c:tx>
          <c:overlay val="0"/>
          <c:spPr>
            <a:noFill/>
            <a:ln>
              <a:noFill/>
            </a:ln>
            <a:effectLst/>
          </c:spPr>
          <c:txPr>
            <a:bodyPr rot="-5400000" spcFirstLastPara="1" vertOverflow="ellipsis" vert="horz" wrap="square" anchor="ctr" anchorCtr="1"/>
            <a:lstStyle/>
            <a:p>
              <a:pPr>
                <a:defRPr sz="7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w="6350">
            <a:solidFill>
              <a:sysClr val="windowText" lastClr="000000">
                <a:lumMod val="50000"/>
                <a:lumOff val="50000"/>
              </a:sysClr>
            </a:solidFill>
          </a:ln>
          <a:effectLst/>
        </c:spPr>
        <c:txPr>
          <a:bodyPr rot="-60000000" spcFirstLastPara="1" vertOverflow="ellipsis" vert="horz" wrap="square" anchor="ctr" anchorCtr="1"/>
          <a:lstStyle/>
          <a:p>
            <a:pPr>
              <a:defRPr sz="7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980285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75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469756255968209"/>
          <c:y val="5.0297210791037952E-2"/>
          <c:w val="0.79809210251331897"/>
          <c:h val="0.68414827776157616"/>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'Figures_2_Sources of Inputs'!$I$135:$I$139</c:f>
              <c:strCache>
                <c:ptCount val="5"/>
                <c:pt idx="0">
                  <c:v>Mjini Magharibi</c:v>
                </c:pt>
                <c:pt idx="1">
                  <c:v>Kusini  Pemba</c:v>
                </c:pt>
                <c:pt idx="2">
                  <c:v>Kaskazini Unguja</c:v>
                </c:pt>
                <c:pt idx="3">
                  <c:v>Kusini Unguja</c:v>
                </c:pt>
                <c:pt idx="4">
                  <c:v>Kaskazini Pemba</c:v>
                </c:pt>
              </c:strCache>
            </c:strRef>
          </c:cat>
          <c:val>
            <c:numRef>
              <c:f>'Figures_2_Sources of Inputs'!$J$135:$J$139</c:f>
              <c:numCache>
                <c:formatCode>0.0</c:formatCode>
                <c:ptCount val="5"/>
                <c:pt idx="0">
                  <c:v>42.489212513484361</c:v>
                </c:pt>
                <c:pt idx="1">
                  <c:v>27.521574973031285</c:v>
                </c:pt>
                <c:pt idx="2">
                  <c:v>20.334412081984897</c:v>
                </c:pt>
                <c:pt idx="3">
                  <c:v>6.6814994606256741</c:v>
                </c:pt>
                <c:pt idx="4">
                  <c:v>2.9733009708737868</c:v>
                </c:pt>
              </c:numCache>
            </c:numRef>
          </c:val>
          <c:extLst>
            <c:ext xmlns:c16="http://schemas.microsoft.com/office/drawing/2014/chart" uri="{C3380CC4-5D6E-409C-BE32-E72D297353CC}">
              <c16:uniqueId val="{00000000-7E68-4A75-8BD8-747FBEA87B82}"/>
            </c:ext>
          </c:extLst>
        </c:ser>
        <c:dLbls>
          <c:showLegendKey val="0"/>
          <c:showVal val="0"/>
          <c:showCatName val="0"/>
          <c:showSerName val="0"/>
          <c:showPercent val="0"/>
          <c:showBubbleSize val="0"/>
        </c:dLbls>
        <c:gapWidth val="300"/>
        <c:overlap val="-28"/>
        <c:axId val="104193408"/>
        <c:axId val="104195584"/>
      </c:barChart>
      <c:catAx>
        <c:axId val="104193408"/>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Region</a:t>
                </a:r>
              </a:p>
            </c:rich>
          </c:tx>
          <c:layout>
            <c:manualLayout>
              <c:xMode val="edge"/>
              <c:yMode val="edge"/>
              <c:x val="0.51755129031823721"/>
              <c:y val="0.9095389371085647"/>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6350" cap="flat" cmpd="sng" algn="ctr">
            <a:solidFill>
              <a:sysClr val="windowText" lastClr="000000">
                <a:lumMod val="65000"/>
                <a:lumOff val="35000"/>
              </a:sysClr>
            </a:solidFill>
            <a:round/>
          </a:ln>
          <a:effectLst/>
        </c:spPr>
        <c:txPr>
          <a:bodyPr rot="0" spcFirstLastPara="1" vertOverflow="ellipsis"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04195584"/>
        <c:crosses val="autoZero"/>
        <c:auto val="1"/>
        <c:lblAlgn val="ctr"/>
        <c:lblOffset val="100"/>
        <c:noMultiLvlLbl val="0"/>
      </c:catAx>
      <c:valAx>
        <c:axId val="104195584"/>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Percent</a:t>
                </a:r>
              </a:p>
            </c:rich>
          </c:tx>
          <c:layout>
            <c:manualLayout>
              <c:xMode val="edge"/>
              <c:yMode val="edge"/>
              <c:x val="2.8169516487048223E-2"/>
              <c:y val="0.33151873927255227"/>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w="6350">
            <a:solidFill>
              <a:sysClr val="windowText" lastClr="000000">
                <a:lumMod val="50000"/>
                <a:lumOff val="50000"/>
              </a:sysClr>
            </a:solid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041934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8748632978024165E-2"/>
          <c:y val="0.19509653388947368"/>
          <c:w val="0.78386263961306413"/>
          <c:h val="0.74837912548165531"/>
        </c:manualLayout>
      </c:layout>
      <c:pie3DChart>
        <c:varyColors val="1"/>
        <c:ser>
          <c:idx val="0"/>
          <c:order val="0"/>
          <c:explosion val="11"/>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2AC8-451B-AC9E-BCF3AF3F07A5}"/>
              </c:ext>
            </c:extLst>
          </c:dPt>
          <c:dPt>
            <c:idx val="1"/>
            <c:bubble3D val="0"/>
            <c:spPr>
              <a:solidFill>
                <a:srgbClr val="FFFF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2AC8-451B-AC9E-BCF3AF3F07A5}"/>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2AC8-451B-AC9E-BCF3AF3F07A5}"/>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2AC8-451B-AC9E-BCF3AF3F07A5}"/>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2AC8-451B-AC9E-BCF3AF3F07A5}"/>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B-2AC8-451B-AC9E-BCF3AF3F07A5}"/>
              </c:ext>
            </c:extLst>
          </c:dPt>
          <c:dPt>
            <c:idx val="6"/>
            <c:bubble3D val="0"/>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D-2AC8-451B-AC9E-BCF3AF3F07A5}"/>
              </c:ext>
            </c:extLst>
          </c:dPt>
          <c:dPt>
            <c:idx val="7"/>
            <c:bubble3D val="0"/>
            <c:spPr>
              <a:solidFill>
                <a:schemeClr val="accent2">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F-2AC8-451B-AC9E-BCF3AF3F07A5}"/>
              </c:ext>
            </c:extLst>
          </c:dPt>
          <c:dPt>
            <c:idx val="8"/>
            <c:bubble3D val="0"/>
            <c:spPr>
              <a:solidFill>
                <a:schemeClr val="accent3">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1-2AC8-451B-AC9E-BCF3AF3F07A5}"/>
              </c:ext>
            </c:extLst>
          </c:dPt>
          <c:dPt>
            <c:idx val="9"/>
            <c:bubble3D val="0"/>
            <c:spPr>
              <a:solidFill>
                <a:schemeClr val="accent4">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3-2AC8-451B-AC9E-BCF3AF3F07A5}"/>
              </c:ext>
            </c:extLst>
          </c:dPt>
          <c:dPt>
            <c:idx val="10"/>
            <c:bubble3D val="0"/>
            <c:spPr>
              <a:solidFill>
                <a:schemeClr val="accent5">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5-2AC8-451B-AC9E-BCF3AF3F07A5}"/>
              </c:ext>
            </c:extLst>
          </c:dPt>
          <c:dLbls>
            <c:dLbl>
              <c:idx val="0"/>
              <c:layout>
                <c:manualLayout>
                  <c:x val="-0.12210547955550463"/>
                  <c:y val="-9.1160201165832608E-2"/>
                </c:manualLayout>
              </c:layout>
              <c:numFmt formatCode="0.0%" sourceLinked="0"/>
              <c:spPr>
                <a:noFill/>
                <a:ln>
                  <a:noFill/>
                </a:ln>
                <a:effectLst/>
              </c:spPr>
              <c:txPr>
                <a:bodyPr rot="0" spcFirstLastPara="1" vertOverflow="ellipsis" vert="horz" wrap="square" anchor="ctr" anchorCtr="1"/>
                <a:lstStyle/>
                <a:p>
                  <a:pPr>
                    <a:defRPr sz="6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2AC8-451B-AC9E-BCF3AF3F07A5}"/>
                </c:ext>
              </c:extLst>
            </c:dLbl>
            <c:dLbl>
              <c:idx val="1"/>
              <c:layout>
                <c:manualLayout>
                  <c:x val="8.9251117134612999E-3"/>
                  <c:y val="-6.8064630219094951E-2"/>
                </c:manualLayout>
              </c:layout>
              <c:numFmt formatCode="0.0%" sourceLinked="0"/>
              <c:spPr>
                <a:noFill/>
                <a:ln>
                  <a:noFill/>
                </a:ln>
                <a:effectLst/>
              </c:spPr>
              <c:txPr>
                <a:bodyPr rot="0" spcFirstLastPara="1" vertOverflow="ellipsis" vert="horz" wrap="square" anchor="ctr" anchorCtr="1"/>
                <a:lstStyle/>
                <a:p>
                  <a:pPr>
                    <a:defRPr sz="6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2AC8-451B-AC9E-BCF3AF3F07A5}"/>
                </c:ext>
              </c:extLst>
            </c:dLbl>
            <c:dLbl>
              <c:idx val="2"/>
              <c:layout>
                <c:manualLayout>
                  <c:x val="0.27808614092221756"/>
                  <c:y val="0.13613906850512189"/>
                </c:manualLayout>
              </c:layout>
              <c:numFmt formatCode="0.0%" sourceLinked="0"/>
              <c:spPr>
                <a:noFill/>
                <a:ln>
                  <a:noFill/>
                </a:ln>
                <a:effectLst/>
              </c:spPr>
              <c:txPr>
                <a:bodyPr rot="0" spcFirstLastPara="1" vertOverflow="ellipsis" vert="horz" wrap="square" anchor="ctr" anchorCtr="1"/>
                <a:lstStyle/>
                <a:p>
                  <a:pPr>
                    <a:defRPr sz="6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2AC8-451B-AC9E-BCF3AF3F07A5}"/>
                </c:ext>
              </c:extLst>
            </c:dLbl>
            <c:dLbl>
              <c:idx val="3"/>
              <c:layout>
                <c:manualLayout>
                  <c:x val="0.29839405667511898"/>
                  <c:y val="-5.5323802609780162E-2"/>
                </c:manualLayout>
              </c:layout>
              <c:numFmt formatCode="0.0%" sourceLinked="0"/>
              <c:spPr>
                <a:noFill/>
                <a:ln>
                  <a:noFill/>
                </a:ln>
                <a:effectLst/>
              </c:spPr>
              <c:txPr>
                <a:bodyPr rot="0" spcFirstLastPara="1" vertOverflow="ellipsis" vert="horz" wrap="square" anchor="ctr" anchorCtr="1"/>
                <a:lstStyle/>
                <a:p>
                  <a:pPr>
                    <a:defRPr sz="6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2AC8-451B-AC9E-BCF3AF3F07A5}"/>
                </c:ext>
              </c:extLst>
            </c:dLbl>
            <c:dLbl>
              <c:idx val="4"/>
              <c:layout>
                <c:manualLayout>
                  <c:x val="6.2411984413550371E-2"/>
                  <c:y val="-0.15337690369102025"/>
                </c:manualLayout>
              </c:layout>
              <c:numFmt formatCode="0.0%" sourceLinked="0"/>
              <c:spPr>
                <a:noFill/>
                <a:ln>
                  <a:noFill/>
                </a:ln>
                <a:effectLst/>
              </c:spPr>
              <c:txPr>
                <a:bodyPr rot="0" spcFirstLastPara="1" vertOverflow="ellipsis" vert="horz" wrap="square" anchor="ctr" anchorCtr="1"/>
                <a:lstStyle/>
                <a:p>
                  <a:pPr>
                    <a:defRPr sz="6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2AC8-451B-AC9E-BCF3AF3F07A5}"/>
                </c:ext>
              </c:extLst>
            </c:dLbl>
            <c:dLbl>
              <c:idx val="5"/>
              <c:layout>
                <c:manualLayout>
                  <c:x val="0.1487466750948874"/>
                  <c:y val="1.6574582030151365E-2"/>
                </c:manualLayout>
              </c:layout>
              <c:numFmt formatCode="0.0%" sourceLinked="0"/>
              <c:spPr>
                <a:noFill/>
                <a:ln>
                  <a:noFill/>
                </a:ln>
                <a:effectLst/>
              </c:spPr>
              <c:txPr>
                <a:bodyPr rot="0" spcFirstLastPara="1" vertOverflow="ellipsis" vert="horz" wrap="square" anchor="ctr" anchorCtr="1"/>
                <a:lstStyle/>
                <a:p>
                  <a:pPr>
                    <a:defRPr sz="6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2AC8-451B-AC9E-BCF3AF3F07A5}"/>
                </c:ext>
              </c:extLst>
            </c:dLbl>
            <c:dLbl>
              <c:idx val="6"/>
              <c:layout>
                <c:manualLayout>
                  <c:x val="0.29482689590744465"/>
                  <c:y val="0.31392681632880987"/>
                </c:manualLayout>
              </c:layout>
              <c:numFmt formatCode="0.0%" sourceLinked="0"/>
              <c:spPr>
                <a:noFill/>
                <a:ln>
                  <a:noFill/>
                </a:ln>
                <a:effectLst/>
              </c:spPr>
              <c:txPr>
                <a:bodyPr rot="0" spcFirstLastPara="1" vertOverflow="ellipsis" vert="horz" wrap="square" anchor="ctr" anchorCtr="1"/>
                <a:lstStyle/>
                <a:p>
                  <a:pPr>
                    <a:defRPr sz="6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0"/>
              <c:showCatName val="1"/>
              <c:showSerName val="0"/>
              <c:showPercent val="1"/>
              <c:showBubbleSize val="0"/>
              <c:extLst>
                <c:ext xmlns:c15="http://schemas.microsoft.com/office/drawing/2012/chart" uri="{CE6537A1-D6FC-4f65-9D91-7224C49458BB}">
                  <c15:layout>
                    <c:manualLayout>
                      <c:w val="0.14087263054713134"/>
                      <c:h val="0.1643026004728132"/>
                    </c:manualLayout>
                  </c15:layout>
                </c:ext>
                <c:ext xmlns:c16="http://schemas.microsoft.com/office/drawing/2014/chart" uri="{C3380CC4-5D6E-409C-BE32-E72D297353CC}">
                  <c16:uniqueId val="{0000000D-2AC8-451B-AC9E-BCF3AF3F07A5}"/>
                </c:ext>
              </c:extLst>
            </c:dLbl>
            <c:dLbl>
              <c:idx val="7"/>
              <c:layout>
                <c:manualLayout>
                  <c:x val="0.37596438668427695"/>
                  <c:y val="-1.8316859328754119E-3"/>
                </c:manualLayout>
              </c:layout>
              <c:numFmt formatCode="0.0%" sourceLinked="0"/>
              <c:spPr>
                <a:noFill/>
                <a:ln>
                  <a:noFill/>
                </a:ln>
                <a:effectLst/>
              </c:spPr>
              <c:txPr>
                <a:bodyPr rot="0" spcFirstLastPara="1" vertOverflow="ellipsis" vert="horz" wrap="square" anchor="ctr" anchorCtr="1"/>
                <a:lstStyle/>
                <a:p>
                  <a:pPr>
                    <a:defRPr sz="6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0"/>
              <c:showCatName val="1"/>
              <c:showSerName val="0"/>
              <c:showPercent val="1"/>
              <c:showBubbleSize val="0"/>
              <c:extLst>
                <c:ext xmlns:c15="http://schemas.microsoft.com/office/drawing/2012/chart" uri="{CE6537A1-D6FC-4f65-9D91-7224C49458BB}">
                  <c15:layout>
                    <c:manualLayout>
                      <c:w val="0.1947788817455679"/>
                      <c:h val="0.18735224586288415"/>
                    </c:manualLayout>
                  </c15:layout>
                </c:ext>
                <c:ext xmlns:c16="http://schemas.microsoft.com/office/drawing/2014/chart" uri="{C3380CC4-5D6E-409C-BE32-E72D297353CC}">
                  <c16:uniqueId val="{0000000F-2AC8-451B-AC9E-BCF3AF3F07A5}"/>
                </c:ext>
              </c:extLst>
            </c:dLbl>
            <c:dLbl>
              <c:idx val="8"/>
              <c:layout>
                <c:manualLayout>
                  <c:x val="-0.22777777777777777"/>
                  <c:y val="6.0185185185185182E-2"/>
                </c:manualLayout>
              </c:layout>
              <c:numFmt formatCode="0.0%" sourceLinked="0"/>
              <c:spPr>
                <a:noFill/>
                <a:ln>
                  <a:noFill/>
                </a:ln>
                <a:effectLst/>
              </c:spPr>
              <c:txPr>
                <a:bodyPr rot="0" spcFirstLastPara="1" vertOverflow="ellipsis" vert="horz" wrap="square" anchor="ctr" anchorCtr="1"/>
                <a:lstStyle/>
                <a:p>
                  <a:pPr>
                    <a:defRPr sz="6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1-2AC8-451B-AC9E-BCF3AF3F07A5}"/>
                </c:ext>
              </c:extLst>
            </c:dLbl>
            <c:dLbl>
              <c:idx val="9"/>
              <c:layout>
                <c:manualLayout>
                  <c:x val="-0.20180858456398384"/>
                  <c:y val="-7.0429627147670384E-2"/>
                </c:manualLayout>
              </c:layout>
              <c:numFmt formatCode="0.00%" sourceLinked="0"/>
              <c:spPr>
                <a:noFill/>
                <a:ln>
                  <a:noFill/>
                </a:ln>
                <a:effectLst/>
              </c:spPr>
              <c:txPr>
                <a:bodyPr rot="0" spcFirstLastPara="1" vertOverflow="ellipsis" vert="horz" wrap="square" anchor="ctr" anchorCtr="1"/>
                <a:lstStyle/>
                <a:p>
                  <a:pPr>
                    <a:defRPr sz="6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3-2AC8-451B-AC9E-BCF3AF3F07A5}"/>
                </c:ext>
              </c:extLst>
            </c:dLbl>
            <c:dLbl>
              <c:idx val="10"/>
              <c:layout>
                <c:manualLayout>
                  <c:x val="-0.43803764739810797"/>
                  <c:y val="-6.2918597941214807E-2"/>
                </c:manualLayout>
              </c:layout>
              <c:numFmt formatCode="0.0%" sourceLinked="0"/>
              <c:spPr>
                <a:noFill/>
                <a:ln>
                  <a:noFill/>
                </a:ln>
                <a:effectLst/>
              </c:spPr>
              <c:txPr>
                <a:bodyPr rot="0" spcFirstLastPara="1" vertOverflow="ellipsis" vert="horz" wrap="square" anchor="ctr" anchorCtr="1"/>
                <a:lstStyle/>
                <a:p>
                  <a:pPr>
                    <a:defRPr sz="6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5-2AC8-451B-AC9E-BCF3AF3F07A5}"/>
                </c:ext>
              </c:extLst>
            </c:dLbl>
            <c:numFmt formatCode="0.0%" sourceLinked="0"/>
            <c:spPr>
              <a:noFill/>
              <a:ln>
                <a:noFill/>
              </a:ln>
              <a:effectLst/>
            </c:spPr>
            <c:txPr>
              <a:bodyPr rot="0" spcFirstLastPara="1" vertOverflow="ellipsis" vert="horz" wrap="square" anchor="ctr" anchorCtr="1"/>
              <a:lstStyle/>
              <a:p>
                <a:pPr>
                  <a:defRPr sz="6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'NEW_Figures_Sec 12_by Crop grow'!$B$69:$L$69</c:f>
              <c:strCache>
                <c:ptCount val="11"/>
                <c:pt idx="0">
                  <c:v> Government </c:v>
                </c:pt>
                <c:pt idx="1">
                  <c:v> Local Farmers Group </c:v>
                </c:pt>
                <c:pt idx="2">
                  <c:v> Local Market /Trade Store </c:v>
                </c:pt>
                <c:pt idx="3">
                  <c:v> Secondary Market </c:v>
                </c:pt>
                <c:pt idx="4">
                  <c:v> Development Project </c:v>
                </c:pt>
                <c:pt idx="5">
                  <c:v> Crop Buyers </c:v>
                </c:pt>
                <c:pt idx="6">
                  <c:v> Large Scale Farm </c:v>
                </c:pt>
                <c:pt idx="7">
                  <c:v> Locally Produced by Household </c:v>
                </c:pt>
                <c:pt idx="8">
                  <c:v> Neighbour </c:v>
                </c:pt>
                <c:pt idx="9">
                  <c:v> Cooperative </c:v>
                </c:pt>
                <c:pt idx="10">
                  <c:v> Other </c:v>
                </c:pt>
              </c:strCache>
            </c:strRef>
          </c:cat>
          <c:val>
            <c:numRef>
              <c:f>'NEW_Figures_Sec 12_by Crop grow'!$B$91:$L$91</c:f>
              <c:numCache>
                <c:formatCode>0.0</c:formatCode>
                <c:ptCount val="11"/>
                <c:pt idx="0">
                  <c:v>0.16918047829328439</c:v>
                </c:pt>
                <c:pt idx="1">
                  <c:v>0.21821414234099901</c:v>
                </c:pt>
                <c:pt idx="2">
                  <c:v>2.3040087170958308</c:v>
                </c:pt>
                <c:pt idx="3">
                  <c:v>0</c:v>
                </c:pt>
                <c:pt idx="4">
                  <c:v>0.11125767047083787</c:v>
                </c:pt>
                <c:pt idx="5">
                  <c:v>0.20989849171302402</c:v>
                </c:pt>
                <c:pt idx="6">
                  <c:v>0.42811263405402306</c:v>
                </c:pt>
                <c:pt idx="7">
                  <c:v>92.944600562023282</c:v>
                </c:pt>
                <c:pt idx="8">
                  <c:v>2.2400642312324366</c:v>
                </c:pt>
                <c:pt idx="9">
                  <c:v>1.4624075242300853E-2</c:v>
                </c:pt>
                <c:pt idx="10">
                  <c:v>1.3600389975339795</c:v>
                </c:pt>
              </c:numCache>
            </c:numRef>
          </c:val>
          <c:extLst>
            <c:ext xmlns:c16="http://schemas.microsoft.com/office/drawing/2014/chart" uri="{C3380CC4-5D6E-409C-BE32-E72D297353CC}">
              <c16:uniqueId val="{00000016-2AC8-451B-AC9E-BCF3AF3F07A5}"/>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550" b="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4236953751069358E-2"/>
          <c:y val="5.1305970149253734E-2"/>
          <c:w val="0.88137280234649162"/>
          <c:h val="0.63997453911075486"/>
        </c:manualLayout>
      </c:layout>
      <c:barChart>
        <c:barDir val="col"/>
        <c:grouping val="clustered"/>
        <c:varyColors val="0"/>
        <c:ser>
          <c:idx val="0"/>
          <c:order val="0"/>
          <c:spPr>
            <a:solidFill>
              <a:schemeClr val="accent4"/>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'Figures_2_Sources of Inputs'!$I$67:$I$92</c:f>
              <c:strCache>
                <c:ptCount val="26"/>
                <c:pt idx="0">
                  <c:v>Kilimanjaro</c:v>
                </c:pt>
                <c:pt idx="1">
                  <c:v>Mwanza</c:v>
                </c:pt>
                <c:pt idx="2">
                  <c:v>Dar Es Salaam</c:v>
                </c:pt>
                <c:pt idx="3">
                  <c:v>Dodoma</c:v>
                </c:pt>
                <c:pt idx="4">
                  <c:v>Singida</c:v>
                </c:pt>
                <c:pt idx="5">
                  <c:v>Kagera</c:v>
                </c:pt>
                <c:pt idx="6">
                  <c:v>Tabora</c:v>
                </c:pt>
                <c:pt idx="7">
                  <c:v>Mbeya</c:v>
                </c:pt>
                <c:pt idx="8">
                  <c:v>Manyara</c:v>
                </c:pt>
                <c:pt idx="9">
                  <c:v>Geita</c:v>
                </c:pt>
                <c:pt idx="10">
                  <c:v>Tanga</c:v>
                </c:pt>
                <c:pt idx="11">
                  <c:v>Shinyanga</c:v>
                </c:pt>
                <c:pt idx="12">
                  <c:v>Mara</c:v>
                </c:pt>
                <c:pt idx="13">
                  <c:v>Arusha</c:v>
                </c:pt>
                <c:pt idx="14">
                  <c:v>Kigoma</c:v>
                </c:pt>
                <c:pt idx="15">
                  <c:v>Iringa</c:v>
                </c:pt>
                <c:pt idx="16">
                  <c:v>Simiyu</c:v>
                </c:pt>
                <c:pt idx="17">
                  <c:v>Ruvuma</c:v>
                </c:pt>
                <c:pt idx="18">
                  <c:v>Njombe</c:v>
                </c:pt>
                <c:pt idx="19">
                  <c:v>Rukwa</c:v>
                </c:pt>
                <c:pt idx="20">
                  <c:v>Pwani</c:v>
                </c:pt>
                <c:pt idx="21">
                  <c:v>Songwe</c:v>
                </c:pt>
                <c:pt idx="22">
                  <c:v>Morogoro</c:v>
                </c:pt>
                <c:pt idx="23">
                  <c:v>Mtwara</c:v>
                </c:pt>
                <c:pt idx="24">
                  <c:v>Katavi</c:v>
                </c:pt>
                <c:pt idx="25">
                  <c:v>Lindi</c:v>
                </c:pt>
              </c:strCache>
            </c:strRef>
          </c:cat>
          <c:val>
            <c:numRef>
              <c:f>'Figures_2_Sources of Inputs'!$J$67:$J$92</c:f>
              <c:numCache>
                <c:formatCode>0.0</c:formatCode>
                <c:ptCount val="26"/>
                <c:pt idx="0">
                  <c:v>10.397492376403655</c:v>
                </c:pt>
                <c:pt idx="1">
                  <c:v>8.8336866106957252</c:v>
                </c:pt>
                <c:pt idx="2">
                  <c:v>8.3232100459906242</c:v>
                </c:pt>
                <c:pt idx="3">
                  <c:v>7.5249461782399587</c:v>
                </c:pt>
                <c:pt idx="4">
                  <c:v>5.8981177603506572</c:v>
                </c:pt>
                <c:pt idx="5">
                  <c:v>5.4200864468783374</c:v>
                </c:pt>
                <c:pt idx="6">
                  <c:v>4.9566520374787615</c:v>
                </c:pt>
                <c:pt idx="7">
                  <c:v>4.927734947893895</c:v>
                </c:pt>
                <c:pt idx="8">
                  <c:v>4.8370404396504485</c:v>
                </c:pt>
                <c:pt idx="9">
                  <c:v>4.6494944351897454</c:v>
                </c:pt>
                <c:pt idx="10">
                  <c:v>4.233655618216936</c:v>
                </c:pt>
                <c:pt idx="11">
                  <c:v>4.0679703800452707</c:v>
                </c:pt>
                <c:pt idx="12">
                  <c:v>3.9895206681092925</c:v>
                </c:pt>
                <c:pt idx="13">
                  <c:v>3.7534797358998055</c:v>
                </c:pt>
                <c:pt idx="14">
                  <c:v>3.5756880607009833</c:v>
                </c:pt>
                <c:pt idx="15">
                  <c:v>3.2124949498862687</c:v>
                </c:pt>
                <c:pt idx="16">
                  <c:v>2.2307666764440555</c:v>
                </c:pt>
                <c:pt idx="17">
                  <c:v>2.1260287012491075</c:v>
                </c:pt>
                <c:pt idx="18">
                  <c:v>1.4629418503616711</c:v>
                </c:pt>
                <c:pt idx="19">
                  <c:v>1.2399758701415138</c:v>
                </c:pt>
                <c:pt idx="20">
                  <c:v>1.2052476907836116</c:v>
                </c:pt>
                <c:pt idx="21">
                  <c:v>0.92659210023853134</c:v>
                </c:pt>
                <c:pt idx="22">
                  <c:v>0.90770605847616614</c:v>
                </c:pt>
                <c:pt idx="23">
                  <c:v>0.87366967551981578</c:v>
                </c:pt>
                <c:pt idx="24">
                  <c:v>0.22379613590201947</c:v>
                </c:pt>
                <c:pt idx="25">
                  <c:v>0.2020045492531366</c:v>
                </c:pt>
              </c:numCache>
            </c:numRef>
          </c:val>
          <c:extLst>
            <c:ext xmlns:c16="http://schemas.microsoft.com/office/drawing/2014/chart" uri="{C3380CC4-5D6E-409C-BE32-E72D297353CC}">
              <c16:uniqueId val="{00000000-B0A9-4FB9-93F3-E942E72A0874}"/>
            </c:ext>
          </c:extLst>
        </c:ser>
        <c:dLbls>
          <c:showLegendKey val="0"/>
          <c:showVal val="0"/>
          <c:showCatName val="0"/>
          <c:showSerName val="0"/>
          <c:showPercent val="0"/>
          <c:showBubbleSize val="0"/>
        </c:dLbls>
        <c:gapWidth val="219"/>
        <c:overlap val="-27"/>
        <c:axId val="104227584"/>
        <c:axId val="104229504"/>
      </c:barChart>
      <c:catAx>
        <c:axId val="104227584"/>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Region</a:t>
                </a:r>
              </a:p>
            </c:rich>
          </c:tx>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6350" cap="flat" cmpd="sng" algn="ctr">
            <a:solidFill>
              <a:sysClr val="windowText" lastClr="000000">
                <a:lumMod val="50000"/>
                <a:lumOff val="50000"/>
              </a:sysClr>
            </a:solidFill>
            <a:round/>
          </a:ln>
          <a:effectLst/>
        </c:spPr>
        <c:txPr>
          <a:bodyPr rot="-5400000" spcFirstLastPara="1" vertOverflow="ellipsis"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04229504"/>
        <c:crosses val="autoZero"/>
        <c:auto val="1"/>
        <c:lblAlgn val="ctr"/>
        <c:lblOffset val="100"/>
        <c:noMultiLvlLbl val="0"/>
      </c:catAx>
      <c:valAx>
        <c:axId val="104229504"/>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Percent</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w="6350">
            <a:solidFill>
              <a:sysClr val="windowText" lastClr="000000">
                <a:lumMod val="50000"/>
                <a:lumOff val="50000"/>
              </a:sysClr>
            </a:solid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042275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'Figures_2_Sources of Inputs'!$I$94:$I$98</c:f>
              <c:strCache>
                <c:ptCount val="5"/>
                <c:pt idx="0">
                  <c:v> Mjini Magharibi </c:v>
                </c:pt>
                <c:pt idx="1">
                  <c:v> Kaskazini Unguja </c:v>
                </c:pt>
                <c:pt idx="2">
                  <c:v> Kusini  Pemba </c:v>
                </c:pt>
                <c:pt idx="3">
                  <c:v> Kaskazini Pemba </c:v>
                </c:pt>
                <c:pt idx="4">
                  <c:v> Kusini Unguja </c:v>
                </c:pt>
              </c:strCache>
            </c:strRef>
          </c:cat>
          <c:val>
            <c:numRef>
              <c:f>'Figures_2_Sources of Inputs'!$J$94:$J$98</c:f>
              <c:numCache>
                <c:formatCode>0.0</c:formatCode>
                <c:ptCount val="5"/>
                <c:pt idx="0">
                  <c:v>31.376639431341868</c:v>
                </c:pt>
                <c:pt idx="1">
                  <c:v>19.51478627030577</c:v>
                </c:pt>
                <c:pt idx="2">
                  <c:v>19.431728187595372</c:v>
                </c:pt>
                <c:pt idx="3">
                  <c:v>15.081802553553146</c:v>
                </c:pt>
                <c:pt idx="4">
                  <c:v>14.595043557203839</c:v>
                </c:pt>
              </c:numCache>
            </c:numRef>
          </c:val>
          <c:extLst>
            <c:ext xmlns:c16="http://schemas.microsoft.com/office/drawing/2014/chart" uri="{C3380CC4-5D6E-409C-BE32-E72D297353CC}">
              <c16:uniqueId val="{00000000-AB41-40DE-B7C5-70C3F638D41D}"/>
            </c:ext>
          </c:extLst>
        </c:ser>
        <c:dLbls>
          <c:showLegendKey val="0"/>
          <c:showVal val="0"/>
          <c:showCatName val="0"/>
          <c:showSerName val="0"/>
          <c:showPercent val="0"/>
          <c:showBubbleSize val="0"/>
        </c:dLbls>
        <c:gapWidth val="219"/>
        <c:overlap val="-27"/>
        <c:axId val="104599936"/>
        <c:axId val="104601856"/>
      </c:barChart>
      <c:catAx>
        <c:axId val="10459993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 Region</a:t>
                </a:r>
              </a:p>
            </c:rich>
          </c:tx>
          <c:layout>
            <c:manualLayout>
              <c:xMode val="edge"/>
              <c:yMode val="edge"/>
              <c:x val="0.49267936915338811"/>
              <c:y val="0.8884534217666565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6350" cap="flat" cmpd="sng" algn="ctr">
            <a:solidFill>
              <a:sysClr val="windowText" lastClr="000000">
                <a:lumMod val="50000"/>
                <a:lumOff val="50000"/>
              </a:sys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04601856"/>
        <c:crosses val="autoZero"/>
        <c:auto val="1"/>
        <c:lblAlgn val="ctr"/>
        <c:lblOffset val="100"/>
        <c:noMultiLvlLbl val="0"/>
      </c:catAx>
      <c:valAx>
        <c:axId val="10460185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Percent</a:t>
                </a:r>
              </a:p>
            </c:rich>
          </c:tx>
          <c:layout>
            <c:manualLayout>
              <c:xMode val="edge"/>
              <c:yMode val="edge"/>
              <c:x val="2.1648368640791713E-2"/>
              <c:y val="0.2659128944426112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w="6350">
            <a:solidFill>
              <a:sysClr val="windowText" lastClr="000000">
                <a:lumMod val="50000"/>
                <a:lumOff val="50000"/>
              </a:sysClr>
            </a:solid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045999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lumMod val="50000"/>
          <a:lumOff val="50000"/>
        </a:sys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949649916722214"/>
          <c:y val="0.30198055108472516"/>
          <c:w val="0.68733111127466961"/>
          <c:h val="0.62709236223027021"/>
        </c:manualLayout>
      </c:layout>
      <c:pie3DChart>
        <c:varyColors val="1"/>
        <c:ser>
          <c:idx val="0"/>
          <c:order val="0"/>
          <c:explosion val="8"/>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extLst>
              <c:ext xmlns:c16="http://schemas.microsoft.com/office/drawing/2014/chart" uri="{C3380CC4-5D6E-409C-BE32-E72D297353CC}">
                <c16:uniqueId val="{00000001-499C-4295-8E88-5686A15986C4}"/>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extLst>
              <c:ext xmlns:c16="http://schemas.microsoft.com/office/drawing/2014/chart" uri="{C3380CC4-5D6E-409C-BE32-E72D297353CC}">
                <c16:uniqueId val="{00000003-499C-4295-8E88-5686A15986C4}"/>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sp3d/>
            </c:spPr>
            <c:extLst>
              <c:ext xmlns:c16="http://schemas.microsoft.com/office/drawing/2014/chart" uri="{C3380CC4-5D6E-409C-BE32-E72D297353CC}">
                <c16:uniqueId val="{00000005-499C-4295-8E88-5686A15986C4}"/>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p3d/>
            </c:spPr>
            <c:extLst>
              <c:ext xmlns:c16="http://schemas.microsoft.com/office/drawing/2014/chart" uri="{C3380CC4-5D6E-409C-BE32-E72D297353CC}">
                <c16:uniqueId val="{00000007-499C-4295-8E88-5686A15986C4}"/>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sp3d/>
            </c:spPr>
            <c:extLst>
              <c:ext xmlns:c16="http://schemas.microsoft.com/office/drawing/2014/chart" uri="{C3380CC4-5D6E-409C-BE32-E72D297353CC}">
                <c16:uniqueId val="{00000009-499C-4295-8E88-5686A15986C4}"/>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sp3d/>
            </c:spPr>
            <c:extLst>
              <c:ext xmlns:c16="http://schemas.microsoft.com/office/drawing/2014/chart" uri="{C3380CC4-5D6E-409C-BE32-E72D297353CC}">
                <c16:uniqueId val="{0000000B-499C-4295-8E88-5686A15986C4}"/>
              </c:ext>
            </c:extLst>
          </c:dPt>
          <c:dPt>
            <c:idx val="6"/>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sp3d/>
            </c:spPr>
            <c:extLst>
              <c:ext xmlns:c16="http://schemas.microsoft.com/office/drawing/2014/chart" uri="{C3380CC4-5D6E-409C-BE32-E72D297353CC}">
                <c16:uniqueId val="{0000000D-499C-4295-8E88-5686A15986C4}"/>
              </c:ext>
            </c:extLst>
          </c:dPt>
          <c:dPt>
            <c:idx val="7"/>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sp3d/>
            </c:spPr>
            <c:extLst>
              <c:ext xmlns:c16="http://schemas.microsoft.com/office/drawing/2014/chart" uri="{C3380CC4-5D6E-409C-BE32-E72D297353CC}">
                <c16:uniqueId val="{0000000F-499C-4295-8E88-5686A15986C4}"/>
              </c:ext>
            </c:extLst>
          </c:dPt>
          <c:dPt>
            <c:idx val="8"/>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sp3d/>
            </c:spPr>
            <c:extLst>
              <c:ext xmlns:c16="http://schemas.microsoft.com/office/drawing/2014/chart" uri="{C3380CC4-5D6E-409C-BE32-E72D297353CC}">
                <c16:uniqueId val="{00000011-499C-4295-8E88-5686A15986C4}"/>
              </c:ext>
            </c:extLst>
          </c:dPt>
          <c:dPt>
            <c:idx val="9"/>
            <c:bubble3D val="0"/>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a:sp3d/>
            </c:spPr>
            <c:extLst>
              <c:ext xmlns:c16="http://schemas.microsoft.com/office/drawing/2014/chart" uri="{C3380CC4-5D6E-409C-BE32-E72D297353CC}">
                <c16:uniqueId val="{00000013-499C-4295-8E88-5686A15986C4}"/>
              </c:ext>
            </c:extLst>
          </c:dPt>
          <c:dPt>
            <c:idx val="10"/>
            <c:bubble3D val="0"/>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a:sp3d/>
            </c:spPr>
            <c:extLst>
              <c:ext xmlns:c16="http://schemas.microsoft.com/office/drawing/2014/chart" uri="{C3380CC4-5D6E-409C-BE32-E72D297353CC}">
                <c16:uniqueId val="{00000015-499C-4295-8E88-5686A15986C4}"/>
              </c:ext>
            </c:extLst>
          </c:dPt>
          <c:dLbls>
            <c:dLbl>
              <c:idx val="0"/>
              <c:layout>
                <c:manualLayout>
                  <c:x val="-0.28427092331690584"/>
                  <c:y val="-0.11162974035742511"/>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499C-4295-8E88-5686A15986C4}"/>
                </c:ext>
              </c:extLst>
            </c:dLbl>
            <c:dLbl>
              <c:idx val="1"/>
              <c:layout>
                <c:manualLayout>
                  <c:x val="1.7723991669126487E-3"/>
                  <c:y val="1.3116927309763284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499C-4295-8E88-5686A15986C4}"/>
                </c:ext>
              </c:extLst>
            </c:dLbl>
            <c:dLbl>
              <c:idx val="2"/>
              <c:layout>
                <c:manualLayout>
                  <c:x val="-0.26096489320050464"/>
                  <c:y val="-0.1375220177284369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499C-4295-8E88-5686A15986C4}"/>
                </c:ext>
              </c:extLst>
            </c:dLbl>
            <c:dLbl>
              <c:idx val="3"/>
              <c:layout>
                <c:manualLayout>
                  <c:x val="-4.2337905275652697E-2"/>
                  <c:y val="-0.13745765455255216"/>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499C-4295-8E88-5686A15986C4}"/>
                </c:ext>
              </c:extLst>
            </c:dLbl>
            <c:dLbl>
              <c:idx val="4"/>
              <c:layout>
                <c:manualLayout>
                  <c:x val="0.18832383521120633"/>
                  <c:y val="0.1611124546553809"/>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499C-4295-8E88-5686A15986C4}"/>
                </c:ext>
              </c:extLst>
            </c:dLbl>
            <c:dLbl>
              <c:idx val="5"/>
              <c:layout>
                <c:manualLayout>
                  <c:x val="9.1482142080306264E-2"/>
                  <c:y val="-0.14747469746450981"/>
                </c:manualLayout>
              </c:layout>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499C-4295-8E88-5686A15986C4}"/>
                </c:ext>
              </c:extLst>
            </c:dLbl>
            <c:dLbl>
              <c:idx val="6"/>
              <c:layout>
                <c:manualLayout>
                  <c:x val="3.6173197812193893E-2"/>
                  <c:y val="-4.8303320734162915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499C-4295-8E88-5686A15986C4}"/>
                </c:ext>
              </c:extLst>
            </c:dLbl>
            <c:dLbl>
              <c:idx val="7"/>
              <c:layout>
                <c:manualLayout>
                  <c:x val="7.8793187532256004E-2"/>
                  <c:y val="-1.752187005887643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499C-4295-8E88-5686A15986C4}"/>
                </c:ext>
              </c:extLst>
            </c:dLbl>
            <c:dLbl>
              <c:idx val="8"/>
              <c:layout>
                <c:manualLayout>
                  <c:x val="2.0304442308080279E-2"/>
                  <c:y val="-4.5634073209817806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1-499C-4295-8E88-5686A15986C4}"/>
                </c:ext>
              </c:extLst>
            </c:dLbl>
            <c:dLbl>
              <c:idx val="9"/>
              <c:layout>
                <c:manualLayout>
                  <c:x val="-0.32494235872449645"/>
                  <c:y val="-9.4852278894400593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3-499C-4295-8E88-5686A15986C4}"/>
                </c:ext>
              </c:extLst>
            </c:dLbl>
            <c:dLbl>
              <c:idx val="10"/>
              <c:layout>
                <c:manualLayout>
                  <c:x val="2.2947127261215602E-2"/>
                  <c:y val="-0.12271253527179504"/>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5-499C-4295-8E88-5686A15986C4}"/>
                </c:ext>
              </c:extLst>
            </c:dLbl>
            <c:numFmt formatCode="0.0%" sourceLinked="0"/>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ctr"/>
            <c:showLegendKey val="0"/>
            <c:showVal val="0"/>
            <c:showCatName val="1"/>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'NEW_Figures_Sec 12_by Crop grow'!$B$69:$L$69</c:f>
              <c:strCache>
                <c:ptCount val="11"/>
                <c:pt idx="0">
                  <c:v> Government </c:v>
                </c:pt>
                <c:pt idx="1">
                  <c:v> Local Farmers Group </c:v>
                </c:pt>
                <c:pt idx="2">
                  <c:v> Local Market /Trade Store </c:v>
                </c:pt>
                <c:pt idx="3">
                  <c:v> Secondary Market </c:v>
                </c:pt>
                <c:pt idx="4">
                  <c:v> Development Project </c:v>
                </c:pt>
                <c:pt idx="5">
                  <c:v> Crop Buyers </c:v>
                </c:pt>
                <c:pt idx="6">
                  <c:v> Large Scale Farm </c:v>
                </c:pt>
                <c:pt idx="7">
                  <c:v> Locally Produced by Household </c:v>
                </c:pt>
                <c:pt idx="8">
                  <c:v> Neighbour </c:v>
                </c:pt>
                <c:pt idx="9">
                  <c:v> Cooperative </c:v>
                </c:pt>
                <c:pt idx="10">
                  <c:v> Other </c:v>
                </c:pt>
              </c:strCache>
            </c:strRef>
          </c:cat>
          <c:val>
            <c:numRef>
              <c:f>'NEW_Figures_Sec 12_by Crop grow'!$B$83:$L$83</c:f>
              <c:numCache>
                <c:formatCode>_(* #,##0.0_);_(* \(#,##0.0\);_(* "-"_);_(@_)</c:formatCode>
                <c:ptCount val="11"/>
                <c:pt idx="0">
                  <c:v>1.7226536332810831</c:v>
                </c:pt>
                <c:pt idx="1">
                  <c:v>1.562897595177398</c:v>
                </c:pt>
                <c:pt idx="2">
                  <c:v>2.5389989734739524</c:v>
                </c:pt>
                <c:pt idx="3">
                  <c:v>1.7060902982268549</c:v>
                </c:pt>
                <c:pt idx="4">
                  <c:v>1.4814834603745584</c:v>
                </c:pt>
                <c:pt idx="5">
                  <c:v>1.9204118393116065</c:v>
                </c:pt>
                <c:pt idx="6">
                  <c:v>2.1726019730405008</c:v>
                </c:pt>
                <c:pt idx="7">
                  <c:v>56.630176125688998</c:v>
                </c:pt>
                <c:pt idx="8">
                  <c:v>27.77477604434165</c:v>
                </c:pt>
                <c:pt idx="9">
                  <c:v>1.3449027338185233</c:v>
                </c:pt>
                <c:pt idx="10">
                  <c:v>1.1452076861889169</c:v>
                </c:pt>
              </c:numCache>
            </c:numRef>
          </c:val>
          <c:extLst>
            <c:ext xmlns:c16="http://schemas.microsoft.com/office/drawing/2014/chart" uri="{C3380CC4-5D6E-409C-BE32-E72D297353CC}">
              <c16:uniqueId val="{00000016-499C-4295-8E88-5686A15986C4}"/>
            </c:ext>
          </c:extLst>
        </c:ser>
        <c:dLbls>
          <c:dLblPos val="ctr"/>
          <c:showLegendKey val="0"/>
          <c:showVal val="0"/>
          <c:showCatName val="1"/>
          <c:showSerName val="0"/>
          <c:showPercent val="1"/>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6350" cap="flat" cmpd="sng" algn="ctr">
      <a:solidFill>
        <a:sysClr val="windowText" lastClr="000000"/>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1134963321195416"/>
          <c:y val="4.9835261818840799E-2"/>
          <c:w val="0.74591864196675051"/>
          <c:h val="0.78766801730130998"/>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6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'Figures_2_Sources of Inputs'!$I$27:$I$52</c:f>
              <c:strCache>
                <c:ptCount val="26"/>
                <c:pt idx="0">
                  <c:v> Simiyu </c:v>
                </c:pt>
                <c:pt idx="1">
                  <c:v> Kagera </c:v>
                </c:pt>
                <c:pt idx="2">
                  <c:v> Pwani </c:v>
                </c:pt>
                <c:pt idx="3">
                  <c:v> Manyara </c:v>
                </c:pt>
                <c:pt idx="4">
                  <c:v> Lindi </c:v>
                </c:pt>
                <c:pt idx="5">
                  <c:v> Geita </c:v>
                </c:pt>
                <c:pt idx="6">
                  <c:v> Mara </c:v>
                </c:pt>
                <c:pt idx="7">
                  <c:v> Dodoma </c:v>
                </c:pt>
                <c:pt idx="8">
                  <c:v> Katavi </c:v>
                </c:pt>
                <c:pt idx="9">
                  <c:v> Mwanza </c:v>
                </c:pt>
                <c:pt idx="10">
                  <c:v> Shinyanga </c:v>
                </c:pt>
                <c:pt idx="11">
                  <c:v> Singida </c:v>
                </c:pt>
                <c:pt idx="12">
                  <c:v> Arusha </c:v>
                </c:pt>
                <c:pt idx="13">
                  <c:v> Tanga </c:v>
                </c:pt>
                <c:pt idx="14">
                  <c:v> Dar Es Salaam </c:v>
                </c:pt>
                <c:pt idx="15">
                  <c:v> Rukwa </c:v>
                </c:pt>
                <c:pt idx="16">
                  <c:v> Mtwara </c:v>
                </c:pt>
                <c:pt idx="17">
                  <c:v> Morogoro </c:v>
                </c:pt>
                <c:pt idx="18">
                  <c:v> Songwe </c:v>
                </c:pt>
                <c:pt idx="19">
                  <c:v> Njombe </c:v>
                </c:pt>
                <c:pt idx="20">
                  <c:v> Tabora </c:v>
                </c:pt>
                <c:pt idx="21">
                  <c:v> Kilimanjaro </c:v>
                </c:pt>
                <c:pt idx="22">
                  <c:v> Iringa </c:v>
                </c:pt>
                <c:pt idx="23">
                  <c:v> Kigoma </c:v>
                </c:pt>
                <c:pt idx="24">
                  <c:v> Mbeya </c:v>
                </c:pt>
                <c:pt idx="25">
                  <c:v> Ruvuma </c:v>
                </c:pt>
              </c:strCache>
            </c:strRef>
          </c:cat>
          <c:val>
            <c:numRef>
              <c:f>'Figures_2_Sources of Inputs'!$J$27:$J$52</c:f>
              <c:numCache>
                <c:formatCode>_(* #,##0.0_);_(* \(#,##0.0\);_(* "-"_);_(@_)</c:formatCode>
                <c:ptCount val="26"/>
                <c:pt idx="0">
                  <c:v>0.27419169214596822</c:v>
                </c:pt>
                <c:pt idx="1">
                  <c:v>0.68144525479894791</c:v>
                </c:pt>
                <c:pt idx="2">
                  <c:v>0.89975452072217654</c:v>
                </c:pt>
                <c:pt idx="3">
                  <c:v>0.90598345358139909</c:v>
                </c:pt>
                <c:pt idx="4">
                  <c:v>0.97746787353723896</c:v>
                </c:pt>
                <c:pt idx="5">
                  <c:v>1.0013751110826361</c:v>
                </c:pt>
                <c:pt idx="6">
                  <c:v>1.1146823659503988</c:v>
                </c:pt>
                <c:pt idx="7">
                  <c:v>1.1270809084987561</c:v>
                </c:pt>
                <c:pt idx="8">
                  <c:v>1.1655223227156724</c:v>
                </c:pt>
                <c:pt idx="9">
                  <c:v>1.3967047165479611</c:v>
                </c:pt>
                <c:pt idx="10">
                  <c:v>1.5239529163863648</c:v>
                </c:pt>
                <c:pt idx="11">
                  <c:v>1.6413534699901879</c:v>
                </c:pt>
                <c:pt idx="12">
                  <c:v>1.7999243036349679</c:v>
                </c:pt>
                <c:pt idx="13">
                  <c:v>2.4200294005630956</c:v>
                </c:pt>
                <c:pt idx="14">
                  <c:v>2.4525978209413162</c:v>
                </c:pt>
                <c:pt idx="15">
                  <c:v>2.8099012743803398</c:v>
                </c:pt>
                <c:pt idx="16">
                  <c:v>2.8178505791721098</c:v>
                </c:pt>
                <c:pt idx="17">
                  <c:v>3.0191340952801302</c:v>
                </c:pt>
                <c:pt idx="18">
                  <c:v>6.8593601877459687</c:v>
                </c:pt>
                <c:pt idx="19">
                  <c:v>6.9615146866372184</c:v>
                </c:pt>
                <c:pt idx="20">
                  <c:v>7.3433186093225178</c:v>
                </c:pt>
                <c:pt idx="21">
                  <c:v>7.6078406247441688</c:v>
                </c:pt>
                <c:pt idx="22">
                  <c:v>7.7133765443304254</c:v>
                </c:pt>
                <c:pt idx="23">
                  <c:v>7.7214444954623707</c:v>
                </c:pt>
                <c:pt idx="24">
                  <c:v>12.539909662676591</c:v>
                </c:pt>
                <c:pt idx="25">
                  <c:v>15.224283109151074</c:v>
                </c:pt>
              </c:numCache>
            </c:numRef>
          </c:val>
          <c:extLst>
            <c:ext xmlns:c16="http://schemas.microsoft.com/office/drawing/2014/chart" uri="{C3380CC4-5D6E-409C-BE32-E72D297353CC}">
              <c16:uniqueId val="{00000000-8780-4B4A-99AA-BD57B9892A31}"/>
            </c:ext>
          </c:extLst>
        </c:ser>
        <c:dLbls>
          <c:showLegendKey val="0"/>
          <c:showVal val="0"/>
          <c:showCatName val="0"/>
          <c:showSerName val="0"/>
          <c:showPercent val="0"/>
          <c:showBubbleSize val="0"/>
        </c:dLbls>
        <c:gapWidth val="146"/>
        <c:axId val="104735872"/>
        <c:axId val="104737792"/>
      </c:barChart>
      <c:catAx>
        <c:axId val="104735872"/>
        <c:scaling>
          <c:orientation val="minMax"/>
        </c:scaling>
        <c:delete val="0"/>
        <c:axPos val="l"/>
        <c:title>
          <c:tx>
            <c:rich>
              <a:bodyPr rot="-540000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Region</a:t>
                </a:r>
              </a:p>
            </c:rich>
          </c:tx>
          <c:layout>
            <c:manualLayout>
              <c:xMode val="edge"/>
              <c:yMode val="edge"/>
              <c:x val="4.0792961546141891E-2"/>
              <c:y val="0.34887919167446729"/>
            </c:manualLayout>
          </c:layout>
          <c:overlay val="0"/>
          <c:spPr>
            <a:noFill/>
            <a:ln>
              <a:noFill/>
            </a:ln>
            <a:effectLst/>
          </c:spPr>
          <c:txPr>
            <a:bodyPr rot="-540000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6350" cap="flat" cmpd="sng" algn="ctr">
            <a:solidFill>
              <a:sysClr val="windowText" lastClr="000000">
                <a:lumMod val="50000"/>
                <a:lumOff val="50000"/>
              </a:sysClr>
            </a:solidFill>
            <a:round/>
          </a:ln>
          <a:effectLst/>
        </c:spPr>
        <c:txPr>
          <a:bodyPr rot="0" spcFirstLastPara="1" vertOverflow="ellipsis"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04737792"/>
        <c:crosses val="autoZero"/>
        <c:auto val="1"/>
        <c:lblAlgn val="ctr"/>
        <c:lblOffset val="100"/>
        <c:noMultiLvlLbl val="0"/>
      </c:catAx>
      <c:valAx>
        <c:axId val="104737792"/>
        <c:scaling>
          <c:orientation val="minMax"/>
        </c:scaling>
        <c:delete val="0"/>
        <c:axPos val="b"/>
        <c:title>
          <c:tx>
            <c:rich>
              <a:bodyPr rot="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Percent</a:t>
                </a:r>
              </a:p>
            </c:rich>
          </c:tx>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w="6350">
            <a:solidFill>
              <a:sysClr val="windowText" lastClr="000000">
                <a:lumMod val="50000"/>
                <a:lumOff val="50000"/>
              </a:sysClr>
            </a:solidFill>
          </a:ln>
          <a:effectLst/>
        </c:spPr>
        <c:txPr>
          <a:bodyPr rot="-60000000" spcFirstLastPara="1" vertOverflow="ellipsis" vert="horz" wrap="square" anchor="ctr" anchorCtr="1"/>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047358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70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'Figures_2_Sources of Inputs'!$I$54:$I$58</c:f>
              <c:strCache>
                <c:ptCount val="5"/>
                <c:pt idx="0">
                  <c:v> Kusini Unguja </c:v>
                </c:pt>
                <c:pt idx="1">
                  <c:v> Kaskazini Pemba </c:v>
                </c:pt>
                <c:pt idx="2">
                  <c:v> Kaskazini Unguja </c:v>
                </c:pt>
                <c:pt idx="3">
                  <c:v> Mjini Magharibi </c:v>
                </c:pt>
                <c:pt idx="4">
                  <c:v> Kusini  Pemba </c:v>
                </c:pt>
              </c:strCache>
            </c:strRef>
          </c:cat>
          <c:val>
            <c:numRef>
              <c:f>'Figures_2_Sources of Inputs'!$J$54:$J$58</c:f>
              <c:numCache>
                <c:formatCode>_(* #,##0.0_);_(* \(#,##0.0\);_(* "-"_);_(@_)</c:formatCode>
                <c:ptCount val="5"/>
                <c:pt idx="0">
                  <c:v>6.3897991166832888</c:v>
                </c:pt>
                <c:pt idx="1">
                  <c:v>17.625967611720569</c:v>
                </c:pt>
                <c:pt idx="2">
                  <c:v>17.894286935460894</c:v>
                </c:pt>
                <c:pt idx="3">
                  <c:v>21.586645771002516</c:v>
                </c:pt>
                <c:pt idx="4">
                  <c:v>36.503300565132733</c:v>
                </c:pt>
              </c:numCache>
            </c:numRef>
          </c:val>
          <c:extLst>
            <c:ext xmlns:c16="http://schemas.microsoft.com/office/drawing/2014/chart" uri="{C3380CC4-5D6E-409C-BE32-E72D297353CC}">
              <c16:uniqueId val="{00000000-EFB8-4FC5-BC6E-68C676115000}"/>
            </c:ext>
          </c:extLst>
        </c:ser>
        <c:dLbls>
          <c:showLegendKey val="0"/>
          <c:showVal val="0"/>
          <c:showCatName val="0"/>
          <c:showSerName val="0"/>
          <c:showPercent val="0"/>
          <c:showBubbleSize val="0"/>
        </c:dLbls>
        <c:gapWidth val="283"/>
        <c:axId val="104788736"/>
        <c:axId val="104790656"/>
      </c:barChart>
      <c:catAx>
        <c:axId val="104788736"/>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Region</a:t>
                </a:r>
              </a:p>
            </c:rich>
          </c:tx>
          <c:layout>
            <c:manualLayout>
              <c:xMode val="edge"/>
              <c:yMode val="edge"/>
              <c:x val="1.3781697905181918E-2"/>
              <c:y val="0.34994689909571358"/>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ysClr val="windowText" lastClr="000000">
                <a:lumMod val="50000"/>
                <a:lumOff val="50000"/>
              </a:sys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04790656"/>
        <c:crosses val="autoZero"/>
        <c:auto val="1"/>
        <c:lblAlgn val="ctr"/>
        <c:lblOffset val="100"/>
        <c:noMultiLvlLbl val="0"/>
      </c:catAx>
      <c:valAx>
        <c:axId val="104790656"/>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Percent</a:t>
                </a:r>
              </a:p>
            </c:rich>
          </c:tx>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w="6350">
            <a:solidFill>
              <a:sysClr val="windowText" lastClr="000000">
                <a:lumMod val="50000"/>
                <a:lumOff val="50000"/>
              </a:sysClr>
            </a:solid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047887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061398407276848E-2"/>
          <c:y val="6.3599745601017596E-2"/>
          <c:w val="0.87777712329210356"/>
          <c:h val="0.51330436568017512"/>
        </c:manualLayout>
      </c:layout>
      <c:barChart>
        <c:barDir val="col"/>
        <c:grouping val="stacked"/>
        <c:varyColors val="0"/>
        <c:ser>
          <c:idx val="0"/>
          <c:order val="0"/>
          <c:tx>
            <c:strRef>
              <c:f>Sheet3!$I$156</c:f>
              <c:strCache>
                <c:ptCount val="1"/>
                <c:pt idx="0">
                  <c:v> Attending School </c:v>
                </c:pt>
              </c:strCache>
            </c:strRef>
          </c:tx>
          <c:spPr>
            <a:solidFill>
              <a:schemeClr val="accent1"/>
            </a:solidFill>
            <a:ln>
              <a:noFill/>
            </a:ln>
            <a:effectLst/>
          </c:spPr>
          <c:invertIfNegative val="0"/>
          <c:cat>
            <c:strRef>
              <c:f>Sheet3!$H$157:$H$187</c:f>
              <c:strCache>
                <c:ptCount val="31"/>
                <c:pt idx="0">
                  <c:v>Dodoma</c:v>
                </c:pt>
                <c:pt idx="1">
                  <c:v>Arusha</c:v>
                </c:pt>
                <c:pt idx="2">
                  <c:v>Kilimanjaro</c:v>
                </c:pt>
                <c:pt idx="3">
                  <c:v>Tanga</c:v>
                </c:pt>
                <c:pt idx="4">
                  <c:v>Morogoro</c:v>
                </c:pt>
                <c:pt idx="5">
                  <c:v>Pwani</c:v>
                </c:pt>
                <c:pt idx="6">
                  <c:v>Dar Es Salaam</c:v>
                </c:pt>
                <c:pt idx="7">
                  <c:v>Lindi</c:v>
                </c:pt>
                <c:pt idx="8">
                  <c:v>Mtwara</c:v>
                </c:pt>
                <c:pt idx="9">
                  <c:v>Ruvuma</c:v>
                </c:pt>
                <c:pt idx="10">
                  <c:v>Iringa</c:v>
                </c:pt>
                <c:pt idx="11">
                  <c:v>Mbeya</c:v>
                </c:pt>
                <c:pt idx="12">
                  <c:v>Singida</c:v>
                </c:pt>
                <c:pt idx="13">
                  <c:v>Tabora</c:v>
                </c:pt>
                <c:pt idx="14">
                  <c:v>Rukwa</c:v>
                </c:pt>
                <c:pt idx="15">
                  <c:v>Kigoma</c:v>
                </c:pt>
                <c:pt idx="16">
                  <c:v>Shinyanga</c:v>
                </c:pt>
                <c:pt idx="17">
                  <c:v>Kagera</c:v>
                </c:pt>
                <c:pt idx="18">
                  <c:v>Mwanza</c:v>
                </c:pt>
                <c:pt idx="19">
                  <c:v>Mara</c:v>
                </c:pt>
                <c:pt idx="20">
                  <c:v>Manyara</c:v>
                </c:pt>
                <c:pt idx="21">
                  <c:v>Njombe</c:v>
                </c:pt>
                <c:pt idx="22">
                  <c:v>Katavi</c:v>
                </c:pt>
                <c:pt idx="23">
                  <c:v>Simiyu</c:v>
                </c:pt>
                <c:pt idx="24">
                  <c:v>Geita</c:v>
                </c:pt>
                <c:pt idx="25">
                  <c:v>Songwe</c:v>
                </c:pt>
                <c:pt idx="26">
                  <c:v>Kaskazini Unguja</c:v>
                </c:pt>
                <c:pt idx="27">
                  <c:v>Kusini Unguja</c:v>
                </c:pt>
                <c:pt idx="28">
                  <c:v>Mjini Magharibi</c:v>
                </c:pt>
                <c:pt idx="29">
                  <c:v>Kaskazini Pemba</c:v>
                </c:pt>
                <c:pt idx="30">
                  <c:v>Kusini  Pemba</c:v>
                </c:pt>
              </c:strCache>
            </c:strRef>
          </c:cat>
          <c:val>
            <c:numRef>
              <c:f>Sheet3!$I$157:$I$187</c:f>
              <c:numCache>
                <c:formatCode>_(* #,##0.0_);_(* \(#,##0.0\);_(* "-"_);_(@_)</c:formatCode>
                <c:ptCount val="31"/>
                <c:pt idx="0">
                  <c:v>34.521093332740421</c:v>
                </c:pt>
                <c:pt idx="1">
                  <c:v>35.495770101178422</c:v>
                </c:pt>
                <c:pt idx="2">
                  <c:v>34.453231519372132</c:v>
                </c:pt>
                <c:pt idx="3">
                  <c:v>39.049613368890348</c:v>
                </c:pt>
                <c:pt idx="4">
                  <c:v>33.696315144930644</c:v>
                </c:pt>
                <c:pt idx="5">
                  <c:v>36.692446217552686</c:v>
                </c:pt>
                <c:pt idx="6">
                  <c:v>30.891048784718212</c:v>
                </c:pt>
                <c:pt idx="7">
                  <c:v>29.775015322199415</c:v>
                </c:pt>
                <c:pt idx="8">
                  <c:v>32.528656205713851</c:v>
                </c:pt>
                <c:pt idx="9">
                  <c:v>36.103042179345799</c:v>
                </c:pt>
                <c:pt idx="10">
                  <c:v>39.456211539368098</c:v>
                </c:pt>
                <c:pt idx="11">
                  <c:v>36.756477709614629</c:v>
                </c:pt>
                <c:pt idx="12">
                  <c:v>36.956044606346069</c:v>
                </c:pt>
                <c:pt idx="13">
                  <c:v>32.167671403172804</c:v>
                </c:pt>
                <c:pt idx="14">
                  <c:v>39.908209130012899</c:v>
                </c:pt>
                <c:pt idx="15">
                  <c:v>38.395567309641201</c:v>
                </c:pt>
                <c:pt idx="16">
                  <c:v>35.327008090021145</c:v>
                </c:pt>
                <c:pt idx="17">
                  <c:v>39.220463829270123</c:v>
                </c:pt>
                <c:pt idx="18">
                  <c:v>41.473213517289246</c:v>
                </c:pt>
                <c:pt idx="19">
                  <c:v>42.004699366350884</c:v>
                </c:pt>
                <c:pt idx="20">
                  <c:v>33.791267432402947</c:v>
                </c:pt>
                <c:pt idx="21">
                  <c:v>35.207946344285759</c:v>
                </c:pt>
                <c:pt idx="22">
                  <c:v>34.694341624872088</c:v>
                </c:pt>
                <c:pt idx="23">
                  <c:v>38.132791473737107</c:v>
                </c:pt>
                <c:pt idx="24">
                  <c:v>38.849706685134642</c:v>
                </c:pt>
                <c:pt idx="25">
                  <c:v>35.231999369443542</c:v>
                </c:pt>
                <c:pt idx="26">
                  <c:v>39.808790080906256</c:v>
                </c:pt>
                <c:pt idx="27">
                  <c:v>38.672004519163458</c:v>
                </c:pt>
                <c:pt idx="28">
                  <c:v>41.002048702056484</c:v>
                </c:pt>
                <c:pt idx="29">
                  <c:v>41.556063017553576</c:v>
                </c:pt>
                <c:pt idx="30">
                  <c:v>46.336950491834337</c:v>
                </c:pt>
              </c:numCache>
            </c:numRef>
          </c:val>
          <c:extLst>
            <c:ext xmlns:c16="http://schemas.microsoft.com/office/drawing/2014/chart" uri="{C3380CC4-5D6E-409C-BE32-E72D297353CC}">
              <c16:uniqueId val="{00000000-C41B-0243-BBDE-C6A38A9EBFC8}"/>
            </c:ext>
          </c:extLst>
        </c:ser>
        <c:ser>
          <c:idx val="1"/>
          <c:order val="1"/>
          <c:tx>
            <c:strRef>
              <c:f>Sheet3!$J$156</c:f>
              <c:strCache>
                <c:ptCount val="1"/>
                <c:pt idx="0">
                  <c:v> Drop out </c:v>
                </c:pt>
              </c:strCache>
            </c:strRef>
          </c:tx>
          <c:spPr>
            <a:solidFill>
              <a:schemeClr val="accent2"/>
            </a:solidFill>
            <a:ln>
              <a:noFill/>
            </a:ln>
            <a:effectLst/>
          </c:spPr>
          <c:invertIfNegative val="0"/>
          <c:cat>
            <c:strRef>
              <c:f>Sheet3!$H$157:$H$187</c:f>
              <c:strCache>
                <c:ptCount val="31"/>
                <c:pt idx="0">
                  <c:v>Dodoma</c:v>
                </c:pt>
                <c:pt idx="1">
                  <c:v>Arusha</c:v>
                </c:pt>
                <c:pt idx="2">
                  <c:v>Kilimanjaro</c:v>
                </c:pt>
                <c:pt idx="3">
                  <c:v>Tanga</c:v>
                </c:pt>
                <c:pt idx="4">
                  <c:v>Morogoro</c:v>
                </c:pt>
                <c:pt idx="5">
                  <c:v>Pwani</c:v>
                </c:pt>
                <c:pt idx="6">
                  <c:v>Dar Es Salaam</c:v>
                </c:pt>
                <c:pt idx="7">
                  <c:v>Lindi</c:v>
                </c:pt>
                <c:pt idx="8">
                  <c:v>Mtwara</c:v>
                </c:pt>
                <c:pt idx="9">
                  <c:v>Ruvuma</c:v>
                </c:pt>
                <c:pt idx="10">
                  <c:v>Iringa</c:v>
                </c:pt>
                <c:pt idx="11">
                  <c:v>Mbeya</c:v>
                </c:pt>
                <c:pt idx="12">
                  <c:v>Singida</c:v>
                </c:pt>
                <c:pt idx="13">
                  <c:v>Tabora</c:v>
                </c:pt>
                <c:pt idx="14">
                  <c:v>Rukwa</c:v>
                </c:pt>
                <c:pt idx="15">
                  <c:v>Kigoma</c:v>
                </c:pt>
                <c:pt idx="16">
                  <c:v>Shinyanga</c:v>
                </c:pt>
                <c:pt idx="17">
                  <c:v>Kagera</c:v>
                </c:pt>
                <c:pt idx="18">
                  <c:v>Mwanza</c:v>
                </c:pt>
                <c:pt idx="19">
                  <c:v>Mara</c:v>
                </c:pt>
                <c:pt idx="20">
                  <c:v>Manyara</c:v>
                </c:pt>
                <c:pt idx="21">
                  <c:v>Njombe</c:v>
                </c:pt>
                <c:pt idx="22">
                  <c:v>Katavi</c:v>
                </c:pt>
                <c:pt idx="23">
                  <c:v>Simiyu</c:v>
                </c:pt>
                <c:pt idx="24">
                  <c:v>Geita</c:v>
                </c:pt>
                <c:pt idx="25">
                  <c:v>Songwe</c:v>
                </c:pt>
                <c:pt idx="26">
                  <c:v>Kaskazini Unguja</c:v>
                </c:pt>
                <c:pt idx="27">
                  <c:v>Kusini Unguja</c:v>
                </c:pt>
                <c:pt idx="28">
                  <c:v>Mjini Magharibi</c:v>
                </c:pt>
                <c:pt idx="29">
                  <c:v>Kaskazini Pemba</c:v>
                </c:pt>
                <c:pt idx="30">
                  <c:v>Kusini  Pemba</c:v>
                </c:pt>
              </c:strCache>
            </c:strRef>
          </c:cat>
          <c:val>
            <c:numRef>
              <c:f>Sheet3!$J$157:$J$187</c:f>
              <c:numCache>
                <c:formatCode>_(* #,##0.0_);_(* \(#,##0.0\);_(* "-"_);_(@_)</c:formatCode>
                <c:ptCount val="31"/>
                <c:pt idx="0">
                  <c:v>11.504129635402794</c:v>
                </c:pt>
                <c:pt idx="1">
                  <c:v>6.8973205407068887</c:v>
                </c:pt>
                <c:pt idx="2">
                  <c:v>5.4964399884425399</c:v>
                </c:pt>
                <c:pt idx="3">
                  <c:v>9.0916871737317368</c:v>
                </c:pt>
                <c:pt idx="4">
                  <c:v>8.5362672079825028</c:v>
                </c:pt>
                <c:pt idx="5">
                  <c:v>6.1017898249394547</c:v>
                </c:pt>
                <c:pt idx="6">
                  <c:v>5.2878180572895301</c:v>
                </c:pt>
                <c:pt idx="7">
                  <c:v>11.429022857790876</c:v>
                </c:pt>
                <c:pt idx="8">
                  <c:v>8.6287094504441111</c:v>
                </c:pt>
                <c:pt idx="9">
                  <c:v>7.6207387426818247</c:v>
                </c:pt>
                <c:pt idx="10">
                  <c:v>12.287216232909911</c:v>
                </c:pt>
                <c:pt idx="11">
                  <c:v>8.0704437375832985</c:v>
                </c:pt>
                <c:pt idx="12">
                  <c:v>7.5734456357348154</c:v>
                </c:pt>
                <c:pt idx="13">
                  <c:v>9.4605958948248823</c:v>
                </c:pt>
                <c:pt idx="14">
                  <c:v>8.6743115684750975</c:v>
                </c:pt>
                <c:pt idx="15">
                  <c:v>9.3057926315558142</c:v>
                </c:pt>
                <c:pt idx="16">
                  <c:v>10.008124967238036</c:v>
                </c:pt>
                <c:pt idx="17">
                  <c:v>8.7509273606500244</c:v>
                </c:pt>
                <c:pt idx="18">
                  <c:v>9.9437888362014224</c:v>
                </c:pt>
                <c:pt idx="19">
                  <c:v>3.7945052073940686</c:v>
                </c:pt>
                <c:pt idx="20">
                  <c:v>6.0345573211132928</c:v>
                </c:pt>
                <c:pt idx="21">
                  <c:v>5.9660388562380096</c:v>
                </c:pt>
                <c:pt idx="22">
                  <c:v>11.834960900488902</c:v>
                </c:pt>
                <c:pt idx="23">
                  <c:v>7.8951472496764623</c:v>
                </c:pt>
                <c:pt idx="24">
                  <c:v>10.803445940440787</c:v>
                </c:pt>
                <c:pt idx="25">
                  <c:v>7.1136363831075977</c:v>
                </c:pt>
                <c:pt idx="26">
                  <c:v>18.449413002021071</c:v>
                </c:pt>
                <c:pt idx="27">
                  <c:v>18.282963490562562</c:v>
                </c:pt>
                <c:pt idx="28">
                  <c:v>14.436347605093228</c:v>
                </c:pt>
                <c:pt idx="29">
                  <c:v>15.966599773948747</c:v>
                </c:pt>
                <c:pt idx="30">
                  <c:v>17.520667866372602</c:v>
                </c:pt>
              </c:numCache>
            </c:numRef>
          </c:val>
          <c:extLst>
            <c:ext xmlns:c16="http://schemas.microsoft.com/office/drawing/2014/chart" uri="{C3380CC4-5D6E-409C-BE32-E72D297353CC}">
              <c16:uniqueId val="{00000001-C41B-0243-BBDE-C6A38A9EBFC8}"/>
            </c:ext>
          </c:extLst>
        </c:ser>
        <c:ser>
          <c:idx val="2"/>
          <c:order val="2"/>
          <c:tx>
            <c:strRef>
              <c:f>Sheet3!$K$156</c:f>
              <c:strCache>
                <c:ptCount val="1"/>
                <c:pt idx="0">
                  <c:v> Completed </c:v>
                </c:pt>
              </c:strCache>
            </c:strRef>
          </c:tx>
          <c:spPr>
            <a:solidFill>
              <a:schemeClr val="accent3"/>
            </a:solidFill>
            <a:ln>
              <a:noFill/>
            </a:ln>
            <a:effectLst/>
          </c:spPr>
          <c:invertIfNegative val="0"/>
          <c:cat>
            <c:strRef>
              <c:f>Sheet3!$H$157:$H$187</c:f>
              <c:strCache>
                <c:ptCount val="31"/>
                <c:pt idx="0">
                  <c:v>Dodoma</c:v>
                </c:pt>
                <c:pt idx="1">
                  <c:v>Arusha</c:v>
                </c:pt>
                <c:pt idx="2">
                  <c:v>Kilimanjaro</c:v>
                </c:pt>
                <c:pt idx="3">
                  <c:v>Tanga</c:v>
                </c:pt>
                <c:pt idx="4">
                  <c:v>Morogoro</c:v>
                </c:pt>
                <c:pt idx="5">
                  <c:v>Pwani</c:v>
                </c:pt>
                <c:pt idx="6">
                  <c:v>Dar Es Salaam</c:v>
                </c:pt>
                <c:pt idx="7">
                  <c:v>Lindi</c:v>
                </c:pt>
                <c:pt idx="8">
                  <c:v>Mtwara</c:v>
                </c:pt>
                <c:pt idx="9">
                  <c:v>Ruvuma</c:v>
                </c:pt>
                <c:pt idx="10">
                  <c:v>Iringa</c:v>
                </c:pt>
                <c:pt idx="11">
                  <c:v>Mbeya</c:v>
                </c:pt>
                <c:pt idx="12">
                  <c:v>Singida</c:v>
                </c:pt>
                <c:pt idx="13">
                  <c:v>Tabora</c:v>
                </c:pt>
                <c:pt idx="14">
                  <c:v>Rukwa</c:v>
                </c:pt>
                <c:pt idx="15">
                  <c:v>Kigoma</c:v>
                </c:pt>
                <c:pt idx="16">
                  <c:v>Shinyanga</c:v>
                </c:pt>
                <c:pt idx="17">
                  <c:v>Kagera</c:v>
                </c:pt>
                <c:pt idx="18">
                  <c:v>Mwanza</c:v>
                </c:pt>
                <c:pt idx="19">
                  <c:v>Mara</c:v>
                </c:pt>
                <c:pt idx="20">
                  <c:v>Manyara</c:v>
                </c:pt>
                <c:pt idx="21">
                  <c:v>Njombe</c:v>
                </c:pt>
                <c:pt idx="22">
                  <c:v>Katavi</c:v>
                </c:pt>
                <c:pt idx="23">
                  <c:v>Simiyu</c:v>
                </c:pt>
                <c:pt idx="24">
                  <c:v>Geita</c:v>
                </c:pt>
                <c:pt idx="25">
                  <c:v>Songwe</c:v>
                </c:pt>
                <c:pt idx="26">
                  <c:v>Kaskazini Unguja</c:v>
                </c:pt>
                <c:pt idx="27">
                  <c:v>Kusini Unguja</c:v>
                </c:pt>
                <c:pt idx="28">
                  <c:v>Mjini Magharibi</c:v>
                </c:pt>
                <c:pt idx="29">
                  <c:v>Kaskazini Pemba</c:v>
                </c:pt>
                <c:pt idx="30">
                  <c:v>Kusini  Pemba</c:v>
                </c:pt>
              </c:strCache>
            </c:strRef>
          </c:cat>
          <c:val>
            <c:numRef>
              <c:f>Sheet3!$K$157:$K$187</c:f>
              <c:numCache>
                <c:formatCode>_(* #,##0.0_);_(* \(#,##0.0\);_(* "-"_);_(@_)</c:formatCode>
                <c:ptCount val="31"/>
                <c:pt idx="0">
                  <c:v>27.591234453255574</c:v>
                </c:pt>
                <c:pt idx="1">
                  <c:v>32.717707375997286</c:v>
                </c:pt>
                <c:pt idx="2">
                  <c:v>53.652646630658843</c:v>
                </c:pt>
                <c:pt idx="3">
                  <c:v>37.144065135243665</c:v>
                </c:pt>
                <c:pt idx="4">
                  <c:v>40.584154122529895</c:v>
                </c:pt>
                <c:pt idx="5">
                  <c:v>38.758441722563518</c:v>
                </c:pt>
                <c:pt idx="6">
                  <c:v>58.576232818853491</c:v>
                </c:pt>
                <c:pt idx="7">
                  <c:v>41.286096362299617</c:v>
                </c:pt>
                <c:pt idx="8">
                  <c:v>41.650172212016734</c:v>
                </c:pt>
                <c:pt idx="9">
                  <c:v>46.534216587315903</c:v>
                </c:pt>
                <c:pt idx="10">
                  <c:v>36.862736565748868</c:v>
                </c:pt>
                <c:pt idx="11">
                  <c:v>43.29328289993343</c:v>
                </c:pt>
                <c:pt idx="12">
                  <c:v>37.532088808187765</c:v>
                </c:pt>
                <c:pt idx="13">
                  <c:v>27.143927933198352</c:v>
                </c:pt>
                <c:pt idx="14">
                  <c:v>29.444923619140383</c:v>
                </c:pt>
                <c:pt idx="15">
                  <c:v>32.835107435110366</c:v>
                </c:pt>
                <c:pt idx="16">
                  <c:v>29.548234348517411</c:v>
                </c:pt>
                <c:pt idx="17">
                  <c:v>31.725498410542858</c:v>
                </c:pt>
                <c:pt idx="18">
                  <c:v>32.64634418091407</c:v>
                </c:pt>
                <c:pt idx="19">
                  <c:v>41.63548857311509</c:v>
                </c:pt>
                <c:pt idx="20">
                  <c:v>36.395961038703405</c:v>
                </c:pt>
                <c:pt idx="21">
                  <c:v>47.123466000791744</c:v>
                </c:pt>
                <c:pt idx="22">
                  <c:v>26.374673117980723</c:v>
                </c:pt>
                <c:pt idx="23">
                  <c:v>30.24585237548462</c:v>
                </c:pt>
                <c:pt idx="24">
                  <c:v>26.66810098993767</c:v>
                </c:pt>
                <c:pt idx="25">
                  <c:v>34.71898686026578</c:v>
                </c:pt>
                <c:pt idx="26">
                  <c:v>27.465676615749157</c:v>
                </c:pt>
                <c:pt idx="27">
                  <c:v>37.281870540703174</c:v>
                </c:pt>
                <c:pt idx="28">
                  <c:v>37.167604574570163</c:v>
                </c:pt>
                <c:pt idx="29">
                  <c:v>18.236800221437964</c:v>
                </c:pt>
                <c:pt idx="30">
                  <c:v>21.674198655066501</c:v>
                </c:pt>
              </c:numCache>
            </c:numRef>
          </c:val>
          <c:extLst>
            <c:ext xmlns:c16="http://schemas.microsoft.com/office/drawing/2014/chart" uri="{C3380CC4-5D6E-409C-BE32-E72D297353CC}">
              <c16:uniqueId val="{00000002-C41B-0243-BBDE-C6A38A9EBFC8}"/>
            </c:ext>
          </c:extLst>
        </c:ser>
        <c:ser>
          <c:idx val="3"/>
          <c:order val="3"/>
          <c:tx>
            <c:strRef>
              <c:f>Sheet3!$L$156</c:f>
              <c:strCache>
                <c:ptCount val="1"/>
                <c:pt idx="0">
                  <c:v> Never attended School </c:v>
                </c:pt>
              </c:strCache>
            </c:strRef>
          </c:tx>
          <c:spPr>
            <a:solidFill>
              <a:schemeClr val="accent4"/>
            </a:solidFill>
            <a:ln>
              <a:noFill/>
            </a:ln>
            <a:effectLst/>
          </c:spPr>
          <c:invertIfNegative val="0"/>
          <c:cat>
            <c:strRef>
              <c:f>Sheet3!$H$157:$H$187</c:f>
              <c:strCache>
                <c:ptCount val="31"/>
                <c:pt idx="0">
                  <c:v>Dodoma</c:v>
                </c:pt>
                <c:pt idx="1">
                  <c:v>Arusha</c:v>
                </c:pt>
                <c:pt idx="2">
                  <c:v>Kilimanjaro</c:v>
                </c:pt>
                <c:pt idx="3">
                  <c:v>Tanga</c:v>
                </c:pt>
                <c:pt idx="4">
                  <c:v>Morogoro</c:v>
                </c:pt>
                <c:pt idx="5">
                  <c:v>Pwani</c:v>
                </c:pt>
                <c:pt idx="6">
                  <c:v>Dar Es Salaam</c:v>
                </c:pt>
                <c:pt idx="7">
                  <c:v>Lindi</c:v>
                </c:pt>
                <c:pt idx="8">
                  <c:v>Mtwara</c:v>
                </c:pt>
                <c:pt idx="9">
                  <c:v>Ruvuma</c:v>
                </c:pt>
                <c:pt idx="10">
                  <c:v>Iringa</c:v>
                </c:pt>
                <c:pt idx="11">
                  <c:v>Mbeya</c:v>
                </c:pt>
                <c:pt idx="12">
                  <c:v>Singida</c:v>
                </c:pt>
                <c:pt idx="13">
                  <c:v>Tabora</c:v>
                </c:pt>
                <c:pt idx="14">
                  <c:v>Rukwa</c:v>
                </c:pt>
                <c:pt idx="15">
                  <c:v>Kigoma</c:v>
                </c:pt>
                <c:pt idx="16">
                  <c:v>Shinyanga</c:v>
                </c:pt>
                <c:pt idx="17">
                  <c:v>Kagera</c:v>
                </c:pt>
                <c:pt idx="18">
                  <c:v>Mwanza</c:v>
                </c:pt>
                <c:pt idx="19">
                  <c:v>Mara</c:v>
                </c:pt>
                <c:pt idx="20">
                  <c:v>Manyara</c:v>
                </c:pt>
                <c:pt idx="21">
                  <c:v>Njombe</c:v>
                </c:pt>
                <c:pt idx="22">
                  <c:v>Katavi</c:v>
                </c:pt>
                <c:pt idx="23">
                  <c:v>Simiyu</c:v>
                </c:pt>
                <c:pt idx="24">
                  <c:v>Geita</c:v>
                </c:pt>
                <c:pt idx="25">
                  <c:v>Songwe</c:v>
                </c:pt>
                <c:pt idx="26">
                  <c:v>Kaskazini Unguja</c:v>
                </c:pt>
                <c:pt idx="27">
                  <c:v>Kusini Unguja</c:v>
                </c:pt>
                <c:pt idx="28">
                  <c:v>Mjini Magharibi</c:v>
                </c:pt>
                <c:pt idx="29">
                  <c:v>Kaskazini Pemba</c:v>
                </c:pt>
                <c:pt idx="30">
                  <c:v>Kusini  Pemba</c:v>
                </c:pt>
              </c:strCache>
            </c:strRef>
          </c:cat>
          <c:val>
            <c:numRef>
              <c:f>Sheet3!$L$157:$L$187</c:f>
              <c:numCache>
                <c:formatCode>_(* #,##0.0_);_(* \(#,##0.0\);_(* "-"_);_(@_)</c:formatCode>
                <c:ptCount val="31"/>
                <c:pt idx="0">
                  <c:v>26.383542578601212</c:v>
                </c:pt>
                <c:pt idx="1">
                  <c:v>24.889306656673735</c:v>
                </c:pt>
                <c:pt idx="2">
                  <c:v>6.3976818615264897</c:v>
                </c:pt>
                <c:pt idx="3">
                  <c:v>14.714634322134245</c:v>
                </c:pt>
                <c:pt idx="4">
                  <c:v>17.183263524556963</c:v>
                </c:pt>
                <c:pt idx="5">
                  <c:v>18.447431177968234</c:v>
                </c:pt>
                <c:pt idx="6">
                  <c:v>5.244900339138769</c:v>
                </c:pt>
                <c:pt idx="7">
                  <c:v>17.509992877247839</c:v>
                </c:pt>
                <c:pt idx="8">
                  <c:v>17.192372039219116</c:v>
                </c:pt>
                <c:pt idx="9">
                  <c:v>9.7420737744708426</c:v>
                </c:pt>
                <c:pt idx="10">
                  <c:v>11.393956536086362</c:v>
                </c:pt>
                <c:pt idx="11">
                  <c:v>11.879730961488574</c:v>
                </c:pt>
                <c:pt idx="12">
                  <c:v>17.938420949731341</c:v>
                </c:pt>
                <c:pt idx="13">
                  <c:v>31.227804768803956</c:v>
                </c:pt>
                <c:pt idx="14">
                  <c:v>21.972555682371617</c:v>
                </c:pt>
                <c:pt idx="15">
                  <c:v>19.463593673306423</c:v>
                </c:pt>
                <c:pt idx="16">
                  <c:v>25.116719959462529</c:v>
                </c:pt>
                <c:pt idx="17">
                  <c:v>20.303110399536994</c:v>
                </c:pt>
                <c:pt idx="18">
                  <c:v>15.93665346559526</c:v>
                </c:pt>
                <c:pt idx="19">
                  <c:v>12.565394823307521</c:v>
                </c:pt>
                <c:pt idx="20">
                  <c:v>23.778214207780358</c:v>
                </c:pt>
                <c:pt idx="21">
                  <c:v>11.702739121166905</c:v>
                </c:pt>
                <c:pt idx="22">
                  <c:v>27.096024356658287</c:v>
                </c:pt>
                <c:pt idx="23">
                  <c:v>23.72620890110181</c:v>
                </c:pt>
                <c:pt idx="24">
                  <c:v>23.678746384486903</c:v>
                </c:pt>
                <c:pt idx="25">
                  <c:v>22.935463060614811</c:v>
                </c:pt>
                <c:pt idx="26">
                  <c:v>14.276120301323516</c:v>
                </c:pt>
                <c:pt idx="27">
                  <c:v>5.7631614495708021</c:v>
                </c:pt>
                <c:pt idx="28">
                  <c:v>7.393999118280127</c:v>
                </c:pt>
                <c:pt idx="29">
                  <c:v>24.24053698705972</c:v>
                </c:pt>
                <c:pt idx="30">
                  <c:v>14.467844723774473</c:v>
                </c:pt>
              </c:numCache>
            </c:numRef>
          </c:val>
          <c:extLst>
            <c:ext xmlns:c16="http://schemas.microsoft.com/office/drawing/2014/chart" uri="{C3380CC4-5D6E-409C-BE32-E72D297353CC}">
              <c16:uniqueId val="{00000003-C41B-0243-BBDE-C6A38A9EBFC8}"/>
            </c:ext>
          </c:extLst>
        </c:ser>
        <c:dLbls>
          <c:showLegendKey val="0"/>
          <c:showVal val="0"/>
          <c:showCatName val="0"/>
          <c:showSerName val="0"/>
          <c:showPercent val="0"/>
          <c:showBubbleSize val="0"/>
        </c:dLbls>
        <c:gapWidth val="50"/>
        <c:overlap val="100"/>
        <c:axId val="94245248"/>
        <c:axId val="94247168"/>
      </c:barChart>
      <c:catAx>
        <c:axId val="94245248"/>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solidFill>
                      <a:schemeClr val="tx1"/>
                    </a:solidFill>
                  </a:rPr>
                  <a:t>Region</a:t>
                </a:r>
              </a:p>
            </c:rich>
          </c:tx>
          <c:layout>
            <c:manualLayout>
              <c:xMode val="edge"/>
              <c:yMode val="edge"/>
              <c:x val="0.48103557701162392"/>
              <c:y val="0.8040687144338036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6350" cap="flat" cmpd="sng" algn="ctr">
            <a:solidFill>
              <a:sysClr val="windowText" lastClr="000000">
                <a:lumMod val="50000"/>
                <a:lumOff val="50000"/>
              </a:sys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94247168"/>
        <c:crosses val="autoZero"/>
        <c:auto val="1"/>
        <c:lblAlgn val="ctr"/>
        <c:lblOffset val="100"/>
        <c:noMultiLvlLbl val="0"/>
      </c:catAx>
      <c:valAx>
        <c:axId val="94247168"/>
        <c:scaling>
          <c:orientation val="minMax"/>
          <c:max val="100"/>
        </c:scaling>
        <c:delete val="0"/>
        <c:axPos val="l"/>
        <c:title>
          <c:tx>
            <c:rich>
              <a:bodyPr rot="-54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solidFill>
                      <a:schemeClr val="tx1"/>
                    </a:solidFill>
                  </a:rPr>
                  <a:t>Percent</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 sourceLinked="0"/>
        <c:majorTickMark val="out"/>
        <c:minorTickMark val="none"/>
        <c:tickLblPos val="nextTo"/>
        <c:spPr>
          <a:noFill/>
          <a:ln w="6350">
            <a:solidFill>
              <a:sysClr val="windowText" lastClr="000000">
                <a:lumMod val="50000"/>
                <a:lumOff val="50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94245248"/>
        <c:crosses val="autoZero"/>
        <c:crossBetween val="between"/>
        <c:majorUnit val="20"/>
        <c:minorUnit val="2"/>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900">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9049525478869064E-2"/>
          <c:y val="0.24287422823110874"/>
          <c:w val="0.92798130916496124"/>
          <c:h val="0.56614272342474303"/>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206C-4A25-98D0-A20885AFEE7D}"/>
              </c:ext>
            </c:extLst>
          </c:dPt>
          <c:dPt>
            <c:idx val="1"/>
            <c:bubble3D val="0"/>
            <c:explosion val="25"/>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206C-4A25-98D0-A20885AFEE7D}"/>
              </c:ext>
            </c:extLst>
          </c:dPt>
          <c:dPt>
            <c:idx val="2"/>
            <c:bubble3D val="0"/>
            <c:explosion val="51"/>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206C-4A25-98D0-A20885AFEE7D}"/>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206C-4A25-98D0-A20885AFEE7D}"/>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206C-4A25-98D0-A20885AFEE7D}"/>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206C-4A25-98D0-A20885AFEE7D}"/>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206C-4A25-98D0-A20885AFEE7D}"/>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206C-4A25-98D0-A20885AFEE7D}"/>
              </c:ext>
            </c:extLst>
          </c:dPt>
          <c:dPt>
            <c:idx val="8"/>
            <c:bubble3D val="0"/>
            <c:spPr>
              <a:solidFill>
                <a:schemeClr val="accent3">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1-206C-4A25-98D0-A20885AFEE7D}"/>
              </c:ext>
            </c:extLst>
          </c:dPt>
          <c:dPt>
            <c:idx val="9"/>
            <c:bubble3D val="0"/>
            <c:spPr>
              <a:solidFill>
                <a:schemeClr val="accent4">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3-206C-4A25-98D0-A20885AFEE7D}"/>
              </c:ext>
            </c:extLst>
          </c:dPt>
          <c:dPt>
            <c:idx val="10"/>
            <c:bubble3D val="0"/>
            <c:spPr>
              <a:solidFill>
                <a:schemeClr val="accent5">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5-206C-4A25-98D0-A20885AFEE7D}"/>
              </c:ext>
            </c:extLst>
          </c:dPt>
          <c:dLbls>
            <c:dLbl>
              <c:idx val="0"/>
              <c:layout>
                <c:manualLayout>
                  <c:x val="0.17181661192874451"/>
                  <c:y val="-0.16767825456145138"/>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206C-4A25-98D0-A20885AFEE7D}"/>
                </c:ext>
              </c:extLst>
            </c:dLbl>
            <c:dLbl>
              <c:idx val="1"/>
              <c:layout>
                <c:manualLayout>
                  <c:x val="0.14227058816168103"/>
                  <c:y val="3.666399018399394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206C-4A25-98D0-A20885AFEE7D}"/>
                </c:ext>
              </c:extLst>
            </c:dLbl>
            <c:dLbl>
              <c:idx val="2"/>
              <c:layout>
                <c:manualLayout>
                  <c:x val="0.20110169025613445"/>
                  <c:y val="-5.8618377779328752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206C-4A25-98D0-A20885AFEE7D}"/>
                </c:ext>
              </c:extLst>
            </c:dLbl>
            <c:dLbl>
              <c:idx val="3"/>
              <c:layout>
                <c:manualLayout>
                  <c:x val="-0.22424836511491911"/>
                  <c:y val="0.272847864202309"/>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206C-4A25-98D0-A20885AFEE7D}"/>
                </c:ext>
              </c:extLst>
            </c:dLbl>
            <c:dLbl>
              <c:idx val="4"/>
              <c:layout>
                <c:manualLayout>
                  <c:x val="-0.21626136174513963"/>
                  <c:y val="0.13327707525680965"/>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206C-4A25-98D0-A20885AFEE7D}"/>
                </c:ext>
              </c:extLst>
            </c:dLbl>
            <c:dLbl>
              <c:idx val="5"/>
              <c:layout>
                <c:manualLayout>
                  <c:x val="-0.11876678591441341"/>
                  <c:y val="3.4273012408501315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206C-4A25-98D0-A20885AFEE7D}"/>
                </c:ext>
              </c:extLst>
            </c:dLbl>
            <c:dLbl>
              <c:idx val="6"/>
              <c:layout>
                <c:manualLayout>
                  <c:x val="-0.1858637216595744"/>
                  <c:y val="-5.5075387937507034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206C-4A25-98D0-A20885AFEE7D}"/>
                </c:ext>
              </c:extLst>
            </c:dLbl>
            <c:dLbl>
              <c:idx val="7"/>
              <c:layout>
                <c:manualLayout>
                  <c:x val="-0.18082997042472657"/>
                  <c:y val="-0.15525537148307711"/>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206C-4A25-98D0-A20885AFEE7D}"/>
                </c:ext>
              </c:extLst>
            </c:dLbl>
            <c:dLbl>
              <c:idx val="8"/>
              <c:layout>
                <c:manualLayout>
                  <c:x val="-1.9393867215114689E-2"/>
                  <c:y val="-0.16698454594867826"/>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1-206C-4A25-98D0-A20885AFEE7D}"/>
                </c:ext>
              </c:extLst>
            </c:dLbl>
            <c:dLbl>
              <c:idx val="9"/>
              <c:layout>
                <c:manualLayout>
                  <c:x val="4.0080373897416401E-2"/>
                  <c:y val="-0.20697304053753957"/>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3-206C-4A25-98D0-A20885AFEE7D}"/>
                </c:ext>
              </c:extLst>
            </c:dLbl>
            <c:dLbl>
              <c:idx val="10"/>
              <c:layout>
                <c:manualLayout>
                  <c:x val="6.0834434701115006E-2"/>
                  <c:y val="-9.5439268845156619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5-206C-4A25-98D0-A20885AFEE7D}"/>
                </c:ext>
              </c:extLst>
            </c:dLbl>
            <c:numFmt formatCode="0.0%" sourceLinked="0"/>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'NEW_Figures_Sec 12_by Crop grow'!$B$69:$L$69</c:f>
              <c:strCache>
                <c:ptCount val="11"/>
                <c:pt idx="0">
                  <c:v> Government </c:v>
                </c:pt>
                <c:pt idx="1">
                  <c:v> Local Farmers Group </c:v>
                </c:pt>
                <c:pt idx="2">
                  <c:v> Local Market /Trade Store </c:v>
                </c:pt>
                <c:pt idx="3">
                  <c:v> Secondary Market </c:v>
                </c:pt>
                <c:pt idx="4">
                  <c:v> Development Project </c:v>
                </c:pt>
                <c:pt idx="5">
                  <c:v> Crop Buyers </c:v>
                </c:pt>
                <c:pt idx="6">
                  <c:v> Large Scale Farm </c:v>
                </c:pt>
                <c:pt idx="7">
                  <c:v> Locally Produced by Household </c:v>
                </c:pt>
                <c:pt idx="8">
                  <c:v> Neighbour </c:v>
                </c:pt>
                <c:pt idx="9">
                  <c:v> Cooperative </c:v>
                </c:pt>
                <c:pt idx="10">
                  <c:v> Other </c:v>
                </c:pt>
              </c:strCache>
            </c:strRef>
          </c:cat>
          <c:val>
            <c:numRef>
              <c:f>'NEW_Figures_Sec 12_by Crop grow'!$B$75:$L$75</c:f>
              <c:numCache>
                <c:formatCode>0.0</c:formatCode>
                <c:ptCount val="11"/>
                <c:pt idx="0">
                  <c:v>2.7198234050779142</c:v>
                </c:pt>
                <c:pt idx="1">
                  <c:v>1.3011374027952374</c:v>
                </c:pt>
                <c:pt idx="2">
                  <c:v>89.17742603872216</c:v>
                </c:pt>
                <c:pt idx="3">
                  <c:v>0.60794214131760926</c:v>
                </c:pt>
                <c:pt idx="4">
                  <c:v>0.56158250163792478</c:v>
                </c:pt>
                <c:pt idx="5">
                  <c:v>0.98732720761015769</c:v>
                </c:pt>
                <c:pt idx="6">
                  <c:v>0.38332071610305846</c:v>
                </c:pt>
                <c:pt idx="7">
                  <c:v>0.41000210673019266</c:v>
                </c:pt>
                <c:pt idx="8">
                  <c:v>1.4221007572653255</c:v>
                </c:pt>
                <c:pt idx="9">
                  <c:v>1.867581589493204</c:v>
                </c:pt>
                <c:pt idx="10">
                  <c:v>0.56216127366888213</c:v>
                </c:pt>
              </c:numCache>
            </c:numRef>
          </c:val>
          <c:extLst>
            <c:ext xmlns:c16="http://schemas.microsoft.com/office/drawing/2014/chart" uri="{C3380CC4-5D6E-409C-BE32-E72D297353CC}">
              <c16:uniqueId val="{00000016-206C-4A25-98D0-A20885AFEE7D}"/>
            </c:ext>
          </c:extLst>
        </c:ser>
        <c:dLbls>
          <c:showLegendKey val="0"/>
          <c:showVal val="0"/>
          <c:showCatName val="0"/>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lumMod val="50000"/>
          <a:lumOff val="50000"/>
        </a:sys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vert="horz"/>
              <a:lstStyle/>
              <a:p>
                <a:pPr>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'NEW_Figures_Sec 12_by Crop grow'!$B$175:$H$175</c:f>
              <c:strCache>
                <c:ptCount val="7"/>
                <c:pt idx="0">
                  <c:v>Less than 1 km</c:v>
                </c:pt>
                <c:pt idx="1">
                  <c:v>From 1 km to less than 3 km</c:v>
                </c:pt>
                <c:pt idx="2">
                  <c:v>From 3 km to less than 10 km</c:v>
                </c:pt>
                <c:pt idx="3">
                  <c:v>From 10 km to less than 20 km</c:v>
                </c:pt>
                <c:pt idx="4">
                  <c:v>20 km and Above</c:v>
                </c:pt>
                <c:pt idx="5">
                  <c:v>Within the household</c:v>
                </c:pt>
                <c:pt idx="6">
                  <c:v>Don’t know</c:v>
                </c:pt>
              </c:strCache>
            </c:strRef>
          </c:cat>
          <c:val>
            <c:numRef>
              <c:f>'NEW_Figures_Sec 12_by Crop grow'!$B$179:$H$179</c:f>
              <c:numCache>
                <c:formatCode>0.0</c:formatCode>
                <c:ptCount val="7"/>
                <c:pt idx="0">
                  <c:v>27.885236451525529</c:v>
                </c:pt>
                <c:pt idx="1">
                  <c:v>25.221611810653574</c:v>
                </c:pt>
                <c:pt idx="2">
                  <c:v>18.655037979020673</c:v>
                </c:pt>
                <c:pt idx="3">
                  <c:v>10.346591843018505</c:v>
                </c:pt>
                <c:pt idx="4">
                  <c:v>16.828375572116155</c:v>
                </c:pt>
                <c:pt idx="5">
                  <c:v>0.88297461042854597</c:v>
                </c:pt>
                <c:pt idx="6">
                  <c:v>0.18017173323702568</c:v>
                </c:pt>
              </c:numCache>
            </c:numRef>
          </c:val>
          <c:extLst>
            <c:ext xmlns:c16="http://schemas.microsoft.com/office/drawing/2014/chart" uri="{C3380CC4-5D6E-409C-BE32-E72D297353CC}">
              <c16:uniqueId val="{00000000-7783-804C-B7BB-D11A4BCBEFB6}"/>
            </c:ext>
          </c:extLst>
        </c:ser>
        <c:dLbls>
          <c:showLegendKey val="0"/>
          <c:showVal val="0"/>
          <c:showCatName val="0"/>
          <c:showSerName val="0"/>
          <c:showPercent val="0"/>
          <c:showBubbleSize val="0"/>
        </c:dLbls>
        <c:gapWidth val="219"/>
        <c:overlap val="-27"/>
        <c:axId val="104924672"/>
        <c:axId val="104926592"/>
      </c:barChart>
      <c:catAx>
        <c:axId val="104924672"/>
        <c:scaling>
          <c:orientation val="minMax"/>
        </c:scaling>
        <c:delete val="0"/>
        <c:axPos val="b"/>
        <c:title>
          <c:tx>
            <c:rich>
              <a:bodyPr/>
              <a:lstStyle/>
              <a:p>
                <a:pPr>
                  <a:defRPr/>
                </a:pPr>
                <a:r>
                  <a:rPr lang="en-US"/>
                  <a:t>Distance (Km)</a:t>
                </a:r>
              </a:p>
            </c:rich>
          </c:tx>
          <c:layout>
            <c:manualLayout>
              <c:xMode val="edge"/>
              <c:yMode val="edge"/>
              <c:x val="0.46421668262502019"/>
              <c:y val="0.93244686826598033"/>
            </c:manualLayout>
          </c:layout>
          <c:overlay val="0"/>
        </c:title>
        <c:numFmt formatCode="General" sourceLinked="1"/>
        <c:majorTickMark val="out"/>
        <c:minorTickMark val="none"/>
        <c:tickLblPos val="nextTo"/>
        <c:spPr>
          <a:noFill/>
          <a:ln w="6350" cap="flat" cmpd="sng" algn="ctr">
            <a:solidFill>
              <a:sysClr val="windowText" lastClr="000000"/>
            </a:solidFill>
            <a:round/>
          </a:ln>
          <a:effectLst/>
        </c:spPr>
        <c:txPr>
          <a:bodyPr rot="0" vert="horz"/>
          <a:lstStyle/>
          <a:p>
            <a:pPr>
              <a:defRPr/>
            </a:pPr>
            <a:endParaRPr lang="en-US"/>
          </a:p>
        </c:txPr>
        <c:crossAx val="104926592"/>
        <c:crosses val="autoZero"/>
        <c:auto val="1"/>
        <c:lblAlgn val="ctr"/>
        <c:lblOffset val="100"/>
        <c:noMultiLvlLbl val="0"/>
      </c:catAx>
      <c:valAx>
        <c:axId val="104926592"/>
        <c:scaling>
          <c:orientation val="minMax"/>
        </c:scaling>
        <c:delete val="0"/>
        <c:axPos val="l"/>
        <c:title>
          <c:tx>
            <c:rich>
              <a:bodyPr/>
              <a:lstStyle/>
              <a:p>
                <a:pPr>
                  <a:defRPr/>
                </a:pPr>
                <a:r>
                  <a:rPr lang="en-US"/>
                  <a:t>Percent</a:t>
                </a:r>
              </a:p>
            </c:rich>
          </c:tx>
          <c:layout>
            <c:manualLayout>
              <c:xMode val="edge"/>
              <c:yMode val="edge"/>
              <c:x val="2.2967972438433074E-2"/>
              <c:y val="0.30212220554142794"/>
            </c:manualLayout>
          </c:layout>
          <c:overlay val="0"/>
        </c:title>
        <c:numFmt formatCode="0" sourceLinked="0"/>
        <c:majorTickMark val="out"/>
        <c:minorTickMark val="none"/>
        <c:tickLblPos val="nextTo"/>
        <c:spPr>
          <a:noFill/>
          <a:ln>
            <a:solidFill>
              <a:schemeClr val="tx1"/>
            </a:solidFill>
          </a:ln>
          <a:effectLst/>
        </c:spPr>
        <c:txPr>
          <a:bodyPr rot="-60000000" vert="horz"/>
          <a:lstStyle/>
          <a:p>
            <a:pPr>
              <a:defRPr/>
            </a:pPr>
            <a:endParaRPr lang="en-US"/>
          </a:p>
        </c:txPr>
        <c:crossAx val="104924672"/>
        <c:crosses val="autoZero"/>
        <c:crossBetween val="between"/>
      </c:valAx>
      <c:spPr>
        <a:noFill/>
        <a:ln w="25388">
          <a:noFill/>
        </a:ln>
      </c:spPr>
    </c:plotArea>
    <c:plotVisOnly val="1"/>
    <c:dispBlanksAs val="gap"/>
    <c:showDLblsOverMax val="0"/>
  </c:chart>
  <c:spPr>
    <a:solidFill>
      <a:schemeClr val="bg1"/>
    </a:solidFill>
    <a:ln w="9521" cap="flat" cmpd="sng" algn="ctr">
      <a:solidFill>
        <a:sysClr val="windowText" lastClr="000000">
          <a:lumMod val="50000"/>
          <a:lumOff val="50000"/>
        </a:sysClr>
      </a:solidFill>
      <a:round/>
    </a:ln>
    <a:effectLst/>
  </c:spPr>
  <c:txPr>
    <a:bodyPr/>
    <a:lstStyle/>
    <a:p>
      <a:pPr>
        <a:defRPr sz="800" b="0">
          <a:solidFill>
            <a:schemeClr val="tx1"/>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3417394979979673E-2"/>
          <c:y val="5.0878815911193337E-2"/>
          <c:w val="0.89073977640496105"/>
          <c:h val="0.5421208854443611"/>
        </c:manualLayout>
      </c:layout>
      <c:barChart>
        <c:barDir val="col"/>
        <c:grouping val="clustered"/>
        <c:varyColors val="0"/>
        <c:ser>
          <c:idx val="0"/>
          <c:order val="0"/>
          <c:spPr>
            <a:solidFill>
              <a:srgbClr val="FFC000">
                <a:lumMod val="75000"/>
              </a:srgbClr>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'Figures_2_Sources of Inputs'!$G$231:$G$256</c:f>
              <c:strCache>
                <c:ptCount val="26"/>
                <c:pt idx="0">
                  <c:v> Tabora </c:v>
                </c:pt>
                <c:pt idx="1">
                  <c:v> Kilimanjaro </c:v>
                </c:pt>
                <c:pt idx="2">
                  <c:v> Mbeya </c:v>
                </c:pt>
                <c:pt idx="3">
                  <c:v> Mwanza </c:v>
                </c:pt>
                <c:pt idx="4">
                  <c:v> Manyara </c:v>
                </c:pt>
                <c:pt idx="5">
                  <c:v> Simiyu </c:v>
                </c:pt>
                <c:pt idx="6">
                  <c:v> Tanga </c:v>
                </c:pt>
                <c:pt idx="7">
                  <c:v> Singida </c:v>
                </c:pt>
                <c:pt idx="8">
                  <c:v> Arusha </c:v>
                </c:pt>
                <c:pt idx="9">
                  <c:v> Dar Es Salaam </c:v>
                </c:pt>
                <c:pt idx="10">
                  <c:v> Dodoma </c:v>
                </c:pt>
                <c:pt idx="11">
                  <c:v> Kagera </c:v>
                </c:pt>
                <c:pt idx="12">
                  <c:v> Geita </c:v>
                </c:pt>
                <c:pt idx="13">
                  <c:v> Songwe </c:v>
                </c:pt>
                <c:pt idx="14">
                  <c:v> Shinyanga </c:v>
                </c:pt>
                <c:pt idx="15">
                  <c:v> Mtwara </c:v>
                </c:pt>
                <c:pt idx="16">
                  <c:v> Ruvuma </c:v>
                </c:pt>
                <c:pt idx="17">
                  <c:v> Iringa </c:v>
                </c:pt>
                <c:pt idx="18">
                  <c:v> Mara </c:v>
                </c:pt>
                <c:pt idx="19">
                  <c:v> Kigoma </c:v>
                </c:pt>
                <c:pt idx="20">
                  <c:v> Pwani </c:v>
                </c:pt>
                <c:pt idx="21">
                  <c:v> Morogoro </c:v>
                </c:pt>
                <c:pt idx="22">
                  <c:v> Rukwa </c:v>
                </c:pt>
                <c:pt idx="23">
                  <c:v> Lindi </c:v>
                </c:pt>
                <c:pt idx="24">
                  <c:v> Njombe </c:v>
                </c:pt>
                <c:pt idx="25">
                  <c:v> Katavi </c:v>
                </c:pt>
              </c:strCache>
            </c:strRef>
          </c:cat>
          <c:val>
            <c:numRef>
              <c:f>'Figures_2_Sources of Inputs'!$H$231:$H$256</c:f>
              <c:numCache>
                <c:formatCode>0.0</c:formatCode>
                <c:ptCount val="26"/>
                <c:pt idx="0">
                  <c:v>6.8568795579744268</c:v>
                </c:pt>
                <c:pt idx="1">
                  <c:v>6.6420920776131434</c:v>
                </c:pt>
                <c:pt idx="2">
                  <c:v>6.4815958976383827</c:v>
                </c:pt>
                <c:pt idx="3">
                  <c:v>6.3973308998918137</c:v>
                </c:pt>
                <c:pt idx="4">
                  <c:v>5.2428752125088316</c:v>
                </c:pt>
                <c:pt idx="5">
                  <c:v>5.0234043419350405</c:v>
                </c:pt>
                <c:pt idx="6">
                  <c:v>4.6320890766407992</c:v>
                </c:pt>
                <c:pt idx="7">
                  <c:v>4.6139319330476951</c:v>
                </c:pt>
                <c:pt idx="8">
                  <c:v>4.4698996709738248</c:v>
                </c:pt>
                <c:pt idx="9">
                  <c:v>4.3130421249333972</c:v>
                </c:pt>
                <c:pt idx="10">
                  <c:v>4.1413418345271777</c:v>
                </c:pt>
                <c:pt idx="11">
                  <c:v>3.9890956265421416</c:v>
                </c:pt>
                <c:pt idx="12">
                  <c:v>3.7909521944745364</c:v>
                </c:pt>
                <c:pt idx="13">
                  <c:v>3.6250160766375568</c:v>
                </c:pt>
                <c:pt idx="14">
                  <c:v>3.5310960898375119</c:v>
                </c:pt>
                <c:pt idx="15">
                  <c:v>3.4423638583497826</c:v>
                </c:pt>
                <c:pt idx="16">
                  <c:v>3.4190549855229206</c:v>
                </c:pt>
                <c:pt idx="17">
                  <c:v>2.9009639497839697</c:v>
                </c:pt>
                <c:pt idx="18">
                  <c:v>2.6172946072202747</c:v>
                </c:pt>
                <c:pt idx="19">
                  <c:v>2.4292384771488384</c:v>
                </c:pt>
                <c:pt idx="20">
                  <c:v>2.1672928599554648</c:v>
                </c:pt>
                <c:pt idx="21">
                  <c:v>2.1194502276307774</c:v>
                </c:pt>
                <c:pt idx="22">
                  <c:v>2.050172078564231</c:v>
                </c:pt>
                <c:pt idx="23">
                  <c:v>2.0307540222216058</c:v>
                </c:pt>
                <c:pt idx="24">
                  <c:v>1.9278635418606822</c:v>
                </c:pt>
                <c:pt idx="25">
                  <c:v>1.14490877656518</c:v>
                </c:pt>
              </c:numCache>
            </c:numRef>
          </c:val>
          <c:extLst>
            <c:ext xmlns:c16="http://schemas.microsoft.com/office/drawing/2014/chart" uri="{C3380CC4-5D6E-409C-BE32-E72D297353CC}">
              <c16:uniqueId val="{00000000-F850-4D0D-90D8-D0C84491D487}"/>
            </c:ext>
          </c:extLst>
        </c:ser>
        <c:dLbls>
          <c:dLblPos val="outEnd"/>
          <c:showLegendKey val="0"/>
          <c:showVal val="1"/>
          <c:showCatName val="0"/>
          <c:showSerName val="0"/>
          <c:showPercent val="0"/>
          <c:showBubbleSize val="0"/>
        </c:dLbls>
        <c:gapWidth val="219"/>
        <c:overlap val="-27"/>
        <c:axId val="104525824"/>
        <c:axId val="104528896"/>
      </c:barChart>
      <c:catAx>
        <c:axId val="104525824"/>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Region</a:t>
                </a:r>
              </a:p>
            </c:rich>
          </c:tx>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chemeClr val="tx1">
                <a:lumMod val="50000"/>
                <a:lumOff val="50000"/>
              </a:schemeClr>
            </a:solidFill>
            <a:round/>
          </a:ln>
          <a:effectLst/>
        </c:spPr>
        <c:txPr>
          <a:bodyPr rot="-5400000" spcFirstLastPara="1" vertOverflow="ellipsis"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04528896"/>
        <c:crosses val="autoZero"/>
        <c:auto val="1"/>
        <c:lblAlgn val="ctr"/>
        <c:lblOffset val="100"/>
        <c:noMultiLvlLbl val="0"/>
      </c:catAx>
      <c:valAx>
        <c:axId val="104528896"/>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Percent</a:t>
                </a:r>
              </a:p>
            </c:rich>
          </c:tx>
          <c:layout>
            <c:manualLayout>
              <c:xMode val="edge"/>
              <c:yMode val="edge"/>
              <c:x val="1.0511931041732366E-2"/>
              <c:y val="0.26877089600617682"/>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a:solidFill>
              <a:schemeClr val="tx1">
                <a:lumMod val="50000"/>
                <a:lumOff val="50000"/>
              </a:schemeClr>
            </a:solid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045258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2814787203637603E-2"/>
          <c:y val="5.0878815911193337E-2"/>
          <c:w val="0.7826697658328946"/>
          <c:h val="0.66671570401525893"/>
        </c:manualLayout>
      </c:layout>
      <c:barChart>
        <c:barDir val="col"/>
        <c:grouping val="clustered"/>
        <c:varyColors val="0"/>
        <c:ser>
          <c:idx val="0"/>
          <c:order val="0"/>
          <c:spPr>
            <a:solidFill>
              <a:srgbClr val="FFC000">
                <a:lumMod val="75000"/>
              </a:srgb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'Figures_2_Sources of Inputs'!$G$258:$G$262</c:f>
              <c:strCache>
                <c:ptCount val="5"/>
                <c:pt idx="0">
                  <c:v> Mjini Magharibi </c:v>
                </c:pt>
                <c:pt idx="1">
                  <c:v> Kusini  Pemba </c:v>
                </c:pt>
                <c:pt idx="2">
                  <c:v> Kaskazini Unguja </c:v>
                </c:pt>
                <c:pt idx="3">
                  <c:v> Kaskazini Pemba </c:v>
                </c:pt>
                <c:pt idx="4">
                  <c:v> Kusini Unguja </c:v>
                </c:pt>
              </c:strCache>
            </c:strRef>
          </c:cat>
          <c:val>
            <c:numRef>
              <c:f>'Figures_2_Sources of Inputs'!$H$258:$H$262</c:f>
              <c:numCache>
                <c:formatCode>0.0</c:formatCode>
                <c:ptCount val="5"/>
                <c:pt idx="0">
                  <c:v>29.458513391788195</c:v>
                </c:pt>
                <c:pt idx="1">
                  <c:v>24.8155707330422</c:v>
                </c:pt>
                <c:pt idx="2">
                  <c:v>21.774625725459792</c:v>
                </c:pt>
                <c:pt idx="3">
                  <c:v>15.173939317925271</c:v>
                </c:pt>
                <c:pt idx="4">
                  <c:v>8.7773508317845454</c:v>
                </c:pt>
              </c:numCache>
            </c:numRef>
          </c:val>
          <c:extLst>
            <c:ext xmlns:c16="http://schemas.microsoft.com/office/drawing/2014/chart" uri="{C3380CC4-5D6E-409C-BE32-E72D297353CC}">
              <c16:uniqueId val="{00000000-3C28-4819-B130-61B0DD6DD45D}"/>
            </c:ext>
          </c:extLst>
        </c:ser>
        <c:dLbls>
          <c:showLegendKey val="0"/>
          <c:showVal val="0"/>
          <c:showCatName val="0"/>
          <c:showSerName val="0"/>
          <c:showPercent val="0"/>
          <c:showBubbleSize val="0"/>
        </c:dLbls>
        <c:gapWidth val="224"/>
        <c:overlap val="-27"/>
        <c:axId val="104456960"/>
        <c:axId val="104458880"/>
      </c:barChart>
      <c:catAx>
        <c:axId val="104456960"/>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Region</a:t>
                </a:r>
              </a:p>
            </c:rich>
          </c:tx>
          <c:layout>
            <c:manualLayout>
              <c:xMode val="edge"/>
              <c:yMode val="edge"/>
              <c:x val="0.42983579536993444"/>
              <c:y val="0.84956078963412018"/>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ysClr val="windowText" lastClr="000000">
                <a:lumMod val="50000"/>
                <a:lumOff val="50000"/>
              </a:sys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04458880"/>
        <c:crosses val="autoZero"/>
        <c:auto val="1"/>
        <c:lblAlgn val="ctr"/>
        <c:lblOffset val="100"/>
        <c:noMultiLvlLbl val="0"/>
      </c:catAx>
      <c:valAx>
        <c:axId val="104458880"/>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Percent</a:t>
                </a:r>
              </a:p>
            </c:rich>
          </c:tx>
          <c:layout>
            <c:manualLayout>
              <c:xMode val="edge"/>
              <c:yMode val="edge"/>
              <c:x val="2.1144132503230353E-2"/>
              <c:y val="0.3051909562965146"/>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a:solidFill>
              <a:schemeClr val="tx1">
                <a:lumMod val="50000"/>
                <a:lumOff val="50000"/>
              </a:schemeClr>
            </a:solid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044569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39357860994203"/>
          <c:y val="0.19468887056402476"/>
          <c:w val="0.7580048592755555"/>
          <c:h val="0.72847127289266067"/>
        </c:manualLayout>
      </c:layout>
      <c:pie3DChart>
        <c:varyColors val="1"/>
        <c:ser>
          <c:idx val="0"/>
          <c:order val="0"/>
          <c:explosion val="3"/>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DD89-4A7F-82B6-D6F4ABD79ED2}"/>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DD89-4A7F-82B6-D6F4ABD79ED2}"/>
              </c:ext>
            </c:extLst>
          </c:dPt>
          <c:dPt>
            <c:idx val="2"/>
            <c:bubble3D val="0"/>
            <c:explosion val="6"/>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DD89-4A7F-82B6-D6F4ABD79ED2}"/>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DD89-4A7F-82B6-D6F4ABD79ED2}"/>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DD89-4A7F-82B6-D6F4ABD79ED2}"/>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DD89-4A7F-82B6-D6F4ABD79ED2}"/>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DD89-4A7F-82B6-D6F4ABD79ED2}"/>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DD89-4A7F-82B6-D6F4ABD79ED2}"/>
              </c:ext>
            </c:extLst>
          </c:dPt>
          <c:dPt>
            <c:idx val="8"/>
            <c:bubble3D val="0"/>
            <c:spPr>
              <a:solidFill>
                <a:schemeClr val="accent3">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1-DD89-4A7F-82B6-D6F4ABD79ED2}"/>
              </c:ext>
            </c:extLst>
          </c:dPt>
          <c:dPt>
            <c:idx val="9"/>
            <c:bubble3D val="0"/>
            <c:spPr>
              <a:solidFill>
                <a:schemeClr val="accent4">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3-DD89-4A7F-82B6-D6F4ABD79ED2}"/>
              </c:ext>
            </c:extLst>
          </c:dPt>
          <c:dPt>
            <c:idx val="10"/>
            <c:bubble3D val="0"/>
            <c:spPr>
              <a:solidFill>
                <a:schemeClr val="accent5">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5-DD89-4A7F-82B6-D6F4ABD79ED2}"/>
              </c:ext>
            </c:extLst>
          </c:dPt>
          <c:dLbls>
            <c:dLbl>
              <c:idx val="0"/>
              <c:layout>
                <c:manualLayout>
                  <c:x val="0.11592469960571422"/>
                  <c:y val="-5.746335434240564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DD89-4A7F-82B6-D6F4ABD79ED2}"/>
                </c:ext>
              </c:extLst>
            </c:dLbl>
            <c:dLbl>
              <c:idx val="1"/>
              <c:layout>
                <c:manualLayout>
                  <c:x val="0.16453329199377567"/>
                  <c:y val="3.2327328234750555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DD89-4A7F-82B6-D6F4ABD79ED2}"/>
                </c:ext>
              </c:extLst>
            </c:dLbl>
            <c:dLbl>
              <c:idx val="2"/>
              <c:layout>
                <c:manualLayout>
                  <c:x val="4.7717939418048229E-2"/>
                  <c:y val="2.77452320193078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DD89-4A7F-82B6-D6F4ABD79ED2}"/>
                </c:ext>
              </c:extLst>
            </c:dLbl>
            <c:dLbl>
              <c:idx val="7"/>
              <c:layout>
                <c:manualLayout>
                  <c:x val="8.4675942717412925E-2"/>
                  <c:y val="-0.12711885884281796"/>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DD89-4A7F-82B6-D6F4ABD79ED2}"/>
                </c:ext>
              </c:extLst>
            </c:dLbl>
            <c:dLbl>
              <c:idx val="8"/>
              <c:layout>
                <c:manualLayout>
                  <c:x val="0.10925237040347499"/>
                  <c:y val="-0.14456712373418568"/>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1-DD89-4A7F-82B6-D6F4ABD79ED2}"/>
                </c:ext>
              </c:extLst>
            </c:dLbl>
            <c:dLbl>
              <c:idx val="9"/>
              <c:layout>
                <c:manualLayout>
                  <c:x val="0.11373024183641235"/>
                  <c:y val="-9.1354178647946302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3-DD89-4A7F-82B6-D6F4ABD79ED2}"/>
                </c:ext>
              </c:extLst>
            </c:dLbl>
            <c:dLbl>
              <c:idx val="10"/>
              <c:layout>
                <c:manualLayout>
                  <c:x val="0.13526254519076647"/>
                  <c:y val="-9.2592108828684114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5-DD89-4A7F-82B6-D6F4ABD79ED2}"/>
                </c:ext>
              </c:extLst>
            </c:dLbl>
            <c:numFmt formatCode="0.0%" sourceLinked="0"/>
            <c:spPr>
              <a:noFill/>
              <a:ln>
                <a:noFill/>
              </a:ln>
              <a:effectLst/>
            </c:spPr>
            <c:txPr>
              <a:bodyPr rot="0" spcFirstLastPara="1" vertOverflow="ellipsis" vert="horz" wrap="square" anchor="ctr" anchorCtr="1"/>
              <a:lstStyle/>
              <a:p>
                <a:pPr>
                  <a:defRPr sz="5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'NEW_Figures_Sec 12_by Crop grow'!$B$69:$L$69</c:f>
              <c:strCache>
                <c:ptCount val="11"/>
                <c:pt idx="0">
                  <c:v> Government </c:v>
                </c:pt>
                <c:pt idx="1">
                  <c:v> Local Farmers Group </c:v>
                </c:pt>
                <c:pt idx="2">
                  <c:v> Local Market /Trade Store </c:v>
                </c:pt>
                <c:pt idx="3">
                  <c:v> Secondary Market </c:v>
                </c:pt>
                <c:pt idx="4">
                  <c:v> Development Project </c:v>
                </c:pt>
                <c:pt idx="5">
                  <c:v> Crop Buyers </c:v>
                </c:pt>
                <c:pt idx="6">
                  <c:v> Large Scale Farm </c:v>
                </c:pt>
                <c:pt idx="7">
                  <c:v> Locally Produced by Household </c:v>
                </c:pt>
                <c:pt idx="8">
                  <c:v> Neighbour </c:v>
                </c:pt>
                <c:pt idx="9">
                  <c:v> Cooperative </c:v>
                </c:pt>
                <c:pt idx="10">
                  <c:v> Other </c:v>
                </c:pt>
              </c:strCache>
            </c:strRef>
          </c:cat>
          <c:val>
            <c:numRef>
              <c:f>'NEW_Figures_Sec 12_by Crop grow'!$B$115:$L$115</c:f>
              <c:numCache>
                <c:formatCode>0.0</c:formatCode>
                <c:ptCount val="11"/>
                <c:pt idx="0">
                  <c:v>4.5727037475510484</c:v>
                </c:pt>
                <c:pt idx="1">
                  <c:v>2.5153747027208246</c:v>
                </c:pt>
                <c:pt idx="2">
                  <c:v>71.937299849483324</c:v>
                </c:pt>
                <c:pt idx="3">
                  <c:v>1.9400936625842071</c:v>
                </c:pt>
                <c:pt idx="4">
                  <c:v>2.3443234956189518</c:v>
                </c:pt>
                <c:pt idx="5">
                  <c:v>2.0609260791976167</c:v>
                </c:pt>
                <c:pt idx="6">
                  <c:v>1.9782641340750906</c:v>
                </c:pt>
                <c:pt idx="7">
                  <c:v>3.6120511128106805</c:v>
                </c:pt>
                <c:pt idx="8">
                  <c:v>5.7151288471679464</c:v>
                </c:pt>
                <c:pt idx="9">
                  <c:v>2.7855015069129414</c:v>
                </c:pt>
                <c:pt idx="10">
                  <c:v>0.5383328618773725</c:v>
                </c:pt>
              </c:numCache>
            </c:numRef>
          </c:val>
          <c:extLst>
            <c:ext xmlns:c16="http://schemas.microsoft.com/office/drawing/2014/chart" uri="{C3380CC4-5D6E-409C-BE32-E72D297353CC}">
              <c16:uniqueId val="{00000016-DD89-4A7F-82B6-D6F4ABD79ED2}"/>
            </c:ext>
          </c:extLst>
        </c:ser>
        <c:dLbls>
          <c:showLegendKey val="0"/>
          <c:showVal val="1"/>
          <c:showCatName val="0"/>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lumMod val="50000"/>
          <a:lumOff val="50000"/>
        </a:sys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9386897026221263E-2"/>
          <c:y val="5.2368483694358488E-2"/>
          <c:w val="0.86177815151746806"/>
          <c:h val="0.72143190503948251"/>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vert="horz"/>
              <a:lstStyle/>
              <a:p>
                <a:pPr>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'NEW_Figures_Sec 12_by Crop grow'!$B$161:$H$161</c:f>
              <c:strCache>
                <c:ptCount val="7"/>
                <c:pt idx="0">
                  <c:v>Less than 1 km</c:v>
                </c:pt>
                <c:pt idx="1">
                  <c:v>From 1 km to less than 3 km</c:v>
                </c:pt>
                <c:pt idx="2">
                  <c:v>From 3 km to less than 10 km</c:v>
                </c:pt>
                <c:pt idx="3">
                  <c:v>From 10 km to less than 20 km</c:v>
                </c:pt>
                <c:pt idx="4">
                  <c:v>20 km and Above</c:v>
                </c:pt>
                <c:pt idx="5">
                  <c:v>Within the household</c:v>
                </c:pt>
                <c:pt idx="6">
                  <c:v>Don’t know</c:v>
                </c:pt>
              </c:strCache>
            </c:strRef>
          </c:cat>
          <c:val>
            <c:numRef>
              <c:f>'NEW_Figures_Sec 12_by Crop grow'!$B$165:$H$165</c:f>
              <c:numCache>
                <c:formatCode>_(* #,##0.0_);_(* \(#,##0.0\);_(* "-"_);_(@_)</c:formatCode>
                <c:ptCount val="7"/>
                <c:pt idx="0">
                  <c:v>24.891966739655032</c:v>
                </c:pt>
                <c:pt idx="1">
                  <c:v>24.53760647047114</c:v>
                </c:pt>
                <c:pt idx="2">
                  <c:v>22.391783395670288</c:v>
                </c:pt>
                <c:pt idx="3">
                  <c:v>11.349656186375272</c:v>
                </c:pt>
                <c:pt idx="4">
                  <c:v>12.35951485435503</c:v>
                </c:pt>
                <c:pt idx="5">
                  <c:v>4.1184646600104067</c:v>
                </c:pt>
                <c:pt idx="6">
                  <c:v>0.35107753879034875</c:v>
                </c:pt>
              </c:numCache>
            </c:numRef>
          </c:val>
          <c:extLst>
            <c:ext xmlns:c16="http://schemas.microsoft.com/office/drawing/2014/chart" uri="{C3380CC4-5D6E-409C-BE32-E72D297353CC}">
              <c16:uniqueId val="{00000000-E27F-3445-ADA1-02A03C8FEE83}"/>
            </c:ext>
          </c:extLst>
        </c:ser>
        <c:dLbls>
          <c:showLegendKey val="0"/>
          <c:showVal val="0"/>
          <c:showCatName val="0"/>
          <c:showSerName val="0"/>
          <c:showPercent val="0"/>
          <c:showBubbleSize val="0"/>
        </c:dLbls>
        <c:gapWidth val="219"/>
        <c:overlap val="-27"/>
        <c:axId val="106211968"/>
        <c:axId val="106214144"/>
      </c:barChart>
      <c:catAx>
        <c:axId val="106211968"/>
        <c:scaling>
          <c:orientation val="minMax"/>
        </c:scaling>
        <c:delete val="0"/>
        <c:axPos val="b"/>
        <c:title>
          <c:tx>
            <c:rich>
              <a:bodyPr/>
              <a:lstStyle/>
              <a:p>
                <a:pPr>
                  <a:defRPr/>
                </a:pPr>
                <a:r>
                  <a:rPr lang="en-US"/>
                  <a:t>Distance (Km)</a:t>
                </a:r>
              </a:p>
            </c:rich>
          </c:tx>
          <c:layout>
            <c:manualLayout>
              <c:xMode val="edge"/>
              <c:yMode val="edge"/>
              <c:x val="0.43252630968551381"/>
              <c:y val="0.90321352059033566"/>
            </c:manualLayout>
          </c:layout>
          <c:overlay val="0"/>
        </c:title>
        <c:numFmt formatCode="General" sourceLinked="1"/>
        <c:majorTickMark val="out"/>
        <c:minorTickMark val="none"/>
        <c:tickLblPos val="nextTo"/>
        <c:spPr>
          <a:noFill/>
          <a:ln w="6350" cap="flat" cmpd="sng" algn="ctr">
            <a:solidFill>
              <a:sysClr val="windowText" lastClr="000000"/>
            </a:solidFill>
            <a:round/>
          </a:ln>
          <a:effectLst/>
        </c:spPr>
        <c:txPr>
          <a:bodyPr rot="0" vert="horz"/>
          <a:lstStyle/>
          <a:p>
            <a:pPr>
              <a:defRPr/>
            </a:pPr>
            <a:endParaRPr lang="en-US"/>
          </a:p>
        </c:txPr>
        <c:crossAx val="106214144"/>
        <c:crosses val="autoZero"/>
        <c:auto val="1"/>
        <c:lblAlgn val="ctr"/>
        <c:lblOffset val="100"/>
        <c:noMultiLvlLbl val="0"/>
      </c:catAx>
      <c:valAx>
        <c:axId val="106214144"/>
        <c:scaling>
          <c:orientation val="minMax"/>
        </c:scaling>
        <c:delete val="0"/>
        <c:axPos val="l"/>
        <c:title>
          <c:tx>
            <c:rich>
              <a:bodyPr/>
              <a:lstStyle/>
              <a:p>
                <a:pPr>
                  <a:defRPr/>
                </a:pPr>
                <a:r>
                  <a:rPr lang="en-US"/>
                  <a:t>Percent</a:t>
                </a:r>
              </a:p>
            </c:rich>
          </c:tx>
          <c:layout>
            <c:manualLayout>
              <c:xMode val="edge"/>
              <c:yMode val="edge"/>
              <c:x val="1.3389868332961392E-2"/>
              <c:y val="0.3416966713961993"/>
            </c:manualLayout>
          </c:layout>
          <c:overlay val="0"/>
        </c:title>
        <c:numFmt formatCode="_(* #,##0.0_);_(* \(#,##0.0\);_(* &quot;-&quot;_);_(@_)" sourceLinked="1"/>
        <c:majorTickMark val="out"/>
        <c:minorTickMark val="none"/>
        <c:tickLblPos val="nextTo"/>
        <c:spPr>
          <a:noFill/>
          <a:ln>
            <a:solidFill>
              <a:schemeClr val="tx1"/>
            </a:solidFill>
          </a:ln>
          <a:effectLst/>
        </c:spPr>
        <c:txPr>
          <a:bodyPr rot="-60000000" vert="horz"/>
          <a:lstStyle/>
          <a:p>
            <a:pPr>
              <a:defRPr/>
            </a:pPr>
            <a:endParaRPr lang="en-US"/>
          </a:p>
        </c:txPr>
        <c:crossAx val="106211968"/>
        <c:crosses val="autoZero"/>
        <c:crossBetween val="between"/>
      </c:valAx>
      <c:spPr>
        <a:noFill/>
        <a:ln w="25375">
          <a:noFill/>
        </a:ln>
      </c:spPr>
    </c:plotArea>
    <c:plotVisOnly val="1"/>
    <c:dispBlanksAs val="gap"/>
    <c:showDLblsOverMax val="0"/>
  </c:chart>
  <c:spPr>
    <a:solidFill>
      <a:schemeClr val="bg1"/>
    </a:solidFill>
    <a:ln w="9516" cap="flat" cmpd="sng" algn="ctr">
      <a:solidFill>
        <a:sysClr val="windowText" lastClr="000000">
          <a:lumMod val="50000"/>
          <a:lumOff val="50000"/>
        </a:sysClr>
      </a:solidFill>
      <a:round/>
    </a:ln>
    <a:effectLst/>
  </c:spPr>
  <c:txPr>
    <a:bodyPr/>
    <a:lstStyle/>
    <a:p>
      <a:pPr>
        <a:defRPr sz="800" b="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9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917506806976232"/>
          <c:y val="8.3338772280693446E-2"/>
          <c:w val="0.71694098881985935"/>
          <c:h val="0.62951370662000594"/>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6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'Figures_2_Sources of Inputs'!$I$175:$I$179</c:f>
              <c:strCache>
                <c:ptCount val="5"/>
                <c:pt idx="0">
                  <c:v> Mjini Magharibi </c:v>
                </c:pt>
                <c:pt idx="1">
                  <c:v> Kusini  Pemba </c:v>
                </c:pt>
                <c:pt idx="2">
                  <c:v> Kaskazini Unguja </c:v>
                </c:pt>
                <c:pt idx="3">
                  <c:v> Kusini Unguja </c:v>
                </c:pt>
                <c:pt idx="4">
                  <c:v> Kaskazini Pemba </c:v>
                </c:pt>
              </c:strCache>
            </c:strRef>
          </c:cat>
          <c:val>
            <c:numRef>
              <c:f>'Figures_2_Sources of Inputs'!$J$175:$J$179</c:f>
              <c:numCache>
                <c:formatCode>0.0</c:formatCode>
                <c:ptCount val="5"/>
                <c:pt idx="0">
                  <c:v>26.595854387955036</c:v>
                </c:pt>
                <c:pt idx="1">
                  <c:v>24.385548795160013</c:v>
                </c:pt>
                <c:pt idx="2">
                  <c:v>22.838678629129284</c:v>
                </c:pt>
                <c:pt idx="3">
                  <c:v>15.946512667147914</c:v>
                </c:pt>
                <c:pt idx="4">
                  <c:v>10.233405520607747</c:v>
                </c:pt>
              </c:numCache>
            </c:numRef>
          </c:val>
          <c:extLst>
            <c:ext xmlns:c16="http://schemas.microsoft.com/office/drawing/2014/chart" uri="{C3380CC4-5D6E-409C-BE32-E72D297353CC}">
              <c16:uniqueId val="{00000000-8264-402E-A932-32EB6F502227}"/>
            </c:ext>
          </c:extLst>
        </c:ser>
        <c:dLbls>
          <c:showLegendKey val="0"/>
          <c:showVal val="0"/>
          <c:showCatName val="0"/>
          <c:showSerName val="0"/>
          <c:showPercent val="0"/>
          <c:showBubbleSize val="0"/>
        </c:dLbls>
        <c:gapWidth val="219"/>
        <c:overlap val="-27"/>
        <c:axId val="105962496"/>
        <c:axId val="107349120"/>
      </c:barChart>
      <c:catAx>
        <c:axId val="105962496"/>
        <c:scaling>
          <c:orientation val="minMax"/>
        </c:scaling>
        <c:delete val="0"/>
        <c:axPos val="b"/>
        <c:title>
          <c:tx>
            <c:rich>
              <a:bodyPr rot="0" spcFirstLastPara="1" vertOverflow="ellipsis" vert="horz" wrap="square" anchor="ctr" anchorCtr="1"/>
              <a:lstStyle/>
              <a:p>
                <a:pPr>
                  <a:defRPr sz="65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Region</a:t>
                </a:r>
              </a:p>
            </c:rich>
          </c:tx>
          <c:overlay val="0"/>
          <c:spPr>
            <a:noFill/>
            <a:ln>
              <a:noFill/>
            </a:ln>
            <a:effectLst/>
          </c:spPr>
          <c:txPr>
            <a:bodyPr rot="0" spcFirstLastPara="1" vertOverflow="ellipsis" vert="horz" wrap="square" anchor="ctr" anchorCtr="1"/>
            <a:lstStyle/>
            <a:p>
              <a:pPr>
                <a:defRPr sz="6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chemeClr val="tx1">
                <a:lumMod val="50000"/>
                <a:lumOff val="50000"/>
              </a:schemeClr>
            </a:solidFill>
            <a:round/>
          </a:ln>
          <a:effectLst/>
        </c:spPr>
        <c:txPr>
          <a:bodyPr rot="-60000000" spcFirstLastPara="1" vertOverflow="ellipsis" vert="horz" wrap="square" anchor="ctr" anchorCtr="1"/>
          <a:lstStyle/>
          <a:p>
            <a:pPr>
              <a:defRPr sz="6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07349120"/>
        <c:crosses val="autoZero"/>
        <c:auto val="1"/>
        <c:lblAlgn val="ctr"/>
        <c:lblOffset val="100"/>
        <c:noMultiLvlLbl val="0"/>
      </c:catAx>
      <c:valAx>
        <c:axId val="107349120"/>
        <c:scaling>
          <c:orientation val="minMax"/>
        </c:scaling>
        <c:delete val="0"/>
        <c:axPos val="l"/>
        <c:title>
          <c:tx>
            <c:rich>
              <a:bodyPr rot="-5400000" spcFirstLastPara="1" vertOverflow="ellipsis" vert="horz" wrap="square" anchor="ctr" anchorCtr="1"/>
              <a:lstStyle/>
              <a:p>
                <a:pPr>
                  <a:defRPr sz="65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Percent</a:t>
                </a:r>
              </a:p>
            </c:rich>
          </c:tx>
          <c:overlay val="0"/>
          <c:spPr>
            <a:noFill/>
            <a:ln>
              <a:noFill/>
            </a:ln>
            <a:effectLst/>
          </c:spPr>
          <c:txPr>
            <a:bodyPr rot="-5400000" spcFirstLastPara="1" vertOverflow="ellipsis" vert="horz" wrap="square" anchor="ctr" anchorCtr="1"/>
            <a:lstStyle/>
            <a:p>
              <a:pPr>
                <a:defRPr sz="6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a:solidFill>
              <a:schemeClr val="tx1">
                <a:lumMod val="50000"/>
                <a:lumOff val="50000"/>
              </a:schemeClr>
            </a:solidFill>
          </a:ln>
          <a:effectLst/>
        </c:spPr>
        <c:txPr>
          <a:bodyPr rot="-60000000" spcFirstLastPara="1" vertOverflow="ellipsis" vert="horz" wrap="square" anchor="ctr" anchorCtr="1"/>
          <a:lstStyle/>
          <a:p>
            <a:pPr>
              <a:defRPr sz="6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059624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65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660406837101928"/>
          <c:y val="5.0937717064135218E-2"/>
          <c:w val="0.84996059105642396"/>
          <c:h val="0.63090756281072646"/>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5400000" spcFirstLastPara="1" vertOverflow="ellipsis" wrap="square" anchor="ctr" anchorCtr="1"/>
              <a:lstStyle/>
              <a:p>
                <a:pPr>
                  <a:defRPr sz="6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'Figures_2_Sources of Inputs'!$I$148:$I$173</c:f>
              <c:strCache>
                <c:ptCount val="26"/>
                <c:pt idx="0">
                  <c:v> Mtwara </c:v>
                </c:pt>
                <c:pt idx="1">
                  <c:v> Kilimanjaro </c:v>
                </c:pt>
                <c:pt idx="2">
                  <c:v> Lindi </c:v>
                </c:pt>
                <c:pt idx="3">
                  <c:v> Mbeya </c:v>
                </c:pt>
                <c:pt idx="4">
                  <c:v> Iringa </c:v>
                </c:pt>
                <c:pt idx="5">
                  <c:v> Ruvuma </c:v>
                </c:pt>
                <c:pt idx="6">
                  <c:v> Mwanza </c:v>
                </c:pt>
                <c:pt idx="7">
                  <c:v> Tabora </c:v>
                </c:pt>
                <c:pt idx="8">
                  <c:v> Arusha </c:v>
                </c:pt>
                <c:pt idx="9">
                  <c:v> Njombe </c:v>
                </c:pt>
                <c:pt idx="10">
                  <c:v> Simiyu </c:v>
                </c:pt>
                <c:pt idx="11">
                  <c:v> Morogoro </c:v>
                </c:pt>
                <c:pt idx="12">
                  <c:v> Geita </c:v>
                </c:pt>
                <c:pt idx="13">
                  <c:v> Tanga </c:v>
                </c:pt>
                <c:pt idx="14">
                  <c:v> Dar Es Salaam </c:v>
                </c:pt>
                <c:pt idx="15">
                  <c:v> Manyara </c:v>
                </c:pt>
                <c:pt idx="16">
                  <c:v> Rukwa </c:v>
                </c:pt>
                <c:pt idx="17">
                  <c:v> Pwani </c:v>
                </c:pt>
                <c:pt idx="18">
                  <c:v> Songwe </c:v>
                </c:pt>
                <c:pt idx="19">
                  <c:v> Kigoma </c:v>
                </c:pt>
                <c:pt idx="20">
                  <c:v> Kagera </c:v>
                </c:pt>
                <c:pt idx="21">
                  <c:v> Shinyanga </c:v>
                </c:pt>
                <c:pt idx="22">
                  <c:v> Dodoma </c:v>
                </c:pt>
                <c:pt idx="23">
                  <c:v> Singida </c:v>
                </c:pt>
                <c:pt idx="24">
                  <c:v> Mara </c:v>
                </c:pt>
                <c:pt idx="25">
                  <c:v> Katavi </c:v>
                </c:pt>
              </c:strCache>
            </c:strRef>
          </c:cat>
          <c:val>
            <c:numRef>
              <c:f>'Figures_2_Sources of Inputs'!$J$148:$J$173</c:f>
              <c:numCache>
                <c:formatCode>_(* #,##0.0_);_(* \(#,##0.0\);_(* "-"_);_(@_)</c:formatCode>
                <c:ptCount val="26"/>
                <c:pt idx="0">
                  <c:v>9.1522539647513206</c:v>
                </c:pt>
                <c:pt idx="1">
                  <c:v>8.3881948926079932</c:v>
                </c:pt>
                <c:pt idx="2">
                  <c:v>6.7255365320202394</c:v>
                </c:pt>
                <c:pt idx="3">
                  <c:v>6.0805614830716648</c:v>
                </c:pt>
                <c:pt idx="4">
                  <c:v>5.9903924303650946</c:v>
                </c:pt>
                <c:pt idx="5">
                  <c:v>5.5167195585521025</c:v>
                </c:pt>
                <c:pt idx="6">
                  <c:v>4.9277197074071317</c:v>
                </c:pt>
                <c:pt idx="7">
                  <c:v>4.5896808747919957</c:v>
                </c:pt>
                <c:pt idx="8">
                  <c:v>4.4949463004293975</c:v>
                </c:pt>
                <c:pt idx="9">
                  <c:v>4.4549979859391451</c:v>
                </c:pt>
                <c:pt idx="10">
                  <c:v>4.0258865077896839</c:v>
                </c:pt>
                <c:pt idx="11">
                  <c:v>3.9995872007502675</c:v>
                </c:pt>
                <c:pt idx="12">
                  <c:v>3.5149285424524557</c:v>
                </c:pt>
                <c:pt idx="13">
                  <c:v>3.1846891426663695</c:v>
                </c:pt>
                <c:pt idx="14">
                  <c:v>3.089336320579517</c:v>
                </c:pt>
                <c:pt idx="15">
                  <c:v>2.9196035415131947</c:v>
                </c:pt>
                <c:pt idx="16">
                  <c:v>2.7118247486466323</c:v>
                </c:pt>
                <c:pt idx="17">
                  <c:v>2.5416639519250572</c:v>
                </c:pt>
                <c:pt idx="18">
                  <c:v>2.450163288735479</c:v>
                </c:pt>
                <c:pt idx="19">
                  <c:v>1.952664100780086</c:v>
                </c:pt>
                <c:pt idx="20">
                  <c:v>1.8086599385461763</c:v>
                </c:pt>
                <c:pt idx="21">
                  <c:v>1.7904929669565617</c:v>
                </c:pt>
                <c:pt idx="22">
                  <c:v>1.7484045641900456</c:v>
                </c:pt>
                <c:pt idx="23">
                  <c:v>1.739416193429739</c:v>
                </c:pt>
                <c:pt idx="24">
                  <c:v>1.6348372129963282</c:v>
                </c:pt>
                <c:pt idx="25">
                  <c:v>0.56683804810633109</c:v>
                </c:pt>
              </c:numCache>
            </c:numRef>
          </c:val>
          <c:extLst>
            <c:ext xmlns:c16="http://schemas.microsoft.com/office/drawing/2014/chart" uri="{C3380CC4-5D6E-409C-BE32-E72D297353CC}">
              <c16:uniqueId val="{00000000-FFFA-4343-AD80-E0FDF8A58388}"/>
            </c:ext>
          </c:extLst>
        </c:ser>
        <c:dLbls>
          <c:showLegendKey val="0"/>
          <c:showVal val="0"/>
          <c:showCatName val="0"/>
          <c:showSerName val="0"/>
          <c:showPercent val="0"/>
          <c:showBubbleSize val="0"/>
        </c:dLbls>
        <c:gapWidth val="219"/>
        <c:overlap val="-27"/>
        <c:axId val="107387520"/>
        <c:axId val="107397888"/>
      </c:barChart>
      <c:catAx>
        <c:axId val="107387520"/>
        <c:scaling>
          <c:orientation val="minMax"/>
        </c:scaling>
        <c:delete val="0"/>
        <c:axPos val="b"/>
        <c:title>
          <c:tx>
            <c:rich>
              <a:bodyPr rot="0" spcFirstLastPara="1" vertOverflow="ellipsis" vert="horz" wrap="square" anchor="ctr" anchorCtr="1"/>
              <a:lstStyle/>
              <a:p>
                <a:pPr>
                  <a:defRPr sz="65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Region</a:t>
                </a:r>
              </a:p>
            </c:rich>
          </c:tx>
          <c:overlay val="0"/>
          <c:spPr>
            <a:noFill/>
            <a:ln>
              <a:noFill/>
            </a:ln>
            <a:effectLst/>
          </c:spPr>
          <c:txPr>
            <a:bodyPr rot="0" spcFirstLastPara="1" vertOverflow="ellipsis" vert="horz" wrap="square" anchor="ctr" anchorCtr="1"/>
            <a:lstStyle/>
            <a:p>
              <a:pPr>
                <a:defRPr sz="6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chemeClr val="tx1">
                <a:lumMod val="50000"/>
                <a:lumOff val="50000"/>
              </a:schemeClr>
            </a:solidFill>
            <a:round/>
          </a:ln>
          <a:effectLst/>
        </c:spPr>
        <c:txPr>
          <a:bodyPr rot="-60000000" spcFirstLastPara="1" vertOverflow="ellipsis" vert="horz" wrap="square" anchor="ctr" anchorCtr="1"/>
          <a:lstStyle/>
          <a:p>
            <a:pPr>
              <a:defRPr sz="6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07397888"/>
        <c:crosses val="autoZero"/>
        <c:auto val="1"/>
        <c:lblAlgn val="ctr"/>
        <c:lblOffset val="100"/>
        <c:noMultiLvlLbl val="0"/>
      </c:catAx>
      <c:valAx>
        <c:axId val="107397888"/>
        <c:scaling>
          <c:orientation val="minMax"/>
        </c:scaling>
        <c:delete val="0"/>
        <c:axPos val="l"/>
        <c:title>
          <c:tx>
            <c:rich>
              <a:bodyPr rot="-5400000" spcFirstLastPara="1" vertOverflow="ellipsis" vert="horz" wrap="square" anchor="ctr" anchorCtr="1"/>
              <a:lstStyle/>
              <a:p>
                <a:pPr>
                  <a:defRPr sz="65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Percent</a:t>
                </a:r>
              </a:p>
            </c:rich>
          </c:tx>
          <c:overlay val="0"/>
          <c:spPr>
            <a:noFill/>
            <a:ln>
              <a:noFill/>
            </a:ln>
            <a:effectLst/>
          </c:spPr>
          <c:txPr>
            <a:bodyPr rot="-5400000" spcFirstLastPara="1" vertOverflow="ellipsis" vert="horz" wrap="square" anchor="ctr" anchorCtr="1"/>
            <a:lstStyle/>
            <a:p>
              <a:pPr>
                <a:defRPr sz="6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a:solidFill>
              <a:schemeClr val="tx1">
                <a:lumMod val="50000"/>
                <a:lumOff val="50000"/>
              </a:schemeClr>
            </a:solidFill>
          </a:ln>
          <a:effectLst/>
        </c:spPr>
        <c:txPr>
          <a:bodyPr rot="-60000000" spcFirstLastPara="1" vertOverflow="ellipsis" vert="horz" wrap="square" anchor="ctr" anchorCtr="1"/>
          <a:lstStyle/>
          <a:p>
            <a:pPr>
              <a:defRPr sz="6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073875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65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20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936944233917858"/>
          <c:y val="3.8259129688100232E-2"/>
          <c:w val="0.77771526263111301"/>
          <c:h val="0.77589109083775187"/>
        </c:manualLayout>
      </c:layout>
      <c:pie3DChart>
        <c:varyColors val="1"/>
        <c:ser>
          <c:idx val="0"/>
          <c:order val="0"/>
          <c:explosion val="21"/>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BBB6-44C3-B558-D1316D143385}"/>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BBB6-44C3-B558-D1316D143385}"/>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BBB6-44C3-B558-D1316D143385}"/>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BBB6-44C3-B558-D1316D143385}"/>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BBB6-44C3-B558-D1316D143385}"/>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B-BBB6-44C3-B558-D1316D143385}"/>
              </c:ext>
            </c:extLst>
          </c:dPt>
          <c:dPt>
            <c:idx val="6"/>
            <c:bubble3D val="0"/>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D-BBB6-44C3-B558-D1316D143385}"/>
              </c:ext>
            </c:extLst>
          </c:dPt>
          <c:dPt>
            <c:idx val="7"/>
            <c:bubble3D val="0"/>
            <c:spPr>
              <a:solidFill>
                <a:schemeClr val="accent2">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F-BBB6-44C3-B558-D1316D143385}"/>
              </c:ext>
            </c:extLst>
          </c:dPt>
          <c:dPt>
            <c:idx val="8"/>
            <c:bubble3D val="0"/>
            <c:spPr>
              <a:solidFill>
                <a:schemeClr val="accent3">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1-BBB6-44C3-B558-D1316D143385}"/>
              </c:ext>
            </c:extLst>
          </c:dPt>
          <c:dPt>
            <c:idx val="9"/>
            <c:bubble3D val="0"/>
            <c:spPr>
              <a:solidFill>
                <a:schemeClr val="accent4">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3-BBB6-44C3-B558-D1316D143385}"/>
              </c:ext>
            </c:extLst>
          </c:dPt>
          <c:dPt>
            <c:idx val="10"/>
            <c:bubble3D val="0"/>
            <c:spPr>
              <a:solidFill>
                <a:schemeClr val="accent5">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5-BBB6-44C3-B558-D1316D143385}"/>
              </c:ext>
            </c:extLst>
          </c:dPt>
          <c:dLbls>
            <c:dLbl>
              <c:idx val="0"/>
              <c:numFmt formatCode="0.0%" sourceLinked="0"/>
              <c:spPr>
                <a:noFill/>
                <a:ln>
                  <a:noFill/>
                </a:ln>
                <a:effectLst/>
              </c:spPr>
              <c:txPr>
                <a:bodyPr rot="0" spcFirstLastPara="1" vertOverflow="ellipsis" vert="horz" wrap="square" anchor="ctr" anchorCtr="1"/>
                <a:lstStyle/>
                <a:p>
                  <a:pPr>
                    <a:defRPr sz="6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0"/>
              <c:showCatName val="1"/>
              <c:showSerName val="0"/>
              <c:showPercent val="1"/>
              <c:showBubbleSize val="0"/>
              <c:extLst>
                <c:ext xmlns:c16="http://schemas.microsoft.com/office/drawing/2014/chart" uri="{C3380CC4-5D6E-409C-BE32-E72D297353CC}">
                  <c16:uniqueId val="{00000001-BBB6-44C3-B558-D1316D143385}"/>
                </c:ext>
              </c:extLst>
            </c:dLbl>
            <c:dLbl>
              <c:idx val="1"/>
              <c:numFmt formatCode="0.0%" sourceLinked="0"/>
              <c:spPr>
                <a:noFill/>
                <a:ln>
                  <a:noFill/>
                </a:ln>
                <a:effectLst/>
              </c:spPr>
              <c:txPr>
                <a:bodyPr rot="0" spcFirstLastPara="1" vertOverflow="ellipsis" vert="horz" wrap="square" anchor="ctr" anchorCtr="1"/>
                <a:lstStyle/>
                <a:p>
                  <a:pPr>
                    <a:defRPr sz="6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0"/>
              <c:showCatName val="1"/>
              <c:showSerName val="0"/>
              <c:showPercent val="1"/>
              <c:showBubbleSize val="0"/>
              <c:extLst>
                <c:ext xmlns:c16="http://schemas.microsoft.com/office/drawing/2014/chart" uri="{C3380CC4-5D6E-409C-BE32-E72D297353CC}">
                  <c16:uniqueId val="{00000003-BBB6-44C3-B558-D1316D143385}"/>
                </c:ext>
              </c:extLst>
            </c:dLbl>
            <c:dLbl>
              <c:idx val="2"/>
              <c:layout>
                <c:manualLayout>
                  <c:x val="0.34555365222857187"/>
                  <c:y val="4.1907818847484832E-2"/>
                </c:manualLayout>
              </c:layout>
              <c:numFmt formatCode="0.0%" sourceLinked="0"/>
              <c:spPr>
                <a:noFill/>
                <a:ln>
                  <a:noFill/>
                </a:ln>
                <a:effectLst/>
              </c:spPr>
              <c:txPr>
                <a:bodyPr rot="0" spcFirstLastPara="1" vertOverflow="ellipsis" vert="horz" wrap="square" anchor="ctr" anchorCtr="1"/>
                <a:lstStyle/>
                <a:p>
                  <a:pPr>
                    <a:defRPr sz="6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BBB6-44C3-B558-D1316D143385}"/>
                </c:ext>
              </c:extLst>
            </c:dLbl>
            <c:dLbl>
              <c:idx val="3"/>
              <c:layout>
                <c:manualLayout>
                  <c:x val="3.8562686716346634E-2"/>
                  <c:y val="-0.18236872461006073"/>
                </c:manualLayout>
              </c:layout>
              <c:numFmt formatCode="0.0%" sourceLinked="0"/>
              <c:spPr>
                <a:noFill/>
                <a:ln>
                  <a:noFill/>
                </a:ln>
                <a:effectLst/>
              </c:spPr>
              <c:txPr>
                <a:bodyPr rot="0" spcFirstLastPara="1" vertOverflow="ellipsis" vert="horz" wrap="square" anchor="ctr" anchorCtr="1"/>
                <a:lstStyle/>
                <a:p>
                  <a:pPr>
                    <a:defRPr sz="6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0"/>
              <c:showCatName val="1"/>
              <c:showSerName val="0"/>
              <c:showPercent val="1"/>
              <c:showBubbleSize val="0"/>
              <c:extLst>
                <c:ext xmlns:c15="http://schemas.microsoft.com/office/drawing/2012/chart" uri="{CE6537A1-D6FC-4f65-9D91-7224C49458BB}">
                  <c15:layout>
                    <c:manualLayout>
                      <c:w val="0.12574047954866008"/>
                      <c:h val="0.13620774130328267"/>
                    </c:manualLayout>
                  </c15:layout>
                </c:ext>
                <c:ext xmlns:c16="http://schemas.microsoft.com/office/drawing/2014/chart" uri="{C3380CC4-5D6E-409C-BE32-E72D297353CC}">
                  <c16:uniqueId val="{00000007-BBB6-44C3-B558-D1316D143385}"/>
                </c:ext>
              </c:extLst>
            </c:dLbl>
            <c:dLbl>
              <c:idx val="4"/>
              <c:layout>
                <c:manualLayout>
                  <c:x val="8.3833557300400791E-2"/>
                  <c:y val="-3.1936637513647483E-2"/>
                </c:manualLayout>
              </c:layout>
              <c:numFmt formatCode="0.0%" sourceLinked="0"/>
              <c:spPr>
                <a:noFill/>
                <a:ln>
                  <a:noFill/>
                </a:ln>
                <a:effectLst/>
              </c:spPr>
              <c:txPr>
                <a:bodyPr rot="0" spcFirstLastPara="1" vertOverflow="ellipsis" vert="horz" wrap="square" anchor="ctr" anchorCtr="1"/>
                <a:lstStyle/>
                <a:p>
                  <a:pPr>
                    <a:defRPr sz="6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BBB6-44C3-B558-D1316D143385}"/>
                </c:ext>
              </c:extLst>
            </c:dLbl>
            <c:dLbl>
              <c:idx val="5"/>
              <c:layout>
                <c:manualLayout>
                  <c:x val="3.8746210144042288E-2"/>
                  <c:y val="2.6814090668847677E-2"/>
                </c:manualLayout>
              </c:layout>
              <c:numFmt formatCode="0.0%" sourceLinked="0"/>
              <c:spPr>
                <a:noFill/>
                <a:ln>
                  <a:noFill/>
                </a:ln>
                <a:effectLst/>
              </c:spPr>
              <c:txPr>
                <a:bodyPr rot="0" spcFirstLastPara="1" vertOverflow="ellipsis" vert="horz" wrap="square" anchor="ctr" anchorCtr="1"/>
                <a:lstStyle/>
                <a:p>
                  <a:pPr>
                    <a:defRPr sz="6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BBB6-44C3-B558-D1316D143385}"/>
                </c:ext>
              </c:extLst>
            </c:dLbl>
            <c:dLbl>
              <c:idx val="6"/>
              <c:layout>
                <c:manualLayout>
                  <c:x val="5.3942560776517885E-2"/>
                  <c:y val="0.10918763767953807"/>
                </c:manualLayout>
              </c:layout>
              <c:numFmt formatCode="0.0%" sourceLinked="0"/>
              <c:spPr>
                <a:noFill/>
                <a:ln>
                  <a:noFill/>
                </a:ln>
                <a:effectLst/>
              </c:spPr>
              <c:txPr>
                <a:bodyPr rot="0" spcFirstLastPara="1" vertOverflow="ellipsis" vert="horz" wrap="square" anchor="ctr" anchorCtr="1"/>
                <a:lstStyle/>
                <a:p>
                  <a:pPr>
                    <a:defRPr sz="6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BBB6-44C3-B558-D1316D143385}"/>
                </c:ext>
              </c:extLst>
            </c:dLbl>
            <c:dLbl>
              <c:idx val="7"/>
              <c:numFmt formatCode="0.0%" sourceLinked="0"/>
              <c:spPr>
                <a:noFill/>
                <a:ln>
                  <a:noFill/>
                </a:ln>
                <a:effectLst/>
              </c:spPr>
              <c:txPr>
                <a:bodyPr rot="0" spcFirstLastPara="1" vertOverflow="ellipsis" vert="horz" wrap="square" anchor="ctr" anchorCtr="1"/>
                <a:lstStyle/>
                <a:p>
                  <a:pPr>
                    <a:defRPr sz="6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0"/>
              <c:showCatName val="1"/>
              <c:showSerName val="0"/>
              <c:showPercent val="1"/>
              <c:showBubbleSize val="0"/>
              <c:extLst>
                <c:ext xmlns:c16="http://schemas.microsoft.com/office/drawing/2014/chart" uri="{C3380CC4-5D6E-409C-BE32-E72D297353CC}">
                  <c16:uniqueId val="{0000000F-BBB6-44C3-B558-D1316D143385}"/>
                </c:ext>
              </c:extLst>
            </c:dLbl>
            <c:dLbl>
              <c:idx val="8"/>
              <c:numFmt formatCode="0.0%" sourceLinked="0"/>
              <c:spPr>
                <a:noFill/>
                <a:ln>
                  <a:noFill/>
                </a:ln>
                <a:effectLst/>
              </c:spPr>
              <c:txPr>
                <a:bodyPr rot="0" spcFirstLastPara="1" vertOverflow="ellipsis" vert="horz" wrap="square" anchor="ctr" anchorCtr="1"/>
                <a:lstStyle/>
                <a:p>
                  <a:pPr>
                    <a:defRPr sz="6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0"/>
              <c:showCatName val="1"/>
              <c:showSerName val="0"/>
              <c:showPercent val="1"/>
              <c:showBubbleSize val="0"/>
              <c:extLst>
                <c:ext xmlns:c16="http://schemas.microsoft.com/office/drawing/2014/chart" uri="{C3380CC4-5D6E-409C-BE32-E72D297353CC}">
                  <c16:uniqueId val="{00000011-BBB6-44C3-B558-D1316D143385}"/>
                </c:ext>
              </c:extLst>
            </c:dLbl>
            <c:dLbl>
              <c:idx val="9"/>
              <c:numFmt formatCode="0.0%" sourceLinked="0"/>
              <c:spPr>
                <a:noFill/>
                <a:ln>
                  <a:noFill/>
                </a:ln>
                <a:effectLst/>
              </c:spPr>
              <c:txPr>
                <a:bodyPr rot="0" spcFirstLastPara="1" vertOverflow="ellipsis" vert="horz" wrap="square" anchor="ctr" anchorCtr="1"/>
                <a:lstStyle/>
                <a:p>
                  <a:pPr>
                    <a:defRPr sz="6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0"/>
              <c:showCatName val="1"/>
              <c:showSerName val="0"/>
              <c:showPercent val="1"/>
              <c:showBubbleSize val="0"/>
              <c:extLst>
                <c:ext xmlns:c16="http://schemas.microsoft.com/office/drawing/2014/chart" uri="{C3380CC4-5D6E-409C-BE32-E72D297353CC}">
                  <c16:uniqueId val="{00000013-BBB6-44C3-B558-D1316D143385}"/>
                </c:ext>
              </c:extLst>
            </c:dLbl>
            <c:dLbl>
              <c:idx val="10"/>
              <c:numFmt formatCode="0.0%" sourceLinked="0"/>
              <c:spPr>
                <a:noFill/>
                <a:ln>
                  <a:noFill/>
                </a:ln>
                <a:effectLst/>
              </c:spPr>
              <c:txPr>
                <a:bodyPr rot="0" spcFirstLastPara="1" vertOverflow="ellipsis" vert="horz" wrap="square" anchor="ctr" anchorCtr="1"/>
                <a:lstStyle/>
                <a:p>
                  <a:pPr>
                    <a:defRPr sz="6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0"/>
              <c:showCatName val="1"/>
              <c:showSerName val="0"/>
              <c:showPercent val="1"/>
              <c:showBubbleSize val="0"/>
              <c:extLst>
                <c:ext xmlns:c16="http://schemas.microsoft.com/office/drawing/2014/chart" uri="{C3380CC4-5D6E-409C-BE32-E72D297353CC}">
                  <c16:uniqueId val="{00000015-BBB6-44C3-B558-D1316D143385}"/>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6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'NEW_Figures_Sec 12_by Crop grow'!$B$69:$L$69</c:f>
              <c:strCache>
                <c:ptCount val="11"/>
                <c:pt idx="0">
                  <c:v> Government </c:v>
                </c:pt>
                <c:pt idx="1">
                  <c:v> Local Farmers Group </c:v>
                </c:pt>
                <c:pt idx="2">
                  <c:v> Local Market /Trade Store </c:v>
                </c:pt>
                <c:pt idx="3">
                  <c:v> Secondary Market </c:v>
                </c:pt>
                <c:pt idx="4">
                  <c:v> Development Project </c:v>
                </c:pt>
                <c:pt idx="5">
                  <c:v> Crop Buyers </c:v>
                </c:pt>
                <c:pt idx="6">
                  <c:v> Large Scale Farm </c:v>
                </c:pt>
                <c:pt idx="7">
                  <c:v> Locally Produced by Household </c:v>
                </c:pt>
                <c:pt idx="8">
                  <c:v> Neighbour </c:v>
                </c:pt>
                <c:pt idx="9">
                  <c:v> Cooperative </c:v>
                </c:pt>
                <c:pt idx="10">
                  <c:v> Other </c:v>
                </c:pt>
              </c:strCache>
            </c:strRef>
          </c:cat>
          <c:val>
            <c:numRef>
              <c:f>'NEW_Figures_Sec 12_by Crop grow'!$B$99:$L$99</c:f>
              <c:numCache>
                <c:formatCode>0.0</c:formatCode>
                <c:ptCount val="11"/>
                <c:pt idx="0">
                  <c:v>3.7729945661147717</c:v>
                </c:pt>
                <c:pt idx="1">
                  <c:v>2.9411654332847985</c:v>
                </c:pt>
                <c:pt idx="2">
                  <c:v>75.025846605322798</c:v>
                </c:pt>
                <c:pt idx="3">
                  <c:v>2.5294022726249268</c:v>
                </c:pt>
                <c:pt idx="4">
                  <c:v>2.3694441525690868</c:v>
                </c:pt>
                <c:pt idx="5">
                  <c:v>2.2920919707590928</c:v>
                </c:pt>
                <c:pt idx="6">
                  <c:v>2.3586082799201429</c:v>
                </c:pt>
                <c:pt idx="7">
                  <c:v>2.0090458427775859</c:v>
                </c:pt>
                <c:pt idx="8">
                  <c:v>2.6016414236178864</c:v>
                </c:pt>
                <c:pt idx="9">
                  <c:v>3.7345764721776065</c:v>
                </c:pt>
                <c:pt idx="10">
                  <c:v>0.36560515768774671</c:v>
                </c:pt>
              </c:numCache>
            </c:numRef>
          </c:val>
          <c:extLst>
            <c:ext xmlns:c16="http://schemas.microsoft.com/office/drawing/2014/chart" uri="{C3380CC4-5D6E-409C-BE32-E72D297353CC}">
              <c16:uniqueId val="{00000016-BBB6-44C3-B558-D1316D143385}"/>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lumMod val="50000"/>
          <a:lumOff val="50000"/>
        </a:sys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806306198140536"/>
          <c:y val="4.6914711271351738E-2"/>
          <c:w val="0.84961652982847247"/>
          <c:h val="0.69424426264952033"/>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7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'NEW_Figures_Sec 12_by Crop grow'!$B$168:$H$168</c:f>
              <c:strCache>
                <c:ptCount val="7"/>
                <c:pt idx="0">
                  <c:v> Less than 1 km </c:v>
                </c:pt>
                <c:pt idx="1">
                  <c:v> From 1 km to less than 3 km </c:v>
                </c:pt>
                <c:pt idx="2">
                  <c:v> From 3 km to less than 10 km </c:v>
                </c:pt>
                <c:pt idx="3">
                  <c:v> From 10 km to less than 20 km </c:v>
                </c:pt>
                <c:pt idx="4">
                  <c:v> 20 km and Above </c:v>
                </c:pt>
                <c:pt idx="5">
                  <c:v> Within the household </c:v>
                </c:pt>
                <c:pt idx="6">
                  <c:v> Don’t know </c:v>
                </c:pt>
              </c:strCache>
            </c:strRef>
          </c:cat>
          <c:val>
            <c:numRef>
              <c:f>'NEW_Figures_Sec 12_by Crop grow'!$B$172:$H$172</c:f>
              <c:numCache>
                <c:formatCode>_(* #,##0.0_);_(* \(#,##0.0\);_(* "-"_);_(@_)</c:formatCode>
                <c:ptCount val="7"/>
                <c:pt idx="0">
                  <c:v>24.663618862486675</c:v>
                </c:pt>
                <c:pt idx="1">
                  <c:v>23.910642984734082</c:v>
                </c:pt>
                <c:pt idx="2">
                  <c:v>20.94597637310677</c:v>
                </c:pt>
                <c:pt idx="3">
                  <c:v>12.902053092961467</c:v>
                </c:pt>
                <c:pt idx="4">
                  <c:v>13.749690403638601</c:v>
                </c:pt>
                <c:pt idx="5">
                  <c:v>3.6423073747729622</c:v>
                </c:pt>
                <c:pt idx="6">
                  <c:v>0.18571090829943407</c:v>
                </c:pt>
              </c:numCache>
            </c:numRef>
          </c:val>
          <c:extLst>
            <c:ext xmlns:c16="http://schemas.microsoft.com/office/drawing/2014/chart" uri="{C3380CC4-5D6E-409C-BE32-E72D297353CC}">
              <c16:uniqueId val="{00000000-2F65-4CDB-9E61-08933644AF35}"/>
            </c:ext>
          </c:extLst>
        </c:ser>
        <c:dLbls>
          <c:showLegendKey val="0"/>
          <c:showVal val="0"/>
          <c:showCatName val="0"/>
          <c:showSerName val="0"/>
          <c:showPercent val="0"/>
          <c:showBubbleSize val="0"/>
        </c:dLbls>
        <c:gapWidth val="219"/>
        <c:overlap val="-27"/>
        <c:axId val="107536768"/>
        <c:axId val="107538688"/>
      </c:barChart>
      <c:catAx>
        <c:axId val="107536768"/>
        <c:scaling>
          <c:orientation val="minMax"/>
        </c:scaling>
        <c:delete val="0"/>
        <c:axPos val="b"/>
        <c:title>
          <c:tx>
            <c:rich>
              <a:bodyPr rot="0" spcFirstLastPara="1" vertOverflow="ellipsis" vert="horz" wrap="square" anchor="ctr" anchorCtr="1"/>
              <a:lstStyle/>
              <a:p>
                <a:pPr>
                  <a:defRPr sz="75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Distance (Km)</a:t>
                </a:r>
              </a:p>
            </c:rich>
          </c:tx>
          <c:layout>
            <c:manualLayout>
              <c:xMode val="edge"/>
              <c:yMode val="edge"/>
              <c:x val="0.46240462174744257"/>
              <c:y val="0.91121353960957652"/>
            </c:manualLayout>
          </c:layout>
          <c:overlay val="0"/>
          <c:spPr>
            <a:noFill/>
            <a:ln>
              <a:noFill/>
            </a:ln>
            <a:effectLst/>
          </c:spPr>
          <c:txPr>
            <a:bodyPr rot="0" spcFirstLastPara="1" vertOverflow="ellipsis" vert="horz" wrap="square" anchor="ctr" anchorCtr="1"/>
            <a:lstStyle/>
            <a:p>
              <a:pPr>
                <a:defRPr sz="7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6350" cap="flat" cmpd="sng" algn="ctr">
            <a:solidFill>
              <a:sysClr val="windowText" lastClr="000000">
                <a:lumMod val="50000"/>
                <a:lumOff val="50000"/>
              </a:sysClr>
            </a:solidFill>
            <a:round/>
          </a:ln>
          <a:effectLst/>
        </c:spPr>
        <c:txPr>
          <a:bodyPr rot="-60000000" spcFirstLastPara="1" vertOverflow="ellipsis" vert="horz" wrap="square" anchor="ctr" anchorCtr="1"/>
          <a:lstStyle/>
          <a:p>
            <a:pPr>
              <a:defRPr sz="7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07538688"/>
        <c:crosses val="autoZero"/>
        <c:auto val="1"/>
        <c:lblAlgn val="ctr"/>
        <c:lblOffset val="100"/>
        <c:noMultiLvlLbl val="0"/>
      </c:catAx>
      <c:valAx>
        <c:axId val="107538688"/>
        <c:scaling>
          <c:orientation val="minMax"/>
        </c:scaling>
        <c:delete val="0"/>
        <c:axPos val="l"/>
        <c:title>
          <c:tx>
            <c:rich>
              <a:bodyPr rot="-5400000" spcFirstLastPara="1" vertOverflow="ellipsis" vert="horz" wrap="square" anchor="ctr" anchorCtr="1"/>
              <a:lstStyle/>
              <a:p>
                <a:pPr>
                  <a:defRPr sz="75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Percent</a:t>
                </a:r>
              </a:p>
            </c:rich>
          </c:tx>
          <c:layout>
            <c:manualLayout>
              <c:xMode val="edge"/>
              <c:yMode val="edge"/>
              <c:x val="3.3481870014242798E-2"/>
              <c:y val="0.3180093950369331"/>
            </c:manualLayout>
          </c:layout>
          <c:overlay val="0"/>
          <c:spPr>
            <a:noFill/>
            <a:ln>
              <a:noFill/>
            </a:ln>
            <a:effectLst/>
          </c:spPr>
          <c:txPr>
            <a:bodyPr rot="-5400000" spcFirstLastPara="1" vertOverflow="ellipsis" vert="horz" wrap="square" anchor="ctr" anchorCtr="1"/>
            <a:lstStyle/>
            <a:p>
              <a:pPr>
                <a:defRPr sz="7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w="6350">
            <a:solidFill>
              <a:sysClr val="windowText" lastClr="000000">
                <a:lumMod val="50000"/>
                <a:lumOff val="50000"/>
              </a:sysClr>
            </a:solidFill>
          </a:ln>
          <a:effectLst/>
        </c:spPr>
        <c:txPr>
          <a:bodyPr rot="-60000000" spcFirstLastPara="1" vertOverflow="ellipsis" vert="horz" wrap="square" anchor="ctr" anchorCtr="1"/>
          <a:lstStyle/>
          <a:p>
            <a:pPr>
              <a:defRPr sz="7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075367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lumMod val="50000"/>
          <a:lumOff val="50000"/>
        </a:sysClr>
      </a:solidFill>
      <a:round/>
    </a:ln>
    <a:effectLst/>
  </c:spPr>
  <c:txPr>
    <a:bodyPr/>
    <a:lstStyle/>
    <a:p>
      <a:pPr>
        <a:defRPr sz="75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withinLinear" id="17">
  <a:schemeClr val="accent4"/>
</cs:colorStyle>
</file>

<file path=word/charts/colors37.xml><?xml version="1.0" encoding="utf-8"?>
<cs:colorStyle xmlns:cs="http://schemas.microsoft.com/office/drawing/2012/chartStyle" xmlns:a="http://schemas.openxmlformats.org/drawingml/2006/main" meth="withinLinear" id="17">
  <a:schemeClr val="accent4"/>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withinLinearReversed" id="23">
  <a:schemeClr val="accent3"/>
</cs:colorStyle>
</file>

<file path=word/charts/colors43.xml><?xml version="1.0" encoding="utf-8"?>
<cs:colorStyle xmlns:cs="http://schemas.microsoft.com/office/drawing/2012/chartStyle" xmlns:a="http://schemas.openxmlformats.org/drawingml/2006/main" meth="withinLinearReversed" id="23">
  <a:schemeClr val="accent3"/>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withinLinear" id="16">
  <a:schemeClr val="accent3"/>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withinLinearReversed" id="22">
  <a:schemeClr val="accent2"/>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9.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9.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0.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0.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9.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A7ECBC-448E-2644-B3C8-913D81AFF6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359</Pages>
  <Words>80570</Words>
  <Characters>459249</Characters>
  <Application>Microsoft Office Word</Application>
  <DocSecurity>0</DocSecurity>
  <Lines>3827</Lines>
  <Paragraphs>1077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538742</CharactersWithSpaces>
  <SharedDoc>false</SharedDoc>
  <HLinks>
    <vt:vector size="792" baseType="variant">
      <vt:variant>
        <vt:i4>1900607</vt:i4>
      </vt:variant>
      <vt:variant>
        <vt:i4>788</vt:i4>
      </vt:variant>
      <vt:variant>
        <vt:i4>0</vt:i4>
      </vt:variant>
      <vt:variant>
        <vt:i4>5</vt:i4>
      </vt:variant>
      <vt:variant>
        <vt:lpwstr/>
      </vt:variant>
      <vt:variant>
        <vt:lpwstr>_Toc78219330</vt:lpwstr>
      </vt:variant>
      <vt:variant>
        <vt:i4>1310782</vt:i4>
      </vt:variant>
      <vt:variant>
        <vt:i4>782</vt:i4>
      </vt:variant>
      <vt:variant>
        <vt:i4>0</vt:i4>
      </vt:variant>
      <vt:variant>
        <vt:i4>5</vt:i4>
      </vt:variant>
      <vt:variant>
        <vt:lpwstr/>
      </vt:variant>
      <vt:variant>
        <vt:lpwstr>_Toc78219329</vt:lpwstr>
      </vt:variant>
      <vt:variant>
        <vt:i4>1376318</vt:i4>
      </vt:variant>
      <vt:variant>
        <vt:i4>776</vt:i4>
      </vt:variant>
      <vt:variant>
        <vt:i4>0</vt:i4>
      </vt:variant>
      <vt:variant>
        <vt:i4>5</vt:i4>
      </vt:variant>
      <vt:variant>
        <vt:lpwstr/>
      </vt:variant>
      <vt:variant>
        <vt:lpwstr>_Toc78219328</vt:lpwstr>
      </vt:variant>
      <vt:variant>
        <vt:i4>1703998</vt:i4>
      </vt:variant>
      <vt:variant>
        <vt:i4>770</vt:i4>
      </vt:variant>
      <vt:variant>
        <vt:i4>0</vt:i4>
      </vt:variant>
      <vt:variant>
        <vt:i4>5</vt:i4>
      </vt:variant>
      <vt:variant>
        <vt:lpwstr/>
      </vt:variant>
      <vt:variant>
        <vt:lpwstr>_Toc78219327</vt:lpwstr>
      </vt:variant>
      <vt:variant>
        <vt:i4>1769534</vt:i4>
      </vt:variant>
      <vt:variant>
        <vt:i4>764</vt:i4>
      </vt:variant>
      <vt:variant>
        <vt:i4>0</vt:i4>
      </vt:variant>
      <vt:variant>
        <vt:i4>5</vt:i4>
      </vt:variant>
      <vt:variant>
        <vt:lpwstr/>
      </vt:variant>
      <vt:variant>
        <vt:lpwstr>_Toc78219326</vt:lpwstr>
      </vt:variant>
      <vt:variant>
        <vt:i4>1572926</vt:i4>
      </vt:variant>
      <vt:variant>
        <vt:i4>758</vt:i4>
      </vt:variant>
      <vt:variant>
        <vt:i4>0</vt:i4>
      </vt:variant>
      <vt:variant>
        <vt:i4>5</vt:i4>
      </vt:variant>
      <vt:variant>
        <vt:lpwstr/>
      </vt:variant>
      <vt:variant>
        <vt:lpwstr>_Toc78219325</vt:lpwstr>
      </vt:variant>
      <vt:variant>
        <vt:i4>1638462</vt:i4>
      </vt:variant>
      <vt:variant>
        <vt:i4>752</vt:i4>
      </vt:variant>
      <vt:variant>
        <vt:i4>0</vt:i4>
      </vt:variant>
      <vt:variant>
        <vt:i4>5</vt:i4>
      </vt:variant>
      <vt:variant>
        <vt:lpwstr/>
      </vt:variant>
      <vt:variant>
        <vt:lpwstr>_Toc78219324</vt:lpwstr>
      </vt:variant>
      <vt:variant>
        <vt:i4>1966142</vt:i4>
      </vt:variant>
      <vt:variant>
        <vt:i4>746</vt:i4>
      </vt:variant>
      <vt:variant>
        <vt:i4>0</vt:i4>
      </vt:variant>
      <vt:variant>
        <vt:i4>5</vt:i4>
      </vt:variant>
      <vt:variant>
        <vt:lpwstr/>
      </vt:variant>
      <vt:variant>
        <vt:lpwstr>_Toc78219323</vt:lpwstr>
      </vt:variant>
      <vt:variant>
        <vt:i4>2031678</vt:i4>
      </vt:variant>
      <vt:variant>
        <vt:i4>740</vt:i4>
      </vt:variant>
      <vt:variant>
        <vt:i4>0</vt:i4>
      </vt:variant>
      <vt:variant>
        <vt:i4>5</vt:i4>
      </vt:variant>
      <vt:variant>
        <vt:lpwstr/>
      </vt:variant>
      <vt:variant>
        <vt:lpwstr>_Toc78219322</vt:lpwstr>
      </vt:variant>
      <vt:variant>
        <vt:i4>1835070</vt:i4>
      </vt:variant>
      <vt:variant>
        <vt:i4>734</vt:i4>
      </vt:variant>
      <vt:variant>
        <vt:i4>0</vt:i4>
      </vt:variant>
      <vt:variant>
        <vt:i4>5</vt:i4>
      </vt:variant>
      <vt:variant>
        <vt:lpwstr/>
      </vt:variant>
      <vt:variant>
        <vt:lpwstr>_Toc78219321</vt:lpwstr>
      </vt:variant>
      <vt:variant>
        <vt:i4>1900606</vt:i4>
      </vt:variant>
      <vt:variant>
        <vt:i4>728</vt:i4>
      </vt:variant>
      <vt:variant>
        <vt:i4>0</vt:i4>
      </vt:variant>
      <vt:variant>
        <vt:i4>5</vt:i4>
      </vt:variant>
      <vt:variant>
        <vt:lpwstr/>
      </vt:variant>
      <vt:variant>
        <vt:lpwstr>_Toc78219320</vt:lpwstr>
      </vt:variant>
      <vt:variant>
        <vt:i4>1310781</vt:i4>
      </vt:variant>
      <vt:variant>
        <vt:i4>722</vt:i4>
      </vt:variant>
      <vt:variant>
        <vt:i4>0</vt:i4>
      </vt:variant>
      <vt:variant>
        <vt:i4>5</vt:i4>
      </vt:variant>
      <vt:variant>
        <vt:lpwstr/>
      </vt:variant>
      <vt:variant>
        <vt:lpwstr>_Toc78219319</vt:lpwstr>
      </vt:variant>
      <vt:variant>
        <vt:i4>1376317</vt:i4>
      </vt:variant>
      <vt:variant>
        <vt:i4>716</vt:i4>
      </vt:variant>
      <vt:variant>
        <vt:i4>0</vt:i4>
      </vt:variant>
      <vt:variant>
        <vt:i4>5</vt:i4>
      </vt:variant>
      <vt:variant>
        <vt:lpwstr/>
      </vt:variant>
      <vt:variant>
        <vt:lpwstr>_Toc78219318</vt:lpwstr>
      </vt:variant>
      <vt:variant>
        <vt:i4>1703997</vt:i4>
      </vt:variant>
      <vt:variant>
        <vt:i4>710</vt:i4>
      </vt:variant>
      <vt:variant>
        <vt:i4>0</vt:i4>
      </vt:variant>
      <vt:variant>
        <vt:i4>5</vt:i4>
      </vt:variant>
      <vt:variant>
        <vt:lpwstr/>
      </vt:variant>
      <vt:variant>
        <vt:lpwstr>_Toc78219317</vt:lpwstr>
      </vt:variant>
      <vt:variant>
        <vt:i4>1769533</vt:i4>
      </vt:variant>
      <vt:variant>
        <vt:i4>704</vt:i4>
      </vt:variant>
      <vt:variant>
        <vt:i4>0</vt:i4>
      </vt:variant>
      <vt:variant>
        <vt:i4>5</vt:i4>
      </vt:variant>
      <vt:variant>
        <vt:lpwstr/>
      </vt:variant>
      <vt:variant>
        <vt:lpwstr>_Toc78219316</vt:lpwstr>
      </vt:variant>
      <vt:variant>
        <vt:i4>1572925</vt:i4>
      </vt:variant>
      <vt:variant>
        <vt:i4>698</vt:i4>
      </vt:variant>
      <vt:variant>
        <vt:i4>0</vt:i4>
      </vt:variant>
      <vt:variant>
        <vt:i4>5</vt:i4>
      </vt:variant>
      <vt:variant>
        <vt:lpwstr/>
      </vt:variant>
      <vt:variant>
        <vt:lpwstr>_Toc78219315</vt:lpwstr>
      </vt:variant>
      <vt:variant>
        <vt:i4>1638461</vt:i4>
      </vt:variant>
      <vt:variant>
        <vt:i4>692</vt:i4>
      </vt:variant>
      <vt:variant>
        <vt:i4>0</vt:i4>
      </vt:variant>
      <vt:variant>
        <vt:i4>5</vt:i4>
      </vt:variant>
      <vt:variant>
        <vt:lpwstr/>
      </vt:variant>
      <vt:variant>
        <vt:lpwstr>_Toc78219314</vt:lpwstr>
      </vt:variant>
      <vt:variant>
        <vt:i4>1966141</vt:i4>
      </vt:variant>
      <vt:variant>
        <vt:i4>686</vt:i4>
      </vt:variant>
      <vt:variant>
        <vt:i4>0</vt:i4>
      </vt:variant>
      <vt:variant>
        <vt:i4>5</vt:i4>
      </vt:variant>
      <vt:variant>
        <vt:lpwstr/>
      </vt:variant>
      <vt:variant>
        <vt:lpwstr>_Toc78219313</vt:lpwstr>
      </vt:variant>
      <vt:variant>
        <vt:i4>2031677</vt:i4>
      </vt:variant>
      <vt:variant>
        <vt:i4>680</vt:i4>
      </vt:variant>
      <vt:variant>
        <vt:i4>0</vt:i4>
      </vt:variant>
      <vt:variant>
        <vt:i4>5</vt:i4>
      </vt:variant>
      <vt:variant>
        <vt:lpwstr/>
      </vt:variant>
      <vt:variant>
        <vt:lpwstr>_Toc78219312</vt:lpwstr>
      </vt:variant>
      <vt:variant>
        <vt:i4>1835069</vt:i4>
      </vt:variant>
      <vt:variant>
        <vt:i4>674</vt:i4>
      </vt:variant>
      <vt:variant>
        <vt:i4>0</vt:i4>
      </vt:variant>
      <vt:variant>
        <vt:i4>5</vt:i4>
      </vt:variant>
      <vt:variant>
        <vt:lpwstr/>
      </vt:variant>
      <vt:variant>
        <vt:lpwstr>_Toc78219311</vt:lpwstr>
      </vt:variant>
      <vt:variant>
        <vt:i4>1900605</vt:i4>
      </vt:variant>
      <vt:variant>
        <vt:i4>668</vt:i4>
      </vt:variant>
      <vt:variant>
        <vt:i4>0</vt:i4>
      </vt:variant>
      <vt:variant>
        <vt:i4>5</vt:i4>
      </vt:variant>
      <vt:variant>
        <vt:lpwstr/>
      </vt:variant>
      <vt:variant>
        <vt:lpwstr>_Toc78219310</vt:lpwstr>
      </vt:variant>
      <vt:variant>
        <vt:i4>1310780</vt:i4>
      </vt:variant>
      <vt:variant>
        <vt:i4>662</vt:i4>
      </vt:variant>
      <vt:variant>
        <vt:i4>0</vt:i4>
      </vt:variant>
      <vt:variant>
        <vt:i4>5</vt:i4>
      </vt:variant>
      <vt:variant>
        <vt:lpwstr/>
      </vt:variant>
      <vt:variant>
        <vt:lpwstr>_Toc78219309</vt:lpwstr>
      </vt:variant>
      <vt:variant>
        <vt:i4>1376316</vt:i4>
      </vt:variant>
      <vt:variant>
        <vt:i4>656</vt:i4>
      </vt:variant>
      <vt:variant>
        <vt:i4>0</vt:i4>
      </vt:variant>
      <vt:variant>
        <vt:i4>5</vt:i4>
      </vt:variant>
      <vt:variant>
        <vt:lpwstr/>
      </vt:variant>
      <vt:variant>
        <vt:lpwstr>_Toc78219308</vt:lpwstr>
      </vt:variant>
      <vt:variant>
        <vt:i4>1703996</vt:i4>
      </vt:variant>
      <vt:variant>
        <vt:i4>650</vt:i4>
      </vt:variant>
      <vt:variant>
        <vt:i4>0</vt:i4>
      </vt:variant>
      <vt:variant>
        <vt:i4>5</vt:i4>
      </vt:variant>
      <vt:variant>
        <vt:lpwstr/>
      </vt:variant>
      <vt:variant>
        <vt:lpwstr>_Toc78219307</vt:lpwstr>
      </vt:variant>
      <vt:variant>
        <vt:i4>1769532</vt:i4>
      </vt:variant>
      <vt:variant>
        <vt:i4>644</vt:i4>
      </vt:variant>
      <vt:variant>
        <vt:i4>0</vt:i4>
      </vt:variant>
      <vt:variant>
        <vt:i4>5</vt:i4>
      </vt:variant>
      <vt:variant>
        <vt:lpwstr/>
      </vt:variant>
      <vt:variant>
        <vt:lpwstr>_Toc78219306</vt:lpwstr>
      </vt:variant>
      <vt:variant>
        <vt:i4>1572924</vt:i4>
      </vt:variant>
      <vt:variant>
        <vt:i4>638</vt:i4>
      </vt:variant>
      <vt:variant>
        <vt:i4>0</vt:i4>
      </vt:variant>
      <vt:variant>
        <vt:i4>5</vt:i4>
      </vt:variant>
      <vt:variant>
        <vt:lpwstr/>
      </vt:variant>
      <vt:variant>
        <vt:lpwstr>_Toc78219305</vt:lpwstr>
      </vt:variant>
      <vt:variant>
        <vt:i4>1638460</vt:i4>
      </vt:variant>
      <vt:variant>
        <vt:i4>632</vt:i4>
      </vt:variant>
      <vt:variant>
        <vt:i4>0</vt:i4>
      </vt:variant>
      <vt:variant>
        <vt:i4>5</vt:i4>
      </vt:variant>
      <vt:variant>
        <vt:lpwstr/>
      </vt:variant>
      <vt:variant>
        <vt:lpwstr>_Toc78219304</vt:lpwstr>
      </vt:variant>
      <vt:variant>
        <vt:i4>1966140</vt:i4>
      </vt:variant>
      <vt:variant>
        <vt:i4>626</vt:i4>
      </vt:variant>
      <vt:variant>
        <vt:i4>0</vt:i4>
      </vt:variant>
      <vt:variant>
        <vt:i4>5</vt:i4>
      </vt:variant>
      <vt:variant>
        <vt:lpwstr/>
      </vt:variant>
      <vt:variant>
        <vt:lpwstr>_Toc78219303</vt:lpwstr>
      </vt:variant>
      <vt:variant>
        <vt:i4>2031676</vt:i4>
      </vt:variant>
      <vt:variant>
        <vt:i4>620</vt:i4>
      </vt:variant>
      <vt:variant>
        <vt:i4>0</vt:i4>
      </vt:variant>
      <vt:variant>
        <vt:i4>5</vt:i4>
      </vt:variant>
      <vt:variant>
        <vt:lpwstr/>
      </vt:variant>
      <vt:variant>
        <vt:lpwstr>_Toc78219302</vt:lpwstr>
      </vt:variant>
      <vt:variant>
        <vt:i4>1835068</vt:i4>
      </vt:variant>
      <vt:variant>
        <vt:i4>614</vt:i4>
      </vt:variant>
      <vt:variant>
        <vt:i4>0</vt:i4>
      </vt:variant>
      <vt:variant>
        <vt:i4>5</vt:i4>
      </vt:variant>
      <vt:variant>
        <vt:lpwstr/>
      </vt:variant>
      <vt:variant>
        <vt:lpwstr>_Toc78219301</vt:lpwstr>
      </vt:variant>
      <vt:variant>
        <vt:i4>1900604</vt:i4>
      </vt:variant>
      <vt:variant>
        <vt:i4>608</vt:i4>
      </vt:variant>
      <vt:variant>
        <vt:i4>0</vt:i4>
      </vt:variant>
      <vt:variant>
        <vt:i4>5</vt:i4>
      </vt:variant>
      <vt:variant>
        <vt:lpwstr/>
      </vt:variant>
      <vt:variant>
        <vt:lpwstr>_Toc78219300</vt:lpwstr>
      </vt:variant>
      <vt:variant>
        <vt:i4>1376309</vt:i4>
      </vt:variant>
      <vt:variant>
        <vt:i4>602</vt:i4>
      </vt:variant>
      <vt:variant>
        <vt:i4>0</vt:i4>
      </vt:variant>
      <vt:variant>
        <vt:i4>5</vt:i4>
      </vt:variant>
      <vt:variant>
        <vt:lpwstr/>
      </vt:variant>
      <vt:variant>
        <vt:lpwstr>_Toc78219299</vt:lpwstr>
      </vt:variant>
      <vt:variant>
        <vt:i4>1310773</vt:i4>
      </vt:variant>
      <vt:variant>
        <vt:i4>596</vt:i4>
      </vt:variant>
      <vt:variant>
        <vt:i4>0</vt:i4>
      </vt:variant>
      <vt:variant>
        <vt:i4>5</vt:i4>
      </vt:variant>
      <vt:variant>
        <vt:lpwstr/>
      </vt:variant>
      <vt:variant>
        <vt:lpwstr>_Toc78219298</vt:lpwstr>
      </vt:variant>
      <vt:variant>
        <vt:i4>1769525</vt:i4>
      </vt:variant>
      <vt:variant>
        <vt:i4>590</vt:i4>
      </vt:variant>
      <vt:variant>
        <vt:i4>0</vt:i4>
      </vt:variant>
      <vt:variant>
        <vt:i4>5</vt:i4>
      </vt:variant>
      <vt:variant>
        <vt:lpwstr/>
      </vt:variant>
      <vt:variant>
        <vt:lpwstr>_Toc78219297</vt:lpwstr>
      </vt:variant>
      <vt:variant>
        <vt:i4>1703989</vt:i4>
      </vt:variant>
      <vt:variant>
        <vt:i4>584</vt:i4>
      </vt:variant>
      <vt:variant>
        <vt:i4>0</vt:i4>
      </vt:variant>
      <vt:variant>
        <vt:i4>5</vt:i4>
      </vt:variant>
      <vt:variant>
        <vt:lpwstr/>
      </vt:variant>
      <vt:variant>
        <vt:lpwstr>_Toc78219296</vt:lpwstr>
      </vt:variant>
      <vt:variant>
        <vt:i4>1638453</vt:i4>
      </vt:variant>
      <vt:variant>
        <vt:i4>578</vt:i4>
      </vt:variant>
      <vt:variant>
        <vt:i4>0</vt:i4>
      </vt:variant>
      <vt:variant>
        <vt:i4>5</vt:i4>
      </vt:variant>
      <vt:variant>
        <vt:lpwstr/>
      </vt:variant>
      <vt:variant>
        <vt:lpwstr>_Toc78219295</vt:lpwstr>
      </vt:variant>
      <vt:variant>
        <vt:i4>1572917</vt:i4>
      </vt:variant>
      <vt:variant>
        <vt:i4>572</vt:i4>
      </vt:variant>
      <vt:variant>
        <vt:i4>0</vt:i4>
      </vt:variant>
      <vt:variant>
        <vt:i4>5</vt:i4>
      </vt:variant>
      <vt:variant>
        <vt:lpwstr/>
      </vt:variant>
      <vt:variant>
        <vt:lpwstr>_Toc78219294</vt:lpwstr>
      </vt:variant>
      <vt:variant>
        <vt:i4>2031669</vt:i4>
      </vt:variant>
      <vt:variant>
        <vt:i4>566</vt:i4>
      </vt:variant>
      <vt:variant>
        <vt:i4>0</vt:i4>
      </vt:variant>
      <vt:variant>
        <vt:i4>5</vt:i4>
      </vt:variant>
      <vt:variant>
        <vt:lpwstr/>
      </vt:variant>
      <vt:variant>
        <vt:lpwstr>_Toc78219293</vt:lpwstr>
      </vt:variant>
      <vt:variant>
        <vt:i4>1966133</vt:i4>
      </vt:variant>
      <vt:variant>
        <vt:i4>560</vt:i4>
      </vt:variant>
      <vt:variant>
        <vt:i4>0</vt:i4>
      </vt:variant>
      <vt:variant>
        <vt:i4>5</vt:i4>
      </vt:variant>
      <vt:variant>
        <vt:lpwstr/>
      </vt:variant>
      <vt:variant>
        <vt:lpwstr>_Toc78219292</vt:lpwstr>
      </vt:variant>
      <vt:variant>
        <vt:i4>1900597</vt:i4>
      </vt:variant>
      <vt:variant>
        <vt:i4>554</vt:i4>
      </vt:variant>
      <vt:variant>
        <vt:i4>0</vt:i4>
      </vt:variant>
      <vt:variant>
        <vt:i4>5</vt:i4>
      </vt:variant>
      <vt:variant>
        <vt:lpwstr/>
      </vt:variant>
      <vt:variant>
        <vt:lpwstr>_Toc78219291</vt:lpwstr>
      </vt:variant>
      <vt:variant>
        <vt:i4>1835061</vt:i4>
      </vt:variant>
      <vt:variant>
        <vt:i4>548</vt:i4>
      </vt:variant>
      <vt:variant>
        <vt:i4>0</vt:i4>
      </vt:variant>
      <vt:variant>
        <vt:i4>5</vt:i4>
      </vt:variant>
      <vt:variant>
        <vt:lpwstr/>
      </vt:variant>
      <vt:variant>
        <vt:lpwstr>_Toc78219290</vt:lpwstr>
      </vt:variant>
      <vt:variant>
        <vt:i4>1376308</vt:i4>
      </vt:variant>
      <vt:variant>
        <vt:i4>542</vt:i4>
      </vt:variant>
      <vt:variant>
        <vt:i4>0</vt:i4>
      </vt:variant>
      <vt:variant>
        <vt:i4>5</vt:i4>
      </vt:variant>
      <vt:variant>
        <vt:lpwstr/>
      </vt:variant>
      <vt:variant>
        <vt:lpwstr>_Toc78219289</vt:lpwstr>
      </vt:variant>
      <vt:variant>
        <vt:i4>1310772</vt:i4>
      </vt:variant>
      <vt:variant>
        <vt:i4>536</vt:i4>
      </vt:variant>
      <vt:variant>
        <vt:i4>0</vt:i4>
      </vt:variant>
      <vt:variant>
        <vt:i4>5</vt:i4>
      </vt:variant>
      <vt:variant>
        <vt:lpwstr/>
      </vt:variant>
      <vt:variant>
        <vt:lpwstr>_Toc78219288</vt:lpwstr>
      </vt:variant>
      <vt:variant>
        <vt:i4>1769524</vt:i4>
      </vt:variant>
      <vt:variant>
        <vt:i4>530</vt:i4>
      </vt:variant>
      <vt:variant>
        <vt:i4>0</vt:i4>
      </vt:variant>
      <vt:variant>
        <vt:i4>5</vt:i4>
      </vt:variant>
      <vt:variant>
        <vt:lpwstr/>
      </vt:variant>
      <vt:variant>
        <vt:lpwstr>_Toc78219287</vt:lpwstr>
      </vt:variant>
      <vt:variant>
        <vt:i4>1703988</vt:i4>
      </vt:variant>
      <vt:variant>
        <vt:i4>524</vt:i4>
      </vt:variant>
      <vt:variant>
        <vt:i4>0</vt:i4>
      </vt:variant>
      <vt:variant>
        <vt:i4>5</vt:i4>
      </vt:variant>
      <vt:variant>
        <vt:lpwstr/>
      </vt:variant>
      <vt:variant>
        <vt:lpwstr>_Toc78219286</vt:lpwstr>
      </vt:variant>
      <vt:variant>
        <vt:i4>1638452</vt:i4>
      </vt:variant>
      <vt:variant>
        <vt:i4>518</vt:i4>
      </vt:variant>
      <vt:variant>
        <vt:i4>0</vt:i4>
      </vt:variant>
      <vt:variant>
        <vt:i4>5</vt:i4>
      </vt:variant>
      <vt:variant>
        <vt:lpwstr/>
      </vt:variant>
      <vt:variant>
        <vt:lpwstr>_Toc78219285</vt:lpwstr>
      </vt:variant>
      <vt:variant>
        <vt:i4>1572916</vt:i4>
      </vt:variant>
      <vt:variant>
        <vt:i4>512</vt:i4>
      </vt:variant>
      <vt:variant>
        <vt:i4>0</vt:i4>
      </vt:variant>
      <vt:variant>
        <vt:i4>5</vt:i4>
      </vt:variant>
      <vt:variant>
        <vt:lpwstr/>
      </vt:variant>
      <vt:variant>
        <vt:lpwstr>_Toc78219284</vt:lpwstr>
      </vt:variant>
      <vt:variant>
        <vt:i4>2031668</vt:i4>
      </vt:variant>
      <vt:variant>
        <vt:i4>506</vt:i4>
      </vt:variant>
      <vt:variant>
        <vt:i4>0</vt:i4>
      </vt:variant>
      <vt:variant>
        <vt:i4>5</vt:i4>
      </vt:variant>
      <vt:variant>
        <vt:lpwstr/>
      </vt:variant>
      <vt:variant>
        <vt:lpwstr>_Toc78219283</vt:lpwstr>
      </vt:variant>
      <vt:variant>
        <vt:i4>1966132</vt:i4>
      </vt:variant>
      <vt:variant>
        <vt:i4>500</vt:i4>
      </vt:variant>
      <vt:variant>
        <vt:i4>0</vt:i4>
      </vt:variant>
      <vt:variant>
        <vt:i4>5</vt:i4>
      </vt:variant>
      <vt:variant>
        <vt:lpwstr/>
      </vt:variant>
      <vt:variant>
        <vt:lpwstr>_Toc78219282</vt:lpwstr>
      </vt:variant>
      <vt:variant>
        <vt:i4>1900596</vt:i4>
      </vt:variant>
      <vt:variant>
        <vt:i4>494</vt:i4>
      </vt:variant>
      <vt:variant>
        <vt:i4>0</vt:i4>
      </vt:variant>
      <vt:variant>
        <vt:i4>5</vt:i4>
      </vt:variant>
      <vt:variant>
        <vt:lpwstr/>
      </vt:variant>
      <vt:variant>
        <vt:lpwstr>_Toc78219281</vt:lpwstr>
      </vt:variant>
      <vt:variant>
        <vt:i4>1835060</vt:i4>
      </vt:variant>
      <vt:variant>
        <vt:i4>488</vt:i4>
      </vt:variant>
      <vt:variant>
        <vt:i4>0</vt:i4>
      </vt:variant>
      <vt:variant>
        <vt:i4>5</vt:i4>
      </vt:variant>
      <vt:variant>
        <vt:lpwstr/>
      </vt:variant>
      <vt:variant>
        <vt:lpwstr>_Toc78219280</vt:lpwstr>
      </vt:variant>
      <vt:variant>
        <vt:i4>1376315</vt:i4>
      </vt:variant>
      <vt:variant>
        <vt:i4>482</vt:i4>
      </vt:variant>
      <vt:variant>
        <vt:i4>0</vt:i4>
      </vt:variant>
      <vt:variant>
        <vt:i4>5</vt:i4>
      </vt:variant>
      <vt:variant>
        <vt:lpwstr/>
      </vt:variant>
      <vt:variant>
        <vt:lpwstr>_Toc78219279</vt:lpwstr>
      </vt:variant>
      <vt:variant>
        <vt:i4>1310779</vt:i4>
      </vt:variant>
      <vt:variant>
        <vt:i4>476</vt:i4>
      </vt:variant>
      <vt:variant>
        <vt:i4>0</vt:i4>
      </vt:variant>
      <vt:variant>
        <vt:i4>5</vt:i4>
      </vt:variant>
      <vt:variant>
        <vt:lpwstr/>
      </vt:variant>
      <vt:variant>
        <vt:lpwstr>_Toc78219278</vt:lpwstr>
      </vt:variant>
      <vt:variant>
        <vt:i4>1769531</vt:i4>
      </vt:variant>
      <vt:variant>
        <vt:i4>470</vt:i4>
      </vt:variant>
      <vt:variant>
        <vt:i4>0</vt:i4>
      </vt:variant>
      <vt:variant>
        <vt:i4>5</vt:i4>
      </vt:variant>
      <vt:variant>
        <vt:lpwstr/>
      </vt:variant>
      <vt:variant>
        <vt:lpwstr>_Toc78219277</vt:lpwstr>
      </vt:variant>
      <vt:variant>
        <vt:i4>1703995</vt:i4>
      </vt:variant>
      <vt:variant>
        <vt:i4>464</vt:i4>
      </vt:variant>
      <vt:variant>
        <vt:i4>0</vt:i4>
      </vt:variant>
      <vt:variant>
        <vt:i4>5</vt:i4>
      </vt:variant>
      <vt:variant>
        <vt:lpwstr/>
      </vt:variant>
      <vt:variant>
        <vt:lpwstr>_Toc78219276</vt:lpwstr>
      </vt:variant>
      <vt:variant>
        <vt:i4>1638459</vt:i4>
      </vt:variant>
      <vt:variant>
        <vt:i4>458</vt:i4>
      </vt:variant>
      <vt:variant>
        <vt:i4>0</vt:i4>
      </vt:variant>
      <vt:variant>
        <vt:i4>5</vt:i4>
      </vt:variant>
      <vt:variant>
        <vt:lpwstr/>
      </vt:variant>
      <vt:variant>
        <vt:lpwstr>_Toc78219275</vt:lpwstr>
      </vt:variant>
      <vt:variant>
        <vt:i4>1572923</vt:i4>
      </vt:variant>
      <vt:variant>
        <vt:i4>452</vt:i4>
      </vt:variant>
      <vt:variant>
        <vt:i4>0</vt:i4>
      </vt:variant>
      <vt:variant>
        <vt:i4>5</vt:i4>
      </vt:variant>
      <vt:variant>
        <vt:lpwstr/>
      </vt:variant>
      <vt:variant>
        <vt:lpwstr>_Toc78219274</vt:lpwstr>
      </vt:variant>
      <vt:variant>
        <vt:i4>2031675</vt:i4>
      </vt:variant>
      <vt:variant>
        <vt:i4>446</vt:i4>
      </vt:variant>
      <vt:variant>
        <vt:i4>0</vt:i4>
      </vt:variant>
      <vt:variant>
        <vt:i4>5</vt:i4>
      </vt:variant>
      <vt:variant>
        <vt:lpwstr/>
      </vt:variant>
      <vt:variant>
        <vt:lpwstr>_Toc78219273</vt:lpwstr>
      </vt:variant>
      <vt:variant>
        <vt:i4>1966139</vt:i4>
      </vt:variant>
      <vt:variant>
        <vt:i4>440</vt:i4>
      </vt:variant>
      <vt:variant>
        <vt:i4>0</vt:i4>
      </vt:variant>
      <vt:variant>
        <vt:i4>5</vt:i4>
      </vt:variant>
      <vt:variant>
        <vt:lpwstr/>
      </vt:variant>
      <vt:variant>
        <vt:lpwstr>_Toc78219272</vt:lpwstr>
      </vt:variant>
      <vt:variant>
        <vt:i4>1900603</vt:i4>
      </vt:variant>
      <vt:variant>
        <vt:i4>434</vt:i4>
      </vt:variant>
      <vt:variant>
        <vt:i4>0</vt:i4>
      </vt:variant>
      <vt:variant>
        <vt:i4>5</vt:i4>
      </vt:variant>
      <vt:variant>
        <vt:lpwstr/>
      </vt:variant>
      <vt:variant>
        <vt:lpwstr>_Toc78219271</vt:lpwstr>
      </vt:variant>
      <vt:variant>
        <vt:i4>1835067</vt:i4>
      </vt:variant>
      <vt:variant>
        <vt:i4>428</vt:i4>
      </vt:variant>
      <vt:variant>
        <vt:i4>0</vt:i4>
      </vt:variant>
      <vt:variant>
        <vt:i4>5</vt:i4>
      </vt:variant>
      <vt:variant>
        <vt:lpwstr/>
      </vt:variant>
      <vt:variant>
        <vt:lpwstr>_Toc78219270</vt:lpwstr>
      </vt:variant>
      <vt:variant>
        <vt:i4>1376314</vt:i4>
      </vt:variant>
      <vt:variant>
        <vt:i4>422</vt:i4>
      </vt:variant>
      <vt:variant>
        <vt:i4>0</vt:i4>
      </vt:variant>
      <vt:variant>
        <vt:i4>5</vt:i4>
      </vt:variant>
      <vt:variant>
        <vt:lpwstr/>
      </vt:variant>
      <vt:variant>
        <vt:lpwstr>_Toc78219269</vt:lpwstr>
      </vt:variant>
      <vt:variant>
        <vt:i4>1310778</vt:i4>
      </vt:variant>
      <vt:variant>
        <vt:i4>416</vt:i4>
      </vt:variant>
      <vt:variant>
        <vt:i4>0</vt:i4>
      </vt:variant>
      <vt:variant>
        <vt:i4>5</vt:i4>
      </vt:variant>
      <vt:variant>
        <vt:lpwstr/>
      </vt:variant>
      <vt:variant>
        <vt:lpwstr>_Toc78219268</vt:lpwstr>
      </vt:variant>
      <vt:variant>
        <vt:i4>1769530</vt:i4>
      </vt:variant>
      <vt:variant>
        <vt:i4>410</vt:i4>
      </vt:variant>
      <vt:variant>
        <vt:i4>0</vt:i4>
      </vt:variant>
      <vt:variant>
        <vt:i4>5</vt:i4>
      </vt:variant>
      <vt:variant>
        <vt:lpwstr/>
      </vt:variant>
      <vt:variant>
        <vt:lpwstr>_Toc78219267</vt:lpwstr>
      </vt:variant>
      <vt:variant>
        <vt:i4>1703994</vt:i4>
      </vt:variant>
      <vt:variant>
        <vt:i4>404</vt:i4>
      </vt:variant>
      <vt:variant>
        <vt:i4>0</vt:i4>
      </vt:variant>
      <vt:variant>
        <vt:i4>5</vt:i4>
      </vt:variant>
      <vt:variant>
        <vt:lpwstr/>
      </vt:variant>
      <vt:variant>
        <vt:lpwstr>_Toc78219266</vt:lpwstr>
      </vt:variant>
      <vt:variant>
        <vt:i4>1638458</vt:i4>
      </vt:variant>
      <vt:variant>
        <vt:i4>398</vt:i4>
      </vt:variant>
      <vt:variant>
        <vt:i4>0</vt:i4>
      </vt:variant>
      <vt:variant>
        <vt:i4>5</vt:i4>
      </vt:variant>
      <vt:variant>
        <vt:lpwstr/>
      </vt:variant>
      <vt:variant>
        <vt:lpwstr>_Toc78219265</vt:lpwstr>
      </vt:variant>
      <vt:variant>
        <vt:i4>1572922</vt:i4>
      </vt:variant>
      <vt:variant>
        <vt:i4>392</vt:i4>
      </vt:variant>
      <vt:variant>
        <vt:i4>0</vt:i4>
      </vt:variant>
      <vt:variant>
        <vt:i4>5</vt:i4>
      </vt:variant>
      <vt:variant>
        <vt:lpwstr/>
      </vt:variant>
      <vt:variant>
        <vt:lpwstr>_Toc78219264</vt:lpwstr>
      </vt:variant>
      <vt:variant>
        <vt:i4>2031674</vt:i4>
      </vt:variant>
      <vt:variant>
        <vt:i4>386</vt:i4>
      </vt:variant>
      <vt:variant>
        <vt:i4>0</vt:i4>
      </vt:variant>
      <vt:variant>
        <vt:i4>5</vt:i4>
      </vt:variant>
      <vt:variant>
        <vt:lpwstr/>
      </vt:variant>
      <vt:variant>
        <vt:lpwstr>_Toc78219263</vt:lpwstr>
      </vt:variant>
      <vt:variant>
        <vt:i4>1966138</vt:i4>
      </vt:variant>
      <vt:variant>
        <vt:i4>380</vt:i4>
      </vt:variant>
      <vt:variant>
        <vt:i4>0</vt:i4>
      </vt:variant>
      <vt:variant>
        <vt:i4>5</vt:i4>
      </vt:variant>
      <vt:variant>
        <vt:lpwstr/>
      </vt:variant>
      <vt:variant>
        <vt:lpwstr>_Toc78219262</vt:lpwstr>
      </vt:variant>
      <vt:variant>
        <vt:i4>1900602</vt:i4>
      </vt:variant>
      <vt:variant>
        <vt:i4>374</vt:i4>
      </vt:variant>
      <vt:variant>
        <vt:i4>0</vt:i4>
      </vt:variant>
      <vt:variant>
        <vt:i4>5</vt:i4>
      </vt:variant>
      <vt:variant>
        <vt:lpwstr/>
      </vt:variant>
      <vt:variant>
        <vt:lpwstr>_Toc78219261</vt:lpwstr>
      </vt:variant>
      <vt:variant>
        <vt:i4>1835066</vt:i4>
      </vt:variant>
      <vt:variant>
        <vt:i4>368</vt:i4>
      </vt:variant>
      <vt:variant>
        <vt:i4>0</vt:i4>
      </vt:variant>
      <vt:variant>
        <vt:i4>5</vt:i4>
      </vt:variant>
      <vt:variant>
        <vt:lpwstr/>
      </vt:variant>
      <vt:variant>
        <vt:lpwstr>_Toc78219260</vt:lpwstr>
      </vt:variant>
      <vt:variant>
        <vt:i4>1376313</vt:i4>
      </vt:variant>
      <vt:variant>
        <vt:i4>362</vt:i4>
      </vt:variant>
      <vt:variant>
        <vt:i4>0</vt:i4>
      </vt:variant>
      <vt:variant>
        <vt:i4>5</vt:i4>
      </vt:variant>
      <vt:variant>
        <vt:lpwstr/>
      </vt:variant>
      <vt:variant>
        <vt:lpwstr>_Toc78219259</vt:lpwstr>
      </vt:variant>
      <vt:variant>
        <vt:i4>1310777</vt:i4>
      </vt:variant>
      <vt:variant>
        <vt:i4>356</vt:i4>
      </vt:variant>
      <vt:variant>
        <vt:i4>0</vt:i4>
      </vt:variant>
      <vt:variant>
        <vt:i4>5</vt:i4>
      </vt:variant>
      <vt:variant>
        <vt:lpwstr/>
      </vt:variant>
      <vt:variant>
        <vt:lpwstr>_Toc78219258</vt:lpwstr>
      </vt:variant>
      <vt:variant>
        <vt:i4>1769529</vt:i4>
      </vt:variant>
      <vt:variant>
        <vt:i4>350</vt:i4>
      </vt:variant>
      <vt:variant>
        <vt:i4>0</vt:i4>
      </vt:variant>
      <vt:variant>
        <vt:i4>5</vt:i4>
      </vt:variant>
      <vt:variant>
        <vt:lpwstr/>
      </vt:variant>
      <vt:variant>
        <vt:lpwstr>_Toc78219257</vt:lpwstr>
      </vt:variant>
      <vt:variant>
        <vt:i4>1703993</vt:i4>
      </vt:variant>
      <vt:variant>
        <vt:i4>344</vt:i4>
      </vt:variant>
      <vt:variant>
        <vt:i4>0</vt:i4>
      </vt:variant>
      <vt:variant>
        <vt:i4>5</vt:i4>
      </vt:variant>
      <vt:variant>
        <vt:lpwstr/>
      </vt:variant>
      <vt:variant>
        <vt:lpwstr>_Toc78219256</vt:lpwstr>
      </vt:variant>
      <vt:variant>
        <vt:i4>1638457</vt:i4>
      </vt:variant>
      <vt:variant>
        <vt:i4>338</vt:i4>
      </vt:variant>
      <vt:variant>
        <vt:i4>0</vt:i4>
      </vt:variant>
      <vt:variant>
        <vt:i4>5</vt:i4>
      </vt:variant>
      <vt:variant>
        <vt:lpwstr/>
      </vt:variant>
      <vt:variant>
        <vt:lpwstr>_Toc78219255</vt:lpwstr>
      </vt:variant>
      <vt:variant>
        <vt:i4>1572921</vt:i4>
      </vt:variant>
      <vt:variant>
        <vt:i4>332</vt:i4>
      </vt:variant>
      <vt:variant>
        <vt:i4>0</vt:i4>
      </vt:variant>
      <vt:variant>
        <vt:i4>5</vt:i4>
      </vt:variant>
      <vt:variant>
        <vt:lpwstr/>
      </vt:variant>
      <vt:variant>
        <vt:lpwstr>_Toc78219254</vt:lpwstr>
      </vt:variant>
      <vt:variant>
        <vt:i4>2031673</vt:i4>
      </vt:variant>
      <vt:variant>
        <vt:i4>326</vt:i4>
      </vt:variant>
      <vt:variant>
        <vt:i4>0</vt:i4>
      </vt:variant>
      <vt:variant>
        <vt:i4>5</vt:i4>
      </vt:variant>
      <vt:variant>
        <vt:lpwstr/>
      </vt:variant>
      <vt:variant>
        <vt:lpwstr>_Toc78219253</vt:lpwstr>
      </vt:variant>
      <vt:variant>
        <vt:i4>1966137</vt:i4>
      </vt:variant>
      <vt:variant>
        <vt:i4>320</vt:i4>
      </vt:variant>
      <vt:variant>
        <vt:i4>0</vt:i4>
      </vt:variant>
      <vt:variant>
        <vt:i4>5</vt:i4>
      </vt:variant>
      <vt:variant>
        <vt:lpwstr/>
      </vt:variant>
      <vt:variant>
        <vt:lpwstr>_Toc78219252</vt:lpwstr>
      </vt:variant>
      <vt:variant>
        <vt:i4>1900601</vt:i4>
      </vt:variant>
      <vt:variant>
        <vt:i4>314</vt:i4>
      </vt:variant>
      <vt:variant>
        <vt:i4>0</vt:i4>
      </vt:variant>
      <vt:variant>
        <vt:i4>5</vt:i4>
      </vt:variant>
      <vt:variant>
        <vt:lpwstr/>
      </vt:variant>
      <vt:variant>
        <vt:lpwstr>_Toc78219251</vt:lpwstr>
      </vt:variant>
      <vt:variant>
        <vt:i4>1835065</vt:i4>
      </vt:variant>
      <vt:variant>
        <vt:i4>308</vt:i4>
      </vt:variant>
      <vt:variant>
        <vt:i4>0</vt:i4>
      </vt:variant>
      <vt:variant>
        <vt:i4>5</vt:i4>
      </vt:variant>
      <vt:variant>
        <vt:lpwstr/>
      </vt:variant>
      <vt:variant>
        <vt:lpwstr>_Toc78219250</vt:lpwstr>
      </vt:variant>
      <vt:variant>
        <vt:i4>1376312</vt:i4>
      </vt:variant>
      <vt:variant>
        <vt:i4>302</vt:i4>
      </vt:variant>
      <vt:variant>
        <vt:i4>0</vt:i4>
      </vt:variant>
      <vt:variant>
        <vt:i4>5</vt:i4>
      </vt:variant>
      <vt:variant>
        <vt:lpwstr/>
      </vt:variant>
      <vt:variant>
        <vt:lpwstr>_Toc78219249</vt:lpwstr>
      </vt:variant>
      <vt:variant>
        <vt:i4>1310776</vt:i4>
      </vt:variant>
      <vt:variant>
        <vt:i4>296</vt:i4>
      </vt:variant>
      <vt:variant>
        <vt:i4>0</vt:i4>
      </vt:variant>
      <vt:variant>
        <vt:i4>5</vt:i4>
      </vt:variant>
      <vt:variant>
        <vt:lpwstr/>
      </vt:variant>
      <vt:variant>
        <vt:lpwstr>_Toc78219248</vt:lpwstr>
      </vt:variant>
      <vt:variant>
        <vt:i4>1769528</vt:i4>
      </vt:variant>
      <vt:variant>
        <vt:i4>290</vt:i4>
      </vt:variant>
      <vt:variant>
        <vt:i4>0</vt:i4>
      </vt:variant>
      <vt:variant>
        <vt:i4>5</vt:i4>
      </vt:variant>
      <vt:variant>
        <vt:lpwstr/>
      </vt:variant>
      <vt:variant>
        <vt:lpwstr>_Toc78219247</vt:lpwstr>
      </vt:variant>
      <vt:variant>
        <vt:i4>1703992</vt:i4>
      </vt:variant>
      <vt:variant>
        <vt:i4>284</vt:i4>
      </vt:variant>
      <vt:variant>
        <vt:i4>0</vt:i4>
      </vt:variant>
      <vt:variant>
        <vt:i4>5</vt:i4>
      </vt:variant>
      <vt:variant>
        <vt:lpwstr/>
      </vt:variant>
      <vt:variant>
        <vt:lpwstr>_Toc78219246</vt:lpwstr>
      </vt:variant>
      <vt:variant>
        <vt:i4>1638456</vt:i4>
      </vt:variant>
      <vt:variant>
        <vt:i4>278</vt:i4>
      </vt:variant>
      <vt:variant>
        <vt:i4>0</vt:i4>
      </vt:variant>
      <vt:variant>
        <vt:i4>5</vt:i4>
      </vt:variant>
      <vt:variant>
        <vt:lpwstr/>
      </vt:variant>
      <vt:variant>
        <vt:lpwstr>_Toc78219245</vt:lpwstr>
      </vt:variant>
      <vt:variant>
        <vt:i4>1572920</vt:i4>
      </vt:variant>
      <vt:variant>
        <vt:i4>272</vt:i4>
      </vt:variant>
      <vt:variant>
        <vt:i4>0</vt:i4>
      </vt:variant>
      <vt:variant>
        <vt:i4>5</vt:i4>
      </vt:variant>
      <vt:variant>
        <vt:lpwstr/>
      </vt:variant>
      <vt:variant>
        <vt:lpwstr>_Toc78219244</vt:lpwstr>
      </vt:variant>
      <vt:variant>
        <vt:i4>2031672</vt:i4>
      </vt:variant>
      <vt:variant>
        <vt:i4>266</vt:i4>
      </vt:variant>
      <vt:variant>
        <vt:i4>0</vt:i4>
      </vt:variant>
      <vt:variant>
        <vt:i4>5</vt:i4>
      </vt:variant>
      <vt:variant>
        <vt:lpwstr/>
      </vt:variant>
      <vt:variant>
        <vt:lpwstr>_Toc78219243</vt:lpwstr>
      </vt:variant>
      <vt:variant>
        <vt:i4>1966136</vt:i4>
      </vt:variant>
      <vt:variant>
        <vt:i4>260</vt:i4>
      </vt:variant>
      <vt:variant>
        <vt:i4>0</vt:i4>
      </vt:variant>
      <vt:variant>
        <vt:i4>5</vt:i4>
      </vt:variant>
      <vt:variant>
        <vt:lpwstr/>
      </vt:variant>
      <vt:variant>
        <vt:lpwstr>_Toc78219242</vt:lpwstr>
      </vt:variant>
      <vt:variant>
        <vt:i4>1900600</vt:i4>
      </vt:variant>
      <vt:variant>
        <vt:i4>254</vt:i4>
      </vt:variant>
      <vt:variant>
        <vt:i4>0</vt:i4>
      </vt:variant>
      <vt:variant>
        <vt:i4>5</vt:i4>
      </vt:variant>
      <vt:variant>
        <vt:lpwstr/>
      </vt:variant>
      <vt:variant>
        <vt:lpwstr>_Toc78219241</vt:lpwstr>
      </vt:variant>
      <vt:variant>
        <vt:i4>1835064</vt:i4>
      </vt:variant>
      <vt:variant>
        <vt:i4>248</vt:i4>
      </vt:variant>
      <vt:variant>
        <vt:i4>0</vt:i4>
      </vt:variant>
      <vt:variant>
        <vt:i4>5</vt:i4>
      </vt:variant>
      <vt:variant>
        <vt:lpwstr/>
      </vt:variant>
      <vt:variant>
        <vt:lpwstr>_Toc78219240</vt:lpwstr>
      </vt:variant>
      <vt:variant>
        <vt:i4>1376319</vt:i4>
      </vt:variant>
      <vt:variant>
        <vt:i4>242</vt:i4>
      </vt:variant>
      <vt:variant>
        <vt:i4>0</vt:i4>
      </vt:variant>
      <vt:variant>
        <vt:i4>5</vt:i4>
      </vt:variant>
      <vt:variant>
        <vt:lpwstr/>
      </vt:variant>
      <vt:variant>
        <vt:lpwstr>_Toc78219239</vt:lpwstr>
      </vt:variant>
      <vt:variant>
        <vt:i4>1310783</vt:i4>
      </vt:variant>
      <vt:variant>
        <vt:i4>236</vt:i4>
      </vt:variant>
      <vt:variant>
        <vt:i4>0</vt:i4>
      </vt:variant>
      <vt:variant>
        <vt:i4>5</vt:i4>
      </vt:variant>
      <vt:variant>
        <vt:lpwstr/>
      </vt:variant>
      <vt:variant>
        <vt:lpwstr>_Toc78219238</vt:lpwstr>
      </vt:variant>
      <vt:variant>
        <vt:i4>1769535</vt:i4>
      </vt:variant>
      <vt:variant>
        <vt:i4>230</vt:i4>
      </vt:variant>
      <vt:variant>
        <vt:i4>0</vt:i4>
      </vt:variant>
      <vt:variant>
        <vt:i4>5</vt:i4>
      </vt:variant>
      <vt:variant>
        <vt:lpwstr/>
      </vt:variant>
      <vt:variant>
        <vt:lpwstr>_Toc78219237</vt:lpwstr>
      </vt:variant>
      <vt:variant>
        <vt:i4>1703999</vt:i4>
      </vt:variant>
      <vt:variant>
        <vt:i4>224</vt:i4>
      </vt:variant>
      <vt:variant>
        <vt:i4>0</vt:i4>
      </vt:variant>
      <vt:variant>
        <vt:i4>5</vt:i4>
      </vt:variant>
      <vt:variant>
        <vt:lpwstr/>
      </vt:variant>
      <vt:variant>
        <vt:lpwstr>_Toc78219236</vt:lpwstr>
      </vt:variant>
      <vt:variant>
        <vt:i4>1638463</vt:i4>
      </vt:variant>
      <vt:variant>
        <vt:i4>218</vt:i4>
      </vt:variant>
      <vt:variant>
        <vt:i4>0</vt:i4>
      </vt:variant>
      <vt:variant>
        <vt:i4>5</vt:i4>
      </vt:variant>
      <vt:variant>
        <vt:lpwstr/>
      </vt:variant>
      <vt:variant>
        <vt:lpwstr>_Toc78219235</vt:lpwstr>
      </vt:variant>
      <vt:variant>
        <vt:i4>1572927</vt:i4>
      </vt:variant>
      <vt:variant>
        <vt:i4>212</vt:i4>
      </vt:variant>
      <vt:variant>
        <vt:i4>0</vt:i4>
      </vt:variant>
      <vt:variant>
        <vt:i4>5</vt:i4>
      </vt:variant>
      <vt:variant>
        <vt:lpwstr/>
      </vt:variant>
      <vt:variant>
        <vt:lpwstr>_Toc78219234</vt:lpwstr>
      </vt:variant>
      <vt:variant>
        <vt:i4>2031679</vt:i4>
      </vt:variant>
      <vt:variant>
        <vt:i4>206</vt:i4>
      </vt:variant>
      <vt:variant>
        <vt:i4>0</vt:i4>
      </vt:variant>
      <vt:variant>
        <vt:i4>5</vt:i4>
      </vt:variant>
      <vt:variant>
        <vt:lpwstr/>
      </vt:variant>
      <vt:variant>
        <vt:lpwstr>_Toc78219233</vt:lpwstr>
      </vt:variant>
      <vt:variant>
        <vt:i4>1966143</vt:i4>
      </vt:variant>
      <vt:variant>
        <vt:i4>200</vt:i4>
      </vt:variant>
      <vt:variant>
        <vt:i4>0</vt:i4>
      </vt:variant>
      <vt:variant>
        <vt:i4>5</vt:i4>
      </vt:variant>
      <vt:variant>
        <vt:lpwstr/>
      </vt:variant>
      <vt:variant>
        <vt:lpwstr>_Toc78219232</vt:lpwstr>
      </vt:variant>
      <vt:variant>
        <vt:i4>1900607</vt:i4>
      </vt:variant>
      <vt:variant>
        <vt:i4>194</vt:i4>
      </vt:variant>
      <vt:variant>
        <vt:i4>0</vt:i4>
      </vt:variant>
      <vt:variant>
        <vt:i4>5</vt:i4>
      </vt:variant>
      <vt:variant>
        <vt:lpwstr/>
      </vt:variant>
      <vt:variant>
        <vt:lpwstr>_Toc78219231</vt:lpwstr>
      </vt:variant>
      <vt:variant>
        <vt:i4>1835071</vt:i4>
      </vt:variant>
      <vt:variant>
        <vt:i4>188</vt:i4>
      </vt:variant>
      <vt:variant>
        <vt:i4>0</vt:i4>
      </vt:variant>
      <vt:variant>
        <vt:i4>5</vt:i4>
      </vt:variant>
      <vt:variant>
        <vt:lpwstr/>
      </vt:variant>
      <vt:variant>
        <vt:lpwstr>_Toc78219230</vt:lpwstr>
      </vt:variant>
      <vt:variant>
        <vt:i4>1376318</vt:i4>
      </vt:variant>
      <vt:variant>
        <vt:i4>182</vt:i4>
      </vt:variant>
      <vt:variant>
        <vt:i4>0</vt:i4>
      </vt:variant>
      <vt:variant>
        <vt:i4>5</vt:i4>
      </vt:variant>
      <vt:variant>
        <vt:lpwstr/>
      </vt:variant>
      <vt:variant>
        <vt:lpwstr>_Toc78219229</vt:lpwstr>
      </vt:variant>
      <vt:variant>
        <vt:i4>1310782</vt:i4>
      </vt:variant>
      <vt:variant>
        <vt:i4>176</vt:i4>
      </vt:variant>
      <vt:variant>
        <vt:i4>0</vt:i4>
      </vt:variant>
      <vt:variant>
        <vt:i4>5</vt:i4>
      </vt:variant>
      <vt:variant>
        <vt:lpwstr/>
      </vt:variant>
      <vt:variant>
        <vt:lpwstr>_Toc78219228</vt:lpwstr>
      </vt:variant>
      <vt:variant>
        <vt:i4>1769534</vt:i4>
      </vt:variant>
      <vt:variant>
        <vt:i4>170</vt:i4>
      </vt:variant>
      <vt:variant>
        <vt:i4>0</vt:i4>
      </vt:variant>
      <vt:variant>
        <vt:i4>5</vt:i4>
      </vt:variant>
      <vt:variant>
        <vt:lpwstr/>
      </vt:variant>
      <vt:variant>
        <vt:lpwstr>_Toc78219227</vt:lpwstr>
      </vt:variant>
      <vt:variant>
        <vt:i4>1703998</vt:i4>
      </vt:variant>
      <vt:variant>
        <vt:i4>164</vt:i4>
      </vt:variant>
      <vt:variant>
        <vt:i4>0</vt:i4>
      </vt:variant>
      <vt:variant>
        <vt:i4>5</vt:i4>
      </vt:variant>
      <vt:variant>
        <vt:lpwstr/>
      </vt:variant>
      <vt:variant>
        <vt:lpwstr>_Toc78219226</vt:lpwstr>
      </vt:variant>
      <vt:variant>
        <vt:i4>1638462</vt:i4>
      </vt:variant>
      <vt:variant>
        <vt:i4>158</vt:i4>
      </vt:variant>
      <vt:variant>
        <vt:i4>0</vt:i4>
      </vt:variant>
      <vt:variant>
        <vt:i4>5</vt:i4>
      </vt:variant>
      <vt:variant>
        <vt:lpwstr/>
      </vt:variant>
      <vt:variant>
        <vt:lpwstr>_Toc78219225</vt:lpwstr>
      </vt:variant>
      <vt:variant>
        <vt:i4>1572926</vt:i4>
      </vt:variant>
      <vt:variant>
        <vt:i4>152</vt:i4>
      </vt:variant>
      <vt:variant>
        <vt:i4>0</vt:i4>
      </vt:variant>
      <vt:variant>
        <vt:i4>5</vt:i4>
      </vt:variant>
      <vt:variant>
        <vt:lpwstr/>
      </vt:variant>
      <vt:variant>
        <vt:lpwstr>_Toc78219224</vt:lpwstr>
      </vt:variant>
      <vt:variant>
        <vt:i4>2031678</vt:i4>
      </vt:variant>
      <vt:variant>
        <vt:i4>146</vt:i4>
      </vt:variant>
      <vt:variant>
        <vt:i4>0</vt:i4>
      </vt:variant>
      <vt:variant>
        <vt:i4>5</vt:i4>
      </vt:variant>
      <vt:variant>
        <vt:lpwstr/>
      </vt:variant>
      <vt:variant>
        <vt:lpwstr>_Toc78219223</vt:lpwstr>
      </vt:variant>
      <vt:variant>
        <vt:i4>1966142</vt:i4>
      </vt:variant>
      <vt:variant>
        <vt:i4>140</vt:i4>
      </vt:variant>
      <vt:variant>
        <vt:i4>0</vt:i4>
      </vt:variant>
      <vt:variant>
        <vt:i4>5</vt:i4>
      </vt:variant>
      <vt:variant>
        <vt:lpwstr/>
      </vt:variant>
      <vt:variant>
        <vt:lpwstr>_Toc78219222</vt:lpwstr>
      </vt:variant>
      <vt:variant>
        <vt:i4>1900606</vt:i4>
      </vt:variant>
      <vt:variant>
        <vt:i4>134</vt:i4>
      </vt:variant>
      <vt:variant>
        <vt:i4>0</vt:i4>
      </vt:variant>
      <vt:variant>
        <vt:i4>5</vt:i4>
      </vt:variant>
      <vt:variant>
        <vt:lpwstr/>
      </vt:variant>
      <vt:variant>
        <vt:lpwstr>_Toc78219221</vt:lpwstr>
      </vt:variant>
      <vt:variant>
        <vt:i4>1835070</vt:i4>
      </vt:variant>
      <vt:variant>
        <vt:i4>128</vt:i4>
      </vt:variant>
      <vt:variant>
        <vt:i4>0</vt:i4>
      </vt:variant>
      <vt:variant>
        <vt:i4>5</vt:i4>
      </vt:variant>
      <vt:variant>
        <vt:lpwstr/>
      </vt:variant>
      <vt:variant>
        <vt:lpwstr>_Toc78219220</vt:lpwstr>
      </vt:variant>
      <vt:variant>
        <vt:i4>1376317</vt:i4>
      </vt:variant>
      <vt:variant>
        <vt:i4>122</vt:i4>
      </vt:variant>
      <vt:variant>
        <vt:i4>0</vt:i4>
      </vt:variant>
      <vt:variant>
        <vt:i4>5</vt:i4>
      </vt:variant>
      <vt:variant>
        <vt:lpwstr/>
      </vt:variant>
      <vt:variant>
        <vt:lpwstr>_Toc78219219</vt:lpwstr>
      </vt:variant>
      <vt:variant>
        <vt:i4>1310781</vt:i4>
      </vt:variant>
      <vt:variant>
        <vt:i4>116</vt:i4>
      </vt:variant>
      <vt:variant>
        <vt:i4>0</vt:i4>
      </vt:variant>
      <vt:variant>
        <vt:i4>5</vt:i4>
      </vt:variant>
      <vt:variant>
        <vt:lpwstr/>
      </vt:variant>
      <vt:variant>
        <vt:lpwstr>_Toc78219218</vt:lpwstr>
      </vt:variant>
      <vt:variant>
        <vt:i4>1769533</vt:i4>
      </vt:variant>
      <vt:variant>
        <vt:i4>110</vt:i4>
      </vt:variant>
      <vt:variant>
        <vt:i4>0</vt:i4>
      </vt:variant>
      <vt:variant>
        <vt:i4>5</vt:i4>
      </vt:variant>
      <vt:variant>
        <vt:lpwstr/>
      </vt:variant>
      <vt:variant>
        <vt:lpwstr>_Toc78219217</vt:lpwstr>
      </vt:variant>
      <vt:variant>
        <vt:i4>1703997</vt:i4>
      </vt:variant>
      <vt:variant>
        <vt:i4>104</vt:i4>
      </vt:variant>
      <vt:variant>
        <vt:i4>0</vt:i4>
      </vt:variant>
      <vt:variant>
        <vt:i4>5</vt:i4>
      </vt:variant>
      <vt:variant>
        <vt:lpwstr/>
      </vt:variant>
      <vt:variant>
        <vt:lpwstr>_Toc78219216</vt:lpwstr>
      </vt:variant>
      <vt:variant>
        <vt:i4>1638461</vt:i4>
      </vt:variant>
      <vt:variant>
        <vt:i4>98</vt:i4>
      </vt:variant>
      <vt:variant>
        <vt:i4>0</vt:i4>
      </vt:variant>
      <vt:variant>
        <vt:i4>5</vt:i4>
      </vt:variant>
      <vt:variant>
        <vt:lpwstr/>
      </vt:variant>
      <vt:variant>
        <vt:lpwstr>_Toc78219215</vt:lpwstr>
      </vt:variant>
      <vt:variant>
        <vt:i4>1572925</vt:i4>
      </vt:variant>
      <vt:variant>
        <vt:i4>92</vt:i4>
      </vt:variant>
      <vt:variant>
        <vt:i4>0</vt:i4>
      </vt:variant>
      <vt:variant>
        <vt:i4>5</vt:i4>
      </vt:variant>
      <vt:variant>
        <vt:lpwstr/>
      </vt:variant>
      <vt:variant>
        <vt:lpwstr>_Toc78219214</vt:lpwstr>
      </vt:variant>
      <vt:variant>
        <vt:i4>2031677</vt:i4>
      </vt:variant>
      <vt:variant>
        <vt:i4>86</vt:i4>
      </vt:variant>
      <vt:variant>
        <vt:i4>0</vt:i4>
      </vt:variant>
      <vt:variant>
        <vt:i4>5</vt:i4>
      </vt:variant>
      <vt:variant>
        <vt:lpwstr/>
      </vt:variant>
      <vt:variant>
        <vt:lpwstr>_Toc78219213</vt:lpwstr>
      </vt:variant>
      <vt:variant>
        <vt:i4>1966141</vt:i4>
      </vt:variant>
      <vt:variant>
        <vt:i4>80</vt:i4>
      </vt:variant>
      <vt:variant>
        <vt:i4>0</vt:i4>
      </vt:variant>
      <vt:variant>
        <vt:i4>5</vt:i4>
      </vt:variant>
      <vt:variant>
        <vt:lpwstr/>
      </vt:variant>
      <vt:variant>
        <vt:lpwstr>_Toc78219212</vt:lpwstr>
      </vt:variant>
      <vt:variant>
        <vt:i4>1900605</vt:i4>
      </vt:variant>
      <vt:variant>
        <vt:i4>74</vt:i4>
      </vt:variant>
      <vt:variant>
        <vt:i4>0</vt:i4>
      </vt:variant>
      <vt:variant>
        <vt:i4>5</vt:i4>
      </vt:variant>
      <vt:variant>
        <vt:lpwstr/>
      </vt:variant>
      <vt:variant>
        <vt:lpwstr>_Toc78219211</vt:lpwstr>
      </vt:variant>
      <vt:variant>
        <vt:i4>1835069</vt:i4>
      </vt:variant>
      <vt:variant>
        <vt:i4>68</vt:i4>
      </vt:variant>
      <vt:variant>
        <vt:i4>0</vt:i4>
      </vt:variant>
      <vt:variant>
        <vt:i4>5</vt:i4>
      </vt:variant>
      <vt:variant>
        <vt:lpwstr/>
      </vt:variant>
      <vt:variant>
        <vt:lpwstr>_Toc78219210</vt:lpwstr>
      </vt:variant>
      <vt:variant>
        <vt:i4>1376316</vt:i4>
      </vt:variant>
      <vt:variant>
        <vt:i4>62</vt:i4>
      </vt:variant>
      <vt:variant>
        <vt:i4>0</vt:i4>
      </vt:variant>
      <vt:variant>
        <vt:i4>5</vt:i4>
      </vt:variant>
      <vt:variant>
        <vt:lpwstr/>
      </vt:variant>
      <vt:variant>
        <vt:lpwstr>_Toc78219209</vt:lpwstr>
      </vt:variant>
      <vt:variant>
        <vt:i4>1310780</vt:i4>
      </vt:variant>
      <vt:variant>
        <vt:i4>56</vt:i4>
      </vt:variant>
      <vt:variant>
        <vt:i4>0</vt:i4>
      </vt:variant>
      <vt:variant>
        <vt:i4>5</vt:i4>
      </vt:variant>
      <vt:variant>
        <vt:lpwstr/>
      </vt:variant>
      <vt:variant>
        <vt:lpwstr>_Toc78219208</vt:lpwstr>
      </vt:variant>
      <vt:variant>
        <vt:i4>1769532</vt:i4>
      </vt:variant>
      <vt:variant>
        <vt:i4>50</vt:i4>
      </vt:variant>
      <vt:variant>
        <vt:i4>0</vt:i4>
      </vt:variant>
      <vt:variant>
        <vt:i4>5</vt:i4>
      </vt:variant>
      <vt:variant>
        <vt:lpwstr/>
      </vt:variant>
      <vt:variant>
        <vt:lpwstr>_Toc78219207</vt:lpwstr>
      </vt:variant>
      <vt:variant>
        <vt:i4>1703996</vt:i4>
      </vt:variant>
      <vt:variant>
        <vt:i4>44</vt:i4>
      </vt:variant>
      <vt:variant>
        <vt:i4>0</vt:i4>
      </vt:variant>
      <vt:variant>
        <vt:i4>5</vt:i4>
      </vt:variant>
      <vt:variant>
        <vt:lpwstr/>
      </vt:variant>
      <vt:variant>
        <vt:lpwstr>_Toc78219206</vt:lpwstr>
      </vt:variant>
      <vt:variant>
        <vt:i4>1638460</vt:i4>
      </vt:variant>
      <vt:variant>
        <vt:i4>38</vt:i4>
      </vt:variant>
      <vt:variant>
        <vt:i4>0</vt:i4>
      </vt:variant>
      <vt:variant>
        <vt:i4>5</vt:i4>
      </vt:variant>
      <vt:variant>
        <vt:lpwstr/>
      </vt:variant>
      <vt:variant>
        <vt:lpwstr>_Toc78219205</vt:lpwstr>
      </vt:variant>
      <vt:variant>
        <vt:i4>1572924</vt:i4>
      </vt:variant>
      <vt:variant>
        <vt:i4>32</vt:i4>
      </vt:variant>
      <vt:variant>
        <vt:i4>0</vt:i4>
      </vt:variant>
      <vt:variant>
        <vt:i4>5</vt:i4>
      </vt:variant>
      <vt:variant>
        <vt:lpwstr/>
      </vt:variant>
      <vt:variant>
        <vt:lpwstr>_Toc78219204</vt:lpwstr>
      </vt:variant>
      <vt:variant>
        <vt:i4>2031676</vt:i4>
      </vt:variant>
      <vt:variant>
        <vt:i4>26</vt:i4>
      </vt:variant>
      <vt:variant>
        <vt:i4>0</vt:i4>
      </vt:variant>
      <vt:variant>
        <vt:i4>5</vt:i4>
      </vt:variant>
      <vt:variant>
        <vt:lpwstr/>
      </vt:variant>
      <vt:variant>
        <vt:lpwstr>_Toc78219203</vt:lpwstr>
      </vt:variant>
      <vt:variant>
        <vt:i4>1966140</vt:i4>
      </vt:variant>
      <vt:variant>
        <vt:i4>20</vt:i4>
      </vt:variant>
      <vt:variant>
        <vt:i4>0</vt:i4>
      </vt:variant>
      <vt:variant>
        <vt:i4>5</vt:i4>
      </vt:variant>
      <vt:variant>
        <vt:lpwstr/>
      </vt:variant>
      <vt:variant>
        <vt:lpwstr>_Toc78219202</vt:lpwstr>
      </vt:variant>
      <vt:variant>
        <vt:i4>1900604</vt:i4>
      </vt:variant>
      <vt:variant>
        <vt:i4>14</vt:i4>
      </vt:variant>
      <vt:variant>
        <vt:i4>0</vt:i4>
      </vt:variant>
      <vt:variant>
        <vt:i4>5</vt:i4>
      </vt:variant>
      <vt:variant>
        <vt:lpwstr/>
      </vt:variant>
      <vt:variant>
        <vt:lpwstr>_Toc78219201</vt:lpwstr>
      </vt:variant>
      <vt:variant>
        <vt:i4>1835068</vt:i4>
      </vt:variant>
      <vt:variant>
        <vt:i4>8</vt:i4>
      </vt:variant>
      <vt:variant>
        <vt:i4>0</vt:i4>
      </vt:variant>
      <vt:variant>
        <vt:i4>5</vt:i4>
      </vt:variant>
      <vt:variant>
        <vt:lpwstr/>
      </vt:variant>
      <vt:variant>
        <vt:lpwstr>_Toc78219200</vt:lpwstr>
      </vt:variant>
      <vt:variant>
        <vt:i4>1441845</vt:i4>
      </vt:variant>
      <vt:variant>
        <vt:i4>2</vt:i4>
      </vt:variant>
      <vt:variant>
        <vt:i4>0</vt:i4>
      </vt:variant>
      <vt:variant>
        <vt:i4>5</vt:i4>
      </vt:variant>
      <vt:variant>
        <vt:lpwstr/>
      </vt:variant>
      <vt:variant>
        <vt:lpwstr>_Toc78219199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7</cp:revision>
  <cp:lastPrinted>2021-09-17T08:10:00Z</cp:lastPrinted>
  <dcterms:created xsi:type="dcterms:W3CDTF">2021-09-30T06:13:00Z</dcterms:created>
  <dcterms:modified xsi:type="dcterms:W3CDTF">2021-10-04T08:01:00Z</dcterms:modified>
</cp:coreProperties>
</file>